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val="0"/>
        </w:rPr>
        <w:id w:val="-123456789"/>
        <w:docPartObj>
          <w:docPartGallery w:val="Table of Contents"/>
          <w:docPartUnique/>
        </w:docPartObj>
      </w:sdtPr>
      <w:sdtEndPr>
        <w:rPr>
          <w:rFonts w:asciiTheme="minorHAnsi" w:eastAsiaTheme="minorHAnsi" w:hAnsiTheme="minorHAnsi" w:cstheme="minorBidi"/>
          <w:noProof/>
          <w:sz w:val="22"/>
          <w:szCs w:val="22"/>
        </w:rPr>
      </w:sdtEndPr>
      <w:sdtContent>
        <w:p w14:paraId="637468F5" w14:textId="6F679399" w:rsidR="000F4169" w:rsidRDefault="000F4169">
          <w:pPr>
            <w:pStyle w:val="En-ttedetabledesmatires"/>
          </w:pPr>
          <w:r w:rsidRPr="000F4169">
            <w:t>TABLE DES MATIÈRES</w:t>
          </w:r>
        </w:p>
        <w:p w14:paraId="457E0A1C" w14:textId="7E761FBB" w:rsidR="000F4169" w:rsidRDefault="00000000">
          <w:pPr>
            <w:pStyle w:val="TM1"/>
            <w:tabs>
              <w:tab w:val="right" w:leader="dot" w:pos="9016"/>
            </w:tabs>
            <w:rPr>
              <w:rFonts w:asciiTheme="minorHAnsi" w:eastAsiaTheme="minorEastAsia" w:hAnsiTheme="minorHAnsi" w:cstheme="minorBidi"/>
              <w:noProof/>
              <w:kern w:val="2"/>
              <w:sz w:val="24"/>
              <w:szCs w:val="24"/>
              <w14:ligatures w14:val="standardContextual"/>
            </w:rPr>
          </w:pPr>
          <w:r>
            <w:fldChar w:fldCharType="begin"/>
          </w:r>
          <w:r>
            <w:instrText xml:space="preserve"> TOC \o "1-9" \h \z \u  \t " Author-eSectionHeading1,1,Author-eSectionHeading2,2,Author-eSectionHeading3,3,Author-eSectionHeading4,4,Author-eSectionHeading5,5,Author-eSectionHeading6,6"</w:instrText>
          </w:r>
          <w:r>
            <w:fldChar w:fldCharType="separate"/>
          </w:r>
          <w:hyperlink w:anchor="_Toc220490220" w:history="1">
            <w:r w:rsidR="000F4169" w:rsidRPr="001D4C20">
              <w:rPr>
                <w:rStyle w:val="Lienhypertexte"/>
                <w:noProof/>
              </w:rPr>
              <w:t>5 T5 Fermetures / Finitions intérieures CCTB 01.13</w:t>
            </w:r>
            <w:r w:rsidR="000F4169">
              <w:rPr>
                <w:noProof/>
                <w:webHidden/>
              </w:rPr>
              <w:tab/>
            </w:r>
            <w:r w:rsidR="000F4169">
              <w:rPr>
                <w:noProof/>
                <w:webHidden/>
              </w:rPr>
              <w:fldChar w:fldCharType="begin"/>
            </w:r>
            <w:r w:rsidR="000F4169">
              <w:rPr>
                <w:noProof/>
                <w:webHidden/>
              </w:rPr>
              <w:instrText xml:space="preserve"> PAGEREF _Toc220490220 \h </w:instrText>
            </w:r>
            <w:r w:rsidR="000F4169">
              <w:rPr>
                <w:noProof/>
                <w:webHidden/>
              </w:rPr>
            </w:r>
            <w:r w:rsidR="000F4169">
              <w:rPr>
                <w:noProof/>
                <w:webHidden/>
              </w:rPr>
              <w:fldChar w:fldCharType="separate"/>
            </w:r>
            <w:r w:rsidR="000F4169">
              <w:rPr>
                <w:noProof/>
                <w:webHidden/>
              </w:rPr>
              <w:t>53</w:t>
            </w:r>
            <w:r w:rsidR="000F4169">
              <w:rPr>
                <w:noProof/>
                <w:webHidden/>
              </w:rPr>
              <w:fldChar w:fldCharType="end"/>
            </w:r>
          </w:hyperlink>
        </w:p>
        <w:p w14:paraId="0F56B26F" w14:textId="2FE07C80" w:rsidR="000F4169" w:rsidRDefault="000F4169">
          <w:pPr>
            <w:pStyle w:val="TM2"/>
            <w:tabs>
              <w:tab w:val="right" w:leader="dot" w:pos="9016"/>
            </w:tabs>
            <w:rPr>
              <w:rFonts w:asciiTheme="minorHAnsi" w:eastAsiaTheme="minorEastAsia" w:hAnsiTheme="minorHAnsi" w:cstheme="minorBidi"/>
              <w:noProof/>
              <w:kern w:val="2"/>
              <w:sz w:val="24"/>
              <w:szCs w:val="24"/>
              <w14:ligatures w14:val="standardContextual"/>
            </w:rPr>
          </w:pPr>
          <w:hyperlink w:anchor="_Toc220490221" w:history="1">
            <w:r w:rsidRPr="001D4C20">
              <w:rPr>
                <w:rStyle w:val="Lienhypertexte"/>
                <w:noProof/>
              </w:rPr>
              <w:t>51 Parois légères et finitions des murs intérieurs CCTB 01.11</w:t>
            </w:r>
            <w:r>
              <w:rPr>
                <w:noProof/>
                <w:webHidden/>
              </w:rPr>
              <w:tab/>
            </w:r>
            <w:r>
              <w:rPr>
                <w:noProof/>
                <w:webHidden/>
              </w:rPr>
              <w:fldChar w:fldCharType="begin"/>
            </w:r>
            <w:r>
              <w:rPr>
                <w:noProof/>
                <w:webHidden/>
              </w:rPr>
              <w:instrText xml:space="preserve"> PAGEREF _Toc220490221 \h </w:instrText>
            </w:r>
            <w:r>
              <w:rPr>
                <w:noProof/>
                <w:webHidden/>
              </w:rPr>
            </w:r>
            <w:r>
              <w:rPr>
                <w:noProof/>
                <w:webHidden/>
              </w:rPr>
              <w:fldChar w:fldCharType="separate"/>
            </w:r>
            <w:r>
              <w:rPr>
                <w:noProof/>
                <w:webHidden/>
              </w:rPr>
              <w:t>53</w:t>
            </w:r>
            <w:r>
              <w:rPr>
                <w:noProof/>
                <w:webHidden/>
              </w:rPr>
              <w:fldChar w:fldCharType="end"/>
            </w:r>
          </w:hyperlink>
        </w:p>
        <w:p w14:paraId="0C081323" w14:textId="0D21C623"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222" w:history="1">
            <w:r w:rsidRPr="001D4C20">
              <w:rPr>
                <w:rStyle w:val="Lienhypertexte"/>
                <w:noProof/>
              </w:rPr>
              <w:t>51.1 Cloisons fixes légères de séparation (Rem.: le type d'ossature est explicité à l'article) CCTB 01.11</w:t>
            </w:r>
            <w:r>
              <w:rPr>
                <w:noProof/>
                <w:webHidden/>
              </w:rPr>
              <w:tab/>
            </w:r>
            <w:r>
              <w:rPr>
                <w:noProof/>
                <w:webHidden/>
              </w:rPr>
              <w:fldChar w:fldCharType="begin"/>
            </w:r>
            <w:r>
              <w:rPr>
                <w:noProof/>
                <w:webHidden/>
              </w:rPr>
              <w:instrText xml:space="preserve"> PAGEREF _Toc220490222 \h </w:instrText>
            </w:r>
            <w:r>
              <w:rPr>
                <w:noProof/>
                <w:webHidden/>
              </w:rPr>
            </w:r>
            <w:r>
              <w:rPr>
                <w:noProof/>
                <w:webHidden/>
              </w:rPr>
              <w:fldChar w:fldCharType="separate"/>
            </w:r>
            <w:r>
              <w:rPr>
                <w:noProof/>
                <w:webHidden/>
              </w:rPr>
              <w:t>53</w:t>
            </w:r>
            <w:r>
              <w:rPr>
                <w:noProof/>
                <w:webHidden/>
              </w:rPr>
              <w:fldChar w:fldCharType="end"/>
            </w:r>
          </w:hyperlink>
        </w:p>
        <w:p w14:paraId="2CD2CBC8" w14:textId="1162FE8E"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223" w:history="1">
            <w:r w:rsidRPr="001D4C20">
              <w:rPr>
                <w:rStyle w:val="Lienhypertexte"/>
                <w:noProof/>
              </w:rPr>
              <w:t>51.11 Cloison fixe légère creuse CCTB 01.12</w:t>
            </w:r>
            <w:r>
              <w:rPr>
                <w:noProof/>
                <w:webHidden/>
              </w:rPr>
              <w:tab/>
            </w:r>
            <w:r>
              <w:rPr>
                <w:noProof/>
                <w:webHidden/>
              </w:rPr>
              <w:fldChar w:fldCharType="begin"/>
            </w:r>
            <w:r>
              <w:rPr>
                <w:noProof/>
                <w:webHidden/>
              </w:rPr>
              <w:instrText xml:space="preserve"> PAGEREF _Toc220490223 \h </w:instrText>
            </w:r>
            <w:r>
              <w:rPr>
                <w:noProof/>
                <w:webHidden/>
              </w:rPr>
            </w:r>
            <w:r>
              <w:rPr>
                <w:noProof/>
                <w:webHidden/>
              </w:rPr>
              <w:fldChar w:fldCharType="separate"/>
            </w:r>
            <w:r>
              <w:rPr>
                <w:noProof/>
                <w:webHidden/>
              </w:rPr>
              <w:t>56</w:t>
            </w:r>
            <w:r>
              <w:rPr>
                <w:noProof/>
                <w:webHidden/>
              </w:rPr>
              <w:fldChar w:fldCharType="end"/>
            </w:r>
          </w:hyperlink>
        </w:p>
        <w:p w14:paraId="2DE075A0" w14:textId="42C5D382"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24" w:history="1">
            <w:r w:rsidRPr="001D4C20">
              <w:rPr>
                <w:rStyle w:val="Lienhypertexte"/>
                <w:noProof/>
              </w:rPr>
              <w:t>51.11.1 Parement en plaques/panneaux à base de plâtre CCTB 01.02</w:t>
            </w:r>
            <w:r>
              <w:rPr>
                <w:noProof/>
                <w:webHidden/>
              </w:rPr>
              <w:tab/>
            </w:r>
            <w:r>
              <w:rPr>
                <w:noProof/>
                <w:webHidden/>
              </w:rPr>
              <w:fldChar w:fldCharType="begin"/>
            </w:r>
            <w:r>
              <w:rPr>
                <w:noProof/>
                <w:webHidden/>
              </w:rPr>
              <w:instrText xml:space="preserve"> PAGEREF _Toc220490224 \h </w:instrText>
            </w:r>
            <w:r>
              <w:rPr>
                <w:noProof/>
                <w:webHidden/>
              </w:rPr>
            </w:r>
            <w:r>
              <w:rPr>
                <w:noProof/>
                <w:webHidden/>
              </w:rPr>
              <w:fldChar w:fldCharType="separate"/>
            </w:r>
            <w:r>
              <w:rPr>
                <w:noProof/>
                <w:webHidden/>
              </w:rPr>
              <w:t>57</w:t>
            </w:r>
            <w:r>
              <w:rPr>
                <w:noProof/>
                <w:webHidden/>
              </w:rPr>
              <w:fldChar w:fldCharType="end"/>
            </w:r>
          </w:hyperlink>
        </w:p>
        <w:p w14:paraId="170D36EC" w14:textId="2732E49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25" w:history="1">
            <w:r w:rsidRPr="001D4C20">
              <w:rPr>
                <w:rStyle w:val="Lienhypertexte"/>
                <w:noProof/>
              </w:rPr>
              <w:t>51.11.1a Cloisons creuses / parement en plaques/panneaux à base de plâtre CCTB 01.12</w:t>
            </w:r>
            <w:r>
              <w:rPr>
                <w:noProof/>
                <w:webHidden/>
              </w:rPr>
              <w:tab/>
            </w:r>
            <w:r>
              <w:rPr>
                <w:noProof/>
                <w:webHidden/>
              </w:rPr>
              <w:fldChar w:fldCharType="begin"/>
            </w:r>
            <w:r>
              <w:rPr>
                <w:noProof/>
                <w:webHidden/>
              </w:rPr>
              <w:instrText xml:space="preserve"> PAGEREF _Toc220490225 \h </w:instrText>
            </w:r>
            <w:r>
              <w:rPr>
                <w:noProof/>
                <w:webHidden/>
              </w:rPr>
            </w:r>
            <w:r>
              <w:rPr>
                <w:noProof/>
                <w:webHidden/>
              </w:rPr>
              <w:fldChar w:fldCharType="separate"/>
            </w:r>
            <w:r>
              <w:rPr>
                <w:noProof/>
                <w:webHidden/>
              </w:rPr>
              <w:t>57</w:t>
            </w:r>
            <w:r>
              <w:rPr>
                <w:noProof/>
                <w:webHidden/>
              </w:rPr>
              <w:fldChar w:fldCharType="end"/>
            </w:r>
          </w:hyperlink>
        </w:p>
        <w:p w14:paraId="7100AD42" w14:textId="59F895F5"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26" w:history="1">
            <w:r w:rsidRPr="001D4C20">
              <w:rPr>
                <w:rStyle w:val="Lienhypertexte"/>
                <w:noProof/>
              </w:rPr>
              <w:t>51.11.2 Parement en plaques/panneaux à base minérale autre que plâtre CCTB 01.02</w:t>
            </w:r>
            <w:r>
              <w:rPr>
                <w:noProof/>
                <w:webHidden/>
              </w:rPr>
              <w:tab/>
            </w:r>
            <w:r>
              <w:rPr>
                <w:noProof/>
                <w:webHidden/>
              </w:rPr>
              <w:fldChar w:fldCharType="begin"/>
            </w:r>
            <w:r>
              <w:rPr>
                <w:noProof/>
                <w:webHidden/>
              </w:rPr>
              <w:instrText xml:space="preserve"> PAGEREF _Toc220490226 \h </w:instrText>
            </w:r>
            <w:r>
              <w:rPr>
                <w:noProof/>
                <w:webHidden/>
              </w:rPr>
            </w:r>
            <w:r>
              <w:rPr>
                <w:noProof/>
                <w:webHidden/>
              </w:rPr>
              <w:fldChar w:fldCharType="separate"/>
            </w:r>
            <w:r>
              <w:rPr>
                <w:noProof/>
                <w:webHidden/>
              </w:rPr>
              <w:t>59</w:t>
            </w:r>
            <w:r>
              <w:rPr>
                <w:noProof/>
                <w:webHidden/>
              </w:rPr>
              <w:fldChar w:fldCharType="end"/>
            </w:r>
          </w:hyperlink>
        </w:p>
        <w:p w14:paraId="4203BFA7" w14:textId="3062B31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27" w:history="1">
            <w:r w:rsidRPr="001D4C20">
              <w:rPr>
                <w:rStyle w:val="Lienhypertexte"/>
                <w:noProof/>
              </w:rPr>
              <w:t>51.11.2a Cloisons creuses / parement en plaques/panneaux à base minérale autre que plâtre, à base de silico-calcaire CCTB 01.02</w:t>
            </w:r>
            <w:r>
              <w:rPr>
                <w:noProof/>
                <w:webHidden/>
              </w:rPr>
              <w:tab/>
            </w:r>
            <w:r>
              <w:rPr>
                <w:noProof/>
                <w:webHidden/>
              </w:rPr>
              <w:fldChar w:fldCharType="begin"/>
            </w:r>
            <w:r>
              <w:rPr>
                <w:noProof/>
                <w:webHidden/>
              </w:rPr>
              <w:instrText xml:space="preserve"> PAGEREF _Toc220490227 \h </w:instrText>
            </w:r>
            <w:r>
              <w:rPr>
                <w:noProof/>
                <w:webHidden/>
              </w:rPr>
            </w:r>
            <w:r>
              <w:rPr>
                <w:noProof/>
                <w:webHidden/>
              </w:rPr>
              <w:fldChar w:fldCharType="separate"/>
            </w:r>
            <w:r>
              <w:rPr>
                <w:noProof/>
                <w:webHidden/>
              </w:rPr>
              <w:t>59</w:t>
            </w:r>
            <w:r>
              <w:rPr>
                <w:noProof/>
                <w:webHidden/>
              </w:rPr>
              <w:fldChar w:fldCharType="end"/>
            </w:r>
          </w:hyperlink>
        </w:p>
        <w:p w14:paraId="24DC3B1E" w14:textId="611C46B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28" w:history="1">
            <w:r w:rsidRPr="001D4C20">
              <w:rPr>
                <w:rStyle w:val="Lienhypertexte"/>
                <w:noProof/>
              </w:rPr>
              <w:t>51.11.2b Cloisons creuses / parement en plaques/panneaux à base minérale autre que plâtre, à base de fibro-ciment CCTB 01.02</w:t>
            </w:r>
            <w:r>
              <w:rPr>
                <w:noProof/>
                <w:webHidden/>
              </w:rPr>
              <w:tab/>
            </w:r>
            <w:r>
              <w:rPr>
                <w:noProof/>
                <w:webHidden/>
              </w:rPr>
              <w:fldChar w:fldCharType="begin"/>
            </w:r>
            <w:r>
              <w:rPr>
                <w:noProof/>
                <w:webHidden/>
              </w:rPr>
              <w:instrText xml:space="preserve"> PAGEREF _Toc220490228 \h </w:instrText>
            </w:r>
            <w:r>
              <w:rPr>
                <w:noProof/>
                <w:webHidden/>
              </w:rPr>
            </w:r>
            <w:r>
              <w:rPr>
                <w:noProof/>
                <w:webHidden/>
              </w:rPr>
              <w:fldChar w:fldCharType="separate"/>
            </w:r>
            <w:r>
              <w:rPr>
                <w:noProof/>
                <w:webHidden/>
              </w:rPr>
              <w:t>60</w:t>
            </w:r>
            <w:r>
              <w:rPr>
                <w:noProof/>
                <w:webHidden/>
              </w:rPr>
              <w:fldChar w:fldCharType="end"/>
            </w:r>
          </w:hyperlink>
        </w:p>
        <w:p w14:paraId="2FD4B262" w14:textId="50972A91"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29" w:history="1">
            <w:r w:rsidRPr="001D4C20">
              <w:rPr>
                <w:rStyle w:val="Lienhypertexte"/>
                <w:noProof/>
              </w:rPr>
              <w:t>51.11.3 Parement en plaques/panneaux à base de bois CCTB 01.02</w:t>
            </w:r>
            <w:r>
              <w:rPr>
                <w:noProof/>
                <w:webHidden/>
              </w:rPr>
              <w:tab/>
            </w:r>
            <w:r>
              <w:rPr>
                <w:noProof/>
                <w:webHidden/>
              </w:rPr>
              <w:fldChar w:fldCharType="begin"/>
            </w:r>
            <w:r>
              <w:rPr>
                <w:noProof/>
                <w:webHidden/>
              </w:rPr>
              <w:instrText xml:space="preserve"> PAGEREF _Toc220490229 \h </w:instrText>
            </w:r>
            <w:r>
              <w:rPr>
                <w:noProof/>
                <w:webHidden/>
              </w:rPr>
            </w:r>
            <w:r>
              <w:rPr>
                <w:noProof/>
                <w:webHidden/>
              </w:rPr>
              <w:fldChar w:fldCharType="separate"/>
            </w:r>
            <w:r>
              <w:rPr>
                <w:noProof/>
                <w:webHidden/>
              </w:rPr>
              <w:t>60</w:t>
            </w:r>
            <w:r>
              <w:rPr>
                <w:noProof/>
                <w:webHidden/>
              </w:rPr>
              <w:fldChar w:fldCharType="end"/>
            </w:r>
          </w:hyperlink>
        </w:p>
        <w:p w14:paraId="0DCC3431" w14:textId="4FA7F42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30" w:history="1">
            <w:r w:rsidRPr="001D4C20">
              <w:rPr>
                <w:rStyle w:val="Lienhypertexte"/>
                <w:noProof/>
              </w:rPr>
              <w:t>51.11.3a Cloisons creuses / parement en plaques/panneaux en bois massif CCTB 01.02</w:t>
            </w:r>
            <w:r>
              <w:rPr>
                <w:noProof/>
                <w:webHidden/>
              </w:rPr>
              <w:tab/>
            </w:r>
            <w:r>
              <w:rPr>
                <w:noProof/>
                <w:webHidden/>
              </w:rPr>
              <w:fldChar w:fldCharType="begin"/>
            </w:r>
            <w:r>
              <w:rPr>
                <w:noProof/>
                <w:webHidden/>
              </w:rPr>
              <w:instrText xml:space="preserve"> PAGEREF _Toc220490230 \h </w:instrText>
            </w:r>
            <w:r>
              <w:rPr>
                <w:noProof/>
                <w:webHidden/>
              </w:rPr>
            </w:r>
            <w:r>
              <w:rPr>
                <w:noProof/>
                <w:webHidden/>
              </w:rPr>
              <w:fldChar w:fldCharType="separate"/>
            </w:r>
            <w:r>
              <w:rPr>
                <w:noProof/>
                <w:webHidden/>
              </w:rPr>
              <w:t>60</w:t>
            </w:r>
            <w:r>
              <w:rPr>
                <w:noProof/>
                <w:webHidden/>
              </w:rPr>
              <w:fldChar w:fldCharType="end"/>
            </w:r>
          </w:hyperlink>
        </w:p>
        <w:p w14:paraId="6DFB066D" w14:textId="310901A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31" w:history="1">
            <w:r w:rsidRPr="001D4C20">
              <w:rPr>
                <w:rStyle w:val="Lienhypertexte"/>
                <w:noProof/>
              </w:rPr>
              <w:t>51.11.3b Cloisons creuses / parement en plaques/panneaux à base de bois CCTB 01.10</w:t>
            </w:r>
            <w:r>
              <w:rPr>
                <w:noProof/>
                <w:webHidden/>
              </w:rPr>
              <w:tab/>
            </w:r>
            <w:r>
              <w:rPr>
                <w:noProof/>
                <w:webHidden/>
              </w:rPr>
              <w:fldChar w:fldCharType="begin"/>
            </w:r>
            <w:r>
              <w:rPr>
                <w:noProof/>
                <w:webHidden/>
              </w:rPr>
              <w:instrText xml:space="preserve"> PAGEREF _Toc220490231 \h </w:instrText>
            </w:r>
            <w:r>
              <w:rPr>
                <w:noProof/>
                <w:webHidden/>
              </w:rPr>
            </w:r>
            <w:r>
              <w:rPr>
                <w:noProof/>
                <w:webHidden/>
              </w:rPr>
              <w:fldChar w:fldCharType="separate"/>
            </w:r>
            <w:r>
              <w:rPr>
                <w:noProof/>
                <w:webHidden/>
              </w:rPr>
              <w:t>60</w:t>
            </w:r>
            <w:r>
              <w:rPr>
                <w:noProof/>
                <w:webHidden/>
              </w:rPr>
              <w:fldChar w:fldCharType="end"/>
            </w:r>
          </w:hyperlink>
        </w:p>
        <w:p w14:paraId="52328081" w14:textId="7CD76B8D"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32" w:history="1">
            <w:r w:rsidRPr="001D4C20">
              <w:rPr>
                <w:rStyle w:val="Lienhypertexte"/>
                <w:noProof/>
              </w:rPr>
              <w:t>51.11.4 Parement en plaques/panneaux métalliques CCTB 01.02</w:t>
            </w:r>
            <w:r>
              <w:rPr>
                <w:noProof/>
                <w:webHidden/>
              </w:rPr>
              <w:tab/>
            </w:r>
            <w:r>
              <w:rPr>
                <w:noProof/>
                <w:webHidden/>
              </w:rPr>
              <w:fldChar w:fldCharType="begin"/>
            </w:r>
            <w:r>
              <w:rPr>
                <w:noProof/>
                <w:webHidden/>
              </w:rPr>
              <w:instrText xml:space="preserve"> PAGEREF _Toc220490232 \h </w:instrText>
            </w:r>
            <w:r>
              <w:rPr>
                <w:noProof/>
                <w:webHidden/>
              </w:rPr>
            </w:r>
            <w:r>
              <w:rPr>
                <w:noProof/>
                <w:webHidden/>
              </w:rPr>
              <w:fldChar w:fldCharType="separate"/>
            </w:r>
            <w:r>
              <w:rPr>
                <w:noProof/>
                <w:webHidden/>
              </w:rPr>
              <w:t>61</w:t>
            </w:r>
            <w:r>
              <w:rPr>
                <w:noProof/>
                <w:webHidden/>
              </w:rPr>
              <w:fldChar w:fldCharType="end"/>
            </w:r>
          </w:hyperlink>
        </w:p>
        <w:p w14:paraId="7678A6E8" w14:textId="68100F6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33" w:history="1">
            <w:r w:rsidRPr="001D4C20">
              <w:rPr>
                <w:rStyle w:val="Lienhypertexte"/>
                <w:noProof/>
              </w:rPr>
              <w:t>51.11.4a Cloisons creuses / parement en plaques/panneaux métalliques/panneaux en acier CCTB 01.02</w:t>
            </w:r>
            <w:r>
              <w:rPr>
                <w:noProof/>
                <w:webHidden/>
              </w:rPr>
              <w:tab/>
            </w:r>
            <w:r>
              <w:rPr>
                <w:noProof/>
                <w:webHidden/>
              </w:rPr>
              <w:fldChar w:fldCharType="begin"/>
            </w:r>
            <w:r>
              <w:rPr>
                <w:noProof/>
                <w:webHidden/>
              </w:rPr>
              <w:instrText xml:space="preserve"> PAGEREF _Toc220490233 \h </w:instrText>
            </w:r>
            <w:r>
              <w:rPr>
                <w:noProof/>
                <w:webHidden/>
              </w:rPr>
            </w:r>
            <w:r>
              <w:rPr>
                <w:noProof/>
                <w:webHidden/>
              </w:rPr>
              <w:fldChar w:fldCharType="separate"/>
            </w:r>
            <w:r>
              <w:rPr>
                <w:noProof/>
                <w:webHidden/>
              </w:rPr>
              <w:t>61</w:t>
            </w:r>
            <w:r>
              <w:rPr>
                <w:noProof/>
                <w:webHidden/>
              </w:rPr>
              <w:fldChar w:fldCharType="end"/>
            </w:r>
          </w:hyperlink>
        </w:p>
        <w:p w14:paraId="0DA80E84" w14:textId="189790A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34" w:history="1">
            <w:r w:rsidRPr="001D4C20">
              <w:rPr>
                <w:rStyle w:val="Lienhypertexte"/>
                <w:noProof/>
              </w:rPr>
              <w:t>51.11.4b Cloisons creuses / parement en plaques/panneaux métalliques/panneaux en aluminium CCTB 01.02</w:t>
            </w:r>
            <w:r>
              <w:rPr>
                <w:noProof/>
                <w:webHidden/>
              </w:rPr>
              <w:tab/>
            </w:r>
            <w:r>
              <w:rPr>
                <w:noProof/>
                <w:webHidden/>
              </w:rPr>
              <w:fldChar w:fldCharType="begin"/>
            </w:r>
            <w:r>
              <w:rPr>
                <w:noProof/>
                <w:webHidden/>
              </w:rPr>
              <w:instrText xml:space="preserve"> PAGEREF _Toc220490234 \h </w:instrText>
            </w:r>
            <w:r>
              <w:rPr>
                <w:noProof/>
                <w:webHidden/>
              </w:rPr>
            </w:r>
            <w:r>
              <w:rPr>
                <w:noProof/>
                <w:webHidden/>
              </w:rPr>
              <w:fldChar w:fldCharType="separate"/>
            </w:r>
            <w:r>
              <w:rPr>
                <w:noProof/>
                <w:webHidden/>
              </w:rPr>
              <w:t>61</w:t>
            </w:r>
            <w:r>
              <w:rPr>
                <w:noProof/>
                <w:webHidden/>
              </w:rPr>
              <w:fldChar w:fldCharType="end"/>
            </w:r>
          </w:hyperlink>
        </w:p>
        <w:p w14:paraId="034197BA" w14:textId="1EA8887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35" w:history="1">
            <w:r w:rsidRPr="001D4C20">
              <w:rPr>
                <w:rStyle w:val="Lienhypertexte"/>
                <w:noProof/>
              </w:rPr>
              <w:t>51.11.4c Cloisons creuses / parement en plaques/panneaux métalliques/panneaux en cuivre CCTB 01.02</w:t>
            </w:r>
            <w:r>
              <w:rPr>
                <w:noProof/>
                <w:webHidden/>
              </w:rPr>
              <w:tab/>
            </w:r>
            <w:r>
              <w:rPr>
                <w:noProof/>
                <w:webHidden/>
              </w:rPr>
              <w:fldChar w:fldCharType="begin"/>
            </w:r>
            <w:r>
              <w:rPr>
                <w:noProof/>
                <w:webHidden/>
              </w:rPr>
              <w:instrText xml:space="preserve"> PAGEREF _Toc220490235 \h </w:instrText>
            </w:r>
            <w:r>
              <w:rPr>
                <w:noProof/>
                <w:webHidden/>
              </w:rPr>
            </w:r>
            <w:r>
              <w:rPr>
                <w:noProof/>
                <w:webHidden/>
              </w:rPr>
              <w:fldChar w:fldCharType="separate"/>
            </w:r>
            <w:r>
              <w:rPr>
                <w:noProof/>
                <w:webHidden/>
              </w:rPr>
              <w:t>61</w:t>
            </w:r>
            <w:r>
              <w:rPr>
                <w:noProof/>
                <w:webHidden/>
              </w:rPr>
              <w:fldChar w:fldCharType="end"/>
            </w:r>
          </w:hyperlink>
        </w:p>
        <w:p w14:paraId="06666FC6" w14:textId="1ECF7640"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36" w:history="1">
            <w:r w:rsidRPr="001D4C20">
              <w:rPr>
                <w:rStyle w:val="Lienhypertexte"/>
                <w:noProof/>
              </w:rPr>
              <w:t>51.11.5 Parement en plaques/panneaux synthétiques ou composites CCTB 01.02</w:t>
            </w:r>
            <w:r>
              <w:rPr>
                <w:noProof/>
                <w:webHidden/>
              </w:rPr>
              <w:tab/>
            </w:r>
            <w:r>
              <w:rPr>
                <w:noProof/>
                <w:webHidden/>
              </w:rPr>
              <w:fldChar w:fldCharType="begin"/>
            </w:r>
            <w:r>
              <w:rPr>
                <w:noProof/>
                <w:webHidden/>
              </w:rPr>
              <w:instrText xml:space="preserve"> PAGEREF _Toc220490236 \h </w:instrText>
            </w:r>
            <w:r>
              <w:rPr>
                <w:noProof/>
                <w:webHidden/>
              </w:rPr>
            </w:r>
            <w:r>
              <w:rPr>
                <w:noProof/>
                <w:webHidden/>
              </w:rPr>
              <w:fldChar w:fldCharType="separate"/>
            </w:r>
            <w:r>
              <w:rPr>
                <w:noProof/>
                <w:webHidden/>
              </w:rPr>
              <w:t>61</w:t>
            </w:r>
            <w:r>
              <w:rPr>
                <w:noProof/>
                <w:webHidden/>
              </w:rPr>
              <w:fldChar w:fldCharType="end"/>
            </w:r>
          </w:hyperlink>
        </w:p>
        <w:p w14:paraId="22DAB110" w14:textId="263F393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37" w:history="1">
            <w:r w:rsidRPr="001D4C20">
              <w:rPr>
                <w:rStyle w:val="Lienhypertexte"/>
                <w:noProof/>
              </w:rPr>
              <w:t>51.11.5a Cloisons creuses / parement en plaques/panneaux synthétiques ou composites CCTB 01.02</w:t>
            </w:r>
            <w:r>
              <w:rPr>
                <w:noProof/>
                <w:webHidden/>
              </w:rPr>
              <w:tab/>
            </w:r>
            <w:r>
              <w:rPr>
                <w:noProof/>
                <w:webHidden/>
              </w:rPr>
              <w:fldChar w:fldCharType="begin"/>
            </w:r>
            <w:r>
              <w:rPr>
                <w:noProof/>
                <w:webHidden/>
              </w:rPr>
              <w:instrText xml:space="preserve"> PAGEREF _Toc220490237 \h </w:instrText>
            </w:r>
            <w:r>
              <w:rPr>
                <w:noProof/>
                <w:webHidden/>
              </w:rPr>
            </w:r>
            <w:r>
              <w:rPr>
                <w:noProof/>
                <w:webHidden/>
              </w:rPr>
              <w:fldChar w:fldCharType="separate"/>
            </w:r>
            <w:r>
              <w:rPr>
                <w:noProof/>
                <w:webHidden/>
              </w:rPr>
              <w:t>61</w:t>
            </w:r>
            <w:r>
              <w:rPr>
                <w:noProof/>
                <w:webHidden/>
              </w:rPr>
              <w:fldChar w:fldCharType="end"/>
            </w:r>
          </w:hyperlink>
        </w:p>
        <w:p w14:paraId="3AC76AC6" w14:textId="7725573B"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38" w:history="1">
            <w:r w:rsidRPr="001D4C20">
              <w:rPr>
                <w:rStyle w:val="Lienhypertexte"/>
                <w:noProof/>
              </w:rPr>
              <w:t>51.11.6 Parement en plaques/panneaux à base de verre CCTB 01.02</w:t>
            </w:r>
            <w:r>
              <w:rPr>
                <w:noProof/>
                <w:webHidden/>
              </w:rPr>
              <w:tab/>
            </w:r>
            <w:r>
              <w:rPr>
                <w:noProof/>
                <w:webHidden/>
              </w:rPr>
              <w:fldChar w:fldCharType="begin"/>
            </w:r>
            <w:r>
              <w:rPr>
                <w:noProof/>
                <w:webHidden/>
              </w:rPr>
              <w:instrText xml:space="preserve"> PAGEREF _Toc220490238 \h </w:instrText>
            </w:r>
            <w:r>
              <w:rPr>
                <w:noProof/>
                <w:webHidden/>
              </w:rPr>
            </w:r>
            <w:r>
              <w:rPr>
                <w:noProof/>
                <w:webHidden/>
              </w:rPr>
              <w:fldChar w:fldCharType="separate"/>
            </w:r>
            <w:r>
              <w:rPr>
                <w:noProof/>
                <w:webHidden/>
              </w:rPr>
              <w:t>61</w:t>
            </w:r>
            <w:r>
              <w:rPr>
                <w:noProof/>
                <w:webHidden/>
              </w:rPr>
              <w:fldChar w:fldCharType="end"/>
            </w:r>
          </w:hyperlink>
        </w:p>
        <w:p w14:paraId="0F5812D3" w14:textId="346E414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39" w:history="1">
            <w:r w:rsidRPr="001D4C20">
              <w:rPr>
                <w:rStyle w:val="Lienhypertexte"/>
                <w:noProof/>
              </w:rPr>
              <w:t>51.11.6a Cloisons creuses / parement en plaques/panneaux à base de verre CCTB 01.10</w:t>
            </w:r>
            <w:r>
              <w:rPr>
                <w:noProof/>
                <w:webHidden/>
              </w:rPr>
              <w:tab/>
            </w:r>
            <w:r>
              <w:rPr>
                <w:noProof/>
                <w:webHidden/>
              </w:rPr>
              <w:fldChar w:fldCharType="begin"/>
            </w:r>
            <w:r>
              <w:rPr>
                <w:noProof/>
                <w:webHidden/>
              </w:rPr>
              <w:instrText xml:space="preserve"> PAGEREF _Toc220490239 \h </w:instrText>
            </w:r>
            <w:r>
              <w:rPr>
                <w:noProof/>
                <w:webHidden/>
              </w:rPr>
            </w:r>
            <w:r>
              <w:rPr>
                <w:noProof/>
                <w:webHidden/>
              </w:rPr>
              <w:fldChar w:fldCharType="separate"/>
            </w:r>
            <w:r>
              <w:rPr>
                <w:noProof/>
                <w:webHidden/>
              </w:rPr>
              <w:t>61</w:t>
            </w:r>
            <w:r>
              <w:rPr>
                <w:noProof/>
                <w:webHidden/>
              </w:rPr>
              <w:fldChar w:fldCharType="end"/>
            </w:r>
          </w:hyperlink>
        </w:p>
        <w:p w14:paraId="40D6DF33" w14:textId="7B26346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40" w:history="1">
            <w:r w:rsidRPr="001D4C20">
              <w:rPr>
                <w:rStyle w:val="Lienhypertexte"/>
                <w:noProof/>
              </w:rPr>
              <w:t>51.11.7 Parement en textile CCTB 01.02</w:t>
            </w:r>
            <w:r>
              <w:rPr>
                <w:noProof/>
                <w:webHidden/>
              </w:rPr>
              <w:tab/>
            </w:r>
            <w:r>
              <w:rPr>
                <w:noProof/>
                <w:webHidden/>
              </w:rPr>
              <w:fldChar w:fldCharType="begin"/>
            </w:r>
            <w:r>
              <w:rPr>
                <w:noProof/>
                <w:webHidden/>
              </w:rPr>
              <w:instrText xml:space="preserve"> PAGEREF _Toc220490240 \h </w:instrText>
            </w:r>
            <w:r>
              <w:rPr>
                <w:noProof/>
                <w:webHidden/>
              </w:rPr>
            </w:r>
            <w:r>
              <w:rPr>
                <w:noProof/>
                <w:webHidden/>
              </w:rPr>
              <w:fldChar w:fldCharType="separate"/>
            </w:r>
            <w:r>
              <w:rPr>
                <w:noProof/>
                <w:webHidden/>
              </w:rPr>
              <w:t>64</w:t>
            </w:r>
            <w:r>
              <w:rPr>
                <w:noProof/>
                <w:webHidden/>
              </w:rPr>
              <w:fldChar w:fldCharType="end"/>
            </w:r>
          </w:hyperlink>
        </w:p>
        <w:p w14:paraId="0E3D8A5C" w14:textId="79E3CF2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41" w:history="1">
            <w:r w:rsidRPr="001D4C20">
              <w:rPr>
                <w:rStyle w:val="Lienhypertexte"/>
                <w:noProof/>
              </w:rPr>
              <w:t>51.11.7a Cloisons creuses / parement en textile CCTB 01.02</w:t>
            </w:r>
            <w:r>
              <w:rPr>
                <w:noProof/>
                <w:webHidden/>
              </w:rPr>
              <w:tab/>
            </w:r>
            <w:r>
              <w:rPr>
                <w:noProof/>
                <w:webHidden/>
              </w:rPr>
              <w:fldChar w:fldCharType="begin"/>
            </w:r>
            <w:r>
              <w:rPr>
                <w:noProof/>
                <w:webHidden/>
              </w:rPr>
              <w:instrText xml:space="preserve"> PAGEREF _Toc220490241 \h </w:instrText>
            </w:r>
            <w:r>
              <w:rPr>
                <w:noProof/>
                <w:webHidden/>
              </w:rPr>
            </w:r>
            <w:r>
              <w:rPr>
                <w:noProof/>
                <w:webHidden/>
              </w:rPr>
              <w:fldChar w:fldCharType="separate"/>
            </w:r>
            <w:r>
              <w:rPr>
                <w:noProof/>
                <w:webHidden/>
              </w:rPr>
              <w:t>64</w:t>
            </w:r>
            <w:r>
              <w:rPr>
                <w:noProof/>
                <w:webHidden/>
              </w:rPr>
              <w:fldChar w:fldCharType="end"/>
            </w:r>
          </w:hyperlink>
        </w:p>
        <w:p w14:paraId="69F1B54D" w14:textId="7DE8512E"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42" w:history="1">
            <w:r w:rsidRPr="001D4C20">
              <w:rPr>
                <w:rStyle w:val="Lienhypertexte"/>
                <w:noProof/>
              </w:rPr>
              <w:t>51.11.8 Parement mixte CCTB 01.02</w:t>
            </w:r>
            <w:r>
              <w:rPr>
                <w:noProof/>
                <w:webHidden/>
              </w:rPr>
              <w:tab/>
            </w:r>
            <w:r>
              <w:rPr>
                <w:noProof/>
                <w:webHidden/>
              </w:rPr>
              <w:fldChar w:fldCharType="begin"/>
            </w:r>
            <w:r>
              <w:rPr>
                <w:noProof/>
                <w:webHidden/>
              </w:rPr>
              <w:instrText xml:space="preserve"> PAGEREF _Toc220490242 \h </w:instrText>
            </w:r>
            <w:r>
              <w:rPr>
                <w:noProof/>
                <w:webHidden/>
              </w:rPr>
            </w:r>
            <w:r>
              <w:rPr>
                <w:noProof/>
                <w:webHidden/>
              </w:rPr>
              <w:fldChar w:fldCharType="separate"/>
            </w:r>
            <w:r>
              <w:rPr>
                <w:noProof/>
                <w:webHidden/>
              </w:rPr>
              <w:t>64</w:t>
            </w:r>
            <w:r>
              <w:rPr>
                <w:noProof/>
                <w:webHidden/>
              </w:rPr>
              <w:fldChar w:fldCharType="end"/>
            </w:r>
          </w:hyperlink>
        </w:p>
        <w:p w14:paraId="78C5288E" w14:textId="359B572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43" w:history="1">
            <w:r w:rsidRPr="001D4C20">
              <w:rPr>
                <w:rStyle w:val="Lienhypertexte"/>
                <w:noProof/>
              </w:rPr>
              <w:t>51.11.8a Cloisons creuses / parement mixte CCTB 01.02</w:t>
            </w:r>
            <w:r>
              <w:rPr>
                <w:noProof/>
                <w:webHidden/>
              </w:rPr>
              <w:tab/>
            </w:r>
            <w:r>
              <w:rPr>
                <w:noProof/>
                <w:webHidden/>
              </w:rPr>
              <w:fldChar w:fldCharType="begin"/>
            </w:r>
            <w:r>
              <w:rPr>
                <w:noProof/>
                <w:webHidden/>
              </w:rPr>
              <w:instrText xml:space="preserve"> PAGEREF _Toc220490243 \h </w:instrText>
            </w:r>
            <w:r>
              <w:rPr>
                <w:noProof/>
                <w:webHidden/>
              </w:rPr>
            </w:r>
            <w:r>
              <w:rPr>
                <w:noProof/>
                <w:webHidden/>
              </w:rPr>
              <w:fldChar w:fldCharType="separate"/>
            </w:r>
            <w:r>
              <w:rPr>
                <w:noProof/>
                <w:webHidden/>
              </w:rPr>
              <w:t>65</w:t>
            </w:r>
            <w:r>
              <w:rPr>
                <w:noProof/>
                <w:webHidden/>
              </w:rPr>
              <w:fldChar w:fldCharType="end"/>
            </w:r>
          </w:hyperlink>
        </w:p>
        <w:p w14:paraId="3EB1CAC5" w14:textId="43034FAE"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244" w:history="1">
            <w:r w:rsidRPr="001D4C20">
              <w:rPr>
                <w:rStyle w:val="Lienhypertexte"/>
                <w:noProof/>
              </w:rPr>
              <w:t>51.2 Cloisons fixes légères de doublage (et lambris) CCTB 01.02</w:t>
            </w:r>
            <w:r>
              <w:rPr>
                <w:noProof/>
                <w:webHidden/>
              </w:rPr>
              <w:tab/>
            </w:r>
            <w:r>
              <w:rPr>
                <w:noProof/>
                <w:webHidden/>
              </w:rPr>
              <w:fldChar w:fldCharType="begin"/>
            </w:r>
            <w:r>
              <w:rPr>
                <w:noProof/>
                <w:webHidden/>
              </w:rPr>
              <w:instrText xml:space="preserve"> PAGEREF _Toc220490244 \h </w:instrText>
            </w:r>
            <w:r>
              <w:rPr>
                <w:noProof/>
                <w:webHidden/>
              </w:rPr>
            </w:r>
            <w:r>
              <w:rPr>
                <w:noProof/>
                <w:webHidden/>
              </w:rPr>
              <w:fldChar w:fldCharType="separate"/>
            </w:r>
            <w:r>
              <w:rPr>
                <w:noProof/>
                <w:webHidden/>
              </w:rPr>
              <w:t>65</w:t>
            </w:r>
            <w:r>
              <w:rPr>
                <w:noProof/>
                <w:webHidden/>
              </w:rPr>
              <w:fldChar w:fldCharType="end"/>
            </w:r>
          </w:hyperlink>
        </w:p>
        <w:p w14:paraId="45BCB2B8" w14:textId="3FFC3C82"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245" w:history="1">
            <w:r w:rsidRPr="001D4C20">
              <w:rPr>
                <w:rStyle w:val="Lienhypertexte"/>
                <w:noProof/>
              </w:rPr>
              <w:t>51.21 Cloison fixe légère de doublage (et lambris) sur ossature CCTB 01.11</w:t>
            </w:r>
            <w:r>
              <w:rPr>
                <w:noProof/>
                <w:webHidden/>
              </w:rPr>
              <w:tab/>
            </w:r>
            <w:r>
              <w:rPr>
                <w:noProof/>
                <w:webHidden/>
              </w:rPr>
              <w:fldChar w:fldCharType="begin"/>
            </w:r>
            <w:r>
              <w:rPr>
                <w:noProof/>
                <w:webHidden/>
              </w:rPr>
              <w:instrText xml:space="preserve"> PAGEREF _Toc220490245 \h </w:instrText>
            </w:r>
            <w:r>
              <w:rPr>
                <w:noProof/>
                <w:webHidden/>
              </w:rPr>
            </w:r>
            <w:r>
              <w:rPr>
                <w:noProof/>
                <w:webHidden/>
              </w:rPr>
              <w:fldChar w:fldCharType="separate"/>
            </w:r>
            <w:r>
              <w:rPr>
                <w:noProof/>
                <w:webHidden/>
              </w:rPr>
              <w:t>65</w:t>
            </w:r>
            <w:r>
              <w:rPr>
                <w:noProof/>
                <w:webHidden/>
              </w:rPr>
              <w:fldChar w:fldCharType="end"/>
            </w:r>
          </w:hyperlink>
        </w:p>
        <w:p w14:paraId="73211DCC" w14:textId="78878017"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46" w:history="1">
            <w:r w:rsidRPr="001D4C20">
              <w:rPr>
                <w:rStyle w:val="Lienhypertexte"/>
                <w:noProof/>
              </w:rPr>
              <w:t>51.21.1 Parement en plaques/panneaux à base de plâtre CCTB 01.11</w:t>
            </w:r>
            <w:r>
              <w:rPr>
                <w:noProof/>
                <w:webHidden/>
              </w:rPr>
              <w:tab/>
            </w:r>
            <w:r>
              <w:rPr>
                <w:noProof/>
                <w:webHidden/>
              </w:rPr>
              <w:fldChar w:fldCharType="begin"/>
            </w:r>
            <w:r>
              <w:rPr>
                <w:noProof/>
                <w:webHidden/>
              </w:rPr>
              <w:instrText xml:space="preserve"> PAGEREF _Toc220490246 \h </w:instrText>
            </w:r>
            <w:r>
              <w:rPr>
                <w:noProof/>
                <w:webHidden/>
              </w:rPr>
            </w:r>
            <w:r>
              <w:rPr>
                <w:noProof/>
                <w:webHidden/>
              </w:rPr>
              <w:fldChar w:fldCharType="separate"/>
            </w:r>
            <w:r>
              <w:rPr>
                <w:noProof/>
                <w:webHidden/>
              </w:rPr>
              <w:t>65</w:t>
            </w:r>
            <w:r>
              <w:rPr>
                <w:noProof/>
                <w:webHidden/>
              </w:rPr>
              <w:fldChar w:fldCharType="end"/>
            </w:r>
          </w:hyperlink>
        </w:p>
        <w:p w14:paraId="58811CF5" w14:textId="0C7DEE9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47" w:history="1">
            <w:r w:rsidRPr="001D4C20">
              <w:rPr>
                <w:rStyle w:val="Lienhypertexte"/>
                <w:noProof/>
              </w:rPr>
              <w:t>51.21.1a Cloisons de doublage sur ossature / parement en plaques/panneaux à base de plâtre CCTB 01.12</w:t>
            </w:r>
            <w:r>
              <w:rPr>
                <w:noProof/>
                <w:webHidden/>
              </w:rPr>
              <w:tab/>
            </w:r>
            <w:r>
              <w:rPr>
                <w:noProof/>
                <w:webHidden/>
              </w:rPr>
              <w:fldChar w:fldCharType="begin"/>
            </w:r>
            <w:r>
              <w:rPr>
                <w:noProof/>
                <w:webHidden/>
              </w:rPr>
              <w:instrText xml:space="preserve"> PAGEREF _Toc220490247 \h </w:instrText>
            </w:r>
            <w:r>
              <w:rPr>
                <w:noProof/>
                <w:webHidden/>
              </w:rPr>
            </w:r>
            <w:r>
              <w:rPr>
                <w:noProof/>
                <w:webHidden/>
              </w:rPr>
              <w:fldChar w:fldCharType="separate"/>
            </w:r>
            <w:r>
              <w:rPr>
                <w:noProof/>
                <w:webHidden/>
              </w:rPr>
              <w:t>65</w:t>
            </w:r>
            <w:r>
              <w:rPr>
                <w:noProof/>
                <w:webHidden/>
              </w:rPr>
              <w:fldChar w:fldCharType="end"/>
            </w:r>
          </w:hyperlink>
        </w:p>
        <w:p w14:paraId="6C40DAF6" w14:textId="32EE3E15"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48" w:history="1">
            <w:r w:rsidRPr="001D4C20">
              <w:rPr>
                <w:rStyle w:val="Lienhypertexte"/>
                <w:noProof/>
              </w:rPr>
              <w:t>51.21.2 Parement en plaques/panneaux à base minérale autre que plâtre CCTB 01.02</w:t>
            </w:r>
            <w:r>
              <w:rPr>
                <w:noProof/>
                <w:webHidden/>
              </w:rPr>
              <w:tab/>
            </w:r>
            <w:r>
              <w:rPr>
                <w:noProof/>
                <w:webHidden/>
              </w:rPr>
              <w:fldChar w:fldCharType="begin"/>
            </w:r>
            <w:r>
              <w:rPr>
                <w:noProof/>
                <w:webHidden/>
              </w:rPr>
              <w:instrText xml:space="preserve"> PAGEREF _Toc220490248 \h </w:instrText>
            </w:r>
            <w:r>
              <w:rPr>
                <w:noProof/>
                <w:webHidden/>
              </w:rPr>
            </w:r>
            <w:r>
              <w:rPr>
                <w:noProof/>
                <w:webHidden/>
              </w:rPr>
              <w:fldChar w:fldCharType="separate"/>
            </w:r>
            <w:r>
              <w:rPr>
                <w:noProof/>
                <w:webHidden/>
              </w:rPr>
              <w:t>68</w:t>
            </w:r>
            <w:r>
              <w:rPr>
                <w:noProof/>
                <w:webHidden/>
              </w:rPr>
              <w:fldChar w:fldCharType="end"/>
            </w:r>
          </w:hyperlink>
        </w:p>
        <w:p w14:paraId="0F1D0828" w14:textId="6FD15E7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49" w:history="1">
            <w:r w:rsidRPr="001D4C20">
              <w:rPr>
                <w:rStyle w:val="Lienhypertexte"/>
                <w:noProof/>
              </w:rPr>
              <w:t>51.21.2a Cloisons de doublage sur ossature / parement en plaques/panneaux à base minérale autre que plâtre, à base de silico-calcaire CCTB 01.02</w:t>
            </w:r>
            <w:r>
              <w:rPr>
                <w:noProof/>
                <w:webHidden/>
              </w:rPr>
              <w:tab/>
            </w:r>
            <w:r>
              <w:rPr>
                <w:noProof/>
                <w:webHidden/>
              </w:rPr>
              <w:fldChar w:fldCharType="begin"/>
            </w:r>
            <w:r>
              <w:rPr>
                <w:noProof/>
                <w:webHidden/>
              </w:rPr>
              <w:instrText xml:space="preserve"> PAGEREF _Toc220490249 \h </w:instrText>
            </w:r>
            <w:r>
              <w:rPr>
                <w:noProof/>
                <w:webHidden/>
              </w:rPr>
            </w:r>
            <w:r>
              <w:rPr>
                <w:noProof/>
                <w:webHidden/>
              </w:rPr>
              <w:fldChar w:fldCharType="separate"/>
            </w:r>
            <w:r>
              <w:rPr>
                <w:noProof/>
                <w:webHidden/>
              </w:rPr>
              <w:t>68</w:t>
            </w:r>
            <w:r>
              <w:rPr>
                <w:noProof/>
                <w:webHidden/>
              </w:rPr>
              <w:fldChar w:fldCharType="end"/>
            </w:r>
          </w:hyperlink>
        </w:p>
        <w:p w14:paraId="67CE9283" w14:textId="0736746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50" w:history="1">
            <w:r w:rsidRPr="001D4C20">
              <w:rPr>
                <w:rStyle w:val="Lienhypertexte"/>
                <w:noProof/>
              </w:rPr>
              <w:t>51.21.2b Cloisons de doublage sur ossature / parement en plaques/panneaux à base minérale autre que plâtre, à base de fibro-ciment CCTB 01.02</w:t>
            </w:r>
            <w:r>
              <w:rPr>
                <w:noProof/>
                <w:webHidden/>
              </w:rPr>
              <w:tab/>
            </w:r>
            <w:r>
              <w:rPr>
                <w:noProof/>
                <w:webHidden/>
              </w:rPr>
              <w:fldChar w:fldCharType="begin"/>
            </w:r>
            <w:r>
              <w:rPr>
                <w:noProof/>
                <w:webHidden/>
              </w:rPr>
              <w:instrText xml:space="preserve"> PAGEREF _Toc220490250 \h </w:instrText>
            </w:r>
            <w:r>
              <w:rPr>
                <w:noProof/>
                <w:webHidden/>
              </w:rPr>
            </w:r>
            <w:r>
              <w:rPr>
                <w:noProof/>
                <w:webHidden/>
              </w:rPr>
              <w:fldChar w:fldCharType="separate"/>
            </w:r>
            <w:r>
              <w:rPr>
                <w:noProof/>
                <w:webHidden/>
              </w:rPr>
              <w:t>69</w:t>
            </w:r>
            <w:r>
              <w:rPr>
                <w:noProof/>
                <w:webHidden/>
              </w:rPr>
              <w:fldChar w:fldCharType="end"/>
            </w:r>
          </w:hyperlink>
        </w:p>
        <w:p w14:paraId="7AD79D54" w14:textId="0E174B7E"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51" w:history="1">
            <w:r w:rsidRPr="001D4C20">
              <w:rPr>
                <w:rStyle w:val="Lienhypertexte"/>
                <w:noProof/>
              </w:rPr>
              <w:t>51.21.3 Parement en plaques/panneaux à base de bois CCTB 01.02</w:t>
            </w:r>
            <w:r>
              <w:rPr>
                <w:noProof/>
                <w:webHidden/>
              </w:rPr>
              <w:tab/>
            </w:r>
            <w:r>
              <w:rPr>
                <w:noProof/>
                <w:webHidden/>
              </w:rPr>
              <w:fldChar w:fldCharType="begin"/>
            </w:r>
            <w:r>
              <w:rPr>
                <w:noProof/>
                <w:webHidden/>
              </w:rPr>
              <w:instrText xml:space="preserve"> PAGEREF _Toc220490251 \h </w:instrText>
            </w:r>
            <w:r>
              <w:rPr>
                <w:noProof/>
                <w:webHidden/>
              </w:rPr>
            </w:r>
            <w:r>
              <w:rPr>
                <w:noProof/>
                <w:webHidden/>
              </w:rPr>
              <w:fldChar w:fldCharType="separate"/>
            </w:r>
            <w:r>
              <w:rPr>
                <w:noProof/>
                <w:webHidden/>
              </w:rPr>
              <w:t>69</w:t>
            </w:r>
            <w:r>
              <w:rPr>
                <w:noProof/>
                <w:webHidden/>
              </w:rPr>
              <w:fldChar w:fldCharType="end"/>
            </w:r>
          </w:hyperlink>
        </w:p>
        <w:p w14:paraId="3CBB9561" w14:textId="5D0310A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52" w:history="1">
            <w:r w:rsidRPr="001D4C20">
              <w:rPr>
                <w:rStyle w:val="Lienhypertexte"/>
                <w:noProof/>
              </w:rPr>
              <w:t>51.21.3a Cloisons de doublage sur ossature / parement en bois massif CCTB 01.02</w:t>
            </w:r>
            <w:r>
              <w:rPr>
                <w:noProof/>
                <w:webHidden/>
              </w:rPr>
              <w:tab/>
            </w:r>
            <w:r>
              <w:rPr>
                <w:noProof/>
                <w:webHidden/>
              </w:rPr>
              <w:fldChar w:fldCharType="begin"/>
            </w:r>
            <w:r>
              <w:rPr>
                <w:noProof/>
                <w:webHidden/>
              </w:rPr>
              <w:instrText xml:space="preserve"> PAGEREF _Toc220490252 \h </w:instrText>
            </w:r>
            <w:r>
              <w:rPr>
                <w:noProof/>
                <w:webHidden/>
              </w:rPr>
            </w:r>
            <w:r>
              <w:rPr>
                <w:noProof/>
                <w:webHidden/>
              </w:rPr>
              <w:fldChar w:fldCharType="separate"/>
            </w:r>
            <w:r>
              <w:rPr>
                <w:noProof/>
                <w:webHidden/>
              </w:rPr>
              <w:t>69</w:t>
            </w:r>
            <w:r>
              <w:rPr>
                <w:noProof/>
                <w:webHidden/>
              </w:rPr>
              <w:fldChar w:fldCharType="end"/>
            </w:r>
          </w:hyperlink>
        </w:p>
        <w:p w14:paraId="035E7971" w14:textId="6EB14AF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53" w:history="1">
            <w:r w:rsidRPr="001D4C20">
              <w:rPr>
                <w:rStyle w:val="Lienhypertexte"/>
                <w:noProof/>
              </w:rPr>
              <w:t>51.21.3b Cloisons de doublage sur ossature / parement en plaques/panneaux à base de bois CCTB 01.12</w:t>
            </w:r>
            <w:r>
              <w:rPr>
                <w:noProof/>
                <w:webHidden/>
              </w:rPr>
              <w:tab/>
            </w:r>
            <w:r>
              <w:rPr>
                <w:noProof/>
                <w:webHidden/>
              </w:rPr>
              <w:fldChar w:fldCharType="begin"/>
            </w:r>
            <w:r>
              <w:rPr>
                <w:noProof/>
                <w:webHidden/>
              </w:rPr>
              <w:instrText xml:space="preserve"> PAGEREF _Toc220490253 \h </w:instrText>
            </w:r>
            <w:r>
              <w:rPr>
                <w:noProof/>
                <w:webHidden/>
              </w:rPr>
            </w:r>
            <w:r>
              <w:rPr>
                <w:noProof/>
                <w:webHidden/>
              </w:rPr>
              <w:fldChar w:fldCharType="separate"/>
            </w:r>
            <w:r>
              <w:rPr>
                <w:noProof/>
                <w:webHidden/>
              </w:rPr>
              <w:t>69</w:t>
            </w:r>
            <w:r>
              <w:rPr>
                <w:noProof/>
                <w:webHidden/>
              </w:rPr>
              <w:fldChar w:fldCharType="end"/>
            </w:r>
          </w:hyperlink>
        </w:p>
        <w:p w14:paraId="5A65974D" w14:textId="6D54E01E"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54" w:history="1">
            <w:r w:rsidRPr="001D4C20">
              <w:rPr>
                <w:rStyle w:val="Lienhypertexte"/>
                <w:noProof/>
              </w:rPr>
              <w:t>51.21.4 Parement en plaques/panneaux métalliques CCTB 01.02</w:t>
            </w:r>
            <w:r>
              <w:rPr>
                <w:noProof/>
                <w:webHidden/>
              </w:rPr>
              <w:tab/>
            </w:r>
            <w:r>
              <w:rPr>
                <w:noProof/>
                <w:webHidden/>
              </w:rPr>
              <w:fldChar w:fldCharType="begin"/>
            </w:r>
            <w:r>
              <w:rPr>
                <w:noProof/>
                <w:webHidden/>
              </w:rPr>
              <w:instrText xml:space="preserve"> PAGEREF _Toc220490254 \h </w:instrText>
            </w:r>
            <w:r>
              <w:rPr>
                <w:noProof/>
                <w:webHidden/>
              </w:rPr>
            </w:r>
            <w:r>
              <w:rPr>
                <w:noProof/>
                <w:webHidden/>
              </w:rPr>
              <w:fldChar w:fldCharType="separate"/>
            </w:r>
            <w:r>
              <w:rPr>
                <w:noProof/>
                <w:webHidden/>
              </w:rPr>
              <w:t>70</w:t>
            </w:r>
            <w:r>
              <w:rPr>
                <w:noProof/>
                <w:webHidden/>
              </w:rPr>
              <w:fldChar w:fldCharType="end"/>
            </w:r>
          </w:hyperlink>
        </w:p>
        <w:p w14:paraId="066A481B" w14:textId="254A93D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55" w:history="1">
            <w:r w:rsidRPr="001D4C20">
              <w:rPr>
                <w:rStyle w:val="Lienhypertexte"/>
                <w:noProof/>
              </w:rPr>
              <w:t>51.21.4a Cloisons de doublage sur ossature / parement en plaques/panneaux métalliques/panneaux en acier CCTB 01.02</w:t>
            </w:r>
            <w:r>
              <w:rPr>
                <w:noProof/>
                <w:webHidden/>
              </w:rPr>
              <w:tab/>
            </w:r>
            <w:r>
              <w:rPr>
                <w:noProof/>
                <w:webHidden/>
              </w:rPr>
              <w:fldChar w:fldCharType="begin"/>
            </w:r>
            <w:r>
              <w:rPr>
                <w:noProof/>
                <w:webHidden/>
              </w:rPr>
              <w:instrText xml:space="preserve"> PAGEREF _Toc220490255 \h </w:instrText>
            </w:r>
            <w:r>
              <w:rPr>
                <w:noProof/>
                <w:webHidden/>
              </w:rPr>
            </w:r>
            <w:r>
              <w:rPr>
                <w:noProof/>
                <w:webHidden/>
              </w:rPr>
              <w:fldChar w:fldCharType="separate"/>
            </w:r>
            <w:r>
              <w:rPr>
                <w:noProof/>
                <w:webHidden/>
              </w:rPr>
              <w:t>70</w:t>
            </w:r>
            <w:r>
              <w:rPr>
                <w:noProof/>
                <w:webHidden/>
              </w:rPr>
              <w:fldChar w:fldCharType="end"/>
            </w:r>
          </w:hyperlink>
        </w:p>
        <w:p w14:paraId="365CF333" w14:textId="0C92308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56" w:history="1">
            <w:r w:rsidRPr="001D4C20">
              <w:rPr>
                <w:rStyle w:val="Lienhypertexte"/>
                <w:noProof/>
              </w:rPr>
              <w:t>51.21.4b Cloisons de doublage sur ossature / parement en plaques/panneaux métalliques/panneaux en aluminium CCTB 01.02</w:t>
            </w:r>
            <w:r>
              <w:rPr>
                <w:noProof/>
                <w:webHidden/>
              </w:rPr>
              <w:tab/>
            </w:r>
            <w:r>
              <w:rPr>
                <w:noProof/>
                <w:webHidden/>
              </w:rPr>
              <w:fldChar w:fldCharType="begin"/>
            </w:r>
            <w:r>
              <w:rPr>
                <w:noProof/>
                <w:webHidden/>
              </w:rPr>
              <w:instrText xml:space="preserve"> PAGEREF _Toc220490256 \h </w:instrText>
            </w:r>
            <w:r>
              <w:rPr>
                <w:noProof/>
                <w:webHidden/>
              </w:rPr>
            </w:r>
            <w:r>
              <w:rPr>
                <w:noProof/>
                <w:webHidden/>
              </w:rPr>
              <w:fldChar w:fldCharType="separate"/>
            </w:r>
            <w:r>
              <w:rPr>
                <w:noProof/>
                <w:webHidden/>
              </w:rPr>
              <w:t>70</w:t>
            </w:r>
            <w:r>
              <w:rPr>
                <w:noProof/>
                <w:webHidden/>
              </w:rPr>
              <w:fldChar w:fldCharType="end"/>
            </w:r>
          </w:hyperlink>
        </w:p>
        <w:p w14:paraId="26EAB8A1" w14:textId="7DA749A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57" w:history="1">
            <w:r w:rsidRPr="001D4C20">
              <w:rPr>
                <w:rStyle w:val="Lienhypertexte"/>
                <w:noProof/>
              </w:rPr>
              <w:t>51.21.4c Cloisons de doublage sur ossature / parement en plaques/panneaux métalliques/panneaux en cuivre CCTB 01.02</w:t>
            </w:r>
            <w:r>
              <w:rPr>
                <w:noProof/>
                <w:webHidden/>
              </w:rPr>
              <w:tab/>
            </w:r>
            <w:r>
              <w:rPr>
                <w:noProof/>
                <w:webHidden/>
              </w:rPr>
              <w:fldChar w:fldCharType="begin"/>
            </w:r>
            <w:r>
              <w:rPr>
                <w:noProof/>
                <w:webHidden/>
              </w:rPr>
              <w:instrText xml:space="preserve"> PAGEREF _Toc220490257 \h </w:instrText>
            </w:r>
            <w:r>
              <w:rPr>
                <w:noProof/>
                <w:webHidden/>
              </w:rPr>
            </w:r>
            <w:r>
              <w:rPr>
                <w:noProof/>
                <w:webHidden/>
              </w:rPr>
              <w:fldChar w:fldCharType="separate"/>
            </w:r>
            <w:r>
              <w:rPr>
                <w:noProof/>
                <w:webHidden/>
              </w:rPr>
              <w:t>70</w:t>
            </w:r>
            <w:r>
              <w:rPr>
                <w:noProof/>
                <w:webHidden/>
              </w:rPr>
              <w:fldChar w:fldCharType="end"/>
            </w:r>
          </w:hyperlink>
        </w:p>
        <w:p w14:paraId="15B9CECF" w14:textId="3349AD0D"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58" w:history="1">
            <w:r w:rsidRPr="001D4C20">
              <w:rPr>
                <w:rStyle w:val="Lienhypertexte"/>
                <w:noProof/>
              </w:rPr>
              <w:t>51.21.5 Parement en plaques/panneaux synthétiques ou composites CCTB 01.02</w:t>
            </w:r>
            <w:r>
              <w:rPr>
                <w:noProof/>
                <w:webHidden/>
              </w:rPr>
              <w:tab/>
            </w:r>
            <w:r>
              <w:rPr>
                <w:noProof/>
                <w:webHidden/>
              </w:rPr>
              <w:fldChar w:fldCharType="begin"/>
            </w:r>
            <w:r>
              <w:rPr>
                <w:noProof/>
                <w:webHidden/>
              </w:rPr>
              <w:instrText xml:space="preserve"> PAGEREF _Toc220490258 \h </w:instrText>
            </w:r>
            <w:r>
              <w:rPr>
                <w:noProof/>
                <w:webHidden/>
              </w:rPr>
            </w:r>
            <w:r>
              <w:rPr>
                <w:noProof/>
                <w:webHidden/>
              </w:rPr>
              <w:fldChar w:fldCharType="separate"/>
            </w:r>
            <w:r>
              <w:rPr>
                <w:noProof/>
                <w:webHidden/>
              </w:rPr>
              <w:t>70</w:t>
            </w:r>
            <w:r>
              <w:rPr>
                <w:noProof/>
                <w:webHidden/>
              </w:rPr>
              <w:fldChar w:fldCharType="end"/>
            </w:r>
          </w:hyperlink>
        </w:p>
        <w:p w14:paraId="143F9845" w14:textId="5A2C273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59" w:history="1">
            <w:r w:rsidRPr="001D4C20">
              <w:rPr>
                <w:rStyle w:val="Lienhypertexte"/>
                <w:noProof/>
              </w:rPr>
              <w:t>51.21.5a Cloisons de doublage sur ossature / parement en plaques/panneaux synthétiques ou composites CCTB 01.02</w:t>
            </w:r>
            <w:r>
              <w:rPr>
                <w:noProof/>
                <w:webHidden/>
              </w:rPr>
              <w:tab/>
            </w:r>
            <w:r>
              <w:rPr>
                <w:noProof/>
                <w:webHidden/>
              </w:rPr>
              <w:fldChar w:fldCharType="begin"/>
            </w:r>
            <w:r>
              <w:rPr>
                <w:noProof/>
                <w:webHidden/>
              </w:rPr>
              <w:instrText xml:space="preserve"> PAGEREF _Toc220490259 \h </w:instrText>
            </w:r>
            <w:r>
              <w:rPr>
                <w:noProof/>
                <w:webHidden/>
              </w:rPr>
            </w:r>
            <w:r>
              <w:rPr>
                <w:noProof/>
                <w:webHidden/>
              </w:rPr>
              <w:fldChar w:fldCharType="separate"/>
            </w:r>
            <w:r>
              <w:rPr>
                <w:noProof/>
                <w:webHidden/>
              </w:rPr>
              <w:t>70</w:t>
            </w:r>
            <w:r>
              <w:rPr>
                <w:noProof/>
                <w:webHidden/>
              </w:rPr>
              <w:fldChar w:fldCharType="end"/>
            </w:r>
          </w:hyperlink>
        </w:p>
        <w:p w14:paraId="66C143F7" w14:textId="1D881BC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60" w:history="1">
            <w:r w:rsidRPr="001D4C20">
              <w:rPr>
                <w:rStyle w:val="Lienhypertexte"/>
                <w:noProof/>
              </w:rPr>
              <w:t>51.21.6 Parement en plaques/panneaux à base de verre CCTB 01.02</w:t>
            </w:r>
            <w:r>
              <w:rPr>
                <w:noProof/>
                <w:webHidden/>
              </w:rPr>
              <w:tab/>
            </w:r>
            <w:r>
              <w:rPr>
                <w:noProof/>
                <w:webHidden/>
              </w:rPr>
              <w:fldChar w:fldCharType="begin"/>
            </w:r>
            <w:r>
              <w:rPr>
                <w:noProof/>
                <w:webHidden/>
              </w:rPr>
              <w:instrText xml:space="preserve"> PAGEREF _Toc220490260 \h </w:instrText>
            </w:r>
            <w:r>
              <w:rPr>
                <w:noProof/>
                <w:webHidden/>
              </w:rPr>
            </w:r>
            <w:r>
              <w:rPr>
                <w:noProof/>
                <w:webHidden/>
              </w:rPr>
              <w:fldChar w:fldCharType="separate"/>
            </w:r>
            <w:r>
              <w:rPr>
                <w:noProof/>
                <w:webHidden/>
              </w:rPr>
              <w:t>70</w:t>
            </w:r>
            <w:r>
              <w:rPr>
                <w:noProof/>
                <w:webHidden/>
              </w:rPr>
              <w:fldChar w:fldCharType="end"/>
            </w:r>
          </w:hyperlink>
        </w:p>
        <w:p w14:paraId="1F593DB7" w14:textId="24EE5F1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61" w:history="1">
            <w:r w:rsidRPr="001D4C20">
              <w:rPr>
                <w:rStyle w:val="Lienhypertexte"/>
                <w:noProof/>
              </w:rPr>
              <w:t>51.21.6a Cloisons de doublage sur ossature / parement en plaques/panneaux en verre CCTB 01.10</w:t>
            </w:r>
            <w:r>
              <w:rPr>
                <w:noProof/>
                <w:webHidden/>
              </w:rPr>
              <w:tab/>
            </w:r>
            <w:r>
              <w:rPr>
                <w:noProof/>
                <w:webHidden/>
              </w:rPr>
              <w:fldChar w:fldCharType="begin"/>
            </w:r>
            <w:r>
              <w:rPr>
                <w:noProof/>
                <w:webHidden/>
              </w:rPr>
              <w:instrText xml:space="preserve"> PAGEREF _Toc220490261 \h </w:instrText>
            </w:r>
            <w:r>
              <w:rPr>
                <w:noProof/>
                <w:webHidden/>
              </w:rPr>
            </w:r>
            <w:r>
              <w:rPr>
                <w:noProof/>
                <w:webHidden/>
              </w:rPr>
              <w:fldChar w:fldCharType="separate"/>
            </w:r>
            <w:r>
              <w:rPr>
                <w:noProof/>
                <w:webHidden/>
              </w:rPr>
              <w:t>70</w:t>
            </w:r>
            <w:r>
              <w:rPr>
                <w:noProof/>
                <w:webHidden/>
              </w:rPr>
              <w:fldChar w:fldCharType="end"/>
            </w:r>
          </w:hyperlink>
        </w:p>
        <w:p w14:paraId="3DA146EF" w14:textId="310A8E1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62" w:history="1">
            <w:r w:rsidRPr="001D4C20">
              <w:rPr>
                <w:rStyle w:val="Lienhypertexte"/>
                <w:noProof/>
              </w:rPr>
              <w:t>51.21.6b Cloisons de doublage sur ossature / parement en plaques/panneaux en miroir CCTB 01.10</w:t>
            </w:r>
            <w:r>
              <w:rPr>
                <w:noProof/>
                <w:webHidden/>
              </w:rPr>
              <w:tab/>
            </w:r>
            <w:r>
              <w:rPr>
                <w:noProof/>
                <w:webHidden/>
              </w:rPr>
              <w:fldChar w:fldCharType="begin"/>
            </w:r>
            <w:r>
              <w:rPr>
                <w:noProof/>
                <w:webHidden/>
              </w:rPr>
              <w:instrText xml:space="preserve"> PAGEREF _Toc220490262 \h </w:instrText>
            </w:r>
            <w:r>
              <w:rPr>
                <w:noProof/>
                <w:webHidden/>
              </w:rPr>
            </w:r>
            <w:r>
              <w:rPr>
                <w:noProof/>
                <w:webHidden/>
              </w:rPr>
              <w:fldChar w:fldCharType="separate"/>
            </w:r>
            <w:r>
              <w:rPr>
                <w:noProof/>
                <w:webHidden/>
              </w:rPr>
              <w:t>71</w:t>
            </w:r>
            <w:r>
              <w:rPr>
                <w:noProof/>
                <w:webHidden/>
              </w:rPr>
              <w:fldChar w:fldCharType="end"/>
            </w:r>
          </w:hyperlink>
        </w:p>
        <w:p w14:paraId="6F2B142A" w14:textId="2D920191"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63" w:history="1">
            <w:r w:rsidRPr="001D4C20">
              <w:rPr>
                <w:rStyle w:val="Lienhypertexte"/>
                <w:noProof/>
              </w:rPr>
              <w:t>51.21.7 Parement en textile CCTB 01.02</w:t>
            </w:r>
            <w:r>
              <w:rPr>
                <w:noProof/>
                <w:webHidden/>
              </w:rPr>
              <w:tab/>
            </w:r>
            <w:r>
              <w:rPr>
                <w:noProof/>
                <w:webHidden/>
              </w:rPr>
              <w:fldChar w:fldCharType="begin"/>
            </w:r>
            <w:r>
              <w:rPr>
                <w:noProof/>
                <w:webHidden/>
              </w:rPr>
              <w:instrText xml:space="preserve"> PAGEREF _Toc220490263 \h </w:instrText>
            </w:r>
            <w:r>
              <w:rPr>
                <w:noProof/>
                <w:webHidden/>
              </w:rPr>
            </w:r>
            <w:r>
              <w:rPr>
                <w:noProof/>
                <w:webHidden/>
              </w:rPr>
              <w:fldChar w:fldCharType="separate"/>
            </w:r>
            <w:r>
              <w:rPr>
                <w:noProof/>
                <w:webHidden/>
              </w:rPr>
              <w:t>71</w:t>
            </w:r>
            <w:r>
              <w:rPr>
                <w:noProof/>
                <w:webHidden/>
              </w:rPr>
              <w:fldChar w:fldCharType="end"/>
            </w:r>
          </w:hyperlink>
        </w:p>
        <w:p w14:paraId="62B18B30" w14:textId="6A64227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64" w:history="1">
            <w:r w:rsidRPr="001D4C20">
              <w:rPr>
                <w:rStyle w:val="Lienhypertexte"/>
                <w:noProof/>
              </w:rPr>
              <w:t>51.21.7a Cloisons de doublage sur ossature / parement en textile CCTB 01.02</w:t>
            </w:r>
            <w:r>
              <w:rPr>
                <w:noProof/>
                <w:webHidden/>
              </w:rPr>
              <w:tab/>
            </w:r>
            <w:r>
              <w:rPr>
                <w:noProof/>
                <w:webHidden/>
              </w:rPr>
              <w:fldChar w:fldCharType="begin"/>
            </w:r>
            <w:r>
              <w:rPr>
                <w:noProof/>
                <w:webHidden/>
              </w:rPr>
              <w:instrText xml:space="preserve"> PAGEREF _Toc220490264 \h </w:instrText>
            </w:r>
            <w:r>
              <w:rPr>
                <w:noProof/>
                <w:webHidden/>
              </w:rPr>
            </w:r>
            <w:r>
              <w:rPr>
                <w:noProof/>
                <w:webHidden/>
              </w:rPr>
              <w:fldChar w:fldCharType="separate"/>
            </w:r>
            <w:r>
              <w:rPr>
                <w:noProof/>
                <w:webHidden/>
              </w:rPr>
              <w:t>71</w:t>
            </w:r>
            <w:r>
              <w:rPr>
                <w:noProof/>
                <w:webHidden/>
              </w:rPr>
              <w:fldChar w:fldCharType="end"/>
            </w:r>
          </w:hyperlink>
        </w:p>
        <w:p w14:paraId="50359B0F" w14:textId="76D119AA"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65" w:history="1">
            <w:r w:rsidRPr="001D4C20">
              <w:rPr>
                <w:rStyle w:val="Lienhypertexte"/>
                <w:noProof/>
              </w:rPr>
              <w:t>51.21.8 Parement mixte CCTB 01.02</w:t>
            </w:r>
            <w:r>
              <w:rPr>
                <w:noProof/>
                <w:webHidden/>
              </w:rPr>
              <w:tab/>
            </w:r>
            <w:r>
              <w:rPr>
                <w:noProof/>
                <w:webHidden/>
              </w:rPr>
              <w:fldChar w:fldCharType="begin"/>
            </w:r>
            <w:r>
              <w:rPr>
                <w:noProof/>
                <w:webHidden/>
              </w:rPr>
              <w:instrText xml:space="preserve"> PAGEREF _Toc220490265 \h </w:instrText>
            </w:r>
            <w:r>
              <w:rPr>
                <w:noProof/>
                <w:webHidden/>
              </w:rPr>
            </w:r>
            <w:r>
              <w:rPr>
                <w:noProof/>
                <w:webHidden/>
              </w:rPr>
              <w:fldChar w:fldCharType="separate"/>
            </w:r>
            <w:r>
              <w:rPr>
                <w:noProof/>
                <w:webHidden/>
              </w:rPr>
              <w:t>71</w:t>
            </w:r>
            <w:r>
              <w:rPr>
                <w:noProof/>
                <w:webHidden/>
              </w:rPr>
              <w:fldChar w:fldCharType="end"/>
            </w:r>
          </w:hyperlink>
        </w:p>
        <w:p w14:paraId="338A7A7F" w14:textId="7D02D94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66" w:history="1">
            <w:r w:rsidRPr="001D4C20">
              <w:rPr>
                <w:rStyle w:val="Lienhypertexte"/>
                <w:noProof/>
              </w:rPr>
              <w:t>51.21.8a Cloisons de doublage sur ossature / parement mixte CCTB 01.02</w:t>
            </w:r>
            <w:r>
              <w:rPr>
                <w:noProof/>
                <w:webHidden/>
              </w:rPr>
              <w:tab/>
            </w:r>
            <w:r>
              <w:rPr>
                <w:noProof/>
                <w:webHidden/>
              </w:rPr>
              <w:fldChar w:fldCharType="begin"/>
            </w:r>
            <w:r>
              <w:rPr>
                <w:noProof/>
                <w:webHidden/>
              </w:rPr>
              <w:instrText xml:space="preserve"> PAGEREF _Toc220490266 \h </w:instrText>
            </w:r>
            <w:r>
              <w:rPr>
                <w:noProof/>
                <w:webHidden/>
              </w:rPr>
            </w:r>
            <w:r>
              <w:rPr>
                <w:noProof/>
                <w:webHidden/>
              </w:rPr>
              <w:fldChar w:fldCharType="separate"/>
            </w:r>
            <w:r>
              <w:rPr>
                <w:noProof/>
                <w:webHidden/>
              </w:rPr>
              <w:t>71</w:t>
            </w:r>
            <w:r>
              <w:rPr>
                <w:noProof/>
                <w:webHidden/>
              </w:rPr>
              <w:fldChar w:fldCharType="end"/>
            </w:r>
          </w:hyperlink>
        </w:p>
        <w:p w14:paraId="628A3120" w14:textId="2881C0D1"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267" w:history="1">
            <w:r w:rsidRPr="001D4C20">
              <w:rPr>
                <w:rStyle w:val="Lienhypertexte"/>
                <w:noProof/>
              </w:rPr>
              <w:t>51.22 Cloison fixe légère de doublage en panneaux fixés sans ossature CCTB 01.11</w:t>
            </w:r>
            <w:r>
              <w:rPr>
                <w:noProof/>
                <w:webHidden/>
              </w:rPr>
              <w:tab/>
            </w:r>
            <w:r>
              <w:rPr>
                <w:noProof/>
                <w:webHidden/>
              </w:rPr>
              <w:fldChar w:fldCharType="begin"/>
            </w:r>
            <w:r>
              <w:rPr>
                <w:noProof/>
                <w:webHidden/>
              </w:rPr>
              <w:instrText xml:space="preserve"> PAGEREF _Toc220490267 \h </w:instrText>
            </w:r>
            <w:r>
              <w:rPr>
                <w:noProof/>
                <w:webHidden/>
              </w:rPr>
            </w:r>
            <w:r>
              <w:rPr>
                <w:noProof/>
                <w:webHidden/>
              </w:rPr>
              <w:fldChar w:fldCharType="separate"/>
            </w:r>
            <w:r>
              <w:rPr>
                <w:noProof/>
                <w:webHidden/>
              </w:rPr>
              <w:t>71</w:t>
            </w:r>
            <w:r>
              <w:rPr>
                <w:noProof/>
                <w:webHidden/>
              </w:rPr>
              <w:fldChar w:fldCharType="end"/>
            </w:r>
          </w:hyperlink>
        </w:p>
        <w:p w14:paraId="6A8B9467" w14:textId="5D5ABC5D"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68" w:history="1">
            <w:r w:rsidRPr="001D4C20">
              <w:rPr>
                <w:rStyle w:val="Lienhypertexte"/>
                <w:noProof/>
              </w:rPr>
              <w:t>51.22.1 Parement en plaques/panneaux à base de plâtre CCTB 01.02</w:t>
            </w:r>
            <w:r>
              <w:rPr>
                <w:noProof/>
                <w:webHidden/>
              </w:rPr>
              <w:tab/>
            </w:r>
            <w:r>
              <w:rPr>
                <w:noProof/>
                <w:webHidden/>
              </w:rPr>
              <w:fldChar w:fldCharType="begin"/>
            </w:r>
            <w:r>
              <w:rPr>
                <w:noProof/>
                <w:webHidden/>
              </w:rPr>
              <w:instrText xml:space="preserve"> PAGEREF _Toc220490268 \h </w:instrText>
            </w:r>
            <w:r>
              <w:rPr>
                <w:noProof/>
                <w:webHidden/>
              </w:rPr>
            </w:r>
            <w:r>
              <w:rPr>
                <w:noProof/>
                <w:webHidden/>
              </w:rPr>
              <w:fldChar w:fldCharType="separate"/>
            </w:r>
            <w:r>
              <w:rPr>
                <w:noProof/>
                <w:webHidden/>
              </w:rPr>
              <w:t>72</w:t>
            </w:r>
            <w:r>
              <w:rPr>
                <w:noProof/>
                <w:webHidden/>
              </w:rPr>
              <w:fldChar w:fldCharType="end"/>
            </w:r>
          </w:hyperlink>
        </w:p>
        <w:p w14:paraId="07C93652" w14:textId="7A6930A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69" w:history="1">
            <w:r w:rsidRPr="001D4C20">
              <w:rPr>
                <w:rStyle w:val="Lienhypertexte"/>
                <w:noProof/>
              </w:rPr>
              <w:t>51.22.1a Cloisons de doublage sans ossature / parement en plaques/panneaux à base de plâtre CCTB 01.11</w:t>
            </w:r>
            <w:r>
              <w:rPr>
                <w:noProof/>
                <w:webHidden/>
              </w:rPr>
              <w:tab/>
            </w:r>
            <w:r>
              <w:rPr>
                <w:noProof/>
                <w:webHidden/>
              </w:rPr>
              <w:fldChar w:fldCharType="begin"/>
            </w:r>
            <w:r>
              <w:rPr>
                <w:noProof/>
                <w:webHidden/>
              </w:rPr>
              <w:instrText xml:space="preserve"> PAGEREF _Toc220490269 \h </w:instrText>
            </w:r>
            <w:r>
              <w:rPr>
                <w:noProof/>
                <w:webHidden/>
              </w:rPr>
            </w:r>
            <w:r>
              <w:rPr>
                <w:noProof/>
                <w:webHidden/>
              </w:rPr>
              <w:fldChar w:fldCharType="separate"/>
            </w:r>
            <w:r>
              <w:rPr>
                <w:noProof/>
                <w:webHidden/>
              </w:rPr>
              <w:t>72</w:t>
            </w:r>
            <w:r>
              <w:rPr>
                <w:noProof/>
                <w:webHidden/>
              </w:rPr>
              <w:fldChar w:fldCharType="end"/>
            </w:r>
          </w:hyperlink>
        </w:p>
        <w:p w14:paraId="4D35A7C7" w14:textId="4FDE41B7"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70" w:history="1">
            <w:r w:rsidRPr="001D4C20">
              <w:rPr>
                <w:rStyle w:val="Lienhypertexte"/>
                <w:noProof/>
              </w:rPr>
              <w:t>51.22.2 Parement en plaques/panneaux à base minérale autre que plâtre CCTB 01.02</w:t>
            </w:r>
            <w:r>
              <w:rPr>
                <w:noProof/>
                <w:webHidden/>
              </w:rPr>
              <w:tab/>
            </w:r>
            <w:r>
              <w:rPr>
                <w:noProof/>
                <w:webHidden/>
              </w:rPr>
              <w:fldChar w:fldCharType="begin"/>
            </w:r>
            <w:r>
              <w:rPr>
                <w:noProof/>
                <w:webHidden/>
              </w:rPr>
              <w:instrText xml:space="preserve"> PAGEREF _Toc220490270 \h </w:instrText>
            </w:r>
            <w:r>
              <w:rPr>
                <w:noProof/>
                <w:webHidden/>
              </w:rPr>
            </w:r>
            <w:r>
              <w:rPr>
                <w:noProof/>
                <w:webHidden/>
              </w:rPr>
              <w:fldChar w:fldCharType="separate"/>
            </w:r>
            <w:r>
              <w:rPr>
                <w:noProof/>
                <w:webHidden/>
              </w:rPr>
              <w:t>74</w:t>
            </w:r>
            <w:r>
              <w:rPr>
                <w:noProof/>
                <w:webHidden/>
              </w:rPr>
              <w:fldChar w:fldCharType="end"/>
            </w:r>
          </w:hyperlink>
        </w:p>
        <w:p w14:paraId="1E725BC8" w14:textId="40E10CD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71" w:history="1">
            <w:r w:rsidRPr="001D4C20">
              <w:rPr>
                <w:rStyle w:val="Lienhypertexte"/>
                <w:noProof/>
              </w:rPr>
              <w:t>51.22.2a Cloisons de doublage sans ossature / parement en plaques/panneaux à base minérale autre que plâtre, à base de silico-calcaire CCTB 01.02</w:t>
            </w:r>
            <w:r>
              <w:rPr>
                <w:noProof/>
                <w:webHidden/>
              </w:rPr>
              <w:tab/>
            </w:r>
            <w:r>
              <w:rPr>
                <w:noProof/>
                <w:webHidden/>
              </w:rPr>
              <w:fldChar w:fldCharType="begin"/>
            </w:r>
            <w:r>
              <w:rPr>
                <w:noProof/>
                <w:webHidden/>
              </w:rPr>
              <w:instrText xml:space="preserve"> PAGEREF _Toc220490271 \h </w:instrText>
            </w:r>
            <w:r>
              <w:rPr>
                <w:noProof/>
                <w:webHidden/>
              </w:rPr>
            </w:r>
            <w:r>
              <w:rPr>
                <w:noProof/>
                <w:webHidden/>
              </w:rPr>
              <w:fldChar w:fldCharType="separate"/>
            </w:r>
            <w:r>
              <w:rPr>
                <w:noProof/>
                <w:webHidden/>
              </w:rPr>
              <w:t>74</w:t>
            </w:r>
            <w:r>
              <w:rPr>
                <w:noProof/>
                <w:webHidden/>
              </w:rPr>
              <w:fldChar w:fldCharType="end"/>
            </w:r>
          </w:hyperlink>
        </w:p>
        <w:p w14:paraId="2437BD02" w14:textId="22D5E73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72" w:history="1">
            <w:r w:rsidRPr="001D4C20">
              <w:rPr>
                <w:rStyle w:val="Lienhypertexte"/>
                <w:noProof/>
              </w:rPr>
              <w:t>51.22.2b Cloisons de doublage sans ossature / parement en plaques/panneaux à base minérale autre que plâtre, à base de fibro-ciment CCTB 01.02</w:t>
            </w:r>
            <w:r>
              <w:rPr>
                <w:noProof/>
                <w:webHidden/>
              </w:rPr>
              <w:tab/>
            </w:r>
            <w:r>
              <w:rPr>
                <w:noProof/>
                <w:webHidden/>
              </w:rPr>
              <w:fldChar w:fldCharType="begin"/>
            </w:r>
            <w:r>
              <w:rPr>
                <w:noProof/>
                <w:webHidden/>
              </w:rPr>
              <w:instrText xml:space="preserve"> PAGEREF _Toc220490272 \h </w:instrText>
            </w:r>
            <w:r>
              <w:rPr>
                <w:noProof/>
                <w:webHidden/>
              </w:rPr>
            </w:r>
            <w:r>
              <w:rPr>
                <w:noProof/>
                <w:webHidden/>
              </w:rPr>
              <w:fldChar w:fldCharType="separate"/>
            </w:r>
            <w:r>
              <w:rPr>
                <w:noProof/>
                <w:webHidden/>
              </w:rPr>
              <w:t>75</w:t>
            </w:r>
            <w:r>
              <w:rPr>
                <w:noProof/>
                <w:webHidden/>
              </w:rPr>
              <w:fldChar w:fldCharType="end"/>
            </w:r>
          </w:hyperlink>
        </w:p>
        <w:p w14:paraId="095AB5CB" w14:textId="25C7ADB2"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73" w:history="1">
            <w:r w:rsidRPr="001D4C20">
              <w:rPr>
                <w:rStyle w:val="Lienhypertexte"/>
                <w:noProof/>
              </w:rPr>
              <w:t>51.22.3 Parement en plaques/panneaux à base de bois CCTB 01.02</w:t>
            </w:r>
            <w:r>
              <w:rPr>
                <w:noProof/>
                <w:webHidden/>
              </w:rPr>
              <w:tab/>
            </w:r>
            <w:r>
              <w:rPr>
                <w:noProof/>
                <w:webHidden/>
              </w:rPr>
              <w:fldChar w:fldCharType="begin"/>
            </w:r>
            <w:r>
              <w:rPr>
                <w:noProof/>
                <w:webHidden/>
              </w:rPr>
              <w:instrText xml:space="preserve"> PAGEREF _Toc220490273 \h </w:instrText>
            </w:r>
            <w:r>
              <w:rPr>
                <w:noProof/>
                <w:webHidden/>
              </w:rPr>
            </w:r>
            <w:r>
              <w:rPr>
                <w:noProof/>
                <w:webHidden/>
              </w:rPr>
              <w:fldChar w:fldCharType="separate"/>
            </w:r>
            <w:r>
              <w:rPr>
                <w:noProof/>
                <w:webHidden/>
              </w:rPr>
              <w:t>75</w:t>
            </w:r>
            <w:r>
              <w:rPr>
                <w:noProof/>
                <w:webHidden/>
              </w:rPr>
              <w:fldChar w:fldCharType="end"/>
            </w:r>
          </w:hyperlink>
        </w:p>
        <w:p w14:paraId="77FCEBD5" w14:textId="7A61C8C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74" w:history="1">
            <w:r w:rsidRPr="001D4C20">
              <w:rPr>
                <w:rStyle w:val="Lienhypertexte"/>
                <w:noProof/>
              </w:rPr>
              <w:t>51.22.3a Cloisons de doublage sans ossature / parement en plaques/panneaux en bois massif CCTB 01.02</w:t>
            </w:r>
            <w:r>
              <w:rPr>
                <w:noProof/>
                <w:webHidden/>
              </w:rPr>
              <w:tab/>
            </w:r>
            <w:r>
              <w:rPr>
                <w:noProof/>
                <w:webHidden/>
              </w:rPr>
              <w:fldChar w:fldCharType="begin"/>
            </w:r>
            <w:r>
              <w:rPr>
                <w:noProof/>
                <w:webHidden/>
              </w:rPr>
              <w:instrText xml:space="preserve"> PAGEREF _Toc220490274 \h </w:instrText>
            </w:r>
            <w:r>
              <w:rPr>
                <w:noProof/>
                <w:webHidden/>
              </w:rPr>
            </w:r>
            <w:r>
              <w:rPr>
                <w:noProof/>
                <w:webHidden/>
              </w:rPr>
              <w:fldChar w:fldCharType="separate"/>
            </w:r>
            <w:r>
              <w:rPr>
                <w:noProof/>
                <w:webHidden/>
              </w:rPr>
              <w:t>75</w:t>
            </w:r>
            <w:r>
              <w:rPr>
                <w:noProof/>
                <w:webHidden/>
              </w:rPr>
              <w:fldChar w:fldCharType="end"/>
            </w:r>
          </w:hyperlink>
        </w:p>
        <w:p w14:paraId="3CF04855" w14:textId="32BB2E4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75" w:history="1">
            <w:r w:rsidRPr="001D4C20">
              <w:rPr>
                <w:rStyle w:val="Lienhypertexte"/>
                <w:noProof/>
              </w:rPr>
              <w:t>51.22.3b Cloisons de doublage sans ossature / parement en plaques/panneaux à base de bois CCTB 01.10</w:t>
            </w:r>
            <w:r>
              <w:rPr>
                <w:noProof/>
                <w:webHidden/>
              </w:rPr>
              <w:tab/>
            </w:r>
            <w:r>
              <w:rPr>
                <w:noProof/>
                <w:webHidden/>
              </w:rPr>
              <w:fldChar w:fldCharType="begin"/>
            </w:r>
            <w:r>
              <w:rPr>
                <w:noProof/>
                <w:webHidden/>
              </w:rPr>
              <w:instrText xml:space="preserve"> PAGEREF _Toc220490275 \h </w:instrText>
            </w:r>
            <w:r>
              <w:rPr>
                <w:noProof/>
                <w:webHidden/>
              </w:rPr>
            </w:r>
            <w:r>
              <w:rPr>
                <w:noProof/>
                <w:webHidden/>
              </w:rPr>
              <w:fldChar w:fldCharType="separate"/>
            </w:r>
            <w:r>
              <w:rPr>
                <w:noProof/>
                <w:webHidden/>
              </w:rPr>
              <w:t>75</w:t>
            </w:r>
            <w:r>
              <w:rPr>
                <w:noProof/>
                <w:webHidden/>
              </w:rPr>
              <w:fldChar w:fldCharType="end"/>
            </w:r>
          </w:hyperlink>
        </w:p>
        <w:p w14:paraId="6913CBC1" w14:textId="75FE241A"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76" w:history="1">
            <w:r w:rsidRPr="001D4C20">
              <w:rPr>
                <w:rStyle w:val="Lienhypertexte"/>
                <w:noProof/>
              </w:rPr>
              <w:t>51.22.4 Parement en plaques/panneaux métalliques CCTB 01.02</w:t>
            </w:r>
            <w:r>
              <w:rPr>
                <w:noProof/>
                <w:webHidden/>
              </w:rPr>
              <w:tab/>
            </w:r>
            <w:r>
              <w:rPr>
                <w:noProof/>
                <w:webHidden/>
              </w:rPr>
              <w:fldChar w:fldCharType="begin"/>
            </w:r>
            <w:r>
              <w:rPr>
                <w:noProof/>
                <w:webHidden/>
              </w:rPr>
              <w:instrText xml:space="preserve"> PAGEREF _Toc220490276 \h </w:instrText>
            </w:r>
            <w:r>
              <w:rPr>
                <w:noProof/>
                <w:webHidden/>
              </w:rPr>
            </w:r>
            <w:r>
              <w:rPr>
                <w:noProof/>
                <w:webHidden/>
              </w:rPr>
              <w:fldChar w:fldCharType="separate"/>
            </w:r>
            <w:r>
              <w:rPr>
                <w:noProof/>
                <w:webHidden/>
              </w:rPr>
              <w:t>76</w:t>
            </w:r>
            <w:r>
              <w:rPr>
                <w:noProof/>
                <w:webHidden/>
              </w:rPr>
              <w:fldChar w:fldCharType="end"/>
            </w:r>
          </w:hyperlink>
        </w:p>
        <w:p w14:paraId="377C9404" w14:textId="13008B8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77" w:history="1">
            <w:r w:rsidRPr="001D4C20">
              <w:rPr>
                <w:rStyle w:val="Lienhypertexte"/>
                <w:noProof/>
              </w:rPr>
              <w:t>51.22.4a Cloisons de doublage sans ossature / parement en plaques/panneaux métalliques/panneaux en acier CCTB 01.02</w:t>
            </w:r>
            <w:r>
              <w:rPr>
                <w:noProof/>
                <w:webHidden/>
              </w:rPr>
              <w:tab/>
            </w:r>
            <w:r>
              <w:rPr>
                <w:noProof/>
                <w:webHidden/>
              </w:rPr>
              <w:fldChar w:fldCharType="begin"/>
            </w:r>
            <w:r>
              <w:rPr>
                <w:noProof/>
                <w:webHidden/>
              </w:rPr>
              <w:instrText xml:space="preserve"> PAGEREF _Toc220490277 \h </w:instrText>
            </w:r>
            <w:r>
              <w:rPr>
                <w:noProof/>
                <w:webHidden/>
              </w:rPr>
            </w:r>
            <w:r>
              <w:rPr>
                <w:noProof/>
                <w:webHidden/>
              </w:rPr>
              <w:fldChar w:fldCharType="separate"/>
            </w:r>
            <w:r>
              <w:rPr>
                <w:noProof/>
                <w:webHidden/>
              </w:rPr>
              <w:t>76</w:t>
            </w:r>
            <w:r>
              <w:rPr>
                <w:noProof/>
                <w:webHidden/>
              </w:rPr>
              <w:fldChar w:fldCharType="end"/>
            </w:r>
          </w:hyperlink>
        </w:p>
        <w:p w14:paraId="41471C51" w14:textId="4245D4B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78" w:history="1">
            <w:r w:rsidRPr="001D4C20">
              <w:rPr>
                <w:rStyle w:val="Lienhypertexte"/>
                <w:noProof/>
              </w:rPr>
              <w:t>51.22.4b Cloisons de doublage sans ossature / parement en plaques/panneaux métalliques/panneaux en aluminium CCTB 01.02</w:t>
            </w:r>
            <w:r>
              <w:rPr>
                <w:noProof/>
                <w:webHidden/>
              </w:rPr>
              <w:tab/>
            </w:r>
            <w:r>
              <w:rPr>
                <w:noProof/>
                <w:webHidden/>
              </w:rPr>
              <w:fldChar w:fldCharType="begin"/>
            </w:r>
            <w:r>
              <w:rPr>
                <w:noProof/>
                <w:webHidden/>
              </w:rPr>
              <w:instrText xml:space="preserve"> PAGEREF _Toc220490278 \h </w:instrText>
            </w:r>
            <w:r>
              <w:rPr>
                <w:noProof/>
                <w:webHidden/>
              </w:rPr>
            </w:r>
            <w:r>
              <w:rPr>
                <w:noProof/>
                <w:webHidden/>
              </w:rPr>
              <w:fldChar w:fldCharType="separate"/>
            </w:r>
            <w:r>
              <w:rPr>
                <w:noProof/>
                <w:webHidden/>
              </w:rPr>
              <w:t>76</w:t>
            </w:r>
            <w:r>
              <w:rPr>
                <w:noProof/>
                <w:webHidden/>
              </w:rPr>
              <w:fldChar w:fldCharType="end"/>
            </w:r>
          </w:hyperlink>
        </w:p>
        <w:p w14:paraId="60163879" w14:textId="6290D5F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79" w:history="1">
            <w:r w:rsidRPr="001D4C20">
              <w:rPr>
                <w:rStyle w:val="Lienhypertexte"/>
                <w:noProof/>
              </w:rPr>
              <w:t>51.22.4c Cloisons de doublage sans ossature / parement en plaques/panneaux métalliques/panneaux en cuivre CCTB 01.02</w:t>
            </w:r>
            <w:r>
              <w:rPr>
                <w:noProof/>
                <w:webHidden/>
              </w:rPr>
              <w:tab/>
            </w:r>
            <w:r>
              <w:rPr>
                <w:noProof/>
                <w:webHidden/>
              </w:rPr>
              <w:fldChar w:fldCharType="begin"/>
            </w:r>
            <w:r>
              <w:rPr>
                <w:noProof/>
                <w:webHidden/>
              </w:rPr>
              <w:instrText xml:space="preserve"> PAGEREF _Toc220490279 \h </w:instrText>
            </w:r>
            <w:r>
              <w:rPr>
                <w:noProof/>
                <w:webHidden/>
              </w:rPr>
            </w:r>
            <w:r>
              <w:rPr>
                <w:noProof/>
                <w:webHidden/>
              </w:rPr>
              <w:fldChar w:fldCharType="separate"/>
            </w:r>
            <w:r>
              <w:rPr>
                <w:noProof/>
                <w:webHidden/>
              </w:rPr>
              <w:t>76</w:t>
            </w:r>
            <w:r>
              <w:rPr>
                <w:noProof/>
                <w:webHidden/>
              </w:rPr>
              <w:fldChar w:fldCharType="end"/>
            </w:r>
          </w:hyperlink>
        </w:p>
        <w:p w14:paraId="4F816D1F" w14:textId="16413DB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80" w:history="1">
            <w:r w:rsidRPr="001D4C20">
              <w:rPr>
                <w:rStyle w:val="Lienhypertexte"/>
                <w:noProof/>
              </w:rPr>
              <w:t>51.22.5 Parement en plaques/panneaux synthétiques ou composites CCTB 01.02</w:t>
            </w:r>
            <w:r>
              <w:rPr>
                <w:noProof/>
                <w:webHidden/>
              </w:rPr>
              <w:tab/>
            </w:r>
            <w:r>
              <w:rPr>
                <w:noProof/>
                <w:webHidden/>
              </w:rPr>
              <w:fldChar w:fldCharType="begin"/>
            </w:r>
            <w:r>
              <w:rPr>
                <w:noProof/>
                <w:webHidden/>
              </w:rPr>
              <w:instrText xml:space="preserve"> PAGEREF _Toc220490280 \h </w:instrText>
            </w:r>
            <w:r>
              <w:rPr>
                <w:noProof/>
                <w:webHidden/>
              </w:rPr>
            </w:r>
            <w:r>
              <w:rPr>
                <w:noProof/>
                <w:webHidden/>
              </w:rPr>
              <w:fldChar w:fldCharType="separate"/>
            </w:r>
            <w:r>
              <w:rPr>
                <w:noProof/>
                <w:webHidden/>
              </w:rPr>
              <w:t>76</w:t>
            </w:r>
            <w:r>
              <w:rPr>
                <w:noProof/>
                <w:webHidden/>
              </w:rPr>
              <w:fldChar w:fldCharType="end"/>
            </w:r>
          </w:hyperlink>
        </w:p>
        <w:p w14:paraId="33441F12" w14:textId="18B6D61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81" w:history="1">
            <w:r w:rsidRPr="001D4C20">
              <w:rPr>
                <w:rStyle w:val="Lienhypertexte"/>
                <w:noProof/>
              </w:rPr>
              <w:t>51.22.5a Cloisons de doublage sans ossature / parement en plaques/panneaux synthétiques ou composites CCTB 01.02</w:t>
            </w:r>
            <w:r>
              <w:rPr>
                <w:noProof/>
                <w:webHidden/>
              </w:rPr>
              <w:tab/>
            </w:r>
            <w:r>
              <w:rPr>
                <w:noProof/>
                <w:webHidden/>
              </w:rPr>
              <w:fldChar w:fldCharType="begin"/>
            </w:r>
            <w:r>
              <w:rPr>
                <w:noProof/>
                <w:webHidden/>
              </w:rPr>
              <w:instrText xml:space="preserve"> PAGEREF _Toc220490281 \h </w:instrText>
            </w:r>
            <w:r>
              <w:rPr>
                <w:noProof/>
                <w:webHidden/>
              </w:rPr>
            </w:r>
            <w:r>
              <w:rPr>
                <w:noProof/>
                <w:webHidden/>
              </w:rPr>
              <w:fldChar w:fldCharType="separate"/>
            </w:r>
            <w:r>
              <w:rPr>
                <w:noProof/>
                <w:webHidden/>
              </w:rPr>
              <w:t>77</w:t>
            </w:r>
            <w:r>
              <w:rPr>
                <w:noProof/>
                <w:webHidden/>
              </w:rPr>
              <w:fldChar w:fldCharType="end"/>
            </w:r>
          </w:hyperlink>
        </w:p>
        <w:p w14:paraId="5768C317" w14:textId="6AB3FC3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82" w:history="1">
            <w:r w:rsidRPr="001D4C20">
              <w:rPr>
                <w:rStyle w:val="Lienhypertexte"/>
                <w:noProof/>
              </w:rPr>
              <w:t>51.22.6 Parement en plaques/panneaux à base de verre CCTB 01.02</w:t>
            </w:r>
            <w:r>
              <w:rPr>
                <w:noProof/>
                <w:webHidden/>
              </w:rPr>
              <w:tab/>
            </w:r>
            <w:r>
              <w:rPr>
                <w:noProof/>
                <w:webHidden/>
              </w:rPr>
              <w:fldChar w:fldCharType="begin"/>
            </w:r>
            <w:r>
              <w:rPr>
                <w:noProof/>
                <w:webHidden/>
              </w:rPr>
              <w:instrText xml:space="preserve"> PAGEREF _Toc220490282 \h </w:instrText>
            </w:r>
            <w:r>
              <w:rPr>
                <w:noProof/>
                <w:webHidden/>
              </w:rPr>
            </w:r>
            <w:r>
              <w:rPr>
                <w:noProof/>
                <w:webHidden/>
              </w:rPr>
              <w:fldChar w:fldCharType="separate"/>
            </w:r>
            <w:r>
              <w:rPr>
                <w:noProof/>
                <w:webHidden/>
              </w:rPr>
              <w:t>77</w:t>
            </w:r>
            <w:r>
              <w:rPr>
                <w:noProof/>
                <w:webHidden/>
              </w:rPr>
              <w:fldChar w:fldCharType="end"/>
            </w:r>
          </w:hyperlink>
        </w:p>
        <w:p w14:paraId="6911231E" w14:textId="6262D07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83" w:history="1">
            <w:r w:rsidRPr="001D4C20">
              <w:rPr>
                <w:rStyle w:val="Lienhypertexte"/>
                <w:noProof/>
              </w:rPr>
              <w:t>51.22.6a Cloisons de doublage sans ossature / parement en plaques/panneaux à base de verre CCTB 01.10</w:t>
            </w:r>
            <w:r>
              <w:rPr>
                <w:noProof/>
                <w:webHidden/>
              </w:rPr>
              <w:tab/>
            </w:r>
            <w:r>
              <w:rPr>
                <w:noProof/>
                <w:webHidden/>
              </w:rPr>
              <w:fldChar w:fldCharType="begin"/>
            </w:r>
            <w:r>
              <w:rPr>
                <w:noProof/>
                <w:webHidden/>
              </w:rPr>
              <w:instrText xml:space="preserve"> PAGEREF _Toc220490283 \h </w:instrText>
            </w:r>
            <w:r>
              <w:rPr>
                <w:noProof/>
                <w:webHidden/>
              </w:rPr>
            </w:r>
            <w:r>
              <w:rPr>
                <w:noProof/>
                <w:webHidden/>
              </w:rPr>
              <w:fldChar w:fldCharType="separate"/>
            </w:r>
            <w:r>
              <w:rPr>
                <w:noProof/>
                <w:webHidden/>
              </w:rPr>
              <w:t>77</w:t>
            </w:r>
            <w:r>
              <w:rPr>
                <w:noProof/>
                <w:webHidden/>
              </w:rPr>
              <w:fldChar w:fldCharType="end"/>
            </w:r>
          </w:hyperlink>
        </w:p>
        <w:p w14:paraId="517D26F7" w14:textId="3FD3C2AB"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84" w:history="1">
            <w:r w:rsidRPr="001D4C20">
              <w:rPr>
                <w:rStyle w:val="Lienhypertexte"/>
                <w:noProof/>
              </w:rPr>
              <w:t>51.22.7 Parement en textile CCTB 01.02</w:t>
            </w:r>
            <w:r>
              <w:rPr>
                <w:noProof/>
                <w:webHidden/>
              </w:rPr>
              <w:tab/>
            </w:r>
            <w:r>
              <w:rPr>
                <w:noProof/>
                <w:webHidden/>
              </w:rPr>
              <w:fldChar w:fldCharType="begin"/>
            </w:r>
            <w:r>
              <w:rPr>
                <w:noProof/>
                <w:webHidden/>
              </w:rPr>
              <w:instrText xml:space="preserve"> PAGEREF _Toc220490284 \h </w:instrText>
            </w:r>
            <w:r>
              <w:rPr>
                <w:noProof/>
                <w:webHidden/>
              </w:rPr>
            </w:r>
            <w:r>
              <w:rPr>
                <w:noProof/>
                <w:webHidden/>
              </w:rPr>
              <w:fldChar w:fldCharType="separate"/>
            </w:r>
            <w:r>
              <w:rPr>
                <w:noProof/>
                <w:webHidden/>
              </w:rPr>
              <w:t>77</w:t>
            </w:r>
            <w:r>
              <w:rPr>
                <w:noProof/>
                <w:webHidden/>
              </w:rPr>
              <w:fldChar w:fldCharType="end"/>
            </w:r>
          </w:hyperlink>
        </w:p>
        <w:p w14:paraId="494CAF3E" w14:textId="61903FA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85" w:history="1">
            <w:r w:rsidRPr="001D4C20">
              <w:rPr>
                <w:rStyle w:val="Lienhypertexte"/>
                <w:noProof/>
              </w:rPr>
              <w:t>51.22.7a Cloisons de doublage sans ossature / parement en textile CCTB 01.02</w:t>
            </w:r>
            <w:r>
              <w:rPr>
                <w:noProof/>
                <w:webHidden/>
              </w:rPr>
              <w:tab/>
            </w:r>
            <w:r>
              <w:rPr>
                <w:noProof/>
                <w:webHidden/>
              </w:rPr>
              <w:fldChar w:fldCharType="begin"/>
            </w:r>
            <w:r>
              <w:rPr>
                <w:noProof/>
                <w:webHidden/>
              </w:rPr>
              <w:instrText xml:space="preserve"> PAGEREF _Toc220490285 \h </w:instrText>
            </w:r>
            <w:r>
              <w:rPr>
                <w:noProof/>
                <w:webHidden/>
              </w:rPr>
            </w:r>
            <w:r>
              <w:rPr>
                <w:noProof/>
                <w:webHidden/>
              </w:rPr>
              <w:fldChar w:fldCharType="separate"/>
            </w:r>
            <w:r>
              <w:rPr>
                <w:noProof/>
                <w:webHidden/>
              </w:rPr>
              <w:t>77</w:t>
            </w:r>
            <w:r>
              <w:rPr>
                <w:noProof/>
                <w:webHidden/>
              </w:rPr>
              <w:fldChar w:fldCharType="end"/>
            </w:r>
          </w:hyperlink>
        </w:p>
        <w:p w14:paraId="1DEBAB60" w14:textId="4479627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86" w:history="1">
            <w:r w:rsidRPr="001D4C20">
              <w:rPr>
                <w:rStyle w:val="Lienhypertexte"/>
                <w:noProof/>
              </w:rPr>
              <w:t>51.22.8 Parement mixte CCTB 01.02</w:t>
            </w:r>
            <w:r>
              <w:rPr>
                <w:noProof/>
                <w:webHidden/>
              </w:rPr>
              <w:tab/>
            </w:r>
            <w:r>
              <w:rPr>
                <w:noProof/>
                <w:webHidden/>
              </w:rPr>
              <w:fldChar w:fldCharType="begin"/>
            </w:r>
            <w:r>
              <w:rPr>
                <w:noProof/>
                <w:webHidden/>
              </w:rPr>
              <w:instrText xml:space="preserve"> PAGEREF _Toc220490286 \h </w:instrText>
            </w:r>
            <w:r>
              <w:rPr>
                <w:noProof/>
                <w:webHidden/>
              </w:rPr>
            </w:r>
            <w:r>
              <w:rPr>
                <w:noProof/>
                <w:webHidden/>
              </w:rPr>
              <w:fldChar w:fldCharType="separate"/>
            </w:r>
            <w:r>
              <w:rPr>
                <w:noProof/>
                <w:webHidden/>
              </w:rPr>
              <w:t>77</w:t>
            </w:r>
            <w:r>
              <w:rPr>
                <w:noProof/>
                <w:webHidden/>
              </w:rPr>
              <w:fldChar w:fldCharType="end"/>
            </w:r>
          </w:hyperlink>
        </w:p>
        <w:p w14:paraId="751A5125" w14:textId="1D2B8E6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87" w:history="1">
            <w:r w:rsidRPr="001D4C20">
              <w:rPr>
                <w:rStyle w:val="Lienhypertexte"/>
                <w:noProof/>
              </w:rPr>
              <w:t>51.22.8a Cloisons de doublage sans ossature / parement mixte CCTB 01.02</w:t>
            </w:r>
            <w:r>
              <w:rPr>
                <w:noProof/>
                <w:webHidden/>
              </w:rPr>
              <w:tab/>
            </w:r>
            <w:r>
              <w:rPr>
                <w:noProof/>
                <w:webHidden/>
              </w:rPr>
              <w:fldChar w:fldCharType="begin"/>
            </w:r>
            <w:r>
              <w:rPr>
                <w:noProof/>
                <w:webHidden/>
              </w:rPr>
              <w:instrText xml:space="preserve"> PAGEREF _Toc220490287 \h </w:instrText>
            </w:r>
            <w:r>
              <w:rPr>
                <w:noProof/>
                <w:webHidden/>
              </w:rPr>
            </w:r>
            <w:r>
              <w:rPr>
                <w:noProof/>
                <w:webHidden/>
              </w:rPr>
              <w:fldChar w:fldCharType="separate"/>
            </w:r>
            <w:r>
              <w:rPr>
                <w:noProof/>
                <w:webHidden/>
              </w:rPr>
              <w:t>77</w:t>
            </w:r>
            <w:r>
              <w:rPr>
                <w:noProof/>
                <w:webHidden/>
              </w:rPr>
              <w:fldChar w:fldCharType="end"/>
            </w:r>
          </w:hyperlink>
        </w:p>
        <w:p w14:paraId="0DA7FF64" w14:textId="537C467C"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288" w:history="1">
            <w:r w:rsidRPr="001D4C20">
              <w:rPr>
                <w:rStyle w:val="Lienhypertexte"/>
                <w:noProof/>
              </w:rPr>
              <w:t>51.3 Cloisons à système démontables et amovibles (particulières) CCTB 01.02</w:t>
            </w:r>
            <w:r>
              <w:rPr>
                <w:noProof/>
                <w:webHidden/>
              </w:rPr>
              <w:tab/>
            </w:r>
            <w:r>
              <w:rPr>
                <w:noProof/>
                <w:webHidden/>
              </w:rPr>
              <w:fldChar w:fldCharType="begin"/>
            </w:r>
            <w:r>
              <w:rPr>
                <w:noProof/>
                <w:webHidden/>
              </w:rPr>
              <w:instrText xml:space="preserve"> PAGEREF _Toc220490288 \h </w:instrText>
            </w:r>
            <w:r>
              <w:rPr>
                <w:noProof/>
                <w:webHidden/>
              </w:rPr>
            </w:r>
            <w:r>
              <w:rPr>
                <w:noProof/>
                <w:webHidden/>
              </w:rPr>
              <w:fldChar w:fldCharType="separate"/>
            </w:r>
            <w:r>
              <w:rPr>
                <w:noProof/>
                <w:webHidden/>
              </w:rPr>
              <w:t>77</w:t>
            </w:r>
            <w:r>
              <w:rPr>
                <w:noProof/>
                <w:webHidden/>
              </w:rPr>
              <w:fldChar w:fldCharType="end"/>
            </w:r>
          </w:hyperlink>
        </w:p>
        <w:p w14:paraId="00FD580E" w14:textId="2753F4F3"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289" w:history="1">
            <w:r w:rsidRPr="001D4C20">
              <w:rPr>
                <w:rStyle w:val="Lienhypertexte"/>
                <w:noProof/>
              </w:rPr>
              <w:t>51.31 Cloisons à système monobloc (dont cloisons frigorifiques) CCTB 01.11</w:t>
            </w:r>
            <w:r>
              <w:rPr>
                <w:noProof/>
                <w:webHidden/>
              </w:rPr>
              <w:tab/>
            </w:r>
            <w:r>
              <w:rPr>
                <w:noProof/>
                <w:webHidden/>
              </w:rPr>
              <w:fldChar w:fldCharType="begin"/>
            </w:r>
            <w:r>
              <w:rPr>
                <w:noProof/>
                <w:webHidden/>
              </w:rPr>
              <w:instrText xml:space="preserve"> PAGEREF _Toc220490289 \h </w:instrText>
            </w:r>
            <w:r>
              <w:rPr>
                <w:noProof/>
                <w:webHidden/>
              </w:rPr>
            </w:r>
            <w:r>
              <w:rPr>
                <w:noProof/>
                <w:webHidden/>
              </w:rPr>
              <w:fldChar w:fldCharType="separate"/>
            </w:r>
            <w:r>
              <w:rPr>
                <w:noProof/>
                <w:webHidden/>
              </w:rPr>
              <w:t>77</w:t>
            </w:r>
            <w:r>
              <w:rPr>
                <w:noProof/>
                <w:webHidden/>
              </w:rPr>
              <w:fldChar w:fldCharType="end"/>
            </w:r>
          </w:hyperlink>
        </w:p>
        <w:p w14:paraId="1227B175" w14:textId="2E8BD8B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90" w:history="1">
            <w:r w:rsidRPr="001D4C20">
              <w:rPr>
                <w:rStyle w:val="Lienhypertexte"/>
                <w:noProof/>
              </w:rPr>
              <w:t>51.31.1 Cloisons à système monobloc (dont cloisons frigorifiques) CCTB 01.02</w:t>
            </w:r>
            <w:r>
              <w:rPr>
                <w:noProof/>
                <w:webHidden/>
              </w:rPr>
              <w:tab/>
            </w:r>
            <w:r>
              <w:rPr>
                <w:noProof/>
                <w:webHidden/>
              </w:rPr>
              <w:fldChar w:fldCharType="begin"/>
            </w:r>
            <w:r>
              <w:rPr>
                <w:noProof/>
                <w:webHidden/>
              </w:rPr>
              <w:instrText xml:space="preserve"> PAGEREF _Toc220490290 \h </w:instrText>
            </w:r>
            <w:r>
              <w:rPr>
                <w:noProof/>
                <w:webHidden/>
              </w:rPr>
            </w:r>
            <w:r>
              <w:rPr>
                <w:noProof/>
                <w:webHidden/>
              </w:rPr>
              <w:fldChar w:fldCharType="separate"/>
            </w:r>
            <w:r>
              <w:rPr>
                <w:noProof/>
                <w:webHidden/>
              </w:rPr>
              <w:t>78</w:t>
            </w:r>
            <w:r>
              <w:rPr>
                <w:noProof/>
                <w:webHidden/>
              </w:rPr>
              <w:fldChar w:fldCharType="end"/>
            </w:r>
          </w:hyperlink>
        </w:p>
        <w:p w14:paraId="17CF9AF7" w14:textId="66EFCF9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91" w:history="1">
            <w:r w:rsidRPr="001D4C20">
              <w:rPr>
                <w:rStyle w:val="Lienhypertexte"/>
                <w:noProof/>
              </w:rPr>
              <w:t>51.31.1a Cloisons démontables et amovibles / panneaux pleins CCTB 01.11</w:t>
            </w:r>
            <w:r>
              <w:rPr>
                <w:noProof/>
                <w:webHidden/>
              </w:rPr>
              <w:tab/>
            </w:r>
            <w:r>
              <w:rPr>
                <w:noProof/>
                <w:webHidden/>
              </w:rPr>
              <w:fldChar w:fldCharType="begin"/>
            </w:r>
            <w:r>
              <w:rPr>
                <w:noProof/>
                <w:webHidden/>
              </w:rPr>
              <w:instrText xml:space="preserve"> PAGEREF _Toc220490291 \h </w:instrText>
            </w:r>
            <w:r>
              <w:rPr>
                <w:noProof/>
                <w:webHidden/>
              </w:rPr>
            </w:r>
            <w:r>
              <w:rPr>
                <w:noProof/>
                <w:webHidden/>
              </w:rPr>
              <w:fldChar w:fldCharType="separate"/>
            </w:r>
            <w:r>
              <w:rPr>
                <w:noProof/>
                <w:webHidden/>
              </w:rPr>
              <w:t>78</w:t>
            </w:r>
            <w:r>
              <w:rPr>
                <w:noProof/>
                <w:webHidden/>
              </w:rPr>
              <w:fldChar w:fldCharType="end"/>
            </w:r>
          </w:hyperlink>
        </w:p>
        <w:p w14:paraId="1278C352" w14:textId="2DB33F2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92" w:history="1">
            <w:r w:rsidRPr="001D4C20">
              <w:rPr>
                <w:rStyle w:val="Lienhypertexte"/>
                <w:noProof/>
              </w:rPr>
              <w:t>51.31.1b Cloisons démontables et amovibles / panneaux vitrés CCTB 01.11</w:t>
            </w:r>
            <w:r>
              <w:rPr>
                <w:noProof/>
                <w:webHidden/>
              </w:rPr>
              <w:tab/>
            </w:r>
            <w:r>
              <w:rPr>
                <w:noProof/>
                <w:webHidden/>
              </w:rPr>
              <w:fldChar w:fldCharType="begin"/>
            </w:r>
            <w:r>
              <w:rPr>
                <w:noProof/>
                <w:webHidden/>
              </w:rPr>
              <w:instrText xml:space="preserve"> PAGEREF _Toc220490292 \h </w:instrText>
            </w:r>
            <w:r>
              <w:rPr>
                <w:noProof/>
                <w:webHidden/>
              </w:rPr>
            </w:r>
            <w:r>
              <w:rPr>
                <w:noProof/>
                <w:webHidden/>
              </w:rPr>
              <w:fldChar w:fldCharType="separate"/>
            </w:r>
            <w:r>
              <w:rPr>
                <w:noProof/>
                <w:webHidden/>
              </w:rPr>
              <w:t>81</w:t>
            </w:r>
            <w:r>
              <w:rPr>
                <w:noProof/>
                <w:webHidden/>
              </w:rPr>
              <w:fldChar w:fldCharType="end"/>
            </w:r>
          </w:hyperlink>
        </w:p>
        <w:p w14:paraId="3DE9EADB" w14:textId="1D4D700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93" w:history="1">
            <w:r w:rsidRPr="001D4C20">
              <w:rPr>
                <w:rStyle w:val="Lienhypertexte"/>
                <w:noProof/>
              </w:rPr>
              <w:t>51.31.1c Cloisons démontables et amovibles / cloisons frigorifiques CCTB 01.11</w:t>
            </w:r>
            <w:r>
              <w:rPr>
                <w:noProof/>
                <w:webHidden/>
              </w:rPr>
              <w:tab/>
            </w:r>
            <w:r>
              <w:rPr>
                <w:noProof/>
                <w:webHidden/>
              </w:rPr>
              <w:fldChar w:fldCharType="begin"/>
            </w:r>
            <w:r>
              <w:rPr>
                <w:noProof/>
                <w:webHidden/>
              </w:rPr>
              <w:instrText xml:space="preserve"> PAGEREF _Toc220490293 \h </w:instrText>
            </w:r>
            <w:r>
              <w:rPr>
                <w:noProof/>
                <w:webHidden/>
              </w:rPr>
            </w:r>
            <w:r>
              <w:rPr>
                <w:noProof/>
                <w:webHidden/>
              </w:rPr>
              <w:fldChar w:fldCharType="separate"/>
            </w:r>
            <w:r>
              <w:rPr>
                <w:noProof/>
                <w:webHidden/>
              </w:rPr>
              <w:t>84</w:t>
            </w:r>
            <w:r>
              <w:rPr>
                <w:noProof/>
                <w:webHidden/>
              </w:rPr>
              <w:fldChar w:fldCharType="end"/>
            </w:r>
          </w:hyperlink>
        </w:p>
        <w:p w14:paraId="51E3AF62" w14:textId="1F974F86"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294" w:history="1">
            <w:r w:rsidRPr="001D4C20">
              <w:rPr>
                <w:rStyle w:val="Lienhypertexte"/>
                <w:noProof/>
              </w:rPr>
              <w:t>51.32 Cloisons à système bi blocs CCTB 01.11</w:t>
            </w:r>
            <w:r>
              <w:rPr>
                <w:noProof/>
                <w:webHidden/>
              </w:rPr>
              <w:tab/>
            </w:r>
            <w:r>
              <w:rPr>
                <w:noProof/>
                <w:webHidden/>
              </w:rPr>
              <w:fldChar w:fldCharType="begin"/>
            </w:r>
            <w:r>
              <w:rPr>
                <w:noProof/>
                <w:webHidden/>
              </w:rPr>
              <w:instrText xml:space="preserve"> PAGEREF _Toc220490294 \h </w:instrText>
            </w:r>
            <w:r>
              <w:rPr>
                <w:noProof/>
                <w:webHidden/>
              </w:rPr>
            </w:r>
            <w:r>
              <w:rPr>
                <w:noProof/>
                <w:webHidden/>
              </w:rPr>
              <w:fldChar w:fldCharType="separate"/>
            </w:r>
            <w:r>
              <w:rPr>
                <w:noProof/>
                <w:webHidden/>
              </w:rPr>
              <w:t>87</w:t>
            </w:r>
            <w:r>
              <w:rPr>
                <w:noProof/>
                <w:webHidden/>
              </w:rPr>
              <w:fldChar w:fldCharType="end"/>
            </w:r>
          </w:hyperlink>
        </w:p>
        <w:p w14:paraId="26CC2044" w14:textId="496F2C52"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95" w:history="1">
            <w:r w:rsidRPr="001D4C20">
              <w:rPr>
                <w:rStyle w:val="Lienhypertexte"/>
                <w:noProof/>
              </w:rPr>
              <w:t>51.32.1 Cloisons à système bi blocs CCTB 01.02</w:t>
            </w:r>
            <w:r>
              <w:rPr>
                <w:noProof/>
                <w:webHidden/>
              </w:rPr>
              <w:tab/>
            </w:r>
            <w:r>
              <w:rPr>
                <w:noProof/>
                <w:webHidden/>
              </w:rPr>
              <w:fldChar w:fldCharType="begin"/>
            </w:r>
            <w:r>
              <w:rPr>
                <w:noProof/>
                <w:webHidden/>
              </w:rPr>
              <w:instrText xml:space="preserve"> PAGEREF _Toc220490295 \h </w:instrText>
            </w:r>
            <w:r>
              <w:rPr>
                <w:noProof/>
                <w:webHidden/>
              </w:rPr>
            </w:r>
            <w:r>
              <w:rPr>
                <w:noProof/>
                <w:webHidden/>
              </w:rPr>
              <w:fldChar w:fldCharType="separate"/>
            </w:r>
            <w:r>
              <w:rPr>
                <w:noProof/>
                <w:webHidden/>
              </w:rPr>
              <w:t>87</w:t>
            </w:r>
            <w:r>
              <w:rPr>
                <w:noProof/>
                <w:webHidden/>
              </w:rPr>
              <w:fldChar w:fldCharType="end"/>
            </w:r>
          </w:hyperlink>
        </w:p>
        <w:p w14:paraId="7FFE8620" w14:textId="3FFEA0F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96" w:history="1">
            <w:r w:rsidRPr="001D4C20">
              <w:rPr>
                <w:rStyle w:val="Lienhypertexte"/>
                <w:noProof/>
              </w:rPr>
              <w:t>51.32.1a Cloisons à système bi blocs CCTB 01.11</w:t>
            </w:r>
            <w:r>
              <w:rPr>
                <w:noProof/>
                <w:webHidden/>
              </w:rPr>
              <w:tab/>
            </w:r>
            <w:r>
              <w:rPr>
                <w:noProof/>
                <w:webHidden/>
              </w:rPr>
              <w:fldChar w:fldCharType="begin"/>
            </w:r>
            <w:r>
              <w:rPr>
                <w:noProof/>
                <w:webHidden/>
              </w:rPr>
              <w:instrText xml:space="preserve"> PAGEREF _Toc220490296 \h </w:instrText>
            </w:r>
            <w:r>
              <w:rPr>
                <w:noProof/>
                <w:webHidden/>
              </w:rPr>
            </w:r>
            <w:r>
              <w:rPr>
                <w:noProof/>
                <w:webHidden/>
              </w:rPr>
              <w:fldChar w:fldCharType="separate"/>
            </w:r>
            <w:r>
              <w:rPr>
                <w:noProof/>
                <w:webHidden/>
              </w:rPr>
              <w:t>87</w:t>
            </w:r>
            <w:r>
              <w:rPr>
                <w:noProof/>
                <w:webHidden/>
              </w:rPr>
              <w:fldChar w:fldCharType="end"/>
            </w:r>
          </w:hyperlink>
        </w:p>
        <w:p w14:paraId="626C6705" w14:textId="1C2B816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97" w:history="1">
            <w:r w:rsidRPr="001D4C20">
              <w:rPr>
                <w:rStyle w:val="Lienhypertexte"/>
                <w:noProof/>
              </w:rPr>
              <w:t>51.32.1b Cloisons à système bi blocs vitrées CCTB 01.12</w:t>
            </w:r>
            <w:r>
              <w:rPr>
                <w:noProof/>
                <w:webHidden/>
              </w:rPr>
              <w:tab/>
            </w:r>
            <w:r>
              <w:rPr>
                <w:noProof/>
                <w:webHidden/>
              </w:rPr>
              <w:fldChar w:fldCharType="begin"/>
            </w:r>
            <w:r>
              <w:rPr>
                <w:noProof/>
                <w:webHidden/>
              </w:rPr>
              <w:instrText xml:space="preserve"> PAGEREF _Toc220490297 \h </w:instrText>
            </w:r>
            <w:r>
              <w:rPr>
                <w:noProof/>
                <w:webHidden/>
              </w:rPr>
            </w:r>
            <w:r>
              <w:rPr>
                <w:noProof/>
                <w:webHidden/>
              </w:rPr>
              <w:fldChar w:fldCharType="separate"/>
            </w:r>
            <w:r>
              <w:rPr>
                <w:noProof/>
                <w:webHidden/>
              </w:rPr>
              <w:t>90</w:t>
            </w:r>
            <w:r>
              <w:rPr>
                <w:noProof/>
                <w:webHidden/>
              </w:rPr>
              <w:fldChar w:fldCharType="end"/>
            </w:r>
          </w:hyperlink>
        </w:p>
        <w:p w14:paraId="73B90C25" w14:textId="7C263E7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98" w:history="1">
            <w:r w:rsidRPr="001D4C20">
              <w:rPr>
                <w:rStyle w:val="Lienhypertexte"/>
                <w:noProof/>
              </w:rPr>
              <w:t>51.32.1c Cloisons à système bi blocs portes pleines intégrées  CCTB 01.11</w:t>
            </w:r>
            <w:r>
              <w:rPr>
                <w:noProof/>
                <w:webHidden/>
              </w:rPr>
              <w:tab/>
            </w:r>
            <w:r>
              <w:rPr>
                <w:noProof/>
                <w:webHidden/>
              </w:rPr>
              <w:fldChar w:fldCharType="begin"/>
            </w:r>
            <w:r>
              <w:rPr>
                <w:noProof/>
                <w:webHidden/>
              </w:rPr>
              <w:instrText xml:space="preserve"> PAGEREF _Toc220490298 \h </w:instrText>
            </w:r>
            <w:r>
              <w:rPr>
                <w:noProof/>
                <w:webHidden/>
              </w:rPr>
            </w:r>
            <w:r>
              <w:rPr>
                <w:noProof/>
                <w:webHidden/>
              </w:rPr>
              <w:fldChar w:fldCharType="separate"/>
            </w:r>
            <w:r>
              <w:rPr>
                <w:noProof/>
                <w:webHidden/>
              </w:rPr>
              <w:t>93</w:t>
            </w:r>
            <w:r>
              <w:rPr>
                <w:noProof/>
                <w:webHidden/>
              </w:rPr>
              <w:fldChar w:fldCharType="end"/>
            </w:r>
          </w:hyperlink>
        </w:p>
        <w:p w14:paraId="1D13E5C6" w14:textId="7416D4B0"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299" w:history="1">
            <w:r w:rsidRPr="001D4C20">
              <w:rPr>
                <w:rStyle w:val="Lienhypertexte"/>
                <w:noProof/>
              </w:rPr>
              <w:t>51.33 Ecrans séparateurs pour sanitaires et vestiaires CCTB 01.02</w:t>
            </w:r>
            <w:r>
              <w:rPr>
                <w:noProof/>
                <w:webHidden/>
              </w:rPr>
              <w:tab/>
            </w:r>
            <w:r>
              <w:rPr>
                <w:noProof/>
                <w:webHidden/>
              </w:rPr>
              <w:fldChar w:fldCharType="begin"/>
            </w:r>
            <w:r>
              <w:rPr>
                <w:noProof/>
                <w:webHidden/>
              </w:rPr>
              <w:instrText xml:space="preserve"> PAGEREF _Toc220490299 \h </w:instrText>
            </w:r>
            <w:r>
              <w:rPr>
                <w:noProof/>
                <w:webHidden/>
              </w:rPr>
            </w:r>
            <w:r>
              <w:rPr>
                <w:noProof/>
                <w:webHidden/>
              </w:rPr>
              <w:fldChar w:fldCharType="separate"/>
            </w:r>
            <w:r>
              <w:rPr>
                <w:noProof/>
                <w:webHidden/>
              </w:rPr>
              <w:t>94</w:t>
            </w:r>
            <w:r>
              <w:rPr>
                <w:noProof/>
                <w:webHidden/>
              </w:rPr>
              <w:fldChar w:fldCharType="end"/>
            </w:r>
          </w:hyperlink>
        </w:p>
        <w:p w14:paraId="1F629A00" w14:textId="7DCB6257"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00" w:history="1">
            <w:r w:rsidRPr="001D4C20">
              <w:rPr>
                <w:rStyle w:val="Lienhypertexte"/>
                <w:noProof/>
              </w:rPr>
              <w:t>51.33.1 Ecrans séparateurs pour sanitaires et vestiaires CCTB 01.02</w:t>
            </w:r>
            <w:r>
              <w:rPr>
                <w:noProof/>
                <w:webHidden/>
              </w:rPr>
              <w:tab/>
            </w:r>
            <w:r>
              <w:rPr>
                <w:noProof/>
                <w:webHidden/>
              </w:rPr>
              <w:fldChar w:fldCharType="begin"/>
            </w:r>
            <w:r>
              <w:rPr>
                <w:noProof/>
                <w:webHidden/>
              </w:rPr>
              <w:instrText xml:space="preserve"> PAGEREF _Toc220490300 \h </w:instrText>
            </w:r>
            <w:r>
              <w:rPr>
                <w:noProof/>
                <w:webHidden/>
              </w:rPr>
            </w:r>
            <w:r>
              <w:rPr>
                <w:noProof/>
                <w:webHidden/>
              </w:rPr>
              <w:fldChar w:fldCharType="separate"/>
            </w:r>
            <w:r>
              <w:rPr>
                <w:noProof/>
                <w:webHidden/>
              </w:rPr>
              <w:t>94</w:t>
            </w:r>
            <w:r>
              <w:rPr>
                <w:noProof/>
                <w:webHidden/>
              </w:rPr>
              <w:fldChar w:fldCharType="end"/>
            </w:r>
          </w:hyperlink>
        </w:p>
        <w:p w14:paraId="24BAA6E7" w14:textId="5B09ADA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01" w:history="1">
            <w:r w:rsidRPr="001D4C20">
              <w:rPr>
                <w:rStyle w:val="Lienhypertexte"/>
                <w:noProof/>
              </w:rPr>
              <w:t>51.33.1a Ecrans séparateurs pour sanitaires et vestiaires CCTB 01.13</w:t>
            </w:r>
            <w:r>
              <w:rPr>
                <w:noProof/>
                <w:webHidden/>
              </w:rPr>
              <w:tab/>
            </w:r>
            <w:r>
              <w:rPr>
                <w:noProof/>
                <w:webHidden/>
              </w:rPr>
              <w:fldChar w:fldCharType="begin"/>
            </w:r>
            <w:r>
              <w:rPr>
                <w:noProof/>
                <w:webHidden/>
              </w:rPr>
              <w:instrText xml:space="preserve"> PAGEREF _Toc220490301 \h </w:instrText>
            </w:r>
            <w:r>
              <w:rPr>
                <w:noProof/>
                <w:webHidden/>
              </w:rPr>
            </w:r>
            <w:r>
              <w:rPr>
                <w:noProof/>
                <w:webHidden/>
              </w:rPr>
              <w:fldChar w:fldCharType="separate"/>
            </w:r>
            <w:r>
              <w:rPr>
                <w:noProof/>
                <w:webHidden/>
              </w:rPr>
              <w:t>94</w:t>
            </w:r>
            <w:r>
              <w:rPr>
                <w:noProof/>
                <w:webHidden/>
              </w:rPr>
              <w:fldChar w:fldCharType="end"/>
            </w:r>
          </w:hyperlink>
        </w:p>
        <w:p w14:paraId="27A1A889" w14:textId="2CE3CAE8"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302" w:history="1">
            <w:r w:rsidRPr="001D4C20">
              <w:rPr>
                <w:rStyle w:val="Lienhypertexte"/>
                <w:noProof/>
              </w:rPr>
              <w:t>51.34 Cloisons à système en petits éléments et claustras CCTB 01.02</w:t>
            </w:r>
            <w:r>
              <w:rPr>
                <w:noProof/>
                <w:webHidden/>
              </w:rPr>
              <w:tab/>
            </w:r>
            <w:r>
              <w:rPr>
                <w:noProof/>
                <w:webHidden/>
              </w:rPr>
              <w:fldChar w:fldCharType="begin"/>
            </w:r>
            <w:r>
              <w:rPr>
                <w:noProof/>
                <w:webHidden/>
              </w:rPr>
              <w:instrText xml:space="preserve"> PAGEREF _Toc220490302 \h </w:instrText>
            </w:r>
            <w:r>
              <w:rPr>
                <w:noProof/>
                <w:webHidden/>
              </w:rPr>
            </w:r>
            <w:r>
              <w:rPr>
                <w:noProof/>
                <w:webHidden/>
              </w:rPr>
              <w:fldChar w:fldCharType="separate"/>
            </w:r>
            <w:r>
              <w:rPr>
                <w:noProof/>
                <w:webHidden/>
              </w:rPr>
              <w:t>100</w:t>
            </w:r>
            <w:r>
              <w:rPr>
                <w:noProof/>
                <w:webHidden/>
              </w:rPr>
              <w:fldChar w:fldCharType="end"/>
            </w:r>
          </w:hyperlink>
        </w:p>
        <w:p w14:paraId="7FCB6795" w14:textId="299A674E"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03" w:history="1">
            <w:r w:rsidRPr="001D4C20">
              <w:rPr>
                <w:rStyle w:val="Lienhypertexte"/>
                <w:noProof/>
              </w:rPr>
              <w:t>51.34.1 Cloisons à système en petits éléments et claustras CCTB 01.02</w:t>
            </w:r>
            <w:r>
              <w:rPr>
                <w:noProof/>
                <w:webHidden/>
              </w:rPr>
              <w:tab/>
            </w:r>
            <w:r>
              <w:rPr>
                <w:noProof/>
                <w:webHidden/>
              </w:rPr>
              <w:fldChar w:fldCharType="begin"/>
            </w:r>
            <w:r>
              <w:rPr>
                <w:noProof/>
                <w:webHidden/>
              </w:rPr>
              <w:instrText xml:space="preserve"> PAGEREF _Toc220490303 \h </w:instrText>
            </w:r>
            <w:r>
              <w:rPr>
                <w:noProof/>
                <w:webHidden/>
              </w:rPr>
            </w:r>
            <w:r>
              <w:rPr>
                <w:noProof/>
                <w:webHidden/>
              </w:rPr>
              <w:fldChar w:fldCharType="separate"/>
            </w:r>
            <w:r>
              <w:rPr>
                <w:noProof/>
                <w:webHidden/>
              </w:rPr>
              <w:t>100</w:t>
            </w:r>
            <w:r>
              <w:rPr>
                <w:noProof/>
                <w:webHidden/>
              </w:rPr>
              <w:fldChar w:fldCharType="end"/>
            </w:r>
          </w:hyperlink>
        </w:p>
        <w:p w14:paraId="3951BAD6" w14:textId="13F1486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04" w:history="1">
            <w:r w:rsidRPr="001D4C20">
              <w:rPr>
                <w:rStyle w:val="Lienhypertexte"/>
                <w:noProof/>
              </w:rPr>
              <w:t>51.34.1a Cloisons à système en petits éléments et claustras CCTB 01.02</w:t>
            </w:r>
            <w:r>
              <w:rPr>
                <w:noProof/>
                <w:webHidden/>
              </w:rPr>
              <w:tab/>
            </w:r>
            <w:r>
              <w:rPr>
                <w:noProof/>
                <w:webHidden/>
              </w:rPr>
              <w:fldChar w:fldCharType="begin"/>
            </w:r>
            <w:r>
              <w:rPr>
                <w:noProof/>
                <w:webHidden/>
              </w:rPr>
              <w:instrText xml:space="preserve"> PAGEREF _Toc220490304 \h </w:instrText>
            </w:r>
            <w:r>
              <w:rPr>
                <w:noProof/>
                <w:webHidden/>
              </w:rPr>
            </w:r>
            <w:r>
              <w:rPr>
                <w:noProof/>
                <w:webHidden/>
              </w:rPr>
              <w:fldChar w:fldCharType="separate"/>
            </w:r>
            <w:r>
              <w:rPr>
                <w:noProof/>
                <w:webHidden/>
              </w:rPr>
              <w:t>100</w:t>
            </w:r>
            <w:r>
              <w:rPr>
                <w:noProof/>
                <w:webHidden/>
              </w:rPr>
              <w:fldChar w:fldCharType="end"/>
            </w:r>
          </w:hyperlink>
        </w:p>
        <w:p w14:paraId="0F797963" w14:textId="7B9B16B1"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305" w:history="1">
            <w:r w:rsidRPr="001D4C20">
              <w:rPr>
                <w:rStyle w:val="Lienhypertexte"/>
                <w:noProof/>
              </w:rPr>
              <w:t>51.4 Cloisons mobiles CCTB 01.12</w:t>
            </w:r>
            <w:r>
              <w:rPr>
                <w:noProof/>
                <w:webHidden/>
              </w:rPr>
              <w:tab/>
            </w:r>
            <w:r>
              <w:rPr>
                <w:noProof/>
                <w:webHidden/>
              </w:rPr>
              <w:fldChar w:fldCharType="begin"/>
            </w:r>
            <w:r>
              <w:rPr>
                <w:noProof/>
                <w:webHidden/>
              </w:rPr>
              <w:instrText xml:space="preserve"> PAGEREF _Toc220490305 \h </w:instrText>
            </w:r>
            <w:r>
              <w:rPr>
                <w:noProof/>
                <w:webHidden/>
              </w:rPr>
            </w:r>
            <w:r>
              <w:rPr>
                <w:noProof/>
                <w:webHidden/>
              </w:rPr>
              <w:fldChar w:fldCharType="separate"/>
            </w:r>
            <w:r>
              <w:rPr>
                <w:noProof/>
                <w:webHidden/>
              </w:rPr>
              <w:t>100</w:t>
            </w:r>
            <w:r>
              <w:rPr>
                <w:noProof/>
                <w:webHidden/>
              </w:rPr>
              <w:fldChar w:fldCharType="end"/>
            </w:r>
          </w:hyperlink>
        </w:p>
        <w:p w14:paraId="4232960B" w14:textId="4BEF1FC8"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306" w:history="1">
            <w:r w:rsidRPr="001D4C20">
              <w:rPr>
                <w:rStyle w:val="Lienhypertexte"/>
                <w:noProof/>
              </w:rPr>
              <w:t>51.41 Cloisons mobiles - coulissantes horizontales CCTB 01.11</w:t>
            </w:r>
            <w:r>
              <w:rPr>
                <w:noProof/>
                <w:webHidden/>
              </w:rPr>
              <w:tab/>
            </w:r>
            <w:r>
              <w:rPr>
                <w:noProof/>
                <w:webHidden/>
              </w:rPr>
              <w:fldChar w:fldCharType="begin"/>
            </w:r>
            <w:r>
              <w:rPr>
                <w:noProof/>
                <w:webHidden/>
              </w:rPr>
              <w:instrText xml:space="preserve"> PAGEREF _Toc220490306 \h </w:instrText>
            </w:r>
            <w:r>
              <w:rPr>
                <w:noProof/>
                <w:webHidden/>
              </w:rPr>
            </w:r>
            <w:r>
              <w:rPr>
                <w:noProof/>
                <w:webHidden/>
              </w:rPr>
              <w:fldChar w:fldCharType="separate"/>
            </w:r>
            <w:r>
              <w:rPr>
                <w:noProof/>
                <w:webHidden/>
              </w:rPr>
              <w:t>101</w:t>
            </w:r>
            <w:r>
              <w:rPr>
                <w:noProof/>
                <w:webHidden/>
              </w:rPr>
              <w:fldChar w:fldCharType="end"/>
            </w:r>
          </w:hyperlink>
        </w:p>
        <w:p w14:paraId="29B2FDFD" w14:textId="212B7BE7"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07" w:history="1">
            <w:r w:rsidRPr="001D4C20">
              <w:rPr>
                <w:rStyle w:val="Lienhypertexte"/>
                <w:noProof/>
              </w:rPr>
              <w:t>51.41.1 Cloisons mobiles - coulissantes horizontales CCTB 01.12</w:t>
            </w:r>
            <w:r>
              <w:rPr>
                <w:noProof/>
                <w:webHidden/>
              </w:rPr>
              <w:tab/>
            </w:r>
            <w:r>
              <w:rPr>
                <w:noProof/>
                <w:webHidden/>
              </w:rPr>
              <w:fldChar w:fldCharType="begin"/>
            </w:r>
            <w:r>
              <w:rPr>
                <w:noProof/>
                <w:webHidden/>
              </w:rPr>
              <w:instrText xml:space="preserve"> PAGEREF _Toc220490307 \h </w:instrText>
            </w:r>
            <w:r>
              <w:rPr>
                <w:noProof/>
                <w:webHidden/>
              </w:rPr>
            </w:r>
            <w:r>
              <w:rPr>
                <w:noProof/>
                <w:webHidden/>
              </w:rPr>
              <w:fldChar w:fldCharType="separate"/>
            </w:r>
            <w:r>
              <w:rPr>
                <w:noProof/>
                <w:webHidden/>
              </w:rPr>
              <w:t>102</w:t>
            </w:r>
            <w:r>
              <w:rPr>
                <w:noProof/>
                <w:webHidden/>
              </w:rPr>
              <w:fldChar w:fldCharType="end"/>
            </w:r>
          </w:hyperlink>
        </w:p>
        <w:p w14:paraId="52C68C28" w14:textId="6D13BF8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08" w:history="1">
            <w:r w:rsidRPr="001D4C20">
              <w:rPr>
                <w:rStyle w:val="Lienhypertexte"/>
                <w:noProof/>
              </w:rPr>
              <w:t>51.41.1a Cloisons mobiles - coulissantes horizontales CCTB 01.11</w:t>
            </w:r>
            <w:r>
              <w:rPr>
                <w:noProof/>
                <w:webHidden/>
              </w:rPr>
              <w:tab/>
            </w:r>
            <w:r>
              <w:rPr>
                <w:noProof/>
                <w:webHidden/>
              </w:rPr>
              <w:fldChar w:fldCharType="begin"/>
            </w:r>
            <w:r>
              <w:rPr>
                <w:noProof/>
                <w:webHidden/>
              </w:rPr>
              <w:instrText xml:space="preserve"> PAGEREF _Toc220490308 \h </w:instrText>
            </w:r>
            <w:r>
              <w:rPr>
                <w:noProof/>
                <w:webHidden/>
              </w:rPr>
            </w:r>
            <w:r>
              <w:rPr>
                <w:noProof/>
                <w:webHidden/>
              </w:rPr>
              <w:fldChar w:fldCharType="separate"/>
            </w:r>
            <w:r>
              <w:rPr>
                <w:noProof/>
                <w:webHidden/>
              </w:rPr>
              <w:t>102</w:t>
            </w:r>
            <w:r>
              <w:rPr>
                <w:noProof/>
                <w:webHidden/>
              </w:rPr>
              <w:fldChar w:fldCharType="end"/>
            </w:r>
          </w:hyperlink>
        </w:p>
        <w:p w14:paraId="25FBABAE" w14:textId="2DEA965F"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309" w:history="1">
            <w:r w:rsidRPr="001D4C20">
              <w:rPr>
                <w:rStyle w:val="Lienhypertexte"/>
                <w:noProof/>
              </w:rPr>
              <w:t>51.42 Cloisons mobiles - coulissantes verticales CCTB 01.11</w:t>
            </w:r>
            <w:r>
              <w:rPr>
                <w:noProof/>
                <w:webHidden/>
              </w:rPr>
              <w:tab/>
            </w:r>
            <w:r>
              <w:rPr>
                <w:noProof/>
                <w:webHidden/>
              </w:rPr>
              <w:fldChar w:fldCharType="begin"/>
            </w:r>
            <w:r>
              <w:rPr>
                <w:noProof/>
                <w:webHidden/>
              </w:rPr>
              <w:instrText xml:space="preserve"> PAGEREF _Toc220490309 \h </w:instrText>
            </w:r>
            <w:r>
              <w:rPr>
                <w:noProof/>
                <w:webHidden/>
              </w:rPr>
            </w:r>
            <w:r>
              <w:rPr>
                <w:noProof/>
                <w:webHidden/>
              </w:rPr>
              <w:fldChar w:fldCharType="separate"/>
            </w:r>
            <w:r>
              <w:rPr>
                <w:noProof/>
                <w:webHidden/>
              </w:rPr>
              <w:t>108</w:t>
            </w:r>
            <w:r>
              <w:rPr>
                <w:noProof/>
                <w:webHidden/>
              </w:rPr>
              <w:fldChar w:fldCharType="end"/>
            </w:r>
          </w:hyperlink>
        </w:p>
        <w:p w14:paraId="42F6012F" w14:textId="1CA2663B"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10" w:history="1">
            <w:r w:rsidRPr="001D4C20">
              <w:rPr>
                <w:rStyle w:val="Lienhypertexte"/>
                <w:noProof/>
              </w:rPr>
              <w:t>51.42.1 Cloisons mobiles - coulissantes verticales CCTB 01.11</w:t>
            </w:r>
            <w:r>
              <w:rPr>
                <w:noProof/>
                <w:webHidden/>
              </w:rPr>
              <w:tab/>
            </w:r>
            <w:r>
              <w:rPr>
                <w:noProof/>
                <w:webHidden/>
              </w:rPr>
              <w:fldChar w:fldCharType="begin"/>
            </w:r>
            <w:r>
              <w:rPr>
                <w:noProof/>
                <w:webHidden/>
              </w:rPr>
              <w:instrText xml:space="preserve"> PAGEREF _Toc220490310 \h </w:instrText>
            </w:r>
            <w:r>
              <w:rPr>
                <w:noProof/>
                <w:webHidden/>
              </w:rPr>
            </w:r>
            <w:r>
              <w:rPr>
                <w:noProof/>
                <w:webHidden/>
              </w:rPr>
              <w:fldChar w:fldCharType="separate"/>
            </w:r>
            <w:r>
              <w:rPr>
                <w:noProof/>
                <w:webHidden/>
              </w:rPr>
              <w:t>109</w:t>
            </w:r>
            <w:r>
              <w:rPr>
                <w:noProof/>
                <w:webHidden/>
              </w:rPr>
              <w:fldChar w:fldCharType="end"/>
            </w:r>
          </w:hyperlink>
        </w:p>
        <w:p w14:paraId="72985325" w14:textId="1FADD00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11" w:history="1">
            <w:r w:rsidRPr="001D4C20">
              <w:rPr>
                <w:rStyle w:val="Lienhypertexte"/>
                <w:noProof/>
              </w:rPr>
              <w:t>51.42.1a Cloisons mobiles - coulissantes verticales CCTB 01.11</w:t>
            </w:r>
            <w:r>
              <w:rPr>
                <w:noProof/>
                <w:webHidden/>
              </w:rPr>
              <w:tab/>
            </w:r>
            <w:r>
              <w:rPr>
                <w:noProof/>
                <w:webHidden/>
              </w:rPr>
              <w:fldChar w:fldCharType="begin"/>
            </w:r>
            <w:r>
              <w:rPr>
                <w:noProof/>
                <w:webHidden/>
              </w:rPr>
              <w:instrText xml:space="preserve"> PAGEREF _Toc220490311 \h </w:instrText>
            </w:r>
            <w:r>
              <w:rPr>
                <w:noProof/>
                <w:webHidden/>
              </w:rPr>
            </w:r>
            <w:r>
              <w:rPr>
                <w:noProof/>
                <w:webHidden/>
              </w:rPr>
              <w:fldChar w:fldCharType="separate"/>
            </w:r>
            <w:r>
              <w:rPr>
                <w:noProof/>
                <w:webHidden/>
              </w:rPr>
              <w:t>109</w:t>
            </w:r>
            <w:r>
              <w:rPr>
                <w:noProof/>
                <w:webHidden/>
              </w:rPr>
              <w:fldChar w:fldCharType="end"/>
            </w:r>
          </w:hyperlink>
        </w:p>
        <w:p w14:paraId="58BAA1EF" w14:textId="009F96D9"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312" w:history="1">
            <w:r w:rsidRPr="001D4C20">
              <w:rPr>
                <w:rStyle w:val="Lienhypertexte"/>
                <w:noProof/>
              </w:rPr>
              <w:t>51.43 Cloisons mobiles pivotantes CCTB 01.11</w:t>
            </w:r>
            <w:r>
              <w:rPr>
                <w:noProof/>
                <w:webHidden/>
              </w:rPr>
              <w:tab/>
            </w:r>
            <w:r>
              <w:rPr>
                <w:noProof/>
                <w:webHidden/>
              </w:rPr>
              <w:fldChar w:fldCharType="begin"/>
            </w:r>
            <w:r>
              <w:rPr>
                <w:noProof/>
                <w:webHidden/>
              </w:rPr>
              <w:instrText xml:space="preserve"> PAGEREF _Toc220490312 \h </w:instrText>
            </w:r>
            <w:r>
              <w:rPr>
                <w:noProof/>
                <w:webHidden/>
              </w:rPr>
            </w:r>
            <w:r>
              <w:rPr>
                <w:noProof/>
                <w:webHidden/>
              </w:rPr>
              <w:fldChar w:fldCharType="separate"/>
            </w:r>
            <w:r>
              <w:rPr>
                <w:noProof/>
                <w:webHidden/>
              </w:rPr>
              <w:t>112</w:t>
            </w:r>
            <w:r>
              <w:rPr>
                <w:noProof/>
                <w:webHidden/>
              </w:rPr>
              <w:fldChar w:fldCharType="end"/>
            </w:r>
          </w:hyperlink>
        </w:p>
        <w:p w14:paraId="0AE33275" w14:textId="679940A0"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13" w:history="1">
            <w:r w:rsidRPr="001D4C20">
              <w:rPr>
                <w:rStyle w:val="Lienhypertexte"/>
                <w:noProof/>
              </w:rPr>
              <w:t>51.43.1 Cloisons mobiles pivotantes CCTB 01.11</w:t>
            </w:r>
            <w:r>
              <w:rPr>
                <w:noProof/>
                <w:webHidden/>
              </w:rPr>
              <w:tab/>
            </w:r>
            <w:r>
              <w:rPr>
                <w:noProof/>
                <w:webHidden/>
              </w:rPr>
              <w:fldChar w:fldCharType="begin"/>
            </w:r>
            <w:r>
              <w:rPr>
                <w:noProof/>
                <w:webHidden/>
              </w:rPr>
              <w:instrText xml:space="preserve"> PAGEREF _Toc220490313 \h </w:instrText>
            </w:r>
            <w:r>
              <w:rPr>
                <w:noProof/>
                <w:webHidden/>
              </w:rPr>
            </w:r>
            <w:r>
              <w:rPr>
                <w:noProof/>
                <w:webHidden/>
              </w:rPr>
              <w:fldChar w:fldCharType="separate"/>
            </w:r>
            <w:r>
              <w:rPr>
                <w:noProof/>
                <w:webHidden/>
              </w:rPr>
              <w:t>112</w:t>
            </w:r>
            <w:r>
              <w:rPr>
                <w:noProof/>
                <w:webHidden/>
              </w:rPr>
              <w:fldChar w:fldCharType="end"/>
            </w:r>
          </w:hyperlink>
        </w:p>
        <w:p w14:paraId="491363CE" w14:textId="2B02F82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14" w:history="1">
            <w:r w:rsidRPr="001D4C20">
              <w:rPr>
                <w:rStyle w:val="Lienhypertexte"/>
                <w:noProof/>
              </w:rPr>
              <w:t>51.43.1a Cloisons mobiles pivotantes CCTB 01.11</w:t>
            </w:r>
            <w:r>
              <w:rPr>
                <w:noProof/>
                <w:webHidden/>
              </w:rPr>
              <w:tab/>
            </w:r>
            <w:r>
              <w:rPr>
                <w:noProof/>
                <w:webHidden/>
              </w:rPr>
              <w:fldChar w:fldCharType="begin"/>
            </w:r>
            <w:r>
              <w:rPr>
                <w:noProof/>
                <w:webHidden/>
              </w:rPr>
              <w:instrText xml:space="preserve"> PAGEREF _Toc220490314 \h </w:instrText>
            </w:r>
            <w:r>
              <w:rPr>
                <w:noProof/>
                <w:webHidden/>
              </w:rPr>
            </w:r>
            <w:r>
              <w:rPr>
                <w:noProof/>
                <w:webHidden/>
              </w:rPr>
              <w:fldChar w:fldCharType="separate"/>
            </w:r>
            <w:r>
              <w:rPr>
                <w:noProof/>
                <w:webHidden/>
              </w:rPr>
              <w:t>112</w:t>
            </w:r>
            <w:r>
              <w:rPr>
                <w:noProof/>
                <w:webHidden/>
              </w:rPr>
              <w:fldChar w:fldCharType="end"/>
            </w:r>
          </w:hyperlink>
        </w:p>
        <w:p w14:paraId="07E8C39C" w14:textId="4329E535"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315" w:history="1">
            <w:r w:rsidRPr="001D4C20">
              <w:rPr>
                <w:rStyle w:val="Lienhypertexte"/>
                <w:noProof/>
              </w:rPr>
              <w:t>51.44 Cloisons mobiles en accordéon CCTB 01.12</w:t>
            </w:r>
            <w:r>
              <w:rPr>
                <w:noProof/>
                <w:webHidden/>
              </w:rPr>
              <w:tab/>
            </w:r>
            <w:r>
              <w:rPr>
                <w:noProof/>
                <w:webHidden/>
              </w:rPr>
              <w:fldChar w:fldCharType="begin"/>
            </w:r>
            <w:r>
              <w:rPr>
                <w:noProof/>
                <w:webHidden/>
              </w:rPr>
              <w:instrText xml:space="preserve"> PAGEREF _Toc220490315 \h </w:instrText>
            </w:r>
            <w:r>
              <w:rPr>
                <w:noProof/>
                <w:webHidden/>
              </w:rPr>
            </w:r>
            <w:r>
              <w:rPr>
                <w:noProof/>
                <w:webHidden/>
              </w:rPr>
              <w:fldChar w:fldCharType="separate"/>
            </w:r>
            <w:r>
              <w:rPr>
                <w:noProof/>
                <w:webHidden/>
              </w:rPr>
              <w:t>118</w:t>
            </w:r>
            <w:r>
              <w:rPr>
                <w:noProof/>
                <w:webHidden/>
              </w:rPr>
              <w:fldChar w:fldCharType="end"/>
            </w:r>
          </w:hyperlink>
        </w:p>
        <w:p w14:paraId="07A4EF1F" w14:textId="0D2EB0F6"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16" w:history="1">
            <w:r w:rsidRPr="001D4C20">
              <w:rPr>
                <w:rStyle w:val="Lienhypertexte"/>
                <w:noProof/>
              </w:rPr>
              <w:t>51.44.1 Cloisons mobiles en accordéon CCTB 01.11</w:t>
            </w:r>
            <w:r>
              <w:rPr>
                <w:noProof/>
                <w:webHidden/>
              </w:rPr>
              <w:tab/>
            </w:r>
            <w:r>
              <w:rPr>
                <w:noProof/>
                <w:webHidden/>
              </w:rPr>
              <w:fldChar w:fldCharType="begin"/>
            </w:r>
            <w:r>
              <w:rPr>
                <w:noProof/>
                <w:webHidden/>
              </w:rPr>
              <w:instrText xml:space="preserve"> PAGEREF _Toc220490316 \h </w:instrText>
            </w:r>
            <w:r>
              <w:rPr>
                <w:noProof/>
                <w:webHidden/>
              </w:rPr>
            </w:r>
            <w:r>
              <w:rPr>
                <w:noProof/>
                <w:webHidden/>
              </w:rPr>
              <w:fldChar w:fldCharType="separate"/>
            </w:r>
            <w:r>
              <w:rPr>
                <w:noProof/>
                <w:webHidden/>
              </w:rPr>
              <w:t>118</w:t>
            </w:r>
            <w:r>
              <w:rPr>
                <w:noProof/>
                <w:webHidden/>
              </w:rPr>
              <w:fldChar w:fldCharType="end"/>
            </w:r>
          </w:hyperlink>
        </w:p>
        <w:p w14:paraId="5D763B9F" w14:textId="7BE4109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17" w:history="1">
            <w:r w:rsidRPr="001D4C20">
              <w:rPr>
                <w:rStyle w:val="Lienhypertexte"/>
                <w:noProof/>
              </w:rPr>
              <w:t>51.44.1a Cloisons mobiles en accordéon CCTB 01.11</w:t>
            </w:r>
            <w:r>
              <w:rPr>
                <w:noProof/>
                <w:webHidden/>
              </w:rPr>
              <w:tab/>
            </w:r>
            <w:r>
              <w:rPr>
                <w:noProof/>
                <w:webHidden/>
              </w:rPr>
              <w:fldChar w:fldCharType="begin"/>
            </w:r>
            <w:r>
              <w:rPr>
                <w:noProof/>
                <w:webHidden/>
              </w:rPr>
              <w:instrText xml:space="preserve"> PAGEREF _Toc220490317 \h </w:instrText>
            </w:r>
            <w:r>
              <w:rPr>
                <w:noProof/>
                <w:webHidden/>
              </w:rPr>
            </w:r>
            <w:r>
              <w:rPr>
                <w:noProof/>
                <w:webHidden/>
              </w:rPr>
              <w:fldChar w:fldCharType="separate"/>
            </w:r>
            <w:r>
              <w:rPr>
                <w:noProof/>
                <w:webHidden/>
              </w:rPr>
              <w:t>118</w:t>
            </w:r>
            <w:r>
              <w:rPr>
                <w:noProof/>
                <w:webHidden/>
              </w:rPr>
              <w:fldChar w:fldCharType="end"/>
            </w:r>
          </w:hyperlink>
        </w:p>
        <w:p w14:paraId="1BDA27EB" w14:textId="49FFF15E"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318" w:history="1">
            <w:r w:rsidRPr="001D4C20">
              <w:rPr>
                <w:rStyle w:val="Lienhypertexte"/>
                <w:noProof/>
              </w:rPr>
              <w:t>51.45 Cloisons à panneaux indépendants mobiles (sur ou sans rail) CCTB 01.02</w:t>
            </w:r>
            <w:r>
              <w:rPr>
                <w:noProof/>
                <w:webHidden/>
              </w:rPr>
              <w:tab/>
            </w:r>
            <w:r>
              <w:rPr>
                <w:noProof/>
                <w:webHidden/>
              </w:rPr>
              <w:fldChar w:fldCharType="begin"/>
            </w:r>
            <w:r>
              <w:rPr>
                <w:noProof/>
                <w:webHidden/>
              </w:rPr>
              <w:instrText xml:space="preserve"> PAGEREF _Toc220490318 \h </w:instrText>
            </w:r>
            <w:r>
              <w:rPr>
                <w:noProof/>
                <w:webHidden/>
              </w:rPr>
            </w:r>
            <w:r>
              <w:rPr>
                <w:noProof/>
                <w:webHidden/>
              </w:rPr>
              <w:fldChar w:fldCharType="separate"/>
            </w:r>
            <w:r>
              <w:rPr>
                <w:noProof/>
                <w:webHidden/>
              </w:rPr>
              <w:t>121</w:t>
            </w:r>
            <w:r>
              <w:rPr>
                <w:noProof/>
                <w:webHidden/>
              </w:rPr>
              <w:fldChar w:fldCharType="end"/>
            </w:r>
          </w:hyperlink>
        </w:p>
        <w:p w14:paraId="1B3A1E17" w14:textId="53BDEBE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19" w:history="1">
            <w:r w:rsidRPr="001D4C20">
              <w:rPr>
                <w:rStyle w:val="Lienhypertexte"/>
                <w:noProof/>
              </w:rPr>
              <w:t>51.45.1 Cloisons à panneaux indépendants mobiles (sur ou sans rail) CCTB 01.02</w:t>
            </w:r>
            <w:r>
              <w:rPr>
                <w:noProof/>
                <w:webHidden/>
              </w:rPr>
              <w:tab/>
            </w:r>
            <w:r>
              <w:rPr>
                <w:noProof/>
                <w:webHidden/>
              </w:rPr>
              <w:fldChar w:fldCharType="begin"/>
            </w:r>
            <w:r>
              <w:rPr>
                <w:noProof/>
                <w:webHidden/>
              </w:rPr>
              <w:instrText xml:space="preserve"> PAGEREF _Toc220490319 \h </w:instrText>
            </w:r>
            <w:r>
              <w:rPr>
                <w:noProof/>
                <w:webHidden/>
              </w:rPr>
            </w:r>
            <w:r>
              <w:rPr>
                <w:noProof/>
                <w:webHidden/>
              </w:rPr>
              <w:fldChar w:fldCharType="separate"/>
            </w:r>
            <w:r>
              <w:rPr>
                <w:noProof/>
                <w:webHidden/>
              </w:rPr>
              <w:t>121</w:t>
            </w:r>
            <w:r>
              <w:rPr>
                <w:noProof/>
                <w:webHidden/>
              </w:rPr>
              <w:fldChar w:fldCharType="end"/>
            </w:r>
          </w:hyperlink>
        </w:p>
        <w:p w14:paraId="1FA12948" w14:textId="586E5FE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20" w:history="1">
            <w:r w:rsidRPr="001D4C20">
              <w:rPr>
                <w:rStyle w:val="Lienhypertexte"/>
                <w:noProof/>
              </w:rPr>
              <w:t>51.45.1a Cloisons acoustiques à panneaux indépendants mobiles (sur ou sans rail) CCTB 01.12</w:t>
            </w:r>
            <w:r>
              <w:rPr>
                <w:noProof/>
                <w:webHidden/>
              </w:rPr>
              <w:tab/>
            </w:r>
            <w:r>
              <w:rPr>
                <w:noProof/>
                <w:webHidden/>
              </w:rPr>
              <w:fldChar w:fldCharType="begin"/>
            </w:r>
            <w:r>
              <w:rPr>
                <w:noProof/>
                <w:webHidden/>
              </w:rPr>
              <w:instrText xml:space="preserve"> PAGEREF _Toc220490320 \h </w:instrText>
            </w:r>
            <w:r>
              <w:rPr>
                <w:noProof/>
                <w:webHidden/>
              </w:rPr>
            </w:r>
            <w:r>
              <w:rPr>
                <w:noProof/>
                <w:webHidden/>
              </w:rPr>
              <w:fldChar w:fldCharType="separate"/>
            </w:r>
            <w:r>
              <w:rPr>
                <w:noProof/>
                <w:webHidden/>
              </w:rPr>
              <w:t>121</w:t>
            </w:r>
            <w:r>
              <w:rPr>
                <w:noProof/>
                <w:webHidden/>
              </w:rPr>
              <w:fldChar w:fldCharType="end"/>
            </w:r>
          </w:hyperlink>
        </w:p>
        <w:p w14:paraId="04B9693B" w14:textId="00CA6536"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321" w:history="1">
            <w:r w:rsidRPr="001D4C20">
              <w:rPr>
                <w:rStyle w:val="Lienhypertexte"/>
                <w:noProof/>
              </w:rPr>
              <w:t>51.46 Ecrans de séparation mobiles CCTB 01.11</w:t>
            </w:r>
            <w:r>
              <w:rPr>
                <w:noProof/>
                <w:webHidden/>
              </w:rPr>
              <w:tab/>
            </w:r>
            <w:r>
              <w:rPr>
                <w:noProof/>
                <w:webHidden/>
              </w:rPr>
              <w:fldChar w:fldCharType="begin"/>
            </w:r>
            <w:r>
              <w:rPr>
                <w:noProof/>
                <w:webHidden/>
              </w:rPr>
              <w:instrText xml:space="preserve"> PAGEREF _Toc220490321 \h </w:instrText>
            </w:r>
            <w:r>
              <w:rPr>
                <w:noProof/>
                <w:webHidden/>
              </w:rPr>
            </w:r>
            <w:r>
              <w:rPr>
                <w:noProof/>
                <w:webHidden/>
              </w:rPr>
              <w:fldChar w:fldCharType="separate"/>
            </w:r>
            <w:r>
              <w:rPr>
                <w:noProof/>
                <w:webHidden/>
              </w:rPr>
              <w:t>124</w:t>
            </w:r>
            <w:r>
              <w:rPr>
                <w:noProof/>
                <w:webHidden/>
              </w:rPr>
              <w:fldChar w:fldCharType="end"/>
            </w:r>
          </w:hyperlink>
        </w:p>
        <w:p w14:paraId="5806A724" w14:textId="6C1E0EB4"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22" w:history="1">
            <w:r w:rsidRPr="001D4C20">
              <w:rPr>
                <w:rStyle w:val="Lienhypertexte"/>
                <w:noProof/>
              </w:rPr>
              <w:t>51.46.1 Ecran de séparation mobiles métalliques CCTB 01.11</w:t>
            </w:r>
            <w:r>
              <w:rPr>
                <w:noProof/>
                <w:webHidden/>
              </w:rPr>
              <w:tab/>
            </w:r>
            <w:r>
              <w:rPr>
                <w:noProof/>
                <w:webHidden/>
              </w:rPr>
              <w:fldChar w:fldCharType="begin"/>
            </w:r>
            <w:r>
              <w:rPr>
                <w:noProof/>
                <w:webHidden/>
              </w:rPr>
              <w:instrText xml:space="preserve"> PAGEREF _Toc220490322 \h </w:instrText>
            </w:r>
            <w:r>
              <w:rPr>
                <w:noProof/>
                <w:webHidden/>
              </w:rPr>
            </w:r>
            <w:r>
              <w:rPr>
                <w:noProof/>
                <w:webHidden/>
              </w:rPr>
              <w:fldChar w:fldCharType="separate"/>
            </w:r>
            <w:r>
              <w:rPr>
                <w:noProof/>
                <w:webHidden/>
              </w:rPr>
              <w:t>124</w:t>
            </w:r>
            <w:r>
              <w:rPr>
                <w:noProof/>
                <w:webHidden/>
              </w:rPr>
              <w:fldChar w:fldCharType="end"/>
            </w:r>
          </w:hyperlink>
        </w:p>
        <w:p w14:paraId="1246FE73" w14:textId="6A972E1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23" w:history="1">
            <w:r w:rsidRPr="001D4C20">
              <w:rPr>
                <w:rStyle w:val="Lienhypertexte"/>
                <w:noProof/>
              </w:rPr>
              <w:t>51.46.1a Ecran de séparation mobiles métalliques CCTB 01.11</w:t>
            </w:r>
            <w:r>
              <w:rPr>
                <w:noProof/>
                <w:webHidden/>
              </w:rPr>
              <w:tab/>
            </w:r>
            <w:r>
              <w:rPr>
                <w:noProof/>
                <w:webHidden/>
              </w:rPr>
              <w:fldChar w:fldCharType="begin"/>
            </w:r>
            <w:r>
              <w:rPr>
                <w:noProof/>
                <w:webHidden/>
              </w:rPr>
              <w:instrText xml:space="preserve"> PAGEREF _Toc220490323 \h </w:instrText>
            </w:r>
            <w:r>
              <w:rPr>
                <w:noProof/>
                <w:webHidden/>
              </w:rPr>
            </w:r>
            <w:r>
              <w:rPr>
                <w:noProof/>
                <w:webHidden/>
              </w:rPr>
              <w:fldChar w:fldCharType="separate"/>
            </w:r>
            <w:r>
              <w:rPr>
                <w:noProof/>
                <w:webHidden/>
              </w:rPr>
              <w:t>125</w:t>
            </w:r>
            <w:r>
              <w:rPr>
                <w:noProof/>
                <w:webHidden/>
              </w:rPr>
              <w:fldChar w:fldCharType="end"/>
            </w:r>
          </w:hyperlink>
        </w:p>
        <w:p w14:paraId="489C4A9C" w14:textId="14FAFDEF"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24" w:history="1">
            <w:r w:rsidRPr="001D4C20">
              <w:rPr>
                <w:rStyle w:val="Lienhypertexte"/>
                <w:noProof/>
              </w:rPr>
              <w:t>51.46.2 Ecran de séparation mobiles synthétiques et composites CCTB 01.11</w:t>
            </w:r>
            <w:r>
              <w:rPr>
                <w:noProof/>
                <w:webHidden/>
              </w:rPr>
              <w:tab/>
            </w:r>
            <w:r>
              <w:rPr>
                <w:noProof/>
                <w:webHidden/>
              </w:rPr>
              <w:fldChar w:fldCharType="begin"/>
            </w:r>
            <w:r>
              <w:rPr>
                <w:noProof/>
                <w:webHidden/>
              </w:rPr>
              <w:instrText xml:space="preserve"> PAGEREF _Toc220490324 \h </w:instrText>
            </w:r>
            <w:r>
              <w:rPr>
                <w:noProof/>
                <w:webHidden/>
              </w:rPr>
            </w:r>
            <w:r>
              <w:rPr>
                <w:noProof/>
                <w:webHidden/>
              </w:rPr>
              <w:fldChar w:fldCharType="separate"/>
            </w:r>
            <w:r>
              <w:rPr>
                <w:noProof/>
                <w:webHidden/>
              </w:rPr>
              <w:t>126</w:t>
            </w:r>
            <w:r>
              <w:rPr>
                <w:noProof/>
                <w:webHidden/>
              </w:rPr>
              <w:fldChar w:fldCharType="end"/>
            </w:r>
          </w:hyperlink>
        </w:p>
        <w:p w14:paraId="2EE70B6E" w14:textId="3774DCC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25" w:history="1">
            <w:r w:rsidRPr="001D4C20">
              <w:rPr>
                <w:rStyle w:val="Lienhypertexte"/>
                <w:noProof/>
              </w:rPr>
              <w:t>51.46.2a Ecran de séparation mobiles synthétiques et composites CCTB 01.11</w:t>
            </w:r>
            <w:r>
              <w:rPr>
                <w:noProof/>
                <w:webHidden/>
              </w:rPr>
              <w:tab/>
            </w:r>
            <w:r>
              <w:rPr>
                <w:noProof/>
                <w:webHidden/>
              </w:rPr>
              <w:fldChar w:fldCharType="begin"/>
            </w:r>
            <w:r>
              <w:rPr>
                <w:noProof/>
                <w:webHidden/>
              </w:rPr>
              <w:instrText xml:space="preserve"> PAGEREF _Toc220490325 \h </w:instrText>
            </w:r>
            <w:r>
              <w:rPr>
                <w:noProof/>
                <w:webHidden/>
              </w:rPr>
            </w:r>
            <w:r>
              <w:rPr>
                <w:noProof/>
                <w:webHidden/>
              </w:rPr>
              <w:fldChar w:fldCharType="separate"/>
            </w:r>
            <w:r>
              <w:rPr>
                <w:noProof/>
                <w:webHidden/>
              </w:rPr>
              <w:t>126</w:t>
            </w:r>
            <w:r>
              <w:rPr>
                <w:noProof/>
                <w:webHidden/>
              </w:rPr>
              <w:fldChar w:fldCharType="end"/>
            </w:r>
          </w:hyperlink>
        </w:p>
        <w:p w14:paraId="70AE3CBF" w14:textId="59E1A93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26" w:history="1">
            <w:r w:rsidRPr="001D4C20">
              <w:rPr>
                <w:rStyle w:val="Lienhypertexte"/>
                <w:noProof/>
              </w:rPr>
              <w:t>51.46.3 Ecran de séparation mobiles en textile CCTB 01.11</w:t>
            </w:r>
            <w:r>
              <w:rPr>
                <w:noProof/>
                <w:webHidden/>
              </w:rPr>
              <w:tab/>
            </w:r>
            <w:r>
              <w:rPr>
                <w:noProof/>
                <w:webHidden/>
              </w:rPr>
              <w:fldChar w:fldCharType="begin"/>
            </w:r>
            <w:r>
              <w:rPr>
                <w:noProof/>
                <w:webHidden/>
              </w:rPr>
              <w:instrText xml:space="preserve"> PAGEREF _Toc220490326 \h </w:instrText>
            </w:r>
            <w:r>
              <w:rPr>
                <w:noProof/>
                <w:webHidden/>
              </w:rPr>
            </w:r>
            <w:r>
              <w:rPr>
                <w:noProof/>
                <w:webHidden/>
              </w:rPr>
              <w:fldChar w:fldCharType="separate"/>
            </w:r>
            <w:r>
              <w:rPr>
                <w:noProof/>
                <w:webHidden/>
              </w:rPr>
              <w:t>127</w:t>
            </w:r>
            <w:r>
              <w:rPr>
                <w:noProof/>
                <w:webHidden/>
              </w:rPr>
              <w:fldChar w:fldCharType="end"/>
            </w:r>
          </w:hyperlink>
        </w:p>
        <w:p w14:paraId="675D57A8" w14:textId="40F98A6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27" w:history="1">
            <w:r w:rsidRPr="001D4C20">
              <w:rPr>
                <w:rStyle w:val="Lienhypertexte"/>
                <w:noProof/>
              </w:rPr>
              <w:t>51.46.3a Ecran de séparation mobiles en textile CCTB 01.11</w:t>
            </w:r>
            <w:r>
              <w:rPr>
                <w:noProof/>
                <w:webHidden/>
              </w:rPr>
              <w:tab/>
            </w:r>
            <w:r>
              <w:rPr>
                <w:noProof/>
                <w:webHidden/>
              </w:rPr>
              <w:fldChar w:fldCharType="begin"/>
            </w:r>
            <w:r>
              <w:rPr>
                <w:noProof/>
                <w:webHidden/>
              </w:rPr>
              <w:instrText xml:space="preserve"> PAGEREF _Toc220490327 \h </w:instrText>
            </w:r>
            <w:r>
              <w:rPr>
                <w:noProof/>
                <w:webHidden/>
              </w:rPr>
            </w:r>
            <w:r>
              <w:rPr>
                <w:noProof/>
                <w:webHidden/>
              </w:rPr>
              <w:fldChar w:fldCharType="separate"/>
            </w:r>
            <w:r>
              <w:rPr>
                <w:noProof/>
                <w:webHidden/>
              </w:rPr>
              <w:t>128</w:t>
            </w:r>
            <w:r>
              <w:rPr>
                <w:noProof/>
                <w:webHidden/>
              </w:rPr>
              <w:fldChar w:fldCharType="end"/>
            </w:r>
          </w:hyperlink>
        </w:p>
        <w:p w14:paraId="02F8B402" w14:textId="451A9C79"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28" w:history="1">
            <w:r w:rsidRPr="001D4C20">
              <w:rPr>
                <w:rStyle w:val="Lienhypertexte"/>
                <w:noProof/>
              </w:rPr>
              <w:t>51.46.4 Ecran de séparation mobiles mixtes CCTB 01.02</w:t>
            </w:r>
            <w:r>
              <w:rPr>
                <w:noProof/>
                <w:webHidden/>
              </w:rPr>
              <w:tab/>
            </w:r>
            <w:r>
              <w:rPr>
                <w:noProof/>
                <w:webHidden/>
              </w:rPr>
              <w:fldChar w:fldCharType="begin"/>
            </w:r>
            <w:r>
              <w:rPr>
                <w:noProof/>
                <w:webHidden/>
              </w:rPr>
              <w:instrText xml:space="preserve"> PAGEREF _Toc220490328 \h </w:instrText>
            </w:r>
            <w:r>
              <w:rPr>
                <w:noProof/>
                <w:webHidden/>
              </w:rPr>
            </w:r>
            <w:r>
              <w:rPr>
                <w:noProof/>
                <w:webHidden/>
              </w:rPr>
              <w:fldChar w:fldCharType="separate"/>
            </w:r>
            <w:r>
              <w:rPr>
                <w:noProof/>
                <w:webHidden/>
              </w:rPr>
              <w:t>129</w:t>
            </w:r>
            <w:r>
              <w:rPr>
                <w:noProof/>
                <w:webHidden/>
              </w:rPr>
              <w:fldChar w:fldCharType="end"/>
            </w:r>
          </w:hyperlink>
        </w:p>
        <w:p w14:paraId="1A1E5A64" w14:textId="5A7CC63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29" w:history="1">
            <w:r w:rsidRPr="001D4C20">
              <w:rPr>
                <w:rStyle w:val="Lienhypertexte"/>
                <w:noProof/>
              </w:rPr>
              <w:t>51.46.4a Ecran de séparation mobiles mixtes CCTB 01.02</w:t>
            </w:r>
            <w:r>
              <w:rPr>
                <w:noProof/>
                <w:webHidden/>
              </w:rPr>
              <w:tab/>
            </w:r>
            <w:r>
              <w:rPr>
                <w:noProof/>
                <w:webHidden/>
              </w:rPr>
              <w:fldChar w:fldCharType="begin"/>
            </w:r>
            <w:r>
              <w:rPr>
                <w:noProof/>
                <w:webHidden/>
              </w:rPr>
              <w:instrText xml:space="preserve"> PAGEREF _Toc220490329 \h </w:instrText>
            </w:r>
            <w:r>
              <w:rPr>
                <w:noProof/>
                <w:webHidden/>
              </w:rPr>
            </w:r>
            <w:r>
              <w:rPr>
                <w:noProof/>
                <w:webHidden/>
              </w:rPr>
              <w:fldChar w:fldCharType="separate"/>
            </w:r>
            <w:r>
              <w:rPr>
                <w:noProof/>
                <w:webHidden/>
              </w:rPr>
              <w:t>129</w:t>
            </w:r>
            <w:r>
              <w:rPr>
                <w:noProof/>
                <w:webHidden/>
              </w:rPr>
              <w:fldChar w:fldCharType="end"/>
            </w:r>
          </w:hyperlink>
        </w:p>
        <w:p w14:paraId="197E6182" w14:textId="24CD8FF8"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330" w:history="1">
            <w:r w:rsidRPr="001D4C20">
              <w:rPr>
                <w:rStyle w:val="Lienhypertexte"/>
                <w:noProof/>
              </w:rPr>
              <w:t>51.47 Rideaux séparateurs CCTB 01.02</w:t>
            </w:r>
            <w:r>
              <w:rPr>
                <w:noProof/>
                <w:webHidden/>
              </w:rPr>
              <w:tab/>
            </w:r>
            <w:r>
              <w:rPr>
                <w:noProof/>
                <w:webHidden/>
              </w:rPr>
              <w:fldChar w:fldCharType="begin"/>
            </w:r>
            <w:r>
              <w:rPr>
                <w:noProof/>
                <w:webHidden/>
              </w:rPr>
              <w:instrText xml:space="preserve"> PAGEREF _Toc220490330 \h </w:instrText>
            </w:r>
            <w:r>
              <w:rPr>
                <w:noProof/>
                <w:webHidden/>
              </w:rPr>
            </w:r>
            <w:r>
              <w:rPr>
                <w:noProof/>
                <w:webHidden/>
              </w:rPr>
              <w:fldChar w:fldCharType="separate"/>
            </w:r>
            <w:r>
              <w:rPr>
                <w:noProof/>
                <w:webHidden/>
              </w:rPr>
              <w:t>130</w:t>
            </w:r>
            <w:r>
              <w:rPr>
                <w:noProof/>
                <w:webHidden/>
              </w:rPr>
              <w:fldChar w:fldCharType="end"/>
            </w:r>
          </w:hyperlink>
        </w:p>
        <w:p w14:paraId="206F8508" w14:textId="3F591C6E"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31" w:history="1">
            <w:r w:rsidRPr="001D4C20">
              <w:rPr>
                <w:rStyle w:val="Lienhypertexte"/>
                <w:noProof/>
              </w:rPr>
              <w:t>51.47.1 Rideaux séparateurs métalliques CCTB 01.02</w:t>
            </w:r>
            <w:r>
              <w:rPr>
                <w:noProof/>
                <w:webHidden/>
              </w:rPr>
              <w:tab/>
            </w:r>
            <w:r>
              <w:rPr>
                <w:noProof/>
                <w:webHidden/>
              </w:rPr>
              <w:fldChar w:fldCharType="begin"/>
            </w:r>
            <w:r>
              <w:rPr>
                <w:noProof/>
                <w:webHidden/>
              </w:rPr>
              <w:instrText xml:space="preserve"> PAGEREF _Toc220490331 \h </w:instrText>
            </w:r>
            <w:r>
              <w:rPr>
                <w:noProof/>
                <w:webHidden/>
              </w:rPr>
            </w:r>
            <w:r>
              <w:rPr>
                <w:noProof/>
                <w:webHidden/>
              </w:rPr>
              <w:fldChar w:fldCharType="separate"/>
            </w:r>
            <w:r>
              <w:rPr>
                <w:noProof/>
                <w:webHidden/>
              </w:rPr>
              <w:t>130</w:t>
            </w:r>
            <w:r>
              <w:rPr>
                <w:noProof/>
                <w:webHidden/>
              </w:rPr>
              <w:fldChar w:fldCharType="end"/>
            </w:r>
          </w:hyperlink>
        </w:p>
        <w:p w14:paraId="714F3E59" w14:textId="3B33DA3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32" w:history="1">
            <w:r w:rsidRPr="001D4C20">
              <w:rPr>
                <w:rStyle w:val="Lienhypertexte"/>
                <w:noProof/>
              </w:rPr>
              <w:t>51.47.1a Rideaux séparateurs métalliques CCTB 01.02</w:t>
            </w:r>
            <w:r>
              <w:rPr>
                <w:noProof/>
                <w:webHidden/>
              </w:rPr>
              <w:tab/>
            </w:r>
            <w:r>
              <w:rPr>
                <w:noProof/>
                <w:webHidden/>
              </w:rPr>
              <w:fldChar w:fldCharType="begin"/>
            </w:r>
            <w:r>
              <w:rPr>
                <w:noProof/>
                <w:webHidden/>
              </w:rPr>
              <w:instrText xml:space="preserve"> PAGEREF _Toc220490332 \h </w:instrText>
            </w:r>
            <w:r>
              <w:rPr>
                <w:noProof/>
                <w:webHidden/>
              </w:rPr>
            </w:r>
            <w:r>
              <w:rPr>
                <w:noProof/>
                <w:webHidden/>
              </w:rPr>
              <w:fldChar w:fldCharType="separate"/>
            </w:r>
            <w:r>
              <w:rPr>
                <w:noProof/>
                <w:webHidden/>
              </w:rPr>
              <w:t>130</w:t>
            </w:r>
            <w:r>
              <w:rPr>
                <w:noProof/>
                <w:webHidden/>
              </w:rPr>
              <w:fldChar w:fldCharType="end"/>
            </w:r>
          </w:hyperlink>
        </w:p>
        <w:p w14:paraId="0817D040" w14:textId="789240E1"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33" w:history="1">
            <w:r w:rsidRPr="001D4C20">
              <w:rPr>
                <w:rStyle w:val="Lienhypertexte"/>
                <w:noProof/>
              </w:rPr>
              <w:t>51.47.2 Rideaux séparateurs synthétiques et composites CCTB 01.02</w:t>
            </w:r>
            <w:r>
              <w:rPr>
                <w:noProof/>
                <w:webHidden/>
              </w:rPr>
              <w:tab/>
            </w:r>
            <w:r>
              <w:rPr>
                <w:noProof/>
                <w:webHidden/>
              </w:rPr>
              <w:fldChar w:fldCharType="begin"/>
            </w:r>
            <w:r>
              <w:rPr>
                <w:noProof/>
                <w:webHidden/>
              </w:rPr>
              <w:instrText xml:space="preserve"> PAGEREF _Toc220490333 \h </w:instrText>
            </w:r>
            <w:r>
              <w:rPr>
                <w:noProof/>
                <w:webHidden/>
              </w:rPr>
            </w:r>
            <w:r>
              <w:rPr>
                <w:noProof/>
                <w:webHidden/>
              </w:rPr>
              <w:fldChar w:fldCharType="separate"/>
            </w:r>
            <w:r>
              <w:rPr>
                <w:noProof/>
                <w:webHidden/>
              </w:rPr>
              <w:t>130</w:t>
            </w:r>
            <w:r>
              <w:rPr>
                <w:noProof/>
                <w:webHidden/>
              </w:rPr>
              <w:fldChar w:fldCharType="end"/>
            </w:r>
          </w:hyperlink>
        </w:p>
        <w:p w14:paraId="149CDABB" w14:textId="4B42CE8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34" w:history="1">
            <w:r w:rsidRPr="001D4C20">
              <w:rPr>
                <w:rStyle w:val="Lienhypertexte"/>
                <w:noProof/>
              </w:rPr>
              <w:t>51.47.2a Rideaux séparateurs synthétiques et composites CCTB 01.02</w:t>
            </w:r>
            <w:r>
              <w:rPr>
                <w:noProof/>
                <w:webHidden/>
              </w:rPr>
              <w:tab/>
            </w:r>
            <w:r>
              <w:rPr>
                <w:noProof/>
                <w:webHidden/>
              </w:rPr>
              <w:fldChar w:fldCharType="begin"/>
            </w:r>
            <w:r>
              <w:rPr>
                <w:noProof/>
                <w:webHidden/>
              </w:rPr>
              <w:instrText xml:space="preserve"> PAGEREF _Toc220490334 \h </w:instrText>
            </w:r>
            <w:r>
              <w:rPr>
                <w:noProof/>
                <w:webHidden/>
              </w:rPr>
            </w:r>
            <w:r>
              <w:rPr>
                <w:noProof/>
                <w:webHidden/>
              </w:rPr>
              <w:fldChar w:fldCharType="separate"/>
            </w:r>
            <w:r>
              <w:rPr>
                <w:noProof/>
                <w:webHidden/>
              </w:rPr>
              <w:t>130</w:t>
            </w:r>
            <w:r>
              <w:rPr>
                <w:noProof/>
                <w:webHidden/>
              </w:rPr>
              <w:fldChar w:fldCharType="end"/>
            </w:r>
          </w:hyperlink>
        </w:p>
        <w:p w14:paraId="607FE33E" w14:textId="5F630C6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35" w:history="1">
            <w:r w:rsidRPr="001D4C20">
              <w:rPr>
                <w:rStyle w:val="Lienhypertexte"/>
                <w:noProof/>
              </w:rPr>
              <w:t>51.47.3 Rideaux séparateurs en textile CCTB 01.02</w:t>
            </w:r>
            <w:r>
              <w:rPr>
                <w:noProof/>
                <w:webHidden/>
              </w:rPr>
              <w:tab/>
            </w:r>
            <w:r>
              <w:rPr>
                <w:noProof/>
                <w:webHidden/>
              </w:rPr>
              <w:fldChar w:fldCharType="begin"/>
            </w:r>
            <w:r>
              <w:rPr>
                <w:noProof/>
                <w:webHidden/>
              </w:rPr>
              <w:instrText xml:space="preserve"> PAGEREF _Toc220490335 \h </w:instrText>
            </w:r>
            <w:r>
              <w:rPr>
                <w:noProof/>
                <w:webHidden/>
              </w:rPr>
            </w:r>
            <w:r>
              <w:rPr>
                <w:noProof/>
                <w:webHidden/>
              </w:rPr>
              <w:fldChar w:fldCharType="separate"/>
            </w:r>
            <w:r>
              <w:rPr>
                <w:noProof/>
                <w:webHidden/>
              </w:rPr>
              <w:t>130</w:t>
            </w:r>
            <w:r>
              <w:rPr>
                <w:noProof/>
                <w:webHidden/>
              </w:rPr>
              <w:fldChar w:fldCharType="end"/>
            </w:r>
          </w:hyperlink>
        </w:p>
        <w:p w14:paraId="253D9AEA" w14:textId="3E8F24A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36" w:history="1">
            <w:r w:rsidRPr="001D4C20">
              <w:rPr>
                <w:rStyle w:val="Lienhypertexte"/>
                <w:noProof/>
              </w:rPr>
              <w:t>51.47.3a Rideaux séparateurs en textile CCTB 01.02</w:t>
            </w:r>
            <w:r>
              <w:rPr>
                <w:noProof/>
                <w:webHidden/>
              </w:rPr>
              <w:tab/>
            </w:r>
            <w:r>
              <w:rPr>
                <w:noProof/>
                <w:webHidden/>
              </w:rPr>
              <w:fldChar w:fldCharType="begin"/>
            </w:r>
            <w:r>
              <w:rPr>
                <w:noProof/>
                <w:webHidden/>
              </w:rPr>
              <w:instrText xml:space="preserve"> PAGEREF _Toc220490336 \h </w:instrText>
            </w:r>
            <w:r>
              <w:rPr>
                <w:noProof/>
                <w:webHidden/>
              </w:rPr>
            </w:r>
            <w:r>
              <w:rPr>
                <w:noProof/>
                <w:webHidden/>
              </w:rPr>
              <w:fldChar w:fldCharType="separate"/>
            </w:r>
            <w:r>
              <w:rPr>
                <w:noProof/>
                <w:webHidden/>
              </w:rPr>
              <w:t>130</w:t>
            </w:r>
            <w:r>
              <w:rPr>
                <w:noProof/>
                <w:webHidden/>
              </w:rPr>
              <w:fldChar w:fldCharType="end"/>
            </w:r>
          </w:hyperlink>
        </w:p>
        <w:p w14:paraId="476CD13C" w14:textId="6CF560BB"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37" w:history="1">
            <w:r w:rsidRPr="001D4C20">
              <w:rPr>
                <w:rStyle w:val="Lienhypertexte"/>
                <w:noProof/>
              </w:rPr>
              <w:t>51.47.4 Rideaux séparateurs mixtes CCTB 01.02</w:t>
            </w:r>
            <w:r>
              <w:rPr>
                <w:noProof/>
                <w:webHidden/>
              </w:rPr>
              <w:tab/>
            </w:r>
            <w:r>
              <w:rPr>
                <w:noProof/>
                <w:webHidden/>
              </w:rPr>
              <w:fldChar w:fldCharType="begin"/>
            </w:r>
            <w:r>
              <w:rPr>
                <w:noProof/>
                <w:webHidden/>
              </w:rPr>
              <w:instrText xml:space="preserve"> PAGEREF _Toc220490337 \h </w:instrText>
            </w:r>
            <w:r>
              <w:rPr>
                <w:noProof/>
                <w:webHidden/>
              </w:rPr>
            </w:r>
            <w:r>
              <w:rPr>
                <w:noProof/>
                <w:webHidden/>
              </w:rPr>
              <w:fldChar w:fldCharType="separate"/>
            </w:r>
            <w:r>
              <w:rPr>
                <w:noProof/>
                <w:webHidden/>
              </w:rPr>
              <w:t>130</w:t>
            </w:r>
            <w:r>
              <w:rPr>
                <w:noProof/>
                <w:webHidden/>
              </w:rPr>
              <w:fldChar w:fldCharType="end"/>
            </w:r>
          </w:hyperlink>
        </w:p>
        <w:p w14:paraId="34A3B68D" w14:textId="603E0E4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38" w:history="1">
            <w:r w:rsidRPr="001D4C20">
              <w:rPr>
                <w:rStyle w:val="Lienhypertexte"/>
                <w:noProof/>
              </w:rPr>
              <w:t>51.47.4a Rideaux séparateurs mixtes CCTB 01.02</w:t>
            </w:r>
            <w:r>
              <w:rPr>
                <w:noProof/>
                <w:webHidden/>
              </w:rPr>
              <w:tab/>
            </w:r>
            <w:r>
              <w:rPr>
                <w:noProof/>
                <w:webHidden/>
              </w:rPr>
              <w:fldChar w:fldCharType="begin"/>
            </w:r>
            <w:r>
              <w:rPr>
                <w:noProof/>
                <w:webHidden/>
              </w:rPr>
              <w:instrText xml:space="preserve"> PAGEREF _Toc220490338 \h </w:instrText>
            </w:r>
            <w:r>
              <w:rPr>
                <w:noProof/>
                <w:webHidden/>
              </w:rPr>
            </w:r>
            <w:r>
              <w:rPr>
                <w:noProof/>
                <w:webHidden/>
              </w:rPr>
              <w:fldChar w:fldCharType="separate"/>
            </w:r>
            <w:r>
              <w:rPr>
                <w:noProof/>
                <w:webHidden/>
              </w:rPr>
              <w:t>130</w:t>
            </w:r>
            <w:r>
              <w:rPr>
                <w:noProof/>
                <w:webHidden/>
              </w:rPr>
              <w:fldChar w:fldCharType="end"/>
            </w:r>
          </w:hyperlink>
        </w:p>
        <w:p w14:paraId="079F0B34" w14:textId="758C9126"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339" w:history="1">
            <w:r w:rsidRPr="001D4C20">
              <w:rPr>
                <w:rStyle w:val="Lienhypertexte"/>
                <w:noProof/>
              </w:rPr>
              <w:t>51.5 Revêtements intérieurs enduits CCTB 01.12</w:t>
            </w:r>
            <w:r>
              <w:rPr>
                <w:noProof/>
                <w:webHidden/>
              </w:rPr>
              <w:tab/>
            </w:r>
            <w:r>
              <w:rPr>
                <w:noProof/>
                <w:webHidden/>
              </w:rPr>
              <w:fldChar w:fldCharType="begin"/>
            </w:r>
            <w:r>
              <w:rPr>
                <w:noProof/>
                <w:webHidden/>
              </w:rPr>
              <w:instrText xml:space="preserve"> PAGEREF _Toc220490339 \h </w:instrText>
            </w:r>
            <w:r>
              <w:rPr>
                <w:noProof/>
                <w:webHidden/>
              </w:rPr>
            </w:r>
            <w:r>
              <w:rPr>
                <w:noProof/>
                <w:webHidden/>
              </w:rPr>
              <w:fldChar w:fldCharType="separate"/>
            </w:r>
            <w:r>
              <w:rPr>
                <w:noProof/>
                <w:webHidden/>
              </w:rPr>
              <w:t>130</w:t>
            </w:r>
            <w:r>
              <w:rPr>
                <w:noProof/>
                <w:webHidden/>
              </w:rPr>
              <w:fldChar w:fldCharType="end"/>
            </w:r>
          </w:hyperlink>
        </w:p>
        <w:p w14:paraId="7B7D8468" w14:textId="766CDB8A"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340" w:history="1">
            <w:r w:rsidRPr="001D4C20">
              <w:rPr>
                <w:rStyle w:val="Lienhypertexte"/>
                <w:noProof/>
              </w:rPr>
              <w:t>51.51 Reconnaissance du support (examens complémentaires) CCTB 01.02</w:t>
            </w:r>
            <w:r>
              <w:rPr>
                <w:noProof/>
                <w:webHidden/>
              </w:rPr>
              <w:tab/>
            </w:r>
            <w:r>
              <w:rPr>
                <w:noProof/>
                <w:webHidden/>
              </w:rPr>
              <w:fldChar w:fldCharType="begin"/>
            </w:r>
            <w:r>
              <w:rPr>
                <w:noProof/>
                <w:webHidden/>
              </w:rPr>
              <w:instrText xml:space="preserve"> PAGEREF _Toc220490340 \h </w:instrText>
            </w:r>
            <w:r>
              <w:rPr>
                <w:noProof/>
                <w:webHidden/>
              </w:rPr>
            </w:r>
            <w:r>
              <w:rPr>
                <w:noProof/>
                <w:webHidden/>
              </w:rPr>
              <w:fldChar w:fldCharType="separate"/>
            </w:r>
            <w:r>
              <w:rPr>
                <w:noProof/>
                <w:webHidden/>
              </w:rPr>
              <w:t>135</w:t>
            </w:r>
            <w:r>
              <w:rPr>
                <w:noProof/>
                <w:webHidden/>
              </w:rPr>
              <w:fldChar w:fldCharType="end"/>
            </w:r>
          </w:hyperlink>
        </w:p>
        <w:p w14:paraId="194D84AB" w14:textId="33FD81D1"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41" w:history="1">
            <w:r w:rsidRPr="001D4C20">
              <w:rPr>
                <w:rStyle w:val="Lienhypertexte"/>
                <w:noProof/>
              </w:rPr>
              <w:t>51.51.1 Mesures de l'humidité du support CCTB 01.02</w:t>
            </w:r>
            <w:r>
              <w:rPr>
                <w:noProof/>
                <w:webHidden/>
              </w:rPr>
              <w:tab/>
            </w:r>
            <w:r>
              <w:rPr>
                <w:noProof/>
                <w:webHidden/>
              </w:rPr>
              <w:fldChar w:fldCharType="begin"/>
            </w:r>
            <w:r>
              <w:rPr>
                <w:noProof/>
                <w:webHidden/>
              </w:rPr>
              <w:instrText xml:space="preserve"> PAGEREF _Toc220490341 \h </w:instrText>
            </w:r>
            <w:r>
              <w:rPr>
                <w:noProof/>
                <w:webHidden/>
              </w:rPr>
            </w:r>
            <w:r>
              <w:rPr>
                <w:noProof/>
                <w:webHidden/>
              </w:rPr>
              <w:fldChar w:fldCharType="separate"/>
            </w:r>
            <w:r>
              <w:rPr>
                <w:noProof/>
                <w:webHidden/>
              </w:rPr>
              <w:t>135</w:t>
            </w:r>
            <w:r>
              <w:rPr>
                <w:noProof/>
                <w:webHidden/>
              </w:rPr>
              <w:fldChar w:fldCharType="end"/>
            </w:r>
          </w:hyperlink>
        </w:p>
        <w:p w14:paraId="4DE74366" w14:textId="3ECE5C2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42" w:history="1">
            <w:r w:rsidRPr="001D4C20">
              <w:rPr>
                <w:rStyle w:val="Lienhypertexte"/>
                <w:noProof/>
              </w:rPr>
              <w:t>51.51.1a Mesures de l'humidité du support CCTB 01.02</w:t>
            </w:r>
            <w:r>
              <w:rPr>
                <w:noProof/>
                <w:webHidden/>
              </w:rPr>
              <w:tab/>
            </w:r>
            <w:r>
              <w:rPr>
                <w:noProof/>
                <w:webHidden/>
              </w:rPr>
              <w:fldChar w:fldCharType="begin"/>
            </w:r>
            <w:r>
              <w:rPr>
                <w:noProof/>
                <w:webHidden/>
              </w:rPr>
              <w:instrText xml:space="preserve"> PAGEREF _Toc220490342 \h </w:instrText>
            </w:r>
            <w:r>
              <w:rPr>
                <w:noProof/>
                <w:webHidden/>
              </w:rPr>
            </w:r>
            <w:r>
              <w:rPr>
                <w:noProof/>
                <w:webHidden/>
              </w:rPr>
              <w:fldChar w:fldCharType="separate"/>
            </w:r>
            <w:r>
              <w:rPr>
                <w:noProof/>
                <w:webHidden/>
              </w:rPr>
              <w:t>135</w:t>
            </w:r>
            <w:r>
              <w:rPr>
                <w:noProof/>
                <w:webHidden/>
              </w:rPr>
              <w:fldChar w:fldCharType="end"/>
            </w:r>
          </w:hyperlink>
        </w:p>
        <w:p w14:paraId="3C11917F" w14:textId="2F43001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43" w:history="1">
            <w:r w:rsidRPr="001D4C20">
              <w:rPr>
                <w:rStyle w:val="Lienhypertexte"/>
                <w:noProof/>
              </w:rPr>
              <w:t>51.51.2 Contrôles de la cohésion du support CCTB 01.02</w:t>
            </w:r>
            <w:r>
              <w:rPr>
                <w:noProof/>
                <w:webHidden/>
              </w:rPr>
              <w:tab/>
            </w:r>
            <w:r>
              <w:rPr>
                <w:noProof/>
                <w:webHidden/>
              </w:rPr>
              <w:fldChar w:fldCharType="begin"/>
            </w:r>
            <w:r>
              <w:rPr>
                <w:noProof/>
                <w:webHidden/>
              </w:rPr>
              <w:instrText xml:space="preserve"> PAGEREF _Toc220490343 \h </w:instrText>
            </w:r>
            <w:r>
              <w:rPr>
                <w:noProof/>
                <w:webHidden/>
              </w:rPr>
            </w:r>
            <w:r>
              <w:rPr>
                <w:noProof/>
                <w:webHidden/>
              </w:rPr>
              <w:fldChar w:fldCharType="separate"/>
            </w:r>
            <w:r>
              <w:rPr>
                <w:noProof/>
                <w:webHidden/>
              </w:rPr>
              <w:t>135</w:t>
            </w:r>
            <w:r>
              <w:rPr>
                <w:noProof/>
                <w:webHidden/>
              </w:rPr>
              <w:fldChar w:fldCharType="end"/>
            </w:r>
          </w:hyperlink>
        </w:p>
        <w:p w14:paraId="09078F21" w14:textId="5520A90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44" w:history="1">
            <w:r w:rsidRPr="001D4C20">
              <w:rPr>
                <w:rStyle w:val="Lienhypertexte"/>
                <w:noProof/>
              </w:rPr>
              <w:t>51.51.2a Contrôle de la cohésion du support CCTB 01.02</w:t>
            </w:r>
            <w:r>
              <w:rPr>
                <w:noProof/>
                <w:webHidden/>
              </w:rPr>
              <w:tab/>
            </w:r>
            <w:r>
              <w:rPr>
                <w:noProof/>
                <w:webHidden/>
              </w:rPr>
              <w:fldChar w:fldCharType="begin"/>
            </w:r>
            <w:r>
              <w:rPr>
                <w:noProof/>
                <w:webHidden/>
              </w:rPr>
              <w:instrText xml:space="preserve"> PAGEREF _Toc220490344 \h </w:instrText>
            </w:r>
            <w:r>
              <w:rPr>
                <w:noProof/>
                <w:webHidden/>
              </w:rPr>
            </w:r>
            <w:r>
              <w:rPr>
                <w:noProof/>
                <w:webHidden/>
              </w:rPr>
              <w:fldChar w:fldCharType="separate"/>
            </w:r>
            <w:r>
              <w:rPr>
                <w:noProof/>
                <w:webHidden/>
              </w:rPr>
              <w:t>135</w:t>
            </w:r>
            <w:r>
              <w:rPr>
                <w:noProof/>
                <w:webHidden/>
              </w:rPr>
              <w:fldChar w:fldCharType="end"/>
            </w:r>
          </w:hyperlink>
        </w:p>
        <w:p w14:paraId="020A9E3D" w14:textId="609FF97A"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45" w:history="1">
            <w:r w:rsidRPr="001D4C20">
              <w:rPr>
                <w:rStyle w:val="Lienhypertexte"/>
                <w:noProof/>
              </w:rPr>
              <w:t>51.51.3 Contrôle d'adhérence du support CCTB 01.02</w:t>
            </w:r>
            <w:r>
              <w:rPr>
                <w:noProof/>
                <w:webHidden/>
              </w:rPr>
              <w:tab/>
            </w:r>
            <w:r>
              <w:rPr>
                <w:noProof/>
                <w:webHidden/>
              </w:rPr>
              <w:fldChar w:fldCharType="begin"/>
            </w:r>
            <w:r>
              <w:rPr>
                <w:noProof/>
                <w:webHidden/>
              </w:rPr>
              <w:instrText xml:space="preserve"> PAGEREF _Toc220490345 \h </w:instrText>
            </w:r>
            <w:r>
              <w:rPr>
                <w:noProof/>
                <w:webHidden/>
              </w:rPr>
            </w:r>
            <w:r>
              <w:rPr>
                <w:noProof/>
                <w:webHidden/>
              </w:rPr>
              <w:fldChar w:fldCharType="separate"/>
            </w:r>
            <w:r>
              <w:rPr>
                <w:noProof/>
                <w:webHidden/>
              </w:rPr>
              <w:t>135</w:t>
            </w:r>
            <w:r>
              <w:rPr>
                <w:noProof/>
                <w:webHidden/>
              </w:rPr>
              <w:fldChar w:fldCharType="end"/>
            </w:r>
          </w:hyperlink>
        </w:p>
        <w:p w14:paraId="6C6534F1" w14:textId="541FEE9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46" w:history="1">
            <w:r w:rsidRPr="001D4C20">
              <w:rPr>
                <w:rStyle w:val="Lienhypertexte"/>
                <w:noProof/>
              </w:rPr>
              <w:t>51.51.3a Contrôles d'adhérence du support CCTB 01.02</w:t>
            </w:r>
            <w:r>
              <w:rPr>
                <w:noProof/>
                <w:webHidden/>
              </w:rPr>
              <w:tab/>
            </w:r>
            <w:r>
              <w:rPr>
                <w:noProof/>
                <w:webHidden/>
              </w:rPr>
              <w:fldChar w:fldCharType="begin"/>
            </w:r>
            <w:r>
              <w:rPr>
                <w:noProof/>
                <w:webHidden/>
              </w:rPr>
              <w:instrText xml:space="preserve"> PAGEREF _Toc220490346 \h </w:instrText>
            </w:r>
            <w:r>
              <w:rPr>
                <w:noProof/>
                <w:webHidden/>
              </w:rPr>
            </w:r>
            <w:r>
              <w:rPr>
                <w:noProof/>
                <w:webHidden/>
              </w:rPr>
              <w:fldChar w:fldCharType="separate"/>
            </w:r>
            <w:r>
              <w:rPr>
                <w:noProof/>
                <w:webHidden/>
              </w:rPr>
              <w:t>135</w:t>
            </w:r>
            <w:r>
              <w:rPr>
                <w:noProof/>
                <w:webHidden/>
              </w:rPr>
              <w:fldChar w:fldCharType="end"/>
            </w:r>
          </w:hyperlink>
        </w:p>
        <w:p w14:paraId="01ACF6E5" w14:textId="6FEB4BEF"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47" w:history="1">
            <w:r w:rsidRPr="001D4C20">
              <w:rPr>
                <w:rStyle w:val="Lienhypertexte"/>
                <w:noProof/>
              </w:rPr>
              <w:t>51.51.4 Autres examens complémentaires CCTB 01.02</w:t>
            </w:r>
            <w:r>
              <w:rPr>
                <w:noProof/>
                <w:webHidden/>
              </w:rPr>
              <w:tab/>
            </w:r>
            <w:r>
              <w:rPr>
                <w:noProof/>
                <w:webHidden/>
              </w:rPr>
              <w:fldChar w:fldCharType="begin"/>
            </w:r>
            <w:r>
              <w:rPr>
                <w:noProof/>
                <w:webHidden/>
              </w:rPr>
              <w:instrText xml:space="preserve"> PAGEREF _Toc220490347 \h </w:instrText>
            </w:r>
            <w:r>
              <w:rPr>
                <w:noProof/>
                <w:webHidden/>
              </w:rPr>
            </w:r>
            <w:r>
              <w:rPr>
                <w:noProof/>
                <w:webHidden/>
              </w:rPr>
              <w:fldChar w:fldCharType="separate"/>
            </w:r>
            <w:r>
              <w:rPr>
                <w:noProof/>
                <w:webHidden/>
              </w:rPr>
              <w:t>135</w:t>
            </w:r>
            <w:r>
              <w:rPr>
                <w:noProof/>
                <w:webHidden/>
              </w:rPr>
              <w:fldChar w:fldCharType="end"/>
            </w:r>
          </w:hyperlink>
        </w:p>
        <w:p w14:paraId="6388649D" w14:textId="428E551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48" w:history="1">
            <w:r w:rsidRPr="001D4C20">
              <w:rPr>
                <w:rStyle w:val="Lienhypertexte"/>
                <w:noProof/>
              </w:rPr>
              <w:t>51.51.4a Autres examens complémentaires CCTB 01.02</w:t>
            </w:r>
            <w:r>
              <w:rPr>
                <w:noProof/>
                <w:webHidden/>
              </w:rPr>
              <w:tab/>
            </w:r>
            <w:r>
              <w:rPr>
                <w:noProof/>
                <w:webHidden/>
              </w:rPr>
              <w:fldChar w:fldCharType="begin"/>
            </w:r>
            <w:r>
              <w:rPr>
                <w:noProof/>
                <w:webHidden/>
              </w:rPr>
              <w:instrText xml:space="preserve"> PAGEREF _Toc220490348 \h </w:instrText>
            </w:r>
            <w:r>
              <w:rPr>
                <w:noProof/>
                <w:webHidden/>
              </w:rPr>
            </w:r>
            <w:r>
              <w:rPr>
                <w:noProof/>
                <w:webHidden/>
              </w:rPr>
              <w:fldChar w:fldCharType="separate"/>
            </w:r>
            <w:r>
              <w:rPr>
                <w:noProof/>
                <w:webHidden/>
              </w:rPr>
              <w:t>135</w:t>
            </w:r>
            <w:r>
              <w:rPr>
                <w:noProof/>
                <w:webHidden/>
              </w:rPr>
              <w:fldChar w:fldCharType="end"/>
            </w:r>
          </w:hyperlink>
        </w:p>
        <w:p w14:paraId="0288C870" w14:textId="195170CD"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349" w:history="1">
            <w:r w:rsidRPr="001D4C20">
              <w:rPr>
                <w:rStyle w:val="Lienhypertexte"/>
                <w:noProof/>
              </w:rPr>
              <w:t>51.52 Préparation du support CCTB 01.11</w:t>
            </w:r>
            <w:r>
              <w:rPr>
                <w:noProof/>
                <w:webHidden/>
              </w:rPr>
              <w:tab/>
            </w:r>
            <w:r>
              <w:rPr>
                <w:noProof/>
                <w:webHidden/>
              </w:rPr>
              <w:fldChar w:fldCharType="begin"/>
            </w:r>
            <w:r>
              <w:rPr>
                <w:noProof/>
                <w:webHidden/>
              </w:rPr>
              <w:instrText xml:space="preserve"> PAGEREF _Toc220490349 \h </w:instrText>
            </w:r>
            <w:r>
              <w:rPr>
                <w:noProof/>
                <w:webHidden/>
              </w:rPr>
            </w:r>
            <w:r>
              <w:rPr>
                <w:noProof/>
                <w:webHidden/>
              </w:rPr>
              <w:fldChar w:fldCharType="separate"/>
            </w:r>
            <w:r>
              <w:rPr>
                <w:noProof/>
                <w:webHidden/>
              </w:rPr>
              <w:t>135</w:t>
            </w:r>
            <w:r>
              <w:rPr>
                <w:noProof/>
                <w:webHidden/>
              </w:rPr>
              <w:fldChar w:fldCharType="end"/>
            </w:r>
          </w:hyperlink>
        </w:p>
        <w:p w14:paraId="547E1C4B" w14:textId="7D855EEB"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50" w:history="1">
            <w:r w:rsidRPr="001D4C20">
              <w:rPr>
                <w:rStyle w:val="Lienhypertexte"/>
                <w:noProof/>
              </w:rPr>
              <w:t>51.52.1 Décapage CCTB 01.02</w:t>
            </w:r>
            <w:r>
              <w:rPr>
                <w:noProof/>
                <w:webHidden/>
              </w:rPr>
              <w:tab/>
            </w:r>
            <w:r>
              <w:rPr>
                <w:noProof/>
                <w:webHidden/>
              </w:rPr>
              <w:fldChar w:fldCharType="begin"/>
            </w:r>
            <w:r>
              <w:rPr>
                <w:noProof/>
                <w:webHidden/>
              </w:rPr>
              <w:instrText xml:space="preserve"> PAGEREF _Toc220490350 \h </w:instrText>
            </w:r>
            <w:r>
              <w:rPr>
                <w:noProof/>
                <w:webHidden/>
              </w:rPr>
            </w:r>
            <w:r>
              <w:rPr>
                <w:noProof/>
                <w:webHidden/>
              </w:rPr>
              <w:fldChar w:fldCharType="separate"/>
            </w:r>
            <w:r>
              <w:rPr>
                <w:noProof/>
                <w:webHidden/>
              </w:rPr>
              <w:t>136</w:t>
            </w:r>
            <w:r>
              <w:rPr>
                <w:noProof/>
                <w:webHidden/>
              </w:rPr>
              <w:fldChar w:fldCharType="end"/>
            </w:r>
          </w:hyperlink>
        </w:p>
        <w:p w14:paraId="05105E84" w14:textId="49EAC25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51" w:history="1">
            <w:r w:rsidRPr="001D4C20">
              <w:rPr>
                <w:rStyle w:val="Lienhypertexte"/>
                <w:noProof/>
              </w:rPr>
              <w:t>51.52.1a Décapage - élimination d'efflorescences CCTB 01.02</w:t>
            </w:r>
            <w:r>
              <w:rPr>
                <w:noProof/>
                <w:webHidden/>
              </w:rPr>
              <w:tab/>
            </w:r>
            <w:r>
              <w:rPr>
                <w:noProof/>
                <w:webHidden/>
              </w:rPr>
              <w:fldChar w:fldCharType="begin"/>
            </w:r>
            <w:r>
              <w:rPr>
                <w:noProof/>
                <w:webHidden/>
              </w:rPr>
              <w:instrText xml:space="preserve"> PAGEREF _Toc220490351 \h </w:instrText>
            </w:r>
            <w:r>
              <w:rPr>
                <w:noProof/>
                <w:webHidden/>
              </w:rPr>
            </w:r>
            <w:r>
              <w:rPr>
                <w:noProof/>
                <w:webHidden/>
              </w:rPr>
              <w:fldChar w:fldCharType="separate"/>
            </w:r>
            <w:r>
              <w:rPr>
                <w:noProof/>
                <w:webHidden/>
              </w:rPr>
              <w:t>136</w:t>
            </w:r>
            <w:r>
              <w:rPr>
                <w:noProof/>
                <w:webHidden/>
              </w:rPr>
              <w:fldChar w:fldCharType="end"/>
            </w:r>
          </w:hyperlink>
        </w:p>
        <w:p w14:paraId="60069C55" w14:textId="77A6768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52" w:history="1">
            <w:r w:rsidRPr="001D4C20">
              <w:rPr>
                <w:rStyle w:val="Lienhypertexte"/>
                <w:noProof/>
              </w:rPr>
              <w:t>51.52.1b Décapage - élimination d'éléments non adhérents en surface CCTB 01.02</w:t>
            </w:r>
            <w:r>
              <w:rPr>
                <w:noProof/>
                <w:webHidden/>
              </w:rPr>
              <w:tab/>
            </w:r>
            <w:r>
              <w:rPr>
                <w:noProof/>
                <w:webHidden/>
              </w:rPr>
              <w:fldChar w:fldCharType="begin"/>
            </w:r>
            <w:r>
              <w:rPr>
                <w:noProof/>
                <w:webHidden/>
              </w:rPr>
              <w:instrText xml:space="preserve"> PAGEREF _Toc220490352 \h </w:instrText>
            </w:r>
            <w:r>
              <w:rPr>
                <w:noProof/>
                <w:webHidden/>
              </w:rPr>
            </w:r>
            <w:r>
              <w:rPr>
                <w:noProof/>
                <w:webHidden/>
              </w:rPr>
              <w:fldChar w:fldCharType="separate"/>
            </w:r>
            <w:r>
              <w:rPr>
                <w:noProof/>
                <w:webHidden/>
              </w:rPr>
              <w:t>136</w:t>
            </w:r>
            <w:r>
              <w:rPr>
                <w:noProof/>
                <w:webHidden/>
              </w:rPr>
              <w:fldChar w:fldCharType="end"/>
            </w:r>
          </w:hyperlink>
        </w:p>
        <w:p w14:paraId="78A8536C" w14:textId="2C103F46"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53" w:history="1">
            <w:r w:rsidRPr="001D4C20">
              <w:rPr>
                <w:rStyle w:val="Lienhypertexte"/>
                <w:noProof/>
              </w:rPr>
              <w:t>51.52.2 Prétraitements CCTB 01.02</w:t>
            </w:r>
            <w:r>
              <w:rPr>
                <w:noProof/>
                <w:webHidden/>
              </w:rPr>
              <w:tab/>
            </w:r>
            <w:r>
              <w:rPr>
                <w:noProof/>
                <w:webHidden/>
              </w:rPr>
              <w:fldChar w:fldCharType="begin"/>
            </w:r>
            <w:r>
              <w:rPr>
                <w:noProof/>
                <w:webHidden/>
              </w:rPr>
              <w:instrText xml:space="preserve"> PAGEREF _Toc220490353 \h </w:instrText>
            </w:r>
            <w:r>
              <w:rPr>
                <w:noProof/>
                <w:webHidden/>
              </w:rPr>
            </w:r>
            <w:r>
              <w:rPr>
                <w:noProof/>
                <w:webHidden/>
              </w:rPr>
              <w:fldChar w:fldCharType="separate"/>
            </w:r>
            <w:r>
              <w:rPr>
                <w:noProof/>
                <w:webHidden/>
              </w:rPr>
              <w:t>136</w:t>
            </w:r>
            <w:r>
              <w:rPr>
                <w:noProof/>
                <w:webHidden/>
              </w:rPr>
              <w:fldChar w:fldCharType="end"/>
            </w:r>
          </w:hyperlink>
        </w:p>
        <w:p w14:paraId="6C9561AC" w14:textId="003C2C3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54" w:history="1">
            <w:r w:rsidRPr="001D4C20">
              <w:rPr>
                <w:rStyle w:val="Lienhypertexte"/>
                <w:noProof/>
              </w:rPr>
              <w:t>51.52.2a Prétraitements - couches d'accrochage CCTB 01.12</w:t>
            </w:r>
            <w:r>
              <w:rPr>
                <w:noProof/>
                <w:webHidden/>
              </w:rPr>
              <w:tab/>
            </w:r>
            <w:r>
              <w:rPr>
                <w:noProof/>
                <w:webHidden/>
              </w:rPr>
              <w:fldChar w:fldCharType="begin"/>
            </w:r>
            <w:r>
              <w:rPr>
                <w:noProof/>
                <w:webHidden/>
              </w:rPr>
              <w:instrText xml:space="preserve"> PAGEREF _Toc220490354 \h </w:instrText>
            </w:r>
            <w:r>
              <w:rPr>
                <w:noProof/>
                <w:webHidden/>
              </w:rPr>
            </w:r>
            <w:r>
              <w:rPr>
                <w:noProof/>
                <w:webHidden/>
              </w:rPr>
              <w:fldChar w:fldCharType="separate"/>
            </w:r>
            <w:r>
              <w:rPr>
                <w:noProof/>
                <w:webHidden/>
              </w:rPr>
              <w:t>136</w:t>
            </w:r>
            <w:r>
              <w:rPr>
                <w:noProof/>
                <w:webHidden/>
              </w:rPr>
              <w:fldChar w:fldCharType="end"/>
            </w:r>
          </w:hyperlink>
        </w:p>
        <w:p w14:paraId="39D10509" w14:textId="690CFB9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55" w:history="1">
            <w:r w:rsidRPr="001D4C20">
              <w:rPr>
                <w:rStyle w:val="Lienhypertexte"/>
                <w:noProof/>
              </w:rPr>
              <w:t>51.52.2b Prétraitements - primaires d'imprégnation pour support absorbant  CCTB 01.07</w:t>
            </w:r>
            <w:r>
              <w:rPr>
                <w:noProof/>
                <w:webHidden/>
              </w:rPr>
              <w:tab/>
            </w:r>
            <w:r>
              <w:rPr>
                <w:noProof/>
                <w:webHidden/>
              </w:rPr>
              <w:fldChar w:fldCharType="begin"/>
            </w:r>
            <w:r>
              <w:rPr>
                <w:noProof/>
                <w:webHidden/>
              </w:rPr>
              <w:instrText xml:space="preserve"> PAGEREF _Toc220490355 \h </w:instrText>
            </w:r>
            <w:r>
              <w:rPr>
                <w:noProof/>
                <w:webHidden/>
              </w:rPr>
            </w:r>
            <w:r>
              <w:rPr>
                <w:noProof/>
                <w:webHidden/>
              </w:rPr>
              <w:fldChar w:fldCharType="separate"/>
            </w:r>
            <w:r>
              <w:rPr>
                <w:noProof/>
                <w:webHidden/>
              </w:rPr>
              <w:t>138</w:t>
            </w:r>
            <w:r>
              <w:rPr>
                <w:noProof/>
                <w:webHidden/>
              </w:rPr>
              <w:fldChar w:fldCharType="end"/>
            </w:r>
          </w:hyperlink>
        </w:p>
        <w:p w14:paraId="22BB065C" w14:textId="7BF531AE"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56" w:history="1">
            <w:r w:rsidRPr="001D4C20">
              <w:rPr>
                <w:rStyle w:val="Lienhypertexte"/>
                <w:noProof/>
              </w:rPr>
              <w:t>51.52.3 Renforcements d'armature (pontage) CCTB 01.11</w:t>
            </w:r>
            <w:r>
              <w:rPr>
                <w:noProof/>
                <w:webHidden/>
              </w:rPr>
              <w:tab/>
            </w:r>
            <w:r>
              <w:rPr>
                <w:noProof/>
                <w:webHidden/>
              </w:rPr>
              <w:fldChar w:fldCharType="begin"/>
            </w:r>
            <w:r>
              <w:rPr>
                <w:noProof/>
                <w:webHidden/>
              </w:rPr>
              <w:instrText xml:space="preserve"> PAGEREF _Toc220490356 \h </w:instrText>
            </w:r>
            <w:r>
              <w:rPr>
                <w:noProof/>
                <w:webHidden/>
              </w:rPr>
            </w:r>
            <w:r>
              <w:rPr>
                <w:noProof/>
                <w:webHidden/>
              </w:rPr>
              <w:fldChar w:fldCharType="separate"/>
            </w:r>
            <w:r>
              <w:rPr>
                <w:noProof/>
                <w:webHidden/>
              </w:rPr>
              <w:t>138</w:t>
            </w:r>
            <w:r>
              <w:rPr>
                <w:noProof/>
                <w:webHidden/>
              </w:rPr>
              <w:fldChar w:fldCharType="end"/>
            </w:r>
          </w:hyperlink>
        </w:p>
        <w:p w14:paraId="7BEFB3F6" w14:textId="2CA0368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57" w:history="1">
            <w:r w:rsidRPr="001D4C20">
              <w:rPr>
                <w:rStyle w:val="Lienhypertexte"/>
                <w:noProof/>
              </w:rPr>
              <w:t>51.52.3a Renforcements d'armature (pontage) - métallique CCTB 01.02</w:t>
            </w:r>
            <w:r>
              <w:rPr>
                <w:noProof/>
                <w:webHidden/>
              </w:rPr>
              <w:tab/>
            </w:r>
            <w:r>
              <w:rPr>
                <w:noProof/>
                <w:webHidden/>
              </w:rPr>
              <w:fldChar w:fldCharType="begin"/>
            </w:r>
            <w:r>
              <w:rPr>
                <w:noProof/>
                <w:webHidden/>
              </w:rPr>
              <w:instrText xml:space="preserve"> PAGEREF _Toc220490357 \h </w:instrText>
            </w:r>
            <w:r>
              <w:rPr>
                <w:noProof/>
                <w:webHidden/>
              </w:rPr>
            </w:r>
            <w:r>
              <w:rPr>
                <w:noProof/>
                <w:webHidden/>
              </w:rPr>
              <w:fldChar w:fldCharType="separate"/>
            </w:r>
            <w:r>
              <w:rPr>
                <w:noProof/>
                <w:webHidden/>
              </w:rPr>
              <w:t>138</w:t>
            </w:r>
            <w:r>
              <w:rPr>
                <w:noProof/>
                <w:webHidden/>
              </w:rPr>
              <w:fldChar w:fldCharType="end"/>
            </w:r>
          </w:hyperlink>
        </w:p>
        <w:p w14:paraId="35D7DB94" w14:textId="7BD8EE0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58" w:history="1">
            <w:r w:rsidRPr="001D4C20">
              <w:rPr>
                <w:rStyle w:val="Lienhypertexte"/>
                <w:noProof/>
              </w:rPr>
              <w:t>51.52.3b Renforcements d'armature (pontage) - en fibres de verre CCTB 01.11</w:t>
            </w:r>
            <w:r>
              <w:rPr>
                <w:noProof/>
                <w:webHidden/>
              </w:rPr>
              <w:tab/>
            </w:r>
            <w:r>
              <w:rPr>
                <w:noProof/>
                <w:webHidden/>
              </w:rPr>
              <w:fldChar w:fldCharType="begin"/>
            </w:r>
            <w:r>
              <w:rPr>
                <w:noProof/>
                <w:webHidden/>
              </w:rPr>
              <w:instrText xml:space="preserve"> PAGEREF _Toc220490358 \h </w:instrText>
            </w:r>
            <w:r>
              <w:rPr>
                <w:noProof/>
                <w:webHidden/>
              </w:rPr>
            </w:r>
            <w:r>
              <w:rPr>
                <w:noProof/>
                <w:webHidden/>
              </w:rPr>
              <w:fldChar w:fldCharType="separate"/>
            </w:r>
            <w:r>
              <w:rPr>
                <w:noProof/>
                <w:webHidden/>
              </w:rPr>
              <w:t>138</w:t>
            </w:r>
            <w:r>
              <w:rPr>
                <w:noProof/>
                <w:webHidden/>
              </w:rPr>
              <w:fldChar w:fldCharType="end"/>
            </w:r>
          </w:hyperlink>
        </w:p>
        <w:p w14:paraId="350F964E" w14:textId="550FCC7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59" w:history="1">
            <w:r w:rsidRPr="001D4C20">
              <w:rPr>
                <w:rStyle w:val="Lienhypertexte"/>
                <w:noProof/>
              </w:rPr>
              <w:t>51.52.3c Renforcements d'armature (pontage) - synthétiques CCTB 01.11</w:t>
            </w:r>
            <w:r>
              <w:rPr>
                <w:noProof/>
                <w:webHidden/>
              </w:rPr>
              <w:tab/>
            </w:r>
            <w:r>
              <w:rPr>
                <w:noProof/>
                <w:webHidden/>
              </w:rPr>
              <w:fldChar w:fldCharType="begin"/>
            </w:r>
            <w:r>
              <w:rPr>
                <w:noProof/>
                <w:webHidden/>
              </w:rPr>
              <w:instrText xml:space="preserve"> PAGEREF _Toc220490359 \h </w:instrText>
            </w:r>
            <w:r>
              <w:rPr>
                <w:noProof/>
                <w:webHidden/>
              </w:rPr>
            </w:r>
            <w:r>
              <w:rPr>
                <w:noProof/>
                <w:webHidden/>
              </w:rPr>
              <w:fldChar w:fldCharType="separate"/>
            </w:r>
            <w:r>
              <w:rPr>
                <w:noProof/>
                <w:webHidden/>
              </w:rPr>
              <w:t>139</w:t>
            </w:r>
            <w:r>
              <w:rPr>
                <w:noProof/>
                <w:webHidden/>
              </w:rPr>
              <w:fldChar w:fldCharType="end"/>
            </w:r>
          </w:hyperlink>
        </w:p>
        <w:p w14:paraId="32060A80" w14:textId="2BCD50B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60" w:history="1">
            <w:r w:rsidRPr="001D4C20">
              <w:rPr>
                <w:rStyle w:val="Lienhypertexte"/>
                <w:noProof/>
              </w:rPr>
              <w:t>51.52.3d Renforcements d'armature (pontage) - en métal déployé CCTB 01.02</w:t>
            </w:r>
            <w:r>
              <w:rPr>
                <w:noProof/>
                <w:webHidden/>
              </w:rPr>
              <w:tab/>
            </w:r>
            <w:r>
              <w:rPr>
                <w:noProof/>
                <w:webHidden/>
              </w:rPr>
              <w:fldChar w:fldCharType="begin"/>
            </w:r>
            <w:r>
              <w:rPr>
                <w:noProof/>
                <w:webHidden/>
              </w:rPr>
              <w:instrText xml:space="preserve"> PAGEREF _Toc220490360 \h </w:instrText>
            </w:r>
            <w:r>
              <w:rPr>
                <w:noProof/>
                <w:webHidden/>
              </w:rPr>
            </w:r>
            <w:r>
              <w:rPr>
                <w:noProof/>
                <w:webHidden/>
              </w:rPr>
              <w:fldChar w:fldCharType="separate"/>
            </w:r>
            <w:r>
              <w:rPr>
                <w:noProof/>
                <w:webHidden/>
              </w:rPr>
              <w:t>141</w:t>
            </w:r>
            <w:r>
              <w:rPr>
                <w:noProof/>
                <w:webHidden/>
              </w:rPr>
              <w:fldChar w:fldCharType="end"/>
            </w:r>
          </w:hyperlink>
        </w:p>
        <w:p w14:paraId="2CCD9403" w14:textId="1EFD0FF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61" w:history="1">
            <w:r w:rsidRPr="001D4C20">
              <w:rPr>
                <w:rStyle w:val="Lienhypertexte"/>
                <w:noProof/>
              </w:rPr>
              <w:t>51.52.4 Profilés d'arrêt CCTB 01.02</w:t>
            </w:r>
            <w:r>
              <w:rPr>
                <w:noProof/>
                <w:webHidden/>
              </w:rPr>
              <w:tab/>
            </w:r>
            <w:r>
              <w:rPr>
                <w:noProof/>
                <w:webHidden/>
              </w:rPr>
              <w:fldChar w:fldCharType="begin"/>
            </w:r>
            <w:r>
              <w:rPr>
                <w:noProof/>
                <w:webHidden/>
              </w:rPr>
              <w:instrText xml:space="preserve"> PAGEREF _Toc220490361 \h </w:instrText>
            </w:r>
            <w:r>
              <w:rPr>
                <w:noProof/>
                <w:webHidden/>
              </w:rPr>
            </w:r>
            <w:r>
              <w:rPr>
                <w:noProof/>
                <w:webHidden/>
              </w:rPr>
              <w:fldChar w:fldCharType="separate"/>
            </w:r>
            <w:r>
              <w:rPr>
                <w:noProof/>
                <w:webHidden/>
              </w:rPr>
              <w:t>141</w:t>
            </w:r>
            <w:r>
              <w:rPr>
                <w:noProof/>
                <w:webHidden/>
              </w:rPr>
              <w:fldChar w:fldCharType="end"/>
            </w:r>
          </w:hyperlink>
        </w:p>
        <w:p w14:paraId="65B403D0" w14:textId="22FE6C2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62" w:history="1">
            <w:r w:rsidRPr="001D4C20">
              <w:rPr>
                <w:rStyle w:val="Lienhypertexte"/>
                <w:noProof/>
              </w:rPr>
              <w:t>51.52.4a Profilés d'arrêt - profilés d'arrêt CCTB 01.02</w:t>
            </w:r>
            <w:r>
              <w:rPr>
                <w:noProof/>
                <w:webHidden/>
              </w:rPr>
              <w:tab/>
            </w:r>
            <w:r>
              <w:rPr>
                <w:noProof/>
                <w:webHidden/>
              </w:rPr>
              <w:fldChar w:fldCharType="begin"/>
            </w:r>
            <w:r>
              <w:rPr>
                <w:noProof/>
                <w:webHidden/>
              </w:rPr>
              <w:instrText xml:space="preserve"> PAGEREF _Toc220490362 \h </w:instrText>
            </w:r>
            <w:r>
              <w:rPr>
                <w:noProof/>
                <w:webHidden/>
              </w:rPr>
            </w:r>
            <w:r>
              <w:rPr>
                <w:noProof/>
                <w:webHidden/>
              </w:rPr>
              <w:fldChar w:fldCharType="separate"/>
            </w:r>
            <w:r>
              <w:rPr>
                <w:noProof/>
                <w:webHidden/>
              </w:rPr>
              <w:t>141</w:t>
            </w:r>
            <w:r>
              <w:rPr>
                <w:noProof/>
                <w:webHidden/>
              </w:rPr>
              <w:fldChar w:fldCharType="end"/>
            </w:r>
          </w:hyperlink>
        </w:p>
        <w:p w14:paraId="460342C4" w14:textId="269E0BD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63" w:history="1">
            <w:r w:rsidRPr="001D4C20">
              <w:rPr>
                <w:rStyle w:val="Lienhypertexte"/>
                <w:noProof/>
              </w:rPr>
              <w:t>51.52.4b Profilés d'arrêt - profilés d'angle CCTB 01.02</w:t>
            </w:r>
            <w:r>
              <w:rPr>
                <w:noProof/>
                <w:webHidden/>
              </w:rPr>
              <w:tab/>
            </w:r>
            <w:r>
              <w:rPr>
                <w:noProof/>
                <w:webHidden/>
              </w:rPr>
              <w:fldChar w:fldCharType="begin"/>
            </w:r>
            <w:r>
              <w:rPr>
                <w:noProof/>
                <w:webHidden/>
              </w:rPr>
              <w:instrText xml:space="preserve"> PAGEREF _Toc220490363 \h </w:instrText>
            </w:r>
            <w:r>
              <w:rPr>
                <w:noProof/>
                <w:webHidden/>
              </w:rPr>
            </w:r>
            <w:r>
              <w:rPr>
                <w:noProof/>
                <w:webHidden/>
              </w:rPr>
              <w:fldChar w:fldCharType="separate"/>
            </w:r>
            <w:r>
              <w:rPr>
                <w:noProof/>
                <w:webHidden/>
              </w:rPr>
              <w:t>141</w:t>
            </w:r>
            <w:r>
              <w:rPr>
                <w:noProof/>
                <w:webHidden/>
              </w:rPr>
              <w:fldChar w:fldCharType="end"/>
            </w:r>
          </w:hyperlink>
        </w:p>
        <w:p w14:paraId="06252AE1" w14:textId="523747C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64" w:history="1">
            <w:r w:rsidRPr="001D4C20">
              <w:rPr>
                <w:rStyle w:val="Lienhypertexte"/>
                <w:noProof/>
              </w:rPr>
              <w:t>51.52.4c Profilés d'arrêt - profilés de joint CCTB 01.02</w:t>
            </w:r>
            <w:r>
              <w:rPr>
                <w:noProof/>
                <w:webHidden/>
              </w:rPr>
              <w:tab/>
            </w:r>
            <w:r>
              <w:rPr>
                <w:noProof/>
                <w:webHidden/>
              </w:rPr>
              <w:fldChar w:fldCharType="begin"/>
            </w:r>
            <w:r>
              <w:rPr>
                <w:noProof/>
                <w:webHidden/>
              </w:rPr>
              <w:instrText xml:space="preserve"> PAGEREF _Toc220490364 \h </w:instrText>
            </w:r>
            <w:r>
              <w:rPr>
                <w:noProof/>
                <w:webHidden/>
              </w:rPr>
            </w:r>
            <w:r>
              <w:rPr>
                <w:noProof/>
                <w:webHidden/>
              </w:rPr>
              <w:fldChar w:fldCharType="separate"/>
            </w:r>
            <w:r>
              <w:rPr>
                <w:noProof/>
                <w:webHidden/>
              </w:rPr>
              <w:t>141</w:t>
            </w:r>
            <w:r>
              <w:rPr>
                <w:noProof/>
                <w:webHidden/>
              </w:rPr>
              <w:fldChar w:fldCharType="end"/>
            </w:r>
          </w:hyperlink>
        </w:p>
        <w:p w14:paraId="5AEAACC3" w14:textId="0C2CC210"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365" w:history="1">
            <w:r w:rsidRPr="001D4C20">
              <w:rPr>
                <w:rStyle w:val="Lienhypertexte"/>
                <w:noProof/>
              </w:rPr>
              <w:t>51.53 Support d'enduit complémentaire CCTB 01.02</w:t>
            </w:r>
            <w:r>
              <w:rPr>
                <w:noProof/>
                <w:webHidden/>
              </w:rPr>
              <w:tab/>
            </w:r>
            <w:r>
              <w:rPr>
                <w:noProof/>
                <w:webHidden/>
              </w:rPr>
              <w:fldChar w:fldCharType="begin"/>
            </w:r>
            <w:r>
              <w:rPr>
                <w:noProof/>
                <w:webHidden/>
              </w:rPr>
              <w:instrText xml:space="preserve"> PAGEREF _Toc220490365 \h </w:instrText>
            </w:r>
            <w:r>
              <w:rPr>
                <w:noProof/>
                <w:webHidden/>
              </w:rPr>
            </w:r>
            <w:r>
              <w:rPr>
                <w:noProof/>
                <w:webHidden/>
              </w:rPr>
              <w:fldChar w:fldCharType="separate"/>
            </w:r>
            <w:r>
              <w:rPr>
                <w:noProof/>
                <w:webHidden/>
              </w:rPr>
              <w:t>141</w:t>
            </w:r>
            <w:r>
              <w:rPr>
                <w:noProof/>
                <w:webHidden/>
              </w:rPr>
              <w:fldChar w:fldCharType="end"/>
            </w:r>
          </w:hyperlink>
        </w:p>
        <w:p w14:paraId="77F2A96D" w14:textId="0432A05F"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66" w:history="1">
            <w:r w:rsidRPr="001D4C20">
              <w:rPr>
                <w:rStyle w:val="Lienhypertexte"/>
                <w:noProof/>
              </w:rPr>
              <w:t>51.53.1 Supports d'enduit complémentaires - Treillis CCTB 01.02</w:t>
            </w:r>
            <w:r>
              <w:rPr>
                <w:noProof/>
                <w:webHidden/>
              </w:rPr>
              <w:tab/>
            </w:r>
            <w:r>
              <w:rPr>
                <w:noProof/>
                <w:webHidden/>
              </w:rPr>
              <w:fldChar w:fldCharType="begin"/>
            </w:r>
            <w:r>
              <w:rPr>
                <w:noProof/>
                <w:webHidden/>
              </w:rPr>
              <w:instrText xml:space="preserve"> PAGEREF _Toc220490366 \h </w:instrText>
            </w:r>
            <w:r>
              <w:rPr>
                <w:noProof/>
                <w:webHidden/>
              </w:rPr>
            </w:r>
            <w:r>
              <w:rPr>
                <w:noProof/>
                <w:webHidden/>
              </w:rPr>
              <w:fldChar w:fldCharType="separate"/>
            </w:r>
            <w:r>
              <w:rPr>
                <w:noProof/>
                <w:webHidden/>
              </w:rPr>
              <w:t>141</w:t>
            </w:r>
            <w:r>
              <w:rPr>
                <w:noProof/>
                <w:webHidden/>
              </w:rPr>
              <w:fldChar w:fldCharType="end"/>
            </w:r>
          </w:hyperlink>
        </w:p>
        <w:p w14:paraId="335AACB7" w14:textId="7F1031A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67" w:history="1">
            <w:r w:rsidRPr="001D4C20">
              <w:rPr>
                <w:rStyle w:val="Lienhypertexte"/>
                <w:noProof/>
              </w:rPr>
              <w:t>51.53.1a Support d'enduit complémentaire - treillis métalliques CCTB 01.12</w:t>
            </w:r>
            <w:r>
              <w:rPr>
                <w:noProof/>
                <w:webHidden/>
              </w:rPr>
              <w:tab/>
            </w:r>
            <w:r>
              <w:rPr>
                <w:noProof/>
                <w:webHidden/>
              </w:rPr>
              <w:fldChar w:fldCharType="begin"/>
            </w:r>
            <w:r>
              <w:rPr>
                <w:noProof/>
                <w:webHidden/>
              </w:rPr>
              <w:instrText xml:space="preserve"> PAGEREF _Toc220490367 \h </w:instrText>
            </w:r>
            <w:r>
              <w:rPr>
                <w:noProof/>
                <w:webHidden/>
              </w:rPr>
            </w:r>
            <w:r>
              <w:rPr>
                <w:noProof/>
                <w:webHidden/>
              </w:rPr>
              <w:fldChar w:fldCharType="separate"/>
            </w:r>
            <w:r>
              <w:rPr>
                <w:noProof/>
                <w:webHidden/>
              </w:rPr>
              <w:t>141</w:t>
            </w:r>
            <w:r>
              <w:rPr>
                <w:noProof/>
                <w:webHidden/>
              </w:rPr>
              <w:fldChar w:fldCharType="end"/>
            </w:r>
          </w:hyperlink>
        </w:p>
        <w:p w14:paraId="38A0B489" w14:textId="0F45AEC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68" w:history="1">
            <w:r w:rsidRPr="001D4C20">
              <w:rPr>
                <w:rStyle w:val="Lienhypertexte"/>
                <w:noProof/>
              </w:rPr>
              <w:t>51.53.1b Support d'enduit complémentaire - treillis métalliques à dos cartonné (stucanet) CCTB 01.02</w:t>
            </w:r>
            <w:r>
              <w:rPr>
                <w:noProof/>
                <w:webHidden/>
              </w:rPr>
              <w:tab/>
            </w:r>
            <w:r>
              <w:rPr>
                <w:noProof/>
                <w:webHidden/>
              </w:rPr>
              <w:fldChar w:fldCharType="begin"/>
            </w:r>
            <w:r>
              <w:rPr>
                <w:noProof/>
                <w:webHidden/>
              </w:rPr>
              <w:instrText xml:space="preserve"> PAGEREF _Toc220490368 \h </w:instrText>
            </w:r>
            <w:r>
              <w:rPr>
                <w:noProof/>
                <w:webHidden/>
              </w:rPr>
            </w:r>
            <w:r>
              <w:rPr>
                <w:noProof/>
                <w:webHidden/>
              </w:rPr>
              <w:fldChar w:fldCharType="separate"/>
            </w:r>
            <w:r>
              <w:rPr>
                <w:noProof/>
                <w:webHidden/>
              </w:rPr>
              <w:t>141</w:t>
            </w:r>
            <w:r>
              <w:rPr>
                <w:noProof/>
                <w:webHidden/>
              </w:rPr>
              <w:fldChar w:fldCharType="end"/>
            </w:r>
          </w:hyperlink>
        </w:p>
        <w:p w14:paraId="083AAD43" w14:textId="6821B25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69" w:history="1">
            <w:r w:rsidRPr="001D4C20">
              <w:rPr>
                <w:rStyle w:val="Lienhypertexte"/>
                <w:noProof/>
              </w:rPr>
              <w:t>51.53.1c Support d'enduit complémentaire - textiles en fibres de verre CCTB 01.02</w:t>
            </w:r>
            <w:r>
              <w:rPr>
                <w:noProof/>
                <w:webHidden/>
              </w:rPr>
              <w:tab/>
            </w:r>
            <w:r>
              <w:rPr>
                <w:noProof/>
                <w:webHidden/>
              </w:rPr>
              <w:fldChar w:fldCharType="begin"/>
            </w:r>
            <w:r>
              <w:rPr>
                <w:noProof/>
                <w:webHidden/>
              </w:rPr>
              <w:instrText xml:space="preserve"> PAGEREF _Toc220490369 \h </w:instrText>
            </w:r>
            <w:r>
              <w:rPr>
                <w:noProof/>
                <w:webHidden/>
              </w:rPr>
            </w:r>
            <w:r>
              <w:rPr>
                <w:noProof/>
                <w:webHidden/>
              </w:rPr>
              <w:fldChar w:fldCharType="separate"/>
            </w:r>
            <w:r>
              <w:rPr>
                <w:noProof/>
                <w:webHidden/>
              </w:rPr>
              <w:t>141</w:t>
            </w:r>
            <w:r>
              <w:rPr>
                <w:noProof/>
                <w:webHidden/>
              </w:rPr>
              <w:fldChar w:fldCharType="end"/>
            </w:r>
          </w:hyperlink>
        </w:p>
        <w:p w14:paraId="4E158D60" w14:textId="5EB7113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70" w:history="1">
            <w:r w:rsidRPr="001D4C20">
              <w:rPr>
                <w:rStyle w:val="Lienhypertexte"/>
                <w:noProof/>
              </w:rPr>
              <w:t>51.53.1d Support d'enduit complémentaire - treillis en matière synthétique CCTB 01.02</w:t>
            </w:r>
            <w:r>
              <w:rPr>
                <w:noProof/>
                <w:webHidden/>
              </w:rPr>
              <w:tab/>
            </w:r>
            <w:r>
              <w:rPr>
                <w:noProof/>
                <w:webHidden/>
              </w:rPr>
              <w:fldChar w:fldCharType="begin"/>
            </w:r>
            <w:r>
              <w:rPr>
                <w:noProof/>
                <w:webHidden/>
              </w:rPr>
              <w:instrText xml:space="preserve"> PAGEREF _Toc220490370 \h </w:instrText>
            </w:r>
            <w:r>
              <w:rPr>
                <w:noProof/>
                <w:webHidden/>
              </w:rPr>
            </w:r>
            <w:r>
              <w:rPr>
                <w:noProof/>
                <w:webHidden/>
              </w:rPr>
              <w:fldChar w:fldCharType="separate"/>
            </w:r>
            <w:r>
              <w:rPr>
                <w:noProof/>
                <w:webHidden/>
              </w:rPr>
              <w:t>141</w:t>
            </w:r>
            <w:r>
              <w:rPr>
                <w:noProof/>
                <w:webHidden/>
              </w:rPr>
              <w:fldChar w:fldCharType="end"/>
            </w:r>
          </w:hyperlink>
        </w:p>
        <w:p w14:paraId="2BDD71E5" w14:textId="73D1FFE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71" w:history="1">
            <w:r w:rsidRPr="001D4C20">
              <w:rPr>
                <w:rStyle w:val="Lienhypertexte"/>
                <w:noProof/>
              </w:rPr>
              <w:t>51.53.1e Support d'enduit complémentaire - treillis en métal déployé CCTB 01.02</w:t>
            </w:r>
            <w:r>
              <w:rPr>
                <w:noProof/>
                <w:webHidden/>
              </w:rPr>
              <w:tab/>
            </w:r>
            <w:r>
              <w:rPr>
                <w:noProof/>
                <w:webHidden/>
              </w:rPr>
              <w:fldChar w:fldCharType="begin"/>
            </w:r>
            <w:r>
              <w:rPr>
                <w:noProof/>
                <w:webHidden/>
              </w:rPr>
              <w:instrText xml:space="preserve"> PAGEREF _Toc220490371 \h </w:instrText>
            </w:r>
            <w:r>
              <w:rPr>
                <w:noProof/>
                <w:webHidden/>
              </w:rPr>
            </w:r>
            <w:r>
              <w:rPr>
                <w:noProof/>
                <w:webHidden/>
              </w:rPr>
              <w:fldChar w:fldCharType="separate"/>
            </w:r>
            <w:r>
              <w:rPr>
                <w:noProof/>
                <w:webHidden/>
              </w:rPr>
              <w:t>141</w:t>
            </w:r>
            <w:r>
              <w:rPr>
                <w:noProof/>
                <w:webHidden/>
              </w:rPr>
              <w:fldChar w:fldCharType="end"/>
            </w:r>
          </w:hyperlink>
        </w:p>
        <w:p w14:paraId="696725BF" w14:textId="3D48437D"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72" w:history="1">
            <w:r w:rsidRPr="001D4C20">
              <w:rPr>
                <w:rStyle w:val="Lienhypertexte"/>
                <w:noProof/>
              </w:rPr>
              <w:t>51.53.2 Support d'enduit complémentaire - autres supports CCTB 01.02</w:t>
            </w:r>
            <w:r>
              <w:rPr>
                <w:noProof/>
                <w:webHidden/>
              </w:rPr>
              <w:tab/>
            </w:r>
            <w:r>
              <w:rPr>
                <w:noProof/>
                <w:webHidden/>
              </w:rPr>
              <w:fldChar w:fldCharType="begin"/>
            </w:r>
            <w:r>
              <w:rPr>
                <w:noProof/>
                <w:webHidden/>
              </w:rPr>
              <w:instrText xml:space="preserve"> PAGEREF _Toc220490372 \h </w:instrText>
            </w:r>
            <w:r>
              <w:rPr>
                <w:noProof/>
                <w:webHidden/>
              </w:rPr>
            </w:r>
            <w:r>
              <w:rPr>
                <w:noProof/>
                <w:webHidden/>
              </w:rPr>
              <w:fldChar w:fldCharType="separate"/>
            </w:r>
            <w:r>
              <w:rPr>
                <w:noProof/>
                <w:webHidden/>
              </w:rPr>
              <w:t>142</w:t>
            </w:r>
            <w:r>
              <w:rPr>
                <w:noProof/>
                <w:webHidden/>
              </w:rPr>
              <w:fldChar w:fldCharType="end"/>
            </w:r>
          </w:hyperlink>
        </w:p>
        <w:p w14:paraId="351FFC22" w14:textId="188B145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73" w:history="1">
            <w:r w:rsidRPr="001D4C20">
              <w:rPr>
                <w:rStyle w:val="Lienhypertexte"/>
                <w:noProof/>
              </w:rPr>
              <w:t>51.53.2a Support d'enduit complémentaire - Lattis CCTB 01.02</w:t>
            </w:r>
            <w:r>
              <w:rPr>
                <w:noProof/>
                <w:webHidden/>
              </w:rPr>
              <w:tab/>
            </w:r>
            <w:r>
              <w:rPr>
                <w:noProof/>
                <w:webHidden/>
              </w:rPr>
              <w:fldChar w:fldCharType="begin"/>
            </w:r>
            <w:r>
              <w:rPr>
                <w:noProof/>
                <w:webHidden/>
              </w:rPr>
              <w:instrText xml:space="preserve"> PAGEREF _Toc220490373 \h </w:instrText>
            </w:r>
            <w:r>
              <w:rPr>
                <w:noProof/>
                <w:webHidden/>
              </w:rPr>
            </w:r>
            <w:r>
              <w:rPr>
                <w:noProof/>
                <w:webHidden/>
              </w:rPr>
              <w:fldChar w:fldCharType="separate"/>
            </w:r>
            <w:r>
              <w:rPr>
                <w:noProof/>
                <w:webHidden/>
              </w:rPr>
              <w:t>142</w:t>
            </w:r>
            <w:r>
              <w:rPr>
                <w:noProof/>
                <w:webHidden/>
              </w:rPr>
              <w:fldChar w:fldCharType="end"/>
            </w:r>
          </w:hyperlink>
        </w:p>
        <w:p w14:paraId="271885D6" w14:textId="009F90B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74" w:history="1">
            <w:r w:rsidRPr="001D4C20">
              <w:rPr>
                <w:rStyle w:val="Lienhypertexte"/>
                <w:noProof/>
              </w:rPr>
              <w:t>51.53.2b Support d'enduit complémentaire - Nattes de roseaux CCTB 01.08</w:t>
            </w:r>
            <w:r>
              <w:rPr>
                <w:noProof/>
                <w:webHidden/>
              </w:rPr>
              <w:tab/>
            </w:r>
            <w:r>
              <w:rPr>
                <w:noProof/>
                <w:webHidden/>
              </w:rPr>
              <w:fldChar w:fldCharType="begin"/>
            </w:r>
            <w:r>
              <w:rPr>
                <w:noProof/>
                <w:webHidden/>
              </w:rPr>
              <w:instrText xml:space="preserve"> PAGEREF _Toc220490374 \h </w:instrText>
            </w:r>
            <w:r>
              <w:rPr>
                <w:noProof/>
                <w:webHidden/>
              </w:rPr>
            </w:r>
            <w:r>
              <w:rPr>
                <w:noProof/>
                <w:webHidden/>
              </w:rPr>
              <w:fldChar w:fldCharType="separate"/>
            </w:r>
            <w:r>
              <w:rPr>
                <w:noProof/>
                <w:webHidden/>
              </w:rPr>
              <w:t>142</w:t>
            </w:r>
            <w:r>
              <w:rPr>
                <w:noProof/>
                <w:webHidden/>
              </w:rPr>
              <w:fldChar w:fldCharType="end"/>
            </w:r>
          </w:hyperlink>
        </w:p>
        <w:p w14:paraId="72D32247" w14:textId="36A99264"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375" w:history="1">
            <w:r w:rsidRPr="001D4C20">
              <w:rPr>
                <w:rStyle w:val="Lienhypertexte"/>
                <w:noProof/>
              </w:rPr>
              <w:t>51.54 Enduit à base de plâtre CCTB 01.02</w:t>
            </w:r>
            <w:r>
              <w:rPr>
                <w:noProof/>
                <w:webHidden/>
              </w:rPr>
              <w:tab/>
            </w:r>
            <w:r>
              <w:rPr>
                <w:noProof/>
                <w:webHidden/>
              </w:rPr>
              <w:fldChar w:fldCharType="begin"/>
            </w:r>
            <w:r>
              <w:rPr>
                <w:noProof/>
                <w:webHidden/>
              </w:rPr>
              <w:instrText xml:space="preserve"> PAGEREF _Toc220490375 \h </w:instrText>
            </w:r>
            <w:r>
              <w:rPr>
                <w:noProof/>
                <w:webHidden/>
              </w:rPr>
            </w:r>
            <w:r>
              <w:rPr>
                <w:noProof/>
                <w:webHidden/>
              </w:rPr>
              <w:fldChar w:fldCharType="separate"/>
            </w:r>
            <w:r>
              <w:rPr>
                <w:noProof/>
                <w:webHidden/>
              </w:rPr>
              <w:t>143</w:t>
            </w:r>
            <w:r>
              <w:rPr>
                <w:noProof/>
                <w:webHidden/>
              </w:rPr>
              <w:fldChar w:fldCharType="end"/>
            </w:r>
          </w:hyperlink>
        </w:p>
        <w:p w14:paraId="28D6FF32" w14:textId="1DFFFAFD"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76" w:history="1">
            <w:r w:rsidRPr="001D4C20">
              <w:rPr>
                <w:rStyle w:val="Lienhypertexte"/>
                <w:noProof/>
              </w:rPr>
              <w:t>51.54.1 Enduit à base de plâtre en 1 couche (± 10 mm) CCTB 01.02</w:t>
            </w:r>
            <w:r>
              <w:rPr>
                <w:noProof/>
                <w:webHidden/>
              </w:rPr>
              <w:tab/>
            </w:r>
            <w:r>
              <w:rPr>
                <w:noProof/>
                <w:webHidden/>
              </w:rPr>
              <w:fldChar w:fldCharType="begin"/>
            </w:r>
            <w:r>
              <w:rPr>
                <w:noProof/>
                <w:webHidden/>
              </w:rPr>
              <w:instrText xml:space="preserve"> PAGEREF _Toc220490376 \h </w:instrText>
            </w:r>
            <w:r>
              <w:rPr>
                <w:noProof/>
                <w:webHidden/>
              </w:rPr>
            </w:r>
            <w:r>
              <w:rPr>
                <w:noProof/>
                <w:webHidden/>
              </w:rPr>
              <w:fldChar w:fldCharType="separate"/>
            </w:r>
            <w:r>
              <w:rPr>
                <w:noProof/>
                <w:webHidden/>
              </w:rPr>
              <w:t>143</w:t>
            </w:r>
            <w:r>
              <w:rPr>
                <w:noProof/>
                <w:webHidden/>
              </w:rPr>
              <w:fldChar w:fldCharType="end"/>
            </w:r>
          </w:hyperlink>
        </w:p>
        <w:p w14:paraId="5B08EF50" w14:textId="127BF68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77" w:history="1">
            <w:r w:rsidRPr="001D4C20">
              <w:rPr>
                <w:rStyle w:val="Lienhypertexte"/>
                <w:noProof/>
              </w:rPr>
              <w:t>51.54.1a Enduit à base de plâtre en 1 couche, prédosé à sec / prêt à l'emploi CCTB 01.12</w:t>
            </w:r>
            <w:r>
              <w:rPr>
                <w:noProof/>
                <w:webHidden/>
              </w:rPr>
              <w:tab/>
            </w:r>
            <w:r>
              <w:rPr>
                <w:noProof/>
                <w:webHidden/>
              </w:rPr>
              <w:fldChar w:fldCharType="begin"/>
            </w:r>
            <w:r>
              <w:rPr>
                <w:noProof/>
                <w:webHidden/>
              </w:rPr>
              <w:instrText xml:space="preserve"> PAGEREF _Toc220490377 \h </w:instrText>
            </w:r>
            <w:r>
              <w:rPr>
                <w:noProof/>
                <w:webHidden/>
              </w:rPr>
            </w:r>
            <w:r>
              <w:rPr>
                <w:noProof/>
                <w:webHidden/>
              </w:rPr>
              <w:fldChar w:fldCharType="separate"/>
            </w:r>
            <w:r>
              <w:rPr>
                <w:noProof/>
                <w:webHidden/>
              </w:rPr>
              <w:t>143</w:t>
            </w:r>
            <w:r>
              <w:rPr>
                <w:noProof/>
                <w:webHidden/>
              </w:rPr>
              <w:fldChar w:fldCharType="end"/>
            </w:r>
          </w:hyperlink>
        </w:p>
        <w:p w14:paraId="00D1BB37" w14:textId="1975377A"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78" w:history="1">
            <w:r w:rsidRPr="001D4C20">
              <w:rPr>
                <w:rStyle w:val="Lienhypertexte"/>
                <w:noProof/>
              </w:rPr>
              <w:t>51.54.2 Enduit à base de plâtre en 2 couches (15mm&lt;ép&lt;25mm) CCTB 01.02</w:t>
            </w:r>
            <w:r>
              <w:rPr>
                <w:noProof/>
                <w:webHidden/>
              </w:rPr>
              <w:tab/>
            </w:r>
            <w:r>
              <w:rPr>
                <w:noProof/>
                <w:webHidden/>
              </w:rPr>
              <w:fldChar w:fldCharType="begin"/>
            </w:r>
            <w:r>
              <w:rPr>
                <w:noProof/>
                <w:webHidden/>
              </w:rPr>
              <w:instrText xml:space="preserve"> PAGEREF _Toc220490378 \h </w:instrText>
            </w:r>
            <w:r>
              <w:rPr>
                <w:noProof/>
                <w:webHidden/>
              </w:rPr>
            </w:r>
            <w:r>
              <w:rPr>
                <w:noProof/>
                <w:webHidden/>
              </w:rPr>
              <w:fldChar w:fldCharType="separate"/>
            </w:r>
            <w:r>
              <w:rPr>
                <w:noProof/>
                <w:webHidden/>
              </w:rPr>
              <w:t>145</w:t>
            </w:r>
            <w:r>
              <w:rPr>
                <w:noProof/>
                <w:webHidden/>
              </w:rPr>
              <w:fldChar w:fldCharType="end"/>
            </w:r>
          </w:hyperlink>
        </w:p>
        <w:p w14:paraId="0907D6B8" w14:textId="1EE73B0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79" w:history="1">
            <w:r w:rsidRPr="001D4C20">
              <w:rPr>
                <w:rStyle w:val="Lienhypertexte"/>
                <w:noProof/>
              </w:rPr>
              <w:t>51.54.2a Enduit à base de plâtre en 2 couches - Traditionnel / au plâtre et à la chaux CCTB 01.12</w:t>
            </w:r>
            <w:r>
              <w:rPr>
                <w:noProof/>
                <w:webHidden/>
              </w:rPr>
              <w:tab/>
            </w:r>
            <w:r>
              <w:rPr>
                <w:noProof/>
                <w:webHidden/>
              </w:rPr>
              <w:fldChar w:fldCharType="begin"/>
            </w:r>
            <w:r>
              <w:rPr>
                <w:noProof/>
                <w:webHidden/>
              </w:rPr>
              <w:instrText xml:space="preserve"> PAGEREF _Toc220490379 \h </w:instrText>
            </w:r>
            <w:r>
              <w:rPr>
                <w:noProof/>
                <w:webHidden/>
              </w:rPr>
            </w:r>
            <w:r>
              <w:rPr>
                <w:noProof/>
                <w:webHidden/>
              </w:rPr>
              <w:fldChar w:fldCharType="separate"/>
            </w:r>
            <w:r>
              <w:rPr>
                <w:noProof/>
                <w:webHidden/>
              </w:rPr>
              <w:t>145</w:t>
            </w:r>
            <w:r>
              <w:rPr>
                <w:noProof/>
                <w:webHidden/>
              </w:rPr>
              <w:fldChar w:fldCharType="end"/>
            </w:r>
          </w:hyperlink>
        </w:p>
        <w:p w14:paraId="0CC50AFE" w14:textId="28F6B82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80" w:history="1">
            <w:r w:rsidRPr="001D4C20">
              <w:rPr>
                <w:rStyle w:val="Lienhypertexte"/>
                <w:noProof/>
              </w:rPr>
              <w:t>51.54.2b Enduit à base de plâtre en 2 couches prédosé à sec / prêt à l'emploi CCTB 01.11</w:t>
            </w:r>
            <w:r>
              <w:rPr>
                <w:noProof/>
                <w:webHidden/>
              </w:rPr>
              <w:tab/>
            </w:r>
            <w:r>
              <w:rPr>
                <w:noProof/>
                <w:webHidden/>
              </w:rPr>
              <w:fldChar w:fldCharType="begin"/>
            </w:r>
            <w:r>
              <w:rPr>
                <w:noProof/>
                <w:webHidden/>
              </w:rPr>
              <w:instrText xml:space="preserve"> PAGEREF _Toc220490380 \h </w:instrText>
            </w:r>
            <w:r>
              <w:rPr>
                <w:noProof/>
                <w:webHidden/>
              </w:rPr>
            </w:r>
            <w:r>
              <w:rPr>
                <w:noProof/>
                <w:webHidden/>
              </w:rPr>
              <w:fldChar w:fldCharType="separate"/>
            </w:r>
            <w:r>
              <w:rPr>
                <w:noProof/>
                <w:webHidden/>
              </w:rPr>
              <w:t>147</w:t>
            </w:r>
            <w:r>
              <w:rPr>
                <w:noProof/>
                <w:webHidden/>
              </w:rPr>
              <w:fldChar w:fldCharType="end"/>
            </w:r>
          </w:hyperlink>
        </w:p>
        <w:p w14:paraId="7E436F73" w14:textId="2B84D700"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81" w:history="1">
            <w:r w:rsidRPr="001D4C20">
              <w:rPr>
                <w:rStyle w:val="Lienhypertexte"/>
                <w:noProof/>
              </w:rPr>
              <w:t>51.54.3 Enduit à base de plâtre, pelliculaire CCTB 01.02</w:t>
            </w:r>
            <w:r>
              <w:rPr>
                <w:noProof/>
                <w:webHidden/>
              </w:rPr>
              <w:tab/>
            </w:r>
            <w:r>
              <w:rPr>
                <w:noProof/>
                <w:webHidden/>
              </w:rPr>
              <w:fldChar w:fldCharType="begin"/>
            </w:r>
            <w:r>
              <w:rPr>
                <w:noProof/>
                <w:webHidden/>
              </w:rPr>
              <w:instrText xml:space="preserve"> PAGEREF _Toc220490381 \h </w:instrText>
            </w:r>
            <w:r>
              <w:rPr>
                <w:noProof/>
                <w:webHidden/>
              </w:rPr>
            </w:r>
            <w:r>
              <w:rPr>
                <w:noProof/>
                <w:webHidden/>
              </w:rPr>
              <w:fldChar w:fldCharType="separate"/>
            </w:r>
            <w:r>
              <w:rPr>
                <w:noProof/>
                <w:webHidden/>
              </w:rPr>
              <w:t>148</w:t>
            </w:r>
            <w:r>
              <w:rPr>
                <w:noProof/>
                <w:webHidden/>
              </w:rPr>
              <w:fldChar w:fldCharType="end"/>
            </w:r>
          </w:hyperlink>
        </w:p>
        <w:p w14:paraId="7C1787AC" w14:textId="7C7D802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82" w:history="1">
            <w:r w:rsidRPr="001D4C20">
              <w:rPr>
                <w:rStyle w:val="Lienhypertexte"/>
                <w:noProof/>
              </w:rPr>
              <w:t>51.54.3a Enduit à base de plâtre, pelliculaire, prédosé à sec CCTB 01.11</w:t>
            </w:r>
            <w:r>
              <w:rPr>
                <w:noProof/>
                <w:webHidden/>
              </w:rPr>
              <w:tab/>
            </w:r>
            <w:r>
              <w:rPr>
                <w:noProof/>
                <w:webHidden/>
              </w:rPr>
              <w:fldChar w:fldCharType="begin"/>
            </w:r>
            <w:r>
              <w:rPr>
                <w:noProof/>
                <w:webHidden/>
              </w:rPr>
              <w:instrText xml:space="preserve"> PAGEREF _Toc220490382 \h </w:instrText>
            </w:r>
            <w:r>
              <w:rPr>
                <w:noProof/>
                <w:webHidden/>
              </w:rPr>
            </w:r>
            <w:r>
              <w:rPr>
                <w:noProof/>
                <w:webHidden/>
              </w:rPr>
              <w:fldChar w:fldCharType="separate"/>
            </w:r>
            <w:r>
              <w:rPr>
                <w:noProof/>
                <w:webHidden/>
              </w:rPr>
              <w:t>149</w:t>
            </w:r>
            <w:r>
              <w:rPr>
                <w:noProof/>
                <w:webHidden/>
              </w:rPr>
              <w:fldChar w:fldCharType="end"/>
            </w:r>
          </w:hyperlink>
        </w:p>
        <w:p w14:paraId="2DBCC181" w14:textId="0D727F16"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383" w:history="1">
            <w:r w:rsidRPr="001D4C20">
              <w:rPr>
                <w:rStyle w:val="Lienhypertexte"/>
                <w:noProof/>
              </w:rPr>
              <w:t>51.55 Enduit au ciment et/ou à la chaux CCTB 01.02</w:t>
            </w:r>
            <w:r>
              <w:rPr>
                <w:noProof/>
                <w:webHidden/>
              </w:rPr>
              <w:tab/>
            </w:r>
            <w:r>
              <w:rPr>
                <w:noProof/>
                <w:webHidden/>
              </w:rPr>
              <w:fldChar w:fldCharType="begin"/>
            </w:r>
            <w:r>
              <w:rPr>
                <w:noProof/>
                <w:webHidden/>
              </w:rPr>
              <w:instrText xml:space="preserve"> PAGEREF _Toc220490383 \h </w:instrText>
            </w:r>
            <w:r>
              <w:rPr>
                <w:noProof/>
                <w:webHidden/>
              </w:rPr>
            </w:r>
            <w:r>
              <w:rPr>
                <w:noProof/>
                <w:webHidden/>
              </w:rPr>
              <w:fldChar w:fldCharType="separate"/>
            </w:r>
            <w:r>
              <w:rPr>
                <w:noProof/>
                <w:webHidden/>
              </w:rPr>
              <w:t>150</w:t>
            </w:r>
            <w:r>
              <w:rPr>
                <w:noProof/>
                <w:webHidden/>
              </w:rPr>
              <w:fldChar w:fldCharType="end"/>
            </w:r>
          </w:hyperlink>
        </w:p>
        <w:p w14:paraId="3D583A9F" w14:textId="2696B119"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84" w:history="1">
            <w:r w:rsidRPr="001D4C20">
              <w:rPr>
                <w:rStyle w:val="Lienhypertexte"/>
                <w:noProof/>
              </w:rPr>
              <w:t>51.55.1 Enduit au ciment CCTB 01.02</w:t>
            </w:r>
            <w:r>
              <w:rPr>
                <w:noProof/>
                <w:webHidden/>
              </w:rPr>
              <w:tab/>
            </w:r>
            <w:r>
              <w:rPr>
                <w:noProof/>
                <w:webHidden/>
              </w:rPr>
              <w:fldChar w:fldCharType="begin"/>
            </w:r>
            <w:r>
              <w:rPr>
                <w:noProof/>
                <w:webHidden/>
              </w:rPr>
              <w:instrText xml:space="preserve"> PAGEREF _Toc220490384 \h </w:instrText>
            </w:r>
            <w:r>
              <w:rPr>
                <w:noProof/>
                <w:webHidden/>
              </w:rPr>
            </w:r>
            <w:r>
              <w:rPr>
                <w:noProof/>
                <w:webHidden/>
              </w:rPr>
              <w:fldChar w:fldCharType="separate"/>
            </w:r>
            <w:r>
              <w:rPr>
                <w:noProof/>
                <w:webHidden/>
              </w:rPr>
              <w:t>150</w:t>
            </w:r>
            <w:r>
              <w:rPr>
                <w:noProof/>
                <w:webHidden/>
              </w:rPr>
              <w:fldChar w:fldCharType="end"/>
            </w:r>
          </w:hyperlink>
        </w:p>
        <w:p w14:paraId="7CCDA78C" w14:textId="7DEB984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85" w:history="1">
            <w:r w:rsidRPr="001D4C20">
              <w:rPr>
                <w:rStyle w:val="Lienhypertexte"/>
                <w:noProof/>
              </w:rPr>
              <w:t>51.55.1a Enduit au ciment sans couche de finition CCTB 01.10</w:t>
            </w:r>
            <w:r>
              <w:rPr>
                <w:noProof/>
                <w:webHidden/>
              </w:rPr>
              <w:tab/>
            </w:r>
            <w:r>
              <w:rPr>
                <w:noProof/>
                <w:webHidden/>
              </w:rPr>
              <w:fldChar w:fldCharType="begin"/>
            </w:r>
            <w:r>
              <w:rPr>
                <w:noProof/>
                <w:webHidden/>
              </w:rPr>
              <w:instrText xml:space="preserve"> PAGEREF _Toc220490385 \h </w:instrText>
            </w:r>
            <w:r>
              <w:rPr>
                <w:noProof/>
                <w:webHidden/>
              </w:rPr>
            </w:r>
            <w:r>
              <w:rPr>
                <w:noProof/>
                <w:webHidden/>
              </w:rPr>
              <w:fldChar w:fldCharType="separate"/>
            </w:r>
            <w:r>
              <w:rPr>
                <w:noProof/>
                <w:webHidden/>
              </w:rPr>
              <w:t>150</w:t>
            </w:r>
            <w:r>
              <w:rPr>
                <w:noProof/>
                <w:webHidden/>
              </w:rPr>
              <w:fldChar w:fldCharType="end"/>
            </w:r>
          </w:hyperlink>
        </w:p>
        <w:p w14:paraId="78A19221" w14:textId="20F8816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86" w:history="1">
            <w:r w:rsidRPr="001D4C20">
              <w:rPr>
                <w:rStyle w:val="Lienhypertexte"/>
                <w:noProof/>
              </w:rPr>
              <w:t>51.55.1b Enduit au ciment avec couche de finition CCTB 01.02</w:t>
            </w:r>
            <w:r>
              <w:rPr>
                <w:noProof/>
                <w:webHidden/>
              </w:rPr>
              <w:tab/>
            </w:r>
            <w:r>
              <w:rPr>
                <w:noProof/>
                <w:webHidden/>
              </w:rPr>
              <w:fldChar w:fldCharType="begin"/>
            </w:r>
            <w:r>
              <w:rPr>
                <w:noProof/>
                <w:webHidden/>
              </w:rPr>
              <w:instrText xml:space="preserve"> PAGEREF _Toc220490386 \h </w:instrText>
            </w:r>
            <w:r>
              <w:rPr>
                <w:noProof/>
                <w:webHidden/>
              </w:rPr>
            </w:r>
            <w:r>
              <w:rPr>
                <w:noProof/>
                <w:webHidden/>
              </w:rPr>
              <w:fldChar w:fldCharType="separate"/>
            </w:r>
            <w:r>
              <w:rPr>
                <w:noProof/>
                <w:webHidden/>
              </w:rPr>
              <w:t>152</w:t>
            </w:r>
            <w:r>
              <w:rPr>
                <w:noProof/>
                <w:webHidden/>
              </w:rPr>
              <w:fldChar w:fldCharType="end"/>
            </w:r>
          </w:hyperlink>
        </w:p>
        <w:p w14:paraId="696FE7F5" w14:textId="6A44433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87" w:history="1">
            <w:r w:rsidRPr="001D4C20">
              <w:rPr>
                <w:rStyle w:val="Lienhypertexte"/>
                <w:noProof/>
              </w:rPr>
              <w:t>51.55.2 Enduit à la chaux hydraulique CCTB 01.02</w:t>
            </w:r>
            <w:r>
              <w:rPr>
                <w:noProof/>
                <w:webHidden/>
              </w:rPr>
              <w:tab/>
            </w:r>
            <w:r>
              <w:rPr>
                <w:noProof/>
                <w:webHidden/>
              </w:rPr>
              <w:fldChar w:fldCharType="begin"/>
            </w:r>
            <w:r>
              <w:rPr>
                <w:noProof/>
                <w:webHidden/>
              </w:rPr>
              <w:instrText xml:space="preserve"> PAGEREF _Toc220490387 \h </w:instrText>
            </w:r>
            <w:r>
              <w:rPr>
                <w:noProof/>
                <w:webHidden/>
              </w:rPr>
            </w:r>
            <w:r>
              <w:rPr>
                <w:noProof/>
                <w:webHidden/>
              </w:rPr>
              <w:fldChar w:fldCharType="separate"/>
            </w:r>
            <w:r>
              <w:rPr>
                <w:noProof/>
                <w:webHidden/>
              </w:rPr>
              <w:t>152</w:t>
            </w:r>
            <w:r>
              <w:rPr>
                <w:noProof/>
                <w:webHidden/>
              </w:rPr>
              <w:fldChar w:fldCharType="end"/>
            </w:r>
          </w:hyperlink>
        </w:p>
        <w:p w14:paraId="05229878" w14:textId="53974C0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88" w:history="1">
            <w:r w:rsidRPr="001D4C20">
              <w:rPr>
                <w:rStyle w:val="Lienhypertexte"/>
                <w:noProof/>
              </w:rPr>
              <w:t>51.55.2a Enduit à la chaux hydraulique CCTB 01.12</w:t>
            </w:r>
            <w:r>
              <w:rPr>
                <w:noProof/>
                <w:webHidden/>
              </w:rPr>
              <w:tab/>
            </w:r>
            <w:r>
              <w:rPr>
                <w:noProof/>
                <w:webHidden/>
              </w:rPr>
              <w:fldChar w:fldCharType="begin"/>
            </w:r>
            <w:r>
              <w:rPr>
                <w:noProof/>
                <w:webHidden/>
              </w:rPr>
              <w:instrText xml:space="preserve"> PAGEREF _Toc220490388 \h </w:instrText>
            </w:r>
            <w:r>
              <w:rPr>
                <w:noProof/>
                <w:webHidden/>
              </w:rPr>
            </w:r>
            <w:r>
              <w:rPr>
                <w:noProof/>
                <w:webHidden/>
              </w:rPr>
              <w:fldChar w:fldCharType="separate"/>
            </w:r>
            <w:r>
              <w:rPr>
                <w:noProof/>
                <w:webHidden/>
              </w:rPr>
              <w:t>152</w:t>
            </w:r>
            <w:r>
              <w:rPr>
                <w:noProof/>
                <w:webHidden/>
              </w:rPr>
              <w:fldChar w:fldCharType="end"/>
            </w:r>
          </w:hyperlink>
        </w:p>
        <w:p w14:paraId="1B3FEDBE" w14:textId="169215BD"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389" w:history="1">
            <w:r w:rsidRPr="001D4C20">
              <w:rPr>
                <w:rStyle w:val="Lienhypertexte"/>
                <w:noProof/>
              </w:rPr>
              <w:t>51.56 Enduits à base d'argile CCTB 01.08</w:t>
            </w:r>
            <w:r>
              <w:rPr>
                <w:noProof/>
                <w:webHidden/>
              </w:rPr>
              <w:tab/>
            </w:r>
            <w:r>
              <w:rPr>
                <w:noProof/>
                <w:webHidden/>
              </w:rPr>
              <w:fldChar w:fldCharType="begin"/>
            </w:r>
            <w:r>
              <w:rPr>
                <w:noProof/>
                <w:webHidden/>
              </w:rPr>
              <w:instrText xml:space="preserve"> PAGEREF _Toc220490389 \h </w:instrText>
            </w:r>
            <w:r>
              <w:rPr>
                <w:noProof/>
                <w:webHidden/>
              </w:rPr>
            </w:r>
            <w:r>
              <w:rPr>
                <w:noProof/>
                <w:webHidden/>
              </w:rPr>
              <w:fldChar w:fldCharType="separate"/>
            </w:r>
            <w:r>
              <w:rPr>
                <w:noProof/>
                <w:webHidden/>
              </w:rPr>
              <w:t>156</w:t>
            </w:r>
            <w:r>
              <w:rPr>
                <w:noProof/>
                <w:webHidden/>
              </w:rPr>
              <w:fldChar w:fldCharType="end"/>
            </w:r>
          </w:hyperlink>
        </w:p>
        <w:p w14:paraId="7E9043B3" w14:textId="4FE51AC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90" w:history="1">
            <w:r w:rsidRPr="001D4C20">
              <w:rPr>
                <w:rStyle w:val="Lienhypertexte"/>
                <w:noProof/>
              </w:rPr>
              <w:t>51.56.1 Enduits à base d'argile CCTB 01.02</w:t>
            </w:r>
            <w:r>
              <w:rPr>
                <w:noProof/>
                <w:webHidden/>
              </w:rPr>
              <w:tab/>
            </w:r>
            <w:r>
              <w:rPr>
                <w:noProof/>
                <w:webHidden/>
              </w:rPr>
              <w:fldChar w:fldCharType="begin"/>
            </w:r>
            <w:r>
              <w:rPr>
                <w:noProof/>
                <w:webHidden/>
              </w:rPr>
              <w:instrText xml:space="preserve"> PAGEREF _Toc220490390 \h </w:instrText>
            </w:r>
            <w:r>
              <w:rPr>
                <w:noProof/>
                <w:webHidden/>
              </w:rPr>
            </w:r>
            <w:r>
              <w:rPr>
                <w:noProof/>
                <w:webHidden/>
              </w:rPr>
              <w:fldChar w:fldCharType="separate"/>
            </w:r>
            <w:r>
              <w:rPr>
                <w:noProof/>
                <w:webHidden/>
              </w:rPr>
              <w:t>156</w:t>
            </w:r>
            <w:r>
              <w:rPr>
                <w:noProof/>
                <w:webHidden/>
              </w:rPr>
              <w:fldChar w:fldCharType="end"/>
            </w:r>
          </w:hyperlink>
        </w:p>
        <w:p w14:paraId="7F821446" w14:textId="30798A2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91" w:history="1">
            <w:r w:rsidRPr="001D4C20">
              <w:rPr>
                <w:rStyle w:val="Lienhypertexte"/>
                <w:noProof/>
              </w:rPr>
              <w:t>51.56.1a Enduits à base d'argile CCTB 01.12</w:t>
            </w:r>
            <w:r>
              <w:rPr>
                <w:noProof/>
                <w:webHidden/>
              </w:rPr>
              <w:tab/>
            </w:r>
            <w:r>
              <w:rPr>
                <w:noProof/>
                <w:webHidden/>
              </w:rPr>
              <w:fldChar w:fldCharType="begin"/>
            </w:r>
            <w:r>
              <w:rPr>
                <w:noProof/>
                <w:webHidden/>
              </w:rPr>
              <w:instrText xml:space="preserve"> PAGEREF _Toc220490391 \h </w:instrText>
            </w:r>
            <w:r>
              <w:rPr>
                <w:noProof/>
                <w:webHidden/>
              </w:rPr>
            </w:r>
            <w:r>
              <w:rPr>
                <w:noProof/>
                <w:webHidden/>
              </w:rPr>
              <w:fldChar w:fldCharType="separate"/>
            </w:r>
            <w:r>
              <w:rPr>
                <w:noProof/>
                <w:webHidden/>
              </w:rPr>
              <w:t>156</w:t>
            </w:r>
            <w:r>
              <w:rPr>
                <w:noProof/>
                <w:webHidden/>
              </w:rPr>
              <w:fldChar w:fldCharType="end"/>
            </w:r>
          </w:hyperlink>
        </w:p>
        <w:p w14:paraId="3C50B126" w14:textId="4B38E13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92" w:history="1">
            <w:r w:rsidRPr="001D4C20">
              <w:rPr>
                <w:rStyle w:val="Lienhypertexte"/>
                <w:noProof/>
              </w:rPr>
              <w:t>51.56.1b Enduits à base d'argile et d'autres composants minéraux CCTB 01.12</w:t>
            </w:r>
            <w:r>
              <w:rPr>
                <w:noProof/>
                <w:webHidden/>
              </w:rPr>
              <w:tab/>
            </w:r>
            <w:r>
              <w:rPr>
                <w:noProof/>
                <w:webHidden/>
              </w:rPr>
              <w:fldChar w:fldCharType="begin"/>
            </w:r>
            <w:r>
              <w:rPr>
                <w:noProof/>
                <w:webHidden/>
              </w:rPr>
              <w:instrText xml:space="preserve"> PAGEREF _Toc220490392 \h </w:instrText>
            </w:r>
            <w:r>
              <w:rPr>
                <w:noProof/>
                <w:webHidden/>
              </w:rPr>
            </w:r>
            <w:r>
              <w:rPr>
                <w:noProof/>
                <w:webHidden/>
              </w:rPr>
              <w:fldChar w:fldCharType="separate"/>
            </w:r>
            <w:r>
              <w:rPr>
                <w:noProof/>
                <w:webHidden/>
              </w:rPr>
              <w:t>160</w:t>
            </w:r>
            <w:r>
              <w:rPr>
                <w:noProof/>
                <w:webHidden/>
              </w:rPr>
              <w:fldChar w:fldCharType="end"/>
            </w:r>
          </w:hyperlink>
        </w:p>
        <w:p w14:paraId="7EA8D20C" w14:textId="1E846EB7"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393" w:history="1">
            <w:r w:rsidRPr="001D4C20">
              <w:rPr>
                <w:rStyle w:val="Lienhypertexte"/>
                <w:noProof/>
              </w:rPr>
              <w:t>51.57 Supplément pour enduits suite à une fonction particulière CCTB 01.02</w:t>
            </w:r>
            <w:r>
              <w:rPr>
                <w:noProof/>
                <w:webHidden/>
              </w:rPr>
              <w:tab/>
            </w:r>
            <w:r>
              <w:rPr>
                <w:noProof/>
                <w:webHidden/>
              </w:rPr>
              <w:fldChar w:fldCharType="begin"/>
            </w:r>
            <w:r>
              <w:rPr>
                <w:noProof/>
                <w:webHidden/>
              </w:rPr>
              <w:instrText xml:space="preserve"> PAGEREF _Toc220490393 \h </w:instrText>
            </w:r>
            <w:r>
              <w:rPr>
                <w:noProof/>
                <w:webHidden/>
              </w:rPr>
            </w:r>
            <w:r>
              <w:rPr>
                <w:noProof/>
                <w:webHidden/>
              </w:rPr>
              <w:fldChar w:fldCharType="separate"/>
            </w:r>
            <w:r>
              <w:rPr>
                <w:noProof/>
                <w:webHidden/>
              </w:rPr>
              <w:t>164</w:t>
            </w:r>
            <w:r>
              <w:rPr>
                <w:noProof/>
                <w:webHidden/>
              </w:rPr>
              <w:fldChar w:fldCharType="end"/>
            </w:r>
          </w:hyperlink>
        </w:p>
        <w:p w14:paraId="2D8F0EFF" w14:textId="3BE25A6A"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94" w:history="1">
            <w:r w:rsidRPr="001D4C20">
              <w:rPr>
                <w:rStyle w:val="Lienhypertexte"/>
                <w:noProof/>
              </w:rPr>
              <w:t>51.57.1 Suppléments pour enduits - Finition décorative d'enduit (chaux et/ou ciment, résines synthétiques ou solution silicatée) CCTB 01.02</w:t>
            </w:r>
            <w:r>
              <w:rPr>
                <w:noProof/>
                <w:webHidden/>
              </w:rPr>
              <w:tab/>
            </w:r>
            <w:r>
              <w:rPr>
                <w:noProof/>
                <w:webHidden/>
              </w:rPr>
              <w:fldChar w:fldCharType="begin"/>
            </w:r>
            <w:r>
              <w:rPr>
                <w:noProof/>
                <w:webHidden/>
              </w:rPr>
              <w:instrText xml:space="preserve"> PAGEREF _Toc220490394 \h </w:instrText>
            </w:r>
            <w:r>
              <w:rPr>
                <w:noProof/>
                <w:webHidden/>
              </w:rPr>
            </w:r>
            <w:r>
              <w:rPr>
                <w:noProof/>
                <w:webHidden/>
              </w:rPr>
              <w:fldChar w:fldCharType="separate"/>
            </w:r>
            <w:r>
              <w:rPr>
                <w:noProof/>
                <w:webHidden/>
              </w:rPr>
              <w:t>164</w:t>
            </w:r>
            <w:r>
              <w:rPr>
                <w:noProof/>
                <w:webHidden/>
              </w:rPr>
              <w:fldChar w:fldCharType="end"/>
            </w:r>
          </w:hyperlink>
        </w:p>
        <w:p w14:paraId="643F1132" w14:textId="0169095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95" w:history="1">
            <w:r w:rsidRPr="001D4C20">
              <w:rPr>
                <w:rStyle w:val="Lienhypertexte"/>
                <w:noProof/>
              </w:rPr>
              <w:t>51.57.1a Suppléments pour enduits - Finition d'enduit taloché (rustique) CCTB 01.02</w:t>
            </w:r>
            <w:r>
              <w:rPr>
                <w:noProof/>
                <w:webHidden/>
              </w:rPr>
              <w:tab/>
            </w:r>
            <w:r>
              <w:rPr>
                <w:noProof/>
                <w:webHidden/>
              </w:rPr>
              <w:fldChar w:fldCharType="begin"/>
            </w:r>
            <w:r>
              <w:rPr>
                <w:noProof/>
                <w:webHidden/>
              </w:rPr>
              <w:instrText xml:space="preserve"> PAGEREF _Toc220490395 \h </w:instrText>
            </w:r>
            <w:r>
              <w:rPr>
                <w:noProof/>
                <w:webHidden/>
              </w:rPr>
            </w:r>
            <w:r>
              <w:rPr>
                <w:noProof/>
                <w:webHidden/>
              </w:rPr>
              <w:fldChar w:fldCharType="separate"/>
            </w:r>
            <w:r>
              <w:rPr>
                <w:noProof/>
                <w:webHidden/>
              </w:rPr>
              <w:t>164</w:t>
            </w:r>
            <w:r>
              <w:rPr>
                <w:noProof/>
                <w:webHidden/>
              </w:rPr>
              <w:fldChar w:fldCharType="end"/>
            </w:r>
          </w:hyperlink>
        </w:p>
        <w:p w14:paraId="62838CB8" w14:textId="7FF6CB8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96" w:history="1">
            <w:r w:rsidRPr="001D4C20">
              <w:rPr>
                <w:rStyle w:val="Lienhypertexte"/>
                <w:noProof/>
              </w:rPr>
              <w:t>51.57.1b Suppléments pour enduits - Finition d'enduit gratté CCTB 01.02</w:t>
            </w:r>
            <w:r>
              <w:rPr>
                <w:noProof/>
                <w:webHidden/>
              </w:rPr>
              <w:tab/>
            </w:r>
            <w:r>
              <w:rPr>
                <w:noProof/>
                <w:webHidden/>
              </w:rPr>
              <w:fldChar w:fldCharType="begin"/>
            </w:r>
            <w:r>
              <w:rPr>
                <w:noProof/>
                <w:webHidden/>
              </w:rPr>
              <w:instrText xml:space="preserve"> PAGEREF _Toc220490396 \h </w:instrText>
            </w:r>
            <w:r>
              <w:rPr>
                <w:noProof/>
                <w:webHidden/>
              </w:rPr>
            </w:r>
            <w:r>
              <w:rPr>
                <w:noProof/>
                <w:webHidden/>
              </w:rPr>
              <w:fldChar w:fldCharType="separate"/>
            </w:r>
            <w:r>
              <w:rPr>
                <w:noProof/>
                <w:webHidden/>
              </w:rPr>
              <w:t>164</w:t>
            </w:r>
            <w:r>
              <w:rPr>
                <w:noProof/>
                <w:webHidden/>
              </w:rPr>
              <w:fldChar w:fldCharType="end"/>
            </w:r>
          </w:hyperlink>
        </w:p>
        <w:p w14:paraId="6BBA5BB6" w14:textId="7B3AB73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97" w:history="1">
            <w:r w:rsidRPr="001D4C20">
              <w:rPr>
                <w:rStyle w:val="Lienhypertexte"/>
                <w:noProof/>
              </w:rPr>
              <w:t>51.57.1c Suppléments pour enduits - Finition d'enduit peigné CCTB 01.02</w:t>
            </w:r>
            <w:r>
              <w:rPr>
                <w:noProof/>
                <w:webHidden/>
              </w:rPr>
              <w:tab/>
            </w:r>
            <w:r>
              <w:rPr>
                <w:noProof/>
                <w:webHidden/>
              </w:rPr>
              <w:fldChar w:fldCharType="begin"/>
            </w:r>
            <w:r>
              <w:rPr>
                <w:noProof/>
                <w:webHidden/>
              </w:rPr>
              <w:instrText xml:space="preserve"> PAGEREF _Toc220490397 \h </w:instrText>
            </w:r>
            <w:r>
              <w:rPr>
                <w:noProof/>
                <w:webHidden/>
              </w:rPr>
            </w:r>
            <w:r>
              <w:rPr>
                <w:noProof/>
                <w:webHidden/>
              </w:rPr>
              <w:fldChar w:fldCharType="separate"/>
            </w:r>
            <w:r>
              <w:rPr>
                <w:noProof/>
                <w:webHidden/>
              </w:rPr>
              <w:t>164</w:t>
            </w:r>
            <w:r>
              <w:rPr>
                <w:noProof/>
                <w:webHidden/>
              </w:rPr>
              <w:fldChar w:fldCharType="end"/>
            </w:r>
          </w:hyperlink>
        </w:p>
        <w:p w14:paraId="675D5265" w14:textId="1DF70E2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98" w:history="1">
            <w:r w:rsidRPr="001D4C20">
              <w:rPr>
                <w:rStyle w:val="Lienhypertexte"/>
                <w:noProof/>
              </w:rPr>
              <w:t>51.57.1d Suppléments pour enduits - Finition d'enduit lavé CCTB 01.02</w:t>
            </w:r>
            <w:r>
              <w:rPr>
                <w:noProof/>
                <w:webHidden/>
              </w:rPr>
              <w:tab/>
            </w:r>
            <w:r>
              <w:rPr>
                <w:noProof/>
                <w:webHidden/>
              </w:rPr>
              <w:fldChar w:fldCharType="begin"/>
            </w:r>
            <w:r>
              <w:rPr>
                <w:noProof/>
                <w:webHidden/>
              </w:rPr>
              <w:instrText xml:space="preserve"> PAGEREF _Toc220490398 \h </w:instrText>
            </w:r>
            <w:r>
              <w:rPr>
                <w:noProof/>
                <w:webHidden/>
              </w:rPr>
            </w:r>
            <w:r>
              <w:rPr>
                <w:noProof/>
                <w:webHidden/>
              </w:rPr>
              <w:fldChar w:fldCharType="separate"/>
            </w:r>
            <w:r>
              <w:rPr>
                <w:noProof/>
                <w:webHidden/>
              </w:rPr>
              <w:t>164</w:t>
            </w:r>
            <w:r>
              <w:rPr>
                <w:noProof/>
                <w:webHidden/>
              </w:rPr>
              <w:fldChar w:fldCharType="end"/>
            </w:r>
          </w:hyperlink>
        </w:p>
        <w:p w14:paraId="022EE182" w14:textId="303EB34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99" w:history="1">
            <w:r w:rsidRPr="001D4C20">
              <w:rPr>
                <w:rStyle w:val="Lienhypertexte"/>
                <w:noProof/>
              </w:rPr>
              <w:t>51.57.1e Suppléments pour enduits - Finition d'enduit tyrolien CCTB 01.02</w:t>
            </w:r>
            <w:r>
              <w:rPr>
                <w:noProof/>
                <w:webHidden/>
              </w:rPr>
              <w:tab/>
            </w:r>
            <w:r>
              <w:rPr>
                <w:noProof/>
                <w:webHidden/>
              </w:rPr>
              <w:fldChar w:fldCharType="begin"/>
            </w:r>
            <w:r>
              <w:rPr>
                <w:noProof/>
                <w:webHidden/>
              </w:rPr>
              <w:instrText xml:space="preserve"> PAGEREF _Toc220490399 \h </w:instrText>
            </w:r>
            <w:r>
              <w:rPr>
                <w:noProof/>
                <w:webHidden/>
              </w:rPr>
            </w:r>
            <w:r>
              <w:rPr>
                <w:noProof/>
                <w:webHidden/>
              </w:rPr>
              <w:fldChar w:fldCharType="separate"/>
            </w:r>
            <w:r>
              <w:rPr>
                <w:noProof/>
                <w:webHidden/>
              </w:rPr>
              <w:t>164</w:t>
            </w:r>
            <w:r>
              <w:rPr>
                <w:noProof/>
                <w:webHidden/>
              </w:rPr>
              <w:fldChar w:fldCharType="end"/>
            </w:r>
          </w:hyperlink>
        </w:p>
        <w:p w14:paraId="5B8DF285" w14:textId="7E92C53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00" w:history="1">
            <w:r w:rsidRPr="001D4C20">
              <w:rPr>
                <w:rStyle w:val="Lienhypertexte"/>
                <w:noProof/>
              </w:rPr>
              <w:t>51.57.1f Suppléments pour enduits - Finition d'enduit roulé CCTB 01.02</w:t>
            </w:r>
            <w:r>
              <w:rPr>
                <w:noProof/>
                <w:webHidden/>
              </w:rPr>
              <w:tab/>
            </w:r>
            <w:r>
              <w:rPr>
                <w:noProof/>
                <w:webHidden/>
              </w:rPr>
              <w:fldChar w:fldCharType="begin"/>
            </w:r>
            <w:r>
              <w:rPr>
                <w:noProof/>
                <w:webHidden/>
              </w:rPr>
              <w:instrText xml:space="preserve"> PAGEREF _Toc220490400 \h </w:instrText>
            </w:r>
            <w:r>
              <w:rPr>
                <w:noProof/>
                <w:webHidden/>
              </w:rPr>
            </w:r>
            <w:r>
              <w:rPr>
                <w:noProof/>
                <w:webHidden/>
              </w:rPr>
              <w:fldChar w:fldCharType="separate"/>
            </w:r>
            <w:r>
              <w:rPr>
                <w:noProof/>
                <w:webHidden/>
              </w:rPr>
              <w:t>164</w:t>
            </w:r>
            <w:r>
              <w:rPr>
                <w:noProof/>
                <w:webHidden/>
              </w:rPr>
              <w:fldChar w:fldCharType="end"/>
            </w:r>
          </w:hyperlink>
        </w:p>
        <w:p w14:paraId="6F9DBE4B" w14:textId="42FA2D9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01" w:history="1">
            <w:r w:rsidRPr="001D4C20">
              <w:rPr>
                <w:rStyle w:val="Lienhypertexte"/>
                <w:noProof/>
              </w:rPr>
              <w:t>51.57.1g Suppléments pour enduits - Sgraffite CCTB 01.02</w:t>
            </w:r>
            <w:r>
              <w:rPr>
                <w:noProof/>
                <w:webHidden/>
              </w:rPr>
              <w:tab/>
            </w:r>
            <w:r>
              <w:rPr>
                <w:noProof/>
                <w:webHidden/>
              </w:rPr>
              <w:fldChar w:fldCharType="begin"/>
            </w:r>
            <w:r>
              <w:rPr>
                <w:noProof/>
                <w:webHidden/>
              </w:rPr>
              <w:instrText xml:space="preserve"> PAGEREF _Toc220490401 \h </w:instrText>
            </w:r>
            <w:r>
              <w:rPr>
                <w:noProof/>
                <w:webHidden/>
              </w:rPr>
            </w:r>
            <w:r>
              <w:rPr>
                <w:noProof/>
                <w:webHidden/>
              </w:rPr>
              <w:fldChar w:fldCharType="separate"/>
            </w:r>
            <w:r>
              <w:rPr>
                <w:noProof/>
                <w:webHidden/>
              </w:rPr>
              <w:t>164</w:t>
            </w:r>
            <w:r>
              <w:rPr>
                <w:noProof/>
                <w:webHidden/>
              </w:rPr>
              <w:fldChar w:fldCharType="end"/>
            </w:r>
          </w:hyperlink>
        </w:p>
        <w:p w14:paraId="119A3C42" w14:textId="2497320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02" w:history="1">
            <w:r w:rsidRPr="001D4C20">
              <w:rPr>
                <w:rStyle w:val="Lienhypertexte"/>
                <w:noProof/>
              </w:rPr>
              <w:t>51.57.1h Suppléments pour enduits - Finition d'enduit granité ou marbré (stuc) CCTB 01.02</w:t>
            </w:r>
            <w:r>
              <w:rPr>
                <w:noProof/>
                <w:webHidden/>
              </w:rPr>
              <w:tab/>
            </w:r>
            <w:r>
              <w:rPr>
                <w:noProof/>
                <w:webHidden/>
              </w:rPr>
              <w:fldChar w:fldCharType="begin"/>
            </w:r>
            <w:r>
              <w:rPr>
                <w:noProof/>
                <w:webHidden/>
              </w:rPr>
              <w:instrText xml:space="preserve"> PAGEREF _Toc220490402 \h </w:instrText>
            </w:r>
            <w:r>
              <w:rPr>
                <w:noProof/>
                <w:webHidden/>
              </w:rPr>
            </w:r>
            <w:r>
              <w:rPr>
                <w:noProof/>
                <w:webHidden/>
              </w:rPr>
              <w:fldChar w:fldCharType="separate"/>
            </w:r>
            <w:r>
              <w:rPr>
                <w:noProof/>
                <w:webHidden/>
              </w:rPr>
              <w:t>164</w:t>
            </w:r>
            <w:r>
              <w:rPr>
                <w:noProof/>
                <w:webHidden/>
              </w:rPr>
              <w:fldChar w:fldCharType="end"/>
            </w:r>
          </w:hyperlink>
        </w:p>
        <w:p w14:paraId="650670F0" w14:textId="31524507"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03" w:history="1">
            <w:r w:rsidRPr="001D4C20">
              <w:rPr>
                <w:rStyle w:val="Lienhypertexte"/>
                <w:noProof/>
              </w:rPr>
              <w:t>51.57.2 Suppléments pour enduits - Adjuvants spécifiques CCTB 01.02</w:t>
            </w:r>
            <w:r>
              <w:rPr>
                <w:noProof/>
                <w:webHidden/>
              </w:rPr>
              <w:tab/>
            </w:r>
            <w:r>
              <w:rPr>
                <w:noProof/>
                <w:webHidden/>
              </w:rPr>
              <w:fldChar w:fldCharType="begin"/>
            </w:r>
            <w:r>
              <w:rPr>
                <w:noProof/>
                <w:webHidden/>
              </w:rPr>
              <w:instrText xml:space="preserve"> PAGEREF _Toc220490403 \h </w:instrText>
            </w:r>
            <w:r>
              <w:rPr>
                <w:noProof/>
                <w:webHidden/>
              </w:rPr>
            </w:r>
            <w:r>
              <w:rPr>
                <w:noProof/>
                <w:webHidden/>
              </w:rPr>
              <w:fldChar w:fldCharType="separate"/>
            </w:r>
            <w:r>
              <w:rPr>
                <w:noProof/>
                <w:webHidden/>
              </w:rPr>
              <w:t>164</w:t>
            </w:r>
            <w:r>
              <w:rPr>
                <w:noProof/>
                <w:webHidden/>
              </w:rPr>
              <w:fldChar w:fldCharType="end"/>
            </w:r>
          </w:hyperlink>
        </w:p>
        <w:p w14:paraId="43279389" w14:textId="7145573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04" w:history="1">
            <w:r w:rsidRPr="001D4C20">
              <w:rPr>
                <w:rStyle w:val="Lienhypertexte"/>
                <w:noProof/>
              </w:rPr>
              <w:t>51.57.2a Suppléments pour enduits - Adjuvants spécifiques CCTB 01.02</w:t>
            </w:r>
            <w:r>
              <w:rPr>
                <w:noProof/>
                <w:webHidden/>
              </w:rPr>
              <w:tab/>
            </w:r>
            <w:r>
              <w:rPr>
                <w:noProof/>
                <w:webHidden/>
              </w:rPr>
              <w:fldChar w:fldCharType="begin"/>
            </w:r>
            <w:r>
              <w:rPr>
                <w:noProof/>
                <w:webHidden/>
              </w:rPr>
              <w:instrText xml:space="preserve"> PAGEREF _Toc220490404 \h </w:instrText>
            </w:r>
            <w:r>
              <w:rPr>
                <w:noProof/>
                <w:webHidden/>
              </w:rPr>
            </w:r>
            <w:r>
              <w:rPr>
                <w:noProof/>
                <w:webHidden/>
              </w:rPr>
              <w:fldChar w:fldCharType="separate"/>
            </w:r>
            <w:r>
              <w:rPr>
                <w:noProof/>
                <w:webHidden/>
              </w:rPr>
              <w:t>164</w:t>
            </w:r>
            <w:r>
              <w:rPr>
                <w:noProof/>
                <w:webHidden/>
              </w:rPr>
              <w:fldChar w:fldCharType="end"/>
            </w:r>
          </w:hyperlink>
        </w:p>
        <w:p w14:paraId="6053BB45" w14:textId="32C2D86C"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405" w:history="1">
            <w:r w:rsidRPr="001D4C20">
              <w:rPr>
                <w:rStyle w:val="Lienhypertexte"/>
                <w:noProof/>
              </w:rPr>
              <w:t>51.6 Autres revêtements intérieurs (collés, scellés ou fixés mécaniquement) CCTB 01.11</w:t>
            </w:r>
            <w:r>
              <w:rPr>
                <w:noProof/>
                <w:webHidden/>
              </w:rPr>
              <w:tab/>
            </w:r>
            <w:r>
              <w:rPr>
                <w:noProof/>
                <w:webHidden/>
              </w:rPr>
              <w:fldChar w:fldCharType="begin"/>
            </w:r>
            <w:r>
              <w:rPr>
                <w:noProof/>
                <w:webHidden/>
              </w:rPr>
              <w:instrText xml:space="preserve"> PAGEREF _Toc220490405 \h </w:instrText>
            </w:r>
            <w:r>
              <w:rPr>
                <w:noProof/>
                <w:webHidden/>
              </w:rPr>
            </w:r>
            <w:r>
              <w:rPr>
                <w:noProof/>
                <w:webHidden/>
              </w:rPr>
              <w:fldChar w:fldCharType="separate"/>
            </w:r>
            <w:r>
              <w:rPr>
                <w:noProof/>
                <w:webHidden/>
              </w:rPr>
              <w:t>164</w:t>
            </w:r>
            <w:r>
              <w:rPr>
                <w:noProof/>
                <w:webHidden/>
              </w:rPr>
              <w:fldChar w:fldCharType="end"/>
            </w:r>
          </w:hyperlink>
        </w:p>
        <w:p w14:paraId="0744315E" w14:textId="20B32416"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406" w:history="1">
            <w:r w:rsidRPr="001D4C20">
              <w:rPr>
                <w:rStyle w:val="Lienhypertexte"/>
                <w:noProof/>
              </w:rPr>
              <w:t>51.61 Revêtements muraux en carreaux en céramique CCTB 01.10</w:t>
            </w:r>
            <w:r>
              <w:rPr>
                <w:noProof/>
                <w:webHidden/>
              </w:rPr>
              <w:tab/>
            </w:r>
            <w:r>
              <w:rPr>
                <w:noProof/>
                <w:webHidden/>
              </w:rPr>
              <w:fldChar w:fldCharType="begin"/>
            </w:r>
            <w:r>
              <w:rPr>
                <w:noProof/>
                <w:webHidden/>
              </w:rPr>
              <w:instrText xml:space="preserve"> PAGEREF _Toc220490406 \h </w:instrText>
            </w:r>
            <w:r>
              <w:rPr>
                <w:noProof/>
                <w:webHidden/>
              </w:rPr>
            </w:r>
            <w:r>
              <w:rPr>
                <w:noProof/>
                <w:webHidden/>
              </w:rPr>
              <w:fldChar w:fldCharType="separate"/>
            </w:r>
            <w:r>
              <w:rPr>
                <w:noProof/>
                <w:webHidden/>
              </w:rPr>
              <w:t>165</w:t>
            </w:r>
            <w:r>
              <w:rPr>
                <w:noProof/>
                <w:webHidden/>
              </w:rPr>
              <w:fldChar w:fldCharType="end"/>
            </w:r>
          </w:hyperlink>
        </w:p>
        <w:p w14:paraId="5E269AD2" w14:textId="1A87EE52"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07" w:history="1">
            <w:r w:rsidRPr="001D4C20">
              <w:rPr>
                <w:rStyle w:val="Lienhypertexte"/>
                <w:noProof/>
              </w:rPr>
              <w:t>51.61.1 Revêtement muraux en carreaux en céramique CCTB 01.02</w:t>
            </w:r>
            <w:r>
              <w:rPr>
                <w:noProof/>
                <w:webHidden/>
              </w:rPr>
              <w:tab/>
            </w:r>
            <w:r>
              <w:rPr>
                <w:noProof/>
                <w:webHidden/>
              </w:rPr>
              <w:fldChar w:fldCharType="begin"/>
            </w:r>
            <w:r>
              <w:rPr>
                <w:noProof/>
                <w:webHidden/>
              </w:rPr>
              <w:instrText xml:space="preserve"> PAGEREF _Toc220490407 \h </w:instrText>
            </w:r>
            <w:r>
              <w:rPr>
                <w:noProof/>
                <w:webHidden/>
              </w:rPr>
            </w:r>
            <w:r>
              <w:rPr>
                <w:noProof/>
                <w:webHidden/>
              </w:rPr>
              <w:fldChar w:fldCharType="separate"/>
            </w:r>
            <w:r>
              <w:rPr>
                <w:noProof/>
                <w:webHidden/>
              </w:rPr>
              <w:t>169</w:t>
            </w:r>
            <w:r>
              <w:rPr>
                <w:noProof/>
                <w:webHidden/>
              </w:rPr>
              <w:fldChar w:fldCharType="end"/>
            </w:r>
          </w:hyperlink>
        </w:p>
        <w:p w14:paraId="0A0E428F" w14:textId="6A6DC64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08" w:history="1">
            <w:r w:rsidRPr="001D4C20">
              <w:rPr>
                <w:rStyle w:val="Lienhypertexte"/>
                <w:noProof/>
              </w:rPr>
              <w:t>51.61.1a Revêtement muraux en carreaux en céramique CCTB 01.10</w:t>
            </w:r>
            <w:r>
              <w:rPr>
                <w:noProof/>
                <w:webHidden/>
              </w:rPr>
              <w:tab/>
            </w:r>
            <w:r>
              <w:rPr>
                <w:noProof/>
                <w:webHidden/>
              </w:rPr>
              <w:fldChar w:fldCharType="begin"/>
            </w:r>
            <w:r>
              <w:rPr>
                <w:noProof/>
                <w:webHidden/>
              </w:rPr>
              <w:instrText xml:space="preserve"> PAGEREF _Toc220490408 \h </w:instrText>
            </w:r>
            <w:r>
              <w:rPr>
                <w:noProof/>
                <w:webHidden/>
              </w:rPr>
            </w:r>
            <w:r>
              <w:rPr>
                <w:noProof/>
                <w:webHidden/>
              </w:rPr>
              <w:fldChar w:fldCharType="separate"/>
            </w:r>
            <w:r>
              <w:rPr>
                <w:noProof/>
                <w:webHidden/>
              </w:rPr>
              <w:t>169</w:t>
            </w:r>
            <w:r>
              <w:rPr>
                <w:noProof/>
                <w:webHidden/>
              </w:rPr>
              <w:fldChar w:fldCharType="end"/>
            </w:r>
          </w:hyperlink>
        </w:p>
        <w:p w14:paraId="601C1A60" w14:textId="3B7BE089"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409" w:history="1">
            <w:r w:rsidRPr="001D4C20">
              <w:rPr>
                <w:rStyle w:val="Lienhypertexte"/>
                <w:noProof/>
              </w:rPr>
              <w:t>51.62 Revêtements muraux en carreaux en pierre naturelle CCTB 01.02</w:t>
            </w:r>
            <w:r>
              <w:rPr>
                <w:noProof/>
                <w:webHidden/>
              </w:rPr>
              <w:tab/>
            </w:r>
            <w:r>
              <w:rPr>
                <w:noProof/>
                <w:webHidden/>
              </w:rPr>
              <w:fldChar w:fldCharType="begin"/>
            </w:r>
            <w:r>
              <w:rPr>
                <w:noProof/>
                <w:webHidden/>
              </w:rPr>
              <w:instrText xml:space="preserve"> PAGEREF _Toc220490409 \h </w:instrText>
            </w:r>
            <w:r>
              <w:rPr>
                <w:noProof/>
                <w:webHidden/>
              </w:rPr>
            </w:r>
            <w:r>
              <w:rPr>
                <w:noProof/>
                <w:webHidden/>
              </w:rPr>
              <w:fldChar w:fldCharType="separate"/>
            </w:r>
            <w:r>
              <w:rPr>
                <w:noProof/>
                <w:webHidden/>
              </w:rPr>
              <w:t>172</w:t>
            </w:r>
            <w:r>
              <w:rPr>
                <w:noProof/>
                <w:webHidden/>
              </w:rPr>
              <w:fldChar w:fldCharType="end"/>
            </w:r>
          </w:hyperlink>
        </w:p>
        <w:p w14:paraId="312CB815" w14:textId="3489811E"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10" w:history="1">
            <w:r w:rsidRPr="001D4C20">
              <w:rPr>
                <w:rStyle w:val="Lienhypertexte"/>
                <w:noProof/>
              </w:rPr>
              <w:t>51.62.1 Revêtements muraux en pierres blanches CCTB 01.02</w:t>
            </w:r>
            <w:r>
              <w:rPr>
                <w:noProof/>
                <w:webHidden/>
              </w:rPr>
              <w:tab/>
            </w:r>
            <w:r>
              <w:rPr>
                <w:noProof/>
                <w:webHidden/>
              </w:rPr>
              <w:fldChar w:fldCharType="begin"/>
            </w:r>
            <w:r>
              <w:rPr>
                <w:noProof/>
                <w:webHidden/>
              </w:rPr>
              <w:instrText xml:space="preserve"> PAGEREF _Toc220490410 \h </w:instrText>
            </w:r>
            <w:r>
              <w:rPr>
                <w:noProof/>
                <w:webHidden/>
              </w:rPr>
            </w:r>
            <w:r>
              <w:rPr>
                <w:noProof/>
                <w:webHidden/>
              </w:rPr>
              <w:fldChar w:fldCharType="separate"/>
            </w:r>
            <w:r>
              <w:rPr>
                <w:noProof/>
                <w:webHidden/>
              </w:rPr>
              <w:t>172</w:t>
            </w:r>
            <w:r>
              <w:rPr>
                <w:noProof/>
                <w:webHidden/>
              </w:rPr>
              <w:fldChar w:fldCharType="end"/>
            </w:r>
          </w:hyperlink>
        </w:p>
        <w:p w14:paraId="1B9EC3FD" w14:textId="07B659F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11" w:history="1">
            <w:r w:rsidRPr="001D4C20">
              <w:rPr>
                <w:rStyle w:val="Lienhypertexte"/>
                <w:noProof/>
              </w:rPr>
              <w:t>51.62.1a Revêtements muraux en pierres blanches CCTB 01.02</w:t>
            </w:r>
            <w:r>
              <w:rPr>
                <w:noProof/>
                <w:webHidden/>
              </w:rPr>
              <w:tab/>
            </w:r>
            <w:r>
              <w:rPr>
                <w:noProof/>
                <w:webHidden/>
              </w:rPr>
              <w:fldChar w:fldCharType="begin"/>
            </w:r>
            <w:r>
              <w:rPr>
                <w:noProof/>
                <w:webHidden/>
              </w:rPr>
              <w:instrText xml:space="preserve"> PAGEREF _Toc220490411 \h </w:instrText>
            </w:r>
            <w:r>
              <w:rPr>
                <w:noProof/>
                <w:webHidden/>
              </w:rPr>
            </w:r>
            <w:r>
              <w:rPr>
                <w:noProof/>
                <w:webHidden/>
              </w:rPr>
              <w:fldChar w:fldCharType="separate"/>
            </w:r>
            <w:r>
              <w:rPr>
                <w:noProof/>
                <w:webHidden/>
              </w:rPr>
              <w:t>172</w:t>
            </w:r>
            <w:r>
              <w:rPr>
                <w:noProof/>
                <w:webHidden/>
              </w:rPr>
              <w:fldChar w:fldCharType="end"/>
            </w:r>
          </w:hyperlink>
        </w:p>
        <w:p w14:paraId="34D189E4" w14:textId="64038222"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12" w:history="1">
            <w:r w:rsidRPr="001D4C20">
              <w:rPr>
                <w:rStyle w:val="Lienhypertexte"/>
                <w:noProof/>
              </w:rPr>
              <w:t>51.62.2 Revêtements muraux en pierres marbrières CCTB 01.02</w:t>
            </w:r>
            <w:r>
              <w:rPr>
                <w:noProof/>
                <w:webHidden/>
              </w:rPr>
              <w:tab/>
            </w:r>
            <w:r>
              <w:rPr>
                <w:noProof/>
                <w:webHidden/>
              </w:rPr>
              <w:fldChar w:fldCharType="begin"/>
            </w:r>
            <w:r>
              <w:rPr>
                <w:noProof/>
                <w:webHidden/>
              </w:rPr>
              <w:instrText xml:space="preserve"> PAGEREF _Toc220490412 \h </w:instrText>
            </w:r>
            <w:r>
              <w:rPr>
                <w:noProof/>
                <w:webHidden/>
              </w:rPr>
            </w:r>
            <w:r>
              <w:rPr>
                <w:noProof/>
                <w:webHidden/>
              </w:rPr>
              <w:fldChar w:fldCharType="separate"/>
            </w:r>
            <w:r>
              <w:rPr>
                <w:noProof/>
                <w:webHidden/>
              </w:rPr>
              <w:t>172</w:t>
            </w:r>
            <w:r>
              <w:rPr>
                <w:noProof/>
                <w:webHidden/>
              </w:rPr>
              <w:fldChar w:fldCharType="end"/>
            </w:r>
          </w:hyperlink>
        </w:p>
        <w:p w14:paraId="65A3C685" w14:textId="397080B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13" w:history="1">
            <w:r w:rsidRPr="001D4C20">
              <w:rPr>
                <w:rStyle w:val="Lienhypertexte"/>
                <w:noProof/>
              </w:rPr>
              <w:t>51.62.2a Revêtements muraux en pierres marbrières CCTB 01.02</w:t>
            </w:r>
            <w:r>
              <w:rPr>
                <w:noProof/>
                <w:webHidden/>
              </w:rPr>
              <w:tab/>
            </w:r>
            <w:r>
              <w:rPr>
                <w:noProof/>
                <w:webHidden/>
              </w:rPr>
              <w:fldChar w:fldCharType="begin"/>
            </w:r>
            <w:r>
              <w:rPr>
                <w:noProof/>
                <w:webHidden/>
              </w:rPr>
              <w:instrText xml:space="preserve"> PAGEREF _Toc220490413 \h </w:instrText>
            </w:r>
            <w:r>
              <w:rPr>
                <w:noProof/>
                <w:webHidden/>
              </w:rPr>
            </w:r>
            <w:r>
              <w:rPr>
                <w:noProof/>
                <w:webHidden/>
              </w:rPr>
              <w:fldChar w:fldCharType="separate"/>
            </w:r>
            <w:r>
              <w:rPr>
                <w:noProof/>
                <w:webHidden/>
              </w:rPr>
              <w:t>172</w:t>
            </w:r>
            <w:r>
              <w:rPr>
                <w:noProof/>
                <w:webHidden/>
              </w:rPr>
              <w:fldChar w:fldCharType="end"/>
            </w:r>
          </w:hyperlink>
        </w:p>
        <w:p w14:paraId="5703BC39" w14:textId="45FA19E2"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14" w:history="1">
            <w:r w:rsidRPr="001D4C20">
              <w:rPr>
                <w:rStyle w:val="Lienhypertexte"/>
                <w:noProof/>
              </w:rPr>
              <w:t>51.62.3 Revêtements muraux en marbres CCTB 01.02</w:t>
            </w:r>
            <w:r>
              <w:rPr>
                <w:noProof/>
                <w:webHidden/>
              </w:rPr>
              <w:tab/>
            </w:r>
            <w:r>
              <w:rPr>
                <w:noProof/>
                <w:webHidden/>
              </w:rPr>
              <w:fldChar w:fldCharType="begin"/>
            </w:r>
            <w:r>
              <w:rPr>
                <w:noProof/>
                <w:webHidden/>
              </w:rPr>
              <w:instrText xml:space="preserve"> PAGEREF _Toc220490414 \h </w:instrText>
            </w:r>
            <w:r>
              <w:rPr>
                <w:noProof/>
                <w:webHidden/>
              </w:rPr>
            </w:r>
            <w:r>
              <w:rPr>
                <w:noProof/>
                <w:webHidden/>
              </w:rPr>
              <w:fldChar w:fldCharType="separate"/>
            </w:r>
            <w:r>
              <w:rPr>
                <w:noProof/>
                <w:webHidden/>
              </w:rPr>
              <w:t>172</w:t>
            </w:r>
            <w:r>
              <w:rPr>
                <w:noProof/>
                <w:webHidden/>
              </w:rPr>
              <w:fldChar w:fldCharType="end"/>
            </w:r>
          </w:hyperlink>
        </w:p>
        <w:p w14:paraId="4558C3BA" w14:textId="2925B43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15" w:history="1">
            <w:r w:rsidRPr="001D4C20">
              <w:rPr>
                <w:rStyle w:val="Lienhypertexte"/>
                <w:noProof/>
              </w:rPr>
              <w:t>51.62.3a Revêtements muraux en marbres CCTB 01.02</w:t>
            </w:r>
            <w:r>
              <w:rPr>
                <w:noProof/>
                <w:webHidden/>
              </w:rPr>
              <w:tab/>
            </w:r>
            <w:r>
              <w:rPr>
                <w:noProof/>
                <w:webHidden/>
              </w:rPr>
              <w:fldChar w:fldCharType="begin"/>
            </w:r>
            <w:r>
              <w:rPr>
                <w:noProof/>
                <w:webHidden/>
              </w:rPr>
              <w:instrText xml:space="preserve"> PAGEREF _Toc220490415 \h </w:instrText>
            </w:r>
            <w:r>
              <w:rPr>
                <w:noProof/>
                <w:webHidden/>
              </w:rPr>
            </w:r>
            <w:r>
              <w:rPr>
                <w:noProof/>
                <w:webHidden/>
              </w:rPr>
              <w:fldChar w:fldCharType="separate"/>
            </w:r>
            <w:r>
              <w:rPr>
                <w:noProof/>
                <w:webHidden/>
              </w:rPr>
              <w:t>172</w:t>
            </w:r>
            <w:r>
              <w:rPr>
                <w:noProof/>
                <w:webHidden/>
              </w:rPr>
              <w:fldChar w:fldCharType="end"/>
            </w:r>
          </w:hyperlink>
        </w:p>
        <w:p w14:paraId="79599B6C" w14:textId="71BB4866"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16" w:history="1">
            <w:r w:rsidRPr="001D4C20">
              <w:rPr>
                <w:rStyle w:val="Lienhypertexte"/>
                <w:noProof/>
              </w:rPr>
              <w:t>51.62.4 Revêtements muraux en pierres bleues CCTB 01.02</w:t>
            </w:r>
            <w:r>
              <w:rPr>
                <w:noProof/>
                <w:webHidden/>
              </w:rPr>
              <w:tab/>
            </w:r>
            <w:r>
              <w:rPr>
                <w:noProof/>
                <w:webHidden/>
              </w:rPr>
              <w:fldChar w:fldCharType="begin"/>
            </w:r>
            <w:r>
              <w:rPr>
                <w:noProof/>
                <w:webHidden/>
              </w:rPr>
              <w:instrText xml:space="preserve"> PAGEREF _Toc220490416 \h </w:instrText>
            </w:r>
            <w:r>
              <w:rPr>
                <w:noProof/>
                <w:webHidden/>
              </w:rPr>
            </w:r>
            <w:r>
              <w:rPr>
                <w:noProof/>
                <w:webHidden/>
              </w:rPr>
              <w:fldChar w:fldCharType="separate"/>
            </w:r>
            <w:r>
              <w:rPr>
                <w:noProof/>
                <w:webHidden/>
              </w:rPr>
              <w:t>172</w:t>
            </w:r>
            <w:r>
              <w:rPr>
                <w:noProof/>
                <w:webHidden/>
              </w:rPr>
              <w:fldChar w:fldCharType="end"/>
            </w:r>
          </w:hyperlink>
        </w:p>
        <w:p w14:paraId="7DAC6ACD" w14:textId="6B56318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17" w:history="1">
            <w:r w:rsidRPr="001D4C20">
              <w:rPr>
                <w:rStyle w:val="Lienhypertexte"/>
                <w:noProof/>
              </w:rPr>
              <w:t>51.62.4a Revêtements muraux en pierres bleues CCTB 01.02</w:t>
            </w:r>
            <w:r>
              <w:rPr>
                <w:noProof/>
                <w:webHidden/>
              </w:rPr>
              <w:tab/>
            </w:r>
            <w:r>
              <w:rPr>
                <w:noProof/>
                <w:webHidden/>
              </w:rPr>
              <w:fldChar w:fldCharType="begin"/>
            </w:r>
            <w:r>
              <w:rPr>
                <w:noProof/>
                <w:webHidden/>
              </w:rPr>
              <w:instrText xml:space="preserve"> PAGEREF _Toc220490417 \h </w:instrText>
            </w:r>
            <w:r>
              <w:rPr>
                <w:noProof/>
                <w:webHidden/>
              </w:rPr>
            </w:r>
            <w:r>
              <w:rPr>
                <w:noProof/>
                <w:webHidden/>
              </w:rPr>
              <w:fldChar w:fldCharType="separate"/>
            </w:r>
            <w:r>
              <w:rPr>
                <w:noProof/>
                <w:webHidden/>
              </w:rPr>
              <w:t>172</w:t>
            </w:r>
            <w:r>
              <w:rPr>
                <w:noProof/>
                <w:webHidden/>
              </w:rPr>
              <w:fldChar w:fldCharType="end"/>
            </w:r>
          </w:hyperlink>
        </w:p>
        <w:p w14:paraId="5A8A4251" w14:textId="68970260"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18" w:history="1">
            <w:r w:rsidRPr="001D4C20">
              <w:rPr>
                <w:rStyle w:val="Lienhypertexte"/>
                <w:noProof/>
              </w:rPr>
              <w:t>51.62.5 Revêtements muraux en granits CCTB 01.02</w:t>
            </w:r>
            <w:r>
              <w:rPr>
                <w:noProof/>
                <w:webHidden/>
              </w:rPr>
              <w:tab/>
            </w:r>
            <w:r>
              <w:rPr>
                <w:noProof/>
                <w:webHidden/>
              </w:rPr>
              <w:fldChar w:fldCharType="begin"/>
            </w:r>
            <w:r>
              <w:rPr>
                <w:noProof/>
                <w:webHidden/>
              </w:rPr>
              <w:instrText xml:space="preserve"> PAGEREF _Toc220490418 \h </w:instrText>
            </w:r>
            <w:r>
              <w:rPr>
                <w:noProof/>
                <w:webHidden/>
              </w:rPr>
            </w:r>
            <w:r>
              <w:rPr>
                <w:noProof/>
                <w:webHidden/>
              </w:rPr>
              <w:fldChar w:fldCharType="separate"/>
            </w:r>
            <w:r>
              <w:rPr>
                <w:noProof/>
                <w:webHidden/>
              </w:rPr>
              <w:t>172</w:t>
            </w:r>
            <w:r>
              <w:rPr>
                <w:noProof/>
                <w:webHidden/>
              </w:rPr>
              <w:fldChar w:fldCharType="end"/>
            </w:r>
          </w:hyperlink>
        </w:p>
        <w:p w14:paraId="051F0368" w14:textId="1D04825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19" w:history="1">
            <w:r w:rsidRPr="001D4C20">
              <w:rPr>
                <w:rStyle w:val="Lienhypertexte"/>
                <w:noProof/>
              </w:rPr>
              <w:t>51.62.5a Revêtements muraux en granits CCTB 01.02</w:t>
            </w:r>
            <w:r>
              <w:rPr>
                <w:noProof/>
                <w:webHidden/>
              </w:rPr>
              <w:tab/>
            </w:r>
            <w:r>
              <w:rPr>
                <w:noProof/>
                <w:webHidden/>
              </w:rPr>
              <w:fldChar w:fldCharType="begin"/>
            </w:r>
            <w:r>
              <w:rPr>
                <w:noProof/>
                <w:webHidden/>
              </w:rPr>
              <w:instrText xml:space="preserve"> PAGEREF _Toc220490419 \h </w:instrText>
            </w:r>
            <w:r>
              <w:rPr>
                <w:noProof/>
                <w:webHidden/>
              </w:rPr>
            </w:r>
            <w:r>
              <w:rPr>
                <w:noProof/>
                <w:webHidden/>
              </w:rPr>
              <w:fldChar w:fldCharType="separate"/>
            </w:r>
            <w:r>
              <w:rPr>
                <w:noProof/>
                <w:webHidden/>
              </w:rPr>
              <w:t>172</w:t>
            </w:r>
            <w:r>
              <w:rPr>
                <w:noProof/>
                <w:webHidden/>
              </w:rPr>
              <w:fldChar w:fldCharType="end"/>
            </w:r>
          </w:hyperlink>
        </w:p>
        <w:p w14:paraId="11D2686D" w14:textId="6B500FCF"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20" w:history="1">
            <w:r w:rsidRPr="001D4C20">
              <w:rPr>
                <w:rStyle w:val="Lienhypertexte"/>
                <w:noProof/>
              </w:rPr>
              <w:t>51.62.6 Revêtements muraux en schistes CCTB 01.02</w:t>
            </w:r>
            <w:r>
              <w:rPr>
                <w:noProof/>
                <w:webHidden/>
              </w:rPr>
              <w:tab/>
            </w:r>
            <w:r>
              <w:rPr>
                <w:noProof/>
                <w:webHidden/>
              </w:rPr>
              <w:fldChar w:fldCharType="begin"/>
            </w:r>
            <w:r>
              <w:rPr>
                <w:noProof/>
                <w:webHidden/>
              </w:rPr>
              <w:instrText xml:space="preserve"> PAGEREF _Toc220490420 \h </w:instrText>
            </w:r>
            <w:r>
              <w:rPr>
                <w:noProof/>
                <w:webHidden/>
              </w:rPr>
            </w:r>
            <w:r>
              <w:rPr>
                <w:noProof/>
                <w:webHidden/>
              </w:rPr>
              <w:fldChar w:fldCharType="separate"/>
            </w:r>
            <w:r>
              <w:rPr>
                <w:noProof/>
                <w:webHidden/>
              </w:rPr>
              <w:t>172</w:t>
            </w:r>
            <w:r>
              <w:rPr>
                <w:noProof/>
                <w:webHidden/>
              </w:rPr>
              <w:fldChar w:fldCharType="end"/>
            </w:r>
          </w:hyperlink>
        </w:p>
        <w:p w14:paraId="4FFCE78D" w14:textId="0E7993C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21" w:history="1">
            <w:r w:rsidRPr="001D4C20">
              <w:rPr>
                <w:rStyle w:val="Lienhypertexte"/>
                <w:noProof/>
              </w:rPr>
              <w:t>51.62.6a Revêtements muraux en schistes CCTB 01.02</w:t>
            </w:r>
            <w:r>
              <w:rPr>
                <w:noProof/>
                <w:webHidden/>
              </w:rPr>
              <w:tab/>
            </w:r>
            <w:r>
              <w:rPr>
                <w:noProof/>
                <w:webHidden/>
              </w:rPr>
              <w:fldChar w:fldCharType="begin"/>
            </w:r>
            <w:r>
              <w:rPr>
                <w:noProof/>
                <w:webHidden/>
              </w:rPr>
              <w:instrText xml:space="preserve"> PAGEREF _Toc220490421 \h </w:instrText>
            </w:r>
            <w:r>
              <w:rPr>
                <w:noProof/>
                <w:webHidden/>
              </w:rPr>
            </w:r>
            <w:r>
              <w:rPr>
                <w:noProof/>
                <w:webHidden/>
              </w:rPr>
              <w:fldChar w:fldCharType="separate"/>
            </w:r>
            <w:r>
              <w:rPr>
                <w:noProof/>
                <w:webHidden/>
              </w:rPr>
              <w:t>172</w:t>
            </w:r>
            <w:r>
              <w:rPr>
                <w:noProof/>
                <w:webHidden/>
              </w:rPr>
              <w:fldChar w:fldCharType="end"/>
            </w:r>
          </w:hyperlink>
        </w:p>
        <w:p w14:paraId="344BF0C7" w14:textId="74FF87B2"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422" w:history="1">
            <w:r w:rsidRPr="001D4C20">
              <w:rPr>
                <w:rStyle w:val="Lienhypertexte"/>
                <w:noProof/>
              </w:rPr>
              <w:t>51.63 Revêtements en carreaux en mosaïque CCTB 01.02</w:t>
            </w:r>
            <w:r>
              <w:rPr>
                <w:noProof/>
                <w:webHidden/>
              </w:rPr>
              <w:tab/>
            </w:r>
            <w:r>
              <w:rPr>
                <w:noProof/>
                <w:webHidden/>
              </w:rPr>
              <w:fldChar w:fldCharType="begin"/>
            </w:r>
            <w:r>
              <w:rPr>
                <w:noProof/>
                <w:webHidden/>
              </w:rPr>
              <w:instrText xml:space="preserve"> PAGEREF _Toc220490422 \h </w:instrText>
            </w:r>
            <w:r>
              <w:rPr>
                <w:noProof/>
                <w:webHidden/>
              </w:rPr>
            </w:r>
            <w:r>
              <w:rPr>
                <w:noProof/>
                <w:webHidden/>
              </w:rPr>
              <w:fldChar w:fldCharType="separate"/>
            </w:r>
            <w:r>
              <w:rPr>
                <w:noProof/>
                <w:webHidden/>
              </w:rPr>
              <w:t>172</w:t>
            </w:r>
            <w:r>
              <w:rPr>
                <w:noProof/>
                <w:webHidden/>
              </w:rPr>
              <w:fldChar w:fldCharType="end"/>
            </w:r>
          </w:hyperlink>
        </w:p>
        <w:p w14:paraId="6060D2FD" w14:textId="14C27B8F"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23" w:history="1">
            <w:r w:rsidRPr="001D4C20">
              <w:rPr>
                <w:rStyle w:val="Lienhypertexte"/>
                <w:noProof/>
              </w:rPr>
              <w:t>51.63.1 Revêtements en carreaux en mosaïque de verre CCTB 01.02</w:t>
            </w:r>
            <w:r>
              <w:rPr>
                <w:noProof/>
                <w:webHidden/>
              </w:rPr>
              <w:tab/>
            </w:r>
            <w:r>
              <w:rPr>
                <w:noProof/>
                <w:webHidden/>
              </w:rPr>
              <w:fldChar w:fldCharType="begin"/>
            </w:r>
            <w:r>
              <w:rPr>
                <w:noProof/>
                <w:webHidden/>
              </w:rPr>
              <w:instrText xml:space="preserve"> PAGEREF _Toc220490423 \h </w:instrText>
            </w:r>
            <w:r>
              <w:rPr>
                <w:noProof/>
                <w:webHidden/>
              </w:rPr>
            </w:r>
            <w:r>
              <w:rPr>
                <w:noProof/>
                <w:webHidden/>
              </w:rPr>
              <w:fldChar w:fldCharType="separate"/>
            </w:r>
            <w:r>
              <w:rPr>
                <w:noProof/>
                <w:webHidden/>
              </w:rPr>
              <w:t>172</w:t>
            </w:r>
            <w:r>
              <w:rPr>
                <w:noProof/>
                <w:webHidden/>
              </w:rPr>
              <w:fldChar w:fldCharType="end"/>
            </w:r>
          </w:hyperlink>
        </w:p>
        <w:p w14:paraId="7D8B25CC" w14:textId="2F018AB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24" w:history="1">
            <w:r w:rsidRPr="001D4C20">
              <w:rPr>
                <w:rStyle w:val="Lienhypertexte"/>
                <w:noProof/>
              </w:rPr>
              <w:t>51.63.1a Revêtements en carreaux en mosaïque de verre CCTB 01.02</w:t>
            </w:r>
            <w:r>
              <w:rPr>
                <w:noProof/>
                <w:webHidden/>
              </w:rPr>
              <w:tab/>
            </w:r>
            <w:r>
              <w:rPr>
                <w:noProof/>
                <w:webHidden/>
              </w:rPr>
              <w:fldChar w:fldCharType="begin"/>
            </w:r>
            <w:r>
              <w:rPr>
                <w:noProof/>
                <w:webHidden/>
              </w:rPr>
              <w:instrText xml:space="preserve"> PAGEREF _Toc220490424 \h </w:instrText>
            </w:r>
            <w:r>
              <w:rPr>
                <w:noProof/>
                <w:webHidden/>
              </w:rPr>
            </w:r>
            <w:r>
              <w:rPr>
                <w:noProof/>
                <w:webHidden/>
              </w:rPr>
              <w:fldChar w:fldCharType="separate"/>
            </w:r>
            <w:r>
              <w:rPr>
                <w:noProof/>
                <w:webHidden/>
              </w:rPr>
              <w:t>172</w:t>
            </w:r>
            <w:r>
              <w:rPr>
                <w:noProof/>
                <w:webHidden/>
              </w:rPr>
              <w:fldChar w:fldCharType="end"/>
            </w:r>
          </w:hyperlink>
        </w:p>
        <w:p w14:paraId="5E3606E8" w14:textId="02F9D967"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25" w:history="1">
            <w:r w:rsidRPr="001D4C20">
              <w:rPr>
                <w:rStyle w:val="Lienhypertexte"/>
                <w:noProof/>
              </w:rPr>
              <w:t>51.63.2 Revêtements en carreaux en mosaïque de céramique CCTB 01.02</w:t>
            </w:r>
            <w:r>
              <w:rPr>
                <w:noProof/>
                <w:webHidden/>
              </w:rPr>
              <w:tab/>
            </w:r>
            <w:r>
              <w:rPr>
                <w:noProof/>
                <w:webHidden/>
              </w:rPr>
              <w:fldChar w:fldCharType="begin"/>
            </w:r>
            <w:r>
              <w:rPr>
                <w:noProof/>
                <w:webHidden/>
              </w:rPr>
              <w:instrText xml:space="preserve"> PAGEREF _Toc220490425 \h </w:instrText>
            </w:r>
            <w:r>
              <w:rPr>
                <w:noProof/>
                <w:webHidden/>
              </w:rPr>
            </w:r>
            <w:r>
              <w:rPr>
                <w:noProof/>
                <w:webHidden/>
              </w:rPr>
              <w:fldChar w:fldCharType="separate"/>
            </w:r>
            <w:r>
              <w:rPr>
                <w:noProof/>
                <w:webHidden/>
              </w:rPr>
              <w:t>172</w:t>
            </w:r>
            <w:r>
              <w:rPr>
                <w:noProof/>
                <w:webHidden/>
              </w:rPr>
              <w:fldChar w:fldCharType="end"/>
            </w:r>
          </w:hyperlink>
        </w:p>
        <w:p w14:paraId="59B3DF9A" w14:textId="52444FD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26" w:history="1">
            <w:r w:rsidRPr="001D4C20">
              <w:rPr>
                <w:rStyle w:val="Lienhypertexte"/>
                <w:noProof/>
              </w:rPr>
              <w:t>51.63.2a Revêtements en carreaux en mosaïque de céramique CCTB 01.02</w:t>
            </w:r>
            <w:r>
              <w:rPr>
                <w:noProof/>
                <w:webHidden/>
              </w:rPr>
              <w:tab/>
            </w:r>
            <w:r>
              <w:rPr>
                <w:noProof/>
                <w:webHidden/>
              </w:rPr>
              <w:fldChar w:fldCharType="begin"/>
            </w:r>
            <w:r>
              <w:rPr>
                <w:noProof/>
                <w:webHidden/>
              </w:rPr>
              <w:instrText xml:space="preserve"> PAGEREF _Toc220490426 \h </w:instrText>
            </w:r>
            <w:r>
              <w:rPr>
                <w:noProof/>
                <w:webHidden/>
              </w:rPr>
            </w:r>
            <w:r>
              <w:rPr>
                <w:noProof/>
                <w:webHidden/>
              </w:rPr>
              <w:fldChar w:fldCharType="separate"/>
            </w:r>
            <w:r>
              <w:rPr>
                <w:noProof/>
                <w:webHidden/>
              </w:rPr>
              <w:t>172</w:t>
            </w:r>
            <w:r>
              <w:rPr>
                <w:noProof/>
                <w:webHidden/>
              </w:rPr>
              <w:fldChar w:fldCharType="end"/>
            </w:r>
          </w:hyperlink>
        </w:p>
        <w:p w14:paraId="6495F14F" w14:textId="2507E730"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27" w:history="1">
            <w:r w:rsidRPr="001D4C20">
              <w:rPr>
                <w:rStyle w:val="Lienhypertexte"/>
                <w:noProof/>
              </w:rPr>
              <w:t>51.63.3 Revêtements en carreaux en mosaïque de galets CCTB 01.02</w:t>
            </w:r>
            <w:r>
              <w:rPr>
                <w:noProof/>
                <w:webHidden/>
              </w:rPr>
              <w:tab/>
            </w:r>
            <w:r>
              <w:rPr>
                <w:noProof/>
                <w:webHidden/>
              </w:rPr>
              <w:fldChar w:fldCharType="begin"/>
            </w:r>
            <w:r>
              <w:rPr>
                <w:noProof/>
                <w:webHidden/>
              </w:rPr>
              <w:instrText xml:space="preserve"> PAGEREF _Toc220490427 \h </w:instrText>
            </w:r>
            <w:r>
              <w:rPr>
                <w:noProof/>
                <w:webHidden/>
              </w:rPr>
            </w:r>
            <w:r>
              <w:rPr>
                <w:noProof/>
                <w:webHidden/>
              </w:rPr>
              <w:fldChar w:fldCharType="separate"/>
            </w:r>
            <w:r>
              <w:rPr>
                <w:noProof/>
                <w:webHidden/>
              </w:rPr>
              <w:t>172</w:t>
            </w:r>
            <w:r>
              <w:rPr>
                <w:noProof/>
                <w:webHidden/>
              </w:rPr>
              <w:fldChar w:fldCharType="end"/>
            </w:r>
          </w:hyperlink>
        </w:p>
        <w:p w14:paraId="67573FC9" w14:textId="29627A4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28" w:history="1">
            <w:r w:rsidRPr="001D4C20">
              <w:rPr>
                <w:rStyle w:val="Lienhypertexte"/>
                <w:noProof/>
              </w:rPr>
              <w:t>51.63.3a Revêtements en carreaux en mosaïque de galets CCTB 01.02</w:t>
            </w:r>
            <w:r>
              <w:rPr>
                <w:noProof/>
                <w:webHidden/>
              </w:rPr>
              <w:tab/>
            </w:r>
            <w:r>
              <w:rPr>
                <w:noProof/>
                <w:webHidden/>
              </w:rPr>
              <w:fldChar w:fldCharType="begin"/>
            </w:r>
            <w:r>
              <w:rPr>
                <w:noProof/>
                <w:webHidden/>
              </w:rPr>
              <w:instrText xml:space="preserve"> PAGEREF _Toc220490428 \h </w:instrText>
            </w:r>
            <w:r>
              <w:rPr>
                <w:noProof/>
                <w:webHidden/>
              </w:rPr>
            </w:r>
            <w:r>
              <w:rPr>
                <w:noProof/>
                <w:webHidden/>
              </w:rPr>
              <w:fldChar w:fldCharType="separate"/>
            </w:r>
            <w:r>
              <w:rPr>
                <w:noProof/>
                <w:webHidden/>
              </w:rPr>
              <w:t>172</w:t>
            </w:r>
            <w:r>
              <w:rPr>
                <w:noProof/>
                <w:webHidden/>
              </w:rPr>
              <w:fldChar w:fldCharType="end"/>
            </w:r>
          </w:hyperlink>
        </w:p>
        <w:p w14:paraId="1936E4ED" w14:textId="11DC8629"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429" w:history="1">
            <w:r w:rsidRPr="001D4C20">
              <w:rPr>
                <w:rStyle w:val="Lienhypertexte"/>
                <w:noProof/>
              </w:rPr>
              <w:t>51.64 Revêtements en carreaux à base de liants CCTB 01.02</w:t>
            </w:r>
            <w:r>
              <w:rPr>
                <w:noProof/>
                <w:webHidden/>
              </w:rPr>
              <w:tab/>
            </w:r>
            <w:r>
              <w:rPr>
                <w:noProof/>
                <w:webHidden/>
              </w:rPr>
              <w:fldChar w:fldCharType="begin"/>
            </w:r>
            <w:r>
              <w:rPr>
                <w:noProof/>
                <w:webHidden/>
              </w:rPr>
              <w:instrText xml:space="preserve"> PAGEREF _Toc220490429 \h </w:instrText>
            </w:r>
            <w:r>
              <w:rPr>
                <w:noProof/>
                <w:webHidden/>
              </w:rPr>
            </w:r>
            <w:r>
              <w:rPr>
                <w:noProof/>
                <w:webHidden/>
              </w:rPr>
              <w:fldChar w:fldCharType="separate"/>
            </w:r>
            <w:r>
              <w:rPr>
                <w:noProof/>
                <w:webHidden/>
              </w:rPr>
              <w:t>172</w:t>
            </w:r>
            <w:r>
              <w:rPr>
                <w:noProof/>
                <w:webHidden/>
              </w:rPr>
              <w:fldChar w:fldCharType="end"/>
            </w:r>
          </w:hyperlink>
        </w:p>
        <w:p w14:paraId="69F928F1" w14:textId="0D13B0CE"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30" w:history="1">
            <w:r w:rsidRPr="001D4C20">
              <w:rPr>
                <w:rStyle w:val="Lienhypertexte"/>
                <w:noProof/>
              </w:rPr>
              <w:t>51.64.1 Revêtements en carreaux à base de liants hydrauliques CCTB 01.02</w:t>
            </w:r>
            <w:r>
              <w:rPr>
                <w:noProof/>
                <w:webHidden/>
              </w:rPr>
              <w:tab/>
            </w:r>
            <w:r>
              <w:rPr>
                <w:noProof/>
                <w:webHidden/>
              </w:rPr>
              <w:fldChar w:fldCharType="begin"/>
            </w:r>
            <w:r>
              <w:rPr>
                <w:noProof/>
                <w:webHidden/>
              </w:rPr>
              <w:instrText xml:space="preserve"> PAGEREF _Toc220490430 \h </w:instrText>
            </w:r>
            <w:r>
              <w:rPr>
                <w:noProof/>
                <w:webHidden/>
              </w:rPr>
            </w:r>
            <w:r>
              <w:rPr>
                <w:noProof/>
                <w:webHidden/>
              </w:rPr>
              <w:fldChar w:fldCharType="separate"/>
            </w:r>
            <w:r>
              <w:rPr>
                <w:noProof/>
                <w:webHidden/>
              </w:rPr>
              <w:t>172</w:t>
            </w:r>
            <w:r>
              <w:rPr>
                <w:noProof/>
                <w:webHidden/>
              </w:rPr>
              <w:fldChar w:fldCharType="end"/>
            </w:r>
          </w:hyperlink>
        </w:p>
        <w:p w14:paraId="16A4A562" w14:textId="1211A54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31" w:history="1">
            <w:r w:rsidRPr="001D4C20">
              <w:rPr>
                <w:rStyle w:val="Lienhypertexte"/>
                <w:noProof/>
              </w:rPr>
              <w:t>51.64.1a Revêtements en carreaux à base de liants hydrauliques CCTB 01.02</w:t>
            </w:r>
            <w:r>
              <w:rPr>
                <w:noProof/>
                <w:webHidden/>
              </w:rPr>
              <w:tab/>
            </w:r>
            <w:r>
              <w:rPr>
                <w:noProof/>
                <w:webHidden/>
              </w:rPr>
              <w:fldChar w:fldCharType="begin"/>
            </w:r>
            <w:r>
              <w:rPr>
                <w:noProof/>
                <w:webHidden/>
              </w:rPr>
              <w:instrText xml:space="preserve"> PAGEREF _Toc220490431 \h </w:instrText>
            </w:r>
            <w:r>
              <w:rPr>
                <w:noProof/>
                <w:webHidden/>
              </w:rPr>
            </w:r>
            <w:r>
              <w:rPr>
                <w:noProof/>
                <w:webHidden/>
              </w:rPr>
              <w:fldChar w:fldCharType="separate"/>
            </w:r>
            <w:r>
              <w:rPr>
                <w:noProof/>
                <w:webHidden/>
              </w:rPr>
              <w:t>172</w:t>
            </w:r>
            <w:r>
              <w:rPr>
                <w:noProof/>
                <w:webHidden/>
              </w:rPr>
              <w:fldChar w:fldCharType="end"/>
            </w:r>
          </w:hyperlink>
        </w:p>
        <w:p w14:paraId="45694F6F" w14:textId="60D61EB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32" w:history="1">
            <w:r w:rsidRPr="001D4C20">
              <w:rPr>
                <w:rStyle w:val="Lienhypertexte"/>
                <w:noProof/>
              </w:rPr>
              <w:t>51.64.2 Revêtements en carreaux à base de liants résineux CCTB 01.02</w:t>
            </w:r>
            <w:r>
              <w:rPr>
                <w:noProof/>
                <w:webHidden/>
              </w:rPr>
              <w:tab/>
            </w:r>
            <w:r>
              <w:rPr>
                <w:noProof/>
                <w:webHidden/>
              </w:rPr>
              <w:fldChar w:fldCharType="begin"/>
            </w:r>
            <w:r>
              <w:rPr>
                <w:noProof/>
                <w:webHidden/>
              </w:rPr>
              <w:instrText xml:space="preserve"> PAGEREF _Toc220490432 \h </w:instrText>
            </w:r>
            <w:r>
              <w:rPr>
                <w:noProof/>
                <w:webHidden/>
              </w:rPr>
            </w:r>
            <w:r>
              <w:rPr>
                <w:noProof/>
                <w:webHidden/>
              </w:rPr>
              <w:fldChar w:fldCharType="separate"/>
            </w:r>
            <w:r>
              <w:rPr>
                <w:noProof/>
                <w:webHidden/>
              </w:rPr>
              <w:t>172</w:t>
            </w:r>
            <w:r>
              <w:rPr>
                <w:noProof/>
                <w:webHidden/>
              </w:rPr>
              <w:fldChar w:fldCharType="end"/>
            </w:r>
          </w:hyperlink>
        </w:p>
        <w:p w14:paraId="74191CF4" w14:textId="79E4F56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33" w:history="1">
            <w:r w:rsidRPr="001D4C20">
              <w:rPr>
                <w:rStyle w:val="Lienhypertexte"/>
                <w:noProof/>
              </w:rPr>
              <w:t>51.64.2a Revêtements en carreaux à base de liants résineux CCTB 01.02</w:t>
            </w:r>
            <w:r>
              <w:rPr>
                <w:noProof/>
                <w:webHidden/>
              </w:rPr>
              <w:tab/>
            </w:r>
            <w:r>
              <w:rPr>
                <w:noProof/>
                <w:webHidden/>
              </w:rPr>
              <w:fldChar w:fldCharType="begin"/>
            </w:r>
            <w:r>
              <w:rPr>
                <w:noProof/>
                <w:webHidden/>
              </w:rPr>
              <w:instrText xml:space="preserve"> PAGEREF _Toc220490433 \h </w:instrText>
            </w:r>
            <w:r>
              <w:rPr>
                <w:noProof/>
                <w:webHidden/>
              </w:rPr>
            </w:r>
            <w:r>
              <w:rPr>
                <w:noProof/>
                <w:webHidden/>
              </w:rPr>
              <w:fldChar w:fldCharType="separate"/>
            </w:r>
            <w:r>
              <w:rPr>
                <w:noProof/>
                <w:webHidden/>
              </w:rPr>
              <w:t>172</w:t>
            </w:r>
            <w:r>
              <w:rPr>
                <w:noProof/>
                <w:webHidden/>
              </w:rPr>
              <w:fldChar w:fldCharType="end"/>
            </w:r>
          </w:hyperlink>
        </w:p>
        <w:p w14:paraId="0278AF5C" w14:textId="5B52A2F9"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434" w:history="1">
            <w:r w:rsidRPr="001D4C20">
              <w:rPr>
                <w:rStyle w:val="Lienhypertexte"/>
                <w:noProof/>
              </w:rPr>
              <w:t>51.65 Revêtements muraux métalliques CCTB 01.02</w:t>
            </w:r>
            <w:r>
              <w:rPr>
                <w:noProof/>
                <w:webHidden/>
              </w:rPr>
              <w:tab/>
            </w:r>
            <w:r>
              <w:rPr>
                <w:noProof/>
                <w:webHidden/>
              </w:rPr>
              <w:fldChar w:fldCharType="begin"/>
            </w:r>
            <w:r>
              <w:rPr>
                <w:noProof/>
                <w:webHidden/>
              </w:rPr>
              <w:instrText xml:space="preserve"> PAGEREF _Toc220490434 \h </w:instrText>
            </w:r>
            <w:r>
              <w:rPr>
                <w:noProof/>
                <w:webHidden/>
              </w:rPr>
            </w:r>
            <w:r>
              <w:rPr>
                <w:noProof/>
                <w:webHidden/>
              </w:rPr>
              <w:fldChar w:fldCharType="separate"/>
            </w:r>
            <w:r>
              <w:rPr>
                <w:noProof/>
                <w:webHidden/>
              </w:rPr>
              <w:t>173</w:t>
            </w:r>
            <w:r>
              <w:rPr>
                <w:noProof/>
                <w:webHidden/>
              </w:rPr>
              <w:fldChar w:fldCharType="end"/>
            </w:r>
          </w:hyperlink>
        </w:p>
        <w:p w14:paraId="6AEC137E" w14:textId="035EB9E5"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35" w:history="1">
            <w:r w:rsidRPr="001D4C20">
              <w:rPr>
                <w:rStyle w:val="Lienhypertexte"/>
                <w:noProof/>
              </w:rPr>
              <w:t>51.65.1 Revêtements muraux en acier CCTB 01.02</w:t>
            </w:r>
            <w:r>
              <w:rPr>
                <w:noProof/>
                <w:webHidden/>
              </w:rPr>
              <w:tab/>
            </w:r>
            <w:r>
              <w:rPr>
                <w:noProof/>
                <w:webHidden/>
              </w:rPr>
              <w:fldChar w:fldCharType="begin"/>
            </w:r>
            <w:r>
              <w:rPr>
                <w:noProof/>
                <w:webHidden/>
              </w:rPr>
              <w:instrText xml:space="preserve"> PAGEREF _Toc220490435 \h </w:instrText>
            </w:r>
            <w:r>
              <w:rPr>
                <w:noProof/>
                <w:webHidden/>
              </w:rPr>
            </w:r>
            <w:r>
              <w:rPr>
                <w:noProof/>
                <w:webHidden/>
              </w:rPr>
              <w:fldChar w:fldCharType="separate"/>
            </w:r>
            <w:r>
              <w:rPr>
                <w:noProof/>
                <w:webHidden/>
              </w:rPr>
              <w:t>173</w:t>
            </w:r>
            <w:r>
              <w:rPr>
                <w:noProof/>
                <w:webHidden/>
              </w:rPr>
              <w:fldChar w:fldCharType="end"/>
            </w:r>
          </w:hyperlink>
        </w:p>
        <w:p w14:paraId="7DB4B605" w14:textId="11F4F93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36" w:history="1">
            <w:r w:rsidRPr="001D4C20">
              <w:rPr>
                <w:rStyle w:val="Lienhypertexte"/>
                <w:noProof/>
              </w:rPr>
              <w:t>51.65.1a Revêtements muraux en acier CCTB 01.02</w:t>
            </w:r>
            <w:r>
              <w:rPr>
                <w:noProof/>
                <w:webHidden/>
              </w:rPr>
              <w:tab/>
            </w:r>
            <w:r>
              <w:rPr>
                <w:noProof/>
                <w:webHidden/>
              </w:rPr>
              <w:fldChar w:fldCharType="begin"/>
            </w:r>
            <w:r>
              <w:rPr>
                <w:noProof/>
                <w:webHidden/>
              </w:rPr>
              <w:instrText xml:space="preserve"> PAGEREF _Toc220490436 \h </w:instrText>
            </w:r>
            <w:r>
              <w:rPr>
                <w:noProof/>
                <w:webHidden/>
              </w:rPr>
            </w:r>
            <w:r>
              <w:rPr>
                <w:noProof/>
                <w:webHidden/>
              </w:rPr>
              <w:fldChar w:fldCharType="separate"/>
            </w:r>
            <w:r>
              <w:rPr>
                <w:noProof/>
                <w:webHidden/>
              </w:rPr>
              <w:t>173</w:t>
            </w:r>
            <w:r>
              <w:rPr>
                <w:noProof/>
                <w:webHidden/>
              </w:rPr>
              <w:fldChar w:fldCharType="end"/>
            </w:r>
          </w:hyperlink>
        </w:p>
        <w:p w14:paraId="18B7C84B" w14:textId="4DBFD93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37" w:history="1">
            <w:r w:rsidRPr="001D4C20">
              <w:rPr>
                <w:rStyle w:val="Lienhypertexte"/>
                <w:noProof/>
              </w:rPr>
              <w:t>51.65.1b Revêtements muraux en acier galvanisé CCTB 01.02</w:t>
            </w:r>
            <w:r>
              <w:rPr>
                <w:noProof/>
                <w:webHidden/>
              </w:rPr>
              <w:tab/>
            </w:r>
            <w:r>
              <w:rPr>
                <w:noProof/>
                <w:webHidden/>
              </w:rPr>
              <w:fldChar w:fldCharType="begin"/>
            </w:r>
            <w:r>
              <w:rPr>
                <w:noProof/>
                <w:webHidden/>
              </w:rPr>
              <w:instrText xml:space="preserve"> PAGEREF _Toc220490437 \h </w:instrText>
            </w:r>
            <w:r>
              <w:rPr>
                <w:noProof/>
                <w:webHidden/>
              </w:rPr>
            </w:r>
            <w:r>
              <w:rPr>
                <w:noProof/>
                <w:webHidden/>
              </w:rPr>
              <w:fldChar w:fldCharType="separate"/>
            </w:r>
            <w:r>
              <w:rPr>
                <w:noProof/>
                <w:webHidden/>
              </w:rPr>
              <w:t>173</w:t>
            </w:r>
            <w:r>
              <w:rPr>
                <w:noProof/>
                <w:webHidden/>
              </w:rPr>
              <w:fldChar w:fldCharType="end"/>
            </w:r>
          </w:hyperlink>
        </w:p>
        <w:p w14:paraId="5D8B9D11" w14:textId="400F3D5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38" w:history="1">
            <w:r w:rsidRPr="001D4C20">
              <w:rPr>
                <w:rStyle w:val="Lienhypertexte"/>
                <w:noProof/>
              </w:rPr>
              <w:t>51.65.1c Revêtements muraux en acier inoxydable CCTB 01.02</w:t>
            </w:r>
            <w:r>
              <w:rPr>
                <w:noProof/>
                <w:webHidden/>
              </w:rPr>
              <w:tab/>
            </w:r>
            <w:r>
              <w:rPr>
                <w:noProof/>
                <w:webHidden/>
              </w:rPr>
              <w:fldChar w:fldCharType="begin"/>
            </w:r>
            <w:r>
              <w:rPr>
                <w:noProof/>
                <w:webHidden/>
              </w:rPr>
              <w:instrText xml:space="preserve"> PAGEREF _Toc220490438 \h </w:instrText>
            </w:r>
            <w:r>
              <w:rPr>
                <w:noProof/>
                <w:webHidden/>
              </w:rPr>
            </w:r>
            <w:r>
              <w:rPr>
                <w:noProof/>
                <w:webHidden/>
              </w:rPr>
              <w:fldChar w:fldCharType="separate"/>
            </w:r>
            <w:r>
              <w:rPr>
                <w:noProof/>
                <w:webHidden/>
              </w:rPr>
              <w:t>173</w:t>
            </w:r>
            <w:r>
              <w:rPr>
                <w:noProof/>
                <w:webHidden/>
              </w:rPr>
              <w:fldChar w:fldCharType="end"/>
            </w:r>
          </w:hyperlink>
        </w:p>
        <w:p w14:paraId="50157B61" w14:textId="7820EA8F"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39" w:history="1">
            <w:r w:rsidRPr="001D4C20">
              <w:rPr>
                <w:rStyle w:val="Lienhypertexte"/>
                <w:noProof/>
              </w:rPr>
              <w:t>51.65.2 Revêtements muraux en aluminium CCTB 01.02</w:t>
            </w:r>
            <w:r>
              <w:rPr>
                <w:noProof/>
                <w:webHidden/>
              </w:rPr>
              <w:tab/>
            </w:r>
            <w:r>
              <w:rPr>
                <w:noProof/>
                <w:webHidden/>
              </w:rPr>
              <w:fldChar w:fldCharType="begin"/>
            </w:r>
            <w:r>
              <w:rPr>
                <w:noProof/>
                <w:webHidden/>
              </w:rPr>
              <w:instrText xml:space="preserve"> PAGEREF _Toc220490439 \h </w:instrText>
            </w:r>
            <w:r>
              <w:rPr>
                <w:noProof/>
                <w:webHidden/>
              </w:rPr>
            </w:r>
            <w:r>
              <w:rPr>
                <w:noProof/>
                <w:webHidden/>
              </w:rPr>
              <w:fldChar w:fldCharType="separate"/>
            </w:r>
            <w:r>
              <w:rPr>
                <w:noProof/>
                <w:webHidden/>
              </w:rPr>
              <w:t>173</w:t>
            </w:r>
            <w:r>
              <w:rPr>
                <w:noProof/>
                <w:webHidden/>
              </w:rPr>
              <w:fldChar w:fldCharType="end"/>
            </w:r>
          </w:hyperlink>
        </w:p>
        <w:p w14:paraId="632B08C9" w14:textId="4674261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40" w:history="1">
            <w:r w:rsidRPr="001D4C20">
              <w:rPr>
                <w:rStyle w:val="Lienhypertexte"/>
                <w:noProof/>
              </w:rPr>
              <w:t>51.65.2a Revêtements muraux en aluminium CCTB 01.02</w:t>
            </w:r>
            <w:r>
              <w:rPr>
                <w:noProof/>
                <w:webHidden/>
              </w:rPr>
              <w:tab/>
            </w:r>
            <w:r>
              <w:rPr>
                <w:noProof/>
                <w:webHidden/>
              </w:rPr>
              <w:fldChar w:fldCharType="begin"/>
            </w:r>
            <w:r>
              <w:rPr>
                <w:noProof/>
                <w:webHidden/>
              </w:rPr>
              <w:instrText xml:space="preserve"> PAGEREF _Toc220490440 \h </w:instrText>
            </w:r>
            <w:r>
              <w:rPr>
                <w:noProof/>
                <w:webHidden/>
              </w:rPr>
            </w:r>
            <w:r>
              <w:rPr>
                <w:noProof/>
                <w:webHidden/>
              </w:rPr>
              <w:fldChar w:fldCharType="separate"/>
            </w:r>
            <w:r>
              <w:rPr>
                <w:noProof/>
                <w:webHidden/>
              </w:rPr>
              <w:t>173</w:t>
            </w:r>
            <w:r>
              <w:rPr>
                <w:noProof/>
                <w:webHidden/>
              </w:rPr>
              <w:fldChar w:fldCharType="end"/>
            </w:r>
          </w:hyperlink>
        </w:p>
        <w:p w14:paraId="04FCEAFA" w14:textId="2B52DB32"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41" w:history="1">
            <w:r w:rsidRPr="001D4C20">
              <w:rPr>
                <w:rStyle w:val="Lienhypertexte"/>
                <w:noProof/>
              </w:rPr>
              <w:t>51.65.3 Revêtements muraux en cuivre CCTB 01.02</w:t>
            </w:r>
            <w:r>
              <w:rPr>
                <w:noProof/>
                <w:webHidden/>
              </w:rPr>
              <w:tab/>
            </w:r>
            <w:r>
              <w:rPr>
                <w:noProof/>
                <w:webHidden/>
              </w:rPr>
              <w:fldChar w:fldCharType="begin"/>
            </w:r>
            <w:r>
              <w:rPr>
                <w:noProof/>
                <w:webHidden/>
              </w:rPr>
              <w:instrText xml:space="preserve"> PAGEREF _Toc220490441 \h </w:instrText>
            </w:r>
            <w:r>
              <w:rPr>
                <w:noProof/>
                <w:webHidden/>
              </w:rPr>
            </w:r>
            <w:r>
              <w:rPr>
                <w:noProof/>
                <w:webHidden/>
              </w:rPr>
              <w:fldChar w:fldCharType="separate"/>
            </w:r>
            <w:r>
              <w:rPr>
                <w:noProof/>
                <w:webHidden/>
              </w:rPr>
              <w:t>173</w:t>
            </w:r>
            <w:r>
              <w:rPr>
                <w:noProof/>
                <w:webHidden/>
              </w:rPr>
              <w:fldChar w:fldCharType="end"/>
            </w:r>
          </w:hyperlink>
        </w:p>
        <w:p w14:paraId="75CF3822" w14:textId="0710932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42" w:history="1">
            <w:r w:rsidRPr="001D4C20">
              <w:rPr>
                <w:rStyle w:val="Lienhypertexte"/>
                <w:noProof/>
              </w:rPr>
              <w:t>51.65.3a Revêtements muraux en cuivre CCTB 01.02</w:t>
            </w:r>
            <w:r>
              <w:rPr>
                <w:noProof/>
                <w:webHidden/>
              </w:rPr>
              <w:tab/>
            </w:r>
            <w:r>
              <w:rPr>
                <w:noProof/>
                <w:webHidden/>
              </w:rPr>
              <w:fldChar w:fldCharType="begin"/>
            </w:r>
            <w:r>
              <w:rPr>
                <w:noProof/>
                <w:webHidden/>
              </w:rPr>
              <w:instrText xml:space="preserve"> PAGEREF _Toc220490442 \h </w:instrText>
            </w:r>
            <w:r>
              <w:rPr>
                <w:noProof/>
                <w:webHidden/>
              </w:rPr>
            </w:r>
            <w:r>
              <w:rPr>
                <w:noProof/>
                <w:webHidden/>
              </w:rPr>
              <w:fldChar w:fldCharType="separate"/>
            </w:r>
            <w:r>
              <w:rPr>
                <w:noProof/>
                <w:webHidden/>
              </w:rPr>
              <w:t>173</w:t>
            </w:r>
            <w:r>
              <w:rPr>
                <w:noProof/>
                <w:webHidden/>
              </w:rPr>
              <w:fldChar w:fldCharType="end"/>
            </w:r>
          </w:hyperlink>
        </w:p>
        <w:p w14:paraId="29A95CD9" w14:textId="2103FB31"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443" w:history="1">
            <w:r w:rsidRPr="001D4C20">
              <w:rPr>
                <w:rStyle w:val="Lienhypertexte"/>
                <w:noProof/>
              </w:rPr>
              <w:t>51.66 Revêtements muraux en verre CCTB 01.02</w:t>
            </w:r>
            <w:r>
              <w:rPr>
                <w:noProof/>
                <w:webHidden/>
              </w:rPr>
              <w:tab/>
            </w:r>
            <w:r>
              <w:rPr>
                <w:noProof/>
                <w:webHidden/>
              </w:rPr>
              <w:fldChar w:fldCharType="begin"/>
            </w:r>
            <w:r>
              <w:rPr>
                <w:noProof/>
                <w:webHidden/>
              </w:rPr>
              <w:instrText xml:space="preserve"> PAGEREF _Toc220490443 \h </w:instrText>
            </w:r>
            <w:r>
              <w:rPr>
                <w:noProof/>
                <w:webHidden/>
              </w:rPr>
            </w:r>
            <w:r>
              <w:rPr>
                <w:noProof/>
                <w:webHidden/>
              </w:rPr>
              <w:fldChar w:fldCharType="separate"/>
            </w:r>
            <w:r>
              <w:rPr>
                <w:noProof/>
                <w:webHidden/>
              </w:rPr>
              <w:t>173</w:t>
            </w:r>
            <w:r>
              <w:rPr>
                <w:noProof/>
                <w:webHidden/>
              </w:rPr>
              <w:fldChar w:fldCharType="end"/>
            </w:r>
          </w:hyperlink>
        </w:p>
        <w:p w14:paraId="615BCB45" w14:textId="10EE53BD"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44" w:history="1">
            <w:r w:rsidRPr="001D4C20">
              <w:rPr>
                <w:rStyle w:val="Lienhypertexte"/>
                <w:noProof/>
              </w:rPr>
              <w:t>51.66.1 Revêtements muraux en verre CCTB 01.02</w:t>
            </w:r>
            <w:r>
              <w:rPr>
                <w:noProof/>
                <w:webHidden/>
              </w:rPr>
              <w:tab/>
            </w:r>
            <w:r>
              <w:rPr>
                <w:noProof/>
                <w:webHidden/>
              </w:rPr>
              <w:fldChar w:fldCharType="begin"/>
            </w:r>
            <w:r>
              <w:rPr>
                <w:noProof/>
                <w:webHidden/>
              </w:rPr>
              <w:instrText xml:space="preserve"> PAGEREF _Toc220490444 \h </w:instrText>
            </w:r>
            <w:r>
              <w:rPr>
                <w:noProof/>
                <w:webHidden/>
              </w:rPr>
            </w:r>
            <w:r>
              <w:rPr>
                <w:noProof/>
                <w:webHidden/>
              </w:rPr>
              <w:fldChar w:fldCharType="separate"/>
            </w:r>
            <w:r>
              <w:rPr>
                <w:noProof/>
                <w:webHidden/>
              </w:rPr>
              <w:t>173</w:t>
            </w:r>
            <w:r>
              <w:rPr>
                <w:noProof/>
                <w:webHidden/>
              </w:rPr>
              <w:fldChar w:fldCharType="end"/>
            </w:r>
          </w:hyperlink>
        </w:p>
        <w:p w14:paraId="1991F920" w14:textId="3B60281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45" w:history="1">
            <w:r w:rsidRPr="001D4C20">
              <w:rPr>
                <w:rStyle w:val="Lienhypertexte"/>
                <w:noProof/>
              </w:rPr>
              <w:t>51.66.1a Revêtements muraux en verre CCTB 01.02</w:t>
            </w:r>
            <w:r>
              <w:rPr>
                <w:noProof/>
                <w:webHidden/>
              </w:rPr>
              <w:tab/>
            </w:r>
            <w:r>
              <w:rPr>
                <w:noProof/>
                <w:webHidden/>
              </w:rPr>
              <w:fldChar w:fldCharType="begin"/>
            </w:r>
            <w:r>
              <w:rPr>
                <w:noProof/>
                <w:webHidden/>
              </w:rPr>
              <w:instrText xml:space="preserve"> PAGEREF _Toc220490445 \h </w:instrText>
            </w:r>
            <w:r>
              <w:rPr>
                <w:noProof/>
                <w:webHidden/>
              </w:rPr>
            </w:r>
            <w:r>
              <w:rPr>
                <w:noProof/>
                <w:webHidden/>
              </w:rPr>
              <w:fldChar w:fldCharType="separate"/>
            </w:r>
            <w:r>
              <w:rPr>
                <w:noProof/>
                <w:webHidden/>
              </w:rPr>
              <w:t>173</w:t>
            </w:r>
            <w:r>
              <w:rPr>
                <w:noProof/>
                <w:webHidden/>
              </w:rPr>
              <w:fldChar w:fldCharType="end"/>
            </w:r>
          </w:hyperlink>
        </w:p>
        <w:p w14:paraId="100EF90D" w14:textId="5490974F"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446" w:history="1">
            <w:r w:rsidRPr="001D4C20">
              <w:rPr>
                <w:rStyle w:val="Lienhypertexte"/>
                <w:noProof/>
              </w:rPr>
              <w:t>51.67 Revêtements muraux souples / semi-souples CCTB 01.11</w:t>
            </w:r>
            <w:r>
              <w:rPr>
                <w:noProof/>
                <w:webHidden/>
              </w:rPr>
              <w:tab/>
            </w:r>
            <w:r>
              <w:rPr>
                <w:noProof/>
                <w:webHidden/>
              </w:rPr>
              <w:fldChar w:fldCharType="begin"/>
            </w:r>
            <w:r>
              <w:rPr>
                <w:noProof/>
                <w:webHidden/>
              </w:rPr>
              <w:instrText xml:space="preserve"> PAGEREF _Toc220490446 \h </w:instrText>
            </w:r>
            <w:r>
              <w:rPr>
                <w:noProof/>
                <w:webHidden/>
              </w:rPr>
            </w:r>
            <w:r>
              <w:rPr>
                <w:noProof/>
                <w:webHidden/>
              </w:rPr>
              <w:fldChar w:fldCharType="separate"/>
            </w:r>
            <w:r>
              <w:rPr>
                <w:noProof/>
                <w:webHidden/>
              </w:rPr>
              <w:t>173</w:t>
            </w:r>
            <w:r>
              <w:rPr>
                <w:noProof/>
                <w:webHidden/>
              </w:rPr>
              <w:fldChar w:fldCharType="end"/>
            </w:r>
          </w:hyperlink>
        </w:p>
        <w:p w14:paraId="29751295" w14:textId="6F5CCF36"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47" w:history="1">
            <w:r w:rsidRPr="001D4C20">
              <w:rPr>
                <w:rStyle w:val="Lienhypertexte"/>
                <w:noProof/>
              </w:rPr>
              <w:t>51.67.1 Revêtements muraux souples à peindre CCTB 01.02</w:t>
            </w:r>
            <w:r>
              <w:rPr>
                <w:noProof/>
                <w:webHidden/>
              </w:rPr>
              <w:tab/>
            </w:r>
            <w:r>
              <w:rPr>
                <w:noProof/>
                <w:webHidden/>
              </w:rPr>
              <w:fldChar w:fldCharType="begin"/>
            </w:r>
            <w:r>
              <w:rPr>
                <w:noProof/>
                <w:webHidden/>
              </w:rPr>
              <w:instrText xml:space="preserve"> PAGEREF _Toc220490447 \h </w:instrText>
            </w:r>
            <w:r>
              <w:rPr>
                <w:noProof/>
                <w:webHidden/>
              </w:rPr>
            </w:r>
            <w:r>
              <w:rPr>
                <w:noProof/>
                <w:webHidden/>
              </w:rPr>
              <w:fldChar w:fldCharType="separate"/>
            </w:r>
            <w:r>
              <w:rPr>
                <w:noProof/>
                <w:webHidden/>
              </w:rPr>
              <w:t>174</w:t>
            </w:r>
            <w:r>
              <w:rPr>
                <w:noProof/>
                <w:webHidden/>
              </w:rPr>
              <w:fldChar w:fldCharType="end"/>
            </w:r>
          </w:hyperlink>
        </w:p>
        <w:p w14:paraId="0B56B413" w14:textId="75D20FF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48" w:history="1">
            <w:r w:rsidRPr="001D4C20">
              <w:rPr>
                <w:rStyle w:val="Lienhypertexte"/>
                <w:noProof/>
              </w:rPr>
              <w:t>51.67.1a Revêtements muraux souples en papier à peindre CCTB 01.02</w:t>
            </w:r>
            <w:r>
              <w:rPr>
                <w:noProof/>
                <w:webHidden/>
              </w:rPr>
              <w:tab/>
            </w:r>
            <w:r>
              <w:rPr>
                <w:noProof/>
                <w:webHidden/>
              </w:rPr>
              <w:fldChar w:fldCharType="begin"/>
            </w:r>
            <w:r>
              <w:rPr>
                <w:noProof/>
                <w:webHidden/>
              </w:rPr>
              <w:instrText xml:space="preserve"> PAGEREF _Toc220490448 \h </w:instrText>
            </w:r>
            <w:r>
              <w:rPr>
                <w:noProof/>
                <w:webHidden/>
              </w:rPr>
            </w:r>
            <w:r>
              <w:rPr>
                <w:noProof/>
                <w:webHidden/>
              </w:rPr>
              <w:fldChar w:fldCharType="separate"/>
            </w:r>
            <w:r>
              <w:rPr>
                <w:noProof/>
                <w:webHidden/>
              </w:rPr>
              <w:t>174</w:t>
            </w:r>
            <w:r>
              <w:rPr>
                <w:noProof/>
                <w:webHidden/>
              </w:rPr>
              <w:fldChar w:fldCharType="end"/>
            </w:r>
          </w:hyperlink>
        </w:p>
        <w:p w14:paraId="1846FD7E" w14:textId="4DBE133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49" w:history="1">
            <w:r w:rsidRPr="001D4C20">
              <w:rPr>
                <w:rStyle w:val="Lienhypertexte"/>
                <w:noProof/>
              </w:rPr>
              <w:t>51.67.1b Revêtements muraux souples en toile de fibres de verre à peindre CCTB 01.02</w:t>
            </w:r>
            <w:r>
              <w:rPr>
                <w:noProof/>
                <w:webHidden/>
              </w:rPr>
              <w:tab/>
            </w:r>
            <w:r>
              <w:rPr>
                <w:noProof/>
                <w:webHidden/>
              </w:rPr>
              <w:fldChar w:fldCharType="begin"/>
            </w:r>
            <w:r>
              <w:rPr>
                <w:noProof/>
                <w:webHidden/>
              </w:rPr>
              <w:instrText xml:space="preserve"> PAGEREF _Toc220490449 \h </w:instrText>
            </w:r>
            <w:r>
              <w:rPr>
                <w:noProof/>
                <w:webHidden/>
              </w:rPr>
            </w:r>
            <w:r>
              <w:rPr>
                <w:noProof/>
                <w:webHidden/>
              </w:rPr>
              <w:fldChar w:fldCharType="separate"/>
            </w:r>
            <w:r>
              <w:rPr>
                <w:noProof/>
                <w:webHidden/>
              </w:rPr>
              <w:t>174</w:t>
            </w:r>
            <w:r>
              <w:rPr>
                <w:noProof/>
                <w:webHidden/>
              </w:rPr>
              <w:fldChar w:fldCharType="end"/>
            </w:r>
          </w:hyperlink>
        </w:p>
        <w:p w14:paraId="76779446" w14:textId="2AF1A0C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50" w:history="1">
            <w:r w:rsidRPr="001D4C20">
              <w:rPr>
                <w:rStyle w:val="Lienhypertexte"/>
                <w:noProof/>
              </w:rPr>
              <w:t>51.67.2 Revêtements muraux souples en papier peint CCTB 01.07</w:t>
            </w:r>
            <w:r>
              <w:rPr>
                <w:noProof/>
                <w:webHidden/>
              </w:rPr>
              <w:tab/>
            </w:r>
            <w:r>
              <w:rPr>
                <w:noProof/>
                <w:webHidden/>
              </w:rPr>
              <w:fldChar w:fldCharType="begin"/>
            </w:r>
            <w:r>
              <w:rPr>
                <w:noProof/>
                <w:webHidden/>
              </w:rPr>
              <w:instrText xml:space="preserve"> PAGEREF _Toc220490450 \h </w:instrText>
            </w:r>
            <w:r>
              <w:rPr>
                <w:noProof/>
                <w:webHidden/>
              </w:rPr>
            </w:r>
            <w:r>
              <w:rPr>
                <w:noProof/>
                <w:webHidden/>
              </w:rPr>
              <w:fldChar w:fldCharType="separate"/>
            </w:r>
            <w:r>
              <w:rPr>
                <w:noProof/>
                <w:webHidden/>
              </w:rPr>
              <w:t>174</w:t>
            </w:r>
            <w:r>
              <w:rPr>
                <w:noProof/>
                <w:webHidden/>
              </w:rPr>
              <w:fldChar w:fldCharType="end"/>
            </w:r>
          </w:hyperlink>
        </w:p>
        <w:p w14:paraId="648048E6" w14:textId="671A162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51" w:history="1">
            <w:r w:rsidRPr="001D4C20">
              <w:rPr>
                <w:rStyle w:val="Lienhypertexte"/>
                <w:noProof/>
              </w:rPr>
              <w:t>51.67.2a Revêtements muraux souples en papier peint décoré CCTB 01.02</w:t>
            </w:r>
            <w:r>
              <w:rPr>
                <w:noProof/>
                <w:webHidden/>
              </w:rPr>
              <w:tab/>
            </w:r>
            <w:r>
              <w:rPr>
                <w:noProof/>
                <w:webHidden/>
              </w:rPr>
              <w:fldChar w:fldCharType="begin"/>
            </w:r>
            <w:r>
              <w:rPr>
                <w:noProof/>
                <w:webHidden/>
              </w:rPr>
              <w:instrText xml:space="preserve"> PAGEREF _Toc220490451 \h </w:instrText>
            </w:r>
            <w:r>
              <w:rPr>
                <w:noProof/>
                <w:webHidden/>
              </w:rPr>
            </w:r>
            <w:r>
              <w:rPr>
                <w:noProof/>
                <w:webHidden/>
              </w:rPr>
              <w:fldChar w:fldCharType="separate"/>
            </w:r>
            <w:r>
              <w:rPr>
                <w:noProof/>
                <w:webHidden/>
              </w:rPr>
              <w:t>174</w:t>
            </w:r>
            <w:r>
              <w:rPr>
                <w:noProof/>
                <w:webHidden/>
              </w:rPr>
              <w:fldChar w:fldCharType="end"/>
            </w:r>
          </w:hyperlink>
        </w:p>
        <w:p w14:paraId="287988FB" w14:textId="685066D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52" w:history="1">
            <w:r w:rsidRPr="001D4C20">
              <w:rPr>
                <w:rStyle w:val="Lienhypertexte"/>
                <w:noProof/>
              </w:rPr>
              <w:t>51.67.2b Revêtements muraux souples en papier vinylique CCTB 01.02</w:t>
            </w:r>
            <w:r>
              <w:rPr>
                <w:noProof/>
                <w:webHidden/>
              </w:rPr>
              <w:tab/>
            </w:r>
            <w:r>
              <w:rPr>
                <w:noProof/>
                <w:webHidden/>
              </w:rPr>
              <w:fldChar w:fldCharType="begin"/>
            </w:r>
            <w:r>
              <w:rPr>
                <w:noProof/>
                <w:webHidden/>
              </w:rPr>
              <w:instrText xml:space="preserve"> PAGEREF _Toc220490452 \h </w:instrText>
            </w:r>
            <w:r>
              <w:rPr>
                <w:noProof/>
                <w:webHidden/>
              </w:rPr>
            </w:r>
            <w:r>
              <w:rPr>
                <w:noProof/>
                <w:webHidden/>
              </w:rPr>
              <w:fldChar w:fldCharType="separate"/>
            </w:r>
            <w:r>
              <w:rPr>
                <w:noProof/>
                <w:webHidden/>
              </w:rPr>
              <w:t>174</w:t>
            </w:r>
            <w:r>
              <w:rPr>
                <w:noProof/>
                <w:webHidden/>
              </w:rPr>
              <w:fldChar w:fldCharType="end"/>
            </w:r>
          </w:hyperlink>
        </w:p>
        <w:p w14:paraId="5988CE76" w14:textId="1462846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53" w:history="1">
            <w:r w:rsidRPr="001D4C20">
              <w:rPr>
                <w:rStyle w:val="Lienhypertexte"/>
                <w:noProof/>
              </w:rPr>
              <w:t>51.67.2c Revêtements muraux souples en papier vinylique expansé en relief CCTB 01.02</w:t>
            </w:r>
            <w:r>
              <w:rPr>
                <w:noProof/>
                <w:webHidden/>
              </w:rPr>
              <w:tab/>
            </w:r>
            <w:r>
              <w:rPr>
                <w:noProof/>
                <w:webHidden/>
              </w:rPr>
              <w:fldChar w:fldCharType="begin"/>
            </w:r>
            <w:r>
              <w:rPr>
                <w:noProof/>
                <w:webHidden/>
              </w:rPr>
              <w:instrText xml:space="preserve"> PAGEREF _Toc220490453 \h </w:instrText>
            </w:r>
            <w:r>
              <w:rPr>
                <w:noProof/>
                <w:webHidden/>
              </w:rPr>
            </w:r>
            <w:r>
              <w:rPr>
                <w:noProof/>
                <w:webHidden/>
              </w:rPr>
              <w:fldChar w:fldCharType="separate"/>
            </w:r>
            <w:r>
              <w:rPr>
                <w:noProof/>
                <w:webHidden/>
              </w:rPr>
              <w:t>174</w:t>
            </w:r>
            <w:r>
              <w:rPr>
                <w:noProof/>
                <w:webHidden/>
              </w:rPr>
              <w:fldChar w:fldCharType="end"/>
            </w:r>
          </w:hyperlink>
        </w:p>
        <w:p w14:paraId="7065776E" w14:textId="3CD5F3B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54" w:history="1">
            <w:r w:rsidRPr="001D4C20">
              <w:rPr>
                <w:rStyle w:val="Lienhypertexte"/>
                <w:noProof/>
              </w:rPr>
              <w:t>51.67.3 Revêtements muraux souples vinyliques  CCTB 01.07</w:t>
            </w:r>
            <w:r>
              <w:rPr>
                <w:noProof/>
                <w:webHidden/>
              </w:rPr>
              <w:tab/>
            </w:r>
            <w:r>
              <w:rPr>
                <w:noProof/>
                <w:webHidden/>
              </w:rPr>
              <w:fldChar w:fldCharType="begin"/>
            </w:r>
            <w:r>
              <w:rPr>
                <w:noProof/>
                <w:webHidden/>
              </w:rPr>
              <w:instrText xml:space="preserve"> PAGEREF _Toc220490454 \h </w:instrText>
            </w:r>
            <w:r>
              <w:rPr>
                <w:noProof/>
                <w:webHidden/>
              </w:rPr>
            </w:r>
            <w:r>
              <w:rPr>
                <w:noProof/>
                <w:webHidden/>
              </w:rPr>
              <w:fldChar w:fldCharType="separate"/>
            </w:r>
            <w:r>
              <w:rPr>
                <w:noProof/>
                <w:webHidden/>
              </w:rPr>
              <w:t>174</w:t>
            </w:r>
            <w:r>
              <w:rPr>
                <w:noProof/>
                <w:webHidden/>
              </w:rPr>
              <w:fldChar w:fldCharType="end"/>
            </w:r>
          </w:hyperlink>
        </w:p>
        <w:p w14:paraId="7FA3ACBF" w14:textId="5E40C2D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55" w:history="1">
            <w:r w:rsidRPr="001D4C20">
              <w:rPr>
                <w:rStyle w:val="Lienhypertexte"/>
                <w:noProof/>
              </w:rPr>
              <w:t>51.67.3a Revêtements muraux souples vinyliques sur textile CCTB 01.02</w:t>
            </w:r>
            <w:r>
              <w:rPr>
                <w:noProof/>
                <w:webHidden/>
              </w:rPr>
              <w:tab/>
            </w:r>
            <w:r>
              <w:rPr>
                <w:noProof/>
                <w:webHidden/>
              </w:rPr>
              <w:fldChar w:fldCharType="begin"/>
            </w:r>
            <w:r>
              <w:rPr>
                <w:noProof/>
                <w:webHidden/>
              </w:rPr>
              <w:instrText xml:space="preserve"> PAGEREF _Toc220490455 \h </w:instrText>
            </w:r>
            <w:r>
              <w:rPr>
                <w:noProof/>
                <w:webHidden/>
              </w:rPr>
            </w:r>
            <w:r>
              <w:rPr>
                <w:noProof/>
                <w:webHidden/>
              </w:rPr>
              <w:fldChar w:fldCharType="separate"/>
            </w:r>
            <w:r>
              <w:rPr>
                <w:noProof/>
                <w:webHidden/>
              </w:rPr>
              <w:t>174</w:t>
            </w:r>
            <w:r>
              <w:rPr>
                <w:noProof/>
                <w:webHidden/>
              </w:rPr>
              <w:fldChar w:fldCharType="end"/>
            </w:r>
          </w:hyperlink>
        </w:p>
        <w:p w14:paraId="452709E8" w14:textId="22F8942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56" w:history="1">
            <w:r w:rsidRPr="001D4C20">
              <w:rPr>
                <w:rStyle w:val="Lienhypertexte"/>
                <w:noProof/>
              </w:rPr>
              <w:t>51.67.3b Revêtements muraux souples vinyliques avec couche de protection sur textile CCTB 01.02</w:t>
            </w:r>
            <w:r>
              <w:rPr>
                <w:noProof/>
                <w:webHidden/>
              </w:rPr>
              <w:tab/>
            </w:r>
            <w:r>
              <w:rPr>
                <w:noProof/>
                <w:webHidden/>
              </w:rPr>
              <w:fldChar w:fldCharType="begin"/>
            </w:r>
            <w:r>
              <w:rPr>
                <w:noProof/>
                <w:webHidden/>
              </w:rPr>
              <w:instrText xml:space="preserve"> PAGEREF _Toc220490456 \h </w:instrText>
            </w:r>
            <w:r>
              <w:rPr>
                <w:noProof/>
                <w:webHidden/>
              </w:rPr>
            </w:r>
            <w:r>
              <w:rPr>
                <w:noProof/>
                <w:webHidden/>
              </w:rPr>
              <w:fldChar w:fldCharType="separate"/>
            </w:r>
            <w:r>
              <w:rPr>
                <w:noProof/>
                <w:webHidden/>
              </w:rPr>
              <w:t>174</w:t>
            </w:r>
            <w:r>
              <w:rPr>
                <w:noProof/>
                <w:webHidden/>
              </w:rPr>
              <w:fldChar w:fldCharType="end"/>
            </w:r>
          </w:hyperlink>
        </w:p>
        <w:p w14:paraId="05B3E021" w14:textId="0270B66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57" w:history="1">
            <w:r w:rsidRPr="001D4C20">
              <w:rPr>
                <w:rStyle w:val="Lienhypertexte"/>
                <w:noProof/>
              </w:rPr>
              <w:t>51.67.3c Revêtements muraux souples vinyliques avec motif sur textile CCTB 01.02</w:t>
            </w:r>
            <w:r>
              <w:rPr>
                <w:noProof/>
                <w:webHidden/>
              </w:rPr>
              <w:tab/>
            </w:r>
            <w:r>
              <w:rPr>
                <w:noProof/>
                <w:webHidden/>
              </w:rPr>
              <w:fldChar w:fldCharType="begin"/>
            </w:r>
            <w:r>
              <w:rPr>
                <w:noProof/>
                <w:webHidden/>
              </w:rPr>
              <w:instrText xml:space="preserve"> PAGEREF _Toc220490457 \h </w:instrText>
            </w:r>
            <w:r>
              <w:rPr>
                <w:noProof/>
                <w:webHidden/>
              </w:rPr>
            </w:r>
            <w:r>
              <w:rPr>
                <w:noProof/>
                <w:webHidden/>
              </w:rPr>
              <w:fldChar w:fldCharType="separate"/>
            </w:r>
            <w:r>
              <w:rPr>
                <w:noProof/>
                <w:webHidden/>
              </w:rPr>
              <w:t>174</w:t>
            </w:r>
            <w:r>
              <w:rPr>
                <w:noProof/>
                <w:webHidden/>
              </w:rPr>
              <w:fldChar w:fldCharType="end"/>
            </w:r>
          </w:hyperlink>
        </w:p>
        <w:p w14:paraId="60A9F31B" w14:textId="10F66D5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58" w:history="1">
            <w:r w:rsidRPr="001D4C20">
              <w:rPr>
                <w:rStyle w:val="Lienhypertexte"/>
                <w:noProof/>
              </w:rPr>
              <w:t>51.67.3d Revêtements muraux souples vinyliques lourd sur textile CCTB 01.02</w:t>
            </w:r>
            <w:r>
              <w:rPr>
                <w:noProof/>
                <w:webHidden/>
              </w:rPr>
              <w:tab/>
            </w:r>
            <w:r>
              <w:rPr>
                <w:noProof/>
                <w:webHidden/>
              </w:rPr>
              <w:fldChar w:fldCharType="begin"/>
            </w:r>
            <w:r>
              <w:rPr>
                <w:noProof/>
                <w:webHidden/>
              </w:rPr>
              <w:instrText xml:space="preserve"> PAGEREF _Toc220490458 \h </w:instrText>
            </w:r>
            <w:r>
              <w:rPr>
                <w:noProof/>
                <w:webHidden/>
              </w:rPr>
            </w:r>
            <w:r>
              <w:rPr>
                <w:noProof/>
                <w:webHidden/>
              </w:rPr>
              <w:fldChar w:fldCharType="separate"/>
            </w:r>
            <w:r>
              <w:rPr>
                <w:noProof/>
                <w:webHidden/>
              </w:rPr>
              <w:t>174</w:t>
            </w:r>
            <w:r>
              <w:rPr>
                <w:noProof/>
                <w:webHidden/>
              </w:rPr>
              <w:fldChar w:fldCharType="end"/>
            </w:r>
          </w:hyperlink>
        </w:p>
        <w:p w14:paraId="72E03796" w14:textId="47D6945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59" w:history="1">
            <w:r w:rsidRPr="001D4C20">
              <w:rPr>
                <w:rStyle w:val="Lienhypertexte"/>
                <w:noProof/>
              </w:rPr>
              <w:t>51.67.3e Revêtements muraux souples vinyliques avec support de mousse CCTB 01.02</w:t>
            </w:r>
            <w:r>
              <w:rPr>
                <w:noProof/>
                <w:webHidden/>
              </w:rPr>
              <w:tab/>
            </w:r>
            <w:r>
              <w:rPr>
                <w:noProof/>
                <w:webHidden/>
              </w:rPr>
              <w:fldChar w:fldCharType="begin"/>
            </w:r>
            <w:r>
              <w:rPr>
                <w:noProof/>
                <w:webHidden/>
              </w:rPr>
              <w:instrText xml:space="preserve"> PAGEREF _Toc220490459 \h </w:instrText>
            </w:r>
            <w:r>
              <w:rPr>
                <w:noProof/>
                <w:webHidden/>
              </w:rPr>
            </w:r>
            <w:r>
              <w:rPr>
                <w:noProof/>
                <w:webHidden/>
              </w:rPr>
              <w:fldChar w:fldCharType="separate"/>
            </w:r>
            <w:r>
              <w:rPr>
                <w:noProof/>
                <w:webHidden/>
              </w:rPr>
              <w:t>174</w:t>
            </w:r>
            <w:r>
              <w:rPr>
                <w:noProof/>
                <w:webHidden/>
              </w:rPr>
              <w:fldChar w:fldCharType="end"/>
            </w:r>
          </w:hyperlink>
        </w:p>
        <w:p w14:paraId="1EC15B19" w14:textId="65749686"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60" w:history="1">
            <w:r w:rsidRPr="001D4C20">
              <w:rPr>
                <w:rStyle w:val="Lienhypertexte"/>
                <w:noProof/>
              </w:rPr>
              <w:t>51.67.4 Revêtements muraux souples en textile non tissé  CCTB 01.07</w:t>
            </w:r>
            <w:r>
              <w:rPr>
                <w:noProof/>
                <w:webHidden/>
              </w:rPr>
              <w:tab/>
            </w:r>
            <w:r>
              <w:rPr>
                <w:noProof/>
                <w:webHidden/>
              </w:rPr>
              <w:fldChar w:fldCharType="begin"/>
            </w:r>
            <w:r>
              <w:rPr>
                <w:noProof/>
                <w:webHidden/>
              </w:rPr>
              <w:instrText xml:space="preserve"> PAGEREF _Toc220490460 \h </w:instrText>
            </w:r>
            <w:r>
              <w:rPr>
                <w:noProof/>
                <w:webHidden/>
              </w:rPr>
            </w:r>
            <w:r>
              <w:rPr>
                <w:noProof/>
                <w:webHidden/>
              </w:rPr>
              <w:fldChar w:fldCharType="separate"/>
            </w:r>
            <w:r>
              <w:rPr>
                <w:noProof/>
                <w:webHidden/>
              </w:rPr>
              <w:t>174</w:t>
            </w:r>
            <w:r>
              <w:rPr>
                <w:noProof/>
                <w:webHidden/>
              </w:rPr>
              <w:fldChar w:fldCharType="end"/>
            </w:r>
          </w:hyperlink>
        </w:p>
        <w:p w14:paraId="7AD08D3E" w14:textId="7FF20DA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61" w:history="1">
            <w:r w:rsidRPr="001D4C20">
              <w:rPr>
                <w:rStyle w:val="Lienhypertexte"/>
                <w:noProof/>
              </w:rPr>
              <w:t>51.67.4a Revêtements muraux souples en textile non tissé de coton CCTB 01.02</w:t>
            </w:r>
            <w:r>
              <w:rPr>
                <w:noProof/>
                <w:webHidden/>
              </w:rPr>
              <w:tab/>
            </w:r>
            <w:r>
              <w:rPr>
                <w:noProof/>
                <w:webHidden/>
              </w:rPr>
              <w:fldChar w:fldCharType="begin"/>
            </w:r>
            <w:r>
              <w:rPr>
                <w:noProof/>
                <w:webHidden/>
              </w:rPr>
              <w:instrText xml:space="preserve"> PAGEREF _Toc220490461 \h </w:instrText>
            </w:r>
            <w:r>
              <w:rPr>
                <w:noProof/>
                <w:webHidden/>
              </w:rPr>
            </w:r>
            <w:r>
              <w:rPr>
                <w:noProof/>
                <w:webHidden/>
              </w:rPr>
              <w:fldChar w:fldCharType="separate"/>
            </w:r>
            <w:r>
              <w:rPr>
                <w:noProof/>
                <w:webHidden/>
              </w:rPr>
              <w:t>174</w:t>
            </w:r>
            <w:r>
              <w:rPr>
                <w:noProof/>
                <w:webHidden/>
              </w:rPr>
              <w:fldChar w:fldCharType="end"/>
            </w:r>
          </w:hyperlink>
        </w:p>
        <w:p w14:paraId="2DC78873" w14:textId="566808B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62" w:history="1">
            <w:r w:rsidRPr="001D4C20">
              <w:rPr>
                <w:rStyle w:val="Lienhypertexte"/>
                <w:noProof/>
              </w:rPr>
              <w:t>51.67.4b Revêtements muraux souples en textile non tissé d'une combinaison de fibres CCTB 01.02</w:t>
            </w:r>
            <w:r>
              <w:rPr>
                <w:noProof/>
                <w:webHidden/>
              </w:rPr>
              <w:tab/>
            </w:r>
            <w:r>
              <w:rPr>
                <w:noProof/>
                <w:webHidden/>
              </w:rPr>
              <w:fldChar w:fldCharType="begin"/>
            </w:r>
            <w:r>
              <w:rPr>
                <w:noProof/>
                <w:webHidden/>
              </w:rPr>
              <w:instrText xml:space="preserve"> PAGEREF _Toc220490462 \h </w:instrText>
            </w:r>
            <w:r>
              <w:rPr>
                <w:noProof/>
                <w:webHidden/>
              </w:rPr>
            </w:r>
            <w:r>
              <w:rPr>
                <w:noProof/>
                <w:webHidden/>
              </w:rPr>
              <w:fldChar w:fldCharType="separate"/>
            </w:r>
            <w:r>
              <w:rPr>
                <w:noProof/>
                <w:webHidden/>
              </w:rPr>
              <w:t>174</w:t>
            </w:r>
            <w:r>
              <w:rPr>
                <w:noProof/>
                <w:webHidden/>
              </w:rPr>
              <w:fldChar w:fldCharType="end"/>
            </w:r>
          </w:hyperlink>
        </w:p>
        <w:p w14:paraId="5ACA603E" w14:textId="02021AC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63" w:history="1">
            <w:r w:rsidRPr="001D4C20">
              <w:rPr>
                <w:rStyle w:val="Lienhypertexte"/>
                <w:noProof/>
              </w:rPr>
              <w:t>51.67.4c Revêtements muraux souples en textile non tissé synthétique CCTB 01.02</w:t>
            </w:r>
            <w:r>
              <w:rPr>
                <w:noProof/>
                <w:webHidden/>
              </w:rPr>
              <w:tab/>
            </w:r>
            <w:r>
              <w:rPr>
                <w:noProof/>
                <w:webHidden/>
              </w:rPr>
              <w:fldChar w:fldCharType="begin"/>
            </w:r>
            <w:r>
              <w:rPr>
                <w:noProof/>
                <w:webHidden/>
              </w:rPr>
              <w:instrText xml:space="preserve"> PAGEREF _Toc220490463 \h </w:instrText>
            </w:r>
            <w:r>
              <w:rPr>
                <w:noProof/>
                <w:webHidden/>
              </w:rPr>
            </w:r>
            <w:r>
              <w:rPr>
                <w:noProof/>
                <w:webHidden/>
              </w:rPr>
              <w:fldChar w:fldCharType="separate"/>
            </w:r>
            <w:r>
              <w:rPr>
                <w:noProof/>
                <w:webHidden/>
              </w:rPr>
              <w:t>175</w:t>
            </w:r>
            <w:r>
              <w:rPr>
                <w:noProof/>
                <w:webHidden/>
              </w:rPr>
              <w:fldChar w:fldCharType="end"/>
            </w:r>
          </w:hyperlink>
        </w:p>
        <w:p w14:paraId="20DB1AC5" w14:textId="2B6FF9A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64" w:history="1">
            <w:r w:rsidRPr="001D4C20">
              <w:rPr>
                <w:rStyle w:val="Lienhypertexte"/>
                <w:noProof/>
              </w:rPr>
              <w:t>51.67.4d Revêtements muraux souples en textile non tissé de lin CCTB 01.02</w:t>
            </w:r>
            <w:r>
              <w:rPr>
                <w:noProof/>
                <w:webHidden/>
              </w:rPr>
              <w:tab/>
            </w:r>
            <w:r>
              <w:rPr>
                <w:noProof/>
                <w:webHidden/>
              </w:rPr>
              <w:fldChar w:fldCharType="begin"/>
            </w:r>
            <w:r>
              <w:rPr>
                <w:noProof/>
                <w:webHidden/>
              </w:rPr>
              <w:instrText xml:space="preserve"> PAGEREF _Toc220490464 \h </w:instrText>
            </w:r>
            <w:r>
              <w:rPr>
                <w:noProof/>
                <w:webHidden/>
              </w:rPr>
            </w:r>
            <w:r>
              <w:rPr>
                <w:noProof/>
                <w:webHidden/>
              </w:rPr>
              <w:fldChar w:fldCharType="separate"/>
            </w:r>
            <w:r>
              <w:rPr>
                <w:noProof/>
                <w:webHidden/>
              </w:rPr>
              <w:t>175</w:t>
            </w:r>
            <w:r>
              <w:rPr>
                <w:noProof/>
                <w:webHidden/>
              </w:rPr>
              <w:fldChar w:fldCharType="end"/>
            </w:r>
          </w:hyperlink>
        </w:p>
        <w:p w14:paraId="109EAECB" w14:textId="2588BAE4"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65" w:history="1">
            <w:r w:rsidRPr="001D4C20">
              <w:rPr>
                <w:rStyle w:val="Lienhypertexte"/>
                <w:noProof/>
              </w:rPr>
              <w:t>51.67.5 Revêtements muraux souples en textile CCTB 01.07</w:t>
            </w:r>
            <w:r>
              <w:rPr>
                <w:noProof/>
                <w:webHidden/>
              </w:rPr>
              <w:tab/>
            </w:r>
            <w:r>
              <w:rPr>
                <w:noProof/>
                <w:webHidden/>
              </w:rPr>
              <w:fldChar w:fldCharType="begin"/>
            </w:r>
            <w:r>
              <w:rPr>
                <w:noProof/>
                <w:webHidden/>
              </w:rPr>
              <w:instrText xml:space="preserve"> PAGEREF _Toc220490465 \h </w:instrText>
            </w:r>
            <w:r>
              <w:rPr>
                <w:noProof/>
                <w:webHidden/>
              </w:rPr>
            </w:r>
            <w:r>
              <w:rPr>
                <w:noProof/>
                <w:webHidden/>
              </w:rPr>
              <w:fldChar w:fldCharType="separate"/>
            </w:r>
            <w:r>
              <w:rPr>
                <w:noProof/>
                <w:webHidden/>
              </w:rPr>
              <w:t>175</w:t>
            </w:r>
            <w:r>
              <w:rPr>
                <w:noProof/>
                <w:webHidden/>
              </w:rPr>
              <w:fldChar w:fldCharType="end"/>
            </w:r>
          </w:hyperlink>
        </w:p>
        <w:p w14:paraId="32A45034" w14:textId="20E19BF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66" w:history="1">
            <w:r w:rsidRPr="001D4C20">
              <w:rPr>
                <w:rStyle w:val="Lienhypertexte"/>
                <w:noProof/>
              </w:rPr>
              <w:t>51.67.5a Revêtements souples en textile de laine CCTB 01.02</w:t>
            </w:r>
            <w:r>
              <w:rPr>
                <w:noProof/>
                <w:webHidden/>
              </w:rPr>
              <w:tab/>
            </w:r>
            <w:r>
              <w:rPr>
                <w:noProof/>
                <w:webHidden/>
              </w:rPr>
              <w:fldChar w:fldCharType="begin"/>
            </w:r>
            <w:r>
              <w:rPr>
                <w:noProof/>
                <w:webHidden/>
              </w:rPr>
              <w:instrText xml:space="preserve"> PAGEREF _Toc220490466 \h </w:instrText>
            </w:r>
            <w:r>
              <w:rPr>
                <w:noProof/>
                <w:webHidden/>
              </w:rPr>
            </w:r>
            <w:r>
              <w:rPr>
                <w:noProof/>
                <w:webHidden/>
              </w:rPr>
              <w:fldChar w:fldCharType="separate"/>
            </w:r>
            <w:r>
              <w:rPr>
                <w:noProof/>
                <w:webHidden/>
              </w:rPr>
              <w:t>175</w:t>
            </w:r>
            <w:r>
              <w:rPr>
                <w:noProof/>
                <w:webHidden/>
              </w:rPr>
              <w:fldChar w:fldCharType="end"/>
            </w:r>
          </w:hyperlink>
        </w:p>
        <w:p w14:paraId="64A5A60B" w14:textId="5110FE0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67" w:history="1">
            <w:r w:rsidRPr="001D4C20">
              <w:rPr>
                <w:rStyle w:val="Lienhypertexte"/>
                <w:noProof/>
              </w:rPr>
              <w:t>51.67.5b Revêtements souples en textile de coton CCTB 01.02</w:t>
            </w:r>
            <w:r>
              <w:rPr>
                <w:noProof/>
                <w:webHidden/>
              </w:rPr>
              <w:tab/>
            </w:r>
            <w:r>
              <w:rPr>
                <w:noProof/>
                <w:webHidden/>
              </w:rPr>
              <w:fldChar w:fldCharType="begin"/>
            </w:r>
            <w:r>
              <w:rPr>
                <w:noProof/>
                <w:webHidden/>
              </w:rPr>
              <w:instrText xml:space="preserve"> PAGEREF _Toc220490467 \h </w:instrText>
            </w:r>
            <w:r>
              <w:rPr>
                <w:noProof/>
                <w:webHidden/>
              </w:rPr>
            </w:r>
            <w:r>
              <w:rPr>
                <w:noProof/>
                <w:webHidden/>
              </w:rPr>
              <w:fldChar w:fldCharType="separate"/>
            </w:r>
            <w:r>
              <w:rPr>
                <w:noProof/>
                <w:webHidden/>
              </w:rPr>
              <w:t>175</w:t>
            </w:r>
            <w:r>
              <w:rPr>
                <w:noProof/>
                <w:webHidden/>
              </w:rPr>
              <w:fldChar w:fldCharType="end"/>
            </w:r>
          </w:hyperlink>
        </w:p>
        <w:p w14:paraId="41DFD4F4" w14:textId="40B9E10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68" w:history="1">
            <w:r w:rsidRPr="001D4C20">
              <w:rPr>
                <w:rStyle w:val="Lienhypertexte"/>
                <w:noProof/>
              </w:rPr>
              <w:t>51.67.5c Revêtements souples en textile de soie naturelle CCTB 01.02</w:t>
            </w:r>
            <w:r>
              <w:rPr>
                <w:noProof/>
                <w:webHidden/>
              </w:rPr>
              <w:tab/>
            </w:r>
            <w:r>
              <w:rPr>
                <w:noProof/>
                <w:webHidden/>
              </w:rPr>
              <w:fldChar w:fldCharType="begin"/>
            </w:r>
            <w:r>
              <w:rPr>
                <w:noProof/>
                <w:webHidden/>
              </w:rPr>
              <w:instrText xml:space="preserve"> PAGEREF _Toc220490468 \h </w:instrText>
            </w:r>
            <w:r>
              <w:rPr>
                <w:noProof/>
                <w:webHidden/>
              </w:rPr>
            </w:r>
            <w:r>
              <w:rPr>
                <w:noProof/>
                <w:webHidden/>
              </w:rPr>
              <w:fldChar w:fldCharType="separate"/>
            </w:r>
            <w:r>
              <w:rPr>
                <w:noProof/>
                <w:webHidden/>
              </w:rPr>
              <w:t>175</w:t>
            </w:r>
            <w:r>
              <w:rPr>
                <w:noProof/>
                <w:webHidden/>
              </w:rPr>
              <w:fldChar w:fldCharType="end"/>
            </w:r>
          </w:hyperlink>
        </w:p>
        <w:p w14:paraId="42F97021" w14:textId="09611E7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69" w:history="1">
            <w:r w:rsidRPr="001D4C20">
              <w:rPr>
                <w:rStyle w:val="Lienhypertexte"/>
                <w:noProof/>
              </w:rPr>
              <w:t>51.67.5d Revêtements souples en textile de jute CCTB 01.02</w:t>
            </w:r>
            <w:r>
              <w:rPr>
                <w:noProof/>
                <w:webHidden/>
              </w:rPr>
              <w:tab/>
            </w:r>
            <w:r>
              <w:rPr>
                <w:noProof/>
                <w:webHidden/>
              </w:rPr>
              <w:fldChar w:fldCharType="begin"/>
            </w:r>
            <w:r>
              <w:rPr>
                <w:noProof/>
                <w:webHidden/>
              </w:rPr>
              <w:instrText xml:space="preserve"> PAGEREF _Toc220490469 \h </w:instrText>
            </w:r>
            <w:r>
              <w:rPr>
                <w:noProof/>
                <w:webHidden/>
              </w:rPr>
            </w:r>
            <w:r>
              <w:rPr>
                <w:noProof/>
                <w:webHidden/>
              </w:rPr>
              <w:fldChar w:fldCharType="separate"/>
            </w:r>
            <w:r>
              <w:rPr>
                <w:noProof/>
                <w:webHidden/>
              </w:rPr>
              <w:t>175</w:t>
            </w:r>
            <w:r>
              <w:rPr>
                <w:noProof/>
                <w:webHidden/>
              </w:rPr>
              <w:fldChar w:fldCharType="end"/>
            </w:r>
          </w:hyperlink>
        </w:p>
        <w:p w14:paraId="764F7382" w14:textId="689ABAB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70" w:history="1">
            <w:r w:rsidRPr="001D4C20">
              <w:rPr>
                <w:rStyle w:val="Lienhypertexte"/>
                <w:noProof/>
              </w:rPr>
              <w:t>51.67.5e Revêtements souples en textile de combinaison de fibres CCTB 01.02</w:t>
            </w:r>
            <w:r>
              <w:rPr>
                <w:noProof/>
                <w:webHidden/>
              </w:rPr>
              <w:tab/>
            </w:r>
            <w:r>
              <w:rPr>
                <w:noProof/>
                <w:webHidden/>
              </w:rPr>
              <w:fldChar w:fldCharType="begin"/>
            </w:r>
            <w:r>
              <w:rPr>
                <w:noProof/>
                <w:webHidden/>
              </w:rPr>
              <w:instrText xml:space="preserve"> PAGEREF _Toc220490470 \h </w:instrText>
            </w:r>
            <w:r>
              <w:rPr>
                <w:noProof/>
                <w:webHidden/>
              </w:rPr>
            </w:r>
            <w:r>
              <w:rPr>
                <w:noProof/>
                <w:webHidden/>
              </w:rPr>
              <w:fldChar w:fldCharType="separate"/>
            </w:r>
            <w:r>
              <w:rPr>
                <w:noProof/>
                <w:webHidden/>
              </w:rPr>
              <w:t>175</w:t>
            </w:r>
            <w:r>
              <w:rPr>
                <w:noProof/>
                <w:webHidden/>
              </w:rPr>
              <w:fldChar w:fldCharType="end"/>
            </w:r>
          </w:hyperlink>
        </w:p>
        <w:p w14:paraId="610F340A" w14:textId="1129CA4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71" w:history="1">
            <w:r w:rsidRPr="001D4C20">
              <w:rPr>
                <w:rStyle w:val="Lienhypertexte"/>
                <w:noProof/>
              </w:rPr>
              <w:t>51.67.5f Revêtements souples en textile synthétique CCTB 01.02</w:t>
            </w:r>
            <w:r>
              <w:rPr>
                <w:noProof/>
                <w:webHidden/>
              </w:rPr>
              <w:tab/>
            </w:r>
            <w:r>
              <w:rPr>
                <w:noProof/>
                <w:webHidden/>
              </w:rPr>
              <w:fldChar w:fldCharType="begin"/>
            </w:r>
            <w:r>
              <w:rPr>
                <w:noProof/>
                <w:webHidden/>
              </w:rPr>
              <w:instrText xml:space="preserve"> PAGEREF _Toc220490471 \h </w:instrText>
            </w:r>
            <w:r>
              <w:rPr>
                <w:noProof/>
                <w:webHidden/>
              </w:rPr>
            </w:r>
            <w:r>
              <w:rPr>
                <w:noProof/>
                <w:webHidden/>
              </w:rPr>
              <w:fldChar w:fldCharType="separate"/>
            </w:r>
            <w:r>
              <w:rPr>
                <w:noProof/>
                <w:webHidden/>
              </w:rPr>
              <w:t>175</w:t>
            </w:r>
            <w:r>
              <w:rPr>
                <w:noProof/>
                <w:webHidden/>
              </w:rPr>
              <w:fldChar w:fldCharType="end"/>
            </w:r>
          </w:hyperlink>
        </w:p>
        <w:p w14:paraId="1F4C608A" w14:textId="133FAF3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72" w:history="1">
            <w:r w:rsidRPr="001D4C20">
              <w:rPr>
                <w:rStyle w:val="Lienhypertexte"/>
                <w:noProof/>
              </w:rPr>
              <w:t>51.67.5g Revêtements souples en textile de lin CCTB 01.02</w:t>
            </w:r>
            <w:r>
              <w:rPr>
                <w:noProof/>
                <w:webHidden/>
              </w:rPr>
              <w:tab/>
            </w:r>
            <w:r>
              <w:rPr>
                <w:noProof/>
                <w:webHidden/>
              </w:rPr>
              <w:fldChar w:fldCharType="begin"/>
            </w:r>
            <w:r>
              <w:rPr>
                <w:noProof/>
                <w:webHidden/>
              </w:rPr>
              <w:instrText xml:space="preserve"> PAGEREF _Toc220490472 \h </w:instrText>
            </w:r>
            <w:r>
              <w:rPr>
                <w:noProof/>
                <w:webHidden/>
              </w:rPr>
            </w:r>
            <w:r>
              <w:rPr>
                <w:noProof/>
                <w:webHidden/>
              </w:rPr>
              <w:fldChar w:fldCharType="separate"/>
            </w:r>
            <w:r>
              <w:rPr>
                <w:noProof/>
                <w:webHidden/>
              </w:rPr>
              <w:t>175</w:t>
            </w:r>
            <w:r>
              <w:rPr>
                <w:noProof/>
                <w:webHidden/>
              </w:rPr>
              <w:fldChar w:fldCharType="end"/>
            </w:r>
          </w:hyperlink>
        </w:p>
        <w:p w14:paraId="5020601B" w14:textId="59E2A09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73" w:history="1">
            <w:r w:rsidRPr="001D4C20">
              <w:rPr>
                <w:rStyle w:val="Lienhypertexte"/>
                <w:noProof/>
              </w:rPr>
              <w:t>51.67.5h Revêtements souples en textile de fibres de verre CCTB 01.02</w:t>
            </w:r>
            <w:r>
              <w:rPr>
                <w:noProof/>
                <w:webHidden/>
              </w:rPr>
              <w:tab/>
            </w:r>
            <w:r>
              <w:rPr>
                <w:noProof/>
                <w:webHidden/>
              </w:rPr>
              <w:fldChar w:fldCharType="begin"/>
            </w:r>
            <w:r>
              <w:rPr>
                <w:noProof/>
                <w:webHidden/>
              </w:rPr>
              <w:instrText xml:space="preserve"> PAGEREF _Toc220490473 \h </w:instrText>
            </w:r>
            <w:r>
              <w:rPr>
                <w:noProof/>
                <w:webHidden/>
              </w:rPr>
            </w:r>
            <w:r>
              <w:rPr>
                <w:noProof/>
                <w:webHidden/>
              </w:rPr>
              <w:fldChar w:fldCharType="separate"/>
            </w:r>
            <w:r>
              <w:rPr>
                <w:noProof/>
                <w:webHidden/>
              </w:rPr>
              <w:t>175</w:t>
            </w:r>
            <w:r>
              <w:rPr>
                <w:noProof/>
                <w:webHidden/>
              </w:rPr>
              <w:fldChar w:fldCharType="end"/>
            </w:r>
          </w:hyperlink>
        </w:p>
        <w:p w14:paraId="0513BAB6" w14:textId="7B39D2B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74" w:history="1">
            <w:r w:rsidRPr="001D4C20">
              <w:rPr>
                <w:rStyle w:val="Lienhypertexte"/>
                <w:noProof/>
              </w:rPr>
              <w:t>51.67.6 Revêtements muraux semi-souples CCTB 01.02</w:t>
            </w:r>
            <w:r>
              <w:rPr>
                <w:noProof/>
                <w:webHidden/>
              </w:rPr>
              <w:tab/>
            </w:r>
            <w:r>
              <w:rPr>
                <w:noProof/>
                <w:webHidden/>
              </w:rPr>
              <w:fldChar w:fldCharType="begin"/>
            </w:r>
            <w:r>
              <w:rPr>
                <w:noProof/>
                <w:webHidden/>
              </w:rPr>
              <w:instrText xml:space="preserve"> PAGEREF _Toc220490474 \h </w:instrText>
            </w:r>
            <w:r>
              <w:rPr>
                <w:noProof/>
                <w:webHidden/>
              </w:rPr>
            </w:r>
            <w:r>
              <w:rPr>
                <w:noProof/>
                <w:webHidden/>
              </w:rPr>
              <w:fldChar w:fldCharType="separate"/>
            </w:r>
            <w:r>
              <w:rPr>
                <w:noProof/>
                <w:webHidden/>
              </w:rPr>
              <w:t>175</w:t>
            </w:r>
            <w:r>
              <w:rPr>
                <w:noProof/>
                <w:webHidden/>
              </w:rPr>
              <w:fldChar w:fldCharType="end"/>
            </w:r>
          </w:hyperlink>
        </w:p>
        <w:p w14:paraId="60EE95DB" w14:textId="3188FB3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75" w:history="1">
            <w:r w:rsidRPr="001D4C20">
              <w:rPr>
                <w:rStyle w:val="Lienhypertexte"/>
                <w:noProof/>
              </w:rPr>
              <w:t>51.67.6a Revêtements muraux semi-souples en linoleum CCTB 01.12</w:t>
            </w:r>
            <w:r>
              <w:rPr>
                <w:noProof/>
                <w:webHidden/>
              </w:rPr>
              <w:tab/>
            </w:r>
            <w:r>
              <w:rPr>
                <w:noProof/>
                <w:webHidden/>
              </w:rPr>
              <w:fldChar w:fldCharType="begin"/>
            </w:r>
            <w:r>
              <w:rPr>
                <w:noProof/>
                <w:webHidden/>
              </w:rPr>
              <w:instrText xml:space="preserve"> PAGEREF _Toc220490475 \h </w:instrText>
            </w:r>
            <w:r>
              <w:rPr>
                <w:noProof/>
                <w:webHidden/>
              </w:rPr>
            </w:r>
            <w:r>
              <w:rPr>
                <w:noProof/>
                <w:webHidden/>
              </w:rPr>
              <w:fldChar w:fldCharType="separate"/>
            </w:r>
            <w:r>
              <w:rPr>
                <w:noProof/>
                <w:webHidden/>
              </w:rPr>
              <w:t>175</w:t>
            </w:r>
            <w:r>
              <w:rPr>
                <w:noProof/>
                <w:webHidden/>
              </w:rPr>
              <w:fldChar w:fldCharType="end"/>
            </w:r>
          </w:hyperlink>
        </w:p>
        <w:p w14:paraId="3BF7E62C" w14:textId="5F74A87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76" w:history="1">
            <w:r w:rsidRPr="001D4C20">
              <w:rPr>
                <w:rStyle w:val="Lienhypertexte"/>
                <w:noProof/>
              </w:rPr>
              <w:t>51.67.6b Revêtements muraux semi-souples en PVC CCTB 01.02</w:t>
            </w:r>
            <w:r>
              <w:rPr>
                <w:noProof/>
                <w:webHidden/>
              </w:rPr>
              <w:tab/>
            </w:r>
            <w:r>
              <w:rPr>
                <w:noProof/>
                <w:webHidden/>
              </w:rPr>
              <w:fldChar w:fldCharType="begin"/>
            </w:r>
            <w:r>
              <w:rPr>
                <w:noProof/>
                <w:webHidden/>
              </w:rPr>
              <w:instrText xml:space="preserve"> PAGEREF _Toc220490476 \h </w:instrText>
            </w:r>
            <w:r>
              <w:rPr>
                <w:noProof/>
                <w:webHidden/>
              </w:rPr>
            </w:r>
            <w:r>
              <w:rPr>
                <w:noProof/>
                <w:webHidden/>
              </w:rPr>
              <w:fldChar w:fldCharType="separate"/>
            </w:r>
            <w:r>
              <w:rPr>
                <w:noProof/>
                <w:webHidden/>
              </w:rPr>
              <w:t>179</w:t>
            </w:r>
            <w:r>
              <w:rPr>
                <w:noProof/>
                <w:webHidden/>
              </w:rPr>
              <w:fldChar w:fldCharType="end"/>
            </w:r>
          </w:hyperlink>
        </w:p>
        <w:p w14:paraId="30460A3D" w14:textId="4BE605C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77" w:history="1">
            <w:r w:rsidRPr="001D4C20">
              <w:rPr>
                <w:rStyle w:val="Lienhypertexte"/>
                <w:noProof/>
              </w:rPr>
              <w:t>51.67.6c Revêtements muraux semi-souples en caoutchouc CCTB 01.02</w:t>
            </w:r>
            <w:r>
              <w:rPr>
                <w:noProof/>
                <w:webHidden/>
              </w:rPr>
              <w:tab/>
            </w:r>
            <w:r>
              <w:rPr>
                <w:noProof/>
                <w:webHidden/>
              </w:rPr>
              <w:fldChar w:fldCharType="begin"/>
            </w:r>
            <w:r>
              <w:rPr>
                <w:noProof/>
                <w:webHidden/>
              </w:rPr>
              <w:instrText xml:space="preserve"> PAGEREF _Toc220490477 \h </w:instrText>
            </w:r>
            <w:r>
              <w:rPr>
                <w:noProof/>
                <w:webHidden/>
              </w:rPr>
            </w:r>
            <w:r>
              <w:rPr>
                <w:noProof/>
                <w:webHidden/>
              </w:rPr>
              <w:fldChar w:fldCharType="separate"/>
            </w:r>
            <w:r>
              <w:rPr>
                <w:noProof/>
                <w:webHidden/>
              </w:rPr>
              <w:t>179</w:t>
            </w:r>
            <w:r>
              <w:rPr>
                <w:noProof/>
                <w:webHidden/>
              </w:rPr>
              <w:fldChar w:fldCharType="end"/>
            </w:r>
          </w:hyperlink>
        </w:p>
        <w:p w14:paraId="0A03A15A" w14:textId="6FF5BA9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78" w:history="1">
            <w:r w:rsidRPr="001D4C20">
              <w:rPr>
                <w:rStyle w:val="Lienhypertexte"/>
                <w:noProof/>
              </w:rPr>
              <w:t>51.67.6d Revêtements muraux semi-souples en tapis CCTB 01.02</w:t>
            </w:r>
            <w:r>
              <w:rPr>
                <w:noProof/>
                <w:webHidden/>
              </w:rPr>
              <w:tab/>
            </w:r>
            <w:r>
              <w:rPr>
                <w:noProof/>
                <w:webHidden/>
              </w:rPr>
              <w:fldChar w:fldCharType="begin"/>
            </w:r>
            <w:r>
              <w:rPr>
                <w:noProof/>
                <w:webHidden/>
              </w:rPr>
              <w:instrText xml:space="preserve"> PAGEREF _Toc220490478 \h </w:instrText>
            </w:r>
            <w:r>
              <w:rPr>
                <w:noProof/>
                <w:webHidden/>
              </w:rPr>
            </w:r>
            <w:r>
              <w:rPr>
                <w:noProof/>
                <w:webHidden/>
              </w:rPr>
              <w:fldChar w:fldCharType="separate"/>
            </w:r>
            <w:r>
              <w:rPr>
                <w:noProof/>
                <w:webHidden/>
              </w:rPr>
              <w:t>179</w:t>
            </w:r>
            <w:r>
              <w:rPr>
                <w:noProof/>
                <w:webHidden/>
              </w:rPr>
              <w:fldChar w:fldCharType="end"/>
            </w:r>
          </w:hyperlink>
        </w:p>
        <w:p w14:paraId="4851AF58" w14:textId="5E185F4B"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79" w:history="1">
            <w:r w:rsidRPr="001D4C20">
              <w:rPr>
                <w:rStyle w:val="Lienhypertexte"/>
                <w:noProof/>
              </w:rPr>
              <w:t>51.67.7 Revêtements tendus CCTB 01.11</w:t>
            </w:r>
            <w:r>
              <w:rPr>
                <w:noProof/>
                <w:webHidden/>
              </w:rPr>
              <w:tab/>
            </w:r>
            <w:r>
              <w:rPr>
                <w:noProof/>
                <w:webHidden/>
              </w:rPr>
              <w:fldChar w:fldCharType="begin"/>
            </w:r>
            <w:r>
              <w:rPr>
                <w:noProof/>
                <w:webHidden/>
              </w:rPr>
              <w:instrText xml:space="preserve"> PAGEREF _Toc220490479 \h </w:instrText>
            </w:r>
            <w:r>
              <w:rPr>
                <w:noProof/>
                <w:webHidden/>
              </w:rPr>
            </w:r>
            <w:r>
              <w:rPr>
                <w:noProof/>
                <w:webHidden/>
              </w:rPr>
              <w:fldChar w:fldCharType="separate"/>
            </w:r>
            <w:r>
              <w:rPr>
                <w:noProof/>
                <w:webHidden/>
              </w:rPr>
              <w:t>179</w:t>
            </w:r>
            <w:r>
              <w:rPr>
                <w:noProof/>
                <w:webHidden/>
              </w:rPr>
              <w:fldChar w:fldCharType="end"/>
            </w:r>
          </w:hyperlink>
        </w:p>
        <w:p w14:paraId="00C09EE9" w14:textId="45F3360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80" w:history="1">
            <w:r w:rsidRPr="001D4C20">
              <w:rPr>
                <w:rStyle w:val="Lienhypertexte"/>
                <w:noProof/>
              </w:rPr>
              <w:t>51.67.7a Revêtements tendus en vinyle tendu CCTB 01.11</w:t>
            </w:r>
            <w:r>
              <w:rPr>
                <w:noProof/>
                <w:webHidden/>
              </w:rPr>
              <w:tab/>
            </w:r>
            <w:r>
              <w:rPr>
                <w:noProof/>
                <w:webHidden/>
              </w:rPr>
              <w:fldChar w:fldCharType="begin"/>
            </w:r>
            <w:r>
              <w:rPr>
                <w:noProof/>
                <w:webHidden/>
              </w:rPr>
              <w:instrText xml:space="preserve"> PAGEREF _Toc220490480 \h </w:instrText>
            </w:r>
            <w:r>
              <w:rPr>
                <w:noProof/>
                <w:webHidden/>
              </w:rPr>
            </w:r>
            <w:r>
              <w:rPr>
                <w:noProof/>
                <w:webHidden/>
              </w:rPr>
              <w:fldChar w:fldCharType="separate"/>
            </w:r>
            <w:r>
              <w:rPr>
                <w:noProof/>
                <w:webHidden/>
              </w:rPr>
              <w:t>180</w:t>
            </w:r>
            <w:r>
              <w:rPr>
                <w:noProof/>
                <w:webHidden/>
              </w:rPr>
              <w:fldChar w:fldCharType="end"/>
            </w:r>
          </w:hyperlink>
        </w:p>
        <w:p w14:paraId="789CFF3F" w14:textId="1D541419"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81" w:history="1">
            <w:r w:rsidRPr="001D4C20">
              <w:rPr>
                <w:rStyle w:val="Lienhypertexte"/>
                <w:noProof/>
              </w:rPr>
              <w:t>51.67.8 Revêtements muraux particuliers CCTB 01.02</w:t>
            </w:r>
            <w:r>
              <w:rPr>
                <w:noProof/>
                <w:webHidden/>
              </w:rPr>
              <w:tab/>
            </w:r>
            <w:r>
              <w:rPr>
                <w:noProof/>
                <w:webHidden/>
              </w:rPr>
              <w:fldChar w:fldCharType="begin"/>
            </w:r>
            <w:r>
              <w:rPr>
                <w:noProof/>
                <w:webHidden/>
              </w:rPr>
              <w:instrText xml:space="preserve"> PAGEREF _Toc220490481 \h </w:instrText>
            </w:r>
            <w:r>
              <w:rPr>
                <w:noProof/>
                <w:webHidden/>
              </w:rPr>
            </w:r>
            <w:r>
              <w:rPr>
                <w:noProof/>
                <w:webHidden/>
              </w:rPr>
              <w:fldChar w:fldCharType="separate"/>
            </w:r>
            <w:r>
              <w:rPr>
                <w:noProof/>
                <w:webHidden/>
              </w:rPr>
              <w:t>182</w:t>
            </w:r>
            <w:r>
              <w:rPr>
                <w:noProof/>
                <w:webHidden/>
              </w:rPr>
              <w:fldChar w:fldCharType="end"/>
            </w:r>
          </w:hyperlink>
        </w:p>
        <w:p w14:paraId="39F91357" w14:textId="678FF4F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82" w:history="1">
            <w:r w:rsidRPr="001D4C20">
              <w:rPr>
                <w:rStyle w:val="Lienhypertexte"/>
                <w:noProof/>
              </w:rPr>
              <w:t>51.67.8a Revêtements muraux particuliers CCTB 01.02</w:t>
            </w:r>
            <w:r>
              <w:rPr>
                <w:noProof/>
                <w:webHidden/>
              </w:rPr>
              <w:tab/>
            </w:r>
            <w:r>
              <w:rPr>
                <w:noProof/>
                <w:webHidden/>
              </w:rPr>
              <w:fldChar w:fldCharType="begin"/>
            </w:r>
            <w:r>
              <w:rPr>
                <w:noProof/>
                <w:webHidden/>
              </w:rPr>
              <w:instrText xml:space="preserve"> PAGEREF _Toc220490482 \h </w:instrText>
            </w:r>
            <w:r>
              <w:rPr>
                <w:noProof/>
                <w:webHidden/>
              </w:rPr>
            </w:r>
            <w:r>
              <w:rPr>
                <w:noProof/>
                <w:webHidden/>
              </w:rPr>
              <w:fldChar w:fldCharType="separate"/>
            </w:r>
            <w:r>
              <w:rPr>
                <w:noProof/>
                <w:webHidden/>
              </w:rPr>
              <w:t>182</w:t>
            </w:r>
            <w:r>
              <w:rPr>
                <w:noProof/>
                <w:webHidden/>
              </w:rPr>
              <w:fldChar w:fldCharType="end"/>
            </w:r>
          </w:hyperlink>
        </w:p>
        <w:p w14:paraId="2367D4F0" w14:textId="798581FA"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483" w:history="1">
            <w:r w:rsidRPr="001D4C20">
              <w:rPr>
                <w:rStyle w:val="Lienhypertexte"/>
                <w:noProof/>
              </w:rPr>
              <w:t>51.7 Eléments particuliers et finitions CCTB 01.02</w:t>
            </w:r>
            <w:r>
              <w:rPr>
                <w:noProof/>
                <w:webHidden/>
              </w:rPr>
              <w:tab/>
            </w:r>
            <w:r>
              <w:rPr>
                <w:noProof/>
                <w:webHidden/>
              </w:rPr>
              <w:fldChar w:fldCharType="begin"/>
            </w:r>
            <w:r>
              <w:rPr>
                <w:noProof/>
                <w:webHidden/>
              </w:rPr>
              <w:instrText xml:space="preserve"> PAGEREF _Toc220490483 \h </w:instrText>
            </w:r>
            <w:r>
              <w:rPr>
                <w:noProof/>
                <w:webHidden/>
              </w:rPr>
            </w:r>
            <w:r>
              <w:rPr>
                <w:noProof/>
                <w:webHidden/>
              </w:rPr>
              <w:fldChar w:fldCharType="separate"/>
            </w:r>
            <w:r>
              <w:rPr>
                <w:noProof/>
                <w:webHidden/>
              </w:rPr>
              <w:t>182</w:t>
            </w:r>
            <w:r>
              <w:rPr>
                <w:noProof/>
                <w:webHidden/>
              </w:rPr>
              <w:fldChar w:fldCharType="end"/>
            </w:r>
          </w:hyperlink>
        </w:p>
        <w:p w14:paraId="6160B6FB" w14:textId="30227E46"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484" w:history="1">
            <w:r w:rsidRPr="001D4C20">
              <w:rPr>
                <w:rStyle w:val="Lienhypertexte"/>
                <w:noProof/>
              </w:rPr>
              <w:t>51.71 Eléments particuliers et finitions - Moulures CCTB 01.02</w:t>
            </w:r>
            <w:r>
              <w:rPr>
                <w:noProof/>
                <w:webHidden/>
              </w:rPr>
              <w:tab/>
            </w:r>
            <w:r>
              <w:rPr>
                <w:noProof/>
                <w:webHidden/>
              </w:rPr>
              <w:fldChar w:fldCharType="begin"/>
            </w:r>
            <w:r>
              <w:rPr>
                <w:noProof/>
                <w:webHidden/>
              </w:rPr>
              <w:instrText xml:space="preserve"> PAGEREF _Toc220490484 \h </w:instrText>
            </w:r>
            <w:r>
              <w:rPr>
                <w:noProof/>
                <w:webHidden/>
              </w:rPr>
            </w:r>
            <w:r>
              <w:rPr>
                <w:noProof/>
                <w:webHidden/>
              </w:rPr>
              <w:fldChar w:fldCharType="separate"/>
            </w:r>
            <w:r>
              <w:rPr>
                <w:noProof/>
                <w:webHidden/>
              </w:rPr>
              <w:t>182</w:t>
            </w:r>
            <w:r>
              <w:rPr>
                <w:noProof/>
                <w:webHidden/>
              </w:rPr>
              <w:fldChar w:fldCharType="end"/>
            </w:r>
          </w:hyperlink>
        </w:p>
        <w:p w14:paraId="56589313" w14:textId="2C8B5DC4"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85" w:history="1">
            <w:r w:rsidRPr="001D4C20">
              <w:rPr>
                <w:rStyle w:val="Lienhypertexte"/>
                <w:noProof/>
              </w:rPr>
              <w:t>51.71.1 Eléments particuliers et finitions - Moulures en plâtre CCTB 01.02</w:t>
            </w:r>
            <w:r>
              <w:rPr>
                <w:noProof/>
                <w:webHidden/>
              </w:rPr>
              <w:tab/>
            </w:r>
            <w:r>
              <w:rPr>
                <w:noProof/>
                <w:webHidden/>
              </w:rPr>
              <w:fldChar w:fldCharType="begin"/>
            </w:r>
            <w:r>
              <w:rPr>
                <w:noProof/>
                <w:webHidden/>
              </w:rPr>
              <w:instrText xml:space="preserve"> PAGEREF _Toc220490485 \h </w:instrText>
            </w:r>
            <w:r>
              <w:rPr>
                <w:noProof/>
                <w:webHidden/>
              </w:rPr>
            </w:r>
            <w:r>
              <w:rPr>
                <w:noProof/>
                <w:webHidden/>
              </w:rPr>
              <w:fldChar w:fldCharType="separate"/>
            </w:r>
            <w:r>
              <w:rPr>
                <w:noProof/>
                <w:webHidden/>
              </w:rPr>
              <w:t>182</w:t>
            </w:r>
            <w:r>
              <w:rPr>
                <w:noProof/>
                <w:webHidden/>
              </w:rPr>
              <w:fldChar w:fldCharType="end"/>
            </w:r>
          </w:hyperlink>
        </w:p>
        <w:p w14:paraId="1F0F1C37" w14:textId="7DD0931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86" w:history="1">
            <w:r w:rsidRPr="001D4C20">
              <w:rPr>
                <w:rStyle w:val="Lienhypertexte"/>
                <w:noProof/>
              </w:rPr>
              <w:t>51.71.1a Eléments particuliers et finitions- Moulures en plâtre - Staff CCTB 01.02</w:t>
            </w:r>
            <w:r>
              <w:rPr>
                <w:noProof/>
                <w:webHidden/>
              </w:rPr>
              <w:tab/>
            </w:r>
            <w:r>
              <w:rPr>
                <w:noProof/>
                <w:webHidden/>
              </w:rPr>
              <w:fldChar w:fldCharType="begin"/>
            </w:r>
            <w:r>
              <w:rPr>
                <w:noProof/>
                <w:webHidden/>
              </w:rPr>
              <w:instrText xml:space="preserve"> PAGEREF _Toc220490486 \h </w:instrText>
            </w:r>
            <w:r>
              <w:rPr>
                <w:noProof/>
                <w:webHidden/>
              </w:rPr>
            </w:r>
            <w:r>
              <w:rPr>
                <w:noProof/>
                <w:webHidden/>
              </w:rPr>
              <w:fldChar w:fldCharType="separate"/>
            </w:r>
            <w:r>
              <w:rPr>
                <w:noProof/>
                <w:webHidden/>
              </w:rPr>
              <w:t>182</w:t>
            </w:r>
            <w:r>
              <w:rPr>
                <w:noProof/>
                <w:webHidden/>
              </w:rPr>
              <w:fldChar w:fldCharType="end"/>
            </w:r>
          </w:hyperlink>
        </w:p>
        <w:p w14:paraId="21BA3B6E" w14:textId="4E8F4B8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87" w:history="1">
            <w:r w:rsidRPr="001D4C20">
              <w:rPr>
                <w:rStyle w:val="Lienhypertexte"/>
                <w:noProof/>
              </w:rPr>
              <w:t>51.71.2 Eléments particuliers et finitions - Moulures en bois CCTB 01.02</w:t>
            </w:r>
            <w:r>
              <w:rPr>
                <w:noProof/>
                <w:webHidden/>
              </w:rPr>
              <w:tab/>
            </w:r>
            <w:r>
              <w:rPr>
                <w:noProof/>
                <w:webHidden/>
              </w:rPr>
              <w:fldChar w:fldCharType="begin"/>
            </w:r>
            <w:r>
              <w:rPr>
                <w:noProof/>
                <w:webHidden/>
              </w:rPr>
              <w:instrText xml:space="preserve"> PAGEREF _Toc220490487 \h </w:instrText>
            </w:r>
            <w:r>
              <w:rPr>
                <w:noProof/>
                <w:webHidden/>
              </w:rPr>
            </w:r>
            <w:r>
              <w:rPr>
                <w:noProof/>
                <w:webHidden/>
              </w:rPr>
              <w:fldChar w:fldCharType="separate"/>
            </w:r>
            <w:r>
              <w:rPr>
                <w:noProof/>
                <w:webHidden/>
              </w:rPr>
              <w:t>182</w:t>
            </w:r>
            <w:r>
              <w:rPr>
                <w:noProof/>
                <w:webHidden/>
              </w:rPr>
              <w:fldChar w:fldCharType="end"/>
            </w:r>
          </w:hyperlink>
        </w:p>
        <w:p w14:paraId="0086AF73" w14:textId="512AC74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88" w:history="1">
            <w:r w:rsidRPr="001D4C20">
              <w:rPr>
                <w:rStyle w:val="Lienhypertexte"/>
                <w:noProof/>
              </w:rPr>
              <w:t>51.71.2a Eléments particuliers et finitions - Moulures en bois CCTB 01.02</w:t>
            </w:r>
            <w:r>
              <w:rPr>
                <w:noProof/>
                <w:webHidden/>
              </w:rPr>
              <w:tab/>
            </w:r>
            <w:r>
              <w:rPr>
                <w:noProof/>
                <w:webHidden/>
              </w:rPr>
              <w:fldChar w:fldCharType="begin"/>
            </w:r>
            <w:r>
              <w:rPr>
                <w:noProof/>
                <w:webHidden/>
              </w:rPr>
              <w:instrText xml:space="preserve"> PAGEREF _Toc220490488 \h </w:instrText>
            </w:r>
            <w:r>
              <w:rPr>
                <w:noProof/>
                <w:webHidden/>
              </w:rPr>
            </w:r>
            <w:r>
              <w:rPr>
                <w:noProof/>
                <w:webHidden/>
              </w:rPr>
              <w:fldChar w:fldCharType="separate"/>
            </w:r>
            <w:r>
              <w:rPr>
                <w:noProof/>
                <w:webHidden/>
              </w:rPr>
              <w:t>182</w:t>
            </w:r>
            <w:r>
              <w:rPr>
                <w:noProof/>
                <w:webHidden/>
              </w:rPr>
              <w:fldChar w:fldCharType="end"/>
            </w:r>
          </w:hyperlink>
        </w:p>
        <w:p w14:paraId="4A058301" w14:textId="68F9696D"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89" w:history="1">
            <w:r w:rsidRPr="001D4C20">
              <w:rPr>
                <w:rStyle w:val="Lienhypertexte"/>
                <w:noProof/>
              </w:rPr>
              <w:t>51.71.3 Eléments particuliers et finitions - Moulures en matériaux synthétiques CCTB 01.02</w:t>
            </w:r>
            <w:r>
              <w:rPr>
                <w:noProof/>
                <w:webHidden/>
              </w:rPr>
              <w:tab/>
            </w:r>
            <w:r>
              <w:rPr>
                <w:noProof/>
                <w:webHidden/>
              </w:rPr>
              <w:fldChar w:fldCharType="begin"/>
            </w:r>
            <w:r>
              <w:rPr>
                <w:noProof/>
                <w:webHidden/>
              </w:rPr>
              <w:instrText xml:space="preserve"> PAGEREF _Toc220490489 \h </w:instrText>
            </w:r>
            <w:r>
              <w:rPr>
                <w:noProof/>
                <w:webHidden/>
              </w:rPr>
            </w:r>
            <w:r>
              <w:rPr>
                <w:noProof/>
                <w:webHidden/>
              </w:rPr>
              <w:fldChar w:fldCharType="separate"/>
            </w:r>
            <w:r>
              <w:rPr>
                <w:noProof/>
                <w:webHidden/>
              </w:rPr>
              <w:t>182</w:t>
            </w:r>
            <w:r>
              <w:rPr>
                <w:noProof/>
                <w:webHidden/>
              </w:rPr>
              <w:fldChar w:fldCharType="end"/>
            </w:r>
          </w:hyperlink>
        </w:p>
        <w:p w14:paraId="507F87FE" w14:textId="34795FC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90" w:history="1">
            <w:r w:rsidRPr="001D4C20">
              <w:rPr>
                <w:rStyle w:val="Lienhypertexte"/>
                <w:noProof/>
              </w:rPr>
              <w:t>51.71.3a Eléments particuliers et finitions - Moulures en matériaux synthétiques CCTB 01.02</w:t>
            </w:r>
            <w:r>
              <w:rPr>
                <w:noProof/>
                <w:webHidden/>
              </w:rPr>
              <w:tab/>
            </w:r>
            <w:r>
              <w:rPr>
                <w:noProof/>
                <w:webHidden/>
              </w:rPr>
              <w:fldChar w:fldCharType="begin"/>
            </w:r>
            <w:r>
              <w:rPr>
                <w:noProof/>
                <w:webHidden/>
              </w:rPr>
              <w:instrText xml:space="preserve"> PAGEREF _Toc220490490 \h </w:instrText>
            </w:r>
            <w:r>
              <w:rPr>
                <w:noProof/>
                <w:webHidden/>
              </w:rPr>
            </w:r>
            <w:r>
              <w:rPr>
                <w:noProof/>
                <w:webHidden/>
              </w:rPr>
              <w:fldChar w:fldCharType="separate"/>
            </w:r>
            <w:r>
              <w:rPr>
                <w:noProof/>
                <w:webHidden/>
              </w:rPr>
              <w:t>182</w:t>
            </w:r>
            <w:r>
              <w:rPr>
                <w:noProof/>
                <w:webHidden/>
              </w:rPr>
              <w:fldChar w:fldCharType="end"/>
            </w:r>
          </w:hyperlink>
        </w:p>
        <w:p w14:paraId="4790FD48" w14:textId="6D4403ED"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491" w:history="1">
            <w:r w:rsidRPr="001D4C20">
              <w:rPr>
                <w:rStyle w:val="Lienhypertexte"/>
                <w:noProof/>
              </w:rPr>
              <w:t>51.72 Réalisation de joints CCTB 01.02</w:t>
            </w:r>
            <w:r>
              <w:rPr>
                <w:noProof/>
                <w:webHidden/>
              </w:rPr>
              <w:tab/>
            </w:r>
            <w:r>
              <w:rPr>
                <w:noProof/>
                <w:webHidden/>
              </w:rPr>
              <w:fldChar w:fldCharType="begin"/>
            </w:r>
            <w:r>
              <w:rPr>
                <w:noProof/>
                <w:webHidden/>
              </w:rPr>
              <w:instrText xml:space="preserve"> PAGEREF _Toc220490491 \h </w:instrText>
            </w:r>
            <w:r>
              <w:rPr>
                <w:noProof/>
                <w:webHidden/>
              </w:rPr>
            </w:r>
            <w:r>
              <w:rPr>
                <w:noProof/>
                <w:webHidden/>
              </w:rPr>
              <w:fldChar w:fldCharType="separate"/>
            </w:r>
            <w:r>
              <w:rPr>
                <w:noProof/>
                <w:webHidden/>
              </w:rPr>
              <w:t>182</w:t>
            </w:r>
            <w:r>
              <w:rPr>
                <w:noProof/>
                <w:webHidden/>
              </w:rPr>
              <w:fldChar w:fldCharType="end"/>
            </w:r>
          </w:hyperlink>
        </w:p>
        <w:p w14:paraId="20517D1D" w14:textId="6858DF7B"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92" w:history="1">
            <w:r w:rsidRPr="001D4C20">
              <w:rPr>
                <w:rStyle w:val="Lienhypertexte"/>
                <w:noProof/>
              </w:rPr>
              <w:t>51.72.1 Réalisation de joints - Joint de tassement CCTB 01.02</w:t>
            </w:r>
            <w:r>
              <w:rPr>
                <w:noProof/>
                <w:webHidden/>
              </w:rPr>
              <w:tab/>
            </w:r>
            <w:r>
              <w:rPr>
                <w:noProof/>
                <w:webHidden/>
              </w:rPr>
              <w:fldChar w:fldCharType="begin"/>
            </w:r>
            <w:r>
              <w:rPr>
                <w:noProof/>
                <w:webHidden/>
              </w:rPr>
              <w:instrText xml:space="preserve"> PAGEREF _Toc220490492 \h </w:instrText>
            </w:r>
            <w:r>
              <w:rPr>
                <w:noProof/>
                <w:webHidden/>
              </w:rPr>
            </w:r>
            <w:r>
              <w:rPr>
                <w:noProof/>
                <w:webHidden/>
              </w:rPr>
              <w:fldChar w:fldCharType="separate"/>
            </w:r>
            <w:r>
              <w:rPr>
                <w:noProof/>
                <w:webHidden/>
              </w:rPr>
              <w:t>182</w:t>
            </w:r>
            <w:r>
              <w:rPr>
                <w:noProof/>
                <w:webHidden/>
              </w:rPr>
              <w:fldChar w:fldCharType="end"/>
            </w:r>
          </w:hyperlink>
        </w:p>
        <w:p w14:paraId="71397FB9" w14:textId="0B55034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93" w:history="1">
            <w:r w:rsidRPr="001D4C20">
              <w:rPr>
                <w:rStyle w:val="Lienhypertexte"/>
                <w:noProof/>
              </w:rPr>
              <w:t>51.72.1a Réalisation de joints - Joint de tassement réalisé in situ CCTB 01.12</w:t>
            </w:r>
            <w:r>
              <w:rPr>
                <w:noProof/>
                <w:webHidden/>
              </w:rPr>
              <w:tab/>
            </w:r>
            <w:r>
              <w:rPr>
                <w:noProof/>
                <w:webHidden/>
              </w:rPr>
              <w:fldChar w:fldCharType="begin"/>
            </w:r>
            <w:r>
              <w:rPr>
                <w:noProof/>
                <w:webHidden/>
              </w:rPr>
              <w:instrText xml:space="preserve"> PAGEREF _Toc220490493 \h </w:instrText>
            </w:r>
            <w:r>
              <w:rPr>
                <w:noProof/>
                <w:webHidden/>
              </w:rPr>
            </w:r>
            <w:r>
              <w:rPr>
                <w:noProof/>
                <w:webHidden/>
              </w:rPr>
              <w:fldChar w:fldCharType="separate"/>
            </w:r>
            <w:r>
              <w:rPr>
                <w:noProof/>
                <w:webHidden/>
              </w:rPr>
              <w:t>182</w:t>
            </w:r>
            <w:r>
              <w:rPr>
                <w:noProof/>
                <w:webHidden/>
              </w:rPr>
              <w:fldChar w:fldCharType="end"/>
            </w:r>
          </w:hyperlink>
        </w:p>
        <w:p w14:paraId="45E5D345" w14:textId="447F7CD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94" w:history="1">
            <w:r w:rsidRPr="001D4C20">
              <w:rPr>
                <w:rStyle w:val="Lienhypertexte"/>
                <w:noProof/>
              </w:rPr>
              <w:t>51.72.1b Réalisation de joints - Joint de tassement à systèmes préfabriqués CCTB 01.02</w:t>
            </w:r>
            <w:r>
              <w:rPr>
                <w:noProof/>
                <w:webHidden/>
              </w:rPr>
              <w:tab/>
            </w:r>
            <w:r>
              <w:rPr>
                <w:noProof/>
                <w:webHidden/>
              </w:rPr>
              <w:fldChar w:fldCharType="begin"/>
            </w:r>
            <w:r>
              <w:rPr>
                <w:noProof/>
                <w:webHidden/>
              </w:rPr>
              <w:instrText xml:space="preserve"> PAGEREF _Toc220490494 \h </w:instrText>
            </w:r>
            <w:r>
              <w:rPr>
                <w:noProof/>
                <w:webHidden/>
              </w:rPr>
            </w:r>
            <w:r>
              <w:rPr>
                <w:noProof/>
                <w:webHidden/>
              </w:rPr>
              <w:fldChar w:fldCharType="separate"/>
            </w:r>
            <w:r>
              <w:rPr>
                <w:noProof/>
                <w:webHidden/>
              </w:rPr>
              <w:t>185</w:t>
            </w:r>
            <w:r>
              <w:rPr>
                <w:noProof/>
                <w:webHidden/>
              </w:rPr>
              <w:fldChar w:fldCharType="end"/>
            </w:r>
          </w:hyperlink>
        </w:p>
        <w:p w14:paraId="1CE6C9AC" w14:textId="08A5D541"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95" w:history="1">
            <w:r w:rsidRPr="001D4C20">
              <w:rPr>
                <w:rStyle w:val="Lienhypertexte"/>
                <w:noProof/>
              </w:rPr>
              <w:t>51.72.2 Réalisation de joints - Joint de dilatation CCTB 01.02</w:t>
            </w:r>
            <w:r>
              <w:rPr>
                <w:noProof/>
                <w:webHidden/>
              </w:rPr>
              <w:tab/>
            </w:r>
            <w:r>
              <w:rPr>
                <w:noProof/>
                <w:webHidden/>
              </w:rPr>
              <w:fldChar w:fldCharType="begin"/>
            </w:r>
            <w:r>
              <w:rPr>
                <w:noProof/>
                <w:webHidden/>
              </w:rPr>
              <w:instrText xml:space="preserve"> PAGEREF _Toc220490495 \h </w:instrText>
            </w:r>
            <w:r>
              <w:rPr>
                <w:noProof/>
                <w:webHidden/>
              </w:rPr>
            </w:r>
            <w:r>
              <w:rPr>
                <w:noProof/>
                <w:webHidden/>
              </w:rPr>
              <w:fldChar w:fldCharType="separate"/>
            </w:r>
            <w:r>
              <w:rPr>
                <w:noProof/>
                <w:webHidden/>
              </w:rPr>
              <w:t>185</w:t>
            </w:r>
            <w:r>
              <w:rPr>
                <w:noProof/>
                <w:webHidden/>
              </w:rPr>
              <w:fldChar w:fldCharType="end"/>
            </w:r>
          </w:hyperlink>
        </w:p>
        <w:p w14:paraId="5CD38986" w14:textId="6B38E51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96" w:history="1">
            <w:r w:rsidRPr="001D4C20">
              <w:rPr>
                <w:rStyle w:val="Lienhypertexte"/>
                <w:noProof/>
              </w:rPr>
              <w:t>51.72.2a Réalisation de joints - Joint de dilatation réalisé in situ CCTB 01.02</w:t>
            </w:r>
            <w:r>
              <w:rPr>
                <w:noProof/>
                <w:webHidden/>
              </w:rPr>
              <w:tab/>
            </w:r>
            <w:r>
              <w:rPr>
                <w:noProof/>
                <w:webHidden/>
              </w:rPr>
              <w:fldChar w:fldCharType="begin"/>
            </w:r>
            <w:r>
              <w:rPr>
                <w:noProof/>
                <w:webHidden/>
              </w:rPr>
              <w:instrText xml:space="preserve"> PAGEREF _Toc220490496 \h </w:instrText>
            </w:r>
            <w:r>
              <w:rPr>
                <w:noProof/>
                <w:webHidden/>
              </w:rPr>
            </w:r>
            <w:r>
              <w:rPr>
                <w:noProof/>
                <w:webHidden/>
              </w:rPr>
              <w:fldChar w:fldCharType="separate"/>
            </w:r>
            <w:r>
              <w:rPr>
                <w:noProof/>
                <w:webHidden/>
              </w:rPr>
              <w:t>185</w:t>
            </w:r>
            <w:r>
              <w:rPr>
                <w:noProof/>
                <w:webHidden/>
              </w:rPr>
              <w:fldChar w:fldCharType="end"/>
            </w:r>
          </w:hyperlink>
        </w:p>
        <w:p w14:paraId="3A4FC2CE" w14:textId="7B93EC3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97" w:history="1">
            <w:r w:rsidRPr="001D4C20">
              <w:rPr>
                <w:rStyle w:val="Lienhypertexte"/>
                <w:noProof/>
              </w:rPr>
              <w:t>51.72.2b Réalisation de joints - Joint de dilatation à systèmes préfabriqués CCTB 01.12</w:t>
            </w:r>
            <w:r>
              <w:rPr>
                <w:noProof/>
                <w:webHidden/>
              </w:rPr>
              <w:tab/>
            </w:r>
            <w:r>
              <w:rPr>
                <w:noProof/>
                <w:webHidden/>
              </w:rPr>
              <w:fldChar w:fldCharType="begin"/>
            </w:r>
            <w:r>
              <w:rPr>
                <w:noProof/>
                <w:webHidden/>
              </w:rPr>
              <w:instrText xml:space="preserve"> PAGEREF _Toc220490497 \h </w:instrText>
            </w:r>
            <w:r>
              <w:rPr>
                <w:noProof/>
                <w:webHidden/>
              </w:rPr>
            </w:r>
            <w:r>
              <w:rPr>
                <w:noProof/>
                <w:webHidden/>
              </w:rPr>
              <w:fldChar w:fldCharType="separate"/>
            </w:r>
            <w:r>
              <w:rPr>
                <w:noProof/>
                <w:webHidden/>
              </w:rPr>
              <w:t>185</w:t>
            </w:r>
            <w:r>
              <w:rPr>
                <w:noProof/>
                <w:webHidden/>
              </w:rPr>
              <w:fldChar w:fldCharType="end"/>
            </w:r>
          </w:hyperlink>
        </w:p>
        <w:p w14:paraId="20F12C9C" w14:textId="3F30402A"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98" w:history="1">
            <w:r w:rsidRPr="001D4C20">
              <w:rPr>
                <w:rStyle w:val="Lienhypertexte"/>
                <w:noProof/>
              </w:rPr>
              <w:t>51.72.3 Réalisation de joints - Joint de retrait CCTB 01.02</w:t>
            </w:r>
            <w:r>
              <w:rPr>
                <w:noProof/>
                <w:webHidden/>
              </w:rPr>
              <w:tab/>
            </w:r>
            <w:r>
              <w:rPr>
                <w:noProof/>
                <w:webHidden/>
              </w:rPr>
              <w:fldChar w:fldCharType="begin"/>
            </w:r>
            <w:r>
              <w:rPr>
                <w:noProof/>
                <w:webHidden/>
              </w:rPr>
              <w:instrText xml:space="preserve"> PAGEREF _Toc220490498 \h </w:instrText>
            </w:r>
            <w:r>
              <w:rPr>
                <w:noProof/>
                <w:webHidden/>
              </w:rPr>
            </w:r>
            <w:r>
              <w:rPr>
                <w:noProof/>
                <w:webHidden/>
              </w:rPr>
              <w:fldChar w:fldCharType="separate"/>
            </w:r>
            <w:r>
              <w:rPr>
                <w:noProof/>
                <w:webHidden/>
              </w:rPr>
              <w:t>190</w:t>
            </w:r>
            <w:r>
              <w:rPr>
                <w:noProof/>
                <w:webHidden/>
              </w:rPr>
              <w:fldChar w:fldCharType="end"/>
            </w:r>
          </w:hyperlink>
        </w:p>
        <w:p w14:paraId="5F4912FE" w14:textId="420A5FC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99" w:history="1">
            <w:r w:rsidRPr="001D4C20">
              <w:rPr>
                <w:rStyle w:val="Lienhypertexte"/>
                <w:noProof/>
              </w:rPr>
              <w:t>51.72.3a Réalisation de joints - Joint de retrait réalisé in situ CCTB 01.02</w:t>
            </w:r>
            <w:r>
              <w:rPr>
                <w:noProof/>
                <w:webHidden/>
              </w:rPr>
              <w:tab/>
            </w:r>
            <w:r>
              <w:rPr>
                <w:noProof/>
                <w:webHidden/>
              </w:rPr>
              <w:fldChar w:fldCharType="begin"/>
            </w:r>
            <w:r>
              <w:rPr>
                <w:noProof/>
                <w:webHidden/>
              </w:rPr>
              <w:instrText xml:space="preserve"> PAGEREF _Toc220490499 \h </w:instrText>
            </w:r>
            <w:r>
              <w:rPr>
                <w:noProof/>
                <w:webHidden/>
              </w:rPr>
            </w:r>
            <w:r>
              <w:rPr>
                <w:noProof/>
                <w:webHidden/>
              </w:rPr>
              <w:fldChar w:fldCharType="separate"/>
            </w:r>
            <w:r>
              <w:rPr>
                <w:noProof/>
                <w:webHidden/>
              </w:rPr>
              <w:t>190</w:t>
            </w:r>
            <w:r>
              <w:rPr>
                <w:noProof/>
                <w:webHidden/>
              </w:rPr>
              <w:fldChar w:fldCharType="end"/>
            </w:r>
          </w:hyperlink>
        </w:p>
        <w:p w14:paraId="116A8E91" w14:textId="151F0E0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00" w:history="1">
            <w:r w:rsidRPr="001D4C20">
              <w:rPr>
                <w:rStyle w:val="Lienhypertexte"/>
                <w:noProof/>
              </w:rPr>
              <w:t>51.72.3b Réalisation de joints - Joint de retrait à systèmes préfabriqués CCTB 01.02</w:t>
            </w:r>
            <w:r>
              <w:rPr>
                <w:noProof/>
                <w:webHidden/>
              </w:rPr>
              <w:tab/>
            </w:r>
            <w:r>
              <w:rPr>
                <w:noProof/>
                <w:webHidden/>
              </w:rPr>
              <w:fldChar w:fldCharType="begin"/>
            </w:r>
            <w:r>
              <w:rPr>
                <w:noProof/>
                <w:webHidden/>
              </w:rPr>
              <w:instrText xml:space="preserve"> PAGEREF _Toc220490500 \h </w:instrText>
            </w:r>
            <w:r>
              <w:rPr>
                <w:noProof/>
                <w:webHidden/>
              </w:rPr>
            </w:r>
            <w:r>
              <w:rPr>
                <w:noProof/>
                <w:webHidden/>
              </w:rPr>
              <w:fldChar w:fldCharType="separate"/>
            </w:r>
            <w:r>
              <w:rPr>
                <w:noProof/>
                <w:webHidden/>
              </w:rPr>
              <w:t>190</w:t>
            </w:r>
            <w:r>
              <w:rPr>
                <w:noProof/>
                <w:webHidden/>
              </w:rPr>
              <w:fldChar w:fldCharType="end"/>
            </w:r>
          </w:hyperlink>
        </w:p>
        <w:p w14:paraId="3FEC008E" w14:textId="105B46D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01" w:history="1">
            <w:r w:rsidRPr="001D4C20">
              <w:rPr>
                <w:rStyle w:val="Lienhypertexte"/>
                <w:noProof/>
              </w:rPr>
              <w:t>51.72.4 Réalisation de joints - Joint de désolidarisation CCTB 01.02</w:t>
            </w:r>
            <w:r>
              <w:rPr>
                <w:noProof/>
                <w:webHidden/>
              </w:rPr>
              <w:tab/>
            </w:r>
            <w:r>
              <w:rPr>
                <w:noProof/>
                <w:webHidden/>
              </w:rPr>
              <w:fldChar w:fldCharType="begin"/>
            </w:r>
            <w:r>
              <w:rPr>
                <w:noProof/>
                <w:webHidden/>
              </w:rPr>
              <w:instrText xml:space="preserve"> PAGEREF _Toc220490501 \h </w:instrText>
            </w:r>
            <w:r>
              <w:rPr>
                <w:noProof/>
                <w:webHidden/>
              </w:rPr>
            </w:r>
            <w:r>
              <w:rPr>
                <w:noProof/>
                <w:webHidden/>
              </w:rPr>
              <w:fldChar w:fldCharType="separate"/>
            </w:r>
            <w:r>
              <w:rPr>
                <w:noProof/>
                <w:webHidden/>
              </w:rPr>
              <w:t>190</w:t>
            </w:r>
            <w:r>
              <w:rPr>
                <w:noProof/>
                <w:webHidden/>
              </w:rPr>
              <w:fldChar w:fldCharType="end"/>
            </w:r>
          </w:hyperlink>
        </w:p>
        <w:p w14:paraId="5BDE240C" w14:textId="3598794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02" w:history="1">
            <w:r w:rsidRPr="001D4C20">
              <w:rPr>
                <w:rStyle w:val="Lienhypertexte"/>
                <w:noProof/>
              </w:rPr>
              <w:t>51.72.4a Réalisation de joints - Joint de désolidarisation réalisé in situ CCTB 01.02</w:t>
            </w:r>
            <w:r>
              <w:rPr>
                <w:noProof/>
                <w:webHidden/>
              </w:rPr>
              <w:tab/>
            </w:r>
            <w:r>
              <w:rPr>
                <w:noProof/>
                <w:webHidden/>
              </w:rPr>
              <w:fldChar w:fldCharType="begin"/>
            </w:r>
            <w:r>
              <w:rPr>
                <w:noProof/>
                <w:webHidden/>
              </w:rPr>
              <w:instrText xml:space="preserve"> PAGEREF _Toc220490502 \h </w:instrText>
            </w:r>
            <w:r>
              <w:rPr>
                <w:noProof/>
                <w:webHidden/>
              </w:rPr>
            </w:r>
            <w:r>
              <w:rPr>
                <w:noProof/>
                <w:webHidden/>
              </w:rPr>
              <w:fldChar w:fldCharType="separate"/>
            </w:r>
            <w:r>
              <w:rPr>
                <w:noProof/>
                <w:webHidden/>
              </w:rPr>
              <w:t>190</w:t>
            </w:r>
            <w:r>
              <w:rPr>
                <w:noProof/>
                <w:webHidden/>
              </w:rPr>
              <w:fldChar w:fldCharType="end"/>
            </w:r>
          </w:hyperlink>
        </w:p>
        <w:p w14:paraId="7419BFBE" w14:textId="78AA3B9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03" w:history="1">
            <w:r w:rsidRPr="001D4C20">
              <w:rPr>
                <w:rStyle w:val="Lienhypertexte"/>
                <w:noProof/>
              </w:rPr>
              <w:t>51.72.4b Réalisation de joints - Joint de désolidarisation à systèmes préfabriqués CCTB 01.02</w:t>
            </w:r>
            <w:r>
              <w:rPr>
                <w:noProof/>
                <w:webHidden/>
              </w:rPr>
              <w:tab/>
            </w:r>
            <w:r>
              <w:rPr>
                <w:noProof/>
                <w:webHidden/>
              </w:rPr>
              <w:fldChar w:fldCharType="begin"/>
            </w:r>
            <w:r>
              <w:rPr>
                <w:noProof/>
                <w:webHidden/>
              </w:rPr>
              <w:instrText xml:space="preserve"> PAGEREF _Toc220490503 \h </w:instrText>
            </w:r>
            <w:r>
              <w:rPr>
                <w:noProof/>
                <w:webHidden/>
              </w:rPr>
            </w:r>
            <w:r>
              <w:rPr>
                <w:noProof/>
                <w:webHidden/>
              </w:rPr>
              <w:fldChar w:fldCharType="separate"/>
            </w:r>
            <w:r>
              <w:rPr>
                <w:noProof/>
                <w:webHidden/>
              </w:rPr>
              <w:t>191</w:t>
            </w:r>
            <w:r>
              <w:rPr>
                <w:noProof/>
                <w:webHidden/>
              </w:rPr>
              <w:fldChar w:fldCharType="end"/>
            </w:r>
          </w:hyperlink>
        </w:p>
        <w:p w14:paraId="1ADDBEA2" w14:textId="2811096F"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504" w:history="1">
            <w:r w:rsidRPr="001D4C20">
              <w:rPr>
                <w:rStyle w:val="Lienhypertexte"/>
                <w:noProof/>
              </w:rPr>
              <w:t>51.73 Etanchéisation de joints  CCTB 01.07</w:t>
            </w:r>
            <w:r>
              <w:rPr>
                <w:noProof/>
                <w:webHidden/>
              </w:rPr>
              <w:tab/>
            </w:r>
            <w:r>
              <w:rPr>
                <w:noProof/>
                <w:webHidden/>
              </w:rPr>
              <w:fldChar w:fldCharType="begin"/>
            </w:r>
            <w:r>
              <w:rPr>
                <w:noProof/>
                <w:webHidden/>
              </w:rPr>
              <w:instrText xml:space="preserve"> PAGEREF _Toc220490504 \h </w:instrText>
            </w:r>
            <w:r>
              <w:rPr>
                <w:noProof/>
                <w:webHidden/>
              </w:rPr>
            </w:r>
            <w:r>
              <w:rPr>
                <w:noProof/>
                <w:webHidden/>
              </w:rPr>
              <w:fldChar w:fldCharType="separate"/>
            </w:r>
            <w:r>
              <w:rPr>
                <w:noProof/>
                <w:webHidden/>
              </w:rPr>
              <w:t>191</w:t>
            </w:r>
            <w:r>
              <w:rPr>
                <w:noProof/>
                <w:webHidden/>
              </w:rPr>
              <w:fldChar w:fldCharType="end"/>
            </w:r>
          </w:hyperlink>
        </w:p>
        <w:p w14:paraId="47E701D3" w14:textId="13C92A5B"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505" w:history="1">
            <w:r w:rsidRPr="001D4C20">
              <w:rPr>
                <w:rStyle w:val="Lienhypertexte"/>
                <w:noProof/>
              </w:rPr>
              <w:t>51.74 Finitions particulières de joints CCTB 01.02</w:t>
            </w:r>
            <w:r>
              <w:rPr>
                <w:noProof/>
                <w:webHidden/>
              </w:rPr>
              <w:tab/>
            </w:r>
            <w:r>
              <w:rPr>
                <w:noProof/>
                <w:webHidden/>
              </w:rPr>
              <w:fldChar w:fldCharType="begin"/>
            </w:r>
            <w:r>
              <w:rPr>
                <w:noProof/>
                <w:webHidden/>
              </w:rPr>
              <w:instrText xml:space="preserve"> PAGEREF _Toc220490505 \h </w:instrText>
            </w:r>
            <w:r>
              <w:rPr>
                <w:noProof/>
                <w:webHidden/>
              </w:rPr>
            </w:r>
            <w:r>
              <w:rPr>
                <w:noProof/>
                <w:webHidden/>
              </w:rPr>
              <w:fldChar w:fldCharType="separate"/>
            </w:r>
            <w:r>
              <w:rPr>
                <w:noProof/>
                <w:webHidden/>
              </w:rPr>
              <w:t>191</w:t>
            </w:r>
            <w:r>
              <w:rPr>
                <w:noProof/>
                <w:webHidden/>
              </w:rPr>
              <w:fldChar w:fldCharType="end"/>
            </w:r>
          </w:hyperlink>
        </w:p>
        <w:p w14:paraId="043DE59B" w14:textId="430B07AB"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06" w:history="1">
            <w:r w:rsidRPr="001D4C20">
              <w:rPr>
                <w:rStyle w:val="Lienhypertexte"/>
                <w:noProof/>
              </w:rPr>
              <w:t>51.74.1 Finitions particulières de joints - Couvre-joints CCTB 01.02</w:t>
            </w:r>
            <w:r>
              <w:rPr>
                <w:noProof/>
                <w:webHidden/>
              </w:rPr>
              <w:tab/>
            </w:r>
            <w:r>
              <w:rPr>
                <w:noProof/>
                <w:webHidden/>
              </w:rPr>
              <w:fldChar w:fldCharType="begin"/>
            </w:r>
            <w:r>
              <w:rPr>
                <w:noProof/>
                <w:webHidden/>
              </w:rPr>
              <w:instrText xml:space="preserve"> PAGEREF _Toc220490506 \h </w:instrText>
            </w:r>
            <w:r>
              <w:rPr>
                <w:noProof/>
                <w:webHidden/>
              </w:rPr>
            </w:r>
            <w:r>
              <w:rPr>
                <w:noProof/>
                <w:webHidden/>
              </w:rPr>
              <w:fldChar w:fldCharType="separate"/>
            </w:r>
            <w:r>
              <w:rPr>
                <w:noProof/>
                <w:webHidden/>
              </w:rPr>
              <w:t>191</w:t>
            </w:r>
            <w:r>
              <w:rPr>
                <w:noProof/>
                <w:webHidden/>
              </w:rPr>
              <w:fldChar w:fldCharType="end"/>
            </w:r>
          </w:hyperlink>
        </w:p>
        <w:p w14:paraId="559E18A4" w14:textId="30A16FC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07" w:history="1">
            <w:r w:rsidRPr="001D4C20">
              <w:rPr>
                <w:rStyle w:val="Lienhypertexte"/>
                <w:noProof/>
              </w:rPr>
              <w:t>51.74.1a Finitions particulières de joints - Couvre-joints CCTB 01.02</w:t>
            </w:r>
            <w:r>
              <w:rPr>
                <w:noProof/>
                <w:webHidden/>
              </w:rPr>
              <w:tab/>
            </w:r>
            <w:r>
              <w:rPr>
                <w:noProof/>
                <w:webHidden/>
              </w:rPr>
              <w:fldChar w:fldCharType="begin"/>
            </w:r>
            <w:r>
              <w:rPr>
                <w:noProof/>
                <w:webHidden/>
              </w:rPr>
              <w:instrText xml:space="preserve"> PAGEREF _Toc220490507 \h </w:instrText>
            </w:r>
            <w:r>
              <w:rPr>
                <w:noProof/>
                <w:webHidden/>
              </w:rPr>
            </w:r>
            <w:r>
              <w:rPr>
                <w:noProof/>
                <w:webHidden/>
              </w:rPr>
              <w:fldChar w:fldCharType="separate"/>
            </w:r>
            <w:r>
              <w:rPr>
                <w:noProof/>
                <w:webHidden/>
              </w:rPr>
              <w:t>191</w:t>
            </w:r>
            <w:r>
              <w:rPr>
                <w:noProof/>
                <w:webHidden/>
              </w:rPr>
              <w:fldChar w:fldCharType="end"/>
            </w:r>
          </w:hyperlink>
        </w:p>
        <w:p w14:paraId="2D24214C" w14:textId="7234329D"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08" w:history="1">
            <w:r w:rsidRPr="001D4C20">
              <w:rPr>
                <w:rStyle w:val="Lienhypertexte"/>
                <w:noProof/>
              </w:rPr>
              <w:t>51.74.2 Finitions particulières de joints - Systèmes de finition de joints CCTB 01.02</w:t>
            </w:r>
            <w:r>
              <w:rPr>
                <w:noProof/>
                <w:webHidden/>
              </w:rPr>
              <w:tab/>
            </w:r>
            <w:r>
              <w:rPr>
                <w:noProof/>
                <w:webHidden/>
              </w:rPr>
              <w:fldChar w:fldCharType="begin"/>
            </w:r>
            <w:r>
              <w:rPr>
                <w:noProof/>
                <w:webHidden/>
              </w:rPr>
              <w:instrText xml:space="preserve"> PAGEREF _Toc220490508 \h </w:instrText>
            </w:r>
            <w:r>
              <w:rPr>
                <w:noProof/>
                <w:webHidden/>
              </w:rPr>
            </w:r>
            <w:r>
              <w:rPr>
                <w:noProof/>
                <w:webHidden/>
              </w:rPr>
              <w:fldChar w:fldCharType="separate"/>
            </w:r>
            <w:r>
              <w:rPr>
                <w:noProof/>
                <w:webHidden/>
              </w:rPr>
              <w:t>191</w:t>
            </w:r>
            <w:r>
              <w:rPr>
                <w:noProof/>
                <w:webHidden/>
              </w:rPr>
              <w:fldChar w:fldCharType="end"/>
            </w:r>
          </w:hyperlink>
        </w:p>
        <w:p w14:paraId="5E1E32A8" w14:textId="650825C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09" w:history="1">
            <w:r w:rsidRPr="001D4C20">
              <w:rPr>
                <w:rStyle w:val="Lienhypertexte"/>
                <w:noProof/>
              </w:rPr>
              <w:t>51.74.2a Finitions particulières de joints - Système de finition de joints de structure CCTB 01.02</w:t>
            </w:r>
            <w:r>
              <w:rPr>
                <w:noProof/>
                <w:webHidden/>
              </w:rPr>
              <w:tab/>
            </w:r>
            <w:r>
              <w:rPr>
                <w:noProof/>
                <w:webHidden/>
              </w:rPr>
              <w:fldChar w:fldCharType="begin"/>
            </w:r>
            <w:r>
              <w:rPr>
                <w:noProof/>
                <w:webHidden/>
              </w:rPr>
              <w:instrText xml:space="preserve"> PAGEREF _Toc220490509 \h </w:instrText>
            </w:r>
            <w:r>
              <w:rPr>
                <w:noProof/>
                <w:webHidden/>
              </w:rPr>
            </w:r>
            <w:r>
              <w:rPr>
                <w:noProof/>
                <w:webHidden/>
              </w:rPr>
              <w:fldChar w:fldCharType="separate"/>
            </w:r>
            <w:r>
              <w:rPr>
                <w:noProof/>
                <w:webHidden/>
              </w:rPr>
              <w:t>191</w:t>
            </w:r>
            <w:r>
              <w:rPr>
                <w:noProof/>
                <w:webHidden/>
              </w:rPr>
              <w:fldChar w:fldCharType="end"/>
            </w:r>
          </w:hyperlink>
        </w:p>
        <w:p w14:paraId="478A2CE6" w14:textId="6BB2252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10" w:history="1">
            <w:r w:rsidRPr="001D4C20">
              <w:rPr>
                <w:rStyle w:val="Lienhypertexte"/>
                <w:noProof/>
              </w:rPr>
              <w:t>51.74.2b Finitions particulières de joints - Système de finition de joints de fractionnement CCTB 01.02</w:t>
            </w:r>
            <w:r>
              <w:rPr>
                <w:noProof/>
                <w:webHidden/>
              </w:rPr>
              <w:tab/>
            </w:r>
            <w:r>
              <w:rPr>
                <w:noProof/>
                <w:webHidden/>
              </w:rPr>
              <w:fldChar w:fldCharType="begin"/>
            </w:r>
            <w:r>
              <w:rPr>
                <w:noProof/>
                <w:webHidden/>
              </w:rPr>
              <w:instrText xml:space="preserve"> PAGEREF _Toc220490510 \h </w:instrText>
            </w:r>
            <w:r>
              <w:rPr>
                <w:noProof/>
                <w:webHidden/>
              </w:rPr>
            </w:r>
            <w:r>
              <w:rPr>
                <w:noProof/>
                <w:webHidden/>
              </w:rPr>
              <w:fldChar w:fldCharType="separate"/>
            </w:r>
            <w:r>
              <w:rPr>
                <w:noProof/>
                <w:webHidden/>
              </w:rPr>
              <w:t>191</w:t>
            </w:r>
            <w:r>
              <w:rPr>
                <w:noProof/>
                <w:webHidden/>
              </w:rPr>
              <w:fldChar w:fldCharType="end"/>
            </w:r>
          </w:hyperlink>
        </w:p>
        <w:p w14:paraId="1AE9538A" w14:textId="427CD3A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11" w:history="1">
            <w:r w:rsidRPr="001D4C20">
              <w:rPr>
                <w:rStyle w:val="Lienhypertexte"/>
                <w:noProof/>
              </w:rPr>
              <w:t>51.74.2c Finitions particulières de joints - Système de finition de joints imperméable étanche CCTB 01.02</w:t>
            </w:r>
            <w:r>
              <w:rPr>
                <w:noProof/>
                <w:webHidden/>
              </w:rPr>
              <w:tab/>
            </w:r>
            <w:r>
              <w:rPr>
                <w:noProof/>
                <w:webHidden/>
              </w:rPr>
              <w:fldChar w:fldCharType="begin"/>
            </w:r>
            <w:r>
              <w:rPr>
                <w:noProof/>
                <w:webHidden/>
              </w:rPr>
              <w:instrText xml:space="preserve"> PAGEREF _Toc220490511 \h </w:instrText>
            </w:r>
            <w:r>
              <w:rPr>
                <w:noProof/>
                <w:webHidden/>
              </w:rPr>
            </w:r>
            <w:r>
              <w:rPr>
                <w:noProof/>
                <w:webHidden/>
              </w:rPr>
              <w:fldChar w:fldCharType="separate"/>
            </w:r>
            <w:r>
              <w:rPr>
                <w:noProof/>
                <w:webHidden/>
              </w:rPr>
              <w:t>191</w:t>
            </w:r>
            <w:r>
              <w:rPr>
                <w:noProof/>
                <w:webHidden/>
              </w:rPr>
              <w:fldChar w:fldCharType="end"/>
            </w:r>
          </w:hyperlink>
        </w:p>
        <w:p w14:paraId="0436A2C3" w14:textId="3DC6012E"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512" w:history="1">
            <w:r w:rsidRPr="001D4C20">
              <w:rPr>
                <w:rStyle w:val="Lienhypertexte"/>
                <w:noProof/>
              </w:rPr>
              <w:t>51.8 Parois intérieures et finitions - Rénovation CCTB 01.10</w:t>
            </w:r>
            <w:r>
              <w:rPr>
                <w:noProof/>
                <w:webHidden/>
              </w:rPr>
              <w:tab/>
            </w:r>
            <w:r>
              <w:rPr>
                <w:noProof/>
                <w:webHidden/>
              </w:rPr>
              <w:fldChar w:fldCharType="begin"/>
            </w:r>
            <w:r>
              <w:rPr>
                <w:noProof/>
                <w:webHidden/>
              </w:rPr>
              <w:instrText xml:space="preserve"> PAGEREF _Toc220490512 \h </w:instrText>
            </w:r>
            <w:r>
              <w:rPr>
                <w:noProof/>
                <w:webHidden/>
              </w:rPr>
            </w:r>
            <w:r>
              <w:rPr>
                <w:noProof/>
                <w:webHidden/>
              </w:rPr>
              <w:fldChar w:fldCharType="separate"/>
            </w:r>
            <w:r>
              <w:rPr>
                <w:noProof/>
                <w:webHidden/>
              </w:rPr>
              <w:t>191</w:t>
            </w:r>
            <w:r>
              <w:rPr>
                <w:noProof/>
                <w:webHidden/>
              </w:rPr>
              <w:fldChar w:fldCharType="end"/>
            </w:r>
          </w:hyperlink>
        </w:p>
        <w:p w14:paraId="3F0ECD36" w14:textId="4BBEB887" w:rsidR="000F4169" w:rsidRDefault="000F4169">
          <w:pPr>
            <w:pStyle w:val="TM2"/>
            <w:tabs>
              <w:tab w:val="right" w:leader="dot" w:pos="9016"/>
            </w:tabs>
            <w:rPr>
              <w:rFonts w:asciiTheme="minorHAnsi" w:eastAsiaTheme="minorEastAsia" w:hAnsiTheme="minorHAnsi" w:cstheme="minorBidi"/>
              <w:noProof/>
              <w:kern w:val="2"/>
              <w:sz w:val="24"/>
              <w:szCs w:val="24"/>
              <w14:ligatures w14:val="standardContextual"/>
            </w:rPr>
          </w:pPr>
          <w:hyperlink w:anchor="_Toc220490513" w:history="1">
            <w:r w:rsidRPr="001D4C20">
              <w:rPr>
                <w:rStyle w:val="Lienhypertexte"/>
                <w:noProof/>
              </w:rPr>
              <w:t>52 Etanchéisation et isolation des parois intérieures CCTB 01.02</w:t>
            </w:r>
            <w:r>
              <w:rPr>
                <w:noProof/>
                <w:webHidden/>
              </w:rPr>
              <w:tab/>
            </w:r>
            <w:r>
              <w:rPr>
                <w:noProof/>
                <w:webHidden/>
              </w:rPr>
              <w:fldChar w:fldCharType="begin"/>
            </w:r>
            <w:r>
              <w:rPr>
                <w:noProof/>
                <w:webHidden/>
              </w:rPr>
              <w:instrText xml:space="preserve"> PAGEREF _Toc220490513 \h </w:instrText>
            </w:r>
            <w:r>
              <w:rPr>
                <w:noProof/>
                <w:webHidden/>
              </w:rPr>
            </w:r>
            <w:r>
              <w:rPr>
                <w:noProof/>
                <w:webHidden/>
              </w:rPr>
              <w:fldChar w:fldCharType="separate"/>
            </w:r>
            <w:r>
              <w:rPr>
                <w:noProof/>
                <w:webHidden/>
              </w:rPr>
              <w:t>192</w:t>
            </w:r>
            <w:r>
              <w:rPr>
                <w:noProof/>
                <w:webHidden/>
              </w:rPr>
              <w:fldChar w:fldCharType="end"/>
            </w:r>
          </w:hyperlink>
        </w:p>
        <w:p w14:paraId="35E35733" w14:textId="6C8AF9BD"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514" w:history="1">
            <w:r w:rsidRPr="001D4C20">
              <w:rPr>
                <w:rStyle w:val="Lienhypertexte"/>
                <w:noProof/>
              </w:rPr>
              <w:t>52.1 Etanchéisation aux matières liquides CCTB 01.02</w:t>
            </w:r>
            <w:r>
              <w:rPr>
                <w:noProof/>
                <w:webHidden/>
              </w:rPr>
              <w:tab/>
            </w:r>
            <w:r>
              <w:rPr>
                <w:noProof/>
                <w:webHidden/>
              </w:rPr>
              <w:fldChar w:fldCharType="begin"/>
            </w:r>
            <w:r>
              <w:rPr>
                <w:noProof/>
                <w:webHidden/>
              </w:rPr>
              <w:instrText xml:space="preserve"> PAGEREF _Toc220490514 \h </w:instrText>
            </w:r>
            <w:r>
              <w:rPr>
                <w:noProof/>
                <w:webHidden/>
              </w:rPr>
            </w:r>
            <w:r>
              <w:rPr>
                <w:noProof/>
                <w:webHidden/>
              </w:rPr>
              <w:fldChar w:fldCharType="separate"/>
            </w:r>
            <w:r>
              <w:rPr>
                <w:noProof/>
                <w:webHidden/>
              </w:rPr>
              <w:t>192</w:t>
            </w:r>
            <w:r>
              <w:rPr>
                <w:noProof/>
                <w:webHidden/>
              </w:rPr>
              <w:fldChar w:fldCharType="end"/>
            </w:r>
          </w:hyperlink>
        </w:p>
        <w:p w14:paraId="6D951D69" w14:textId="32F955EF"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515" w:history="1">
            <w:r w:rsidRPr="001D4C20">
              <w:rPr>
                <w:rStyle w:val="Lienhypertexte"/>
                <w:noProof/>
              </w:rPr>
              <w:t>52.11 Feuilles et membranes d'étanchéité à l'eau CCTB 01.02</w:t>
            </w:r>
            <w:r>
              <w:rPr>
                <w:noProof/>
                <w:webHidden/>
              </w:rPr>
              <w:tab/>
            </w:r>
            <w:r>
              <w:rPr>
                <w:noProof/>
                <w:webHidden/>
              </w:rPr>
              <w:fldChar w:fldCharType="begin"/>
            </w:r>
            <w:r>
              <w:rPr>
                <w:noProof/>
                <w:webHidden/>
              </w:rPr>
              <w:instrText xml:space="preserve"> PAGEREF _Toc220490515 \h </w:instrText>
            </w:r>
            <w:r>
              <w:rPr>
                <w:noProof/>
                <w:webHidden/>
              </w:rPr>
            </w:r>
            <w:r>
              <w:rPr>
                <w:noProof/>
                <w:webHidden/>
              </w:rPr>
              <w:fldChar w:fldCharType="separate"/>
            </w:r>
            <w:r>
              <w:rPr>
                <w:noProof/>
                <w:webHidden/>
              </w:rPr>
              <w:t>192</w:t>
            </w:r>
            <w:r>
              <w:rPr>
                <w:noProof/>
                <w:webHidden/>
              </w:rPr>
              <w:fldChar w:fldCharType="end"/>
            </w:r>
          </w:hyperlink>
        </w:p>
        <w:p w14:paraId="0C9635D7" w14:textId="36C90AA2"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16" w:history="1">
            <w:r w:rsidRPr="001D4C20">
              <w:rPr>
                <w:rStyle w:val="Lienhypertexte"/>
                <w:noProof/>
              </w:rPr>
              <w:t>52.11.1 Feuilles et membranes d'étanchéité à l'eau - Membranes souples CCTB 01.10</w:t>
            </w:r>
            <w:r>
              <w:rPr>
                <w:noProof/>
                <w:webHidden/>
              </w:rPr>
              <w:tab/>
            </w:r>
            <w:r>
              <w:rPr>
                <w:noProof/>
                <w:webHidden/>
              </w:rPr>
              <w:fldChar w:fldCharType="begin"/>
            </w:r>
            <w:r>
              <w:rPr>
                <w:noProof/>
                <w:webHidden/>
              </w:rPr>
              <w:instrText xml:space="preserve"> PAGEREF _Toc220490516 \h </w:instrText>
            </w:r>
            <w:r>
              <w:rPr>
                <w:noProof/>
                <w:webHidden/>
              </w:rPr>
            </w:r>
            <w:r>
              <w:rPr>
                <w:noProof/>
                <w:webHidden/>
              </w:rPr>
              <w:fldChar w:fldCharType="separate"/>
            </w:r>
            <w:r>
              <w:rPr>
                <w:noProof/>
                <w:webHidden/>
              </w:rPr>
              <w:t>192</w:t>
            </w:r>
            <w:r>
              <w:rPr>
                <w:noProof/>
                <w:webHidden/>
              </w:rPr>
              <w:fldChar w:fldCharType="end"/>
            </w:r>
          </w:hyperlink>
        </w:p>
        <w:p w14:paraId="799C33C5" w14:textId="5F1AC36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17" w:history="1">
            <w:r w:rsidRPr="001D4C20">
              <w:rPr>
                <w:rStyle w:val="Lienhypertexte"/>
                <w:noProof/>
              </w:rPr>
              <w:t>52.11.1a Feuilles et membranes d'étanchéité à l'eau - Membranes / PE CCTB 01.11</w:t>
            </w:r>
            <w:r>
              <w:rPr>
                <w:noProof/>
                <w:webHidden/>
              </w:rPr>
              <w:tab/>
            </w:r>
            <w:r>
              <w:rPr>
                <w:noProof/>
                <w:webHidden/>
              </w:rPr>
              <w:fldChar w:fldCharType="begin"/>
            </w:r>
            <w:r>
              <w:rPr>
                <w:noProof/>
                <w:webHidden/>
              </w:rPr>
              <w:instrText xml:space="preserve"> PAGEREF _Toc220490517 \h </w:instrText>
            </w:r>
            <w:r>
              <w:rPr>
                <w:noProof/>
                <w:webHidden/>
              </w:rPr>
            </w:r>
            <w:r>
              <w:rPr>
                <w:noProof/>
                <w:webHidden/>
              </w:rPr>
              <w:fldChar w:fldCharType="separate"/>
            </w:r>
            <w:r>
              <w:rPr>
                <w:noProof/>
                <w:webHidden/>
              </w:rPr>
              <w:t>193</w:t>
            </w:r>
            <w:r>
              <w:rPr>
                <w:noProof/>
                <w:webHidden/>
              </w:rPr>
              <w:fldChar w:fldCharType="end"/>
            </w:r>
          </w:hyperlink>
        </w:p>
        <w:p w14:paraId="787B1562" w14:textId="3D3D05A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18" w:history="1">
            <w:r w:rsidRPr="001D4C20">
              <w:rPr>
                <w:rStyle w:val="Lienhypertexte"/>
                <w:noProof/>
              </w:rPr>
              <w:t>52.11.1b Feuilles et membranes d'étanchéité à l'eau - Membranes / PVC CCTB 01.10</w:t>
            </w:r>
            <w:r>
              <w:rPr>
                <w:noProof/>
                <w:webHidden/>
              </w:rPr>
              <w:tab/>
            </w:r>
            <w:r>
              <w:rPr>
                <w:noProof/>
                <w:webHidden/>
              </w:rPr>
              <w:fldChar w:fldCharType="begin"/>
            </w:r>
            <w:r>
              <w:rPr>
                <w:noProof/>
                <w:webHidden/>
              </w:rPr>
              <w:instrText xml:space="preserve"> PAGEREF _Toc220490518 \h </w:instrText>
            </w:r>
            <w:r>
              <w:rPr>
                <w:noProof/>
                <w:webHidden/>
              </w:rPr>
            </w:r>
            <w:r>
              <w:rPr>
                <w:noProof/>
                <w:webHidden/>
              </w:rPr>
              <w:fldChar w:fldCharType="separate"/>
            </w:r>
            <w:r>
              <w:rPr>
                <w:noProof/>
                <w:webHidden/>
              </w:rPr>
              <w:t>193</w:t>
            </w:r>
            <w:r>
              <w:rPr>
                <w:noProof/>
                <w:webHidden/>
              </w:rPr>
              <w:fldChar w:fldCharType="end"/>
            </w:r>
          </w:hyperlink>
        </w:p>
        <w:p w14:paraId="24F04485" w14:textId="21DFE68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19" w:history="1">
            <w:r w:rsidRPr="001D4C20">
              <w:rPr>
                <w:rStyle w:val="Lienhypertexte"/>
                <w:noProof/>
              </w:rPr>
              <w:t>52.11.1c Feuilles et membranes d'étanchéité à l'eau - Membranes / PIB CCTB 01.10</w:t>
            </w:r>
            <w:r>
              <w:rPr>
                <w:noProof/>
                <w:webHidden/>
              </w:rPr>
              <w:tab/>
            </w:r>
            <w:r>
              <w:rPr>
                <w:noProof/>
                <w:webHidden/>
              </w:rPr>
              <w:fldChar w:fldCharType="begin"/>
            </w:r>
            <w:r>
              <w:rPr>
                <w:noProof/>
                <w:webHidden/>
              </w:rPr>
              <w:instrText xml:space="preserve"> PAGEREF _Toc220490519 \h </w:instrText>
            </w:r>
            <w:r>
              <w:rPr>
                <w:noProof/>
                <w:webHidden/>
              </w:rPr>
            </w:r>
            <w:r>
              <w:rPr>
                <w:noProof/>
                <w:webHidden/>
              </w:rPr>
              <w:fldChar w:fldCharType="separate"/>
            </w:r>
            <w:r>
              <w:rPr>
                <w:noProof/>
                <w:webHidden/>
              </w:rPr>
              <w:t>194</w:t>
            </w:r>
            <w:r>
              <w:rPr>
                <w:noProof/>
                <w:webHidden/>
              </w:rPr>
              <w:fldChar w:fldCharType="end"/>
            </w:r>
          </w:hyperlink>
        </w:p>
        <w:p w14:paraId="308155CB" w14:textId="342D944F"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520" w:history="1">
            <w:r w:rsidRPr="001D4C20">
              <w:rPr>
                <w:rStyle w:val="Lienhypertexte"/>
                <w:noProof/>
              </w:rPr>
              <w:t>52.12 Traitements d'étanchéisation &gt; REPORT 26.12 CCTB 01.02</w:t>
            </w:r>
            <w:r>
              <w:rPr>
                <w:noProof/>
                <w:webHidden/>
              </w:rPr>
              <w:tab/>
            </w:r>
            <w:r>
              <w:rPr>
                <w:noProof/>
                <w:webHidden/>
              </w:rPr>
              <w:fldChar w:fldCharType="begin"/>
            </w:r>
            <w:r>
              <w:rPr>
                <w:noProof/>
                <w:webHidden/>
              </w:rPr>
              <w:instrText xml:space="preserve"> PAGEREF _Toc220490520 \h </w:instrText>
            </w:r>
            <w:r>
              <w:rPr>
                <w:noProof/>
                <w:webHidden/>
              </w:rPr>
            </w:r>
            <w:r>
              <w:rPr>
                <w:noProof/>
                <w:webHidden/>
              </w:rPr>
              <w:fldChar w:fldCharType="separate"/>
            </w:r>
            <w:r>
              <w:rPr>
                <w:noProof/>
                <w:webHidden/>
              </w:rPr>
              <w:t>195</w:t>
            </w:r>
            <w:r>
              <w:rPr>
                <w:noProof/>
                <w:webHidden/>
              </w:rPr>
              <w:fldChar w:fldCharType="end"/>
            </w:r>
          </w:hyperlink>
        </w:p>
        <w:p w14:paraId="6CC51E6A" w14:textId="240DA8EC"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521" w:history="1">
            <w:r w:rsidRPr="001D4C20">
              <w:rPr>
                <w:rStyle w:val="Lienhypertexte"/>
                <w:noProof/>
              </w:rPr>
              <w:t>52.13 Traitements d'imperméabilisation CCTB 01.02</w:t>
            </w:r>
            <w:r>
              <w:rPr>
                <w:noProof/>
                <w:webHidden/>
              </w:rPr>
              <w:tab/>
            </w:r>
            <w:r>
              <w:rPr>
                <w:noProof/>
                <w:webHidden/>
              </w:rPr>
              <w:fldChar w:fldCharType="begin"/>
            </w:r>
            <w:r>
              <w:rPr>
                <w:noProof/>
                <w:webHidden/>
              </w:rPr>
              <w:instrText xml:space="preserve"> PAGEREF _Toc220490521 \h </w:instrText>
            </w:r>
            <w:r>
              <w:rPr>
                <w:noProof/>
                <w:webHidden/>
              </w:rPr>
            </w:r>
            <w:r>
              <w:rPr>
                <w:noProof/>
                <w:webHidden/>
              </w:rPr>
              <w:fldChar w:fldCharType="separate"/>
            </w:r>
            <w:r>
              <w:rPr>
                <w:noProof/>
                <w:webHidden/>
              </w:rPr>
              <w:t>195</w:t>
            </w:r>
            <w:r>
              <w:rPr>
                <w:noProof/>
                <w:webHidden/>
              </w:rPr>
              <w:fldChar w:fldCharType="end"/>
            </w:r>
          </w:hyperlink>
        </w:p>
        <w:p w14:paraId="612CC842" w14:textId="5E86681A"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22" w:history="1">
            <w:r w:rsidRPr="001D4C20">
              <w:rPr>
                <w:rStyle w:val="Lienhypertexte"/>
                <w:noProof/>
              </w:rPr>
              <w:t>52.13.1 Traitement d'imperméabilisation par injection &gt; REPORT 26.13.1 CCTB 01.02</w:t>
            </w:r>
            <w:r>
              <w:rPr>
                <w:noProof/>
                <w:webHidden/>
              </w:rPr>
              <w:tab/>
            </w:r>
            <w:r>
              <w:rPr>
                <w:noProof/>
                <w:webHidden/>
              </w:rPr>
              <w:fldChar w:fldCharType="begin"/>
            </w:r>
            <w:r>
              <w:rPr>
                <w:noProof/>
                <w:webHidden/>
              </w:rPr>
              <w:instrText xml:space="preserve"> PAGEREF _Toc220490522 \h </w:instrText>
            </w:r>
            <w:r>
              <w:rPr>
                <w:noProof/>
                <w:webHidden/>
              </w:rPr>
            </w:r>
            <w:r>
              <w:rPr>
                <w:noProof/>
                <w:webHidden/>
              </w:rPr>
              <w:fldChar w:fldCharType="separate"/>
            </w:r>
            <w:r>
              <w:rPr>
                <w:noProof/>
                <w:webHidden/>
              </w:rPr>
              <w:t>195</w:t>
            </w:r>
            <w:r>
              <w:rPr>
                <w:noProof/>
                <w:webHidden/>
              </w:rPr>
              <w:fldChar w:fldCharType="end"/>
            </w:r>
          </w:hyperlink>
        </w:p>
        <w:p w14:paraId="0E0B80A5" w14:textId="76B72E9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23" w:history="1">
            <w:r w:rsidRPr="001D4C20">
              <w:rPr>
                <w:rStyle w:val="Lienhypertexte"/>
                <w:noProof/>
              </w:rPr>
              <w:t>52.13.2 Traitement d'imperméabilisation par application d'une peinture CCTB 01.07</w:t>
            </w:r>
            <w:r>
              <w:rPr>
                <w:noProof/>
                <w:webHidden/>
              </w:rPr>
              <w:tab/>
            </w:r>
            <w:r>
              <w:rPr>
                <w:noProof/>
                <w:webHidden/>
              </w:rPr>
              <w:fldChar w:fldCharType="begin"/>
            </w:r>
            <w:r>
              <w:rPr>
                <w:noProof/>
                <w:webHidden/>
              </w:rPr>
              <w:instrText xml:space="preserve"> PAGEREF _Toc220490523 \h </w:instrText>
            </w:r>
            <w:r>
              <w:rPr>
                <w:noProof/>
                <w:webHidden/>
              </w:rPr>
            </w:r>
            <w:r>
              <w:rPr>
                <w:noProof/>
                <w:webHidden/>
              </w:rPr>
              <w:fldChar w:fldCharType="separate"/>
            </w:r>
            <w:r>
              <w:rPr>
                <w:noProof/>
                <w:webHidden/>
              </w:rPr>
              <w:t>195</w:t>
            </w:r>
            <w:r>
              <w:rPr>
                <w:noProof/>
                <w:webHidden/>
              </w:rPr>
              <w:fldChar w:fldCharType="end"/>
            </w:r>
          </w:hyperlink>
        </w:p>
        <w:p w14:paraId="6A52E64C" w14:textId="236875F3"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524" w:history="1">
            <w:r w:rsidRPr="001D4C20">
              <w:rPr>
                <w:rStyle w:val="Lienhypertexte"/>
                <w:noProof/>
              </w:rPr>
              <w:t>52.14 Systèmes étanches CCTB 01.02</w:t>
            </w:r>
            <w:r>
              <w:rPr>
                <w:noProof/>
                <w:webHidden/>
              </w:rPr>
              <w:tab/>
            </w:r>
            <w:r>
              <w:rPr>
                <w:noProof/>
                <w:webHidden/>
              </w:rPr>
              <w:fldChar w:fldCharType="begin"/>
            </w:r>
            <w:r>
              <w:rPr>
                <w:noProof/>
                <w:webHidden/>
              </w:rPr>
              <w:instrText xml:space="preserve"> PAGEREF _Toc220490524 \h </w:instrText>
            </w:r>
            <w:r>
              <w:rPr>
                <w:noProof/>
                <w:webHidden/>
              </w:rPr>
            </w:r>
            <w:r>
              <w:rPr>
                <w:noProof/>
                <w:webHidden/>
              </w:rPr>
              <w:fldChar w:fldCharType="separate"/>
            </w:r>
            <w:r>
              <w:rPr>
                <w:noProof/>
                <w:webHidden/>
              </w:rPr>
              <w:t>195</w:t>
            </w:r>
            <w:r>
              <w:rPr>
                <w:noProof/>
                <w:webHidden/>
              </w:rPr>
              <w:fldChar w:fldCharType="end"/>
            </w:r>
          </w:hyperlink>
        </w:p>
        <w:p w14:paraId="0959DFD5" w14:textId="7CBFA344"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25" w:history="1">
            <w:r w:rsidRPr="001D4C20">
              <w:rPr>
                <w:rStyle w:val="Lienhypertexte"/>
                <w:noProof/>
              </w:rPr>
              <w:t>52.14.1 Systèmes étanches - Joints d'étanchéité préformés CCTB 01.02</w:t>
            </w:r>
            <w:r>
              <w:rPr>
                <w:noProof/>
                <w:webHidden/>
              </w:rPr>
              <w:tab/>
            </w:r>
            <w:r>
              <w:rPr>
                <w:noProof/>
                <w:webHidden/>
              </w:rPr>
              <w:fldChar w:fldCharType="begin"/>
            </w:r>
            <w:r>
              <w:rPr>
                <w:noProof/>
                <w:webHidden/>
              </w:rPr>
              <w:instrText xml:space="preserve"> PAGEREF _Toc220490525 \h </w:instrText>
            </w:r>
            <w:r>
              <w:rPr>
                <w:noProof/>
                <w:webHidden/>
              </w:rPr>
            </w:r>
            <w:r>
              <w:rPr>
                <w:noProof/>
                <w:webHidden/>
              </w:rPr>
              <w:fldChar w:fldCharType="separate"/>
            </w:r>
            <w:r>
              <w:rPr>
                <w:noProof/>
                <w:webHidden/>
              </w:rPr>
              <w:t>195</w:t>
            </w:r>
            <w:r>
              <w:rPr>
                <w:noProof/>
                <w:webHidden/>
              </w:rPr>
              <w:fldChar w:fldCharType="end"/>
            </w:r>
          </w:hyperlink>
        </w:p>
        <w:p w14:paraId="57ECA945" w14:textId="6C061DF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26" w:history="1">
            <w:r w:rsidRPr="001D4C20">
              <w:rPr>
                <w:rStyle w:val="Lienhypertexte"/>
                <w:noProof/>
              </w:rPr>
              <w:t>52.14.1a Systèmes étanches - Joint de reprise CCTB 01.02</w:t>
            </w:r>
            <w:r>
              <w:rPr>
                <w:noProof/>
                <w:webHidden/>
              </w:rPr>
              <w:tab/>
            </w:r>
            <w:r>
              <w:rPr>
                <w:noProof/>
                <w:webHidden/>
              </w:rPr>
              <w:fldChar w:fldCharType="begin"/>
            </w:r>
            <w:r>
              <w:rPr>
                <w:noProof/>
                <w:webHidden/>
              </w:rPr>
              <w:instrText xml:space="preserve"> PAGEREF _Toc220490526 \h </w:instrText>
            </w:r>
            <w:r>
              <w:rPr>
                <w:noProof/>
                <w:webHidden/>
              </w:rPr>
            </w:r>
            <w:r>
              <w:rPr>
                <w:noProof/>
                <w:webHidden/>
              </w:rPr>
              <w:fldChar w:fldCharType="separate"/>
            </w:r>
            <w:r>
              <w:rPr>
                <w:noProof/>
                <w:webHidden/>
              </w:rPr>
              <w:t>195</w:t>
            </w:r>
            <w:r>
              <w:rPr>
                <w:noProof/>
                <w:webHidden/>
              </w:rPr>
              <w:fldChar w:fldCharType="end"/>
            </w:r>
          </w:hyperlink>
        </w:p>
        <w:p w14:paraId="2D26B36E" w14:textId="0997BFC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27" w:history="1">
            <w:r w:rsidRPr="001D4C20">
              <w:rPr>
                <w:rStyle w:val="Lienhypertexte"/>
                <w:noProof/>
              </w:rPr>
              <w:t>52.14.1b Systèmes étanches - Joint de dilatation CCTB 01.02</w:t>
            </w:r>
            <w:r>
              <w:rPr>
                <w:noProof/>
                <w:webHidden/>
              </w:rPr>
              <w:tab/>
            </w:r>
            <w:r>
              <w:rPr>
                <w:noProof/>
                <w:webHidden/>
              </w:rPr>
              <w:fldChar w:fldCharType="begin"/>
            </w:r>
            <w:r>
              <w:rPr>
                <w:noProof/>
                <w:webHidden/>
              </w:rPr>
              <w:instrText xml:space="preserve"> PAGEREF _Toc220490527 \h </w:instrText>
            </w:r>
            <w:r>
              <w:rPr>
                <w:noProof/>
                <w:webHidden/>
              </w:rPr>
            </w:r>
            <w:r>
              <w:rPr>
                <w:noProof/>
                <w:webHidden/>
              </w:rPr>
              <w:fldChar w:fldCharType="separate"/>
            </w:r>
            <w:r>
              <w:rPr>
                <w:noProof/>
                <w:webHidden/>
              </w:rPr>
              <w:t>195</w:t>
            </w:r>
            <w:r>
              <w:rPr>
                <w:noProof/>
                <w:webHidden/>
              </w:rPr>
              <w:fldChar w:fldCharType="end"/>
            </w:r>
          </w:hyperlink>
        </w:p>
        <w:p w14:paraId="40BE4400" w14:textId="3B48A6E5"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28" w:history="1">
            <w:r w:rsidRPr="001D4C20">
              <w:rPr>
                <w:rStyle w:val="Lienhypertexte"/>
                <w:noProof/>
              </w:rPr>
              <w:t>52.14.2 Systèmes étanches - Joints d'étanchéité hydrogonflants CCTB 01.02</w:t>
            </w:r>
            <w:r>
              <w:rPr>
                <w:noProof/>
                <w:webHidden/>
              </w:rPr>
              <w:tab/>
            </w:r>
            <w:r>
              <w:rPr>
                <w:noProof/>
                <w:webHidden/>
              </w:rPr>
              <w:fldChar w:fldCharType="begin"/>
            </w:r>
            <w:r>
              <w:rPr>
                <w:noProof/>
                <w:webHidden/>
              </w:rPr>
              <w:instrText xml:space="preserve"> PAGEREF _Toc220490528 \h </w:instrText>
            </w:r>
            <w:r>
              <w:rPr>
                <w:noProof/>
                <w:webHidden/>
              </w:rPr>
            </w:r>
            <w:r>
              <w:rPr>
                <w:noProof/>
                <w:webHidden/>
              </w:rPr>
              <w:fldChar w:fldCharType="separate"/>
            </w:r>
            <w:r>
              <w:rPr>
                <w:noProof/>
                <w:webHidden/>
              </w:rPr>
              <w:t>195</w:t>
            </w:r>
            <w:r>
              <w:rPr>
                <w:noProof/>
                <w:webHidden/>
              </w:rPr>
              <w:fldChar w:fldCharType="end"/>
            </w:r>
          </w:hyperlink>
        </w:p>
        <w:p w14:paraId="5E4380F3" w14:textId="029B6B8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29" w:history="1">
            <w:r w:rsidRPr="001D4C20">
              <w:rPr>
                <w:rStyle w:val="Lienhypertexte"/>
                <w:noProof/>
              </w:rPr>
              <w:t>52.14.2a Systèmes étanches - Joints d'étanchéité hydrogonflants CCTB 01.02</w:t>
            </w:r>
            <w:r>
              <w:rPr>
                <w:noProof/>
                <w:webHidden/>
              </w:rPr>
              <w:tab/>
            </w:r>
            <w:r>
              <w:rPr>
                <w:noProof/>
                <w:webHidden/>
              </w:rPr>
              <w:fldChar w:fldCharType="begin"/>
            </w:r>
            <w:r>
              <w:rPr>
                <w:noProof/>
                <w:webHidden/>
              </w:rPr>
              <w:instrText xml:space="preserve"> PAGEREF _Toc220490529 \h </w:instrText>
            </w:r>
            <w:r>
              <w:rPr>
                <w:noProof/>
                <w:webHidden/>
              </w:rPr>
            </w:r>
            <w:r>
              <w:rPr>
                <w:noProof/>
                <w:webHidden/>
              </w:rPr>
              <w:fldChar w:fldCharType="separate"/>
            </w:r>
            <w:r>
              <w:rPr>
                <w:noProof/>
                <w:webHidden/>
              </w:rPr>
              <w:t>195</w:t>
            </w:r>
            <w:r>
              <w:rPr>
                <w:noProof/>
                <w:webHidden/>
              </w:rPr>
              <w:fldChar w:fldCharType="end"/>
            </w:r>
          </w:hyperlink>
        </w:p>
        <w:p w14:paraId="5EB6D905" w14:textId="25FC2C72"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530" w:history="1">
            <w:r w:rsidRPr="001D4C20">
              <w:rPr>
                <w:rStyle w:val="Lienhypertexte"/>
                <w:noProof/>
              </w:rPr>
              <w:t>52.15 Etanchéisation de joints CCTB 01.02</w:t>
            </w:r>
            <w:r>
              <w:rPr>
                <w:noProof/>
                <w:webHidden/>
              </w:rPr>
              <w:tab/>
            </w:r>
            <w:r>
              <w:rPr>
                <w:noProof/>
                <w:webHidden/>
              </w:rPr>
              <w:fldChar w:fldCharType="begin"/>
            </w:r>
            <w:r>
              <w:rPr>
                <w:noProof/>
                <w:webHidden/>
              </w:rPr>
              <w:instrText xml:space="preserve"> PAGEREF _Toc220490530 \h </w:instrText>
            </w:r>
            <w:r>
              <w:rPr>
                <w:noProof/>
                <w:webHidden/>
              </w:rPr>
            </w:r>
            <w:r>
              <w:rPr>
                <w:noProof/>
                <w:webHidden/>
              </w:rPr>
              <w:fldChar w:fldCharType="separate"/>
            </w:r>
            <w:r>
              <w:rPr>
                <w:noProof/>
                <w:webHidden/>
              </w:rPr>
              <w:t>195</w:t>
            </w:r>
            <w:r>
              <w:rPr>
                <w:noProof/>
                <w:webHidden/>
              </w:rPr>
              <w:fldChar w:fldCharType="end"/>
            </w:r>
          </w:hyperlink>
        </w:p>
        <w:p w14:paraId="27B0807D" w14:textId="394155EB"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31" w:history="1">
            <w:r w:rsidRPr="001D4C20">
              <w:rPr>
                <w:rStyle w:val="Lienhypertexte"/>
                <w:noProof/>
              </w:rPr>
              <w:t>52.15.1 Etanchéisation de joints - Mastics d'étanchéité CCTB 01.02</w:t>
            </w:r>
            <w:r>
              <w:rPr>
                <w:noProof/>
                <w:webHidden/>
              </w:rPr>
              <w:tab/>
            </w:r>
            <w:r>
              <w:rPr>
                <w:noProof/>
                <w:webHidden/>
              </w:rPr>
              <w:fldChar w:fldCharType="begin"/>
            </w:r>
            <w:r>
              <w:rPr>
                <w:noProof/>
                <w:webHidden/>
              </w:rPr>
              <w:instrText xml:space="preserve"> PAGEREF _Toc220490531 \h </w:instrText>
            </w:r>
            <w:r>
              <w:rPr>
                <w:noProof/>
                <w:webHidden/>
              </w:rPr>
            </w:r>
            <w:r>
              <w:rPr>
                <w:noProof/>
                <w:webHidden/>
              </w:rPr>
              <w:fldChar w:fldCharType="separate"/>
            </w:r>
            <w:r>
              <w:rPr>
                <w:noProof/>
                <w:webHidden/>
              </w:rPr>
              <w:t>195</w:t>
            </w:r>
            <w:r>
              <w:rPr>
                <w:noProof/>
                <w:webHidden/>
              </w:rPr>
              <w:fldChar w:fldCharType="end"/>
            </w:r>
          </w:hyperlink>
        </w:p>
        <w:p w14:paraId="393E15ED" w14:textId="353E1FE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32" w:history="1">
            <w:r w:rsidRPr="001D4C20">
              <w:rPr>
                <w:rStyle w:val="Lienhypertexte"/>
                <w:noProof/>
              </w:rPr>
              <w:t>52.15.1a Etanchéisation de joints - Mastic d'étanchéité élastique CCTB 01.02</w:t>
            </w:r>
            <w:r>
              <w:rPr>
                <w:noProof/>
                <w:webHidden/>
              </w:rPr>
              <w:tab/>
            </w:r>
            <w:r>
              <w:rPr>
                <w:noProof/>
                <w:webHidden/>
              </w:rPr>
              <w:fldChar w:fldCharType="begin"/>
            </w:r>
            <w:r>
              <w:rPr>
                <w:noProof/>
                <w:webHidden/>
              </w:rPr>
              <w:instrText xml:space="preserve"> PAGEREF _Toc220490532 \h </w:instrText>
            </w:r>
            <w:r>
              <w:rPr>
                <w:noProof/>
                <w:webHidden/>
              </w:rPr>
            </w:r>
            <w:r>
              <w:rPr>
                <w:noProof/>
                <w:webHidden/>
              </w:rPr>
              <w:fldChar w:fldCharType="separate"/>
            </w:r>
            <w:r>
              <w:rPr>
                <w:noProof/>
                <w:webHidden/>
              </w:rPr>
              <w:t>195</w:t>
            </w:r>
            <w:r>
              <w:rPr>
                <w:noProof/>
                <w:webHidden/>
              </w:rPr>
              <w:fldChar w:fldCharType="end"/>
            </w:r>
          </w:hyperlink>
        </w:p>
        <w:p w14:paraId="1DDBE8C3" w14:textId="58C310B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33" w:history="1">
            <w:r w:rsidRPr="001D4C20">
              <w:rPr>
                <w:rStyle w:val="Lienhypertexte"/>
                <w:noProof/>
              </w:rPr>
              <w:t>52.15.1b Etanchéisation de joints - Mastic d'étanchéité plastique CCTB 01.02</w:t>
            </w:r>
            <w:r>
              <w:rPr>
                <w:noProof/>
                <w:webHidden/>
              </w:rPr>
              <w:tab/>
            </w:r>
            <w:r>
              <w:rPr>
                <w:noProof/>
                <w:webHidden/>
              </w:rPr>
              <w:fldChar w:fldCharType="begin"/>
            </w:r>
            <w:r>
              <w:rPr>
                <w:noProof/>
                <w:webHidden/>
              </w:rPr>
              <w:instrText xml:space="preserve"> PAGEREF _Toc220490533 \h </w:instrText>
            </w:r>
            <w:r>
              <w:rPr>
                <w:noProof/>
                <w:webHidden/>
              </w:rPr>
            </w:r>
            <w:r>
              <w:rPr>
                <w:noProof/>
                <w:webHidden/>
              </w:rPr>
              <w:fldChar w:fldCharType="separate"/>
            </w:r>
            <w:r>
              <w:rPr>
                <w:noProof/>
                <w:webHidden/>
              </w:rPr>
              <w:t>195</w:t>
            </w:r>
            <w:r>
              <w:rPr>
                <w:noProof/>
                <w:webHidden/>
              </w:rPr>
              <w:fldChar w:fldCharType="end"/>
            </w:r>
          </w:hyperlink>
        </w:p>
        <w:p w14:paraId="187D3524" w14:textId="01D4AE47"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34" w:history="1">
            <w:r w:rsidRPr="001D4C20">
              <w:rPr>
                <w:rStyle w:val="Lienhypertexte"/>
                <w:noProof/>
              </w:rPr>
              <w:t>52.15.2 Etanchéisation de joints - Mastics particuliers CCTB 01.02</w:t>
            </w:r>
            <w:r>
              <w:rPr>
                <w:noProof/>
                <w:webHidden/>
              </w:rPr>
              <w:tab/>
            </w:r>
            <w:r>
              <w:rPr>
                <w:noProof/>
                <w:webHidden/>
              </w:rPr>
              <w:fldChar w:fldCharType="begin"/>
            </w:r>
            <w:r>
              <w:rPr>
                <w:noProof/>
                <w:webHidden/>
              </w:rPr>
              <w:instrText xml:space="preserve"> PAGEREF _Toc220490534 \h </w:instrText>
            </w:r>
            <w:r>
              <w:rPr>
                <w:noProof/>
                <w:webHidden/>
              </w:rPr>
            </w:r>
            <w:r>
              <w:rPr>
                <w:noProof/>
                <w:webHidden/>
              </w:rPr>
              <w:fldChar w:fldCharType="separate"/>
            </w:r>
            <w:r>
              <w:rPr>
                <w:noProof/>
                <w:webHidden/>
              </w:rPr>
              <w:t>196</w:t>
            </w:r>
            <w:r>
              <w:rPr>
                <w:noProof/>
                <w:webHidden/>
              </w:rPr>
              <w:fldChar w:fldCharType="end"/>
            </w:r>
          </w:hyperlink>
        </w:p>
        <w:p w14:paraId="166C77AE" w14:textId="31DFAB5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35" w:history="1">
            <w:r w:rsidRPr="001D4C20">
              <w:rPr>
                <w:rStyle w:val="Lienhypertexte"/>
                <w:noProof/>
              </w:rPr>
              <w:t>52.15.2a Etanchéisation de joints - Mastic hydrogonflant CCTB 01.02</w:t>
            </w:r>
            <w:r>
              <w:rPr>
                <w:noProof/>
                <w:webHidden/>
              </w:rPr>
              <w:tab/>
            </w:r>
            <w:r>
              <w:rPr>
                <w:noProof/>
                <w:webHidden/>
              </w:rPr>
              <w:fldChar w:fldCharType="begin"/>
            </w:r>
            <w:r>
              <w:rPr>
                <w:noProof/>
                <w:webHidden/>
              </w:rPr>
              <w:instrText xml:space="preserve"> PAGEREF _Toc220490535 \h </w:instrText>
            </w:r>
            <w:r>
              <w:rPr>
                <w:noProof/>
                <w:webHidden/>
              </w:rPr>
            </w:r>
            <w:r>
              <w:rPr>
                <w:noProof/>
                <w:webHidden/>
              </w:rPr>
              <w:fldChar w:fldCharType="separate"/>
            </w:r>
            <w:r>
              <w:rPr>
                <w:noProof/>
                <w:webHidden/>
              </w:rPr>
              <w:t>196</w:t>
            </w:r>
            <w:r>
              <w:rPr>
                <w:noProof/>
                <w:webHidden/>
              </w:rPr>
              <w:fldChar w:fldCharType="end"/>
            </w:r>
          </w:hyperlink>
        </w:p>
        <w:p w14:paraId="5A37FA44" w14:textId="52579153"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536" w:history="1">
            <w:r w:rsidRPr="001D4C20">
              <w:rPr>
                <w:rStyle w:val="Lienhypertexte"/>
                <w:noProof/>
              </w:rPr>
              <w:t>52.2 Etanchéisation aux matières gazeuses CCTB 01.02</w:t>
            </w:r>
            <w:r>
              <w:rPr>
                <w:noProof/>
                <w:webHidden/>
              </w:rPr>
              <w:tab/>
            </w:r>
            <w:r>
              <w:rPr>
                <w:noProof/>
                <w:webHidden/>
              </w:rPr>
              <w:fldChar w:fldCharType="begin"/>
            </w:r>
            <w:r>
              <w:rPr>
                <w:noProof/>
                <w:webHidden/>
              </w:rPr>
              <w:instrText xml:space="preserve"> PAGEREF _Toc220490536 \h </w:instrText>
            </w:r>
            <w:r>
              <w:rPr>
                <w:noProof/>
                <w:webHidden/>
              </w:rPr>
            </w:r>
            <w:r>
              <w:rPr>
                <w:noProof/>
                <w:webHidden/>
              </w:rPr>
              <w:fldChar w:fldCharType="separate"/>
            </w:r>
            <w:r>
              <w:rPr>
                <w:noProof/>
                <w:webHidden/>
              </w:rPr>
              <w:t>196</w:t>
            </w:r>
            <w:r>
              <w:rPr>
                <w:noProof/>
                <w:webHidden/>
              </w:rPr>
              <w:fldChar w:fldCharType="end"/>
            </w:r>
          </w:hyperlink>
        </w:p>
        <w:p w14:paraId="3088FB6A" w14:textId="2EB8CEF3"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537" w:history="1">
            <w:r w:rsidRPr="001D4C20">
              <w:rPr>
                <w:rStyle w:val="Lienhypertexte"/>
                <w:noProof/>
              </w:rPr>
              <w:t>52.21 Pare-vapeur CCTB 01.02</w:t>
            </w:r>
            <w:r>
              <w:rPr>
                <w:noProof/>
                <w:webHidden/>
              </w:rPr>
              <w:tab/>
            </w:r>
            <w:r>
              <w:rPr>
                <w:noProof/>
                <w:webHidden/>
              </w:rPr>
              <w:fldChar w:fldCharType="begin"/>
            </w:r>
            <w:r>
              <w:rPr>
                <w:noProof/>
                <w:webHidden/>
              </w:rPr>
              <w:instrText xml:space="preserve"> PAGEREF _Toc220490537 \h </w:instrText>
            </w:r>
            <w:r>
              <w:rPr>
                <w:noProof/>
                <w:webHidden/>
              </w:rPr>
            </w:r>
            <w:r>
              <w:rPr>
                <w:noProof/>
                <w:webHidden/>
              </w:rPr>
              <w:fldChar w:fldCharType="separate"/>
            </w:r>
            <w:r>
              <w:rPr>
                <w:noProof/>
                <w:webHidden/>
              </w:rPr>
              <w:t>196</w:t>
            </w:r>
            <w:r>
              <w:rPr>
                <w:noProof/>
                <w:webHidden/>
              </w:rPr>
              <w:fldChar w:fldCharType="end"/>
            </w:r>
          </w:hyperlink>
        </w:p>
        <w:p w14:paraId="1221DCE4" w14:textId="1A14270B"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38" w:history="1">
            <w:r w:rsidRPr="001D4C20">
              <w:rPr>
                <w:rStyle w:val="Lienhypertexte"/>
                <w:noProof/>
              </w:rPr>
              <w:t>52.21.1 Membranes souples étanches aux matières gazeuses CCTB 01.02</w:t>
            </w:r>
            <w:r>
              <w:rPr>
                <w:noProof/>
                <w:webHidden/>
              </w:rPr>
              <w:tab/>
            </w:r>
            <w:r>
              <w:rPr>
                <w:noProof/>
                <w:webHidden/>
              </w:rPr>
              <w:fldChar w:fldCharType="begin"/>
            </w:r>
            <w:r>
              <w:rPr>
                <w:noProof/>
                <w:webHidden/>
              </w:rPr>
              <w:instrText xml:space="preserve"> PAGEREF _Toc220490538 \h </w:instrText>
            </w:r>
            <w:r>
              <w:rPr>
                <w:noProof/>
                <w:webHidden/>
              </w:rPr>
            </w:r>
            <w:r>
              <w:rPr>
                <w:noProof/>
                <w:webHidden/>
              </w:rPr>
              <w:fldChar w:fldCharType="separate"/>
            </w:r>
            <w:r>
              <w:rPr>
                <w:noProof/>
                <w:webHidden/>
              </w:rPr>
              <w:t>196</w:t>
            </w:r>
            <w:r>
              <w:rPr>
                <w:noProof/>
                <w:webHidden/>
              </w:rPr>
              <w:fldChar w:fldCharType="end"/>
            </w:r>
          </w:hyperlink>
        </w:p>
        <w:p w14:paraId="3823BFF7" w14:textId="05C6EC0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39" w:history="1">
            <w:r w:rsidRPr="001D4C20">
              <w:rPr>
                <w:rStyle w:val="Lienhypertexte"/>
                <w:noProof/>
              </w:rPr>
              <w:t>52.21.1a Membranes souples étanches aux matières gazeuses - Pare-vapeur - membranes / PE CCTB 01.02</w:t>
            </w:r>
            <w:r>
              <w:rPr>
                <w:noProof/>
                <w:webHidden/>
              </w:rPr>
              <w:tab/>
            </w:r>
            <w:r>
              <w:rPr>
                <w:noProof/>
                <w:webHidden/>
              </w:rPr>
              <w:fldChar w:fldCharType="begin"/>
            </w:r>
            <w:r>
              <w:rPr>
                <w:noProof/>
                <w:webHidden/>
              </w:rPr>
              <w:instrText xml:space="preserve"> PAGEREF _Toc220490539 \h </w:instrText>
            </w:r>
            <w:r>
              <w:rPr>
                <w:noProof/>
                <w:webHidden/>
              </w:rPr>
            </w:r>
            <w:r>
              <w:rPr>
                <w:noProof/>
                <w:webHidden/>
              </w:rPr>
              <w:fldChar w:fldCharType="separate"/>
            </w:r>
            <w:r>
              <w:rPr>
                <w:noProof/>
                <w:webHidden/>
              </w:rPr>
              <w:t>196</w:t>
            </w:r>
            <w:r>
              <w:rPr>
                <w:noProof/>
                <w:webHidden/>
              </w:rPr>
              <w:fldChar w:fldCharType="end"/>
            </w:r>
          </w:hyperlink>
        </w:p>
        <w:p w14:paraId="4E8835DB" w14:textId="5D997398"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540" w:history="1">
            <w:r w:rsidRPr="001D4C20">
              <w:rPr>
                <w:rStyle w:val="Lienhypertexte"/>
                <w:noProof/>
              </w:rPr>
              <w:t>52.22 Bandes et rubans CCTB 01.02</w:t>
            </w:r>
            <w:r>
              <w:rPr>
                <w:noProof/>
                <w:webHidden/>
              </w:rPr>
              <w:tab/>
            </w:r>
            <w:r>
              <w:rPr>
                <w:noProof/>
                <w:webHidden/>
              </w:rPr>
              <w:fldChar w:fldCharType="begin"/>
            </w:r>
            <w:r>
              <w:rPr>
                <w:noProof/>
                <w:webHidden/>
              </w:rPr>
              <w:instrText xml:space="preserve"> PAGEREF _Toc220490540 \h </w:instrText>
            </w:r>
            <w:r>
              <w:rPr>
                <w:noProof/>
                <w:webHidden/>
              </w:rPr>
            </w:r>
            <w:r>
              <w:rPr>
                <w:noProof/>
                <w:webHidden/>
              </w:rPr>
              <w:fldChar w:fldCharType="separate"/>
            </w:r>
            <w:r>
              <w:rPr>
                <w:noProof/>
                <w:webHidden/>
              </w:rPr>
              <w:t>196</w:t>
            </w:r>
            <w:r>
              <w:rPr>
                <w:noProof/>
                <w:webHidden/>
              </w:rPr>
              <w:fldChar w:fldCharType="end"/>
            </w:r>
          </w:hyperlink>
        </w:p>
        <w:p w14:paraId="5A86E534" w14:textId="57A75DD5"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41" w:history="1">
            <w:r w:rsidRPr="001D4C20">
              <w:rPr>
                <w:rStyle w:val="Lienhypertexte"/>
                <w:noProof/>
              </w:rPr>
              <w:t>52.22.1 Traitement d'étanchéité aux matières gazeuses par injection CCTB 01.12</w:t>
            </w:r>
            <w:r>
              <w:rPr>
                <w:noProof/>
                <w:webHidden/>
              </w:rPr>
              <w:tab/>
            </w:r>
            <w:r>
              <w:rPr>
                <w:noProof/>
                <w:webHidden/>
              </w:rPr>
              <w:fldChar w:fldCharType="begin"/>
            </w:r>
            <w:r>
              <w:rPr>
                <w:noProof/>
                <w:webHidden/>
              </w:rPr>
              <w:instrText xml:space="preserve"> PAGEREF _Toc220490541 \h </w:instrText>
            </w:r>
            <w:r>
              <w:rPr>
                <w:noProof/>
                <w:webHidden/>
              </w:rPr>
            </w:r>
            <w:r>
              <w:rPr>
                <w:noProof/>
                <w:webHidden/>
              </w:rPr>
              <w:fldChar w:fldCharType="separate"/>
            </w:r>
            <w:r>
              <w:rPr>
                <w:noProof/>
                <w:webHidden/>
              </w:rPr>
              <w:t>196</w:t>
            </w:r>
            <w:r>
              <w:rPr>
                <w:noProof/>
                <w:webHidden/>
              </w:rPr>
              <w:fldChar w:fldCharType="end"/>
            </w:r>
          </w:hyperlink>
        </w:p>
        <w:p w14:paraId="0413E325" w14:textId="668216A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42" w:history="1">
            <w:r w:rsidRPr="001D4C20">
              <w:rPr>
                <w:rStyle w:val="Lienhypertexte"/>
                <w:noProof/>
              </w:rPr>
              <w:t>52.22.1a Traitement d'étanchéité aux matières gazeuses par injection CCTB 01.12</w:t>
            </w:r>
            <w:r>
              <w:rPr>
                <w:noProof/>
                <w:webHidden/>
              </w:rPr>
              <w:tab/>
            </w:r>
            <w:r>
              <w:rPr>
                <w:noProof/>
                <w:webHidden/>
              </w:rPr>
              <w:fldChar w:fldCharType="begin"/>
            </w:r>
            <w:r>
              <w:rPr>
                <w:noProof/>
                <w:webHidden/>
              </w:rPr>
              <w:instrText xml:space="preserve"> PAGEREF _Toc220490542 \h </w:instrText>
            </w:r>
            <w:r>
              <w:rPr>
                <w:noProof/>
                <w:webHidden/>
              </w:rPr>
            </w:r>
            <w:r>
              <w:rPr>
                <w:noProof/>
                <w:webHidden/>
              </w:rPr>
              <w:fldChar w:fldCharType="separate"/>
            </w:r>
            <w:r>
              <w:rPr>
                <w:noProof/>
                <w:webHidden/>
              </w:rPr>
              <w:t>197</w:t>
            </w:r>
            <w:r>
              <w:rPr>
                <w:noProof/>
                <w:webHidden/>
              </w:rPr>
              <w:fldChar w:fldCharType="end"/>
            </w:r>
          </w:hyperlink>
        </w:p>
        <w:p w14:paraId="09FDC176" w14:textId="2B867427"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543" w:history="1">
            <w:r w:rsidRPr="001D4C20">
              <w:rPr>
                <w:rStyle w:val="Lienhypertexte"/>
                <w:noProof/>
              </w:rPr>
              <w:t>52.23 Manchons et autres éléments de raccord pour l'étanchéité à l'air CCTB 01.11</w:t>
            </w:r>
            <w:r>
              <w:rPr>
                <w:noProof/>
                <w:webHidden/>
              </w:rPr>
              <w:tab/>
            </w:r>
            <w:r>
              <w:rPr>
                <w:noProof/>
                <w:webHidden/>
              </w:rPr>
              <w:fldChar w:fldCharType="begin"/>
            </w:r>
            <w:r>
              <w:rPr>
                <w:noProof/>
                <w:webHidden/>
              </w:rPr>
              <w:instrText xml:space="preserve"> PAGEREF _Toc220490543 \h </w:instrText>
            </w:r>
            <w:r>
              <w:rPr>
                <w:noProof/>
                <w:webHidden/>
              </w:rPr>
            </w:r>
            <w:r>
              <w:rPr>
                <w:noProof/>
                <w:webHidden/>
              </w:rPr>
              <w:fldChar w:fldCharType="separate"/>
            </w:r>
            <w:r>
              <w:rPr>
                <w:noProof/>
                <w:webHidden/>
              </w:rPr>
              <w:t>199</w:t>
            </w:r>
            <w:r>
              <w:rPr>
                <w:noProof/>
                <w:webHidden/>
              </w:rPr>
              <w:fldChar w:fldCharType="end"/>
            </w:r>
          </w:hyperlink>
        </w:p>
        <w:p w14:paraId="66F37620" w14:textId="3084DE6A"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544" w:history="1">
            <w:r w:rsidRPr="001D4C20">
              <w:rPr>
                <w:rStyle w:val="Lienhypertexte"/>
                <w:noProof/>
              </w:rPr>
              <w:t>52.24 Traitement d'étanchéité aux matières gazeuses CCTB 01.02</w:t>
            </w:r>
            <w:r>
              <w:rPr>
                <w:noProof/>
                <w:webHidden/>
              </w:rPr>
              <w:tab/>
            </w:r>
            <w:r>
              <w:rPr>
                <w:noProof/>
                <w:webHidden/>
              </w:rPr>
              <w:fldChar w:fldCharType="begin"/>
            </w:r>
            <w:r>
              <w:rPr>
                <w:noProof/>
                <w:webHidden/>
              </w:rPr>
              <w:instrText xml:space="preserve"> PAGEREF _Toc220490544 \h </w:instrText>
            </w:r>
            <w:r>
              <w:rPr>
                <w:noProof/>
                <w:webHidden/>
              </w:rPr>
            </w:r>
            <w:r>
              <w:rPr>
                <w:noProof/>
                <w:webHidden/>
              </w:rPr>
              <w:fldChar w:fldCharType="separate"/>
            </w:r>
            <w:r>
              <w:rPr>
                <w:noProof/>
                <w:webHidden/>
              </w:rPr>
              <w:t>202</w:t>
            </w:r>
            <w:r>
              <w:rPr>
                <w:noProof/>
                <w:webHidden/>
              </w:rPr>
              <w:fldChar w:fldCharType="end"/>
            </w:r>
          </w:hyperlink>
        </w:p>
        <w:p w14:paraId="2507948D" w14:textId="064C9451"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45" w:history="1">
            <w:r w:rsidRPr="001D4C20">
              <w:rPr>
                <w:rStyle w:val="Lienhypertexte"/>
                <w:noProof/>
              </w:rPr>
              <w:t>52.24.1 Traitement d'étanchéité aux matières gazeuses par injection CCTB 01.02</w:t>
            </w:r>
            <w:r>
              <w:rPr>
                <w:noProof/>
                <w:webHidden/>
              </w:rPr>
              <w:tab/>
            </w:r>
            <w:r>
              <w:rPr>
                <w:noProof/>
                <w:webHidden/>
              </w:rPr>
              <w:fldChar w:fldCharType="begin"/>
            </w:r>
            <w:r>
              <w:rPr>
                <w:noProof/>
                <w:webHidden/>
              </w:rPr>
              <w:instrText xml:space="preserve"> PAGEREF _Toc220490545 \h </w:instrText>
            </w:r>
            <w:r>
              <w:rPr>
                <w:noProof/>
                <w:webHidden/>
              </w:rPr>
            </w:r>
            <w:r>
              <w:rPr>
                <w:noProof/>
                <w:webHidden/>
              </w:rPr>
              <w:fldChar w:fldCharType="separate"/>
            </w:r>
            <w:r>
              <w:rPr>
                <w:noProof/>
                <w:webHidden/>
              </w:rPr>
              <w:t>202</w:t>
            </w:r>
            <w:r>
              <w:rPr>
                <w:noProof/>
                <w:webHidden/>
              </w:rPr>
              <w:fldChar w:fldCharType="end"/>
            </w:r>
          </w:hyperlink>
        </w:p>
        <w:p w14:paraId="2EDAA06B" w14:textId="0915B05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46" w:history="1">
            <w:r w:rsidRPr="001D4C20">
              <w:rPr>
                <w:rStyle w:val="Lienhypertexte"/>
                <w:noProof/>
              </w:rPr>
              <w:t>52.24.1a Traitement d'étanchéité aux matières gazeuses par injection CCTB 01.02</w:t>
            </w:r>
            <w:r>
              <w:rPr>
                <w:noProof/>
                <w:webHidden/>
              </w:rPr>
              <w:tab/>
            </w:r>
            <w:r>
              <w:rPr>
                <w:noProof/>
                <w:webHidden/>
              </w:rPr>
              <w:fldChar w:fldCharType="begin"/>
            </w:r>
            <w:r>
              <w:rPr>
                <w:noProof/>
                <w:webHidden/>
              </w:rPr>
              <w:instrText xml:space="preserve"> PAGEREF _Toc220490546 \h </w:instrText>
            </w:r>
            <w:r>
              <w:rPr>
                <w:noProof/>
                <w:webHidden/>
              </w:rPr>
            </w:r>
            <w:r>
              <w:rPr>
                <w:noProof/>
                <w:webHidden/>
              </w:rPr>
              <w:fldChar w:fldCharType="separate"/>
            </w:r>
            <w:r>
              <w:rPr>
                <w:noProof/>
                <w:webHidden/>
              </w:rPr>
              <w:t>202</w:t>
            </w:r>
            <w:r>
              <w:rPr>
                <w:noProof/>
                <w:webHidden/>
              </w:rPr>
              <w:fldChar w:fldCharType="end"/>
            </w:r>
          </w:hyperlink>
        </w:p>
        <w:p w14:paraId="1448EF62" w14:textId="360802FF"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547" w:history="1">
            <w:r w:rsidRPr="001D4C20">
              <w:rPr>
                <w:rStyle w:val="Lienhypertexte"/>
                <w:noProof/>
              </w:rPr>
              <w:t>52.3 Etanchéisations particulières CCTB 01.02</w:t>
            </w:r>
            <w:r>
              <w:rPr>
                <w:noProof/>
                <w:webHidden/>
              </w:rPr>
              <w:tab/>
            </w:r>
            <w:r>
              <w:rPr>
                <w:noProof/>
                <w:webHidden/>
              </w:rPr>
              <w:fldChar w:fldCharType="begin"/>
            </w:r>
            <w:r>
              <w:rPr>
                <w:noProof/>
                <w:webHidden/>
              </w:rPr>
              <w:instrText xml:space="preserve"> PAGEREF _Toc220490547 \h </w:instrText>
            </w:r>
            <w:r>
              <w:rPr>
                <w:noProof/>
                <w:webHidden/>
              </w:rPr>
            </w:r>
            <w:r>
              <w:rPr>
                <w:noProof/>
                <w:webHidden/>
              </w:rPr>
              <w:fldChar w:fldCharType="separate"/>
            </w:r>
            <w:r>
              <w:rPr>
                <w:noProof/>
                <w:webHidden/>
              </w:rPr>
              <w:t>202</w:t>
            </w:r>
            <w:r>
              <w:rPr>
                <w:noProof/>
                <w:webHidden/>
              </w:rPr>
              <w:fldChar w:fldCharType="end"/>
            </w:r>
          </w:hyperlink>
        </w:p>
        <w:p w14:paraId="4D143328" w14:textId="655F3586"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548" w:history="1">
            <w:r w:rsidRPr="001D4C20">
              <w:rPr>
                <w:rStyle w:val="Lienhypertexte"/>
                <w:noProof/>
              </w:rPr>
              <w:t>52.31 Etanchéisations particulières - Etanchéisation de joints CCTB 01.02</w:t>
            </w:r>
            <w:r>
              <w:rPr>
                <w:noProof/>
                <w:webHidden/>
              </w:rPr>
              <w:tab/>
            </w:r>
            <w:r>
              <w:rPr>
                <w:noProof/>
                <w:webHidden/>
              </w:rPr>
              <w:fldChar w:fldCharType="begin"/>
            </w:r>
            <w:r>
              <w:rPr>
                <w:noProof/>
                <w:webHidden/>
              </w:rPr>
              <w:instrText xml:space="preserve"> PAGEREF _Toc220490548 \h </w:instrText>
            </w:r>
            <w:r>
              <w:rPr>
                <w:noProof/>
                <w:webHidden/>
              </w:rPr>
            </w:r>
            <w:r>
              <w:rPr>
                <w:noProof/>
                <w:webHidden/>
              </w:rPr>
              <w:fldChar w:fldCharType="separate"/>
            </w:r>
            <w:r>
              <w:rPr>
                <w:noProof/>
                <w:webHidden/>
              </w:rPr>
              <w:t>202</w:t>
            </w:r>
            <w:r>
              <w:rPr>
                <w:noProof/>
                <w:webHidden/>
              </w:rPr>
              <w:fldChar w:fldCharType="end"/>
            </w:r>
          </w:hyperlink>
        </w:p>
        <w:p w14:paraId="1AFB53FC" w14:textId="49D92A1F"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49" w:history="1">
            <w:r w:rsidRPr="001D4C20">
              <w:rPr>
                <w:rStyle w:val="Lienhypertexte"/>
                <w:noProof/>
              </w:rPr>
              <w:t>52.31.1 Etanchéisation de joints CCTB 01.11</w:t>
            </w:r>
            <w:r>
              <w:rPr>
                <w:noProof/>
                <w:webHidden/>
              </w:rPr>
              <w:tab/>
            </w:r>
            <w:r>
              <w:rPr>
                <w:noProof/>
                <w:webHidden/>
              </w:rPr>
              <w:fldChar w:fldCharType="begin"/>
            </w:r>
            <w:r>
              <w:rPr>
                <w:noProof/>
                <w:webHidden/>
              </w:rPr>
              <w:instrText xml:space="preserve"> PAGEREF _Toc220490549 \h </w:instrText>
            </w:r>
            <w:r>
              <w:rPr>
                <w:noProof/>
                <w:webHidden/>
              </w:rPr>
            </w:r>
            <w:r>
              <w:rPr>
                <w:noProof/>
                <w:webHidden/>
              </w:rPr>
              <w:fldChar w:fldCharType="separate"/>
            </w:r>
            <w:r>
              <w:rPr>
                <w:noProof/>
                <w:webHidden/>
              </w:rPr>
              <w:t>202</w:t>
            </w:r>
            <w:r>
              <w:rPr>
                <w:noProof/>
                <w:webHidden/>
              </w:rPr>
              <w:fldChar w:fldCharType="end"/>
            </w:r>
          </w:hyperlink>
        </w:p>
        <w:p w14:paraId="36D1A4D8" w14:textId="2F09114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50" w:history="1">
            <w:r w:rsidRPr="001D4C20">
              <w:rPr>
                <w:rStyle w:val="Lienhypertexte"/>
                <w:noProof/>
              </w:rPr>
              <w:t>52.31.1a Etanchéisation de joints CCTB 01.12</w:t>
            </w:r>
            <w:r>
              <w:rPr>
                <w:noProof/>
                <w:webHidden/>
              </w:rPr>
              <w:tab/>
            </w:r>
            <w:r>
              <w:rPr>
                <w:noProof/>
                <w:webHidden/>
              </w:rPr>
              <w:fldChar w:fldCharType="begin"/>
            </w:r>
            <w:r>
              <w:rPr>
                <w:noProof/>
                <w:webHidden/>
              </w:rPr>
              <w:instrText xml:space="preserve"> PAGEREF _Toc220490550 \h </w:instrText>
            </w:r>
            <w:r>
              <w:rPr>
                <w:noProof/>
                <w:webHidden/>
              </w:rPr>
            </w:r>
            <w:r>
              <w:rPr>
                <w:noProof/>
                <w:webHidden/>
              </w:rPr>
              <w:fldChar w:fldCharType="separate"/>
            </w:r>
            <w:r>
              <w:rPr>
                <w:noProof/>
                <w:webHidden/>
              </w:rPr>
              <w:t>202</w:t>
            </w:r>
            <w:r>
              <w:rPr>
                <w:noProof/>
                <w:webHidden/>
              </w:rPr>
              <w:fldChar w:fldCharType="end"/>
            </w:r>
          </w:hyperlink>
        </w:p>
        <w:p w14:paraId="23ADB216" w14:textId="35FF359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51" w:history="1">
            <w:r w:rsidRPr="001D4C20">
              <w:rPr>
                <w:rStyle w:val="Lienhypertexte"/>
                <w:noProof/>
              </w:rPr>
              <w:t>52.31.1b Mastics résistants au feu CCTB 01.11</w:t>
            </w:r>
            <w:r>
              <w:rPr>
                <w:noProof/>
                <w:webHidden/>
              </w:rPr>
              <w:tab/>
            </w:r>
            <w:r>
              <w:rPr>
                <w:noProof/>
                <w:webHidden/>
              </w:rPr>
              <w:fldChar w:fldCharType="begin"/>
            </w:r>
            <w:r>
              <w:rPr>
                <w:noProof/>
                <w:webHidden/>
              </w:rPr>
              <w:instrText xml:space="preserve"> PAGEREF _Toc220490551 \h </w:instrText>
            </w:r>
            <w:r>
              <w:rPr>
                <w:noProof/>
                <w:webHidden/>
              </w:rPr>
            </w:r>
            <w:r>
              <w:rPr>
                <w:noProof/>
                <w:webHidden/>
              </w:rPr>
              <w:fldChar w:fldCharType="separate"/>
            </w:r>
            <w:r>
              <w:rPr>
                <w:noProof/>
                <w:webHidden/>
              </w:rPr>
              <w:t>205</w:t>
            </w:r>
            <w:r>
              <w:rPr>
                <w:noProof/>
                <w:webHidden/>
              </w:rPr>
              <w:fldChar w:fldCharType="end"/>
            </w:r>
          </w:hyperlink>
        </w:p>
        <w:p w14:paraId="5995B1A2" w14:textId="76B09203"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552" w:history="1">
            <w:r w:rsidRPr="001D4C20">
              <w:rPr>
                <w:rStyle w:val="Lienhypertexte"/>
                <w:noProof/>
              </w:rPr>
              <w:t>52.4 Isolation CCTB 01.08</w:t>
            </w:r>
            <w:r>
              <w:rPr>
                <w:noProof/>
                <w:webHidden/>
              </w:rPr>
              <w:tab/>
            </w:r>
            <w:r>
              <w:rPr>
                <w:noProof/>
                <w:webHidden/>
              </w:rPr>
              <w:fldChar w:fldCharType="begin"/>
            </w:r>
            <w:r>
              <w:rPr>
                <w:noProof/>
                <w:webHidden/>
              </w:rPr>
              <w:instrText xml:space="preserve"> PAGEREF _Toc220490552 \h </w:instrText>
            </w:r>
            <w:r>
              <w:rPr>
                <w:noProof/>
                <w:webHidden/>
              </w:rPr>
            </w:r>
            <w:r>
              <w:rPr>
                <w:noProof/>
                <w:webHidden/>
              </w:rPr>
              <w:fldChar w:fldCharType="separate"/>
            </w:r>
            <w:r>
              <w:rPr>
                <w:noProof/>
                <w:webHidden/>
              </w:rPr>
              <w:t>208</w:t>
            </w:r>
            <w:r>
              <w:rPr>
                <w:noProof/>
                <w:webHidden/>
              </w:rPr>
              <w:fldChar w:fldCharType="end"/>
            </w:r>
          </w:hyperlink>
        </w:p>
        <w:p w14:paraId="5ECC842B" w14:textId="69F4E6EB"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553" w:history="1">
            <w:r w:rsidRPr="001D4C20">
              <w:rPr>
                <w:rStyle w:val="Lienhypertexte"/>
                <w:noProof/>
              </w:rPr>
              <w:t>52.41 Isolation en panneaux CCTB 01.12</w:t>
            </w:r>
            <w:r>
              <w:rPr>
                <w:noProof/>
                <w:webHidden/>
              </w:rPr>
              <w:tab/>
            </w:r>
            <w:r>
              <w:rPr>
                <w:noProof/>
                <w:webHidden/>
              </w:rPr>
              <w:fldChar w:fldCharType="begin"/>
            </w:r>
            <w:r>
              <w:rPr>
                <w:noProof/>
                <w:webHidden/>
              </w:rPr>
              <w:instrText xml:space="preserve"> PAGEREF _Toc220490553 \h </w:instrText>
            </w:r>
            <w:r>
              <w:rPr>
                <w:noProof/>
                <w:webHidden/>
              </w:rPr>
            </w:r>
            <w:r>
              <w:rPr>
                <w:noProof/>
                <w:webHidden/>
              </w:rPr>
              <w:fldChar w:fldCharType="separate"/>
            </w:r>
            <w:r>
              <w:rPr>
                <w:noProof/>
                <w:webHidden/>
              </w:rPr>
              <w:t>209</w:t>
            </w:r>
            <w:r>
              <w:rPr>
                <w:noProof/>
                <w:webHidden/>
              </w:rPr>
              <w:fldChar w:fldCharType="end"/>
            </w:r>
          </w:hyperlink>
        </w:p>
        <w:p w14:paraId="66F74A2C" w14:textId="3CDBEA9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54" w:history="1">
            <w:r w:rsidRPr="001D4C20">
              <w:rPr>
                <w:rStyle w:val="Lienhypertexte"/>
                <w:noProof/>
              </w:rPr>
              <w:t>52.41.1 Isolation en panneaux - matières synthétiques CCTB 01.02</w:t>
            </w:r>
            <w:r>
              <w:rPr>
                <w:noProof/>
                <w:webHidden/>
              </w:rPr>
              <w:tab/>
            </w:r>
            <w:r>
              <w:rPr>
                <w:noProof/>
                <w:webHidden/>
              </w:rPr>
              <w:fldChar w:fldCharType="begin"/>
            </w:r>
            <w:r>
              <w:rPr>
                <w:noProof/>
                <w:webHidden/>
              </w:rPr>
              <w:instrText xml:space="preserve"> PAGEREF _Toc220490554 \h </w:instrText>
            </w:r>
            <w:r>
              <w:rPr>
                <w:noProof/>
                <w:webHidden/>
              </w:rPr>
            </w:r>
            <w:r>
              <w:rPr>
                <w:noProof/>
                <w:webHidden/>
              </w:rPr>
              <w:fldChar w:fldCharType="separate"/>
            </w:r>
            <w:r>
              <w:rPr>
                <w:noProof/>
                <w:webHidden/>
              </w:rPr>
              <w:t>212</w:t>
            </w:r>
            <w:r>
              <w:rPr>
                <w:noProof/>
                <w:webHidden/>
              </w:rPr>
              <w:fldChar w:fldCharType="end"/>
            </w:r>
          </w:hyperlink>
        </w:p>
        <w:p w14:paraId="37E5710C" w14:textId="78006E6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55" w:history="1">
            <w:r w:rsidRPr="001D4C20">
              <w:rPr>
                <w:rStyle w:val="Lienhypertexte"/>
                <w:noProof/>
              </w:rPr>
              <w:t>52.41.1a Isolation en panneaux - polystyrène extrudé (XPS) CCTB 01.02</w:t>
            </w:r>
            <w:r>
              <w:rPr>
                <w:noProof/>
                <w:webHidden/>
              </w:rPr>
              <w:tab/>
            </w:r>
            <w:r>
              <w:rPr>
                <w:noProof/>
                <w:webHidden/>
              </w:rPr>
              <w:fldChar w:fldCharType="begin"/>
            </w:r>
            <w:r>
              <w:rPr>
                <w:noProof/>
                <w:webHidden/>
              </w:rPr>
              <w:instrText xml:space="preserve"> PAGEREF _Toc220490555 \h </w:instrText>
            </w:r>
            <w:r>
              <w:rPr>
                <w:noProof/>
                <w:webHidden/>
              </w:rPr>
            </w:r>
            <w:r>
              <w:rPr>
                <w:noProof/>
                <w:webHidden/>
              </w:rPr>
              <w:fldChar w:fldCharType="separate"/>
            </w:r>
            <w:r>
              <w:rPr>
                <w:noProof/>
                <w:webHidden/>
              </w:rPr>
              <w:t>212</w:t>
            </w:r>
            <w:r>
              <w:rPr>
                <w:noProof/>
                <w:webHidden/>
              </w:rPr>
              <w:fldChar w:fldCharType="end"/>
            </w:r>
          </w:hyperlink>
        </w:p>
        <w:p w14:paraId="782EA4E2" w14:textId="418366F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56" w:history="1">
            <w:r w:rsidRPr="001D4C20">
              <w:rPr>
                <w:rStyle w:val="Lienhypertexte"/>
                <w:noProof/>
              </w:rPr>
              <w:t>52.41.1b Isolation en panneaux - polystyrène expansé (EPS / EPS HD) CCTB 01.07</w:t>
            </w:r>
            <w:r>
              <w:rPr>
                <w:noProof/>
                <w:webHidden/>
              </w:rPr>
              <w:tab/>
            </w:r>
            <w:r>
              <w:rPr>
                <w:noProof/>
                <w:webHidden/>
              </w:rPr>
              <w:fldChar w:fldCharType="begin"/>
            </w:r>
            <w:r>
              <w:rPr>
                <w:noProof/>
                <w:webHidden/>
              </w:rPr>
              <w:instrText xml:space="preserve"> PAGEREF _Toc220490556 \h </w:instrText>
            </w:r>
            <w:r>
              <w:rPr>
                <w:noProof/>
                <w:webHidden/>
              </w:rPr>
            </w:r>
            <w:r>
              <w:rPr>
                <w:noProof/>
                <w:webHidden/>
              </w:rPr>
              <w:fldChar w:fldCharType="separate"/>
            </w:r>
            <w:r>
              <w:rPr>
                <w:noProof/>
                <w:webHidden/>
              </w:rPr>
              <w:t>213</w:t>
            </w:r>
            <w:r>
              <w:rPr>
                <w:noProof/>
                <w:webHidden/>
              </w:rPr>
              <w:fldChar w:fldCharType="end"/>
            </w:r>
          </w:hyperlink>
        </w:p>
        <w:p w14:paraId="307875E7" w14:textId="5873FB7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57" w:history="1">
            <w:r w:rsidRPr="001D4C20">
              <w:rPr>
                <w:rStyle w:val="Lienhypertexte"/>
                <w:noProof/>
              </w:rPr>
              <w:t>52.41.1c (titre réservé) CCTB 01.02</w:t>
            </w:r>
            <w:r>
              <w:rPr>
                <w:noProof/>
                <w:webHidden/>
              </w:rPr>
              <w:tab/>
            </w:r>
            <w:r>
              <w:rPr>
                <w:noProof/>
                <w:webHidden/>
              </w:rPr>
              <w:fldChar w:fldCharType="begin"/>
            </w:r>
            <w:r>
              <w:rPr>
                <w:noProof/>
                <w:webHidden/>
              </w:rPr>
              <w:instrText xml:space="preserve"> PAGEREF _Toc220490557 \h </w:instrText>
            </w:r>
            <w:r>
              <w:rPr>
                <w:noProof/>
                <w:webHidden/>
              </w:rPr>
            </w:r>
            <w:r>
              <w:rPr>
                <w:noProof/>
                <w:webHidden/>
              </w:rPr>
              <w:fldChar w:fldCharType="separate"/>
            </w:r>
            <w:r>
              <w:rPr>
                <w:noProof/>
                <w:webHidden/>
              </w:rPr>
              <w:t>214</w:t>
            </w:r>
            <w:r>
              <w:rPr>
                <w:noProof/>
                <w:webHidden/>
              </w:rPr>
              <w:fldChar w:fldCharType="end"/>
            </w:r>
          </w:hyperlink>
        </w:p>
        <w:p w14:paraId="184FE5E1" w14:textId="6B4F14C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58" w:history="1">
            <w:r w:rsidRPr="001D4C20">
              <w:rPr>
                <w:rStyle w:val="Lienhypertexte"/>
                <w:noProof/>
              </w:rPr>
              <w:t>52.41.1d Isolation en panneaux - polyuréthane (PUR) CCTB 01.12</w:t>
            </w:r>
            <w:r>
              <w:rPr>
                <w:noProof/>
                <w:webHidden/>
              </w:rPr>
              <w:tab/>
            </w:r>
            <w:r>
              <w:rPr>
                <w:noProof/>
                <w:webHidden/>
              </w:rPr>
              <w:fldChar w:fldCharType="begin"/>
            </w:r>
            <w:r>
              <w:rPr>
                <w:noProof/>
                <w:webHidden/>
              </w:rPr>
              <w:instrText xml:space="preserve"> PAGEREF _Toc220490558 \h </w:instrText>
            </w:r>
            <w:r>
              <w:rPr>
                <w:noProof/>
                <w:webHidden/>
              </w:rPr>
            </w:r>
            <w:r>
              <w:rPr>
                <w:noProof/>
                <w:webHidden/>
              </w:rPr>
              <w:fldChar w:fldCharType="separate"/>
            </w:r>
            <w:r>
              <w:rPr>
                <w:noProof/>
                <w:webHidden/>
              </w:rPr>
              <w:t>214</w:t>
            </w:r>
            <w:r>
              <w:rPr>
                <w:noProof/>
                <w:webHidden/>
              </w:rPr>
              <w:fldChar w:fldCharType="end"/>
            </w:r>
          </w:hyperlink>
        </w:p>
        <w:p w14:paraId="4C329CBD" w14:textId="4E4E0E6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59" w:history="1">
            <w:r w:rsidRPr="001D4C20">
              <w:rPr>
                <w:rStyle w:val="Lienhypertexte"/>
                <w:noProof/>
              </w:rPr>
              <w:t>52.41.1e Isolation en panneaux - polyisocyanurate (PIR) CCTB 01.02</w:t>
            </w:r>
            <w:r>
              <w:rPr>
                <w:noProof/>
                <w:webHidden/>
              </w:rPr>
              <w:tab/>
            </w:r>
            <w:r>
              <w:rPr>
                <w:noProof/>
                <w:webHidden/>
              </w:rPr>
              <w:fldChar w:fldCharType="begin"/>
            </w:r>
            <w:r>
              <w:rPr>
                <w:noProof/>
                <w:webHidden/>
              </w:rPr>
              <w:instrText xml:space="preserve"> PAGEREF _Toc220490559 \h </w:instrText>
            </w:r>
            <w:r>
              <w:rPr>
                <w:noProof/>
                <w:webHidden/>
              </w:rPr>
            </w:r>
            <w:r>
              <w:rPr>
                <w:noProof/>
                <w:webHidden/>
              </w:rPr>
              <w:fldChar w:fldCharType="separate"/>
            </w:r>
            <w:r>
              <w:rPr>
                <w:noProof/>
                <w:webHidden/>
              </w:rPr>
              <w:t>216</w:t>
            </w:r>
            <w:r>
              <w:rPr>
                <w:noProof/>
                <w:webHidden/>
              </w:rPr>
              <w:fldChar w:fldCharType="end"/>
            </w:r>
          </w:hyperlink>
        </w:p>
        <w:p w14:paraId="4CB3DABF" w14:textId="11D82B8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60" w:history="1">
            <w:r w:rsidRPr="001D4C20">
              <w:rPr>
                <w:rStyle w:val="Lienhypertexte"/>
                <w:noProof/>
              </w:rPr>
              <w:t>52.41.1f (titre réservé) CCTB 01.02</w:t>
            </w:r>
            <w:r>
              <w:rPr>
                <w:noProof/>
                <w:webHidden/>
              </w:rPr>
              <w:tab/>
            </w:r>
            <w:r>
              <w:rPr>
                <w:noProof/>
                <w:webHidden/>
              </w:rPr>
              <w:fldChar w:fldCharType="begin"/>
            </w:r>
            <w:r>
              <w:rPr>
                <w:noProof/>
                <w:webHidden/>
              </w:rPr>
              <w:instrText xml:space="preserve"> PAGEREF _Toc220490560 \h </w:instrText>
            </w:r>
            <w:r>
              <w:rPr>
                <w:noProof/>
                <w:webHidden/>
              </w:rPr>
            </w:r>
            <w:r>
              <w:rPr>
                <w:noProof/>
                <w:webHidden/>
              </w:rPr>
              <w:fldChar w:fldCharType="separate"/>
            </w:r>
            <w:r>
              <w:rPr>
                <w:noProof/>
                <w:webHidden/>
              </w:rPr>
              <w:t>217</w:t>
            </w:r>
            <w:r>
              <w:rPr>
                <w:noProof/>
                <w:webHidden/>
              </w:rPr>
              <w:fldChar w:fldCharType="end"/>
            </w:r>
          </w:hyperlink>
        </w:p>
        <w:p w14:paraId="2ADBB44B" w14:textId="6423C04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61" w:history="1">
            <w:r w:rsidRPr="001D4C20">
              <w:rPr>
                <w:rStyle w:val="Lienhypertexte"/>
                <w:noProof/>
              </w:rPr>
              <w:t>52.41.1g (titre réservé) CCTB 01.02</w:t>
            </w:r>
            <w:r>
              <w:rPr>
                <w:noProof/>
                <w:webHidden/>
              </w:rPr>
              <w:tab/>
            </w:r>
            <w:r>
              <w:rPr>
                <w:noProof/>
                <w:webHidden/>
              </w:rPr>
              <w:fldChar w:fldCharType="begin"/>
            </w:r>
            <w:r>
              <w:rPr>
                <w:noProof/>
                <w:webHidden/>
              </w:rPr>
              <w:instrText xml:space="preserve"> PAGEREF _Toc220490561 \h </w:instrText>
            </w:r>
            <w:r>
              <w:rPr>
                <w:noProof/>
                <w:webHidden/>
              </w:rPr>
            </w:r>
            <w:r>
              <w:rPr>
                <w:noProof/>
                <w:webHidden/>
              </w:rPr>
              <w:fldChar w:fldCharType="separate"/>
            </w:r>
            <w:r>
              <w:rPr>
                <w:noProof/>
                <w:webHidden/>
              </w:rPr>
              <w:t>217</w:t>
            </w:r>
            <w:r>
              <w:rPr>
                <w:noProof/>
                <w:webHidden/>
              </w:rPr>
              <w:fldChar w:fldCharType="end"/>
            </w:r>
          </w:hyperlink>
        </w:p>
        <w:p w14:paraId="49A07218" w14:textId="2BE37F8B"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62" w:history="1">
            <w:r w:rsidRPr="001D4C20">
              <w:rPr>
                <w:rStyle w:val="Lienhypertexte"/>
                <w:noProof/>
              </w:rPr>
              <w:t>52.41.2 Isolation en panneaux - matières minérales CCTB 01.02</w:t>
            </w:r>
            <w:r>
              <w:rPr>
                <w:noProof/>
                <w:webHidden/>
              </w:rPr>
              <w:tab/>
            </w:r>
            <w:r>
              <w:rPr>
                <w:noProof/>
                <w:webHidden/>
              </w:rPr>
              <w:fldChar w:fldCharType="begin"/>
            </w:r>
            <w:r>
              <w:rPr>
                <w:noProof/>
                <w:webHidden/>
              </w:rPr>
              <w:instrText xml:space="preserve"> PAGEREF _Toc220490562 \h </w:instrText>
            </w:r>
            <w:r>
              <w:rPr>
                <w:noProof/>
                <w:webHidden/>
              </w:rPr>
            </w:r>
            <w:r>
              <w:rPr>
                <w:noProof/>
                <w:webHidden/>
              </w:rPr>
              <w:fldChar w:fldCharType="separate"/>
            </w:r>
            <w:r>
              <w:rPr>
                <w:noProof/>
                <w:webHidden/>
              </w:rPr>
              <w:t>217</w:t>
            </w:r>
            <w:r>
              <w:rPr>
                <w:noProof/>
                <w:webHidden/>
              </w:rPr>
              <w:fldChar w:fldCharType="end"/>
            </w:r>
          </w:hyperlink>
        </w:p>
        <w:p w14:paraId="2B45DC2F" w14:textId="22073C5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63" w:history="1">
            <w:r w:rsidRPr="001D4C20">
              <w:rPr>
                <w:rStyle w:val="Lienhypertexte"/>
                <w:noProof/>
              </w:rPr>
              <w:t>52.41.2a Isolation en panneaux - laine minérale (MW) CCTB 01.12</w:t>
            </w:r>
            <w:r>
              <w:rPr>
                <w:noProof/>
                <w:webHidden/>
              </w:rPr>
              <w:tab/>
            </w:r>
            <w:r>
              <w:rPr>
                <w:noProof/>
                <w:webHidden/>
              </w:rPr>
              <w:fldChar w:fldCharType="begin"/>
            </w:r>
            <w:r>
              <w:rPr>
                <w:noProof/>
                <w:webHidden/>
              </w:rPr>
              <w:instrText xml:space="preserve"> PAGEREF _Toc220490563 \h </w:instrText>
            </w:r>
            <w:r>
              <w:rPr>
                <w:noProof/>
                <w:webHidden/>
              </w:rPr>
            </w:r>
            <w:r>
              <w:rPr>
                <w:noProof/>
                <w:webHidden/>
              </w:rPr>
              <w:fldChar w:fldCharType="separate"/>
            </w:r>
            <w:r>
              <w:rPr>
                <w:noProof/>
                <w:webHidden/>
              </w:rPr>
              <w:t>217</w:t>
            </w:r>
            <w:r>
              <w:rPr>
                <w:noProof/>
                <w:webHidden/>
              </w:rPr>
              <w:fldChar w:fldCharType="end"/>
            </w:r>
          </w:hyperlink>
        </w:p>
        <w:p w14:paraId="321CCC45" w14:textId="318FFB0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64" w:history="1">
            <w:r w:rsidRPr="001D4C20">
              <w:rPr>
                <w:rStyle w:val="Lienhypertexte"/>
                <w:noProof/>
              </w:rPr>
              <w:t>52.41.2b Isolation en panneaux - verre cellulaire (CG) CCTB 01.10</w:t>
            </w:r>
            <w:r>
              <w:rPr>
                <w:noProof/>
                <w:webHidden/>
              </w:rPr>
              <w:tab/>
            </w:r>
            <w:r>
              <w:rPr>
                <w:noProof/>
                <w:webHidden/>
              </w:rPr>
              <w:fldChar w:fldCharType="begin"/>
            </w:r>
            <w:r>
              <w:rPr>
                <w:noProof/>
                <w:webHidden/>
              </w:rPr>
              <w:instrText xml:space="preserve"> PAGEREF _Toc220490564 \h </w:instrText>
            </w:r>
            <w:r>
              <w:rPr>
                <w:noProof/>
                <w:webHidden/>
              </w:rPr>
            </w:r>
            <w:r>
              <w:rPr>
                <w:noProof/>
                <w:webHidden/>
              </w:rPr>
              <w:fldChar w:fldCharType="separate"/>
            </w:r>
            <w:r>
              <w:rPr>
                <w:noProof/>
                <w:webHidden/>
              </w:rPr>
              <w:t>220</w:t>
            </w:r>
            <w:r>
              <w:rPr>
                <w:noProof/>
                <w:webHidden/>
              </w:rPr>
              <w:fldChar w:fldCharType="end"/>
            </w:r>
          </w:hyperlink>
        </w:p>
        <w:p w14:paraId="15D53AB3" w14:textId="509A269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65" w:history="1">
            <w:r w:rsidRPr="001D4C20">
              <w:rPr>
                <w:rStyle w:val="Lienhypertexte"/>
                <w:noProof/>
              </w:rPr>
              <w:t>52.41.2c Isolation en panneaux - perlite expansée (EPB) CCTB 01.07</w:t>
            </w:r>
            <w:r>
              <w:rPr>
                <w:noProof/>
                <w:webHidden/>
              </w:rPr>
              <w:tab/>
            </w:r>
            <w:r>
              <w:rPr>
                <w:noProof/>
                <w:webHidden/>
              </w:rPr>
              <w:fldChar w:fldCharType="begin"/>
            </w:r>
            <w:r>
              <w:rPr>
                <w:noProof/>
                <w:webHidden/>
              </w:rPr>
              <w:instrText xml:space="preserve"> PAGEREF _Toc220490565 \h </w:instrText>
            </w:r>
            <w:r>
              <w:rPr>
                <w:noProof/>
                <w:webHidden/>
              </w:rPr>
            </w:r>
            <w:r>
              <w:rPr>
                <w:noProof/>
                <w:webHidden/>
              </w:rPr>
              <w:fldChar w:fldCharType="separate"/>
            </w:r>
            <w:r>
              <w:rPr>
                <w:noProof/>
                <w:webHidden/>
              </w:rPr>
              <w:t>222</w:t>
            </w:r>
            <w:r>
              <w:rPr>
                <w:noProof/>
                <w:webHidden/>
              </w:rPr>
              <w:fldChar w:fldCharType="end"/>
            </w:r>
          </w:hyperlink>
        </w:p>
        <w:p w14:paraId="3039B161" w14:textId="395FCF0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66" w:history="1">
            <w:r w:rsidRPr="001D4C20">
              <w:rPr>
                <w:rStyle w:val="Lienhypertexte"/>
                <w:noProof/>
              </w:rPr>
              <w:t>52.41.2d (titre réservé) CCTB 01.02</w:t>
            </w:r>
            <w:r>
              <w:rPr>
                <w:noProof/>
                <w:webHidden/>
              </w:rPr>
              <w:tab/>
            </w:r>
            <w:r>
              <w:rPr>
                <w:noProof/>
                <w:webHidden/>
              </w:rPr>
              <w:fldChar w:fldCharType="begin"/>
            </w:r>
            <w:r>
              <w:rPr>
                <w:noProof/>
                <w:webHidden/>
              </w:rPr>
              <w:instrText xml:space="preserve"> PAGEREF _Toc220490566 \h </w:instrText>
            </w:r>
            <w:r>
              <w:rPr>
                <w:noProof/>
                <w:webHidden/>
              </w:rPr>
            </w:r>
            <w:r>
              <w:rPr>
                <w:noProof/>
                <w:webHidden/>
              </w:rPr>
              <w:fldChar w:fldCharType="separate"/>
            </w:r>
            <w:r>
              <w:rPr>
                <w:noProof/>
                <w:webHidden/>
              </w:rPr>
              <w:t>222</w:t>
            </w:r>
            <w:r>
              <w:rPr>
                <w:noProof/>
                <w:webHidden/>
              </w:rPr>
              <w:fldChar w:fldCharType="end"/>
            </w:r>
          </w:hyperlink>
        </w:p>
        <w:p w14:paraId="3056B39A" w14:textId="3459445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67" w:history="1">
            <w:r w:rsidRPr="001D4C20">
              <w:rPr>
                <w:rStyle w:val="Lienhypertexte"/>
                <w:noProof/>
              </w:rPr>
              <w:t>52.41.2e Isolation en panneaux - plâtre armé de fibres de verre CCTB 01.02</w:t>
            </w:r>
            <w:r>
              <w:rPr>
                <w:noProof/>
                <w:webHidden/>
              </w:rPr>
              <w:tab/>
            </w:r>
            <w:r>
              <w:rPr>
                <w:noProof/>
                <w:webHidden/>
              </w:rPr>
              <w:fldChar w:fldCharType="begin"/>
            </w:r>
            <w:r>
              <w:rPr>
                <w:noProof/>
                <w:webHidden/>
              </w:rPr>
              <w:instrText xml:space="preserve"> PAGEREF _Toc220490567 \h </w:instrText>
            </w:r>
            <w:r>
              <w:rPr>
                <w:noProof/>
                <w:webHidden/>
              </w:rPr>
            </w:r>
            <w:r>
              <w:rPr>
                <w:noProof/>
                <w:webHidden/>
              </w:rPr>
              <w:fldChar w:fldCharType="separate"/>
            </w:r>
            <w:r>
              <w:rPr>
                <w:noProof/>
                <w:webHidden/>
              </w:rPr>
              <w:t>222</w:t>
            </w:r>
            <w:r>
              <w:rPr>
                <w:noProof/>
                <w:webHidden/>
              </w:rPr>
              <w:fldChar w:fldCharType="end"/>
            </w:r>
          </w:hyperlink>
        </w:p>
        <w:p w14:paraId="0934DADD" w14:textId="6196C25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68" w:history="1">
            <w:r w:rsidRPr="001D4C20">
              <w:rPr>
                <w:rStyle w:val="Lienhypertexte"/>
                <w:noProof/>
              </w:rPr>
              <w:t>52.41.2f Isolation en panneaux - à base de plâtre CCTB 01.02</w:t>
            </w:r>
            <w:r>
              <w:rPr>
                <w:noProof/>
                <w:webHidden/>
              </w:rPr>
              <w:tab/>
            </w:r>
            <w:r>
              <w:rPr>
                <w:noProof/>
                <w:webHidden/>
              </w:rPr>
              <w:fldChar w:fldCharType="begin"/>
            </w:r>
            <w:r>
              <w:rPr>
                <w:noProof/>
                <w:webHidden/>
              </w:rPr>
              <w:instrText xml:space="preserve"> PAGEREF _Toc220490568 \h </w:instrText>
            </w:r>
            <w:r>
              <w:rPr>
                <w:noProof/>
                <w:webHidden/>
              </w:rPr>
            </w:r>
            <w:r>
              <w:rPr>
                <w:noProof/>
                <w:webHidden/>
              </w:rPr>
              <w:fldChar w:fldCharType="separate"/>
            </w:r>
            <w:r>
              <w:rPr>
                <w:noProof/>
                <w:webHidden/>
              </w:rPr>
              <w:t>222</w:t>
            </w:r>
            <w:r>
              <w:rPr>
                <w:noProof/>
                <w:webHidden/>
              </w:rPr>
              <w:fldChar w:fldCharType="end"/>
            </w:r>
          </w:hyperlink>
        </w:p>
        <w:p w14:paraId="4BBD0170" w14:textId="665C620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69" w:history="1">
            <w:r w:rsidRPr="001D4C20">
              <w:rPr>
                <w:rStyle w:val="Lienhypertexte"/>
                <w:noProof/>
              </w:rPr>
              <w:t>52.41.2g Isolation en panneaux - à base de silico-calcaire CCTB 01.02</w:t>
            </w:r>
            <w:r>
              <w:rPr>
                <w:noProof/>
                <w:webHidden/>
              </w:rPr>
              <w:tab/>
            </w:r>
            <w:r>
              <w:rPr>
                <w:noProof/>
                <w:webHidden/>
              </w:rPr>
              <w:fldChar w:fldCharType="begin"/>
            </w:r>
            <w:r>
              <w:rPr>
                <w:noProof/>
                <w:webHidden/>
              </w:rPr>
              <w:instrText xml:space="preserve"> PAGEREF _Toc220490569 \h </w:instrText>
            </w:r>
            <w:r>
              <w:rPr>
                <w:noProof/>
                <w:webHidden/>
              </w:rPr>
            </w:r>
            <w:r>
              <w:rPr>
                <w:noProof/>
                <w:webHidden/>
              </w:rPr>
              <w:fldChar w:fldCharType="separate"/>
            </w:r>
            <w:r>
              <w:rPr>
                <w:noProof/>
                <w:webHidden/>
              </w:rPr>
              <w:t>222</w:t>
            </w:r>
            <w:r>
              <w:rPr>
                <w:noProof/>
                <w:webHidden/>
              </w:rPr>
              <w:fldChar w:fldCharType="end"/>
            </w:r>
          </w:hyperlink>
        </w:p>
        <w:p w14:paraId="2CED0586" w14:textId="404EC79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70" w:history="1">
            <w:r w:rsidRPr="001D4C20">
              <w:rPr>
                <w:rStyle w:val="Lienhypertexte"/>
                <w:noProof/>
              </w:rPr>
              <w:t>52.41.2h Isolation en panneaux - barrière acoustique - matières minérales CCTB 01.12</w:t>
            </w:r>
            <w:r>
              <w:rPr>
                <w:noProof/>
                <w:webHidden/>
              </w:rPr>
              <w:tab/>
            </w:r>
            <w:r>
              <w:rPr>
                <w:noProof/>
                <w:webHidden/>
              </w:rPr>
              <w:fldChar w:fldCharType="begin"/>
            </w:r>
            <w:r>
              <w:rPr>
                <w:noProof/>
                <w:webHidden/>
              </w:rPr>
              <w:instrText xml:space="preserve"> PAGEREF _Toc220490570 \h </w:instrText>
            </w:r>
            <w:r>
              <w:rPr>
                <w:noProof/>
                <w:webHidden/>
              </w:rPr>
            </w:r>
            <w:r>
              <w:rPr>
                <w:noProof/>
                <w:webHidden/>
              </w:rPr>
              <w:fldChar w:fldCharType="separate"/>
            </w:r>
            <w:r>
              <w:rPr>
                <w:noProof/>
                <w:webHidden/>
              </w:rPr>
              <w:t>222</w:t>
            </w:r>
            <w:r>
              <w:rPr>
                <w:noProof/>
                <w:webHidden/>
              </w:rPr>
              <w:fldChar w:fldCharType="end"/>
            </w:r>
          </w:hyperlink>
        </w:p>
        <w:p w14:paraId="1BF9A55F" w14:textId="31213C27"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71" w:history="1">
            <w:r w:rsidRPr="001D4C20">
              <w:rPr>
                <w:rStyle w:val="Lienhypertexte"/>
                <w:noProof/>
              </w:rPr>
              <w:t>52.41.3 Isolation en panneaux - matières végétales CCTB 01.07</w:t>
            </w:r>
            <w:r>
              <w:rPr>
                <w:noProof/>
                <w:webHidden/>
              </w:rPr>
              <w:tab/>
            </w:r>
            <w:r>
              <w:rPr>
                <w:noProof/>
                <w:webHidden/>
              </w:rPr>
              <w:fldChar w:fldCharType="begin"/>
            </w:r>
            <w:r>
              <w:rPr>
                <w:noProof/>
                <w:webHidden/>
              </w:rPr>
              <w:instrText xml:space="preserve"> PAGEREF _Toc220490571 \h </w:instrText>
            </w:r>
            <w:r>
              <w:rPr>
                <w:noProof/>
                <w:webHidden/>
              </w:rPr>
            </w:r>
            <w:r>
              <w:rPr>
                <w:noProof/>
                <w:webHidden/>
              </w:rPr>
              <w:fldChar w:fldCharType="separate"/>
            </w:r>
            <w:r>
              <w:rPr>
                <w:noProof/>
                <w:webHidden/>
              </w:rPr>
              <w:t>225</w:t>
            </w:r>
            <w:r>
              <w:rPr>
                <w:noProof/>
                <w:webHidden/>
              </w:rPr>
              <w:fldChar w:fldCharType="end"/>
            </w:r>
          </w:hyperlink>
        </w:p>
        <w:p w14:paraId="5349F01F" w14:textId="15605EA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72" w:history="1">
            <w:r w:rsidRPr="001D4C20">
              <w:rPr>
                <w:rStyle w:val="Lienhypertexte"/>
                <w:noProof/>
              </w:rPr>
              <w:t>52.41.3a Isolation en panneaux - liège expansé (ICB) CCTB 01.07</w:t>
            </w:r>
            <w:r>
              <w:rPr>
                <w:noProof/>
                <w:webHidden/>
              </w:rPr>
              <w:tab/>
            </w:r>
            <w:r>
              <w:rPr>
                <w:noProof/>
                <w:webHidden/>
              </w:rPr>
              <w:fldChar w:fldCharType="begin"/>
            </w:r>
            <w:r>
              <w:rPr>
                <w:noProof/>
                <w:webHidden/>
              </w:rPr>
              <w:instrText xml:space="preserve"> PAGEREF _Toc220490572 \h </w:instrText>
            </w:r>
            <w:r>
              <w:rPr>
                <w:noProof/>
                <w:webHidden/>
              </w:rPr>
            </w:r>
            <w:r>
              <w:rPr>
                <w:noProof/>
                <w:webHidden/>
              </w:rPr>
              <w:fldChar w:fldCharType="separate"/>
            </w:r>
            <w:r>
              <w:rPr>
                <w:noProof/>
                <w:webHidden/>
              </w:rPr>
              <w:t>225</w:t>
            </w:r>
            <w:r>
              <w:rPr>
                <w:noProof/>
                <w:webHidden/>
              </w:rPr>
              <w:fldChar w:fldCharType="end"/>
            </w:r>
          </w:hyperlink>
        </w:p>
        <w:p w14:paraId="568DC175" w14:textId="2604A87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73" w:history="1">
            <w:r w:rsidRPr="001D4C20">
              <w:rPr>
                <w:rStyle w:val="Lienhypertexte"/>
                <w:noProof/>
              </w:rPr>
              <w:t>52.41.3b Isolation en panneaux - laine de bois (WW) CCTB 01.12</w:t>
            </w:r>
            <w:r>
              <w:rPr>
                <w:noProof/>
                <w:webHidden/>
              </w:rPr>
              <w:tab/>
            </w:r>
            <w:r>
              <w:rPr>
                <w:noProof/>
                <w:webHidden/>
              </w:rPr>
              <w:fldChar w:fldCharType="begin"/>
            </w:r>
            <w:r>
              <w:rPr>
                <w:noProof/>
                <w:webHidden/>
              </w:rPr>
              <w:instrText xml:space="preserve"> PAGEREF _Toc220490573 \h </w:instrText>
            </w:r>
            <w:r>
              <w:rPr>
                <w:noProof/>
                <w:webHidden/>
              </w:rPr>
            </w:r>
            <w:r>
              <w:rPr>
                <w:noProof/>
                <w:webHidden/>
              </w:rPr>
              <w:fldChar w:fldCharType="separate"/>
            </w:r>
            <w:r>
              <w:rPr>
                <w:noProof/>
                <w:webHidden/>
              </w:rPr>
              <w:t>226</w:t>
            </w:r>
            <w:r>
              <w:rPr>
                <w:noProof/>
                <w:webHidden/>
              </w:rPr>
              <w:fldChar w:fldCharType="end"/>
            </w:r>
          </w:hyperlink>
        </w:p>
        <w:p w14:paraId="17438A6F" w14:textId="37A806D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74" w:history="1">
            <w:r w:rsidRPr="001D4C20">
              <w:rPr>
                <w:rStyle w:val="Lienhypertexte"/>
                <w:noProof/>
              </w:rPr>
              <w:t>52.41.3c Isolation en panneaux - fibres de bois (WF) CCTB 01.10</w:t>
            </w:r>
            <w:r>
              <w:rPr>
                <w:noProof/>
                <w:webHidden/>
              </w:rPr>
              <w:tab/>
            </w:r>
            <w:r>
              <w:rPr>
                <w:noProof/>
                <w:webHidden/>
              </w:rPr>
              <w:fldChar w:fldCharType="begin"/>
            </w:r>
            <w:r>
              <w:rPr>
                <w:noProof/>
                <w:webHidden/>
              </w:rPr>
              <w:instrText xml:space="preserve"> PAGEREF _Toc220490574 \h </w:instrText>
            </w:r>
            <w:r>
              <w:rPr>
                <w:noProof/>
                <w:webHidden/>
              </w:rPr>
            </w:r>
            <w:r>
              <w:rPr>
                <w:noProof/>
                <w:webHidden/>
              </w:rPr>
              <w:fldChar w:fldCharType="separate"/>
            </w:r>
            <w:r>
              <w:rPr>
                <w:noProof/>
                <w:webHidden/>
              </w:rPr>
              <w:t>227</w:t>
            </w:r>
            <w:r>
              <w:rPr>
                <w:noProof/>
                <w:webHidden/>
              </w:rPr>
              <w:fldChar w:fldCharType="end"/>
            </w:r>
          </w:hyperlink>
        </w:p>
        <w:p w14:paraId="15229181" w14:textId="7180022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75" w:history="1">
            <w:r w:rsidRPr="001D4C20">
              <w:rPr>
                <w:rStyle w:val="Lienhypertexte"/>
                <w:noProof/>
              </w:rPr>
              <w:t>52.41.3d Isolation en panneaux - cellulose CCTB 01.07</w:t>
            </w:r>
            <w:r>
              <w:rPr>
                <w:noProof/>
                <w:webHidden/>
              </w:rPr>
              <w:tab/>
            </w:r>
            <w:r>
              <w:rPr>
                <w:noProof/>
                <w:webHidden/>
              </w:rPr>
              <w:fldChar w:fldCharType="begin"/>
            </w:r>
            <w:r>
              <w:rPr>
                <w:noProof/>
                <w:webHidden/>
              </w:rPr>
              <w:instrText xml:space="preserve"> PAGEREF _Toc220490575 \h </w:instrText>
            </w:r>
            <w:r>
              <w:rPr>
                <w:noProof/>
                <w:webHidden/>
              </w:rPr>
            </w:r>
            <w:r>
              <w:rPr>
                <w:noProof/>
                <w:webHidden/>
              </w:rPr>
              <w:fldChar w:fldCharType="separate"/>
            </w:r>
            <w:r>
              <w:rPr>
                <w:noProof/>
                <w:webHidden/>
              </w:rPr>
              <w:t>227</w:t>
            </w:r>
            <w:r>
              <w:rPr>
                <w:noProof/>
                <w:webHidden/>
              </w:rPr>
              <w:fldChar w:fldCharType="end"/>
            </w:r>
          </w:hyperlink>
        </w:p>
        <w:p w14:paraId="6A34B8C9" w14:textId="7CD0E72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76" w:history="1">
            <w:r w:rsidRPr="001D4C20">
              <w:rPr>
                <w:rStyle w:val="Lienhypertexte"/>
                <w:noProof/>
              </w:rPr>
              <w:t>52.41.3e Isolation en panneaux - laine de chanvre CCTB 01.12</w:t>
            </w:r>
            <w:r>
              <w:rPr>
                <w:noProof/>
                <w:webHidden/>
              </w:rPr>
              <w:tab/>
            </w:r>
            <w:r>
              <w:rPr>
                <w:noProof/>
                <w:webHidden/>
              </w:rPr>
              <w:fldChar w:fldCharType="begin"/>
            </w:r>
            <w:r>
              <w:rPr>
                <w:noProof/>
                <w:webHidden/>
              </w:rPr>
              <w:instrText xml:space="preserve"> PAGEREF _Toc220490576 \h </w:instrText>
            </w:r>
            <w:r>
              <w:rPr>
                <w:noProof/>
                <w:webHidden/>
              </w:rPr>
            </w:r>
            <w:r>
              <w:rPr>
                <w:noProof/>
                <w:webHidden/>
              </w:rPr>
              <w:fldChar w:fldCharType="separate"/>
            </w:r>
            <w:r>
              <w:rPr>
                <w:noProof/>
                <w:webHidden/>
              </w:rPr>
              <w:t>228</w:t>
            </w:r>
            <w:r>
              <w:rPr>
                <w:noProof/>
                <w:webHidden/>
              </w:rPr>
              <w:fldChar w:fldCharType="end"/>
            </w:r>
          </w:hyperlink>
        </w:p>
        <w:p w14:paraId="03A1D655" w14:textId="3E99D46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77" w:history="1">
            <w:r w:rsidRPr="001D4C20">
              <w:rPr>
                <w:rStyle w:val="Lienhypertexte"/>
                <w:noProof/>
              </w:rPr>
              <w:t>52.41.3f Isolation en panneaux - laine de lin CCTB 01.12</w:t>
            </w:r>
            <w:r>
              <w:rPr>
                <w:noProof/>
                <w:webHidden/>
              </w:rPr>
              <w:tab/>
            </w:r>
            <w:r>
              <w:rPr>
                <w:noProof/>
                <w:webHidden/>
              </w:rPr>
              <w:fldChar w:fldCharType="begin"/>
            </w:r>
            <w:r>
              <w:rPr>
                <w:noProof/>
                <w:webHidden/>
              </w:rPr>
              <w:instrText xml:space="preserve"> PAGEREF _Toc220490577 \h </w:instrText>
            </w:r>
            <w:r>
              <w:rPr>
                <w:noProof/>
                <w:webHidden/>
              </w:rPr>
            </w:r>
            <w:r>
              <w:rPr>
                <w:noProof/>
                <w:webHidden/>
              </w:rPr>
              <w:fldChar w:fldCharType="separate"/>
            </w:r>
            <w:r>
              <w:rPr>
                <w:noProof/>
                <w:webHidden/>
              </w:rPr>
              <w:t>231</w:t>
            </w:r>
            <w:r>
              <w:rPr>
                <w:noProof/>
                <w:webHidden/>
              </w:rPr>
              <w:fldChar w:fldCharType="end"/>
            </w:r>
          </w:hyperlink>
        </w:p>
        <w:p w14:paraId="72A83026" w14:textId="70AE637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78" w:history="1">
            <w:r w:rsidRPr="001D4C20">
              <w:rPr>
                <w:rStyle w:val="Lienhypertexte"/>
                <w:noProof/>
              </w:rPr>
              <w:t>52.41.3g Isolation en panneaux - coton CCTB 01.12</w:t>
            </w:r>
            <w:r>
              <w:rPr>
                <w:noProof/>
                <w:webHidden/>
              </w:rPr>
              <w:tab/>
            </w:r>
            <w:r>
              <w:rPr>
                <w:noProof/>
                <w:webHidden/>
              </w:rPr>
              <w:fldChar w:fldCharType="begin"/>
            </w:r>
            <w:r>
              <w:rPr>
                <w:noProof/>
                <w:webHidden/>
              </w:rPr>
              <w:instrText xml:space="preserve"> PAGEREF _Toc220490578 \h </w:instrText>
            </w:r>
            <w:r>
              <w:rPr>
                <w:noProof/>
                <w:webHidden/>
              </w:rPr>
            </w:r>
            <w:r>
              <w:rPr>
                <w:noProof/>
                <w:webHidden/>
              </w:rPr>
              <w:fldChar w:fldCharType="separate"/>
            </w:r>
            <w:r>
              <w:rPr>
                <w:noProof/>
                <w:webHidden/>
              </w:rPr>
              <w:t>234</w:t>
            </w:r>
            <w:r>
              <w:rPr>
                <w:noProof/>
                <w:webHidden/>
              </w:rPr>
              <w:fldChar w:fldCharType="end"/>
            </w:r>
          </w:hyperlink>
        </w:p>
        <w:p w14:paraId="394C27A1" w14:textId="2C6229C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79" w:history="1">
            <w:r w:rsidRPr="001D4C20">
              <w:rPr>
                <w:rStyle w:val="Lienhypertexte"/>
                <w:noProof/>
              </w:rPr>
              <w:t>52.41.3h Isolation en panneaux - herbe CCTB 01.02</w:t>
            </w:r>
            <w:r>
              <w:rPr>
                <w:noProof/>
                <w:webHidden/>
              </w:rPr>
              <w:tab/>
            </w:r>
            <w:r>
              <w:rPr>
                <w:noProof/>
                <w:webHidden/>
              </w:rPr>
              <w:fldChar w:fldCharType="begin"/>
            </w:r>
            <w:r>
              <w:rPr>
                <w:noProof/>
                <w:webHidden/>
              </w:rPr>
              <w:instrText xml:space="preserve"> PAGEREF _Toc220490579 \h </w:instrText>
            </w:r>
            <w:r>
              <w:rPr>
                <w:noProof/>
                <w:webHidden/>
              </w:rPr>
            </w:r>
            <w:r>
              <w:rPr>
                <w:noProof/>
                <w:webHidden/>
              </w:rPr>
              <w:fldChar w:fldCharType="separate"/>
            </w:r>
            <w:r>
              <w:rPr>
                <w:noProof/>
                <w:webHidden/>
              </w:rPr>
              <w:t>237</w:t>
            </w:r>
            <w:r>
              <w:rPr>
                <w:noProof/>
                <w:webHidden/>
              </w:rPr>
              <w:fldChar w:fldCharType="end"/>
            </w:r>
          </w:hyperlink>
        </w:p>
        <w:p w14:paraId="39990ED9" w14:textId="1ADB204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80" w:history="1">
            <w:r w:rsidRPr="001D4C20">
              <w:rPr>
                <w:rStyle w:val="Lienhypertexte"/>
                <w:noProof/>
              </w:rPr>
              <w:t>52.41.3i (titre réservé)</w:t>
            </w:r>
            <w:r>
              <w:rPr>
                <w:noProof/>
                <w:webHidden/>
              </w:rPr>
              <w:tab/>
            </w:r>
            <w:r>
              <w:rPr>
                <w:noProof/>
                <w:webHidden/>
              </w:rPr>
              <w:fldChar w:fldCharType="begin"/>
            </w:r>
            <w:r>
              <w:rPr>
                <w:noProof/>
                <w:webHidden/>
              </w:rPr>
              <w:instrText xml:space="preserve"> PAGEREF _Toc220490580 \h </w:instrText>
            </w:r>
            <w:r>
              <w:rPr>
                <w:noProof/>
                <w:webHidden/>
              </w:rPr>
            </w:r>
            <w:r>
              <w:rPr>
                <w:noProof/>
                <w:webHidden/>
              </w:rPr>
              <w:fldChar w:fldCharType="separate"/>
            </w:r>
            <w:r>
              <w:rPr>
                <w:noProof/>
                <w:webHidden/>
              </w:rPr>
              <w:t>237</w:t>
            </w:r>
            <w:r>
              <w:rPr>
                <w:noProof/>
                <w:webHidden/>
              </w:rPr>
              <w:fldChar w:fldCharType="end"/>
            </w:r>
          </w:hyperlink>
        </w:p>
        <w:p w14:paraId="3FDB7FFC" w14:textId="3A2FFD0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81" w:history="1">
            <w:r w:rsidRPr="001D4C20">
              <w:rPr>
                <w:rStyle w:val="Lienhypertexte"/>
                <w:noProof/>
              </w:rPr>
              <w:t>52.41.3j Isolation en panneaux - paille CCTB 01.10</w:t>
            </w:r>
            <w:r>
              <w:rPr>
                <w:noProof/>
                <w:webHidden/>
              </w:rPr>
              <w:tab/>
            </w:r>
            <w:r>
              <w:rPr>
                <w:noProof/>
                <w:webHidden/>
              </w:rPr>
              <w:fldChar w:fldCharType="begin"/>
            </w:r>
            <w:r>
              <w:rPr>
                <w:noProof/>
                <w:webHidden/>
              </w:rPr>
              <w:instrText xml:space="preserve"> PAGEREF _Toc220490581 \h </w:instrText>
            </w:r>
            <w:r>
              <w:rPr>
                <w:noProof/>
                <w:webHidden/>
              </w:rPr>
            </w:r>
            <w:r>
              <w:rPr>
                <w:noProof/>
                <w:webHidden/>
              </w:rPr>
              <w:fldChar w:fldCharType="separate"/>
            </w:r>
            <w:r>
              <w:rPr>
                <w:noProof/>
                <w:webHidden/>
              </w:rPr>
              <w:t>237</w:t>
            </w:r>
            <w:r>
              <w:rPr>
                <w:noProof/>
                <w:webHidden/>
              </w:rPr>
              <w:fldChar w:fldCharType="end"/>
            </w:r>
          </w:hyperlink>
        </w:p>
        <w:p w14:paraId="62C9C8A0" w14:textId="5642E1A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82" w:history="1">
            <w:r w:rsidRPr="001D4C20">
              <w:rPr>
                <w:rStyle w:val="Lienhypertexte"/>
                <w:noProof/>
              </w:rPr>
              <w:t>52.41.3k Isolation en panneaux - roseau CCTB 01.10</w:t>
            </w:r>
            <w:r>
              <w:rPr>
                <w:noProof/>
                <w:webHidden/>
              </w:rPr>
              <w:tab/>
            </w:r>
            <w:r>
              <w:rPr>
                <w:noProof/>
                <w:webHidden/>
              </w:rPr>
              <w:fldChar w:fldCharType="begin"/>
            </w:r>
            <w:r>
              <w:rPr>
                <w:noProof/>
                <w:webHidden/>
              </w:rPr>
              <w:instrText xml:space="preserve"> PAGEREF _Toc220490582 \h </w:instrText>
            </w:r>
            <w:r>
              <w:rPr>
                <w:noProof/>
                <w:webHidden/>
              </w:rPr>
            </w:r>
            <w:r>
              <w:rPr>
                <w:noProof/>
                <w:webHidden/>
              </w:rPr>
              <w:fldChar w:fldCharType="separate"/>
            </w:r>
            <w:r>
              <w:rPr>
                <w:noProof/>
                <w:webHidden/>
              </w:rPr>
              <w:t>240</w:t>
            </w:r>
            <w:r>
              <w:rPr>
                <w:noProof/>
                <w:webHidden/>
              </w:rPr>
              <w:fldChar w:fldCharType="end"/>
            </w:r>
          </w:hyperlink>
        </w:p>
        <w:p w14:paraId="72229968" w14:textId="3DFCCCF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83" w:history="1">
            <w:r w:rsidRPr="001D4C20">
              <w:rPr>
                <w:rStyle w:val="Lienhypertexte"/>
                <w:noProof/>
              </w:rPr>
              <w:t>52.41.3l Isolation en panneaux - biopolymères CCTB 01.12</w:t>
            </w:r>
            <w:r>
              <w:rPr>
                <w:noProof/>
                <w:webHidden/>
              </w:rPr>
              <w:tab/>
            </w:r>
            <w:r>
              <w:rPr>
                <w:noProof/>
                <w:webHidden/>
              </w:rPr>
              <w:fldChar w:fldCharType="begin"/>
            </w:r>
            <w:r>
              <w:rPr>
                <w:noProof/>
                <w:webHidden/>
              </w:rPr>
              <w:instrText xml:space="preserve"> PAGEREF _Toc220490583 \h </w:instrText>
            </w:r>
            <w:r>
              <w:rPr>
                <w:noProof/>
                <w:webHidden/>
              </w:rPr>
            </w:r>
            <w:r>
              <w:rPr>
                <w:noProof/>
                <w:webHidden/>
              </w:rPr>
              <w:fldChar w:fldCharType="separate"/>
            </w:r>
            <w:r>
              <w:rPr>
                <w:noProof/>
                <w:webHidden/>
              </w:rPr>
              <w:t>242</w:t>
            </w:r>
            <w:r>
              <w:rPr>
                <w:noProof/>
                <w:webHidden/>
              </w:rPr>
              <w:fldChar w:fldCharType="end"/>
            </w:r>
          </w:hyperlink>
        </w:p>
        <w:p w14:paraId="34643194" w14:textId="7254CFE1"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84" w:history="1">
            <w:r w:rsidRPr="001D4C20">
              <w:rPr>
                <w:rStyle w:val="Lienhypertexte"/>
                <w:noProof/>
              </w:rPr>
              <w:t>52.41.4 Isolation en panneaux - matières animales CCTB 01.02</w:t>
            </w:r>
            <w:r>
              <w:rPr>
                <w:noProof/>
                <w:webHidden/>
              </w:rPr>
              <w:tab/>
            </w:r>
            <w:r>
              <w:rPr>
                <w:noProof/>
                <w:webHidden/>
              </w:rPr>
              <w:fldChar w:fldCharType="begin"/>
            </w:r>
            <w:r>
              <w:rPr>
                <w:noProof/>
                <w:webHidden/>
              </w:rPr>
              <w:instrText xml:space="preserve"> PAGEREF _Toc220490584 \h </w:instrText>
            </w:r>
            <w:r>
              <w:rPr>
                <w:noProof/>
                <w:webHidden/>
              </w:rPr>
            </w:r>
            <w:r>
              <w:rPr>
                <w:noProof/>
                <w:webHidden/>
              </w:rPr>
              <w:fldChar w:fldCharType="separate"/>
            </w:r>
            <w:r>
              <w:rPr>
                <w:noProof/>
                <w:webHidden/>
              </w:rPr>
              <w:t>244</w:t>
            </w:r>
            <w:r>
              <w:rPr>
                <w:noProof/>
                <w:webHidden/>
              </w:rPr>
              <w:fldChar w:fldCharType="end"/>
            </w:r>
          </w:hyperlink>
        </w:p>
        <w:p w14:paraId="02CECBEB" w14:textId="3C04F99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85" w:history="1">
            <w:r w:rsidRPr="001D4C20">
              <w:rPr>
                <w:rStyle w:val="Lienhypertexte"/>
                <w:noProof/>
              </w:rPr>
              <w:t>52.41.4a Isolation en panneaux - laine de mouton CCTB 01.07</w:t>
            </w:r>
            <w:r>
              <w:rPr>
                <w:noProof/>
                <w:webHidden/>
              </w:rPr>
              <w:tab/>
            </w:r>
            <w:r>
              <w:rPr>
                <w:noProof/>
                <w:webHidden/>
              </w:rPr>
              <w:fldChar w:fldCharType="begin"/>
            </w:r>
            <w:r>
              <w:rPr>
                <w:noProof/>
                <w:webHidden/>
              </w:rPr>
              <w:instrText xml:space="preserve"> PAGEREF _Toc220490585 \h </w:instrText>
            </w:r>
            <w:r>
              <w:rPr>
                <w:noProof/>
                <w:webHidden/>
              </w:rPr>
            </w:r>
            <w:r>
              <w:rPr>
                <w:noProof/>
                <w:webHidden/>
              </w:rPr>
              <w:fldChar w:fldCharType="separate"/>
            </w:r>
            <w:r>
              <w:rPr>
                <w:noProof/>
                <w:webHidden/>
              </w:rPr>
              <w:t>244</w:t>
            </w:r>
            <w:r>
              <w:rPr>
                <w:noProof/>
                <w:webHidden/>
              </w:rPr>
              <w:fldChar w:fldCharType="end"/>
            </w:r>
          </w:hyperlink>
        </w:p>
        <w:p w14:paraId="52719EFB" w14:textId="3726773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86" w:history="1">
            <w:r w:rsidRPr="001D4C20">
              <w:rPr>
                <w:rStyle w:val="Lienhypertexte"/>
                <w:noProof/>
              </w:rPr>
              <w:t>52.41.4b Isolation en panneaux - plumes de canard CCTB 01.02</w:t>
            </w:r>
            <w:r>
              <w:rPr>
                <w:noProof/>
                <w:webHidden/>
              </w:rPr>
              <w:tab/>
            </w:r>
            <w:r>
              <w:rPr>
                <w:noProof/>
                <w:webHidden/>
              </w:rPr>
              <w:fldChar w:fldCharType="begin"/>
            </w:r>
            <w:r>
              <w:rPr>
                <w:noProof/>
                <w:webHidden/>
              </w:rPr>
              <w:instrText xml:space="preserve"> PAGEREF _Toc220490586 \h </w:instrText>
            </w:r>
            <w:r>
              <w:rPr>
                <w:noProof/>
                <w:webHidden/>
              </w:rPr>
            </w:r>
            <w:r>
              <w:rPr>
                <w:noProof/>
                <w:webHidden/>
              </w:rPr>
              <w:fldChar w:fldCharType="separate"/>
            </w:r>
            <w:r>
              <w:rPr>
                <w:noProof/>
                <w:webHidden/>
              </w:rPr>
              <w:t>245</w:t>
            </w:r>
            <w:r>
              <w:rPr>
                <w:noProof/>
                <w:webHidden/>
              </w:rPr>
              <w:fldChar w:fldCharType="end"/>
            </w:r>
          </w:hyperlink>
        </w:p>
        <w:p w14:paraId="6BECEE42" w14:textId="18078F7A"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87" w:history="1">
            <w:r w:rsidRPr="001D4C20">
              <w:rPr>
                <w:rStyle w:val="Lienhypertexte"/>
                <w:noProof/>
              </w:rPr>
              <w:t>52.41.5 Isolation en panneaux - matières composites CCTB 01.02</w:t>
            </w:r>
            <w:r>
              <w:rPr>
                <w:noProof/>
                <w:webHidden/>
              </w:rPr>
              <w:tab/>
            </w:r>
            <w:r>
              <w:rPr>
                <w:noProof/>
                <w:webHidden/>
              </w:rPr>
              <w:fldChar w:fldCharType="begin"/>
            </w:r>
            <w:r>
              <w:rPr>
                <w:noProof/>
                <w:webHidden/>
              </w:rPr>
              <w:instrText xml:space="preserve"> PAGEREF _Toc220490587 \h </w:instrText>
            </w:r>
            <w:r>
              <w:rPr>
                <w:noProof/>
                <w:webHidden/>
              </w:rPr>
            </w:r>
            <w:r>
              <w:rPr>
                <w:noProof/>
                <w:webHidden/>
              </w:rPr>
              <w:fldChar w:fldCharType="separate"/>
            </w:r>
            <w:r>
              <w:rPr>
                <w:noProof/>
                <w:webHidden/>
              </w:rPr>
              <w:t>245</w:t>
            </w:r>
            <w:r>
              <w:rPr>
                <w:noProof/>
                <w:webHidden/>
              </w:rPr>
              <w:fldChar w:fldCharType="end"/>
            </w:r>
          </w:hyperlink>
        </w:p>
        <w:p w14:paraId="7B7D3A1B" w14:textId="3530574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88" w:history="1">
            <w:r w:rsidRPr="001D4C20">
              <w:rPr>
                <w:rStyle w:val="Lienhypertexte"/>
                <w:noProof/>
              </w:rPr>
              <w:t>52.41.5a Isolation en panneaux - fibres de bois - ciment CCTB 01.02</w:t>
            </w:r>
            <w:r>
              <w:rPr>
                <w:noProof/>
                <w:webHidden/>
              </w:rPr>
              <w:tab/>
            </w:r>
            <w:r>
              <w:rPr>
                <w:noProof/>
                <w:webHidden/>
              </w:rPr>
              <w:fldChar w:fldCharType="begin"/>
            </w:r>
            <w:r>
              <w:rPr>
                <w:noProof/>
                <w:webHidden/>
              </w:rPr>
              <w:instrText xml:space="preserve"> PAGEREF _Toc220490588 \h </w:instrText>
            </w:r>
            <w:r>
              <w:rPr>
                <w:noProof/>
                <w:webHidden/>
              </w:rPr>
            </w:r>
            <w:r>
              <w:rPr>
                <w:noProof/>
                <w:webHidden/>
              </w:rPr>
              <w:fldChar w:fldCharType="separate"/>
            </w:r>
            <w:r>
              <w:rPr>
                <w:noProof/>
                <w:webHidden/>
              </w:rPr>
              <w:t>245</w:t>
            </w:r>
            <w:r>
              <w:rPr>
                <w:noProof/>
                <w:webHidden/>
              </w:rPr>
              <w:fldChar w:fldCharType="end"/>
            </w:r>
          </w:hyperlink>
        </w:p>
        <w:p w14:paraId="0E2B1FD0" w14:textId="24F2CB9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89" w:history="1">
            <w:r w:rsidRPr="001D4C20">
              <w:rPr>
                <w:rStyle w:val="Lienhypertexte"/>
                <w:noProof/>
              </w:rPr>
              <w:t>52.41.5b Isolation en panneaux - fibres de cellulose - plâtre CCTB 01.02</w:t>
            </w:r>
            <w:r>
              <w:rPr>
                <w:noProof/>
                <w:webHidden/>
              </w:rPr>
              <w:tab/>
            </w:r>
            <w:r>
              <w:rPr>
                <w:noProof/>
                <w:webHidden/>
              </w:rPr>
              <w:fldChar w:fldCharType="begin"/>
            </w:r>
            <w:r>
              <w:rPr>
                <w:noProof/>
                <w:webHidden/>
              </w:rPr>
              <w:instrText xml:space="preserve"> PAGEREF _Toc220490589 \h </w:instrText>
            </w:r>
            <w:r>
              <w:rPr>
                <w:noProof/>
                <w:webHidden/>
              </w:rPr>
            </w:r>
            <w:r>
              <w:rPr>
                <w:noProof/>
                <w:webHidden/>
              </w:rPr>
              <w:fldChar w:fldCharType="separate"/>
            </w:r>
            <w:r>
              <w:rPr>
                <w:noProof/>
                <w:webHidden/>
              </w:rPr>
              <w:t>245</w:t>
            </w:r>
            <w:r>
              <w:rPr>
                <w:noProof/>
                <w:webHidden/>
              </w:rPr>
              <w:fldChar w:fldCharType="end"/>
            </w:r>
          </w:hyperlink>
        </w:p>
        <w:p w14:paraId="277027BC" w14:textId="787DF01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90" w:history="1">
            <w:r w:rsidRPr="001D4C20">
              <w:rPr>
                <w:rStyle w:val="Lienhypertexte"/>
                <w:noProof/>
              </w:rPr>
              <w:t>52.41.5c Isolation en panneaux - polystyrène expansé (EPS) - ciment CCTB 01.02</w:t>
            </w:r>
            <w:r>
              <w:rPr>
                <w:noProof/>
                <w:webHidden/>
              </w:rPr>
              <w:tab/>
            </w:r>
            <w:r>
              <w:rPr>
                <w:noProof/>
                <w:webHidden/>
              </w:rPr>
              <w:fldChar w:fldCharType="begin"/>
            </w:r>
            <w:r>
              <w:rPr>
                <w:noProof/>
                <w:webHidden/>
              </w:rPr>
              <w:instrText xml:space="preserve"> PAGEREF _Toc220490590 \h </w:instrText>
            </w:r>
            <w:r>
              <w:rPr>
                <w:noProof/>
                <w:webHidden/>
              </w:rPr>
            </w:r>
            <w:r>
              <w:rPr>
                <w:noProof/>
                <w:webHidden/>
              </w:rPr>
              <w:fldChar w:fldCharType="separate"/>
            </w:r>
            <w:r>
              <w:rPr>
                <w:noProof/>
                <w:webHidden/>
              </w:rPr>
              <w:t>245</w:t>
            </w:r>
            <w:r>
              <w:rPr>
                <w:noProof/>
                <w:webHidden/>
              </w:rPr>
              <w:fldChar w:fldCharType="end"/>
            </w:r>
          </w:hyperlink>
        </w:p>
        <w:p w14:paraId="14B1217B" w14:textId="7B57559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91" w:history="1">
            <w:r w:rsidRPr="001D4C20">
              <w:rPr>
                <w:rStyle w:val="Lienhypertexte"/>
                <w:noProof/>
              </w:rPr>
              <w:t>52.41.5d Isolation en panneaux - métalliques à âme isolante CCTB 01.10</w:t>
            </w:r>
            <w:r>
              <w:rPr>
                <w:noProof/>
                <w:webHidden/>
              </w:rPr>
              <w:tab/>
            </w:r>
            <w:r>
              <w:rPr>
                <w:noProof/>
                <w:webHidden/>
              </w:rPr>
              <w:fldChar w:fldCharType="begin"/>
            </w:r>
            <w:r>
              <w:rPr>
                <w:noProof/>
                <w:webHidden/>
              </w:rPr>
              <w:instrText xml:space="preserve"> PAGEREF _Toc220490591 \h </w:instrText>
            </w:r>
            <w:r>
              <w:rPr>
                <w:noProof/>
                <w:webHidden/>
              </w:rPr>
            </w:r>
            <w:r>
              <w:rPr>
                <w:noProof/>
                <w:webHidden/>
              </w:rPr>
              <w:fldChar w:fldCharType="separate"/>
            </w:r>
            <w:r>
              <w:rPr>
                <w:noProof/>
                <w:webHidden/>
              </w:rPr>
              <w:t>245</w:t>
            </w:r>
            <w:r>
              <w:rPr>
                <w:noProof/>
                <w:webHidden/>
              </w:rPr>
              <w:fldChar w:fldCharType="end"/>
            </w:r>
          </w:hyperlink>
        </w:p>
        <w:p w14:paraId="6A5E186A" w14:textId="77EF680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92" w:history="1">
            <w:r w:rsidRPr="001D4C20">
              <w:rPr>
                <w:rStyle w:val="Lienhypertexte"/>
                <w:noProof/>
              </w:rPr>
              <w:t>52.41.5e Isolation en panneaux - gypse et polymères viscoélastiques CCTB 01.02</w:t>
            </w:r>
            <w:r>
              <w:rPr>
                <w:noProof/>
                <w:webHidden/>
              </w:rPr>
              <w:tab/>
            </w:r>
            <w:r>
              <w:rPr>
                <w:noProof/>
                <w:webHidden/>
              </w:rPr>
              <w:fldChar w:fldCharType="begin"/>
            </w:r>
            <w:r>
              <w:rPr>
                <w:noProof/>
                <w:webHidden/>
              </w:rPr>
              <w:instrText xml:space="preserve"> PAGEREF _Toc220490592 \h </w:instrText>
            </w:r>
            <w:r>
              <w:rPr>
                <w:noProof/>
                <w:webHidden/>
              </w:rPr>
            </w:r>
            <w:r>
              <w:rPr>
                <w:noProof/>
                <w:webHidden/>
              </w:rPr>
              <w:fldChar w:fldCharType="separate"/>
            </w:r>
            <w:r>
              <w:rPr>
                <w:noProof/>
                <w:webHidden/>
              </w:rPr>
              <w:t>245</w:t>
            </w:r>
            <w:r>
              <w:rPr>
                <w:noProof/>
                <w:webHidden/>
              </w:rPr>
              <w:fldChar w:fldCharType="end"/>
            </w:r>
          </w:hyperlink>
        </w:p>
        <w:p w14:paraId="36DB8535" w14:textId="0B27EE8B"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93" w:history="1">
            <w:r w:rsidRPr="001D4C20">
              <w:rPr>
                <w:rStyle w:val="Lienhypertexte"/>
                <w:noProof/>
              </w:rPr>
              <w:t>52.41.6 Isolation en panneaux sandwich (autoportant et isolant) CCTB 01.02</w:t>
            </w:r>
            <w:r>
              <w:rPr>
                <w:noProof/>
                <w:webHidden/>
              </w:rPr>
              <w:tab/>
            </w:r>
            <w:r>
              <w:rPr>
                <w:noProof/>
                <w:webHidden/>
              </w:rPr>
              <w:fldChar w:fldCharType="begin"/>
            </w:r>
            <w:r>
              <w:rPr>
                <w:noProof/>
                <w:webHidden/>
              </w:rPr>
              <w:instrText xml:space="preserve"> PAGEREF _Toc220490593 \h </w:instrText>
            </w:r>
            <w:r>
              <w:rPr>
                <w:noProof/>
                <w:webHidden/>
              </w:rPr>
            </w:r>
            <w:r>
              <w:rPr>
                <w:noProof/>
                <w:webHidden/>
              </w:rPr>
              <w:fldChar w:fldCharType="separate"/>
            </w:r>
            <w:r>
              <w:rPr>
                <w:noProof/>
                <w:webHidden/>
              </w:rPr>
              <w:t>245</w:t>
            </w:r>
            <w:r>
              <w:rPr>
                <w:noProof/>
                <w:webHidden/>
              </w:rPr>
              <w:fldChar w:fldCharType="end"/>
            </w:r>
          </w:hyperlink>
        </w:p>
        <w:p w14:paraId="1E920EE8" w14:textId="40D01BB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94" w:history="1">
            <w:r w:rsidRPr="001D4C20">
              <w:rPr>
                <w:rStyle w:val="Lienhypertexte"/>
                <w:noProof/>
              </w:rPr>
              <w:t>52.41.6a Isolation en panneaux sandwich - polystyrène extrudé (XPS) + plâtre CCTB 01.02</w:t>
            </w:r>
            <w:r>
              <w:rPr>
                <w:noProof/>
                <w:webHidden/>
              </w:rPr>
              <w:tab/>
            </w:r>
            <w:r>
              <w:rPr>
                <w:noProof/>
                <w:webHidden/>
              </w:rPr>
              <w:fldChar w:fldCharType="begin"/>
            </w:r>
            <w:r>
              <w:rPr>
                <w:noProof/>
                <w:webHidden/>
              </w:rPr>
              <w:instrText xml:space="preserve"> PAGEREF _Toc220490594 \h </w:instrText>
            </w:r>
            <w:r>
              <w:rPr>
                <w:noProof/>
                <w:webHidden/>
              </w:rPr>
            </w:r>
            <w:r>
              <w:rPr>
                <w:noProof/>
                <w:webHidden/>
              </w:rPr>
              <w:fldChar w:fldCharType="separate"/>
            </w:r>
            <w:r>
              <w:rPr>
                <w:noProof/>
                <w:webHidden/>
              </w:rPr>
              <w:t>245</w:t>
            </w:r>
            <w:r>
              <w:rPr>
                <w:noProof/>
                <w:webHidden/>
              </w:rPr>
              <w:fldChar w:fldCharType="end"/>
            </w:r>
          </w:hyperlink>
        </w:p>
        <w:p w14:paraId="6452AD26" w14:textId="431F019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95" w:history="1">
            <w:r w:rsidRPr="001D4C20">
              <w:rPr>
                <w:rStyle w:val="Lienhypertexte"/>
                <w:noProof/>
              </w:rPr>
              <w:t>52.41.6b Isolation en panneaux sandwich - polystyrène expansé (EPS) + plâtre CCTB 01.02</w:t>
            </w:r>
            <w:r>
              <w:rPr>
                <w:noProof/>
                <w:webHidden/>
              </w:rPr>
              <w:tab/>
            </w:r>
            <w:r>
              <w:rPr>
                <w:noProof/>
                <w:webHidden/>
              </w:rPr>
              <w:fldChar w:fldCharType="begin"/>
            </w:r>
            <w:r>
              <w:rPr>
                <w:noProof/>
                <w:webHidden/>
              </w:rPr>
              <w:instrText xml:space="preserve"> PAGEREF _Toc220490595 \h </w:instrText>
            </w:r>
            <w:r>
              <w:rPr>
                <w:noProof/>
                <w:webHidden/>
              </w:rPr>
            </w:r>
            <w:r>
              <w:rPr>
                <w:noProof/>
                <w:webHidden/>
              </w:rPr>
              <w:fldChar w:fldCharType="separate"/>
            </w:r>
            <w:r>
              <w:rPr>
                <w:noProof/>
                <w:webHidden/>
              </w:rPr>
              <w:t>245</w:t>
            </w:r>
            <w:r>
              <w:rPr>
                <w:noProof/>
                <w:webHidden/>
              </w:rPr>
              <w:fldChar w:fldCharType="end"/>
            </w:r>
          </w:hyperlink>
        </w:p>
        <w:p w14:paraId="52C986F6" w14:textId="154F0A6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96" w:history="1">
            <w:r w:rsidRPr="001D4C20">
              <w:rPr>
                <w:rStyle w:val="Lienhypertexte"/>
                <w:noProof/>
              </w:rPr>
              <w:t>52.41.6c Isolation en panneaux sandwich - polystyrène expansé additionné de graphite/carbone + plâtre CCTB 01.02</w:t>
            </w:r>
            <w:r>
              <w:rPr>
                <w:noProof/>
                <w:webHidden/>
              </w:rPr>
              <w:tab/>
            </w:r>
            <w:r>
              <w:rPr>
                <w:noProof/>
                <w:webHidden/>
              </w:rPr>
              <w:fldChar w:fldCharType="begin"/>
            </w:r>
            <w:r>
              <w:rPr>
                <w:noProof/>
                <w:webHidden/>
              </w:rPr>
              <w:instrText xml:space="preserve"> PAGEREF _Toc220490596 \h </w:instrText>
            </w:r>
            <w:r>
              <w:rPr>
                <w:noProof/>
                <w:webHidden/>
              </w:rPr>
            </w:r>
            <w:r>
              <w:rPr>
                <w:noProof/>
                <w:webHidden/>
              </w:rPr>
              <w:fldChar w:fldCharType="separate"/>
            </w:r>
            <w:r>
              <w:rPr>
                <w:noProof/>
                <w:webHidden/>
              </w:rPr>
              <w:t>245</w:t>
            </w:r>
            <w:r>
              <w:rPr>
                <w:noProof/>
                <w:webHidden/>
              </w:rPr>
              <w:fldChar w:fldCharType="end"/>
            </w:r>
          </w:hyperlink>
        </w:p>
        <w:p w14:paraId="184B6462" w14:textId="215C3BA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97" w:history="1">
            <w:r w:rsidRPr="001D4C20">
              <w:rPr>
                <w:rStyle w:val="Lienhypertexte"/>
                <w:noProof/>
              </w:rPr>
              <w:t>52.41.6d Isolation en panneaux sandwich - additifs légers - ciment + plâtre CCTB 01.02</w:t>
            </w:r>
            <w:r>
              <w:rPr>
                <w:noProof/>
                <w:webHidden/>
              </w:rPr>
              <w:tab/>
            </w:r>
            <w:r>
              <w:rPr>
                <w:noProof/>
                <w:webHidden/>
              </w:rPr>
              <w:fldChar w:fldCharType="begin"/>
            </w:r>
            <w:r>
              <w:rPr>
                <w:noProof/>
                <w:webHidden/>
              </w:rPr>
              <w:instrText xml:space="preserve"> PAGEREF _Toc220490597 \h </w:instrText>
            </w:r>
            <w:r>
              <w:rPr>
                <w:noProof/>
                <w:webHidden/>
              </w:rPr>
            </w:r>
            <w:r>
              <w:rPr>
                <w:noProof/>
                <w:webHidden/>
              </w:rPr>
              <w:fldChar w:fldCharType="separate"/>
            </w:r>
            <w:r>
              <w:rPr>
                <w:noProof/>
                <w:webHidden/>
              </w:rPr>
              <w:t>246</w:t>
            </w:r>
            <w:r>
              <w:rPr>
                <w:noProof/>
                <w:webHidden/>
              </w:rPr>
              <w:fldChar w:fldCharType="end"/>
            </w:r>
          </w:hyperlink>
        </w:p>
        <w:p w14:paraId="1F56D55A" w14:textId="0F233BD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98" w:history="1">
            <w:r w:rsidRPr="001D4C20">
              <w:rPr>
                <w:rStyle w:val="Lienhypertexte"/>
                <w:noProof/>
              </w:rPr>
              <w:t>52.41.6e Isolation en panneaux sandwich - polystyrène extrudé (XPS) + fibres de bois - ciment CCTB 01.02</w:t>
            </w:r>
            <w:r>
              <w:rPr>
                <w:noProof/>
                <w:webHidden/>
              </w:rPr>
              <w:tab/>
            </w:r>
            <w:r>
              <w:rPr>
                <w:noProof/>
                <w:webHidden/>
              </w:rPr>
              <w:fldChar w:fldCharType="begin"/>
            </w:r>
            <w:r>
              <w:rPr>
                <w:noProof/>
                <w:webHidden/>
              </w:rPr>
              <w:instrText xml:space="preserve"> PAGEREF _Toc220490598 \h </w:instrText>
            </w:r>
            <w:r>
              <w:rPr>
                <w:noProof/>
                <w:webHidden/>
              </w:rPr>
            </w:r>
            <w:r>
              <w:rPr>
                <w:noProof/>
                <w:webHidden/>
              </w:rPr>
              <w:fldChar w:fldCharType="separate"/>
            </w:r>
            <w:r>
              <w:rPr>
                <w:noProof/>
                <w:webHidden/>
              </w:rPr>
              <w:t>246</w:t>
            </w:r>
            <w:r>
              <w:rPr>
                <w:noProof/>
                <w:webHidden/>
              </w:rPr>
              <w:fldChar w:fldCharType="end"/>
            </w:r>
          </w:hyperlink>
        </w:p>
        <w:p w14:paraId="614397B0" w14:textId="0948001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99" w:history="1">
            <w:r w:rsidRPr="001D4C20">
              <w:rPr>
                <w:rStyle w:val="Lienhypertexte"/>
                <w:noProof/>
              </w:rPr>
              <w:t>52.41.6f Isolation en panneaux sandwich - polystyrène expansé (EPS) + fibres de bois - ciment CCTB 01.02</w:t>
            </w:r>
            <w:r>
              <w:rPr>
                <w:noProof/>
                <w:webHidden/>
              </w:rPr>
              <w:tab/>
            </w:r>
            <w:r>
              <w:rPr>
                <w:noProof/>
                <w:webHidden/>
              </w:rPr>
              <w:fldChar w:fldCharType="begin"/>
            </w:r>
            <w:r>
              <w:rPr>
                <w:noProof/>
                <w:webHidden/>
              </w:rPr>
              <w:instrText xml:space="preserve"> PAGEREF _Toc220490599 \h </w:instrText>
            </w:r>
            <w:r>
              <w:rPr>
                <w:noProof/>
                <w:webHidden/>
              </w:rPr>
            </w:r>
            <w:r>
              <w:rPr>
                <w:noProof/>
                <w:webHidden/>
              </w:rPr>
              <w:fldChar w:fldCharType="separate"/>
            </w:r>
            <w:r>
              <w:rPr>
                <w:noProof/>
                <w:webHidden/>
              </w:rPr>
              <w:t>246</w:t>
            </w:r>
            <w:r>
              <w:rPr>
                <w:noProof/>
                <w:webHidden/>
              </w:rPr>
              <w:fldChar w:fldCharType="end"/>
            </w:r>
          </w:hyperlink>
        </w:p>
        <w:p w14:paraId="791F2B67" w14:textId="52C6472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00" w:history="1">
            <w:r w:rsidRPr="001D4C20">
              <w:rPr>
                <w:rStyle w:val="Lienhypertexte"/>
                <w:noProof/>
              </w:rPr>
              <w:t>52.41.6g Isolation en panneaux sandwich - laine de roche (MW) + fibres de bois - ciment CCTB 01.02</w:t>
            </w:r>
            <w:r>
              <w:rPr>
                <w:noProof/>
                <w:webHidden/>
              </w:rPr>
              <w:tab/>
            </w:r>
            <w:r>
              <w:rPr>
                <w:noProof/>
                <w:webHidden/>
              </w:rPr>
              <w:fldChar w:fldCharType="begin"/>
            </w:r>
            <w:r>
              <w:rPr>
                <w:noProof/>
                <w:webHidden/>
              </w:rPr>
              <w:instrText xml:space="preserve"> PAGEREF _Toc220490600 \h </w:instrText>
            </w:r>
            <w:r>
              <w:rPr>
                <w:noProof/>
                <w:webHidden/>
              </w:rPr>
            </w:r>
            <w:r>
              <w:rPr>
                <w:noProof/>
                <w:webHidden/>
              </w:rPr>
              <w:fldChar w:fldCharType="separate"/>
            </w:r>
            <w:r>
              <w:rPr>
                <w:noProof/>
                <w:webHidden/>
              </w:rPr>
              <w:t>246</w:t>
            </w:r>
            <w:r>
              <w:rPr>
                <w:noProof/>
                <w:webHidden/>
              </w:rPr>
              <w:fldChar w:fldCharType="end"/>
            </w:r>
          </w:hyperlink>
        </w:p>
        <w:p w14:paraId="3BD100E9" w14:textId="214E243F"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601" w:history="1">
            <w:r w:rsidRPr="001D4C20">
              <w:rPr>
                <w:rStyle w:val="Lienhypertexte"/>
                <w:noProof/>
              </w:rPr>
              <w:t>52.42 Isolation en rouleaux/matelas CCTB 01.11</w:t>
            </w:r>
            <w:r>
              <w:rPr>
                <w:noProof/>
                <w:webHidden/>
              </w:rPr>
              <w:tab/>
            </w:r>
            <w:r>
              <w:rPr>
                <w:noProof/>
                <w:webHidden/>
              </w:rPr>
              <w:fldChar w:fldCharType="begin"/>
            </w:r>
            <w:r>
              <w:rPr>
                <w:noProof/>
                <w:webHidden/>
              </w:rPr>
              <w:instrText xml:space="preserve"> PAGEREF _Toc220490601 \h </w:instrText>
            </w:r>
            <w:r>
              <w:rPr>
                <w:noProof/>
                <w:webHidden/>
              </w:rPr>
            </w:r>
            <w:r>
              <w:rPr>
                <w:noProof/>
                <w:webHidden/>
              </w:rPr>
              <w:fldChar w:fldCharType="separate"/>
            </w:r>
            <w:r>
              <w:rPr>
                <w:noProof/>
                <w:webHidden/>
              </w:rPr>
              <w:t>246</w:t>
            </w:r>
            <w:r>
              <w:rPr>
                <w:noProof/>
                <w:webHidden/>
              </w:rPr>
              <w:fldChar w:fldCharType="end"/>
            </w:r>
          </w:hyperlink>
        </w:p>
        <w:p w14:paraId="5C1CB319" w14:textId="7387FE9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02" w:history="1">
            <w:r w:rsidRPr="001D4C20">
              <w:rPr>
                <w:rStyle w:val="Lienhypertexte"/>
                <w:noProof/>
              </w:rPr>
              <w:t>52.42.1 Isolation en rouleaux/matelas - matières synthétiques CCTB 01.07</w:t>
            </w:r>
            <w:r>
              <w:rPr>
                <w:noProof/>
                <w:webHidden/>
              </w:rPr>
              <w:tab/>
            </w:r>
            <w:r>
              <w:rPr>
                <w:noProof/>
                <w:webHidden/>
              </w:rPr>
              <w:fldChar w:fldCharType="begin"/>
            </w:r>
            <w:r>
              <w:rPr>
                <w:noProof/>
                <w:webHidden/>
              </w:rPr>
              <w:instrText xml:space="preserve"> PAGEREF _Toc220490602 \h </w:instrText>
            </w:r>
            <w:r>
              <w:rPr>
                <w:noProof/>
                <w:webHidden/>
              </w:rPr>
            </w:r>
            <w:r>
              <w:rPr>
                <w:noProof/>
                <w:webHidden/>
              </w:rPr>
              <w:fldChar w:fldCharType="separate"/>
            </w:r>
            <w:r>
              <w:rPr>
                <w:noProof/>
                <w:webHidden/>
              </w:rPr>
              <w:t>247</w:t>
            </w:r>
            <w:r>
              <w:rPr>
                <w:noProof/>
                <w:webHidden/>
              </w:rPr>
              <w:fldChar w:fldCharType="end"/>
            </w:r>
          </w:hyperlink>
        </w:p>
        <w:p w14:paraId="540FB8B9" w14:textId="7C9589A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03" w:history="1">
            <w:r w:rsidRPr="001D4C20">
              <w:rPr>
                <w:rStyle w:val="Lienhypertexte"/>
                <w:noProof/>
              </w:rPr>
              <w:t>52.42.1a Isolation en rouleaux/matelas - polyéthylène extrudé à structure cellulaire fermée CCTB 01.10</w:t>
            </w:r>
            <w:r>
              <w:rPr>
                <w:noProof/>
                <w:webHidden/>
              </w:rPr>
              <w:tab/>
            </w:r>
            <w:r>
              <w:rPr>
                <w:noProof/>
                <w:webHidden/>
              </w:rPr>
              <w:fldChar w:fldCharType="begin"/>
            </w:r>
            <w:r>
              <w:rPr>
                <w:noProof/>
                <w:webHidden/>
              </w:rPr>
              <w:instrText xml:space="preserve"> PAGEREF _Toc220490603 \h </w:instrText>
            </w:r>
            <w:r>
              <w:rPr>
                <w:noProof/>
                <w:webHidden/>
              </w:rPr>
            </w:r>
            <w:r>
              <w:rPr>
                <w:noProof/>
                <w:webHidden/>
              </w:rPr>
              <w:fldChar w:fldCharType="separate"/>
            </w:r>
            <w:r>
              <w:rPr>
                <w:noProof/>
                <w:webHidden/>
              </w:rPr>
              <w:t>247</w:t>
            </w:r>
            <w:r>
              <w:rPr>
                <w:noProof/>
                <w:webHidden/>
              </w:rPr>
              <w:fldChar w:fldCharType="end"/>
            </w:r>
          </w:hyperlink>
        </w:p>
        <w:p w14:paraId="7A2E6799" w14:textId="276859A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04" w:history="1">
            <w:r w:rsidRPr="001D4C20">
              <w:rPr>
                <w:rStyle w:val="Lienhypertexte"/>
                <w:noProof/>
              </w:rPr>
              <w:t>52.42.1b Isolation en rouleaux/matelas - polyéthylène expansé à structure cellulaire fermée CCTB 01.10</w:t>
            </w:r>
            <w:r>
              <w:rPr>
                <w:noProof/>
                <w:webHidden/>
              </w:rPr>
              <w:tab/>
            </w:r>
            <w:r>
              <w:rPr>
                <w:noProof/>
                <w:webHidden/>
              </w:rPr>
              <w:fldChar w:fldCharType="begin"/>
            </w:r>
            <w:r>
              <w:rPr>
                <w:noProof/>
                <w:webHidden/>
              </w:rPr>
              <w:instrText xml:space="preserve"> PAGEREF _Toc220490604 \h </w:instrText>
            </w:r>
            <w:r>
              <w:rPr>
                <w:noProof/>
                <w:webHidden/>
              </w:rPr>
            </w:r>
            <w:r>
              <w:rPr>
                <w:noProof/>
                <w:webHidden/>
              </w:rPr>
              <w:fldChar w:fldCharType="separate"/>
            </w:r>
            <w:r>
              <w:rPr>
                <w:noProof/>
                <w:webHidden/>
              </w:rPr>
              <w:t>248</w:t>
            </w:r>
            <w:r>
              <w:rPr>
                <w:noProof/>
                <w:webHidden/>
              </w:rPr>
              <w:fldChar w:fldCharType="end"/>
            </w:r>
          </w:hyperlink>
        </w:p>
        <w:p w14:paraId="614942FA" w14:textId="2567ABD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05" w:history="1">
            <w:r w:rsidRPr="001D4C20">
              <w:rPr>
                <w:rStyle w:val="Lienhypertexte"/>
                <w:noProof/>
              </w:rPr>
              <w:t>52.42.1c Isolation en rouleaux/matelas - polyuréthane (PUR) CCTB 01.02</w:t>
            </w:r>
            <w:r>
              <w:rPr>
                <w:noProof/>
                <w:webHidden/>
              </w:rPr>
              <w:tab/>
            </w:r>
            <w:r>
              <w:rPr>
                <w:noProof/>
                <w:webHidden/>
              </w:rPr>
              <w:fldChar w:fldCharType="begin"/>
            </w:r>
            <w:r>
              <w:rPr>
                <w:noProof/>
                <w:webHidden/>
              </w:rPr>
              <w:instrText xml:space="preserve"> PAGEREF _Toc220490605 \h </w:instrText>
            </w:r>
            <w:r>
              <w:rPr>
                <w:noProof/>
                <w:webHidden/>
              </w:rPr>
            </w:r>
            <w:r>
              <w:rPr>
                <w:noProof/>
                <w:webHidden/>
              </w:rPr>
              <w:fldChar w:fldCharType="separate"/>
            </w:r>
            <w:r>
              <w:rPr>
                <w:noProof/>
                <w:webHidden/>
              </w:rPr>
              <w:t>249</w:t>
            </w:r>
            <w:r>
              <w:rPr>
                <w:noProof/>
                <w:webHidden/>
              </w:rPr>
              <w:fldChar w:fldCharType="end"/>
            </w:r>
          </w:hyperlink>
        </w:p>
        <w:p w14:paraId="529B6E53" w14:textId="16672D2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06" w:history="1">
            <w:r w:rsidRPr="001D4C20">
              <w:rPr>
                <w:rStyle w:val="Lienhypertexte"/>
                <w:noProof/>
              </w:rPr>
              <w:t>52.42.1d Isolation en rouleaux/matelas - isolant multicouches à cellules fermées CCTB 01.12</w:t>
            </w:r>
            <w:r>
              <w:rPr>
                <w:noProof/>
                <w:webHidden/>
              </w:rPr>
              <w:tab/>
            </w:r>
            <w:r>
              <w:rPr>
                <w:noProof/>
                <w:webHidden/>
              </w:rPr>
              <w:fldChar w:fldCharType="begin"/>
            </w:r>
            <w:r>
              <w:rPr>
                <w:noProof/>
                <w:webHidden/>
              </w:rPr>
              <w:instrText xml:space="preserve"> PAGEREF _Toc220490606 \h </w:instrText>
            </w:r>
            <w:r>
              <w:rPr>
                <w:noProof/>
                <w:webHidden/>
              </w:rPr>
            </w:r>
            <w:r>
              <w:rPr>
                <w:noProof/>
                <w:webHidden/>
              </w:rPr>
              <w:fldChar w:fldCharType="separate"/>
            </w:r>
            <w:r>
              <w:rPr>
                <w:noProof/>
                <w:webHidden/>
              </w:rPr>
              <w:t>249</w:t>
            </w:r>
            <w:r>
              <w:rPr>
                <w:noProof/>
                <w:webHidden/>
              </w:rPr>
              <w:fldChar w:fldCharType="end"/>
            </w:r>
          </w:hyperlink>
        </w:p>
        <w:p w14:paraId="2FE44982" w14:textId="7501D77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07" w:history="1">
            <w:r w:rsidRPr="001D4C20">
              <w:rPr>
                <w:rStyle w:val="Lienhypertexte"/>
                <w:noProof/>
              </w:rPr>
              <w:t>52.42.1e Isolation en rouleaux/matelas - polystyrène expansé CCTB 01.02</w:t>
            </w:r>
            <w:r>
              <w:rPr>
                <w:noProof/>
                <w:webHidden/>
              </w:rPr>
              <w:tab/>
            </w:r>
            <w:r>
              <w:rPr>
                <w:noProof/>
                <w:webHidden/>
              </w:rPr>
              <w:fldChar w:fldCharType="begin"/>
            </w:r>
            <w:r>
              <w:rPr>
                <w:noProof/>
                <w:webHidden/>
              </w:rPr>
              <w:instrText xml:space="preserve"> PAGEREF _Toc220490607 \h </w:instrText>
            </w:r>
            <w:r>
              <w:rPr>
                <w:noProof/>
                <w:webHidden/>
              </w:rPr>
            </w:r>
            <w:r>
              <w:rPr>
                <w:noProof/>
                <w:webHidden/>
              </w:rPr>
              <w:fldChar w:fldCharType="separate"/>
            </w:r>
            <w:r>
              <w:rPr>
                <w:noProof/>
                <w:webHidden/>
              </w:rPr>
              <w:t>250</w:t>
            </w:r>
            <w:r>
              <w:rPr>
                <w:noProof/>
                <w:webHidden/>
              </w:rPr>
              <w:fldChar w:fldCharType="end"/>
            </w:r>
          </w:hyperlink>
        </w:p>
        <w:p w14:paraId="63E4D485" w14:textId="1C71B86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08" w:history="1">
            <w:r w:rsidRPr="001D4C20">
              <w:rPr>
                <w:rStyle w:val="Lienhypertexte"/>
                <w:noProof/>
              </w:rPr>
              <w:t>52.42.2 Isolation en rouleaux/matelas - matières minérales CCTB 01.02</w:t>
            </w:r>
            <w:r>
              <w:rPr>
                <w:noProof/>
                <w:webHidden/>
              </w:rPr>
              <w:tab/>
            </w:r>
            <w:r>
              <w:rPr>
                <w:noProof/>
                <w:webHidden/>
              </w:rPr>
              <w:fldChar w:fldCharType="begin"/>
            </w:r>
            <w:r>
              <w:rPr>
                <w:noProof/>
                <w:webHidden/>
              </w:rPr>
              <w:instrText xml:space="preserve"> PAGEREF _Toc220490608 \h </w:instrText>
            </w:r>
            <w:r>
              <w:rPr>
                <w:noProof/>
                <w:webHidden/>
              </w:rPr>
            </w:r>
            <w:r>
              <w:rPr>
                <w:noProof/>
                <w:webHidden/>
              </w:rPr>
              <w:fldChar w:fldCharType="separate"/>
            </w:r>
            <w:r>
              <w:rPr>
                <w:noProof/>
                <w:webHidden/>
              </w:rPr>
              <w:t>251</w:t>
            </w:r>
            <w:r>
              <w:rPr>
                <w:noProof/>
                <w:webHidden/>
              </w:rPr>
              <w:fldChar w:fldCharType="end"/>
            </w:r>
          </w:hyperlink>
        </w:p>
        <w:p w14:paraId="5CB9D96B" w14:textId="3E2B9AE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09" w:history="1">
            <w:r w:rsidRPr="001D4C20">
              <w:rPr>
                <w:rStyle w:val="Lienhypertexte"/>
                <w:noProof/>
              </w:rPr>
              <w:t>52.42.2a Isolation en rouleaux/matelas - laine minérale (MW) CCTB 01.12</w:t>
            </w:r>
            <w:r>
              <w:rPr>
                <w:noProof/>
                <w:webHidden/>
              </w:rPr>
              <w:tab/>
            </w:r>
            <w:r>
              <w:rPr>
                <w:noProof/>
                <w:webHidden/>
              </w:rPr>
              <w:fldChar w:fldCharType="begin"/>
            </w:r>
            <w:r>
              <w:rPr>
                <w:noProof/>
                <w:webHidden/>
              </w:rPr>
              <w:instrText xml:space="preserve"> PAGEREF _Toc220490609 \h </w:instrText>
            </w:r>
            <w:r>
              <w:rPr>
                <w:noProof/>
                <w:webHidden/>
              </w:rPr>
            </w:r>
            <w:r>
              <w:rPr>
                <w:noProof/>
                <w:webHidden/>
              </w:rPr>
              <w:fldChar w:fldCharType="separate"/>
            </w:r>
            <w:r>
              <w:rPr>
                <w:noProof/>
                <w:webHidden/>
              </w:rPr>
              <w:t>251</w:t>
            </w:r>
            <w:r>
              <w:rPr>
                <w:noProof/>
                <w:webHidden/>
              </w:rPr>
              <w:fldChar w:fldCharType="end"/>
            </w:r>
          </w:hyperlink>
        </w:p>
        <w:p w14:paraId="60D6B550" w14:textId="77B67947"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10" w:history="1">
            <w:r w:rsidRPr="001D4C20">
              <w:rPr>
                <w:rStyle w:val="Lienhypertexte"/>
                <w:noProof/>
              </w:rPr>
              <w:t>52.42.3 Isolation en rouleaux/matelas - matières végétales CCTB 01.07</w:t>
            </w:r>
            <w:r>
              <w:rPr>
                <w:noProof/>
                <w:webHidden/>
              </w:rPr>
              <w:tab/>
            </w:r>
            <w:r>
              <w:rPr>
                <w:noProof/>
                <w:webHidden/>
              </w:rPr>
              <w:fldChar w:fldCharType="begin"/>
            </w:r>
            <w:r>
              <w:rPr>
                <w:noProof/>
                <w:webHidden/>
              </w:rPr>
              <w:instrText xml:space="preserve"> PAGEREF _Toc220490610 \h </w:instrText>
            </w:r>
            <w:r>
              <w:rPr>
                <w:noProof/>
                <w:webHidden/>
              </w:rPr>
            </w:r>
            <w:r>
              <w:rPr>
                <w:noProof/>
                <w:webHidden/>
              </w:rPr>
              <w:fldChar w:fldCharType="separate"/>
            </w:r>
            <w:r>
              <w:rPr>
                <w:noProof/>
                <w:webHidden/>
              </w:rPr>
              <w:t>254</w:t>
            </w:r>
            <w:r>
              <w:rPr>
                <w:noProof/>
                <w:webHidden/>
              </w:rPr>
              <w:fldChar w:fldCharType="end"/>
            </w:r>
          </w:hyperlink>
        </w:p>
        <w:p w14:paraId="27F696EE" w14:textId="71F9DBE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11" w:history="1">
            <w:r w:rsidRPr="001D4C20">
              <w:rPr>
                <w:rStyle w:val="Lienhypertexte"/>
                <w:noProof/>
              </w:rPr>
              <w:t>52.42.3a Isolation en rouleaux/matelas - liège (ICB) CCTB 01.07</w:t>
            </w:r>
            <w:r>
              <w:rPr>
                <w:noProof/>
                <w:webHidden/>
              </w:rPr>
              <w:tab/>
            </w:r>
            <w:r>
              <w:rPr>
                <w:noProof/>
                <w:webHidden/>
              </w:rPr>
              <w:fldChar w:fldCharType="begin"/>
            </w:r>
            <w:r>
              <w:rPr>
                <w:noProof/>
                <w:webHidden/>
              </w:rPr>
              <w:instrText xml:space="preserve"> PAGEREF _Toc220490611 \h </w:instrText>
            </w:r>
            <w:r>
              <w:rPr>
                <w:noProof/>
                <w:webHidden/>
              </w:rPr>
            </w:r>
            <w:r>
              <w:rPr>
                <w:noProof/>
                <w:webHidden/>
              </w:rPr>
              <w:fldChar w:fldCharType="separate"/>
            </w:r>
            <w:r>
              <w:rPr>
                <w:noProof/>
                <w:webHidden/>
              </w:rPr>
              <w:t>254</w:t>
            </w:r>
            <w:r>
              <w:rPr>
                <w:noProof/>
                <w:webHidden/>
              </w:rPr>
              <w:fldChar w:fldCharType="end"/>
            </w:r>
          </w:hyperlink>
        </w:p>
        <w:p w14:paraId="3A08EC46" w14:textId="0B933B9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12" w:history="1">
            <w:r w:rsidRPr="001D4C20">
              <w:rPr>
                <w:rStyle w:val="Lienhypertexte"/>
                <w:noProof/>
              </w:rPr>
              <w:t>52.42.3b Isolation en rouleaux/matelas - laine de chanvre CCTB 01.12</w:t>
            </w:r>
            <w:r>
              <w:rPr>
                <w:noProof/>
                <w:webHidden/>
              </w:rPr>
              <w:tab/>
            </w:r>
            <w:r>
              <w:rPr>
                <w:noProof/>
                <w:webHidden/>
              </w:rPr>
              <w:fldChar w:fldCharType="begin"/>
            </w:r>
            <w:r>
              <w:rPr>
                <w:noProof/>
                <w:webHidden/>
              </w:rPr>
              <w:instrText xml:space="preserve"> PAGEREF _Toc220490612 \h </w:instrText>
            </w:r>
            <w:r>
              <w:rPr>
                <w:noProof/>
                <w:webHidden/>
              </w:rPr>
            </w:r>
            <w:r>
              <w:rPr>
                <w:noProof/>
                <w:webHidden/>
              </w:rPr>
              <w:fldChar w:fldCharType="separate"/>
            </w:r>
            <w:r>
              <w:rPr>
                <w:noProof/>
                <w:webHidden/>
              </w:rPr>
              <w:t>255</w:t>
            </w:r>
            <w:r>
              <w:rPr>
                <w:noProof/>
                <w:webHidden/>
              </w:rPr>
              <w:fldChar w:fldCharType="end"/>
            </w:r>
          </w:hyperlink>
        </w:p>
        <w:p w14:paraId="035CFBAC" w14:textId="24EB855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13" w:history="1">
            <w:r w:rsidRPr="001D4C20">
              <w:rPr>
                <w:rStyle w:val="Lienhypertexte"/>
                <w:noProof/>
              </w:rPr>
              <w:t>52.42.3c Isolation en rouleaux/matelas - feutre de bois CCTB 01.02</w:t>
            </w:r>
            <w:r>
              <w:rPr>
                <w:noProof/>
                <w:webHidden/>
              </w:rPr>
              <w:tab/>
            </w:r>
            <w:r>
              <w:rPr>
                <w:noProof/>
                <w:webHidden/>
              </w:rPr>
              <w:fldChar w:fldCharType="begin"/>
            </w:r>
            <w:r>
              <w:rPr>
                <w:noProof/>
                <w:webHidden/>
              </w:rPr>
              <w:instrText xml:space="preserve"> PAGEREF _Toc220490613 \h </w:instrText>
            </w:r>
            <w:r>
              <w:rPr>
                <w:noProof/>
                <w:webHidden/>
              </w:rPr>
            </w:r>
            <w:r>
              <w:rPr>
                <w:noProof/>
                <w:webHidden/>
              </w:rPr>
              <w:fldChar w:fldCharType="separate"/>
            </w:r>
            <w:r>
              <w:rPr>
                <w:noProof/>
                <w:webHidden/>
              </w:rPr>
              <w:t>258</w:t>
            </w:r>
            <w:r>
              <w:rPr>
                <w:noProof/>
                <w:webHidden/>
              </w:rPr>
              <w:fldChar w:fldCharType="end"/>
            </w:r>
          </w:hyperlink>
        </w:p>
        <w:p w14:paraId="212F987A" w14:textId="4C663EA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14" w:history="1">
            <w:r w:rsidRPr="001D4C20">
              <w:rPr>
                <w:rStyle w:val="Lienhypertexte"/>
                <w:noProof/>
              </w:rPr>
              <w:t>52.42.3d Isolation en rouleaux/matelas - fibres de coco CCTB 01.10</w:t>
            </w:r>
            <w:r>
              <w:rPr>
                <w:noProof/>
                <w:webHidden/>
              </w:rPr>
              <w:tab/>
            </w:r>
            <w:r>
              <w:rPr>
                <w:noProof/>
                <w:webHidden/>
              </w:rPr>
              <w:fldChar w:fldCharType="begin"/>
            </w:r>
            <w:r>
              <w:rPr>
                <w:noProof/>
                <w:webHidden/>
              </w:rPr>
              <w:instrText xml:space="preserve"> PAGEREF _Toc220490614 \h </w:instrText>
            </w:r>
            <w:r>
              <w:rPr>
                <w:noProof/>
                <w:webHidden/>
              </w:rPr>
            </w:r>
            <w:r>
              <w:rPr>
                <w:noProof/>
                <w:webHidden/>
              </w:rPr>
              <w:fldChar w:fldCharType="separate"/>
            </w:r>
            <w:r>
              <w:rPr>
                <w:noProof/>
                <w:webHidden/>
              </w:rPr>
              <w:t>258</w:t>
            </w:r>
            <w:r>
              <w:rPr>
                <w:noProof/>
                <w:webHidden/>
              </w:rPr>
              <w:fldChar w:fldCharType="end"/>
            </w:r>
          </w:hyperlink>
        </w:p>
        <w:p w14:paraId="39F9537E" w14:textId="78E3919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15" w:history="1">
            <w:r w:rsidRPr="001D4C20">
              <w:rPr>
                <w:rStyle w:val="Lienhypertexte"/>
                <w:noProof/>
              </w:rPr>
              <w:t>52.42.3e Isolation en rouleaux/matelas - fibres de lin CCTB 01.07</w:t>
            </w:r>
            <w:r>
              <w:rPr>
                <w:noProof/>
                <w:webHidden/>
              </w:rPr>
              <w:tab/>
            </w:r>
            <w:r>
              <w:rPr>
                <w:noProof/>
                <w:webHidden/>
              </w:rPr>
              <w:fldChar w:fldCharType="begin"/>
            </w:r>
            <w:r>
              <w:rPr>
                <w:noProof/>
                <w:webHidden/>
              </w:rPr>
              <w:instrText xml:space="preserve"> PAGEREF _Toc220490615 \h </w:instrText>
            </w:r>
            <w:r>
              <w:rPr>
                <w:noProof/>
                <w:webHidden/>
              </w:rPr>
            </w:r>
            <w:r>
              <w:rPr>
                <w:noProof/>
                <w:webHidden/>
              </w:rPr>
              <w:fldChar w:fldCharType="separate"/>
            </w:r>
            <w:r>
              <w:rPr>
                <w:noProof/>
                <w:webHidden/>
              </w:rPr>
              <w:t>259</w:t>
            </w:r>
            <w:r>
              <w:rPr>
                <w:noProof/>
                <w:webHidden/>
              </w:rPr>
              <w:fldChar w:fldCharType="end"/>
            </w:r>
          </w:hyperlink>
        </w:p>
        <w:p w14:paraId="2D04D414" w14:textId="68F4993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16" w:history="1">
            <w:r w:rsidRPr="001D4C20">
              <w:rPr>
                <w:rStyle w:val="Lienhypertexte"/>
                <w:noProof/>
              </w:rPr>
              <w:t>52.42.3f Isolation en rouleaux/matelas - paille  CCTB 01.10</w:t>
            </w:r>
            <w:r>
              <w:rPr>
                <w:noProof/>
                <w:webHidden/>
              </w:rPr>
              <w:tab/>
            </w:r>
            <w:r>
              <w:rPr>
                <w:noProof/>
                <w:webHidden/>
              </w:rPr>
              <w:fldChar w:fldCharType="begin"/>
            </w:r>
            <w:r>
              <w:rPr>
                <w:noProof/>
                <w:webHidden/>
              </w:rPr>
              <w:instrText xml:space="preserve"> PAGEREF _Toc220490616 \h </w:instrText>
            </w:r>
            <w:r>
              <w:rPr>
                <w:noProof/>
                <w:webHidden/>
              </w:rPr>
            </w:r>
            <w:r>
              <w:rPr>
                <w:noProof/>
                <w:webHidden/>
              </w:rPr>
              <w:fldChar w:fldCharType="separate"/>
            </w:r>
            <w:r>
              <w:rPr>
                <w:noProof/>
                <w:webHidden/>
              </w:rPr>
              <w:t>260</w:t>
            </w:r>
            <w:r>
              <w:rPr>
                <w:noProof/>
                <w:webHidden/>
              </w:rPr>
              <w:fldChar w:fldCharType="end"/>
            </w:r>
          </w:hyperlink>
        </w:p>
        <w:p w14:paraId="2D48CBCC" w14:textId="1BC6E26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17" w:history="1">
            <w:r w:rsidRPr="001D4C20">
              <w:rPr>
                <w:rStyle w:val="Lienhypertexte"/>
                <w:noProof/>
              </w:rPr>
              <w:t>52.42.3g Isolation en rouleaux/matelas - biopolymères CCTB 01.12</w:t>
            </w:r>
            <w:r>
              <w:rPr>
                <w:noProof/>
                <w:webHidden/>
              </w:rPr>
              <w:tab/>
            </w:r>
            <w:r>
              <w:rPr>
                <w:noProof/>
                <w:webHidden/>
              </w:rPr>
              <w:fldChar w:fldCharType="begin"/>
            </w:r>
            <w:r>
              <w:rPr>
                <w:noProof/>
                <w:webHidden/>
              </w:rPr>
              <w:instrText xml:space="preserve"> PAGEREF _Toc220490617 \h </w:instrText>
            </w:r>
            <w:r>
              <w:rPr>
                <w:noProof/>
                <w:webHidden/>
              </w:rPr>
            </w:r>
            <w:r>
              <w:rPr>
                <w:noProof/>
                <w:webHidden/>
              </w:rPr>
              <w:fldChar w:fldCharType="separate"/>
            </w:r>
            <w:r>
              <w:rPr>
                <w:noProof/>
                <w:webHidden/>
              </w:rPr>
              <w:t>263</w:t>
            </w:r>
            <w:r>
              <w:rPr>
                <w:noProof/>
                <w:webHidden/>
              </w:rPr>
              <w:fldChar w:fldCharType="end"/>
            </w:r>
          </w:hyperlink>
        </w:p>
        <w:p w14:paraId="5CBF245A" w14:textId="05160B89"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18" w:history="1">
            <w:r w:rsidRPr="001D4C20">
              <w:rPr>
                <w:rStyle w:val="Lienhypertexte"/>
                <w:noProof/>
              </w:rPr>
              <w:t>52.42.4 Isolation en rouleaux/matelas - matières animales CCTB 01.02</w:t>
            </w:r>
            <w:r>
              <w:rPr>
                <w:noProof/>
                <w:webHidden/>
              </w:rPr>
              <w:tab/>
            </w:r>
            <w:r>
              <w:rPr>
                <w:noProof/>
                <w:webHidden/>
              </w:rPr>
              <w:fldChar w:fldCharType="begin"/>
            </w:r>
            <w:r>
              <w:rPr>
                <w:noProof/>
                <w:webHidden/>
              </w:rPr>
              <w:instrText xml:space="preserve"> PAGEREF _Toc220490618 \h </w:instrText>
            </w:r>
            <w:r>
              <w:rPr>
                <w:noProof/>
                <w:webHidden/>
              </w:rPr>
            </w:r>
            <w:r>
              <w:rPr>
                <w:noProof/>
                <w:webHidden/>
              </w:rPr>
              <w:fldChar w:fldCharType="separate"/>
            </w:r>
            <w:r>
              <w:rPr>
                <w:noProof/>
                <w:webHidden/>
              </w:rPr>
              <w:t>265</w:t>
            </w:r>
            <w:r>
              <w:rPr>
                <w:noProof/>
                <w:webHidden/>
              </w:rPr>
              <w:fldChar w:fldCharType="end"/>
            </w:r>
          </w:hyperlink>
        </w:p>
        <w:p w14:paraId="2BE28955" w14:textId="5FD6A35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19" w:history="1">
            <w:r w:rsidRPr="001D4C20">
              <w:rPr>
                <w:rStyle w:val="Lienhypertexte"/>
                <w:noProof/>
              </w:rPr>
              <w:t>52.42.4a Isolation en rouleaux/matelas - laine de mouton CCTB 01.07</w:t>
            </w:r>
            <w:r>
              <w:rPr>
                <w:noProof/>
                <w:webHidden/>
              </w:rPr>
              <w:tab/>
            </w:r>
            <w:r>
              <w:rPr>
                <w:noProof/>
                <w:webHidden/>
              </w:rPr>
              <w:fldChar w:fldCharType="begin"/>
            </w:r>
            <w:r>
              <w:rPr>
                <w:noProof/>
                <w:webHidden/>
              </w:rPr>
              <w:instrText xml:space="preserve"> PAGEREF _Toc220490619 \h </w:instrText>
            </w:r>
            <w:r>
              <w:rPr>
                <w:noProof/>
                <w:webHidden/>
              </w:rPr>
            </w:r>
            <w:r>
              <w:rPr>
                <w:noProof/>
                <w:webHidden/>
              </w:rPr>
              <w:fldChar w:fldCharType="separate"/>
            </w:r>
            <w:r>
              <w:rPr>
                <w:noProof/>
                <w:webHidden/>
              </w:rPr>
              <w:t>265</w:t>
            </w:r>
            <w:r>
              <w:rPr>
                <w:noProof/>
                <w:webHidden/>
              </w:rPr>
              <w:fldChar w:fldCharType="end"/>
            </w:r>
          </w:hyperlink>
        </w:p>
        <w:p w14:paraId="2CBB464A" w14:textId="391B41C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20" w:history="1">
            <w:r w:rsidRPr="001D4C20">
              <w:rPr>
                <w:rStyle w:val="Lienhypertexte"/>
                <w:noProof/>
              </w:rPr>
              <w:t>52.42.4b Isolation en rouleaux/matelas - plumes de canard CCTB 01.02</w:t>
            </w:r>
            <w:r>
              <w:rPr>
                <w:noProof/>
                <w:webHidden/>
              </w:rPr>
              <w:tab/>
            </w:r>
            <w:r>
              <w:rPr>
                <w:noProof/>
                <w:webHidden/>
              </w:rPr>
              <w:fldChar w:fldCharType="begin"/>
            </w:r>
            <w:r>
              <w:rPr>
                <w:noProof/>
                <w:webHidden/>
              </w:rPr>
              <w:instrText xml:space="preserve"> PAGEREF _Toc220490620 \h </w:instrText>
            </w:r>
            <w:r>
              <w:rPr>
                <w:noProof/>
                <w:webHidden/>
              </w:rPr>
            </w:r>
            <w:r>
              <w:rPr>
                <w:noProof/>
                <w:webHidden/>
              </w:rPr>
              <w:fldChar w:fldCharType="separate"/>
            </w:r>
            <w:r>
              <w:rPr>
                <w:noProof/>
                <w:webHidden/>
              </w:rPr>
              <w:t>266</w:t>
            </w:r>
            <w:r>
              <w:rPr>
                <w:noProof/>
                <w:webHidden/>
              </w:rPr>
              <w:fldChar w:fldCharType="end"/>
            </w:r>
          </w:hyperlink>
        </w:p>
        <w:p w14:paraId="27845881" w14:textId="62ABE7E2"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21" w:history="1">
            <w:r w:rsidRPr="001D4C20">
              <w:rPr>
                <w:rStyle w:val="Lienhypertexte"/>
                <w:noProof/>
              </w:rPr>
              <w:t>52.42.5 Isolation en rouleaux/matelas - matières composites CCTB 01.02</w:t>
            </w:r>
            <w:r>
              <w:rPr>
                <w:noProof/>
                <w:webHidden/>
              </w:rPr>
              <w:tab/>
            </w:r>
            <w:r>
              <w:rPr>
                <w:noProof/>
                <w:webHidden/>
              </w:rPr>
              <w:fldChar w:fldCharType="begin"/>
            </w:r>
            <w:r>
              <w:rPr>
                <w:noProof/>
                <w:webHidden/>
              </w:rPr>
              <w:instrText xml:space="preserve"> PAGEREF _Toc220490621 \h </w:instrText>
            </w:r>
            <w:r>
              <w:rPr>
                <w:noProof/>
                <w:webHidden/>
              </w:rPr>
            </w:r>
            <w:r>
              <w:rPr>
                <w:noProof/>
                <w:webHidden/>
              </w:rPr>
              <w:fldChar w:fldCharType="separate"/>
            </w:r>
            <w:r>
              <w:rPr>
                <w:noProof/>
                <w:webHidden/>
              </w:rPr>
              <w:t>266</w:t>
            </w:r>
            <w:r>
              <w:rPr>
                <w:noProof/>
                <w:webHidden/>
              </w:rPr>
              <w:fldChar w:fldCharType="end"/>
            </w:r>
          </w:hyperlink>
        </w:p>
        <w:p w14:paraId="1B441B9E" w14:textId="29BC3C5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22" w:history="1">
            <w:r w:rsidRPr="001D4C20">
              <w:rPr>
                <w:rStyle w:val="Lienhypertexte"/>
                <w:noProof/>
              </w:rPr>
              <w:t>52.42.5a Isolation en rouleaux/matelas - matières composites CCTB 01.02</w:t>
            </w:r>
            <w:r>
              <w:rPr>
                <w:noProof/>
                <w:webHidden/>
              </w:rPr>
              <w:tab/>
            </w:r>
            <w:r>
              <w:rPr>
                <w:noProof/>
                <w:webHidden/>
              </w:rPr>
              <w:fldChar w:fldCharType="begin"/>
            </w:r>
            <w:r>
              <w:rPr>
                <w:noProof/>
                <w:webHidden/>
              </w:rPr>
              <w:instrText xml:space="preserve"> PAGEREF _Toc220490622 \h </w:instrText>
            </w:r>
            <w:r>
              <w:rPr>
                <w:noProof/>
                <w:webHidden/>
              </w:rPr>
            </w:r>
            <w:r>
              <w:rPr>
                <w:noProof/>
                <w:webHidden/>
              </w:rPr>
              <w:fldChar w:fldCharType="separate"/>
            </w:r>
            <w:r>
              <w:rPr>
                <w:noProof/>
                <w:webHidden/>
              </w:rPr>
              <w:t>266</w:t>
            </w:r>
            <w:r>
              <w:rPr>
                <w:noProof/>
                <w:webHidden/>
              </w:rPr>
              <w:fldChar w:fldCharType="end"/>
            </w:r>
          </w:hyperlink>
        </w:p>
        <w:p w14:paraId="1EE42C34" w14:textId="562A4889"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623" w:history="1">
            <w:r w:rsidRPr="001D4C20">
              <w:rPr>
                <w:rStyle w:val="Lienhypertexte"/>
                <w:noProof/>
              </w:rPr>
              <w:t>52.43 Isolation à projeter CCTB 01.12</w:t>
            </w:r>
            <w:r>
              <w:rPr>
                <w:noProof/>
                <w:webHidden/>
              </w:rPr>
              <w:tab/>
            </w:r>
            <w:r>
              <w:rPr>
                <w:noProof/>
                <w:webHidden/>
              </w:rPr>
              <w:fldChar w:fldCharType="begin"/>
            </w:r>
            <w:r>
              <w:rPr>
                <w:noProof/>
                <w:webHidden/>
              </w:rPr>
              <w:instrText xml:space="preserve"> PAGEREF _Toc220490623 \h </w:instrText>
            </w:r>
            <w:r>
              <w:rPr>
                <w:noProof/>
                <w:webHidden/>
              </w:rPr>
            </w:r>
            <w:r>
              <w:rPr>
                <w:noProof/>
                <w:webHidden/>
              </w:rPr>
              <w:fldChar w:fldCharType="separate"/>
            </w:r>
            <w:r>
              <w:rPr>
                <w:noProof/>
                <w:webHidden/>
              </w:rPr>
              <w:t>266</w:t>
            </w:r>
            <w:r>
              <w:rPr>
                <w:noProof/>
                <w:webHidden/>
              </w:rPr>
              <w:fldChar w:fldCharType="end"/>
            </w:r>
          </w:hyperlink>
        </w:p>
        <w:p w14:paraId="32809C63" w14:textId="04E1CAD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24" w:history="1">
            <w:r w:rsidRPr="001D4C20">
              <w:rPr>
                <w:rStyle w:val="Lienhypertexte"/>
                <w:noProof/>
              </w:rPr>
              <w:t>52.43.1 Isolation à projeter - matières synthétiques CCTB 01.12</w:t>
            </w:r>
            <w:r>
              <w:rPr>
                <w:noProof/>
                <w:webHidden/>
              </w:rPr>
              <w:tab/>
            </w:r>
            <w:r>
              <w:rPr>
                <w:noProof/>
                <w:webHidden/>
              </w:rPr>
              <w:fldChar w:fldCharType="begin"/>
            </w:r>
            <w:r>
              <w:rPr>
                <w:noProof/>
                <w:webHidden/>
              </w:rPr>
              <w:instrText xml:space="preserve"> PAGEREF _Toc220490624 \h </w:instrText>
            </w:r>
            <w:r>
              <w:rPr>
                <w:noProof/>
                <w:webHidden/>
              </w:rPr>
            </w:r>
            <w:r>
              <w:rPr>
                <w:noProof/>
                <w:webHidden/>
              </w:rPr>
              <w:fldChar w:fldCharType="separate"/>
            </w:r>
            <w:r>
              <w:rPr>
                <w:noProof/>
                <w:webHidden/>
              </w:rPr>
              <w:t>268</w:t>
            </w:r>
            <w:r>
              <w:rPr>
                <w:noProof/>
                <w:webHidden/>
              </w:rPr>
              <w:fldChar w:fldCharType="end"/>
            </w:r>
          </w:hyperlink>
        </w:p>
        <w:p w14:paraId="0AFC3F1C" w14:textId="7FB2916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25" w:history="1">
            <w:r w:rsidRPr="001D4C20">
              <w:rPr>
                <w:rStyle w:val="Lienhypertexte"/>
                <w:noProof/>
              </w:rPr>
              <w:t>52.43.1a Isolation à projeter - polyuréthane (PUR) CCTB 01.07</w:t>
            </w:r>
            <w:r>
              <w:rPr>
                <w:noProof/>
                <w:webHidden/>
              </w:rPr>
              <w:tab/>
            </w:r>
            <w:r>
              <w:rPr>
                <w:noProof/>
                <w:webHidden/>
              </w:rPr>
              <w:fldChar w:fldCharType="begin"/>
            </w:r>
            <w:r>
              <w:rPr>
                <w:noProof/>
                <w:webHidden/>
              </w:rPr>
              <w:instrText xml:space="preserve"> PAGEREF _Toc220490625 \h </w:instrText>
            </w:r>
            <w:r>
              <w:rPr>
                <w:noProof/>
                <w:webHidden/>
              </w:rPr>
            </w:r>
            <w:r>
              <w:rPr>
                <w:noProof/>
                <w:webHidden/>
              </w:rPr>
              <w:fldChar w:fldCharType="separate"/>
            </w:r>
            <w:r>
              <w:rPr>
                <w:noProof/>
                <w:webHidden/>
              </w:rPr>
              <w:t>269</w:t>
            </w:r>
            <w:r>
              <w:rPr>
                <w:noProof/>
                <w:webHidden/>
              </w:rPr>
              <w:fldChar w:fldCharType="end"/>
            </w:r>
          </w:hyperlink>
        </w:p>
        <w:p w14:paraId="0A0DD10B" w14:textId="6904D25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26" w:history="1">
            <w:r w:rsidRPr="001D4C20">
              <w:rPr>
                <w:rStyle w:val="Lienhypertexte"/>
                <w:noProof/>
              </w:rPr>
              <w:t>52.43.1b Isolation à projeter - polyisocyanurate (PIR) CCTB 01.02</w:t>
            </w:r>
            <w:r>
              <w:rPr>
                <w:noProof/>
                <w:webHidden/>
              </w:rPr>
              <w:tab/>
            </w:r>
            <w:r>
              <w:rPr>
                <w:noProof/>
                <w:webHidden/>
              </w:rPr>
              <w:fldChar w:fldCharType="begin"/>
            </w:r>
            <w:r>
              <w:rPr>
                <w:noProof/>
                <w:webHidden/>
              </w:rPr>
              <w:instrText xml:space="preserve"> PAGEREF _Toc220490626 \h </w:instrText>
            </w:r>
            <w:r>
              <w:rPr>
                <w:noProof/>
                <w:webHidden/>
              </w:rPr>
            </w:r>
            <w:r>
              <w:rPr>
                <w:noProof/>
                <w:webHidden/>
              </w:rPr>
              <w:fldChar w:fldCharType="separate"/>
            </w:r>
            <w:r>
              <w:rPr>
                <w:noProof/>
                <w:webHidden/>
              </w:rPr>
              <w:t>270</w:t>
            </w:r>
            <w:r>
              <w:rPr>
                <w:noProof/>
                <w:webHidden/>
              </w:rPr>
              <w:fldChar w:fldCharType="end"/>
            </w:r>
          </w:hyperlink>
        </w:p>
        <w:p w14:paraId="4F194B7E" w14:textId="5B7A6E1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27" w:history="1">
            <w:r w:rsidRPr="001D4C20">
              <w:rPr>
                <w:rStyle w:val="Lienhypertexte"/>
                <w:noProof/>
              </w:rPr>
              <w:t>52.43.1c Isolation à projeter - mousse phénolique (PF) CCTB 01.02</w:t>
            </w:r>
            <w:r>
              <w:rPr>
                <w:noProof/>
                <w:webHidden/>
              </w:rPr>
              <w:tab/>
            </w:r>
            <w:r>
              <w:rPr>
                <w:noProof/>
                <w:webHidden/>
              </w:rPr>
              <w:fldChar w:fldCharType="begin"/>
            </w:r>
            <w:r>
              <w:rPr>
                <w:noProof/>
                <w:webHidden/>
              </w:rPr>
              <w:instrText xml:space="preserve"> PAGEREF _Toc220490627 \h </w:instrText>
            </w:r>
            <w:r>
              <w:rPr>
                <w:noProof/>
                <w:webHidden/>
              </w:rPr>
            </w:r>
            <w:r>
              <w:rPr>
                <w:noProof/>
                <w:webHidden/>
              </w:rPr>
              <w:fldChar w:fldCharType="separate"/>
            </w:r>
            <w:r>
              <w:rPr>
                <w:noProof/>
                <w:webHidden/>
              </w:rPr>
              <w:t>270</w:t>
            </w:r>
            <w:r>
              <w:rPr>
                <w:noProof/>
                <w:webHidden/>
              </w:rPr>
              <w:fldChar w:fldCharType="end"/>
            </w:r>
          </w:hyperlink>
        </w:p>
        <w:p w14:paraId="1871F8F7" w14:textId="39D9C9C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28" w:history="1">
            <w:r w:rsidRPr="001D4C20">
              <w:rPr>
                <w:rStyle w:val="Lienhypertexte"/>
                <w:noProof/>
              </w:rPr>
              <w:t>52.43.1d Isolation à projeter - icynène CCTB 01.12</w:t>
            </w:r>
            <w:r>
              <w:rPr>
                <w:noProof/>
                <w:webHidden/>
              </w:rPr>
              <w:tab/>
            </w:r>
            <w:r>
              <w:rPr>
                <w:noProof/>
                <w:webHidden/>
              </w:rPr>
              <w:fldChar w:fldCharType="begin"/>
            </w:r>
            <w:r>
              <w:rPr>
                <w:noProof/>
                <w:webHidden/>
              </w:rPr>
              <w:instrText xml:space="preserve"> PAGEREF _Toc220490628 \h </w:instrText>
            </w:r>
            <w:r>
              <w:rPr>
                <w:noProof/>
                <w:webHidden/>
              </w:rPr>
            </w:r>
            <w:r>
              <w:rPr>
                <w:noProof/>
                <w:webHidden/>
              </w:rPr>
              <w:fldChar w:fldCharType="separate"/>
            </w:r>
            <w:r>
              <w:rPr>
                <w:noProof/>
                <w:webHidden/>
              </w:rPr>
              <w:t>270</w:t>
            </w:r>
            <w:r>
              <w:rPr>
                <w:noProof/>
                <w:webHidden/>
              </w:rPr>
              <w:fldChar w:fldCharType="end"/>
            </w:r>
          </w:hyperlink>
        </w:p>
        <w:p w14:paraId="6768ED8D" w14:textId="71ADFF0E"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29" w:history="1">
            <w:r w:rsidRPr="001D4C20">
              <w:rPr>
                <w:rStyle w:val="Lienhypertexte"/>
                <w:noProof/>
              </w:rPr>
              <w:t>52.43.2 Isolation à projeter - matières minérales CCTB 01.07</w:t>
            </w:r>
            <w:r>
              <w:rPr>
                <w:noProof/>
                <w:webHidden/>
              </w:rPr>
              <w:tab/>
            </w:r>
            <w:r>
              <w:rPr>
                <w:noProof/>
                <w:webHidden/>
              </w:rPr>
              <w:fldChar w:fldCharType="begin"/>
            </w:r>
            <w:r>
              <w:rPr>
                <w:noProof/>
                <w:webHidden/>
              </w:rPr>
              <w:instrText xml:space="preserve"> PAGEREF _Toc220490629 \h </w:instrText>
            </w:r>
            <w:r>
              <w:rPr>
                <w:noProof/>
                <w:webHidden/>
              </w:rPr>
            </w:r>
            <w:r>
              <w:rPr>
                <w:noProof/>
                <w:webHidden/>
              </w:rPr>
              <w:fldChar w:fldCharType="separate"/>
            </w:r>
            <w:r>
              <w:rPr>
                <w:noProof/>
                <w:webHidden/>
              </w:rPr>
              <w:t>270</w:t>
            </w:r>
            <w:r>
              <w:rPr>
                <w:noProof/>
                <w:webHidden/>
              </w:rPr>
              <w:fldChar w:fldCharType="end"/>
            </w:r>
          </w:hyperlink>
        </w:p>
        <w:p w14:paraId="3F6E218D" w14:textId="23194C6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30" w:history="1">
            <w:r w:rsidRPr="001D4C20">
              <w:rPr>
                <w:rStyle w:val="Lienhypertexte"/>
                <w:noProof/>
              </w:rPr>
              <w:t>52.43.2a Isolation à projeter - laine de roche (MW) CCTB 01.10</w:t>
            </w:r>
            <w:r>
              <w:rPr>
                <w:noProof/>
                <w:webHidden/>
              </w:rPr>
              <w:tab/>
            </w:r>
            <w:r>
              <w:rPr>
                <w:noProof/>
                <w:webHidden/>
              </w:rPr>
              <w:fldChar w:fldCharType="begin"/>
            </w:r>
            <w:r>
              <w:rPr>
                <w:noProof/>
                <w:webHidden/>
              </w:rPr>
              <w:instrText xml:space="preserve"> PAGEREF _Toc220490630 \h </w:instrText>
            </w:r>
            <w:r>
              <w:rPr>
                <w:noProof/>
                <w:webHidden/>
              </w:rPr>
            </w:r>
            <w:r>
              <w:rPr>
                <w:noProof/>
                <w:webHidden/>
              </w:rPr>
              <w:fldChar w:fldCharType="separate"/>
            </w:r>
            <w:r>
              <w:rPr>
                <w:noProof/>
                <w:webHidden/>
              </w:rPr>
              <w:t>271</w:t>
            </w:r>
            <w:r>
              <w:rPr>
                <w:noProof/>
                <w:webHidden/>
              </w:rPr>
              <w:fldChar w:fldCharType="end"/>
            </w:r>
          </w:hyperlink>
        </w:p>
        <w:p w14:paraId="7F09E434" w14:textId="394B7DA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31" w:history="1">
            <w:r w:rsidRPr="001D4C20">
              <w:rPr>
                <w:rStyle w:val="Lienhypertexte"/>
                <w:noProof/>
              </w:rPr>
              <w:t>52.43.2b Isolation à projeter - laine de verre (MW) CCTB 01.12</w:t>
            </w:r>
            <w:r>
              <w:rPr>
                <w:noProof/>
                <w:webHidden/>
              </w:rPr>
              <w:tab/>
            </w:r>
            <w:r>
              <w:rPr>
                <w:noProof/>
                <w:webHidden/>
              </w:rPr>
              <w:fldChar w:fldCharType="begin"/>
            </w:r>
            <w:r>
              <w:rPr>
                <w:noProof/>
                <w:webHidden/>
              </w:rPr>
              <w:instrText xml:space="preserve"> PAGEREF _Toc220490631 \h </w:instrText>
            </w:r>
            <w:r>
              <w:rPr>
                <w:noProof/>
                <w:webHidden/>
              </w:rPr>
            </w:r>
            <w:r>
              <w:rPr>
                <w:noProof/>
                <w:webHidden/>
              </w:rPr>
              <w:fldChar w:fldCharType="separate"/>
            </w:r>
            <w:r>
              <w:rPr>
                <w:noProof/>
                <w:webHidden/>
              </w:rPr>
              <w:t>272</w:t>
            </w:r>
            <w:r>
              <w:rPr>
                <w:noProof/>
                <w:webHidden/>
              </w:rPr>
              <w:fldChar w:fldCharType="end"/>
            </w:r>
          </w:hyperlink>
        </w:p>
        <w:p w14:paraId="398491C2" w14:textId="6C835E1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32" w:history="1">
            <w:r w:rsidRPr="001D4C20">
              <w:rPr>
                <w:rStyle w:val="Lienhypertexte"/>
                <w:noProof/>
              </w:rPr>
              <w:t>52.43.3 Isolation à projeter - matières végétales CCTB 01.02</w:t>
            </w:r>
            <w:r>
              <w:rPr>
                <w:noProof/>
                <w:webHidden/>
              </w:rPr>
              <w:tab/>
            </w:r>
            <w:r>
              <w:rPr>
                <w:noProof/>
                <w:webHidden/>
              </w:rPr>
              <w:fldChar w:fldCharType="begin"/>
            </w:r>
            <w:r>
              <w:rPr>
                <w:noProof/>
                <w:webHidden/>
              </w:rPr>
              <w:instrText xml:space="preserve"> PAGEREF _Toc220490632 \h </w:instrText>
            </w:r>
            <w:r>
              <w:rPr>
                <w:noProof/>
                <w:webHidden/>
              </w:rPr>
            </w:r>
            <w:r>
              <w:rPr>
                <w:noProof/>
                <w:webHidden/>
              </w:rPr>
              <w:fldChar w:fldCharType="separate"/>
            </w:r>
            <w:r>
              <w:rPr>
                <w:noProof/>
                <w:webHidden/>
              </w:rPr>
              <w:t>274</w:t>
            </w:r>
            <w:r>
              <w:rPr>
                <w:noProof/>
                <w:webHidden/>
              </w:rPr>
              <w:fldChar w:fldCharType="end"/>
            </w:r>
          </w:hyperlink>
        </w:p>
        <w:p w14:paraId="2DD8847D" w14:textId="3660EBE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33" w:history="1">
            <w:r w:rsidRPr="001D4C20">
              <w:rPr>
                <w:rStyle w:val="Lienhypertexte"/>
                <w:noProof/>
              </w:rPr>
              <w:t>52.43.3a Isolation à projeter - ouate de cellulose CCTB 01.10</w:t>
            </w:r>
            <w:r>
              <w:rPr>
                <w:noProof/>
                <w:webHidden/>
              </w:rPr>
              <w:tab/>
            </w:r>
            <w:r>
              <w:rPr>
                <w:noProof/>
                <w:webHidden/>
              </w:rPr>
              <w:fldChar w:fldCharType="begin"/>
            </w:r>
            <w:r>
              <w:rPr>
                <w:noProof/>
                <w:webHidden/>
              </w:rPr>
              <w:instrText xml:space="preserve"> PAGEREF _Toc220490633 \h </w:instrText>
            </w:r>
            <w:r>
              <w:rPr>
                <w:noProof/>
                <w:webHidden/>
              </w:rPr>
            </w:r>
            <w:r>
              <w:rPr>
                <w:noProof/>
                <w:webHidden/>
              </w:rPr>
              <w:fldChar w:fldCharType="separate"/>
            </w:r>
            <w:r>
              <w:rPr>
                <w:noProof/>
                <w:webHidden/>
              </w:rPr>
              <w:t>274</w:t>
            </w:r>
            <w:r>
              <w:rPr>
                <w:noProof/>
                <w:webHidden/>
              </w:rPr>
              <w:fldChar w:fldCharType="end"/>
            </w:r>
          </w:hyperlink>
        </w:p>
        <w:p w14:paraId="665F6E0C" w14:textId="4388F6E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34" w:history="1">
            <w:r w:rsidRPr="001D4C20">
              <w:rPr>
                <w:rStyle w:val="Lienhypertexte"/>
                <w:noProof/>
              </w:rPr>
              <w:t>52.43.3b Isolation à projeter - chanvre CCTB 01.12</w:t>
            </w:r>
            <w:r>
              <w:rPr>
                <w:noProof/>
                <w:webHidden/>
              </w:rPr>
              <w:tab/>
            </w:r>
            <w:r>
              <w:rPr>
                <w:noProof/>
                <w:webHidden/>
              </w:rPr>
              <w:fldChar w:fldCharType="begin"/>
            </w:r>
            <w:r>
              <w:rPr>
                <w:noProof/>
                <w:webHidden/>
              </w:rPr>
              <w:instrText xml:space="preserve"> PAGEREF _Toc220490634 \h </w:instrText>
            </w:r>
            <w:r>
              <w:rPr>
                <w:noProof/>
                <w:webHidden/>
              </w:rPr>
            </w:r>
            <w:r>
              <w:rPr>
                <w:noProof/>
                <w:webHidden/>
              </w:rPr>
              <w:fldChar w:fldCharType="separate"/>
            </w:r>
            <w:r>
              <w:rPr>
                <w:noProof/>
                <w:webHidden/>
              </w:rPr>
              <w:t>275</w:t>
            </w:r>
            <w:r>
              <w:rPr>
                <w:noProof/>
                <w:webHidden/>
              </w:rPr>
              <w:fldChar w:fldCharType="end"/>
            </w:r>
          </w:hyperlink>
        </w:p>
        <w:p w14:paraId="760DBCDD" w14:textId="43C97D6A"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635" w:history="1">
            <w:r w:rsidRPr="001D4C20">
              <w:rPr>
                <w:rStyle w:val="Lienhypertexte"/>
                <w:noProof/>
              </w:rPr>
              <w:t>52.44 Isolation à souffler CCTB 01.11</w:t>
            </w:r>
            <w:r>
              <w:rPr>
                <w:noProof/>
                <w:webHidden/>
              </w:rPr>
              <w:tab/>
            </w:r>
            <w:r>
              <w:rPr>
                <w:noProof/>
                <w:webHidden/>
              </w:rPr>
              <w:fldChar w:fldCharType="begin"/>
            </w:r>
            <w:r>
              <w:rPr>
                <w:noProof/>
                <w:webHidden/>
              </w:rPr>
              <w:instrText xml:space="preserve"> PAGEREF _Toc220490635 \h </w:instrText>
            </w:r>
            <w:r>
              <w:rPr>
                <w:noProof/>
                <w:webHidden/>
              </w:rPr>
            </w:r>
            <w:r>
              <w:rPr>
                <w:noProof/>
                <w:webHidden/>
              </w:rPr>
              <w:fldChar w:fldCharType="separate"/>
            </w:r>
            <w:r>
              <w:rPr>
                <w:noProof/>
                <w:webHidden/>
              </w:rPr>
              <w:t>278</w:t>
            </w:r>
            <w:r>
              <w:rPr>
                <w:noProof/>
                <w:webHidden/>
              </w:rPr>
              <w:fldChar w:fldCharType="end"/>
            </w:r>
          </w:hyperlink>
        </w:p>
        <w:p w14:paraId="081369D1" w14:textId="74002F3F"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36" w:history="1">
            <w:r w:rsidRPr="001D4C20">
              <w:rPr>
                <w:rStyle w:val="Lienhypertexte"/>
                <w:noProof/>
              </w:rPr>
              <w:t>52.44.1 Isolation à souffler - matières synthétiques CCTB 01.07</w:t>
            </w:r>
            <w:r>
              <w:rPr>
                <w:noProof/>
                <w:webHidden/>
              </w:rPr>
              <w:tab/>
            </w:r>
            <w:r>
              <w:rPr>
                <w:noProof/>
                <w:webHidden/>
              </w:rPr>
              <w:fldChar w:fldCharType="begin"/>
            </w:r>
            <w:r>
              <w:rPr>
                <w:noProof/>
                <w:webHidden/>
              </w:rPr>
              <w:instrText xml:space="preserve"> PAGEREF _Toc220490636 \h </w:instrText>
            </w:r>
            <w:r>
              <w:rPr>
                <w:noProof/>
                <w:webHidden/>
              </w:rPr>
            </w:r>
            <w:r>
              <w:rPr>
                <w:noProof/>
                <w:webHidden/>
              </w:rPr>
              <w:fldChar w:fldCharType="separate"/>
            </w:r>
            <w:r>
              <w:rPr>
                <w:noProof/>
                <w:webHidden/>
              </w:rPr>
              <w:t>279</w:t>
            </w:r>
            <w:r>
              <w:rPr>
                <w:noProof/>
                <w:webHidden/>
              </w:rPr>
              <w:fldChar w:fldCharType="end"/>
            </w:r>
          </w:hyperlink>
        </w:p>
        <w:p w14:paraId="6BCF3065" w14:textId="0BC19B8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37" w:history="1">
            <w:r w:rsidRPr="001D4C20">
              <w:rPr>
                <w:rStyle w:val="Lienhypertexte"/>
                <w:noProof/>
              </w:rPr>
              <w:t>52.44.1a Isolation à souffler - polystyrène expansé (EPS) CCTB 01.07</w:t>
            </w:r>
            <w:r>
              <w:rPr>
                <w:noProof/>
                <w:webHidden/>
              </w:rPr>
              <w:tab/>
            </w:r>
            <w:r>
              <w:rPr>
                <w:noProof/>
                <w:webHidden/>
              </w:rPr>
              <w:fldChar w:fldCharType="begin"/>
            </w:r>
            <w:r>
              <w:rPr>
                <w:noProof/>
                <w:webHidden/>
              </w:rPr>
              <w:instrText xml:space="preserve"> PAGEREF _Toc220490637 \h </w:instrText>
            </w:r>
            <w:r>
              <w:rPr>
                <w:noProof/>
                <w:webHidden/>
              </w:rPr>
            </w:r>
            <w:r>
              <w:rPr>
                <w:noProof/>
                <w:webHidden/>
              </w:rPr>
              <w:fldChar w:fldCharType="separate"/>
            </w:r>
            <w:r>
              <w:rPr>
                <w:noProof/>
                <w:webHidden/>
              </w:rPr>
              <w:t>279</w:t>
            </w:r>
            <w:r>
              <w:rPr>
                <w:noProof/>
                <w:webHidden/>
              </w:rPr>
              <w:fldChar w:fldCharType="end"/>
            </w:r>
          </w:hyperlink>
        </w:p>
        <w:p w14:paraId="068078BF" w14:textId="3D945A62"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38" w:history="1">
            <w:r w:rsidRPr="001D4C20">
              <w:rPr>
                <w:rStyle w:val="Lienhypertexte"/>
                <w:noProof/>
              </w:rPr>
              <w:t>52.44.2 Isolation à souffler - matières minérales CCTB 01.07</w:t>
            </w:r>
            <w:r>
              <w:rPr>
                <w:noProof/>
                <w:webHidden/>
              </w:rPr>
              <w:tab/>
            </w:r>
            <w:r>
              <w:rPr>
                <w:noProof/>
                <w:webHidden/>
              </w:rPr>
              <w:fldChar w:fldCharType="begin"/>
            </w:r>
            <w:r>
              <w:rPr>
                <w:noProof/>
                <w:webHidden/>
              </w:rPr>
              <w:instrText xml:space="preserve"> PAGEREF _Toc220490638 \h </w:instrText>
            </w:r>
            <w:r>
              <w:rPr>
                <w:noProof/>
                <w:webHidden/>
              </w:rPr>
            </w:r>
            <w:r>
              <w:rPr>
                <w:noProof/>
                <w:webHidden/>
              </w:rPr>
              <w:fldChar w:fldCharType="separate"/>
            </w:r>
            <w:r>
              <w:rPr>
                <w:noProof/>
                <w:webHidden/>
              </w:rPr>
              <w:t>280</w:t>
            </w:r>
            <w:r>
              <w:rPr>
                <w:noProof/>
                <w:webHidden/>
              </w:rPr>
              <w:fldChar w:fldCharType="end"/>
            </w:r>
          </w:hyperlink>
        </w:p>
        <w:p w14:paraId="09A4FA27" w14:textId="0F335D4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39" w:history="1">
            <w:r w:rsidRPr="001D4C20">
              <w:rPr>
                <w:rStyle w:val="Lienhypertexte"/>
                <w:noProof/>
              </w:rPr>
              <w:t>52.44.2a Isolation à souffler - laine de verre CCTB 01.07</w:t>
            </w:r>
            <w:r>
              <w:rPr>
                <w:noProof/>
                <w:webHidden/>
              </w:rPr>
              <w:tab/>
            </w:r>
            <w:r>
              <w:rPr>
                <w:noProof/>
                <w:webHidden/>
              </w:rPr>
              <w:fldChar w:fldCharType="begin"/>
            </w:r>
            <w:r>
              <w:rPr>
                <w:noProof/>
                <w:webHidden/>
              </w:rPr>
              <w:instrText xml:space="preserve"> PAGEREF _Toc220490639 \h </w:instrText>
            </w:r>
            <w:r>
              <w:rPr>
                <w:noProof/>
                <w:webHidden/>
              </w:rPr>
            </w:r>
            <w:r>
              <w:rPr>
                <w:noProof/>
                <w:webHidden/>
              </w:rPr>
              <w:fldChar w:fldCharType="separate"/>
            </w:r>
            <w:r>
              <w:rPr>
                <w:noProof/>
                <w:webHidden/>
              </w:rPr>
              <w:t>280</w:t>
            </w:r>
            <w:r>
              <w:rPr>
                <w:noProof/>
                <w:webHidden/>
              </w:rPr>
              <w:fldChar w:fldCharType="end"/>
            </w:r>
          </w:hyperlink>
        </w:p>
        <w:p w14:paraId="191D5794" w14:textId="5143A76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40" w:history="1">
            <w:r w:rsidRPr="001D4C20">
              <w:rPr>
                <w:rStyle w:val="Lienhypertexte"/>
                <w:noProof/>
              </w:rPr>
              <w:t>52.44.2b Isolation à souffler - laine de roche CCTB 01.07</w:t>
            </w:r>
            <w:r>
              <w:rPr>
                <w:noProof/>
                <w:webHidden/>
              </w:rPr>
              <w:tab/>
            </w:r>
            <w:r>
              <w:rPr>
                <w:noProof/>
                <w:webHidden/>
              </w:rPr>
              <w:fldChar w:fldCharType="begin"/>
            </w:r>
            <w:r>
              <w:rPr>
                <w:noProof/>
                <w:webHidden/>
              </w:rPr>
              <w:instrText xml:space="preserve"> PAGEREF _Toc220490640 \h </w:instrText>
            </w:r>
            <w:r>
              <w:rPr>
                <w:noProof/>
                <w:webHidden/>
              </w:rPr>
            </w:r>
            <w:r>
              <w:rPr>
                <w:noProof/>
                <w:webHidden/>
              </w:rPr>
              <w:fldChar w:fldCharType="separate"/>
            </w:r>
            <w:r>
              <w:rPr>
                <w:noProof/>
                <w:webHidden/>
              </w:rPr>
              <w:t>281</w:t>
            </w:r>
            <w:r>
              <w:rPr>
                <w:noProof/>
                <w:webHidden/>
              </w:rPr>
              <w:fldChar w:fldCharType="end"/>
            </w:r>
          </w:hyperlink>
        </w:p>
        <w:p w14:paraId="15B57F17" w14:textId="6A8ED7A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41" w:history="1">
            <w:r w:rsidRPr="001D4C20">
              <w:rPr>
                <w:rStyle w:val="Lienhypertexte"/>
                <w:noProof/>
              </w:rPr>
              <w:t>52.44.2c Isolation à souffler - fibres de verre CCTB 01.07</w:t>
            </w:r>
            <w:r>
              <w:rPr>
                <w:noProof/>
                <w:webHidden/>
              </w:rPr>
              <w:tab/>
            </w:r>
            <w:r>
              <w:rPr>
                <w:noProof/>
                <w:webHidden/>
              </w:rPr>
              <w:fldChar w:fldCharType="begin"/>
            </w:r>
            <w:r>
              <w:rPr>
                <w:noProof/>
                <w:webHidden/>
              </w:rPr>
              <w:instrText xml:space="preserve"> PAGEREF _Toc220490641 \h </w:instrText>
            </w:r>
            <w:r>
              <w:rPr>
                <w:noProof/>
                <w:webHidden/>
              </w:rPr>
            </w:r>
            <w:r>
              <w:rPr>
                <w:noProof/>
                <w:webHidden/>
              </w:rPr>
              <w:fldChar w:fldCharType="separate"/>
            </w:r>
            <w:r>
              <w:rPr>
                <w:noProof/>
                <w:webHidden/>
              </w:rPr>
              <w:t>281</w:t>
            </w:r>
            <w:r>
              <w:rPr>
                <w:noProof/>
                <w:webHidden/>
              </w:rPr>
              <w:fldChar w:fldCharType="end"/>
            </w:r>
          </w:hyperlink>
        </w:p>
        <w:p w14:paraId="6ED96347" w14:textId="135142A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42" w:history="1">
            <w:r w:rsidRPr="001D4C20">
              <w:rPr>
                <w:rStyle w:val="Lienhypertexte"/>
                <w:noProof/>
              </w:rPr>
              <w:t>52.44.2d Isolation à souffler - vermiculite expansée CCTB 01.07</w:t>
            </w:r>
            <w:r>
              <w:rPr>
                <w:noProof/>
                <w:webHidden/>
              </w:rPr>
              <w:tab/>
            </w:r>
            <w:r>
              <w:rPr>
                <w:noProof/>
                <w:webHidden/>
              </w:rPr>
              <w:fldChar w:fldCharType="begin"/>
            </w:r>
            <w:r>
              <w:rPr>
                <w:noProof/>
                <w:webHidden/>
              </w:rPr>
              <w:instrText xml:space="preserve"> PAGEREF _Toc220490642 \h </w:instrText>
            </w:r>
            <w:r>
              <w:rPr>
                <w:noProof/>
                <w:webHidden/>
              </w:rPr>
            </w:r>
            <w:r>
              <w:rPr>
                <w:noProof/>
                <w:webHidden/>
              </w:rPr>
              <w:fldChar w:fldCharType="separate"/>
            </w:r>
            <w:r>
              <w:rPr>
                <w:noProof/>
                <w:webHidden/>
              </w:rPr>
              <w:t>282</w:t>
            </w:r>
            <w:r>
              <w:rPr>
                <w:noProof/>
                <w:webHidden/>
              </w:rPr>
              <w:fldChar w:fldCharType="end"/>
            </w:r>
          </w:hyperlink>
        </w:p>
        <w:p w14:paraId="24C29767" w14:textId="02F641D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43" w:history="1">
            <w:r w:rsidRPr="001D4C20">
              <w:rPr>
                <w:rStyle w:val="Lienhypertexte"/>
                <w:noProof/>
              </w:rPr>
              <w:t>52.44.2e Isolation à souffler - perlite expansée CCTB 01.07</w:t>
            </w:r>
            <w:r>
              <w:rPr>
                <w:noProof/>
                <w:webHidden/>
              </w:rPr>
              <w:tab/>
            </w:r>
            <w:r>
              <w:rPr>
                <w:noProof/>
                <w:webHidden/>
              </w:rPr>
              <w:fldChar w:fldCharType="begin"/>
            </w:r>
            <w:r>
              <w:rPr>
                <w:noProof/>
                <w:webHidden/>
              </w:rPr>
              <w:instrText xml:space="preserve"> PAGEREF _Toc220490643 \h </w:instrText>
            </w:r>
            <w:r>
              <w:rPr>
                <w:noProof/>
                <w:webHidden/>
              </w:rPr>
            </w:r>
            <w:r>
              <w:rPr>
                <w:noProof/>
                <w:webHidden/>
              </w:rPr>
              <w:fldChar w:fldCharType="separate"/>
            </w:r>
            <w:r>
              <w:rPr>
                <w:noProof/>
                <w:webHidden/>
              </w:rPr>
              <w:t>283</w:t>
            </w:r>
            <w:r>
              <w:rPr>
                <w:noProof/>
                <w:webHidden/>
              </w:rPr>
              <w:fldChar w:fldCharType="end"/>
            </w:r>
          </w:hyperlink>
        </w:p>
        <w:p w14:paraId="58370097" w14:textId="640EEFD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44" w:history="1">
            <w:r w:rsidRPr="001D4C20">
              <w:rPr>
                <w:rStyle w:val="Lienhypertexte"/>
                <w:noProof/>
              </w:rPr>
              <w:t>52.44.3 Isolation à souffler - matières végétales CCTB 01.07</w:t>
            </w:r>
            <w:r>
              <w:rPr>
                <w:noProof/>
                <w:webHidden/>
              </w:rPr>
              <w:tab/>
            </w:r>
            <w:r>
              <w:rPr>
                <w:noProof/>
                <w:webHidden/>
              </w:rPr>
              <w:fldChar w:fldCharType="begin"/>
            </w:r>
            <w:r>
              <w:rPr>
                <w:noProof/>
                <w:webHidden/>
              </w:rPr>
              <w:instrText xml:space="preserve"> PAGEREF _Toc220490644 \h </w:instrText>
            </w:r>
            <w:r>
              <w:rPr>
                <w:noProof/>
                <w:webHidden/>
              </w:rPr>
            </w:r>
            <w:r>
              <w:rPr>
                <w:noProof/>
                <w:webHidden/>
              </w:rPr>
              <w:fldChar w:fldCharType="separate"/>
            </w:r>
            <w:r>
              <w:rPr>
                <w:noProof/>
                <w:webHidden/>
              </w:rPr>
              <w:t>283</w:t>
            </w:r>
            <w:r>
              <w:rPr>
                <w:noProof/>
                <w:webHidden/>
              </w:rPr>
              <w:fldChar w:fldCharType="end"/>
            </w:r>
          </w:hyperlink>
        </w:p>
        <w:p w14:paraId="511E8735" w14:textId="1D358B7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45" w:history="1">
            <w:r w:rsidRPr="001D4C20">
              <w:rPr>
                <w:rStyle w:val="Lienhypertexte"/>
                <w:noProof/>
              </w:rPr>
              <w:t>52.44.3a Isolation à souffler - fibres cellulosiques CCTB 01.12</w:t>
            </w:r>
            <w:r>
              <w:rPr>
                <w:noProof/>
                <w:webHidden/>
              </w:rPr>
              <w:tab/>
            </w:r>
            <w:r>
              <w:rPr>
                <w:noProof/>
                <w:webHidden/>
              </w:rPr>
              <w:fldChar w:fldCharType="begin"/>
            </w:r>
            <w:r>
              <w:rPr>
                <w:noProof/>
                <w:webHidden/>
              </w:rPr>
              <w:instrText xml:space="preserve"> PAGEREF _Toc220490645 \h </w:instrText>
            </w:r>
            <w:r>
              <w:rPr>
                <w:noProof/>
                <w:webHidden/>
              </w:rPr>
            </w:r>
            <w:r>
              <w:rPr>
                <w:noProof/>
                <w:webHidden/>
              </w:rPr>
              <w:fldChar w:fldCharType="separate"/>
            </w:r>
            <w:r>
              <w:rPr>
                <w:noProof/>
                <w:webHidden/>
              </w:rPr>
              <w:t>283</w:t>
            </w:r>
            <w:r>
              <w:rPr>
                <w:noProof/>
                <w:webHidden/>
              </w:rPr>
              <w:fldChar w:fldCharType="end"/>
            </w:r>
          </w:hyperlink>
        </w:p>
        <w:p w14:paraId="1B35DABE" w14:textId="58893A0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46" w:history="1">
            <w:r w:rsidRPr="001D4C20">
              <w:rPr>
                <w:rStyle w:val="Lienhypertexte"/>
                <w:noProof/>
              </w:rPr>
              <w:t>52.44.3b Isolation à souffler - granulés d'argile expansée CCTB 01.10</w:t>
            </w:r>
            <w:r>
              <w:rPr>
                <w:noProof/>
                <w:webHidden/>
              </w:rPr>
              <w:tab/>
            </w:r>
            <w:r>
              <w:rPr>
                <w:noProof/>
                <w:webHidden/>
              </w:rPr>
              <w:fldChar w:fldCharType="begin"/>
            </w:r>
            <w:r>
              <w:rPr>
                <w:noProof/>
                <w:webHidden/>
              </w:rPr>
              <w:instrText xml:space="preserve"> PAGEREF _Toc220490646 \h </w:instrText>
            </w:r>
            <w:r>
              <w:rPr>
                <w:noProof/>
                <w:webHidden/>
              </w:rPr>
            </w:r>
            <w:r>
              <w:rPr>
                <w:noProof/>
                <w:webHidden/>
              </w:rPr>
              <w:fldChar w:fldCharType="separate"/>
            </w:r>
            <w:r>
              <w:rPr>
                <w:noProof/>
                <w:webHidden/>
              </w:rPr>
              <w:t>286</w:t>
            </w:r>
            <w:r>
              <w:rPr>
                <w:noProof/>
                <w:webHidden/>
              </w:rPr>
              <w:fldChar w:fldCharType="end"/>
            </w:r>
          </w:hyperlink>
        </w:p>
        <w:p w14:paraId="7C15605E" w14:textId="13DD72D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47" w:history="1">
            <w:r w:rsidRPr="001D4C20">
              <w:rPr>
                <w:rStyle w:val="Lienhypertexte"/>
                <w:noProof/>
              </w:rPr>
              <w:t>52.44.3c Isolation à souffler - fibres de lin CCTB 01.10</w:t>
            </w:r>
            <w:r>
              <w:rPr>
                <w:noProof/>
                <w:webHidden/>
              </w:rPr>
              <w:tab/>
            </w:r>
            <w:r>
              <w:rPr>
                <w:noProof/>
                <w:webHidden/>
              </w:rPr>
              <w:fldChar w:fldCharType="begin"/>
            </w:r>
            <w:r>
              <w:rPr>
                <w:noProof/>
                <w:webHidden/>
              </w:rPr>
              <w:instrText xml:space="preserve"> PAGEREF _Toc220490647 \h </w:instrText>
            </w:r>
            <w:r>
              <w:rPr>
                <w:noProof/>
                <w:webHidden/>
              </w:rPr>
            </w:r>
            <w:r>
              <w:rPr>
                <w:noProof/>
                <w:webHidden/>
              </w:rPr>
              <w:fldChar w:fldCharType="separate"/>
            </w:r>
            <w:r>
              <w:rPr>
                <w:noProof/>
                <w:webHidden/>
              </w:rPr>
              <w:t>287</w:t>
            </w:r>
            <w:r>
              <w:rPr>
                <w:noProof/>
                <w:webHidden/>
              </w:rPr>
              <w:fldChar w:fldCharType="end"/>
            </w:r>
          </w:hyperlink>
        </w:p>
        <w:p w14:paraId="5B1F02F0" w14:textId="36EC3B4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48" w:history="1">
            <w:r w:rsidRPr="001D4C20">
              <w:rPr>
                <w:rStyle w:val="Lienhypertexte"/>
                <w:noProof/>
              </w:rPr>
              <w:t>52.44.3d Isolation à souffler - fibres de coco CCTB 01.12</w:t>
            </w:r>
            <w:r>
              <w:rPr>
                <w:noProof/>
                <w:webHidden/>
              </w:rPr>
              <w:tab/>
            </w:r>
            <w:r>
              <w:rPr>
                <w:noProof/>
                <w:webHidden/>
              </w:rPr>
              <w:fldChar w:fldCharType="begin"/>
            </w:r>
            <w:r>
              <w:rPr>
                <w:noProof/>
                <w:webHidden/>
              </w:rPr>
              <w:instrText xml:space="preserve"> PAGEREF _Toc220490648 \h </w:instrText>
            </w:r>
            <w:r>
              <w:rPr>
                <w:noProof/>
                <w:webHidden/>
              </w:rPr>
            </w:r>
            <w:r>
              <w:rPr>
                <w:noProof/>
                <w:webHidden/>
              </w:rPr>
              <w:fldChar w:fldCharType="separate"/>
            </w:r>
            <w:r>
              <w:rPr>
                <w:noProof/>
                <w:webHidden/>
              </w:rPr>
              <w:t>287</w:t>
            </w:r>
            <w:r>
              <w:rPr>
                <w:noProof/>
                <w:webHidden/>
              </w:rPr>
              <w:fldChar w:fldCharType="end"/>
            </w:r>
          </w:hyperlink>
        </w:p>
        <w:p w14:paraId="4FC096B7" w14:textId="03CA925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49" w:history="1">
            <w:r w:rsidRPr="001D4C20">
              <w:rPr>
                <w:rStyle w:val="Lienhypertexte"/>
                <w:noProof/>
              </w:rPr>
              <w:t>52.44.3e Isolation à souffler - granulés de liège expansé CCTB 01.12</w:t>
            </w:r>
            <w:r>
              <w:rPr>
                <w:noProof/>
                <w:webHidden/>
              </w:rPr>
              <w:tab/>
            </w:r>
            <w:r>
              <w:rPr>
                <w:noProof/>
                <w:webHidden/>
              </w:rPr>
              <w:fldChar w:fldCharType="begin"/>
            </w:r>
            <w:r>
              <w:rPr>
                <w:noProof/>
                <w:webHidden/>
              </w:rPr>
              <w:instrText xml:space="preserve"> PAGEREF _Toc220490649 \h </w:instrText>
            </w:r>
            <w:r>
              <w:rPr>
                <w:noProof/>
                <w:webHidden/>
              </w:rPr>
            </w:r>
            <w:r>
              <w:rPr>
                <w:noProof/>
                <w:webHidden/>
              </w:rPr>
              <w:fldChar w:fldCharType="separate"/>
            </w:r>
            <w:r>
              <w:rPr>
                <w:noProof/>
                <w:webHidden/>
              </w:rPr>
              <w:t>288</w:t>
            </w:r>
            <w:r>
              <w:rPr>
                <w:noProof/>
                <w:webHidden/>
              </w:rPr>
              <w:fldChar w:fldCharType="end"/>
            </w:r>
          </w:hyperlink>
        </w:p>
        <w:p w14:paraId="2A62C90B" w14:textId="662A34A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50" w:history="1">
            <w:r w:rsidRPr="001D4C20">
              <w:rPr>
                <w:rStyle w:val="Lienhypertexte"/>
                <w:noProof/>
              </w:rPr>
              <w:t>52.44.3f Isolation à souffler - coton CCTB 01.12</w:t>
            </w:r>
            <w:r>
              <w:rPr>
                <w:noProof/>
                <w:webHidden/>
              </w:rPr>
              <w:tab/>
            </w:r>
            <w:r>
              <w:rPr>
                <w:noProof/>
                <w:webHidden/>
              </w:rPr>
              <w:fldChar w:fldCharType="begin"/>
            </w:r>
            <w:r>
              <w:rPr>
                <w:noProof/>
                <w:webHidden/>
              </w:rPr>
              <w:instrText xml:space="preserve"> PAGEREF _Toc220490650 \h </w:instrText>
            </w:r>
            <w:r>
              <w:rPr>
                <w:noProof/>
                <w:webHidden/>
              </w:rPr>
            </w:r>
            <w:r>
              <w:rPr>
                <w:noProof/>
                <w:webHidden/>
              </w:rPr>
              <w:fldChar w:fldCharType="separate"/>
            </w:r>
            <w:r>
              <w:rPr>
                <w:noProof/>
                <w:webHidden/>
              </w:rPr>
              <w:t>289</w:t>
            </w:r>
            <w:r>
              <w:rPr>
                <w:noProof/>
                <w:webHidden/>
              </w:rPr>
              <w:fldChar w:fldCharType="end"/>
            </w:r>
          </w:hyperlink>
        </w:p>
        <w:p w14:paraId="2AC76751" w14:textId="53AC5CF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51" w:history="1">
            <w:r w:rsidRPr="001D4C20">
              <w:rPr>
                <w:rStyle w:val="Lienhypertexte"/>
                <w:noProof/>
              </w:rPr>
              <w:t>52.44.3g Isolation à souffler - fibres de bois CCTB 01.12</w:t>
            </w:r>
            <w:r>
              <w:rPr>
                <w:noProof/>
                <w:webHidden/>
              </w:rPr>
              <w:tab/>
            </w:r>
            <w:r>
              <w:rPr>
                <w:noProof/>
                <w:webHidden/>
              </w:rPr>
              <w:fldChar w:fldCharType="begin"/>
            </w:r>
            <w:r>
              <w:rPr>
                <w:noProof/>
                <w:webHidden/>
              </w:rPr>
              <w:instrText xml:space="preserve"> PAGEREF _Toc220490651 \h </w:instrText>
            </w:r>
            <w:r>
              <w:rPr>
                <w:noProof/>
                <w:webHidden/>
              </w:rPr>
            </w:r>
            <w:r>
              <w:rPr>
                <w:noProof/>
                <w:webHidden/>
              </w:rPr>
              <w:fldChar w:fldCharType="separate"/>
            </w:r>
            <w:r>
              <w:rPr>
                <w:noProof/>
                <w:webHidden/>
              </w:rPr>
              <w:t>291</w:t>
            </w:r>
            <w:r>
              <w:rPr>
                <w:noProof/>
                <w:webHidden/>
              </w:rPr>
              <w:fldChar w:fldCharType="end"/>
            </w:r>
          </w:hyperlink>
        </w:p>
        <w:p w14:paraId="3ED34A5E" w14:textId="00782535"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52" w:history="1">
            <w:r w:rsidRPr="001D4C20">
              <w:rPr>
                <w:rStyle w:val="Lienhypertexte"/>
                <w:noProof/>
              </w:rPr>
              <w:t>52.44.4 Isolation à souffler - matières animales CCTB 01.07</w:t>
            </w:r>
            <w:r>
              <w:rPr>
                <w:noProof/>
                <w:webHidden/>
              </w:rPr>
              <w:tab/>
            </w:r>
            <w:r>
              <w:rPr>
                <w:noProof/>
                <w:webHidden/>
              </w:rPr>
              <w:fldChar w:fldCharType="begin"/>
            </w:r>
            <w:r>
              <w:rPr>
                <w:noProof/>
                <w:webHidden/>
              </w:rPr>
              <w:instrText xml:space="preserve"> PAGEREF _Toc220490652 \h </w:instrText>
            </w:r>
            <w:r>
              <w:rPr>
                <w:noProof/>
                <w:webHidden/>
              </w:rPr>
            </w:r>
            <w:r>
              <w:rPr>
                <w:noProof/>
                <w:webHidden/>
              </w:rPr>
              <w:fldChar w:fldCharType="separate"/>
            </w:r>
            <w:r>
              <w:rPr>
                <w:noProof/>
                <w:webHidden/>
              </w:rPr>
              <w:t>293</w:t>
            </w:r>
            <w:r>
              <w:rPr>
                <w:noProof/>
                <w:webHidden/>
              </w:rPr>
              <w:fldChar w:fldCharType="end"/>
            </w:r>
          </w:hyperlink>
        </w:p>
        <w:p w14:paraId="4AD8DDFA" w14:textId="2B819CD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53" w:history="1">
            <w:r w:rsidRPr="001D4C20">
              <w:rPr>
                <w:rStyle w:val="Lienhypertexte"/>
                <w:noProof/>
              </w:rPr>
              <w:t>52.44.4a Isolation à souffler - laine de mouton CCTB 01.12</w:t>
            </w:r>
            <w:r>
              <w:rPr>
                <w:noProof/>
                <w:webHidden/>
              </w:rPr>
              <w:tab/>
            </w:r>
            <w:r>
              <w:rPr>
                <w:noProof/>
                <w:webHidden/>
              </w:rPr>
              <w:fldChar w:fldCharType="begin"/>
            </w:r>
            <w:r>
              <w:rPr>
                <w:noProof/>
                <w:webHidden/>
              </w:rPr>
              <w:instrText xml:space="preserve"> PAGEREF _Toc220490653 \h </w:instrText>
            </w:r>
            <w:r>
              <w:rPr>
                <w:noProof/>
                <w:webHidden/>
              </w:rPr>
            </w:r>
            <w:r>
              <w:rPr>
                <w:noProof/>
                <w:webHidden/>
              </w:rPr>
              <w:fldChar w:fldCharType="separate"/>
            </w:r>
            <w:r>
              <w:rPr>
                <w:noProof/>
                <w:webHidden/>
              </w:rPr>
              <w:t>294</w:t>
            </w:r>
            <w:r>
              <w:rPr>
                <w:noProof/>
                <w:webHidden/>
              </w:rPr>
              <w:fldChar w:fldCharType="end"/>
            </w:r>
          </w:hyperlink>
        </w:p>
        <w:p w14:paraId="7CC893E3" w14:textId="47A243A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54" w:history="1">
            <w:r w:rsidRPr="001D4C20">
              <w:rPr>
                <w:rStyle w:val="Lienhypertexte"/>
                <w:noProof/>
              </w:rPr>
              <w:t>52.44.4b Isolation à souffler - plumes CCTB 01.02</w:t>
            </w:r>
            <w:r>
              <w:rPr>
                <w:noProof/>
                <w:webHidden/>
              </w:rPr>
              <w:tab/>
            </w:r>
            <w:r>
              <w:rPr>
                <w:noProof/>
                <w:webHidden/>
              </w:rPr>
              <w:fldChar w:fldCharType="begin"/>
            </w:r>
            <w:r>
              <w:rPr>
                <w:noProof/>
                <w:webHidden/>
              </w:rPr>
              <w:instrText xml:space="preserve"> PAGEREF _Toc220490654 \h </w:instrText>
            </w:r>
            <w:r>
              <w:rPr>
                <w:noProof/>
                <w:webHidden/>
              </w:rPr>
            </w:r>
            <w:r>
              <w:rPr>
                <w:noProof/>
                <w:webHidden/>
              </w:rPr>
              <w:fldChar w:fldCharType="separate"/>
            </w:r>
            <w:r>
              <w:rPr>
                <w:noProof/>
                <w:webHidden/>
              </w:rPr>
              <w:t>295</w:t>
            </w:r>
            <w:r>
              <w:rPr>
                <w:noProof/>
                <w:webHidden/>
              </w:rPr>
              <w:fldChar w:fldCharType="end"/>
            </w:r>
          </w:hyperlink>
        </w:p>
        <w:p w14:paraId="35DE6407" w14:textId="77C0507B"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655" w:history="1">
            <w:r w:rsidRPr="001D4C20">
              <w:rPr>
                <w:rStyle w:val="Lienhypertexte"/>
                <w:noProof/>
              </w:rPr>
              <w:t>52.45 Isolation à injecter CCTB 01.12</w:t>
            </w:r>
            <w:r>
              <w:rPr>
                <w:noProof/>
                <w:webHidden/>
              </w:rPr>
              <w:tab/>
            </w:r>
            <w:r>
              <w:rPr>
                <w:noProof/>
                <w:webHidden/>
              </w:rPr>
              <w:fldChar w:fldCharType="begin"/>
            </w:r>
            <w:r>
              <w:rPr>
                <w:noProof/>
                <w:webHidden/>
              </w:rPr>
              <w:instrText xml:space="preserve"> PAGEREF _Toc220490655 \h </w:instrText>
            </w:r>
            <w:r>
              <w:rPr>
                <w:noProof/>
                <w:webHidden/>
              </w:rPr>
            </w:r>
            <w:r>
              <w:rPr>
                <w:noProof/>
                <w:webHidden/>
              </w:rPr>
              <w:fldChar w:fldCharType="separate"/>
            </w:r>
            <w:r>
              <w:rPr>
                <w:noProof/>
                <w:webHidden/>
              </w:rPr>
              <w:t>295</w:t>
            </w:r>
            <w:r>
              <w:rPr>
                <w:noProof/>
                <w:webHidden/>
              </w:rPr>
              <w:fldChar w:fldCharType="end"/>
            </w:r>
          </w:hyperlink>
        </w:p>
        <w:p w14:paraId="2FB01E0F" w14:textId="510DDB6F"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56" w:history="1">
            <w:r w:rsidRPr="001D4C20">
              <w:rPr>
                <w:rStyle w:val="Lienhypertexte"/>
                <w:noProof/>
              </w:rPr>
              <w:t>52.45.1 Isolation à injecter - matières synthétiques CCTB 01.02</w:t>
            </w:r>
            <w:r>
              <w:rPr>
                <w:noProof/>
                <w:webHidden/>
              </w:rPr>
              <w:tab/>
            </w:r>
            <w:r>
              <w:rPr>
                <w:noProof/>
                <w:webHidden/>
              </w:rPr>
              <w:fldChar w:fldCharType="begin"/>
            </w:r>
            <w:r>
              <w:rPr>
                <w:noProof/>
                <w:webHidden/>
              </w:rPr>
              <w:instrText xml:space="preserve"> PAGEREF _Toc220490656 \h </w:instrText>
            </w:r>
            <w:r>
              <w:rPr>
                <w:noProof/>
                <w:webHidden/>
              </w:rPr>
            </w:r>
            <w:r>
              <w:rPr>
                <w:noProof/>
                <w:webHidden/>
              </w:rPr>
              <w:fldChar w:fldCharType="separate"/>
            </w:r>
            <w:r>
              <w:rPr>
                <w:noProof/>
                <w:webHidden/>
              </w:rPr>
              <w:t>297</w:t>
            </w:r>
            <w:r>
              <w:rPr>
                <w:noProof/>
                <w:webHidden/>
              </w:rPr>
              <w:fldChar w:fldCharType="end"/>
            </w:r>
          </w:hyperlink>
        </w:p>
        <w:p w14:paraId="127E0429" w14:textId="1BC6592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57" w:history="1">
            <w:r w:rsidRPr="001D4C20">
              <w:rPr>
                <w:rStyle w:val="Lienhypertexte"/>
                <w:noProof/>
              </w:rPr>
              <w:t>52.45.1a Isolation à injecter - mousse de polystyrène (EPS) CCTB 01.07</w:t>
            </w:r>
            <w:r>
              <w:rPr>
                <w:noProof/>
                <w:webHidden/>
              </w:rPr>
              <w:tab/>
            </w:r>
            <w:r>
              <w:rPr>
                <w:noProof/>
                <w:webHidden/>
              </w:rPr>
              <w:fldChar w:fldCharType="begin"/>
            </w:r>
            <w:r>
              <w:rPr>
                <w:noProof/>
                <w:webHidden/>
              </w:rPr>
              <w:instrText xml:space="preserve"> PAGEREF _Toc220490657 \h </w:instrText>
            </w:r>
            <w:r>
              <w:rPr>
                <w:noProof/>
                <w:webHidden/>
              </w:rPr>
            </w:r>
            <w:r>
              <w:rPr>
                <w:noProof/>
                <w:webHidden/>
              </w:rPr>
              <w:fldChar w:fldCharType="separate"/>
            </w:r>
            <w:r>
              <w:rPr>
                <w:noProof/>
                <w:webHidden/>
              </w:rPr>
              <w:t>297</w:t>
            </w:r>
            <w:r>
              <w:rPr>
                <w:noProof/>
                <w:webHidden/>
              </w:rPr>
              <w:fldChar w:fldCharType="end"/>
            </w:r>
          </w:hyperlink>
        </w:p>
        <w:p w14:paraId="07726327" w14:textId="4BFC89F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58" w:history="1">
            <w:r w:rsidRPr="001D4C20">
              <w:rPr>
                <w:rStyle w:val="Lienhypertexte"/>
                <w:noProof/>
              </w:rPr>
              <w:t>52.45.1b Isolation à injecter - mousse de polyuréthane (PUR) CCTB 01.07</w:t>
            </w:r>
            <w:r>
              <w:rPr>
                <w:noProof/>
                <w:webHidden/>
              </w:rPr>
              <w:tab/>
            </w:r>
            <w:r>
              <w:rPr>
                <w:noProof/>
                <w:webHidden/>
              </w:rPr>
              <w:fldChar w:fldCharType="begin"/>
            </w:r>
            <w:r>
              <w:rPr>
                <w:noProof/>
                <w:webHidden/>
              </w:rPr>
              <w:instrText xml:space="preserve"> PAGEREF _Toc220490658 \h </w:instrText>
            </w:r>
            <w:r>
              <w:rPr>
                <w:noProof/>
                <w:webHidden/>
              </w:rPr>
            </w:r>
            <w:r>
              <w:rPr>
                <w:noProof/>
                <w:webHidden/>
              </w:rPr>
              <w:fldChar w:fldCharType="separate"/>
            </w:r>
            <w:r>
              <w:rPr>
                <w:noProof/>
                <w:webHidden/>
              </w:rPr>
              <w:t>297</w:t>
            </w:r>
            <w:r>
              <w:rPr>
                <w:noProof/>
                <w:webHidden/>
              </w:rPr>
              <w:fldChar w:fldCharType="end"/>
            </w:r>
          </w:hyperlink>
        </w:p>
        <w:p w14:paraId="4A5282DE" w14:textId="342170B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59" w:history="1">
            <w:r w:rsidRPr="001D4C20">
              <w:rPr>
                <w:rStyle w:val="Lienhypertexte"/>
                <w:noProof/>
              </w:rPr>
              <w:t>52.45.1c Isolation à injecter - mousse de polyisocyanurate (PIR) CCTB 01.02</w:t>
            </w:r>
            <w:r>
              <w:rPr>
                <w:noProof/>
                <w:webHidden/>
              </w:rPr>
              <w:tab/>
            </w:r>
            <w:r>
              <w:rPr>
                <w:noProof/>
                <w:webHidden/>
              </w:rPr>
              <w:fldChar w:fldCharType="begin"/>
            </w:r>
            <w:r>
              <w:rPr>
                <w:noProof/>
                <w:webHidden/>
              </w:rPr>
              <w:instrText xml:space="preserve"> PAGEREF _Toc220490659 \h </w:instrText>
            </w:r>
            <w:r>
              <w:rPr>
                <w:noProof/>
                <w:webHidden/>
              </w:rPr>
            </w:r>
            <w:r>
              <w:rPr>
                <w:noProof/>
                <w:webHidden/>
              </w:rPr>
              <w:fldChar w:fldCharType="separate"/>
            </w:r>
            <w:r>
              <w:rPr>
                <w:noProof/>
                <w:webHidden/>
              </w:rPr>
              <w:t>298</w:t>
            </w:r>
            <w:r>
              <w:rPr>
                <w:noProof/>
                <w:webHidden/>
              </w:rPr>
              <w:fldChar w:fldCharType="end"/>
            </w:r>
          </w:hyperlink>
        </w:p>
        <w:p w14:paraId="5A736539" w14:textId="28A3C22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60" w:history="1">
            <w:r w:rsidRPr="001D4C20">
              <w:rPr>
                <w:rStyle w:val="Lienhypertexte"/>
                <w:noProof/>
              </w:rPr>
              <w:t>52.45.1d Isolation à injecter - mousse phénolique (PF) CCTB 01.02</w:t>
            </w:r>
            <w:r>
              <w:rPr>
                <w:noProof/>
                <w:webHidden/>
              </w:rPr>
              <w:tab/>
            </w:r>
            <w:r>
              <w:rPr>
                <w:noProof/>
                <w:webHidden/>
              </w:rPr>
              <w:fldChar w:fldCharType="begin"/>
            </w:r>
            <w:r>
              <w:rPr>
                <w:noProof/>
                <w:webHidden/>
              </w:rPr>
              <w:instrText xml:space="preserve"> PAGEREF _Toc220490660 \h </w:instrText>
            </w:r>
            <w:r>
              <w:rPr>
                <w:noProof/>
                <w:webHidden/>
              </w:rPr>
            </w:r>
            <w:r>
              <w:rPr>
                <w:noProof/>
                <w:webHidden/>
              </w:rPr>
              <w:fldChar w:fldCharType="separate"/>
            </w:r>
            <w:r>
              <w:rPr>
                <w:noProof/>
                <w:webHidden/>
              </w:rPr>
              <w:t>298</w:t>
            </w:r>
            <w:r>
              <w:rPr>
                <w:noProof/>
                <w:webHidden/>
              </w:rPr>
              <w:fldChar w:fldCharType="end"/>
            </w:r>
          </w:hyperlink>
        </w:p>
        <w:p w14:paraId="17FF2F19" w14:textId="5810AB12"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661" w:history="1">
            <w:r w:rsidRPr="001D4C20">
              <w:rPr>
                <w:rStyle w:val="Lienhypertexte"/>
                <w:noProof/>
              </w:rPr>
              <w:t>52.46 Isolation à verser en vrac CCTB 01.02</w:t>
            </w:r>
            <w:r>
              <w:rPr>
                <w:noProof/>
                <w:webHidden/>
              </w:rPr>
              <w:tab/>
            </w:r>
            <w:r>
              <w:rPr>
                <w:noProof/>
                <w:webHidden/>
              </w:rPr>
              <w:fldChar w:fldCharType="begin"/>
            </w:r>
            <w:r>
              <w:rPr>
                <w:noProof/>
                <w:webHidden/>
              </w:rPr>
              <w:instrText xml:space="preserve"> PAGEREF _Toc220490661 \h </w:instrText>
            </w:r>
            <w:r>
              <w:rPr>
                <w:noProof/>
                <w:webHidden/>
              </w:rPr>
            </w:r>
            <w:r>
              <w:rPr>
                <w:noProof/>
                <w:webHidden/>
              </w:rPr>
              <w:fldChar w:fldCharType="separate"/>
            </w:r>
            <w:r>
              <w:rPr>
                <w:noProof/>
                <w:webHidden/>
              </w:rPr>
              <w:t>298</w:t>
            </w:r>
            <w:r>
              <w:rPr>
                <w:noProof/>
                <w:webHidden/>
              </w:rPr>
              <w:fldChar w:fldCharType="end"/>
            </w:r>
          </w:hyperlink>
        </w:p>
        <w:p w14:paraId="33BEA16F" w14:textId="495C9D3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62" w:history="1">
            <w:r w:rsidRPr="001D4C20">
              <w:rPr>
                <w:rStyle w:val="Lienhypertexte"/>
                <w:noProof/>
              </w:rPr>
              <w:t>52.46.1 Isolation à verser en vrac - matières synthétiques CCTB 01.02</w:t>
            </w:r>
            <w:r>
              <w:rPr>
                <w:noProof/>
                <w:webHidden/>
              </w:rPr>
              <w:tab/>
            </w:r>
            <w:r>
              <w:rPr>
                <w:noProof/>
                <w:webHidden/>
              </w:rPr>
              <w:fldChar w:fldCharType="begin"/>
            </w:r>
            <w:r>
              <w:rPr>
                <w:noProof/>
                <w:webHidden/>
              </w:rPr>
              <w:instrText xml:space="preserve"> PAGEREF _Toc220490662 \h </w:instrText>
            </w:r>
            <w:r>
              <w:rPr>
                <w:noProof/>
                <w:webHidden/>
              </w:rPr>
            </w:r>
            <w:r>
              <w:rPr>
                <w:noProof/>
                <w:webHidden/>
              </w:rPr>
              <w:fldChar w:fldCharType="separate"/>
            </w:r>
            <w:r>
              <w:rPr>
                <w:noProof/>
                <w:webHidden/>
              </w:rPr>
              <w:t>298</w:t>
            </w:r>
            <w:r>
              <w:rPr>
                <w:noProof/>
                <w:webHidden/>
              </w:rPr>
              <w:fldChar w:fldCharType="end"/>
            </w:r>
          </w:hyperlink>
        </w:p>
        <w:p w14:paraId="3343E083" w14:textId="19AFE98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63" w:history="1">
            <w:r w:rsidRPr="001D4C20">
              <w:rPr>
                <w:rStyle w:val="Lienhypertexte"/>
                <w:noProof/>
              </w:rPr>
              <w:t>52.46.1a Isolation à verser en vrac - billes de polystyrène expansé (EPS) CCTB 01.11</w:t>
            </w:r>
            <w:r>
              <w:rPr>
                <w:noProof/>
                <w:webHidden/>
              </w:rPr>
              <w:tab/>
            </w:r>
            <w:r>
              <w:rPr>
                <w:noProof/>
                <w:webHidden/>
              </w:rPr>
              <w:fldChar w:fldCharType="begin"/>
            </w:r>
            <w:r>
              <w:rPr>
                <w:noProof/>
                <w:webHidden/>
              </w:rPr>
              <w:instrText xml:space="preserve"> PAGEREF _Toc220490663 \h </w:instrText>
            </w:r>
            <w:r>
              <w:rPr>
                <w:noProof/>
                <w:webHidden/>
              </w:rPr>
            </w:r>
            <w:r>
              <w:rPr>
                <w:noProof/>
                <w:webHidden/>
              </w:rPr>
              <w:fldChar w:fldCharType="separate"/>
            </w:r>
            <w:r>
              <w:rPr>
                <w:noProof/>
                <w:webHidden/>
              </w:rPr>
              <w:t>298</w:t>
            </w:r>
            <w:r>
              <w:rPr>
                <w:noProof/>
                <w:webHidden/>
              </w:rPr>
              <w:fldChar w:fldCharType="end"/>
            </w:r>
          </w:hyperlink>
        </w:p>
        <w:p w14:paraId="4E08DC7A" w14:textId="2504EA8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64" w:history="1">
            <w:r w:rsidRPr="001D4C20">
              <w:rPr>
                <w:rStyle w:val="Lienhypertexte"/>
                <w:noProof/>
              </w:rPr>
              <w:t>52.46.1b Isolation à verser en vrac - billes de polystyrène expansé additionné de graphite/carbone CCTB 01.02</w:t>
            </w:r>
            <w:r>
              <w:rPr>
                <w:noProof/>
                <w:webHidden/>
              </w:rPr>
              <w:tab/>
            </w:r>
            <w:r>
              <w:rPr>
                <w:noProof/>
                <w:webHidden/>
              </w:rPr>
              <w:fldChar w:fldCharType="begin"/>
            </w:r>
            <w:r>
              <w:rPr>
                <w:noProof/>
                <w:webHidden/>
              </w:rPr>
              <w:instrText xml:space="preserve"> PAGEREF _Toc220490664 \h </w:instrText>
            </w:r>
            <w:r>
              <w:rPr>
                <w:noProof/>
                <w:webHidden/>
              </w:rPr>
            </w:r>
            <w:r>
              <w:rPr>
                <w:noProof/>
                <w:webHidden/>
              </w:rPr>
              <w:fldChar w:fldCharType="separate"/>
            </w:r>
            <w:r>
              <w:rPr>
                <w:noProof/>
                <w:webHidden/>
              </w:rPr>
              <w:t>300</w:t>
            </w:r>
            <w:r>
              <w:rPr>
                <w:noProof/>
                <w:webHidden/>
              </w:rPr>
              <w:fldChar w:fldCharType="end"/>
            </w:r>
          </w:hyperlink>
        </w:p>
        <w:p w14:paraId="44FF1AD2" w14:textId="349C9E82"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65" w:history="1">
            <w:r w:rsidRPr="001D4C20">
              <w:rPr>
                <w:rStyle w:val="Lienhypertexte"/>
                <w:noProof/>
              </w:rPr>
              <w:t>52.46.2 Isolation à verser en vrac - matières minérales CCTB 01.02</w:t>
            </w:r>
            <w:r>
              <w:rPr>
                <w:noProof/>
                <w:webHidden/>
              </w:rPr>
              <w:tab/>
            </w:r>
            <w:r>
              <w:rPr>
                <w:noProof/>
                <w:webHidden/>
              </w:rPr>
              <w:fldChar w:fldCharType="begin"/>
            </w:r>
            <w:r>
              <w:rPr>
                <w:noProof/>
                <w:webHidden/>
              </w:rPr>
              <w:instrText xml:space="preserve"> PAGEREF _Toc220490665 \h </w:instrText>
            </w:r>
            <w:r>
              <w:rPr>
                <w:noProof/>
                <w:webHidden/>
              </w:rPr>
            </w:r>
            <w:r>
              <w:rPr>
                <w:noProof/>
                <w:webHidden/>
              </w:rPr>
              <w:fldChar w:fldCharType="separate"/>
            </w:r>
            <w:r>
              <w:rPr>
                <w:noProof/>
                <w:webHidden/>
              </w:rPr>
              <w:t>300</w:t>
            </w:r>
            <w:r>
              <w:rPr>
                <w:noProof/>
                <w:webHidden/>
              </w:rPr>
              <w:fldChar w:fldCharType="end"/>
            </w:r>
          </w:hyperlink>
        </w:p>
        <w:p w14:paraId="09B4D6B7" w14:textId="152C9FC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66" w:history="1">
            <w:r w:rsidRPr="001D4C20">
              <w:rPr>
                <w:rStyle w:val="Lienhypertexte"/>
                <w:noProof/>
              </w:rPr>
              <w:t>52.46.2a Isolation à verser en vrac - laine de verre CCTB 01.02</w:t>
            </w:r>
            <w:r>
              <w:rPr>
                <w:noProof/>
                <w:webHidden/>
              </w:rPr>
              <w:tab/>
            </w:r>
            <w:r>
              <w:rPr>
                <w:noProof/>
                <w:webHidden/>
              </w:rPr>
              <w:fldChar w:fldCharType="begin"/>
            </w:r>
            <w:r>
              <w:rPr>
                <w:noProof/>
                <w:webHidden/>
              </w:rPr>
              <w:instrText xml:space="preserve"> PAGEREF _Toc220490666 \h </w:instrText>
            </w:r>
            <w:r>
              <w:rPr>
                <w:noProof/>
                <w:webHidden/>
              </w:rPr>
            </w:r>
            <w:r>
              <w:rPr>
                <w:noProof/>
                <w:webHidden/>
              </w:rPr>
              <w:fldChar w:fldCharType="separate"/>
            </w:r>
            <w:r>
              <w:rPr>
                <w:noProof/>
                <w:webHidden/>
              </w:rPr>
              <w:t>300</w:t>
            </w:r>
            <w:r>
              <w:rPr>
                <w:noProof/>
                <w:webHidden/>
              </w:rPr>
              <w:fldChar w:fldCharType="end"/>
            </w:r>
          </w:hyperlink>
        </w:p>
        <w:p w14:paraId="799DD796" w14:textId="0DD4AF4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67" w:history="1">
            <w:r w:rsidRPr="001D4C20">
              <w:rPr>
                <w:rStyle w:val="Lienhypertexte"/>
                <w:noProof/>
              </w:rPr>
              <w:t>52.46.2b Isolation à verser en vrac - laine de roche CCTB 01.02</w:t>
            </w:r>
            <w:r>
              <w:rPr>
                <w:noProof/>
                <w:webHidden/>
              </w:rPr>
              <w:tab/>
            </w:r>
            <w:r>
              <w:rPr>
                <w:noProof/>
                <w:webHidden/>
              </w:rPr>
              <w:fldChar w:fldCharType="begin"/>
            </w:r>
            <w:r>
              <w:rPr>
                <w:noProof/>
                <w:webHidden/>
              </w:rPr>
              <w:instrText xml:space="preserve"> PAGEREF _Toc220490667 \h </w:instrText>
            </w:r>
            <w:r>
              <w:rPr>
                <w:noProof/>
                <w:webHidden/>
              </w:rPr>
            </w:r>
            <w:r>
              <w:rPr>
                <w:noProof/>
                <w:webHidden/>
              </w:rPr>
              <w:fldChar w:fldCharType="separate"/>
            </w:r>
            <w:r>
              <w:rPr>
                <w:noProof/>
                <w:webHidden/>
              </w:rPr>
              <w:t>300</w:t>
            </w:r>
            <w:r>
              <w:rPr>
                <w:noProof/>
                <w:webHidden/>
              </w:rPr>
              <w:fldChar w:fldCharType="end"/>
            </w:r>
          </w:hyperlink>
        </w:p>
        <w:p w14:paraId="37647CAB" w14:textId="68A7153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68" w:history="1">
            <w:r w:rsidRPr="001D4C20">
              <w:rPr>
                <w:rStyle w:val="Lienhypertexte"/>
                <w:noProof/>
              </w:rPr>
              <w:t>52.46.2c Isolation à verser en vrac - fibres de verre CCTB 01.02</w:t>
            </w:r>
            <w:r>
              <w:rPr>
                <w:noProof/>
                <w:webHidden/>
              </w:rPr>
              <w:tab/>
            </w:r>
            <w:r>
              <w:rPr>
                <w:noProof/>
                <w:webHidden/>
              </w:rPr>
              <w:fldChar w:fldCharType="begin"/>
            </w:r>
            <w:r>
              <w:rPr>
                <w:noProof/>
                <w:webHidden/>
              </w:rPr>
              <w:instrText xml:space="preserve"> PAGEREF _Toc220490668 \h </w:instrText>
            </w:r>
            <w:r>
              <w:rPr>
                <w:noProof/>
                <w:webHidden/>
              </w:rPr>
            </w:r>
            <w:r>
              <w:rPr>
                <w:noProof/>
                <w:webHidden/>
              </w:rPr>
              <w:fldChar w:fldCharType="separate"/>
            </w:r>
            <w:r>
              <w:rPr>
                <w:noProof/>
                <w:webHidden/>
              </w:rPr>
              <w:t>300</w:t>
            </w:r>
            <w:r>
              <w:rPr>
                <w:noProof/>
                <w:webHidden/>
              </w:rPr>
              <w:fldChar w:fldCharType="end"/>
            </w:r>
          </w:hyperlink>
        </w:p>
        <w:p w14:paraId="250F8A9C" w14:textId="6554E15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69" w:history="1">
            <w:r w:rsidRPr="001D4C20">
              <w:rPr>
                <w:rStyle w:val="Lienhypertexte"/>
                <w:noProof/>
              </w:rPr>
              <w:t>52.46.2d Isolation à verser en vrac - vermiculite expansée (EV) CCTB 01.02</w:t>
            </w:r>
            <w:r>
              <w:rPr>
                <w:noProof/>
                <w:webHidden/>
              </w:rPr>
              <w:tab/>
            </w:r>
            <w:r>
              <w:rPr>
                <w:noProof/>
                <w:webHidden/>
              </w:rPr>
              <w:fldChar w:fldCharType="begin"/>
            </w:r>
            <w:r>
              <w:rPr>
                <w:noProof/>
                <w:webHidden/>
              </w:rPr>
              <w:instrText xml:space="preserve"> PAGEREF _Toc220490669 \h </w:instrText>
            </w:r>
            <w:r>
              <w:rPr>
                <w:noProof/>
                <w:webHidden/>
              </w:rPr>
            </w:r>
            <w:r>
              <w:rPr>
                <w:noProof/>
                <w:webHidden/>
              </w:rPr>
              <w:fldChar w:fldCharType="separate"/>
            </w:r>
            <w:r>
              <w:rPr>
                <w:noProof/>
                <w:webHidden/>
              </w:rPr>
              <w:t>300</w:t>
            </w:r>
            <w:r>
              <w:rPr>
                <w:noProof/>
                <w:webHidden/>
              </w:rPr>
              <w:fldChar w:fldCharType="end"/>
            </w:r>
          </w:hyperlink>
        </w:p>
        <w:p w14:paraId="60453805" w14:textId="6CAFA2B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70" w:history="1">
            <w:r w:rsidRPr="001D4C20">
              <w:rPr>
                <w:rStyle w:val="Lienhypertexte"/>
                <w:noProof/>
              </w:rPr>
              <w:t>52.46.2e Isolation à verser en vrac - perlite expansée (EPB) CCTB 01.02</w:t>
            </w:r>
            <w:r>
              <w:rPr>
                <w:noProof/>
                <w:webHidden/>
              </w:rPr>
              <w:tab/>
            </w:r>
            <w:r>
              <w:rPr>
                <w:noProof/>
                <w:webHidden/>
              </w:rPr>
              <w:fldChar w:fldCharType="begin"/>
            </w:r>
            <w:r>
              <w:rPr>
                <w:noProof/>
                <w:webHidden/>
              </w:rPr>
              <w:instrText xml:space="preserve"> PAGEREF _Toc220490670 \h </w:instrText>
            </w:r>
            <w:r>
              <w:rPr>
                <w:noProof/>
                <w:webHidden/>
              </w:rPr>
            </w:r>
            <w:r>
              <w:rPr>
                <w:noProof/>
                <w:webHidden/>
              </w:rPr>
              <w:fldChar w:fldCharType="separate"/>
            </w:r>
            <w:r>
              <w:rPr>
                <w:noProof/>
                <w:webHidden/>
              </w:rPr>
              <w:t>300</w:t>
            </w:r>
            <w:r>
              <w:rPr>
                <w:noProof/>
                <w:webHidden/>
              </w:rPr>
              <w:fldChar w:fldCharType="end"/>
            </w:r>
          </w:hyperlink>
        </w:p>
        <w:p w14:paraId="5A82FE3E" w14:textId="667B8B3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71" w:history="1">
            <w:r w:rsidRPr="001D4C20">
              <w:rPr>
                <w:rStyle w:val="Lienhypertexte"/>
                <w:noProof/>
              </w:rPr>
              <w:t>52.46.2f (titre réservé)</w:t>
            </w:r>
            <w:r>
              <w:rPr>
                <w:noProof/>
                <w:webHidden/>
              </w:rPr>
              <w:tab/>
            </w:r>
            <w:r>
              <w:rPr>
                <w:noProof/>
                <w:webHidden/>
              </w:rPr>
              <w:fldChar w:fldCharType="begin"/>
            </w:r>
            <w:r>
              <w:rPr>
                <w:noProof/>
                <w:webHidden/>
              </w:rPr>
              <w:instrText xml:space="preserve"> PAGEREF _Toc220490671 \h </w:instrText>
            </w:r>
            <w:r>
              <w:rPr>
                <w:noProof/>
                <w:webHidden/>
              </w:rPr>
            </w:r>
            <w:r>
              <w:rPr>
                <w:noProof/>
                <w:webHidden/>
              </w:rPr>
              <w:fldChar w:fldCharType="separate"/>
            </w:r>
            <w:r>
              <w:rPr>
                <w:noProof/>
                <w:webHidden/>
              </w:rPr>
              <w:t>300</w:t>
            </w:r>
            <w:r>
              <w:rPr>
                <w:noProof/>
                <w:webHidden/>
              </w:rPr>
              <w:fldChar w:fldCharType="end"/>
            </w:r>
          </w:hyperlink>
        </w:p>
        <w:p w14:paraId="6E6075F9" w14:textId="26326FD6"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72" w:history="1">
            <w:r w:rsidRPr="001D4C20">
              <w:rPr>
                <w:rStyle w:val="Lienhypertexte"/>
                <w:noProof/>
              </w:rPr>
              <w:t>52.46.3 Isolation à verser en vrac - matières végétales CCTB 01.02</w:t>
            </w:r>
            <w:r>
              <w:rPr>
                <w:noProof/>
                <w:webHidden/>
              </w:rPr>
              <w:tab/>
            </w:r>
            <w:r>
              <w:rPr>
                <w:noProof/>
                <w:webHidden/>
              </w:rPr>
              <w:fldChar w:fldCharType="begin"/>
            </w:r>
            <w:r>
              <w:rPr>
                <w:noProof/>
                <w:webHidden/>
              </w:rPr>
              <w:instrText xml:space="preserve"> PAGEREF _Toc220490672 \h </w:instrText>
            </w:r>
            <w:r>
              <w:rPr>
                <w:noProof/>
                <w:webHidden/>
              </w:rPr>
            </w:r>
            <w:r>
              <w:rPr>
                <w:noProof/>
                <w:webHidden/>
              </w:rPr>
              <w:fldChar w:fldCharType="separate"/>
            </w:r>
            <w:r>
              <w:rPr>
                <w:noProof/>
                <w:webHidden/>
              </w:rPr>
              <w:t>300</w:t>
            </w:r>
            <w:r>
              <w:rPr>
                <w:noProof/>
                <w:webHidden/>
              </w:rPr>
              <w:fldChar w:fldCharType="end"/>
            </w:r>
          </w:hyperlink>
        </w:p>
        <w:p w14:paraId="059ACF6A" w14:textId="2A9E887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73" w:history="1">
            <w:r w:rsidRPr="001D4C20">
              <w:rPr>
                <w:rStyle w:val="Lienhypertexte"/>
                <w:noProof/>
              </w:rPr>
              <w:t>52.46.3a Isolation à verser en vrac - fibres cellulosiques CCTB 01.12</w:t>
            </w:r>
            <w:r>
              <w:rPr>
                <w:noProof/>
                <w:webHidden/>
              </w:rPr>
              <w:tab/>
            </w:r>
            <w:r>
              <w:rPr>
                <w:noProof/>
                <w:webHidden/>
              </w:rPr>
              <w:fldChar w:fldCharType="begin"/>
            </w:r>
            <w:r>
              <w:rPr>
                <w:noProof/>
                <w:webHidden/>
              </w:rPr>
              <w:instrText xml:space="preserve"> PAGEREF _Toc220490673 \h </w:instrText>
            </w:r>
            <w:r>
              <w:rPr>
                <w:noProof/>
                <w:webHidden/>
              </w:rPr>
            </w:r>
            <w:r>
              <w:rPr>
                <w:noProof/>
                <w:webHidden/>
              </w:rPr>
              <w:fldChar w:fldCharType="separate"/>
            </w:r>
            <w:r>
              <w:rPr>
                <w:noProof/>
                <w:webHidden/>
              </w:rPr>
              <w:t>300</w:t>
            </w:r>
            <w:r>
              <w:rPr>
                <w:noProof/>
                <w:webHidden/>
              </w:rPr>
              <w:fldChar w:fldCharType="end"/>
            </w:r>
          </w:hyperlink>
        </w:p>
        <w:p w14:paraId="1F13D606" w14:textId="6CF2CD4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74" w:history="1">
            <w:r w:rsidRPr="001D4C20">
              <w:rPr>
                <w:rStyle w:val="Lienhypertexte"/>
                <w:noProof/>
              </w:rPr>
              <w:t>52.46.3b Isolation à verser en vrac - granulés d'argile expansée (LWA) CCTB 01.10</w:t>
            </w:r>
            <w:r>
              <w:rPr>
                <w:noProof/>
                <w:webHidden/>
              </w:rPr>
              <w:tab/>
            </w:r>
            <w:r>
              <w:rPr>
                <w:noProof/>
                <w:webHidden/>
              </w:rPr>
              <w:fldChar w:fldCharType="begin"/>
            </w:r>
            <w:r>
              <w:rPr>
                <w:noProof/>
                <w:webHidden/>
              </w:rPr>
              <w:instrText xml:space="preserve"> PAGEREF _Toc220490674 \h </w:instrText>
            </w:r>
            <w:r>
              <w:rPr>
                <w:noProof/>
                <w:webHidden/>
              </w:rPr>
            </w:r>
            <w:r>
              <w:rPr>
                <w:noProof/>
                <w:webHidden/>
              </w:rPr>
              <w:fldChar w:fldCharType="separate"/>
            </w:r>
            <w:r>
              <w:rPr>
                <w:noProof/>
                <w:webHidden/>
              </w:rPr>
              <w:t>302</w:t>
            </w:r>
            <w:r>
              <w:rPr>
                <w:noProof/>
                <w:webHidden/>
              </w:rPr>
              <w:fldChar w:fldCharType="end"/>
            </w:r>
          </w:hyperlink>
        </w:p>
        <w:p w14:paraId="570666B7" w14:textId="374A0E1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75" w:history="1">
            <w:r w:rsidRPr="001D4C20">
              <w:rPr>
                <w:rStyle w:val="Lienhypertexte"/>
                <w:noProof/>
              </w:rPr>
              <w:t>52.46.3c Isolation à verser en vrac - fibres de lin CCTB 01.12</w:t>
            </w:r>
            <w:r>
              <w:rPr>
                <w:noProof/>
                <w:webHidden/>
              </w:rPr>
              <w:tab/>
            </w:r>
            <w:r>
              <w:rPr>
                <w:noProof/>
                <w:webHidden/>
              </w:rPr>
              <w:fldChar w:fldCharType="begin"/>
            </w:r>
            <w:r>
              <w:rPr>
                <w:noProof/>
                <w:webHidden/>
              </w:rPr>
              <w:instrText xml:space="preserve"> PAGEREF _Toc220490675 \h </w:instrText>
            </w:r>
            <w:r>
              <w:rPr>
                <w:noProof/>
                <w:webHidden/>
              </w:rPr>
            </w:r>
            <w:r>
              <w:rPr>
                <w:noProof/>
                <w:webHidden/>
              </w:rPr>
              <w:fldChar w:fldCharType="separate"/>
            </w:r>
            <w:r>
              <w:rPr>
                <w:noProof/>
                <w:webHidden/>
              </w:rPr>
              <w:t>305</w:t>
            </w:r>
            <w:r>
              <w:rPr>
                <w:noProof/>
                <w:webHidden/>
              </w:rPr>
              <w:fldChar w:fldCharType="end"/>
            </w:r>
          </w:hyperlink>
        </w:p>
        <w:p w14:paraId="2B9F5FB6" w14:textId="76272A7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76" w:history="1">
            <w:r w:rsidRPr="001D4C20">
              <w:rPr>
                <w:rStyle w:val="Lienhypertexte"/>
                <w:noProof/>
              </w:rPr>
              <w:t>52.46.3d Isolation à verser en vrac - chaume CCTB 01.12</w:t>
            </w:r>
            <w:r>
              <w:rPr>
                <w:noProof/>
                <w:webHidden/>
              </w:rPr>
              <w:tab/>
            </w:r>
            <w:r>
              <w:rPr>
                <w:noProof/>
                <w:webHidden/>
              </w:rPr>
              <w:fldChar w:fldCharType="begin"/>
            </w:r>
            <w:r>
              <w:rPr>
                <w:noProof/>
                <w:webHidden/>
              </w:rPr>
              <w:instrText xml:space="preserve"> PAGEREF _Toc220490676 \h </w:instrText>
            </w:r>
            <w:r>
              <w:rPr>
                <w:noProof/>
                <w:webHidden/>
              </w:rPr>
            </w:r>
            <w:r>
              <w:rPr>
                <w:noProof/>
                <w:webHidden/>
              </w:rPr>
              <w:fldChar w:fldCharType="separate"/>
            </w:r>
            <w:r>
              <w:rPr>
                <w:noProof/>
                <w:webHidden/>
              </w:rPr>
              <w:t>306</w:t>
            </w:r>
            <w:r>
              <w:rPr>
                <w:noProof/>
                <w:webHidden/>
              </w:rPr>
              <w:fldChar w:fldCharType="end"/>
            </w:r>
          </w:hyperlink>
        </w:p>
        <w:p w14:paraId="1C278BCE" w14:textId="2D2444C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77" w:history="1">
            <w:r w:rsidRPr="001D4C20">
              <w:rPr>
                <w:rStyle w:val="Lienhypertexte"/>
                <w:noProof/>
              </w:rPr>
              <w:t>52.46.3e Isolation à verser en vrac - chanvre CCTB 01.12</w:t>
            </w:r>
            <w:r>
              <w:rPr>
                <w:noProof/>
                <w:webHidden/>
              </w:rPr>
              <w:tab/>
            </w:r>
            <w:r>
              <w:rPr>
                <w:noProof/>
                <w:webHidden/>
              </w:rPr>
              <w:fldChar w:fldCharType="begin"/>
            </w:r>
            <w:r>
              <w:rPr>
                <w:noProof/>
                <w:webHidden/>
              </w:rPr>
              <w:instrText xml:space="preserve"> PAGEREF _Toc220490677 \h </w:instrText>
            </w:r>
            <w:r>
              <w:rPr>
                <w:noProof/>
                <w:webHidden/>
              </w:rPr>
            </w:r>
            <w:r>
              <w:rPr>
                <w:noProof/>
                <w:webHidden/>
              </w:rPr>
              <w:fldChar w:fldCharType="separate"/>
            </w:r>
            <w:r>
              <w:rPr>
                <w:noProof/>
                <w:webHidden/>
              </w:rPr>
              <w:t>308</w:t>
            </w:r>
            <w:r>
              <w:rPr>
                <w:noProof/>
                <w:webHidden/>
              </w:rPr>
              <w:fldChar w:fldCharType="end"/>
            </w:r>
          </w:hyperlink>
        </w:p>
        <w:p w14:paraId="342B2AA3" w14:textId="20DBF0B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78" w:history="1">
            <w:r w:rsidRPr="001D4C20">
              <w:rPr>
                <w:rStyle w:val="Lienhypertexte"/>
                <w:noProof/>
              </w:rPr>
              <w:t>52.46.3f Isolation à verser en vrac - fibres de coco CCTB 01.12</w:t>
            </w:r>
            <w:r>
              <w:rPr>
                <w:noProof/>
                <w:webHidden/>
              </w:rPr>
              <w:tab/>
            </w:r>
            <w:r>
              <w:rPr>
                <w:noProof/>
                <w:webHidden/>
              </w:rPr>
              <w:fldChar w:fldCharType="begin"/>
            </w:r>
            <w:r>
              <w:rPr>
                <w:noProof/>
                <w:webHidden/>
              </w:rPr>
              <w:instrText xml:space="preserve"> PAGEREF _Toc220490678 \h </w:instrText>
            </w:r>
            <w:r>
              <w:rPr>
                <w:noProof/>
                <w:webHidden/>
              </w:rPr>
            </w:r>
            <w:r>
              <w:rPr>
                <w:noProof/>
                <w:webHidden/>
              </w:rPr>
              <w:fldChar w:fldCharType="separate"/>
            </w:r>
            <w:r>
              <w:rPr>
                <w:noProof/>
                <w:webHidden/>
              </w:rPr>
              <w:t>311</w:t>
            </w:r>
            <w:r>
              <w:rPr>
                <w:noProof/>
                <w:webHidden/>
              </w:rPr>
              <w:fldChar w:fldCharType="end"/>
            </w:r>
          </w:hyperlink>
        </w:p>
        <w:p w14:paraId="770F9005" w14:textId="32EC37B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79" w:history="1">
            <w:r w:rsidRPr="001D4C20">
              <w:rPr>
                <w:rStyle w:val="Lienhypertexte"/>
                <w:noProof/>
              </w:rPr>
              <w:t>52.46.3g Isolation à verser en vrac - granulés de liège expansé CCTB 01.12</w:t>
            </w:r>
            <w:r>
              <w:rPr>
                <w:noProof/>
                <w:webHidden/>
              </w:rPr>
              <w:tab/>
            </w:r>
            <w:r>
              <w:rPr>
                <w:noProof/>
                <w:webHidden/>
              </w:rPr>
              <w:fldChar w:fldCharType="begin"/>
            </w:r>
            <w:r>
              <w:rPr>
                <w:noProof/>
                <w:webHidden/>
              </w:rPr>
              <w:instrText xml:space="preserve"> PAGEREF _Toc220490679 \h </w:instrText>
            </w:r>
            <w:r>
              <w:rPr>
                <w:noProof/>
                <w:webHidden/>
              </w:rPr>
            </w:r>
            <w:r>
              <w:rPr>
                <w:noProof/>
                <w:webHidden/>
              </w:rPr>
              <w:fldChar w:fldCharType="separate"/>
            </w:r>
            <w:r>
              <w:rPr>
                <w:noProof/>
                <w:webHidden/>
              </w:rPr>
              <w:t>312</w:t>
            </w:r>
            <w:r>
              <w:rPr>
                <w:noProof/>
                <w:webHidden/>
              </w:rPr>
              <w:fldChar w:fldCharType="end"/>
            </w:r>
          </w:hyperlink>
        </w:p>
        <w:p w14:paraId="2B1503BB" w14:textId="5069602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80" w:history="1">
            <w:r w:rsidRPr="001D4C20">
              <w:rPr>
                <w:rStyle w:val="Lienhypertexte"/>
                <w:noProof/>
              </w:rPr>
              <w:t>52.46.3h Isolation à verser en vrac - fibres de bois CCTB 01.12</w:t>
            </w:r>
            <w:r>
              <w:rPr>
                <w:noProof/>
                <w:webHidden/>
              </w:rPr>
              <w:tab/>
            </w:r>
            <w:r>
              <w:rPr>
                <w:noProof/>
                <w:webHidden/>
              </w:rPr>
              <w:fldChar w:fldCharType="begin"/>
            </w:r>
            <w:r>
              <w:rPr>
                <w:noProof/>
                <w:webHidden/>
              </w:rPr>
              <w:instrText xml:space="preserve"> PAGEREF _Toc220490680 \h </w:instrText>
            </w:r>
            <w:r>
              <w:rPr>
                <w:noProof/>
                <w:webHidden/>
              </w:rPr>
            </w:r>
            <w:r>
              <w:rPr>
                <w:noProof/>
                <w:webHidden/>
              </w:rPr>
              <w:fldChar w:fldCharType="separate"/>
            </w:r>
            <w:r>
              <w:rPr>
                <w:noProof/>
                <w:webHidden/>
              </w:rPr>
              <w:t>314</w:t>
            </w:r>
            <w:r>
              <w:rPr>
                <w:noProof/>
                <w:webHidden/>
              </w:rPr>
              <w:fldChar w:fldCharType="end"/>
            </w:r>
          </w:hyperlink>
        </w:p>
        <w:p w14:paraId="603CF6C5" w14:textId="1BC1ED81"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81" w:history="1">
            <w:r w:rsidRPr="001D4C20">
              <w:rPr>
                <w:rStyle w:val="Lienhypertexte"/>
                <w:noProof/>
              </w:rPr>
              <w:t>52.46.4 Isolation à verser en vrac - matières animales CCTB 01.02</w:t>
            </w:r>
            <w:r>
              <w:rPr>
                <w:noProof/>
                <w:webHidden/>
              </w:rPr>
              <w:tab/>
            </w:r>
            <w:r>
              <w:rPr>
                <w:noProof/>
                <w:webHidden/>
              </w:rPr>
              <w:fldChar w:fldCharType="begin"/>
            </w:r>
            <w:r>
              <w:rPr>
                <w:noProof/>
                <w:webHidden/>
              </w:rPr>
              <w:instrText xml:space="preserve"> PAGEREF _Toc220490681 \h </w:instrText>
            </w:r>
            <w:r>
              <w:rPr>
                <w:noProof/>
                <w:webHidden/>
              </w:rPr>
            </w:r>
            <w:r>
              <w:rPr>
                <w:noProof/>
                <w:webHidden/>
              </w:rPr>
              <w:fldChar w:fldCharType="separate"/>
            </w:r>
            <w:r>
              <w:rPr>
                <w:noProof/>
                <w:webHidden/>
              </w:rPr>
              <w:t>316</w:t>
            </w:r>
            <w:r>
              <w:rPr>
                <w:noProof/>
                <w:webHidden/>
              </w:rPr>
              <w:fldChar w:fldCharType="end"/>
            </w:r>
          </w:hyperlink>
        </w:p>
        <w:p w14:paraId="1DD3DB9B" w14:textId="00C15CF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82" w:history="1">
            <w:r w:rsidRPr="001D4C20">
              <w:rPr>
                <w:rStyle w:val="Lienhypertexte"/>
                <w:noProof/>
              </w:rPr>
              <w:t>52.46.4a Isolation à verser en vrac - laine de mouton CCTB 01.12</w:t>
            </w:r>
            <w:r>
              <w:rPr>
                <w:noProof/>
                <w:webHidden/>
              </w:rPr>
              <w:tab/>
            </w:r>
            <w:r>
              <w:rPr>
                <w:noProof/>
                <w:webHidden/>
              </w:rPr>
              <w:fldChar w:fldCharType="begin"/>
            </w:r>
            <w:r>
              <w:rPr>
                <w:noProof/>
                <w:webHidden/>
              </w:rPr>
              <w:instrText xml:space="preserve"> PAGEREF _Toc220490682 \h </w:instrText>
            </w:r>
            <w:r>
              <w:rPr>
                <w:noProof/>
                <w:webHidden/>
              </w:rPr>
            </w:r>
            <w:r>
              <w:rPr>
                <w:noProof/>
                <w:webHidden/>
              </w:rPr>
              <w:fldChar w:fldCharType="separate"/>
            </w:r>
            <w:r>
              <w:rPr>
                <w:noProof/>
                <w:webHidden/>
              </w:rPr>
              <w:t>316</w:t>
            </w:r>
            <w:r>
              <w:rPr>
                <w:noProof/>
                <w:webHidden/>
              </w:rPr>
              <w:fldChar w:fldCharType="end"/>
            </w:r>
          </w:hyperlink>
        </w:p>
        <w:p w14:paraId="639C7C55" w14:textId="30FE52B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83" w:history="1">
            <w:r w:rsidRPr="001D4C20">
              <w:rPr>
                <w:rStyle w:val="Lienhypertexte"/>
                <w:noProof/>
              </w:rPr>
              <w:t>52.46.4b Isolation à verser en vrac - plumes de canard CCTB 01.02</w:t>
            </w:r>
            <w:r>
              <w:rPr>
                <w:noProof/>
                <w:webHidden/>
              </w:rPr>
              <w:tab/>
            </w:r>
            <w:r>
              <w:rPr>
                <w:noProof/>
                <w:webHidden/>
              </w:rPr>
              <w:fldChar w:fldCharType="begin"/>
            </w:r>
            <w:r>
              <w:rPr>
                <w:noProof/>
                <w:webHidden/>
              </w:rPr>
              <w:instrText xml:space="preserve"> PAGEREF _Toc220490683 \h </w:instrText>
            </w:r>
            <w:r>
              <w:rPr>
                <w:noProof/>
                <w:webHidden/>
              </w:rPr>
            </w:r>
            <w:r>
              <w:rPr>
                <w:noProof/>
                <w:webHidden/>
              </w:rPr>
              <w:fldChar w:fldCharType="separate"/>
            </w:r>
            <w:r>
              <w:rPr>
                <w:noProof/>
                <w:webHidden/>
              </w:rPr>
              <w:t>318</w:t>
            </w:r>
            <w:r>
              <w:rPr>
                <w:noProof/>
                <w:webHidden/>
              </w:rPr>
              <w:fldChar w:fldCharType="end"/>
            </w:r>
          </w:hyperlink>
        </w:p>
        <w:p w14:paraId="055ABD79" w14:textId="03B62A79"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684" w:history="1">
            <w:r w:rsidRPr="001D4C20">
              <w:rPr>
                <w:rStyle w:val="Lienhypertexte"/>
                <w:noProof/>
              </w:rPr>
              <w:t>52.47 (titre réservé) CCTB 01.02</w:t>
            </w:r>
            <w:r>
              <w:rPr>
                <w:noProof/>
                <w:webHidden/>
              </w:rPr>
              <w:tab/>
            </w:r>
            <w:r>
              <w:rPr>
                <w:noProof/>
                <w:webHidden/>
              </w:rPr>
              <w:fldChar w:fldCharType="begin"/>
            </w:r>
            <w:r>
              <w:rPr>
                <w:noProof/>
                <w:webHidden/>
              </w:rPr>
              <w:instrText xml:space="preserve"> PAGEREF _Toc220490684 \h </w:instrText>
            </w:r>
            <w:r>
              <w:rPr>
                <w:noProof/>
                <w:webHidden/>
              </w:rPr>
            </w:r>
            <w:r>
              <w:rPr>
                <w:noProof/>
                <w:webHidden/>
              </w:rPr>
              <w:fldChar w:fldCharType="separate"/>
            </w:r>
            <w:r>
              <w:rPr>
                <w:noProof/>
                <w:webHidden/>
              </w:rPr>
              <w:t>318</w:t>
            </w:r>
            <w:r>
              <w:rPr>
                <w:noProof/>
                <w:webHidden/>
              </w:rPr>
              <w:fldChar w:fldCharType="end"/>
            </w:r>
          </w:hyperlink>
        </w:p>
        <w:p w14:paraId="0523705A" w14:textId="476C0E40"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685" w:history="1">
            <w:r w:rsidRPr="001D4C20">
              <w:rPr>
                <w:rStyle w:val="Lienhypertexte"/>
                <w:noProof/>
              </w:rPr>
              <w:t>52.5 Isolations à usages spécifiques CCTB 01.02</w:t>
            </w:r>
            <w:r>
              <w:rPr>
                <w:noProof/>
                <w:webHidden/>
              </w:rPr>
              <w:tab/>
            </w:r>
            <w:r>
              <w:rPr>
                <w:noProof/>
                <w:webHidden/>
              </w:rPr>
              <w:fldChar w:fldCharType="begin"/>
            </w:r>
            <w:r>
              <w:rPr>
                <w:noProof/>
                <w:webHidden/>
              </w:rPr>
              <w:instrText xml:space="preserve"> PAGEREF _Toc220490685 \h </w:instrText>
            </w:r>
            <w:r>
              <w:rPr>
                <w:noProof/>
                <w:webHidden/>
              </w:rPr>
            </w:r>
            <w:r>
              <w:rPr>
                <w:noProof/>
                <w:webHidden/>
              </w:rPr>
              <w:fldChar w:fldCharType="separate"/>
            </w:r>
            <w:r>
              <w:rPr>
                <w:noProof/>
                <w:webHidden/>
              </w:rPr>
              <w:t>318</w:t>
            </w:r>
            <w:r>
              <w:rPr>
                <w:noProof/>
                <w:webHidden/>
              </w:rPr>
              <w:fldChar w:fldCharType="end"/>
            </w:r>
          </w:hyperlink>
        </w:p>
        <w:p w14:paraId="3B99D24F" w14:textId="10BD6AF7"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686" w:history="1">
            <w:r w:rsidRPr="001D4C20">
              <w:rPr>
                <w:rStyle w:val="Lienhypertexte"/>
                <w:noProof/>
              </w:rPr>
              <w:t>52.6 - CCTB 01.02</w:t>
            </w:r>
            <w:r>
              <w:rPr>
                <w:noProof/>
                <w:webHidden/>
              </w:rPr>
              <w:tab/>
            </w:r>
            <w:r>
              <w:rPr>
                <w:noProof/>
                <w:webHidden/>
              </w:rPr>
              <w:fldChar w:fldCharType="begin"/>
            </w:r>
            <w:r>
              <w:rPr>
                <w:noProof/>
                <w:webHidden/>
              </w:rPr>
              <w:instrText xml:space="preserve"> PAGEREF _Toc220490686 \h </w:instrText>
            </w:r>
            <w:r>
              <w:rPr>
                <w:noProof/>
                <w:webHidden/>
              </w:rPr>
            </w:r>
            <w:r>
              <w:rPr>
                <w:noProof/>
                <w:webHidden/>
              </w:rPr>
              <w:fldChar w:fldCharType="separate"/>
            </w:r>
            <w:r>
              <w:rPr>
                <w:noProof/>
                <w:webHidden/>
              </w:rPr>
              <w:t>318</w:t>
            </w:r>
            <w:r>
              <w:rPr>
                <w:noProof/>
                <w:webHidden/>
              </w:rPr>
              <w:fldChar w:fldCharType="end"/>
            </w:r>
          </w:hyperlink>
        </w:p>
        <w:p w14:paraId="17260196" w14:textId="70622B40"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687" w:history="1">
            <w:r w:rsidRPr="001D4C20">
              <w:rPr>
                <w:rStyle w:val="Lienhypertexte"/>
                <w:noProof/>
              </w:rPr>
              <w:t>52.7 -</w:t>
            </w:r>
            <w:r>
              <w:rPr>
                <w:noProof/>
                <w:webHidden/>
              </w:rPr>
              <w:tab/>
            </w:r>
            <w:r>
              <w:rPr>
                <w:noProof/>
                <w:webHidden/>
              </w:rPr>
              <w:fldChar w:fldCharType="begin"/>
            </w:r>
            <w:r>
              <w:rPr>
                <w:noProof/>
                <w:webHidden/>
              </w:rPr>
              <w:instrText xml:space="preserve"> PAGEREF _Toc220490687 \h </w:instrText>
            </w:r>
            <w:r>
              <w:rPr>
                <w:noProof/>
                <w:webHidden/>
              </w:rPr>
            </w:r>
            <w:r>
              <w:rPr>
                <w:noProof/>
                <w:webHidden/>
              </w:rPr>
              <w:fldChar w:fldCharType="separate"/>
            </w:r>
            <w:r>
              <w:rPr>
                <w:noProof/>
                <w:webHidden/>
              </w:rPr>
              <w:t>318</w:t>
            </w:r>
            <w:r>
              <w:rPr>
                <w:noProof/>
                <w:webHidden/>
              </w:rPr>
              <w:fldChar w:fldCharType="end"/>
            </w:r>
          </w:hyperlink>
        </w:p>
        <w:p w14:paraId="281785A6" w14:textId="15767596"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688" w:history="1">
            <w:r w:rsidRPr="001D4C20">
              <w:rPr>
                <w:rStyle w:val="Lienhypertexte"/>
                <w:noProof/>
              </w:rPr>
              <w:t>52.8 Etanchéisation et isolation - Rénovation CCTB 01.02</w:t>
            </w:r>
            <w:r>
              <w:rPr>
                <w:noProof/>
                <w:webHidden/>
              </w:rPr>
              <w:tab/>
            </w:r>
            <w:r>
              <w:rPr>
                <w:noProof/>
                <w:webHidden/>
              </w:rPr>
              <w:fldChar w:fldCharType="begin"/>
            </w:r>
            <w:r>
              <w:rPr>
                <w:noProof/>
                <w:webHidden/>
              </w:rPr>
              <w:instrText xml:space="preserve"> PAGEREF _Toc220490688 \h </w:instrText>
            </w:r>
            <w:r>
              <w:rPr>
                <w:noProof/>
                <w:webHidden/>
              </w:rPr>
            </w:r>
            <w:r>
              <w:rPr>
                <w:noProof/>
                <w:webHidden/>
              </w:rPr>
              <w:fldChar w:fldCharType="separate"/>
            </w:r>
            <w:r>
              <w:rPr>
                <w:noProof/>
                <w:webHidden/>
              </w:rPr>
              <w:t>318</w:t>
            </w:r>
            <w:r>
              <w:rPr>
                <w:noProof/>
                <w:webHidden/>
              </w:rPr>
              <w:fldChar w:fldCharType="end"/>
            </w:r>
          </w:hyperlink>
        </w:p>
        <w:p w14:paraId="296F06F3" w14:textId="47FEE94B" w:rsidR="000F4169" w:rsidRDefault="000F4169">
          <w:pPr>
            <w:pStyle w:val="TM2"/>
            <w:tabs>
              <w:tab w:val="right" w:leader="dot" w:pos="9016"/>
            </w:tabs>
            <w:rPr>
              <w:rFonts w:asciiTheme="minorHAnsi" w:eastAsiaTheme="minorEastAsia" w:hAnsiTheme="minorHAnsi" w:cstheme="minorBidi"/>
              <w:noProof/>
              <w:kern w:val="2"/>
              <w:sz w:val="24"/>
              <w:szCs w:val="24"/>
              <w14:ligatures w14:val="standardContextual"/>
            </w:rPr>
          </w:pPr>
          <w:hyperlink w:anchor="_Toc220490689" w:history="1">
            <w:r w:rsidRPr="001D4C20">
              <w:rPr>
                <w:rStyle w:val="Lienhypertexte"/>
                <w:noProof/>
              </w:rPr>
              <w:t>53 Chapes et revêtements de sols intérieurs CCTB 01.12</w:t>
            </w:r>
            <w:r>
              <w:rPr>
                <w:noProof/>
                <w:webHidden/>
              </w:rPr>
              <w:tab/>
            </w:r>
            <w:r>
              <w:rPr>
                <w:noProof/>
                <w:webHidden/>
              </w:rPr>
              <w:fldChar w:fldCharType="begin"/>
            </w:r>
            <w:r>
              <w:rPr>
                <w:noProof/>
                <w:webHidden/>
              </w:rPr>
              <w:instrText xml:space="preserve"> PAGEREF _Toc220490689 \h </w:instrText>
            </w:r>
            <w:r>
              <w:rPr>
                <w:noProof/>
                <w:webHidden/>
              </w:rPr>
            </w:r>
            <w:r>
              <w:rPr>
                <w:noProof/>
                <w:webHidden/>
              </w:rPr>
              <w:fldChar w:fldCharType="separate"/>
            </w:r>
            <w:r>
              <w:rPr>
                <w:noProof/>
                <w:webHidden/>
              </w:rPr>
              <w:t>318</w:t>
            </w:r>
            <w:r>
              <w:rPr>
                <w:noProof/>
                <w:webHidden/>
              </w:rPr>
              <w:fldChar w:fldCharType="end"/>
            </w:r>
          </w:hyperlink>
        </w:p>
        <w:p w14:paraId="236A635C" w14:textId="187B119D"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690" w:history="1">
            <w:r w:rsidRPr="001D4C20">
              <w:rPr>
                <w:rStyle w:val="Lienhypertexte"/>
                <w:noProof/>
              </w:rPr>
              <w:t>53.1 Sous-couches CCTB 01.02</w:t>
            </w:r>
            <w:r>
              <w:rPr>
                <w:noProof/>
                <w:webHidden/>
              </w:rPr>
              <w:tab/>
            </w:r>
            <w:r>
              <w:rPr>
                <w:noProof/>
                <w:webHidden/>
              </w:rPr>
              <w:fldChar w:fldCharType="begin"/>
            </w:r>
            <w:r>
              <w:rPr>
                <w:noProof/>
                <w:webHidden/>
              </w:rPr>
              <w:instrText xml:space="preserve"> PAGEREF _Toc220490690 \h </w:instrText>
            </w:r>
            <w:r>
              <w:rPr>
                <w:noProof/>
                <w:webHidden/>
              </w:rPr>
            </w:r>
            <w:r>
              <w:rPr>
                <w:noProof/>
                <w:webHidden/>
              </w:rPr>
              <w:fldChar w:fldCharType="separate"/>
            </w:r>
            <w:r>
              <w:rPr>
                <w:noProof/>
                <w:webHidden/>
              </w:rPr>
              <w:t>325</w:t>
            </w:r>
            <w:r>
              <w:rPr>
                <w:noProof/>
                <w:webHidden/>
              </w:rPr>
              <w:fldChar w:fldCharType="end"/>
            </w:r>
          </w:hyperlink>
        </w:p>
        <w:p w14:paraId="4372740C" w14:textId="1B1E5DBF"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691" w:history="1">
            <w:r w:rsidRPr="001D4C20">
              <w:rPr>
                <w:rStyle w:val="Lienhypertexte"/>
                <w:noProof/>
              </w:rPr>
              <w:t>53.11 Sous-couches de remplissage ou d'égalisation CCTB 01.11</w:t>
            </w:r>
            <w:r>
              <w:rPr>
                <w:noProof/>
                <w:webHidden/>
              </w:rPr>
              <w:tab/>
            </w:r>
            <w:r>
              <w:rPr>
                <w:noProof/>
                <w:webHidden/>
              </w:rPr>
              <w:fldChar w:fldCharType="begin"/>
            </w:r>
            <w:r>
              <w:rPr>
                <w:noProof/>
                <w:webHidden/>
              </w:rPr>
              <w:instrText xml:space="preserve"> PAGEREF _Toc220490691 \h </w:instrText>
            </w:r>
            <w:r>
              <w:rPr>
                <w:noProof/>
                <w:webHidden/>
              </w:rPr>
            </w:r>
            <w:r>
              <w:rPr>
                <w:noProof/>
                <w:webHidden/>
              </w:rPr>
              <w:fldChar w:fldCharType="separate"/>
            </w:r>
            <w:r>
              <w:rPr>
                <w:noProof/>
                <w:webHidden/>
              </w:rPr>
              <w:t>325</w:t>
            </w:r>
            <w:r>
              <w:rPr>
                <w:noProof/>
                <w:webHidden/>
              </w:rPr>
              <w:fldChar w:fldCharType="end"/>
            </w:r>
          </w:hyperlink>
        </w:p>
        <w:p w14:paraId="18DACFF8" w14:textId="3712D9F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92" w:history="1">
            <w:r w:rsidRPr="001D4C20">
              <w:rPr>
                <w:rStyle w:val="Lienhypertexte"/>
                <w:noProof/>
              </w:rPr>
              <w:t>53.11.1 Sous-couches de remplissage ou d'égalisation à base de granulats liés CCTB 01.10</w:t>
            </w:r>
            <w:r>
              <w:rPr>
                <w:noProof/>
                <w:webHidden/>
              </w:rPr>
              <w:tab/>
            </w:r>
            <w:r>
              <w:rPr>
                <w:noProof/>
                <w:webHidden/>
              </w:rPr>
              <w:fldChar w:fldCharType="begin"/>
            </w:r>
            <w:r>
              <w:rPr>
                <w:noProof/>
                <w:webHidden/>
              </w:rPr>
              <w:instrText xml:space="preserve"> PAGEREF _Toc220490692 \h </w:instrText>
            </w:r>
            <w:r>
              <w:rPr>
                <w:noProof/>
                <w:webHidden/>
              </w:rPr>
            </w:r>
            <w:r>
              <w:rPr>
                <w:noProof/>
                <w:webHidden/>
              </w:rPr>
              <w:fldChar w:fldCharType="separate"/>
            </w:r>
            <w:r>
              <w:rPr>
                <w:noProof/>
                <w:webHidden/>
              </w:rPr>
              <w:t>325</w:t>
            </w:r>
            <w:r>
              <w:rPr>
                <w:noProof/>
                <w:webHidden/>
              </w:rPr>
              <w:fldChar w:fldCharType="end"/>
            </w:r>
          </w:hyperlink>
        </w:p>
        <w:p w14:paraId="1D692E3E" w14:textId="795608E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93" w:history="1">
            <w:r w:rsidRPr="001D4C20">
              <w:rPr>
                <w:rStyle w:val="Lienhypertexte"/>
                <w:noProof/>
              </w:rPr>
              <w:t>53.11.1a Sous couches de remplissage ou d'égalisation, au ciment et sable de rivière. CCTB 01.02</w:t>
            </w:r>
            <w:r>
              <w:rPr>
                <w:noProof/>
                <w:webHidden/>
              </w:rPr>
              <w:tab/>
            </w:r>
            <w:r>
              <w:rPr>
                <w:noProof/>
                <w:webHidden/>
              </w:rPr>
              <w:fldChar w:fldCharType="begin"/>
            </w:r>
            <w:r>
              <w:rPr>
                <w:noProof/>
                <w:webHidden/>
              </w:rPr>
              <w:instrText xml:space="preserve"> PAGEREF _Toc220490693 \h </w:instrText>
            </w:r>
            <w:r>
              <w:rPr>
                <w:noProof/>
                <w:webHidden/>
              </w:rPr>
            </w:r>
            <w:r>
              <w:rPr>
                <w:noProof/>
                <w:webHidden/>
              </w:rPr>
              <w:fldChar w:fldCharType="separate"/>
            </w:r>
            <w:r>
              <w:rPr>
                <w:noProof/>
                <w:webHidden/>
              </w:rPr>
              <w:t>326</w:t>
            </w:r>
            <w:r>
              <w:rPr>
                <w:noProof/>
                <w:webHidden/>
              </w:rPr>
              <w:fldChar w:fldCharType="end"/>
            </w:r>
          </w:hyperlink>
        </w:p>
        <w:p w14:paraId="671FCF7F" w14:textId="4F73CBE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94" w:history="1">
            <w:r w:rsidRPr="001D4C20">
              <w:rPr>
                <w:rStyle w:val="Lienhypertexte"/>
                <w:noProof/>
              </w:rPr>
              <w:t>53.11.1b Sous couches de remplissage ou d'égalisation, au ciment, gravier ou pierraille et sable. CCTB 01.11</w:t>
            </w:r>
            <w:r>
              <w:rPr>
                <w:noProof/>
                <w:webHidden/>
              </w:rPr>
              <w:tab/>
            </w:r>
            <w:r>
              <w:rPr>
                <w:noProof/>
                <w:webHidden/>
              </w:rPr>
              <w:fldChar w:fldCharType="begin"/>
            </w:r>
            <w:r>
              <w:rPr>
                <w:noProof/>
                <w:webHidden/>
              </w:rPr>
              <w:instrText xml:space="preserve"> PAGEREF _Toc220490694 \h </w:instrText>
            </w:r>
            <w:r>
              <w:rPr>
                <w:noProof/>
                <w:webHidden/>
              </w:rPr>
            </w:r>
            <w:r>
              <w:rPr>
                <w:noProof/>
                <w:webHidden/>
              </w:rPr>
              <w:fldChar w:fldCharType="separate"/>
            </w:r>
            <w:r>
              <w:rPr>
                <w:noProof/>
                <w:webHidden/>
              </w:rPr>
              <w:t>326</w:t>
            </w:r>
            <w:r>
              <w:rPr>
                <w:noProof/>
                <w:webHidden/>
              </w:rPr>
              <w:fldChar w:fldCharType="end"/>
            </w:r>
          </w:hyperlink>
        </w:p>
        <w:p w14:paraId="4A682635" w14:textId="73C3234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95" w:history="1">
            <w:r w:rsidRPr="001D4C20">
              <w:rPr>
                <w:rStyle w:val="Lienhypertexte"/>
                <w:noProof/>
              </w:rPr>
              <w:t>53.11.1c Sous couches de remplissage ou d'égalisation, au ciment, matières de charge, adjuvants et fibres CCTB 01.11</w:t>
            </w:r>
            <w:r>
              <w:rPr>
                <w:noProof/>
                <w:webHidden/>
              </w:rPr>
              <w:tab/>
            </w:r>
            <w:r>
              <w:rPr>
                <w:noProof/>
                <w:webHidden/>
              </w:rPr>
              <w:fldChar w:fldCharType="begin"/>
            </w:r>
            <w:r>
              <w:rPr>
                <w:noProof/>
                <w:webHidden/>
              </w:rPr>
              <w:instrText xml:space="preserve"> PAGEREF _Toc220490695 \h </w:instrText>
            </w:r>
            <w:r>
              <w:rPr>
                <w:noProof/>
                <w:webHidden/>
              </w:rPr>
            </w:r>
            <w:r>
              <w:rPr>
                <w:noProof/>
                <w:webHidden/>
              </w:rPr>
              <w:fldChar w:fldCharType="separate"/>
            </w:r>
            <w:r>
              <w:rPr>
                <w:noProof/>
                <w:webHidden/>
              </w:rPr>
              <w:t>328</w:t>
            </w:r>
            <w:r>
              <w:rPr>
                <w:noProof/>
                <w:webHidden/>
              </w:rPr>
              <w:fldChar w:fldCharType="end"/>
            </w:r>
          </w:hyperlink>
        </w:p>
        <w:p w14:paraId="188EAEC0" w14:textId="27F4BF3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96" w:history="1">
            <w:r w:rsidRPr="001D4C20">
              <w:rPr>
                <w:rStyle w:val="Lienhypertexte"/>
                <w:noProof/>
              </w:rPr>
              <w:t>53.11.1d Sous couches de remplissage ou d'égalisation, aux billes de mousse de polystyrène expansé, ciment et adjuvants (béton de polystyrène expansé) CCTB 01.11</w:t>
            </w:r>
            <w:r>
              <w:rPr>
                <w:noProof/>
                <w:webHidden/>
              </w:rPr>
              <w:tab/>
            </w:r>
            <w:r>
              <w:rPr>
                <w:noProof/>
                <w:webHidden/>
              </w:rPr>
              <w:fldChar w:fldCharType="begin"/>
            </w:r>
            <w:r>
              <w:rPr>
                <w:noProof/>
                <w:webHidden/>
              </w:rPr>
              <w:instrText xml:space="preserve"> PAGEREF _Toc220490696 \h </w:instrText>
            </w:r>
            <w:r>
              <w:rPr>
                <w:noProof/>
                <w:webHidden/>
              </w:rPr>
            </w:r>
            <w:r>
              <w:rPr>
                <w:noProof/>
                <w:webHidden/>
              </w:rPr>
              <w:fldChar w:fldCharType="separate"/>
            </w:r>
            <w:r>
              <w:rPr>
                <w:noProof/>
                <w:webHidden/>
              </w:rPr>
              <w:t>329</w:t>
            </w:r>
            <w:r>
              <w:rPr>
                <w:noProof/>
                <w:webHidden/>
              </w:rPr>
              <w:fldChar w:fldCharType="end"/>
            </w:r>
          </w:hyperlink>
        </w:p>
        <w:p w14:paraId="34D2BA04" w14:textId="0EA136F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97" w:history="1">
            <w:r w:rsidRPr="001D4C20">
              <w:rPr>
                <w:rStyle w:val="Lienhypertexte"/>
                <w:noProof/>
              </w:rPr>
              <w:t>53.11.1e Sous couches de remplissage ou d'égalisation, vermiculite expansée et ciment ( béton de vermiculite expansée) CCTB 01.10</w:t>
            </w:r>
            <w:r>
              <w:rPr>
                <w:noProof/>
                <w:webHidden/>
              </w:rPr>
              <w:tab/>
            </w:r>
            <w:r>
              <w:rPr>
                <w:noProof/>
                <w:webHidden/>
              </w:rPr>
              <w:fldChar w:fldCharType="begin"/>
            </w:r>
            <w:r>
              <w:rPr>
                <w:noProof/>
                <w:webHidden/>
              </w:rPr>
              <w:instrText xml:space="preserve"> PAGEREF _Toc220490697 \h </w:instrText>
            </w:r>
            <w:r>
              <w:rPr>
                <w:noProof/>
                <w:webHidden/>
              </w:rPr>
            </w:r>
            <w:r>
              <w:rPr>
                <w:noProof/>
                <w:webHidden/>
              </w:rPr>
              <w:fldChar w:fldCharType="separate"/>
            </w:r>
            <w:r>
              <w:rPr>
                <w:noProof/>
                <w:webHidden/>
              </w:rPr>
              <w:t>331</w:t>
            </w:r>
            <w:r>
              <w:rPr>
                <w:noProof/>
                <w:webHidden/>
              </w:rPr>
              <w:fldChar w:fldCharType="end"/>
            </w:r>
          </w:hyperlink>
        </w:p>
        <w:p w14:paraId="1337031F" w14:textId="4858780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98" w:history="1">
            <w:r w:rsidRPr="001D4C20">
              <w:rPr>
                <w:rStyle w:val="Lienhypertexte"/>
                <w:noProof/>
              </w:rPr>
              <w:t>53.11.1f Sous couches de remplissage ou d'égalisation, en vermiculite expansée prémélangée à du bitume chaud CCTB 01.11</w:t>
            </w:r>
            <w:r>
              <w:rPr>
                <w:noProof/>
                <w:webHidden/>
              </w:rPr>
              <w:tab/>
            </w:r>
            <w:r>
              <w:rPr>
                <w:noProof/>
                <w:webHidden/>
              </w:rPr>
              <w:fldChar w:fldCharType="begin"/>
            </w:r>
            <w:r>
              <w:rPr>
                <w:noProof/>
                <w:webHidden/>
              </w:rPr>
              <w:instrText xml:space="preserve"> PAGEREF _Toc220490698 \h </w:instrText>
            </w:r>
            <w:r>
              <w:rPr>
                <w:noProof/>
                <w:webHidden/>
              </w:rPr>
            </w:r>
            <w:r>
              <w:rPr>
                <w:noProof/>
                <w:webHidden/>
              </w:rPr>
              <w:fldChar w:fldCharType="separate"/>
            </w:r>
            <w:r>
              <w:rPr>
                <w:noProof/>
                <w:webHidden/>
              </w:rPr>
              <w:t>331</w:t>
            </w:r>
            <w:r>
              <w:rPr>
                <w:noProof/>
                <w:webHidden/>
              </w:rPr>
              <w:fldChar w:fldCharType="end"/>
            </w:r>
          </w:hyperlink>
        </w:p>
        <w:p w14:paraId="407F83AB" w14:textId="0126E83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99" w:history="1">
            <w:r w:rsidRPr="001D4C20">
              <w:rPr>
                <w:rStyle w:val="Lienhypertexte"/>
                <w:noProof/>
              </w:rPr>
              <w:t>53.11.1g Sous couches de remplissage ou d'égalisation, en perlite expansée, ciment, et sable fin éventuel (béton de perlite expansée) CCTB 01.10</w:t>
            </w:r>
            <w:r>
              <w:rPr>
                <w:noProof/>
                <w:webHidden/>
              </w:rPr>
              <w:tab/>
            </w:r>
            <w:r>
              <w:rPr>
                <w:noProof/>
                <w:webHidden/>
              </w:rPr>
              <w:fldChar w:fldCharType="begin"/>
            </w:r>
            <w:r>
              <w:rPr>
                <w:noProof/>
                <w:webHidden/>
              </w:rPr>
              <w:instrText xml:space="preserve"> PAGEREF _Toc220490699 \h </w:instrText>
            </w:r>
            <w:r>
              <w:rPr>
                <w:noProof/>
                <w:webHidden/>
              </w:rPr>
            </w:r>
            <w:r>
              <w:rPr>
                <w:noProof/>
                <w:webHidden/>
              </w:rPr>
              <w:fldChar w:fldCharType="separate"/>
            </w:r>
            <w:r>
              <w:rPr>
                <w:noProof/>
                <w:webHidden/>
              </w:rPr>
              <w:t>331</w:t>
            </w:r>
            <w:r>
              <w:rPr>
                <w:noProof/>
                <w:webHidden/>
              </w:rPr>
              <w:fldChar w:fldCharType="end"/>
            </w:r>
          </w:hyperlink>
        </w:p>
        <w:p w14:paraId="76EB14EE" w14:textId="53A535C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00" w:history="1">
            <w:r w:rsidRPr="001D4C20">
              <w:rPr>
                <w:rStyle w:val="Lienhypertexte"/>
                <w:noProof/>
              </w:rPr>
              <w:t>53.11.1h Sous couches de remplissage ou d'égalisation, aux granulats de bims naturel (pierre ponce) et ciment (béton de bims naturel) CCTB 01.10</w:t>
            </w:r>
            <w:r>
              <w:rPr>
                <w:noProof/>
                <w:webHidden/>
              </w:rPr>
              <w:tab/>
            </w:r>
            <w:r>
              <w:rPr>
                <w:noProof/>
                <w:webHidden/>
              </w:rPr>
              <w:fldChar w:fldCharType="begin"/>
            </w:r>
            <w:r>
              <w:rPr>
                <w:noProof/>
                <w:webHidden/>
              </w:rPr>
              <w:instrText xml:space="preserve"> PAGEREF _Toc220490700 \h </w:instrText>
            </w:r>
            <w:r>
              <w:rPr>
                <w:noProof/>
                <w:webHidden/>
              </w:rPr>
            </w:r>
            <w:r>
              <w:rPr>
                <w:noProof/>
                <w:webHidden/>
              </w:rPr>
              <w:fldChar w:fldCharType="separate"/>
            </w:r>
            <w:r>
              <w:rPr>
                <w:noProof/>
                <w:webHidden/>
              </w:rPr>
              <w:t>332</w:t>
            </w:r>
            <w:r>
              <w:rPr>
                <w:noProof/>
                <w:webHidden/>
              </w:rPr>
              <w:fldChar w:fldCharType="end"/>
            </w:r>
          </w:hyperlink>
        </w:p>
        <w:p w14:paraId="338ED830" w14:textId="1B071F9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01" w:history="1">
            <w:r w:rsidRPr="001D4C20">
              <w:rPr>
                <w:rStyle w:val="Lienhypertexte"/>
                <w:noProof/>
              </w:rPr>
              <w:t>53.11.1i Sous couches de remplissage ou d'égalisation, aux granulats de bims artificiels (laitier de haut fourneau expansé) et ciment (béton de bims artificiel) CCTB 01.10</w:t>
            </w:r>
            <w:r>
              <w:rPr>
                <w:noProof/>
                <w:webHidden/>
              </w:rPr>
              <w:tab/>
            </w:r>
            <w:r>
              <w:rPr>
                <w:noProof/>
                <w:webHidden/>
              </w:rPr>
              <w:fldChar w:fldCharType="begin"/>
            </w:r>
            <w:r>
              <w:rPr>
                <w:noProof/>
                <w:webHidden/>
              </w:rPr>
              <w:instrText xml:space="preserve"> PAGEREF _Toc220490701 \h </w:instrText>
            </w:r>
            <w:r>
              <w:rPr>
                <w:noProof/>
                <w:webHidden/>
              </w:rPr>
            </w:r>
            <w:r>
              <w:rPr>
                <w:noProof/>
                <w:webHidden/>
              </w:rPr>
              <w:fldChar w:fldCharType="separate"/>
            </w:r>
            <w:r>
              <w:rPr>
                <w:noProof/>
                <w:webHidden/>
              </w:rPr>
              <w:t>332</w:t>
            </w:r>
            <w:r>
              <w:rPr>
                <w:noProof/>
                <w:webHidden/>
              </w:rPr>
              <w:fldChar w:fldCharType="end"/>
            </w:r>
          </w:hyperlink>
        </w:p>
        <w:p w14:paraId="0A08684E" w14:textId="4741F86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02" w:history="1">
            <w:r w:rsidRPr="001D4C20">
              <w:rPr>
                <w:rStyle w:val="Lienhypertexte"/>
                <w:noProof/>
              </w:rPr>
              <w:t>53.11.1j Sous couches de remplissage ou d'égalisation, au béton mousse, soit ciment, sable fin, autres charges fines éventuelles, agent moussant (béton mousse) CCTB 01.10</w:t>
            </w:r>
            <w:r>
              <w:rPr>
                <w:noProof/>
                <w:webHidden/>
              </w:rPr>
              <w:tab/>
            </w:r>
            <w:r>
              <w:rPr>
                <w:noProof/>
                <w:webHidden/>
              </w:rPr>
              <w:fldChar w:fldCharType="begin"/>
            </w:r>
            <w:r>
              <w:rPr>
                <w:noProof/>
                <w:webHidden/>
              </w:rPr>
              <w:instrText xml:space="preserve"> PAGEREF _Toc220490702 \h </w:instrText>
            </w:r>
            <w:r>
              <w:rPr>
                <w:noProof/>
                <w:webHidden/>
              </w:rPr>
            </w:r>
            <w:r>
              <w:rPr>
                <w:noProof/>
                <w:webHidden/>
              </w:rPr>
              <w:fldChar w:fldCharType="separate"/>
            </w:r>
            <w:r>
              <w:rPr>
                <w:noProof/>
                <w:webHidden/>
              </w:rPr>
              <w:t>333</w:t>
            </w:r>
            <w:r>
              <w:rPr>
                <w:noProof/>
                <w:webHidden/>
              </w:rPr>
              <w:fldChar w:fldCharType="end"/>
            </w:r>
          </w:hyperlink>
        </w:p>
        <w:p w14:paraId="7F963B05" w14:textId="39A2FA5C"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703" w:history="1">
            <w:r w:rsidRPr="001D4C20">
              <w:rPr>
                <w:rStyle w:val="Lienhypertexte"/>
                <w:noProof/>
              </w:rPr>
              <w:t>53.12 Support de planchers en lambourdes CCTB 01.02</w:t>
            </w:r>
            <w:r>
              <w:rPr>
                <w:noProof/>
                <w:webHidden/>
              </w:rPr>
              <w:tab/>
            </w:r>
            <w:r>
              <w:rPr>
                <w:noProof/>
                <w:webHidden/>
              </w:rPr>
              <w:fldChar w:fldCharType="begin"/>
            </w:r>
            <w:r>
              <w:rPr>
                <w:noProof/>
                <w:webHidden/>
              </w:rPr>
              <w:instrText xml:space="preserve"> PAGEREF _Toc220490703 \h </w:instrText>
            </w:r>
            <w:r>
              <w:rPr>
                <w:noProof/>
                <w:webHidden/>
              </w:rPr>
            </w:r>
            <w:r>
              <w:rPr>
                <w:noProof/>
                <w:webHidden/>
              </w:rPr>
              <w:fldChar w:fldCharType="separate"/>
            </w:r>
            <w:r>
              <w:rPr>
                <w:noProof/>
                <w:webHidden/>
              </w:rPr>
              <w:t>334</w:t>
            </w:r>
            <w:r>
              <w:rPr>
                <w:noProof/>
                <w:webHidden/>
              </w:rPr>
              <w:fldChar w:fldCharType="end"/>
            </w:r>
          </w:hyperlink>
        </w:p>
        <w:p w14:paraId="416321FB" w14:textId="029DD015"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04" w:history="1">
            <w:r w:rsidRPr="001D4C20">
              <w:rPr>
                <w:rStyle w:val="Lienhypertexte"/>
                <w:noProof/>
              </w:rPr>
              <w:t>53.12.1 Support de planchers en lambourdes CCTB 01.02</w:t>
            </w:r>
            <w:r>
              <w:rPr>
                <w:noProof/>
                <w:webHidden/>
              </w:rPr>
              <w:tab/>
            </w:r>
            <w:r>
              <w:rPr>
                <w:noProof/>
                <w:webHidden/>
              </w:rPr>
              <w:fldChar w:fldCharType="begin"/>
            </w:r>
            <w:r>
              <w:rPr>
                <w:noProof/>
                <w:webHidden/>
              </w:rPr>
              <w:instrText xml:space="preserve"> PAGEREF _Toc220490704 \h </w:instrText>
            </w:r>
            <w:r>
              <w:rPr>
                <w:noProof/>
                <w:webHidden/>
              </w:rPr>
            </w:r>
            <w:r>
              <w:rPr>
                <w:noProof/>
                <w:webHidden/>
              </w:rPr>
              <w:fldChar w:fldCharType="separate"/>
            </w:r>
            <w:r>
              <w:rPr>
                <w:noProof/>
                <w:webHidden/>
              </w:rPr>
              <w:t>334</w:t>
            </w:r>
            <w:r>
              <w:rPr>
                <w:noProof/>
                <w:webHidden/>
              </w:rPr>
              <w:fldChar w:fldCharType="end"/>
            </w:r>
          </w:hyperlink>
        </w:p>
        <w:p w14:paraId="131B7B12" w14:textId="0BEB323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05" w:history="1">
            <w:r w:rsidRPr="001D4C20">
              <w:rPr>
                <w:rStyle w:val="Lienhypertexte"/>
                <w:noProof/>
              </w:rPr>
              <w:t>53.12.1a Support de planchers en lambourdes CCTB 01.10</w:t>
            </w:r>
            <w:r>
              <w:rPr>
                <w:noProof/>
                <w:webHidden/>
              </w:rPr>
              <w:tab/>
            </w:r>
            <w:r>
              <w:rPr>
                <w:noProof/>
                <w:webHidden/>
              </w:rPr>
              <w:fldChar w:fldCharType="begin"/>
            </w:r>
            <w:r>
              <w:rPr>
                <w:noProof/>
                <w:webHidden/>
              </w:rPr>
              <w:instrText xml:space="preserve"> PAGEREF _Toc220490705 \h </w:instrText>
            </w:r>
            <w:r>
              <w:rPr>
                <w:noProof/>
                <w:webHidden/>
              </w:rPr>
            </w:r>
            <w:r>
              <w:rPr>
                <w:noProof/>
                <w:webHidden/>
              </w:rPr>
              <w:fldChar w:fldCharType="separate"/>
            </w:r>
            <w:r>
              <w:rPr>
                <w:noProof/>
                <w:webHidden/>
              </w:rPr>
              <w:t>334</w:t>
            </w:r>
            <w:r>
              <w:rPr>
                <w:noProof/>
                <w:webHidden/>
              </w:rPr>
              <w:fldChar w:fldCharType="end"/>
            </w:r>
          </w:hyperlink>
        </w:p>
        <w:p w14:paraId="204D0FB2" w14:textId="38E632D8"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706" w:history="1">
            <w:r w:rsidRPr="001D4C20">
              <w:rPr>
                <w:rStyle w:val="Lienhypertexte"/>
                <w:noProof/>
              </w:rPr>
              <w:t>53.2 Chapes CCTB 01.11</w:t>
            </w:r>
            <w:r>
              <w:rPr>
                <w:noProof/>
                <w:webHidden/>
              </w:rPr>
              <w:tab/>
            </w:r>
            <w:r>
              <w:rPr>
                <w:noProof/>
                <w:webHidden/>
              </w:rPr>
              <w:fldChar w:fldCharType="begin"/>
            </w:r>
            <w:r>
              <w:rPr>
                <w:noProof/>
                <w:webHidden/>
              </w:rPr>
              <w:instrText xml:space="preserve"> PAGEREF _Toc220490706 \h </w:instrText>
            </w:r>
            <w:r>
              <w:rPr>
                <w:noProof/>
                <w:webHidden/>
              </w:rPr>
            </w:r>
            <w:r>
              <w:rPr>
                <w:noProof/>
                <w:webHidden/>
              </w:rPr>
              <w:fldChar w:fldCharType="separate"/>
            </w:r>
            <w:r>
              <w:rPr>
                <w:noProof/>
                <w:webHidden/>
              </w:rPr>
              <w:t>335</w:t>
            </w:r>
            <w:r>
              <w:rPr>
                <w:noProof/>
                <w:webHidden/>
              </w:rPr>
              <w:fldChar w:fldCharType="end"/>
            </w:r>
          </w:hyperlink>
        </w:p>
        <w:p w14:paraId="475FF54F" w14:textId="1E6083AB"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707" w:history="1">
            <w:r w:rsidRPr="001D4C20">
              <w:rPr>
                <w:rStyle w:val="Lienhypertexte"/>
                <w:noProof/>
              </w:rPr>
              <w:t>53.21 Chapes adhérentes CCTB 01.08</w:t>
            </w:r>
            <w:r>
              <w:rPr>
                <w:noProof/>
                <w:webHidden/>
              </w:rPr>
              <w:tab/>
            </w:r>
            <w:r>
              <w:rPr>
                <w:noProof/>
                <w:webHidden/>
              </w:rPr>
              <w:fldChar w:fldCharType="begin"/>
            </w:r>
            <w:r>
              <w:rPr>
                <w:noProof/>
                <w:webHidden/>
              </w:rPr>
              <w:instrText xml:space="preserve"> PAGEREF _Toc220490707 \h </w:instrText>
            </w:r>
            <w:r>
              <w:rPr>
                <w:noProof/>
                <w:webHidden/>
              </w:rPr>
            </w:r>
            <w:r>
              <w:rPr>
                <w:noProof/>
                <w:webHidden/>
              </w:rPr>
              <w:fldChar w:fldCharType="separate"/>
            </w:r>
            <w:r>
              <w:rPr>
                <w:noProof/>
                <w:webHidden/>
              </w:rPr>
              <w:t>336</w:t>
            </w:r>
            <w:r>
              <w:rPr>
                <w:noProof/>
                <w:webHidden/>
              </w:rPr>
              <w:fldChar w:fldCharType="end"/>
            </w:r>
          </w:hyperlink>
        </w:p>
        <w:p w14:paraId="4752A2C7" w14:textId="003BBD1F"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08" w:history="1">
            <w:r w:rsidRPr="001D4C20">
              <w:rPr>
                <w:rStyle w:val="Lienhypertexte"/>
                <w:noProof/>
              </w:rPr>
              <w:t>53.21.1 Chapes adhérentes à base de ciment CCTB 01.02</w:t>
            </w:r>
            <w:r>
              <w:rPr>
                <w:noProof/>
                <w:webHidden/>
              </w:rPr>
              <w:tab/>
            </w:r>
            <w:r>
              <w:rPr>
                <w:noProof/>
                <w:webHidden/>
              </w:rPr>
              <w:fldChar w:fldCharType="begin"/>
            </w:r>
            <w:r>
              <w:rPr>
                <w:noProof/>
                <w:webHidden/>
              </w:rPr>
              <w:instrText xml:space="preserve"> PAGEREF _Toc220490708 \h </w:instrText>
            </w:r>
            <w:r>
              <w:rPr>
                <w:noProof/>
                <w:webHidden/>
              </w:rPr>
            </w:r>
            <w:r>
              <w:rPr>
                <w:noProof/>
                <w:webHidden/>
              </w:rPr>
              <w:fldChar w:fldCharType="separate"/>
            </w:r>
            <w:r>
              <w:rPr>
                <w:noProof/>
                <w:webHidden/>
              </w:rPr>
              <w:t>336</w:t>
            </w:r>
            <w:r>
              <w:rPr>
                <w:noProof/>
                <w:webHidden/>
              </w:rPr>
              <w:fldChar w:fldCharType="end"/>
            </w:r>
          </w:hyperlink>
        </w:p>
        <w:p w14:paraId="483B8648" w14:textId="4D671ED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09" w:history="1">
            <w:r w:rsidRPr="001D4C20">
              <w:rPr>
                <w:rStyle w:val="Lienhypertexte"/>
                <w:noProof/>
              </w:rPr>
              <w:t>53.21.1a Chapes adhérentes à base de ciment CCTB 01.10</w:t>
            </w:r>
            <w:r>
              <w:rPr>
                <w:noProof/>
                <w:webHidden/>
              </w:rPr>
              <w:tab/>
            </w:r>
            <w:r>
              <w:rPr>
                <w:noProof/>
                <w:webHidden/>
              </w:rPr>
              <w:fldChar w:fldCharType="begin"/>
            </w:r>
            <w:r>
              <w:rPr>
                <w:noProof/>
                <w:webHidden/>
              </w:rPr>
              <w:instrText xml:space="preserve"> PAGEREF _Toc220490709 \h </w:instrText>
            </w:r>
            <w:r>
              <w:rPr>
                <w:noProof/>
                <w:webHidden/>
              </w:rPr>
            </w:r>
            <w:r>
              <w:rPr>
                <w:noProof/>
                <w:webHidden/>
              </w:rPr>
              <w:fldChar w:fldCharType="separate"/>
            </w:r>
            <w:r>
              <w:rPr>
                <w:noProof/>
                <w:webHidden/>
              </w:rPr>
              <w:t>336</w:t>
            </w:r>
            <w:r>
              <w:rPr>
                <w:noProof/>
                <w:webHidden/>
              </w:rPr>
              <w:fldChar w:fldCharType="end"/>
            </w:r>
          </w:hyperlink>
        </w:p>
        <w:p w14:paraId="2E9B57C4" w14:textId="569EAD4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10" w:history="1">
            <w:r w:rsidRPr="001D4C20">
              <w:rPr>
                <w:rStyle w:val="Lienhypertexte"/>
                <w:noProof/>
              </w:rPr>
              <w:t>53.21.2 Chapes adhérentes à base de liant anhydrite (sulfate de calcium) CCTB 01.02</w:t>
            </w:r>
            <w:r>
              <w:rPr>
                <w:noProof/>
                <w:webHidden/>
              </w:rPr>
              <w:tab/>
            </w:r>
            <w:r>
              <w:rPr>
                <w:noProof/>
                <w:webHidden/>
              </w:rPr>
              <w:fldChar w:fldCharType="begin"/>
            </w:r>
            <w:r>
              <w:rPr>
                <w:noProof/>
                <w:webHidden/>
              </w:rPr>
              <w:instrText xml:space="preserve"> PAGEREF _Toc220490710 \h </w:instrText>
            </w:r>
            <w:r>
              <w:rPr>
                <w:noProof/>
                <w:webHidden/>
              </w:rPr>
            </w:r>
            <w:r>
              <w:rPr>
                <w:noProof/>
                <w:webHidden/>
              </w:rPr>
              <w:fldChar w:fldCharType="separate"/>
            </w:r>
            <w:r>
              <w:rPr>
                <w:noProof/>
                <w:webHidden/>
              </w:rPr>
              <w:t>338</w:t>
            </w:r>
            <w:r>
              <w:rPr>
                <w:noProof/>
                <w:webHidden/>
              </w:rPr>
              <w:fldChar w:fldCharType="end"/>
            </w:r>
          </w:hyperlink>
        </w:p>
        <w:p w14:paraId="1882CB5A" w14:textId="305873A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11" w:history="1">
            <w:r w:rsidRPr="001D4C20">
              <w:rPr>
                <w:rStyle w:val="Lienhypertexte"/>
                <w:noProof/>
              </w:rPr>
              <w:t>53.21.2a Chapes adhérentes à base de liant anhydrite (sulfate de calcium) CCTB 01.02</w:t>
            </w:r>
            <w:r>
              <w:rPr>
                <w:noProof/>
                <w:webHidden/>
              </w:rPr>
              <w:tab/>
            </w:r>
            <w:r>
              <w:rPr>
                <w:noProof/>
                <w:webHidden/>
              </w:rPr>
              <w:fldChar w:fldCharType="begin"/>
            </w:r>
            <w:r>
              <w:rPr>
                <w:noProof/>
                <w:webHidden/>
              </w:rPr>
              <w:instrText xml:space="preserve"> PAGEREF _Toc220490711 \h </w:instrText>
            </w:r>
            <w:r>
              <w:rPr>
                <w:noProof/>
                <w:webHidden/>
              </w:rPr>
            </w:r>
            <w:r>
              <w:rPr>
                <w:noProof/>
                <w:webHidden/>
              </w:rPr>
              <w:fldChar w:fldCharType="separate"/>
            </w:r>
            <w:r>
              <w:rPr>
                <w:noProof/>
                <w:webHidden/>
              </w:rPr>
              <w:t>338</w:t>
            </w:r>
            <w:r>
              <w:rPr>
                <w:noProof/>
                <w:webHidden/>
              </w:rPr>
              <w:fldChar w:fldCharType="end"/>
            </w:r>
          </w:hyperlink>
        </w:p>
        <w:p w14:paraId="6CC00AAB" w14:textId="3493759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12" w:history="1">
            <w:r w:rsidRPr="001D4C20">
              <w:rPr>
                <w:rStyle w:val="Lienhypertexte"/>
                <w:noProof/>
              </w:rPr>
              <w:t>53.21.3 Chapes adhérentes à base de magnésite CCTB 01.02</w:t>
            </w:r>
            <w:r>
              <w:rPr>
                <w:noProof/>
                <w:webHidden/>
              </w:rPr>
              <w:tab/>
            </w:r>
            <w:r>
              <w:rPr>
                <w:noProof/>
                <w:webHidden/>
              </w:rPr>
              <w:fldChar w:fldCharType="begin"/>
            </w:r>
            <w:r>
              <w:rPr>
                <w:noProof/>
                <w:webHidden/>
              </w:rPr>
              <w:instrText xml:space="preserve"> PAGEREF _Toc220490712 \h </w:instrText>
            </w:r>
            <w:r>
              <w:rPr>
                <w:noProof/>
                <w:webHidden/>
              </w:rPr>
            </w:r>
            <w:r>
              <w:rPr>
                <w:noProof/>
                <w:webHidden/>
              </w:rPr>
              <w:fldChar w:fldCharType="separate"/>
            </w:r>
            <w:r>
              <w:rPr>
                <w:noProof/>
                <w:webHidden/>
              </w:rPr>
              <w:t>338</w:t>
            </w:r>
            <w:r>
              <w:rPr>
                <w:noProof/>
                <w:webHidden/>
              </w:rPr>
              <w:fldChar w:fldCharType="end"/>
            </w:r>
          </w:hyperlink>
        </w:p>
        <w:p w14:paraId="1E662D32" w14:textId="320E3F9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13" w:history="1">
            <w:r w:rsidRPr="001D4C20">
              <w:rPr>
                <w:rStyle w:val="Lienhypertexte"/>
                <w:noProof/>
              </w:rPr>
              <w:t>53.21.3a Chapes adhérentes à base de magnésite CCTB 01.02</w:t>
            </w:r>
            <w:r>
              <w:rPr>
                <w:noProof/>
                <w:webHidden/>
              </w:rPr>
              <w:tab/>
            </w:r>
            <w:r>
              <w:rPr>
                <w:noProof/>
                <w:webHidden/>
              </w:rPr>
              <w:fldChar w:fldCharType="begin"/>
            </w:r>
            <w:r>
              <w:rPr>
                <w:noProof/>
                <w:webHidden/>
              </w:rPr>
              <w:instrText xml:space="preserve"> PAGEREF _Toc220490713 \h </w:instrText>
            </w:r>
            <w:r>
              <w:rPr>
                <w:noProof/>
                <w:webHidden/>
              </w:rPr>
            </w:r>
            <w:r>
              <w:rPr>
                <w:noProof/>
                <w:webHidden/>
              </w:rPr>
              <w:fldChar w:fldCharType="separate"/>
            </w:r>
            <w:r>
              <w:rPr>
                <w:noProof/>
                <w:webHidden/>
              </w:rPr>
              <w:t>338</w:t>
            </w:r>
            <w:r>
              <w:rPr>
                <w:noProof/>
                <w:webHidden/>
              </w:rPr>
              <w:fldChar w:fldCharType="end"/>
            </w:r>
          </w:hyperlink>
        </w:p>
        <w:p w14:paraId="50E0A05E" w14:textId="2D0D7FF1"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14" w:history="1">
            <w:r w:rsidRPr="001D4C20">
              <w:rPr>
                <w:rStyle w:val="Lienhypertexte"/>
                <w:noProof/>
              </w:rPr>
              <w:t>53.21.4 Chapes adhérentes à base de chaux</w:t>
            </w:r>
            <w:r>
              <w:rPr>
                <w:noProof/>
                <w:webHidden/>
              </w:rPr>
              <w:tab/>
            </w:r>
            <w:r>
              <w:rPr>
                <w:noProof/>
                <w:webHidden/>
              </w:rPr>
              <w:fldChar w:fldCharType="begin"/>
            </w:r>
            <w:r>
              <w:rPr>
                <w:noProof/>
                <w:webHidden/>
              </w:rPr>
              <w:instrText xml:space="preserve"> PAGEREF _Toc220490714 \h </w:instrText>
            </w:r>
            <w:r>
              <w:rPr>
                <w:noProof/>
                <w:webHidden/>
              </w:rPr>
            </w:r>
            <w:r>
              <w:rPr>
                <w:noProof/>
                <w:webHidden/>
              </w:rPr>
              <w:fldChar w:fldCharType="separate"/>
            </w:r>
            <w:r>
              <w:rPr>
                <w:noProof/>
                <w:webHidden/>
              </w:rPr>
              <w:t>338</w:t>
            </w:r>
            <w:r>
              <w:rPr>
                <w:noProof/>
                <w:webHidden/>
              </w:rPr>
              <w:fldChar w:fldCharType="end"/>
            </w:r>
          </w:hyperlink>
        </w:p>
        <w:p w14:paraId="547521BF" w14:textId="54D4C39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15" w:history="1">
            <w:r w:rsidRPr="001D4C20">
              <w:rPr>
                <w:rStyle w:val="Lienhypertexte"/>
                <w:noProof/>
              </w:rPr>
              <w:t>53.21.4a Chapes adhérentes à base de chaux CCTB 01.10</w:t>
            </w:r>
            <w:r>
              <w:rPr>
                <w:noProof/>
                <w:webHidden/>
              </w:rPr>
              <w:tab/>
            </w:r>
            <w:r>
              <w:rPr>
                <w:noProof/>
                <w:webHidden/>
              </w:rPr>
              <w:fldChar w:fldCharType="begin"/>
            </w:r>
            <w:r>
              <w:rPr>
                <w:noProof/>
                <w:webHidden/>
              </w:rPr>
              <w:instrText xml:space="preserve"> PAGEREF _Toc220490715 \h </w:instrText>
            </w:r>
            <w:r>
              <w:rPr>
                <w:noProof/>
                <w:webHidden/>
              </w:rPr>
            </w:r>
            <w:r>
              <w:rPr>
                <w:noProof/>
                <w:webHidden/>
              </w:rPr>
              <w:fldChar w:fldCharType="separate"/>
            </w:r>
            <w:r>
              <w:rPr>
                <w:noProof/>
                <w:webHidden/>
              </w:rPr>
              <w:t>338</w:t>
            </w:r>
            <w:r>
              <w:rPr>
                <w:noProof/>
                <w:webHidden/>
              </w:rPr>
              <w:fldChar w:fldCharType="end"/>
            </w:r>
          </w:hyperlink>
        </w:p>
        <w:p w14:paraId="2C9C6FEF" w14:textId="41FA97AA"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716" w:history="1">
            <w:r w:rsidRPr="001D4C20">
              <w:rPr>
                <w:rStyle w:val="Lienhypertexte"/>
                <w:noProof/>
              </w:rPr>
              <w:t>53.22 Chapes non adhérentes CCTB 01.02</w:t>
            </w:r>
            <w:r>
              <w:rPr>
                <w:noProof/>
                <w:webHidden/>
              </w:rPr>
              <w:tab/>
            </w:r>
            <w:r>
              <w:rPr>
                <w:noProof/>
                <w:webHidden/>
              </w:rPr>
              <w:fldChar w:fldCharType="begin"/>
            </w:r>
            <w:r>
              <w:rPr>
                <w:noProof/>
                <w:webHidden/>
              </w:rPr>
              <w:instrText xml:space="preserve"> PAGEREF _Toc220490716 \h </w:instrText>
            </w:r>
            <w:r>
              <w:rPr>
                <w:noProof/>
                <w:webHidden/>
              </w:rPr>
            </w:r>
            <w:r>
              <w:rPr>
                <w:noProof/>
                <w:webHidden/>
              </w:rPr>
              <w:fldChar w:fldCharType="separate"/>
            </w:r>
            <w:r>
              <w:rPr>
                <w:noProof/>
                <w:webHidden/>
              </w:rPr>
              <w:t>340</w:t>
            </w:r>
            <w:r>
              <w:rPr>
                <w:noProof/>
                <w:webHidden/>
              </w:rPr>
              <w:fldChar w:fldCharType="end"/>
            </w:r>
          </w:hyperlink>
        </w:p>
        <w:p w14:paraId="087EEB9C" w14:textId="1F4A4FFB"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17" w:history="1">
            <w:r w:rsidRPr="001D4C20">
              <w:rPr>
                <w:rStyle w:val="Lienhypertexte"/>
                <w:noProof/>
              </w:rPr>
              <w:t>53.22.1 Chapes non adhérentes à base de ciment CCTB 01.02</w:t>
            </w:r>
            <w:r>
              <w:rPr>
                <w:noProof/>
                <w:webHidden/>
              </w:rPr>
              <w:tab/>
            </w:r>
            <w:r>
              <w:rPr>
                <w:noProof/>
                <w:webHidden/>
              </w:rPr>
              <w:fldChar w:fldCharType="begin"/>
            </w:r>
            <w:r>
              <w:rPr>
                <w:noProof/>
                <w:webHidden/>
              </w:rPr>
              <w:instrText xml:space="preserve"> PAGEREF _Toc220490717 \h </w:instrText>
            </w:r>
            <w:r>
              <w:rPr>
                <w:noProof/>
                <w:webHidden/>
              </w:rPr>
            </w:r>
            <w:r>
              <w:rPr>
                <w:noProof/>
                <w:webHidden/>
              </w:rPr>
              <w:fldChar w:fldCharType="separate"/>
            </w:r>
            <w:r>
              <w:rPr>
                <w:noProof/>
                <w:webHidden/>
              </w:rPr>
              <w:t>340</w:t>
            </w:r>
            <w:r>
              <w:rPr>
                <w:noProof/>
                <w:webHidden/>
              </w:rPr>
              <w:fldChar w:fldCharType="end"/>
            </w:r>
          </w:hyperlink>
        </w:p>
        <w:p w14:paraId="0821739A" w14:textId="5595FDE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18" w:history="1">
            <w:r w:rsidRPr="001D4C20">
              <w:rPr>
                <w:rStyle w:val="Lienhypertexte"/>
                <w:noProof/>
              </w:rPr>
              <w:t>53.22.1a Chapes non adhérentes à base de ciment CCTB 01.10</w:t>
            </w:r>
            <w:r>
              <w:rPr>
                <w:noProof/>
                <w:webHidden/>
              </w:rPr>
              <w:tab/>
            </w:r>
            <w:r>
              <w:rPr>
                <w:noProof/>
                <w:webHidden/>
              </w:rPr>
              <w:fldChar w:fldCharType="begin"/>
            </w:r>
            <w:r>
              <w:rPr>
                <w:noProof/>
                <w:webHidden/>
              </w:rPr>
              <w:instrText xml:space="preserve"> PAGEREF _Toc220490718 \h </w:instrText>
            </w:r>
            <w:r>
              <w:rPr>
                <w:noProof/>
                <w:webHidden/>
              </w:rPr>
            </w:r>
            <w:r>
              <w:rPr>
                <w:noProof/>
                <w:webHidden/>
              </w:rPr>
              <w:fldChar w:fldCharType="separate"/>
            </w:r>
            <w:r>
              <w:rPr>
                <w:noProof/>
                <w:webHidden/>
              </w:rPr>
              <w:t>340</w:t>
            </w:r>
            <w:r>
              <w:rPr>
                <w:noProof/>
                <w:webHidden/>
              </w:rPr>
              <w:fldChar w:fldCharType="end"/>
            </w:r>
          </w:hyperlink>
        </w:p>
        <w:p w14:paraId="065C89B4" w14:textId="6660609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19" w:history="1">
            <w:r w:rsidRPr="001D4C20">
              <w:rPr>
                <w:rStyle w:val="Lienhypertexte"/>
                <w:noProof/>
              </w:rPr>
              <w:t>53.22.2 Chapes non adhérentes à base de liant anhydrite (sulfate de calcium) CCTB 01.02</w:t>
            </w:r>
            <w:r>
              <w:rPr>
                <w:noProof/>
                <w:webHidden/>
              </w:rPr>
              <w:tab/>
            </w:r>
            <w:r>
              <w:rPr>
                <w:noProof/>
                <w:webHidden/>
              </w:rPr>
              <w:fldChar w:fldCharType="begin"/>
            </w:r>
            <w:r>
              <w:rPr>
                <w:noProof/>
                <w:webHidden/>
              </w:rPr>
              <w:instrText xml:space="preserve"> PAGEREF _Toc220490719 \h </w:instrText>
            </w:r>
            <w:r>
              <w:rPr>
                <w:noProof/>
                <w:webHidden/>
              </w:rPr>
            </w:r>
            <w:r>
              <w:rPr>
                <w:noProof/>
                <w:webHidden/>
              </w:rPr>
              <w:fldChar w:fldCharType="separate"/>
            </w:r>
            <w:r>
              <w:rPr>
                <w:noProof/>
                <w:webHidden/>
              </w:rPr>
              <w:t>341</w:t>
            </w:r>
            <w:r>
              <w:rPr>
                <w:noProof/>
                <w:webHidden/>
              </w:rPr>
              <w:fldChar w:fldCharType="end"/>
            </w:r>
          </w:hyperlink>
        </w:p>
        <w:p w14:paraId="271B7F0E" w14:textId="00AA62A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20" w:history="1">
            <w:r w:rsidRPr="001D4C20">
              <w:rPr>
                <w:rStyle w:val="Lienhypertexte"/>
                <w:noProof/>
              </w:rPr>
              <w:t>53.22.2a Chapes non adhérentes à base de liant anhydrite (sulfate de calcium) CCTB 01.10</w:t>
            </w:r>
            <w:r>
              <w:rPr>
                <w:noProof/>
                <w:webHidden/>
              </w:rPr>
              <w:tab/>
            </w:r>
            <w:r>
              <w:rPr>
                <w:noProof/>
                <w:webHidden/>
              </w:rPr>
              <w:fldChar w:fldCharType="begin"/>
            </w:r>
            <w:r>
              <w:rPr>
                <w:noProof/>
                <w:webHidden/>
              </w:rPr>
              <w:instrText xml:space="preserve"> PAGEREF _Toc220490720 \h </w:instrText>
            </w:r>
            <w:r>
              <w:rPr>
                <w:noProof/>
                <w:webHidden/>
              </w:rPr>
            </w:r>
            <w:r>
              <w:rPr>
                <w:noProof/>
                <w:webHidden/>
              </w:rPr>
              <w:fldChar w:fldCharType="separate"/>
            </w:r>
            <w:r>
              <w:rPr>
                <w:noProof/>
                <w:webHidden/>
              </w:rPr>
              <w:t>341</w:t>
            </w:r>
            <w:r>
              <w:rPr>
                <w:noProof/>
                <w:webHidden/>
              </w:rPr>
              <w:fldChar w:fldCharType="end"/>
            </w:r>
          </w:hyperlink>
        </w:p>
        <w:p w14:paraId="64E60C8F" w14:textId="26D65C3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21" w:history="1">
            <w:r w:rsidRPr="001D4C20">
              <w:rPr>
                <w:rStyle w:val="Lienhypertexte"/>
                <w:noProof/>
              </w:rPr>
              <w:t>53.22.3 Chapes non adhérentes à base de magnésite CCTB 01.02</w:t>
            </w:r>
            <w:r>
              <w:rPr>
                <w:noProof/>
                <w:webHidden/>
              </w:rPr>
              <w:tab/>
            </w:r>
            <w:r>
              <w:rPr>
                <w:noProof/>
                <w:webHidden/>
              </w:rPr>
              <w:fldChar w:fldCharType="begin"/>
            </w:r>
            <w:r>
              <w:rPr>
                <w:noProof/>
                <w:webHidden/>
              </w:rPr>
              <w:instrText xml:space="preserve"> PAGEREF _Toc220490721 \h </w:instrText>
            </w:r>
            <w:r>
              <w:rPr>
                <w:noProof/>
                <w:webHidden/>
              </w:rPr>
            </w:r>
            <w:r>
              <w:rPr>
                <w:noProof/>
                <w:webHidden/>
              </w:rPr>
              <w:fldChar w:fldCharType="separate"/>
            </w:r>
            <w:r>
              <w:rPr>
                <w:noProof/>
                <w:webHidden/>
              </w:rPr>
              <w:t>342</w:t>
            </w:r>
            <w:r>
              <w:rPr>
                <w:noProof/>
                <w:webHidden/>
              </w:rPr>
              <w:fldChar w:fldCharType="end"/>
            </w:r>
          </w:hyperlink>
        </w:p>
        <w:p w14:paraId="687CA6EF" w14:textId="78082A8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22" w:history="1">
            <w:r w:rsidRPr="001D4C20">
              <w:rPr>
                <w:rStyle w:val="Lienhypertexte"/>
                <w:noProof/>
              </w:rPr>
              <w:t>53.22.3a Chapes non adhérentes à base de magnésite CCTB 01.02</w:t>
            </w:r>
            <w:r>
              <w:rPr>
                <w:noProof/>
                <w:webHidden/>
              </w:rPr>
              <w:tab/>
            </w:r>
            <w:r>
              <w:rPr>
                <w:noProof/>
                <w:webHidden/>
              </w:rPr>
              <w:fldChar w:fldCharType="begin"/>
            </w:r>
            <w:r>
              <w:rPr>
                <w:noProof/>
                <w:webHidden/>
              </w:rPr>
              <w:instrText xml:space="preserve"> PAGEREF _Toc220490722 \h </w:instrText>
            </w:r>
            <w:r>
              <w:rPr>
                <w:noProof/>
                <w:webHidden/>
              </w:rPr>
            </w:r>
            <w:r>
              <w:rPr>
                <w:noProof/>
                <w:webHidden/>
              </w:rPr>
              <w:fldChar w:fldCharType="separate"/>
            </w:r>
            <w:r>
              <w:rPr>
                <w:noProof/>
                <w:webHidden/>
              </w:rPr>
              <w:t>342</w:t>
            </w:r>
            <w:r>
              <w:rPr>
                <w:noProof/>
                <w:webHidden/>
              </w:rPr>
              <w:fldChar w:fldCharType="end"/>
            </w:r>
          </w:hyperlink>
        </w:p>
        <w:p w14:paraId="111D08A0" w14:textId="298F60DA"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23" w:history="1">
            <w:r w:rsidRPr="001D4C20">
              <w:rPr>
                <w:rStyle w:val="Lienhypertexte"/>
                <w:noProof/>
              </w:rPr>
              <w:t>53.22.4 Chapes non adhérentes, sèches à panneaux/plaques en bois CCTB 01.02</w:t>
            </w:r>
            <w:r>
              <w:rPr>
                <w:noProof/>
                <w:webHidden/>
              </w:rPr>
              <w:tab/>
            </w:r>
            <w:r>
              <w:rPr>
                <w:noProof/>
                <w:webHidden/>
              </w:rPr>
              <w:fldChar w:fldCharType="begin"/>
            </w:r>
            <w:r>
              <w:rPr>
                <w:noProof/>
                <w:webHidden/>
              </w:rPr>
              <w:instrText xml:space="preserve"> PAGEREF _Toc220490723 \h </w:instrText>
            </w:r>
            <w:r>
              <w:rPr>
                <w:noProof/>
                <w:webHidden/>
              </w:rPr>
            </w:r>
            <w:r>
              <w:rPr>
                <w:noProof/>
                <w:webHidden/>
              </w:rPr>
              <w:fldChar w:fldCharType="separate"/>
            </w:r>
            <w:r>
              <w:rPr>
                <w:noProof/>
                <w:webHidden/>
              </w:rPr>
              <w:t>342</w:t>
            </w:r>
            <w:r>
              <w:rPr>
                <w:noProof/>
                <w:webHidden/>
              </w:rPr>
              <w:fldChar w:fldCharType="end"/>
            </w:r>
          </w:hyperlink>
        </w:p>
        <w:p w14:paraId="21E0A7E3" w14:textId="56FEA4F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24" w:history="1">
            <w:r w:rsidRPr="001D4C20">
              <w:rPr>
                <w:rStyle w:val="Lienhypertexte"/>
                <w:noProof/>
              </w:rPr>
              <w:t>53.22.4a Chapes non adhérentes, sèches, en panneaux en agglomérés traités CCTB 01.02</w:t>
            </w:r>
            <w:r>
              <w:rPr>
                <w:noProof/>
                <w:webHidden/>
              </w:rPr>
              <w:tab/>
            </w:r>
            <w:r>
              <w:rPr>
                <w:noProof/>
                <w:webHidden/>
              </w:rPr>
              <w:fldChar w:fldCharType="begin"/>
            </w:r>
            <w:r>
              <w:rPr>
                <w:noProof/>
                <w:webHidden/>
              </w:rPr>
              <w:instrText xml:space="preserve"> PAGEREF _Toc220490724 \h </w:instrText>
            </w:r>
            <w:r>
              <w:rPr>
                <w:noProof/>
                <w:webHidden/>
              </w:rPr>
            </w:r>
            <w:r>
              <w:rPr>
                <w:noProof/>
                <w:webHidden/>
              </w:rPr>
              <w:fldChar w:fldCharType="separate"/>
            </w:r>
            <w:r>
              <w:rPr>
                <w:noProof/>
                <w:webHidden/>
              </w:rPr>
              <w:t>342</w:t>
            </w:r>
            <w:r>
              <w:rPr>
                <w:noProof/>
                <w:webHidden/>
              </w:rPr>
              <w:fldChar w:fldCharType="end"/>
            </w:r>
          </w:hyperlink>
        </w:p>
        <w:p w14:paraId="42956710" w14:textId="373A4E9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25" w:history="1">
            <w:r w:rsidRPr="001D4C20">
              <w:rPr>
                <w:rStyle w:val="Lienhypertexte"/>
                <w:noProof/>
              </w:rPr>
              <w:t>53.22.4b Chapes non adhérentes, sèches, en panneaux multiplex CCTB 01.10</w:t>
            </w:r>
            <w:r>
              <w:rPr>
                <w:noProof/>
                <w:webHidden/>
              </w:rPr>
              <w:tab/>
            </w:r>
            <w:r>
              <w:rPr>
                <w:noProof/>
                <w:webHidden/>
              </w:rPr>
              <w:fldChar w:fldCharType="begin"/>
            </w:r>
            <w:r>
              <w:rPr>
                <w:noProof/>
                <w:webHidden/>
              </w:rPr>
              <w:instrText xml:space="preserve"> PAGEREF _Toc220490725 \h </w:instrText>
            </w:r>
            <w:r>
              <w:rPr>
                <w:noProof/>
                <w:webHidden/>
              </w:rPr>
            </w:r>
            <w:r>
              <w:rPr>
                <w:noProof/>
                <w:webHidden/>
              </w:rPr>
              <w:fldChar w:fldCharType="separate"/>
            </w:r>
            <w:r>
              <w:rPr>
                <w:noProof/>
                <w:webHidden/>
              </w:rPr>
              <w:t>343</w:t>
            </w:r>
            <w:r>
              <w:rPr>
                <w:noProof/>
                <w:webHidden/>
              </w:rPr>
              <w:fldChar w:fldCharType="end"/>
            </w:r>
          </w:hyperlink>
        </w:p>
        <w:p w14:paraId="789FA21B" w14:textId="4A5AE5E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26" w:history="1">
            <w:r w:rsidRPr="001D4C20">
              <w:rPr>
                <w:rStyle w:val="Lienhypertexte"/>
                <w:noProof/>
              </w:rPr>
              <w:t>53.22.4c Chapes non adhérentes, sèches, en panneaux en contreplaqué marin CCTB 01.02</w:t>
            </w:r>
            <w:r>
              <w:rPr>
                <w:noProof/>
                <w:webHidden/>
              </w:rPr>
              <w:tab/>
            </w:r>
            <w:r>
              <w:rPr>
                <w:noProof/>
                <w:webHidden/>
              </w:rPr>
              <w:fldChar w:fldCharType="begin"/>
            </w:r>
            <w:r>
              <w:rPr>
                <w:noProof/>
                <w:webHidden/>
              </w:rPr>
              <w:instrText xml:space="preserve"> PAGEREF _Toc220490726 \h </w:instrText>
            </w:r>
            <w:r>
              <w:rPr>
                <w:noProof/>
                <w:webHidden/>
              </w:rPr>
            </w:r>
            <w:r>
              <w:rPr>
                <w:noProof/>
                <w:webHidden/>
              </w:rPr>
              <w:fldChar w:fldCharType="separate"/>
            </w:r>
            <w:r>
              <w:rPr>
                <w:noProof/>
                <w:webHidden/>
              </w:rPr>
              <w:t>343</w:t>
            </w:r>
            <w:r>
              <w:rPr>
                <w:noProof/>
                <w:webHidden/>
              </w:rPr>
              <w:fldChar w:fldCharType="end"/>
            </w:r>
          </w:hyperlink>
        </w:p>
        <w:p w14:paraId="1F1AE916" w14:textId="4A8CF1F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27" w:history="1">
            <w:r w:rsidRPr="001D4C20">
              <w:rPr>
                <w:rStyle w:val="Lienhypertexte"/>
                <w:noProof/>
              </w:rPr>
              <w:t>53.22.4d Chapes non adhérentes, sèches, en panneaux en OSB CCTB 01.10</w:t>
            </w:r>
            <w:r>
              <w:rPr>
                <w:noProof/>
                <w:webHidden/>
              </w:rPr>
              <w:tab/>
            </w:r>
            <w:r>
              <w:rPr>
                <w:noProof/>
                <w:webHidden/>
              </w:rPr>
              <w:fldChar w:fldCharType="begin"/>
            </w:r>
            <w:r>
              <w:rPr>
                <w:noProof/>
                <w:webHidden/>
              </w:rPr>
              <w:instrText xml:space="preserve"> PAGEREF _Toc220490727 \h </w:instrText>
            </w:r>
            <w:r>
              <w:rPr>
                <w:noProof/>
                <w:webHidden/>
              </w:rPr>
            </w:r>
            <w:r>
              <w:rPr>
                <w:noProof/>
                <w:webHidden/>
              </w:rPr>
              <w:fldChar w:fldCharType="separate"/>
            </w:r>
            <w:r>
              <w:rPr>
                <w:noProof/>
                <w:webHidden/>
              </w:rPr>
              <w:t>343</w:t>
            </w:r>
            <w:r>
              <w:rPr>
                <w:noProof/>
                <w:webHidden/>
              </w:rPr>
              <w:fldChar w:fldCharType="end"/>
            </w:r>
          </w:hyperlink>
        </w:p>
        <w:p w14:paraId="666CAD75" w14:textId="422F5F1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28" w:history="1">
            <w:r w:rsidRPr="001D4C20">
              <w:rPr>
                <w:rStyle w:val="Lienhypertexte"/>
                <w:noProof/>
              </w:rPr>
              <w:t>53.22.5 Chapes non adhérentes, sèches à panneaux/plaques à base de fibro-plâtre CCTB 01.02</w:t>
            </w:r>
            <w:r>
              <w:rPr>
                <w:noProof/>
                <w:webHidden/>
              </w:rPr>
              <w:tab/>
            </w:r>
            <w:r>
              <w:rPr>
                <w:noProof/>
                <w:webHidden/>
              </w:rPr>
              <w:fldChar w:fldCharType="begin"/>
            </w:r>
            <w:r>
              <w:rPr>
                <w:noProof/>
                <w:webHidden/>
              </w:rPr>
              <w:instrText xml:space="preserve"> PAGEREF _Toc220490728 \h </w:instrText>
            </w:r>
            <w:r>
              <w:rPr>
                <w:noProof/>
                <w:webHidden/>
              </w:rPr>
            </w:r>
            <w:r>
              <w:rPr>
                <w:noProof/>
                <w:webHidden/>
              </w:rPr>
              <w:fldChar w:fldCharType="separate"/>
            </w:r>
            <w:r>
              <w:rPr>
                <w:noProof/>
                <w:webHidden/>
              </w:rPr>
              <w:t>344</w:t>
            </w:r>
            <w:r>
              <w:rPr>
                <w:noProof/>
                <w:webHidden/>
              </w:rPr>
              <w:fldChar w:fldCharType="end"/>
            </w:r>
          </w:hyperlink>
        </w:p>
        <w:p w14:paraId="724751BE" w14:textId="14363BD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29" w:history="1">
            <w:r w:rsidRPr="001D4C20">
              <w:rPr>
                <w:rStyle w:val="Lienhypertexte"/>
                <w:noProof/>
              </w:rPr>
              <w:t>53.22.5a Chapes non adhérentes, sèches à panneaux/plaques à base de fibro-plâtre CCTB 01.11</w:t>
            </w:r>
            <w:r>
              <w:rPr>
                <w:noProof/>
                <w:webHidden/>
              </w:rPr>
              <w:tab/>
            </w:r>
            <w:r>
              <w:rPr>
                <w:noProof/>
                <w:webHidden/>
              </w:rPr>
              <w:fldChar w:fldCharType="begin"/>
            </w:r>
            <w:r>
              <w:rPr>
                <w:noProof/>
                <w:webHidden/>
              </w:rPr>
              <w:instrText xml:space="preserve"> PAGEREF _Toc220490729 \h </w:instrText>
            </w:r>
            <w:r>
              <w:rPr>
                <w:noProof/>
                <w:webHidden/>
              </w:rPr>
            </w:r>
            <w:r>
              <w:rPr>
                <w:noProof/>
                <w:webHidden/>
              </w:rPr>
              <w:fldChar w:fldCharType="separate"/>
            </w:r>
            <w:r>
              <w:rPr>
                <w:noProof/>
                <w:webHidden/>
              </w:rPr>
              <w:t>344</w:t>
            </w:r>
            <w:r>
              <w:rPr>
                <w:noProof/>
                <w:webHidden/>
              </w:rPr>
              <w:fldChar w:fldCharType="end"/>
            </w:r>
          </w:hyperlink>
        </w:p>
        <w:p w14:paraId="3517E9F9" w14:textId="375C8EF7"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30" w:history="1">
            <w:r w:rsidRPr="001D4C20">
              <w:rPr>
                <w:rStyle w:val="Lienhypertexte"/>
                <w:noProof/>
              </w:rPr>
              <w:t>53.22.6 Chapes non adhérentes, sèches à panneaux/plaques à base de fibro-ciment CCTB 01.02</w:t>
            </w:r>
            <w:r>
              <w:rPr>
                <w:noProof/>
                <w:webHidden/>
              </w:rPr>
              <w:tab/>
            </w:r>
            <w:r>
              <w:rPr>
                <w:noProof/>
                <w:webHidden/>
              </w:rPr>
              <w:fldChar w:fldCharType="begin"/>
            </w:r>
            <w:r>
              <w:rPr>
                <w:noProof/>
                <w:webHidden/>
              </w:rPr>
              <w:instrText xml:space="preserve"> PAGEREF _Toc220490730 \h </w:instrText>
            </w:r>
            <w:r>
              <w:rPr>
                <w:noProof/>
                <w:webHidden/>
              </w:rPr>
            </w:r>
            <w:r>
              <w:rPr>
                <w:noProof/>
                <w:webHidden/>
              </w:rPr>
              <w:fldChar w:fldCharType="separate"/>
            </w:r>
            <w:r>
              <w:rPr>
                <w:noProof/>
                <w:webHidden/>
              </w:rPr>
              <w:t>346</w:t>
            </w:r>
            <w:r>
              <w:rPr>
                <w:noProof/>
                <w:webHidden/>
              </w:rPr>
              <w:fldChar w:fldCharType="end"/>
            </w:r>
          </w:hyperlink>
        </w:p>
        <w:p w14:paraId="7177CA59" w14:textId="2230727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31" w:history="1">
            <w:r w:rsidRPr="001D4C20">
              <w:rPr>
                <w:rStyle w:val="Lienhypertexte"/>
                <w:noProof/>
              </w:rPr>
              <w:t>53.22.6a Chapes non adhérentes, sèches à panneaux/plaques à base de fibro-ciment CCTB 01.02</w:t>
            </w:r>
            <w:r>
              <w:rPr>
                <w:noProof/>
                <w:webHidden/>
              </w:rPr>
              <w:tab/>
            </w:r>
            <w:r>
              <w:rPr>
                <w:noProof/>
                <w:webHidden/>
              </w:rPr>
              <w:fldChar w:fldCharType="begin"/>
            </w:r>
            <w:r>
              <w:rPr>
                <w:noProof/>
                <w:webHidden/>
              </w:rPr>
              <w:instrText xml:space="preserve"> PAGEREF _Toc220490731 \h </w:instrText>
            </w:r>
            <w:r>
              <w:rPr>
                <w:noProof/>
                <w:webHidden/>
              </w:rPr>
            </w:r>
            <w:r>
              <w:rPr>
                <w:noProof/>
                <w:webHidden/>
              </w:rPr>
              <w:fldChar w:fldCharType="separate"/>
            </w:r>
            <w:r>
              <w:rPr>
                <w:noProof/>
                <w:webHidden/>
              </w:rPr>
              <w:t>346</w:t>
            </w:r>
            <w:r>
              <w:rPr>
                <w:noProof/>
                <w:webHidden/>
              </w:rPr>
              <w:fldChar w:fldCharType="end"/>
            </w:r>
          </w:hyperlink>
        </w:p>
        <w:p w14:paraId="1B9AB0D2" w14:textId="32FFD88D"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732" w:history="1">
            <w:r w:rsidRPr="001D4C20">
              <w:rPr>
                <w:rStyle w:val="Lienhypertexte"/>
                <w:noProof/>
              </w:rPr>
              <w:t>53.23 Chapes flottantes CCTB 01.13</w:t>
            </w:r>
            <w:r>
              <w:rPr>
                <w:noProof/>
                <w:webHidden/>
              </w:rPr>
              <w:tab/>
            </w:r>
            <w:r>
              <w:rPr>
                <w:noProof/>
                <w:webHidden/>
              </w:rPr>
              <w:fldChar w:fldCharType="begin"/>
            </w:r>
            <w:r>
              <w:rPr>
                <w:noProof/>
                <w:webHidden/>
              </w:rPr>
              <w:instrText xml:space="preserve"> PAGEREF _Toc220490732 \h </w:instrText>
            </w:r>
            <w:r>
              <w:rPr>
                <w:noProof/>
                <w:webHidden/>
              </w:rPr>
            </w:r>
            <w:r>
              <w:rPr>
                <w:noProof/>
                <w:webHidden/>
              </w:rPr>
              <w:fldChar w:fldCharType="separate"/>
            </w:r>
            <w:r>
              <w:rPr>
                <w:noProof/>
                <w:webHidden/>
              </w:rPr>
              <w:t>346</w:t>
            </w:r>
            <w:r>
              <w:rPr>
                <w:noProof/>
                <w:webHidden/>
              </w:rPr>
              <w:fldChar w:fldCharType="end"/>
            </w:r>
          </w:hyperlink>
        </w:p>
        <w:p w14:paraId="187E1EC4" w14:textId="12DA6E57"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33" w:history="1">
            <w:r w:rsidRPr="001D4C20">
              <w:rPr>
                <w:rStyle w:val="Lienhypertexte"/>
                <w:noProof/>
              </w:rPr>
              <w:t>53.23.1 Chapes flottantes à base de ciment CCTB 01.02</w:t>
            </w:r>
            <w:r>
              <w:rPr>
                <w:noProof/>
                <w:webHidden/>
              </w:rPr>
              <w:tab/>
            </w:r>
            <w:r>
              <w:rPr>
                <w:noProof/>
                <w:webHidden/>
              </w:rPr>
              <w:fldChar w:fldCharType="begin"/>
            </w:r>
            <w:r>
              <w:rPr>
                <w:noProof/>
                <w:webHidden/>
              </w:rPr>
              <w:instrText xml:space="preserve"> PAGEREF _Toc220490733 \h </w:instrText>
            </w:r>
            <w:r>
              <w:rPr>
                <w:noProof/>
                <w:webHidden/>
              </w:rPr>
            </w:r>
            <w:r>
              <w:rPr>
                <w:noProof/>
                <w:webHidden/>
              </w:rPr>
              <w:fldChar w:fldCharType="separate"/>
            </w:r>
            <w:r>
              <w:rPr>
                <w:noProof/>
                <w:webHidden/>
              </w:rPr>
              <w:t>347</w:t>
            </w:r>
            <w:r>
              <w:rPr>
                <w:noProof/>
                <w:webHidden/>
              </w:rPr>
              <w:fldChar w:fldCharType="end"/>
            </w:r>
          </w:hyperlink>
        </w:p>
        <w:p w14:paraId="396EFAB4" w14:textId="66A70FE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34" w:history="1">
            <w:r w:rsidRPr="001D4C20">
              <w:rPr>
                <w:rStyle w:val="Lienhypertexte"/>
                <w:noProof/>
              </w:rPr>
              <w:t>53.23.1a Chapes flottantes à base de ciment CCTB 01.13</w:t>
            </w:r>
            <w:r>
              <w:rPr>
                <w:noProof/>
                <w:webHidden/>
              </w:rPr>
              <w:tab/>
            </w:r>
            <w:r>
              <w:rPr>
                <w:noProof/>
                <w:webHidden/>
              </w:rPr>
              <w:fldChar w:fldCharType="begin"/>
            </w:r>
            <w:r>
              <w:rPr>
                <w:noProof/>
                <w:webHidden/>
              </w:rPr>
              <w:instrText xml:space="preserve"> PAGEREF _Toc220490734 \h </w:instrText>
            </w:r>
            <w:r>
              <w:rPr>
                <w:noProof/>
                <w:webHidden/>
              </w:rPr>
            </w:r>
            <w:r>
              <w:rPr>
                <w:noProof/>
                <w:webHidden/>
              </w:rPr>
              <w:fldChar w:fldCharType="separate"/>
            </w:r>
            <w:r>
              <w:rPr>
                <w:noProof/>
                <w:webHidden/>
              </w:rPr>
              <w:t>347</w:t>
            </w:r>
            <w:r>
              <w:rPr>
                <w:noProof/>
                <w:webHidden/>
              </w:rPr>
              <w:fldChar w:fldCharType="end"/>
            </w:r>
          </w:hyperlink>
        </w:p>
        <w:p w14:paraId="71949963" w14:textId="13C08770"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35" w:history="1">
            <w:r w:rsidRPr="001D4C20">
              <w:rPr>
                <w:rStyle w:val="Lienhypertexte"/>
                <w:noProof/>
              </w:rPr>
              <w:t>53.23.2 Chapes flottantes à base de liant anhydrite (sulfate de calcium) CCTB 01.02</w:t>
            </w:r>
            <w:r>
              <w:rPr>
                <w:noProof/>
                <w:webHidden/>
              </w:rPr>
              <w:tab/>
            </w:r>
            <w:r>
              <w:rPr>
                <w:noProof/>
                <w:webHidden/>
              </w:rPr>
              <w:fldChar w:fldCharType="begin"/>
            </w:r>
            <w:r>
              <w:rPr>
                <w:noProof/>
                <w:webHidden/>
              </w:rPr>
              <w:instrText xml:space="preserve"> PAGEREF _Toc220490735 \h </w:instrText>
            </w:r>
            <w:r>
              <w:rPr>
                <w:noProof/>
                <w:webHidden/>
              </w:rPr>
            </w:r>
            <w:r>
              <w:rPr>
                <w:noProof/>
                <w:webHidden/>
              </w:rPr>
              <w:fldChar w:fldCharType="separate"/>
            </w:r>
            <w:r>
              <w:rPr>
                <w:noProof/>
                <w:webHidden/>
              </w:rPr>
              <w:t>348</w:t>
            </w:r>
            <w:r>
              <w:rPr>
                <w:noProof/>
                <w:webHidden/>
              </w:rPr>
              <w:fldChar w:fldCharType="end"/>
            </w:r>
          </w:hyperlink>
        </w:p>
        <w:p w14:paraId="6CCD6E89" w14:textId="34B2A02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36" w:history="1">
            <w:r w:rsidRPr="001D4C20">
              <w:rPr>
                <w:rStyle w:val="Lienhypertexte"/>
                <w:noProof/>
              </w:rPr>
              <w:t>53.23.2a Chapes flottantes à base de liant anhydrite (sulfate de calcium) CCTB 01.10</w:t>
            </w:r>
            <w:r>
              <w:rPr>
                <w:noProof/>
                <w:webHidden/>
              </w:rPr>
              <w:tab/>
            </w:r>
            <w:r>
              <w:rPr>
                <w:noProof/>
                <w:webHidden/>
              </w:rPr>
              <w:fldChar w:fldCharType="begin"/>
            </w:r>
            <w:r>
              <w:rPr>
                <w:noProof/>
                <w:webHidden/>
              </w:rPr>
              <w:instrText xml:space="preserve"> PAGEREF _Toc220490736 \h </w:instrText>
            </w:r>
            <w:r>
              <w:rPr>
                <w:noProof/>
                <w:webHidden/>
              </w:rPr>
            </w:r>
            <w:r>
              <w:rPr>
                <w:noProof/>
                <w:webHidden/>
              </w:rPr>
              <w:fldChar w:fldCharType="separate"/>
            </w:r>
            <w:r>
              <w:rPr>
                <w:noProof/>
                <w:webHidden/>
              </w:rPr>
              <w:t>348</w:t>
            </w:r>
            <w:r>
              <w:rPr>
                <w:noProof/>
                <w:webHidden/>
              </w:rPr>
              <w:fldChar w:fldCharType="end"/>
            </w:r>
          </w:hyperlink>
        </w:p>
        <w:p w14:paraId="20167C7A" w14:textId="71C17B95"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37" w:history="1">
            <w:r w:rsidRPr="001D4C20">
              <w:rPr>
                <w:rStyle w:val="Lienhypertexte"/>
                <w:noProof/>
              </w:rPr>
              <w:t>53.23.3 Chapes flottantes à base de magnésite CCTB 01.02</w:t>
            </w:r>
            <w:r>
              <w:rPr>
                <w:noProof/>
                <w:webHidden/>
              </w:rPr>
              <w:tab/>
            </w:r>
            <w:r>
              <w:rPr>
                <w:noProof/>
                <w:webHidden/>
              </w:rPr>
              <w:fldChar w:fldCharType="begin"/>
            </w:r>
            <w:r>
              <w:rPr>
                <w:noProof/>
                <w:webHidden/>
              </w:rPr>
              <w:instrText xml:space="preserve"> PAGEREF _Toc220490737 \h </w:instrText>
            </w:r>
            <w:r>
              <w:rPr>
                <w:noProof/>
                <w:webHidden/>
              </w:rPr>
            </w:r>
            <w:r>
              <w:rPr>
                <w:noProof/>
                <w:webHidden/>
              </w:rPr>
              <w:fldChar w:fldCharType="separate"/>
            </w:r>
            <w:r>
              <w:rPr>
                <w:noProof/>
                <w:webHidden/>
              </w:rPr>
              <w:t>349</w:t>
            </w:r>
            <w:r>
              <w:rPr>
                <w:noProof/>
                <w:webHidden/>
              </w:rPr>
              <w:fldChar w:fldCharType="end"/>
            </w:r>
          </w:hyperlink>
        </w:p>
        <w:p w14:paraId="19B20DCB" w14:textId="23D79D5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38" w:history="1">
            <w:r w:rsidRPr="001D4C20">
              <w:rPr>
                <w:rStyle w:val="Lienhypertexte"/>
                <w:noProof/>
              </w:rPr>
              <w:t>53.23.3a Chapes flottantes à base de magnésite CCTB 01.02</w:t>
            </w:r>
            <w:r>
              <w:rPr>
                <w:noProof/>
                <w:webHidden/>
              </w:rPr>
              <w:tab/>
            </w:r>
            <w:r>
              <w:rPr>
                <w:noProof/>
                <w:webHidden/>
              </w:rPr>
              <w:fldChar w:fldCharType="begin"/>
            </w:r>
            <w:r>
              <w:rPr>
                <w:noProof/>
                <w:webHidden/>
              </w:rPr>
              <w:instrText xml:space="preserve"> PAGEREF _Toc220490738 \h </w:instrText>
            </w:r>
            <w:r>
              <w:rPr>
                <w:noProof/>
                <w:webHidden/>
              </w:rPr>
            </w:r>
            <w:r>
              <w:rPr>
                <w:noProof/>
                <w:webHidden/>
              </w:rPr>
              <w:fldChar w:fldCharType="separate"/>
            </w:r>
            <w:r>
              <w:rPr>
                <w:noProof/>
                <w:webHidden/>
              </w:rPr>
              <w:t>349</w:t>
            </w:r>
            <w:r>
              <w:rPr>
                <w:noProof/>
                <w:webHidden/>
              </w:rPr>
              <w:fldChar w:fldCharType="end"/>
            </w:r>
          </w:hyperlink>
        </w:p>
        <w:p w14:paraId="5EC7E46F" w14:textId="4E9C2B21"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39" w:history="1">
            <w:r w:rsidRPr="001D4C20">
              <w:rPr>
                <w:rStyle w:val="Lienhypertexte"/>
                <w:noProof/>
              </w:rPr>
              <w:t>53.23.4 Chapes flottantes, sèches à panneaux/plaques en bois CCTB 01.02</w:t>
            </w:r>
            <w:r>
              <w:rPr>
                <w:noProof/>
                <w:webHidden/>
              </w:rPr>
              <w:tab/>
            </w:r>
            <w:r>
              <w:rPr>
                <w:noProof/>
                <w:webHidden/>
              </w:rPr>
              <w:fldChar w:fldCharType="begin"/>
            </w:r>
            <w:r>
              <w:rPr>
                <w:noProof/>
                <w:webHidden/>
              </w:rPr>
              <w:instrText xml:space="preserve"> PAGEREF _Toc220490739 \h </w:instrText>
            </w:r>
            <w:r>
              <w:rPr>
                <w:noProof/>
                <w:webHidden/>
              </w:rPr>
            </w:r>
            <w:r>
              <w:rPr>
                <w:noProof/>
                <w:webHidden/>
              </w:rPr>
              <w:fldChar w:fldCharType="separate"/>
            </w:r>
            <w:r>
              <w:rPr>
                <w:noProof/>
                <w:webHidden/>
              </w:rPr>
              <w:t>349</w:t>
            </w:r>
            <w:r>
              <w:rPr>
                <w:noProof/>
                <w:webHidden/>
              </w:rPr>
              <w:fldChar w:fldCharType="end"/>
            </w:r>
          </w:hyperlink>
        </w:p>
        <w:p w14:paraId="35935F4D" w14:textId="2CCC081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40" w:history="1">
            <w:r w:rsidRPr="001D4C20">
              <w:rPr>
                <w:rStyle w:val="Lienhypertexte"/>
                <w:noProof/>
              </w:rPr>
              <w:t>53.23.4a Chapes flottantes, sèches à panneaux/plaques en bois, à panneaux en agglomérés traités CCTB 01.02</w:t>
            </w:r>
            <w:r>
              <w:rPr>
                <w:noProof/>
                <w:webHidden/>
              </w:rPr>
              <w:tab/>
            </w:r>
            <w:r>
              <w:rPr>
                <w:noProof/>
                <w:webHidden/>
              </w:rPr>
              <w:fldChar w:fldCharType="begin"/>
            </w:r>
            <w:r>
              <w:rPr>
                <w:noProof/>
                <w:webHidden/>
              </w:rPr>
              <w:instrText xml:space="preserve"> PAGEREF _Toc220490740 \h </w:instrText>
            </w:r>
            <w:r>
              <w:rPr>
                <w:noProof/>
                <w:webHidden/>
              </w:rPr>
            </w:r>
            <w:r>
              <w:rPr>
                <w:noProof/>
                <w:webHidden/>
              </w:rPr>
              <w:fldChar w:fldCharType="separate"/>
            </w:r>
            <w:r>
              <w:rPr>
                <w:noProof/>
                <w:webHidden/>
              </w:rPr>
              <w:t>349</w:t>
            </w:r>
            <w:r>
              <w:rPr>
                <w:noProof/>
                <w:webHidden/>
              </w:rPr>
              <w:fldChar w:fldCharType="end"/>
            </w:r>
          </w:hyperlink>
        </w:p>
        <w:p w14:paraId="71BBD2CE" w14:textId="0ED2A99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41" w:history="1">
            <w:r w:rsidRPr="001D4C20">
              <w:rPr>
                <w:rStyle w:val="Lienhypertexte"/>
                <w:noProof/>
              </w:rPr>
              <w:t>53.23.4b Chapes flottantes, sèches à panneaux/plaques en bois, à panneaux multiplex CCTB 01.10</w:t>
            </w:r>
            <w:r>
              <w:rPr>
                <w:noProof/>
                <w:webHidden/>
              </w:rPr>
              <w:tab/>
            </w:r>
            <w:r>
              <w:rPr>
                <w:noProof/>
                <w:webHidden/>
              </w:rPr>
              <w:fldChar w:fldCharType="begin"/>
            </w:r>
            <w:r>
              <w:rPr>
                <w:noProof/>
                <w:webHidden/>
              </w:rPr>
              <w:instrText xml:space="preserve"> PAGEREF _Toc220490741 \h </w:instrText>
            </w:r>
            <w:r>
              <w:rPr>
                <w:noProof/>
                <w:webHidden/>
              </w:rPr>
            </w:r>
            <w:r>
              <w:rPr>
                <w:noProof/>
                <w:webHidden/>
              </w:rPr>
              <w:fldChar w:fldCharType="separate"/>
            </w:r>
            <w:r>
              <w:rPr>
                <w:noProof/>
                <w:webHidden/>
              </w:rPr>
              <w:t>349</w:t>
            </w:r>
            <w:r>
              <w:rPr>
                <w:noProof/>
                <w:webHidden/>
              </w:rPr>
              <w:fldChar w:fldCharType="end"/>
            </w:r>
          </w:hyperlink>
        </w:p>
        <w:p w14:paraId="4D930DC4" w14:textId="1C44716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42" w:history="1">
            <w:r w:rsidRPr="001D4C20">
              <w:rPr>
                <w:rStyle w:val="Lienhypertexte"/>
                <w:noProof/>
              </w:rPr>
              <w:t>53.23.4c Chapes flottantes, sèches à panneaux/plaques en bois, à panneaux en contreplaqué marin CCTB 01.02</w:t>
            </w:r>
            <w:r>
              <w:rPr>
                <w:noProof/>
                <w:webHidden/>
              </w:rPr>
              <w:tab/>
            </w:r>
            <w:r>
              <w:rPr>
                <w:noProof/>
                <w:webHidden/>
              </w:rPr>
              <w:fldChar w:fldCharType="begin"/>
            </w:r>
            <w:r>
              <w:rPr>
                <w:noProof/>
                <w:webHidden/>
              </w:rPr>
              <w:instrText xml:space="preserve"> PAGEREF _Toc220490742 \h </w:instrText>
            </w:r>
            <w:r>
              <w:rPr>
                <w:noProof/>
                <w:webHidden/>
              </w:rPr>
            </w:r>
            <w:r>
              <w:rPr>
                <w:noProof/>
                <w:webHidden/>
              </w:rPr>
              <w:fldChar w:fldCharType="separate"/>
            </w:r>
            <w:r>
              <w:rPr>
                <w:noProof/>
                <w:webHidden/>
              </w:rPr>
              <w:t>350</w:t>
            </w:r>
            <w:r>
              <w:rPr>
                <w:noProof/>
                <w:webHidden/>
              </w:rPr>
              <w:fldChar w:fldCharType="end"/>
            </w:r>
          </w:hyperlink>
        </w:p>
        <w:p w14:paraId="1D83E575" w14:textId="3181FAF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43" w:history="1">
            <w:r w:rsidRPr="001D4C20">
              <w:rPr>
                <w:rStyle w:val="Lienhypertexte"/>
                <w:noProof/>
              </w:rPr>
              <w:t>53.23.4d Chapes flottantes, sèches à panneaux/plaques en bois, à panneaux en OSB CCTB 01.10</w:t>
            </w:r>
            <w:r>
              <w:rPr>
                <w:noProof/>
                <w:webHidden/>
              </w:rPr>
              <w:tab/>
            </w:r>
            <w:r>
              <w:rPr>
                <w:noProof/>
                <w:webHidden/>
              </w:rPr>
              <w:fldChar w:fldCharType="begin"/>
            </w:r>
            <w:r>
              <w:rPr>
                <w:noProof/>
                <w:webHidden/>
              </w:rPr>
              <w:instrText xml:space="preserve"> PAGEREF _Toc220490743 \h </w:instrText>
            </w:r>
            <w:r>
              <w:rPr>
                <w:noProof/>
                <w:webHidden/>
              </w:rPr>
            </w:r>
            <w:r>
              <w:rPr>
                <w:noProof/>
                <w:webHidden/>
              </w:rPr>
              <w:fldChar w:fldCharType="separate"/>
            </w:r>
            <w:r>
              <w:rPr>
                <w:noProof/>
                <w:webHidden/>
              </w:rPr>
              <w:t>350</w:t>
            </w:r>
            <w:r>
              <w:rPr>
                <w:noProof/>
                <w:webHidden/>
              </w:rPr>
              <w:fldChar w:fldCharType="end"/>
            </w:r>
          </w:hyperlink>
        </w:p>
        <w:p w14:paraId="68067764" w14:textId="23A3519F"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44" w:history="1">
            <w:r w:rsidRPr="001D4C20">
              <w:rPr>
                <w:rStyle w:val="Lienhypertexte"/>
                <w:noProof/>
              </w:rPr>
              <w:t>53.23.5 Chapes flottantes, sèches à panneaux/plaques à base de fibro-plâtre CCTB 01.02</w:t>
            </w:r>
            <w:r>
              <w:rPr>
                <w:noProof/>
                <w:webHidden/>
              </w:rPr>
              <w:tab/>
            </w:r>
            <w:r>
              <w:rPr>
                <w:noProof/>
                <w:webHidden/>
              </w:rPr>
              <w:fldChar w:fldCharType="begin"/>
            </w:r>
            <w:r>
              <w:rPr>
                <w:noProof/>
                <w:webHidden/>
              </w:rPr>
              <w:instrText xml:space="preserve"> PAGEREF _Toc220490744 \h </w:instrText>
            </w:r>
            <w:r>
              <w:rPr>
                <w:noProof/>
                <w:webHidden/>
              </w:rPr>
            </w:r>
            <w:r>
              <w:rPr>
                <w:noProof/>
                <w:webHidden/>
              </w:rPr>
              <w:fldChar w:fldCharType="separate"/>
            </w:r>
            <w:r>
              <w:rPr>
                <w:noProof/>
                <w:webHidden/>
              </w:rPr>
              <w:t>351</w:t>
            </w:r>
            <w:r>
              <w:rPr>
                <w:noProof/>
                <w:webHidden/>
              </w:rPr>
              <w:fldChar w:fldCharType="end"/>
            </w:r>
          </w:hyperlink>
        </w:p>
        <w:p w14:paraId="5B1F38E1" w14:textId="60FF333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45" w:history="1">
            <w:r w:rsidRPr="001D4C20">
              <w:rPr>
                <w:rStyle w:val="Lienhypertexte"/>
                <w:noProof/>
              </w:rPr>
              <w:t>53.23.5a Chapes flottantes, sèches à panneaux/plaques à base de fibro-plâtre CCTB 01.02</w:t>
            </w:r>
            <w:r>
              <w:rPr>
                <w:noProof/>
                <w:webHidden/>
              </w:rPr>
              <w:tab/>
            </w:r>
            <w:r>
              <w:rPr>
                <w:noProof/>
                <w:webHidden/>
              </w:rPr>
              <w:fldChar w:fldCharType="begin"/>
            </w:r>
            <w:r>
              <w:rPr>
                <w:noProof/>
                <w:webHidden/>
              </w:rPr>
              <w:instrText xml:space="preserve"> PAGEREF _Toc220490745 \h </w:instrText>
            </w:r>
            <w:r>
              <w:rPr>
                <w:noProof/>
                <w:webHidden/>
              </w:rPr>
            </w:r>
            <w:r>
              <w:rPr>
                <w:noProof/>
                <w:webHidden/>
              </w:rPr>
              <w:fldChar w:fldCharType="separate"/>
            </w:r>
            <w:r>
              <w:rPr>
                <w:noProof/>
                <w:webHidden/>
              </w:rPr>
              <w:t>351</w:t>
            </w:r>
            <w:r>
              <w:rPr>
                <w:noProof/>
                <w:webHidden/>
              </w:rPr>
              <w:fldChar w:fldCharType="end"/>
            </w:r>
          </w:hyperlink>
        </w:p>
        <w:p w14:paraId="57D5EBC0" w14:textId="50F2A322"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46" w:history="1">
            <w:r w:rsidRPr="001D4C20">
              <w:rPr>
                <w:rStyle w:val="Lienhypertexte"/>
                <w:noProof/>
              </w:rPr>
              <w:t>53.23.6 Chapes flottantes, sèches à panneaux/plaques à base de fibro-ciment CCTB 01.02</w:t>
            </w:r>
            <w:r>
              <w:rPr>
                <w:noProof/>
                <w:webHidden/>
              </w:rPr>
              <w:tab/>
            </w:r>
            <w:r>
              <w:rPr>
                <w:noProof/>
                <w:webHidden/>
              </w:rPr>
              <w:fldChar w:fldCharType="begin"/>
            </w:r>
            <w:r>
              <w:rPr>
                <w:noProof/>
                <w:webHidden/>
              </w:rPr>
              <w:instrText xml:space="preserve"> PAGEREF _Toc220490746 \h </w:instrText>
            </w:r>
            <w:r>
              <w:rPr>
                <w:noProof/>
                <w:webHidden/>
              </w:rPr>
            </w:r>
            <w:r>
              <w:rPr>
                <w:noProof/>
                <w:webHidden/>
              </w:rPr>
              <w:fldChar w:fldCharType="separate"/>
            </w:r>
            <w:r>
              <w:rPr>
                <w:noProof/>
                <w:webHidden/>
              </w:rPr>
              <w:t>351</w:t>
            </w:r>
            <w:r>
              <w:rPr>
                <w:noProof/>
                <w:webHidden/>
              </w:rPr>
              <w:fldChar w:fldCharType="end"/>
            </w:r>
          </w:hyperlink>
        </w:p>
        <w:p w14:paraId="44C200B0" w14:textId="681631B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47" w:history="1">
            <w:r w:rsidRPr="001D4C20">
              <w:rPr>
                <w:rStyle w:val="Lienhypertexte"/>
                <w:noProof/>
              </w:rPr>
              <w:t>53.23.6a Chapes flottantes, sèches à panneaux/plaques à base de fibro-ciment CCTB 01.11</w:t>
            </w:r>
            <w:r>
              <w:rPr>
                <w:noProof/>
                <w:webHidden/>
              </w:rPr>
              <w:tab/>
            </w:r>
            <w:r>
              <w:rPr>
                <w:noProof/>
                <w:webHidden/>
              </w:rPr>
              <w:fldChar w:fldCharType="begin"/>
            </w:r>
            <w:r>
              <w:rPr>
                <w:noProof/>
                <w:webHidden/>
              </w:rPr>
              <w:instrText xml:space="preserve"> PAGEREF _Toc220490747 \h </w:instrText>
            </w:r>
            <w:r>
              <w:rPr>
                <w:noProof/>
                <w:webHidden/>
              </w:rPr>
            </w:r>
            <w:r>
              <w:rPr>
                <w:noProof/>
                <w:webHidden/>
              </w:rPr>
              <w:fldChar w:fldCharType="separate"/>
            </w:r>
            <w:r>
              <w:rPr>
                <w:noProof/>
                <w:webHidden/>
              </w:rPr>
              <w:t>351</w:t>
            </w:r>
            <w:r>
              <w:rPr>
                <w:noProof/>
                <w:webHidden/>
              </w:rPr>
              <w:fldChar w:fldCharType="end"/>
            </w:r>
          </w:hyperlink>
        </w:p>
        <w:p w14:paraId="61A134E8" w14:textId="10587C7E"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748" w:history="1">
            <w:r w:rsidRPr="001D4C20">
              <w:rPr>
                <w:rStyle w:val="Lienhypertexte"/>
                <w:noProof/>
              </w:rPr>
              <w:t>53.3 Sols de type industriel CCTB 01.02</w:t>
            </w:r>
            <w:r>
              <w:rPr>
                <w:noProof/>
                <w:webHidden/>
              </w:rPr>
              <w:tab/>
            </w:r>
            <w:r>
              <w:rPr>
                <w:noProof/>
                <w:webHidden/>
              </w:rPr>
              <w:fldChar w:fldCharType="begin"/>
            </w:r>
            <w:r>
              <w:rPr>
                <w:noProof/>
                <w:webHidden/>
              </w:rPr>
              <w:instrText xml:space="preserve"> PAGEREF _Toc220490748 \h </w:instrText>
            </w:r>
            <w:r>
              <w:rPr>
                <w:noProof/>
                <w:webHidden/>
              </w:rPr>
            </w:r>
            <w:r>
              <w:rPr>
                <w:noProof/>
                <w:webHidden/>
              </w:rPr>
              <w:fldChar w:fldCharType="separate"/>
            </w:r>
            <w:r>
              <w:rPr>
                <w:noProof/>
                <w:webHidden/>
              </w:rPr>
              <w:t>353</w:t>
            </w:r>
            <w:r>
              <w:rPr>
                <w:noProof/>
                <w:webHidden/>
              </w:rPr>
              <w:fldChar w:fldCharType="end"/>
            </w:r>
          </w:hyperlink>
        </w:p>
        <w:p w14:paraId="00778160" w14:textId="52488AB5"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749" w:history="1">
            <w:r w:rsidRPr="001D4C20">
              <w:rPr>
                <w:rStyle w:val="Lienhypertexte"/>
                <w:noProof/>
              </w:rPr>
              <w:t>53.31 Sols de type industriel à base de ciment CCTB 01.12</w:t>
            </w:r>
            <w:r>
              <w:rPr>
                <w:noProof/>
                <w:webHidden/>
              </w:rPr>
              <w:tab/>
            </w:r>
            <w:r>
              <w:rPr>
                <w:noProof/>
                <w:webHidden/>
              </w:rPr>
              <w:fldChar w:fldCharType="begin"/>
            </w:r>
            <w:r>
              <w:rPr>
                <w:noProof/>
                <w:webHidden/>
              </w:rPr>
              <w:instrText xml:space="preserve"> PAGEREF _Toc220490749 \h </w:instrText>
            </w:r>
            <w:r>
              <w:rPr>
                <w:noProof/>
                <w:webHidden/>
              </w:rPr>
            </w:r>
            <w:r>
              <w:rPr>
                <w:noProof/>
                <w:webHidden/>
              </w:rPr>
              <w:fldChar w:fldCharType="separate"/>
            </w:r>
            <w:r>
              <w:rPr>
                <w:noProof/>
                <w:webHidden/>
              </w:rPr>
              <w:t>353</w:t>
            </w:r>
            <w:r>
              <w:rPr>
                <w:noProof/>
                <w:webHidden/>
              </w:rPr>
              <w:fldChar w:fldCharType="end"/>
            </w:r>
          </w:hyperlink>
        </w:p>
        <w:p w14:paraId="03AAF23B" w14:textId="063ECA5A"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50" w:history="1">
            <w:r w:rsidRPr="001D4C20">
              <w:rPr>
                <w:rStyle w:val="Lienhypertexte"/>
                <w:noProof/>
              </w:rPr>
              <w:t>53.31.1 Sols de type industriel à base de ciment, monolithes polis CCTB 01.02</w:t>
            </w:r>
            <w:r>
              <w:rPr>
                <w:noProof/>
                <w:webHidden/>
              </w:rPr>
              <w:tab/>
            </w:r>
            <w:r>
              <w:rPr>
                <w:noProof/>
                <w:webHidden/>
              </w:rPr>
              <w:fldChar w:fldCharType="begin"/>
            </w:r>
            <w:r>
              <w:rPr>
                <w:noProof/>
                <w:webHidden/>
              </w:rPr>
              <w:instrText xml:space="preserve"> PAGEREF _Toc220490750 \h </w:instrText>
            </w:r>
            <w:r>
              <w:rPr>
                <w:noProof/>
                <w:webHidden/>
              </w:rPr>
            </w:r>
            <w:r>
              <w:rPr>
                <w:noProof/>
                <w:webHidden/>
              </w:rPr>
              <w:fldChar w:fldCharType="separate"/>
            </w:r>
            <w:r>
              <w:rPr>
                <w:noProof/>
                <w:webHidden/>
              </w:rPr>
              <w:t>354</w:t>
            </w:r>
            <w:r>
              <w:rPr>
                <w:noProof/>
                <w:webHidden/>
              </w:rPr>
              <w:fldChar w:fldCharType="end"/>
            </w:r>
          </w:hyperlink>
        </w:p>
        <w:p w14:paraId="501B774F" w14:textId="4F5091B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51" w:history="1">
            <w:r w:rsidRPr="001D4C20">
              <w:rPr>
                <w:rStyle w:val="Lienhypertexte"/>
                <w:noProof/>
              </w:rPr>
              <w:t>53.31.1a Sols de type industriel à base de ciment, monolithes polis CCTB 01.13</w:t>
            </w:r>
            <w:r>
              <w:rPr>
                <w:noProof/>
                <w:webHidden/>
              </w:rPr>
              <w:tab/>
            </w:r>
            <w:r>
              <w:rPr>
                <w:noProof/>
                <w:webHidden/>
              </w:rPr>
              <w:fldChar w:fldCharType="begin"/>
            </w:r>
            <w:r>
              <w:rPr>
                <w:noProof/>
                <w:webHidden/>
              </w:rPr>
              <w:instrText xml:space="preserve"> PAGEREF _Toc220490751 \h </w:instrText>
            </w:r>
            <w:r>
              <w:rPr>
                <w:noProof/>
                <w:webHidden/>
              </w:rPr>
            </w:r>
            <w:r>
              <w:rPr>
                <w:noProof/>
                <w:webHidden/>
              </w:rPr>
              <w:fldChar w:fldCharType="separate"/>
            </w:r>
            <w:r>
              <w:rPr>
                <w:noProof/>
                <w:webHidden/>
              </w:rPr>
              <w:t>354</w:t>
            </w:r>
            <w:r>
              <w:rPr>
                <w:noProof/>
                <w:webHidden/>
              </w:rPr>
              <w:fldChar w:fldCharType="end"/>
            </w:r>
          </w:hyperlink>
        </w:p>
        <w:p w14:paraId="48BCE7AD" w14:textId="65982980"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52" w:history="1">
            <w:r w:rsidRPr="001D4C20">
              <w:rPr>
                <w:rStyle w:val="Lienhypertexte"/>
                <w:noProof/>
              </w:rPr>
              <w:t>53.31.2 Sols de type industriel à base de ciment, monolithes avec couche d'usure CCTB 01.02</w:t>
            </w:r>
            <w:r>
              <w:rPr>
                <w:noProof/>
                <w:webHidden/>
              </w:rPr>
              <w:tab/>
            </w:r>
            <w:r>
              <w:rPr>
                <w:noProof/>
                <w:webHidden/>
              </w:rPr>
              <w:fldChar w:fldCharType="begin"/>
            </w:r>
            <w:r>
              <w:rPr>
                <w:noProof/>
                <w:webHidden/>
              </w:rPr>
              <w:instrText xml:space="preserve"> PAGEREF _Toc220490752 \h </w:instrText>
            </w:r>
            <w:r>
              <w:rPr>
                <w:noProof/>
                <w:webHidden/>
              </w:rPr>
            </w:r>
            <w:r>
              <w:rPr>
                <w:noProof/>
                <w:webHidden/>
              </w:rPr>
              <w:fldChar w:fldCharType="separate"/>
            </w:r>
            <w:r>
              <w:rPr>
                <w:noProof/>
                <w:webHidden/>
              </w:rPr>
              <w:t>355</w:t>
            </w:r>
            <w:r>
              <w:rPr>
                <w:noProof/>
                <w:webHidden/>
              </w:rPr>
              <w:fldChar w:fldCharType="end"/>
            </w:r>
          </w:hyperlink>
        </w:p>
        <w:p w14:paraId="1210A780" w14:textId="6A22835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53" w:history="1">
            <w:r w:rsidRPr="001D4C20">
              <w:rPr>
                <w:rStyle w:val="Lienhypertexte"/>
                <w:noProof/>
              </w:rPr>
              <w:t>53.31.2a Sols de type industriel à base de ciment, monolithes avec couche d'usure CCTB 01.11</w:t>
            </w:r>
            <w:r>
              <w:rPr>
                <w:noProof/>
                <w:webHidden/>
              </w:rPr>
              <w:tab/>
            </w:r>
            <w:r>
              <w:rPr>
                <w:noProof/>
                <w:webHidden/>
              </w:rPr>
              <w:fldChar w:fldCharType="begin"/>
            </w:r>
            <w:r>
              <w:rPr>
                <w:noProof/>
                <w:webHidden/>
              </w:rPr>
              <w:instrText xml:space="preserve"> PAGEREF _Toc220490753 \h </w:instrText>
            </w:r>
            <w:r>
              <w:rPr>
                <w:noProof/>
                <w:webHidden/>
              </w:rPr>
            </w:r>
            <w:r>
              <w:rPr>
                <w:noProof/>
                <w:webHidden/>
              </w:rPr>
              <w:fldChar w:fldCharType="separate"/>
            </w:r>
            <w:r>
              <w:rPr>
                <w:noProof/>
                <w:webHidden/>
              </w:rPr>
              <w:t>355</w:t>
            </w:r>
            <w:r>
              <w:rPr>
                <w:noProof/>
                <w:webHidden/>
              </w:rPr>
              <w:fldChar w:fldCharType="end"/>
            </w:r>
          </w:hyperlink>
        </w:p>
        <w:p w14:paraId="23F69033" w14:textId="51CBE0D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54" w:history="1">
            <w:r w:rsidRPr="001D4C20">
              <w:rPr>
                <w:rStyle w:val="Lienhypertexte"/>
                <w:noProof/>
              </w:rPr>
              <w:t>53.31.3 Sols de type industriel à base de ciment, rapportés polis CCTB 01.02</w:t>
            </w:r>
            <w:r>
              <w:rPr>
                <w:noProof/>
                <w:webHidden/>
              </w:rPr>
              <w:tab/>
            </w:r>
            <w:r>
              <w:rPr>
                <w:noProof/>
                <w:webHidden/>
              </w:rPr>
              <w:fldChar w:fldCharType="begin"/>
            </w:r>
            <w:r>
              <w:rPr>
                <w:noProof/>
                <w:webHidden/>
              </w:rPr>
              <w:instrText xml:space="preserve"> PAGEREF _Toc220490754 \h </w:instrText>
            </w:r>
            <w:r>
              <w:rPr>
                <w:noProof/>
                <w:webHidden/>
              </w:rPr>
            </w:r>
            <w:r>
              <w:rPr>
                <w:noProof/>
                <w:webHidden/>
              </w:rPr>
              <w:fldChar w:fldCharType="separate"/>
            </w:r>
            <w:r>
              <w:rPr>
                <w:noProof/>
                <w:webHidden/>
              </w:rPr>
              <w:t>356</w:t>
            </w:r>
            <w:r>
              <w:rPr>
                <w:noProof/>
                <w:webHidden/>
              </w:rPr>
              <w:fldChar w:fldCharType="end"/>
            </w:r>
          </w:hyperlink>
        </w:p>
        <w:p w14:paraId="4506BEEE" w14:textId="28C5CF4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55" w:history="1">
            <w:r w:rsidRPr="001D4C20">
              <w:rPr>
                <w:rStyle w:val="Lienhypertexte"/>
                <w:noProof/>
              </w:rPr>
              <w:t>53.31.3a Sols de type industriel à base de ciment, rapportés polis CCTB 01.12</w:t>
            </w:r>
            <w:r>
              <w:rPr>
                <w:noProof/>
                <w:webHidden/>
              </w:rPr>
              <w:tab/>
            </w:r>
            <w:r>
              <w:rPr>
                <w:noProof/>
                <w:webHidden/>
              </w:rPr>
              <w:fldChar w:fldCharType="begin"/>
            </w:r>
            <w:r>
              <w:rPr>
                <w:noProof/>
                <w:webHidden/>
              </w:rPr>
              <w:instrText xml:space="preserve"> PAGEREF _Toc220490755 \h </w:instrText>
            </w:r>
            <w:r>
              <w:rPr>
                <w:noProof/>
                <w:webHidden/>
              </w:rPr>
            </w:r>
            <w:r>
              <w:rPr>
                <w:noProof/>
                <w:webHidden/>
              </w:rPr>
              <w:fldChar w:fldCharType="separate"/>
            </w:r>
            <w:r>
              <w:rPr>
                <w:noProof/>
                <w:webHidden/>
              </w:rPr>
              <w:t>356</w:t>
            </w:r>
            <w:r>
              <w:rPr>
                <w:noProof/>
                <w:webHidden/>
              </w:rPr>
              <w:fldChar w:fldCharType="end"/>
            </w:r>
          </w:hyperlink>
        </w:p>
        <w:p w14:paraId="2ED79876" w14:textId="01F2FB79"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56" w:history="1">
            <w:r w:rsidRPr="001D4C20">
              <w:rPr>
                <w:rStyle w:val="Lienhypertexte"/>
                <w:noProof/>
              </w:rPr>
              <w:t>53.31.4 Sols de type industriel à base de ciment, rapportés avec couche d'usure CCTB 01.02</w:t>
            </w:r>
            <w:r>
              <w:rPr>
                <w:noProof/>
                <w:webHidden/>
              </w:rPr>
              <w:tab/>
            </w:r>
            <w:r>
              <w:rPr>
                <w:noProof/>
                <w:webHidden/>
              </w:rPr>
              <w:fldChar w:fldCharType="begin"/>
            </w:r>
            <w:r>
              <w:rPr>
                <w:noProof/>
                <w:webHidden/>
              </w:rPr>
              <w:instrText xml:space="preserve"> PAGEREF _Toc220490756 \h </w:instrText>
            </w:r>
            <w:r>
              <w:rPr>
                <w:noProof/>
                <w:webHidden/>
              </w:rPr>
            </w:r>
            <w:r>
              <w:rPr>
                <w:noProof/>
                <w:webHidden/>
              </w:rPr>
              <w:fldChar w:fldCharType="separate"/>
            </w:r>
            <w:r>
              <w:rPr>
                <w:noProof/>
                <w:webHidden/>
              </w:rPr>
              <w:t>358</w:t>
            </w:r>
            <w:r>
              <w:rPr>
                <w:noProof/>
                <w:webHidden/>
              </w:rPr>
              <w:fldChar w:fldCharType="end"/>
            </w:r>
          </w:hyperlink>
        </w:p>
        <w:p w14:paraId="2000C534" w14:textId="3980827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57" w:history="1">
            <w:r w:rsidRPr="001D4C20">
              <w:rPr>
                <w:rStyle w:val="Lienhypertexte"/>
                <w:noProof/>
              </w:rPr>
              <w:t>53.31.4a Sols de type industriel à base de ciment, rapportés avec couche d'usure CCTB 01.02</w:t>
            </w:r>
            <w:r>
              <w:rPr>
                <w:noProof/>
                <w:webHidden/>
              </w:rPr>
              <w:tab/>
            </w:r>
            <w:r>
              <w:rPr>
                <w:noProof/>
                <w:webHidden/>
              </w:rPr>
              <w:fldChar w:fldCharType="begin"/>
            </w:r>
            <w:r>
              <w:rPr>
                <w:noProof/>
                <w:webHidden/>
              </w:rPr>
              <w:instrText xml:space="preserve"> PAGEREF _Toc220490757 \h </w:instrText>
            </w:r>
            <w:r>
              <w:rPr>
                <w:noProof/>
                <w:webHidden/>
              </w:rPr>
            </w:r>
            <w:r>
              <w:rPr>
                <w:noProof/>
                <w:webHidden/>
              </w:rPr>
              <w:fldChar w:fldCharType="separate"/>
            </w:r>
            <w:r>
              <w:rPr>
                <w:noProof/>
                <w:webHidden/>
              </w:rPr>
              <w:t>358</w:t>
            </w:r>
            <w:r>
              <w:rPr>
                <w:noProof/>
                <w:webHidden/>
              </w:rPr>
              <w:fldChar w:fldCharType="end"/>
            </w:r>
          </w:hyperlink>
        </w:p>
        <w:p w14:paraId="589A29AA" w14:textId="5EA2FAC8"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758" w:history="1">
            <w:r w:rsidRPr="001D4C20">
              <w:rPr>
                <w:rStyle w:val="Lienhypertexte"/>
                <w:noProof/>
              </w:rPr>
              <w:t>53.32 Sols de type industriel à base de résines CCTB 01.12</w:t>
            </w:r>
            <w:r>
              <w:rPr>
                <w:noProof/>
                <w:webHidden/>
              </w:rPr>
              <w:tab/>
            </w:r>
            <w:r>
              <w:rPr>
                <w:noProof/>
                <w:webHidden/>
              </w:rPr>
              <w:fldChar w:fldCharType="begin"/>
            </w:r>
            <w:r>
              <w:rPr>
                <w:noProof/>
                <w:webHidden/>
              </w:rPr>
              <w:instrText xml:space="preserve"> PAGEREF _Toc220490758 \h </w:instrText>
            </w:r>
            <w:r>
              <w:rPr>
                <w:noProof/>
                <w:webHidden/>
              </w:rPr>
            </w:r>
            <w:r>
              <w:rPr>
                <w:noProof/>
                <w:webHidden/>
              </w:rPr>
              <w:fldChar w:fldCharType="separate"/>
            </w:r>
            <w:r>
              <w:rPr>
                <w:noProof/>
                <w:webHidden/>
              </w:rPr>
              <w:t>358</w:t>
            </w:r>
            <w:r>
              <w:rPr>
                <w:noProof/>
                <w:webHidden/>
              </w:rPr>
              <w:fldChar w:fldCharType="end"/>
            </w:r>
          </w:hyperlink>
        </w:p>
        <w:p w14:paraId="2D3D4D6E" w14:textId="7F72FEFD"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59" w:history="1">
            <w:r w:rsidRPr="001D4C20">
              <w:rPr>
                <w:rStyle w:val="Lienhypertexte"/>
                <w:noProof/>
              </w:rPr>
              <w:t>53.32.1 Sols de type industriel à base de résines, systèmes à couche mince (époxydiques ou polyuréthanes) (120 à 180 µ sec) &gt; REPORT 81.15.1 CCTB 01.02</w:t>
            </w:r>
            <w:r>
              <w:rPr>
                <w:noProof/>
                <w:webHidden/>
              </w:rPr>
              <w:tab/>
            </w:r>
            <w:r>
              <w:rPr>
                <w:noProof/>
                <w:webHidden/>
              </w:rPr>
              <w:fldChar w:fldCharType="begin"/>
            </w:r>
            <w:r>
              <w:rPr>
                <w:noProof/>
                <w:webHidden/>
              </w:rPr>
              <w:instrText xml:space="preserve"> PAGEREF _Toc220490759 \h </w:instrText>
            </w:r>
            <w:r>
              <w:rPr>
                <w:noProof/>
                <w:webHidden/>
              </w:rPr>
            </w:r>
            <w:r>
              <w:rPr>
                <w:noProof/>
                <w:webHidden/>
              </w:rPr>
              <w:fldChar w:fldCharType="separate"/>
            </w:r>
            <w:r>
              <w:rPr>
                <w:noProof/>
                <w:webHidden/>
              </w:rPr>
              <w:t>361</w:t>
            </w:r>
            <w:r>
              <w:rPr>
                <w:noProof/>
                <w:webHidden/>
              </w:rPr>
              <w:fldChar w:fldCharType="end"/>
            </w:r>
          </w:hyperlink>
        </w:p>
        <w:p w14:paraId="23D0334E" w14:textId="04B1139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60" w:history="1">
            <w:r w:rsidRPr="001D4C20">
              <w:rPr>
                <w:rStyle w:val="Lienhypertexte"/>
                <w:noProof/>
              </w:rPr>
              <w:t>53.32.1a Sols de type industriel à base de résines, systèmes à couche mince (époxydiques ou polyuréthanes) (120 à 180 µ sec)  CCTB 01.07</w:t>
            </w:r>
            <w:r>
              <w:rPr>
                <w:noProof/>
                <w:webHidden/>
              </w:rPr>
              <w:tab/>
            </w:r>
            <w:r>
              <w:rPr>
                <w:noProof/>
                <w:webHidden/>
              </w:rPr>
              <w:fldChar w:fldCharType="begin"/>
            </w:r>
            <w:r>
              <w:rPr>
                <w:noProof/>
                <w:webHidden/>
              </w:rPr>
              <w:instrText xml:space="preserve"> PAGEREF _Toc220490760 \h </w:instrText>
            </w:r>
            <w:r>
              <w:rPr>
                <w:noProof/>
                <w:webHidden/>
              </w:rPr>
            </w:r>
            <w:r>
              <w:rPr>
                <w:noProof/>
                <w:webHidden/>
              </w:rPr>
              <w:fldChar w:fldCharType="separate"/>
            </w:r>
            <w:r>
              <w:rPr>
                <w:noProof/>
                <w:webHidden/>
              </w:rPr>
              <w:t>361</w:t>
            </w:r>
            <w:r>
              <w:rPr>
                <w:noProof/>
                <w:webHidden/>
              </w:rPr>
              <w:fldChar w:fldCharType="end"/>
            </w:r>
          </w:hyperlink>
        </w:p>
        <w:p w14:paraId="054CEF9C" w14:textId="21D66879"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61" w:history="1">
            <w:r w:rsidRPr="001D4C20">
              <w:rPr>
                <w:rStyle w:val="Lienhypertexte"/>
                <w:noProof/>
              </w:rPr>
              <w:t>53.32.2 Sols de type industriel à base de résines, systèmes à couche épaisse (époxydiques ou polyuréthanes) (&gt; à 180 µ sec) &gt; REPORT 81.15.2 CCTB 01.02</w:t>
            </w:r>
            <w:r>
              <w:rPr>
                <w:noProof/>
                <w:webHidden/>
              </w:rPr>
              <w:tab/>
            </w:r>
            <w:r>
              <w:rPr>
                <w:noProof/>
                <w:webHidden/>
              </w:rPr>
              <w:fldChar w:fldCharType="begin"/>
            </w:r>
            <w:r>
              <w:rPr>
                <w:noProof/>
                <w:webHidden/>
              </w:rPr>
              <w:instrText xml:space="preserve"> PAGEREF _Toc220490761 \h </w:instrText>
            </w:r>
            <w:r>
              <w:rPr>
                <w:noProof/>
                <w:webHidden/>
              </w:rPr>
            </w:r>
            <w:r>
              <w:rPr>
                <w:noProof/>
                <w:webHidden/>
              </w:rPr>
              <w:fldChar w:fldCharType="separate"/>
            </w:r>
            <w:r>
              <w:rPr>
                <w:noProof/>
                <w:webHidden/>
              </w:rPr>
              <w:t>361</w:t>
            </w:r>
            <w:r>
              <w:rPr>
                <w:noProof/>
                <w:webHidden/>
              </w:rPr>
              <w:fldChar w:fldCharType="end"/>
            </w:r>
          </w:hyperlink>
        </w:p>
        <w:p w14:paraId="7390F6F4" w14:textId="016F8A9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62" w:history="1">
            <w:r w:rsidRPr="001D4C20">
              <w:rPr>
                <w:rStyle w:val="Lienhypertexte"/>
                <w:noProof/>
              </w:rPr>
              <w:t>53.32.2a Sols de type industriel à base de résines, systèmes à couche épaisse (époxydiques ou polyuréthanes) (&gt; à 180 µ sec)  CCTB 01.07</w:t>
            </w:r>
            <w:r>
              <w:rPr>
                <w:noProof/>
                <w:webHidden/>
              </w:rPr>
              <w:tab/>
            </w:r>
            <w:r>
              <w:rPr>
                <w:noProof/>
                <w:webHidden/>
              </w:rPr>
              <w:fldChar w:fldCharType="begin"/>
            </w:r>
            <w:r>
              <w:rPr>
                <w:noProof/>
                <w:webHidden/>
              </w:rPr>
              <w:instrText xml:space="preserve"> PAGEREF _Toc220490762 \h </w:instrText>
            </w:r>
            <w:r>
              <w:rPr>
                <w:noProof/>
                <w:webHidden/>
              </w:rPr>
            </w:r>
            <w:r>
              <w:rPr>
                <w:noProof/>
                <w:webHidden/>
              </w:rPr>
              <w:fldChar w:fldCharType="separate"/>
            </w:r>
            <w:r>
              <w:rPr>
                <w:noProof/>
                <w:webHidden/>
              </w:rPr>
              <w:t>361</w:t>
            </w:r>
            <w:r>
              <w:rPr>
                <w:noProof/>
                <w:webHidden/>
              </w:rPr>
              <w:fldChar w:fldCharType="end"/>
            </w:r>
          </w:hyperlink>
        </w:p>
        <w:p w14:paraId="1B5EF331" w14:textId="7D2835D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63" w:history="1">
            <w:r w:rsidRPr="001D4C20">
              <w:rPr>
                <w:rStyle w:val="Lienhypertexte"/>
                <w:noProof/>
              </w:rPr>
              <w:t>53.32.3 Sols de type industriel à base de résines, revêtements auto lissants CCTB 01.02</w:t>
            </w:r>
            <w:r>
              <w:rPr>
                <w:noProof/>
                <w:webHidden/>
              </w:rPr>
              <w:tab/>
            </w:r>
            <w:r>
              <w:rPr>
                <w:noProof/>
                <w:webHidden/>
              </w:rPr>
              <w:fldChar w:fldCharType="begin"/>
            </w:r>
            <w:r>
              <w:rPr>
                <w:noProof/>
                <w:webHidden/>
              </w:rPr>
              <w:instrText xml:space="preserve"> PAGEREF _Toc220490763 \h </w:instrText>
            </w:r>
            <w:r>
              <w:rPr>
                <w:noProof/>
                <w:webHidden/>
              </w:rPr>
            </w:r>
            <w:r>
              <w:rPr>
                <w:noProof/>
                <w:webHidden/>
              </w:rPr>
              <w:fldChar w:fldCharType="separate"/>
            </w:r>
            <w:r>
              <w:rPr>
                <w:noProof/>
                <w:webHidden/>
              </w:rPr>
              <w:t>362</w:t>
            </w:r>
            <w:r>
              <w:rPr>
                <w:noProof/>
                <w:webHidden/>
              </w:rPr>
              <w:fldChar w:fldCharType="end"/>
            </w:r>
          </w:hyperlink>
        </w:p>
        <w:p w14:paraId="24A45EB7" w14:textId="360A628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64" w:history="1">
            <w:r w:rsidRPr="001D4C20">
              <w:rPr>
                <w:rStyle w:val="Lienhypertexte"/>
                <w:noProof/>
              </w:rPr>
              <w:t>53.32.3a Sols de type industriel à base de résines, revêtements auto lissants CCTB 01.10</w:t>
            </w:r>
            <w:r>
              <w:rPr>
                <w:noProof/>
                <w:webHidden/>
              </w:rPr>
              <w:tab/>
            </w:r>
            <w:r>
              <w:rPr>
                <w:noProof/>
                <w:webHidden/>
              </w:rPr>
              <w:fldChar w:fldCharType="begin"/>
            </w:r>
            <w:r>
              <w:rPr>
                <w:noProof/>
                <w:webHidden/>
              </w:rPr>
              <w:instrText xml:space="preserve"> PAGEREF _Toc220490764 \h </w:instrText>
            </w:r>
            <w:r>
              <w:rPr>
                <w:noProof/>
                <w:webHidden/>
              </w:rPr>
            </w:r>
            <w:r>
              <w:rPr>
                <w:noProof/>
                <w:webHidden/>
              </w:rPr>
              <w:fldChar w:fldCharType="separate"/>
            </w:r>
            <w:r>
              <w:rPr>
                <w:noProof/>
                <w:webHidden/>
              </w:rPr>
              <w:t>362</w:t>
            </w:r>
            <w:r>
              <w:rPr>
                <w:noProof/>
                <w:webHidden/>
              </w:rPr>
              <w:fldChar w:fldCharType="end"/>
            </w:r>
          </w:hyperlink>
        </w:p>
        <w:p w14:paraId="50D269FF" w14:textId="26F97E7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65" w:history="1">
            <w:r w:rsidRPr="001D4C20">
              <w:rPr>
                <w:rStyle w:val="Lienhypertexte"/>
                <w:noProof/>
              </w:rPr>
              <w:t>53.32.4 Sols de type industriel à base de résines, mortiers de résines CCTB 01.02</w:t>
            </w:r>
            <w:r>
              <w:rPr>
                <w:noProof/>
                <w:webHidden/>
              </w:rPr>
              <w:tab/>
            </w:r>
            <w:r>
              <w:rPr>
                <w:noProof/>
                <w:webHidden/>
              </w:rPr>
              <w:fldChar w:fldCharType="begin"/>
            </w:r>
            <w:r>
              <w:rPr>
                <w:noProof/>
                <w:webHidden/>
              </w:rPr>
              <w:instrText xml:space="preserve"> PAGEREF _Toc220490765 \h </w:instrText>
            </w:r>
            <w:r>
              <w:rPr>
                <w:noProof/>
                <w:webHidden/>
              </w:rPr>
            </w:r>
            <w:r>
              <w:rPr>
                <w:noProof/>
                <w:webHidden/>
              </w:rPr>
              <w:fldChar w:fldCharType="separate"/>
            </w:r>
            <w:r>
              <w:rPr>
                <w:noProof/>
                <w:webHidden/>
              </w:rPr>
              <w:t>363</w:t>
            </w:r>
            <w:r>
              <w:rPr>
                <w:noProof/>
                <w:webHidden/>
              </w:rPr>
              <w:fldChar w:fldCharType="end"/>
            </w:r>
          </w:hyperlink>
        </w:p>
        <w:p w14:paraId="33393B79" w14:textId="6AAFFE7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66" w:history="1">
            <w:r w:rsidRPr="001D4C20">
              <w:rPr>
                <w:rStyle w:val="Lienhypertexte"/>
                <w:noProof/>
              </w:rPr>
              <w:t>53.32.4a Sols de type industriel à base de résines, mortiers de résines CCTB 01.11</w:t>
            </w:r>
            <w:r>
              <w:rPr>
                <w:noProof/>
                <w:webHidden/>
              </w:rPr>
              <w:tab/>
            </w:r>
            <w:r>
              <w:rPr>
                <w:noProof/>
                <w:webHidden/>
              </w:rPr>
              <w:fldChar w:fldCharType="begin"/>
            </w:r>
            <w:r>
              <w:rPr>
                <w:noProof/>
                <w:webHidden/>
              </w:rPr>
              <w:instrText xml:space="preserve"> PAGEREF _Toc220490766 \h </w:instrText>
            </w:r>
            <w:r>
              <w:rPr>
                <w:noProof/>
                <w:webHidden/>
              </w:rPr>
            </w:r>
            <w:r>
              <w:rPr>
                <w:noProof/>
                <w:webHidden/>
              </w:rPr>
              <w:fldChar w:fldCharType="separate"/>
            </w:r>
            <w:r>
              <w:rPr>
                <w:noProof/>
                <w:webHidden/>
              </w:rPr>
              <w:t>363</w:t>
            </w:r>
            <w:r>
              <w:rPr>
                <w:noProof/>
                <w:webHidden/>
              </w:rPr>
              <w:fldChar w:fldCharType="end"/>
            </w:r>
          </w:hyperlink>
        </w:p>
        <w:p w14:paraId="35AB50A6" w14:textId="4A22930E"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67" w:history="1">
            <w:r w:rsidRPr="001D4C20">
              <w:rPr>
                <w:rStyle w:val="Lienhypertexte"/>
                <w:noProof/>
              </w:rPr>
              <w:t>53.32.5 Sols de type industriel à base de résines, tapis de pierre CCTB 01.02</w:t>
            </w:r>
            <w:r>
              <w:rPr>
                <w:noProof/>
                <w:webHidden/>
              </w:rPr>
              <w:tab/>
            </w:r>
            <w:r>
              <w:rPr>
                <w:noProof/>
                <w:webHidden/>
              </w:rPr>
              <w:fldChar w:fldCharType="begin"/>
            </w:r>
            <w:r>
              <w:rPr>
                <w:noProof/>
                <w:webHidden/>
              </w:rPr>
              <w:instrText xml:space="preserve"> PAGEREF _Toc220490767 \h </w:instrText>
            </w:r>
            <w:r>
              <w:rPr>
                <w:noProof/>
                <w:webHidden/>
              </w:rPr>
            </w:r>
            <w:r>
              <w:rPr>
                <w:noProof/>
                <w:webHidden/>
              </w:rPr>
              <w:fldChar w:fldCharType="separate"/>
            </w:r>
            <w:r>
              <w:rPr>
                <w:noProof/>
                <w:webHidden/>
              </w:rPr>
              <w:t>364</w:t>
            </w:r>
            <w:r>
              <w:rPr>
                <w:noProof/>
                <w:webHidden/>
              </w:rPr>
              <w:fldChar w:fldCharType="end"/>
            </w:r>
          </w:hyperlink>
        </w:p>
        <w:p w14:paraId="0841B2EB" w14:textId="12AF0E5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68" w:history="1">
            <w:r w:rsidRPr="001D4C20">
              <w:rPr>
                <w:rStyle w:val="Lienhypertexte"/>
                <w:noProof/>
              </w:rPr>
              <w:t>53.32.5a Sols de type industriel à base de résines, tapis de pierre à résine époxydique en surface ouverte CCTB 01.02</w:t>
            </w:r>
            <w:r>
              <w:rPr>
                <w:noProof/>
                <w:webHidden/>
              </w:rPr>
              <w:tab/>
            </w:r>
            <w:r>
              <w:rPr>
                <w:noProof/>
                <w:webHidden/>
              </w:rPr>
              <w:fldChar w:fldCharType="begin"/>
            </w:r>
            <w:r>
              <w:rPr>
                <w:noProof/>
                <w:webHidden/>
              </w:rPr>
              <w:instrText xml:space="preserve"> PAGEREF _Toc220490768 \h </w:instrText>
            </w:r>
            <w:r>
              <w:rPr>
                <w:noProof/>
                <w:webHidden/>
              </w:rPr>
            </w:r>
            <w:r>
              <w:rPr>
                <w:noProof/>
                <w:webHidden/>
              </w:rPr>
              <w:fldChar w:fldCharType="separate"/>
            </w:r>
            <w:r>
              <w:rPr>
                <w:noProof/>
                <w:webHidden/>
              </w:rPr>
              <w:t>364</w:t>
            </w:r>
            <w:r>
              <w:rPr>
                <w:noProof/>
                <w:webHidden/>
              </w:rPr>
              <w:fldChar w:fldCharType="end"/>
            </w:r>
          </w:hyperlink>
        </w:p>
        <w:p w14:paraId="5B79A734" w14:textId="058C11D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69" w:history="1">
            <w:r w:rsidRPr="001D4C20">
              <w:rPr>
                <w:rStyle w:val="Lienhypertexte"/>
                <w:noProof/>
              </w:rPr>
              <w:t>53.32.5b Sols de type industriel à base de résines, tapis de pierre à résine époxydique en surface fermée CCTB 01.11</w:t>
            </w:r>
            <w:r>
              <w:rPr>
                <w:noProof/>
                <w:webHidden/>
              </w:rPr>
              <w:tab/>
            </w:r>
            <w:r>
              <w:rPr>
                <w:noProof/>
                <w:webHidden/>
              </w:rPr>
              <w:fldChar w:fldCharType="begin"/>
            </w:r>
            <w:r>
              <w:rPr>
                <w:noProof/>
                <w:webHidden/>
              </w:rPr>
              <w:instrText xml:space="preserve"> PAGEREF _Toc220490769 \h </w:instrText>
            </w:r>
            <w:r>
              <w:rPr>
                <w:noProof/>
                <w:webHidden/>
              </w:rPr>
            </w:r>
            <w:r>
              <w:rPr>
                <w:noProof/>
                <w:webHidden/>
              </w:rPr>
              <w:fldChar w:fldCharType="separate"/>
            </w:r>
            <w:r>
              <w:rPr>
                <w:noProof/>
                <w:webHidden/>
              </w:rPr>
              <w:t>364</w:t>
            </w:r>
            <w:r>
              <w:rPr>
                <w:noProof/>
                <w:webHidden/>
              </w:rPr>
              <w:fldChar w:fldCharType="end"/>
            </w:r>
          </w:hyperlink>
        </w:p>
        <w:p w14:paraId="65105AD1" w14:textId="1A60C0D6"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70" w:history="1">
            <w:r w:rsidRPr="001D4C20">
              <w:rPr>
                <w:rStyle w:val="Lienhypertexte"/>
                <w:noProof/>
              </w:rPr>
              <w:t>53.32.6 Sols de type industriel à base de résines - Système multicouche : système à couche mince avec projection de quartz CCTB 01.02</w:t>
            </w:r>
            <w:r>
              <w:rPr>
                <w:noProof/>
                <w:webHidden/>
              </w:rPr>
              <w:tab/>
            </w:r>
            <w:r>
              <w:rPr>
                <w:noProof/>
                <w:webHidden/>
              </w:rPr>
              <w:fldChar w:fldCharType="begin"/>
            </w:r>
            <w:r>
              <w:rPr>
                <w:noProof/>
                <w:webHidden/>
              </w:rPr>
              <w:instrText xml:space="preserve"> PAGEREF _Toc220490770 \h </w:instrText>
            </w:r>
            <w:r>
              <w:rPr>
                <w:noProof/>
                <w:webHidden/>
              </w:rPr>
            </w:r>
            <w:r>
              <w:rPr>
                <w:noProof/>
                <w:webHidden/>
              </w:rPr>
              <w:fldChar w:fldCharType="separate"/>
            </w:r>
            <w:r>
              <w:rPr>
                <w:noProof/>
                <w:webHidden/>
              </w:rPr>
              <w:t>365</w:t>
            </w:r>
            <w:r>
              <w:rPr>
                <w:noProof/>
                <w:webHidden/>
              </w:rPr>
              <w:fldChar w:fldCharType="end"/>
            </w:r>
          </w:hyperlink>
        </w:p>
        <w:p w14:paraId="3F78F777" w14:textId="02E04BE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71" w:history="1">
            <w:r w:rsidRPr="001D4C20">
              <w:rPr>
                <w:rStyle w:val="Lienhypertexte"/>
                <w:noProof/>
              </w:rPr>
              <w:t>53.32.6a Sols de type industriel à base de résines - Système multicouche : système à couche mince avec projection de quartz CCTB 01.10</w:t>
            </w:r>
            <w:r>
              <w:rPr>
                <w:noProof/>
                <w:webHidden/>
              </w:rPr>
              <w:tab/>
            </w:r>
            <w:r>
              <w:rPr>
                <w:noProof/>
                <w:webHidden/>
              </w:rPr>
              <w:fldChar w:fldCharType="begin"/>
            </w:r>
            <w:r>
              <w:rPr>
                <w:noProof/>
                <w:webHidden/>
              </w:rPr>
              <w:instrText xml:space="preserve"> PAGEREF _Toc220490771 \h </w:instrText>
            </w:r>
            <w:r>
              <w:rPr>
                <w:noProof/>
                <w:webHidden/>
              </w:rPr>
            </w:r>
            <w:r>
              <w:rPr>
                <w:noProof/>
                <w:webHidden/>
              </w:rPr>
              <w:fldChar w:fldCharType="separate"/>
            </w:r>
            <w:r>
              <w:rPr>
                <w:noProof/>
                <w:webHidden/>
              </w:rPr>
              <w:t>365</w:t>
            </w:r>
            <w:r>
              <w:rPr>
                <w:noProof/>
                <w:webHidden/>
              </w:rPr>
              <w:fldChar w:fldCharType="end"/>
            </w:r>
          </w:hyperlink>
        </w:p>
        <w:p w14:paraId="1EBA6D85" w14:textId="7E31ADFD"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72" w:history="1">
            <w:r w:rsidRPr="001D4C20">
              <w:rPr>
                <w:rStyle w:val="Lienhypertexte"/>
                <w:noProof/>
              </w:rPr>
              <w:t>53.32.7 Sols de type industriel à base de résines - Système multicouche : revêtement auto lissant avec projection de quartz CCTB 01.02</w:t>
            </w:r>
            <w:r>
              <w:rPr>
                <w:noProof/>
                <w:webHidden/>
              </w:rPr>
              <w:tab/>
            </w:r>
            <w:r>
              <w:rPr>
                <w:noProof/>
                <w:webHidden/>
              </w:rPr>
              <w:fldChar w:fldCharType="begin"/>
            </w:r>
            <w:r>
              <w:rPr>
                <w:noProof/>
                <w:webHidden/>
              </w:rPr>
              <w:instrText xml:space="preserve"> PAGEREF _Toc220490772 \h </w:instrText>
            </w:r>
            <w:r>
              <w:rPr>
                <w:noProof/>
                <w:webHidden/>
              </w:rPr>
            </w:r>
            <w:r>
              <w:rPr>
                <w:noProof/>
                <w:webHidden/>
              </w:rPr>
              <w:fldChar w:fldCharType="separate"/>
            </w:r>
            <w:r>
              <w:rPr>
                <w:noProof/>
                <w:webHidden/>
              </w:rPr>
              <w:t>367</w:t>
            </w:r>
            <w:r>
              <w:rPr>
                <w:noProof/>
                <w:webHidden/>
              </w:rPr>
              <w:fldChar w:fldCharType="end"/>
            </w:r>
          </w:hyperlink>
        </w:p>
        <w:p w14:paraId="71084042" w14:textId="5E6DD3A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73" w:history="1">
            <w:r w:rsidRPr="001D4C20">
              <w:rPr>
                <w:rStyle w:val="Lienhypertexte"/>
                <w:noProof/>
              </w:rPr>
              <w:t>53.32.7a Sols de type industriel à base de résines - Système multicouche : revêtement auto lissant avec projection de quartz CCTB 01.12</w:t>
            </w:r>
            <w:r>
              <w:rPr>
                <w:noProof/>
                <w:webHidden/>
              </w:rPr>
              <w:tab/>
            </w:r>
            <w:r>
              <w:rPr>
                <w:noProof/>
                <w:webHidden/>
              </w:rPr>
              <w:fldChar w:fldCharType="begin"/>
            </w:r>
            <w:r>
              <w:rPr>
                <w:noProof/>
                <w:webHidden/>
              </w:rPr>
              <w:instrText xml:space="preserve"> PAGEREF _Toc220490773 \h </w:instrText>
            </w:r>
            <w:r>
              <w:rPr>
                <w:noProof/>
                <w:webHidden/>
              </w:rPr>
            </w:r>
            <w:r>
              <w:rPr>
                <w:noProof/>
                <w:webHidden/>
              </w:rPr>
              <w:fldChar w:fldCharType="separate"/>
            </w:r>
            <w:r>
              <w:rPr>
                <w:noProof/>
                <w:webHidden/>
              </w:rPr>
              <w:t>367</w:t>
            </w:r>
            <w:r>
              <w:rPr>
                <w:noProof/>
                <w:webHidden/>
              </w:rPr>
              <w:fldChar w:fldCharType="end"/>
            </w:r>
          </w:hyperlink>
        </w:p>
        <w:p w14:paraId="649625FA" w14:textId="3414A044"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74" w:history="1">
            <w:r w:rsidRPr="001D4C20">
              <w:rPr>
                <w:rStyle w:val="Lienhypertexte"/>
                <w:noProof/>
              </w:rPr>
              <w:t>53.32.8 Sols de type industriel à base de résines - Couches armées de fibres/tissus synthétiques CCTB 01.02</w:t>
            </w:r>
            <w:r>
              <w:rPr>
                <w:noProof/>
                <w:webHidden/>
              </w:rPr>
              <w:tab/>
            </w:r>
            <w:r>
              <w:rPr>
                <w:noProof/>
                <w:webHidden/>
              </w:rPr>
              <w:fldChar w:fldCharType="begin"/>
            </w:r>
            <w:r>
              <w:rPr>
                <w:noProof/>
                <w:webHidden/>
              </w:rPr>
              <w:instrText xml:space="preserve"> PAGEREF _Toc220490774 \h </w:instrText>
            </w:r>
            <w:r>
              <w:rPr>
                <w:noProof/>
                <w:webHidden/>
              </w:rPr>
            </w:r>
            <w:r>
              <w:rPr>
                <w:noProof/>
                <w:webHidden/>
              </w:rPr>
              <w:fldChar w:fldCharType="separate"/>
            </w:r>
            <w:r>
              <w:rPr>
                <w:noProof/>
                <w:webHidden/>
              </w:rPr>
              <w:t>368</w:t>
            </w:r>
            <w:r>
              <w:rPr>
                <w:noProof/>
                <w:webHidden/>
              </w:rPr>
              <w:fldChar w:fldCharType="end"/>
            </w:r>
          </w:hyperlink>
        </w:p>
        <w:p w14:paraId="6F3BC75A" w14:textId="5A739D8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75" w:history="1">
            <w:r w:rsidRPr="001D4C20">
              <w:rPr>
                <w:rStyle w:val="Lienhypertexte"/>
                <w:noProof/>
              </w:rPr>
              <w:t>53.32.8a Sols de type industriel à base de résines - Couches armées de fibres/tissus synthétiques CCTB 01.02</w:t>
            </w:r>
            <w:r>
              <w:rPr>
                <w:noProof/>
                <w:webHidden/>
              </w:rPr>
              <w:tab/>
            </w:r>
            <w:r>
              <w:rPr>
                <w:noProof/>
                <w:webHidden/>
              </w:rPr>
              <w:fldChar w:fldCharType="begin"/>
            </w:r>
            <w:r>
              <w:rPr>
                <w:noProof/>
                <w:webHidden/>
              </w:rPr>
              <w:instrText xml:space="preserve"> PAGEREF _Toc220490775 \h </w:instrText>
            </w:r>
            <w:r>
              <w:rPr>
                <w:noProof/>
                <w:webHidden/>
              </w:rPr>
            </w:r>
            <w:r>
              <w:rPr>
                <w:noProof/>
                <w:webHidden/>
              </w:rPr>
              <w:fldChar w:fldCharType="separate"/>
            </w:r>
            <w:r>
              <w:rPr>
                <w:noProof/>
                <w:webHidden/>
              </w:rPr>
              <w:t>368</w:t>
            </w:r>
            <w:r>
              <w:rPr>
                <w:noProof/>
                <w:webHidden/>
              </w:rPr>
              <w:fldChar w:fldCharType="end"/>
            </w:r>
          </w:hyperlink>
        </w:p>
        <w:p w14:paraId="635BB83C" w14:textId="4374F6DC"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776" w:history="1">
            <w:r w:rsidRPr="001D4C20">
              <w:rPr>
                <w:rStyle w:val="Lienhypertexte"/>
                <w:noProof/>
              </w:rPr>
              <w:t>53.4 Planchers surélevés CCTB 01.11</w:t>
            </w:r>
            <w:r>
              <w:rPr>
                <w:noProof/>
                <w:webHidden/>
              </w:rPr>
              <w:tab/>
            </w:r>
            <w:r>
              <w:rPr>
                <w:noProof/>
                <w:webHidden/>
              </w:rPr>
              <w:fldChar w:fldCharType="begin"/>
            </w:r>
            <w:r>
              <w:rPr>
                <w:noProof/>
                <w:webHidden/>
              </w:rPr>
              <w:instrText xml:space="preserve"> PAGEREF _Toc220490776 \h </w:instrText>
            </w:r>
            <w:r>
              <w:rPr>
                <w:noProof/>
                <w:webHidden/>
              </w:rPr>
            </w:r>
            <w:r>
              <w:rPr>
                <w:noProof/>
                <w:webHidden/>
              </w:rPr>
              <w:fldChar w:fldCharType="separate"/>
            </w:r>
            <w:r>
              <w:rPr>
                <w:noProof/>
                <w:webHidden/>
              </w:rPr>
              <w:t>368</w:t>
            </w:r>
            <w:r>
              <w:rPr>
                <w:noProof/>
                <w:webHidden/>
              </w:rPr>
              <w:fldChar w:fldCharType="end"/>
            </w:r>
          </w:hyperlink>
        </w:p>
        <w:p w14:paraId="50B7CF68" w14:textId="21034C21"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777" w:history="1">
            <w:r w:rsidRPr="001D4C20">
              <w:rPr>
                <w:rStyle w:val="Lienhypertexte"/>
                <w:noProof/>
              </w:rPr>
              <w:t>53.41 Planchers surélevés amovibles CCTB 01.11</w:t>
            </w:r>
            <w:r>
              <w:rPr>
                <w:noProof/>
                <w:webHidden/>
              </w:rPr>
              <w:tab/>
            </w:r>
            <w:r>
              <w:rPr>
                <w:noProof/>
                <w:webHidden/>
              </w:rPr>
              <w:fldChar w:fldCharType="begin"/>
            </w:r>
            <w:r>
              <w:rPr>
                <w:noProof/>
                <w:webHidden/>
              </w:rPr>
              <w:instrText xml:space="preserve"> PAGEREF _Toc220490777 \h </w:instrText>
            </w:r>
            <w:r>
              <w:rPr>
                <w:noProof/>
                <w:webHidden/>
              </w:rPr>
            </w:r>
            <w:r>
              <w:rPr>
                <w:noProof/>
                <w:webHidden/>
              </w:rPr>
              <w:fldChar w:fldCharType="separate"/>
            </w:r>
            <w:r>
              <w:rPr>
                <w:noProof/>
                <w:webHidden/>
              </w:rPr>
              <w:t>371</w:t>
            </w:r>
            <w:r>
              <w:rPr>
                <w:noProof/>
                <w:webHidden/>
              </w:rPr>
              <w:fldChar w:fldCharType="end"/>
            </w:r>
          </w:hyperlink>
        </w:p>
        <w:p w14:paraId="369C9B0E" w14:textId="1E75FB5F"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78" w:history="1">
            <w:r w:rsidRPr="001D4C20">
              <w:rPr>
                <w:rStyle w:val="Lienhypertexte"/>
                <w:noProof/>
              </w:rPr>
              <w:t>53.41.1 Planchers surélevés amovibles - Dalles sur vérins CCTB 01.02</w:t>
            </w:r>
            <w:r>
              <w:rPr>
                <w:noProof/>
                <w:webHidden/>
              </w:rPr>
              <w:tab/>
            </w:r>
            <w:r>
              <w:rPr>
                <w:noProof/>
                <w:webHidden/>
              </w:rPr>
              <w:fldChar w:fldCharType="begin"/>
            </w:r>
            <w:r>
              <w:rPr>
                <w:noProof/>
                <w:webHidden/>
              </w:rPr>
              <w:instrText xml:space="preserve"> PAGEREF _Toc220490778 \h </w:instrText>
            </w:r>
            <w:r>
              <w:rPr>
                <w:noProof/>
                <w:webHidden/>
              </w:rPr>
            </w:r>
            <w:r>
              <w:rPr>
                <w:noProof/>
                <w:webHidden/>
              </w:rPr>
              <w:fldChar w:fldCharType="separate"/>
            </w:r>
            <w:r>
              <w:rPr>
                <w:noProof/>
                <w:webHidden/>
              </w:rPr>
              <w:t>371</w:t>
            </w:r>
            <w:r>
              <w:rPr>
                <w:noProof/>
                <w:webHidden/>
              </w:rPr>
              <w:fldChar w:fldCharType="end"/>
            </w:r>
          </w:hyperlink>
        </w:p>
        <w:p w14:paraId="30F52C7F" w14:textId="3CD1284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79" w:history="1">
            <w:r w:rsidRPr="001D4C20">
              <w:rPr>
                <w:rStyle w:val="Lienhypertexte"/>
                <w:noProof/>
              </w:rPr>
              <w:t>53.41.1a Planchers surélevés amovibles - Dalles sur vérins CCTB 01.11</w:t>
            </w:r>
            <w:r>
              <w:rPr>
                <w:noProof/>
                <w:webHidden/>
              </w:rPr>
              <w:tab/>
            </w:r>
            <w:r>
              <w:rPr>
                <w:noProof/>
                <w:webHidden/>
              </w:rPr>
              <w:fldChar w:fldCharType="begin"/>
            </w:r>
            <w:r>
              <w:rPr>
                <w:noProof/>
                <w:webHidden/>
              </w:rPr>
              <w:instrText xml:space="preserve"> PAGEREF _Toc220490779 \h </w:instrText>
            </w:r>
            <w:r>
              <w:rPr>
                <w:noProof/>
                <w:webHidden/>
              </w:rPr>
            </w:r>
            <w:r>
              <w:rPr>
                <w:noProof/>
                <w:webHidden/>
              </w:rPr>
              <w:fldChar w:fldCharType="separate"/>
            </w:r>
            <w:r>
              <w:rPr>
                <w:noProof/>
                <w:webHidden/>
              </w:rPr>
              <w:t>371</w:t>
            </w:r>
            <w:r>
              <w:rPr>
                <w:noProof/>
                <w:webHidden/>
              </w:rPr>
              <w:fldChar w:fldCharType="end"/>
            </w:r>
          </w:hyperlink>
        </w:p>
        <w:p w14:paraId="48B8D7C2" w14:textId="1D873400"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780" w:history="1">
            <w:r w:rsidRPr="001D4C20">
              <w:rPr>
                <w:rStyle w:val="Lienhypertexte"/>
                <w:noProof/>
              </w:rPr>
              <w:t>53.42 Planchers surélevés creux CCTB 01.11</w:t>
            </w:r>
            <w:r>
              <w:rPr>
                <w:noProof/>
                <w:webHidden/>
              </w:rPr>
              <w:tab/>
            </w:r>
            <w:r>
              <w:rPr>
                <w:noProof/>
                <w:webHidden/>
              </w:rPr>
              <w:fldChar w:fldCharType="begin"/>
            </w:r>
            <w:r>
              <w:rPr>
                <w:noProof/>
                <w:webHidden/>
              </w:rPr>
              <w:instrText xml:space="preserve"> PAGEREF _Toc220490780 \h </w:instrText>
            </w:r>
            <w:r>
              <w:rPr>
                <w:noProof/>
                <w:webHidden/>
              </w:rPr>
            </w:r>
            <w:r>
              <w:rPr>
                <w:noProof/>
                <w:webHidden/>
              </w:rPr>
              <w:fldChar w:fldCharType="separate"/>
            </w:r>
            <w:r>
              <w:rPr>
                <w:noProof/>
                <w:webHidden/>
              </w:rPr>
              <w:t>374</w:t>
            </w:r>
            <w:r>
              <w:rPr>
                <w:noProof/>
                <w:webHidden/>
              </w:rPr>
              <w:fldChar w:fldCharType="end"/>
            </w:r>
          </w:hyperlink>
        </w:p>
        <w:p w14:paraId="7639FC39" w14:textId="202FDA1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81" w:history="1">
            <w:r w:rsidRPr="001D4C20">
              <w:rPr>
                <w:rStyle w:val="Lienhypertexte"/>
                <w:noProof/>
              </w:rPr>
              <w:t>53.42.1 Planchers surélevés creux de type sec CCTB 01.11</w:t>
            </w:r>
            <w:r>
              <w:rPr>
                <w:noProof/>
                <w:webHidden/>
              </w:rPr>
              <w:tab/>
            </w:r>
            <w:r>
              <w:rPr>
                <w:noProof/>
                <w:webHidden/>
              </w:rPr>
              <w:fldChar w:fldCharType="begin"/>
            </w:r>
            <w:r>
              <w:rPr>
                <w:noProof/>
                <w:webHidden/>
              </w:rPr>
              <w:instrText xml:space="preserve"> PAGEREF _Toc220490781 \h </w:instrText>
            </w:r>
            <w:r>
              <w:rPr>
                <w:noProof/>
                <w:webHidden/>
              </w:rPr>
            </w:r>
            <w:r>
              <w:rPr>
                <w:noProof/>
                <w:webHidden/>
              </w:rPr>
              <w:fldChar w:fldCharType="separate"/>
            </w:r>
            <w:r>
              <w:rPr>
                <w:noProof/>
                <w:webHidden/>
              </w:rPr>
              <w:t>375</w:t>
            </w:r>
            <w:r>
              <w:rPr>
                <w:noProof/>
                <w:webHidden/>
              </w:rPr>
              <w:fldChar w:fldCharType="end"/>
            </w:r>
          </w:hyperlink>
        </w:p>
        <w:p w14:paraId="298E133D" w14:textId="1E80AB2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82" w:history="1">
            <w:r w:rsidRPr="001D4C20">
              <w:rPr>
                <w:rStyle w:val="Lienhypertexte"/>
                <w:noProof/>
              </w:rPr>
              <w:t>53.42.1a Planchers surélevés creux de type sec CCTB 01.11</w:t>
            </w:r>
            <w:r>
              <w:rPr>
                <w:noProof/>
                <w:webHidden/>
              </w:rPr>
              <w:tab/>
            </w:r>
            <w:r>
              <w:rPr>
                <w:noProof/>
                <w:webHidden/>
              </w:rPr>
              <w:fldChar w:fldCharType="begin"/>
            </w:r>
            <w:r>
              <w:rPr>
                <w:noProof/>
                <w:webHidden/>
              </w:rPr>
              <w:instrText xml:space="preserve"> PAGEREF _Toc220490782 \h </w:instrText>
            </w:r>
            <w:r>
              <w:rPr>
                <w:noProof/>
                <w:webHidden/>
              </w:rPr>
            </w:r>
            <w:r>
              <w:rPr>
                <w:noProof/>
                <w:webHidden/>
              </w:rPr>
              <w:fldChar w:fldCharType="separate"/>
            </w:r>
            <w:r>
              <w:rPr>
                <w:noProof/>
                <w:webHidden/>
              </w:rPr>
              <w:t>375</w:t>
            </w:r>
            <w:r>
              <w:rPr>
                <w:noProof/>
                <w:webHidden/>
              </w:rPr>
              <w:fldChar w:fldCharType="end"/>
            </w:r>
          </w:hyperlink>
        </w:p>
        <w:p w14:paraId="4A84E0CE" w14:textId="4662257D"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83" w:history="1">
            <w:r w:rsidRPr="001D4C20">
              <w:rPr>
                <w:rStyle w:val="Lienhypertexte"/>
                <w:noProof/>
              </w:rPr>
              <w:t>53.42.2 Planchers surélevés creux de type humide CCTB 01.11</w:t>
            </w:r>
            <w:r>
              <w:rPr>
                <w:noProof/>
                <w:webHidden/>
              </w:rPr>
              <w:tab/>
            </w:r>
            <w:r>
              <w:rPr>
                <w:noProof/>
                <w:webHidden/>
              </w:rPr>
              <w:fldChar w:fldCharType="begin"/>
            </w:r>
            <w:r>
              <w:rPr>
                <w:noProof/>
                <w:webHidden/>
              </w:rPr>
              <w:instrText xml:space="preserve"> PAGEREF _Toc220490783 \h </w:instrText>
            </w:r>
            <w:r>
              <w:rPr>
                <w:noProof/>
                <w:webHidden/>
              </w:rPr>
            </w:r>
            <w:r>
              <w:rPr>
                <w:noProof/>
                <w:webHidden/>
              </w:rPr>
              <w:fldChar w:fldCharType="separate"/>
            </w:r>
            <w:r>
              <w:rPr>
                <w:noProof/>
                <w:webHidden/>
              </w:rPr>
              <w:t>379</w:t>
            </w:r>
            <w:r>
              <w:rPr>
                <w:noProof/>
                <w:webHidden/>
              </w:rPr>
              <w:fldChar w:fldCharType="end"/>
            </w:r>
          </w:hyperlink>
        </w:p>
        <w:p w14:paraId="66B109E9" w14:textId="7B01C06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84" w:history="1">
            <w:r w:rsidRPr="001D4C20">
              <w:rPr>
                <w:rStyle w:val="Lienhypertexte"/>
                <w:noProof/>
              </w:rPr>
              <w:t>53.42.2a Planchers surélevés creux de type humide CCTB 01.11</w:t>
            </w:r>
            <w:r>
              <w:rPr>
                <w:noProof/>
                <w:webHidden/>
              </w:rPr>
              <w:tab/>
            </w:r>
            <w:r>
              <w:rPr>
                <w:noProof/>
                <w:webHidden/>
              </w:rPr>
              <w:fldChar w:fldCharType="begin"/>
            </w:r>
            <w:r>
              <w:rPr>
                <w:noProof/>
                <w:webHidden/>
              </w:rPr>
              <w:instrText xml:space="preserve"> PAGEREF _Toc220490784 \h </w:instrText>
            </w:r>
            <w:r>
              <w:rPr>
                <w:noProof/>
                <w:webHidden/>
              </w:rPr>
            </w:r>
            <w:r>
              <w:rPr>
                <w:noProof/>
                <w:webHidden/>
              </w:rPr>
              <w:fldChar w:fldCharType="separate"/>
            </w:r>
            <w:r>
              <w:rPr>
                <w:noProof/>
                <w:webHidden/>
              </w:rPr>
              <w:t>379</w:t>
            </w:r>
            <w:r>
              <w:rPr>
                <w:noProof/>
                <w:webHidden/>
              </w:rPr>
              <w:fldChar w:fldCharType="end"/>
            </w:r>
          </w:hyperlink>
        </w:p>
        <w:p w14:paraId="30D62FFF" w14:textId="5F06DE34"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785" w:history="1">
            <w:r w:rsidRPr="001D4C20">
              <w:rPr>
                <w:rStyle w:val="Lienhypertexte"/>
                <w:noProof/>
              </w:rPr>
              <w:t>53.43 Planchers surélevés - Eléments particuliers CCTB 01.02</w:t>
            </w:r>
            <w:r>
              <w:rPr>
                <w:noProof/>
                <w:webHidden/>
              </w:rPr>
              <w:tab/>
            </w:r>
            <w:r>
              <w:rPr>
                <w:noProof/>
                <w:webHidden/>
              </w:rPr>
              <w:fldChar w:fldCharType="begin"/>
            </w:r>
            <w:r>
              <w:rPr>
                <w:noProof/>
                <w:webHidden/>
              </w:rPr>
              <w:instrText xml:space="preserve"> PAGEREF _Toc220490785 \h </w:instrText>
            </w:r>
            <w:r>
              <w:rPr>
                <w:noProof/>
                <w:webHidden/>
              </w:rPr>
            </w:r>
            <w:r>
              <w:rPr>
                <w:noProof/>
                <w:webHidden/>
              </w:rPr>
              <w:fldChar w:fldCharType="separate"/>
            </w:r>
            <w:r>
              <w:rPr>
                <w:noProof/>
                <w:webHidden/>
              </w:rPr>
              <w:t>382</w:t>
            </w:r>
            <w:r>
              <w:rPr>
                <w:noProof/>
                <w:webHidden/>
              </w:rPr>
              <w:fldChar w:fldCharType="end"/>
            </w:r>
          </w:hyperlink>
        </w:p>
        <w:p w14:paraId="23FC293F" w14:textId="5721A1DD"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86" w:history="1">
            <w:r w:rsidRPr="001D4C20">
              <w:rPr>
                <w:rStyle w:val="Lienhypertexte"/>
                <w:noProof/>
              </w:rPr>
              <w:t>53.43.1 Planchers surélevés - Eléments particuliers - Trappes d'accès CCTB 01.02</w:t>
            </w:r>
            <w:r>
              <w:rPr>
                <w:noProof/>
                <w:webHidden/>
              </w:rPr>
              <w:tab/>
            </w:r>
            <w:r>
              <w:rPr>
                <w:noProof/>
                <w:webHidden/>
              </w:rPr>
              <w:fldChar w:fldCharType="begin"/>
            </w:r>
            <w:r>
              <w:rPr>
                <w:noProof/>
                <w:webHidden/>
              </w:rPr>
              <w:instrText xml:space="preserve"> PAGEREF _Toc220490786 \h </w:instrText>
            </w:r>
            <w:r>
              <w:rPr>
                <w:noProof/>
                <w:webHidden/>
              </w:rPr>
            </w:r>
            <w:r>
              <w:rPr>
                <w:noProof/>
                <w:webHidden/>
              </w:rPr>
              <w:fldChar w:fldCharType="separate"/>
            </w:r>
            <w:r>
              <w:rPr>
                <w:noProof/>
                <w:webHidden/>
              </w:rPr>
              <w:t>382</w:t>
            </w:r>
            <w:r>
              <w:rPr>
                <w:noProof/>
                <w:webHidden/>
              </w:rPr>
              <w:fldChar w:fldCharType="end"/>
            </w:r>
          </w:hyperlink>
        </w:p>
        <w:p w14:paraId="1BC72709" w14:textId="2DCFD0A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87" w:history="1">
            <w:r w:rsidRPr="001D4C20">
              <w:rPr>
                <w:rStyle w:val="Lienhypertexte"/>
                <w:noProof/>
              </w:rPr>
              <w:t>53.43.1a Planchers surélevés - Eléments particuliers - Trappes d'accès CCTB 01.02</w:t>
            </w:r>
            <w:r>
              <w:rPr>
                <w:noProof/>
                <w:webHidden/>
              </w:rPr>
              <w:tab/>
            </w:r>
            <w:r>
              <w:rPr>
                <w:noProof/>
                <w:webHidden/>
              </w:rPr>
              <w:fldChar w:fldCharType="begin"/>
            </w:r>
            <w:r>
              <w:rPr>
                <w:noProof/>
                <w:webHidden/>
              </w:rPr>
              <w:instrText xml:space="preserve"> PAGEREF _Toc220490787 \h </w:instrText>
            </w:r>
            <w:r>
              <w:rPr>
                <w:noProof/>
                <w:webHidden/>
              </w:rPr>
            </w:r>
            <w:r>
              <w:rPr>
                <w:noProof/>
                <w:webHidden/>
              </w:rPr>
              <w:fldChar w:fldCharType="separate"/>
            </w:r>
            <w:r>
              <w:rPr>
                <w:noProof/>
                <w:webHidden/>
              </w:rPr>
              <w:t>382</w:t>
            </w:r>
            <w:r>
              <w:rPr>
                <w:noProof/>
                <w:webHidden/>
              </w:rPr>
              <w:fldChar w:fldCharType="end"/>
            </w:r>
          </w:hyperlink>
        </w:p>
        <w:p w14:paraId="4231533F" w14:textId="20C21CCE"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788" w:history="1">
            <w:r w:rsidRPr="001D4C20">
              <w:rPr>
                <w:rStyle w:val="Lienhypertexte"/>
                <w:noProof/>
              </w:rPr>
              <w:t>53.5 Revêtements de sols intérieurs CCTB 01.13</w:t>
            </w:r>
            <w:r>
              <w:rPr>
                <w:noProof/>
                <w:webHidden/>
              </w:rPr>
              <w:tab/>
            </w:r>
            <w:r>
              <w:rPr>
                <w:noProof/>
                <w:webHidden/>
              </w:rPr>
              <w:fldChar w:fldCharType="begin"/>
            </w:r>
            <w:r>
              <w:rPr>
                <w:noProof/>
                <w:webHidden/>
              </w:rPr>
              <w:instrText xml:space="preserve"> PAGEREF _Toc220490788 \h </w:instrText>
            </w:r>
            <w:r>
              <w:rPr>
                <w:noProof/>
                <w:webHidden/>
              </w:rPr>
            </w:r>
            <w:r>
              <w:rPr>
                <w:noProof/>
                <w:webHidden/>
              </w:rPr>
              <w:fldChar w:fldCharType="separate"/>
            </w:r>
            <w:r>
              <w:rPr>
                <w:noProof/>
                <w:webHidden/>
              </w:rPr>
              <w:t>382</w:t>
            </w:r>
            <w:r>
              <w:rPr>
                <w:noProof/>
                <w:webHidden/>
              </w:rPr>
              <w:fldChar w:fldCharType="end"/>
            </w:r>
          </w:hyperlink>
        </w:p>
        <w:p w14:paraId="79535C98" w14:textId="5DFD259A"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789" w:history="1">
            <w:r w:rsidRPr="001D4C20">
              <w:rPr>
                <w:rStyle w:val="Lienhypertexte"/>
                <w:noProof/>
              </w:rPr>
              <w:t>53.51 Revêtements de sols en carreaux de céramique CCTB 01.12</w:t>
            </w:r>
            <w:r>
              <w:rPr>
                <w:noProof/>
                <w:webHidden/>
              </w:rPr>
              <w:tab/>
            </w:r>
            <w:r>
              <w:rPr>
                <w:noProof/>
                <w:webHidden/>
              </w:rPr>
              <w:fldChar w:fldCharType="begin"/>
            </w:r>
            <w:r>
              <w:rPr>
                <w:noProof/>
                <w:webHidden/>
              </w:rPr>
              <w:instrText xml:space="preserve"> PAGEREF _Toc220490789 \h </w:instrText>
            </w:r>
            <w:r>
              <w:rPr>
                <w:noProof/>
                <w:webHidden/>
              </w:rPr>
            </w:r>
            <w:r>
              <w:rPr>
                <w:noProof/>
                <w:webHidden/>
              </w:rPr>
              <w:fldChar w:fldCharType="separate"/>
            </w:r>
            <w:r>
              <w:rPr>
                <w:noProof/>
                <w:webHidden/>
              </w:rPr>
              <w:t>387</w:t>
            </w:r>
            <w:r>
              <w:rPr>
                <w:noProof/>
                <w:webHidden/>
              </w:rPr>
              <w:fldChar w:fldCharType="end"/>
            </w:r>
          </w:hyperlink>
        </w:p>
        <w:p w14:paraId="0E1422B7" w14:textId="19E31AE4"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90" w:history="1">
            <w:r w:rsidRPr="001D4C20">
              <w:rPr>
                <w:rStyle w:val="Lienhypertexte"/>
                <w:noProof/>
              </w:rPr>
              <w:t>53.51.1 Revêtements de sols en carreaux de céramique CCTB 01.02</w:t>
            </w:r>
            <w:r>
              <w:rPr>
                <w:noProof/>
                <w:webHidden/>
              </w:rPr>
              <w:tab/>
            </w:r>
            <w:r>
              <w:rPr>
                <w:noProof/>
                <w:webHidden/>
              </w:rPr>
              <w:fldChar w:fldCharType="begin"/>
            </w:r>
            <w:r>
              <w:rPr>
                <w:noProof/>
                <w:webHidden/>
              </w:rPr>
              <w:instrText xml:space="preserve"> PAGEREF _Toc220490790 \h </w:instrText>
            </w:r>
            <w:r>
              <w:rPr>
                <w:noProof/>
                <w:webHidden/>
              </w:rPr>
            </w:r>
            <w:r>
              <w:rPr>
                <w:noProof/>
                <w:webHidden/>
              </w:rPr>
              <w:fldChar w:fldCharType="separate"/>
            </w:r>
            <w:r>
              <w:rPr>
                <w:noProof/>
                <w:webHidden/>
              </w:rPr>
              <w:t>391</w:t>
            </w:r>
            <w:r>
              <w:rPr>
                <w:noProof/>
                <w:webHidden/>
              </w:rPr>
              <w:fldChar w:fldCharType="end"/>
            </w:r>
          </w:hyperlink>
        </w:p>
        <w:p w14:paraId="358484BF" w14:textId="52F6791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91" w:history="1">
            <w:r w:rsidRPr="001D4C20">
              <w:rPr>
                <w:rStyle w:val="Lienhypertexte"/>
                <w:noProof/>
              </w:rPr>
              <w:t>53.51.1a Revêtements de sols en carreaux de céramique CCTB 01.12</w:t>
            </w:r>
            <w:r>
              <w:rPr>
                <w:noProof/>
                <w:webHidden/>
              </w:rPr>
              <w:tab/>
            </w:r>
            <w:r>
              <w:rPr>
                <w:noProof/>
                <w:webHidden/>
              </w:rPr>
              <w:fldChar w:fldCharType="begin"/>
            </w:r>
            <w:r>
              <w:rPr>
                <w:noProof/>
                <w:webHidden/>
              </w:rPr>
              <w:instrText xml:space="preserve"> PAGEREF _Toc220490791 \h </w:instrText>
            </w:r>
            <w:r>
              <w:rPr>
                <w:noProof/>
                <w:webHidden/>
              </w:rPr>
            </w:r>
            <w:r>
              <w:rPr>
                <w:noProof/>
                <w:webHidden/>
              </w:rPr>
              <w:fldChar w:fldCharType="separate"/>
            </w:r>
            <w:r>
              <w:rPr>
                <w:noProof/>
                <w:webHidden/>
              </w:rPr>
              <w:t>391</w:t>
            </w:r>
            <w:r>
              <w:rPr>
                <w:noProof/>
                <w:webHidden/>
              </w:rPr>
              <w:fldChar w:fldCharType="end"/>
            </w:r>
          </w:hyperlink>
        </w:p>
        <w:p w14:paraId="37E56B0E" w14:textId="6A8781F8"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792" w:history="1">
            <w:r w:rsidRPr="001D4C20">
              <w:rPr>
                <w:rStyle w:val="Lienhypertexte"/>
                <w:noProof/>
              </w:rPr>
              <w:t>53.52 Revêtements de sols en pierre naturelle CCTB 01.13</w:t>
            </w:r>
            <w:r>
              <w:rPr>
                <w:noProof/>
                <w:webHidden/>
              </w:rPr>
              <w:tab/>
            </w:r>
            <w:r>
              <w:rPr>
                <w:noProof/>
                <w:webHidden/>
              </w:rPr>
              <w:fldChar w:fldCharType="begin"/>
            </w:r>
            <w:r>
              <w:rPr>
                <w:noProof/>
                <w:webHidden/>
              </w:rPr>
              <w:instrText xml:space="preserve"> PAGEREF _Toc220490792 \h </w:instrText>
            </w:r>
            <w:r>
              <w:rPr>
                <w:noProof/>
                <w:webHidden/>
              </w:rPr>
            </w:r>
            <w:r>
              <w:rPr>
                <w:noProof/>
                <w:webHidden/>
              </w:rPr>
              <w:fldChar w:fldCharType="separate"/>
            </w:r>
            <w:r>
              <w:rPr>
                <w:noProof/>
                <w:webHidden/>
              </w:rPr>
              <w:t>394</w:t>
            </w:r>
            <w:r>
              <w:rPr>
                <w:noProof/>
                <w:webHidden/>
              </w:rPr>
              <w:fldChar w:fldCharType="end"/>
            </w:r>
          </w:hyperlink>
        </w:p>
        <w:p w14:paraId="7748BF7D" w14:textId="5A5A355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93" w:history="1">
            <w:r w:rsidRPr="001D4C20">
              <w:rPr>
                <w:rStyle w:val="Lienhypertexte"/>
                <w:noProof/>
              </w:rPr>
              <w:t>53.52.1 Revêtements de sols en pierres sédimentaires CCTB 01.02</w:t>
            </w:r>
            <w:r>
              <w:rPr>
                <w:noProof/>
                <w:webHidden/>
              </w:rPr>
              <w:tab/>
            </w:r>
            <w:r>
              <w:rPr>
                <w:noProof/>
                <w:webHidden/>
              </w:rPr>
              <w:fldChar w:fldCharType="begin"/>
            </w:r>
            <w:r>
              <w:rPr>
                <w:noProof/>
                <w:webHidden/>
              </w:rPr>
              <w:instrText xml:space="preserve"> PAGEREF _Toc220490793 \h </w:instrText>
            </w:r>
            <w:r>
              <w:rPr>
                <w:noProof/>
                <w:webHidden/>
              </w:rPr>
            </w:r>
            <w:r>
              <w:rPr>
                <w:noProof/>
                <w:webHidden/>
              </w:rPr>
              <w:fldChar w:fldCharType="separate"/>
            </w:r>
            <w:r>
              <w:rPr>
                <w:noProof/>
                <w:webHidden/>
              </w:rPr>
              <w:t>395</w:t>
            </w:r>
            <w:r>
              <w:rPr>
                <w:noProof/>
                <w:webHidden/>
              </w:rPr>
              <w:fldChar w:fldCharType="end"/>
            </w:r>
          </w:hyperlink>
        </w:p>
        <w:p w14:paraId="3CE72296" w14:textId="7FCA8EE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94" w:history="1">
            <w:r w:rsidRPr="001D4C20">
              <w:rPr>
                <w:rStyle w:val="Lienhypertexte"/>
                <w:noProof/>
              </w:rPr>
              <w:t>53.52.1a Revêtements de sols en pierres sédimentaires, en pierres calcaires marbrières - pierres bleues  CCTB 01.02</w:t>
            </w:r>
            <w:r>
              <w:rPr>
                <w:noProof/>
                <w:webHidden/>
              </w:rPr>
              <w:tab/>
            </w:r>
            <w:r>
              <w:rPr>
                <w:noProof/>
                <w:webHidden/>
              </w:rPr>
              <w:fldChar w:fldCharType="begin"/>
            </w:r>
            <w:r>
              <w:rPr>
                <w:noProof/>
                <w:webHidden/>
              </w:rPr>
              <w:instrText xml:space="preserve"> PAGEREF _Toc220490794 \h </w:instrText>
            </w:r>
            <w:r>
              <w:rPr>
                <w:noProof/>
                <w:webHidden/>
              </w:rPr>
            </w:r>
            <w:r>
              <w:rPr>
                <w:noProof/>
                <w:webHidden/>
              </w:rPr>
              <w:fldChar w:fldCharType="separate"/>
            </w:r>
            <w:r>
              <w:rPr>
                <w:noProof/>
                <w:webHidden/>
              </w:rPr>
              <w:t>395</w:t>
            </w:r>
            <w:r>
              <w:rPr>
                <w:noProof/>
                <w:webHidden/>
              </w:rPr>
              <w:fldChar w:fldCharType="end"/>
            </w:r>
          </w:hyperlink>
        </w:p>
        <w:p w14:paraId="0A2697DB" w14:textId="5CC03CE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95" w:history="1">
            <w:r w:rsidRPr="001D4C20">
              <w:rPr>
                <w:rStyle w:val="Lienhypertexte"/>
                <w:noProof/>
              </w:rPr>
              <w:t>53.52.1b Revêtements de sols en pierres sédimentaires, en pierres calcaires marbrières - autres pierres marbrières  CCTB 01.02</w:t>
            </w:r>
            <w:r>
              <w:rPr>
                <w:noProof/>
                <w:webHidden/>
              </w:rPr>
              <w:tab/>
            </w:r>
            <w:r>
              <w:rPr>
                <w:noProof/>
                <w:webHidden/>
              </w:rPr>
              <w:fldChar w:fldCharType="begin"/>
            </w:r>
            <w:r>
              <w:rPr>
                <w:noProof/>
                <w:webHidden/>
              </w:rPr>
              <w:instrText xml:space="preserve"> PAGEREF _Toc220490795 \h </w:instrText>
            </w:r>
            <w:r>
              <w:rPr>
                <w:noProof/>
                <w:webHidden/>
              </w:rPr>
            </w:r>
            <w:r>
              <w:rPr>
                <w:noProof/>
                <w:webHidden/>
              </w:rPr>
              <w:fldChar w:fldCharType="separate"/>
            </w:r>
            <w:r>
              <w:rPr>
                <w:noProof/>
                <w:webHidden/>
              </w:rPr>
              <w:t>395</w:t>
            </w:r>
            <w:r>
              <w:rPr>
                <w:noProof/>
                <w:webHidden/>
              </w:rPr>
              <w:fldChar w:fldCharType="end"/>
            </w:r>
          </w:hyperlink>
        </w:p>
        <w:p w14:paraId="059C6B5A" w14:textId="7ADCCCF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96" w:history="1">
            <w:r w:rsidRPr="001D4C20">
              <w:rPr>
                <w:rStyle w:val="Lienhypertexte"/>
                <w:noProof/>
              </w:rPr>
              <w:t>53.52.1c Revêtements de sols en pierres sédimentaires, en pierres calcaires non marbrières - pierres blanches CCTB 01.02</w:t>
            </w:r>
            <w:r>
              <w:rPr>
                <w:noProof/>
                <w:webHidden/>
              </w:rPr>
              <w:tab/>
            </w:r>
            <w:r>
              <w:rPr>
                <w:noProof/>
                <w:webHidden/>
              </w:rPr>
              <w:fldChar w:fldCharType="begin"/>
            </w:r>
            <w:r>
              <w:rPr>
                <w:noProof/>
                <w:webHidden/>
              </w:rPr>
              <w:instrText xml:space="preserve"> PAGEREF _Toc220490796 \h </w:instrText>
            </w:r>
            <w:r>
              <w:rPr>
                <w:noProof/>
                <w:webHidden/>
              </w:rPr>
            </w:r>
            <w:r>
              <w:rPr>
                <w:noProof/>
                <w:webHidden/>
              </w:rPr>
              <w:fldChar w:fldCharType="separate"/>
            </w:r>
            <w:r>
              <w:rPr>
                <w:noProof/>
                <w:webHidden/>
              </w:rPr>
              <w:t>395</w:t>
            </w:r>
            <w:r>
              <w:rPr>
                <w:noProof/>
                <w:webHidden/>
              </w:rPr>
              <w:fldChar w:fldCharType="end"/>
            </w:r>
          </w:hyperlink>
        </w:p>
        <w:p w14:paraId="5CCF1769" w14:textId="1AC257B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97" w:history="1">
            <w:r w:rsidRPr="001D4C20">
              <w:rPr>
                <w:rStyle w:val="Lienhypertexte"/>
                <w:noProof/>
              </w:rPr>
              <w:t>53.52.1d Revêtements de sols en pierres sédimentaires, en pierres calcaires non marbrières -autres pierres calcaires non marbrières  CCTB 01.02</w:t>
            </w:r>
            <w:r>
              <w:rPr>
                <w:noProof/>
                <w:webHidden/>
              </w:rPr>
              <w:tab/>
            </w:r>
            <w:r>
              <w:rPr>
                <w:noProof/>
                <w:webHidden/>
              </w:rPr>
              <w:fldChar w:fldCharType="begin"/>
            </w:r>
            <w:r>
              <w:rPr>
                <w:noProof/>
                <w:webHidden/>
              </w:rPr>
              <w:instrText xml:space="preserve"> PAGEREF _Toc220490797 \h </w:instrText>
            </w:r>
            <w:r>
              <w:rPr>
                <w:noProof/>
                <w:webHidden/>
              </w:rPr>
            </w:r>
            <w:r>
              <w:rPr>
                <w:noProof/>
                <w:webHidden/>
              </w:rPr>
              <w:fldChar w:fldCharType="separate"/>
            </w:r>
            <w:r>
              <w:rPr>
                <w:noProof/>
                <w:webHidden/>
              </w:rPr>
              <w:t>395</w:t>
            </w:r>
            <w:r>
              <w:rPr>
                <w:noProof/>
                <w:webHidden/>
              </w:rPr>
              <w:fldChar w:fldCharType="end"/>
            </w:r>
          </w:hyperlink>
        </w:p>
        <w:p w14:paraId="0FC20E6F" w14:textId="76ED9F0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98" w:history="1">
            <w:r w:rsidRPr="001D4C20">
              <w:rPr>
                <w:rStyle w:val="Lienhypertexte"/>
                <w:noProof/>
              </w:rPr>
              <w:t>53.52.1e Revêtements de sols en pierres sédimentaires, en pierres calcaires non marbrières - calcaire gréseux  CCTB 01.02</w:t>
            </w:r>
            <w:r>
              <w:rPr>
                <w:noProof/>
                <w:webHidden/>
              </w:rPr>
              <w:tab/>
            </w:r>
            <w:r>
              <w:rPr>
                <w:noProof/>
                <w:webHidden/>
              </w:rPr>
              <w:fldChar w:fldCharType="begin"/>
            </w:r>
            <w:r>
              <w:rPr>
                <w:noProof/>
                <w:webHidden/>
              </w:rPr>
              <w:instrText xml:space="preserve"> PAGEREF _Toc220490798 \h </w:instrText>
            </w:r>
            <w:r>
              <w:rPr>
                <w:noProof/>
                <w:webHidden/>
              </w:rPr>
            </w:r>
            <w:r>
              <w:rPr>
                <w:noProof/>
                <w:webHidden/>
              </w:rPr>
              <w:fldChar w:fldCharType="separate"/>
            </w:r>
            <w:r>
              <w:rPr>
                <w:noProof/>
                <w:webHidden/>
              </w:rPr>
              <w:t>395</w:t>
            </w:r>
            <w:r>
              <w:rPr>
                <w:noProof/>
                <w:webHidden/>
              </w:rPr>
              <w:fldChar w:fldCharType="end"/>
            </w:r>
          </w:hyperlink>
        </w:p>
        <w:p w14:paraId="22B07265" w14:textId="755F7FC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99" w:history="1">
            <w:r w:rsidRPr="001D4C20">
              <w:rPr>
                <w:rStyle w:val="Lienhypertexte"/>
                <w:noProof/>
              </w:rPr>
              <w:t>53.52.1f Revêtements de sols en pierres sédimentaires, en pierres siliceuses - grès  CCTB 01.02</w:t>
            </w:r>
            <w:r>
              <w:rPr>
                <w:noProof/>
                <w:webHidden/>
              </w:rPr>
              <w:tab/>
            </w:r>
            <w:r>
              <w:rPr>
                <w:noProof/>
                <w:webHidden/>
              </w:rPr>
              <w:fldChar w:fldCharType="begin"/>
            </w:r>
            <w:r>
              <w:rPr>
                <w:noProof/>
                <w:webHidden/>
              </w:rPr>
              <w:instrText xml:space="preserve"> PAGEREF _Toc220490799 \h </w:instrText>
            </w:r>
            <w:r>
              <w:rPr>
                <w:noProof/>
                <w:webHidden/>
              </w:rPr>
            </w:r>
            <w:r>
              <w:rPr>
                <w:noProof/>
                <w:webHidden/>
              </w:rPr>
              <w:fldChar w:fldCharType="separate"/>
            </w:r>
            <w:r>
              <w:rPr>
                <w:noProof/>
                <w:webHidden/>
              </w:rPr>
              <w:t>395</w:t>
            </w:r>
            <w:r>
              <w:rPr>
                <w:noProof/>
                <w:webHidden/>
              </w:rPr>
              <w:fldChar w:fldCharType="end"/>
            </w:r>
          </w:hyperlink>
        </w:p>
        <w:p w14:paraId="66215DC3" w14:textId="4CA3D92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00" w:history="1">
            <w:r w:rsidRPr="001D4C20">
              <w:rPr>
                <w:rStyle w:val="Lienhypertexte"/>
                <w:noProof/>
              </w:rPr>
              <w:t>53.52.1g Revêtements de sols en pierres sédimentaires, en pierres siliceuses - schiste - shale CCTB 01.02</w:t>
            </w:r>
            <w:r>
              <w:rPr>
                <w:noProof/>
                <w:webHidden/>
              </w:rPr>
              <w:tab/>
            </w:r>
            <w:r>
              <w:rPr>
                <w:noProof/>
                <w:webHidden/>
              </w:rPr>
              <w:fldChar w:fldCharType="begin"/>
            </w:r>
            <w:r>
              <w:rPr>
                <w:noProof/>
                <w:webHidden/>
              </w:rPr>
              <w:instrText xml:space="preserve"> PAGEREF _Toc220490800 \h </w:instrText>
            </w:r>
            <w:r>
              <w:rPr>
                <w:noProof/>
                <w:webHidden/>
              </w:rPr>
            </w:r>
            <w:r>
              <w:rPr>
                <w:noProof/>
                <w:webHidden/>
              </w:rPr>
              <w:fldChar w:fldCharType="separate"/>
            </w:r>
            <w:r>
              <w:rPr>
                <w:noProof/>
                <w:webHidden/>
              </w:rPr>
              <w:t>395</w:t>
            </w:r>
            <w:r>
              <w:rPr>
                <w:noProof/>
                <w:webHidden/>
              </w:rPr>
              <w:fldChar w:fldCharType="end"/>
            </w:r>
          </w:hyperlink>
        </w:p>
        <w:p w14:paraId="2916F036" w14:textId="5EAEE064"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01" w:history="1">
            <w:r w:rsidRPr="001D4C20">
              <w:rPr>
                <w:rStyle w:val="Lienhypertexte"/>
                <w:noProof/>
              </w:rPr>
              <w:t>53.52.2 Revêtements de sols en pierres magmatiques CCTB 01.02</w:t>
            </w:r>
            <w:r>
              <w:rPr>
                <w:noProof/>
                <w:webHidden/>
              </w:rPr>
              <w:tab/>
            </w:r>
            <w:r>
              <w:rPr>
                <w:noProof/>
                <w:webHidden/>
              </w:rPr>
              <w:fldChar w:fldCharType="begin"/>
            </w:r>
            <w:r>
              <w:rPr>
                <w:noProof/>
                <w:webHidden/>
              </w:rPr>
              <w:instrText xml:space="preserve"> PAGEREF _Toc220490801 \h </w:instrText>
            </w:r>
            <w:r>
              <w:rPr>
                <w:noProof/>
                <w:webHidden/>
              </w:rPr>
            </w:r>
            <w:r>
              <w:rPr>
                <w:noProof/>
                <w:webHidden/>
              </w:rPr>
              <w:fldChar w:fldCharType="separate"/>
            </w:r>
            <w:r>
              <w:rPr>
                <w:noProof/>
                <w:webHidden/>
              </w:rPr>
              <w:t>395</w:t>
            </w:r>
            <w:r>
              <w:rPr>
                <w:noProof/>
                <w:webHidden/>
              </w:rPr>
              <w:fldChar w:fldCharType="end"/>
            </w:r>
          </w:hyperlink>
        </w:p>
        <w:p w14:paraId="700A1072" w14:textId="2CB2727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02" w:history="1">
            <w:r w:rsidRPr="001D4C20">
              <w:rPr>
                <w:rStyle w:val="Lienhypertexte"/>
                <w:noProof/>
              </w:rPr>
              <w:t>53.52.2a Revêtements de sols en pierres magmatiques - en granits CCTB 01.02</w:t>
            </w:r>
            <w:r>
              <w:rPr>
                <w:noProof/>
                <w:webHidden/>
              </w:rPr>
              <w:tab/>
            </w:r>
            <w:r>
              <w:rPr>
                <w:noProof/>
                <w:webHidden/>
              </w:rPr>
              <w:fldChar w:fldCharType="begin"/>
            </w:r>
            <w:r>
              <w:rPr>
                <w:noProof/>
                <w:webHidden/>
              </w:rPr>
              <w:instrText xml:space="preserve"> PAGEREF _Toc220490802 \h </w:instrText>
            </w:r>
            <w:r>
              <w:rPr>
                <w:noProof/>
                <w:webHidden/>
              </w:rPr>
            </w:r>
            <w:r>
              <w:rPr>
                <w:noProof/>
                <w:webHidden/>
              </w:rPr>
              <w:fldChar w:fldCharType="separate"/>
            </w:r>
            <w:r>
              <w:rPr>
                <w:noProof/>
                <w:webHidden/>
              </w:rPr>
              <w:t>395</w:t>
            </w:r>
            <w:r>
              <w:rPr>
                <w:noProof/>
                <w:webHidden/>
              </w:rPr>
              <w:fldChar w:fldCharType="end"/>
            </w:r>
          </w:hyperlink>
        </w:p>
        <w:p w14:paraId="4D25D488" w14:textId="79494BD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03" w:history="1">
            <w:r w:rsidRPr="001D4C20">
              <w:rPr>
                <w:rStyle w:val="Lienhypertexte"/>
                <w:noProof/>
              </w:rPr>
              <w:t>53.52.2b Revêtements de sols en pierres magmatiques - en basaltes CCTB 01.02</w:t>
            </w:r>
            <w:r>
              <w:rPr>
                <w:noProof/>
                <w:webHidden/>
              </w:rPr>
              <w:tab/>
            </w:r>
            <w:r>
              <w:rPr>
                <w:noProof/>
                <w:webHidden/>
              </w:rPr>
              <w:fldChar w:fldCharType="begin"/>
            </w:r>
            <w:r>
              <w:rPr>
                <w:noProof/>
                <w:webHidden/>
              </w:rPr>
              <w:instrText xml:space="preserve"> PAGEREF _Toc220490803 \h </w:instrText>
            </w:r>
            <w:r>
              <w:rPr>
                <w:noProof/>
                <w:webHidden/>
              </w:rPr>
            </w:r>
            <w:r>
              <w:rPr>
                <w:noProof/>
                <w:webHidden/>
              </w:rPr>
              <w:fldChar w:fldCharType="separate"/>
            </w:r>
            <w:r>
              <w:rPr>
                <w:noProof/>
                <w:webHidden/>
              </w:rPr>
              <w:t>396</w:t>
            </w:r>
            <w:r>
              <w:rPr>
                <w:noProof/>
                <w:webHidden/>
              </w:rPr>
              <w:fldChar w:fldCharType="end"/>
            </w:r>
          </w:hyperlink>
        </w:p>
        <w:p w14:paraId="3F574DA2" w14:textId="79514B04"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04" w:history="1">
            <w:r w:rsidRPr="001D4C20">
              <w:rPr>
                <w:rStyle w:val="Lienhypertexte"/>
                <w:noProof/>
              </w:rPr>
              <w:t>53.52.3 Revêtements de sols en pierres métamorphiques CCTB 01.02</w:t>
            </w:r>
            <w:r>
              <w:rPr>
                <w:noProof/>
                <w:webHidden/>
              </w:rPr>
              <w:tab/>
            </w:r>
            <w:r>
              <w:rPr>
                <w:noProof/>
                <w:webHidden/>
              </w:rPr>
              <w:fldChar w:fldCharType="begin"/>
            </w:r>
            <w:r>
              <w:rPr>
                <w:noProof/>
                <w:webHidden/>
              </w:rPr>
              <w:instrText xml:space="preserve"> PAGEREF _Toc220490804 \h </w:instrText>
            </w:r>
            <w:r>
              <w:rPr>
                <w:noProof/>
                <w:webHidden/>
              </w:rPr>
            </w:r>
            <w:r>
              <w:rPr>
                <w:noProof/>
                <w:webHidden/>
              </w:rPr>
              <w:fldChar w:fldCharType="separate"/>
            </w:r>
            <w:r>
              <w:rPr>
                <w:noProof/>
                <w:webHidden/>
              </w:rPr>
              <w:t>396</w:t>
            </w:r>
            <w:r>
              <w:rPr>
                <w:noProof/>
                <w:webHidden/>
              </w:rPr>
              <w:fldChar w:fldCharType="end"/>
            </w:r>
          </w:hyperlink>
        </w:p>
        <w:p w14:paraId="134A0CBB" w14:textId="2E3BD3F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05" w:history="1">
            <w:r w:rsidRPr="001D4C20">
              <w:rPr>
                <w:rStyle w:val="Lienhypertexte"/>
                <w:noProof/>
              </w:rPr>
              <w:t>53.52.3a Revêtements de sols en pierres métamorphiques - en marbres CCTB 01.02</w:t>
            </w:r>
            <w:r>
              <w:rPr>
                <w:noProof/>
                <w:webHidden/>
              </w:rPr>
              <w:tab/>
            </w:r>
            <w:r>
              <w:rPr>
                <w:noProof/>
                <w:webHidden/>
              </w:rPr>
              <w:fldChar w:fldCharType="begin"/>
            </w:r>
            <w:r>
              <w:rPr>
                <w:noProof/>
                <w:webHidden/>
              </w:rPr>
              <w:instrText xml:space="preserve"> PAGEREF _Toc220490805 \h </w:instrText>
            </w:r>
            <w:r>
              <w:rPr>
                <w:noProof/>
                <w:webHidden/>
              </w:rPr>
            </w:r>
            <w:r>
              <w:rPr>
                <w:noProof/>
                <w:webHidden/>
              </w:rPr>
              <w:fldChar w:fldCharType="separate"/>
            </w:r>
            <w:r>
              <w:rPr>
                <w:noProof/>
                <w:webHidden/>
              </w:rPr>
              <w:t>396</w:t>
            </w:r>
            <w:r>
              <w:rPr>
                <w:noProof/>
                <w:webHidden/>
              </w:rPr>
              <w:fldChar w:fldCharType="end"/>
            </w:r>
          </w:hyperlink>
        </w:p>
        <w:p w14:paraId="1AD72359" w14:textId="68C24B2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06" w:history="1">
            <w:r w:rsidRPr="001D4C20">
              <w:rPr>
                <w:rStyle w:val="Lienhypertexte"/>
                <w:noProof/>
              </w:rPr>
              <w:t>53.52.3b Revêtements de sols en pierres métamorphiques - en gneiss CCTB 01.02</w:t>
            </w:r>
            <w:r>
              <w:rPr>
                <w:noProof/>
                <w:webHidden/>
              </w:rPr>
              <w:tab/>
            </w:r>
            <w:r>
              <w:rPr>
                <w:noProof/>
                <w:webHidden/>
              </w:rPr>
              <w:fldChar w:fldCharType="begin"/>
            </w:r>
            <w:r>
              <w:rPr>
                <w:noProof/>
                <w:webHidden/>
              </w:rPr>
              <w:instrText xml:space="preserve"> PAGEREF _Toc220490806 \h </w:instrText>
            </w:r>
            <w:r>
              <w:rPr>
                <w:noProof/>
                <w:webHidden/>
              </w:rPr>
            </w:r>
            <w:r>
              <w:rPr>
                <w:noProof/>
                <w:webHidden/>
              </w:rPr>
              <w:fldChar w:fldCharType="separate"/>
            </w:r>
            <w:r>
              <w:rPr>
                <w:noProof/>
                <w:webHidden/>
              </w:rPr>
              <w:t>396</w:t>
            </w:r>
            <w:r>
              <w:rPr>
                <w:noProof/>
                <w:webHidden/>
              </w:rPr>
              <w:fldChar w:fldCharType="end"/>
            </w:r>
          </w:hyperlink>
        </w:p>
        <w:p w14:paraId="4A73D6C3" w14:textId="4B3E659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07" w:history="1">
            <w:r w:rsidRPr="001D4C20">
              <w:rPr>
                <w:rStyle w:val="Lienhypertexte"/>
                <w:noProof/>
              </w:rPr>
              <w:t>53.52.3c Revêtements de sols en pierres métamorphiques - en serpentinite CCTB 01.02</w:t>
            </w:r>
            <w:r>
              <w:rPr>
                <w:noProof/>
                <w:webHidden/>
              </w:rPr>
              <w:tab/>
            </w:r>
            <w:r>
              <w:rPr>
                <w:noProof/>
                <w:webHidden/>
              </w:rPr>
              <w:fldChar w:fldCharType="begin"/>
            </w:r>
            <w:r>
              <w:rPr>
                <w:noProof/>
                <w:webHidden/>
              </w:rPr>
              <w:instrText xml:space="preserve"> PAGEREF _Toc220490807 \h </w:instrText>
            </w:r>
            <w:r>
              <w:rPr>
                <w:noProof/>
                <w:webHidden/>
              </w:rPr>
            </w:r>
            <w:r>
              <w:rPr>
                <w:noProof/>
                <w:webHidden/>
              </w:rPr>
              <w:fldChar w:fldCharType="separate"/>
            </w:r>
            <w:r>
              <w:rPr>
                <w:noProof/>
                <w:webHidden/>
              </w:rPr>
              <w:t>396</w:t>
            </w:r>
            <w:r>
              <w:rPr>
                <w:noProof/>
                <w:webHidden/>
              </w:rPr>
              <w:fldChar w:fldCharType="end"/>
            </w:r>
          </w:hyperlink>
        </w:p>
        <w:p w14:paraId="5902D0FA" w14:textId="1F2A060A"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808" w:history="1">
            <w:r w:rsidRPr="001D4C20">
              <w:rPr>
                <w:rStyle w:val="Lienhypertexte"/>
                <w:noProof/>
              </w:rPr>
              <w:t>53.53 Revêtements en carreaux en mosaïque CCTB 01.12</w:t>
            </w:r>
            <w:r>
              <w:rPr>
                <w:noProof/>
                <w:webHidden/>
              </w:rPr>
              <w:tab/>
            </w:r>
            <w:r>
              <w:rPr>
                <w:noProof/>
                <w:webHidden/>
              </w:rPr>
              <w:fldChar w:fldCharType="begin"/>
            </w:r>
            <w:r>
              <w:rPr>
                <w:noProof/>
                <w:webHidden/>
              </w:rPr>
              <w:instrText xml:space="preserve"> PAGEREF _Toc220490808 \h </w:instrText>
            </w:r>
            <w:r>
              <w:rPr>
                <w:noProof/>
                <w:webHidden/>
              </w:rPr>
            </w:r>
            <w:r>
              <w:rPr>
                <w:noProof/>
                <w:webHidden/>
              </w:rPr>
              <w:fldChar w:fldCharType="separate"/>
            </w:r>
            <w:r>
              <w:rPr>
                <w:noProof/>
                <w:webHidden/>
              </w:rPr>
              <w:t>396</w:t>
            </w:r>
            <w:r>
              <w:rPr>
                <w:noProof/>
                <w:webHidden/>
              </w:rPr>
              <w:fldChar w:fldCharType="end"/>
            </w:r>
          </w:hyperlink>
        </w:p>
        <w:p w14:paraId="5C17F45D" w14:textId="04DBEDF7"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09" w:history="1">
            <w:r w:rsidRPr="001D4C20">
              <w:rPr>
                <w:rStyle w:val="Lienhypertexte"/>
                <w:noProof/>
              </w:rPr>
              <w:t>53.53.1 Revêtements en carreaux en mosaïque de marbre CCTB 01.02</w:t>
            </w:r>
            <w:r>
              <w:rPr>
                <w:noProof/>
                <w:webHidden/>
              </w:rPr>
              <w:tab/>
            </w:r>
            <w:r>
              <w:rPr>
                <w:noProof/>
                <w:webHidden/>
              </w:rPr>
              <w:fldChar w:fldCharType="begin"/>
            </w:r>
            <w:r>
              <w:rPr>
                <w:noProof/>
                <w:webHidden/>
              </w:rPr>
              <w:instrText xml:space="preserve"> PAGEREF _Toc220490809 \h </w:instrText>
            </w:r>
            <w:r>
              <w:rPr>
                <w:noProof/>
                <w:webHidden/>
              </w:rPr>
            </w:r>
            <w:r>
              <w:rPr>
                <w:noProof/>
                <w:webHidden/>
              </w:rPr>
              <w:fldChar w:fldCharType="separate"/>
            </w:r>
            <w:r>
              <w:rPr>
                <w:noProof/>
                <w:webHidden/>
              </w:rPr>
              <w:t>396</w:t>
            </w:r>
            <w:r>
              <w:rPr>
                <w:noProof/>
                <w:webHidden/>
              </w:rPr>
              <w:fldChar w:fldCharType="end"/>
            </w:r>
          </w:hyperlink>
        </w:p>
        <w:p w14:paraId="1E06830E" w14:textId="60B4BEC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10" w:history="1">
            <w:r w:rsidRPr="001D4C20">
              <w:rPr>
                <w:rStyle w:val="Lienhypertexte"/>
                <w:noProof/>
              </w:rPr>
              <w:t>53.53.1a Revêtements en carreaux en mosaïque de marbre CCTB 01.10</w:t>
            </w:r>
            <w:r>
              <w:rPr>
                <w:noProof/>
                <w:webHidden/>
              </w:rPr>
              <w:tab/>
            </w:r>
            <w:r>
              <w:rPr>
                <w:noProof/>
                <w:webHidden/>
              </w:rPr>
              <w:fldChar w:fldCharType="begin"/>
            </w:r>
            <w:r>
              <w:rPr>
                <w:noProof/>
                <w:webHidden/>
              </w:rPr>
              <w:instrText xml:space="preserve"> PAGEREF _Toc220490810 \h </w:instrText>
            </w:r>
            <w:r>
              <w:rPr>
                <w:noProof/>
                <w:webHidden/>
              </w:rPr>
            </w:r>
            <w:r>
              <w:rPr>
                <w:noProof/>
                <w:webHidden/>
              </w:rPr>
              <w:fldChar w:fldCharType="separate"/>
            </w:r>
            <w:r>
              <w:rPr>
                <w:noProof/>
                <w:webHidden/>
              </w:rPr>
              <w:t>396</w:t>
            </w:r>
            <w:r>
              <w:rPr>
                <w:noProof/>
                <w:webHidden/>
              </w:rPr>
              <w:fldChar w:fldCharType="end"/>
            </w:r>
          </w:hyperlink>
        </w:p>
        <w:p w14:paraId="7ADE7FCE" w14:textId="485E9444"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11" w:history="1">
            <w:r w:rsidRPr="001D4C20">
              <w:rPr>
                <w:rStyle w:val="Lienhypertexte"/>
                <w:noProof/>
              </w:rPr>
              <w:t>53.53.2 Revêtements en carreaux en mosaïque de céramique CCTB 01.02</w:t>
            </w:r>
            <w:r>
              <w:rPr>
                <w:noProof/>
                <w:webHidden/>
              </w:rPr>
              <w:tab/>
            </w:r>
            <w:r>
              <w:rPr>
                <w:noProof/>
                <w:webHidden/>
              </w:rPr>
              <w:fldChar w:fldCharType="begin"/>
            </w:r>
            <w:r>
              <w:rPr>
                <w:noProof/>
                <w:webHidden/>
              </w:rPr>
              <w:instrText xml:space="preserve"> PAGEREF _Toc220490811 \h </w:instrText>
            </w:r>
            <w:r>
              <w:rPr>
                <w:noProof/>
                <w:webHidden/>
              </w:rPr>
            </w:r>
            <w:r>
              <w:rPr>
                <w:noProof/>
                <w:webHidden/>
              </w:rPr>
              <w:fldChar w:fldCharType="separate"/>
            </w:r>
            <w:r>
              <w:rPr>
                <w:noProof/>
                <w:webHidden/>
              </w:rPr>
              <w:t>397</w:t>
            </w:r>
            <w:r>
              <w:rPr>
                <w:noProof/>
                <w:webHidden/>
              </w:rPr>
              <w:fldChar w:fldCharType="end"/>
            </w:r>
          </w:hyperlink>
        </w:p>
        <w:p w14:paraId="44DA0C3B" w14:textId="714E677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12" w:history="1">
            <w:r w:rsidRPr="001D4C20">
              <w:rPr>
                <w:rStyle w:val="Lienhypertexte"/>
                <w:noProof/>
              </w:rPr>
              <w:t>53.53.2a Revêtements en carreaux en mosaïque de céramique CCTB 01.02</w:t>
            </w:r>
            <w:r>
              <w:rPr>
                <w:noProof/>
                <w:webHidden/>
              </w:rPr>
              <w:tab/>
            </w:r>
            <w:r>
              <w:rPr>
                <w:noProof/>
                <w:webHidden/>
              </w:rPr>
              <w:fldChar w:fldCharType="begin"/>
            </w:r>
            <w:r>
              <w:rPr>
                <w:noProof/>
                <w:webHidden/>
              </w:rPr>
              <w:instrText xml:space="preserve"> PAGEREF _Toc220490812 \h </w:instrText>
            </w:r>
            <w:r>
              <w:rPr>
                <w:noProof/>
                <w:webHidden/>
              </w:rPr>
            </w:r>
            <w:r>
              <w:rPr>
                <w:noProof/>
                <w:webHidden/>
              </w:rPr>
              <w:fldChar w:fldCharType="separate"/>
            </w:r>
            <w:r>
              <w:rPr>
                <w:noProof/>
                <w:webHidden/>
              </w:rPr>
              <w:t>397</w:t>
            </w:r>
            <w:r>
              <w:rPr>
                <w:noProof/>
                <w:webHidden/>
              </w:rPr>
              <w:fldChar w:fldCharType="end"/>
            </w:r>
          </w:hyperlink>
        </w:p>
        <w:p w14:paraId="7C13F9CA" w14:textId="44E8BC9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13" w:history="1">
            <w:r w:rsidRPr="001D4C20">
              <w:rPr>
                <w:rStyle w:val="Lienhypertexte"/>
                <w:noProof/>
              </w:rPr>
              <w:t>53.53.3 Revêtements en carreaux en mosaïque de galets CCTB 01.02</w:t>
            </w:r>
            <w:r>
              <w:rPr>
                <w:noProof/>
                <w:webHidden/>
              </w:rPr>
              <w:tab/>
            </w:r>
            <w:r>
              <w:rPr>
                <w:noProof/>
                <w:webHidden/>
              </w:rPr>
              <w:fldChar w:fldCharType="begin"/>
            </w:r>
            <w:r>
              <w:rPr>
                <w:noProof/>
                <w:webHidden/>
              </w:rPr>
              <w:instrText xml:space="preserve"> PAGEREF _Toc220490813 \h </w:instrText>
            </w:r>
            <w:r>
              <w:rPr>
                <w:noProof/>
                <w:webHidden/>
              </w:rPr>
            </w:r>
            <w:r>
              <w:rPr>
                <w:noProof/>
                <w:webHidden/>
              </w:rPr>
              <w:fldChar w:fldCharType="separate"/>
            </w:r>
            <w:r>
              <w:rPr>
                <w:noProof/>
                <w:webHidden/>
              </w:rPr>
              <w:t>397</w:t>
            </w:r>
            <w:r>
              <w:rPr>
                <w:noProof/>
                <w:webHidden/>
              </w:rPr>
              <w:fldChar w:fldCharType="end"/>
            </w:r>
          </w:hyperlink>
        </w:p>
        <w:p w14:paraId="2562A9BA" w14:textId="552E1B0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14" w:history="1">
            <w:r w:rsidRPr="001D4C20">
              <w:rPr>
                <w:rStyle w:val="Lienhypertexte"/>
                <w:noProof/>
              </w:rPr>
              <w:t>53.53.3a Revêtements en carreaux en mosaïque de galets CCTB 01.02</w:t>
            </w:r>
            <w:r>
              <w:rPr>
                <w:noProof/>
                <w:webHidden/>
              </w:rPr>
              <w:tab/>
            </w:r>
            <w:r>
              <w:rPr>
                <w:noProof/>
                <w:webHidden/>
              </w:rPr>
              <w:fldChar w:fldCharType="begin"/>
            </w:r>
            <w:r>
              <w:rPr>
                <w:noProof/>
                <w:webHidden/>
              </w:rPr>
              <w:instrText xml:space="preserve"> PAGEREF _Toc220490814 \h </w:instrText>
            </w:r>
            <w:r>
              <w:rPr>
                <w:noProof/>
                <w:webHidden/>
              </w:rPr>
            </w:r>
            <w:r>
              <w:rPr>
                <w:noProof/>
                <w:webHidden/>
              </w:rPr>
              <w:fldChar w:fldCharType="separate"/>
            </w:r>
            <w:r>
              <w:rPr>
                <w:noProof/>
                <w:webHidden/>
              </w:rPr>
              <w:t>397</w:t>
            </w:r>
            <w:r>
              <w:rPr>
                <w:noProof/>
                <w:webHidden/>
              </w:rPr>
              <w:fldChar w:fldCharType="end"/>
            </w:r>
          </w:hyperlink>
        </w:p>
        <w:p w14:paraId="55161B69" w14:textId="7D2974AF"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815" w:history="1">
            <w:r w:rsidRPr="001D4C20">
              <w:rPr>
                <w:rStyle w:val="Lienhypertexte"/>
                <w:noProof/>
              </w:rPr>
              <w:t>53.54 Revêtements en carreaux à base de liants CCTB 01.02</w:t>
            </w:r>
            <w:r>
              <w:rPr>
                <w:noProof/>
                <w:webHidden/>
              </w:rPr>
              <w:tab/>
            </w:r>
            <w:r>
              <w:rPr>
                <w:noProof/>
                <w:webHidden/>
              </w:rPr>
              <w:fldChar w:fldCharType="begin"/>
            </w:r>
            <w:r>
              <w:rPr>
                <w:noProof/>
                <w:webHidden/>
              </w:rPr>
              <w:instrText xml:space="preserve"> PAGEREF _Toc220490815 \h </w:instrText>
            </w:r>
            <w:r>
              <w:rPr>
                <w:noProof/>
                <w:webHidden/>
              </w:rPr>
            </w:r>
            <w:r>
              <w:rPr>
                <w:noProof/>
                <w:webHidden/>
              </w:rPr>
              <w:fldChar w:fldCharType="separate"/>
            </w:r>
            <w:r>
              <w:rPr>
                <w:noProof/>
                <w:webHidden/>
              </w:rPr>
              <w:t>397</w:t>
            </w:r>
            <w:r>
              <w:rPr>
                <w:noProof/>
                <w:webHidden/>
              </w:rPr>
              <w:fldChar w:fldCharType="end"/>
            </w:r>
          </w:hyperlink>
        </w:p>
        <w:p w14:paraId="4C2678FD" w14:textId="35B49CC4"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16" w:history="1">
            <w:r w:rsidRPr="001D4C20">
              <w:rPr>
                <w:rStyle w:val="Lienhypertexte"/>
                <w:noProof/>
              </w:rPr>
              <w:t>53.54.1 Revêtements en carreaux à base de liants hydrauliques CCTB 01.02</w:t>
            </w:r>
            <w:r>
              <w:rPr>
                <w:noProof/>
                <w:webHidden/>
              </w:rPr>
              <w:tab/>
            </w:r>
            <w:r>
              <w:rPr>
                <w:noProof/>
                <w:webHidden/>
              </w:rPr>
              <w:fldChar w:fldCharType="begin"/>
            </w:r>
            <w:r>
              <w:rPr>
                <w:noProof/>
                <w:webHidden/>
              </w:rPr>
              <w:instrText xml:space="preserve"> PAGEREF _Toc220490816 \h </w:instrText>
            </w:r>
            <w:r>
              <w:rPr>
                <w:noProof/>
                <w:webHidden/>
              </w:rPr>
            </w:r>
            <w:r>
              <w:rPr>
                <w:noProof/>
                <w:webHidden/>
              </w:rPr>
              <w:fldChar w:fldCharType="separate"/>
            </w:r>
            <w:r>
              <w:rPr>
                <w:noProof/>
                <w:webHidden/>
              </w:rPr>
              <w:t>398</w:t>
            </w:r>
            <w:r>
              <w:rPr>
                <w:noProof/>
                <w:webHidden/>
              </w:rPr>
              <w:fldChar w:fldCharType="end"/>
            </w:r>
          </w:hyperlink>
        </w:p>
        <w:p w14:paraId="7AFC66AF" w14:textId="201873B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17" w:history="1">
            <w:r w:rsidRPr="001D4C20">
              <w:rPr>
                <w:rStyle w:val="Lienhypertexte"/>
                <w:noProof/>
              </w:rPr>
              <w:t>53.54.1a Revêtements en carreaux à base de liants hydrauliques - Ciment coloré dans la masse CCTB 01.11</w:t>
            </w:r>
            <w:r>
              <w:rPr>
                <w:noProof/>
                <w:webHidden/>
              </w:rPr>
              <w:tab/>
            </w:r>
            <w:r>
              <w:rPr>
                <w:noProof/>
                <w:webHidden/>
              </w:rPr>
              <w:fldChar w:fldCharType="begin"/>
            </w:r>
            <w:r>
              <w:rPr>
                <w:noProof/>
                <w:webHidden/>
              </w:rPr>
              <w:instrText xml:space="preserve"> PAGEREF _Toc220490817 \h </w:instrText>
            </w:r>
            <w:r>
              <w:rPr>
                <w:noProof/>
                <w:webHidden/>
              </w:rPr>
            </w:r>
            <w:r>
              <w:rPr>
                <w:noProof/>
                <w:webHidden/>
              </w:rPr>
              <w:fldChar w:fldCharType="separate"/>
            </w:r>
            <w:r>
              <w:rPr>
                <w:noProof/>
                <w:webHidden/>
              </w:rPr>
              <w:t>398</w:t>
            </w:r>
            <w:r>
              <w:rPr>
                <w:noProof/>
                <w:webHidden/>
              </w:rPr>
              <w:fldChar w:fldCharType="end"/>
            </w:r>
          </w:hyperlink>
        </w:p>
        <w:p w14:paraId="3FFC538A" w14:textId="1B97D92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18" w:history="1">
            <w:r w:rsidRPr="001D4C20">
              <w:rPr>
                <w:rStyle w:val="Lienhypertexte"/>
                <w:noProof/>
              </w:rPr>
              <w:t>53.54.1b Revêtements en carreaux à base de liants hydrauliques - Couche d'usure composée de granulats mêlés au ciment CCTB 01.02</w:t>
            </w:r>
            <w:r>
              <w:rPr>
                <w:noProof/>
                <w:webHidden/>
              </w:rPr>
              <w:tab/>
            </w:r>
            <w:r>
              <w:rPr>
                <w:noProof/>
                <w:webHidden/>
              </w:rPr>
              <w:fldChar w:fldCharType="begin"/>
            </w:r>
            <w:r>
              <w:rPr>
                <w:noProof/>
                <w:webHidden/>
              </w:rPr>
              <w:instrText xml:space="preserve"> PAGEREF _Toc220490818 \h </w:instrText>
            </w:r>
            <w:r>
              <w:rPr>
                <w:noProof/>
                <w:webHidden/>
              </w:rPr>
            </w:r>
            <w:r>
              <w:rPr>
                <w:noProof/>
                <w:webHidden/>
              </w:rPr>
              <w:fldChar w:fldCharType="separate"/>
            </w:r>
            <w:r>
              <w:rPr>
                <w:noProof/>
                <w:webHidden/>
              </w:rPr>
              <w:t>399</w:t>
            </w:r>
            <w:r>
              <w:rPr>
                <w:noProof/>
                <w:webHidden/>
              </w:rPr>
              <w:fldChar w:fldCharType="end"/>
            </w:r>
          </w:hyperlink>
        </w:p>
        <w:p w14:paraId="4E1DBAA9" w14:textId="757B5C8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19" w:history="1">
            <w:r w:rsidRPr="001D4C20">
              <w:rPr>
                <w:rStyle w:val="Lienhypertexte"/>
                <w:noProof/>
              </w:rPr>
              <w:t>53.54.1c Revêtements en carreaux à base de liants hydrauliques - Dalles de béton CCTB 01.10</w:t>
            </w:r>
            <w:r>
              <w:rPr>
                <w:noProof/>
                <w:webHidden/>
              </w:rPr>
              <w:tab/>
            </w:r>
            <w:r>
              <w:rPr>
                <w:noProof/>
                <w:webHidden/>
              </w:rPr>
              <w:fldChar w:fldCharType="begin"/>
            </w:r>
            <w:r>
              <w:rPr>
                <w:noProof/>
                <w:webHidden/>
              </w:rPr>
              <w:instrText xml:space="preserve"> PAGEREF _Toc220490819 \h </w:instrText>
            </w:r>
            <w:r>
              <w:rPr>
                <w:noProof/>
                <w:webHidden/>
              </w:rPr>
            </w:r>
            <w:r>
              <w:rPr>
                <w:noProof/>
                <w:webHidden/>
              </w:rPr>
              <w:fldChar w:fldCharType="separate"/>
            </w:r>
            <w:r>
              <w:rPr>
                <w:noProof/>
                <w:webHidden/>
              </w:rPr>
              <w:t>399</w:t>
            </w:r>
            <w:r>
              <w:rPr>
                <w:noProof/>
                <w:webHidden/>
              </w:rPr>
              <w:fldChar w:fldCharType="end"/>
            </w:r>
          </w:hyperlink>
        </w:p>
        <w:p w14:paraId="658EC3F4" w14:textId="6FB9AFE5"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20" w:history="1">
            <w:r w:rsidRPr="001D4C20">
              <w:rPr>
                <w:rStyle w:val="Lienhypertexte"/>
                <w:noProof/>
              </w:rPr>
              <w:t>53.54.2 Revêtements en carreaux à base de liants résineux CCTB 01.02</w:t>
            </w:r>
            <w:r>
              <w:rPr>
                <w:noProof/>
                <w:webHidden/>
              </w:rPr>
              <w:tab/>
            </w:r>
            <w:r>
              <w:rPr>
                <w:noProof/>
                <w:webHidden/>
              </w:rPr>
              <w:fldChar w:fldCharType="begin"/>
            </w:r>
            <w:r>
              <w:rPr>
                <w:noProof/>
                <w:webHidden/>
              </w:rPr>
              <w:instrText xml:space="preserve"> PAGEREF _Toc220490820 \h </w:instrText>
            </w:r>
            <w:r>
              <w:rPr>
                <w:noProof/>
                <w:webHidden/>
              </w:rPr>
            </w:r>
            <w:r>
              <w:rPr>
                <w:noProof/>
                <w:webHidden/>
              </w:rPr>
              <w:fldChar w:fldCharType="separate"/>
            </w:r>
            <w:r>
              <w:rPr>
                <w:noProof/>
                <w:webHidden/>
              </w:rPr>
              <w:t>400</w:t>
            </w:r>
            <w:r>
              <w:rPr>
                <w:noProof/>
                <w:webHidden/>
              </w:rPr>
              <w:fldChar w:fldCharType="end"/>
            </w:r>
          </w:hyperlink>
        </w:p>
        <w:p w14:paraId="31004A53" w14:textId="5DE8CF8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21" w:history="1">
            <w:r w:rsidRPr="001D4C20">
              <w:rPr>
                <w:rStyle w:val="Lienhypertexte"/>
                <w:noProof/>
              </w:rPr>
              <w:t>53.54.2a Revêtements en carreaux à base de liants résineux CCTB 01.02</w:t>
            </w:r>
            <w:r>
              <w:rPr>
                <w:noProof/>
                <w:webHidden/>
              </w:rPr>
              <w:tab/>
            </w:r>
            <w:r>
              <w:rPr>
                <w:noProof/>
                <w:webHidden/>
              </w:rPr>
              <w:fldChar w:fldCharType="begin"/>
            </w:r>
            <w:r>
              <w:rPr>
                <w:noProof/>
                <w:webHidden/>
              </w:rPr>
              <w:instrText xml:space="preserve"> PAGEREF _Toc220490821 \h </w:instrText>
            </w:r>
            <w:r>
              <w:rPr>
                <w:noProof/>
                <w:webHidden/>
              </w:rPr>
            </w:r>
            <w:r>
              <w:rPr>
                <w:noProof/>
                <w:webHidden/>
              </w:rPr>
              <w:fldChar w:fldCharType="separate"/>
            </w:r>
            <w:r>
              <w:rPr>
                <w:noProof/>
                <w:webHidden/>
              </w:rPr>
              <w:t>400</w:t>
            </w:r>
            <w:r>
              <w:rPr>
                <w:noProof/>
                <w:webHidden/>
              </w:rPr>
              <w:fldChar w:fldCharType="end"/>
            </w:r>
          </w:hyperlink>
        </w:p>
        <w:p w14:paraId="73300E18" w14:textId="0C9DAC23"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822" w:history="1">
            <w:r w:rsidRPr="001D4C20">
              <w:rPr>
                <w:rStyle w:val="Lienhypertexte"/>
                <w:noProof/>
              </w:rPr>
              <w:t>53.55 Revêtements de sols souples CCTB 01.12</w:t>
            </w:r>
            <w:r>
              <w:rPr>
                <w:noProof/>
                <w:webHidden/>
              </w:rPr>
              <w:tab/>
            </w:r>
            <w:r>
              <w:rPr>
                <w:noProof/>
                <w:webHidden/>
              </w:rPr>
              <w:fldChar w:fldCharType="begin"/>
            </w:r>
            <w:r>
              <w:rPr>
                <w:noProof/>
                <w:webHidden/>
              </w:rPr>
              <w:instrText xml:space="preserve"> PAGEREF _Toc220490822 \h </w:instrText>
            </w:r>
            <w:r>
              <w:rPr>
                <w:noProof/>
                <w:webHidden/>
              </w:rPr>
            </w:r>
            <w:r>
              <w:rPr>
                <w:noProof/>
                <w:webHidden/>
              </w:rPr>
              <w:fldChar w:fldCharType="separate"/>
            </w:r>
            <w:r>
              <w:rPr>
                <w:noProof/>
                <w:webHidden/>
              </w:rPr>
              <w:t>400</w:t>
            </w:r>
            <w:r>
              <w:rPr>
                <w:noProof/>
                <w:webHidden/>
              </w:rPr>
              <w:fldChar w:fldCharType="end"/>
            </w:r>
          </w:hyperlink>
        </w:p>
        <w:p w14:paraId="1599948D" w14:textId="40DF61DB"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23" w:history="1">
            <w:r w:rsidRPr="001D4C20">
              <w:rPr>
                <w:rStyle w:val="Lienhypertexte"/>
                <w:noProof/>
              </w:rPr>
              <w:t>53.55.1 Revêtements de sols souples en textile CCTB 01.02</w:t>
            </w:r>
            <w:r>
              <w:rPr>
                <w:noProof/>
                <w:webHidden/>
              </w:rPr>
              <w:tab/>
            </w:r>
            <w:r>
              <w:rPr>
                <w:noProof/>
                <w:webHidden/>
              </w:rPr>
              <w:fldChar w:fldCharType="begin"/>
            </w:r>
            <w:r>
              <w:rPr>
                <w:noProof/>
                <w:webHidden/>
              </w:rPr>
              <w:instrText xml:space="preserve"> PAGEREF _Toc220490823 \h </w:instrText>
            </w:r>
            <w:r>
              <w:rPr>
                <w:noProof/>
                <w:webHidden/>
              </w:rPr>
            </w:r>
            <w:r>
              <w:rPr>
                <w:noProof/>
                <w:webHidden/>
              </w:rPr>
              <w:fldChar w:fldCharType="separate"/>
            </w:r>
            <w:r>
              <w:rPr>
                <w:noProof/>
                <w:webHidden/>
              </w:rPr>
              <w:t>404</w:t>
            </w:r>
            <w:r>
              <w:rPr>
                <w:noProof/>
                <w:webHidden/>
              </w:rPr>
              <w:fldChar w:fldCharType="end"/>
            </w:r>
          </w:hyperlink>
        </w:p>
        <w:p w14:paraId="3FE49301" w14:textId="7D5168F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24" w:history="1">
            <w:r w:rsidRPr="001D4C20">
              <w:rPr>
                <w:rStyle w:val="Lienhypertexte"/>
                <w:noProof/>
              </w:rPr>
              <w:t>53.55.1a Revêtements de sols souples en textile - Tapis plain, etc. CCTB 01.12</w:t>
            </w:r>
            <w:r>
              <w:rPr>
                <w:noProof/>
                <w:webHidden/>
              </w:rPr>
              <w:tab/>
            </w:r>
            <w:r>
              <w:rPr>
                <w:noProof/>
                <w:webHidden/>
              </w:rPr>
              <w:fldChar w:fldCharType="begin"/>
            </w:r>
            <w:r>
              <w:rPr>
                <w:noProof/>
                <w:webHidden/>
              </w:rPr>
              <w:instrText xml:space="preserve"> PAGEREF _Toc220490824 \h </w:instrText>
            </w:r>
            <w:r>
              <w:rPr>
                <w:noProof/>
                <w:webHidden/>
              </w:rPr>
            </w:r>
            <w:r>
              <w:rPr>
                <w:noProof/>
                <w:webHidden/>
              </w:rPr>
              <w:fldChar w:fldCharType="separate"/>
            </w:r>
            <w:r>
              <w:rPr>
                <w:noProof/>
                <w:webHidden/>
              </w:rPr>
              <w:t>404</w:t>
            </w:r>
            <w:r>
              <w:rPr>
                <w:noProof/>
                <w:webHidden/>
              </w:rPr>
              <w:fldChar w:fldCharType="end"/>
            </w:r>
          </w:hyperlink>
        </w:p>
        <w:p w14:paraId="3EE86687" w14:textId="1FC2CDF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25" w:history="1">
            <w:r w:rsidRPr="001D4C20">
              <w:rPr>
                <w:rStyle w:val="Lienhypertexte"/>
                <w:noProof/>
              </w:rPr>
              <w:t>53.55.1b Revêtements de sols souples en textile - Coco CCTB 01.02</w:t>
            </w:r>
            <w:r>
              <w:rPr>
                <w:noProof/>
                <w:webHidden/>
              </w:rPr>
              <w:tab/>
            </w:r>
            <w:r>
              <w:rPr>
                <w:noProof/>
                <w:webHidden/>
              </w:rPr>
              <w:fldChar w:fldCharType="begin"/>
            </w:r>
            <w:r>
              <w:rPr>
                <w:noProof/>
                <w:webHidden/>
              </w:rPr>
              <w:instrText xml:space="preserve"> PAGEREF _Toc220490825 \h </w:instrText>
            </w:r>
            <w:r>
              <w:rPr>
                <w:noProof/>
                <w:webHidden/>
              </w:rPr>
            </w:r>
            <w:r>
              <w:rPr>
                <w:noProof/>
                <w:webHidden/>
              </w:rPr>
              <w:fldChar w:fldCharType="separate"/>
            </w:r>
            <w:r>
              <w:rPr>
                <w:noProof/>
                <w:webHidden/>
              </w:rPr>
              <w:t>407</w:t>
            </w:r>
            <w:r>
              <w:rPr>
                <w:noProof/>
                <w:webHidden/>
              </w:rPr>
              <w:fldChar w:fldCharType="end"/>
            </w:r>
          </w:hyperlink>
        </w:p>
        <w:p w14:paraId="74B228B9" w14:textId="76F505D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26" w:history="1">
            <w:r w:rsidRPr="001D4C20">
              <w:rPr>
                <w:rStyle w:val="Lienhypertexte"/>
                <w:noProof/>
              </w:rPr>
              <w:t>53.55.1c Revêtements de sols souples en textile - Sisal CCTB 01.02</w:t>
            </w:r>
            <w:r>
              <w:rPr>
                <w:noProof/>
                <w:webHidden/>
              </w:rPr>
              <w:tab/>
            </w:r>
            <w:r>
              <w:rPr>
                <w:noProof/>
                <w:webHidden/>
              </w:rPr>
              <w:fldChar w:fldCharType="begin"/>
            </w:r>
            <w:r>
              <w:rPr>
                <w:noProof/>
                <w:webHidden/>
              </w:rPr>
              <w:instrText xml:space="preserve"> PAGEREF _Toc220490826 \h </w:instrText>
            </w:r>
            <w:r>
              <w:rPr>
                <w:noProof/>
                <w:webHidden/>
              </w:rPr>
            </w:r>
            <w:r>
              <w:rPr>
                <w:noProof/>
                <w:webHidden/>
              </w:rPr>
              <w:fldChar w:fldCharType="separate"/>
            </w:r>
            <w:r>
              <w:rPr>
                <w:noProof/>
                <w:webHidden/>
              </w:rPr>
              <w:t>407</w:t>
            </w:r>
            <w:r>
              <w:rPr>
                <w:noProof/>
                <w:webHidden/>
              </w:rPr>
              <w:fldChar w:fldCharType="end"/>
            </w:r>
          </w:hyperlink>
        </w:p>
        <w:p w14:paraId="71D13FAF" w14:textId="0E17237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27" w:history="1">
            <w:r w:rsidRPr="001D4C20">
              <w:rPr>
                <w:rStyle w:val="Lienhypertexte"/>
                <w:noProof/>
              </w:rPr>
              <w:t>53.55.1d Revêtements de sols souples en textile - Laine CCTB 01.02</w:t>
            </w:r>
            <w:r>
              <w:rPr>
                <w:noProof/>
                <w:webHidden/>
              </w:rPr>
              <w:tab/>
            </w:r>
            <w:r>
              <w:rPr>
                <w:noProof/>
                <w:webHidden/>
              </w:rPr>
              <w:fldChar w:fldCharType="begin"/>
            </w:r>
            <w:r>
              <w:rPr>
                <w:noProof/>
                <w:webHidden/>
              </w:rPr>
              <w:instrText xml:space="preserve"> PAGEREF _Toc220490827 \h </w:instrText>
            </w:r>
            <w:r>
              <w:rPr>
                <w:noProof/>
                <w:webHidden/>
              </w:rPr>
            </w:r>
            <w:r>
              <w:rPr>
                <w:noProof/>
                <w:webHidden/>
              </w:rPr>
              <w:fldChar w:fldCharType="separate"/>
            </w:r>
            <w:r>
              <w:rPr>
                <w:noProof/>
                <w:webHidden/>
              </w:rPr>
              <w:t>407</w:t>
            </w:r>
            <w:r>
              <w:rPr>
                <w:noProof/>
                <w:webHidden/>
              </w:rPr>
              <w:fldChar w:fldCharType="end"/>
            </w:r>
          </w:hyperlink>
        </w:p>
        <w:p w14:paraId="03850DCB" w14:textId="4D9F5116"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28" w:history="1">
            <w:r w:rsidRPr="001D4C20">
              <w:rPr>
                <w:rStyle w:val="Lienhypertexte"/>
                <w:noProof/>
              </w:rPr>
              <w:t>53.55.2 Revêtements de sols souples, ligneux CCTB 01.02</w:t>
            </w:r>
            <w:r>
              <w:rPr>
                <w:noProof/>
                <w:webHidden/>
              </w:rPr>
              <w:tab/>
            </w:r>
            <w:r>
              <w:rPr>
                <w:noProof/>
                <w:webHidden/>
              </w:rPr>
              <w:fldChar w:fldCharType="begin"/>
            </w:r>
            <w:r>
              <w:rPr>
                <w:noProof/>
                <w:webHidden/>
              </w:rPr>
              <w:instrText xml:space="preserve"> PAGEREF _Toc220490828 \h </w:instrText>
            </w:r>
            <w:r>
              <w:rPr>
                <w:noProof/>
                <w:webHidden/>
              </w:rPr>
            </w:r>
            <w:r>
              <w:rPr>
                <w:noProof/>
                <w:webHidden/>
              </w:rPr>
              <w:fldChar w:fldCharType="separate"/>
            </w:r>
            <w:r>
              <w:rPr>
                <w:noProof/>
                <w:webHidden/>
              </w:rPr>
              <w:t>407</w:t>
            </w:r>
            <w:r>
              <w:rPr>
                <w:noProof/>
                <w:webHidden/>
              </w:rPr>
              <w:fldChar w:fldCharType="end"/>
            </w:r>
          </w:hyperlink>
        </w:p>
        <w:p w14:paraId="226EE9E8" w14:textId="573A923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29" w:history="1">
            <w:r w:rsidRPr="001D4C20">
              <w:rPr>
                <w:rStyle w:val="Lienhypertexte"/>
                <w:noProof/>
              </w:rPr>
              <w:t>53.55.2a Revêtements de sols souples, ligneux - Liège en rouleau CCTB 01.13</w:t>
            </w:r>
            <w:r>
              <w:rPr>
                <w:noProof/>
                <w:webHidden/>
              </w:rPr>
              <w:tab/>
            </w:r>
            <w:r>
              <w:rPr>
                <w:noProof/>
                <w:webHidden/>
              </w:rPr>
              <w:fldChar w:fldCharType="begin"/>
            </w:r>
            <w:r>
              <w:rPr>
                <w:noProof/>
                <w:webHidden/>
              </w:rPr>
              <w:instrText xml:space="preserve"> PAGEREF _Toc220490829 \h </w:instrText>
            </w:r>
            <w:r>
              <w:rPr>
                <w:noProof/>
                <w:webHidden/>
              </w:rPr>
            </w:r>
            <w:r>
              <w:rPr>
                <w:noProof/>
                <w:webHidden/>
              </w:rPr>
              <w:fldChar w:fldCharType="separate"/>
            </w:r>
            <w:r>
              <w:rPr>
                <w:noProof/>
                <w:webHidden/>
              </w:rPr>
              <w:t>407</w:t>
            </w:r>
            <w:r>
              <w:rPr>
                <w:noProof/>
                <w:webHidden/>
              </w:rPr>
              <w:fldChar w:fldCharType="end"/>
            </w:r>
          </w:hyperlink>
        </w:p>
        <w:p w14:paraId="141035DC" w14:textId="5144D24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30" w:history="1">
            <w:r w:rsidRPr="001D4C20">
              <w:rPr>
                <w:rStyle w:val="Lienhypertexte"/>
                <w:noProof/>
              </w:rPr>
              <w:t>53.55.2b Revêtements de sols souples, ligneux - Liège en plaques CCTB 01.13</w:t>
            </w:r>
            <w:r>
              <w:rPr>
                <w:noProof/>
                <w:webHidden/>
              </w:rPr>
              <w:tab/>
            </w:r>
            <w:r>
              <w:rPr>
                <w:noProof/>
                <w:webHidden/>
              </w:rPr>
              <w:fldChar w:fldCharType="begin"/>
            </w:r>
            <w:r>
              <w:rPr>
                <w:noProof/>
                <w:webHidden/>
              </w:rPr>
              <w:instrText xml:space="preserve"> PAGEREF _Toc220490830 \h </w:instrText>
            </w:r>
            <w:r>
              <w:rPr>
                <w:noProof/>
                <w:webHidden/>
              </w:rPr>
            </w:r>
            <w:r>
              <w:rPr>
                <w:noProof/>
                <w:webHidden/>
              </w:rPr>
              <w:fldChar w:fldCharType="separate"/>
            </w:r>
            <w:r>
              <w:rPr>
                <w:noProof/>
                <w:webHidden/>
              </w:rPr>
              <w:t>408</w:t>
            </w:r>
            <w:r>
              <w:rPr>
                <w:noProof/>
                <w:webHidden/>
              </w:rPr>
              <w:fldChar w:fldCharType="end"/>
            </w:r>
          </w:hyperlink>
        </w:p>
        <w:p w14:paraId="4CEF04D3" w14:textId="39DE7414"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31" w:history="1">
            <w:r w:rsidRPr="001D4C20">
              <w:rPr>
                <w:rStyle w:val="Lienhypertexte"/>
                <w:noProof/>
              </w:rPr>
              <w:t>53.55.3 Revêtements de sols souples plastiques et synthétiques (lino, PVC, ...) CCTB 01.02</w:t>
            </w:r>
            <w:r>
              <w:rPr>
                <w:noProof/>
                <w:webHidden/>
              </w:rPr>
              <w:tab/>
            </w:r>
            <w:r>
              <w:rPr>
                <w:noProof/>
                <w:webHidden/>
              </w:rPr>
              <w:fldChar w:fldCharType="begin"/>
            </w:r>
            <w:r>
              <w:rPr>
                <w:noProof/>
                <w:webHidden/>
              </w:rPr>
              <w:instrText xml:space="preserve"> PAGEREF _Toc220490831 \h </w:instrText>
            </w:r>
            <w:r>
              <w:rPr>
                <w:noProof/>
                <w:webHidden/>
              </w:rPr>
            </w:r>
            <w:r>
              <w:rPr>
                <w:noProof/>
                <w:webHidden/>
              </w:rPr>
              <w:fldChar w:fldCharType="separate"/>
            </w:r>
            <w:r>
              <w:rPr>
                <w:noProof/>
                <w:webHidden/>
              </w:rPr>
              <w:t>409</w:t>
            </w:r>
            <w:r>
              <w:rPr>
                <w:noProof/>
                <w:webHidden/>
              </w:rPr>
              <w:fldChar w:fldCharType="end"/>
            </w:r>
          </w:hyperlink>
        </w:p>
        <w:p w14:paraId="0898EC92" w14:textId="7FD497C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32" w:history="1">
            <w:r w:rsidRPr="001D4C20">
              <w:rPr>
                <w:rStyle w:val="Lienhypertexte"/>
                <w:noProof/>
              </w:rPr>
              <w:t>53.55.3a Revêtements de sols souples plastiques et synthétiques - Linoleum CCTB 01.12</w:t>
            </w:r>
            <w:r>
              <w:rPr>
                <w:noProof/>
                <w:webHidden/>
              </w:rPr>
              <w:tab/>
            </w:r>
            <w:r>
              <w:rPr>
                <w:noProof/>
                <w:webHidden/>
              </w:rPr>
              <w:fldChar w:fldCharType="begin"/>
            </w:r>
            <w:r>
              <w:rPr>
                <w:noProof/>
                <w:webHidden/>
              </w:rPr>
              <w:instrText xml:space="preserve"> PAGEREF _Toc220490832 \h </w:instrText>
            </w:r>
            <w:r>
              <w:rPr>
                <w:noProof/>
                <w:webHidden/>
              </w:rPr>
            </w:r>
            <w:r>
              <w:rPr>
                <w:noProof/>
                <w:webHidden/>
              </w:rPr>
              <w:fldChar w:fldCharType="separate"/>
            </w:r>
            <w:r>
              <w:rPr>
                <w:noProof/>
                <w:webHidden/>
              </w:rPr>
              <w:t>409</w:t>
            </w:r>
            <w:r>
              <w:rPr>
                <w:noProof/>
                <w:webHidden/>
              </w:rPr>
              <w:fldChar w:fldCharType="end"/>
            </w:r>
          </w:hyperlink>
        </w:p>
        <w:p w14:paraId="6DB84F50" w14:textId="79B14A0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33" w:history="1">
            <w:r w:rsidRPr="001D4C20">
              <w:rPr>
                <w:rStyle w:val="Lienhypertexte"/>
                <w:noProof/>
              </w:rPr>
              <w:t>53.55.3b Revêtements de sols souples plastiques et synthétiques, en PVC CCTB 01.12</w:t>
            </w:r>
            <w:r>
              <w:rPr>
                <w:noProof/>
                <w:webHidden/>
              </w:rPr>
              <w:tab/>
            </w:r>
            <w:r>
              <w:rPr>
                <w:noProof/>
                <w:webHidden/>
              </w:rPr>
              <w:fldChar w:fldCharType="begin"/>
            </w:r>
            <w:r>
              <w:rPr>
                <w:noProof/>
                <w:webHidden/>
              </w:rPr>
              <w:instrText xml:space="preserve"> PAGEREF _Toc220490833 \h </w:instrText>
            </w:r>
            <w:r>
              <w:rPr>
                <w:noProof/>
                <w:webHidden/>
              </w:rPr>
            </w:r>
            <w:r>
              <w:rPr>
                <w:noProof/>
                <w:webHidden/>
              </w:rPr>
              <w:fldChar w:fldCharType="separate"/>
            </w:r>
            <w:r>
              <w:rPr>
                <w:noProof/>
                <w:webHidden/>
              </w:rPr>
              <w:t>411</w:t>
            </w:r>
            <w:r>
              <w:rPr>
                <w:noProof/>
                <w:webHidden/>
              </w:rPr>
              <w:fldChar w:fldCharType="end"/>
            </w:r>
          </w:hyperlink>
        </w:p>
        <w:p w14:paraId="52C7ABB2" w14:textId="2B8A7F9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34" w:history="1">
            <w:r w:rsidRPr="001D4C20">
              <w:rPr>
                <w:rStyle w:val="Lienhypertexte"/>
                <w:noProof/>
              </w:rPr>
              <w:t>53.55.3c Revêtements de sols souples plastiques et synthétiques, en vinyle CCTB 01.10</w:t>
            </w:r>
            <w:r>
              <w:rPr>
                <w:noProof/>
                <w:webHidden/>
              </w:rPr>
              <w:tab/>
            </w:r>
            <w:r>
              <w:rPr>
                <w:noProof/>
                <w:webHidden/>
              </w:rPr>
              <w:fldChar w:fldCharType="begin"/>
            </w:r>
            <w:r>
              <w:rPr>
                <w:noProof/>
                <w:webHidden/>
              </w:rPr>
              <w:instrText xml:space="preserve"> PAGEREF _Toc220490834 \h </w:instrText>
            </w:r>
            <w:r>
              <w:rPr>
                <w:noProof/>
                <w:webHidden/>
              </w:rPr>
            </w:r>
            <w:r>
              <w:rPr>
                <w:noProof/>
                <w:webHidden/>
              </w:rPr>
              <w:fldChar w:fldCharType="separate"/>
            </w:r>
            <w:r>
              <w:rPr>
                <w:noProof/>
                <w:webHidden/>
              </w:rPr>
              <w:t>413</w:t>
            </w:r>
            <w:r>
              <w:rPr>
                <w:noProof/>
                <w:webHidden/>
              </w:rPr>
              <w:fldChar w:fldCharType="end"/>
            </w:r>
          </w:hyperlink>
        </w:p>
        <w:p w14:paraId="51129A6A" w14:textId="5A7C6D1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35" w:history="1">
            <w:r w:rsidRPr="001D4C20">
              <w:rPr>
                <w:rStyle w:val="Lienhypertexte"/>
                <w:noProof/>
              </w:rPr>
              <w:t>53.55.3d Revêtements de sols souples plastiques et synthétiques - Tapis plain CCTB 01.02</w:t>
            </w:r>
            <w:r>
              <w:rPr>
                <w:noProof/>
                <w:webHidden/>
              </w:rPr>
              <w:tab/>
            </w:r>
            <w:r>
              <w:rPr>
                <w:noProof/>
                <w:webHidden/>
              </w:rPr>
              <w:fldChar w:fldCharType="begin"/>
            </w:r>
            <w:r>
              <w:rPr>
                <w:noProof/>
                <w:webHidden/>
              </w:rPr>
              <w:instrText xml:space="preserve"> PAGEREF _Toc220490835 \h </w:instrText>
            </w:r>
            <w:r>
              <w:rPr>
                <w:noProof/>
                <w:webHidden/>
              </w:rPr>
            </w:r>
            <w:r>
              <w:rPr>
                <w:noProof/>
                <w:webHidden/>
              </w:rPr>
              <w:fldChar w:fldCharType="separate"/>
            </w:r>
            <w:r>
              <w:rPr>
                <w:noProof/>
                <w:webHidden/>
              </w:rPr>
              <w:t>414</w:t>
            </w:r>
            <w:r>
              <w:rPr>
                <w:noProof/>
                <w:webHidden/>
              </w:rPr>
              <w:fldChar w:fldCharType="end"/>
            </w:r>
          </w:hyperlink>
        </w:p>
        <w:p w14:paraId="51BAAAAD" w14:textId="00D239E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36" w:history="1">
            <w:r w:rsidRPr="001D4C20">
              <w:rPr>
                <w:rStyle w:val="Lienhypertexte"/>
                <w:noProof/>
              </w:rPr>
              <w:t>53.55.4 Revêtements de sols souples en caoutchouc CCTB 01.02</w:t>
            </w:r>
            <w:r>
              <w:rPr>
                <w:noProof/>
                <w:webHidden/>
              </w:rPr>
              <w:tab/>
            </w:r>
            <w:r>
              <w:rPr>
                <w:noProof/>
                <w:webHidden/>
              </w:rPr>
              <w:fldChar w:fldCharType="begin"/>
            </w:r>
            <w:r>
              <w:rPr>
                <w:noProof/>
                <w:webHidden/>
              </w:rPr>
              <w:instrText xml:space="preserve"> PAGEREF _Toc220490836 \h </w:instrText>
            </w:r>
            <w:r>
              <w:rPr>
                <w:noProof/>
                <w:webHidden/>
              </w:rPr>
            </w:r>
            <w:r>
              <w:rPr>
                <w:noProof/>
                <w:webHidden/>
              </w:rPr>
              <w:fldChar w:fldCharType="separate"/>
            </w:r>
            <w:r>
              <w:rPr>
                <w:noProof/>
                <w:webHidden/>
              </w:rPr>
              <w:t>414</w:t>
            </w:r>
            <w:r>
              <w:rPr>
                <w:noProof/>
                <w:webHidden/>
              </w:rPr>
              <w:fldChar w:fldCharType="end"/>
            </w:r>
          </w:hyperlink>
        </w:p>
        <w:p w14:paraId="01328458" w14:textId="7D885F0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37" w:history="1">
            <w:r w:rsidRPr="001D4C20">
              <w:rPr>
                <w:rStyle w:val="Lienhypertexte"/>
                <w:noProof/>
              </w:rPr>
              <w:t>53.55.4a Revêtements de sols souples en caoutchouc CCTB 01.12</w:t>
            </w:r>
            <w:r>
              <w:rPr>
                <w:noProof/>
                <w:webHidden/>
              </w:rPr>
              <w:tab/>
            </w:r>
            <w:r>
              <w:rPr>
                <w:noProof/>
                <w:webHidden/>
              </w:rPr>
              <w:fldChar w:fldCharType="begin"/>
            </w:r>
            <w:r>
              <w:rPr>
                <w:noProof/>
                <w:webHidden/>
              </w:rPr>
              <w:instrText xml:space="preserve"> PAGEREF _Toc220490837 \h </w:instrText>
            </w:r>
            <w:r>
              <w:rPr>
                <w:noProof/>
                <w:webHidden/>
              </w:rPr>
            </w:r>
            <w:r>
              <w:rPr>
                <w:noProof/>
                <w:webHidden/>
              </w:rPr>
              <w:fldChar w:fldCharType="separate"/>
            </w:r>
            <w:r>
              <w:rPr>
                <w:noProof/>
                <w:webHidden/>
              </w:rPr>
              <w:t>414</w:t>
            </w:r>
            <w:r>
              <w:rPr>
                <w:noProof/>
                <w:webHidden/>
              </w:rPr>
              <w:fldChar w:fldCharType="end"/>
            </w:r>
          </w:hyperlink>
        </w:p>
        <w:p w14:paraId="0A0BE11D" w14:textId="3F77BAC0"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838" w:history="1">
            <w:r w:rsidRPr="001D4C20">
              <w:rPr>
                <w:rStyle w:val="Lienhypertexte"/>
                <w:noProof/>
              </w:rPr>
              <w:t>53.56 Revêtements en bois massif CCTB 01.10</w:t>
            </w:r>
            <w:r>
              <w:rPr>
                <w:noProof/>
                <w:webHidden/>
              </w:rPr>
              <w:tab/>
            </w:r>
            <w:r>
              <w:rPr>
                <w:noProof/>
                <w:webHidden/>
              </w:rPr>
              <w:fldChar w:fldCharType="begin"/>
            </w:r>
            <w:r>
              <w:rPr>
                <w:noProof/>
                <w:webHidden/>
              </w:rPr>
              <w:instrText xml:space="preserve"> PAGEREF _Toc220490838 \h </w:instrText>
            </w:r>
            <w:r>
              <w:rPr>
                <w:noProof/>
                <w:webHidden/>
              </w:rPr>
            </w:r>
            <w:r>
              <w:rPr>
                <w:noProof/>
                <w:webHidden/>
              </w:rPr>
              <w:fldChar w:fldCharType="separate"/>
            </w:r>
            <w:r>
              <w:rPr>
                <w:noProof/>
                <w:webHidden/>
              </w:rPr>
              <w:t>416</w:t>
            </w:r>
            <w:r>
              <w:rPr>
                <w:noProof/>
                <w:webHidden/>
              </w:rPr>
              <w:fldChar w:fldCharType="end"/>
            </w:r>
          </w:hyperlink>
        </w:p>
        <w:p w14:paraId="04C7D168" w14:textId="25C20472"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39" w:history="1">
            <w:r w:rsidRPr="001D4C20">
              <w:rPr>
                <w:rStyle w:val="Lienhypertexte"/>
                <w:noProof/>
              </w:rPr>
              <w:t>53.56.1 Revêtements en bois massif - Planchers CCTB 01.02</w:t>
            </w:r>
            <w:r>
              <w:rPr>
                <w:noProof/>
                <w:webHidden/>
              </w:rPr>
              <w:tab/>
            </w:r>
            <w:r>
              <w:rPr>
                <w:noProof/>
                <w:webHidden/>
              </w:rPr>
              <w:fldChar w:fldCharType="begin"/>
            </w:r>
            <w:r>
              <w:rPr>
                <w:noProof/>
                <w:webHidden/>
              </w:rPr>
              <w:instrText xml:space="preserve"> PAGEREF _Toc220490839 \h </w:instrText>
            </w:r>
            <w:r>
              <w:rPr>
                <w:noProof/>
                <w:webHidden/>
              </w:rPr>
            </w:r>
            <w:r>
              <w:rPr>
                <w:noProof/>
                <w:webHidden/>
              </w:rPr>
              <w:fldChar w:fldCharType="separate"/>
            </w:r>
            <w:r>
              <w:rPr>
                <w:noProof/>
                <w:webHidden/>
              </w:rPr>
              <w:t>417</w:t>
            </w:r>
            <w:r>
              <w:rPr>
                <w:noProof/>
                <w:webHidden/>
              </w:rPr>
              <w:fldChar w:fldCharType="end"/>
            </w:r>
          </w:hyperlink>
        </w:p>
        <w:p w14:paraId="00B946C8" w14:textId="3F6143D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40" w:history="1">
            <w:r w:rsidRPr="001D4C20">
              <w:rPr>
                <w:rStyle w:val="Lienhypertexte"/>
                <w:noProof/>
              </w:rPr>
              <w:t>53.56.1a Revêtements en bois massif - Planchers CCTB 01.11</w:t>
            </w:r>
            <w:r>
              <w:rPr>
                <w:noProof/>
                <w:webHidden/>
              </w:rPr>
              <w:tab/>
            </w:r>
            <w:r>
              <w:rPr>
                <w:noProof/>
                <w:webHidden/>
              </w:rPr>
              <w:fldChar w:fldCharType="begin"/>
            </w:r>
            <w:r>
              <w:rPr>
                <w:noProof/>
                <w:webHidden/>
              </w:rPr>
              <w:instrText xml:space="preserve"> PAGEREF _Toc220490840 \h </w:instrText>
            </w:r>
            <w:r>
              <w:rPr>
                <w:noProof/>
                <w:webHidden/>
              </w:rPr>
            </w:r>
            <w:r>
              <w:rPr>
                <w:noProof/>
                <w:webHidden/>
              </w:rPr>
              <w:fldChar w:fldCharType="separate"/>
            </w:r>
            <w:r>
              <w:rPr>
                <w:noProof/>
                <w:webHidden/>
              </w:rPr>
              <w:t>417</w:t>
            </w:r>
            <w:r>
              <w:rPr>
                <w:noProof/>
                <w:webHidden/>
              </w:rPr>
              <w:fldChar w:fldCharType="end"/>
            </w:r>
          </w:hyperlink>
        </w:p>
        <w:p w14:paraId="5EDD2721" w14:textId="405CD35A"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41" w:history="1">
            <w:r w:rsidRPr="001D4C20">
              <w:rPr>
                <w:rStyle w:val="Lienhypertexte"/>
                <w:noProof/>
              </w:rPr>
              <w:t>53.56.2 Revêtements en bois massif - Parquet mosaïque CCTB 01.02</w:t>
            </w:r>
            <w:r>
              <w:rPr>
                <w:noProof/>
                <w:webHidden/>
              </w:rPr>
              <w:tab/>
            </w:r>
            <w:r>
              <w:rPr>
                <w:noProof/>
                <w:webHidden/>
              </w:rPr>
              <w:fldChar w:fldCharType="begin"/>
            </w:r>
            <w:r>
              <w:rPr>
                <w:noProof/>
                <w:webHidden/>
              </w:rPr>
              <w:instrText xml:space="preserve"> PAGEREF _Toc220490841 \h </w:instrText>
            </w:r>
            <w:r>
              <w:rPr>
                <w:noProof/>
                <w:webHidden/>
              </w:rPr>
            </w:r>
            <w:r>
              <w:rPr>
                <w:noProof/>
                <w:webHidden/>
              </w:rPr>
              <w:fldChar w:fldCharType="separate"/>
            </w:r>
            <w:r>
              <w:rPr>
                <w:noProof/>
                <w:webHidden/>
              </w:rPr>
              <w:t>418</w:t>
            </w:r>
            <w:r>
              <w:rPr>
                <w:noProof/>
                <w:webHidden/>
              </w:rPr>
              <w:fldChar w:fldCharType="end"/>
            </w:r>
          </w:hyperlink>
        </w:p>
        <w:p w14:paraId="65331596" w14:textId="5C022CB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42" w:history="1">
            <w:r w:rsidRPr="001D4C20">
              <w:rPr>
                <w:rStyle w:val="Lienhypertexte"/>
                <w:noProof/>
              </w:rPr>
              <w:t>53.56.2a Revêtements en bois massif - Parquet mosaïque CCTB 01.10</w:t>
            </w:r>
            <w:r>
              <w:rPr>
                <w:noProof/>
                <w:webHidden/>
              </w:rPr>
              <w:tab/>
            </w:r>
            <w:r>
              <w:rPr>
                <w:noProof/>
                <w:webHidden/>
              </w:rPr>
              <w:fldChar w:fldCharType="begin"/>
            </w:r>
            <w:r>
              <w:rPr>
                <w:noProof/>
                <w:webHidden/>
              </w:rPr>
              <w:instrText xml:space="preserve"> PAGEREF _Toc220490842 \h </w:instrText>
            </w:r>
            <w:r>
              <w:rPr>
                <w:noProof/>
                <w:webHidden/>
              </w:rPr>
            </w:r>
            <w:r>
              <w:rPr>
                <w:noProof/>
                <w:webHidden/>
              </w:rPr>
              <w:fldChar w:fldCharType="separate"/>
            </w:r>
            <w:r>
              <w:rPr>
                <w:noProof/>
                <w:webHidden/>
              </w:rPr>
              <w:t>418</w:t>
            </w:r>
            <w:r>
              <w:rPr>
                <w:noProof/>
                <w:webHidden/>
              </w:rPr>
              <w:fldChar w:fldCharType="end"/>
            </w:r>
          </w:hyperlink>
        </w:p>
        <w:p w14:paraId="73CFFB19" w14:textId="1EF8D95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43" w:history="1">
            <w:r w:rsidRPr="001D4C20">
              <w:rPr>
                <w:rStyle w:val="Lienhypertexte"/>
                <w:noProof/>
              </w:rPr>
              <w:t>53.56.3 Revêtements en bois massif - Lamparquet (parquet-tapis) CCTB 01.02</w:t>
            </w:r>
            <w:r>
              <w:rPr>
                <w:noProof/>
                <w:webHidden/>
              </w:rPr>
              <w:tab/>
            </w:r>
            <w:r>
              <w:rPr>
                <w:noProof/>
                <w:webHidden/>
              </w:rPr>
              <w:fldChar w:fldCharType="begin"/>
            </w:r>
            <w:r>
              <w:rPr>
                <w:noProof/>
                <w:webHidden/>
              </w:rPr>
              <w:instrText xml:space="preserve"> PAGEREF _Toc220490843 \h </w:instrText>
            </w:r>
            <w:r>
              <w:rPr>
                <w:noProof/>
                <w:webHidden/>
              </w:rPr>
            </w:r>
            <w:r>
              <w:rPr>
                <w:noProof/>
                <w:webHidden/>
              </w:rPr>
              <w:fldChar w:fldCharType="separate"/>
            </w:r>
            <w:r>
              <w:rPr>
                <w:noProof/>
                <w:webHidden/>
              </w:rPr>
              <w:t>419</w:t>
            </w:r>
            <w:r>
              <w:rPr>
                <w:noProof/>
                <w:webHidden/>
              </w:rPr>
              <w:fldChar w:fldCharType="end"/>
            </w:r>
          </w:hyperlink>
        </w:p>
        <w:p w14:paraId="0CE0E599" w14:textId="3D05311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44" w:history="1">
            <w:r w:rsidRPr="001D4C20">
              <w:rPr>
                <w:rStyle w:val="Lienhypertexte"/>
                <w:noProof/>
              </w:rPr>
              <w:t>53.56.3a Revêtements en bois massif - Lamparquet (parquet-tapis) CCTB 01.02</w:t>
            </w:r>
            <w:r>
              <w:rPr>
                <w:noProof/>
                <w:webHidden/>
              </w:rPr>
              <w:tab/>
            </w:r>
            <w:r>
              <w:rPr>
                <w:noProof/>
                <w:webHidden/>
              </w:rPr>
              <w:fldChar w:fldCharType="begin"/>
            </w:r>
            <w:r>
              <w:rPr>
                <w:noProof/>
                <w:webHidden/>
              </w:rPr>
              <w:instrText xml:space="preserve"> PAGEREF _Toc220490844 \h </w:instrText>
            </w:r>
            <w:r>
              <w:rPr>
                <w:noProof/>
                <w:webHidden/>
              </w:rPr>
            </w:r>
            <w:r>
              <w:rPr>
                <w:noProof/>
                <w:webHidden/>
              </w:rPr>
              <w:fldChar w:fldCharType="separate"/>
            </w:r>
            <w:r>
              <w:rPr>
                <w:noProof/>
                <w:webHidden/>
              </w:rPr>
              <w:t>419</w:t>
            </w:r>
            <w:r>
              <w:rPr>
                <w:noProof/>
                <w:webHidden/>
              </w:rPr>
              <w:fldChar w:fldCharType="end"/>
            </w:r>
          </w:hyperlink>
        </w:p>
        <w:p w14:paraId="2AD4C745" w14:textId="52FFBBBA"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45" w:history="1">
            <w:r w:rsidRPr="001D4C20">
              <w:rPr>
                <w:rStyle w:val="Lienhypertexte"/>
                <w:noProof/>
              </w:rPr>
              <w:t>53.56.4 Revêtements en bois massif - Parquet rainuré-langueté CCTB 01.02</w:t>
            </w:r>
            <w:r>
              <w:rPr>
                <w:noProof/>
                <w:webHidden/>
              </w:rPr>
              <w:tab/>
            </w:r>
            <w:r>
              <w:rPr>
                <w:noProof/>
                <w:webHidden/>
              </w:rPr>
              <w:fldChar w:fldCharType="begin"/>
            </w:r>
            <w:r>
              <w:rPr>
                <w:noProof/>
                <w:webHidden/>
              </w:rPr>
              <w:instrText xml:space="preserve"> PAGEREF _Toc220490845 \h </w:instrText>
            </w:r>
            <w:r>
              <w:rPr>
                <w:noProof/>
                <w:webHidden/>
              </w:rPr>
            </w:r>
            <w:r>
              <w:rPr>
                <w:noProof/>
                <w:webHidden/>
              </w:rPr>
              <w:fldChar w:fldCharType="separate"/>
            </w:r>
            <w:r>
              <w:rPr>
                <w:noProof/>
                <w:webHidden/>
              </w:rPr>
              <w:t>419</w:t>
            </w:r>
            <w:r>
              <w:rPr>
                <w:noProof/>
                <w:webHidden/>
              </w:rPr>
              <w:fldChar w:fldCharType="end"/>
            </w:r>
          </w:hyperlink>
        </w:p>
        <w:p w14:paraId="3FED6DBF" w14:textId="7F98A87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46" w:history="1">
            <w:r w:rsidRPr="001D4C20">
              <w:rPr>
                <w:rStyle w:val="Lienhypertexte"/>
                <w:noProof/>
              </w:rPr>
              <w:t>53.56.4a Revêtements en bois massif - Parquet rainuré-langueté CCTB 01.10</w:t>
            </w:r>
            <w:r>
              <w:rPr>
                <w:noProof/>
                <w:webHidden/>
              </w:rPr>
              <w:tab/>
            </w:r>
            <w:r>
              <w:rPr>
                <w:noProof/>
                <w:webHidden/>
              </w:rPr>
              <w:fldChar w:fldCharType="begin"/>
            </w:r>
            <w:r>
              <w:rPr>
                <w:noProof/>
                <w:webHidden/>
              </w:rPr>
              <w:instrText xml:space="preserve"> PAGEREF _Toc220490846 \h </w:instrText>
            </w:r>
            <w:r>
              <w:rPr>
                <w:noProof/>
                <w:webHidden/>
              </w:rPr>
            </w:r>
            <w:r>
              <w:rPr>
                <w:noProof/>
                <w:webHidden/>
              </w:rPr>
              <w:fldChar w:fldCharType="separate"/>
            </w:r>
            <w:r>
              <w:rPr>
                <w:noProof/>
                <w:webHidden/>
              </w:rPr>
              <w:t>420</w:t>
            </w:r>
            <w:r>
              <w:rPr>
                <w:noProof/>
                <w:webHidden/>
              </w:rPr>
              <w:fldChar w:fldCharType="end"/>
            </w:r>
          </w:hyperlink>
        </w:p>
        <w:p w14:paraId="1297FD66" w14:textId="1875708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47" w:history="1">
            <w:r w:rsidRPr="001D4C20">
              <w:rPr>
                <w:rStyle w:val="Lienhypertexte"/>
                <w:noProof/>
              </w:rPr>
              <w:t>53.56.5 Revêtements en bois massif - Parquet en bois de bout CCTB 01.02</w:t>
            </w:r>
            <w:r>
              <w:rPr>
                <w:noProof/>
                <w:webHidden/>
              </w:rPr>
              <w:tab/>
            </w:r>
            <w:r>
              <w:rPr>
                <w:noProof/>
                <w:webHidden/>
              </w:rPr>
              <w:fldChar w:fldCharType="begin"/>
            </w:r>
            <w:r>
              <w:rPr>
                <w:noProof/>
                <w:webHidden/>
              </w:rPr>
              <w:instrText xml:space="preserve"> PAGEREF _Toc220490847 \h </w:instrText>
            </w:r>
            <w:r>
              <w:rPr>
                <w:noProof/>
                <w:webHidden/>
              </w:rPr>
            </w:r>
            <w:r>
              <w:rPr>
                <w:noProof/>
                <w:webHidden/>
              </w:rPr>
              <w:fldChar w:fldCharType="separate"/>
            </w:r>
            <w:r>
              <w:rPr>
                <w:noProof/>
                <w:webHidden/>
              </w:rPr>
              <w:t>420</w:t>
            </w:r>
            <w:r>
              <w:rPr>
                <w:noProof/>
                <w:webHidden/>
              </w:rPr>
              <w:fldChar w:fldCharType="end"/>
            </w:r>
          </w:hyperlink>
        </w:p>
        <w:p w14:paraId="6BE0F0B1" w14:textId="5740C19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48" w:history="1">
            <w:r w:rsidRPr="001D4C20">
              <w:rPr>
                <w:rStyle w:val="Lienhypertexte"/>
                <w:noProof/>
              </w:rPr>
              <w:t>53.56.5a Revêtements en bois massif - Parquet en bois de bout CCTB 01.10</w:t>
            </w:r>
            <w:r>
              <w:rPr>
                <w:noProof/>
                <w:webHidden/>
              </w:rPr>
              <w:tab/>
            </w:r>
            <w:r>
              <w:rPr>
                <w:noProof/>
                <w:webHidden/>
              </w:rPr>
              <w:fldChar w:fldCharType="begin"/>
            </w:r>
            <w:r>
              <w:rPr>
                <w:noProof/>
                <w:webHidden/>
              </w:rPr>
              <w:instrText xml:space="preserve"> PAGEREF _Toc220490848 \h </w:instrText>
            </w:r>
            <w:r>
              <w:rPr>
                <w:noProof/>
                <w:webHidden/>
              </w:rPr>
            </w:r>
            <w:r>
              <w:rPr>
                <w:noProof/>
                <w:webHidden/>
              </w:rPr>
              <w:fldChar w:fldCharType="separate"/>
            </w:r>
            <w:r>
              <w:rPr>
                <w:noProof/>
                <w:webHidden/>
              </w:rPr>
              <w:t>420</w:t>
            </w:r>
            <w:r>
              <w:rPr>
                <w:noProof/>
                <w:webHidden/>
              </w:rPr>
              <w:fldChar w:fldCharType="end"/>
            </w:r>
          </w:hyperlink>
        </w:p>
        <w:p w14:paraId="2F7EB0CF" w14:textId="746DD754"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49" w:history="1">
            <w:r w:rsidRPr="001D4C20">
              <w:rPr>
                <w:rStyle w:val="Lienhypertexte"/>
                <w:noProof/>
              </w:rPr>
              <w:t>53.56.6 Revêtements en bois massif - Rénovation CCTB 01.02</w:t>
            </w:r>
            <w:r>
              <w:rPr>
                <w:noProof/>
                <w:webHidden/>
              </w:rPr>
              <w:tab/>
            </w:r>
            <w:r>
              <w:rPr>
                <w:noProof/>
                <w:webHidden/>
              </w:rPr>
              <w:fldChar w:fldCharType="begin"/>
            </w:r>
            <w:r>
              <w:rPr>
                <w:noProof/>
                <w:webHidden/>
              </w:rPr>
              <w:instrText xml:space="preserve"> PAGEREF _Toc220490849 \h </w:instrText>
            </w:r>
            <w:r>
              <w:rPr>
                <w:noProof/>
                <w:webHidden/>
              </w:rPr>
            </w:r>
            <w:r>
              <w:rPr>
                <w:noProof/>
                <w:webHidden/>
              </w:rPr>
              <w:fldChar w:fldCharType="separate"/>
            </w:r>
            <w:r>
              <w:rPr>
                <w:noProof/>
                <w:webHidden/>
              </w:rPr>
              <w:t>421</w:t>
            </w:r>
            <w:r>
              <w:rPr>
                <w:noProof/>
                <w:webHidden/>
              </w:rPr>
              <w:fldChar w:fldCharType="end"/>
            </w:r>
          </w:hyperlink>
        </w:p>
        <w:p w14:paraId="2A51CE71" w14:textId="2A7CF3E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50" w:history="1">
            <w:r w:rsidRPr="001D4C20">
              <w:rPr>
                <w:rStyle w:val="Lienhypertexte"/>
                <w:noProof/>
              </w:rPr>
              <w:t>53.56.6a Revêtements en bois massif - Rénovation / ponçage CCTB 01.10</w:t>
            </w:r>
            <w:r>
              <w:rPr>
                <w:noProof/>
                <w:webHidden/>
              </w:rPr>
              <w:tab/>
            </w:r>
            <w:r>
              <w:rPr>
                <w:noProof/>
                <w:webHidden/>
              </w:rPr>
              <w:fldChar w:fldCharType="begin"/>
            </w:r>
            <w:r>
              <w:rPr>
                <w:noProof/>
                <w:webHidden/>
              </w:rPr>
              <w:instrText xml:space="preserve"> PAGEREF _Toc220490850 \h </w:instrText>
            </w:r>
            <w:r>
              <w:rPr>
                <w:noProof/>
                <w:webHidden/>
              </w:rPr>
            </w:r>
            <w:r>
              <w:rPr>
                <w:noProof/>
                <w:webHidden/>
              </w:rPr>
              <w:fldChar w:fldCharType="separate"/>
            </w:r>
            <w:r>
              <w:rPr>
                <w:noProof/>
                <w:webHidden/>
              </w:rPr>
              <w:t>421</w:t>
            </w:r>
            <w:r>
              <w:rPr>
                <w:noProof/>
                <w:webHidden/>
              </w:rPr>
              <w:fldChar w:fldCharType="end"/>
            </w:r>
          </w:hyperlink>
        </w:p>
        <w:p w14:paraId="1F698557" w14:textId="072B3A70"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851" w:history="1">
            <w:r w:rsidRPr="001D4C20">
              <w:rPr>
                <w:rStyle w:val="Lienhypertexte"/>
                <w:noProof/>
              </w:rPr>
              <w:t>53.57 Revêtements en bois contrecollés, multicouches ou en panneaux CCTB 01.12</w:t>
            </w:r>
            <w:r>
              <w:rPr>
                <w:noProof/>
                <w:webHidden/>
              </w:rPr>
              <w:tab/>
            </w:r>
            <w:r>
              <w:rPr>
                <w:noProof/>
                <w:webHidden/>
              </w:rPr>
              <w:fldChar w:fldCharType="begin"/>
            </w:r>
            <w:r>
              <w:rPr>
                <w:noProof/>
                <w:webHidden/>
              </w:rPr>
              <w:instrText xml:space="preserve"> PAGEREF _Toc220490851 \h </w:instrText>
            </w:r>
            <w:r>
              <w:rPr>
                <w:noProof/>
                <w:webHidden/>
              </w:rPr>
            </w:r>
            <w:r>
              <w:rPr>
                <w:noProof/>
                <w:webHidden/>
              </w:rPr>
              <w:fldChar w:fldCharType="separate"/>
            </w:r>
            <w:r>
              <w:rPr>
                <w:noProof/>
                <w:webHidden/>
              </w:rPr>
              <w:t>422</w:t>
            </w:r>
            <w:r>
              <w:rPr>
                <w:noProof/>
                <w:webHidden/>
              </w:rPr>
              <w:fldChar w:fldCharType="end"/>
            </w:r>
          </w:hyperlink>
        </w:p>
        <w:p w14:paraId="2E2D2E9A" w14:textId="27A5BF67"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52" w:history="1">
            <w:r w:rsidRPr="001D4C20">
              <w:rPr>
                <w:rStyle w:val="Lienhypertexte"/>
                <w:noProof/>
              </w:rPr>
              <w:t>53.57.1 Revêtements en bois contrecollés, multicouches ou en panneaux - Couche d'usure en bois massif (&gt;2,5mm) CCTB 01.02</w:t>
            </w:r>
            <w:r>
              <w:rPr>
                <w:noProof/>
                <w:webHidden/>
              </w:rPr>
              <w:tab/>
            </w:r>
            <w:r>
              <w:rPr>
                <w:noProof/>
                <w:webHidden/>
              </w:rPr>
              <w:fldChar w:fldCharType="begin"/>
            </w:r>
            <w:r>
              <w:rPr>
                <w:noProof/>
                <w:webHidden/>
              </w:rPr>
              <w:instrText xml:space="preserve"> PAGEREF _Toc220490852 \h </w:instrText>
            </w:r>
            <w:r>
              <w:rPr>
                <w:noProof/>
                <w:webHidden/>
              </w:rPr>
            </w:r>
            <w:r>
              <w:rPr>
                <w:noProof/>
                <w:webHidden/>
              </w:rPr>
              <w:fldChar w:fldCharType="separate"/>
            </w:r>
            <w:r>
              <w:rPr>
                <w:noProof/>
                <w:webHidden/>
              </w:rPr>
              <w:t>424</w:t>
            </w:r>
            <w:r>
              <w:rPr>
                <w:noProof/>
                <w:webHidden/>
              </w:rPr>
              <w:fldChar w:fldCharType="end"/>
            </w:r>
          </w:hyperlink>
        </w:p>
        <w:p w14:paraId="1661952D" w14:textId="2603210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53" w:history="1">
            <w:r w:rsidRPr="001D4C20">
              <w:rPr>
                <w:rStyle w:val="Lienhypertexte"/>
                <w:noProof/>
              </w:rPr>
              <w:t>53.57.1a Revêtements en bois contrecollés, multicouches ou en panneaux - Couche d'usure en bois massif (&gt;2,5mm) CCTB 01.10</w:t>
            </w:r>
            <w:r>
              <w:rPr>
                <w:noProof/>
                <w:webHidden/>
              </w:rPr>
              <w:tab/>
            </w:r>
            <w:r>
              <w:rPr>
                <w:noProof/>
                <w:webHidden/>
              </w:rPr>
              <w:fldChar w:fldCharType="begin"/>
            </w:r>
            <w:r>
              <w:rPr>
                <w:noProof/>
                <w:webHidden/>
              </w:rPr>
              <w:instrText xml:space="preserve"> PAGEREF _Toc220490853 \h </w:instrText>
            </w:r>
            <w:r>
              <w:rPr>
                <w:noProof/>
                <w:webHidden/>
              </w:rPr>
            </w:r>
            <w:r>
              <w:rPr>
                <w:noProof/>
                <w:webHidden/>
              </w:rPr>
              <w:fldChar w:fldCharType="separate"/>
            </w:r>
            <w:r>
              <w:rPr>
                <w:noProof/>
                <w:webHidden/>
              </w:rPr>
              <w:t>424</w:t>
            </w:r>
            <w:r>
              <w:rPr>
                <w:noProof/>
                <w:webHidden/>
              </w:rPr>
              <w:fldChar w:fldCharType="end"/>
            </w:r>
          </w:hyperlink>
        </w:p>
        <w:p w14:paraId="38A4A0E9" w14:textId="560CE0C2"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54" w:history="1">
            <w:r w:rsidRPr="001D4C20">
              <w:rPr>
                <w:rStyle w:val="Lienhypertexte"/>
                <w:noProof/>
              </w:rPr>
              <w:t>53.57.2 Revêtements en bois contrecollés, multicouches ou en panneaux - Couche d'usure en bois massif (&lt;2,5mm), ou revêtement à placage CCTB 01.02</w:t>
            </w:r>
            <w:r>
              <w:rPr>
                <w:noProof/>
                <w:webHidden/>
              </w:rPr>
              <w:tab/>
            </w:r>
            <w:r>
              <w:rPr>
                <w:noProof/>
                <w:webHidden/>
              </w:rPr>
              <w:fldChar w:fldCharType="begin"/>
            </w:r>
            <w:r>
              <w:rPr>
                <w:noProof/>
                <w:webHidden/>
              </w:rPr>
              <w:instrText xml:space="preserve"> PAGEREF _Toc220490854 \h </w:instrText>
            </w:r>
            <w:r>
              <w:rPr>
                <w:noProof/>
                <w:webHidden/>
              </w:rPr>
            </w:r>
            <w:r>
              <w:rPr>
                <w:noProof/>
                <w:webHidden/>
              </w:rPr>
              <w:fldChar w:fldCharType="separate"/>
            </w:r>
            <w:r>
              <w:rPr>
                <w:noProof/>
                <w:webHidden/>
              </w:rPr>
              <w:t>425</w:t>
            </w:r>
            <w:r>
              <w:rPr>
                <w:noProof/>
                <w:webHidden/>
              </w:rPr>
              <w:fldChar w:fldCharType="end"/>
            </w:r>
          </w:hyperlink>
        </w:p>
        <w:p w14:paraId="1EBDE203" w14:textId="670ACC3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55" w:history="1">
            <w:r w:rsidRPr="001D4C20">
              <w:rPr>
                <w:rStyle w:val="Lienhypertexte"/>
                <w:noProof/>
              </w:rPr>
              <w:t>53.57.2a Revêtements en bois contrecollés, multicouches ou en panneaux - Couche d'usure en bois massif (&lt;2,5mm), ou revêtement à placage CCTB 01.10</w:t>
            </w:r>
            <w:r>
              <w:rPr>
                <w:noProof/>
                <w:webHidden/>
              </w:rPr>
              <w:tab/>
            </w:r>
            <w:r>
              <w:rPr>
                <w:noProof/>
                <w:webHidden/>
              </w:rPr>
              <w:fldChar w:fldCharType="begin"/>
            </w:r>
            <w:r>
              <w:rPr>
                <w:noProof/>
                <w:webHidden/>
              </w:rPr>
              <w:instrText xml:space="preserve"> PAGEREF _Toc220490855 \h </w:instrText>
            </w:r>
            <w:r>
              <w:rPr>
                <w:noProof/>
                <w:webHidden/>
              </w:rPr>
            </w:r>
            <w:r>
              <w:rPr>
                <w:noProof/>
                <w:webHidden/>
              </w:rPr>
              <w:fldChar w:fldCharType="separate"/>
            </w:r>
            <w:r>
              <w:rPr>
                <w:noProof/>
                <w:webHidden/>
              </w:rPr>
              <w:t>425</w:t>
            </w:r>
            <w:r>
              <w:rPr>
                <w:noProof/>
                <w:webHidden/>
              </w:rPr>
              <w:fldChar w:fldCharType="end"/>
            </w:r>
          </w:hyperlink>
        </w:p>
        <w:p w14:paraId="75945EFC" w14:textId="4BF94AF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56" w:history="1">
            <w:r w:rsidRPr="001D4C20">
              <w:rPr>
                <w:rStyle w:val="Lienhypertexte"/>
                <w:noProof/>
              </w:rPr>
              <w:t>53.57.3 Revêtements en bois contrecollés, multicouches ou en panneaux - Couche d'usure en matériaux composites à base de bois CCTB 01.02</w:t>
            </w:r>
            <w:r>
              <w:rPr>
                <w:noProof/>
                <w:webHidden/>
              </w:rPr>
              <w:tab/>
            </w:r>
            <w:r>
              <w:rPr>
                <w:noProof/>
                <w:webHidden/>
              </w:rPr>
              <w:fldChar w:fldCharType="begin"/>
            </w:r>
            <w:r>
              <w:rPr>
                <w:noProof/>
                <w:webHidden/>
              </w:rPr>
              <w:instrText xml:space="preserve"> PAGEREF _Toc220490856 \h </w:instrText>
            </w:r>
            <w:r>
              <w:rPr>
                <w:noProof/>
                <w:webHidden/>
              </w:rPr>
            </w:r>
            <w:r>
              <w:rPr>
                <w:noProof/>
                <w:webHidden/>
              </w:rPr>
              <w:fldChar w:fldCharType="separate"/>
            </w:r>
            <w:r>
              <w:rPr>
                <w:noProof/>
                <w:webHidden/>
              </w:rPr>
              <w:t>425</w:t>
            </w:r>
            <w:r>
              <w:rPr>
                <w:noProof/>
                <w:webHidden/>
              </w:rPr>
              <w:fldChar w:fldCharType="end"/>
            </w:r>
          </w:hyperlink>
        </w:p>
        <w:p w14:paraId="580CD7D7" w14:textId="53DF945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57" w:history="1">
            <w:r w:rsidRPr="001D4C20">
              <w:rPr>
                <w:rStyle w:val="Lienhypertexte"/>
                <w:noProof/>
              </w:rPr>
              <w:t>53.57.3a Revêtements en bois contrecollés, multicouches ou en panneaux - Dalles en bois CCTB 01.10</w:t>
            </w:r>
            <w:r>
              <w:rPr>
                <w:noProof/>
                <w:webHidden/>
              </w:rPr>
              <w:tab/>
            </w:r>
            <w:r>
              <w:rPr>
                <w:noProof/>
                <w:webHidden/>
              </w:rPr>
              <w:fldChar w:fldCharType="begin"/>
            </w:r>
            <w:r>
              <w:rPr>
                <w:noProof/>
                <w:webHidden/>
              </w:rPr>
              <w:instrText xml:space="preserve"> PAGEREF _Toc220490857 \h </w:instrText>
            </w:r>
            <w:r>
              <w:rPr>
                <w:noProof/>
                <w:webHidden/>
              </w:rPr>
            </w:r>
            <w:r>
              <w:rPr>
                <w:noProof/>
                <w:webHidden/>
              </w:rPr>
              <w:fldChar w:fldCharType="separate"/>
            </w:r>
            <w:r>
              <w:rPr>
                <w:noProof/>
                <w:webHidden/>
              </w:rPr>
              <w:t>425</w:t>
            </w:r>
            <w:r>
              <w:rPr>
                <w:noProof/>
                <w:webHidden/>
              </w:rPr>
              <w:fldChar w:fldCharType="end"/>
            </w:r>
          </w:hyperlink>
        </w:p>
        <w:p w14:paraId="7FC13B54" w14:textId="1159F22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58" w:history="1">
            <w:r w:rsidRPr="001D4C20">
              <w:rPr>
                <w:rStyle w:val="Lienhypertexte"/>
                <w:noProof/>
              </w:rPr>
              <w:t>53.57.4 Revêtements en bois contrecollés, multicouches ou en panneaux - Tapis en bois CCTB 01.02</w:t>
            </w:r>
            <w:r>
              <w:rPr>
                <w:noProof/>
                <w:webHidden/>
              </w:rPr>
              <w:tab/>
            </w:r>
            <w:r>
              <w:rPr>
                <w:noProof/>
                <w:webHidden/>
              </w:rPr>
              <w:fldChar w:fldCharType="begin"/>
            </w:r>
            <w:r>
              <w:rPr>
                <w:noProof/>
                <w:webHidden/>
              </w:rPr>
              <w:instrText xml:space="preserve"> PAGEREF _Toc220490858 \h </w:instrText>
            </w:r>
            <w:r>
              <w:rPr>
                <w:noProof/>
                <w:webHidden/>
              </w:rPr>
            </w:r>
            <w:r>
              <w:rPr>
                <w:noProof/>
                <w:webHidden/>
              </w:rPr>
              <w:fldChar w:fldCharType="separate"/>
            </w:r>
            <w:r>
              <w:rPr>
                <w:noProof/>
                <w:webHidden/>
              </w:rPr>
              <w:t>426</w:t>
            </w:r>
            <w:r>
              <w:rPr>
                <w:noProof/>
                <w:webHidden/>
              </w:rPr>
              <w:fldChar w:fldCharType="end"/>
            </w:r>
          </w:hyperlink>
        </w:p>
        <w:p w14:paraId="330DF8C2" w14:textId="32BC53B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59" w:history="1">
            <w:r w:rsidRPr="001D4C20">
              <w:rPr>
                <w:rStyle w:val="Lienhypertexte"/>
                <w:noProof/>
              </w:rPr>
              <w:t>53.57.4a Revêtements en bois contrecollés, multicouches ou en panneaux - Tapis en bois CCTB 01.10</w:t>
            </w:r>
            <w:r>
              <w:rPr>
                <w:noProof/>
                <w:webHidden/>
              </w:rPr>
              <w:tab/>
            </w:r>
            <w:r>
              <w:rPr>
                <w:noProof/>
                <w:webHidden/>
              </w:rPr>
              <w:fldChar w:fldCharType="begin"/>
            </w:r>
            <w:r>
              <w:rPr>
                <w:noProof/>
                <w:webHidden/>
              </w:rPr>
              <w:instrText xml:space="preserve"> PAGEREF _Toc220490859 \h </w:instrText>
            </w:r>
            <w:r>
              <w:rPr>
                <w:noProof/>
                <w:webHidden/>
              </w:rPr>
            </w:r>
            <w:r>
              <w:rPr>
                <w:noProof/>
                <w:webHidden/>
              </w:rPr>
              <w:fldChar w:fldCharType="separate"/>
            </w:r>
            <w:r>
              <w:rPr>
                <w:noProof/>
                <w:webHidden/>
              </w:rPr>
              <w:t>426</w:t>
            </w:r>
            <w:r>
              <w:rPr>
                <w:noProof/>
                <w:webHidden/>
              </w:rPr>
              <w:fldChar w:fldCharType="end"/>
            </w:r>
          </w:hyperlink>
        </w:p>
        <w:p w14:paraId="3A0CEC0A" w14:textId="44BA957B"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860" w:history="1">
            <w:r w:rsidRPr="001D4C20">
              <w:rPr>
                <w:rStyle w:val="Lienhypertexte"/>
                <w:noProof/>
              </w:rPr>
              <w:t>53.58 Revêtements en verre CCTB 01.02</w:t>
            </w:r>
            <w:r>
              <w:rPr>
                <w:noProof/>
                <w:webHidden/>
              </w:rPr>
              <w:tab/>
            </w:r>
            <w:r>
              <w:rPr>
                <w:noProof/>
                <w:webHidden/>
              </w:rPr>
              <w:fldChar w:fldCharType="begin"/>
            </w:r>
            <w:r>
              <w:rPr>
                <w:noProof/>
                <w:webHidden/>
              </w:rPr>
              <w:instrText xml:space="preserve"> PAGEREF _Toc220490860 \h </w:instrText>
            </w:r>
            <w:r>
              <w:rPr>
                <w:noProof/>
                <w:webHidden/>
              </w:rPr>
            </w:r>
            <w:r>
              <w:rPr>
                <w:noProof/>
                <w:webHidden/>
              </w:rPr>
              <w:fldChar w:fldCharType="separate"/>
            </w:r>
            <w:r>
              <w:rPr>
                <w:noProof/>
                <w:webHidden/>
              </w:rPr>
              <w:t>427</w:t>
            </w:r>
            <w:r>
              <w:rPr>
                <w:noProof/>
                <w:webHidden/>
              </w:rPr>
              <w:fldChar w:fldCharType="end"/>
            </w:r>
          </w:hyperlink>
        </w:p>
        <w:p w14:paraId="1CC81300" w14:textId="79D0E0D1"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61" w:history="1">
            <w:r w:rsidRPr="001D4C20">
              <w:rPr>
                <w:rStyle w:val="Lienhypertexte"/>
                <w:noProof/>
              </w:rPr>
              <w:t>53.58.1 Revêtements en verre - Dalles de verre CCTB 01.02</w:t>
            </w:r>
            <w:r>
              <w:rPr>
                <w:noProof/>
                <w:webHidden/>
              </w:rPr>
              <w:tab/>
            </w:r>
            <w:r>
              <w:rPr>
                <w:noProof/>
                <w:webHidden/>
              </w:rPr>
              <w:fldChar w:fldCharType="begin"/>
            </w:r>
            <w:r>
              <w:rPr>
                <w:noProof/>
                <w:webHidden/>
              </w:rPr>
              <w:instrText xml:space="preserve"> PAGEREF _Toc220490861 \h </w:instrText>
            </w:r>
            <w:r>
              <w:rPr>
                <w:noProof/>
                <w:webHidden/>
              </w:rPr>
            </w:r>
            <w:r>
              <w:rPr>
                <w:noProof/>
                <w:webHidden/>
              </w:rPr>
              <w:fldChar w:fldCharType="separate"/>
            </w:r>
            <w:r>
              <w:rPr>
                <w:noProof/>
                <w:webHidden/>
              </w:rPr>
              <w:t>427</w:t>
            </w:r>
            <w:r>
              <w:rPr>
                <w:noProof/>
                <w:webHidden/>
              </w:rPr>
              <w:fldChar w:fldCharType="end"/>
            </w:r>
          </w:hyperlink>
        </w:p>
        <w:p w14:paraId="428DB8E6" w14:textId="07AEF9A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62" w:history="1">
            <w:r w:rsidRPr="001D4C20">
              <w:rPr>
                <w:rStyle w:val="Lienhypertexte"/>
                <w:noProof/>
              </w:rPr>
              <w:t>53.58.1a Revêtements en verre - Dalles de verre CCTB 01.02</w:t>
            </w:r>
            <w:r>
              <w:rPr>
                <w:noProof/>
                <w:webHidden/>
              </w:rPr>
              <w:tab/>
            </w:r>
            <w:r>
              <w:rPr>
                <w:noProof/>
                <w:webHidden/>
              </w:rPr>
              <w:fldChar w:fldCharType="begin"/>
            </w:r>
            <w:r>
              <w:rPr>
                <w:noProof/>
                <w:webHidden/>
              </w:rPr>
              <w:instrText xml:space="preserve"> PAGEREF _Toc220490862 \h </w:instrText>
            </w:r>
            <w:r>
              <w:rPr>
                <w:noProof/>
                <w:webHidden/>
              </w:rPr>
            </w:r>
            <w:r>
              <w:rPr>
                <w:noProof/>
                <w:webHidden/>
              </w:rPr>
              <w:fldChar w:fldCharType="separate"/>
            </w:r>
            <w:r>
              <w:rPr>
                <w:noProof/>
                <w:webHidden/>
              </w:rPr>
              <w:t>427</w:t>
            </w:r>
            <w:r>
              <w:rPr>
                <w:noProof/>
                <w:webHidden/>
              </w:rPr>
              <w:fldChar w:fldCharType="end"/>
            </w:r>
          </w:hyperlink>
        </w:p>
        <w:p w14:paraId="51FB177C" w14:textId="77E8157A"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63" w:history="1">
            <w:r w:rsidRPr="001D4C20">
              <w:rPr>
                <w:rStyle w:val="Lienhypertexte"/>
                <w:noProof/>
              </w:rPr>
              <w:t>53.58.2 Revêtements en verre - Mosaïques</w:t>
            </w:r>
            <w:r>
              <w:rPr>
                <w:noProof/>
                <w:webHidden/>
              </w:rPr>
              <w:tab/>
            </w:r>
            <w:r>
              <w:rPr>
                <w:noProof/>
                <w:webHidden/>
              </w:rPr>
              <w:fldChar w:fldCharType="begin"/>
            </w:r>
            <w:r>
              <w:rPr>
                <w:noProof/>
                <w:webHidden/>
              </w:rPr>
              <w:instrText xml:space="preserve"> PAGEREF _Toc220490863 \h </w:instrText>
            </w:r>
            <w:r>
              <w:rPr>
                <w:noProof/>
                <w:webHidden/>
              </w:rPr>
            </w:r>
            <w:r>
              <w:rPr>
                <w:noProof/>
                <w:webHidden/>
              </w:rPr>
              <w:fldChar w:fldCharType="separate"/>
            </w:r>
            <w:r>
              <w:rPr>
                <w:noProof/>
                <w:webHidden/>
              </w:rPr>
              <w:t>427</w:t>
            </w:r>
            <w:r>
              <w:rPr>
                <w:noProof/>
                <w:webHidden/>
              </w:rPr>
              <w:fldChar w:fldCharType="end"/>
            </w:r>
          </w:hyperlink>
        </w:p>
        <w:p w14:paraId="28C0D846" w14:textId="4268E58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64" w:history="1">
            <w:r w:rsidRPr="001D4C20">
              <w:rPr>
                <w:rStyle w:val="Lienhypertexte"/>
                <w:noProof/>
              </w:rPr>
              <w:t>53.58.2a Revêtements en verre - Mosaïques CCTB 01.10</w:t>
            </w:r>
            <w:r>
              <w:rPr>
                <w:noProof/>
                <w:webHidden/>
              </w:rPr>
              <w:tab/>
            </w:r>
            <w:r>
              <w:rPr>
                <w:noProof/>
                <w:webHidden/>
              </w:rPr>
              <w:fldChar w:fldCharType="begin"/>
            </w:r>
            <w:r>
              <w:rPr>
                <w:noProof/>
                <w:webHidden/>
              </w:rPr>
              <w:instrText xml:space="preserve"> PAGEREF _Toc220490864 \h </w:instrText>
            </w:r>
            <w:r>
              <w:rPr>
                <w:noProof/>
                <w:webHidden/>
              </w:rPr>
            </w:r>
            <w:r>
              <w:rPr>
                <w:noProof/>
                <w:webHidden/>
              </w:rPr>
              <w:fldChar w:fldCharType="separate"/>
            </w:r>
            <w:r>
              <w:rPr>
                <w:noProof/>
                <w:webHidden/>
              </w:rPr>
              <w:t>427</w:t>
            </w:r>
            <w:r>
              <w:rPr>
                <w:noProof/>
                <w:webHidden/>
              </w:rPr>
              <w:fldChar w:fldCharType="end"/>
            </w:r>
          </w:hyperlink>
        </w:p>
        <w:p w14:paraId="0935C24F" w14:textId="563A9457"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865" w:history="1">
            <w:r w:rsidRPr="001D4C20">
              <w:rPr>
                <w:rStyle w:val="Lienhypertexte"/>
                <w:noProof/>
              </w:rPr>
              <w:t>53.6 Eléments particuliers et finitions CCTB 01.11</w:t>
            </w:r>
            <w:r>
              <w:rPr>
                <w:noProof/>
                <w:webHidden/>
              </w:rPr>
              <w:tab/>
            </w:r>
            <w:r>
              <w:rPr>
                <w:noProof/>
                <w:webHidden/>
              </w:rPr>
              <w:fldChar w:fldCharType="begin"/>
            </w:r>
            <w:r>
              <w:rPr>
                <w:noProof/>
                <w:webHidden/>
              </w:rPr>
              <w:instrText xml:space="preserve"> PAGEREF _Toc220490865 \h </w:instrText>
            </w:r>
            <w:r>
              <w:rPr>
                <w:noProof/>
                <w:webHidden/>
              </w:rPr>
            </w:r>
            <w:r>
              <w:rPr>
                <w:noProof/>
                <w:webHidden/>
              </w:rPr>
              <w:fldChar w:fldCharType="separate"/>
            </w:r>
            <w:r>
              <w:rPr>
                <w:noProof/>
                <w:webHidden/>
              </w:rPr>
              <w:t>431</w:t>
            </w:r>
            <w:r>
              <w:rPr>
                <w:noProof/>
                <w:webHidden/>
              </w:rPr>
              <w:fldChar w:fldCharType="end"/>
            </w:r>
          </w:hyperlink>
        </w:p>
        <w:p w14:paraId="6E6C121C" w14:textId="2D5C50DA"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866" w:history="1">
            <w:r w:rsidRPr="001D4C20">
              <w:rPr>
                <w:rStyle w:val="Lienhypertexte"/>
                <w:noProof/>
              </w:rPr>
              <w:t>53.61 Plinthes CCTB 01.02</w:t>
            </w:r>
            <w:r>
              <w:rPr>
                <w:noProof/>
                <w:webHidden/>
              </w:rPr>
              <w:tab/>
            </w:r>
            <w:r>
              <w:rPr>
                <w:noProof/>
                <w:webHidden/>
              </w:rPr>
              <w:fldChar w:fldCharType="begin"/>
            </w:r>
            <w:r>
              <w:rPr>
                <w:noProof/>
                <w:webHidden/>
              </w:rPr>
              <w:instrText xml:space="preserve"> PAGEREF _Toc220490866 \h </w:instrText>
            </w:r>
            <w:r>
              <w:rPr>
                <w:noProof/>
                <w:webHidden/>
              </w:rPr>
            </w:r>
            <w:r>
              <w:rPr>
                <w:noProof/>
                <w:webHidden/>
              </w:rPr>
              <w:fldChar w:fldCharType="separate"/>
            </w:r>
            <w:r>
              <w:rPr>
                <w:noProof/>
                <w:webHidden/>
              </w:rPr>
              <w:t>431</w:t>
            </w:r>
            <w:r>
              <w:rPr>
                <w:noProof/>
                <w:webHidden/>
              </w:rPr>
              <w:fldChar w:fldCharType="end"/>
            </w:r>
          </w:hyperlink>
        </w:p>
        <w:p w14:paraId="42FFABF7" w14:textId="2D5114F0"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67" w:history="1">
            <w:r w:rsidRPr="001D4C20">
              <w:rPr>
                <w:rStyle w:val="Lienhypertexte"/>
                <w:noProof/>
              </w:rPr>
              <w:t>53.61.1 Plinthes en carreaux de céramique CCTB 01.02</w:t>
            </w:r>
            <w:r>
              <w:rPr>
                <w:noProof/>
                <w:webHidden/>
              </w:rPr>
              <w:tab/>
            </w:r>
            <w:r>
              <w:rPr>
                <w:noProof/>
                <w:webHidden/>
              </w:rPr>
              <w:fldChar w:fldCharType="begin"/>
            </w:r>
            <w:r>
              <w:rPr>
                <w:noProof/>
                <w:webHidden/>
              </w:rPr>
              <w:instrText xml:space="preserve"> PAGEREF _Toc220490867 \h </w:instrText>
            </w:r>
            <w:r>
              <w:rPr>
                <w:noProof/>
                <w:webHidden/>
              </w:rPr>
            </w:r>
            <w:r>
              <w:rPr>
                <w:noProof/>
                <w:webHidden/>
              </w:rPr>
              <w:fldChar w:fldCharType="separate"/>
            </w:r>
            <w:r>
              <w:rPr>
                <w:noProof/>
                <w:webHidden/>
              </w:rPr>
              <w:t>432</w:t>
            </w:r>
            <w:r>
              <w:rPr>
                <w:noProof/>
                <w:webHidden/>
              </w:rPr>
              <w:fldChar w:fldCharType="end"/>
            </w:r>
          </w:hyperlink>
        </w:p>
        <w:p w14:paraId="6574FCDE" w14:textId="1778DC8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68" w:history="1">
            <w:r w:rsidRPr="001D4C20">
              <w:rPr>
                <w:rStyle w:val="Lienhypertexte"/>
                <w:noProof/>
              </w:rPr>
              <w:t>53.61.1a Plinthes en carreaux de céramique CCTB 01.11</w:t>
            </w:r>
            <w:r>
              <w:rPr>
                <w:noProof/>
                <w:webHidden/>
              </w:rPr>
              <w:tab/>
            </w:r>
            <w:r>
              <w:rPr>
                <w:noProof/>
                <w:webHidden/>
              </w:rPr>
              <w:fldChar w:fldCharType="begin"/>
            </w:r>
            <w:r>
              <w:rPr>
                <w:noProof/>
                <w:webHidden/>
              </w:rPr>
              <w:instrText xml:space="preserve"> PAGEREF _Toc220490868 \h </w:instrText>
            </w:r>
            <w:r>
              <w:rPr>
                <w:noProof/>
                <w:webHidden/>
              </w:rPr>
            </w:r>
            <w:r>
              <w:rPr>
                <w:noProof/>
                <w:webHidden/>
              </w:rPr>
              <w:fldChar w:fldCharType="separate"/>
            </w:r>
            <w:r>
              <w:rPr>
                <w:noProof/>
                <w:webHidden/>
              </w:rPr>
              <w:t>432</w:t>
            </w:r>
            <w:r>
              <w:rPr>
                <w:noProof/>
                <w:webHidden/>
              </w:rPr>
              <w:fldChar w:fldCharType="end"/>
            </w:r>
          </w:hyperlink>
        </w:p>
        <w:p w14:paraId="5415BE31" w14:textId="01B3B100"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69" w:history="1">
            <w:r w:rsidRPr="001D4C20">
              <w:rPr>
                <w:rStyle w:val="Lienhypertexte"/>
                <w:noProof/>
              </w:rPr>
              <w:t>53.61.2 Plinthes en pierres naturelles CCTB 01.11</w:t>
            </w:r>
            <w:r>
              <w:rPr>
                <w:noProof/>
                <w:webHidden/>
              </w:rPr>
              <w:tab/>
            </w:r>
            <w:r>
              <w:rPr>
                <w:noProof/>
                <w:webHidden/>
              </w:rPr>
              <w:fldChar w:fldCharType="begin"/>
            </w:r>
            <w:r>
              <w:rPr>
                <w:noProof/>
                <w:webHidden/>
              </w:rPr>
              <w:instrText xml:space="preserve"> PAGEREF _Toc220490869 \h </w:instrText>
            </w:r>
            <w:r>
              <w:rPr>
                <w:noProof/>
                <w:webHidden/>
              </w:rPr>
            </w:r>
            <w:r>
              <w:rPr>
                <w:noProof/>
                <w:webHidden/>
              </w:rPr>
              <w:fldChar w:fldCharType="separate"/>
            </w:r>
            <w:r>
              <w:rPr>
                <w:noProof/>
                <w:webHidden/>
              </w:rPr>
              <w:t>433</w:t>
            </w:r>
            <w:r>
              <w:rPr>
                <w:noProof/>
                <w:webHidden/>
              </w:rPr>
              <w:fldChar w:fldCharType="end"/>
            </w:r>
          </w:hyperlink>
        </w:p>
        <w:p w14:paraId="612E4D11" w14:textId="5E5F0D8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70" w:history="1">
            <w:r w:rsidRPr="001D4C20">
              <w:rPr>
                <w:rStyle w:val="Lienhypertexte"/>
                <w:noProof/>
              </w:rPr>
              <w:t>53.61.2a Plinthes en pierres naturelles - en pierres blanches CCTB 01.02</w:t>
            </w:r>
            <w:r>
              <w:rPr>
                <w:noProof/>
                <w:webHidden/>
              </w:rPr>
              <w:tab/>
            </w:r>
            <w:r>
              <w:rPr>
                <w:noProof/>
                <w:webHidden/>
              </w:rPr>
              <w:fldChar w:fldCharType="begin"/>
            </w:r>
            <w:r>
              <w:rPr>
                <w:noProof/>
                <w:webHidden/>
              </w:rPr>
              <w:instrText xml:space="preserve"> PAGEREF _Toc220490870 \h </w:instrText>
            </w:r>
            <w:r>
              <w:rPr>
                <w:noProof/>
                <w:webHidden/>
              </w:rPr>
            </w:r>
            <w:r>
              <w:rPr>
                <w:noProof/>
                <w:webHidden/>
              </w:rPr>
              <w:fldChar w:fldCharType="separate"/>
            </w:r>
            <w:r>
              <w:rPr>
                <w:noProof/>
                <w:webHidden/>
              </w:rPr>
              <w:t>433</w:t>
            </w:r>
            <w:r>
              <w:rPr>
                <w:noProof/>
                <w:webHidden/>
              </w:rPr>
              <w:fldChar w:fldCharType="end"/>
            </w:r>
          </w:hyperlink>
        </w:p>
        <w:p w14:paraId="484F7B43" w14:textId="508BB7A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71" w:history="1">
            <w:r w:rsidRPr="001D4C20">
              <w:rPr>
                <w:rStyle w:val="Lienhypertexte"/>
                <w:noProof/>
              </w:rPr>
              <w:t>53.61.2b Plinthes en pierres naturelles - en pierres marbrières CCTB 01.02</w:t>
            </w:r>
            <w:r>
              <w:rPr>
                <w:noProof/>
                <w:webHidden/>
              </w:rPr>
              <w:tab/>
            </w:r>
            <w:r>
              <w:rPr>
                <w:noProof/>
                <w:webHidden/>
              </w:rPr>
              <w:fldChar w:fldCharType="begin"/>
            </w:r>
            <w:r>
              <w:rPr>
                <w:noProof/>
                <w:webHidden/>
              </w:rPr>
              <w:instrText xml:space="preserve"> PAGEREF _Toc220490871 \h </w:instrText>
            </w:r>
            <w:r>
              <w:rPr>
                <w:noProof/>
                <w:webHidden/>
              </w:rPr>
            </w:r>
            <w:r>
              <w:rPr>
                <w:noProof/>
                <w:webHidden/>
              </w:rPr>
              <w:fldChar w:fldCharType="separate"/>
            </w:r>
            <w:r>
              <w:rPr>
                <w:noProof/>
                <w:webHidden/>
              </w:rPr>
              <w:t>433</w:t>
            </w:r>
            <w:r>
              <w:rPr>
                <w:noProof/>
                <w:webHidden/>
              </w:rPr>
              <w:fldChar w:fldCharType="end"/>
            </w:r>
          </w:hyperlink>
        </w:p>
        <w:p w14:paraId="2C389D5F" w14:textId="1266B55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72" w:history="1">
            <w:r w:rsidRPr="001D4C20">
              <w:rPr>
                <w:rStyle w:val="Lienhypertexte"/>
                <w:noProof/>
              </w:rPr>
              <w:t>53.61.2c Plinthes en pierres naturelles - en marbres CCTB 01.02</w:t>
            </w:r>
            <w:r>
              <w:rPr>
                <w:noProof/>
                <w:webHidden/>
              </w:rPr>
              <w:tab/>
            </w:r>
            <w:r>
              <w:rPr>
                <w:noProof/>
                <w:webHidden/>
              </w:rPr>
              <w:fldChar w:fldCharType="begin"/>
            </w:r>
            <w:r>
              <w:rPr>
                <w:noProof/>
                <w:webHidden/>
              </w:rPr>
              <w:instrText xml:space="preserve"> PAGEREF _Toc220490872 \h </w:instrText>
            </w:r>
            <w:r>
              <w:rPr>
                <w:noProof/>
                <w:webHidden/>
              </w:rPr>
            </w:r>
            <w:r>
              <w:rPr>
                <w:noProof/>
                <w:webHidden/>
              </w:rPr>
              <w:fldChar w:fldCharType="separate"/>
            </w:r>
            <w:r>
              <w:rPr>
                <w:noProof/>
                <w:webHidden/>
              </w:rPr>
              <w:t>433</w:t>
            </w:r>
            <w:r>
              <w:rPr>
                <w:noProof/>
                <w:webHidden/>
              </w:rPr>
              <w:fldChar w:fldCharType="end"/>
            </w:r>
          </w:hyperlink>
        </w:p>
        <w:p w14:paraId="12FA0BCC" w14:textId="091B1A4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73" w:history="1">
            <w:r w:rsidRPr="001D4C20">
              <w:rPr>
                <w:rStyle w:val="Lienhypertexte"/>
                <w:noProof/>
              </w:rPr>
              <w:t>53.61.2d Plinthes en pierres naturelles - en pierres bleues CCTB 01.02</w:t>
            </w:r>
            <w:r>
              <w:rPr>
                <w:noProof/>
                <w:webHidden/>
              </w:rPr>
              <w:tab/>
            </w:r>
            <w:r>
              <w:rPr>
                <w:noProof/>
                <w:webHidden/>
              </w:rPr>
              <w:fldChar w:fldCharType="begin"/>
            </w:r>
            <w:r>
              <w:rPr>
                <w:noProof/>
                <w:webHidden/>
              </w:rPr>
              <w:instrText xml:space="preserve"> PAGEREF _Toc220490873 \h </w:instrText>
            </w:r>
            <w:r>
              <w:rPr>
                <w:noProof/>
                <w:webHidden/>
              </w:rPr>
            </w:r>
            <w:r>
              <w:rPr>
                <w:noProof/>
                <w:webHidden/>
              </w:rPr>
              <w:fldChar w:fldCharType="separate"/>
            </w:r>
            <w:r>
              <w:rPr>
                <w:noProof/>
                <w:webHidden/>
              </w:rPr>
              <w:t>433</w:t>
            </w:r>
            <w:r>
              <w:rPr>
                <w:noProof/>
                <w:webHidden/>
              </w:rPr>
              <w:fldChar w:fldCharType="end"/>
            </w:r>
          </w:hyperlink>
        </w:p>
        <w:p w14:paraId="1DA35320" w14:textId="227DC3D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74" w:history="1">
            <w:r w:rsidRPr="001D4C20">
              <w:rPr>
                <w:rStyle w:val="Lienhypertexte"/>
                <w:noProof/>
              </w:rPr>
              <w:t>53.61.2e Plinthes en pierres naturelles - en granits CCTB 01.02</w:t>
            </w:r>
            <w:r>
              <w:rPr>
                <w:noProof/>
                <w:webHidden/>
              </w:rPr>
              <w:tab/>
            </w:r>
            <w:r>
              <w:rPr>
                <w:noProof/>
                <w:webHidden/>
              </w:rPr>
              <w:fldChar w:fldCharType="begin"/>
            </w:r>
            <w:r>
              <w:rPr>
                <w:noProof/>
                <w:webHidden/>
              </w:rPr>
              <w:instrText xml:space="preserve"> PAGEREF _Toc220490874 \h </w:instrText>
            </w:r>
            <w:r>
              <w:rPr>
                <w:noProof/>
                <w:webHidden/>
              </w:rPr>
            </w:r>
            <w:r>
              <w:rPr>
                <w:noProof/>
                <w:webHidden/>
              </w:rPr>
              <w:fldChar w:fldCharType="separate"/>
            </w:r>
            <w:r>
              <w:rPr>
                <w:noProof/>
                <w:webHidden/>
              </w:rPr>
              <w:t>433</w:t>
            </w:r>
            <w:r>
              <w:rPr>
                <w:noProof/>
                <w:webHidden/>
              </w:rPr>
              <w:fldChar w:fldCharType="end"/>
            </w:r>
          </w:hyperlink>
        </w:p>
        <w:p w14:paraId="1DB8A714" w14:textId="277D91C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75" w:history="1">
            <w:r w:rsidRPr="001D4C20">
              <w:rPr>
                <w:rStyle w:val="Lienhypertexte"/>
                <w:noProof/>
              </w:rPr>
              <w:t>53.61.2f Plinthes en pierres naturelles - en schistes CCTB 01.02</w:t>
            </w:r>
            <w:r>
              <w:rPr>
                <w:noProof/>
                <w:webHidden/>
              </w:rPr>
              <w:tab/>
            </w:r>
            <w:r>
              <w:rPr>
                <w:noProof/>
                <w:webHidden/>
              </w:rPr>
              <w:fldChar w:fldCharType="begin"/>
            </w:r>
            <w:r>
              <w:rPr>
                <w:noProof/>
                <w:webHidden/>
              </w:rPr>
              <w:instrText xml:space="preserve"> PAGEREF _Toc220490875 \h </w:instrText>
            </w:r>
            <w:r>
              <w:rPr>
                <w:noProof/>
                <w:webHidden/>
              </w:rPr>
            </w:r>
            <w:r>
              <w:rPr>
                <w:noProof/>
                <w:webHidden/>
              </w:rPr>
              <w:fldChar w:fldCharType="separate"/>
            </w:r>
            <w:r>
              <w:rPr>
                <w:noProof/>
                <w:webHidden/>
              </w:rPr>
              <w:t>433</w:t>
            </w:r>
            <w:r>
              <w:rPr>
                <w:noProof/>
                <w:webHidden/>
              </w:rPr>
              <w:fldChar w:fldCharType="end"/>
            </w:r>
          </w:hyperlink>
        </w:p>
        <w:p w14:paraId="4FEE636F" w14:textId="267897E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76" w:history="1">
            <w:r w:rsidRPr="001D4C20">
              <w:rPr>
                <w:rStyle w:val="Lienhypertexte"/>
                <w:noProof/>
              </w:rPr>
              <w:t>53.61.3 Plinthes à base de liants CCTB 01.02</w:t>
            </w:r>
            <w:r>
              <w:rPr>
                <w:noProof/>
                <w:webHidden/>
              </w:rPr>
              <w:tab/>
            </w:r>
            <w:r>
              <w:rPr>
                <w:noProof/>
                <w:webHidden/>
              </w:rPr>
              <w:fldChar w:fldCharType="begin"/>
            </w:r>
            <w:r>
              <w:rPr>
                <w:noProof/>
                <w:webHidden/>
              </w:rPr>
              <w:instrText xml:space="preserve"> PAGEREF _Toc220490876 \h </w:instrText>
            </w:r>
            <w:r>
              <w:rPr>
                <w:noProof/>
                <w:webHidden/>
              </w:rPr>
            </w:r>
            <w:r>
              <w:rPr>
                <w:noProof/>
                <w:webHidden/>
              </w:rPr>
              <w:fldChar w:fldCharType="separate"/>
            </w:r>
            <w:r>
              <w:rPr>
                <w:noProof/>
                <w:webHidden/>
              </w:rPr>
              <w:t>433</w:t>
            </w:r>
            <w:r>
              <w:rPr>
                <w:noProof/>
                <w:webHidden/>
              </w:rPr>
              <w:fldChar w:fldCharType="end"/>
            </w:r>
          </w:hyperlink>
        </w:p>
        <w:p w14:paraId="076989DF" w14:textId="5503399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77" w:history="1">
            <w:r w:rsidRPr="001D4C20">
              <w:rPr>
                <w:rStyle w:val="Lienhypertexte"/>
                <w:noProof/>
              </w:rPr>
              <w:t>53.61.3a Plinthes à base de liants - plinthes cimentées, non colorées CCTB 01.02</w:t>
            </w:r>
            <w:r>
              <w:rPr>
                <w:noProof/>
                <w:webHidden/>
              </w:rPr>
              <w:tab/>
            </w:r>
            <w:r>
              <w:rPr>
                <w:noProof/>
                <w:webHidden/>
              </w:rPr>
              <w:fldChar w:fldCharType="begin"/>
            </w:r>
            <w:r>
              <w:rPr>
                <w:noProof/>
                <w:webHidden/>
              </w:rPr>
              <w:instrText xml:space="preserve"> PAGEREF _Toc220490877 \h </w:instrText>
            </w:r>
            <w:r>
              <w:rPr>
                <w:noProof/>
                <w:webHidden/>
              </w:rPr>
            </w:r>
            <w:r>
              <w:rPr>
                <w:noProof/>
                <w:webHidden/>
              </w:rPr>
              <w:fldChar w:fldCharType="separate"/>
            </w:r>
            <w:r>
              <w:rPr>
                <w:noProof/>
                <w:webHidden/>
              </w:rPr>
              <w:t>433</w:t>
            </w:r>
            <w:r>
              <w:rPr>
                <w:noProof/>
                <w:webHidden/>
              </w:rPr>
              <w:fldChar w:fldCharType="end"/>
            </w:r>
          </w:hyperlink>
        </w:p>
        <w:p w14:paraId="76DADCBE" w14:textId="695245C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78" w:history="1">
            <w:r w:rsidRPr="001D4C20">
              <w:rPr>
                <w:rStyle w:val="Lienhypertexte"/>
                <w:noProof/>
              </w:rPr>
              <w:t>53.61.3b Plinthes à base de liants - plinthes cimentées, colorées dans la masse CCTB 01.02</w:t>
            </w:r>
            <w:r>
              <w:rPr>
                <w:noProof/>
                <w:webHidden/>
              </w:rPr>
              <w:tab/>
            </w:r>
            <w:r>
              <w:rPr>
                <w:noProof/>
                <w:webHidden/>
              </w:rPr>
              <w:fldChar w:fldCharType="begin"/>
            </w:r>
            <w:r>
              <w:rPr>
                <w:noProof/>
                <w:webHidden/>
              </w:rPr>
              <w:instrText xml:space="preserve"> PAGEREF _Toc220490878 \h </w:instrText>
            </w:r>
            <w:r>
              <w:rPr>
                <w:noProof/>
                <w:webHidden/>
              </w:rPr>
            </w:r>
            <w:r>
              <w:rPr>
                <w:noProof/>
                <w:webHidden/>
              </w:rPr>
              <w:fldChar w:fldCharType="separate"/>
            </w:r>
            <w:r>
              <w:rPr>
                <w:noProof/>
                <w:webHidden/>
              </w:rPr>
              <w:t>434</w:t>
            </w:r>
            <w:r>
              <w:rPr>
                <w:noProof/>
                <w:webHidden/>
              </w:rPr>
              <w:fldChar w:fldCharType="end"/>
            </w:r>
          </w:hyperlink>
        </w:p>
        <w:p w14:paraId="45534FB9" w14:textId="681CF03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79" w:history="1">
            <w:r w:rsidRPr="001D4C20">
              <w:rPr>
                <w:rStyle w:val="Lienhypertexte"/>
                <w:noProof/>
              </w:rPr>
              <w:t>53.61.3c Plinthes à base de liants - plinthes en granulats de pierre agglomérés au ciment (mosaïque de marbre) CCTB 01.11</w:t>
            </w:r>
            <w:r>
              <w:rPr>
                <w:noProof/>
                <w:webHidden/>
              </w:rPr>
              <w:tab/>
            </w:r>
            <w:r>
              <w:rPr>
                <w:noProof/>
                <w:webHidden/>
              </w:rPr>
              <w:fldChar w:fldCharType="begin"/>
            </w:r>
            <w:r>
              <w:rPr>
                <w:noProof/>
                <w:webHidden/>
              </w:rPr>
              <w:instrText xml:space="preserve"> PAGEREF _Toc220490879 \h </w:instrText>
            </w:r>
            <w:r>
              <w:rPr>
                <w:noProof/>
                <w:webHidden/>
              </w:rPr>
            </w:r>
            <w:r>
              <w:rPr>
                <w:noProof/>
                <w:webHidden/>
              </w:rPr>
              <w:fldChar w:fldCharType="separate"/>
            </w:r>
            <w:r>
              <w:rPr>
                <w:noProof/>
                <w:webHidden/>
              </w:rPr>
              <w:t>434</w:t>
            </w:r>
            <w:r>
              <w:rPr>
                <w:noProof/>
                <w:webHidden/>
              </w:rPr>
              <w:fldChar w:fldCharType="end"/>
            </w:r>
          </w:hyperlink>
        </w:p>
        <w:p w14:paraId="282638DC" w14:textId="5ACD168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80" w:history="1">
            <w:r w:rsidRPr="001D4C20">
              <w:rPr>
                <w:rStyle w:val="Lienhypertexte"/>
                <w:noProof/>
              </w:rPr>
              <w:t>53.61.3d Plinthes à base de liants - plinthes à base de liants résineux CCTB 01.10</w:t>
            </w:r>
            <w:r>
              <w:rPr>
                <w:noProof/>
                <w:webHidden/>
              </w:rPr>
              <w:tab/>
            </w:r>
            <w:r>
              <w:rPr>
                <w:noProof/>
                <w:webHidden/>
              </w:rPr>
              <w:fldChar w:fldCharType="begin"/>
            </w:r>
            <w:r>
              <w:rPr>
                <w:noProof/>
                <w:webHidden/>
              </w:rPr>
              <w:instrText xml:space="preserve"> PAGEREF _Toc220490880 \h </w:instrText>
            </w:r>
            <w:r>
              <w:rPr>
                <w:noProof/>
                <w:webHidden/>
              </w:rPr>
            </w:r>
            <w:r>
              <w:rPr>
                <w:noProof/>
                <w:webHidden/>
              </w:rPr>
              <w:fldChar w:fldCharType="separate"/>
            </w:r>
            <w:r>
              <w:rPr>
                <w:noProof/>
                <w:webHidden/>
              </w:rPr>
              <w:t>435</w:t>
            </w:r>
            <w:r>
              <w:rPr>
                <w:noProof/>
                <w:webHidden/>
              </w:rPr>
              <w:fldChar w:fldCharType="end"/>
            </w:r>
          </w:hyperlink>
        </w:p>
        <w:p w14:paraId="5D6022CB" w14:textId="2E6405EA"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81" w:history="1">
            <w:r w:rsidRPr="001D4C20">
              <w:rPr>
                <w:rStyle w:val="Lienhypertexte"/>
                <w:noProof/>
              </w:rPr>
              <w:t>53.61.4 Plinthes en bois CCTB 01.02</w:t>
            </w:r>
            <w:r>
              <w:rPr>
                <w:noProof/>
                <w:webHidden/>
              </w:rPr>
              <w:tab/>
            </w:r>
            <w:r>
              <w:rPr>
                <w:noProof/>
                <w:webHidden/>
              </w:rPr>
              <w:fldChar w:fldCharType="begin"/>
            </w:r>
            <w:r>
              <w:rPr>
                <w:noProof/>
                <w:webHidden/>
              </w:rPr>
              <w:instrText xml:space="preserve"> PAGEREF _Toc220490881 \h </w:instrText>
            </w:r>
            <w:r>
              <w:rPr>
                <w:noProof/>
                <w:webHidden/>
              </w:rPr>
            </w:r>
            <w:r>
              <w:rPr>
                <w:noProof/>
                <w:webHidden/>
              </w:rPr>
              <w:fldChar w:fldCharType="separate"/>
            </w:r>
            <w:r>
              <w:rPr>
                <w:noProof/>
                <w:webHidden/>
              </w:rPr>
              <w:t>435</w:t>
            </w:r>
            <w:r>
              <w:rPr>
                <w:noProof/>
                <w:webHidden/>
              </w:rPr>
              <w:fldChar w:fldCharType="end"/>
            </w:r>
          </w:hyperlink>
        </w:p>
        <w:p w14:paraId="4C239B8A" w14:textId="15681E1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82" w:history="1">
            <w:r w:rsidRPr="001D4C20">
              <w:rPr>
                <w:rStyle w:val="Lienhypertexte"/>
                <w:noProof/>
              </w:rPr>
              <w:t>53.61.4a Plinthes en bois massif CCTB 01.10</w:t>
            </w:r>
            <w:r>
              <w:rPr>
                <w:noProof/>
                <w:webHidden/>
              </w:rPr>
              <w:tab/>
            </w:r>
            <w:r>
              <w:rPr>
                <w:noProof/>
                <w:webHidden/>
              </w:rPr>
              <w:fldChar w:fldCharType="begin"/>
            </w:r>
            <w:r>
              <w:rPr>
                <w:noProof/>
                <w:webHidden/>
              </w:rPr>
              <w:instrText xml:space="preserve"> PAGEREF _Toc220490882 \h </w:instrText>
            </w:r>
            <w:r>
              <w:rPr>
                <w:noProof/>
                <w:webHidden/>
              </w:rPr>
            </w:r>
            <w:r>
              <w:rPr>
                <w:noProof/>
                <w:webHidden/>
              </w:rPr>
              <w:fldChar w:fldCharType="separate"/>
            </w:r>
            <w:r>
              <w:rPr>
                <w:noProof/>
                <w:webHidden/>
              </w:rPr>
              <w:t>435</w:t>
            </w:r>
            <w:r>
              <w:rPr>
                <w:noProof/>
                <w:webHidden/>
              </w:rPr>
              <w:fldChar w:fldCharType="end"/>
            </w:r>
          </w:hyperlink>
        </w:p>
        <w:p w14:paraId="0D12D627" w14:textId="5578E85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83" w:history="1">
            <w:r w:rsidRPr="001D4C20">
              <w:rPr>
                <w:rStyle w:val="Lienhypertexte"/>
                <w:noProof/>
              </w:rPr>
              <w:t>53.61.4b Plinthes en bois composite CCTB 01.12</w:t>
            </w:r>
            <w:r>
              <w:rPr>
                <w:noProof/>
                <w:webHidden/>
              </w:rPr>
              <w:tab/>
            </w:r>
            <w:r>
              <w:rPr>
                <w:noProof/>
                <w:webHidden/>
              </w:rPr>
              <w:fldChar w:fldCharType="begin"/>
            </w:r>
            <w:r>
              <w:rPr>
                <w:noProof/>
                <w:webHidden/>
              </w:rPr>
              <w:instrText xml:space="preserve"> PAGEREF _Toc220490883 \h </w:instrText>
            </w:r>
            <w:r>
              <w:rPr>
                <w:noProof/>
                <w:webHidden/>
              </w:rPr>
            </w:r>
            <w:r>
              <w:rPr>
                <w:noProof/>
                <w:webHidden/>
              </w:rPr>
              <w:fldChar w:fldCharType="separate"/>
            </w:r>
            <w:r>
              <w:rPr>
                <w:noProof/>
                <w:webHidden/>
              </w:rPr>
              <w:t>436</w:t>
            </w:r>
            <w:r>
              <w:rPr>
                <w:noProof/>
                <w:webHidden/>
              </w:rPr>
              <w:fldChar w:fldCharType="end"/>
            </w:r>
          </w:hyperlink>
        </w:p>
        <w:p w14:paraId="26AE418E" w14:textId="1A9C90AE"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84" w:history="1">
            <w:r w:rsidRPr="001D4C20">
              <w:rPr>
                <w:rStyle w:val="Lienhypertexte"/>
                <w:noProof/>
              </w:rPr>
              <w:t>53.61.5 Plinthes souples en textiles CCTB 01.11</w:t>
            </w:r>
            <w:r>
              <w:rPr>
                <w:noProof/>
                <w:webHidden/>
              </w:rPr>
              <w:tab/>
            </w:r>
            <w:r>
              <w:rPr>
                <w:noProof/>
                <w:webHidden/>
              </w:rPr>
              <w:fldChar w:fldCharType="begin"/>
            </w:r>
            <w:r>
              <w:rPr>
                <w:noProof/>
                <w:webHidden/>
              </w:rPr>
              <w:instrText xml:space="preserve"> PAGEREF _Toc220490884 \h </w:instrText>
            </w:r>
            <w:r>
              <w:rPr>
                <w:noProof/>
                <w:webHidden/>
              </w:rPr>
            </w:r>
            <w:r>
              <w:rPr>
                <w:noProof/>
                <w:webHidden/>
              </w:rPr>
              <w:fldChar w:fldCharType="separate"/>
            </w:r>
            <w:r>
              <w:rPr>
                <w:noProof/>
                <w:webHidden/>
              </w:rPr>
              <w:t>437</w:t>
            </w:r>
            <w:r>
              <w:rPr>
                <w:noProof/>
                <w:webHidden/>
              </w:rPr>
              <w:fldChar w:fldCharType="end"/>
            </w:r>
          </w:hyperlink>
        </w:p>
        <w:p w14:paraId="06159E96" w14:textId="245435D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85" w:history="1">
            <w:r w:rsidRPr="001D4C20">
              <w:rPr>
                <w:rStyle w:val="Lienhypertexte"/>
                <w:noProof/>
              </w:rPr>
              <w:t>53.61.5a Plinthes souples en textiles, en tapis plain CCTB 01.02</w:t>
            </w:r>
            <w:r>
              <w:rPr>
                <w:noProof/>
                <w:webHidden/>
              </w:rPr>
              <w:tab/>
            </w:r>
            <w:r>
              <w:rPr>
                <w:noProof/>
                <w:webHidden/>
              </w:rPr>
              <w:fldChar w:fldCharType="begin"/>
            </w:r>
            <w:r>
              <w:rPr>
                <w:noProof/>
                <w:webHidden/>
              </w:rPr>
              <w:instrText xml:space="preserve"> PAGEREF _Toc220490885 \h </w:instrText>
            </w:r>
            <w:r>
              <w:rPr>
                <w:noProof/>
                <w:webHidden/>
              </w:rPr>
            </w:r>
            <w:r>
              <w:rPr>
                <w:noProof/>
                <w:webHidden/>
              </w:rPr>
              <w:fldChar w:fldCharType="separate"/>
            </w:r>
            <w:r>
              <w:rPr>
                <w:noProof/>
                <w:webHidden/>
              </w:rPr>
              <w:t>437</w:t>
            </w:r>
            <w:r>
              <w:rPr>
                <w:noProof/>
                <w:webHidden/>
              </w:rPr>
              <w:fldChar w:fldCharType="end"/>
            </w:r>
          </w:hyperlink>
        </w:p>
        <w:p w14:paraId="0671843D" w14:textId="45AB234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86" w:history="1">
            <w:r w:rsidRPr="001D4C20">
              <w:rPr>
                <w:rStyle w:val="Lienhypertexte"/>
                <w:noProof/>
              </w:rPr>
              <w:t>53.61.5b Plinthes souples en textiles, en coco CCTB 01.02</w:t>
            </w:r>
            <w:r>
              <w:rPr>
                <w:noProof/>
                <w:webHidden/>
              </w:rPr>
              <w:tab/>
            </w:r>
            <w:r>
              <w:rPr>
                <w:noProof/>
                <w:webHidden/>
              </w:rPr>
              <w:fldChar w:fldCharType="begin"/>
            </w:r>
            <w:r>
              <w:rPr>
                <w:noProof/>
                <w:webHidden/>
              </w:rPr>
              <w:instrText xml:space="preserve"> PAGEREF _Toc220490886 \h </w:instrText>
            </w:r>
            <w:r>
              <w:rPr>
                <w:noProof/>
                <w:webHidden/>
              </w:rPr>
            </w:r>
            <w:r>
              <w:rPr>
                <w:noProof/>
                <w:webHidden/>
              </w:rPr>
              <w:fldChar w:fldCharType="separate"/>
            </w:r>
            <w:r>
              <w:rPr>
                <w:noProof/>
                <w:webHidden/>
              </w:rPr>
              <w:t>438</w:t>
            </w:r>
            <w:r>
              <w:rPr>
                <w:noProof/>
                <w:webHidden/>
              </w:rPr>
              <w:fldChar w:fldCharType="end"/>
            </w:r>
          </w:hyperlink>
        </w:p>
        <w:p w14:paraId="4BEABDEC" w14:textId="40E8AA6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87" w:history="1">
            <w:r w:rsidRPr="001D4C20">
              <w:rPr>
                <w:rStyle w:val="Lienhypertexte"/>
                <w:noProof/>
              </w:rPr>
              <w:t>53.61.5c Plinthes souples en textiles, en sisale CCTB 01.12</w:t>
            </w:r>
            <w:r>
              <w:rPr>
                <w:noProof/>
                <w:webHidden/>
              </w:rPr>
              <w:tab/>
            </w:r>
            <w:r>
              <w:rPr>
                <w:noProof/>
                <w:webHidden/>
              </w:rPr>
              <w:fldChar w:fldCharType="begin"/>
            </w:r>
            <w:r>
              <w:rPr>
                <w:noProof/>
                <w:webHidden/>
              </w:rPr>
              <w:instrText xml:space="preserve"> PAGEREF _Toc220490887 \h </w:instrText>
            </w:r>
            <w:r>
              <w:rPr>
                <w:noProof/>
                <w:webHidden/>
              </w:rPr>
            </w:r>
            <w:r>
              <w:rPr>
                <w:noProof/>
                <w:webHidden/>
              </w:rPr>
              <w:fldChar w:fldCharType="separate"/>
            </w:r>
            <w:r>
              <w:rPr>
                <w:noProof/>
                <w:webHidden/>
              </w:rPr>
              <w:t>438</w:t>
            </w:r>
            <w:r>
              <w:rPr>
                <w:noProof/>
                <w:webHidden/>
              </w:rPr>
              <w:fldChar w:fldCharType="end"/>
            </w:r>
          </w:hyperlink>
        </w:p>
        <w:p w14:paraId="0784F58F" w14:textId="6674ED8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88" w:history="1">
            <w:r w:rsidRPr="001D4C20">
              <w:rPr>
                <w:rStyle w:val="Lienhypertexte"/>
                <w:noProof/>
              </w:rPr>
              <w:t>53.61.5d Plinthes souples en textiles, en laine CCTB 01.02</w:t>
            </w:r>
            <w:r>
              <w:rPr>
                <w:noProof/>
                <w:webHidden/>
              </w:rPr>
              <w:tab/>
            </w:r>
            <w:r>
              <w:rPr>
                <w:noProof/>
                <w:webHidden/>
              </w:rPr>
              <w:fldChar w:fldCharType="begin"/>
            </w:r>
            <w:r>
              <w:rPr>
                <w:noProof/>
                <w:webHidden/>
              </w:rPr>
              <w:instrText xml:space="preserve"> PAGEREF _Toc220490888 \h </w:instrText>
            </w:r>
            <w:r>
              <w:rPr>
                <w:noProof/>
                <w:webHidden/>
              </w:rPr>
            </w:r>
            <w:r>
              <w:rPr>
                <w:noProof/>
                <w:webHidden/>
              </w:rPr>
              <w:fldChar w:fldCharType="separate"/>
            </w:r>
            <w:r>
              <w:rPr>
                <w:noProof/>
                <w:webHidden/>
              </w:rPr>
              <w:t>438</w:t>
            </w:r>
            <w:r>
              <w:rPr>
                <w:noProof/>
                <w:webHidden/>
              </w:rPr>
              <w:fldChar w:fldCharType="end"/>
            </w:r>
          </w:hyperlink>
        </w:p>
        <w:p w14:paraId="12CD14DE" w14:textId="014691C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89" w:history="1">
            <w:r w:rsidRPr="001D4C20">
              <w:rPr>
                <w:rStyle w:val="Lienhypertexte"/>
                <w:noProof/>
              </w:rPr>
              <w:t>53.61.6 Plinthes souples en matériau ligneux CCTB 01.02</w:t>
            </w:r>
            <w:r>
              <w:rPr>
                <w:noProof/>
                <w:webHidden/>
              </w:rPr>
              <w:tab/>
            </w:r>
            <w:r>
              <w:rPr>
                <w:noProof/>
                <w:webHidden/>
              </w:rPr>
              <w:fldChar w:fldCharType="begin"/>
            </w:r>
            <w:r>
              <w:rPr>
                <w:noProof/>
                <w:webHidden/>
              </w:rPr>
              <w:instrText xml:space="preserve"> PAGEREF _Toc220490889 \h </w:instrText>
            </w:r>
            <w:r>
              <w:rPr>
                <w:noProof/>
                <w:webHidden/>
              </w:rPr>
            </w:r>
            <w:r>
              <w:rPr>
                <w:noProof/>
                <w:webHidden/>
              </w:rPr>
              <w:fldChar w:fldCharType="separate"/>
            </w:r>
            <w:r>
              <w:rPr>
                <w:noProof/>
                <w:webHidden/>
              </w:rPr>
              <w:t>438</w:t>
            </w:r>
            <w:r>
              <w:rPr>
                <w:noProof/>
                <w:webHidden/>
              </w:rPr>
              <w:fldChar w:fldCharType="end"/>
            </w:r>
          </w:hyperlink>
        </w:p>
        <w:p w14:paraId="60A638AD" w14:textId="2F79EB9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90" w:history="1">
            <w:r w:rsidRPr="001D4C20">
              <w:rPr>
                <w:rStyle w:val="Lienhypertexte"/>
                <w:noProof/>
              </w:rPr>
              <w:t>53.61.6a Plinthes souples en matériau ligneux, en liège CCTB 01.02</w:t>
            </w:r>
            <w:r>
              <w:rPr>
                <w:noProof/>
                <w:webHidden/>
              </w:rPr>
              <w:tab/>
            </w:r>
            <w:r>
              <w:rPr>
                <w:noProof/>
                <w:webHidden/>
              </w:rPr>
              <w:fldChar w:fldCharType="begin"/>
            </w:r>
            <w:r>
              <w:rPr>
                <w:noProof/>
                <w:webHidden/>
              </w:rPr>
              <w:instrText xml:space="preserve"> PAGEREF _Toc220490890 \h </w:instrText>
            </w:r>
            <w:r>
              <w:rPr>
                <w:noProof/>
                <w:webHidden/>
              </w:rPr>
            </w:r>
            <w:r>
              <w:rPr>
                <w:noProof/>
                <w:webHidden/>
              </w:rPr>
              <w:fldChar w:fldCharType="separate"/>
            </w:r>
            <w:r>
              <w:rPr>
                <w:noProof/>
                <w:webHidden/>
              </w:rPr>
              <w:t>438</w:t>
            </w:r>
            <w:r>
              <w:rPr>
                <w:noProof/>
                <w:webHidden/>
              </w:rPr>
              <w:fldChar w:fldCharType="end"/>
            </w:r>
          </w:hyperlink>
        </w:p>
        <w:p w14:paraId="63D92F3E" w14:textId="2E23154E"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91" w:history="1">
            <w:r w:rsidRPr="001D4C20">
              <w:rPr>
                <w:rStyle w:val="Lienhypertexte"/>
                <w:noProof/>
              </w:rPr>
              <w:t>53.61.7 Plinthes souples en matériau synthétique CCTB 01.02</w:t>
            </w:r>
            <w:r>
              <w:rPr>
                <w:noProof/>
                <w:webHidden/>
              </w:rPr>
              <w:tab/>
            </w:r>
            <w:r>
              <w:rPr>
                <w:noProof/>
                <w:webHidden/>
              </w:rPr>
              <w:fldChar w:fldCharType="begin"/>
            </w:r>
            <w:r>
              <w:rPr>
                <w:noProof/>
                <w:webHidden/>
              </w:rPr>
              <w:instrText xml:space="preserve"> PAGEREF _Toc220490891 \h </w:instrText>
            </w:r>
            <w:r>
              <w:rPr>
                <w:noProof/>
                <w:webHidden/>
              </w:rPr>
            </w:r>
            <w:r>
              <w:rPr>
                <w:noProof/>
                <w:webHidden/>
              </w:rPr>
              <w:fldChar w:fldCharType="separate"/>
            </w:r>
            <w:r>
              <w:rPr>
                <w:noProof/>
                <w:webHidden/>
              </w:rPr>
              <w:t>438</w:t>
            </w:r>
            <w:r>
              <w:rPr>
                <w:noProof/>
                <w:webHidden/>
              </w:rPr>
              <w:fldChar w:fldCharType="end"/>
            </w:r>
          </w:hyperlink>
        </w:p>
        <w:p w14:paraId="1DF65B08" w14:textId="6332A74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92" w:history="1">
            <w:r w:rsidRPr="001D4C20">
              <w:rPr>
                <w:rStyle w:val="Lienhypertexte"/>
                <w:noProof/>
              </w:rPr>
              <w:t>53.61.7a Plinthes souples en matériau synthétique, en linoleum CCTB 01.12</w:t>
            </w:r>
            <w:r>
              <w:rPr>
                <w:noProof/>
                <w:webHidden/>
              </w:rPr>
              <w:tab/>
            </w:r>
            <w:r>
              <w:rPr>
                <w:noProof/>
                <w:webHidden/>
              </w:rPr>
              <w:fldChar w:fldCharType="begin"/>
            </w:r>
            <w:r>
              <w:rPr>
                <w:noProof/>
                <w:webHidden/>
              </w:rPr>
              <w:instrText xml:space="preserve"> PAGEREF _Toc220490892 \h </w:instrText>
            </w:r>
            <w:r>
              <w:rPr>
                <w:noProof/>
                <w:webHidden/>
              </w:rPr>
            </w:r>
            <w:r>
              <w:rPr>
                <w:noProof/>
                <w:webHidden/>
              </w:rPr>
              <w:fldChar w:fldCharType="separate"/>
            </w:r>
            <w:r>
              <w:rPr>
                <w:noProof/>
                <w:webHidden/>
              </w:rPr>
              <w:t>438</w:t>
            </w:r>
            <w:r>
              <w:rPr>
                <w:noProof/>
                <w:webHidden/>
              </w:rPr>
              <w:fldChar w:fldCharType="end"/>
            </w:r>
          </w:hyperlink>
        </w:p>
        <w:p w14:paraId="0F0EFEE7" w14:textId="36AC07A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93" w:history="1">
            <w:r w:rsidRPr="001D4C20">
              <w:rPr>
                <w:rStyle w:val="Lienhypertexte"/>
                <w:noProof/>
              </w:rPr>
              <w:t>53.61.7b Plinthes souples en matériau synthétique, en PVC CCTB 01.11</w:t>
            </w:r>
            <w:r>
              <w:rPr>
                <w:noProof/>
                <w:webHidden/>
              </w:rPr>
              <w:tab/>
            </w:r>
            <w:r>
              <w:rPr>
                <w:noProof/>
                <w:webHidden/>
              </w:rPr>
              <w:fldChar w:fldCharType="begin"/>
            </w:r>
            <w:r>
              <w:rPr>
                <w:noProof/>
                <w:webHidden/>
              </w:rPr>
              <w:instrText xml:space="preserve"> PAGEREF _Toc220490893 \h </w:instrText>
            </w:r>
            <w:r>
              <w:rPr>
                <w:noProof/>
                <w:webHidden/>
              </w:rPr>
            </w:r>
            <w:r>
              <w:rPr>
                <w:noProof/>
                <w:webHidden/>
              </w:rPr>
              <w:fldChar w:fldCharType="separate"/>
            </w:r>
            <w:r>
              <w:rPr>
                <w:noProof/>
                <w:webHidden/>
              </w:rPr>
              <w:t>439</w:t>
            </w:r>
            <w:r>
              <w:rPr>
                <w:noProof/>
                <w:webHidden/>
              </w:rPr>
              <w:fldChar w:fldCharType="end"/>
            </w:r>
          </w:hyperlink>
        </w:p>
        <w:p w14:paraId="4D5591D9" w14:textId="3397A80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94" w:history="1">
            <w:r w:rsidRPr="001D4C20">
              <w:rPr>
                <w:rStyle w:val="Lienhypertexte"/>
                <w:noProof/>
              </w:rPr>
              <w:t>53.61.7c Plinthes souples en matériau synthétique, en vinyle CCTB 01.11</w:t>
            </w:r>
            <w:r>
              <w:rPr>
                <w:noProof/>
                <w:webHidden/>
              </w:rPr>
              <w:tab/>
            </w:r>
            <w:r>
              <w:rPr>
                <w:noProof/>
                <w:webHidden/>
              </w:rPr>
              <w:fldChar w:fldCharType="begin"/>
            </w:r>
            <w:r>
              <w:rPr>
                <w:noProof/>
                <w:webHidden/>
              </w:rPr>
              <w:instrText xml:space="preserve"> PAGEREF _Toc220490894 \h </w:instrText>
            </w:r>
            <w:r>
              <w:rPr>
                <w:noProof/>
                <w:webHidden/>
              </w:rPr>
            </w:r>
            <w:r>
              <w:rPr>
                <w:noProof/>
                <w:webHidden/>
              </w:rPr>
              <w:fldChar w:fldCharType="separate"/>
            </w:r>
            <w:r>
              <w:rPr>
                <w:noProof/>
                <w:webHidden/>
              </w:rPr>
              <w:t>440</w:t>
            </w:r>
            <w:r>
              <w:rPr>
                <w:noProof/>
                <w:webHidden/>
              </w:rPr>
              <w:fldChar w:fldCharType="end"/>
            </w:r>
          </w:hyperlink>
        </w:p>
        <w:p w14:paraId="66C918EE" w14:textId="738C2DF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95" w:history="1">
            <w:r w:rsidRPr="001D4C20">
              <w:rPr>
                <w:rStyle w:val="Lienhypertexte"/>
                <w:noProof/>
              </w:rPr>
              <w:t>53.61.7d Plinthes souples en matériau synthétique, en caoutchouc CCTB 01.11</w:t>
            </w:r>
            <w:r>
              <w:rPr>
                <w:noProof/>
                <w:webHidden/>
              </w:rPr>
              <w:tab/>
            </w:r>
            <w:r>
              <w:rPr>
                <w:noProof/>
                <w:webHidden/>
              </w:rPr>
              <w:fldChar w:fldCharType="begin"/>
            </w:r>
            <w:r>
              <w:rPr>
                <w:noProof/>
                <w:webHidden/>
              </w:rPr>
              <w:instrText xml:space="preserve"> PAGEREF _Toc220490895 \h </w:instrText>
            </w:r>
            <w:r>
              <w:rPr>
                <w:noProof/>
                <w:webHidden/>
              </w:rPr>
            </w:r>
            <w:r>
              <w:rPr>
                <w:noProof/>
                <w:webHidden/>
              </w:rPr>
              <w:fldChar w:fldCharType="separate"/>
            </w:r>
            <w:r>
              <w:rPr>
                <w:noProof/>
                <w:webHidden/>
              </w:rPr>
              <w:t>441</w:t>
            </w:r>
            <w:r>
              <w:rPr>
                <w:noProof/>
                <w:webHidden/>
              </w:rPr>
              <w:fldChar w:fldCharType="end"/>
            </w:r>
          </w:hyperlink>
        </w:p>
        <w:p w14:paraId="4BCE6044" w14:textId="49E11C9B"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96" w:history="1">
            <w:r w:rsidRPr="001D4C20">
              <w:rPr>
                <w:rStyle w:val="Lienhypertexte"/>
                <w:noProof/>
              </w:rPr>
              <w:t>53.61.8 Plinthes métalliques CCTB 01.02</w:t>
            </w:r>
            <w:r>
              <w:rPr>
                <w:noProof/>
                <w:webHidden/>
              </w:rPr>
              <w:tab/>
            </w:r>
            <w:r>
              <w:rPr>
                <w:noProof/>
                <w:webHidden/>
              </w:rPr>
              <w:fldChar w:fldCharType="begin"/>
            </w:r>
            <w:r>
              <w:rPr>
                <w:noProof/>
                <w:webHidden/>
              </w:rPr>
              <w:instrText xml:space="preserve"> PAGEREF _Toc220490896 \h </w:instrText>
            </w:r>
            <w:r>
              <w:rPr>
                <w:noProof/>
                <w:webHidden/>
              </w:rPr>
            </w:r>
            <w:r>
              <w:rPr>
                <w:noProof/>
                <w:webHidden/>
              </w:rPr>
              <w:fldChar w:fldCharType="separate"/>
            </w:r>
            <w:r>
              <w:rPr>
                <w:noProof/>
                <w:webHidden/>
              </w:rPr>
              <w:t>442</w:t>
            </w:r>
            <w:r>
              <w:rPr>
                <w:noProof/>
                <w:webHidden/>
              </w:rPr>
              <w:fldChar w:fldCharType="end"/>
            </w:r>
          </w:hyperlink>
        </w:p>
        <w:p w14:paraId="474FE991" w14:textId="67FB75B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97" w:history="1">
            <w:r w:rsidRPr="001D4C20">
              <w:rPr>
                <w:rStyle w:val="Lienhypertexte"/>
                <w:noProof/>
              </w:rPr>
              <w:t>53.61.8a Plinthes métalliques, en acier CCTB 01.02</w:t>
            </w:r>
            <w:r>
              <w:rPr>
                <w:noProof/>
                <w:webHidden/>
              </w:rPr>
              <w:tab/>
            </w:r>
            <w:r>
              <w:rPr>
                <w:noProof/>
                <w:webHidden/>
              </w:rPr>
              <w:fldChar w:fldCharType="begin"/>
            </w:r>
            <w:r>
              <w:rPr>
                <w:noProof/>
                <w:webHidden/>
              </w:rPr>
              <w:instrText xml:space="preserve"> PAGEREF _Toc220490897 \h </w:instrText>
            </w:r>
            <w:r>
              <w:rPr>
                <w:noProof/>
                <w:webHidden/>
              </w:rPr>
            </w:r>
            <w:r>
              <w:rPr>
                <w:noProof/>
                <w:webHidden/>
              </w:rPr>
              <w:fldChar w:fldCharType="separate"/>
            </w:r>
            <w:r>
              <w:rPr>
                <w:noProof/>
                <w:webHidden/>
              </w:rPr>
              <w:t>442</w:t>
            </w:r>
            <w:r>
              <w:rPr>
                <w:noProof/>
                <w:webHidden/>
              </w:rPr>
              <w:fldChar w:fldCharType="end"/>
            </w:r>
          </w:hyperlink>
        </w:p>
        <w:p w14:paraId="5FC049D9" w14:textId="02F4FFC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98" w:history="1">
            <w:r w:rsidRPr="001D4C20">
              <w:rPr>
                <w:rStyle w:val="Lienhypertexte"/>
                <w:noProof/>
              </w:rPr>
              <w:t>53.61.8b Plinthes métalliques, en aluminium CCTB 01.02</w:t>
            </w:r>
            <w:r>
              <w:rPr>
                <w:noProof/>
                <w:webHidden/>
              </w:rPr>
              <w:tab/>
            </w:r>
            <w:r>
              <w:rPr>
                <w:noProof/>
                <w:webHidden/>
              </w:rPr>
              <w:fldChar w:fldCharType="begin"/>
            </w:r>
            <w:r>
              <w:rPr>
                <w:noProof/>
                <w:webHidden/>
              </w:rPr>
              <w:instrText xml:space="preserve"> PAGEREF _Toc220490898 \h </w:instrText>
            </w:r>
            <w:r>
              <w:rPr>
                <w:noProof/>
                <w:webHidden/>
              </w:rPr>
            </w:r>
            <w:r>
              <w:rPr>
                <w:noProof/>
                <w:webHidden/>
              </w:rPr>
              <w:fldChar w:fldCharType="separate"/>
            </w:r>
            <w:r>
              <w:rPr>
                <w:noProof/>
                <w:webHidden/>
              </w:rPr>
              <w:t>442</w:t>
            </w:r>
            <w:r>
              <w:rPr>
                <w:noProof/>
                <w:webHidden/>
              </w:rPr>
              <w:fldChar w:fldCharType="end"/>
            </w:r>
          </w:hyperlink>
        </w:p>
        <w:p w14:paraId="6EDDF26E" w14:textId="1DCB6662"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899" w:history="1">
            <w:r w:rsidRPr="001D4C20">
              <w:rPr>
                <w:rStyle w:val="Lienhypertexte"/>
                <w:noProof/>
              </w:rPr>
              <w:t>53.62 Entre-portes CCTB 01.11</w:t>
            </w:r>
            <w:r>
              <w:rPr>
                <w:noProof/>
                <w:webHidden/>
              </w:rPr>
              <w:tab/>
            </w:r>
            <w:r>
              <w:rPr>
                <w:noProof/>
                <w:webHidden/>
              </w:rPr>
              <w:fldChar w:fldCharType="begin"/>
            </w:r>
            <w:r>
              <w:rPr>
                <w:noProof/>
                <w:webHidden/>
              </w:rPr>
              <w:instrText xml:space="preserve"> PAGEREF _Toc220490899 \h </w:instrText>
            </w:r>
            <w:r>
              <w:rPr>
                <w:noProof/>
                <w:webHidden/>
              </w:rPr>
            </w:r>
            <w:r>
              <w:rPr>
                <w:noProof/>
                <w:webHidden/>
              </w:rPr>
              <w:fldChar w:fldCharType="separate"/>
            </w:r>
            <w:r>
              <w:rPr>
                <w:noProof/>
                <w:webHidden/>
              </w:rPr>
              <w:t>442</w:t>
            </w:r>
            <w:r>
              <w:rPr>
                <w:noProof/>
                <w:webHidden/>
              </w:rPr>
              <w:fldChar w:fldCharType="end"/>
            </w:r>
          </w:hyperlink>
        </w:p>
        <w:p w14:paraId="53AA55AE" w14:textId="2D2008B0"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00" w:history="1">
            <w:r w:rsidRPr="001D4C20">
              <w:rPr>
                <w:rStyle w:val="Lienhypertexte"/>
                <w:noProof/>
              </w:rPr>
              <w:t>53.62.1 Entre-portes en carreaux de céramique CCTB 01.02</w:t>
            </w:r>
            <w:r>
              <w:rPr>
                <w:noProof/>
                <w:webHidden/>
              </w:rPr>
              <w:tab/>
            </w:r>
            <w:r>
              <w:rPr>
                <w:noProof/>
                <w:webHidden/>
              </w:rPr>
              <w:fldChar w:fldCharType="begin"/>
            </w:r>
            <w:r>
              <w:rPr>
                <w:noProof/>
                <w:webHidden/>
              </w:rPr>
              <w:instrText xml:space="preserve"> PAGEREF _Toc220490900 \h </w:instrText>
            </w:r>
            <w:r>
              <w:rPr>
                <w:noProof/>
                <w:webHidden/>
              </w:rPr>
            </w:r>
            <w:r>
              <w:rPr>
                <w:noProof/>
                <w:webHidden/>
              </w:rPr>
              <w:fldChar w:fldCharType="separate"/>
            </w:r>
            <w:r>
              <w:rPr>
                <w:noProof/>
                <w:webHidden/>
              </w:rPr>
              <w:t>443</w:t>
            </w:r>
            <w:r>
              <w:rPr>
                <w:noProof/>
                <w:webHidden/>
              </w:rPr>
              <w:fldChar w:fldCharType="end"/>
            </w:r>
          </w:hyperlink>
        </w:p>
        <w:p w14:paraId="48A5C775" w14:textId="579109A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01" w:history="1">
            <w:r w:rsidRPr="001D4C20">
              <w:rPr>
                <w:rStyle w:val="Lienhypertexte"/>
                <w:noProof/>
              </w:rPr>
              <w:t>53.62.2 Entre-portes en pierres naturelles CCTB 01.10</w:t>
            </w:r>
            <w:r>
              <w:rPr>
                <w:noProof/>
                <w:webHidden/>
              </w:rPr>
              <w:tab/>
            </w:r>
            <w:r>
              <w:rPr>
                <w:noProof/>
                <w:webHidden/>
              </w:rPr>
              <w:fldChar w:fldCharType="begin"/>
            </w:r>
            <w:r>
              <w:rPr>
                <w:noProof/>
                <w:webHidden/>
              </w:rPr>
              <w:instrText xml:space="preserve"> PAGEREF _Toc220490901 \h </w:instrText>
            </w:r>
            <w:r>
              <w:rPr>
                <w:noProof/>
                <w:webHidden/>
              </w:rPr>
            </w:r>
            <w:r>
              <w:rPr>
                <w:noProof/>
                <w:webHidden/>
              </w:rPr>
              <w:fldChar w:fldCharType="separate"/>
            </w:r>
            <w:r>
              <w:rPr>
                <w:noProof/>
                <w:webHidden/>
              </w:rPr>
              <w:t>443</w:t>
            </w:r>
            <w:r>
              <w:rPr>
                <w:noProof/>
                <w:webHidden/>
              </w:rPr>
              <w:fldChar w:fldCharType="end"/>
            </w:r>
          </w:hyperlink>
        </w:p>
        <w:p w14:paraId="1AE1A5C7" w14:textId="2AD17FE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02" w:history="1">
            <w:r w:rsidRPr="001D4C20">
              <w:rPr>
                <w:rStyle w:val="Lienhypertexte"/>
                <w:noProof/>
              </w:rPr>
              <w:t>53.62.2a Entre-portes en pierres naturelles - en pierres blanches CCTB 01.02</w:t>
            </w:r>
            <w:r>
              <w:rPr>
                <w:noProof/>
                <w:webHidden/>
              </w:rPr>
              <w:tab/>
            </w:r>
            <w:r>
              <w:rPr>
                <w:noProof/>
                <w:webHidden/>
              </w:rPr>
              <w:fldChar w:fldCharType="begin"/>
            </w:r>
            <w:r>
              <w:rPr>
                <w:noProof/>
                <w:webHidden/>
              </w:rPr>
              <w:instrText xml:space="preserve"> PAGEREF _Toc220490902 \h </w:instrText>
            </w:r>
            <w:r>
              <w:rPr>
                <w:noProof/>
                <w:webHidden/>
              </w:rPr>
            </w:r>
            <w:r>
              <w:rPr>
                <w:noProof/>
                <w:webHidden/>
              </w:rPr>
              <w:fldChar w:fldCharType="separate"/>
            </w:r>
            <w:r>
              <w:rPr>
                <w:noProof/>
                <w:webHidden/>
              </w:rPr>
              <w:t>444</w:t>
            </w:r>
            <w:r>
              <w:rPr>
                <w:noProof/>
                <w:webHidden/>
              </w:rPr>
              <w:fldChar w:fldCharType="end"/>
            </w:r>
          </w:hyperlink>
        </w:p>
        <w:p w14:paraId="5DA187B3" w14:textId="6E382A6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03" w:history="1">
            <w:r w:rsidRPr="001D4C20">
              <w:rPr>
                <w:rStyle w:val="Lienhypertexte"/>
                <w:noProof/>
              </w:rPr>
              <w:t>53.62.2b Entre-portes en pierres naturelles - en pierres marbrières CCTB 01.02</w:t>
            </w:r>
            <w:r>
              <w:rPr>
                <w:noProof/>
                <w:webHidden/>
              </w:rPr>
              <w:tab/>
            </w:r>
            <w:r>
              <w:rPr>
                <w:noProof/>
                <w:webHidden/>
              </w:rPr>
              <w:fldChar w:fldCharType="begin"/>
            </w:r>
            <w:r>
              <w:rPr>
                <w:noProof/>
                <w:webHidden/>
              </w:rPr>
              <w:instrText xml:space="preserve"> PAGEREF _Toc220490903 \h </w:instrText>
            </w:r>
            <w:r>
              <w:rPr>
                <w:noProof/>
                <w:webHidden/>
              </w:rPr>
            </w:r>
            <w:r>
              <w:rPr>
                <w:noProof/>
                <w:webHidden/>
              </w:rPr>
              <w:fldChar w:fldCharType="separate"/>
            </w:r>
            <w:r>
              <w:rPr>
                <w:noProof/>
                <w:webHidden/>
              </w:rPr>
              <w:t>444</w:t>
            </w:r>
            <w:r>
              <w:rPr>
                <w:noProof/>
                <w:webHidden/>
              </w:rPr>
              <w:fldChar w:fldCharType="end"/>
            </w:r>
          </w:hyperlink>
        </w:p>
        <w:p w14:paraId="18DFD803" w14:textId="19D6779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04" w:history="1">
            <w:r w:rsidRPr="001D4C20">
              <w:rPr>
                <w:rStyle w:val="Lienhypertexte"/>
                <w:noProof/>
              </w:rPr>
              <w:t>53.62.2c Entre-portes en pierres naturelles - en marbres CCTB 01.02</w:t>
            </w:r>
            <w:r>
              <w:rPr>
                <w:noProof/>
                <w:webHidden/>
              </w:rPr>
              <w:tab/>
            </w:r>
            <w:r>
              <w:rPr>
                <w:noProof/>
                <w:webHidden/>
              </w:rPr>
              <w:fldChar w:fldCharType="begin"/>
            </w:r>
            <w:r>
              <w:rPr>
                <w:noProof/>
                <w:webHidden/>
              </w:rPr>
              <w:instrText xml:space="preserve"> PAGEREF _Toc220490904 \h </w:instrText>
            </w:r>
            <w:r>
              <w:rPr>
                <w:noProof/>
                <w:webHidden/>
              </w:rPr>
            </w:r>
            <w:r>
              <w:rPr>
                <w:noProof/>
                <w:webHidden/>
              </w:rPr>
              <w:fldChar w:fldCharType="separate"/>
            </w:r>
            <w:r>
              <w:rPr>
                <w:noProof/>
                <w:webHidden/>
              </w:rPr>
              <w:t>444</w:t>
            </w:r>
            <w:r>
              <w:rPr>
                <w:noProof/>
                <w:webHidden/>
              </w:rPr>
              <w:fldChar w:fldCharType="end"/>
            </w:r>
          </w:hyperlink>
        </w:p>
        <w:p w14:paraId="5E6EB9D7" w14:textId="4A55FED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05" w:history="1">
            <w:r w:rsidRPr="001D4C20">
              <w:rPr>
                <w:rStyle w:val="Lienhypertexte"/>
                <w:noProof/>
              </w:rPr>
              <w:t>53.62.2d Entre-portes en pierres naturelles - en pierres bleues CCTB 01.02</w:t>
            </w:r>
            <w:r>
              <w:rPr>
                <w:noProof/>
                <w:webHidden/>
              </w:rPr>
              <w:tab/>
            </w:r>
            <w:r>
              <w:rPr>
                <w:noProof/>
                <w:webHidden/>
              </w:rPr>
              <w:fldChar w:fldCharType="begin"/>
            </w:r>
            <w:r>
              <w:rPr>
                <w:noProof/>
                <w:webHidden/>
              </w:rPr>
              <w:instrText xml:space="preserve"> PAGEREF _Toc220490905 \h </w:instrText>
            </w:r>
            <w:r>
              <w:rPr>
                <w:noProof/>
                <w:webHidden/>
              </w:rPr>
            </w:r>
            <w:r>
              <w:rPr>
                <w:noProof/>
                <w:webHidden/>
              </w:rPr>
              <w:fldChar w:fldCharType="separate"/>
            </w:r>
            <w:r>
              <w:rPr>
                <w:noProof/>
                <w:webHidden/>
              </w:rPr>
              <w:t>444</w:t>
            </w:r>
            <w:r>
              <w:rPr>
                <w:noProof/>
                <w:webHidden/>
              </w:rPr>
              <w:fldChar w:fldCharType="end"/>
            </w:r>
          </w:hyperlink>
        </w:p>
        <w:p w14:paraId="58DC4346" w14:textId="7E36574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06" w:history="1">
            <w:r w:rsidRPr="001D4C20">
              <w:rPr>
                <w:rStyle w:val="Lienhypertexte"/>
                <w:noProof/>
              </w:rPr>
              <w:t>53.62.2e Entre-portes en pierres naturelles - en granits CCTB 01.02</w:t>
            </w:r>
            <w:r>
              <w:rPr>
                <w:noProof/>
                <w:webHidden/>
              </w:rPr>
              <w:tab/>
            </w:r>
            <w:r>
              <w:rPr>
                <w:noProof/>
                <w:webHidden/>
              </w:rPr>
              <w:fldChar w:fldCharType="begin"/>
            </w:r>
            <w:r>
              <w:rPr>
                <w:noProof/>
                <w:webHidden/>
              </w:rPr>
              <w:instrText xml:space="preserve"> PAGEREF _Toc220490906 \h </w:instrText>
            </w:r>
            <w:r>
              <w:rPr>
                <w:noProof/>
                <w:webHidden/>
              </w:rPr>
            </w:r>
            <w:r>
              <w:rPr>
                <w:noProof/>
                <w:webHidden/>
              </w:rPr>
              <w:fldChar w:fldCharType="separate"/>
            </w:r>
            <w:r>
              <w:rPr>
                <w:noProof/>
                <w:webHidden/>
              </w:rPr>
              <w:t>444</w:t>
            </w:r>
            <w:r>
              <w:rPr>
                <w:noProof/>
                <w:webHidden/>
              </w:rPr>
              <w:fldChar w:fldCharType="end"/>
            </w:r>
          </w:hyperlink>
        </w:p>
        <w:p w14:paraId="150DA9ED" w14:textId="053F426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07" w:history="1">
            <w:r w:rsidRPr="001D4C20">
              <w:rPr>
                <w:rStyle w:val="Lienhypertexte"/>
                <w:noProof/>
              </w:rPr>
              <w:t>53.62.2f Entre-portes en pierres naturelles - en schistes CCTB 01.02</w:t>
            </w:r>
            <w:r>
              <w:rPr>
                <w:noProof/>
                <w:webHidden/>
              </w:rPr>
              <w:tab/>
            </w:r>
            <w:r>
              <w:rPr>
                <w:noProof/>
                <w:webHidden/>
              </w:rPr>
              <w:fldChar w:fldCharType="begin"/>
            </w:r>
            <w:r>
              <w:rPr>
                <w:noProof/>
                <w:webHidden/>
              </w:rPr>
              <w:instrText xml:space="preserve"> PAGEREF _Toc220490907 \h </w:instrText>
            </w:r>
            <w:r>
              <w:rPr>
                <w:noProof/>
                <w:webHidden/>
              </w:rPr>
            </w:r>
            <w:r>
              <w:rPr>
                <w:noProof/>
                <w:webHidden/>
              </w:rPr>
              <w:fldChar w:fldCharType="separate"/>
            </w:r>
            <w:r>
              <w:rPr>
                <w:noProof/>
                <w:webHidden/>
              </w:rPr>
              <w:t>444</w:t>
            </w:r>
            <w:r>
              <w:rPr>
                <w:noProof/>
                <w:webHidden/>
              </w:rPr>
              <w:fldChar w:fldCharType="end"/>
            </w:r>
          </w:hyperlink>
        </w:p>
        <w:p w14:paraId="483CA63D" w14:textId="3B9FFE39"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08" w:history="1">
            <w:r w:rsidRPr="001D4C20">
              <w:rPr>
                <w:rStyle w:val="Lienhypertexte"/>
                <w:noProof/>
              </w:rPr>
              <w:t>53.62.3 Entre-portes en bois CCTB 01.02</w:t>
            </w:r>
            <w:r>
              <w:rPr>
                <w:noProof/>
                <w:webHidden/>
              </w:rPr>
              <w:tab/>
            </w:r>
            <w:r>
              <w:rPr>
                <w:noProof/>
                <w:webHidden/>
              </w:rPr>
              <w:fldChar w:fldCharType="begin"/>
            </w:r>
            <w:r>
              <w:rPr>
                <w:noProof/>
                <w:webHidden/>
              </w:rPr>
              <w:instrText xml:space="preserve"> PAGEREF _Toc220490908 \h </w:instrText>
            </w:r>
            <w:r>
              <w:rPr>
                <w:noProof/>
                <w:webHidden/>
              </w:rPr>
            </w:r>
            <w:r>
              <w:rPr>
                <w:noProof/>
                <w:webHidden/>
              </w:rPr>
              <w:fldChar w:fldCharType="separate"/>
            </w:r>
            <w:r>
              <w:rPr>
                <w:noProof/>
                <w:webHidden/>
              </w:rPr>
              <w:t>444</w:t>
            </w:r>
            <w:r>
              <w:rPr>
                <w:noProof/>
                <w:webHidden/>
              </w:rPr>
              <w:fldChar w:fldCharType="end"/>
            </w:r>
          </w:hyperlink>
        </w:p>
        <w:p w14:paraId="59C25464" w14:textId="0C9394B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09" w:history="1">
            <w:r w:rsidRPr="001D4C20">
              <w:rPr>
                <w:rStyle w:val="Lienhypertexte"/>
                <w:noProof/>
              </w:rPr>
              <w:t>53.62.3a Entre-portes en bois massif CCTB 01.02</w:t>
            </w:r>
            <w:r>
              <w:rPr>
                <w:noProof/>
                <w:webHidden/>
              </w:rPr>
              <w:tab/>
            </w:r>
            <w:r>
              <w:rPr>
                <w:noProof/>
                <w:webHidden/>
              </w:rPr>
              <w:fldChar w:fldCharType="begin"/>
            </w:r>
            <w:r>
              <w:rPr>
                <w:noProof/>
                <w:webHidden/>
              </w:rPr>
              <w:instrText xml:space="preserve"> PAGEREF _Toc220490909 \h </w:instrText>
            </w:r>
            <w:r>
              <w:rPr>
                <w:noProof/>
                <w:webHidden/>
              </w:rPr>
            </w:r>
            <w:r>
              <w:rPr>
                <w:noProof/>
                <w:webHidden/>
              </w:rPr>
              <w:fldChar w:fldCharType="separate"/>
            </w:r>
            <w:r>
              <w:rPr>
                <w:noProof/>
                <w:webHidden/>
              </w:rPr>
              <w:t>444</w:t>
            </w:r>
            <w:r>
              <w:rPr>
                <w:noProof/>
                <w:webHidden/>
              </w:rPr>
              <w:fldChar w:fldCharType="end"/>
            </w:r>
          </w:hyperlink>
        </w:p>
        <w:p w14:paraId="0F2C5F31" w14:textId="0369848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10" w:history="1">
            <w:r w:rsidRPr="001D4C20">
              <w:rPr>
                <w:rStyle w:val="Lienhypertexte"/>
                <w:noProof/>
              </w:rPr>
              <w:t>53.62.3b Entre-portes en bois composite CCTB 01.02</w:t>
            </w:r>
            <w:r>
              <w:rPr>
                <w:noProof/>
                <w:webHidden/>
              </w:rPr>
              <w:tab/>
            </w:r>
            <w:r>
              <w:rPr>
                <w:noProof/>
                <w:webHidden/>
              </w:rPr>
              <w:fldChar w:fldCharType="begin"/>
            </w:r>
            <w:r>
              <w:rPr>
                <w:noProof/>
                <w:webHidden/>
              </w:rPr>
              <w:instrText xml:space="preserve"> PAGEREF _Toc220490910 \h </w:instrText>
            </w:r>
            <w:r>
              <w:rPr>
                <w:noProof/>
                <w:webHidden/>
              </w:rPr>
            </w:r>
            <w:r>
              <w:rPr>
                <w:noProof/>
                <w:webHidden/>
              </w:rPr>
              <w:fldChar w:fldCharType="separate"/>
            </w:r>
            <w:r>
              <w:rPr>
                <w:noProof/>
                <w:webHidden/>
              </w:rPr>
              <w:t>444</w:t>
            </w:r>
            <w:r>
              <w:rPr>
                <w:noProof/>
                <w:webHidden/>
              </w:rPr>
              <w:fldChar w:fldCharType="end"/>
            </w:r>
          </w:hyperlink>
        </w:p>
        <w:p w14:paraId="344C8CA1" w14:textId="62518F36"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11" w:history="1">
            <w:r w:rsidRPr="001D4C20">
              <w:rPr>
                <w:rStyle w:val="Lienhypertexte"/>
                <w:noProof/>
              </w:rPr>
              <w:t>53.62.4 Entre-portes souples en matériaux synthétiques CCTB 01.02</w:t>
            </w:r>
            <w:r>
              <w:rPr>
                <w:noProof/>
                <w:webHidden/>
              </w:rPr>
              <w:tab/>
            </w:r>
            <w:r>
              <w:rPr>
                <w:noProof/>
                <w:webHidden/>
              </w:rPr>
              <w:fldChar w:fldCharType="begin"/>
            </w:r>
            <w:r>
              <w:rPr>
                <w:noProof/>
                <w:webHidden/>
              </w:rPr>
              <w:instrText xml:space="preserve"> PAGEREF _Toc220490911 \h </w:instrText>
            </w:r>
            <w:r>
              <w:rPr>
                <w:noProof/>
                <w:webHidden/>
              </w:rPr>
            </w:r>
            <w:r>
              <w:rPr>
                <w:noProof/>
                <w:webHidden/>
              </w:rPr>
              <w:fldChar w:fldCharType="separate"/>
            </w:r>
            <w:r>
              <w:rPr>
                <w:noProof/>
                <w:webHidden/>
              </w:rPr>
              <w:t>444</w:t>
            </w:r>
            <w:r>
              <w:rPr>
                <w:noProof/>
                <w:webHidden/>
              </w:rPr>
              <w:fldChar w:fldCharType="end"/>
            </w:r>
          </w:hyperlink>
        </w:p>
        <w:p w14:paraId="77BBCE4F" w14:textId="2B97319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12" w:history="1">
            <w:r w:rsidRPr="001D4C20">
              <w:rPr>
                <w:rStyle w:val="Lienhypertexte"/>
                <w:noProof/>
              </w:rPr>
              <w:t>53.62.4a Entre-portes souples en matériaux synthétiques - en PVC CCTB 01.02</w:t>
            </w:r>
            <w:r>
              <w:rPr>
                <w:noProof/>
                <w:webHidden/>
              </w:rPr>
              <w:tab/>
            </w:r>
            <w:r>
              <w:rPr>
                <w:noProof/>
                <w:webHidden/>
              </w:rPr>
              <w:fldChar w:fldCharType="begin"/>
            </w:r>
            <w:r>
              <w:rPr>
                <w:noProof/>
                <w:webHidden/>
              </w:rPr>
              <w:instrText xml:space="preserve"> PAGEREF _Toc220490912 \h </w:instrText>
            </w:r>
            <w:r>
              <w:rPr>
                <w:noProof/>
                <w:webHidden/>
              </w:rPr>
            </w:r>
            <w:r>
              <w:rPr>
                <w:noProof/>
                <w:webHidden/>
              </w:rPr>
              <w:fldChar w:fldCharType="separate"/>
            </w:r>
            <w:r>
              <w:rPr>
                <w:noProof/>
                <w:webHidden/>
              </w:rPr>
              <w:t>444</w:t>
            </w:r>
            <w:r>
              <w:rPr>
                <w:noProof/>
                <w:webHidden/>
              </w:rPr>
              <w:fldChar w:fldCharType="end"/>
            </w:r>
          </w:hyperlink>
        </w:p>
        <w:p w14:paraId="7AE69406" w14:textId="1129173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13" w:history="1">
            <w:r w:rsidRPr="001D4C20">
              <w:rPr>
                <w:rStyle w:val="Lienhypertexte"/>
                <w:noProof/>
              </w:rPr>
              <w:t>53.62.4b Entre-portes souples en matériaux synthétiques - en vinyle CCTB 01.02</w:t>
            </w:r>
            <w:r>
              <w:rPr>
                <w:noProof/>
                <w:webHidden/>
              </w:rPr>
              <w:tab/>
            </w:r>
            <w:r>
              <w:rPr>
                <w:noProof/>
                <w:webHidden/>
              </w:rPr>
              <w:fldChar w:fldCharType="begin"/>
            </w:r>
            <w:r>
              <w:rPr>
                <w:noProof/>
                <w:webHidden/>
              </w:rPr>
              <w:instrText xml:space="preserve"> PAGEREF _Toc220490913 \h </w:instrText>
            </w:r>
            <w:r>
              <w:rPr>
                <w:noProof/>
                <w:webHidden/>
              </w:rPr>
            </w:r>
            <w:r>
              <w:rPr>
                <w:noProof/>
                <w:webHidden/>
              </w:rPr>
              <w:fldChar w:fldCharType="separate"/>
            </w:r>
            <w:r>
              <w:rPr>
                <w:noProof/>
                <w:webHidden/>
              </w:rPr>
              <w:t>444</w:t>
            </w:r>
            <w:r>
              <w:rPr>
                <w:noProof/>
                <w:webHidden/>
              </w:rPr>
              <w:fldChar w:fldCharType="end"/>
            </w:r>
          </w:hyperlink>
        </w:p>
        <w:p w14:paraId="7AC99699" w14:textId="1702EF46"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14" w:history="1">
            <w:r w:rsidRPr="001D4C20">
              <w:rPr>
                <w:rStyle w:val="Lienhypertexte"/>
                <w:noProof/>
              </w:rPr>
              <w:t>53.62.5 Entre-porte métallique CCTB 01.02</w:t>
            </w:r>
            <w:r>
              <w:rPr>
                <w:noProof/>
                <w:webHidden/>
              </w:rPr>
              <w:tab/>
            </w:r>
            <w:r>
              <w:rPr>
                <w:noProof/>
                <w:webHidden/>
              </w:rPr>
              <w:fldChar w:fldCharType="begin"/>
            </w:r>
            <w:r>
              <w:rPr>
                <w:noProof/>
                <w:webHidden/>
              </w:rPr>
              <w:instrText xml:space="preserve"> PAGEREF _Toc220490914 \h </w:instrText>
            </w:r>
            <w:r>
              <w:rPr>
                <w:noProof/>
                <w:webHidden/>
              </w:rPr>
            </w:r>
            <w:r>
              <w:rPr>
                <w:noProof/>
                <w:webHidden/>
              </w:rPr>
              <w:fldChar w:fldCharType="separate"/>
            </w:r>
            <w:r>
              <w:rPr>
                <w:noProof/>
                <w:webHidden/>
              </w:rPr>
              <w:t>444</w:t>
            </w:r>
            <w:r>
              <w:rPr>
                <w:noProof/>
                <w:webHidden/>
              </w:rPr>
              <w:fldChar w:fldCharType="end"/>
            </w:r>
          </w:hyperlink>
        </w:p>
        <w:p w14:paraId="22A3657E" w14:textId="74EEF9B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15" w:history="1">
            <w:r w:rsidRPr="001D4C20">
              <w:rPr>
                <w:rStyle w:val="Lienhypertexte"/>
                <w:noProof/>
              </w:rPr>
              <w:t>53.62.5a Entre-porte métallique, en acier CCTB 01.02</w:t>
            </w:r>
            <w:r>
              <w:rPr>
                <w:noProof/>
                <w:webHidden/>
              </w:rPr>
              <w:tab/>
            </w:r>
            <w:r>
              <w:rPr>
                <w:noProof/>
                <w:webHidden/>
              </w:rPr>
              <w:fldChar w:fldCharType="begin"/>
            </w:r>
            <w:r>
              <w:rPr>
                <w:noProof/>
                <w:webHidden/>
              </w:rPr>
              <w:instrText xml:space="preserve"> PAGEREF _Toc220490915 \h </w:instrText>
            </w:r>
            <w:r>
              <w:rPr>
                <w:noProof/>
                <w:webHidden/>
              </w:rPr>
            </w:r>
            <w:r>
              <w:rPr>
                <w:noProof/>
                <w:webHidden/>
              </w:rPr>
              <w:fldChar w:fldCharType="separate"/>
            </w:r>
            <w:r>
              <w:rPr>
                <w:noProof/>
                <w:webHidden/>
              </w:rPr>
              <w:t>444</w:t>
            </w:r>
            <w:r>
              <w:rPr>
                <w:noProof/>
                <w:webHidden/>
              </w:rPr>
              <w:fldChar w:fldCharType="end"/>
            </w:r>
          </w:hyperlink>
        </w:p>
        <w:p w14:paraId="71795AA1" w14:textId="1CA89F8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16" w:history="1">
            <w:r w:rsidRPr="001D4C20">
              <w:rPr>
                <w:rStyle w:val="Lienhypertexte"/>
                <w:noProof/>
              </w:rPr>
              <w:t>53.62.5b Entre-porte métallique, en acier inoxydable CCTB 01.02</w:t>
            </w:r>
            <w:r>
              <w:rPr>
                <w:noProof/>
                <w:webHidden/>
              </w:rPr>
              <w:tab/>
            </w:r>
            <w:r>
              <w:rPr>
                <w:noProof/>
                <w:webHidden/>
              </w:rPr>
              <w:fldChar w:fldCharType="begin"/>
            </w:r>
            <w:r>
              <w:rPr>
                <w:noProof/>
                <w:webHidden/>
              </w:rPr>
              <w:instrText xml:space="preserve"> PAGEREF _Toc220490916 \h </w:instrText>
            </w:r>
            <w:r>
              <w:rPr>
                <w:noProof/>
                <w:webHidden/>
              </w:rPr>
            </w:r>
            <w:r>
              <w:rPr>
                <w:noProof/>
                <w:webHidden/>
              </w:rPr>
              <w:fldChar w:fldCharType="separate"/>
            </w:r>
            <w:r>
              <w:rPr>
                <w:noProof/>
                <w:webHidden/>
              </w:rPr>
              <w:t>444</w:t>
            </w:r>
            <w:r>
              <w:rPr>
                <w:noProof/>
                <w:webHidden/>
              </w:rPr>
              <w:fldChar w:fldCharType="end"/>
            </w:r>
          </w:hyperlink>
        </w:p>
        <w:p w14:paraId="5796B3BE" w14:textId="585DDBA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17" w:history="1">
            <w:r w:rsidRPr="001D4C20">
              <w:rPr>
                <w:rStyle w:val="Lienhypertexte"/>
                <w:noProof/>
              </w:rPr>
              <w:t>53.62.5c Entre-porte métallique, en aluminium CCTB 01.02</w:t>
            </w:r>
            <w:r>
              <w:rPr>
                <w:noProof/>
                <w:webHidden/>
              </w:rPr>
              <w:tab/>
            </w:r>
            <w:r>
              <w:rPr>
                <w:noProof/>
                <w:webHidden/>
              </w:rPr>
              <w:fldChar w:fldCharType="begin"/>
            </w:r>
            <w:r>
              <w:rPr>
                <w:noProof/>
                <w:webHidden/>
              </w:rPr>
              <w:instrText xml:space="preserve"> PAGEREF _Toc220490917 \h </w:instrText>
            </w:r>
            <w:r>
              <w:rPr>
                <w:noProof/>
                <w:webHidden/>
              </w:rPr>
            </w:r>
            <w:r>
              <w:rPr>
                <w:noProof/>
                <w:webHidden/>
              </w:rPr>
              <w:fldChar w:fldCharType="separate"/>
            </w:r>
            <w:r>
              <w:rPr>
                <w:noProof/>
                <w:webHidden/>
              </w:rPr>
              <w:t>444</w:t>
            </w:r>
            <w:r>
              <w:rPr>
                <w:noProof/>
                <w:webHidden/>
              </w:rPr>
              <w:fldChar w:fldCharType="end"/>
            </w:r>
          </w:hyperlink>
        </w:p>
        <w:p w14:paraId="4B7A7789" w14:textId="034F6C5C"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918" w:history="1">
            <w:r w:rsidRPr="001D4C20">
              <w:rPr>
                <w:rStyle w:val="Lienhypertexte"/>
                <w:noProof/>
              </w:rPr>
              <w:t>53.63 Réalisation de joints CCTB 01.11</w:t>
            </w:r>
            <w:r>
              <w:rPr>
                <w:noProof/>
                <w:webHidden/>
              </w:rPr>
              <w:tab/>
            </w:r>
            <w:r>
              <w:rPr>
                <w:noProof/>
                <w:webHidden/>
              </w:rPr>
              <w:fldChar w:fldCharType="begin"/>
            </w:r>
            <w:r>
              <w:rPr>
                <w:noProof/>
                <w:webHidden/>
              </w:rPr>
              <w:instrText xml:space="preserve"> PAGEREF _Toc220490918 \h </w:instrText>
            </w:r>
            <w:r>
              <w:rPr>
                <w:noProof/>
                <w:webHidden/>
              </w:rPr>
            </w:r>
            <w:r>
              <w:rPr>
                <w:noProof/>
                <w:webHidden/>
              </w:rPr>
              <w:fldChar w:fldCharType="separate"/>
            </w:r>
            <w:r>
              <w:rPr>
                <w:noProof/>
                <w:webHidden/>
              </w:rPr>
              <w:t>444</w:t>
            </w:r>
            <w:r>
              <w:rPr>
                <w:noProof/>
                <w:webHidden/>
              </w:rPr>
              <w:fldChar w:fldCharType="end"/>
            </w:r>
          </w:hyperlink>
        </w:p>
        <w:p w14:paraId="344891BF" w14:textId="31990961"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19" w:history="1">
            <w:r w:rsidRPr="001D4C20">
              <w:rPr>
                <w:rStyle w:val="Lienhypertexte"/>
                <w:noProof/>
              </w:rPr>
              <w:t>53.63.1 Joint de tassement CCTB 01.02</w:t>
            </w:r>
            <w:r>
              <w:rPr>
                <w:noProof/>
                <w:webHidden/>
              </w:rPr>
              <w:tab/>
            </w:r>
            <w:r>
              <w:rPr>
                <w:noProof/>
                <w:webHidden/>
              </w:rPr>
              <w:fldChar w:fldCharType="begin"/>
            </w:r>
            <w:r>
              <w:rPr>
                <w:noProof/>
                <w:webHidden/>
              </w:rPr>
              <w:instrText xml:space="preserve"> PAGEREF _Toc220490919 \h </w:instrText>
            </w:r>
            <w:r>
              <w:rPr>
                <w:noProof/>
                <w:webHidden/>
              </w:rPr>
            </w:r>
            <w:r>
              <w:rPr>
                <w:noProof/>
                <w:webHidden/>
              </w:rPr>
              <w:fldChar w:fldCharType="separate"/>
            </w:r>
            <w:r>
              <w:rPr>
                <w:noProof/>
                <w:webHidden/>
              </w:rPr>
              <w:t>444</w:t>
            </w:r>
            <w:r>
              <w:rPr>
                <w:noProof/>
                <w:webHidden/>
              </w:rPr>
              <w:fldChar w:fldCharType="end"/>
            </w:r>
          </w:hyperlink>
        </w:p>
        <w:p w14:paraId="5F0C1118" w14:textId="24CD439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20" w:history="1">
            <w:r w:rsidRPr="001D4C20">
              <w:rPr>
                <w:rStyle w:val="Lienhypertexte"/>
                <w:noProof/>
              </w:rPr>
              <w:t>53.63.1a Joint de tassement réalisé in situ CCTB 01.02</w:t>
            </w:r>
            <w:r>
              <w:rPr>
                <w:noProof/>
                <w:webHidden/>
              </w:rPr>
              <w:tab/>
            </w:r>
            <w:r>
              <w:rPr>
                <w:noProof/>
                <w:webHidden/>
              </w:rPr>
              <w:fldChar w:fldCharType="begin"/>
            </w:r>
            <w:r>
              <w:rPr>
                <w:noProof/>
                <w:webHidden/>
              </w:rPr>
              <w:instrText xml:space="preserve"> PAGEREF _Toc220490920 \h </w:instrText>
            </w:r>
            <w:r>
              <w:rPr>
                <w:noProof/>
                <w:webHidden/>
              </w:rPr>
            </w:r>
            <w:r>
              <w:rPr>
                <w:noProof/>
                <w:webHidden/>
              </w:rPr>
              <w:fldChar w:fldCharType="separate"/>
            </w:r>
            <w:r>
              <w:rPr>
                <w:noProof/>
                <w:webHidden/>
              </w:rPr>
              <w:t>444</w:t>
            </w:r>
            <w:r>
              <w:rPr>
                <w:noProof/>
                <w:webHidden/>
              </w:rPr>
              <w:fldChar w:fldCharType="end"/>
            </w:r>
          </w:hyperlink>
        </w:p>
        <w:p w14:paraId="6CF8B536" w14:textId="4CC9C11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21" w:history="1">
            <w:r w:rsidRPr="001D4C20">
              <w:rPr>
                <w:rStyle w:val="Lienhypertexte"/>
                <w:noProof/>
              </w:rPr>
              <w:t>53.63.1b Joint de tassement à systèmes préfabriqués CCTB 01.02</w:t>
            </w:r>
            <w:r>
              <w:rPr>
                <w:noProof/>
                <w:webHidden/>
              </w:rPr>
              <w:tab/>
            </w:r>
            <w:r>
              <w:rPr>
                <w:noProof/>
                <w:webHidden/>
              </w:rPr>
              <w:fldChar w:fldCharType="begin"/>
            </w:r>
            <w:r>
              <w:rPr>
                <w:noProof/>
                <w:webHidden/>
              </w:rPr>
              <w:instrText xml:space="preserve"> PAGEREF _Toc220490921 \h </w:instrText>
            </w:r>
            <w:r>
              <w:rPr>
                <w:noProof/>
                <w:webHidden/>
              </w:rPr>
            </w:r>
            <w:r>
              <w:rPr>
                <w:noProof/>
                <w:webHidden/>
              </w:rPr>
              <w:fldChar w:fldCharType="separate"/>
            </w:r>
            <w:r>
              <w:rPr>
                <w:noProof/>
                <w:webHidden/>
              </w:rPr>
              <w:t>444</w:t>
            </w:r>
            <w:r>
              <w:rPr>
                <w:noProof/>
                <w:webHidden/>
              </w:rPr>
              <w:fldChar w:fldCharType="end"/>
            </w:r>
          </w:hyperlink>
        </w:p>
        <w:p w14:paraId="1C4CBD40" w14:textId="0686C024"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22" w:history="1">
            <w:r w:rsidRPr="001D4C20">
              <w:rPr>
                <w:rStyle w:val="Lienhypertexte"/>
                <w:noProof/>
              </w:rPr>
              <w:t>53.63.2 Joint de dilatation CCTB 01.11</w:t>
            </w:r>
            <w:r>
              <w:rPr>
                <w:noProof/>
                <w:webHidden/>
              </w:rPr>
              <w:tab/>
            </w:r>
            <w:r>
              <w:rPr>
                <w:noProof/>
                <w:webHidden/>
              </w:rPr>
              <w:fldChar w:fldCharType="begin"/>
            </w:r>
            <w:r>
              <w:rPr>
                <w:noProof/>
                <w:webHidden/>
              </w:rPr>
              <w:instrText xml:space="preserve"> PAGEREF _Toc220490922 \h </w:instrText>
            </w:r>
            <w:r>
              <w:rPr>
                <w:noProof/>
                <w:webHidden/>
              </w:rPr>
            </w:r>
            <w:r>
              <w:rPr>
                <w:noProof/>
                <w:webHidden/>
              </w:rPr>
              <w:fldChar w:fldCharType="separate"/>
            </w:r>
            <w:r>
              <w:rPr>
                <w:noProof/>
                <w:webHidden/>
              </w:rPr>
              <w:t>444</w:t>
            </w:r>
            <w:r>
              <w:rPr>
                <w:noProof/>
                <w:webHidden/>
              </w:rPr>
              <w:fldChar w:fldCharType="end"/>
            </w:r>
          </w:hyperlink>
        </w:p>
        <w:p w14:paraId="4704F1A1" w14:textId="7B029A9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23" w:history="1">
            <w:r w:rsidRPr="001D4C20">
              <w:rPr>
                <w:rStyle w:val="Lienhypertexte"/>
                <w:noProof/>
              </w:rPr>
              <w:t>53.63.2a Joint de dilatation réalisé in situ CCTB 01.02</w:t>
            </w:r>
            <w:r>
              <w:rPr>
                <w:noProof/>
                <w:webHidden/>
              </w:rPr>
              <w:tab/>
            </w:r>
            <w:r>
              <w:rPr>
                <w:noProof/>
                <w:webHidden/>
              </w:rPr>
              <w:fldChar w:fldCharType="begin"/>
            </w:r>
            <w:r>
              <w:rPr>
                <w:noProof/>
                <w:webHidden/>
              </w:rPr>
              <w:instrText xml:space="preserve"> PAGEREF _Toc220490923 \h </w:instrText>
            </w:r>
            <w:r>
              <w:rPr>
                <w:noProof/>
                <w:webHidden/>
              </w:rPr>
            </w:r>
            <w:r>
              <w:rPr>
                <w:noProof/>
                <w:webHidden/>
              </w:rPr>
              <w:fldChar w:fldCharType="separate"/>
            </w:r>
            <w:r>
              <w:rPr>
                <w:noProof/>
                <w:webHidden/>
              </w:rPr>
              <w:t>445</w:t>
            </w:r>
            <w:r>
              <w:rPr>
                <w:noProof/>
                <w:webHidden/>
              </w:rPr>
              <w:fldChar w:fldCharType="end"/>
            </w:r>
          </w:hyperlink>
        </w:p>
        <w:p w14:paraId="23B67BDE" w14:textId="0392979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24" w:history="1">
            <w:r w:rsidRPr="001D4C20">
              <w:rPr>
                <w:rStyle w:val="Lienhypertexte"/>
                <w:noProof/>
              </w:rPr>
              <w:t>53.63.2b Joint de dilatation à systèmes préfabriqués CCTB 01.02</w:t>
            </w:r>
            <w:r>
              <w:rPr>
                <w:noProof/>
                <w:webHidden/>
              </w:rPr>
              <w:tab/>
            </w:r>
            <w:r>
              <w:rPr>
                <w:noProof/>
                <w:webHidden/>
              </w:rPr>
              <w:fldChar w:fldCharType="begin"/>
            </w:r>
            <w:r>
              <w:rPr>
                <w:noProof/>
                <w:webHidden/>
              </w:rPr>
              <w:instrText xml:space="preserve"> PAGEREF _Toc220490924 \h </w:instrText>
            </w:r>
            <w:r>
              <w:rPr>
                <w:noProof/>
                <w:webHidden/>
              </w:rPr>
            </w:r>
            <w:r>
              <w:rPr>
                <w:noProof/>
                <w:webHidden/>
              </w:rPr>
              <w:fldChar w:fldCharType="separate"/>
            </w:r>
            <w:r>
              <w:rPr>
                <w:noProof/>
                <w:webHidden/>
              </w:rPr>
              <w:t>445</w:t>
            </w:r>
            <w:r>
              <w:rPr>
                <w:noProof/>
                <w:webHidden/>
              </w:rPr>
              <w:fldChar w:fldCharType="end"/>
            </w:r>
          </w:hyperlink>
        </w:p>
        <w:p w14:paraId="2ABAA6FA" w14:textId="6CEDF17F"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25" w:history="1">
            <w:r w:rsidRPr="001D4C20">
              <w:rPr>
                <w:rStyle w:val="Lienhypertexte"/>
                <w:noProof/>
              </w:rPr>
              <w:t>53.63.3 Joint de retrait CCTB 01.02</w:t>
            </w:r>
            <w:r>
              <w:rPr>
                <w:noProof/>
                <w:webHidden/>
              </w:rPr>
              <w:tab/>
            </w:r>
            <w:r>
              <w:rPr>
                <w:noProof/>
                <w:webHidden/>
              </w:rPr>
              <w:fldChar w:fldCharType="begin"/>
            </w:r>
            <w:r>
              <w:rPr>
                <w:noProof/>
                <w:webHidden/>
              </w:rPr>
              <w:instrText xml:space="preserve"> PAGEREF _Toc220490925 \h </w:instrText>
            </w:r>
            <w:r>
              <w:rPr>
                <w:noProof/>
                <w:webHidden/>
              </w:rPr>
            </w:r>
            <w:r>
              <w:rPr>
                <w:noProof/>
                <w:webHidden/>
              </w:rPr>
              <w:fldChar w:fldCharType="separate"/>
            </w:r>
            <w:r>
              <w:rPr>
                <w:noProof/>
                <w:webHidden/>
              </w:rPr>
              <w:t>445</w:t>
            </w:r>
            <w:r>
              <w:rPr>
                <w:noProof/>
                <w:webHidden/>
              </w:rPr>
              <w:fldChar w:fldCharType="end"/>
            </w:r>
          </w:hyperlink>
        </w:p>
        <w:p w14:paraId="55A4888E" w14:textId="34C37DC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26" w:history="1">
            <w:r w:rsidRPr="001D4C20">
              <w:rPr>
                <w:rStyle w:val="Lienhypertexte"/>
                <w:noProof/>
              </w:rPr>
              <w:t>53.63.3a Joint de retrait réalisé in situ CCTB 01.02</w:t>
            </w:r>
            <w:r>
              <w:rPr>
                <w:noProof/>
                <w:webHidden/>
              </w:rPr>
              <w:tab/>
            </w:r>
            <w:r>
              <w:rPr>
                <w:noProof/>
                <w:webHidden/>
              </w:rPr>
              <w:fldChar w:fldCharType="begin"/>
            </w:r>
            <w:r>
              <w:rPr>
                <w:noProof/>
                <w:webHidden/>
              </w:rPr>
              <w:instrText xml:space="preserve"> PAGEREF _Toc220490926 \h </w:instrText>
            </w:r>
            <w:r>
              <w:rPr>
                <w:noProof/>
                <w:webHidden/>
              </w:rPr>
            </w:r>
            <w:r>
              <w:rPr>
                <w:noProof/>
                <w:webHidden/>
              </w:rPr>
              <w:fldChar w:fldCharType="separate"/>
            </w:r>
            <w:r>
              <w:rPr>
                <w:noProof/>
                <w:webHidden/>
              </w:rPr>
              <w:t>445</w:t>
            </w:r>
            <w:r>
              <w:rPr>
                <w:noProof/>
                <w:webHidden/>
              </w:rPr>
              <w:fldChar w:fldCharType="end"/>
            </w:r>
          </w:hyperlink>
        </w:p>
        <w:p w14:paraId="24179138" w14:textId="4C0CD9A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27" w:history="1">
            <w:r w:rsidRPr="001D4C20">
              <w:rPr>
                <w:rStyle w:val="Lienhypertexte"/>
                <w:noProof/>
              </w:rPr>
              <w:t>53.63.3b Joint de retrait à systèmes préfabriqués CCTB 01.02</w:t>
            </w:r>
            <w:r>
              <w:rPr>
                <w:noProof/>
                <w:webHidden/>
              </w:rPr>
              <w:tab/>
            </w:r>
            <w:r>
              <w:rPr>
                <w:noProof/>
                <w:webHidden/>
              </w:rPr>
              <w:fldChar w:fldCharType="begin"/>
            </w:r>
            <w:r>
              <w:rPr>
                <w:noProof/>
                <w:webHidden/>
              </w:rPr>
              <w:instrText xml:space="preserve"> PAGEREF _Toc220490927 \h </w:instrText>
            </w:r>
            <w:r>
              <w:rPr>
                <w:noProof/>
                <w:webHidden/>
              </w:rPr>
            </w:r>
            <w:r>
              <w:rPr>
                <w:noProof/>
                <w:webHidden/>
              </w:rPr>
              <w:fldChar w:fldCharType="separate"/>
            </w:r>
            <w:r>
              <w:rPr>
                <w:noProof/>
                <w:webHidden/>
              </w:rPr>
              <w:t>445</w:t>
            </w:r>
            <w:r>
              <w:rPr>
                <w:noProof/>
                <w:webHidden/>
              </w:rPr>
              <w:fldChar w:fldCharType="end"/>
            </w:r>
          </w:hyperlink>
        </w:p>
        <w:p w14:paraId="372ADED2" w14:textId="3228B9F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28" w:history="1">
            <w:r w:rsidRPr="001D4C20">
              <w:rPr>
                <w:rStyle w:val="Lienhypertexte"/>
                <w:noProof/>
              </w:rPr>
              <w:t>53.63.4 Joint de désolidarisation CCTB 01.02</w:t>
            </w:r>
            <w:r>
              <w:rPr>
                <w:noProof/>
                <w:webHidden/>
              </w:rPr>
              <w:tab/>
            </w:r>
            <w:r>
              <w:rPr>
                <w:noProof/>
                <w:webHidden/>
              </w:rPr>
              <w:fldChar w:fldCharType="begin"/>
            </w:r>
            <w:r>
              <w:rPr>
                <w:noProof/>
                <w:webHidden/>
              </w:rPr>
              <w:instrText xml:space="preserve"> PAGEREF _Toc220490928 \h </w:instrText>
            </w:r>
            <w:r>
              <w:rPr>
                <w:noProof/>
                <w:webHidden/>
              </w:rPr>
            </w:r>
            <w:r>
              <w:rPr>
                <w:noProof/>
                <w:webHidden/>
              </w:rPr>
              <w:fldChar w:fldCharType="separate"/>
            </w:r>
            <w:r>
              <w:rPr>
                <w:noProof/>
                <w:webHidden/>
              </w:rPr>
              <w:t>445</w:t>
            </w:r>
            <w:r>
              <w:rPr>
                <w:noProof/>
                <w:webHidden/>
              </w:rPr>
              <w:fldChar w:fldCharType="end"/>
            </w:r>
          </w:hyperlink>
        </w:p>
        <w:p w14:paraId="02B2F117" w14:textId="762A965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29" w:history="1">
            <w:r w:rsidRPr="001D4C20">
              <w:rPr>
                <w:rStyle w:val="Lienhypertexte"/>
                <w:noProof/>
              </w:rPr>
              <w:t>53.63.4a Joint de désolidarisation réalisé in situ CCTB 01.02</w:t>
            </w:r>
            <w:r>
              <w:rPr>
                <w:noProof/>
                <w:webHidden/>
              </w:rPr>
              <w:tab/>
            </w:r>
            <w:r>
              <w:rPr>
                <w:noProof/>
                <w:webHidden/>
              </w:rPr>
              <w:fldChar w:fldCharType="begin"/>
            </w:r>
            <w:r>
              <w:rPr>
                <w:noProof/>
                <w:webHidden/>
              </w:rPr>
              <w:instrText xml:space="preserve"> PAGEREF _Toc220490929 \h </w:instrText>
            </w:r>
            <w:r>
              <w:rPr>
                <w:noProof/>
                <w:webHidden/>
              </w:rPr>
            </w:r>
            <w:r>
              <w:rPr>
                <w:noProof/>
                <w:webHidden/>
              </w:rPr>
              <w:fldChar w:fldCharType="separate"/>
            </w:r>
            <w:r>
              <w:rPr>
                <w:noProof/>
                <w:webHidden/>
              </w:rPr>
              <w:t>445</w:t>
            </w:r>
            <w:r>
              <w:rPr>
                <w:noProof/>
                <w:webHidden/>
              </w:rPr>
              <w:fldChar w:fldCharType="end"/>
            </w:r>
          </w:hyperlink>
        </w:p>
        <w:p w14:paraId="25D7A7D2" w14:textId="12BDB60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30" w:history="1">
            <w:r w:rsidRPr="001D4C20">
              <w:rPr>
                <w:rStyle w:val="Lienhypertexte"/>
                <w:noProof/>
              </w:rPr>
              <w:t>53.63.4b Joint de désolidarisation à systèmes préfabriqués CCTB 01.02</w:t>
            </w:r>
            <w:r>
              <w:rPr>
                <w:noProof/>
                <w:webHidden/>
              </w:rPr>
              <w:tab/>
            </w:r>
            <w:r>
              <w:rPr>
                <w:noProof/>
                <w:webHidden/>
              </w:rPr>
              <w:fldChar w:fldCharType="begin"/>
            </w:r>
            <w:r>
              <w:rPr>
                <w:noProof/>
                <w:webHidden/>
              </w:rPr>
              <w:instrText xml:space="preserve"> PAGEREF _Toc220490930 \h </w:instrText>
            </w:r>
            <w:r>
              <w:rPr>
                <w:noProof/>
                <w:webHidden/>
              </w:rPr>
            </w:r>
            <w:r>
              <w:rPr>
                <w:noProof/>
                <w:webHidden/>
              </w:rPr>
              <w:fldChar w:fldCharType="separate"/>
            </w:r>
            <w:r>
              <w:rPr>
                <w:noProof/>
                <w:webHidden/>
              </w:rPr>
              <w:t>445</w:t>
            </w:r>
            <w:r>
              <w:rPr>
                <w:noProof/>
                <w:webHidden/>
              </w:rPr>
              <w:fldChar w:fldCharType="end"/>
            </w:r>
          </w:hyperlink>
        </w:p>
        <w:p w14:paraId="5D4DDA10" w14:textId="09349F1F"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931" w:history="1">
            <w:r w:rsidRPr="001D4C20">
              <w:rPr>
                <w:rStyle w:val="Lienhypertexte"/>
                <w:noProof/>
              </w:rPr>
              <w:t>53.64 Etanchéisation de joints  CCTB 01.07</w:t>
            </w:r>
            <w:r>
              <w:rPr>
                <w:noProof/>
                <w:webHidden/>
              </w:rPr>
              <w:tab/>
            </w:r>
            <w:r>
              <w:rPr>
                <w:noProof/>
                <w:webHidden/>
              </w:rPr>
              <w:fldChar w:fldCharType="begin"/>
            </w:r>
            <w:r>
              <w:rPr>
                <w:noProof/>
                <w:webHidden/>
              </w:rPr>
              <w:instrText xml:space="preserve"> PAGEREF _Toc220490931 \h </w:instrText>
            </w:r>
            <w:r>
              <w:rPr>
                <w:noProof/>
                <w:webHidden/>
              </w:rPr>
            </w:r>
            <w:r>
              <w:rPr>
                <w:noProof/>
                <w:webHidden/>
              </w:rPr>
              <w:fldChar w:fldCharType="separate"/>
            </w:r>
            <w:r>
              <w:rPr>
                <w:noProof/>
                <w:webHidden/>
              </w:rPr>
              <w:t>445</w:t>
            </w:r>
            <w:r>
              <w:rPr>
                <w:noProof/>
                <w:webHidden/>
              </w:rPr>
              <w:fldChar w:fldCharType="end"/>
            </w:r>
          </w:hyperlink>
        </w:p>
        <w:p w14:paraId="0EB38031" w14:textId="3A19FDBC"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932" w:history="1">
            <w:r w:rsidRPr="001D4C20">
              <w:rPr>
                <w:rStyle w:val="Lienhypertexte"/>
                <w:noProof/>
              </w:rPr>
              <w:t>53.65 Finitions particulières de joints CCTB 01.02</w:t>
            </w:r>
            <w:r>
              <w:rPr>
                <w:noProof/>
                <w:webHidden/>
              </w:rPr>
              <w:tab/>
            </w:r>
            <w:r>
              <w:rPr>
                <w:noProof/>
                <w:webHidden/>
              </w:rPr>
              <w:fldChar w:fldCharType="begin"/>
            </w:r>
            <w:r>
              <w:rPr>
                <w:noProof/>
                <w:webHidden/>
              </w:rPr>
              <w:instrText xml:space="preserve"> PAGEREF _Toc220490932 \h </w:instrText>
            </w:r>
            <w:r>
              <w:rPr>
                <w:noProof/>
                <w:webHidden/>
              </w:rPr>
            </w:r>
            <w:r>
              <w:rPr>
                <w:noProof/>
                <w:webHidden/>
              </w:rPr>
              <w:fldChar w:fldCharType="separate"/>
            </w:r>
            <w:r>
              <w:rPr>
                <w:noProof/>
                <w:webHidden/>
              </w:rPr>
              <w:t>446</w:t>
            </w:r>
            <w:r>
              <w:rPr>
                <w:noProof/>
                <w:webHidden/>
              </w:rPr>
              <w:fldChar w:fldCharType="end"/>
            </w:r>
          </w:hyperlink>
        </w:p>
        <w:p w14:paraId="17498C41" w14:textId="2155C02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33" w:history="1">
            <w:r w:rsidRPr="001D4C20">
              <w:rPr>
                <w:rStyle w:val="Lienhypertexte"/>
                <w:noProof/>
              </w:rPr>
              <w:t>53.65.1 Couvre-joints CCTB 01.02</w:t>
            </w:r>
            <w:r>
              <w:rPr>
                <w:noProof/>
                <w:webHidden/>
              </w:rPr>
              <w:tab/>
            </w:r>
            <w:r>
              <w:rPr>
                <w:noProof/>
                <w:webHidden/>
              </w:rPr>
              <w:fldChar w:fldCharType="begin"/>
            </w:r>
            <w:r>
              <w:rPr>
                <w:noProof/>
                <w:webHidden/>
              </w:rPr>
              <w:instrText xml:space="preserve"> PAGEREF _Toc220490933 \h </w:instrText>
            </w:r>
            <w:r>
              <w:rPr>
                <w:noProof/>
                <w:webHidden/>
              </w:rPr>
            </w:r>
            <w:r>
              <w:rPr>
                <w:noProof/>
                <w:webHidden/>
              </w:rPr>
              <w:fldChar w:fldCharType="separate"/>
            </w:r>
            <w:r>
              <w:rPr>
                <w:noProof/>
                <w:webHidden/>
              </w:rPr>
              <w:t>446</w:t>
            </w:r>
            <w:r>
              <w:rPr>
                <w:noProof/>
                <w:webHidden/>
              </w:rPr>
              <w:fldChar w:fldCharType="end"/>
            </w:r>
          </w:hyperlink>
        </w:p>
        <w:p w14:paraId="7B9652C8" w14:textId="7415145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34" w:history="1">
            <w:r w:rsidRPr="001D4C20">
              <w:rPr>
                <w:rStyle w:val="Lienhypertexte"/>
                <w:noProof/>
              </w:rPr>
              <w:t>53.65.1a Couvre-joints CCTB 01.02</w:t>
            </w:r>
            <w:r>
              <w:rPr>
                <w:noProof/>
                <w:webHidden/>
              </w:rPr>
              <w:tab/>
            </w:r>
            <w:r>
              <w:rPr>
                <w:noProof/>
                <w:webHidden/>
              </w:rPr>
              <w:fldChar w:fldCharType="begin"/>
            </w:r>
            <w:r>
              <w:rPr>
                <w:noProof/>
                <w:webHidden/>
              </w:rPr>
              <w:instrText xml:space="preserve"> PAGEREF _Toc220490934 \h </w:instrText>
            </w:r>
            <w:r>
              <w:rPr>
                <w:noProof/>
                <w:webHidden/>
              </w:rPr>
            </w:r>
            <w:r>
              <w:rPr>
                <w:noProof/>
                <w:webHidden/>
              </w:rPr>
              <w:fldChar w:fldCharType="separate"/>
            </w:r>
            <w:r>
              <w:rPr>
                <w:noProof/>
                <w:webHidden/>
              </w:rPr>
              <w:t>446</w:t>
            </w:r>
            <w:r>
              <w:rPr>
                <w:noProof/>
                <w:webHidden/>
              </w:rPr>
              <w:fldChar w:fldCharType="end"/>
            </w:r>
          </w:hyperlink>
        </w:p>
        <w:p w14:paraId="50F2B333" w14:textId="7EBB750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35" w:history="1">
            <w:r w:rsidRPr="001D4C20">
              <w:rPr>
                <w:rStyle w:val="Lienhypertexte"/>
                <w:noProof/>
              </w:rPr>
              <w:t>53.65.2 Systèmes de finition de joints CCTB 01.02</w:t>
            </w:r>
            <w:r>
              <w:rPr>
                <w:noProof/>
                <w:webHidden/>
              </w:rPr>
              <w:tab/>
            </w:r>
            <w:r>
              <w:rPr>
                <w:noProof/>
                <w:webHidden/>
              </w:rPr>
              <w:fldChar w:fldCharType="begin"/>
            </w:r>
            <w:r>
              <w:rPr>
                <w:noProof/>
                <w:webHidden/>
              </w:rPr>
              <w:instrText xml:space="preserve"> PAGEREF _Toc220490935 \h </w:instrText>
            </w:r>
            <w:r>
              <w:rPr>
                <w:noProof/>
                <w:webHidden/>
              </w:rPr>
            </w:r>
            <w:r>
              <w:rPr>
                <w:noProof/>
                <w:webHidden/>
              </w:rPr>
              <w:fldChar w:fldCharType="separate"/>
            </w:r>
            <w:r>
              <w:rPr>
                <w:noProof/>
                <w:webHidden/>
              </w:rPr>
              <w:t>446</w:t>
            </w:r>
            <w:r>
              <w:rPr>
                <w:noProof/>
                <w:webHidden/>
              </w:rPr>
              <w:fldChar w:fldCharType="end"/>
            </w:r>
          </w:hyperlink>
        </w:p>
        <w:p w14:paraId="09D17EC7" w14:textId="1C9D357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36" w:history="1">
            <w:r w:rsidRPr="001D4C20">
              <w:rPr>
                <w:rStyle w:val="Lienhypertexte"/>
                <w:noProof/>
              </w:rPr>
              <w:t>53.65.2a Système de finition de joints de structure CCTB 01.02</w:t>
            </w:r>
            <w:r>
              <w:rPr>
                <w:noProof/>
                <w:webHidden/>
              </w:rPr>
              <w:tab/>
            </w:r>
            <w:r>
              <w:rPr>
                <w:noProof/>
                <w:webHidden/>
              </w:rPr>
              <w:fldChar w:fldCharType="begin"/>
            </w:r>
            <w:r>
              <w:rPr>
                <w:noProof/>
                <w:webHidden/>
              </w:rPr>
              <w:instrText xml:space="preserve"> PAGEREF _Toc220490936 \h </w:instrText>
            </w:r>
            <w:r>
              <w:rPr>
                <w:noProof/>
                <w:webHidden/>
              </w:rPr>
            </w:r>
            <w:r>
              <w:rPr>
                <w:noProof/>
                <w:webHidden/>
              </w:rPr>
              <w:fldChar w:fldCharType="separate"/>
            </w:r>
            <w:r>
              <w:rPr>
                <w:noProof/>
                <w:webHidden/>
              </w:rPr>
              <w:t>446</w:t>
            </w:r>
            <w:r>
              <w:rPr>
                <w:noProof/>
                <w:webHidden/>
              </w:rPr>
              <w:fldChar w:fldCharType="end"/>
            </w:r>
          </w:hyperlink>
        </w:p>
        <w:p w14:paraId="44F94433" w14:textId="7CDCD2C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37" w:history="1">
            <w:r w:rsidRPr="001D4C20">
              <w:rPr>
                <w:rStyle w:val="Lienhypertexte"/>
                <w:noProof/>
              </w:rPr>
              <w:t>53.65.2b Système de finition de joints de fractionnement CCTB 01.02</w:t>
            </w:r>
            <w:r>
              <w:rPr>
                <w:noProof/>
                <w:webHidden/>
              </w:rPr>
              <w:tab/>
            </w:r>
            <w:r>
              <w:rPr>
                <w:noProof/>
                <w:webHidden/>
              </w:rPr>
              <w:fldChar w:fldCharType="begin"/>
            </w:r>
            <w:r>
              <w:rPr>
                <w:noProof/>
                <w:webHidden/>
              </w:rPr>
              <w:instrText xml:space="preserve"> PAGEREF _Toc220490937 \h </w:instrText>
            </w:r>
            <w:r>
              <w:rPr>
                <w:noProof/>
                <w:webHidden/>
              </w:rPr>
            </w:r>
            <w:r>
              <w:rPr>
                <w:noProof/>
                <w:webHidden/>
              </w:rPr>
              <w:fldChar w:fldCharType="separate"/>
            </w:r>
            <w:r>
              <w:rPr>
                <w:noProof/>
                <w:webHidden/>
              </w:rPr>
              <w:t>446</w:t>
            </w:r>
            <w:r>
              <w:rPr>
                <w:noProof/>
                <w:webHidden/>
              </w:rPr>
              <w:fldChar w:fldCharType="end"/>
            </w:r>
          </w:hyperlink>
        </w:p>
        <w:p w14:paraId="29BA434D" w14:textId="2A77BAB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38" w:history="1">
            <w:r w:rsidRPr="001D4C20">
              <w:rPr>
                <w:rStyle w:val="Lienhypertexte"/>
                <w:noProof/>
              </w:rPr>
              <w:t>53.65.2c Système de finition de joints imperméable CCTB 01.02</w:t>
            </w:r>
            <w:r>
              <w:rPr>
                <w:noProof/>
                <w:webHidden/>
              </w:rPr>
              <w:tab/>
            </w:r>
            <w:r>
              <w:rPr>
                <w:noProof/>
                <w:webHidden/>
              </w:rPr>
              <w:fldChar w:fldCharType="begin"/>
            </w:r>
            <w:r>
              <w:rPr>
                <w:noProof/>
                <w:webHidden/>
              </w:rPr>
              <w:instrText xml:space="preserve"> PAGEREF _Toc220490938 \h </w:instrText>
            </w:r>
            <w:r>
              <w:rPr>
                <w:noProof/>
                <w:webHidden/>
              </w:rPr>
            </w:r>
            <w:r>
              <w:rPr>
                <w:noProof/>
                <w:webHidden/>
              </w:rPr>
              <w:fldChar w:fldCharType="separate"/>
            </w:r>
            <w:r>
              <w:rPr>
                <w:noProof/>
                <w:webHidden/>
              </w:rPr>
              <w:t>446</w:t>
            </w:r>
            <w:r>
              <w:rPr>
                <w:noProof/>
                <w:webHidden/>
              </w:rPr>
              <w:fldChar w:fldCharType="end"/>
            </w:r>
          </w:hyperlink>
        </w:p>
        <w:p w14:paraId="69B4B497" w14:textId="5A0EAEE3"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939" w:history="1">
            <w:r w:rsidRPr="001D4C20">
              <w:rPr>
                <w:rStyle w:val="Lienhypertexte"/>
                <w:noProof/>
              </w:rPr>
              <w:t>53.66 Profils et cadres CCTB 01.02</w:t>
            </w:r>
            <w:r>
              <w:rPr>
                <w:noProof/>
                <w:webHidden/>
              </w:rPr>
              <w:tab/>
            </w:r>
            <w:r>
              <w:rPr>
                <w:noProof/>
                <w:webHidden/>
              </w:rPr>
              <w:fldChar w:fldCharType="begin"/>
            </w:r>
            <w:r>
              <w:rPr>
                <w:noProof/>
                <w:webHidden/>
              </w:rPr>
              <w:instrText xml:space="preserve"> PAGEREF _Toc220490939 \h </w:instrText>
            </w:r>
            <w:r>
              <w:rPr>
                <w:noProof/>
                <w:webHidden/>
              </w:rPr>
            </w:r>
            <w:r>
              <w:rPr>
                <w:noProof/>
                <w:webHidden/>
              </w:rPr>
              <w:fldChar w:fldCharType="separate"/>
            </w:r>
            <w:r>
              <w:rPr>
                <w:noProof/>
                <w:webHidden/>
              </w:rPr>
              <w:t>446</w:t>
            </w:r>
            <w:r>
              <w:rPr>
                <w:noProof/>
                <w:webHidden/>
              </w:rPr>
              <w:fldChar w:fldCharType="end"/>
            </w:r>
          </w:hyperlink>
        </w:p>
        <w:p w14:paraId="5480F9F8" w14:textId="4E0166A7"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40" w:history="1">
            <w:r w:rsidRPr="001D4C20">
              <w:rPr>
                <w:rStyle w:val="Lienhypertexte"/>
                <w:noProof/>
              </w:rPr>
              <w:t>53.66.1 Profils de désolidarisation CCTB 01.02</w:t>
            </w:r>
            <w:r>
              <w:rPr>
                <w:noProof/>
                <w:webHidden/>
              </w:rPr>
              <w:tab/>
            </w:r>
            <w:r>
              <w:rPr>
                <w:noProof/>
                <w:webHidden/>
              </w:rPr>
              <w:fldChar w:fldCharType="begin"/>
            </w:r>
            <w:r>
              <w:rPr>
                <w:noProof/>
                <w:webHidden/>
              </w:rPr>
              <w:instrText xml:space="preserve"> PAGEREF _Toc220490940 \h </w:instrText>
            </w:r>
            <w:r>
              <w:rPr>
                <w:noProof/>
                <w:webHidden/>
              </w:rPr>
            </w:r>
            <w:r>
              <w:rPr>
                <w:noProof/>
                <w:webHidden/>
              </w:rPr>
              <w:fldChar w:fldCharType="separate"/>
            </w:r>
            <w:r>
              <w:rPr>
                <w:noProof/>
                <w:webHidden/>
              </w:rPr>
              <w:t>446</w:t>
            </w:r>
            <w:r>
              <w:rPr>
                <w:noProof/>
                <w:webHidden/>
              </w:rPr>
              <w:fldChar w:fldCharType="end"/>
            </w:r>
          </w:hyperlink>
        </w:p>
        <w:p w14:paraId="73027542" w14:textId="7B8F0E7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41" w:history="1">
            <w:r w:rsidRPr="001D4C20">
              <w:rPr>
                <w:rStyle w:val="Lienhypertexte"/>
                <w:noProof/>
              </w:rPr>
              <w:t>53.66.1a Profils de désolidarisation CCTB 01.10</w:t>
            </w:r>
            <w:r>
              <w:rPr>
                <w:noProof/>
                <w:webHidden/>
              </w:rPr>
              <w:tab/>
            </w:r>
            <w:r>
              <w:rPr>
                <w:noProof/>
                <w:webHidden/>
              </w:rPr>
              <w:fldChar w:fldCharType="begin"/>
            </w:r>
            <w:r>
              <w:rPr>
                <w:noProof/>
                <w:webHidden/>
              </w:rPr>
              <w:instrText xml:space="preserve"> PAGEREF _Toc220490941 \h </w:instrText>
            </w:r>
            <w:r>
              <w:rPr>
                <w:noProof/>
                <w:webHidden/>
              </w:rPr>
            </w:r>
            <w:r>
              <w:rPr>
                <w:noProof/>
                <w:webHidden/>
              </w:rPr>
              <w:fldChar w:fldCharType="separate"/>
            </w:r>
            <w:r>
              <w:rPr>
                <w:noProof/>
                <w:webHidden/>
              </w:rPr>
              <w:t>446</w:t>
            </w:r>
            <w:r>
              <w:rPr>
                <w:noProof/>
                <w:webHidden/>
              </w:rPr>
              <w:fldChar w:fldCharType="end"/>
            </w:r>
          </w:hyperlink>
        </w:p>
        <w:p w14:paraId="405960D5" w14:textId="43A425D7"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42" w:history="1">
            <w:r w:rsidRPr="001D4C20">
              <w:rPr>
                <w:rStyle w:val="Lienhypertexte"/>
                <w:noProof/>
              </w:rPr>
              <w:t>53.66.2 Cadres pour paillassons CCTB 01.12</w:t>
            </w:r>
            <w:r>
              <w:rPr>
                <w:noProof/>
                <w:webHidden/>
              </w:rPr>
              <w:tab/>
            </w:r>
            <w:r>
              <w:rPr>
                <w:noProof/>
                <w:webHidden/>
              </w:rPr>
              <w:fldChar w:fldCharType="begin"/>
            </w:r>
            <w:r>
              <w:rPr>
                <w:noProof/>
                <w:webHidden/>
              </w:rPr>
              <w:instrText xml:space="preserve"> PAGEREF _Toc220490942 \h </w:instrText>
            </w:r>
            <w:r>
              <w:rPr>
                <w:noProof/>
                <w:webHidden/>
              </w:rPr>
            </w:r>
            <w:r>
              <w:rPr>
                <w:noProof/>
                <w:webHidden/>
              </w:rPr>
              <w:fldChar w:fldCharType="separate"/>
            </w:r>
            <w:r>
              <w:rPr>
                <w:noProof/>
                <w:webHidden/>
              </w:rPr>
              <w:t>447</w:t>
            </w:r>
            <w:r>
              <w:rPr>
                <w:noProof/>
                <w:webHidden/>
              </w:rPr>
              <w:fldChar w:fldCharType="end"/>
            </w:r>
          </w:hyperlink>
        </w:p>
        <w:p w14:paraId="3FE4AEF5" w14:textId="124DE3D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43" w:history="1">
            <w:r w:rsidRPr="001D4C20">
              <w:rPr>
                <w:rStyle w:val="Lienhypertexte"/>
                <w:noProof/>
              </w:rPr>
              <w:t>53.66.2a Cadres pour paillassons, métalliques CCTB 01.02</w:t>
            </w:r>
            <w:r>
              <w:rPr>
                <w:noProof/>
                <w:webHidden/>
              </w:rPr>
              <w:tab/>
            </w:r>
            <w:r>
              <w:rPr>
                <w:noProof/>
                <w:webHidden/>
              </w:rPr>
              <w:fldChar w:fldCharType="begin"/>
            </w:r>
            <w:r>
              <w:rPr>
                <w:noProof/>
                <w:webHidden/>
              </w:rPr>
              <w:instrText xml:space="preserve"> PAGEREF _Toc220490943 \h </w:instrText>
            </w:r>
            <w:r>
              <w:rPr>
                <w:noProof/>
                <w:webHidden/>
              </w:rPr>
            </w:r>
            <w:r>
              <w:rPr>
                <w:noProof/>
                <w:webHidden/>
              </w:rPr>
              <w:fldChar w:fldCharType="separate"/>
            </w:r>
            <w:r>
              <w:rPr>
                <w:noProof/>
                <w:webHidden/>
              </w:rPr>
              <w:t>448</w:t>
            </w:r>
            <w:r>
              <w:rPr>
                <w:noProof/>
                <w:webHidden/>
              </w:rPr>
              <w:fldChar w:fldCharType="end"/>
            </w:r>
          </w:hyperlink>
        </w:p>
        <w:p w14:paraId="4318D634" w14:textId="468F5CC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44" w:history="1">
            <w:r w:rsidRPr="001D4C20">
              <w:rPr>
                <w:rStyle w:val="Lienhypertexte"/>
                <w:noProof/>
              </w:rPr>
              <w:t>53.66.2b Cadres pour paillassons, en matériau synthétique CCTB 01.10</w:t>
            </w:r>
            <w:r>
              <w:rPr>
                <w:noProof/>
                <w:webHidden/>
              </w:rPr>
              <w:tab/>
            </w:r>
            <w:r>
              <w:rPr>
                <w:noProof/>
                <w:webHidden/>
              </w:rPr>
              <w:fldChar w:fldCharType="begin"/>
            </w:r>
            <w:r>
              <w:rPr>
                <w:noProof/>
                <w:webHidden/>
              </w:rPr>
              <w:instrText xml:space="preserve"> PAGEREF _Toc220490944 \h </w:instrText>
            </w:r>
            <w:r>
              <w:rPr>
                <w:noProof/>
                <w:webHidden/>
              </w:rPr>
            </w:r>
            <w:r>
              <w:rPr>
                <w:noProof/>
                <w:webHidden/>
              </w:rPr>
              <w:fldChar w:fldCharType="separate"/>
            </w:r>
            <w:r>
              <w:rPr>
                <w:noProof/>
                <w:webHidden/>
              </w:rPr>
              <w:t>448</w:t>
            </w:r>
            <w:r>
              <w:rPr>
                <w:noProof/>
                <w:webHidden/>
              </w:rPr>
              <w:fldChar w:fldCharType="end"/>
            </w:r>
          </w:hyperlink>
        </w:p>
        <w:p w14:paraId="2ADE63A1" w14:textId="3230AF88"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945" w:history="1">
            <w:r w:rsidRPr="001D4C20">
              <w:rPr>
                <w:rStyle w:val="Lienhypertexte"/>
                <w:noProof/>
              </w:rPr>
              <w:t>53.67 Paillassons CCTB 01.10</w:t>
            </w:r>
            <w:r>
              <w:rPr>
                <w:noProof/>
                <w:webHidden/>
              </w:rPr>
              <w:tab/>
            </w:r>
            <w:r>
              <w:rPr>
                <w:noProof/>
                <w:webHidden/>
              </w:rPr>
              <w:fldChar w:fldCharType="begin"/>
            </w:r>
            <w:r>
              <w:rPr>
                <w:noProof/>
                <w:webHidden/>
              </w:rPr>
              <w:instrText xml:space="preserve"> PAGEREF _Toc220490945 \h </w:instrText>
            </w:r>
            <w:r>
              <w:rPr>
                <w:noProof/>
                <w:webHidden/>
              </w:rPr>
            </w:r>
            <w:r>
              <w:rPr>
                <w:noProof/>
                <w:webHidden/>
              </w:rPr>
              <w:fldChar w:fldCharType="separate"/>
            </w:r>
            <w:r>
              <w:rPr>
                <w:noProof/>
                <w:webHidden/>
              </w:rPr>
              <w:t>449</w:t>
            </w:r>
            <w:r>
              <w:rPr>
                <w:noProof/>
                <w:webHidden/>
              </w:rPr>
              <w:fldChar w:fldCharType="end"/>
            </w:r>
          </w:hyperlink>
        </w:p>
        <w:p w14:paraId="30A0F00E" w14:textId="4D321142"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46" w:history="1">
            <w:r w:rsidRPr="001D4C20">
              <w:rPr>
                <w:rStyle w:val="Lienhypertexte"/>
                <w:noProof/>
              </w:rPr>
              <w:t>53.67.1 Paillassons en matériau naturel CCTB 01.02</w:t>
            </w:r>
            <w:r>
              <w:rPr>
                <w:noProof/>
                <w:webHidden/>
              </w:rPr>
              <w:tab/>
            </w:r>
            <w:r>
              <w:rPr>
                <w:noProof/>
                <w:webHidden/>
              </w:rPr>
              <w:fldChar w:fldCharType="begin"/>
            </w:r>
            <w:r>
              <w:rPr>
                <w:noProof/>
                <w:webHidden/>
              </w:rPr>
              <w:instrText xml:space="preserve"> PAGEREF _Toc220490946 \h </w:instrText>
            </w:r>
            <w:r>
              <w:rPr>
                <w:noProof/>
                <w:webHidden/>
              </w:rPr>
            </w:r>
            <w:r>
              <w:rPr>
                <w:noProof/>
                <w:webHidden/>
              </w:rPr>
              <w:fldChar w:fldCharType="separate"/>
            </w:r>
            <w:r>
              <w:rPr>
                <w:noProof/>
                <w:webHidden/>
              </w:rPr>
              <w:t>449</w:t>
            </w:r>
            <w:r>
              <w:rPr>
                <w:noProof/>
                <w:webHidden/>
              </w:rPr>
              <w:fldChar w:fldCharType="end"/>
            </w:r>
          </w:hyperlink>
        </w:p>
        <w:p w14:paraId="29261763" w14:textId="1741A41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47" w:history="1">
            <w:r w:rsidRPr="001D4C20">
              <w:rPr>
                <w:rStyle w:val="Lienhypertexte"/>
                <w:noProof/>
              </w:rPr>
              <w:t>53.67.1a Paillassons en matériau naturel - en coco CCTB 01.02</w:t>
            </w:r>
            <w:r>
              <w:rPr>
                <w:noProof/>
                <w:webHidden/>
              </w:rPr>
              <w:tab/>
            </w:r>
            <w:r>
              <w:rPr>
                <w:noProof/>
                <w:webHidden/>
              </w:rPr>
              <w:fldChar w:fldCharType="begin"/>
            </w:r>
            <w:r>
              <w:rPr>
                <w:noProof/>
                <w:webHidden/>
              </w:rPr>
              <w:instrText xml:space="preserve"> PAGEREF _Toc220490947 \h </w:instrText>
            </w:r>
            <w:r>
              <w:rPr>
                <w:noProof/>
                <w:webHidden/>
              </w:rPr>
            </w:r>
            <w:r>
              <w:rPr>
                <w:noProof/>
                <w:webHidden/>
              </w:rPr>
              <w:fldChar w:fldCharType="separate"/>
            </w:r>
            <w:r>
              <w:rPr>
                <w:noProof/>
                <w:webHidden/>
              </w:rPr>
              <w:t>449</w:t>
            </w:r>
            <w:r>
              <w:rPr>
                <w:noProof/>
                <w:webHidden/>
              </w:rPr>
              <w:fldChar w:fldCharType="end"/>
            </w:r>
          </w:hyperlink>
        </w:p>
        <w:p w14:paraId="355C03B0" w14:textId="02193E34"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48" w:history="1">
            <w:r w:rsidRPr="001D4C20">
              <w:rPr>
                <w:rStyle w:val="Lienhypertexte"/>
                <w:noProof/>
              </w:rPr>
              <w:t>53.67.2 Paillassons en matériau synthétique CCTB 01.02</w:t>
            </w:r>
            <w:r>
              <w:rPr>
                <w:noProof/>
                <w:webHidden/>
              </w:rPr>
              <w:tab/>
            </w:r>
            <w:r>
              <w:rPr>
                <w:noProof/>
                <w:webHidden/>
              </w:rPr>
              <w:fldChar w:fldCharType="begin"/>
            </w:r>
            <w:r>
              <w:rPr>
                <w:noProof/>
                <w:webHidden/>
              </w:rPr>
              <w:instrText xml:space="preserve"> PAGEREF _Toc220490948 \h </w:instrText>
            </w:r>
            <w:r>
              <w:rPr>
                <w:noProof/>
                <w:webHidden/>
              </w:rPr>
            </w:r>
            <w:r>
              <w:rPr>
                <w:noProof/>
                <w:webHidden/>
              </w:rPr>
              <w:fldChar w:fldCharType="separate"/>
            </w:r>
            <w:r>
              <w:rPr>
                <w:noProof/>
                <w:webHidden/>
              </w:rPr>
              <w:t>450</w:t>
            </w:r>
            <w:r>
              <w:rPr>
                <w:noProof/>
                <w:webHidden/>
              </w:rPr>
              <w:fldChar w:fldCharType="end"/>
            </w:r>
          </w:hyperlink>
        </w:p>
        <w:p w14:paraId="26063ECC" w14:textId="0606854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49" w:history="1">
            <w:r w:rsidRPr="001D4C20">
              <w:rPr>
                <w:rStyle w:val="Lienhypertexte"/>
                <w:noProof/>
              </w:rPr>
              <w:t>53.67.2a Paillassons en matériau synthétique - tapis en polypropylène CCTB 01.11</w:t>
            </w:r>
            <w:r>
              <w:rPr>
                <w:noProof/>
                <w:webHidden/>
              </w:rPr>
              <w:tab/>
            </w:r>
            <w:r>
              <w:rPr>
                <w:noProof/>
                <w:webHidden/>
              </w:rPr>
              <w:fldChar w:fldCharType="begin"/>
            </w:r>
            <w:r>
              <w:rPr>
                <w:noProof/>
                <w:webHidden/>
              </w:rPr>
              <w:instrText xml:space="preserve"> PAGEREF _Toc220490949 \h </w:instrText>
            </w:r>
            <w:r>
              <w:rPr>
                <w:noProof/>
                <w:webHidden/>
              </w:rPr>
            </w:r>
            <w:r>
              <w:rPr>
                <w:noProof/>
                <w:webHidden/>
              </w:rPr>
              <w:fldChar w:fldCharType="separate"/>
            </w:r>
            <w:r>
              <w:rPr>
                <w:noProof/>
                <w:webHidden/>
              </w:rPr>
              <w:t>450</w:t>
            </w:r>
            <w:r>
              <w:rPr>
                <w:noProof/>
                <w:webHidden/>
              </w:rPr>
              <w:fldChar w:fldCharType="end"/>
            </w:r>
          </w:hyperlink>
        </w:p>
        <w:p w14:paraId="58A3D300" w14:textId="21045AE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50" w:history="1">
            <w:r w:rsidRPr="001D4C20">
              <w:rPr>
                <w:rStyle w:val="Lienhypertexte"/>
                <w:noProof/>
              </w:rPr>
              <w:t>53.67.2b Paillassons en matériau synthétique - tapis en polyamide CCTB 01.02</w:t>
            </w:r>
            <w:r>
              <w:rPr>
                <w:noProof/>
                <w:webHidden/>
              </w:rPr>
              <w:tab/>
            </w:r>
            <w:r>
              <w:rPr>
                <w:noProof/>
                <w:webHidden/>
              </w:rPr>
              <w:fldChar w:fldCharType="begin"/>
            </w:r>
            <w:r>
              <w:rPr>
                <w:noProof/>
                <w:webHidden/>
              </w:rPr>
              <w:instrText xml:space="preserve"> PAGEREF _Toc220490950 \h </w:instrText>
            </w:r>
            <w:r>
              <w:rPr>
                <w:noProof/>
                <w:webHidden/>
              </w:rPr>
            </w:r>
            <w:r>
              <w:rPr>
                <w:noProof/>
                <w:webHidden/>
              </w:rPr>
              <w:fldChar w:fldCharType="separate"/>
            </w:r>
            <w:r>
              <w:rPr>
                <w:noProof/>
                <w:webHidden/>
              </w:rPr>
              <w:t>451</w:t>
            </w:r>
            <w:r>
              <w:rPr>
                <w:noProof/>
                <w:webHidden/>
              </w:rPr>
              <w:fldChar w:fldCharType="end"/>
            </w:r>
          </w:hyperlink>
        </w:p>
        <w:p w14:paraId="1FE29E5D" w14:textId="7A38221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51" w:history="1">
            <w:r w:rsidRPr="001D4C20">
              <w:rPr>
                <w:rStyle w:val="Lienhypertexte"/>
                <w:noProof/>
              </w:rPr>
              <w:t>53.67.2c Paillassons en matériau synthétique - tapis en oléfine CCTB 01.02</w:t>
            </w:r>
            <w:r>
              <w:rPr>
                <w:noProof/>
                <w:webHidden/>
              </w:rPr>
              <w:tab/>
            </w:r>
            <w:r>
              <w:rPr>
                <w:noProof/>
                <w:webHidden/>
              </w:rPr>
              <w:fldChar w:fldCharType="begin"/>
            </w:r>
            <w:r>
              <w:rPr>
                <w:noProof/>
                <w:webHidden/>
              </w:rPr>
              <w:instrText xml:space="preserve"> PAGEREF _Toc220490951 \h </w:instrText>
            </w:r>
            <w:r>
              <w:rPr>
                <w:noProof/>
                <w:webHidden/>
              </w:rPr>
            </w:r>
            <w:r>
              <w:rPr>
                <w:noProof/>
                <w:webHidden/>
              </w:rPr>
              <w:fldChar w:fldCharType="separate"/>
            </w:r>
            <w:r>
              <w:rPr>
                <w:noProof/>
                <w:webHidden/>
              </w:rPr>
              <w:t>451</w:t>
            </w:r>
            <w:r>
              <w:rPr>
                <w:noProof/>
                <w:webHidden/>
              </w:rPr>
              <w:fldChar w:fldCharType="end"/>
            </w:r>
          </w:hyperlink>
        </w:p>
        <w:p w14:paraId="53E216D2" w14:textId="39F7781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52" w:history="1">
            <w:r w:rsidRPr="001D4C20">
              <w:rPr>
                <w:rStyle w:val="Lienhypertexte"/>
                <w:noProof/>
              </w:rPr>
              <w:t>53.67.2d Paillassons en matériau synthétique - tapis en caoutchouc CCTB 01.02</w:t>
            </w:r>
            <w:r>
              <w:rPr>
                <w:noProof/>
                <w:webHidden/>
              </w:rPr>
              <w:tab/>
            </w:r>
            <w:r>
              <w:rPr>
                <w:noProof/>
                <w:webHidden/>
              </w:rPr>
              <w:fldChar w:fldCharType="begin"/>
            </w:r>
            <w:r>
              <w:rPr>
                <w:noProof/>
                <w:webHidden/>
              </w:rPr>
              <w:instrText xml:space="preserve"> PAGEREF _Toc220490952 \h </w:instrText>
            </w:r>
            <w:r>
              <w:rPr>
                <w:noProof/>
                <w:webHidden/>
              </w:rPr>
            </w:r>
            <w:r>
              <w:rPr>
                <w:noProof/>
                <w:webHidden/>
              </w:rPr>
              <w:fldChar w:fldCharType="separate"/>
            </w:r>
            <w:r>
              <w:rPr>
                <w:noProof/>
                <w:webHidden/>
              </w:rPr>
              <w:t>451</w:t>
            </w:r>
            <w:r>
              <w:rPr>
                <w:noProof/>
                <w:webHidden/>
              </w:rPr>
              <w:fldChar w:fldCharType="end"/>
            </w:r>
          </w:hyperlink>
        </w:p>
        <w:p w14:paraId="2392699B" w14:textId="0F4BC12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53" w:history="1">
            <w:r w:rsidRPr="001D4C20">
              <w:rPr>
                <w:rStyle w:val="Lienhypertexte"/>
                <w:noProof/>
              </w:rPr>
              <w:t>53.67.3 Paillassons en lattes métalliques CCTB 01.12</w:t>
            </w:r>
            <w:r>
              <w:rPr>
                <w:noProof/>
                <w:webHidden/>
              </w:rPr>
              <w:tab/>
            </w:r>
            <w:r>
              <w:rPr>
                <w:noProof/>
                <w:webHidden/>
              </w:rPr>
              <w:fldChar w:fldCharType="begin"/>
            </w:r>
            <w:r>
              <w:rPr>
                <w:noProof/>
                <w:webHidden/>
              </w:rPr>
              <w:instrText xml:space="preserve"> PAGEREF _Toc220490953 \h </w:instrText>
            </w:r>
            <w:r>
              <w:rPr>
                <w:noProof/>
                <w:webHidden/>
              </w:rPr>
            </w:r>
            <w:r>
              <w:rPr>
                <w:noProof/>
                <w:webHidden/>
              </w:rPr>
              <w:fldChar w:fldCharType="separate"/>
            </w:r>
            <w:r>
              <w:rPr>
                <w:noProof/>
                <w:webHidden/>
              </w:rPr>
              <w:t>451</w:t>
            </w:r>
            <w:r>
              <w:rPr>
                <w:noProof/>
                <w:webHidden/>
              </w:rPr>
              <w:fldChar w:fldCharType="end"/>
            </w:r>
          </w:hyperlink>
        </w:p>
        <w:p w14:paraId="42EA27B1" w14:textId="26B12C1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54" w:history="1">
            <w:r w:rsidRPr="001D4C20">
              <w:rPr>
                <w:rStyle w:val="Lienhypertexte"/>
                <w:noProof/>
              </w:rPr>
              <w:t>53.67.3a Paillassons en lattes métalliques – bandes de feutre CCTB 01.12</w:t>
            </w:r>
            <w:r>
              <w:rPr>
                <w:noProof/>
                <w:webHidden/>
              </w:rPr>
              <w:tab/>
            </w:r>
            <w:r>
              <w:rPr>
                <w:noProof/>
                <w:webHidden/>
              </w:rPr>
              <w:fldChar w:fldCharType="begin"/>
            </w:r>
            <w:r>
              <w:rPr>
                <w:noProof/>
                <w:webHidden/>
              </w:rPr>
              <w:instrText xml:space="preserve"> PAGEREF _Toc220490954 \h </w:instrText>
            </w:r>
            <w:r>
              <w:rPr>
                <w:noProof/>
                <w:webHidden/>
              </w:rPr>
            </w:r>
            <w:r>
              <w:rPr>
                <w:noProof/>
                <w:webHidden/>
              </w:rPr>
              <w:fldChar w:fldCharType="separate"/>
            </w:r>
            <w:r>
              <w:rPr>
                <w:noProof/>
                <w:webHidden/>
              </w:rPr>
              <w:t>451</w:t>
            </w:r>
            <w:r>
              <w:rPr>
                <w:noProof/>
                <w:webHidden/>
              </w:rPr>
              <w:fldChar w:fldCharType="end"/>
            </w:r>
          </w:hyperlink>
        </w:p>
        <w:p w14:paraId="2C01769C" w14:textId="66FAAEF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55" w:history="1">
            <w:r w:rsidRPr="001D4C20">
              <w:rPr>
                <w:rStyle w:val="Lienhypertexte"/>
                <w:noProof/>
              </w:rPr>
              <w:t>53.67.3b Paillassons en lattes métalliques – bandes de caoutchouc CCTB 01.12</w:t>
            </w:r>
            <w:r>
              <w:rPr>
                <w:noProof/>
                <w:webHidden/>
              </w:rPr>
              <w:tab/>
            </w:r>
            <w:r>
              <w:rPr>
                <w:noProof/>
                <w:webHidden/>
              </w:rPr>
              <w:fldChar w:fldCharType="begin"/>
            </w:r>
            <w:r>
              <w:rPr>
                <w:noProof/>
                <w:webHidden/>
              </w:rPr>
              <w:instrText xml:space="preserve"> PAGEREF _Toc220490955 \h </w:instrText>
            </w:r>
            <w:r>
              <w:rPr>
                <w:noProof/>
                <w:webHidden/>
              </w:rPr>
            </w:r>
            <w:r>
              <w:rPr>
                <w:noProof/>
                <w:webHidden/>
              </w:rPr>
              <w:fldChar w:fldCharType="separate"/>
            </w:r>
            <w:r>
              <w:rPr>
                <w:noProof/>
                <w:webHidden/>
              </w:rPr>
              <w:t>451</w:t>
            </w:r>
            <w:r>
              <w:rPr>
                <w:noProof/>
                <w:webHidden/>
              </w:rPr>
              <w:fldChar w:fldCharType="end"/>
            </w:r>
          </w:hyperlink>
        </w:p>
        <w:p w14:paraId="4F30192F" w14:textId="1059A8E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56" w:history="1">
            <w:r w:rsidRPr="001D4C20">
              <w:rPr>
                <w:rStyle w:val="Lienhypertexte"/>
                <w:noProof/>
              </w:rPr>
              <w:t>53.67.3c Paillassons en lattes métalliques – brosses synthétiques CCTB 01.12</w:t>
            </w:r>
            <w:r>
              <w:rPr>
                <w:noProof/>
                <w:webHidden/>
              </w:rPr>
              <w:tab/>
            </w:r>
            <w:r>
              <w:rPr>
                <w:noProof/>
                <w:webHidden/>
              </w:rPr>
              <w:fldChar w:fldCharType="begin"/>
            </w:r>
            <w:r>
              <w:rPr>
                <w:noProof/>
                <w:webHidden/>
              </w:rPr>
              <w:instrText xml:space="preserve"> PAGEREF _Toc220490956 \h </w:instrText>
            </w:r>
            <w:r>
              <w:rPr>
                <w:noProof/>
                <w:webHidden/>
              </w:rPr>
            </w:r>
            <w:r>
              <w:rPr>
                <w:noProof/>
                <w:webHidden/>
              </w:rPr>
              <w:fldChar w:fldCharType="separate"/>
            </w:r>
            <w:r>
              <w:rPr>
                <w:noProof/>
                <w:webHidden/>
              </w:rPr>
              <w:t>451</w:t>
            </w:r>
            <w:r>
              <w:rPr>
                <w:noProof/>
                <w:webHidden/>
              </w:rPr>
              <w:fldChar w:fldCharType="end"/>
            </w:r>
          </w:hyperlink>
        </w:p>
        <w:p w14:paraId="03430A1A" w14:textId="55B2C89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57" w:history="1">
            <w:r w:rsidRPr="001D4C20">
              <w:rPr>
                <w:rStyle w:val="Lienhypertexte"/>
                <w:noProof/>
              </w:rPr>
              <w:t>53.67.3d Paillassons en matériau synthétique – bandes mixtes CCTB 01.12</w:t>
            </w:r>
            <w:r>
              <w:rPr>
                <w:noProof/>
                <w:webHidden/>
              </w:rPr>
              <w:tab/>
            </w:r>
            <w:r>
              <w:rPr>
                <w:noProof/>
                <w:webHidden/>
              </w:rPr>
              <w:fldChar w:fldCharType="begin"/>
            </w:r>
            <w:r>
              <w:rPr>
                <w:noProof/>
                <w:webHidden/>
              </w:rPr>
              <w:instrText xml:space="preserve"> PAGEREF _Toc220490957 \h </w:instrText>
            </w:r>
            <w:r>
              <w:rPr>
                <w:noProof/>
                <w:webHidden/>
              </w:rPr>
            </w:r>
            <w:r>
              <w:rPr>
                <w:noProof/>
                <w:webHidden/>
              </w:rPr>
              <w:fldChar w:fldCharType="separate"/>
            </w:r>
            <w:r>
              <w:rPr>
                <w:noProof/>
                <w:webHidden/>
              </w:rPr>
              <w:t>451</w:t>
            </w:r>
            <w:r>
              <w:rPr>
                <w:noProof/>
                <w:webHidden/>
              </w:rPr>
              <w:fldChar w:fldCharType="end"/>
            </w:r>
          </w:hyperlink>
        </w:p>
        <w:p w14:paraId="3DE73BBF" w14:textId="66659B0C"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958" w:history="1">
            <w:r w:rsidRPr="001D4C20">
              <w:rPr>
                <w:rStyle w:val="Lienhypertexte"/>
                <w:noProof/>
              </w:rPr>
              <w:t>53.68 Couvercles et grilles de sol CCTB 01.02</w:t>
            </w:r>
            <w:r>
              <w:rPr>
                <w:noProof/>
                <w:webHidden/>
              </w:rPr>
              <w:tab/>
            </w:r>
            <w:r>
              <w:rPr>
                <w:noProof/>
                <w:webHidden/>
              </w:rPr>
              <w:fldChar w:fldCharType="begin"/>
            </w:r>
            <w:r>
              <w:rPr>
                <w:noProof/>
                <w:webHidden/>
              </w:rPr>
              <w:instrText xml:space="preserve"> PAGEREF _Toc220490958 \h </w:instrText>
            </w:r>
            <w:r>
              <w:rPr>
                <w:noProof/>
                <w:webHidden/>
              </w:rPr>
            </w:r>
            <w:r>
              <w:rPr>
                <w:noProof/>
                <w:webHidden/>
              </w:rPr>
              <w:fldChar w:fldCharType="separate"/>
            </w:r>
            <w:r>
              <w:rPr>
                <w:noProof/>
                <w:webHidden/>
              </w:rPr>
              <w:t>451</w:t>
            </w:r>
            <w:r>
              <w:rPr>
                <w:noProof/>
                <w:webHidden/>
              </w:rPr>
              <w:fldChar w:fldCharType="end"/>
            </w:r>
          </w:hyperlink>
        </w:p>
        <w:p w14:paraId="6AEBDFFC" w14:textId="2FC6B792"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59" w:history="1">
            <w:r w:rsidRPr="001D4C20">
              <w:rPr>
                <w:rStyle w:val="Lienhypertexte"/>
                <w:noProof/>
              </w:rPr>
              <w:t>53.68.1 Couvercles de sol CCTB 01.10</w:t>
            </w:r>
            <w:r>
              <w:rPr>
                <w:noProof/>
                <w:webHidden/>
              </w:rPr>
              <w:tab/>
            </w:r>
            <w:r>
              <w:rPr>
                <w:noProof/>
                <w:webHidden/>
              </w:rPr>
              <w:fldChar w:fldCharType="begin"/>
            </w:r>
            <w:r>
              <w:rPr>
                <w:noProof/>
                <w:webHidden/>
              </w:rPr>
              <w:instrText xml:space="preserve"> PAGEREF _Toc220490959 \h </w:instrText>
            </w:r>
            <w:r>
              <w:rPr>
                <w:noProof/>
                <w:webHidden/>
              </w:rPr>
            </w:r>
            <w:r>
              <w:rPr>
                <w:noProof/>
                <w:webHidden/>
              </w:rPr>
              <w:fldChar w:fldCharType="separate"/>
            </w:r>
            <w:r>
              <w:rPr>
                <w:noProof/>
                <w:webHidden/>
              </w:rPr>
              <w:t>451</w:t>
            </w:r>
            <w:r>
              <w:rPr>
                <w:noProof/>
                <w:webHidden/>
              </w:rPr>
              <w:fldChar w:fldCharType="end"/>
            </w:r>
          </w:hyperlink>
        </w:p>
        <w:p w14:paraId="75FCAFF8" w14:textId="6052015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60" w:history="1">
            <w:r w:rsidRPr="001D4C20">
              <w:rPr>
                <w:rStyle w:val="Lienhypertexte"/>
                <w:noProof/>
              </w:rPr>
              <w:t>53.68.1a Couvercles de sol métalliques CCTB 01.11</w:t>
            </w:r>
            <w:r>
              <w:rPr>
                <w:noProof/>
                <w:webHidden/>
              </w:rPr>
              <w:tab/>
            </w:r>
            <w:r>
              <w:rPr>
                <w:noProof/>
                <w:webHidden/>
              </w:rPr>
              <w:fldChar w:fldCharType="begin"/>
            </w:r>
            <w:r>
              <w:rPr>
                <w:noProof/>
                <w:webHidden/>
              </w:rPr>
              <w:instrText xml:space="preserve"> PAGEREF _Toc220490960 \h </w:instrText>
            </w:r>
            <w:r>
              <w:rPr>
                <w:noProof/>
                <w:webHidden/>
              </w:rPr>
            </w:r>
            <w:r>
              <w:rPr>
                <w:noProof/>
                <w:webHidden/>
              </w:rPr>
              <w:fldChar w:fldCharType="separate"/>
            </w:r>
            <w:r>
              <w:rPr>
                <w:noProof/>
                <w:webHidden/>
              </w:rPr>
              <w:t>452</w:t>
            </w:r>
            <w:r>
              <w:rPr>
                <w:noProof/>
                <w:webHidden/>
              </w:rPr>
              <w:fldChar w:fldCharType="end"/>
            </w:r>
          </w:hyperlink>
        </w:p>
        <w:p w14:paraId="79F7ACCF" w14:textId="4F07FF3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61" w:history="1">
            <w:r w:rsidRPr="001D4C20">
              <w:rPr>
                <w:rStyle w:val="Lienhypertexte"/>
                <w:noProof/>
              </w:rPr>
              <w:t>53.68.1b Couvercles de sol en matériau synthétique CCTB 01.02</w:t>
            </w:r>
            <w:r>
              <w:rPr>
                <w:noProof/>
                <w:webHidden/>
              </w:rPr>
              <w:tab/>
            </w:r>
            <w:r>
              <w:rPr>
                <w:noProof/>
                <w:webHidden/>
              </w:rPr>
              <w:fldChar w:fldCharType="begin"/>
            </w:r>
            <w:r>
              <w:rPr>
                <w:noProof/>
                <w:webHidden/>
              </w:rPr>
              <w:instrText xml:space="preserve"> PAGEREF _Toc220490961 \h </w:instrText>
            </w:r>
            <w:r>
              <w:rPr>
                <w:noProof/>
                <w:webHidden/>
              </w:rPr>
            </w:r>
            <w:r>
              <w:rPr>
                <w:noProof/>
                <w:webHidden/>
              </w:rPr>
              <w:fldChar w:fldCharType="separate"/>
            </w:r>
            <w:r>
              <w:rPr>
                <w:noProof/>
                <w:webHidden/>
              </w:rPr>
              <w:t>456</w:t>
            </w:r>
            <w:r>
              <w:rPr>
                <w:noProof/>
                <w:webHidden/>
              </w:rPr>
              <w:fldChar w:fldCharType="end"/>
            </w:r>
          </w:hyperlink>
        </w:p>
        <w:p w14:paraId="2DAD7ACF" w14:textId="21BC5DC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62" w:history="1">
            <w:r w:rsidRPr="001D4C20">
              <w:rPr>
                <w:rStyle w:val="Lienhypertexte"/>
                <w:noProof/>
              </w:rPr>
              <w:t>53.68.1c Couvercles de sol à carreler CCTB 01.02</w:t>
            </w:r>
            <w:r>
              <w:rPr>
                <w:noProof/>
                <w:webHidden/>
              </w:rPr>
              <w:tab/>
            </w:r>
            <w:r>
              <w:rPr>
                <w:noProof/>
                <w:webHidden/>
              </w:rPr>
              <w:fldChar w:fldCharType="begin"/>
            </w:r>
            <w:r>
              <w:rPr>
                <w:noProof/>
                <w:webHidden/>
              </w:rPr>
              <w:instrText xml:space="preserve"> PAGEREF _Toc220490962 \h </w:instrText>
            </w:r>
            <w:r>
              <w:rPr>
                <w:noProof/>
                <w:webHidden/>
              </w:rPr>
            </w:r>
            <w:r>
              <w:rPr>
                <w:noProof/>
                <w:webHidden/>
              </w:rPr>
              <w:fldChar w:fldCharType="separate"/>
            </w:r>
            <w:r>
              <w:rPr>
                <w:noProof/>
                <w:webHidden/>
              </w:rPr>
              <w:t>456</w:t>
            </w:r>
            <w:r>
              <w:rPr>
                <w:noProof/>
                <w:webHidden/>
              </w:rPr>
              <w:fldChar w:fldCharType="end"/>
            </w:r>
          </w:hyperlink>
        </w:p>
        <w:p w14:paraId="734D298B" w14:textId="209F5BF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63" w:history="1">
            <w:r w:rsidRPr="001D4C20">
              <w:rPr>
                <w:rStyle w:val="Lienhypertexte"/>
                <w:noProof/>
              </w:rPr>
              <w:t>53.68.2 Grilles de sol CCTB 01.10</w:t>
            </w:r>
            <w:r>
              <w:rPr>
                <w:noProof/>
                <w:webHidden/>
              </w:rPr>
              <w:tab/>
            </w:r>
            <w:r>
              <w:rPr>
                <w:noProof/>
                <w:webHidden/>
              </w:rPr>
              <w:fldChar w:fldCharType="begin"/>
            </w:r>
            <w:r>
              <w:rPr>
                <w:noProof/>
                <w:webHidden/>
              </w:rPr>
              <w:instrText xml:space="preserve"> PAGEREF _Toc220490963 \h </w:instrText>
            </w:r>
            <w:r>
              <w:rPr>
                <w:noProof/>
                <w:webHidden/>
              </w:rPr>
            </w:r>
            <w:r>
              <w:rPr>
                <w:noProof/>
                <w:webHidden/>
              </w:rPr>
              <w:fldChar w:fldCharType="separate"/>
            </w:r>
            <w:r>
              <w:rPr>
                <w:noProof/>
                <w:webHidden/>
              </w:rPr>
              <w:t>456</w:t>
            </w:r>
            <w:r>
              <w:rPr>
                <w:noProof/>
                <w:webHidden/>
              </w:rPr>
              <w:fldChar w:fldCharType="end"/>
            </w:r>
          </w:hyperlink>
        </w:p>
        <w:p w14:paraId="723FAB3C" w14:textId="23FB331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64" w:history="1">
            <w:r w:rsidRPr="001D4C20">
              <w:rPr>
                <w:rStyle w:val="Lienhypertexte"/>
                <w:noProof/>
              </w:rPr>
              <w:t>53.68.2a Grilles de sol métalliques CCTB 01.02</w:t>
            </w:r>
            <w:r>
              <w:rPr>
                <w:noProof/>
                <w:webHidden/>
              </w:rPr>
              <w:tab/>
            </w:r>
            <w:r>
              <w:rPr>
                <w:noProof/>
                <w:webHidden/>
              </w:rPr>
              <w:fldChar w:fldCharType="begin"/>
            </w:r>
            <w:r>
              <w:rPr>
                <w:noProof/>
                <w:webHidden/>
              </w:rPr>
              <w:instrText xml:space="preserve"> PAGEREF _Toc220490964 \h </w:instrText>
            </w:r>
            <w:r>
              <w:rPr>
                <w:noProof/>
                <w:webHidden/>
              </w:rPr>
            </w:r>
            <w:r>
              <w:rPr>
                <w:noProof/>
                <w:webHidden/>
              </w:rPr>
              <w:fldChar w:fldCharType="separate"/>
            </w:r>
            <w:r>
              <w:rPr>
                <w:noProof/>
                <w:webHidden/>
              </w:rPr>
              <w:t>456</w:t>
            </w:r>
            <w:r>
              <w:rPr>
                <w:noProof/>
                <w:webHidden/>
              </w:rPr>
              <w:fldChar w:fldCharType="end"/>
            </w:r>
          </w:hyperlink>
        </w:p>
        <w:p w14:paraId="0F9912D0" w14:textId="2B07F71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65" w:history="1">
            <w:r w:rsidRPr="001D4C20">
              <w:rPr>
                <w:rStyle w:val="Lienhypertexte"/>
                <w:noProof/>
              </w:rPr>
              <w:t>53.68.2b Grilles de sol en matériau synthétique CCTB 01.02</w:t>
            </w:r>
            <w:r>
              <w:rPr>
                <w:noProof/>
                <w:webHidden/>
              </w:rPr>
              <w:tab/>
            </w:r>
            <w:r>
              <w:rPr>
                <w:noProof/>
                <w:webHidden/>
              </w:rPr>
              <w:fldChar w:fldCharType="begin"/>
            </w:r>
            <w:r>
              <w:rPr>
                <w:noProof/>
                <w:webHidden/>
              </w:rPr>
              <w:instrText xml:space="preserve"> PAGEREF _Toc220490965 \h </w:instrText>
            </w:r>
            <w:r>
              <w:rPr>
                <w:noProof/>
                <w:webHidden/>
              </w:rPr>
            </w:r>
            <w:r>
              <w:rPr>
                <w:noProof/>
                <w:webHidden/>
              </w:rPr>
              <w:fldChar w:fldCharType="separate"/>
            </w:r>
            <w:r>
              <w:rPr>
                <w:noProof/>
                <w:webHidden/>
              </w:rPr>
              <w:t>456</w:t>
            </w:r>
            <w:r>
              <w:rPr>
                <w:noProof/>
                <w:webHidden/>
              </w:rPr>
              <w:fldChar w:fldCharType="end"/>
            </w:r>
          </w:hyperlink>
        </w:p>
        <w:p w14:paraId="7E736C55" w14:textId="78FF35DC"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966" w:history="1">
            <w:r w:rsidRPr="001D4C20">
              <w:rPr>
                <w:rStyle w:val="Lienhypertexte"/>
                <w:noProof/>
              </w:rPr>
              <w:t>53.7 - CCTB 01.02</w:t>
            </w:r>
            <w:r>
              <w:rPr>
                <w:noProof/>
                <w:webHidden/>
              </w:rPr>
              <w:tab/>
            </w:r>
            <w:r>
              <w:rPr>
                <w:noProof/>
                <w:webHidden/>
              </w:rPr>
              <w:fldChar w:fldCharType="begin"/>
            </w:r>
            <w:r>
              <w:rPr>
                <w:noProof/>
                <w:webHidden/>
              </w:rPr>
              <w:instrText xml:space="preserve"> PAGEREF _Toc220490966 \h </w:instrText>
            </w:r>
            <w:r>
              <w:rPr>
                <w:noProof/>
                <w:webHidden/>
              </w:rPr>
            </w:r>
            <w:r>
              <w:rPr>
                <w:noProof/>
                <w:webHidden/>
              </w:rPr>
              <w:fldChar w:fldCharType="separate"/>
            </w:r>
            <w:r>
              <w:rPr>
                <w:noProof/>
                <w:webHidden/>
              </w:rPr>
              <w:t>456</w:t>
            </w:r>
            <w:r>
              <w:rPr>
                <w:noProof/>
                <w:webHidden/>
              </w:rPr>
              <w:fldChar w:fldCharType="end"/>
            </w:r>
          </w:hyperlink>
        </w:p>
        <w:p w14:paraId="2D0FF09E" w14:textId="43FC4807"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967" w:history="1">
            <w:r w:rsidRPr="001D4C20">
              <w:rPr>
                <w:rStyle w:val="Lienhypertexte"/>
                <w:noProof/>
              </w:rPr>
              <w:t>53.8 Chapes et revêtements de sols intérieurs - Rénovation CCTB 01.02</w:t>
            </w:r>
            <w:r>
              <w:rPr>
                <w:noProof/>
                <w:webHidden/>
              </w:rPr>
              <w:tab/>
            </w:r>
            <w:r>
              <w:rPr>
                <w:noProof/>
                <w:webHidden/>
              </w:rPr>
              <w:fldChar w:fldCharType="begin"/>
            </w:r>
            <w:r>
              <w:rPr>
                <w:noProof/>
                <w:webHidden/>
              </w:rPr>
              <w:instrText xml:space="preserve"> PAGEREF _Toc220490967 \h </w:instrText>
            </w:r>
            <w:r>
              <w:rPr>
                <w:noProof/>
                <w:webHidden/>
              </w:rPr>
            </w:r>
            <w:r>
              <w:rPr>
                <w:noProof/>
                <w:webHidden/>
              </w:rPr>
              <w:fldChar w:fldCharType="separate"/>
            </w:r>
            <w:r>
              <w:rPr>
                <w:noProof/>
                <w:webHidden/>
              </w:rPr>
              <w:t>456</w:t>
            </w:r>
            <w:r>
              <w:rPr>
                <w:noProof/>
                <w:webHidden/>
              </w:rPr>
              <w:fldChar w:fldCharType="end"/>
            </w:r>
          </w:hyperlink>
        </w:p>
        <w:p w14:paraId="578E9B10" w14:textId="571BB335" w:rsidR="000F4169" w:rsidRDefault="000F4169">
          <w:pPr>
            <w:pStyle w:val="TM2"/>
            <w:tabs>
              <w:tab w:val="right" w:leader="dot" w:pos="9016"/>
            </w:tabs>
            <w:rPr>
              <w:rFonts w:asciiTheme="minorHAnsi" w:eastAsiaTheme="minorEastAsia" w:hAnsiTheme="minorHAnsi" w:cstheme="minorBidi"/>
              <w:noProof/>
              <w:kern w:val="2"/>
              <w:sz w:val="24"/>
              <w:szCs w:val="24"/>
              <w14:ligatures w14:val="standardContextual"/>
            </w:rPr>
          </w:pPr>
          <w:hyperlink w:anchor="_Toc220490968" w:history="1">
            <w:r w:rsidRPr="001D4C20">
              <w:rPr>
                <w:rStyle w:val="Lienhypertexte"/>
                <w:noProof/>
              </w:rPr>
              <w:t>54 Faux-plafonds et finition des plafonds intérieurs CCTB 01.11</w:t>
            </w:r>
            <w:r>
              <w:rPr>
                <w:noProof/>
                <w:webHidden/>
              </w:rPr>
              <w:tab/>
            </w:r>
            <w:r>
              <w:rPr>
                <w:noProof/>
                <w:webHidden/>
              </w:rPr>
              <w:fldChar w:fldCharType="begin"/>
            </w:r>
            <w:r>
              <w:rPr>
                <w:noProof/>
                <w:webHidden/>
              </w:rPr>
              <w:instrText xml:space="preserve"> PAGEREF _Toc220490968 \h </w:instrText>
            </w:r>
            <w:r>
              <w:rPr>
                <w:noProof/>
                <w:webHidden/>
              </w:rPr>
            </w:r>
            <w:r>
              <w:rPr>
                <w:noProof/>
                <w:webHidden/>
              </w:rPr>
              <w:fldChar w:fldCharType="separate"/>
            </w:r>
            <w:r>
              <w:rPr>
                <w:noProof/>
                <w:webHidden/>
              </w:rPr>
              <w:t>456</w:t>
            </w:r>
            <w:r>
              <w:rPr>
                <w:noProof/>
                <w:webHidden/>
              </w:rPr>
              <w:fldChar w:fldCharType="end"/>
            </w:r>
          </w:hyperlink>
        </w:p>
        <w:p w14:paraId="14DFA176" w14:textId="6DC067B7"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969" w:history="1">
            <w:r w:rsidRPr="001D4C20">
              <w:rPr>
                <w:rStyle w:val="Lienhypertexte"/>
                <w:noProof/>
              </w:rPr>
              <w:t>54.1 Revêtements de plafonds enduits CCTB 01.12</w:t>
            </w:r>
            <w:r>
              <w:rPr>
                <w:noProof/>
                <w:webHidden/>
              </w:rPr>
              <w:tab/>
            </w:r>
            <w:r>
              <w:rPr>
                <w:noProof/>
                <w:webHidden/>
              </w:rPr>
              <w:fldChar w:fldCharType="begin"/>
            </w:r>
            <w:r>
              <w:rPr>
                <w:noProof/>
                <w:webHidden/>
              </w:rPr>
              <w:instrText xml:space="preserve"> PAGEREF _Toc220490969 \h </w:instrText>
            </w:r>
            <w:r>
              <w:rPr>
                <w:noProof/>
                <w:webHidden/>
              </w:rPr>
            </w:r>
            <w:r>
              <w:rPr>
                <w:noProof/>
                <w:webHidden/>
              </w:rPr>
              <w:fldChar w:fldCharType="separate"/>
            </w:r>
            <w:r>
              <w:rPr>
                <w:noProof/>
                <w:webHidden/>
              </w:rPr>
              <w:t>456</w:t>
            </w:r>
            <w:r>
              <w:rPr>
                <w:noProof/>
                <w:webHidden/>
              </w:rPr>
              <w:fldChar w:fldCharType="end"/>
            </w:r>
          </w:hyperlink>
        </w:p>
        <w:p w14:paraId="6241EDE1" w14:textId="06E0CA05"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970" w:history="1">
            <w:r w:rsidRPr="001D4C20">
              <w:rPr>
                <w:rStyle w:val="Lienhypertexte"/>
                <w:noProof/>
              </w:rPr>
              <w:t>54.11 Reconnaissance du support (examens complémentaires) CCTB 01.02</w:t>
            </w:r>
            <w:r>
              <w:rPr>
                <w:noProof/>
                <w:webHidden/>
              </w:rPr>
              <w:tab/>
            </w:r>
            <w:r>
              <w:rPr>
                <w:noProof/>
                <w:webHidden/>
              </w:rPr>
              <w:fldChar w:fldCharType="begin"/>
            </w:r>
            <w:r>
              <w:rPr>
                <w:noProof/>
                <w:webHidden/>
              </w:rPr>
              <w:instrText xml:space="preserve"> PAGEREF _Toc220490970 \h </w:instrText>
            </w:r>
            <w:r>
              <w:rPr>
                <w:noProof/>
                <w:webHidden/>
              </w:rPr>
            </w:r>
            <w:r>
              <w:rPr>
                <w:noProof/>
                <w:webHidden/>
              </w:rPr>
              <w:fldChar w:fldCharType="separate"/>
            </w:r>
            <w:r>
              <w:rPr>
                <w:noProof/>
                <w:webHidden/>
              </w:rPr>
              <w:t>461</w:t>
            </w:r>
            <w:r>
              <w:rPr>
                <w:noProof/>
                <w:webHidden/>
              </w:rPr>
              <w:fldChar w:fldCharType="end"/>
            </w:r>
          </w:hyperlink>
        </w:p>
        <w:p w14:paraId="164FAB8E" w14:textId="7EA21BF1"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71" w:history="1">
            <w:r w:rsidRPr="001D4C20">
              <w:rPr>
                <w:rStyle w:val="Lienhypertexte"/>
                <w:noProof/>
              </w:rPr>
              <w:t>54.11.1 Reconnaissance du support - Mesure de l'humidité du support CCTB 01.02</w:t>
            </w:r>
            <w:r>
              <w:rPr>
                <w:noProof/>
                <w:webHidden/>
              </w:rPr>
              <w:tab/>
            </w:r>
            <w:r>
              <w:rPr>
                <w:noProof/>
                <w:webHidden/>
              </w:rPr>
              <w:fldChar w:fldCharType="begin"/>
            </w:r>
            <w:r>
              <w:rPr>
                <w:noProof/>
                <w:webHidden/>
              </w:rPr>
              <w:instrText xml:space="preserve"> PAGEREF _Toc220490971 \h </w:instrText>
            </w:r>
            <w:r>
              <w:rPr>
                <w:noProof/>
                <w:webHidden/>
              </w:rPr>
            </w:r>
            <w:r>
              <w:rPr>
                <w:noProof/>
                <w:webHidden/>
              </w:rPr>
              <w:fldChar w:fldCharType="separate"/>
            </w:r>
            <w:r>
              <w:rPr>
                <w:noProof/>
                <w:webHidden/>
              </w:rPr>
              <w:t>461</w:t>
            </w:r>
            <w:r>
              <w:rPr>
                <w:noProof/>
                <w:webHidden/>
              </w:rPr>
              <w:fldChar w:fldCharType="end"/>
            </w:r>
          </w:hyperlink>
        </w:p>
        <w:p w14:paraId="09751FC3" w14:textId="0668BB2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72" w:history="1">
            <w:r w:rsidRPr="001D4C20">
              <w:rPr>
                <w:rStyle w:val="Lienhypertexte"/>
                <w:noProof/>
              </w:rPr>
              <w:t>54.11.1a Reconnaissance du support - Mesure de l'humidité du support CCTB 01.02</w:t>
            </w:r>
            <w:r>
              <w:rPr>
                <w:noProof/>
                <w:webHidden/>
              </w:rPr>
              <w:tab/>
            </w:r>
            <w:r>
              <w:rPr>
                <w:noProof/>
                <w:webHidden/>
              </w:rPr>
              <w:fldChar w:fldCharType="begin"/>
            </w:r>
            <w:r>
              <w:rPr>
                <w:noProof/>
                <w:webHidden/>
              </w:rPr>
              <w:instrText xml:space="preserve"> PAGEREF _Toc220490972 \h </w:instrText>
            </w:r>
            <w:r>
              <w:rPr>
                <w:noProof/>
                <w:webHidden/>
              </w:rPr>
            </w:r>
            <w:r>
              <w:rPr>
                <w:noProof/>
                <w:webHidden/>
              </w:rPr>
              <w:fldChar w:fldCharType="separate"/>
            </w:r>
            <w:r>
              <w:rPr>
                <w:noProof/>
                <w:webHidden/>
              </w:rPr>
              <w:t>461</w:t>
            </w:r>
            <w:r>
              <w:rPr>
                <w:noProof/>
                <w:webHidden/>
              </w:rPr>
              <w:fldChar w:fldCharType="end"/>
            </w:r>
          </w:hyperlink>
        </w:p>
        <w:p w14:paraId="6D501FA7" w14:textId="17F4EB3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73" w:history="1">
            <w:r w:rsidRPr="001D4C20">
              <w:rPr>
                <w:rStyle w:val="Lienhypertexte"/>
                <w:noProof/>
              </w:rPr>
              <w:t>54.11.2 Reconnaissance du support - Contrôle de la cohésion du support CCTB 01.02</w:t>
            </w:r>
            <w:r>
              <w:rPr>
                <w:noProof/>
                <w:webHidden/>
              </w:rPr>
              <w:tab/>
            </w:r>
            <w:r>
              <w:rPr>
                <w:noProof/>
                <w:webHidden/>
              </w:rPr>
              <w:fldChar w:fldCharType="begin"/>
            </w:r>
            <w:r>
              <w:rPr>
                <w:noProof/>
                <w:webHidden/>
              </w:rPr>
              <w:instrText xml:space="preserve"> PAGEREF _Toc220490973 \h </w:instrText>
            </w:r>
            <w:r>
              <w:rPr>
                <w:noProof/>
                <w:webHidden/>
              </w:rPr>
            </w:r>
            <w:r>
              <w:rPr>
                <w:noProof/>
                <w:webHidden/>
              </w:rPr>
              <w:fldChar w:fldCharType="separate"/>
            </w:r>
            <w:r>
              <w:rPr>
                <w:noProof/>
                <w:webHidden/>
              </w:rPr>
              <w:t>461</w:t>
            </w:r>
            <w:r>
              <w:rPr>
                <w:noProof/>
                <w:webHidden/>
              </w:rPr>
              <w:fldChar w:fldCharType="end"/>
            </w:r>
          </w:hyperlink>
        </w:p>
        <w:p w14:paraId="35DB4321" w14:textId="2345F9D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74" w:history="1">
            <w:r w:rsidRPr="001D4C20">
              <w:rPr>
                <w:rStyle w:val="Lienhypertexte"/>
                <w:noProof/>
              </w:rPr>
              <w:t>54.11.2a Reconnaissance du support - Contrôle de la cohésion du support CCTB 01.02</w:t>
            </w:r>
            <w:r>
              <w:rPr>
                <w:noProof/>
                <w:webHidden/>
              </w:rPr>
              <w:tab/>
            </w:r>
            <w:r>
              <w:rPr>
                <w:noProof/>
                <w:webHidden/>
              </w:rPr>
              <w:fldChar w:fldCharType="begin"/>
            </w:r>
            <w:r>
              <w:rPr>
                <w:noProof/>
                <w:webHidden/>
              </w:rPr>
              <w:instrText xml:space="preserve"> PAGEREF _Toc220490974 \h </w:instrText>
            </w:r>
            <w:r>
              <w:rPr>
                <w:noProof/>
                <w:webHidden/>
              </w:rPr>
            </w:r>
            <w:r>
              <w:rPr>
                <w:noProof/>
                <w:webHidden/>
              </w:rPr>
              <w:fldChar w:fldCharType="separate"/>
            </w:r>
            <w:r>
              <w:rPr>
                <w:noProof/>
                <w:webHidden/>
              </w:rPr>
              <w:t>461</w:t>
            </w:r>
            <w:r>
              <w:rPr>
                <w:noProof/>
                <w:webHidden/>
              </w:rPr>
              <w:fldChar w:fldCharType="end"/>
            </w:r>
          </w:hyperlink>
        </w:p>
        <w:p w14:paraId="37AB0D66" w14:textId="6425775D"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75" w:history="1">
            <w:r w:rsidRPr="001D4C20">
              <w:rPr>
                <w:rStyle w:val="Lienhypertexte"/>
                <w:noProof/>
              </w:rPr>
              <w:t>54.11.3 Reconnaissance du support - Contrôle d'adhérence du support CCTB 01.02</w:t>
            </w:r>
            <w:r>
              <w:rPr>
                <w:noProof/>
                <w:webHidden/>
              </w:rPr>
              <w:tab/>
            </w:r>
            <w:r>
              <w:rPr>
                <w:noProof/>
                <w:webHidden/>
              </w:rPr>
              <w:fldChar w:fldCharType="begin"/>
            </w:r>
            <w:r>
              <w:rPr>
                <w:noProof/>
                <w:webHidden/>
              </w:rPr>
              <w:instrText xml:space="preserve"> PAGEREF _Toc220490975 \h </w:instrText>
            </w:r>
            <w:r>
              <w:rPr>
                <w:noProof/>
                <w:webHidden/>
              </w:rPr>
            </w:r>
            <w:r>
              <w:rPr>
                <w:noProof/>
                <w:webHidden/>
              </w:rPr>
              <w:fldChar w:fldCharType="separate"/>
            </w:r>
            <w:r>
              <w:rPr>
                <w:noProof/>
                <w:webHidden/>
              </w:rPr>
              <w:t>461</w:t>
            </w:r>
            <w:r>
              <w:rPr>
                <w:noProof/>
                <w:webHidden/>
              </w:rPr>
              <w:fldChar w:fldCharType="end"/>
            </w:r>
          </w:hyperlink>
        </w:p>
        <w:p w14:paraId="382DD5AD" w14:textId="021AB2D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76" w:history="1">
            <w:r w:rsidRPr="001D4C20">
              <w:rPr>
                <w:rStyle w:val="Lienhypertexte"/>
                <w:noProof/>
              </w:rPr>
              <w:t>54.11.3a Reconnaissance du support - Contrôle d'adhérence du support CCTB 01.10</w:t>
            </w:r>
            <w:r>
              <w:rPr>
                <w:noProof/>
                <w:webHidden/>
              </w:rPr>
              <w:tab/>
            </w:r>
            <w:r>
              <w:rPr>
                <w:noProof/>
                <w:webHidden/>
              </w:rPr>
              <w:fldChar w:fldCharType="begin"/>
            </w:r>
            <w:r>
              <w:rPr>
                <w:noProof/>
                <w:webHidden/>
              </w:rPr>
              <w:instrText xml:space="preserve"> PAGEREF _Toc220490976 \h </w:instrText>
            </w:r>
            <w:r>
              <w:rPr>
                <w:noProof/>
                <w:webHidden/>
              </w:rPr>
            </w:r>
            <w:r>
              <w:rPr>
                <w:noProof/>
                <w:webHidden/>
              </w:rPr>
              <w:fldChar w:fldCharType="separate"/>
            </w:r>
            <w:r>
              <w:rPr>
                <w:noProof/>
                <w:webHidden/>
              </w:rPr>
              <w:t>461</w:t>
            </w:r>
            <w:r>
              <w:rPr>
                <w:noProof/>
                <w:webHidden/>
              </w:rPr>
              <w:fldChar w:fldCharType="end"/>
            </w:r>
          </w:hyperlink>
        </w:p>
        <w:p w14:paraId="516B1C99" w14:textId="795EA700"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77" w:history="1">
            <w:r w:rsidRPr="001D4C20">
              <w:rPr>
                <w:rStyle w:val="Lienhypertexte"/>
                <w:noProof/>
              </w:rPr>
              <w:t>54.11.4 Reconnaissance du support - Autres examens complémentaires CCTB 01.02</w:t>
            </w:r>
            <w:r>
              <w:rPr>
                <w:noProof/>
                <w:webHidden/>
              </w:rPr>
              <w:tab/>
            </w:r>
            <w:r>
              <w:rPr>
                <w:noProof/>
                <w:webHidden/>
              </w:rPr>
              <w:fldChar w:fldCharType="begin"/>
            </w:r>
            <w:r>
              <w:rPr>
                <w:noProof/>
                <w:webHidden/>
              </w:rPr>
              <w:instrText xml:space="preserve"> PAGEREF _Toc220490977 \h </w:instrText>
            </w:r>
            <w:r>
              <w:rPr>
                <w:noProof/>
                <w:webHidden/>
              </w:rPr>
            </w:r>
            <w:r>
              <w:rPr>
                <w:noProof/>
                <w:webHidden/>
              </w:rPr>
              <w:fldChar w:fldCharType="separate"/>
            </w:r>
            <w:r>
              <w:rPr>
                <w:noProof/>
                <w:webHidden/>
              </w:rPr>
              <w:t>461</w:t>
            </w:r>
            <w:r>
              <w:rPr>
                <w:noProof/>
                <w:webHidden/>
              </w:rPr>
              <w:fldChar w:fldCharType="end"/>
            </w:r>
          </w:hyperlink>
        </w:p>
        <w:p w14:paraId="1534EFC1" w14:textId="22B7583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78" w:history="1">
            <w:r w:rsidRPr="001D4C20">
              <w:rPr>
                <w:rStyle w:val="Lienhypertexte"/>
                <w:noProof/>
              </w:rPr>
              <w:t>54.11.4a Reconnaissance du support - Autres examens complémentaires CCTB 01.02</w:t>
            </w:r>
            <w:r>
              <w:rPr>
                <w:noProof/>
                <w:webHidden/>
              </w:rPr>
              <w:tab/>
            </w:r>
            <w:r>
              <w:rPr>
                <w:noProof/>
                <w:webHidden/>
              </w:rPr>
              <w:fldChar w:fldCharType="begin"/>
            </w:r>
            <w:r>
              <w:rPr>
                <w:noProof/>
                <w:webHidden/>
              </w:rPr>
              <w:instrText xml:space="preserve"> PAGEREF _Toc220490978 \h </w:instrText>
            </w:r>
            <w:r>
              <w:rPr>
                <w:noProof/>
                <w:webHidden/>
              </w:rPr>
            </w:r>
            <w:r>
              <w:rPr>
                <w:noProof/>
                <w:webHidden/>
              </w:rPr>
              <w:fldChar w:fldCharType="separate"/>
            </w:r>
            <w:r>
              <w:rPr>
                <w:noProof/>
                <w:webHidden/>
              </w:rPr>
              <w:t>461</w:t>
            </w:r>
            <w:r>
              <w:rPr>
                <w:noProof/>
                <w:webHidden/>
              </w:rPr>
              <w:fldChar w:fldCharType="end"/>
            </w:r>
          </w:hyperlink>
        </w:p>
        <w:p w14:paraId="2ADE6E3F" w14:textId="61837CDF"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979" w:history="1">
            <w:r w:rsidRPr="001D4C20">
              <w:rPr>
                <w:rStyle w:val="Lienhypertexte"/>
                <w:noProof/>
              </w:rPr>
              <w:t>54.12 Préparations du support CCTB 01.02</w:t>
            </w:r>
            <w:r>
              <w:rPr>
                <w:noProof/>
                <w:webHidden/>
              </w:rPr>
              <w:tab/>
            </w:r>
            <w:r>
              <w:rPr>
                <w:noProof/>
                <w:webHidden/>
              </w:rPr>
              <w:fldChar w:fldCharType="begin"/>
            </w:r>
            <w:r>
              <w:rPr>
                <w:noProof/>
                <w:webHidden/>
              </w:rPr>
              <w:instrText xml:space="preserve"> PAGEREF _Toc220490979 \h </w:instrText>
            </w:r>
            <w:r>
              <w:rPr>
                <w:noProof/>
                <w:webHidden/>
              </w:rPr>
            </w:r>
            <w:r>
              <w:rPr>
                <w:noProof/>
                <w:webHidden/>
              </w:rPr>
              <w:fldChar w:fldCharType="separate"/>
            </w:r>
            <w:r>
              <w:rPr>
                <w:noProof/>
                <w:webHidden/>
              </w:rPr>
              <w:t>461</w:t>
            </w:r>
            <w:r>
              <w:rPr>
                <w:noProof/>
                <w:webHidden/>
              </w:rPr>
              <w:fldChar w:fldCharType="end"/>
            </w:r>
          </w:hyperlink>
        </w:p>
        <w:p w14:paraId="32382408" w14:textId="00DF413B"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80" w:history="1">
            <w:r w:rsidRPr="001D4C20">
              <w:rPr>
                <w:rStyle w:val="Lienhypertexte"/>
                <w:noProof/>
              </w:rPr>
              <w:t>54.12.1 Préparations du support - décapage CCTB 01.02</w:t>
            </w:r>
            <w:r>
              <w:rPr>
                <w:noProof/>
                <w:webHidden/>
              </w:rPr>
              <w:tab/>
            </w:r>
            <w:r>
              <w:rPr>
                <w:noProof/>
                <w:webHidden/>
              </w:rPr>
              <w:fldChar w:fldCharType="begin"/>
            </w:r>
            <w:r>
              <w:rPr>
                <w:noProof/>
                <w:webHidden/>
              </w:rPr>
              <w:instrText xml:space="preserve"> PAGEREF _Toc220490980 \h </w:instrText>
            </w:r>
            <w:r>
              <w:rPr>
                <w:noProof/>
                <w:webHidden/>
              </w:rPr>
            </w:r>
            <w:r>
              <w:rPr>
                <w:noProof/>
                <w:webHidden/>
              </w:rPr>
              <w:fldChar w:fldCharType="separate"/>
            </w:r>
            <w:r>
              <w:rPr>
                <w:noProof/>
                <w:webHidden/>
              </w:rPr>
              <w:t>461</w:t>
            </w:r>
            <w:r>
              <w:rPr>
                <w:noProof/>
                <w:webHidden/>
              </w:rPr>
              <w:fldChar w:fldCharType="end"/>
            </w:r>
          </w:hyperlink>
        </w:p>
        <w:p w14:paraId="2ECB02C6" w14:textId="279D521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81" w:history="1">
            <w:r w:rsidRPr="001D4C20">
              <w:rPr>
                <w:rStyle w:val="Lienhypertexte"/>
                <w:noProof/>
              </w:rPr>
              <w:t>54.12.1a Préparations du support - décapage - élimination d'efflorescences CCTB 01.02</w:t>
            </w:r>
            <w:r>
              <w:rPr>
                <w:noProof/>
                <w:webHidden/>
              </w:rPr>
              <w:tab/>
            </w:r>
            <w:r>
              <w:rPr>
                <w:noProof/>
                <w:webHidden/>
              </w:rPr>
              <w:fldChar w:fldCharType="begin"/>
            </w:r>
            <w:r>
              <w:rPr>
                <w:noProof/>
                <w:webHidden/>
              </w:rPr>
              <w:instrText xml:space="preserve"> PAGEREF _Toc220490981 \h </w:instrText>
            </w:r>
            <w:r>
              <w:rPr>
                <w:noProof/>
                <w:webHidden/>
              </w:rPr>
            </w:r>
            <w:r>
              <w:rPr>
                <w:noProof/>
                <w:webHidden/>
              </w:rPr>
              <w:fldChar w:fldCharType="separate"/>
            </w:r>
            <w:r>
              <w:rPr>
                <w:noProof/>
                <w:webHidden/>
              </w:rPr>
              <w:t>461</w:t>
            </w:r>
            <w:r>
              <w:rPr>
                <w:noProof/>
                <w:webHidden/>
              </w:rPr>
              <w:fldChar w:fldCharType="end"/>
            </w:r>
          </w:hyperlink>
        </w:p>
        <w:p w14:paraId="3D3644CA" w14:textId="6431A88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82" w:history="1">
            <w:r w:rsidRPr="001D4C20">
              <w:rPr>
                <w:rStyle w:val="Lienhypertexte"/>
                <w:noProof/>
              </w:rPr>
              <w:t>54.12.1b Préparations du support - décapage - élimination d'éléments non adhérents en surface CCTB 01.02</w:t>
            </w:r>
            <w:r>
              <w:rPr>
                <w:noProof/>
                <w:webHidden/>
              </w:rPr>
              <w:tab/>
            </w:r>
            <w:r>
              <w:rPr>
                <w:noProof/>
                <w:webHidden/>
              </w:rPr>
              <w:fldChar w:fldCharType="begin"/>
            </w:r>
            <w:r>
              <w:rPr>
                <w:noProof/>
                <w:webHidden/>
              </w:rPr>
              <w:instrText xml:space="preserve"> PAGEREF _Toc220490982 \h </w:instrText>
            </w:r>
            <w:r>
              <w:rPr>
                <w:noProof/>
                <w:webHidden/>
              </w:rPr>
            </w:r>
            <w:r>
              <w:rPr>
                <w:noProof/>
                <w:webHidden/>
              </w:rPr>
              <w:fldChar w:fldCharType="separate"/>
            </w:r>
            <w:r>
              <w:rPr>
                <w:noProof/>
                <w:webHidden/>
              </w:rPr>
              <w:t>461</w:t>
            </w:r>
            <w:r>
              <w:rPr>
                <w:noProof/>
                <w:webHidden/>
              </w:rPr>
              <w:fldChar w:fldCharType="end"/>
            </w:r>
          </w:hyperlink>
        </w:p>
        <w:p w14:paraId="65F9D192" w14:textId="310F878F"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83" w:history="1">
            <w:r w:rsidRPr="001D4C20">
              <w:rPr>
                <w:rStyle w:val="Lienhypertexte"/>
                <w:noProof/>
              </w:rPr>
              <w:t>54.12.2 Préparations du support - prétraitements CCTB 01.02</w:t>
            </w:r>
            <w:r>
              <w:rPr>
                <w:noProof/>
                <w:webHidden/>
              </w:rPr>
              <w:tab/>
            </w:r>
            <w:r>
              <w:rPr>
                <w:noProof/>
                <w:webHidden/>
              </w:rPr>
              <w:fldChar w:fldCharType="begin"/>
            </w:r>
            <w:r>
              <w:rPr>
                <w:noProof/>
                <w:webHidden/>
              </w:rPr>
              <w:instrText xml:space="preserve"> PAGEREF _Toc220490983 \h </w:instrText>
            </w:r>
            <w:r>
              <w:rPr>
                <w:noProof/>
                <w:webHidden/>
              </w:rPr>
            </w:r>
            <w:r>
              <w:rPr>
                <w:noProof/>
                <w:webHidden/>
              </w:rPr>
              <w:fldChar w:fldCharType="separate"/>
            </w:r>
            <w:r>
              <w:rPr>
                <w:noProof/>
                <w:webHidden/>
              </w:rPr>
              <w:t>461</w:t>
            </w:r>
            <w:r>
              <w:rPr>
                <w:noProof/>
                <w:webHidden/>
              </w:rPr>
              <w:fldChar w:fldCharType="end"/>
            </w:r>
          </w:hyperlink>
        </w:p>
        <w:p w14:paraId="3BE9C63A" w14:textId="400817F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84" w:history="1">
            <w:r w:rsidRPr="001D4C20">
              <w:rPr>
                <w:rStyle w:val="Lienhypertexte"/>
                <w:noProof/>
              </w:rPr>
              <w:t>54.12.2a Préparations du support - prétraitements - couches d'accrochage CCTB 01.02</w:t>
            </w:r>
            <w:r>
              <w:rPr>
                <w:noProof/>
                <w:webHidden/>
              </w:rPr>
              <w:tab/>
            </w:r>
            <w:r>
              <w:rPr>
                <w:noProof/>
                <w:webHidden/>
              </w:rPr>
              <w:fldChar w:fldCharType="begin"/>
            </w:r>
            <w:r>
              <w:rPr>
                <w:noProof/>
                <w:webHidden/>
              </w:rPr>
              <w:instrText xml:space="preserve"> PAGEREF _Toc220490984 \h </w:instrText>
            </w:r>
            <w:r>
              <w:rPr>
                <w:noProof/>
                <w:webHidden/>
              </w:rPr>
            </w:r>
            <w:r>
              <w:rPr>
                <w:noProof/>
                <w:webHidden/>
              </w:rPr>
              <w:fldChar w:fldCharType="separate"/>
            </w:r>
            <w:r>
              <w:rPr>
                <w:noProof/>
                <w:webHidden/>
              </w:rPr>
              <w:t>461</w:t>
            </w:r>
            <w:r>
              <w:rPr>
                <w:noProof/>
                <w:webHidden/>
              </w:rPr>
              <w:fldChar w:fldCharType="end"/>
            </w:r>
          </w:hyperlink>
        </w:p>
        <w:p w14:paraId="12666009" w14:textId="2EA735A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85" w:history="1">
            <w:r w:rsidRPr="001D4C20">
              <w:rPr>
                <w:rStyle w:val="Lienhypertexte"/>
                <w:noProof/>
              </w:rPr>
              <w:t>54.12.2b Préparations du support - prétraitements - primaires d'imprégnation pour support absorbant CCTB 01.02</w:t>
            </w:r>
            <w:r>
              <w:rPr>
                <w:noProof/>
                <w:webHidden/>
              </w:rPr>
              <w:tab/>
            </w:r>
            <w:r>
              <w:rPr>
                <w:noProof/>
                <w:webHidden/>
              </w:rPr>
              <w:fldChar w:fldCharType="begin"/>
            </w:r>
            <w:r>
              <w:rPr>
                <w:noProof/>
                <w:webHidden/>
              </w:rPr>
              <w:instrText xml:space="preserve"> PAGEREF _Toc220490985 \h </w:instrText>
            </w:r>
            <w:r>
              <w:rPr>
                <w:noProof/>
                <w:webHidden/>
              </w:rPr>
            </w:r>
            <w:r>
              <w:rPr>
                <w:noProof/>
                <w:webHidden/>
              </w:rPr>
              <w:fldChar w:fldCharType="separate"/>
            </w:r>
            <w:r>
              <w:rPr>
                <w:noProof/>
                <w:webHidden/>
              </w:rPr>
              <w:t>462</w:t>
            </w:r>
            <w:r>
              <w:rPr>
                <w:noProof/>
                <w:webHidden/>
              </w:rPr>
              <w:fldChar w:fldCharType="end"/>
            </w:r>
          </w:hyperlink>
        </w:p>
        <w:p w14:paraId="7C7EFF40" w14:textId="3A9CAF9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86" w:history="1">
            <w:r w:rsidRPr="001D4C20">
              <w:rPr>
                <w:rStyle w:val="Lienhypertexte"/>
                <w:noProof/>
              </w:rPr>
              <w:t>54.12.3 Préparations du support - renforcement armature (pontage) CCTB 01.10</w:t>
            </w:r>
            <w:r>
              <w:rPr>
                <w:noProof/>
                <w:webHidden/>
              </w:rPr>
              <w:tab/>
            </w:r>
            <w:r>
              <w:rPr>
                <w:noProof/>
                <w:webHidden/>
              </w:rPr>
              <w:fldChar w:fldCharType="begin"/>
            </w:r>
            <w:r>
              <w:rPr>
                <w:noProof/>
                <w:webHidden/>
              </w:rPr>
              <w:instrText xml:space="preserve"> PAGEREF _Toc220490986 \h </w:instrText>
            </w:r>
            <w:r>
              <w:rPr>
                <w:noProof/>
                <w:webHidden/>
              </w:rPr>
            </w:r>
            <w:r>
              <w:rPr>
                <w:noProof/>
                <w:webHidden/>
              </w:rPr>
              <w:fldChar w:fldCharType="separate"/>
            </w:r>
            <w:r>
              <w:rPr>
                <w:noProof/>
                <w:webHidden/>
              </w:rPr>
              <w:t>462</w:t>
            </w:r>
            <w:r>
              <w:rPr>
                <w:noProof/>
                <w:webHidden/>
              </w:rPr>
              <w:fldChar w:fldCharType="end"/>
            </w:r>
          </w:hyperlink>
        </w:p>
        <w:p w14:paraId="2F132D1E" w14:textId="64BCBE9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87" w:history="1">
            <w:r w:rsidRPr="001D4C20">
              <w:rPr>
                <w:rStyle w:val="Lienhypertexte"/>
                <w:noProof/>
              </w:rPr>
              <w:t>54.12.3a Préparations du support - renforcement armature (pontage) - métallique CCTB 01.02</w:t>
            </w:r>
            <w:r>
              <w:rPr>
                <w:noProof/>
                <w:webHidden/>
              </w:rPr>
              <w:tab/>
            </w:r>
            <w:r>
              <w:rPr>
                <w:noProof/>
                <w:webHidden/>
              </w:rPr>
              <w:fldChar w:fldCharType="begin"/>
            </w:r>
            <w:r>
              <w:rPr>
                <w:noProof/>
                <w:webHidden/>
              </w:rPr>
              <w:instrText xml:space="preserve"> PAGEREF _Toc220490987 \h </w:instrText>
            </w:r>
            <w:r>
              <w:rPr>
                <w:noProof/>
                <w:webHidden/>
              </w:rPr>
            </w:r>
            <w:r>
              <w:rPr>
                <w:noProof/>
                <w:webHidden/>
              </w:rPr>
              <w:fldChar w:fldCharType="separate"/>
            </w:r>
            <w:r>
              <w:rPr>
                <w:noProof/>
                <w:webHidden/>
              </w:rPr>
              <w:t>462</w:t>
            </w:r>
            <w:r>
              <w:rPr>
                <w:noProof/>
                <w:webHidden/>
              </w:rPr>
              <w:fldChar w:fldCharType="end"/>
            </w:r>
          </w:hyperlink>
        </w:p>
        <w:p w14:paraId="0DB69CE9" w14:textId="6934512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88" w:history="1">
            <w:r w:rsidRPr="001D4C20">
              <w:rPr>
                <w:rStyle w:val="Lienhypertexte"/>
                <w:noProof/>
              </w:rPr>
              <w:t>54.12.3b Préparations du support - renforcement armature (pontage) - en fibres de verre CCTB 01.02</w:t>
            </w:r>
            <w:r>
              <w:rPr>
                <w:noProof/>
                <w:webHidden/>
              </w:rPr>
              <w:tab/>
            </w:r>
            <w:r>
              <w:rPr>
                <w:noProof/>
                <w:webHidden/>
              </w:rPr>
              <w:fldChar w:fldCharType="begin"/>
            </w:r>
            <w:r>
              <w:rPr>
                <w:noProof/>
                <w:webHidden/>
              </w:rPr>
              <w:instrText xml:space="preserve"> PAGEREF _Toc220490988 \h </w:instrText>
            </w:r>
            <w:r>
              <w:rPr>
                <w:noProof/>
                <w:webHidden/>
              </w:rPr>
            </w:r>
            <w:r>
              <w:rPr>
                <w:noProof/>
                <w:webHidden/>
              </w:rPr>
              <w:fldChar w:fldCharType="separate"/>
            </w:r>
            <w:r>
              <w:rPr>
                <w:noProof/>
                <w:webHidden/>
              </w:rPr>
              <w:t>462</w:t>
            </w:r>
            <w:r>
              <w:rPr>
                <w:noProof/>
                <w:webHidden/>
              </w:rPr>
              <w:fldChar w:fldCharType="end"/>
            </w:r>
          </w:hyperlink>
        </w:p>
        <w:p w14:paraId="31AE5549" w14:textId="6CD1AF6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89" w:history="1">
            <w:r w:rsidRPr="001D4C20">
              <w:rPr>
                <w:rStyle w:val="Lienhypertexte"/>
                <w:noProof/>
              </w:rPr>
              <w:t>54.12.3c Préparations du support - renforcement armature (pontage) - synthétiques CCTB 01.02</w:t>
            </w:r>
            <w:r>
              <w:rPr>
                <w:noProof/>
                <w:webHidden/>
              </w:rPr>
              <w:tab/>
            </w:r>
            <w:r>
              <w:rPr>
                <w:noProof/>
                <w:webHidden/>
              </w:rPr>
              <w:fldChar w:fldCharType="begin"/>
            </w:r>
            <w:r>
              <w:rPr>
                <w:noProof/>
                <w:webHidden/>
              </w:rPr>
              <w:instrText xml:space="preserve"> PAGEREF _Toc220490989 \h </w:instrText>
            </w:r>
            <w:r>
              <w:rPr>
                <w:noProof/>
                <w:webHidden/>
              </w:rPr>
            </w:r>
            <w:r>
              <w:rPr>
                <w:noProof/>
                <w:webHidden/>
              </w:rPr>
              <w:fldChar w:fldCharType="separate"/>
            </w:r>
            <w:r>
              <w:rPr>
                <w:noProof/>
                <w:webHidden/>
              </w:rPr>
              <w:t>462</w:t>
            </w:r>
            <w:r>
              <w:rPr>
                <w:noProof/>
                <w:webHidden/>
              </w:rPr>
              <w:fldChar w:fldCharType="end"/>
            </w:r>
          </w:hyperlink>
        </w:p>
        <w:p w14:paraId="080AA5AB" w14:textId="641D1BB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90" w:history="1">
            <w:r w:rsidRPr="001D4C20">
              <w:rPr>
                <w:rStyle w:val="Lienhypertexte"/>
                <w:noProof/>
              </w:rPr>
              <w:t>54.12.3d Préparations du support - renforcement armature (pontage) - en métal déployé CCTB 01.02</w:t>
            </w:r>
            <w:r>
              <w:rPr>
                <w:noProof/>
                <w:webHidden/>
              </w:rPr>
              <w:tab/>
            </w:r>
            <w:r>
              <w:rPr>
                <w:noProof/>
                <w:webHidden/>
              </w:rPr>
              <w:fldChar w:fldCharType="begin"/>
            </w:r>
            <w:r>
              <w:rPr>
                <w:noProof/>
                <w:webHidden/>
              </w:rPr>
              <w:instrText xml:space="preserve"> PAGEREF _Toc220490990 \h </w:instrText>
            </w:r>
            <w:r>
              <w:rPr>
                <w:noProof/>
                <w:webHidden/>
              </w:rPr>
            </w:r>
            <w:r>
              <w:rPr>
                <w:noProof/>
                <w:webHidden/>
              </w:rPr>
              <w:fldChar w:fldCharType="separate"/>
            </w:r>
            <w:r>
              <w:rPr>
                <w:noProof/>
                <w:webHidden/>
              </w:rPr>
              <w:t>462</w:t>
            </w:r>
            <w:r>
              <w:rPr>
                <w:noProof/>
                <w:webHidden/>
              </w:rPr>
              <w:fldChar w:fldCharType="end"/>
            </w:r>
          </w:hyperlink>
        </w:p>
        <w:p w14:paraId="1B8243ED" w14:textId="2C36070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91" w:history="1">
            <w:r w:rsidRPr="001D4C20">
              <w:rPr>
                <w:rStyle w:val="Lienhypertexte"/>
                <w:noProof/>
              </w:rPr>
              <w:t>54.12.4 Préparations du support - profilés d'arrêt CCTB 01.02</w:t>
            </w:r>
            <w:r>
              <w:rPr>
                <w:noProof/>
                <w:webHidden/>
              </w:rPr>
              <w:tab/>
            </w:r>
            <w:r>
              <w:rPr>
                <w:noProof/>
                <w:webHidden/>
              </w:rPr>
              <w:fldChar w:fldCharType="begin"/>
            </w:r>
            <w:r>
              <w:rPr>
                <w:noProof/>
                <w:webHidden/>
              </w:rPr>
              <w:instrText xml:space="preserve"> PAGEREF _Toc220490991 \h </w:instrText>
            </w:r>
            <w:r>
              <w:rPr>
                <w:noProof/>
                <w:webHidden/>
              </w:rPr>
            </w:r>
            <w:r>
              <w:rPr>
                <w:noProof/>
                <w:webHidden/>
              </w:rPr>
              <w:fldChar w:fldCharType="separate"/>
            </w:r>
            <w:r>
              <w:rPr>
                <w:noProof/>
                <w:webHidden/>
              </w:rPr>
              <w:t>462</w:t>
            </w:r>
            <w:r>
              <w:rPr>
                <w:noProof/>
                <w:webHidden/>
              </w:rPr>
              <w:fldChar w:fldCharType="end"/>
            </w:r>
          </w:hyperlink>
        </w:p>
        <w:p w14:paraId="6F74946A" w14:textId="3709A37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92" w:history="1">
            <w:r w:rsidRPr="001D4C20">
              <w:rPr>
                <w:rStyle w:val="Lienhypertexte"/>
                <w:noProof/>
              </w:rPr>
              <w:t>54.12.4a Préparations du support - profilés d'arrêt CCTB 01.02</w:t>
            </w:r>
            <w:r>
              <w:rPr>
                <w:noProof/>
                <w:webHidden/>
              </w:rPr>
              <w:tab/>
            </w:r>
            <w:r>
              <w:rPr>
                <w:noProof/>
                <w:webHidden/>
              </w:rPr>
              <w:fldChar w:fldCharType="begin"/>
            </w:r>
            <w:r>
              <w:rPr>
                <w:noProof/>
                <w:webHidden/>
              </w:rPr>
              <w:instrText xml:space="preserve"> PAGEREF _Toc220490992 \h </w:instrText>
            </w:r>
            <w:r>
              <w:rPr>
                <w:noProof/>
                <w:webHidden/>
              </w:rPr>
            </w:r>
            <w:r>
              <w:rPr>
                <w:noProof/>
                <w:webHidden/>
              </w:rPr>
              <w:fldChar w:fldCharType="separate"/>
            </w:r>
            <w:r>
              <w:rPr>
                <w:noProof/>
                <w:webHidden/>
              </w:rPr>
              <w:t>462</w:t>
            </w:r>
            <w:r>
              <w:rPr>
                <w:noProof/>
                <w:webHidden/>
              </w:rPr>
              <w:fldChar w:fldCharType="end"/>
            </w:r>
          </w:hyperlink>
        </w:p>
        <w:p w14:paraId="666EA4FC" w14:textId="1B60EDB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93" w:history="1">
            <w:r w:rsidRPr="001D4C20">
              <w:rPr>
                <w:rStyle w:val="Lienhypertexte"/>
                <w:noProof/>
              </w:rPr>
              <w:t>54.12.4b Préparations du support - profilés d'angle CCTB 01.02</w:t>
            </w:r>
            <w:r>
              <w:rPr>
                <w:noProof/>
                <w:webHidden/>
              </w:rPr>
              <w:tab/>
            </w:r>
            <w:r>
              <w:rPr>
                <w:noProof/>
                <w:webHidden/>
              </w:rPr>
              <w:fldChar w:fldCharType="begin"/>
            </w:r>
            <w:r>
              <w:rPr>
                <w:noProof/>
                <w:webHidden/>
              </w:rPr>
              <w:instrText xml:space="preserve"> PAGEREF _Toc220490993 \h </w:instrText>
            </w:r>
            <w:r>
              <w:rPr>
                <w:noProof/>
                <w:webHidden/>
              </w:rPr>
            </w:r>
            <w:r>
              <w:rPr>
                <w:noProof/>
                <w:webHidden/>
              </w:rPr>
              <w:fldChar w:fldCharType="separate"/>
            </w:r>
            <w:r>
              <w:rPr>
                <w:noProof/>
                <w:webHidden/>
              </w:rPr>
              <w:t>462</w:t>
            </w:r>
            <w:r>
              <w:rPr>
                <w:noProof/>
                <w:webHidden/>
              </w:rPr>
              <w:fldChar w:fldCharType="end"/>
            </w:r>
          </w:hyperlink>
        </w:p>
        <w:p w14:paraId="3DBC48C4" w14:textId="3DE1FF6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94" w:history="1">
            <w:r w:rsidRPr="001D4C20">
              <w:rPr>
                <w:rStyle w:val="Lienhypertexte"/>
                <w:noProof/>
              </w:rPr>
              <w:t>54.12.4c Préparations du support - profilés de joint CCTB 01.02</w:t>
            </w:r>
            <w:r>
              <w:rPr>
                <w:noProof/>
                <w:webHidden/>
              </w:rPr>
              <w:tab/>
            </w:r>
            <w:r>
              <w:rPr>
                <w:noProof/>
                <w:webHidden/>
              </w:rPr>
              <w:fldChar w:fldCharType="begin"/>
            </w:r>
            <w:r>
              <w:rPr>
                <w:noProof/>
                <w:webHidden/>
              </w:rPr>
              <w:instrText xml:space="preserve"> PAGEREF _Toc220490994 \h </w:instrText>
            </w:r>
            <w:r>
              <w:rPr>
                <w:noProof/>
                <w:webHidden/>
              </w:rPr>
            </w:r>
            <w:r>
              <w:rPr>
                <w:noProof/>
                <w:webHidden/>
              </w:rPr>
              <w:fldChar w:fldCharType="separate"/>
            </w:r>
            <w:r>
              <w:rPr>
                <w:noProof/>
                <w:webHidden/>
              </w:rPr>
              <w:t>462</w:t>
            </w:r>
            <w:r>
              <w:rPr>
                <w:noProof/>
                <w:webHidden/>
              </w:rPr>
              <w:fldChar w:fldCharType="end"/>
            </w:r>
          </w:hyperlink>
        </w:p>
        <w:p w14:paraId="7B404C49" w14:textId="02A9852E"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995" w:history="1">
            <w:r w:rsidRPr="001D4C20">
              <w:rPr>
                <w:rStyle w:val="Lienhypertexte"/>
                <w:noProof/>
              </w:rPr>
              <w:t>54.13 Supports d'enduit complémentaires CCTB 01.02</w:t>
            </w:r>
            <w:r>
              <w:rPr>
                <w:noProof/>
                <w:webHidden/>
              </w:rPr>
              <w:tab/>
            </w:r>
            <w:r>
              <w:rPr>
                <w:noProof/>
                <w:webHidden/>
              </w:rPr>
              <w:fldChar w:fldCharType="begin"/>
            </w:r>
            <w:r>
              <w:rPr>
                <w:noProof/>
                <w:webHidden/>
              </w:rPr>
              <w:instrText xml:space="preserve"> PAGEREF _Toc220490995 \h </w:instrText>
            </w:r>
            <w:r>
              <w:rPr>
                <w:noProof/>
                <w:webHidden/>
              </w:rPr>
            </w:r>
            <w:r>
              <w:rPr>
                <w:noProof/>
                <w:webHidden/>
              </w:rPr>
              <w:fldChar w:fldCharType="separate"/>
            </w:r>
            <w:r>
              <w:rPr>
                <w:noProof/>
                <w:webHidden/>
              </w:rPr>
              <w:t>462</w:t>
            </w:r>
            <w:r>
              <w:rPr>
                <w:noProof/>
                <w:webHidden/>
              </w:rPr>
              <w:fldChar w:fldCharType="end"/>
            </w:r>
          </w:hyperlink>
        </w:p>
        <w:p w14:paraId="6CBB787D" w14:textId="529F6D06"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96" w:history="1">
            <w:r w:rsidRPr="001D4C20">
              <w:rPr>
                <w:rStyle w:val="Lienhypertexte"/>
                <w:noProof/>
              </w:rPr>
              <w:t>54.13.1 Supports d'enduit complémentaires - Treillis CCTB 01.10</w:t>
            </w:r>
            <w:r>
              <w:rPr>
                <w:noProof/>
                <w:webHidden/>
              </w:rPr>
              <w:tab/>
            </w:r>
            <w:r>
              <w:rPr>
                <w:noProof/>
                <w:webHidden/>
              </w:rPr>
              <w:fldChar w:fldCharType="begin"/>
            </w:r>
            <w:r>
              <w:rPr>
                <w:noProof/>
                <w:webHidden/>
              </w:rPr>
              <w:instrText xml:space="preserve"> PAGEREF _Toc220490996 \h </w:instrText>
            </w:r>
            <w:r>
              <w:rPr>
                <w:noProof/>
                <w:webHidden/>
              </w:rPr>
            </w:r>
            <w:r>
              <w:rPr>
                <w:noProof/>
                <w:webHidden/>
              </w:rPr>
              <w:fldChar w:fldCharType="separate"/>
            </w:r>
            <w:r>
              <w:rPr>
                <w:noProof/>
                <w:webHidden/>
              </w:rPr>
              <w:t>462</w:t>
            </w:r>
            <w:r>
              <w:rPr>
                <w:noProof/>
                <w:webHidden/>
              </w:rPr>
              <w:fldChar w:fldCharType="end"/>
            </w:r>
          </w:hyperlink>
        </w:p>
        <w:p w14:paraId="6F0A49DF" w14:textId="630BDA2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97" w:history="1">
            <w:r w:rsidRPr="001D4C20">
              <w:rPr>
                <w:rStyle w:val="Lienhypertexte"/>
                <w:noProof/>
              </w:rPr>
              <w:t>54.13.1a Supports d'enduit complémentaires - treillis métalliques CCTB 01.10</w:t>
            </w:r>
            <w:r>
              <w:rPr>
                <w:noProof/>
                <w:webHidden/>
              </w:rPr>
              <w:tab/>
            </w:r>
            <w:r>
              <w:rPr>
                <w:noProof/>
                <w:webHidden/>
              </w:rPr>
              <w:fldChar w:fldCharType="begin"/>
            </w:r>
            <w:r>
              <w:rPr>
                <w:noProof/>
                <w:webHidden/>
              </w:rPr>
              <w:instrText xml:space="preserve"> PAGEREF _Toc220490997 \h </w:instrText>
            </w:r>
            <w:r>
              <w:rPr>
                <w:noProof/>
                <w:webHidden/>
              </w:rPr>
            </w:r>
            <w:r>
              <w:rPr>
                <w:noProof/>
                <w:webHidden/>
              </w:rPr>
              <w:fldChar w:fldCharType="separate"/>
            </w:r>
            <w:r>
              <w:rPr>
                <w:noProof/>
                <w:webHidden/>
              </w:rPr>
              <w:t>463</w:t>
            </w:r>
            <w:r>
              <w:rPr>
                <w:noProof/>
                <w:webHidden/>
              </w:rPr>
              <w:fldChar w:fldCharType="end"/>
            </w:r>
          </w:hyperlink>
        </w:p>
        <w:p w14:paraId="78C0D097" w14:textId="3FD7563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98" w:history="1">
            <w:r w:rsidRPr="001D4C20">
              <w:rPr>
                <w:rStyle w:val="Lienhypertexte"/>
                <w:noProof/>
              </w:rPr>
              <w:t>54.13.1b Supports d'enduit complémentaires - treillis métalliques à dos cartonné (stucanet) CCTB 01.02</w:t>
            </w:r>
            <w:r>
              <w:rPr>
                <w:noProof/>
                <w:webHidden/>
              </w:rPr>
              <w:tab/>
            </w:r>
            <w:r>
              <w:rPr>
                <w:noProof/>
                <w:webHidden/>
              </w:rPr>
              <w:fldChar w:fldCharType="begin"/>
            </w:r>
            <w:r>
              <w:rPr>
                <w:noProof/>
                <w:webHidden/>
              </w:rPr>
              <w:instrText xml:space="preserve"> PAGEREF _Toc220490998 \h </w:instrText>
            </w:r>
            <w:r>
              <w:rPr>
                <w:noProof/>
                <w:webHidden/>
              </w:rPr>
            </w:r>
            <w:r>
              <w:rPr>
                <w:noProof/>
                <w:webHidden/>
              </w:rPr>
              <w:fldChar w:fldCharType="separate"/>
            </w:r>
            <w:r>
              <w:rPr>
                <w:noProof/>
                <w:webHidden/>
              </w:rPr>
              <w:t>463</w:t>
            </w:r>
            <w:r>
              <w:rPr>
                <w:noProof/>
                <w:webHidden/>
              </w:rPr>
              <w:fldChar w:fldCharType="end"/>
            </w:r>
          </w:hyperlink>
        </w:p>
        <w:p w14:paraId="180F364E" w14:textId="06A5AF8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99" w:history="1">
            <w:r w:rsidRPr="001D4C20">
              <w:rPr>
                <w:rStyle w:val="Lienhypertexte"/>
                <w:noProof/>
              </w:rPr>
              <w:t>54.13.1c Supports d'enduit complémentaires - textiles en fibres de verre CCTB 01.02</w:t>
            </w:r>
            <w:r>
              <w:rPr>
                <w:noProof/>
                <w:webHidden/>
              </w:rPr>
              <w:tab/>
            </w:r>
            <w:r>
              <w:rPr>
                <w:noProof/>
                <w:webHidden/>
              </w:rPr>
              <w:fldChar w:fldCharType="begin"/>
            </w:r>
            <w:r>
              <w:rPr>
                <w:noProof/>
                <w:webHidden/>
              </w:rPr>
              <w:instrText xml:space="preserve"> PAGEREF _Toc220490999 \h </w:instrText>
            </w:r>
            <w:r>
              <w:rPr>
                <w:noProof/>
                <w:webHidden/>
              </w:rPr>
            </w:r>
            <w:r>
              <w:rPr>
                <w:noProof/>
                <w:webHidden/>
              </w:rPr>
              <w:fldChar w:fldCharType="separate"/>
            </w:r>
            <w:r>
              <w:rPr>
                <w:noProof/>
                <w:webHidden/>
              </w:rPr>
              <w:t>463</w:t>
            </w:r>
            <w:r>
              <w:rPr>
                <w:noProof/>
                <w:webHidden/>
              </w:rPr>
              <w:fldChar w:fldCharType="end"/>
            </w:r>
          </w:hyperlink>
        </w:p>
        <w:p w14:paraId="1AA31525" w14:textId="110EB67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00" w:history="1">
            <w:r w:rsidRPr="001D4C20">
              <w:rPr>
                <w:rStyle w:val="Lienhypertexte"/>
                <w:noProof/>
              </w:rPr>
              <w:t>54.13.1d Supports d'enduit complémentaires - treillis en matière synthétique CCTB 01.02</w:t>
            </w:r>
            <w:r>
              <w:rPr>
                <w:noProof/>
                <w:webHidden/>
              </w:rPr>
              <w:tab/>
            </w:r>
            <w:r>
              <w:rPr>
                <w:noProof/>
                <w:webHidden/>
              </w:rPr>
              <w:fldChar w:fldCharType="begin"/>
            </w:r>
            <w:r>
              <w:rPr>
                <w:noProof/>
                <w:webHidden/>
              </w:rPr>
              <w:instrText xml:space="preserve"> PAGEREF _Toc220491000 \h </w:instrText>
            </w:r>
            <w:r>
              <w:rPr>
                <w:noProof/>
                <w:webHidden/>
              </w:rPr>
            </w:r>
            <w:r>
              <w:rPr>
                <w:noProof/>
                <w:webHidden/>
              </w:rPr>
              <w:fldChar w:fldCharType="separate"/>
            </w:r>
            <w:r>
              <w:rPr>
                <w:noProof/>
                <w:webHidden/>
              </w:rPr>
              <w:t>464</w:t>
            </w:r>
            <w:r>
              <w:rPr>
                <w:noProof/>
                <w:webHidden/>
              </w:rPr>
              <w:fldChar w:fldCharType="end"/>
            </w:r>
          </w:hyperlink>
        </w:p>
        <w:p w14:paraId="7D6EF8DD" w14:textId="6A28BB2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01" w:history="1">
            <w:r w:rsidRPr="001D4C20">
              <w:rPr>
                <w:rStyle w:val="Lienhypertexte"/>
                <w:noProof/>
              </w:rPr>
              <w:t>54.13.1e Supports d'enduit complémentaires - en métal déployé CCTB 01.02</w:t>
            </w:r>
            <w:r>
              <w:rPr>
                <w:noProof/>
                <w:webHidden/>
              </w:rPr>
              <w:tab/>
            </w:r>
            <w:r>
              <w:rPr>
                <w:noProof/>
                <w:webHidden/>
              </w:rPr>
              <w:fldChar w:fldCharType="begin"/>
            </w:r>
            <w:r>
              <w:rPr>
                <w:noProof/>
                <w:webHidden/>
              </w:rPr>
              <w:instrText xml:space="preserve"> PAGEREF _Toc220491001 \h </w:instrText>
            </w:r>
            <w:r>
              <w:rPr>
                <w:noProof/>
                <w:webHidden/>
              </w:rPr>
            </w:r>
            <w:r>
              <w:rPr>
                <w:noProof/>
                <w:webHidden/>
              </w:rPr>
              <w:fldChar w:fldCharType="separate"/>
            </w:r>
            <w:r>
              <w:rPr>
                <w:noProof/>
                <w:webHidden/>
              </w:rPr>
              <w:t>464</w:t>
            </w:r>
            <w:r>
              <w:rPr>
                <w:noProof/>
                <w:webHidden/>
              </w:rPr>
              <w:fldChar w:fldCharType="end"/>
            </w:r>
          </w:hyperlink>
        </w:p>
        <w:p w14:paraId="254E40FB" w14:textId="556B53C4"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02" w:history="1">
            <w:r w:rsidRPr="001D4C20">
              <w:rPr>
                <w:rStyle w:val="Lienhypertexte"/>
                <w:noProof/>
              </w:rPr>
              <w:t>54.13.2 Supports d'enduit complémentaires - autres supports CCTB 01.02</w:t>
            </w:r>
            <w:r>
              <w:rPr>
                <w:noProof/>
                <w:webHidden/>
              </w:rPr>
              <w:tab/>
            </w:r>
            <w:r>
              <w:rPr>
                <w:noProof/>
                <w:webHidden/>
              </w:rPr>
              <w:fldChar w:fldCharType="begin"/>
            </w:r>
            <w:r>
              <w:rPr>
                <w:noProof/>
                <w:webHidden/>
              </w:rPr>
              <w:instrText xml:space="preserve"> PAGEREF _Toc220491002 \h </w:instrText>
            </w:r>
            <w:r>
              <w:rPr>
                <w:noProof/>
                <w:webHidden/>
              </w:rPr>
            </w:r>
            <w:r>
              <w:rPr>
                <w:noProof/>
                <w:webHidden/>
              </w:rPr>
              <w:fldChar w:fldCharType="separate"/>
            </w:r>
            <w:r>
              <w:rPr>
                <w:noProof/>
                <w:webHidden/>
              </w:rPr>
              <w:t>464</w:t>
            </w:r>
            <w:r>
              <w:rPr>
                <w:noProof/>
                <w:webHidden/>
              </w:rPr>
              <w:fldChar w:fldCharType="end"/>
            </w:r>
          </w:hyperlink>
        </w:p>
        <w:p w14:paraId="461F990D" w14:textId="7A82BF5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03" w:history="1">
            <w:r w:rsidRPr="001D4C20">
              <w:rPr>
                <w:rStyle w:val="Lienhypertexte"/>
                <w:noProof/>
              </w:rPr>
              <w:t>54.13.2a Supports d'enduit complémentaires - Lattis CCTB 01.02</w:t>
            </w:r>
            <w:r>
              <w:rPr>
                <w:noProof/>
                <w:webHidden/>
              </w:rPr>
              <w:tab/>
            </w:r>
            <w:r>
              <w:rPr>
                <w:noProof/>
                <w:webHidden/>
              </w:rPr>
              <w:fldChar w:fldCharType="begin"/>
            </w:r>
            <w:r>
              <w:rPr>
                <w:noProof/>
                <w:webHidden/>
              </w:rPr>
              <w:instrText xml:space="preserve"> PAGEREF _Toc220491003 \h </w:instrText>
            </w:r>
            <w:r>
              <w:rPr>
                <w:noProof/>
                <w:webHidden/>
              </w:rPr>
            </w:r>
            <w:r>
              <w:rPr>
                <w:noProof/>
                <w:webHidden/>
              </w:rPr>
              <w:fldChar w:fldCharType="separate"/>
            </w:r>
            <w:r>
              <w:rPr>
                <w:noProof/>
                <w:webHidden/>
              </w:rPr>
              <w:t>464</w:t>
            </w:r>
            <w:r>
              <w:rPr>
                <w:noProof/>
                <w:webHidden/>
              </w:rPr>
              <w:fldChar w:fldCharType="end"/>
            </w:r>
          </w:hyperlink>
        </w:p>
        <w:p w14:paraId="453F6695" w14:textId="19B09A0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04" w:history="1">
            <w:r w:rsidRPr="001D4C20">
              <w:rPr>
                <w:rStyle w:val="Lienhypertexte"/>
                <w:noProof/>
              </w:rPr>
              <w:t>54.13.2b Supports d'enduit complémentaires - Nattes de roseaux CCTB 01.08</w:t>
            </w:r>
            <w:r>
              <w:rPr>
                <w:noProof/>
                <w:webHidden/>
              </w:rPr>
              <w:tab/>
            </w:r>
            <w:r>
              <w:rPr>
                <w:noProof/>
                <w:webHidden/>
              </w:rPr>
              <w:fldChar w:fldCharType="begin"/>
            </w:r>
            <w:r>
              <w:rPr>
                <w:noProof/>
                <w:webHidden/>
              </w:rPr>
              <w:instrText xml:space="preserve"> PAGEREF _Toc220491004 \h </w:instrText>
            </w:r>
            <w:r>
              <w:rPr>
                <w:noProof/>
                <w:webHidden/>
              </w:rPr>
            </w:r>
            <w:r>
              <w:rPr>
                <w:noProof/>
                <w:webHidden/>
              </w:rPr>
              <w:fldChar w:fldCharType="separate"/>
            </w:r>
            <w:r>
              <w:rPr>
                <w:noProof/>
                <w:webHidden/>
              </w:rPr>
              <w:t>464</w:t>
            </w:r>
            <w:r>
              <w:rPr>
                <w:noProof/>
                <w:webHidden/>
              </w:rPr>
              <w:fldChar w:fldCharType="end"/>
            </w:r>
          </w:hyperlink>
        </w:p>
        <w:p w14:paraId="2C4F3A52" w14:textId="591B7F7D"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005" w:history="1">
            <w:r w:rsidRPr="001D4C20">
              <w:rPr>
                <w:rStyle w:val="Lienhypertexte"/>
                <w:noProof/>
              </w:rPr>
              <w:t>54.14 Enduits à base de plâtre CCTB 01.02</w:t>
            </w:r>
            <w:r>
              <w:rPr>
                <w:noProof/>
                <w:webHidden/>
              </w:rPr>
              <w:tab/>
            </w:r>
            <w:r>
              <w:rPr>
                <w:noProof/>
                <w:webHidden/>
              </w:rPr>
              <w:fldChar w:fldCharType="begin"/>
            </w:r>
            <w:r>
              <w:rPr>
                <w:noProof/>
                <w:webHidden/>
              </w:rPr>
              <w:instrText xml:space="preserve"> PAGEREF _Toc220491005 \h </w:instrText>
            </w:r>
            <w:r>
              <w:rPr>
                <w:noProof/>
                <w:webHidden/>
              </w:rPr>
            </w:r>
            <w:r>
              <w:rPr>
                <w:noProof/>
                <w:webHidden/>
              </w:rPr>
              <w:fldChar w:fldCharType="separate"/>
            </w:r>
            <w:r>
              <w:rPr>
                <w:noProof/>
                <w:webHidden/>
              </w:rPr>
              <w:t>465</w:t>
            </w:r>
            <w:r>
              <w:rPr>
                <w:noProof/>
                <w:webHidden/>
              </w:rPr>
              <w:fldChar w:fldCharType="end"/>
            </w:r>
          </w:hyperlink>
        </w:p>
        <w:p w14:paraId="767D2D9C" w14:textId="2C2C4839"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06" w:history="1">
            <w:r w:rsidRPr="001D4C20">
              <w:rPr>
                <w:rStyle w:val="Lienhypertexte"/>
                <w:noProof/>
              </w:rPr>
              <w:t>54.14.1 Enduits à base de plâtre en 1 couche (± 10 mm) CCTB 01.02</w:t>
            </w:r>
            <w:r>
              <w:rPr>
                <w:noProof/>
                <w:webHidden/>
              </w:rPr>
              <w:tab/>
            </w:r>
            <w:r>
              <w:rPr>
                <w:noProof/>
                <w:webHidden/>
              </w:rPr>
              <w:fldChar w:fldCharType="begin"/>
            </w:r>
            <w:r>
              <w:rPr>
                <w:noProof/>
                <w:webHidden/>
              </w:rPr>
              <w:instrText xml:space="preserve"> PAGEREF _Toc220491006 \h </w:instrText>
            </w:r>
            <w:r>
              <w:rPr>
                <w:noProof/>
                <w:webHidden/>
              </w:rPr>
            </w:r>
            <w:r>
              <w:rPr>
                <w:noProof/>
                <w:webHidden/>
              </w:rPr>
              <w:fldChar w:fldCharType="separate"/>
            </w:r>
            <w:r>
              <w:rPr>
                <w:noProof/>
                <w:webHidden/>
              </w:rPr>
              <w:t>465</w:t>
            </w:r>
            <w:r>
              <w:rPr>
                <w:noProof/>
                <w:webHidden/>
              </w:rPr>
              <w:fldChar w:fldCharType="end"/>
            </w:r>
          </w:hyperlink>
        </w:p>
        <w:p w14:paraId="3B4BA100" w14:textId="33A0AB9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07" w:history="1">
            <w:r w:rsidRPr="001D4C20">
              <w:rPr>
                <w:rStyle w:val="Lienhypertexte"/>
                <w:noProof/>
              </w:rPr>
              <w:t>54.14.1a Enduits à base de plâtre en 1 couche (± 10 mm), prédosés à sec CCTB 01.11</w:t>
            </w:r>
            <w:r>
              <w:rPr>
                <w:noProof/>
                <w:webHidden/>
              </w:rPr>
              <w:tab/>
            </w:r>
            <w:r>
              <w:rPr>
                <w:noProof/>
                <w:webHidden/>
              </w:rPr>
              <w:fldChar w:fldCharType="begin"/>
            </w:r>
            <w:r>
              <w:rPr>
                <w:noProof/>
                <w:webHidden/>
              </w:rPr>
              <w:instrText xml:space="preserve"> PAGEREF _Toc220491007 \h </w:instrText>
            </w:r>
            <w:r>
              <w:rPr>
                <w:noProof/>
                <w:webHidden/>
              </w:rPr>
            </w:r>
            <w:r>
              <w:rPr>
                <w:noProof/>
                <w:webHidden/>
              </w:rPr>
              <w:fldChar w:fldCharType="separate"/>
            </w:r>
            <w:r>
              <w:rPr>
                <w:noProof/>
                <w:webHidden/>
              </w:rPr>
              <w:t>465</w:t>
            </w:r>
            <w:r>
              <w:rPr>
                <w:noProof/>
                <w:webHidden/>
              </w:rPr>
              <w:fldChar w:fldCharType="end"/>
            </w:r>
          </w:hyperlink>
        </w:p>
        <w:p w14:paraId="5F6C430E" w14:textId="66DF736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08" w:history="1">
            <w:r w:rsidRPr="001D4C20">
              <w:rPr>
                <w:rStyle w:val="Lienhypertexte"/>
                <w:noProof/>
              </w:rPr>
              <w:t>54.14.1b Enduits à base de plâtre en 1 couche (± 10 mm), prêts à l'emploi CCTB 01.11</w:t>
            </w:r>
            <w:r>
              <w:rPr>
                <w:noProof/>
                <w:webHidden/>
              </w:rPr>
              <w:tab/>
            </w:r>
            <w:r>
              <w:rPr>
                <w:noProof/>
                <w:webHidden/>
              </w:rPr>
              <w:fldChar w:fldCharType="begin"/>
            </w:r>
            <w:r>
              <w:rPr>
                <w:noProof/>
                <w:webHidden/>
              </w:rPr>
              <w:instrText xml:space="preserve"> PAGEREF _Toc220491008 \h </w:instrText>
            </w:r>
            <w:r>
              <w:rPr>
                <w:noProof/>
                <w:webHidden/>
              </w:rPr>
            </w:r>
            <w:r>
              <w:rPr>
                <w:noProof/>
                <w:webHidden/>
              </w:rPr>
              <w:fldChar w:fldCharType="separate"/>
            </w:r>
            <w:r>
              <w:rPr>
                <w:noProof/>
                <w:webHidden/>
              </w:rPr>
              <w:t>466</w:t>
            </w:r>
            <w:r>
              <w:rPr>
                <w:noProof/>
                <w:webHidden/>
              </w:rPr>
              <w:fldChar w:fldCharType="end"/>
            </w:r>
          </w:hyperlink>
        </w:p>
        <w:p w14:paraId="575569EB" w14:textId="17BB0EF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09" w:history="1">
            <w:r w:rsidRPr="001D4C20">
              <w:rPr>
                <w:rStyle w:val="Lienhypertexte"/>
                <w:noProof/>
              </w:rPr>
              <w:t>54.14.1c Enduits au plâtre et à la chaux (composition prescrite) en 1 couche (± 10 mm) CCTB 01.12</w:t>
            </w:r>
            <w:r>
              <w:rPr>
                <w:noProof/>
                <w:webHidden/>
              </w:rPr>
              <w:tab/>
            </w:r>
            <w:r>
              <w:rPr>
                <w:noProof/>
                <w:webHidden/>
              </w:rPr>
              <w:fldChar w:fldCharType="begin"/>
            </w:r>
            <w:r>
              <w:rPr>
                <w:noProof/>
                <w:webHidden/>
              </w:rPr>
              <w:instrText xml:space="preserve"> PAGEREF _Toc220491009 \h </w:instrText>
            </w:r>
            <w:r>
              <w:rPr>
                <w:noProof/>
                <w:webHidden/>
              </w:rPr>
            </w:r>
            <w:r>
              <w:rPr>
                <w:noProof/>
                <w:webHidden/>
              </w:rPr>
              <w:fldChar w:fldCharType="separate"/>
            </w:r>
            <w:r>
              <w:rPr>
                <w:noProof/>
                <w:webHidden/>
              </w:rPr>
              <w:t>468</w:t>
            </w:r>
            <w:r>
              <w:rPr>
                <w:noProof/>
                <w:webHidden/>
              </w:rPr>
              <w:fldChar w:fldCharType="end"/>
            </w:r>
          </w:hyperlink>
        </w:p>
        <w:p w14:paraId="02CD438D" w14:textId="15B9DAB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10" w:history="1">
            <w:r w:rsidRPr="001D4C20">
              <w:rPr>
                <w:rStyle w:val="Lienhypertexte"/>
                <w:noProof/>
              </w:rPr>
              <w:t>54.14.1d Enduits sur plaques de plâtre enrobées d'un carton en 1 couche (± 10 mm) CCTB 01.11</w:t>
            </w:r>
            <w:r>
              <w:rPr>
                <w:noProof/>
                <w:webHidden/>
              </w:rPr>
              <w:tab/>
            </w:r>
            <w:r>
              <w:rPr>
                <w:noProof/>
                <w:webHidden/>
              </w:rPr>
              <w:fldChar w:fldCharType="begin"/>
            </w:r>
            <w:r>
              <w:rPr>
                <w:noProof/>
                <w:webHidden/>
              </w:rPr>
              <w:instrText xml:space="preserve"> PAGEREF _Toc220491010 \h </w:instrText>
            </w:r>
            <w:r>
              <w:rPr>
                <w:noProof/>
                <w:webHidden/>
              </w:rPr>
            </w:r>
            <w:r>
              <w:rPr>
                <w:noProof/>
                <w:webHidden/>
              </w:rPr>
              <w:fldChar w:fldCharType="separate"/>
            </w:r>
            <w:r>
              <w:rPr>
                <w:noProof/>
                <w:webHidden/>
              </w:rPr>
              <w:t>469</w:t>
            </w:r>
            <w:r>
              <w:rPr>
                <w:noProof/>
                <w:webHidden/>
              </w:rPr>
              <w:fldChar w:fldCharType="end"/>
            </w:r>
          </w:hyperlink>
        </w:p>
        <w:p w14:paraId="17A53046" w14:textId="731E8011"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11" w:history="1">
            <w:r w:rsidRPr="001D4C20">
              <w:rPr>
                <w:rStyle w:val="Lienhypertexte"/>
                <w:noProof/>
              </w:rPr>
              <w:t>54.14.2 Enduits en 2 couches (15mm&lt;ép&lt;25mm) CCTB 01.02</w:t>
            </w:r>
            <w:r>
              <w:rPr>
                <w:noProof/>
                <w:webHidden/>
              </w:rPr>
              <w:tab/>
            </w:r>
            <w:r>
              <w:rPr>
                <w:noProof/>
                <w:webHidden/>
              </w:rPr>
              <w:fldChar w:fldCharType="begin"/>
            </w:r>
            <w:r>
              <w:rPr>
                <w:noProof/>
                <w:webHidden/>
              </w:rPr>
              <w:instrText xml:space="preserve"> PAGEREF _Toc220491011 \h </w:instrText>
            </w:r>
            <w:r>
              <w:rPr>
                <w:noProof/>
                <w:webHidden/>
              </w:rPr>
            </w:r>
            <w:r>
              <w:rPr>
                <w:noProof/>
                <w:webHidden/>
              </w:rPr>
              <w:fldChar w:fldCharType="separate"/>
            </w:r>
            <w:r>
              <w:rPr>
                <w:noProof/>
                <w:webHidden/>
              </w:rPr>
              <w:t>470</w:t>
            </w:r>
            <w:r>
              <w:rPr>
                <w:noProof/>
                <w:webHidden/>
              </w:rPr>
              <w:fldChar w:fldCharType="end"/>
            </w:r>
          </w:hyperlink>
        </w:p>
        <w:p w14:paraId="37399BD0" w14:textId="24F342E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12" w:history="1">
            <w:r w:rsidRPr="001D4C20">
              <w:rPr>
                <w:rStyle w:val="Lienhypertexte"/>
                <w:noProof/>
              </w:rPr>
              <w:t>54.14.2a Enduits en 2 couches (15mm&lt;ép&lt;25mm), traditionnels CCTB 01.02</w:t>
            </w:r>
            <w:r>
              <w:rPr>
                <w:noProof/>
                <w:webHidden/>
              </w:rPr>
              <w:tab/>
            </w:r>
            <w:r>
              <w:rPr>
                <w:noProof/>
                <w:webHidden/>
              </w:rPr>
              <w:fldChar w:fldCharType="begin"/>
            </w:r>
            <w:r>
              <w:rPr>
                <w:noProof/>
                <w:webHidden/>
              </w:rPr>
              <w:instrText xml:space="preserve"> PAGEREF _Toc220491012 \h </w:instrText>
            </w:r>
            <w:r>
              <w:rPr>
                <w:noProof/>
                <w:webHidden/>
              </w:rPr>
            </w:r>
            <w:r>
              <w:rPr>
                <w:noProof/>
                <w:webHidden/>
              </w:rPr>
              <w:fldChar w:fldCharType="separate"/>
            </w:r>
            <w:r>
              <w:rPr>
                <w:noProof/>
                <w:webHidden/>
              </w:rPr>
              <w:t>470</w:t>
            </w:r>
            <w:r>
              <w:rPr>
                <w:noProof/>
                <w:webHidden/>
              </w:rPr>
              <w:fldChar w:fldCharType="end"/>
            </w:r>
          </w:hyperlink>
        </w:p>
        <w:p w14:paraId="381B55C0" w14:textId="435CB89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13" w:history="1">
            <w:r w:rsidRPr="001D4C20">
              <w:rPr>
                <w:rStyle w:val="Lienhypertexte"/>
                <w:noProof/>
              </w:rPr>
              <w:t>54.14.2b Enduits en 2 couches (15mm&lt;ép&lt;25mm), prédosés à sec (sur treillis métallique) CCTB 01.11</w:t>
            </w:r>
            <w:r>
              <w:rPr>
                <w:noProof/>
                <w:webHidden/>
              </w:rPr>
              <w:tab/>
            </w:r>
            <w:r>
              <w:rPr>
                <w:noProof/>
                <w:webHidden/>
              </w:rPr>
              <w:fldChar w:fldCharType="begin"/>
            </w:r>
            <w:r>
              <w:rPr>
                <w:noProof/>
                <w:webHidden/>
              </w:rPr>
              <w:instrText xml:space="preserve"> PAGEREF _Toc220491013 \h </w:instrText>
            </w:r>
            <w:r>
              <w:rPr>
                <w:noProof/>
                <w:webHidden/>
              </w:rPr>
            </w:r>
            <w:r>
              <w:rPr>
                <w:noProof/>
                <w:webHidden/>
              </w:rPr>
              <w:fldChar w:fldCharType="separate"/>
            </w:r>
            <w:r>
              <w:rPr>
                <w:noProof/>
                <w:webHidden/>
              </w:rPr>
              <w:t>470</w:t>
            </w:r>
            <w:r>
              <w:rPr>
                <w:noProof/>
                <w:webHidden/>
              </w:rPr>
              <w:fldChar w:fldCharType="end"/>
            </w:r>
          </w:hyperlink>
        </w:p>
        <w:p w14:paraId="0BB582C4" w14:textId="6BEDC2F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14" w:history="1">
            <w:r w:rsidRPr="001D4C20">
              <w:rPr>
                <w:rStyle w:val="Lienhypertexte"/>
                <w:noProof/>
              </w:rPr>
              <w:t>54.14.2c Enduits en 2 couches (15mm&lt;ép&lt;25mm), prêts à l'emploi CCTB 01.12</w:t>
            </w:r>
            <w:r>
              <w:rPr>
                <w:noProof/>
                <w:webHidden/>
              </w:rPr>
              <w:tab/>
            </w:r>
            <w:r>
              <w:rPr>
                <w:noProof/>
                <w:webHidden/>
              </w:rPr>
              <w:fldChar w:fldCharType="begin"/>
            </w:r>
            <w:r>
              <w:rPr>
                <w:noProof/>
                <w:webHidden/>
              </w:rPr>
              <w:instrText xml:space="preserve"> PAGEREF _Toc220491014 \h </w:instrText>
            </w:r>
            <w:r>
              <w:rPr>
                <w:noProof/>
                <w:webHidden/>
              </w:rPr>
            </w:r>
            <w:r>
              <w:rPr>
                <w:noProof/>
                <w:webHidden/>
              </w:rPr>
              <w:fldChar w:fldCharType="separate"/>
            </w:r>
            <w:r>
              <w:rPr>
                <w:noProof/>
                <w:webHidden/>
              </w:rPr>
              <w:t>472</w:t>
            </w:r>
            <w:r>
              <w:rPr>
                <w:noProof/>
                <w:webHidden/>
              </w:rPr>
              <w:fldChar w:fldCharType="end"/>
            </w:r>
          </w:hyperlink>
        </w:p>
        <w:p w14:paraId="4D664EC7" w14:textId="040FFE9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15" w:history="1">
            <w:r w:rsidRPr="001D4C20">
              <w:rPr>
                <w:rStyle w:val="Lienhypertexte"/>
                <w:noProof/>
              </w:rPr>
              <w:t>54.14.2d Enduits au plâtre et à la chaux (composition prescrite), en 2 couches (15mm&lt;ép&lt;25mm) CCTB 01.12</w:t>
            </w:r>
            <w:r>
              <w:rPr>
                <w:noProof/>
                <w:webHidden/>
              </w:rPr>
              <w:tab/>
            </w:r>
            <w:r>
              <w:rPr>
                <w:noProof/>
                <w:webHidden/>
              </w:rPr>
              <w:fldChar w:fldCharType="begin"/>
            </w:r>
            <w:r>
              <w:rPr>
                <w:noProof/>
                <w:webHidden/>
              </w:rPr>
              <w:instrText xml:space="preserve"> PAGEREF _Toc220491015 \h </w:instrText>
            </w:r>
            <w:r>
              <w:rPr>
                <w:noProof/>
                <w:webHidden/>
              </w:rPr>
            </w:r>
            <w:r>
              <w:rPr>
                <w:noProof/>
                <w:webHidden/>
              </w:rPr>
              <w:fldChar w:fldCharType="separate"/>
            </w:r>
            <w:r>
              <w:rPr>
                <w:noProof/>
                <w:webHidden/>
              </w:rPr>
              <w:t>473</w:t>
            </w:r>
            <w:r>
              <w:rPr>
                <w:noProof/>
                <w:webHidden/>
              </w:rPr>
              <w:fldChar w:fldCharType="end"/>
            </w:r>
          </w:hyperlink>
        </w:p>
        <w:p w14:paraId="68E8FD42" w14:textId="23B278E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16" w:history="1">
            <w:r w:rsidRPr="001D4C20">
              <w:rPr>
                <w:rStyle w:val="Lienhypertexte"/>
                <w:noProof/>
              </w:rPr>
              <w:t>54.14.2e Enduits sur plaques de plâtre enrobées d'un carton, en 2 couches (15mm&lt;ép&lt;25mm) CCTB 01.11</w:t>
            </w:r>
            <w:r>
              <w:rPr>
                <w:noProof/>
                <w:webHidden/>
              </w:rPr>
              <w:tab/>
            </w:r>
            <w:r>
              <w:rPr>
                <w:noProof/>
                <w:webHidden/>
              </w:rPr>
              <w:fldChar w:fldCharType="begin"/>
            </w:r>
            <w:r>
              <w:rPr>
                <w:noProof/>
                <w:webHidden/>
              </w:rPr>
              <w:instrText xml:space="preserve"> PAGEREF _Toc220491016 \h </w:instrText>
            </w:r>
            <w:r>
              <w:rPr>
                <w:noProof/>
                <w:webHidden/>
              </w:rPr>
            </w:r>
            <w:r>
              <w:rPr>
                <w:noProof/>
                <w:webHidden/>
              </w:rPr>
              <w:fldChar w:fldCharType="separate"/>
            </w:r>
            <w:r>
              <w:rPr>
                <w:noProof/>
                <w:webHidden/>
              </w:rPr>
              <w:t>474</w:t>
            </w:r>
            <w:r>
              <w:rPr>
                <w:noProof/>
                <w:webHidden/>
              </w:rPr>
              <w:fldChar w:fldCharType="end"/>
            </w:r>
          </w:hyperlink>
        </w:p>
        <w:p w14:paraId="4D48CC6E" w14:textId="685A63E7"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17" w:history="1">
            <w:r w:rsidRPr="001D4C20">
              <w:rPr>
                <w:rStyle w:val="Lienhypertexte"/>
                <w:noProof/>
              </w:rPr>
              <w:t>54.14.3 Enduits pelliculaires CCTB 01.02</w:t>
            </w:r>
            <w:r>
              <w:rPr>
                <w:noProof/>
                <w:webHidden/>
              </w:rPr>
              <w:tab/>
            </w:r>
            <w:r>
              <w:rPr>
                <w:noProof/>
                <w:webHidden/>
              </w:rPr>
              <w:fldChar w:fldCharType="begin"/>
            </w:r>
            <w:r>
              <w:rPr>
                <w:noProof/>
                <w:webHidden/>
              </w:rPr>
              <w:instrText xml:space="preserve"> PAGEREF _Toc220491017 \h </w:instrText>
            </w:r>
            <w:r>
              <w:rPr>
                <w:noProof/>
                <w:webHidden/>
              </w:rPr>
            </w:r>
            <w:r>
              <w:rPr>
                <w:noProof/>
                <w:webHidden/>
              </w:rPr>
              <w:fldChar w:fldCharType="separate"/>
            </w:r>
            <w:r>
              <w:rPr>
                <w:noProof/>
                <w:webHidden/>
              </w:rPr>
              <w:t>475</w:t>
            </w:r>
            <w:r>
              <w:rPr>
                <w:noProof/>
                <w:webHidden/>
              </w:rPr>
              <w:fldChar w:fldCharType="end"/>
            </w:r>
          </w:hyperlink>
        </w:p>
        <w:p w14:paraId="7CD770AC" w14:textId="0EB6536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18" w:history="1">
            <w:r w:rsidRPr="001D4C20">
              <w:rPr>
                <w:rStyle w:val="Lienhypertexte"/>
                <w:noProof/>
              </w:rPr>
              <w:t>54.14.3a Enduits pelliculaires traditionnels CCTB 01.02</w:t>
            </w:r>
            <w:r>
              <w:rPr>
                <w:noProof/>
                <w:webHidden/>
              </w:rPr>
              <w:tab/>
            </w:r>
            <w:r>
              <w:rPr>
                <w:noProof/>
                <w:webHidden/>
              </w:rPr>
              <w:fldChar w:fldCharType="begin"/>
            </w:r>
            <w:r>
              <w:rPr>
                <w:noProof/>
                <w:webHidden/>
              </w:rPr>
              <w:instrText xml:space="preserve"> PAGEREF _Toc220491018 \h </w:instrText>
            </w:r>
            <w:r>
              <w:rPr>
                <w:noProof/>
                <w:webHidden/>
              </w:rPr>
            </w:r>
            <w:r>
              <w:rPr>
                <w:noProof/>
                <w:webHidden/>
              </w:rPr>
              <w:fldChar w:fldCharType="separate"/>
            </w:r>
            <w:r>
              <w:rPr>
                <w:noProof/>
                <w:webHidden/>
              </w:rPr>
              <w:t>476</w:t>
            </w:r>
            <w:r>
              <w:rPr>
                <w:noProof/>
                <w:webHidden/>
              </w:rPr>
              <w:fldChar w:fldCharType="end"/>
            </w:r>
          </w:hyperlink>
        </w:p>
        <w:p w14:paraId="700A7915" w14:textId="5BB5FFA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19" w:history="1">
            <w:r w:rsidRPr="001D4C20">
              <w:rPr>
                <w:rStyle w:val="Lienhypertexte"/>
                <w:noProof/>
              </w:rPr>
              <w:t>54.14.3b Enduits pelliculaires prédosés à sec CCTB 01.12</w:t>
            </w:r>
            <w:r>
              <w:rPr>
                <w:noProof/>
                <w:webHidden/>
              </w:rPr>
              <w:tab/>
            </w:r>
            <w:r>
              <w:rPr>
                <w:noProof/>
                <w:webHidden/>
              </w:rPr>
              <w:fldChar w:fldCharType="begin"/>
            </w:r>
            <w:r>
              <w:rPr>
                <w:noProof/>
                <w:webHidden/>
              </w:rPr>
              <w:instrText xml:space="preserve"> PAGEREF _Toc220491019 \h </w:instrText>
            </w:r>
            <w:r>
              <w:rPr>
                <w:noProof/>
                <w:webHidden/>
              </w:rPr>
            </w:r>
            <w:r>
              <w:rPr>
                <w:noProof/>
                <w:webHidden/>
              </w:rPr>
              <w:fldChar w:fldCharType="separate"/>
            </w:r>
            <w:r>
              <w:rPr>
                <w:noProof/>
                <w:webHidden/>
              </w:rPr>
              <w:t>476</w:t>
            </w:r>
            <w:r>
              <w:rPr>
                <w:noProof/>
                <w:webHidden/>
              </w:rPr>
              <w:fldChar w:fldCharType="end"/>
            </w:r>
          </w:hyperlink>
        </w:p>
        <w:p w14:paraId="5CD40B8B" w14:textId="57BE2E25"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020" w:history="1">
            <w:r w:rsidRPr="001D4C20">
              <w:rPr>
                <w:rStyle w:val="Lienhypertexte"/>
                <w:noProof/>
              </w:rPr>
              <w:t>54.15 Enduits au ciment et/ou à la chaux CCTB 01.12</w:t>
            </w:r>
            <w:r>
              <w:rPr>
                <w:noProof/>
                <w:webHidden/>
              </w:rPr>
              <w:tab/>
            </w:r>
            <w:r>
              <w:rPr>
                <w:noProof/>
                <w:webHidden/>
              </w:rPr>
              <w:fldChar w:fldCharType="begin"/>
            </w:r>
            <w:r>
              <w:rPr>
                <w:noProof/>
                <w:webHidden/>
              </w:rPr>
              <w:instrText xml:space="preserve"> PAGEREF _Toc220491020 \h </w:instrText>
            </w:r>
            <w:r>
              <w:rPr>
                <w:noProof/>
                <w:webHidden/>
              </w:rPr>
            </w:r>
            <w:r>
              <w:rPr>
                <w:noProof/>
                <w:webHidden/>
              </w:rPr>
              <w:fldChar w:fldCharType="separate"/>
            </w:r>
            <w:r>
              <w:rPr>
                <w:noProof/>
                <w:webHidden/>
              </w:rPr>
              <w:t>477</w:t>
            </w:r>
            <w:r>
              <w:rPr>
                <w:noProof/>
                <w:webHidden/>
              </w:rPr>
              <w:fldChar w:fldCharType="end"/>
            </w:r>
          </w:hyperlink>
        </w:p>
        <w:p w14:paraId="4DCBC982" w14:textId="4D25C722"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21" w:history="1">
            <w:r w:rsidRPr="001D4C20">
              <w:rPr>
                <w:rStyle w:val="Lienhypertexte"/>
                <w:noProof/>
              </w:rPr>
              <w:t>54.15.1 Enduits au ciment CCTB 01.02</w:t>
            </w:r>
            <w:r>
              <w:rPr>
                <w:noProof/>
                <w:webHidden/>
              </w:rPr>
              <w:tab/>
            </w:r>
            <w:r>
              <w:rPr>
                <w:noProof/>
                <w:webHidden/>
              </w:rPr>
              <w:fldChar w:fldCharType="begin"/>
            </w:r>
            <w:r>
              <w:rPr>
                <w:noProof/>
                <w:webHidden/>
              </w:rPr>
              <w:instrText xml:space="preserve"> PAGEREF _Toc220491021 \h </w:instrText>
            </w:r>
            <w:r>
              <w:rPr>
                <w:noProof/>
                <w:webHidden/>
              </w:rPr>
            </w:r>
            <w:r>
              <w:rPr>
                <w:noProof/>
                <w:webHidden/>
              </w:rPr>
              <w:fldChar w:fldCharType="separate"/>
            </w:r>
            <w:r>
              <w:rPr>
                <w:noProof/>
                <w:webHidden/>
              </w:rPr>
              <w:t>477</w:t>
            </w:r>
            <w:r>
              <w:rPr>
                <w:noProof/>
                <w:webHidden/>
              </w:rPr>
              <w:fldChar w:fldCharType="end"/>
            </w:r>
          </w:hyperlink>
        </w:p>
        <w:p w14:paraId="1DFE5D4A" w14:textId="0C0D7BF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22" w:history="1">
            <w:r w:rsidRPr="001D4C20">
              <w:rPr>
                <w:rStyle w:val="Lienhypertexte"/>
                <w:noProof/>
              </w:rPr>
              <w:t>54.15.1a Enduits au ciment CCTB 01.11</w:t>
            </w:r>
            <w:r>
              <w:rPr>
                <w:noProof/>
                <w:webHidden/>
              </w:rPr>
              <w:tab/>
            </w:r>
            <w:r>
              <w:rPr>
                <w:noProof/>
                <w:webHidden/>
              </w:rPr>
              <w:fldChar w:fldCharType="begin"/>
            </w:r>
            <w:r>
              <w:rPr>
                <w:noProof/>
                <w:webHidden/>
              </w:rPr>
              <w:instrText xml:space="preserve"> PAGEREF _Toc220491022 \h </w:instrText>
            </w:r>
            <w:r>
              <w:rPr>
                <w:noProof/>
                <w:webHidden/>
              </w:rPr>
            </w:r>
            <w:r>
              <w:rPr>
                <w:noProof/>
                <w:webHidden/>
              </w:rPr>
              <w:fldChar w:fldCharType="separate"/>
            </w:r>
            <w:r>
              <w:rPr>
                <w:noProof/>
                <w:webHidden/>
              </w:rPr>
              <w:t>477</w:t>
            </w:r>
            <w:r>
              <w:rPr>
                <w:noProof/>
                <w:webHidden/>
              </w:rPr>
              <w:fldChar w:fldCharType="end"/>
            </w:r>
          </w:hyperlink>
        </w:p>
        <w:p w14:paraId="424DAA49" w14:textId="19E738D7"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23" w:history="1">
            <w:r w:rsidRPr="001D4C20">
              <w:rPr>
                <w:rStyle w:val="Lienhypertexte"/>
                <w:noProof/>
              </w:rPr>
              <w:t>54.15.2 Enduits à la chaux ayant des propriétés hydrauliques CCTB 01.02</w:t>
            </w:r>
            <w:r>
              <w:rPr>
                <w:noProof/>
                <w:webHidden/>
              </w:rPr>
              <w:tab/>
            </w:r>
            <w:r>
              <w:rPr>
                <w:noProof/>
                <w:webHidden/>
              </w:rPr>
              <w:fldChar w:fldCharType="begin"/>
            </w:r>
            <w:r>
              <w:rPr>
                <w:noProof/>
                <w:webHidden/>
              </w:rPr>
              <w:instrText xml:space="preserve"> PAGEREF _Toc220491023 \h </w:instrText>
            </w:r>
            <w:r>
              <w:rPr>
                <w:noProof/>
                <w:webHidden/>
              </w:rPr>
            </w:r>
            <w:r>
              <w:rPr>
                <w:noProof/>
                <w:webHidden/>
              </w:rPr>
              <w:fldChar w:fldCharType="separate"/>
            </w:r>
            <w:r>
              <w:rPr>
                <w:noProof/>
                <w:webHidden/>
              </w:rPr>
              <w:t>479</w:t>
            </w:r>
            <w:r>
              <w:rPr>
                <w:noProof/>
                <w:webHidden/>
              </w:rPr>
              <w:fldChar w:fldCharType="end"/>
            </w:r>
          </w:hyperlink>
        </w:p>
        <w:p w14:paraId="388A9A85" w14:textId="7C0AD0D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24" w:history="1">
            <w:r w:rsidRPr="001D4C20">
              <w:rPr>
                <w:rStyle w:val="Lienhypertexte"/>
                <w:noProof/>
              </w:rPr>
              <w:t>54.15.2a Enduits à la chaux ayant des propriétés hydrauliques CCTB 01.11</w:t>
            </w:r>
            <w:r>
              <w:rPr>
                <w:noProof/>
                <w:webHidden/>
              </w:rPr>
              <w:tab/>
            </w:r>
            <w:r>
              <w:rPr>
                <w:noProof/>
                <w:webHidden/>
              </w:rPr>
              <w:fldChar w:fldCharType="begin"/>
            </w:r>
            <w:r>
              <w:rPr>
                <w:noProof/>
                <w:webHidden/>
              </w:rPr>
              <w:instrText xml:space="preserve"> PAGEREF _Toc220491024 \h </w:instrText>
            </w:r>
            <w:r>
              <w:rPr>
                <w:noProof/>
                <w:webHidden/>
              </w:rPr>
            </w:r>
            <w:r>
              <w:rPr>
                <w:noProof/>
                <w:webHidden/>
              </w:rPr>
              <w:fldChar w:fldCharType="separate"/>
            </w:r>
            <w:r>
              <w:rPr>
                <w:noProof/>
                <w:webHidden/>
              </w:rPr>
              <w:t>479</w:t>
            </w:r>
            <w:r>
              <w:rPr>
                <w:noProof/>
                <w:webHidden/>
              </w:rPr>
              <w:fldChar w:fldCharType="end"/>
            </w:r>
          </w:hyperlink>
        </w:p>
        <w:p w14:paraId="3856BEA7" w14:textId="2C907A87"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25" w:history="1">
            <w:r w:rsidRPr="001D4C20">
              <w:rPr>
                <w:rStyle w:val="Lienhypertexte"/>
                <w:noProof/>
              </w:rPr>
              <w:t>54.15.3 Enduits batards, ciment + chaux aérienne CCTB 01.02</w:t>
            </w:r>
            <w:r>
              <w:rPr>
                <w:noProof/>
                <w:webHidden/>
              </w:rPr>
              <w:tab/>
            </w:r>
            <w:r>
              <w:rPr>
                <w:noProof/>
                <w:webHidden/>
              </w:rPr>
              <w:fldChar w:fldCharType="begin"/>
            </w:r>
            <w:r>
              <w:rPr>
                <w:noProof/>
                <w:webHidden/>
              </w:rPr>
              <w:instrText xml:space="preserve"> PAGEREF _Toc220491025 \h </w:instrText>
            </w:r>
            <w:r>
              <w:rPr>
                <w:noProof/>
                <w:webHidden/>
              </w:rPr>
            </w:r>
            <w:r>
              <w:rPr>
                <w:noProof/>
                <w:webHidden/>
              </w:rPr>
              <w:fldChar w:fldCharType="separate"/>
            </w:r>
            <w:r>
              <w:rPr>
                <w:noProof/>
                <w:webHidden/>
              </w:rPr>
              <w:t>480</w:t>
            </w:r>
            <w:r>
              <w:rPr>
                <w:noProof/>
                <w:webHidden/>
              </w:rPr>
              <w:fldChar w:fldCharType="end"/>
            </w:r>
          </w:hyperlink>
        </w:p>
        <w:p w14:paraId="72DCDA71" w14:textId="0A65380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26" w:history="1">
            <w:r w:rsidRPr="001D4C20">
              <w:rPr>
                <w:rStyle w:val="Lienhypertexte"/>
                <w:noProof/>
              </w:rPr>
              <w:t>54.15.3a Enduits bâtards, ciment + chaux aérienne CCTB 01.11</w:t>
            </w:r>
            <w:r>
              <w:rPr>
                <w:noProof/>
                <w:webHidden/>
              </w:rPr>
              <w:tab/>
            </w:r>
            <w:r>
              <w:rPr>
                <w:noProof/>
                <w:webHidden/>
              </w:rPr>
              <w:fldChar w:fldCharType="begin"/>
            </w:r>
            <w:r>
              <w:rPr>
                <w:noProof/>
                <w:webHidden/>
              </w:rPr>
              <w:instrText xml:space="preserve"> PAGEREF _Toc220491026 \h </w:instrText>
            </w:r>
            <w:r>
              <w:rPr>
                <w:noProof/>
                <w:webHidden/>
              </w:rPr>
            </w:r>
            <w:r>
              <w:rPr>
                <w:noProof/>
                <w:webHidden/>
              </w:rPr>
              <w:fldChar w:fldCharType="separate"/>
            </w:r>
            <w:r>
              <w:rPr>
                <w:noProof/>
                <w:webHidden/>
              </w:rPr>
              <w:t>480</w:t>
            </w:r>
            <w:r>
              <w:rPr>
                <w:noProof/>
                <w:webHidden/>
              </w:rPr>
              <w:fldChar w:fldCharType="end"/>
            </w:r>
          </w:hyperlink>
        </w:p>
        <w:p w14:paraId="1DB50FB9" w14:textId="29EF34DB"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27" w:history="1">
            <w:r w:rsidRPr="001D4C20">
              <w:rPr>
                <w:rStyle w:val="Lienhypertexte"/>
                <w:noProof/>
              </w:rPr>
              <w:t>54.15.4 Enduits batards, ciment + chaux hydraulique CCTB 01.02</w:t>
            </w:r>
            <w:r>
              <w:rPr>
                <w:noProof/>
                <w:webHidden/>
              </w:rPr>
              <w:tab/>
            </w:r>
            <w:r>
              <w:rPr>
                <w:noProof/>
                <w:webHidden/>
              </w:rPr>
              <w:fldChar w:fldCharType="begin"/>
            </w:r>
            <w:r>
              <w:rPr>
                <w:noProof/>
                <w:webHidden/>
              </w:rPr>
              <w:instrText xml:space="preserve"> PAGEREF _Toc220491027 \h </w:instrText>
            </w:r>
            <w:r>
              <w:rPr>
                <w:noProof/>
                <w:webHidden/>
              </w:rPr>
            </w:r>
            <w:r>
              <w:rPr>
                <w:noProof/>
                <w:webHidden/>
              </w:rPr>
              <w:fldChar w:fldCharType="separate"/>
            </w:r>
            <w:r>
              <w:rPr>
                <w:noProof/>
                <w:webHidden/>
              </w:rPr>
              <w:t>482</w:t>
            </w:r>
            <w:r>
              <w:rPr>
                <w:noProof/>
                <w:webHidden/>
              </w:rPr>
              <w:fldChar w:fldCharType="end"/>
            </w:r>
          </w:hyperlink>
        </w:p>
        <w:p w14:paraId="4628EA9F" w14:textId="10131E3A"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28" w:history="1">
            <w:r w:rsidRPr="001D4C20">
              <w:rPr>
                <w:rStyle w:val="Lienhypertexte"/>
                <w:noProof/>
              </w:rPr>
              <w:t>54.15.5 Enduits spécifiques au ciment et/ou à la chaux CCTB 01.02</w:t>
            </w:r>
            <w:r>
              <w:rPr>
                <w:noProof/>
                <w:webHidden/>
              </w:rPr>
              <w:tab/>
            </w:r>
            <w:r>
              <w:rPr>
                <w:noProof/>
                <w:webHidden/>
              </w:rPr>
              <w:fldChar w:fldCharType="begin"/>
            </w:r>
            <w:r>
              <w:rPr>
                <w:noProof/>
                <w:webHidden/>
              </w:rPr>
              <w:instrText xml:space="preserve"> PAGEREF _Toc220491028 \h </w:instrText>
            </w:r>
            <w:r>
              <w:rPr>
                <w:noProof/>
                <w:webHidden/>
              </w:rPr>
            </w:r>
            <w:r>
              <w:rPr>
                <w:noProof/>
                <w:webHidden/>
              </w:rPr>
              <w:fldChar w:fldCharType="separate"/>
            </w:r>
            <w:r>
              <w:rPr>
                <w:noProof/>
                <w:webHidden/>
              </w:rPr>
              <w:t>482</w:t>
            </w:r>
            <w:r>
              <w:rPr>
                <w:noProof/>
                <w:webHidden/>
              </w:rPr>
              <w:fldChar w:fldCharType="end"/>
            </w:r>
          </w:hyperlink>
        </w:p>
        <w:p w14:paraId="2ABDBB5E" w14:textId="3E773C8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29" w:history="1">
            <w:r w:rsidRPr="001D4C20">
              <w:rPr>
                <w:rStyle w:val="Lienhypertexte"/>
                <w:noProof/>
              </w:rPr>
              <w:t>54.15.5a Enduits spécifiques au ciment et/ou à la chaux - Stuc CCTB 01.02</w:t>
            </w:r>
            <w:r>
              <w:rPr>
                <w:noProof/>
                <w:webHidden/>
              </w:rPr>
              <w:tab/>
            </w:r>
            <w:r>
              <w:rPr>
                <w:noProof/>
                <w:webHidden/>
              </w:rPr>
              <w:fldChar w:fldCharType="begin"/>
            </w:r>
            <w:r>
              <w:rPr>
                <w:noProof/>
                <w:webHidden/>
              </w:rPr>
              <w:instrText xml:space="preserve"> PAGEREF _Toc220491029 \h </w:instrText>
            </w:r>
            <w:r>
              <w:rPr>
                <w:noProof/>
                <w:webHidden/>
              </w:rPr>
            </w:r>
            <w:r>
              <w:rPr>
                <w:noProof/>
                <w:webHidden/>
              </w:rPr>
              <w:fldChar w:fldCharType="separate"/>
            </w:r>
            <w:r>
              <w:rPr>
                <w:noProof/>
                <w:webHidden/>
              </w:rPr>
              <w:t>482</w:t>
            </w:r>
            <w:r>
              <w:rPr>
                <w:noProof/>
                <w:webHidden/>
              </w:rPr>
              <w:fldChar w:fldCharType="end"/>
            </w:r>
          </w:hyperlink>
        </w:p>
        <w:p w14:paraId="4BC9C450" w14:textId="5EA69C84"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030" w:history="1">
            <w:r w:rsidRPr="001D4C20">
              <w:rPr>
                <w:rStyle w:val="Lienhypertexte"/>
                <w:noProof/>
              </w:rPr>
              <w:t>54.16 Enduits à base de polymères CCTB 01.02</w:t>
            </w:r>
            <w:r>
              <w:rPr>
                <w:noProof/>
                <w:webHidden/>
              </w:rPr>
              <w:tab/>
            </w:r>
            <w:r>
              <w:rPr>
                <w:noProof/>
                <w:webHidden/>
              </w:rPr>
              <w:fldChar w:fldCharType="begin"/>
            </w:r>
            <w:r>
              <w:rPr>
                <w:noProof/>
                <w:webHidden/>
              </w:rPr>
              <w:instrText xml:space="preserve"> PAGEREF _Toc220491030 \h </w:instrText>
            </w:r>
            <w:r>
              <w:rPr>
                <w:noProof/>
                <w:webHidden/>
              </w:rPr>
            </w:r>
            <w:r>
              <w:rPr>
                <w:noProof/>
                <w:webHidden/>
              </w:rPr>
              <w:fldChar w:fldCharType="separate"/>
            </w:r>
            <w:r>
              <w:rPr>
                <w:noProof/>
                <w:webHidden/>
              </w:rPr>
              <w:t>482</w:t>
            </w:r>
            <w:r>
              <w:rPr>
                <w:noProof/>
                <w:webHidden/>
              </w:rPr>
              <w:fldChar w:fldCharType="end"/>
            </w:r>
          </w:hyperlink>
        </w:p>
        <w:p w14:paraId="167D0FA0" w14:textId="08EFFC7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31" w:history="1">
            <w:r w:rsidRPr="001D4C20">
              <w:rPr>
                <w:rStyle w:val="Lienhypertexte"/>
                <w:noProof/>
              </w:rPr>
              <w:t>54.16.1 Enduits à base de polymères CCTB 01.02</w:t>
            </w:r>
            <w:r>
              <w:rPr>
                <w:noProof/>
                <w:webHidden/>
              </w:rPr>
              <w:tab/>
            </w:r>
            <w:r>
              <w:rPr>
                <w:noProof/>
                <w:webHidden/>
              </w:rPr>
              <w:fldChar w:fldCharType="begin"/>
            </w:r>
            <w:r>
              <w:rPr>
                <w:noProof/>
                <w:webHidden/>
              </w:rPr>
              <w:instrText xml:space="preserve"> PAGEREF _Toc220491031 \h </w:instrText>
            </w:r>
            <w:r>
              <w:rPr>
                <w:noProof/>
                <w:webHidden/>
              </w:rPr>
            </w:r>
            <w:r>
              <w:rPr>
                <w:noProof/>
                <w:webHidden/>
              </w:rPr>
              <w:fldChar w:fldCharType="separate"/>
            </w:r>
            <w:r>
              <w:rPr>
                <w:noProof/>
                <w:webHidden/>
              </w:rPr>
              <w:t>482</w:t>
            </w:r>
            <w:r>
              <w:rPr>
                <w:noProof/>
                <w:webHidden/>
              </w:rPr>
              <w:fldChar w:fldCharType="end"/>
            </w:r>
          </w:hyperlink>
        </w:p>
        <w:p w14:paraId="56CD2971" w14:textId="4EDDB36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32" w:history="1">
            <w:r w:rsidRPr="001D4C20">
              <w:rPr>
                <w:rStyle w:val="Lienhypertexte"/>
                <w:noProof/>
              </w:rPr>
              <w:t>54.16.1a Enduits à base de polymères CCTB 01.11</w:t>
            </w:r>
            <w:r>
              <w:rPr>
                <w:noProof/>
                <w:webHidden/>
              </w:rPr>
              <w:tab/>
            </w:r>
            <w:r>
              <w:rPr>
                <w:noProof/>
                <w:webHidden/>
              </w:rPr>
              <w:fldChar w:fldCharType="begin"/>
            </w:r>
            <w:r>
              <w:rPr>
                <w:noProof/>
                <w:webHidden/>
              </w:rPr>
              <w:instrText xml:space="preserve"> PAGEREF _Toc220491032 \h </w:instrText>
            </w:r>
            <w:r>
              <w:rPr>
                <w:noProof/>
                <w:webHidden/>
              </w:rPr>
            </w:r>
            <w:r>
              <w:rPr>
                <w:noProof/>
                <w:webHidden/>
              </w:rPr>
              <w:fldChar w:fldCharType="separate"/>
            </w:r>
            <w:r>
              <w:rPr>
                <w:noProof/>
                <w:webHidden/>
              </w:rPr>
              <w:t>482</w:t>
            </w:r>
            <w:r>
              <w:rPr>
                <w:noProof/>
                <w:webHidden/>
              </w:rPr>
              <w:fldChar w:fldCharType="end"/>
            </w:r>
          </w:hyperlink>
        </w:p>
        <w:p w14:paraId="17BBB65C" w14:textId="50572406"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033" w:history="1">
            <w:r w:rsidRPr="001D4C20">
              <w:rPr>
                <w:rStyle w:val="Lienhypertexte"/>
                <w:noProof/>
              </w:rPr>
              <w:t>54.17 Enduits à base d'argile CCTB 01.08</w:t>
            </w:r>
            <w:r>
              <w:rPr>
                <w:noProof/>
                <w:webHidden/>
              </w:rPr>
              <w:tab/>
            </w:r>
            <w:r>
              <w:rPr>
                <w:noProof/>
                <w:webHidden/>
              </w:rPr>
              <w:fldChar w:fldCharType="begin"/>
            </w:r>
            <w:r>
              <w:rPr>
                <w:noProof/>
                <w:webHidden/>
              </w:rPr>
              <w:instrText xml:space="preserve"> PAGEREF _Toc220491033 \h </w:instrText>
            </w:r>
            <w:r>
              <w:rPr>
                <w:noProof/>
                <w:webHidden/>
              </w:rPr>
            </w:r>
            <w:r>
              <w:rPr>
                <w:noProof/>
                <w:webHidden/>
              </w:rPr>
              <w:fldChar w:fldCharType="separate"/>
            </w:r>
            <w:r>
              <w:rPr>
                <w:noProof/>
                <w:webHidden/>
              </w:rPr>
              <w:t>483</w:t>
            </w:r>
            <w:r>
              <w:rPr>
                <w:noProof/>
                <w:webHidden/>
              </w:rPr>
              <w:fldChar w:fldCharType="end"/>
            </w:r>
          </w:hyperlink>
        </w:p>
        <w:p w14:paraId="174FA6E4" w14:textId="3FE1D19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34" w:history="1">
            <w:r w:rsidRPr="001D4C20">
              <w:rPr>
                <w:rStyle w:val="Lienhypertexte"/>
                <w:noProof/>
              </w:rPr>
              <w:t>54.17.1 Enduits à base d'argile</w:t>
            </w:r>
            <w:r>
              <w:rPr>
                <w:noProof/>
                <w:webHidden/>
              </w:rPr>
              <w:tab/>
            </w:r>
            <w:r>
              <w:rPr>
                <w:noProof/>
                <w:webHidden/>
              </w:rPr>
              <w:fldChar w:fldCharType="begin"/>
            </w:r>
            <w:r>
              <w:rPr>
                <w:noProof/>
                <w:webHidden/>
              </w:rPr>
              <w:instrText xml:space="preserve"> PAGEREF _Toc220491034 \h </w:instrText>
            </w:r>
            <w:r>
              <w:rPr>
                <w:noProof/>
                <w:webHidden/>
              </w:rPr>
            </w:r>
            <w:r>
              <w:rPr>
                <w:noProof/>
                <w:webHidden/>
              </w:rPr>
              <w:fldChar w:fldCharType="separate"/>
            </w:r>
            <w:r>
              <w:rPr>
                <w:noProof/>
                <w:webHidden/>
              </w:rPr>
              <w:t>483</w:t>
            </w:r>
            <w:r>
              <w:rPr>
                <w:noProof/>
                <w:webHidden/>
              </w:rPr>
              <w:fldChar w:fldCharType="end"/>
            </w:r>
          </w:hyperlink>
        </w:p>
        <w:p w14:paraId="65C22688" w14:textId="2526ADC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35" w:history="1">
            <w:r w:rsidRPr="001D4C20">
              <w:rPr>
                <w:rStyle w:val="Lienhypertexte"/>
                <w:noProof/>
              </w:rPr>
              <w:t>54.17.1a Enduits à base d'argile CCTB 01.12</w:t>
            </w:r>
            <w:r>
              <w:rPr>
                <w:noProof/>
                <w:webHidden/>
              </w:rPr>
              <w:tab/>
            </w:r>
            <w:r>
              <w:rPr>
                <w:noProof/>
                <w:webHidden/>
              </w:rPr>
              <w:fldChar w:fldCharType="begin"/>
            </w:r>
            <w:r>
              <w:rPr>
                <w:noProof/>
                <w:webHidden/>
              </w:rPr>
              <w:instrText xml:space="preserve"> PAGEREF _Toc220491035 \h </w:instrText>
            </w:r>
            <w:r>
              <w:rPr>
                <w:noProof/>
                <w:webHidden/>
              </w:rPr>
            </w:r>
            <w:r>
              <w:rPr>
                <w:noProof/>
                <w:webHidden/>
              </w:rPr>
              <w:fldChar w:fldCharType="separate"/>
            </w:r>
            <w:r>
              <w:rPr>
                <w:noProof/>
                <w:webHidden/>
              </w:rPr>
              <w:t>483</w:t>
            </w:r>
            <w:r>
              <w:rPr>
                <w:noProof/>
                <w:webHidden/>
              </w:rPr>
              <w:fldChar w:fldCharType="end"/>
            </w:r>
          </w:hyperlink>
        </w:p>
        <w:p w14:paraId="644D27F7" w14:textId="203EC0D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36" w:history="1">
            <w:r w:rsidRPr="001D4C20">
              <w:rPr>
                <w:rStyle w:val="Lienhypertexte"/>
                <w:noProof/>
              </w:rPr>
              <w:t>54.17.1b Enduits à base d'argile et d'autres composants minéraux CCTB 01.12</w:t>
            </w:r>
            <w:r>
              <w:rPr>
                <w:noProof/>
                <w:webHidden/>
              </w:rPr>
              <w:tab/>
            </w:r>
            <w:r>
              <w:rPr>
                <w:noProof/>
                <w:webHidden/>
              </w:rPr>
              <w:fldChar w:fldCharType="begin"/>
            </w:r>
            <w:r>
              <w:rPr>
                <w:noProof/>
                <w:webHidden/>
              </w:rPr>
              <w:instrText xml:space="preserve"> PAGEREF _Toc220491036 \h </w:instrText>
            </w:r>
            <w:r>
              <w:rPr>
                <w:noProof/>
                <w:webHidden/>
              </w:rPr>
            </w:r>
            <w:r>
              <w:rPr>
                <w:noProof/>
                <w:webHidden/>
              </w:rPr>
              <w:fldChar w:fldCharType="separate"/>
            </w:r>
            <w:r>
              <w:rPr>
                <w:noProof/>
                <w:webHidden/>
              </w:rPr>
              <w:t>487</w:t>
            </w:r>
            <w:r>
              <w:rPr>
                <w:noProof/>
                <w:webHidden/>
              </w:rPr>
              <w:fldChar w:fldCharType="end"/>
            </w:r>
          </w:hyperlink>
        </w:p>
        <w:p w14:paraId="7F031288" w14:textId="7CD66081"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037" w:history="1">
            <w:r w:rsidRPr="001D4C20">
              <w:rPr>
                <w:rStyle w:val="Lienhypertexte"/>
                <w:noProof/>
              </w:rPr>
              <w:t>54.2 Revêtements de plafonds en plaques/panneaux CCTB 01.11</w:t>
            </w:r>
            <w:r>
              <w:rPr>
                <w:noProof/>
                <w:webHidden/>
              </w:rPr>
              <w:tab/>
            </w:r>
            <w:r>
              <w:rPr>
                <w:noProof/>
                <w:webHidden/>
              </w:rPr>
              <w:fldChar w:fldCharType="begin"/>
            </w:r>
            <w:r>
              <w:rPr>
                <w:noProof/>
                <w:webHidden/>
              </w:rPr>
              <w:instrText xml:space="preserve"> PAGEREF _Toc220491037 \h </w:instrText>
            </w:r>
            <w:r>
              <w:rPr>
                <w:noProof/>
                <w:webHidden/>
              </w:rPr>
            </w:r>
            <w:r>
              <w:rPr>
                <w:noProof/>
                <w:webHidden/>
              </w:rPr>
              <w:fldChar w:fldCharType="separate"/>
            </w:r>
            <w:r>
              <w:rPr>
                <w:noProof/>
                <w:webHidden/>
              </w:rPr>
              <w:t>490</w:t>
            </w:r>
            <w:r>
              <w:rPr>
                <w:noProof/>
                <w:webHidden/>
              </w:rPr>
              <w:fldChar w:fldCharType="end"/>
            </w:r>
          </w:hyperlink>
        </w:p>
        <w:p w14:paraId="33EAE983" w14:textId="2D7AC975"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038" w:history="1">
            <w:r w:rsidRPr="001D4C20">
              <w:rPr>
                <w:rStyle w:val="Lienhypertexte"/>
                <w:noProof/>
              </w:rPr>
              <w:t>54.21 Revêtements de plafonds en plaques/panneaux CCTB 01.11</w:t>
            </w:r>
            <w:r>
              <w:rPr>
                <w:noProof/>
                <w:webHidden/>
              </w:rPr>
              <w:tab/>
            </w:r>
            <w:r>
              <w:rPr>
                <w:noProof/>
                <w:webHidden/>
              </w:rPr>
              <w:fldChar w:fldCharType="begin"/>
            </w:r>
            <w:r>
              <w:rPr>
                <w:noProof/>
                <w:webHidden/>
              </w:rPr>
              <w:instrText xml:space="preserve"> PAGEREF _Toc220491038 \h </w:instrText>
            </w:r>
            <w:r>
              <w:rPr>
                <w:noProof/>
                <w:webHidden/>
              </w:rPr>
            </w:r>
            <w:r>
              <w:rPr>
                <w:noProof/>
                <w:webHidden/>
              </w:rPr>
              <w:fldChar w:fldCharType="separate"/>
            </w:r>
            <w:r>
              <w:rPr>
                <w:noProof/>
                <w:webHidden/>
              </w:rPr>
              <w:t>491</w:t>
            </w:r>
            <w:r>
              <w:rPr>
                <w:noProof/>
                <w:webHidden/>
              </w:rPr>
              <w:fldChar w:fldCharType="end"/>
            </w:r>
          </w:hyperlink>
        </w:p>
        <w:p w14:paraId="560D150A" w14:textId="46ADF87B"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39" w:history="1">
            <w:r w:rsidRPr="001D4C20">
              <w:rPr>
                <w:rStyle w:val="Lienhypertexte"/>
                <w:noProof/>
              </w:rPr>
              <w:t>54.21.1 Revêtements de plafonds en plaques/panneaux à base de plâtre CCTB 01.02</w:t>
            </w:r>
            <w:r>
              <w:rPr>
                <w:noProof/>
                <w:webHidden/>
              </w:rPr>
              <w:tab/>
            </w:r>
            <w:r>
              <w:rPr>
                <w:noProof/>
                <w:webHidden/>
              </w:rPr>
              <w:fldChar w:fldCharType="begin"/>
            </w:r>
            <w:r>
              <w:rPr>
                <w:noProof/>
                <w:webHidden/>
              </w:rPr>
              <w:instrText xml:space="preserve"> PAGEREF _Toc220491039 \h </w:instrText>
            </w:r>
            <w:r>
              <w:rPr>
                <w:noProof/>
                <w:webHidden/>
              </w:rPr>
            </w:r>
            <w:r>
              <w:rPr>
                <w:noProof/>
                <w:webHidden/>
              </w:rPr>
              <w:fldChar w:fldCharType="separate"/>
            </w:r>
            <w:r>
              <w:rPr>
                <w:noProof/>
                <w:webHidden/>
              </w:rPr>
              <w:t>491</w:t>
            </w:r>
            <w:r>
              <w:rPr>
                <w:noProof/>
                <w:webHidden/>
              </w:rPr>
              <w:fldChar w:fldCharType="end"/>
            </w:r>
          </w:hyperlink>
        </w:p>
        <w:p w14:paraId="4EED014A" w14:textId="1330CB9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40" w:history="1">
            <w:r w:rsidRPr="001D4C20">
              <w:rPr>
                <w:rStyle w:val="Lienhypertexte"/>
                <w:noProof/>
              </w:rPr>
              <w:t>54.21.1a Revêtements de plafonds en plaques/panneaux à base de plâtre CCTB 01.11</w:t>
            </w:r>
            <w:r>
              <w:rPr>
                <w:noProof/>
                <w:webHidden/>
              </w:rPr>
              <w:tab/>
            </w:r>
            <w:r>
              <w:rPr>
                <w:noProof/>
                <w:webHidden/>
              </w:rPr>
              <w:fldChar w:fldCharType="begin"/>
            </w:r>
            <w:r>
              <w:rPr>
                <w:noProof/>
                <w:webHidden/>
              </w:rPr>
              <w:instrText xml:space="preserve"> PAGEREF _Toc220491040 \h </w:instrText>
            </w:r>
            <w:r>
              <w:rPr>
                <w:noProof/>
                <w:webHidden/>
              </w:rPr>
            </w:r>
            <w:r>
              <w:rPr>
                <w:noProof/>
                <w:webHidden/>
              </w:rPr>
              <w:fldChar w:fldCharType="separate"/>
            </w:r>
            <w:r>
              <w:rPr>
                <w:noProof/>
                <w:webHidden/>
              </w:rPr>
              <w:t>491</w:t>
            </w:r>
            <w:r>
              <w:rPr>
                <w:noProof/>
                <w:webHidden/>
              </w:rPr>
              <w:fldChar w:fldCharType="end"/>
            </w:r>
          </w:hyperlink>
        </w:p>
        <w:p w14:paraId="755759DB" w14:textId="3A68A831"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41" w:history="1">
            <w:r w:rsidRPr="001D4C20">
              <w:rPr>
                <w:rStyle w:val="Lienhypertexte"/>
                <w:noProof/>
              </w:rPr>
              <w:t>54.21.2 Revêtements de plafonds en plaques/panneaux à base minérale autres que plâtre CCTB 01.11</w:t>
            </w:r>
            <w:r>
              <w:rPr>
                <w:noProof/>
                <w:webHidden/>
              </w:rPr>
              <w:tab/>
            </w:r>
            <w:r>
              <w:rPr>
                <w:noProof/>
                <w:webHidden/>
              </w:rPr>
              <w:fldChar w:fldCharType="begin"/>
            </w:r>
            <w:r>
              <w:rPr>
                <w:noProof/>
                <w:webHidden/>
              </w:rPr>
              <w:instrText xml:space="preserve"> PAGEREF _Toc220491041 \h </w:instrText>
            </w:r>
            <w:r>
              <w:rPr>
                <w:noProof/>
                <w:webHidden/>
              </w:rPr>
            </w:r>
            <w:r>
              <w:rPr>
                <w:noProof/>
                <w:webHidden/>
              </w:rPr>
              <w:fldChar w:fldCharType="separate"/>
            </w:r>
            <w:r>
              <w:rPr>
                <w:noProof/>
                <w:webHidden/>
              </w:rPr>
              <w:t>495</w:t>
            </w:r>
            <w:r>
              <w:rPr>
                <w:noProof/>
                <w:webHidden/>
              </w:rPr>
              <w:fldChar w:fldCharType="end"/>
            </w:r>
          </w:hyperlink>
        </w:p>
        <w:p w14:paraId="331F2EEE" w14:textId="66D5D2B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42" w:history="1">
            <w:r w:rsidRPr="001D4C20">
              <w:rPr>
                <w:rStyle w:val="Lienhypertexte"/>
                <w:noProof/>
              </w:rPr>
              <w:t>54.21.2a Revêtements de plafonds en plaques/panneaux en silico-calcaire CCTB 01.11</w:t>
            </w:r>
            <w:r>
              <w:rPr>
                <w:noProof/>
                <w:webHidden/>
              </w:rPr>
              <w:tab/>
            </w:r>
            <w:r>
              <w:rPr>
                <w:noProof/>
                <w:webHidden/>
              </w:rPr>
              <w:fldChar w:fldCharType="begin"/>
            </w:r>
            <w:r>
              <w:rPr>
                <w:noProof/>
                <w:webHidden/>
              </w:rPr>
              <w:instrText xml:space="preserve"> PAGEREF _Toc220491042 \h </w:instrText>
            </w:r>
            <w:r>
              <w:rPr>
                <w:noProof/>
                <w:webHidden/>
              </w:rPr>
            </w:r>
            <w:r>
              <w:rPr>
                <w:noProof/>
                <w:webHidden/>
              </w:rPr>
              <w:fldChar w:fldCharType="separate"/>
            </w:r>
            <w:r>
              <w:rPr>
                <w:noProof/>
                <w:webHidden/>
              </w:rPr>
              <w:t>495</w:t>
            </w:r>
            <w:r>
              <w:rPr>
                <w:noProof/>
                <w:webHidden/>
              </w:rPr>
              <w:fldChar w:fldCharType="end"/>
            </w:r>
          </w:hyperlink>
        </w:p>
        <w:p w14:paraId="4E582A6A" w14:textId="1A38457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43" w:history="1">
            <w:r w:rsidRPr="001D4C20">
              <w:rPr>
                <w:rStyle w:val="Lienhypertexte"/>
                <w:noProof/>
              </w:rPr>
              <w:t>54.21.2b Revêtements de plafonds en plaques/panneaux en fibro-ciment CCTB 01.02</w:t>
            </w:r>
            <w:r>
              <w:rPr>
                <w:noProof/>
                <w:webHidden/>
              </w:rPr>
              <w:tab/>
            </w:r>
            <w:r>
              <w:rPr>
                <w:noProof/>
                <w:webHidden/>
              </w:rPr>
              <w:fldChar w:fldCharType="begin"/>
            </w:r>
            <w:r>
              <w:rPr>
                <w:noProof/>
                <w:webHidden/>
              </w:rPr>
              <w:instrText xml:space="preserve"> PAGEREF _Toc220491043 \h </w:instrText>
            </w:r>
            <w:r>
              <w:rPr>
                <w:noProof/>
                <w:webHidden/>
              </w:rPr>
            </w:r>
            <w:r>
              <w:rPr>
                <w:noProof/>
                <w:webHidden/>
              </w:rPr>
              <w:fldChar w:fldCharType="separate"/>
            </w:r>
            <w:r>
              <w:rPr>
                <w:noProof/>
                <w:webHidden/>
              </w:rPr>
              <w:t>499</w:t>
            </w:r>
            <w:r>
              <w:rPr>
                <w:noProof/>
                <w:webHidden/>
              </w:rPr>
              <w:fldChar w:fldCharType="end"/>
            </w:r>
          </w:hyperlink>
        </w:p>
        <w:p w14:paraId="27600910" w14:textId="36335C84"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44" w:history="1">
            <w:r w:rsidRPr="001D4C20">
              <w:rPr>
                <w:rStyle w:val="Lienhypertexte"/>
                <w:noProof/>
              </w:rPr>
              <w:t>54.21.3 Revêtements de plafonds en plaques/panneaux à base de bois CCTB 01.02</w:t>
            </w:r>
            <w:r>
              <w:rPr>
                <w:noProof/>
                <w:webHidden/>
              </w:rPr>
              <w:tab/>
            </w:r>
            <w:r>
              <w:rPr>
                <w:noProof/>
                <w:webHidden/>
              </w:rPr>
              <w:fldChar w:fldCharType="begin"/>
            </w:r>
            <w:r>
              <w:rPr>
                <w:noProof/>
                <w:webHidden/>
              </w:rPr>
              <w:instrText xml:space="preserve"> PAGEREF _Toc220491044 \h </w:instrText>
            </w:r>
            <w:r>
              <w:rPr>
                <w:noProof/>
                <w:webHidden/>
              </w:rPr>
            </w:r>
            <w:r>
              <w:rPr>
                <w:noProof/>
                <w:webHidden/>
              </w:rPr>
              <w:fldChar w:fldCharType="separate"/>
            </w:r>
            <w:r>
              <w:rPr>
                <w:noProof/>
                <w:webHidden/>
              </w:rPr>
              <w:t>499</w:t>
            </w:r>
            <w:r>
              <w:rPr>
                <w:noProof/>
                <w:webHidden/>
              </w:rPr>
              <w:fldChar w:fldCharType="end"/>
            </w:r>
          </w:hyperlink>
        </w:p>
        <w:p w14:paraId="2A487B83" w14:textId="6AEBB94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45" w:history="1">
            <w:r w:rsidRPr="001D4C20">
              <w:rPr>
                <w:rStyle w:val="Lienhypertexte"/>
                <w:noProof/>
              </w:rPr>
              <w:t>54.21.3a Revêtements de plafonds en plaques/panneaux en bois massif CCTB 01.02</w:t>
            </w:r>
            <w:r>
              <w:rPr>
                <w:noProof/>
                <w:webHidden/>
              </w:rPr>
              <w:tab/>
            </w:r>
            <w:r>
              <w:rPr>
                <w:noProof/>
                <w:webHidden/>
              </w:rPr>
              <w:fldChar w:fldCharType="begin"/>
            </w:r>
            <w:r>
              <w:rPr>
                <w:noProof/>
                <w:webHidden/>
              </w:rPr>
              <w:instrText xml:space="preserve"> PAGEREF _Toc220491045 \h </w:instrText>
            </w:r>
            <w:r>
              <w:rPr>
                <w:noProof/>
                <w:webHidden/>
              </w:rPr>
            </w:r>
            <w:r>
              <w:rPr>
                <w:noProof/>
                <w:webHidden/>
              </w:rPr>
              <w:fldChar w:fldCharType="separate"/>
            </w:r>
            <w:r>
              <w:rPr>
                <w:noProof/>
                <w:webHidden/>
              </w:rPr>
              <w:t>499</w:t>
            </w:r>
            <w:r>
              <w:rPr>
                <w:noProof/>
                <w:webHidden/>
              </w:rPr>
              <w:fldChar w:fldCharType="end"/>
            </w:r>
          </w:hyperlink>
        </w:p>
        <w:p w14:paraId="39B71C1E" w14:textId="5BEB342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46" w:history="1">
            <w:r w:rsidRPr="001D4C20">
              <w:rPr>
                <w:rStyle w:val="Lienhypertexte"/>
                <w:noProof/>
              </w:rPr>
              <w:t>54.21.3b Revêtements de plafonds en plaques/panneaux composés de particules de bois CCTB 01.02</w:t>
            </w:r>
            <w:r>
              <w:rPr>
                <w:noProof/>
                <w:webHidden/>
              </w:rPr>
              <w:tab/>
            </w:r>
            <w:r>
              <w:rPr>
                <w:noProof/>
                <w:webHidden/>
              </w:rPr>
              <w:fldChar w:fldCharType="begin"/>
            </w:r>
            <w:r>
              <w:rPr>
                <w:noProof/>
                <w:webHidden/>
              </w:rPr>
              <w:instrText xml:space="preserve"> PAGEREF _Toc220491046 \h </w:instrText>
            </w:r>
            <w:r>
              <w:rPr>
                <w:noProof/>
                <w:webHidden/>
              </w:rPr>
            </w:r>
            <w:r>
              <w:rPr>
                <w:noProof/>
                <w:webHidden/>
              </w:rPr>
              <w:fldChar w:fldCharType="separate"/>
            </w:r>
            <w:r>
              <w:rPr>
                <w:noProof/>
                <w:webHidden/>
              </w:rPr>
              <w:t>499</w:t>
            </w:r>
            <w:r>
              <w:rPr>
                <w:noProof/>
                <w:webHidden/>
              </w:rPr>
              <w:fldChar w:fldCharType="end"/>
            </w:r>
          </w:hyperlink>
        </w:p>
        <w:p w14:paraId="40BE8856" w14:textId="7BA057C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47" w:history="1">
            <w:r w:rsidRPr="001D4C20">
              <w:rPr>
                <w:rStyle w:val="Lienhypertexte"/>
                <w:noProof/>
              </w:rPr>
              <w:t>54.21.3c Revêtements de plafonds en plaques/panneaux en contreplaqués CCTB 01.02</w:t>
            </w:r>
            <w:r>
              <w:rPr>
                <w:noProof/>
                <w:webHidden/>
              </w:rPr>
              <w:tab/>
            </w:r>
            <w:r>
              <w:rPr>
                <w:noProof/>
                <w:webHidden/>
              </w:rPr>
              <w:fldChar w:fldCharType="begin"/>
            </w:r>
            <w:r>
              <w:rPr>
                <w:noProof/>
                <w:webHidden/>
              </w:rPr>
              <w:instrText xml:space="preserve"> PAGEREF _Toc220491047 \h </w:instrText>
            </w:r>
            <w:r>
              <w:rPr>
                <w:noProof/>
                <w:webHidden/>
              </w:rPr>
            </w:r>
            <w:r>
              <w:rPr>
                <w:noProof/>
                <w:webHidden/>
              </w:rPr>
              <w:fldChar w:fldCharType="separate"/>
            </w:r>
            <w:r>
              <w:rPr>
                <w:noProof/>
                <w:webHidden/>
              </w:rPr>
              <w:t>499</w:t>
            </w:r>
            <w:r>
              <w:rPr>
                <w:noProof/>
                <w:webHidden/>
              </w:rPr>
              <w:fldChar w:fldCharType="end"/>
            </w:r>
          </w:hyperlink>
        </w:p>
        <w:p w14:paraId="6881121F" w14:textId="0C8C3F6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48" w:history="1">
            <w:r w:rsidRPr="001D4C20">
              <w:rPr>
                <w:rStyle w:val="Lienhypertexte"/>
                <w:noProof/>
              </w:rPr>
              <w:t>54.21.3d Revêtements de plafonds en plaques/panneaux en fibres de bois HB CCTB 01.02</w:t>
            </w:r>
            <w:r>
              <w:rPr>
                <w:noProof/>
                <w:webHidden/>
              </w:rPr>
              <w:tab/>
            </w:r>
            <w:r>
              <w:rPr>
                <w:noProof/>
                <w:webHidden/>
              </w:rPr>
              <w:fldChar w:fldCharType="begin"/>
            </w:r>
            <w:r>
              <w:rPr>
                <w:noProof/>
                <w:webHidden/>
              </w:rPr>
              <w:instrText xml:space="preserve"> PAGEREF _Toc220491048 \h </w:instrText>
            </w:r>
            <w:r>
              <w:rPr>
                <w:noProof/>
                <w:webHidden/>
              </w:rPr>
            </w:r>
            <w:r>
              <w:rPr>
                <w:noProof/>
                <w:webHidden/>
              </w:rPr>
              <w:fldChar w:fldCharType="separate"/>
            </w:r>
            <w:r>
              <w:rPr>
                <w:noProof/>
                <w:webHidden/>
              </w:rPr>
              <w:t>499</w:t>
            </w:r>
            <w:r>
              <w:rPr>
                <w:noProof/>
                <w:webHidden/>
              </w:rPr>
              <w:fldChar w:fldCharType="end"/>
            </w:r>
          </w:hyperlink>
        </w:p>
        <w:p w14:paraId="3AA12905" w14:textId="0459734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49" w:history="1">
            <w:r w:rsidRPr="001D4C20">
              <w:rPr>
                <w:rStyle w:val="Lienhypertexte"/>
                <w:noProof/>
              </w:rPr>
              <w:t>54.21.3e Revêtements de plafonds en plaques/panneaux en fibres de bois MB CCTB 01.02</w:t>
            </w:r>
            <w:r>
              <w:rPr>
                <w:noProof/>
                <w:webHidden/>
              </w:rPr>
              <w:tab/>
            </w:r>
            <w:r>
              <w:rPr>
                <w:noProof/>
                <w:webHidden/>
              </w:rPr>
              <w:fldChar w:fldCharType="begin"/>
            </w:r>
            <w:r>
              <w:rPr>
                <w:noProof/>
                <w:webHidden/>
              </w:rPr>
              <w:instrText xml:space="preserve"> PAGEREF _Toc220491049 \h </w:instrText>
            </w:r>
            <w:r>
              <w:rPr>
                <w:noProof/>
                <w:webHidden/>
              </w:rPr>
            </w:r>
            <w:r>
              <w:rPr>
                <w:noProof/>
                <w:webHidden/>
              </w:rPr>
              <w:fldChar w:fldCharType="separate"/>
            </w:r>
            <w:r>
              <w:rPr>
                <w:noProof/>
                <w:webHidden/>
              </w:rPr>
              <w:t>499</w:t>
            </w:r>
            <w:r>
              <w:rPr>
                <w:noProof/>
                <w:webHidden/>
              </w:rPr>
              <w:fldChar w:fldCharType="end"/>
            </w:r>
          </w:hyperlink>
        </w:p>
        <w:p w14:paraId="53AF8506" w14:textId="4226FFA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50" w:history="1">
            <w:r w:rsidRPr="001D4C20">
              <w:rPr>
                <w:rStyle w:val="Lienhypertexte"/>
                <w:noProof/>
              </w:rPr>
              <w:t>54.21.3f Revêtements de plafonds en plaques/panneaux en fibres de bois MDF CCTB 01.02</w:t>
            </w:r>
            <w:r>
              <w:rPr>
                <w:noProof/>
                <w:webHidden/>
              </w:rPr>
              <w:tab/>
            </w:r>
            <w:r>
              <w:rPr>
                <w:noProof/>
                <w:webHidden/>
              </w:rPr>
              <w:fldChar w:fldCharType="begin"/>
            </w:r>
            <w:r>
              <w:rPr>
                <w:noProof/>
                <w:webHidden/>
              </w:rPr>
              <w:instrText xml:space="preserve"> PAGEREF _Toc220491050 \h </w:instrText>
            </w:r>
            <w:r>
              <w:rPr>
                <w:noProof/>
                <w:webHidden/>
              </w:rPr>
            </w:r>
            <w:r>
              <w:rPr>
                <w:noProof/>
                <w:webHidden/>
              </w:rPr>
              <w:fldChar w:fldCharType="separate"/>
            </w:r>
            <w:r>
              <w:rPr>
                <w:noProof/>
                <w:webHidden/>
              </w:rPr>
              <w:t>499</w:t>
            </w:r>
            <w:r>
              <w:rPr>
                <w:noProof/>
                <w:webHidden/>
              </w:rPr>
              <w:fldChar w:fldCharType="end"/>
            </w:r>
          </w:hyperlink>
        </w:p>
        <w:p w14:paraId="0F8F19B7" w14:textId="2ED123B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51" w:history="1">
            <w:r w:rsidRPr="001D4C20">
              <w:rPr>
                <w:rStyle w:val="Lienhypertexte"/>
                <w:noProof/>
              </w:rPr>
              <w:t>54.21.3g Revêtements de plafonds en plaques/panneaux en OSB CCTB 01.02</w:t>
            </w:r>
            <w:r>
              <w:rPr>
                <w:noProof/>
                <w:webHidden/>
              </w:rPr>
              <w:tab/>
            </w:r>
            <w:r>
              <w:rPr>
                <w:noProof/>
                <w:webHidden/>
              </w:rPr>
              <w:fldChar w:fldCharType="begin"/>
            </w:r>
            <w:r>
              <w:rPr>
                <w:noProof/>
                <w:webHidden/>
              </w:rPr>
              <w:instrText xml:space="preserve"> PAGEREF _Toc220491051 \h </w:instrText>
            </w:r>
            <w:r>
              <w:rPr>
                <w:noProof/>
                <w:webHidden/>
              </w:rPr>
            </w:r>
            <w:r>
              <w:rPr>
                <w:noProof/>
                <w:webHidden/>
              </w:rPr>
              <w:fldChar w:fldCharType="separate"/>
            </w:r>
            <w:r>
              <w:rPr>
                <w:noProof/>
                <w:webHidden/>
              </w:rPr>
              <w:t>499</w:t>
            </w:r>
            <w:r>
              <w:rPr>
                <w:noProof/>
                <w:webHidden/>
              </w:rPr>
              <w:fldChar w:fldCharType="end"/>
            </w:r>
          </w:hyperlink>
        </w:p>
        <w:p w14:paraId="7FDA2F7C" w14:textId="1102D2EF"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52" w:history="1">
            <w:r w:rsidRPr="001D4C20">
              <w:rPr>
                <w:rStyle w:val="Lienhypertexte"/>
                <w:noProof/>
              </w:rPr>
              <w:t>54.21.4 Revêtements de plafonds en plaques/panneaux composites CCTB 01.02</w:t>
            </w:r>
            <w:r>
              <w:rPr>
                <w:noProof/>
                <w:webHidden/>
              </w:rPr>
              <w:tab/>
            </w:r>
            <w:r>
              <w:rPr>
                <w:noProof/>
                <w:webHidden/>
              </w:rPr>
              <w:fldChar w:fldCharType="begin"/>
            </w:r>
            <w:r>
              <w:rPr>
                <w:noProof/>
                <w:webHidden/>
              </w:rPr>
              <w:instrText xml:space="preserve"> PAGEREF _Toc220491052 \h </w:instrText>
            </w:r>
            <w:r>
              <w:rPr>
                <w:noProof/>
                <w:webHidden/>
              </w:rPr>
            </w:r>
            <w:r>
              <w:rPr>
                <w:noProof/>
                <w:webHidden/>
              </w:rPr>
              <w:fldChar w:fldCharType="separate"/>
            </w:r>
            <w:r>
              <w:rPr>
                <w:noProof/>
                <w:webHidden/>
              </w:rPr>
              <w:t>499</w:t>
            </w:r>
            <w:r>
              <w:rPr>
                <w:noProof/>
                <w:webHidden/>
              </w:rPr>
              <w:fldChar w:fldCharType="end"/>
            </w:r>
          </w:hyperlink>
        </w:p>
        <w:p w14:paraId="705C961D" w14:textId="4E4EE91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53" w:history="1">
            <w:r w:rsidRPr="001D4C20">
              <w:rPr>
                <w:rStyle w:val="Lienhypertexte"/>
                <w:noProof/>
              </w:rPr>
              <w:t>54.21.4a Revêtements de plafonds en plaques/panneaux composites CCTB 01.02</w:t>
            </w:r>
            <w:r>
              <w:rPr>
                <w:noProof/>
                <w:webHidden/>
              </w:rPr>
              <w:tab/>
            </w:r>
            <w:r>
              <w:rPr>
                <w:noProof/>
                <w:webHidden/>
              </w:rPr>
              <w:fldChar w:fldCharType="begin"/>
            </w:r>
            <w:r>
              <w:rPr>
                <w:noProof/>
                <w:webHidden/>
              </w:rPr>
              <w:instrText xml:space="preserve"> PAGEREF _Toc220491053 \h </w:instrText>
            </w:r>
            <w:r>
              <w:rPr>
                <w:noProof/>
                <w:webHidden/>
              </w:rPr>
            </w:r>
            <w:r>
              <w:rPr>
                <w:noProof/>
                <w:webHidden/>
              </w:rPr>
              <w:fldChar w:fldCharType="separate"/>
            </w:r>
            <w:r>
              <w:rPr>
                <w:noProof/>
                <w:webHidden/>
              </w:rPr>
              <w:t>499</w:t>
            </w:r>
            <w:r>
              <w:rPr>
                <w:noProof/>
                <w:webHidden/>
              </w:rPr>
              <w:fldChar w:fldCharType="end"/>
            </w:r>
          </w:hyperlink>
        </w:p>
        <w:p w14:paraId="2AF7D04C" w14:textId="0C6B187D"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54" w:history="1">
            <w:r w:rsidRPr="001D4C20">
              <w:rPr>
                <w:rStyle w:val="Lienhypertexte"/>
                <w:noProof/>
              </w:rPr>
              <w:t>54.21.5 Revêtements de plafonds en plaques/panneaux à base de verre CCTB 01.02</w:t>
            </w:r>
            <w:r>
              <w:rPr>
                <w:noProof/>
                <w:webHidden/>
              </w:rPr>
              <w:tab/>
            </w:r>
            <w:r>
              <w:rPr>
                <w:noProof/>
                <w:webHidden/>
              </w:rPr>
              <w:fldChar w:fldCharType="begin"/>
            </w:r>
            <w:r>
              <w:rPr>
                <w:noProof/>
                <w:webHidden/>
              </w:rPr>
              <w:instrText xml:space="preserve"> PAGEREF _Toc220491054 \h </w:instrText>
            </w:r>
            <w:r>
              <w:rPr>
                <w:noProof/>
                <w:webHidden/>
              </w:rPr>
            </w:r>
            <w:r>
              <w:rPr>
                <w:noProof/>
                <w:webHidden/>
              </w:rPr>
              <w:fldChar w:fldCharType="separate"/>
            </w:r>
            <w:r>
              <w:rPr>
                <w:noProof/>
                <w:webHidden/>
              </w:rPr>
              <w:t>499</w:t>
            </w:r>
            <w:r>
              <w:rPr>
                <w:noProof/>
                <w:webHidden/>
              </w:rPr>
              <w:fldChar w:fldCharType="end"/>
            </w:r>
          </w:hyperlink>
        </w:p>
        <w:p w14:paraId="7FFEAD86" w14:textId="5C08BE1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55" w:history="1">
            <w:r w:rsidRPr="001D4C20">
              <w:rPr>
                <w:rStyle w:val="Lienhypertexte"/>
                <w:noProof/>
              </w:rPr>
              <w:t>54.21.5a Revêtements de plafonds en plaques/panneaux à base de verre - en verre plein CCTB 01.10</w:t>
            </w:r>
            <w:r>
              <w:rPr>
                <w:noProof/>
                <w:webHidden/>
              </w:rPr>
              <w:tab/>
            </w:r>
            <w:r>
              <w:rPr>
                <w:noProof/>
                <w:webHidden/>
              </w:rPr>
              <w:fldChar w:fldCharType="begin"/>
            </w:r>
            <w:r>
              <w:rPr>
                <w:noProof/>
                <w:webHidden/>
              </w:rPr>
              <w:instrText xml:space="preserve"> PAGEREF _Toc220491055 \h </w:instrText>
            </w:r>
            <w:r>
              <w:rPr>
                <w:noProof/>
                <w:webHidden/>
              </w:rPr>
            </w:r>
            <w:r>
              <w:rPr>
                <w:noProof/>
                <w:webHidden/>
              </w:rPr>
              <w:fldChar w:fldCharType="separate"/>
            </w:r>
            <w:r>
              <w:rPr>
                <w:noProof/>
                <w:webHidden/>
              </w:rPr>
              <w:t>499</w:t>
            </w:r>
            <w:r>
              <w:rPr>
                <w:noProof/>
                <w:webHidden/>
              </w:rPr>
              <w:fldChar w:fldCharType="end"/>
            </w:r>
          </w:hyperlink>
        </w:p>
        <w:p w14:paraId="6853FD8A" w14:textId="793F71A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56" w:history="1">
            <w:r w:rsidRPr="001D4C20">
              <w:rPr>
                <w:rStyle w:val="Lienhypertexte"/>
                <w:noProof/>
              </w:rPr>
              <w:t>54.21.5b Revêtements de plafonds en plaques/panneaux à base de verre - en miroir CCTB 01.12</w:t>
            </w:r>
            <w:r>
              <w:rPr>
                <w:noProof/>
                <w:webHidden/>
              </w:rPr>
              <w:tab/>
            </w:r>
            <w:r>
              <w:rPr>
                <w:noProof/>
                <w:webHidden/>
              </w:rPr>
              <w:fldChar w:fldCharType="begin"/>
            </w:r>
            <w:r>
              <w:rPr>
                <w:noProof/>
                <w:webHidden/>
              </w:rPr>
              <w:instrText xml:space="preserve"> PAGEREF _Toc220491056 \h </w:instrText>
            </w:r>
            <w:r>
              <w:rPr>
                <w:noProof/>
                <w:webHidden/>
              </w:rPr>
            </w:r>
            <w:r>
              <w:rPr>
                <w:noProof/>
                <w:webHidden/>
              </w:rPr>
              <w:fldChar w:fldCharType="separate"/>
            </w:r>
            <w:r>
              <w:rPr>
                <w:noProof/>
                <w:webHidden/>
              </w:rPr>
              <w:t>500</w:t>
            </w:r>
            <w:r>
              <w:rPr>
                <w:noProof/>
                <w:webHidden/>
              </w:rPr>
              <w:fldChar w:fldCharType="end"/>
            </w:r>
          </w:hyperlink>
        </w:p>
        <w:p w14:paraId="79328DBE" w14:textId="67947FB9"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057" w:history="1">
            <w:r w:rsidRPr="001D4C20">
              <w:rPr>
                <w:rStyle w:val="Lienhypertexte"/>
                <w:noProof/>
              </w:rPr>
              <w:t>54.3 Plafonds suspendus (Rem.: la structure porteuse est explicité à l'article) CCTB 01.11</w:t>
            </w:r>
            <w:r>
              <w:rPr>
                <w:noProof/>
                <w:webHidden/>
              </w:rPr>
              <w:tab/>
            </w:r>
            <w:r>
              <w:rPr>
                <w:noProof/>
                <w:webHidden/>
              </w:rPr>
              <w:fldChar w:fldCharType="begin"/>
            </w:r>
            <w:r>
              <w:rPr>
                <w:noProof/>
                <w:webHidden/>
              </w:rPr>
              <w:instrText xml:space="preserve"> PAGEREF _Toc220491057 \h </w:instrText>
            </w:r>
            <w:r>
              <w:rPr>
                <w:noProof/>
                <w:webHidden/>
              </w:rPr>
            </w:r>
            <w:r>
              <w:rPr>
                <w:noProof/>
                <w:webHidden/>
              </w:rPr>
              <w:fldChar w:fldCharType="separate"/>
            </w:r>
            <w:r>
              <w:rPr>
                <w:noProof/>
                <w:webHidden/>
              </w:rPr>
              <w:t>500</w:t>
            </w:r>
            <w:r>
              <w:rPr>
                <w:noProof/>
                <w:webHidden/>
              </w:rPr>
              <w:fldChar w:fldCharType="end"/>
            </w:r>
          </w:hyperlink>
        </w:p>
        <w:p w14:paraId="2374A078" w14:textId="391D6C50"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058" w:history="1">
            <w:r w:rsidRPr="001D4C20">
              <w:rPr>
                <w:rStyle w:val="Lienhypertexte"/>
                <w:noProof/>
              </w:rPr>
              <w:t>54.31 Plafonds suspendus - systèmes à lames/plaques/panneaux CCTB 01.11</w:t>
            </w:r>
            <w:r>
              <w:rPr>
                <w:noProof/>
                <w:webHidden/>
              </w:rPr>
              <w:tab/>
            </w:r>
            <w:r>
              <w:rPr>
                <w:noProof/>
                <w:webHidden/>
              </w:rPr>
              <w:fldChar w:fldCharType="begin"/>
            </w:r>
            <w:r>
              <w:rPr>
                <w:noProof/>
                <w:webHidden/>
              </w:rPr>
              <w:instrText xml:space="preserve"> PAGEREF _Toc220491058 \h </w:instrText>
            </w:r>
            <w:r>
              <w:rPr>
                <w:noProof/>
                <w:webHidden/>
              </w:rPr>
            </w:r>
            <w:r>
              <w:rPr>
                <w:noProof/>
                <w:webHidden/>
              </w:rPr>
              <w:fldChar w:fldCharType="separate"/>
            </w:r>
            <w:r>
              <w:rPr>
                <w:noProof/>
                <w:webHidden/>
              </w:rPr>
              <w:t>500</w:t>
            </w:r>
            <w:r>
              <w:rPr>
                <w:noProof/>
                <w:webHidden/>
              </w:rPr>
              <w:fldChar w:fldCharType="end"/>
            </w:r>
          </w:hyperlink>
        </w:p>
        <w:p w14:paraId="4C3CEB8B" w14:textId="4411C4A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59" w:history="1">
            <w:r w:rsidRPr="001D4C20">
              <w:rPr>
                <w:rStyle w:val="Lienhypertexte"/>
                <w:noProof/>
              </w:rPr>
              <w:t>54.31.1 Plafonds suspendus - parement en lames/plaques/panneaux à base de plâtre CCTB 01.02</w:t>
            </w:r>
            <w:r>
              <w:rPr>
                <w:noProof/>
                <w:webHidden/>
              </w:rPr>
              <w:tab/>
            </w:r>
            <w:r>
              <w:rPr>
                <w:noProof/>
                <w:webHidden/>
              </w:rPr>
              <w:fldChar w:fldCharType="begin"/>
            </w:r>
            <w:r>
              <w:rPr>
                <w:noProof/>
                <w:webHidden/>
              </w:rPr>
              <w:instrText xml:space="preserve"> PAGEREF _Toc220491059 \h </w:instrText>
            </w:r>
            <w:r>
              <w:rPr>
                <w:noProof/>
                <w:webHidden/>
              </w:rPr>
            </w:r>
            <w:r>
              <w:rPr>
                <w:noProof/>
                <w:webHidden/>
              </w:rPr>
              <w:fldChar w:fldCharType="separate"/>
            </w:r>
            <w:r>
              <w:rPr>
                <w:noProof/>
                <w:webHidden/>
              </w:rPr>
              <w:t>502</w:t>
            </w:r>
            <w:r>
              <w:rPr>
                <w:noProof/>
                <w:webHidden/>
              </w:rPr>
              <w:fldChar w:fldCharType="end"/>
            </w:r>
          </w:hyperlink>
        </w:p>
        <w:p w14:paraId="58250611" w14:textId="6727BE9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60" w:history="1">
            <w:r w:rsidRPr="001D4C20">
              <w:rPr>
                <w:rStyle w:val="Lienhypertexte"/>
                <w:noProof/>
              </w:rPr>
              <w:t>54.31.1a Plafonds suspendus - parement en lames/plaques/panneaux à base de plâtre CCTB 01.13</w:t>
            </w:r>
            <w:r>
              <w:rPr>
                <w:noProof/>
                <w:webHidden/>
              </w:rPr>
              <w:tab/>
            </w:r>
            <w:r>
              <w:rPr>
                <w:noProof/>
                <w:webHidden/>
              </w:rPr>
              <w:fldChar w:fldCharType="begin"/>
            </w:r>
            <w:r>
              <w:rPr>
                <w:noProof/>
                <w:webHidden/>
              </w:rPr>
              <w:instrText xml:space="preserve"> PAGEREF _Toc220491060 \h </w:instrText>
            </w:r>
            <w:r>
              <w:rPr>
                <w:noProof/>
                <w:webHidden/>
              </w:rPr>
            </w:r>
            <w:r>
              <w:rPr>
                <w:noProof/>
                <w:webHidden/>
              </w:rPr>
              <w:fldChar w:fldCharType="separate"/>
            </w:r>
            <w:r>
              <w:rPr>
                <w:noProof/>
                <w:webHidden/>
              </w:rPr>
              <w:t>502</w:t>
            </w:r>
            <w:r>
              <w:rPr>
                <w:noProof/>
                <w:webHidden/>
              </w:rPr>
              <w:fldChar w:fldCharType="end"/>
            </w:r>
          </w:hyperlink>
        </w:p>
        <w:p w14:paraId="1F669A76" w14:textId="53CBF0E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61" w:history="1">
            <w:r w:rsidRPr="001D4C20">
              <w:rPr>
                <w:rStyle w:val="Lienhypertexte"/>
                <w:noProof/>
              </w:rPr>
              <w:t>54.31.2 Plafonds suspendus - parement en lames/plaques/panneaux à base minérale (silicate, etc.) CCTB 01.11</w:t>
            </w:r>
            <w:r>
              <w:rPr>
                <w:noProof/>
                <w:webHidden/>
              </w:rPr>
              <w:tab/>
            </w:r>
            <w:r>
              <w:rPr>
                <w:noProof/>
                <w:webHidden/>
              </w:rPr>
              <w:fldChar w:fldCharType="begin"/>
            </w:r>
            <w:r>
              <w:rPr>
                <w:noProof/>
                <w:webHidden/>
              </w:rPr>
              <w:instrText xml:space="preserve"> PAGEREF _Toc220491061 \h </w:instrText>
            </w:r>
            <w:r>
              <w:rPr>
                <w:noProof/>
                <w:webHidden/>
              </w:rPr>
            </w:r>
            <w:r>
              <w:rPr>
                <w:noProof/>
                <w:webHidden/>
              </w:rPr>
              <w:fldChar w:fldCharType="separate"/>
            </w:r>
            <w:r>
              <w:rPr>
                <w:noProof/>
                <w:webHidden/>
              </w:rPr>
              <w:t>504</w:t>
            </w:r>
            <w:r>
              <w:rPr>
                <w:noProof/>
                <w:webHidden/>
              </w:rPr>
              <w:fldChar w:fldCharType="end"/>
            </w:r>
          </w:hyperlink>
        </w:p>
        <w:p w14:paraId="3E406401" w14:textId="5A5A23E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62" w:history="1">
            <w:r w:rsidRPr="001D4C20">
              <w:rPr>
                <w:rStyle w:val="Lienhypertexte"/>
                <w:noProof/>
              </w:rPr>
              <w:t>54.31.2a Plafonds suspendus - parement en lames/plaques/panneaux à base minérale (silicate, etc.) - en laine minérale comprimée CCTB 01.02</w:t>
            </w:r>
            <w:r>
              <w:rPr>
                <w:noProof/>
                <w:webHidden/>
              </w:rPr>
              <w:tab/>
            </w:r>
            <w:r>
              <w:rPr>
                <w:noProof/>
                <w:webHidden/>
              </w:rPr>
              <w:fldChar w:fldCharType="begin"/>
            </w:r>
            <w:r>
              <w:rPr>
                <w:noProof/>
                <w:webHidden/>
              </w:rPr>
              <w:instrText xml:space="preserve"> PAGEREF _Toc220491062 \h </w:instrText>
            </w:r>
            <w:r>
              <w:rPr>
                <w:noProof/>
                <w:webHidden/>
              </w:rPr>
            </w:r>
            <w:r>
              <w:rPr>
                <w:noProof/>
                <w:webHidden/>
              </w:rPr>
              <w:fldChar w:fldCharType="separate"/>
            </w:r>
            <w:r>
              <w:rPr>
                <w:noProof/>
                <w:webHidden/>
              </w:rPr>
              <w:t>505</w:t>
            </w:r>
            <w:r>
              <w:rPr>
                <w:noProof/>
                <w:webHidden/>
              </w:rPr>
              <w:fldChar w:fldCharType="end"/>
            </w:r>
          </w:hyperlink>
        </w:p>
        <w:p w14:paraId="47494A9D" w14:textId="25B0A079"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63" w:history="1">
            <w:r w:rsidRPr="001D4C20">
              <w:rPr>
                <w:rStyle w:val="Lienhypertexte"/>
                <w:noProof/>
              </w:rPr>
              <w:t>54.31.3 Plafonds suspendus - parement en lames/plaques/panneaux à base de bois CCTB 01.11</w:t>
            </w:r>
            <w:r>
              <w:rPr>
                <w:noProof/>
                <w:webHidden/>
              </w:rPr>
              <w:tab/>
            </w:r>
            <w:r>
              <w:rPr>
                <w:noProof/>
                <w:webHidden/>
              </w:rPr>
              <w:fldChar w:fldCharType="begin"/>
            </w:r>
            <w:r>
              <w:rPr>
                <w:noProof/>
                <w:webHidden/>
              </w:rPr>
              <w:instrText xml:space="preserve"> PAGEREF _Toc220491063 \h </w:instrText>
            </w:r>
            <w:r>
              <w:rPr>
                <w:noProof/>
                <w:webHidden/>
              </w:rPr>
            </w:r>
            <w:r>
              <w:rPr>
                <w:noProof/>
                <w:webHidden/>
              </w:rPr>
              <w:fldChar w:fldCharType="separate"/>
            </w:r>
            <w:r>
              <w:rPr>
                <w:noProof/>
                <w:webHidden/>
              </w:rPr>
              <w:t>505</w:t>
            </w:r>
            <w:r>
              <w:rPr>
                <w:noProof/>
                <w:webHidden/>
              </w:rPr>
              <w:fldChar w:fldCharType="end"/>
            </w:r>
          </w:hyperlink>
        </w:p>
        <w:p w14:paraId="61C0311D" w14:textId="672F6FD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64" w:history="1">
            <w:r w:rsidRPr="001D4C20">
              <w:rPr>
                <w:rStyle w:val="Lienhypertexte"/>
                <w:noProof/>
              </w:rPr>
              <w:t>54.31.3a Plafonds suspendus - parement en lames/plaques/panneaux à base de bois - en bois massif CCTB 01.02</w:t>
            </w:r>
            <w:r>
              <w:rPr>
                <w:noProof/>
                <w:webHidden/>
              </w:rPr>
              <w:tab/>
            </w:r>
            <w:r>
              <w:rPr>
                <w:noProof/>
                <w:webHidden/>
              </w:rPr>
              <w:fldChar w:fldCharType="begin"/>
            </w:r>
            <w:r>
              <w:rPr>
                <w:noProof/>
                <w:webHidden/>
              </w:rPr>
              <w:instrText xml:space="preserve"> PAGEREF _Toc220491064 \h </w:instrText>
            </w:r>
            <w:r>
              <w:rPr>
                <w:noProof/>
                <w:webHidden/>
              </w:rPr>
            </w:r>
            <w:r>
              <w:rPr>
                <w:noProof/>
                <w:webHidden/>
              </w:rPr>
              <w:fldChar w:fldCharType="separate"/>
            </w:r>
            <w:r>
              <w:rPr>
                <w:noProof/>
                <w:webHidden/>
              </w:rPr>
              <w:t>506</w:t>
            </w:r>
            <w:r>
              <w:rPr>
                <w:noProof/>
                <w:webHidden/>
              </w:rPr>
              <w:fldChar w:fldCharType="end"/>
            </w:r>
          </w:hyperlink>
        </w:p>
        <w:p w14:paraId="25291BB3" w14:textId="6C8246E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65" w:history="1">
            <w:r w:rsidRPr="001D4C20">
              <w:rPr>
                <w:rStyle w:val="Lienhypertexte"/>
                <w:noProof/>
              </w:rPr>
              <w:t>54.31.3b Plafonds suspendus - parement en lames/plaques/panneaux à base de bois - composés de particules de bois CCTB 01.02</w:t>
            </w:r>
            <w:r>
              <w:rPr>
                <w:noProof/>
                <w:webHidden/>
              </w:rPr>
              <w:tab/>
            </w:r>
            <w:r>
              <w:rPr>
                <w:noProof/>
                <w:webHidden/>
              </w:rPr>
              <w:fldChar w:fldCharType="begin"/>
            </w:r>
            <w:r>
              <w:rPr>
                <w:noProof/>
                <w:webHidden/>
              </w:rPr>
              <w:instrText xml:space="preserve"> PAGEREF _Toc220491065 \h </w:instrText>
            </w:r>
            <w:r>
              <w:rPr>
                <w:noProof/>
                <w:webHidden/>
              </w:rPr>
            </w:r>
            <w:r>
              <w:rPr>
                <w:noProof/>
                <w:webHidden/>
              </w:rPr>
              <w:fldChar w:fldCharType="separate"/>
            </w:r>
            <w:r>
              <w:rPr>
                <w:noProof/>
                <w:webHidden/>
              </w:rPr>
              <w:t>506</w:t>
            </w:r>
            <w:r>
              <w:rPr>
                <w:noProof/>
                <w:webHidden/>
              </w:rPr>
              <w:fldChar w:fldCharType="end"/>
            </w:r>
          </w:hyperlink>
        </w:p>
        <w:p w14:paraId="351866AA" w14:textId="7E51251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66" w:history="1">
            <w:r w:rsidRPr="001D4C20">
              <w:rPr>
                <w:rStyle w:val="Lienhypertexte"/>
                <w:noProof/>
              </w:rPr>
              <w:t>54.31.3c Plafonds suspendus - parement en lames/plaques/panneaux à base de bois - contreplaqués CCTB 01.02</w:t>
            </w:r>
            <w:r>
              <w:rPr>
                <w:noProof/>
                <w:webHidden/>
              </w:rPr>
              <w:tab/>
            </w:r>
            <w:r>
              <w:rPr>
                <w:noProof/>
                <w:webHidden/>
              </w:rPr>
              <w:fldChar w:fldCharType="begin"/>
            </w:r>
            <w:r>
              <w:rPr>
                <w:noProof/>
                <w:webHidden/>
              </w:rPr>
              <w:instrText xml:space="preserve"> PAGEREF _Toc220491066 \h </w:instrText>
            </w:r>
            <w:r>
              <w:rPr>
                <w:noProof/>
                <w:webHidden/>
              </w:rPr>
            </w:r>
            <w:r>
              <w:rPr>
                <w:noProof/>
                <w:webHidden/>
              </w:rPr>
              <w:fldChar w:fldCharType="separate"/>
            </w:r>
            <w:r>
              <w:rPr>
                <w:noProof/>
                <w:webHidden/>
              </w:rPr>
              <w:t>506</w:t>
            </w:r>
            <w:r>
              <w:rPr>
                <w:noProof/>
                <w:webHidden/>
              </w:rPr>
              <w:fldChar w:fldCharType="end"/>
            </w:r>
          </w:hyperlink>
        </w:p>
        <w:p w14:paraId="042749EC" w14:textId="19A2FF7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67" w:history="1">
            <w:r w:rsidRPr="001D4C20">
              <w:rPr>
                <w:rStyle w:val="Lienhypertexte"/>
                <w:noProof/>
              </w:rPr>
              <w:t>54.31.3d Plafonds suspendus - parement en lames/plaques/panneaux à base de bois - en fibres de bois HB CCTB 01.02</w:t>
            </w:r>
            <w:r>
              <w:rPr>
                <w:noProof/>
                <w:webHidden/>
              </w:rPr>
              <w:tab/>
            </w:r>
            <w:r>
              <w:rPr>
                <w:noProof/>
                <w:webHidden/>
              </w:rPr>
              <w:fldChar w:fldCharType="begin"/>
            </w:r>
            <w:r>
              <w:rPr>
                <w:noProof/>
                <w:webHidden/>
              </w:rPr>
              <w:instrText xml:space="preserve"> PAGEREF _Toc220491067 \h </w:instrText>
            </w:r>
            <w:r>
              <w:rPr>
                <w:noProof/>
                <w:webHidden/>
              </w:rPr>
            </w:r>
            <w:r>
              <w:rPr>
                <w:noProof/>
                <w:webHidden/>
              </w:rPr>
              <w:fldChar w:fldCharType="separate"/>
            </w:r>
            <w:r>
              <w:rPr>
                <w:noProof/>
                <w:webHidden/>
              </w:rPr>
              <w:t>506</w:t>
            </w:r>
            <w:r>
              <w:rPr>
                <w:noProof/>
                <w:webHidden/>
              </w:rPr>
              <w:fldChar w:fldCharType="end"/>
            </w:r>
          </w:hyperlink>
        </w:p>
        <w:p w14:paraId="724BA51E" w14:textId="4BC2B20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68" w:history="1">
            <w:r w:rsidRPr="001D4C20">
              <w:rPr>
                <w:rStyle w:val="Lienhypertexte"/>
                <w:noProof/>
              </w:rPr>
              <w:t>54.31.3e Plafonds suspendus - parement en lames/plaques/panneaux à base de bois - en fibres de bois MB CCTB 01.02</w:t>
            </w:r>
            <w:r>
              <w:rPr>
                <w:noProof/>
                <w:webHidden/>
              </w:rPr>
              <w:tab/>
            </w:r>
            <w:r>
              <w:rPr>
                <w:noProof/>
                <w:webHidden/>
              </w:rPr>
              <w:fldChar w:fldCharType="begin"/>
            </w:r>
            <w:r>
              <w:rPr>
                <w:noProof/>
                <w:webHidden/>
              </w:rPr>
              <w:instrText xml:space="preserve"> PAGEREF _Toc220491068 \h </w:instrText>
            </w:r>
            <w:r>
              <w:rPr>
                <w:noProof/>
                <w:webHidden/>
              </w:rPr>
            </w:r>
            <w:r>
              <w:rPr>
                <w:noProof/>
                <w:webHidden/>
              </w:rPr>
              <w:fldChar w:fldCharType="separate"/>
            </w:r>
            <w:r>
              <w:rPr>
                <w:noProof/>
                <w:webHidden/>
              </w:rPr>
              <w:t>506</w:t>
            </w:r>
            <w:r>
              <w:rPr>
                <w:noProof/>
                <w:webHidden/>
              </w:rPr>
              <w:fldChar w:fldCharType="end"/>
            </w:r>
          </w:hyperlink>
        </w:p>
        <w:p w14:paraId="5B0A6D8D" w14:textId="1BC9BCF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69" w:history="1">
            <w:r w:rsidRPr="001D4C20">
              <w:rPr>
                <w:rStyle w:val="Lienhypertexte"/>
                <w:noProof/>
              </w:rPr>
              <w:t>54.31.3f Plafonds suspendus - parement en lames/plaques/panneaux à base de bois - en fibres de bois MDF CCTB 01.02</w:t>
            </w:r>
            <w:r>
              <w:rPr>
                <w:noProof/>
                <w:webHidden/>
              </w:rPr>
              <w:tab/>
            </w:r>
            <w:r>
              <w:rPr>
                <w:noProof/>
                <w:webHidden/>
              </w:rPr>
              <w:fldChar w:fldCharType="begin"/>
            </w:r>
            <w:r>
              <w:rPr>
                <w:noProof/>
                <w:webHidden/>
              </w:rPr>
              <w:instrText xml:space="preserve"> PAGEREF _Toc220491069 \h </w:instrText>
            </w:r>
            <w:r>
              <w:rPr>
                <w:noProof/>
                <w:webHidden/>
              </w:rPr>
            </w:r>
            <w:r>
              <w:rPr>
                <w:noProof/>
                <w:webHidden/>
              </w:rPr>
              <w:fldChar w:fldCharType="separate"/>
            </w:r>
            <w:r>
              <w:rPr>
                <w:noProof/>
                <w:webHidden/>
              </w:rPr>
              <w:t>506</w:t>
            </w:r>
            <w:r>
              <w:rPr>
                <w:noProof/>
                <w:webHidden/>
              </w:rPr>
              <w:fldChar w:fldCharType="end"/>
            </w:r>
          </w:hyperlink>
        </w:p>
        <w:p w14:paraId="3A19AB97" w14:textId="79E26C8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70" w:history="1">
            <w:r w:rsidRPr="001D4C20">
              <w:rPr>
                <w:rStyle w:val="Lienhypertexte"/>
                <w:noProof/>
              </w:rPr>
              <w:t>54.31.3g Plafonds suspendus - parement en lames/plaques/panneaux à base de bois - OSB CCTB 01.02</w:t>
            </w:r>
            <w:r>
              <w:rPr>
                <w:noProof/>
                <w:webHidden/>
              </w:rPr>
              <w:tab/>
            </w:r>
            <w:r>
              <w:rPr>
                <w:noProof/>
                <w:webHidden/>
              </w:rPr>
              <w:fldChar w:fldCharType="begin"/>
            </w:r>
            <w:r>
              <w:rPr>
                <w:noProof/>
                <w:webHidden/>
              </w:rPr>
              <w:instrText xml:space="preserve"> PAGEREF _Toc220491070 \h </w:instrText>
            </w:r>
            <w:r>
              <w:rPr>
                <w:noProof/>
                <w:webHidden/>
              </w:rPr>
            </w:r>
            <w:r>
              <w:rPr>
                <w:noProof/>
                <w:webHidden/>
              </w:rPr>
              <w:fldChar w:fldCharType="separate"/>
            </w:r>
            <w:r>
              <w:rPr>
                <w:noProof/>
                <w:webHidden/>
              </w:rPr>
              <w:t>506</w:t>
            </w:r>
            <w:r>
              <w:rPr>
                <w:noProof/>
                <w:webHidden/>
              </w:rPr>
              <w:fldChar w:fldCharType="end"/>
            </w:r>
          </w:hyperlink>
        </w:p>
        <w:p w14:paraId="05D892E1" w14:textId="623D49F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71" w:history="1">
            <w:r w:rsidRPr="001D4C20">
              <w:rPr>
                <w:rStyle w:val="Lienhypertexte"/>
                <w:noProof/>
              </w:rPr>
              <w:t>54.31.3h Plafonds suspendus - parement en lames/plaques/panneaux à base de bois - laine de bois CCTB 01.10</w:t>
            </w:r>
            <w:r>
              <w:rPr>
                <w:noProof/>
                <w:webHidden/>
              </w:rPr>
              <w:tab/>
            </w:r>
            <w:r>
              <w:rPr>
                <w:noProof/>
                <w:webHidden/>
              </w:rPr>
              <w:fldChar w:fldCharType="begin"/>
            </w:r>
            <w:r>
              <w:rPr>
                <w:noProof/>
                <w:webHidden/>
              </w:rPr>
              <w:instrText xml:space="preserve"> PAGEREF _Toc220491071 \h </w:instrText>
            </w:r>
            <w:r>
              <w:rPr>
                <w:noProof/>
                <w:webHidden/>
              </w:rPr>
            </w:r>
            <w:r>
              <w:rPr>
                <w:noProof/>
                <w:webHidden/>
              </w:rPr>
              <w:fldChar w:fldCharType="separate"/>
            </w:r>
            <w:r>
              <w:rPr>
                <w:noProof/>
                <w:webHidden/>
              </w:rPr>
              <w:t>507</w:t>
            </w:r>
            <w:r>
              <w:rPr>
                <w:noProof/>
                <w:webHidden/>
              </w:rPr>
              <w:fldChar w:fldCharType="end"/>
            </w:r>
          </w:hyperlink>
        </w:p>
        <w:p w14:paraId="60877F1A" w14:textId="6B7C1F0E"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72" w:history="1">
            <w:r w:rsidRPr="001D4C20">
              <w:rPr>
                <w:rStyle w:val="Lienhypertexte"/>
                <w:noProof/>
              </w:rPr>
              <w:t>54.31.4 Plafonds suspendus - parement en lames/plaques/panneaux métalliques CCTB 01.11</w:t>
            </w:r>
            <w:r>
              <w:rPr>
                <w:noProof/>
                <w:webHidden/>
              </w:rPr>
              <w:tab/>
            </w:r>
            <w:r>
              <w:rPr>
                <w:noProof/>
                <w:webHidden/>
              </w:rPr>
              <w:fldChar w:fldCharType="begin"/>
            </w:r>
            <w:r>
              <w:rPr>
                <w:noProof/>
                <w:webHidden/>
              </w:rPr>
              <w:instrText xml:space="preserve"> PAGEREF _Toc220491072 \h </w:instrText>
            </w:r>
            <w:r>
              <w:rPr>
                <w:noProof/>
                <w:webHidden/>
              </w:rPr>
            </w:r>
            <w:r>
              <w:rPr>
                <w:noProof/>
                <w:webHidden/>
              </w:rPr>
              <w:fldChar w:fldCharType="separate"/>
            </w:r>
            <w:r>
              <w:rPr>
                <w:noProof/>
                <w:webHidden/>
              </w:rPr>
              <w:t>511</w:t>
            </w:r>
            <w:r>
              <w:rPr>
                <w:noProof/>
                <w:webHidden/>
              </w:rPr>
              <w:fldChar w:fldCharType="end"/>
            </w:r>
          </w:hyperlink>
        </w:p>
        <w:p w14:paraId="4923FF95" w14:textId="546522D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73" w:history="1">
            <w:r w:rsidRPr="001D4C20">
              <w:rPr>
                <w:rStyle w:val="Lienhypertexte"/>
                <w:noProof/>
              </w:rPr>
              <w:t>54.31.4a Plafonds suspendus - parement en lames/plaques/panneaux métalliques - systèmes à panneaux en aluminium CCTB 01.02</w:t>
            </w:r>
            <w:r>
              <w:rPr>
                <w:noProof/>
                <w:webHidden/>
              </w:rPr>
              <w:tab/>
            </w:r>
            <w:r>
              <w:rPr>
                <w:noProof/>
                <w:webHidden/>
              </w:rPr>
              <w:fldChar w:fldCharType="begin"/>
            </w:r>
            <w:r>
              <w:rPr>
                <w:noProof/>
                <w:webHidden/>
              </w:rPr>
              <w:instrText xml:space="preserve"> PAGEREF _Toc220491073 \h </w:instrText>
            </w:r>
            <w:r>
              <w:rPr>
                <w:noProof/>
                <w:webHidden/>
              </w:rPr>
            </w:r>
            <w:r>
              <w:rPr>
                <w:noProof/>
                <w:webHidden/>
              </w:rPr>
              <w:fldChar w:fldCharType="separate"/>
            </w:r>
            <w:r>
              <w:rPr>
                <w:noProof/>
                <w:webHidden/>
              </w:rPr>
              <w:t>512</w:t>
            </w:r>
            <w:r>
              <w:rPr>
                <w:noProof/>
                <w:webHidden/>
              </w:rPr>
              <w:fldChar w:fldCharType="end"/>
            </w:r>
          </w:hyperlink>
        </w:p>
        <w:p w14:paraId="0510C9A1" w14:textId="0D82CCA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74" w:history="1">
            <w:r w:rsidRPr="001D4C20">
              <w:rPr>
                <w:rStyle w:val="Lienhypertexte"/>
                <w:noProof/>
              </w:rPr>
              <w:t>54.31.4b Plafonds suspendus - parement en lames/plaques/panneaux métalliques - systèmes à panneaux en acier CCTB 01.02</w:t>
            </w:r>
            <w:r>
              <w:rPr>
                <w:noProof/>
                <w:webHidden/>
              </w:rPr>
              <w:tab/>
            </w:r>
            <w:r>
              <w:rPr>
                <w:noProof/>
                <w:webHidden/>
              </w:rPr>
              <w:fldChar w:fldCharType="begin"/>
            </w:r>
            <w:r>
              <w:rPr>
                <w:noProof/>
                <w:webHidden/>
              </w:rPr>
              <w:instrText xml:space="preserve"> PAGEREF _Toc220491074 \h </w:instrText>
            </w:r>
            <w:r>
              <w:rPr>
                <w:noProof/>
                <w:webHidden/>
              </w:rPr>
            </w:r>
            <w:r>
              <w:rPr>
                <w:noProof/>
                <w:webHidden/>
              </w:rPr>
              <w:fldChar w:fldCharType="separate"/>
            </w:r>
            <w:r>
              <w:rPr>
                <w:noProof/>
                <w:webHidden/>
              </w:rPr>
              <w:t>512</w:t>
            </w:r>
            <w:r>
              <w:rPr>
                <w:noProof/>
                <w:webHidden/>
              </w:rPr>
              <w:fldChar w:fldCharType="end"/>
            </w:r>
          </w:hyperlink>
        </w:p>
        <w:p w14:paraId="7013D870" w14:textId="5933D52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75" w:history="1">
            <w:r w:rsidRPr="001D4C20">
              <w:rPr>
                <w:rStyle w:val="Lienhypertexte"/>
                <w:noProof/>
              </w:rPr>
              <w:t>54.31.4c Plafonds suspendus - parement en lames/plaques/panneaux métalliques -systèmes à panneaux en cuivre CCTB 01.02</w:t>
            </w:r>
            <w:r>
              <w:rPr>
                <w:noProof/>
                <w:webHidden/>
              </w:rPr>
              <w:tab/>
            </w:r>
            <w:r>
              <w:rPr>
                <w:noProof/>
                <w:webHidden/>
              </w:rPr>
              <w:fldChar w:fldCharType="begin"/>
            </w:r>
            <w:r>
              <w:rPr>
                <w:noProof/>
                <w:webHidden/>
              </w:rPr>
              <w:instrText xml:space="preserve"> PAGEREF _Toc220491075 \h </w:instrText>
            </w:r>
            <w:r>
              <w:rPr>
                <w:noProof/>
                <w:webHidden/>
              </w:rPr>
            </w:r>
            <w:r>
              <w:rPr>
                <w:noProof/>
                <w:webHidden/>
              </w:rPr>
              <w:fldChar w:fldCharType="separate"/>
            </w:r>
            <w:r>
              <w:rPr>
                <w:noProof/>
                <w:webHidden/>
              </w:rPr>
              <w:t>512</w:t>
            </w:r>
            <w:r>
              <w:rPr>
                <w:noProof/>
                <w:webHidden/>
              </w:rPr>
              <w:fldChar w:fldCharType="end"/>
            </w:r>
          </w:hyperlink>
        </w:p>
        <w:p w14:paraId="44632E4F" w14:textId="0E8DE7F7"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76" w:history="1">
            <w:r w:rsidRPr="001D4C20">
              <w:rPr>
                <w:rStyle w:val="Lienhypertexte"/>
                <w:noProof/>
              </w:rPr>
              <w:t>54.31.5 Plafonds suspendus - parement en plaques/panneaux synthétiques CCTB 01.11</w:t>
            </w:r>
            <w:r>
              <w:rPr>
                <w:noProof/>
                <w:webHidden/>
              </w:rPr>
              <w:tab/>
            </w:r>
            <w:r>
              <w:rPr>
                <w:noProof/>
                <w:webHidden/>
              </w:rPr>
              <w:fldChar w:fldCharType="begin"/>
            </w:r>
            <w:r>
              <w:rPr>
                <w:noProof/>
                <w:webHidden/>
              </w:rPr>
              <w:instrText xml:space="preserve"> PAGEREF _Toc220491076 \h </w:instrText>
            </w:r>
            <w:r>
              <w:rPr>
                <w:noProof/>
                <w:webHidden/>
              </w:rPr>
            </w:r>
            <w:r>
              <w:rPr>
                <w:noProof/>
                <w:webHidden/>
              </w:rPr>
              <w:fldChar w:fldCharType="separate"/>
            </w:r>
            <w:r>
              <w:rPr>
                <w:noProof/>
                <w:webHidden/>
              </w:rPr>
              <w:t>512</w:t>
            </w:r>
            <w:r>
              <w:rPr>
                <w:noProof/>
                <w:webHidden/>
              </w:rPr>
              <w:fldChar w:fldCharType="end"/>
            </w:r>
          </w:hyperlink>
        </w:p>
        <w:p w14:paraId="2BF45CA6" w14:textId="65BCAE8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77" w:history="1">
            <w:r w:rsidRPr="001D4C20">
              <w:rPr>
                <w:rStyle w:val="Lienhypertexte"/>
                <w:noProof/>
              </w:rPr>
              <w:t>54.31.5a Plafonds suspendus - parement en lames/plaques/panneaux synthétiques - en polystyrène CCTB 01.02</w:t>
            </w:r>
            <w:r>
              <w:rPr>
                <w:noProof/>
                <w:webHidden/>
              </w:rPr>
              <w:tab/>
            </w:r>
            <w:r>
              <w:rPr>
                <w:noProof/>
                <w:webHidden/>
              </w:rPr>
              <w:fldChar w:fldCharType="begin"/>
            </w:r>
            <w:r>
              <w:rPr>
                <w:noProof/>
                <w:webHidden/>
              </w:rPr>
              <w:instrText xml:space="preserve"> PAGEREF _Toc220491077 \h </w:instrText>
            </w:r>
            <w:r>
              <w:rPr>
                <w:noProof/>
                <w:webHidden/>
              </w:rPr>
            </w:r>
            <w:r>
              <w:rPr>
                <w:noProof/>
                <w:webHidden/>
              </w:rPr>
              <w:fldChar w:fldCharType="separate"/>
            </w:r>
            <w:r>
              <w:rPr>
                <w:noProof/>
                <w:webHidden/>
              </w:rPr>
              <w:t>513</w:t>
            </w:r>
            <w:r>
              <w:rPr>
                <w:noProof/>
                <w:webHidden/>
              </w:rPr>
              <w:fldChar w:fldCharType="end"/>
            </w:r>
          </w:hyperlink>
        </w:p>
        <w:p w14:paraId="58931EE0" w14:textId="4B3BF2C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78" w:history="1">
            <w:r w:rsidRPr="001D4C20">
              <w:rPr>
                <w:rStyle w:val="Lienhypertexte"/>
                <w:noProof/>
              </w:rPr>
              <w:t>54.31.5b Plafonds suspendus - parement en lames/plaques/panneaux synthétiques - en pvc CCTB 01.02</w:t>
            </w:r>
            <w:r>
              <w:rPr>
                <w:noProof/>
                <w:webHidden/>
              </w:rPr>
              <w:tab/>
            </w:r>
            <w:r>
              <w:rPr>
                <w:noProof/>
                <w:webHidden/>
              </w:rPr>
              <w:fldChar w:fldCharType="begin"/>
            </w:r>
            <w:r>
              <w:rPr>
                <w:noProof/>
                <w:webHidden/>
              </w:rPr>
              <w:instrText xml:space="preserve"> PAGEREF _Toc220491078 \h </w:instrText>
            </w:r>
            <w:r>
              <w:rPr>
                <w:noProof/>
                <w:webHidden/>
              </w:rPr>
            </w:r>
            <w:r>
              <w:rPr>
                <w:noProof/>
                <w:webHidden/>
              </w:rPr>
              <w:fldChar w:fldCharType="separate"/>
            </w:r>
            <w:r>
              <w:rPr>
                <w:noProof/>
                <w:webHidden/>
              </w:rPr>
              <w:t>513</w:t>
            </w:r>
            <w:r>
              <w:rPr>
                <w:noProof/>
                <w:webHidden/>
              </w:rPr>
              <w:fldChar w:fldCharType="end"/>
            </w:r>
          </w:hyperlink>
        </w:p>
        <w:p w14:paraId="1F1457A9" w14:textId="52C4213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79" w:history="1">
            <w:r w:rsidRPr="001D4C20">
              <w:rPr>
                <w:rStyle w:val="Lienhypertexte"/>
                <w:noProof/>
              </w:rPr>
              <w:t>54.31.6 Plafonds suspendus - parement en lames/plaques/panneaux composites CCTB 01.02</w:t>
            </w:r>
            <w:r>
              <w:rPr>
                <w:noProof/>
                <w:webHidden/>
              </w:rPr>
              <w:tab/>
            </w:r>
            <w:r>
              <w:rPr>
                <w:noProof/>
                <w:webHidden/>
              </w:rPr>
              <w:fldChar w:fldCharType="begin"/>
            </w:r>
            <w:r>
              <w:rPr>
                <w:noProof/>
                <w:webHidden/>
              </w:rPr>
              <w:instrText xml:space="preserve"> PAGEREF _Toc220491079 \h </w:instrText>
            </w:r>
            <w:r>
              <w:rPr>
                <w:noProof/>
                <w:webHidden/>
              </w:rPr>
            </w:r>
            <w:r>
              <w:rPr>
                <w:noProof/>
                <w:webHidden/>
              </w:rPr>
              <w:fldChar w:fldCharType="separate"/>
            </w:r>
            <w:r>
              <w:rPr>
                <w:noProof/>
                <w:webHidden/>
              </w:rPr>
              <w:t>513</w:t>
            </w:r>
            <w:r>
              <w:rPr>
                <w:noProof/>
                <w:webHidden/>
              </w:rPr>
              <w:fldChar w:fldCharType="end"/>
            </w:r>
          </w:hyperlink>
        </w:p>
        <w:p w14:paraId="6A73B187" w14:textId="65AC7F06"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80" w:history="1">
            <w:r w:rsidRPr="001D4C20">
              <w:rPr>
                <w:rStyle w:val="Lienhypertexte"/>
                <w:noProof/>
              </w:rPr>
              <w:t>54.31.7 Plafonds suspendus - parement en lames/plaques/panneaux à base de verre CCTB 01.02</w:t>
            </w:r>
            <w:r>
              <w:rPr>
                <w:noProof/>
                <w:webHidden/>
              </w:rPr>
              <w:tab/>
            </w:r>
            <w:r>
              <w:rPr>
                <w:noProof/>
                <w:webHidden/>
              </w:rPr>
              <w:fldChar w:fldCharType="begin"/>
            </w:r>
            <w:r>
              <w:rPr>
                <w:noProof/>
                <w:webHidden/>
              </w:rPr>
              <w:instrText xml:space="preserve"> PAGEREF _Toc220491080 \h </w:instrText>
            </w:r>
            <w:r>
              <w:rPr>
                <w:noProof/>
                <w:webHidden/>
              </w:rPr>
            </w:r>
            <w:r>
              <w:rPr>
                <w:noProof/>
                <w:webHidden/>
              </w:rPr>
              <w:fldChar w:fldCharType="separate"/>
            </w:r>
            <w:r>
              <w:rPr>
                <w:noProof/>
                <w:webHidden/>
              </w:rPr>
              <w:t>513</w:t>
            </w:r>
            <w:r>
              <w:rPr>
                <w:noProof/>
                <w:webHidden/>
              </w:rPr>
              <w:fldChar w:fldCharType="end"/>
            </w:r>
          </w:hyperlink>
        </w:p>
        <w:p w14:paraId="736E7EA7" w14:textId="6A06B9B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81" w:history="1">
            <w:r w:rsidRPr="001D4C20">
              <w:rPr>
                <w:rStyle w:val="Lienhypertexte"/>
                <w:noProof/>
              </w:rPr>
              <w:t>54.31.7a Plafonds suspendus - parement en lames/plaques/panneaux à base de verre - en verre plein CCTB 01.02</w:t>
            </w:r>
            <w:r>
              <w:rPr>
                <w:noProof/>
                <w:webHidden/>
              </w:rPr>
              <w:tab/>
            </w:r>
            <w:r>
              <w:rPr>
                <w:noProof/>
                <w:webHidden/>
              </w:rPr>
              <w:fldChar w:fldCharType="begin"/>
            </w:r>
            <w:r>
              <w:rPr>
                <w:noProof/>
                <w:webHidden/>
              </w:rPr>
              <w:instrText xml:space="preserve"> PAGEREF _Toc220491081 \h </w:instrText>
            </w:r>
            <w:r>
              <w:rPr>
                <w:noProof/>
                <w:webHidden/>
              </w:rPr>
            </w:r>
            <w:r>
              <w:rPr>
                <w:noProof/>
                <w:webHidden/>
              </w:rPr>
              <w:fldChar w:fldCharType="separate"/>
            </w:r>
            <w:r>
              <w:rPr>
                <w:noProof/>
                <w:webHidden/>
              </w:rPr>
              <w:t>513</w:t>
            </w:r>
            <w:r>
              <w:rPr>
                <w:noProof/>
                <w:webHidden/>
              </w:rPr>
              <w:fldChar w:fldCharType="end"/>
            </w:r>
          </w:hyperlink>
        </w:p>
        <w:p w14:paraId="70FDBB1C" w14:textId="5C7D49D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82" w:history="1">
            <w:r w:rsidRPr="001D4C20">
              <w:rPr>
                <w:rStyle w:val="Lienhypertexte"/>
                <w:noProof/>
              </w:rPr>
              <w:t>54.31.7b Plafonds suspendus - parement en lames/plaques/panneaux à base de verre - miroirs CCTB 01.02</w:t>
            </w:r>
            <w:r>
              <w:rPr>
                <w:noProof/>
                <w:webHidden/>
              </w:rPr>
              <w:tab/>
            </w:r>
            <w:r>
              <w:rPr>
                <w:noProof/>
                <w:webHidden/>
              </w:rPr>
              <w:fldChar w:fldCharType="begin"/>
            </w:r>
            <w:r>
              <w:rPr>
                <w:noProof/>
                <w:webHidden/>
              </w:rPr>
              <w:instrText xml:space="preserve"> PAGEREF _Toc220491082 \h </w:instrText>
            </w:r>
            <w:r>
              <w:rPr>
                <w:noProof/>
                <w:webHidden/>
              </w:rPr>
            </w:r>
            <w:r>
              <w:rPr>
                <w:noProof/>
                <w:webHidden/>
              </w:rPr>
              <w:fldChar w:fldCharType="separate"/>
            </w:r>
            <w:r>
              <w:rPr>
                <w:noProof/>
                <w:webHidden/>
              </w:rPr>
              <w:t>513</w:t>
            </w:r>
            <w:r>
              <w:rPr>
                <w:noProof/>
                <w:webHidden/>
              </w:rPr>
              <w:fldChar w:fldCharType="end"/>
            </w:r>
          </w:hyperlink>
        </w:p>
        <w:p w14:paraId="5100177C" w14:textId="181297F8"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083" w:history="1">
            <w:r w:rsidRPr="001D4C20">
              <w:rPr>
                <w:rStyle w:val="Lienhypertexte"/>
                <w:noProof/>
              </w:rPr>
              <w:t>54.4 Plafonds spécifiques CCTB 01.11</w:t>
            </w:r>
            <w:r>
              <w:rPr>
                <w:noProof/>
                <w:webHidden/>
              </w:rPr>
              <w:tab/>
            </w:r>
            <w:r>
              <w:rPr>
                <w:noProof/>
                <w:webHidden/>
              </w:rPr>
              <w:fldChar w:fldCharType="begin"/>
            </w:r>
            <w:r>
              <w:rPr>
                <w:noProof/>
                <w:webHidden/>
              </w:rPr>
              <w:instrText xml:space="preserve"> PAGEREF _Toc220491083 \h </w:instrText>
            </w:r>
            <w:r>
              <w:rPr>
                <w:noProof/>
                <w:webHidden/>
              </w:rPr>
            </w:r>
            <w:r>
              <w:rPr>
                <w:noProof/>
                <w:webHidden/>
              </w:rPr>
              <w:fldChar w:fldCharType="separate"/>
            </w:r>
            <w:r>
              <w:rPr>
                <w:noProof/>
                <w:webHidden/>
              </w:rPr>
              <w:t>513</w:t>
            </w:r>
            <w:r>
              <w:rPr>
                <w:noProof/>
                <w:webHidden/>
              </w:rPr>
              <w:fldChar w:fldCharType="end"/>
            </w:r>
          </w:hyperlink>
        </w:p>
        <w:p w14:paraId="0B91C2B2" w14:textId="3071590D"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084" w:history="1">
            <w:r w:rsidRPr="001D4C20">
              <w:rPr>
                <w:rStyle w:val="Lienhypertexte"/>
                <w:noProof/>
              </w:rPr>
              <w:t>54.41 Plafonds tendus CCTB 01.12</w:t>
            </w:r>
            <w:r>
              <w:rPr>
                <w:noProof/>
                <w:webHidden/>
              </w:rPr>
              <w:tab/>
            </w:r>
            <w:r>
              <w:rPr>
                <w:noProof/>
                <w:webHidden/>
              </w:rPr>
              <w:fldChar w:fldCharType="begin"/>
            </w:r>
            <w:r>
              <w:rPr>
                <w:noProof/>
                <w:webHidden/>
              </w:rPr>
              <w:instrText xml:space="preserve"> PAGEREF _Toc220491084 \h </w:instrText>
            </w:r>
            <w:r>
              <w:rPr>
                <w:noProof/>
                <w:webHidden/>
              </w:rPr>
            </w:r>
            <w:r>
              <w:rPr>
                <w:noProof/>
                <w:webHidden/>
              </w:rPr>
              <w:fldChar w:fldCharType="separate"/>
            </w:r>
            <w:r>
              <w:rPr>
                <w:noProof/>
                <w:webHidden/>
              </w:rPr>
              <w:t>513</w:t>
            </w:r>
            <w:r>
              <w:rPr>
                <w:noProof/>
                <w:webHidden/>
              </w:rPr>
              <w:fldChar w:fldCharType="end"/>
            </w:r>
          </w:hyperlink>
        </w:p>
        <w:p w14:paraId="71E6E78D" w14:textId="3EFD3450"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85" w:history="1">
            <w:r w:rsidRPr="001D4C20">
              <w:rPr>
                <w:rStyle w:val="Lienhypertexte"/>
                <w:noProof/>
              </w:rPr>
              <w:t>54.41.1 Plafonds tendus en matière synthétique CCTB 01.11</w:t>
            </w:r>
            <w:r>
              <w:rPr>
                <w:noProof/>
                <w:webHidden/>
              </w:rPr>
              <w:tab/>
            </w:r>
            <w:r>
              <w:rPr>
                <w:noProof/>
                <w:webHidden/>
              </w:rPr>
              <w:fldChar w:fldCharType="begin"/>
            </w:r>
            <w:r>
              <w:rPr>
                <w:noProof/>
                <w:webHidden/>
              </w:rPr>
              <w:instrText xml:space="preserve"> PAGEREF _Toc220491085 \h </w:instrText>
            </w:r>
            <w:r>
              <w:rPr>
                <w:noProof/>
                <w:webHidden/>
              </w:rPr>
            </w:r>
            <w:r>
              <w:rPr>
                <w:noProof/>
                <w:webHidden/>
              </w:rPr>
              <w:fldChar w:fldCharType="separate"/>
            </w:r>
            <w:r>
              <w:rPr>
                <w:noProof/>
                <w:webHidden/>
              </w:rPr>
              <w:t>515</w:t>
            </w:r>
            <w:r>
              <w:rPr>
                <w:noProof/>
                <w:webHidden/>
              </w:rPr>
              <w:fldChar w:fldCharType="end"/>
            </w:r>
          </w:hyperlink>
        </w:p>
        <w:p w14:paraId="424DF19A" w14:textId="555E683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86" w:history="1">
            <w:r w:rsidRPr="001D4C20">
              <w:rPr>
                <w:rStyle w:val="Lienhypertexte"/>
                <w:noProof/>
              </w:rPr>
              <w:t>54.41.1a Plafonds tendus en matière synthétique CCTB 01.12</w:t>
            </w:r>
            <w:r>
              <w:rPr>
                <w:noProof/>
                <w:webHidden/>
              </w:rPr>
              <w:tab/>
            </w:r>
            <w:r>
              <w:rPr>
                <w:noProof/>
                <w:webHidden/>
              </w:rPr>
              <w:fldChar w:fldCharType="begin"/>
            </w:r>
            <w:r>
              <w:rPr>
                <w:noProof/>
                <w:webHidden/>
              </w:rPr>
              <w:instrText xml:space="preserve"> PAGEREF _Toc220491086 \h </w:instrText>
            </w:r>
            <w:r>
              <w:rPr>
                <w:noProof/>
                <w:webHidden/>
              </w:rPr>
            </w:r>
            <w:r>
              <w:rPr>
                <w:noProof/>
                <w:webHidden/>
              </w:rPr>
              <w:fldChar w:fldCharType="separate"/>
            </w:r>
            <w:r>
              <w:rPr>
                <w:noProof/>
                <w:webHidden/>
              </w:rPr>
              <w:t>515</w:t>
            </w:r>
            <w:r>
              <w:rPr>
                <w:noProof/>
                <w:webHidden/>
              </w:rPr>
              <w:fldChar w:fldCharType="end"/>
            </w:r>
          </w:hyperlink>
        </w:p>
        <w:p w14:paraId="433A71A5" w14:textId="0D03C1D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87" w:history="1">
            <w:r w:rsidRPr="001D4C20">
              <w:rPr>
                <w:rStyle w:val="Lienhypertexte"/>
                <w:noProof/>
              </w:rPr>
              <w:t>54.41.2 Plafonds tendus en textile CCTB 01.02</w:t>
            </w:r>
            <w:r>
              <w:rPr>
                <w:noProof/>
                <w:webHidden/>
              </w:rPr>
              <w:tab/>
            </w:r>
            <w:r>
              <w:rPr>
                <w:noProof/>
                <w:webHidden/>
              </w:rPr>
              <w:fldChar w:fldCharType="begin"/>
            </w:r>
            <w:r>
              <w:rPr>
                <w:noProof/>
                <w:webHidden/>
              </w:rPr>
              <w:instrText xml:space="preserve"> PAGEREF _Toc220491087 \h </w:instrText>
            </w:r>
            <w:r>
              <w:rPr>
                <w:noProof/>
                <w:webHidden/>
              </w:rPr>
            </w:r>
            <w:r>
              <w:rPr>
                <w:noProof/>
                <w:webHidden/>
              </w:rPr>
              <w:fldChar w:fldCharType="separate"/>
            </w:r>
            <w:r>
              <w:rPr>
                <w:noProof/>
                <w:webHidden/>
              </w:rPr>
              <w:t>518</w:t>
            </w:r>
            <w:r>
              <w:rPr>
                <w:noProof/>
                <w:webHidden/>
              </w:rPr>
              <w:fldChar w:fldCharType="end"/>
            </w:r>
          </w:hyperlink>
        </w:p>
        <w:p w14:paraId="34269278" w14:textId="3C73DA8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88" w:history="1">
            <w:r w:rsidRPr="001D4C20">
              <w:rPr>
                <w:rStyle w:val="Lienhypertexte"/>
                <w:noProof/>
              </w:rPr>
              <w:t>54.41.2a Plafonds tendus en textile CCTB 01.02</w:t>
            </w:r>
            <w:r>
              <w:rPr>
                <w:noProof/>
                <w:webHidden/>
              </w:rPr>
              <w:tab/>
            </w:r>
            <w:r>
              <w:rPr>
                <w:noProof/>
                <w:webHidden/>
              </w:rPr>
              <w:fldChar w:fldCharType="begin"/>
            </w:r>
            <w:r>
              <w:rPr>
                <w:noProof/>
                <w:webHidden/>
              </w:rPr>
              <w:instrText xml:space="preserve"> PAGEREF _Toc220491088 \h </w:instrText>
            </w:r>
            <w:r>
              <w:rPr>
                <w:noProof/>
                <w:webHidden/>
              </w:rPr>
            </w:r>
            <w:r>
              <w:rPr>
                <w:noProof/>
                <w:webHidden/>
              </w:rPr>
              <w:fldChar w:fldCharType="separate"/>
            </w:r>
            <w:r>
              <w:rPr>
                <w:noProof/>
                <w:webHidden/>
              </w:rPr>
              <w:t>518</w:t>
            </w:r>
            <w:r>
              <w:rPr>
                <w:noProof/>
                <w:webHidden/>
              </w:rPr>
              <w:fldChar w:fldCharType="end"/>
            </w:r>
          </w:hyperlink>
        </w:p>
        <w:p w14:paraId="46CDE307" w14:textId="7CE93048"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089" w:history="1">
            <w:r w:rsidRPr="001D4C20">
              <w:rPr>
                <w:rStyle w:val="Lienhypertexte"/>
                <w:noProof/>
              </w:rPr>
              <w:t>54.42 Revêtements pour plafonds climatiques CCTB 01.02</w:t>
            </w:r>
            <w:r>
              <w:rPr>
                <w:noProof/>
                <w:webHidden/>
              </w:rPr>
              <w:tab/>
            </w:r>
            <w:r>
              <w:rPr>
                <w:noProof/>
                <w:webHidden/>
              </w:rPr>
              <w:fldChar w:fldCharType="begin"/>
            </w:r>
            <w:r>
              <w:rPr>
                <w:noProof/>
                <w:webHidden/>
              </w:rPr>
              <w:instrText xml:space="preserve"> PAGEREF _Toc220491089 \h </w:instrText>
            </w:r>
            <w:r>
              <w:rPr>
                <w:noProof/>
                <w:webHidden/>
              </w:rPr>
            </w:r>
            <w:r>
              <w:rPr>
                <w:noProof/>
                <w:webHidden/>
              </w:rPr>
              <w:fldChar w:fldCharType="separate"/>
            </w:r>
            <w:r>
              <w:rPr>
                <w:noProof/>
                <w:webHidden/>
              </w:rPr>
              <w:t>518</w:t>
            </w:r>
            <w:r>
              <w:rPr>
                <w:noProof/>
                <w:webHidden/>
              </w:rPr>
              <w:fldChar w:fldCharType="end"/>
            </w:r>
          </w:hyperlink>
        </w:p>
        <w:p w14:paraId="638B70C9" w14:textId="03844CBA"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90" w:history="1">
            <w:r w:rsidRPr="001D4C20">
              <w:rPr>
                <w:rStyle w:val="Lienhypertexte"/>
                <w:noProof/>
              </w:rPr>
              <w:t>54.42.1 Revêtements pour plafonds climatiques CCTB 01.13</w:t>
            </w:r>
            <w:r>
              <w:rPr>
                <w:noProof/>
                <w:webHidden/>
              </w:rPr>
              <w:tab/>
            </w:r>
            <w:r>
              <w:rPr>
                <w:noProof/>
                <w:webHidden/>
              </w:rPr>
              <w:fldChar w:fldCharType="begin"/>
            </w:r>
            <w:r>
              <w:rPr>
                <w:noProof/>
                <w:webHidden/>
              </w:rPr>
              <w:instrText xml:space="preserve"> PAGEREF _Toc220491090 \h </w:instrText>
            </w:r>
            <w:r>
              <w:rPr>
                <w:noProof/>
                <w:webHidden/>
              </w:rPr>
            </w:r>
            <w:r>
              <w:rPr>
                <w:noProof/>
                <w:webHidden/>
              </w:rPr>
              <w:fldChar w:fldCharType="separate"/>
            </w:r>
            <w:r>
              <w:rPr>
                <w:noProof/>
                <w:webHidden/>
              </w:rPr>
              <w:t>518</w:t>
            </w:r>
            <w:r>
              <w:rPr>
                <w:noProof/>
                <w:webHidden/>
              </w:rPr>
              <w:fldChar w:fldCharType="end"/>
            </w:r>
          </w:hyperlink>
        </w:p>
        <w:p w14:paraId="7772C8C6" w14:textId="23CA37D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91" w:history="1">
            <w:r w:rsidRPr="001D4C20">
              <w:rPr>
                <w:rStyle w:val="Lienhypertexte"/>
                <w:noProof/>
              </w:rPr>
              <w:t>54.42.1a Revêtements pour plafonds climatiques CCTB 01.12</w:t>
            </w:r>
            <w:r>
              <w:rPr>
                <w:noProof/>
                <w:webHidden/>
              </w:rPr>
              <w:tab/>
            </w:r>
            <w:r>
              <w:rPr>
                <w:noProof/>
                <w:webHidden/>
              </w:rPr>
              <w:fldChar w:fldCharType="begin"/>
            </w:r>
            <w:r>
              <w:rPr>
                <w:noProof/>
                <w:webHidden/>
              </w:rPr>
              <w:instrText xml:space="preserve"> PAGEREF _Toc220491091 \h </w:instrText>
            </w:r>
            <w:r>
              <w:rPr>
                <w:noProof/>
                <w:webHidden/>
              </w:rPr>
            </w:r>
            <w:r>
              <w:rPr>
                <w:noProof/>
                <w:webHidden/>
              </w:rPr>
              <w:fldChar w:fldCharType="separate"/>
            </w:r>
            <w:r>
              <w:rPr>
                <w:noProof/>
                <w:webHidden/>
              </w:rPr>
              <w:t>521</w:t>
            </w:r>
            <w:r>
              <w:rPr>
                <w:noProof/>
                <w:webHidden/>
              </w:rPr>
              <w:fldChar w:fldCharType="end"/>
            </w:r>
          </w:hyperlink>
        </w:p>
        <w:p w14:paraId="098D5A81" w14:textId="70749E5F"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092" w:history="1">
            <w:r w:rsidRPr="001D4C20">
              <w:rPr>
                <w:rStyle w:val="Lienhypertexte"/>
                <w:noProof/>
              </w:rPr>
              <w:t>54.43 Plafonds "baffles" ou dalles acoustiques CCTB 01.02</w:t>
            </w:r>
            <w:r>
              <w:rPr>
                <w:noProof/>
                <w:webHidden/>
              </w:rPr>
              <w:tab/>
            </w:r>
            <w:r>
              <w:rPr>
                <w:noProof/>
                <w:webHidden/>
              </w:rPr>
              <w:fldChar w:fldCharType="begin"/>
            </w:r>
            <w:r>
              <w:rPr>
                <w:noProof/>
                <w:webHidden/>
              </w:rPr>
              <w:instrText xml:space="preserve"> PAGEREF _Toc220491092 \h </w:instrText>
            </w:r>
            <w:r>
              <w:rPr>
                <w:noProof/>
                <w:webHidden/>
              </w:rPr>
            </w:r>
            <w:r>
              <w:rPr>
                <w:noProof/>
                <w:webHidden/>
              </w:rPr>
              <w:fldChar w:fldCharType="separate"/>
            </w:r>
            <w:r>
              <w:rPr>
                <w:noProof/>
                <w:webHidden/>
              </w:rPr>
              <w:t>524</w:t>
            </w:r>
            <w:r>
              <w:rPr>
                <w:noProof/>
                <w:webHidden/>
              </w:rPr>
              <w:fldChar w:fldCharType="end"/>
            </w:r>
          </w:hyperlink>
        </w:p>
        <w:p w14:paraId="0ED5C309" w14:textId="43A14A05"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93" w:history="1">
            <w:r w:rsidRPr="001D4C20">
              <w:rPr>
                <w:rStyle w:val="Lienhypertexte"/>
                <w:noProof/>
              </w:rPr>
              <w:t>54.43.1 Plafonds "baffles" ou dalles acoustiques CCTB 01.12</w:t>
            </w:r>
            <w:r>
              <w:rPr>
                <w:noProof/>
                <w:webHidden/>
              </w:rPr>
              <w:tab/>
            </w:r>
            <w:r>
              <w:rPr>
                <w:noProof/>
                <w:webHidden/>
              </w:rPr>
              <w:fldChar w:fldCharType="begin"/>
            </w:r>
            <w:r>
              <w:rPr>
                <w:noProof/>
                <w:webHidden/>
              </w:rPr>
              <w:instrText xml:space="preserve"> PAGEREF _Toc220491093 \h </w:instrText>
            </w:r>
            <w:r>
              <w:rPr>
                <w:noProof/>
                <w:webHidden/>
              </w:rPr>
            </w:r>
            <w:r>
              <w:rPr>
                <w:noProof/>
                <w:webHidden/>
              </w:rPr>
              <w:fldChar w:fldCharType="separate"/>
            </w:r>
            <w:r>
              <w:rPr>
                <w:noProof/>
                <w:webHidden/>
              </w:rPr>
              <w:t>524</w:t>
            </w:r>
            <w:r>
              <w:rPr>
                <w:noProof/>
                <w:webHidden/>
              </w:rPr>
              <w:fldChar w:fldCharType="end"/>
            </w:r>
          </w:hyperlink>
        </w:p>
        <w:p w14:paraId="39A7DE47" w14:textId="5776492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94" w:history="1">
            <w:r w:rsidRPr="001D4C20">
              <w:rPr>
                <w:rStyle w:val="Lienhypertexte"/>
                <w:noProof/>
              </w:rPr>
              <w:t>54.43.1a Plafonds "baffles" acoustiques CCTB 01.12</w:t>
            </w:r>
            <w:r>
              <w:rPr>
                <w:noProof/>
                <w:webHidden/>
              </w:rPr>
              <w:tab/>
            </w:r>
            <w:r>
              <w:rPr>
                <w:noProof/>
                <w:webHidden/>
              </w:rPr>
              <w:fldChar w:fldCharType="begin"/>
            </w:r>
            <w:r>
              <w:rPr>
                <w:noProof/>
                <w:webHidden/>
              </w:rPr>
              <w:instrText xml:space="preserve"> PAGEREF _Toc220491094 \h </w:instrText>
            </w:r>
            <w:r>
              <w:rPr>
                <w:noProof/>
                <w:webHidden/>
              </w:rPr>
            </w:r>
            <w:r>
              <w:rPr>
                <w:noProof/>
                <w:webHidden/>
              </w:rPr>
              <w:fldChar w:fldCharType="separate"/>
            </w:r>
            <w:r>
              <w:rPr>
                <w:noProof/>
                <w:webHidden/>
              </w:rPr>
              <w:t>525</w:t>
            </w:r>
            <w:r>
              <w:rPr>
                <w:noProof/>
                <w:webHidden/>
              </w:rPr>
              <w:fldChar w:fldCharType="end"/>
            </w:r>
          </w:hyperlink>
        </w:p>
        <w:p w14:paraId="7807117F" w14:textId="51D6DCF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95" w:history="1">
            <w:r w:rsidRPr="001D4C20">
              <w:rPr>
                <w:rStyle w:val="Lienhypertexte"/>
                <w:noProof/>
              </w:rPr>
              <w:t>54.43.1b Plafonds dalles acoustiques CCTB 01.12</w:t>
            </w:r>
            <w:r>
              <w:rPr>
                <w:noProof/>
                <w:webHidden/>
              </w:rPr>
              <w:tab/>
            </w:r>
            <w:r>
              <w:rPr>
                <w:noProof/>
                <w:webHidden/>
              </w:rPr>
              <w:fldChar w:fldCharType="begin"/>
            </w:r>
            <w:r>
              <w:rPr>
                <w:noProof/>
                <w:webHidden/>
              </w:rPr>
              <w:instrText xml:space="preserve"> PAGEREF _Toc220491095 \h </w:instrText>
            </w:r>
            <w:r>
              <w:rPr>
                <w:noProof/>
                <w:webHidden/>
              </w:rPr>
            </w:r>
            <w:r>
              <w:rPr>
                <w:noProof/>
                <w:webHidden/>
              </w:rPr>
              <w:fldChar w:fldCharType="separate"/>
            </w:r>
            <w:r>
              <w:rPr>
                <w:noProof/>
                <w:webHidden/>
              </w:rPr>
              <w:t>528</w:t>
            </w:r>
            <w:r>
              <w:rPr>
                <w:noProof/>
                <w:webHidden/>
              </w:rPr>
              <w:fldChar w:fldCharType="end"/>
            </w:r>
          </w:hyperlink>
        </w:p>
        <w:p w14:paraId="42372ED2" w14:textId="7CD8D521"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096" w:history="1">
            <w:r w:rsidRPr="001D4C20">
              <w:rPr>
                <w:rStyle w:val="Lienhypertexte"/>
                <w:noProof/>
              </w:rPr>
              <w:t>54.5 Autres finitions de plafonds (peintures, papiers peints, etc.) CCTB 01.07</w:t>
            </w:r>
            <w:r>
              <w:rPr>
                <w:noProof/>
                <w:webHidden/>
              </w:rPr>
              <w:tab/>
            </w:r>
            <w:r>
              <w:rPr>
                <w:noProof/>
                <w:webHidden/>
              </w:rPr>
              <w:fldChar w:fldCharType="begin"/>
            </w:r>
            <w:r>
              <w:rPr>
                <w:noProof/>
                <w:webHidden/>
              </w:rPr>
              <w:instrText xml:space="preserve"> PAGEREF _Toc220491096 \h </w:instrText>
            </w:r>
            <w:r>
              <w:rPr>
                <w:noProof/>
                <w:webHidden/>
              </w:rPr>
            </w:r>
            <w:r>
              <w:rPr>
                <w:noProof/>
                <w:webHidden/>
              </w:rPr>
              <w:fldChar w:fldCharType="separate"/>
            </w:r>
            <w:r>
              <w:rPr>
                <w:noProof/>
                <w:webHidden/>
              </w:rPr>
              <w:t>530</w:t>
            </w:r>
            <w:r>
              <w:rPr>
                <w:noProof/>
                <w:webHidden/>
              </w:rPr>
              <w:fldChar w:fldCharType="end"/>
            </w:r>
          </w:hyperlink>
        </w:p>
        <w:p w14:paraId="5A0C0787" w14:textId="1FC91EC7"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097" w:history="1">
            <w:r w:rsidRPr="001D4C20">
              <w:rPr>
                <w:rStyle w:val="Lienhypertexte"/>
                <w:noProof/>
              </w:rPr>
              <w:t>54.6 Eléments particuliers et finitions CCTB 01.02</w:t>
            </w:r>
            <w:r>
              <w:rPr>
                <w:noProof/>
                <w:webHidden/>
              </w:rPr>
              <w:tab/>
            </w:r>
            <w:r>
              <w:rPr>
                <w:noProof/>
                <w:webHidden/>
              </w:rPr>
              <w:fldChar w:fldCharType="begin"/>
            </w:r>
            <w:r>
              <w:rPr>
                <w:noProof/>
                <w:webHidden/>
              </w:rPr>
              <w:instrText xml:space="preserve"> PAGEREF _Toc220491097 \h </w:instrText>
            </w:r>
            <w:r>
              <w:rPr>
                <w:noProof/>
                <w:webHidden/>
              </w:rPr>
            </w:r>
            <w:r>
              <w:rPr>
                <w:noProof/>
                <w:webHidden/>
              </w:rPr>
              <w:fldChar w:fldCharType="separate"/>
            </w:r>
            <w:r>
              <w:rPr>
                <w:noProof/>
                <w:webHidden/>
              </w:rPr>
              <w:t>530</w:t>
            </w:r>
            <w:r>
              <w:rPr>
                <w:noProof/>
                <w:webHidden/>
              </w:rPr>
              <w:fldChar w:fldCharType="end"/>
            </w:r>
          </w:hyperlink>
        </w:p>
        <w:p w14:paraId="1A89ACB3" w14:textId="1B551725"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098" w:history="1">
            <w:r w:rsidRPr="001D4C20">
              <w:rPr>
                <w:rStyle w:val="Lienhypertexte"/>
                <w:noProof/>
              </w:rPr>
              <w:t>54.61 Plafonds - Trappes  CCTB 01.02</w:t>
            </w:r>
            <w:r>
              <w:rPr>
                <w:noProof/>
                <w:webHidden/>
              </w:rPr>
              <w:tab/>
            </w:r>
            <w:r>
              <w:rPr>
                <w:noProof/>
                <w:webHidden/>
              </w:rPr>
              <w:fldChar w:fldCharType="begin"/>
            </w:r>
            <w:r>
              <w:rPr>
                <w:noProof/>
                <w:webHidden/>
              </w:rPr>
              <w:instrText xml:space="preserve"> PAGEREF _Toc220491098 \h </w:instrText>
            </w:r>
            <w:r>
              <w:rPr>
                <w:noProof/>
                <w:webHidden/>
              </w:rPr>
            </w:r>
            <w:r>
              <w:rPr>
                <w:noProof/>
                <w:webHidden/>
              </w:rPr>
              <w:fldChar w:fldCharType="separate"/>
            </w:r>
            <w:r>
              <w:rPr>
                <w:noProof/>
                <w:webHidden/>
              </w:rPr>
              <w:t>530</w:t>
            </w:r>
            <w:r>
              <w:rPr>
                <w:noProof/>
                <w:webHidden/>
              </w:rPr>
              <w:fldChar w:fldCharType="end"/>
            </w:r>
          </w:hyperlink>
        </w:p>
        <w:p w14:paraId="2EB2FCA9" w14:textId="1B102409"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99" w:history="1">
            <w:r w:rsidRPr="001D4C20">
              <w:rPr>
                <w:rStyle w:val="Lienhypertexte"/>
                <w:noProof/>
              </w:rPr>
              <w:t>54.61.1 Plafonds - Trappes  CCTB 01.02</w:t>
            </w:r>
            <w:r>
              <w:rPr>
                <w:noProof/>
                <w:webHidden/>
              </w:rPr>
              <w:tab/>
            </w:r>
            <w:r>
              <w:rPr>
                <w:noProof/>
                <w:webHidden/>
              </w:rPr>
              <w:fldChar w:fldCharType="begin"/>
            </w:r>
            <w:r>
              <w:rPr>
                <w:noProof/>
                <w:webHidden/>
              </w:rPr>
              <w:instrText xml:space="preserve"> PAGEREF _Toc220491099 \h </w:instrText>
            </w:r>
            <w:r>
              <w:rPr>
                <w:noProof/>
                <w:webHidden/>
              </w:rPr>
            </w:r>
            <w:r>
              <w:rPr>
                <w:noProof/>
                <w:webHidden/>
              </w:rPr>
              <w:fldChar w:fldCharType="separate"/>
            </w:r>
            <w:r>
              <w:rPr>
                <w:noProof/>
                <w:webHidden/>
              </w:rPr>
              <w:t>530</w:t>
            </w:r>
            <w:r>
              <w:rPr>
                <w:noProof/>
                <w:webHidden/>
              </w:rPr>
              <w:fldChar w:fldCharType="end"/>
            </w:r>
          </w:hyperlink>
        </w:p>
        <w:p w14:paraId="2393AAA0" w14:textId="0B858E7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00" w:history="1">
            <w:r w:rsidRPr="001D4C20">
              <w:rPr>
                <w:rStyle w:val="Lienhypertexte"/>
                <w:noProof/>
              </w:rPr>
              <w:t>54.61.1a Plafonds - Trappes  CCTB 01.02</w:t>
            </w:r>
            <w:r>
              <w:rPr>
                <w:noProof/>
                <w:webHidden/>
              </w:rPr>
              <w:tab/>
            </w:r>
            <w:r>
              <w:rPr>
                <w:noProof/>
                <w:webHidden/>
              </w:rPr>
              <w:fldChar w:fldCharType="begin"/>
            </w:r>
            <w:r>
              <w:rPr>
                <w:noProof/>
                <w:webHidden/>
              </w:rPr>
              <w:instrText xml:space="preserve"> PAGEREF _Toc220491100 \h </w:instrText>
            </w:r>
            <w:r>
              <w:rPr>
                <w:noProof/>
                <w:webHidden/>
              </w:rPr>
            </w:r>
            <w:r>
              <w:rPr>
                <w:noProof/>
                <w:webHidden/>
              </w:rPr>
              <w:fldChar w:fldCharType="separate"/>
            </w:r>
            <w:r>
              <w:rPr>
                <w:noProof/>
                <w:webHidden/>
              </w:rPr>
              <w:t>530</w:t>
            </w:r>
            <w:r>
              <w:rPr>
                <w:noProof/>
                <w:webHidden/>
              </w:rPr>
              <w:fldChar w:fldCharType="end"/>
            </w:r>
          </w:hyperlink>
        </w:p>
        <w:p w14:paraId="73057DAF" w14:textId="25755B63"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101" w:history="1">
            <w:r w:rsidRPr="001D4C20">
              <w:rPr>
                <w:rStyle w:val="Lienhypertexte"/>
                <w:noProof/>
              </w:rPr>
              <w:t>54.62 Plafonds - Moulures CCTB 01.02</w:t>
            </w:r>
            <w:r>
              <w:rPr>
                <w:noProof/>
                <w:webHidden/>
              </w:rPr>
              <w:tab/>
            </w:r>
            <w:r>
              <w:rPr>
                <w:noProof/>
                <w:webHidden/>
              </w:rPr>
              <w:fldChar w:fldCharType="begin"/>
            </w:r>
            <w:r>
              <w:rPr>
                <w:noProof/>
                <w:webHidden/>
              </w:rPr>
              <w:instrText xml:space="preserve"> PAGEREF _Toc220491101 \h </w:instrText>
            </w:r>
            <w:r>
              <w:rPr>
                <w:noProof/>
                <w:webHidden/>
              </w:rPr>
            </w:r>
            <w:r>
              <w:rPr>
                <w:noProof/>
                <w:webHidden/>
              </w:rPr>
              <w:fldChar w:fldCharType="separate"/>
            </w:r>
            <w:r>
              <w:rPr>
                <w:noProof/>
                <w:webHidden/>
              </w:rPr>
              <w:t>530</w:t>
            </w:r>
            <w:r>
              <w:rPr>
                <w:noProof/>
                <w:webHidden/>
              </w:rPr>
              <w:fldChar w:fldCharType="end"/>
            </w:r>
          </w:hyperlink>
        </w:p>
        <w:p w14:paraId="34B3A04E" w14:textId="015CC3F6"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02" w:history="1">
            <w:r w:rsidRPr="001D4C20">
              <w:rPr>
                <w:rStyle w:val="Lienhypertexte"/>
                <w:noProof/>
              </w:rPr>
              <w:t>54.62.1 Plafonds - Moulures à base de plâtre (staff) CCTB 01.02</w:t>
            </w:r>
            <w:r>
              <w:rPr>
                <w:noProof/>
                <w:webHidden/>
              </w:rPr>
              <w:tab/>
            </w:r>
            <w:r>
              <w:rPr>
                <w:noProof/>
                <w:webHidden/>
              </w:rPr>
              <w:fldChar w:fldCharType="begin"/>
            </w:r>
            <w:r>
              <w:rPr>
                <w:noProof/>
                <w:webHidden/>
              </w:rPr>
              <w:instrText xml:space="preserve"> PAGEREF _Toc220491102 \h </w:instrText>
            </w:r>
            <w:r>
              <w:rPr>
                <w:noProof/>
                <w:webHidden/>
              </w:rPr>
            </w:r>
            <w:r>
              <w:rPr>
                <w:noProof/>
                <w:webHidden/>
              </w:rPr>
              <w:fldChar w:fldCharType="separate"/>
            </w:r>
            <w:r>
              <w:rPr>
                <w:noProof/>
                <w:webHidden/>
              </w:rPr>
              <w:t>530</w:t>
            </w:r>
            <w:r>
              <w:rPr>
                <w:noProof/>
                <w:webHidden/>
              </w:rPr>
              <w:fldChar w:fldCharType="end"/>
            </w:r>
          </w:hyperlink>
        </w:p>
        <w:p w14:paraId="6A19A261" w14:textId="6346508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03" w:history="1">
            <w:r w:rsidRPr="001D4C20">
              <w:rPr>
                <w:rStyle w:val="Lienhypertexte"/>
                <w:noProof/>
              </w:rPr>
              <w:t>54.62.1a Plafonds - Moulures à base de plâtre (staff) CCTB 01.02</w:t>
            </w:r>
            <w:r>
              <w:rPr>
                <w:noProof/>
                <w:webHidden/>
              </w:rPr>
              <w:tab/>
            </w:r>
            <w:r>
              <w:rPr>
                <w:noProof/>
                <w:webHidden/>
              </w:rPr>
              <w:fldChar w:fldCharType="begin"/>
            </w:r>
            <w:r>
              <w:rPr>
                <w:noProof/>
                <w:webHidden/>
              </w:rPr>
              <w:instrText xml:space="preserve"> PAGEREF _Toc220491103 \h </w:instrText>
            </w:r>
            <w:r>
              <w:rPr>
                <w:noProof/>
                <w:webHidden/>
              </w:rPr>
            </w:r>
            <w:r>
              <w:rPr>
                <w:noProof/>
                <w:webHidden/>
              </w:rPr>
              <w:fldChar w:fldCharType="separate"/>
            </w:r>
            <w:r>
              <w:rPr>
                <w:noProof/>
                <w:webHidden/>
              </w:rPr>
              <w:t>530</w:t>
            </w:r>
            <w:r>
              <w:rPr>
                <w:noProof/>
                <w:webHidden/>
              </w:rPr>
              <w:fldChar w:fldCharType="end"/>
            </w:r>
          </w:hyperlink>
        </w:p>
        <w:p w14:paraId="74775F77" w14:textId="78AF7FA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04" w:history="1">
            <w:r w:rsidRPr="001D4C20">
              <w:rPr>
                <w:rStyle w:val="Lienhypertexte"/>
                <w:noProof/>
              </w:rPr>
              <w:t>54.62.2 Plafonds - Moulures en bois CCTB 01.02</w:t>
            </w:r>
            <w:r>
              <w:rPr>
                <w:noProof/>
                <w:webHidden/>
              </w:rPr>
              <w:tab/>
            </w:r>
            <w:r>
              <w:rPr>
                <w:noProof/>
                <w:webHidden/>
              </w:rPr>
              <w:fldChar w:fldCharType="begin"/>
            </w:r>
            <w:r>
              <w:rPr>
                <w:noProof/>
                <w:webHidden/>
              </w:rPr>
              <w:instrText xml:space="preserve"> PAGEREF _Toc220491104 \h </w:instrText>
            </w:r>
            <w:r>
              <w:rPr>
                <w:noProof/>
                <w:webHidden/>
              </w:rPr>
            </w:r>
            <w:r>
              <w:rPr>
                <w:noProof/>
                <w:webHidden/>
              </w:rPr>
              <w:fldChar w:fldCharType="separate"/>
            </w:r>
            <w:r>
              <w:rPr>
                <w:noProof/>
                <w:webHidden/>
              </w:rPr>
              <w:t>530</w:t>
            </w:r>
            <w:r>
              <w:rPr>
                <w:noProof/>
                <w:webHidden/>
              </w:rPr>
              <w:fldChar w:fldCharType="end"/>
            </w:r>
          </w:hyperlink>
        </w:p>
        <w:p w14:paraId="22965E94" w14:textId="344A157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05" w:history="1">
            <w:r w:rsidRPr="001D4C20">
              <w:rPr>
                <w:rStyle w:val="Lienhypertexte"/>
                <w:noProof/>
              </w:rPr>
              <w:t>54.62.2a Plafonds - Moulures en bois CCTB 01.02</w:t>
            </w:r>
            <w:r>
              <w:rPr>
                <w:noProof/>
                <w:webHidden/>
              </w:rPr>
              <w:tab/>
            </w:r>
            <w:r>
              <w:rPr>
                <w:noProof/>
                <w:webHidden/>
              </w:rPr>
              <w:fldChar w:fldCharType="begin"/>
            </w:r>
            <w:r>
              <w:rPr>
                <w:noProof/>
                <w:webHidden/>
              </w:rPr>
              <w:instrText xml:space="preserve"> PAGEREF _Toc220491105 \h </w:instrText>
            </w:r>
            <w:r>
              <w:rPr>
                <w:noProof/>
                <w:webHidden/>
              </w:rPr>
            </w:r>
            <w:r>
              <w:rPr>
                <w:noProof/>
                <w:webHidden/>
              </w:rPr>
              <w:fldChar w:fldCharType="separate"/>
            </w:r>
            <w:r>
              <w:rPr>
                <w:noProof/>
                <w:webHidden/>
              </w:rPr>
              <w:t>530</w:t>
            </w:r>
            <w:r>
              <w:rPr>
                <w:noProof/>
                <w:webHidden/>
              </w:rPr>
              <w:fldChar w:fldCharType="end"/>
            </w:r>
          </w:hyperlink>
        </w:p>
        <w:p w14:paraId="7DB72176" w14:textId="7C456E27"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06" w:history="1">
            <w:r w:rsidRPr="001D4C20">
              <w:rPr>
                <w:rStyle w:val="Lienhypertexte"/>
                <w:noProof/>
              </w:rPr>
              <w:t>54.62.3 Plafonds - Moulures en matériau synthétique CCTB 01.02</w:t>
            </w:r>
            <w:r>
              <w:rPr>
                <w:noProof/>
                <w:webHidden/>
              </w:rPr>
              <w:tab/>
            </w:r>
            <w:r>
              <w:rPr>
                <w:noProof/>
                <w:webHidden/>
              </w:rPr>
              <w:fldChar w:fldCharType="begin"/>
            </w:r>
            <w:r>
              <w:rPr>
                <w:noProof/>
                <w:webHidden/>
              </w:rPr>
              <w:instrText xml:space="preserve"> PAGEREF _Toc220491106 \h </w:instrText>
            </w:r>
            <w:r>
              <w:rPr>
                <w:noProof/>
                <w:webHidden/>
              </w:rPr>
            </w:r>
            <w:r>
              <w:rPr>
                <w:noProof/>
                <w:webHidden/>
              </w:rPr>
              <w:fldChar w:fldCharType="separate"/>
            </w:r>
            <w:r>
              <w:rPr>
                <w:noProof/>
                <w:webHidden/>
              </w:rPr>
              <w:t>531</w:t>
            </w:r>
            <w:r>
              <w:rPr>
                <w:noProof/>
                <w:webHidden/>
              </w:rPr>
              <w:fldChar w:fldCharType="end"/>
            </w:r>
          </w:hyperlink>
        </w:p>
        <w:p w14:paraId="758BB9EE" w14:textId="2413206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07" w:history="1">
            <w:r w:rsidRPr="001D4C20">
              <w:rPr>
                <w:rStyle w:val="Lienhypertexte"/>
                <w:noProof/>
              </w:rPr>
              <w:t>54.62.3a Plafonds - Moulures en matériau synthétique CCTB 01.02</w:t>
            </w:r>
            <w:r>
              <w:rPr>
                <w:noProof/>
                <w:webHidden/>
              </w:rPr>
              <w:tab/>
            </w:r>
            <w:r>
              <w:rPr>
                <w:noProof/>
                <w:webHidden/>
              </w:rPr>
              <w:fldChar w:fldCharType="begin"/>
            </w:r>
            <w:r>
              <w:rPr>
                <w:noProof/>
                <w:webHidden/>
              </w:rPr>
              <w:instrText xml:space="preserve"> PAGEREF _Toc220491107 \h </w:instrText>
            </w:r>
            <w:r>
              <w:rPr>
                <w:noProof/>
                <w:webHidden/>
              </w:rPr>
            </w:r>
            <w:r>
              <w:rPr>
                <w:noProof/>
                <w:webHidden/>
              </w:rPr>
              <w:fldChar w:fldCharType="separate"/>
            </w:r>
            <w:r>
              <w:rPr>
                <w:noProof/>
                <w:webHidden/>
              </w:rPr>
              <w:t>531</w:t>
            </w:r>
            <w:r>
              <w:rPr>
                <w:noProof/>
                <w:webHidden/>
              </w:rPr>
              <w:fldChar w:fldCharType="end"/>
            </w:r>
          </w:hyperlink>
        </w:p>
        <w:p w14:paraId="0C68C84A" w14:textId="560B4B6E"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108" w:history="1">
            <w:r w:rsidRPr="001D4C20">
              <w:rPr>
                <w:rStyle w:val="Lienhypertexte"/>
                <w:noProof/>
              </w:rPr>
              <w:t>54.63 Plafonds - Réalisation de joints CCTB 01.02</w:t>
            </w:r>
            <w:r>
              <w:rPr>
                <w:noProof/>
                <w:webHidden/>
              </w:rPr>
              <w:tab/>
            </w:r>
            <w:r>
              <w:rPr>
                <w:noProof/>
                <w:webHidden/>
              </w:rPr>
              <w:fldChar w:fldCharType="begin"/>
            </w:r>
            <w:r>
              <w:rPr>
                <w:noProof/>
                <w:webHidden/>
              </w:rPr>
              <w:instrText xml:space="preserve"> PAGEREF _Toc220491108 \h </w:instrText>
            </w:r>
            <w:r>
              <w:rPr>
                <w:noProof/>
                <w:webHidden/>
              </w:rPr>
            </w:r>
            <w:r>
              <w:rPr>
                <w:noProof/>
                <w:webHidden/>
              </w:rPr>
              <w:fldChar w:fldCharType="separate"/>
            </w:r>
            <w:r>
              <w:rPr>
                <w:noProof/>
                <w:webHidden/>
              </w:rPr>
              <w:t>531</w:t>
            </w:r>
            <w:r>
              <w:rPr>
                <w:noProof/>
                <w:webHidden/>
              </w:rPr>
              <w:fldChar w:fldCharType="end"/>
            </w:r>
          </w:hyperlink>
        </w:p>
        <w:p w14:paraId="2AD876DB" w14:textId="290A7585"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09" w:history="1">
            <w:r w:rsidRPr="001D4C20">
              <w:rPr>
                <w:rStyle w:val="Lienhypertexte"/>
                <w:noProof/>
              </w:rPr>
              <w:t>54.63.1 Plafonds - Joint de tassement CCTB 01.02</w:t>
            </w:r>
            <w:r>
              <w:rPr>
                <w:noProof/>
                <w:webHidden/>
              </w:rPr>
              <w:tab/>
            </w:r>
            <w:r>
              <w:rPr>
                <w:noProof/>
                <w:webHidden/>
              </w:rPr>
              <w:fldChar w:fldCharType="begin"/>
            </w:r>
            <w:r>
              <w:rPr>
                <w:noProof/>
                <w:webHidden/>
              </w:rPr>
              <w:instrText xml:space="preserve"> PAGEREF _Toc220491109 \h </w:instrText>
            </w:r>
            <w:r>
              <w:rPr>
                <w:noProof/>
                <w:webHidden/>
              </w:rPr>
            </w:r>
            <w:r>
              <w:rPr>
                <w:noProof/>
                <w:webHidden/>
              </w:rPr>
              <w:fldChar w:fldCharType="separate"/>
            </w:r>
            <w:r>
              <w:rPr>
                <w:noProof/>
                <w:webHidden/>
              </w:rPr>
              <w:t>531</w:t>
            </w:r>
            <w:r>
              <w:rPr>
                <w:noProof/>
                <w:webHidden/>
              </w:rPr>
              <w:fldChar w:fldCharType="end"/>
            </w:r>
          </w:hyperlink>
        </w:p>
        <w:p w14:paraId="4D547D55" w14:textId="0B26700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10" w:history="1">
            <w:r w:rsidRPr="001D4C20">
              <w:rPr>
                <w:rStyle w:val="Lienhypertexte"/>
                <w:noProof/>
              </w:rPr>
              <w:t>54.63.1a Plafonds - Joint de tassement réalisé in situ CCTB 01.02</w:t>
            </w:r>
            <w:r>
              <w:rPr>
                <w:noProof/>
                <w:webHidden/>
              </w:rPr>
              <w:tab/>
            </w:r>
            <w:r>
              <w:rPr>
                <w:noProof/>
                <w:webHidden/>
              </w:rPr>
              <w:fldChar w:fldCharType="begin"/>
            </w:r>
            <w:r>
              <w:rPr>
                <w:noProof/>
                <w:webHidden/>
              </w:rPr>
              <w:instrText xml:space="preserve"> PAGEREF _Toc220491110 \h </w:instrText>
            </w:r>
            <w:r>
              <w:rPr>
                <w:noProof/>
                <w:webHidden/>
              </w:rPr>
            </w:r>
            <w:r>
              <w:rPr>
                <w:noProof/>
                <w:webHidden/>
              </w:rPr>
              <w:fldChar w:fldCharType="separate"/>
            </w:r>
            <w:r>
              <w:rPr>
                <w:noProof/>
                <w:webHidden/>
              </w:rPr>
              <w:t>531</w:t>
            </w:r>
            <w:r>
              <w:rPr>
                <w:noProof/>
                <w:webHidden/>
              </w:rPr>
              <w:fldChar w:fldCharType="end"/>
            </w:r>
          </w:hyperlink>
        </w:p>
        <w:p w14:paraId="3D59148C" w14:textId="4D225D1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11" w:history="1">
            <w:r w:rsidRPr="001D4C20">
              <w:rPr>
                <w:rStyle w:val="Lienhypertexte"/>
                <w:noProof/>
              </w:rPr>
              <w:t>54.63.1b Plafonds - Joint de tassement à systèmes préfabriqués CCTB 01.02</w:t>
            </w:r>
            <w:r>
              <w:rPr>
                <w:noProof/>
                <w:webHidden/>
              </w:rPr>
              <w:tab/>
            </w:r>
            <w:r>
              <w:rPr>
                <w:noProof/>
                <w:webHidden/>
              </w:rPr>
              <w:fldChar w:fldCharType="begin"/>
            </w:r>
            <w:r>
              <w:rPr>
                <w:noProof/>
                <w:webHidden/>
              </w:rPr>
              <w:instrText xml:space="preserve"> PAGEREF _Toc220491111 \h </w:instrText>
            </w:r>
            <w:r>
              <w:rPr>
                <w:noProof/>
                <w:webHidden/>
              </w:rPr>
            </w:r>
            <w:r>
              <w:rPr>
                <w:noProof/>
                <w:webHidden/>
              </w:rPr>
              <w:fldChar w:fldCharType="separate"/>
            </w:r>
            <w:r>
              <w:rPr>
                <w:noProof/>
                <w:webHidden/>
              </w:rPr>
              <w:t>531</w:t>
            </w:r>
            <w:r>
              <w:rPr>
                <w:noProof/>
                <w:webHidden/>
              </w:rPr>
              <w:fldChar w:fldCharType="end"/>
            </w:r>
          </w:hyperlink>
        </w:p>
        <w:p w14:paraId="1D762391" w14:textId="5D37249B"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12" w:history="1">
            <w:r w:rsidRPr="001D4C20">
              <w:rPr>
                <w:rStyle w:val="Lienhypertexte"/>
                <w:noProof/>
              </w:rPr>
              <w:t>54.63.2 Plafonds - Joint de dilatation CCTB 01.02</w:t>
            </w:r>
            <w:r>
              <w:rPr>
                <w:noProof/>
                <w:webHidden/>
              </w:rPr>
              <w:tab/>
            </w:r>
            <w:r>
              <w:rPr>
                <w:noProof/>
                <w:webHidden/>
              </w:rPr>
              <w:fldChar w:fldCharType="begin"/>
            </w:r>
            <w:r>
              <w:rPr>
                <w:noProof/>
                <w:webHidden/>
              </w:rPr>
              <w:instrText xml:space="preserve"> PAGEREF _Toc220491112 \h </w:instrText>
            </w:r>
            <w:r>
              <w:rPr>
                <w:noProof/>
                <w:webHidden/>
              </w:rPr>
            </w:r>
            <w:r>
              <w:rPr>
                <w:noProof/>
                <w:webHidden/>
              </w:rPr>
              <w:fldChar w:fldCharType="separate"/>
            </w:r>
            <w:r>
              <w:rPr>
                <w:noProof/>
                <w:webHidden/>
              </w:rPr>
              <w:t>531</w:t>
            </w:r>
            <w:r>
              <w:rPr>
                <w:noProof/>
                <w:webHidden/>
              </w:rPr>
              <w:fldChar w:fldCharType="end"/>
            </w:r>
          </w:hyperlink>
        </w:p>
        <w:p w14:paraId="583F29F2" w14:textId="13D42DA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13" w:history="1">
            <w:r w:rsidRPr="001D4C20">
              <w:rPr>
                <w:rStyle w:val="Lienhypertexte"/>
                <w:noProof/>
              </w:rPr>
              <w:t>54.63.2a Plafonds - Joint de dilatation réalisé in situ CCTB 01.02</w:t>
            </w:r>
            <w:r>
              <w:rPr>
                <w:noProof/>
                <w:webHidden/>
              </w:rPr>
              <w:tab/>
            </w:r>
            <w:r>
              <w:rPr>
                <w:noProof/>
                <w:webHidden/>
              </w:rPr>
              <w:fldChar w:fldCharType="begin"/>
            </w:r>
            <w:r>
              <w:rPr>
                <w:noProof/>
                <w:webHidden/>
              </w:rPr>
              <w:instrText xml:space="preserve"> PAGEREF _Toc220491113 \h </w:instrText>
            </w:r>
            <w:r>
              <w:rPr>
                <w:noProof/>
                <w:webHidden/>
              </w:rPr>
            </w:r>
            <w:r>
              <w:rPr>
                <w:noProof/>
                <w:webHidden/>
              </w:rPr>
              <w:fldChar w:fldCharType="separate"/>
            </w:r>
            <w:r>
              <w:rPr>
                <w:noProof/>
                <w:webHidden/>
              </w:rPr>
              <w:t>531</w:t>
            </w:r>
            <w:r>
              <w:rPr>
                <w:noProof/>
                <w:webHidden/>
              </w:rPr>
              <w:fldChar w:fldCharType="end"/>
            </w:r>
          </w:hyperlink>
        </w:p>
        <w:p w14:paraId="0A391291" w14:textId="026060E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14" w:history="1">
            <w:r w:rsidRPr="001D4C20">
              <w:rPr>
                <w:rStyle w:val="Lienhypertexte"/>
                <w:noProof/>
              </w:rPr>
              <w:t>54.63.2b Plafonds - Joint de dilatation à systèmes préfabriqués CCTB 01.02</w:t>
            </w:r>
            <w:r>
              <w:rPr>
                <w:noProof/>
                <w:webHidden/>
              </w:rPr>
              <w:tab/>
            </w:r>
            <w:r>
              <w:rPr>
                <w:noProof/>
                <w:webHidden/>
              </w:rPr>
              <w:fldChar w:fldCharType="begin"/>
            </w:r>
            <w:r>
              <w:rPr>
                <w:noProof/>
                <w:webHidden/>
              </w:rPr>
              <w:instrText xml:space="preserve"> PAGEREF _Toc220491114 \h </w:instrText>
            </w:r>
            <w:r>
              <w:rPr>
                <w:noProof/>
                <w:webHidden/>
              </w:rPr>
            </w:r>
            <w:r>
              <w:rPr>
                <w:noProof/>
                <w:webHidden/>
              </w:rPr>
              <w:fldChar w:fldCharType="separate"/>
            </w:r>
            <w:r>
              <w:rPr>
                <w:noProof/>
                <w:webHidden/>
              </w:rPr>
              <w:t>531</w:t>
            </w:r>
            <w:r>
              <w:rPr>
                <w:noProof/>
                <w:webHidden/>
              </w:rPr>
              <w:fldChar w:fldCharType="end"/>
            </w:r>
          </w:hyperlink>
        </w:p>
        <w:p w14:paraId="4A89FC7F" w14:textId="213A96C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15" w:history="1">
            <w:r w:rsidRPr="001D4C20">
              <w:rPr>
                <w:rStyle w:val="Lienhypertexte"/>
                <w:noProof/>
              </w:rPr>
              <w:t>54.63.3 Plafonds - Joint de retrait CCTB 01.02</w:t>
            </w:r>
            <w:r>
              <w:rPr>
                <w:noProof/>
                <w:webHidden/>
              </w:rPr>
              <w:tab/>
            </w:r>
            <w:r>
              <w:rPr>
                <w:noProof/>
                <w:webHidden/>
              </w:rPr>
              <w:fldChar w:fldCharType="begin"/>
            </w:r>
            <w:r>
              <w:rPr>
                <w:noProof/>
                <w:webHidden/>
              </w:rPr>
              <w:instrText xml:space="preserve"> PAGEREF _Toc220491115 \h </w:instrText>
            </w:r>
            <w:r>
              <w:rPr>
                <w:noProof/>
                <w:webHidden/>
              </w:rPr>
            </w:r>
            <w:r>
              <w:rPr>
                <w:noProof/>
                <w:webHidden/>
              </w:rPr>
              <w:fldChar w:fldCharType="separate"/>
            </w:r>
            <w:r>
              <w:rPr>
                <w:noProof/>
                <w:webHidden/>
              </w:rPr>
              <w:t>531</w:t>
            </w:r>
            <w:r>
              <w:rPr>
                <w:noProof/>
                <w:webHidden/>
              </w:rPr>
              <w:fldChar w:fldCharType="end"/>
            </w:r>
          </w:hyperlink>
        </w:p>
        <w:p w14:paraId="2AA87A57" w14:textId="10932F2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16" w:history="1">
            <w:r w:rsidRPr="001D4C20">
              <w:rPr>
                <w:rStyle w:val="Lienhypertexte"/>
                <w:noProof/>
              </w:rPr>
              <w:t>54.63.3a Plafonds - Joint de retrait réalisé in situ CCTB 01.02</w:t>
            </w:r>
            <w:r>
              <w:rPr>
                <w:noProof/>
                <w:webHidden/>
              </w:rPr>
              <w:tab/>
            </w:r>
            <w:r>
              <w:rPr>
                <w:noProof/>
                <w:webHidden/>
              </w:rPr>
              <w:fldChar w:fldCharType="begin"/>
            </w:r>
            <w:r>
              <w:rPr>
                <w:noProof/>
                <w:webHidden/>
              </w:rPr>
              <w:instrText xml:space="preserve"> PAGEREF _Toc220491116 \h </w:instrText>
            </w:r>
            <w:r>
              <w:rPr>
                <w:noProof/>
                <w:webHidden/>
              </w:rPr>
            </w:r>
            <w:r>
              <w:rPr>
                <w:noProof/>
                <w:webHidden/>
              </w:rPr>
              <w:fldChar w:fldCharType="separate"/>
            </w:r>
            <w:r>
              <w:rPr>
                <w:noProof/>
                <w:webHidden/>
              </w:rPr>
              <w:t>531</w:t>
            </w:r>
            <w:r>
              <w:rPr>
                <w:noProof/>
                <w:webHidden/>
              </w:rPr>
              <w:fldChar w:fldCharType="end"/>
            </w:r>
          </w:hyperlink>
        </w:p>
        <w:p w14:paraId="1C6A2C28" w14:textId="508A196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17" w:history="1">
            <w:r w:rsidRPr="001D4C20">
              <w:rPr>
                <w:rStyle w:val="Lienhypertexte"/>
                <w:noProof/>
              </w:rPr>
              <w:t>54.63.3b Plafonds - Joint de retrait à systèmes préfabriqués CCTB 01.02</w:t>
            </w:r>
            <w:r>
              <w:rPr>
                <w:noProof/>
                <w:webHidden/>
              </w:rPr>
              <w:tab/>
            </w:r>
            <w:r>
              <w:rPr>
                <w:noProof/>
                <w:webHidden/>
              </w:rPr>
              <w:fldChar w:fldCharType="begin"/>
            </w:r>
            <w:r>
              <w:rPr>
                <w:noProof/>
                <w:webHidden/>
              </w:rPr>
              <w:instrText xml:space="preserve"> PAGEREF _Toc220491117 \h </w:instrText>
            </w:r>
            <w:r>
              <w:rPr>
                <w:noProof/>
                <w:webHidden/>
              </w:rPr>
            </w:r>
            <w:r>
              <w:rPr>
                <w:noProof/>
                <w:webHidden/>
              </w:rPr>
              <w:fldChar w:fldCharType="separate"/>
            </w:r>
            <w:r>
              <w:rPr>
                <w:noProof/>
                <w:webHidden/>
              </w:rPr>
              <w:t>531</w:t>
            </w:r>
            <w:r>
              <w:rPr>
                <w:noProof/>
                <w:webHidden/>
              </w:rPr>
              <w:fldChar w:fldCharType="end"/>
            </w:r>
          </w:hyperlink>
        </w:p>
        <w:p w14:paraId="302CB820" w14:textId="7864A8B9"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18" w:history="1">
            <w:r w:rsidRPr="001D4C20">
              <w:rPr>
                <w:rStyle w:val="Lienhypertexte"/>
                <w:noProof/>
              </w:rPr>
              <w:t>54.63.4 Plafonds - Joint de désolidarisation CCTB 01.02</w:t>
            </w:r>
            <w:r>
              <w:rPr>
                <w:noProof/>
                <w:webHidden/>
              </w:rPr>
              <w:tab/>
            </w:r>
            <w:r>
              <w:rPr>
                <w:noProof/>
                <w:webHidden/>
              </w:rPr>
              <w:fldChar w:fldCharType="begin"/>
            </w:r>
            <w:r>
              <w:rPr>
                <w:noProof/>
                <w:webHidden/>
              </w:rPr>
              <w:instrText xml:space="preserve"> PAGEREF _Toc220491118 \h </w:instrText>
            </w:r>
            <w:r>
              <w:rPr>
                <w:noProof/>
                <w:webHidden/>
              </w:rPr>
            </w:r>
            <w:r>
              <w:rPr>
                <w:noProof/>
                <w:webHidden/>
              </w:rPr>
              <w:fldChar w:fldCharType="separate"/>
            </w:r>
            <w:r>
              <w:rPr>
                <w:noProof/>
                <w:webHidden/>
              </w:rPr>
              <w:t>531</w:t>
            </w:r>
            <w:r>
              <w:rPr>
                <w:noProof/>
                <w:webHidden/>
              </w:rPr>
              <w:fldChar w:fldCharType="end"/>
            </w:r>
          </w:hyperlink>
        </w:p>
        <w:p w14:paraId="3EA062F1" w14:textId="337EEA1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19" w:history="1">
            <w:r w:rsidRPr="001D4C20">
              <w:rPr>
                <w:rStyle w:val="Lienhypertexte"/>
                <w:noProof/>
              </w:rPr>
              <w:t>54.63.4a Plafonds - Joint de désolidarisation réalisé in situ CCTB 01.02</w:t>
            </w:r>
            <w:r>
              <w:rPr>
                <w:noProof/>
                <w:webHidden/>
              </w:rPr>
              <w:tab/>
            </w:r>
            <w:r>
              <w:rPr>
                <w:noProof/>
                <w:webHidden/>
              </w:rPr>
              <w:fldChar w:fldCharType="begin"/>
            </w:r>
            <w:r>
              <w:rPr>
                <w:noProof/>
                <w:webHidden/>
              </w:rPr>
              <w:instrText xml:space="preserve"> PAGEREF _Toc220491119 \h </w:instrText>
            </w:r>
            <w:r>
              <w:rPr>
                <w:noProof/>
                <w:webHidden/>
              </w:rPr>
            </w:r>
            <w:r>
              <w:rPr>
                <w:noProof/>
                <w:webHidden/>
              </w:rPr>
              <w:fldChar w:fldCharType="separate"/>
            </w:r>
            <w:r>
              <w:rPr>
                <w:noProof/>
                <w:webHidden/>
              </w:rPr>
              <w:t>531</w:t>
            </w:r>
            <w:r>
              <w:rPr>
                <w:noProof/>
                <w:webHidden/>
              </w:rPr>
              <w:fldChar w:fldCharType="end"/>
            </w:r>
          </w:hyperlink>
        </w:p>
        <w:p w14:paraId="2A007DAF" w14:textId="383355C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20" w:history="1">
            <w:r w:rsidRPr="001D4C20">
              <w:rPr>
                <w:rStyle w:val="Lienhypertexte"/>
                <w:noProof/>
              </w:rPr>
              <w:t>54.63.4b Plafonds - Joint de désolidarisation à systèmes préfabriqués CCTB 01.02</w:t>
            </w:r>
            <w:r>
              <w:rPr>
                <w:noProof/>
                <w:webHidden/>
              </w:rPr>
              <w:tab/>
            </w:r>
            <w:r>
              <w:rPr>
                <w:noProof/>
                <w:webHidden/>
              </w:rPr>
              <w:fldChar w:fldCharType="begin"/>
            </w:r>
            <w:r>
              <w:rPr>
                <w:noProof/>
                <w:webHidden/>
              </w:rPr>
              <w:instrText xml:space="preserve"> PAGEREF _Toc220491120 \h </w:instrText>
            </w:r>
            <w:r>
              <w:rPr>
                <w:noProof/>
                <w:webHidden/>
              </w:rPr>
            </w:r>
            <w:r>
              <w:rPr>
                <w:noProof/>
                <w:webHidden/>
              </w:rPr>
              <w:fldChar w:fldCharType="separate"/>
            </w:r>
            <w:r>
              <w:rPr>
                <w:noProof/>
                <w:webHidden/>
              </w:rPr>
              <w:t>531</w:t>
            </w:r>
            <w:r>
              <w:rPr>
                <w:noProof/>
                <w:webHidden/>
              </w:rPr>
              <w:fldChar w:fldCharType="end"/>
            </w:r>
          </w:hyperlink>
        </w:p>
        <w:p w14:paraId="6FE27D03" w14:textId="23F18805"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121" w:history="1">
            <w:r w:rsidRPr="001D4C20">
              <w:rPr>
                <w:rStyle w:val="Lienhypertexte"/>
                <w:noProof/>
              </w:rPr>
              <w:t>54.64 Plafonds - Etanchéisation de joints  CCTB 01.07</w:t>
            </w:r>
            <w:r>
              <w:rPr>
                <w:noProof/>
                <w:webHidden/>
              </w:rPr>
              <w:tab/>
            </w:r>
            <w:r>
              <w:rPr>
                <w:noProof/>
                <w:webHidden/>
              </w:rPr>
              <w:fldChar w:fldCharType="begin"/>
            </w:r>
            <w:r>
              <w:rPr>
                <w:noProof/>
                <w:webHidden/>
              </w:rPr>
              <w:instrText xml:space="preserve"> PAGEREF _Toc220491121 \h </w:instrText>
            </w:r>
            <w:r>
              <w:rPr>
                <w:noProof/>
                <w:webHidden/>
              </w:rPr>
            </w:r>
            <w:r>
              <w:rPr>
                <w:noProof/>
                <w:webHidden/>
              </w:rPr>
              <w:fldChar w:fldCharType="separate"/>
            </w:r>
            <w:r>
              <w:rPr>
                <w:noProof/>
                <w:webHidden/>
              </w:rPr>
              <w:t>531</w:t>
            </w:r>
            <w:r>
              <w:rPr>
                <w:noProof/>
                <w:webHidden/>
              </w:rPr>
              <w:fldChar w:fldCharType="end"/>
            </w:r>
          </w:hyperlink>
        </w:p>
        <w:p w14:paraId="5EE2BF25" w14:textId="757F3FB6"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122" w:history="1">
            <w:r w:rsidRPr="001D4C20">
              <w:rPr>
                <w:rStyle w:val="Lienhypertexte"/>
                <w:noProof/>
              </w:rPr>
              <w:t>54.65 Plafonds - Finitions particulières de joints CCTB 01.02</w:t>
            </w:r>
            <w:r>
              <w:rPr>
                <w:noProof/>
                <w:webHidden/>
              </w:rPr>
              <w:tab/>
            </w:r>
            <w:r>
              <w:rPr>
                <w:noProof/>
                <w:webHidden/>
              </w:rPr>
              <w:fldChar w:fldCharType="begin"/>
            </w:r>
            <w:r>
              <w:rPr>
                <w:noProof/>
                <w:webHidden/>
              </w:rPr>
              <w:instrText xml:space="preserve"> PAGEREF _Toc220491122 \h </w:instrText>
            </w:r>
            <w:r>
              <w:rPr>
                <w:noProof/>
                <w:webHidden/>
              </w:rPr>
            </w:r>
            <w:r>
              <w:rPr>
                <w:noProof/>
                <w:webHidden/>
              </w:rPr>
              <w:fldChar w:fldCharType="separate"/>
            </w:r>
            <w:r>
              <w:rPr>
                <w:noProof/>
                <w:webHidden/>
              </w:rPr>
              <w:t>531</w:t>
            </w:r>
            <w:r>
              <w:rPr>
                <w:noProof/>
                <w:webHidden/>
              </w:rPr>
              <w:fldChar w:fldCharType="end"/>
            </w:r>
          </w:hyperlink>
        </w:p>
        <w:p w14:paraId="3BCBCD60" w14:textId="229ECDBF"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23" w:history="1">
            <w:r w:rsidRPr="001D4C20">
              <w:rPr>
                <w:rStyle w:val="Lienhypertexte"/>
                <w:noProof/>
              </w:rPr>
              <w:t>54.65.1 Plafonds - Finitions particulières de joints - Couvre-joints CCTB 01.02</w:t>
            </w:r>
            <w:r>
              <w:rPr>
                <w:noProof/>
                <w:webHidden/>
              </w:rPr>
              <w:tab/>
            </w:r>
            <w:r>
              <w:rPr>
                <w:noProof/>
                <w:webHidden/>
              </w:rPr>
              <w:fldChar w:fldCharType="begin"/>
            </w:r>
            <w:r>
              <w:rPr>
                <w:noProof/>
                <w:webHidden/>
              </w:rPr>
              <w:instrText xml:space="preserve"> PAGEREF _Toc220491123 \h </w:instrText>
            </w:r>
            <w:r>
              <w:rPr>
                <w:noProof/>
                <w:webHidden/>
              </w:rPr>
            </w:r>
            <w:r>
              <w:rPr>
                <w:noProof/>
                <w:webHidden/>
              </w:rPr>
              <w:fldChar w:fldCharType="separate"/>
            </w:r>
            <w:r>
              <w:rPr>
                <w:noProof/>
                <w:webHidden/>
              </w:rPr>
              <w:t>531</w:t>
            </w:r>
            <w:r>
              <w:rPr>
                <w:noProof/>
                <w:webHidden/>
              </w:rPr>
              <w:fldChar w:fldCharType="end"/>
            </w:r>
          </w:hyperlink>
        </w:p>
        <w:p w14:paraId="1492BB09" w14:textId="7F3B973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24" w:history="1">
            <w:r w:rsidRPr="001D4C20">
              <w:rPr>
                <w:rStyle w:val="Lienhypertexte"/>
                <w:noProof/>
              </w:rPr>
              <w:t>54.65.1a Plafonds - Finitions particulières de joints - Couvre-joints CCTB 01.02</w:t>
            </w:r>
            <w:r>
              <w:rPr>
                <w:noProof/>
                <w:webHidden/>
              </w:rPr>
              <w:tab/>
            </w:r>
            <w:r>
              <w:rPr>
                <w:noProof/>
                <w:webHidden/>
              </w:rPr>
              <w:fldChar w:fldCharType="begin"/>
            </w:r>
            <w:r>
              <w:rPr>
                <w:noProof/>
                <w:webHidden/>
              </w:rPr>
              <w:instrText xml:space="preserve"> PAGEREF _Toc220491124 \h </w:instrText>
            </w:r>
            <w:r>
              <w:rPr>
                <w:noProof/>
                <w:webHidden/>
              </w:rPr>
            </w:r>
            <w:r>
              <w:rPr>
                <w:noProof/>
                <w:webHidden/>
              </w:rPr>
              <w:fldChar w:fldCharType="separate"/>
            </w:r>
            <w:r>
              <w:rPr>
                <w:noProof/>
                <w:webHidden/>
              </w:rPr>
              <w:t>531</w:t>
            </w:r>
            <w:r>
              <w:rPr>
                <w:noProof/>
                <w:webHidden/>
              </w:rPr>
              <w:fldChar w:fldCharType="end"/>
            </w:r>
          </w:hyperlink>
        </w:p>
        <w:p w14:paraId="5C1E15F8" w14:textId="247AE650"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25" w:history="1">
            <w:r w:rsidRPr="001D4C20">
              <w:rPr>
                <w:rStyle w:val="Lienhypertexte"/>
                <w:noProof/>
              </w:rPr>
              <w:t>54.65.2 Plafonds - Systèmes de finition de joints CCTB 01.02</w:t>
            </w:r>
            <w:r>
              <w:rPr>
                <w:noProof/>
                <w:webHidden/>
              </w:rPr>
              <w:tab/>
            </w:r>
            <w:r>
              <w:rPr>
                <w:noProof/>
                <w:webHidden/>
              </w:rPr>
              <w:fldChar w:fldCharType="begin"/>
            </w:r>
            <w:r>
              <w:rPr>
                <w:noProof/>
                <w:webHidden/>
              </w:rPr>
              <w:instrText xml:space="preserve"> PAGEREF _Toc220491125 \h </w:instrText>
            </w:r>
            <w:r>
              <w:rPr>
                <w:noProof/>
                <w:webHidden/>
              </w:rPr>
            </w:r>
            <w:r>
              <w:rPr>
                <w:noProof/>
                <w:webHidden/>
              </w:rPr>
              <w:fldChar w:fldCharType="separate"/>
            </w:r>
            <w:r>
              <w:rPr>
                <w:noProof/>
                <w:webHidden/>
              </w:rPr>
              <w:t>531</w:t>
            </w:r>
            <w:r>
              <w:rPr>
                <w:noProof/>
                <w:webHidden/>
              </w:rPr>
              <w:fldChar w:fldCharType="end"/>
            </w:r>
          </w:hyperlink>
        </w:p>
        <w:p w14:paraId="093DB2CC" w14:textId="17EAA14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26" w:history="1">
            <w:r w:rsidRPr="001D4C20">
              <w:rPr>
                <w:rStyle w:val="Lienhypertexte"/>
                <w:noProof/>
              </w:rPr>
              <w:t>54.65.2a Plafonds - Système de finition de joints de structure CCTB 01.02</w:t>
            </w:r>
            <w:r>
              <w:rPr>
                <w:noProof/>
                <w:webHidden/>
              </w:rPr>
              <w:tab/>
            </w:r>
            <w:r>
              <w:rPr>
                <w:noProof/>
                <w:webHidden/>
              </w:rPr>
              <w:fldChar w:fldCharType="begin"/>
            </w:r>
            <w:r>
              <w:rPr>
                <w:noProof/>
                <w:webHidden/>
              </w:rPr>
              <w:instrText xml:space="preserve"> PAGEREF _Toc220491126 \h </w:instrText>
            </w:r>
            <w:r>
              <w:rPr>
                <w:noProof/>
                <w:webHidden/>
              </w:rPr>
            </w:r>
            <w:r>
              <w:rPr>
                <w:noProof/>
                <w:webHidden/>
              </w:rPr>
              <w:fldChar w:fldCharType="separate"/>
            </w:r>
            <w:r>
              <w:rPr>
                <w:noProof/>
                <w:webHidden/>
              </w:rPr>
              <w:t>531</w:t>
            </w:r>
            <w:r>
              <w:rPr>
                <w:noProof/>
                <w:webHidden/>
              </w:rPr>
              <w:fldChar w:fldCharType="end"/>
            </w:r>
          </w:hyperlink>
        </w:p>
        <w:p w14:paraId="1F00FE93" w14:textId="0FA13B6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27" w:history="1">
            <w:r w:rsidRPr="001D4C20">
              <w:rPr>
                <w:rStyle w:val="Lienhypertexte"/>
                <w:noProof/>
              </w:rPr>
              <w:t>54.65.2b Plafonds - Système de finition de joints de fractionnement CCTB 01.02</w:t>
            </w:r>
            <w:r>
              <w:rPr>
                <w:noProof/>
                <w:webHidden/>
              </w:rPr>
              <w:tab/>
            </w:r>
            <w:r>
              <w:rPr>
                <w:noProof/>
                <w:webHidden/>
              </w:rPr>
              <w:fldChar w:fldCharType="begin"/>
            </w:r>
            <w:r>
              <w:rPr>
                <w:noProof/>
                <w:webHidden/>
              </w:rPr>
              <w:instrText xml:space="preserve"> PAGEREF _Toc220491127 \h </w:instrText>
            </w:r>
            <w:r>
              <w:rPr>
                <w:noProof/>
                <w:webHidden/>
              </w:rPr>
            </w:r>
            <w:r>
              <w:rPr>
                <w:noProof/>
                <w:webHidden/>
              </w:rPr>
              <w:fldChar w:fldCharType="separate"/>
            </w:r>
            <w:r>
              <w:rPr>
                <w:noProof/>
                <w:webHidden/>
              </w:rPr>
              <w:t>531</w:t>
            </w:r>
            <w:r>
              <w:rPr>
                <w:noProof/>
                <w:webHidden/>
              </w:rPr>
              <w:fldChar w:fldCharType="end"/>
            </w:r>
          </w:hyperlink>
        </w:p>
        <w:p w14:paraId="0433054E" w14:textId="6B84587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28" w:history="1">
            <w:r w:rsidRPr="001D4C20">
              <w:rPr>
                <w:rStyle w:val="Lienhypertexte"/>
                <w:noProof/>
              </w:rPr>
              <w:t>54.65.2c Plafonds - Système de finition de joints imperméable CCTB 01.02</w:t>
            </w:r>
            <w:r>
              <w:rPr>
                <w:noProof/>
                <w:webHidden/>
              </w:rPr>
              <w:tab/>
            </w:r>
            <w:r>
              <w:rPr>
                <w:noProof/>
                <w:webHidden/>
              </w:rPr>
              <w:fldChar w:fldCharType="begin"/>
            </w:r>
            <w:r>
              <w:rPr>
                <w:noProof/>
                <w:webHidden/>
              </w:rPr>
              <w:instrText xml:space="preserve"> PAGEREF _Toc220491128 \h </w:instrText>
            </w:r>
            <w:r>
              <w:rPr>
                <w:noProof/>
                <w:webHidden/>
              </w:rPr>
            </w:r>
            <w:r>
              <w:rPr>
                <w:noProof/>
                <w:webHidden/>
              </w:rPr>
              <w:fldChar w:fldCharType="separate"/>
            </w:r>
            <w:r>
              <w:rPr>
                <w:noProof/>
                <w:webHidden/>
              </w:rPr>
              <w:t>531</w:t>
            </w:r>
            <w:r>
              <w:rPr>
                <w:noProof/>
                <w:webHidden/>
              </w:rPr>
              <w:fldChar w:fldCharType="end"/>
            </w:r>
          </w:hyperlink>
        </w:p>
        <w:p w14:paraId="345F21C8" w14:textId="6CF08908"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129" w:history="1">
            <w:r w:rsidRPr="001D4C20">
              <w:rPr>
                <w:rStyle w:val="Lienhypertexte"/>
                <w:noProof/>
              </w:rPr>
              <w:t>54.66 Plafonds - Luminaires  CCTB 01.07</w:t>
            </w:r>
            <w:r>
              <w:rPr>
                <w:noProof/>
                <w:webHidden/>
              </w:rPr>
              <w:tab/>
            </w:r>
            <w:r>
              <w:rPr>
                <w:noProof/>
                <w:webHidden/>
              </w:rPr>
              <w:fldChar w:fldCharType="begin"/>
            </w:r>
            <w:r>
              <w:rPr>
                <w:noProof/>
                <w:webHidden/>
              </w:rPr>
              <w:instrText xml:space="preserve"> PAGEREF _Toc220491129 \h </w:instrText>
            </w:r>
            <w:r>
              <w:rPr>
                <w:noProof/>
                <w:webHidden/>
              </w:rPr>
            </w:r>
            <w:r>
              <w:rPr>
                <w:noProof/>
                <w:webHidden/>
              </w:rPr>
              <w:fldChar w:fldCharType="separate"/>
            </w:r>
            <w:r>
              <w:rPr>
                <w:noProof/>
                <w:webHidden/>
              </w:rPr>
              <w:t>531</w:t>
            </w:r>
            <w:r>
              <w:rPr>
                <w:noProof/>
                <w:webHidden/>
              </w:rPr>
              <w:fldChar w:fldCharType="end"/>
            </w:r>
          </w:hyperlink>
        </w:p>
        <w:p w14:paraId="409FC215" w14:textId="5F33C2D9"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130" w:history="1">
            <w:r w:rsidRPr="001D4C20">
              <w:rPr>
                <w:rStyle w:val="Lienhypertexte"/>
                <w:noProof/>
              </w:rPr>
              <w:t>54.67 Plafonds - Matériel électrique apparent CCTB 01.07</w:t>
            </w:r>
            <w:r>
              <w:rPr>
                <w:noProof/>
                <w:webHidden/>
              </w:rPr>
              <w:tab/>
            </w:r>
            <w:r>
              <w:rPr>
                <w:noProof/>
                <w:webHidden/>
              </w:rPr>
              <w:fldChar w:fldCharType="begin"/>
            </w:r>
            <w:r>
              <w:rPr>
                <w:noProof/>
                <w:webHidden/>
              </w:rPr>
              <w:instrText xml:space="preserve"> PAGEREF _Toc220491130 \h </w:instrText>
            </w:r>
            <w:r>
              <w:rPr>
                <w:noProof/>
                <w:webHidden/>
              </w:rPr>
            </w:r>
            <w:r>
              <w:rPr>
                <w:noProof/>
                <w:webHidden/>
              </w:rPr>
              <w:fldChar w:fldCharType="separate"/>
            </w:r>
            <w:r>
              <w:rPr>
                <w:noProof/>
                <w:webHidden/>
              </w:rPr>
              <w:t>531</w:t>
            </w:r>
            <w:r>
              <w:rPr>
                <w:noProof/>
                <w:webHidden/>
              </w:rPr>
              <w:fldChar w:fldCharType="end"/>
            </w:r>
          </w:hyperlink>
        </w:p>
        <w:p w14:paraId="4BE583F5" w14:textId="6AB52D2E"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131" w:history="1">
            <w:r w:rsidRPr="001D4C20">
              <w:rPr>
                <w:rStyle w:val="Lienhypertexte"/>
                <w:noProof/>
              </w:rPr>
              <w:t>54.68 Plafonds - Eléments de ventilation  CCTB 01.07</w:t>
            </w:r>
            <w:r>
              <w:rPr>
                <w:noProof/>
                <w:webHidden/>
              </w:rPr>
              <w:tab/>
            </w:r>
            <w:r>
              <w:rPr>
                <w:noProof/>
                <w:webHidden/>
              </w:rPr>
              <w:fldChar w:fldCharType="begin"/>
            </w:r>
            <w:r>
              <w:rPr>
                <w:noProof/>
                <w:webHidden/>
              </w:rPr>
              <w:instrText xml:space="preserve"> PAGEREF _Toc220491131 \h </w:instrText>
            </w:r>
            <w:r>
              <w:rPr>
                <w:noProof/>
                <w:webHidden/>
              </w:rPr>
            </w:r>
            <w:r>
              <w:rPr>
                <w:noProof/>
                <w:webHidden/>
              </w:rPr>
              <w:fldChar w:fldCharType="separate"/>
            </w:r>
            <w:r>
              <w:rPr>
                <w:noProof/>
                <w:webHidden/>
              </w:rPr>
              <w:t>532</w:t>
            </w:r>
            <w:r>
              <w:rPr>
                <w:noProof/>
                <w:webHidden/>
              </w:rPr>
              <w:fldChar w:fldCharType="end"/>
            </w:r>
          </w:hyperlink>
        </w:p>
        <w:p w14:paraId="3F043029" w14:textId="7FF50B9F"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132" w:history="1">
            <w:r w:rsidRPr="001D4C20">
              <w:rPr>
                <w:rStyle w:val="Lienhypertexte"/>
                <w:noProof/>
              </w:rPr>
              <w:t>54.7 - CCTB 01.02</w:t>
            </w:r>
            <w:r>
              <w:rPr>
                <w:noProof/>
                <w:webHidden/>
              </w:rPr>
              <w:tab/>
            </w:r>
            <w:r>
              <w:rPr>
                <w:noProof/>
                <w:webHidden/>
              </w:rPr>
              <w:fldChar w:fldCharType="begin"/>
            </w:r>
            <w:r>
              <w:rPr>
                <w:noProof/>
                <w:webHidden/>
              </w:rPr>
              <w:instrText xml:space="preserve"> PAGEREF _Toc220491132 \h </w:instrText>
            </w:r>
            <w:r>
              <w:rPr>
                <w:noProof/>
                <w:webHidden/>
              </w:rPr>
            </w:r>
            <w:r>
              <w:rPr>
                <w:noProof/>
                <w:webHidden/>
              </w:rPr>
              <w:fldChar w:fldCharType="separate"/>
            </w:r>
            <w:r>
              <w:rPr>
                <w:noProof/>
                <w:webHidden/>
              </w:rPr>
              <w:t>532</w:t>
            </w:r>
            <w:r>
              <w:rPr>
                <w:noProof/>
                <w:webHidden/>
              </w:rPr>
              <w:fldChar w:fldCharType="end"/>
            </w:r>
          </w:hyperlink>
        </w:p>
        <w:p w14:paraId="1EB86CCA" w14:textId="01A8DF3E"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133" w:history="1">
            <w:r w:rsidRPr="001D4C20">
              <w:rPr>
                <w:rStyle w:val="Lienhypertexte"/>
                <w:noProof/>
              </w:rPr>
              <w:t>54.8 Plafonds et faux-plafonds - Rénovation  CCTB 01.10</w:t>
            </w:r>
            <w:r>
              <w:rPr>
                <w:noProof/>
                <w:webHidden/>
              </w:rPr>
              <w:tab/>
            </w:r>
            <w:r>
              <w:rPr>
                <w:noProof/>
                <w:webHidden/>
              </w:rPr>
              <w:fldChar w:fldCharType="begin"/>
            </w:r>
            <w:r>
              <w:rPr>
                <w:noProof/>
                <w:webHidden/>
              </w:rPr>
              <w:instrText xml:space="preserve"> PAGEREF _Toc220491133 \h </w:instrText>
            </w:r>
            <w:r>
              <w:rPr>
                <w:noProof/>
                <w:webHidden/>
              </w:rPr>
            </w:r>
            <w:r>
              <w:rPr>
                <w:noProof/>
                <w:webHidden/>
              </w:rPr>
              <w:fldChar w:fldCharType="separate"/>
            </w:r>
            <w:r>
              <w:rPr>
                <w:noProof/>
                <w:webHidden/>
              </w:rPr>
              <w:t>532</w:t>
            </w:r>
            <w:r>
              <w:rPr>
                <w:noProof/>
                <w:webHidden/>
              </w:rPr>
              <w:fldChar w:fldCharType="end"/>
            </w:r>
          </w:hyperlink>
        </w:p>
        <w:p w14:paraId="24323755" w14:textId="0F154467" w:rsidR="000F4169" w:rsidRDefault="000F4169">
          <w:pPr>
            <w:pStyle w:val="TM2"/>
            <w:tabs>
              <w:tab w:val="right" w:leader="dot" w:pos="9016"/>
            </w:tabs>
            <w:rPr>
              <w:rFonts w:asciiTheme="minorHAnsi" w:eastAsiaTheme="minorEastAsia" w:hAnsiTheme="minorHAnsi" w:cstheme="minorBidi"/>
              <w:noProof/>
              <w:kern w:val="2"/>
              <w:sz w:val="24"/>
              <w:szCs w:val="24"/>
              <w14:ligatures w14:val="standardContextual"/>
            </w:rPr>
          </w:pPr>
          <w:hyperlink w:anchor="_Toc220491134" w:history="1">
            <w:r w:rsidRPr="001D4C20">
              <w:rPr>
                <w:rStyle w:val="Lienhypertexte"/>
                <w:noProof/>
              </w:rPr>
              <w:t>55 Menuiseries intérieures CCTB 01.11</w:t>
            </w:r>
            <w:r>
              <w:rPr>
                <w:noProof/>
                <w:webHidden/>
              </w:rPr>
              <w:tab/>
            </w:r>
            <w:r>
              <w:rPr>
                <w:noProof/>
                <w:webHidden/>
              </w:rPr>
              <w:fldChar w:fldCharType="begin"/>
            </w:r>
            <w:r>
              <w:rPr>
                <w:noProof/>
                <w:webHidden/>
              </w:rPr>
              <w:instrText xml:space="preserve"> PAGEREF _Toc220491134 \h </w:instrText>
            </w:r>
            <w:r>
              <w:rPr>
                <w:noProof/>
                <w:webHidden/>
              </w:rPr>
            </w:r>
            <w:r>
              <w:rPr>
                <w:noProof/>
                <w:webHidden/>
              </w:rPr>
              <w:fldChar w:fldCharType="separate"/>
            </w:r>
            <w:r>
              <w:rPr>
                <w:noProof/>
                <w:webHidden/>
              </w:rPr>
              <w:t>532</w:t>
            </w:r>
            <w:r>
              <w:rPr>
                <w:noProof/>
                <w:webHidden/>
              </w:rPr>
              <w:fldChar w:fldCharType="end"/>
            </w:r>
          </w:hyperlink>
        </w:p>
        <w:p w14:paraId="35818954" w14:textId="6A456ABF"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135" w:history="1">
            <w:r w:rsidRPr="001D4C20">
              <w:rPr>
                <w:rStyle w:val="Lienhypertexte"/>
                <w:noProof/>
              </w:rPr>
              <w:t>55.1 Fenêtres intérieures CCTB 01.12</w:t>
            </w:r>
            <w:r>
              <w:rPr>
                <w:noProof/>
                <w:webHidden/>
              </w:rPr>
              <w:tab/>
            </w:r>
            <w:r>
              <w:rPr>
                <w:noProof/>
                <w:webHidden/>
              </w:rPr>
              <w:fldChar w:fldCharType="begin"/>
            </w:r>
            <w:r>
              <w:rPr>
                <w:noProof/>
                <w:webHidden/>
              </w:rPr>
              <w:instrText xml:space="preserve"> PAGEREF _Toc220491135 \h </w:instrText>
            </w:r>
            <w:r>
              <w:rPr>
                <w:noProof/>
                <w:webHidden/>
              </w:rPr>
            </w:r>
            <w:r>
              <w:rPr>
                <w:noProof/>
                <w:webHidden/>
              </w:rPr>
              <w:fldChar w:fldCharType="separate"/>
            </w:r>
            <w:r>
              <w:rPr>
                <w:noProof/>
                <w:webHidden/>
              </w:rPr>
              <w:t>532</w:t>
            </w:r>
            <w:r>
              <w:rPr>
                <w:noProof/>
                <w:webHidden/>
              </w:rPr>
              <w:fldChar w:fldCharType="end"/>
            </w:r>
          </w:hyperlink>
        </w:p>
        <w:p w14:paraId="457E2000" w14:textId="6A6DE8BE"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136" w:history="1">
            <w:r w:rsidRPr="001D4C20">
              <w:rPr>
                <w:rStyle w:val="Lienhypertexte"/>
                <w:noProof/>
              </w:rPr>
              <w:t>55.11 Fenêtres intérieures en bois CCTB 01.11</w:t>
            </w:r>
            <w:r>
              <w:rPr>
                <w:noProof/>
                <w:webHidden/>
              </w:rPr>
              <w:tab/>
            </w:r>
            <w:r>
              <w:rPr>
                <w:noProof/>
                <w:webHidden/>
              </w:rPr>
              <w:fldChar w:fldCharType="begin"/>
            </w:r>
            <w:r>
              <w:rPr>
                <w:noProof/>
                <w:webHidden/>
              </w:rPr>
              <w:instrText xml:space="preserve"> PAGEREF _Toc220491136 \h </w:instrText>
            </w:r>
            <w:r>
              <w:rPr>
                <w:noProof/>
                <w:webHidden/>
              </w:rPr>
            </w:r>
            <w:r>
              <w:rPr>
                <w:noProof/>
                <w:webHidden/>
              </w:rPr>
              <w:fldChar w:fldCharType="separate"/>
            </w:r>
            <w:r>
              <w:rPr>
                <w:noProof/>
                <w:webHidden/>
              </w:rPr>
              <w:t>537</w:t>
            </w:r>
            <w:r>
              <w:rPr>
                <w:noProof/>
                <w:webHidden/>
              </w:rPr>
              <w:fldChar w:fldCharType="end"/>
            </w:r>
          </w:hyperlink>
        </w:p>
        <w:p w14:paraId="129E7A97" w14:textId="6D50C402"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37" w:history="1">
            <w:r w:rsidRPr="001D4C20">
              <w:rPr>
                <w:rStyle w:val="Lienhypertexte"/>
                <w:noProof/>
              </w:rPr>
              <w:t>55.11.1 Fenêtres et portes-fenêtres intérieures en bois massif / lamellé-collé  CCTB 01.02</w:t>
            </w:r>
            <w:r>
              <w:rPr>
                <w:noProof/>
                <w:webHidden/>
              </w:rPr>
              <w:tab/>
            </w:r>
            <w:r>
              <w:rPr>
                <w:noProof/>
                <w:webHidden/>
              </w:rPr>
              <w:fldChar w:fldCharType="begin"/>
            </w:r>
            <w:r>
              <w:rPr>
                <w:noProof/>
                <w:webHidden/>
              </w:rPr>
              <w:instrText xml:space="preserve"> PAGEREF _Toc220491137 \h </w:instrText>
            </w:r>
            <w:r>
              <w:rPr>
                <w:noProof/>
                <w:webHidden/>
              </w:rPr>
            </w:r>
            <w:r>
              <w:rPr>
                <w:noProof/>
                <w:webHidden/>
              </w:rPr>
              <w:fldChar w:fldCharType="separate"/>
            </w:r>
            <w:r>
              <w:rPr>
                <w:noProof/>
                <w:webHidden/>
              </w:rPr>
              <w:t>539</w:t>
            </w:r>
            <w:r>
              <w:rPr>
                <w:noProof/>
                <w:webHidden/>
              </w:rPr>
              <w:fldChar w:fldCharType="end"/>
            </w:r>
          </w:hyperlink>
        </w:p>
        <w:p w14:paraId="64D1BD7B" w14:textId="16BBFB0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38" w:history="1">
            <w:r w:rsidRPr="001D4C20">
              <w:rPr>
                <w:rStyle w:val="Lienhypertexte"/>
                <w:noProof/>
              </w:rPr>
              <w:t>55.11.1a Fenêtres et portes-fenêtres intérieures en bois massif CCTB 01.02</w:t>
            </w:r>
            <w:r>
              <w:rPr>
                <w:noProof/>
                <w:webHidden/>
              </w:rPr>
              <w:tab/>
            </w:r>
            <w:r>
              <w:rPr>
                <w:noProof/>
                <w:webHidden/>
              </w:rPr>
              <w:fldChar w:fldCharType="begin"/>
            </w:r>
            <w:r>
              <w:rPr>
                <w:noProof/>
                <w:webHidden/>
              </w:rPr>
              <w:instrText xml:space="preserve"> PAGEREF _Toc220491138 \h </w:instrText>
            </w:r>
            <w:r>
              <w:rPr>
                <w:noProof/>
                <w:webHidden/>
              </w:rPr>
            </w:r>
            <w:r>
              <w:rPr>
                <w:noProof/>
                <w:webHidden/>
              </w:rPr>
              <w:fldChar w:fldCharType="separate"/>
            </w:r>
            <w:r>
              <w:rPr>
                <w:noProof/>
                <w:webHidden/>
              </w:rPr>
              <w:t>539</w:t>
            </w:r>
            <w:r>
              <w:rPr>
                <w:noProof/>
                <w:webHidden/>
              </w:rPr>
              <w:fldChar w:fldCharType="end"/>
            </w:r>
          </w:hyperlink>
        </w:p>
        <w:p w14:paraId="5D5F1496" w14:textId="7B40CFC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39" w:history="1">
            <w:r w:rsidRPr="001D4C20">
              <w:rPr>
                <w:rStyle w:val="Lienhypertexte"/>
                <w:noProof/>
              </w:rPr>
              <w:t>55.11.1b Fenêtres et portes-fenêtres intérieures en bois lamellé-collé  CCTB 01.02</w:t>
            </w:r>
            <w:r>
              <w:rPr>
                <w:noProof/>
                <w:webHidden/>
              </w:rPr>
              <w:tab/>
            </w:r>
            <w:r>
              <w:rPr>
                <w:noProof/>
                <w:webHidden/>
              </w:rPr>
              <w:fldChar w:fldCharType="begin"/>
            </w:r>
            <w:r>
              <w:rPr>
                <w:noProof/>
                <w:webHidden/>
              </w:rPr>
              <w:instrText xml:space="preserve"> PAGEREF _Toc220491139 \h </w:instrText>
            </w:r>
            <w:r>
              <w:rPr>
                <w:noProof/>
                <w:webHidden/>
              </w:rPr>
            </w:r>
            <w:r>
              <w:rPr>
                <w:noProof/>
                <w:webHidden/>
              </w:rPr>
              <w:fldChar w:fldCharType="separate"/>
            </w:r>
            <w:r>
              <w:rPr>
                <w:noProof/>
                <w:webHidden/>
              </w:rPr>
              <w:t>539</w:t>
            </w:r>
            <w:r>
              <w:rPr>
                <w:noProof/>
                <w:webHidden/>
              </w:rPr>
              <w:fldChar w:fldCharType="end"/>
            </w:r>
          </w:hyperlink>
        </w:p>
        <w:p w14:paraId="23A5B6D4" w14:textId="6D99A2B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40" w:history="1">
            <w:r w:rsidRPr="001D4C20">
              <w:rPr>
                <w:rStyle w:val="Lienhypertexte"/>
                <w:noProof/>
              </w:rPr>
              <w:t>55.11.2 Fenêtres et portes-fenêtres intérieures en bois, massif / lamellé-collé, à composition mixte - profilé collaborant CCTB 01.02</w:t>
            </w:r>
            <w:r>
              <w:rPr>
                <w:noProof/>
                <w:webHidden/>
              </w:rPr>
              <w:tab/>
            </w:r>
            <w:r>
              <w:rPr>
                <w:noProof/>
                <w:webHidden/>
              </w:rPr>
              <w:fldChar w:fldCharType="begin"/>
            </w:r>
            <w:r>
              <w:rPr>
                <w:noProof/>
                <w:webHidden/>
              </w:rPr>
              <w:instrText xml:space="preserve"> PAGEREF _Toc220491140 \h </w:instrText>
            </w:r>
            <w:r>
              <w:rPr>
                <w:noProof/>
                <w:webHidden/>
              </w:rPr>
            </w:r>
            <w:r>
              <w:rPr>
                <w:noProof/>
                <w:webHidden/>
              </w:rPr>
              <w:fldChar w:fldCharType="separate"/>
            </w:r>
            <w:r>
              <w:rPr>
                <w:noProof/>
                <w:webHidden/>
              </w:rPr>
              <w:t>539</w:t>
            </w:r>
            <w:r>
              <w:rPr>
                <w:noProof/>
                <w:webHidden/>
              </w:rPr>
              <w:fldChar w:fldCharType="end"/>
            </w:r>
          </w:hyperlink>
        </w:p>
        <w:p w14:paraId="2763B1EB" w14:textId="374DCDD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41" w:history="1">
            <w:r w:rsidRPr="001D4C20">
              <w:rPr>
                <w:rStyle w:val="Lienhypertexte"/>
                <w:noProof/>
              </w:rPr>
              <w:t>55.11.2a Fenêtres et portes-fenêtres intérieures en bois massif + aluminium CCTB 01.02</w:t>
            </w:r>
            <w:r>
              <w:rPr>
                <w:noProof/>
                <w:webHidden/>
              </w:rPr>
              <w:tab/>
            </w:r>
            <w:r>
              <w:rPr>
                <w:noProof/>
                <w:webHidden/>
              </w:rPr>
              <w:fldChar w:fldCharType="begin"/>
            </w:r>
            <w:r>
              <w:rPr>
                <w:noProof/>
                <w:webHidden/>
              </w:rPr>
              <w:instrText xml:space="preserve"> PAGEREF _Toc220491141 \h </w:instrText>
            </w:r>
            <w:r>
              <w:rPr>
                <w:noProof/>
                <w:webHidden/>
              </w:rPr>
            </w:r>
            <w:r>
              <w:rPr>
                <w:noProof/>
                <w:webHidden/>
              </w:rPr>
              <w:fldChar w:fldCharType="separate"/>
            </w:r>
            <w:r>
              <w:rPr>
                <w:noProof/>
                <w:webHidden/>
              </w:rPr>
              <w:t>540</w:t>
            </w:r>
            <w:r>
              <w:rPr>
                <w:noProof/>
                <w:webHidden/>
              </w:rPr>
              <w:fldChar w:fldCharType="end"/>
            </w:r>
          </w:hyperlink>
        </w:p>
        <w:p w14:paraId="36AD421D" w14:textId="0458666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42" w:history="1">
            <w:r w:rsidRPr="001D4C20">
              <w:rPr>
                <w:rStyle w:val="Lienhypertexte"/>
                <w:noProof/>
              </w:rPr>
              <w:t>55.11.2b Fenêtres et portes-fenêtres intérieures en bois lamellé-collé + aluminium CCTB 01.02</w:t>
            </w:r>
            <w:r>
              <w:rPr>
                <w:noProof/>
                <w:webHidden/>
              </w:rPr>
              <w:tab/>
            </w:r>
            <w:r>
              <w:rPr>
                <w:noProof/>
                <w:webHidden/>
              </w:rPr>
              <w:fldChar w:fldCharType="begin"/>
            </w:r>
            <w:r>
              <w:rPr>
                <w:noProof/>
                <w:webHidden/>
              </w:rPr>
              <w:instrText xml:space="preserve"> PAGEREF _Toc220491142 \h </w:instrText>
            </w:r>
            <w:r>
              <w:rPr>
                <w:noProof/>
                <w:webHidden/>
              </w:rPr>
            </w:r>
            <w:r>
              <w:rPr>
                <w:noProof/>
                <w:webHidden/>
              </w:rPr>
              <w:fldChar w:fldCharType="separate"/>
            </w:r>
            <w:r>
              <w:rPr>
                <w:noProof/>
                <w:webHidden/>
              </w:rPr>
              <w:t>540</w:t>
            </w:r>
            <w:r>
              <w:rPr>
                <w:noProof/>
                <w:webHidden/>
              </w:rPr>
              <w:fldChar w:fldCharType="end"/>
            </w:r>
          </w:hyperlink>
        </w:p>
        <w:p w14:paraId="2FCE1FCA" w14:textId="105F23C0"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43" w:history="1">
            <w:r w:rsidRPr="001D4C20">
              <w:rPr>
                <w:rStyle w:val="Lienhypertexte"/>
                <w:noProof/>
              </w:rPr>
              <w:t>55.11.3 Fenêtres et portes-fenêtres intérieures en bois, massif / lamellé-collé, à composition mixte - profilé de finition CCTB 01.02</w:t>
            </w:r>
            <w:r>
              <w:rPr>
                <w:noProof/>
                <w:webHidden/>
              </w:rPr>
              <w:tab/>
            </w:r>
            <w:r>
              <w:rPr>
                <w:noProof/>
                <w:webHidden/>
              </w:rPr>
              <w:fldChar w:fldCharType="begin"/>
            </w:r>
            <w:r>
              <w:rPr>
                <w:noProof/>
                <w:webHidden/>
              </w:rPr>
              <w:instrText xml:space="preserve"> PAGEREF _Toc220491143 \h </w:instrText>
            </w:r>
            <w:r>
              <w:rPr>
                <w:noProof/>
                <w:webHidden/>
              </w:rPr>
            </w:r>
            <w:r>
              <w:rPr>
                <w:noProof/>
                <w:webHidden/>
              </w:rPr>
              <w:fldChar w:fldCharType="separate"/>
            </w:r>
            <w:r>
              <w:rPr>
                <w:noProof/>
                <w:webHidden/>
              </w:rPr>
              <w:t>540</w:t>
            </w:r>
            <w:r>
              <w:rPr>
                <w:noProof/>
                <w:webHidden/>
              </w:rPr>
              <w:fldChar w:fldCharType="end"/>
            </w:r>
          </w:hyperlink>
        </w:p>
        <w:p w14:paraId="11A64647" w14:textId="576EFE2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44" w:history="1">
            <w:r w:rsidRPr="001D4C20">
              <w:rPr>
                <w:rStyle w:val="Lienhypertexte"/>
                <w:noProof/>
              </w:rPr>
              <w:t>55.11.3a Fenêtres et portes-fenêtres intérieures en bois massif + finition aluminium CCTB 01.02</w:t>
            </w:r>
            <w:r>
              <w:rPr>
                <w:noProof/>
                <w:webHidden/>
              </w:rPr>
              <w:tab/>
            </w:r>
            <w:r>
              <w:rPr>
                <w:noProof/>
                <w:webHidden/>
              </w:rPr>
              <w:fldChar w:fldCharType="begin"/>
            </w:r>
            <w:r>
              <w:rPr>
                <w:noProof/>
                <w:webHidden/>
              </w:rPr>
              <w:instrText xml:space="preserve"> PAGEREF _Toc220491144 \h </w:instrText>
            </w:r>
            <w:r>
              <w:rPr>
                <w:noProof/>
                <w:webHidden/>
              </w:rPr>
            </w:r>
            <w:r>
              <w:rPr>
                <w:noProof/>
                <w:webHidden/>
              </w:rPr>
              <w:fldChar w:fldCharType="separate"/>
            </w:r>
            <w:r>
              <w:rPr>
                <w:noProof/>
                <w:webHidden/>
              </w:rPr>
              <w:t>540</w:t>
            </w:r>
            <w:r>
              <w:rPr>
                <w:noProof/>
                <w:webHidden/>
              </w:rPr>
              <w:fldChar w:fldCharType="end"/>
            </w:r>
          </w:hyperlink>
        </w:p>
        <w:p w14:paraId="32E2C69E" w14:textId="78A64CF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45" w:history="1">
            <w:r w:rsidRPr="001D4C20">
              <w:rPr>
                <w:rStyle w:val="Lienhypertexte"/>
                <w:noProof/>
              </w:rPr>
              <w:t>55.11.3b Fenêtres et portes-fenêtres intérieures en bois lamellé-collé + finition aluminium CCTB 01.02</w:t>
            </w:r>
            <w:r>
              <w:rPr>
                <w:noProof/>
                <w:webHidden/>
              </w:rPr>
              <w:tab/>
            </w:r>
            <w:r>
              <w:rPr>
                <w:noProof/>
                <w:webHidden/>
              </w:rPr>
              <w:fldChar w:fldCharType="begin"/>
            </w:r>
            <w:r>
              <w:rPr>
                <w:noProof/>
                <w:webHidden/>
              </w:rPr>
              <w:instrText xml:space="preserve"> PAGEREF _Toc220491145 \h </w:instrText>
            </w:r>
            <w:r>
              <w:rPr>
                <w:noProof/>
                <w:webHidden/>
              </w:rPr>
            </w:r>
            <w:r>
              <w:rPr>
                <w:noProof/>
                <w:webHidden/>
              </w:rPr>
              <w:fldChar w:fldCharType="separate"/>
            </w:r>
            <w:r>
              <w:rPr>
                <w:noProof/>
                <w:webHidden/>
              </w:rPr>
              <w:t>540</w:t>
            </w:r>
            <w:r>
              <w:rPr>
                <w:noProof/>
                <w:webHidden/>
              </w:rPr>
              <w:fldChar w:fldCharType="end"/>
            </w:r>
          </w:hyperlink>
        </w:p>
        <w:p w14:paraId="40EA7769" w14:textId="2371C0F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46" w:history="1">
            <w:r w:rsidRPr="001D4C20">
              <w:rPr>
                <w:rStyle w:val="Lienhypertexte"/>
                <w:noProof/>
              </w:rPr>
              <w:t>55.11.3c Fenêtres et portes-fenêtres intérieures en bois massif + finition inox CCTB 01.02</w:t>
            </w:r>
            <w:r>
              <w:rPr>
                <w:noProof/>
                <w:webHidden/>
              </w:rPr>
              <w:tab/>
            </w:r>
            <w:r>
              <w:rPr>
                <w:noProof/>
                <w:webHidden/>
              </w:rPr>
              <w:fldChar w:fldCharType="begin"/>
            </w:r>
            <w:r>
              <w:rPr>
                <w:noProof/>
                <w:webHidden/>
              </w:rPr>
              <w:instrText xml:space="preserve"> PAGEREF _Toc220491146 \h </w:instrText>
            </w:r>
            <w:r>
              <w:rPr>
                <w:noProof/>
                <w:webHidden/>
              </w:rPr>
            </w:r>
            <w:r>
              <w:rPr>
                <w:noProof/>
                <w:webHidden/>
              </w:rPr>
              <w:fldChar w:fldCharType="separate"/>
            </w:r>
            <w:r>
              <w:rPr>
                <w:noProof/>
                <w:webHidden/>
              </w:rPr>
              <w:t>540</w:t>
            </w:r>
            <w:r>
              <w:rPr>
                <w:noProof/>
                <w:webHidden/>
              </w:rPr>
              <w:fldChar w:fldCharType="end"/>
            </w:r>
          </w:hyperlink>
        </w:p>
        <w:p w14:paraId="7DF3D314" w14:textId="7F6642B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47" w:history="1">
            <w:r w:rsidRPr="001D4C20">
              <w:rPr>
                <w:rStyle w:val="Lienhypertexte"/>
                <w:noProof/>
              </w:rPr>
              <w:t>55.11.3d Fenêtres et portes-fenêtres intérieures en bois lamellé-collé + finition inox CCTB 01.02</w:t>
            </w:r>
            <w:r>
              <w:rPr>
                <w:noProof/>
                <w:webHidden/>
              </w:rPr>
              <w:tab/>
            </w:r>
            <w:r>
              <w:rPr>
                <w:noProof/>
                <w:webHidden/>
              </w:rPr>
              <w:fldChar w:fldCharType="begin"/>
            </w:r>
            <w:r>
              <w:rPr>
                <w:noProof/>
                <w:webHidden/>
              </w:rPr>
              <w:instrText xml:space="preserve"> PAGEREF _Toc220491147 \h </w:instrText>
            </w:r>
            <w:r>
              <w:rPr>
                <w:noProof/>
                <w:webHidden/>
              </w:rPr>
            </w:r>
            <w:r>
              <w:rPr>
                <w:noProof/>
                <w:webHidden/>
              </w:rPr>
              <w:fldChar w:fldCharType="separate"/>
            </w:r>
            <w:r>
              <w:rPr>
                <w:noProof/>
                <w:webHidden/>
              </w:rPr>
              <w:t>540</w:t>
            </w:r>
            <w:r>
              <w:rPr>
                <w:noProof/>
                <w:webHidden/>
              </w:rPr>
              <w:fldChar w:fldCharType="end"/>
            </w:r>
          </w:hyperlink>
        </w:p>
        <w:p w14:paraId="0DF5A19A" w14:textId="3C5AFF5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48" w:history="1">
            <w:r w:rsidRPr="001D4C20">
              <w:rPr>
                <w:rStyle w:val="Lienhypertexte"/>
                <w:noProof/>
              </w:rPr>
              <w:t>55.11.3e Fenêtres et portes-fenêtres intérieures en bois + finition PVC CCTB 01.02</w:t>
            </w:r>
            <w:r>
              <w:rPr>
                <w:noProof/>
                <w:webHidden/>
              </w:rPr>
              <w:tab/>
            </w:r>
            <w:r>
              <w:rPr>
                <w:noProof/>
                <w:webHidden/>
              </w:rPr>
              <w:fldChar w:fldCharType="begin"/>
            </w:r>
            <w:r>
              <w:rPr>
                <w:noProof/>
                <w:webHidden/>
              </w:rPr>
              <w:instrText xml:space="preserve"> PAGEREF _Toc220491148 \h </w:instrText>
            </w:r>
            <w:r>
              <w:rPr>
                <w:noProof/>
                <w:webHidden/>
              </w:rPr>
            </w:r>
            <w:r>
              <w:rPr>
                <w:noProof/>
                <w:webHidden/>
              </w:rPr>
              <w:fldChar w:fldCharType="separate"/>
            </w:r>
            <w:r>
              <w:rPr>
                <w:noProof/>
                <w:webHidden/>
              </w:rPr>
              <w:t>540</w:t>
            </w:r>
            <w:r>
              <w:rPr>
                <w:noProof/>
                <w:webHidden/>
              </w:rPr>
              <w:fldChar w:fldCharType="end"/>
            </w:r>
          </w:hyperlink>
        </w:p>
        <w:p w14:paraId="234543D3" w14:textId="07243B7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49" w:history="1">
            <w:r w:rsidRPr="001D4C20">
              <w:rPr>
                <w:rStyle w:val="Lienhypertexte"/>
                <w:noProof/>
              </w:rPr>
              <w:t>55.11.3f Fenêtres et portes-fenêtres intérieures en bois lamellé-collé + finition PVC CCTB 01.02</w:t>
            </w:r>
            <w:r>
              <w:rPr>
                <w:noProof/>
                <w:webHidden/>
              </w:rPr>
              <w:tab/>
            </w:r>
            <w:r>
              <w:rPr>
                <w:noProof/>
                <w:webHidden/>
              </w:rPr>
              <w:fldChar w:fldCharType="begin"/>
            </w:r>
            <w:r>
              <w:rPr>
                <w:noProof/>
                <w:webHidden/>
              </w:rPr>
              <w:instrText xml:space="preserve"> PAGEREF _Toc220491149 \h </w:instrText>
            </w:r>
            <w:r>
              <w:rPr>
                <w:noProof/>
                <w:webHidden/>
              </w:rPr>
            </w:r>
            <w:r>
              <w:rPr>
                <w:noProof/>
                <w:webHidden/>
              </w:rPr>
              <w:fldChar w:fldCharType="separate"/>
            </w:r>
            <w:r>
              <w:rPr>
                <w:noProof/>
                <w:webHidden/>
              </w:rPr>
              <w:t>540</w:t>
            </w:r>
            <w:r>
              <w:rPr>
                <w:noProof/>
                <w:webHidden/>
              </w:rPr>
              <w:fldChar w:fldCharType="end"/>
            </w:r>
          </w:hyperlink>
        </w:p>
        <w:p w14:paraId="3347B5F1" w14:textId="0561406B"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50" w:history="1">
            <w:r w:rsidRPr="001D4C20">
              <w:rPr>
                <w:rStyle w:val="Lienhypertexte"/>
                <w:noProof/>
              </w:rPr>
              <w:t>55.11.4 Fenêtres et portes-fenêtres intérieures en bois, massif / lamellé-collé, à composition mixte - isolation intégrée CCTB 01.02</w:t>
            </w:r>
            <w:r>
              <w:rPr>
                <w:noProof/>
                <w:webHidden/>
              </w:rPr>
              <w:tab/>
            </w:r>
            <w:r>
              <w:rPr>
                <w:noProof/>
                <w:webHidden/>
              </w:rPr>
              <w:fldChar w:fldCharType="begin"/>
            </w:r>
            <w:r>
              <w:rPr>
                <w:noProof/>
                <w:webHidden/>
              </w:rPr>
              <w:instrText xml:space="preserve"> PAGEREF _Toc220491150 \h </w:instrText>
            </w:r>
            <w:r>
              <w:rPr>
                <w:noProof/>
                <w:webHidden/>
              </w:rPr>
            </w:r>
            <w:r>
              <w:rPr>
                <w:noProof/>
                <w:webHidden/>
              </w:rPr>
              <w:fldChar w:fldCharType="separate"/>
            </w:r>
            <w:r>
              <w:rPr>
                <w:noProof/>
                <w:webHidden/>
              </w:rPr>
              <w:t>540</w:t>
            </w:r>
            <w:r>
              <w:rPr>
                <w:noProof/>
                <w:webHidden/>
              </w:rPr>
              <w:fldChar w:fldCharType="end"/>
            </w:r>
          </w:hyperlink>
        </w:p>
        <w:p w14:paraId="611BB28B" w14:textId="7D69DB5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51" w:history="1">
            <w:r w:rsidRPr="001D4C20">
              <w:rPr>
                <w:rStyle w:val="Lienhypertexte"/>
                <w:noProof/>
              </w:rPr>
              <w:t>55.11.4a Fenêtres et portes-fenêtres intérieures en bois massif + isolant + fenêtres et portes-fenêtres intérieures en bois massif CCTB 01.02</w:t>
            </w:r>
            <w:r>
              <w:rPr>
                <w:noProof/>
                <w:webHidden/>
              </w:rPr>
              <w:tab/>
            </w:r>
            <w:r>
              <w:rPr>
                <w:noProof/>
                <w:webHidden/>
              </w:rPr>
              <w:fldChar w:fldCharType="begin"/>
            </w:r>
            <w:r>
              <w:rPr>
                <w:noProof/>
                <w:webHidden/>
              </w:rPr>
              <w:instrText xml:space="preserve"> PAGEREF _Toc220491151 \h </w:instrText>
            </w:r>
            <w:r>
              <w:rPr>
                <w:noProof/>
                <w:webHidden/>
              </w:rPr>
            </w:r>
            <w:r>
              <w:rPr>
                <w:noProof/>
                <w:webHidden/>
              </w:rPr>
              <w:fldChar w:fldCharType="separate"/>
            </w:r>
            <w:r>
              <w:rPr>
                <w:noProof/>
                <w:webHidden/>
              </w:rPr>
              <w:t>540</w:t>
            </w:r>
            <w:r>
              <w:rPr>
                <w:noProof/>
                <w:webHidden/>
              </w:rPr>
              <w:fldChar w:fldCharType="end"/>
            </w:r>
          </w:hyperlink>
        </w:p>
        <w:p w14:paraId="7E9D7015" w14:textId="0367B5B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52" w:history="1">
            <w:r w:rsidRPr="001D4C20">
              <w:rPr>
                <w:rStyle w:val="Lienhypertexte"/>
                <w:noProof/>
              </w:rPr>
              <w:t>55.11.4b Fenêtres et portes-fenêtres intérieures en bois lamellé-collé + isolant + fenêtres et portes-fenêtres intérieures en bois lamellé-collé CCTB 01.02</w:t>
            </w:r>
            <w:r>
              <w:rPr>
                <w:noProof/>
                <w:webHidden/>
              </w:rPr>
              <w:tab/>
            </w:r>
            <w:r>
              <w:rPr>
                <w:noProof/>
                <w:webHidden/>
              </w:rPr>
              <w:fldChar w:fldCharType="begin"/>
            </w:r>
            <w:r>
              <w:rPr>
                <w:noProof/>
                <w:webHidden/>
              </w:rPr>
              <w:instrText xml:space="preserve"> PAGEREF _Toc220491152 \h </w:instrText>
            </w:r>
            <w:r>
              <w:rPr>
                <w:noProof/>
                <w:webHidden/>
              </w:rPr>
            </w:r>
            <w:r>
              <w:rPr>
                <w:noProof/>
                <w:webHidden/>
              </w:rPr>
              <w:fldChar w:fldCharType="separate"/>
            </w:r>
            <w:r>
              <w:rPr>
                <w:noProof/>
                <w:webHidden/>
              </w:rPr>
              <w:t>540</w:t>
            </w:r>
            <w:r>
              <w:rPr>
                <w:noProof/>
                <w:webHidden/>
              </w:rPr>
              <w:fldChar w:fldCharType="end"/>
            </w:r>
          </w:hyperlink>
        </w:p>
        <w:p w14:paraId="78E1E3EA" w14:textId="4C12C3D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53" w:history="1">
            <w:r w:rsidRPr="001D4C20">
              <w:rPr>
                <w:rStyle w:val="Lienhypertexte"/>
                <w:noProof/>
              </w:rPr>
              <w:t>55.11.4c Fenêtres et portes-fenêtres intérieures en bois massif + isolant + finition aluminium CCTB 01.02</w:t>
            </w:r>
            <w:r>
              <w:rPr>
                <w:noProof/>
                <w:webHidden/>
              </w:rPr>
              <w:tab/>
            </w:r>
            <w:r>
              <w:rPr>
                <w:noProof/>
                <w:webHidden/>
              </w:rPr>
              <w:fldChar w:fldCharType="begin"/>
            </w:r>
            <w:r>
              <w:rPr>
                <w:noProof/>
                <w:webHidden/>
              </w:rPr>
              <w:instrText xml:space="preserve"> PAGEREF _Toc220491153 \h </w:instrText>
            </w:r>
            <w:r>
              <w:rPr>
                <w:noProof/>
                <w:webHidden/>
              </w:rPr>
            </w:r>
            <w:r>
              <w:rPr>
                <w:noProof/>
                <w:webHidden/>
              </w:rPr>
              <w:fldChar w:fldCharType="separate"/>
            </w:r>
            <w:r>
              <w:rPr>
                <w:noProof/>
                <w:webHidden/>
              </w:rPr>
              <w:t>540</w:t>
            </w:r>
            <w:r>
              <w:rPr>
                <w:noProof/>
                <w:webHidden/>
              </w:rPr>
              <w:fldChar w:fldCharType="end"/>
            </w:r>
          </w:hyperlink>
        </w:p>
        <w:p w14:paraId="0CF185D1" w14:textId="279DF15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54" w:history="1">
            <w:r w:rsidRPr="001D4C20">
              <w:rPr>
                <w:rStyle w:val="Lienhypertexte"/>
                <w:noProof/>
              </w:rPr>
              <w:t>55.11.4d Fenêtres et portes-fenêtres intérieures en bois lamellé-collé + isolant + finition aluminium CCTB 01.02</w:t>
            </w:r>
            <w:r>
              <w:rPr>
                <w:noProof/>
                <w:webHidden/>
              </w:rPr>
              <w:tab/>
            </w:r>
            <w:r>
              <w:rPr>
                <w:noProof/>
                <w:webHidden/>
              </w:rPr>
              <w:fldChar w:fldCharType="begin"/>
            </w:r>
            <w:r>
              <w:rPr>
                <w:noProof/>
                <w:webHidden/>
              </w:rPr>
              <w:instrText xml:space="preserve"> PAGEREF _Toc220491154 \h </w:instrText>
            </w:r>
            <w:r>
              <w:rPr>
                <w:noProof/>
                <w:webHidden/>
              </w:rPr>
            </w:r>
            <w:r>
              <w:rPr>
                <w:noProof/>
                <w:webHidden/>
              </w:rPr>
              <w:fldChar w:fldCharType="separate"/>
            </w:r>
            <w:r>
              <w:rPr>
                <w:noProof/>
                <w:webHidden/>
              </w:rPr>
              <w:t>540</w:t>
            </w:r>
            <w:r>
              <w:rPr>
                <w:noProof/>
                <w:webHidden/>
              </w:rPr>
              <w:fldChar w:fldCharType="end"/>
            </w:r>
          </w:hyperlink>
        </w:p>
        <w:p w14:paraId="28A75581" w14:textId="75654A1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55" w:history="1">
            <w:r w:rsidRPr="001D4C20">
              <w:rPr>
                <w:rStyle w:val="Lienhypertexte"/>
                <w:noProof/>
              </w:rPr>
              <w:t>55.11.4e Fenêtres et portes-fenêtres intérieures en bois massif + isolant + finition inox CCTB 01.02</w:t>
            </w:r>
            <w:r>
              <w:rPr>
                <w:noProof/>
                <w:webHidden/>
              </w:rPr>
              <w:tab/>
            </w:r>
            <w:r>
              <w:rPr>
                <w:noProof/>
                <w:webHidden/>
              </w:rPr>
              <w:fldChar w:fldCharType="begin"/>
            </w:r>
            <w:r>
              <w:rPr>
                <w:noProof/>
                <w:webHidden/>
              </w:rPr>
              <w:instrText xml:space="preserve"> PAGEREF _Toc220491155 \h </w:instrText>
            </w:r>
            <w:r>
              <w:rPr>
                <w:noProof/>
                <w:webHidden/>
              </w:rPr>
            </w:r>
            <w:r>
              <w:rPr>
                <w:noProof/>
                <w:webHidden/>
              </w:rPr>
              <w:fldChar w:fldCharType="separate"/>
            </w:r>
            <w:r>
              <w:rPr>
                <w:noProof/>
                <w:webHidden/>
              </w:rPr>
              <w:t>540</w:t>
            </w:r>
            <w:r>
              <w:rPr>
                <w:noProof/>
                <w:webHidden/>
              </w:rPr>
              <w:fldChar w:fldCharType="end"/>
            </w:r>
          </w:hyperlink>
        </w:p>
        <w:p w14:paraId="368800A5" w14:textId="260C8E5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56" w:history="1">
            <w:r w:rsidRPr="001D4C20">
              <w:rPr>
                <w:rStyle w:val="Lienhypertexte"/>
                <w:noProof/>
              </w:rPr>
              <w:t>55.11.4f Fenêtres et portes-fenêtres intérieures en bois lamellé-collé + isolant + finition inox CCTB 01.02</w:t>
            </w:r>
            <w:r>
              <w:rPr>
                <w:noProof/>
                <w:webHidden/>
              </w:rPr>
              <w:tab/>
            </w:r>
            <w:r>
              <w:rPr>
                <w:noProof/>
                <w:webHidden/>
              </w:rPr>
              <w:fldChar w:fldCharType="begin"/>
            </w:r>
            <w:r>
              <w:rPr>
                <w:noProof/>
                <w:webHidden/>
              </w:rPr>
              <w:instrText xml:space="preserve"> PAGEREF _Toc220491156 \h </w:instrText>
            </w:r>
            <w:r>
              <w:rPr>
                <w:noProof/>
                <w:webHidden/>
              </w:rPr>
            </w:r>
            <w:r>
              <w:rPr>
                <w:noProof/>
                <w:webHidden/>
              </w:rPr>
              <w:fldChar w:fldCharType="separate"/>
            </w:r>
            <w:r>
              <w:rPr>
                <w:noProof/>
                <w:webHidden/>
              </w:rPr>
              <w:t>540</w:t>
            </w:r>
            <w:r>
              <w:rPr>
                <w:noProof/>
                <w:webHidden/>
              </w:rPr>
              <w:fldChar w:fldCharType="end"/>
            </w:r>
          </w:hyperlink>
        </w:p>
        <w:p w14:paraId="1A8D780F" w14:textId="6EA7694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57" w:history="1">
            <w:r w:rsidRPr="001D4C20">
              <w:rPr>
                <w:rStyle w:val="Lienhypertexte"/>
                <w:noProof/>
              </w:rPr>
              <w:t>55.11.4g Fenêtres et portes-fenêtres intérieures en bois massif+ isolant + finition PVC CCTB 01.02</w:t>
            </w:r>
            <w:r>
              <w:rPr>
                <w:noProof/>
                <w:webHidden/>
              </w:rPr>
              <w:tab/>
            </w:r>
            <w:r>
              <w:rPr>
                <w:noProof/>
                <w:webHidden/>
              </w:rPr>
              <w:fldChar w:fldCharType="begin"/>
            </w:r>
            <w:r>
              <w:rPr>
                <w:noProof/>
                <w:webHidden/>
              </w:rPr>
              <w:instrText xml:space="preserve"> PAGEREF _Toc220491157 \h </w:instrText>
            </w:r>
            <w:r>
              <w:rPr>
                <w:noProof/>
                <w:webHidden/>
              </w:rPr>
            </w:r>
            <w:r>
              <w:rPr>
                <w:noProof/>
                <w:webHidden/>
              </w:rPr>
              <w:fldChar w:fldCharType="separate"/>
            </w:r>
            <w:r>
              <w:rPr>
                <w:noProof/>
                <w:webHidden/>
              </w:rPr>
              <w:t>540</w:t>
            </w:r>
            <w:r>
              <w:rPr>
                <w:noProof/>
                <w:webHidden/>
              </w:rPr>
              <w:fldChar w:fldCharType="end"/>
            </w:r>
          </w:hyperlink>
        </w:p>
        <w:p w14:paraId="4043A12E" w14:textId="630F40F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58" w:history="1">
            <w:r w:rsidRPr="001D4C20">
              <w:rPr>
                <w:rStyle w:val="Lienhypertexte"/>
                <w:noProof/>
              </w:rPr>
              <w:t>55.11.4h Fenêtres et portes-fenêtres intérieures en bois lamellé-collé+ isolant + finition PVC CCTB 01.02</w:t>
            </w:r>
            <w:r>
              <w:rPr>
                <w:noProof/>
                <w:webHidden/>
              </w:rPr>
              <w:tab/>
            </w:r>
            <w:r>
              <w:rPr>
                <w:noProof/>
                <w:webHidden/>
              </w:rPr>
              <w:fldChar w:fldCharType="begin"/>
            </w:r>
            <w:r>
              <w:rPr>
                <w:noProof/>
                <w:webHidden/>
              </w:rPr>
              <w:instrText xml:space="preserve"> PAGEREF _Toc220491158 \h </w:instrText>
            </w:r>
            <w:r>
              <w:rPr>
                <w:noProof/>
                <w:webHidden/>
              </w:rPr>
            </w:r>
            <w:r>
              <w:rPr>
                <w:noProof/>
                <w:webHidden/>
              </w:rPr>
              <w:fldChar w:fldCharType="separate"/>
            </w:r>
            <w:r>
              <w:rPr>
                <w:noProof/>
                <w:webHidden/>
              </w:rPr>
              <w:t>540</w:t>
            </w:r>
            <w:r>
              <w:rPr>
                <w:noProof/>
                <w:webHidden/>
              </w:rPr>
              <w:fldChar w:fldCharType="end"/>
            </w:r>
          </w:hyperlink>
        </w:p>
        <w:p w14:paraId="7D8B315B" w14:textId="2ED3BE5B"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159" w:history="1">
            <w:r w:rsidRPr="001D4C20">
              <w:rPr>
                <w:rStyle w:val="Lienhypertexte"/>
                <w:noProof/>
              </w:rPr>
              <w:t>55.12 Fenêtres intérieures en aluminium CCTB 01.12</w:t>
            </w:r>
            <w:r>
              <w:rPr>
                <w:noProof/>
                <w:webHidden/>
              </w:rPr>
              <w:tab/>
            </w:r>
            <w:r>
              <w:rPr>
                <w:noProof/>
                <w:webHidden/>
              </w:rPr>
              <w:fldChar w:fldCharType="begin"/>
            </w:r>
            <w:r>
              <w:rPr>
                <w:noProof/>
                <w:webHidden/>
              </w:rPr>
              <w:instrText xml:space="preserve"> PAGEREF _Toc220491159 \h </w:instrText>
            </w:r>
            <w:r>
              <w:rPr>
                <w:noProof/>
                <w:webHidden/>
              </w:rPr>
            </w:r>
            <w:r>
              <w:rPr>
                <w:noProof/>
                <w:webHidden/>
              </w:rPr>
              <w:fldChar w:fldCharType="separate"/>
            </w:r>
            <w:r>
              <w:rPr>
                <w:noProof/>
                <w:webHidden/>
              </w:rPr>
              <w:t>540</w:t>
            </w:r>
            <w:r>
              <w:rPr>
                <w:noProof/>
                <w:webHidden/>
              </w:rPr>
              <w:fldChar w:fldCharType="end"/>
            </w:r>
          </w:hyperlink>
        </w:p>
        <w:p w14:paraId="5FF1737B" w14:textId="3974FD7B"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60" w:history="1">
            <w:r w:rsidRPr="001D4C20">
              <w:rPr>
                <w:rStyle w:val="Lienhypertexte"/>
                <w:noProof/>
              </w:rPr>
              <w:t>55.12.1 Fenêtres et portes-fenêtres intérieures en aluminium SANS coupure thermique CCTB 01.02</w:t>
            </w:r>
            <w:r>
              <w:rPr>
                <w:noProof/>
                <w:webHidden/>
              </w:rPr>
              <w:tab/>
            </w:r>
            <w:r>
              <w:rPr>
                <w:noProof/>
                <w:webHidden/>
              </w:rPr>
              <w:fldChar w:fldCharType="begin"/>
            </w:r>
            <w:r>
              <w:rPr>
                <w:noProof/>
                <w:webHidden/>
              </w:rPr>
              <w:instrText xml:space="preserve"> PAGEREF _Toc220491160 \h </w:instrText>
            </w:r>
            <w:r>
              <w:rPr>
                <w:noProof/>
                <w:webHidden/>
              </w:rPr>
            </w:r>
            <w:r>
              <w:rPr>
                <w:noProof/>
                <w:webHidden/>
              </w:rPr>
              <w:fldChar w:fldCharType="separate"/>
            </w:r>
            <w:r>
              <w:rPr>
                <w:noProof/>
                <w:webHidden/>
              </w:rPr>
              <w:t>544</w:t>
            </w:r>
            <w:r>
              <w:rPr>
                <w:noProof/>
                <w:webHidden/>
              </w:rPr>
              <w:fldChar w:fldCharType="end"/>
            </w:r>
          </w:hyperlink>
        </w:p>
        <w:p w14:paraId="4CE8269A" w14:textId="57A3E0E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61" w:history="1">
            <w:r w:rsidRPr="001D4C20">
              <w:rPr>
                <w:rStyle w:val="Lienhypertexte"/>
                <w:noProof/>
              </w:rPr>
              <w:t>55.12.1a Fenêtres et portes-fenêtres intérieures en aluminium SANS coupure thermique CCTB 01.02</w:t>
            </w:r>
            <w:r>
              <w:rPr>
                <w:noProof/>
                <w:webHidden/>
              </w:rPr>
              <w:tab/>
            </w:r>
            <w:r>
              <w:rPr>
                <w:noProof/>
                <w:webHidden/>
              </w:rPr>
              <w:fldChar w:fldCharType="begin"/>
            </w:r>
            <w:r>
              <w:rPr>
                <w:noProof/>
                <w:webHidden/>
              </w:rPr>
              <w:instrText xml:space="preserve"> PAGEREF _Toc220491161 \h </w:instrText>
            </w:r>
            <w:r>
              <w:rPr>
                <w:noProof/>
                <w:webHidden/>
              </w:rPr>
            </w:r>
            <w:r>
              <w:rPr>
                <w:noProof/>
                <w:webHidden/>
              </w:rPr>
              <w:fldChar w:fldCharType="separate"/>
            </w:r>
            <w:r>
              <w:rPr>
                <w:noProof/>
                <w:webHidden/>
              </w:rPr>
              <w:t>544</w:t>
            </w:r>
            <w:r>
              <w:rPr>
                <w:noProof/>
                <w:webHidden/>
              </w:rPr>
              <w:fldChar w:fldCharType="end"/>
            </w:r>
          </w:hyperlink>
        </w:p>
        <w:p w14:paraId="011DB186" w14:textId="1CE4FDEE"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62" w:history="1">
            <w:r w:rsidRPr="001D4C20">
              <w:rPr>
                <w:rStyle w:val="Lienhypertexte"/>
                <w:noProof/>
              </w:rPr>
              <w:t>55.12.2 Fenêtres et portes-fenêtres intérieures en aluminium AVEC coupure thermique CCTB 01.02</w:t>
            </w:r>
            <w:r>
              <w:rPr>
                <w:noProof/>
                <w:webHidden/>
              </w:rPr>
              <w:tab/>
            </w:r>
            <w:r>
              <w:rPr>
                <w:noProof/>
                <w:webHidden/>
              </w:rPr>
              <w:fldChar w:fldCharType="begin"/>
            </w:r>
            <w:r>
              <w:rPr>
                <w:noProof/>
                <w:webHidden/>
              </w:rPr>
              <w:instrText xml:space="preserve"> PAGEREF _Toc220491162 \h </w:instrText>
            </w:r>
            <w:r>
              <w:rPr>
                <w:noProof/>
                <w:webHidden/>
              </w:rPr>
            </w:r>
            <w:r>
              <w:rPr>
                <w:noProof/>
                <w:webHidden/>
              </w:rPr>
              <w:fldChar w:fldCharType="separate"/>
            </w:r>
            <w:r>
              <w:rPr>
                <w:noProof/>
                <w:webHidden/>
              </w:rPr>
              <w:t>544</w:t>
            </w:r>
            <w:r>
              <w:rPr>
                <w:noProof/>
                <w:webHidden/>
              </w:rPr>
              <w:fldChar w:fldCharType="end"/>
            </w:r>
          </w:hyperlink>
        </w:p>
        <w:p w14:paraId="6B301168" w14:textId="2CB3C4E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63" w:history="1">
            <w:r w:rsidRPr="001D4C20">
              <w:rPr>
                <w:rStyle w:val="Lienhypertexte"/>
                <w:noProof/>
              </w:rPr>
              <w:t>55.12.2a Fenêtres et portes-fenêtres intérieures en aluminium AVEC coupure thermique CCTB 01.02</w:t>
            </w:r>
            <w:r>
              <w:rPr>
                <w:noProof/>
                <w:webHidden/>
              </w:rPr>
              <w:tab/>
            </w:r>
            <w:r>
              <w:rPr>
                <w:noProof/>
                <w:webHidden/>
              </w:rPr>
              <w:fldChar w:fldCharType="begin"/>
            </w:r>
            <w:r>
              <w:rPr>
                <w:noProof/>
                <w:webHidden/>
              </w:rPr>
              <w:instrText xml:space="preserve"> PAGEREF _Toc220491163 \h </w:instrText>
            </w:r>
            <w:r>
              <w:rPr>
                <w:noProof/>
                <w:webHidden/>
              </w:rPr>
            </w:r>
            <w:r>
              <w:rPr>
                <w:noProof/>
                <w:webHidden/>
              </w:rPr>
              <w:fldChar w:fldCharType="separate"/>
            </w:r>
            <w:r>
              <w:rPr>
                <w:noProof/>
                <w:webHidden/>
              </w:rPr>
              <w:t>544</w:t>
            </w:r>
            <w:r>
              <w:rPr>
                <w:noProof/>
                <w:webHidden/>
              </w:rPr>
              <w:fldChar w:fldCharType="end"/>
            </w:r>
          </w:hyperlink>
        </w:p>
        <w:p w14:paraId="2E18B7AC" w14:textId="777FAA78"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164" w:history="1">
            <w:r w:rsidRPr="001D4C20">
              <w:rPr>
                <w:rStyle w:val="Lienhypertexte"/>
                <w:noProof/>
              </w:rPr>
              <w:t>55.13 Fenêtres intérieures en acier CCTB 01.10</w:t>
            </w:r>
            <w:r>
              <w:rPr>
                <w:noProof/>
                <w:webHidden/>
              </w:rPr>
              <w:tab/>
            </w:r>
            <w:r>
              <w:rPr>
                <w:noProof/>
                <w:webHidden/>
              </w:rPr>
              <w:fldChar w:fldCharType="begin"/>
            </w:r>
            <w:r>
              <w:rPr>
                <w:noProof/>
                <w:webHidden/>
              </w:rPr>
              <w:instrText xml:space="preserve"> PAGEREF _Toc220491164 \h </w:instrText>
            </w:r>
            <w:r>
              <w:rPr>
                <w:noProof/>
                <w:webHidden/>
              </w:rPr>
            </w:r>
            <w:r>
              <w:rPr>
                <w:noProof/>
                <w:webHidden/>
              </w:rPr>
              <w:fldChar w:fldCharType="separate"/>
            </w:r>
            <w:r>
              <w:rPr>
                <w:noProof/>
                <w:webHidden/>
              </w:rPr>
              <w:t>544</w:t>
            </w:r>
            <w:r>
              <w:rPr>
                <w:noProof/>
                <w:webHidden/>
              </w:rPr>
              <w:fldChar w:fldCharType="end"/>
            </w:r>
          </w:hyperlink>
        </w:p>
        <w:p w14:paraId="054B0E4A" w14:textId="77B23556"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65" w:history="1">
            <w:r w:rsidRPr="001D4C20">
              <w:rPr>
                <w:rStyle w:val="Lienhypertexte"/>
                <w:noProof/>
              </w:rPr>
              <w:t>55.13.1 Fenêtres et portes-fenêtres intérieures en acier SANS coupure thermique CCTB 01.02</w:t>
            </w:r>
            <w:r>
              <w:rPr>
                <w:noProof/>
                <w:webHidden/>
              </w:rPr>
              <w:tab/>
            </w:r>
            <w:r>
              <w:rPr>
                <w:noProof/>
                <w:webHidden/>
              </w:rPr>
              <w:fldChar w:fldCharType="begin"/>
            </w:r>
            <w:r>
              <w:rPr>
                <w:noProof/>
                <w:webHidden/>
              </w:rPr>
              <w:instrText xml:space="preserve"> PAGEREF _Toc220491165 \h </w:instrText>
            </w:r>
            <w:r>
              <w:rPr>
                <w:noProof/>
                <w:webHidden/>
              </w:rPr>
            </w:r>
            <w:r>
              <w:rPr>
                <w:noProof/>
                <w:webHidden/>
              </w:rPr>
              <w:fldChar w:fldCharType="separate"/>
            </w:r>
            <w:r>
              <w:rPr>
                <w:noProof/>
                <w:webHidden/>
              </w:rPr>
              <w:t>546</w:t>
            </w:r>
            <w:r>
              <w:rPr>
                <w:noProof/>
                <w:webHidden/>
              </w:rPr>
              <w:fldChar w:fldCharType="end"/>
            </w:r>
          </w:hyperlink>
        </w:p>
        <w:p w14:paraId="2B6FE754" w14:textId="5E72A72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66" w:history="1">
            <w:r w:rsidRPr="001D4C20">
              <w:rPr>
                <w:rStyle w:val="Lienhypertexte"/>
                <w:noProof/>
              </w:rPr>
              <w:t>55.13.1a Fenêtres et portes-fenêtres intérieures en acier SANS coupure thermique CCTB 01.12</w:t>
            </w:r>
            <w:r>
              <w:rPr>
                <w:noProof/>
                <w:webHidden/>
              </w:rPr>
              <w:tab/>
            </w:r>
            <w:r>
              <w:rPr>
                <w:noProof/>
                <w:webHidden/>
              </w:rPr>
              <w:fldChar w:fldCharType="begin"/>
            </w:r>
            <w:r>
              <w:rPr>
                <w:noProof/>
                <w:webHidden/>
              </w:rPr>
              <w:instrText xml:space="preserve"> PAGEREF _Toc220491166 \h </w:instrText>
            </w:r>
            <w:r>
              <w:rPr>
                <w:noProof/>
                <w:webHidden/>
              </w:rPr>
            </w:r>
            <w:r>
              <w:rPr>
                <w:noProof/>
                <w:webHidden/>
              </w:rPr>
              <w:fldChar w:fldCharType="separate"/>
            </w:r>
            <w:r>
              <w:rPr>
                <w:noProof/>
                <w:webHidden/>
              </w:rPr>
              <w:t>546</w:t>
            </w:r>
            <w:r>
              <w:rPr>
                <w:noProof/>
                <w:webHidden/>
              </w:rPr>
              <w:fldChar w:fldCharType="end"/>
            </w:r>
          </w:hyperlink>
        </w:p>
        <w:p w14:paraId="7F0A4F10" w14:textId="7F11E6C6"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67" w:history="1">
            <w:r w:rsidRPr="001D4C20">
              <w:rPr>
                <w:rStyle w:val="Lienhypertexte"/>
                <w:noProof/>
              </w:rPr>
              <w:t>55.13.2 Fenêtres et portes-fenêtres intérieures en acier AVEC coupure thermique CCTB 01.02</w:t>
            </w:r>
            <w:r>
              <w:rPr>
                <w:noProof/>
                <w:webHidden/>
              </w:rPr>
              <w:tab/>
            </w:r>
            <w:r>
              <w:rPr>
                <w:noProof/>
                <w:webHidden/>
              </w:rPr>
              <w:fldChar w:fldCharType="begin"/>
            </w:r>
            <w:r>
              <w:rPr>
                <w:noProof/>
                <w:webHidden/>
              </w:rPr>
              <w:instrText xml:space="preserve"> PAGEREF _Toc220491167 \h </w:instrText>
            </w:r>
            <w:r>
              <w:rPr>
                <w:noProof/>
                <w:webHidden/>
              </w:rPr>
            </w:r>
            <w:r>
              <w:rPr>
                <w:noProof/>
                <w:webHidden/>
              </w:rPr>
              <w:fldChar w:fldCharType="separate"/>
            </w:r>
            <w:r>
              <w:rPr>
                <w:noProof/>
                <w:webHidden/>
              </w:rPr>
              <w:t>548</w:t>
            </w:r>
            <w:r>
              <w:rPr>
                <w:noProof/>
                <w:webHidden/>
              </w:rPr>
              <w:fldChar w:fldCharType="end"/>
            </w:r>
          </w:hyperlink>
        </w:p>
        <w:p w14:paraId="498818F1" w14:textId="642145A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68" w:history="1">
            <w:r w:rsidRPr="001D4C20">
              <w:rPr>
                <w:rStyle w:val="Lienhypertexte"/>
                <w:noProof/>
              </w:rPr>
              <w:t>55.13.2a Fenêtres et portes-fenêtres intérieures en acier AVEC coupure thermique CCTB 01.02</w:t>
            </w:r>
            <w:r>
              <w:rPr>
                <w:noProof/>
                <w:webHidden/>
              </w:rPr>
              <w:tab/>
            </w:r>
            <w:r>
              <w:rPr>
                <w:noProof/>
                <w:webHidden/>
              </w:rPr>
              <w:fldChar w:fldCharType="begin"/>
            </w:r>
            <w:r>
              <w:rPr>
                <w:noProof/>
                <w:webHidden/>
              </w:rPr>
              <w:instrText xml:space="preserve"> PAGEREF _Toc220491168 \h </w:instrText>
            </w:r>
            <w:r>
              <w:rPr>
                <w:noProof/>
                <w:webHidden/>
              </w:rPr>
            </w:r>
            <w:r>
              <w:rPr>
                <w:noProof/>
                <w:webHidden/>
              </w:rPr>
              <w:fldChar w:fldCharType="separate"/>
            </w:r>
            <w:r>
              <w:rPr>
                <w:noProof/>
                <w:webHidden/>
              </w:rPr>
              <w:t>548</w:t>
            </w:r>
            <w:r>
              <w:rPr>
                <w:noProof/>
                <w:webHidden/>
              </w:rPr>
              <w:fldChar w:fldCharType="end"/>
            </w:r>
          </w:hyperlink>
        </w:p>
        <w:p w14:paraId="0531A068" w14:textId="57E40905"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169" w:history="1">
            <w:r w:rsidRPr="001D4C20">
              <w:rPr>
                <w:rStyle w:val="Lienhypertexte"/>
                <w:noProof/>
              </w:rPr>
              <w:t>55.14 Fenêtres intérieures en PVC CCTB 01.02</w:t>
            </w:r>
            <w:r>
              <w:rPr>
                <w:noProof/>
                <w:webHidden/>
              </w:rPr>
              <w:tab/>
            </w:r>
            <w:r>
              <w:rPr>
                <w:noProof/>
                <w:webHidden/>
              </w:rPr>
              <w:fldChar w:fldCharType="begin"/>
            </w:r>
            <w:r>
              <w:rPr>
                <w:noProof/>
                <w:webHidden/>
              </w:rPr>
              <w:instrText xml:space="preserve"> PAGEREF _Toc220491169 \h </w:instrText>
            </w:r>
            <w:r>
              <w:rPr>
                <w:noProof/>
                <w:webHidden/>
              </w:rPr>
            </w:r>
            <w:r>
              <w:rPr>
                <w:noProof/>
                <w:webHidden/>
              </w:rPr>
              <w:fldChar w:fldCharType="separate"/>
            </w:r>
            <w:r>
              <w:rPr>
                <w:noProof/>
                <w:webHidden/>
              </w:rPr>
              <w:t>548</w:t>
            </w:r>
            <w:r>
              <w:rPr>
                <w:noProof/>
                <w:webHidden/>
              </w:rPr>
              <w:fldChar w:fldCharType="end"/>
            </w:r>
          </w:hyperlink>
        </w:p>
        <w:p w14:paraId="5BE37ADD" w14:textId="095F8EFB"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70" w:history="1">
            <w:r w:rsidRPr="001D4C20">
              <w:rPr>
                <w:rStyle w:val="Lienhypertexte"/>
                <w:noProof/>
              </w:rPr>
              <w:t>55.14.1 Fenêtres et portes-fenêtres intérieures en PVC CCTB 01.02</w:t>
            </w:r>
            <w:r>
              <w:rPr>
                <w:noProof/>
                <w:webHidden/>
              </w:rPr>
              <w:tab/>
            </w:r>
            <w:r>
              <w:rPr>
                <w:noProof/>
                <w:webHidden/>
              </w:rPr>
              <w:fldChar w:fldCharType="begin"/>
            </w:r>
            <w:r>
              <w:rPr>
                <w:noProof/>
                <w:webHidden/>
              </w:rPr>
              <w:instrText xml:space="preserve"> PAGEREF _Toc220491170 \h </w:instrText>
            </w:r>
            <w:r>
              <w:rPr>
                <w:noProof/>
                <w:webHidden/>
              </w:rPr>
            </w:r>
            <w:r>
              <w:rPr>
                <w:noProof/>
                <w:webHidden/>
              </w:rPr>
              <w:fldChar w:fldCharType="separate"/>
            </w:r>
            <w:r>
              <w:rPr>
                <w:noProof/>
                <w:webHidden/>
              </w:rPr>
              <w:t>548</w:t>
            </w:r>
            <w:r>
              <w:rPr>
                <w:noProof/>
                <w:webHidden/>
              </w:rPr>
              <w:fldChar w:fldCharType="end"/>
            </w:r>
          </w:hyperlink>
        </w:p>
        <w:p w14:paraId="40ED5C42" w14:textId="4DD376F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71" w:history="1">
            <w:r w:rsidRPr="001D4C20">
              <w:rPr>
                <w:rStyle w:val="Lienhypertexte"/>
                <w:noProof/>
              </w:rPr>
              <w:t>55.14.1a Fenêtres et portes-fenêtres intérieures en PVC CCTB 01.11</w:t>
            </w:r>
            <w:r>
              <w:rPr>
                <w:noProof/>
                <w:webHidden/>
              </w:rPr>
              <w:tab/>
            </w:r>
            <w:r>
              <w:rPr>
                <w:noProof/>
                <w:webHidden/>
              </w:rPr>
              <w:fldChar w:fldCharType="begin"/>
            </w:r>
            <w:r>
              <w:rPr>
                <w:noProof/>
                <w:webHidden/>
              </w:rPr>
              <w:instrText xml:space="preserve"> PAGEREF _Toc220491171 \h </w:instrText>
            </w:r>
            <w:r>
              <w:rPr>
                <w:noProof/>
                <w:webHidden/>
              </w:rPr>
            </w:r>
            <w:r>
              <w:rPr>
                <w:noProof/>
                <w:webHidden/>
              </w:rPr>
              <w:fldChar w:fldCharType="separate"/>
            </w:r>
            <w:r>
              <w:rPr>
                <w:noProof/>
                <w:webHidden/>
              </w:rPr>
              <w:t>548</w:t>
            </w:r>
            <w:r>
              <w:rPr>
                <w:noProof/>
                <w:webHidden/>
              </w:rPr>
              <w:fldChar w:fldCharType="end"/>
            </w:r>
          </w:hyperlink>
        </w:p>
        <w:p w14:paraId="6CF91FFF" w14:textId="0AAB5ED2"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172" w:history="1">
            <w:r w:rsidRPr="001D4C20">
              <w:rPr>
                <w:rStyle w:val="Lienhypertexte"/>
                <w:noProof/>
              </w:rPr>
              <w:t>55.15 Fenêtres intérieures en PUR CCTB 01.02</w:t>
            </w:r>
            <w:r>
              <w:rPr>
                <w:noProof/>
                <w:webHidden/>
              </w:rPr>
              <w:tab/>
            </w:r>
            <w:r>
              <w:rPr>
                <w:noProof/>
                <w:webHidden/>
              </w:rPr>
              <w:fldChar w:fldCharType="begin"/>
            </w:r>
            <w:r>
              <w:rPr>
                <w:noProof/>
                <w:webHidden/>
              </w:rPr>
              <w:instrText xml:space="preserve"> PAGEREF _Toc220491172 \h </w:instrText>
            </w:r>
            <w:r>
              <w:rPr>
                <w:noProof/>
                <w:webHidden/>
              </w:rPr>
            </w:r>
            <w:r>
              <w:rPr>
                <w:noProof/>
                <w:webHidden/>
              </w:rPr>
              <w:fldChar w:fldCharType="separate"/>
            </w:r>
            <w:r>
              <w:rPr>
                <w:noProof/>
                <w:webHidden/>
              </w:rPr>
              <w:t>550</w:t>
            </w:r>
            <w:r>
              <w:rPr>
                <w:noProof/>
                <w:webHidden/>
              </w:rPr>
              <w:fldChar w:fldCharType="end"/>
            </w:r>
          </w:hyperlink>
        </w:p>
        <w:p w14:paraId="2C4D798A" w14:textId="11C3C446"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73" w:history="1">
            <w:r w:rsidRPr="001D4C20">
              <w:rPr>
                <w:rStyle w:val="Lienhypertexte"/>
                <w:noProof/>
              </w:rPr>
              <w:t>55.15.1 Fenêtres et portes-fenêtres intérieures en PUR CCTB 01.02</w:t>
            </w:r>
            <w:r>
              <w:rPr>
                <w:noProof/>
                <w:webHidden/>
              </w:rPr>
              <w:tab/>
            </w:r>
            <w:r>
              <w:rPr>
                <w:noProof/>
                <w:webHidden/>
              </w:rPr>
              <w:fldChar w:fldCharType="begin"/>
            </w:r>
            <w:r>
              <w:rPr>
                <w:noProof/>
                <w:webHidden/>
              </w:rPr>
              <w:instrText xml:space="preserve"> PAGEREF _Toc220491173 \h </w:instrText>
            </w:r>
            <w:r>
              <w:rPr>
                <w:noProof/>
                <w:webHidden/>
              </w:rPr>
            </w:r>
            <w:r>
              <w:rPr>
                <w:noProof/>
                <w:webHidden/>
              </w:rPr>
              <w:fldChar w:fldCharType="separate"/>
            </w:r>
            <w:r>
              <w:rPr>
                <w:noProof/>
                <w:webHidden/>
              </w:rPr>
              <w:t>550</w:t>
            </w:r>
            <w:r>
              <w:rPr>
                <w:noProof/>
                <w:webHidden/>
              </w:rPr>
              <w:fldChar w:fldCharType="end"/>
            </w:r>
          </w:hyperlink>
        </w:p>
        <w:p w14:paraId="333C7F5F" w14:textId="1886FC9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74" w:history="1">
            <w:r w:rsidRPr="001D4C20">
              <w:rPr>
                <w:rStyle w:val="Lienhypertexte"/>
                <w:noProof/>
              </w:rPr>
              <w:t>55.15.1a Fenêtres et portes-fenêtres intérieures en PUR CCTB 01.10</w:t>
            </w:r>
            <w:r>
              <w:rPr>
                <w:noProof/>
                <w:webHidden/>
              </w:rPr>
              <w:tab/>
            </w:r>
            <w:r>
              <w:rPr>
                <w:noProof/>
                <w:webHidden/>
              </w:rPr>
              <w:fldChar w:fldCharType="begin"/>
            </w:r>
            <w:r>
              <w:rPr>
                <w:noProof/>
                <w:webHidden/>
              </w:rPr>
              <w:instrText xml:space="preserve"> PAGEREF _Toc220491174 \h </w:instrText>
            </w:r>
            <w:r>
              <w:rPr>
                <w:noProof/>
                <w:webHidden/>
              </w:rPr>
            </w:r>
            <w:r>
              <w:rPr>
                <w:noProof/>
                <w:webHidden/>
              </w:rPr>
              <w:fldChar w:fldCharType="separate"/>
            </w:r>
            <w:r>
              <w:rPr>
                <w:noProof/>
                <w:webHidden/>
              </w:rPr>
              <w:t>550</w:t>
            </w:r>
            <w:r>
              <w:rPr>
                <w:noProof/>
                <w:webHidden/>
              </w:rPr>
              <w:fldChar w:fldCharType="end"/>
            </w:r>
          </w:hyperlink>
        </w:p>
        <w:p w14:paraId="32EF29FE" w14:textId="14D056F0"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175" w:history="1">
            <w:r w:rsidRPr="001D4C20">
              <w:rPr>
                <w:rStyle w:val="Lienhypertexte"/>
                <w:noProof/>
              </w:rPr>
              <w:t>55.16 Fenêtres intérieures en verre CCTB 01.02</w:t>
            </w:r>
            <w:r>
              <w:rPr>
                <w:noProof/>
                <w:webHidden/>
              </w:rPr>
              <w:tab/>
            </w:r>
            <w:r>
              <w:rPr>
                <w:noProof/>
                <w:webHidden/>
              </w:rPr>
              <w:fldChar w:fldCharType="begin"/>
            </w:r>
            <w:r>
              <w:rPr>
                <w:noProof/>
                <w:webHidden/>
              </w:rPr>
              <w:instrText xml:space="preserve"> PAGEREF _Toc220491175 \h </w:instrText>
            </w:r>
            <w:r>
              <w:rPr>
                <w:noProof/>
                <w:webHidden/>
              </w:rPr>
            </w:r>
            <w:r>
              <w:rPr>
                <w:noProof/>
                <w:webHidden/>
              </w:rPr>
              <w:fldChar w:fldCharType="separate"/>
            </w:r>
            <w:r>
              <w:rPr>
                <w:noProof/>
                <w:webHidden/>
              </w:rPr>
              <w:t>550</w:t>
            </w:r>
            <w:r>
              <w:rPr>
                <w:noProof/>
                <w:webHidden/>
              </w:rPr>
              <w:fldChar w:fldCharType="end"/>
            </w:r>
          </w:hyperlink>
        </w:p>
        <w:p w14:paraId="1C2ABDE2" w14:textId="05471D4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76" w:history="1">
            <w:r w:rsidRPr="001D4C20">
              <w:rPr>
                <w:rStyle w:val="Lienhypertexte"/>
                <w:noProof/>
              </w:rPr>
              <w:t>55.16.1 Fenêtres et portes-fenêtres intérieures en verre CCTB 01.12</w:t>
            </w:r>
            <w:r>
              <w:rPr>
                <w:noProof/>
                <w:webHidden/>
              </w:rPr>
              <w:tab/>
            </w:r>
            <w:r>
              <w:rPr>
                <w:noProof/>
                <w:webHidden/>
              </w:rPr>
              <w:fldChar w:fldCharType="begin"/>
            </w:r>
            <w:r>
              <w:rPr>
                <w:noProof/>
                <w:webHidden/>
              </w:rPr>
              <w:instrText xml:space="preserve"> PAGEREF _Toc220491176 \h </w:instrText>
            </w:r>
            <w:r>
              <w:rPr>
                <w:noProof/>
                <w:webHidden/>
              </w:rPr>
            </w:r>
            <w:r>
              <w:rPr>
                <w:noProof/>
                <w:webHidden/>
              </w:rPr>
              <w:fldChar w:fldCharType="separate"/>
            </w:r>
            <w:r>
              <w:rPr>
                <w:noProof/>
                <w:webHidden/>
              </w:rPr>
              <w:t>550</w:t>
            </w:r>
            <w:r>
              <w:rPr>
                <w:noProof/>
                <w:webHidden/>
              </w:rPr>
              <w:fldChar w:fldCharType="end"/>
            </w:r>
          </w:hyperlink>
        </w:p>
        <w:p w14:paraId="2EC33AF4" w14:textId="1B9BC78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77" w:history="1">
            <w:r w:rsidRPr="001D4C20">
              <w:rPr>
                <w:rStyle w:val="Lienhypertexte"/>
                <w:noProof/>
              </w:rPr>
              <w:t>55.16.1a Fenêtres et portes-fenêtres intérieures en verre CCTB 01.12</w:t>
            </w:r>
            <w:r>
              <w:rPr>
                <w:noProof/>
                <w:webHidden/>
              </w:rPr>
              <w:tab/>
            </w:r>
            <w:r>
              <w:rPr>
                <w:noProof/>
                <w:webHidden/>
              </w:rPr>
              <w:fldChar w:fldCharType="begin"/>
            </w:r>
            <w:r>
              <w:rPr>
                <w:noProof/>
                <w:webHidden/>
              </w:rPr>
              <w:instrText xml:space="preserve"> PAGEREF _Toc220491177 \h </w:instrText>
            </w:r>
            <w:r>
              <w:rPr>
                <w:noProof/>
                <w:webHidden/>
              </w:rPr>
            </w:r>
            <w:r>
              <w:rPr>
                <w:noProof/>
                <w:webHidden/>
              </w:rPr>
              <w:fldChar w:fldCharType="separate"/>
            </w:r>
            <w:r>
              <w:rPr>
                <w:noProof/>
                <w:webHidden/>
              </w:rPr>
              <w:t>552</w:t>
            </w:r>
            <w:r>
              <w:rPr>
                <w:noProof/>
                <w:webHidden/>
              </w:rPr>
              <w:fldChar w:fldCharType="end"/>
            </w:r>
          </w:hyperlink>
        </w:p>
        <w:p w14:paraId="12B970CB" w14:textId="6E27557F"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178" w:history="1">
            <w:r w:rsidRPr="001D4C20">
              <w:rPr>
                <w:rStyle w:val="Lienhypertexte"/>
                <w:noProof/>
              </w:rPr>
              <w:t>55.17 Fenêtres intérieures matériaux composites CCTB 01.02</w:t>
            </w:r>
            <w:r>
              <w:rPr>
                <w:noProof/>
                <w:webHidden/>
              </w:rPr>
              <w:tab/>
            </w:r>
            <w:r>
              <w:rPr>
                <w:noProof/>
                <w:webHidden/>
              </w:rPr>
              <w:fldChar w:fldCharType="begin"/>
            </w:r>
            <w:r>
              <w:rPr>
                <w:noProof/>
                <w:webHidden/>
              </w:rPr>
              <w:instrText xml:space="preserve"> PAGEREF _Toc220491178 \h </w:instrText>
            </w:r>
            <w:r>
              <w:rPr>
                <w:noProof/>
                <w:webHidden/>
              </w:rPr>
            </w:r>
            <w:r>
              <w:rPr>
                <w:noProof/>
                <w:webHidden/>
              </w:rPr>
              <w:fldChar w:fldCharType="separate"/>
            </w:r>
            <w:r>
              <w:rPr>
                <w:noProof/>
                <w:webHidden/>
              </w:rPr>
              <w:t>554</w:t>
            </w:r>
            <w:r>
              <w:rPr>
                <w:noProof/>
                <w:webHidden/>
              </w:rPr>
              <w:fldChar w:fldCharType="end"/>
            </w:r>
          </w:hyperlink>
        </w:p>
        <w:p w14:paraId="6F28E087" w14:textId="25876346"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79" w:history="1">
            <w:r w:rsidRPr="001D4C20">
              <w:rPr>
                <w:rStyle w:val="Lienhypertexte"/>
                <w:noProof/>
              </w:rPr>
              <w:t>55.17.1 Fenêtres et portes-fenêtres intérieures en mélange PVC/bois (dans la masse) CCTB 01.02</w:t>
            </w:r>
            <w:r>
              <w:rPr>
                <w:noProof/>
                <w:webHidden/>
              </w:rPr>
              <w:tab/>
            </w:r>
            <w:r>
              <w:rPr>
                <w:noProof/>
                <w:webHidden/>
              </w:rPr>
              <w:fldChar w:fldCharType="begin"/>
            </w:r>
            <w:r>
              <w:rPr>
                <w:noProof/>
                <w:webHidden/>
              </w:rPr>
              <w:instrText xml:space="preserve"> PAGEREF _Toc220491179 \h </w:instrText>
            </w:r>
            <w:r>
              <w:rPr>
                <w:noProof/>
                <w:webHidden/>
              </w:rPr>
            </w:r>
            <w:r>
              <w:rPr>
                <w:noProof/>
                <w:webHidden/>
              </w:rPr>
              <w:fldChar w:fldCharType="separate"/>
            </w:r>
            <w:r>
              <w:rPr>
                <w:noProof/>
                <w:webHidden/>
              </w:rPr>
              <w:t>554</w:t>
            </w:r>
            <w:r>
              <w:rPr>
                <w:noProof/>
                <w:webHidden/>
              </w:rPr>
              <w:fldChar w:fldCharType="end"/>
            </w:r>
          </w:hyperlink>
        </w:p>
        <w:p w14:paraId="0E3A9182" w14:textId="2D22755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80" w:history="1">
            <w:r w:rsidRPr="001D4C20">
              <w:rPr>
                <w:rStyle w:val="Lienhypertexte"/>
                <w:noProof/>
              </w:rPr>
              <w:t>55.17.1a Fenêtres et portes-fenêtres intérieures en mélange PVC/bois (dans la masse) CCTB 01.10</w:t>
            </w:r>
            <w:r>
              <w:rPr>
                <w:noProof/>
                <w:webHidden/>
              </w:rPr>
              <w:tab/>
            </w:r>
            <w:r>
              <w:rPr>
                <w:noProof/>
                <w:webHidden/>
              </w:rPr>
              <w:fldChar w:fldCharType="begin"/>
            </w:r>
            <w:r>
              <w:rPr>
                <w:noProof/>
                <w:webHidden/>
              </w:rPr>
              <w:instrText xml:space="preserve"> PAGEREF _Toc220491180 \h </w:instrText>
            </w:r>
            <w:r>
              <w:rPr>
                <w:noProof/>
                <w:webHidden/>
              </w:rPr>
            </w:r>
            <w:r>
              <w:rPr>
                <w:noProof/>
                <w:webHidden/>
              </w:rPr>
              <w:fldChar w:fldCharType="separate"/>
            </w:r>
            <w:r>
              <w:rPr>
                <w:noProof/>
                <w:webHidden/>
              </w:rPr>
              <w:t>554</w:t>
            </w:r>
            <w:r>
              <w:rPr>
                <w:noProof/>
                <w:webHidden/>
              </w:rPr>
              <w:fldChar w:fldCharType="end"/>
            </w:r>
          </w:hyperlink>
        </w:p>
        <w:p w14:paraId="77ECE271" w14:textId="503F7561"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181" w:history="1">
            <w:r w:rsidRPr="001D4C20">
              <w:rPr>
                <w:rStyle w:val="Lienhypertexte"/>
                <w:noProof/>
              </w:rPr>
              <w:t>55.2 Portes intérieures CCTB 01.13</w:t>
            </w:r>
            <w:r>
              <w:rPr>
                <w:noProof/>
                <w:webHidden/>
              </w:rPr>
              <w:tab/>
            </w:r>
            <w:r>
              <w:rPr>
                <w:noProof/>
                <w:webHidden/>
              </w:rPr>
              <w:fldChar w:fldCharType="begin"/>
            </w:r>
            <w:r>
              <w:rPr>
                <w:noProof/>
                <w:webHidden/>
              </w:rPr>
              <w:instrText xml:space="preserve"> PAGEREF _Toc220491181 \h </w:instrText>
            </w:r>
            <w:r>
              <w:rPr>
                <w:noProof/>
                <w:webHidden/>
              </w:rPr>
            </w:r>
            <w:r>
              <w:rPr>
                <w:noProof/>
                <w:webHidden/>
              </w:rPr>
              <w:fldChar w:fldCharType="separate"/>
            </w:r>
            <w:r>
              <w:rPr>
                <w:noProof/>
                <w:webHidden/>
              </w:rPr>
              <w:t>554</w:t>
            </w:r>
            <w:r>
              <w:rPr>
                <w:noProof/>
                <w:webHidden/>
              </w:rPr>
              <w:fldChar w:fldCharType="end"/>
            </w:r>
          </w:hyperlink>
        </w:p>
        <w:p w14:paraId="55B80E6C" w14:textId="2D0ACC5E"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182" w:history="1">
            <w:r w:rsidRPr="001D4C20">
              <w:rPr>
                <w:rStyle w:val="Lienhypertexte"/>
                <w:noProof/>
              </w:rPr>
              <w:t>55.21 Portes intérieures en bois CCTB 01.10</w:t>
            </w:r>
            <w:r>
              <w:rPr>
                <w:noProof/>
                <w:webHidden/>
              </w:rPr>
              <w:tab/>
            </w:r>
            <w:r>
              <w:rPr>
                <w:noProof/>
                <w:webHidden/>
              </w:rPr>
              <w:fldChar w:fldCharType="begin"/>
            </w:r>
            <w:r>
              <w:rPr>
                <w:noProof/>
                <w:webHidden/>
              </w:rPr>
              <w:instrText xml:space="preserve"> PAGEREF _Toc220491182 \h </w:instrText>
            </w:r>
            <w:r>
              <w:rPr>
                <w:noProof/>
                <w:webHidden/>
              </w:rPr>
            </w:r>
            <w:r>
              <w:rPr>
                <w:noProof/>
                <w:webHidden/>
              </w:rPr>
              <w:fldChar w:fldCharType="separate"/>
            </w:r>
            <w:r>
              <w:rPr>
                <w:noProof/>
                <w:webHidden/>
              </w:rPr>
              <w:t>561</w:t>
            </w:r>
            <w:r>
              <w:rPr>
                <w:noProof/>
                <w:webHidden/>
              </w:rPr>
              <w:fldChar w:fldCharType="end"/>
            </w:r>
          </w:hyperlink>
        </w:p>
        <w:p w14:paraId="110E2B5D" w14:textId="7B1ED68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83" w:history="1">
            <w:r w:rsidRPr="001D4C20">
              <w:rPr>
                <w:rStyle w:val="Lienhypertexte"/>
                <w:noProof/>
              </w:rPr>
              <w:t>55.21.1 Portes intérieures à âmes creuses CCTB 01.12</w:t>
            </w:r>
            <w:r>
              <w:rPr>
                <w:noProof/>
                <w:webHidden/>
              </w:rPr>
              <w:tab/>
            </w:r>
            <w:r>
              <w:rPr>
                <w:noProof/>
                <w:webHidden/>
              </w:rPr>
              <w:fldChar w:fldCharType="begin"/>
            </w:r>
            <w:r>
              <w:rPr>
                <w:noProof/>
                <w:webHidden/>
              </w:rPr>
              <w:instrText xml:space="preserve"> PAGEREF _Toc220491183 \h </w:instrText>
            </w:r>
            <w:r>
              <w:rPr>
                <w:noProof/>
                <w:webHidden/>
              </w:rPr>
            </w:r>
            <w:r>
              <w:rPr>
                <w:noProof/>
                <w:webHidden/>
              </w:rPr>
              <w:fldChar w:fldCharType="separate"/>
            </w:r>
            <w:r>
              <w:rPr>
                <w:noProof/>
                <w:webHidden/>
              </w:rPr>
              <w:t>564</w:t>
            </w:r>
            <w:r>
              <w:rPr>
                <w:noProof/>
                <w:webHidden/>
              </w:rPr>
              <w:fldChar w:fldCharType="end"/>
            </w:r>
          </w:hyperlink>
        </w:p>
        <w:p w14:paraId="67A2585D" w14:textId="683973D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84" w:history="1">
            <w:r w:rsidRPr="001D4C20">
              <w:rPr>
                <w:rStyle w:val="Lienhypertexte"/>
                <w:noProof/>
              </w:rPr>
              <w:t>55.21.1a Portes intérieures à âmes alvéolaires CCTB 01.12</w:t>
            </w:r>
            <w:r>
              <w:rPr>
                <w:noProof/>
                <w:webHidden/>
              </w:rPr>
              <w:tab/>
            </w:r>
            <w:r>
              <w:rPr>
                <w:noProof/>
                <w:webHidden/>
              </w:rPr>
              <w:fldChar w:fldCharType="begin"/>
            </w:r>
            <w:r>
              <w:rPr>
                <w:noProof/>
                <w:webHidden/>
              </w:rPr>
              <w:instrText xml:space="preserve"> PAGEREF _Toc220491184 \h </w:instrText>
            </w:r>
            <w:r>
              <w:rPr>
                <w:noProof/>
                <w:webHidden/>
              </w:rPr>
            </w:r>
            <w:r>
              <w:rPr>
                <w:noProof/>
                <w:webHidden/>
              </w:rPr>
              <w:fldChar w:fldCharType="separate"/>
            </w:r>
            <w:r>
              <w:rPr>
                <w:noProof/>
                <w:webHidden/>
              </w:rPr>
              <w:t>565</w:t>
            </w:r>
            <w:r>
              <w:rPr>
                <w:noProof/>
                <w:webHidden/>
              </w:rPr>
              <w:fldChar w:fldCharType="end"/>
            </w:r>
          </w:hyperlink>
        </w:p>
        <w:p w14:paraId="5A24CFDC" w14:textId="184BD05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85" w:history="1">
            <w:r w:rsidRPr="001D4C20">
              <w:rPr>
                <w:rStyle w:val="Lienhypertexte"/>
                <w:noProof/>
              </w:rPr>
              <w:t>55.21.1b Portes intérieures à âmes tubulaires CCTB 01.12</w:t>
            </w:r>
            <w:r>
              <w:rPr>
                <w:noProof/>
                <w:webHidden/>
              </w:rPr>
              <w:tab/>
            </w:r>
            <w:r>
              <w:rPr>
                <w:noProof/>
                <w:webHidden/>
              </w:rPr>
              <w:fldChar w:fldCharType="begin"/>
            </w:r>
            <w:r>
              <w:rPr>
                <w:noProof/>
                <w:webHidden/>
              </w:rPr>
              <w:instrText xml:space="preserve"> PAGEREF _Toc220491185 \h </w:instrText>
            </w:r>
            <w:r>
              <w:rPr>
                <w:noProof/>
                <w:webHidden/>
              </w:rPr>
            </w:r>
            <w:r>
              <w:rPr>
                <w:noProof/>
                <w:webHidden/>
              </w:rPr>
              <w:fldChar w:fldCharType="separate"/>
            </w:r>
            <w:r>
              <w:rPr>
                <w:noProof/>
                <w:webHidden/>
              </w:rPr>
              <w:t>567</w:t>
            </w:r>
            <w:r>
              <w:rPr>
                <w:noProof/>
                <w:webHidden/>
              </w:rPr>
              <w:fldChar w:fldCharType="end"/>
            </w:r>
          </w:hyperlink>
        </w:p>
        <w:p w14:paraId="51471039" w14:textId="74090C02"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86" w:history="1">
            <w:r w:rsidRPr="001D4C20">
              <w:rPr>
                <w:rStyle w:val="Lienhypertexte"/>
                <w:noProof/>
              </w:rPr>
              <w:t>55.21.2 Portes intérieures à âmes pleines CCTB 01.12</w:t>
            </w:r>
            <w:r>
              <w:rPr>
                <w:noProof/>
                <w:webHidden/>
              </w:rPr>
              <w:tab/>
            </w:r>
            <w:r>
              <w:rPr>
                <w:noProof/>
                <w:webHidden/>
              </w:rPr>
              <w:fldChar w:fldCharType="begin"/>
            </w:r>
            <w:r>
              <w:rPr>
                <w:noProof/>
                <w:webHidden/>
              </w:rPr>
              <w:instrText xml:space="preserve"> PAGEREF _Toc220491186 \h </w:instrText>
            </w:r>
            <w:r>
              <w:rPr>
                <w:noProof/>
                <w:webHidden/>
              </w:rPr>
            </w:r>
            <w:r>
              <w:rPr>
                <w:noProof/>
                <w:webHidden/>
              </w:rPr>
              <w:fldChar w:fldCharType="separate"/>
            </w:r>
            <w:r>
              <w:rPr>
                <w:noProof/>
                <w:webHidden/>
              </w:rPr>
              <w:t>569</w:t>
            </w:r>
            <w:r>
              <w:rPr>
                <w:noProof/>
                <w:webHidden/>
              </w:rPr>
              <w:fldChar w:fldCharType="end"/>
            </w:r>
          </w:hyperlink>
        </w:p>
        <w:p w14:paraId="2E464ABA" w14:textId="2160F0F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87" w:history="1">
            <w:r w:rsidRPr="001D4C20">
              <w:rPr>
                <w:rStyle w:val="Lienhypertexte"/>
                <w:noProof/>
              </w:rPr>
              <w:t>55.21.2a Portes intérieures à âmes pleines CCTB 01.12</w:t>
            </w:r>
            <w:r>
              <w:rPr>
                <w:noProof/>
                <w:webHidden/>
              </w:rPr>
              <w:tab/>
            </w:r>
            <w:r>
              <w:rPr>
                <w:noProof/>
                <w:webHidden/>
              </w:rPr>
              <w:fldChar w:fldCharType="begin"/>
            </w:r>
            <w:r>
              <w:rPr>
                <w:noProof/>
                <w:webHidden/>
              </w:rPr>
              <w:instrText xml:space="preserve"> PAGEREF _Toc220491187 \h </w:instrText>
            </w:r>
            <w:r>
              <w:rPr>
                <w:noProof/>
                <w:webHidden/>
              </w:rPr>
            </w:r>
            <w:r>
              <w:rPr>
                <w:noProof/>
                <w:webHidden/>
              </w:rPr>
              <w:fldChar w:fldCharType="separate"/>
            </w:r>
            <w:r>
              <w:rPr>
                <w:noProof/>
                <w:webHidden/>
              </w:rPr>
              <w:t>570</w:t>
            </w:r>
            <w:r>
              <w:rPr>
                <w:noProof/>
                <w:webHidden/>
              </w:rPr>
              <w:fldChar w:fldCharType="end"/>
            </w:r>
          </w:hyperlink>
        </w:p>
        <w:p w14:paraId="59AD8A40" w14:textId="2A0C7BF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88" w:history="1">
            <w:r w:rsidRPr="001D4C20">
              <w:rPr>
                <w:rStyle w:val="Lienhypertexte"/>
                <w:noProof/>
              </w:rPr>
              <w:t>55.21.3 Portes intérieures à cadre apparent</w:t>
            </w:r>
            <w:r>
              <w:rPr>
                <w:noProof/>
                <w:webHidden/>
              </w:rPr>
              <w:tab/>
            </w:r>
            <w:r>
              <w:rPr>
                <w:noProof/>
                <w:webHidden/>
              </w:rPr>
              <w:fldChar w:fldCharType="begin"/>
            </w:r>
            <w:r>
              <w:rPr>
                <w:noProof/>
                <w:webHidden/>
              </w:rPr>
              <w:instrText xml:space="preserve"> PAGEREF _Toc220491188 \h </w:instrText>
            </w:r>
            <w:r>
              <w:rPr>
                <w:noProof/>
                <w:webHidden/>
              </w:rPr>
            </w:r>
            <w:r>
              <w:rPr>
                <w:noProof/>
                <w:webHidden/>
              </w:rPr>
              <w:fldChar w:fldCharType="separate"/>
            </w:r>
            <w:r>
              <w:rPr>
                <w:noProof/>
                <w:webHidden/>
              </w:rPr>
              <w:t>573</w:t>
            </w:r>
            <w:r>
              <w:rPr>
                <w:noProof/>
                <w:webHidden/>
              </w:rPr>
              <w:fldChar w:fldCharType="end"/>
            </w:r>
          </w:hyperlink>
        </w:p>
        <w:p w14:paraId="719D9A6E" w14:textId="7BFB8B1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89" w:history="1">
            <w:r w:rsidRPr="001D4C20">
              <w:rPr>
                <w:rStyle w:val="Lienhypertexte"/>
                <w:noProof/>
              </w:rPr>
              <w:t>55.21.3a Portes intérieures à cadre apparent CCTB 01.12</w:t>
            </w:r>
            <w:r>
              <w:rPr>
                <w:noProof/>
                <w:webHidden/>
              </w:rPr>
              <w:tab/>
            </w:r>
            <w:r>
              <w:rPr>
                <w:noProof/>
                <w:webHidden/>
              </w:rPr>
              <w:fldChar w:fldCharType="begin"/>
            </w:r>
            <w:r>
              <w:rPr>
                <w:noProof/>
                <w:webHidden/>
              </w:rPr>
              <w:instrText xml:space="preserve"> PAGEREF _Toc220491189 \h </w:instrText>
            </w:r>
            <w:r>
              <w:rPr>
                <w:noProof/>
                <w:webHidden/>
              </w:rPr>
            </w:r>
            <w:r>
              <w:rPr>
                <w:noProof/>
                <w:webHidden/>
              </w:rPr>
              <w:fldChar w:fldCharType="separate"/>
            </w:r>
            <w:r>
              <w:rPr>
                <w:noProof/>
                <w:webHidden/>
              </w:rPr>
              <w:t>573</w:t>
            </w:r>
            <w:r>
              <w:rPr>
                <w:noProof/>
                <w:webHidden/>
              </w:rPr>
              <w:fldChar w:fldCharType="end"/>
            </w:r>
          </w:hyperlink>
        </w:p>
        <w:p w14:paraId="463A5E5A" w14:textId="117A83B1"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90" w:history="1">
            <w:r w:rsidRPr="001D4C20">
              <w:rPr>
                <w:rStyle w:val="Lienhypertexte"/>
                <w:noProof/>
              </w:rPr>
              <w:t>55.21.4 Portes intérieures isolantes CCTB 01.12</w:t>
            </w:r>
            <w:r>
              <w:rPr>
                <w:noProof/>
                <w:webHidden/>
              </w:rPr>
              <w:tab/>
            </w:r>
            <w:r>
              <w:rPr>
                <w:noProof/>
                <w:webHidden/>
              </w:rPr>
              <w:fldChar w:fldCharType="begin"/>
            </w:r>
            <w:r>
              <w:rPr>
                <w:noProof/>
                <w:webHidden/>
              </w:rPr>
              <w:instrText xml:space="preserve"> PAGEREF _Toc220491190 \h </w:instrText>
            </w:r>
            <w:r>
              <w:rPr>
                <w:noProof/>
                <w:webHidden/>
              </w:rPr>
            </w:r>
            <w:r>
              <w:rPr>
                <w:noProof/>
                <w:webHidden/>
              </w:rPr>
              <w:fldChar w:fldCharType="separate"/>
            </w:r>
            <w:r>
              <w:rPr>
                <w:noProof/>
                <w:webHidden/>
              </w:rPr>
              <w:t>573</w:t>
            </w:r>
            <w:r>
              <w:rPr>
                <w:noProof/>
                <w:webHidden/>
              </w:rPr>
              <w:fldChar w:fldCharType="end"/>
            </w:r>
          </w:hyperlink>
        </w:p>
        <w:p w14:paraId="48428E38" w14:textId="376B8A1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91" w:history="1">
            <w:r w:rsidRPr="001D4C20">
              <w:rPr>
                <w:rStyle w:val="Lienhypertexte"/>
                <w:noProof/>
              </w:rPr>
              <w:t>55.21.4a Portes intérieures isolantes CCTB 01.12</w:t>
            </w:r>
            <w:r>
              <w:rPr>
                <w:noProof/>
                <w:webHidden/>
              </w:rPr>
              <w:tab/>
            </w:r>
            <w:r>
              <w:rPr>
                <w:noProof/>
                <w:webHidden/>
              </w:rPr>
              <w:fldChar w:fldCharType="begin"/>
            </w:r>
            <w:r>
              <w:rPr>
                <w:noProof/>
                <w:webHidden/>
              </w:rPr>
              <w:instrText xml:space="preserve"> PAGEREF _Toc220491191 \h </w:instrText>
            </w:r>
            <w:r>
              <w:rPr>
                <w:noProof/>
                <w:webHidden/>
              </w:rPr>
            </w:r>
            <w:r>
              <w:rPr>
                <w:noProof/>
                <w:webHidden/>
              </w:rPr>
              <w:fldChar w:fldCharType="separate"/>
            </w:r>
            <w:r>
              <w:rPr>
                <w:noProof/>
                <w:webHidden/>
              </w:rPr>
              <w:t>573</w:t>
            </w:r>
            <w:r>
              <w:rPr>
                <w:noProof/>
                <w:webHidden/>
              </w:rPr>
              <w:fldChar w:fldCharType="end"/>
            </w:r>
          </w:hyperlink>
        </w:p>
        <w:p w14:paraId="3C56C6EC" w14:textId="12694930"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92" w:history="1">
            <w:r w:rsidRPr="001D4C20">
              <w:rPr>
                <w:rStyle w:val="Lienhypertexte"/>
                <w:noProof/>
              </w:rPr>
              <w:t>55.21.5 Portes intérieures en bois massif ou lamellé-collé  CCTB 01.02</w:t>
            </w:r>
            <w:r>
              <w:rPr>
                <w:noProof/>
                <w:webHidden/>
              </w:rPr>
              <w:tab/>
            </w:r>
            <w:r>
              <w:rPr>
                <w:noProof/>
                <w:webHidden/>
              </w:rPr>
              <w:fldChar w:fldCharType="begin"/>
            </w:r>
            <w:r>
              <w:rPr>
                <w:noProof/>
                <w:webHidden/>
              </w:rPr>
              <w:instrText xml:space="preserve"> PAGEREF _Toc220491192 \h </w:instrText>
            </w:r>
            <w:r>
              <w:rPr>
                <w:noProof/>
                <w:webHidden/>
              </w:rPr>
            </w:r>
            <w:r>
              <w:rPr>
                <w:noProof/>
                <w:webHidden/>
              </w:rPr>
              <w:fldChar w:fldCharType="separate"/>
            </w:r>
            <w:r>
              <w:rPr>
                <w:noProof/>
                <w:webHidden/>
              </w:rPr>
              <w:t>576</w:t>
            </w:r>
            <w:r>
              <w:rPr>
                <w:noProof/>
                <w:webHidden/>
              </w:rPr>
              <w:fldChar w:fldCharType="end"/>
            </w:r>
          </w:hyperlink>
        </w:p>
        <w:p w14:paraId="681A17A2" w14:textId="0B300EE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93" w:history="1">
            <w:r w:rsidRPr="001D4C20">
              <w:rPr>
                <w:rStyle w:val="Lienhypertexte"/>
                <w:noProof/>
              </w:rPr>
              <w:t>55.21.5a Portes intérieures en bois massif CCTB 01.12</w:t>
            </w:r>
            <w:r>
              <w:rPr>
                <w:noProof/>
                <w:webHidden/>
              </w:rPr>
              <w:tab/>
            </w:r>
            <w:r>
              <w:rPr>
                <w:noProof/>
                <w:webHidden/>
              </w:rPr>
              <w:fldChar w:fldCharType="begin"/>
            </w:r>
            <w:r>
              <w:rPr>
                <w:noProof/>
                <w:webHidden/>
              </w:rPr>
              <w:instrText xml:space="preserve"> PAGEREF _Toc220491193 \h </w:instrText>
            </w:r>
            <w:r>
              <w:rPr>
                <w:noProof/>
                <w:webHidden/>
              </w:rPr>
            </w:r>
            <w:r>
              <w:rPr>
                <w:noProof/>
                <w:webHidden/>
              </w:rPr>
              <w:fldChar w:fldCharType="separate"/>
            </w:r>
            <w:r>
              <w:rPr>
                <w:noProof/>
                <w:webHidden/>
              </w:rPr>
              <w:t>576</w:t>
            </w:r>
            <w:r>
              <w:rPr>
                <w:noProof/>
                <w:webHidden/>
              </w:rPr>
              <w:fldChar w:fldCharType="end"/>
            </w:r>
          </w:hyperlink>
        </w:p>
        <w:p w14:paraId="4C09A221" w14:textId="58ED518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94" w:history="1">
            <w:r w:rsidRPr="001D4C20">
              <w:rPr>
                <w:rStyle w:val="Lienhypertexte"/>
                <w:noProof/>
              </w:rPr>
              <w:t>55.21.5b Portes intérieures en bois lamellé-collé CCTB 01.10</w:t>
            </w:r>
            <w:r>
              <w:rPr>
                <w:noProof/>
                <w:webHidden/>
              </w:rPr>
              <w:tab/>
            </w:r>
            <w:r>
              <w:rPr>
                <w:noProof/>
                <w:webHidden/>
              </w:rPr>
              <w:fldChar w:fldCharType="begin"/>
            </w:r>
            <w:r>
              <w:rPr>
                <w:noProof/>
                <w:webHidden/>
              </w:rPr>
              <w:instrText xml:space="preserve"> PAGEREF _Toc220491194 \h </w:instrText>
            </w:r>
            <w:r>
              <w:rPr>
                <w:noProof/>
                <w:webHidden/>
              </w:rPr>
            </w:r>
            <w:r>
              <w:rPr>
                <w:noProof/>
                <w:webHidden/>
              </w:rPr>
              <w:fldChar w:fldCharType="separate"/>
            </w:r>
            <w:r>
              <w:rPr>
                <w:noProof/>
                <w:webHidden/>
              </w:rPr>
              <w:t>581</w:t>
            </w:r>
            <w:r>
              <w:rPr>
                <w:noProof/>
                <w:webHidden/>
              </w:rPr>
              <w:fldChar w:fldCharType="end"/>
            </w:r>
          </w:hyperlink>
        </w:p>
        <w:p w14:paraId="289DA4A1" w14:textId="00C0D849"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95" w:history="1">
            <w:r w:rsidRPr="001D4C20">
              <w:rPr>
                <w:rStyle w:val="Lienhypertexte"/>
                <w:noProof/>
              </w:rPr>
              <w:t>55.21.6 Portes intérieures en bois, massif / lamellé-collé, à composition mixte - profilé collaborant CCTB 01.02</w:t>
            </w:r>
            <w:r>
              <w:rPr>
                <w:noProof/>
                <w:webHidden/>
              </w:rPr>
              <w:tab/>
            </w:r>
            <w:r>
              <w:rPr>
                <w:noProof/>
                <w:webHidden/>
              </w:rPr>
              <w:fldChar w:fldCharType="begin"/>
            </w:r>
            <w:r>
              <w:rPr>
                <w:noProof/>
                <w:webHidden/>
              </w:rPr>
              <w:instrText xml:space="preserve"> PAGEREF _Toc220491195 \h </w:instrText>
            </w:r>
            <w:r>
              <w:rPr>
                <w:noProof/>
                <w:webHidden/>
              </w:rPr>
            </w:r>
            <w:r>
              <w:rPr>
                <w:noProof/>
                <w:webHidden/>
              </w:rPr>
              <w:fldChar w:fldCharType="separate"/>
            </w:r>
            <w:r>
              <w:rPr>
                <w:noProof/>
                <w:webHidden/>
              </w:rPr>
              <w:t>584</w:t>
            </w:r>
            <w:r>
              <w:rPr>
                <w:noProof/>
                <w:webHidden/>
              </w:rPr>
              <w:fldChar w:fldCharType="end"/>
            </w:r>
          </w:hyperlink>
        </w:p>
        <w:p w14:paraId="42C189C2" w14:textId="1563C5B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96" w:history="1">
            <w:r w:rsidRPr="001D4C20">
              <w:rPr>
                <w:rStyle w:val="Lienhypertexte"/>
                <w:noProof/>
              </w:rPr>
              <w:t>55.21.6a Portes intérieures en bois massif + aluminium CCTB 01.10</w:t>
            </w:r>
            <w:r>
              <w:rPr>
                <w:noProof/>
                <w:webHidden/>
              </w:rPr>
              <w:tab/>
            </w:r>
            <w:r>
              <w:rPr>
                <w:noProof/>
                <w:webHidden/>
              </w:rPr>
              <w:fldChar w:fldCharType="begin"/>
            </w:r>
            <w:r>
              <w:rPr>
                <w:noProof/>
                <w:webHidden/>
              </w:rPr>
              <w:instrText xml:space="preserve"> PAGEREF _Toc220491196 \h </w:instrText>
            </w:r>
            <w:r>
              <w:rPr>
                <w:noProof/>
                <w:webHidden/>
              </w:rPr>
            </w:r>
            <w:r>
              <w:rPr>
                <w:noProof/>
                <w:webHidden/>
              </w:rPr>
              <w:fldChar w:fldCharType="separate"/>
            </w:r>
            <w:r>
              <w:rPr>
                <w:noProof/>
                <w:webHidden/>
              </w:rPr>
              <w:t>584</w:t>
            </w:r>
            <w:r>
              <w:rPr>
                <w:noProof/>
                <w:webHidden/>
              </w:rPr>
              <w:fldChar w:fldCharType="end"/>
            </w:r>
          </w:hyperlink>
        </w:p>
        <w:p w14:paraId="15CEA614" w14:textId="6B8BC04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97" w:history="1">
            <w:r w:rsidRPr="001D4C20">
              <w:rPr>
                <w:rStyle w:val="Lienhypertexte"/>
                <w:noProof/>
              </w:rPr>
              <w:t>55.21.6b Portes intérieures en bois lamellé-collé + aluminium CCTB 01.10</w:t>
            </w:r>
            <w:r>
              <w:rPr>
                <w:noProof/>
                <w:webHidden/>
              </w:rPr>
              <w:tab/>
            </w:r>
            <w:r>
              <w:rPr>
                <w:noProof/>
                <w:webHidden/>
              </w:rPr>
              <w:fldChar w:fldCharType="begin"/>
            </w:r>
            <w:r>
              <w:rPr>
                <w:noProof/>
                <w:webHidden/>
              </w:rPr>
              <w:instrText xml:space="preserve"> PAGEREF _Toc220491197 \h </w:instrText>
            </w:r>
            <w:r>
              <w:rPr>
                <w:noProof/>
                <w:webHidden/>
              </w:rPr>
            </w:r>
            <w:r>
              <w:rPr>
                <w:noProof/>
                <w:webHidden/>
              </w:rPr>
              <w:fldChar w:fldCharType="separate"/>
            </w:r>
            <w:r>
              <w:rPr>
                <w:noProof/>
                <w:webHidden/>
              </w:rPr>
              <w:t>587</w:t>
            </w:r>
            <w:r>
              <w:rPr>
                <w:noProof/>
                <w:webHidden/>
              </w:rPr>
              <w:fldChar w:fldCharType="end"/>
            </w:r>
          </w:hyperlink>
        </w:p>
        <w:p w14:paraId="33C6157F" w14:textId="7179CA15"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98" w:history="1">
            <w:r w:rsidRPr="001D4C20">
              <w:rPr>
                <w:rStyle w:val="Lienhypertexte"/>
                <w:noProof/>
              </w:rPr>
              <w:t>55.21.7 Portes intérieures, massif / lamellé-collé, en bois à composition mixte - profilé de finition CCTB 01.02</w:t>
            </w:r>
            <w:r>
              <w:rPr>
                <w:noProof/>
                <w:webHidden/>
              </w:rPr>
              <w:tab/>
            </w:r>
            <w:r>
              <w:rPr>
                <w:noProof/>
                <w:webHidden/>
              </w:rPr>
              <w:fldChar w:fldCharType="begin"/>
            </w:r>
            <w:r>
              <w:rPr>
                <w:noProof/>
                <w:webHidden/>
              </w:rPr>
              <w:instrText xml:space="preserve"> PAGEREF _Toc220491198 \h </w:instrText>
            </w:r>
            <w:r>
              <w:rPr>
                <w:noProof/>
                <w:webHidden/>
              </w:rPr>
            </w:r>
            <w:r>
              <w:rPr>
                <w:noProof/>
                <w:webHidden/>
              </w:rPr>
              <w:fldChar w:fldCharType="separate"/>
            </w:r>
            <w:r>
              <w:rPr>
                <w:noProof/>
                <w:webHidden/>
              </w:rPr>
              <w:t>590</w:t>
            </w:r>
            <w:r>
              <w:rPr>
                <w:noProof/>
                <w:webHidden/>
              </w:rPr>
              <w:fldChar w:fldCharType="end"/>
            </w:r>
          </w:hyperlink>
        </w:p>
        <w:p w14:paraId="513386DF" w14:textId="0A6CF49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99" w:history="1">
            <w:r w:rsidRPr="001D4C20">
              <w:rPr>
                <w:rStyle w:val="Lienhypertexte"/>
                <w:noProof/>
              </w:rPr>
              <w:t>55.21.7a Portes intérieures en bois massif + finition aluminium CCTB 01.10</w:t>
            </w:r>
            <w:r>
              <w:rPr>
                <w:noProof/>
                <w:webHidden/>
              </w:rPr>
              <w:tab/>
            </w:r>
            <w:r>
              <w:rPr>
                <w:noProof/>
                <w:webHidden/>
              </w:rPr>
              <w:fldChar w:fldCharType="begin"/>
            </w:r>
            <w:r>
              <w:rPr>
                <w:noProof/>
                <w:webHidden/>
              </w:rPr>
              <w:instrText xml:space="preserve"> PAGEREF _Toc220491199 \h </w:instrText>
            </w:r>
            <w:r>
              <w:rPr>
                <w:noProof/>
                <w:webHidden/>
              </w:rPr>
            </w:r>
            <w:r>
              <w:rPr>
                <w:noProof/>
                <w:webHidden/>
              </w:rPr>
              <w:fldChar w:fldCharType="separate"/>
            </w:r>
            <w:r>
              <w:rPr>
                <w:noProof/>
                <w:webHidden/>
              </w:rPr>
              <w:t>590</w:t>
            </w:r>
            <w:r>
              <w:rPr>
                <w:noProof/>
                <w:webHidden/>
              </w:rPr>
              <w:fldChar w:fldCharType="end"/>
            </w:r>
          </w:hyperlink>
        </w:p>
        <w:p w14:paraId="40C9FBC4" w14:textId="0A09EEE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00" w:history="1">
            <w:r w:rsidRPr="001D4C20">
              <w:rPr>
                <w:rStyle w:val="Lienhypertexte"/>
                <w:noProof/>
              </w:rPr>
              <w:t>55.21.7b Portes intérieures en bois lamellé-collé + finition aluminium CCTB 01.10</w:t>
            </w:r>
            <w:r>
              <w:rPr>
                <w:noProof/>
                <w:webHidden/>
              </w:rPr>
              <w:tab/>
            </w:r>
            <w:r>
              <w:rPr>
                <w:noProof/>
                <w:webHidden/>
              </w:rPr>
              <w:fldChar w:fldCharType="begin"/>
            </w:r>
            <w:r>
              <w:rPr>
                <w:noProof/>
                <w:webHidden/>
              </w:rPr>
              <w:instrText xml:space="preserve"> PAGEREF _Toc220491200 \h </w:instrText>
            </w:r>
            <w:r>
              <w:rPr>
                <w:noProof/>
                <w:webHidden/>
              </w:rPr>
            </w:r>
            <w:r>
              <w:rPr>
                <w:noProof/>
                <w:webHidden/>
              </w:rPr>
              <w:fldChar w:fldCharType="separate"/>
            </w:r>
            <w:r>
              <w:rPr>
                <w:noProof/>
                <w:webHidden/>
              </w:rPr>
              <w:t>593</w:t>
            </w:r>
            <w:r>
              <w:rPr>
                <w:noProof/>
                <w:webHidden/>
              </w:rPr>
              <w:fldChar w:fldCharType="end"/>
            </w:r>
          </w:hyperlink>
        </w:p>
        <w:p w14:paraId="1FCC777B" w14:textId="4B1910C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01" w:history="1">
            <w:r w:rsidRPr="001D4C20">
              <w:rPr>
                <w:rStyle w:val="Lienhypertexte"/>
                <w:noProof/>
              </w:rPr>
              <w:t>55.21.7c Portes intérieures en bois massif + finition inox CCTB 01.10</w:t>
            </w:r>
            <w:r>
              <w:rPr>
                <w:noProof/>
                <w:webHidden/>
              </w:rPr>
              <w:tab/>
            </w:r>
            <w:r>
              <w:rPr>
                <w:noProof/>
                <w:webHidden/>
              </w:rPr>
              <w:fldChar w:fldCharType="begin"/>
            </w:r>
            <w:r>
              <w:rPr>
                <w:noProof/>
                <w:webHidden/>
              </w:rPr>
              <w:instrText xml:space="preserve"> PAGEREF _Toc220491201 \h </w:instrText>
            </w:r>
            <w:r>
              <w:rPr>
                <w:noProof/>
                <w:webHidden/>
              </w:rPr>
            </w:r>
            <w:r>
              <w:rPr>
                <w:noProof/>
                <w:webHidden/>
              </w:rPr>
              <w:fldChar w:fldCharType="separate"/>
            </w:r>
            <w:r>
              <w:rPr>
                <w:noProof/>
                <w:webHidden/>
              </w:rPr>
              <w:t>596</w:t>
            </w:r>
            <w:r>
              <w:rPr>
                <w:noProof/>
                <w:webHidden/>
              </w:rPr>
              <w:fldChar w:fldCharType="end"/>
            </w:r>
          </w:hyperlink>
        </w:p>
        <w:p w14:paraId="02106508" w14:textId="0D7C6F7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02" w:history="1">
            <w:r w:rsidRPr="001D4C20">
              <w:rPr>
                <w:rStyle w:val="Lienhypertexte"/>
                <w:noProof/>
              </w:rPr>
              <w:t>55.21.7d Portes intérieures en bois lamelle-collé + finition inox CCTB 01.11</w:t>
            </w:r>
            <w:r>
              <w:rPr>
                <w:noProof/>
                <w:webHidden/>
              </w:rPr>
              <w:tab/>
            </w:r>
            <w:r>
              <w:rPr>
                <w:noProof/>
                <w:webHidden/>
              </w:rPr>
              <w:fldChar w:fldCharType="begin"/>
            </w:r>
            <w:r>
              <w:rPr>
                <w:noProof/>
                <w:webHidden/>
              </w:rPr>
              <w:instrText xml:space="preserve"> PAGEREF _Toc220491202 \h </w:instrText>
            </w:r>
            <w:r>
              <w:rPr>
                <w:noProof/>
                <w:webHidden/>
              </w:rPr>
            </w:r>
            <w:r>
              <w:rPr>
                <w:noProof/>
                <w:webHidden/>
              </w:rPr>
              <w:fldChar w:fldCharType="separate"/>
            </w:r>
            <w:r>
              <w:rPr>
                <w:noProof/>
                <w:webHidden/>
              </w:rPr>
              <w:t>599</w:t>
            </w:r>
            <w:r>
              <w:rPr>
                <w:noProof/>
                <w:webHidden/>
              </w:rPr>
              <w:fldChar w:fldCharType="end"/>
            </w:r>
          </w:hyperlink>
        </w:p>
        <w:p w14:paraId="4A0091FD" w14:textId="671241E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03" w:history="1">
            <w:r w:rsidRPr="001D4C20">
              <w:rPr>
                <w:rStyle w:val="Lienhypertexte"/>
                <w:noProof/>
              </w:rPr>
              <w:t>55.21.7e Portes intérieures en bois massif + finition PVC CCTB 01.10</w:t>
            </w:r>
            <w:r>
              <w:rPr>
                <w:noProof/>
                <w:webHidden/>
              </w:rPr>
              <w:tab/>
            </w:r>
            <w:r>
              <w:rPr>
                <w:noProof/>
                <w:webHidden/>
              </w:rPr>
              <w:fldChar w:fldCharType="begin"/>
            </w:r>
            <w:r>
              <w:rPr>
                <w:noProof/>
                <w:webHidden/>
              </w:rPr>
              <w:instrText xml:space="preserve"> PAGEREF _Toc220491203 \h </w:instrText>
            </w:r>
            <w:r>
              <w:rPr>
                <w:noProof/>
                <w:webHidden/>
              </w:rPr>
            </w:r>
            <w:r>
              <w:rPr>
                <w:noProof/>
                <w:webHidden/>
              </w:rPr>
              <w:fldChar w:fldCharType="separate"/>
            </w:r>
            <w:r>
              <w:rPr>
                <w:noProof/>
                <w:webHidden/>
              </w:rPr>
              <w:t>602</w:t>
            </w:r>
            <w:r>
              <w:rPr>
                <w:noProof/>
                <w:webHidden/>
              </w:rPr>
              <w:fldChar w:fldCharType="end"/>
            </w:r>
          </w:hyperlink>
        </w:p>
        <w:p w14:paraId="12ED6597" w14:textId="1F6CE7E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04" w:history="1">
            <w:r w:rsidRPr="001D4C20">
              <w:rPr>
                <w:rStyle w:val="Lienhypertexte"/>
                <w:noProof/>
              </w:rPr>
              <w:t>55.21.7f Portes intérieures en bois lamellé-collé + finition PVC CCTB 01.10</w:t>
            </w:r>
            <w:r>
              <w:rPr>
                <w:noProof/>
                <w:webHidden/>
              </w:rPr>
              <w:tab/>
            </w:r>
            <w:r>
              <w:rPr>
                <w:noProof/>
                <w:webHidden/>
              </w:rPr>
              <w:fldChar w:fldCharType="begin"/>
            </w:r>
            <w:r>
              <w:rPr>
                <w:noProof/>
                <w:webHidden/>
              </w:rPr>
              <w:instrText xml:space="preserve"> PAGEREF _Toc220491204 \h </w:instrText>
            </w:r>
            <w:r>
              <w:rPr>
                <w:noProof/>
                <w:webHidden/>
              </w:rPr>
            </w:r>
            <w:r>
              <w:rPr>
                <w:noProof/>
                <w:webHidden/>
              </w:rPr>
              <w:fldChar w:fldCharType="separate"/>
            </w:r>
            <w:r>
              <w:rPr>
                <w:noProof/>
                <w:webHidden/>
              </w:rPr>
              <w:t>605</w:t>
            </w:r>
            <w:r>
              <w:rPr>
                <w:noProof/>
                <w:webHidden/>
              </w:rPr>
              <w:fldChar w:fldCharType="end"/>
            </w:r>
          </w:hyperlink>
        </w:p>
        <w:p w14:paraId="385F11B2" w14:textId="46F23AEB"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05" w:history="1">
            <w:r w:rsidRPr="001D4C20">
              <w:rPr>
                <w:rStyle w:val="Lienhypertexte"/>
                <w:noProof/>
              </w:rPr>
              <w:t>55.21.8 Portes intérieures en bois, massif / lamellé-collé, à composition mixte - isolation intégrée CCTB 01.02</w:t>
            </w:r>
            <w:r>
              <w:rPr>
                <w:noProof/>
                <w:webHidden/>
              </w:rPr>
              <w:tab/>
            </w:r>
            <w:r>
              <w:rPr>
                <w:noProof/>
                <w:webHidden/>
              </w:rPr>
              <w:fldChar w:fldCharType="begin"/>
            </w:r>
            <w:r>
              <w:rPr>
                <w:noProof/>
                <w:webHidden/>
              </w:rPr>
              <w:instrText xml:space="preserve"> PAGEREF _Toc220491205 \h </w:instrText>
            </w:r>
            <w:r>
              <w:rPr>
                <w:noProof/>
                <w:webHidden/>
              </w:rPr>
            </w:r>
            <w:r>
              <w:rPr>
                <w:noProof/>
                <w:webHidden/>
              </w:rPr>
              <w:fldChar w:fldCharType="separate"/>
            </w:r>
            <w:r>
              <w:rPr>
                <w:noProof/>
                <w:webHidden/>
              </w:rPr>
              <w:t>608</w:t>
            </w:r>
            <w:r>
              <w:rPr>
                <w:noProof/>
                <w:webHidden/>
              </w:rPr>
              <w:fldChar w:fldCharType="end"/>
            </w:r>
          </w:hyperlink>
        </w:p>
        <w:p w14:paraId="3236AA37" w14:textId="6AB13BB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06" w:history="1">
            <w:r w:rsidRPr="001D4C20">
              <w:rPr>
                <w:rStyle w:val="Lienhypertexte"/>
                <w:noProof/>
              </w:rPr>
              <w:t>55.21.8a Portes intérieures en bois massif + isolant + bois massif CCTB 01.12</w:t>
            </w:r>
            <w:r>
              <w:rPr>
                <w:noProof/>
                <w:webHidden/>
              </w:rPr>
              <w:tab/>
            </w:r>
            <w:r>
              <w:rPr>
                <w:noProof/>
                <w:webHidden/>
              </w:rPr>
              <w:fldChar w:fldCharType="begin"/>
            </w:r>
            <w:r>
              <w:rPr>
                <w:noProof/>
                <w:webHidden/>
              </w:rPr>
              <w:instrText xml:space="preserve"> PAGEREF _Toc220491206 \h </w:instrText>
            </w:r>
            <w:r>
              <w:rPr>
                <w:noProof/>
                <w:webHidden/>
              </w:rPr>
            </w:r>
            <w:r>
              <w:rPr>
                <w:noProof/>
                <w:webHidden/>
              </w:rPr>
              <w:fldChar w:fldCharType="separate"/>
            </w:r>
            <w:r>
              <w:rPr>
                <w:noProof/>
                <w:webHidden/>
              </w:rPr>
              <w:t>608</w:t>
            </w:r>
            <w:r>
              <w:rPr>
                <w:noProof/>
                <w:webHidden/>
              </w:rPr>
              <w:fldChar w:fldCharType="end"/>
            </w:r>
          </w:hyperlink>
        </w:p>
        <w:p w14:paraId="762CBD92" w14:textId="08F6B0A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07" w:history="1">
            <w:r w:rsidRPr="001D4C20">
              <w:rPr>
                <w:rStyle w:val="Lienhypertexte"/>
                <w:noProof/>
              </w:rPr>
              <w:t>55.21.8b Portes intérieures en bois lamellé-collé + isolant + bois lamellé-collé CCTB 01.12</w:t>
            </w:r>
            <w:r>
              <w:rPr>
                <w:noProof/>
                <w:webHidden/>
              </w:rPr>
              <w:tab/>
            </w:r>
            <w:r>
              <w:rPr>
                <w:noProof/>
                <w:webHidden/>
              </w:rPr>
              <w:fldChar w:fldCharType="begin"/>
            </w:r>
            <w:r>
              <w:rPr>
                <w:noProof/>
                <w:webHidden/>
              </w:rPr>
              <w:instrText xml:space="preserve"> PAGEREF _Toc220491207 \h </w:instrText>
            </w:r>
            <w:r>
              <w:rPr>
                <w:noProof/>
                <w:webHidden/>
              </w:rPr>
            </w:r>
            <w:r>
              <w:rPr>
                <w:noProof/>
                <w:webHidden/>
              </w:rPr>
              <w:fldChar w:fldCharType="separate"/>
            </w:r>
            <w:r>
              <w:rPr>
                <w:noProof/>
                <w:webHidden/>
              </w:rPr>
              <w:t>611</w:t>
            </w:r>
            <w:r>
              <w:rPr>
                <w:noProof/>
                <w:webHidden/>
              </w:rPr>
              <w:fldChar w:fldCharType="end"/>
            </w:r>
          </w:hyperlink>
        </w:p>
        <w:p w14:paraId="2D716FB8" w14:textId="284BCDD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08" w:history="1">
            <w:r w:rsidRPr="001D4C20">
              <w:rPr>
                <w:rStyle w:val="Lienhypertexte"/>
                <w:noProof/>
              </w:rPr>
              <w:t>55.21.8c Portes intérieures en bois massif + isolant + finition aluminium CCTB 01.10</w:t>
            </w:r>
            <w:r>
              <w:rPr>
                <w:noProof/>
                <w:webHidden/>
              </w:rPr>
              <w:tab/>
            </w:r>
            <w:r>
              <w:rPr>
                <w:noProof/>
                <w:webHidden/>
              </w:rPr>
              <w:fldChar w:fldCharType="begin"/>
            </w:r>
            <w:r>
              <w:rPr>
                <w:noProof/>
                <w:webHidden/>
              </w:rPr>
              <w:instrText xml:space="preserve"> PAGEREF _Toc220491208 \h </w:instrText>
            </w:r>
            <w:r>
              <w:rPr>
                <w:noProof/>
                <w:webHidden/>
              </w:rPr>
            </w:r>
            <w:r>
              <w:rPr>
                <w:noProof/>
                <w:webHidden/>
              </w:rPr>
              <w:fldChar w:fldCharType="separate"/>
            </w:r>
            <w:r>
              <w:rPr>
                <w:noProof/>
                <w:webHidden/>
              </w:rPr>
              <w:t>614</w:t>
            </w:r>
            <w:r>
              <w:rPr>
                <w:noProof/>
                <w:webHidden/>
              </w:rPr>
              <w:fldChar w:fldCharType="end"/>
            </w:r>
          </w:hyperlink>
        </w:p>
        <w:p w14:paraId="73D7AC0C" w14:textId="2B8246E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09" w:history="1">
            <w:r w:rsidRPr="001D4C20">
              <w:rPr>
                <w:rStyle w:val="Lienhypertexte"/>
                <w:noProof/>
              </w:rPr>
              <w:t>55.21.8d Portes intérieures en bois lamellé-collé + isolant + finition aluminium CCTB 01.10</w:t>
            </w:r>
            <w:r>
              <w:rPr>
                <w:noProof/>
                <w:webHidden/>
              </w:rPr>
              <w:tab/>
            </w:r>
            <w:r>
              <w:rPr>
                <w:noProof/>
                <w:webHidden/>
              </w:rPr>
              <w:fldChar w:fldCharType="begin"/>
            </w:r>
            <w:r>
              <w:rPr>
                <w:noProof/>
                <w:webHidden/>
              </w:rPr>
              <w:instrText xml:space="preserve"> PAGEREF _Toc220491209 \h </w:instrText>
            </w:r>
            <w:r>
              <w:rPr>
                <w:noProof/>
                <w:webHidden/>
              </w:rPr>
            </w:r>
            <w:r>
              <w:rPr>
                <w:noProof/>
                <w:webHidden/>
              </w:rPr>
              <w:fldChar w:fldCharType="separate"/>
            </w:r>
            <w:r>
              <w:rPr>
                <w:noProof/>
                <w:webHidden/>
              </w:rPr>
              <w:t>617</w:t>
            </w:r>
            <w:r>
              <w:rPr>
                <w:noProof/>
                <w:webHidden/>
              </w:rPr>
              <w:fldChar w:fldCharType="end"/>
            </w:r>
          </w:hyperlink>
        </w:p>
        <w:p w14:paraId="33F05021" w14:textId="75A1A16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10" w:history="1">
            <w:r w:rsidRPr="001D4C20">
              <w:rPr>
                <w:rStyle w:val="Lienhypertexte"/>
                <w:noProof/>
              </w:rPr>
              <w:t>55.21.8e Portes intérieures en bois massif + isolant + finition inox CCTB 01.10</w:t>
            </w:r>
            <w:r>
              <w:rPr>
                <w:noProof/>
                <w:webHidden/>
              </w:rPr>
              <w:tab/>
            </w:r>
            <w:r>
              <w:rPr>
                <w:noProof/>
                <w:webHidden/>
              </w:rPr>
              <w:fldChar w:fldCharType="begin"/>
            </w:r>
            <w:r>
              <w:rPr>
                <w:noProof/>
                <w:webHidden/>
              </w:rPr>
              <w:instrText xml:space="preserve"> PAGEREF _Toc220491210 \h </w:instrText>
            </w:r>
            <w:r>
              <w:rPr>
                <w:noProof/>
                <w:webHidden/>
              </w:rPr>
            </w:r>
            <w:r>
              <w:rPr>
                <w:noProof/>
                <w:webHidden/>
              </w:rPr>
              <w:fldChar w:fldCharType="separate"/>
            </w:r>
            <w:r>
              <w:rPr>
                <w:noProof/>
                <w:webHidden/>
              </w:rPr>
              <w:t>620</w:t>
            </w:r>
            <w:r>
              <w:rPr>
                <w:noProof/>
                <w:webHidden/>
              </w:rPr>
              <w:fldChar w:fldCharType="end"/>
            </w:r>
          </w:hyperlink>
        </w:p>
        <w:p w14:paraId="253EE0ED" w14:textId="76B55B2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11" w:history="1">
            <w:r w:rsidRPr="001D4C20">
              <w:rPr>
                <w:rStyle w:val="Lienhypertexte"/>
                <w:noProof/>
              </w:rPr>
              <w:t>55.21.8f Portes intérieures en bois lamellé collé + isolant + finition inox CCTB 01.12</w:t>
            </w:r>
            <w:r>
              <w:rPr>
                <w:noProof/>
                <w:webHidden/>
              </w:rPr>
              <w:tab/>
            </w:r>
            <w:r>
              <w:rPr>
                <w:noProof/>
                <w:webHidden/>
              </w:rPr>
              <w:fldChar w:fldCharType="begin"/>
            </w:r>
            <w:r>
              <w:rPr>
                <w:noProof/>
                <w:webHidden/>
              </w:rPr>
              <w:instrText xml:space="preserve"> PAGEREF _Toc220491211 \h </w:instrText>
            </w:r>
            <w:r>
              <w:rPr>
                <w:noProof/>
                <w:webHidden/>
              </w:rPr>
            </w:r>
            <w:r>
              <w:rPr>
                <w:noProof/>
                <w:webHidden/>
              </w:rPr>
              <w:fldChar w:fldCharType="separate"/>
            </w:r>
            <w:r>
              <w:rPr>
                <w:noProof/>
                <w:webHidden/>
              </w:rPr>
              <w:t>623</w:t>
            </w:r>
            <w:r>
              <w:rPr>
                <w:noProof/>
                <w:webHidden/>
              </w:rPr>
              <w:fldChar w:fldCharType="end"/>
            </w:r>
          </w:hyperlink>
        </w:p>
        <w:p w14:paraId="78479CE4" w14:textId="690AC22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12" w:history="1">
            <w:r w:rsidRPr="001D4C20">
              <w:rPr>
                <w:rStyle w:val="Lienhypertexte"/>
                <w:noProof/>
              </w:rPr>
              <w:t>55.21.8g Portes intérieures en bois massif + isolant + finition PVC CCTB 01.10</w:t>
            </w:r>
            <w:r>
              <w:rPr>
                <w:noProof/>
                <w:webHidden/>
              </w:rPr>
              <w:tab/>
            </w:r>
            <w:r>
              <w:rPr>
                <w:noProof/>
                <w:webHidden/>
              </w:rPr>
              <w:fldChar w:fldCharType="begin"/>
            </w:r>
            <w:r>
              <w:rPr>
                <w:noProof/>
                <w:webHidden/>
              </w:rPr>
              <w:instrText xml:space="preserve"> PAGEREF _Toc220491212 \h </w:instrText>
            </w:r>
            <w:r>
              <w:rPr>
                <w:noProof/>
                <w:webHidden/>
              </w:rPr>
            </w:r>
            <w:r>
              <w:rPr>
                <w:noProof/>
                <w:webHidden/>
              </w:rPr>
              <w:fldChar w:fldCharType="separate"/>
            </w:r>
            <w:r>
              <w:rPr>
                <w:noProof/>
                <w:webHidden/>
              </w:rPr>
              <w:t>626</w:t>
            </w:r>
            <w:r>
              <w:rPr>
                <w:noProof/>
                <w:webHidden/>
              </w:rPr>
              <w:fldChar w:fldCharType="end"/>
            </w:r>
          </w:hyperlink>
        </w:p>
        <w:p w14:paraId="6E5ACAE4" w14:textId="6ECB0F4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13" w:history="1">
            <w:r w:rsidRPr="001D4C20">
              <w:rPr>
                <w:rStyle w:val="Lienhypertexte"/>
                <w:noProof/>
              </w:rPr>
              <w:t>55.21.8h Portes intérieures en bois lamellé collé + isolant + finition PVC CCTB 01.10</w:t>
            </w:r>
            <w:r>
              <w:rPr>
                <w:noProof/>
                <w:webHidden/>
              </w:rPr>
              <w:tab/>
            </w:r>
            <w:r>
              <w:rPr>
                <w:noProof/>
                <w:webHidden/>
              </w:rPr>
              <w:fldChar w:fldCharType="begin"/>
            </w:r>
            <w:r>
              <w:rPr>
                <w:noProof/>
                <w:webHidden/>
              </w:rPr>
              <w:instrText xml:space="preserve"> PAGEREF _Toc220491213 \h </w:instrText>
            </w:r>
            <w:r>
              <w:rPr>
                <w:noProof/>
                <w:webHidden/>
              </w:rPr>
            </w:r>
            <w:r>
              <w:rPr>
                <w:noProof/>
                <w:webHidden/>
              </w:rPr>
              <w:fldChar w:fldCharType="separate"/>
            </w:r>
            <w:r>
              <w:rPr>
                <w:noProof/>
                <w:webHidden/>
              </w:rPr>
              <w:t>629</w:t>
            </w:r>
            <w:r>
              <w:rPr>
                <w:noProof/>
                <w:webHidden/>
              </w:rPr>
              <w:fldChar w:fldCharType="end"/>
            </w:r>
          </w:hyperlink>
        </w:p>
        <w:p w14:paraId="2C26749B" w14:textId="297B23E7"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214" w:history="1">
            <w:r w:rsidRPr="001D4C20">
              <w:rPr>
                <w:rStyle w:val="Lienhypertexte"/>
                <w:noProof/>
              </w:rPr>
              <w:t>55.22 Portes intérieures métalliques CCTB 01.10</w:t>
            </w:r>
            <w:r>
              <w:rPr>
                <w:noProof/>
                <w:webHidden/>
              </w:rPr>
              <w:tab/>
            </w:r>
            <w:r>
              <w:rPr>
                <w:noProof/>
                <w:webHidden/>
              </w:rPr>
              <w:fldChar w:fldCharType="begin"/>
            </w:r>
            <w:r>
              <w:rPr>
                <w:noProof/>
                <w:webHidden/>
              </w:rPr>
              <w:instrText xml:space="preserve"> PAGEREF _Toc220491214 \h </w:instrText>
            </w:r>
            <w:r>
              <w:rPr>
                <w:noProof/>
                <w:webHidden/>
              </w:rPr>
            </w:r>
            <w:r>
              <w:rPr>
                <w:noProof/>
                <w:webHidden/>
              </w:rPr>
              <w:fldChar w:fldCharType="separate"/>
            </w:r>
            <w:r>
              <w:rPr>
                <w:noProof/>
                <w:webHidden/>
              </w:rPr>
              <w:t>632</w:t>
            </w:r>
            <w:r>
              <w:rPr>
                <w:noProof/>
                <w:webHidden/>
              </w:rPr>
              <w:fldChar w:fldCharType="end"/>
            </w:r>
          </w:hyperlink>
        </w:p>
        <w:p w14:paraId="5A5427D0" w14:textId="19EBCFF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15" w:history="1">
            <w:r w:rsidRPr="001D4C20">
              <w:rPr>
                <w:rStyle w:val="Lienhypertexte"/>
                <w:noProof/>
              </w:rPr>
              <w:t>55.22.1 Portes intérieures en acier CCTB 01.10</w:t>
            </w:r>
            <w:r>
              <w:rPr>
                <w:noProof/>
                <w:webHidden/>
              </w:rPr>
              <w:tab/>
            </w:r>
            <w:r>
              <w:rPr>
                <w:noProof/>
                <w:webHidden/>
              </w:rPr>
              <w:fldChar w:fldCharType="begin"/>
            </w:r>
            <w:r>
              <w:rPr>
                <w:noProof/>
                <w:webHidden/>
              </w:rPr>
              <w:instrText xml:space="preserve"> PAGEREF _Toc220491215 \h </w:instrText>
            </w:r>
            <w:r>
              <w:rPr>
                <w:noProof/>
                <w:webHidden/>
              </w:rPr>
            </w:r>
            <w:r>
              <w:rPr>
                <w:noProof/>
                <w:webHidden/>
              </w:rPr>
              <w:fldChar w:fldCharType="separate"/>
            </w:r>
            <w:r>
              <w:rPr>
                <w:noProof/>
                <w:webHidden/>
              </w:rPr>
              <w:t>632</w:t>
            </w:r>
            <w:r>
              <w:rPr>
                <w:noProof/>
                <w:webHidden/>
              </w:rPr>
              <w:fldChar w:fldCharType="end"/>
            </w:r>
          </w:hyperlink>
        </w:p>
        <w:p w14:paraId="698837AB" w14:textId="2D3020C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16" w:history="1">
            <w:r w:rsidRPr="001D4C20">
              <w:rPr>
                <w:rStyle w:val="Lienhypertexte"/>
                <w:noProof/>
              </w:rPr>
              <w:t>55.22.1a Portes intérieures en acier SANS coupure thermique CCTB 01.10</w:t>
            </w:r>
            <w:r>
              <w:rPr>
                <w:noProof/>
                <w:webHidden/>
              </w:rPr>
              <w:tab/>
            </w:r>
            <w:r>
              <w:rPr>
                <w:noProof/>
                <w:webHidden/>
              </w:rPr>
              <w:fldChar w:fldCharType="begin"/>
            </w:r>
            <w:r>
              <w:rPr>
                <w:noProof/>
                <w:webHidden/>
              </w:rPr>
              <w:instrText xml:space="preserve"> PAGEREF _Toc220491216 \h </w:instrText>
            </w:r>
            <w:r>
              <w:rPr>
                <w:noProof/>
                <w:webHidden/>
              </w:rPr>
            </w:r>
            <w:r>
              <w:rPr>
                <w:noProof/>
                <w:webHidden/>
              </w:rPr>
              <w:fldChar w:fldCharType="separate"/>
            </w:r>
            <w:r>
              <w:rPr>
                <w:noProof/>
                <w:webHidden/>
              </w:rPr>
              <w:t>634</w:t>
            </w:r>
            <w:r>
              <w:rPr>
                <w:noProof/>
                <w:webHidden/>
              </w:rPr>
              <w:fldChar w:fldCharType="end"/>
            </w:r>
          </w:hyperlink>
        </w:p>
        <w:p w14:paraId="29CC848C" w14:textId="34FE9DE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17" w:history="1">
            <w:r w:rsidRPr="001D4C20">
              <w:rPr>
                <w:rStyle w:val="Lienhypertexte"/>
                <w:noProof/>
              </w:rPr>
              <w:t>55.22.1b Portes intérieures en acier AVEC coupure thermique CCTB 01.07</w:t>
            </w:r>
            <w:r>
              <w:rPr>
                <w:noProof/>
                <w:webHidden/>
              </w:rPr>
              <w:tab/>
            </w:r>
            <w:r>
              <w:rPr>
                <w:noProof/>
                <w:webHidden/>
              </w:rPr>
              <w:fldChar w:fldCharType="begin"/>
            </w:r>
            <w:r>
              <w:rPr>
                <w:noProof/>
                <w:webHidden/>
              </w:rPr>
              <w:instrText xml:space="preserve"> PAGEREF _Toc220491217 \h </w:instrText>
            </w:r>
            <w:r>
              <w:rPr>
                <w:noProof/>
                <w:webHidden/>
              </w:rPr>
            </w:r>
            <w:r>
              <w:rPr>
                <w:noProof/>
                <w:webHidden/>
              </w:rPr>
              <w:fldChar w:fldCharType="separate"/>
            </w:r>
            <w:r>
              <w:rPr>
                <w:noProof/>
                <w:webHidden/>
              </w:rPr>
              <w:t>637</w:t>
            </w:r>
            <w:r>
              <w:rPr>
                <w:noProof/>
                <w:webHidden/>
              </w:rPr>
              <w:fldChar w:fldCharType="end"/>
            </w:r>
          </w:hyperlink>
        </w:p>
        <w:p w14:paraId="2605B824" w14:textId="6C16671F"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18" w:history="1">
            <w:r w:rsidRPr="001D4C20">
              <w:rPr>
                <w:rStyle w:val="Lienhypertexte"/>
                <w:noProof/>
              </w:rPr>
              <w:t>55.22.2 Portes intérieures en aluminium CCTB 01.02</w:t>
            </w:r>
            <w:r>
              <w:rPr>
                <w:noProof/>
                <w:webHidden/>
              </w:rPr>
              <w:tab/>
            </w:r>
            <w:r>
              <w:rPr>
                <w:noProof/>
                <w:webHidden/>
              </w:rPr>
              <w:fldChar w:fldCharType="begin"/>
            </w:r>
            <w:r>
              <w:rPr>
                <w:noProof/>
                <w:webHidden/>
              </w:rPr>
              <w:instrText xml:space="preserve"> PAGEREF _Toc220491218 \h </w:instrText>
            </w:r>
            <w:r>
              <w:rPr>
                <w:noProof/>
                <w:webHidden/>
              </w:rPr>
            </w:r>
            <w:r>
              <w:rPr>
                <w:noProof/>
                <w:webHidden/>
              </w:rPr>
              <w:fldChar w:fldCharType="separate"/>
            </w:r>
            <w:r>
              <w:rPr>
                <w:noProof/>
                <w:webHidden/>
              </w:rPr>
              <w:t>640</w:t>
            </w:r>
            <w:r>
              <w:rPr>
                <w:noProof/>
                <w:webHidden/>
              </w:rPr>
              <w:fldChar w:fldCharType="end"/>
            </w:r>
          </w:hyperlink>
        </w:p>
        <w:p w14:paraId="44760948" w14:textId="4AEA6D8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19" w:history="1">
            <w:r w:rsidRPr="001D4C20">
              <w:rPr>
                <w:rStyle w:val="Lienhypertexte"/>
                <w:noProof/>
              </w:rPr>
              <w:t>55.22.2a Portes intérieures en aluminium SANS coupure thermique CCTB 01.10</w:t>
            </w:r>
            <w:r>
              <w:rPr>
                <w:noProof/>
                <w:webHidden/>
              </w:rPr>
              <w:tab/>
            </w:r>
            <w:r>
              <w:rPr>
                <w:noProof/>
                <w:webHidden/>
              </w:rPr>
              <w:fldChar w:fldCharType="begin"/>
            </w:r>
            <w:r>
              <w:rPr>
                <w:noProof/>
                <w:webHidden/>
              </w:rPr>
              <w:instrText xml:space="preserve"> PAGEREF _Toc220491219 \h </w:instrText>
            </w:r>
            <w:r>
              <w:rPr>
                <w:noProof/>
                <w:webHidden/>
              </w:rPr>
            </w:r>
            <w:r>
              <w:rPr>
                <w:noProof/>
                <w:webHidden/>
              </w:rPr>
              <w:fldChar w:fldCharType="separate"/>
            </w:r>
            <w:r>
              <w:rPr>
                <w:noProof/>
                <w:webHidden/>
              </w:rPr>
              <w:t>640</w:t>
            </w:r>
            <w:r>
              <w:rPr>
                <w:noProof/>
                <w:webHidden/>
              </w:rPr>
              <w:fldChar w:fldCharType="end"/>
            </w:r>
          </w:hyperlink>
        </w:p>
        <w:p w14:paraId="7F4EDE94" w14:textId="3C14BA4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20" w:history="1">
            <w:r w:rsidRPr="001D4C20">
              <w:rPr>
                <w:rStyle w:val="Lienhypertexte"/>
                <w:noProof/>
              </w:rPr>
              <w:t>55.22.2b Portes intérieures en aluminium AVEC coupure thermique CCTB 01.12</w:t>
            </w:r>
            <w:r>
              <w:rPr>
                <w:noProof/>
                <w:webHidden/>
              </w:rPr>
              <w:tab/>
            </w:r>
            <w:r>
              <w:rPr>
                <w:noProof/>
                <w:webHidden/>
              </w:rPr>
              <w:fldChar w:fldCharType="begin"/>
            </w:r>
            <w:r>
              <w:rPr>
                <w:noProof/>
                <w:webHidden/>
              </w:rPr>
              <w:instrText xml:space="preserve"> PAGEREF _Toc220491220 \h </w:instrText>
            </w:r>
            <w:r>
              <w:rPr>
                <w:noProof/>
                <w:webHidden/>
              </w:rPr>
            </w:r>
            <w:r>
              <w:rPr>
                <w:noProof/>
                <w:webHidden/>
              </w:rPr>
              <w:fldChar w:fldCharType="separate"/>
            </w:r>
            <w:r>
              <w:rPr>
                <w:noProof/>
                <w:webHidden/>
              </w:rPr>
              <w:t>643</w:t>
            </w:r>
            <w:r>
              <w:rPr>
                <w:noProof/>
                <w:webHidden/>
              </w:rPr>
              <w:fldChar w:fldCharType="end"/>
            </w:r>
          </w:hyperlink>
        </w:p>
        <w:p w14:paraId="0FBDC24A" w14:textId="03062407"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221" w:history="1">
            <w:r w:rsidRPr="001D4C20">
              <w:rPr>
                <w:rStyle w:val="Lienhypertexte"/>
                <w:noProof/>
              </w:rPr>
              <w:t>55.23 Portes intérieures en PVC CCTB 01.10</w:t>
            </w:r>
            <w:r>
              <w:rPr>
                <w:noProof/>
                <w:webHidden/>
              </w:rPr>
              <w:tab/>
            </w:r>
            <w:r>
              <w:rPr>
                <w:noProof/>
                <w:webHidden/>
              </w:rPr>
              <w:fldChar w:fldCharType="begin"/>
            </w:r>
            <w:r>
              <w:rPr>
                <w:noProof/>
                <w:webHidden/>
              </w:rPr>
              <w:instrText xml:space="preserve"> PAGEREF _Toc220491221 \h </w:instrText>
            </w:r>
            <w:r>
              <w:rPr>
                <w:noProof/>
                <w:webHidden/>
              </w:rPr>
            </w:r>
            <w:r>
              <w:rPr>
                <w:noProof/>
                <w:webHidden/>
              </w:rPr>
              <w:fldChar w:fldCharType="separate"/>
            </w:r>
            <w:r>
              <w:rPr>
                <w:noProof/>
                <w:webHidden/>
              </w:rPr>
              <w:t>645</w:t>
            </w:r>
            <w:r>
              <w:rPr>
                <w:noProof/>
                <w:webHidden/>
              </w:rPr>
              <w:fldChar w:fldCharType="end"/>
            </w:r>
          </w:hyperlink>
        </w:p>
        <w:p w14:paraId="7DD3415C" w14:textId="3E2F09C5"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22" w:history="1">
            <w:r w:rsidRPr="001D4C20">
              <w:rPr>
                <w:rStyle w:val="Lienhypertexte"/>
                <w:noProof/>
              </w:rPr>
              <w:t>55.23.1 Portes intérieures en PVC CCTB 01.02</w:t>
            </w:r>
            <w:r>
              <w:rPr>
                <w:noProof/>
                <w:webHidden/>
              </w:rPr>
              <w:tab/>
            </w:r>
            <w:r>
              <w:rPr>
                <w:noProof/>
                <w:webHidden/>
              </w:rPr>
              <w:fldChar w:fldCharType="begin"/>
            </w:r>
            <w:r>
              <w:rPr>
                <w:noProof/>
                <w:webHidden/>
              </w:rPr>
              <w:instrText xml:space="preserve"> PAGEREF _Toc220491222 \h </w:instrText>
            </w:r>
            <w:r>
              <w:rPr>
                <w:noProof/>
                <w:webHidden/>
              </w:rPr>
            </w:r>
            <w:r>
              <w:rPr>
                <w:noProof/>
                <w:webHidden/>
              </w:rPr>
              <w:fldChar w:fldCharType="separate"/>
            </w:r>
            <w:r>
              <w:rPr>
                <w:noProof/>
                <w:webHidden/>
              </w:rPr>
              <w:t>645</w:t>
            </w:r>
            <w:r>
              <w:rPr>
                <w:noProof/>
                <w:webHidden/>
              </w:rPr>
              <w:fldChar w:fldCharType="end"/>
            </w:r>
          </w:hyperlink>
        </w:p>
        <w:p w14:paraId="2C7F5445" w14:textId="08E2E7C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23" w:history="1">
            <w:r w:rsidRPr="001D4C20">
              <w:rPr>
                <w:rStyle w:val="Lienhypertexte"/>
                <w:noProof/>
              </w:rPr>
              <w:t>55.23.1a Portes intérieures en PVC CCTB 01.10</w:t>
            </w:r>
            <w:r>
              <w:rPr>
                <w:noProof/>
                <w:webHidden/>
              </w:rPr>
              <w:tab/>
            </w:r>
            <w:r>
              <w:rPr>
                <w:noProof/>
                <w:webHidden/>
              </w:rPr>
              <w:fldChar w:fldCharType="begin"/>
            </w:r>
            <w:r>
              <w:rPr>
                <w:noProof/>
                <w:webHidden/>
              </w:rPr>
              <w:instrText xml:space="preserve"> PAGEREF _Toc220491223 \h </w:instrText>
            </w:r>
            <w:r>
              <w:rPr>
                <w:noProof/>
                <w:webHidden/>
              </w:rPr>
            </w:r>
            <w:r>
              <w:rPr>
                <w:noProof/>
                <w:webHidden/>
              </w:rPr>
              <w:fldChar w:fldCharType="separate"/>
            </w:r>
            <w:r>
              <w:rPr>
                <w:noProof/>
                <w:webHidden/>
              </w:rPr>
              <w:t>645</w:t>
            </w:r>
            <w:r>
              <w:rPr>
                <w:noProof/>
                <w:webHidden/>
              </w:rPr>
              <w:fldChar w:fldCharType="end"/>
            </w:r>
          </w:hyperlink>
        </w:p>
        <w:p w14:paraId="2BD099A2" w14:textId="41975074"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224" w:history="1">
            <w:r w:rsidRPr="001D4C20">
              <w:rPr>
                <w:rStyle w:val="Lienhypertexte"/>
                <w:noProof/>
              </w:rPr>
              <w:t>55.24 Portes intérieures en PUR CCTB 01.02</w:t>
            </w:r>
            <w:r>
              <w:rPr>
                <w:noProof/>
                <w:webHidden/>
              </w:rPr>
              <w:tab/>
            </w:r>
            <w:r>
              <w:rPr>
                <w:noProof/>
                <w:webHidden/>
              </w:rPr>
              <w:fldChar w:fldCharType="begin"/>
            </w:r>
            <w:r>
              <w:rPr>
                <w:noProof/>
                <w:webHidden/>
              </w:rPr>
              <w:instrText xml:space="preserve"> PAGEREF _Toc220491224 \h </w:instrText>
            </w:r>
            <w:r>
              <w:rPr>
                <w:noProof/>
                <w:webHidden/>
              </w:rPr>
            </w:r>
            <w:r>
              <w:rPr>
                <w:noProof/>
                <w:webHidden/>
              </w:rPr>
              <w:fldChar w:fldCharType="separate"/>
            </w:r>
            <w:r>
              <w:rPr>
                <w:noProof/>
                <w:webHidden/>
              </w:rPr>
              <w:t>647</w:t>
            </w:r>
            <w:r>
              <w:rPr>
                <w:noProof/>
                <w:webHidden/>
              </w:rPr>
              <w:fldChar w:fldCharType="end"/>
            </w:r>
          </w:hyperlink>
        </w:p>
        <w:p w14:paraId="7CA2A906" w14:textId="55F64310"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25" w:history="1">
            <w:r w:rsidRPr="001D4C20">
              <w:rPr>
                <w:rStyle w:val="Lienhypertexte"/>
                <w:noProof/>
              </w:rPr>
              <w:t>55.24.1 Portes intérieures en PUR CCTB 01.02</w:t>
            </w:r>
            <w:r>
              <w:rPr>
                <w:noProof/>
                <w:webHidden/>
              </w:rPr>
              <w:tab/>
            </w:r>
            <w:r>
              <w:rPr>
                <w:noProof/>
                <w:webHidden/>
              </w:rPr>
              <w:fldChar w:fldCharType="begin"/>
            </w:r>
            <w:r>
              <w:rPr>
                <w:noProof/>
                <w:webHidden/>
              </w:rPr>
              <w:instrText xml:space="preserve"> PAGEREF _Toc220491225 \h </w:instrText>
            </w:r>
            <w:r>
              <w:rPr>
                <w:noProof/>
                <w:webHidden/>
              </w:rPr>
            </w:r>
            <w:r>
              <w:rPr>
                <w:noProof/>
                <w:webHidden/>
              </w:rPr>
              <w:fldChar w:fldCharType="separate"/>
            </w:r>
            <w:r>
              <w:rPr>
                <w:noProof/>
                <w:webHidden/>
              </w:rPr>
              <w:t>647</w:t>
            </w:r>
            <w:r>
              <w:rPr>
                <w:noProof/>
                <w:webHidden/>
              </w:rPr>
              <w:fldChar w:fldCharType="end"/>
            </w:r>
          </w:hyperlink>
        </w:p>
        <w:p w14:paraId="073B4ED5" w14:textId="01566E4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26" w:history="1">
            <w:r w:rsidRPr="001D4C20">
              <w:rPr>
                <w:rStyle w:val="Lienhypertexte"/>
                <w:noProof/>
              </w:rPr>
              <w:t>55.24.1a Portes intérieures en PUR CCTB 01.11</w:t>
            </w:r>
            <w:r>
              <w:rPr>
                <w:noProof/>
                <w:webHidden/>
              </w:rPr>
              <w:tab/>
            </w:r>
            <w:r>
              <w:rPr>
                <w:noProof/>
                <w:webHidden/>
              </w:rPr>
              <w:fldChar w:fldCharType="begin"/>
            </w:r>
            <w:r>
              <w:rPr>
                <w:noProof/>
                <w:webHidden/>
              </w:rPr>
              <w:instrText xml:space="preserve"> PAGEREF _Toc220491226 \h </w:instrText>
            </w:r>
            <w:r>
              <w:rPr>
                <w:noProof/>
                <w:webHidden/>
              </w:rPr>
            </w:r>
            <w:r>
              <w:rPr>
                <w:noProof/>
                <w:webHidden/>
              </w:rPr>
              <w:fldChar w:fldCharType="separate"/>
            </w:r>
            <w:r>
              <w:rPr>
                <w:noProof/>
                <w:webHidden/>
              </w:rPr>
              <w:t>647</w:t>
            </w:r>
            <w:r>
              <w:rPr>
                <w:noProof/>
                <w:webHidden/>
              </w:rPr>
              <w:fldChar w:fldCharType="end"/>
            </w:r>
          </w:hyperlink>
        </w:p>
        <w:p w14:paraId="094BFA67" w14:textId="3343C3B9"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227" w:history="1">
            <w:r w:rsidRPr="001D4C20">
              <w:rPr>
                <w:rStyle w:val="Lienhypertexte"/>
                <w:noProof/>
              </w:rPr>
              <w:t>55.25 Portes intérieures en verre CCTB 01.02</w:t>
            </w:r>
            <w:r>
              <w:rPr>
                <w:noProof/>
                <w:webHidden/>
              </w:rPr>
              <w:tab/>
            </w:r>
            <w:r>
              <w:rPr>
                <w:noProof/>
                <w:webHidden/>
              </w:rPr>
              <w:fldChar w:fldCharType="begin"/>
            </w:r>
            <w:r>
              <w:rPr>
                <w:noProof/>
                <w:webHidden/>
              </w:rPr>
              <w:instrText xml:space="preserve"> PAGEREF _Toc220491227 \h </w:instrText>
            </w:r>
            <w:r>
              <w:rPr>
                <w:noProof/>
                <w:webHidden/>
              </w:rPr>
            </w:r>
            <w:r>
              <w:rPr>
                <w:noProof/>
                <w:webHidden/>
              </w:rPr>
              <w:fldChar w:fldCharType="separate"/>
            </w:r>
            <w:r>
              <w:rPr>
                <w:noProof/>
                <w:webHidden/>
              </w:rPr>
              <w:t>650</w:t>
            </w:r>
            <w:r>
              <w:rPr>
                <w:noProof/>
                <w:webHidden/>
              </w:rPr>
              <w:fldChar w:fldCharType="end"/>
            </w:r>
          </w:hyperlink>
        </w:p>
        <w:p w14:paraId="42D1FDA9" w14:textId="3FC6C2B1"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28" w:history="1">
            <w:r w:rsidRPr="001D4C20">
              <w:rPr>
                <w:rStyle w:val="Lienhypertexte"/>
                <w:noProof/>
              </w:rPr>
              <w:t>55.25.1 Portes intérieures en verre CCTB 01.02</w:t>
            </w:r>
            <w:r>
              <w:rPr>
                <w:noProof/>
                <w:webHidden/>
              </w:rPr>
              <w:tab/>
            </w:r>
            <w:r>
              <w:rPr>
                <w:noProof/>
                <w:webHidden/>
              </w:rPr>
              <w:fldChar w:fldCharType="begin"/>
            </w:r>
            <w:r>
              <w:rPr>
                <w:noProof/>
                <w:webHidden/>
              </w:rPr>
              <w:instrText xml:space="preserve"> PAGEREF _Toc220491228 \h </w:instrText>
            </w:r>
            <w:r>
              <w:rPr>
                <w:noProof/>
                <w:webHidden/>
              </w:rPr>
            </w:r>
            <w:r>
              <w:rPr>
                <w:noProof/>
                <w:webHidden/>
              </w:rPr>
              <w:fldChar w:fldCharType="separate"/>
            </w:r>
            <w:r>
              <w:rPr>
                <w:noProof/>
                <w:webHidden/>
              </w:rPr>
              <w:t>650</w:t>
            </w:r>
            <w:r>
              <w:rPr>
                <w:noProof/>
                <w:webHidden/>
              </w:rPr>
              <w:fldChar w:fldCharType="end"/>
            </w:r>
          </w:hyperlink>
        </w:p>
        <w:p w14:paraId="0CFD17BC" w14:textId="5DA0B77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29" w:history="1">
            <w:r w:rsidRPr="001D4C20">
              <w:rPr>
                <w:rStyle w:val="Lienhypertexte"/>
                <w:noProof/>
              </w:rPr>
              <w:t>55.25.1a Portes intérieures en verre CCTB 01.10</w:t>
            </w:r>
            <w:r>
              <w:rPr>
                <w:noProof/>
                <w:webHidden/>
              </w:rPr>
              <w:tab/>
            </w:r>
            <w:r>
              <w:rPr>
                <w:noProof/>
                <w:webHidden/>
              </w:rPr>
              <w:fldChar w:fldCharType="begin"/>
            </w:r>
            <w:r>
              <w:rPr>
                <w:noProof/>
                <w:webHidden/>
              </w:rPr>
              <w:instrText xml:space="preserve"> PAGEREF _Toc220491229 \h </w:instrText>
            </w:r>
            <w:r>
              <w:rPr>
                <w:noProof/>
                <w:webHidden/>
              </w:rPr>
            </w:r>
            <w:r>
              <w:rPr>
                <w:noProof/>
                <w:webHidden/>
              </w:rPr>
              <w:fldChar w:fldCharType="separate"/>
            </w:r>
            <w:r>
              <w:rPr>
                <w:noProof/>
                <w:webHidden/>
              </w:rPr>
              <w:t>650</w:t>
            </w:r>
            <w:r>
              <w:rPr>
                <w:noProof/>
                <w:webHidden/>
              </w:rPr>
              <w:fldChar w:fldCharType="end"/>
            </w:r>
          </w:hyperlink>
        </w:p>
        <w:p w14:paraId="64844AE1" w14:textId="6010E730"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230" w:history="1">
            <w:r w:rsidRPr="001D4C20">
              <w:rPr>
                <w:rStyle w:val="Lienhypertexte"/>
                <w:noProof/>
              </w:rPr>
              <w:t>55.26 Portes intérieures matériaux composites CCTB 01.02</w:t>
            </w:r>
            <w:r>
              <w:rPr>
                <w:noProof/>
                <w:webHidden/>
              </w:rPr>
              <w:tab/>
            </w:r>
            <w:r>
              <w:rPr>
                <w:noProof/>
                <w:webHidden/>
              </w:rPr>
              <w:fldChar w:fldCharType="begin"/>
            </w:r>
            <w:r>
              <w:rPr>
                <w:noProof/>
                <w:webHidden/>
              </w:rPr>
              <w:instrText xml:space="preserve"> PAGEREF _Toc220491230 \h </w:instrText>
            </w:r>
            <w:r>
              <w:rPr>
                <w:noProof/>
                <w:webHidden/>
              </w:rPr>
            </w:r>
            <w:r>
              <w:rPr>
                <w:noProof/>
                <w:webHidden/>
              </w:rPr>
              <w:fldChar w:fldCharType="separate"/>
            </w:r>
            <w:r>
              <w:rPr>
                <w:noProof/>
                <w:webHidden/>
              </w:rPr>
              <w:t>653</w:t>
            </w:r>
            <w:r>
              <w:rPr>
                <w:noProof/>
                <w:webHidden/>
              </w:rPr>
              <w:fldChar w:fldCharType="end"/>
            </w:r>
          </w:hyperlink>
        </w:p>
        <w:p w14:paraId="423993CC" w14:textId="2C674CBE"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31" w:history="1">
            <w:r w:rsidRPr="001D4C20">
              <w:rPr>
                <w:rStyle w:val="Lienhypertexte"/>
                <w:noProof/>
              </w:rPr>
              <w:t>55.26.1 Portes intérieures en mélange PVC/bois (dans la masse) CCTB 01.02</w:t>
            </w:r>
            <w:r>
              <w:rPr>
                <w:noProof/>
                <w:webHidden/>
              </w:rPr>
              <w:tab/>
            </w:r>
            <w:r>
              <w:rPr>
                <w:noProof/>
                <w:webHidden/>
              </w:rPr>
              <w:fldChar w:fldCharType="begin"/>
            </w:r>
            <w:r>
              <w:rPr>
                <w:noProof/>
                <w:webHidden/>
              </w:rPr>
              <w:instrText xml:space="preserve"> PAGEREF _Toc220491231 \h </w:instrText>
            </w:r>
            <w:r>
              <w:rPr>
                <w:noProof/>
                <w:webHidden/>
              </w:rPr>
            </w:r>
            <w:r>
              <w:rPr>
                <w:noProof/>
                <w:webHidden/>
              </w:rPr>
              <w:fldChar w:fldCharType="separate"/>
            </w:r>
            <w:r>
              <w:rPr>
                <w:noProof/>
                <w:webHidden/>
              </w:rPr>
              <w:t>653</w:t>
            </w:r>
            <w:r>
              <w:rPr>
                <w:noProof/>
                <w:webHidden/>
              </w:rPr>
              <w:fldChar w:fldCharType="end"/>
            </w:r>
          </w:hyperlink>
        </w:p>
        <w:p w14:paraId="35E7CED4" w14:textId="6C23CD8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32" w:history="1">
            <w:r w:rsidRPr="001D4C20">
              <w:rPr>
                <w:rStyle w:val="Lienhypertexte"/>
                <w:noProof/>
              </w:rPr>
              <w:t>55.26.1a Portes intérieures en mélange PVC/bois (dans la masse) CCTB 01.10</w:t>
            </w:r>
            <w:r>
              <w:rPr>
                <w:noProof/>
                <w:webHidden/>
              </w:rPr>
              <w:tab/>
            </w:r>
            <w:r>
              <w:rPr>
                <w:noProof/>
                <w:webHidden/>
              </w:rPr>
              <w:fldChar w:fldCharType="begin"/>
            </w:r>
            <w:r>
              <w:rPr>
                <w:noProof/>
                <w:webHidden/>
              </w:rPr>
              <w:instrText xml:space="preserve"> PAGEREF _Toc220491232 \h </w:instrText>
            </w:r>
            <w:r>
              <w:rPr>
                <w:noProof/>
                <w:webHidden/>
              </w:rPr>
            </w:r>
            <w:r>
              <w:rPr>
                <w:noProof/>
                <w:webHidden/>
              </w:rPr>
              <w:fldChar w:fldCharType="separate"/>
            </w:r>
            <w:r>
              <w:rPr>
                <w:noProof/>
                <w:webHidden/>
              </w:rPr>
              <w:t>653</w:t>
            </w:r>
            <w:r>
              <w:rPr>
                <w:noProof/>
                <w:webHidden/>
              </w:rPr>
              <w:fldChar w:fldCharType="end"/>
            </w:r>
          </w:hyperlink>
        </w:p>
        <w:p w14:paraId="18F66D11" w14:textId="2D90AFF2"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233" w:history="1">
            <w:r w:rsidRPr="001D4C20">
              <w:rPr>
                <w:rStyle w:val="Lienhypertexte"/>
                <w:noProof/>
              </w:rPr>
              <w:t>55.3 Portes intérieures à système CCTB 01.02</w:t>
            </w:r>
            <w:r>
              <w:rPr>
                <w:noProof/>
                <w:webHidden/>
              </w:rPr>
              <w:tab/>
            </w:r>
            <w:r>
              <w:rPr>
                <w:noProof/>
                <w:webHidden/>
              </w:rPr>
              <w:fldChar w:fldCharType="begin"/>
            </w:r>
            <w:r>
              <w:rPr>
                <w:noProof/>
                <w:webHidden/>
              </w:rPr>
              <w:instrText xml:space="preserve"> PAGEREF _Toc220491233 \h </w:instrText>
            </w:r>
            <w:r>
              <w:rPr>
                <w:noProof/>
                <w:webHidden/>
              </w:rPr>
            </w:r>
            <w:r>
              <w:rPr>
                <w:noProof/>
                <w:webHidden/>
              </w:rPr>
              <w:fldChar w:fldCharType="separate"/>
            </w:r>
            <w:r>
              <w:rPr>
                <w:noProof/>
                <w:webHidden/>
              </w:rPr>
              <w:t>655</w:t>
            </w:r>
            <w:r>
              <w:rPr>
                <w:noProof/>
                <w:webHidden/>
              </w:rPr>
              <w:fldChar w:fldCharType="end"/>
            </w:r>
          </w:hyperlink>
        </w:p>
        <w:p w14:paraId="40C2D4AE" w14:textId="6E8ED41F"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234" w:history="1">
            <w:r w:rsidRPr="001D4C20">
              <w:rPr>
                <w:rStyle w:val="Lienhypertexte"/>
                <w:noProof/>
              </w:rPr>
              <w:t>55.31 Portes intérieures, à tambour CCTB 01.02</w:t>
            </w:r>
            <w:r>
              <w:rPr>
                <w:noProof/>
                <w:webHidden/>
              </w:rPr>
              <w:tab/>
            </w:r>
            <w:r>
              <w:rPr>
                <w:noProof/>
                <w:webHidden/>
              </w:rPr>
              <w:fldChar w:fldCharType="begin"/>
            </w:r>
            <w:r>
              <w:rPr>
                <w:noProof/>
                <w:webHidden/>
              </w:rPr>
              <w:instrText xml:space="preserve"> PAGEREF _Toc220491234 \h </w:instrText>
            </w:r>
            <w:r>
              <w:rPr>
                <w:noProof/>
                <w:webHidden/>
              </w:rPr>
            </w:r>
            <w:r>
              <w:rPr>
                <w:noProof/>
                <w:webHidden/>
              </w:rPr>
              <w:fldChar w:fldCharType="separate"/>
            </w:r>
            <w:r>
              <w:rPr>
                <w:noProof/>
                <w:webHidden/>
              </w:rPr>
              <w:t>655</w:t>
            </w:r>
            <w:r>
              <w:rPr>
                <w:noProof/>
                <w:webHidden/>
              </w:rPr>
              <w:fldChar w:fldCharType="end"/>
            </w:r>
          </w:hyperlink>
        </w:p>
        <w:p w14:paraId="0D65F733" w14:textId="77611D6E"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35" w:history="1">
            <w:r w:rsidRPr="001D4C20">
              <w:rPr>
                <w:rStyle w:val="Lienhypertexte"/>
                <w:noProof/>
              </w:rPr>
              <w:t>55.31.1 Portes intérieures, à tambour, en bois CCTB 01.02</w:t>
            </w:r>
            <w:r>
              <w:rPr>
                <w:noProof/>
                <w:webHidden/>
              </w:rPr>
              <w:tab/>
            </w:r>
            <w:r>
              <w:rPr>
                <w:noProof/>
                <w:webHidden/>
              </w:rPr>
              <w:fldChar w:fldCharType="begin"/>
            </w:r>
            <w:r>
              <w:rPr>
                <w:noProof/>
                <w:webHidden/>
              </w:rPr>
              <w:instrText xml:space="preserve"> PAGEREF _Toc220491235 \h </w:instrText>
            </w:r>
            <w:r>
              <w:rPr>
                <w:noProof/>
                <w:webHidden/>
              </w:rPr>
            </w:r>
            <w:r>
              <w:rPr>
                <w:noProof/>
                <w:webHidden/>
              </w:rPr>
              <w:fldChar w:fldCharType="separate"/>
            </w:r>
            <w:r>
              <w:rPr>
                <w:noProof/>
                <w:webHidden/>
              </w:rPr>
              <w:t>655</w:t>
            </w:r>
            <w:r>
              <w:rPr>
                <w:noProof/>
                <w:webHidden/>
              </w:rPr>
              <w:fldChar w:fldCharType="end"/>
            </w:r>
          </w:hyperlink>
        </w:p>
        <w:p w14:paraId="1BC906CB" w14:textId="669D653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36" w:history="1">
            <w:r w:rsidRPr="001D4C20">
              <w:rPr>
                <w:rStyle w:val="Lienhypertexte"/>
                <w:noProof/>
              </w:rPr>
              <w:t>55.31.1a Portes intérieures, à tambour, en bois, manuelles CCTB 01.02</w:t>
            </w:r>
            <w:r>
              <w:rPr>
                <w:noProof/>
                <w:webHidden/>
              </w:rPr>
              <w:tab/>
            </w:r>
            <w:r>
              <w:rPr>
                <w:noProof/>
                <w:webHidden/>
              </w:rPr>
              <w:fldChar w:fldCharType="begin"/>
            </w:r>
            <w:r>
              <w:rPr>
                <w:noProof/>
                <w:webHidden/>
              </w:rPr>
              <w:instrText xml:space="preserve"> PAGEREF _Toc220491236 \h </w:instrText>
            </w:r>
            <w:r>
              <w:rPr>
                <w:noProof/>
                <w:webHidden/>
              </w:rPr>
            </w:r>
            <w:r>
              <w:rPr>
                <w:noProof/>
                <w:webHidden/>
              </w:rPr>
              <w:fldChar w:fldCharType="separate"/>
            </w:r>
            <w:r>
              <w:rPr>
                <w:noProof/>
                <w:webHidden/>
              </w:rPr>
              <w:t>655</w:t>
            </w:r>
            <w:r>
              <w:rPr>
                <w:noProof/>
                <w:webHidden/>
              </w:rPr>
              <w:fldChar w:fldCharType="end"/>
            </w:r>
          </w:hyperlink>
        </w:p>
        <w:p w14:paraId="0A16541E" w14:textId="2CDEDD1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37" w:history="1">
            <w:r w:rsidRPr="001D4C20">
              <w:rPr>
                <w:rStyle w:val="Lienhypertexte"/>
                <w:noProof/>
              </w:rPr>
              <w:t>55.31.1b Portes intérieures, à tambour, en bois, motorisées CCTB 01.02</w:t>
            </w:r>
            <w:r>
              <w:rPr>
                <w:noProof/>
                <w:webHidden/>
              </w:rPr>
              <w:tab/>
            </w:r>
            <w:r>
              <w:rPr>
                <w:noProof/>
                <w:webHidden/>
              </w:rPr>
              <w:fldChar w:fldCharType="begin"/>
            </w:r>
            <w:r>
              <w:rPr>
                <w:noProof/>
                <w:webHidden/>
              </w:rPr>
              <w:instrText xml:space="preserve"> PAGEREF _Toc220491237 \h </w:instrText>
            </w:r>
            <w:r>
              <w:rPr>
                <w:noProof/>
                <w:webHidden/>
              </w:rPr>
            </w:r>
            <w:r>
              <w:rPr>
                <w:noProof/>
                <w:webHidden/>
              </w:rPr>
              <w:fldChar w:fldCharType="separate"/>
            </w:r>
            <w:r>
              <w:rPr>
                <w:noProof/>
                <w:webHidden/>
              </w:rPr>
              <w:t>655</w:t>
            </w:r>
            <w:r>
              <w:rPr>
                <w:noProof/>
                <w:webHidden/>
              </w:rPr>
              <w:fldChar w:fldCharType="end"/>
            </w:r>
          </w:hyperlink>
        </w:p>
        <w:p w14:paraId="15A5C97C" w14:textId="103931E6"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38" w:history="1">
            <w:r w:rsidRPr="001D4C20">
              <w:rPr>
                <w:rStyle w:val="Lienhypertexte"/>
                <w:noProof/>
              </w:rPr>
              <w:t>55.31.2 Portes intérieures, à tambour, en aluminium CCTB 01.02</w:t>
            </w:r>
            <w:r>
              <w:rPr>
                <w:noProof/>
                <w:webHidden/>
              </w:rPr>
              <w:tab/>
            </w:r>
            <w:r>
              <w:rPr>
                <w:noProof/>
                <w:webHidden/>
              </w:rPr>
              <w:fldChar w:fldCharType="begin"/>
            </w:r>
            <w:r>
              <w:rPr>
                <w:noProof/>
                <w:webHidden/>
              </w:rPr>
              <w:instrText xml:space="preserve"> PAGEREF _Toc220491238 \h </w:instrText>
            </w:r>
            <w:r>
              <w:rPr>
                <w:noProof/>
                <w:webHidden/>
              </w:rPr>
            </w:r>
            <w:r>
              <w:rPr>
                <w:noProof/>
                <w:webHidden/>
              </w:rPr>
              <w:fldChar w:fldCharType="separate"/>
            </w:r>
            <w:r>
              <w:rPr>
                <w:noProof/>
                <w:webHidden/>
              </w:rPr>
              <w:t>655</w:t>
            </w:r>
            <w:r>
              <w:rPr>
                <w:noProof/>
                <w:webHidden/>
              </w:rPr>
              <w:fldChar w:fldCharType="end"/>
            </w:r>
          </w:hyperlink>
        </w:p>
        <w:p w14:paraId="142F5192" w14:textId="00791EA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39" w:history="1">
            <w:r w:rsidRPr="001D4C20">
              <w:rPr>
                <w:rStyle w:val="Lienhypertexte"/>
                <w:noProof/>
              </w:rPr>
              <w:t>55.31.2a Portes intérieures, à tambour, en aluminium, manuelles CCTB 01.02</w:t>
            </w:r>
            <w:r>
              <w:rPr>
                <w:noProof/>
                <w:webHidden/>
              </w:rPr>
              <w:tab/>
            </w:r>
            <w:r>
              <w:rPr>
                <w:noProof/>
                <w:webHidden/>
              </w:rPr>
              <w:fldChar w:fldCharType="begin"/>
            </w:r>
            <w:r>
              <w:rPr>
                <w:noProof/>
                <w:webHidden/>
              </w:rPr>
              <w:instrText xml:space="preserve"> PAGEREF _Toc220491239 \h </w:instrText>
            </w:r>
            <w:r>
              <w:rPr>
                <w:noProof/>
                <w:webHidden/>
              </w:rPr>
            </w:r>
            <w:r>
              <w:rPr>
                <w:noProof/>
                <w:webHidden/>
              </w:rPr>
              <w:fldChar w:fldCharType="separate"/>
            </w:r>
            <w:r>
              <w:rPr>
                <w:noProof/>
                <w:webHidden/>
              </w:rPr>
              <w:t>655</w:t>
            </w:r>
            <w:r>
              <w:rPr>
                <w:noProof/>
                <w:webHidden/>
              </w:rPr>
              <w:fldChar w:fldCharType="end"/>
            </w:r>
          </w:hyperlink>
        </w:p>
        <w:p w14:paraId="7659185D" w14:textId="3BF8104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40" w:history="1">
            <w:r w:rsidRPr="001D4C20">
              <w:rPr>
                <w:rStyle w:val="Lienhypertexte"/>
                <w:noProof/>
              </w:rPr>
              <w:t>55.31.2b Portes intérieures, à tambour, en aluminium, motorisées CCTB 01.02</w:t>
            </w:r>
            <w:r>
              <w:rPr>
                <w:noProof/>
                <w:webHidden/>
              </w:rPr>
              <w:tab/>
            </w:r>
            <w:r>
              <w:rPr>
                <w:noProof/>
                <w:webHidden/>
              </w:rPr>
              <w:fldChar w:fldCharType="begin"/>
            </w:r>
            <w:r>
              <w:rPr>
                <w:noProof/>
                <w:webHidden/>
              </w:rPr>
              <w:instrText xml:space="preserve"> PAGEREF _Toc220491240 \h </w:instrText>
            </w:r>
            <w:r>
              <w:rPr>
                <w:noProof/>
                <w:webHidden/>
              </w:rPr>
            </w:r>
            <w:r>
              <w:rPr>
                <w:noProof/>
                <w:webHidden/>
              </w:rPr>
              <w:fldChar w:fldCharType="separate"/>
            </w:r>
            <w:r>
              <w:rPr>
                <w:noProof/>
                <w:webHidden/>
              </w:rPr>
              <w:t>655</w:t>
            </w:r>
            <w:r>
              <w:rPr>
                <w:noProof/>
                <w:webHidden/>
              </w:rPr>
              <w:fldChar w:fldCharType="end"/>
            </w:r>
          </w:hyperlink>
        </w:p>
        <w:p w14:paraId="5308AF2E" w14:textId="7762B286"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41" w:history="1">
            <w:r w:rsidRPr="001D4C20">
              <w:rPr>
                <w:rStyle w:val="Lienhypertexte"/>
                <w:noProof/>
              </w:rPr>
              <w:t>55.31.3 Portes intérieures, à tambour, en acier CCTB 01.02</w:t>
            </w:r>
            <w:r>
              <w:rPr>
                <w:noProof/>
                <w:webHidden/>
              </w:rPr>
              <w:tab/>
            </w:r>
            <w:r>
              <w:rPr>
                <w:noProof/>
                <w:webHidden/>
              </w:rPr>
              <w:fldChar w:fldCharType="begin"/>
            </w:r>
            <w:r>
              <w:rPr>
                <w:noProof/>
                <w:webHidden/>
              </w:rPr>
              <w:instrText xml:space="preserve"> PAGEREF _Toc220491241 \h </w:instrText>
            </w:r>
            <w:r>
              <w:rPr>
                <w:noProof/>
                <w:webHidden/>
              </w:rPr>
            </w:r>
            <w:r>
              <w:rPr>
                <w:noProof/>
                <w:webHidden/>
              </w:rPr>
              <w:fldChar w:fldCharType="separate"/>
            </w:r>
            <w:r>
              <w:rPr>
                <w:noProof/>
                <w:webHidden/>
              </w:rPr>
              <w:t>655</w:t>
            </w:r>
            <w:r>
              <w:rPr>
                <w:noProof/>
                <w:webHidden/>
              </w:rPr>
              <w:fldChar w:fldCharType="end"/>
            </w:r>
          </w:hyperlink>
        </w:p>
        <w:p w14:paraId="0F355A3F" w14:textId="45D3A42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42" w:history="1">
            <w:r w:rsidRPr="001D4C20">
              <w:rPr>
                <w:rStyle w:val="Lienhypertexte"/>
                <w:noProof/>
              </w:rPr>
              <w:t>55.31.3a Portes intérieures, à tambour, en acier, manuelles CCTB 01.02</w:t>
            </w:r>
            <w:r>
              <w:rPr>
                <w:noProof/>
                <w:webHidden/>
              </w:rPr>
              <w:tab/>
            </w:r>
            <w:r>
              <w:rPr>
                <w:noProof/>
                <w:webHidden/>
              </w:rPr>
              <w:fldChar w:fldCharType="begin"/>
            </w:r>
            <w:r>
              <w:rPr>
                <w:noProof/>
                <w:webHidden/>
              </w:rPr>
              <w:instrText xml:space="preserve"> PAGEREF _Toc220491242 \h </w:instrText>
            </w:r>
            <w:r>
              <w:rPr>
                <w:noProof/>
                <w:webHidden/>
              </w:rPr>
            </w:r>
            <w:r>
              <w:rPr>
                <w:noProof/>
                <w:webHidden/>
              </w:rPr>
              <w:fldChar w:fldCharType="separate"/>
            </w:r>
            <w:r>
              <w:rPr>
                <w:noProof/>
                <w:webHidden/>
              </w:rPr>
              <w:t>655</w:t>
            </w:r>
            <w:r>
              <w:rPr>
                <w:noProof/>
                <w:webHidden/>
              </w:rPr>
              <w:fldChar w:fldCharType="end"/>
            </w:r>
          </w:hyperlink>
        </w:p>
        <w:p w14:paraId="0CD3D0E5" w14:textId="0383BF8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43" w:history="1">
            <w:r w:rsidRPr="001D4C20">
              <w:rPr>
                <w:rStyle w:val="Lienhypertexte"/>
                <w:noProof/>
              </w:rPr>
              <w:t>55.31.3b Portes intérieures, à tambour, en acier, motorisées CCTB 01.02</w:t>
            </w:r>
            <w:r>
              <w:rPr>
                <w:noProof/>
                <w:webHidden/>
              </w:rPr>
              <w:tab/>
            </w:r>
            <w:r>
              <w:rPr>
                <w:noProof/>
                <w:webHidden/>
              </w:rPr>
              <w:fldChar w:fldCharType="begin"/>
            </w:r>
            <w:r>
              <w:rPr>
                <w:noProof/>
                <w:webHidden/>
              </w:rPr>
              <w:instrText xml:space="preserve"> PAGEREF _Toc220491243 \h </w:instrText>
            </w:r>
            <w:r>
              <w:rPr>
                <w:noProof/>
                <w:webHidden/>
              </w:rPr>
            </w:r>
            <w:r>
              <w:rPr>
                <w:noProof/>
                <w:webHidden/>
              </w:rPr>
              <w:fldChar w:fldCharType="separate"/>
            </w:r>
            <w:r>
              <w:rPr>
                <w:noProof/>
                <w:webHidden/>
              </w:rPr>
              <w:t>655</w:t>
            </w:r>
            <w:r>
              <w:rPr>
                <w:noProof/>
                <w:webHidden/>
              </w:rPr>
              <w:fldChar w:fldCharType="end"/>
            </w:r>
          </w:hyperlink>
        </w:p>
        <w:p w14:paraId="3501A8E6" w14:textId="48DAA19E"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44" w:history="1">
            <w:r w:rsidRPr="001D4C20">
              <w:rPr>
                <w:rStyle w:val="Lienhypertexte"/>
                <w:noProof/>
              </w:rPr>
              <w:t>55.31.4 Portes intérieures, à tambour, en PVC CCTB 01.02</w:t>
            </w:r>
            <w:r>
              <w:rPr>
                <w:noProof/>
                <w:webHidden/>
              </w:rPr>
              <w:tab/>
            </w:r>
            <w:r>
              <w:rPr>
                <w:noProof/>
                <w:webHidden/>
              </w:rPr>
              <w:fldChar w:fldCharType="begin"/>
            </w:r>
            <w:r>
              <w:rPr>
                <w:noProof/>
                <w:webHidden/>
              </w:rPr>
              <w:instrText xml:space="preserve"> PAGEREF _Toc220491244 \h </w:instrText>
            </w:r>
            <w:r>
              <w:rPr>
                <w:noProof/>
                <w:webHidden/>
              </w:rPr>
            </w:r>
            <w:r>
              <w:rPr>
                <w:noProof/>
                <w:webHidden/>
              </w:rPr>
              <w:fldChar w:fldCharType="separate"/>
            </w:r>
            <w:r>
              <w:rPr>
                <w:noProof/>
                <w:webHidden/>
              </w:rPr>
              <w:t>655</w:t>
            </w:r>
            <w:r>
              <w:rPr>
                <w:noProof/>
                <w:webHidden/>
              </w:rPr>
              <w:fldChar w:fldCharType="end"/>
            </w:r>
          </w:hyperlink>
        </w:p>
        <w:p w14:paraId="1BB952E1" w14:textId="1D91795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45" w:history="1">
            <w:r w:rsidRPr="001D4C20">
              <w:rPr>
                <w:rStyle w:val="Lienhypertexte"/>
                <w:noProof/>
              </w:rPr>
              <w:t>55.31.4a Portes intérieures, à tambour, en PVC, manuelles CCTB 01.02</w:t>
            </w:r>
            <w:r>
              <w:rPr>
                <w:noProof/>
                <w:webHidden/>
              </w:rPr>
              <w:tab/>
            </w:r>
            <w:r>
              <w:rPr>
                <w:noProof/>
                <w:webHidden/>
              </w:rPr>
              <w:fldChar w:fldCharType="begin"/>
            </w:r>
            <w:r>
              <w:rPr>
                <w:noProof/>
                <w:webHidden/>
              </w:rPr>
              <w:instrText xml:space="preserve"> PAGEREF _Toc220491245 \h </w:instrText>
            </w:r>
            <w:r>
              <w:rPr>
                <w:noProof/>
                <w:webHidden/>
              </w:rPr>
            </w:r>
            <w:r>
              <w:rPr>
                <w:noProof/>
                <w:webHidden/>
              </w:rPr>
              <w:fldChar w:fldCharType="separate"/>
            </w:r>
            <w:r>
              <w:rPr>
                <w:noProof/>
                <w:webHidden/>
              </w:rPr>
              <w:t>655</w:t>
            </w:r>
            <w:r>
              <w:rPr>
                <w:noProof/>
                <w:webHidden/>
              </w:rPr>
              <w:fldChar w:fldCharType="end"/>
            </w:r>
          </w:hyperlink>
        </w:p>
        <w:p w14:paraId="2FAD349E" w14:textId="4051607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46" w:history="1">
            <w:r w:rsidRPr="001D4C20">
              <w:rPr>
                <w:rStyle w:val="Lienhypertexte"/>
                <w:noProof/>
              </w:rPr>
              <w:t>55.31.4b Portes intérieures, à tambour, en PVC, motorisées CCTB 01.02</w:t>
            </w:r>
            <w:r>
              <w:rPr>
                <w:noProof/>
                <w:webHidden/>
              </w:rPr>
              <w:tab/>
            </w:r>
            <w:r>
              <w:rPr>
                <w:noProof/>
                <w:webHidden/>
              </w:rPr>
              <w:fldChar w:fldCharType="begin"/>
            </w:r>
            <w:r>
              <w:rPr>
                <w:noProof/>
                <w:webHidden/>
              </w:rPr>
              <w:instrText xml:space="preserve"> PAGEREF _Toc220491246 \h </w:instrText>
            </w:r>
            <w:r>
              <w:rPr>
                <w:noProof/>
                <w:webHidden/>
              </w:rPr>
            </w:r>
            <w:r>
              <w:rPr>
                <w:noProof/>
                <w:webHidden/>
              </w:rPr>
              <w:fldChar w:fldCharType="separate"/>
            </w:r>
            <w:r>
              <w:rPr>
                <w:noProof/>
                <w:webHidden/>
              </w:rPr>
              <w:t>655</w:t>
            </w:r>
            <w:r>
              <w:rPr>
                <w:noProof/>
                <w:webHidden/>
              </w:rPr>
              <w:fldChar w:fldCharType="end"/>
            </w:r>
          </w:hyperlink>
        </w:p>
        <w:p w14:paraId="22C851B0" w14:textId="2F2E50B5"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47" w:history="1">
            <w:r w:rsidRPr="001D4C20">
              <w:rPr>
                <w:rStyle w:val="Lienhypertexte"/>
                <w:noProof/>
              </w:rPr>
              <w:t>55.31.5 Portes intérieures, à tambour, en verre CCTB 01.02</w:t>
            </w:r>
            <w:r>
              <w:rPr>
                <w:noProof/>
                <w:webHidden/>
              </w:rPr>
              <w:tab/>
            </w:r>
            <w:r>
              <w:rPr>
                <w:noProof/>
                <w:webHidden/>
              </w:rPr>
              <w:fldChar w:fldCharType="begin"/>
            </w:r>
            <w:r>
              <w:rPr>
                <w:noProof/>
                <w:webHidden/>
              </w:rPr>
              <w:instrText xml:space="preserve"> PAGEREF _Toc220491247 \h </w:instrText>
            </w:r>
            <w:r>
              <w:rPr>
                <w:noProof/>
                <w:webHidden/>
              </w:rPr>
            </w:r>
            <w:r>
              <w:rPr>
                <w:noProof/>
                <w:webHidden/>
              </w:rPr>
              <w:fldChar w:fldCharType="separate"/>
            </w:r>
            <w:r>
              <w:rPr>
                <w:noProof/>
                <w:webHidden/>
              </w:rPr>
              <w:t>655</w:t>
            </w:r>
            <w:r>
              <w:rPr>
                <w:noProof/>
                <w:webHidden/>
              </w:rPr>
              <w:fldChar w:fldCharType="end"/>
            </w:r>
          </w:hyperlink>
        </w:p>
        <w:p w14:paraId="79F2A0EE" w14:textId="50294AA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48" w:history="1">
            <w:r w:rsidRPr="001D4C20">
              <w:rPr>
                <w:rStyle w:val="Lienhypertexte"/>
                <w:noProof/>
              </w:rPr>
              <w:t>55.31.5a Portes intérieures, à tambour, en verre CCTB 01.02</w:t>
            </w:r>
            <w:r>
              <w:rPr>
                <w:noProof/>
                <w:webHidden/>
              </w:rPr>
              <w:tab/>
            </w:r>
            <w:r>
              <w:rPr>
                <w:noProof/>
                <w:webHidden/>
              </w:rPr>
              <w:fldChar w:fldCharType="begin"/>
            </w:r>
            <w:r>
              <w:rPr>
                <w:noProof/>
                <w:webHidden/>
              </w:rPr>
              <w:instrText xml:space="preserve"> PAGEREF _Toc220491248 \h </w:instrText>
            </w:r>
            <w:r>
              <w:rPr>
                <w:noProof/>
                <w:webHidden/>
              </w:rPr>
            </w:r>
            <w:r>
              <w:rPr>
                <w:noProof/>
                <w:webHidden/>
              </w:rPr>
              <w:fldChar w:fldCharType="separate"/>
            </w:r>
            <w:r>
              <w:rPr>
                <w:noProof/>
                <w:webHidden/>
              </w:rPr>
              <w:t>655</w:t>
            </w:r>
            <w:r>
              <w:rPr>
                <w:noProof/>
                <w:webHidden/>
              </w:rPr>
              <w:fldChar w:fldCharType="end"/>
            </w:r>
          </w:hyperlink>
        </w:p>
        <w:p w14:paraId="6C14BC0D" w14:textId="2316C56A"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249" w:history="1">
            <w:r w:rsidRPr="001D4C20">
              <w:rPr>
                <w:rStyle w:val="Lienhypertexte"/>
                <w:noProof/>
              </w:rPr>
              <w:t>55.32 Portes intérieures, à accordéon CCTB 01.02</w:t>
            </w:r>
            <w:r>
              <w:rPr>
                <w:noProof/>
                <w:webHidden/>
              </w:rPr>
              <w:tab/>
            </w:r>
            <w:r>
              <w:rPr>
                <w:noProof/>
                <w:webHidden/>
              </w:rPr>
              <w:fldChar w:fldCharType="begin"/>
            </w:r>
            <w:r>
              <w:rPr>
                <w:noProof/>
                <w:webHidden/>
              </w:rPr>
              <w:instrText xml:space="preserve"> PAGEREF _Toc220491249 \h </w:instrText>
            </w:r>
            <w:r>
              <w:rPr>
                <w:noProof/>
                <w:webHidden/>
              </w:rPr>
            </w:r>
            <w:r>
              <w:rPr>
                <w:noProof/>
                <w:webHidden/>
              </w:rPr>
              <w:fldChar w:fldCharType="separate"/>
            </w:r>
            <w:r>
              <w:rPr>
                <w:noProof/>
                <w:webHidden/>
              </w:rPr>
              <w:t>655</w:t>
            </w:r>
            <w:r>
              <w:rPr>
                <w:noProof/>
                <w:webHidden/>
              </w:rPr>
              <w:fldChar w:fldCharType="end"/>
            </w:r>
          </w:hyperlink>
        </w:p>
        <w:p w14:paraId="727F26A5" w14:textId="0C490919"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50" w:history="1">
            <w:r w:rsidRPr="001D4C20">
              <w:rPr>
                <w:rStyle w:val="Lienhypertexte"/>
                <w:noProof/>
              </w:rPr>
              <w:t>55.32.1 Portes intérieures, à accordéon, en bois CCTB 01.02</w:t>
            </w:r>
            <w:r>
              <w:rPr>
                <w:noProof/>
                <w:webHidden/>
              </w:rPr>
              <w:tab/>
            </w:r>
            <w:r>
              <w:rPr>
                <w:noProof/>
                <w:webHidden/>
              </w:rPr>
              <w:fldChar w:fldCharType="begin"/>
            </w:r>
            <w:r>
              <w:rPr>
                <w:noProof/>
                <w:webHidden/>
              </w:rPr>
              <w:instrText xml:space="preserve"> PAGEREF _Toc220491250 \h </w:instrText>
            </w:r>
            <w:r>
              <w:rPr>
                <w:noProof/>
                <w:webHidden/>
              </w:rPr>
            </w:r>
            <w:r>
              <w:rPr>
                <w:noProof/>
                <w:webHidden/>
              </w:rPr>
              <w:fldChar w:fldCharType="separate"/>
            </w:r>
            <w:r>
              <w:rPr>
                <w:noProof/>
                <w:webHidden/>
              </w:rPr>
              <w:t>655</w:t>
            </w:r>
            <w:r>
              <w:rPr>
                <w:noProof/>
                <w:webHidden/>
              </w:rPr>
              <w:fldChar w:fldCharType="end"/>
            </w:r>
          </w:hyperlink>
        </w:p>
        <w:p w14:paraId="12FA85C0" w14:textId="2AAE277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51" w:history="1">
            <w:r w:rsidRPr="001D4C20">
              <w:rPr>
                <w:rStyle w:val="Lienhypertexte"/>
                <w:noProof/>
              </w:rPr>
              <w:t>55.32.1a Portes intérieures, à accordéon, en bois, manuelles CCTB 01.02</w:t>
            </w:r>
            <w:r>
              <w:rPr>
                <w:noProof/>
                <w:webHidden/>
              </w:rPr>
              <w:tab/>
            </w:r>
            <w:r>
              <w:rPr>
                <w:noProof/>
                <w:webHidden/>
              </w:rPr>
              <w:fldChar w:fldCharType="begin"/>
            </w:r>
            <w:r>
              <w:rPr>
                <w:noProof/>
                <w:webHidden/>
              </w:rPr>
              <w:instrText xml:space="preserve"> PAGEREF _Toc220491251 \h </w:instrText>
            </w:r>
            <w:r>
              <w:rPr>
                <w:noProof/>
                <w:webHidden/>
              </w:rPr>
            </w:r>
            <w:r>
              <w:rPr>
                <w:noProof/>
                <w:webHidden/>
              </w:rPr>
              <w:fldChar w:fldCharType="separate"/>
            </w:r>
            <w:r>
              <w:rPr>
                <w:noProof/>
                <w:webHidden/>
              </w:rPr>
              <w:t>655</w:t>
            </w:r>
            <w:r>
              <w:rPr>
                <w:noProof/>
                <w:webHidden/>
              </w:rPr>
              <w:fldChar w:fldCharType="end"/>
            </w:r>
          </w:hyperlink>
        </w:p>
        <w:p w14:paraId="2FE9C954" w14:textId="4939E76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52" w:history="1">
            <w:r w:rsidRPr="001D4C20">
              <w:rPr>
                <w:rStyle w:val="Lienhypertexte"/>
                <w:noProof/>
              </w:rPr>
              <w:t>55.32.1b Portes intérieures, à accordéon, en bois, motorisées CCTB 01.02</w:t>
            </w:r>
            <w:r>
              <w:rPr>
                <w:noProof/>
                <w:webHidden/>
              </w:rPr>
              <w:tab/>
            </w:r>
            <w:r>
              <w:rPr>
                <w:noProof/>
                <w:webHidden/>
              </w:rPr>
              <w:fldChar w:fldCharType="begin"/>
            </w:r>
            <w:r>
              <w:rPr>
                <w:noProof/>
                <w:webHidden/>
              </w:rPr>
              <w:instrText xml:space="preserve"> PAGEREF _Toc220491252 \h </w:instrText>
            </w:r>
            <w:r>
              <w:rPr>
                <w:noProof/>
                <w:webHidden/>
              </w:rPr>
            </w:r>
            <w:r>
              <w:rPr>
                <w:noProof/>
                <w:webHidden/>
              </w:rPr>
              <w:fldChar w:fldCharType="separate"/>
            </w:r>
            <w:r>
              <w:rPr>
                <w:noProof/>
                <w:webHidden/>
              </w:rPr>
              <w:t>655</w:t>
            </w:r>
            <w:r>
              <w:rPr>
                <w:noProof/>
                <w:webHidden/>
              </w:rPr>
              <w:fldChar w:fldCharType="end"/>
            </w:r>
          </w:hyperlink>
        </w:p>
        <w:p w14:paraId="36DD664C" w14:textId="3E79968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53" w:history="1">
            <w:r w:rsidRPr="001D4C20">
              <w:rPr>
                <w:rStyle w:val="Lienhypertexte"/>
                <w:noProof/>
              </w:rPr>
              <w:t>55.32.2 Portes intérieures, à accordéon, en aluminium CCTB 01.02</w:t>
            </w:r>
            <w:r>
              <w:rPr>
                <w:noProof/>
                <w:webHidden/>
              </w:rPr>
              <w:tab/>
            </w:r>
            <w:r>
              <w:rPr>
                <w:noProof/>
                <w:webHidden/>
              </w:rPr>
              <w:fldChar w:fldCharType="begin"/>
            </w:r>
            <w:r>
              <w:rPr>
                <w:noProof/>
                <w:webHidden/>
              </w:rPr>
              <w:instrText xml:space="preserve"> PAGEREF _Toc220491253 \h </w:instrText>
            </w:r>
            <w:r>
              <w:rPr>
                <w:noProof/>
                <w:webHidden/>
              </w:rPr>
            </w:r>
            <w:r>
              <w:rPr>
                <w:noProof/>
                <w:webHidden/>
              </w:rPr>
              <w:fldChar w:fldCharType="separate"/>
            </w:r>
            <w:r>
              <w:rPr>
                <w:noProof/>
                <w:webHidden/>
              </w:rPr>
              <w:t>655</w:t>
            </w:r>
            <w:r>
              <w:rPr>
                <w:noProof/>
                <w:webHidden/>
              </w:rPr>
              <w:fldChar w:fldCharType="end"/>
            </w:r>
          </w:hyperlink>
        </w:p>
        <w:p w14:paraId="66AA2FB9" w14:textId="33BA55C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54" w:history="1">
            <w:r w:rsidRPr="001D4C20">
              <w:rPr>
                <w:rStyle w:val="Lienhypertexte"/>
                <w:noProof/>
              </w:rPr>
              <w:t>55.32.2a Portes intérieures, à accordéon, en aluminium, manuelles CCTB 01.02</w:t>
            </w:r>
            <w:r>
              <w:rPr>
                <w:noProof/>
                <w:webHidden/>
              </w:rPr>
              <w:tab/>
            </w:r>
            <w:r>
              <w:rPr>
                <w:noProof/>
                <w:webHidden/>
              </w:rPr>
              <w:fldChar w:fldCharType="begin"/>
            </w:r>
            <w:r>
              <w:rPr>
                <w:noProof/>
                <w:webHidden/>
              </w:rPr>
              <w:instrText xml:space="preserve"> PAGEREF _Toc220491254 \h </w:instrText>
            </w:r>
            <w:r>
              <w:rPr>
                <w:noProof/>
                <w:webHidden/>
              </w:rPr>
            </w:r>
            <w:r>
              <w:rPr>
                <w:noProof/>
                <w:webHidden/>
              </w:rPr>
              <w:fldChar w:fldCharType="separate"/>
            </w:r>
            <w:r>
              <w:rPr>
                <w:noProof/>
                <w:webHidden/>
              </w:rPr>
              <w:t>656</w:t>
            </w:r>
            <w:r>
              <w:rPr>
                <w:noProof/>
                <w:webHidden/>
              </w:rPr>
              <w:fldChar w:fldCharType="end"/>
            </w:r>
          </w:hyperlink>
        </w:p>
        <w:p w14:paraId="29F5BC4D" w14:textId="482213D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55" w:history="1">
            <w:r w:rsidRPr="001D4C20">
              <w:rPr>
                <w:rStyle w:val="Lienhypertexte"/>
                <w:noProof/>
              </w:rPr>
              <w:t>55.32.2b Portes intérieures, à accordéon, en aluminium, motorisées CCTB 01.02</w:t>
            </w:r>
            <w:r>
              <w:rPr>
                <w:noProof/>
                <w:webHidden/>
              </w:rPr>
              <w:tab/>
            </w:r>
            <w:r>
              <w:rPr>
                <w:noProof/>
                <w:webHidden/>
              </w:rPr>
              <w:fldChar w:fldCharType="begin"/>
            </w:r>
            <w:r>
              <w:rPr>
                <w:noProof/>
                <w:webHidden/>
              </w:rPr>
              <w:instrText xml:space="preserve"> PAGEREF _Toc220491255 \h </w:instrText>
            </w:r>
            <w:r>
              <w:rPr>
                <w:noProof/>
                <w:webHidden/>
              </w:rPr>
            </w:r>
            <w:r>
              <w:rPr>
                <w:noProof/>
                <w:webHidden/>
              </w:rPr>
              <w:fldChar w:fldCharType="separate"/>
            </w:r>
            <w:r>
              <w:rPr>
                <w:noProof/>
                <w:webHidden/>
              </w:rPr>
              <w:t>656</w:t>
            </w:r>
            <w:r>
              <w:rPr>
                <w:noProof/>
                <w:webHidden/>
              </w:rPr>
              <w:fldChar w:fldCharType="end"/>
            </w:r>
          </w:hyperlink>
        </w:p>
        <w:p w14:paraId="5345A59F" w14:textId="41A80AF9"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56" w:history="1">
            <w:r w:rsidRPr="001D4C20">
              <w:rPr>
                <w:rStyle w:val="Lienhypertexte"/>
                <w:noProof/>
              </w:rPr>
              <w:t>55.32.3 Portes intérieures, à accordéon, en acier CCTB 01.02</w:t>
            </w:r>
            <w:r>
              <w:rPr>
                <w:noProof/>
                <w:webHidden/>
              </w:rPr>
              <w:tab/>
            </w:r>
            <w:r>
              <w:rPr>
                <w:noProof/>
                <w:webHidden/>
              </w:rPr>
              <w:fldChar w:fldCharType="begin"/>
            </w:r>
            <w:r>
              <w:rPr>
                <w:noProof/>
                <w:webHidden/>
              </w:rPr>
              <w:instrText xml:space="preserve"> PAGEREF _Toc220491256 \h </w:instrText>
            </w:r>
            <w:r>
              <w:rPr>
                <w:noProof/>
                <w:webHidden/>
              </w:rPr>
            </w:r>
            <w:r>
              <w:rPr>
                <w:noProof/>
                <w:webHidden/>
              </w:rPr>
              <w:fldChar w:fldCharType="separate"/>
            </w:r>
            <w:r>
              <w:rPr>
                <w:noProof/>
                <w:webHidden/>
              </w:rPr>
              <w:t>656</w:t>
            </w:r>
            <w:r>
              <w:rPr>
                <w:noProof/>
                <w:webHidden/>
              </w:rPr>
              <w:fldChar w:fldCharType="end"/>
            </w:r>
          </w:hyperlink>
        </w:p>
        <w:p w14:paraId="31EFA1D3" w14:textId="0363345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57" w:history="1">
            <w:r w:rsidRPr="001D4C20">
              <w:rPr>
                <w:rStyle w:val="Lienhypertexte"/>
                <w:noProof/>
              </w:rPr>
              <w:t>55.32.3a Portes intérieures, à accordéon, en acier, manuelles CCTB 01.02</w:t>
            </w:r>
            <w:r>
              <w:rPr>
                <w:noProof/>
                <w:webHidden/>
              </w:rPr>
              <w:tab/>
            </w:r>
            <w:r>
              <w:rPr>
                <w:noProof/>
                <w:webHidden/>
              </w:rPr>
              <w:fldChar w:fldCharType="begin"/>
            </w:r>
            <w:r>
              <w:rPr>
                <w:noProof/>
                <w:webHidden/>
              </w:rPr>
              <w:instrText xml:space="preserve"> PAGEREF _Toc220491257 \h </w:instrText>
            </w:r>
            <w:r>
              <w:rPr>
                <w:noProof/>
                <w:webHidden/>
              </w:rPr>
            </w:r>
            <w:r>
              <w:rPr>
                <w:noProof/>
                <w:webHidden/>
              </w:rPr>
              <w:fldChar w:fldCharType="separate"/>
            </w:r>
            <w:r>
              <w:rPr>
                <w:noProof/>
                <w:webHidden/>
              </w:rPr>
              <w:t>656</w:t>
            </w:r>
            <w:r>
              <w:rPr>
                <w:noProof/>
                <w:webHidden/>
              </w:rPr>
              <w:fldChar w:fldCharType="end"/>
            </w:r>
          </w:hyperlink>
        </w:p>
        <w:p w14:paraId="511FE60E" w14:textId="54D3C68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58" w:history="1">
            <w:r w:rsidRPr="001D4C20">
              <w:rPr>
                <w:rStyle w:val="Lienhypertexte"/>
                <w:noProof/>
              </w:rPr>
              <w:t>55.32.3b Portes intérieures, à accordéon, en acier, motorisées CCTB 01.02</w:t>
            </w:r>
            <w:r>
              <w:rPr>
                <w:noProof/>
                <w:webHidden/>
              </w:rPr>
              <w:tab/>
            </w:r>
            <w:r>
              <w:rPr>
                <w:noProof/>
                <w:webHidden/>
              </w:rPr>
              <w:fldChar w:fldCharType="begin"/>
            </w:r>
            <w:r>
              <w:rPr>
                <w:noProof/>
                <w:webHidden/>
              </w:rPr>
              <w:instrText xml:space="preserve"> PAGEREF _Toc220491258 \h </w:instrText>
            </w:r>
            <w:r>
              <w:rPr>
                <w:noProof/>
                <w:webHidden/>
              </w:rPr>
            </w:r>
            <w:r>
              <w:rPr>
                <w:noProof/>
                <w:webHidden/>
              </w:rPr>
              <w:fldChar w:fldCharType="separate"/>
            </w:r>
            <w:r>
              <w:rPr>
                <w:noProof/>
                <w:webHidden/>
              </w:rPr>
              <w:t>656</w:t>
            </w:r>
            <w:r>
              <w:rPr>
                <w:noProof/>
                <w:webHidden/>
              </w:rPr>
              <w:fldChar w:fldCharType="end"/>
            </w:r>
          </w:hyperlink>
        </w:p>
        <w:p w14:paraId="4FC98F16" w14:textId="6A88726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59" w:history="1">
            <w:r w:rsidRPr="001D4C20">
              <w:rPr>
                <w:rStyle w:val="Lienhypertexte"/>
                <w:noProof/>
              </w:rPr>
              <w:t>55.32.4 Portes intérieures, à accordéon, en PVC / matière synthétique CCTB 01.10</w:t>
            </w:r>
            <w:r>
              <w:rPr>
                <w:noProof/>
                <w:webHidden/>
              </w:rPr>
              <w:tab/>
            </w:r>
            <w:r>
              <w:rPr>
                <w:noProof/>
                <w:webHidden/>
              </w:rPr>
              <w:fldChar w:fldCharType="begin"/>
            </w:r>
            <w:r>
              <w:rPr>
                <w:noProof/>
                <w:webHidden/>
              </w:rPr>
              <w:instrText xml:space="preserve"> PAGEREF _Toc220491259 \h </w:instrText>
            </w:r>
            <w:r>
              <w:rPr>
                <w:noProof/>
                <w:webHidden/>
              </w:rPr>
            </w:r>
            <w:r>
              <w:rPr>
                <w:noProof/>
                <w:webHidden/>
              </w:rPr>
              <w:fldChar w:fldCharType="separate"/>
            </w:r>
            <w:r>
              <w:rPr>
                <w:noProof/>
                <w:webHidden/>
              </w:rPr>
              <w:t>656</w:t>
            </w:r>
            <w:r>
              <w:rPr>
                <w:noProof/>
                <w:webHidden/>
              </w:rPr>
              <w:fldChar w:fldCharType="end"/>
            </w:r>
          </w:hyperlink>
        </w:p>
        <w:p w14:paraId="02831D55" w14:textId="1CF0B26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60" w:history="1">
            <w:r w:rsidRPr="001D4C20">
              <w:rPr>
                <w:rStyle w:val="Lienhypertexte"/>
                <w:noProof/>
              </w:rPr>
              <w:t>55.32.4a Portes intérieures, à accordéon, en PVC, manuelles CCTB 01.02</w:t>
            </w:r>
            <w:r>
              <w:rPr>
                <w:noProof/>
                <w:webHidden/>
              </w:rPr>
              <w:tab/>
            </w:r>
            <w:r>
              <w:rPr>
                <w:noProof/>
                <w:webHidden/>
              </w:rPr>
              <w:fldChar w:fldCharType="begin"/>
            </w:r>
            <w:r>
              <w:rPr>
                <w:noProof/>
                <w:webHidden/>
              </w:rPr>
              <w:instrText xml:space="preserve"> PAGEREF _Toc220491260 \h </w:instrText>
            </w:r>
            <w:r>
              <w:rPr>
                <w:noProof/>
                <w:webHidden/>
              </w:rPr>
            </w:r>
            <w:r>
              <w:rPr>
                <w:noProof/>
                <w:webHidden/>
              </w:rPr>
              <w:fldChar w:fldCharType="separate"/>
            </w:r>
            <w:r>
              <w:rPr>
                <w:noProof/>
                <w:webHidden/>
              </w:rPr>
              <w:t>656</w:t>
            </w:r>
            <w:r>
              <w:rPr>
                <w:noProof/>
                <w:webHidden/>
              </w:rPr>
              <w:fldChar w:fldCharType="end"/>
            </w:r>
          </w:hyperlink>
        </w:p>
        <w:p w14:paraId="7B08ED4A" w14:textId="74BB204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61" w:history="1">
            <w:r w:rsidRPr="001D4C20">
              <w:rPr>
                <w:rStyle w:val="Lienhypertexte"/>
                <w:noProof/>
              </w:rPr>
              <w:t>55.32.4b Portes intérieures, à accordéon, en PVC, motorisées CCTB 01.02</w:t>
            </w:r>
            <w:r>
              <w:rPr>
                <w:noProof/>
                <w:webHidden/>
              </w:rPr>
              <w:tab/>
            </w:r>
            <w:r>
              <w:rPr>
                <w:noProof/>
                <w:webHidden/>
              </w:rPr>
              <w:fldChar w:fldCharType="begin"/>
            </w:r>
            <w:r>
              <w:rPr>
                <w:noProof/>
                <w:webHidden/>
              </w:rPr>
              <w:instrText xml:space="preserve"> PAGEREF _Toc220491261 \h </w:instrText>
            </w:r>
            <w:r>
              <w:rPr>
                <w:noProof/>
                <w:webHidden/>
              </w:rPr>
            </w:r>
            <w:r>
              <w:rPr>
                <w:noProof/>
                <w:webHidden/>
              </w:rPr>
              <w:fldChar w:fldCharType="separate"/>
            </w:r>
            <w:r>
              <w:rPr>
                <w:noProof/>
                <w:webHidden/>
              </w:rPr>
              <w:t>656</w:t>
            </w:r>
            <w:r>
              <w:rPr>
                <w:noProof/>
                <w:webHidden/>
              </w:rPr>
              <w:fldChar w:fldCharType="end"/>
            </w:r>
          </w:hyperlink>
        </w:p>
        <w:p w14:paraId="20841E8E" w14:textId="1C71657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62" w:history="1">
            <w:r w:rsidRPr="001D4C20">
              <w:rPr>
                <w:rStyle w:val="Lienhypertexte"/>
                <w:noProof/>
              </w:rPr>
              <w:t>55.32.4c Portes intérieures, à accordéon, en cuir synthétique souple et épais, manuelles CCTB 01.02</w:t>
            </w:r>
            <w:r>
              <w:rPr>
                <w:noProof/>
                <w:webHidden/>
              </w:rPr>
              <w:tab/>
            </w:r>
            <w:r>
              <w:rPr>
                <w:noProof/>
                <w:webHidden/>
              </w:rPr>
              <w:fldChar w:fldCharType="begin"/>
            </w:r>
            <w:r>
              <w:rPr>
                <w:noProof/>
                <w:webHidden/>
              </w:rPr>
              <w:instrText xml:space="preserve"> PAGEREF _Toc220491262 \h </w:instrText>
            </w:r>
            <w:r>
              <w:rPr>
                <w:noProof/>
                <w:webHidden/>
              </w:rPr>
            </w:r>
            <w:r>
              <w:rPr>
                <w:noProof/>
                <w:webHidden/>
              </w:rPr>
              <w:fldChar w:fldCharType="separate"/>
            </w:r>
            <w:r>
              <w:rPr>
                <w:noProof/>
                <w:webHidden/>
              </w:rPr>
              <w:t>656</w:t>
            </w:r>
            <w:r>
              <w:rPr>
                <w:noProof/>
                <w:webHidden/>
              </w:rPr>
              <w:fldChar w:fldCharType="end"/>
            </w:r>
          </w:hyperlink>
        </w:p>
        <w:p w14:paraId="079502EF" w14:textId="7E49639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63" w:history="1">
            <w:r w:rsidRPr="001D4C20">
              <w:rPr>
                <w:rStyle w:val="Lienhypertexte"/>
                <w:noProof/>
              </w:rPr>
              <w:t>55.32.4d Portes intérieures, à accordéon, en cuir synthétique souple et épais, motorisées CCTB 01.02</w:t>
            </w:r>
            <w:r>
              <w:rPr>
                <w:noProof/>
                <w:webHidden/>
              </w:rPr>
              <w:tab/>
            </w:r>
            <w:r>
              <w:rPr>
                <w:noProof/>
                <w:webHidden/>
              </w:rPr>
              <w:fldChar w:fldCharType="begin"/>
            </w:r>
            <w:r>
              <w:rPr>
                <w:noProof/>
                <w:webHidden/>
              </w:rPr>
              <w:instrText xml:space="preserve"> PAGEREF _Toc220491263 \h </w:instrText>
            </w:r>
            <w:r>
              <w:rPr>
                <w:noProof/>
                <w:webHidden/>
              </w:rPr>
            </w:r>
            <w:r>
              <w:rPr>
                <w:noProof/>
                <w:webHidden/>
              </w:rPr>
              <w:fldChar w:fldCharType="separate"/>
            </w:r>
            <w:r>
              <w:rPr>
                <w:noProof/>
                <w:webHidden/>
              </w:rPr>
              <w:t>656</w:t>
            </w:r>
            <w:r>
              <w:rPr>
                <w:noProof/>
                <w:webHidden/>
              </w:rPr>
              <w:fldChar w:fldCharType="end"/>
            </w:r>
          </w:hyperlink>
        </w:p>
        <w:p w14:paraId="7A9E3A07" w14:textId="53655C4E"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64" w:history="1">
            <w:r w:rsidRPr="001D4C20">
              <w:rPr>
                <w:rStyle w:val="Lienhypertexte"/>
                <w:noProof/>
              </w:rPr>
              <w:t>55.32.5 Portes intérieures, à accordéon, en verre CCTB 01.02</w:t>
            </w:r>
            <w:r>
              <w:rPr>
                <w:noProof/>
                <w:webHidden/>
              </w:rPr>
              <w:tab/>
            </w:r>
            <w:r>
              <w:rPr>
                <w:noProof/>
                <w:webHidden/>
              </w:rPr>
              <w:fldChar w:fldCharType="begin"/>
            </w:r>
            <w:r>
              <w:rPr>
                <w:noProof/>
                <w:webHidden/>
              </w:rPr>
              <w:instrText xml:space="preserve"> PAGEREF _Toc220491264 \h </w:instrText>
            </w:r>
            <w:r>
              <w:rPr>
                <w:noProof/>
                <w:webHidden/>
              </w:rPr>
            </w:r>
            <w:r>
              <w:rPr>
                <w:noProof/>
                <w:webHidden/>
              </w:rPr>
              <w:fldChar w:fldCharType="separate"/>
            </w:r>
            <w:r>
              <w:rPr>
                <w:noProof/>
                <w:webHidden/>
              </w:rPr>
              <w:t>656</w:t>
            </w:r>
            <w:r>
              <w:rPr>
                <w:noProof/>
                <w:webHidden/>
              </w:rPr>
              <w:fldChar w:fldCharType="end"/>
            </w:r>
          </w:hyperlink>
        </w:p>
        <w:p w14:paraId="23250905" w14:textId="0E1CE9F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65" w:history="1">
            <w:r w:rsidRPr="001D4C20">
              <w:rPr>
                <w:rStyle w:val="Lienhypertexte"/>
                <w:noProof/>
              </w:rPr>
              <w:t>55.32.5a Portes intérieures, à accordéon, en verre CCTB 01.02</w:t>
            </w:r>
            <w:r>
              <w:rPr>
                <w:noProof/>
                <w:webHidden/>
              </w:rPr>
              <w:tab/>
            </w:r>
            <w:r>
              <w:rPr>
                <w:noProof/>
                <w:webHidden/>
              </w:rPr>
              <w:fldChar w:fldCharType="begin"/>
            </w:r>
            <w:r>
              <w:rPr>
                <w:noProof/>
                <w:webHidden/>
              </w:rPr>
              <w:instrText xml:space="preserve"> PAGEREF _Toc220491265 \h </w:instrText>
            </w:r>
            <w:r>
              <w:rPr>
                <w:noProof/>
                <w:webHidden/>
              </w:rPr>
            </w:r>
            <w:r>
              <w:rPr>
                <w:noProof/>
                <w:webHidden/>
              </w:rPr>
              <w:fldChar w:fldCharType="separate"/>
            </w:r>
            <w:r>
              <w:rPr>
                <w:noProof/>
                <w:webHidden/>
              </w:rPr>
              <w:t>656</w:t>
            </w:r>
            <w:r>
              <w:rPr>
                <w:noProof/>
                <w:webHidden/>
              </w:rPr>
              <w:fldChar w:fldCharType="end"/>
            </w:r>
          </w:hyperlink>
        </w:p>
        <w:p w14:paraId="5ED7BCA3" w14:textId="7EA47AEB"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266" w:history="1">
            <w:r w:rsidRPr="001D4C20">
              <w:rPr>
                <w:rStyle w:val="Lienhypertexte"/>
                <w:noProof/>
              </w:rPr>
              <w:t>55.33 Portes intérieures, coulissantes</w:t>
            </w:r>
            <w:r>
              <w:rPr>
                <w:noProof/>
                <w:webHidden/>
              </w:rPr>
              <w:tab/>
            </w:r>
            <w:r>
              <w:rPr>
                <w:noProof/>
                <w:webHidden/>
              </w:rPr>
              <w:fldChar w:fldCharType="begin"/>
            </w:r>
            <w:r>
              <w:rPr>
                <w:noProof/>
                <w:webHidden/>
              </w:rPr>
              <w:instrText xml:space="preserve"> PAGEREF _Toc220491266 \h </w:instrText>
            </w:r>
            <w:r>
              <w:rPr>
                <w:noProof/>
                <w:webHidden/>
              </w:rPr>
            </w:r>
            <w:r>
              <w:rPr>
                <w:noProof/>
                <w:webHidden/>
              </w:rPr>
              <w:fldChar w:fldCharType="separate"/>
            </w:r>
            <w:r>
              <w:rPr>
                <w:noProof/>
                <w:webHidden/>
              </w:rPr>
              <w:t>656</w:t>
            </w:r>
            <w:r>
              <w:rPr>
                <w:noProof/>
                <w:webHidden/>
              </w:rPr>
              <w:fldChar w:fldCharType="end"/>
            </w:r>
          </w:hyperlink>
        </w:p>
        <w:p w14:paraId="156C9F6C" w14:textId="068823D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67" w:history="1">
            <w:r w:rsidRPr="001D4C20">
              <w:rPr>
                <w:rStyle w:val="Lienhypertexte"/>
                <w:noProof/>
              </w:rPr>
              <w:t>55.33.1 Portes intérieures, coulissantes, en bois CCTB 01.11</w:t>
            </w:r>
            <w:r>
              <w:rPr>
                <w:noProof/>
                <w:webHidden/>
              </w:rPr>
              <w:tab/>
            </w:r>
            <w:r>
              <w:rPr>
                <w:noProof/>
                <w:webHidden/>
              </w:rPr>
              <w:fldChar w:fldCharType="begin"/>
            </w:r>
            <w:r>
              <w:rPr>
                <w:noProof/>
                <w:webHidden/>
              </w:rPr>
              <w:instrText xml:space="preserve"> PAGEREF _Toc220491267 \h </w:instrText>
            </w:r>
            <w:r>
              <w:rPr>
                <w:noProof/>
                <w:webHidden/>
              </w:rPr>
            </w:r>
            <w:r>
              <w:rPr>
                <w:noProof/>
                <w:webHidden/>
              </w:rPr>
              <w:fldChar w:fldCharType="separate"/>
            </w:r>
            <w:r>
              <w:rPr>
                <w:noProof/>
                <w:webHidden/>
              </w:rPr>
              <w:t>656</w:t>
            </w:r>
            <w:r>
              <w:rPr>
                <w:noProof/>
                <w:webHidden/>
              </w:rPr>
              <w:fldChar w:fldCharType="end"/>
            </w:r>
          </w:hyperlink>
        </w:p>
        <w:p w14:paraId="032C9C6C" w14:textId="6A38647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68" w:history="1">
            <w:r w:rsidRPr="001D4C20">
              <w:rPr>
                <w:rStyle w:val="Lienhypertexte"/>
                <w:noProof/>
              </w:rPr>
              <w:t>55.33.1a Portes intérieures, coulissantes, en bois, apparentes CCTB 01.11</w:t>
            </w:r>
            <w:r>
              <w:rPr>
                <w:noProof/>
                <w:webHidden/>
              </w:rPr>
              <w:tab/>
            </w:r>
            <w:r>
              <w:rPr>
                <w:noProof/>
                <w:webHidden/>
              </w:rPr>
              <w:fldChar w:fldCharType="begin"/>
            </w:r>
            <w:r>
              <w:rPr>
                <w:noProof/>
                <w:webHidden/>
              </w:rPr>
              <w:instrText xml:space="preserve"> PAGEREF _Toc220491268 \h </w:instrText>
            </w:r>
            <w:r>
              <w:rPr>
                <w:noProof/>
                <w:webHidden/>
              </w:rPr>
            </w:r>
            <w:r>
              <w:rPr>
                <w:noProof/>
                <w:webHidden/>
              </w:rPr>
              <w:fldChar w:fldCharType="separate"/>
            </w:r>
            <w:r>
              <w:rPr>
                <w:noProof/>
                <w:webHidden/>
              </w:rPr>
              <w:t>657</w:t>
            </w:r>
            <w:r>
              <w:rPr>
                <w:noProof/>
                <w:webHidden/>
              </w:rPr>
              <w:fldChar w:fldCharType="end"/>
            </w:r>
          </w:hyperlink>
        </w:p>
        <w:p w14:paraId="617998D3" w14:textId="02F69D9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69" w:history="1">
            <w:r w:rsidRPr="001D4C20">
              <w:rPr>
                <w:rStyle w:val="Lienhypertexte"/>
                <w:noProof/>
              </w:rPr>
              <w:t>55.33.1b Portes intérieures, coulissantes, en bois, à galandage CCTB 01.11</w:t>
            </w:r>
            <w:r>
              <w:rPr>
                <w:noProof/>
                <w:webHidden/>
              </w:rPr>
              <w:tab/>
            </w:r>
            <w:r>
              <w:rPr>
                <w:noProof/>
                <w:webHidden/>
              </w:rPr>
              <w:fldChar w:fldCharType="begin"/>
            </w:r>
            <w:r>
              <w:rPr>
                <w:noProof/>
                <w:webHidden/>
              </w:rPr>
              <w:instrText xml:space="preserve"> PAGEREF _Toc220491269 \h </w:instrText>
            </w:r>
            <w:r>
              <w:rPr>
                <w:noProof/>
                <w:webHidden/>
              </w:rPr>
            </w:r>
            <w:r>
              <w:rPr>
                <w:noProof/>
                <w:webHidden/>
              </w:rPr>
              <w:fldChar w:fldCharType="separate"/>
            </w:r>
            <w:r>
              <w:rPr>
                <w:noProof/>
                <w:webHidden/>
              </w:rPr>
              <w:t>659</w:t>
            </w:r>
            <w:r>
              <w:rPr>
                <w:noProof/>
                <w:webHidden/>
              </w:rPr>
              <w:fldChar w:fldCharType="end"/>
            </w:r>
          </w:hyperlink>
        </w:p>
        <w:p w14:paraId="10E8BC56" w14:textId="354EDB01"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70" w:history="1">
            <w:r w:rsidRPr="001D4C20">
              <w:rPr>
                <w:rStyle w:val="Lienhypertexte"/>
                <w:noProof/>
              </w:rPr>
              <w:t>55.33.2 Portes intérieures, coulissantes, en aluminium</w:t>
            </w:r>
            <w:r>
              <w:rPr>
                <w:noProof/>
                <w:webHidden/>
              </w:rPr>
              <w:tab/>
            </w:r>
            <w:r>
              <w:rPr>
                <w:noProof/>
                <w:webHidden/>
              </w:rPr>
              <w:fldChar w:fldCharType="begin"/>
            </w:r>
            <w:r>
              <w:rPr>
                <w:noProof/>
                <w:webHidden/>
              </w:rPr>
              <w:instrText xml:space="preserve"> PAGEREF _Toc220491270 \h </w:instrText>
            </w:r>
            <w:r>
              <w:rPr>
                <w:noProof/>
                <w:webHidden/>
              </w:rPr>
            </w:r>
            <w:r>
              <w:rPr>
                <w:noProof/>
                <w:webHidden/>
              </w:rPr>
              <w:fldChar w:fldCharType="separate"/>
            </w:r>
            <w:r>
              <w:rPr>
                <w:noProof/>
                <w:webHidden/>
              </w:rPr>
              <w:t>660</w:t>
            </w:r>
            <w:r>
              <w:rPr>
                <w:noProof/>
                <w:webHidden/>
              </w:rPr>
              <w:fldChar w:fldCharType="end"/>
            </w:r>
          </w:hyperlink>
        </w:p>
        <w:p w14:paraId="4B8DE604" w14:textId="558602A1"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71" w:history="1">
            <w:r w:rsidRPr="001D4C20">
              <w:rPr>
                <w:rStyle w:val="Lienhypertexte"/>
                <w:noProof/>
              </w:rPr>
              <w:t>55.33.3 Portes intérieures, coulissantes, en acier</w:t>
            </w:r>
            <w:r>
              <w:rPr>
                <w:noProof/>
                <w:webHidden/>
              </w:rPr>
              <w:tab/>
            </w:r>
            <w:r>
              <w:rPr>
                <w:noProof/>
                <w:webHidden/>
              </w:rPr>
              <w:fldChar w:fldCharType="begin"/>
            </w:r>
            <w:r>
              <w:rPr>
                <w:noProof/>
                <w:webHidden/>
              </w:rPr>
              <w:instrText xml:space="preserve"> PAGEREF _Toc220491271 \h </w:instrText>
            </w:r>
            <w:r>
              <w:rPr>
                <w:noProof/>
                <w:webHidden/>
              </w:rPr>
            </w:r>
            <w:r>
              <w:rPr>
                <w:noProof/>
                <w:webHidden/>
              </w:rPr>
              <w:fldChar w:fldCharType="separate"/>
            </w:r>
            <w:r>
              <w:rPr>
                <w:noProof/>
                <w:webHidden/>
              </w:rPr>
              <w:t>660</w:t>
            </w:r>
            <w:r>
              <w:rPr>
                <w:noProof/>
                <w:webHidden/>
              </w:rPr>
              <w:fldChar w:fldCharType="end"/>
            </w:r>
          </w:hyperlink>
        </w:p>
        <w:p w14:paraId="1DBDF8D4" w14:textId="09BFFBE5"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72" w:history="1">
            <w:r w:rsidRPr="001D4C20">
              <w:rPr>
                <w:rStyle w:val="Lienhypertexte"/>
                <w:noProof/>
              </w:rPr>
              <w:t>55.33.4 Portes intérieures, coulissantes, en PVC</w:t>
            </w:r>
            <w:r>
              <w:rPr>
                <w:noProof/>
                <w:webHidden/>
              </w:rPr>
              <w:tab/>
            </w:r>
            <w:r>
              <w:rPr>
                <w:noProof/>
                <w:webHidden/>
              </w:rPr>
              <w:fldChar w:fldCharType="begin"/>
            </w:r>
            <w:r>
              <w:rPr>
                <w:noProof/>
                <w:webHidden/>
              </w:rPr>
              <w:instrText xml:space="preserve"> PAGEREF _Toc220491272 \h </w:instrText>
            </w:r>
            <w:r>
              <w:rPr>
                <w:noProof/>
                <w:webHidden/>
              </w:rPr>
            </w:r>
            <w:r>
              <w:rPr>
                <w:noProof/>
                <w:webHidden/>
              </w:rPr>
              <w:fldChar w:fldCharType="separate"/>
            </w:r>
            <w:r>
              <w:rPr>
                <w:noProof/>
                <w:webHidden/>
              </w:rPr>
              <w:t>660</w:t>
            </w:r>
            <w:r>
              <w:rPr>
                <w:noProof/>
                <w:webHidden/>
              </w:rPr>
              <w:fldChar w:fldCharType="end"/>
            </w:r>
          </w:hyperlink>
        </w:p>
        <w:p w14:paraId="1BFF9A89" w14:textId="2178DACB"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73" w:history="1">
            <w:r w:rsidRPr="001D4C20">
              <w:rPr>
                <w:rStyle w:val="Lienhypertexte"/>
                <w:noProof/>
              </w:rPr>
              <w:t>55.33.5 Portes intérieures, coulissantes, en verre</w:t>
            </w:r>
            <w:r>
              <w:rPr>
                <w:noProof/>
                <w:webHidden/>
              </w:rPr>
              <w:tab/>
            </w:r>
            <w:r>
              <w:rPr>
                <w:noProof/>
                <w:webHidden/>
              </w:rPr>
              <w:fldChar w:fldCharType="begin"/>
            </w:r>
            <w:r>
              <w:rPr>
                <w:noProof/>
                <w:webHidden/>
              </w:rPr>
              <w:instrText xml:space="preserve"> PAGEREF _Toc220491273 \h </w:instrText>
            </w:r>
            <w:r>
              <w:rPr>
                <w:noProof/>
                <w:webHidden/>
              </w:rPr>
            </w:r>
            <w:r>
              <w:rPr>
                <w:noProof/>
                <w:webHidden/>
              </w:rPr>
              <w:fldChar w:fldCharType="separate"/>
            </w:r>
            <w:r>
              <w:rPr>
                <w:noProof/>
                <w:webHidden/>
              </w:rPr>
              <w:t>661</w:t>
            </w:r>
            <w:r>
              <w:rPr>
                <w:noProof/>
                <w:webHidden/>
              </w:rPr>
              <w:fldChar w:fldCharType="end"/>
            </w:r>
          </w:hyperlink>
        </w:p>
        <w:p w14:paraId="37D8321E" w14:textId="079084FC"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274" w:history="1">
            <w:r w:rsidRPr="001D4C20">
              <w:rPr>
                <w:rStyle w:val="Lienhypertexte"/>
                <w:noProof/>
              </w:rPr>
              <w:t>55.4 Stores / Volets (protection visuelle/solaire) - manuels ou motorisés CCTB 01.07</w:t>
            </w:r>
            <w:r>
              <w:rPr>
                <w:noProof/>
                <w:webHidden/>
              </w:rPr>
              <w:tab/>
            </w:r>
            <w:r>
              <w:rPr>
                <w:noProof/>
                <w:webHidden/>
              </w:rPr>
              <w:fldChar w:fldCharType="begin"/>
            </w:r>
            <w:r>
              <w:rPr>
                <w:noProof/>
                <w:webHidden/>
              </w:rPr>
              <w:instrText xml:space="preserve"> PAGEREF _Toc220491274 \h </w:instrText>
            </w:r>
            <w:r>
              <w:rPr>
                <w:noProof/>
                <w:webHidden/>
              </w:rPr>
            </w:r>
            <w:r>
              <w:rPr>
                <w:noProof/>
                <w:webHidden/>
              </w:rPr>
              <w:fldChar w:fldCharType="separate"/>
            </w:r>
            <w:r>
              <w:rPr>
                <w:noProof/>
                <w:webHidden/>
              </w:rPr>
              <w:t>661</w:t>
            </w:r>
            <w:r>
              <w:rPr>
                <w:noProof/>
                <w:webHidden/>
              </w:rPr>
              <w:fldChar w:fldCharType="end"/>
            </w:r>
          </w:hyperlink>
        </w:p>
        <w:p w14:paraId="7C077326" w14:textId="19E7009C"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275" w:history="1">
            <w:r w:rsidRPr="001D4C20">
              <w:rPr>
                <w:rStyle w:val="Lienhypertexte"/>
                <w:noProof/>
              </w:rPr>
              <w:t>55.41 Store / volet (protection visuelle/solaire) roulant encastré CCTB 01.02</w:t>
            </w:r>
            <w:r>
              <w:rPr>
                <w:noProof/>
                <w:webHidden/>
              </w:rPr>
              <w:tab/>
            </w:r>
            <w:r>
              <w:rPr>
                <w:noProof/>
                <w:webHidden/>
              </w:rPr>
              <w:fldChar w:fldCharType="begin"/>
            </w:r>
            <w:r>
              <w:rPr>
                <w:noProof/>
                <w:webHidden/>
              </w:rPr>
              <w:instrText xml:space="preserve"> PAGEREF _Toc220491275 \h </w:instrText>
            </w:r>
            <w:r>
              <w:rPr>
                <w:noProof/>
                <w:webHidden/>
              </w:rPr>
            </w:r>
            <w:r>
              <w:rPr>
                <w:noProof/>
                <w:webHidden/>
              </w:rPr>
              <w:fldChar w:fldCharType="separate"/>
            </w:r>
            <w:r>
              <w:rPr>
                <w:noProof/>
                <w:webHidden/>
              </w:rPr>
              <w:t>661</w:t>
            </w:r>
            <w:r>
              <w:rPr>
                <w:noProof/>
                <w:webHidden/>
              </w:rPr>
              <w:fldChar w:fldCharType="end"/>
            </w:r>
          </w:hyperlink>
        </w:p>
        <w:p w14:paraId="44D9793B" w14:textId="3675E59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76" w:history="1">
            <w:r w:rsidRPr="001D4C20">
              <w:rPr>
                <w:rStyle w:val="Lienhypertexte"/>
                <w:noProof/>
              </w:rPr>
              <w:t>55.41.1 Store / volet (protection visuelle/solaire) roulant encastré en bois massif / lamellé-collé CCTB 01.02</w:t>
            </w:r>
            <w:r>
              <w:rPr>
                <w:noProof/>
                <w:webHidden/>
              </w:rPr>
              <w:tab/>
            </w:r>
            <w:r>
              <w:rPr>
                <w:noProof/>
                <w:webHidden/>
              </w:rPr>
              <w:fldChar w:fldCharType="begin"/>
            </w:r>
            <w:r>
              <w:rPr>
                <w:noProof/>
                <w:webHidden/>
              </w:rPr>
              <w:instrText xml:space="preserve"> PAGEREF _Toc220491276 \h </w:instrText>
            </w:r>
            <w:r>
              <w:rPr>
                <w:noProof/>
                <w:webHidden/>
              </w:rPr>
            </w:r>
            <w:r>
              <w:rPr>
                <w:noProof/>
                <w:webHidden/>
              </w:rPr>
              <w:fldChar w:fldCharType="separate"/>
            </w:r>
            <w:r>
              <w:rPr>
                <w:noProof/>
                <w:webHidden/>
              </w:rPr>
              <w:t>661</w:t>
            </w:r>
            <w:r>
              <w:rPr>
                <w:noProof/>
                <w:webHidden/>
              </w:rPr>
              <w:fldChar w:fldCharType="end"/>
            </w:r>
          </w:hyperlink>
        </w:p>
        <w:p w14:paraId="660CB329" w14:textId="67A2657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77" w:history="1">
            <w:r w:rsidRPr="001D4C20">
              <w:rPr>
                <w:rStyle w:val="Lienhypertexte"/>
                <w:noProof/>
              </w:rPr>
              <w:t>55.41.1a Manuel CCTB 01.02</w:t>
            </w:r>
            <w:r>
              <w:rPr>
                <w:noProof/>
                <w:webHidden/>
              </w:rPr>
              <w:tab/>
            </w:r>
            <w:r>
              <w:rPr>
                <w:noProof/>
                <w:webHidden/>
              </w:rPr>
              <w:fldChar w:fldCharType="begin"/>
            </w:r>
            <w:r>
              <w:rPr>
                <w:noProof/>
                <w:webHidden/>
              </w:rPr>
              <w:instrText xml:space="preserve"> PAGEREF _Toc220491277 \h </w:instrText>
            </w:r>
            <w:r>
              <w:rPr>
                <w:noProof/>
                <w:webHidden/>
              </w:rPr>
            </w:r>
            <w:r>
              <w:rPr>
                <w:noProof/>
                <w:webHidden/>
              </w:rPr>
              <w:fldChar w:fldCharType="separate"/>
            </w:r>
            <w:r>
              <w:rPr>
                <w:noProof/>
                <w:webHidden/>
              </w:rPr>
              <w:t>661</w:t>
            </w:r>
            <w:r>
              <w:rPr>
                <w:noProof/>
                <w:webHidden/>
              </w:rPr>
              <w:fldChar w:fldCharType="end"/>
            </w:r>
          </w:hyperlink>
        </w:p>
        <w:p w14:paraId="104206DC" w14:textId="2499FDA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78" w:history="1">
            <w:r w:rsidRPr="001D4C20">
              <w:rPr>
                <w:rStyle w:val="Lienhypertexte"/>
                <w:noProof/>
              </w:rPr>
              <w:t>55.41.1b Motorisé CCTB 01.02</w:t>
            </w:r>
            <w:r>
              <w:rPr>
                <w:noProof/>
                <w:webHidden/>
              </w:rPr>
              <w:tab/>
            </w:r>
            <w:r>
              <w:rPr>
                <w:noProof/>
                <w:webHidden/>
              </w:rPr>
              <w:fldChar w:fldCharType="begin"/>
            </w:r>
            <w:r>
              <w:rPr>
                <w:noProof/>
                <w:webHidden/>
              </w:rPr>
              <w:instrText xml:space="preserve"> PAGEREF _Toc220491278 \h </w:instrText>
            </w:r>
            <w:r>
              <w:rPr>
                <w:noProof/>
                <w:webHidden/>
              </w:rPr>
            </w:r>
            <w:r>
              <w:rPr>
                <w:noProof/>
                <w:webHidden/>
              </w:rPr>
              <w:fldChar w:fldCharType="separate"/>
            </w:r>
            <w:r>
              <w:rPr>
                <w:noProof/>
                <w:webHidden/>
              </w:rPr>
              <w:t>661</w:t>
            </w:r>
            <w:r>
              <w:rPr>
                <w:noProof/>
                <w:webHidden/>
              </w:rPr>
              <w:fldChar w:fldCharType="end"/>
            </w:r>
          </w:hyperlink>
        </w:p>
        <w:p w14:paraId="500DED07" w14:textId="636F8860"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79" w:history="1">
            <w:r w:rsidRPr="001D4C20">
              <w:rPr>
                <w:rStyle w:val="Lienhypertexte"/>
                <w:noProof/>
              </w:rPr>
              <w:t>55.41.2 Store / volet (protection visuelle/solaire) roulant encastré en aluminium  CCTB 01.02</w:t>
            </w:r>
            <w:r>
              <w:rPr>
                <w:noProof/>
                <w:webHidden/>
              </w:rPr>
              <w:tab/>
            </w:r>
            <w:r>
              <w:rPr>
                <w:noProof/>
                <w:webHidden/>
              </w:rPr>
              <w:fldChar w:fldCharType="begin"/>
            </w:r>
            <w:r>
              <w:rPr>
                <w:noProof/>
                <w:webHidden/>
              </w:rPr>
              <w:instrText xml:space="preserve"> PAGEREF _Toc220491279 \h </w:instrText>
            </w:r>
            <w:r>
              <w:rPr>
                <w:noProof/>
                <w:webHidden/>
              </w:rPr>
            </w:r>
            <w:r>
              <w:rPr>
                <w:noProof/>
                <w:webHidden/>
              </w:rPr>
              <w:fldChar w:fldCharType="separate"/>
            </w:r>
            <w:r>
              <w:rPr>
                <w:noProof/>
                <w:webHidden/>
              </w:rPr>
              <w:t>661</w:t>
            </w:r>
            <w:r>
              <w:rPr>
                <w:noProof/>
                <w:webHidden/>
              </w:rPr>
              <w:fldChar w:fldCharType="end"/>
            </w:r>
          </w:hyperlink>
        </w:p>
        <w:p w14:paraId="414B0DD8" w14:textId="6286FFC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80" w:history="1">
            <w:r w:rsidRPr="001D4C20">
              <w:rPr>
                <w:rStyle w:val="Lienhypertexte"/>
                <w:noProof/>
              </w:rPr>
              <w:t>55.41.2a Manuel CCTB 01.02</w:t>
            </w:r>
            <w:r>
              <w:rPr>
                <w:noProof/>
                <w:webHidden/>
              </w:rPr>
              <w:tab/>
            </w:r>
            <w:r>
              <w:rPr>
                <w:noProof/>
                <w:webHidden/>
              </w:rPr>
              <w:fldChar w:fldCharType="begin"/>
            </w:r>
            <w:r>
              <w:rPr>
                <w:noProof/>
                <w:webHidden/>
              </w:rPr>
              <w:instrText xml:space="preserve"> PAGEREF _Toc220491280 \h </w:instrText>
            </w:r>
            <w:r>
              <w:rPr>
                <w:noProof/>
                <w:webHidden/>
              </w:rPr>
            </w:r>
            <w:r>
              <w:rPr>
                <w:noProof/>
                <w:webHidden/>
              </w:rPr>
              <w:fldChar w:fldCharType="separate"/>
            </w:r>
            <w:r>
              <w:rPr>
                <w:noProof/>
                <w:webHidden/>
              </w:rPr>
              <w:t>661</w:t>
            </w:r>
            <w:r>
              <w:rPr>
                <w:noProof/>
                <w:webHidden/>
              </w:rPr>
              <w:fldChar w:fldCharType="end"/>
            </w:r>
          </w:hyperlink>
        </w:p>
        <w:p w14:paraId="775EEB4F" w14:textId="2613E7F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81" w:history="1">
            <w:r w:rsidRPr="001D4C20">
              <w:rPr>
                <w:rStyle w:val="Lienhypertexte"/>
                <w:noProof/>
              </w:rPr>
              <w:t>55.41.2b Motorisé CCTB 01.02</w:t>
            </w:r>
            <w:r>
              <w:rPr>
                <w:noProof/>
                <w:webHidden/>
              </w:rPr>
              <w:tab/>
            </w:r>
            <w:r>
              <w:rPr>
                <w:noProof/>
                <w:webHidden/>
              </w:rPr>
              <w:fldChar w:fldCharType="begin"/>
            </w:r>
            <w:r>
              <w:rPr>
                <w:noProof/>
                <w:webHidden/>
              </w:rPr>
              <w:instrText xml:space="preserve"> PAGEREF _Toc220491281 \h </w:instrText>
            </w:r>
            <w:r>
              <w:rPr>
                <w:noProof/>
                <w:webHidden/>
              </w:rPr>
            </w:r>
            <w:r>
              <w:rPr>
                <w:noProof/>
                <w:webHidden/>
              </w:rPr>
              <w:fldChar w:fldCharType="separate"/>
            </w:r>
            <w:r>
              <w:rPr>
                <w:noProof/>
                <w:webHidden/>
              </w:rPr>
              <w:t>661</w:t>
            </w:r>
            <w:r>
              <w:rPr>
                <w:noProof/>
                <w:webHidden/>
              </w:rPr>
              <w:fldChar w:fldCharType="end"/>
            </w:r>
          </w:hyperlink>
        </w:p>
        <w:p w14:paraId="0F763FB8" w14:textId="56AEB2E1"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82" w:history="1">
            <w:r w:rsidRPr="001D4C20">
              <w:rPr>
                <w:rStyle w:val="Lienhypertexte"/>
                <w:noProof/>
              </w:rPr>
              <w:t>55.41.3 Store / volet (protection visuelle/solaire) roulant encastré en acier  CCTB 01.02</w:t>
            </w:r>
            <w:r>
              <w:rPr>
                <w:noProof/>
                <w:webHidden/>
              </w:rPr>
              <w:tab/>
            </w:r>
            <w:r>
              <w:rPr>
                <w:noProof/>
                <w:webHidden/>
              </w:rPr>
              <w:fldChar w:fldCharType="begin"/>
            </w:r>
            <w:r>
              <w:rPr>
                <w:noProof/>
                <w:webHidden/>
              </w:rPr>
              <w:instrText xml:space="preserve"> PAGEREF _Toc220491282 \h </w:instrText>
            </w:r>
            <w:r>
              <w:rPr>
                <w:noProof/>
                <w:webHidden/>
              </w:rPr>
            </w:r>
            <w:r>
              <w:rPr>
                <w:noProof/>
                <w:webHidden/>
              </w:rPr>
              <w:fldChar w:fldCharType="separate"/>
            </w:r>
            <w:r>
              <w:rPr>
                <w:noProof/>
                <w:webHidden/>
              </w:rPr>
              <w:t>661</w:t>
            </w:r>
            <w:r>
              <w:rPr>
                <w:noProof/>
                <w:webHidden/>
              </w:rPr>
              <w:fldChar w:fldCharType="end"/>
            </w:r>
          </w:hyperlink>
        </w:p>
        <w:p w14:paraId="46773FCC" w14:textId="3A97B4E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83" w:history="1">
            <w:r w:rsidRPr="001D4C20">
              <w:rPr>
                <w:rStyle w:val="Lienhypertexte"/>
                <w:noProof/>
              </w:rPr>
              <w:t>55.41.3a Manuel CCTB 01.02</w:t>
            </w:r>
            <w:r>
              <w:rPr>
                <w:noProof/>
                <w:webHidden/>
              </w:rPr>
              <w:tab/>
            </w:r>
            <w:r>
              <w:rPr>
                <w:noProof/>
                <w:webHidden/>
              </w:rPr>
              <w:fldChar w:fldCharType="begin"/>
            </w:r>
            <w:r>
              <w:rPr>
                <w:noProof/>
                <w:webHidden/>
              </w:rPr>
              <w:instrText xml:space="preserve"> PAGEREF _Toc220491283 \h </w:instrText>
            </w:r>
            <w:r>
              <w:rPr>
                <w:noProof/>
                <w:webHidden/>
              </w:rPr>
            </w:r>
            <w:r>
              <w:rPr>
                <w:noProof/>
                <w:webHidden/>
              </w:rPr>
              <w:fldChar w:fldCharType="separate"/>
            </w:r>
            <w:r>
              <w:rPr>
                <w:noProof/>
                <w:webHidden/>
              </w:rPr>
              <w:t>661</w:t>
            </w:r>
            <w:r>
              <w:rPr>
                <w:noProof/>
                <w:webHidden/>
              </w:rPr>
              <w:fldChar w:fldCharType="end"/>
            </w:r>
          </w:hyperlink>
        </w:p>
        <w:p w14:paraId="67D759A9" w14:textId="56235B5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84" w:history="1">
            <w:r w:rsidRPr="001D4C20">
              <w:rPr>
                <w:rStyle w:val="Lienhypertexte"/>
                <w:noProof/>
              </w:rPr>
              <w:t>55.41.3b Motorisé CCTB 01.02</w:t>
            </w:r>
            <w:r>
              <w:rPr>
                <w:noProof/>
                <w:webHidden/>
              </w:rPr>
              <w:tab/>
            </w:r>
            <w:r>
              <w:rPr>
                <w:noProof/>
                <w:webHidden/>
              </w:rPr>
              <w:fldChar w:fldCharType="begin"/>
            </w:r>
            <w:r>
              <w:rPr>
                <w:noProof/>
                <w:webHidden/>
              </w:rPr>
              <w:instrText xml:space="preserve"> PAGEREF _Toc220491284 \h </w:instrText>
            </w:r>
            <w:r>
              <w:rPr>
                <w:noProof/>
                <w:webHidden/>
              </w:rPr>
            </w:r>
            <w:r>
              <w:rPr>
                <w:noProof/>
                <w:webHidden/>
              </w:rPr>
              <w:fldChar w:fldCharType="separate"/>
            </w:r>
            <w:r>
              <w:rPr>
                <w:noProof/>
                <w:webHidden/>
              </w:rPr>
              <w:t>661</w:t>
            </w:r>
            <w:r>
              <w:rPr>
                <w:noProof/>
                <w:webHidden/>
              </w:rPr>
              <w:fldChar w:fldCharType="end"/>
            </w:r>
          </w:hyperlink>
        </w:p>
        <w:p w14:paraId="4B979F75" w14:textId="7EAFBBB2"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85" w:history="1">
            <w:r w:rsidRPr="001D4C20">
              <w:rPr>
                <w:rStyle w:val="Lienhypertexte"/>
                <w:noProof/>
              </w:rPr>
              <w:t>55.41.4 Store / volet (protection visuelle/solaire) roulant encastré en PVC CCTB 01.10</w:t>
            </w:r>
            <w:r>
              <w:rPr>
                <w:noProof/>
                <w:webHidden/>
              </w:rPr>
              <w:tab/>
            </w:r>
            <w:r>
              <w:rPr>
                <w:noProof/>
                <w:webHidden/>
              </w:rPr>
              <w:fldChar w:fldCharType="begin"/>
            </w:r>
            <w:r>
              <w:rPr>
                <w:noProof/>
                <w:webHidden/>
              </w:rPr>
              <w:instrText xml:space="preserve"> PAGEREF _Toc220491285 \h </w:instrText>
            </w:r>
            <w:r>
              <w:rPr>
                <w:noProof/>
                <w:webHidden/>
              </w:rPr>
            </w:r>
            <w:r>
              <w:rPr>
                <w:noProof/>
                <w:webHidden/>
              </w:rPr>
              <w:fldChar w:fldCharType="separate"/>
            </w:r>
            <w:r>
              <w:rPr>
                <w:noProof/>
                <w:webHidden/>
              </w:rPr>
              <w:t>661</w:t>
            </w:r>
            <w:r>
              <w:rPr>
                <w:noProof/>
                <w:webHidden/>
              </w:rPr>
              <w:fldChar w:fldCharType="end"/>
            </w:r>
          </w:hyperlink>
        </w:p>
        <w:p w14:paraId="12CD1709" w14:textId="14ACF67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86" w:history="1">
            <w:r w:rsidRPr="001D4C20">
              <w:rPr>
                <w:rStyle w:val="Lienhypertexte"/>
                <w:noProof/>
              </w:rPr>
              <w:t>55.41.4a Manuel CCTB 01.10</w:t>
            </w:r>
            <w:r>
              <w:rPr>
                <w:noProof/>
                <w:webHidden/>
              </w:rPr>
              <w:tab/>
            </w:r>
            <w:r>
              <w:rPr>
                <w:noProof/>
                <w:webHidden/>
              </w:rPr>
              <w:fldChar w:fldCharType="begin"/>
            </w:r>
            <w:r>
              <w:rPr>
                <w:noProof/>
                <w:webHidden/>
              </w:rPr>
              <w:instrText xml:space="preserve"> PAGEREF _Toc220491286 \h </w:instrText>
            </w:r>
            <w:r>
              <w:rPr>
                <w:noProof/>
                <w:webHidden/>
              </w:rPr>
            </w:r>
            <w:r>
              <w:rPr>
                <w:noProof/>
                <w:webHidden/>
              </w:rPr>
              <w:fldChar w:fldCharType="separate"/>
            </w:r>
            <w:r>
              <w:rPr>
                <w:noProof/>
                <w:webHidden/>
              </w:rPr>
              <w:t>662</w:t>
            </w:r>
            <w:r>
              <w:rPr>
                <w:noProof/>
                <w:webHidden/>
              </w:rPr>
              <w:fldChar w:fldCharType="end"/>
            </w:r>
          </w:hyperlink>
        </w:p>
        <w:p w14:paraId="60F96B57" w14:textId="7C9CC60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87" w:history="1">
            <w:r w:rsidRPr="001D4C20">
              <w:rPr>
                <w:rStyle w:val="Lienhypertexte"/>
                <w:noProof/>
              </w:rPr>
              <w:t>55.41.4b Motorisé CCTB 01.10</w:t>
            </w:r>
            <w:r>
              <w:rPr>
                <w:noProof/>
                <w:webHidden/>
              </w:rPr>
              <w:tab/>
            </w:r>
            <w:r>
              <w:rPr>
                <w:noProof/>
                <w:webHidden/>
              </w:rPr>
              <w:fldChar w:fldCharType="begin"/>
            </w:r>
            <w:r>
              <w:rPr>
                <w:noProof/>
                <w:webHidden/>
              </w:rPr>
              <w:instrText xml:space="preserve"> PAGEREF _Toc220491287 \h </w:instrText>
            </w:r>
            <w:r>
              <w:rPr>
                <w:noProof/>
                <w:webHidden/>
              </w:rPr>
            </w:r>
            <w:r>
              <w:rPr>
                <w:noProof/>
                <w:webHidden/>
              </w:rPr>
              <w:fldChar w:fldCharType="separate"/>
            </w:r>
            <w:r>
              <w:rPr>
                <w:noProof/>
                <w:webHidden/>
              </w:rPr>
              <w:t>662</w:t>
            </w:r>
            <w:r>
              <w:rPr>
                <w:noProof/>
                <w:webHidden/>
              </w:rPr>
              <w:fldChar w:fldCharType="end"/>
            </w:r>
          </w:hyperlink>
        </w:p>
        <w:p w14:paraId="5B97D5D9" w14:textId="00EDA140"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88" w:history="1">
            <w:r w:rsidRPr="001D4C20">
              <w:rPr>
                <w:rStyle w:val="Lienhypertexte"/>
                <w:noProof/>
              </w:rPr>
              <w:t>55.41.5 Store / volet (protection visuelle/solaire) roulant encastré en matériaux composites CCTB 01.02</w:t>
            </w:r>
            <w:r>
              <w:rPr>
                <w:noProof/>
                <w:webHidden/>
              </w:rPr>
              <w:tab/>
            </w:r>
            <w:r>
              <w:rPr>
                <w:noProof/>
                <w:webHidden/>
              </w:rPr>
              <w:fldChar w:fldCharType="begin"/>
            </w:r>
            <w:r>
              <w:rPr>
                <w:noProof/>
                <w:webHidden/>
              </w:rPr>
              <w:instrText xml:space="preserve"> PAGEREF _Toc220491288 \h </w:instrText>
            </w:r>
            <w:r>
              <w:rPr>
                <w:noProof/>
                <w:webHidden/>
              </w:rPr>
            </w:r>
            <w:r>
              <w:rPr>
                <w:noProof/>
                <w:webHidden/>
              </w:rPr>
              <w:fldChar w:fldCharType="separate"/>
            </w:r>
            <w:r>
              <w:rPr>
                <w:noProof/>
                <w:webHidden/>
              </w:rPr>
              <w:t>663</w:t>
            </w:r>
            <w:r>
              <w:rPr>
                <w:noProof/>
                <w:webHidden/>
              </w:rPr>
              <w:fldChar w:fldCharType="end"/>
            </w:r>
          </w:hyperlink>
        </w:p>
        <w:p w14:paraId="6AF3DF97" w14:textId="0BD60EE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89" w:history="1">
            <w:r w:rsidRPr="001D4C20">
              <w:rPr>
                <w:rStyle w:val="Lienhypertexte"/>
                <w:noProof/>
              </w:rPr>
              <w:t>55.41.5a Store / volet (protection visuelle/solaire) roulant encastré en matériaux composites CCTB 01.02</w:t>
            </w:r>
            <w:r>
              <w:rPr>
                <w:noProof/>
                <w:webHidden/>
              </w:rPr>
              <w:tab/>
            </w:r>
            <w:r>
              <w:rPr>
                <w:noProof/>
                <w:webHidden/>
              </w:rPr>
              <w:fldChar w:fldCharType="begin"/>
            </w:r>
            <w:r>
              <w:rPr>
                <w:noProof/>
                <w:webHidden/>
              </w:rPr>
              <w:instrText xml:space="preserve"> PAGEREF _Toc220491289 \h </w:instrText>
            </w:r>
            <w:r>
              <w:rPr>
                <w:noProof/>
                <w:webHidden/>
              </w:rPr>
            </w:r>
            <w:r>
              <w:rPr>
                <w:noProof/>
                <w:webHidden/>
              </w:rPr>
              <w:fldChar w:fldCharType="separate"/>
            </w:r>
            <w:r>
              <w:rPr>
                <w:noProof/>
                <w:webHidden/>
              </w:rPr>
              <w:t>663</w:t>
            </w:r>
            <w:r>
              <w:rPr>
                <w:noProof/>
                <w:webHidden/>
              </w:rPr>
              <w:fldChar w:fldCharType="end"/>
            </w:r>
          </w:hyperlink>
        </w:p>
        <w:p w14:paraId="28D58411" w14:textId="6A7F8354"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290" w:history="1">
            <w:r w:rsidRPr="001D4C20">
              <w:rPr>
                <w:rStyle w:val="Lienhypertexte"/>
                <w:noProof/>
              </w:rPr>
              <w:t>55.42 Store / volet (protection visuelle/solaire) roulant appliqué CCTB 01.02</w:t>
            </w:r>
            <w:r>
              <w:rPr>
                <w:noProof/>
                <w:webHidden/>
              </w:rPr>
              <w:tab/>
            </w:r>
            <w:r>
              <w:rPr>
                <w:noProof/>
                <w:webHidden/>
              </w:rPr>
              <w:fldChar w:fldCharType="begin"/>
            </w:r>
            <w:r>
              <w:rPr>
                <w:noProof/>
                <w:webHidden/>
              </w:rPr>
              <w:instrText xml:space="preserve"> PAGEREF _Toc220491290 \h </w:instrText>
            </w:r>
            <w:r>
              <w:rPr>
                <w:noProof/>
                <w:webHidden/>
              </w:rPr>
            </w:r>
            <w:r>
              <w:rPr>
                <w:noProof/>
                <w:webHidden/>
              </w:rPr>
              <w:fldChar w:fldCharType="separate"/>
            </w:r>
            <w:r>
              <w:rPr>
                <w:noProof/>
                <w:webHidden/>
              </w:rPr>
              <w:t>663</w:t>
            </w:r>
            <w:r>
              <w:rPr>
                <w:noProof/>
                <w:webHidden/>
              </w:rPr>
              <w:fldChar w:fldCharType="end"/>
            </w:r>
          </w:hyperlink>
        </w:p>
        <w:p w14:paraId="22383C58" w14:textId="3D114E96"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91" w:history="1">
            <w:r w:rsidRPr="001D4C20">
              <w:rPr>
                <w:rStyle w:val="Lienhypertexte"/>
                <w:noProof/>
              </w:rPr>
              <w:t>55.42.1 Store / volet (protection visuelle/solaire) roulant appliqué en bois massif / lamellé-collé CCTB 01.02</w:t>
            </w:r>
            <w:r>
              <w:rPr>
                <w:noProof/>
                <w:webHidden/>
              </w:rPr>
              <w:tab/>
            </w:r>
            <w:r>
              <w:rPr>
                <w:noProof/>
                <w:webHidden/>
              </w:rPr>
              <w:fldChar w:fldCharType="begin"/>
            </w:r>
            <w:r>
              <w:rPr>
                <w:noProof/>
                <w:webHidden/>
              </w:rPr>
              <w:instrText xml:space="preserve"> PAGEREF _Toc220491291 \h </w:instrText>
            </w:r>
            <w:r>
              <w:rPr>
                <w:noProof/>
                <w:webHidden/>
              </w:rPr>
            </w:r>
            <w:r>
              <w:rPr>
                <w:noProof/>
                <w:webHidden/>
              </w:rPr>
              <w:fldChar w:fldCharType="separate"/>
            </w:r>
            <w:r>
              <w:rPr>
                <w:noProof/>
                <w:webHidden/>
              </w:rPr>
              <w:t>663</w:t>
            </w:r>
            <w:r>
              <w:rPr>
                <w:noProof/>
                <w:webHidden/>
              </w:rPr>
              <w:fldChar w:fldCharType="end"/>
            </w:r>
          </w:hyperlink>
        </w:p>
        <w:p w14:paraId="626FD056" w14:textId="218A856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92" w:history="1">
            <w:r w:rsidRPr="001D4C20">
              <w:rPr>
                <w:rStyle w:val="Lienhypertexte"/>
                <w:noProof/>
              </w:rPr>
              <w:t>55.42.1a Manuel CCTB 01.02</w:t>
            </w:r>
            <w:r>
              <w:rPr>
                <w:noProof/>
                <w:webHidden/>
              </w:rPr>
              <w:tab/>
            </w:r>
            <w:r>
              <w:rPr>
                <w:noProof/>
                <w:webHidden/>
              </w:rPr>
              <w:fldChar w:fldCharType="begin"/>
            </w:r>
            <w:r>
              <w:rPr>
                <w:noProof/>
                <w:webHidden/>
              </w:rPr>
              <w:instrText xml:space="preserve"> PAGEREF _Toc220491292 \h </w:instrText>
            </w:r>
            <w:r>
              <w:rPr>
                <w:noProof/>
                <w:webHidden/>
              </w:rPr>
            </w:r>
            <w:r>
              <w:rPr>
                <w:noProof/>
                <w:webHidden/>
              </w:rPr>
              <w:fldChar w:fldCharType="separate"/>
            </w:r>
            <w:r>
              <w:rPr>
                <w:noProof/>
                <w:webHidden/>
              </w:rPr>
              <w:t>663</w:t>
            </w:r>
            <w:r>
              <w:rPr>
                <w:noProof/>
                <w:webHidden/>
              </w:rPr>
              <w:fldChar w:fldCharType="end"/>
            </w:r>
          </w:hyperlink>
        </w:p>
        <w:p w14:paraId="7698614F" w14:textId="22F4E8B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93" w:history="1">
            <w:r w:rsidRPr="001D4C20">
              <w:rPr>
                <w:rStyle w:val="Lienhypertexte"/>
                <w:noProof/>
              </w:rPr>
              <w:t>55.42.1b Motorisé CCTB 01.02</w:t>
            </w:r>
            <w:r>
              <w:rPr>
                <w:noProof/>
                <w:webHidden/>
              </w:rPr>
              <w:tab/>
            </w:r>
            <w:r>
              <w:rPr>
                <w:noProof/>
                <w:webHidden/>
              </w:rPr>
              <w:fldChar w:fldCharType="begin"/>
            </w:r>
            <w:r>
              <w:rPr>
                <w:noProof/>
                <w:webHidden/>
              </w:rPr>
              <w:instrText xml:space="preserve"> PAGEREF _Toc220491293 \h </w:instrText>
            </w:r>
            <w:r>
              <w:rPr>
                <w:noProof/>
                <w:webHidden/>
              </w:rPr>
            </w:r>
            <w:r>
              <w:rPr>
                <w:noProof/>
                <w:webHidden/>
              </w:rPr>
              <w:fldChar w:fldCharType="separate"/>
            </w:r>
            <w:r>
              <w:rPr>
                <w:noProof/>
                <w:webHidden/>
              </w:rPr>
              <w:t>663</w:t>
            </w:r>
            <w:r>
              <w:rPr>
                <w:noProof/>
                <w:webHidden/>
              </w:rPr>
              <w:fldChar w:fldCharType="end"/>
            </w:r>
          </w:hyperlink>
        </w:p>
        <w:p w14:paraId="4EDA0D62" w14:textId="34308BA7"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94" w:history="1">
            <w:r w:rsidRPr="001D4C20">
              <w:rPr>
                <w:rStyle w:val="Lienhypertexte"/>
                <w:noProof/>
              </w:rPr>
              <w:t>55.42.2 Store / volet (protection visuelle/solaire) roulant appliqué en aluminium  CCTB 01.02</w:t>
            </w:r>
            <w:r>
              <w:rPr>
                <w:noProof/>
                <w:webHidden/>
              </w:rPr>
              <w:tab/>
            </w:r>
            <w:r>
              <w:rPr>
                <w:noProof/>
                <w:webHidden/>
              </w:rPr>
              <w:fldChar w:fldCharType="begin"/>
            </w:r>
            <w:r>
              <w:rPr>
                <w:noProof/>
                <w:webHidden/>
              </w:rPr>
              <w:instrText xml:space="preserve"> PAGEREF _Toc220491294 \h </w:instrText>
            </w:r>
            <w:r>
              <w:rPr>
                <w:noProof/>
                <w:webHidden/>
              </w:rPr>
            </w:r>
            <w:r>
              <w:rPr>
                <w:noProof/>
                <w:webHidden/>
              </w:rPr>
              <w:fldChar w:fldCharType="separate"/>
            </w:r>
            <w:r>
              <w:rPr>
                <w:noProof/>
                <w:webHidden/>
              </w:rPr>
              <w:t>663</w:t>
            </w:r>
            <w:r>
              <w:rPr>
                <w:noProof/>
                <w:webHidden/>
              </w:rPr>
              <w:fldChar w:fldCharType="end"/>
            </w:r>
          </w:hyperlink>
        </w:p>
        <w:p w14:paraId="1E4041D8" w14:textId="195278C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95" w:history="1">
            <w:r w:rsidRPr="001D4C20">
              <w:rPr>
                <w:rStyle w:val="Lienhypertexte"/>
                <w:noProof/>
              </w:rPr>
              <w:t>55.42.2a Manuel CCTB 01.02</w:t>
            </w:r>
            <w:r>
              <w:rPr>
                <w:noProof/>
                <w:webHidden/>
              </w:rPr>
              <w:tab/>
            </w:r>
            <w:r>
              <w:rPr>
                <w:noProof/>
                <w:webHidden/>
              </w:rPr>
              <w:fldChar w:fldCharType="begin"/>
            </w:r>
            <w:r>
              <w:rPr>
                <w:noProof/>
                <w:webHidden/>
              </w:rPr>
              <w:instrText xml:space="preserve"> PAGEREF _Toc220491295 \h </w:instrText>
            </w:r>
            <w:r>
              <w:rPr>
                <w:noProof/>
                <w:webHidden/>
              </w:rPr>
            </w:r>
            <w:r>
              <w:rPr>
                <w:noProof/>
                <w:webHidden/>
              </w:rPr>
              <w:fldChar w:fldCharType="separate"/>
            </w:r>
            <w:r>
              <w:rPr>
                <w:noProof/>
                <w:webHidden/>
              </w:rPr>
              <w:t>663</w:t>
            </w:r>
            <w:r>
              <w:rPr>
                <w:noProof/>
                <w:webHidden/>
              </w:rPr>
              <w:fldChar w:fldCharType="end"/>
            </w:r>
          </w:hyperlink>
        </w:p>
        <w:p w14:paraId="222ABBC2" w14:textId="09D1A91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96" w:history="1">
            <w:r w:rsidRPr="001D4C20">
              <w:rPr>
                <w:rStyle w:val="Lienhypertexte"/>
                <w:noProof/>
              </w:rPr>
              <w:t>55.42.2b Motorisé CCTB 01.02</w:t>
            </w:r>
            <w:r>
              <w:rPr>
                <w:noProof/>
                <w:webHidden/>
              </w:rPr>
              <w:tab/>
            </w:r>
            <w:r>
              <w:rPr>
                <w:noProof/>
                <w:webHidden/>
              </w:rPr>
              <w:fldChar w:fldCharType="begin"/>
            </w:r>
            <w:r>
              <w:rPr>
                <w:noProof/>
                <w:webHidden/>
              </w:rPr>
              <w:instrText xml:space="preserve"> PAGEREF _Toc220491296 \h </w:instrText>
            </w:r>
            <w:r>
              <w:rPr>
                <w:noProof/>
                <w:webHidden/>
              </w:rPr>
            </w:r>
            <w:r>
              <w:rPr>
                <w:noProof/>
                <w:webHidden/>
              </w:rPr>
              <w:fldChar w:fldCharType="separate"/>
            </w:r>
            <w:r>
              <w:rPr>
                <w:noProof/>
                <w:webHidden/>
              </w:rPr>
              <w:t>663</w:t>
            </w:r>
            <w:r>
              <w:rPr>
                <w:noProof/>
                <w:webHidden/>
              </w:rPr>
              <w:fldChar w:fldCharType="end"/>
            </w:r>
          </w:hyperlink>
        </w:p>
        <w:p w14:paraId="5C71D578" w14:textId="4D1B41E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97" w:history="1">
            <w:r w:rsidRPr="001D4C20">
              <w:rPr>
                <w:rStyle w:val="Lienhypertexte"/>
                <w:noProof/>
              </w:rPr>
              <w:t>55.42.3 Store / volet (protection visuelle/solaire) roulant appliqué en acier  CCTB 01.02</w:t>
            </w:r>
            <w:r>
              <w:rPr>
                <w:noProof/>
                <w:webHidden/>
              </w:rPr>
              <w:tab/>
            </w:r>
            <w:r>
              <w:rPr>
                <w:noProof/>
                <w:webHidden/>
              </w:rPr>
              <w:fldChar w:fldCharType="begin"/>
            </w:r>
            <w:r>
              <w:rPr>
                <w:noProof/>
                <w:webHidden/>
              </w:rPr>
              <w:instrText xml:space="preserve"> PAGEREF _Toc220491297 \h </w:instrText>
            </w:r>
            <w:r>
              <w:rPr>
                <w:noProof/>
                <w:webHidden/>
              </w:rPr>
            </w:r>
            <w:r>
              <w:rPr>
                <w:noProof/>
                <w:webHidden/>
              </w:rPr>
              <w:fldChar w:fldCharType="separate"/>
            </w:r>
            <w:r>
              <w:rPr>
                <w:noProof/>
                <w:webHidden/>
              </w:rPr>
              <w:t>663</w:t>
            </w:r>
            <w:r>
              <w:rPr>
                <w:noProof/>
                <w:webHidden/>
              </w:rPr>
              <w:fldChar w:fldCharType="end"/>
            </w:r>
          </w:hyperlink>
        </w:p>
        <w:p w14:paraId="16174E30" w14:textId="4AC9AD5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98" w:history="1">
            <w:r w:rsidRPr="001D4C20">
              <w:rPr>
                <w:rStyle w:val="Lienhypertexte"/>
                <w:noProof/>
              </w:rPr>
              <w:t>55.42.3a Manuel CCTB 01.02</w:t>
            </w:r>
            <w:r>
              <w:rPr>
                <w:noProof/>
                <w:webHidden/>
              </w:rPr>
              <w:tab/>
            </w:r>
            <w:r>
              <w:rPr>
                <w:noProof/>
                <w:webHidden/>
              </w:rPr>
              <w:fldChar w:fldCharType="begin"/>
            </w:r>
            <w:r>
              <w:rPr>
                <w:noProof/>
                <w:webHidden/>
              </w:rPr>
              <w:instrText xml:space="preserve"> PAGEREF _Toc220491298 \h </w:instrText>
            </w:r>
            <w:r>
              <w:rPr>
                <w:noProof/>
                <w:webHidden/>
              </w:rPr>
            </w:r>
            <w:r>
              <w:rPr>
                <w:noProof/>
                <w:webHidden/>
              </w:rPr>
              <w:fldChar w:fldCharType="separate"/>
            </w:r>
            <w:r>
              <w:rPr>
                <w:noProof/>
                <w:webHidden/>
              </w:rPr>
              <w:t>663</w:t>
            </w:r>
            <w:r>
              <w:rPr>
                <w:noProof/>
                <w:webHidden/>
              </w:rPr>
              <w:fldChar w:fldCharType="end"/>
            </w:r>
          </w:hyperlink>
        </w:p>
        <w:p w14:paraId="171F4901" w14:textId="2689C0E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99" w:history="1">
            <w:r w:rsidRPr="001D4C20">
              <w:rPr>
                <w:rStyle w:val="Lienhypertexte"/>
                <w:noProof/>
              </w:rPr>
              <w:t>55.42.3b Motorisé CCTB 01.02</w:t>
            </w:r>
            <w:r>
              <w:rPr>
                <w:noProof/>
                <w:webHidden/>
              </w:rPr>
              <w:tab/>
            </w:r>
            <w:r>
              <w:rPr>
                <w:noProof/>
                <w:webHidden/>
              </w:rPr>
              <w:fldChar w:fldCharType="begin"/>
            </w:r>
            <w:r>
              <w:rPr>
                <w:noProof/>
                <w:webHidden/>
              </w:rPr>
              <w:instrText xml:space="preserve"> PAGEREF _Toc220491299 \h </w:instrText>
            </w:r>
            <w:r>
              <w:rPr>
                <w:noProof/>
                <w:webHidden/>
              </w:rPr>
            </w:r>
            <w:r>
              <w:rPr>
                <w:noProof/>
                <w:webHidden/>
              </w:rPr>
              <w:fldChar w:fldCharType="separate"/>
            </w:r>
            <w:r>
              <w:rPr>
                <w:noProof/>
                <w:webHidden/>
              </w:rPr>
              <w:t>663</w:t>
            </w:r>
            <w:r>
              <w:rPr>
                <w:noProof/>
                <w:webHidden/>
              </w:rPr>
              <w:fldChar w:fldCharType="end"/>
            </w:r>
          </w:hyperlink>
        </w:p>
        <w:p w14:paraId="26405C5E" w14:textId="59DDC6E2"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00" w:history="1">
            <w:r w:rsidRPr="001D4C20">
              <w:rPr>
                <w:rStyle w:val="Lienhypertexte"/>
                <w:noProof/>
              </w:rPr>
              <w:t>55.42.4 Store / volet (protection visuelle/solaire) roulant appliqué en PVC CCTB 01.10</w:t>
            </w:r>
            <w:r>
              <w:rPr>
                <w:noProof/>
                <w:webHidden/>
              </w:rPr>
              <w:tab/>
            </w:r>
            <w:r>
              <w:rPr>
                <w:noProof/>
                <w:webHidden/>
              </w:rPr>
              <w:fldChar w:fldCharType="begin"/>
            </w:r>
            <w:r>
              <w:rPr>
                <w:noProof/>
                <w:webHidden/>
              </w:rPr>
              <w:instrText xml:space="preserve"> PAGEREF _Toc220491300 \h </w:instrText>
            </w:r>
            <w:r>
              <w:rPr>
                <w:noProof/>
                <w:webHidden/>
              </w:rPr>
            </w:r>
            <w:r>
              <w:rPr>
                <w:noProof/>
                <w:webHidden/>
              </w:rPr>
              <w:fldChar w:fldCharType="separate"/>
            </w:r>
            <w:r>
              <w:rPr>
                <w:noProof/>
                <w:webHidden/>
              </w:rPr>
              <w:t>663</w:t>
            </w:r>
            <w:r>
              <w:rPr>
                <w:noProof/>
                <w:webHidden/>
              </w:rPr>
              <w:fldChar w:fldCharType="end"/>
            </w:r>
          </w:hyperlink>
        </w:p>
        <w:p w14:paraId="0E24540C" w14:textId="6ECFDE2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01" w:history="1">
            <w:r w:rsidRPr="001D4C20">
              <w:rPr>
                <w:rStyle w:val="Lienhypertexte"/>
                <w:noProof/>
              </w:rPr>
              <w:t>55.42.4a Manuel CCTB 01.10</w:t>
            </w:r>
            <w:r>
              <w:rPr>
                <w:noProof/>
                <w:webHidden/>
              </w:rPr>
              <w:tab/>
            </w:r>
            <w:r>
              <w:rPr>
                <w:noProof/>
                <w:webHidden/>
              </w:rPr>
              <w:fldChar w:fldCharType="begin"/>
            </w:r>
            <w:r>
              <w:rPr>
                <w:noProof/>
                <w:webHidden/>
              </w:rPr>
              <w:instrText xml:space="preserve"> PAGEREF _Toc220491301 \h </w:instrText>
            </w:r>
            <w:r>
              <w:rPr>
                <w:noProof/>
                <w:webHidden/>
              </w:rPr>
            </w:r>
            <w:r>
              <w:rPr>
                <w:noProof/>
                <w:webHidden/>
              </w:rPr>
              <w:fldChar w:fldCharType="separate"/>
            </w:r>
            <w:r>
              <w:rPr>
                <w:noProof/>
                <w:webHidden/>
              </w:rPr>
              <w:t>664</w:t>
            </w:r>
            <w:r>
              <w:rPr>
                <w:noProof/>
                <w:webHidden/>
              </w:rPr>
              <w:fldChar w:fldCharType="end"/>
            </w:r>
          </w:hyperlink>
        </w:p>
        <w:p w14:paraId="22B9184B" w14:textId="52EBC4A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02" w:history="1">
            <w:r w:rsidRPr="001D4C20">
              <w:rPr>
                <w:rStyle w:val="Lienhypertexte"/>
                <w:noProof/>
              </w:rPr>
              <w:t>55.42.4b Motorisé CCTB 01.10</w:t>
            </w:r>
            <w:r>
              <w:rPr>
                <w:noProof/>
                <w:webHidden/>
              </w:rPr>
              <w:tab/>
            </w:r>
            <w:r>
              <w:rPr>
                <w:noProof/>
                <w:webHidden/>
              </w:rPr>
              <w:fldChar w:fldCharType="begin"/>
            </w:r>
            <w:r>
              <w:rPr>
                <w:noProof/>
                <w:webHidden/>
              </w:rPr>
              <w:instrText xml:space="preserve"> PAGEREF _Toc220491302 \h </w:instrText>
            </w:r>
            <w:r>
              <w:rPr>
                <w:noProof/>
                <w:webHidden/>
              </w:rPr>
            </w:r>
            <w:r>
              <w:rPr>
                <w:noProof/>
                <w:webHidden/>
              </w:rPr>
              <w:fldChar w:fldCharType="separate"/>
            </w:r>
            <w:r>
              <w:rPr>
                <w:noProof/>
                <w:webHidden/>
              </w:rPr>
              <w:t>664</w:t>
            </w:r>
            <w:r>
              <w:rPr>
                <w:noProof/>
                <w:webHidden/>
              </w:rPr>
              <w:fldChar w:fldCharType="end"/>
            </w:r>
          </w:hyperlink>
        </w:p>
        <w:p w14:paraId="31E5B71C" w14:textId="57B2298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03" w:history="1">
            <w:r w:rsidRPr="001D4C20">
              <w:rPr>
                <w:rStyle w:val="Lienhypertexte"/>
                <w:noProof/>
              </w:rPr>
              <w:t>55.42.5 Store / volet (protection visuelle/solaire) roulant appliqué en matériaux composites CCTB 01.02</w:t>
            </w:r>
            <w:r>
              <w:rPr>
                <w:noProof/>
                <w:webHidden/>
              </w:rPr>
              <w:tab/>
            </w:r>
            <w:r>
              <w:rPr>
                <w:noProof/>
                <w:webHidden/>
              </w:rPr>
              <w:fldChar w:fldCharType="begin"/>
            </w:r>
            <w:r>
              <w:rPr>
                <w:noProof/>
                <w:webHidden/>
              </w:rPr>
              <w:instrText xml:space="preserve"> PAGEREF _Toc220491303 \h </w:instrText>
            </w:r>
            <w:r>
              <w:rPr>
                <w:noProof/>
                <w:webHidden/>
              </w:rPr>
            </w:r>
            <w:r>
              <w:rPr>
                <w:noProof/>
                <w:webHidden/>
              </w:rPr>
              <w:fldChar w:fldCharType="separate"/>
            </w:r>
            <w:r>
              <w:rPr>
                <w:noProof/>
                <w:webHidden/>
              </w:rPr>
              <w:t>665</w:t>
            </w:r>
            <w:r>
              <w:rPr>
                <w:noProof/>
                <w:webHidden/>
              </w:rPr>
              <w:fldChar w:fldCharType="end"/>
            </w:r>
          </w:hyperlink>
        </w:p>
        <w:p w14:paraId="54AE7A0C" w14:textId="422DCF5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04" w:history="1">
            <w:r w:rsidRPr="001D4C20">
              <w:rPr>
                <w:rStyle w:val="Lienhypertexte"/>
                <w:noProof/>
              </w:rPr>
              <w:t>55.42.5a Store / volet (protection visuelle/solaire) roulant appliqué en matériaux composites CCTB 01.02</w:t>
            </w:r>
            <w:r>
              <w:rPr>
                <w:noProof/>
                <w:webHidden/>
              </w:rPr>
              <w:tab/>
            </w:r>
            <w:r>
              <w:rPr>
                <w:noProof/>
                <w:webHidden/>
              </w:rPr>
              <w:fldChar w:fldCharType="begin"/>
            </w:r>
            <w:r>
              <w:rPr>
                <w:noProof/>
                <w:webHidden/>
              </w:rPr>
              <w:instrText xml:space="preserve"> PAGEREF _Toc220491304 \h </w:instrText>
            </w:r>
            <w:r>
              <w:rPr>
                <w:noProof/>
                <w:webHidden/>
              </w:rPr>
            </w:r>
            <w:r>
              <w:rPr>
                <w:noProof/>
                <w:webHidden/>
              </w:rPr>
              <w:fldChar w:fldCharType="separate"/>
            </w:r>
            <w:r>
              <w:rPr>
                <w:noProof/>
                <w:webHidden/>
              </w:rPr>
              <w:t>665</w:t>
            </w:r>
            <w:r>
              <w:rPr>
                <w:noProof/>
                <w:webHidden/>
              </w:rPr>
              <w:fldChar w:fldCharType="end"/>
            </w:r>
          </w:hyperlink>
        </w:p>
        <w:p w14:paraId="448D0623" w14:textId="5DF9FB1C"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305" w:history="1">
            <w:r w:rsidRPr="001D4C20">
              <w:rPr>
                <w:rStyle w:val="Lienhypertexte"/>
                <w:noProof/>
              </w:rPr>
              <w:t>55.43 Store / volet (protection visuelle/solaire) roulant projetant CCTB 01.02</w:t>
            </w:r>
            <w:r>
              <w:rPr>
                <w:noProof/>
                <w:webHidden/>
              </w:rPr>
              <w:tab/>
            </w:r>
            <w:r>
              <w:rPr>
                <w:noProof/>
                <w:webHidden/>
              </w:rPr>
              <w:fldChar w:fldCharType="begin"/>
            </w:r>
            <w:r>
              <w:rPr>
                <w:noProof/>
                <w:webHidden/>
              </w:rPr>
              <w:instrText xml:space="preserve"> PAGEREF _Toc220491305 \h </w:instrText>
            </w:r>
            <w:r>
              <w:rPr>
                <w:noProof/>
                <w:webHidden/>
              </w:rPr>
            </w:r>
            <w:r>
              <w:rPr>
                <w:noProof/>
                <w:webHidden/>
              </w:rPr>
              <w:fldChar w:fldCharType="separate"/>
            </w:r>
            <w:r>
              <w:rPr>
                <w:noProof/>
                <w:webHidden/>
              </w:rPr>
              <w:t>665</w:t>
            </w:r>
            <w:r>
              <w:rPr>
                <w:noProof/>
                <w:webHidden/>
              </w:rPr>
              <w:fldChar w:fldCharType="end"/>
            </w:r>
          </w:hyperlink>
        </w:p>
        <w:p w14:paraId="71313624" w14:textId="195E7CEE"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06" w:history="1">
            <w:r w:rsidRPr="001D4C20">
              <w:rPr>
                <w:rStyle w:val="Lienhypertexte"/>
                <w:noProof/>
              </w:rPr>
              <w:t>55.43.1 Store / volet (protection visuelle/solaire) roulant projetant en bois CCTB 01.02</w:t>
            </w:r>
            <w:r>
              <w:rPr>
                <w:noProof/>
                <w:webHidden/>
              </w:rPr>
              <w:tab/>
            </w:r>
            <w:r>
              <w:rPr>
                <w:noProof/>
                <w:webHidden/>
              </w:rPr>
              <w:fldChar w:fldCharType="begin"/>
            </w:r>
            <w:r>
              <w:rPr>
                <w:noProof/>
                <w:webHidden/>
              </w:rPr>
              <w:instrText xml:space="preserve"> PAGEREF _Toc220491306 \h </w:instrText>
            </w:r>
            <w:r>
              <w:rPr>
                <w:noProof/>
                <w:webHidden/>
              </w:rPr>
            </w:r>
            <w:r>
              <w:rPr>
                <w:noProof/>
                <w:webHidden/>
              </w:rPr>
              <w:fldChar w:fldCharType="separate"/>
            </w:r>
            <w:r>
              <w:rPr>
                <w:noProof/>
                <w:webHidden/>
              </w:rPr>
              <w:t>665</w:t>
            </w:r>
            <w:r>
              <w:rPr>
                <w:noProof/>
                <w:webHidden/>
              </w:rPr>
              <w:fldChar w:fldCharType="end"/>
            </w:r>
          </w:hyperlink>
        </w:p>
        <w:p w14:paraId="07F70395" w14:textId="5CD590A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07" w:history="1">
            <w:r w:rsidRPr="001D4C20">
              <w:rPr>
                <w:rStyle w:val="Lienhypertexte"/>
                <w:noProof/>
              </w:rPr>
              <w:t>55.43.1a Manuel CCTB 01.02</w:t>
            </w:r>
            <w:r>
              <w:rPr>
                <w:noProof/>
                <w:webHidden/>
              </w:rPr>
              <w:tab/>
            </w:r>
            <w:r>
              <w:rPr>
                <w:noProof/>
                <w:webHidden/>
              </w:rPr>
              <w:fldChar w:fldCharType="begin"/>
            </w:r>
            <w:r>
              <w:rPr>
                <w:noProof/>
                <w:webHidden/>
              </w:rPr>
              <w:instrText xml:space="preserve"> PAGEREF _Toc220491307 \h </w:instrText>
            </w:r>
            <w:r>
              <w:rPr>
                <w:noProof/>
                <w:webHidden/>
              </w:rPr>
            </w:r>
            <w:r>
              <w:rPr>
                <w:noProof/>
                <w:webHidden/>
              </w:rPr>
              <w:fldChar w:fldCharType="separate"/>
            </w:r>
            <w:r>
              <w:rPr>
                <w:noProof/>
                <w:webHidden/>
              </w:rPr>
              <w:t>665</w:t>
            </w:r>
            <w:r>
              <w:rPr>
                <w:noProof/>
                <w:webHidden/>
              </w:rPr>
              <w:fldChar w:fldCharType="end"/>
            </w:r>
          </w:hyperlink>
        </w:p>
        <w:p w14:paraId="2A513263" w14:textId="77B89B1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08" w:history="1">
            <w:r w:rsidRPr="001D4C20">
              <w:rPr>
                <w:rStyle w:val="Lienhypertexte"/>
                <w:noProof/>
              </w:rPr>
              <w:t>55.43.1b Motorisé CCTB 01.02</w:t>
            </w:r>
            <w:r>
              <w:rPr>
                <w:noProof/>
                <w:webHidden/>
              </w:rPr>
              <w:tab/>
            </w:r>
            <w:r>
              <w:rPr>
                <w:noProof/>
                <w:webHidden/>
              </w:rPr>
              <w:fldChar w:fldCharType="begin"/>
            </w:r>
            <w:r>
              <w:rPr>
                <w:noProof/>
                <w:webHidden/>
              </w:rPr>
              <w:instrText xml:space="preserve"> PAGEREF _Toc220491308 \h </w:instrText>
            </w:r>
            <w:r>
              <w:rPr>
                <w:noProof/>
                <w:webHidden/>
              </w:rPr>
            </w:r>
            <w:r>
              <w:rPr>
                <w:noProof/>
                <w:webHidden/>
              </w:rPr>
              <w:fldChar w:fldCharType="separate"/>
            </w:r>
            <w:r>
              <w:rPr>
                <w:noProof/>
                <w:webHidden/>
              </w:rPr>
              <w:t>665</w:t>
            </w:r>
            <w:r>
              <w:rPr>
                <w:noProof/>
                <w:webHidden/>
              </w:rPr>
              <w:fldChar w:fldCharType="end"/>
            </w:r>
          </w:hyperlink>
        </w:p>
        <w:p w14:paraId="0806CFD8" w14:textId="6C80591F"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09" w:history="1">
            <w:r w:rsidRPr="001D4C20">
              <w:rPr>
                <w:rStyle w:val="Lienhypertexte"/>
                <w:noProof/>
              </w:rPr>
              <w:t>55.43.2 Store / volet (protection visuelle/solaire) roulant projetant en aluminium  CCTB 01.02</w:t>
            </w:r>
            <w:r>
              <w:rPr>
                <w:noProof/>
                <w:webHidden/>
              </w:rPr>
              <w:tab/>
            </w:r>
            <w:r>
              <w:rPr>
                <w:noProof/>
                <w:webHidden/>
              </w:rPr>
              <w:fldChar w:fldCharType="begin"/>
            </w:r>
            <w:r>
              <w:rPr>
                <w:noProof/>
                <w:webHidden/>
              </w:rPr>
              <w:instrText xml:space="preserve"> PAGEREF _Toc220491309 \h </w:instrText>
            </w:r>
            <w:r>
              <w:rPr>
                <w:noProof/>
                <w:webHidden/>
              </w:rPr>
            </w:r>
            <w:r>
              <w:rPr>
                <w:noProof/>
                <w:webHidden/>
              </w:rPr>
              <w:fldChar w:fldCharType="separate"/>
            </w:r>
            <w:r>
              <w:rPr>
                <w:noProof/>
                <w:webHidden/>
              </w:rPr>
              <w:t>665</w:t>
            </w:r>
            <w:r>
              <w:rPr>
                <w:noProof/>
                <w:webHidden/>
              </w:rPr>
              <w:fldChar w:fldCharType="end"/>
            </w:r>
          </w:hyperlink>
        </w:p>
        <w:p w14:paraId="086036B6" w14:textId="650E0EF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10" w:history="1">
            <w:r w:rsidRPr="001D4C20">
              <w:rPr>
                <w:rStyle w:val="Lienhypertexte"/>
                <w:noProof/>
              </w:rPr>
              <w:t>55.43.2a Manuel CCTB 01.02</w:t>
            </w:r>
            <w:r>
              <w:rPr>
                <w:noProof/>
                <w:webHidden/>
              </w:rPr>
              <w:tab/>
            </w:r>
            <w:r>
              <w:rPr>
                <w:noProof/>
                <w:webHidden/>
              </w:rPr>
              <w:fldChar w:fldCharType="begin"/>
            </w:r>
            <w:r>
              <w:rPr>
                <w:noProof/>
                <w:webHidden/>
              </w:rPr>
              <w:instrText xml:space="preserve"> PAGEREF _Toc220491310 \h </w:instrText>
            </w:r>
            <w:r>
              <w:rPr>
                <w:noProof/>
                <w:webHidden/>
              </w:rPr>
            </w:r>
            <w:r>
              <w:rPr>
                <w:noProof/>
                <w:webHidden/>
              </w:rPr>
              <w:fldChar w:fldCharType="separate"/>
            </w:r>
            <w:r>
              <w:rPr>
                <w:noProof/>
                <w:webHidden/>
              </w:rPr>
              <w:t>665</w:t>
            </w:r>
            <w:r>
              <w:rPr>
                <w:noProof/>
                <w:webHidden/>
              </w:rPr>
              <w:fldChar w:fldCharType="end"/>
            </w:r>
          </w:hyperlink>
        </w:p>
        <w:p w14:paraId="6E1FA228" w14:textId="34C254A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11" w:history="1">
            <w:r w:rsidRPr="001D4C20">
              <w:rPr>
                <w:rStyle w:val="Lienhypertexte"/>
                <w:noProof/>
              </w:rPr>
              <w:t>55.43.2b Motorisé CCTB 01.02</w:t>
            </w:r>
            <w:r>
              <w:rPr>
                <w:noProof/>
                <w:webHidden/>
              </w:rPr>
              <w:tab/>
            </w:r>
            <w:r>
              <w:rPr>
                <w:noProof/>
                <w:webHidden/>
              </w:rPr>
              <w:fldChar w:fldCharType="begin"/>
            </w:r>
            <w:r>
              <w:rPr>
                <w:noProof/>
                <w:webHidden/>
              </w:rPr>
              <w:instrText xml:space="preserve"> PAGEREF _Toc220491311 \h </w:instrText>
            </w:r>
            <w:r>
              <w:rPr>
                <w:noProof/>
                <w:webHidden/>
              </w:rPr>
            </w:r>
            <w:r>
              <w:rPr>
                <w:noProof/>
                <w:webHidden/>
              </w:rPr>
              <w:fldChar w:fldCharType="separate"/>
            </w:r>
            <w:r>
              <w:rPr>
                <w:noProof/>
                <w:webHidden/>
              </w:rPr>
              <w:t>665</w:t>
            </w:r>
            <w:r>
              <w:rPr>
                <w:noProof/>
                <w:webHidden/>
              </w:rPr>
              <w:fldChar w:fldCharType="end"/>
            </w:r>
          </w:hyperlink>
        </w:p>
        <w:p w14:paraId="4E9CC1A8" w14:textId="53EF83BE"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12" w:history="1">
            <w:r w:rsidRPr="001D4C20">
              <w:rPr>
                <w:rStyle w:val="Lienhypertexte"/>
                <w:noProof/>
              </w:rPr>
              <w:t>55.43.3 Store / volet (protection visuelle/solaire) roulant projetant en acier  CCTB 01.02</w:t>
            </w:r>
            <w:r>
              <w:rPr>
                <w:noProof/>
                <w:webHidden/>
              </w:rPr>
              <w:tab/>
            </w:r>
            <w:r>
              <w:rPr>
                <w:noProof/>
                <w:webHidden/>
              </w:rPr>
              <w:fldChar w:fldCharType="begin"/>
            </w:r>
            <w:r>
              <w:rPr>
                <w:noProof/>
                <w:webHidden/>
              </w:rPr>
              <w:instrText xml:space="preserve"> PAGEREF _Toc220491312 \h </w:instrText>
            </w:r>
            <w:r>
              <w:rPr>
                <w:noProof/>
                <w:webHidden/>
              </w:rPr>
            </w:r>
            <w:r>
              <w:rPr>
                <w:noProof/>
                <w:webHidden/>
              </w:rPr>
              <w:fldChar w:fldCharType="separate"/>
            </w:r>
            <w:r>
              <w:rPr>
                <w:noProof/>
                <w:webHidden/>
              </w:rPr>
              <w:t>665</w:t>
            </w:r>
            <w:r>
              <w:rPr>
                <w:noProof/>
                <w:webHidden/>
              </w:rPr>
              <w:fldChar w:fldCharType="end"/>
            </w:r>
          </w:hyperlink>
        </w:p>
        <w:p w14:paraId="6EBE1DE0" w14:textId="1386306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13" w:history="1">
            <w:r w:rsidRPr="001D4C20">
              <w:rPr>
                <w:rStyle w:val="Lienhypertexte"/>
                <w:noProof/>
              </w:rPr>
              <w:t>55.43.3a Manuel CCTB 01.02</w:t>
            </w:r>
            <w:r>
              <w:rPr>
                <w:noProof/>
                <w:webHidden/>
              </w:rPr>
              <w:tab/>
            </w:r>
            <w:r>
              <w:rPr>
                <w:noProof/>
                <w:webHidden/>
              </w:rPr>
              <w:fldChar w:fldCharType="begin"/>
            </w:r>
            <w:r>
              <w:rPr>
                <w:noProof/>
                <w:webHidden/>
              </w:rPr>
              <w:instrText xml:space="preserve"> PAGEREF _Toc220491313 \h </w:instrText>
            </w:r>
            <w:r>
              <w:rPr>
                <w:noProof/>
                <w:webHidden/>
              </w:rPr>
            </w:r>
            <w:r>
              <w:rPr>
                <w:noProof/>
                <w:webHidden/>
              </w:rPr>
              <w:fldChar w:fldCharType="separate"/>
            </w:r>
            <w:r>
              <w:rPr>
                <w:noProof/>
                <w:webHidden/>
              </w:rPr>
              <w:t>665</w:t>
            </w:r>
            <w:r>
              <w:rPr>
                <w:noProof/>
                <w:webHidden/>
              </w:rPr>
              <w:fldChar w:fldCharType="end"/>
            </w:r>
          </w:hyperlink>
        </w:p>
        <w:p w14:paraId="0E8CFE08" w14:textId="068D6C0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14" w:history="1">
            <w:r w:rsidRPr="001D4C20">
              <w:rPr>
                <w:rStyle w:val="Lienhypertexte"/>
                <w:noProof/>
              </w:rPr>
              <w:t>55.43.3b Motorisé CCTB 01.02</w:t>
            </w:r>
            <w:r>
              <w:rPr>
                <w:noProof/>
                <w:webHidden/>
              </w:rPr>
              <w:tab/>
            </w:r>
            <w:r>
              <w:rPr>
                <w:noProof/>
                <w:webHidden/>
              </w:rPr>
              <w:fldChar w:fldCharType="begin"/>
            </w:r>
            <w:r>
              <w:rPr>
                <w:noProof/>
                <w:webHidden/>
              </w:rPr>
              <w:instrText xml:space="preserve"> PAGEREF _Toc220491314 \h </w:instrText>
            </w:r>
            <w:r>
              <w:rPr>
                <w:noProof/>
                <w:webHidden/>
              </w:rPr>
            </w:r>
            <w:r>
              <w:rPr>
                <w:noProof/>
                <w:webHidden/>
              </w:rPr>
              <w:fldChar w:fldCharType="separate"/>
            </w:r>
            <w:r>
              <w:rPr>
                <w:noProof/>
                <w:webHidden/>
              </w:rPr>
              <w:t>665</w:t>
            </w:r>
            <w:r>
              <w:rPr>
                <w:noProof/>
                <w:webHidden/>
              </w:rPr>
              <w:fldChar w:fldCharType="end"/>
            </w:r>
          </w:hyperlink>
        </w:p>
        <w:p w14:paraId="51FA42DC" w14:textId="0C7CE855"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15" w:history="1">
            <w:r w:rsidRPr="001D4C20">
              <w:rPr>
                <w:rStyle w:val="Lienhypertexte"/>
                <w:noProof/>
              </w:rPr>
              <w:t>55.43.4 Store / volet (protection visuelle/solaire) roulant projetant en PVC CCTB 01.10</w:t>
            </w:r>
            <w:r>
              <w:rPr>
                <w:noProof/>
                <w:webHidden/>
              </w:rPr>
              <w:tab/>
            </w:r>
            <w:r>
              <w:rPr>
                <w:noProof/>
                <w:webHidden/>
              </w:rPr>
              <w:fldChar w:fldCharType="begin"/>
            </w:r>
            <w:r>
              <w:rPr>
                <w:noProof/>
                <w:webHidden/>
              </w:rPr>
              <w:instrText xml:space="preserve"> PAGEREF _Toc220491315 \h </w:instrText>
            </w:r>
            <w:r>
              <w:rPr>
                <w:noProof/>
                <w:webHidden/>
              </w:rPr>
            </w:r>
            <w:r>
              <w:rPr>
                <w:noProof/>
                <w:webHidden/>
              </w:rPr>
              <w:fldChar w:fldCharType="separate"/>
            </w:r>
            <w:r>
              <w:rPr>
                <w:noProof/>
                <w:webHidden/>
              </w:rPr>
              <w:t>665</w:t>
            </w:r>
            <w:r>
              <w:rPr>
                <w:noProof/>
                <w:webHidden/>
              </w:rPr>
              <w:fldChar w:fldCharType="end"/>
            </w:r>
          </w:hyperlink>
        </w:p>
        <w:p w14:paraId="08E3D67B" w14:textId="56B713B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16" w:history="1">
            <w:r w:rsidRPr="001D4C20">
              <w:rPr>
                <w:rStyle w:val="Lienhypertexte"/>
                <w:noProof/>
              </w:rPr>
              <w:t>55.43.4a Manuel CCTB 01.10</w:t>
            </w:r>
            <w:r>
              <w:rPr>
                <w:noProof/>
                <w:webHidden/>
              </w:rPr>
              <w:tab/>
            </w:r>
            <w:r>
              <w:rPr>
                <w:noProof/>
                <w:webHidden/>
              </w:rPr>
              <w:fldChar w:fldCharType="begin"/>
            </w:r>
            <w:r>
              <w:rPr>
                <w:noProof/>
                <w:webHidden/>
              </w:rPr>
              <w:instrText xml:space="preserve"> PAGEREF _Toc220491316 \h </w:instrText>
            </w:r>
            <w:r>
              <w:rPr>
                <w:noProof/>
                <w:webHidden/>
              </w:rPr>
            </w:r>
            <w:r>
              <w:rPr>
                <w:noProof/>
                <w:webHidden/>
              </w:rPr>
              <w:fldChar w:fldCharType="separate"/>
            </w:r>
            <w:r>
              <w:rPr>
                <w:noProof/>
                <w:webHidden/>
              </w:rPr>
              <w:t>666</w:t>
            </w:r>
            <w:r>
              <w:rPr>
                <w:noProof/>
                <w:webHidden/>
              </w:rPr>
              <w:fldChar w:fldCharType="end"/>
            </w:r>
          </w:hyperlink>
        </w:p>
        <w:p w14:paraId="27A7D705" w14:textId="5DAD026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17" w:history="1">
            <w:r w:rsidRPr="001D4C20">
              <w:rPr>
                <w:rStyle w:val="Lienhypertexte"/>
                <w:noProof/>
              </w:rPr>
              <w:t>55.43.4b Motorisé CCTB 01.10</w:t>
            </w:r>
            <w:r>
              <w:rPr>
                <w:noProof/>
                <w:webHidden/>
              </w:rPr>
              <w:tab/>
            </w:r>
            <w:r>
              <w:rPr>
                <w:noProof/>
                <w:webHidden/>
              </w:rPr>
              <w:fldChar w:fldCharType="begin"/>
            </w:r>
            <w:r>
              <w:rPr>
                <w:noProof/>
                <w:webHidden/>
              </w:rPr>
              <w:instrText xml:space="preserve"> PAGEREF _Toc220491317 \h </w:instrText>
            </w:r>
            <w:r>
              <w:rPr>
                <w:noProof/>
                <w:webHidden/>
              </w:rPr>
            </w:r>
            <w:r>
              <w:rPr>
                <w:noProof/>
                <w:webHidden/>
              </w:rPr>
              <w:fldChar w:fldCharType="separate"/>
            </w:r>
            <w:r>
              <w:rPr>
                <w:noProof/>
                <w:webHidden/>
              </w:rPr>
              <w:t>666</w:t>
            </w:r>
            <w:r>
              <w:rPr>
                <w:noProof/>
                <w:webHidden/>
              </w:rPr>
              <w:fldChar w:fldCharType="end"/>
            </w:r>
          </w:hyperlink>
        </w:p>
        <w:p w14:paraId="6CF0A657" w14:textId="1266584E"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18" w:history="1">
            <w:r w:rsidRPr="001D4C20">
              <w:rPr>
                <w:rStyle w:val="Lienhypertexte"/>
                <w:noProof/>
              </w:rPr>
              <w:t>55.43.5 Store / volet (protection visuelle/solaire) roulant projetant en matériaux composites CCTB 01.02</w:t>
            </w:r>
            <w:r>
              <w:rPr>
                <w:noProof/>
                <w:webHidden/>
              </w:rPr>
              <w:tab/>
            </w:r>
            <w:r>
              <w:rPr>
                <w:noProof/>
                <w:webHidden/>
              </w:rPr>
              <w:fldChar w:fldCharType="begin"/>
            </w:r>
            <w:r>
              <w:rPr>
                <w:noProof/>
                <w:webHidden/>
              </w:rPr>
              <w:instrText xml:space="preserve"> PAGEREF _Toc220491318 \h </w:instrText>
            </w:r>
            <w:r>
              <w:rPr>
                <w:noProof/>
                <w:webHidden/>
              </w:rPr>
            </w:r>
            <w:r>
              <w:rPr>
                <w:noProof/>
                <w:webHidden/>
              </w:rPr>
              <w:fldChar w:fldCharType="separate"/>
            </w:r>
            <w:r>
              <w:rPr>
                <w:noProof/>
                <w:webHidden/>
              </w:rPr>
              <w:t>667</w:t>
            </w:r>
            <w:r>
              <w:rPr>
                <w:noProof/>
                <w:webHidden/>
              </w:rPr>
              <w:fldChar w:fldCharType="end"/>
            </w:r>
          </w:hyperlink>
        </w:p>
        <w:p w14:paraId="672A5B67" w14:textId="3E31E80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19" w:history="1">
            <w:r w:rsidRPr="001D4C20">
              <w:rPr>
                <w:rStyle w:val="Lienhypertexte"/>
                <w:noProof/>
              </w:rPr>
              <w:t>55.43.5a Store / volet (protection visuelle/solaire) roulant projetant en matériaux composites CCTB 01.02</w:t>
            </w:r>
            <w:r>
              <w:rPr>
                <w:noProof/>
                <w:webHidden/>
              </w:rPr>
              <w:tab/>
            </w:r>
            <w:r>
              <w:rPr>
                <w:noProof/>
                <w:webHidden/>
              </w:rPr>
              <w:fldChar w:fldCharType="begin"/>
            </w:r>
            <w:r>
              <w:rPr>
                <w:noProof/>
                <w:webHidden/>
              </w:rPr>
              <w:instrText xml:space="preserve"> PAGEREF _Toc220491319 \h </w:instrText>
            </w:r>
            <w:r>
              <w:rPr>
                <w:noProof/>
                <w:webHidden/>
              </w:rPr>
            </w:r>
            <w:r>
              <w:rPr>
                <w:noProof/>
                <w:webHidden/>
              </w:rPr>
              <w:fldChar w:fldCharType="separate"/>
            </w:r>
            <w:r>
              <w:rPr>
                <w:noProof/>
                <w:webHidden/>
              </w:rPr>
              <w:t>667</w:t>
            </w:r>
            <w:r>
              <w:rPr>
                <w:noProof/>
                <w:webHidden/>
              </w:rPr>
              <w:fldChar w:fldCharType="end"/>
            </w:r>
          </w:hyperlink>
        </w:p>
        <w:p w14:paraId="5F016BBD" w14:textId="3E84FF2E"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320" w:history="1">
            <w:r w:rsidRPr="001D4C20">
              <w:rPr>
                <w:rStyle w:val="Lienhypertexte"/>
                <w:noProof/>
              </w:rPr>
              <w:t>55.44 Store / volet (protection visuelle/solaire) battant CCTB 01.02</w:t>
            </w:r>
            <w:r>
              <w:rPr>
                <w:noProof/>
                <w:webHidden/>
              </w:rPr>
              <w:tab/>
            </w:r>
            <w:r>
              <w:rPr>
                <w:noProof/>
                <w:webHidden/>
              </w:rPr>
              <w:fldChar w:fldCharType="begin"/>
            </w:r>
            <w:r>
              <w:rPr>
                <w:noProof/>
                <w:webHidden/>
              </w:rPr>
              <w:instrText xml:space="preserve"> PAGEREF _Toc220491320 \h </w:instrText>
            </w:r>
            <w:r>
              <w:rPr>
                <w:noProof/>
                <w:webHidden/>
              </w:rPr>
            </w:r>
            <w:r>
              <w:rPr>
                <w:noProof/>
                <w:webHidden/>
              </w:rPr>
              <w:fldChar w:fldCharType="separate"/>
            </w:r>
            <w:r>
              <w:rPr>
                <w:noProof/>
                <w:webHidden/>
              </w:rPr>
              <w:t>667</w:t>
            </w:r>
            <w:r>
              <w:rPr>
                <w:noProof/>
                <w:webHidden/>
              </w:rPr>
              <w:fldChar w:fldCharType="end"/>
            </w:r>
          </w:hyperlink>
        </w:p>
        <w:p w14:paraId="548F0C06" w14:textId="658D82C6"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21" w:history="1">
            <w:r w:rsidRPr="001D4C20">
              <w:rPr>
                <w:rStyle w:val="Lienhypertexte"/>
                <w:noProof/>
              </w:rPr>
              <w:t>55.44.1 Store / volet (protection visuelle/solaire) battant en bois  CCTB 01.02</w:t>
            </w:r>
            <w:r>
              <w:rPr>
                <w:noProof/>
                <w:webHidden/>
              </w:rPr>
              <w:tab/>
            </w:r>
            <w:r>
              <w:rPr>
                <w:noProof/>
                <w:webHidden/>
              </w:rPr>
              <w:fldChar w:fldCharType="begin"/>
            </w:r>
            <w:r>
              <w:rPr>
                <w:noProof/>
                <w:webHidden/>
              </w:rPr>
              <w:instrText xml:space="preserve"> PAGEREF _Toc220491321 \h </w:instrText>
            </w:r>
            <w:r>
              <w:rPr>
                <w:noProof/>
                <w:webHidden/>
              </w:rPr>
            </w:r>
            <w:r>
              <w:rPr>
                <w:noProof/>
                <w:webHidden/>
              </w:rPr>
              <w:fldChar w:fldCharType="separate"/>
            </w:r>
            <w:r>
              <w:rPr>
                <w:noProof/>
                <w:webHidden/>
              </w:rPr>
              <w:t>667</w:t>
            </w:r>
            <w:r>
              <w:rPr>
                <w:noProof/>
                <w:webHidden/>
              </w:rPr>
              <w:fldChar w:fldCharType="end"/>
            </w:r>
          </w:hyperlink>
        </w:p>
        <w:p w14:paraId="0ECD1E45" w14:textId="004C8DC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22" w:history="1">
            <w:r w:rsidRPr="001D4C20">
              <w:rPr>
                <w:rStyle w:val="Lienhypertexte"/>
                <w:noProof/>
              </w:rPr>
              <w:t>55.44.1a Manuel CCTB 01.02</w:t>
            </w:r>
            <w:r>
              <w:rPr>
                <w:noProof/>
                <w:webHidden/>
              </w:rPr>
              <w:tab/>
            </w:r>
            <w:r>
              <w:rPr>
                <w:noProof/>
                <w:webHidden/>
              </w:rPr>
              <w:fldChar w:fldCharType="begin"/>
            </w:r>
            <w:r>
              <w:rPr>
                <w:noProof/>
                <w:webHidden/>
              </w:rPr>
              <w:instrText xml:space="preserve"> PAGEREF _Toc220491322 \h </w:instrText>
            </w:r>
            <w:r>
              <w:rPr>
                <w:noProof/>
                <w:webHidden/>
              </w:rPr>
            </w:r>
            <w:r>
              <w:rPr>
                <w:noProof/>
                <w:webHidden/>
              </w:rPr>
              <w:fldChar w:fldCharType="separate"/>
            </w:r>
            <w:r>
              <w:rPr>
                <w:noProof/>
                <w:webHidden/>
              </w:rPr>
              <w:t>667</w:t>
            </w:r>
            <w:r>
              <w:rPr>
                <w:noProof/>
                <w:webHidden/>
              </w:rPr>
              <w:fldChar w:fldCharType="end"/>
            </w:r>
          </w:hyperlink>
        </w:p>
        <w:p w14:paraId="6E0EF99B" w14:textId="1A43B3B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23" w:history="1">
            <w:r w:rsidRPr="001D4C20">
              <w:rPr>
                <w:rStyle w:val="Lienhypertexte"/>
                <w:noProof/>
              </w:rPr>
              <w:t>55.44.1b Motorisé CCTB 01.02</w:t>
            </w:r>
            <w:r>
              <w:rPr>
                <w:noProof/>
                <w:webHidden/>
              </w:rPr>
              <w:tab/>
            </w:r>
            <w:r>
              <w:rPr>
                <w:noProof/>
                <w:webHidden/>
              </w:rPr>
              <w:fldChar w:fldCharType="begin"/>
            </w:r>
            <w:r>
              <w:rPr>
                <w:noProof/>
                <w:webHidden/>
              </w:rPr>
              <w:instrText xml:space="preserve"> PAGEREF _Toc220491323 \h </w:instrText>
            </w:r>
            <w:r>
              <w:rPr>
                <w:noProof/>
                <w:webHidden/>
              </w:rPr>
            </w:r>
            <w:r>
              <w:rPr>
                <w:noProof/>
                <w:webHidden/>
              </w:rPr>
              <w:fldChar w:fldCharType="separate"/>
            </w:r>
            <w:r>
              <w:rPr>
                <w:noProof/>
                <w:webHidden/>
              </w:rPr>
              <w:t>667</w:t>
            </w:r>
            <w:r>
              <w:rPr>
                <w:noProof/>
                <w:webHidden/>
              </w:rPr>
              <w:fldChar w:fldCharType="end"/>
            </w:r>
          </w:hyperlink>
        </w:p>
        <w:p w14:paraId="4F8AA685" w14:textId="02ECC325"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24" w:history="1">
            <w:r w:rsidRPr="001D4C20">
              <w:rPr>
                <w:rStyle w:val="Lienhypertexte"/>
                <w:noProof/>
              </w:rPr>
              <w:t>55.44.2 Store / volet (protection visuelle/solaire) battant en aluminium  CCTB 01.02</w:t>
            </w:r>
            <w:r>
              <w:rPr>
                <w:noProof/>
                <w:webHidden/>
              </w:rPr>
              <w:tab/>
            </w:r>
            <w:r>
              <w:rPr>
                <w:noProof/>
                <w:webHidden/>
              </w:rPr>
              <w:fldChar w:fldCharType="begin"/>
            </w:r>
            <w:r>
              <w:rPr>
                <w:noProof/>
                <w:webHidden/>
              </w:rPr>
              <w:instrText xml:space="preserve"> PAGEREF _Toc220491324 \h </w:instrText>
            </w:r>
            <w:r>
              <w:rPr>
                <w:noProof/>
                <w:webHidden/>
              </w:rPr>
            </w:r>
            <w:r>
              <w:rPr>
                <w:noProof/>
                <w:webHidden/>
              </w:rPr>
              <w:fldChar w:fldCharType="separate"/>
            </w:r>
            <w:r>
              <w:rPr>
                <w:noProof/>
                <w:webHidden/>
              </w:rPr>
              <w:t>667</w:t>
            </w:r>
            <w:r>
              <w:rPr>
                <w:noProof/>
                <w:webHidden/>
              </w:rPr>
              <w:fldChar w:fldCharType="end"/>
            </w:r>
          </w:hyperlink>
        </w:p>
        <w:p w14:paraId="152315DC" w14:textId="39DB15D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25" w:history="1">
            <w:r w:rsidRPr="001D4C20">
              <w:rPr>
                <w:rStyle w:val="Lienhypertexte"/>
                <w:noProof/>
              </w:rPr>
              <w:t>55.44.2a Manuel CCTB 01.02</w:t>
            </w:r>
            <w:r>
              <w:rPr>
                <w:noProof/>
                <w:webHidden/>
              </w:rPr>
              <w:tab/>
            </w:r>
            <w:r>
              <w:rPr>
                <w:noProof/>
                <w:webHidden/>
              </w:rPr>
              <w:fldChar w:fldCharType="begin"/>
            </w:r>
            <w:r>
              <w:rPr>
                <w:noProof/>
                <w:webHidden/>
              </w:rPr>
              <w:instrText xml:space="preserve"> PAGEREF _Toc220491325 \h </w:instrText>
            </w:r>
            <w:r>
              <w:rPr>
                <w:noProof/>
                <w:webHidden/>
              </w:rPr>
            </w:r>
            <w:r>
              <w:rPr>
                <w:noProof/>
                <w:webHidden/>
              </w:rPr>
              <w:fldChar w:fldCharType="separate"/>
            </w:r>
            <w:r>
              <w:rPr>
                <w:noProof/>
                <w:webHidden/>
              </w:rPr>
              <w:t>667</w:t>
            </w:r>
            <w:r>
              <w:rPr>
                <w:noProof/>
                <w:webHidden/>
              </w:rPr>
              <w:fldChar w:fldCharType="end"/>
            </w:r>
          </w:hyperlink>
        </w:p>
        <w:p w14:paraId="7E0A4EB8" w14:textId="5B73370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26" w:history="1">
            <w:r w:rsidRPr="001D4C20">
              <w:rPr>
                <w:rStyle w:val="Lienhypertexte"/>
                <w:noProof/>
              </w:rPr>
              <w:t>55.44.2b Motorisé CCTB 01.02</w:t>
            </w:r>
            <w:r>
              <w:rPr>
                <w:noProof/>
                <w:webHidden/>
              </w:rPr>
              <w:tab/>
            </w:r>
            <w:r>
              <w:rPr>
                <w:noProof/>
                <w:webHidden/>
              </w:rPr>
              <w:fldChar w:fldCharType="begin"/>
            </w:r>
            <w:r>
              <w:rPr>
                <w:noProof/>
                <w:webHidden/>
              </w:rPr>
              <w:instrText xml:space="preserve"> PAGEREF _Toc220491326 \h </w:instrText>
            </w:r>
            <w:r>
              <w:rPr>
                <w:noProof/>
                <w:webHidden/>
              </w:rPr>
            </w:r>
            <w:r>
              <w:rPr>
                <w:noProof/>
                <w:webHidden/>
              </w:rPr>
              <w:fldChar w:fldCharType="separate"/>
            </w:r>
            <w:r>
              <w:rPr>
                <w:noProof/>
                <w:webHidden/>
              </w:rPr>
              <w:t>667</w:t>
            </w:r>
            <w:r>
              <w:rPr>
                <w:noProof/>
                <w:webHidden/>
              </w:rPr>
              <w:fldChar w:fldCharType="end"/>
            </w:r>
          </w:hyperlink>
        </w:p>
        <w:p w14:paraId="6C7AD2B7" w14:textId="70E8395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27" w:history="1">
            <w:r w:rsidRPr="001D4C20">
              <w:rPr>
                <w:rStyle w:val="Lienhypertexte"/>
                <w:noProof/>
              </w:rPr>
              <w:t>55.44.3 Store / volet (protection visuelle/solaire) battant en acier  CCTB 01.02</w:t>
            </w:r>
            <w:r>
              <w:rPr>
                <w:noProof/>
                <w:webHidden/>
              </w:rPr>
              <w:tab/>
            </w:r>
            <w:r>
              <w:rPr>
                <w:noProof/>
                <w:webHidden/>
              </w:rPr>
              <w:fldChar w:fldCharType="begin"/>
            </w:r>
            <w:r>
              <w:rPr>
                <w:noProof/>
                <w:webHidden/>
              </w:rPr>
              <w:instrText xml:space="preserve"> PAGEREF _Toc220491327 \h </w:instrText>
            </w:r>
            <w:r>
              <w:rPr>
                <w:noProof/>
                <w:webHidden/>
              </w:rPr>
            </w:r>
            <w:r>
              <w:rPr>
                <w:noProof/>
                <w:webHidden/>
              </w:rPr>
              <w:fldChar w:fldCharType="separate"/>
            </w:r>
            <w:r>
              <w:rPr>
                <w:noProof/>
                <w:webHidden/>
              </w:rPr>
              <w:t>667</w:t>
            </w:r>
            <w:r>
              <w:rPr>
                <w:noProof/>
                <w:webHidden/>
              </w:rPr>
              <w:fldChar w:fldCharType="end"/>
            </w:r>
          </w:hyperlink>
        </w:p>
        <w:p w14:paraId="3EF2A9A5" w14:textId="56DE02C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28" w:history="1">
            <w:r w:rsidRPr="001D4C20">
              <w:rPr>
                <w:rStyle w:val="Lienhypertexte"/>
                <w:noProof/>
              </w:rPr>
              <w:t>55.44.3a Manuel CCTB 01.02</w:t>
            </w:r>
            <w:r>
              <w:rPr>
                <w:noProof/>
                <w:webHidden/>
              </w:rPr>
              <w:tab/>
            </w:r>
            <w:r>
              <w:rPr>
                <w:noProof/>
                <w:webHidden/>
              </w:rPr>
              <w:fldChar w:fldCharType="begin"/>
            </w:r>
            <w:r>
              <w:rPr>
                <w:noProof/>
                <w:webHidden/>
              </w:rPr>
              <w:instrText xml:space="preserve"> PAGEREF _Toc220491328 \h </w:instrText>
            </w:r>
            <w:r>
              <w:rPr>
                <w:noProof/>
                <w:webHidden/>
              </w:rPr>
            </w:r>
            <w:r>
              <w:rPr>
                <w:noProof/>
                <w:webHidden/>
              </w:rPr>
              <w:fldChar w:fldCharType="separate"/>
            </w:r>
            <w:r>
              <w:rPr>
                <w:noProof/>
                <w:webHidden/>
              </w:rPr>
              <w:t>667</w:t>
            </w:r>
            <w:r>
              <w:rPr>
                <w:noProof/>
                <w:webHidden/>
              </w:rPr>
              <w:fldChar w:fldCharType="end"/>
            </w:r>
          </w:hyperlink>
        </w:p>
        <w:p w14:paraId="7E62FFD2" w14:textId="647A4AD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29" w:history="1">
            <w:r w:rsidRPr="001D4C20">
              <w:rPr>
                <w:rStyle w:val="Lienhypertexte"/>
                <w:noProof/>
              </w:rPr>
              <w:t>55.44.3b Motorisé CCTB 01.02</w:t>
            </w:r>
            <w:r>
              <w:rPr>
                <w:noProof/>
                <w:webHidden/>
              </w:rPr>
              <w:tab/>
            </w:r>
            <w:r>
              <w:rPr>
                <w:noProof/>
                <w:webHidden/>
              </w:rPr>
              <w:fldChar w:fldCharType="begin"/>
            </w:r>
            <w:r>
              <w:rPr>
                <w:noProof/>
                <w:webHidden/>
              </w:rPr>
              <w:instrText xml:space="preserve"> PAGEREF _Toc220491329 \h </w:instrText>
            </w:r>
            <w:r>
              <w:rPr>
                <w:noProof/>
                <w:webHidden/>
              </w:rPr>
            </w:r>
            <w:r>
              <w:rPr>
                <w:noProof/>
                <w:webHidden/>
              </w:rPr>
              <w:fldChar w:fldCharType="separate"/>
            </w:r>
            <w:r>
              <w:rPr>
                <w:noProof/>
                <w:webHidden/>
              </w:rPr>
              <w:t>667</w:t>
            </w:r>
            <w:r>
              <w:rPr>
                <w:noProof/>
                <w:webHidden/>
              </w:rPr>
              <w:fldChar w:fldCharType="end"/>
            </w:r>
          </w:hyperlink>
        </w:p>
        <w:p w14:paraId="36FD162C" w14:textId="1A69AA94"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30" w:history="1">
            <w:r w:rsidRPr="001D4C20">
              <w:rPr>
                <w:rStyle w:val="Lienhypertexte"/>
                <w:noProof/>
              </w:rPr>
              <w:t>55.44.4 Store / volet (protection visuelle/solaire) battant en PVC CCTB 01.02</w:t>
            </w:r>
            <w:r>
              <w:rPr>
                <w:noProof/>
                <w:webHidden/>
              </w:rPr>
              <w:tab/>
            </w:r>
            <w:r>
              <w:rPr>
                <w:noProof/>
                <w:webHidden/>
              </w:rPr>
              <w:fldChar w:fldCharType="begin"/>
            </w:r>
            <w:r>
              <w:rPr>
                <w:noProof/>
                <w:webHidden/>
              </w:rPr>
              <w:instrText xml:space="preserve"> PAGEREF _Toc220491330 \h </w:instrText>
            </w:r>
            <w:r>
              <w:rPr>
                <w:noProof/>
                <w:webHidden/>
              </w:rPr>
            </w:r>
            <w:r>
              <w:rPr>
                <w:noProof/>
                <w:webHidden/>
              </w:rPr>
              <w:fldChar w:fldCharType="separate"/>
            </w:r>
            <w:r>
              <w:rPr>
                <w:noProof/>
                <w:webHidden/>
              </w:rPr>
              <w:t>667</w:t>
            </w:r>
            <w:r>
              <w:rPr>
                <w:noProof/>
                <w:webHidden/>
              </w:rPr>
              <w:fldChar w:fldCharType="end"/>
            </w:r>
          </w:hyperlink>
        </w:p>
        <w:p w14:paraId="26486BA1" w14:textId="3DB3C44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31" w:history="1">
            <w:r w:rsidRPr="001D4C20">
              <w:rPr>
                <w:rStyle w:val="Lienhypertexte"/>
                <w:noProof/>
              </w:rPr>
              <w:t>55.44.4a Manuel CCTB 01.02</w:t>
            </w:r>
            <w:r>
              <w:rPr>
                <w:noProof/>
                <w:webHidden/>
              </w:rPr>
              <w:tab/>
            </w:r>
            <w:r>
              <w:rPr>
                <w:noProof/>
                <w:webHidden/>
              </w:rPr>
              <w:fldChar w:fldCharType="begin"/>
            </w:r>
            <w:r>
              <w:rPr>
                <w:noProof/>
                <w:webHidden/>
              </w:rPr>
              <w:instrText xml:space="preserve"> PAGEREF _Toc220491331 \h </w:instrText>
            </w:r>
            <w:r>
              <w:rPr>
                <w:noProof/>
                <w:webHidden/>
              </w:rPr>
            </w:r>
            <w:r>
              <w:rPr>
                <w:noProof/>
                <w:webHidden/>
              </w:rPr>
              <w:fldChar w:fldCharType="separate"/>
            </w:r>
            <w:r>
              <w:rPr>
                <w:noProof/>
                <w:webHidden/>
              </w:rPr>
              <w:t>667</w:t>
            </w:r>
            <w:r>
              <w:rPr>
                <w:noProof/>
                <w:webHidden/>
              </w:rPr>
              <w:fldChar w:fldCharType="end"/>
            </w:r>
          </w:hyperlink>
        </w:p>
        <w:p w14:paraId="4355CA91" w14:textId="2CCD956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32" w:history="1">
            <w:r w:rsidRPr="001D4C20">
              <w:rPr>
                <w:rStyle w:val="Lienhypertexte"/>
                <w:noProof/>
              </w:rPr>
              <w:t>55.44.4b Motorisé CCTB 01.02</w:t>
            </w:r>
            <w:r>
              <w:rPr>
                <w:noProof/>
                <w:webHidden/>
              </w:rPr>
              <w:tab/>
            </w:r>
            <w:r>
              <w:rPr>
                <w:noProof/>
                <w:webHidden/>
              </w:rPr>
              <w:fldChar w:fldCharType="begin"/>
            </w:r>
            <w:r>
              <w:rPr>
                <w:noProof/>
                <w:webHidden/>
              </w:rPr>
              <w:instrText xml:space="preserve"> PAGEREF _Toc220491332 \h </w:instrText>
            </w:r>
            <w:r>
              <w:rPr>
                <w:noProof/>
                <w:webHidden/>
              </w:rPr>
            </w:r>
            <w:r>
              <w:rPr>
                <w:noProof/>
                <w:webHidden/>
              </w:rPr>
              <w:fldChar w:fldCharType="separate"/>
            </w:r>
            <w:r>
              <w:rPr>
                <w:noProof/>
                <w:webHidden/>
              </w:rPr>
              <w:t>667</w:t>
            </w:r>
            <w:r>
              <w:rPr>
                <w:noProof/>
                <w:webHidden/>
              </w:rPr>
              <w:fldChar w:fldCharType="end"/>
            </w:r>
          </w:hyperlink>
        </w:p>
        <w:p w14:paraId="4D48F6AA" w14:textId="59A67C71"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33" w:history="1">
            <w:r w:rsidRPr="001D4C20">
              <w:rPr>
                <w:rStyle w:val="Lienhypertexte"/>
                <w:noProof/>
              </w:rPr>
              <w:t>55.44.5 Store / volet (protection visuelle/solaire) coulissant en matériaux composites CCTB 01.02</w:t>
            </w:r>
            <w:r>
              <w:rPr>
                <w:noProof/>
                <w:webHidden/>
              </w:rPr>
              <w:tab/>
            </w:r>
            <w:r>
              <w:rPr>
                <w:noProof/>
                <w:webHidden/>
              </w:rPr>
              <w:fldChar w:fldCharType="begin"/>
            </w:r>
            <w:r>
              <w:rPr>
                <w:noProof/>
                <w:webHidden/>
              </w:rPr>
              <w:instrText xml:space="preserve"> PAGEREF _Toc220491333 \h </w:instrText>
            </w:r>
            <w:r>
              <w:rPr>
                <w:noProof/>
                <w:webHidden/>
              </w:rPr>
            </w:r>
            <w:r>
              <w:rPr>
                <w:noProof/>
                <w:webHidden/>
              </w:rPr>
              <w:fldChar w:fldCharType="separate"/>
            </w:r>
            <w:r>
              <w:rPr>
                <w:noProof/>
                <w:webHidden/>
              </w:rPr>
              <w:t>667</w:t>
            </w:r>
            <w:r>
              <w:rPr>
                <w:noProof/>
                <w:webHidden/>
              </w:rPr>
              <w:fldChar w:fldCharType="end"/>
            </w:r>
          </w:hyperlink>
        </w:p>
        <w:p w14:paraId="032BB75F" w14:textId="316CE69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34" w:history="1">
            <w:r w:rsidRPr="001D4C20">
              <w:rPr>
                <w:rStyle w:val="Lienhypertexte"/>
                <w:noProof/>
              </w:rPr>
              <w:t>55.44.5a Store / volet (protection visuelle/solaire) coulissant en matériaux composites CCTB 01.02</w:t>
            </w:r>
            <w:r>
              <w:rPr>
                <w:noProof/>
                <w:webHidden/>
              </w:rPr>
              <w:tab/>
            </w:r>
            <w:r>
              <w:rPr>
                <w:noProof/>
                <w:webHidden/>
              </w:rPr>
              <w:fldChar w:fldCharType="begin"/>
            </w:r>
            <w:r>
              <w:rPr>
                <w:noProof/>
                <w:webHidden/>
              </w:rPr>
              <w:instrText xml:space="preserve"> PAGEREF _Toc220491334 \h </w:instrText>
            </w:r>
            <w:r>
              <w:rPr>
                <w:noProof/>
                <w:webHidden/>
              </w:rPr>
            </w:r>
            <w:r>
              <w:rPr>
                <w:noProof/>
                <w:webHidden/>
              </w:rPr>
              <w:fldChar w:fldCharType="separate"/>
            </w:r>
            <w:r>
              <w:rPr>
                <w:noProof/>
                <w:webHidden/>
              </w:rPr>
              <w:t>667</w:t>
            </w:r>
            <w:r>
              <w:rPr>
                <w:noProof/>
                <w:webHidden/>
              </w:rPr>
              <w:fldChar w:fldCharType="end"/>
            </w:r>
          </w:hyperlink>
        </w:p>
        <w:p w14:paraId="3F26624C" w14:textId="786CCA85"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335" w:history="1">
            <w:r w:rsidRPr="001D4C20">
              <w:rPr>
                <w:rStyle w:val="Lienhypertexte"/>
                <w:noProof/>
              </w:rPr>
              <w:t>55.45 Store / volet (protection visuelle/solaire) coulissant CCTB 01.02</w:t>
            </w:r>
            <w:r>
              <w:rPr>
                <w:noProof/>
                <w:webHidden/>
              </w:rPr>
              <w:tab/>
            </w:r>
            <w:r>
              <w:rPr>
                <w:noProof/>
                <w:webHidden/>
              </w:rPr>
              <w:fldChar w:fldCharType="begin"/>
            </w:r>
            <w:r>
              <w:rPr>
                <w:noProof/>
                <w:webHidden/>
              </w:rPr>
              <w:instrText xml:space="preserve"> PAGEREF _Toc220491335 \h </w:instrText>
            </w:r>
            <w:r>
              <w:rPr>
                <w:noProof/>
                <w:webHidden/>
              </w:rPr>
            </w:r>
            <w:r>
              <w:rPr>
                <w:noProof/>
                <w:webHidden/>
              </w:rPr>
              <w:fldChar w:fldCharType="separate"/>
            </w:r>
            <w:r>
              <w:rPr>
                <w:noProof/>
                <w:webHidden/>
              </w:rPr>
              <w:t>667</w:t>
            </w:r>
            <w:r>
              <w:rPr>
                <w:noProof/>
                <w:webHidden/>
              </w:rPr>
              <w:fldChar w:fldCharType="end"/>
            </w:r>
          </w:hyperlink>
        </w:p>
        <w:p w14:paraId="3E95CC96" w14:textId="6DAA337A"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36" w:history="1">
            <w:r w:rsidRPr="001D4C20">
              <w:rPr>
                <w:rStyle w:val="Lienhypertexte"/>
                <w:noProof/>
              </w:rPr>
              <w:t>55.45.1 Store / volet (protection visuelle/solaire) coulissant en bois CCTB 01.12</w:t>
            </w:r>
            <w:r>
              <w:rPr>
                <w:noProof/>
                <w:webHidden/>
              </w:rPr>
              <w:tab/>
            </w:r>
            <w:r>
              <w:rPr>
                <w:noProof/>
                <w:webHidden/>
              </w:rPr>
              <w:fldChar w:fldCharType="begin"/>
            </w:r>
            <w:r>
              <w:rPr>
                <w:noProof/>
                <w:webHidden/>
              </w:rPr>
              <w:instrText xml:space="preserve"> PAGEREF _Toc220491336 \h </w:instrText>
            </w:r>
            <w:r>
              <w:rPr>
                <w:noProof/>
                <w:webHidden/>
              </w:rPr>
            </w:r>
            <w:r>
              <w:rPr>
                <w:noProof/>
                <w:webHidden/>
              </w:rPr>
              <w:fldChar w:fldCharType="separate"/>
            </w:r>
            <w:r>
              <w:rPr>
                <w:noProof/>
                <w:webHidden/>
              </w:rPr>
              <w:t>667</w:t>
            </w:r>
            <w:r>
              <w:rPr>
                <w:noProof/>
                <w:webHidden/>
              </w:rPr>
              <w:fldChar w:fldCharType="end"/>
            </w:r>
          </w:hyperlink>
        </w:p>
        <w:p w14:paraId="13D67235" w14:textId="68D34C4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37" w:history="1">
            <w:r w:rsidRPr="001D4C20">
              <w:rPr>
                <w:rStyle w:val="Lienhypertexte"/>
                <w:noProof/>
              </w:rPr>
              <w:t>55.45.1a Manuel CCTB 01.12</w:t>
            </w:r>
            <w:r>
              <w:rPr>
                <w:noProof/>
                <w:webHidden/>
              </w:rPr>
              <w:tab/>
            </w:r>
            <w:r>
              <w:rPr>
                <w:noProof/>
                <w:webHidden/>
              </w:rPr>
              <w:fldChar w:fldCharType="begin"/>
            </w:r>
            <w:r>
              <w:rPr>
                <w:noProof/>
                <w:webHidden/>
              </w:rPr>
              <w:instrText xml:space="preserve"> PAGEREF _Toc220491337 \h </w:instrText>
            </w:r>
            <w:r>
              <w:rPr>
                <w:noProof/>
                <w:webHidden/>
              </w:rPr>
            </w:r>
            <w:r>
              <w:rPr>
                <w:noProof/>
                <w:webHidden/>
              </w:rPr>
              <w:fldChar w:fldCharType="separate"/>
            </w:r>
            <w:r>
              <w:rPr>
                <w:noProof/>
                <w:webHidden/>
              </w:rPr>
              <w:t>670</w:t>
            </w:r>
            <w:r>
              <w:rPr>
                <w:noProof/>
                <w:webHidden/>
              </w:rPr>
              <w:fldChar w:fldCharType="end"/>
            </w:r>
          </w:hyperlink>
        </w:p>
        <w:p w14:paraId="24E81B52" w14:textId="59BAD0D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38" w:history="1">
            <w:r w:rsidRPr="001D4C20">
              <w:rPr>
                <w:rStyle w:val="Lienhypertexte"/>
                <w:noProof/>
              </w:rPr>
              <w:t>55.45.1b Motorisé CCTB 01.12</w:t>
            </w:r>
            <w:r>
              <w:rPr>
                <w:noProof/>
                <w:webHidden/>
              </w:rPr>
              <w:tab/>
            </w:r>
            <w:r>
              <w:rPr>
                <w:noProof/>
                <w:webHidden/>
              </w:rPr>
              <w:fldChar w:fldCharType="begin"/>
            </w:r>
            <w:r>
              <w:rPr>
                <w:noProof/>
                <w:webHidden/>
              </w:rPr>
              <w:instrText xml:space="preserve"> PAGEREF _Toc220491338 \h </w:instrText>
            </w:r>
            <w:r>
              <w:rPr>
                <w:noProof/>
                <w:webHidden/>
              </w:rPr>
            </w:r>
            <w:r>
              <w:rPr>
                <w:noProof/>
                <w:webHidden/>
              </w:rPr>
              <w:fldChar w:fldCharType="separate"/>
            </w:r>
            <w:r>
              <w:rPr>
                <w:noProof/>
                <w:webHidden/>
              </w:rPr>
              <w:t>674</w:t>
            </w:r>
            <w:r>
              <w:rPr>
                <w:noProof/>
                <w:webHidden/>
              </w:rPr>
              <w:fldChar w:fldCharType="end"/>
            </w:r>
          </w:hyperlink>
        </w:p>
        <w:p w14:paraId="776CD7E0" w14:textId="1FB4253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39" w:history="1">
            <w:r w:rsidRPr="001D4C20">
              <w:rPr>
                <w:rStyle w:val="Lienhypertexte"/>
                <w:noProof/>
              </w:rPr>
              <w:t>55.45.2 Store / volet (protection visuelle/solaire) coulissant en aluminium  CCTB 01.02</w:t>
            </w:r>
            <w:r>
              <w:rPr>
                <w:noProof/>
                <w:webHidden/>
              </w:rPr>
              <w:tab/>
            </w:r>
            <w:r>
              <w:rPr>
                <w:noProof/>
                <w:webHidden/>
              </w:rPr>
              <w:fldChar w:fldCharType="begin"/>
            </w:r>
            <w:r>
              <w:rPr>
                <w:noProof/>
                <w:webHidden/>
              </w:rPr>
              <w:instrText xml:space="preserve"> PAGEREF _Toc220491339 \h </w:instrText>
            </w:r>
            <w:r>
              <w:rPr>
                <w:noProof/>
                <w:webHidden/>
              </w:rPr>
            </w:r>
            <w:r>
              <w:rPr>
                <w:noProof/>
                <w:webHidden/>
              </w:rPr>
              <w:fldChar w:fldCharType="separate"/>
            </w:r>
            <w:r>
              <w:rPr>
                <w:noProof/>
                <w:webHidden/>
              </w:rPr>
              <w:t>678</w:t>
            </w:r>
            <w:r>
              <w:rPr>
                <w:noProof/>
                <w:webHidden/>
              </w:rPr>
              <w:fldChar w:fldCharType="end"/>
            </w:r>
          </w:hyperlink>
        </w:p>
        <w:p w14:paraId="25A2AA55" w14:textId="15F5847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40" w:history="1">
            <w:r w:rsidRPr="001D4C20">
              <w:rPr>
                <w:rStyle w:val="Lienhypertexte"/>
                <w:noProof/>
              </w:rPr>
              <w:t>55.45.2a Manuel CCTB 01.02</w:t>
            </w:r>
            <w:r>
              <w:rPr>
                <w:noProof/>
                <w:webHidden/>
              </w:rPr>
              <w:tab/>
            </w:r>
            <w:r>
              <w:rPr>
                <w:noProof/>
                <w:webHidden/>
              </w:rPr>
              <w:fldChar w:fldCharType="begin"/>
            </w:r>
            <w:r>
              <w:rPr>
                <w:noProof/>
                <w:webHidden/>
              </w:rPr>
              <w:instrText xml:space="preserve"> PAGEREF _Toc220491340 \h </w:instrText>
            </w:r>
            <w:r>
              <w:rPr>
                <w:noProof/>
                <w:webHidden/>
              </w:rPr>
            </w:r>
            <w:r>
              <w:rPr>
                <w:noProof/>
                <w:webHidden/>
              </w:rPr>
              <w:fldChar w:fldCharType="separate"/>
            </w:r>
            <w:r>
              <w:rPr>
                <w:noProof/>
                <w:webHidden/>
              </w:rPr>
              <w:t>678</w:t>
            </w:r>
            <w:r>
              <w:rPr>
                <w:noProof/>
                <w:webHidden/>
              </w:rPr>
              <w:fldChar w:fldCharType="end"/>
            </w:r>
          </w:hyperlink>
        </w:p>
        <w:p w14:paraId="6C6D3F64" w14:textId="582C3F1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41" w:history="1">
            <w:r w:rsidRPr="001D4C20">
              <w:rPr>
                <w:rStyle w:val="Lienhypertexte"/>
                <w:noProof/>
              </w:rPr>
              <w:t>55.45.2b Motorisé CCTB 01.02</w:t>
            </w:r>
            <w:r>
              <w:rPr>
                <w:noProof/>
                <w:webHidden/>
              </w:rPr>
              <w:tab/>
            </w:r>
            <w:r>
              <w:rPr>
                <w:noProof/>
                <w:webHidden/>
              </w:rPr>
              <w:fldChar w:fldCharType="begin"/>
            </w:r>
            <w:r>
              <w:rPr>
                <w:noProof/>
                <w:webHidden/>
              </w:rPr>
              <w:instrText xml:space="preserve"> PAGEREF _Toc220491341 \h </w:instrText>
            </w:r>
            <w:r>
              <w:rPr>
                <w:noProof/>
                <w:webHidden/>
              </w:rPr>
            </w:r>
            <w:r>
              <w:rPr>
                <w:noProof/>
                <w:webHidden/>
              </w:rPr>
              <w:fldChar w:fldCharType="separate"/>
            </w:r>
            <w:r>
              <w:rPr>
                <w:noProof/>
                <w:webHidden/>
              </w:rPr>
              <w:t>678</w:t>
            </w:r>
            <w:r>
              <w:rPr>
                <w:noProof/>
                <w:webHidden/>
              </w:rPr>
              <w:fldChar w:fldCharType="end"/>
            </w:r>
          </w:hyperlink>
        </w:p>
        <w:p w14:paraId="3625C83B" w14:textId="2C60D67D"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42" w:history="1">
            <w:r w:rsidRPr="001D4C20">
              <w:rPr>
                <w:rStyle w:val="Lienhypertexte"/>
                <w:noProof/>
              </w:rPr>
              <w:t>55.45.3 Store / volet (protection visuelle/solaire) coulissant en acier  CCTB 01.02</w:t>
            </w:r>
            <w:r>
              <w:rPr>
                <w:noProof/>
                <w:webHidden/>
              </w:rPr>
              <w:tab/>
            </w:r>
            <w:r>
              <w:rPr>
                <w:noProof/>
                <w:webHidden/>
              </w:rPr>
              <w:fldChar w:fldCharType="begin"/>
            </w:r>
            <w:r>
              <w:rPr>
                <w:noProof/>
                <w:webHidden/>
              </w:rPr>
              <w:instrText xml:space="preserve"> PAGEREF _Toc220491342 \h </w:instrText>
            </w:r>
            <w:r>
              <w:rPr>
                <w:noProof/>
                <w:webHidden/>
              </w:rPr>
            </w:r>
            <w:r>
              <w:rPr>
                <w:noProof/>
                <w:webHidden/>
              </w:rPr>
              <w:fldChar w:fldCharType="separate"/>
            </w:r>
            <w:r>
              <w:rPr>
                <w:noProof/>
                <w:webHidden/>
              </w:rPr>
              <w:t>678</w:t>
            </w:r>
            <w:r>
              <w:rPr>
                <w:noProof/>
                <w:webHidden/>
              </w:rPr>
              <w:fldChar w:fldCharType="end"/>
            </w:r>
          </w:hyperlink>
        </w:p>
        <w:p w14:paraId="627F3E4C" w14:textId="2215F99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43" w:history="1">
            <w:r w:rsidRPr="001D4C20">
              <w:rPr>
                <w:rStyle w:val="Lienhypertexte"/>
                <w:noProof/>
              </w:rPr>
              <w:t>55.45.3a Manuel CCTB 01.02</w:t>
            </w:r>
            <w:r>
              <w:rPr>
                <w:noProof/>
                <w:webHidden/>
              </w:rPr>
              <w:tab/>
            </w:r>
            <w:r>
              <w:rPr>
                <w:noProof/>
                <w:webHidden/>
              </w:rPr>
              <w:fldChar w:fldCharType="begin"/>
            </w:r>
            <w:r>
              <w:rPr>
                <w:noProof/>
                <w:webHidden/>
              </w:rPr>
              <w:instrText xml:space="preserve"> PAGEREF _Toc220491343 \h </w:instrText>
            </w:r>
            <w:r>
              <w:rPr>
                <w:noProof/>
                <w:webHidden/>
              </w:rPr>
            </w:r>
            <w:r>
              <w:rPr>
                <w:noProof/>
                <w:webHidden/>
              </w:rPr>
              <w:fldChar w:fldCharType="separate"/>
            </w:r>
            <w:r>
              <w:rPr>
                <w:noProof/>
                <w:webHidden/>
              </w:rPr>
              <w:t>678</w:t>
            </w:r>
            <w:r>
              <w:rPr>
                <w:noProof/>
                <w:webHidden/>
              </w:rPr>
              <w:fldChar w:fldCharType="end"/>
            </w:r>
          </w:hyperlink>
        </w:p>
        <w:p w14:paraId="4685D2A9" w14:textId="5950FA8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44" w:history="1">
            <w:r w:rsidRPr="001D4C20">
              <w:rPr>
                <w:rStyle w:val="Lienhypertexte"/>
                <w:noProof/>
              </w:rPr>
              <w:t>55.45.3b Motorisé CCTB 01.02</w:t>
            </w:r>
            <w:r>
              <w:rPr>
                <w:noProof/>
                <w:webHidden/>
              </w:rPr>
              <w:tab/>
            </w:r>
            <w:r>
              <w:rPr>
                <w:noProof/>
                <w:webHidden/>
              </w:rPr>
              <w:fldChar w:fldCharType="begin"/>
            </w:r>
            <w:r>
              <w:rPr>
                <w:noProof/>
                <w:webHidden/>
              </w:rPr>
              <w:instrText xml:space="preserve"> PAGEREF _Toc220491344 \h </w:instrText>
            </w:r>
            <w:r>
              <w:rPr>
                <w:noProof/>
                <w:webHidden/>
              </w:rPr>
            </w:r>
            <w:r>
              <w:rPr>
                <w:noProof/>
                <w:webHidden/>
              </w:rPr>
              <w:fldChar w:fldCharType="separate"/>
            </w:r>
            <w:r>
              <w:rPr>
                <w:noProof/>
                <w:webHidden/>
              </w:rPr>
              <w:t>678</w:t>
            </w:r>
            <w:r>
              <w:rPr>
                <w:noProof/>
                <w:webHidden/>
              </w:rPr>
              <w:fldChar w:fldCharType="end"/>
            </w:r>
          </w:hyperlink>
        </w:p>
        <w:p w14:paraId="16EF6A33" w14:textId="7D68DF61"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45" w:history="1">
            <w:r w:rsidRPr="001D4C20">
              <w:rPr>
                <w:rStyle w:val="Lienhypertexte"/>
                <w:noProof/>
              </w:rPr>
              <w:t>55.45.4 Store / volet (protection visuelle/solaire) coulissant en PVC CCTB 01.02</w:t>
            </w:r>
            <w:r>
              <w:rPr>
                <w:noProof/>
                <w:webHidden/>
              </w:rPr>
              <w:tab/>
            </w:r>
            <w:r>
              <w:rPr>
                <w:noProof/>
                <w:webHidden/>
              </w:rPr>
              <w:fldChar w:fldCharType="begin"/>
            </w:r>
            <w:r>
              <w:rPr>
                <w:noProof/>
                <w:webHidden/>
              </w:rPr>
              <w:instrText xml:space="preserve"> PAGEREF _Toc220491345 \h </w:instrText>
            </w:r>
            <w:r>
              <w:rPr>
                <w:noProof/>
                <w:webHidden/>
              </w:rPr>
            </w:r>
            <w:r>
              <w:rPr>
                <w:noProof/>
                <w:webHidden/>
              </w:rPr>
              <w:fldChar w:fldCharType="separate"/>
            </w:r>
            <w:r>
              <w:rPr>
                <w:noProof/>
                <w:webHidden/>
              </w:rPr>
              <w:t>678</w:t>
            </w:r>
            <w:r>
              <w:rPr>
                <w:noProof/>
                <w:webHidden/>
              </w:rPr>
              <w:fldChar w:fldCharType="end"/>
            </w:r>
          </w:hyperlink>
        </w:p>
        <w:p w14:paraId="79C9E0F8" w14:textId="4C55407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46" w:history="1">
            <w:r w:rsidRPr="001D4C20">
              <w:rPr>
                <w:rStyle w:val="Lienhypertexte"/>
                <w:noProof/>
              </w:rPr>
              <w:t>55.45.4a Manuel CCTB 01.02</w:t>
            </w:r>
            <w:r>
              <w:rPr>
                <w:noProof/>
                <w:webHidden/>
              </w:rPr>
              <w:tab/>
            </w:r>
            <w:r>
              <w:rPr>
                <w:noProof/>
                <w:webHidden/>
              </w:rPr>
              <w:fldChar w:fldCharType="begin"/>
            </w:r>
            <w:r>
              <w:rPr>
                <w:noProof/>
                <w:webHidden/>
              </w:rPr>
              <w:instrText xml:space="preserve"> PAGEREF _Toc220491346 \h </w:instrText>
            </w:r>
            <w:r>
              <w:rPr>
                <w:noProof/>
                <w:webHidden/>
              </w:rPr>
            </w:r>
            <w:r>
              <w:rPr>
                <w:noProof/>
                <w:webHidden/>
              </w:rPr>
              <w:fldChar w:fldCharType="separate"/>
            </w:r>
            <w:r>
              <w:rPr>
                <w:noProof/>
                <w:webHidden/>
              </w:rPr>
              <w:t>678</w:t>
            </w:r>
            <w:r>
              <w:rPr>
                <w:noProof/>
                <w:webHidden/>
              </w:rPr>
              <w:fldChar w:fldCharType="end"/>
            </w:r>
          </w:hyperlink>
        </w:p>
        <w:p w14:paraId="50C87E02" w14:textId="499133B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47" w:history="1">
            <w:r w:rsidRPr="001D4C20">
              <w:rPr>
                <w:rStyle w:val="Lienhypertexte"/>
                <w:noProof/>
              </w:rPr>
              <w:t>55.45.4b Motorisé CCTB 01.02</w:t>
            </w:r>
            <w:r>
              <w:rPr>
                <w:noProof/>
                <w:webHidden/>
              </w:rPr>
              <w:tab/>
            </w:r>
            <w:r>
              <w:rPr>
                <w:noProof/>
                <w:webHidden/>
              </w:rPr>
              <w:fldChar w:fldCharType="begin"/>
            </w:r>
            <w:r>
              <w:rPr>
                <w:noProof/>
                <w:webHidden/>
              </w:rPr>
              <w:instrText xml:space="preserve"> PAGEREF _Toc220491347 \h </w:instrText>
            </w:r>
            <w:r>
              <w:rPr>
                <w:noProof/>
                <w:webHidden/>
              </w:rPr>
            </w:r>
            <w:r>
              <w:rPr>
                <w:noProof/>
                <w:webHidden/>
              </w:rPr>
              <w:fldChar w:fldCharType="separate"/>
            </w:r>
            <w:r>
              <w:rPr>
                <w:noProof/>
                <w:webHidden/>
              </w:rPr>
              <w:t>678</w:t>
            </w:r>
            <w:r>
              <w:rPr>
                <w:noProof/>
                <w:webHidden/>
              </w:rPr>
              <w:fldChar w:fldCharType="end"/>
            </w:r>
          </w:hyperlink>
        </w:p>
        <w:p w14:paraId="3696EC91" w14:textId="12688AAF"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48" w:history="1">
            <w:r w:rsidRPr="001D4C20">
              <w:rPr>
                <w:rStyle w:val="Lienhypertexte"/>
                <w:noProof/>
              </w:rPr>
              <w:t>55.45.5 Store / volet (protection visuelle/solaire) coulissant en matériaux composites CCTB 01.02</w:t>
            </w:r>
            <w:r>
              <w:rPr>
                <w:noProof/>
                <w:webHidden/>
              </w:rPr>
              <w:tab/>
            </w:r>
            <w:r>
              <w:rPr>
                <w:noProof/>
                <w:webHidden/>
              </w:rPr>
              <w:fldChar w:fldCharType="begin"/>
            </w:r>
            <w:r>
              <w:rPr>
                <w:noProof/>
                <w:webHidden/>
              </w:rPr>
              <w:instrText xml:space="preserve"> PAGEREF _Toc220491348 \h </w:instrText>
            </w:r>
            <w:r>
              <w:rPr>
                <w:noProof/>
                <w:webHidden/>
              </w:rPr>
            </w:r>
            <w:r>
              <w:rPr>
                <w:noProof/>
                <w:webHidden/>
              </w:rPr>
              <w:fldChar w:fldCharType="separate"/>
            </w:r>
            <w:r>
              <w:rPr>
                <w:noProof/>
                <w:webHidden/>
              </w:rPr>
              <w:t>679</w:t>
            </w:r>
            <w:r>
              <w:rPr>
                <w:noProof/>
                <w:webHidden/>
              </w:rPr>
              <w:fldChar w:fldCharType="end"/>
            </w:r>
          </w:hyperlink>
        </w:p>
        <w:p w14:paraId="56FE4859" w14:textId="57B3334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49" w:history="1">
            <w:r w:rsidRPr="001D4C20">
              <w:rPr>
                <w:rStyle w:val="Lienhypertexte"/>
                <w:noProof/>
              </w:rPr>
              <w:t>55.45.5a Store / volet (protection visuelle/solaire) coulissant en matériaux composites CCTB 01.02</w:t>
            </w:r>
            <w:r>
              <w:rPr>
                <w:noProof/>
                <w:webHidden/>
              </w:rPr>
              <w:tab/>
            </w:r>
            <w:r>
              <w:rPr>
                <w:noProof/>
                <w:webHidden/>
              </w:rPr>
              <w:fldChar w:fldCharType="begin"/>
            </w:r>
            <w:r>
              <w:rPr>
                <w:noProof/>
                <w:webHidden/>
              </w:rPr>
              <w:instrText xml:space="preserve"> PAGEREF _Toc220491349 \h </w:instrText>
            </w:r>
            <w:r>
              <w:rPr>
                <w:noProof/>
                <w:webHidden/>
              </w:rPr>
            </w:r>
            <w:r>
              <w:rPr>
                <w:noProof/>
                <w:webHidden/>
              </w:rPr>
              <w:fldChar w:fldCharType="separate"/>
            </w:r>
            <w:r>
              <w:rPr>
                <w:noProof/>
                <w:webHidden/>
              </w:rPr>
              <w:t>679</w:t>
            </w:r>
            <w:r>
              <w:rPr>
                <w:noProof/>
                <w:webHidden/>
              </w:rPr>
              <w:fldChar w:fldCharType="end"/>
            </w:r>
          </w:hyperlink>
        </w:p>
        <w:p w14:paraId="742A57B8" w14:textId="0541B559"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350" w:history="1">
            <w:r w:rsidRPr="001D4C20">
              <w:rPr>
                <w:rStyle w:val="Lienhypertexte"/>
                <w:noProof/>
              </w:rPr>
              <w:t>55.46 Store / volet (protection visuelle/solaire) pliant ou à accordéons CCTB 01.02</w:t>
            </w:r>
            <w:r>
              <w:rPr>
                <w:noProof/>
                <w:webHidden/>
              </w:rPr>
              <w:tab/>
            </w:r>
            <w:r>
              <w:rPr>
                <w:noProof/>
                <w:webHidden/>
              </w:rPr>
              <w:fldChar w:fldCharType="begin"/>
            </w:r>
            <w:r>
              <w:rPr>
                <w:noProof/>
                <w:webHidden/>
              </w:rPr>
              <w:instrText xml:space="preserve"> PAGEREF _Toc220491350 \h </w:instrText>
            </w:r>
            <w:r>
              <w:rPr>
                <w:noProof/>
                <w:webHidden/>
              </w:rPr>
            </w:r>
            <w:r>
              <w:rPr>
                <w:noProof/>
                <w:webHidden/>
              </w:rPr>
              <w:fldChar w:fldCharType="separate"/>
            </w:r>
            <w:r>
              <w:rPr>
                <w:noProof/>
                <w:webHidden/>
              </w:rPr>
              <w:t>679</w:t>
            </w:r>
            <w:r>
              <w:rPr>
                <w:noProof/>
                <w:webHidden/>
              </w:rPr>
              <w:fldChar w:fldCharType="end"/>
            </w:r>
          </w:hyperlink>
        </w:p>
        <w:p w14:paraId="1774226F" w14:textId="7D6ECD0B"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51" w:history="1">
            <w:r w:rsidRPr="001D4C20">
              <w:rPr>
                <w:rStyle w:val="Lienhypertexte"/>
                <w:noProof/>
              </w:rPr>
              <w:t>55.46.1 Store / volet (protection visuelle/solaire) pliant ou à accordéons en bois CCTB 01.02</w:t>
            </w:r>
            <w:r>
              <w:rPr>
                <w:noProof/>
                <w:webHidden/>
              </w:rPr>
              <w:tab/>
            </w:r>
            <w:r>
              <w:rPr>
                <w:noProof/>
                <w:webHidden/>
              </w:rPr>
              <w:fldChar w:fldCharType="begin"/>
            </w:r>
            <w:r>
              <w:rPr>
                <w:noProof/>
                <w:webHidden/>
              </w:rPr>
              <w:instrText xml:space="preserve"> PAGEREF _Toc220491351 \h </w:instrText>
            </w:r>
            <w:r>
              <w:rPr>
                <w:noProof/>
                <w:webHidden/>
              </w:rPr>
            </w:r>
            <w:r>
              <w:rPr>
                <w:noProof/>
                <w:webHidden/>
              </w:rPr>
              <w:fldChar w:fldCharType="separate"/>
            </w:r>
            <w:r>
              <w:rPr>
                <w:noProof/>
                <w:webHidden/>
              </w:rPr>
              <w:t>679</w:t>
            </w:r>
            <w:r>
              <w:rPr>
                <w:noProof/>
                <w:webHidden/>
              </w:rPr>
              <w:fldChar w:fldCharType="end"/>
            </w:r>
          </w:hyperlink>
        </w:p>
        <w:p w14:paraId="5D59C813" w14:textId="56ED0A1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52" w:history="1">
            <w:r w:rsidRPr="001D4C20">
              <w:rPr>
                <w:rStyle w:val="Lienhypertexte"/>
                <w:noProof/>
              </w:rPr>
              <w:t>55.46.1a Manuel CCTB 01.02</w:t>
            </w:r>
            <w:r>
              <w:rPr>
                <w:noProof/>
                <w:webHidden/>
              </w:rPr>
              <w:tab/>
            </w:r>
            <w:r>
              <w:rPr>
                <w:noProof/>
                <w:webHidden/>
              </w:rPr>
              <w:fldChar w:fldCharType="begin"/>
            </w:r>
            <w:r>
              <w:rPr>
                <w:noProof/>
                <w:webHidden/>
              </w:rPr>
              <w:instrText xml:space="preserve"> PAGEREF _Toc220491352 \h </w:instrText>
            </w:r>
            <w:r>
              <w:rPr>
                <w:noProof/>
                <w:webHidden/>
              </w:rPr>
            </w:r>
            <w:r>
              <w:rPr>
                <w:noProof/>
                <w:webHidden/>
              </w:rPr>
              <w:fldChar w:fldCharType="separate"/>
            </w:r>
            <w:r>
              <w:rPr>
                <w:noProof/>
                <w:webHidden/>
              </w:rPr>
              <w:t>679</w:t>
            </w:r>
            <w:r>
              <w:rPr>
                <w:noProof/>
                <w:webHidden/>
              </w:rPr>
              <w:fldChar w:fldCharType="end"/>
            </w:r>
          </w:hyperlink>
        </w:p>
        <w:p w14:paraId="585D733E" w14:textId="0CCD5F2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53" w:history="1">
            <w:r w:rsidRPr="001D4C20">
              <w:rPr>
                <w:rStyle w:val="Lienhypertexte"/>
                <w:noProof/>
              </w:rPr>
              <w:t>55.46.1b Motorisé CCTB 01.02</w:t>
            </w:r>
            <w:r>
              <w:rPr>
                <w:noProof/>
                <w:webHidden/>
              </w:rPr>
              <w:tab/>
            </w:r>
            <w:r>
              <w:rPr>
                <w:noProof/>
                <w:webHidden/>
              </w:rPr>
              <w:fldChar w:fldCharType="begin"/>
            </w:r>
            <w:r>
              <w:rPr>
                <w:noProof/>
                <w:webHidden/>
              </w:rPr>
              <w:instrText xml:space="preserve"> PAGEREF _Toc220491353 \h </w:instrText>
            </w:r>
            <w:r>
              <w:rPr>
                <w:noProof/>
                <w:webHidden/>
              </w:rPr>
            </w:r>
            <w:r>
              <w:rPr>
                <w:noProof/>
                <w:webHidden/>
              </w:rPr>
              <w:fldChar w:fldCharType="separate"/>
            </w:r>
            <w:r>
              <w:rPr>
                <w:noProof/>
                <w:webHidden/>
              </w:rPr>
              <w:t>679</w:t>
            </w:r>
            <w:r>
              <w:rPr>
                <w:noProof/>
                <w:webHidden/>
              </w:rPr>
              <w:fldChar w:fldCharType="end"/>
            </w:r>
          </w:hyperlink>
        </w:p>
        <w:p w14:paraId="141AF269" w14:textId="1FB828C1"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54" w:history="1">
            <w:r w:rsidRPr="001D4C20">
              <w:rPr>
                <w:rStyle w:val="Lienhypertexte"/>
                <w:noProof/>
              </w:rPr>
              <w:t>55.46.2 Store / volet (protection visuelle/solaire) pliant ou à accordéons en aluminium  CCTB 01.02</w:t>
            </w:r>
            <w:r>
              <w:rPr>
                <w:noProof/>
                <w:webHidden/>
              </w:rPr>
              <w:tab/>
            </w:r>
            <w:r>
              <w:rPr>
                <w:noProof/>
                <w:webHidden/>
              </w:rPr>
              <w:fldChar w:fldCharType="begin"/>
            </w:r>
            <w:r>
              <w:rPr>
                <w:noProof/>
                <w:webHidden/>
              </w:rPr>
              <w:instrText xml:space="preserve"> PAGEREF _Toc220491354 \h </w:instrText>
            </w:r>
            <w:r>
              <w:rPr>
                <w:noProof/>
                <w:webHidden/>
              </w:rPr>
            </w:r>
            <w:r>
              <w:rPr>
                <w:noProof/>
                <w:webHidden/>
              </w:rPr>
              <w:fldChar w:fldCharType="separate"/>
            </w:r>
            <w:r>
              <w:rPr>
                <w:noProof/>
                <w:webHidden/>
              </w:rPr>
              <w:t>679</w:t>
            </w:r>
            <w:r>
              <w:rPr>
                <w:noProof/>
                <w:webHidden/>
              </w:rPr>
              <w:fldChar w:fldCharType="end"/>
            </w:r>
          </w:hyperlink>
        </w:p>
        <w:p w14:paraId="68D2544C" w14:textId="5DB369B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55" w:history="1">
            <w:r w:rsidRPr="001D4C20">
              <w:rPr>
                <w:rStyle w:val="Lienhypertexte"/>
                <w:noProof/>
              </w:rPr>
              <w:t>55.46.2a Manuel CCTB 01.02</w:t>
            </w:r>
            <w:r>
              <w:rPr>
                <w:noProof/>
                <w:webHidden/>
              </w:rPr>
              <w:tab/>
            </w:r>
            <w:r>
              <w:rPr>
                <w:noProof/>
                <w:webHidden/>
              </w:rPr>
              <w:fldChar w:fldCharType="begin"/>
            </w:r>
            <w:r>
              <w:rPr>
                <w:noProof/>
                <w:webHidden/>
              </w:rPr>
              <w:instrText xml:space="preserve"> PAGEREF _Toc220491355 \h </w:instrText>
            </w:r>
            <w:r>
              <w:rPr>
                <w:noProof/>
                <w:webHidden/>
              </w:rPr>
            </w:r>
            <w:r>
              <w:rPr>
                <w:noProof/>
                <w:webHidden/>
              </w:rPr>
              <w:fldChar w:fldCharType="separate"/>
            </w:r>
            <w:r>
              <w:rPr>
                <w:noProof/>
                <w:webHidden/>
              </w:rPr>
              <w:t>679</w:t>
            </w:r>
            <w:r>
              <w:rPr>
                <w:noProof/>
                <w:webHidden/>
              </w:rPr>
              <w:fldChar w:fldCharType="end"/>
            </w:r>
          </w:hyperlink>
        </w:p>
        <w:p w14:paraId="67F8E39D" w14:textId="762FC87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56" w:history="1">
            <w:r w:rsidRPr="001D4C20">
              <w:rPr>
                <w:rStyle w:val="Lienhypertexte"/>
                <w:noProof/>
              </w:rPr>
              <w:t>55.46.2b Motorisé CCTB 01.02</w:t>
            </w:r>
            <w:r>
              <w:rPr>
                <w:noProof/>
                <w:webHidden/>
              </w:rPr>
              <w:tab/>
            </w:r>
            <w:r>
              <w:rPr>
                <w:noProof/>
                <w:webHidden/>
              </w:rPr>
              <w:fldChar w:fldCharType="begin"/>
            </w:r>
            <w:r>
              <w:rPr>
                <w:noProof/>
                <w:webHidden/>
              </w:rPr>
              <w:instrText xml:space="preserve"> PAGEREF _Toc220491356 \h </w:instrText>
            </w:r>
            <w:r>
              <w:rPr>
                <w:noProof/>
                <w:webHidden/>
              </w:rPr>
            </w:r>
            <w:r>
              <w:rPr>
                <w:noProof/>
                <w:webHidden/>
              </w:rPr>
              <w:fldChar w:fldCharType="separate"/>
            </w:r>
            <w:r>
              <w:rPr>
                <w:noProof/>
                <w:webHidden/>
              </w:rPr>
              <w:t>679</w:t>
            </w:r>
            <w:r>
              <w:rPr>
                <w:noProof/>
                <w:webHidden/>
              </w:rPr>
              <w:fldChar w:fldCharType="end"/>
            </w:r>
          </w:hyperlink>
        </w:p>
        <w:p w14:paraId="5240EF7A" w14:textId="2D9FCCC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57" w:history="1">
            <w:r w:rsidRPr="001D4C20">
              <w:rPr>
                <w:rStyle w:val="Lienhypertexte"/>
                <w:noProof/>
              </w:rPr>
              <w:t>55.46.3 Store / volet (protection visuelle/solaire) pliant ou à accordéons en acier  CCTB 01.02</w:t>
            </w:r>
            <w:r>
              <w:rPr>
                <w:noProof/>
                <w:webHidden/>
              </w:rPr>
              <w:tab/>
            </w:r>
            <w:r>
              <w:rPr>
                <w:noProof/>
                <w:webHidden/>
              </w:rPr>
              <w:fldChar w:fldCharType="begin"/>
            </w:r>
            <w:r>
              <w:rPr>
                <w:noProof/>
                <w:webHidden/>
              </w:rPr>
              <w:instrText xml:space="preserve"> PAGEREF _Toc220491357 \h </w:instrText>
            </w:r>
            <w:r>
              <w:rPr>
                <w:noProof/>
                <w:webHidden/>
              </w:rPr>
            </w:r>
            <w:r>
              <w:rPr>
                <w:noProof/>
                <w:webHidden/>
              </w:rPr>
              <w:fldChar w:fldCharType="separate"/>
            </w:r>
            <w:r>
              <w:rPr>
                <w:noProof/>
                <w:webHidden/>
              </w:rPr>
              <w:t>679</w:t>
            </w:r>
            <w:r>
              <w:rPr>
                <w:noProof/>
                <w:webHidden/>
              </w:rPr>
              <w:fldChar w:fldCharType="end"/>
            </w:r>
          </w:hyperlink>
        </w:p>
        <w:p w14:paraId="202FF550" w14:textId="36B60BD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58" w:history="1">
            <w:r w:rsidRPr="001D4C20">
              <w:rPr>
                <w:rStyle w:val="Lienhypertexte"/>
                <w:noProof/>
              </w:rPr>
              <w:t>55.46.3a Manuel CCTB 01.02</w:t>
            </w:r>
            <w:r>
              <w:rPr>
                <w:noProof/>
                <w:webHidden/>
              </w:rPr>
              <w:tab/>
            </w:r>
            <w:r>
              <w:rPr>
                <w:noProof/>
                <w:webHidden/>
              </w:rPr>
              <w:fldChar w:fldCharType="begin"/>
            </w:r>
            <w:r>
              <w:rPr>
                <w:noProof/>
                <w:webHidden/>
              </w:rPr>
              <w:instrText xml:space="preserve"> PAGEREF _Toc220491358 \h </w:instrText>
            </w:r>
            <w:r>
              <w:rPr>
                <w:noProof/>
                <w:webHidden/>
              </w:rPr>
            </w:r>
            <w:r>
              <w:rPr>
                <w:noProof/>
                <w:webHidden/>
              </w:rPr>
              <w:fldChar w:fldCharType="separate"/>
            </w:r>
            <w:r>
              <w:rPr>
                <w:noProof/>
                <w:webHidden/>
              </w:rPr>
              <w:t>679</w:t>
            </w:r>
            <w:r>
              <w:rPr>
                <w:noProof/>
                <w:webHidden/>
              </w:rPr>
              <w:fldChar w:fldCharType="end"/>
            </w:r>
          </w:hyperlink>
        </w:p>
        <w:p w14:paraId="6AE2B74E" w14:textId="247E0A7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59" w:history="1">
            <w:r w:rsidRPr="001D4C20">
              <w:rPr>
                <w:rStyle w:val="Lienhypertexte"/>
                <w:noProof/>
              </w:rPr>
              <w:t>55.46.3b Motorisé CCTB 01.02</w:t>
            </w:r>
            <w:r>
              <w:rPr>
                <w:noProof/>
                <w:webHidden/>
              </w:rPr>
              <w:tab/>
            </w:r>
            <w:r>
              <w:rPr>
                <w:noProof/>
                <w:webHidden/>
              </w:rPr>
              <w:fldChar w:fldCharType="begin"/>
            </w:r>
            <w:r>
              <w:rPr>
                <w:noProof/>
                <w:webHidden/>
              </w:rPr>
              <w:instrText xml:space="preserve"> PAGEREF _Toc220491359 \h </w:instrText>
            </w:r>
            <w:r>
              <w:rPr>
                <w:noProof/>
                <w:webHidden/>
              </w:rPr>
            </w:r>
            <w:r>
              <w:rPr>
                <w:noProof/>
                <w:webHidden/>
              </w:rPr>
              <w:fldChar w:fldCharType="separate"/>
            </w:r>
            <w:r>
              <w:rPr>
                <w:noProof/>
                <w:webHidden/>
              </w:rPr>
              <w:t>679</w:t>
            </w:r>
            <w:r>
              <w:rPr>
                <w:noProof/>
                <w:webHidden/>
              </w:rPr>
              <w:fldChar w:fldCharType="end"/>
            </w:r>
          </w:hyperlink>
        </w:p>
        <w:p w14:paraId="169F22D9" w14:textId="0351C2DA"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60" w:history="1">
            <w:r w:rsidRPr="001D4C20">
              <w:rPr>
                <w:rStyle w:val="Lienhypertexte"/>
                <w:noProof/>
              </w:rPr>
              <w:t>55.46.4 Store / volet (protection visuelle/solaire) pliant ou à accordéons en PVC CCTB 01.02</w:t>
            </w:r>
            <w:r>
              <w:rPr>
                <w:noProof/>
                <w:webHidden/>
              </w:rPr>
              <w:tab/>
            </w:r>
            <w:r>
              <w:rPr>
                <w:noProof/>
                <w:webHidden/>
              </w:rPr>
              <w:fldChar w:fldCharType="begin"/>
            </w:r>
            <w:r>
              <w:rPr>
                <w:noProof/>
                <w:webHidden/>
              </w:rPr>
              <w:instrText xml:space="preserve"> PAGEREF _Toc220491360 \h </w:instrText>
            </w:r>
            <w:r>
              <w:rPr>
                <w:noProof/>
                <w:webHidden/>
              </w:rPr>
            </w:r>
            <w:r>
              <w:rPr>
                <w:noProof/>
                <w:webHidden/>
              </w:rPr>
              <w:fldChar w:fldCharType="separate"/>
            </w:r>
            <w:r>
              <w:rPr>
                <w:noProof/>
                <w:webHidden/>
              </w:rPr>
              <w:t>679</w:t>
            </w:r>
            <w:r>
              <w:rPr>
                <w:noProof/>
                <w:webHidden/>
              </w:rPr>
              <w:fldChar w:fldCharType="end"/>
            </w:r>
          </w:hyperlink>
        </w:p>
        <w:p w14:paraId="7208ADE1" w14:textId="6CF9B4F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61" w:history="1">
            <w:r w:rsidRPr="001D4C20">
              <w:rPr>
                <w:rStyle w:val="Lienhypertexte"/>
                <w:noProof/>
              </w:rPr>
              <w:t>55.46.4a Manuel CCTB 01.02</w:t>
            </w:r>
            <w:r>
              <w:rPr>
                <w:noProof/>
                <w:webHidden/>
              </w:rPr>
              <w:tab/>
            </w:r>
            <w:r>
              <w:rPr>
                <w:noProof/>
                <w:webHidden/>
              </w:rPr>
              <w:fldChar w:fldCharType="begin"/>
            </w:r>
            <w:r>
              <w:rPr>
                <w:noProof/>
                <w:webHidden/>
              </w:rPr>
              <w:instrText xml:space="preserve"> PAGEREF _Toc220491361 \h </w:instrText>
            </w:r>
            <w:r>
              <w:rPr>
                <w:noProof/>
                <w:webHidden/>
              </w:rPr>
            </w:r>
            <w:r>
              <w:rPr>
                <w:noProof/>
                <w:webHidden/>
              </w:rPr>
              <w:fldChar w:fldCharType="separate"/>
            </w:r>
            <w:r>
              <w:rPr>
                <w:noProof/>
                <w:webHidden/>
              </w:rPr>
              <w:t>679</w:t>
            </w:r>
            <w:r>
              <w:rPr>
                <w:noProof/>
                <w:webHidden/>
              </w:rPr>
              <w:fldChar w:fldCharType="end"/>
            </w:r>
          </w:hyperlink>
        </w:p>
        <w:p w14:paraId="520382C7" w14:textId="2354D8C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62" w:history="1">
            <w:r w:rsidRPr="001D4C20">
              <w:rPr>
                <w:rStyle w:val="Lienhypertexte"/>
                <w:noProof/>
              </w:rPr>
              <w:t>55.46.4b Motorisé CCTB 01.02</w:t>
            </w:r>
            <w:r>
              <w:rPr>
                <w:noProof/>
                <w:webHidden/>
              </w:rPr>
              <w:tab/>
            </w:r>
            <w:r>
              <w:rPr>
                <w:noProof/>
                <w:webHidden/>
              </w:rPr>
              <w:fldChar w:fldCharType="begin"/>
            </w:r>
            <w:r>
              <w:rPr>
                <w:noProof/>
                <w:webHidden/>
              </w:rPr>
              <w:instrText xml:space="preserve"> PAGEREF _Toc220491362 \h </w:instrText>
            </w:r>
            <w:r>
              <w:rPr>
                <w:noProof/>
                <w:webHidden/>
              </w:rPr>
            </w:r>
            <w:r>
              <w:rPr>
                <w:noProof/>
                <w:webHidden/>
              </w:rPr>
              <w:fldChar w:fldCharType="separate"/>
            </w:r>
            <w:r>
              <w:rPr>
                <w:noProof/>
                <w:webHidden/>
              </w:rPr>
              <w:t>679</w:t>
            </w:r>
            <w:r>
              <w:rPr>
                <w:noProof/>
                <w:webHidden/>
              </w:rPr>
              <w:fldChar w:fldCharType="end"/>
            </w:r>
          </w:hyperlink>
        </w:p>
        <w:p w14:paraId="6BBCF7D0" w14:textId="026537E4"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63" w:history="1">
            <w:r w:rsidRPr="001D4C20">
              <w:rPr>
                <w:rStyle w:val="Lienhypertexte"/>
                <w:noProof/>
              </w:rPr>
              <w:t>55.46.5 Store / volet (protection visuelle/solaire) pliant ou à accordéons en matériaux composites CCTB 01.02</w:t>
            </w:r>
            <w:r>
              <w:rPr>
                <w:noProof/>
                <w:webHidden/>
              </w:rPr>
              <w:tab/>
            </w:r>
            <w:r>
              <w:rPr>
                <w:noProof/>
                <w:webHidden/>
              </w:rPr>
              <w:fldChar w:fldCharType="begin"/>
            </w:r>
            <w:r>
              <w:rPr>
                <w:noProof/>
                <w:webHidden/>
              </w:rPr>
              <w:instrText xml:space="preserve"> PAGEREF _Toc220491363 \h </w:instrText>
            </w:r>
            <w:r>
              <w:rPr>
                <w:noProof/>
                <w:webHidden/>
              </w:rPr>
            </w:r>
            <w:r>
              <w:rPr>
                <w:noProof/>
                <w:webHidden/>
              </w:rPr>
              <w:fldChar w:fldCharType="separate"/>
            </w:r>
            <w:r>
              <w:rPr>
                <w:noProof/>
                <w:webHidden/>
              </w:rPr>
              <w:t>679</w:t>
            </w:r>
            <w:r>
              <w:rPr>
                <w:noProof/>
                <w:webHidden/>
              </w:rPr>
              <w:fldChar w:fldCharType="end"/>
            </w:r>
          </w:hyperlink>
        </w:p>
        <w:p w14:paraId="4B7BD981" w14:textId="153D2A7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64" w:history="1">
            <w:r w:rsidRPr="001D4C20">
              <w:rPr>
                <w:rStyle w:val="Lienhypertexte"/>
                <w:noProof/>
              </w:rPr>
              <w:t>55.46.5a Store / volet (protection visuelle/solaire) pliant ou à accordéons en matériaux composites CCTB 01.02</w:t>
            </w:r>
            <w:r>
              <w:rPr>
                <w:noProof/>
                <w:webHidden/>
              </w:rPr>
              <w:tab/>
            </w:r>
            <w:r>
              <w:rPr>
                <w:noProof/>
                <w:webHidden/>
              </w:rPr>
              <w:fldChar w:fldCharType="begin"/>
            </w:r>
            <w:r>
              <w:rPr>
                <w:noProof/>
                <w:webHidden/>
              </w:rPr>
              <w:instrText xml:space="preserve"> PAGEREF _Toc220491364 \h </w:instrText>
            </w:r>
            <w:r>
              <w:rPr>
                <w:noProof/>
                <w:webHidden/>
              </w:rPr>
            </w:r>
            <w:r>
              <w:rPr>
                <w:noProof/>
                <w:webHidden/>
              </w:rPr>
              <w:fldChar w:fldCharType="separate"/>
            </w:r>
            <w:r>
              <w:rPr>
                <w:noProof/>
                <w:webHidden/>
              </w:rPr>
              <w:t>679</w:t>
            </w:r>
            <w:r>
              <w:rPr>
                <w:noProof/>
                <w:webHidden/>
              </w:rPr>
              <w:fldChar w:fldCharType="end"/>
            </w:r>
          </w:hyperlink>
        </w:p>
        <w:p w14:paraId="6953F5EA" w14:textId="2F2E0F78"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365" w:history="1">
            <w:r w:rsidRPr="001D4C20">
              <w:rPr>
                <w:rStyle w:val="Lienhypertexte"/>
                <w:noProof/>
              </w:rPr>
              <w:t>55.47 Store - volet (protection visuelle/solaire) - lamelles verticales</w:t>
            </w:r>
            <w:r>
              <w:rPr>
                <w:noProof/>
                <w:webHidden/>
              </w:rPr>
              <w:tab/>
            </w:r>
            <w:r>
              <w:rPr>
                <w:noProof/>
                <w:webHidden/>
              </w:rPr>
              <w:fldChar w:fldCharType="begin"/>
            </w:r>
            <w:r>
              <w:rPr>
                <w:noProof/>
                <w:webHidden/>
              </w:rPr>
              <w:instrText xml:space="preserve"> PAGEREF _Toc220491365 \h </w:instrText>
            </w:r>
            <w:r>
              <w:rPr>
                <w:noProof/>
                <w:webHidden/>
              </w:rPr>
            </w:r>
            <w:r>
              <w:rPr>
                <w:noProof/>
                <w:webHidden/>
              </w:rPr>
              <w:fldChar w:fldCharType="separate"/>
            </w:r>
            <w:r>
              <w:rPr>
                <w:noProof/>
                <w:webHidden/>
              </w:rPr>
              <w:t>679</w:t>
            </w:r>
            <w:r>
              <w:rPr>
                <w:noProof/>
                <w:webHidden/>
              </w:rPr>
              <w:fldChar w:fldCharType="end"/>
            </w:r>
          </w:hyperlink>
        </w:p>
        <w:p w14:paraId="550DF9DC" w14:textId="42576819"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66" w:history="1">
            <w:r w:rsidRPr="001D4C20">
              <w:rPr>
                <w:rStyle w:val="Lienhypertexte"/>
                <w:noProof/>
              </w:rPr>
              <w:t>55.47.1 Store - volet (protection visuelle / solaire) - lamelles verticales</w:t>
            </w:r>
            <w:r>
              <w:rPr>
                <w:noProof/>
                <w:webHidden/>
              </w:rPr>
              <w:tab/>
            </w:r>
            <w:r>
              <w:rPr>
                <w:noProof/>
                <w:webHidden/>
              </w:rPr>
              <w:fldChar w:fldCharType="begin"/>
            </w:r>
            <w:r>
              <w:rPr>
                <w:noProof/>
                <w:webHidden/>
              </w:rPr>
              <w:instrText xml:space="preserve"> PAGEREF _Toc220491366 \h </w:instrText>
            </w:r>
            <w:r>
              <w:rPr>
                <w:noProof/>
                <w:webHidden/>
              </w:rPr>
            </w:r>
            <w:r>
              <w:rPr>
                <w:noProof/>
                <w:webHidden/>
              </w:rPr>
              <w:fldChar w:fldCharType="separate"/>
            </w:r>
            <w:r>
              <w:rPr>
                <w:noProof/>
                <w:webHidden/>
              </w:rPr>
              <w:t>679</w:t>
            </w:r>
            <w:r>
              <w:rPr>
                <w:noProof/>
                <w:webHidden/>
              </w:rPr>
              <w:fldChar w:fldCharType="end"/>
            </w:r>
          </w:hyperlink>
        </w:p>
        <w:p w14:paraId="14373D53" w14:textId="1AFF88A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67" w:history="1">
            <w:r w:rsidRPr="001D4C20">
              <w:rPr>
                <w:rStyle w:val="Lienhypertexte"/>
                <w:noProof/>
              </w:rPr>
              <w:t>55.47.1a Store intérieur - lamelles verticales CCTB 01.11</w:t>
            </w:r>
            <w:r>
              <w:rPr>
                <w:noProof/>
                <w:webHidden/>
              </w:rPr>
              <w:tab/>
            </w:r>
            <w:r>
              <w:rPr>
                <w:noProof/>
                <w:webHidden/>
              </w:rPr>
              <w:fldChar w:fldCharType="begin"/>
            </w:r>
            <w:r>
              <w:rPr>
                <w:noProof/>
                <w:webHidden/>
              </w:rPr>
              <w:instrText xml:space="preserve"> PAGEREF _Toc220491367 \h </w:instrText>
            </w:r>
            <w:r>
              <w:rPr>
                <w:noProof/>
                <w:webHidden/>
              </w:rPr>
            </w:r>
            <w:r>
              <w:rPr>
                <w:noProof/>
                <w:webHidden/>
              </w:rPr>
              <w:fldChar w:fldCharType="separate"/>
            </w:r>
            <w:r>
              <w:rPr>
                <w:noProof/>
                <w:webHidden/>
              </w:rPr>
              <w:t>679</w:t>
            </w:r>
            <w:r>
              <w:rPr>
                <w:noProof/>
                <w:webHidden/>
              </w:rPr>
              <w:fldChar w:fldCharType="end"/>
            </w:r>
          </w:hyperlink>
        </w:p>
        <w:p w14:paraId="263848CF" w14:textId="408F68AC"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368" w:history="1">
            <w:r w:rsidRPr="001D4C20">
              <w:rPr>
                <w:rStyle w:val="Lienhypertexte"/>
                <w:noProof/>
              </w:rPr>
              <w:t>55.5 Habillage particulier de baies / de gaines CCTB 01.02</w:t>
            </w:r>
            <w:r>
              <w:rPr>
                <w:noProof/>
                <w:webHidden/>
              </w:rPr>
              <w:tab/>
            </w:r>
            <w:r>
              <w:rPr>
                <w:noProof/>
                <w:webHidden/>
              </w:rPr>
              <w:fldChar w:fldCharType="begin"/>
            </w:r>
            <w:r>
              <w:rPr>
                <w:noProof/>
                <w:webHidden/>
              </w:rPr>
              <w:instrText xml:space="preserve"> PAGEREF _Toc220491368 \h </w:instrText>
            </w:r>
            <w:r>
              <w:rPr>
                <w:noProof/>
                <w:webHidden/>
              </w:rPr>
            </w:r>
            <w:r>
              <w:rPr>
                <w:noProof/>
                <w:webHidden/>
              </w:rPr>
              <w:fldChar w:fldCharType="separate"/>
            </w:r>
            <w:r>
              <w:rPr>
                <w:noProof/>
                <w:webHidden/>
              </w:rPr>
              <w:t>681</w:t>
            </w:r>
            <w:r>
              <w:rPr>
                <w:noProof/>
                <w:webHidden/>
              </w:rPr>
              <w:fldChar w:fldCharType="end"/>
            </w:r>
          </w:hyperlink>
        </w:p>
        <w:p w14:paraId="584DF4C1" w14:textId="599308BB"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369" w:history="1">
            <w:r w:rsidRPr="001D4C20">
              <w:rPr>
                <w:rStyle w:val="Lienhypertexte"/>
                <w:noProof/>
              </w:rPr>
              <w:t>55.51 Habillage de fenêtres CCTB 01.11</w:t>
            </w:r>
            <w:r>
              <w:rPr>
                <w:noProof/>
                <w:webHidden/>
              </w:rPr>
              <w:tab/>
            </w:r>
            <w:r>
              <w:rPr>
                <w:noProof/>
                <w:webHidden/>
              </w:rPr>
              <w:fldChar w:fldCharType="begin"/>
            </w:r>
            <w:r>
              <w:rPr>
                <w:noProof/>
                <w:webHidden/>
              </w:rPr>
              <w:instrText xml:space="preserve"> PAGEREF _Toc220491369 \h </w:instrText>
            </w:r>
            <w:r>
              <w:rPr>
                <w:noProof/>
                <w:webHidden/>
              </w:rPr>
            </w:r>
            <w:r>
              <w:rPr>
                <w:noProof/>
                <w:webHidden/>
              </w:rPr>
              <w:fldChar w:fldCharType="separate"/>
            </w:r>
            <w:r>
              <w:rPr>
                <w:noProof/>
                <w:webHidden/>
              </w:rPr>
              <w:t>681</w:t>
            </w:r>
            <w:r>
              <w:rPr>
                <w:noProof/>
                <w:webHidden/>
              </w:rPr>
              <w:fldChar w:fldCharType="end"/>
            </w:r>
          </w:hyperlink>
        </w:p>
        <w:p w14:paraId="41B37BDC" w14:textId="67453CC2"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70" w:history="1">
            <w:r w:rsidRPr="001D4C20">
              <w:rPr>
                <w:rStyle w:val="Lienhypertexte"/>
                <w:noProof/>
              </w:rPr>
              <w:t>55.51.1 Habillage de fenêtres en plaques de plâtre enrobées de carton CCTB 01.02</w:t>
            </w:r>
            <w:r>
              <w:rPr>
                <w:noProof/>
                <w:webHidden/>
              </w:rPr>
              <w:tab/>
            </w:r>
            <w:r>
              <w:rPr>
                <w:noProof/>
                <w:webHidden/>
              </w:rPr>
              <w:fldChar w:fldCharType="begin"/>
            </w:r>
            <w:r>
              <w:rPr>
                <w:noProof/>
                <w:webHidden/>
              </w:rPr>
              <w:instrText xml:space="preserve"> PAGEREF _Toc220491370 \h </w:instrText>
            </w:r>
            <w:r>
              <w:rPr>
                <w:noProof/>
                <w:webHidden/>
              </w:rPr>
            </w:r>
            <w:r>
              <w:rPr>
                <w:noProof/>
                <w:webHidden/>
              </w:rPr>
              <w:fldChar w:fldCharType="separate"/>
            </w:r>
            <w:r>
              <w:rPr>
                <w:noProof/>
                <w:webHidden/>
              </w:rPr>
              <w:t>682</w:t>
            </w:r>
            <w:r>
              <w:rPr>
                <w:noProof/>
                <w:webHidden/>
              </w:rPr>
              <w:fldChar w:fldCharType="end"/>
            </w:r>
          </w:hyperlink>
        </w:p>
        <w:p w14:paraId="1DA38868" w14:textId="2C50E71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71" w:history="1">
            <w:r w:rsidRPr="001D4C20">
              <w:rPr>
                <w:rStyle w:val="Lienhypertexte"/>
                <w:noProof/>
              </w:rPr>
              <w:t>55.51.1a Habillage de fenêtres en plaques de plâtre enrobées de carton CCTB 01.10</w:t>
            </w:r>
            <w:r>
              <w:rPr>
                <w:noProof/>
                <w:webHidden/>
              </w:rPr>
              <w:tab/>
            </w:r>
            <w:r>
              <w:rPr>
                <w:noProof/>
                <w:webHidden/>
              </w:rPr>
              <w:fldChar w:fldCharType="begin"/>
            </w:r>
            <w:r>
              <w:rPr>
                <w:noProof/>
                <w:webHidden/>
              </w:rPr>
              <w:instrText xml:space="preserve"> PAGEREF _Toc220491371 \h </w:instrText>
            </w:r>
            <w:r>
              <w:rPr>
                <w:noProof/>
                <w:webHidden/>
              </w:rPr>
            </w:r>
            <w:r>
              <w:rPr>
                <w:noProof/>
                <w:webHidden/>
              </w:rPr>
              <w:fldChar w:fldCharType="separate"/>
            </w:r>
            <w:r>
              <w:rPr>
                <w:noProof/>
                <w:webHidden/>
              </w:rPr>
              <w:t>682</w:t>
            </w:r>
            <w:r>
              <w:rPr>
                <w:noProof/>
                <w:webHidden/>
              </w:rPr>
              <w:fldChar w:fldCharType="end"/>
            </w:r>
          </w:hyperlink>
        </w:p>
        <w:p w14:paraId="25B4BD53" w14:textId="25AF38C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72" w:history="1">
            <w:r w:rsidRPr="001D4C20">
              <w:rPr>
                <w:rStyle w:val="Lienhypertexte"/>
                <w:noProof/>
              </w:rPr>
              <w:t>55.51.2 Habillage de fenêtres en bois CCTB 01.02</w:t>
            </w:r>
            <w:r>
              <w:rPr>
                <w:noProof/>
                <w:webHidden/>
              </w:rPr>
              <w:tab/>
            </w:r>
            <w:r>
              <w:rPr>
                <w:noProof/>
                <w:webHidden/>
              </w:rPr>
              <w:fldChar w:fldCharType="begin"/>
            </w:r>
            <w:r>
              <w:rPr>
                <w:noProof/>
                <w:webHidden/>
              </w:rPr>
              <w:instrText xml:space="preserve"> PAGEREF _Toc220491372 \h </w:instrText>
            </w:r>
            <w:r>
              <w:rPr>
                <w:noProof/>
                <w:webHidden/>
              </w:rPr>
            </w:r>
            <w:r>
              <w:rPr>
                <w:noProof/>
                <w:webHidden/>
              </w:rPr>
              <w:fldChar w:fldCharType="separate"/>
            </w:r>
            <w:r>
              <w:rPr>
                <w:noProof/>
                <w:webHidden/>
              </w:rPr>
              <w:t>683</w:t>
            </w:r>
            <w:r>
              <w:rPr>
                <w:noProof/>
                <w:webHidden/>
              </w:rPr>
              <w:fldChar w:fldCharType="end"/>
            </w:r>
          </w:hyperlink>
        </w:p>
        <w:p w14:paraId="21CFCDD4" w14:textId="24B8EA7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73" w:history="1">
            <w:r w:rsidRPr="001D4C20">
              <w:rPr>
                <w:rStyle w:val="Lienhypertexte"/>
                <w:noProof/>
              </w:rPr>
              <w:t>55.51.2a Habillage de fenêtres en bois CCTB 01.11</w:t>
            </w:r>
            <w:r>
              <w:rPr>
                <w:noProof/>
                <w:webHidden/>
              </w:rPr>
              <w:tab/>
            </w:r>
            <w:r>
              <w:rPr>
                <w:noProof/>
                <w:webHidden/>
              </w:rPr>
              <w:fldChar w:fldCharType="begin"/>
            </w:r>
            <w:r>
              <w:rPr>
                <w:noProof/>
                <w:webHidden/>
              </w:rPr>
              <w:instrText xml:space="preserve"> PAGEREF _Toc220491373 \h </w:instrText>
            </w:r>
            <w:r>
              <w:rPr>
                <w:noProof/>
                <w:webHidden/>
              </w:rPr>
            </w:r>
            <w:r>
              <w:rPr>
                <w:noProof/>
                <w:webHidden/>
              </w:rPr>
              <w:fldChar w:fldCharType="separate"/>
            </w:r>
            <w:r>
              <w:rPr>
                <w:noProof/>
                <w:webHidden/>
              </w:rPr>
              <w:t>683</w:t>
            </w:r>
            <w:r>
              <w:rPr>
                <w:noProof/>
                <w:webHidden/>
              </w:rPr>
              <w:fldChar w:fldCharType="end"/>
            </w:r>
          </w:hyperlink>
        </w:p>
        <w:p w14:paraId="3C180C17" w14:textId="12F8E272"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74" w:history="1">
            <w:r w:rsidRPr="001D4C20">
              <w:rPr>
                <w:rStyle w:val="Lienhypertexte"/>
                <w:noProof/>
              </w:rPr>
              <w:t>55.51.3 Habillage de fenêtres en matière synthétique CCTB 01.02</w:t>
            </w:r>
            <w:r>
              <w:rPr>
                <w:noProof/>
                <w:webHidden/>
              </w:rPr>
              <w:tab/>
            </w:r>
            <w:r>
              <w:rPr>
                <w:noProof/>
                <w:webHidden/>
              </w:rPr>
              <w:fldChar w:fldCharType="begin"/>
            </w:r>
            <w:r>
              <w:rPr>
                <w:noProof/>
                <w:webHidden/>
              </w:rPr>
              <w:instrText xml:space="preserve"> PAGEREF _Toc220491374 \h </w:instrText>
            </w:r>
            <w:r>
              <w:rPr>
                <w:noProof/>
                <w:webHidden/>
              </w:rPr>
            </w:r>
            <w:r>
              <w:rPr>
                <w:noProof/>
                <w:webHidden/>
              </w:rPr>
              <w:fldChar w:fldCharType="separate"/>
            </w:r>
            <w:r>
              <w:rPr>
                <w:noProof/>
                <w:webHidden/>
              </w:rPr>
              <w:t>685</w:t>
            </w:r>
            <w:r>
              <w:rPr>
                <w:noProof/>
                <w:webHidden/>
              </w:rPr>
              <w:fldChar w:fldCharType="end"/>
            </w:r>
          </w:hyperlink>
        </w:p>
        <w:p w14:paraId="0194B28A" w14:textId="24E8400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75" w:history="1">
            <w:r w:rsidRPr="001D4C20">
              <w:rPr>
                <w:rStyle w:val="Lienhypertexte"/>
                <w:noProof/>
              </w:rPr>
              <w:t>55.51.3a Habillage de fenêtres en matière synthétique CCTB 01.10</w:t>
            </w:r>
            <w:r>
              <w:rPr>
                <w:noProof/>
                <w:webHidden/>
              </w:rPr>
              <w:tab/>
            </w:r>
            <w:r>
              <w:rPr>
                <w:noProof/>
                <w:webHidden/>
              </w:rPr>
              <w:fldChar w:fldCharType="begin"/>
            </w:r>
            <w:r>
              <w:rPr>
                <w:noProof/>
                <w:webHidden/>
              </w:rPr>
              <w:instrText xml:space="preserve"> PAGEREF _Toc220491375 \h </w:instrText>
            </w:r>
            <w:r>
              <w:rPr>
                <w:noProof/>
                <w:webHidden/>
              </w:rPr>
            </w:r>
            <w:r>
              <w:rPr>
                <w:noProof/>
                <w:webHidden/>
              </w:rPr>
              <w:fldChar w:fldCharType="separate"/>
            </w:r>
            <w:r>
              <w:rPr>
                <w:noProof/>
                <w:webHidden/>
              </w:rPr>
              <w:t>685</w:t>
            </w:r>
            <w:r>
              <w:rPr>
                <w:noProof/>
                <w:webHidden/>
              </w:rPr>
              <w:fldChar w:fldCharType="end"/>
            </w:r>
          </w:hyperlink>
        </w:p>
        <w:p w14:paraId="409205FD" w14:textId="049D4D57"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376" w:history="1">
            <w:r w:rsidRPr="001D4C20">
              <w:rPr>
                <w:rStyle w:val="Lienhypertexte"/>
                <w:noProof/>
              </w:rPr>
              <w:t>55.52 Habillage de portes CCTB 01.10</w:t>
            </w:r>
            <w:r>
              <w:rPr>
                <w:noProof/>
                <w:webHidden/>
              </w:rPr>
              <w:tab/>
            </w:r>
            <w:r>
              <w:rPr>
                <w:noProof/>
                <w:webHidden/>
              </w:rPr>
              <w:fldChar w:fldCharType="begin"/>
            </w:r>
            <w:r>
              <w:rPr>
                <w:noProof/>
                <w:webHidden/>
              </w:rPr>
              <w:instrText xml:space="preserve"> PAGEREF _Toc220491376 \h </w:instrText>
            </w:r>
            <w:r>
              <w:rPr>
                <w:noProof/>
                <w:webHidden/>
              </w:rPr>
            </w:r>
            <w:r>
              <w:rPr>
                <w:noProof/>
                <w:webHidden/>
              </w:rPr>
              <w:fldChar w:fldCharType="separate"/>
            </w:r>
            <w:r>
              <w:rPr>
                <w:noProof/>
                <w:webHidden/>
              </w:rPr>
              <w:t>686</w:t>
            </w:r>
            <w:r>
              <w:rPr>
                <w:noProof/>
                <w:webHidden/>
              </w:rPr>
              <w:fldChar w:fldCharType="end"/>
            </w:r>
          </w:hyperlink>
        </w:p>
        <w:p w14:paraId="3CFC9B0B" w14:textId="77E3AB8B"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77" w:history="1">
            <w:r w:rsidRPr="001D4C20">
              <w:rPr>
                <w:rStyle w:val="Lienhypertexte"/>
                <w:noProof/>
              </w:rPr>
              <w:t>55.52.1 Habillage de portes en plaques de plâtre enrobées de carton CCTB 01.02</w:t>
            </w:r>
            <w:r>
              <w:rPr>
                <w:noProof/>
                <w:webHidden/>
              </w:rPr>
              <w:tab/>
            </w:r>
            <w:r>
              <w:rPr>
                <w:noProof/>
                <w:webHidden/>
              </w:rPr>
              <w:fldChar w:fldCharType="begin"/>
            </w:r>
            <w:r>
              <w:rPr>
                <w:noProof/>
                <w:webHidden/>
              </w:rPr>
              <w:instrText xml:space="preserve"> PAGEREF _Toc220491377 \h </w:instrText>
            </w:r>
            <w:r>
              <w:rPr>
                <w:noProof/>
                <w:webHidden/>
              </w:rPr>
            </w:r>
            <w:r>
              <w:rPr>
                <w:noProof/>
                <w:webHidden/>
              </w:rPr>
              <w:fldChar w:fldCharType="separate"/>
            </w:r>
            <w:r>
              <w:rPr>
                <w:noProof/>
                <w:webHidden/>
              </w:rPr>
              <w:t>687</w:t>
            </w:r>
            <w:r>
              <w:rPr>
                <w:noProof/>
                <w:webHidden/>
              </w:rPr>
              <w:fldChar w:fldCharType="end"/>
            </w:r>
          </w:hyperlink>
        </w:p>
        <w:p w14:paraId="41D4DC06" w14:textId="44D64F3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78" w:history="1">
            <w:r w:rsidRPr="001D4C20">
              <w:rPr>
                <w:rStyle w:val="Lienhypertexte"/>
                <w:noProof/>
              </w:rPr>
              <w:t>55.52.1a Habillage de portes en plaques de plâtre enrobées de carton CCTB 01.10</w:t>
            </w:r>
            <w:r>
              <w:rPr>
                <w:noProof/>
                <w:webHidden/>
              </w:rPr>
              <w:tab/>
            </w:r>
            <w:r>
              <w:rPr>
                <w:noProof/>
                <w:webHidden/>
              </w:rPr>
              <w:fldChar w:fldCharType="begin"/>
            </w:r>
            <w:r>
              <w:rPr>
                <w:noProof/>
                <w:webHidden/>
              </w:rPr>
              <w:instrText xml:space="preserve"> PAGEREF _Toc220491378 \h </w:instrText>
            </w:r>
            <w:r>
              <w:rPr>
                <w:noProof/>
                <w:webHidden/>
              </w:rPr>
            </w:r>
            <w:r>
              <w:rPr>
                <w:noProof/>
                <w:webHidden/>
              </w:rPr>
              <w:fldChar w:fldCharType="separate"/>
            </w:r>
            <w:r>
              <w:rPr>
                <w:noProof/>
                <w:webHidden/>
              </w:rPr>
              <w:t>687</w:t>
            </w:r>
            <w:r>
              <w:rPr>
                <w:noProof/>
                <w:webHidden/>
              </w:rPr>
              <w:fldChar w:fldCharType="end"/>
            </w:r>
          </w:hyperlink>
        </w:p>
        <w:p w14:paraId="1E09A2A8" w14:textId="40D2484D"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79" w:history="1">
            <w:r w:rsidRPr="001D4C20">
              <w:rPr>
                <w:rStyle w:val="Lienhypertexte"/>
                <w:noProof/>
              </w:rPr>
              <w:t>55.52.2 Habillage de portes en bois CCTB 01.02</w:t>
            </w:r>
            <w:r>
              <w:rPr>
                <w:noProof/>
                <w:webHidden/>
              </w:rPr>
              <w:tab/>
            </w:r>
            <w:r>
              <w:rPr>
                <w:noProof/>
                <w:webHidden/>
              </w:rPr>
              <w:fldChar w:fldCharType="begin"/>
            </w:r>
            <w:r>
              <w:rPr>
                <w:noProof/>
                <w:webHidden/>
              </w:rPr>
              <w:instrText xml:space="preserve"> PAGEREF _Toc220491379 \h </w:instrText>
            </w:r>
            <w:r>
              <w:rPr>
                <w:noProof/>
                <w:webHidden/>
              </w:rPr>
            </w:r>
            <w:r>
              <w:rPr>
                <w:noProof/>
                <w:webHidden/>
              </w:rPr>
              <w:fldChar w:fldCharType="separate"/>
            </w:r>
            <w:r>
              <w:rPr>
                <w:noProof/>
                <w:webHidden/>
              </w:rPr>
              <w:t>687</w:t>
            </w:r>
            <w:r>
              <w:rPr>
                <w:noProof/>
                <w:webHidden/>
              </w:rPr>
              <w:fldChar w:fldCharType="end"/>
            </w:r>
          </w:hyperlink>
        </w:p>
        <w:p w14:paraId="72B1BDA7" w14:textId="6C3090E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80" w:history="1">
            <w:r w:rsidRPr="001D4C20">
              <w:rPr>
                <w:rStyle w:val="Lienhypertexte"/>
                <w:noProof/>
              </w:rPr>
              <w:t>55.52.2a Habillage de portes en bois CCTB 01.10</w:t>
            </w:r>
            <w:r>
              <w:rPr>
                <w:noProof/>
                <w:webHidden/>
              </w:rPr>
              <w:tab/>
            </w:r>
            <w:r>
              <w:rPr>
                <w:noProof/>
                <w:webHidden/>
              </w:rPr>
              <w:fldChar w:fldCharType="begin"/>
            </w:r>
            <w:r>
              <w:rPr>
                <w:noProof/>
                <w:webHidden/>
              </w:rPr>
              <w:instrText xml:space="preserve"> PAGEREF _Toc220491380 \h </w:instrText>
            </w:r>
            <w:r>
              <w:rPr>
                <w:noProof/>
                <w:webHidden/>
              </w:rPr>
            </w:r>
            <w:r>
              <w:rPr>
                <w:noProof/>
                <w:webHidden/>
              </w:rPr>
              <w:fldChar w:fldCharType="separate"/>
            </w:r>
            <w:r>
              <w:rPr>
                <w:noProof/>
                <w:webHidden/>
              </w:rPr>
              <w:t>687</w:t>
            </w:r>
            <w:r>
              <w:rPr>
                <w:noProof/>
                <w:webHidden/>
              </w:rPr>
              <w:fldChar w:fldCharType="end"/>
            </w:r>
          </w:hyperlink>
        </w:p>
        <w:p w14:paraId="27C59978" w14:textId="6704564B"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81" w:history="1">
            <w:r w:rsidRPr="001D4C20">
              <w:rPr>
                <w:rStyle w:val="Lienhypertexte"/>
                <w:noProof/>
              </w:rPr>
              <w:t>55.52.3 Habillage de portes en matière synthétique CCTB 01.02</w:t>
            </w:r>
            <w:r>
              <w:rPr>
                <w:noProof/>
                <w:webHidden/>
              </w:rPr>
              <w:tab/>
            </w:r>
            <w:r>
              <w:rPr>
                <w:noProof/>
                <w:webHidden/>
              </w:rPr>
              <w:fldChar w:fldCharType="begin"/>
            </w:r>
            <w:r>
              <w:rPr>
                <w:noProof/>
                <w:webHidden/>
              </w:rPr>
              <w:instrText xml:space="preserve"> PAGEREF _Toc220491381 \h </w:instrText>
            </w:r>
            <w:r>
              <w:rPr>
                <w:noProof/>
                <w:webHidden/>
              </w:rPr>
            </w:r>
            <w:r>
              <w:rPr>
                <w:noProof/>
                <w:webHidden/>
              </w:rPr>
              <w:fldChar w:fldCharType="separate"/>
            </w:r>
            <w:r>
              <w:rPr>
                <w:noProof/>
                <w:webHidden/>
              </w:rPr>
              <w:t>688</w:t>
            </w:r>
            <w:r>
              <w:rPr>
                <w:noProof/>
                <w:webHidden/>
              </w:rPr>
              <w:fldChar w:fldCharType="end"/>
            </w:r>
          </w:hyperlink>
        </w:p>
        <w:p w14:paraId="629D565A" w14:textId="4902BD6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82" w:history="1">
            <w:r w:rsidRPr="001D4C20">
              <w:rPr>
                <w:rStyle w:val="Lienhypertexte"/>
                <w:noProof/>
              </w:rPr>
              <w:t>55.52.3a Habillage de portes en matière synthétique CCTB 01.10</w:t>
            </w:r>
            <w:r>
              <w:rPr>
                <w:noProof/>
                <w:webHidden/>
              </w:rPr>
              <w:tab/>
            </w:r>
            <w:r>
              <w:rPr>
                <w:noProof/>
                <w:webHidden/>
              </w:rPr>
              <w:fldChar w:fldCharType="begin"/>
            </w:r>
            <w:r>
              <w:rPr>
                <w:noProof/>
                <w:webHidden/>
              </w:rPr>
              <w:instrText xml:space="preserve"> PAGEREF _Toc220491382 \h </w:instrText>
            </w:r>
            <w:r>
              <w:rPr>
                <w:noProof/>
                <w:webHidden/>
              </w:rPr>
            </w:r>
            <w:r>
              <w:rPr>
                <w:noProof/>
                <w:webHidden/>
              </w:rPr>
              <w:fldChar w:fldCharType="separate"/>
            </w:r>
            <w:r>
              <w:rPr>
                <w:noProof/>
                <w:webHidden/>
              </w:rPr>
              <w:t>688</w:t>
            </w:r>
            <w:r>
              <w:rPr>
                <w:noProof/>
                <w:webHidden/>
              </w:rPr>
              <w:fldChar w:fldCharType="end"/>
            </w:r>
          </w:hyperlink>
        </w:p>
        <w:p w14:paraId="490698A8" w14:textId="27919925"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383" w:history="1">
            <w:r w:rsidRPr="001D4C20">
              <w:rPr>
                <w:rStyle w:val="Lienhypertexte"/>
                <w:noProof/>
              </w:rPr>
              <w:t>55.53 Habillage de gaines CCTB 01.07</w:t>
            </w:r>
            <w:r>
              <w:rPr>
                <w:noProof/>
                <w:webHidden/>
              </w:rPr>
              <w:tab/>
            </w:r>
            <w:r>
              <w:rPr>
                <w:noProof/>
                <w:webHidden/>
              </w:rPr>
              <w:fldChar w:fldCharType="begin"/>
            </w:r>
            <w:r>
              <w:rPr>
                <w:noProof/>
                <w:webHidden/>
              </w:rPr>
              <w:instrText xml:space="preserve"> PAGEREF _Toc220491383 \h </w:instrText>
            </w:r>
            <w:r>
              <w:rPr>
                <w:noProof/>
                <w:webHidden/>
              </w:rPr>
            </w:r>
            <w:r>
              <w:rPr>
                <w:noProof/>
                <w:webHidden/>
              </w:rPr>
              <w:fldChar w:fldCharType="separate"/>
            </w:r>
            <w:r>
              <w:rPr>
                <w:noProof/>
                <w:webHidden/>
              </w:rPr>
              <w:t>689</w:t>
            </w:r>
            <w:r>
              <w:rPr>
                <w:noProof/>
                <w:webHidden/>
              </w:rPr>
              <w:fldChar w:fldCharType="end"/>
            </w:r>
          </w:hyperlink>
        </w:p>
        <w:p w14:paraId="1D1B3655" w14:textId="5C870D5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84" w:history="1">
            <w:r w:rsidRPr="001D4C20">
              <w:rPr>
                <w:rStyle w:val="Lienhypertexte"/>
                <w:noProof/>
              </w:rPr>
              <w:t>55.53.1 Habillage de gaines en plaques de plâtre enrobées de carton CCTB 01.02</w:t>
            </w:r>
            <w:r>
              <w:rPr>
                <w:noProof/>
                <w:webHidden/>
              </w:rPr>
              <w:tab/>
            </w:r>
            <w:r>
              <w:rPr>
                <w:noProof/>
                <w:webHidden/>
              </w:rPr>
              <w:fldChar w:fldCharType="begin"/>
            </w:r>
            <w:r>
              <w:rPr>
                <w:noProof/>
                <w:webHidden/>
              </w:rPr>
              <w:instrText xml:space="preserve"> PAGEREF _Toc220491384 \h </w:instrText>
            </w:r>
            <w:r>
              <w:rPr>
                <w:noProof/>
                <w:webHidden/>
              </w:rPr>
            </w:r>
            <w:r>
              <w:rPr>
                <w:noProof/>
                <w:webHidden/>
              </w:rPr>
              <w:fldChar w:fldCharType="separate"/>
            </w:r>
            <w:r>
              <w:rPr>
                <w:noProof/>
                <w:webHidden/>
              </w:rPr>
              <w:t>689</w:t>
            </w:r>
            <w:r>
              <w:rPr>
                <w:noProof/>
                <w:webHidden/>
              </w:rPr>
              <w:fldChar w:fldCharType="end"/>
            </w:r>
          </w:hyperlink>
        </w:p>
        <w:p w14:paraId="3800116D" w14:textId="46108B7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85" w:history="1">
            <w:r w:rsidRPr="001D4C20">
              <w:rPr>
                <w:rStyle w:val="Lienhypertexte"/>
                <w:noProof/>
              </w:rPr>
              <w:t>55.53.1a Habillage de gaines en plaques de plâtre enrobées de carton CCTB 01.11</w:t>
            </w:r>
            <w:r>
              <w:rPr>
                <w:noProof/>
                <w:webHidden/>
              </w:rPr>
              <w:tab/>
            </w:r>
            <w:r>
              <w:rPr>
                <w:noProof/>
                <w:webHidden/>
              </w:rPr>
              <w:fldChar w:fldCharType="begin"/>
            </w:r>
            <w:r>
              <w:rPr>
                <w:noProof/>
                <w:webHidden/>
              </w:rPr>
              <w:instrText xml:space="preserve"> PAGEREF _Toc220491385 \h </w:instrText>
            </w:r>
            <w:r>
              <w:rPr>
                <w:noProof/>
                <w:webHidden/>
              </w:rPr>
            </w:r>
            <w:r>
              <w:rPr>
                <w:noProof/>
                <w:webHidden/>
              </w:rPr>
              <w:fldChar w:fldCharType="separate"/>
            </w:r>
            <w:r>
              <w:rPr>
                <w:noProof/>
                <w:webHidden/>
              </w:rPr>
              <w:t>689</w:t>
            </w:r>
            <w:r>
              <w:rPr>
                <w:noProof/>
                <w:webHidden/>
              </w:rPr>
              <w:fldChar w:fldCharType="end"/>
            </w:r>
          </w:hyperlink>
        </w:p>
        <w:p w14:paraId="75A9656D" w14:textId="591A3699"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86" w:history="1">
            <w:r w:rsidRPr="001D4C20">
              <w:rPr>
                <w:rStyle w:val="Lienhypertexte"/>
                <w:noProof/>
              </w:rPr>
              <w:t>55.53.2 Habillage de gaines en bois CCTB 01.02</w:t>
            </w:r>
            <w:r>
              <w:rPr>
                <w:noProof/>
                <w:webHidden/>
              </w:rPr>
              <w:tab/>
            </w:r>
            <w:r>
              <w:rPr>
                <w:noProof/>
                <w:webHidden/>
              </w:rPr>
              <w:fldChar w:fldCharType="begin"/>
            </w:r>
            <w:r>
              <w:rPr>
                <w:noProof/>
                <w:webHidden/>
              </w:rPr>
              <w:instrText xml:space="preserve"> PAGEREF _Toc220491386 \h </w:instrText>
            </w:r>
            <w:r>
              <w:rPr>
                <w:noProof/>
                <w:webHidden/>
              </w:rPr>
            </w:r>
            <w:r>
              <w:rPr>
                <w:noProof/>
                <w:webHidden/>
              </w:rPr>
              <w:fldChar w:fldCharType="separate"/>
            </w:r>
            <w:r>
              <w:rPr>
                <w:noProof/>
                <w:webHidden/>
              </w:rPr>
              <w:t>691</w:t>
            </w:r>
            <w:r>
              <w:rPr>
                <w:noProof/>
                <w:webHidden/>
              </w:rPr>
              <w:fldChar w:fldCharType="end"/>
            </w:r>
          </w:hyperlink>
        </w:p>
        <w:p w14:paraId="7EA4F6D6" w14:textId="614C441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87" w:history="1">
            <w:r w:rsidRPr="001D4C20">
              <w:rPr>
                <w:rStyle w:val="Lienhypertexte"/>
                <w:noProof/>
              </w:rPr>
              <w:t>55.53.2a Habillage de gaines en bois CCTB 01.11</w:t>
            </w:r>
            <w:r>
              <w:rPr>
                <w:noProof/>
                <w:webHidden/>
              </w:rPr>
              <w:tab/>
            </w:r>
            <w:r>
              <w:rPr>
                <w:noProof/>
                <w:webHidden/>
              </w:rPr>
              <w:fldChar w:fldCharType="begin"/>
            </w:r>
            <w:r>
              <w:rPr>
                <w:noProof/>
                <w:webHidden/>
              </w:rPr>
              <w:instrText xml:space="preserve"> PAGEREF _Toc220491387 \h </w:instrText>
            </w:r>
            <w:r>
              <w:rPr>
                <w:noProof/>
                <w:webHidden/>
              </w:rPr>
            </w:r>
            <w:r>
              <w:rPr>
                <w:noProof/>
                <w:webHidden/>
              </w:rPr>
              <w:fldChar w:fldCharType="separate"/>
            </w:r>
            <w:r>
              <w:rPr>
                <w:noProof/>
                <w:webHidden/>
              </w:rPr>
              <w:t>691</w:t>
            </w:r>
            <w:r>
              <w:rPr>
                <w:noProof/>
                <w:webHidden/>
              </w:rPr>
              <w:fldChar w:fldCharType="end"/>
            </w:r>
          </w:hyperlink>
        </w:p>
        <w:p w14:paraId="199E73D8" w14:textId="2AB61C6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88" w:history="1">
            <w:r w:rsidRPr="001D4C20">
              <w:rPr>
                <w:rStyle w:val="Lienhypertexte"/>
                <w:noProof/>
              </w:rPr>
              <w:t>55.53.3 Habillage de gaines en matière synthétique CCTB 01.02</w:t>
            </w:r>
            <w:r>
              <w:rPr>
                <w:noProof/>
                <w:webHidden/>
              </w:rPr>
              <w:tab/>
            </w:r>
            <w:r>
              <w:rPr>
                <w:noProof/>
                <w:webHidden/>
              </w:rPr>
              <w:fldChar w:fldCharType="begin"/>
            </w:r>
            <w:r>
              <w:rPr>
                <w:noProof/>
                <w:webHidden/>
              </w:rPr>
              <w:instrText xml:space="preserve"> PAGEREF _Toc220491388 \h </w:instrText>
            </w:r>
            <w:r>
              <w:rPr>
                <w:noProof/>
                <w:webHidden/>
              </w:rPr>
            </w:r>
            <w:r>
              <w:rPr>
                <w:noProof/>
                <w:webHidden/>
              </w:rPr>
              <w:fldChar w:fldCharType="separate"/>
            </w:r>
            <w:r>
              <w:rPr>
                <w:noProof/>
                <w:webHidden/>
              </w:rPr>
              <w:t>693</w:t>
            </w:r>
            <w:r>
              <w:rPr>
                <w:noProof/>
                <w:webHidden/>
              </w:rPr>
              <w:fldChar w:fldCharType="end"/>
            </w:r>
          </w:hyperlink>
        </w:p>
        <w:p w14:paraId="6ECEE1EF" w14:textId="0B8420F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89" w:history="1">
            <w:r w:rsidRPr="001D4C20">
              <w:rPr>
                <w:rStyle w:val="Lienhypertexte"/>
                <w:noProof/>
              </w:rPr>
              <w:t>55.53.3a Habillage de gaines en matière synthétique CCTB 01.10</w:t>
            </w:r>
            <w:r>
              <w:rPr>
                <w:noProof/>
                <w:webHidden/>
              </w:rPr>
              <w:tab/>
            </w:r>
            <w:r>
              <w:rPr>
                <w:noProof/>
                <w:webHidden/>
              </w:rPr>
              <w:fldChar w:fldCharType="begin"/>
            </w:r>
            <w:r>
              <w:rPr>
                <w:noProof/>
                <w:webHidden/>
              </w:rPr>
              <w:instrText xml:space="preserve"> PAGEREF _Toc220491389 \h </w:instrText>
            </w:r>
            <w:r>
              <w:rPr>
                <w:noProof/>
                <w:webHidden/>
              </w:rPr>
            </w:r>
            <w:r>
              <w:rPr>
                <w:noProof/>
                <w:webHidden/>
              </w:rPr>
              <w:fldChar w:fldCharType="separate"/>
            </w:r>
            <w:r>
              <w:rPr>
                <w:noProof/>
                <w:webHidden/>
              </w:rPr>
              <w:t>693</w:t>
            </w:r>
            <w:r>
              <w:rPr>
                <w:noProof/>
                <w:webHidden/>
              </w:rPr>
              <w:fldChar w:fldCharType="end"/>
            </w:r>
          </w:hyperlink>
        </w:p>
        <w:p w14:paraId="11BE7E12" w14:textId="6D031A09"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90" w:history="1">
            <w:r w:rsidRPr="001D4C20">
              <w:rPr>
                <w:rStyle w:val="Lienhypertexte"/>
                <w:noProof/>
              </w:rPr>
              <w:t>55.53.4 Habillage de gaines en fibres ciments CCTB 01.02</w:t>
            </w:r>
            <w:r>
              <w:rPr>
                <w:noProof/>
                <w:webHidden/>
              </w:rPr>
              <w:tab/>
            </w:r>
            <w:r>
              <w:rPr>
                <w:noProof/>
                <w:webHidden/>
              </w:rPr>
              <w:fldChar w:fldCharType="begin"/>
            </w:r>
            <w:r>
              <w:rPr>
                <w:noProof/>
                <w:webHidden/>
              </w:rPr>
              <w:instrText xml:space="preserve"> PAGEREF _Toc220491390 \h </w:instrText>
            </w:r>
            <w:r>
              <w:rPr>
                <w:noProof/>
                <w:webHidden/>
              </w:rPr>
            </w:r>
            <w:r>
              <w:rPr>
                <w:noProof/>
                <w:webHidden/>
              </w:rPr>
              <w:fldChar w:fldCharType="separate"/>
            </w:r>
            <w:r>
              <w:rPr>
                <w:noProof/>
                <w:webHidden/>
              </w:rPr>
              <w:t>693</w:t>
            </w:r>
            <w:r>
              <w:rPr>
                <w:noProof/>
                <w:webHidden/>
              </w:rPr>
              <w:fldChar w:fldCharType="end"/>
            </w:r>
          </w:hyperlink>
        </w:p>
        <w:p w14:paraId="53F72FE9" w14:textId="5583716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91" w:history="1">
            <w:r w:rsidRPr="001D4C20">
              <w:rPr>
                <w:rStyle w:val="Lienhypertexte"/>
                <w:noProof/>
              </w:rPr>
              <w:t>55.53.4a Habillage de gaines en fibres ciments CCTB 01.07</w:t>
            </w:r>
            <w:r>
              <w:rPr>
                <w:noProof/>
                <w:webHidden/>
              </w:rPr>
              <w:tab/>
            </w:r>
            <w:r>
              <w:rPr>
                <w:noProof/>
                <w:webHidden/>
              </w:rPr>
              <w:fldChar w:fldCharType="begin"/>
            </w:r>
            <w:r>
              <w:rPr>
                <w:noProof/>
                <w:webHidden/>
              </w:rPr>
              <w:instrText xml:space="preserve"> PAGEREF _Toc220491391 \h </w:instrText>
            </w:r>
            <w:r>
              <w:rPr>
                <w:noProof/>
                <w:webHidden/>
              </w:rPr>
            </w:r>
            <w:r>
              <w:rPr>
                <w:noProof/>
                <w:webHidden/>
              </w:rPr>
              <w:fldChar w:fldCharType="separate"/>
            </w:r>
            <w:r>
              <w:rPr>
                <w:noProof/>
                <w:webHidden/>
              </w:rPr>
              <w:t>693</w:t>
            </w:r>
            <w:r>
              <w:rPr>
                <w:noProof/>
                <w:webHidden/>
              </w:rPr>
              <w:fldChar w:fldCharType="end"/>
            </w:r>
          </w:hyperlink>
        </w:p>
        <w:p w14:paraId="4CF5E066" w14:textId="4BFB50B0"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392" w:history="1">
            <w:r w:rsidRPr="001D4C20">
              <w:rPr>
                <w:rStyle w:val="Lienhypertexte"/>
                <w:noProof/>
              </w:rPr>
              <w:t>55.54 Trappes de visite CCTB 01.11</w:t>
            </w:r>
            <w:r>
              <w:rPr>
                <w:noProof/>
                <w:webHidden/>
              </w:rPr>
              <w:tab/>
            </w:r>
            <w:r>
              <w:rPr>
                <w:noProof/>
                <w:webHidden/>
              </w:rPr>
              <w:fldChar w:fldCharType="begin"/>
            </w:r>
            <w:r>
              <w:rPr>
                <w:noProof/>
                <w:webHidden/>
              </w:rPr>
              <w:instrText xml:space="preserve"> PAGEREF _Toc220491392 \h </w:instrText>
            </w:r>
            <w:r>
              <w:rPr>
                <w:noProof/>
                <w:webHidden/>
              </w:rPr>
            </w:r>
            <w:r>
              <w:rPr>
                <w:noProof/>
                <w:webHidden/>
              </w:rPr>
              <w:fldChar w:fldCharType="separate"/>
            </w:r>
            <w:r>
              <w:rPr>
                <w:noProof/>
                <w:webHidden/>
              </w:rPr>
              <w:t>694</w:t>
            </w:r>
            <w:r>
              <w:rPr>
                <w:noProof/>
                <w:webHidden/>
              </w:rPr>
              <w:fldChar w:fldCharType="end"/>
            </w:r>
          </w:hyperlink>
        </w:p>
        <w:p w14:paraId="0FAE9255" w14:textId="2F9AEDF0"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93" w:history="1">
            <w:r w:rsidRPr="001D4C20">
              <w:rPr>
                <w:rStyle w:val="Lienhypertexte"/>
                <w:noProof/>
              </w:rPr>
              <w:t>55.54.1 Trappes de visite en bois CCTB 01.02</w:t>
            </w:r>
            <w:r>
              <w:rPr>
                <w:noProof/>
                <w:webHidden/>
              </w:rPr>
              <w:tab/>
            </w:r>
            <w:r>
              <w:rPr>
                <w:noProof/>
                <w:webHidden/>
              </w:rPr>
              <w:fldChar w:fldCharType="begin"/>
            </w:r>
            <w:r>
              <w:rPr>
                <w:noProof/>
                <w:webHidden/>
              </w:rPr>
              <w:instrText xml:space="preserve"> PAGEREF _Toc220491393 \h </w:instrText>
            </w:r>
            <w:r>
              <w:rPr>
                <w:noProof/>
                <w:webHidden/>
              </w:rPr>
            </w:r>
            <w:r>
              <w:rPr>
                <w:noProof/>
                <w:webHidden/>
              </w:rPr>
              <w:fldChar w:fldCharType="separate"/>
            </w:r>
            <w:r>
              <w:rPr>
                <w:noProof/>
                <w:webHidden/>
              </w:rPr>
              <w:t>695</w:t>
            </w:r>
            <w:r>
              <w:rPr>
                <w:noProof/>
                <w:webHidden/>
              </w:rPr>
              <w:fldChar w:fldCharType="end"/>
            </w:r>
          </w:hyperlink>
        </w:p>
        <w:p w14:paraId="37308239" w14:textId="4CC3B5D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94" w:history="1">
            <w:r w:rsidRPr="001D4C20">
              <w:rPr>
                <w:rStyle w:val="Lienhypertexte"/>
                <w:noProof/>
              </w:rPr>
              <w:t>55.54.1a Trappes de visite en bois CCTB 01.11</w:t>
            </w:r>
            <w:r>
              <w:rPr>
                <w:noProof/>
                <w:webHidden/>
              </w:rPr>
              <w:tab/>
            </w:r>
            <w:r>
              <w:rPr>
                <w:noProof/>
                <w:webHidden/>
              </w:rPr>
              <w:fldChar w:fldCharType="begin"/>
            </w:r>
            <w:r>
              <w:rPr>
                <w:noProof/>
                <w:webHidden/>
              </w:rPr>
              <w:instrText xml:space="preserve"> PAGEREF _Toc220491394 \h </w:instrText>
            </w:r>
            <w:r>
              <w:rPr>
                <w:noProof/>
                <w:webHidden/>
              </w:rPr>
            </w:r>
            <w:r>
              <w:rPr>
                <w:noProof/>
                <w:webHidden/>
              </w:rPr>
              <w:fldChar w:fldCharType="separate"/>
            </w:r>
            <w:r>
              <w:rPr>
                <w:noProof/>
                <w:webHidden/>
              </w:rPr>
              <w:t>695</w:t>
            </w:r>
            <w:r>
              <w:rPr>
                <w:noProof/>
                <w:webHidden/>
              </w:rPr>
              <w:fldChar w:fldCharType="end"/>
            </w:r>
          </w:hyperlink>
        </w:p>
        <w:p w14:paraId="5B009926" w14:textId="21D5021E"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95" w:history="1">
            <w:r w:rsidRPr="001D4C20">
              <w:rPr>
                <w:rStyle w:val="Lienhypertexte"/>
                <w:noProof/>
              </w:rPr>
              <w:t>55.54.2 Trappes de visite en matériau synthétique CCTB 01.02</w:t>
            </w:r>
            <w:r>
              <w:rPr>
                <w:noProof/>
                <w:webHidden/>
              </w:rPr>
              <w:tab/>
            </w:r>
            <w:r>
              <w:rPr>
                <w:noProof/>
                <w:webHidden/>
              </w:rPr>
              <w:fldChar w:fldCharType="begin"/>
            </w:r>
            <w:r>
              <w:rPr>
                <w:noProof/>
                <w:webHidden/>
              </w:rPr>
              <w:instrText xml:space="preserve"> PAGEREF _Toc220491395 \h </w:instrText>
            </w:r>
            <w:r>
              <w:rPr>
                <w:noProof/>
                <w:webHidden/>
              </w:rPr>
            </w:r>
            <w:r>
              <w:rPr>
                <w:noProof/>
                <w:webHidden/>
              </w:rPr>
              <w:fldChar w:fldCharType="separate"/>
            </w:r>
            <w:r>
              <w:rPr>
                <w:noProof/>
                <w:webHidden/>
              </w:rPr>
              <w:t>696</w:t>
            </w:r>
            <w:r>
              <w:rPr>
                <w:noProof/>
                <w:webHidden/>
              </w:rPr>
              <w:fldChar w:fldCharType="end"/>
            </w:r>
          </w:hyperlink>
        </w:p>
        <w:p w14:paraId="41003BD8" w14:textId="50B816F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96" w:history="1">
            <w:r w:rsidRPr="001D4C20">
              <w:rPr>
                <w:rStyle w:val="Lienhypertexte"/>
                <w:noProof/>
              </w:rPr>
              <w:t>55.54.2a Trappes de visite en matériau synthétique CCTB 01.10</w:t>
            </w:r>
            <w:r>
              <w:rPr>
                <w:noProof/>
                <w:webHidden/>
              </w:rPr>
              <w:tab/>
            </w:r>
            <w:r>
              <w:rPr>
                <w:noProof/>
                <w:webHidden/>
              </w:rPr>
              <w:fldChar w:fldCharType="begin"/>
            </w:r>
            <w:r>
              <w:rPr>
                <w:noProof/>
                <w:webHidden/>
              </w:rPr>
              <w:instrText xml:space="preserve"> PAGEREF _Toc220491396 \h </w:instrText>
            </w:r>
            <w:r>
              <w:rPr>
                <w:noProof/>
                <w:webHidden/>
              </w:rPr>
            </w:r>
            <w:r>
              <w:rPr>
                <w:noProof/>
                <w:webHidden/>
              </w:rPr>
              <w:fldChar w:fldCharType="separate"/>
            </w:r>
            <w:r>
              <w:rPr>
                <w:noProof/>
                <w:webHidden/>
              </w:rPr>
              <w:t>696</w:t>
            </w:r>
            <w:r>
              <w:rPr>
                <w:noProof/>
                <w:webHidden/>
              </w:rPr>
              <w:fldChar w:fldCharType="end"/>
            </w:r>
          </w:hyperlink>
        </w:p>
        <w:p w14:paraId="41049CAB" w14:textId="71B8E19F"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97" w:history="1">
            <w:r w:rsidRPr="001D4C20">
              <w:rPr>
                <w:rStyle w:val="Lienhypertexte"/>
                <w:noProof/>
              </w:rPr>
              <w:t>55.54.3 Trappes de visite en fibres-ciment CCTB 01.02</w:t>
            </w:r>
            <w:r>
              <w:rPr>
                <w:noProof/>
                <w:webHidden/>
              </w:rPr>
              <w:tab/>
            </w:r>
            <w:r>
              <w:rPr>
                <w:noProof/>
                <w:webHidden/>
              </w:rPr>
              <w:fldChar w:fldCharType="begin"/>
            </w:r>
            <w:r>
              <w:rPr>
                <w:noProof/>
                <w:webHidden/>
              </w:rPr>
              <w:instrText xml:space="preserve"> PAGEREF _Toc220491397 \h </w:instrText>
            </w:r>
            <w:r>
              <w:rPr>
                <w:noProof/>
                <w:webHidden/>
              </w:rPr>
            </w:r>
            <w:r>
              <w:rPr>
                <w:noProof/>
                <w:webHidden/>
              </w:rPr>
              <w:fldChar w:fldCharType="separate"/>
            </w:r>
            <w:r>
              <w:rPr>
                <w:noProof/>
                <w:webHidden/>
              </w:rPr>
              <w:t>697</w:t>
            </w:r>
            <w:r>
              <w:rPr>
                <w:noProof/>
                <w:webHidden/>
              </w:rPr>
              <w:fldChar w:fldCharType="end"/>
            </w:r>
          </w:hyperlink>
        </w:p>
        <w:p w14:paraId="68FB25BC" w14:textId="130B096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98" w:history="1">
            <w:r w:rsidRPr="001D4C20">
              <w:rPr>
                <w:rStyle w:val="Lienhypertexte"/>
                <w:noProof/>
              </w:rPr>
              <w:t>55.54.3a Trappes de visite en fibres-ciment CCTB 01.10</w:t>
            </w:r>
            <w:r>
              <w:rPr>
                <w:noProof/>
                <w:webHidden/>
              </w:rPr>
              <w:tab/>
            </w:r>
            <w:r>
              <w:rPr>
                <w:noProof/>
                <w:webHidden/>
              </w:rPr>
              <w:fldChar w:fldCharType="begin"/>
            </w:r>
            <w:r>
              <w:rPr>
                <w:noProof/>
                <w:webHidden/>
              </w:rPr>
              <w:instrText xml:space="preserve"> PAGEREF _Toc220491398 \h </w:instrText>
            </w:r>
            <w:r>
              <w:rPr>
                <w:noProof/>
                <w:webHidden/>
              </w:rPr>
            </w:r>
            <w:r>
              <w:rPr>
                <w:noProof/>
                <w:webHidden/>
              </w:rPr>
              <w:fldChar w:fldCharType="separate"/>
            </w:r>
            <w:r>
              <w:rPr>
                <w:noProof/>
                <w:webHidden/>
              </w:rPr>
              <w:t>697</w:t>
            </w:r>
            <w:r>
              <w:rPr>
                <w:noProof/>
                <w:webHidden/>
              </w:rPr>
              <w:fldChar w:fldCharType="end"/>
            </w:r>
          </w:hyperlink>
        </w:p>
        <w:p w14:paraId="05E3806E" w14:textId="1FF159F3"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399" w:history="1">
            <w:r w:rsidRPr="001D4C20">
              <w:rPr>
                <w:rStyle w:val="Lienhypertexte"/>
                <w:noProof/>
              </w:rPr>
              <w:t>55.6 Eléments particuliers et accessoires CCTB 01.11</w:t>
            </w:r>
            <w:r>
              <w:rPr>
                <w:noProof/>
                <w:webHidden/>
              </w:rPr>
              <w:tab/>
            </w:r>
            <w:r>
              <w:rPr>
                <w:noProof/>
                <w:webHidden/>
              </w:rPr>
              <w:fldChar w:fldCharType="begin"/>
            </w:r>
            <w:r>
              <w:rPr>
                <w:noProof/>
                <w:webHidden/>
              </w:rPr>
              <w:instrText xml:space="preserve"> PAGEREF _Toc220491399 \h </w:instrText>
            </w:r>
            <w:r>
              <w:rPr>
                <w:noProof/>
                <w:webHidden/>
              </w:rPr>
            </w:r>
            <w:r>
              <w:rPr>
                <w:noProof/>
                <w:webHidden/>
              </w:rPr>
              <w:fldChar w:fldCharType="separate"/>
            </w:r>
            <w:r>
              <w:rPr>
                <w:noProof/>
                <w:webHidden/>
              </w:rPr>
              <w:t>698</w:t>
            </w:r>
            <w:r>
              <w:rPr>
                <w:noProof/>
                <w:webHidden/>
              </w:rPr>
              <w:fldChar w:fldCharType="end"/>
            </w:r>
          </w:hyperlink>
        </w:p>
        <w:p w14:paraId="03C2BB5B" w14:textId="7171BD0C"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400" w:history="1">
            <w:r w:rsidRPr="001D4C20">
              <w:rPr>
                <w:rStyle w:val="Lienhypertexte"/>
                <w:noProof/>
              </w:rPr>
              <w:t>55.61 Tablettes (de fenêtres et autres) CCTB 01.10</w:t>
            </w:r>
            <w:r>
              <w:rPr>
                <w:noProof/>
                <w:webHidden/>
              </w:rPr>
              <w:tab/>
            </w:r>
            <w:r>
              <w:rPr>
                <w:noProof/>
                <w:webHidden/>
              </w:rPr>
              <w:fldChar w:fldCharType="begin"/>
            </w:r>
            <w:r>
              <w:rPr>
                <w:noProof/>
                <w:webHidden/>
              </w:rPr>
              <w:instrText xml:space="preserve"> PAGEREF _Toc220491400 \h </w:instrText>
            </w:r>
            <w:r>
              <w:rPr>
                <w:noProof/>
                <w:webHidden/>
              </w:rPr>
            </w:r>
            <w:r>
              <w:rPr>
                <w:noProof/>
                <w:webHidden/>
              </w:rPr>
              <w:fldChar w:fldCharType="separate"/>
            </w:r>
            <w:r>
              <w:rPr>
                <w:noProof/>
                <w:webHidden/>
              </w:rPr>
              <w:t>698</w:t>
            </w:r>
            <w:r>
              <w:rPr>
                <w:noProof/>
                <w:webHidden/>
              </w:rPr>
              <w:fldChar w:fldCharType="end"/>
            </w:r>
          </w:hyperlink>
        </w:p>
        <w:p w14:paraId="609A38CB" w14:textId="300B423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01" w:history="1">
            <w:r w:rsidRPr="001D4C20">
              <w:rPr>
                <w:rStyle w:val="Lienhypertexte"/>
                <w:noProof/>
              </w:rPr>
              <w:t>55.61.1 Tablettes (de fenêtres et autres) en bois CCTB 01.02</w:t>
            </w:r>
            <w:r>
              <w:rPr>
                <w:noProof/>
                <w:webHidden/>
              </w:rPr>
              <w:tab/>
            </w:r>
            <w:r>
              <w:rPr>
                <w:noProof/>
                <w:webHidden/>
              </w:rPr>
              <w:fldChar w:fldCharType="begin"/>
            </w:r>
            <w:r>
              <w:rPr>
                <w:noProof/>
                <w:webHidden/>
              </w:rPr>
              <w:instrText xml:space="preserve"> PAGEREF _Toc220491401 \h </w:instrText>
            </w:r>
            <w:r>
              <w:rPr>
                <w:noProof/>
                <w:webHidden/>
              </w:rPr>
            </w:r>
            <w:r>
              <w:rPr>
                <w:noProof/>
                <w:webHidden/>
              </w:rPr>
              <w:fldChar w:fldCharType="separate"/>
            </w:r>
            <w:r>
              <w:rPr>
                <w:noProof/>
                <w:webHidden/>
              </w:rPr>
              <w:t>699</w:t>
            </w:r>
            <w:r>
              <w:rPr>
                <w:noProof/>
                <w:webHidden/>
              </w:rPr>
              <w:fldChar w:fldCharType="end"/>
            </w:r>
          </w:hyperlink>
        </w:p>
        <w:p w14:paraId="1781C06E" w14:textId="42E59EE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02" w:history="1">
            <w:r w:rsidRPr="001D4C20">
              <w:rPr>
                <w:rStyle w:val="Lienhypertexte"/>
                <w:noProof/>
              </w:rPr>
              <w:t>55.61.1a Tablettes (de fenêtres et autres) en bois massif CCTB 01.11</w:t>
            </w:r>
            <w:r>
              <w:rPr>
                <w:noProof/>
                <w:webHidden/>
              </w:rPr>
              <w:tab/>
            </w:r>
            <w:r>
              <w:rPr>
                <w:noProof/>
                <w:webHidden/>
              </w:rPr>
              <w:fldChar w:fldCharType="begin"/>
            </w:r>
            <w:r>
              <w:rPr>
                <w:noProof/>
                <w:webHidden/>
              </w:rPr>
              <w:instrText xml:space="preserve"> PAGEREF _Toc220491402 \h </w:instrText>
            </w:r>
            <w:r>
              <w:rPr>
                <w:noProof/>
                <w:webHidden/>
              </w:rPr>
            </w:r>
            <w:r>
              <w:rPr>
                <w:noProof/>
                <w:webHidden/>
              </w:rPr>
              <w:fldChar w:fldCharType="separate"/>
            </w:r>
            <w:r>
              <w:rPr>
                <w:noProof/>
                <w:webHidden/>
              </w:rPr>
              <w:t>699</w:t>
            </w:r>
            <w:r>
              <w:rPr>
                <w:noProof/>
                <w:webHidden/>
              </w:rPr>
              <w:fldChar w:fldCharType="end"/>
            </w:r>
          </w:hyperlink>
        </w:p>
        <w:p w14:paraId="67BFF907" w14:textId="079C36D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03" w:history="1">
            <w:r w:rsidRPr="001D4C20">
              <w:rPr>
                <w:rStyle w:val="Lienhypertexte"/>
                <w:noProof/>
              </w:rPr>
              <w:t>55.61.1b Tablettes (de fenêtres et autres) en bois lamellé collé CCTB 01.02</w:t>
            </w:r>
            <w:r>
              <w:rPr>
                <w:noProof/>
                <w:webHidden/>
              </w:rPr>
              <w:tab/>
            </w:r>
            <w:r>
              <w:rPr>
                <w:noProof/>
                <w:webHidden/>
              </w:rPr>
              <w:fldChar w:fldCharType="begin"/>
            </w:r>
            <w:r>
              <w:rPr>
                <w:noProof/>
                <w:webHidden/>
              </w:rPr>
              <w:instrText xml:space="preserve"> PAGEREF _Toc220491403 \h </w:instrText>
            </w:r>
            <w:r>
              <w:rPr>
                <w:noProof/>
                <w:webHidden/>
              </w:rPr>
            </w:r>
            <w:r>
              <w:rPr>
                <w:noProof/>
                <w:webHidden/>
              </w:rPr>
              <w:fldChar w:fldCharType="separate"/>
            </w:r>
            <w:r>
              <w:rPr>
                <w:noProof/>
                <w:webHidden/>
              </w:rPr>
              <w:t>702</w:t>
            </w:r>
            <w:r>
              <w:rPr>
                <w:noProof/>
                <w:webHidden/>
              </w:rPr>
              <w:fldChar w:fldCharType="end"/>
            </w:r>
          </w:hyperlink>
        </w:p>
        <w:p w14:paraId="4AC15CCE" w14:textId="598E203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04" w:history="1">
            <w:r w:rsidRPr="001D4C20">
              <w:rPr>
                <w:rStyle w:val="Lienhypertexte"/>
                <w:noProof/>
              </w:rPr>
              <w:t>55.61.1c Tablettes (de fenêtres et autres) en panneau de bois et dérivés de bois CCTB 01.02</w:t>
            </w:r>
            <w:r>
              <w:rPr>
                <w:noProof/>
                <w:webHidden/>
              </w:rPr>
              <w:tab/>
            </w:r>
            <w:r>
              <w:rPr>
                <w:noProof/>
                <w:webHidden/>
              </w:rPr>
              <w:fldChar w:fldCharType="begin"/>
            </w:r>
            <w:r>
              <w:rPr>
                <w:noProof/>
                <w:webHidden/>
              </w:rPr>
              <w:instrText xml:space="preserve"> PAGEREF _Toc220491404 \h </w:instrText>
            </w:r>
            <w:r>
              <w:rPr>
                <w:noProof/>
                <w:webHidden/>
              </w:rPr>
            </w:r>
            <w:r>
              <w:rPr>
                <w:noProof/>
                <w:webHidden/>
              </w:rPr>
              <w:fldChar w:fldCharType="separate"/>
            </w:r>
            <w:r>
              <w:rPr>
                <w:noProof/>
                <w:webHidden/>
              </w:rPr>
              <w:t>702</w:t>
            </w:r>
            <w:r>
              <w:rPr>
                <w:noProof/>
                <w:webHidden/>
              </w:rPr>
              <w:fldChar w:fldCharType="end"/>
            </w:r>
          </w:hyperlink>
        </w:p>
        <w:p w14:paraId="77122DD0" w14:textId="5C1C19C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05" w:history="1">
            <w:r w:rsidRPr="001D4C20">
              <w:rPr>
                <w:rStyle w:val="Lienhypertexte"/>
                <w:noProof/>
              </w:rPr>
              <w:t>55.61.2 Tablettes (de fenêtres et autres) en pierre naturelle CCTB 01.02</w:t>
            </w:r>
            <w:r>
              <w:rPr>
                <w:noProof/>
                <w:webHidden/>
              </w:rPr>
              <w:tab/>
            </w:r>
            <w:r>
              <w:rPr>
                <w:noProof/>
                <w:webHidden/>
              </w:rPr>
              <w:fldChar w:fldCharType="begin"/>
            </w:r>
            <w:r>
              <w:rPr>
                <w:noProof/>
                <w:webHidden/>
              </w:rPr>
              <w:instrText xml:space="preserve"> PAGEREF _Toc220491405 \h </w:instrText>
            </w:r>
            <w:r>
              <w:rPr>
                <w:noProof/>
                <w:webHidden/>
              </w:rPr>
            </w:r>
            <w:r>
              <w:rPr>
                <w:noProof/>
                <w:webHidden/>
              </w:rPr>
              <w:fldChar w:fldCharType="separate"/>
            </w:r>
            <w:r>
              <w:rPr>
                <w:noProof/>
                <w:webHidden/>
              </w:rPr>
              <w:t>702</w:t>
            </w:r>
            <w:r>
              <w:rPr>
                <w:noProof/>
                <w:webHidden/>
              </w:rPr>
              <w:fldChar w:fldCharType="end"/>
            </w:r>
          </w:hyperlink>
        </w:p>
        <w:p w14:paraId="0F7482BF" w14:textId="0C5EC4D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06" w:history="1">
            <w:r w:rsidRPr="001D4C20">
              <w:rPr>
                <w:rStyle w:val="Lienhypertexte"/>
                <w:noProof/>
              </w:rPr>
              <w:t>55.61.2a Tablettes (de fenêtres et autres) en pierre naturelle CCTB 01.11</w:t>
            </w:r>
            <w:r>
              <w:rPr>
                <w:noProof/>
                <w:webHidden/>
              </w:rPr>
              <w:tab/>
            </w:r>
            <w:r>
              <w:rPr>
                <w:noProof/>
                <w:webHidden/>
              </w:rPr>
              <w:fldChar w:fldCharType="begin"/>
            </w:r>
            <w:r>
              <w:rPr>
                <w:noProof/>
                <w:webHidden/>
              </w:rPr>
              <w:instrText xml:space="preserve"> PAGEREF _Toc220491406 \h </w:instrText>
            </w:r>
            <w:r>
              <w:rPr>
                <w:noProof/>
                <w:webHidden/>
              </w:rPr>
            </w:r>
            <w:r>
              <w:rPr>
                <w:noProof/>
                <w:webHidden/>
              </w:rPr>
              <w:fldChar w:fldCharType="separate"/>
            </w:r>
            <w:r>
              <w:rPr>
                <w:noProof/>
                <w:webHidden/>
              </w:rPr>
              <w:t>702</w:t>
            </w:r>
            <w:r>
              <w:rPr>
                <w:noProof/>
                <w:webHidden/>
              </w:rPr>
              <w:fldChar w:fldCharType="end"/>
            </w:r>
          </w:hyperlink>
        </w:p>
        <w:p w14:paraId="03C8885F" w14:textId="6622F914"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07" w:history="1">
            <w:r w:rsidRPr="001D4C20">
              <w:rPr>
                <w:rStyle w:val="Lienhypertexte"/>
                <w:noProof/>
              </w:rPr>
              <w:t>55.61.3 Tablettes (de fenêtres et autres) en mosaïque de marbre CCTB 01.02</w:t>
            </w:r>
            <w:r>
              <w:rPr>
                <w:noProof/>
                <w:webHidden/>
              </w:rPr>
              <w:tab/>
            </w:r>
            <w:r>
              <w:rPr>
                <w:noProof/>
                <w:webHidden/>
              </w:rPr>
              <w:fldChar w:fldCharType="begin"/>
            </w:r>
            <w:r>
              <w:rPr>
                <w:noProof/>
                <w:webHidden/>
              </w:rPr>
              <w:instrText xml:space="preserve"> PAGEREF _Toc220491407 \h </w:instrText>
            </w:r>
            <w:r>
              <w:rPr>
                <w:noProof/>
                <w:webHidden/>
              </w:rPr>
            </w:r>
            <w:r>
              <w:rPr>
                <w:noProof/>
                <w:webHidden/>
              </w:rPr>
              <w:fldChar w:fldCharType="separate"/>
            </w:r>
            <w:r>
              <w:rPr>
                <w:noProof/>
                <w:webHidden/>
              </w:rPr>
              <w:t>704</w:t>
            </w:r>
            <w:r>
              <w:rPr>
                <w:noProof/>
                <w:webHidden/>
              </w:rPr>
              <w:fldChar w:fldCharType="end"/>
            </w:r>
          </w:hyperlink>
        </w:p>
        <w:p w14:paraId="3F2453B8" w14:textId="17F6899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08" w:history="1">
            <w:r w:rsidRPr="001D4C20">
              <w:rPr>
                <w:rStyle w:val="Lienhypertexte"/>
                <w:noProof/>
              </w:rPr>
              <w:t>55.61.3a Tablettes (de fenêtres et autres) en mosaïque de marbre CCTB 01.10</w:t>
            </w:r>
            <w:r>
              <w:rPr>
                <w:noProof/>
                <w:webHidden/>
              </w:rPr>
              <w:tab/>
            </w:r>
            <w:r>
              <w:rPr>
                <w:noProof/>
                <w:webHidden/>
              </w:rPr>
              <w:fldChar w:fldCharType="begin"/>
            </w:r>
            <w:r>
              <w:rPr>
                <w:noProof/>
                <w:webHidden/>
              </w:rPr>
              <w:instrText xml:space="preserve"> PAGEREF _Toc220491408 \h </w:instrText>
            </w:r>
            <w:r>
              <w:rPr>
                <w:noProof/>
                <w:webHidden/>
              </w:rPr>
            </w:r>
            <w:r>
              <w:rPr>
                <w:noProof/>
                <w:webHidden/>
              </w:rPr>
              <w:fldChar w:fldCharType="separate"/>
            </w:r>
            <w:r>
              <w:rPr>
                <w:noProof/>
                <w:webHidden/>
              </w:rPr>
              <w:t>704</w:t>
            </w:r>
            <w:r>
              <w:rPr>
                <w:noProof/>
                <w:webHidden/>
              </w:rPr>
              <w:fldChar w:fldCharType="end"/>
            </w:r>
          </w:hyperlink>
        </w:p>
        <w:p w14:paraId="6FAC7DF3" w14:textId="35AC5BD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09" w:history="1">
            <w:r w:rsidRPr="001D4C20">
              <w:rPr>
                <w:rStyle w:val="Lienhypertexte"/>
                <w:noProof/>
              </w:rPr>
              <w:t>55.61.4 Tablettes (de fenêtres et autres) en céramique CCTB 01.02</w:t>
            </w:r>
            <w:r>
              <w:rPr>
                <w:noProof/>
                <w:webHidden/>
              </w:rPr>
              <w:tab/>
            </w:r>
            <w:r>
              <w:rPr>
                <w:noProof/>
                <w:webHidden/>
              </w:rPr>
              <w:fldChar w:fldCharType="begin"/>
            </w:r>
            <w:r>
              <w:rPr>
                <w:noProof/>
                <w:webHidden/>
              </w:rPr>
              <w:instrText xml:space="preserve"> PAGEREF _Toc220491409 \h </w:instrText>
            </w:r>
            <w:r>
              <w:rPr>
                <w:noProof/>
                <w:webHidden/>
              </w:rPr>
            </w:r>
            <w:r>
              <w:rPr>
                <w:noProof/>
                <w:webHidden/>
              </w:rPr>
              <w:fldChar w:fldCharType="separate"/>
            </w:r>
            <w:r>
              <w:rPr>
                <w:noProof/>
                <w:webHidden/>
              </w:rPr>
              <w:t>706</w:t>
            </w:r>
            <w:r>
              <w:rPr>
                <w:noProof/>
                <w:webHidden/>
              </w:rPr>
              <w:fldChar w:fldCharType="end"/>
            </w:r>
          </w:hyperlink>
        </w:p>
        <w:p w14:paraId="4768D7C0" w14:textId="5BF8C5B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10" w:history="1">
            <w:r w:rsidRPr="001D4C20">
              <w:rPr>
                <w:rStyle w:val="Lienhypertexte"/>
                <w:noProof/>
              </w:rPr>
              <w:t>55.61.4a Tablettes (de fenêtres et autres) en céramique CCTB 01.02</w:t>
            </w:r>
            <w:r>
              <w:rPr>
                <w:noProof/>
                <w:webHidden/>
              </w:rPr>
              <w:tab/>
            </w:r>
            <w:r>
              <w:rPr>
                <w:noProof/>
                <w:webHidden/>
              </w:rPr>
              <w:fldChar w:fldCharType="begin"/>
            </w:r>
            <w:r>
              <w:rPr>
                <w:noProof/>
                <w:webHidden/>
              </w:rPr>
              <w:instrText xml:space="preserve"> PAGEREF _Toc220491410 \h </w:instrText>
            </w:r>
            <w:r>
              <w:rPr>
                <w:noProof/>
                <w:webHidden/>
              </w:rPr>
            </w:r>
            <w:r>
              <w:rPr>
                <w:noProof/>
                <w:webHidden/>
              </w:rPr>
              <w:fldChar w:fldCharType="separate"/>
            </w:r>
            <w:r>
              <w:rPr>
                <w:noProof/>
                <w:webHidden/>
              </w:rPr>
              <w:t>706</w:t>
            </w:r>
            <w:r>
              <w:rPr>
                <w:noProof/>
                <w:webHidden/>
              </w:rPr>
              <w:fldChar w:fldCharType="end"/>
            </w:r>
          </w:hyperlink>
        </w:p>
        <w:p w14:paraId="1C29BFFD" w14:textId="25A9C5B5"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11" w:history="1">
            <w:r w:rsidRPr="001D4C20">
              <w:rPr>
                <w:rStyle w:val="Lienhypertexte"/>
                <w:noProof/>
              </w:rPr>
              <w:t>55.61.5 Tablettes (de fenêtres et autres) métalliques CCTB 01.02</w:t>
            </w:r>
            <w:r>
              <w:rPr>
                <w:noProof/>
                <w:webHidden/>
              </w:rPr>
              <w:tab/>
            </w:r>
            <w:r>
              <w:rPr>
                <w:noProof/>
                <w:webHidden/>
              </w:rPr>
              <w:fldChar w:fldCharType="begin"/>
            </w:r>
            <w:r>
              <w:rPr>
                <w:noProof/>
                <w:webHidden/>
              </w:rPr>
              <w:instrText xml:space="preserve"> PAGEREF _Toc220491411 \h </w:instrText>
            </w:r>
            <w:r>
              <w:rPr>
                <w:noProof/>
                <w:webHidden/>
              </w:rPr>
            </w:r>
            <w:r>
              <w:rPr>
                <w:noProof/>
                <w:webHidden/>
              </w:rPr>
              <w:fldChar w:fldCharType="separate"/>
            </w:r>
            <w:r>
              <w:rPr>
                <w:noProof/>
                <w:webHidden/>
              </w:rPr>
              <w:t>706</w:t>
            </w:r>
            <w:r>
              <w:rPr>
                <w:noProof/>
                <w:webHidden/>
              </w:rPr>
              <w:fldChar w:fldCharType="end"/>
            </w:r>
          </w:hyperlink>
        </w:p>
        <w:p w14:paraId="08B6FB38" w14:textId="4A0E49E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12" w:history="1">
            <w:r w:rsidRPr="001D4C20">
              <w:rPr>
                <w:rStyle w:val="Lienhypertexte"/>
                <w:noProof/>
              </w:rPr>
              <w:t>55.61.5a Tablettes (de fenêtres et autres) en acier CCTB 01.02</w:t>
            </w:r>
            <w:r>
              <w:rPr>
                <w:noProof/>
                <w:webHidden/>
              </w:rPr>
              <w:tab/>
            </w:r>
            <w:r>
              <w:rPr>
                <w:noProof/>
                <w:webHidden/>
              </w:rPr>
              <w:fldChar w:fldCharType="begin"/>
            </w:r>
            <w:r>
              <w:rPr>
                <w:noProof/>
                <w:webHidden/>
              </w:rPr>
              <w:instrText xml:space="preserve"> PAGEREF _Toc220491412 \h </w:instrText>
            </w:r>
            <w:r>
              <w:rPr>
                <w:noProof/>
                <w:webHidden/>
              </w:rPr>
            </w:r>
            <w:r>
              <w:rPr>
                <w:noProof/>
                <w:webHidden/>
              </w:rPr>
              <w:fldChar w:fldCharType="separate"/>
            </w:r>
            <w:r>
              <w:rPr>
                <w:noProof/>
                <w:webHidden/>
              </w:rPr>
              <w:t>706</w:t>
            </w:r>
            <w:r>
              <w:rPr>
                <w:noProof/>
                <w:webHidden/>
              </w:rPr>
              <w:fldChar w:fldCharType="end"/>
            </w:r>
          </w:hyperlink>
        </w:p>
        <w:p w14:paraId="6ED0508F" w14:textId="208A18C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13" w:history="1">
            <w:r w:rsidRPr="001D4C20">
              <w:rPr>
                <w:rStyle w:val="Lienhypertexte"/>
                <w:noProof/>
              </w:rPr>
              <w:t>55.61.5b Tablettes (de fenêtres et autres) en acier inoxydable CCTB 01.02</w:t>
            </w:r>
            <w:r>
              <w:rPr>
                <w:noProof/>
                <w:webHidden/>
              </w:rPr>
              <w:tab/>
            </w:r>
            <w:r>
              <w:rPr>
                <w:noProof/>
                <w:webHidden/>
              </w:rPr>
              <w:fldChar w:fldCharType="begin"/>
            </w:r>
            <w:r>
              <w:rPr>
                <w:noProof/>
                <w:webHidden/>
              </w:rPr>
              <w:instrText xml:space="preserve"> PAGEREF _Toc220491413 \h </w:instrText>
            </w:r>
            <w:r>
              <w:rPr>
                <w:noProof/>
                <w:webHidden/>
              </w:rPr>
            </w:r>
            <w:r>
              <w:rPr>
                <w:noProof/>
                <w:webHidden/>
              </w:rPr>
              <w:fldChar w:fldCharType="separate"/>
            </w:r>
            <w:r>
              <w:rPr>
                <w:noProof/>
                <w:webHidden/>
              </w:rPr>
              <w:t>706</w:t>
            </w:r>
            <w:r>
              <w:rPr>
                <w:noProof/>
                <w:webHidden/>
              </w:rPr>
              <w:fldChar w:fldCharType="end"/>
            </w:r>
          </w:hyperlink>
        </w:p>
        <w:p w14:paraId="48AF6726" w14:textId="48E032F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14" w:history="1">
            <w:r w:rsidRPr="001D4C20">
              <w:rPr>
                <w:rStyle w:val="Lienhypertexte"/>
                <w:noProof/>
              </w:rPr>
              <w:t>55.61.5c Tablettes (de fenêtres et autres) en aluminium CCTB 01.12</w:t>
            </w:r>
            <w:r>
              <w:rPr>
                <w:noProof/>
                <w:webHidden/>
              </w:rPr>
              <w:tab/>
            </w:r>
            <w:r>
              <w:rPr>
                <w:noProof/>
                <w:webHidden/>
              </w:rPr>
              <w:fldChar w:fldCharType="begin"/>
            </w:r>
            <w:r>
              <w:rPr>
                <w:noProof/>
                <w:webHidden/>
              </w:rPr>
              <w:instrText xml:space="preserve"> PAGEREF _Toc220491414 \h </w:instrText>
            </w:r>
            <w:r>
              <w:rPr>
                <w:noProof/>
                <w:webHidden/>
              </w:rPr>
            </w:r>
            <w:r>
              <w:rPr>
                <w:noProof/>
                <w:webHidden/>
              </w:rPr>
              <w:fldChar w:fldCharType="separate"/>
            </w:r>
            <w:r>
              <w:rPr>
                <w:noProof/>
                <w:webHidden/>
              </w:rPr>
              <w:t>706</w:t>
            </w:r>
            <w:r>
              <w:rPr>
                <w:noProof/>
                <w:webHidden/>
              </w:rPr>
              <w:fldChar w:fldCharType="end"/>
            </w:r>
          </w:hyperlink>
        </w:p>
        <w:p w14:paraId="0C14F78C" w14:textId="06EC9E9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15" w:history="1">
            <w:r w:rsidRPr="001D4C20">
              <w:rPr>
                <w:rStyle w:val="Lienhypertexte"/>
                <w:noProof/>
              </w:rPr>
              <w:t>55.61.6 Tablettes (de fenêtres et autres) en matériau à base de liants minéraux CCTB 01.02</w:t>
            </w:r>
            <w:r>
              <w:rPr>
                <w:noProof/>
                <w:webHidden/>
              </w:rPr>
              <w:tab/>
            </w:r>
            <w:r>
              <w:rPr>
                <w:noProof/>
                <w:webHidden/>
              </w:rPr>
              <w:fldChar w:fldCharType="begin"/>
            </w:r>
            <w:r>
              <w:rPr>
                <w:noProof/>
                <w:webHidden/>
              </w:rPr>
              <w:instrText xml:space="preserve"> PAGEREF _Toc220491415 \h </w:instrText>
            </w:r>
            <w:r>
              <w:rPr>
                <w:noProof/>
                <w:webHidden/>
              </w:rPr>
            </w:r>
            <w:r>
              <w:rPr>
                <w:noProof/>
                <w:webHidden/>
              </w:rPr>
              <w:fldChar w:fldCharType="separate"/>
            </w:r>
            <w:r>
              <w:rPr>
                <w:noProof/>
                <w:webHidden/>
              </w:rPr>
              <w:t>707</w:t>
            </w:r>
            <w:r>
              <w:rPr>
                <w:noProof/>
                <w:webHidden/>
              </w:rPr>
              <w:fldChar w:fldCharType="end"/>
            </w:r>
          </w:hyperlink>
        </w:p>
        <w:p w14:paraId="1B696810" w14:textId="5784F39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16" w:history="1">
            <w:r w:rsidRPr="001D4C20">
              <w:rPr>
                <w:rStyle w:val="Lienhypertexte"/>
                <w:noProof/>
              </w:rPr>
              <w:t>55.61.6a Tablettes (de fenêtres et autres) en fibro-ciment CCTB 01.10</w:t>
            </w:r>
            <w:r>
              <w:rPr>
                <w:noProof/>
                <w:webHidden/>
              </w:rPr>
              <w:tab/>
            </w:r>
            <w:r>
              <w:rPr>
                <w:noProof/>
                <w:webHidden/>
              </w:rPr>
              <w:fldChar w:fldCharType="begin"/>
            </w:r>
            <w:r>
              <w:rPr>
                <w:noProof/>
                <w:webHidden/>
              </w:rPr>
              <w:instrText xml:space="preserve"> PAGEREF _Toc220491416 \h </w:instrText>
            </w:r>
            <w:r>
              <w:rPr>
                <w:noProof/>
                <w:webHidden/>
              </w:rPr>
            </w:r>
            <w:r>
              <w:rPr>
                <w:noProof/>
                <w:webHidden/>
              </w:rPr>
              <w:fldChar w:fldCharType="separate"/>
            </w:r>
            <w:r>
              <w:rPr>
                <w:noProof/>
                <w:webHidden/>
              </w:rPr>
              <w:t>707</w:t>
            </w:r>
            <w:r>
              <w:rPr>
                <w:noProof/>
                <w:webHidden/>
              </w:rPr>
              <w:fldChar w:fldCharType="end"/>
            </w:r>
          </w:hyperlink>
        </w:p>
        <w:p w14:paraId="35C9FC1D" w14:textId="6BCA637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17" w:history="1">
            <w:r w:rsidRPr="001D4C20">
              <w:rPr>
                <w:rStyle w:val="Lienhypertexte"/>
                <w:noProof/>
              </w:rPr>
              <w:t>55.61.6b Tablettes (de fenêtres et autres) en béton CCTB 01.02</w:t>
            </w:r>
            <w:r>
              <w:rPr>
                <w:noProof/>
                <w:webHidden/>
              </w:rPr>
              <w:tab/>
            </w:r>
            <w:r>
              <w:rPr>
                <w:noProof/>
                <w:webHidden/>
              </w:rPr>
              <w:fldChar w:fldCharType="begin"/>
            </w:r>
            <w:r>
              <w:rPr>
                <w:noProof/>
                <w:webHidden/>
              </w:rPr>
              <w:instrText xml:space="preserve"> PAGEREF _Toc220491417 \h </w:instrText>
            </w:r>
            <w:r>
              <w:rPr>
                <w:noProof/>
                <w:webHidden/>
              </w:rPr>
            </w:r>
            <w:r>
              <w:rPr>
                <w:noProof/>
                <w:webHidden/>
              </w:rPr>
              <w:fldChar w:fldCharType="separate"/>
            </w:r>
            <w:r>
              <w:rPr>
                <w:noProof/>
                <w:webHidden/>
              </w:rPr>
              <w:t>709</w:t>
            </w:r>
            <w:r>
              <w:rPr>
                <w:noProof/>
                <w:webHidden/>
              </w:rPr>
              <w:fldChar w:fldCharType="end"/>
            </w:r>
          </w:hyperlink>
        </w:p>
        <w:p w14:paraId="20D9B742" w14:textId="70866BBE"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18" w:history="1">
            <w:r w:rsidRPr="001D4C20">
              <w:rPr>
                <w:rStyle w:val="Lienhypertexte"/>
                <w:noProof/>
              </w:rPr>
              <w:t>55.61.7 Tablettes (de fenêtres et autres) en matériau synthétique CCTB 01.11</w:t>
            </w:r>
            <w:r>
              <w:rPr>
                <w:noProof/>
                <w:webHidden/>
              </w:rPr>
              <w:tab/>
            </w:r>
            <w:r>
              <w:rPr>
                <w:noProof/>
                <w:webHidden/>
              </w:rPr>
              <w:fldChar w:fldCharType="begin"/>
            </w:r>
            <w:r>
              <w:rPr>
                <w:noProof/>
                <w:webHidden/>
              </w:rPr>
              <w:instrText xml:space="preserve"> PAGEREF _Toc220491418 \h </w:instrText>
            </w:r>
            <w:r>
              <w:rPr>
                <w:noProof/>
                <w:webHidden/>
              </w:rPr>
            </w:r>
            <w:r>
              <w:rPr>
                <w:noProof/>
                <w:webHidden/>
              </w:rPr>
              <w:fldChar w:fldCharType="separate"/>
            </w:r>
            <w:r>
              <w:rPr>
                <w:noProof/>
                <w:webHidden/>
              </w:rPr>
              <w:t>709</w:t>
            </w:r>
            <w:r>
              <w:rPr>
                <w:noProof/>
                <w:webHidden/>
              </w:rPr>
              <w:fldChar w:fldCharType="end"/>
            </w:r>
          </w:hyperlink>
        </w:p>
        <w:p w14:paraId="5B5826D5" w14:textId="0D8E504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19" w:history="1">
            <w:r w:rsidRPr="001D4C20">
              <w:rPr>
                <w:rStyle w:val="Lienhypertexte"/>
                <w:noProof/>
              </w:rPr>
              <w:t>55.61.7a Tablettes (de fenêtres et autres) en PVC CCTB 01.02</w:t>
            </w:r>
            <w:r>
              <w:rPr>
                <w:noProof/>
                <w:webHidden/>
              </w:rPr>
              <w:tab/>
            </w:r>
            <w:r>
              <w:rPr>
                <w:noProof/>
                <w:webHidden/>
              </w:rPr>
              <w:fldChar w:fldCharType="begin"/>
            </w:r>
            <w:r>
              <w:rPr>
                <w:noProof/>
                <w:webHidden/>
              </w:rPr>
              <w:instrText xml:space="preserve"> PAGEREF _Toc220491419 \h </w:instrText>
            </w:r>
            <w:r>
              <w:rPr>
                <w:noProof/>
                <w:webHidden/>
              </w:rPr>
            </w:r>
            <w:r>
              <w:rPr>
                <w:noProof/>
                <w:webHidden/>
              </w:rPr>
              <w:fldChar w:fldCharType="separate"/>
            </w:r>
            <w:r>
              <w:rPr>
                <w:noProof/>
                <w:webHidden/>
              </w:rPr>
              <w:t>710</w:t>
            </w:r>
            <w:r>
              <w:rPr>
                <w:noProof/>
                <w:webHidden/>
              </w:rPr>
              <w:fldChar w:fldCharType="end"/>
            </w:r>
          </w:hyperlink>
        </w:p>
        <w:p w14:paraId="5FD69AA2" w14:textId="45728507"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20" w:history="1">
            <w:r w:rsidRPr="001D4C20">
              <w:rPr>
                <w:rStyle w:val="Lienhypertexte"/>
                <w:noProof/>
              </w:rPr>
              <w:t>55.61.8 Tablettes (de fenêtres et autres) en matériaux mixtes CCTB 01.02</w:t>
            </w:r>
            <w:r>
              <w:rPr>
                <w:noProof/>
                <w:webHidden/>
              </w:rPr>
              <w:tab/>
            </w:r>
            <w:r>
              <w:rPr>
                <w:noProof/>
                <w:webHidden/>
              </w:rPr>
              <w:fldChar w:fldCharType="begin"/>
            </w:r>
            <w:r>
              <w:rPr>
                <w:noProof/>
                <w:webHidden/>
              </w:rPr>
              <w:instrText xml:space="preserve"> PAGEREF _Toc220491420 \h </w:instrText>
            </w:r>
            <w:r>
              <w:rPr>
                <w:noProof/>
                <w:webHidden/>
              </w:rPr>
            </w:r>
            <w:r>
              <w:rPr>
                <w:noProof/>
                <w:webHidden/>
              </w:rPr>
              <w:fldChar w:fldCharType="separate"/>
            </w:r>
            <w:r>
              <w:rPr>
                <w:noProof/>
                <w:webHidden/>
              </w:rPr>
              <w:t>710</w:t>
            </w:r>
            <w:r>
              <w:rPr>
                <w:noProof/>
                <w:webHidden/>
              </w:rPr>
              <w:fldChar w:fldCharType="end"/>
            </w:r>
          </w:hyperlink>
        </w:p>
        <w:p w14:paraId="46F73036" w14:textId="4DEBB65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21" w:history="1">
            <w:r w:rsidRPr="001D4C20">
              <w:rPr>
                <w:rStyle w:val="Lienhypertexte"/>
                <w:noProof/>
              </w:rPr>
              <w:t>55.61.8a Tablettes (de fenêtres et autres) en panneaux sandwich CCTB 01.02</w:t>
            </w:r>
            <w:r>
              <w:rPr>
                <w:noProof/>
                <w:webHidden/>
              </w:rPr>
              <w:tab/>
            </w:r>
            <w:r>
              <w:rPr>
                <w:noProof/>
                <w:webHidden/>
              </w:rPr>
              <w:fldChar w:fldCharType="begin"/>
            </w:r>
            <w:r>
              <w:rPr>
                <w:noProof/>
                <w:webHidden/>
              </w:rPr>
              <w:instrText xml:space="preserve"> PAGEREF _Toc220491421 \h </w:instrText>
            </w:r>
            <w:r>
              <w:rPr>
                <w:noProof/>
                <w:webHidden/>
              </w:rPr>
            </w:r>
            <w:r>
              <w:rPr>
                <w:noProof/>
                <w:webHidden/>
              </w:rPr>
              <w:fldChar w:fldCharType="separate"/>
            </w:r>
            <w:r>
              <w:rPr>
                <w:noProof/>
                <w:webHidden/>
              </w:rPr>
              <w:t>710</w:t>
            </w:r>
            <w:r>
              <w:rPr>
                <w:noProof/>
                <w:webHidden/>
              </w:rPr>
              <w:fldChar w:fldCharType="end"/>
            </w:r>
          </w:hyperlink>
        </w:p>
        <w:p w14:paraId="14016F05" w14:textId="31ED49D8"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422" w:history="1">
            <w:r w:rsidRPr="001D4C20">
              <w:rPr>
                <w:rStyle w:val="Lienhypertexte"/>
                <w:noProof/>
              </w:rPr>
              <w:t>55.62 Quincaillerie complémentaire ou particulière CCTB 01.10</w:t>
            </w:r>
            <w:r>
              <w:rPr>
                <w:noProof/>
                <w:webHidden/>
              </w:rPr>
              <w:tab/>
            </w:r>
            <w:r>
              <w:rPr>
                <w:noProof/>
                <w:webHidden/>
              </w:rPr>
              <w:fldChar w:fldCharType="begin"/>
            </w:r>
            <w:r>
              <w:rPr>
                <w:noProof/>
                <w:webHidden/>
              </w:rPr>
              <w:instrText xml:space="preserve"> PAGEREF _Toc220491422 \h </w:instrText>
            </w:r>
            <w:r>
              <w:rPr>
                <w:noProof/>
                <w:webHidden/>
              </w:rPr>
            </w:r>
            <w:r>
              <w:rPr>
                <w:noProof/>
                <w:webHidden/>
              </w:rPr>
              <w:fldChar w:fldCharType="separate"/>
            </w:r>
            <w:r>
              <w:rPr>
                <w:noProof/>
                <w:webHidden/>
              </w:rPr>
              <w:t>710</w:t>
            </w:r>
            <w:r>
              <w:rPr>
                <w:noProof/>
                <w:webHidden/>
              </w:rPr>
              <w:fldChar w:fldCharType="end"/>
            </w:r>
          </w:hyperlink>
        </w:p>
        <w:p w14:paraId="160CDFC5" w14:textId="06A5386E"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23" w:history="1">
            <w:r w:rsidRPr="001D4C20">
              <w:rPr>
                <w:rStyle w:val="Lienhypertexte"/>
                <w:noProof/>
              </w:rPr>
              <w:t>55.62.1 Charnières et paumelles CCTB 01.02</w:t>
            </w:r>
            <w:r>
              <w:rPr>
                <w:noProof/>
                <w:webHidden/>
              </w:rPr>
              <w:tab/>
            </w:r>
            <w:r>
              <w:rPr>
                <w:noProof/>
                <w:webHidden/>
              </w:rPr>
              <w:fldChar w:fldCharType="begin"/>
            </w:r>
            <w:r>
              <w:rPr>
                <w:noProof/>
                <w:webHidden/>
              </w:rPr>
              <w:instrText xml:space="preserve"> PAGEREF _Toc220491423 \h </w:instrText>
            </w:r>
            <w:r>
              <w:rPr>
                <w:noProof/>
                <w:webHidden/>
              </w:rPr>
            </w:r>
            <w:r>
              <w:rPr>
                <w:noProof/>
                <w:webHidden/>
              </w:rPr>
              <w:fldChar w:fldCharType="separate"/>
            </w:r>
            <w:r>
              <w:rPr>
                <w:noProof/>
                <w:webHidden/>
              </w:rPr>
              <w:t>711</w:t>
            </w:r>
            <w:r>
              <w:rPr>
                <w:noProof/>
                <w:webHidden/>
              </w:rPr>
              <w:fldChar w:fldCharType="end"/>
            </w:r>
          </w:hyperlink>
        </w:p>
        <w:p w14:paraId="06F150F3" w14:textId="463B08E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24" w:history="1">
            <w:r w:rsidRPr="001D4C20">
              <w:rPr>
                <w:rStyle w:val="Lienhypertexte"/>
                <w:noProof/>
              </w:rPr>
              <w:t>55.62.1a Charnières et paumelles CCTB 01.10</w:t>
            </w:r>
            <w:r>
              <w:rPr>
                <w:noProof/>
                <w:webHidden/>
              </w:rPr>
              <w:tab/>
            </w:r>
            <w:r>
              <w:rPr>
                <w:noProof/>
                <w:webHidden/>
              </w:rPr>
              <w:fldChar w:fldCharType="begin"/>
            </w:r>
            <w:r>
              <w:rPr>
                <w:noProof/>
                <w:webHidden/>
              </w:rPr>
              <w:instrText xml:space="preserve"> PAGEREF _Toc220491424 \h </w:instrText>
            </w:r>
            <w:r>
              <w:rPr>
                <w:noProof/>
                <w:webHidden/>
              </w:rPr>
            </w:r>
            <w:r>
              <w:rPr>
                <w:noProof/>
                <w:webHidden/>
              </w:rPr>
              <w:fldChar w:fldCharType="separate"/>
            </w:r>
            <w:r>
              <w:rPr>
                <w:noProof/>
                <w:webHidden/>
              </w:rPr>
              <w:t>711</w:t>
            </w:r>
            <w:r>
              <w:rPr>
                <w:noProof/>
                <w:webHidden/>
              </w:rPr>
              <w:fldChar w:fldCharType="end"/>
            </w:r>
          </w:hyperlink>
        </w:p>
        <w:p w14:paraId="72BB3F95" w14:textId="401E4D66"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25" w:history="1">
            <w:r w:rsidRPr="001D4C20">
              <w:rPr>
                <w:rStyle w:val="Lienhypertexte"/>
                <w:noProof/>
              </w:rPr>
              <w:t>55.62.2 Serrures de portes CCTB 01.02</w:t>
            </w:r>
            <w:r>
              <w:rPr>
                <w:noProof/>
                <w:webHidden/>
              </w:rPr>
              <w:tab/>
            </w:r>
            <w:r>
              <w:rPr>
                <w:noProof/>
                <w:webHidden/>
              </w:rPr>
              <w:fldChar w:fldCharType="begin"/>
            </w:r>
            <w:r>
              <w:rPr>
                <w:noProof/>
                <w:webHidden/>
              </w:rPr>
              <w:instrText xml:space="preserve"> PAGEREF _Toc220491425 \h </w:instrText>
            </w:r>
            <w:r>
              <w:rPr>
                <w:noProof/>
                <w:webHidden/>
              </w:rPr>
            </w:r>
            <w:r>
              <w:rPr>
                <w:noProof/>
                <w:webHidden/>
              </w:rPr>
              <w:fldChar w:fldCharType="separate"/>
            </w:r>
            <w:r>
              <w:rPr>
                <w:noProof/>
                <w:webHidden/>
              </w:rPr>
              <w:t>714</w:t>
            </w:r>
            <w:r>
              <w:rPr>
                <w:noProof/>
                <w:webHidden/>
              </w:rPr>
              <w:fldChar w:fldCharType="end"/>
            </w:r>
          </w:hyperlink>
        </w:p>
        <w:p w14:paraId="14833802" w14:textId="47DB171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26" w:history="1">
            <w:r w:rsidRPr="001D4C20">
              <w:rPr>
                <w:rStyle w:val="Lienhypertexte"/>
                <w:noProof/>
              </w:rPr>
              <w:t>55.62.2a Serrures de portes CCTB 01.10</w:t>
            </w:r>
            <w:r>
              <w:rPr>
                <w:noProof/>
                <w:webHidden/>
              </w:rPr>
              <w:tab/>
            </w:r>
            <w:r>
              <w:rPr>
                <w:noProof/>
                <w:webHidden/>
              </w:rPr>
              <w:fldChar w:fldCharType="begin"/>
            </w:r>
            <w:r>
              <w:rPr>
                <w:noProof/>
                <w:webHidden/>
              </w:rPr>
              <w:instrText xml:space="preserve"> PAGEREF _Toc220491426 \h </w:instrText>
            </w:r>
            <w:r>
              <w:rPr>
                <w:noProof/>
                <w:webHidden/>
              </w:rPr>
            </w:r>
            <w:r>
              <w:rPr>
                <w:noProof/>
                <w:webHidden/>
              </w:rPr>
              <w:fldChar w:fldCharType="separate"/>
            </w:r>
            <w:r>
              <w:rPr>
                <w:noProof/>
                <w:webHidden/>
              </w:rPr>
              <w:t>714</w:t>
            </w:r>
            <w:r>
              <w:rPr>
                <w:noProof/>
                <w:webHidden/>
              </w:rPr>
              <w:fldChar w:fldCharType="end"/>
            </w:r>
          </w:hyperlink>
        </w:p>
        <w:p w14:paraId="09086864" w14:textId="4B9974AD"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27" w:history="1">
            <w:r w:rsidRPr="001D4C20">
              <w:rPr>
                <w:rStyle w:val="Lienhypertexte"/>
                <w:noProof/>
              </w:rPr>
              <w:t>55.62.3 Poignées de portes CCTB 01.11</w:t>
            </w:r>
            <w:r>
              <w:rPr>
                <w:noProof/>
                <w:webHidden/>
              </w:rPr>
              <w:tab/>
            </w:r>
            <w:r>
              <w:rPr>
                <w:noProof/>
                <w:webHidden/>
              </w:rPr>
              <w:fldChar w:fldCharType="begin"/>
            </w:r>
            <w:r>
              <w:rPr>
                <w:noProof/>
                <w:webHidden/>
              </w:rPr>
              <w:instrText xml:space="preserve"> PAGEREF _Toc220491427 \h </w:instrText>
            </w:r>
            <w:r>
              <w:rPr>
                <w:noProof/>
                <w:webHidden/>
              </w:rPr>
            </w:r>
            <w:r>
              <w:rPr>
                <w:noProof/>
                <w:webHidden/>
              </w:rPr>
              <w:fldChar w:fldCharType="separate"/>
            </w:r>
            <w:r>
              <w:rPr>
                <w:noProof/>
                <w:webHidden/>
              </w:rPr>
              <w:t>717</w:t>
            </w:r>
            <w:r>
              <w:rPr>
                <w:noProof/>
                <w:webHidden/>
              </w:rPr>
              <w:fldChar w:fldCharType="end"/>
            </w:r>
          </w:hyperlink>
        </w:p>
        <w:p w14:paraId="229978A1" w14:textId="6C28AEF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28" w:history="1">
            <w:r w:rsidRPr="001D4C20">
              <w:rPr>
                <w:rStyle w:val="Lienhypertexte"/>
                <w:noProof/>
              </w:rPr>
              <w:t>55.62.3a Poignées de portes CCTB 01.11</w:t>
            </w:r>
            <w:r>
              <w:rPr>
                <w:noProof/>
                <w:webHidden/>
              </w:rPr>
              <w:tab/>
            </w:r>
            <w:r>
              <w:rPr>
                <w:noProof/>
                <w:webHidden/>
              </w:rPr>
              <w:fldChar w:fldCharType="begin"/>
            </w:r>
            <w:r>
              <w:rPr>
                <w:noProof/>
                <w:webHidden/>
              </w:rPr>
              <w:instrText xml:space="preserve"> PAGEREF _Toc220491428 \h </w:instrText>
            </w:r>
            <w:r>
              <w:rPr>
                <w:noProof/>
                <w:webHidden/>
              </w:rPr>
            </w:r>
            <w:r>
              <w:rPr>
                <w:noProof/>
                <w:webHidden/>
              </w:rPr>
              <w:fldChar w:fldCharType="separate"/>
            </w:r>
            <w:r>
              <w:rPr>
                <w:noProof/>
                <w:webHidden/>
              </w:rPr>
              <w:t>719</w:t>
            </w:r>
            <w:r>
              <w:rPr>
                <w:noProof/>
                <w:webHidden/>
              </w:rPr>
              <w:fldChar w:fldCharType="end"/>
            </w:r>
          </w:hyperlink>
        </w:p>
        <w:p w14:paraId="74B58A15" w14:textId="18E7986A"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29" w:history="1">
            <w:r w:rsidRPr="001D4C20">
              <w:rPr>
                <w:rStyle w:val="Lienhypertexte"/>
                <w:noProof/>
              </w:rPr>
              <w:t>55.62.4 Système d'ouverture CCTB 01.02</w:t>
            </w:r>
            <w:r>
              <w:rPr>
                <w:noProof/>
                <w:webHidden/>
              </w:rPr>
              <w:tab/>
            </w:r>
            <w:r>
              <w:rPr>
                <w:noProof/>
                <w:webHidden/>
              </w:rPr>
              <w:fldChar w:fldCharType="begin"/>
            </w:r>
            <w:r>
              <w:rPr>
                <w:noProof/>
                <w:webHidden/>
              </w:rPr>
              <w:instrText xml:space="preserve"> PAGEREF _Toc220491429 \h </w:instrText>
            </w:r>
            <w:r>
              <w:rPr>
                <w:noProof/>
                <w:webHidden/>
              </w:rPr>
            </w:r>
            <w:r>
              <w:rPr>
                <w:noProof/>
                <w:webHidden/>
              </w:rPr>
              <w:fldChar w:fldCharType="separate"/>
            </w:r>
            <w:r>
              <w:rPr>
                <w:noProof/>
                <w:webHidden/>
              </w:rPr>
              <w:t>721</w:t>
            </w:r>
            <w:r>
              <w:rPr>
                <w:noProof/>
                <w:webHidden/>
              </w:rPr>
              <w:fldChar w:fldCharType="end"/>
            </w:r>
          </w:hyperlink>
        </w:p>
        <w:p w14:paraId="737F4069" w14:textId="26B22C5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30" w:history="1">
            <w:r w:rsidRPr="001D4C20">
              <w:rPr>
                <w:rStyle w:val="Lienhypertexte"/>
                <w:noProof/>
              </w:rPr>
              <w:t>55.62.4a Système d'ouverture mécanique CCTB 01.02</w:t>
            </w:r>
            <w:r>
              <w:rPr>
                <w:noProof/>
                <w:webHidden/>
              </w:rPr>
              <w:tab/>
            </w:r>
            <w:r>
              <w:rPr>
                <w:noProof/>
                <w:webHidden/>
              </w:rPr>
              <w:fldChar w:fldCharType="begin"/>
            </w:r>
            <w:r>
              <w:rPr>
                <w:noProof/>
                <w:webHidden/>
              </w:rPr>
              <w:instrText xml:space="preserve"> PAGEREF _Toc220491430 \h </w:instrText>
            </w:r>
            <w:r>
              <w:rPr>
                <w:noProof/>
                <w:webHidden/>
              </w:rPr>
            </w:r>
            <w:r>
              <w:rPr>
                <w:noProof/>
                <w:webHidden/>
              </w:rPr>
              <w:fldChar w:fldCharType="separate"/>
            </w:r>
            <w:r>
              <w:rPr>
                <w:noProof/>
                <w:webHidden/>
              </w:rPr>
              <w:t>721</w:t>
            </w:r>
            <w:r>
              <w:rPr>
                <w:noProof/>
                <w:webHidden/>
              </w:rPr>
              <w:fldChar w:fldCharType="end"/>
            </w:r>
          </w:hyperlink>
        </w:p>
        <w:p w14:paraId="73D6F4DA" w14:textId="04F236A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31" w:history="1">
            <w:r w:rsidRPr="001D4C20">
              <w:rPr>
                <w:rStyle w:val="Lienhypertexte"/>
                <w:noProof/>
              </w:rPr>
              <w:t>55.62.4b Système d'ouverture - barres anti-panique CCTB 01.11</w:t>
            </w:r>
            <w:r>
              <w:rPr>
                <w:noProof/>
                <w:webHidden/>
              </w:rPr>
              <w:tab/>
            </w:r>
            <w:r>
              <w:rPr>
                <w:noProof/>
                <w:webHidden/>
              </w:rPr>
              <w:fldChar w:fldCharType="begin"/>
            </w:r>
            <w:r>
              <w:rPr>
                <w:noProof/>
                <w:webHidden/>
              </w:rPr>
              <w:instrText xml:space="preserve"> PAGEREF _Toc220491431 \h </w:instrText>
            </w:r>
            <w:r>
              <w:rPr>
                <w:noProof/>
                <w:webHidden/>
              </w:rPr>
            </w:r>
            <w:r>
              <w:rPr>
                <w:noProof/>
                <w:webHidden/>
              </w:rPr>
              <w:fldChar w:fldCharType="separate"/>
            </w:r>
            <w:r>
              <w:rPr>
                <w:noProof/>
                <w:webHidden/>
              </w:rPr>
              <w:t>721</w:t>
            </w:r>
            <w:r>
              <w:rPr>
                <w:noProof/>
                <w:webHidden/>
              </w:rPr>
              <w:fldChar w:fldCharType="end"/>
            </w:r>
          </w:hyperlink>
        </w:p>
        <w:p w14:paraId="187C4104" w14:textId="0D0630C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32" w:history="1">
            <w:r w:rsidRPr="001D4C20">
              <w:rPr>
                <w:rStyle w:val="Lienhypertexte"/>
                <w:noProof/>
              </w:rPr>
              <w:t>55.62.4c Système d'ouverture électronique CCTB 01.11</w:t>
            </w:r>
            <w:r>
              <w:rPr>
                <w:noProof/>
                <w:webHidden/>
              </w:rPr>
              <w:tab/>
            </w:r>
            <w:r>
              <w:rPr>
                <w:noProof/>
                <w:webHidden/>
              </w:rPr>
              <w:fldChar w:fldCharType="begin"/>
            </w:r>
            <w:r>
              <w:rPr>
                <w:noProof/>
                <w:webHidden/>
              </w:rPr>
              <w:instrText xml:space="preserve"> PAGEREF _Toc220491432 \h </w:instrText>
            </w:r>
            <w:r>
              <w:rPr>
                <w:noProof/>
                <w:webHidden/>
              </w:rPr>
            </w:r>
            <w:r>
              <w:rPr>
                <w:noProof/>
                <w:webHidden/>
              </w:rPr>
              <w:fldChar w:fldCharType="separate"/>
            </w:r>
            <w:r>
              <w:rPr>
                <w:noProof/>
                <w:webHidden/>
              </w:rPr>
              <w:t>728</w:t>
            </w:r>
            <w:r>
              <w:rPr>
                <w:noProof/>
                <w:webHidden/>
              </w:rPr>
              <w:fldChar w:fldCharType="end"/>
            </w:r>
          </w:hyperlink>
        </w:p>
        <w:p w14:paraId="71D6E6A1" w14:textId="7B82D0E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33" w:history="1">
            <w:r w:rsidRPr="001D4C20">
              <w:rPr>
                <w:rStyle w:val="Lienhypertexte"/>
                <w:noProof/>
              </w:rPr>
              <w:t>55.62.4d Système d'ouverture électromagnétique CCTB 01.13</w:t>
            </w:r>
            <w:r>
              <w:rPr>
                <w:noProof/>
                <w:webHidden/>
              </w:rPr>
              <w:tab/>
            </w:r>
            <w:r>
              <w:rPr>
                <w:noProof/>
                <w:webHidden/>
              </w:rPr>
              <w:fldChar w:fldCharType="begin"/>
            </w:r>
            <w:r>
              <w:rPr>
                <w:noProof/>
                <w:webHidden/>
              </w:rPr>
              <w:instrText xml:space="preserve"> PAGEREF _Toc220491433 \h </w:instrText>
            </w:r>
            <w:r>
              <w:rPr>
                <w:noProof/>
                <w:webHidden/>
              </w:rPr>
            </w:r>
            <w:r>
              <w:rPr>
                <w:noProof/>
                <w:webHidden/>
              </w:rPr>
              <w:fldChar w:fldCharType="separate"/>
            </w:r>
            <w:r>
              <w:rPr>
                <w:noProof/>
                <w:webHidden/>
              </w:rPr>
              <w:t>730</w:t>
            </w:r>
            <w:r>
              <w:rPr>
                <w:noProof/>
                <w:webHidden/>
              </w:rPr>
              <w:fldChar w:fldCharType="end"/>
            </w:r>
          </w:hyperlink>
        </w:p>
        <w:p w14:paraId="5C5AA6D2" w14:textId="6E2DCD5A"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34" w:history="1">
            <w:r w:rsidRPr="001D4C20">
              <w:rPr>
                <w:rStyle w:val="Lienhypertexte"/>
                <w:noProof/>
              </w:rPr>
              <w:t>55.62.5 Système de fermeture CCTB 01.10</w:t>
            </w:r>
            <w:r>
              <w:rPr>
                <w:noProof/>
                <w:webHidden/>
              </w:rPr>
              <w:tab/>
            </w:r>
            <w:r>
              <w:rPr>
                <w:noProof/>
                <w:webHidden/>
              </w:rPr>
              <w:fldChar w:fldCharType="begin"/>
            </w:r>
            <w:r>
              <w:rPr>
                <w:noProof/>
                <w:webHidden/>
              </w:rPr>
              <w:instrText xml:space="preserve"> PAGEREF _Toc220491434 \h </w:instrText>
            </w:r>
            <w:r>
              <w:rPr>
                <w:noProof/>
                <w:webHidden/>
              </w:rPr>
            </w:r>
            <w:r>
              <w:rPr>
                <w:noProof/>
                <w:webHidden/>
              </w:rPr>
              <w:fldChar w:fldCharType="separate"/>
            </w:r>
            <w:r>
              <w:rPr>
                <w:noProof/>
                <w:webHidden/>
              </w:rPr>
              <w:t>732</w:t>
            </w:r>
            <w:r>
              <w:rPr>
                <w:noProof/>
                <w:webHidden/>
              </w:rPr>
              <w:fldChar w:fldCharType="end"/>
            </w:r>
          </w:hyperlink>
        </w:p>
        <w:p w14:paraId="1CBEBBB4" w14:textId="2709AFC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35" w:history="1">
            <w:r w:rsidRPr="001D4C20">
              <w:rPr>
                <w:rStyle w:val="Lienhypertexte"/>
                <w:noProof/>
              </w:rPr>
              <w:t>55.62.5a Système de fermeture mécanique CCTB 01.11</w:t>
            </w:r>
            <w:r>
              <w:rPr>
                <w:noProof/>
                <w:webHidden/>
              </w:rPr>
              <w:tab/>
            </w:r>
            <w:r>
              <w:rPr>
                <w:noProof/>
                <w:webHidden/>
              </w:rPr>
              <w:fldChar w:fldCharType="begin"/>
            </w:r>
            <w:r>
              <w:rPr>
                <w:noProof/>
                <w:webHidden/>
              </w:rPr>
              <w:instrText xml:space="preserve"> PAGEREF _Toc220491435 \h </w:instrText>
            </w:r>
            <w:r>
              <w:rPr>
                <w:noProof/>
                <w:webHidden/>
              </w:rPr>
            </w:r>
            <w:r>
              <w:rPr>
                <w:noProof/>
                <w:webHidden/>
              </w:rPr>
              <w:fldChar w:fldCharType="separate"/>
            </w:r>
            <w:r>
              <w:rPr>
                <w:noProof/>
                <w:webHidden/>
              </w:rPr>
              <w:t>733</w:t>
            </w:r>
            <w:r>
              <w:rPr>
                <w:noProof/>
                <w:webHidden/>
              </w:rPr>
              <w:fldChar w:fldCharType="end"/>
            </w:r>
          </w:hyperlink>
        </w:p>
        <w:p w14:paraId="5C33B411" w14:textId="3BE8203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36" w:history="1">
            <w:r w:rsidRPr="001D4C20">
              <w:rPr>
                <w:rStyle w:val="Lienhypertexte"/>
                <w:noProof/>
              </w:rPr>
              <w:t>55.62.5b Système de fermeture mécanique assistée (détecteur de fumée) CCTB 01.10</w:t>
            </w:r>
            <w:r>
              <w:rPr>
                <w:noProof/>
                <w:webHidden/>
              </w:rPr>
              <w:tab/>
            </w:r>
            <w:r>
              <w:rPr>
                <w:noProof/>
                <w:webHidden/>
              </w:rPr>
              <w:fldChar w:fldCharType="begin"/>
            </w:r>
            <w:r>
              <w:rPr>
                <w:noProof/>
                <w:webHidden/>
              </w:rPr>
              <w:instrText xml:space="preserve"> PAGEREF _Toc220491436 \h </w:instrText>
            </w:r>
            <w:r>
              <w:rPr>
                <w:noProof/>
                <w:webHidden/>
              </w:rPr>
            </w:r>
            <w:r>
              <w:rPr>
                <w:noProof/>
                <w:webHidden/>
              </w:rPr>
              <w:fldChar w:fldCharType="separate"/>
            </w:r>
            <w:r>
              <w:rPr>
                <w:noProof/>
                <w:webHidden/>
              </w:rPr>
              <w:t>736</w:t>
            </w:r>
            <w:r>
              <w:rPr>
                <w:noProof/>
                <w:webHidden/>
              </w:rPr>
              <w:fldChar w:fldCharType="end"/>
            </w:r>
          </w:hyperlink>
        </w:p>
        <w:p w14:paraId="468FDB8C" w14:textId="0716962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37" w:history="1">
            <w:r w:rsidRPr="001D4C20">
              <w:rPr>
                <w:rStyle w:val="Lienhypertexte"/>
                <w:noProof/>
              </w:rPr>
              <w:t>55.62.5c Système de fermeture électronique CCTB 01.10</w:t>
            </w:r>
            <w:r>
              <w:rPr>
                <w:noProof/>
                <w:webHidden/>
              </w:rPr>
              <w:tab/>
            </w:r>
            <w:r>
              <w:rPr>
                <w:noProof/>
                <w:webHidden/>
              </w:rPr>
              <w:fldChar w:fldCharType="begin"/>
            </w:r>
            <w:r>
              <w:rPr>
                <w:noProof/>
                <w:webHidden/>
              </w:rPr>
              <w:instrText xml:space="preserve"> PAGEREF _Toc220491437 \h </w:instrText>
            </w:r>
            <w:r>
              <w:rPr>
                <w:noProof/>
                <w:webHidden/>
              </w:rPr>
            </w:r>
            <w:r>
              <w:rPr>
                <w:noProof/>
                <w:webHidden/>
              </w:rPr>
              <w:fldChar w:fldCharType="separate"/>
            </w:r>
            <w:r>
              <w:rPr>
                <w:noProof/>
                <w:webHidden/>
              </w:rPr>
              <w:t>736</w:t>
            </w:r>
            <w:r>
              <w:rPr>
                <w:noProof/>
                <w:webHidden/>
              </w:rPr>
              <w:fldChar w:fldCharType="end"/>
            </w:r>
          </w:hyperlink>
        </w:p>
        <w:p w14:paraId="17E66EDE" w14:textId="6A318A7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38" w:history="1">
            <w:r w:rsidRPr="001D4C20">
              <w:rPr>
                <w:rStyle w:val="Lienhypertexte"/>
                <w:noProof/>
              </w:rPr>
              <w:t>55.62.6 Mécanisme pour porte coulissante CCTB 01.10</w:t>
            </w:r>
            <w:r>
              <w:rPr>
                <w:noProof/>
                <w:webHidden/>
              </w:rPr>
              <w:tab/>
            </w:r>
            <w:r>
              <w:rPr>
                <w:noProof/>
                <w:webHidden/>
              </w:rPr>
              <w:fldChar w:fldCharType="begin"/>
            </w:r>
            <w:r>
              <w:rPr>
                <w:noProof/>
                <w:webHidden/>
              </w:rPr>
              <w:instrText xml:space="preserve"> PAGEREF _Toc220491438 \h </w:instrText>
            </w:r>
            <w:r>
              <w:rPr>
                <w:noProof/>
                <w:webHidden/>
              </w:rPr>
            </w:r>
            <w:r>
              <w:rPr>
                <w:noProof/>
                <w:webHidden/>
              </w:rPr>
              <w:fldChar w:fldCharType="separate"/>
            </w:r>
            <w:r>
              <w:rPr>
                <w:noProof/>
                <w:webHidden/>
              </w:rPr>
              <w:t>737</w:t>
            </w:r>
            <w:r>
              <w:rPr>
                <w:noProof/>
                <w:webHidden/>
              </w:rPr>
              <w:fldChar w:fldCharType="end"/>
            </w:r>
          </w:hyperlink>
        </w:p>
        <w:p w14:paraId="7E37E86D" w14:textId="0C1C4A7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39" w:history="1">
            <w:r w:rsidRPr="001D4C20">
              <w:rPr>
                <w:rStyle w:val="Lienhypertexte"/>
                <w:noProof/>
              </w:rPr>
              <w:t>55.62.6a Mécanisme pour porte coulissante sur rail CCTB 01.11</w:t>
            </w:r>
            <w:r>
              <w:rPr>
                <w:noProof/>
                <w:webHidden/>
              </w:rPr>
              <w:tab/>
            </w:r>
            <w:r>
              <w:rPr>
                <w:noProof/>
                <w:webHidden/>
              </w:rPr>
              <w:fldChar w:fldCharType="begin"/>
            </w:r>
            <w:r>
              <w:rPr>
                <w:noProof/>
                <w:webHidden/>
              </w:rPr>
              <w:instrText xml:space="preserve"> PAGEREF _Toc220491439 \h </w:instrText>
            </w:r>
            <w:r>
              <w:rPr>
                <w:noProof/>
                <w:webHidden/>
              </w:rPr>
            </w:r>
            <w:r>
              <w:rPr>
                <w:noProof/>
                <w:webHidden/>
              </w:rPr>
              <w:fldChar w:fldCharType="separate"/>
            </w:r>
            <w:r>
              <w:rPr>
                <w:noProof/>
                <w:webHidden/>
              </w:rPr>
              <w:t>737</w:t>
            </w:r>
            <w:r>
              <w:rPr>
                <w:noProof/>
                <w:webHidden/>
              </w:rPr>
              <w:fldChar w:fldCharType="end"/>
            </w:r>
          </w:hyperlink>
        </w:p>
        <w:p w14:paraId="41DC9D20" w14:textId="1847736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40" w:history="1">
            <w:r w:rsidRPr="001D4C20">
              <w:rPr>
                <w:rStyle w:val="Lienhypertexte"/>
                <w:noProof/>
              </w:rPr>
              <w:t>55.62.6b Mécanisme pour porte coulissante suspendue CCTB 01.11</w:t>
            </w:r>
            <w:r>
              <w:rPr>
                <w:noProof/>
                <w:webHidden/>
              </w:rPr>
              <w:tab/>
            </w:r>
            <w:r>
              <w:rPr>
                <w:noProof/>
                <w:webHidden/>
              </w:rPr>
              <w:fldChar w:fldCharType="begin"/>
            </w:r>
            <w:r>
              <w:rPr>
                <w:noProof/>
                <w:webHidden/>
              </w:rPr>
              <w:instrText xml:space="preserve"> PAGEREF _Toc220491440 \h </w:instrText>
            </w:r>
            <w:r>
              <w:rPr>
                <w:noProof/>
                <w:webHidden/>
              </w:rPr>
            </w:r>
            <w:r>
              <w:rPr>
                <w:noProof/>
                <w:webHidden/>
              </w:rPr>
              <w:fldChar w:fldCharType="separate"/>
            </w:r>
            <w:r>
              <w:rPr>
                <w:noProof/>
                <w:webHidden/>
              </w:rPr>
              <w:t>737</w:t>
            </w:r>
            <w:r>
              <w:rPr>
                <w:noProof/>
                <w:webHidden/>
              </w:rPr>
              <w:fldChar w:fldCharType="end"/>
            </w:r>
          </w:hyperlink>
        </w:p>
        <w:p w14:paraId="4784B475" w14:textId="66A0B922"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41" w:history="1">
            <w:r w:rsidRPr="001D4C20">
              <w:rPr>
                <w:rStyle w:val="Lienhypertexte"/>
                <w:noProof/>
              </w:rPr>
              <w:t>55.62.7 Axe d'ouverture sur pivots CCTB 01.02</w:t>
            </w:r>
            <w:r>
              <w:rPr>
                <w:noProof/>
                <w:webHidden/>
              </w:rPr>
              <w:tab/>
            </w:r>
            <w:r>
              <w:rPr>
                <w:noProof/>
                <w:webHidden/>
              </w:rPr>
              <w:fldChar w:fldCharType="begin"/>
            </w:r>
            <w:r>
              <w:rPr>
                <w:noProof/>
                <w:webHidden/>
              </w:rPr>
              <w:instrText xml:space="preserve"> PAGEREF _Toc220491441 \h </w:instrText>
            </w:r>
            <w:r>
              <w:rPr>
                <w:noProof/>
                <w:webHidden/>
              </w:rPr>
            </w:r>
            <w:r>
              <w:rPr>
                <w:noProof/>
                <w:webHidden/>
              </w:rPr>
              <w:fldChar w:fldCharType="separate"/>
            </w:r>
            <w:r>
              <w:rPr>
                <w:noProof/>
                <w:webHidden/>
              </w:rPr>
              <w:t>741</w:t>
            </w:r>
            <w:r>
              <w:rPr>
                <w:noProof/>
                <w:webHidden/>
              </w:rPr>
              <w:fldChar w:fldCharType="end"/>
            </w:r>
          </w:hyperlink>
        </w:p>
        <w:p w14:paraId="490BD28E" w14:textId="61EEAA9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42" w:history="1">
            <w:r w:rsidRPr="001D4C20">
              <w:rPr>
                <w:rStyle w:val="Lienhypertexte"/>
                <w:noProof/>
              </w:rPr>
              <w:t>55.62.7a Axe d'ouverture sur pivots CCTB 01.02</w:t>
            </w:r>
            <w:r>
              <w:rPr>
                <w:noProof/>
                <w:webHidden/>
              </w:rPr>
              <w:tab/>
            </w:r>
            <w:r>
              <w:rPr>
                <w:noProof/>
                <w:webHidden/>
              </w:rPr>
              <w:fldChar w:fldCharType="begin"/>
            </w:r>
            <w:r>
              <w:rPr>
                <w:noProof/>
                <w:webHidden/>
              </w:rPr>
              <w:instrText xml:space="preserve"> PAGEREF _Toc220491442 \h </w:instrText>
            </w:r>
            <w:r>
              <w:rPr>
                <w:noProof/>
                <w:webHidden/>
              </w:rPr>
            </w:r>
            <w:r>
              <w:rPr>
                <w:noProof/>
                <w:webHidden/>
              </w:rPr>
              <w:fldChar w:fldCharType="separate"/>
            </w:r>
            <w:r>
              <w:rPr>
                <w:noProof/>
                <w:webHidden/>
              </w:rPr>
              <w:t>741</w:t>
            </w:r>
            <w:r>
              <w:rPr>
                <w:noProof/>
                <w:webHidden/>
              </w:rPr>
              <w:fldChar w:fldCharType="end"/>
            </w:r>
          </w:hyperlink>
        </w:p>
        <w:p w14:paraId="65997A8F" w14:textId="0D5BC942"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443" w:history="1">
            <w:r w:rsidRPr="001D4C20">
              <w:rPr>
                <w:rStyle w:val="Lienhypertexte"/>
                <w:noProof/>
              </w:rPr>
              <w:t>55.63 Huisseries CCTB 01.10</w:t>
            </w:r>
            <w:r>
              <w:rPr>
                <w:noProof/>
                <w:webHidden/>
              </w:rPr>
              <w:tab/>
            </w:r>
            <w:r>
              <w:rPr>
                <w:noProof/>
                <w:webHidden/>
              </w:rPr>
              <w:fldChar w:fldCharType="begin"/>
            </w:r>
            <w:r>
              <w:rPr>
                <w:noProof/>
                <w:webHidden/>
              </w:rPr>
              <w:instrText xml:space="preserve"> PAGEREF _Toc220491443 \h </w:instrText>
            </w:r>
            <w:r>
              <w:rPr>
                <w:noProof/>
                <w:webHidden/>
              </w:rPr>
            </w:r>
            <w:r>
              <w:rPr>
                <w:noProof/>
                <w:webHidden/>
              </w:rPr>
              <w:fldChar w:fldCharType="separate"/>
            </w:r>
            <w:r>
              <w:rPr>
                <w:noProof/>
                <w:webHidden/>
              </w:rPr>
              <w:t>741</w:t>
            </w:r>
            <w:r>
              <w:rPr>
                <w:noProof/>
                <w:webHidden/>
              </w:rPr>
              <w:fldChar w:fldCharType="end"/>
            </w:r>
          </w:hyperlink>
        </w:p>
        <w:p w14:paraId="4BFFAC25" w14:textId="0391E70F"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44" w:history="1">
            <w:r w:rsidRPr="001D4C20">
              <w:rPr>
                <w:rStyle w:val="Lienhypertexte"/>
                <w:noProof/>
              </w:rPr>
              <w:t>55.63.1 Huisseries en bois CCTB 01.02</w:t>
            </w:r>
            <w:r>
              <w:rPr>
                <w:noProof/>
                <w:webHidden/>
              </w:rPr>
              <w:tab/>
            </w:r>
            <w:r>
              <w:rPr>
                <w:noProof/>
                <w:webHidden/>
              </w:rPr>
              <w:fldChar w:fldCharType="begin"/>
            </w:r>
            <w:r>
              <w:rPr>
                <w:noProof/>
                <w:webHidden/>
              </w:rPr>
              <w:instrText xml:space="preserve"> PAGEREF _Toc220491444 \h </w:instrText>
            </w:r>
            <w:r>
              <w:rPr>
                <w:noProof/>
                <w:webHidden/>
              </w:rPr>
            </w:r>
            <w:r>
              <w:rPr>
                <w:noProof/>
                <w:webHidden/>
              </w:rPr>
              <w:fldChar w:fldCharType="separate"/>
            </w:r>
            <w:r>
              <w:rPr>
                <w:noProof/>
                <w:webHidden/>
              </w:rPr>
              <w:t>744</w:t>
            </w:r>
            <w:r>
              <w:rPr>
                <w:noProof/>
                <w:webHidden/>
              </w:rPr>
              <w:fldChar w:fldCharType="end"/>
            </w:r>
          </w:hyperlink>
        </w:p>
        <w:p w14:paraId="2A7BEC5F" w14:textId="05A95E8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45" w:history="1">
            <w:r w:rsidRPr="001D4C20">
              <w:rPr>
                <w:rStyle w:val="Lienhypertexte"/>
                <w:noProof/>
              </w:rPr>
              <w:t>55.63.1a Huisseries en bois CCTB 01.10</w:t>
            </w:r>
            <w:r>
              <w:rPr>
                <w:noProof/>
                <w:webHidden/>
              </w:rPr>
              <w:tab/>
            </w:r>
            <w:r>
              <w:rPr>
                <w:noProof/>
                <w:webHidden/>
              </w:rPr>
              <w:fldChar w:fldCharType="begin"/>
            </w:r>
            <w:r>
              <w:rPr>
                <w:noProof/>
                <w:webHidden/>
              </w:rPr>
              <w:instrText xml:space="preserve"> PAGEREF _Toc220491445 \h </w:instrText>
            </w:r>
            <w:r>
              <w:rPr>
                <w:noProof/>
                <w:webHidden/>
              </w:rPr>
            </w:r>
            <w:r>
              <w:rPr>
                <w:noProof/>
                <w:webHidden/>
              </w:rPr>
              <w:fldChar w:fldCharType="separate"/>
            </w:r>
            <w:r>
              <w:rPr>
                <w:noProof/>
                <w:webHidden/>
              </w:rPr>
              <w:t>744</w:t>
            </w:r>
            <w:r>
              <w:rPr>
                <w:noProof/>
                <w:webHidden/>
              </w:rPr>
              <w:fldChar w:fldCharType="end"/>
            </w:r>
          </w:hyperlink>
        </w:p>
        <w:p w14:paraId="6F27C5AF" w14:textId="653F59A2"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46" w:history="1">
            <w:r w:rsidRPr="001D4C20">
              <w:rPr>
                <w:rStyle w:val="Lienhypertexte"/>
                <w:noProof/>
              </w:rPr>
              <w:t>55.63.2 Huisseries métalliques CCTB 01.02</w:t>
            </w:r>
            <w:r>
              <w:rPr>
                <w:noProof/>
                <w:webHidden/>
              </w:rPr>
              <w:tab/>
            </w:r>
            <w:r>
              <w:rPr>
                <w:noProof/>
                <w:webHidden/>
              </w:rPr>
              <w:fldChar w:fldCharType="begin"/>
            </w:r>
            <w:r>
              <w:rPr>
                <w:noProof/>
                <w:webHidden/>
              </w:rPr>
              <w:instrText xml:space="preserve"> PAGEREF _Toc220491446 \h </w:instrText>
            </w:r>
            <w:r>
              <w:rPr>
                <w:noProof/>
                <w:webHidden/>
              </w:rPr>
            </w:r>
            <w:r>
              <w:rPr>
                <w:noProof/>
                <w:webHidden/>
              </w:rPr>
              <w:fldChar w:fldCharType="separate"/>
            </w:r>
            <w:r>
              <w:rPr>
                <w:noProof/>
                <w:webHidden/>
              </w:rPr>
              <w:t>746</w:t>
            </w:r>
            <w:r>
              <w:rPr>
                <w:noProof/>
                <w:webHidden/>
              </w:rPr>
              <w:fldChar w:fldCharType="end"/>
            </w:r>
          </w:hyperlink>
        </w:p>
        <w:p w14:paraId="63D7CE39" w14:textId="276AFB3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47" w:history="1">
            <w:r w:rsidRPr="001D4C20">
              <w:rPr>
                <w:rStyle w:val="Lienhypertexte"/>
                <w:noProof/>
              </w:rPr>
              <w:t>55.63.2a Huisseries métalliques - en acier CCTB 01.10</w:t>
            </w:r>
            <w:r>
              <w:rPr>
                <w:noProof/>
                <w:webHidden/>
              </w:rPr>
              <w:tab/>
            </w:r>
            <w:r>
              <w:rPr>
                <w:noProof/>
                <w:webHidden/>
              </w:rPr>
              <w:fldChar w:fldCharType="begin"/>
            </w:r>
            <w:r>
              <w:rPr>
                <w:noProof/>
                <w:webHidden/>
              </w:rPr>
              <w:instrText xml:space="preserve"> PAGEREF _Toc220491447 \h </w:instrText>
            </w:r>
            <w:r>
              <w:rPr>
                <w:noProof/>
                <w:webHidden/>
              </w:rPr>
            </w:r>
            <w:r>
              <w:rPr>
                <w:noProof/>
                <w:webHidden/>
              </w:rPr>
              <w:fldChar w:fldCharType="separate"/>
            </w:r>
            <w:r>
              <w:rPr>
                <w:noProof/>
                <w:webHidden/>
              </w:rPr>
              <w:t>746</w:t>
            </w:r>
            <w:r>
              <w:rPr>
                <w:noProof/>
                <w:webHidden/>
              </w:rPr>
              <w:fldChar w:fldCharType="end"/>
            </w:r>
          </w:hyperlink>
        </w:p>
        <w:p w14:paraId="690F4017" w14:textId="596ADEB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48" w:history="1">
            <w:r w:rsidRPr="001D4C20">
              <w:rPr>
                <w:rStyle w:val="Lienhypertexte"/>
                <w:noProof/>
              </w:rPr>
              <w:t>55.63.2b Huisseries métalliques - en aluminium CCTB 01.02</w:t>
            </w:r>
            <w:r>
              <w:rPr>
                <w:noProof/>
                <w:webHidden/>
              </w:rPr>
              <w:tab/>
            </w:r>
            <w:r>
              <w:rPr>
                <w:noProof/>
                <w:webHidden/>
              </w:rPr>
              <w:fldChar w:fldCharType="begin"/>
            </w:r>
            <w:r>
              <w:rPr>
                <w:noProof/>
                <w:webHidden/>
              </w:rPr>
              <w:instrText xml:space="preserve"> PAGEREF _Toc220491448 \h </w:instrText>
            </w:r>
            <w:r>
              <w:rPr>
                <w:noProof/>
                <w:webHidden/>
              </w:rPr>
            </w:r>
            <w:r>
              <w:rPr>
                <w:noProof/>
                <w:webHidden/>
              </w:rPr>
              <w:fldChar w:fldCharType="separate"/>
            </w:r>
            <w:r>
              <w:rPr>
                <w:noProof/>
                <w:webHidden/>
              </w:rPr>
              <w:t>749</w:t>
            </w:r>
            <w:r>
              <w:rPr>
                <w:noProof/>
                <w:webHidden/>
              </w:rPr>
              <w:fldChar w:fldCharType="end"/>
            </w:r>
          </w:hyperlink>
        </w:p>
        <w:p w14:paraId="091A94F7" w14:textId="106B025A"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49" w:history="1">
            <w:r w:rsidRPr="001D4C20">
              <w:rPr>
                <w:rStyle w:val="Lienhypertexte"/>
                <w:noProof/>
              </w:rPr>
              <w:t>55.63.3 Huisseries en matériaux synthétiques CCTB 01.02</w:t>
            </w:r>
            <w:r>
              <w:rPr>
                <w:noProof/>
                <w:webHidden/>
              </w:rPr>
              <w:tab/>
            </w:r>
            <w:r>
              <w:rPr>
                <w:noProof/>
                <w:webHidden/>
              </w:rPr>
              <w:fldChar w:fldCharType="begin"/>
            </w:r>
            <w:r>
              <w:rPr>
                <w:noProof/>
                <w:webHidden/>
              </w:rPr>
              <w:instrText xml:space="preserve"> PAGEREF _Toc220491449 \h </w:instrText>
            </w:r>
            <w:r>
              <w:rPr>
                <w:noProof/>
                <w:webHidden/>
              </w:rPr>
            </w:r>
            <w:r>
              <w:rPr>
                <w:noProof/>
                <w:webHidden/>
              </w:rPr>
              <w:fldChar w:fldCharType="separate"/>
            </w:r>
            <w:r>
              <w:rPr>
                <w:noProof/>
                <w:webHidden/>
              </w:rPr>
              <w:t>749</w:t>
            </w:r>
            <w:r>
              <w:rPr>
                <w:noProof/>
                <w:webHidden/>
              </w:rPr>
              <w:fldChar w:fldCharType="end"/>
            </w:r>
          </w:hyperlink>
        </w:p>
        <w:p w14:paraId="5BD17CB4" w14:textId="3B96D03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50" w:history="1">
            <w:r w:rsidRPr="001D4C20">
              <w:rPr>
                <w:rStyle w:val="Lienhypertexte"/>
                <w:noProof/>
              </w:rPr>
              <w:t>55.63.3a Huisseries en matériaux synthétiques CCTB 01.02</w:t>
            </w:r>
            <w:r>
              <w:rPr>
                <w:noProof/>
                <w:webHidden/>
              </w:rPr>
              <w:tab/>
            </w:r>
            <w:r>
              <w:rPr>
                <w:noProof/>
                <w:webHidden/>
              </w:rPr>
              <w:fldChar w:fldCharType="begin"/>
            </w:r>
            <w:r>
              <w:rPr>
                <w:noProof/>
                <w:webHidden/>
              </w:rPr>
              <w:instrText xml:space="preserve"> PAGEREF _Toc220491450 \h </w:instrText>
            </w:r>
            <w:r>
              <w:rPr>
                <w:noProof/>
                <w:webHidden/>
              </w:rPr>
            </w:r>
            <w:r>
              <w:rPr>
                <w:noProof/>
                <w:webHidden/>
              </w:rPr>
              <w:fldChar w:fldCharType="separate"/>
            </w:r>
            <w:r>
              <w:rPr>
                <w:noProof/>
                <w:webHidden/>
              </w:rPr>
              <w:t>749</w:t>
            </w:r>
            <w:r>
              <w:rPr>
                <w:noProof/>
                <w:webHidden/>
              </w:rPr>
              <w:fldChar w:fldCharType="end"/>
            </w:r>
          </w:hyperlink>
        </w:p>
        <w:p w14:paraId="0EA9EF58" w14:textId="07F95931"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51" w:history="1">
            <w:r w:rsidRPr="001D4C20">
              <w:rPr>
                <w:rStyle w:val="Lienhypertexte"/>
                <w:noProof/>
              </w:rPr>
              <w:t>55.63.4 Huisseries en matériaux mixtes CCTB 01.02</w:t>
            </w:r>
            <w:r>
              <w:rPr>
                <w:noProof/>
                <w:webHidden/>
              </w:rPr>
              <w:tab/>
            </w:r>
            <w:r>
              <w:rPr>
                <w:noProof/>
                <w:webHidden/>
              </w:rPr>
              <w:fldChar w:fldCharType="begin"/>
            </w:r>
            <w:r>
              <w:rPr>
                <w:noProof/>
                <w:webHidden/>
              </w:rPr>
              <w:instrText xml:space="preserve"> PAGEREF _Toc220491451 \h </w:instrText>
            </w:r>
            <w:r>
              <w:rPr>
                <w:noProof/>
                <w:webHidden/>
              </w:rPr>
            </w:r>
            <w:r>
              <w:rPr>
                <w:noProof/>
                <w:webHidden/>
              </w:rPr>
              <w:fldChar w:fldCharType="separate"/>
            </w:r>
            <w:r>
              <w:rPr>
                <w:noProof/>
                <w:webHidden/>
              </w:rPr>
              <w:t>749</w:t>
            </w:r>
            <w:r>
              <w:rPr>
                <w:noProof/>
                <w:webHidden/>
              </w:rPr>
              <w:fldChar w:fldCharType="end"/>
            </w:r>
          </w:hyperlink>
        </w:p>
        <w:p w14:paraId="284FB04D" w14:textId="2B3E185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52" w:history="1">
            <w:r w:rsidRPr="001D4C20">
              <w:rPr>
                <w:rStyle w:val="Lienhypertexte"/>
                <w:noProof/>
              </w:rPr>
              <w:t>55.63.4a Huisseries en matériaux mixtes CCTB 01.02</w:t>
            </w:r>
            <w:r>
              <w:rPr>
                <w:noProof/>
                <w:webHidden/>
              </w:rPr>
              <w:tab/>
            </w:r>
            <w:r>
              <w:rPr>
                <w:noProof/>
                <w:webHidden/>
              </w:rPr>
              <w:fldChar w:fldCharType="begin"/>
            </w:r>
            <w:r>
              <w:rPr>
                <w:noProof/>
                <w:webHidden/>
              </w:rPr>
              <w:instrText xml:space="preserve"> PAGEREF _Toc220491452 \h </w:instrText>
            </w:r>
            <w:r>
              <w:rPr>
                <w:noProof/>
                <w:webHidden/>
              </w:rPr>
            </w:r>
            <w:r>
              <w:rPr>
                <w:noProof/>
                <w:webHidden/>
              </w:rPr>
              <w:fldChar w:fldCharType="separate"/>
            </w:r>
            <w:r>
              <w:rPr>
                <w:noProof/>
                <w:webHidden/>
              </w:rPr>
              <w:t>749</w:t>
            </w:r>
            <w:r>
              <w:rPr>
                <w:noProof/>
                <w:webHidden/>
              </w:rPr>
              <w:fldChar w:fldCharType="end"/>
            </w:r>
          </w:hyperlink>
        </w:p>
        <w:p w14:paraId="142B4FB2" w14:textId="52B7B086"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453" w:history="1">
            <w:r w:rsidRPr="001D4C20">
              <w:rPr>
                <w:rStyle w:val="Lienhypertexte"/>
                <w:noProof/>
              </w:rPr>
              <w:t>55.64 Ouvrages de raccord et finition CCTB 01.02</w:t>
            </w:r>
            <w:r>
              <w:rPr>
                <w:noProof/>
                <w:webHidden/>
              </w:rPr>
              <w:tab/>
            </w:r>
            <w:r>
              <w:rPr>
                <w:noProof/>
                <w:webHidden/>
              </w:rPr>
              <w:fldChar w:fldCharType="begin"/>
            </w:r>
            <w:r>
              <w:rPr>
                <w:noProof/>
                <w:webHidden/>
              </w:rPr>
              <w:instrText xml:space="preserve"> PAGEREF _Toc220491453 \h </w:instrText>
            </w:r>
            <w:r>
              <w:rPr>
                <w:noProof/>
                <w:webHidden/>
              </w:rPr>
            </w:r>
            <w:r>
              <w:rPr>
                <w:noProof/>
                <w:webHidden/>
              </w:rPr>
              <w:fldChar w:fldCharType="separate"/>
            </w:r>
            <w:r>
              <w:rPr>
                <w:noProof/>
                <w:webHidden/>
              </w:rPr>
              <w:t>749</w:t>
            </w:r>
            <w:r>
              <w:rPr>
                <w:noProof/>
                <w:webHidden/>
              </w:rPr>
              <w:fldChar w:fldCharType="end"/>
            </w:r>
          </w:hyperlink>
        </w:p>
        <w:p w14:paraId="5C9D0B59" w14:textId="3C547ACB"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54" w:history="1">
            <w:r w:rsidRPr="001D4C20">
              <w:rPr>
                <w:rStyle w:val="Lienhypertexte"/>
                <w:noProof/>
              </w:rPr>
              <w:t>55.64.1 Joints de resserrage  CCTB 01.07</w:t>
            </w:r>
            <w:r>
              <w:rPr>
                <w:noProof/>
                <w:webHidden/>
              </w:rPr>
              <w:tab/>
            </w:r>
            <w:r>
              <w:rPr>
                <w:noProof/>
                <w:webHidden/>
              </w:rPr>
              <w:fldChar w:fldCharType="begin"/>
            </w:r>
            <w:r>
              <w:rPr>
                <w:noProof/>
                <w:webHidden/>
              </w:rPr>
              <w:instrText xml:space="preserve"> PAGEREF _Toc220491454 \h </w:instrText>
            </w:r>
            <w:r>
              <w:rPr>
                <w:noProof/>
                <w:webHidden/>
              </w:rPr>
            </w:r>
            <w:r>
              <w:rPr>
                <w:noProof/>
                <w:webHidden/>
              </w:rPr>
              <w:fldChar w:fldCharType="separate"/>
            </w:r>
            <w:r>
              <w:rPr>
                <w:noProof/>
                <w:webHidden/>
              </w:rPr>
              <w:t>749</w:t>
            </w:r>
            <w:r>
              <w:rPr>
                <w:noProof/>
                <w:webHidden/>
              </w:rPr>
              <w:fldChar w:fldCharType="end"/>
            </w:r>
          </w:hyperlink>
        </w:p>
        <w:p w14:paraId="0FC92B34" w14:textId="29201FE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55" w:history="1">
            <w:r w:rsidRPr="001D4C20">
              <w:rPr>
                <w:rStyle w:val="Lienhypertexte"/>
                <w:noProof/>
              </w:rPr>
              <w:t>55.64.1a Joints de resserrage  CCTB 01.07</w:t>
            </w:r>
            <w:r>
              <w:rPr>
                <w:noProof/>
                <w:webHidden/>
              </w:rPr>
              <w:tab/>
            </w:r>
            <w:r>
              <w:rPr>
                <w:noProof/>
                <w:webHidden/>
              </w:rPr>
              <w:fldChar w:fldCharType="begin"/>
            </w:r>
            <w:r>
              <w:rPr>
                <w:noProof/>
                <w:webHidden/>
              </w:rPr>
              <w:instrText xml:space="preserve"> PAGEREF _Toc220491455 \h </w:instrText>
            </w:r>
            <w:r>
              <w:rPr>
                <w:noProof/>
                <w:webHidden/>
              </w:rPr>
            </w:r>
            <w:r>
              <w:rPr>
                <w:noProof/>
                <w:webHidden/>
              </w:rPr>
              <w:fldChar w:fldCharType="separate"/>
            </w:r>
            <w:r>
              <w:rPr>
                <w:noProof/>
                <w:webHidden/>
              </w:rPr>
              <w:t>749</w:t>
            </w:r>
            <w:r>
              <w:rPr>
                <w:noProof/>
                <w:webHidden/>
              </w:rPr>
              <w:fldChar w:fldCharType="end"/>
            </w:r>
          </w:hyperlink>
        </w:p>
        <w:p w14:paraId="338B2383" w14:textId="45C3ECE2"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56" w:history="1">
            <w:r w:rsidRPr="001D4C20">
              <w:rPr>
                <w:rStyle w:val="Lienhypertexte"/>
                <w:noProof/>
              </w:rPr>
              <w:t>55.64.2 Profilés de resserrage CCTB 01.02</w:t>
            </w:r>
            <w:r>
              <w:rPr>
                <w:noProof/>
                <w:webHidden/>
              </w:rPr>
              <w:tab/>
            </w:r>
            <w:r>
              <w:rPr>
                <w:noProof/>
                <w:webHidden/>
              </w:rPr>
              <w:fldChar w:fldCharType="begin"/>
            </w:r>
            <w:r>
              <w:rPr>
                <w:noProof/>
                <w:webHidden/>
              </w:rPr>
              <w:instrText xml:space="preserve"> PAGEREF _Toc220491456 \h </w:instrText>
            </w:r>
            <w:r>
              <w:rPr>
                <w:noProof/>
                <w:webHidden/>
              </w:rPr>
            </w:r>
            <w:r>
              <w:rPr>
                <w:noProof/>
                <w:webHidden/>
              </w:rPr>
              <w:fldChar w:fldCharType="separate"/>
            </w:r>
            <w:r>
              <w:rPr>
                <w:noProof/>
                <w:webHidden/>
              </w:rPr>
              <w:t>749</w:t>
            </w:r>
            <w:r>
              <w:rPr>
                <w:noProof/>
                <w:webHidden/>
              </w:rPr>
              <w:fldChar w:fldCharType="end"/>
            </w:r>
          </w:hyperlink>
        </w:p>
        <w:p w14:paraId="7BDE2636" w14:textId="6D3815A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57" w:history="1">
            <w:r w:rsidRPr="001D4C20">
              <w:rPr>
                <w:rStyle w:val="Lienhypertexte"/>
                <w:noProof/>
              </w:rPr>
              <w:t>55.64.2a Profilés de resserrage en bois CCTB 01.02</w:t>
            </w:r>
            <w:r>
              <w:rPr>
                <w:noProof/>
                <w:webHidden/>
              </w:rPr>
              <w:tab/>
            </w:r>
            <w:r>
              <w:rPr>
                <w:noProof/>
                <w:webHidden/>
              </w:rPr>
              <w:fldChar w:fldCharType="begin"/>
            </w:r>
            <w:r>
              <w:rPr>
                <w:noProof/>
                <w:webHidden/>
              </w:rPr>
              <w:instrText xml:space="preserve"> PAGEREF _Toc220491457 \h </w:instrText>
            </w:r>
            <w:r>
              <w:rPr>
                <w:noProof/>
                <w:webHidden/>
              </w:rPr>
            </w:r>
            <w:r>
              <w:rPr>
                <w:noProof/>
                <w:webHidden/>
              </w:rPr>
              <w:fldChar w:fldCharType="separate"/>
            </w:r>
            <w:r>
              <w:rPr>
                <w:noProof/>
                <w:webHidden/>
              </w:rPr>
              <w:t>749</w:t>
            </w:r>
            <w:r>
              <w:rPr>
                <w:noProof/>
                <w:webHidden/>
              </w:rPr>
              <w:fldChar w:fldCharType="end"/>
            </w:r>
          </w:hyperlink>
        </w:p>
        <w:p w14:paraId="146CECB7" w14:textId="4D74BA7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58" w:history="1">
            <w:r w:rsidRPr="001D4C20">
              <w:rPr>
                <w:rStyle w:val="Lienhypertexte"/>
                <w:noProof/>
              </w:rPr>
              <w:t>55.64.2b Profilés de resserrage en métal CCTB 01.02</w:t>
            </w:r>
            <w:r>
              <w:rPr>
                <w:noProof/>
                <w:webHidden/>
              </w:rPr>
              <w:tab/>
            </w:r>
            <w:r>
              <w:rPr>
                <w:noProof/>
                <w:webHidden/>
              </w:rPr>
              <w:fldChar w:fldCharType="begin"/>
            </w:r>
            <w:r>
              <w:rPr>
                <w:noProof/>
                <w:webHidden/>
              </w:rPr>
              <w:instrText xml:space="preserve"> PAGEREF _Toc220491458 \h </w:instrText>
            </w:r>
            <w:r>
              <w:rPr>
                <w:noProof/>
                <w:webHidden/>
              </w:rPr>
            </w:r>
            <w:r>
              <w:rPr>
                <w:noProof/>
                <w:webHidden/>
              </w:rPr>
              <w:fldChar w:fldCharType="separate"/>
            </w:r>
            <w:r>
              <w:rPr>
                <w:noProof/>
                <w:webHidden/>
              </w:rPr>
              <w:t>749</w:t>
            </w:r>
            <w:r>
              <w:rPr>
                <w:noProof/>
                <w:webHidden/>
              </w:rPr>
              <w:fldChar w:fldCharType="end"/>
            </w:r>
          </w:hyperlink>
        </w:p>
        <w:p w14:paraId="31C1EF24" w14:textId="5C518D6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59" w:history="1">
            <w:r w:rsidRPr="001D4C20">
              <w:rPr>
                <w:rStyle w:val="Lienhypertexte"/>
                <w:noProof/>
              </w:rPr>
              <w:t>55.64.2c Profilés de resserrage en synthétique CCTB 01.02</w:t>
            </w:r>
            <w:r>
              <w:rPr>
                <w:noProof/>
                <w:webHidden/>
              </w:rPr>
              <w:tab/>
            </w:r>
            <w:r>
              <w:rPr>
                <w:noProof/>
                <w:webHidden/>
              </w:rPr>
              <w:fldChar w:fldCharType="begin"/>
            </w:r>
            <w:r>
              <w:rPr>
                <w:noProof/>
                <w:webHidden/>
              </w:rPr>
              <w:instrText xml:space="preserve"> PAGEREF _Toc220491459 \h </w:instrText>
            </w:r>
            <w:r>
              <w:rPr>
                <w:noProof/>
                <w:webHidden/>
              </w:rPr>
            </w:r>
            <w:r>
              <w:rPr>
                <w:noProof/>
                <w:webHidden/>
              </w:rPr>
              <w:fldChar w:fldCharType="separate"/>
            </w:r>
            <w:r>
              <w:rPr>
                <w:noProof/>
                <w:webHidden/>
              </w:rPr>
              <w:t>749</w:t>
            </w:r>
            <w:r>
              <w:rPr>
                <w:noProof/>
                <w:webHidden/>
              </w:rPr>
              <w:fldChar w:fldCharType="end"/>
            </w:r>
          </w:hyperlink>
        </w:p>
        <w:p w14:paraId="77FFF691" w14:textId="366F1F2B"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460" w:history="1">
            <w:r w:rsidRPr="001D4C20">
              <w:rPr>
                <w:rStyle w:val="Lienhypertexte"/>
                <w:noProof/>
              </w:rPr>
              <w:t>55.65 Eléments intégrés ou externes à une menuiserie de porte/de fenêtre intérieure CCTB 01.11</w:t>
            </w:r>
            <w:r>
              <w:rPr>
                <w:noProof/>
                <w:webHidden/>
              </w:rPr>
              <w:tab/>
            </w:r>
            <w:r>
              <w:rPr>
                <w:noProof/>
                <w:webHidden/>
              </w:rPr>
              <w:fldChar w:fldCharType="begin"/>
            </w:r>
            <w:r>
              <w:rPr>
                <w:noProof/>
                <w:webHidden/>
              </w:rPr>
              <w:instrText xml:space="preserve"> PAGEREF _Toc220491460 \h </w:instrText>
            </w:r>
            <w:r>
              <w:rPr>
                <w:noProof/>
                <w:webHidden/>
              </w:rPr>
            </w:r>
            <w:r>
              <w:rPr>
                <w:noProof/>
                <w:webHidden/>
              </w:rPr>
              <w:fldChar w:fldCharType="separate"/>
            </w:r>
            <w:r>
              <w:rPr>
                <w:noProof/>
                <w:webHidden/>
              </w:rPr>
              <w:t>749</w:t>
            </w:r>
            <w:r>
              <w:rPr>
                <w:noProof/>
                <w:webHidden/>
              </w:rPr>
              <w:fldChar w:fldCharType="end"/>
            </w:r>
          </w:hyperlink>
        </w:p>
        <w:p w14:paraId="31A30540" w14:textId="3412114F"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61" w:history="1">
            <w:r w:rsidRPr="001D4C20">
              <w:rPr>
                <w:rStyle w:val="Lienhypertexte"/>
                <w:noProof/>
              </w:rPr>
              <w:t>55.65.1 Eléments intégrés ou externes à une menuiserie de porte/de fenêtre intérieure - Espions CCTB 01.02</w:t>
            </w:r>
            <w:r>
              <w:rPr>
                <w:noProof/>
                <w:webHidden/>
              </w:rPr>
              <w:tab/>
            </w:r>
            <w:r>
              <w:rPr>
                <w:noProof/>
                <w:webHidden/>
              </w:rPr>
              <w:fldChar w:fldCharType="begin"/>
            </w:r>
            <w:r>
              <w:rPr>
                <w:noProof/>
                <w:webHidden/>
              </w:rPr>
              <w:instrText xml:space="preserve"> PAGEREF _Toc220491461 \h </w:instrText>
            </w:r>
            <w:r>
              <w:rPr>
                <w:noProof/>
                <w:webHidden/>
              </w:rPr>
            </w:r>
            <w:r>
              <w:rPr>
                <w:noProof/>
                <w:webHidden/>
              </w:rPr>
              <w:fldChar w:fldCharType="separate"/>
            </w:r>
            <w:r>
              <w:rPr>
                <w:noProof/>
                <w:webHidden/>
              </w:rPr>
              <w:t>749</w:t>
            </w:r>
            <w:r>
              <w:rPr>
                <w:noProof/>
                <w:webHidden/>
              </w:rPr>
              <w:fldChar w:fldCharType="end"/>
            </w:r>
          </w:hyperlink>
        </w:p>
        <w:p w14:paraId="560D235E" w14:textId="064059F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62" w:history="1">
            <w:r w:rsidRPr="001D4C20">
              <w:rPr>
                <w:rStyle w:val="Lienhypertexte"/>
                <w:noProof/>
              </w:rPr>
              <w:t>55.65.1a Eléments intégrés ou externes à une menuiserie de porte/de fenêtre intérieure - Espions CCTB 01.02</w:t>
            </w:r>
            <w:r>
              <w:rPr>
                <w:noProof/>
                <w:webHidden/>
              </w:rPr>
              <w:tab/>
            </w:r>
            <w:r>
              <w:rPr>
                <w:noProof/>
                <w:webHidden/>
              </w:rPr>
              <w:fldChar w:fldCharType="begin"/>
            </w:r>
            <w:r>
              <w:rPr>
                <w:noProof/>
                <w:webHidden/>
              </w:rPr>
              <w:instrText xml:space="preserve"> PAGEREF _Toc220491462 \h </w:instrText>
            </w:r>
            <w:r>
              <w:rPr>
                <w:noProof/>
                <w:webHidden/>
              </w:rPr>
            </w:r>
            <w:r>
              <w:rPr>
                <w:noProof/>
                <w:webHidden/>
              </w:rPr>
              <w:fldChar w:fldCharType="separate"/>
            </w:r>
            <w:r>
              <w:rPr>
                <w:noProof/>
                <w:webHidden/>
              </w:rPr>
              <w:t>749</w:t>
            </w:r>
            <w:r>
              <w:rPr>
                <w:noProof/>
                <w:webHidden/>
              </w:rPr>
              <w:fldChar w:fldCharType="end"/>
            </w:r>
          </w:hyperlink>
        </w:p>
        <w:p w14:paraId="5112B30D" w14:textId="0431669E"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63" w:history="1">
            <w:r w:rsidRPr="001D4C20">
              <w:rPr>
                <w:rStyle w:val="Lienhypertexte"/>
                <w:noProof/>
              </w:rPr>
              <w:t>55.65.2 Eléments intégrés ou externes à une menuiserie de porte/de fenêtre intérieure - Chatière CCTB 01.02</w:t>
            </w:r>
            <w:r>
              <w:rPr>
                <w:noProof/>
                <w:webHidden/>
              </w:rPr>
              <w:tab/>
            </w:r>
            <w:r>
              <w:rPr>
                <w:noProof/>
                <w:webHidden/>
              </w:rPr>
              <w:fldChar w:fldCharType="begin"/>
            </w:r>
            <w:r>
              <w:rPr>
                <w:noProof/>
                <w:webHidden/>
              </w:rPr>
              <w:instrText xml:space="preserve"> PAGEREF _Toc220491463 \h </w:instrText>
            </w:r>
            <w:r>
              <w:rPr>
                <w:noProof/>
                <w:webHidden/>
              </w:rPr>
            </w:r>
            <w:r>
              <w:rPr>
                <w:noProof/>
                <w:webHidden/>
              </w:rPr>
              <w:fldChar w:fldCharType="separate"/>
            </w:r>
            <w:r>
              <w:rPr>
                <w:noProof/>
                <w:webHidden/>
              </w:rPr>
              <w:t>749</w:t>
            </w:r>
            <w:r>
              <w:rPr>
                <w:noProof/>
                <w:webHidden/>
              </w:rPr>
              <w:fldChar w:fldCharType="end"/>
            </w:r>
          </w:hyperlink>
        </w:p>
        <w:p w14:paraId="556BD4C2" w14:textId="3B2F53E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64" w:history="1">
            <w:r w:rsidRPr="001D4C20">
              <w:rPr>
                <w:rStyle w:val="Lienhypertexte"/>
                <w:noProof/>
              </w:rPr>
              <w:t>55.65.2a Eléments intégrés ou externes à une menuiserie de porte/de fenêtre intérieure - Chatière CCTB 01.02</w:t>
            </w:r>
            <w:r>
              <w:rPr>
                <w:noProof/>
                <w:webHidden/>
              </w:rPr>
              <w:tab/>
            </w:r>
            <w:r>
              <w:rPr>
                <w:noProof/>
                <w:webHidden/>
              </w:rPr>
              <w:fldChar w:fldCharType="begin"/>
            </w:r>
            <w:r>
              <w:rPr>
                <w:noProof/>
                <w:webHidden/>
              </w:rPr>
              <w:instrText xml:space="preserve"> PAGEREF _Toc220491464 \h </w:instrText>
            </w:r>
            <w:r>
              <w:rPr>
                <w:noProof/>
                <w:webHidden/>
              </w:rPr>
            </w:r>
            <w:r>
              <w:rPr>
                <w:noProof/>
                <w:webHidden/>
              </w:rPr>
              <w:fldChar w:fldCharType="separate"/>
            </w:r>
            <w:r>
              <w:rPr>
                <w:noProof/>
                <w:webHidden/>
              </w:rPr>
              <w:t>749</w:t>
            </w:r>
            <w:r>
              <w:rPr>
                <w:noProof/>
                <w:webHidden/>
              </w:rPr>
              <w:fldChar w:fldCharType="end"/>
            </w:r>
          </w:hyperlink>
        </w:p>
        <w:p w14:paraId="24CE0AEB" w14:textId="3282ADD4"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65" w:history="1">
            <w:r w:rsidRPr="001D4C20">
              <w:rPr>
                <w:rStyle w:val="Lienhypertexte"/>
                <w:noProof/>
              </w:rPr>
              <w:t>55.65.3 Eléments intégrés ou externes à une menuiserie de porte/de fenêtre intérieure - Guichet CCTB 01.02</w:t>
            </w:r>
            <w:r>
              <w:rPr>
                <w:noProof/>
                <w:webHidden/>
              </w:rPr>
              <w:tab/>
            </w:r>
            <w:r>
              <w:rPr>
                <w:noProof/>
                <w:webHidden/>
              </w:rPr>
              <w:fldChar w:fldCharType="begin"/>
            </w:r>
            <w:r>
              <w:rPr>
                <w:noProof/>
                <w:webHidden/>
              </w:rPr>
              <w:instrText xml:space="preserve"> PAGEREF _Toc220491465 \h </w:instrText>
            </w:r>
            <w:r>
              <w:rPr>
                <w:noProof/>
                <w:webHidden/>
              </w:rPr>
            </w:r>
            <w:r>
              <w:rPr>
                <w:noProof/>
                <w:webHidden/>
              </w:rPr>
              <w:fldChar w:fldCharType="separate"/>
            </w:r>
            <w:r>
              <w:rPr>
                <w:noProof/>
                <w:webHidden/>
              </w:rPr>
              <w:t>749</w:t>
            </w:r>
            <w:r>
              <w:rPr>
                <w:noProof/>
                <w:webHidden/>
              </w:rPr>
              <w:fldChar w:fldCharType="end"/>
            </w:r>
          </w:hyperlink>
        </w:p>
        <w:p w14:paraId="0F859731" w14:textId="4DB42F0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66" w:history="1">
            <w:r w:rsidRPr="001D4C20">
              <w:rPr>
                <w:rStyle w:val="Lienhypertexte"/>
                <w:noProof/>
              </w:rPr>
              <w:t>55.65.3a Eléments intégrés ou externes à une menuiserie de porte/de fenêtre intérieure - Guichet CCTB 01.02</w:t>
            </w:r>
            <w:r>
              <w:rPr>
                <w:noProof/>
                <w:webHidden/>
              </w:rPr>
              <w:tab/>
            </w:r>
            <w:r>
              <w:rPr>
                <w:noProof/>
                <w:webHidden/>
              </w:rPr>
              <w:fldChar w:fldCharType="begin"/>
            </w:r>
            <w:r>
              <w:rPr>
                <w:noProof/>
                <w:webHidden/>
              </w:rPr>
              <w:instrText xml:space="preserve"> PAGEREF _Toc220491466 \h </w:instrText>
            </w:r>
            <w:r>
              <w:rPr>
                <w:noProof/>
                <w:webHidden/>
              </w:rPr>
            </w:r>
            <w:r>
              <w:rPr>
                <w:noProof/>
                <w:webHidden/>
              </w:rPr>
              <w:fldChar w:fldCharType="separate"/>
            </w:r>
            <w:r>
              <w:rPr>
                <w:noProof/>
                <w:webHidden/>
              </w:rPr>
              <w:t>750</w:t>
            </w:r>
            <w:r>
              <w:rPr>
                <w:noProof/>
                <w:webHidden/>
              </w:rPr>
              <w:fldChar w:fldCharType="end"/>
            </w:r>
          </w:hyperlink>
        </w:p>
        <w:p w14:paraId="1305E0A9" w14:textId="3031F085"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67" w:history="1">
            <w:r w:rsidRPr="001D4C20">
              <w:rPr>
                <w:rStyle w:val="Lienhypertexte"/>
                <w:noProof/>
              </w:rPr>
              <w:t>55.65.4 Eléments intégrés ou externes à une menuiserie de porte/de fenêtre intérieure - Hublot CCTB 01.11</w:t>
            </w:r>
            <w:r>
              <w:rPr>
                <w:noProof/>
                <w:webHidden/>
              </w:rPr>
              <w:tab/>
            </w:r>
            <w:r>
              <w:rPr>
                <w:noProof/>
                <w:webHidden/>
              </w:rPr>
              <w:fldChar w:fldCharType="begin"/>
            </w:r>
            <w:r>
              <w:rPr>
                <w:noProof/>
                <w:webHidden/>
              </w:rPr>
              <w:instrText xml:space="preserve"> PAGEREF _Toc220491467 \h </w:instrText>
            </w:r>
            <w:r>
              <w:rPr>
                <w:noProof/>
                <w:webHidden/>
              </w:rPr>
            </w:r>
            <w:r>
              <w:rPr>
                <w:noProof/>
                <w:webHidden/>
              </w:rPr>
              <w:fldChar w:fldCharType="separate"/>
            </w:r>
            <w:r>
              <w:rPr>
                <w:noProof/>
                <w:webHidden/>
              </w:rPr>
              <w:t>750</w:t>
            </w:r>
            <w:r>
              <w:rPr>
                <w:noProof/>
                <w:webHidden/>
              </w:rPr>
              <w:fldChar w:fldCharType="end"/>
            </w:r>
          </w:hyperlink>
        </w:p>
        <w:p w14:paraId="63886D2A" w14:textId="1692C4E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68" w:history="1">
            <w:r w:rsidRPr="001D4C20">
              <w:rPr>
                <w:rStyle w:val="Lienhypertexte"/>
                <w:noProof/>
              </w:rPr>
              <w:t>55.65.4a Eléments intégrés ou externes à une menuiserie de porte/de fenêtre intérieure - Hublot CCTB 01.11</w:t>
            </w:r>
            <w:r>
              <w:rPr>
                <w:noProof/>
                <w:webHidden/>
              </w:rPr>
              <w:tab/>
            </w:r>
            <w:r>
              <w:rPr>
                <w:noProof/>
                <w:webHidden/>
              </w:rPr>
              <w:fldChar w:fldCharType="begin"/>
            </w:r>
            <w:r>
              <w:rPr>
                <w:noProof/>
                <w:webHidden/>
              </w:rPr>
              <w:instrText xml:space="preserve"> PAGEREF _Toc220491468 \h </w:instrText>
            </w:r>
            <w:r>
              <w:rPr>
                <w:noProof/>
                <w:webHidden/>
              </w:rPr>
            </w:r>
            <w:r>
              <w:rPr>
                <w:noProof/>
                <w:webHidden/>
              </w:rPr>
              <w:fldChar w:fldCharType="separate"/>
            </w:r>
            <w:r>
              <w:rPr>
                <w:noProof/>
                <w:webHidden/>
              </w:rPr>
              <w:t>750</w:t>
            </w:r>
            <w:r>
              <w:rPr>
                <w:noProof/>
                <w:webHidden/>
              </w:rPr>
              <w:fldChar w:fldCharType="end"/>
            </w:r>
          </w:hyperlink>
        </w:p>
        <w:p w14:paraId="03D0BFD3" w14:textId="674FC75D"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69" w:history="1">
            <w:r w:rsidRPr="001D4C20">
              <w:rPr>
                <w:rStyle w:val="Lienhypertexte"/>
                <w:noProof/>
              </w:rPr>
              <w:t>55.65.5 Eléments intégrés ou externes à une menuiserie de porte/de fenêtre intérieure - Plaque de protection CCTB 01.02</w:t>
            </w:r>
            <w:r>
              <w:rPr>
                <w:noProof/>
                <w:webHidden/>
              </w:rPr>
              <w:tab/>
            </w:r>
            <w:r>
              <w:rPr>
                <w:noProof/>
                <w:webHidden/>
              </w:rPr>
              <w:fldChar w:fldCharType="begin"/>
            </w:r>
            <w:r>
              <w:rPr>
                <w:noProof/>
                <w:webHidden/>
              </w:rPr>
              <w:instrText xml:space="preserve"> PAGEREF _Toc220491469 \h </w:instrText>
            </w:r>
            <w:r>
              <w:rPr>
                <w:noProof/>
                <w:webHidden/>
              </w:rPr>
            </w:r>
            <w:r>
              <w:rPr>
                <w:noProof/>
                <w:webHidden/>
              </w:rPr>
              <w:fldChar w:fldCharType="separate"/>
            </w:r>
            <w:r>
              <w:rPr>
                <w:noProof/>
                <w:webHidden/>
              </w:rPr>
              <w:t>751</w:t>
            </w:r>
            <w:r>
              <w:rPr>
                <w:noProof/>
                <w:webHidden/>
              </w:rPr>
              <w:fldChar w:fldCharType="end"/>
            </w:r>
          </w:hyperlink>
        </w:p>
        <w:p w14:paraId="7A5BB3C7" w14:textId="70150CC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70" w:history="1">
            <w:r w:rsidRPr="001D4C20">
              <w:rPr>
                <w:rStyle w:val="Lienhypertexte"/>
                <w:noProof/>
              </w:rPr>
              <w:t>55.65.5a Eléments intégrés ou externes à une menuiserie de porte/de fenêtre intérieure - Plaque de protection CCTB 01.02</w:t>
            </w:r>
            <w:r>
              <w:rPr>
                <w:noProof/>
                <w:webHidden/>
              </w:rPr>
              <w:tab/>
            </w:r>
            <w:r>
              <w:rPr>
                <w:noProof/>
                <w:webHidden/>
              </w:rPr>
              <w:fldChar w:fldCharType="begin"/>
            </w:r>
            <w:r>
              <w:rPr>
                <w:noProof/>
                <w:webHidden/>
              </w:rPr>
              <w:instrText xml:space="preserve"> PAGEREF _Toc220491470 \h </w:instrText>
            </w:r>
            <w:r>
              <w:rPr>
                <w:noProof/>
                <w:webHidden/>
              </w:rPr>
            </w:r>
            <w:r>
              <w:rPr>
                <w:noProof/>
                <w:webHidden/>
              </w:rPr>
              <w:fldChar w:fldCharType="separate"/>
            </w:r>
            <w:r>
              <w:rPr>
                <w:noProof/>
                <w:webHidden/>
              </w:rPr>
              <w:t>751</w:t>
            </w:r>
            <w:r>
              <w:rPr>
                <w:noProof/>
                <w:webHidden/>
              </w:rPr>
              <w:fldChar w:fldCharType="end"/>
            </w:r>
          </w:hyperlink>
        </w:p>
        <w:p w14:paraId="2B0CC6FD" w14:textId="77B4EBD4"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71" w:history="1">
            <w:r w:rsidRPr="001D4C20">
              <w:rPr>
                <w:rStyle w:val="Lienhypertexte"/>
                <w:noProof/>
              </w:rPr>
              <w:t>55.65.6 Eléments intégrés ou externes à une menuiserie de porte/de fenêtre intérieure - Arrêt de porte CCTB 01.02</w:t>
            </w:r>
            <w:r>
              <w:rPr>
                <w:noProof/>
                <w:webHidden/>
              </w:rPr>
              <w:tab/>
            </w:r>
            <w:r>
              <w:rPr>
                <w:noProof/>
                <w:webHidden/>
              </w:rPr>
              <w:fldChar w:fldCharType="begin"/>
            </w:r>
            <w:r>
              <w:rPr>
                <w:noProof/>
                <w:webHidden/>
              </w:rPr>
              <w:instrText xml:space="preserve"> PAGEREF _Toc220491471 \h </w:instrText>
            </w:r>
            <w:r>
              <w:rPr>
                <w:noProof/>
                <w:webHidden/>
              </w:rPr>
            </w:r>
            <w:r>
              <w:rPr>
                <w:noProof/>
                <w:webHidden/>
              </w:rPr>
              <w:fldChar w:fldCharType="separate"/>
            </w:r>
            <w:r>
              <w:rPr>
                <w:noProof/>
                <w:webHidden/>
              </w:rPr>
              <w:t>751</w:t>
            </w:r>
            <w:r>
              <w:rPr>
                <w:noProof/>
                <w:webHidden/>
              </w:rPr>
              <w:fldChar w:fldCharType="end"/>
            </w:r>
          </w:hyperlink>
        </w:p>
        <w:p w14:paraId="243AAEC1" w14:textId="04A9388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72" w:history="1">
            <w:r w:rsidRPr="001D4C20">
              <w:rPr>
                <w:rStyle w:val="Lienhypertexte"/>
                <w:noProof/>
              </w:rPr>
              <w:t>55.65.6a Eléments intégrés ou externes à une menuiserie de porte/de fenêtre intérieure - Arrêt de porte CCTB 01.10</w:t>
            </w:r>
            <w:r>
              <w:rPr>
                <w:noProof/>
                <w:webHidden/>
              </w:rPr>
              <w:tab/>
            </w:r>
            <w:r>
              <w:rPr>
                <w:noProof/>
                <w:webHidden/>
              </w:rPr>
              <w:fldChar w:fldCharType="begin"/>
            </w:r>
            <w:r>
              <w:rPr>
                <w:noProof/>
                <w:webHidden/>
              </w:rPr>
              <w:instrText xml:space="preserve"> PAGEREF _Toc220491472 \h </w:instrText>
            </w:r>
            <w:r>
              <w:rPr>
                <w:noProof/>
                <w:webHidden/>
              </w:rPr>
            </w:r>
            <w:r>
              <w:rPr>
                <w:noProof/>
                <w:webHidden/>
              </w:rPr>
              <w:fldChar w:fldCharType="separate"/>
            </w:r>
            <w:r>
              <w:rPr>
                <w:noProof/>
                <w:webHidden/>
              </w:rPr>
              <w:t>751</w:t>
            </w:r>
            <w:r>
              <w:rPr>
                <w:noProof/>
                <w:webHidden/>
              </w:rPr>
              <w:fldChar w:fldCharType="end"/>
            </w:r>
          </w:hyperlink>
        </w:p>
        <w:p w14:paraId="7A4EE997" w14:textId="195D9609"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73" w:history="1">
            <w:r w:rsidRPr="001D4C20">
              <w:rPr>
                <w:rStyle w:val="Lienhypertexte"/>
                <w:noProof/>
              </w:rPr>
              <w:t>55.65.7 Eléments intégrés ou externes à une menuiserie de porte/de fenêtre intérieure - Garde corps CCTB 01.02</w:t>
            </w:r>
            <w:r>
              <w:rPr>
                <w:noProof/>
                <w:webHidden/>
              </w:rPr>
              <w:tab/>
            </w:r>
            <w:r>
              <w:rPr>
                <w:noProof/>
                <w:webHidden/>
              </w:rPr>
              <w:fldChar w:fldCharType="begin"/>
            </w:r>
            <w:r>
              <w:rPr>
                <w:noProof/>
                <w:webHidden/>
              </w:rPr>
              <w:instrText xml:space="preserve"> PAGEREF _Toc220491473 \h </w:instrText>
            </w:r>
            <w:r>
              <w:rPr>
                <w:noProof/>
                <w:webHidden/>
              </w:rPr>
            </w:r>
            <w:r>
              <w:rPr>
                <w:noProof/>
                <w:webHidden/>
              </w:rPr>
              <w:fldChar w:fldCharType="separate"/>
            </w:r>
            <w:r>
              <w:rPr>
                <w:noProof/>
                <w:webHidden/>
              </w:rPr>
              <w:t>753</w:t>
            </w:r>
            <w:r>
              <w:rPr>
                <w:noProof/>
                <w:webHidden/>
              </w:rPr>
              <w:fldChar w:fldCharType="end"/>
            </w:r>
          </w:hyperlink>
        </w:p>
        <w:p w14:paraId="406450FF" w14:textId="71950F6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74" w:history="1">
            <w:r w:rsidRPr="001D4C20">
              <w:rPr>
                <w:rStyle w:val="Lienhypertexte"/>
                <w:noProof/>
              </w:rPr>
              <w:t>55.65.7a Eléments intégrés ou externes à une menuiserie de porte/de fenêtre intérieure - Garde corps CCTB 01.02</w:t>
            </w:r>
            <w:r>
              <w:rPr>
                <w:noProof/>
                <w:webHidden/>
              </w:rPr>
              <w:tab/>
            </w:r>
            <w:r>
              <w:rPr>
                <w:noProof/>
                <w:webHidden/>
              </w:rPr>
              <w:fldChar w:fldCharType="begin"/>
            </w:r>
            <w:r>
              <w:rPr>
                <w:noProof/>
                <w:webHidden/>
              </w:rPr>
              <w:instrText xml:space="preserve"> PAGEREF _Toc220491474 \h </w:instrText>
            </w:r>
            <w:r>
              <w:rPr>
                <w:noProof/>
                <w:webHidden/>
              </w:rPr>
            </w:r>
            <w:r>
              <w:rPr>
                <w:noProof/>
                <w:webHidden/>
              </w:rPr>
              <w:fldChar w:fldCharType="separate"/>
            </w:r>
            <w:r>
              <w:rPr>
                <w:noProof/>
                <w:webHidden/>
              </w:rPr>
              <w:t>753</w:t>
            </w:r>
            <w:r>
              <w:rPr>
                <w:noProof/>
                <w:webHidden/>
              </w:rPr>
              <w:fldChar w:fldCharType="end"/>
            </w:r>
          </w:hyperlink>
        </w:p>
        <w:p w14:paraId="63842C50" w14:textId="45EFEF15"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75" w:history="1">
            <w:r w:rsidRPr="001D4C20">
              <w:rPr>
                <w:rStyle w:val="Lienhypertexte"/>
                <w:noProof/>
              </w:rPr>
              <w:t>55.65.8 Eléments intégrés ou externes à une menuiserie de porte/de fenêtre intérieure - Plaquettes signalétiques CCTB 01.02</w:t>
            </w:r>
            <w:r>
              <w:rPr>
                <w:noProof/>
                <w:webHidden/>
              </w:rPr>
              <w:tab/>
            </w:r>
            <w:r>
              <w:rPr>
                <w:noProof/>
                <w:webHidden/>
              </w:rPr>
              <w:fldChar w:fldCharType="begin"/>
            </w:r>
            <w:r>
              <w:rPr>
                <w:noProof/>
                <w:webHidden/>
              </w:rPr>
              <w:instrText xml:space="preserve"> PAGEREF _Toc220491475 \h </w:instrText>
            </w:r>
            <w:r>
              <w:rPr>
                <w:noProof/>
                <w:webHidden/>
              </w:rPr>
            </w:r>
            <w:r>
              <w:rPr>
                <w:noProof/>
                <w:webHidden/>
              </w:rPr>
              <w:fldChar w:fldCharType="separate"/>
            </w:r>
            <w:r>
              <w:rPr>
                <w:noProof/>
                <w:webHidden/>
              </w:rPr>
              <w:t>753</w:t>
            </w:r>
            <w:r>
              <w:rPr>
                <w:noProof/>
                <w:webHidden/>
              </w:rPr>
              <w:fldChar w:fldCharType="end"/>
            </w:r>
          </w:hyperlink>
        </w:p>
        <w:p w14:paraId="60A4E58F" w14:textId="2F0846F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76" w:history="1">
            <w:r w:rsidRPr="001D4C20">
              <w:rPr>
                <w:rStyle w:val="Lienhypertexte"/>
                <w:noProof/>
              </w:rPr>
              <w:t>55.65.8a Eléments intégrés ou externes à une menuiserie de porte/de fenêtre intérieure - Plaquettes signalétiques CCTB 01.11</w:t>
            </w:r>
            <w:r>
              <w:rPr>
                <w:noProof/>
                <w:webHidden/>
              </w:rPr>
              <w:tab/>
            </w:r>
            <w:r>
              <w:rPr>
                <w:noProof/>
                <w:webHidden/>
              </w:rPr>
              <w:fldChar w:fldCharType="begin"/>
            </w:r>
            <w:r>
              <w:rPr>
                <w:noProof/>
                <w:webHidden/>
              </w:rPr>
              <w:instrText xml:space="preserve"> PAGEREF _Toc220491476 \h </w:instrText>
            </w:r>
            <w:r>
              <w:rPr>
                <w:noProof/>
                <w:webHidden/>
              </w:rPr>
            </w:r>
            <w:r>
              <w:rPr>
                <w:noProof/>
                <w:webHidden/>
              </w:rPr>
              <w:fldChar w:fldCharType="separate"/>
            </w:r>
            <w:r>
              <w:rPr>
                <w:noProof/>
                <w:webHidden/>
              </w:rPr>
              <w:t>753</w:t>
            </w:r>
            <w:r>
              <w:rPr>
                <w:noProof/>
                <w:webHidden/>
              </w:rPr>
              <w:fldChar w:fldCharType="end"/>
            </w:r>
          </w:hyperlink>
        </w:p>
        <w:p w14:paraId="31077964" w14:textId="2E95917E"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77" w:history="1">
            <w:r w:rsidRPr="001D4C20">
              <w:rPr>
                <w:rStyle w:val="Lienhypertexte"/>
                <w:noProof/>
              </w:rPr>
              <w:t>55.65.9 Dispositifs de transfert d'air pour la ventilation CCTB 01.02</w:t>
            </w:r>
            <w:r>
              <w:rPr>
                <w:noProof/>
                <w:webHidden/>
              </w:rPr>
              <w:tab/>
            </w:r>
            <w:r>
              <w:rPr>
                <w:noProof/>
                <w:webHidden/>
              </w:rPr>
              <w:fldChar w:fldCharType="begin"/>
            </w:r>
            <w:r>
              <w:rPr>
                <w:noProof/>
                <w:webHidden/>
              </w:rPr>
              <w:instrText xml:space="preserve"> PAGEREF _Toc220491477 \h </w:instrText>
            </w:r>
            <w:r>
              <w:rPr>
                <w:noProof/>
                <w:webHidden/>
              </w:rPr>
            </w:r>
            <w:r>
              <w:rPr>
                <w:noProof/>
                <w:webHidden/>
              </w:rPr>
              <w:fldChar w:fldCharType="separate"/>
            </w:r>
            <w:r>
              <w:rPr>
                <w:noProof/>
                <w:webHidden/>
              </w:rPr>
              <w:t>758</w:t>
            </w:r>
            <w:r>
              <w:rPr>
                <w:noProof/>
                <w:webHidden/>
              </w:rPr>
              <w:fldChar w:fldCharType="end"/>
            </w:r>
          </w:hyperlink>
        </w:p>
        <w:p w14:paraId="06C8AE06" w14:textId="5A509C0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78" w:history="1">
            <w:r w:rsidRPr="001D4C20">
              <w:rPr>
                <w:rStyle w:val="Lienhypertexte"/>
                <w:noProof/>
              </w:rPr>
              <w:t>55.65.9a Dispositifs de transfert d'air montés en intérieur: Ouvertures de transfert (OT) CCTB 01.02</w:t>
            </w:r>
            <w:r>
              <w:rPr>
                <w:noProof/>
                <w:webHidden/>
              </w:rPr>
              <w:tab/>
            </w:r>
            <w:r>
              <w:rPr>
                <w:noProof/>
                <w:webHidden/>
              </w:rPr>
              <w:fldChar w:fldCharType="begin"/>
            </w:r>
            <w:r>
              <w:rPr>
                <w:noProof/>
                <w:webHidden/>
              </w:rPr>
              <w:instrText xml:space="preserve"> PAGEREF _Toc220491478 \h </w:instrText>
            </w:r>
            <w:r>
              <w:rPr>
                <w:noProof/>
                <w:webHidden/>
              </w:rPr>
            </w:r>
            <w:r>
              <w:rPr>
                <w:noProof/>
                <w:webHidden/>
              </w:rPr>
              <w:fldChar w:fldCharType="separate"/>
            </w:r>
            <w:r>
              <w:rPr>
                <w:noProof/>
                <w:webHidden/>
              </w:rPr>
              <w:t>758</w:t>
            </w:r>
            <w:r>
              <w:rPr>
                <w:noProof/>
                <w:webHidden/>
              </w:rPr>
              <w:fldChar w:fldCharType="end"/>
            </w:r>
          </w:hyperlink>
        </w:p>
        <w:p w14:paraId="5BC8D499" w14:textId="72F335F7"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479" w:history="1">
            <w:r w:rsidRPr="001D4C20">
              <w:rPr>
                <w:rStyle w:val="Lienhypertexte"/>
                <w:noProof/>
              </w:rPr>
              <w:t>55.66 Menuiserie appliquée sur des murs CCTB 01.02</w:t>
            </w:r>
            <w:r>
              <w:rPr>
                <w:noProof/>
                <w:webHidden/>
              </w:rPr>
              <w:tab/>
            </w:r>
            <w:r>
              <w:rPr>
                <w:noProof/>
                <w:webHidden/>
              </w:rPr>
              <w:fldChar w:fldCharType="begin"/>
            </w:r>
            <w:r>
              <w:rPr>
                <w:noProof/>
                <w:webHidden/>
              </w:rPr>
              <w:instrText xml:space="preserve"> PAGEREF _Toc220491479 \h </w:instrText>
            </w:r>
            <w:r>
              <w:rPr>
                <w:noProof/>
                <w:webHidden/>
              </w:rPr>
            </w:r>
            <w:r>
              <w:rPr>
                <w:noProof/>
                <w:webHidden/>
              </w:rPr>
              <w:fldChar w:fldCharType="separate"/>
            </w:r>
            <w:r>
              <w:rPr>
                <w:noProof/>
                <w:webHidden/>
              </w:rPr>
              <w:t>758</w:t>
            </w:r>
            <w:r>
              <w:rPr>
                <w:noProof/>
                <w:webHidden/>
              </w:rPr>
              <w:fldChar w:fldCharType="end"/>
            </w:r>
          </w:hyperlink>
        </w:p>
        <w:p w14:paraId="4290E92B" w14:textId="3F06830F"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80" w:history="1">
            <w:r w:rsidRPr="001D4C20">
              <w:rPr>
                <w:rStyle w:val="Lienhypertexte"/>
                <w:noProof/>
              </w:rPr>
              <w:t>55.66.1 Menuiserie appliquée sur des murs - Lisse de protection des murs CCTB 01.02</w:t>
            </w:r>
            <w:r>
              <w:rPr>
                <w:noProof/>
                <w:webHidden/>
              </w:rPr>
              <w:tab/>
            </w:r>
            <w:r>
              <w:rPr>
                <w:noProof/>
                <w:webHidden/>
              </w:rPr>
              <w:fldChar w:fldCharType="begin"/>
            </w:r>
            <w:r>
              <w:rPr>
                <w:noProof/>
                <w:webHidden/>
              </w:rPr>
              <w:instrText xml:space="preserve"> PAGEREF _Toc220491480 \h </w:instrText>
            </w:r>
            <w:r>
              <w:rPr>
                <w:noProof/>
                <w:webHidden/>
              </w:rPr>
            </w:r>
            <w:r>
              <w:rPr>
                <w:noProof/>
                <w:webHidden/>
              </w:rPr>
              <w:fldChar w:fldCharType="separate"/>
            </w:r>
            <w:r>
              <w:rPr>
                <w:noProof/>
                <w:webHidden/>
              </w:rPr>
              <w:t>758</w:t>
            </w:r>
            <w:r>
              <w:rPr>
                <w:noProof/>
                <w:webHidden/>
              </w:rPr>
              <w:fldChar w:fldCharType="end"/>
            </w:r>
          </w:hyperlink>
        </w:p>
        <w:p w14:paraId="4C4DEC90" w14:textId="35D5D04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81" w:history="1">
            <w:r w:rsidRPr="001D4C20">
              <w:rPr>
                <w:rStyle w:val="Lienhypertexte"/>
                <w:noProof/>
              </w:rPr>
              <w:t>55.66.1a Menuiserie appliquée sur des murs - Lisse de protection des murs, en bois CCTB 01.02</w:t>
            </w:r>
            <w:r>
              <w:rPr>
                <w:noProof/>
                <w:webHidden/>
              </w:rPr>
              <w:tab/>
            </w:r>
            <w:r>
              <w:rPr>
                <w:noProof/>
                <w:webHidden/>
              </w:rPr>
              <w:fldChar w:fldCharType="begin"/>
            </w:r>
            <w:r>
              <w:rPr>
                <w:noProof/>
                <w:webHidden/>
              </w:rPr>
              <w:instrText xml:space="preserve"> PAGEREF _Toc220491481 \h </w:instrText>
            </w:r>
            <w:r>
              <w:rPr>
                <w:noProof/>
                <w:webHidden/>
              </w:rPr>
            </w:r>
            <w:r>
              <w:rPr>
                <w:noProof/>
                <w:webHidden/>
              </w:rPr>
              <w:fldChar w:fldCharType="separate"/>
            </w:r>
            <w:r>
              <w:rPr>
                <w:noProof/>
                <w:webHidden/>
              </w:rPr>
              <w:t>758</w:t>
            </w:r>
            <w:r>
              <w:rPr>
                <w:noProof/>
                <w:webHidden/>
              </w:rPr>
              <w:fldChar w:fldCharType="end"/>
            </w:r>
          </w:hyperlink>
        </w:p>
        <w:p w14:paraId="64793743" w14:textId="3F5849C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82" w:history="1">
            <w:r w:rsidRPr="001D4C20">
              <w:rPr>
                <w:rStyle w:val="Lienhypertexte"/>
                <w:noProof/>
              </w:rPr>
              <w:t>55.66.1b Menuiserie appliquée sur des murs - Lisse de protection des murs, en acier CCTB 01.02</w:t>
            </w:r>
            <w:r>
              <w:rPr>
                <w:noProof/>
                <w:webHidden/>
              </w:rPr>
              <w:tab/>
            </w:r>
            <w:r>
              <w:rPr>
                <w:noProof/>
                <w:webHidden/>
              </w:rPr>
              <w:fldChar w:fldCharType="begin"/>
            </w:r>
            <w:r>
              <w:rPr>
                <w:noProof/>
                <w:webHidden/>
              </w:rPr>
              <w:instrText xml:space="preserve"> PAGEREF _Toc220491482 \h </w:instrText>
            </w:r>
            <w:r>
              <w:rPr>
                <w:noProof/>
                <w:webHidden/>
              </w:rPr>
            </w:r>
            <w:r>
              <w:rPr>
                <w:noProof/>
                <w:webHidden/>
              </w:rPr>
              <w:fldChar w:fldCharType="separate"/>
            </w:r>
            <w:r>
              <w:rPr>
                <w:noProof/>
                <w:webHidden/>
              </w:rPr>
              <w:t>758</w:t>
            </w:r>
            <w:r>
              <w:rPr>
                <w:noProof/>
                <w:webHidden/>
              </w:rPr>
              <w:fldChar w:fldCharType="end"/>
            </w:r>
          </w:hyperlink>
        </w:p>
        <w:p w14:paraId="1949F536" w14:textId="1C70DBE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83" w:history="1">
            <w:r w:rsidRPr="001D4C20">
              <w:rPr>
                <w:rStyle w:val="Lienhypertexte"/>
                <w:noProof/>
              </w:rPr>
              <w:t>55.66.1c Menuiserie appliquée sur des murs - Lisse de protection des murs, en aluminium CCTB 01.02</w:t>
            </w:r>
            <w:r>
              <w:rPr>
                <w:noProof/>
                <w:webHidden/>
              </w:rPr>
              <w:tab/>
            </w:r>
            <w:r>
              <w:rPr>
                <w:noProof/>
                <w:webHidden/>
              </w:rPr>
              <w:fldChar w:fldCharType="begin"/>
            </w:r>
            <w:r>
              <w:rPr>
                <w:noProof/>
                <w:webHidden/>
              </w:rPr>
              <w:instrText xml:space="preserve"> PAGEREF _Toc220491483 \h </w:instrText>
            </w:r>
            <w:r>
              <w:rPr>
                <w:noProof/>
                <w:webHidden/>
              </w:rPr>
            </w:r>
            <w:r>
              <w:rPr>
                <w:noProof/>
                <w:webHidden/>
              </w:rPr>
              <w:fldChar w:fldCharType="separate"/>
            </w:r>
            <w:r>
              <w:rPr>
                <w:noProof/>
                <w:webHidden/>
              </w:rPr>
              <w:t>758</w:t>
            </w:r>
            <w:r>
              <w:rPr>
                <w:noProof/>
                <w:webHidden/>
              </w:rPr>
              <w:fldChar w:fldCharType="end"/>
            </w:r>
          </w:hyperlink>
        </w:p>
        <w:p w14:paraId="4550D35C" w14:textId="3B533A5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84" w:history="1">
            <w:r w:rsidRPr="001D4C20">
              <w:rPr>
                <w:rStyle w:val="Lienhypertexte"/>
                <w:noProof/>
              </w:rPr>
              <w:t>55.66.1d Menuiserie appliquée sur des murs - Lisse de protection des murs, en matériaux synthétiques CCTB 01.02</w:t>
            </w:r>
            <w:r>
              <w:rPr>
                <w:noProof/>
                <w:webHidden/>
              </w:rPr>
              <w:tab/>
            </w:r>
            <w:r>
              <w:rPr>
                <w:noProof/>
                <w:webHidden/>
              </w:rPr>
              <w:fldChar w:fldCharType="begin"/>
            </w:r>
            <w:r>
              <w:rPr>
                <w:noProof/>
                <w:webHidden/>
              </w:rPr>
              <w:instrText xml:space="preserve"> PAGEREF _Toc220491484 \h </w:instrText>
            </w:r>
            <w:r>
              <w:rPr>
                <w:noProof/>
                <w:webHidden/>
              </w:rPr>
            </w:r>
            <w:r>
              <w:rPr>
                <w:noProof/>
                <w:webHidden/>
              </w:rPr>
              <w:fldChar w:fldCharType="separate"/>
            </w:r>
            <w:r>
              <w:rPr>
                <w:noProof/>
                <w:webHidden/>
              </w:rPr>
              <w:t>758</w:t>
            </w:r>
            <w:r>
              <w:rPr>
                <w:noProof/>
                <w:webHidden/>
              </w:rPr>
              <w:fldChar w:fldCharType="end"/>
            </w:r>
          </w:hyperlink>
        </w:p>
        <w:p w14:paraId="48C959D9" w14:textId="4046D11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85" w:history="1">
            <w:r w:rsidRPr="001D4C20">
              <w:rPr>
                <w:rStyle w:val="Lienhypertexte"/>
                <w:noProof/>
              </w:rPr>
              <w:t>55.66.1e Menuiserie appliquée sur des murs - Lisse de protection des murs, en matériaux mixtes CCTB 01.02</w:t>
            </w:r>
            <w:r>
              <w:rPr>
                <w:noProof/>
                <w:webHidden/>
              </w:rPr>
              <w:tab/>
            </w:r>
            <w:r>
              <w:rPr>
                <w:noProof/>
                <w:webHidden/>
              </w:rPr>
              <w:fldChar w:fldCharType="begin"/>
            </w:r>
            <w:r>
              <w:rPr>
                <w:noProof/>
                <w:webHidden/>
              </w:rPr>
              <w:instrText xml:space="preserve"> PAGEREF _Toc220491485 \h </w:instrText>
            </w:r>
            <w:r>
              <w:rPr>
                <w:noProof/>
                <w:webHidden/>
              </w:rPr>
            </w:r>
            <w:r>
              <w:rPr>
                <w:noProof/>
                <w:webHidden/>
              </w:rPr>
              <w:fldChar w:fldCharType="separate"/>
            </w:r>
            <w:r>
              <w:rPr>
                <w:noProof/>
                <w:webHidden/>
              </w:rPr>
              <w:t>758</w:t>
            </w:r>
            <w:r>
              <w:rPr>
                <w:noProof/>
                <w:webHidden/>
              </w:rPr>
              <w:fldChar w:fldCharType="end"/>
            </w:r>
          </w:hyperlink>
        </w:p>
        <w:p w14:paraId="6F88A31C" w14:textId="7D4B304D"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86" w:history="1">
            <w:r w:rsidRPr="001D4C20">
              <w:rPr>
                <w:rStyle w:val="Lienhypertexte"/>
                <w:noProof/>
              </w:rPr>
              <w:t>55.66.2 Menuiserie appliquée sur des murs - Moulures / Cache luminaire CCTB 01.02</w:t>
            </w:r>
            <w:r>
              <w:rPr>
                <w:noProof/>
                <w:webHidden/>
              </w:rPr>
              <w:tab/>
            </w:r>
            <w:r>
              <w:rPr>
                <w:noProof/>
                <w:webHidden/>
              </w:rPr>
              <w:fldChar w:fldCharType="begin"/>
            </w:r>
            <w:r>
              <w:rPr>
                <w:noProof/>
                <w:webHidden/>
              </w:rPr>
              <w:instrText xml:space="preserve"> PAGEREF _Toc220491486 \h </w:instrText>
            </w:r>
            <w:r>
              <w:rPr>
                <w:noProof/>
                <w:webHidden/>
              </w:rPr>
            </w:r>
            <w:r>
              <w:rPr>
                <w:noProof/>
                <w:webHidden/>
              </w:rPr>
              <w:fldChar w:fldCharType="separate"/>
            </w:r>
            <w:r>
              <w:rPr>
                <w:noProof/>
                <w:webHidden/>
              </w:rPr>
              <w:t>759</w:t>
            </w:r>
            <w:r>
              <w:rPr>
                <w:noProof/>
                <w:webHidden/>
              </w:rPr>
              <w:fldChar w:fldCharType="end"/>
            </w:r>
          </w:hyperlink>
        </w:p>
        <w:p w14:paraId="67E65BBC" w14:textId="4A5F9D2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87" w:history="1">
            <w:r w:rsidRPr="001D4C20">
              <w:rPr>
                <w:rStyle w:val="Lienhypertexte"/>
                <w:noProof/>
              </w:rPr>
              <w:t>55.66.2a Menuiserie appliquée sur des murs - Moulures / Cache luminaire, en bois CCTB 01.02</w:t>
            </w:r>
            <w:r>
              <w:rPr>
                <w:noProof/>
                <w:webHidden/>
              </w:rPr>
              <w:tab/>
            </w:r>
            <w:r>
              <w:rPr>
                <w:noProof/>
                <w:webHidden/>
              </w:rPr>
              <w:fldChar w:fldCharType="begin"/>
            </w:r>
            <w:r>
              <w:rPr>
                <w:noProof/>
                <w:webHidden/>
              </w:rPr>
              <w:instrText xml:space="preserve"> PAGEREF _Toc220491487 \h </w:instrText>
            </w:r>
            <w:r>
              <w:rPr>
                <w:noProof/>
                <w:webHidden/>
              </w:rPr>
            </w:r>
            <w:r>
              <w:rPr>
                <w:noProof/>
                <w:webHidden/>
              </w:rPr>
              <w:fldChar w:fldCharType="separate"/>
            </w:r>
            <w:r>
              <w:rPr>
                <w:noProof/>
                <w:webHidden/>
              </w:rPr>
              <w:t>759</w:t>
            </w:r>
            <w:r>
              <w:rPr>
                <w:noProof/>
                <w:webHidden/>
              </w:rPr>
              <w:fldChar w:fldCharType="end"/>
            </w:r>
          </w:hyperlink>
        </w:p>
        <w:p w14:paraId="0B5A312A" w14:textId="7EFE981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88" w:history="1">
            <w:r w:rsidRPr="001D4C20">
              <w:rPr>
                <w:rStyle w:val="Lienhypertexte"/>
                <w:noProof/>
              </w:rPr>
              <w:t>55.66.2b Menuiserie appliquée sur des murs - Moulures / Cache luminaire, en acier CCTB 01.02</w:t>
            </w:r>
            <w:r>
              <w:rPr>
                <w:noProof/>
                <w:webHidden/>
              </w:rPr>
              <w:tab/>
            </w:r>
            <w:r>
              <w:rPr>
                <w:noProof/>
                <w:webHidden/>
              </w:rPr>
              <w:fldChar w:fldCharType="begin"/>
            </w:r>
            <w:r>
              <w:rPr>
                <w:noProof/>
                <w:webHidden/>
              </w:rPr>
              <w:instrText xml:space="preserve"> PAGEREF _Toc220491488 \h </w:instrText>
            </w:r>
            <w:r>
              <w:rPr>
                <w:noProof/>
                <w:webHidden/>
              </w:rPr>
            </w:r>
            <w:r>
              <w:rPr>
                <w:noProof/>
                <w:webHidden/>
              </w:rPr>
              <w:fldChar w:fldCharType="separate"/>
            </w:r>
            <w:r>
              <w:rPr>
                <w:noProof/>
                <w:webHidden/>
              </w:rPr>
              <w:t>759</w:t>
            </w:r>
            <w:r>
              <w:rPr>
                <w:noProof/>
                <w:webHidden/>
              </w:rPr>
              <w:fldChar w:fldCharType="end"/>
            </w:r>
          </w:hyperlink>
        </w:p>
        <w:p w14:paraId="1E1CC105" w14:textId="594962A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89" w:history="1">
            <w:r w:rsidRPr="001D4C20">
              <w:rPr>
                <w:rStyle w:val="Lienhypertexte"/>
                <w:noProof/>
              </w:rPr>
              <w:t>55.66.2c Menuiserie appliquée sur des murs - Moulures / Cache luminaire, en aluminium CCTB 01.02</w:t>
            </w:r>
            <w:r>
              <w:rPr>
                <w:noProof/>
                <w:webHidden/>
              </w:rPr>
              <w:tab/>
            </w:r>
            <w:r>
              <w:rPr>
                <w:noProof/>
                <w:webHidden/>
              </w:rPr>
              <w:fldChar w:fldCharType="begin"/>
            </w:r>
            <w:r>
              <w:rPr>
                <w:noProof/>
                <w:webHidden/>
              </w:rPr>
              <w:instrText xml:space="preserve"> PAGEREF _Toc220491489 \h </w:instrText>
            </w:r>
            <w:r>
              <w:rPr>
                <w:noProof/>
                <w:webHidden/>
              </w:rPr>
            </w:r>
            <w:r>
              <w:rPr>
                <w:noProof/>
                <w:webHidden/>
              </w:rPr>
              <w:fldChar w:fldCharType="separate"/>
            </w:r>
            <w:r>
              <w:rPr>
                <w:noProof/>
                <w:webHidden/>
              </w:rPr>
              <w:t>759</w:t>
            </w:r>
            <w:r>
              <w:rPr>
                <w:noProof/>
                <w:webHidden/>
              </w:rPr>
              <w:fldChar w:fldCharType="end"/>
            </w:r>
          </w:hyperlink>
        </w:p>
        <w:p w14:paraId="5025AF76" w14:textId="59D5D51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90" w:history="1">
            <w:r w:rsidRPr="001D4C20">
              <w:rPr>
                <w:rStyle w:val="Lienhypertexte"/>
                <w:noProof/>
              </w:rPr>
              <w:t>55.66.2d Menuiserie appliquée sur des murs - Moulures / Cache luminaire, en matériaux synthétiques CCTB 01.02</w:t>
            </w:r>
            <w:r>
              <w:rPr>
                <w:noProof/>
                <w:webHidden/>
              </w:rPr>
              <w:tab/>
            </w:r>
            <w:r>
              <w:rPr>
                <w:noProof/>
                <w:webHidden/>
              </w:rPr>
              <w:fldChar w:fldCharType="begin"/>
            </w:r>
            <w:r>
              <w:rPr>
                <w:noProof/>
                <w:webHidden/>
              </w:rPr>
              <w:instrText xml:space="preserve"> PAGEREF _Toc220491490 \h </w:instrText>
            </w:r>
            <w:r>
              <w:rPr>
                <w:noProof/>
                <w:webHidden/>
              </w:rPr>
            </w:r>
            <w:r>
              <w:rPr>
                <w:noProof/>
                <w:webHidden/>
              </w:rPr>
              <w:fldChar w:fldCharType="separate"/>
            </w:r>
            <w:r>
              <w:rPr>
                <w:noProof/>
                <w:webHidden/>
              </w:rPr>
              <w:t>759</w:t>
            </w:r>
            <w:r>
              <w:rPr>
                <w:noProof/>
                <w:webHidden/>
              </w:rPr>
              <w:fldChar w:fldCharType="end"/>
            </w:r>
          </w:hyperlink>
        </w:p>
        <w:p w14:paraId="50C9291E" w14:textId="4C7C031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91" w:history="1">
            <w:r w:rsidRPr="001D4C20">
              <w:rPr>
                <w:rStyle w:val="Lienhypertexte"/>
                <w:noProof/>
              </w:rPr>
              <w:t>55.66.2e Menuiserie appliquée sur des murs - Moulures / Cache luminaire, en matériaux mixtes CCTB 01.02</w:t>
            </w:r>
            <w:r>
              <w:rPr>
                <w:noProof/>
                <w:webHidden/>
              </w:rPr>
              <w:tab/>
            </w:r>
            <w:r>
              <w:rPr>
                <w:noProof/>
                <w:webHidden/>
              </w:rPr>
              <w:fldChar w:fldCharType="begin"/>
            </w:r>
            <w:r>
              <w:rPr>
                <w:noProof/>
                <w:webHidden/>
              </w:rPr>
              <w:instrText xml:space="preserve"> PAGEREF _Toc220491491 \h </w:instrText>
            </w:r>
            <w:r>
              <w:rPr>
                <w:noProof/>
                <w:webHidden/>
              </w:rPr>
            </w:r>
            <w:r>
              <w:rPr>
                <w:noProof/>
                <w:webHidden/>
              </w:rPr>
              <w:fldChar w:fldCharType="separate"/>
            </w:r>
            <w:r>
              <w:rPr>
                <w:noProof/>
                <w:webHidden/>
              </w:rPr>
              <w:t>759</w:t>
            </w:r>
            <w:r>
              <w:rPr>
                <w:noProof/>
                <w:webHidden/>
              </w:rPr>
              <w:fldChar w:fldCharType="end"/>
            </w:r>
          </w:hyperlink>
        </w:p>
        <w:p w14:paraId="503B4947" w14:textId="610C3E6D"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92" w:history="1">
            <w:r w:rsidRPr="001D4C20">
              <w:rPr>
                <w:rStyle w:val="Lienhypertexte"/>
                <w:noProof/>
              </w:rPr>
              <w:t>55.66.3 Menuiserie appliquée sur des murs - Panneaux signalétiques CCTB 01.02</w:t>
            </w:r>
            <w:r>
              <w:rPr>
                <w:noProof/>
                <w:webHidden/>
              </w:rPr>
              <w:tab/>
            </w:r>
            <w:r>
              <w:rPr>
                <w:noProof/>
                <w:webHidden/>
              </w:rPr>
              <w:fldChar w:fldCharType="begin"/>
            </w:r>
            <w:r>
              <w:rPr>
                <w:noProof/>
                <w:webHidden/>
              </w:rPr>
              <w:instrText xml:space="preserve"> PAGEREF _Toc220491492 \h </w:instrText>
            </w:r>
            <w:r>
              <w:rPr>
                <w:noProof/>
                <w:webHidden/>
              </w:rPr>
            </w:r>
            <w:r>
              <w:rPr>
                <w:noProof/>
                <w:webHidden/>
              </w:rPr>
              <w:fldChar w:fldCharType="separate"/>
            </w:r>
            <w:r>
              <w:rPr>
                <w:noProof/>
                <w:webHidden/>
              </w:rPr>
              <w:t>759</w:t>
            </w:r>
            <w:r>
              <w:rPr>
                <w:noProof/>
                <w:webHidden/>
              </w:rPr>
              <w:fldChar w:fldCharType="end"/>
            </w:r>
          </w:hyperlink>
        </w:p>
        <w:p w14:paraId="0D76F96B" w14:textId="4C3BEB8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93" w:history="1">
            <w:r w:rsidRPr="001D4C20">
              <w:rPr>
                <w:rStyle w:val="Lienhypertexte"/>
                <w:noProof/>
              </w:rPr>
              <w:t>55.66.3a Menuiserie appliquée sur des murs - Panneaux signalétiques CCTB 01.02</w:t>
            </w:r>
            <w:r>
              <w:rPr>
                <w:noProof/>
                <w:webHidden/>
              </w:rPr>
              <w:tab/>
            </w:r>
            <w:r>
              <w:rPr>
                <w:noProof/>
                <w:webHidden/>
              </w:rPr>
              <w:fldChar w:fldCharType="begin"/>
            </w:r>
            <w:r>
              <w:rPr>
                <w:noProof/>
                <w:webHidden/>
              </w:rPr>
              <w:instrText xml:space="preserve"> PAGEREF _Toc220491493 \h </w:instrText>
            </w:r>
            <w:r>
              <w:rPr>
                <w:noProof/>
                <w:webHidden/>
              </w:rPr>
            </w:r>
            <w:r>
              <w:rPr>
                <w:noProof/>
                <w:webHidden/>
              </w:rPr>
              <w:fldChar w:fldCharType="separate"/>
            </w:r>
            <w:r>
              <w:rPr>
                <w:noProof/>
                <w:webHidden/>
              </w:rPr>
              <w:t>759</w:t>
            </w:r>
            <w:r>
              <w:rPr>
                <w:noProof/>
                <w:webHidden/>
              </w:rPr>
              <w:fldChar w:fldCharType="end"/>
            </w:r>
          </w:hyperlink>
        </w:p>
        <w:p w14:paraId="284B426F" w14:textId="305B31D0"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494" w:history="1">
            <w:r w:rsidRPr="001D4C20">
              <w:rPr>
                <w:rStyle w:val="Lienhypertexte"/>
                <w:noProof/>
              </w:rPr>
              <w:t>55.67 Caissons CCTB 01.02</w:t>
            </w:r>
            <w:r>
              <w:rPr>
                <w:noProof/>
                <w:webHidden/>
              </w:rPr>
              <w:tab/>
            </w:r>
            <w:r>
              <w:rPr>
                <w:noProof/>
                <w:webHidden/>
              </w:rPr>
              <w:fldChar w:fldCharType="begin"/>
            </w:r>
            <w:r>
              <w:rPr>
                <w:noProof/>
                <w:webHidden/>
              </w:rPr>
              <w:instrText xml:space="preserve"> PAGEREF _Toc220491494 \h </w:instrText>
            </w:r>
            <w:r>
              <w:rPr>
                <w:noProof/>
                <w:webHidden/>
              </w:rPr>
            </w:r>
            <w:r>
              <w:rPr>
                <w:noProof/>
                <w:webHidden/>
              </w:rPr>
              <w:fldChar w:fldCharType="separate"/>
            </w:r>
            <w:r>
              <w:rPr>
                <w:noProof/>
                <w:webHidden/>
              </w:rPr>
              <w:t>759</w:t>
            </w:r>
            <w:r>
              <w:rPr>
                <w:noProof/>
                <w:webHidden/>
              </w:rPr>
              <w:fldChar w:fldCharType="end"/>
            </w:r>
          </w:hyperlink>
        </w:p>
        <w:p w14:paraId="6A405784" w14:textId="5AB5E11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95" w:history="1">
            <w:r w:rsidRPr="001D4C20">
              <w:rPr>
                <w:rStyle w:val="Lienhypertexte"/>
                <w:noProof/>
              </w:rPr>
              <w:t>55.67.1 Caisson décoratif CCTB 01.02</w:t>
            </w:r>
            <w:r>
              <w:rPr>
                <w:noProof/>
                <w:webHidden/>
              </w:rPr>
              <w:tab/>
            </w:r>
            <w:r>
              <w:rPr>
                <w:noProof/>
                <w:webHidden/>
              </w:rPr>
              <w:fldChar w:fldCharType="begin"/>
            </w:r>
            <w:r>
              <w:rPr>
                <w:noProof/>
                <w:webHidden/>
              </w:rPr>
              <w:instrText xml:space="preserve"> PAGEREF _Toc220491495 \h </w:instrText>
            </w:r>
            <w:r>
              <w:rPr>
                <w:noProof/>
                <w:webHidden/>
              </w:rPr>
            </w:r>
            <w:r>
              <w:rPr>
                <w:noProof/>
                <w:webHidden/>
              </w:rPr>
              <w:fldChar w:fldCharType="separate"/>
            </w:r>
            <w:r>
              <w:rPr>
                <w:noProof/>
                <w:webHidden/>
              </w:rPr>
              <w:t>759</w:t>
            </w:r>
            <w:r>
              <w:rPr>
                <w:noProof/>
                <w:webHidden/>
              </w:rPr>
              <w:fldChar w:fldCharType="end"/>
            </w:r>
          </w:hyperlink>
        </w:p>
        <w:p w14:paraId="416A4FD3" w14:textId="24A38D2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96" w:history="1">
            <w:r w:rsidRPr="001D4C20">
              <w:rPr>
                <w:rStyle w:val="Lienhypertexte"/>
                <w:noProof/>
              </w:rPr>
              <w:t>55.67.1a Caisson décoratif CCTB 01.02</w:t>
            </w:r>
            <w:r>
              <w:rPr>
                <w:noProof/>
                <w:webHidden/>
              </w:rPr>
              <w:tab/>
            </w:r>
            <w:r>
              <w:rPr>
                <w:noProof/>
                <w:webHidden/>
              </w:rPr>
              <w:fldChar w:fldCharType="begin"/>
            </w:r>
            <w:r>
              <w:rPr>
                <w:noProof/>
                <w:webHidden/>
              </w:rPr>
              <w:instrText xml:space="preserve"> PAGEREF _Toc220491496 \h </w:instrText>
            </w:r>
            <w:r>
              <w:rPr>
                <w:noProof/>
                <w:webHidden/>
              </w:rPr>
            </w:r>
            <w:r>
              <w:rPr>
                <w:noProof/>
                <w:webHidden/>
              </w:rPr>
              <w:fldChar w:fldCharType="separate"/>
            </w:r>
            <w:r>
              <w:rPr>
                <w:noProof/>
                <w:webHidden/>
              </w:rPr>
              <w:t>759</w:t>
            </w:r>
            <w:r>
              <w:rPr>
                <w:noProof/>
                <w:webHidden/>
              </w:rPr>
              <w:fldChar w:fldCharType="end"/>
            </w:r>
          </w:hyperlink>
        </w:p>
        <w:p w14:paraId="26852892" w14:textId="5DE5F444"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97" w:history="1">
            <w:r w:rsidRPr="001D4C20">
              <w:rPr>
                <w:rStyle w:val="Lienhypertexte"/>
                <w:noProof/>
              </w:rPr>
              <w:t>55.67.2 Caisson à volets CCTB 01.02</w:t>
            </w:r>
            <w:r>
              <w:rPr>
                <w:noProof/>
                <w:webHidden/>
              </w:rPr>
              <w:tab/>
            </w:r>
            <w:r>
              <w:rPr>
                <w:noProof/>
                <w:webHidden/>
              </w:rPr>
              <w:fldChar w:fldCharType="begin"/>
            </w:r>
            <w:r>
              <w:rPr>
                <w:noProof/>
                <w:webHidden/>
              </w:rPr>
              <w:instrText xml:space="preserve"> PAGEREF _Toc220491497 \h </w:instrText>
            </w:r>
            <w:r>
              <w:rPr>
                <w:noProof/>
                <w:webHidden/>
              </w:rPr>
            </w:r>
            <w:r>
              <w:rPr>
                <w:noProof/>
                <w:webHidden/>
              </w:rPr>
              <w:fldChar w:fldCharType="separate"/>
            </w:r>
            <w:r>
              <w:rPr>
                <w:noProof/>
                <w:webHidden/>
              </w:rPr>
              <w:t>759</w:t>
            </w:r>
            <w:r>
              <w:rPr>
                <w:noProof/>
                <w:webHidden/>
              </w:rPr>
              <w:fldChar w:fldCharType="end"/>
            </w:r>
          </w:hyperlink>
        </w:p>
        <w:p w14:paraId="5D72377D" w14:textId="680063E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98" w:history="1">
            <w:r w:rsidRPr="001D4C20">
              <w:rPr>
                <w:rStyle w:val="Lienhypertexte"/>
                <w:noProof/>
              </w:rPr>
              <w:t>55.67.2a Caisson à volets CCTB 01.02</w:t>
            </w:r>
            <w:r>
              <w:rPr>
                <w:noProof/>
                <w:webHidden/>
              </w:rPr>
              <w:tab/>
            </w:r>
            <w:r>
              <w:rPr>
                <w:noProof/>
                <w:webHidden/>
              </w:rPr>
              <w:fldChar w:fldCharType="begin"/>
            </w:r>
            <w:r>
              <w:rPr>
                <w:noProof/>
                <w:webHidden/>
              </w:rPr>
              <w:instrText xml:space="preserve"> PAGEREF _Toc220491498 \h </w:instrText>
            </w:r>
            <w:r>
              <w:rPr>
                <w:noProof/>
                <w:webHidden/>
              </w:rPr>
            </w:r>
            <w:r>
              <w:rPr>
                <w:noProof/>
                <w:webHidden/>
              </w:rPr>
              <w:fldChar w:fldCharType="separate"/>
            </w:r>
            <w:r>
              <w:rPr>
                <w:noProof/>
                <w:webHidden/>
              </w:rPr>
              <w:t>759</w:t>
            </w:r>
            <w:r>
              <w:rPr>
                <w:noProof/>
                <w:webHidden/>
              </w:rPr>
              <w:fldChar w:fldCharType="end"/>
            </w:r>
          </w:hyperlink>
        </w:p>
        <w:p w14:paraId="01C79712" w14:textId="7A737025"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99" w:history="1">
            <w:r w:rsidRPr="001D4C20">
              <w:rPr>
                <w:rStyle w:val="Lienhypertexte"/>
                <w:noProof/>
              </w:rPr>
              <w:t>55.67.3 Caisson de système de ventilation ou de chauffage CCTB 01.02</w:t>
            </w:r>
            <w:r>
              <w:rPr>
                <w:noProof/>
                <w:webHidden/>
              </w:rPr>
              <w:tab/>
            </w:r>
            <w:r>
              <w:rPr>
                <w:noProof/>
                <w:webHidden/>
              </w:rPr>
              <w:fldChar w:fldCharType="begin"/>
            </w:r>
            <w:r>
              <w:rPr>
                <w:noProof/>
                <w:webHidden/>
              </w:rPr>
              <w:instrText xml:space="preserve"> PAGEREF _Toc220491499 \h </w:instrText>
            </w:r>
            <w:r>
              <w:rPr>
                <w:noProof/>
                <w:webHidden/>
              </w:rPr>
            </w:r>
            <w:r>
              <w:rPr>
                <w:noProof/>
                <w:webHidden/>
              </w:rPr>
              <w:fldChar w:fldCharType="separate"/>
            </w:r>
            <w:r>
              <w:rPr>
                <w:noProof/>
                <w:webHidden/>
              </w:rPr>
              <w:t>759</w:t>
            </w:r>
            <w:r>
              <w:rPr>
                <w:noProof/>
                <w:webHidden/>
              </w:rPr>
              <w:fldChar w:fldCharType="end"/>
            </w:r>
          </w:hyperlink>
        </w:p>
        <w:p w14:paraId="60FB4D27" w14:textId="20A5F16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00" w:history="1">
            <w:r w:rsidRPr="001D4C20">
              <w:rPr>
                <w:rStyle w:val="Lienhypertexte"/>
                <w:noProof/>
              </w:rPr>
              <w:t>55.67.3a Caisson de système de ventilation ou de chauffage CCTB 01.02</w:t>
            </w:r>
            <w:r>
              <w:rPr>
                <w:noProof/>
                <w:webHidden/>
              </w:rPr>
              <w:tab/>
            </w:r>
            <w:r>
              <w:rPr>
                <w:noProof/>
                <w:webHidden/>
              </w:rPr>
              <w:fldChar w:fldCharType="begin"/>
            </w:r>
            <w:r>
              <w:rPr>
                <w:noProof/>
                <w:webHidden/>
              </w:rPr>
              <w:instrText xml:space="preserve"> PAGEREF _Toc220491500 \h </w:instrText>
            </w:r>
            <w:r>
              <w:rPr>
                <w:noProof/>
                <w:webHidden/>
              </w:rPr>
            </w:r>
            <w:r>
              <w:rPr>
                <w:noProof/>
                <w:webHidden/>
              </w:rPr>
              <w:fldChar w:fldCharType="separate"/>
            </w:r>
            <w:r>
              <w:rPr>
                <w:noProof/>
                <w:webHidden/>
              </w:rPr>
              <w:t>759</w:t>
            </w:r>
            <w:r>
              <w:rPr>
                <w:noProof/>
                <w:webHidden/>
              </w:rPr>
              <w:fldChar w:fldCharType="end"/>
            </w:r>
          </w:hyperlink>
        </w:p>
        <w:p w14:paraId="23CBB32E" w14:textId="75AD464F"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01" w:history="1">
            <w:r w:rsidRPr="001D4C20">
              <w:rPr>
                <w:rStyle w:val="Lienhypertexte"/>
                <w:noProof/>
              </w:rPr>
              <w:t>55.67.4 Caisson à rideaux CCTB 01.11</w:t>
            </w:r>
            <w:r>
              <w:rPr>
                <w:noProof/>
                <w:webHidden/>
              </w:rPr>
              <w:tab/>
            </w:r>
            <w:r>
              <w:rPr>
                <w:noProof/>
                <w:webHidden/>
              </w:rPr>
              <w:fldChar w:fldCharType="begin"/>
            </w:r>
            <w:r>
              <w:rPr>
                <w:noProof/>
                <w:webHidden/>
              </w:rPr>
              <w:instrText xml:space="preserve"> PAGEREF _Toc220491501 \h </w:instrText>
            </w:r>
            <w:r>
              <w:rPr>
                <w:noProof/>
                <w:webHidden/>
              </w:rPr>
            </w:r>
            <w:r>
              <w:rPr>
                <w:noProof/>
                <w:webHidden/>
              </w:rPr>
              <w:fldChar w:fldCharType="separate"/>
            </w:r>
            <w:r>
              <w:rPr>
                <w:noProof/>
                <w:webHidden/>
              </w:rPr>
              <w:t>759</w:t>
            </w:r>
            <w:r>
              <w:rPr>
                <w:noProof/>
                <w:webHidden/>
              </w:rPr>
              <w:fldChar w:fldCharType="end"/>
            </w:r>
          </w:hyperlink>
        </w:p>
        <w:p w14:paraId="58A5A64E" w14:textId="2EE4016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02" w:history="1">
            <w:r w:rsidRPr="001D4C20">
              <w:rPr>
                <w:rStyle w:val="Lienhypertexte"/>
                <w:noProof/>
              </w:rPr>
              <w:t>55.67.4a Caisson à rideaux en bois CCTB 01.10</w:t>
            </w:r>
            <w:r>
              <w:rPr>
                <w:noProof/>
                <w:webHidden/>
              </w:rPr>
              <w:tab/>
            </w:r>
            <w:r>
              <w:rPr>
                <w:noProof/>
                <w:webHidden/>
              </w:rPr>
              <w:fldChar w:fldCharType="begin"/>
            </w:r>
            <w:r>
              <w:rPr>
                <w:noProof/>
                <w:webHidden/>
              </w:rPr>
              <w:instrText xml:space="preserve"> PAGEREF _Toc220491502 \h </w:instrText>
            </w:r>
            <w:r>
              <w:rPr>
                <w:noProof/>
                <w:webHidden/>
              </w:rPr>
            </w:r>
            <w:r>
              <w:rPr>
                <w:noProof/>
                <w:webHidden/>
              </w:rPr>
              <w:fldChar w:fldCharType="separate"/>
            </w:r>
            <w:r>
              <w:rPr>
                <w:noProof/>
                <w:webHidden/>
              </w:rPr>
              <w:t>761</w:t>
            </w:r>
            <w:r>
              <w:rPr>
                <w:noProof/>
                <w:webHidden/>
              </w:rPr>
              <w:fldChar w:fldCharType="end"/>
            </w:r>
          </w:hyperlink>
        </w:p>
        <w:p w14:paraId="65E9D9D2" w14:textId="7BA45F8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03" w:history="1">
            <w:r w:rsidRPr="001D4C20">
              <w:rPr>
                <w:rStyle w:val="Lienhypertexte"/>
                <w:noProof/>
              </w:rPr>
              <w:t>55.67.4b Caisson à rideaux en matière synthétique CCTB 01.02</w:t>
            </w:r>
            <w:r>
              <w:rPr>
                <w:noProof/>
                <w:webHidden/>
              </w:rPr>
              <w:tab/>
            </w:r>
            <w:r>
              <w:rPr>
                <w:noProof/>
                <w:webHidden/>
              </w:rPr>
              <w:fldChar w:fldCharType="begin"/>
            </w:r>
            <w:r>
              <w:rPr>
                <w:noProof/>
                <w:webHidden/>
              </w:rPr>
              <w:instrText xml:space="preserve"> PAGEREF _Toc220491503 \h </w:instrText>
            </w:r>
            <w:r>
              <w:rPr>
                <w:noProof/>
                <w:webHidden/>
              </w:rPr>
            </w:r>
            <w:r>
              <w:rPr>
                <w:noProof/>
                <w:webHidden/>
              </w:rPr>
              <w:fldChar w:fldCharType="separate"/>
            </w:r>
            <w:r>
              <w:rPr>
                <w:noProof/>
                <w:webHidden/>
              </w:rPr>
              <w:t>762</w:t>
            </w:r>
            <w:r>
              <w:rPr>
                <w:noProof/>
                <w:webHidden/>
              </w:rPr>
              <w:fldChar w:fldCharType="end"/>
            </w:r>
          </w:hyperlink>
        </w:p>
        <w:p w14:paraId="5756452C" w14:textId="5CC7B43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04" w:history="1">
            <w:r w:rsidRPr="001D4C20">
              <w:rPr>
                <w:rStyle w:val="Lienhypertexte"/>
                <w:noProof/>
              </w:rPr>
              <w:t>55.67.4c Caisson à rideaux (autres) CCTB 01.02</w:t>
            </w:r>
            <w:r>
              <w:rPr>
                <w:noProof/>
                <w:webHidden/>
              </w:rPr>
              <w:tab/>
            </w:r>
            <w:r>
              <w:rPr>
                <w:noProof/>
                <w:webHidden/>
              </w:rPr>
              <w:fldChar w:fldCharType="begin"/>
            </w:r>
            <w:r>
              <w:rPr>
                <w:noProof/>
                <w:webHidden/>
              </w:rPr>
              <w:instrText xml:space="preserve"> PAGEREF _Toc220491504 \h </w:instrText>
            </w:r>
            <w:r>
              <w:rPr>
                <w:noProof/>
                <w:webHidden/>
              </w:rPr>
            </w:r>
            <w:r>
              <w:rPr>
                <w:noProof/>
                <w:webHidden/>
              </w:rPr>
              <w:fldChar w:fldCharType="separate"/>
            </w:r>
            <w:r>
              <w:rPr>
                <w:noProof/>
                <w:webHidden/>
              </w:rPr>
              <w:t>762</w:t>
            </w:r>
            <w:r>
              <w:rPr>
                <w:noProof/>
                <w:webHidden/>
              </w:rPr>
              <w:fldChar w:fldCharType="end"/>
            </w:r>
          </w:hyperlink>
        </w:p>
        <w:p w14:paraId="23A89ACD" w14:textId="28743304"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05" w:history="1">
            <w:r w:rsidRPr="001D4C20">
              <w:rPr>
                <w:rStyle w:val="Lienhypertexte"/>
                <w:noProof/>
              </w:rPr>
              <w:t>55.68 Ouvertures de transfert d'air CCTB 01.11</w:t>
            </w:r>
            <w:r>
              <w:rPr>
                <w:noProof/>
                <w:webHidden/>
              </w:rPr>
              <w:tab/>
            </w:r>
            <w:r>
              <w:rPr>
                <w:noProof/>
                <w:webHidden/>
              </w:rPr>
              <w:fldChar w:fldCharType="begin"/>
            </w:r>
            <w:r>
              <w:rPr>
                <w:noProof/>
                <w:webHidden/>
              </w:rPr>
              <w:instrText xml:space="preserve"> PAGEREF _Toc220491505 \h </w:instrText>
            </w:r>
            <w:r>
              <w:rPr>
                <w:noProof/>
                <w:webHidden/>
              </w:rPr>
            </w:r>
            <w:r>
              <w:rPr>
                <w:noProof/>
                <w:webHidden/>
              </w:rPr>
              <w:fldChar w:fldCharType="separate"/>
            </w:r>
            <w:r>
              <w:rPr>
                <w:noProof/>
                <w:webHidden/>
              </w:rPr>
              <w:t>762</w:t>
            </w:r>
            <w:r>
              <w:rPr>
                <w:noProof/>
                <w:webHidden/>
              </w:rPr>
              <w:fldChar w:fldCharType="end"/>
            </w:r>
          </w:hyperlink>
        </w:p>
        <w:p w14:paraId="164780F1" w14:textId="0275200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06" w:history="1">
            <w:r w:rsidRPr="001D4C20">
              <w:rPr>
                <w:rStyle w:val="Lienhypertexte"/>
                <w:noProof/>
              </w:rPr>
              <w:t>55.68.1 Grilles de transfert dans les portes CCTB 01.02</w:t>
            </w:r>
            <w:r>
              <w:rPr>
                <w:noProof/>
                <w:webHidden/>
              </w:rPr>
              <w:tab/>
            </w:r>
            <w:r>
              <w:rPr>
                <w:noProof/>
                <w:webHidden/>
              </w:rPr>
              <w:fldChar w:fldCharType="begin"/>
            </w:r>
            <w:r>
              <w:rPr>
                <w:noProof/>
                <w:webHidden/>
              </w:rPr>
              <w:instrText xml:space="preserve"> PAGEREF _Toc220491506 \h </w:instrText>
            </w:r>
            <w:r>
              <w:rPr>
                <w:noProof/>
                <w:webHidden/>
              </w:rPr>
            </w:r>
            <w:r>
              <w:rPr>
                <w:noProof/>
                <w:webHidden/>
              </w:rPr>
              <w:fldChar w:fldCharType="separate"/>
            </w:r>
            <w:r>
              <w:rPr>
                <w:noProof/>
                <w:webHidden/>
              </w:rPr>
              <w:t>763</w:t>
            </w:r>
            <w:r>
              <w:rPr>
                <w:noProof/>
                <w:webHidden/>
              </w:rPr>
              <w:fldChar w:fldCharType="end"/>
            </w:r>
          </w:hyperlink>
        </w:p>
        <w:p w14:paraId="502A688E" w14:textId="483DD41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07" w:history="1">
            <w:r w:rsidRPr="001D4C20">
              <w:rPr>
                <w:rStyle w:val="Lienhypertexte"/>
                <w:noProof/>
              </w:rPr>
              <w:t>55.68.1a Grilles de transfert dans les portes CCTB 01.10</w:t>
            </w:r>
            <w:r>
              <w:rPr>
                <w:noProof/>
                <w:webHidden/>
              </w:rPr>
              <w:tab/>
            </w:r>
            <w:r>
              <w:rPr>
                <w:noProof/>
                <w:webHidden/>
              </w:rPr>
              <w:fldChar w:fldCharType="begin"/>
            </w:r>
            <w:r>
              <w:rPr>
                <w:noProof/>
                <w:webHidden/>
              </w:rPr>
              <w:instrText xml:space="preserve"> PAGEREF _Toc220491507 \h </w:instrText>
            </w:r>
            <w:r>
              <w:rPr>
                <w:noProof/>
                <w:webHidden/>
              </w:rPr>
            </w:r>
            <w:r>
              <w:rPr>
                <w:noProof/>
                <w:webHidden/>
              </w:rPr>
              <w:fldChar w:fldCharType="separate"/>
            </w:r>
            <w:r>
              <w:rPr>
                <w:noProof/>
                <w:webHidden/>
              </w:rPr>
              <w:t>763</w:t>
            </w:r>
            <w:r>
              <w:rPr>
                <w:noProof/>
                <w:webHidden/>
              </w:rPr>
              <w:fldChar w:fldCharType="end"/>
            </w:r>
          </w:hyperlink>
        </w:p>
        <w:p w14:paraId="05F9E29C" w14:textId="0DC0AE65"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08" w:history="1">
            <w:r w:rsidRPr="001D4C20">
              <w:rPr>
                <w:rStyle w:val="Lienhypertexte"/>
                <w:noProof/>
              </w:rPr>
              <w:t>55.68.2 Grilles de transfert dans les parois CCTB 01.02</w:t>
            </w:r>
            <w:r>
              <w:rPr>
                <w:noProof/>
                <w:webHidden/>
              </w:rPr>
              <w:tab/>
            </w:r>
            <w:r>
              <w:rPr>
                <w:noProof/>
                <w:webHidden/>
              </w:rPr>
              <w:fldChar w:fldCharType="begin"/>
            </w:r>
            <w:r>
              <w:rPr>
                <w:noProof/>
                <w:webHidden/>
              </w:rPr>
              <w:instrText xml:space="preserve"> PAGEREF _Toc220491508 \h </w:instrText>
            </w:r>
            <w:r>
              <w:rPr>
                <w:noProof/>
                <w:webHidden/>
              </w:rPr>
            </w:r>
            <w:r>
              <w:rPr>
                <w:noProof/>
                <w:webHidden/>
              </w:rPr>
              <w:fldChar w:fldCharType="separate"/>
            </w:r>
            <w:r>
              <w:rPr>
                <w:noProof/>
                <w:webHidden/>
              </w:rPr>
              <w:t>763</w:t>
            </w:r>
            <w:r>
              <w:rPr>
                <w:noProof/>
                <w:webHidden/>
              </w:rPr>
              <w:fldChar w:fldCharType="end"/>
            </w:r>
          </w:hyperlink>
        </w:p>
        <w:p w14:paraId="5E773809" w14:textId="76DD665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09" w:history="1">
            <w:r w:rsidRPr="001D4C20">
              <w:rPr>
                <w:rStyle w:val="Lienhypertexte"/>
                <w:noProof/>
              </w:rPr>
              <w:t>55.68.2a Grilles de transfert dans les parois CCTB 01.10</w:t>
            </w:r>
            <w:r>
              <w:rPr>
                <w:noProof/>
                <w:webHidden/>
              </w:rPr>
              <w:tab/>
            </w:r>
            <w:r>
              <w:rPr>
                <w:noProof/>
                <w:webHidden/>
              </w:rPr>
              <w:fldChar w:fldCharType="begin"/>
            </w:r>
            <w:r>
              <w:rPr>
                <w:noProof/>
                <w:webHidden/>
              </w:rPr>
              <w:instrText xml:space="preserve"> PAGEREF _Toc220491509 \h </w:instrText>
            </w:r>
            <w:r>
              <w:rPr>
                <w:noProof/>
                <w:webHidden/>
              </w:rPr>
            </w:r>
            <w:r>
              <w:rPr>
                <w:noProof/>
                <w:webHidden/>
              </w:rPr>
              <w:fldChar w:fldCharType="separate"/>
            </w:r>
            <w:r>
              <w:rPr>
                <w:noProof/>
                <w:webHidden/>
              </w:rPr>
              <w:t>763</w:t>
            </w:r>
            <w:r>
              <w:rPr>
                <w:noProof/>
                <w:webHidden/>
              </w:rPr>
              <w:fldChar w:fldCharType="end"/>
            </w:r>
          </w:hyperlink>
        </w:p>
        <w:p w14:paraId="1EADA868" w14:textId="235387BA"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10" w:history="1">
            <w:r w:rsidRPr="001D4C20">
              <w:rPr>
                <w:rStyle w:val="Lienhypertexte"/>
                <w:noProof/>
              </w:rPr>
              <w:t>55.68.3 Détalonnage des portes CCTB 01.02</w:t>
            </w:r>
            <w:r>
              <w:rPr>
                <w:noProof/>
                <w:webHidden/>
              </w:rPr>
              <w:tab/>
            </w:r>
            <w:r>
              <w:rPr>
                <w:noProof/>
                <w:webHidden/>
              </w:rPr>
              <w:fldChar w:fldCharType="begin"/>
            </w:r>
            <w:r>
              <w:rPr>
                <w:noProof/>
                <w:webHidden/>
              </w:rPr>
              <w:instrText xml:space="preserve"> PAGEREF _Toc220491510 \h </w:instrText>
            </w:r>
            <w:r>
              <w:rPr>
                <w:noProof/>
                <w:webHidden/>
              </w:rPr>
            </w:r>
            <w:r>
              <w:rPr>
                <w:noProof/>
                <w:webHidden/>
              </w:rPr>
              <w:fldChar w:fldCharType="separate"/>
            </w:r>
            <w:r>
              <w:rPr>
                <w:noProof/>
                <w:webHidden/>
              </w:rPr>
              <w:t>764</w:t>
            </w:r>
            <w:r>
              <w:rPr>
                <w:noProof/>
                <w:webHidden/>
              </w:rPr>
              <w:fldChar w:fldCharType="end"/>
            </w:r>
          </w:hyperlink>
        </w:p>
        <w:p w14:paraId="07227048" w14:textId="2079118A"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511" w:history="1">
            <w:r w:rsidRPr="001D4C20">
              <w:rPr>
                <w:rStyle w:val="Lienhypertexte"/>
                <w:noProof/>
              </w:rPr>
              <w:t>55.7 - CCTB 01.02</w:t>
            </w:r>
            <w:r>
              <w:rPr>
                <w:noProof/>
                <w:webHidden/>
              </w:rPr>
              <w:tab/>
            </w:r>
            <w:r>
              <w:rPr>
                <w:noProof/>
                <w:webHidden/>
              </w:rPr>
              <w:fldChar w:fldCharType="begin"/>
            </w:r>
            <w:r>
              <w:rPr>
                <w:noProof/>
                <w:webHidden/>
              </w:rPr>
              <w:instrText xml:space="preserve"> PAGEREF _Toc220491511 \h </w:instrText>
            </w:r>
            <w:r>
              <w:rPr>
                <w:noProof/>
                <w:webHidden/>
              </w:rPr>
            </w:r>
            <w:r>
              <w:rPr>
                <w:noProof/>
                <w:webHidden/>
              </w:rPr>
              <w:fldChar w:fldCharType="separate"/>
            </w:r>
            <w:r>
              <w:rPr>
                <w:noProof/>
                <w:webHidden/>
              </w:rPr>
              <w:t>764</w:t>
            </w:r>
            <w:r>
              <w:rPr>
                <w:noProof/>
                <w:webHidden/>
              </w:rPr>
              <w:fldChar w:fldCharType="end"/>
            </w:r>
          </w:hyperlink>
        </w:p>
        <w:p w14:paraId="4F3A2D1B" w14:textId="7DE07ED4"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512" w:history="1">
            <w:r w:rsidRPr="001D4C20">
              <w:rPr>
                <w:rStyle w:val="Lienhypertexte"/>
                <w:noProof/>
              </w:rPr>
              <w:t>55.8 Menuiseries intérieures - Rénovation CCTB 01.13</w:t>
            </w:r>
            <w:r>
              <w:rPr>
                <w:noProof/>
                <w:webHidden/>
              </w:rPr>
              <w:tab/>
            </w:r>
            <w:r>
              <w:rPr>
                <w:noProof/>
                <w:webHidden/>
              </w:rPr>
              <w:fldChar w:fldCharType="begin"/>
            </w:r>
            <w:r>
              <w:rPr>
                <w:noProof/>
                <w:webHidden/>
              </w:rPr>
              <w:instrText xml:space="preserve"> PAGEREF _Toc220491512 \h </w:instrText>
            </w:r>
            <w:r>
              <w:rPr>
                <w:noProof/>
                <w:webHidden/>
              </w:rPr>
            </w:r>
            <w:r>
              <w:rPr>
                <w:noProof/>
                <w:webHidden/>
              </w:rPr>
              <w:fldChar w:fldCharType="separate"/>
            </w:r>
            <w:r>
              <w:rPr>
                <w:noProof/>
                <w:webHidden/>
              </w:rPr>
              <w:t>764</w:t>
            </w:r>
            <w:r>
              <w:rPr>
                <w:noProof/>
                <w:webHidden/>
              </w:rPr>
              <w:fldChar w:fldCharType="end"/>
            </w:r>
          </w:hyperlink>
        </w:p>
        <w:p w14:paraId="05E1526F" w14:textId="310875E3" w:rsidR="000F4169" w:rsidRDefault="000F4169">
          <w:pPr>
            <w:pStyle w:val="TM2"/>
            <w:tabs>
              <w:tab w:val="right" w:leader="dot" w:pos="9016"/>
            </w:tabs>
            <w:rPr>
              <w:rFonts w:asciiTheme="minorHAnsi" w:eastAsiaTheme="minorEastAsia" w:hAnsiTheme="minorHAnsi" w:cstheme="minorBidi"/>
              <w:noProof/>
              <w:kern w:val="2"/>
              <w:sz w:val="24"/>
              <w:szCs w:val="24"/>
              <w14:ligatures w14:val="standardContextual"/>
            </w:rPr>
          </w:pPr>
          <w:hyperlink w:anchor="_Toc220491513" w:history="1">
            <w:r w:rsidRPr="001D4C20">
              <w:rPr>
                <w:rStyle w:val="Lienhypertexte"/>
                <w:noProof/>
              </w:rPr>
              <w:t>56 Vitrage intérieur &amp; éléments de remplissage CCTB 01.10</w:t>
            </w:r>
            <w:r>
              <w:rPr>
                <w:noProof/>
                <w:webHidden/>
              </w:rPr>
              <w:tab/>
            </w:r>
            <w:r>
              <w:rPr>
                <w:noProof/>
                <w:webHidden/>
              </w:rPr>
              <w:fldChar w:fldCharType="begin"/>
            </w:r>
            <w:r>
              <w:rPr>
                <w:noProof/>
                <w:webHidden/>
              </w:rPr>
              <w:instrText xml:space="preserve"> PAGEREF _Toc220491513 \h </w:instrText>
            </w:r>
            <w:r>
              <w:rPr>
                <w:noProof/>
                <w:webHidden/>
              </w:rPr>
            </w:r>
            <w:r>
              <w:rPr>
                <w:noProof/>
                <w:webHidden/>
              </w:rPr>
              <w:fldChar w:fldCharType="separate"/>
            </w:r>
            <w:r>
              <w:rPr>
                <w:noProof/>
                <w:webHidden/>
              </w:rPr>
              <w:t>764</w:t>
            </w:r>
            <w:r>
              <w:rPr>
                <w:noProof/>
                <w:webHidden/>
              </w:rPr>
              <w:fldChar w:fldCharType="end"/>
            </w:r>
          </w:hyperlink>
        </w:p>
        <w:p w14:paraId="302415D6" w14:textId="7663442C"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514" w:history="1">
            <w:r w:rsidRPr="001D4C20">
              <w:rPr>
                <w:rStyle w:val="Lienhypertexte"/>
                <w:noProof/>
              </w:rPr>
              <w:t>56.1 Vitrages simples CCTB 01.10</w:t>
            </w:r>
            <w:r>
              <w:rPr>
                <w:noProof/>
                <w:webHidden/>
              </w:rPr>
              <w:tab/>
            </w:r>
            <w:r>
              <w:rPr>
                <w:noProof/>
                <w:webHidden/>
              </w:rPr>
              <w:fldChar w:fldCharType="begin"/>
            </w:r>
            <w:r>
              <w:rPr>
                <w:noProof/>
                <w:webHidden/>
              </w:rPr>
              <w:instrText xml:space="preserve"> PAGEREF _Toc220491514 \h </w:instrText>
            </w:r>
            <w:r>
              <w:rPr>
                <w:noProof/>
                <w:webHidden/>
              </w:rPr>
            </w:r>
            <w:r>
              <w:rPr>
                <w:noProof/>
                <w:webHidden/>
              </w:rPr>
              <w:fldChar w:fldCharType="separate"/>
            </w:r>
            <w:r>
              <w:rPr>
                <w:noProof/>
                <w:webHidden/>
              </w:rPr>
              <w:t>765</w:t>
            </w:r>
            <w:r>
              <w:rPr>
                <w:noProof/>
                <w:webHidden/>
              </w:rPr>
              <w:fldChar w:fldCharType="end"/>
            </w:r>
          </w:hyperlink>
        </w:p>
        <w:p w14:paraId="73667E58" w14:textId="52318742"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15" w:history="1">
            <w:r w:rsidRPr="001D4C20">
              <w:rPr>
                <w:rStyle w:val="Lienhypertexte"/>
                <w:noProof/>
              </w:rPr>
              <w:t>56.11 Vitrages simples sans fonction sécuritaire CCTB 01.02</w:t>
            </w:r>
            <w:r>
              <w:rPr>
                <w:noProof/>
                <w:webHidden/>
              </w:rPr>
              <w:tab/>
            </w:r>
            <w:r>
              <w:rPr>
                <w:noProof/>
                <w:webHidden/>
              </w:rPr>
              <w:fldChar w:fldCharType="begin"/>
            </w:r>
            <w:r>
              <w:rPr>
                <w:noProof/>
                <w:webHidden/>
              </w:rPr>
              <w:instrText xml:space="preserve"> PAGEREF _Toc220491515 \h </w:instrText>
            </w:r>
            <w:r>
              <w:rPr>
                <w:noProof/>
                <w:webHidden/>
              </w:rPr>
            </w:r>
            <w:r>
              <w:rPr>
                <w:noProof/>
                <w:webHidden/>
              </w:rPr>
              <w:fldChar w:fldCharType="separate"/>
            </w:r>
            <w:r>
              <w:rPr>
                <w:noProof/>
                <w:webHidden/>
              </w:rPr>
              <w:t>766</w:t>
            </w:r>
            <w:r>
              <w:rPr>
                <w:noProof/>
                <w:webHidden/>
              </w:rPr>
              <w:fldChar w:fldCharType="end"/>
            </w:r>
          </w:hyperlink>
        </w:p>
        <w:p w14:paraId="3E09DA60" w14:textId="23A37BC4"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16" w:history="1">
            <w:r w:rsidRPr="001D4C20">
              <w:rPr>
                <w:rStyle w:val="Lienhypertexte"/>
                <w:noProof/>
              </w:rPr>
              <w:t>56.11.1 Vitrages simples ordinaires sans fonction sécuritaire CCTB 01.02</w:t>
            </w:r>
            <w:r>
              <w:rPr>
                <w:noProof/>
                <w:webHidden/>
              </w:rPr>
              <w:tab/>
            </w:r>
            <w:r>
              <w:rPr>
                <w:noProof/>
                <w:webHidden/>
              </w:rPr>
              <w:fldChar w:fldCharType="begin"/>
            </w:r>
            <w:r>
              <w:rPr>
                <w:noProof/>
                <w:webHidden/>
              </w:rPr>
              <w:instrText xml:space="preserve"> PAGEREF _Toc220491516 \h </w:instrText>
            </w:r>
            <w:r>
              <w:rPr>
                <w:noProof/>
                <w:webHidden/>
              </w:rPr>
            </w:r>
            <w:r>
              <w:rPr>
                <w:noProof/>
                <w:webHidden/>
              </w:rPr>
              <w:fldChar w:fldCharType="separate"/>
            </w:r>
            <w:r>
              <w:rPr>
                <w:noProof/>
                <w:webHidden/>
              </w:rPr>
              <w:t>766</w:t>
            </w:r>
            <w:r>
              <w:rPr>
                <w:noProof/>
                <w:webHidden/>
              </w:rPr>
              <w:fldChar w:fldCharType="end"/>
            </w:r>
          </w:hyperlink>
        </w:p>
        <w:p w14:paraId="1B0B57A4" w14:textId="2CAA465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17" w:history="1">
            <w:r w:rsidRPr="001D4C20">
              <w:rPr>
                <w:rStyle w:val="Lienhypertexte"/>
                <w:noProof/>
              </w:rPr>
              <w:t>56.11.1a Vitrages simples floatés (ordinaires) sans fonction sécuritaire CCTB 01.10</w:t>
            </w:r>
            <w:r>
              <w:rPr>
                <w:noProof/>
                <w:webHidden/>
              </w:rPr>
              <w:tab/>
            </w:r>
            <w:r>
              <w:rPr>
                <w:noProof/>
                <w:webHidden/>
              </w:rPr>
              <w:fldChar w:fldCharType="begin"/>
            </w:r>
            <w:r>
              <w:rPr>
                <w:noProof/>
                <w:webHidden/>
              </w:rPr>
              <w:instrText xml:space="preserve"> PAGEREF _Toc220491517 \h </w:instrText>
            </w:r>
            <w:r>
              <w:rPr>
                <w:noProof/>
                <w:webHidden/>
              </w:rPr>
            </w:r>
            <w:r>
              <w:rPr>
                <w:noProof/>
                <w:webHidden/>
              </w:rPr>
              <w:fldChar w:fldCharType="separate"/>
            </w:r>
            <w:r>
              <w:rPr>
                <w:noProof/>
                <w:webHidden/>
              </w:rPr>
              <w:t>766</w:t>
            </w:r>
            <w:r>
              <w:rPr>
                <w:noProof/>
                <w:webHidden/>
              </w:rPr>
              <w:fldChar w:fldCharType="end"/>
            </w:r>
          </w:hyperlink>
        </w:p>
        <w:p w14:paraId="1D2DDBFD" w14:textId="4774AF3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18" w:history="1">
            <w:r w:rsidRPr="001D4C20">
              <w:rPr>
                <w:rStyle w:val="Lienhypertexte"/>
                <w:noProof/>
              </w:rPr>
              <w:t>56.11.1b Vitrages simples durcis sans fonction sécuritaire CCTB 01.02</w:t>
            </w:r>
            <w:r>
              <w:rPr>
                <w:noProof/>
                <w:webHidden/>
              </w:rPr>
              <w:tab/>
            </w:r>
            <w:r>
              <w:rPr>
                <w:noProof/>
                <w:webHidden/>
              </w:rPr>
              <w:fldChar w:fldCharType="begin"/>
            </w:r>
            <w:r>
              <w:rPr>
                <w:noProof/>
                <w:webHidden/>
              </w:rPr>
              <w:instrText xml:space="preserve"> PAGEREF _Toc220491518 \h </w:instrText>
            </w:r>
            <w:r>
              <w:rPr>
                <w:noProof/>
                <w:webHidden/>
              </w:rPr>
            </w:r>
            <w:r>
              <w:rPr>
                <w:noProof/>
                <w:webHidden/>
              </w:rPr>
              <w:fldChar w:fldCharType="separate"/>
            </w:r>
            <w:r>
              <w:rPr>
                <w:noProof/>
                <w:webHidden/>
              </w:rPr>
              <w:t>766</w:t>
            </w:r>
            <w:r>
              <w:rPr>
                <w:noProof/>
                <w:webHidden/>
              </w:rPr>
              <w:fldChar w:fldCharType="end"/>
            </w:r>
          </w:hyperlink>
        </w:p>
        <w:p w14:paraId="035D2F3D" w14:textId="3C47B62A"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19" w:history="1">
            <w:r w:rsidRPr="001D4C20">
              <w:rPr>
                <w:rStyle w:val="Lienhypertexte"/>
                <w:noProof/>
              </w:rPr>
              <w:t>56.11.2 Vitrages simples décoratifs sans fonction sécuritaire CCTB 01.02</w:t>
            </w:r>
            <w:r>
              <w:rPr>
                <w:noProof/>
                <w:webHidden/>
              </w:rPr>
              <w:tab/>
            </w:r>
            <w:r>
              <w:rPr>
                <w:noProof/>
                <w:webHidden/>
              </w:rPr>
              <w:fldChar w:fldCharType="begin"/>
            </w:r>
            <w:r>
              <w:rPr>
                <w:noProof/>
                <w:webHidden/>
              </w:rPr>
              <w:instrText xml:space="preserve"> PAGEREF _Toc220491519 \h </w:instrText>
            </w:r>
            <w:r>
              <w:rPr>
                <w:noProof/>
                <w:webHidden/>
              </w:rPr>
            </w:r>
            <w:r>
              <w:rPr>
                <w:noProof/>
                <w:webHidden/>
              </w:rPr>
              <w:fldChar w:fldCharType="separate"/>
            </w:r>
            <w:r>
              <w:rPr>
                <w:noProof/>
                <w:webHidden/>
              </w:rPr>
              <w:t>766</w:t>
            </w:r>
            <w:r>
              <w:rPr>
                <w:noProof/>
                <w:webHidden/>
              </w:rPr>
              <w:fldChar w:fldCharType="end"/>
            </w:r>
          </w:hyperlink>
        </w:p>
        <w:p w14:paraId="28E9DEB9" w14:textId="55CAA34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20" w:history="1">
            <w:r w:rsidRPr="001D4C20">
              <w:rPr>
                <w:rStyle w:val="Lienhypertexte"/>
                <w:noProof/>
              </w:rPr>
              <w:t>56.11.2a Vitrages simples imprimés sans fonction sécuritaire CCTB 01.02</w:t>
            </w:r>
            <w:r>
              <w:rPr>
                <w:noProof/>
                <w:webHidden/>
              </w:rPr>
              <w:tab/>
            </w:r>
            <w:r>
              <w:rPr>
                <w:noProof/>
                <w:webHidden/>
              </w:rPr>
              <w:fldChar w:fldCharType="begin"/>
            </w:r>
            <w:r>
              <w:rPr>
                <w:noProof/>
                <w:webHidden/>
              </w:rPr>
              <w:instrText xml:space="preserve"> PAGEREF _Toc220491520 \h </w:instrText>
            </w:r>
            <w:r>
              <w:rPr>
                <w:noProof/>
                <w:webHidden/>
              </w:rPr>
            </w:r>
            <w:r>
              <w:rPr>
                <w:noProof/>
                <w:webHidden/>
              </w:rPr>
              <w:fldChar w:fldCharType="separate"/>
            </w:r>
            <w:r>
              <w:rPr>
                <w:noProof/>
                <w:webHidden/>
              </w:rPr>
              <w:t>766</w:t>
            </w:r>
            <w:r>
              <w:rPr>
                <w:noProof/>
                <w:webHidden/>
              </w:rPr>
              <w:fldChar w:fldCharType="end"/>
            </w:r>
          </w:hyperlink>
        </w:p>
        <w:p w14:paraId="2F123573" w14:textId="246A57E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21" w:history="1">
            <w:r w:rsidRPr="001D4C20">
              <w:rPr>
                <w:rStyle w:val="Lienhypertexte"/>
                <w:noProof/>
              </w:rPr>
              <w:t>56.11.2b Vitrages simples mates sans fonction sécuritaire CCTB 01.10</w:t>
            </w:r>
            <w:r>
              <w:rPr>
                <w:noProof/>
                <w:webHidden/>
              </w:rPr>
              <w:tab/>
            </w:r>
            <w:r>
              <w:rPr>
                <w:noProof/>
                <w:webHidden/>
              </w:rPr>
              <w:fldChar w:fldCharType="begin"/>
            </w:r>
            <w:r>
              <w:rPr>
                <w:noProof/>
                <w:webHidden/>
              </w:rPr>
              <w:instrText xml:space="preserve"> PAGEREF _Toc220491521 \h </w:instrText>
            </w:r>
            <w:r>
              <w:rPr>
                <w:noProof/>
                <w:webHidden/>
              </w:rPr>
            </w:r>
            <w:r>
              <w:rPr>
                <w:noProof/>
                <w:webHidden/>
              </w:rPr>
              <w:fldChar w:fldCharType="separate"/>
            </w:r>
            <w:r>
              <w:rPr>
                <w:noProof/>
                <w:webHidden/>
              </w:rPr>
              <w:t>766</w:t>
            </w:r>
            <w:r>
              <w:rPr>
                <w:noProof/>
                <w:webHidden/>
              </w:rPr>
              <w:fldChar w:fldCharType="end"/>
            </w:r>
          </w:hyperlink>
        </w:p>
        <w:p w14:paraId="6899593D" w14:textId="051CC41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22" w:history="1">
            <w:r w:rsidRPr="001D4C20">
              <w:rPr>
                <w:rStyle w:val="Lienhypertexte"/>
                <w:noProof/>
              </w:rPr>
              <w:t>56.11.2c Vitrages simples sablés sans fonction sécuritaire CCTB 01.11</w:t>
            </w:r>
            <w:r>
              <w:rPr>
                <w:noProof/>
                <w:webHidden/>
              </w:rPr>
              <w:tab/>
            </w:r>
            <w:r>
              <w:rPr>
                <w:noProof/>
                <w:webHidden/>
              </w:rPr>
              <w:fldChar w:fldCharType="begin"/>
            </w:r>
            <w:r>
              <w:rPr>
                <w:noProof/>
                <w:webHidden/>
              </w:rPr>
              <w:instrText xml:space="preserve"> PAGEREF _Toc220491522 \h </w:instrText>
            </w:r>
            <w:r>
              <w:rPr>
                <w:noProof/>
                <w:webHidden/>
              </w:rPr>
            </w:r>
            <w:r>
              <w:rPr>
                <w:noProof/>
                <w:webHidden/>
              </w:rPr>
              <w:fldChar w:fldCharType="separate"/>
            </w:r>
            <w:r>
              <w:rPr>
                <w:noProof/>
                <w:webHidden/>
              </w:rPr>
              <w:t>767</w:t>
            </w:r>
            <w:r>
              <w:rPr>
                <w:noProof/>
                <w:webHidden/>
              </w:rPr>
              <w:fldChar w:fldCharType="end"/>
            </w:r>
          </w:hyperlink>
        </w:p>
        <w:p w14:paraId="5E01588B" w14:textId="451384D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23" w:history="1">
            <w:r w:rsidRPr="001D4C20">
              <w:rPr>
                <w:rStyle w:val="Lienhypertexte"/>
                <w:noProof/>
              </w:rPr>
              <w:t>56.11.2d Vitrages simples laqués sans fonction sécuritaire CCTB 01.02</w:t>
            </w:r>
            <w:r>
              <w:rPr>
                <w:noProof/>
                <w:webHidden/>
              </w:rPr>
              <w:tab/>
            </w:r>
            <w:r>
              <w:rPr>
                <w:noProof/>
                <w:webHidden/>
              </w:rPr>
              <w:fldChar w:fldCharType="begin"/>
            </w:r>
            <w:r>
              <w:rPr>
                <w:noProof/>
                <w:webHidden/>
              </w:rPr>
              <w:instrText xml:space="preserve"> PAGEREF _Toc220491523 \h </w:instrText>
            </w:r>
            <w:r>
              <w:rPr>
                <w:noProof/>
                <w:webHidden/>
              </w:rPr>
            </w:r>
            <w:r>
              <w:rPr>
                <w:noProof/>
                <w:webHidden/>
              </w:rPr>
              <w:fldChar w:fldCharType="separate"/>
            </w:r>
            <w:r>
              <w:rPr>
                <w:noProof/>
                <w:webHidden/>
              </w:rPr>
              <w:t>768</w:t>
            </w:r>
            <w:r>
              <w:rPr>
                <w:noProof/>
                <w:webHidden/>
              </w:rPr>
              <w:fldChar w:fldCharType="end"/>
            </w:r>
          </w:hyperlink>
        </w:p>
        <w:p w14:paraId="74AEAF19" w14:textId="459BCE9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24" w:history="1">
            <w:r w:rsidRPr="001D4C20">
              <w:rPr>
                <w:rStyle w:val="Lienhypertexte"/>
                <w:noProof/>
              </w:rPr>
              <w:t>56.11.2e Vitrages simples émaillés sans fonction sécuritaire CCTB 01.02</w:t>
            </w:r>
            <w:r>
              <w:rPr>
                <w:noProof/>
                <w:webHidden/>
              </w:rPr>
              <w:tab/>
            </w:r>
            <w:r>
              <w:rPr>
                <w:noProof/>
                <w:webHidden/>
              </w:rPr>
              <w:fldChar w:fldCharType="begin"/>
            </w:r>
            <w:r>
              <w:rPr>
                <w:noProof/>
                <w:webHidden/>
              </w:rPr>
              <w:instrText xml:space="preserve"> PAGEREF _Toc220491524 \h </w:instrText>
            </w:r>
            <w:r>
              <w:rPr>
                <w:noProof/>
                <w:webHidden/>
              </w:rPr>
            </w:r>
            <w:r>
              <w:rPr>
                <w:noProof/>
                <w:webHidden/>
              </w:rPr>
              <w:fldChar w:fldCharType="separate"/>
            </w:r>
            <w:r>
              <w:rPr>
                <w:noProof/>
                <w:webHidden/>
              </w:rPr>
              <w:t>768</w:t>
            </w:r>
            <w:r>
              <w:rPr>
                <w:noProof/>
                <w:webHidden/>
              </w:rPr>
              <w:fldChar w:fldCharType="end"/>
            </w:r>
          </w:hyperlink>
        </w:p>
        <w:p w14:paraId="6C8053C8" w14:textId="4889E86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25" w:history="1">
            <w:r w:rsidRPr="001D4C20">
              <w:rPr>
                <w:rStyle w:val="Lienhypertexte"/>
                <w:noProof/>
              </w:rPr>
              <w:t>56.11.2f Vitrages simples sérigraphiés sans fonction sécuritaire CCTB 01.02</w:t>
            </w:r>
            <w:r>
              <w:rPr>
                <w:noProof/>
                <w:webHidden/>
              </w:rPr>
              <w:tab/>
            </w:r>
            <w:r>
              <w:rPr>
                <w:noProof/>
                <w:webHidden/>
              </w:rPr>
              <w:fldChar w:fldCharType="begin"/>
            </w:r>
            <w:r>
              <w:rPr>
                <w:noProof/>
                <w:webHidden/>
              </w:rPr>
              <w:instrText xml:space="preserve"> PAGEREF _Toc220491525 \h </w:instrText>
            </w:r>
            <w:r>
              <w:rPr>
                <w:noProof/>
                <w:webHidden/>
              </w:rPr>
            </w:r>
            <w:r>
              <w:rPr>
                <w:noProof/>
                <w:webHidden/>
              </w:rPr>
              <w:fldChar w:fldCharType="separate"/>
            </w:r>
            <w:r>
              <w:rPr>
                <w:noProof/>
                <w:webHidden/>
              </w:rPr>
              <w:t>768</w:t>
            </w:r>
            <w:r>
              <w:rPr>
                <w:noProof/>
                <w:webHidden/>
              </w:rPr>
              <w:fldChar w:fldCharType="end"/>
            </w:r>
          </w:hyperlink>
        </w:p>
        <w:p w14:paraId="121B09AF" w14:textId="6B679B2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26" w:history="1">
            <w:r w:rsidRPr="001D4C20">
              <w:rPr>
                <w:rStyle w:val="Lienhypertexte"/>
                <w:noProof/>
              </w:rPr>
              <w:t>56.11.2g Vitrages simples feuilletés à intercalaires décoratifs sans fonction sécuritaire CCTB 01.02</w:t>
            </w:r>
            <w:r>
              <w:rPr>
                <w:noProof/>
                <w:webHidden/>
              </w:rPr>
              <w:tab/>
            </w:r>
            <w:r>
              <w:rPr>
                <w:noProof/>
                <w:webHidden/>
              </w:rPr>
              <w:fldChar w:fldCharType="begin"/>
            </w:r>
            <w:r>
              <w:rPr>
                <w:noProof/>
                <w:webHidden/>
              </w:rPr>
              <w:instrText xml:space="preserve"> PAGEREF _Toc220491526 \h </w:instrText>
            </w:r>
            <w:r>
              <w:rPr>
                <w:noProof/>
                <w:webHidden/>
              </w:rPr>
            </w:r>
            <w:r>
              <w:rPr>
                <w:noProof/>
                <w:webHidden/>
              </w:rPr>
              <w:fldChar w:fldCharType="separate"/>
            </w:r>
            <w:r>
              <w:rPr>
                <w:noProof/>
                <w:webHidden/>
              </w:rPr>
              <w:t>768</w:t>
            </w:r>
            <w:r>
              <w:rPr>
                <w:noProof/>
                <w:webHidden/>
              </w:rPr>
              <w:fldChar w:fldCharType="end"/>
            </w:r>
          </w:hyperlink>
        </w:p>
        <w:p w14:paraId="324F32F3" w14:textId="33B9FA0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27" w:history="1">
            <w:r w:rsidRPr="001D4C20">
              <w:rPr>
                <w:rStyle w:val="Lienhypertexte"/>
                <w:noProof/>
              </w:rPr>
              <w:t>56.11.2h Vitrages simples teintés (colorés dans la masse) sans fonction sécuritaire CCTB 01.02</w:t>
            </w:r>
            <w:r>
              <w:rPr>
                <w:noProof/>
                <w:webHidden/>
              </w:rPr>
              <w:tab/>
            </w:r>
            <w:r>
              <w:rPr>
                <w:noProof/>
                <w:webHidden/>
              </w:rPr>
              <w:fldChar w:fldCharType="begin"/>
            </w:r>
            <w:r>
              <w:rPr>
                <w:noProof/>
                <w:webHidden/>
              </w:rPr>
              <w:instrText xml:space="preserve"> PAGEREF _Toc220491527 \h </w:instrText>
            </w:r>
            <w:r>
              <w:rPr>
                <w:noProof/>
                <w:webHidden/>
              </w:rPr>
            </w:r>
            <w:r>
              <w:rPr>
                <w:noProof/>
                <w:webHidden/>
              </w:rPr>
              <w:fldChar w:fldCharType="separate"/>
            </w:r>
            <w:r>
              <w:rPr>
                <w:noProof/>
                <w:webHidden/>
              </w:rPr>
              <w:t>768</w:t>
            </w:r>
            <w:r>
              <w:rPr>
                <w:noProof/>
                <w:webHidden/>
              </w:rPr>
              <w:fldChar w:fldCharType="end"/>
            </w:r>
          </w:hyperlink>
        </w:p>
        <w:p w14:paraId="23626CD8" w14:textId="7A51CCA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28" w:history="1">
            <w:r w:rsidRPr="001D4C20">
              <w:rPr>
                <w:rStyle w:val="Lienhypertexte"/>
                <w:noProof/>
              </w:rPr>
              <w:t>56.11.2i Vitrages simples armés sans fonction sécuritaire CCTB 01.10</w:t>
            </w:r>
            <w:r>
              <w:rPr>
                <w:noProof/>
                <w:webHidden/>
              </w:rPr>
              <w:tab/>
            </w:r>
            <w:r>
              <w:rPr>
                <w:noProof/>
                <w:webHidden/>
              </w:rPr>
              <w:fldChar w:fldCharType="begin"/>
            </w:r>
            <w:r>
              <w:rPr>
                <w:noProof/>
                <w:webHidden/>
              </w:rPr>
              <w:instrText xml:space="preserve"> PAGEREF _Toc220491528 \h </w:instrText>
            </w:r>
            <w:r>
              <w:rPr>
                <w:noProof/>
                <w:webHidden/>
              </w:rPr>
            </w:r>
            <w:r>
              <w:rPr>
                <w:noProof/>
                <w:webHidden/>
              </w:rPr>
              <w:fldChar w:fldCharType="separate"/>
            </w:r>
            <w:r>
              <w:rPr>
                <w:noProof/>
                <w:webHidden/>
              </w:rPr>
              <w:t>768</w:t>
            </w:r>
            <w:r>
              <w:rPr>
                <w:noProof/>
                <w:webHidden/>
              </w:rPr>
              <w:fldChar w:fldCharType="end"/>
            </w:r>
          </w:hyperlink>
        </w:p>
        <w:p w14:paraId="11F668C6" w14:textId="19C7FBA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29" w:history="1">
            <w:r w:rsidRPr="001D4C20">
              <w:rPr>
                <w:rStyle w:val="Lienhypertexte"/>
                <w:noProof/>
              </w:rPr>
              <w:t>56.11.2j Vitrages simples étirés sans fonction sécuritaire CCTB 01.02</w:t>
            </w:r>
            <w:r>
              <w:rPr>
                <w:noProof/>
                <w:webHidden/>
              </w:rPr>
              <w:tab/>
            </w:r>
            <w:r>
              <w:rPr>
                <w:noProof/>
                <w:webHidden/>
              </w:rPr>
              <w:fldChar w:fldCharType="begin"/>
            </w:r>
            <w:r>
              <w:rPr>
                <w:noProof/>
                <w:webHidden/>
              </w:rPr>
              <w:instrText xml:space="preserve"> PAGEREF _Toc220491529 \h </w:instrText>
            </w:r>
            <w:r>
              <w:rPr>
                <w:noProof/>
                <w:webHidden/>
              </w:rPr>
            </w:r>
            <w:r>
              <w:rPr>
                <w:noProof/>
                <w:webHidden/>
              </w:rPr>
              <w:fldChar w:fldCharType="separate"/>
            </w:r>
            <w:r>
              <w:rPr>
                <w:noProof/>
                <w:webHidden/>
              </w:rPr>
              <w:t>769</w:t>
            </w:r>
            <w:r>
              <w:rPr>
                <w:noProof/>
                <w:webHidden/>
              </w:rPr>
              <w:fldChar w:fldCharType="end"/>
            </w:r>
          </w:hyperlink>
        </w:p>
        <w:p w14:paraId="351E204A" w14:textId="6358771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30" w:history="1">
            <w:r w:rsidRPr="001D4C20">
              <w:rPr>
                <w:rStyle w:val="Lienhypertexte"/>
                <w:noProof/>
              </w:rPr>
              <w:t>56.11.2k Vitrages simples soufflés sans fonction sécuritaire CCTB 01.02</w:t>
            </w:r>
            <w:r>
              <w:rPr>
                <w:noProof/>
                <w:webHidden/>
              </w:rPr>
              <w:tab/>
            </w:r>
            <w:r>
              <w:rPr>
                <w:noProof/>
                <w:webHidden/>
              </w:rPr>
              <w:fldChar w:fldCharType="begin"/>
            </w:r>
            <w:r>
              <w:rPr>
                <w:noProof/>
                <w:webHidden/>
              </w:rPr>
              <w:instrText xml:space="preserve"> PAGEREF _Toc220491530 \h </w:instrText>
            </w:r>
            <w:r>
              <w:rPr>
                <w:noProof/>
                <w:webHidden/>
              </w:rPr>
            </w:r>
            <w:r>
              <w:rPr>
                <w:noProof/>
                <w:webHidden/>
              </w:rPr>
              <w:fldChar w:fldCharType="separate"/>
            </w:r>
            <w:r>
              <w:rPr>
                <w:noProof/>
                <w:webHidden/>
              </w:rPr>
              <w:t>769</w:t>
            </w:r>
            <w:r>
              <w:rPr>
                <w:noProof/>
                <w:webHidden/>
              </w:rPr>
              <w:fldChar w:fldCharType="end"/>
            </w:r>
          </w:hyperlink>
        </w:p>
        <w:p w14:paraId="5FC97EBD" w14:textId="4CF8433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31" w:history="1">
            <w:r w:rsidRPr="001D4C20">
              <w:rPr>
                <w:rStyle w:val="Lienhypertexte"/>
                <w:noProof/>
              </w:rPr>
              <w:t>56.11.2l Vitraux décoratifs sans fonction sécuritaire CCTB 01.02</w:t>
            </w:r>
            <w:r>
              <w:rPr>
                <w:noProof/>
                <w:webHidden/>
              </w:rPr>
              <w:tab/>
            </w:r>
            <w:r>
              <w:rPr>
                <w:noProof/>
                <w:webHidden/>
              </w:rPr>
              <w:fldChar w:fldCharType="begin"/>
            </w:r>
            <w:r>
              <w:rPr>
                <w:noProof/>
                <w:webHidden/>
              </w:rPr>
              <w:instrText xml:space="preserve"> PAGEREF _Toc220491531 \h </w:instrText>
            </w:r>
            <w:r>
              <w:rPr>
                <w:noProof/>
                <w:webHidden/>
              </w:rPr>
            </w:r>
            <w:r>
              <w:rPr>
                <w:noProof/>
                <w:webHidden/>
              </w:rPr>
              <w:fldChar w:fldCharType="separate"/>
            </w:r>
            <w:r>
              <w:rPr>
                <w:noProof/>
                <w:webHidden/>
              </w:rPr>
              <w:t>769</w:t>
            </w:r>
            <w:r>
              <w:rPr>
                <w:noProof/>
                <w:webHidden/>
              </w:rPr>
              <w:fldChar w:fldCharType="end"/>
            </w:r>
          </w:hyperlink>
        </w:p>
        <w:p w14:paraId="500FF9EB" w14:textId="5A58540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32" w:history="1">
            <w:r w:rsidRPr="001D4C20">
              <w:rPr>
                <w:rStyle w:val="Lienhypertexte"/>
                <w:noProof/>
              </w:rPr>
              <w:t>56.11.3 Vitrages simples profilés sans fonction sécuritaire CCTB 01.02</w:t>
            </w:r>
            <w:r>
              <w:rPr>
                <w:noProof/>
                <w:webHidden/>
              </w:rPr>
              <w:tab/>
            </w:r>
            <w:r>
              <w:rPr>
                <w:noProof/>
                <w:webHidden/>
              </w:rPr>
              <w:fldChar w:fldCharType="begin"/>
            </w:r>
            <w:r>
              <w:rPr>
                <w:noProof/>
                <w:webHidden/>
              </w:rPr>
              <w:instrText xml:space="preserve"> PAGEREF _Toc220491532 \h </w:instrText>
            </w:r>
            <w:r>
              <w:rPr>
                <w:noProof/>
                <w:webHidden/>
              </w:rPr>
            </w:r>
            <w:r>
              <w:rPr>
                <w:noProof/>
                <w:webHidden/>
              </w:rPr>
              <w:fldChar w:fldCharType="separate"/>
            </w:r>
            <w:r>
              <w:rPr>
                <w:noProof/>
                <w:webHidden/>
              </w:rPr>
              <w:t>769</w:t>
            </w:r>
            <w:r>
              <w:rPr>
                <w:noProof/>
                <w:webHidden/>
              </w:rPr>
              <w:fldChar w:fldCharType="end"/>
            </w:r>
          </w:hyperlink>
        </w:p>
        <w:p w14:paraId="0FF37D5F" w14:textId="3D09655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33" w:history="1">
            <w:r w:rsidRPr="001D4C20">
              <w:rPr>
                <w:rStyle w:val="Lienhypertexte"/>
                <w:noProof/>
              </w:rPr>
              <w:t>56.11.3a Vitrages simples profilés sans fonction sécuritaire CCTB 01.02</w:t>
            </w:r>
            <w:r>
              <w:rPr>
                <w:noProof/>
                <w:webHidden/>
              </w:rPr>
              <w:tab/>
            </w:r>
            <w:r>
              <w:rPr>
                <w:noProof/>
                <w:webHidden/>
              </w:rPr>
              <w:fldChar w:fldCharType="begin"/>
            </w:r>
            <w:r>
              <w:rPr>
                <w:noProof/>
                <w:webHidden/>
              </w:rPr>
              <w:instrText xml:space="preserve"> PAGEREF _Toc220491533 \h </w:instrText>
            </w:r>
            <w:r>
              <w:rPr>
                <w:noProof/>
                <w:webHidden/>
              </w:rPr>
            </w:r>
            <w:r>
              <w:rPr>
                <w:noProof/>
                <w:webHidden/>
              </w:rPr>
              <w:fldChar w:fldCharType="separate"/>
            </w:r>
            <w:r>
              <w:rPr>
                <w:noProof/>
                <w:webHidden/>
              </w:rPr>
              <w:t>769</w:t>
            </w:r>
            <w:r>
              <w:rPr>
                <w:noProof/>
                <w:webHidden/>
              </w:rPr>
              <w:fldChar w:fldCharType="end"/>
            </w:r>
          </w:hyperlink>
        </w:p>
        <w:p w14:paraId="0B1D668E" w14:textId="7B0A3D1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34" w:history="1">
            <w:r w:rsidRPr="001D4C20">
              <w:rPr>
                <w:rStyle w:val="Lienhypertexte"/>
                <w:noProof/>
              </w:rPr>
              <w:t>56.11.4 Vitrages simples spéciaux sans fonction sécuritaire CCTB 01.02</w:t>
            </w:r>
            <w:r>
              <w:rPr>
                <w:noProof/>
                <w:webHidden/>
              </w:rPr>
              <w:tab/>
            </w:r>
            <w:r>
              <w:rPr>
                <w:noProof/>
                <w:webHidden/>
              </w:rPr>
              <w:fldChar w:fldCharType="begin"/>
            </w:r>
            <w:r>
              <w:rPr>
                <w:noProof/>
                <w:webHidden/>
              </w:rPr>
              <w:instrText xml:space="preserve"> PAGEREF _Toc220491534 \h </w:instrText>
            </w:r>
            <w:r>
              <w:rPr>
                <w:noProof/>
                <w:webHidden/>
              </w:rPr>
            </w:r>
            <w:r>
              <w:rPr>
                <w:noProof/>
                <w:webHidden/>
              </w:rPr>
              <w:fldChar w:fldCharType="separate"/>
            </w:r>
            <w:r>
              <w:rPr>
                <w:noProof/>
                <w:webHidden/>
              </w:rPr>
              <w:t>769</w:t>
            </w:r>
            <w:r>
              <w:rPr>
                <w:noProof/>
                <w:webHidden/>
              </w:rPr>
              <w:fldChar w:fldCharType="end"/>
            </w:r>
          </w:hyperlink>
        </w:p>
        <w:p w14:paraId="01F3FC2E" w14:textId="77A5915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35" w:history="1">
            <w:r w:rsidRPr="001D4C20">
              <w:rPr>
                <w:rStyle w:val="Lienhypertexte"/>
                <w:noProof/>
              </w:rPr>
              <w:t>56.11.4a Vitrages simples bombés sans fonction sécuritaire CCTB 01.02</w:t>
            </w:r>
            <w:r>
              <w:rPr>
                <w:noProof/>
                <w:webHidden/>
              </w:rPr>
              <w:tab/>
            </w:r>
            <w:r>
              <w:rPr>
                <w:noProof/>
                <w:webHidden/>
              </w:rPr>
              <w:fldChar w:fldCharType="begin"/>
            </w:r>
            <w:r>
              <w:rPr>
                <w:noProof/>
                <w:webHidden/>
              </w:rPr>
              <w:instrText xml:space="preserve"> PAGEREF _Toc220491535 \h </w:instrText>
            </w:r>
            <w:r>
              <w:rPr>
                <w:noProof/>
                <w:webHidden/>
              </w:rPr>
            </w:r>
            <w:r>
              <w:rPr>
                <w:noProof/>
                <w:webHidden/>
              </w:rPr>
              <w:fldChar w:fldCharType="separate"/>
            </w:r>
            <w:r>
              <w:rPr>
                <w:noProof/>
                <w:webHidden/>
              </w:rPr>
              <w:t>769</w:t>
            </w:r>
            <w:r>
              <w:rPr>
                <w:noProof/>
                <w:webHidden/>
              </w:rPr>
              <w:fldChar w:fldCharType="end"/>
            </w:r>
          </w:hyperlink>
        </w:p>
        <w:p w14:paraId="081E12BB" w14:textId="32D6D1E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36" w:history="1">
            <w:r w:rsidRPr="001D4C20">
              <w:rPr>
                <w:rStyle w:val="Lienhypertexte"/>
                <w:noProof/>
              </w:rPr>
              <w:t>56.11.4b Vitrages simples miroir sans fonction sécuritaire CCTB 01.02</w:t>
            </w:r>
            <w:r>
              <w:rPr>
                <w:noProof/>
                <w:webHidden/>
              </w:rPr>
              <w:tab/>
            </w:r>
            <w:r>
              <w:rPr>
                <w:noProof/>
                <w:webHidden/>
              </w:rPr>
              <w:fldChar w:fldCharType="begin"/>
            </w:r>
            <w:r>
              <w:rPr>
                <w:noProof/>
                <w:webHidden/>
              </w:rPr>
              <w:instrText xml:space="preserve"> PAGEREF _Toc220491536 \h </w:instrText>
            </w:r>
            <w:r>
              <w:rPr>
                <w:noProof/>
                <w:webHidden/>
              </w:rPr>
            </w:r>
            <w:r>
              <w:rPr>
                <w:noProof/>
                <w:webHidden/>
              </w:rPr>
              <w:fldChar w:fldCharType="separate"/>
            </w:r>
            <w:r>
              <w:rPr>
                <w:noProof/>
                <w:webHidden/>
              </w:rPr>
              <w:t>769</w:t>
            </w:r>
            <w:r>
              <w:rPr>
                <w:noProof/>
                <w:webHidden/>
              </w:rPr>
              <w:fldChar w:fldCharType="end"/>
            </w:r>
          </w:hyperlink>
        </w:p>
        <w:p w14:paraId="04C15540" w14:textId="76BBF2A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37" w:history="1">
            <w:r w:rsidRPr="001D4C20">
              <w:rPr>
                <w:rStyle w:val="Lienhypertexte"/>
                <w:noProof/>
              </w:rPr>
              <w:t>56.11.4c Vitrages simples chromogènes sans fonction sécuritaire CCTB 01.02</w:t>
            </w:r>
            <w:r>
              <w:rPr>
                <w:noProof/>
                <w:webHidden/>
              </w:rPr>
              <w:tab/>
            </w:r>
            <w:r>
              <w:rPr>
                <w:noProof/>
                <w:webHidden/>
              </w:rPr>
              <w:fldChar w:fldCharType="begin"/>
            </w:r>
            <w:r>
              <w:rPr>
                <w:noProof/>
                <w:webHidden/>
              </w:rPr>
              <w:instrText xml:space="preserve"> PAGEREF _Toc220491537 \h </w:instrText>
            </w:r>
            <w:r>
              <w:rPr>
                <w:noProof/>
                <w:webHidden/>
              </w:rPr>
            </w:r>
            <w:r>
              <w:rPr>
                <w:noProof/>
                <w:webHidden/>
              </w:rPr>
              <w:fldChar w:fldCharType="separate"/>
            </w:r>
            <w:r>
              <w:rPr>
                <w:noProof/>
                <w:webHidden/>
              </w:rPr>
              <w:t>769</w:t>
            </w:r>
            <w:r>
              <w:rPr>
                <w:noProof/>
                <w:webHidden/>
              </w:rPr>
              <w:fldChar w:fldCharType="end"/>
            </w:r>
          </w:hyperlink>
        </w:p>
        <w:p w14:paraId="07F01D09" w14:textId="2BEE69C5"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38" w:history="1">
            <w:r w:rsidRPr="001D4C20">
              <w:rPr>
                <w:rStyle w:val="Lienhypertexte"/>
                <w:noProof/>
              </w:rPr>
              <w:t>56.12 Vitrages simples avec fonction sécuritaire CCTB 01.07</w:t>
            </w:r>
            <w:r>
              <w:rPr>
                <w:noProof/>
                <w:webHidden/>
              </w:rPr>
              <w:tab/>
            </w:r>
            <w:r>
              <w:rPr>
                <w:noProof/>
                <w:webHidden/>
              </w:rPr>
              <w:fldChar w:fldCharType="begin"/>
            </w:r>
            <w:r>
              <w:rPr>
                <w:noProof/>
                <w:webHidden/>
              </w:rPr>
              <w:instrText xml:space="preserve"> PAGEREF _Toc220491538 \h </w:instrText>
            </w:r>
            <w:r>
              <w:rPr>
                <w:noProof/>
                <w:webHidden/>
              </w:rPr>
            </w:r>
            <w:r>
              <w:rPr>
                <w:noProof/>
                <w:webHidden/>
              </w:rPr>
              <w:fldChar w:fldCharType="separate"/>
            </w:r>
            <w:r>
              <w:rPr>
                <w:noProof/>
                <w:webHidden/>
              </w:rPr>
              <w:t>769</w:t>
            </w:r>
            <w:r>
              <w:rPr>
                <w:noProof/>
                <w:webHidden/>
              </w:rPr>
              <w:fldChar w:fldCharType="end"/>
            </w:r>
          </w:hyperlink>
        </w:p>
        <w:p w14:paraId="21968D9C" w14:textId="1995DAE2"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39" w:history="1">
            <w:r w:rsidRPr="001D4C20">
              <w:rPr>
                <w:rStyle w:val="Lienhypertexte"/>
                <w:noProof/>
              </w:rPr>
              <w:t>56.12.1 Vitrages à résistance mécanique avec fonction sécuritaire CCTB 01.02</w:t>
            </w:r>
            <w:r>
              <w:rPr>
                <w:noProof/>
                <w:webHidden/>
              </w:rPr>
              <w:tab/>
            </w:r>
            <w:r>
              <w:rPr>
                <w:noProof/>
                <w:webHidden/>
              </w:rPr>
              <w:fldChar w:fldCharType="begin"/>
            </w:r>
            <w:r>
              <w:rPr>
                <w:noProof/>
                <w:webHidden/>
              </w:rPr>
              <w:instrText xml:space="preserve"> PAGEREF _Toc220491539 \h </w:instrText>
            </w:r>
            <w:r>
              <w:rPr>
                <w:noProof/>
                <w:webHidden/>
              </w:rPr>
            </w:r>
            <w:r>
              <w:rPr>
                <w:noProof/>
                <w:webHidden/>
              </w:rPr>
              <w:fldChar w:fldCharType="separate"/>
            </w:r>
            <w:r>
              <w:rPr>
                <w:noProof/>
                <w:webHidden/>
              </w:rPr>
              <w:t>770</w:t>
            </w:r>
            <w:r>
              <w:rPr>
                <w:noProof/>
                <w:webHidden/>
              </w:rPr>
              <w:fldChar w:fldCharType="end"/>
            </w:r>
          </w:hyperlink>
        </w:p>
        <w:p w14:paraId="27C3541C" w14:textId="43B7D03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40" w:history="1">
            <w:r w:rsidRPr="001D4C20">
              <w:rPr>
                <w:rStyle w:val="Lienhypertexte"/>
                <w:noProof/>
              </w:rPr>
              <w:t>56.12.1a Vitrages simples trempés avec fonction sécuritaire CCTB 01.10</w:t>
            </w:r>
            <w:r>
              <w:rPr>
                <w:noProof/>
                <w:webHidden/>
              </w:rPr>
              <w:tab/>
            </w:r>
            <w:r>
              <w:rPr>
                <w:noProof/>
                <w:webHidden/>
              </w:rPr>
              <w:fldChar w:fldCharType="begin"/>
            </w:r>
            <w:r>
              <w:rPr>
                <w:noProof/>
                <w:webHidden/>
              </w:rPr>
              <w:instrText xml:space="preserve"> PAGEREF _Toc220491540 \h </w:instrText>
            </w:r>
            <w:r>
              <w:rPr>
                <w:noProof/>
                <w:webHidden/>
              </w:rPr>
            </w:r>
            <w:r>
              <w:rPr>
                <w:noProof/>
                <w:webHidden/>
              </w:rPr>
              <w:fldChar w:fldCharType="separate"/>
            </w:r>
            <w:r>
              <w:rPr>
                <w:noProof/>
                <w:webHidden/>
              </w:rPr>
              <w:t>770</w:t>
            </w:r>
            <w:r>
              <w:rPr>
                <w:noProof/>
                <w:webHidden/>
              </w:rPr>
              <w:fldChar w:fldCharType="end"/>
            </w:r>
          </w:hyperlink>
        </w:p>
        <w:p w14:paraId="0B7E747A" w14:textId="3929B73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41" w:history="1">
            <w:r w:rsidRPr="001D4C20">
              <w:rPr>
                <w:rStyle w:val="Lienhypertexte"/>
                <w:noProof/>
              </w:rPr>
              <w:t>56.12.1b Vitrages simples feuilletés avec fonction sécuritaire CCTB 01.10</w:t>
            </w:r>
            <w:r>
              <w:rPr>
                <w:noProof/>
                <w:webHidden/>
              </w:rPr>
              <w:tab/>
            </w:r>
            <w:r>
              <w:rPr>
                <w:noProof/>
                <w:webHidden/>
              </w:rPr>
              <w:fldChar w:fldCharType="begin"/>
            </w:r>
            <w:r>
              <w:rPr>
                <w:noProof/>
                <w:webHidden/>
              </w:rPr>
              <w:instrText xml:space="preserve"> PAGEREF _Toc220491541 \h </w:instrText>
            </w:r>
            <w:r>
              <w:rPr>
                <w:noProof/>
                <w:webHidden/>
              </w:rPr>
            </w:r>
            <w:r>
              <w:rPr>
                <w:noProof/>
                <w:webHidden/>
              </w:rPr>
              <w:fldChar w:fldCharType="separate"/>
            </w:r>
            <w:r>
              <w:rPr>
                <w:noProof/>
                <w:webHidden/>
              </w:rPr>
              <w:t>771</w:t>
            </w:r>
            <w:r>
              <w:rPr>
                <w:noProof/>
                <w:webHidden/>
              </w:rPr>
              <w:fldChar w:fldCharType="end"/>
            </w:r>
          </w:hyperlink>
        </w:p>
        <w:p w14:paraId="0D47344B" w14:textId="56E8408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42" w:history="1">
            <w:r w:rsidRPr="001D4C20">
              <w:rPr>
                <w:rStyle w:val="Lienhypertexte"/>
                <w:noProof/>
              </w:rPr>
              <w:t>56.12.1c Vitrages simples à traitements combinés avec fonction sécuritaire CCTB 01.02</w:t>
            </w:r>
            <w:r>
              <w:rPr>
                <w:noProof/>
                <w:webHidden/>
              </w:rPr>
              <w:tab/>
            </w:r>
            <w:r>
              <w:rPr>
                <w:noProof/>
                <w:webHidden/>
              </w:rPr>
              <w:fldChar w:fldCharType="begin"/>
            </w:r>
            <w:r>
              <w:rPr>
                <w:noProof/>
                <w:webHidden/>
              </w:rPr>
              <w:instrText xml:space="preserve"> PAGEREF _Toc220491542 \h </w:instrText>
            </w:r>
            <w:r>
              <w:rPr>
                <w:noProof/>
                <w:webHidden/>
              </w:rPr>
            </w:r>
            <w:r>
              <w:rPr>
                <w:noProof/>
                <w:webHidden/>
              </w:rPr>
              <w:fldChar w:fldCharType="separate"/>
            </w:r>
            <w:r>
              <w:rPr>
                <w:noProof/>
                <w:webHidden/>
              </w:rPr>
              <w:t>772</w:t>
            </w:r>
            <w:r>
              <w:rPr>
                <w:noProof/>
                <w:webHidden/>
              </w:rPr>
              <w:fldChar w:fldCharType="end"/>
            </w:r>
          </w:hyperlink>
        </w:p>
        <w:p w14:paraId="7FADD368" w14:textId="55CD50DB"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43" w:history="1">
            <w:r w:rsidRPr="001D4C20">
              <w:rPr>
                <w:rStyle w:val="Lienhypertexte"/>
                <w:noProof/>
              </w:rPr>
              <w:t>56.12.2 Vitrages à résistance spécifique avec fonction sécuritaire CCTB 01.02</w:t>
            </w:r>
            <w:r>
              <w:rPr>
                <w:noProof/>
                <w:webHidden/>
              </w:rPr>
              <w:tab/>
            </w:r>
            <w:r>
              <w:rPr>
                <w:noProof/>
                <w:webHidden/>
              </w:rPr>
              <w:fldChar w:fldCharType="begin"/>
            </w:r>
            <w:r>
              <w:rPr>
                <w:noProof/>
                <w:webHidden/>
              </w:rPr>
              <w:instrText xml:space="preserve"> PAGEREF _Toc220491543 \h </w:instrText>
            </w:r>
            <w:r>
              <w:rPr>
                <w:noProof/>
                <w:webHidden/>
              </w:rPr>
            </w:r>
            <w:r>
              <w:rPr>
                <w:noProof/>
                <w:webHidden/>
              </w:rPr>
              <w:fldChar w:fldCharType="separate"/>
            </w:r>
            <w:r>
              <w:rPr>
                <w:noProof/>
                <w:webHidden/>
              </w:rPr>
              <w:t>772</w:t>
            </w:r>
            <w:r>
              <w:rPr>
                <w:noProof/>
                <w:webHidden/>
              </w:rPr>
              <w:fldChar w:fldCharType="end"/>
            </w:r>
          </w:hyperlink>
        </w:p>
        <w:p w14:paraId="4A944124" w14:textId="64420AC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44" w:history="1">
            <w:r w:rsidRPr="001D4C20">
              <w:rPr>
                <w:rStyle w:val="Lienhypertexte"/>
                <w:noProof/>
              </w:rPr>
              <w:t>56.12.2a Vitrages simples résistants au feu avec fonction sécuritaire CCTB 01.13</w:t>
            </w:r>
            <w:r>
              <w:rPr>
                <w:noProof/>
                <w:webHidden/>
              </w:rPr>
              <w:tab/>
            </w:r>
            <w:r>
              <w:rPr>
                <w:noProof/>
                <w:webHidden/>
              </w:rPr>
              <w:fldChar w:fldCharType="begin"/>
            </w:r>
            <w:r>
              <w:rPr>
                <w:noProof/>
                <w:webHidden/>
              </w:rPr>
              <w:instrText xml:space="preserve"> PAGEREF _Toc220491544 \h </w:instrText>
            </w:r>
            <w:r>
              <w:rPr>
                <w:noProof/>
                <w:webHidden/>
              </w:rPr>
            </w:r>
            <w:r>
              <w:rPr>
                <w:noProof/>
                <w:webHidden/>
              </w:rPr>
              <w:fldChar w:fldCharType="separate"/>
            </w:r>
            <w:r>
              <w:rPr>
                <w:noProof/>
                <w:webHidden/>
              </w:rPr>
              <w:t>772</w:t>
            </w:r>
            <w:r>
              <w:rPr>
                <w:noProof/>
                <w:webHidden/>
              </w:rPr>
              <w:fldChar w:fldCharType="end"/>
            </w:r>
          </w:hyperlink>
        </w:p>
        <w:p w14:paraId="3493EA28" w14:textId="267712F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45" w:history="1">
            <w:r w:rsidRPr="001D4C20">
              <w:rPr>
                <w:rStyle w:val="Lienhypertexte"/>
                <w:noProof/>
              </w:rPr>
              <w:t>56.12.2b Vitrages simples anti-radiations avec fonction sécuritaire CCTB 01.02</w:t>
            </w:r>
            <w:r>
              <w:rPr>
                <w:noProof/>
                <w:webHidden/>
              </w:rPr>
              <w:tab/>
            </w:r>
            <w:r>
              <w:rPr>
                <w:noProof/>
                <w:webHidden/>
              </w:rPr>
              <w:fldChar w:fldCharType="begin"/>
            </w:r>
            <w:r>
              <w:rPr>
                <w:noProof/>
                <w:webHidden/>
              </w:rPr>
              <w:instrText xml:space="preserve"> PAGEREF _Toc220491545 \h </w:instrText>
            </w:r>
            <w:r>
              <w:rPr>
                <w:noProof/>
                <w:webHidden/>
              </w:rPr>
            </w:r>
            <w:r>
              <w:rPr>
                <w:noProof/>
                <w:webHidden/>
              </w:rPr>
              <w:fldChar w:fldCharType="separate"/>
            </w:r>
            <w:r>
              <w:rPr>
                <w:noProof/>
                <w:webHidden/>
              </w:rPr>
              <w:t>773</w:t>
            </w:r>
            <w:r>
              <w:rPr>
                <w:noProof/>
                <w:webHidden/>
              </w:rPr>
              <w:fldChar w:fldCharType="end"/>
            </w:r>
          </w:hyperlink>
        </w:p>
        <w:p w14:paraId="298ABF79" w14:textId="74B1432E"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546" w:history="1">
            <w:r w:rsidRPr="001D4C20">
              <w:rPr>
                <w:rStyle w:val="Lienhypertexte"/>
                <w:noProof/>
              </w:rPr>
              <w:t>56.2 Vitrages (isolants) doubles CCTB 01.10</w:t>
            </w:r>
            <w:r>
              <w:rPr>
                <w:noProof/>
                <w:webHidden/>
              </w:rPr>
              <w:tab/>
            </w:r>
            <w:r>
              <w:rPr>
                <w:noProof/>
                <w:webHidden/>
              </w:rPr>
              <w:fldChar w:fldCharType="begin"/>
            </w:r>
            <w:r>
              <w:rPr>
                <w:noProof/>
                <w:webHidden/>
              </w:rPr>
              <w:instrText xml:space="preserve"> PAGEREF _Toc220491546 \h </w:instrText>
            </w:r>
            <w:r>
              <w:rPr>
                <w:noProof/>
                <w:webHidden/>
              </w:rPr>
            </w:r>
            <w:r>
              <w:rPr>
                <w:noProof/>
                <w:webHidden/>
              </w:rPr>
              <w:fldChar w:fldCharType="separate"/>
            </w:r>
            <w:r>
              <w:rPr>
                <w:noProof/>
                <w:webHidden/>
              </w:rPr>
              <w:t>773</w:t>
            </w:r>
            <w:r>
              <w:rPr>
                <w:noProof/>
                <w:webHidden/>
              </w:rPr>
              <w:fldChar w:fldCharType="end"/>
            </w:r>
          </w:hyperlink>
        </w:p>
        <w:p w14:paraId="4AE04E9C" w14:textId="5EB59F76"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47" w:history="1">
            <w:r w:rsidRPr="001D4C20">
              <w:rPr>
                <w:rStyle w:val="Lienhypertexte"/>
                <w:noProof/>
              </w:rPr>
              <w:t>56.21 Vitrages (isolants) doubles sans fonction sécuritaire CCTB 01.02</w:t>
            </w:r>
            <w:r>
              <w:rPr>
                <w:noProof/>
                <w:webHidden/>
              </w:rPr>
              <w:tab/>
            </w:r>
            <w:r>
              <w:rPr>
                <w:noProof/>
                <w:webHidden/>
              </w:rPr>
              <w:fldChar w:fldCharType="begin"/>
            </w:r>
            <w:r>
              <w:rPr>
                <w:noProof/>
                <w:webHidden/>
              </w:rPr>
              <w:instrText xml:space="preserve"> PAGEREF _Toc220491547 \h </w:instrText>
            </w:r>
            <w:r>
              <w:rPr>
                <w:noProof/>
                <w:webHidden/>
              </w:rPr>
            </w:r>
            <w:r>
              <w:rPr>
                <w:noProof/>
                <w:webHidden/>
              </w:rPr>
              <w:fldChar w:fldCharType="separate"/>
            </w:r>
            <w:r>
              <w:rPr>
                <w:noProof/>
                <w:webHidden/>
              </w:rPr>
              <w:t>773</w:t>
            </w:r>
            <w:r>
              <w:rPr>
                <w:noProof/>
                <w:webHidden/>
              </w:rPr>
              <w:fldChar w:fldCharType="end"/>
            </w:r>
          </w:hyperlink>
        </w:p>
        <w:p w14:paraId="1A34A5B8" w14:textId="149F6B92"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48" w:history="1">
            <w:r w:rsidRPr="001D4C20">
              <w:rPr>
                <w:rStyle w:val="Lienhypertexte"/>
                <w:noProof/>
              </w:rPr>
              <w:t>56.21.1 Vitrage double sans fonction sécuritaire CCTB 01.02</w:t>
            </w:r>
            <w:r>
              <w:rPr>
                <w:noProof/>
                <w:webHidden/>
              </w:rPr>
              <w:tab/>
            </w:r>
            <w:r>
              <w:rPr>
                <w:noProof/>
                <w:webHidden/>
              </w:rPr>
              <w:fldChar w:fldCharType="begin"/>
            </w:r>
            <w:r>
              <w:rPr>
                <w:noProof/>
                <w:webHidden/>
              </w:rPr>
              <w:instrText xml:space="preserve"> PAGEREF _Toc220491548 \h </w:instrText>
            </w:r>
            <w:r>
              <w:rPr>
                <w:noProof/>
                <w:webHidden/>
              </w:rPr>
            </w:r>
            <w:r>
              <w:rPr>
                <w:noProof/>
                <w:webHidden/>
              </w:rPr>
              <w:fldChar w:fldCharType="separate"/>
            </w:r>
            <w:r>
              <w:rPr>
                <w:noProof/>
                <w:webHidden/>
              </w:rPr>
              <w:t>773</w:t>
            </w:r>
            <w:r>
              <w:rPr>
                <w:noProof/>
                <w:webHidden/>
              </w:rPr>
              <w:fldChar w:fldCharType="end"/>
            </w:r>
          </w:hyperlink>
        </w:p>
        <w:p w14:paraId="70C63EA9" w14:textId="52FA47C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49" w:history="1">
            <w:r w:rsidRPr="001D4C20">
              <w:rPr>
                <w:rStyle w:val="Lienhypertexte"/>
                <w:noProof/>
              </w:rPr>
              <w:t>56.21.1a Vitrage double sans fonction sécuritaire CCTB 01.10</w:t>
            </w:r>
            <w:r>
              <w:rPr>
                <w:noProof/>
                <w:webHidden/>
              </w:rPr>
              <w:tab/>
            </w:r>
            <w:r>
              <w:rPr>
                <w:noProof/>
                <w:webHidden/>
              </w:rPr>
              <w:fldChar w:fldCharType="begin"/>
            </w:r>
            <w:r>
              <w:rPr>
                <w:noProof/>
                <w:webHidden/>
              </w:rPr>
              <w:instrText xml:space="preserve"> PAGEREF _Toc220491549 \h </w:instrText>
            </w:r>
            <w:r>
              <w:rPr>
                <w:noProof/>
                <w:webHidden/>
              </w:rPr>
            </w:r>
            <w:r>
              <w:rPr>
                <w:noProof/>
                <w:webHidden/>
              </w:rPr>
              <w:fldChar w:fldCharType="separate"/>
            </w:r>
            <w:r>
              <w:rPr>
                <w:noProof/>
                <w:webHidden/>
              </w:rPr>
              <w:t>773</w:t>
            </w:r>
            <w:r>
              <w:rPr>
                <w:noProof/>
                <w:webHidden/>
              </w:rPr>
              <w:fldChar w:fldCharType="end"/>
            </w:r>
          </w:hyperlink>
        </w:p>
        <w:p w14:paraId="005EC9CB" w14:textId="4E1CC41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50" w:history="1">
            <w:r w:rsidRPr="001D4C20">
              <w:rPr>
                <w:rStyle w:val="Lienhypertexte"/>
                <w:noProof/>
              </w:rPr>
              <w:t>56.21.2 Vitrage double à intercalaires multiples (séparation par film plastique tendu) sans fonction sécuritaire CCTB 01.02</w:t>
            </w:r>
            <w:r>
              <w:rPr>
                <w:noProof/>
                <w:webHidden/>
              </w:rPr>
              <w:tab/>
            </w:r>
            <w:r>
              <w:rPr>
                <w:noProof/>
                <w:webHidden/>
              </w:rPr>
              <w:fldChar w:fldCharType="begin"/>
            </w:r>
            <w:r>
              <w:rPr>
                <w:noProof/>
                <w:webHidden/>
              </w:rPr>
              <w:instrText xml:space="preserve"> PAGEREF _Toc220491550 \h </w:instrText>
            </w:r>
            <w:r>
              <w:rPr>
                <w:noProof/>
                <w:webHidden/>
              </w:rPr>
            </w:r>
            <w:r>
              <w:rPr>
                <w:noProof/>
                <w:webHidden/>
              </w:rPr>
              <w:fldChar w:fldCharType="separate"/>
            </w:r>
            <w:r>
              <w:rPr>
                <w:noProof/>
                <w:webHidden/>
              </w:rPr>
              <w:t>774</w:t>
            </w:r>
            <w:r>
              <w:rPr>
                <w:noProof/>
                <w:webHidden/>
              </w:rPr>
              <w:fldChar w:fldCharType="end"/>
            </w:r>
          </w:hyperlink>
        </w:p>
        <w:p w14:paraId="4F700F8A" w14:textId="455C043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51" w:history="1">
            <w:r w:rsidRPr="001D4C20">
              <w:rPr>
                <w:rStyle w:val="Lienhypertexte"/>
                <w:noProof/>
              </w:rPr>
              <w:t>56.21.2a Vitrage double à intercalaires multiples (séparation par film plastique tendu) sans fonction sécuritaire CCTB 01.10</w:t>
            </w:r>
            <w:r>
              <w:rPr>
                <w:noProof/>
                <w:webHidden/>
              </w:rPr>
              <w:tab/>
            </w:r>
            <w:r>
              <w:rPr>
                <w:noProof/>
                <w:webHidden/>
              </w:rPr>
              <w:fldChar w:fldCharType="begin"/>
            </w:r>
            <w:r>
              <w:rPr>
                <w:noProof/>
                <w:webHidden/>
              </w:rPr>
              <w:instrText xml:space="preserve"> PAGEREF _Toc220491551 \h </w:instrText>
            </w:r>
            <w:r>
              <w:rPr>
                <w:noProof/>
                <w:webHidden/>
              </w:rPr>
            </w:r>
            <w:r>
              <w:rPr>
                <w:noProof/>
                <w:webHidden/>
              </w:rPr>
              <w:fldChar w:fldCharType="separate"/>
            </w:r>
            <w:r>
              <w:rPr>
                <w:noProof/>
                <w:webHidden/>
              </w:rPr>
              <w:t>774</w:t>
            </w:r>
            <w:r>
              <w:rPr>
                <w:noProof/>
                <w:webHidden/>
              </w:rPr>
              <w:fldChar w:fldCharType="end"/>
            </w:r>
          </w:hyperlink>
        </w:p>
        <w:p w14:paraId="19111414" w14:textId="1EE71479"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52" w:history="1">
            <w:r w:rsidRPr="001D4C20">
              <w:rPr>
                <w:rStyle w:val="Lienhypertexte"/>
                <w:noProof/>
              </w:rPr>
              <w:t>56.21.3 Vitrage double à stores intégrés sans fonction sécuritaire CCTB 01.02</w:t>
            </w:r>
            <w:r>
              <w:rPr>
                <w:noProof/>
                <w:webHidden/>
              </w:rPr>
              <w:tab/>
            </w:r>
            <w:r>
              <w:rPr>
                <w:noProof/>
                <w:webHidden/>
              </w:rPr>
              <w:fldChar w:fldCharType="begin"/>
            </w:r>
            <w:r>
              <w:rPr>
                <w:noProof/>
                <w:webHidden/>
              </w:rPr>
              <w:instrText xml:space="preserve"> PAGEREF _Toc220491552 \h </w:instrText>
            </w:r>
            <w:r>
              <w:rPr>
                <w:noProof/>
                <w:webHidden/>
              </w:rPr>
            </w:r>
            <w:r>
              <w:rPr>
                <w:noProof/>
                <w:webHidden/>
              </w:rPr>
              <w:fldChar w:fldCharType="separate"/>
            </w:r>
            <w:r>
              <w:rPr>
                <w:noProof/>
                <w:webHidden/>
              </w:rPr>
              <w:t>775</w:t>
            </w:r>
            <w:r>
              <w:rPr>
                <w:noProof/>
                <w:webHidden/>
              </w:rPr>
              <w:fldChar w:fldCharType="end"/>
            </w:r>
          </w:hyperlink>
        </w:p>
        <w:p w14:paraId="3F3BF731" w14:textId="53A8776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53" w:history="1">
            <w:r w:rsidRPr="001D4C20">
              <w:rPr>
                <w:rStyle w:val="Lienhypertexte"/>
                <w:noProof/>
              </w:rPr>
              <w:t>56.21.3a Vitrage double à stores intégrés sans fonction sécuritaire CCTB 01.02</w:t>
            </w:r>
            <w:r>
              <w:rPr>
                <w:noProof/>
                <w:webHidden/>
              </w:rPr>
              <w:tab/>
            </w:r>
            <w:r>
              <w:rPr>
                <w:noProof/>
                <w:webHidden/>
              </w:rPr>
              <w:fldChar w:fldCharType="begin"/>
            </w:r>
            <w:r>
              <w:rPr>
                <w:noProof/>
                <w:webHidden/>
              </w:rPr>
              <w:instrText xml:space="preserve"> PAGEREF _Toc220491553 \h </w:instrText>
            </w:r>
            <w:r>
              <w:rPr>
                <w:noProof/>
                <w:webHidden/>
              </w:rPr>
            </w:r>
            <w:r>
              <w:rPr>
                <w:noProof/>
                <w:webHidden/>
              </w:rPr>
              <w:fldChar w:fldCharType="separate"/>
            </w:r>
            <w:r>
              <w:rPr>
                <w:noProof/>
                <w:webHidden/>
              </w:rPr>
              <w:t>775</w:t>
            </w:r>
            <w:r>
              <w:rPr>
                <w:noProof/>
                <w:webHidden/>
              </w:rPr>
              <w:fldChar w:fldCharType="end"/>
            </w:r>
          </w:hyperlink>
        </w:p>
        <w:p w14:paraId="7A86E7EB" w14:textId="07410E59"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54" w:history="1">
            <w:r w:rsidRPr="001D4C20">
              <w:rPr>
                <w:rStyle w:val="Lienhypertexte"/>
                <w:noProof/>
              </w:rPr>
              <w:t>56.21.4 Vitrage double décoratif sans fonction sécuritaire CCTB 01.02</w:t>
            </w:r>
            <w:r>
              <w:rPr>
                <w:noProof/>
                <w:webHidden/>
              </w:rPr>
              <w:tab/>
            </w:r>
            <w:r>
              <w:rPr>
                <w:noProof/>
                <w:webHidden/>
              </w:rPr>
              <w:fldChar w:fldCharType="begin"/>
            </w:r>
            <w:r>
              <w:rPr>
                <w:noProof/>
                <w:webHidden/>
              </w:rPr>
              <w:instrText xml:space="preserve"> PAGEREF _Toc220491554 \h </w:instrText>
            </w:r>
            <w:r>
              <w:rPr>
                <w:noProof/>
                <w:webHidden/>
              </w:rPr>
            </w:r>
            <w:r>
              <w:rPr>
                <w:noProof/>
                <w:webHidden/>
              </w:rPr>
              <w:fldChar w:fldCharType="separate"/>
            </w:r>
            <w:r>
              <w:rPr>
                <w:noProof/>
                <w:webHidden/>
              </w:rPr>
              <w:t>775</w:t>
            </w:r>
            <w:r>
              <w:rPr>
                <w:noProof/>
                <w:webHidden/>
              </w:rPr>
              <w:fldChar w:fldCharType="end"/>
            </w:r>
          </w:hyperlink>
        </w:p>
        <w:p w14:paraId="247C0966" w14:textId="7D3B9B8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55" w:history="1">
            <w:r w:rsidRPr="001D4C20">
              <w:rPr>
                <w:rStyle w:val="Lienhypertexte"/>
                <w:noProof/>
              </w:rPr>
              <w:t>56.21.4a Vitrage double décoratif sans fonction sécuritaire CCTB 01.11</w:t>
            </w:r>
            <w:r>
              <w:rPr>
                <w:noProof/>
                <w:webHidden/>
              </w:rPr>
              <w:tab/>
            </w:r>
            <w:r>
              <w:rPr>
                <w:noProof/>
                <w:webHidden/>
              </w:rPr>
              <w:fldChar w:fldCharType="begin"/>
            </w:r>
            <w:r>
              <w:rPr>
                <w:noProof/>
                <w:webHidden/>
              </w:rPr>
              <w:instrText xml:space="preserve"> PAGEREF _Toc220491555 \h </w:instrText>
            </w:r>
            <w:r>
              <w:rPr>
                <w:noProof/>
                <w:webHidden/>
              </w:rPr>
            </w:r>
            <w:r>
              <w:rPr>
                <w:noProof/>
                <w:webHidden/>
              </w:rPr>
              <w:fldChar w:fldCharType="separate"/>
            </w:r>
            <w:r>
              <w:rPr>
                <w:noProof/>
                <w:webHidden/>
              </w:rPr>
              <w:t>775</w:t>
            </w:r>
            <w:r>
              <w:rPr>
                <w:noProof/>
                <w:webHidden/>
              </w:rPr>
              <w:fldChar w:fldCharType="end"/>
            </w:r>
          </w:hyperlink>
        </w:p>
        <w:p w14:paraId="45815E9A" w14:textId="71937055"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56" w:history="1">
            <w:r w:rsidRPr="001D4C20">
              <w:rPr>
                <w:rStyle w:val="Lienhypertexte"/>
                <w:noProof/>
              </w:rPr>
              <w:t>56.21.5 Vitrages doubles spéciaux sans fonction sécuritaire CCTB 01.10</w:t>
            </w:r>
            <w:r>
              <w:rPr>
                <w:noProof/>
                <w:webHidden/>
              </w:rPr>
              <w:tab/>
            </w:r>
            <w:r>
              <w:rPr>
                <w:noProof/>
                <w:webHidden/>
              </w:rPr>
              <w:fldChar w:fldCharType="begin"/>
            </w:r>
            <w:r>
              <w:rPr>
                <w:noProof/>
                <w:webHidden/>
              </w:rPr>
              <w:instrText xml:space="preserve"> PAGEREF _Toc220491556 \h </w:instrText>
            </w:r>
            <w:r>
              <w:rPr>
                <w:noProof/>
                <w:webHidden/>
              </w:rPr>
            </w:r>
            <w:r>
              <w:rPr>
                <w:noProof/>
                <w:webHidden/>
              </w:rPr>
              <w:fldChar w:fldCharType="separate"/>
            </w:r>
            <w:r>
              <w:rPr>
                <w:noProof/>
                <w:webHidden/>
              </w:rPr>
              <w:t>776</w:t>
            </w:r>
            <w:r>
              <w:rPr>
                <w:noProof/>
                <w:webHidden/>
              </w:rPr>
              <w:fldChar w:fldCharType="end"/>
            </w:r>
          </w:hyperlink>
        </w:p>
        <w:p w14:paraId="0F171DE7" w14:textId="5A41238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57" w:history="1">
            <w:r w:rsidRPr="001D4C20">
              <w:rPr>
                <w:rStyle w:val="Lienhypertexte"/>
                <w:noProof/>
              </w:rPr>
              <w:t>56.21.5a Vitrages doubles bombés sans fonction sécuritaire CCTB 01.02</w:t>
            </w:r>
            <w:r>
              <w:rPr>
                <w:noProof/>
                <w:webHidden/>
              </w:rPr>
              <w:tab/>
            </w:r>
            <w:r>
              <w:rPr>
                <w:noProof/>
                <w:webHidden/>
              </w:rPr>
              <w:fldChar w:fldCharType="begin"/>
            </w:r>
            <w:r>
              <w:rPr>
                <w:noProof/>
                <w:webHidden/>
              </w:rPr>
              <w:instrText xml:space="preserve"> PAGEREF _Toc220491557 \h </w:instrText>
            </w:r>
            <w:r>
              <w:rPr>
                <w:noProof/>
                <w:webHidden/>
              </w:rPr>
            </w:r>
            <w:r>
              <w:rPr>
                <w:noProof/>
                <w:webHidden/>
              </w:rPr>
              <w:fldChar w:fldCharType="separate"/>
            </w:r>
            <w:r>
              <w:rPr>
                <w:noProof/>
                <w:webHidden/>
              </w:rPr>
              <w:t>777</w:t>
            </w:r>
            <w:r>
              <w:rPr>
                <w:noProof/>
                <w:webHidden/>
              </w:rPr>
              <w:fldChar w:fldCharType="end"/>
            </w:r>
          </w:hyperlink>
        </w:p>
        <w:p w14:paraId="04E2E63C" w14:textId="5F4BD0E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58" w:history="1">
            <w:r w:rsidRPr="001D4C20">
              <w:rPr>
                <w:rStyle w:val="Lienhypertexte"/>
                <w:noProof/>
              </w:rPr>
              <w:t>56.21.5b Vitrages doubles miroir sans fonction sécuritaire CCTB 01.02</w:t>
            </w:r>
            <w:r>
              <w:rPr>
                <w:noProof/>
                <w:webHidden/>
              </w:rPr>
              <w:tab/>
            </w:r>
            <w:r>
              <w:rPr>
                <w:noProof/>
                <w:webHidden/>
              </w:rPr>
              <w:fldChar w:fldCharType="begin"/>
            </w:r>
            <w:r>
              <w:rPr>
                <w:noProof/>
                <w:webHidden/>
              </w:rPr>
              <w:instrText xml:space="preserve"> PAGEREF _Toc220491558 \h </w:instrText>
            </w:r>
            <w:r>
              <w:rPr>
                <w:noProof/>
                <w:webHidden/>
              </w:rPr>
            </w:r>
            <w:r>
              <w:rPr>
                <w:noProof/>
                <w:webHidden/>
              </w:rPr>
              <w:fldChar w:fldCharType="separate"/>
            </w:r>
            <w:r>
              <w:rPr>
                <w:noProof/>
                <w:webHidden/>
              </w:rPr>
              <w:t>777</w:t>
            </w:r>
            <w:r>
              <w:rPr>
                <w:noProof/>
                <w:webHidden/>
              </w:rPr>
              <w:fldChar w:fldCharType="end"/>
            </w:r>
          </w:hyperlink>
        </w:p>
        <w:p w14:paraId="0FA751EF" w14:textId="723986A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59" w:history="1">
            <w:r w:rsidRPr="001D4C20">
              <w:rPr>
                <w:rStyle w:val="Lienhypertexte"/>
                <w:noProof/>
              </w:rPr>
              <w:t>56.21.5c Vitrages doubles chromogènes sans fonction sécuritaire CCTB 01.02</w:t>
            </w:r>
            <w:r>
              <w:rPr>
                <w:noProof/>
                <w:webHidden/>
              </w:rPr>
              <w:tab/>
            </w:r>
            <w:r>
              <w:rPr>
                <w:noProof/>
                <w:webHidden/>
              </w:rPr>
              <w:fldChar w:fldCharType="begin"/>
            </w:r>
            <w:r>
              <w:rPr>
                <w:noProof/>
                <w:webHidden/>
              </w:rPr>
              <w:instrText xml:space="preserve"> PAGEREF _Toc220491559 \h </w:instrText>
            </w:r>
            <w:r>
              <w:rPr>
                <w:noProof/>
                <w:webHidden/>
              </w:rPr>
            </w:r>
            <w:r>
              <w:rPr>
                <w:noProof/>
                <w:webHidden/>
              </w:rPr>
              <w:fldChar w:fldCharType="separate"/>
            </w:r>
            <w:r>
              <w:rPr>
                <w:noProof/>
                <w:webHidden/>
              </w:rPr>
              <w:t>777</w:t>
            </w:r>
            <w:r>
              <w:rPr>
                <w:noProof/>
                <w:webHidden/>
              </w:rPr>
              <w:fldChar w:fldCharType="end"/>
            </w:r>
          </w:hyperlink>
        </w:p>
        <w:p w14:paraId="20FEF1E7" w14:textId="4627429C"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60" w:history="1">
            <w:r w:rsidRPr="001D4C20">
              <w:rPr>
                <w:rStyle w:val="Lienhypertexte"/>
                <w:noProof/>
              </w:rPr>
              <w:t>56.22 Vitrages (isolants) doubles avec fonction sécuritaire CCTB 01.02</w:t>
            </w:r>
            <w:r>
              <w:rPr>
                <w:noProof/>
                <w:webHidden/>
              </w:rPr>
              <w:tab/>
            </w:r>
            <w:r>
              <w:rPr>
                <w:noProof/>
                <w:webHidden/>
              </w:rPr>
              <w:fldChar w:fldCharType="begin"/>
            </w:r>
            <w:r>
              <w:rPr>
                <w:noProof/>
                <w:webHidden/>
              </w:rPr>
              <w:instrText xml:space="preserve"> PAGEREF _Toc220491560 \h </w:instrText>
            </w:r>
            <w:r>
              <w:rPr>
                <w:noProof/>
                <w:webHidden/>
              </w:rPr>
            </w:r>
            <w:r>
              <w:rPr>
                <w:noProof/>
                <w:webHidden/>
              </w:rPr>
              <w:fldChar w:fldCharType="separate"/>
            </w:r>
            <w:r>
              <w:rPr>
                <w:noProof/>
                <w:webHidden/>
              </w:rPr>
              <w:t>777</w:t>
            </w:r>
            <w:r>
              <w:rPr>
                <w:noProof/>
                <w:webHidden/>
              </w:rPr>
              <w:fldChar w:fldCharType="end"/>
            </w:r>
          </w:hyperlink>
        </w:p>
        <w:p w14:paraId="6F92E79B" w14:textId="26417976"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61" w:history="1">
            <w:r w:rsidRPr="001D4C20">
              <w:rPr>
                <w:rStyle w:val="Lienhypertexte"/>
                <w:noProof/>
              </w:rPr>
              <w:t>56.22.1 Vitrage double avec fonction sécuritaire CCTB 01.02</w:t>
            </w:r>
            <w:r>
              <w:rPr>
                <w:noProof/>
                <w:webHidden/>
              </w:rPr>
              <w:tab/>
            </w:r>
            <w:r>
              <w:rPr>
                <w:noProof/>
                <w:webHidden/>
              </w:rPr>
              <w:fldChar w:fldCharType="begin"/>
            </w:r>
            <w:r>
              <w:rPr>
                <w:noProof/>
                <w:webHidden/>
              </w:rPr>
              <w:instrText xml:space="preserve"> PAGEREF _Toc220491561 \h </w:instrText>
            </w:r>
            <w:r>
              <w:rPr>
                <w:noProof/>
                <w:webHidden/>
              </w:rPr>
            </w:r>
            <w:r>
              <w:rPr>
                <w:noProof/>
                <w:webHidden/>
              </w:rPr>
              <w:fldChar w:fldCharType="separate"/>
            </w:r>
            <w:r>
              <w:rPr>
                <w:noProof/>
                <w:webHidden/>
              </w:rPr>
              <w:t>777</w:t>
            </w:r>
            <w:r>
              <w:rPr>
                <w:noProof/>
                <w:webHidden/>
              </w:rPr>
              <w:fldChar w:fldCharType="end"/>
            </w:r>
          </w:hyperlink>
        </w:p>
        <w:p w14:paraId="71CC2A74" w14:textId="231E269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62" w:history="1">
            <w:r w:rsidRPr="001D4C20">
              <w:rPr>
                <w:rStyle w:val="Lienhypertexte"/>
                <w:noProof/>
              </w:rPr>
              <w:t>56.22.1a Vitrage double avec fonction sécuritaire CCTB 01.10</w:t>
            </w:r>
            <w:r>
              <w:rPr>
                <w:noProof/>
                <w:webHidden/>
              </w:rPr>
              <w:tab/>
            </w:r>
            <w:r>
              <w:rPr>
                <w:noProof/>
                <w:webHidden/>
              </w:rPr>
              <w:fldChar w:fldCharType="begin"/>
            </w:r>
            <w:r>
              <w:rPr>
                <w:noProof/>
                <w:webHidden/>
              </w:rPr>
              <w:instrText xml:space="preserve"> PAGEREF _Toc220491562 \h </w:instrText>
            </w:r>
            <w:r>
              <w:rPr>
                <w:noProof/>
                <w:webHidden/>
              </w:rPr>
            </w:r>
            <w:r>
              <w:rPr>
                <w:noProof/>
                <w:webHidden/>
              </w:rPr>
              <w:fldChar w:fldCharType="separate"/>
            </w:r>
            <w:r>
              <w:rPr>
                <w:noProof/>
                <w:webHidden/>
              </w:rPr>
              <w:t>777</w:t>
            </w:r>
            <w:r>
              <w:rPr>
                <w:noProof/>
                <w:webHidden/>
              </w:rPr>
              <w:fldChar w:fldCharType="end"/>
            </w:r>
          </w:hyperlink>
        </w:p>
        <w:p w14:paraId="40859BCD" w14:textId="5EDFA51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63" w:history="1">
            <w:r w:rsidRPr="001D4C20">
              <w:rPr>
                <w:rStyle w:val="Lienhypertexte"/>
                <w:noProof/>
              </w:rPr>
              <w:t>56.22.2 Vitrage double à intercalaires multiples (séparation par film plastique tendu) avec fonction sécuritaire CCTB 01.02</w:t>
            </w:r>
            <w:r>
              <w:rPr>
                <w:noProof/>
                <w:webHidden/>
              </w:rPr>
              <w:tab/>
            </w:r>
            <w:r>
              <w:rPr>
                <w:noProof/>
                <w:webHidden/>
              </w:rPr>
              <w:fldChar w:fldCharType="begin"/>
            </w:r>
            <w:r>
              <w:rPr>
                <w:noProof/>
                <w:webHidden/>
              </w:rPr>
              <w:instrText xml:space="preserve"> PAGEREF _Toc220491563 \h </w:instrText>
            </w:r>
            <w:r>
              <w:rPr>
                <w:noProof/>
                <w:webHidden/>
              </w:rPr>
            </w:r>
            <w:r>
              <w:rPr>
                <w:noProof/>
                <w:webHidden/>
              </w:rPr>
              <w:fldChar w:fldCharType="separate"/>
            </w:r>
            <w:r>
              <w:rPr>
                <w:noProof/>
                <w:webHidden/>
              </w:rPr>
              <w:t>779</w:t>
            </w:r>
            <w:r>
              <w:rPr>
                <w:noProof/>
                <w:webHidden/>
              </w:rPr>
              <w:fldChar w:fldCharType="end"/>
            </w:r>
          </w:hyperlink>
        </w:p>
        <w:p w14:paraId="60B6E475" w14:textId="7B33B05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64" w:history="1">
            <w:r w:rsidRPr="001D4C20">
              <w:rPr>
                <w:rStyle w:val="Lienhypertexte"/>
                <w:noProof/>
              </w:rPr>
              <w:t>56.22.2a Vitrage double à intercalaires multiples (séparation par film plastique tendu) avec fonction sécuritaire CCTB 01.11</w:t>
            </w:r>
            <w:r>
              <w:rPr>
                <w:noProof/>
                <w:webHidden/>
              </w:rPr>
              <w:tab/>
            </w:r>
            <w:r>
              <w:rPr>
                <w:noProof/>
                <w:webHidden/>
              </w:rPr>
              <w:fldChar w:fldCharType="begin"/>
            </w:r>
            <w:r>
              <w:rPr>
                <w:noProof/>
                <w:webHidden/>
              </w:rPr>
              <w:instrText xml:space="preserve"> PAGEREF _Toc220491564 \h </w:instrText>
            </w:r>
            <w:r>
              <w:rPr>
                <w:noProof/>
                <w:webHidden/>
              </w:rPr>
            </w:r>
            <w:r>
              <w:rPr>
                <w:noProof/>
                <w:webHidden/>
              </w:rPr>
              <w:fldChar w:fldCharType="separate"/>
            </w:r>
            <w:r>
              <w:rPr>
                <w:noProof/>
                <w:webHidden/>
              </w:rPr>
              <w:t>779</w:t>
            </w:r>
            <w:r>
              <w:rPr>
                <w:noProof/>
                <w:webHidden/>
              </w:rPr>
              <w:fldChar w:fldCharType="end"/>
            </w:r>
          </w:hyperlink>
        </w:p>
        <w:p w14:paraId="6367464D" w14:textId="25A4D98F"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65" w:history="1">
            <w:r w:rsidRPr="001D4C20">
              <w:rPr>
                <w:rStyle w:val="Lienhypertexte"/>
                <w:noProof/>
              </w:rPr>
              <w:t>56.22.3 Vitrage double à stores intégrés avec fonction sécuritaire CCTB 01.02</w:t>
            </w:r>
            <w:r>
              <w:rPr>
                <w:noProof/>
                <w:webHidden/>
              </w:rPr>
              <w:tab/>
            </w:r>
            <w:r>
              <w:rPr>
                <w:noProof/>
                <w:webHidden/>
              </w:rPr>
              <w:fldChar w:fldCharType="begin"/>
            </w:r>
            <w:r>
              <w:rPr>
                <w:noProof/>
                <w:webHidden/>
              </w:rPr>
              <w:instrText xml:space="preserve"> PAGEREF _Toc220491565 \h </w:instrText>
            </w:r>
            <w:r>
              <w:rPr>
                <w:noProof/>
                <w:webHidden/>
              </w:rPr>
            </w:r>
            <w:r>
              <w:rPr>
                <w:noProof/>
                <w:webHidden/>
              </w:rPr>
              <w:fldChar w:fldCharType="separate"/>
            </w:r>
            <w:r>
              <w:rPr>
                <w:noProof/>
                <w:webHidden/>
              </w:rPr>
              <w:t>783</w:t>
            </w:r>
            <w:r>
              <w:rPr>
                <w:noProof/>
                <w:webHidden/>
              </w:rPr>
              <w:fldChar w:fldCharType="end"/>
            </w:r>
          </w:hyperlink>
        </w:p>
        <w:p w14:paraId="0C00E419" w14:textId="3400834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66" w:history="1">
            <w:r w:rsidRPr="001D4C20">
              <w:rPr>
                <w:rStyle w:val="Lienhypertexte"/>
                <w:noProof/>
              </w:rPr>
              <w:t>56.22.3a Vitrage double à stores intégrés avec fonction sécuritaire CCTB 01.02</w:t>
            </w:r>
            <w:r>
              <w:rPr>
                <w:noProof/>
                <w:webHidden/>
              </w:rPr>
              <w:tab/>
            </w:r>
            <w:r>
              <w:rPr>
                <w:noProof/>
                <w:webHidden/>
              </w:rPr>
              <w:fldChar w:fldCharType="begin"/>
            </w:r>
            <w:r>
              <w:rPr>
                <w:noProof/>
                <w:webHidden/>
              </w:rPr>
              <w:instrText xml:space="preserve"> PAGEREF _Toc220491566 \h </w:instrText>
            </w:r>
            <w:r>
              <w:rPr>
                <w:noProof/>
                <w:webHidden/>
              </w:rPr>
            </w:r>
            <w:r>
              <w:rPr>
                <w:noProof/>
                <w:webHidden/>
              </w:rPr>
              <w:fldChar w:fldCharType="separate"/>
            </w:r>
            <w:r>
              <w:rPr>
                <w:noProof/>
                <w:webHidden/>
              </w:rPr>
              <w:t>783</w:t>
            </w:r>
            <w:r>
              <w:rPr>
                <w:noProof/>
                <w:webHidden/>
              </w:rPr>
              <w:fldChar w:fldCharType="end"/>
            </w:r>
          </w:hyperlink>
        </w:p>
        <w:p w14:paraId="193B4AAE" w14:textId="4316990F"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67" w:history="1">
            <w:r w:rsidRPr="001D4C20">
              <w:rPr>
                <w:rStyle w:val="Lienhypertexte"/>
                <w:noProof/>
              </w:rPr>
              <w:t>56.22.4 Vitrages doubles à résistance spécifique avec fonction sécuritaire CCTB 01.02</w:t>
            </w:r>
            <w:r>
              <w:rPr>
                <w:noProof/>
                <w:webHidden/>
              </w:rPr>
              <w:tab/>
            </w:r>
            <w:r>
              <w:rPr>
                <w:noProof/>
                <w:webHidden/>
              </w:rPr>
              <w:fldChar w:fldCharType="begin"/>
            </w:r>
            <w:r>
              <w:rPr>
                <w:noProof/>
                <w:webHidden/>
              </w:rPr>
              <w:instrText xml:space="preserve"> PAGEREF _Toc220491567 \h </w:instrText>
            </w:r>
            <w:r>
              <w:rPr>
                <w:noProof/>
                <w:webHidden/>
              </w:rPr>
            </w:r>
            <w:r>
              <w:rPr>
                <w:noProof/>
                <w:webHidden/>
              </w:rPr>
              <w:fldChar w:fldCharType="separate"/>
            </w:r>
            <w:r>
              <w:rPr>
                <w:noProof/>
                <w:webHidden/>
              </w:rPr>
              <w:t>783</w:t>
            </w:r>
            <w:r>
              <w:rPr>
                <w:noProof/>
                <w:webHidden/>
              </w:rPr>
              <w:fldChar w:fldCharType="end"/>
            </w:r>
          </w:hyperlink>
        </w:p>
        <w:p w14:paraId="12ACC683" w14:textId="2D0EE04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68" w:history="1">
            <w:r w:rsidRPr="001D4C20">
              <w:rPr>
                <w:rStyle w:val="Lienhypertexte"/>
                <w:noProof/>
              </w:rPr>
              <w:t>56.22.4a Vitrages doubles Rf avec fonction sécuritaire CCTB 01.13</w:t>
            </w:r>
            <w:r>
              <w:rPr>
                <w:noProof/>
                <w:webHidden/>
              </w:rPr>
              <w:tab/>
            </w:r>
            <w:r>
              <w:rPr>
                <w:noProof/>
                <w:webHidden/>
              </w:rPr>
              <w:fldChar w:fldCharType="begin"/>
            </w:r>
            <w:r>
              <w:rPr>
                <w:noProof/>
                <w:webHidden/>
              </w:rPr>
              <w:instrText xml:space="preserve"> PAGEREF _Toc220491568 \h </w:instrText>
            </w:r>
            <w:r>
              <w:rPr>
                <w:noProof/>
                <w:webHidden/>
              </w:rPr>
            </w:r>
            <w:r>
              <w:rPr>
                <w:noProof/>
                <w:webHidden/>
              </w:rPr>
              <w:fldChar w:fldCharType="separate"/>
            </w:r>
            <w:r>
              <w:rPr>
                <w:noProof/>
                <w:webHidden/>
              </w:rPr>
              <w:t>783</w:t>
            </w:r>
            <w:r>
              <w:rPr>
                <w:noProof/>
                <w:webHidden/>
              </w:rPr>
              <w:fldChar w:fldCharType="end"/>
            </w:r>
          </w:hyperlink>
        </w:p>
        <w:p w14:paraId="09484624" w14:textId="196CAE2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69" w:history="1">
            <w:r w:rsidRPr="001D4C20">
              <w:rPr>
                <w:rStyle w:val="Lienhypertexte"/>
                <w:noProof/>
              </w:rPr>
              <w:t>56.22.4b Vitrages doubles anti-radiations avec fonction sécuritaire CCTB 01.02</w:t>
            </w:r>
            <w:r>
              <w:rPr>
                <w:noProof/>
                <w:webHidden/>
              </w:rPr>
              <w:tab/>
            </w:r>
            <w:r>
              <w:rPr>
                <w:noProof/>
                <w:webHidden/>
              </w:rPr>
              <w:fldChar w:fldCharType="begin"/>
            </w:r>
            <w:r>
              <w:rPr>
                <w:noProof/>
                <w:webHidden/>
              </w:rPr>
              <w:instrText xml:space="preserve"> PAGEREF _Toc220491569 \h </w:instrText>
            </w:r>
            <w:r>
              <w:rPr>
                <w:noProof/>
                <w:webHidden/>
              </w:rPr>
            </w:r>
            <w:r>
              <w:rPr>
                <w:noProof/>
                <w:webHidden/>
              </w:rPr>
              <w:fldChar w:fldCharType="separate"/>
            </w:r>
            <w:r>
              <w:rPr>
                <w:noProof/>
                <w:webHidden/>
              </w:rPr>
              <w:t>784</w:t>
            </w:r>
            <w:r>
              <w:rPr>
                <w:noProof/>
                <w:webHidden/>
              </w:rPr>
              <w:fldChar w:fldCharType="end"/>
            </w:r>
          </w:hyperlink>
        </w:p>
        <w:p w14:paraId="34B78F8C" w14:textId="117770EF"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570" w:history="1">
            <w:r w:rsidRPr="001D4C20">
              <w:rPr>
                <w:rStyle w:val="Lienhypertexte"/>
                <w:noProof/>
              </w:rPr>
              <w:t>56.3 Eléments de remplissage  CCTB 01.02</w:t>
            </w:r>
            <w:r>
              <w:rPr>
                <w:noProof/>
                <w:webHidden/>
              </w:rPr>
              <w:tab/>
            </w:r>
            <w:r>
              <w:rPr>
                <w:noProof/>
                <w:webHidden/>
              </w:rPr>
              <w:fldChar w:fldCharType="begin"/>
            </w:r>
            <w:r>
              <w:rPr>
                <w:noProof/>
                <w:webHidden/>
              </w:rPr>
              <w:instrText xml:space="preserve"> PAGEREF _Toc220491570 \h </w:instrText>
            </w:r>
            <w:r>
              <w:rPr>
                <w:noProof/>
                <w:webHidden/>
              </w:rPr>
            </w:r>
            <w:r>
              <w:rPr>
                <w:noProof/>
                <w:webHidden/>
              </w:rPr>
              <w:fldChar w:fldCharType="separate"/>
            </w:r>
            <w:r>
              <w:rPr>
                <w:noProof/>
                <w:webHidden/>
              </w:rPr>
              <w:t>784</w:t>
            </w:r>
            <w:r>
              <w:rPr>
                <w:noProof/>
                <w:webHidden/>
              </w:rPr>
              <w:fldChar w:fldCharType="end"/>
            </w:r>
          </w:hyperlink>
        </w:p>
        <w:p w14:paraId="010AB7BE" w14:textId="2650E26B"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71" w:history="1">
            <w:r w:rsidRPr="001D4C20">
              <w:rPr>
                <w:rStyle w:val="Lienhypertexte"/>
                <w:noProof/>
              </w:rPr>
              <w:t>56.31 Eléments de remplissage en planchettes CCTB 01.02</w:t>
            </w:r>
            <w:r>
              <w:rPr>
                <w:noProof/>
                <w:webHidden/>
              </w:rPr>
              <w:tab/>
            </w:r>
            <w:r>
              <w:rPr>
                <w:noProof/>
                <w:webHidden/>
              </w:rPr>
              <w:fldChar w:fldCharType="begin"/>
            </w:r>
            <w:r>
              <w:rPr>
                <w:noProof/>
                <w:webHidden/>
              </w:rPr>
              <w:instrText xml:space="preserve"> PAGEREF _Toc220491571 \h </w:instrText>
            </w:r>
            <w:r>
              <w:rPr>
                <w:noProof/>
                <w:webHidden/>
              </w:rPr>
            </w:r>
            <w:r>
              <w:rPr>
                <w:noProof/>
                <w:webHidden/>
              </w:rPr>
              <w:fldChar w:fldCharType="separate"/>
            </w:r>
            <w:r>
              <w:rPr>
                <w:noProof/>
                <w:webHidden/>
              </w:rPr>
              <w:t>784</w:t>
            </w:r>
            <w:r>
              <w:rPr>
                <w:noProof/>
                <w:webHidden/>
              </w:rPr>
              <w:fldChar w:fldCharType="end"/>
            </w:r>
          </w:hyperlink>
        </w:p>
        <w:p w14:paraId="1337AB40" w14:textId="26E436EE"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72" w:history="1">
            <w:r w:rsidRPr="001D4C20">
              <w:rPr>
                <w:rStyle w:val="Lienhypertexte"/>
                <w:noProof/>
              </w:rPr>
              <w:t>56.31.1 Eléments de remplissage en planchettes en bois CCTB 01.02</w:t>
            </w:r>
            <w:r>
              <w:rPr>
                <w:noProof/>
                <w:webHidden/>
              </w:rPr>
              <w:tab/>
            </w:r>
            <w:r>
              <w:rPr>
                <w:noProof/>
                <w:webHidden/>
              </w:rPr>
              <w:fldChar w:fldCharType="begin"/>
            </w:r>
            <w:r>
              <w:rPr>
                <w:noProof/>
                <w:webHidden/>
              </w:rPr>
              <w:instrText xml:space="preserve"> PAGEREF _Toc220491572 \h </w:instrText>
            </w:r>
            <w:r>
              <w:rPr>
                <w:noProof/>
                <w:webHidden/>
              </w:rPr>
            </w:r>
            <w:r>
              <w:rPr>
                <w:noProof/>
                <w:webHidden/>
              </w:rPr>
              <w:fldChar w:fldCharType="separate"/>
            </w:r>
            <w:r>
              <w:rPr>
                <w:noProof/>
                <w:webHidden/>
              </w:rPr>
              <w:t>784</w:t>
            </w:r>
            <w:r>
              <w:rPr>
                <w:noProof/>
                <w:webHidden/>
              </w:rPr>
              <w:fldChar w:fldCharType="end"/>
            </w:r>
          </w:hyperlink>
        </w:p>
        <w:p w14:paraId="59B164B5" w14:textId="7DB5FD2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73" w:history="1">
            <w:r w:rsidRPr="001D4C20">
              <w:rPr>
                <w:rStyle w:val="Lienhypertexte"/>
                <w:noProof/>
              </w:rPr>
              <w:t>56.31.1a Eléments de remplissage en planchettes en bois CCTB 01.10</w:t>
            </w:r>
            <w:r>
              <w:rPr>
                <w:noProof/>
                <w:webHidden/>
              </w:rPr>
              <w:tab/>
            </w:r>
            <w:r>
              <w:rPr>
                <w:noProof/>
                <w:webHidden/>
              </w:rPr>
              <w:fldChar w:fldCharType="begin"/>
            </w:r>
            <w:r>
              <w:rPr>
                <w:noProof/>
                <w:webHidden/>
              </w:rPr>
              <w:instrText xml:space="preserve"> PAGEREF _Toc220491573 \h </w:instrText>
            </w:r>
            <w:r>
              <w:rPr>
                <w:noProof/>
                <w:webHidden/>
              </w:rPr>
            </w:r>
            <w:r>
              <w:rPr>
                <w:noProof/>
                <w:webHidden/>
              </w:rPr>
              <w:fldChar w:fldCharType="separate"/>
            </w:r>
            <w:r>
              <w:rPr>
                <w:noProof/>
                <w:webHidden/>
              </w:rPr>
              <w:t>784</w:t>
            </w:r>
            <w:r>
              <w:rPr>
                <w:noProof/>
                <w:webHidden/>
              </w:rPr>
              <w:fldChar w:fldCharType="end"/>
            </w:r>
          </w:hyperlink>
        </w:p>
        <w:p w14:paraId="05714A6A" w14:textId="7FB2E36A"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74" w:history="1">
            <w:r w:rsidRPr="001D4C20">
              <w:rPr>
                <w:rStyle w:val="Lienhypertexte"/>
                <w:noProof/>
              </w:rPr>
              <w:t>56.31.2 Eléments de remplissage en planchettes métalliques CCTB 01.02</w:t>
            </w:r>
            <w:r>
              <w:rPr>
                <w:noProof/>
                <w:webHidden/>
              </w:rPr>
              <w:tab/>
            </w:r>
            <w:r>
              <w:rPr>
                <w:noProof/>
                <w:webHidden/>
              </w:rPr>
              <w:fldChar w:fldCharType="begin"/>
            </w:r>
            <w:r>
              <w:rPr>
                <w:noProof/>
                <w:webHidden/>
              </w:rPr>
              <w:instrText xml:space="preserve"> PAGEREF _Toc220491574 \h </w:instrText>
            </w:r>
            <w:r>
              <w:rPr>
                <w:noProof/>
                <w:webHidden/>
              </w:rPr>
            </w:r>
            <w:r>
              <w:rPr>
                <w:noProof/>
                <w:webHidden/>
              </w:rPr>
              <w:fldChar w:fldCharType="separate"/>
            </w:r>
            <w:r>
              <w:rPr>
                <w:noProof/>
                <w:webHidden/>
              </w:rPr>
              <w:t>786</w:t>
            </w:r>
            <w:r>
              <w:rPr>
                <w:noProof/>
                <w:webHidden/>
              </w:rPr>
              <w:fldChar w:fldCharType="end"/>
            </w:r>
          </w:hyperlink>
        </w:p>
        <w:p w14:paraId="6640676C" w14:textId="710983C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75" w:history="1">
            <w:r w:rsidRPr="001D4C20">
              <w:rPr>
                <w:rStyle w:val="Lienhypertexte"/>
                <w:noProof/>
              </w:rPr>
              <w:t>56.31.2a Eléments de remplissage en planchettes métalliques CCTB 01.10</w:t>
            </w:r>
            <w:r>
              <w:rPr>
                <w:noProof/>
                <w:webHidden/>
              </w:rPr>
              <w:tab/>
            </w:r>
            <w:r>
              <w:rPr>
                <w:noProof/>
                <w:webHidden/>
              </w:rPr>
              <w:fldChar w:fldCharType="begin"/>
            </w:r>
            <w:r>
              <w:rPr>
                <w:noProof/>
                <w:webHidden/>
              </w:rPr>
              <w:instrText xml:space="preserve"> PAGEREF _Toc220491575 \h </w:instrText>
            </w:r>
            <w:r>
              <w:rPr>
                <w:noProof/>
                <w:webHidden/>
              </w:rPr>
            </w:r>
            <w:r>
              <w:rPr>
                <w:noProof/>
                <w:webHidden/>
              </w:rPr>
              <w:fldChar w:fldCharType="separate"/>
            </w:r>
            <w:r>
              <w:rPr>
                <w:noProof/>
                <w:webHidden/>
              </w:rPr>
              <w:t>786</w:t>
            </w:r>
            <w:r>
              <w:rPr>
                <w:noProof/>
                <w:webHidden/>
              </w:rPr>
              <w:fldChar w:fldCharType="end"/>
            </w:r>
          </w:hyperlink>
        </w:p>
        <w:p w14:paraId="4FCC8CCD" w14:textId="33F53E7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76" w:history="1">
            <w:r w:rsidRPr="001D4C20">
              <w:rPr>
                <w:rStyle w:val="Lienhypertexte"/>
                <w:noProof/>
              </w:rPr>
              <w:t>56.31.3 Eléments de remplissage en planchettes en matière synthétique CCTB 01.02</w:t>
            </w:r>
            <w:r>
              <w:rPr>
                <w:noProof/>
                <w:webHidden/>
              </w:rPr>
              <w:tab/>
            </w:r>
            <w:r>
              <w:rPr>
                <w:noProof/>
                <w:webHidden/>
              </w:rPr>
              <w:fldChar w:fldCharType="begin"/>
            </w:r>
            <w:r>
              <w:rPr>
                <w:noProof/>
                <w:webHidden/>
              </w:rPr>
              <w:instrText xml:space="preserve"> PAGEREF _Toc220491576 \h </w:instrText>
            </w:r>
            <w:r>
              <w:rPr>
                <w:noProof/>
                <w:webHidden/>
              </w:rPr>
            </w:r>
            <w:r>
              <w:rPr>
                <w:noProof/>
                <w:webHidden/>
              </w:rPr>
              <w:fldChar w:fldCharType="separate"/>
            </w:r>
            <w:r>
              <w:rPr>
                <w:noProof/>
                <w:webHidden/>
              </w:rPr>
              <w:t>787</w:t>
            </w:r>
            <w:r>
              <w:rPr>
                <w:noProof/>
                <w:webHidden/>
              </w:rPr>
              <w:fldChar w:fldCharType="end"/>
            </w:r>
          </w:hyperlink>
        </w:p>
        <w:p w14:paraId="754263E5" w14:textId="395EBB6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77" w:history="1">
            <w:r w:rsidRPr="001D4C20">
              <w:rPr>
                <w:rStyle w:val="Lienhypertexte"/>
                <w:noProof/>
              </w:rPr>
              <w:t>56.31.3a Eléments de remplissage en planchettes en matière synthétique CCTB 01.11</w:t>
            </w:r>
            <w:r>
              <w:rPr>
                <w:noProof/>
                <w:webHidden/>
              </w:rPr>
              <w:tab/>
            </w:r>
            <w:r>
              <w:rPr>
                <w:noProof/>
                <w:webHidden/>
              </w:rPr>
              <w:fldChar w:fldCharType="begin"/>
            </w:r>
            <w:r>
              <w:rPr>
                <w:noProof/>
                <w:webHidden/>
              </w:rPr>
              <w:instrText xml:space="preserve"> PAGEREF _Toc220491577 \h </w:instrText>
            </w:r>
            <w:r>
              <w:rPr>
                <w:noProof/>
                <w:webHidden/>
              </w:rPr>
            </w:r>
            <w:r>
              <w:rPr>
                <w:noProof/>
                <w:webHidden/>
              </w:rPr>
              <w:fldChar w:fldCharType="separate"/>
            </w:r>
            <w:r>
              <w:rPr>
                <w:noProof/>
                <w:webHidden/>
              </w:rPr>
              <w:t>787</w:t>
            </w:r>
            <w:r>
              <w:rPr>
                <w:noProof/>
                <w:webHidden/>
              </w:rPr>
              <w:fldChar w:fldCharType="end"/>
            </w:r>
          </w:hyperlink>
        </w:p>
        <w:p w14:paraId="0EFF36B7" w14:textId="7D11D7EB"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78" w:history="1">
            <w:r w:rsidRPr="001D4C20">
              <w:rPr>
                <w:rStyle w:val="Lienhypertexte"/>
                <w:noProof/>
              </w:rPr>
              <w:t>56.31.4 Eléments de remplissage en planchettes en fibres ciment CCTB 01.02</w:t>
            </w:r>
            <w:r>
              <w:rPr>
                <w:noProof/>
                <w:webHidden/>
              </w:rPr>
              <w:tab/>
            </w:r>
            <w:r>
              <w:rPr>
                <w:noProof/>
                <w:webHidden/>
              </w:rPr>
              <w:fldChar w:fldCharType="begin"/>
            </w:r>
            <w:r>
              <w:rPr>
                <w:noProof/>
                <w:webHidden/>
              </w:rPr>
              <w:instrText xml:space="preserve"> PAGEREF _Toc220491578 \h </w:instrText>
            </w:r>
            <w:r>
              <w:rPr>
                <w:noProof/>
                <w:webHidden/>
              </w:rPr>
            </w:r>
            <w:r>
              <w:rPr>
                <w:noProof/>
                <w:webHidden/>
              </w:rPr>
              <w:fldChar w:fldCharType="separate"/>
            </w:r>
            <w:r>
              <w:rPr>
                <w:noProof/>
                <w:webHidden/>
              </w:rPr>
              <w:t>788</w:t>
            </w:r>
            <w:r>
              <w:rPr>
                <w:noProof/>
                <w:webHidden/>
              </w:rPr>
              <w:fldChar w:fldCharType="end"/>
            </w:r>
          </w:hyperlink>
        </w:p>
        <w:p w14:paraId="6FE2BAF5" w14:textId="6CD84B4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79" w:history="1">
            <w:r w:rsidRPr="001D4C20">
              <w:rPr>
                <w:rStyle w:val="Lienhypertexte"/>
                <w:noProof/>
              </w:rPr>
              <w:t>56.31.4a Eléments de remplissage en planchettes en fibres ciment CCTB 01.10</w:t>
            </w:r>
            <w:r>
              <w:rPr>
                <w:noProof/>
                <w:webHidden/>
              </w:rPr>
              <w:tab/>
            </w:r>
            <w:r>
              <w:rPr>
                <w:noProof/>
                <w:webHidden/>
              </w:rPr>
              <w:fldChar w:fldCharType="begin"/>
            </w:r>
            <w:r>
              <w:rPr>
                <w:noProof/>
                <w:webHidden/>
              </w:rPr>
              <w:instrText xml:space="preserve"> PAGEREF _Toc220491579 \h </w:instrText>
            </w:r>
            <w:r>
              <w:rPr>
                <w:noProof/>
                <w:webHidden/>
              </w:rPr>
            </w:r>
            <w:r>
              <w:rPr>
                <w:noProof/>
                <w:webHidden/>
              </w:rPr>
              <w:fldChar w:fldCharType="separate"/>
            </w:r>
            <w:r>
              <w:rPr>
                <w:noProof/>
                <w:webHidden/>
              </w:rPr>
              <w:t>788</w:t>
            </w:r>
            <w:r>
              <w:rPr>
                <w:noProof/>
                <w:webHidden/>
              </w:rPr>
              <w:fldChar w:fldCharType="end"/>
            </w:r>
          </w:hyperlink>
        </w:p>
        <w:p w14:paraId="682B36D9" w14:textId="0CC31E1E"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80" w:history="1">
            <w:r w:rsidRPr="001D4C20">
              <w:rPr>
                <w:rStyle w:val="Lienhypertexte"/>
                <w:noProof/>
              </w:rPr>
              <w:t>56.32 Eléments de remplissage en panneaux transparents/translucides CCTB 01.02</w:t>
            </w:r>
            <w:r>
              <w:rPr>
                <w:noProof/>
                <w:webHidden/>
              </w:rPr>
              <w:tab/>
            </w:r>
            <w:r>
              <w:rPr>
                <w:noProof/>
                <w:webHidden/>
              </w:rPr>
              <w:fldChar w:fldCharType="begin"/>
            </w:r>
            <w:r>
              <w:rPr>
                <w:noProof/>
                <w:webHidden/>
              </w:rPr>
              <w:instrText xml:space="preserve"> PAGEREF _Toc220491580 \h </w:instrText>
            </w:r>
            <w:r>
              <w:rPr>
                <w:noProof/>
                <w:webHidden/>
              </w:rPr>
            </w:r>
            <w:r>
              <w:rPr>
                <w:noProof/>
                <w:webHidden/>
              </w:rPr>
              <w:fldChar w:fldCharType="separate"/>
            </w:r>
            <w:r>
              <w:rPr>
                <w:noProof/>
                <w:webHidden/>
              </w:rPr>
              <w:t>789</w:t>
            </w:r>
            <w:r>
              <w:rPr>
                <w:noProof/>
                <w:webHidden/>
              </w:rPr>
              <w:fldChar w:fldCharType="end"/>
            </w:r>
          </w:hyperlink>
        </w:p>
        <w:p w14:paraId="5CE407C2" w14:textId="729A86F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81" w:history="1">
            <w:r w:rsidRPr="001D4C20">
              <w:rPr>
                <w:rStyle w:val="Lienhypertexte"/>
                <w:noProof/>
              </w:rPr>
              <w:t>56.32.1 Panneaux translucides/transparents en polycarbonate CCTB 01.02</w:t>
            </w:r>
            <w:r>
              <w:rPr>
                <w:noProof/>
                <w:webHidden/>
              </w:rPr>
              <w:tab/>
            </w:r>
            <w:r>
              <w:rPr>
                <w:noProof/>
                <w:webHidden/>
              </w:rPr>
              <w:fldChar w:fldCharType="begin"/>
            </w:r>
            <w:r>
              <w:rPr>
                <w:noProof/>
                <w:webHidden/>
              </w:rPr>
              <w:instrText xml:space="preserve"> PAGEREF _Toc220491581 \h </w:instrText>
            </w:r>
            <w:r>
              <w:rPr>
                <w:noProof/>
                <w:webHidden/>
              </w:rPr>
            </w:r>
            <w:r>
              <w:rPr>
                <w:noProof/>
                <w:webHidden/>
              </w:rPr>
              <w:fldChar w:fldCharType="separate"/>
            </w:r>
            <w:r>
              <w:rPr>
                <w:noProof/>
                <w:webHidden/>
              </w:rPr>
              <w:t>789</w:t>
            </w:r>
            <w:r>
              <w:rPr>
                <w:noProof/>
                <w:webHidden/>
              </w:rPr>
              <w:fldChar w:fldCharType="end"/>
            </w:r>
          </w:hyperlink>
        </w:p>
        <w:p w14:paraId="330A9104" w14:textId="0C2D2E3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82" w:history="1">
            <w:r w:rsidRPr="001D4C20">
              <w:rPr>
                <w:rStyle w:val="Lienhypertexte"/>
                <w:noProof/>
              </w:rPr>
              <w:t>56.32.1a Panneaux translucides/transparents en polycarbonate CCTB 01.02</w:t>
            </w:r>
            <w:r>
              <w:rPr>
                <w:noProof/>
                <w:webHidden/>
              </w:rPr>
              <w:tab/>
            </w:r>
            <w:r>
              <w:rPr>
                <w:noProof/>
                <w:webHidden/>
              </w:rPr>
              <w:fldChar w:fldCharType="begin"/>
            </w:r>
            <w:r>
              <w:rPr>
                <w:noProof/>
                <w:webHidden/>
              </w:rPr>
              <w:instrText xml:space="preserve"> PAGEREF _Toc220491582 \h </w:instrText>
            </w:r>
            <w:r>
              <w:rPr>
                <w:noProof/>
                <w:webHidden/>
              </w:rPr>
            </w:r>
            <w:r>
              <w:rPr>
                <w:noProof/>
                <w:webHidden/>
              </w:rPr>
              <w:fldChar w:fldCharType="separate"/>
            </w:r>
            <w:r>
              <w:rPr>
                <w:noProof/>
                <w:webHidden/>
              </w:rPr>
              <w:t>790</w:t>
            </w:r>
            <w:r>
              <w:rPr>
                <w:noProof/>
                <w:webHidden/>
              </w:rPr>
              <w:fldChar w:fldCharType="end"/>
            </w:r>
          </w:hyperlink>
        </w:p>
        <w:p w14:paraId="376A23BD" w14:textId="312142D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83" w:history="1">
            <w:r w:rsidRPr="001D4C20">
              <w:rPr>
                <w:rStyle w:val="Lienhypertexte"/>
                <w:noProof/>
              </w:rPr>
              <w:t>56.32.2 Panneaux translucides/transparents en PMMA CCTB 01.02</w:t>
            </w:r>
            <w:r>
              <w:rPr>
                <w:noProof/>
                <w:webHidden/>
              </w:rPr>
              <w:tab/>
            </w:r>
            <w:r>
              <w:rPr>
                <w:noProof/>
                <w:webHidden/>
              </w:rPr>
              <w:fldChar w:fldCharType="begin"/>
            </w:r>
            <w:r>
              <w:rPr>
                <w:noProof/>
                <w:webHidden/>
              </w:rPr>
              <w:instrText xml:space="preserve"> PAGEREF _Toc220491583 \h </w:instrText>
            </w:r>
            <w:r>
              <w:rPr>
                <w:noProof/>
                <w:webHidden/>
              </w:rPr>
            </w:r>
            <w:r>
              <w:rPr>
                <w:noProof/>
                <w:webHidden/>
              </w:rPr>
              <w:fldChar w:fldCharType="separate"/>
            </w:r>
            <w:r>
              <w:rPr>
                <w:noProof/>
                <w:webHidden/>
              </w:rPr>
              <w:t>790</w:t>
            </w:r>
            <w:r>
              <w:rPr>
                <w:noProof/>
                <w:webHidden/>
              </w:rPr>
              <w:fldChar w:fldCharType="end"/>
            </w:r>
          </w:hyperlink>
        </w:p>
        <w:p w14:paraId="7DE9E8F7" w14:textId="228CD8F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84" w:history="1">
            <w:r w:rsidRPr="001D4C20">
              <w:rPr>
                <w:rStyle w:val="Lienhypertexte"/>
                <w:noProof/>
              </w:rPr>
              <w:t>56.32.2a Panneaux translucides/transparents en PMMA CCTB 01.02</w:t>
            </w:r>
            <w:r>
              <w:rPr>
                <w:noProof/>
                <w:webHidden/>
              </w:rPr>
              <w:tab/>
            </w:r>
            <w:r>
              <w:rPr>
                <w:noProof/>
                <w:webHidden/>
              </w:rPr>
              <w:fldChar w:fldCharType="begin"/>
            </w:r>
            <w:r>
              <w:rPr>
                <w:noProof/>
                <w:webHidden/>
              </w:rPr>
              <w:instrText xml:space="preserve"> PAGEREF _Toc220491584 \h </w:instrText>
            </w:r>
            <w:r>
              <w:rPr>
                <w:noProof/>
                <w:webHidden/>
              </w:rPr>
            </w:r>
            <w:r>
              <w:rPr>
                <w:noProof/>
                <w:webHidden/>
              </w:rPr>
              <w:fldChar w:fldCharType="separate"/>
            </w:r>
            <w:r>
              <w:rPr>
                <w:noProof/>
                <w:webHidden/>
              </w:rPr>
              <w:t>790</w:t>
            </w:r>
            <w:r>
              <w:rPr>
                <w:noProof/>
                <w:webHidden/>
              </w:rPr>
              <w:fldChar w:fldCharType="end"/>
            </w:r>
          </w:hyperlink>
        </w:p>
        <w:p w14:paraId="119B4DBC" w14:textId="34F993FF"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85" w:history="1">
            <w:r w:rsidRPr="001D4C20">
              <w:rPr>
                <w:rStyle w:val="Lienhypertexte"/>
                <w:noProof/>
              </w:rPr>
              <w:t>56.32.3 Panneaux translucides/transparents en acrylique CCTB 01.02</w:t>
            </w:r>
            <w:r>
              <w:rPr>
                <w:noProof/>
                <w:webHidden/>
              </w:rPr>
              <w:tab/>
            </w:r>
            <w:r>
              <w:rPr>
                <w:noProof/>
                <w:webHidden/>
              </w:rPr>
              <w:fldChar w:fldCharType="begin"/>
            </w:r>
            <w:r>
              <w:rPr>
                <w:noProof/>
                <w:webHidden/>
              </w:rPr>
              <w:instrText xml:space="preserve"> PAGEREF _Toc220491585 \h </w:instrText>
            </w:r>
            <w:r>
              <w:rPr>
                <w:noProof/>
                <w:webHidden/>
              </w:rPr>
            </w:r>
            <w:r>
              <w:rPr>
                <w:noProof/>
                <w:webHidden/>
              </w:rPr>
              <w:fldChar w:fldCharType="separate"/>
            </w:r>
            <w:r>
              <w:rPr>
                <w:noProof/>
                <w:webHidden/>
              </w:rPr>
              <w:t>790</w:t>
            </w:r>
            <w:r>
              <w:rPr>
                <w:noProof/>
                <w:webHidden/>
              </w:rPr>
              <w:fldChar w:fldCharType="end"/>
            </w:r>
          </w:hyperlink>
        </w:p>
        <w:p w14:paraId="0E01DE78" w14:textId="13A1E1D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86" w:history="1">
            <w:r w:rsidRPr="001D4C20">
              <w:rPr>
                <w:rStyle w:val="Lienhypertexte"/>
                <w:noProof/>
              </w:rPr>
              <w:t>56.32.3a Panneaux translucides/transparents en acrylique CCTB 01.02</w:t>
            </w:r>
            <w:r>
              <w:rPr>
                <w:noProof/>
                <w:webHidden/>
              </w:rPr>
              <w:tab/>
            </w:r>
            <w:r>
              <w:rPr>
                <w:noProof/>
                <w:webHidden/>
              </w:rPr>
              <w:fldChar w:fldCharType="begin"/>
            </w:r>
            <w:r>
              <w:rPr>
                <w:noProof/>
                <w:webHidden/>
              </w:rPr>
              <w:instrText xml:space="preserve"> PAGEREF _Toc220491586 \h </w:instrText>
            </w:r>
            <w:r>
              <w:rPr>
                <w:noProof/>
                <w:webHidden/>
              </w:rPr>
            </w:r>
            <w:r>
              <w:rPr>
                <w:noProof/>
                <w:webHidden/>
              </w:rPr>
              <w:fldChar w:fldCharType="separate"/>
            </w:r>
            <w:r>
              <w:rPr>
                <w:noProof/>
                <w:webHidden/>
              </w:rPr>
              <w:t>790</w:t>
            </w:r>
            <w:r>
              <w:rPr>
                <w:noProof/>
                <w:webHidden/>
              </w:rPr>
              <w:fldChar w:fldCharType="end"/>
            </w:r>
          </w:hyperlink>
        </w:p>
        <w:p w14:paraId="78C06BC5" w14:textId="210F2AA0"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87" w:history="1">
            <w:r w:rsidRPr="001D4C20">
              <w:rPr>
                <w:rStyle w:val="Lienhypertexte"/>
                <w:noProof/>
              </w:rPr>
              <w:t>56.32.4 Panneaux translucides/transparents en PVC CCTB 01.02</w:t>
            </w:r>
            <w:r>
              <w:rPr>
                <w:noProof/>
                <w:webHidden/>
              </w:rPr>
              <w:tab/>
            </w:r>
            <w:r>
              <w:rPr>
                <w:noProof/>
                <w:webHidden/>
              </w:rPr>
              <w:fldChar w:fldCharType="begin"/>
            </w:r>
            <w:r>
              <w:rPr>
                <w:noProof/>
                <w:webHidden/>
              </w:rPr>
              <w:instrText xml:space="preserve"> PAGEREF _Toc220491587 \h </w:instrText>
            </w:r>
            <w:r>
              <w:rPr>
                <w:noProof/>
                <w:webHidden/>
              </w:rPr>
            </w:r>
            <w:r>
              <w:rPr>
                <w:noProof/>
                <w:webHidden/>
              </w:rPr>
              <w:fldChar w:fldCharType="separate"/>
            </w:r>
            <w:r>
              <w:rPr>
                <w:noProof/>
                <w:webHidden/>
              </w:rPr>
              <w:t>790</w:t>
            </w:r>
            <w:r>
              <w:rPr>
                <w:noProof/>
                <w:webHidden/>
              </w:rPr>
              <w:fldChar w:fldCharType="end"/>
            </w:r>
          </w:hyperlink>
        </w:p>
        <w:p w14:paraId="08F35E07" w14:textId="68DA786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88" w:history="1">
            <w:r w:rsidRPr="001D4C20">
              <w:rPr>
                <w:rStyle w:val="Lienhypertexte"/>
                <w:noProof/>
              </w:rPr>
              <w:t>56.32.4a Panneaux translucides/transparents en PVC CCTB 01.10</w:t>
            </w:r>
            <w:r>
              <w:rPr>
                <w:noProof/>
                <w:webHidden/>
              </w:rPr>
              <w:tab/>
            </w:r>
            <w:r>
              <w:rPr>
                <w:noProof/>
                <w:webHidden/>
              </w:rPr>
              <w:fldChar w:fldCharType="begin"/>
            </w:r>
            <w:r>
              <w:rPr>
                <w:noProof/>
                <w:webHidden/>
              </w:rPr>
              <w:instrText xml:space="preserve"> PAGEREF _Toc220491588 \h </w:instrText>
            </w:r>
            <w:r>
              <w:rPr>
                <w:noProof/>
                <w:webHidden/>
              </w:rPr>
            </w:r>
            <w:r>
              <w:rPr>
                <w:noProof/>
                <w:webHidden/>
              </w:rPr>
              <w:fldChar w:fldCharType="separate"/>
            </w:r>
            <w:r>
              <w:rPr>
                <w:noProof/>
                <w:webHidden/>
              </w:rPr>
              <w:t>790</w:t>
            </w:r>
            <w:r>
              <w:rPr>
                <w:noProof/>
                <w:webHidden/>
              </w:rPr>
              <w:fldChar w:fldCharType="end"/>
            </w:r>
          </w:hyperlink>
        </w:p>
        <w:p w14:paraId="7B6AF6F3" w14:textId="5FF43C18"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89" w:history="1">
            <w:r w:rsidRPr="001D4C20">
              <w:rPr>
                <w:rStyle w:val="Lienhypertexte"/>
                <w:noProof/>
              </w:rPr>
              <w:t>56.33 Eléments de remplissage en panneaux opaques CCTB 01.02</w:t>
            </w:r>
            <w:r>
              <w:rPr>
                <w:noProof/>
                <w:webHidden/>
              </w:rPr>
              <w:tab/>
            </w:r>
            <w:r>
              <w:rPr>
                <w:noProof/>
                <w:webHidden/>
              </w:rPr>
              <w:fldChar w:fldCharType="begin"/>
            </w:r>
            <w:r>
              <w:rPr>
                <w:noProof/>
                <w:webHidden/>
              </w:rPr>
              <w:instrText xml:space="preserve"> PAGEREF _Toc220491589 \h </w:instrText>
            </w:r>
            <w:r>
              <w:rPr>
                <w:noProof/>
                <w:webHidden/>
              </w:rPr>
            </w:r>
            <w:r>
              <w:rPr>
                <w:noProof/>
                <w:webHidden/>
              </w:rPr>
              <w:fldChar w:fldCharType="separate"/>
            </w:r>
            <w:r>
              <w:rPr>
                <w:noProof/>
                <w:webHidden/>
              </w:rPr>
              <w:t>791</w:t>
            </w:r>
            <w:r>
              <w:rPr>
                <w:noProof/>
                <w:webHidden/>
              </w:rPr>
              <w:fldChar w:fldCharType="end"/>
            </w:r>
          </w:hyperlink>
        </w:p>
        <w:p w14:paraId="5190C243" w14:textId="508BF247"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90" w:history="1">
            <w:r w:rsidRPr="001D4C20">
              <w:rPr>
                <w:rStyle w:val="Lienhypertexte"/>
                <w:noProof/>
              </w:rPr>
              <w:t>56.33.1 Eléments de remplissage en panneaux en bois CCTB 01.02</w:t>
            </w:r>
            <w:r>
              <w:rPr>
                <w:noProof/>
                <w:webHidden/>
              </w:rPr>
              <w:tab/>
            </w:r>
            <w:r>
              <w:rPr>
                <w:noProof/>
                <w:webHidden/>
              </w:rPr>
              <w:fldChar w:fldCharType="begin"/>
            </w:r>
            <w:r>
              <w:rPr>
                <w:noProof/>
                <w:webHidden/>
              </w:rPr>
              <w:instrText xml:space="preserve"> PAGEREF _Toc220491590 \h </w:instrText>
            </w:r>
            <w:r>
              <w:rPr>
                <w:noProof/>
                <w:webHidden/>
              </w:rPr>
            </w:r>
            <w:r>
              <w:rPr>
                <w:noProof/>
                <w:webHidden/>
              </w:rPr>
              <w:fldChar w:fldCharType="separate"/>
            </w:r>
            <w:r>
              <w:rPr>
                <w:noProof/>
                <w:webHidden/>
              </w:rPr>
              <w:t>791</w:t>
            </w:r>
            <w:r>
              <w:rPr>
                <w:noProof/>
                <w:webHidden/>
              </w:rPr>
              <w:fldChar w:fldCharType="end"/>
            </w:r>
          </w:hyperlink>
        </w:p>
        <w:p w14:paraId="39795317" w14:textId="0EBD8CE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91" w:history="1">
            <w:r w:rsidRPr="001D4C20">
              <w:rPr>
                <w:rStyle w:val="Lienhypertexte"/>
                <w:noProof/>
              </w:rPr>
              <w:t>56.33.1a Eléments de remplissage en panneaux en bois CCTB 01.10</w:t>
            </w:r>
            <w:r>
              <w:rPr>
                <w:noProof/>
                <w:webHidden/>
              </w:rPr>
              <w:tab/>
            </w:r>
            <w:r>
              <w:rPr>
                <w:noProof/>
                <w:webHidden/>
              </w:rPr>
              <w:fldChar w:fldCharType="begin"/>
            </w:r>
            <w:r>
              <w:rPr>
                <w:noProof/>
                <w:webHidden/>
              </w:rPr>
              <w:instrText xml:space="preserve"> PAGEREF _Toc220491591 \h </w:instrText>
            </w:r>
            <w:r>
              <w:rPr>
                <w:noProof/>
                <w:webHidden/>
              </w:rPr>
            </w:r>
            <w:r>
              <w:rPr>
                <w:noProof/>
                <w:webHidden/>
              </w:rPr>
              <w:fldChar w:fldCharType="separate"/>
            </w:r>
            <w:r>
              <w:rPr>
                <w:noProof/>
                <w:webHidden/>
              </w:rPr>
              <w:t>791</w:t>
            </w:r>
            <w:r>
              <w:rPr>
                <w:noProof/>
                <w:webHidden/>
              </w:rPr>
              <w:fldChar w:fldCharType="end"/>
            </w:r>
          </w:hyperlink>
        </w:p>
        <w:p w14:paraId="7E756F85" w14:textId="6E18A53F"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92" w:history="1">
            <w:r w:rsidRPr="001D4C20">
              <w:rPr>
                <w:rStyle w:val="Lienhypertexte"/>
                <w:noProof/>
              </w:rPr>
              <w:t>56.33.2 Eléments de remplissage en panneaux métalliques CCTB 01.02</w:t>
            </w:r>
            <w:r>
              <w:rPr>
                <w:noProof/>
                <w:webHidden/>
              </w:rPr>
              <w:tab/>
            </w:r>
            <w:r>
              <w:rPr>
                <w:noProof/>
                <w:webHidden/>
              </w:rPr>
              <w:fldChar w:fldCharType="begin"/>
            </w:r>
            <w:r>
              <w:rPr>
                <w:noProof/>
                <w:webHidden/>
              </w:rPr>
              <w:instrText xml:space="preserve"> PAGEREF _Toc220491592 \h </w:instrText>
            </w:r>
            <w:r>
              <w:rPr>
                <w:noProof/>
                <w:webHidden/>
              </w:rPr>
            </w:r>
            <w:r>
              <w:rPr>
                <w:noProof/>
                <w:webHidden/>
              </w:rPr>
              <w:fldChar w:fldCharType="separate"/>
            </w:r>
            <w:r>
              <w:rPr>
                <w:noProof/>
                <w:webHidden/>
              </w:rPr>
              <w:t>792</w:t>
            </w:r>
            <w:r>
              <w:rPr>
                <w:noProof/>
                <w:webHidden/>
              </w:rPr>
              <w:fldChar w:fldCharType="end"/>
            </w:r>
          </w:hyperlink>
        </w:p>
        <w:p w14:paraId="7A443D2B" w14:textId="02AC9AC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93" w:history="1">
            <w:r w:rsidRPr="001D4C20">
              <w:rPr>
                <w:rStyle w:val="Lienhypertexte"/>
                <w:noProof/>
              </w:rPr>
              <w:t>56.33.2a Eléments de remplissage en panneaux métalliques CCTB 01.10</w:t>
            </w:r>
            <w:r>
              <w:rPr>
                <w:noProof/>
                <w:webHidden/>
              </w:rPr>
              <w:tab/>
            </w:r>
            <w:r>
              <w:rPr>
                <w:noProof/>
                <w:webHidden/>
              </w:rPr>
              <w:fldChar w:fldCharType="begin"/>
            </w:r>
            <w:r>
              <w:rPr>
                <w:noProof/>
                <w:webHidden/>
              </w:rPr>
              <w:instrText xml:space="preserve"> PAGEREF _Toc220491593 \h </w:instrText>
            </w:r>
            <w:r>
              <w:rPr>
                <w:noProof/>
                <w:webHidden/>
              </w:rPr>
            </w:r>
            <w:r>
              <w:rPr>
                <w:noProof/>
                <w:webHidden/>
              </w:rPr>
              <w:fldChar w:fldCharType="separate"/>
            </w:r>
            <w:r>
              <w:rPr>
                <w:noProof/>
                <w:webHidden/>
              </w:rPr>
              <w:t>792</w:t>
            </w:r>
            <w:r>
              <w:rPr>
                <w:noProof/>
                <w:webHidden/>
              </w:rPr>
              <w:fldChar w:fldCharType="end"/>
            </w:r>
          </w:hyperlink>
        </w:p>
        <w:p w14:paraId="26EBA491" w14:textId="2019B506"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94" w:history="1">
            <w:r w:rsidRPr="001D4C20">
              <w:rPr>
                <w:rStyle w:val="Lienhypertexte"/>
                <w:noProof/>
              </w:rPr>
              <w:t>56.33.3 Eléments de remplissage en panneaux en matière synthétique CCTB 01.02</w:t>
            </w:r>
            <w:r>
              <w:rPr>
                <w:noProof/>
                <w:webHidden/>
              </w:rPr>
              <w:tab/>
            </w:r>
            <w:r>
              <w:rPr>
                <w:noProof/>
                <w:webHidden/>
              </w:rPr>
              <w:fldChar w:fldCharType="begin"/>
            </w:r>
            <w:r>
              <w:rPr>
                <w:noProof/>
                <w:webHidden/>
              </w:rPr>
              <w:instrText xml:space="preserve"> PAGEREF _Toc220491594 \h </w:instrText>
            </w:r>
            <w:r>
              <w:rPr>
                <w:noProof/>
                <w:webHidden/>
              </w:rPr>
            </w:r>
            <w:r>
              <w:rPr>
                <w:noProof/>
                <w:webHidden/>
              </w:rPr>
              <w:fldChar w:fldCharType="separate"/>
            </w:r>
            <w:r>
              <w:rPr>
                <w:noProof/>
                <w:webHidden/>
              </w:rPr>
              <w:t>793</w:t>
            </w:r>
            <w:r>
              <w:rPr>
                <w:noProof/>
                <w:webHidden/>
              </w:rPr>
              <w:fldChar w:fldCharType="end"/>
            </w:r>
          </w:hyperlink>
        </w:p>
        <w:p w14:paraId="39151196" w14:textId="30B60D0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95" w:history="1">
            <w:r w:rsidRPr="001D4C20">
              <w:rPr>
                <w:rStyle w:val="Lienhypertexte"/>
                <w:noProof/>
              </w:rPr>
              <w:t>56.33.3a Eléments de remplissage en panneaux en matière synthétique CCTB 01.11</w:t>
            </w:r>
            <w:r>
              <w:rPr>
                <w:noProof/>
                <w:webHidden/>
              </w:rPr>
              <w:tab/>
            </w:r>
            <w:r>
              <w:rPr>
                <w:noProof/>
                <w:webHidden/>
              </w:rPr>
              <w:fldChar w:fldCharType="begin"/>
            </w:r>
            <w:r>
              <w:rPr>
                <w:noProof/>
                <w:webHidden/>
              </w:rPr>
              <w:instrText xml:space="preserve"> PAGEREF _Toc220491595 \h </w:instrText>
            </w:r>
            <w:r>
              <w:rPr>
                <w:noProof/>
                <w:webHidden/>
              </w:rPr>
            </w:r>
            <w:r>
              <w:rPr>
                <w:noProof/>
                <w:webHidden/>
              </w:rPr>
              <w:fldChar w:fldCharType="separate"/>
            </w:r>
            <w:r>
              <w:rPr>
                <w:noProof/>
                <w:webHidden/>
              </w:rPr>
              <w:t>793</w:t>
            </w:r>
            <w:r>
              <w:rPr>
                <w:noProof/>
                <w:webHidden/>
              </w:rPr>
              <w:fldChar w:fldCharType="end"/>
            </w:r>
          </w:hyperlink>
        </w:p>
        <w:p w14:paraId="78508932" w14:textId="3E0AB8D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96" w:history="1">
            <w:r w:rsidRPr="001D4C20">
              <w:rPr>
                <w:rStyle w:val="Lienhypertexte"/>
                <w:noProof/>
              </w:rPr>
              <w:t>56.33.4 Eléments de remplissage en panneaux en fibres ciment CCTB 01.02</w:t>
            </w:r>
            <w:r>
              <w:rPr>
                <w:noProof/>
                <w:webHidden/>
              </w:rPr>
              <w:tab/>
            </w:r>
            <w:r>
              <w:rPr>
                <w:noProof/>
                <w:webHidden/>
              </w:rPr>
              <w:fldChar w:fldCharType="begin"/>
            </w:r>
            <w:r>
              <w:rPr>
                <w:noProof/>
                <w:webHidden/>
              </w:rPr>
              <w:instrText xml:space="preserve"> PAGEREF _Toc220491596 \h </w:instrText>
            </w:r>
            <w:r>
              <w:rPr>
                <w:noProof/>
                <w:webHidden/>
              </w:rPr>
            </w:r>
            <w:r>
              <w:rPr>
                <w:noProof/>
                <w:webHidden/>
              </w:rPr>
              <w:fldChar w:fldCharType="separate"/>
            </w:r>
            <w:r>
              <w:rPr>
                <w:noProof/>
                <w:webHidden/>
              </w:rPr>
              <w:t>795</w:t>
            </w:r>
            <w:r>
              <w:rPr>
                <w:noProof/>
                <w:webHidden/>
              </w:rPr>
              <w:fldChar w:fldCharType="end"/>
            </w:r>
          </w:hyperlink>
        </w:p>
        <w:p w14:paraId="44AC3DF9" w14:textId="1ACD64B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97" w:history="1">
            <w:r w:rsidRPr="001D4C20">
              <w:rPr>
                <w:rStyle w:val="Lienhypertexte"/>
                <w:noProof/>
              </w:rPr>
              <w:t>56.33.4a Eléments de remplissage en panneaux en fibres ciment CCTB 01.10</w:t>
            </w:r>
            <w:r>
              <w:rPr>
                <w:noProof/>
                <w:webHidden/>
              </w:rPr>
              <w:tab/>
            </w:r>
            <w:r>
              <w:rPr>
                <w:noProof/>
                <w:webHidden/>
              </w:rPr>
              <w:fldChar w:fldCharType="begin"/>
            </w:r>
            <w:r>
              <w:rPr>
                <w:noProof/>
                <w:webHidden/>
              </w:rPr>
              <w:instrText xml:space="preserve"> PAGEREF _Toc220491597 \h </w:instrText>
            </w:r>
            <w:r>
              <w:rPr>
                <w:noProof/>
                <w:webHidden/>
              </w:rPr>
            </w:r>
            <w:r>
              <w:rPr>
                <w:noProof/>
                <w:webHidden/>
              </w:rPr>
              <w:fldChar w:fldCharType="separate"/>
            </w:r>
            <w:r>
              <w:rPr>
                <w:noProof/>
                <w:webHidden/>
              </w:rPr>
              <w:t>795</w:t>
            </w:r>
            <w:r>
              <w:rPr>
                <w:noProof/>
                <w:webHidden/>
              </w:rPr>
              <w:fldChar w:fldCharType="end"/>
            </w:r>
          </w:hyperlink>
        </w:p>
        <w:p w14:paraId="1ED24836" w14:textId="3B41E3F7"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98" w:history="1">
            <w:r w:rsidRPr="001D4C20">
              <w:rPr>
                <w:rStyle w:val="Lienhypertexte"/>
                <w:noProof/>
              </w:rPr>
              <w:t>56.34 Eléments de remplissage en panneaux sandwich CCTB 01.10</w:t>
            </w:r>
            <w:r>
              <w:rPr>
                <w:noProof/>
                <w:webHidden/>
              </w:rPr>
              <w:tab/>
            </w:r>
            <w:r>
              <w:rPr>
                <w:noProof/>
                <w:webHidden/>
              </w:rPr>
              <w:fldChar w:fldCharType="begin"/>
            </w:r>
            <w:r>
              <w:rPr>
                <w:noProof/>
                <w:webHidden/>
              </w:rPr>
              <w:instrText xml:space="preserve"> PAGEREF _Toc220491598 \h </w:instrText>
            </w:r>
            <w:r>
              <w:rPr>
                <w:noProof/>
                <w:webHidden/>
              </w:rPr>
            </w:r>
            <w:r>
              <w:rPr>
                <w:noProof/>
                <w:webHidden/>
              </w:rPr>
              <w:fldChar w:fldCharType="separate"/>
            </w:r>
            <w:r>
              <w:rPr>
                <w:noProof/>
                <w:webHidden/>
              </w:rPr>
              <w:t>796</w:t>
            </w:r>
            <w:r>
              <w:rPr>
                <w:noProof/>
                <w:webHidden/>
              </w:rPr>
              <w:fldChar w:fldCharType="end"/>
            </w:r>
          </w:hyperlink>
        </w:p>
        <w:p w14:paraId="0428EF6D" w14:textId="6988CBEB"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99" w:history="1">
            <w:r w:rsidRPr="001D4C20">
              <w:rPr>
                <w:rStyle w:val="Lienhypertexte"/>
                <w:noProof/>
              </w:rPr>
              <w:t>56.34.1 Eléments de remplissage en panneaux sandwichs en bois CCTB 01.02</w:t>
            </w:r>
            <w:r>
              <w:rPr>
                <w:noProof/>
                <w:webHidden/>
              </w:rPr>
              <w:tab/>
            </w:r>
            <w:r>
              <w:rPr>
                <w:noProof/>
                <w:webHidden/>
              </w:rPr>
              <w:fldChar w:fldCharType="begin"/>
            </w:r>
            <w:r>
              <w:rPr>
                <w:noProof/>
                <w:webHidden/>
              </w:rPr>
              <w:instrText xml:space="preserve"> PAGEREF _Toc220491599 \h </w:instrText>
            </w:r>
            <w:r>
              <w:rPr>
                <w:noProof/>
                <w:webHidden/>
              </w:rPr>
            </w:r>
            <w:r>
              <w:rPr>
                <w:noProof/>
                <w:webHidden/>
              </w:rPr>
              <w:fldChar w:fldCharType="separate"/>
            </w:r>
            <w:r>
              <w:rPr>
                <w:noProof/>
                <w:webHidden/>
              </w:rPr>
              <w:t>796</w:t>
            </w:r>
            <w:r>
              <w:rPr>
                <w:noProof/>
                <w:webHidden/>
              </w:rPr>
              <w:fldChar w:fldCharType="end"/>
            </w:r>
          </w:hyperlink>
        </w:p>
        <w:p w14:paraId="3175D7BB" w14:textId="70D2913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00" w:history="1">
            <w:r w:rsidRPr="001D4C20">
              <w:rPr>
                <w:rStyle w:val="Lienhypertexte"/>
                <w:noProof/>
              </w:rPr>
              <w:t>56.34.1a Eléments de remplissage en panneaux sandwichs en bois CCTB 01.10</w:t>
            </w:r>
            <w:r>
              <w:rPr>
                <w:noProof/>
                <w:webHidden/>
              </w:rPr>
              <w:tab/>
            </w:r>
            <w:r>
              <w:rPr>
                <w:noProof/>
                <w:webHidden/>
              </w:rPr>
              <w:fldChar w:fldCharType="begin"/>
            </w:r>
            <w:r>
              <w:rPr>
                <w:noProof/>
                <w:webHidden/>
              </w:rPr>
              <w:instrText xml:space="preserve"> PAGEREF _Toc220491600 \h </w:instrText>
            </w:r>
            <w:r>
              <w:rPr>
                <w:noProof/>
                <w:webHidden/>
              </w:rPr>
            </w:r>
            <w:r>
              <w:rPr>
                <w:noProof/>
                <w:webHidden/>
              </w:rPr>
              <w:fldChar w:fldCharType="separate"/>
            </w:r>
            <w:r>
              <w:rPr>
                <w:noProof/>
                <w:webHidden/>
              </w:rPr>
              <w:t>796</w:t>
            </w:r>
            <w:r>
              <w:rPr>
                <w:noProof/>
                <w:webHidden/>
              </w:rPr>
              <w:fldChar w:fldCharType="end"/>
            </w:r>
          </w:hyperlink>
        </w:p>
        <w:p w14:paraId="10E1DE14" w14:textId="33D59B97"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01" w:history="1">
            <w:r w:rsidRPr="001D4C20">
              <w:rPr>
                <w:rStyle w:val="Lienhypertexte"/>
                <w:noProof/>
              </w:rPr>
              <w:t>56.34.2 Eléments de remplissage en panneaux sandwichs métalliques CCTB 01.02</w:t>
            </w:r>
            <w:r>
              <w:rPr>
                <w:noProof/>
                <w:webHidden/>
              </w:rPr>
              <w:tab/>
            </w:r>
            <w:r>
              <w:rPr>
                <w:noProof/>
                <w:webHidden/>
              </w:rPr>
              <w:fldChar w:fldCharType="begin"/>
            </w:r>
            <w:r>
              <w:rPr>
                <w:noProof/>
                <w:webHidden/>
              </w:rPr>
              <w:instrText xml:space="preserve"> PAGEREF _Toc220491601 \h </w:instrText>
            </w:r>
            <w:r>
              <w:rPr>
                <w:noProof/>
                <w:webHidden/>
              </w:rPr>
            </w:r>
            <w:r>
              <w:rPr>
                <w:noProof/>
                <w:webHidden/>
              </w:rPr>
              <w:fldChar w:fldCharType="separate"/>
            </w:r>
            <w:r>
              <w:rPr>
                <w:noProof/>
                <w:webHidden/>
              </w:rPr>
              <w:t>798</w:t>
            </w:r>
            <w:r>
              <w:rPr>
                <w:noProof/>
                <w:webHidden/>
              </w:rPr>
              <w:fldChar w:fldCharType="end"/>
            </w:r>
          </w:hyperlink>
        </w:p>
        <w:p w14:paraId="44116122" w14:textId="429ACDE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02" w:history="1">
            <w:r w:rsidRPr="001D4C20">
              <w:rPr>
                <w:rStyle w:val="Lienhypertexte"/>
                <w:noProof/>
              </w:rPr>
              <w:t>56.34.2a Eléments de remplissage en panneaux sandwichs métalliques CCTB 01.10</w:t>
            </w:r>
            <w:r>
              <w:rPr>
                <w:noProof/>
                <w:webHidden/>
              </w:rPr>
              <w:tab/>
            </w:r>
            <w:r>
              <w:rPr>
                <w:noProof/>
                <w:webHidden/>
              </w:rPr>
              <w:fldChar w:fldCharType="begin"/>
            </w:r>
            <w:r>
              <w:rPr>
                <w:noProof/>
                <w:webHidden/>
              </w:rPr>
              <w:instrText xml:space="preserve"> PAGEREF _Toc220491602 \h </w:instrText>
            </w:r>
            <w:r>
              <w:rPr>
                <w:noProof/>
                <w:webHidden/>
              </w:rPr>
            </w:r>
            <w:r>
              <w:rPr>
                <w:noProof/>
                <w:webHidden/>
              </w:rPr>
              <w:fldChar w:fldCharType="separate"/>
            </w:r>
            <w:r>
              <w:rPr>
                <w:noProof/>
                <w:webHidden/>
              </w:rPr>
              <w:t>798</w:t>
            </w:r>
            <w:r>
              <w:rPr>
                <w:noProof/>
                <w:webHidden/>
              </w:rPr>
              <w:fldChar w:fldCharType="end"/>
            </w:r>
          </w:hyperlink>
        </w:p>
        <w:p w14:paraId="69C83435" w14:textId="741D295D"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03" w:history="1">
            <w:r w:rsidRPr="001D4C20">
              <w:rPr>
                <w:rStyle w:val="Lienhypertexte"/>
                <w:noProof/>
              </w:rPr>
              <w:t>56.34.3 Eléments de remplissage en panneaux sandwichs en matière synthétique CCTB 01.02</w:t>
            </w:r>
            <w:r>
              <w:rPr>
                <w:noProof/>
                <w:webHidden/>
              </w:rPr>
              <w:tab/>
            </w:r>
            <w:r>
              <w:rPr>
                <w:noProof/>
                <w:webHidden/>
              </w:rPr>
              <w:fldChar w:fldCharType="begin"/>
            </w:r>
            <w:r>
              <w:rPr>
                <w:noProof/>
                <w:webHidden/>
              </w:rPr>
              <w:instrText xml:space="preserve"> PAGEREF _Toc220491603 \h </w:instrText>
            </w:r>
            <w:r>
              <w:rPr>
                <w:noProof/>
                <w:webHidden/>
              </w:rPr>
            </w:r>
            <w:r>
              <w:rPr>
                <w:noProof/>
                <w:webHidden/>
              </w:rPr>
              <w:fldChar w:fldCharType="separate"/>
            </w:r>
            <w:r>
              <w:rPr>
                <w:noProof/>
                <w:webHidden/>
              </w:rPr>
              <w:t>799</w:t>
            </w:r>
            <w:r>
              <w:rPr>
                <w:noProof/>
                <w:webHidden/>
              </w:rPr>
              <w:fldChar w:fldCharType="end"/>
            </w:r>
          </w:hyperlink>
        </w:p>
        <w:p w14:paraId="4087D3CF" w14:textId="3BAB6AB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04" w:history="1">
            <w:r w:rsidRPr="001D4C20">
              <w:rPr>
                <w:rStyle w:val="Lienhypertexte"/>
                <w:noProof/>
              </w:rPr>
              <w:t>56.34.3a Eléments de remplissage en panneaux sandwichs en matière synthétique CCTB 01.10</w:t>
            </w:r>
            <w:r>
              <w:rPr>
                <w:noProof/>
                <w:webHidden/>
              </w:rPr>
              <w:tab/>
            </w:r>
            <w:r>
              <w:rPr>
                <w:noProof/>
                <w:webHidden/>
              </w:rPr>
              <w:fldChar w:fldCharType="begin"/>
            </w:r>
            <w:r>
              <w:rPr>
                <w:noProof/>
                <w:webHidden/>
              </w:rPr>
              <w:instrText xml:space="preserve"> PAGEREF _Toc220491604 \h </w:instrText>
            </w:r>
            <w:r>
              <w:rPr>
                <w:noProof/>
                <w:webHidden/>
              </w:rPr>
            </w:r>
            <w:r>
              <w:rPr>
                <w:noProof/>
                <w:webHidden/>
              </w:rPr>
              <w:fldChar w:fldCharType="separate"/>
            </w:r>
            <w:r>
              <w:rPr>
                <w:noProof/>
                <w:webHidden/>
              </w:rPr>
              <w:t>799</w:t>
            </w:r>
            <w:r>
              <w:rPr>
                <w:noProof/>
                <w:webHidden/>
              </w:rPr>
              <w:fldChar w:fldCharType="end"/>
            </w:r>
          </w:hyperlink>
        </w:p>
        <w:p w14:paraId="35D57E06" w14:textId="7E3C3F16"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05" w:history="1">
            <w:r w:rsidRPr="001D4C20">
              <w:rPr>
                <w:rStyle w:val="Lienhypertexte"/>
                <w:noProof/>
              </w:rPr>
              <w:t>56.34.4 Eléments de remplissage en panneaux sandwichs en fibres ciment CCTB 01.02</w:t>
            </w:r>
            <w:r>
              <w:rPr>
                <w:noProof/>
                <w:webHidden/>
              </w:rPr>
              <w:tab/>
            </w:r>
            <w:r>
              <w:rPr>
                <w:noProof/>
                <w:webHidden/>
              </w:rPr>
              <w:fldChar w:fldCharType="begin"/>
            </w:r>
            <w:r>
              <w:rPr>
                <w:noProof/>
                <w:webHidden/>
              </w:rPr>
              <w:instrText xml:space="preserve"> PAGEREF _Toc220491605 \h </w:instrText>
            </w:r>
            <w:r>
              <w:rPr>
                <w:noProof/>
                <w:webHidden/>
              </w:rPr>
            </w:r>
            <w:r>
              <w:rPr>
                <w:noProof/>
                <w:webHidden/>
              </w:rPr>
              <w:fldChar w:fldCharType="separate"/>
            </w:r>
            <w:r>
              <w:rPr>
                <w:noProof/>
                <w:webHidden/>
              </w:rPr>
              <w:t>801</w:t>
            </w:r>
            <w:r>
              <w:rPr>
                <w:noProof/>
                <w:webHidden/>
              </w:rPr>
              <w:fldChar w:fldCharType="end"/>
            </w:r>
          </w:hyperlink>
        </w:p>
        <w:p w14:paraId="5A506D24" w14:textId="70F666E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06" w:history="1">
            <w:r w:rsidRPr="001D4C20">
              <w:rPr>
                <w:rStyle w:val="Lienhypertexte"/>
                <w:noProof/>
              </w:rPr>
              <w:t>56.34.4a Eléments de remplissage en panneaux sandwichs en fibres ciment CCTB 01.10</w:t>
            </w:r>
            <w:r>
              <w:rPr>
                <w:noProof/>
                <w:webHidden/>
              </w:rPr>
              <w:tab/>
            </w:r>
            <w:r>
              <w:rPr>
                <w:noProof/>
                <w:webHidden/>
              </w:rPr>
              <w:fldChar w:fldCharType="begin"/>
            </w:r>
            <w:r>
              <w:rPr>
                <w:noProof/>
                <w:webHidden/>
              </w:rPr>
              <w:instrText xml:space="preserve"> PAGEREF _Toc220491606 \h </w:instrText>
            </w:r>
            <w:r>
              <w:rPr>
                <w:noProof/>
                <w:webHidden/>
              </w:rPr>
            </w:r>
            <w:r>
              <w:rPr>
                <w:noProof/>
                <w:webHidden/>
              </w:rPr>
              <w:fldChar w:fldCharType="separate"/>
            </w:r>
            <w:r>
              <w:rPr>
                <w:noProof/>
                <w:webHidden/>
              </w:rPr>
              <w:t>801</w:t>
            </w:r>
            <w:r>
              <w:rPr>
                <w:noProof/>
                <w:webHidden/>
              </w:rPr>
              <w:fldChar w:fldCharType="end"/>
            </w:r>
          </w:hyperlink>
        </w:p>
        <w:p w14:paraId="5A77EA6C" w14:textId="5298CF27"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607" w:history="1">
            <w:r w:rsidRPr="001D4C20">
              <w:rPr>
                <w:rStyle w:val="Lienhypertexte"/>
                <w:noProof/>
              </w:rPr>
              <w:t>56.4 - CCTB 01.02</w:t>
            </w:r>
            <w:r>
              <w:rPr>
                <w:noProof/>
                <w:webHidden/>
              </w:rPr>
              <w:tab/>
            </w:r>
            <w:r>
              <w:rPr>
                <w:noProof/>
                <w:webHidden/>
              </w:rPr>
              <w:fldChar w:fldCharType="begin"/>
            </w:r>
            <w:r>
              <w:rPr>
                <w:noProof/>
                <w:webHidden/>
              </w:rPr>
              <w:instrText xml:space="preserve"> PAGEREF _Toc220491607 \h </w:instrText>
            </w:r>
            <w:r>
              <w:rPr>
                <w:noProof/>
                <w:webHidden/>
              </w:rPr>
            </w:r>
            <w:r>
              <w:rPr>
                <w:noProof/>
                <w:webHidden/>
              </w:rPr>
              <w:fldChar w:fldCharType="separate"/>
            </w:r>
            <w:r>
              <w:rPr>
                <w:noProof/>
                <w:webHidden/>
              </w:rPr>
              <w:t>802</w:t>
            </w:r>
            <w:r>
              <w:rPr>
                <w:noProof/>
                <w:webHidden/>
              </w:rPr>
              <w:fldChar w:fldCharType="end"/>
            </w:r>
          </w:hyperlink>
        </w:p>
        <w:p w14:paraId="45692419" w14:textId="568F472D"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608" w:history="1">
            <w:r w:rsidRPr="001D4C20">
              <w:rPr>
                <w:rStyle w:val="Lienhypertexte"/>
                <w:noProof/>
              </w:rPr>
              <w:t>56.5 - CCTB 01.02</w:t>
            </w:r>
            <w:r>
              <w:rPr>
                <w:noProof/>
                <w:webHidden/>
              </w:rPr>
              <w:tab/>
            </w:r>
            <w:r>
              <w:rPr>
                <w:noProof/>
                <w:webHidden/>
              </w:rPr>
              <w:fldChar w:fldCharType="begin"/>
            </w:r>
            <w:r>
              <w:rPr>
                <w:noProof/>
                <w:webHidden/>
              </w:rPr>
              <w:instrText xml:space="preserve"> PAGEREF _Toc220491608 \h </w:instrText>
            </w:r>
            <w:r>
              <w:rPr>
                <w:noProof/>
                <w:webHidden/>
              </w:rPr>
            </w:r>
            <w:r>
              <w:rPr>
                <w:noProof/>
                <w:webHidden/>
              </w:rPr>
              <w:fldChar w:fldCharType="separate"/>
            </w:r>
            <w:r>
              <w:rPr>
                <w:noProof/>
                <w:webHidden/>
              </w:rPr>
              <w:t>802</w:t>
            </w:r>
            <w:r>
              <w:rPr>
                <w:noProof/>
                <w:webHidden/>
              </w:rPr>
              <w:fldChar w:fldCharType="end"/>
            </w:r>
          </w:hyperlink>
        </w:p>
        <w:p w14:paraId="6D9ABE60" w14:textId="1401B3B4"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609" w:history="1">
            <w:r w:rsidRPr="001D4C20">
              <w:rPr>
                <w:rStyle w:val="Lienhypertexte"/>
                <w:noProof/>
              </w:rPr>
              <w:t>56.6 - CCTB 01.02</w:t>
            </w:r>
            <w:r>
              <w:rPr>
                <w:noProof/>
                <w:webHidden/>
              </w:rPr>
              <w:tab/>
            </w:r>
            <w:r>
              <w:rPr>
                <w:noProof/>
                <w:webHidden/>
              </w:rPr>
              <w:fldChar w:fldCharType="begin"/>
            </w:r>
            <w:r>
              <w:rPr>
                <w:noProof/>
                <w:webHidden/>
              </w:rPr>
              <w:instrText xml:space="preserve"> PAGEREF _Toc220491609 \h </w:instrText>
            </w:r>
            <w:r>
              <w:rPr>
                <w:noProof/>
                <w:webHidden/>
              </w:rPr>
            </w:r>
            <w:r>
              <w:rPr>
                <w:noProof/>
                <w:webHidden/>
              </w:rPr>
              <w:fldChar w:fldCharType="separate"/>
            </w:r>
            <w:r>
              <w:rPr>
                <w:noProof/>
                <w:webHidden/>
              </w:rPr>
              <w:t>802</w:t>
            </w:r>
            <w:r>
              <w:rPr>
                <w:noProof/>
                <w:webHidden/>
              </w:rPr>
              <w:fldChar w:fldCharType="end"/>
            </w:r>
          </w:hyperlink>
        </w:p>
        <w:p w14:paraId="64866D45" w14:textId="6017B7C2"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610" w:history="1">
            <w:r w:rsidRPr="001D4C20">
              <w:rPr>
                <w:rStyle w:val="Lienhypertexte"/>
                <w:noProof/>
              </w:rPr>
              <w:t>56.7 - CCTB 01.02</w:t>
            </w:r>
            <w:r>
              <w:rPr>
                <w:noProof/>
                <w:webHidden/>
              </w:rPr>
              <w:tab/>
            </w:r>
            <w:r>
              <w:rPr>
                <w:noProof/>
                <w:webHidden/>
              </w:rPr>
              <w:fldChar w:fldCharType="begin"/>
            </w:r>
            <w:r>
              <w:rPr>
                <w:noProof/>
                <w:webHidden/>
              </w:rPr>
              <w:instrText xml:space="preserve"> PAGEREF _Toc220491610 \h </w:instrText>
            </w:r>
            <w:r>
              <w:rPr>
                <w:noProof/>
                <w:webHidden/>
              </w:rPr>
            </w:r>
            <w:r>
              <w:rPr>
                <w:noProof/>
                <w:webHidden/>
              </w:rPr>
              <w:fldChar w:fldCharType="separate"/>
            </w:r>
            <w:r>
              <w:rPr>
                <w:noProof/>
                <w:webHidden/>
              </w:rPr>
              <w:t>802</w:t>
            </w:r>
            <w:r>
              <w:rPr>
                <w:noProof/>
                <w:webHidden/>
              </w:rPr>
              <w:fldChar w:fldCharType="end"/>
            </w:r>
          </w:hyperlink>
        </w:p>
        <w:p w14:paraId="141AEEC6" w14:textId="3234A7A8"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611" w:history="1">
            <w:r w:rsidRPr="001D4C20">
              <w:rPr>
                <w:rStyle w:val="Lienhypertexte"/>
                <w:noProof/>
              </w:rPr>
              <w:t>56.8 Vitrages intérieurs et éléments de remplissage - Rénovation CCTB 01.02</w:t>
            </w:r>
            <w:r>
              <w:rPr>
                <w:noProof/>
                <w:webHidden/>
              </w:rPr>
              <w:tab/>
            </w:r>
            <w:r>
              <w:rPr>
                <w:noProof/>
                <w:webHidden/>
              </w:rPr>
              <w:fldChar w:fldCharType="begin"/>
            </w:r>
            <w:r>
              <w:rPr>
                <w:noProof/>
                <w:webHidden/>
              </w:rPr>
              <w:instrText xml:space="preserve"> PAGEREF _Toc220491611 \h </w:instrText>
            </w:r>
            <w:r>
              <w:rPr>
                <w:noProof/>
                <w:webHidden/>
              </w:rPr>
            </w:r>
            <w:r>
              <w:rPr>
                <w:noProof/>
                <w:webHidden/>
              </w:rPr>
              <w:fldChar w:fldCharType="separate"/>
            </w:r>
            <w:r>
              <w:rPr>
                <w:noProof/>
                <w:webHidden/>
              </w:rPr>
              <w:t>802</w:t>
            </w:r>
            <w:r>
              <w:rPr>
                <w:noProof/>
                <w:webHidden/>
              </w:rPr>
              <w:fldChar w:fldCharType="end"/>
            </w:r>
          </w:hyperlink>
        </w:p>
        <w:p w14:paraId="6846DB53" w14:textId="7EB5BE80" w:rsidR="000F4169" w:rsidRDefault="000F4169">
          <w:pPr>
            <w:pStyle w:val="TM2"/>
            <w:tabs>
              <w:tab w:val="right" w:leader="dot" w:pos="9016"/>
            </w:tabs>
            <w:rPr>
              <w:rFonts w:asciiTheme="minorHAnsi" w:eastAsiaTheme="minorEastAsia" w:hAnsiTheme="minorHAnsi" w:cstheme="minorBidi"/>
              <w:noProof/>
              <w:kern w:val="2"/>
              <w:sz w:val="24"/>
              <w:szCs w:val="24"/>
              <w14:ligatures w14:val="standardContextual"/>
            </w:rPr>
          </w:pPr>
          <w:hyperlink w:anchor="_Toc220491612" w:history="1">
            <w:r w:rsidRPr="001D4C20">
              <w:rPr>
                <w:rStyle w:val="Lienhypertexte"/>
                <w:noProof/>
              </w:rPr>
              <w:t>57 Escaliers et rampes intérieurs CCTB 01.02</w:t>
            </w:r>
            <w:r>
              <w:rPr>
                <w:noProof/>
                <w:webHidden/>
              </w:rPr>
              <w:tab/>
            </w:r>
            <w:r>
              <w:rPr>
                <w:noProof/>
                <w:webHidden/>
              </w:rPr>
              <w:fldChar w:fldCharType="begin"/>
            </w:r>
            <w:r>
              <w:rPr>
                <w:noProof/>
                <w:webHidden/>
              </w:rPr>
              <w:instrText xml:space="preserve"> PAGEREF _Toc220491612 \h </w:instrText>
            </w:r>
            <w:r>
              <w:rPr>
                <w:noProof/>
                <w:webHidden/>
              </w:rPr>
            </w:r>
            <w:r>
              <w:rPr>
                <w:noProof/>
                <w:webHidden/>
              </w:rPr>
              <w:fldChar w:fldCharType="separate"/>
            </w:r>
            <w:r>
              <w:rPr>
                <w:noProof/>
                <w:webHidden/>
              </w:rPr>
              <w:t>802</w:t>
            </w:r>
            <w:r>
              <w:rPr>
                <w:noProof/>
                <w:webHidden/>
              </w:rPr>
              <w:fldChar w:fldCharType="end"/>
            </w:r>
          </w:hyperlink>
        </w:p>
        <w:p w14:paraId="0158DE3E" w14:textId="2A457C50"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613" w:history="1">
            <w:r w:rsidRPr="001D4C20">
              <w:rPr>
                <w:rStyle w:val="Lienhypertexte"/>
                <w:noProof/>
              </w:rPr>
              <w:t>57.1 Escaliers et garde-corps complets CCTB 01.13</w:t>
            </w:r>
            <w:r>
              <w:rPr>
                <w:noProof/>
                <w:webHidden/>
              </w:rPr>
              <w:tab/>
            </w:r>
            <w:r>
              <w:rPr>
                <w:noProof/>
                <w:webHidden/>
              </w:rPr>
              <w:fldChar w:fldCharType="begin"/>
            </w:r>
            <w:r>
              <w:rPr>
                <w:noProof/>
                <w:webHidden/>
              </w:rPr>
              <w:instrText xml:space="preserve"> PAGEREF _Toc220491613 \h </w:instrText>
            </w:r>
            <w:r>
              <w:rPr>
                <w:noProof/>
                <w:webHidden/>
              </w:rPr>
            </w:r>
            <w:r>
              <w:rPr>
                <w:noProof/>
                <w:webHidden/>
              </w:rPr>
              <w:fldChar w:fldCharType="separate"/>
            </w:r>
            <w:r>
              <w:rPr>
                <w:noProof/>
                <w:webHidden/>
              </w:rPr>
              <w:t>802</w:t>
            </w:r>
            <w:r>
              <w:rPr>
                <w:noProof/>
                <w:webHidden/>
              </w:rPr>
              <w:fldChar w:fldCharType="end"/>
            </w:r>
          </w:hyperlink>
        </w:p>
        <w:p w14:paraId="495290E4" w14:textId="20B25085"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614" w:history="1">
            <w:r w:rsidRPr="001D4C20">
              <w:rPr>
                <w:rStyle w:val="Lienhypertexte"/>
                <w:noProof/>
              </w:rPr>
              <w:t>57.11 Escaliers sur mesure (Rem.: suivant plan de détails) CCTB 01.02</w:t>
            </w:r>
            <w:r>
              <w:rPr>
                <w:noProof/>
                <w:webHidden/>
              </w:rPr>
              <w:tab/>
            </w:r>
            <w:r>
              <w:rPr>
                <w:noProof/>
                <w:webHidden/>
              </w:rPr>
              <w:fldChar w:fldCharType="begin"/>
            </w:r>
            <w:r>
              <w:rPr>
                <w:noProof/>
                <w:webHidden/>
              </w:rPr>
              <w:instrText xml:space="preserve"> PAGEREF _Toc220491614 \h </w:instrText>
            </w:r>
            <w:r>
              <w:rPr>
                <w:noProof/>
                <w:webHidden/>
              </w:rPr>
            </w:r>
            <w:r>
              <w:rPr>
                <w:noProof/>
                <w:webHidden/>
              </w:rPr>
              <w:fldChar w:fldCharType="separate"/>
            </w:r>
            <w:r>
              <w:rPr>
                <w:noProof/>
                <w:webHidden/>
              </w:rPr>
              <w:t>807</w:t>
            </w:r>
            <w:r>
              <w:rPr>
                <w:noProof/>
                <w:webHidden/>
              </w:rPr>
              <w:fldChar w:fldCharType="end"/>
            </w:r>
          </w:hyperlink>
        </w:p>
        <w:p w14:paraId="7F8D66A6" w14:textId="50D6D514"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15" w:history="1">
            <w:r w:rsidRPr="001D4C20">
              <w:rPr>
                <w:rStyle w:val="Lienhypertexte"/>
                <w:noProof/>
              </w:rPr>
              <w:t>57.11.1 Escaliers en maçonnerie (pierres / briques) CCTB 01.07</w:t>
            </w:r>
            <w:r>
              <w:rPr>
                <w:noProof/>
                <w:webHidden/>
              </w:rPr>
              <w:tab/>
            </w:r>
            <w:r>
              <w:rPr>
                <w:noProof/>
                <w:webHidden/>
              </w:rPr>
              <w:fldChar w:fldCharType="begin"/>
            </w:r>
            <w:r>
              <w:rPr>
                <w:noProof/>
                <w:webHidden/>
              </w:rPr>
              <w:instrText xml:space="preserve"> PAGEREF _Toc220491615 \h </w:instrText>
            </w:r>
            <w:r>
              <w:rPr>
                <w:noProof/>
                <w:webHidden/>
              </w:rPr>
            </w:r>
            <w:r>
              <w:rPr>
                <w:noProof/>
                <w:webHidden/>
              </w:rPr>
              <w:fldChar w:fldCharType="separate"/>
            </w:r>
            <w:r>
              <w:rPr>
                <w:noProof/>
                <w:webHidden/>
              </w:rPr>
              <w:t>807</w:t>
            </w:r>
            <w:r>
              <w:rPr>
                <w:noProof/>
                <w:webHidden/>
              </w:rPr>
              <w:fldChar w:fldCharType="end"/>
            </w:r>
          </w:hyperlink>
        </w:p>
        <w:p w14:paraId="6EA7E237" w14:textId="4A7DDDE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16" w:history="1">
            <w:r w:rsidRPr="001D4C20">
              <w:rPr>
                <w:rStyle w:val="Lienhypertexte"/>
                <w:noProof/>
              </w:rPr>
              <w:t>57.11.1a Escaliers en maçonnerie (pierres / briques) CCTB 01.07</w:t>
            </w:r>
            <w:r>
              <w:rPr>
                <w:noProof/>
                <w:webHidden/>
              </w:rPr>
              <w:tab/>
            </w:r>
            <w:r>
              <w:rPr>
                <w:noProof/>
                <w:webHidden/>
              </w:rPr>
              <w:fldChar w:fldCharType="begin"/>
            </w:r>
            <w:r>
              <w:rPr>
                <w:noProof/>
                <w:webHidden/>
              </w:rPr>
              <w:instrText xml:space="preserve"> PAGEREF _Toc220491616 \h </w:instrText>
            </w:r>
            <w:r>
              <w:rPr>
                <w:noProof/>
                <w:webHidden/>
              </w:rPr>
            </w:r>
            <w:r>
              <w:rPr>
                <w:noProof/>
                <w:webHidden/>
              </w:rPr>
              <w:fldChar w:fldCharType="separate"/>
            </w:r>
            <w:r>
              <w:rPr>
                <w:noProof/>
                <w:webHidden/>
              </w:rPr>
              <w:t>807</w:t>
            </w:r>
            <w:r>
              <w:rPr>
                <w:noProof/>
                <w:webHidden/>
              </w:rPr>
              <w:fldChar w:fldCharType="end"/>
            </w:r>
          </w:hyperlink>
        </w:p>
        <w:p w14:paraId="399E582F" w14:textId="43FC11B4"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17" w:history="1">
            <w:r w:rsidRPr="001D4C20">
              <w:rPr>
                <w:rStyle w:val="Lienhypertexte"/>
                <w:noProof/>
              </w:rPr>
              <w:t>57.11.2 Escaliers en béton armé  CCTB 01.07</w:t>
            </w:r>
            <w:r>
              <w:rPr>
                <w:noProof/>
                <w:webHidden/>
              </w:rPr>
              <w:tab/>
            </w:r>
            <w:r>
              <w:rPr>
                <w:noProof/>
                <w:webHidden/>
              </w:rPr>
              <w:fldChar w:fldCharType="begin"/>
            </w:r>
            <w:r>
              <w:rPr>
                <w:noProof/>
                <w:webHidden/>
              </w:rPr>
              <w:instrText xml:space="preserve"> PAGEREF _Toc220491617 \h </w:instrText>
            </w:r>
            <w:r>
              <w:rPr>
                <w:noProof/>
                <w:webHidden/>
              </w:rPr>
            </w:r>
            <w:r>
              <w:rPr>
                <w:noProof/>
                <w:webHidden/>
              </w:rPr>
              <w:fldChar w:fldCharType="separate"/>
            </w:r>
            <w:r>
              <w:rPr>
                <w:noProof/>
                <w:webHidden/>
              </w:rPr>
              <w:t>808</w:t>
            </w:r>
            <w:r>
              <w:rPr>
                <w:noProof/>
                <w:webHidden/>
              </w:rPr>
              <w:fldChar w:fldCharType="end"/>
            </w:r>
          </w:hyperlink>
        </w:p>
        <w:p w14:paraId="0AA9D4D3" w14:textId="0B301F4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18" w:history="1">
            <w:r w:rsidRPr="001D4C20">
              <w:rPr>
                <w:rStyle w:val="Lienhypertexte"/>
                <w:noProof/>
              </w:rPr>
              <w:t>57.11.2a Escaliers en béton armé  CCTB 01.07</w:t>
            </w:r>
            <w:r>
              <w:rPr>
                <w:noProof/>
                <w:webHidden/>
              </w:rPr>
              <w:tab/>
            </w:r>
            <w:r>
              <w:rPr>
                <w:noProof/>
                <w:webHidden/>
              </w:rPr>
              <w:fldChar w:fldCharType="begin"/>
            </w:r>
            <w:r>
              <w:rPr>
                <w:noProof/>
                <w:webHidden/>
              </w:rPr>
              <w:instrText xml:space="preserve"> PAGEREF _Toc220491618 \h </w:instrText>
            </w:r>
            <w:r>
              <w:rPr>
                <w:noProof/>
                <w:webHidden/>
              </w:rPr>
            </w:r>
            <w:r>
              <w:rPr>
                <w:noProof/>
                <w:webHidden/>
              </w:rPr>
              <w:fldChar w:fldCharType="separate"/>
            </w:r>
            <w:r>
              <w:rPr>
                <w:noProof/>
                <w:webHidden/>
              </w:rPr>
              <w:t>808</w:t>
            </w:r>
            <w:r>
              <w:rPr>
                <w:noProof/>
                <w:webHidden/>
              </w:rPr>
              <w:fldChar w:fldCharType="end"/>
            </w:r>
          </w:hyperlink>
        </w:p>
        <w:p w14:paraId="30565CA6" w14:textId="5EE42429"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19" w:history="1">
            <w:r w:rsidRPr="001D4C20">
              <w:rPr>
                <w:rStyle w:val="Lienhypertexte"/>
                <w:noProof/>
              </w:rPr>
              <w:t>57.11.3 Escaliers métalliques CCTB 01.02</w:t>
            </w:r>
            <w:r>
              <w:rPr>
                <w:noProof/>
                <w:webHidden/>
              </w:rPr>
              <w:tab/>
            </w:r>
            <w:r>
              <w:rPr>
                <w:noProof/>
                <w:webHidden/>
              </w:rPr>
              <w:fldChar w:fldCharType="begin"/>
            </w:r>
            <w:r>
              <w:rPr>
                <w:noProof/>
                <w:webHidden/>
              </w:rPr>
              <w:instrText xml:space="preserve"> PAGEREF _Toc220491619 \h </w:instrText>
            </w:r>
            <w:r>
              <w:rPr>
                <w:noProof/>
                <w:webHidden/>
              </w:rPr>
            </w:r>
            <w:r>
              <w:rPr>
                <w:noProof/>
                <w:webHidden/>
              </w:rPr>
              <w:fldChar w:fldCharType="separate"/>
            </w:r>
            <w:r>
              <w:rPr>
                <w:noProof/>
                <w:webHidden/>
              </w:rPr>
              <w:t>808</w:t>
            </w:r>
            <w:r>
              <w:rPr>
                <w:noProof/>
                <w:webHidden/>
              </w:rPr>
              <w:fldChar w:fldCharType="end"/>
            </w:r>
          </w:hyperlink>
        </w:p>
        <w:p w14:paraId="7C2D1668" w14:textId="123D5C8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20" w:history="1">
            <w:r w:rsidRPr="001D4C20">
              <w:rPr>
                <w:rStyle w:val="Lienhypertexte"/>
                <w:noProof/>
              </w:rPr>
              <w:t>57.11.3a Escaliers métalliques CCTB 01.11</w:t>
            </w:r>
            <w:r>
              <w:rPr>
                <w:noProof/>
                <w:webHidden/>
              </w:rPr>
              <w:tab/>
            </w:r>
            <w:r>
              <w:rPr>
                <w:noProof/>
                <w:webHidden/>
              </w:rPr>
              <w:fldChar w:fldCharType="begin"/>
            </w:r>
            <w:r>
              <w:rPr>
                <w:noProof/>
                <w:webHidden/>
              </w:rPr>
              <w:instrText xml:space="preserve"> PAGEREF _Toc220491620 \h </w:instrText>
            </w:r>
            <w:r>
              <w:rPr>
                <w:noProof/>
                <w:webHidden/>
              </w:rPr>
            </w:r>
            <w:r>
              <w:rPr>
                <w:noProof/>
                <w:webHidden/>
              </w:rPr>
              <w:fldChar w:fldCharType="separate"/>
            </w:r>
            <w:r>
              <w:rPr>
                <w:noProof/>
                <w:webHidden/>
              </w:rPr>
              <w:t>808</w:t>
            </w:r>
            <w:r>
              <w:rPr>
                <w:noProof/>
                <w:webHidden/>
              </w:rPr>
              <w:fldChar w:fldCharType="end"/>
            </w:r>
          </w:hyperlink>
        </w:p>
        <w:p w14:paraId="68C18645" w14:textId="106F7D25"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21" w:history="1">
            <w:r w:rsidRPr="001D4C20">
              <w:rPr>
                <w:rStyle w:val="Lienhypertexte"/>
                <w:noProof/>
              </w:rPr>
              <w:t>57.11.4 Escaliers en bois CCTB 01.02</w:t>
            </w:r>
            <w:r>
              <w:rPr>
                <w:noProof/>
                <w:webHidden/>
              </w:rPr>
              <w:tab/>
            </w:r>
            <w:r>
              <w:rPr>
                <w:noProof/>
                <w:webHidden/>
              </w:rPr>
              <w:fldChar w:fldCharType="begin"/>
            </w:r>
            <w:r>
              <w:rPr>
                <w:noProof/>
                <w:webHidden/>
              </w:rPr>
              <w:instrText xml:space="preserve"> PAGEREF _Toc220491621 \h </w:instrText>
            </w:r>
            <w:r>
              <w:rPr>
                <w:noProof/>
                <w:webHidden/>
              </w:rPr>
            </w:r>
            <w:r>
              <w:rPr>
                <w:noProof/>
                <w:webHidden/>
              </w:rPr>
              <w:fldChar w:fldCharType="separate"/>
            </w:r>
            <w:r>
              <w:rPr>
                <w:noProof/>
                <w:webHidden/>
              </w:rPr>
              <w:t>812</w:t>
            </w:r>
            <w:r>
              <w:rPr>
                <w:noProof/>
                <w:webHidden/>
              </w:rPr>
              <w:fldChar w:fldCharType="end"/>
            </w:r>
          </w:hyperlink>
        </w:p>
        <w:p w14:paraId="6348F3E2" w14:textId="2323CE0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22" w:history="1">
            <w:r w:rsidRPr="001D4C20">
              <w:rPr>
                <w:rStyle w:val="Lienhypertexte"/>
                <w:noProof/>
              </w:rPr>
              <w:t>57.11.4a Escaliers en bois CCTB 01.12</w:t>
            </w:r>
            <w:r>
              <w:rPr>
                <w:noProof/>
                <w:webHidden/>
              </w:rPr>
              <w:tab/>
            </w:r>
            <w:r>
              <w:rPr>
                <w:noProof/>
                <w:webHidden/>
              </w:rPr>
              <w:fldChar w:fldCharType="begin"/>
            </w:r>
            <w:r>
              <w:rPr>
                <w:noProof/>
                <w:webHidden/>
              </w:rPr>
              <w:instrText xml:space="preserve"> PAGEREF _Toc220491622 \h </w:instrText>
            </w:r>
            <w:r>
              <w:rPr>
                <w:noProof/>
                <w:webHidden/>
              </w:rPr>
            </w:r>
            <w:r>
              <w:rPr>
                <w:noProof/>
                <w:webHidden/>
              </w:rPr>
              <w:fldChar w:fldCharType="separate"/>
            </w:r>
            <w:r>
              <w:rPr>
                <w:noProof/>
                <w:webHidden/>
              </w:rPr>
              <w:t>812</w:t>
            </w:r>
            <w:r>
              <w:rPr>
                <w:noProof/>
                <w:webHidden/>
              </w:rPr>
              <w:fldChar w:fldCharType="end"/>
            </w:r>
          </w:hyperlink>
        </w:p>
        <w:p w14:paraId="00C117BF" w14:textId="2E5536CE"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623" w:history="1">
            <w:r w:rsidRPr="001D4C20">
              <w:rPr>
                <w:rStyle w:val="Lienhypertexte"/>
                <w:noProof/>
              </w:rPr>
              <w:t>57.12 Garde-corps / rampes sur mesure (Rem.: suivant plan de détails) CCTB 01.10</w:t>
            </w:r>
            <w:r>
              <w:rPr>
                <w:noProof/>
                <w:webHidden/>
              </w:rPr>
              <w:tab/>
            </w:r>
            <w:r>
              <w:rPr>
                <w:noProof/>
                <w:webHidden/>
              </w:rPr>
              <w:fldChar w:fldCharType="begin"/>
            </w:r>
            <w:r>
              <w:rPr>
                <w:noProof/>
                <w:webHidden/>
              </w:rPr>
              <w:instrText xml:space="preserve"> PAGEREF _Toc220491623 \h </w:instrText>
            </w:r>
            <w:r>
              <w:rPr>
                <w:noProof/>
                <w:webHidden/>
              </w:rPr>
            </w:r>
            <w:r>
              <w:rPr>
                <w:noProof/>
                <w:webHidden/>
              </w:rPr>
              <w:fldChar w:fldCharType="separate"/>
            </w:r>
            <w:r>
              <w:rPr>
                <w:noProof/>
                <w:webHidden/>
              </w:rPr>
              <w:t>820</w:t>
            </w:r>
            <w:r>
              <w:rPr>
                <w:noProof/>
                <w:webHidden/>
              </w:rPr>
              <w:fldChar w:fldCharType="end"/>
            </w:r>
          </w:hyperlink>
        </w:p>
        <w:p w14:paraId="0AB8AA6B" w14:textId="0912D40F"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24" w:history="1">
            <w:r w:rsidRPr="001D4C20">
              <w:rPr>
                <w:rStyle w:val="Lienhypertexte"/>
                <w:noProof/>
              </w:rPr>
              <w:t>57.12.1 Garde-corps / rampes en maçonnerie (pierres / briques)  CCTB 01.07</w:t>
            </w:r>
            <w:r>
              <w:rPr>
                <w:noProof/>
                <w:webHidden/>
              </w:rPr>
              <w:tab/>
            </w:r>
            <w:r>
              <w:rPr>
                <w:noProof/>
                <w:webHidden/>
              </w:rPr>
              <w:fldChar w:fldCharType="begin"/>
            </w:r>
            <w:r>
              <w:rPr>
                <w:noProof/>
                <w:webHidden/>
              </w:rPr>
              <w:instrText xml:space="preserve"> PAGEREF _Toc220491624 \h </w:instrText>
            </w:r>
            <w:r>
              <w:rPr>
                <w:noProof/>
                <w:webHidden/>
              </w:rPr>
            </w:r>
            <w:r>
              <w:rPr>
                <w:noProof/>
                <w:webHidden/>
              </w:rPr>
              <w:fldChar w:fldCharType="separate"/>
            </w:r>
            <w:r>
              <w:rPr>
                <w:noProof/>
                <w:webHidden/>
              </w:rPr>
              <w:t>821</w:t>
            </w:r>
            <w:r>
              <w:rPr>
                <w:noProof/>
                <w:webHidden/>
              </w:rPr>
              <w:fldChar w:fldCharType="end"/>
            </w:r>
          </w:hyperlink>
        </w:p>
        <w:p w14:paraId="696E8EE8" w14:textId="5CF0101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25" w:history="1">
            <w:r w:rsidRPr="001D4C20">
              <w:rPr>
                <w:rStyle w:val="Lienhypertexte"/>
                <w:noProof/>
              </w:rPr>
              <w:t>57.12.1a Garde-corps / rampes en maçonnerie (pierres / briques)  CCTB 01.07</w:t>
            </w:r>
            <w:r>
              <w:rPr>
                <w:noProof/>
                <w:webHidden/>
              </w:rPr>
              <w:tab/>
            </w:r>
            <w:r>
              <w:rPr>
                <w:noProof/>
                <w:webHidden/>
              </w:rPr>
              <w:fldChar w:fldCharType="begin"/>
            </w:r>
            <w:r>
              <w:rPr>
                <w:noProof/>
                <w:webHidden/>
              </w:rPr>
              <w:instrText xml:space="preserve"> PAGEREF _Toc220491625 \h </w:instrText>
            </w:r>
            <w:r>
              <w:rPr>
                <w:noProof/>
                <w:webHidden/>
              </w:rPr>
            </w:r>
            <w:r>
              <w:rPr>
                <w:noProof/>
                <w:webHidden/>
              </w:rPr>
              <w:fldChar w:fldCharType="separate"/>
            </w:r>
            <w:r>
              <w:rPr>
                <w:noProof/>
                <w:webHidden/>
              </w:rPr>
              <w:t>821</w:t>
            </w:r>
            <w:r>
              <w:rPr>
                <w:noProof/>
                <w:webHidden/>
              </w:rPr>
              <w:fldChar w:fldCharType="end"/>
            </w:r>
          </w:hyperlink>
        </w:p>
        <w:p w14:paraId="516D3CEC" w14:textId="6A89AE31"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26" w:history="1">
            <w:r w:rsidRPr="001D4C20">
              <w:rPr>
                <w:rStyle w:val="Lienhypertexte"/>
                <w:noProof/>
              </w:rPr>
              <w:t>57.12.2 Garde-corps / rampes en béton armé CCTB 01.07</w:t>
            </w:r>
            <w:r>
              <w:rPr>
                <w:noProof/>
                <w:webHidden/>
              </w:rPr>
              <w:tab/>
            </w:r>
            <w:r>
              <w:rPr>
                <w:noProof/>
                <w:webHidden/>
              </w:rPr>
              <w:fldChar w:fldCharType="begin"/>
            </w:r>
            <w:r>
              <w:rPr>
                <w:noProof/>
                <w:webHidden/>
              </w:rPr>
              <w:instrText xml:space="preserve"> PAGEREF _Toc220491626 \h </w:instrText>
            </w:r>
            <w:r>
              <w:rPr>
                <w:noProof/>
                <w:webHidden/>
              </w:rPr>
            </w:r>
            <w:r>
              <w:rPr>
                <w:noProof/>
                <w:webHidden/>
              </w:rPr>
              <w:fldChar w:fldCharType="separate"/>
            </w:r>
            <w:r>
              <w:rPr>
                <w:noProof/>
                <w:webHidden/>
              </w:rPr>
              <w:t>821</w:t>
            </w:r>
            <w:r>
              <w:rPr>
                <w:noProof/>
                <w:webHidden/>
              </w:rPr>
              <w:fldChar w:fldCharType="end"/>
            </w:r>
          </w:hyperlink>
        </w:p>
        <w:p w14:paraId="66C71BC6" w14:textId="1005C80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27" w:history="1">
            <w:r w:rsidRPr="001D4C20">
              <w:rPr>
                <w:rStyle w:val="Lienhypertexte"/>
                <w:noProof/>
              </w:rPr>
              <w:t>57.12.2a Garde-corps / rampes en béton armé CCTB 01.07</w:t>
            </w:r>
            <w:r>
              <w:rPr>
                <w:noProof/>
                <w:webHidden/>
              </w:rPr>
              <w:tab/>
            </w:r>
            <w:r>
              <w:rPr>
                <w:noProof/>
                <w:webHidden/>
              </w:rPr>
              <w:fldChar w:fldCharType="begin"/>
            </w:r>
            <w:r>
              <w:rPr>
                <w:noProof/>
                <w:webHidden/>
              </w:rPr>
              <w:instrText xml:space="preserve"> PAGEREF _Toc220491627 \h </w:instrText>
            </w:r>
            <w:r>
              <w:rPr>
                <w:noProof/>
                <w:webHidden/>
              </w:rPr>
            </w:r>
            <w:r>
              <w:rPr>
                <w:noProof/>
                <w:webHidden/>
              </w:rPr>
              <w:fldChar w:fldCharType="separate"/>
            </w:r>
            <w:r>
              <w:rPr>
                <w:noProof/>
                <w:webHidden/>
              </w:rPr>
              <w:t>821</w:t>
            </w:r>
            <w:r>
              <w:rPr>
                <w:noProof/>
                <w:webHidden/>
              </w:rPr>
              <w:fldChar w:fldCharType="end"/>
            </w:r>
          </w:hyperlink>
        </w:p>
        <w:p w14:paraId="7F81664C" w14:textId="3B5449E5"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28" w:history="1">
            <w:r w:rsidRPr="001D4C20">
              <w:rPr>
                <w:rStyle w:val="Lienhypertexte"/>
                <w:noProof/>
              </w:rPr>
              <w:t>57.12.3 Garde-corps / rampes métalliques CCTB 01.07</w:t>
            </w:r>
            <w:r>
              <w:rPr>
                <w:noProof/>
                <w:webHidden/>
              </w:rPr>
              <w:tab/>
            </w:r>
            <w:r>
              <w:rPr>
                <w:noProof/>
                <w:webHidden/>
              </w:rPr>
              <w:fldChar w:fldCharType="begin"/>
            </w:r>
            <w:r>
              <w:rPr>
                <w:noProof/>
                <w:webHidden/>
              </w:rPr>
              <w:instrText xml:space="preserve"> PAGEREF _Toc220491628 \h </w:instrText>
            </w:r>
            <w:r>
              <w:rPr>
                <w:noProof/>
                <w:webHidden/>
              </w:rPr>
            </w:r>
            <w:r>
              <w:rPr>
                <w:noProof/>
                <w:webHidden/>
              </w:rPr>
              <w:fldChar w:fldCharType="separate"/>
            </w:r>
            <w:r>
              <w:rPr>
                <w:noProof/>
                <w:webHidden/>
              </w:rPr>
              <w:t>822</w:t>
            </w:r>
            <w:r>
              <w:rPr>
                <w:noProof/>
                <w:webHidden/>
              </w:rPr>
              <w:fldChar w:fldCharType="end"/>
            </w:r>
          </w:hyperlink>
        </w:p>
        <w:p w14:paraId="223E7CFA" w14:textId="42A4C91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29" w:history="1">
            <w:r w:rsidRPr="001D4C20">
              <w:rPr>
                <w:rStyle w:val="Lienhypertexte"/>
                <w:noProof/>
              </w:rPr>
              <w:t>57.12.3a Garde-corps / rampes métalliques CCTB 01.07</w:t>
            </w:r>
            <w:r>
              <w:rPr>
                <w:noProof/>
                <w:webHidden/>
              </w:rPr>
              <w:tab/>
            </w:r>
            <w:r>
              <w:rPr>
                <w:noProof/>
                <w:webHidden/>
              </w:rPr>
              <w:fldChar w:fldCharType="begin"/>
            </w:r>
            <w:r>
              <w:rPr>
                <w:noProof/>
                <w:webHidden/>
              </w:rPr>
              <w:instrText xml:space="preserve"> PAGEREF _Toc220491629 \h </w:instrText>
            </w:r>
            <w:r>
              <w:rPr>
                <w:noProof/>
                <w:webHidden/>
              </w:rPr>
            </w:r>
            <w:r>
              <w:rPr>
                <w:noProof/>
                <w:webHidden/>
              </w:rPr>
              <w:fldChar w:fldCharType="separate"/>
            </w:r>
            <w:r>
              <w:rPr>
                <w:noProof/>
                <w:webHidden/>
              </w:rPr>
              <w:t>822</w:t>
            </w:r>
            <w:r>
              <w:rPr>
                <w:noProof/>
                <w:webHidden/>
              </w:rPr>
              <w:fldChar w:fldCharType="end"/>
            </w:r>
          </w:hyperlink>
        </w:p>
        <w:p w14:paraId="524D56F7" w14:textId="2E05CDCE"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30" w:history="1">
            <w:r w:rsidRPr="001D4C20">
              <w:rPr>
                <w:rStyle w:val="Lienhypertexte"/>
                <w:noProof/>
              </w:rPr>
              <w:t>57.12.4 Garde-corps / rampes en bois CCTB 01.09</w:t>
            </w:r>
            <w:r>
              <w:rPr>
                <w:noProof/>
                <w:webHidden/>
              </w:rPr>
              <w:tab/>
            </w:r>
            <w:r>
              <w:rPr>
                <w:noProof/>
                <w:webHidden/>
              </w:rPr>
              <w:fldChar w:fldCharType="begin"/>
            </w:r>
            <w:r>
              <w:rPr>
                <w:noProof/>
                <w:webHidden/>
              </w:rPr>
              <w:instrText xml:space="preserve"> PAGEREF _Toc220491630 \h </w:instrText>
            </w:r>
            <w:r>
              <w:rPr>
                <w:noProof/>
                <w:webHidden/>
              </w:rPr>
            </w:r>
            <w:r>
              <w:rPr>
                <w:noProof/>
                <w:webHidden/>
              </w:rPr>
              <w:fldChar w:fldCharType="separate"/>
            </w:r>
            <w:r>
              <w:rPr>
                <w:noProof/>
                <w:webHidden/>
              </w:rPr>
              <w:t>822</w:t>
            </w:r>
            <w:r>
              <w:rPr>
                <w:noProof/>
                <w:webHidden/>
              </w:rPr>
              <w:fldChar w:fldCharType="end"/>
            </w:r>
          </w:hyperlink>
        </w:p>
        <w:p w14:paraId="7C0E1AE4" w14:textId="52290F1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31" w:history="1">
            <w:r w:rsidRPr="001D4C20">
              <w:rPr>
                <w:rStyle w:val="Lienhypertexte"/>
                <w:noProof/>
              </w:rPr>
              <w:t>57.12.4a Garde-corps / rampes en bois  CCTB 01.13</w:t>
            </w:r>
            <w:r>
              <w:rPr>
                <w:noProof/>
                <w:webHidden/>
              </w:rPr>
              <w:tab/>
            </w:r>
            <w:r>
              <w:rPr>
                <w:noProof/>
                <w:webHidden/>
              </w:rPr>
              <w:fldChar w:fldCharType="begin"/>
            </w:r>
            <w:r>
              <w:rPr>
                <w:noProof/>
                <w:webHidden/>
              </w:rPr>
              <w:instrText xml:space="preserve"> PAGEREF _Toc220491631 \h </w:instrText>
            </w:r>
            <w:r>
              <w:rPr>
                <w:noProof/>
                <w:webHidden/>
              </w:rPr>
            </w:r>
            <w:r>
              <w:rPr>
                <w:noProof/>
                <w:webHidden/>
              </w:rPr>
              <w:fldChar w:fldCharType="separate"/>
            </w:r>
            <w:r>
              <w:rPr>
                <w:noProof/>
                <w:webHidden/>
              </w:rPr>
              <w:t>822</w:t>
            </w:r>
            <w:r>
              <w:rPr>
                <w:noProof/>
                <w:webHidden/>
              </w:rPr>
              <w:fldChar w:fldCharType="end"/>
            </w:r>
          </w:hyperlink>
        </w:p>
        <w:p w14:paraId="442AA2E0" w14:textId="56233438"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632" w:history="1">
            <w:r w:rsidRPr="001D4C20">
              <w:rPr>
                <w:rStyle w:val="Lienhypertexte"/>
                <w:noProof/>
              </w:rPr>
              <w:t>57.13 Escaliers particuliers CCTB 01.02</w:t>
            </w:r>
            <w:r>
              <w:rPr>
                <w:noProof/>
                <w:webHidden/>
              </w:rPr>
              <w:tab/>
            </w:r>
            <w:r>
              <w:rPr>
                <w:noProof/>
                <w:webHidden/>
              </w:rPr>
              <w:fldChar w:fldCharType="begin"/>
            </w:r>
            <w:r>
              <w:rPr>
                <w:noProof/>
                <w:webHidden/>
              </w:rPr>
              <w:instrText xml:space="preserve"> PAGEREF _Toc220491632 \h </w:instrText>
            </w:r>
            <w:r>
              <w:rPr>
                <w:noProof/>
                <w:webHidden/>
              </w:rPr>
            </w:r>
            <w:r>
              <w:rPr>
                <w:noProof/>
                <w:webHidden/>
              </w:rPr>
              <w:fldChar w:fldCharType="separate"/>
            </w:r>
            <w:r>
              <w:rPr>
                <w:noProof/>
                <w:webHidden/>
              </w:rPr>
              <w:t>828</w:t>
            </w:r>
            <w:r>
              <w:rPr>
                <w:noProof/>
                <w:webHidden/>
              </w:rPr>
              <w:fldChar w:fldCharType="end"/>
            </w:r>
          </w:hyperlink>
        </w:p>
        <w:p w14:paraId="32B74391" w14:textId="03521EE6"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33" w:history="1">
            <w:r w:rsidRPr="001D4C20">
              <w:rPr>
                <w:rStyle w:val="Lienhypertexte"/>
                <w:noProof/>
              </w:rPr>
              <w:t>57.13.1 Echelles de secours  CCTB 01.07</w:t>
            </w:r>
            <w:r>
              <w:rPr>
                <w:noProof/>
                <w:webHidden/>
              </w:rPr>
              <w:tab/>
            </w:r>
            <w:r>
              <w:rPr>
                <w:noProof/>
                <w:webHidden/>
              </w:rPr>
              <w:fldChar w:fldCharType="begin"/>
            </w:r>
            <w:r>
              <w:rPr>
                <w:noProof/>
                <w:webHidden/>
              </w:rPr>
              <w:instrText xml:space="preserve"> PAGEREF _Toc220491633 \h </w:instrText>
            </w:r>
            <w:r>
              <w:rPr>
                <w:noProof/>
                <w:webHidden/>
              </w:rPr>
            </w:r>
            <w:r>
              <w:rPr>
                <w:noProof/>
                <w:webHidden/>
              </w:rPr>
              <w:fldChar w:fldCharType="separate"/>
            </w:r>
            <w:r>
              <w:rPr>
                <w:noProof/>
                <w:webHidden/>
              </w:rPr>
              <w:t>828</w:t>
            </w:r>
            <w:r>
              <w:rPr>
                <w:noProof/>
                <w:webHidden/>
              </w:rPr>
              <w:fldChar w:fldCharType="end"/>
            </w:r>
          </w:hyperlink>
        </w:p>
        <w:p w14:paraId="3BA7E380" w14:textId="17CAE1C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34" w:history="1">
            <w:r w:rsidRPr="001D4C20">
              <w:rPr>
                <w:rStyle w:val="Lienhypertexte"/>
                <w:noProof/>
              </w:rPr>
              <w:t>57.13.1a Echelles de secours  CCTB 01.07</w:t>
            </w:r>
            <w:r>
              <w:rPr>
                <w:noProof/>
                <w:webHidden/>
              </w:rPr>
              <w:tab/>
            </w:r>
            <w:r>
              <w:rPr>
                <w:noProof/>
                <w:webHidden/>
              </w:rPr>
              <w:fldChar w:fldCharType="begin"/>
            </w:r>
            <w:r>
              <w:rPr>
                <w:noProof/>
                <w:webHidden/>
              </w:rPr>
              <w:instrText xml:space="preserve"> PAGEREF _Toc220491634 \h </w:instrText>
            </w:r>
            <w:r>
              <w:rPr>
                <w:noProof/>
                <w:webHidden/>
              </w:rPr>
            </w:r>
            <w:r>
              <w:rPr>
                <w:noProof/>
                <w:webHidden/>
              </w:rPr>
              <w:fldChar w:fldCharType="separate"/>
            </w:r>
            <w:r>
              <w:rPr>
                <w:noProof/>
                <w:webHidden/>
              </w:rPr>
              <w:t>828</w:t>
            </w:r>
            <w:r>
              <w:rPr>
                <w:noProof/>
                <w:webHidden/>
              </w:rPr>
              <w:fldChar w:fldCharType="end"/>
            </w:r>
          </w:hyperlink>
        </w:p>
        <w:p w14:paraId="32CF6677" w14:textId="769AE637"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35" w:history="1">
            <w:r w:rsidRPr="001D4C20">
              <w:rPr>
                <w:rStyle w:val="Lienhypertexte"/>
                <w:noProof/>
              </w:rPr>
              <w:t>57.13.2 Escaliers escamotables CCTB 01.10</w:t>
            </w:r>
            <w:r>
              <w:rPr>
                <w:noProof/>
                <w:webHidden/>
              </w:rPr>
              <w:tab/>
            </w:r>
            <w:r>
              <w:rPr>
                <w:noProof/>
                <w:webHidden/>
              </w:rPr>
              <w:fldChar w:fldCharType="begin"/>
            </w:r>
            <w:r>
              <w:rPr>
                <w:noProof/>
                <w:webHidden/>
              </w:rPr>
              <w:instrText xml:space="preserve"> PAGEREF _Toc220491635 \h </w:instrText>
            </w:r>
            <w:r>
              <w:rPr>
                <w:noProof/>
                <w:webHidden/>
              </w:rPr>
            </w:r>
            <w:r>
              <w:rPr>
                <w:noProof/>
                <w:webHidden/>
              </w:rPr>
              <w:fldChar w:fldCharType="separate"/>
            </w:r>
            <w:r>
              <w:rPr>
                <w:noProof/>
                <w:webHidden/>
              </w:rPr>
              <w:t>828</w:t>
            </w:r>
            <w:r>
              <w:rPr>
                <w:noProof/>
                <w:webHidden/>
              </w:rPr>
              <w:fldChar w:fldCharType="end"/>
            </w:r>
          </w:hyperlink>
        </w:p>
        <w:p w14:paraId="599AA936" w14:textId="2E82F7C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36" w:history="1">
            <w:r w:rsidRPr="001D4C20">
              <w:rPr>
                <w:rStyle w:val="Lienhypertexte"/>
                <w:noProof/>
              </w:rPr>
              <w:t>57.13.2a Escaliers escamotables en bois CCTB 01.10</w:t>
            </w:r>
            <w:r>
              <w:rPr>
                <w:noProof/>
                <w:webHidden/>
              </w:rPr>
              <w:tab/>
            </w:r>
            <w:r>
              <w:rPr>
                <w:noProof/>
                <w:webHidden/>
              </w:rPr>
              <w:fldChar w:fldCharType="begin"/>
            </w:r>
            <w:r>
              <w:rPr>
                <w:noProof/>
                <w:webHidden/>
              </w:rPr>
              <w:instrText xml:space="preserve"> PAGEREF _Toc220491636 \h </w:instrText>
            </w:r>
            <w:r>
              <w:rPr>
                <w:noProof/>
                <w:webHidden/>
              </w:rPr>
            </w:r>
            <w:r>
              <w:rPr>
                <w:noProof/>
                <w:webHidden/>
              </w:rPr>
              <w:fldChar w:fldCharType="separate"/>
            </w:r>
            <w:r>
              <w:rPr>
                <w:noProof/>
                <w:webHidden/>
              </w:rPr>
              <w:t>829</w:t>
            </w:r>
            <w:r>
              <w:rPr>
                <w:noProof/>
                <w:webHidden/>
              </w:rPr>
              <w:fldChar w:fldCharType="end"/>
            </w:r>
          </w:hyperlink>
        </w:p>
        <w:p w14:paraId="1D5A6F7C" w14:textId="5A91DC0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37" w:history="1">
            <w:r w:rsidRPr="001D4C20">
              <w:rPr>
                <w:rStyle w:val="Lienhypertexte"/>
                <w:noProof/>
              </w:rPr>
              <w:t>57.13.2b Escaliers escamotables en acier CCTB 01.02</w:t>
            </w:r>
            <w:r>
              <w:rPr>
                <w:noProof/>
                <w:webHidden/>
              </w:rPr>
              <w:tab/>
            </w:r>
            <w:r>
              <w:rPr>
                <w:noProof/>
                <w:webHidden/>
              </w:rPr>
              <w:fldChar w:fldCharType="begin"/>
            </w:r>
            <w:r>
              <w:rPr>
                <w:noProof/>
                <w:webHidden/>
              </w:rPr>
              <w:instrText xml:space="preserve"> PAGEREF _Toc220491637 \h </w:instrText>
            </w:r>
            <w:r>
              <w:rPr>
                <w:noProof/>
                <w:webHidden/>
              </w:rPr>
            </w:r>
            <w:r>
              <w:rPr>
                <w:noProof/>
                <w:webHidden/>
              </w:rPr>
              <w:fldChar w:fldCharType="separate"/>
            </w:r>
            <w:r>
              <w:rPr>
                <w:noProof/>
                <w:webHidden/>
              </w:rPr>
              <w:t>830</w:t>
            </w:r>
            <w:r>
              <w:rPr>
                <w:noProof/>
                <w:webHidden/>
              </w:rPr>
              <w:fldChar w:fldCharType="end"/>
            </w:r>
          </w:hyperlink>
        </w:p>
        <w:p w14:paraId="3173ACFB" w14:textId="74794F0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38" w:history="1">
            <w:r w:rsidRPr="001D4C20">
              <w:rPr>
                <w:rStyle w:val="Lienhypertexte"/>
                <w:noProof/>
              </w:rPr>
              <w:t>57.13.2c Escaliers escamotables en acier inoxydable CCTB 01.02</w:t>
            </w:r>
            <w:r>
              <w:rPr>
                <w:noProof/>
                <w:webHidden/>
              </w:rPr>
              <w:tab/>
            </w:r>
            <w:r>
              <w:rPr>
                <w:noProof/>
                <w:webHidden/>
              </w:rPr>
              <w:fldChar w:fldCharType="begin"/>
            </w:r>
            <w:r>
              <w:rPr>
                <w:noProof/>
                <w:webHidden/>
              </w:rPr>
              <w:instrText xml:space="preserve"> PAGEREF _Toc220491638 \h </w:instrText>
            </w:r>
            <w:r>
              <w:rPr>
                <w:noProof/>
                <w:webHidden/>
              </w:rPr>
            </w:r>
            <w:r>
              <w:rPr>
                <w:noProof/>
                <w:webHidden/>
              </w:rPr>
              <w:fldChar w:fldCharType="separate"/>
            </w:r>
            <w:r>
              <w:rPr>
                <w:noProof/>
                <w:webHidden/>
              </w:rPr>
              <w:t>830</w:t>
            </w:r>
            <w:r>
              <w:rPr>
                <w:noProof/>
                <w:webHidden/>
              </w:rPr>
              <w:fldChar w:fldCharType="end"/>
            </w:r>
          </w:hyperlink>
        </w:p>
        <w:p w14:paraId="3DBFF738" w14:textId="55B7E61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39" w:history="1">
            <w:r w:rsidRPr="001D4C20">
              <w:rPr>
                <w:rStyle w:val="Lienhypertexte"/>
                <w:noProof/>
              </w:rPr>
              <w:t>57.13.2d Escaliers escamotables en aluminium CCTB 01.10</w:t>
            </w:r>
            <w:r>
              <w:rPr>
                <w:noProof/>
                <w:webHidden/>
              </w:rPr>
              <w:tab/>
            </w:r>
            <w:r>
              <w:rPr>
                <w:noProof/>
                <w:webHidden/>
              </w:rPr>
              <w:fldChar w:fldCharType="begin"/>
            </w:r>
            <w:r>
              <w:rPr>
                <w:noProof/>
                <w:webHidden/>
              </w:rPr>
              <w:instrText xml:space="preserve"> PAGEREF _Toc220491639 \h </w:instrText>
            </w:r>
            <w:r>
              <w:rPr>
                <w:noProof/>
                <w:webHidden/>
              </w:rPr>
            </w:r>
            <w:r>
              <w:rPr>
                <w:noProof/>
                <w:webHidden/>
              </w:rPr>
              <w:fldChar w:fldCharType="separate"/>
            </w:r>
            <w:r>
              <w:rPr>
                <w:noProof/>
                <w:webHidden/>
              </w:rPr>
              <w:t>830</w:t>
            </w:r>
            <w:r>
              <w:rPr>
                <w:noProof/>
                <w:webHidden/>
              </w:rPr>
              <w:fldChar w:fldCharType="end"/>
            </w:r>
          </w:hyperlink>
        </w:p>
        <w:p w14:paraId="087BF79D" w14:textId="7673C5E4"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640" w:history="1">
            <w:r w:rsidRPr="001D4C20">
              <w:rPr>
                <w:rStyle w:val="Lienhypertexte"/>
                <w:noProof/>
              </w:rPr>
              <w:t>57.2 Eléments d'escalier et garde-corps CCTB 01.12</w:t>
            </w:r>
            <w:r>
              <w:rPr>
                <w:noProof/>
                <w:webHidden/>
              </w:rPr>
              <w:tab/>
            </w:r>
            <w:r>
              <w:rPr>
                <w:noProof/>
                <w:webHidden/>
              </w:rPr>
              <w:fldChar w:fldCharType="begin"/>
            </w:r>
            <w:r>
              <w:rPr>
                <w:noProof/>
                <w:webHidden/>
              </w:rPr>
              <w:instrText xml:space="preserve"> PAGEREF _Toc220491640 \h </w:instrText>
            </w:r>
            <w:r>
              <w:rPr>
                <w:noProof/>
                <w:webHidden/>
              </w:rPr>
            </w:r>
            <w:r>
              <w:rPr>
                <w:noProof/>
                <w:webHidden/>
              </w:rPr>
              <w:fldChar w:fldCharType="separate"/>
            </w:r>
            <w:r>
              <w:rPr>
                <w:noProof/>
                <w:webHidden/>
              </w:rPr>
              <w:t>831</w:t>
            </w:r>
            <w:r>
              <w:rPr>
                <w:noProof/>
                <w:webHidden/>
              </w:rPr>
              <w:fldChar w:fldCharType="end"/>
            </w:r>
          </w:hyperlink>
        </w:p>
        <w:p w14:paraId="16D6F477" w14:textId="6EFD9B41"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641" w:history="1">
            <w:r w:rsidRPr="001D4C20">
              <w:rPr>
                <w:rStyle w:val="Lienhypertexte"/>
                <w:noProof/>
              </w:rPr>
              <w:t>57.21 Limons CCTB 01.02</w:t>
            </w:r>
            <w:r>
              <w:rPr>
                <w:noProof/>
                <w:webHidden/>
              </w:rPr>
              <w:tab/>
            </w:r>
            <w:r>
              <w:rPr>
                <w:noProof/>
                <w:webHidden/>
              </w:rPr>
              <w:fldChar w:fldCharType="begin"/>
            </w:r>
            <w:r>
              <w:rPr>
                <w:noProof/>
                <w:webHidden/>
              </w:rPr>
              <w:instrText xml:space="preserve"> PAGEREF _Toc220491641 \h </w:instrText>
            </w:r>
            <w:r>
              <w:rPr>
                <w:noProof/>
                <w:webHidden/>
              </w:rPr>
            </w:r>
            <w:r>
              <w:rPr>
                <w:noProof/>
                <w:webHidden/>
              </w:rPr>
              <w:fldChar w:fldCharType="separate"/>
            </w:r>
            <w:r>
              <w:rPr>
                <w:noProof/>
                <w:webHidden/>
              </w:rPr>
              <w:t>832</w:t>
            </w:r>
            <w:r>
              <w:rPr>
                <w:noProof/>
                <w:webHidden/>
              </w:rPr>
              <w:fldChar w:fldCharType="end"/>
            </w:r>
          </w:hyperlink>
        </w:p>
        <w:p w14:paraId="4F6D3612" w14:textId="57EAE105"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42" w:history="1">
            <w:r w:rsidRPr="001D4C20">
              <w:rPr>
                <w:rStyle w:val="Lienhypertexte"/>
                <w:noProof/>
              </w:rPr>
              <w:t>57.21.1 Limons en béton armé CCTB 01.02</w:t>
            </w:r>
            <w:r>
              <w:rPr>
                <w:noProof/>
                <w:webHidden/>
              </w:rPr>
              <w:tab/>
            </w:r>
            <w:r>
              <w:rPr>
                <w:noProof/>
                <w:webHidden/>
              </w:rPr>
              <w:fldChar w:fldCharType="begin"/>
            </w:r>
            <w:r>
              <w:rPr>
                <w:noProof/>
                <w:webHidden/>
              </w:rPr>
              <w:instrText xml:space="preserve"> PAGEREF _Toc220491642 \h </w:instrText>
            </w:r>
            <w:r>
              <w:rPr>
                <w:noProof/>
                <w:webHidden/>
              </w:rPr>
            </w:r>
            <w:r>
              <w:rPr>
                <w:noProof/>
                <w:webHidden/>
              </w:rPr>
              <w:fldChar w:fldCharType="separate"/>
            </w:r>
            <w:r>
              <w:rPr>
                <w:noProof/>
                <w:webHidden/>
              </w:rPr>
              <w:t>832</w:t>
            </w:r>
            <w:r>
              <w:rPr>
                <w:noProof/>
                <w:webHidden/>
              </w:rPr>
              <w:fldChar w:fldCharType="end"/>
            </w:r>
          </w:hyperlink>
        </w:p>
        <w:p w14:paraId="2BC03D43" w14:textId="434E517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43" w:history="1">
            <w:r w:rsidRPr="001D4C20">
              <w:rPr>
                <w:rStyle w:val="Lienhypertexte"/>
                <w:noProof/>
              </w:rPr>
              <w:t>57.21.1a Limons en béton armé coulés sur place CCTB 01.02</w:t>
            </w:r>
            <w:r>
              <w:rPr>
                <w:noProof/>
                <w:webHidden/>
              </w:rPr>
              <w:tab/>
            </w:r>
            <w:r>
              <w:rPr>
                <w:noProof/>
                <w:webHidden/>
              </w:rPr>
              <w:fldChar w:fldCharType="begin"/>
            </w:r>
            <w:r>
              <w:rPr>
                <w:noProof/>
                <w:webHidden/>
              </w:rPr>
              <w:instrText xml:space="preserve"> PAGEREF _Toc220491643 \h </w:instrText>
            </w:r>
            <w:r>
              <w:rPr>
                <w:noProof/>
                <w:webHidden/>
              </w:rPr>
            </w:r>
            <w:r>
              <w:rPr>
                <w:noProof/>
                <w:webHidden/>
              </w:rPr>
              <w:fldChar w:fldCharType="separate"/>
            </w:r>
            <w:r>
              <w:rPr>
                <w:noProof/>
                <w:webHidden/>
              </w:rPr>
              <w:t>832</w:t>
            </w:r>
            <w:r>
              <w:rPr>
                <w:noProof/>
                <w:webHidden/>
              </w:rPr>
              <w:fldChar w:fldCharType="end"/>
            </w:r>
          </w:hyperlink>
        </w:p>
        <w:p w14:paraId="08FAFC53" w14:textId="092C6E8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44" w:history="1">
            <w:r w:rsidRPr="001D4C20">
              <w:rPr>
                <w:rStyle w:val="Lienhypertexte"/>
                <w:noProof/>
              </w:rPr>
              <w:t>57.21.1b Limons préfabriqués en béton armé  CCTB 01.02</w:t>
            </w:r>
            <w:r>
              <w:rPr>
                <w:noProof/>
                <w:webHidden/>
              </w:rPr>
              <w:tab/>
            </w:r>
            <w:r>
              <w:rPr>
                <w:noProof/>
                <w:webHidden/>
              </w:rPr>
              <w:fldChar w:fldCharType="begin"/>
            </w:r>
            <w:r>
              <w:rPr>
                <w:noProof/>
                <w:webHidden/>
              </w:rPr>
              <w:instrText xml:space="preserve"> PAGEREF _Toc220491644 \h </w:instrText>
            </w:r>
            <w:r>
              <w:rPr>
                <w:noProof/>
                <w:webHidden/>
              </w:rPr>
            </w:r>
            <w:r>
              <w:rPr>
                <w:noProof/>
                <w:webHidden/>
              </w:rPr>
              <w:fldChar w:fldCharType="separate"/>
            </w:r>
            <w:r>
              <w:rPr>
                <w:noProof/>
                <w:webHidden/>
              </w:rPr>
              <w:t>832</w:t>
            </w:r>
            <w:r>
              <w:rPr>
                <w:noProof/>
                <w:webHidden/>
              </w:rPr>
              <w:fldChar w:fldCharType="end"/>
            </w:r>
          </w:hyperlink>
        </w:p>
        <w:p w14:paraId="1FAEAC7C" w14:textId="6A7B4B65"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45" w:history="1">
            <w:r w:rsidRPr="001D4C20">
              <w:rPr>
                <w:rStyle w:val="Lienhypertexte"/>
                <w:noProof/>
              </w:rPr>
              <w:t>57.21.2 Limons métalliques CCTB 01.12</w:t>
            </w:r>
            <w:r>
              <w:rPr>
                <w:noProof/>
                <w:webHidden/>
              </w:rPr>
              <w:tab/>
            </w:r>
            <w:r>
              <w:rPr>
                <w:noProof/>
                <w:webHidden/>
              </w:rPr>
              <w:fldChar w:fldCharType="begin"/>
            </w:r>
            <w:r>
              <w:rPr>
                <w:noProof/>
                <w:webHidden/>
              </w:rPr>
              <w:instrText xml:space="preserve"> PAGEREF _Toc220491645 \h </w:instrText>
            </w:r>
            <w:r>
              <w:rPr>
                <w:noProof/>
                <w:webHidden/>
              </w:rPr>
            </w:r>
            <w:r>
              <w:rPr>
                <w:noProof/>
                <w:webHidden/>
              </w:rPr>
              <w:fldChar w:fldCharType="separate"/>
            </w:r>
            <w:r>
              <w:rPr>
                <w:noProof/>
                <w:webHidden/>
              </w:rPr>
              <w:t>832</w:t>
            </w:r>
            <w:r>
              <w:rPr>
                <w:noProof/>
                <w:webHidden/>
              </w:rPr>
              <w:fldChar w:fldCharType="end"/>
            </w:r>
          </w:hyperlink>
        </w:p>
        <w:p w14:paraId="0B1BCA98" w14:textId="345BE58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46" w:history="1">
            <w:r w:rsidRPr="001D4C20">
              <w:rPr>
                <w:rStyle w:val="Lienhypertexte"/>
                <w:noProof/>
              </w:rPr>
              <w:t>57.21.2a Limons métalliques - en acier CCTB 01.02</w:t>
            </w:r>
            <w:r>
              <w:rPr>
                <w:noProof/>
                <w:webHidden/>
              </w:rPr>
              <w:tab/>
            </w:r>
            <w:r>
              <w:rPr>
                <w:noProof/>
                <w:webHidden/>
              </w:rPr>
              <w:fldChar w:fldCharType="begin"/>
            </w:r>
            <w:r>
              <w:rPr>
                <w:noProof/>
                <w:webHidden/>
              </w:rPr>
              <w:instrText xml:space="preserve"> PAGEREF _Toc220491646 \h </w:instrText>
            </w:r>
            <w:r>
              <w:rPr>
                <w:noProof/>
                <w:webHidden/>
              </w:rPr>
            </w:r>
            <w:r>
              <w:rPr>
                <w:noProof/>
                <w:webHidden/>
              </w:rPr>
              <w:fldChar w:fldCharType="separate"/>
            </w:r>
            <w:r>
              <w:rPr>
                <w:noProof/>
                <w:webHidden/>
              </w:rPr>
              <w:t>833</w:t>
            </w:r>
            <w:r>
              <w:rPr>
                <w:noProof/>
                <w:webHidden/>
              </w:rPr>
              <w:fldChar w:fldCharType="end"/>
            </w:r>
          </w:hyperlink>
        </w:p>
        <w:p w14:paraId="4437EFE0" w14:textId="01D1E21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47" w:history="1">
            <w:r w:rsidRPr="001D4C20">
              <w:rPr>
                <w:rStyle w:val="Lienhypertexte"/>
                <w:noProof/>
              </w:rPr>
              <w:t>57.21.2b Limons métalliques - en acier inoxydable CCTB 01.12</w:t>
            </w:r>
            <w:r>
              <w:rPr>
                <w:noProof/>
                <w:webHidden/>
              </w:rPr>
              <w:tab/>
            </w:r>
            <w:r>
              <w:rPr>
                <w:noProof/>
                <w:webHidden/>
              </w:rPr>
              <w:fldChar w:fldCharType="begin"/>
            </w:r>
            <w:r>
              <w:rPr>
                <w:noProof/>
                <w:webHidden/>
              </w:rPr>
              <w:instrText xml:space="preserve"> PAGEREF _Toc220491647 \h </w:instrText>
            </w:r>
            <w:r>
              <w:rPr>
                <w:noProof/>
                <w:webHidden/>
              </w:rPr>
            </w:r>
            <w:r>
              <w:rPr>
                <w:noProof/>
                <w:webHidden/>
              </w:rPr>
              <w:fldChar w:fldCharType="separate"/>
            </w:r>
            <w:r>
              <w:rPr>
                <w:noProof/>
                <w:webHidden/>
              </w:rPr>
              <w:t>833</w:t>
            </w:r>
            <w:r>
              <w:rPr>
                <w:noProof/>
                <w:webHidden/>
              </w:rPr>
              <w:fldChar w:fldCharType="end"/>
            </w:r>
          </w:hyperlink>
        </w:p>
        <w:p w14:paraId="30FA493B" w14:textId="3A6AB43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48" w:history="1">
            <w:r w:rsidRPr="001D4C20">
              <w:rPr>
                <w:rStyle w:val="Lienhypertexte"/>
                <w:noProof/>
              </w:rPr>
              <w:t>57.21.2c Limons métalliques - en aluminium CCTB 01.02</w:t>
            </w:r>
            <w:r>
              <w:rPr>
                <w:noProof/>
                <w:webHidden/>
              </w:rPr>
              <w:tab/>
            </w:r>
            <w:r>
              <w:rPr>
                <w:noProof/>
                <w:webHidden/>
              </w:rPr>
              <w:fldChar w:fldCharType="begin"/>
            </w:r>
            <w:r>
              <w:rPr>
                <w:noProof/>
                <w:webHidden/>
              </w:rPr>
              <w:instrText xml:space="preserve"> PAGEREF _Toc220491648 \h </w:instrText>
            </w:r>
            <w:r>
              <w:rPr>
                <w:noProof/>
                <w:webHidden/>
              </w:rPr>
            </w:r>
            <w:r>
              <w:rPr>
                <w:noProof/>
                <w:webHidden/>
              </w:rPr>
              <w:fldChar w:fldCharType="separate"/>
            </w:r>
            <w:r>
              <w:rPr>
                <w:noProof/>
                <w:webHidden/>
              </w:rPr>
              <w:t>834</w:t>
            </w:r>
            <w:r>
              <w:rPr>
                <w:noProof/>
                <w:webHidden/>
              </w:rPr>
              <w:fldChar w:fldCharType="end"/>
            </w:r>
          </w:hyperlink>
        </w:p>
        <w:p w14:paraId="0CD822A5" w14:textId="23F6C7DE"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49" w:history="1">
            <w:r w:rsidRPr="001D4C20">
              <w:rPr>
                <w:rStyle w:val="Lienhypertexte"/>
                <w:noProof/>
              </w:rPr>
              <w:t>57.21.3 Limons en bois CCTB 01.02</w:t>
            </w:r>
            <w:r>
              <w:rPr>
                <w:noProof/>
                <w:webHidden/>
              </w:rPr>
              <w:tab/>
            </w:r>
            <w:r>
              <w:rPr>
                <w:noProof/>
                <w:webHidden/>
              </w:rPr>
              <w:fldChar w:fldCharType="begin"/>
            </w:r>
            <w:r>
              <w:rPr>
                <w:noProof/>
                <w:webHidden/>
              </w:rPr>
              <w:instrText xml:space="preserve"> PAGEREF _Toc220491649 \h </w:instrText>
            </w:r>
            <w:r>
              <w:rPr>
                <w:noProof/>
                <w:webHidden/>
              </w:rPr>
            </w:r>
            <w:r>
              <w:rPr>
                <w:noProof/>
                <w:webHidden/>
              </w:rPr>
              <w:fldChar w:fldCharType="separate"/>
            </w:r>
            <w:r>
              <w:rPr>
                <w:noProof/>
                <w:webHidden/>
              </w:rPr>
              <w:t>834</w:t>
            </w:r>
            <w:r>
              <w:rPr>
                <w:noProof/>
                <w:webHidden/>
              </w:rPr>
              <w:fldChar w:fldCharType="end"/>
            </w:r>
          </w:hyperlink>
        </w:p>
        <w:p w14:paraId="5AB5CEFC" w14:textId="3697D966"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650" w:history="1">
            <w:r w:rsidRPr="001D4C20">
              <w:rPr>
                <w:rStyle w:val="Lienhypertexte"/>
                <w:noProof/>
              </w:rPr>
              <w:t>57.22 Marches / Contremarches CCTB 01.13</w:t>
            </w:r>
            <w:r>
              <w:rPr>
                <w:noProof/>
                <w:webHidden/>
              </w:rPr>
              <w:tab/>
            </w:r>
            <w:r>
              <w:rPr>
                <w:noProof/>
                <w:webHidden/>
              </w:rPr>
              <w:fldChar w:fldCharType="begin"/>
            </w:r>
            <w:r>
              <w:rPr>
                <w:noProof/>
                <w:webHidden/>
              </w:rPr>
              <w:instrText xml:space="preserve"> PAGEREF _Toc220491650 \h </w:instrText>
            </w:r>
            <w:r>
              <w:rPr>
                <w:noProof/>
                <w:webHidden/>
              </w:rPr>
            </w:r>
            <w:r>
              <w:rPr>
                <w:noProof/>
                <w:webHidden/>
              </w:rPr>
              <w:fldChar w:fldCharType="separate"/>
            </w:r>
            <w:r>
              <w:rPr>
                <w:noProof/>
                <w:webHidden/>
              </w:rPr>
              <w:t>834</w:t>
            </w:r>
            <w:r>
              <w:rPr>
                <w:noProof/>
                <w:webHidden/>
              </w:rPr>
              <w:fldChar w:fldCharType="end"/>
            </w:r>
          </w:hyperlink>
        </w:p>
        <w:p w14:paraId="0BD2787C" w14:textId="7ED6B566"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51" w:history="1">
            <w:r w:rsidRPr="001D4C20">
              <w:rPr>
                <w:rStyle w:val="Lienhypertexte"/>
                <w:noProof/>
              </w:rPr>
              <w:t>57.22.1 Marches / Contremarches en pierre CCTB 01.02</w:t>
            </w:r>
            <w:r>
              <w:rPr>
                <w:noProof/>
                <w:webHidden/>
              </w:rPr>
              <w:tab/>
            </w:r>
            <w:r>
              <w:rPr>
                <w:noProof/>
                <w:webHidden/>
              </w:rPr>
              <w:fldChar w:fldCharType="begin"/>
            </w:r>
            <w:r>
              <w:rPr>
                <w:noProof/>
                <w:webHidden/>
              </w:rPr>
              <w:instrText xml:space="preserve"> PAGEREF _Toc220491651 \h </w:instrText>
            </w:r>
            <w:r>
              <w:rPr>
                <w:noProof/>
                <w:webHidden/>
              </w:rPr>
            </w:r>
            <w:r>
              <w:rPr>
                <w:noProof/>
                <w:webHidden/>
              </w:rPr>
              <w:fldChar w:fldCharType="separate"/>
            </w:r>
            <w:r>
              <w:rPr>
                <w:noProof/>
                <w:webHidden/>
              </w:rPr>
              <w:t>836</w:t>
            </w:r>
            <w:r>
              <w:rPr>
                <w:noProof/>
                <w:webHidden/>
              </w:rPr>
              <w:fldChar w:fldCharType="end"/>
            </w:r>
          </w:hyperlink>
        </w:p>
        <w:p w14:paraId="2464E5D8" w14:textId="49C1F63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52" w:history="1">
            <w:r w:rsidRPr="001D4C20">
              <w:rPr>
                <w:rStyle w:val="Lienhypertexte"/>
                <w:noProof/>
              </w:rPr>
              <w:t>57.22.1a Marches / Contremarches en pierre CCTB 01.11</w:t>
            </w:r>
            <w:r>
              <w:rPr>
                <w:noProof/>
                <w:webHidden/>
              </w:rPr>
              <w:tab/>
            </w:r>
            <w:r>
              <w:rPr>
                <w:noProof/>
                <w:webHidden/>
              </w:rPr>
              <w:fldChar w:fldCharType="begin"/>
            </w:r>
            <w:r>
              <w:rPr>
                <w:noProof/>
                <w:webHidden/>
              </w:rPr>
              <w:instrText xml:space="preserve"> PAGEREF _Toc220491652 \h </w:instrText>
            </w:r>
            <w:r>
              <w:rPr>
                <w:noProof/>
                <w:webHidden/>
              </w:rPr>
            </w:r>
            <w:r>
              <w:rPr>
                <w:noProof/>
                <w:webHidden/>
              </w:rPr>
              <w:fldChar w:fldCharType="separate"/>
            </w:r>
            <w:r>
              <w:rPr>
                <w:noProof/>
                <w:webHidden/>
              </w:rPr>
              <w:t>836</w:t>
            </w:r>
            <w:r>
              <w:rPr>
                <w:noProof/>
                <w:webHidden/>
              </w:rPr>
              <w:fldChar w:fldCharType="end"/>
            </w:r>
          </w:hyperlink>
        </w:p>
        <w:p w14:paraId="4DD25D2B" w14:textId="646578E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53" w:history="1">
            <w:r w:rsidRPr="001D4C20">
              <w:rPr>
                <w:rStyle w:val="Lienhypertexte"/>
                <w:noProof/>
              </w:rPr>
              <w:t>57.22.1b Marches / Contremarches en pierre - en mosaïques de marbre CCTB 01.10</w:t>
            </w:r>
            <w:r>
              <w:rPr>
                <w:noProof/>
                <w:webHidden/>
              </w:rPr>
              <w:tab/>
            </w:r>
            <w:r>
              <w:rPr>
                <w:noProof/>
                <w:webHidden/>
              </w:rPr>
              <w:fldChar w:fldCharType="begin"/>
            </w:r>
            <w:r>
              <w:rPr>
                <w:noProof/>
                <w:webHidden/>
              </w:rPr>
              <w:instrText xml:space="preserve"> PAGEREF _Toc220491653 \h </w:instrText>
            </w:r>
            <w:r>
              <w:rPr>
                <w:noProof/>
                <w:webHidden/>
              </w:rPr>
            </w:r>
            <w:r>
              <w:rPr>
                <w:noProof/>
                <w:webHidden/>
              </w:rPr>
              <w:fldChar w:fldCharType="separate"/>
            </w:r>
            <w:r>
              <w:rPr>
                <w:noProof/>
                <w:webHidden/>
              </w:rPr>
              <w:t>837</w:t>
            </w:r>
            <w:r>
              <w:rPr>
                <w:noProof/>
                <w:webHidden/>
              </w:rPr>
              <w:fldChar w:fldCharType="end"/>
            </w:r>
          </w:hyperlink>
        </w:p>
        <w:p w14:paraId="1A4D2253" w14:textId="7097158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54" w:history="1">
            <w:r w:rsidRPr="001D4C20">
              <w:rPr>
                <w:rStyle w:val="Lienhypertexte"/>
                <w:noProof/>
              </w:rPr>
              <w:t>57.22.1c Marches / Contremarches en pierre reconstituée CCTB 01.02</w:t>
            </w:r>
            <w:r>
              <w:rPr>
                <w:noProof/>
                <w:webHidden/>
              </w:rPr>
              <w:tab/>
            </w:r>
            <w:r>
              <w:rPr>
                <w:noProof/>
                <w:webHidden/>
              </w:rPr>
              <w:fldChar w:fldCharType="begin"/>
            </w:r>
            <w:r>
              <w:rPr>
                <w:noProof/>
                <w:webHidden/>
              </w:rPr>
              <w:instrText xml:space="preserve"> PAGEREF _Toc220491654 \h </w:instrText>
            </w:r>
            <w:r>
              <w:rPr>
                <w:noProof/>
                <w:webHidden/>
              </w:rPr>
            </w:r>
            <w:r>
              <w:rPr>
                <w:noProof/>
                <w:webHidden/>
              </w:rPr>
              <w:fldChar w:fldCharType="separate"/>
            </w:r>
            <w:r>
              <w:rPr>
                <w:noProof/>
                <w:webHidden/>
              </w:rPr>
              <w:t>839</w:t>
            </w:r>
            <w:r>
              <w:rPr>
                <w:noProof/>
                <w:webHidden/>
              </w:rPr>
              <w:fldChar w:fldCharType="end"/>
            </w:r>
          </w:hyperlink>
        </w:p>
        <w:p w14:paraId="1C2A8C9E" w14:textId="243EB946"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55" w:history="1">
            <w:r w:rsidRPr="001D4C20">
              <w:rPr>
                <w:rStyle w:val="Lienhypertexte"/>
                <w:noProof/>
              </w:rPr>
              <w:t>57.22.2 Marches / Contremarches en béton armé CCTB 01.02</w:t>
            </w:r>
            <w:r>
              <w:rPr>
                <w:noProof/>
                <w:webHidden/>
              </w:rPr>
              <w:tab/>
            </w:r>
            <w:r>
              <w:rPr>
                <w:noProof/>
                <w:webHidden/>
              </w:rPr>
              <w:fldChar w:fldCharType="begin"/>
            </w:r>
            <w:r>
              <w:rPr>
                <w:noProof/>
                <w:webHidden/>
              </w:rPr>
              <w:instrText xml:space="preserve"> PAGEREF _Toc220491655 \h </w:instrText>
            </w:r>
            <w:r>
              <w:rPr>
                <w:noProof/>
                <w:webHidden/>
              </w:rPr>
            </w:r>
            <w:r>
              <w:rPr>
                <w:noProof/>
                <w:webHidden/>
              </w:rPr>
              <w:fldChar w:fldCharType="separate"/>
            </w:r>
            <w:r>
              <w:rPr>
                <w:noProof/>
                <w:webHidden/>
              </w:rPr>
              <w:t>839</w:t>
            </w:r>
            <w:r>
              <w:rPr>
                <w:noProof/>
                <w:webHidden/>
              </w:rPr>
              <w:fldChar w:fldCharType="end"/>
            </w:r>
          </w:hyperlink>
        </w:p>
        <w:p w14:paraId="2761414C" w14:textId="31EEA02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56" w:history="1">
            <w:r w:rsidRPr="001D4C20">
              <w:rPr>
                <w:rStyle w:val="Lienhypertexte"/>
                <w:noProof/>
              </w:rPr>
              <w:t>57.22.2a Marches / Contremarches en béton armé coulés sur place CCTB 01.02</w:t>
            </w:r>
            <w:r>
              <w:rPr>
                <w:noProof/>
                <w:webHidden/>
              </w:rPr>
              <w:tab/>
            </w:r>
            <w:r>
              <w:rPr>
                <w:noProof/>
                <w:webHidden/>
              </w:rPr>
              <w:fldChar w:fldCharType="begin"/>
            </w:r>
            <w:r>
              <w:rPr>
                <w:noProof/>
                <w:webHidden/>
              </w:rPr>
              <w:instrText xml:space="preserve"> PAGEREF _Toc220491656 \h </w:instrText>
            </w:r>
            <w:r>
              <w:rPr>
                <w:noProof/>
                <w:webHidden/>
              </w:rPr>
            </w:r>
            <w:r>
              <w:rPr>
                <w:noProof/>
                <w:webHidden/>
              </w:rPr>
              <w:fldChar w:fldCharType="separate"/>
            </w:r>
            <w:r>
              <w:rPr>
                <w:noProof/>
                <w:webHidden/>
              </w:rPr>
              <w:t>839</w:t>
            </w:r>
            <w:r>
              <w:rPr>
                <w:noProof/>
                <w:webHidden/>
              </w:rPr>
              <w:fldChar w:fldCharType="end"/>
            </w:r>
          </w:hyperlink>
        </w:p>
        <w:p w14:paraId="5912C76A" w14:textId="7C2075F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57" w:history="1">
            <w:r w:rsidRPr="001D4C20">
              <w:rPr>
                <w:rStyle w:val="Lienhypertexte"/>
                <w:noProof/>
              </w:rPr>
              <w:t>57.22.2b Marches / Contremarches préfabriquées en béton armé  CCTB 01.02</w:t>
            </w:r>
            <w:r>
              <w:rPr>
                <w:noProof/>
                <w:webHidden/>
              </w:rPr>
              <w:tab/>
            </w:r>
            <w:r>
              <w:rPr>
                <w:noProof/>
                <w:webHidden/>
              </w:rPr>
              <w:fldChar w:fldCharType="begin"/>
            </w:r>
            <w:r>
              <w:rPr>
                <w:noProof/>
                <w:webHidden/>
              </w:rPr>
              <w:instrText xml:space="preserve"> PAGEREF _Toc220491657 \h </w:instrText>
            </w:r>
            <w:r>
              <w:rPr>
                <w:noProof/>
                <w:webHidden/>
              </w:rPr>
            </w:r>
            <w:r>
              <w:rPr>
                <w:noProof/>
                <w:webHidden/>
              </w:rPr>
              <w:fldChar w:fldCharType="separate"/>
            </w:r>
            <w:r>
              <w:rPr>
                <w:noProof/>
                <w:webHidden/>
              </w:rPr>
              <w:t>839</w:t>
            </w:r>
            <w:r>
              <w:rPr>
                <w:noProof/>
                <w:webHidden/>
              </w:rPr>
              <w:fldChar w:fldCharType="end"/>
            </w:r>
          </w:hyperlink>
        </w:p>
        <w:p w14:paraId="4079204C" w14:textId="14B514C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58" w:history="1">
            <w:r w:rsidRPr="001D4C20">
              <w:rPr>
                <w:rStyle w:val="Lienhypertexte"/>
                <w:noProof/>
              </w:rPr>
              <w:t>57.22.3 Marches / Contremarches en bois CCTB 01.02</w:t>
            </w:r>
            <w:r>
              <w:rPr>
                <w:noProof/>
                <w:webHidden/>
              </w:rPr>
              <w:tab/>
            </w:r>
            <w:r>
              <w:rPr>
                <w:noProof/>
                <w:webHidden/>
              </w:rPr>
              <w:fldChar w:fldCharType="begin"/>
            </w:r>
            <w:r>
              <w:rPr>
                <w:noProof/>
                <w:webHidden/>
              </w:rPr>
              <w:instrText xml:space="preserve"> PAGEREF _Toc220491658 \h </w:instrText>
            </w:r>
            <w:r>
              <w:rPr>
                <w:noProof/>
                <w:webHidden/>
              </w:rPr>
            </w:r>
            <w:r>
              <w:rPr>
                <w:noProof/>
                <w:webHidden/>
              </w:rPr>
              <w:fldChar w:fldCharType="separate"/>
            </w:r>
            <w:r>
              <w:rPr>
                <w:noProof/>
                <w:webHidden/>
              </w:rPr>
              <w:t>839</w:t>
            </w:r>
            <w:r>
              <w:rPr>
                <w:noProof/>
                <w:webHidden/>
              </w:rPr>
              <w:fldChar w:fldCharType="end"/>
            </w:r>
          </w:hyperlink>
        </w:p>
        <w:p w14:paraId="01D8E7F1" w14:textId="441E304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59" w:history="1">
            <w:r w:rsidRPr="001D4C20">
              <w:rPr>
                <w:rStyle w:val="Lienhypertexte"/>
                <w:noProof/>
              </w:rPr>
              <w:t>57.22.3a Marches / Contremarches en bois CCTB 01.11</w:t>
            </w:r>
            <w:r>
              <w:rPr>
                <w:noProof/>
                <w:webHidden/>
              </w:rPr>
              <w:tab/>
            </w:r>
            <w:r>
              <w:rPr>
                <w:noProof/>
                <w:webHidden/>
              </w:rPr>
              <w:fldChar w:fldCharType="begin"/>
            </w:r>
            <w:r>
              <w:rPr>
                <w:noProof/>
                <w:webHidden/>
              </w:rPr>
              <w:instrText xml:space="preserve"> PAGEREF _Toc220491659 \h </w:instrText>
            </w:r>
            <w:r>
              <w:rPr>
                <w:noProof/>
                <w:webHidden/>
              </w:rPr>
            </w:r>
            <w:r>
              <w:rPr>
                <w:noProof/>
                <w:webHidden/>
              </w:rPr>
              <w:fldChar w:fldCharType="separate"/>
            </w:r>
            <w:r>
              <w:rPr>
                <w:noProof/>
                <w:webHidden/>
              </w:rPr>
              <w:t>839</w:t>
            </w:r>
            <w:r>
              <w:rPr>
                <w:noProof/>
                <w:webHidden/>
              </w:rPr>
              <w:fldChar w:fldCharType="end"/>
            </w:r>
          </w:hyperlink>
        </w:p>
        <w:p w14:paraId="7946C457" w14:textId="68FC63F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60" w:history="1">
            <w:r w:rsidRPr="001D4C20">
              <w:rPr>
                <w:rStyle w:val="Lienhypertexte"/>
                <w:noProof/>
              </w:rPr>
              <w:t>57.22.4 Marches / Contremarches métallique CCTB 01.02</w:t>
            </w:r>
            <w:r>
              <w:rPr>
                <w:noProof/>
                <w:webHidden/>
              </w:rPr>
              <w:tab/>
            </w:r>
            <w:r>
              <w:rPr>
                <w:noProof/>
                <w:webHidden/>
              </w:rPr>
              <w:fldChar w:fldCharType="begin"/>
            </w:r>
            <w:r>
              <w:rPr>
                <w:noProof/>
                <w:webHidden/>
              </w:rPr>
              <w:instrText xml:space="preserve"> PAGEREF _Toc220491660 \h </w:instrText>
            </w:r>
            <w:r>
              <w:rPr>
                <w:noProof/>
                <w:webHidden/>
              </w:rPr>
            </w:r>
            <w:r>
              <w:rPr>
                <w:noProof/>
                <w:webHidden/>
              </w:rPr>
              <w:fldChar w:fldCharType="separate"/>
            </w:r>
            <w:r>
              <w:rPr>
                <w:noProof/>
                <w:webHidden/>
              </w:rPr>
              <w:t>841</w:t>
            </w:r>
            <w:r>
              <w:rPr>
                <w:noProof/>
                <w:webHidden/>
              </w:rPr>
              <w:fldChar w:fldCharType="end"/>
            </w:r>
          </w:hyperlink>
        </w:p>
        <w:p w14:paraId="2AE73BDD" w14:textId="70A54DA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61" w:history="1">
            <w:r w:rsidRPr="001D4C20">
              <w:rPr>
                <w:rStyle w:val="Lienhypertexte"/>
                <w:noProof/>
              </w:rPr>
              <w:t>57.22.4a Marches / Contremarches métalliques - en acier CCTB 01.02</w:t>
            </w:r>
            <w:r>
              <w:rPr>
                <w:noProof/>
                <w:webHidden/>
              </w:rPr>
              <w:tab/>
            </w:r>
            <w:r>
              <w:rPr>
                <w:noProof/>
                <w:webHidden/>
              </w:rPr>
              <w:fldChar w:fldCharType="begin"/>
            </w:r>
            <w:r>
              <w:rPr>
                <w:noProof/>
                <w:webHidden/>
              </w:rPr>
              <w:instrText xml:space="preserve"> PAGEREF _Toc220491661 \h </w:instrText>
            </w:r>
            <w:r>
              <w:rPr>
                <w:noProof/>
                <w:webHidden/>
              </w:rPr>
            </w:r>
            <w:r>
              <w:rPr>
                <w:noProof/>
                <w:webHidden/>
              </w:rPr>
              <w:fldChar w:fldCharType="separate"/>
            </w:r>
            <w:r>
              <w:rPr>
                <w:noProof/>
                <w:webHidden/>
              </w:rPr>
              <w:t>841</w:t>
            </w:r>
            <w:r>
              <w:rPr>
                <w:noProof/>
                <w:webHidden/>
              </w:rPr>
              <w:fldChar w:fldCharType="end"/>
            </w:r>
          </w:hyperlink>
        </w:p>
        <w:p w14:paraId="03F05A3E" w14:textId="0307C18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62" w:history="1">
            <w:r w:rsidRPr="001D4C20">
              <w:rPr>
                <w:rStyle w:val="Lienhypertexte"/>
                <w:noProof/>
              </w:rPr>
              <w:t>57.22.4b Marches / Contremarches métalliques - en acier inoxydable CCTB 01.02</w:t>
            </w:r>
            <w:r>
              <w:rPr>
                <w:noProof/>
                <w:webHidden/>
              </w:rPr>
              <w:tab/>
            </w:r>
            <w:r>
              <w:rPr>
                <w:noProof/>
                <w:webHidden/>
              </w:rPr>
              <w:fldChar w:fldCharType="begin"/>
            </w:r>
            <w:r>
              <w:rPr>
                <w:noProof/>
                <w:webHidden/>
              </w:rPr>
              <w:instrText xml:space="preserve"> PAGEREF _Toc220491662 \h </w:instrText>
            </w:r>
            <w:r>
              <w:rPr>
                <w:noProof/>
                <w:webHidden/>
              </w:rPr>
            </w:r>
            <w:r>
              <w:rPr>
                <w:noProof/>
                <w:webHidden/>
              </w:rPr>
              <w:fldChar w:fldCharType="separate"/>
            </w:r>
            <w:r>
              <w:rPr>
                <w:noProof/>
                <w:webHidden/>
              </w:rPr>
              <w:t>841</w:t>
            </w:r>
            <w:r>
              <w:rPr>
                <w:noProof/>
                <w:webHidden/>
              </w:rPr>
              <w:fldChar w:fldCharType="end"/>
            </w:r>
          </w:hyperlink>
        </w:p>
        <w:p w14:paraId="36C29E8B" w14:textId="7AEF038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63" w:history="1">
            <w:r w:rsidRPr="001D4C20">
              <w:rPr>
                <w:rStyle w:val="Lienhypertexte"/>
                <w:noProof/>
              </w:rPr>
              <w:t>57.22.4c Marches / Contremarches métalliques - en aluminium CCTB 01.02</w:t>
            </w:r>
            <w:r>
              <w:rPr>
                <w:noProof/>
                <w:webHidden/>
              </w:rPr>
              <w:tab/>
            </w:r>
            <w:r>
              <w:rPr>
                <w:noProof/>
                <w:webHidden/>
              </w:rPr>
              <w:fldChar w:fldCharType="begin"/>
            </w:r>
            <w:r>
              <w:rPr>
                <w:noProof/>
                <w:webHidden/>
              </w:rPr>
              <w:instrText xml:space="preserve"> PAGEREF _Toc220491663 \h </w:instrText>
            </w:r>
            <w:r>
              <w:rPr>
                <w:noProof/>
                <w:webHidden/>
              </w:rPr>
            </w:r>
            <w:r>
              <w:rPr>
                <w:noProof/>
                <w:webHidden/>
              </w:rPr>
              <w:fldChar w:fldCharType="separate"/>
            </w:r>
            <w:r>
              <w:rPr>
                <w:noProof/>
                <w:webHidden/>
              </w:rPr>
              <w:t>841</w:t>
            </w:r>
            <w:r>
              <w:rPr>
                <w:noProof/>
                <w:webHidden/>
              </w:rPr>
              <w:fldChar w:fldCharType="end"/>
            </w:r>
          </w:hyperlink>
        </w:p>
        <w:p w14:paraId="6348FFCE" w14:textId="42F854ED"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64" w:history="1">
            <w:r w:rsidRPr="001D4C20">
              <w:rPr>
                <w:rStyle w:val="Lienhypertexte"/>
                <w:noProof/>
              </w:rPr>
              <w:t>57.22.5 Marches / Contremarches en céramiques CCTB 01.02</w:t>
            </w:r>
            <w:r>
              <w:rPr>
                <w:noProof/>
                <w:webHidden/>
              </w:rPr>
              <w:tab/>
            </w:r>
            <w:r>
              <w:rPr>
                <w:noProof/>
                <w:webHidden/>
              </w:rPr>
              <w:fldChar w:fldCharType="begin"/>
            </w:r>
            <w:r>
              <w:rPr>
                <w:noProof/>
                <w:webHidden/>
              </w:rPr>
              <w:instrText xml:space="preserve"> PAGEREF _Toc220491664 \h </w:instrText>
            </w:r>
            <w:r>
              <w:rPr>
                <w:noProof/>
                <w:webHidden/>
              </w:rPr>
            </w:r>
            <w:r>
              <w:rPr>
                <w:noProof/>
                <w:webHidden/>
              </w:rPr>
              <w:fldChar w:fldCharType="separate"/>
            </w:r>
            <w:r>
              <w:rPr>
                <w:noProof/>
                <w:webHidden/>
              </w:rPr>
              <w:t>841</w:t>
            </w:r>
            <w:r>
              <w:rPr>
                <w:noProof/>
                <w:webHidden/>
              </w:rPr>
              <w:fldChar w:fldCharType="end"/>
            </w:r>
          </w:hyperlink>
        </w:p>
        <w:p w14:paraId="028A5C5A" w14:textId="402FAA2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65" w:history="1">
            <w:r w:rsidRPr="001D4C20">
              <w:rPr>
                <w:rStyle w:val="Lienhypertexte"/>
                <w:noProof/>
              </w:rPr>
              <w:t>57.22.5a Marches / Contremarches en céramiques CCTB 01.10</w:t>
            </w:r>
            <w:r>
              <w:rPr>
                <w:noProof/>
                <w:webHidden/>
              </w:rPr>
              <w:tab/>
            </w:r>
            <w:r>
              <w:rPr>
                <w:noProof/>
                <w:webHidden/>
              </w:rPr>
              <w:fldChar w:fldCharType="begin"/>
            </w:r>
            <w:r>
              <w:rPr>
                <w:noProof/>
                <w:webHidden/>
              </w:rPr>
              <w:instrText xml:space="preserve"> PAGEREF _Toc220491665 \h </w:instrText>
            </w:r>
            <w:r>
              <w:rPr>
                <w:noProof/>
                <w:webHidden/>
              </w:rPr>
            </w:r>
            <w:r>
              <w:rPr>
                <w:noProof/>
                <w:webHidden/>
              </w:rPr>
              <w:fldChar w:fldCharType="separate"/>
            </w:r>
            <w:r>
              <w:rPr>
                <w:noProof/>
                <w:webHidden/>
              </w:rPr>
              <w:t>841</w:t>
            </w:r>
            <w:r>
              <w:rPr>
                <w:noProof/>
                <w:webHidden/>
              </w:rPr>
              <w:fldChar w:fldCharType="end"/>
            </w:r>
          </w:hyperlink>
        </w:p>
        <w:p w14:paraId="1105AC5C" w14:textId="7E04CE9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66" w:history="1">
            <w:r w:rsidRPr="001D4C20">
              <w:rPr>
                <w:rStyle w:val="Lienhypertexte"/>
                <w:noProof/>
              </w:rPr>
              <w:t>57.22.6 Marches / Contremarches en matériaux synthétiques CCTB 01.02</w:t>
            </w:r>
            <w:r>
              <w:rPr>
                <w:noProof/>
                <w:webHidden/>
              </w:rPr>
              <w:tab/>
            </w:r>
            <w:r>
              <w:rPr>
                <w:noProof/>
                <w:webHidden/>
              </w:rPr>
              <w:fldChar w:fldCharType="begin"/>
            </w:r>
            <w:r>
              <w:rPr>
                <w:noProof/>
                <w:webHidden/>
              </w:rPr>
              <w:instrText xml:space="preserve"> PAGEREF _Toc220491666 \h </w:instrText>
            </w:r>
            <w:r>
              <w:rPr>
                <w:noProof/>
                <w:webHidden/>
              </w:rPr>
            </w:r>
            <w:r>
              <w:rPr>
                <w:noProof/>
                <w:webHidden/>
              </w:rPr>
              <w:fldChar w:fldCharType="separate"/>
            </w:r>
            <w:r>
              <w:rPr>
                <w:noProof/>
                <w:webHidden/>
              </w:rPr>
              <w:t>842</w:t>
            </w:r>
            <w:r>
              <w:rPr>
                <w:noProof/>
                <w:webHidden/>
              </w:rPr>
              <w:fldChar w:fldCharType="end"/>
            </w:r>
          </w:hyperlink>
        </w:p>
        <w:p w14:paraId="21B1F9BA" w14:textId="7493A03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67" w:history="1">
            <w:r w:rsidRPr="001D4C20">
              <w:rPr>
                <w:rStyle w:val="Lienhypertexte"/>
                <w:noProof/>
              </w:rPr>
              <w:t>57.22.6a Marches / Contremarches en matériaux synthétiques CCTB 01.10</w:t>
            </w:r>
            <w:r>
              <w:rPr>
                <w:noProof/>
                <w:webHidden/>
              </w:rPr>
              <w:tab/>
            </w:r>
            <w:r>
              <w:rPr>
                <w:noProof/>
                <w:webHidden/>
              </w:rPr>
              <w:fldChar w:fldCharType="begin"/>
            </w:r>
            <w:r>
              <w:rPr>
                <w:noProof/>
                <w:webHidden/>
              </w:rPr>
              <w:instrText xml:space="preserve"> PAGEREF _Toc220491667 \h </w:instrText>
            </w:r>
            <w:r>
              <w:rPr>
                <w:noProof/>
                <w:webHidden/>
              </w:rPr>
            </w:r>
            <w:r>
              <w:rPr>
                <w:noProof/>
                <w:webHidden/>
              </w:rPr>
              <w:fldChar w:fldCharType="separate"/>
            </w:r>
            <w:r>
              <w:rPr>
                <w:noProof/>
                <w:webHidden/>
              </w:rPr>
              <w:t>842</w:t>
            </w:r>
            <w:r>
              <w:rPr>
                <w:noProof/>
                <w:webHidden/>
              </w:rPr>
              <w:fldChar w:fldCharType="end"/>
            </w:r>
          </w:hyperlink>
        </w:p>
        <w:p w14:paraId="43C616CF" w14:textId="077F35E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68" w:history="1">
            <w:r w:rsidRPr="001D4C20">
              <w:rPr>
                <w:rStyle w:val="Lienhypertexte"/>
                <w:noProof/>
              </w:rPr>
              <w:t>57.22.6b Marches / Contremarches en matériaux synthétiques - revêtement en linoleum CCTB 01.11</w:t>
            </w:r>
            <w:r>
              <w:rPr>
                <w:noProof/>
                <w:webHidden/>
              </w:rPr>
              <w:tab/>
            </w:r>
            <w:r>
              <w:rPr>
                <w:noProof/>
                <w:webHidden/>
              </w:rPr>
              <w:fldChar w:fldCharType="begin"/>
            </w:r>
            <w:r>
              <w:rPr>
                <w:noProof/>
                <w:webHidden/>
              </w:rPr>
              <w:instrText xml:space="preserve"> PAGEREF _Toc220491668 \h </w:instrText>
            </w:r>
            <w:r>
              <w:rPr>
                <w:noProof/>
                <w:webHidden/>
              </w:rPr>
            </w:r>
            <w:r>
              <w:rPr>
                <w:noProof/>
                <w:webHidden/>
              </w:rPr>
              <w:fldChar w:fldCharType="separate"/>
            </w:r>
            <w:r>
              <w:rPr>
                <w:noProof/>
                <w:webHidden/>
              </w:rPr>
              <w:t>843</w:t>
            </w:r>
            <w:r>
              <w:rPr>
                <w:noProof/>
                <w:webHidden/>
              </w:rPr>
              <w:fldChar w:fldCharType="end"/>
            </w:r>
          </w:hyperlink>
        </w:p>
        <w:p w14:paraId="2165CC8E" w14:textId="35A7B93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69" w:history="1">
            <w:r w:rsidRPr="001D4C20">
              <w:rPr>
                <w:rStyle w:val="Lienhypertexte"/>
                <w:noProof/>
              </w:rPr>
              <w:t>57.22.6c Marches / Contremarches en matériaux synthétiques - revêtement en pvc CCTB 01.10</w:t>
            </w:r>
            <w:r>
              <w:rPr>
                <w:noProof/>
                <w:webHidden/>
              </w:rPr>
              <w:tab/>
            </w:r>
            <w:r>
              <w:rPr>
                <w:noProof/>
                <w:webHidden/>
              </w:rPr>
              <w:fldChar w:fldCharType="begin"/>
            </w:r>
            <w:r>
              <w:rPr>
                <w:noProof/>
                <w:webHidden/>
              </w:rPr>
              <w:instrText xml:space="preserve"> PAGEREF _Toc220491669 \h </w:instrText>
            </w:r>
            <w:r>
              <w:rPr>
                <w:noProof/>
                <w:webHidden/>
              </w:rPr>
            </w:r>
            <w:r>
              <w:rPr>
                <w:noProof/>
                <w:webHidden/>
              </w:rPr>
              <w:fldChar w:fldCharType="separate"/>
            </w:r>
            <w:r>
              <w:rPr>
                <w:noProof/>
                <w:webHidden/>
              </w:rPr>
              <w:t>844</w:t>
            </w:r>
            <w:r>
              <w:rPr>
                <w:noProof/>
                <w:webHidden/>
              </w:rPr>
              <w:fldChar w:fldCharType="end"/>
            </w:r>
          </w:hyperlink>
        </w:p>
        <w:p w14:paraId="596536C1" w14:textId="270DAB6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70" w:history="1">
            <w:r w:rsidRPr="001D4C20">
              <w:rPr>
                <w:rStyle w:val="Lienhypertexte"/>
                <w:noProof/>
              </w:rPr>
              <w:t>57.22.6d Marches / Contremarches en matériaux synthétiques - revêtement en vinyle CCTB 01.10</w:t>
            </w:r>
            <w:r>
              <w:rPr>
                <w:noProof/>
                <w:webHidden/>
              </w:rPr>
              <w:tab/>
            </w:r>
            <w:r>
              <w:rPr>
                <w:noProof/>
                <w:webHidden/>
              </w:rPr>
              <w:fldChar w:fldCharType="begin"/>
            </w:r>
            <w:r>
              <w:rPr>
                <w:noProof/>
                <w:webHidden/>
              </w:rPr>
              <w:instrText xml:space="preserve"> PAGEREF _Toc220491670 \h </w:instrText>
            </w:r>
            <w:r>
              <w:rPr>
                <w:noProof/>
                <w:webHidden/>
              </w:rPr>
            </w:r>
            <w:r>
              <w:rPr>
                <w:noProof/>
                <w:webHidden/>
              </w:rPr>
              <w:fldChar w:fldCharType="separate"/>
            </w:r>
            <w:r>
              <w:rPr>
                <w:noProof/>
                <w:webHidden/>
              </w:rPr>
              <w:t>845</w:t>
            </w:r>
            <w:r>
              <w:rPr>
                <w:noProof/>
                <w:webHidden/>
              </w:rPr>
              <w:fldChar w:fldCharType="end"/>
            </w:r>
          </w:hyperlink>
        </w:p>
        <w:p w14:paraId="1AF27BC8" w14:textId="6201369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71" w:history="1">
            <w:r w:rsidRPr="001D4C20">
              <w:rPr>
                <w:rStyle w:val="Lienhypertexte"/>
                <w:noProof/>
              </w:rPr>
              <w:t>57.22.6e Marches / Contremarches en matériaux synthétiques - revêtement en caoutchouc CCTB 01.10</w:t>
            </w:r>
            <w:r>
              <w:rPr>
                <w:noProof/>
                <w:webHidden/>
              </w:rPr>
              <w:tab/>
            </w:r>
            <w:r>
              <w:rPr>
                <w:noProof/>
                <w:webHidden/>
              </w:rPr>
              <w:fldChar w:fldCharType="begin"/>
            </w:r>
            <w:r>
              <w:rPr>
                <w:noProof/>
                <w:webHidden/>
              </w:rPr>
              <w:instrText xml:space="preserve"> PAGEREF _Toc220491671 \h </w:instrText>
            </w:r>
            <w:r>
              <w:rPr>
                <w:noProof/>
                <w:webHidden/>
              </w:rPr>
            </w:r>
            <w:r>
              <w:rPr>
                <w:noProof/>
                <w:webHidden/>
              </w:rPr>
              <w:fldChar w:fldCharType="separate"/>
            </w:r>
            <w:r>
              <w:rPr>
                <w:noProof/>
                <w:webHidden/>
              </w:rPr>
              <w:t>846</w:t>
            </w:r>
            <w:r>
              <w:rPr>
                <w:noProof/>
                <w:webHidden/>
              </w:rPr>
              <w:fldChar w:fldCharType="end"/>
            </w:r>
          </w:hyperlink>
        </w:p>
        <w:p w14:paraId="6383702F" w14:textId="04EBAA3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72" w:history="1">
            <w:r w:rsidRPr="001D4C20">
              <w:rPr>
                <w:rStyle w:val="Lienhypertexte"/>
                <w:noProof/>
              </w:rPr>
              <w:t>57.22.7 Marches / Contremarches en verre CCTB 01.02</w:t>
            </w:r>
            <w:r>
              <w:rPr>
                <w:noProof/>
                <w:webHidden/>
              </w:rPr>
              <w:tab/>
            </w:r>
            <w:r>
              <w:rPr>
                <w:noProof/>
                <w:webHidden/>
              </w:rPr>
              <w:fldChar w:fldCharType="begin"/>
            </w:r>
            <w:r>
              <w:rPr>
                <w:noProof/>
                <w:webHidden/>
              </w:rPr>
              <w:instrText xml:space="preserve"> PAGEREF _Toc220491672 \h </w:instrText>
            </w:r>
            <w:r>
              <w:rPr>
                <w:noProof/>
                <w:webHidden/>
              </w:rPr>
            </w:r>
            <w:r>
              <w:rPr>
                <w:noProof/>
                <w:webHidden/>
              </w:rPr>
              <w:fldChar w:fldCharType="separate"/>
            </w:r>
            <w:r>
              <w:rPr>
                <w:noProof/>
                <w:webHidden/>
              </w:rPr>
              <w:t>847</w:t>
            </w:r>
            <w:r>
              <w:rPr>
                <w:noProof/>
                <w:webHidden/>
              </w:rPr>
              <w:fldChar w:fldCharType="end"/>
            </w:r>
          </w:hyperlink>
        </w:p>
        <w:p w14:paraId="4473B4AF" w14:textId="24C9788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73" w:history="1">
            <w:r w:rsidRPr="001D4C20">
              <w:rPr>
                <w:rStyle w:val="Lienhypertexte"/>
                <w:noProof/>
              </w:rPr>
              <w:t>57.22.7a Marches / Contremarches en verre CCTB 01.11</w:t>
            </w:r>
            <w:r>
              <w:rPr>
                <w:noProof/>
                <w:webHidden/>
              </w:rPr>
              <w:tab/>
            </w:r>
            <w:r>
              <w:rPr>
                <w:noProof/>
                <w:webHidden/>
              </w:rPr>
              <w:fldChar w:fldCharType="begin"/>
            </w:r>
            <w:r>
              <w:rPr>
                <w:noProof/>
                <w:webHidden/>
              </w:rPr>
              <w:instrText xml:space="preserve"> PAGEREF _Toc220491673 \h </w:instrText>
            </w:r>
            <w:r>
              <w:rPr>
                <w:noProof/>
                <w:webHidden/>
              </w:rPr>
            </w:r>
            <w:r>
              <w:rPr>
                <w:noProof/>
                <w:webHidden/>
              </w:rPr>
              <w:fldChar w:fldCharType="separate"/>
            </w:r>
            <w:r>
              <w:rPr>
                <w:noProof/>
                <w:webHidden/>
              </w:rPr>
              <w:t>847</w:t>
            </w:r>
            <w:r>
              <w:rPr>
                <w:noProof/>
                <w:webHidden/>
              </w:rPr>
              <w:fldChar w:fldCharType="end"/>
            </w:r>
          </w:hyperlink>
        </w:p>
        <w:p w14:paraId="25E76FD9" w14:textId="7B8F6EE8"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674" w:history="1">
            <w:r w:rsidRPr="001D4C20">
              <w:rPr>
                <w:rStyle w:val="Lienhypertexte"/>
                <w:noProof/>
              </w:rPr>
              <w:t>57.23 Paliers CCTB 01.13</w:t>
            </w:r>
            <w:r>
              <w:rPr>
                <w:noProof/>
                <w:webHidden/>
              </w:rPr>
              <w:tab/>
            </w:r>
            <w:r>
              <w:rPr>
                <w:noProof/>
                <w:webHidden/>
              </w:rPr>
              <w:fldChar w:fldCharType="begin"/>
            </w:r>
            <w:r>
              <w:rPr>
                <w:noProof/>
                <w:webHidden/>
              </w:rPr>
              <w:instrText xml:space="preserve"> PAGEREF _Toc220491674 \h </w:instrText>
            </w:r>
            <w:r>
              <w:rPr>
                <w:noProof/>
                <w:webHidden/>
              </w:rPr>
            </w:r>
            <w:r>
              <w:rPr>
                <w:noProof/>
                <w:webHidden/>
              </w:rPr>
              <w:fldChar w:fldCharType="separate"/>
            </w:r>
            <w:r>
              <w:rPr>
                <w:noProof/>
                <w:webHidden/>
              </w:rPr>
              <w:t>847</w:t>
            </w:r>
            <w:r>
              <w:rPr>
                <w:noProof/>
                <w:webHidden/>
              </w:rPr>
              <w:fldChar w:fldCharType="end"/>
            </w:r>
          </w:hyperlink>
        </w:p>
        <w:p w14:paraId="3ABA9C3E" w14:textId="0BE67E7D"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75" w:history="1">
            <w:r w:rsidRPr="001D4C20">
              <w:rPr>
                <w:rStyle w:val="Lienhypertexte"/>
                <w:noProof/>
              </w:rPr>
              <w:t>57.23.1 Paliers en pierre CCTB 01.02</w:t>
            </w:r>
            <w:r>
              <w:rPr>
                <w:noProof/>
                <w:webHidden/>
              </w:rPr>
              <w:tab/>
            </w:r>
            <w:r>
              <w:rPr>
                <w:noProof/>
                <w:webHidden/>
              </w:rPr>
              <w:fldChar w:fldCharType="begin"/>
            </w:r>
            <w:r>
              <w:rPr>
                <w:noProof/>
                <w:webHidden/>
              </w:rPr>
              <w:instrText xml:space="preserve"> PAGEREF _Toc220491675 \h </w:instrText>
            </w:r>
            <w:r>
              <w:rPr>
                <w:noProof/>
                <w:webHidden/>
              </w:rPr>
            </w:r>
            <w:r>
              <w:rPr>
                <w:noProof/>
                <w:webHidden/>
              </w:rPr>
              <w:fldChar w:fldCharType="separate"/>
            </w:r>
            <w:r>
              <w:rPr>
                <w:noProof/>
                <w:webHidden/>
              </w:rPr>
              <w:t>849</w:t>
            </w:r>
            <w:r>
              <w:rPr>
                <w:noProof/>
                <w:webHidden/>
              </w:rPr>
              <w:fldChar w:fldCharType="end"/>
            </w:r>
          </w:hyperlink>
        </w:p>
        <w:p w14:paraId="2408CA25" w14:textId="245460F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76" w:history="1">
            <w:r w:rsidRPr="001D4C20">
              <w:rPr>
                <w:rStyle w:val="Lienhypertexte"/>
                <w:noProof/>
              </w:rPr>
              <w:t>57.23.1a Paliers en pierre CCTB 01.11</w:t>
            </w:r>
            <w:r>
              <w:rPr>
                <w:noProof/>
                <w:webHidden/>
              </w:rPr>
              <w:tab/>
            </w:r>
            <w:r>
              <w:rPr>
                <w:noProof/>
                <w:webHidden/>
              </w:rPr>
              <w:fldChar w:fldCharType="begin"/>
            </w:r>
            <w:r>
              <w:rPr>
                <w:noProof/>
                <w:webHidden/>
              </w:rPr>
              <w:instrText xml:space="preserve"> PAGEREF _Toc220491676 \h </w:instrText>
            </w:r>
            <w:r>
              <w:rPr>
                <w:noProof/>
                <w:webHidden/>
              </w:rPr>
            </w:r>
            <w:r>
              <w:rPr>
                <w:noProof/>
                <w:webHidden/>
              </w:rPr>
              <w:fldChar w:fldCharType="separate"/>
            </w:r>
            <w:r>
              <w:rPr>
                <w:noProof/>
                <w:webHidden/>
              </w:rPr>
              <w:t>849</w:t>
            </w:r>
            <w:r>
              <w:rPr>
                <w:noProof/>
                <w:webHidden/>
              </w:rPr>
              <w:fldChar w:fldCharType="end"/>
            </w:r>
          </w:hyperlink>
        </w:p>
        <w:p w14:paraId="003FBC32" w14:textId="7A97014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77" w:history="1">
            <w:r w:rsidRPr="001D4C20">
              <w:rPr>
                <w:rStyle w:val="Lienhypertexte"/>
                <w:noProof/>
              </w:rPr>
              <w:t>57.23.1b Paliers en pierre - en mosaïques de marbre CCTB 01.10</w:t>
            </w:r>
            <w:r>
              <w:rPr>
                <w:noProof/>
                <w:webHidden/>
              </w:rPr>
              <w:tab/>
            </w:r>
            <w:r>
              <w:rPr>
                <w:noProof/>
                <w:webHidden/>
              </w:rPr>
              <w:fldChar w:fldCharType="begin"/>
            </w:r>
            <w:r>
              <w:rPr>
                <w:noProof/>
                <w:webHidden/>
              </w:rPr>
              <w:instrText xml:space="preserve"> PAGEREF _Toc220491677 \h </w:instrText>
            </w:r>
            <w:r>
              <w:rPr>
                <w:noProof/>
                <w:webHidden/>
              </w:rPr>
            </w:r>
            <w:r>
              <w:rPr>
                <w:noProof/>
                <w:webHidden/>
              </w:rPr>
              <w:fldChar w:fldCharType="separate"/>
            </w:r>
            <w:r>
              <w:rPr>
                <w:noProof/>
                <w:webHidden/>
              </w:rPr>
              <w:t>850</w:t>
            </w:r>
            <w:r>
              <w:rPr>
                <w:noProof/>
                <w:webHidden/>
              </w:rPr>
              <w:fldChar w:fldCharType="end"/>
            </w:r>
          </w:hyperlink>
        </w:p>
        <w:p w14:paraId="282379F8" w14:textId="78E4C54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78" w:history="1">
            <w:r w:rsidRPr="001D4C20">
              <w:rPr>
                <w:rStyle w:val="Lienhypertexte"/>
                <w:noProof/>
              </w:rPr>
              <w:t>57.23.2 Paliers en béton armé CCTB 01.02</w:t>
            </w:r>
            <w:r>
              <w:rPr>
                <w:noProof/>
                <w:webHidden/>
              </w:rPr>
              <w:tab/>
            </w:r>
            <w:r>
              <w:rPr>
                <w:noProof/>
                <w:webHidden/>
              </w:rPr>
              <w:fldChar w:fldCharType="begin"/>
            </w:r>
            <w:r>
              <w:rPr>
                <w:noProof/>
                <w:webHidden/>
              </w:rPr>
              <w:instrText xml:space="preserve"> PAGEREF _Toc220491678 \h </w:instrText>
            </w:r>
            <w:r>
              <w:rPr>
                <w:noProof/>
                <w:webHidden/>
              </w:rPr>
            </w:r>
            <w:r>
              <w:rPr>
                <w:noProof/>
                <w:webHidden/>
              </w:rPr>
              <w:fldChar w:fldCharType="separate"/>
            </w:r>
            <w:r>
              <w:rPr>
                <w:noProof/>
                <w:webHidden/>
              </w:rPr>
              <w:t>851</w:t>
            </w:r>
            <w:r>
              <w:rPr>
                <w:noProof/>
                <w:webHidden/>
              </w:rPr>
              <w:fldChar w:fldCharType="end"/>
            </w:r>
          </w:hyperlink>
        </w:p>
        <w:p w14:paraId="740AF496" w14:textId="29CF980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79" w:history="1">
            <w:r w:rsidRPr="001D4C20">
              <w:rPr>
                <w:rStyle w:val="Lienhypertexte"/>
                <w:noProof/>
              </w:rPr>
              <w:t>57.23.2a Paliers en béton armé coulés sur place CCTB 01.02</w:t>
            </w:r>
            <w:r>
              <w:rPr>
                <w:noProof/>
                <w:webHidden/>
              </w:rPr>
              <w:tab/>
            </w:r>
            <w:r>
              <w:rPr>
                <w:noProof/>
                <w:webHidden/>
              </w:rPr>
              <w:fldChar w:fldCharType="begin"/>
            </w:r>
            <w:r>
              <w:rPr>
                <w:noProof/>
                <w:webHidden/>
              </w:rPr>
              <w:instrText xml:space="preserve"> PAGEREF _Toc220491679 \h </w:instrText>
            </w:r>
            <w:r>
              <w:rPr>
                <w:noProof/>
                <w:webHidden/>
              </w:rPr>
            </w:r>
            <w:r>
              <w:rPr>
                <w:noProof/>
                <w:webHidden/>
              </w:rPr>
              <w:fldChar w:fldCharType="separate"/>
            </w:r>
            <w:r>
              <w:rPr>
                <w:noProof/>
                <w:webHidden/>
              </w:rPr>
              <w:t>851</w:t>
            </w:r>
            <w:r>
              <w:rPr>
                <w:noProof/>
                <w:webHidden/>
              </w:rPr>
              <w:fldChar w:fldCharType="end"/>
            </w:r>
          </w:hyperlink>
        </w:p>
        <w:p w14:paraId="63561062" w14:textId="07C2FCB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80" w:history="1">
            <w:r w:rsidRPr="001D4C20">
              <w:rPr>
                <w:rStyle w:val="Lienhypertexte"/>
                <w:noProof/>
              </w:rPr>
              <w:t>57.23.2b Paliers préfabriqués en béton armé  CCTB 01.02</w:t>
            </w:r>
            <w:r>
              <w:rPr>
                <w:noProof/>
                <w:webHidden/>
              </w:rPr>
              <w:tab/>
            </w:r>
            <w:r>
              <w:rPr>
                <w:noProof/>
                <w:webHidden/>
              </w:rPr>
              <w:fldChar w:fldCharType="begin"/>
            </w:r>
            <w:r>
              <w:rPr>
                <w:noProof/>
                <w:webHidden/>
              </w:rPr>
              <w:instrText xml:space="preserve"> PAGEREF _Toc220491680 \h </w:instrText>
            </w:r>
            <w:r>
              <w:rPr>
                <w:noProof/>
                <w:webHidden/>
              </w:rPr>
            </w:r>
            <w:r>
              <w:rPr>
                <w:noProof/>
                <w:webHidden/>
              </w:rPr>
              <w:fldChar w:fldCharType="separate"/>
            </w:r>
            <w:r>
              <w:rPr>
                <w:noProof/>
                <w:webHidden/>
              </w:rPr>
              <w:t>851</w:t>
            </w:r>
            <w:r>
              <w:rPr>
                <w:noProof/>
                <w:webHidden/>
              </w:rPr>
              <w:fldChar w:fldCharType="end"/>
            </w:r>
          </w:hyperlink>
        </w:p>
        <w:p w14:paraId="77BF5D09" w14:textId="7A7A8A97"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81" w:history="1">
            <w:r w:rsidRPr="001D4C20">
              <w:rPr>
                <w:rStyle w:val="Lienhypertexte"/>
                <w:noProof/>
              </w:rPr>
              <w:t>57.23.3 Paliers en bois CCTB 01.02</w:t>
            </w:r>
            <w:r>
              <w:rPr>
                <w:noProof/>
                <w:webHidden/>
              </w:rPr>
              <w:tab/>
            </w:r>
            <w:r>
              <w:rPr>
                <w:noProof/>
                <w:webHidden/>
              </w:rPr>
              <w:fldChar w:fldCharType="begin"/>
            </w:r>
            <w:r>
              <w:rPr>
                <w:noProof/>
                <w:webHidden/>
              </w:rPr>
              <w:instrText xml:space="preserve"> PAGEREF _Toc220491681 \h </w:instrText>
            </w:r>
            <w:r>
              <w:rPr>
                <w:noProof/>
                <w:webHidden/>
              </w:rPr>
            </w:r>
            <w:r>
              <w:rPr>
                <w:noProof/>
                <w:webHidden/>
              </w:rPr>
              <w:fldChar w:fldCharType="separate"/>
            </w:r>
            <w:r>
              <w:rPr>
                <w:noProof/>
                <w:webHidden/>
              </w:rPr>
              <w:t>851</w:t>
            </w:r>
            <w:r>
              <w:rPr>
                <w:noProof/>
                <w:webHidden/>
              </w:rPr>
              <w:fldChar w:fldCharType="end"/>
            </w:r>
          </w:hyperlink>
        </w:p>
        <w:p w14:paraId="03610F85" w14:textId="58F368B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82" w:history="1">
            <w:r w:rsidRPr="001D4C20">
              <w:rPr>
                <w:rStyle w:val="Lienhypertexte"/>
                <w:noProof/>
              </w:rPr>
              <w:t>57.23.3a Paliers en bois CCTB 01.11</w:t>
            </w:r>
            <w:r>
              <w:rPr>
                <w:noProof/>
                <w:webHidden/>
              </w:rPr>
              <w:tab/>
            </w:r>
            <w:r>
              <w:rPr>
                <w:noProof/>
                <w:webHidden/>
              </w:rPr>
              <w:fldChar w:fldCharType="begin"/>
            </w:r>
            <w:r>
              <w:rPr>
                <w:noProof/>
                <w:webHidden/>
              </w:rPr>
              <w:instrText xml:space="preserve"> PAGEREF _Toc220491682 \h </w:instrText>
            </w:r>
            <w:r>
              <w:rPr>
                <w:noProof/>
                <w:webHidden/>
              </w:rPr>
            </w:r>
            <w:r>
              <w:rPr>
                <w:noProof/>
                <w:webHidden/>
              </w:rPr>
              <w:fldChar w:fldCharType="separate"/>
            </w:r>
            <w:r>
              <w:rPr>
                <w:noProof/>
                <w:webHidden/>
              </w:rPr>
              <w:t>851</w:t>
            </w:r>
            <w:r>
              <w:rPr>
                <w:noProof/>
                <w:webHidden/>
              </w:rPr>
              <w:fldChar w:fldCharType="end"/>
            </w:r>
          </w:hyperlink>
        </w:p>
        <w:p w14:paraId="3D9D0E80" w14:textId="13B5EBFA"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83" w:history="1">
            <w:r w:rsidRPr="001D4C20">
              <w:rPr>
                <w:rStyle w:val="Lienhypertexte"/>
                <w:noProof/>
              </w:rPr>
              <w:t>57.23.4 Paliers métalliques CCTB 01.07</w:t>
            </w:r>
            <w:r>
              <w:rPr>
                <w:noProof/>
                <w:webHidden/>
              </w:rPr>
              <w:tab/>
            </w:r>
            <w:r>
              <w:rPr>
                <w:noProof/>
                <w:webHidden/>
              </w:rPr>
              <w:fldChar w:fldCharType="begin"/>
            </w:r>
            <w:r>
              <w:rPr>
                <w:noProof/>
                <w:webHidden/>
              </w:rPr>
              <w:instrText xml:space="preserve"> PAGEREF _Toc220491683 \h </w:instrText>
            </w:r>
            <w:r>
              <w:rPr>
                <w:noProof/>
                <w:webHidden/>
              </w:rPr>
            </w:r>
            <w:r>
              <w:rPr>
                <w:noProof/>
                <w:webHidden/>
              </w:rPr>
              <w:fldChar w:fldCharType="separate"/>
            </w:r>
            <w:r>
              <w:rPr>
                <w:noProof/>
                <w:webHidden/>
              </w:rPr>
              <w:t>853</w:t>
            </w:r>
            <w:r>
              <w:rPr>
                <w:noProof/>
                <w:webHidden/>
              </w:rPr>
              <w:fldChar w:fldCharType="end"/>
            </w:r>
          </w:hyperlink>
        </w:p>
        <w:p w14:paraId="4D420C48" w14:textId="0BF059A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84" w:history="1">
            <w:r w:rsidRPr="001D4C20">
              <w:rPr>
                <w:rStyle w:val="Lienhypertexte"/>
                <w:noProof/>
              </w:rPr>
              <w:t>57.23.4a Paliers métalliques - en acier CCTB 01.02</w:t>
            </w:r>
            <w:r>
              <w:rPr>
                <w:noProof/>
                <w:webHidden/>
              </w:rPr>
              <w:tab/>
            </w:r>
            <w:r>
              <w:rPr>
                <w:noProof/>
                <w:webHidden/>
              </w:rPr>
              <w:fldChar w:fldCharType="begin"/>
            </w:r>
            <w:r>
              <w:rPr>
                <w:noProof/>
                <w:webHidden/>
              </w:rPr>
              <w:instrText xml:space="preserve"> PAGEREF _Toc220491684 \h </w:instrText>
            </w:r>
            <w:r>
              <w:rPr>
                <w:noProof/>
                <w:webHidden/>
              </w:rPr>
            </w:r>
            <w:r>
              <w:rPr>
                <w:noProof/>
                <w:webHidden/>
              </w:rPr>
              <w:fldChar w:fldCharType="separate"/>
            </w:r>
            <w:r>
              <w:rPr>
                <w:noProof/>
                <w:webHidden/>
              </w:rPr>
              <w:t>853</w:t>
            </w:r>
            <w:r>
              <w:rPr>
                <w:noProof/>
                <w:webHidden/>
              </w:rPr>
              <w:fldChar w:fldCharType="end"/>
            </w:r>
          </w:hyperlink>
        </w:p>
        <w:p w14:paraId="79DE0071" w14:textId="3566DB1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85" w:history="1">
            <w:r w:rsidRPr="001D4C20">
              <w:rPr>
                <w:rStyle w:val="Lienhypertexte"/>
                <w:noProof/>
              </w:rPr>
              <w:t>57.23.4b Paliers métalliques - en acier inoxydable CCTB 01.02</w:t>
            </w:r>
            <w:r>
              <w:rPr>
                <w:noProof/>
                <w:webHidden/>
              </w:rPr>
              <w:tab/>
            </w:r>
            <w:r>
              <w:rPr>
                <w:noProof/>
                <w:webHidden/>
              </w:rPr>
              <w:fldChar w:fldCharType="begin"/>
            </w:r>
            <w:r>
              <w:rPr>
                <w:noProof/>
                <w:webHidden/>
              </w:rPr>
              <w:instrText xml:space="preserve"> PAGEREF _Toc220491685 \h </w:instrText>
            </w:r>
            <w:r>
              <w:rPr>
                <w:noProof/>
                <w:webHidden/>
              </w:rPr>
            </w:r>
            <w:r>
              <w:rPr>
                <w:noProof/>
                <w:webHidden/>
              </w:rPr>
              <w:fldChar w:fldCharType="separate"/>
            </w:r>
            <w:r>
              <w:rPr>
                <w:noProof/>
                <w:webHidden/>
              </w:rPr>
              <w:t>853</w:t>
            </w:r>
            <w:r>
              <w:rPr>
                <w:noProof/>
                <w:webHidden/>
              </w:rPr>
              <w:fldChar w:fldCharType="end"/>
            </w:r>
          </w:hyperlink>
        </w:p>
        <w:p w14:paraId="54C3EA88" w14:textId="2A382EE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86" w:history="1">
            <w:r w:rsidRPr="001D4C20">
              <w:rPr>
                <w:rStyle w:val="Lienhypertexte"/>
                <w:noProof/>
              </w:rPr>
              <w:t>57.23.4c Paliers métalliques - en aluminium CCTB 01.02</w:t>
            </w:r>
            <w:r>
              <w:rPr>
                <w:noProof/>
                <w:webHidden/>
              </w:rPr>
              <w:tab/>
            </w:r>
            <w:r>
              <w:rPr>
                <w:noProof/>
                <w:webHidden/>
              </w:rPr>
              <w:fldChar w:fldCharType="begin"/>
            </w:r>
            <w:r>
              <w:rPr>
                <w:noProof/>
                <w:webHidden/>
              </w:rPr>
              <w:instrText xml:space="preserve"> PAGEREF _Toc220491686 \h </w:instrText>
            </w:r>
            <w:r>
              <w:rPr>
                <w:noProof/>
                <w:webHidden/>
              </w:rPr>
            </w:r>
            <w:r>
              <w:rPr>
                <w:noProof/>
                <w:webHidden/>
              </w:rPr>
              <w:fldChar w:fldCharType="separate"/>
            </w:r>
            <w:r>
              <w:rPr>
                <w:noProof/>
                <w:webHidden/>
              </w:rPr>
              <w:t>853</w:t>
            </w:r>
            <w:r>
              <w:rPr>
                <w:noProof/>
                <w:webHidden/>
              </w:rPr>
              <w:fldChar w:fldCharType="end"/>
            </w:r>
          </w:hyperlink>
        </w:p>
        <w:p w14:paraId="7B094A6E" w14:textId="701A4541"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87" w:history="1">
            <w:r w:rsidRPr="001D4C20">
              <w:rPr>
                <w:rStyle w:val="Lienhypertexte"/>
                <w:noProof/>
              </w:rPr>
              <w:t>57.23.5 Paliers en céramiques CCTB 01.02</w:t>
            </w:r>
            <w:r>
              <w:rPr>
                <w:noProof/>
                <w:webHidden/>
              </w:rPr>
              <w:tab/>
            </w:r>
            <w:r>
              <w:rPr>
                <w:noProof/>
                <w:webHidden/>
              </w:rPr>
              <w:fldChar w:fldCharType="begin"/>
            </w:r>
            <w:r>
              <w:rPr>
                <w:noProof/>
                <w:webHidden/>
              </w:rPr>
              <w:instrText xml:space="preserve"> PAGEREF _Toc220491687 \h </w:instrText>
            </w:r>
            <w:r>
              <w:rPr>
                <w:noProof/>
                <w:webHidden/>
              </w:rPr>
            </w:r>
            <w:r>
              <w:rPr>
                <w:noProof/>
                <w:webHidden/>
              </w:rPr>
              <w:fldChar w:fldCharType="separate"/>
            </w:r>
            <w:r>
              <w:rPr>
                <w:noProof/>
                <w:webHidden/>
              </w:rPr>
              <w:t>853</w:t>
            </w:r>
            <w:r>
              <w:rPr>
                <w:noProof/>
                <w:webHidden/>
              </w:rPr>
              <w:fldChar w:fldCharType="end"/>
            </w:r>
          </w:hyperlink>
        </w:p>
        <w:p w14:paraId="2E7954CC" w14:textId="33F77D2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88" w:history="1">
            <w:r w:rsidRPr="001D4C20">
              <w:rPr>
                <w:rStyle w:val="Lienhypertexte"/>
                <w:noProof/>
              </w:rPr>
              <w:t>57.23.5a Paliers en céramiques CCTB 01.10</w:t>
            </w:r>
            <w:r>
              <w:rPr>
                <w:noProof/>
                <w:webHidden/>
              </w:rPr>
              <w:tab/>
            </w:r>
            <w:r>
              <w:rPr>
                <w:noProof/>
                <w:webHidden/>
              </w:rPr>
              <w:fldChar w:fldCharType="begin"/>
            </w:r>
            <w:r>
              <w:rPr>
                <w:noProof/>
                <w:webHidden/>
              </w:rPr>
              <w:instrText xml:space="preserve"> PAGEREF _Toc220491688 \h </w:instrText>
            </w:r>
            <w:r>
              <w:rPr>
                <w:noProof/>
                <w:webHidden/>
              </w:rPr>
            </w:r>
            <w:r>
              <w:rPr>
                <w:noProof/>
                <w:webHidden/>
              </w:rPr>
              <w:fldChar w:fldCharType="separate"/>
            </w:r>
            <w:r>
              <w:rPr>
                <w:noProof/>
                <w:webHidden/>
              </w:rPr>
              <w:t>853</w:t>
            </w:r>
            <w:r>
              <w:rPr>
                <w:noProof/>
                <w:webHidden/>
              </w:rPr>
              <w:fldChar w:fldCharType="end"/>
            </w:r>
          </w:hyperlink>
        </w:p>
        <w:p w14:paraId="7FB6F33E" w14:textId="0D6865ED"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89" w:history="1">
            <w:r w:rsidRPr="001D4C20">
              <w:rPr>
                <w:rStyle w:val="Lienhypertexte"/>
                <w:noProof/>
              </w:rPr>
              <w:t>57.23.6 Paliers en matériaux synthétiques CCTB 01.02</w:t>
            </w:r>
            <w:r>
              <w:rPr>
                <w:noProof/>
                <w:webHidden/>
              </w:rPr>
              <w:tab/>
            </w:r>
            <w:r>
              <w:rPr>
                <w:noProof/>
                <w:webHidden/>
              </w:rPr>
              <w:fldChar w:fldCharType="begin"/>
            </w:r>
            <w:r>
              <w:rPr>
                <w:noProof/>
                <w:webHidden/>
              </w:rPr>
              <w:instrText xml:space="preserve"> PAGEREF _Toc220491689 \h </w:instrText>
            </w:r>
            <w:r>
              <w:rPr>
                <w:noProof/>
                <w:webHidden/>
              </w:rPr>
            </w:r>
            <w:r>
              <w:rPr>
                <w:noProof/>
                <w:webHidden/>
              </w:rPr>
              <w:fldChar w:fldCharType="separate"/>
            </w:r>
            <w:r>
              <w:rPr>
                <w:noProof/>
                <w:webHidden/>
              </w:rPr>
              <w:t>853</w:t>
            </w:r>
            <w:r>
              <w:rPr>
                <w:noProof/>
                <w:webHidden/>
              </w:rPr>
              <w:fldChar w:fldCharType="end"/>
            </w:r>
          </w:hyperlink>
        </w:p>
        <w:p w14:paraId="289E8943" w14:textId="17A4093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90" w:history="1">
            <w:r w:rsidRPr="001D4C20">
              <w:rPr>
                <w:rStyle w:val="Lienhypertexte"/>
                <w:noProof/>
              </w:rPr>
              <w:t>57.23.6a Paliers en matériaux synthétiques CCTB 01.10</w:t>
            </w:r>
            <w:r>
              <w:rPr>
                <w:noProof/>
                <w:webHidden/>
              </w:rPr>
              <w:tab/>
            </w:r>
            <w:r>
              <w:rPr>
                <w:noProof/>
                <w:webHidden/>
              </w:rPr>
              <w:fldChar w:fldCharType="begin"/>
            </w:r>
            <w:r>
              <w:rPr>
                <w:noProof/>
                <w:webHidden/>
              </w:rPr>
              <w:instrText xml:space="preserve"> PAGEREF _Toc220491690 \h </w:instrText>
            </w:r>
            <w:r>
              <w:rPr>
                <w:noProof/>
                <w:webHidden/>
              </w:rPr>
            </w:r>
            <w:r>
              <w:rPr>
                <w:noProof/>
                <w:webHidden/>
              </w:rPr>
              <w:fldChar w:fldCharType="separate"/>
            </w:r>
            <w:r>
              <w:rPr>
                <w:noProof/>
                <w:webHidden/>
              </w:rPr>
              <w:t>854</w:t>
            </w:r>
            <w:r>
              <w:rPr>
                <w:noProof/>
                <w:webHidden/>
              </w:rPr>
              <w:fldChar w:fldCharType="end"/>
            </w:r>
          </w:hyperlink>
        </w:p>
        <w:p w14:paraId="65048D01" w14:textId="7ECAC19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91" w:history="1">
            <w:r w:rsidRPr="001D4C20">
              <w:rPr>
                <w:rStyle w:val="Lienhypertexte"/>
                <w:noProof/>
              </w:rPr>
              <w:t>57.23.6b Paliers en matériaux synthétiques - recouvrement en linoleum CCTB 01.11</w:t>
            </w:r>
            <w:r>
              <w:rPr>
                <w:noProof/>
                <w:webHidden/>
              </w:rPr>
              <w:tab/>
            </w:r>
            <w:r>
              <w:rPr>
                <w:noProof/>
                <w:webHidden/>
              </w:rPr>
              <w:fldChar w:fldCharType="begin"/>
            </w:r>
            <w:r>
              <w:rPr>
                <w:noProof/>
                <w:webHidden/>
              </w:rPr>
              <w:instrText xml:space="preserve"> PAGEREF _Toc220491691 \h </w:instrText>
            </w:r>
            <w:r>
              <w:rPr>
                <w:noProof/>
                <w:webHidden/>
              </w:rPr>
            </w:r>
            <w:r>
              <w:rPr>
                <w:noProof/>
                <w:webHidden/>
              </w:rPr>
              <w:fldChar w:fldCharType="separate"/>
            </w:r>
            <w:r>
              <w:rPr>
                <w:noProof/>
                <w:webHidden/>
              </w:rPr>
              <w:t>855</w:t>
            </w:r>
            <w:r>
              <w:rPr>
                <w:noProof/>
                <w:webHidden/>
              </w:rPr>
              <w:fldChar w:fldCharType="end"/>
            </w:r>
          </w:hyperlink>
        </w:p>
        <w:p w14:paraId="7AA24C02" w14:textId="571D124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92" w:history="1">
            <w:r w:rsidRPr="001D4C20">
              <w:rPr>
                <w:rStyle w:val="Lienhypertexte"/>
                <w:noProof/>
              </w:rPr>
              <w:t>57.23.6c Paliers en matériaux synthétiques - recouvrement en pvc CCTB 01.11</w:t>
            </w:r>
            <w:r>
              <w:rPr>
                <w:noProof/>
                <w:webHidden/>
              </w:rPr>
              <w:tab/>
            </w:r>
            <w:r>
              <w:rPr>
                <w:noProof/>
                <w:webHidden/>
              </w:rPr>
              <w:fldChar w:fldCharType="begin"/>
            </w:r>
            <w:r>
              <w:rPr>
                <w:noProof/>
                <w:webHidden/>
              </w:rPr>
              <w:instrText xml:space="preserve"> PAGEREF _Toc220491692 \h </w:instrText>
            </w:r>
            <w:r>
              <w:rPr>
                <w:noProof/>
                <w:webHidden/>
              </w:rPr>
            </w:r>
            <w:r>
              <w:rPr>
                <w:noProof/>
                <w:webHidden/>
              </w:rPr>
              <w:fldChar w:fldCharType="separate"/>
            </w:r>
            <w:r>
              <w:rPr>
                <w:noProof/>
                <w:webHidden/>
              </w:rPr>
              <w:t>856</w:t>
            </w:r>
            <w:r>
              <w:rPr>
                <w:noProof/>
                <w:webHidden/>
              </w:rPr>
              <w:fldChar w:fldCharType="end"/>
            </w:r>
          </w:hyperlink>
        </w:p>
        <w:p w14:paraId="3F4AD11A" w14:textId="293BBD1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93" w:history="1">
            <w:r w:rsidRPr="001D4C20">
              <w:rPr>
                <w:rStyle w:val="Lienhypertexte"/>
                <w:noProof/>
              </w:rPr>
              <w:t>57.23.6d Paliers en matériaux synthétiques - recouvrement en vinyle CCTB 01.11</w:t>
            </w:r>
            <w:r>
              <w:rPr>
                <w:noProof/>
                <w:webHidden/>
              </w:rPr>
              <w:tab/>
            </w:r>
            <w:r>
              <w:rPr>
                <w:noProof/>
                <w:webHidden/>
              </w:rPr>
              <w:fldChar w:fldCharType="begin"/>
            </w:r>
            <w:r>
              <w:rPr>
                <w:noProof/>
                <w:webHidden/>
              </w:rPr>
              <w:instrText xml:space="preserve"> PAGEREF _Toc220491693 \h </w:instrText>
            </w:r>
            <w:r>
              <w:rPr>
                <w:noProof/>
                <w:webHidden/>
              </w:rPr>
            </w:r>
            <w:r>
              <w:rPr>
                <w:noProof/>
                <w:webHidden/>
              </w:rPr>
              <w:fldChar w:fldCharType="separate"/>
            </w:r>
            <w:r>
              <w:rPr>
                <w:noProof/>
                <w:webHidden/>
              </w:rPr>
              <w:t>857</w:t>
            </w:r>
            <w:r>
              <w:rPr>
                <w:noProof/>
                <w:webHidden/>
              </w:rPr>
              <w:fldChar w:fldCharType="end"/>
            </w:r>
          </w:hyperlink>
        </w:p>
        <w:p w14:paraId="3444AD56" w14:textId="70835EC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94" w:history="1">
            <w:r w:rsidRPr="001D4C20">
              <w:rPr>
                <w:rStyle w:val="Lienhypertexte"/>
                <w:noProof/>
              </w:rPr>
              <w:t>57.23.6e Paliers en matériaux synthétiques - recouvrement en caoutchouc CCTB 01.11</w:t>
            </w:r>
            <w:r>
              <w:rPr>
                <w:noProof/>
                <w:webHidden/>
              </w:rPr>
              <w:tab/>
            </w:r>
            <w:r>
              <w:rPr>
                <w:noProof/>
                <w:webHidden/>
              </w:rPr>
              <w:fldChar w:fldCharType="begin"/>
            </w:r>
            <w:r>
              <w:rPr>
                <w:noProof/>
                <w:webHidden/>
              </w:rPr>
              <w:instrText xml:space="preserve"> PAGEREF _Toc220491694 \h </w:instrText>
            </w:r>
            <w:r>
              <w:rPr>
                <w:noProof/>
                <w:webHidden/>
              </w:rPr>
            </w:r>
            <w:r>
              <w:rPr>
                <w:noProof/>
                <w:webHidden/>
              </w:rPr>
              <w:fldChar w:fldCharType="separate"/>
            </w:r>
            <w:r>
              <w:rPr>
                <w:noProof/>
                <w:webHidden/>
              </w:rPr>
              <w:t>858</w:t>
            </w:r>
            <w:r>
              <w:rPr>
                <w:noProof/>
                <w:webHidden/>
              </w:rPr>
              <w:fldChar w:fldCharType="end"/>
            </w:r>
          </w:hyperlink>
        </w:p>
        <w:p w14:paraId="49BA7C61" w14:textId="5DBAD32F"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95" w:history="1">
            <w:r w:rsidRPr="001D4C20">
              <w:rPr>
                <w:rStyle w:val="Lienhypertexte"/>
                <w:noProof/>
              </w:rPr>
              <w:t>57.23.7 Paliers en verre CCTB 01.12</w:t>
            </w:r>
            <w:r>
              <w:rPr>
                <w:noProof/>
                <w:webHidden/>
              </w:rPr>
              <w:tab/>
            </w:r>
            <w:r>
              <w:rPr>
                <w:noProof/>
                <w:webHidden/>
              </w:rPr>
              <w:fldChar w:fldCharType="begin"/>
            </w:r>
            <w:r>
              <w:rPr>
                <w:noProof/>
                <w:webHidden/>
              </w:rPr>
              <w:instrText xml:space="preserve"> PAGEREF _Toc220491695 \h </w:instrText>
            </w:r>
            <w:r>
              <w:rPr>
                <w:noProof/>
                <w:webHidden/>
              </w:rPr>
            </w:r>
            <w:r>
              <w:rPr>
                <w:noProof/>
                <w:webHidden/>
              </w:rPr>
              <w:fldChar w:fldCharType="separate"/>
            </w:r>
            <w:r>
              <w:rPr>
                <w:noProof/>
                <w:webHidden/>
              </w:rPr>
              <w:t>859</w:t>
            </w:r>
            <w:r>
              <w:rPr>
                <w:noProof/>
                <w:webHidden/>
              </w:rPr>
              <w:fldChar w:fldCharType="end"/>
            </w:r>
          </w:hyperlink>
        </w:p>
        <w:p w14:paraId="124281AA" w14:textId="58D2150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96" w:history="1">
            <w:r w:rsidRPr="001D4C20">
              <w:rPr>
                <w:rStyle w:val="Lienhypertexte"/>
                <w:noProof/>
              </w:rPr>
              <w:t>57.23.7a Paliers en verre CCTB 01.12</w:t>
            </w:r>
            <w:r>
              <w:rPr>
                <w:noProof/>
                <w:webHidden/>
              </w:rPr>
              <w:tab/>
            </w:r>
            <w:r>
              <w:rPr>
                <w:noProof/>
                <w:webHidden/>
              </w:rPr>
              <w:fldChar w:fldCharType="begin"/>
            </w:r>
            <w:r>
              <w:rPr>
                <w:noProof/>
                <w:webHidden/>
              </w:rPr>
              <w:instrText xml:space="preserve"> PAGEREF _Toc220491696 \h </w:instrText>
            </w:r>
            <w:r>
              <w:rPr>
                <w:noProof/>
                <w:webHidden/>
              </w:rPr>
            </w:r>
            <w:r>
              <w:rPr>
                <w:noProof/>
                <w:webHidden/>
              </w:rPr>
              <w:fldChar w:fldCharType="separate"/>
            </w:r>
            <w:r>
              <w:rPr>
                <w:noProof/>
                <w:webHidden/>
              </w:rPr>
              <w:t>861</w:t>
            </w:r>
            <w:r>
              <w:rPr>
                <w:noProof/>
                <w:webHidden/>
              </w:rPr>
              <w:fldChar w:fldCharType="end"/>
            </w:r>
          </w:hyperlink>
        </w:p>
        <w:p w14:paraId="1C7503DE" w14:textId="60E77B0A"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697" w:history="1">
            <w:r w:rsidRPr="001D4C20">
              <w:rPr>
                <w:rStyle w:val="Lienhypertexte"/>
                <w:noProof/>
              </w:rPr>
              <w:t>57.24 Balustres et poteaux CCTB 01.02</w:t>
            </w:r>
            <w:r>
              <w:rPr>
                <w:noProof/>
                <w:webHidden/>
              </w:rPr>
              <w:tab/>
            </w:r>
            <w:r>
              <w:rPr>
                <w:noProof/>
                <w:webHidden/>
              </w:rPr>
              <w:fldChar w:fldCharType="begin"/>
            </w:r>
            <w:r>
              <w:rPr>
                <w:noProof/>
                <w:webHidden/>
              </w:rPr>
              <w:instrText xml:space="preserve"> PAGEREF _Toc220491697 \h </w:instrText>
            </w:r>
            <w:r>
              <w:rPr>
                <w:noProof/>
                <w:webHidden/>
              </w:rPr>
            </w:r>
            <w:r>
              <w:rPr>
                <w:noProof/>
                <w:webHidden/>
              </w:rPr>
              <w:fldChar w:fldCharType="separate"/>
            </w:r>
            <w:r>
              <w:rPr>
                <w:noProof/>
                <w:webHidden/>
              </w:rPr>
              <w:t>864</w:t>
            </w:r>
            <w:r>
              <w:rPr>
                <w:noProof/>
                <w:webHidden/>
              </w:rPr>
              <w:fldChar w:fldCharType="end"/>
            </w:r>
          </w:hyperlink>
        </w:p>
        <w:p w14:paraId="50221C76" w14:textId="54C2F17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98" w:history="1">
            <w:r w:rsidRPr="001D4C20">
              <w:rPr>
                <w:rStyle w:val="Lienhypertexte"/>
                <w:noProof/>
              </w:rPr>
              <w:t>57.24.1 Balustres et poteaux en pierre CCTB 01.02</w:t>
            </w:r>
            <w:r>
              <w:rPr>
                <w:noProof/>
                <w:webHidden/>
              </w:rPr>
              <w:tab/>
            </w:r>
            <w:r>
              <w:rPr>
                <w:noProof/>
                <w:webHidden/>
              </w:rPr>
              <w:fldChar w:fldCharType="begin"/>
            </w:r>
            <w:r>
              <w:rPr>
                <w:noProof/>
                <w:webHidden/>
              </w:rPr>
              <w:instrText xml:space="preserve"> PAGEREF _Toc220491698 \h </w:instrText>
            </w:r>
            <w:r>
              <w:rPr>
                <w:noProof/>
                <w:webHidden/>
              </w:rPr>
            </w:r>
            <w:r>
              <w:rPr>
                <w:noProof/>
                <w:webHidden/>
              </w:rPr>
              <w:fldChar w:fldCharType="separate"/>
            </w:r>
            <w:r>
              <w:rPr>
                <w:noProof/>
                <w:webHidden/>
              </w:rPr>
              <w:t>864</w:t>
            </w:r>
            <w:r>
              <w:rPr>
                <w:noProof/>
                <w:webHidden/>
              </w:rPr>
              <w:fldChar w:fldCharType="end"/>
            </w:r>
          </w:hyperlink>
        </w:p>
        <w:p w14:paraId="47AAB947" w14:textId="50BD101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99" w:history="1">
            <w:r w:rsidRPr="001D4C20">
              <w:rPr>
                <w:rStyle w:val="Lienhypertexte"/>
                <w:noProof/>
              </w:rPr>
              <w:t>57.24.1a Balustres et poteaux en pierre CCTB 01.02</w:t>
            </w:r>
            <w:r>
              <w:rPr>
                <w:noProof/>
                <w:webHidden/>
              </w:rPr>
              <w:tab/>
            </w:r>
            <w:r>
              <w:rPr>
                <w:noProof/>
                <w:webHidden/>
              </w:rPr>
              <w:fldChar w:fldCharType="begin"/>
            </w:r>
            <w:r>
              <w:rPr>
                <w:noProof/>
                <w:webHidden/>
              </w:rPr>
              <w:instrText xml:space="preserve"> PAGEREF _Toc220491699 \h </w:instrText>
            </w:r>
            <w:r>
              <w:rPr>
                <w:noProof/>
                <w:webHidden/>
              </w:rPr>
            </w:r>
            <w:r>
              <w:rPr>
                <w:noProof/>
                <w:webHidden/>
              </w:rPr>
              <w:fldChar w:fldCharType="separate"/>
            </w:r>
            <w:r>
              <w:rPr>
                <w:noProof/>
                <w:webHidden/>
              </w:rPr>
              <w:t>864</w:t>
            </w:r>
            <w:r>
              <w:rPr>
                <w:noProof/>
                <w:webHidden/>
              </w:rPr>
              <w:fldChar w:fldCharType="end"/>
            </w:r>
          </w:hyperlink>
        </w:p>
        <w:p w14:paraId="7B92AD89" w14:textId="205BDC87"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00" w:history="1">
            <w:r w:rsidRPr="001D4C20">
              <w:rPr>
                <w:rStyle w:val="Lienhypertexte"/>
                <w:noProof/>
              </w:rPr>
              <w:t>57.24.2 Balustres et poteaux en béton armé CCTB 01.02</w:t>
            </w:r>
            <w:r>
              <w:rPr>
                <w:noProof/>
                <w:webHidden/>
              </w:rPr>
              <w:tab/>
            </w:r>
            <w:r>
              <w:rPr>
                <w:noProof/>
                <w:webHidden/>
              </w:rPr>
              <w:fldChar w:fldCharType="begin"/>
            </w:r>
            <w:r>
              <w:rPr>
                <w:noProof/>
                <w:webHidden/>
              </w:rPr>
              <w:instrText xml:space="preserve"> PAGEREF _Toc220491700 \h </w:instrText>
            </w:r>
            <w:r>
              <w:rPr>
                <w:noProof/>
                <w:webHidden/>
              </w:rPr>
            </w:r>
            <w:r>
              <w:rPr>
                <w:noProof/>
                <w:webHidden/>
              </w:rPr>
              <w:fldChar w:fldCharType="separate"/>
            </w:r>
            <w:r>
              <w:rPr>
                <w:noProof/>
                <w:webHidden/>
              </w:rPr>
              <w:t>864</w:t>
            </w:r>
            <w:r>
              <w:rPr>
                <w:noProof/>
                <w:webHidden/>
              </w:rPr>
              <w:fldChar w:fldCharType="end"/>
            </w:r>
          </w:hyperlink>
        </w:p>
        <w:p w14:paraId="45184B51" w14:textId="378C79A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01" w:history="1">
            <w:r w:rsidRPr="001D4C20">
              <w:rPr>
                <w:rStyle w:val="Lienhypertexte"/>
                <w:noProof/>
              </w:rPr>
              <w:t>57.24.2a Balustres et poteaux en béton armé CCTB 01.02</w:t>
            </w:r>
            <w:r>
              <w:rPr>
                <w:noProof/>
                <w:webHidden/>
              </w:rPr>
              <w:tab/>
            </w:r>
            <w:r>
              <w:rPr>
                <w:noProof/>
                <w:webHidden/>
              </w:rPr>
              <w:fldChar w:fldCharType="begin"/>
            </w:r>
            <w:r>
              <w:rPr>
                <w:noProof/>
                <w:webHidden/>
              </w:rPr>
              <w:instrText xml:space="preserve"> PAGEREF _Toc220491701 \h </w:instrText>
            </w:r>
            <w:r>
              <w:rPr>
                <w:noProof/>
                <w:webHidden/>
              </w:rPr>
            </w:r>
            <w:r>
              <w:rPr>
                <w:noProof/>
                <w:webHidden/>
              </w:rPr>
              <w:fldChar w:fldCharType="separate"/>
            </w:r>
            <w:r>
              <w:rPr>
                <w:noProof/>
                <w:webHidden/>
              </w:rPr>
              <w:t>864</w:t>
            </w:r>
            <w:r>
              <w:rPr>
                <w:noProof/>
                <w:webHidden/>
              </w:rPr>
              <w:fldChar w:fldCharType="end"/>
            </w:r>
          </w:hyperlink>
        </w:p>
        <w:p w14:paraId="500E47A7" w14:textId="2CA0DD7E"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02" w:history="1">
            <w:r w:rsidRPr="001D4C20">
              <w:rPr>
                <w:rStyle w:val="Lienhypertexte"/>
                <w:noProof/>
              </w:rPr>
              <w:t>57.24.3 Balustres et poteaux en bois CCTB 01.02</w:t>
            </w:r>
            <w:r>
              <w:rPr>
                <w:noProof/>
                <w:webHidden/>
              </w:rPr>
              <w:tab/>
            </w:r>
            <w:r>
              <w:rPr>
                <w:noProof/>
                <w:webHidden/>
              </w:rPr>
              <w:fldChar w:fldCharType="begin"/>
            </w:r>
            <w:r>
              <w:rPr>
                <w:noProof/>
                <w:webHidden/>
              </w:rPr>
              <w:instrText xml:space="preserve"> PAGEREF _Toc220491702 \h </w:instrText>
            </w:r>
            <w:r>
              <w:rPr>
                <w:noProof/>
                <w:webHidden/>
              </w:rPr>
            </w:r>
            <w:r>
              <w:rPr>
                <w:noProof/>
                <w:webHidden/>
              </w:rPr>
              <w:fldChar w:fldCharType="separate"/>
            </w:r>
            <w:r>
              <w:rPr>
                <w:noProof/>
                <w:webHidden/>
              </w:rPr>
              <w:t>864</w:t>
            </w:r>
            <w:r>
              <w:rPr>
                <w:noProof/>
                <w:webHidden/>
              </w:rPr>
              <w:fldChar w:fldCharType="end"/>
            </w:r>
          </w:hyperlink>
        </w:p>
        <w:p w14:paraId="4EDFBAB8" w14:textId="5920AC8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03" w:history="1">
            <w:r w:rsidRPr="001D4C20">
              <w:rPr>
                <w:rStyle w:val="Lienhypertexte"/>
                <w:noProof/>
              </w:rPr>
              <w:t>57.24.3a Balustres et poteaux en bois CCTB 01.11</w:t>
            </w:r>
            <w:r>
              <w:rPr>
                <w:noProof/>
                <w:webHidden/>
              </w:rPr>
              <w:tab/>
            </w:r>
            <w:r>
              <w:rPr>
                <w:noProof/>
                <w:webHidden/>
              </w:rPr>
              <w:fldChar w:fldCharType="begin"/>
            </w:r>
            <w:r>
              <w:rPr>
                <w:noProof/>
                <w:webHidden/>
              </w:rPr>
              <w:instrText xml:space="preserve"> PAGEREF _Toc220491703 \h </w:instrText>
            </w:r>
            <w:r>
              <w:rPr>
                <w:noProof/>
                <w:webHidden/>
              </w:rPr>
            </w:r>
            <w:r>
              <w:rPr>
                <w:noProof/>
                <w:webHidden/>
              </w:rPr>
              <w:fldChar w:fldCharType="separate"/>
            </w:r>
            <w:r>
              <w:rPr>
                <w:noProof/>
                <w:webHidden/>
              </w:rPr>
              <w:t>864</w:t>
            </w:r>
            <w:r>
              <w:rPr>
                <w:noProof/>
                <w:webHidden/>
              </w:rPr>
              <w:fldChar w:fldCharType="end"/>
            </w:r>
          </w:hyperlink>
        </w:p>
        <w:p w14:paraId="780AF1A4" w14:textId="43AFE8C9"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04" w:history="1">
            <w:r w:rsidRPr="001D4C20">
              <w:rPr>
                <w:rStyle w:val="Lienhypertexte"/>
                <w:noProof/>
              </w:rPr>
              <w:t>57.24.4 Balustres et poteaux métalliques CCTB 01.02</w:t>
            </w:r>
            <w:r>
              <w:rPr>
                <w:noProof/>
                <w:webHidden/>
              </w:rPr>
              <w:tab/>
            </w:r>
            <w:r>
              <w:rPr>
                <w:noProof/>
                <w:webHidden/>
              </w:rPr>
              <w:fldChar w:fldCharType="begin"/>
            </w:r>
            <w:r>
              <w:rPr>
                <w:noProof/>
                <w:webHidden/>
              </w:rPr>
              <w:instrText xml:space="preserve"> PAGEREF _Toc220491704 \h </w:instrText>
            </w:r>
            <w:r>
              <w:rPr>
                <w:noProof/>
                <w:webHidden/>
              </w:rPr>
            </w:r>
            <w:r>
              <w:rPr>
                <w:noProof/>
                <w:webHidden/>
              </w:rPr>
              <w:fldChar w:fldCharType="separate"/>
            </w:r>
            <w:r>
              <w:rPr>
                <w:noProof/>
                <w:webHidden/>
              </w:rPr>
              <w:t>865</w:t>
            </w:r>
            <w:r>
              <w:rPr>
                <w:noProof/>
                <w:webHidden/>
              </w:rPr>
              <w:fldChar w:fldCharType="end"/>
            </w:r>
          </w:hyperlink>
        </w:p>
        <w:p w14:paraId="56E527BF" w14:textId="773B3B5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05" w:history="1">
            <w:r w:rsidRPr="001D4C20">
              <w:rPr>
                <w:rStyle w:val="Lienhypertexte"/>
                <w:noProof/>
              </w:rPr>
              <w:t>57.24.4a Balustres et poteaux métalliques - en acier CCTB 01.02</w:t>
            </w:r>
            <w:r>
              <w:rPr>
                <w:noProof/>
                <w:webHidden/>
              </w:rPr>
              <w:tab/>
            </w:r>
            <w:r>
              <w:rPr>
                <w:noProof/>
                <w:webHidden/>
              </w:rPr>
              <w:fldChar w:fldCharType="begin"/>
            </w:r>
            <w:r>
              <w:rPr>
                <w:noProof/>
                <w:webHidden/>
              </w:rPr>
              <w:instrText xml:space="preserve"> PAGEREF _Toc220491705 \h </w:instrText>
            </w:r>
            <w:r>
              <w:rPr>
                <w:noProof/>
                <w:webHidden/>
              </w:rPr>
            </w:r>
            <w:r>
              <w:rPr>
                <w:noProof/>
                <w:webHidden/>
              </w:rPr>
              <w:fldChar w:fldCharType="separate"/>
            </w:r>
            <w:r>
              <w:rPr>
                <w:noProof/>
                <w:webHidden/>
              </w:rPr>
              <w:t>865</w:t>
            </w:r>
            <w:r>
              <w:rPr>
                <w:noProof/>
                <w:webHidden/>
              </w:rPr>
              <w:fldChar w:fldCharType="end"/>
            </w:r>
          </w:hyperlink>
        </w:p>
        <w:p w14:paraId="3032BE4D" w14:textId="5182D64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06" w:history="1">
            <w:r w:rsidRPr="001D4C20">
              <w:rPr>
                <w:rStyle w:val="Lienhypertexte"/>
                <w:noProof/>
              </w:rPr>
              <w:t>57.24.4b Balustres et poteaux métalliques - en acier inoxydable CCTB 01.02</w:t>
            </w:r>
            <w:r>
              <w:rPr>
                <w:noProof/>
                <w:webHidden/>
              </w:rPr>
              <w:tab/>
            </w:r>
            <w:r>
              <w:rPr>
                <w:noProof/>
                <w:webHidden/>
              </w:rPr>
              <w:fldChar w:fldCharType="begin"/>
            </w:r>
            <w:r>
              <w:rPr>
                <w:noProof/>
                <w:webHidden/>
              </w:rPr>
              <w:instrText xml:space="preserve"> PAGEREF _Toc220491706 \h </w:instrText>
            </w:r>
            <w:r>
              <w:rPr>
                <w:noProof/>
                <w:webHidden/>
              </w:rPr>
            </w:r>
            <w:r>
              <w:rPr>
                <w:noProof/>
                <w:webHidden/>
              </w:rPr>
              <w:fldChar w:fldCharType="separate"/>
            </w:r>
            <w:r>
              <w:rPr>
                <w:noProof/>
                <w:webHidden/>
              </w:rPr>
              <w:t>865</w:t>
            </w:r>
            <w:r>
              <w:rPr>
                <w:noProof/>
                <w:webHidden/>
              </w:rPr>
              <w:fldChar w:fldCharType="end"/>
            </w:r>
          </w:hyperlink>
        </w:p>
        <w:p w14:paraId="25BB69BD" w14:textId="2F52BA4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07" w:history="1">
            <w:r w:rsidRPr="001D4C20">
              <w:rPr>
                <w:rStyle w:val="Lienhypertexte"/>
                <w:noProof/>
              </w:rPr>
              <w:t>57.24.4c Balustres et poteaux métalliques - en aluminium CCTB 01.02</w:t>
            </w:r>
            <w:r>
              <w:rPr>
                <w:noProof/>
                <w:webHidden/>
              </w:rPr>
              <w:tab/>
            </w:r>
            <w:r>
              <w:rPr>
                <w:noProof/>
                <w:webHidden/>
              </w:rPr>
              <w:fldChar w:fldCharType="begin"/>
            </w:r>
            <w:r>
              <w:rPr>
                <w:noProof/>
                <w:webHidden/>
              </w:rPr>
              <w:instrText xml:space="preserve"> PAGEREF _Toc220491707 \h </w:instrText>
            </w:r>
            <w:r>
              <w:rPr>
                <w:noProof/>
                <w:webHidden/>
              </w:rPr>
            </w:r>
            <w:r>
              <w:rPr>
                <w:noProof/>
                <w:webHidden/>
              </w:rPr>
              <w:fldChar w:fldCharType="separate"/>
            </w:r>
            <w:r>
              <w:rPr>
                <w:noProof/>
                <w:webHidden/>
              </w:rPr>
              <w:t>865</w:t>
            </w:r>
            <w:r>
              <w:rPr>
                <w:noProof/>
                <w:webHidden/>
              </w:rPr>
              <w:fldChar w:fldCharType="end"/>
            </w:r>
          </w:hyperlink>
        </w:p>
        <w:p w14:paraId="21D4425E" w14:textId="6E00885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08" w:history="1">
            <w:r w:rsidRPr="001D4C20">
              <w:rPr>
                <w:rStyle w:val="Lienhypertexte"/>
                <w:noProof/>
              </w:rPr>
              <w:t>57.24.5 Balustres et poteaux en matériaux synthétiques CCTB 01.02</w:t>
            </w:r>
            <w:r>
              <w:rPr>
                <w:noProof/>
                <w:webHidden/>
              </w:rPr>
              <w:tab/>
            </w:r>
            <w:r>
              <w:rPr>
                <w:noProof/>
                <w:webHidden/>
              </w:rPr>
              <w:fldChar w:fldCharType="begin"/>
            </w:r>
            <w:r>
              <w:rPr>
                <w:noProof/>
                <w:webHidden/>
              </w:rPr>
              <w:instrText xml:space="preserve"> PAGEREF _Toc220491708 \h </w:instrText>
            </w:r>
            <w:r>
              <w:rPr>
                <w:noProof/>
                <w:webHidden/>
              </w:rPr>
            </w:r>
            <w:r>
              <w:rPr>
                <w:noProof/>
                <w:webHidden/>
              </w:rPr>
              <w:fldChar w:fldCharType="separate"/>
            </w:r>
            <w:r>
              <w:rPr>
                <w:noProof/>
                <w:webHidden/>
              </w:rPr>
              <w:t>865</w:t>
            </w:r>
            <w:r>
              <w:rPr>
                <w:noProof/>
                <w:webHidden/>
              </w:rPr>
              <w:fldChar w:fldCharType="end"/>
            </w:r>
          </w:hyperlink>
        </w:p>
        <w:p w14:paraId="6702C74B" w14:textId="28353CB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09" w:history="1">
            <w:r w:rsidRPr="001D4C20">
              <w:rPr>
                <w:rStyle w:val="Lienhypertexte"/>
                <w:noProof/>
              </w:rPr>
              <w:t>57.24.5a Balustres et poteaux en matériaux synthétiques CCTB 01.02</w:t>
            </w:r>
            <w:r>
              <w:rPr>
                <w:noProof/>
                <w:webHidden/>
              </w:rPr>
              <w:tab/>
            </w:r>
            <w:r>
              <w:rPr>
                <w:noProof/>
                <w:webHidden/>
              </w:rPr>
              <w:fldChar w:fldCharType="begin"/>
            </w:r>
            <w:r>
              <w:rPr>
                <w:noProof/>
                <w:webHidden/>
              </w:rPr>
              <w:instrText xml:space="preserve"> PAGEREF _Toc220491709 \h </w:instrText>
            </w:r>
            <w:r>
              <w:rPr>
                <w:noProof/>
                <w:webHidden/>
              </w:rPr>
            </w:r>
            <w:r>
              <w:rPr>
                <w:noProof/>
                <w:webHidden/>
              </w:rPr>
              <w:fldChar w:fldCharType="separate"/>
            </w:r>
            <w:r>
              <w:rPr>
                <w:noProof/>
                <w:webHidden/>
              </w:rPr>
              <w:t>865</w:t>
            </w:r>
            <w:r>
              <w:rPr>
                <w:noProof/>
                <w:webHidden/>
              </w:rPr>
              <w:fldChar w:fldCharType="end"/>
            </w:r>
          </w:hyperlink>
        </w:p>
        <w:p w14:paraId="70A47C75" w14:textId="7C26F19F"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10" w:history="1">
            <w:r w:rsidRPr="001D4C20">
              <w:rPr>
                <w:rStyle w:val="Lienhypertexte"/>
                <w:noProof/>
              </w:rPr>
              <w:t>57.24.6 Balustres et poteaux en verre CCTB 01.02</w:t>
            </w:r>
            <w:r>
              <w:rPr>
                <w:noProof/>
                <w:webHidden/>
              </w:rPr>
              <w:tab/>
            </w:r>
            <w:r>
              <w:rPr>
                <w:noProof/>
                <w:webHidden/>
              </w:rPr>
              <w:fldChar w:fldCharType="begin"/>
            </w:r>
            <w:r>
              <w:rPr>
                <w:noProof/>
                <w:webHidden/>
              </w:rPr>
              <w:instrText xml:space="preserve"> PAGEREF _Toc220491710 \h </w:instrText>
            </w:r>
            <w:r>
              <w:rPr>
                <w:noProof/>
                <w:webHidden/>
              </w:rPr>
            </w:r>
            <w:r>
              <w:rPr>
                <w:noProof/>
                <w:webHidden/>
              </w:rPr>
              <w:fldChar w:fldCharType="separate"/>
            </w:r>
            <w:r>
              <w:rPr>
                <w:noProof/>
                <w:webHidden/>
              </w:rPr>
              <w:t>865</w:t>
            </w:r>
            <w:r>
              <w:rPr>
                <w:noProof/>
                <w:webHidden/>
              </w:rPr>
              <w:fldChar w:fldCharType="end"/>
            </w:r>
          </w:hyperlink>
        </w:p>
        <w:p w14:paraId="71478A23" w14:textId="7A33809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11" w:history="1">
            <w:r w:rsidRPr="001D4C20">
              <w:rPr>
                <w:rStyle w:val="Lienhypertexte"/>
                <w:noProof/>
              </w:rPr>
              <w:t>57.24.6a Balustres et poteaux en verre CCTB 01.02</w:t>
            </w:r>
            <w:r>
              <w:rPr>
                <w:noProof/>
                <w:webHidden/>
              </w:rPr>
              <w:tab/>
            </w:r>
            <w:r>
              <w:rPr>
                <w:noProof/>
                <w:webHidden/>
              </w:rPr>
              <w:fldChar w:fldCharType="begin"/>
            </w:r>
            <w:r>
              <w:rPr>
                <w:noProof/>
                <w:webHidden/>
              </w:rPr>
              <w:instrText xml:space="preserve"> PAGEREF _Toc220491711 \h </w:instrText>
            </w:r>
            <w:r>
              <w:rPr>
                <w:noProof/>
                <w:webHidden/>
              </w:rPr>
            </w:r>
            <w:r>
              <w:rPr>
                <w:noProof/>
                <w:webHidden/>
              </w:rPr>
              <w:fldChar w:fldCharType="separate"/>
            </w:r>
            <w:r>
              <w:rPr>
                <w:noProof/>
                <w:webHidden/>
              </w:rPr>
              <w:t>865</w:t>
            </w:r>
            <w:r>
              <w:rPr>
                <w:noProof/>
                <w:webHidden/>
              </w:rPr>
              <w:fldChar w:fldCharType="end"/>
            </w:r>
          </w:hyperlink>
        </w:p>
        <w:p w14:paraId="608B67CF" w14:textId="25D66904"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712" w:history="1">
            <w:r w:rsidRPr="001D4C20">
              <w:rPr>
                <w:rStyle w:val="Lienhypertexte"/>
                <w:noProof/>
              </w:rPr>
              <w:t>57.25 Remplissages CCTB 01.02</w:t>
            </w:r>
            <w:r>
              <w:rPr>
                <w:noProof/>
                <w:webHidden/>
              </w:rPr>
              <w:tab/>
            </w:r>
            <w:r>
              <w:rPr>
                <w:noProof/>
                <w:webHidden/>
              </w:rPr>
              <w:fldChar w:fldCharType="begin"/>
            </w:r>
            <w:r>
              <w:rPr>
                <w:noProof/>
                <w:webHidden/>
              </w:rPr>
              <w:instrText xml:space="preserve"> PAGEREF _Toc220491712 \h </w:instrText>
            </w:r>
            <w:r>
              <w:rPr>
                <w:noProof/>
                <w:webHidden/>
              </w:rPr>
            </w:r>
            <w:r>
              <w:rPr>
                <w:noProof/>
                <w:webHidden/>
              </w:rPr>
              <w:fldChar w:fldCharType="separate"/>
            </w:r>
            <w:r>
              <w:rPr>
                <w:noProof/>
                <w:webHidden/>
              </w:rPr>
              <w:t>865</w:t>
            </w:r>
            <w:r>
              <w:rPr>
                <w:noProof/>
                <w:webHidden/>
              </w:rPr>
              <w:fldChar w:fldCharType="end"/>
            </w:r>
          </w:hyperlink>
        </w:p>
        <w:p w14:paraId="5F1A5D38" w14:textId="457FEBB4"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13" w:history="1">
            <w:r w:rsidRPr="001D4C20">
              <w:rPr>
                <w:rStyle w:val="Lienhypertexte"/>
                <w:noProof/>
              </w:rPr>
              <w:t>57.25.1 Remplissages en pierre CCTB 01.02</w:t>
            </w:r>
            <w:r>
              <w:rPr>
                <w:noProof/>
                <w:webHidden/>
              </w:rPr>
              <w:tab/>
            </w:r>
            <w:r>
              <w:rPr>
                <w:noProof/>
                <w:webHidden/>
              </w:rPr>
              <w:fldChar w:fldCharType="begin"/>
            </w:r>
            <w:r>
              <w:rPr>
                <w:noProof/>
                <w:webHidden/>
              </w:rPr>
              <w:instrText xml:space="preserve"> PAGEREF _Toc220491713 \h </w:instrText>
            </w:r>
            <w:r>
              <w:rPr>
                <w:noProof/>
                <w:webHidden/>
              </w:rPr>
            </w:r>
            <w:r>
              <w:rPr>
                <w:noProof/>
                <w:webHidden/>
              </w:rPr>
              <w:fldChar w:fldCharType="separate"/>
            </w:r>
            <w:r>
              <w:rPr>
                <w:noProof/>
                <w:webHidden/>
              </w:rPr>
              <w:t>865</w:t>
            </w:r>
            <w:r>
              <w:rPr>
                <w:noProof/>
                <w:webHidden/>
              </w:rPr>
              <w:fldChar w:fldCharType="end"/>
            </w:r>
          </w:hyperlink>
        </w:p>
        <w:p w14:paraId="11771233" w14:textId="3897359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14" w:history="1">
            <w:r w:rsidRPr="001D4C20">
              <w:rPr>
                <w:rStyle w:val="Lienhypertexte"/>
                <w:noProof/>
              </w:rPr>
              <w:t>57.25.1a Remplissages en pierre CCTB 01.02</w:t>
            </w:r>
            <w:r>
              <w:rPr>
                <w:noProof/>
                <w:webHidden/>
              </w:rPr>
              <w:tab/>
            </w:r>
            <w:r>
              <w:rPr>
                <w:noProof/>
                <w:webHidden/>
              </w:rPr>
              <w:fldChar w:fldCharType="begin"/>
            </w:r>
            <w:r>
              <w:rPr>
                <w:noProof/>
                <w:webHidden/>
              </w:rPr>
              <w:instrText xml:space="preserve"> PAGEREF _Toc220491714 \h </w:instrText>
            </w:r>
            <w:r>
              <w:rPr>
                <w:noProof/>
                <w:webHidden/>
              </w:rPr>
            </w:r>
            <w:r>
              <w:rPr>
                <w:noProof/>
                <w:webHidden/>
              </w:rPr>
              <w:fldChar w:fldCharType="separate"/>
            </w:r>
            <w:r>
              <w:rPr>
                <w:noProof/>
                <w:webHidden/>
              </w:rPr>
              <w:t>865</w:t>
            </w:r>
            <w:r>
              <w:rPr>
                <w:noProof/>
                <w:webHidden/>
              </w:rPr>
              <w:fldChar w:fldCharType="end"/>
            </w:r>
          </w:hyperlink>
        </w:p>
        <w:p w14:paraId="2001F4BD" w14:textId="2EED5AE7"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15" w:history="1">
            <w:r w:rsidRPr="001D4C20">
              <w:rPr>
                <w:rStyle w:val="Lienhypertexte"/>
                <w:noProof/>
              </w:rPr>
              <w:t>57.25.2 Remplissages en béton armé CCTB 01.02</w:t>
            </w:r>
            <w:r>
              <w:rPr>
                <w:noProof/>
                <w:webHidden/>
              </w:rPr>
              <w:tab/>
            </w:r>
            <w:r>
              <w:rPr>
                <w:noProof/>
                <w:webHidden/>
              </w:rPr>
              <w:fldChar w:fldCharType="begin"/>
            </w:r>
            <w:r>
              <w:rPr>
                <w:noProof/>
                <w:webHidden/>
              </w:rPr>
              <w:instrText xml:space="preserve"> PAGEREF _Toc220491715 \h </w:instrText>
            </w:r>
            <w:r>
              <w:rPr>
                <w:noProof/>
                <w:webHidden/>
              </w:rPr>
            </w:r>
            <w:r>
              <w:rPr>
                <w:noProof/>
                <w:webHidden/>
              </w:rPr>
              <w:fldChar w:fldCharType="separate"/>
            </w:r>
            <w:r>
              <w:rPr>
                <w:noProof/>
                <w:webHidden/>
              </w:rPr>
              <w:t>865</w:t>
            </w:r>
            <w:r>
              <w:rPr>
                <w:noProof/>
                <w:webHidden/>
              </w:rPr>
              <w:fldChar w:fldCharType="end"/>
            </w:r>
          </w:hyperlink>
        </w:p>
        <w:p w14:paraId="0616B1B5" w14:textId="3D4AD26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16" w:history="1">
            <w:r w:rsidRPr="001D4C20">
              <w:rPr>
                <w:rStyle w:val="Lienhypertexte"/>
                <w:noProof/>
              </w:rPr>
              <w:t>57.25.2a Remplissages en béton armé CCTB 01.02</w:t>
            </w:r>
            <w:r>
              <w:rPr>
                <w:noProof/>
                <w:webHidden/>
              </w:rPr>
              <w:tab/>
            </w:r>
            <w:r>
              <w:rPr>
                <w:noProof/>
                <w:webHidden/>
              </w:rPr>
              <w:fldChar w:fldCharType="begin"/>
            </w:r>
            <w:r>
              <w:rPr>
                <w:noProof/>
                <w:webHidden/>
              </w:rPr>
              <w:instrText xml:space="preserve"> PAGEREF _Toc220491716 \h </w:instrText>
            </w:r>
            <w:r>
              <w:rPr>
                <w:noProof/>
                <w:webHidden/>
              </w:rPr>
            </w:r>
            <w:r>
              <w:rPr>
                <w:noProof/>
                <w:webHidden/>
              </w:rPr>
              <w:fldChar w:fldCharType="separate"/>
            </w:r>
            <w:r>
              <w:rPr>
                <w:noProof/>
                <w:webHidden/>
              </w:rPr>
              <w:t>865</w:t>
            </w:r>
            <w:r>
              <w:rPr>
                <w:noProof/>
                <w:webHidden/>
              </w:rPr>
              <w:fldChar w:fldCharType="end"/>
            </w:r>
          </w:hyperlink>
        </w:p>
        <w:p w14:paraId="2FAC2553" w14:textId="3374ABB5"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17" w:history="1">
            <w:r w:rsidRPr="001D4C20">
              <w:rPr>
                <w:rStyle w:val="Lienhypertexte"/>
                <w:noProof/>
              </w:rPr>
              <w:t>57.25.3 Remplissages en bois CCTB 01.02</w:t>
            </w:r>
            <w:r>
              <w:rPr>
                <w:noProof/>
                <w:webHidden/>
              </w:rPr>
              <w:tab/>
            </w:r>
            <w:r>
              <w:rPr>
                <w:noProof/>
                <w:webHidden/>
              </w:rPr>
              <w:fldChar w:fldCharType="begin"/>
            </w:r>
            <w:r>
              <w:rPr>
                <w:noProof/>
                <w:webHidden/>
              </w:rPr>
              <w:instrText xml:space="preserve"> PAGEREF _Toc220491717 \h </w:instrText>
            </w:r>
            <w:r>
              <w:rPr>
                <w:noProof/>
                <w:webHidden/>
              </w:rPr>
            </w:r>
            <w:r>
              <w:rPr>
                <w:noProof/>
                <w:webHidden/>
              </w:rPr>
              <w:fldChar w:fldCharType="separate"/>
            </w:r>
            <w:r>
              <w:rPr>
                <w:noProof/>
                <w:webHidden/>
              </w:rPr>
              <w:t>865</w:t>
            </w:r>
            <w:r>
              <w:rPr>
                <w:noProof/>
                <w:webHidden/>
              </w:rPr>
              <w:fldChar w:fldCharType="end"/>
            </w:r>
          </w:hyperlink>
        </w:p>
        <w:p w14:paraId="7A20C04F" w14:textId="04FF965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18" w:history="1">
            <w:r w:rsidRPr="001D4C20">
              <w:rPr>
                <w:rStyle w:val="Lienhypertexte"/>
                <w:noProof/>
              </w:rPr>
              <w:t>57.25.3a Remplissages en bois CCTB 01.11</w:t>
            </w:r>
            <w:r>
              <w:rPr>
                <w:noProof/>
                <w:webHidden/>
              </w:rPr>
              <w:tab/>
            </w:r>
            <w:r>
              <w:rPr>
                <w:noProof/>
                <w:webHidden/>
              </w:rPr>
              <w:fldChar w:fldCharType="begin"/>
            </w:r>
            <w:r>
              <w:rPr>
                <w:noProof/>
                <w:webHidden/>
              </w:rPr>
              <w:instrText xml:space="preserve"> PAGEREF _Toc220491718 \h </w:instrText>
            </w:r>
            <w:r>
              <w:rPr>
                <w:noProof/>
                <w:webHidden/>
              </w:rPr>
            </w:r>
            <w:r>
              <w:rPr>
                <w:noProof/>
                <w:webHidden/>
              </w:rPr>
              <w:fldChar w:fldCharType="separate"/>
            </w:r>
            <w:r>
              <w:rPr>
                <w:noProof/>
                <w:webHidden/>
              </w:rPr>
              <w:t>865</w:t>
            </w:r>
            <w:r>
              <w:rPr>
                <w:noProof/>
                <w:webHidden/>
              </w:rPr>
              <w:fldChar w:fldCharType="end"/>
            </w:r>
          </w:hyperlink>
        </w:p>
        <w:p w14:paraId="557E8AC3" w14:textId="39C34E0E"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19" w:history="1">
            <w:r w:rsidRPr="001D4C20">
              <w:rPr>
                <w:rStyle w:val="Lienhypertexte"/>
                <w:noProof/>
              </w:rPr>
              <w:t>57.25.4 Remplissages métalliques CCTB 01.02</w:t>
            </w:r>
            <w:r>
              <w:rPr>
                <w:noProof/>
                <w:webHidden/>
              </w:rPr>
              <w:tab/>
            </w:r>
            <w:r>
              <w:rPr>
                <w:noProof/>
                <w:webHidden/>
              </w:rPr>
              <w:fldChar w:fldCharType="begin"/>
            </w:r>
            <w:r>
              <w:rPr>
                <w:noProof/>
                <w:webHidden/>
              </w:rPr>
              <w:instrText xml:space="preserve"> PAGEREF _Toc220491719 \h </w:instrText>
            </w:r>
            <w:r>
              <w:rPr>
                <w:noProof/>
                <w:webHidden/>
              </w:rPr>
            </w:r>
            <w:r>
              <w:rPr>
                <w:noProof/>
                <w:webHidden/>
              </w:rPr>
              <w:fldChar w:fldCharType="separate"/>
            </w:r>
            <w:r>
              <w:rPr>
                <w:noProof/>
                <w:webHidden/>
              </w:rPr>
              <w:t>866</w:t>
            </w:r>
            <w:r>
              <w:rPr>
                <w:noProof/>
                <w:webHidden/>
              </w:rPr>
              <w:fldChar w:fldCharType="end"/>
            </w:r>
          </w:hyperlink>
        </w:p>
        <w:p w14:paraId="729E429D" w14:textId="61875FA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20" w:history="1">
            <w:r w:rsidRPr="001D4C20">
              <w:rPr>
                <w:rStyle w:val="Lienhypertexte"/>
                <w:noProof/>
              </w:rPr>
              <w:t>57.25.4a Remplissages métalliques - en acier CCTB 01.02</w:t>
            </w:r>
            <w:r>
              <w:rPr>
                <w:noProof/>
                <w:webHidden/>
              </w:rPr>
              <w:tab/>
            </w:r>
            <w:r>
              <w:rPr>
                <w:noProof/>
                <w:webHidden/>
              </w:rPr>
              <w:fldChar w:fldCharType="begin"/>
            </w:r>
            <w:r>
              <w:rPr>
                <w:noProof/>
                <w:webHidden/>
              </w:rPr>
              <w:instrText xml:space="preserve"> PAGEREF _Toc220491720 \h </w:instrText>
            </w:r>
            <w:r>
              <w:rPr>
                <w:noProof/>
                <w:webHidden/>
              </w:rPr>
            </w:r>
            <w:r>
              <w:rPr>
                <w:noProof/>
                <w:webHidden/>
              </w:rPr>
              <w:fldChar w:fldCharType="separate"/>
            </w:r>
            <w:r>
              <w:rPr>
                <w:noProof/>
                <w:webHidden/>
              </w:rPr>
              <w:t>866</w:t>
            </w:r>
            <w:r>
              <w:rPr>
                <w:noProof/>
                <w:webHidden/>
              </w:rPr>
              <w:fldChar w:fldCharType="end"/>
            </w:r>
          </w:hyperlink>
        </w:p>
        <w:p w14:paraId="3C6E70D4" w14:textId="7D52BB1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21" w:history="1">
            <w:r w:rsidRPr="001D4C20">
              <w:rPr>
                <w:rStyle w:val="Lienhypertexte"/>
                <w:noProof/>
              </w:rPr>
              <w:t>57.25.4b Remplissages métalliques - en acier inoxydable CCTB 01.02</w:t>
            </w:r>
            <w:r>
              <w:rPr>
                <w:noProof/>
                <w:webHidden/>
              </w:rPr>
              <w:tab/>
            </w:r>
            <w:r>
              <w:rPr>
                <w:noProof/>
                <w:webHidden/>
              </w:rPr>
              <w:fldChar w:fldCharType="begin"/>
            </w:r>
            <w:r>
              <w:rPr>
                <w:noProof/>
                <w:webHidden/>
              </w:rPr>
              <w:instrText xml:space="preserve"> PAGEREF _Toc220491721 \h </w:instrText>
            </w:r>
            <w:r>
              <w:rPr>
                <w:noProof/>
                <w:webHidden/>
              </w:rPr>
            </w:r>
            <w:r>
              <w:rPr>
                <w:noProof/>
                <w:webHidden/>
              </w:rPr>
              <w:fldChar w:fldCharType="separate"/>
            </w:r>
            <w:r>
              <w:rPr>
                <w:noProof/>
                <w:webHidden/>
              </w:rPr>
              <w:t>866</w:t>
            </w:r>
            <w:r>
              <w:rPr>
                <w:noProof/>
                <w:webHidden/>
              </w:rPr>
              <w:fldChar w:fldCharType="end"/>
            </w:r>
          </w:hyperlink>
        </w:p>
        <w:p w14:paraId="73EB4F27" w14:textId="6F790B0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22" w:history="1">
            <w:r w:rsidRPr="001D4C20">
              <w:rPr>
                <w:rStyle w:val="Lienhypertexte"/>
                <w:noProof/>
              </w:rPr>
              <w:t>57.25.4c Remplissages métalliques - en aluminium CCTB 01.02</w:t>
            </w:r>
            <w:r>
              <w:rPr>
                <w:noProof/>
                <w:webHidden/>
              </w:rPr>
              <w:tab/>
            </w:r>
            <w:r>
              <w:rPr>
                <w:noProof/>
                <w:webHidden/>
              </w:rPr>
              <w:fldChar w:fldCharType="begin"/>
            </w:r>
            <w:r>
              <w:rPr>
                <w:noProof/>
                <w:webHidden/>
              </w:rPr>
              <w:instrText xml:space="preserve"> PAGEREF _Toc220491722 \h </w:instrText>
            </w:r>
            <w:r>
              <w:rPr>
                <w:noProof/>
                <w:webHidden/>
              </w:rPr>
            </w:r>
            <w:r>
              <w:rPr>
                <w:noProof/>
                <w:webHidden/>
              </w:rPr>
              <w:fldChar w:fldCharType="separate"/>
            </w:r>
            <w:r>
              <w:rPr>
                <w:noProof/>
                <w:webHidden/>
              </w:rPr>
              <w:t>866</w:t>
            </w:r>
            <w:r>
              <w:rPr>
                <w:noProof/>
                <w:webHidden/>
              </w:rPr>
              <w:fldChar w:fldCharType="end"/>
            </w:r>
          </w:hyperlink>
        </w:p>
        <w:p w14:paraId="254878B7" w14:textId="7280BBE2"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23" w:history="1">
            <w:r w:rsidRPr="001D4C20">
              <w:rPr>
                <w:rStyle w:val="Lienhypertexte"/>
                <w:noProof/>
              </w:rPr>
              <w:t>57.25.5 Remplissages en céramiques CCTB 01.02</w:t>
            </w:r>
            <w:r>
              <w:rPr>
                <w:noProof/>
                <w:webHidden/>
              </w:rPr>
              <w:tab/>
            </w:r>
            <w:r>
              <w:rPr>
                <w:noProof/>
                <w:webHidden/>
              </w:rPr>
              <w:fldChar w:fldCharType="begin"/>
            </w:r>
            <w:r>
              <w:rPr>
                <w:noProof/>
                <w:webHidden/>
              </w:rPr>
              <w:instrText xml:space="preserve"> PAGEREF _Toc220491723 \h </w:instrText>
            </w:r>
            <w:r>
              <w:rPr>
                <w:noProof/>
                <w:webHidden/>
              </w:rPr>
            </w:r>
            <w:r>
              <w:rPr>
                <w:noProof/>
                <w:webHidden/>
              </w:rPr>
              <w:fldChar w:fldCharType="separate"/>
            </w:r>
            <w:r>
              <w:rPr>
                <w:noProof/>
                <w:webHidden/>
              </w:rPr>
              <w:t>866</w:t>
            </w:r>
            <w:r>
              <w:rPr>
                <w:noProof/>
                <w:webHidden/>
              </w:rPr>
              <w:fldChar w:fldCharType="end"/>
            </w:r>
          </w:hyperlink>
        </w:p>
        <w:p w14:paraId="684BCD89" w14:textId="63693B5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24" w:history="1">
            <w:r w:rsidRPr="001D4C20">
              <w:rPr>
                <w:rStyle w:val="Lienhypertexte"/>
                <w:noProof/>
              </w:rPr>
              <w:t>57.25.5a Remplissages en céramiques CCTB 01.02</w:t>
            </w:r>
            <w:r>
              <w:rPr>
                <w:noProof/>
                <w:webHidden/>
              </w:rPr>
              <w:tab/>
            </w:r>
            <w:r>
              <w:rPr>
                <w:noProof/>
                <w:webHidden/>
              </w:rPr>
              <w:fldChar w:fldCharType="begin"/>
            </w:r>
            <w:r>
              <w:rPr>
                <w:noProof/>
                <w:webHidden/>
              </w:rPr>
              <w:instrText xml:space="preserve"> PAGEREF _Toc220491724 \h </w:instrText>
            </w:r>
            <w:r>
              <w:rPr>
                <w:noProof/>
                <w:webHidden/>
              </w:rPr>
            </w:r>
            <w:r>
              <w:rPr>
                <w:noProof/>
                <w:webHidden/>
              </w:rPr>
              <w:fldChar w:fldCharType="separate"/>
            </w:r>
            <w:r>
              <w:rPr>
                <w:noProof/>
                <w:webHidden/>
              </w:rPr>
              <w:t>866</w:t>
            </w:r>
            <w:r>
              <w:rPr>
                <w:noProof/>
                <w:webHidden/>
              </w:rPr>
              <w:fldChar w:fldCharType="end"/>
            </w:r>
          </w:hyperlink>
        </w:p>
        <w:p w14:paraId="3F18DE6E" w14:textId="2BB6FF6B"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25" w:history="1">
            <w:r w:rsidRPr="001D4C20">
              <w:rPr>
                <w:rStyle w:val="Lienhypertexte"/>
                <w:noProof/>
              </w:rPr>
              <w:t>57.25.6 Remplissages en matériaux synthétiques CCTB 01.02</w:t>
            </w:r>
            <w:r>
              <w:rPr>
                <w:noProof/>
                <w:webHidden/>
              </w:rPr>
              <w:tab/>
            </w:r>
            <w:r>
              <w:rPr>
                <w:noProof/>
                <w:webHidden/>
              </w:rPr>
              <w:fldChar w:fldCharType="begin"/>
            </w:r>
            <w:r>
              <w:rPr>
                <w:noProof/>
                <w:webHidden/>
              </w:rPr>
              <w:instrText xml:space="preserve"> PAGEREF _Toc220491725 \h </w:instrText>
            </w:r>
            <w:r>
              <w:rPr>
                <w:noProof/>
                <w:webHidden/>
              </w:rPr>
            </w:r>
            <w:r>
              <w:rPr>
                <w:noProof/>
                <w:webHidden/>
              </w:rPr>
              <w:fldChar w:fldCharType="separate"/>
            </w:r>
            <w:r>
              <w:rPr>
                <w:noProof/>
                <w:webHidden/>
              </w:rPr>
              <w:t>866</w:t>
            </w:r>
            <w:r>
              <w:rPr>
                <w:noProof/>
                <w:webHidden/>
              </w:rPr>
              <w:fldChar w:fldCharType="end"/>
            </w:r>
          </w:hyperlink>
        </w:p>
        <w:p w14:paraId="3819FDC0" w14:textId="6951E93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26" w:history="1">
            <w:r w:rsidRPr="001D4C20">
              <w:rPr>
                <w:rStyle w:val="Lienhypertexte"/>
                <w:noProof/>
              </w:rPr>
              <w:t>57.25.6a Remplissages en matériaux synthétiques CCTB 01.02</w:t>
            </w:r>
            <w:r>
              <w:rPr>
                <w:noProof/>
                <w:webHidden/>
              </w:rPr>
              <w:tab/>
            </w:r>
            <w:r>
              <w:rPr>
                <w:noProof/>
                <w:webHidden/>
              </w:rPr>
              <w:fldChar w:fldCharType="begin"/>
            </w:r>
            <w:r>
              <w:rPr>
                <w:noProof/>
                <w:webHidden/>
              </w:rPr>
              <w:instrText xml:space="preserve"> PAGEREF _Toc220491726 \h </w:instrText>
            </w:r>
            <w:r>
              <w:rPr>
                <w:noProof/>
                <w:webHidden/>
              </w:rPr>
            </w:r>
            <w:r>
              <w:rPr>
                <w:noProof/>
                <w:webHidden/>
              </w:rPr>
              <w:fldChar w:fldCharType="separate"/>
            </w:r>
            <w:r>
              <w:rPr>
                <w:noProof/>
                <w:webHidden/>
              </w:rPr>
              <w:t>866</w:t>
            </w:r>
            <w:r>
              <w:rPr>
                <w:noProof/>
                <w:webHidden/>
              </w:rPr>
              <w:fldChar w:fldCharType="end"/>
            </w:r>
          </w:hyperlink>
        </w:p>
        <w:p w14:paraId="582875C8" w14:textId="480A654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27" w:history="1">
            <w:r w:rsidRPr="001D4C20">
              <w:rPr>
                <w:rStyle w:val="Lienhypertexte"/>
                <w:noProof/>
              </w:rPr>
              <w:t>57.25.7 Remplissages en verre CCTB 01.02</w:t>
            </w:r>
            <w:r>
              <w:rPr>
                <w:noProof/>
                <w:webHidden/>
              </w:rPr>
              <w:tab/>
            </w:r>
            <w:r>
              <w:rPr>
                <w:noProof/>
                <w:webHidden/>
              </w:rPr>
              <w:fldChar w:fldCharType="begin"/>
            </w:r>
            <w:r>
              <w:rPr>
                <w:noProof/>
                <w:webHidden/>
              </w:rPr>
              <w:instrText xml:space="preserve"> PAGEREF _Toc220491727 \h </w:instrText>
            </w:r>
            <w:r>
              <w:rPr>
                <w:noProof/>
                <w:webHidden/>
              </w:rPr>
            </w:r>
            <w:r>
              <w:rPr>
                <w:noProof/>
                <w:webHidden/>
              </w:rPr>
              <w:fldChar w:fldCharType="separate"/>
            </w:r>
            <w:r>
              <w:rPr>
                <w:noProof/>
                <w:webHidden/>
              </w:rPr>
              <w:t>866</w:t>
            </w:r>
            <w:r>
              <w:rPr>
                <w:noProof/>
                <w:webHidden/>
              </w:rPr>
              <w:fldChar w:fldCharType="end"/>
            </w:r>
          </w:hyperlink>
        </w:p>
        <w:p w14:paraId="233B5AFD" w14:textId="6E16CCF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28" w:history="1">
            <w:r w:rsidRPr="001D4C20">
              <w:rPr>
                <w:rStyle w:val="Lienhypertexte"/>
                <w:noProof/>
              </w:rPr>
              <w:t>57.25.7a Remplissages en verre CCTB 01.13</w:t>
            </w:r>
            <w:r>
              <w:rPr>
                <w:noProof/>
                <w:webHidden/>
              </w:rPr>
              <w:tab/>
            </w:r>
            <w:r>
              <w:rPr>
                <w:noProof/>
                <w:webHidden/>
              </w:rPr>
              <w:fldChar w:fldCharType="begin"/>
            </w:r>
            <w:r>
              <w:rPr>
                <w:noProof/>
                <w:webHidden/>
              </w:rPr>
              <w:instrText xml:space="preserve"> PAGEREF _Toc220491728 \h </w:instrText>
            </w:r>
            <w:r>
              <w:rPr>
                <w:noProof/>
                <w:webHidden/>
              </w:rPr>
            </w:r>
            <w:r>
              <w:rPr>
                <w:noProof/>
                <w:webHidden/>
              </w:rPr>
              <w:fldChar w:fldCharType="separate"/>
            </w:r>
            <w:r>
              <w:rPr>
                <w:noProof/>
                <w:webHidden/>
              </w:rPr>
              <w:t>866</w:t>
            </w:r>
            <w:r>
              <w:rPr>
                <w:noProof/>
                <w:webHidden/>
              </w:rPr>
              <w:fldChar w:fldCharType="end"/>
            </w:r>
          </w:hyperlink>
        </w:p>
        <w:p w14:paraId="371E73E0" w14:textId="7224C3C9"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729" w:history="1">
            <w:r w:rsidRPr="001D4C20">
              <w:rPr>
                <w:rStyle w:val="Lienhypertexte"/>
                <w:noProof/>
              </w:rPr>
              <w:t>57.26 Main-courantes / Lisses CCTB 01.13</w:t>
            </w:r>
            <w:r>
              <w:rPr>
                <w:noProof/>
                <w:webHidden/>
              </w:rPr>
              <w:tab/>
            </w:r>
            <w:r>
              <w:rPr>
                <w:noProof/>
                <w:webHidden/>
              </w:rPr>
              <w:fldChar w:fldCharType="begin"/>
            </w:r>
            <w:r>
              <w:rPr>
                <w:noProof/>
                <w:webHidden/>
              </w:rPr>
              <w:instrText xml:space="preserve"> PAGEREF _Toc220491729 \h </w:instrText>
            </w:r>
            <w:r>
              <w:rPr>
                <w:noProof/>
                <w:webHidden/>
              </w:rPr>
            </w:r>
            <w:r>
              <w:rPr>
                <w:noProof/>
                <w:webHidden/>
              </w:rPr>
              <w:fldChar w:fldCharType="separate"/>
            </w:r>
            <w:r>
              <w:rPr>
                <w:noProof/>
                <w:webHidden/>
              </w:rPr>
              <w:t>870</w:t>
            </w:r>
            <w:r>
              <w:rPr>
                <w:noProof/>
                <w:webHidden/>
              </w:rPr>
              <w:fldChar w:fldCharType="end"/>
            </w:r>
          </w:hyperlink>
        </w:p>
        <w:p w14:paraId="26503BA8" w14:textId="1C50E6F2"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30" w:history="1">
            <w:r w:rsidRPr="001D4C20">
              <w:rPr>
                <w:rStyle w:val="Lienhypertexte"/>
                <w:noProof/>
              </w:rPr>
              <w:t>57.26.1 Main-courantes / Lisses en pierre CCTB 01.02</w:t>
            </w:r>
            <w:r>
              <w:rPr>
                <w:noProof/>
                <w:webHidden/>
              </w:rPr>
              <w:tab/>
            </w:r>
            <w:r>
              <w:rPr>
                <w:noProof/>
                <w:webHidden/>
              </w:rPr>
              <w:fldChar w:fldCharType="begin"/>
            </w:r>
            <w:r>
              <w:rPr>
                <w:noProof/>
                <w:webHidden/>
              </w:rPr>
              <w:instrText xml:space="preserve"> PAGEREF _Toc220491730 \h </w:instrText>
            </w:r>
            <w:r>
              <w:rPr>
                <w:noProof/>
                <w:webHidden/>
              </w:rPr>
            </w:r>
            <w:r>
              <w:rPr>
                <w:noProof/>
                <w:webHidden/>
              </w:rPr>
              <w:fldChar w:fldCharType="separate"/>
            </w:r>
            <w:r>
              <w:rPr>
                <w:noProof/>
                <w:webHidden/>
              </w:rPr>
              <w:t>871</w:t>
            </w:r>
            <w:r>
              <w:rPr>
                <w:noProof/>
                <w:webHidden/>
              </w:rPr>
              <w:fldChar w:fldCharType="end"/>
            </w:r>
          </w:hyperlink>
        </w:p>
        <w:p w14:paraId="6F0D695B" w14:textId="509736D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31" w:history="1">
            <w:r w:rsidRPr="001D4C20">
              <w:rPr>
                <w:rStyle w:val="Lienhypertexte"/>
                <w:noProof/>
              </w:rPr>
              <w:t>57.26.1a Main-courantes / Lisses en pierre CCTB 01.10</w:t>
            </w:r>
            <w:r>
              <w:rPr>
                <w:noProof/>
                <w:webHidden/>
              </w:rPr>
              <w:tab/>
            </w:r>
            <w:r>
              <w:rPr>
                <w:noProof/>
                <w:webHidden/>
              </w:rPr>
              <w:fldChar w:fldCharType="begin"/>
            </w:r>
            <w:r>
              <w:rPr>
                <w:noProof/>
                <w:webHidden/>
              </w:rPr>
              <w:instrText xml:space="preserve"> PAGEREF _Toc220491731 \h </w:instrText>
            </w:r>
            <w:r>
              <w:rPr>
                <w:noProof/>
                <w:webHidden/>
              </w:rPr>
            </w:r>
            <w:r>
              <w:rPr>
                <w:noProof/>
                <w:webHidden/>
              </w:rPr>
              <w:fldChar w:fldCharType="separate"/>
            </w:r>
            <w:r>
              <w:rPr>
                <w:noProof/>
                <w:webHidden/>
              </w:rPr>
              <w:t>871</w:t>
            </w:r>
            <w:r>
              <w:rPr>
                <w:noProof/>
                <w:webHidden/>
              </w:rPr>
              <w:fldChar w:fldCharType="end"/>
            </w:r>
          </w:hyperlink>
        </w:p>
        <w:p w14:paraId="708FB347" w14:textId="7131B35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32" w:history="1">
            <w:r w:rsidRPr="001D4C20">
              <w:rPr>
                <w:rStyle w:val="Lienhypertexte"/>
                <w:noProof/>
              </w:rPr>
              <w:t>57.26.2 Main-courantes / Lisses en béton armé CCTB 01.02</w:t>
            </w:r>
            <w:r>
              <w:rPr>
                <w:noProof/>
                <w:webHidden/>
              </w:rPr>
              <w:tab/>
            </w:r>
            <w:r>
              <w:rPr>
                <w:noProof/>
                <w:webHidden/>
              </w:rPr>
              <w:fldChar w:fldCharType="begin"/>
            </w:r>
            <w:r>
              <w:rPr>
                <w:noProof/>
                <w:webHidden/>
              </w:rPr>
              <w:instrText xml:space="preserve"> PAGEREF _Toc220491732 \h </w:instrText>
            </w:r>
            <w:r>
              <w:rPr>
                <w:noProof/>
                <w:webHidden/>
              </w:rPr>
            </w:r>
            <w:r>
              <w:rPr>
                <w:noProof/>
                <w:webHidden/>
              </w:rPr>
              <w:fldChar w:fldCharType="separate"/>
            </w:r>
            <w:r>
              <w:rPr>
                <w:noProof/>
                <w:webHidden/>
              </w:rPr>
              <w:t>872</w:t>
            </w:r>
            <w:r>
              <w:rPr>
                <w:noProof/>
                <w:webHidden/>
              </w:rPr>
              <w:fldChar w:fldCharType="end"/>
            </w:r>
          </w:hyperlink>
        </w:p>
        <w:p w14:paraId="53DDA84C" w14:textId="574759D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33" w:history="1">
            <w:r w:rsidRPr="001D4C20">
              <w:rPr>
                <w:rStyle w:val="Lienhypertexte"/>
                <w:noProof/>
              </w:rPr>
              <w:t>57.26.2a Main-courantes / Lisses en béton armé coulés sur place CCTB 01.10</w:t>
            </w:r>
            <w:r>
              <w:rPr>
                <w:noProof/>
                <w:webHidden/>
              </w:rPr>
              <w:tab/>
            </w:r>
            <w:r>
              <w:rPr>
                <w:noProof/>
                <w:webHidden/>
              </w:rPr>
              <w:fldChar w:fldCharType="begin"/>
            </w:r>
            <w:r>
              <w:rPr>
                <w:noProof/>
                <w:webHidden/>
              </w:rPr>
              <w:instrText xml:space="preserve"> PAGEREF _Toc220491733 \h </w:instrText>
            </w:r>
            <w:r>
              <w:rPr>
                <w:noProof/>
                <w:webHidden/>
              </w:rPr>
            </w:r>
            <w:r>
              <w:rPr>
                <w:noProof/>
                <w:webHidden/>
              </w:rPr>
              <w:fldChar w:fldCharType="separate"/>
            </w:r>
            <w:r>
              <w:rPr>
                <w:noProof/>
                <w:webHidden/>
              </w:rPr>
              <w:t>872</w:t>
            </w:r>
            <w:r>
              <w:rPr>
                <w:noProof/>
                <w:webHidden/>
              </w:rPr>
              <w:fldChar w:fldCharType="end"/>
            </w:r>
          </w:hyperlink>
        </w:p>
        <w:p w14:paraId="798E4F09" w14:textId="43A55C8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34" w:history="1">
            <w:r w:rsidRPr="001D4C20">
              <w:rPr>
                <w:rStyle w:val="Lienhypertexte"/>
                <w:noProof/>
              </w:rPr>
              <w:t>57.26.2b Main-courantes / Lisses préfabriquées en béton armé  CCTB 01.10</w:t>
            </w:r>
            <w:r>
              <w:rPr>
                <w:noProof/>
                <w:webHidden/>
              </w:rPr>
              <w:tab/>
            </w:r>
            <w:r>
              <w:rPr>
                <w:noProof/>
                <w:webHidden/>
              </w:rPr>
              <w:fldChar w:fldCharType="begin"/>
            </w:r>
            <w:r>
              <w:rPr>
                <w:noProof/>
                <w:webHidden/>
              </w:rPr>
              <w:instrText xml:space="preserve"> PAGEREF _Toc220491734 \h </w:instrText>
            </w:r>
            <w:r>
              <w:rPr>
                <w:noProof/>
                <w:webHidden/>
              </w:rPr>
            </w:r>
            <w:r>
              <w:rPr>
                <w:noProof/>
                <w:webHidden/>
              </w:rPr>
              <w:fldChar w:fldCharType="separate"/>
            </w:r>
            <w:r>
              <w:rPr>
                <w:noProof/>
                <w:webHidden/>
              </w:rPr>
              <w:t>873</w:t>
            </w:r>
            <w:r>
              <w:rPr>
                <w:noProof/>
                <w:webHidden/>
              </w:rPr>
              <w:fldChar w:fldCharType="end"/>
            </w:r>
          </w:hyperlink>
        </w:p>
        <w:p w14:paraId="637B0DE5" w14:textId="500FD731"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35" w:history="1">
            <w:r w:rsidRPr="001D4C20">
              <w:rPr>
                <w:rStyle w:val="Lienhypertexte"/>
                <w:noProof/>
              </w:rPr>
              <w:t>57.26.3 Main-courantes / Lisses en bois CCTB 01.02</w:t>
            </w:r>
            <w:r>
              <w:rPr>
                <w:noProof/>
                <w:webHidden/>
              </w:rPr>
              <w:tab/>
            </w:r>
            <w:r>
              <w:rPr>
                <w:noProof/>
                <w:webHidden/>
              </w:rPr>
              <w:fldChar w:fldCharType="begin"/>
            </w:r>
            <w:r>
              <w:rPr>
                <w:noProof/>
                <w:webHidden/>
              </w:rPr>
              <w:instrText xml:space="preserve"> PAGEREF _Toc220491735 \h </w:instrText>
            </w:r>
            <w:r>
              <w:rPr>
                <w:noProof/>
                <w:webHidden/>
              </w:rPr>
            </w:r>
            <w:r>
              <w:rPr>
                <w:noProof/>
                <w:webHidden/>
              </w:rPr>
              <w:fldChar w:fldCharType="separate"/>
            </w:r>
            <w:r>
              <w:rPr>
                <w:noProof/>
                <w:webHidden/>
              </w:rPr>
              <w:t>874</w:t>
            </w:r>
            <w:r>
              <w:rPr>
                <w:noProof/>
                <w:webHidden/>
              </w:rPr>
              <w:fldChar w:fldCharType="end"/>
            </w:r>
          </w:hyperlink>
        </w:p>
        <w:p w14:paraId="02D0ED53" w14:textId="69EE8A1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36" w:history="1">
            <w:r w:rsidRPr="001D4C20">
              <w:rPr>
                <w:rStyle w:val="Lienhypertexte"/>
                <w:noProof/>
              </w:rPr>
              <w:t>57.26.3a Main-courantes / Lisses en bois CCTB 01.11</w:t>
            </w:r>
            <w:r>
              <w:rPr>
                <w:noProof/>
                <w:webHidden/>
              </w:rPr>
              <w:tab/>
            </w:r>
            <w:r>
              <w:rPr>
                <w:noProof/>
                <w:webHidden/>
              </w:rPr>
              <w:fldChar w:fldCharType="begin"/>
            </w:r>
            <w:r>
              <w:rPr>
                <w:noProof/>
                <w:webHidden/>
              </w:rPr>
              <w:instrText xml:space="preserve"> PAGEREF _Toc220491736 \h </w:instrText>
            </w:r>
            <w:r>
              <w:rPr>
                <w:noProof/>
                <w:webHidden/>
              </w:rPr>
            </w:r>
            <w:r>
              <w:rPr>
                <w:noProof/>
                <w:webHidden/>
              </w:rPr>
              <w:fldChar w:fldCharType="separate"/>
            </w:r>
            <w:r>
              <w:rPr>
                <w:noProof/>
                <w:webHidden/>
              </w:rPr>
              <w:t>874</w:t>
            </w:r>
            <w:r>
              <w:rPr>
                <w:noProof/>
                <w:webHidden/>
              </w:rPr>
              <w:fldChar w:fldCharType="end"/>
            </w:r>
          </w:hyperlink>
        </w:p>
        <w:p w14:paraId="242D488B" w14:textId="2951EF1A"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37" w:history="1">
            <w:r w:rsidRPr="001D4C20">
              <w:rPr>
                <w:rStyle w:val="Lienhypertexte"/>
                <w:noProof/>
              </w:rPr>
              <w:t>57.26.4 Main-courantes / Lisses métalliques CCTB 01.02</w:t>
            </w:r>
            <w:r>
              <w:rPr>
                <w:noProof/>
                <w:webHidden/>
              </w:rPr>
              <w:tab/>
            </w:r>
            <w:r>
              <w:rPr>
                <w:noProof/>
                <w:webHidden/>
              </w:rPr>
              <w:fldChar w:fldCharType="begin"/>
            </w:r>
            <w:r>
              <w:rPr>
                <w:noProof/>
                <w:webHidden/>
              </w:rPr>
              <w:instrText xml:space="preserve"> PAGEREF _Toc220491737 \h </w:instrText>
            </w:r>
            <w:r>
              <w:rPr>
                <w:noProof/>
                <w:webHidden/>
              </w:rPr>
            </w:r>
            <w:r>
              <w:rPr>
                <w:noProof/>
                <w:webHidden/>
              </w:rPr>
              <w:fldChar w:fldCharType="separate"/>
            </w:r>
            <w:r>
              <w:rPr>
                <w:noProof/>
                <w:webHidden/>
              </w:rPr>
              <w:t>876</w:t>
            </w:r>
            <w:r>
              <w:rPr>
                <w:noProof/>
                <w:webHidden/>
              </w:rPr>
              <w:fldChar w:fldCharType="end"/>
            </w:r>
          </w:hyperlink>
        </w:p>
        <w:p w14:paraId="7844C999" w14:textId="27BA00F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38" w:history="1">
            <w:r w:rsidRPr="001D4C20">
              <w:rPr>
                <w:rStyle w:val="Lienhypertexte"/>
                <w:noProof/>
              </w:rPr>
              <w:t>57.26.4a Main-courantes / Lisses métalliques - en acier CCTB 01.10</w:t>
            </w:r>
            <w:r>
              <w:rPr>
                <w:noProof/>
                <w:webHidden/>
              </w:rPr>
              <w:tab/>
            </w:r>
            <w:r>
              <w:rPr>
                <w:noProof/>
                <w:webHidden/>
              </w:rPr>
              <w:fldChar w:fldCharType="begin"/>
            </w:r>
            <w:r>
              <w:rPr>
                <w:noProof/>
                <w:webHidden/>
              </w:rPr>
              <w:instrText xml:space="preserve"> PAGEREF _Toc220491738 \h </w:instrText>
            </w:r>
            <w:r>
              <w:rPr>
                <w:noProof/>
                <w:webHidden/>
              </w:rPr>
            </w:r>
            <w:r>
              <w:rPr>
                <w:noProof/>
                <w:webHidden/>
              </w:rPr>
              <w:fldChar w:fldCharType="separate"/>
            </w:r>
            <w:r>
              <w:rPr>
                <w:noProof/>
                <w:webHidden/>
              </w:rPr>
              <w:t>876</w:t>
            </w:r>
            <w:r>
              <w:rPr>
                <w:noProof/>
                <w:webHidden/>
              </w:rPr>
              <w:fldChar w:fldCharType="end"/>
            </w:r>
          </w:hyperlink>
        </w:p>
        <w:p w14:paraId="01F6DFE8" w14:textId="598A4C4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39" w:history="1">
            <w:r w:rsidRPr="001D4C20">
              <w:rPr>
                <w:rStyle w:val="Lienhypertexte"/>
                <w:noProof/>
              </w:rPr>
              <w:t>57.26.4b Main-courantes / Lisses métalliques - en acier inoxydable CCTB 01.10</w:t>
            </w:r>
            <w:r>
              <w:rPr>
                <w:noProof/>
                <w:webHidden/>
              </w:rPr>
              <w:tab/>
            </w:r>
            <w:r>
              <w:rPr>
                <w:noProof/>
                <w:webHidden/>
              </w:rPr>
              <w:fldChar w:fldCharType="begin"/>
            </w:r>
            <w:r>
              <w:rPr>
                <w:noProof/>
                <w:webHidden/>
              </w:rPr>
              <w:instrText xml:space="preserve"> PAGEREF _Toc220491739 \h </w:instrText>
            </w:r>
            <w:r>
              <w:rPr>
                <w:noProof/>
                <w:webHidden/>
              </w:rPr>
            </w:r>
            <w:r>
              <w:rPr>
                <w:noProof/>
                <w:webHidden/>
              </w:rPr>
              <w:fldChar w:fldCharType="separate"/>
            </w:r>
            <w:r>
              <w:rPr>
                <w:noProof/>
                <w:webHidden/>
              </w:rPr>
              <w:t>877</w:t>
            </w:r>
            <w:r>
              <w:rPr>
                <w:noProof/>
                <w:webHidden/>
              </w:rPr>
              <w:fldChar w:fldCharType="end"/>
            </w:r>
          </w:hyperlink>
        </w:p>
        <w:p w14:paraId="76F87B5A" w14:textId="282A5CC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40" w:history="1">
            <w:r w:rsidRPr="001D4C20">
              <w:rPr>
                <w:rStyle w:val="Lienhypertexte"/>
                <w:noProof/>
              </w:rPr>
              <w:t>57.26.4c Main-courantes / Lisses métalliques - en aluminium CCTB 01.10</w:t>
            </w:r>
            <w:r>
              <w:rPr>
                <w:noProof/>
                <w:webHidden/>
              </w:rPr>
              <w:tab/>
            </w:r>
            <w:r>
              <w:rPr>
                <w:noProof/>
                <w:webHidden/>
              </w:rPr>
              <w:fldChar w:fldCharType="begin"/>
            </w:r>
            <w:r>
              <w:rPr>
                <w:noProof/>
                <w:webHidden/>
              </w:rPr>
              <w:instrText xml:space="preserve"> PAGEREF _Toc220491740 \h </w:instrText>
            </w:r>
            <w:r>
              <w:rPr>
                <w:noProof/>
                <w:webHidden/>
              </w:rPr>
            </w:r>
            <w:r>
              <w:rPr>
                <w:noProof/>
                <w:webHidden/>
              </w:rPr>
              <w:fldChar w:fldCharType="separate"/>
            </w:r>
            <w:r>
              <w:rPr>
                <w:noProof/>
                <w:webHidden/>
              </w:rPr>
              <w:t>878</w:t>
            </w:r>
            <w:r>
              <w:rPr>
                <w:noProof/>
                <w:webHidden/>
              </w:rPr>
              <w:fldChar w:fldCharType="end"/>
            </w:r>
          </w:hyperlink>
        </w:p>
        <w:p w14:paraId="35A1351E" w14:textId="270B1BC5"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41" w:history="1">
            <w:r w:rsidRPr="001D4C20">
              <w:rPr>
                <w:rStyle w:val="Lienhypertexte"/>
                <w:noProof/>
              </w:rPr>
              <w:t>57.26.5 Main-courante / Lisse en matériaux synthétiques CCTB 01.02</w:t>
            </w:r>
            <w:r>
              <w:rPr>
                <w:noProof/>
                <w:webHidden/>
              </w:rPr>
              <w:tab/>
            </w:r>
            <w:r>
              <w:rPr>
                <w:noProof/>
                <w:webHidden/>
              </w:rPr>
              <w:fldChar w:fldCharType="begin"/>
            </w:r>
            <w:r>
              <w:rPr>
                <w:noProof/>
                <w:webHidden/>
              </w:rPr>
              <w:instrText xml:space="preserve"> PAGEREF _Toc220491741 \h </w:instrText>
            </w:r>
            <w:r>
              <w:rPr>
                <w:noProof/>
                <w:webHidden/>
              </w:rPr>
            </w:r>
            <w:r>
              <w:rPr>
                <w:noProof/>
                <w:webHidden/>
              </w:rPr>
              <w:fldChar w:fldCharType="separate"/>
            </w:r>
            <w:r>
              <w:rPr>
                <w:noProof/>
                <w:webHidden/>
              </w:rPr>
              <w:t>879</w:t>
            </w:r>
            <w:r>
              <w:rPr>
                <w:noProof/>
                <w:webHidden/>
              </w:rPr>
              <w:fldChar w:fldCharType="end"/>
            </w:r>
          </w:hyperlink>
        </w:p>
        <w:p w14:paraId="047F8F67" w14:textId="40EC385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42" w:history="1">
            <w:r w:rsidRPr="001D4C20">
              <w:rPr>
                <w:rStyle w:val="Lienhypertexte"/>
                <w:noProof/>
              </w:rPr>
              <w:t>57.26.5a Main-courante / Lisse en matériaux synthétiques CCTB 01.10</w:t>
            </w:r>
            <w:r>
              <w:rPr>
                <w:noProof/>
                <w:webHidden/>
              </w:rPr>
              <w:tab/>
            </w:r>
            <w:r>
              <w:rPr>
                <w:noProof/>
                <w:webHidden/>
              </w:rPr>
              <w:fldChar w:fldCharType="begin"/>
            </w:r>
            <w:r>
              <w:rPr>
                <w:noProof/>
                <w:webHidden/>
              </w:rPr>
              <w:instrText xml:space="preserve"> PAGEREF _Toc220491742 \h </w:instrText>
            </w:r>
            <w:r>
              <w:rPr>
                <w:noProof/>
                <w:webHidden/>
              </w:rPr>
            </w:r>
            <w:r>
              <w:rPr>
                <w:noProof/>
                <w:webHidden/>
              </w:rPr>
              <w:fldChar w:fldCharType="separate"/>
            </w:r>
            <w:r>
              <w:rPr>
                <w:noProof/>
                <w:webHidden/>
              </w:rPr>
              <w:t>879</w:t>
            </w:r>
            <w:r>
              <w:rPr>
                <w:noProof/>
                <w:webHidden/>
              </w:rPr>
              <w:fldChar w:fldCharType="end"/>
            </w:r>
          </w:hyperlink>
        </w:p>
        <w:p w14:paraId="2CAD0B2E" w14:textId="0534F934"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43" w:history="1">
            <w:r w:rsidRPr="001D4C20">
              <w:rPr>
                <w:rStyle w:val="Lienhypertexte"/>
                <w:noProof/>
              </w:rPr>
              <w:t>57.26.6 Main-courante / Lisse en verre CCTB 01.02</w:t>
            </w:r>
            <w:r>
              <w:rPr>
                <w:noProof/>
                <w:webHidden/>
              </w:rPr>
              <w:tab/>
            </w:r>
            <w:r>
              <w:rPr>
                <w:noProof/>
                <w:webHidden/>
              </w:rPr>
              <w:fldChar w:fldCharType="begin"/>
            </w:r>
            <w:r>
              <w:rPr>
                <w:noProof/>
                <w:webHidden/>
              </w:rPr>
              <w:instrText xml:space="preserve"> PAGEREF _Toc220491743 \h </w:instrText>
            </w:r>
            <w:r>
              <w:rPr>
                <w:noProof/>
                <w:webHidden/>
              </w:rPr>
            </w:r>
            <w:r>
              <w:rPr>
                <w:noProof/>
                <w:webHidden/>
              </w:rPr>
              <w:fldChar w:fldCharType="separate"/>
            </w:r>
            <w:r>
              <w:rPr>
                <w:noProof/>
                <w:webHidden/>
              </w:rPr>
              <w:t>880</w:t>
            </w:r>
            <w:r>
              <w:rPr>
                <w:noProof/>
                <w:webHidden/>
              </w:rPr>
              <w:fldChar w:fldCharType="end"/>
            </w:r>
          </w:hyperlink>
        </w:p>
        <w:p w14:paraId="0592B65C" w14:textId="72DE8F2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44" w:history="1">
            <w:r w:rsidRPr="001D4C20">
              <w:rPr>
                <w:rStyle w:val="Lienhypertexte"/>
                <w:noProof/>
              </w:rPr>
              <w:t>57.26.6a Main-courante / Lisse en verre CCTB 01.10</w:t>
            </w:r>
            <w:r>
              <w:rPr>
                <w:noProof/>
                <w:webHidden/>
              </w:rPr>
              <w:tab/>
            </w:r>
            <w:r>
              <w:rPr>
                <w:noProof/>
                <w:webHidden/>
              </w:rPr>
              <w:fldChar w:fldCharType="begin"/>
            </w:r>
            <w:r>
              <w:rPr>
                <w:noProof/>
                <w:webHidden/>
              </w:rPr>
              <w:instrText xml:space="preserve"> PAGEREF _Toc220491744 \h </w:instrText>
            </w:r>
            <w:r>
              <w:rPr>
                <w:noProof/>
                <w:webHidden/>
              </w:rPr>
            </w:r>
            <w:r>
              <w:rPr>
                <w:noProof/>
                <w:webHidden/>
              </w:rPr>
              <w:fldChar w:fldCharType="separate"/>
            </w:r>
            <w:r>
              <w:rPr>
                <w:noProof/>
                <w:webHidden/>
              </w:rPr>
              <w:t>880</w:t>
            </w:r>
            <w:r>
              <w:rPr>
                <w:noProof/>
                <w:webHidden/>
              </w:rPr>
              <w:fldChar w:fldCharType="end"/>
            </w:r>
          </w:hyperlink>
        </w:p>
        <w:p w14:paraId="686AA84F" w14:textId="67AF19D1"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745" w:history="1">
            <w:r w:rsidRPr="001D4C20">
              <w:rPr>
                <w:rStyle w:val="Lienhypertexte"/>
                <w:noProof/>
              </w:rPr>
              <w:t>57.27 Eléments particuliers pour escalier CCTB 01.02</w:t>
            </w:r>
            <w:r>
              <w:rPr>
                <w:noProof/>
                <w:webHidden/>
              </w:rPr>
              <w:tab/>
            </w:r>
            <w:r>
              <w:rPr>
                <w:noProof/>
                <w:webHidden/>
              </w:rPr>
              <w:fldChar w:fldCharType="begin"/>
            </w:r>
            <w:r>
              <w:rPr>
                <w:noProof/>
                <w:webHidden/>
              </w:rPr>
              <w:instrText xml:space="preserve"> PAGEREF _Toc220491745 \h </w:instrText>
            </w:r>
            <w:r>
              <w:rPr>
                <w:noProof/>
                <w:webHidden/>
              </w:rPr>
            </w:r>
            <w:r>
              <w:rPr>
                <w:noProof/>
                <w:webHidden/>
              </w:rPr>
              <w:fldChar w:fldCharType="separate"/>
            </w:r>
            <w:r>
              <w:rPr>
                <w:noProof/>
                <w:webHidden/>
              </w:rPr>
              <w:t>881</w:t>
            </w:r>
            <w:r>
              <w:rPr>
                <w:noProof/>
                <w:webHidden/>
              </w:rPr>
              <w:fldChar w:fldCharType="end"/>
            </w:r>
          </w:hyperlink>
        </w:p>
        <w:p w14:paraId="5EC7C413" w14:textId="61EB5E4F"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46" w:history="1">
            <w:r w:rsidRPr="001D4C20">
              <w:rPr>
                <w:rStyle w:val="Lienhypertexte"/>
                <w:noProof/>
              </w:rPr>
              <w:t>57.27.1 Eléments de suspension pour escaliers sans limon CCTB 01.02</w:t>
            </w:r>
            <w:r>
              <w:rPr>
                <w:noProof/>
                <w:webHidden/>
              </w:rPr>
              <w:tab/>
            </w:r>
            <w:r>
              <w:rPr>
                <w:noProof/>
                <w:webHidden/>
              </w:rPr>
              <w:fldChar w:fldCharType="begin"/>
            </w:r>
            <w:r>
              <w:rPr>
                <w:noProof/>
                <w:webHidden/>
              </w:rPr>
              <w:instrText xml:space="preserve"> PAGEREF _Toc220491746 \h </w:instrText>
            </w:r>
            <w:r>
              <w:rPr>
                <w:noProof/>
                <w:webHidden/>
              </w:rPr>
            </w:r>
            <w:r>
              <w:rPr>
                <w:noProof/>
                <w:webHidden/>
              </w:rPr>
              <w:fldChar w:fldCharType="separate"/>
            </w:r>
            <w:r>
              <w:rPr>
                <w:noProof/>
                <w:webHidden/>
              </w:rPr>
              <w:t>881</w:t>
            </w:r>
            <w:r>
              <w:rPr>
                <w:noProof/>
                <w:webHidden/>
              </w:rPr>
              <w:fldChar w:fldCharType="end"/>
            </w:r>
          </w:hyperlink>
        </w:p>
        <w:p w14:paraId="30BA03E4" w14:textId="65581EB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47" w:history="1">
            <w:r w:rsidRPr="001D4C20">
              <w:rPr>
                <w:rStyle w:val="Lienhypertexte"/>
                <w:noProof/>
              </w:rPr>
              <w:t>57.27.1a Eléments de suspension pour escaliers sans limon - métalliques CCTB 01.02</w:t>
            </w:r>
            <w:r>
              <w:rPr>
                <w:noProof/>
                <w:webHidden/>
              </w:rPr>
              <w:tab/>
            </w:r>
            <w:r>
              <w:rPr>
                <w:noProof/>
                <w:webHidden/>
              </w:rPr>
              <w:fldChar w:fldCharType="begin"/>
            </w:r>
            <w:r>
              <w:rPr>
                <w:noProof/>
                <w:webHidden/>
              </w:rPr>
              <w:instrText xml:space="preserve"> PAGEREF _Toc220491747 \h </w:instrText>
            </w:r>
            <w:r>
              <w:rPr>
                <w:noProof/>
                <w:webHidden/>
              </w:rPr>
            </w:r>
            <w:r>
              <w:rPr>
                <w:noProof/>
                <w:webHidden/>
              </w:rPr>
              <w:fldChar w:fldCharType="separate"/>
            </w:r>
            <w:r>
              <w:rPr>
                <w:noProof/>
                <w:webHidden/>
              </w:rPr>
              <w:t>881</w:t>
            </w:r>
            <w:r>
              <w:rPr>
                <w:noProof/>
                <w:webHidden/>
              </w:rPr>
              <w:fldChar w:fldCharType="end"/>
            </w:r>
          </w:hyperlink>
        </w:p>
        <w:p w14:paraId="6B340663" w14:textId="6E360AE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48" w:history="1">
            <w:r w:rsidRPr="001D4C20">
              <w:rPr>
                <w:rStyle w:val="Lienhypertexte"/>
                <w:noProof/>
              </w:rPr>
              <w:t>57.27.1b Eléments de suspension pour escaliers sans limon - en bois CCTB 01.02</w:t>
            </w:r>
            <w:r>
              <w:rPr>
                <w:noProof/>
                <w:webHidden/>
              </w:rPr>
              <w:tab/>
            </w:r>
            <w:r>
              <w:rPr>
                <w:noProof/>
                <w:webHidden/>
              </w:rPr>
              <w:fldChar w:fldCharType="begin"/>
            </w:r>
            <w:r>
              <w:rPr>
                <w:noProof/>
                <w:webHidden/>
              </w:rPr>
              <w:instrText xml:space="preserve"> PAGEREF _Toc220491748 \h </w:instrText>
            </w:r>
            <w:r>
              <w:rPr>
                <w:noProof/>
                <w:webHidden/>
              </w:rPr>
            </w:r>
            <w:r>
              <w:rPr>
                <w:noProof/>
                <w:webHidden/>
              </w:rPr>
              <w:fldChar w:fldCharType="separate"/>
            </w:r>
            <w:r>
              <w:rPr>
                <w:noProof/>
                <w:webHidden/>
              </w:rPr>
              <w:t>881</w:t>
            </w:r>
            <w:r>
              <w:rPr>
                <w:noProof/>
                <w:webHidden/>
              </w:rPr>
              <w:fldChar w:fldCharType="end"/>
            </w:r>
          </w:hyperlink>
        </w:p>
        <w:p w14:paraId="45E5E585" w14:textId="443921F5"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49" w:history="1">
            <w:r w:rsidRPr="001D4C20">
              <w:rPr>
                <w:rStyle w:val="Lienhypertexte"/>
                <w:noProof/>
              </w:rPr>
              <w:t>57.27.2 Parachèvement de la sous-face des escaliers CCTB 01.07</w:t>
            </w:r>
            <w:r>
              <w:rPr>
                <w:noProof/>
                <w:webHidden/>
              </w:rPr>
              <w:tab/>
            </w:r>
            <w:r>
              <w:rPr>
                <w:noProof/>
                <w:webHidden/>
              </w:rPr>
              <w:fldChar w:fldCharType="begin"/>
            </w:r>
            <w:r>
              <w:rPr>
                <w:noProof/>
                <w:webHidden/>
              </w:rPr>
              <w:instrText xml:space="preserve"> PAGEREF _Toc220491749 \h </w:instrText>
            </w:r>
            <w:r>
              <w:rPr>
                <w:noProof/>
                <w:webHidden/>
              </w:rPr>
            </w:r>
            <w:r>
              <w:rPr>
                <w:noProof/>
                <w:webHidden/>
              </w:rPr>
              <w:fldChar w:fldCharType="separate"/>
            </w:r>
            <w:r>
              <w:rPr>
                <w:noProof/>
                <w:webHidden/>
              </w:rPr>
              <w:t>881</w:t>
            </w:r>
            <w:r>
              <w:rPr>
                <w:noProof/>
                <w:webHidden/>
              </w:rPr>
              <w:fldChar w:fldCharType="end"/>
            </w:r>
          </w:hyperlink>
        </w:p>
        <w:p w14:paraId="1FA30C57" w14:textId="33B5556D"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50" w:history="1">
            <w:r w:rsidRPr="001D4C20">
              <w:rPr>
                <w:rStyle w:val="Lienhypertexte"/>
                <w:noProof/>
              </w:rPr>
              <w:t>57.27.3 Nez de marche antidérapantes CCTB 01.10</w:t>
            </w:r>
            <w:r>
              <w:rPr>
                <w:noProof/>
                <w:webHidden/>
              </w:rPr>
              <w:tab/>
            </w:r>
            <w:r>
              <w:rPr>
                <w:noProof/>
                <w:webHidden/>
              </w:rPr>
              <w:fldChar w:fldCharType="begin"/>
            </w:r>
            <w:r>
              <w:rPr>
                <w:noProof/>
                <w:webHidden/>
              </w:rPr>
              <w:instrText xml:space="preserve"> PAGEREF _Toc220491750 \h </w:instrText>
            </w:r>
            <w:r>
              <w:rPr>
                <w:noProof/>
                <w:webHidden/>
              </w:rPr>
            </w:r>
            <w:r>
              <w:rPr>
                <w:noProof/>
                <w:webHidden/>
              </w:rPr>
              <w:fldChar w:fldCharType="separate"/>
            </w:r>
            <w:r>
              <w:rPr>
                <w:noProof/>
                <w:webHidden/>
              </w:rPr>
              <w:t>881</w:t>
            </w:r>
            <w:r>
              <w:rPr>
                <w:noProof/>
                <w:webHidden/>
              </w:rPr>
              <w:fldChar w:fldCharType="end"/>
            </w:r>
          </w:hyperlink>
        </w:p>
        <w:p w14:paraId="4D1D2418" w14:textId="2EEEFD8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51" w:history="1">
            <w:r w:rsidRPr="001D4C20">
              <w:rPr>
                <w:rStyle w:val="Lienhypertexte"/>
                <w:noProof/>
              </w:rPr>
              <w:t>57.27.3a Nez de marche antidérapantes en acier CCTB 01.02</w:t>
            </w:r>
            <w:r>
              <w:rPr>
                <w:noProof/>
                <w:webHidden/>
              </w:rPr>
              <w:tab/>
            </w:r>
            <w:r>
              <w:rPr>
                <w:noProof/>
                <w:webHidden/>
              </w:rPr>
              <w:fldChar w:fldCharType="begin"/>
            </w:r>
            <w:r>
              <w:rPr>
                <w:noProof/>
                <w:webHidden/>
              </w:rPr>
              <w:instrText xml:space="preserve"> PAGEREF _Toc220491751 \h </w:instrText>
            </w:r>
            <w:r>
              <w:rPr>
                <w:noProof/>
                <w:webHidden/>
              </w:rPr>
            </w:r>
            <w:r>
              <w:rPr>
                <w:noProof/>
                <w:webHidden/>
              </w:rPr>
              <w:fldChar w:fldCharType="separate"/>
            </w:r>
            <w:r>
              <w:rPr>
                <w:noProof/>
                <w:webHidden/>
              </w:rPr>
              <w:t>881</w:t>
            </w:r>
            <w:r>
              <w:rPr>
                <w:noProof/>
                <w:webHidden/>
              </w:rPr>
              <w:fldChar w:fldCharType="end"/>
            </w:r>
          </w:hyperlink>
        </w:p>
        <w:p w14:paraId="71FE994A" w14:textId="16DF11D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52" w:history="1">
            <w:r w:rsidRPr="001D4C20">
              <w:rPr>
                <w:rStyle w:val="Lienhypertexte"/>
                <w:noProof/>
              </w:rPr>
              <w:t>57.27.3b Nez de marche antidérapantes en acier inoxydable CCTB 01.02</w:t>
            </w:r>
            <w:r>
              <w:rPr>
                <w:noProof/>
                <w:webHidden/>
              </w:rPr>
              <w:tab/>
            </w:r>
            <w:r>
              <w:rPr>
                <w:noProof/>
                <w:webHidden/>
              </w:rPr>
              <w:fldChar w:fldCharType="begin"/>
            </w:r>
            <w:r>
              <w:rPr>
                <w:noProof/>
                <w:webHidden/>
              </w:rPr>
              <w:instrText xml:space="preserve"> PAGEREF _Toc220491752 \h </w:instrText>
            </w:r>
            <w:r>
              <w:rPr>
                <w:noProof/>
                <w:webHidden/>
              </w:rPr>
            </w:r>
            <w:r>
              <w:rPr>
                <w:noProof/>
                <w:webHidden/>
              </w:rPr>
              <w:fldChar w:fldCharType="separate"/>
            </w:r>
            <w:r>
              <w:rPr>
                <w:noProof/>
                <w:webHidden/>
              </w:rPr>
              <w:t>881</w:t>
            </w:r>
            <w:r>
              <w:rPr>
                <w:noProof/>
                <w:webHidden/>
              </w:rPr>
              <w:fldChar w:fldCharType="end"/>
            </w:r>
          </w:hyperlink>
        </w:p>
        <w:p w14:paraId="4F4B8D4A" w14:textId="1EA84C6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53" w:history="1">
            <w:r w:rsidRPr="001D4C20">
              <w:rPr>
                <w:rStyle w:val="Lienhypertexte"/>
                <w:noProof/>
              </w:rPr>
              <w:t>57.27.3c Nez de marche antidérapantes en aluminium CCTB 01.02</w:t>
            </w:r>
            <w:r>
              <w:rPr>
                <w:noProof/>
                <w:webHidden/>
              </w:rPr>
              <w:tab/>
            </w:r>
            <w:r>
              <w:rPr>
                <w:noProof/>
                <w:webHidden/>
              </w:rPr>
              <w:fldChar w:fldCharType="begin"/>
            </w:r>
            <w:r>
              <w:rPr>
                <w:noProof/>
                <w:webHidden/>
              </w:rPr>
              <w:instrText xml:space="preserve"> PAGEREF _Toc220491753 \h </w:instrText>
            </w:r>
            <w:r>
              <w:rPr>
                <w:noProof/>
                <w:webHidden/>
              </w:rPr>
            </w:r>
            <w:r>
              <w:rPr>
                <w:noProof/>
                <w:webHidden/>
              </w:rPr>
              <w:fldChar w:fldCharType="separate"/>
            </w:r>
            <w:r>
              <w:rPr>
                <w:noProof/>
                <w:webHidden/>
              </w:rPr>
              <w:t>881</w:t>
            </w:r>
            <w:r>
              <w:rPr>
                <w:noProof/>
                <w:webHidden/>
              </w:rPr>
              <w:fldChar w:fldCharType="end"/>
            </w:r>
          </w:hyperlink>
        </w:p>
        <w:p w14:paraId="20782ED2" w14:textId="55CAF5F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54" w:history="1">
            <w:r w:rsidRPr="001D4C20">
              <w:rPr>
                <w:rStyle w:val="Lienhypertexte"/>
                <w:noProof/>
              </w:rPr>
              <w:t>57.27.3d Nez de marche antidérapantes en céramique CCTB 01.02</w:t>
            </w:r>
            <w:r>
              <w:rPr>
                <w:noProof/>
                <w:webHidden/>
              </w:rPr>
              <w:tab/>
            </w:r>
            <w:r>
              <w:rPr>
                <w:noProof/>
                <w:webHidden/>
              </w:rPr>
              <w:fldChar w:fldCharType="begin"/>
            </w:r>
            <w:r>
              <w:rPr>
                <w:noProof/>
                <w:webHidden/>
              </w:rPr>
              <w:instrText xml:space="preserve"> PAGEREF _Toc220491754 \h </w:instrText>
            </w:r>
            <w:r>
              <w:rPr>
                <w:noProof/>
                <w:webHidden/>
              </w:rPr>
            </w:r>
            <w:r>
              <w:rPr>
                <w:noProof/>
                <w:webHidden/>
              </w:rPr>
              <w:fldChar w:fldCharType="separate"/>
            </w:r>
            <w:r>
              <w:rPr>
                <w:noProof/>
                <w:webHidden/>
              </w:rPr>
              <w:t>881</w:t>
            </w:r>
            <w:r>
              <w:rPr>
                <w:noProof/>
                <w:webHidden/>
              </w:rPr>
              <w:fldChar w:fldCharType="end"/>
            </w:r>
          </w:hyperlink>
        </w:p>
        <w:p w14:paraId="3DA8E716" w14:textId="7867EE6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55" w:history="1">
            <w:r w:rsidRPr="001D4C20">
              <w:rPr>
                <w:rStyle w:val="Lienhypertexte"/>
                <w:noProof/>
              </w:rPr>
              <w:t>57.27.3e Nez de marche antidérapantes en matériaux synthétiques CCTB 01.12</w:t>
            </w:r>
            <w:r>
              <w:rPr>
                <w:noProof/>
                <w:webHidden/>
              </w:rPr>
              <w:tab/>
            </w:r>
            <w:r>
              <w:rPr>
                <w:noProof/>
                <w:webHidden/>
              </w:rPr>
              <w:fldChar w:fldCharType="begin"/>
            </w:r>
            <w:r>
              <w:rPr>
                <w:noProof/>
                <w:webHidden/>
              </w:rPr>
              <w:instrText xml:space="preserve"> PAGEREF _Toc220491755 \h </w:instrText>
            </w:r>
            <w:r>
              <w:rPr>
                <w:noProof/>
                <w:webHidden/>
              </w:rPr>
            </w:r>
            <w:r>
              <w:rPr>
                <w:noProof/>
                <w:webHidden/>
              </w:rPr>
              <w:fldChar w:fldCharType="separate"/>
            </w:r>
            <w:r>
              <w:rPr>
                <w:noProof/>
                <w:webHidden/>
              </w:rPr>
              <w:t>882</w:t>
            </w:r>
            <w:r>
              <w:rPr>
                <w:noProof/>
                <w:webHidden/>
              </w:rPr>
              <w:fldChar w:fldCharType="end"/>
            </w:r>
          </w:hyperlink>
        </w:p>
        <w:p w14:paraId="13B604B2" w14:textId="24A4B5F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56" w:history="1">
            <w:r w:rsidRPr="001D4C20">
              <w:rPr>
                <w:rStyle w:val="Lienhypertexte"/>
                <w:noProof/>
              </w:rPr>
              <w:t>57.27.3f Nez de marche antidérapantes en matériaux souples  CCTB 01.02</w:t>
            </w:r>
            <w:r>
              <w:rPr>
                <w:noProof/>
                <w:webHidden/>
              </w:rPr>
              <w:tab/>
            </w:r>
            <w:r>
              <w:rPr>
                <w:noProof/>
                <w:webHidden/>
              </w:rPr>
              <w:fldChar w:fldCharType="begin"/>
            </w:r>
            <w:r>
              <w:rPr>
                <w:noProof/>
                <w:webHidden/>
              </w:rPr>
              <w:instrText xml:space="preserve"> PAGEREF _Toc220491756 \h </w:instrText>
            </w:r>
            <w:r>
              <w:rPr>
                <w:noProof/>
                <w:webHidden/>
              </w:rPr>
            </w:r>
            <w:r>
              <w:rPr>
                <w:noProof/>
                <w:webHidden/>
              </w:rPr>
              <w:fldChar w:fldCharType="separate"/>
            </w:r>
            <w:r>
              <w:rPr>
                <w:noProof/>
                <w:webHidden/>
              </w:rPr>
              <w:t>883</w:t>
            </w:r>
            <w:r>
              <w:rPr>
                <w:noProof/>
                <w:webHidden/>
              </w:rPr>
              <w:fldChar w:fldCharType="end"/>
            </w:r>
          </w:hyperlink>
        </w:p>
        <w:p w14:paraId="48DEE200" w14:textId="33D75A8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57" w:history="1">
            <w:r w:rsidRPr="001D4C20">
              <w:rPr>
                <w:rStyle w:val="Lienhypertexte"/>
                <w:noProof/>
              </w:rPr>
              <w:t>57.27.4 Eclairage (LED) intégré à la marche CCTB 01.02</w:t>
            </w:r>
            <w:r>
              <w:rPr>
                <w:noProof/>
                <w:webHidden/>
              </w:rPr>
              <w:tab/>
            </w:r>
            <w:r>
              <w:rPr>
                <w:noProof/>
                <w:webHidden/>
              </w:rPr>
              <w:fldChar w:fldCharType="begin"/>
            </w:r>
            <w:r>
              <w:rPr>
                <w:noProof/>
                <w:webHidden/>
              </w:rPr>
              <w:instrText xml:space="preserve"> PAGEREF _Toc220491757 \h </w:instrText>
            </w:r>
            <w:r>
              <w:rPr>
                <w:noProof/>
                <w:webHidden/>
              </w:rPr>
            </w:r>
            <w:r>
              <w:rPr>
                <w:noProof/>
                <w:webHidden/>
              </w:rPr>
              <w:fldChar w:fldCharType="separate"/>
            </w:r>
            <w:r>
              <w:rPr>
                <w:noProof/>
                <w:webHidden/>
              </w:rPr>
              <w:t>883</w:t>
            </w:r>
            <w:r>
              <w:rPr>
                <w:noProof/>
                <w:webHidden/>
              </w:rPr>
              <w:fldChar w:fldCharType="end"/>
            </w:r>
          </w:hyperlink>
        </w:p>
        <w:p w14:paraId="299102D4" w14:textId="3AD74E0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58" w:history="1">
            <w:r w:rsidRPr="001D4C20">
              <w:rPr>
                <w:rStyle w:val="Lienhypertexte"/>
                <w:noProof/>
              </w:rPr>
              <w:t>57.27.4a Eclairage (LED) intégré à la marche CCTB 01.12</w:t>
            </w:r>
            <w:r>
              <w:rPr>
                <w:noProof/>
                <w:webHidden/>
              </w:rPr>
              <w:tab/>
            </w:r>
            <w:r>
              <w:rPr>
                <w:noProof/>
                <w:webHidden/>
              </w:rPr>
              <w:fldChar w:fldCharType="begin"/>
            </w:r>
            <w:r>
              <w:rPr>
                <w:noProof/>
                <w:webHidden/>
              </w:rPr>
              <w:instrText xml:space="preserve"> PAGEREF _Toc220491758 \h </w:instrText>
            </w:r>
            <w:r>
              <w:rPr>
                <w:noProof/>
                <w:webHidden/>
              </w:rPr>
            </w:r>
            <w:r>
              <w:rPr>
                <w:noProof/>
                <w:webHidden/>
              </w:rPr>
              <w:fldChar w:fldCharType="separate"/>
            </w:r>
            <w:r>
              <w:rPr>
                <w:noProof/>
                <w:webHidden/>
              </w:rPr>
              <w:t>883</w:t>
            </w:r>
            <w:r>
              <w:rPr>
                <w:noProof/>
                <w:webHidden/>
              </w:rPr>
              <w:fldChar w:fldCharType="end"/>
            </w:r>
          </w:hyperlink>
        </w:p>
        <w:p w14:paraId="3B2636EA" w14:textId="7D6F48D5"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759" w:history="1">
            <w:r w:rsidRPr="001D4C20">
              <w:rPr>
                <w:rStyle w:val="Lienhypertexte"/>
                <w:noProof/>
              </w:rPr>
              <w:t>57.3 Echelle / Trappe d'accès CCTB 01.02</w:t>
            </w:r>
            <w:r>
              <w:rPr>
                <w:noProof/>
                <w:webHidden/>
              </w:rPr>
              <w:tab/>
            </w:r>
            <w:r>
              <w:rPr>
                <w:noProof/>
                <w:webHidden/>
              </w:rPr>
              <w:fldChar w:fldCharType="begin"/>
            </w:r>
            <w:r>
              <w:rPr>
                <w:noProof/>
                <w:webHidden/>
              </w:rPr>
              <w:instrText xml:space="preserve"> PAGEREF _Toc220491759 \h </w:instrText>
            </w:r>
            <w:r>
              <w:rPr>
                <w:noProof/>
                <w:webHidden/>
              </w:rPr>
            </w:r>
            <w:r>
              <w:rPr>
                <w:noProof/>
                <w:webHidden/>
              </w:rPr>
              <w:fldChar w:fldCharType="separate"/>
            </w:r>
            <w:r>
              <w:rPr>
                <w:noProof/>
                <w:webHidden/>
              </w:rPr>
              <w:t>884</w:t>
            </w:r>
            <w:r>
              <w:rPr>
                <w:noProof/>
                <w:webHidden/>
              </w:rPr>
              <w:fldChar w:fldCharType="end"/>
            </w:r>
          </w:hyperlink>
        </w:p>
        <w:p w14:paraId="441575D1" w14:textId="007F5CA8"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760" w:history="1">
            <w:r w:rsidRPr="001D4C20">
              <w:rPr>
                <w:rStyle w:val="Lienhypertexte"/>
                <w:noProof/>
              </w:rPr>
              <w:t>57.4 - CCTB 01.02</w:t>
            </w:r>
            <w:r>
              <w:rPr>
                <w:noProof/>
                <w:webHidden/>
              </w:rPr>
              <w:tab/>
            </w:r>
            <w:r>
              <w:rPr>
                <w:noProof/>
                <w:webHidden/>
              </w:rPr>
              <w:fldChar w:fldCharType="begin"/>
            </w:r>
            <w:r>
              <w:rPr>
                <w:noProof/>
                <w:webHidden/>
              </w:rPr>
              <w:instrText xml:space="preserve"> PAGEREF _Toc220491760 \h </w:instrText>
            </w:r>
            <w:r>
              <w:rPr>
                <w:noProof/>
                <w:webHidden/>
              </w:rPr>
            </w:r>
            <w:r>
              <w:rPr>
                <w:noProof/>
                <w:webHidden/>
              </w:rPr>
              <w:fldChar w:fldCharType="separate"/>
            </w:r>
            <w:r>
              <w:rPr>
                <w:noProof/>
                <w:webHidden/>
              </w:rPr>
              <w:t>884</w:t>
            </w:r>
            <w:r>
              <w:rPr>
                <w:noProof/>
                <w:webHidden/>
              </w:rPr>
              <w:fldChar w:fldCharType="end"/>
            </w:r>
          </w:hyperlink>
        </w:p>
        <w:p w14:paraId="06559F5B" w14:textId="27A336AB"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761" w:history="1">
            <w:r w:rsidRPr="001D4C20">
              <w:rPr>
                <w:rStyle w:val="Lienhypertexte"/>
                <w:noProof/>
              </w:rPr>
              <w:t>57.5 - CCTB 01.02</w:t>
            </w:r>
            <w:r>
              <w:rPr>
                <w:noProof/>
                <w:webHidden/>
              </w:rPr>
              <w:tab/>
            </w:r>
            <w:r>
              <w:rPr>
                <w:noProof/>
                <w:webHidden/>
              </w:rPr>
              <w:fldChar w:fldCharType="begin"/>
            </w:r>
            <w:r>
              <w:rPr>
                <w:noProof/>
                <w:webHidden/>
              </w:rPr>
              <w:instrText xml:space="preserve"> PAGEREF _Toc220491761 \h </w:instrText>
            </w:r>
            <w:r>
              <w:rPr>
                <w:noProof/>
                <w:webHidden/>
              </w:rPr>
            </w:r>
            <w:r>
              <w:rPr>
                <w:noProof/>
                <w:webHidden/>
              </w:rPr>
              <w:fldChar w:fldCharType="separate"/>
            </w:r>
            <w:r>
              <w:rPr>
                <w:noProof/>
                <w:webHidden/>
              </w:rPr>
              <w:t>884</w:t>
            </w:r>
            <w:r>
              <w:rPr>
                <w:noProof/>
                <w:webHidden/>
              </w:rPr>
              <w:fldChar w:fldCharType="end"/>
            </w:r>
          </w:hyperlink>
        </w:p>
        <w:p w14:paraId="1DCF2407" w14:textId="1135B2E2"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762" w:history="1">
            <w:r w:rsidRPr="001D4C20">
              <w:rPr>
                <w:rStyle w:val="Lienhypertexte"/>
                <w:noProof/>
              </w:rPr>
              <w:t>57.6 - CCTB 01.02</w:t>
            </w:r>
            <w:r>
              <w:rPr>
                <w:noProof/>
                <w:webHidden/>
              </w:rPr>
              <w:tab/>
            </w:r>
            <w:r>
              <w:rPr>
                <w:noProof/>
                <w:webHidden/>
              </w:rPr>
              <w:fldChar w:fldCharType="begin"/>
            </w:r>
            <w:r>
              <w:rPr>
                <w:noProof/>
                <w:webHidden/>
              </w:rPr>
              <w:instrText xml:space="preserve"> PAGEREF _Toc220491762 \h </w:instrText>
            </w:r>
            <w:r>
              <w:rPr>
                <w:noProof/>
                <w:webHidden/>
              </w:rPr>
            </w:r>
            <w:r>
              <w:rPr>
                <w:noProof/>
                <w:webHidden/>
              </w:rPr>
              <w:fldChar w:fldCharType="separate"/>
            </w:r>
            <w:r>
              <w:rPr>
                <w:noProof/>
                <w:webHidden/>
              </w:rPr>
              <w:t>884</w:t>
            </w:r>
            <w:r>
              <w:rPr>
                <w:noProof/>
                <w:webHidden/>
              </w:rPr>
              <w:fldChar w:fldCharType="end"/>
            </w:r>
          </w:hyperlink>
        </w:p>
        <w:p w14:paraId="2EA5DC56" w14:textId="586EA239"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763" w:history="1">
            <w:r w:rsidRPr="001D4C20">
              <w:rPr>
                <w:rStyle w:val="Lienhypertexte"/>
                <w:noProof/>
              </w:rPr>
              <w:t>57.7 - CCTB 01.02</w:t>
            </w:r>
            <w:r>
              <w:rPr>
                <w:noProof/>
                <w:webHidden/>
              </w:rPr>
              <w:tab/>
            </w:r>
            <w:r>
              <w:rPr>
                <w:noProof/>
                <w:webHidden/>
              </w:rPr>
              <w:fldChar w:fldCharType="begin"/>
            </w:r>
            <w:r>
              <w:rPr>
                <w:noProof/>
                <w:webHidden/>
              </w:rPr>
              <w:instrText xml:space="preserve"> PAGEREF _Toc220491763 \h </w:instrText>
            </w:r>
            <w:r>
              <w:rPr>
                <w:noProof/>
                <w:webHidden/>
              </w:rPr>
            </w:r>
            <w:r>
              <w:rPr>
                <w:noProof/>
                <w:webHidden/>
              </w:rPr>
              <w:fldChar w:fldCharType="separate"/>
            </w:r>
            <w:r>
              <w:rPr>
                <w:noProof/>
                <w:webHidden/>
              </w:rPr>
              <w:t>885</w:t>
            </w:r>
            <w:r>
              <w:rPr>
                <w:noProof/>
                <w:webHidden/>
              </w:rPr>
              <w:fldChar w:fldCharType="end"/>
            </w:r>
          </w:hyperlink>
        </w:p>
        <w:p w14:paraId="2C02A722" w14:textId="1BA61678"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764" w:history="1">
            <w:r w:rsidRPr="001D4C20">
              <w:rPr>
                <w:rStyle w:val="Lienhypertexte"/>
                <w:noProof/>
              </w:rPr>
              <w:t>57.8 Escaliers intérieurs - Rénovation CCTB 01.02</w:t>
            </w:r>
            <w:r>
              <w:rPr>
                <w:noProof/>
                <w:webHidden/>
              </w:rPr>
              <w:tab/>
            </w:r>
            <w:r>
              <w:rPr>
                <w:noProof/>
                <w:webHidden/>
              </w:rPr>
              <w:fldChar w:fldCharType="begin"/>
            </w:r>
            <w:r>
              <w:rPr>
                <w:noProof/>
                <w:webHidden/>
              </w:rPr>
              <w:instrText xml:space="preserve"> PAGEREF _Toc220491764 \h </w:instrText>
            </w:r>
            <w:r>
              <w:rPr>
                <w:noProof/>
                <w:webHidden/>
              </w:rPr>
            </w:r>
            <w:r>
              <w:rPr>
                <w:noProof/>
                <w:webHidden/>
              </w:rPr>
              <w:fldChar w:fldCharType="separate"/>
            </w:r>
            <w:r>
              <w:rPr>
                <w:noProof/>
                <w:webHidden/>
              </w:rPr>
              <w:t>885</w:t>
            </w:r>
            <w:r>
              <w:rPr>
                <w:noProof/>
                <w:webHidden/>
              </w:rPr>
              <w:fldChar w:fldCharType="end"/>
            </w:r>
          </w:hyperlink>
        </w:p>
        <w:p w14:paraId="7CD29FA9" w14:textId="44B9D056" w:rsidR="000F4169" w:rsidRDefault="000F4169">
          <w:pPr>
            <w:pStyle w:val="TM2"/>
            <w:tabs>
              <w:tab w:val="right" w:leader="dot" w:pos="9016"/>
            </w:tabs>
            <w:rPr>
              <w:rFonts w:asciiTheme="minorHAnsi" w:eastAsiaTheme="minorEastAsia" w:hAnsiTheme="minorHAnsi" w:cstheme="minorBidi"/>
              <w:noProof/>
              <w:kern w:val="2"/>
              <w:sz w:val="24"/>
              <w:szCs w:val="24"/>
              <w14:ligatures w14:val="standardContextual"/>
            </w:rPr>
          </w:pPr>
          <w:hyperlink w:anchor="_Toc220491765" w:history="1">
            <w:r w:rsidRPr="001D4C20">
              <w:rPr>
                <w:rStyle w:val="Lienhypertexte"/>
                <w:noProof/>
              </w:rPr>
              <w:t>58 Mobilier intérieur fixe CCTB 01.11</w:t>
            </w:r>
            <w:r>
              <w:rPr>
                <w:noProof/>
                <w:webHidden/>
              </w:rPr>
              <w:tab/>
            </w:r>
            <w:r>
              <w:rPr>
                <w:noProof/>
                <w:webHidden/>
              </w:rPr>
              <w:fldChar w:fldCharType="begin"/>
            </w:r>
            <w:r>
              <w:rPr>
                <w:noProof/>
                <w:webHidden/>
              </w:rPr>
              <w:instrText xml:space="preserve"> PAGEREF _Toc220491765 \h </w:instrText>
            </w:r>
            <w:r>
              <w:rPr>
                <w:noProof/>
                <w:webHidden/>
              </w:rPr>
            </w:r>
            <w:r>
              <w:rPr>
                <w:noProof/>
                <w:webHidden/>
              </w:rPr>
              <w:fldChar w:fldCharType="separate"/>
            </w:r>
            <w:r>
              <w:rPr>
                <w:noProof/>
                <w:webHidden/>
              </w:rPr>
              <w:t>885</w:t>
            </w:r>
            <w:r>
              <w:rPr>
                <w:noProof/>
                <w:webHidden/>
              </w:rPr>
              <w:fldChar w:fldCharType="end"/>
            </w:r>
          </w:hyperlink>
        </w:p>
        <w:p w14:paraId="37440E35" w14:textId="18456350"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766" w:history="1">
            <w:r w:rsidRPr="001D4C20">
              <w:rPr>
                <w:rStyle w:val="Lienhypertexte"/>
                <w:noProof/>
              </w:rPr>
              <w:t>58.1 Mobilier de cuisine CCTB 01.10</w:t>
            </w:r>
            <w:r>
              <w:rPr>
                <w:noProof/>
                <w:webHidden/>
              </w:rPr>
              <w:tab/>
            </w:r>
            <w:r>
              <w:rPr>
                <w:noProof/>
                <w:webHidden/>
              </w:rPr>
              <w:fldChar w:fldCharType="begin"/>
            </w:r>
            <w:r>
              <w:rPr>
                <w:noProof/>
                <w:webHidden/>
              </w:rPr>
              <w:instrText xml:space="preserve"> PAGEREF _Toc220491766 \h </w:instrText>
            </w:r>
            <w:r>
              <w:rPr>
                <w:noProof/>
                <w:webHidden/>
              </w:rPr>
            </w:r>
            <w:r>
              <w:rPr>
                <w:noProof/>
                <w:webHidden/>
              </w:rPr>
              <w:fldChar w:fldCharType="separate"/>
            </w:r>
            <w:r>
              <w:rPr>
                <w:noProof/>
                <w:webHidden/>
              </w:rPr>
              <w:t>889</w:t>
            </w:r>
            <w:r>
              <w:rPr>
                <w:noProof/>
                <w:webHidden/>
              </w:rPr>
              <w:fldChar w:fldCharType="end"/>
            </w:r>
          </w:hyperlink>
        </w:p>
        <w:p w14:paraId="48E1CBD0" w14:textId="47461734"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767" w:history="1">
            <w:r w:rsidRPr="001D4C20">
              <w:rPr>
                <w:rStyle w:val="Lienhypertexte"/>
                <w:noProof/>
              </w:rPr>
              <w:t>58.11 Mobilier de cuisine - Structure et planches CCTB 01.10</w:t>
            </w:r>
            <w:r>
              <w:rPr>
                <w:noProof/>
                <w:webHidden/>
              </w:rPr>
              <w:tab/>
            </w:r>
            <w:r>
              <w:rPr>
                <w:noProof/>
                <w:webHidden/>
              </w:rPr>
              <w:fldChar w:fldCharType="begin"/>
            </w:r>
            <w:r>
              <w:rPr>
                <w:noProof/>
                <w:webHidden/>
              </w:rPr>
              <w:instrText xml:space="preserve"> PAGEREF _Toc220491767 \h </w:instrText>
            </w:r>
            <w:r>
              <w:rPr>
                <w:noProof/>
                <w:webHidden/>
              </w:rPr>
            </w:r>
            <w:r>
              <w:rPr>
                <w:noProof/>
                <w:webHidden/>
              </w:rPr>
              <w:fldChar w:fldCharType="separate"/>
            </w:r>
            <w:r>
              <w:rPr>
                <w:noProof/>
                <w:webHidden/>
              </w:rPr>
              <w:t>890</w:t>
            </w:r>
            <w:r>
              <w:rPr>
                <w:noProof/>
                <w:webHidden/>
              </w:rPr>
              <w:fldChar w:fldCharType="end"/>
            </w:r>
          </w:hyperlink>
        </w:p>
        <w:p w14:paraId="1954CC1F" w14:textId="60BE523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68" w:history="1">
            <w:r w:rsidRPr="001D4C20">
              <w:rPr>
                <w:rStyle w:val="Lienhypertexte"/>
                <w:noProof/>
              </w:rPr>
              <w:t>58.11.1 Mobilier de cuisine - Structure et planches - Eléments blocs CCTB 01.02</w:t>
            </w:r>
            <w:r>
              <w:rPr>
                <w:noProof/>
                <w:webHidden/>
              </w:rPr>
              <w:tab/>
            </w:r>
            <w:r>
              <w:rPr>
                <w:noProof/>
                <w:webHidden/>
              </w:rPr>
              <w:fldChar w:fldCharType="begin"/>
            </w:r>
            <w:r>
              <w:rPr>
                <w:noProof/>
                <w:webHidden/>
              </w:rPr>
              <w:instrText xml:space="preserve"> PAGEREF _Toc220491768 \h </w:instrText>
            </w:r>
            <w:r>
              <w:rPr>
                <w:noProof/>
                <w:webHidden/>
              </w:rPr>
            </w:r>
            <w:r>
              <w:rPr>
                <w:noProof/>
                <w:webHidden/>
              </w:rPr>
              <w:fldChar w:fldCharType="separate"/>
            </w:r>
            <w:r>
              <w:rPr>
                <w:noProof/>
                <w:webHidden/>
              </w:rPr>
              <w:t>891</w:t>
            </w:r>
            <w:r>
              <w:rPr>
                <w:noProof/>
                <w:webHidden/>
              </w:rPr>
              <w:fldChar w:fldCharType="end"/>
            </w:r>
          </w:hyperlink>
        </w:p>
        <w:p w14:paraId="652787C4" w14:textId="2241AF6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69" w:history="1">
            <w:r w:rsidRPr="001D4C20">
              <w:rPr>
                <w:rStyle w:val="Lienhypertexte"/>
                <w:noProof/>
              </w:rPr>
              <w:t>58.11.1a Mobilier de cuisine - Structure et planches - Eléments blocs CCTB 01.10</w:t>
            </w:r>
            <w:r>
              <w:rPr>
                <w:noProof/>
                <w:webHidden/>
              </w:rPr>
              <w:tab/>
            </w:r>
            <w:r>
              <w:rPr>
                <w:noProof/>
                <w:webHidden/>
              </w:rPr>
              <w:fldChar w:fldCharType="begin"/>
            </w:r>
            <w:r>
              <w:rPr>
                <w:noProof/>
                <w:webHidden/>
              </w:rPr>
              <w:instrText xml:space="preserve"> PAGEREF _Toc220491769 \h </w:instrText>
            </w:r>
            <w:r>
              <w:rPr>
                <w:noProof/>
                <w:webHidden/>
              </w:rPr>
            </w:r>
            <w:r>
              <w:rPr>
                <w:noProof/>
                <w:webHidden/>
              </w:rPr>
              <w:fldChar w:fldCharType="separate"/>
            </w:r>
            <w:r>
              <w:rPr>
                <w:noProof/>
                <w:webHidden/>
              </w:rPr>
              <w:t>891</w:t>
            </w:r>
            <w:r>
              <w:rPr>
                <w:noProof/>
                <w:webHidden/>
              </w:rPr>
              <w:fldChar w:fldCharType="end"/>
            </w:r>
          </w:hyperlink>
        </w:p>
        <w:p w14:paraId="3890677C" w14:textId="480B146E"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70" w:history="1">
            <w:r w:rsidRPr="001D4C20">
              <w:rPr>
                <w:rStyle w:val="Lienhypertexte"/>
                <w:noProof/>
              </w:rPr>
              <w:t>58.11.2 Mobilier de cuisine - Structure et planches - Façades &amp; côtés apparents CCTB 01.02</w:t>
            </w:r>
            <w:r>
              <w:rPr>
                <w:noProof/>
                <w:webHidden/>
              </w:rPr>
              <w:tab/>
            </w:r>
            <w:r>
              <w:rPr>
                <w:noProof/>
                <w:webHidden/>
              </w:rPr>
              <w:fldChar w:fldCharType="begin"/>
            </w:r>
            <w:r>
              <w:rPr>
                <w:noProof/>
                <w:webHidden/>
              </w:rPr>
              <w:instrText xml:space="preserve"> PAGEREF _Toc220491770 \h </w:instrText>
            </w:r>
            <w:r>
              <w:rPr>
                <w:noProof/>
                <w:webHidden/>
              </w:rPr>
            </w:r>
            <w:r>
              <w:rPr>
                <w:noProof/>
                <w:webHidden/>
              </w:rPr>
              <w:fldChar w:fldCharType="separate"/>
            </w:r>
            <w:r>
              <w:rPr>
                <w:noProof/>
                <w:webHidden/>
              </w:rPr>
              <w:t>891</w:t>
            </w:r>
            <w:r>
              <w:rPr>
                <w:noProof/>
                <w:webHidden/>
              </w:rPr>
              <w:fldChar w:fldCharType="end"/>
            </w:r>
          </w:hyperlink>
        </w:p>
        <w:p w14:paraId="16DECE80" w14:textId="7B3E2FC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71" w:history="1">
            <w:r w:rsidRPr="001D4C20">
              <w:rPr>
                <w:rStyle w:val="Lienhypertexte"/>
                <w:noProof/>
              </w:rPr>
              <w:t>58.11.2a Mobilier de cuisine - Structure et planches - Façades &amp; côtés apparents CCTB 01.10</w:t>
            </w:r>
            <w:r>
              <w:rPr>
                <w:noProof/>
                <w:webHidden/>
              </w:rPr>
              <w:tab/>
            </w:r>
            <w:r>
              <w:rPr>
                <w:noProof/>
                <w:webHidden/>
              </w:rPr>
              <w:fldChar w:fldCharType="begin"/>
            </w:r>
            <w:r>
              <w:rPr>
                <w:noProof/>
                <w:webHidden/>
              </w:rPr>
              <w:instrText xml:space="preserve"> PAGEREF _Toc220491771 \h </w:instrText>
            </w:r>
            <w:r>
              <w:rPr>
                <w:noProof/>
                <w:webHidden/>
              </w:rPr>
            </w:r>
            <w:r>
              <w:rPr>
                <w:noProof/>
                <w:webHidden/>
              </w:rPr>
              <w:fldChar w:fldCharType="separate"/>
            </w:r>
            <w:r>
              <w:rPr>
                <w:noProof/>
                <w:webHidden/>
              </w:rPr>
              <w:t>891</w:t>
            </w:r>
            <w:r>
              <w:rPr>
                <w:noProof/>
                <w:webHidden/>
              </w:rPr>
              <w:fldChar w:fldCharType="end"/>
            </w:r>
          </w:hyperlink>
        </w:p>
        <w:p w14:paraId="7CA4BECA" w14:textId="6B528CAD"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72" w:history="1">
            <w:r w:rsidRPr="001D4C20">
              <w:rPr>
                <w:rStyle w:val="Lienhypertexte"/>
                <w:noProof/>
              </w:rPr>
              <w:t>58.11.3 Mobilier de cuisine - Structure et planches - Planches intérieures CCTB 01.02</w:t>
            </w:r>
            <w:r>
              <w:rPr>
                <w:noProof/>
                <w:webHidden/>
              </w:rPr>
              <w:tab/>
            </w:r>
            <w:r>
              <w:rPr>
                <w:noProof/>
                <w:webHidden/>
              </w:rPr>
              <w:fldChar w:fldCharType="begin"/>
            </w:r>
            <w:r>
              <w:rPr>
                <w:noProof/>
                <w:webHidden/>
              </w:rPr>
              <w:instrText xml:space="preserve"> PAGEREF _Toc220491772 \h </w:instrText>
            </w:r>
            <w:r>
              <w:rPr>
                <w:noProof/>
                <w:webHidden/>
              </w:rPr>
            </w:r>
            <w:r>
              <w:rPr>
                <w:noProof/>
                <w:webHidden/>
              </w:rPr>
              <w:fldChar w:fldCharType="separate"/>
            </w:r>
            <w:r>
              <w:rPr>
                <w:noProof/>
                <w:webHidden/>
              </w:rPr>
              <w:t>892</w:t>
            </w:r>
            <w:r>
              <w:rPr>
                <w:noProof/>
                <w:webHidden/>
              </w:rPr>
              <w:fldChar w:fldCharType="end"/>
            </w:r>
          </w:hyperlink>
        </w:p>
        <w:p w14:paraId="573857B9" w14:textId="674DB7B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73" w:history="1">
            <w:r w:rsidRPr="001D4C20">
              <w:rPr>
                <w:rStyle w:val="Lienhypertexte"/>
                <w:noProof/>
              </w:rPr>
              <w:t>58.11.3a Mobilier de cuisine - Structure et planches - Planches intérieures CCTB 01.10</w:t>
            </w:r>
            <w:r>
              <w:rPr>
                <w:noProof/>
                <w:webHidden/>
              </w:rPr>
              <w:tab/>
            </w:r>
            <w:r>
              <w:rPr>
                <w:noProof/>
                <w:webHidden/>
              </w:rPr>
              <w:fldChar w:fldCharType="begin"/>
            </w:r>
            <w:r>
              <w:rPr>
                <w:noProof/>
                <w:webHidden/>
              </w:rPr>
              <w:instrText xml:space="preserve"> PAGEREF _Toc220491773 \h </w:instrText>
            </w:r>
            <w:r>
              <w:rPr>
                <w:noProof/>
                <w:webHidden/>
              </w:rPr>
            </w:r>
            <w:r>
              <w:rPr>
                <w:noProof/>
                <w:webHidden/>
              </w:rPr>
              <w:fldChar w:fldCharType="separate"/>
            </w:r>
            <w:r>
              <w:rPr>
                <w:noProof/>
                <w:webHidden/>
              </w:rPr>
              <w:t>892</w:t>
            </w:r>
            <w:r>
              <w:rPr>
                <w:noProof/>
                <w:webHidden/>
              </w:rPr>
              <w:fldChar w:fldCharType="end"/>
            </w:r>
          </w:hyperlink>
        </w:p>
        <w:p w14:paraId="278A364A" w14:textId="2B7A8A59"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74" w:history="1">
            <w:r w:rsidRPr="001D4C20">
              <w:rPr>
                <w:rStyle w:val="Lienhypertexte"/>
                <w:noProof/>
              </w:rPr>
              <w:t>58.11.4 Mobilier de cuisine - Structure et planches - Structure complémentaire, y compris étagères CCTB 01.02</w:t>
            </w:r>
            <w:r>
              <w:rPr>
                <w:noProof/>
                <w:webHidden/>
              </w:rPr>
              <w:tab/>
            </w:r>
            <w:r>
              <w:rPr>
                <w:noProof/>
                <w:webHidden/>
              </w:rPr>
              <w:fldChar w:fldCharType="begin"/>
            </w:r>
            <w:r>
              <w:rPr>
                <w:noProof/>
                <w:webHidden/>
              </w:rPr>
              <w:instrText xml:space="preserve"> PAGEREF _Toc220491774 \h </w:instrText>
            </w:r>
            <w:r>
              <w:rPr>
                <w:noProof/>
                <w:webHidden/>
              </w:rPr>
            </w:r>
            <w:r>
              <w:rPr>
                <w:noProof/>
                <w:webHidden/>
              </w:rPr>
              <w:fldChar w:fldCharType="separate"/>
            </w:r>
            <w:r>
              <w:rPr>
                <w:noProof/>
                <w:webHidden/>
              </w:rPr>
              <w:t>893</w:t>
            </w:r>
            <w:r>
              <w:rPr>
                <w:noProof/>
                <w:webHidden/>
              </w:rPr>
              <w:fldChar w:fldCharType="end"/>
            </w:r>
          </w:hyperlink>
        </w:p>
        <w:p w14:paraId="7C5185CD" w14:textId="66C99F6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75" w:history="1">
            <w:r w:rsidRPr="001D4C20">
              <w:rPr>
                <w:rStyle w:val="Lienhypertexte"/>
                <w:noProof/>
              </w:rPr>
              <w:t>58.11.4a Mobilier de cuisine - Structure et planches - Structure complémentaire, y compris étagères CCTB 01.10</w:t>
            </w:r>
            <w:r>
              <w:rPr>
                <w:noProof/>
                <w:webHidden/>
              </w:rPr>
              <w:tab/>
            </w:r>
            <w:r>
              <w:rPr>
                <w:noProof/>
                <w:webHidden/>
              </w:rPr>
              <w:fldChar w:fldCharType="begin"/>
            </w:r>
            <w:r>
              <w:rPr>
                <w:noProof/>
                <w:webHidden/>
              </w:rPr>
              <w:instrText xml:space="preserve"> PAGEREF _Toc220491775 \h </w:instrText>
            </w:r>
            <w:r>
              <w:rPr>
                <w:noProof/>
                <w:webHidden/>
              </w:rPr>
            </w:r>
            <w:r>
              <w:rPr>
                <w:noProof/>
                <w:webHidden/>
              </w:rPr>
              <w:fldChar w:fldCharType="separate"/>
            </w:r>
            <w:r>
              <w:rPr>
                <w:noProof/>
                <w:webHidden/>
              </w:rPr>
              <w:t>893</w:t>
            </w:r>
            <w:r>
              <w:rPr>
                <w:noProof/>
                <w:webHidden/>
              </w:rPr>
              <w:fldChar w:fldCharType="end"/>
            </w:r>
          </w:hyperlink>
        </w:p>
        <w:p w14:paraId="5E871044" w14:textId="7806B401"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776" w:history="1">
            <w:r w:rsidRPr="001D4C20">
              <w:rPr>
                <w:rStyle w:val="Lienhypertexte"/>
                <w:noProof/>
              </w:rPr>
              <w:t>58.12 Mobilier de cuisine - Portes / Tiroirs / Caissons CCTB 01.02</w:t>
            </w:r>
            <w:r>
              <w:rPr>
                <w:noProof/>
                <w:webHidden/>
              </w:rPr>
              <w:tab/>
            </w:r>
            <w:r>
              <w:rPr>
                <w:noProof/>
                <w:webHidden/>
              </w:rPr>
              <w:fldChar w:fldCharType="begin"/>
            </w:r>
            <w:r>
              <w:rPr>
                <w:noProof/>
                <w:webHidden/>
              </w:rPr>
              <w:instrText xml:space="preserve"> PAGEREF _Toc220491776 \h </w:instrText>
            </w:r>
            <w:r>
              <w:rPr>
                <w:noProof/>
                <w:webHidden/>
              </w:rPr>
            </w:r>
            <w:r>
              <w:rPr>
                <w:noProof/>
                <w:webHidden/>
              </w:rPr>
              <w:fldChar w:fldCharType="separate"/>
            </w:r>
            <w:r>
              <w:rPr>
                <w:noProof/>
                <w:webHidden/>
              </w:rPr>
              <w:t>893</w:t>
            </w:r>
            <w:r>
              <w:rPr>
                <w:noProof/>
                <w:webHidden/>
              </w:rPr>
              <w:fldChar w:fldCharType="end"/>
            </w:r>
          </w:hyperlink>
        </w:p>
        <w:p w14:paraId="7E87F836" w14:textId="5EA08F40"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77" w:history="1">
            <w:r w:rsidRPr="001D4C20">
              <w:rPr>
                <w:rStyle w:val="Lienhypertexte"/>
                <w:noProof/>
              </w:rPr>
              <w:t>58.12.1 Mobilier de cuisine - Portes CCTB 01.02</w:t>
            </w:r>
            <w:r>
              <w:rPr>
                <w:noProof/>
                <w:webHidden/>
              </w:rPr>
              <w:tab/>
            </w:r>
            <w:r>
              <w:rPr>
                <w:noProof/>
                <w:webHidden/>
              </w:rPr>
              <w:fldChar w:fldCharType="begin"/>
            </w:r>
            <w:r>
              <w:rPr>
                <w:noProof/>
                <w:webHidden/>
              </w:rPr>
              <w:instrText xml:space="preserve"> PAGEREF _Toc220491777 \h </w:instrText>
            </w:r>
            <w:r>
              <w:rPr>
                <w:noProof/>
                <w:webHidden/>
              </w:rPr>
            </w:r>
            <w:r>
              <w:rPr>
                <w:noProof/>
                <w:webHidden/>
              </w:rPr>
              <w:fldChar w:fldCharType="separate"/>
            </w:r>
            <w:r>
              <w:rPr>
                <w:noProof/>
                <w:webHidden/>
              </w:rPr>
              <w:t>893</w:t>
            </w:r>
            <w:r>
              <w:rPr>
                <w:noProof/>
                <w:webHidden/>
              </w:rPr>
              <w:fldChar w:fldCharType="end"/>
            </w:r>
          </w:hyperlink>
        </w:p>
        <w:p w14:paraId="414A24F5" w14:textId="51E2070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78" w:history="1">
            <w:r w:rsidRPr="001D4C20">
              <w:rPr>
                <w:rStyle w:val="Lienhypertexte"/>
                <w:noProof/>
              </w:rPr>
              <w:t>58.12.1a Mobilier de cuisine - Portes CCTB 01.10</w:t>
            </w:r>
            <w:r>
              <w:rPr>
                <w:noProof/>
                <w:webHidden/>
              </w:rPr>
              <w:tab/>
            </w:r>
            <w:r>
              <w:rPr>
                <w:noProof/>
                <w:webHidden/>
              </w:rPr>
              <w:fldChar w:fldCharType="begin"/>
            </w:r>
            <w:r>
              <w:rPr>
                <w:noProof/>
                <w:webHidden/>
              </w:rPr>
              <w:instrText xml:space="preserve"> PAGEREF _Toc220491778 \h </w:instrText>
            </w:r>
            <w:r>
              <w:rPr>
                <w:noProof/>
                <w:webHidden/>
              </w:rPr>
            </w:r>
            <w:r>
              <w:rPr>
                <w:noProof/>
                <w:webHidden/>
              </w:rPr>
              <w:fldChar w:fldCharType="separate"/>
            </w:r>
            <w:r>
              <w:rPr>
                <w:noProof/>
                <w:webHidden/>
              </w:rPr>
              <w:t>893</w:t>
            </w:r>
            <w:r>
              <w:rPr>
                <w:noProof/>
                <w:webHidden/>
              </w:rPr>
              <w:fldChar w:fldCharType="end"/>
            </w:r>
          </w:hyperlink>
        </w:p>
        <w:p w14:paraId="54788FDD" w14:textId="4C84E4E6"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79" w:history="1">
            <w:r w:rsidRPr="001D4C20">
              <w:rPr>
                <w:rStyle w:val="Lienhypertexte"/>
                <w:noProof/>
              </w:rPr>
              <w:t>58.12.2 Mobilier de cuisine - Tiroirs CCTB 01.02</w:t>
            </w:r>
            <w:r>
              <w:rPr>
                <w:noProof/>
                <w:webHidden/>
              </w:rPr>
              <w:tab/>
            </w:r>
            <w:r>
              <w:rPr>
                <w:noProof/>
                <w:webHidden/>
              </w:rPr>
              <w:fldChar w:fldCharType="begin"/>
            </w:r>
            <w:r>
              <w:rPr>
                <w:noProof/>
                <w:webHidden/>
              </w:rPr>
              <w:instrText xml:space="preserve"> PAGEREF _Toc220491779 \h </w:instrText>
            </w:r>
            <w:r>
              <w:rPr>
                <w:noProof/>
                <w:webHidden/>
              </w:rPr>
            </w:r>
            <w:r>
              <w:rPr>
                <w:noProof/>
                <w:webHidden/>
              </w:rPr>
              <w:fldChar w:fldCharType="separate"/>
            </w:r>
            <w:r>
              <w:rPr>
                <w:noProof/>
                <w:webHidden/>
              </w:rPr>
              <w:t>894</w:t>
            </w:r>
            <w:r>
              <w:rPr>
                <w:noProof/>
                <w:webHidden/>
              </w:rPr>
              <w:fldChar w:fldCharType="end"/>
            </w:r>
          </w:hyperlink>
        </w:p>
        <w:p w14:paraId="3033E85A" w14:textId="4D148FD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80" w:history="1">
            <w:r w:rsidRPr="001D4C20">
              <w:rPr>
                <w:rStyle w:val="Lienhypertexte"/>
                <w:noProof/>
              </w:rPr>
              <w:t>58.12.2a Mobilier de cuisine - Tiroirs sur 2 rails CCTB 01.10</w:t>
            </w:r>
            <w:r>
              <w:rPr>
                <w:noProof/>
                <w:webHidden/>
              </w:rPr>
              <w:tab/>
            </w:r>
            <w:r>
              <w:rPr>
                <w:noProof/>
                <w:webHidden/>
              </w:rPr>
              <w:fldChar w:fldCharType="begin"/>
            </w:r>
            <w:r>
              <w:rPr>
                <w:noProof/>
                <w:webHidden/>
              </w:rPr>
              <w:instrText xml:space="preserve"> PAGEREF _Toc220491780 \h </w:instrText>
            </w:r>
            <w:r>
              <w:rPr>
                <w:noProof/>
                <w:webHidden/>
              </w:rPr>
            </w:r>
            <w:r>
              <w:rPr>
                <w:noProof/>
                <w:webHidden/>
              </w:rPr>
              <w:fldChar w:fldCharType="separate"/>
            </w:r>
            <w:r>
              <w:rPr>
                <w:noProof/>
                <w:webHidden/>
              </w:rPr>
              <w:t>894</w:t>
            </w:r>
            <w:r>
              <w:rPr>
                <w:noProof/>
                <w:webHidden/>
              </w:rPr>
              <w:fldChar w:fldCharType="end"/>
            </w:r>
          </w:hyperlink>
        </w:p>
        <w:p w14:paraId="5265A115" w14:textId="0D047E2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81" w:history="1">
            <w:r w:rsidRPr="001D4C20">
              <w:rPr>
                <w:rStyle w:val="Lienhypertexte"/>
                <w:noProof/>
              </w:rPr>
              <w:t>58.12.2b Mobilier de cuisine - Tiroirs spécifiques CCTB 01.10</w:t>
            </w:r>
            <w:r>
              <w:rPr>
                <w:noProof/>
                <w:webHidden/>
              </w:rPr>
              <w:tab/>
            </w:r>
            <w:r>
              <w:rPr>
                <w:noProof/>
                <w:webHidden/>
              </w:rPr>
              <w:fldChar w:fldCharType="begin"/>
            </w:r>
            <w:r>
              <w:rPr>
                <w:noProof/>
                <w:webHidden/>
              </w:rPr>
              <w:instrText xml:space="preserve"> PAGEREF _Toc220491781 \h </w:instrText>
            </w:r>
            <w:r>
              <w:rPr>
                <w:noProof/>
                <w:webHidden/>
              </w:rPr>
            </w:r>
            <w:r>
              <w:rPr>
                <w:noProof/>
                <w:webHidden/>
              </w:rPr>
              <w:fldChar w:fldCharType="separate"/>
            </w:r>
            <w:r>
              <w:rPr>
                <w:noProof/>
                <w:webHidden/>
              </w:rPr>
              <w:t>895</w:t>
            </w:r>
            <w:r>
              <w:rPr>
                <w:noProof/>
                <w:webHidden/>
              </w:rPr>
              <w:fldChar w:fldCharType="end"/>
            </w:r>
          </w:hyperlink>
        </w:p>
        <w:p w14:paraId="1FE17B0C" w14:textId="3D759416"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82" w:history="1">
            <w:r w:rsidRPr="001D4C20">
              <w:rPr>
                <w:rStyle w:val="Lienhypertexte"/>
                <w:noProof/>
              </w:rPr>
              <w:t>58.12.3 Mobilier de cuisine - Caissons CCTB 01.02</w:t>
            </w:r>
            <w:r>
              <w:rPr>
                <w:noProof/>
                <w:webHidden/>
              </w:rPr>
              <w:tab/>
            </w:r>
            <w:r>
              <w:rPr>
                <w:noProof/>
                <w:webHidden/>
              </w:rPr>
              <w:fldChar w:fldCharType="begin"/>
            </w:r>
            <w:r>
              <w:rPr>
                <w:noProof/>
                <w:webHidden/>
              </w:rPr>
              <w:instrText xml:space="preserve"> PAGEREF _Toc220491782 \h </w:instrText>
            </w:r>
            <w:r>
              <w:rPr>
                <w:noProof/>
                <w:webHidden/>
              </w:rPr>
            </w:r>
            <w:r>
              <w:rPr>
                <w:noProof/>
                <w:webHidden/>
              </w:rPr>
              <w:fldChar w:fldCharType="separate"/>
            </w:r>
            <w:r>
              <w:rPr>
                <w:noProof/>
                <w:webHidden/>
              </w:rPr>
              <w:t>895</w:t>
            </w:r>
            <w:r>
              <w:rPr>
                <w:noProof/>
                <w:webHidden/>
              </w:rPr>
              <w:fldChar w:fldCharType="end"/>
            </w:r>
          </w:hyperlink>
        </w:p>
        <w:p w14:paraId="283A3BB9" w14:textId="526DC14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83" w:history="1">
            <w:r w:rsidRPr="001D4C20">
              <w:rPr>
                <w:rStyle w:val="Lienhypertexte"/>
                <w:noProof/>
              </w:rPr>
              <w:t>58.12.3a Mobilier de cuisine - Caissons à volet CCTB 01.10</w:t>
            </w:r>
            <w:r>
              <w:rPr>
                <w:noProof/>
                <w:webHidden/>
              </w:rPr>
              <w:tab/>
            </w:r>
            <w:r>
              <w:rPr>
                <w:noProof/>
                <w:webHidden/>
              </w:rPr>
              <w:fldChar w:fldCharType="begin"/>
            </w:r>
            <w:r>
              <w:rPr>
                <w:noProof/>
                <w:webHidden/>
              </w:rPr>
              <w:instrText xml:space="preserve"> PAGEREF _Toc220491783 \h </w:instrText>
            </w:r>
            <w:r>
              <w:rPr>
                <w:noProof/>
                <w:webHidden/>
              </w:rPr>
            </w:r>
            <w:r>
              <w:rPr>
                <w:noProof/>
                <w:webHidden/>
              </w:rPr>
              <w:fldChar w:fldCharType="separate"/>
            </w:r>
            <w:r>
              <w:rPr>
                <w:noProof/>
                <w:webHidden/>
              </w:rPr>
              <w:t>895</w:t>
            </w:r>
            <w:r>
              <w:rPr>
                <w:noProof/>
                <w:webHidden/>
              </w:rPr>
              <w:fldChar w:fldCharType="end"/>
            </w:r>
          </w:hyperlink>
        </w:p>
        <w:p w14:paraId="5D12032B" w14:textId="57D5477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84" w:history="1">
            <w:r w:rsidRPr="001D4C20">
              <w:rPr>
                <w:rStyle w:val="Lienhypertexte"/>
                <w:noProof/>
              </w:rPr>
              <w:t>58.12.3b Mobilier de cuisine - Caissons à hotte CCTB 01.10</w:t>
            </w:r>
            <w:r>
              <w:rPr>
                <w:noProof/>
                <w:webHidden/>
              </w:rPr>
              <w:tab/>
            </w:r>
            <w:r>
              <w:rPr>
                <w:noProof/>
                <w:webHidden/>
              </w:rPr>
              <w:fldChar w:fldCharType="begin"/>
            </w:r>
            <w:r>
              <w:rPr>
                <w:noProof/>
                <w:webHidden/>
              </w:rPr>
              <w:instrText xml:space="preserve"> PAGEREF _Toc220491784 \h </w:instrText>
            </w:r>
            <w:r>
              <w:rPr>
                <w:noProof/>
                <w:webHidden/>
              </w:rPr>
            </w:r>
            <w:r>
              <w:rPr>
                <w:noProof/>
                <w:webHidden/>
              </w:rPr>
              <w:fldChar w:fldCharType="separate"/>
            </w:r>
            <w:r>
              <w:rPr>
                <w:noProof/>
                <w:webHidden/>
              </w:rPr>
              <w:t>896</w:t>
            </w:r>
            <w:r>
              <w:rPr>
                <w:noProof/>
                <w:webHidden/>
              </w:rPr>
              <w:fldChar w:fldCharType="end"/>
            </w:r>
          </w:hyperlink>
        </w:p>
        <w:p w14:paraId="17107618" w14:textId="0EF6F61A"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785" w:history="1">
            <w:r w:rsidRPr="001D4C20">
              <w:rPr>
                <w:rStyle w:val="Lienhypertexte"/>
                <w:noProof/>
              </w:rPr>
              <w:t>58.13 Mobilier de cuisine - Plans de travail / Tablettes / Panneaux de finition CCTB 01.02</w:t>
            </w:r>
            <w:r>
              <w:rPr>
                <w:noProof/>
                <w:webHidden/>
              </w:rPr>
              <w:tab/>
            </w:r>
            <w:r>
              <w:rPr>
                <w:noProof/>
                <w:webHidden/>
              </w:rPr>
              <w:fldChar w:fldCharType="begin"/>
            </w:r>
            <w:r>
              <w:rPr>
                <w:noProof/>
                <w:webHidden/>
              </w:rPr>
              <w:instrText xml:space="preserve"> PAGEREF _Toc220491785 \h </w:instrText>
            </w:r>
            <w:r>
              <w:rPr>
                <w:noProof/>
                <w:webHidden/>
              </w:rPr>
            </w:r>
            <w:r>
              <w:rPr>
                <w:noProof/>
                <w:webHidden/>
              </w:rPr>
              <w:fldChar w:fldCharType="separate"/>
            </w:r>
            <w:r>
              <w:rPr>
                <w:noProof/>
                <w:webHidden/>
              </w:rPr>
              <w:t>896</w:t>
            </w:r>
            <w:r>
              <w:rPr>
                <w:noProof/>
                <w:webHidden/>
              </w:rPr>
              <w:fldChar w:fldCharType="end"/>
            </w:r>
          </w:hyperlink>
        </w:p>
        <w:p w14:paraId="6D8F38A7" w14:textId="02FC3C8B"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86" w:history="1">
            <w:r w:rsidRPr="001D4C20">
              <w:rPr>
                <w:rStyle w:val="Lienhypertexte"/>
                <w:noProof/>
              </w:rPr>
              <w:t>58.13.1 Mobilier de cuisine - Plans de travail CCTB 01.02</w:t>
            </w:r>
            <w:r>
              <w:rPr>
                <w:noProof/>
                <w:webHidden/>
              </w:rPr>
              <w:tab/>
            </w:r>
            <w:r>
              <w:rPr>
                <w:noProof/>
                <w:webHidden/>
              </w:rPr>
              <w:fldChar w:fldCharType="begin"/>
            </w:r>
            <w:r>
              <w:rPr>
                <w:noProof/>
                <w:webHidden/>
              </w:rPr>
              <w:instrText xml:space="preserve"> PAGEREF _Toc220491786 \h </w:instrText>
            </w:r>
            <w:r>
              <w:rPr>
                <w:noProof/>
                <w:webHidden/>
              </w:rPr>
            </w:r>
            <w:r>
              <w:rPr>
                <w:noProof/>
                <w:webHidden/>
              </w:rPr>
              <w:fldChar w:fldCharType="separate"/>
            </w:r>
            <w:r>
              <w:rPr>
                <w:noProof/>
                <w:webHidden/>
              </w:rPr>
              <w:t>896</w:t>
            </w:r>
            <w:r>
              <w:rPr>
                <w:noProof/>
                <w:webHidden/>
              </w:rPr>
              <w:fldChar w:fldCharType="end"/>
            </w:r>
          </w:hyperlink>
        </w:p>
        <w:p w14:paraId="2A7D58E1" w14:textId="4234C67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87" w:history="1">
            <w:r w:rsidRPr="001D4C20">
              <w:rPr>
                <w:rStyle w:val="Lienhypertexte"/>
                <w:noProof/>
              </w:rPr>
              <w:t>58.13.1a Mobilier de cuisine - Plans de travail CCTB 01.10</w:t>
            </w:r>
            <w:r>
              <w:rPr>
                <w:noProof/>
                <w:webHidden/>
              </w:rPr>
              <w:tab/>
            </w:r>
            <w:r>
              <w:rPr>
                <w:noProof/>
                <w:webHidden/>
              </w:rPr>
              <w:fldChar w:fldCharType="begin"/>
            </w:r>
            <w:r>
              <w:rPr>
                <w:noProof/>
                <w:webHidden/>
              </w:rPr>
              <w:instrText xml:space="preserve"> PAGEREF _Toc220491787 \h </w:instrText>
            </w:r>
            <w:r>
              <w:rPr>
                <w:noProof/>
                <w:webHidden/>
              </w:rPr>
            </w:r>
            <w:r>
              <w:rPr>
                <w:noProof/>
                <w:webHidden/>
              </w:rPr>
              <w:fldChar w:fldCharType="separate"/>
            </w:r>
            <w:r>
              <w:rPr>
                <w:noProof/>
                <w:webHidden/>
              </w:rPr>
              <w:t>897</w:t>
            </w:r>
            <w:r>
              <w:rPr>
                <w:noProof/>
                <w:webHidden/>
              </w:rPr>
              <w:fldChar w:fldCharType="end"/>
            </w:r>
          </w:hyperlink>
        </w:p>
        <w:p w14:paraId="25C76D1B" w14:textId="5122C1BB"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88" w:history="1">
            <w:r w:rsidRPr="001D4C20">
              <w:rPr>
                <w:rStyle w:val="Lienhypertexte"/>
                <w:noProof/>
              </w:rPr>
              <w:t>58.13.2 Mobilier de cuisine - Tablettes CCTB 01.02</w:t>
            </w:r>
            <w:r>
              <w:rPr>
                <w:noProof/>
                <w:webHidden/>
              </w:rPr>
              <w:tab/>
            </w:r>
            <w:r>
              <w:rPr>
                <w:noProof/>
                <w:webHidden/>
              </w:rPr>
              <w:fldChar w:fldCharType="begin"/>
            </w:r>
            <w:r>
              <w:rPr>
                <w:noProof/>
                <w:webHidden/>
              </w:rPr>
              <w:instrText xml:space="preserve"> PAGEREF _Toc220491788 \h </w:instrText>
            </w:r>
            <w:r>
              <w:rPr>
                <w:noProof/>
                <w:webHidden/>
              </w:rPr>
            </w:r>
            <w:r>
              <w:rPr>
                <w:noProof/>
                <w:webHidden/>
              </w:rPr>
              <w:fldChar w:fldCharType="separate"/>
            </w:r>
            <w:r>
              <w:rPr>
                <w:noProof/>
                <w:webHidden/>
              </w:rPr>
              <w:t>897</w:t>
            </w:r>
            <w:r>
              <w:rPr>
                <w:noProof/>
                <w:webHidden/>
              </w:rPr>
              <w:fldChar w:fldCharType="end"/>
            </w:r>
          </w:hyperlink>
        </w:p>
        <w:p w14:paraId="6EB17594" w14:textId="68B8690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89" w:history="1">
            <w:r w:rsidRPr="001D4C20">
              <w:rPr>
                <w:rStyle w:val="Lienhypertexte"/>
                <w:noProof/>
              </w:rPr>
              <w:t>58.13.2a Mobilier de cuisine - Tablettes CCTB 01.10</w:t>
            </w:r>
            <w:r>
              <w:rPr>
                <w:noProof/>
                <w:webHidden/>
              </w:rPr>
              <w:tab/>
            </w:r>
            <w:r>
              <w:rPr>
                <w:noProof/>
                <w:webHidden/>
              </w:rPr>
              <w:fldChar w:fldCharType="begin"/>
            </w:r>
            <w:r>
              <w:rPr>
                <w:noProof/>
                <w:webHidden/>
              </w:rPr>
              <w:instrText xml:space="preserve"> PAGEREF _Toc220491789 \h </w:instrText>
            </w:r>
            <w:r>
              <w:rPr>
                <w:noProof/>
                <w:webHidden/>
              </w:rPr>
            </w:r>
            <w:r>
              <w:rPr>
                <w:noProof/>
                <w:webHidden/>
              </w:rPr>
              <w:fldChar w:fldCharType="separate"/>
            </w:r>
            <w:r>
              <w:rPr>
                <w:noProof/>
                <w:webHidden/>
              </w:rPr>
              <w:t>897</w:t>
            </w:r>
            <w:r>
              <w:rPr>
                <w:noProof/>
                <w:webHidden/>
              </w:rPr>
              <w:fldChar w:fldCharType="end"/>
            </w:r>
          </w:hyperlink>
        </w:p>
        <w:p w14:paraId="28F8A7A0" w14:textId="1D23CE91"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90" w:history="1">
            <w:r w:rsidRPr="001D4C20">
              <w:rPr>
                <w:rStyle w:val="Lienhypertexte"/>
                <w:noProof/>
              </w:rPr>
              <w:t>58.13.3 Mobilier de cuisine - Panneaux de finition (façades, joues, plinthes) CCTB 01.02</w:t>
            </w:r>
            <w:r>
              <w:rPr>
                <w:noProof/>
                <w:webHidden/>
              </w:rPr>
              <w:tab/>
            </w:r>
            <w:r>
              <w:rPr>
                <w:noProof/>
                <w:webHidden/>
              </w:rPr>
              <w:fldChar w:fldCharType="begin"/>
            </w:r>
            <w:r>
              <w:rPr>
                <w:noProof/>
                <w:webHidden/>
              </w:rPr>
              <w:instrText xml:space="preserve"> PAGEREF _Toc220491790 \h </w:instrText>
            </w:r>
            <w:r>
              <w:rPr>
                <w:noProof/>
                <w:webHidden/>
              </w:rPr>
            </w:r>
            <w:r>
              <w:rPr>
                <w:noProof/>
                <w:webHidden/>
              </w:rPr>
              <w:fldChar w:fldCharType="separate"/>
            </w:r>
            <w:r>
              <w:rPr>
                <w:noProof/>
                <w:webHidden/>
              </w:rPr>
              <w:t>898</w:t>
            </w:r>
            <w:r>
              <w:rPr>
                <w:noProof/>
                <w:webHidden/>
              </w:rPr>
              <w:fldChar w:fldCharType="end"/>
            </w:r>
          </w:hyperlink>
        </w:p>
        <w:p w14:paraId="66437E83" w14:textId="17FB3CB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91" w:history="1">
            <w:r w:rsidRPr="001D4C20">
              <w:rPr>
                <w:rStyle w:val="Lienhypertexte"/>
                <w:noProof/>
              </w:rPr>
              <w:t>58.13.3a Mobilier de cuisine - Panneaux de finition (façades, joues, plinthes) CCTB 01.10</w:t>
            </w:r>
            <w:r>
              <w:rPr>
                <w:noProof/>
                <w:webHidden/>
              </w:rPr>
              <w:tab/>
            </w:r>
            <w:r>
              <w:rPr>
                <w:noProof/>
                <w:webHidden/>
              </w:rPr>
              <w:fldChar w:fldCharType="begin"/>
            </w:r>
            <w:r>
              <w:rPr>
                <w:noProof/>
                <w:webHidden/>
              </w:rPr>
              <w:instrText xml:space="preserve"> PAGEREF _Toc220491791 \h </w:instrText>
            </w:r>
            <w:r>
              <w:rPr>
                <w:noProof/>
                <w:webHidden/>
              </w:rPr>
            </w:r>
            <w:r>
              <w:rPr>
                <w:noProof/>
                <w:webHidden/>
              </w:rPr>
              <w:fldChar w:fldCharType="separate"/>
            </w:r>
            <w:r>
              <w:rPr>
                <w:noProof/>
                <w:webHidden/>
              </w:rPr>
              <w:t>898</w:t>
            </w:r>
            <w:r>
              <w:rPr>
                <w:noProof/>
                <w:webHidden/>
              </w:rPr>
              <w:fldChar w:fldCharType="end"/>
            </w:r>
          </w:hyperlink>
        </w:p>
        <w:p w14:paraId="46595C2E" w14:textId="207A5346"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792" w:history="1">
            <w:r w:rsidRPr="001D4C20">
              <w:rPr>
                <w:rStyle w:val="Lienhypertexte"/>
                <w:noProof/>
              </w:rPr>
              <w:t>58.14 Mobilier de cuisine - Comptoir de distribution CCTB 01.02</w:t>
            </w:r>
            <w:r>
              <w:rPr>
                <w:noProof/>
                <w:webHidden/>
              </w:rPr>
              <w:tab/>
            </w:r>
            <w:r>
              <w:rPr>
                <w:noProof/>
                <w:webHidden/>
              </w:rPr>
              <w:fldChar w:fldCharType="begin"/>
            </w:r>
            <w:r>
              <w:rPr>
                <w:noProof/>
                <w:webHidden/>
              </w:rPr>
              <w:instrText xml:space="preserve"> PAGEREF _Toc220491792 \h </w:instrText>
            </w:r>
            <w:r>
              <w:rPr>
                <w:noProof/>
                <w:webHidden/>
              </w:rPr>
            </w:r>
            <w:r>
              <w:rPr>
                <w:noProof/>
                <w:webHidden/>
              </w:rPr>
              <w:fldChar w:fldCharType="separate"/>
            </w:r>
            <w:r>
              <w:rPr>
                <w:noProof/>
                <w:webHidden/>
              </w:rPr>
              <w:t>899</w:t>
            </w:r>
            <w:r>
              <w:rPr>
                <w:noProof/>
                <w:webHidden/>
              </w:rPr>
              <w:fldChar w:fldCharType="end"/>
            </w:r>
          </w:hyperlink>
        </w:p>
        <w:p w14:paraId="6D321C76" w14:textId="2535959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93" w:history="1">
            <w:r w:rsidRPr="001D4C20">
              <w:rPr>
                <w:rStyle w:val="Lienhypertexte"/>
                <w:noProof/>
              </w:rPr>
              <w:t>58.14.1 Mobilier de cuisine - Comptoir de distribution - Eléments blocs encastrés dans le comptoir CCTB 01.02</w:t>
            </w:r>
            <w:r>
              <w:rPr>
                <w:noProof/>
                <w:webHidden/>
              </w:rPr>
              <w:tab/>
            </w:r>
            <w:r>
              <w:rPr>
                <w:noProof/>
                <w:webHidden/>
              </w:rPr>
              <w:fldChar w:fldCharType="begin"/>
            </w:r>
            <w:r>
              <w:rPr>
                <w:noProof/>
                <w:webHidden/>
              </w:rPr>
              <w:instrText xml:space="preserve"> PAGEREF _Toc220491793 \h </w:instrText>
            </w:r>
            <w:r>
              <w:rPr>
                <w:noProof/>
                <w:webHidden/>
              </w:rPr>
            </w:r>
            <w:r>
              <w:rPr>
                <w:noProof/>
                <w:webHidden/>
              </w:rPr>
              <w:fldChar w:fldCharType="separate"/>
            </w:r>
            <w:r>
              <w:rPr>
                <w:noProof/>
                <w:webHidden/>
              </w:rPr>
              <w:t>899</w:t>
            </w:r>
            <w:r>
              <w:rPr>
                <w:noProof/>
                <w:webHidden/>
              </w:rPr>
              <w:fldChar w:fldCharType="end"/>
            </w:r>
          </w:hyperlink>
        </w:p>
        <w:p w14:paraId="367ACD35" w14:textId="3025003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94" w:history="1">
            <w:r w:rsidRPr="001D4C20">
              <w:rPr>
                <w:rStyle w:val="Lienhypertexte"/>
                <w:noProof/>
              </w:rPr>
              <w:t>58.14.1a Mobilier de cuisine - Comptoir de distribution - Eléments blocs encastrés dans le comptoir CCTB 01.02</w:t>
            </w:r>
            <w:r>
              <w:rPr>
                <w:noProof/>
                <w:webHidden/>
              </w:rPr>
              <w:tab/>
            </w:r>
            <w:r>
              <w:rPr>
                <w:noProof/>
                <w:webHidden/>
              </w:rPr>
              <w:fldChar w:fldCharType="begin"/>
            </w:r>
            <w:r>
              <w:rPr>
                <w:noProof/>
                <w:webHidden/>
              </w:rPr>
              <w:instrText xml:space="preserve"> PAGEREF _Toc220491794 \h </w:instrText>
            </w:r>
            <w:r>
              <w:rPr>
                <w:noProof/>
                <w:webHidden/>
              </w:rPr>
            </w:r>
            <w:r>
              <w:rPr>
                <w:noProof/>
                <w:webHidden/>
              </w:rPr>
              <w:fldChar w:fldCharType="separate"/>
            </w:r>
            <w:r>
              <w:rPr>
                <w:noProof/>
                <w:webHidden/>
              </w:rPr>
              <w:t>899</w:t>
            </w:r>
            <w:r>
              <w:rPr>
                <w:noProof/>
                <w:webHidden/>
              </w:rPr>
              <w:fldChar w:fldCharType="end"/>
            </w:r>
          </w:hyperlink>
        </w:p>
        <w:p w14:paraId="201F4B4A" w14:textId="1D2AACD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95" w:history="1">
            <w:r w:rsidRPr="001D4C20">
              <w:rPr>
                <w:rStyle w:val="Lienhypertexte"/>
                <w:noProof/>
              </w:rPr>
              <w:t>58.14.2 Mobilier de cuisine - Comptoir de distribution - Structure complémentaire CCTB 01.02</w:t>
            </w:r>
            <w:r>
              <w:rPr>
                <w:noProof/>
                <w:webHidden/>
              </w:rPr>
              <w:tab/>
            </w:r>
            <w:r>
              <w:rPr>
                <w:noProof/>
                <w:webHidden/>
              </w:rPr>
              <w:fldChar w:fldCharType="begin"/>
            </w:r>
            <w:r>
              <w:rPr>
                <w:noProof/>
                <w:webHidden/>
              </w:rPr>
              <w:instrText xml:space="preserve"> PAGEREF _Toc220491795 \h </w:instrText>
            </w:r>
            <w:r>
              <w:rPr>
                <w:noProof/>
                <w:webHidden/>
              </w:rPr>
            </w:r>
            <w:r>
              <w:rPr>
                <w:noProof/>
                <w:webHidden/>
              </w:rPr>
              <w:fldChar w:fldCharType="separate"/>
            </w:r>
            <w:r>
              <w:rPr>
                <w:noProof/>
                <w:webHidden/>
              </w:rPr>
              <w:t>899</w:t>
            </w:r>
            <w:r>
              <w:rPr>
                <w:noProof/>
                <w:webHidden/>
              </w:rPr>
              <w:fldChar w:fldCharType="end"/>
            </w:r>
          </w:hyperlink>
        </w:p>
        <w:p w14:paraId="6B9811F9" w14:textId="6A00072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96" w:history="1">
            <w:r w:rsidRPr="001D4C20">
              <w:rPr>
                <w:rStyle w:val="Lienhypertexte"/>
                <w:noProof/>
              </w:rPr>
              <w:t>58.14.2a Mobilier de cuisine - Comptoir de distribution - Structure complémentaire CCTB 01.02</w:t>
            </w:r>
            <w:r>
              <w:rPr>
                <w:noProof/>
                <w:webHidden/>
              </w:rPr>
              <w:tab/>
            </w:r>
            <w:r>
              <w:rPr>
                <w:noProof/>
                <w:webHidden/>
              </w:rPr>
              <w:fldChar w:fldCharType="begin"/>
            </w:r>
            <w:r>
              <w:rPr>
                <w:noProof/>
                <w:webHidden/>
              </w:rPr>
              <w:instrText xml:space="preserve"> PAGEREF _Toc220491796 \h </w:instrText>
            </w:r>
            <w:r>
              <w:rPr>
                <w:noProof/>
                <w:webHidden/>
              </w:rPr>
            </w:r>
            <w:r>
              <w:rPr>
                <w:noProof/>
                <w:webHidden/>
              </w:rPr>
              <w:fldChar w:fldCharType="separate"/>
            </w:r>
            <w:r>
              <w:rPr>
                <w:noProof/>
                <w:webHidden/>
              </w:rPr>
              <w:t>899</w:t>
            </w:r>
            <w:r>
              <w:rPr>
                <w:noProof/>
                <w:webHidden/>
              </w:rPr>
              <w:fldChar w:fldCharType="end"/>
            </w:r>
          </w:hyperlink>
        </w:p>
        <w:p w14:paraId="43F67139" w14:textId="1F7F9F2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97" w:history="1">
            <w:r w:rsidRPr="001D4C20">
              <w:rPr>
                <w:rStyle w:val="Lienhypertexte"/>
                <w:noProof/>
              </w:rPr>
              <w:t>58.14.3 Mobilier de cuisine - Comptoir de distribution - Plan de travail / de distribution / de séparation / tablette CCTB 01.02</w:t>
            </w:r>
            <w:r>
              <w:rPr>
                <w:noProof/>
                <w:webHidden/>
              </w:rPr>
              <w:tab/>
            </w:r>
            <w:r>
              <w:rPr>
                <w:noProof/>
                <w:webHidden/>
              </w:rPr>
              <w:fldChar w:fldCharType="begin"/>
            </w:r>
            <w:r>
              <w:rPr>
                <w:noProof/>
                <w:webHidden/>
              </w:rPr>
              <w:instrText xml:space="preserve"> PAGEREF _Toc220491797 \h </w:instrText>
            </w:r>
            <w:r>
              <w:rPr>
                <w:noProof/>
                <w:webHidden/>
              </w:rPr>
            </w:r>
            <w:r>
              <w:rPr>
                <w:noProof/>
                <w:webHidden/>
              </w:rPr>
              <w:fldChar w:fldCharType="separate"/>
            </w:r>
            <w:r>
              <w:rPr>
                <w:noProof/>
                <w:webHidden/>
              </w:rPr>
              <w:t>899</w:t>
            </w:r>
            <w:r>
              <w:rPr>
                <w:noProof/>
                <w:webHidden/>
              </w:rPr>
              <w:fldChar w:fldCharType="end"/>
            </w:r>
          </w:hyperlink>
        </w:p>
        <w:p w14:paraId="6062639C" w14:textId="667FCC8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798" w:history="1">
            <w:r w:rsidRPr="001D4C20">
              <w:rPr>
                <w:rStyle w:val="Lienhypertexte"/>
                <w:noProof/>
              </w:rPr>
              <w:t>58.14.3a Mobilier de cuisine - Comptoir de distribution - Plan de travail / de distribution / de séparation / tablette CCTB 01.02</w:t>
            </w:r>
            <w:r>
              <w:rPr>
                <w:noProof/>
                <w:webHidden/>
              </w:rPr>
              <w:tab/>
            </w:r>
            <w:r>
              <w:rPr>
                <w:noProof/>
                <w:webHidden/>
              </w:rPr>
              <w:fldChar w:fldCharType="begin"/>
            </w:r>
            <w:r>
              <w:rPr>
                <w:noProof/>
                <w:webHidden/>
              </w:rPr>
              <w:instrText xml:space="preserve"> PAGEREF _Toc220491798 \h </w:instrText>
            </w:r>
            <w:r>
              <w:rPr>
                <w:noProof/>
                <w:webHidden/>
              </w:rPr>
            </w:r>
            <w:r>
              <w:rPr>
                <w:noProof/>
                <w:webHidden/>
              </w:rPr>
              <w:fldChar w:fldCharType="separate"/>
            </w:r>
            <w:r>
              <w:rPr>
                <w:noProof/>
                <w:webHidden/>
              </w:rPr>
              <w:t>899</w:t>
            </w:r>
            <w:r>
              <w:rPr>
                <w:noProof/>
                <w:webHidden/>
              </w:rPr>
              <w:fldChar w:fldCharType="end"/>
            </w:r>
          </w:hyperlink>
        </w:p>
        <w:p w14:paraId="39943196" w14:textId="4AD265AD"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799" w:history="1">
            <w:r w:rsidRPr="001D4C20">
              <w:rPr>
                <w:rStyle w:val="Lienhypertexte"/>
                <w:noProof/>
              </w:rPr>
              <w:t>58.14.4 Mobilier de cuisine - Comptoir de distribution - Plan de distribution CCTB 01.02</w:t>
            </w:r>
            <w:r>
              <w:rPr>
                <w:noProof/>
                <w:webHidden/>
              </w:rPr>
              <w:tab/>
            </w:r>
            <w:r>
              <w:rPr>
                <w:noProof/>
                <w:webHidden/>
              </w:rPr>
              <w:fldChar w:fldCharType="begin"/>
            </w:r>
            <w:r>
              <w:rPr>
                <w:noProof/>
                <w:webHidden/>
              </w:rPr>
              <w:instrText xml:space="preserve"> PAGEREF _Toc220491799 \h </w:instrText>
            </w:r>
            <w:r>
              <w:rPr>
                <w:noProof/>
                <w:webHidden/>
              </w:rPr>
            </w:r>
            <w:r>
              <w:rPr>
                <w:noProof/>
                <w:webHidden/>
              </w:rPr>
              <w:fldChar w:fldCharType="separate"/>
            </w:r>
            <w:r>
              <w:rPr>
                <w:noProof/>
                <w:webHidden/>
              </w:rPr>
              <w:t>899</w:t>
            </w:r>
            <w:r>
              <w:rPr>
                <w:noProof/>
                <w:webHidden/>
              </w:rPr>
              <w:fldChar w:fldCharType="end"/>
            </w:r>
          </w:hyperlink>
        </w:p>
        <w:p w14:paraId="053F2023" w14:textId="269D410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00" w:history="1">
            <w:r w:rsidRPr="001D4C20">
              <w:rPr>
                <w:rStyle w:val="Lienhypertexte"/>
                <w:noProof/>
              </w:rPr>
              <w:t>58.14.4a Mobilier de cuisine - Comptoir de distribution - Plan de distribution CCTB 01.02</w:t>
            </w:r>
            <w:r>
              <w:rPr>
                <w:noProof/>
                <w:webHidden/>
              </w:rPr>
              <w:tab/>
            </w:r>
            <w:r>
              <w:rPr>
                <w:noProof/>
                <w:webHidden/>
              </w:rPr>
              <w:fldChar w:fldCharType="begin"/>
            </w:r>
            <w:r>
              <w:rPr>
                <w:noProof/>
                <w:webHidden/>
              </w:rPr>
              <w:instrText xml:space="preserve"> PAGEREF _Toc220491800 \h </w:instrText>
            </w:r>
            <w:r>
              <w:rPr>
                <w:noProof/>
                <w:webHidden/>
              </w:rPr>
            </w:r>
            <w:r>
              <w:rPr>
                <w:noProof/>
                <w:webHidden/>
              </w:rPr>
              <w:fldChar w:fldCharType="separate"/>
            </w:r>
            <w:r>
              <w:rPr>
                <w:noProof/>
                <w:webHidden/>
              </w:rPr>
              <w:t>899</w:t>
            </w:r>
            <w:r>
              <w:rPr>
                <w:noProof/>
                <w:webHidden/>
              </w:rPr>
              <w:fldChar w:fldCharType="end"/>
            </w:r>
          </w:hyperlink>
        </w:p>
        <w:p w14:paraId="61C08D9E" w14:textId="7F8691FF"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01" w:history="1">
            <w:r w:rsidRPr="001D4C20">
              <w:rPr>
                <w:rStyle w:val="Lienhypertexte"/>
                <w:noProof/>
              </w:rPr>
              <w:t>58.14.5 Mobilier de cuisine - Comptoir de distribution - Panneaux de séparation CCTB 01.02</w:t>
            </w:r>
            <w:r>
              <w:rPr>
                <w:noProof/>
                <w:webHidden/>
              </w:rPr>
              <w:tab/>
            </w:r>
            <w:r>
              <w:rPr>
                <w:noProof/>
                <w:webHidden/>
              </w:rPr>
              <w:fldChar w:fldCharType="begin"/>
            </w:r>
            <w:r>
              <w:rPr>
                <w:noProof/>
                <w:webHidden/>
              </w:rPr>
              <w:instrText xml:space="preserve"> PAGEREF _Toc220491801 \h </w:instrText>
            </w:r>
            <w:r>
              <w:rPr>
                <w:noProof/>
                <w:webHidden/>
              </w:rPr>
            </w:r>
            <w:r>
              <w:rPr>
                <w:noProof/>
                <w:webHidden/>
              </w:rPr>
              <w:fldChar w:fldCharType="separate"/>
            </w:r>
            <w:r>
              <w:rPr>
                <w:noProof/>
                <w:webHidden/>
              </w:rPr>
              <w:t>900</w:t>
            </w:r>
            <w:r>
              <w:rPr>
                <w:noProof/>
                <w:webHidden/>
              </w:rPr>
              <w:fldChar w:fldCharType="end"/>
            </w:r>
          </w:hyperlink>
        </w:p>
        <w:p w14:paraId="3305DB5D" w14:textId="404F778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02" w:history="1">
            <w:r w:rsidRPr="001D4C20">
              <w:rPr>
                <w:rStyle w:val="Lienhypertexte"/>
                <w:noProof/>
              </w:rPr>
              <w:t>58.14.5a Mobilier de cuisine - Comptoir de distribution - Panneaux de séparation CCTB 01.02</w:t>
            </w:r>
            <w:r>
              <w:rPr>
                <w:noProof/>
                <w:webHidden/>
              </w:rPr>
              <w:tab/>
            </w:r>
            <w:r>
              <w:rPr>
                <w:noProof/>
                <w:webHidden/>
              </w:rPr>
              <w:fldChar w:fldCharType="begin"/>
            </w:r>
            <w:r>
              <w:rPr>
                <w:noProof/>
                <w:webHidden/>
              </w:rPr>
              <w:instrText xml:space="preserve"> PAGEREF _Toc220491802 \h </w:instrText>
            </w:r>
            <w:r>
              <w:rPr>
                <w:noProof/>
                <w:webHidden/>
              </w:rPr>
            </w:r>
            <w:r>
              <w:rPr>
                <w:noProof/>
                <w:webHidden/>
              </w:rPr>
              <w:fldChar w:fldCharType="separate"/>
            </w:r>
            <w:r>
              <w:rPr>
                <w:noProof/>
                <w:webHidden/>
              </w:rPr>
              <w:t>900</w:t>
            </w:r>
            <w:r>
              <w:rPr>
                <w:noProof/>
                <w:webHidden/>
              </w:rPr>
              <w:fldChar w:fldCharType="end"/>
            </w:r>
          </w:hyperlink>
        </w:p>
        <w:p w14:paraId="02BD4705" w14:textId="652A9F4A"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03" w:history="1">
            <w:r w:rsidRPr="001D4C20">
              <w:rPr>
                <w:rStyle w:val="Lienhypertexte"/>
                <w:noProof/>
              </w:rPr>
              <w:t>58.14.6 Mobilier de cuisine - Comptoir de distribution - Tablettes CCTB 01.02</w:t>
            </w:r>
            <w:r>
              <w:rPr>
                <w:noProof/>
                <w:webHidden/>
              </w:rPr>
              <w:tab/>
            </w:r>
            <w:r>
              <w:rPr>
                <w:noProof/>
                <w:webHidden/>
              </w:rPr>
              <w:fldChar w:fldCharType="begin"/>
            </w:r>
            <w:r>
              <w:rPr>
                <w:noProof/>
                <w:webHidden/>
              </w:rPr>
              <w:instrText xml:space="preserve"> PAGEREF _Toc220491803 \h </w:instrText>
            </w:r>
            <w:r>
              <w:rPr>
                <w:noProof/>
                <w:webHidden/>
              </w:rPr>
            </w:r>
            <w:r>
              <w:rPr>
                <w:noProof/>
                <w:webHidden/>
              </w:rPr>
              <w:fldChar w:fldCharType="separate"/>
            </w:r>
            <w:r>
              <w:rPr>
                <w:noProof/>
                <w:webHidden/>
              </w:rPr>
              <w:t>900</w:t>
            </w:r>
            <w:r>
              <w:rPr>
                <w:noProof/>
                <w:webHidden/>
              </w:rPr>
              <w:fldChar w:fldCharType="end"/>
            </w:r>
          </w:hyperlink>
        </w:p>
        <w:p w14:paraId="325A4231" w14:textId="07856FA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04" w:history="1">
            <w:r w:rsidRPr="001D4C20">
              <w:rPr>
                <w:rStyle w:val="Lienhypertexte"/>
                <w:noProof/>
              </w:rPr>
              <w:t>58.14.6a Mobilier de cuisine - Comptoir de distribution - Tablettes CCTB 01.02</w:t>
            </w:r>
            <w:r>
              <w:rPr>
                <w:noProof/>
                <w:webHidden/>
              </w:rPr>
              <w:tab/>
            </w:r>
            <w:r>
              <w:rPr>
                <w:noProof/>
                <w:webHidden/>
              </w:rPr>
              <w:fldChar w:fldCharType="begin"/>
            </w:r>
            <w:r>
              <w:rPr>
                <w:noProof/>
                <w:webHidden/>
              </w:rPr>
              <w:instrText xml:space="preserve"> PAGEREF _Toc220491804 \h </w:instrText>
            </w:r>
            <w:r>
              <w:rPr>
                <w:noProof/>
                <w:webHidden/>
              </w:rPr>
            </w:r>
            <w:r>
              <w:rPr>
                <w:noProof/>
                <w:webHidden/>
              </w:rPr>
              <w:fldChar w:fldCharType="separate"/>
            </w:r>
            <w:r>
              <w:rPr>
                <w:noProof/>
                <w:webHidden/>
              </w:rPr>
              <w:t>900</w:t>
            </w:r>
            <w:r>
              <w:rPr>
                <w:noProof/>
                <w:webHidden/>
              </w:rPr>
              <w:fldChar w:fldCharType="end"/>
            </w:r>
          </w:hyperlink>
        </w:p>
        <w:p w14:paraId="4BAA0E32" w14:textId="7C0699A8"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805" w:history="1">
            <w:r w:rsidRPr="001D4C20">
              <w:rPr>
                <w:rStyle w:val="Lienhypertexte"/>
                <w:noProof/>
              </w:rPr>
              <w:t>58.15 Mobilier de cuisine - Quincaillerie complémentaire CCTB 01.02</w:t>
            </w:r>
            <w:r>
              <w:rPr>
                <w:noProof/>
                <w:webHidden/>
              </w:rPr>
              <w:tab/>
            </w:r>
            <w:r>
              <w:rPr>
                <w:noProof/>
                <w:webHidden/>
              </w:rPr>
              <w:fldChar w:fldCharType="begin"/>
            </w:r>
            <w:r>
              <w:rPr>
                <w:noProof/>
                <w:webHidden/>
              </w:rPr>
              <w:instrText xml:space="preserve"> PAGEREF _Toc220491805 \h </w:instrText>
            </w:r>
            <w:r>
              <w:rPr>
                <w:noProof/>
                <w:webHidden/>
              </w:rPr>
            </w:r>
            <w:r>
              <w:rPr>
                <w:noProof/>
                <w:webHidden/>
              </w:rPr>
              <w:fldChar w:fldCharType="separate"/>
            </w:r>
            <w:r>
              <w:rPr>
                <w:noProof/>
                <w:webHidden/>
              </w:rPr>
              <w:t>900</w:t>
            </w:r>
            <w:r>
              <w:rPr>
                <w:noProof/>
                <w:webHidden/>
              </w:rPr>
              <w:fldChar w:fldCharType="end"/>
            </w:r>
          </w:hyperlink>
        </w:p>
        <w:p w14:paraId="55EF6E14" w14:textId="0A2FA4B0"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06" w:history="1">
            <w:r w:rsidRPr="001D4C20">
              <w:rPr>
                <w:rStyle w:val="Lienhypertexte"/>
                <w:noProof/>
              </w:rPr>
              <w:t>58.15.1 Mobilier de cuisine - Quincaillerie complémentaire - Poignées et tirants CCTB 01.02</w:t>
            </w:r>
            <w:r>
              <w:rPr>
                <w:noProof/>
                <w:webHidden/>
              </w:rPr>
              <w:tab/>
            </w:r>
            <w:r>
              <w:rPr>
                <w:noProof/>
                <w:webHidden/>
              </w:rPr>
              <w:fldChar w:fldCharType="begin"/>
            </w:r>
            <w:r>
              <w:rPr>
                <w:noProof/>
                <w:webHidden/>
              </w:rPr>
              <w:instrText xml:space="preserve"> PAGEREF _Toc220491806 \h </w:instrText>
            </w:r>
            <w:r>
              <w:rPr>
                <w:noProof/>
                <w:webHidden/>
              </w:rPr>
            </w:r>
            <w:r>
              <w:rPr>
                <w:noProof/>
                <w:webHidden/>
              </w:rPr>
              <w:fldChar w:fldCharType="separate"/>
            </w:r>
            <w:r>
              <w:rPr>
                <w:noProof/>
                <w:webHidden/>
              </w:rPr>
              <w:t>900</w:t>
            </w:r>
            <w:r>
              <w:rPr>
                <w:noProof/>
                <w:webHidden/>
              </w:rPr>
              <w:fldChar w:fldCharType="end"/>
            </w:r>
          </w:hyperlink>
        </w:p>
        <w:p w14:paraId="5D5ECDE8" w14:textId="4CB07E4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07" w:history="1">
            <w:r w:rsidRPr="001D4C20">
              <w:rPr>
                <w:rStyle w:val="Lienhypertexte"/>
                <w:noProof/>
              </w:rPr>
              <w:t>58.15.1a Mobilier de cuisine - Quincaillerie complémentaire - Poignées et tirants CCTB 01.10</w:t>
            </w:r>
            <w:r>
              <w:rPr>
                <w:noProof/>
                <w:webHidden/>
              </w:rPr>
              <w:tab/>
            </w:r>
            <w:r>
              <w:rPr>
                <w:noProof/>
                <w:webHidden/>
              </w:rPr>
              <w:fldChar w:fldCharType="begin"/>
            </w:r>
            <w:r>
              <w:rPr>
                <w:noProof/>
                <w:webHidden/>
              </w:rPr>
              <w:instrText xml:space="preserve"> PAGEREF _Toc220491807 \h </w:instrText>
            </w:r>
            <w:r>
              <w:rPr>
                <w:noProof/>
                <w:webHidden/>
              </w:rPr>
            </w:r>
            <w:r>
              <w:rPr>
                <w:noProof/>
                <w:webHidden/>
              </w:rPr>
              <w:fldChar w:fldCharType="separate"/>
            </w:r>
            <w:r>
              <w:rPr>
                <w:noProof/>
                <w:webHidden/>
              </w:rPr>
              <w:t>900</w:t>
            </w:r>
            <w:r>
              <w:rPr>
                <w:noProof/>
                <w:webHidden/>
              </w:rPr>
              <w:fldChar w:fldCharType="end"/>
            </w:r>
          </w:hyperlink>
        </w:p>
        <w:p w14:paraId="190E128D" w14:textId="70708216"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08" w:history="1">
            <w:r w:rsidRPr="001D4C20">
              <w:rPr>
                <w:rStyle w:val="Lienhypertexte"/>
                <w:noProof/>
              </w:rPr>
              <w:t>58.15.2 Mobilier de cuisine - Quincaillerie complémentaire - Charnières CCTB 01.02</w:t>
            </w:r>
            <w:r>
              <w:rPr>
                <w:noProof/>
                <w:webHidden/>
              </w:rPr>
              <w:tab/>
            </w:r>
            <w:r>
              <w:rPr>
                <w:noProof/>
                <w:webHidden/>
              </w:rPr>
              <w:fldChar w:fldCharType="begin"/>
            </w:r>
            <w:r>
              <w:rPr>
                <w:noProof/>
                <w:webHidden/>
              </w:rPr>
              <w:instrText xml:space="preserve"> PAGEREF _Toc220491808 \h </w:instrText>
            </w:r>
            <w:r>
              <w:rPr>
                <w:noProof/>
                <w:webHidden/>
              </w:rPr>
            </w:r>
            <w:r>
              <w:rPr>
                <w:noProof/>
                <w:webHidden/>
              </w:rPr>
              <w:fldChar w:fldCharType="separate"/>
            </w:r>
            <w:r>
              <w:rPr>
                <w:noProof/>
                <w:webHidden/>
              </w:rPr>
              <w:t>901</w:t>
            </w:r>
            <w:r>
              <w:rPr>
                <w:noProof/>
                <w:webHidden/>
              </w:rPr>
              <w:fldChar w:fldCharType="end"/>
            </w:r>
          </w:hyperlink>
        </w:p>
        <w:p w14:paraId="4BEA79D2" w14:textId="31899EA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09" w:history="1">
            <w:r w:rsidRPr="001D4C20">
              <w:rPr>
                <w:rStyle w:val="Lienhypertexte"/>
                <w:noProof/>
              </w:rPr>
              <w:t>58.15.2a Mobilier de cuisine - Quincaillerie complémentaire - Charnières CCTB 01.02</w:t>
            </w:r>
            <w:r>
              <w:rPr>
                <w:noProof/>
                <w:webHidden/>
              </w:rPr>
              <w:tab/>
            </w:r>
            <w:r>
              <w:rPr>
                <w:noProof/>
                <w:webHidden/>
              </w:rPr>
              <w:fldChar w:fldCharType="begin"/>
            </w:r>
            <w:r>
              <w:rPr>
                <w:noProof/>
                <w:webHidden/>
              </w:rPr>
              <w:instrText xml:space="preserve"> PAGEREF _Toc220491809 \h </w:instrText>
            </w:r>
            <w:r>
              <w:rPr>
                <w:noProof/>
                <w:webHidden/>
              </w:rPr>
            </w:r>
            <w:r>
              <w:rPr>
                <w:noProof/>
                <w:webHidden/>
              </w:rPr>
              <w:fldChar w:fldCharType="separate"/>
            </w:r>
            <w:r>
              <w:rPr>
                <w:noProof/>
                <w:webHidden/>
              </w:rPr>
              <w:t>901</w:t>
            </w:r>
            <w:r>
              <w:rPr>
                <w:noProof/>
                <w:webHidden/>
              </w:rPr>
              <w:fldChar w:fldCharType="end"/>
            </w:r>
          </w:hyperlink>
        </w:p>
        <w:p w14:paraId="7D505BE1" w14:textId="5A732D5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10" w:history="1">
            <w:r w:rsidRPr="001D4C20">
              <w:rPr>
                <w:rStyle w:val="Lienhypertexte"/>
                <w:noProof/>
              </w:rPr>
              <w:t>58.15.3 Mobilier de cuisine - Quincaillerie complémentaire - Rails et glissières CCTB 01.02</w:t>
            </w:r>
            <w:r>
              <w:rPr>
                <w:noProof/>
                <w:webHidden/>
              </w:rPr>
              <w:tab/>
            </w:r>
            <w:r>
              <w:rPr>
                <w:noProof/>
                <w:webHidden/>
              </w:rPr>
              <w:fldChar w:fldCharType="begin"/>
            </w:r>
            <w:r>
              <w:rPr>
                <w:noProof/>
                <w:webHidden/>
              </w:rPr>
              <w:instrText xml:space="preserve"> PAGEREF _Toc220491810 \h </w:instrText>
            </w:r>
            <w:r>
              <w:rPr>
                <w:noProof/>
                <w:webHidden/>
              </w:rPr>
            </w:r>
            <w:r>
              <w:rPr>
                <w:noProof/>
                <w:webHidden/>
              </w:rPr>
              <w:fldChar w:fldCharType="separate"/>
            </w:r>
            <w:r>
              <w:rPr>
                <w:noProof/>
                <w:webHidden/>
              </w:rPr>
              <w:t>901</w:t>
            </w:r>
            <w:r>
              <w:rPr>
                <w:noProof/>
                <w:webHidden/>
              </w:rPr>
              <w:fldChar w:fldCharType="end"/>
            </w:r>
          </w:hyperlink>
        </w:p>
        <w:p w14:paraId="0EE1CAD7" w14:textId="7142497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11" w:history="1">
            <w:r w:rsidRPr="001D4C20">
              <w:rPr>
                <w:rStyle w:val="Lienhypertexte"/>
                <w:noProof/>
              </w:rPr>
              <w:t>58.15.3a Mobilier de cuisine - Quincaillerie complémentaire - Rails et glissières CCTB 01.02</w:t>
            </w:r>
            <w:r>
              <w:rPr>
                <w:noProof/>
                <w:webHidden/>
              </w:rPr>
              <w:tab/>
            </w:r>
            <w:r>
              <w:rPr>
                <w:noProof/>
                <w:webHidden/>
              </w:rPr>
              <w:fldChar w:fldCharType="begin"/>
            </w:r>
            <w:r>
              <w:rPr>
                <w:noProof/>
                <w:webHidden/>
              </w:rPr>
              <w:instrText xml:space="preserve"> PAGEREF _Toc220491811 \h </w:instrText>
            </w:r>
            <w:r>
              <w:rPr>
                <w:noProof/>
                <w:webHidden/>
              </w:rPr>
            </w:r>
            <w:r>
              <w:rPr>
                <w:noProof/>
                <w:webHidden/>
              </w:rPr>
              <w:fldChar w:fldCharType="separate"/>
            </w:r>
            <w:r>
              <w:rPr>
                <w:noProof/>
                <w:webHidden/>
              </w:rPr>
              <w:t>901</w:t>
            </w:r>
            <w:r>
              <w:rPr>
                <w:noProof/>
                <w:webHidden/>
              </w:rPr>
              <w:fldChar w:fldCharType="end"/>
            </w:r>
          </w:hyperlink>
        </w:p>
        <w:p w14:paraId="072F5694" w14:textId="0A16BD5B"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812" w:history="1">
            <w:r w:rsidRPr="001D4C20">
              <w:rPr>
                <w:rStyle w:val="Lienhypertexte"/>
                <w:noProof/>
              </w:rPr>
              <w:t>58.16 Mobilier de cuisine - Accessoires CCTB 01.02</w:t>
            </w:r>
            <w:r>
              <w:rPr>
                <w:noProof/>
                <w:webHidden/>
              </w:rPr>
              <w:tab/>
            </w:r>
            <w:r>
              <w:rPr>
                <w:noProof/>
                <w:webHidden/>
              </w:rPr>
              <w:fldChar w:fldCharType="begin"/>
            </w:r>
            <w:r>
              <w:rPr>
                <w:noProof/>
                <w:webHidden/>
              </w:rPr>
              <w:instrText xml:space="preserve"> PAGEREF _Toc220491812 \h </w:instrText>
            </w:r>
            <w:r>
              <w:rPr>
                <w:noProof/>
                <w:webHidden/>
              </w:rPr>
            </w:r>
            <w:r>
              <w:rPr>
                <w:noProof/>
                <w:webHidden/>
              </w:rPr>
              <w:fldChar w:fldCharType="separate"/>
            </w:r>
            <w:r>
              <w:rPr>
                <w:noProof/>
                <w:webHidden/>
              </w:rPr>
              <w:t>901</w:t>
            </w:r>
            <w:r>
              <w:rPr>
                <w:noProof/>
                <w:webHidden/>
              </w:rPr>
              <w:fldChar w:fldCharType="end"/>
            </w:r>
          </w:hyperlink>
        </w:p>
        <w:p w14:paraId="3E190F48" w14:textId="137E2C1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13" w:history="1">
            <w:r w:rsidRPr="001D4C20">
              <w:rPr>
                <w:rStyle w:val="Lienhypertexte"/>
                <w:noProof/>
              </w:rPr>
              <w:t>58.16.1 Mobilier de cuisine - Accessoires CCTB 01.10</w:t>
            </w:r>
            <w:r>
              <w:rPr>
                <w:noProof/>
                <w:webHidden/>
              </w:rPr>
              <w:tab/>
            </w:r>
            <w:r>
              <w:rPr>
                <w:noProof/>
                <w:webHidden/>
              </w:rPr>
              <w:fldChar w:fldCharType="begin"/>
            </w:r>
            <w:r>
              <w:rPr>
                <w:noProof/>
                <w:webHidden/>
              </w:rPr>
              <w:instrText xml:space="preserve"> PAGEREF _Toc220491813 \h </w:instrText>
            </w:r>
            <w:r>
              <w:rPr>
                <w:noProof/>
                <w:webHidden/>
              </w:rPr>
            </w:r>
            <w:r>
              <w:rPr>
                <w:noProof/>
                <w:webHidden/>
              </w:rPr>
              <w:fldChar w:fldCharType="separate"/>
            </w:r>
            <w:r>
              <w:rPr>
                <w:noProof/>
                <w:webHidden/>
              </w:rPr>
              <w:t>901</w:t>
            </w:r>
            <w:r>
              <w:rPr>
                <w:noProof/>
                <w:webHidden/>
              </w:rPr>
              <w:fldChar w:fldCharType="end"/>
            </w:r>
          </w:hyperlink>
        </w:p>
        <w:p w14:paraId="626C1ABD" w14:textId="23C058B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14" w:history="1">
            <w:r w:rsidRPr="001D4C20">
              <w:rPr>
                <w:rStyle w:val="Lienhypertexte"/>
                <w:noProof/>
              </w:rPr>
              <w:t>58.16.1a Mobilier de cuisine - Accessoires CCTB 01.10</w:t>
            </w:r>
            <w:r>
              <w:rPr>
                <w:noProof/>
                <w:webHidden/>
              </w:rPr>
              <w:tab/>
            </w:r>
            <w:r>
              <w:rPr>
                <w:noProof/>
                <w:webHidden/>
              </w:rPr>
              <w:fldChar w:fldCharType="begin"/>
            </w:r>
            <w:r>
              <w:rPr>
                <w:noProof/>
                <w:webHidden/>
              </w:rPr>
              <w:instrText xml:space="preserve"> PAGEREF _Toc220491814 \h </w:instrText>
            </w:r>
            <w:r>
              <w:rPr>
                <w:noProof/>
                <w:webHidden/>
              </w:rPr>
            </w:r>
            <w:r>
              <w:rPr>
                <w:noProof/>
                <w:webHidden/>
              </w:rPr>
              <w:fldChar w:fldCharType="separate"/>
            </w:r>
            <w:r>
              <w:rPr>
                <w:noProof/>
                <w:webHidden/>
              </w:rPr>
              <w:t>901</w:t>
            </w:r>
            <w:r>
              <w:rPr>
                <w:noProof/>
                <w:webHidden/>
              </w:rPr>
              <w:fldChar w:fldCharType="end"/>
            </w:r>
          </w:hyperlink>
        </w:p>
        <w:p w14:paraId="684ABFD7" w14:textId="54DB8328"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815" w:history="1">
            <w:r w:rsidRPr="001D4C20">
              <w:rPr>
                <w:rStyle w:val="Lienhypertexte"/>
                <w:noProof/>
              </w:rPr>
              <w:t>58.2 Mobilier de salle de bain / de sanitaires CCTB 01.10</w:t>
            </w:r>
            <w:r>
              <w:rPr>
                <w:noProof/>
                <w:webHidden/>
              </w:rPr>
              <w:tab/>
            </w:r>
            <w:r>
              <w:rPr>
                <w:noProof/>
                <w:webHidden/>
              </w:rPr>
              <w:fldChar w:fldCharType="begin"/>
            </w:r>
            <w:r>
              <w:rPr>
                <w:noProof/>
                <w:webHidden/>
              </w:rPr>
              <w:instrText xml:space="preserve"> PAGEREF _Toc220491815 \h </w:instrText>
            </w:r>
            <w:r>
              <w:rPr>
                <w:noProof/>
                <w:webHidden/>
              </w:rPr>
            </w:r>
            <w:r>
              <w:rPr>
                <w:noProof/>
                <w:webHidden/>
              </w:rPr>
              <w:fldChar w:fldCharType="separate"/>
            </w:r>
            <w:r>
              <w:rPr>
                <w:noProof/>
                <w:webHidden/>
              </w:rPr>
              <w:t>902</w:t>
            </w:r>
            <w:r>
              <w:rPr>
                <w:noProof/>
                <w:webHidden/>
              </w:rPr>
              <w:fldChar w:fldCharType="end"/>
            </w:r>
          </w:hyperlink>
        </w:p>
        <w:p w14:paraId="16AE8CA0" w14:textId="2BA9AEF3"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816" w:history="1">
            <w:r w:rsidRPr="001D4C20">
              <w:rPr>
                <w:rStyle w:val="Lienhypertexte"/>
                <w:noProof/>
              </w:rPr>
              <w:t>58.21 Mobilier de salle de bain / de sanitaires - Structure et planches CCTB 01.10</w:t>
            </w:r>
            <w:r>
              <w:rPr>
                <w:noProof/>
                <w:webHidden/>
              </w:rPr>
              <w:tab/>
            </w:r>
            <w:r>
              <w:rPr>
                <w:noProof/>
                <w:webHidden/>
              </w:rPr>
              <w:fldChar w:fldCharType="begin"/>
            </w:r>
            <w:r>
              <w:rPr>
                <w:noProof/>
                <w:webHidden/>
              </w:rPr>
              <w:instrText xml:space="preserve"> PAGEREF _Toc220491816 \h </w:instrText>
            </w:r>
            <w:r>
              <w:rPr>
                <w:noProof/>
                <w:webHidden/>
              </w:rPr>
            </w:r>
            <w:r>
              <w:rPr>
                <w:noProof/>
                <w:webHidden/>
              </w:rPr>
              <w:fldChar w:fldCharType="separate"/>
            </w:r>
            <w:r>
              <w:rPr>
                <w:noProof/>
                <w:webHidden/>
              </w:rPr>
              <w:t>904</w:t>
            </w:r>
            <w:r>
              <w:rPr>
                <w:noProof/>
                <w:webHidden/>
              </w:rPr>
              <w:fldChar w:fldCharType="end"/>
            </w:r>
          </w:hyperlink>
        </w:p>
        <w:p w14:paraId="415590B8" w14:textId="2AD5CD0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17" w:history="1">
            <w:r w:rsidRPr="001D4C20">
              <w:rPr>
                <w:rStyle w:val="Lienhypertexte"/>
                <w:noProof/>
              </w:rPr>
              <w:t>58.21.1 Mobilier de salle de bain / de sanitaires - Structure et planches - Eléments blocs CCTB 01.02</w:t>
            </w:r>
            <w:r>
              <w:rPr>
                <w:noProof/>
                <w:webHidden/>
              </w:rPr>
              <w:tab/>
            </w:r>
            <w:r>
              <w:rPr>
                <w:noProof/>
                <w:webHidden/>
              </w:rPr>
              <w:fldChar w:fldCharType="begin"/>
            </w:r>
            <w:r>
              <w:rPr>
                <w:noProof/>
                <w:webHidden/>
              </w:rPr>
              <w:instrText xml:space="preserve"> PAGEREF _Toc220491817 \h </w:instrText>
            </w:r>
            <w:r>
              <w:rPr>
                <w:noProof/>
                <w:webHidden/>
              </w:rPr>
            </w:r>
            <w:r>
              <w:rPr>
                <w:noProof/>
                <w:webHidden/>
              </w:rPr>
              <w:fldChar w:fldCharType="separate"/>
            </w:r>
            <w:r>
              <w:rPr>
                <w:noProof/>
                <w:webHidden/>
              </w:rPr>
              <w:t>904</w:t>
            </w:r>
            <w:r>
              <w:rPr>
                <w:noProof/>
                <w:webHidden/>
              </w:rPr>
              <w:fldChar w:fldCharType="end"/>
            </w:r>
          </w:hyperlink>
        </w:p>
        <w:p w14:paraId="0A9DBE56" w14:textId="0778ADC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18" w:history="1">
            <w:r w:rsidRPr="001D4C20">
              <w:rPr>
                <w:rStyle w:val="Lienhypertexte"/>
                <w:noProof/>
              </w:rPr>
              <w:t>58.21.1a Mobilier de salle de bain / de sanitaires - Structure et planches - Eléments blocs CCTB 01.02</w:t>
            </w:r>
            <w:r>
              <w:rPr>
                <w:noProof/>
                <w:webHidden/>
              </w:rPr>
              <w:tab/>
            </w:r>
            <w:r>
              <w:rPr>
                <w:noProof/>
                <w:webHidden/>
              </w:rPr>
              <w:fldChar w:fldCharType="begin"/>
            </w:r>
            <w:r>
              <w:rPr>
                <w:noProof/>
                <w:webHidden/>
              </w:rPr>
              <w:instrText xml:space="preserve"> PAGEREF _Toc220491818 \h </w:instrText>
            </w:r>
            <w:r>
              <w:rPr>
                <w:noProof/>
                <w:webHidden/>
              </w:rPr>
            </w:r>
            <w:r>
              <w:rPr>
                <w:noProof/>
                <w:webHidden/>
              </w:rPr>
              <w:fldChar w:fldCharType="separate"/>
            </w:r>
            <w:r>
              <w:rPr>
                <w:noProof/>
                <w:webHidden/>
              </w:rPr>
              <w:t>904</w:t>
            </w:r>
            <w:r>
              <w:rPr>
                <w:noProof/>
                <w:webHidden/>
              </w:rPr>
              <w:fldChar w:fldCharType="end"/>
            </w:r>
          </w:hyperlink>
        </w:p>
        <w:p w14:paraId="609B9466" w14:textId="40F8DF5B"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19" w:history="1">
            <w:r w:rsidRPr="001D4C20">
              <w:rPr>
                <w:rStyle w:val="Lienhypertexte"/>
                <w:noProof/>
              </w:rPr>
              <w:t>58.21.2 Mobilier de salle de bain / de sanitaires - Structure et planches - Façades &amp; côtés apparents CCTB 01.02</w:t>
            </w:r>
            <w:r>
              <w:rPr>
                <w:noProof/>
                <w:webHidden/>
              </w:rPr>
              <w:tab/>
            </w:r>
            <w:r>
              <w:rPr>
                <w:noProof/>
                <w:webHidden/>
              </w:rPr>
              <w:fldChar w:fldCharType="begin"/>
            </w:r>
            <w:r>
              <w:rPr>
                <w:noProof/>
                <w:webHidden/>
              </w:rPr>
              <w:instrText xml:space="preserve"> PAGEREF _Toc220491819 \h </w:instrText>
            </w:r>
            <w:r>
              <w:rPr>
                <w:noProof/>
                <w:webHidden/>
              </w:rPr>
            </w:r>
            <w:r>
              <w:rPr>
                <w:noProof/>
                <w:webHidden/>
              </w:rPr>
              <w:fldChar w:fldCharType="separate"/>
            </w:r>
            <w:r>
              <w:rPr>
                <w:noProof/>
                <w:webHidden/>
              </w:rPr>
              <w:t>904</w:t>
            </w:r>
            <w:r>
              <w:rPr>
                <w:noProof/>
                <w:webHidden/>
              </w:rPr>
              <w:fldChar w:fldCharType="end"/>
            </w:r>
          </w:hyperlink>
        </w:p>
        <w:p w14:paraId="4B98FEDF" w14:textId="0490BD1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20" w:history="1">
            <w:r w:rsidRPr="001D4C20">
              <w:rPr>
                <w:rStyle w:val="Lienhypertexte"/>
                <w:noProof/>
              </w:rPr>
              <w:t>58.21.2a Mobilier de salle de bain / de sanitaires - Structure et planches - Façades &amp; côtés apparents CCTB 01.10</w:t>
            </w:r>
            <w:r>
              <w:rPr>
                <w:noProof/>
                <w:webHidden/>
              </w:rPr>
              <w:tab/>
            </w:r>
            <w:r>
              <w:rPr>
                <w:noProof/>
                <w:webHidden/>
              </w:rPr>
              <w:fldChar w:fldCharType="begin"/>
            </w:r>
            <w:r>
              <w:rPr>
                <w:noProof/>
                <w:webHidden/>
              </w:rPr>
              <w:instrText xml:space="preserve"> PAGEREF _Toc220491820 \h </w:instrText>
            </w:r>
            <w:r>
              <w:rPr>
                <w:noProof/>
                <w:webHidden/>
              </w:rPr>
            </w:r>
            <w:r>
              <w:rPr>
                <w:noProof/>
                <w:webHidden/>
              </w:rPr>
              <w:fldChar w:fldCharType="separate"/>
            </w:r>
            <w:r>
              <w:rPr>
                <w:noProof/>
                <w:webHidden/>
              </w:rPr>
              <w:t>905</w:t>
            </w:r>
            <w:r>
              <w:rPr>
                <w:noProof/>
                <w:webHidden/>
              </w:rPr>
              <w:fldChar w:fldCharType="end"/>
            </w:r>
          </w:hyperlink>
        </w:p>
        <w:p w14:paraId="4776877B" w14:textId="579F12D1"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21" w:history="1">
            <w:r w:rsidRPr="001D4C20">
              <w:rPr>
                <w:rStyle w:val="Lienhypertexte"/>
                <w:noProof/>
              </w:rPr>
              <w:t>58.21.3 Mobilier de salle de bain / de sanitaires - Structure et planches - Planches intérieures CCTB 01.02</w:t>
            </w:r>
            <w:r>
              <w:rPr>
                <w:noProof/>
                <w:webHidden/>
              </w:rPr>
              <w:tab/>
            </w:r>
            <w:r>
              <w:rPr>
                <w:noProof/>
                <w:webHidden/>
              </w:rPr>
              <w:fldChar w:fldCharType="begin"/>
            </w:r>
            <w:r>
              <w:rPr>
                <w:noProof/>
                <w:webHidden/>
              </w:rPr>
              <w:instrText xml:space="preserve"> PAGEREF _Toc220491821 \h </w:instrText>
            </w:r>
            <w:r>
              <w:rPr>
                <w:noProof/>
                <w:webHidden/>
              </w:rPr>
            </w:r>
            <w:r>
              <w:rPr>
                <w:noProof/>
                <w:webHidden/>
              </w:rPr>
              <w:fldChar w:fldCharType="separate"/>
            </w:r>
            <w:r>
              <w:rPr>
                <w:noProof/>
                <w:webHidden/>
              </w:rPr>
              <w:t>905</w:t>
            </w:r>
            <w:r>
              <w:rPr>
                <w:noProof/>
                <w:webHidden/>
              </w:rPr>
              <w:fldChar w:fldCharType="end"/>
            </w:r>
          </w:hyperlink>
        </w:p>
        <w:p w14:paraId="293844B0" w14:textId="3228D8F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22" w:history="1">
            <w:r w:rsidRPr="001D4C20">
              <w:rPr>
                <w:rStyle w:val="Lienhypertexte"/>
                <w:noProof/>
              </w:rPr>
              <w:t>58.21.3a Mobilier de salle de bain / de sanitaires - Structure et planches - Planches intérieures CCTB 01.02</w:t>
            </w:r>
            <w:r>
              <w:rPr>
                <w:noProof/>
                <w:webHidden/>
              </w:rPr>
              <w:tab/>
            </w:r>
            <w:r>
              <w:rPr>
                <w:noProof/>
                <w:webHidden/>
              </w:rPr>
              <w:fldChar w:fldCharType="begin"/>
            </w:r>
            <w:r>
              <w:rPr>
                <w:noProof/>
                <w:webHidden/>
              </w:rPr>
              <w:instrText xml:space="preserve"> PAGEREF _Toc220491822 \h </w:instrText>
            </w:r>
            <w:r>
              <w:rPr>
                <w:noProof/>
                <w:webHidden/>
              </w:rPr>
            </w:r>
            <w:r>
              <w:rPr>
                <w:noProof/>
                <w:webHidden/>
              </w:rPr>
              <w:fldChar w:fldCharType="separate"/>
            </w:r>
            <w:r>
              <w:rPr>
                <w:noProof/>
                <w:webHidden/>
              </w:rPr>
              <w:t>905</w:t>
            </w:r>
            <w:r>
              <w:rPr>
                <w:noProof/>
                <w:webHidden/>
              </w:rPr>
              <w:fldChar w:fldCharType="end"/>
            </w:r>
          </w:hyperlink>
        </w:p>
        <w:p w14:paraId="6EAFE6F5" w14:textId="367DAD47"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23" w:history="1">
            <w:r w:rsidRPr="001D4C20">
              <w:rPr>
                <w:rStyle w:val="Lienhypertexte"/>
                <w:noProof/>
              </w:rPr>
              <w:t>58.21.4 Mobilier de salle de bain / de sanitaires - Structure et planches - Structure complémentaire, y compris étagères CCTB 01.02</w:t>
            </w:r>
            <w:r>
              <w:rPr>
                <w:noProof/>
                <w:webHidden/>
              </w:rPr>
              <w:tab/>
            </w:r>
            <w:r>
              <w:rPr>
                <w:noProof/>
                <w:webHidden/>
              </w:rPr>
              <w:fldChar w:fldCharType="begin"/>
            </w:r>
            <w:r>
              <w:rPr>
                <w:noProof/>
                <w:webHidden/>
              </w:rPr>
              <w:instrText xml:space="preserve"> PAGEREF _Toc220491823 \h </w:instrText>
            </w:r>
            <w:r>
              <w:rPr>
                <w:noProof/>
                <w:webHidden/>
              </w:rPr>
            </w:r>
            <w:r>
              <w:rPr>
                <w:noProof/>
                <w:webHidden/>
              </w:rPr>
              <w:fldChar w:fldCharType="separate"/>
            </w:r>
            <w:r>
              <w:rPr>
                <w:noProof/>
                <w:webHidden/>
              </w:rPr>
              <w:t>905</w:t>
            </w:r>
            <w:r>
              <w:rPr>
                <w:noProof/>
                <w:webHidden/>
              </w:rPr>
              <w:fldChar w:fldCharType="end"/>
            </w:r>
          </w:hyperlink>
        </w:p>
        <w:p w14:paraId="6D3C28BB" w14:textId="11CCCB9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24" w:history="1">
            <w:r w:rsidRPr="001D4C20">
              <w:rPr>
                <w:rStyle w:val="Lienhypertexte"/>
                <w:noProof/>
              </w:rPr>
              <w:t>58.21.4a Mobilier de salle de bain / de sanitaires - Structure et planches - Structure complémentaire, y compris étagères CCTB 01.02</w:t>
            </w:r>
            <w:r>
              <w:rPr>
                <w:noProof/>
                <w:webHidden/>
              </w:rPr>
              <w:tab/>
            </w:r>
            <w:r>
              <w:rPr>
                <w:noProof/>
                <w:webHidden/>
              </w:rPr>
              <w:fldChar w:fldCharType="begin"/>
            </w:r>
            <w:r>
              <w:rPr>
                <w:noProof/>
                <w:webHidden/>
              </w:rPr>
              <w:instrText xml:space="preserve"> PAGEREF _Toc220491824 \h </w:instrText>
            </w:r>
            <w:r>
              <w:rPr>
                <w:noProof/>
                <w:webHidden/>
              </w:rPr>
            </w:r>
            <w:r>
              <w:rPr>
                <w:noProof/>
                <w:webHidden/>
              </w:rPr>
              <w:fldChar w:fldCharType="separate"/>
            </w:r>
            <w:r>
              <w:rPr>
                <w:noProof/>
                <w:webHidden/>
              </w:rPr>
              <w:t>906</w:t>
            </w:r>
            <w:r>
              <w:rPr>
                <w:noProof/>
                <w:webHidden/>
              </w:rPr>
              <w:fldChar w:fldCharType="end"/>
            </w:r>
          </w:hyperlink>
        </w:p>
        <w:p w14:paraId="37F38525" w14:textId="6FED6BB6"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825" w:history="1">
            <w:r w:rsidRPr="001D4C20">
              <w:rPr>
                <w:rStyle w:val="Lienhypertexte"/>
                <w:noProof/>
              </w:rPr>
              <w:t>58.22 Mobilier de salle de bain / de sanitaires - Portes / Tiroirs / Caissons CCTB 01.02</w:t>
            </w:r>
            <w:r>
              <w:rPr>
                <w:noProof/>
                <w:webHidden/>
              </w:rPr>
              <w:tab/>
            </w:r>
            <w:r>
              <w:rPr>
                <w:noProof/>
                <w:webHidden/>
              </w:rPr>
              <w:fldChar w:fldCharType="begin"/>
            </w:r>
            <w:r>
              <w:rPr>
                <w:noProof/>
                <w:webHidden/>
              </w:rPr>
              <w:instrText xml:space="preserve"> PAGEREF _Toc220491825 \h </w:instrText>
            </w:r>
            <w:r>
              <w:rPr>
                <w:noProof/>
                <w:webHidden/>
              </w:rPr>
            </w:r>
            <w:r>
              <w:rPr>
                <w:noProof/>
                <w:webHidden/>
              </w:rPr>
              <w:fldChar w:fldCharType="separate"/>
            </w:r>
            <w:r>
              <w:rPr>
                <w:noProof/>
                <w:webHidden/>
              </w:rPr>
              <w:t>906</w:t>
            </w:r>
            <w:r>
              <w:rPr>
                <w:noProof/>
                <w:webHidden/>
              </w:rPr>
              <w:fldChar w:fldCharType="end"/>
            </w:r>
          </w:hyperlink>
        </w:p>
        <w:p w14:paraId="1447B5FC" w14:textId="6F36672D"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26" w:history="1">
            <w:r w:rsidRPr="001D4C20">
              <w:rPr>
                <w:rStyle w:val="Lienhypertexte"/>
                <w:noProof/>
              </w:rPr>
              <w:t>58.22.1 Mobilier de salle de bain / de sanitaires - Portes de mobilier de salle de bain CCTB 01.02</w:t>
            </w:r>
            <w:r>
              <w:rPr>
                <w:noProof/>
                <w:webHidden/>
              </w:rPr>
              <w:tab/>
            </w:r>
            <w:r>
              <w:rPr>
                <w:noProof/>
                <w:webHidden/>
              </w:rPr>
              <w:fldChar w:fldCharType="begin"/>
            </w:r>
            <w:r>
              <w:rPr>
                <w:noProof/>
                <w:webHidden/>
              </w:rPr>
              <w:instrText xml:space="preserve"> PAGEREF _Toc220491826 \h </w:instrText>
            </w:r>
            <w:r>
              <w:rPr>
                <w:noProof/>
                <w:webHidden/>
              </w:rPr>
            </w:r>
            <w:r>
              <w:rPr>
                <w:noProof/>
                <w:webHidden/>
              </w:rPr>
              <w:fldChar w:fldCharType="separate"/>
            </w:r>
            <w:r>
              <w:rPr>
                <w:noProof/>
                <w:webHidden/>
              </w:rPr>
              <w:t>906</w:t>
            </w:r>
            <w:r>
              <w:rPr>
                <w:noProof/>
                <w:webHidden/>
              </w:rPr>
              <w:fldChar w:fldCharType="end"/>
            </w:r>
          </w:hyperlink>
        </w:p>
        <w:p w14:paraId="1E1D3A59" w14:textId="303BFD6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27" w:history="1">
            <w:r w:rsidRPr="001D4C20">
              <w:rPr>
                <w:rStyle w:val="Lienhypertexte"/>
                <w:noProof/>
              </w:rPr>
              <w:t>58.22.1a Mobilier de salle de bain / de sanitaires - Portes de mobilier de salle de bain CCTB 01.02</w:t>
            </w:r>
            <w:r>
              <w:rPr>
                <w:noProof/>
                <w:webHidden/>
              </w:rPr>
              <w:tab/>
            </w:r>
            <w:r>
              <w:rPr>
                <w:noProof/>
                <w:webHidden/>
              </w:rPr>
              <w:fldChar w:fldCharType="begin"/>
            </w:r>
            <w:r>
              <w:rPr>
                <w:noProof/>
                <w:webHidden/>
              </w:rPr>
              <w:instrText xml:space="preserve"> PAGEREF _Toc220491827 \h </w:instrText>
            </w:r>
            <w:r>
              <w:rPr>
                <w:noProof/>
                <w:webHidden/>
              </w:rPr>
            </w:r>
            <w:r>
              <w:rPr>
                <w:noProof/>
                <w:webHidden/>
              </w:rPr>
              <w:fldChar w:fldCharType="separate"/>
            </w:r>
            <w:r>
              <w:rPr>
                <w:noProof/>
                <w:webHidden/>
              </w:rPr>
              <w:t>906</w:t>
            </w:r>
            <w:r>
              <w:rPr>
                <w:noProof/>
                <w:webHidden/>
              </w:rPr>
              <w:fldChar w:fldCharType="end"/>
            </w:r>
          </w:hyperlink>
        </w:p>
        <w:p w14:paraId="62542BD7" w14:textId="103320E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28" w:history="1">
            <w:r w:rsidRPr="001D4C20">
              <w:rPr>
                <w:rStyle w:val="Lienhypertexte"/>
                <w:noProof/>
              </w:rPr>
              <w:t>58.22.2 Mobilier de salle de bain / de sanitaires - Bloc paroi - porte de douche CCTB 01.02</w:t>
            </w:r>
            <w:r>
              <w:rPr>
                <w:noProof/>
                <w:webHidden/>
              </w:rPr>
              <w:tab/>
            </w:r>
            <w:r>
              <w:rPr>
                <w:noProof/>
                <w:webHidden/>
              </w:rPr>
              <w:fldChar w:fldCharType="begin"/>
            </w:r>
            <w:r>
              <w:rPr>
                <w:noProof/>
                <w:webHidden/>
              </w:rPr>
              <w:instrText xml:space="preserve"> PAGEREF _Toc220491828 \h </w:instrText>
            </w:r>
            <w:r>
              <w:rPr>
                <w:noProof/>
                <w:webHidden/>
              </w:rPr>
            </w:r>
            <w:r>
              <w:rPr>
                <w:noProof/>
                <w:webHidden/>
              </w:rPr>
              <w:fldChar w:fldCharType="separate"/>
            </w:r>
            <w:r>
              <w:rPr>
                <w:noProof/>
                <w:webHidden/>
              </w:rPr>
              <w:t>906</w:t>
            </w:r>
            <w:r>
              <w:rPr>
                <w:noProof/>
                <w:webHidden/>
              </w:rPr>
              <w:fldChar w:fldCharType="end"/>
            </w:r>
          </w:hyperlink>
        </w:p>
        <w:p w14:paraId="5222CA32" w14:textId="448442C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29" w:history="1">
            <w:r w:rsidRPr="001D4C20">
              <w:rPr>
                <w:rStyle w:val="Lienhypertexte"/>
                <w:noProof/>
              </w:rPr>
              <w:t>58.22.2a Mobilier de salle de bain / de sanitaires - Bloc paroi - porte de douche CCTB 01.02</w:t>
            </w:r>
            <w:r>
              <w:rPr>
                <w:noProof/>
                <w:webHidden/>
              </w:rPr>
              <w:tab/>
            </w:r>
            <w:r>
              <w:rPr>
                <w:noProof/>
                <w:webHidden/>
              </w:rPr>
              <w:fldChar w:fldCharType="begin"/>
            </w:r>
            <w:r>
              <w:rPr>
                <w:noProof/>
                <w:webHidden/>
              </w:rPr>
              <w:instrText xml:space="preserve"> PAGEREF _Toc220491829 \h </w:instrText>
            </w:r>
            <w:r>
              <w:rPr>
                <w:noProof/>
                <w:webHidden/>
              </w:rPr>
            </w:r>
            <w:r>
              <w:rPr>
                <w:noProof/>
                <w:webHidden/>
              </w:rPr>
              <w:fldChar w:fldCharType="separate"/>
            </w:r>
            <w:r>
              <w:rPr>
                <w:noProof/>
                <w:webHidden/>
              </w:rPr>
              <w:t>906</w:t>
            </w:r>
            <w:r>
              <w:rPr>
                <w:noProof/>
                <w:webHidden/>
              </w:rPr>
              <w:fldChar w:fldCharType="end"/>
            </w:r>
          </w:hyperlink>
        </w:p>
        <w:p w14:paraId="1BB3BA01" w14:textId="7EF6C926"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30" w:history="1">
            <w:r w:rsidRPr="001D4C20">
              <w:rPr>
                <w:rStyle w:val="Lienhypertexte"/>
                <w:noProof/>
              </w:rPr>
              <w:t>58.22.3 Mobilier de salle de bain / de sanitaires - Tiroirs CCTB 01.02</w:t>
            </w:r>
            <w:r>
              <w:rPr>
                <w:noProof/>
                <w:webHidden/>
              </w:rPr>
              <w:tab/>
            </w:r>
            <w:r>
              <w:rPr>
                <w:noProof/>
                <w:webHidden/>
              </w:rPr>
              <w:fldChar w:fldCharType="begin"/>
            </w:r>
            <w:r>
              <w:rPr>
                <w:noProof/>
                <w:webHidden/>
              </w:rPr>
              <w:instrText xml:space="preserve"> PAGEREF _Toc220491830 \h </w:instrText>
            </w:r>
            <w:r>
              <w:rPr>
                <w:noProof/>
                <w:webHidden/>
              </w:rPr>
            </w:r>
            <w:r>
              <w:rPr>
                <w:noProof/>
                <w:webHidden/>
              </w:rPr>
              <w:fldChar w:fldCharType="separate"/>
            </w:r>
            <w:r>
              <w:rPr>
                <w:noProof/>
                <w:webHidden/>
              </w:rPr>
              <w:t>906</w:t>
            </w:r>
            <w:r>
              <w:rPr>
                <w:noProof/>
                <w:webHidden/>
              </w:rPr>
              <w:fldChar w:fldCharType="end"/>
            </w:r>
          </w:hyperlink>
        </w:p>
        <w:p w14:paraId="58F38A09" w14:textId="0E531196"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31" w:history="1">
            <w:r w:rsidRPr="001D4C20">
              <w:rPr>
                <w:rStyle w:val="Lienhypertexte"/>
                <w:noProof/>
              </w:rPr>
              <w:t>58.22.3a Mobilier de salle de bain / de sanitaires - Tiroirs CCTB 01.10</w:t>
            </w:r>
            <w:r>
              <w:rPr>
                <w:noProof/>
                <w:webHidden/>
              </w:rPr>
              <w:tab/>
            </w:r>
            <w:r>
              <w:rPr>
                <w:noProof/>
                <w:webHidden/>
              </w:rPr>
              <w:fldChar w:fldCharType="begin"/>
            </w:r>
            <w:r>
              <w:rPr>
                <w:noProof/>
                <w:webHidden/>
              </w:rPr>
              <w:instrText xml:space="preserve"> PAGEREF _Toc220491831 \h </w:instrText>
            </w:r>
            <w:r>
              <w:rPr>
                <w:noProof/>
                <w:webHidden/>
              </w:rPr>
            </w:r>
            <w:r>
              <w:rPr>
                <w:noProof/>
                <w:webHidden/>
              </w:rPr>
              <w:fldChar w:fldCharType="separate"/>
            </w:r>
            <w:r>
              <w:rPr>
                <w:noProof/>
                <w:webHidden/>
              </w:rPr>
              <w:t>906</w:t>
            </w:r>
            <w:r>
              <w:rPr>
                <w:noProof/>
                <w:webHidden/>
              </w:rPr>
              <w:fldChar w:fldCharType="end"/>
            </w:r>
          </w:hyperlink>
        </w:p>
        <w:p w14:paraId="120354AA" w14:textId="71DCC8B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32" w:history="1">
            <w:r w:rsidRPr="001D4C20">
              <w:rPr>
                <w:rStyle w:val="Lienhypertexte"/>
                <w:noProof/>
              </w:rPr>
              <w:t>58.22.4 Mobilier de salle de bain / de sanitaires - Caissons CCTB 01.02</w:t>
            </w:r>
            <w:r>
              <w:rPr>
                <w:noProof/>
                <w:webHidden/>
              </w:rPr>
              <w:tab/>
            </w:r>
            <w:r>
              <w:rPr>
                <w:noProof/>
                <w:webHidden/>
              </w:rPr>
              <w:fldChar w:fldCharType="begin"/>
            </w:r>
            <w:r>
              <w:rPr>
                <w:noProof/>
                <w:webHidden/>
              </w:rPr>
              <w:instrText xml:space="preserve"> PAGEREF _Toc220491832 \h </w:instrText>
            </w:r>
            <w:r>
              <w:rPr>
                <w:noProof/>
                <w:webHidden/>
              </w:rPr>
            </w:r>
            <w:r>
              <w:rPr>
                <w:noProof/>
                <w:webHidden/>
              </w:rPr>
              <w:fldChar w:fldCharType="separate"/>
            </w:r>
            <w:r>
              <w:rPr>
                <w:noProof/>
                <w:webHidden/>
              </w:rPr>
              <w:t>907</w:t>
            </w:r>
            <w:r>
              <w:rPr>
                <w:noProof/>
                <w:webHidden/>
              </w:rPr>
              <w:fldChar w:fldCharType="end"/>
            </w:r>
          </w:hyperlink>
        </w:p>
        <w:p w14:paraId="24D3A59F" w14:textId="1B76FA5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33" w:history="1">
            <w:r w:rsidRPr="001D4C20">
              <w:rPr>
                <w:rStyle w:val="Lienhypertexte"/>
                <w:noProof/>
              </w:rPr>
              <w:t>58.22.4a Mobilier de salle de bain / de sanitaires - Caissons CCTB 01.02</w:t>
            </w:r>
            <w:r>
              <w:rPr>
                <w:noProof/>
                <w:webHidden/>
              </w:rPr>
              <w:tab/>
            </w:r>
            <w:r>
              <w:rPr>
                <w:noProof/>
                <w:webHidden/>
              </w:rPr>
              <w:fldChar w:fldCharType="begin"/>
            </w:r>
            <w:r>
              <w:rPr>
                <w:noProof/>
                <w:webHidden/>
              </w:rPr>
              <w:instrText xml:space="preserve"> PAGEREF _Toc220491833 \h </w:instrText>
            </w:r>
            <w:r>
              <w:rPr>
                <w:noProof/>
                <w:webHidden/>
              </w:rPr>
            </w:r>
            <w:r>
              <w:rPr>
                <w:noProof/>
                <w:webHidden/>
              </w:rPr>
              <w:fldChar w:fldCharType="separate"/>
            </w:r>
            <w:r>
              <w:rPr>
                <w:noProof/>
                <w:webHidden/>
              </w:rPr>
              <w:t>907</w:t>
            </w:r>
            <w:r>
              <w:rPr>
                <w:noProof/>
                <w:webHidden/>
              </w:rPr>
              <w:fldChar w:fldCharType="end"/>
            </w:r>
          </w:hyperlink>
        </w:p>
        <w:p w14:paraId="66859083" w14:textId="49C07DF3"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834" w:history="1">
            <w:r w:rsidRPr="001D4C20">
              <w:rPr>
                <w:rStyle w:val="Lienhypertexte"/>
                <w:noProof/>
              </w:rPr>
              <w:t>58.23 Mobilier de salle de bain / de sanitaires - Plans "sanitaire" / Tablettes / Panneaux de finition CCTB 01.02</w:t>
            </w:r>
            <w:r>
              <w:rPr>
                <w:noProof/>
                <w:webHidden/>
              </w:rPr>
              <w:tab/>
            </w:r>
            <w:r>
              <w:rPr>
                <w:noProof/>
                <w:webHidden/>
              </w:rPr>
              <w:fldChar w:fldCharType="begin"/>
            </w:r>
            <w:r>
              <w:rPr>
                <w:noProof/>
                <w:webHidden/>
              </w:rPr>
              <w:instrText xml:space="preserve"> PAGEREF _Toc220491834 \h </w:instrText>
            </w:r>
            <w:r>
              <w:rPr>
                <w:noProof/>
                <w:webHidden/>
              </w:rPr>
            </w:r>
            <w:r>
              <w:rPr>
                <w:noProof/>
                <w:webHidden/>
              </w:rPr>
              <w:fldChar w:fldCharType="separate"/>
            </w:r>
            <w:r>
              <w:rPr>
                <w:noProof/>
                <w:webHidden/>
              </w:rPr>
              <w:t>907</w:t>
            </w:r>
            <w:r>
              <w:rPr>
                <w:noProof/>
                <w:webHidden/>
              </w:rPr>
              <w:fldChar w:fldCharType="end"/>
            </w:r>
          </w:hyperlink>
        </w:p>
        <w:p w14:paraId="2D05E3EF" w14:textId="13FB83C1"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35" w:history="1">
            <w:r w:rsidRPr="001D4C20">
              <w:rPr>
                <w:rStyle w:val="Lienhypertexte"/>
                <w:noProof/>
              </w:rPr>
              <w:t>58.23.1 Mobilier de salle de bain / de sanitaires - Plans "sanitaire" CCTB 01.02</w:t>
            </w:r>
            <w:r>
              <w:rPr>
                <w:noProof/>
                <w:webHidden/>
              </w:rPr>
              <w:tab/>
            </w:r>
            <w:r>
              <w:rPr>
                <w:noProof/>
                <w:webHidden/>
              </w:rPr>
              <w:fldChar w:fldCharType="begin"/>
            </w:r>
            <w:r>
              <w:rPr>
                <w:noProof/>
                <w:webHidden/>
              </w:rPr>
              <w:instrText xml:space="preserve"> PAGEREF _Toc220491835 \h </w:instrText>
            </w:r>
            <w:r>
              <w:rPr>
                <w:noProof/>
                <w:webHidden/>
              </w:rPr>
            </w:r>
            <w:r>
              <w:rPr>
                <w:noProof/>
                <w:webHidden/>
              </w:rPr>
              <w:fldChar w:fldCharType="separate"/>
            </w:r>
            <w:r>
              <w:rPr>
                <w:noProof/>
                <w:webHidden/>
              </w:rPr>
              <w:t>907</w:t>
            </w:r>
            <w:r>
              <w:rPr>
                <w:noProof/>
                <w:webHidden/>
              </w:rPr>
              <w:fldChar w:fldCharType="end"/>
            </w:r>
          </w:hyperlink>
        </w:p>
        <w:p w14:paraId="56060258" w14:textId="44F3062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36" w:history="1">
            <w:r w:rsidRPr="001D4C20">
              <w:rPr>
                <w:rStyle w:val="Lienhypertexte"/>
                <w:noProof/>
              </w:rPr>
              <w:t>58.23.1a Mobilier de salle de bain / de sanitaires - Plans "sanitaire" CCTB 01.02</w:t>
            </w:r>
            <w:r>
              <w:rPr>
                <w:noProof/>
                <w:webHidden/>
              </w:rPr>
              <w:tab/>
            </w:r>
            <w:r>
              <w:rPr>
                <w:noProof/>
                <w:webHidden/>
              </w:rPr>
              <w:fldChar w:fldCharType="begin"/>
            </w:r>
            <w:r>
              <w:rPr>
                <w:noProof/>
                <w:webHidden/>
              </w:rPr>
              <w:instrText xml:space="preserve"> PAGEREF _Toc220491836 \h </w:instrText>
            </w:r>
            <w:r>
              <w:rPr>
                <w:noProof/>
                <w:webHidden/>
              </w:rPr>
            </w:r>
            <w:r>
              <w:rPr>
                <w:noProof/>
                <w:webHidden/>
              </w:rPr>
              <w:fldChar w:fldCharType="separate"/>
            </w:r>
            <w:r>
              <w:rPr>
                <w:noProof/>
                <w:webHidden/>
              </w:rPr>
              <w:t>907</w:t>
            </w:r>
            <w:r>
              <w:rPr>
                <w:noProof/>
                <w:webHidden/>
              </w:rPr>
              <w:fldChar w:fldCharType="end"/>
            </w:r>
          </w:hyperlink>
        </w:p>
        <w:p w14:paraId="3F94BE7D" w14:textId="6A0454C5"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37" w:history="1">
            <w:r w:rsidRPr="001D4C20">
              <w:rPr>
                <w:rStyle w:val="Lienhypertexte"/>
                <w:noProof/>
              </w:rPr>
              <w:t>58.23.2 Mobilier de salle de bain / de sanitaires - Tablettes CCTB 01.02</w:t>
            </w:r>
            <w:r>
              <w:rPr>
                <w:noProof/>
                <w:webHidden/>
              </w:rPr>
              <w:tab/>
            </w:r>
            <w:r>
              <w:rPr>
                <w:noProof/>
                <w:webHidden/>
              </w:rPr>
              <w:fldChar w:fldCharType="begin"/>
            </w:r>
            <w:r>
              <w:rPr>
                <w:noProof/>
                <w:webHidden/>
              </w:rPr>
              <w:instrText xml:space="preserve"> PAGEREF _Toc220491837 \h </w:instrText>
            </w:r>
            <w:r>
              <w:rPr>
                <w:noProof/>
                <w:webHidden/>
              </w:rPr>
            </w:r>
            <w:r>
              <w:rPr>
                <w:noProof/>
                <w:webHidden/>
              </w:rPr>
              <w:fldChar w:fldCharType="separate"/>
            </w:r>
            <w:r>
              <w:rPr>
                <w:noProof/>
                <w:webHidden/>
              </w:rPr>
              <w:t>907</w:t>
            </w:r>
            <w:r>
              <w:rPr>
                <w:noProof/>
                <w:webHidden/>
              </w:rPr>
              <w:fldChar w:fldCharType="end"/>
            </w:r>
          </w:hyperlink>
        </w:p>
        <w:p w14:paraId="485C970E" w14:textId="60AE4B5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38" w:history="1">
            <w:r w:rsidRPr="001D4C20">
              <w:rPr>
                <w:rStyle w:val="Lienhypertexte"/>
                <w:noProof/>
              </w:rPr>
              <w:t>58.23.2a Mobilier de salle de bain / de sanitaires - Tablettes CCTB 01.10</w:t>
            </w:r>
            <w:r>
              <w:rPr>
                <w:noProof/>
                <w:webHidden/>
              </w:rPr>
              <w:tab/>
            </w:r>
            <w:r>
              <w:rPr>
                <w:noProof/>
                <w:webHidden/>
              </w:rPr>
              <w:fldChar w:fldCharType="begin"/>
            </w:r>
            <w:r>
              <w:rPr>
                <w:noProof/>
                <w:webHidden/>
              </w:rPr>
              <w:instrText xml:space="preserve"> PAGEREF _Toc220491838 \h </w:instrText>
            </w:r>
            <w:r>
              <w:rPr>
                <w:noProof/>
                <w:webHidden/>
              </w:rPr>
            </w:r>
            <w:r>
              <w:rPr>
                <w:noProof/>
                <w:webHidden/>
              </w:rPr>
              <w:fldChar w:fldCharType="separate"/>
            </w:r>
            <w:r>
              <w:rPr>
                <w:noProof/>
                <w:webHidden/>
              </w:rPr>
              <w:t>907</w:t>
            </w:r>
            <w:r>
              <w:rPr>
                <w:noProof/>
                <w:webHidden/>
              </w:rPr>
              <w:fldChar w:fldCharType="end"/>
            </w:r>
          </w:hyperlink>
        </w:p>
        <w:p w14:paraId="231BBF2B" w14:textId="2EB54AA4"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39" w:history="1">
            <w:r w:rsidRPr="001D4C20">
              <w:rPr>
                <w:rStyle w:val="Lienhypertexte"/>
                <w:noProof/>
              </w:rPr>
              <w:t>58.23.3 Mobilier de salle de bain / de sanitaires - Panneaux de finition (façades, joues, plinthes) CCTB 01.02</w:t>
            </w:r>
            <w:r>
              <w:rPr>
                <w:noProof/>
                <w:webHidden/>
              </w:rPr>
              <w:tab/>
            </w:r>
            <w:r>
              <w:rPr>
                <w:noProof/>
                <w:webHidden/>
              </w:rPr>
              <w:fldChar w:fldCharType="begin"/>
            </w:r>
            <w:r>
              <w:rPr>
                <w:noProof/>
                <w:webHidden/>
              </w:rPr>
              <w:instrText xml:space="preserve"> PAGEREF _Toc220491839 \h </w:instrText>
            </w:r>
            <w:r>
              <w:rPr>
                <w:noProof/>
                <w:webHidden/>
              </w:rPr>
            </w:r>
            <w:r>
              <w:rPr>
                <w:noProof/>
                <w:webHidden/>
              </w:rPr>
              <w:fldChar w:fldCharType="separate"/>
            </w:r>
            <w:r>
              <w:rPr>
                <w:noProof/>
                <w:webHidden/>
              </w:rPr>
              <w:t>908</w:t>
            </w:r>
            <w:r>
              <w:rPr>
                <w:noProof/>
                <w:webHidden/>
              </w:rPr>
              <w:fldChar w:fldCharType="end"/>
            </w:r>
          </w:hyperlink>
        </w:p>
        <w:p w14:paraId="7A81883E" w14:textId="40218A7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40" w:history="1">
            <w:r w:rsidRPr="001D4C20">
              <w:rPr>
                <w:rStyle w:val="Lienhypertexte"/>
                <w:noProof/>
              </w:rPr>
              <w:t>58.23.3a Mobilier de salle de bain / de sanitaires - Panneaux de finition (façades, joues, plinthes) CCTB 01.10</w:t>
            </w:r>
            <w:r>
              <w:rPr>
                <w:noProof/>
                <w:webHidden/>
              </w:rPr>
              <w:tab/>
            </w:r>
            <w:r>
              <w:rPr>
                <w:noProof/>
                <w:webHidden/>
              </w:rPr>
              <w:fldChar w:fldCharType="begin"/>
            </w:r>
            <w:r>
              <w:rPr>
                <w:noProof/>
                <w:webHidden/>
              </w:rPr>
              <w:instrText xml:space="preserve"> PAGEREF _Toc220491840 \h </w:instrText>
            </w:r>
            <w:r>
              <w:rPr>
                <w:noProof/>
                <w:webHidden/>
              </w:rPr>
            </w:r>
            <w:r>
              <w:rPr>
                <w:noProof/>
                <w:webHidden/>
              </w:rPr>
              <w:fldChar w:fldCharType="separate"/>
            </w:r>
            <w:r>
              <w:rPr>
                <w:noProof/>
                <w:webHidden/>
              </w:rPr>
              <w:t>908</w:t>
            </w:r>
            <w:r>
              <w:rPr>
                <w:noProof/>
                <w:webHidden/>
              </w:rPr>
              <w:fldChar w:fldCharType="end"/>
            </w:r>
          </w:hyperlink>
        </w:p>
        <w:p w14:paraId="5654B87F" w14:textId="7089A54C"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841" w:history="1">
            <w:r w:rsidRPr="001D4C20">
              <w:rPr>
                <w:rStyle w:val="Lienhypertexte"/>
                <w:noProof/>
              </w:rPr>
              <w:t>58.24 Mobilier de salle de bain / de sanitaires - Quincaillerie complémentaire CCTB 01.02</w:t>
            </w:r>
            <w:r>
              <w:rPr>
                <w:noProof/>
                <w:webHidden/>
              </w:rPr>
              <w:tab/>
            </w:r>
            <w:r>
              <w:rPr>
                <w:noProof/>
                <w:webHidden/>
              </w:rPr>
              <w:fldChar w:fldCharType="begin"/>
            </w:r>
            <w:r>
              <w:rPr>
                <w:noProof/>
                <w:webHidden/>
              </w:rPr>
              <w:instrText xml:space="preserve"> PAGEREF _Toc220491841 \h </w:instrText>
            </w:r>
            <w:r>
              <w:rPr>
                <w:noProof/>
                <w:webHidden/>
              </w:rPr>
            </w:r>
            <w:r>
              <w:rPr>
                <w:noProof/>
                <w:webHidden/>
              </w:rPr>
              <w:fldChar w:fldCharType="separate"/>
            </w:r>
            <w:r>
              <w:rPr>
                <w:noProof/>
                <w:webHidden/>
              </w:rPr>
              <w:t>909</w:t>
            </w:r>
            <w:r>
              <w:rPr>
                <w:noProof/>
                <w:webHidden/>
              </w:rPr>
              <w:fldChar w:fldCharType="end"/>
            </w:r>
          </w:hyperlink>
        </w:p>
        <w:p w14:paraId="0B36B14A" w14:textId="2319F54D"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42" w:history="1">
            <w:r w:rsidRPr="001D4C20">
              <w:rPr>
                <w:rStyle w:val="Lienhypertexte"/>
                <w:noProof/>
              </w:rPr>
              <w:t>58.24.1 Mobilier de salle de bain / de sanitaires - Quincaillerie complémentaire - Poignées et tirants CCTB 01.02</w:t>
            </w:r>
            <w:r>
              <w:rPr>
                <w:noProof/>
                <w:webHidden/>
              </w:rPr>
              <w:tab/>
            </w:r>
            <w:r>
              <w:rPr>
                <w:noProof/>
                <w:webHidden/>
              </w:rPr>
              <w:fldChar w:fldCharType="begin"/>
            </w:r>
            <w:r>
              <w:rPr>
                <w:noProof/>
                <w:webHidden/>
              </w:rPr>
              <w:instrText xml:space="preserve"> PAGEREF _Toc220491842 \h </w:instrText>
            </w:r>
            <w:r>
              <w:rPr>
                <w:noProof/>
                <w:webHidden/>
              </w:rPr>
            </w:r>
            <w:r>
              <w:rPr>
                <w:noProof/>
                <w:webHidden/>
              </w:rPr>
              <w:fldChar w:fldCharType="separate"/>
            </w:r>
            <w:r>
              <w:rPr>
                <w:noProof/>
                <w:webHidden/>
              </w:rPr>
              <w:t>909</w:t>
            </w:r>
            <w:r>
              <w:rPr>
                <w:noProof/>
                <w:webHidden/>
              </w:rPr>
              <w:fldChar w:fldCharType="end"/>
            </w:r>
          </w:hyperlink>
        </w:p>
        <w:p w14:paraId="4C3C0C7E" w14:textId="1247BBE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43" w:history="1">
            <w:r w:rsidRPr="001D4C20">
              <w:rPr>
                <w:rStyle w:val="Lienhypertexte"/>
                <w:noProof/>
              </w:rPr>
              <w:t>58.24.1a Mobilier de salle de bain / de sanitaires - Quincaillerie complémentaire - Poignées et tirants CCTB 01.10</w:t>
            </w:r>
            <w:r>
              <w:rPr>
                <w:noProof/>
                <w:webHidden/>
              </w:rPr>
              <w:tab/>
            </w:r>
            <w:r>
              <w:rPr>
                <w:noProof/>
                <w:webHidden/>
              </w:rPr>
              <w:fldChar w:fldCharType="begin"/>
            </w:r>
            <w:r>
              <w:rPr>
                <w:noProof/>
                <w:webHidden/>
              </w:rPr>
              <w:instrText xml:space="preserve"> PAGEREF _Toc220491843 \h </w:instrText>
            </w:r>
            <w:r>
              <w:rPr>
                <w:noProof/>
                <w:webHidden/>
              </w:rPr>
            </w:r>
            <w:r>
              <w:rPr>
                <w:noProof/>
                <w:webHidden/>
              </w:rPr>
              <w:fldChar w:fldCharType="separate"/>
            </w:r>
            <w:r>
              <w:rPr>
                <w:noProof/>
                <w:webHidden/>
              </w:rPr>
              <w:t>909</w:t>
            </w:r>
            <w:r>
              <w:rPr>
                <w:noProof/>
                <w:webHidden/>
              </w:rPr>
              <w:fldChar w:fldCharType="end"/>
            </w:r>
          </w:hyperlink>
        </w:p>
        <w:p w14:paraId="36B828D9" w14:textId="697650BF"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44" w:history="1">
            <w:r w:rsidRPr="001D4C20">
              <w:rPr>
                <w:rStyle w:val="Lienhypertexte"/>
                <w:noProof/>
              </w:rPr>
              <w:t>58.24.2 Mobilier de salle de bain / de sanitaires - Quincaillerie complémentaire - Charnières CCTB 01.02</w:t>
            </w:r>
            <w:r>
              <w:rPr>
                <w:noProof/>
                <w:webHidden/>
              </w:rPr>
              <w:tab/>
            </w:r>
            <w:r>
              <w:rPr>
                <w:noProof/>
                <w:webHidden/>
              </w:rPr>
              <w:fldChar w:fldCharType="begin"/>
            </w:r>
            <w:r>
              <w:rPr>
                <w:noProof/>
                <w:webHidden/>
              </w:rPr>
              <w:instrText xml:space="preserve"> PAGEREF _Toc220491844 \h </w:instrText>
            </w:r>
            <w:r>
              <w:rPr>
                <w:noProof/>
                <w:webHidden/>
              </w:rPr>
            </w:r>
            <w:r>
              <w:rPr>
                <w:noProof/>
                <w:webHidden/>
              </w:rPr>
              <w:fldChar w:fldCharType="separate"/>
            </w:r>
            <w:r>
              <w:rPr>
                <w:noProof/>
                <w:webHidden/>
              </w:rPr>
              <w:t>909</w:t>
            </w:r>
            <w:r>
              <w:rPr>
                <w:noProof/>
                <w:webHidden/>
              </w:rPr>
              <w:fldChar w:fldCharType="end"/>
            </w:r>
          </w:hyperlink>
        </w:p>
        <w:p w14:paraId="5203D5F6" w14:textId="7D63CA7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45" w:history="1">
            <w:r w:rsidRPr="001D4C20">
              <w:rPr>
                <w:rStyle w:val="Lienhypertexte"/>
                <w:noProof/>
              </w:rPr>
              <w:t>58.24.2a Mobilier de salle de bain / de sanitaires - Quincaillerie complémentaire - Charnières CCTB 01.02</w:t>
            </w:r>
            <w:r>
              <w:rPr>
                <w:noProof/>
                <w:webHidden/>
              </w:rPr>
              <w:tab/>
            </w:r>
            <w:r>
              <w:rPr>
                <w:noProof/>
                <w:webHidden/>
              </w:rPr>
              <w:fldChar w:fldCharType="begin"/>
            </w:r>
            <w:r>
              <w:rPr>
                <w:noProof/>
                <w:webHidden/>
              </w:rPr>
              <w:instrText xml:space="preserve"> PAGEREF _Toc220491845 \h </w:instrText>
            </w:r>
            <w:r>
              <w:rPr>
                <w:noProof/>
                <w:webHidden/>
              </w:rPr>
            </w:r>
            <w:r>
              <w:rPr>
                <w:noProof/>
                <w:webHidden/>
              </w:rPr>
              <w:fldChar w:fldCharType="separate"/>
            </w:r>
            <w:r>
              <w:rPr>
                <w:noProof/>
                <w:webHidden/>
              </w:rPr>
              <w:t>909</w:t>
            </w:r>
            <w:r>
              <w:rPr>
                <w:noProof/>
                <w:webHidden/>
              </w:rPr>
              <w:fldChar w:fldCharType="end"/>
            </w:r>
          </w:hyperlink>
        </w:p>
        <w:p w14:paraId="783422FE" w14:textId="3693B9E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46" w:history="1">
            <w:r w:rsidRPr="001D4C20">
              <w:rPr>
                <w:rStyle w:val="Lienhypertexte"/>
                <w:noProof/>
              </w:rPr>
              <w:t>58.24.3 Mobilier de salle de bain / de sanitaires - Quincaillerie complémentaire - Rails et glissières CCTB 01.02</w:t>
            </w:r>
            <w:r>
              <w:rPr>
                <w:noProof/>
                <w:webHidden/>
              </w:rPr>
              <w:tab/>
            </w:r>
            <w:r>
              <w:rPr>
                <w:noProof/>
                <w:webHidden/>
              </w:rPr>
              <w:fldChar w:fldCharType="begin"/>
            </w:r>
            <w:r>
              <w:rPr>
                <w:noProof/>
                <w:webHidden/>
              </w:rPr>
              <w:instrText xml:space="preserve"> PAGEREF _Toc220491846 \h </w:instrText>
            </w:r>
            <w:r>
              <w:rPr>
                <w:noProof/>
                <w:webHidden/>
              </w:rPr>
            </w:r>
            <w:r>
              <w:rPr>
                <w:noProof/>
                <w:webHidden/>
              </w:rPr>
              <w:fldChar w:fldCharType="separate"/>
            </w:r>
            <w:r>
              <w:rPr>
                <w:noProof/>
                <w:webHidden/>
              </w:rPr>
              <w:t>910</w:t>
            </w:r>
            <w:r>
              <w:rPr>
                <w:noProof/>
                <w:webHidden/>
              </w:rPr>
              <w:fldChar w:fldCharType="end"/>
            </w:r>
          </w:hyperlink>
        </w:p>
        <w:p w14:paraId="032F684F" w14:textId="1062C31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47" w:history="1">
            <w:r w:rsidRPr="001D4C20">
              <w:rPr>
                <w:rStyle w:val="Lienhypertexte"/>
                <w:noProof/>
              </w:rPr>
              <w:t>58.24.3a Mobilier de salle de bain / de sanitaires - Quincaillerie complémentaire - Rails et glissières CCTB 01.02</w:t>
            </w:r>
            <w:r>
              <w:rPr>
                <w:noProof/>
                <w:webHidden/>
              </w:rPr>
              <w:tab/>
            </w:r>
            <w:r>
              <w:rPr>
                <w:noProof/>
                <w:webHidden/>
              </w:rPr>
              <w:fldChar w:fldCharType="begin"/>
            </w:r>
            <w:r>
              <w:rPr>
                <w:noProof/>
                <w:webHidden/>
              </w:rPr>
              <w:instrText xml:space="preserve"> PAGEREF _Toc220491847 \h </w:instrText>
            </w:r>
            <w:r>
              <w:rPr>
                <w:noProof/>
                <w:webHidden/>
              </w:rPr>
            </w:r>
            <w:r>
              <w:rPr>
                <w:noProof/>
                <w:webHidden/>
              </w:rPr>
              <w:fldChar w:fldCharType="separate"/>
            </w:r>
            <w:r>
              <w:rPr>
                <w:noProof/>
                <w:webHidden/>
              </w:rPr>
              <w:t>910</w:t>
            </w:r>
            <w:r>
              <w:rPr>
                <w:noProof/>
                <w:webHidden/>
              </w:rPr>
              <w:fldChar w:fldCharType="end"/>
            </w:r>
          </w:hyperlink>
        </w:p>
        <w:p w14:paraId="4CC13FE4" w14:textId="439BAA49"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848" w:history="1">
            <w:r w:rsidRPr="001D4C20">
              <w:rPr>
                <w:rStyle w:val="Lienhypertexte"/>
                <w:noProof/>
              </w:rPr>
              <w:t>58.25 Mobilier de salle de bain / de sanitaires - Accessoires CCTB 01.10</w:t>
            </w:r>
            <w:r>
              <w:rPr>
                <w:noProof/>
                <w:webHidden/>
              </w:rPr>
              <w:tab/>
            </w:r>
            <w:r>
              <w:rPr>
                <w:noProof/>
                <w:webHidden/>
              </w:rPr>
              <w:fldChar w:fldCharType="begin"/>
            </w:r>
            <w:r>
              <w:rPr>
                <w:noProof/>
                <w:webHidden/>
              </w:rPr>
              <w:instrText xml:space="preserve"> PAGEREF _Toc220491848 \h </w:instrText>
            </w:r>
            <w:r>
              <w:rPr>
                <w:noProof/>
                <w:webHidden/>
              </w:rPr>
            </w:r>
            <w:r>
              <w:rPr>
                <w:noProof/>
                <w:webHidden/>
              </w:rPr>
              <w:fldChar w:fldCharType="separate"/>
            </w:r>
            <w:r>
              <w:rPr>
                <w:noProof/>
                <w:webHidden/>
              </w:rPr>
              <w:t>910</w:t>
            </w:r>
            <w:r>
              <w:rPr>
                <w:noProof/>
                <w:webHidden/>
              </w:rPr>
              <w:fldChar w:fldCharType="end"/>
            </w:r>
          </w:hyperlink>
        </w:p>
        <w:p w14:paraId="2CBCF994" w14:textId="54416267"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49" w:history="1">
            <w:r w:rsidRPr="001D4C20">
              <w:rPr>
                <w:rStyle w:val="Lienhypertexte"/>
                <w:noProof/>
              </w:rPr>
              <w:t>58.25.1 Mobilier de salle de bain / de sanitaires - Accessoires - Miroir CCTB 01.02</w:t>
            </w:r>
            <w:r>
              <w:rPr>
                <w:noProof/>
                <w:webHidden/>
              </w:rPr>
              <w:tab/>
            </w:r>
            <w:r>
              <w:rPr>
                <w:noProof/>
                <w:webHidden/>
              </w:rPr>
              <w:fldChar w:fldCharType="begin"/>
            </w:r>
            <w:r>
              <w:rPr>
                <w:noProof/>
                <w:webHidden/>
              </w:rPr>
              <w:instrText xml:space="preserve"> PAGEREF _Toc220491849 \h </w:instrText>
            </w:r>
            <w:r>
              <w:rPr>
                <w:noProof/>
                <w:webHidden/>
              </w:rPr>
            </w:r>
            <w:r>
              <w:rPr>
                <w:noProof/>
                <w:webHidden/>
              </w:rPr>
              <w:fldChar w:fldCharType="separate"/>
            </w:r>
            <w:r>
              <w:rPr>
                <w:noProof/>
                <w:webHidden/>
              </w:rPr>
              <w:t>910</w:t>
            </w:r>
            <w:r>
              <w:rPr>
                <w:noProof/>
                <w:webHidden/>
              </w:rPr>
              <w:fldChar w:fldCharType="end"/>
            </w:r>
          </w:hyperlink>
        </w:p>
        <w:p w14:paraId="68BF74E3" w14:textId="30BDF9D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50" w:history="1">
            <w:r w:rsidRPr="001D4C20">
              <w:rPr>
                <w:rStyle w:val="Lienhypertexte"/>
                <w:noProof/>
              </w:rPr>
              <w:t>58.25.1a Mobilier de salle de bain / de sanitaires - Accessoires - Miroir CCTB 01.02</w:t>
            </w:r>
            <w:r>
              <w:rPr>
                <w:noProof/>
                <w:webHidden/>
              </w:rPr>
              <w:tab/>
            </w:r>
            <w:r>
              <w:rPr>
                <w:noProof/>
                <w:webHidden/>
              </w:rPr>
              <w:fldChar w:fldCharType="begin"/>
            </w:r>
            <w:r>
              <w:rPr>
                <w:noProof/>
                <w:webHidden/>
              </w:rPr>
              <w:instrText xml:space="preserve"> PAGEREF _Toc220491850 \h </w:instrText>
            </w:r>
            <w:r>
              <w:rPr>
                <w:noProof/>
                <w:webHidden/>
              </w:rPr>
            </w:r>
            <w:r>
              <w:rPr>
                <w:noProof/>
                <w:webHidden/>
              </w:rPr>
              <w:fldChar w:fldCharType="separate"/>
            </w:r>
            <w:r>
              <w:rPr>
                <w:noProof/>
                <w:webHidden/>
              </w:rPr>
              <w:t>910</w:t>
            </w:r>
            <w:r>
              <w:rPr>
                <w:noProof/>
                <w:webHidden/>
              </w:rPr>
              <w:fldChar w:fldCharType="end"/>
            </w:r>
          </w:hyperlink>
        </w:p>
        <w:p w14:paraId="13F4054E" w14:textId="77C34734"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51" w:history="1">
            <w:r w:rsidRPr="001D4C20">
              <w:rPr>
                <w:rStyle w:val="Lienhypertexte"/>
                <w:noProof/>
              </w:rPr>
              <w:t>58.25.2 Mobilier de salle de bain / de sanitaires - Accessoires - Porte serviette CCTB 01.02</w:t>
            </w:r>
            <w:r>
              <w:rPr>
                <w:noProof/>
                <w:webHidden/>
              </w:rPr>
              <w:tab/>
            </w:r>
            <w:r>
              <w:rPr>
                <w:noProof/>
                <w:webHidden/>
              </w:rPr>
              <w:fldChar w:fldCharType="begin"/>
            </w:r>
            <w:r>
              <w:rPr>
                <w:noProof/>
                <w:webHidden/>
              </w:rPr>
              <w:instrText xml:space="preserve"> PAGEREF _Toc220491851 \h </w:instrText>
            </w:r>
            <w:r>
              <w:rPr>
                <w:noProof/>
                <w:webHidden/>
              </w:rPr>
            </w:r>
            <w:r>
              <w:rPr>
                <w:noProof/>
                <w:webHidden/>
              </w:rPr>
              <w:fldChar w:fldCharType="separate"/>
            </w:r>
            <w:r>
              <w:rPr>
                <w:noProof/>
                <w:webHidden/>
              </w:rPr>
              <w:t>910</w:t>
            </w:r>
            <w:r>
              <w:rPr>
                <w:noProof/>
                <w:webHidden/>
              </w:rPr>
              <w:fldChar w:fldCharType="end"/>
            </w:r>
          </w:hyperlink>
        </w:p>
        <w:p w14:paraId="137C36D6" w14:textId="34783FA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52" w:history="1">
            <w:r w:rsidRPr="001D4C20">
              <w:rPr>
                <w:rStyle w:val="Lienhypertexte"/>
                <w:noProof/>
              </w:rPr>
              <w:t>58.25.2a Mobilier de salle de bain / de sanitaires - Accessoires - Porte serviette CCTB 01.02</w:t>
            </w:r>
            <w:r>
              <w:rPr>
                <w:noProof/>
                <w:webHidden/>
              </w:rPr>
              <w:tab/>
            </w:r>
            <w:r>
              <w:rPr>
                <w:noProof/>
                <w:webHidden/>
              </w:rPr>
              <w:fldChar w:fldCharType="begin"/>
            </w:r>
            <w:r>
              <w:rPr>
                <w:noProof/>
                <w:webHidden/>
              </w:rPr>
              <w:instrText xml:space="preserve"> PAGEREF _Toc220491852 \h </w:instrText>
            </w:r>
            <w:r>
              <w:rPr>
                <w:noProof/>
                <w:webHidden/>
              </w:rPr>
            </w:r>
            <w:r>
              <w:rPr>
                <w:noProof/>
                <w:webHidden/>
              </w:rPr>
              <w:fldChar w:fldCharType="separate"/>
            </w:r>
            <w:r>
              <w:rPr>
                <w:noProof/>
                <w:webHidden/>
              </w:rPr>
              <w:t>910</w:t>
            </w:r>
            <w:r>
              <w:rPr>
                <w:noProof/>
                <w:webHidden/>
              </w:rPr>
              <w:fldChar w:fldCharType="end"/>
            </w:r>
          </w:hyperlink>
        </w:p>
        <w:p w14:paraId="1F507DBF" w14:textId="10DE461A"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53" w:history="1">
            <w:r w:rsidRPr="001D4C20">
              <w:rPr>
                <w:rStyle w:val="Lienhypertexte"/>
                <w:noProof/>
              </w:rPr>
              <w:t>58.25.3 Mobilier de salle de bain / de sanitaires - Accessoires - Porte savon CCTB 01.02</w:t>
            </w:r>
            <w:r>
              <w:rPr>
                <w:noProof/>
                <w:webHidden/>
              </w:rPr>
              <w:tab/>
            </w:r>
            <w:r>
              <w:rPr>
                <w:noProof/>
                <w:webHidden/>
              </w:rPr>
              <w:fldChar w:fldCharType="begin"/>
            </w:r>
            <w:r>
              <w:rPr>
                <w:noProof/>
                <w:webHidden/>
              </w:rPr>
              <w:instrText xml:space="preserve"> PAGEREF _Toc220491853 \h </w:instrText>
            </w:r>
            <w:r>
              <w:rPr>
                <w:noProof/>
                <w:webHidden/>
              </w:rPr>
            </w:r>
            <w:r>
              <w:rPr>
                <w:noProof/>
                <w:webHidden/>
              </w:rPr>
              <w:fldChar w:fldCharType="separate"/>
            </w:r>
            <w:r>
              <w:rPr>
                <w:noProof/>
                <w:webHidden/>
              </w:rPr>
              <w:t>910</w:t>
            </w:r>
            <w:r>
              <w:rPr>
                <w:noProof/>
                <w:webHidden/>
              </w:rPr>
              <w:fldChar w:fldCharType="end"/>
            </w:r>
          </w:hyperlink>
        </w:p>
        <w:p w14:paraId="6DF4BF3B" w14:textId="77E949B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54" w:history="1">
            <w:r w:rsidRPr="001D4C20">
              <w:rPr>
                <w:rStyle w:val="Lienhypertexte"/>
                <w:noProof/>
              </w:rPr>
              <w:t>58.25.3a Mobilier de salle de bain / de sanitaires - Accessoires - Porte savon CCTB 01.02</w:t>
            </w:r>
            <w:r>
              <w:rPr>
                <w:noProof/>
                <w:webHidden/>
              </w:rPr>
              <w:tab/>
            </w:r>
            <w:r>
              <w:rPr>
                <w:noProof/>
                <w:webHidden/>
              </w:rPr>
              <w:fldChar w:fldCharType="begin"/>
            </w:r>
            <w:r>
              <w:rPr>
                <w:noProof/>
                <w:webHidden/>
              </w:rPr>
              <w:instrText xml:space="preserve"> PAGEREF _Toc220491854 \h </w:instrText>
            </w:r>
            <w:r>
              <w:rPr>
                <w:noProof/>
                <w:webHidden/>
              </w:rPr>
            </w:r>
            <w:r>
              <w:rPr>
                <w:noProof/>
                <w:webHidden/>
              </w:rPr>
              <w:fldChar w:fldCharType="separate"/>
            </w:r>
            <w:r>
              <w:rPr>
                <w:noProof/>
                <w:webHidden/>
              </w:rPr>
              <w:t>910</w:t>
            </w:r>
            <w:r>
              <w:rPr>
                <w:noProof/>
                <w:webHidden/>
              </w:rPr>
              <w:fldChar w:fldCharType="end"/>
            </w:r>
          </w:hyperlink>
        </w:p>
        <w:p w14:paraId="61593923" w14:textId="29CBFB19"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55" w:history="1">
            <w:r w:rsidRPr="001D4C20">
              <w:rPr>
                <w:rStyle w:val="Lienhypertexte"/>
                <w:noProof/>
              </w:rPr>
              <w:t>58.25.4 Mobilier de salle de bain / de sanitaires - Accessoires - Porte papier wc CCTB 01.02</w:t>
            </w:r>
            <w:r>
              <w:rPr>
                <w:noProof/>
                <w:webHidden/>
              </w:rPr>
              <w:tab/>
            </w:r>
            <w:r>
              <w:rPr>
                <w:noProof/>
                <w:webHidden/>
              </w:rPr>
              <w:fldChar w:fldCharType="begin"/>
            </w:r>
            <w:r>
              <w:rPr>
                <w:noProof/>
                <w:webHidden/>
              </w:rPr>
              <w:instrText xml:space="preserve"> PAGEREF _Toc220491855 \h </w:instrText>
            </w:r>
            <w:r>
              <w:rPr>
                <w:noProof/>
                <w:webHidden/>
              </w:rPr>
            </w:r>
            <w:r>
              <w:rPr>
                <w:noProof/>
                <w:webHidden/>
              </w:rPr>
              <w:fldChar w:fldCharType="separate"/>
            </w:r>
            <w:r>
              <w:rPr>
                <w:noProof/>
                <w:webHidden/>
              </w:rPr>
              <w:t>910</w:t>
            </w:r>
            <w:r>
              <w:rPr>
                <w:noProof/>
                <w:webHidden/>
              </w:rPr>
              <w:fldChar w:fldCharType="end"/>
            </w:r>
          </w:hyperlink>
        </w:p>
        <w:p w14:paraId="36F1D38D" w14:textId="139DAD2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56" w:history="1">
            <w:r w:rsidRPr="001D4C20">
              <w:rPr>
                <w:rStyle w:val="Lienhypertexte"/>
                <w:noProof/>
              </w:rPr>
              <w:t>58.25.4a Mobilier de salle de bain / de sanitaires - Accessoires - Porte papier wc CCTB 01.02</w:t>
            </w:r>
            <w:r>
              <w:rPr>
                <w:noProof/>
                <w:webHidden/>
              </w:rPr>
              <w:tab/>
            </w:r>
            <w:r>
              <w:rPr>
                <w:noProof/>
                <w:webHidden/>
              </w:rPr>
              <w:fldChar w:fldCharType="begin"/>
            </w:r>
            <w:r>
              <w:rPr>
                <w:noProof/>
                <w:webHidden/>
              </w:rPr>
              <w:instrText xml:space="preserve"> PAGEREF _Toc220491856 \h </w:instrText>
            </w:r>
            <w:r>
              <w:rPr>
                <w:noProof/>
                <w:webHidden/>
              </w:rPr>
            </w:r>
            <w:r>
              <w:rPr>
                <w:noProof/>
                <w:webHidden/>
              </w:rPr>
              <w:fldChar w:fldCharType="separate"/>
            </w:r>
            <w:r>
              <w:rPr>
                <w:noProof/>
                <w:webHidden/>
              </w:rPr>
              <w:t>910</w:t>
            </w:r>
            <w:r>
              <w:rPr>
                <w:noProof/>
                <w:webHidden/>
              </w:rPr>
              <w:fldChar w:fldCharType="end"/>
            </w:r>
          </w:hyperlink>
        </w:p>
        <w:p w14:paraId="764D87E9" w14:textId="22C815CF"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57" w:history="1">
            <w:r w:rsidRPr="001D4C20">
              <w:rPr>
                <w:rStyle w:val="Lienhypertexte"/>
                <w:noProof/>
              </w:rPr>
              <w:t>58.25.5 Mobilier de salle de bain / de sanitaires - Accessoires - Distributeur (papier essuie-mains, savon liquide, préservatifs) CCTB 01.02</w:t>
            </w:r>
            <w:r>
              <w:rPr>
                <w:noProof/>
                <w:webHidden/>
              </w:rPr>
              <w:tab/>
            </w:r>
            <w:r>
              <w:rPr>
                <w:noProof/>
                <w:webHidden/>
              </w:rPr>
              <w:fldChar w:fldCharType="begin"/>
            </w:r>
            <w:r>
              <w:rPr>
                <w:noProof/>
                <w:webHidden/>
              </w:rPr>
              <w:instrText xml:space="preserve"> PAGEREF _Toc220491857 \h </w:instrText>
            </w:r>
            <w:r>
              <w:rPr>
                <w:noProof/>
                <w:webHidden/>
              </w:rPr>
            </w:r>
            <w:r>
              <w:rPr>
                <w:noProof/>
                <w:webHidden/>
              </w:rPr>
              <w:fldChar w:fldCharType="separate"/>
            </w:r>
            <w:r>
              <w:rPr>
                <w:noProof/>
                <w:webHidden/>
              </w:rPr>
              <w:t>910</w:t>
            </w:r>
            <w:r>
              <w:rPr>
                <w:noProof/>
                <w:webHidden/>
              </w:rPr>
              <w:fldChar w:fldCharType="end"/>
            </w:r>
          </w:hyperlink>
        </w:p>
        <w:p w14:paraId="1763DE9F" w14:textId="2E5E750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58" w:history="1">
            <w:r w:rsidRPr="001D4C20">
              <w:rPr>
                <w:rStyle w:val="Lienhypertexte"/>
                <w:noProof/>
              </w:rPr>
              <w:t>58.25.5a Mobilier de salle de bain / de sanitaires - Accessoires - Distributeur (papier essuie-mains, savon liquide, préservatifs) CCTB 01.02</w:t>
            </w:r>
            <w:r>
              <w:rPr>
                <w:noProof/>
                <w:webHidden/>
              </w:rPr>
              <w:tab/>
            </w:r>
            <w:r>
              <w:rPr>
                <w:noProof/>
                <w:webHidden/>
              </w:rPr>
              <w:fldChar w:fldCharType="begin"/>
            </w:r>
            <w:r>
              <w:rPr>
                <w:noProof/>
                <w:webHidden/>
              </w:rPr>
              <w:instrText xml:space="preserve"> PAGEREF _Toc220491858 \h </w:instrText>
            </w:r>
            <w:r>
              <w:rPr>
                <w:noProof/>
                <w:webHidden/>
              </w:rPr>
            </w:r>
            <w:r>
              <w:rPr>
                <w:noProof/>
                <w:webHidden/>
              </w:rPr>
              <w:fldChar w:fldCharType="separate"/>
            </w:r>
            <w:r>
              <w:rPr>
                <w:noProof/>
                <w:webHidden/>
              </w:rPr>
              <w:t>910</w:t>
            </w:r>
            <w:r>
              <w:rPr>
                <w:noProof/>
                <w:webHidden/>
              </w:rPr>
              <w:fldChar w:fldCharType="end"/>
            </w:r>
          </w:hyperlink>
        </w:p>
        <w:p w14:paraId="6D603FAB" w14:textId="17B055CA"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859" w:history="1">
            <w:r w:rsidRPr="001D4C20">
              <w:rPr>
                <w:rStyle w:val="Lienhypertexte"/>
                <w:noProof/>
              </w:rPr>
              <w:t>58.3 Mobilier de bureau fixe / Comptoir CCTB 01.13</w:t>
            </w:r>
            <w:r>
              <w:rPr>
                <w:noProof/>
                <w:webHidden/>
              </w:rPr>
              <w:tab/>
            </w:r>
            <w:r>
              <w:rPr>
                <w:noProof/>
                <w:webHidden/>
              </w:rPr>
              <w:fldChar w:fldCharType="begin"/>
            </w:r>
            <w:r>
              <w:rPr>
                <w:noProof/>
                <w:webHidden/>
              </w:rPr>
              <w:instrText xml:space="preserve"> PAGEREF _Toc220491859 \h </w:instrText>
            </w:r>
            <w:r>
              <w:rPr>
                <w:noProof/>
                <w:webHidden/>
              </w:rPr>
            </w:r>
            <w:r>
              <w:rPr>
                <w:noProof/>
                <w:webHidden/>
              </w:rPr>
              <w:fldChar w:fldCharType="separate"/>
            </w:r>
            <w:r>
              <w:rPr>
                <w:noProof/>
                <w:webHidden/>
              </w:rPr>
              <w:t>910</w:t>
            </w:r>
            <w:r>
              <w:rPr>
                <w:noProof/>
                <w:webHidden/>
              </w:rPr>
              <w:fldChar w:fldCharType="end"/>
            </w:r>
          </w:hyperlink>
        </w:p>
        <w:p w14:paraId="20776F05" w14:textId="0EE1922F"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860" w:history="1">
            <w:r w:rsidRPr="001D4C20">
              <w:rPr>
                <w:rStyle w:val="Lienhypertexte"/>
                <w:noProof/>
              </w:rPr>
              <w:t>58.31 Mobilier de bureau fixe / Comptoir - Structure et planches CCTB 01.02</w:t>
            </w:r>
            <w:r>
              <w:rPr>
                <w:noProof/>
                <w:webHidden/>
              </w:rPr>
              <w:tab/>
            </w:r>
            <w:r>
              <w:rPr>
                <w:noProof/>
                <w:webHidden/>
              </w:rPr>
              <w:fldChar w:fldCharType="begin"/>
            </w:r>
            <w:r>
              <w:rPr>
                <w:noProof/>
                <w:webHidden/>
              </w:rPr>
              <w:instrText xml:space="preserve"> PAGEREF _Toc220491860 \h </w:instrText>
            </w:r>
            <w:r>
              <w:rPr>
                <w:noProof/>
                <w:webHidden/>
              </w:rPr>
            </w:r>
            <w:r>
              <w:rPr>
                <w:noProof/>
                <w:webHidden/>
              </w:rPr>
              <w:fldChar w:fldCharType="separate"/>
            </w:r>
            <w:r>
              <w:rPr>
                <w:noProof/>
                <w:webHidden/>
              </w:rPr>
              <w:t>911</w:t>
            </w:r>
            <w:r>
              <w:rPr>
                <w:noProof/>
                <w:webHidden/>
              </w:rPr>
              <w:fldChar w:fldCharType="end"/>
            </w:r>
          </w:hyperlink>
        </w:p>
        <w:p w14:paraId="20EADBE0" w14:textId="038A705E"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61" w:history="1">
            <w:r w:rsidRPr="001D4C20">
              <w:rPr>
                <w:rStyle w:val="Lienhypertexte"/>
                <w:noProof/>
              </w:rPr>
              <w:t>58.31.1 Mobilier de bureau fixe / Comptoir - Structure et planches - Eléments blocs CCTB 01.02</w:t>
            </w:r>
            <w:r>
              <w:rPr>
                <w:noProof/>
                <w:webHidden/>
              </w:rPr>
              <w:tab/>
            </w:r>
            <w:r>
              <w:rPr>
                <w:noProof/>
                <w:webHidden/>
              </w:rPr>
              <w:fldChar w:fldCharType="begin"/>
            </w:r>
            <w:r>
              <w:rPr>
                <w:noProof/>
                <w:webHidden/>
              </w:rPr>
              <w:instrText xml:space="preserve"> PAGEREF _Toc220491861 \h </w:instrText>
            </w:r>
            <w:r>
              <w:rPr>
                <w:noProof/>
                <w:webHidden/>
              </w:rPr>
            </w:r>
            <w:r>
              <w:rPr>
                <w:noProof/>
                <w:webHidden/>
              </w:rPr>
              <w:fldChar w:fldCharType="separate"/>
            </w:r>
            <w:r>
              <w:rPr>
                <w:noProof/>
                <w:webHidden/>
              </w:rPr>
              <w:t>911</w:t>
            </w:r>
            <w:r>
              <w:rPr>
                <w:noProof/>
                <w:webHidden/>
              </w:rPr>
              <w:fldChar w:fldCharType="end"/>
            </w:r>
          </w:hyperlink>
        </w:p>
        <w:p w14:paraId="6D01D7AB" w14:textId="790F4CB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62" w:history="1">
            <w:r w:rsidRPr="001D4C20">
              <w:rPr>
                <w:rStyle w:val="Lienhypertexte"/>
                <w:noProof/>
              </w:rPr>
              <w:t>58.31.1a Mobilier de bureau fixe / Comptoir - Structure et planches - Eléments blocs CCTB 01.02</w:t>
            </w:r>
            <w:r>
              <w:rPr>
                <w:noProof/>
                <w:webHidden/>
              </w:rPr>
              <w:tab/>
            </w:r>
            <w:r>
              <w:rPr>
                <w:noProof/>
                <w:webHidden/>
              </w:rPr>
              <w:fldChar w:fldCharType="begin"/>
            </w:r>
            <w:r>
              <w:rPr>
                <w:noProof/>
                <w:webHidden/>
              </w:rPr>
              <w:instrText xml:space="preserve"> PAGEREF _Toc220491862 \h </w:instrText>
            </w:r>
            <w:r>
              <w:rPr>
                <w:noProof/>
                <w:webHidden/>
              </w:rPr>
            </w:r>
            <w:r>
              <w:rPr>
                <w:noProof/>
                <w:webHidden/>
              </w:rPr>
              <w:fldChar w:fldCharType="separate"/>
            </w:r>
            <w:r>
              <w:rPr>
                <w:noProof/>
                <w:webHidden/>
              </w:rPr>
              <w:t>911</w:t>
            </w:r>
            <w:r>
              <w:rPr>
                <w:noProof/>
                <w:webHidden/>
              </w:rPr>
              <w:fldChar w:fldCharType="end"/>
            </w:r>
          </w:hyperlink>
        </w:p>
        <w:p w14:paraId="7ABBBD45" w14:textId="61C688E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63" w:history="1">
            <w:r w:rsidRPr="001D4C20">
              <w:rPr>
                <w:rStyle w:val="Lienhypertexte"/>
                <w:noProof/>
              </w:rPr>
              <w:t>58.31.2 Mobilier de bureau fixe / Comptoir - Structure et planches - Façades &amp; côtés apparents CCTB 01.02</w:t>
            </w:r>
            <w:r>
              <w:rPr>
                <w:noProof/>
                <w:webHidden/>
              </w:rPr>
              <w:tab/>
            </w:r>
            <w:r>
              <w:rPr>
                <w:noProof/>
                <w:webHidden/>
              </w:rPr>
              <w:fldChar w:fldCharType="begin"/>
            </w:r>
            <w:r>
              <w:rPr>
                <w:noProof/>
                <w:webHidden/>
              </w:rPr>
              <w:instrText xml:space="preserve"> PAGEREF _Toc220491863 \h </w:instrText>
            </w:r>
            <w:r>
              <w:rPr>
                <w:noProof/>
                <w:webHidden/>
              </w:rPr>
            </w:r>
            <w:r>
              <w:rPr>
                <w:noProof/>
                <w:webHidden/>
              </w:rPr>
              <w:fldChar w:fldCharType="separate"/>
            </w:r>
            <w:r>
              <w:rPr>
                <w:noProof/>
                <w:webHidden/>
              </w:rPr>
              <w:t>911</w:t>
            </w:r>
            <w:r>
              <w:rPr>
                <w:noProof/>
                <w:webHidden/>
              </w:rPr>
              <w:fldChar w:fldCharType="end"/>
            </w:r>
          </w:hyperlink>
        </w:p>
        <w:p w14:paraId="0F58ED8A" w14:textId="3F9E0D0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64" w:history="1">
            <w:r w:rsidRPr="001D4C20">
              <w:rPr>
                <w:rStyle w:val="Lienhypertexte"/>
                <w:noProof/>
              </w:rPr>
              <w:t>58.31.2a Mobilier de bureau fixe / Comptoir - Structure et planches - Façades &amp; côtés apparents CCTB 01.10</w:t>
            </w:r>
            <w:r>
              <w:rPr>
                <w:noProof/>
                <w:webHidden/>
              </w:rPr>
              <w:tab/>
            </w:r>
            <w:r>
              <w:rPr>
                <w:noProof/>
                <w:webHidden/>
              </w:rPr>
              <w:fldChar w:fldCharType="begin"/>
            </w:r>
            <w:r>
              <w:rPr>
                <w:noProof/>
                <w:webHidden/>
              </w:rPr>
              <w:instrText xml:space="preserve"> PAGEREF _Toc220491864 \h </w:instrText>
            </w:r>
            <w:r>
              <w:rPr>
                <w:noProof/>
                <w:webHidden/>
              </w:rPr>
            </w:r>
            <w:r>
              <w:rPr>
                <w:noProof/>
                <w:webHidden/>
              </w:rPr>
              <w:fldChar w:fldCharType="separate"/>
            </w:r>
            <w:r>
              <w:rPr>
                <w:noProof/>
                <w:webHidden/>
              </w:rPr>
              <w:t>911</w:t>
            </w:r>
            <w:r>
              <w:rPr>
                <w:noProof/>
                <w:webHidden/>
              </w:rPr>
              <w:fldChar w:fldCharType="end"/>
            </w:r>
          </w:hyperlink>
        </w:p>
        <w:p w14:paraId="619D8925" w14:textId="5DB6BFC9"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65" w:history="1">
            <w:r w:rsidRPr="001D4C20">
              <w:rPr>
                <w:rStyle w:val="Lienhypertexte"/>
                <w:noProof/>
              </w:rPr>
              <w:t>58.31.3 Mobilier de bureau fixe / Comptoir - Structure et planches - Planches intérieures CCTB 01.02</w:t>
            </w:r>
            <w:r>
              <w:rPr>
                <w:noProof/>
                <w:webHidden/>
              </w:rPr>
              <w:tab/>
            </w:r>
            <w:r>
              <w:rPr>
                <w:noProof/>
                <w:webHidden/>
              </w:rPr>
              <w:fldChar w:fldCharType="begin"/>
            </w:r>
            <w:r>
              <w:rPr>
                <w:noProof/>
                <w:webHidden/>
              </w:rPr>
              <w:instrText xml:space="preserve"> PAGEREF _Toc220491865 \h </w:instrText>
            </w:r>
            <w:r>
              <w:rPr>
                <w:noProof/>
                <w:webHidden/>
              </w:rPr>
            </w:r>
            <w:r>
              <w:rPr>
                <w:noProof/>
                <w:webHidden/>
              </w:rPr>
              <w:fldChar w:fldCharType="separate"/>
            </w:r>
            <w:r>
              <w:rPr>
                <w:noProof/>
                <w:webHidden/>
              </w:rPr>
              <w:t>912</w:t>
            </w:r>
            <w:r>
              <w:rPr>
                <w:noProof/>
                <w:webHidden/>
              </w:rPr>
              <w:fldChar w:fldCharType="end"/>
            </w:r>
          </w:hyperlink>
        </w:p>
        <w:p w14:paraId="73A32B40" w14:textId="5E185610"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66" w:history="1">
            <w:r w:rsidRPr="001D4C20">
              <w:rPr>
                <w:rStyle w:val="Lienhypertexte"/>
                <w:noProof/>
              </w:rPr>
              <w:t>58.31.3a Mobilier de bureau fixe / Comptoir - Structure et planches - Planches intérieures CCTB 01.02</w:t>
            </w:r>
            <w:r>
              <w:rPr>
                <w:noProof/>
                <w:webHidden/>
              </w:rPr>
              <w:tab/>
            </w:r>
            <w:r>
              <w:rPr>
                <w:noProof/>
                <w:webHidden/>
              </w:rPr>
              <w:fldChar w:fldCharType="begin"/>
            </w:r>
            <w:r>
              <w:rPr>
                <w:noProof/>
                <w:webHidden/>
              </w:rPr>
              <w:instrText xml:space="preserve"> PAGEREF _Toc220491866 \h </w:instrText>
            </w:r>
            <w:r>
              <w:rPr>
                <w:noProof/>
                <w:webHidden/>
              </w:rPr>
            </w:r>
            <w:r>
              <w:rPr>
                <w:noProof/>
                <w:webHidden/>
              </w:rPr>
              <w:fldChar w:fldCharType="separate"/>
            </w:r>
            <w:r>
              <w:rPr>
                <w:noProof/>
                <w:webHidden/>
              </w:rPr>
              <w:t>912</w:t>
            </w:r>
            <w:r>
              <w:rPr>
                <w:noProof/>
                <w:webHidden/>
              </w:rPr>
              <w:fldChar w:fldCharType="end"/>
            </w:r>
          </w:hyperlink>
        </w:p>
        <w:p w14:paraId="55BF3C25" w14:textId="37668D09"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67" w:history="1">
            <w:r w:rsidRPr="001D4C20">
              <w:rPr>
                <w:rStyle w:val="Lienhypertexte"/>
                <w:noProof/>
              </w:rPr>
              <w:t>58.31.4 Mobilier de bureau fixe / Comptoir - Structure et planches - Structure complémentaire, y compris étagères CCTB 01.02</w:t>
            </w:r>
            <w:r>
              <w:rPr>
                <w:noProof/>
                <w:webHidden/>
              </w:rPr>
              <w:tab/>
            </w:r>
            <w:r>
              <w:rPr>
                <w:noProof/>
                <w:webHidden/>
              </w:rPr>
              <w:fldChar w:fldCharType="begin"/>
            </w:r>
            <w:r>
              <w:rPr>
                <w:noProof/>
                <w:webHidden/>
              </w:rPr>
              <w:instrText xml:space="preserve"> PAGEREF _Toc220491867 \h </w:instrText>
            </w:r>
            <w:r>
              <w:rPr>
                <w:noProof/>
                <w:webHidden/>
              </w:rPr>
            </w:r>
            <w:r>
              <w:rPr>
                <w:noProof/>
                <w:webHidden/>
              </w:rPr>
              <w:fldChar w:fldCharType="separate"/>
            </w:r>
            <w:r>
              <w:rPr>
                <w:noProof/>
                <w:webHidden/>
              </w:rPr>
              <w:t>912</w:t>
            </w:r>
            <w:r>
              <w:rPr>
                <w:noProof/>
                <w:webHidden/>
              </w:rPr>
              <w:fldChar w:fldCharType="end"/>
            </w:r>
          </w:hyperlink>
        </w:p>
        <w:p w14:paraId="24734810" w14:textId="741E57B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68" w:history="1">
            <w:r w:rsidRPr="001D4C20">
              <w:rPr>
                <w:rStyle w:val="Lienhypertexte"/>
                <w:noProof/>
              </w:rPr>
              <w:t>58.31.4a Mobilier de bureau fixe / Comptoir - Structure et planches - Structure complémentaire, y compris étagères CCTB 01.02</w:t>
            </w:r>
            <w:r>
              <w:rPr>
                <w:noProof/>
                <w:webHidden/>
              </w:rPr>
              <w:tab/>
            </w:r>
            <w:r>
              <w:rPr>
                <w:noProof/>
                <w:webHidden/>
              </w:rPr>
              <w:fldChar w:fldCharType="begin"/>
            </w:r>
            <w:r>
              <w:rPr>
                <w:noProof/>
                <w:webHidden/>
              </w:rPr>
              <w:instrText xml:space="preserve"> PAGEREF _Toc220491868 \h </w:instrText>
            </w:r>
            <w:r>
              <w:rPr>
                <w:noProof/>
                <w:webHidden/>
              </w:rPr>
            </w:r>
            <w:r>
              <w:rPr>
                <w:noProof/>
                <w:webHidden/>
              </w:rPr>
              <w:fldChar w:fldCharType="separate"/>
            </w:r>
            <w:r>
              <w:rPr>
                <w:noProof/>
                <w:webHidden/>
              </w:rPr>
              <w:t>912</w:t>
            </w:r>
            <w:r>
              <w:rPr>
                <w:noProof/>
                <w:webHidden/>
              </w:rPr>
              <w:fldChar w:fldCharType="end"/>
            </w:r>
          </w:hyperlink>
        </w:p>
        <w:p w14:paraId="75A04183" w14:textId="52B4D4DE"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869" w:history="1">
            <w:r w:rsidRPr="001D4C20">
              <w:rPr>
                <w:rStyle w:val="Lienhypertexte"/>
                <w:noProof/>
              </w:rPr>
              <w:t>58.32 Mobilier de bureau fixe / Comptoir - Portes / Tiroirs / Caissons CCTB 01.02</w:t>
            </w:r>
            <w:r>
              <w:rPr>
                <w:noProof/>
                <w:webHidden/>
              </w:rPr>
              <w:tab/>
            </w:r>
            <w:r>
              <w:rPr>
                <w:noProof/>
                <w:webHidden/>
              </w:rPr>
              <w:fldChar w:fldCharType="begin"/>
            </w:r>
            <w:r>
              <w:rPr>
                <w:noProof/>
                <w:webHidden/>
              </w:rPr>
              <w:instrText xml:space="preserve"> PAGEREF _Toc220491869 \h </w:instrText>
            </w:r>
            <w:r>
              <w:rPr>
                <w:noProof/>
                <w:webHidden/>
              </w:rPr>
            </w:r>
            <w:r>
              <w:rPr>
                <w:noProof/>
                <w:webHidden/>
              </w:rPr>
              <w:fldChar w:fldCharType="separate"/>
            </w:r>
            <w:r>
              <w:rPr>
                <w:noProof/>
                <w:webHidden/>
              </w:rPr>
              <w:t>912</w:t>
            </w:r>
            <w:r>
              <w:rPr>
                <w:noProof/>
                <w:webHidden/>
              </w:rPr>
              <w:fldChar w:fldCharType="end"/>
            </w:r>
          </w:hyperlink>
        </w:p>
        <w:p w14:paraId="1FFE252B" w14:textId="6F62CC20"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70" w:history="1">
            <w:r w:rsidRPr="001D4C20">
              <w:rPr>
                <w:rStyle w:val="Lienhypertexte"/>
                <w:noProof/>
              </w:rPr>
              <w:t>58.32.1 Mobilier de bureau fixe / Comptoir - Portes CCTB 01.02</w:t>
            </w:r>
            <w:r>
              <w:rPr>
                <w:noProof/>
                <w:webHidden/>
              </w:rPr>
              <w:tab/>
            </w:r>
            <w:r>
              <w:rPr>
                <w:noProof/>
                <w:webHidden/>
              </w:rPr>
              <w:fldChar w:fldCharType="begin"/>
            </w:r>
            <w:r>
              <w:rPr>
                <w:noProof/>
                <w:webHidden/>
              </w:rPr>
              <w:instrText xml:space="preserve"> PAGEREF _Toc220491870 \h </w:instrText>
            </w:r>
            <w:r>
              <w:rPr>
                <w:noProof/>
                <w:webHidden/>
              </w:rPr>
            </w:r>
            <w:r>
              <w:rPr>
                <w:noProof/>
                <w:webHidden/>
              </w:rPr>
              <w:fldChar w:fldCharType="separate"/>
            </w:r>
            <w:r>
              <w:rPr>
                <w:noProof/>
                <w:webHidden/>
              </w:rPr>
              <w:t>912</w:t>
            </w:r>
            <w:r>
              <w:rPr>
                <w:noProof/>
                <w:webHidden/>
              </w:rPr>
              <w:fldChar w:fldCharType="end"/>
            </w:r>
          </w:hyperlink>
        </w:p>
        <w:p w14:paraId="73E4AFB8" w14:textId="293C381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71" w:history="1">
            <w:r w:rsidRPr="001D4C20">
              <w:rPr>
                <w:rStyle w:val="Lienhypertexte"/>
                <w:noProof/>
              </w:rPr>
              <w:t>58.32.1a Mobilier de bureau fixe / Comptoir - Portes CCTB 01.10</w:t>
            </w:r>
            <w:r>
              <w:rPr>
                <w:noProof/>
                <w:webHidden/>
              </w:rPr>
              <w:tab/>
            </w:r>
            <w:r>
              <w:rPr>
                <w:noProof/>
                <w:webHidden/>
              </w:rPr>
              <w:fldChar w:fldCharType="begin"/>
            </w:r>
            <w:r>
              <w:rPr>
                <w:noProof/>
                <w:webHidden/>
              </w:rPr>
              <w:instrText xml:space="preserve"> PAGEREF _Toc220491871 \h </w:instrText>
            </w:r>
            <w:r>
              <w:rPr>
                <w:noProof/>
                <w:webHidden/>
              </w:rPr>
            </w:r>
            <w:r>
              <w:rPr>
                <w:noProof/>
                <w:webHidden/>
              </w:rPr>
              <w:fldChar w:fldCharType="separate"/>
            </w:r>
            <w:r>
              <w:rPr>
                <w:noProof/>
                <w:webHidden/>
              </w:rPr>
              <w:t>912</w:t>
            </w:r>
            <w:r>
              <w:rPr>
                <w:noProof/>
                <w:webHidden/>
              </w:rPr>
              <w:fldChar w:fldCharType="end"/>
            </w:r>
          </w:hyperlink>
        </w:p>
        <w:p w14:paraId="27362287" w14:textId="694F377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72" w:history="1">
            <w:r w:rsidRPr="001D4C20">
              <w:rPr>
                <w:rStyle w:val="Lienhypertexte"/>
                <w:noProof/>
              </w:rPr>
              <w:t>58.32.2 Mobilier de bureau fixe / Comptoir - Tiroirs CCTB 01.02</w:t>
            </w:r>
            <w:r>
              <w:rPr>
                <w:noProof/>
                <w:webHidden/>
              </w:rPr>
              <w:tab/>
            </w:r>
            <w:r>
              <w:rPr>
                <w:noProof/>
                <w:webHidden/>
              </w:rPr>
              <w:fldChar w:fldCharType="begin"/>
            </w:r>
            <w:r>
              <w:rPr>
                <w:noProof/>
                <w:webHidden/>
              </w:rPr>
              <w:instrText xml:space="preserve"> PAGEREF _Toc220491872 \h </w:instrText>
            </w:r>
            <w:r>
              <w:rPr>
                <w:noProof/>
                <w:webHidden/>
              </w:rPr>
            </w:r>
            <w:r>
              <w:rPr>
                <w:noProof/>
                <w:webHidden/>
              </w:rPr>
              <w:fldChar w:fldCharType="separate"/>
            </w:r>
            <w:r>
              <w:rPr>
                <w:noProof/>
                <w:webHidden/>
              </w:rPr>
              <w:t>912</w:t>
            </w:r>
            <w:r>
              <w:rPr>
                <w:noProof/>
                <w:webHidden/>
              </w:rPr>
              <w:fldChar w:fldCharType="end"/>
            </w:r>
          </w:hyperlink>
        </w:p>
        <w:p w14:paraId="62D7521C" w14:textId="3DDE56E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73" w:history="1">
            <w:r w:rsidRPr="001D4C20">
              <w:rPr>
                <w:rStyle w:val="Lienhypertexte"/>
                <w:noProof/>
              </w:rPr>
              <w:t>58.32.2a Mobilier de bureau fixe / Comptoir - Tiroirs CCTB 01.10</w:t>
            </w:r>
            <w:r>
              <w:rPr>
                <w:noProof/>
                <w:webHidden/>
              </w:rPr>
              <w:tab/>
            </w:r>
            <w:r>
              <w:rPr>
                <w:noProof/>
                <w:webHidden/>
              </w:rPr>
              <w:fldChar w:fldCharType="begin"/>
            </w:r>
            <w:r>
              <w:rPr>
                <w:noProof/>
                <w:webHidden/>
              </w:rPr>
              <w:instrText xml:space="preserve"> PAGEREF _Toc220491873 \h </w:instrText>
            </w:r>
            <w:r>
              <w:rPr>
                <w:noProof/>
                <w:webHidden/>
              </w:rPr>
            </w:r>
            <w:r>
              <w:rPr>
                <w:noProof/>
                <w:webHidden/>
              </w:rPr>
              <w:fldChar w:fldCharType="separate"/>
            </w:r>
            <w:r>
              <w:rPr>
                <w:noProof/>
                <w:webHidden/>
              </w:rPr>
              <w:t>912</w:t>
            </w:r>
            <w:r>
              <w:rPr>
                <w:noProof/>
                <w:webHidden/>
              </w:rPr>
              <w:fldChar w:fldCharType="end"/>
            </w:r>
          </w:hyperlink>
        </w:p>
        <w:p w14:paraId="7975D76E" w14:textId="18EBAA40"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74" w:history="1">
            <w:r w:rsidRPr="001D4C20">
              <w:rPr>
                <w:rStyle w:val="Lienhypertexte"/>
                <w:noProof/>
              </w:rPr>
              <w:t>58.32.3 Mobilier de bureau fixe / Comptoir - Caissons CCTB 01.02</w:t>
            </w:r>
            <w:r>
              <w:rPr>
                <w:noProof/>
                <w:webHidden/>
              </w:rPr>
              <w:tab/>
            </w:r>
            <w:r>
              <w:rPr>
                <w:noProof/>
                <w:webHidden/>
              </w:rPr>
              <w:fldChar w:fldCharType="begin"/>
            </w:r>
            <w:r>
              <w:rPr>
                <w:noProof/>
                <w:webHidden/>
              </w:rPr>
              <w:instrText xml:space="preserve"> PAGEREF _Toc220491874 \h </w:instrText>
            </w:r>
            <w:r>
              <w:rPr>
                <w:noProof/>
                <w:webHidden/>
              </w:rPr>
            </w:r>
            <w:r>
              <w:rPr>
                <w:noProof/>
                <w:webHidden/>
              </w:rPr>
              <w:fldChar w:fldCharType="separate"/>
            </w:r>
            <w:r>
              <w:rPr>
                <w:noProof/>
                <w:webHidden/>
              </w:rPr>
              <w:t>913</w:t>
            </w:r>
            <w:r>
              <w:rPr>
                <w:noProof/>
                <w:webHidden/>
              </w:rPr>
              <w:fldChar w:fldCharType="end"/>
            </w:r>
          </w:hyperlink>
        </w:p>
        <w:p w14:paraId="38D6A04E" w14:textId="26DBD55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75" w:history="1">
            <w:r w:rsidRPr="001D4C20">
              <w:rPr>
                <w:rStyle w:val="Lienhypertexte"/>
                <w:noProof/>
              </w:rPr>
              <w:t>58.32.3a Mobilier de bureau fixe / Comptoir - Caissons CCTB 01.10</w:t>
            </w:r>
            <w:r>
              <w:rPr>
                <w:noProof/>
                <w:webHidden/>
              </w:rPr>
              <w:tab/>
            </w:r>
            <w:r>
              <w:rPr>
                <w:noProof/>
                <w:webHidden/>
              </w:rPr>
              <w:fldChar w:fldCharType="begin"/>
            </w:r>
            <w:r>
              <w:rPr>
                <w:noProof/>
                <w:webHidden/>
              </w:rPr>
              <w:instrText xml:space="preserve"> PAGEREF _Toc220491875 \h </w:instrText>
            </w:r>
            <w:r>
              <w:rPr>
                <w:noProof/>
                <w:webHidden/>
              </w:rPr>
            </w:r>
            <w:r>
              <w:rPr>
                <w:noProof/>
                <w:webHidden/>
              </w:rPr>
              <w:fldChar w:fldCharType="separate"/>
            </w:r>
            <w:r>
              <w:rPr>
                <w:noProof/>
                <w:webHidden/>
              </w:rPr>
              <w:t>913</w:t>
            </w:r>
            <w:r>
              <w:rPr>
                <w:noProof/>
                <w:webHidden/>
              </w:rPr>
              <w:fldChar w:fldCharType="end"/>
            </w:r>
          </w:hyperlink>
        </w:p>
        <w:p w14:paraId="1CD0A83B" w14:textId="633DC0BE"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876" w:history="1">
            <w:r w:rsidRPr="001D4C20">
              <w:rPr>
                <w:rStyle w:val="Lienhypertexte"/>
                <w:noProof/>
              </w:rPr>
              <w:t>58.33 Mobilier de bureau fixe / Comptoir - Plans de travail / Tablettes / Panneaux de finition CCTB 01.02</w:t>
            </w:r>
            <w:r>
              <w:rPr>
                <w:noProof/>
                <w:webHidden/>
              </w:rPr>
              <w:tab/>
            </w:r>
            <w:r>
              <w:rPr>
                <w:noProof/>
                <w:webHidden/>
              </w:rPr>
              <w:fldChar w:fldCharType="begin"/>
            </w:r>
            <w:r>
              <w:rPr>
                <w:noProof/>
                <w:webHidden/>
              </w:rPr>
              <w:instrText xml:space="preserve"> PAGEREF _Toc220491876 \h </w:instrText>
            </w:r>
            <w:r>
              <w:rPr>
                <w:noProof/>
                <w:webHidden/>
              </w:rPr>
            </w:r>
            <w:r>
              <w:rPr>
                <w:noProof/>
                <w:webHidden/>
              </w:rPr>
              <w:fldChar w:fldCharType="separate"/>
            </w:r>
            <w:r>
              <w:rPr>
                <w:noProof/>
                <w:webHidden/>
              </w:rPr>
              <w:t>913</w:t>
            </w:r>
            <w:r>
              <w:rPr>
                <w:noProof/>
                <w:webHidden/>
              </w:rPr>
              <w:fldChar w:fldCharType="end"/>
            </w:r>
          </w:hyperlink>
        </w:p>
        <w:p w14:paraId="0BD29563" w14:textId="6155AEE4"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77" w:history="1">
            <w:r w:rsidRPr="001D4C20">
              <w:rPr>
                <w:rStyle w:val="Lienhypertexte"/>
                <w:noProof/>
              </w:rPr>
              <w:t>58.33.1 Mobilier de bureau fixe / Comptoir - Plans de travail CCTB 01.02</w:t>
            </w:r>
            <w:r>
              <w:rPr>
                <w:noProof/>
                <w:webHidden/>
              </w:rPr>
              <w:tab/>
            </w:r>
            <w:r>
              <w:rPr>
                <w:noProof/>
                <w:webHidden/>
              </w:rPr>
              <w:fldChar w:fldCharType="begin"/>
            </w:r>
            <w:r>
              <w:rPr>
                <w:noProof/>
                <w:webHidden/>
              </w:rPr>
              <w:instrText xml:space="preserve"> PAGEREF _Toc220491877 \h </w:instrText>
            </w:r>
            <w:r>
              <w:rPr>
                <w:noProof/>
                <w:webHidden/>
              </w:rPr>
            </w:r>
            <w:r>
              <w:rPr>
                <w:noProof/>
                <w:webHidden/>
              </w:rPr>
              <w:fldChar w:fldCharType="separate"/>
            </w:r>
            <w:r>
              <w:rPr>
                <w:noProof/>
                <w:webHidden/>
              </w:rPr>
              <w:t>913</w:t>
            </w:r>
            <w:r>
              <w:rPr>
                <w:noProof/>
                <w:webHidden/>
              </w:rPr>
              <w:fldChar w:fldCharType="end"/>
            </w:r>
          </w:hyperlink>
        </w:p>
        <w:p w14:paraId="28B9A20D" w14:textId="76CD956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78" w:history="1">
            <w:r w:rsidRPr="001D4C20">
              <w:rPr>
                <w:rStyle w:val="Lienhypertexte"/>
                <w:noProof/>
              </w:rPr>
              <w:t>58.33.1a Mobilier de bureau fixe / Comptoir - Plans de travail CCTB 01.02</w:t>
            </w:r>
            <w:r>
              <w:rPr>
                <w:noProof/>
                <w:webHidden/>
              </w:rPr>
              <w:tab/>
            </w:r>
            <w:r>
              <w:rPr>
                <w:noProof/>
                <w:webHidden/>
              </w:rPr>
              <w:fldChar w:fldCharType="begin"/>
            </w:r>
            <w:r>
              <w:rPr>
                <w:noProof/>
                <w:webHidden/>
              </w:rPr>
              <w:instrText xml:space="preserve"> PAGEREF _Toc220491878 \h </w:instrText>
            </w:r>
            <w:r>
              <w:rPr>
                <w:noProof/>
                <w:webHidden/>
              </w:rPr>
            </w:r>
            <w:r>
              <w:rPr>
                <w:noProof/>
                <w:webHidden/>
              </w:rPr>
              <w:fldChar w:fldCharType="separate"/>
            </w:r>
            <w:r>
              <w:rPr>
                <w:noProof/>
                <w:webHidden/>
              </w:rPr>
              <w:t>913</w:t>
            </w:r>
            <w:r>
              <w:rPr>
                <w:noProof/>
                <w:webHidden/>
              </w:rPr>
              <w:fldChar w:fldCharType="end"/>
            </w:r>
          </w:hyperlink>
        </w:p>
        <w:p w14:paraId="748A9134" w14:textId="14BABF7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79" w:history="1">
            <w:r w:rsidRPr="001D4C20">
              <w:rPr>
                <w:rStyle w:val="Lienhypertexte"/>
                <w:noProof/>
              </w:rPr>
              <w:t>58.33.2 Mobilier de bureau fixe / Comptoir - Tablettes CCTB 01.02</w:t>
            </w:r>
            <w:r>
              <w:rPr>
                <w:noProof/>
                <w:webHidden/>
              </w:rPr>
              <w:tab/>
            </w:r>
            <w:r>
              <w:rPr>
                <w:noProof/>
                <w:webHidden/>
              </w:rPr>
              <w:fldChar w:fldCharType="begin"/>
            </w:r>
            <w:r>
              <w:rPr>
                <w:noProof/>
                <w:webHidden/>
              </w:rPr>
              <w:instrText xml:space="preserve"> PAGEREF _Toc220491879 \h </w:instrText>
            </w:r>
            <w:r>
              <w:rPr>
                <w:noProof/>
                <w:webHidden/>
              </w:rPr>
            </w:r>
            <w:r>
              <w:rPr>
                <w:noProof/>
                <w:webHidden/>
              </w:rPr>
              <w:fldChar w:fldCharType="separate"/>
            </w:r>
            <w:r>
              <w:rPr>
                <w:noProof/>
                <w:webHidden/>
              </w:rPr>
              <w:t>913</w:t>
            </w:r>
            <w:r>
              <w:rPr>
                <w:noProof/>
                <w:webHidden/>
              </w:rPr>
              <w:fldChar w:fldCharType="end"/>
            </w:r>
          </w:hyperlink>
        </w:p>
        <w:p w14:paraId="02F178D9" w14:textId="0F9FDBE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80" w:history="1">
            <w:r w:rsidRPr="001D4C20">
              <w:rPr>
                <w:rStyle w:val="Lienhypertexte"/>
                <w:noProof/>
              </w:rPr>
              <w:t>58.33.2a Mobilier de bureau fixe / Comptoir - Tablettes CCTB 01.02</w:t>
            </w:r>
            <w:r>
              <w:rPr>
                <w:noProof/>
                <w:webHidden/>
              </w:rPr>
              <w:tab/>
            </w:r>
            <w:r>
              <w:rPr>
                <w:noProof/>
                <w:webHidden/>
              </w:rPr>
              <w:fldChar w:fldCharType="begin"/>
            </w:r>
            <w:r>
              <w:rPr>
                <w:noProof/>
                <w:webHidden/>
              </w:rPr>
              <w:instrText xml:space="preserve"> PAGEREF _Toc220491880 \h </w:instrText>
            </w:r>
            <w:r>
              <w:rPr>
                <w:noProof/>
                <w:webHidden/>
              </w:rPr>
            </w:r>
            <w:r>
              <w:rPr>
                <w:noProof/>
                <w:webHidden/>
              </w:rPr>
              <w:fldChar w:fldCharType="separate"/>
            </w:r>
            <w:r>
              <w:rPr>
                <w:noProof/>
                <w:webHidden/>
              </w:rPr>
              <w:t>913</w:t>
            </w:r>
            <w:r>
              <w:rPr>
                <w:noProof/>
                <w:webHidden/>
              </w:rPr>
              <w:fldChar w:fldCharType="end"/>
            </w:r>
          </w:hyperlink>
        </w:p>
        <w:p w14:paraId="04B5C12D" w14:textId="5B3ABCE5"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81" w:history="1">
            <w:r w:rsidRPr="001D4C20">
              <w:rPr>
                <w:rStyle w:val="Lienhypertexte"/>
                <w:noProof/>
              </w:rPr>
              <w:t>58.33.3 Mobilier de bureau fixe / Comptoir - Panneaux de finition (façades, joues, plinthes) CCTB 01.02</w:t>
            </w:r>
            <w:r>
              <w:rPr>
                <w:noProof/>
                <w:webHidden/>
              </w:rPr>
              <w:tab/>
            </w:r>
            <w:r>
              <w:rPr>
                <w:noProof/>
                <w:webHidden/>
              </w:rPr>
              <w:fldChar w:fldCharType="begin"/>
            </w:r>
            <w:r>
              <w:rPr>
                <w:noProof/>
                <w:webHidden/>
              </w:rPr>
              <w:instrText xml:space="preserve"> PAGEREF _Toc220491881 \h </w:instrText>
            </w:r>
            <w:r>
              <w:rPr>
                <w:noProof/>
                <w:webHidden/>
              </w:rPr>
            </w:r>
            <w:r>
              <w:rPr>
                <w:noProof/>
                <w:webHidden/>
              </w:rPr>
              <w:fldChar w:fldCharType="separate"/>
            </w:r>
            <w:r>
              <w:rPr>
                <w:noProof/>
                <w:webHidden/>
              </w:rPr>
              <w:t>913</w:t>
            </w:r>
            <w:r>
              <w:rPr>
                <w:noProof/>
                <w:webHidden/>
              </w:rPr>
              <w:fldChar w:fldCharType="end"/>
            </w:r>
          </w:hyperlink>
        </w:p>
        <w:p w14:paraId="4BC0927F" w14:textId="420E41F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82" w:history="1">
            <w:r w:rsidRPr="001D4C20">
              <w:rPr>
                <w:rStyle w:val="Lienhypertexte"/>
                <w:noProof/>
              </w:rPr>
              <w:t>58.33.3a Mobilier de bureau fixe / Comptoir - Panneaux de finition (façades, joues, plinthes) CCTB 01.02</w:t>
            </w:r>
            <w:r>
              <w:rPr>
                <w:noProof/>
                <w:webHidden/>
              </w:rPr>
              <w:tab/>
            </w:r>
            <w:r>
              <w:rPr>
                <w:noProof/>
                <w:webHidden/>
              </w:rPr>
              <w:fldChar w:fldCharType="begin"/>
            </w:r>
            <w:r>
              <w:rPr>
                <w:noProof/>
                <w:webHidden/>
              </w:rPr>
              <w:instrText xml:space="preserve"> PAGEREF _Toc220491882 \h </w:instrText>
            </w:r>
            <w:r>
              <w:rPr>
                <w:noProof/>
                <w:webHidden/>
              </w:rPr>
            </w:r>
            <w:r>
              <w:rPr>
                <w:noProof/>
                <w:webHidden/>
              </w:rPr>
              <w:fldChar w:fldCharType="separate"/>
            </w:r>
            <w:r>
              <w:rPr>
                <w:noProof/>
                <w:webHidden/>
              </w:rPr>
              <w:t>914</w:t>
            </w:r>
            <w:r>
              <w:rPr>
                <w:noProof/>
                <w:webHidden/>
              </w:rPr>
              <w:fldChar w:fldCharType="end"/>
            </w:r>
          </w:hyperlink>
        </w:p>
        <w:p w14:paraId="35C0F6FB" w14:textId="28AB4DB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83" w:history="1">
            <w:r w:rsidRPr="001D4C20">
              <w:rPr>
                <w:rStyle w:val="Lienhypertexte"/>
                <w:noProof/>
              </w:rPr>
              <w:t>58.33.4 Mobilier de bureau fixe / Comptoir - Panneaux de séparation CCTB 01.02</w:t>
            </w:r>
            <w:r>
              <w:rPr>
                <w:noProof/>
                <w:webHidden/>
              </w:rPr>
              <w:tab/>
            </w:r>
            <w:r>
              <w:rPr>
                <w:noProof/>
                <w:webHidden/>
              </w:rPr>
              <w:fldChar w:fldCharType="begin"/>
            </w:r>
            <w:r>
              <w:rPr>
                <w:noProof/>
                <w:webHidden/>
              </w:rPr>
              <w:instrText xml:space="preserve"> PAGEREF _Toc220491883 \h </w:instrText>
            </w:r>
            <w:r>
              <w:rPr>
                <w:noProof/>
                <w:webHidden/>
              </w:rPr>
            </w:r>
            <w:r>
              <w:rPr>
                <w:noProof/>
                <w:webHidden/>
              </w:rPr>
              <w:fldChar w:fldCharType="separate"/>
            </w:r>
            <w:r>
              <w:rPr>
                <w:noProof/>
                <w:webHidden/>
              </w:rPr>
              <w:t>914</w:t>
            </w:r>
            <w:r>
              <w:rPr>
                <w:noProof/>
                <w:webHidden/>
              </w:rPr>
              <w:fldChar w:fldCharType="end"/>
            </w:r>
          </w:hyperlink>
        </w:p>
        <w:p w14:paraId="46CFD878" w14:textId="4E03AC9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84" w:history="1">
            <w:r w:rsidRPr="001D4C20">
              <w:rPr>
                <w:rStyle w:val="Lienhypertexte"/>
                <w:noProof/>
              </w:rPr>
              <w:t>58.33.4a Mobilier de bureau fixe / Comptoir - Panneaux de séparation CCTB 01.02</w:t>
            </w:r>
            <w:r>
              <w:rPr>
                <w:noProof/>
                <w:webHidden/>
              </w:rPr>
              <w:tab/>
            </w:r>
            <w:r>
              <w:rPr>
                <w:noProof/>
                <w:webHidden/>
              </w:rPr>
              <w:fldChar w:fldCharType="begin"/>
            </w:r>
            <w:r>
              <w:rPr>
                <w:noProof/>
                <w:webHidden/>
              </w:rPr>
              <w:instrText xml:space="preserve"> PAGEREF _Toc220491884 \h </w:instrText>
            </w:r>
            <w:r>
              <w:rPr>
                <w:noProof/>
                <w:webHidden/>
              </w:rPr>
            </w:r>
            <w:r>
              <w:rPr>
                <w:noProof/>
                <w:webHidden/>
              </w:rPr>
              <w:fldChar w:fldCharType="separate"/>
            </w:r>
            <w:r>
              <w:rPr>
                <w:noProof/>
                <w:webHidden/>
              </w:rPr>
              <w:t>914</w:t>
            </w:r>
            <w:r>
              <w:rPr>
                <w:noProof/>
                <w:webHidden/>
              </w:rPr>
              <w:fldChar w:fldCharType="end"/>
            </w:r>
          </w:hyperlink>
        </w:p>
        <w:p w14:paraId="2EB052E7" w14:textId="2974C42F"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885" w:history="1">
            <w:r w:rsidRPr="001D4C20">
              <w:rPr>
                <w:rStyle w:val="Lienhypertexte"/>
                <w:noProof/>
              </w:rPr>
              <w:t>58.34 Mobilier de bureau fixe / Comptoir - Quincaillerie complémentaire CCTB 01.02</w:t>
            </w:r>
            <w:r>
              <w:rPr>
                <w:noProof/>
                <w:webHidden/>
              </w:rPr>
              <w:tab/>
            </w:r>
            <w:r>
              <w:rPr>
                <w:noProof/>
                <w:webHidden/>
              </w:rPr>
              <w:fldChar w:fldCharType="begin"/>
            </w:r>
            <w:r>
              <w:rPr>
                <w:noProof/>
                <w:webHidden/>
              </w:rPr>
              <w:instrText xml:space="preserve"> PAGEREF _Toc220491885 \h </w:instrText>
            </w:r>
            <w:r>
              <w:rPr>
                <w:noProof/>
                <w:webHidden/>
              </w:rPr>
            </w:r>
            <w:r>
              <w:rPr>
                <w:noProof/>
                <w:webHidden/>
              </w:rPr>
              <w:fldChar w:fldCharType="separate"/>
            </w:r>
            <w:r>
              <w:rPr>
                <w:noProof/>
                <w:webHidden/>
              </w:rPr>
              <w:t>914</w:t>
            </w:r>
            <w:r>
              <w:rPr>
                <w:noProof/>
                <w:webHidden/>
              </w:rPr>
              <w:fldChar w:fldCharType="end"/>
            </w:r>
          </w:hyperlink>
        </w:p>
        <w:p w14:paraId="3D69438E" w14:textId="62759CBF"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86" w:history="1">
            <w:r w:rsidRPr="001D4C20">
              <w:rPr>
                <w:rStyle w:val="Lienhypertexte"/>
                <w:noProof/>
              </w:rPr>
              <w:t>58.34.1 Mobilier de bureau fixe / Comptoir - Quincaillerie complémentaire - Poignées et tirants CCTB 01.02</w:t>
            </w:r>
            <w:r>
              <w:rPr>
                <w:noProof/>
                <w:webHidden/>
              </w:rPr>
              <w:tab/>
            </w:r>
            <w:r>
              <w:rPr>
                <w:noProof/>
                <w:webHidden/>
              </w:rPr>
              <w:fldChar w:fldCharType="begin"/>
            </w:r>
            <w:r>
              <w:rPr>
                <w:noProof/>
                <w:webHidden/>
              </w:rPr>
              <w:instrText xml:space="preserve"> PAGEREF _Toc220491886 \h </w:instrText>
            </w:r>
            <w:r>
              <w:rPr>
                <w:noProof/>
                <w:webHidden/>
              </w:rPr>
            </w:r>
            <w:r>
              <w:rPr>
                <w:noProof/>
                <w:webHidden/>
              </w:rPr>
              <w:fldChar w:fldCharType="separate"/>
            </w:r>
            <w:r>
              <w:rPr>
                <w:noProof/>
                <w:webHidden/>
              </w:rPr>
              <w:t>914</w:t>
            </w:r>
            <w:r>
              <w:rPr>
                <w:noProof/>
                <w:webHidden/>
              </w:rPr>
              <w:fldChar w:fldCharType="end"/>
            </w:r>
          </w:hyperlink>
        </w:p>
        <w:p w14:paraId="0A517E0C" w14:textId="2BB644A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87" w:history="1">
            <w:r w:rsidRPr="001D4C20">
              <w:rPr>
                <w:rStyle w:val="Lienhypertexte"/>
                <w:noProof/>
              </w:rPr>
              <w:t>58.34.1a Mobilier de bureau fixe / Comptoir - Quincaillerie complémentaire - Poignées et tirants CCTB 01.02</w:t>
            </w:r>
            <w:r>
              <w:rPr>
                <w:noProof/>
                <w:webHidden/>
              </w:rPr>
              <w:tab/>
            </w:r>
            <w:r>
              <w:rPr>
                <w:noProof/>
                <w:webHidden/>
              </w:rPr>
              <w:fldChar w:fldCharType="begin"/>
            </w:r>
            <w:r>
              <w:rPr>
                <w:noProof/>
                <w:webHidden/>
              </w:rPr>
              <w:instrText xml:space="preserve"> PAGEREF _Toc220491887 \h </w:instrText>
            </w:r>
            <w:r>
              <w:rPr>
                <w:noProof/>
                <w:webHidden/>
              </w:rPr>
            </w:r>
            <w:r>
              <w:rPr>
                <w:noProof/>
                <w:webHidden/>
              </w:rPr>
              <w:fldChar w:fldCharType="separate"/>
            </w:r>
            <w:r>
              <w:rPr>
                <w:noProof/>
                <w:webHidden/>
              </w:rPr>
              <w:t>914</w:t>
            </w:r>
            <w:r>
              <w:rPr>
                <w:noProof/>
                <w:webHidden/>
              </w:rPr>
              <w:fldChar w:fldCharType="end"/>
            </w:r>
          </w:hyperlink>
        </w:p>
        <w:p w14:paraId="735D5591" w14:textId="4BCA4F8A"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88" w:history="1">
            <w:r w:rsidRPr="001D4C20">
              <w:rPr>
                <w:rStyle w:val="Lienhypertexte"/>
                <w:noProof/>
              </w:rPr>
              <w:t>58.34.2 Mobilier de bureau fixe / Comptoir - Quincaillerie complémentaire - Charnières CCTB 01.02</w:t>
            </w:r>
            <w:r>
              <w:rPr>
                <w:noProof/>
                <w:webHidden/>
              </w:rPr>
              <w:tab/>
            </w:r>
            <w:r>
              <w:rPr>
                <w:noProof/>
                <w:webHidden/>
              </w:rPr>
              <w:fldChar w:fldCharType="begin"/>
            </w:r>
            <w:r>
              <w:rPr>
                <w:noProof/>
                <w:webHidden/>
              </w:rPr>
              <w:instrText xml:space="preserve"> PAGEREF _Toc220491888 \h </w:instrText>
            </w:r>
            <w:r>
              <w:rPr>
                <w:noProof/>
                <w:webHidden/>
              </w:rPr>
            </w:r>
            <w:r>
              <w:rPr>
                <w:noProof/>
                <w:webHidden/>
              </w:rPr>
              <w:fldChar w:fldCharType="separate"/>
            </w:r>
            <w:r>
              <w:rPr>
                <w:noProof/>
                <w:webHidden/>
              </w:rPr>
              <w:t>914</w:t>
            </w:r>
            <w:r>
              <w:rPr>
                <w:noProof/>
                <w:webHidden/>
              </w:rPr>
              <w:fldChar w:fldCharType="end"/>
            </w:r>
          </w:hyperlink>
        </w:p>
        <w:p w14:paraId="5EA89941" w14:textId="40D725A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89" w:history="1">
            <w:r w:rsidRPr="001D4C20">
              <w:rPr>
                <w:rStyle w:val="Lienhypertexte"/>
                <w:noProof/>
              </w:rPr>
              <w:t>58.34.2a Mobilier de bureau fixe / Comptoir - Quincaillerie complémentaire - Charnières CCTB 01.02</w:t>
            </w:r>
            <w:r>
              <w:rPr>
                <w:noProof/>
                <w:webHidden/>
              </w:rPr>
              <w:tab/>
            </w:r>
            <w:r>
              <w:rPr>
                <w:noProof/>
                <w:webHidden/>
              </w:rPr>
              <w:fldChar w:fldCharType="begin"/>
            </w:r>
            <w:r>
              <w:rPr>
                <w:noProof/>
                <w:webHidden/>
              </w:rPr>
              <w:instrText xml:space="preserve"> PAGEREF _Toc220491889 \h </w:instrText>
            </w:r>
            <w:r>
              <w:rPr>
                <w:noProof/>
                <w:webHidden/>
              </w:rPr>
            </w:r>
            <w:r>
              <w:rPr>
                <w:noProof/>
                <w:webHidden/>
              </w:rPr>
              <w:fldChar w:fldCharType="separate"/>
            </w:r>
            <w:r>
              <w:rPr>
                <w:noProof/>
                <w:webHidden/>
              </w:rPr>
              <w:t>914</w:t>
            </w:r>
            <w:r>
              <w:rPr>
                <w:noProof/>
                <w:webHidden/>
              </w:rPr>
              <w:fldChar w:fldCharType="end"/>
            </w:r>
          </w:hyperlink>
        </w:p>
        <w:p w14:paraId="050C3CF1" w14:textId="65A1012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90" w:history="1">
            <w:r w:rsidRPr="001D4C20">
              <w:rPr>
                <w:rStyle w:val="Lienhypertexte"/>
                <w:noProof/>
              </w:rPr>
              <w:t>58.34.3 Mobilier de bureau fixe / Comptoir - Quincaillerie complémentaire - Rails et glissières CCTB 01.02</w:t>
            </w:r>
            <w:r>
              <w:rPr>
                <w:noProof/>
                <w:webHidden/>
              </w:rPr>
              <w:tab/>
            </w:r>
            <w:r>
              <w:rPr>
                <w:noProof/>
                <w:webHidden/>
              </w:rPr>
              <w:fldChar w:fldCharType="begin"/>
            </w:r>
            <w:r>
              <w:rPr>
                <w:noProof/>
                <w:webHidden/>
              </w:rPr>
              <w:instrText xml:space="preserve"> PAGEREF _Toc220491890 \h </w:instrText>
            </w:r>
            <w:r>
              <w:rPr>
                <w:noProof/>
                <w:webHidden/>
              </w:rPr>
            </w:r>
            <w:r>
              <w:rPr>
                <w:noProof/>
                <w:webHidden/>
              </w:rPr>
              <w:fldChar w:fldCharType="separate"/>
            </w:r>
            <w:r>
              <w:rPr>
                <w:noProof/>
                <w:webHidden/>
              </w:rPr>
              <w:t>914</w:t>
            </w:r>
            <w:r>
              <w:rPr>
                <w:noProof/>
                <w:webHidden/>
              </w:rPr>
              <w:fldChar w:fldCharType="end"/>
            </w:r>
          </w:hyperlink>
        </w:p>
        <w:p w14:paraId="418A935C" w14:textId="3E2EAF0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91" w:history="1">
            <w:r w:rsidRPr="001D4C20">
              <w:rPr>
                <w:rStyle w:val="Lienhypertexte"/>
                <w:noProof/>
              </w:rPr>
              <w:t>58.34.3a Mobilier de bureau fixe / Comptoir - Quincaillerie complémentaire - Rails et glissières CCTB 01.02</w:t>
            </w:r>
            <w:r>
              <w:rPr>
                <w:noProof/>
                <w:webHidden/>
              </w:rPr>
              <w:tab/>
            </w:r>
            <w:r>
              <w:rPr>
                <w:noProof/>
                <w:webHidden/>
              </w:rPr>
              <w:fldChar w:fldCharType="begin"/>
            </w:r>
            <w:r>
              <w:rPr>
                <w:noProof/>
                <w:webHidden/>
              </w:rPr>
              <w:instrText xml:space="preserve"> PAGEREF _Toc220491891 \h </w:instrText>
            </w:r>
            <w:r>
              <w:rPr>
                <w:noProof/>
                <w:webHidden/>
              </w:rPr>
            </w:r>
            <w:r>
              <w:rPr>
                <w:noProof/>
                <w:webHidden/>
              </w:rPr>
              <w:fldChar w:fldCharType="separate"/>
            </w:r>
            <w:r>
              <w:rPr>
                <w:noProof/>
                <w:webHidden/>
              </w:rPr>
              <w:t>914</w:t>
            </w:r>
            <w:r>
              <w:rPr>
                <w:noProof/>
                <w:webHidden/>
              </w:rPr>
              <w:fldChar w:fldCharType="end"/>
            </w:r>
          </w:hyperlink>
        </w:p>
        <w:p w14:paraId="7C4417E5" w14:textId="74EB41F5"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892" w:history="1">
            <w:r w:rsidRPr="001D4C20">
              <w:rPr>
                <w:rStyle w:val="Lienhypertexte"/>
                <w:noProof/>
              </w:rPr>
              <w:t>58.35 Mobilier de bureau fixe / Comptoir - Accessoires CCTB 01.02</w:t>
            </w:r>
            <w:r>
              <w:rPr>
                <w:noProof/>
                <w:webHidden/>
              </w:rPr>
              <w:tab/>
            </w:r>
            <w:r>
              <w:rPr>
                <w:noProof/>
                <w:webHidden/>
              </w:rPr>
              <w:fldChar w:fldCharType="begin"/>
            </w:r>
            <w:r>
              <w:rPr>
                <w:noProof/>
                <w:webHidden/>
              </w:rPr>
              <w:instrText xml:space="preserve"> PAGEREF _Toc220491892 \h </w:instrText>
            </w:r>
            <w:r>
              <w:rPr>
                <w:noProof/>
                <w:webHidden/>
              </w:rPr>
            </w:r>
            <w:r>
              <w:rPr>
                <w:noProof/>
                <w:webHidden/>
              </w:rPr>
              <w:fldChar w:fldCharType="separate"/>
            </w:r>
            <w:r>
              <w:rPr>
                <w:noProof/>
                <w:webHidden/>
              </w:rPr>
              <w:t>914</w:t>
            </w:r>
            <w:r>
              <w:rPr>
                <w:noProof/>
                <w:webHidden/>
              </w:rPr>
              <w:fldChar w:fldCharType="end"/>
            </w:r>
          </w:hyperlink>
        </w:p>
        <w:p w14:paraId="5B55A679" w14:textId="57660DF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93" w:history="1">
            <w:r w:rsidRPr="001D4C20">
              <w:rPr>
                <w:rStyle w:val="Lienhypertexte"/>
                <w:noProof/>
              </w:rPr>
              <w:t>58.35.1 Mobilier de bureau fixe / Comptoir - Accessoires - Guichet CCTB 01.13</w:t>
            </w:r>
            <w:r>
              <w:rPr>
                <w:noProof/>
                <w:webHidden/>
              </w:rPr>
              <w:tab/>
            </w:r>
            <w:r>
              <w:rPr>
                <w:noProof/>
                <w:webHidden/>
              </w:rPr>
              <w:fldChar w:fldCharType="begin"/>
            </w:r>
            <w:r>
              <w:rPr>
                <w:noProof/>
                <w:webHidden/>
              </w:rPr>
              <w:instrText xml:space="preserve"> PAGEREF _Toc220491893 \h </w:instrText>
            </w:r>
            <w:r>
              <w:rPr>
                <w:noProof/>
                <w:webHidden/>
              </w:rPr>
            </w:r>
            <w:r>
              <w:rPr>
                <w:noProof/>
                <w:webHidden/>
              </w:rPr>
              <w:fldChar w:fldCharType="separate"/>
            </w:r>
            <w:r>
              <w:rPr>
                <w:noProof/>
                <w:webHidden/>
              </w:rPr>
              <w:t>914</w:t>
            </w:r>
            <w:r>
              <w:rPr>
                <w:noProof/>
                <w:webHidden/>
              </w:rPr>
              <w:fldChar w:fldCharType="end"/>
            </w:r>
          </w:hyperlink>
        </w:p>
        <w:p w14:paraId="7FE05A94" w14:textId="295AD5F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94" w:history="1">
            <w:r w:rsidRPr="001D4C20">
              <w:rPr>
                <w:rStyle w:val="Lienhypertexte"/>
                <w:noProof/>
              </w:rPr>
              <w:t>58.35.1a Mobilier de bureau fixe / Comptoir - Accessoires - Guichet CCTB 01.10</w:t>
            </w:r>
            <w:r>
              <w:rPr>
                <w:noProof/>
                <w:webHidden/>
              </w:rPr>
              <w:tab/>
            </w:r>
            <w:r>
              <w:rPr>
                <w:noProof/>
                <w:webHidden/>
              </w:rPr>
              <w:fldChar w:fldCharType="begin"/>
            </w:r>
            <w:r>
              <w:rPr>
                <w:noProof/>
                <w:webHidden/>
              </w:rPr>
              <w:instrText xml:space="preserve"> PAGEREF _Toc220491894 \h </w:instrText>
            </w:r>
            <w:r>
              <w:rPr>
                <w:noProof/>
                <w:webHidden/>
              </w:rPr>
            </w:r>
            <w:r>
              <w:rPr>
                <w:noProof/>
                <w:webHidden/>
              </w:rPr>
              <w:fldChar w:fldCharType="separate"/>
            </w:r>
            <w:r>
              <w:rPr>
                <w:noProof/>
                <w:webHidden/>
              </w:rPr>
              <w:t>914</w:t>
            </w:r>
            <w:r>
              <w:rPr>
                <w:noProof/>
                <w:webHidden/>
              </w:rPr>
              <w:fldChar w:fldCharType="end"/>
            </w:r>
          </w:hyperlink>
        </w:p>
        <w:p w14:paraId="5CFFCBD0" w14:textId="529B0700"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895" w:history="1">
            <w:r w:rsidRPr="001D4C20">
              <w:rPr>
                <w:rStyle w:val="Lienhypertexte"/>
                <w:noProof/>
              </w:rPr>
              <w:t>58.4 Armoires encastrées CCTB 01.10</w:t>
            </w:r>
            <w:r>
              <w:rPr>
                <w:noProof/>
                <w:webHidden/>
              </w:rPr>
              <w:tab/>
            </w:r>
            <w:r>
              <w:rPr>
                <w:noProof/>
                <w:webHidden/>
              </w:rPr>
              <w:fldChar w:fldCharType="begin"/>
            </w:r>
            <w:r>
              <w:rPr>
                <w:noProof/>
                <w:webHidden/>
              </w:rPr>
              <w:instrText xml:space="preserve"> PAGEREF _Toc220491895 \h </w:instrText>
            </w:r>
            <w:r>
              <w:rPr>
                <w:noProof/>
                <w:webHidden/>
              </w:rPr>
            </w:r>
            <w:r>
              <w:rPr>
                <w:noProof/>
                <w:webHidden/>
              </w:rPr>
              <w:fldChar w:fldCharType="separate"/>
            </w:r>
            <w:r>
              <w:rPr>
                <w:noProof/>
                <w:webHidden/>
              </w:rPr>
              <w:t>915</w:t>
            </w:r>
            <w:r>
              <w:rPr>
                <w:noProof/>
                <w:webHidden/>
              </w:rPr>
              <w:fldChar w:fldCharType="end"/>
            </w:r>
          </w:hyperlink>
        </w:p>
        <w:p w14:paraId="5C3AC1B4" w14:textId="6179BC16"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896" w:history="1">
            <w:r w:rsidRPr="001D4C20">
              <w:rPr>
                <w:rStyle w:val="Lienhypertexte"/>
                <w:noProof/>
              </w:rPr>
              <w:t>58.41 Armoires encastrées - Structure et planches CCTB 01.11</w:t>
            </w:r>
            <w:r>
              <w:rPr>
                <w:noProof/>
                <w:webHidden/>
              </w:rPr>
              <w:tab/>
            </w:r>
            <w:r>
              <w:rPr>
                <w:noProof/>
                <w:webHidden/>
              </w:rPr>
              <w:fldChar w:fldCharType="begin"/>
            </w:r>
            <w:r>
              <w:rPr>
                <w:noProof/>
                <w:webHidden/>
              </w:rPr>
              <w:instrText xml:space="preserve"> PAGEREF _Toc220491896 \h </w:instrText>
            </w:r>
            <w:r>
              <w:rPr>
                <w:noProof/>
                <w:webHidden/>
              </w:rPr>
            </w:r>
            <w:r>
              <w:rPr>
                <w:noProof/>
                <w:webHidden/>
              </w:rPr>
              <w:fldChar w:fldCharType="separate"/>
            </w:r>
            <w:r>
              <w:rPr>
                <w:noProof/>
                <w:webHidden/>
              </w:rPr>
              <w:t>916</w:t>
            </w:r>
            <w:r>
              <w:rPr>
                <w:noProof/>
                <w:webHidden/>
              </w:rPr>
              <w:fldChar w:fldCharType="end"/>
            </w:r>
          </w:hyperlink>
        </w:p>
        <w:p w14:paraId="5525F9BF" w14:textId="0341BA89"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97" w:history="1">
            <w:r w:rsidRPr="001D4C20">
              <w:rPr>
                <w:rStyle w:val="Lienhypertexte"/>
                <w:noProof/>
              </w:rPr>
              <w:t>58.41.1 Armoires encastrées - Structure et planches - Eléments blocs CCTB 01.02</w:t>
            </w:r>
            <w:r>
              <w:rPr>
                <w:noProof/>
                <w:webHidden/>
              </w:rPr>
              <w:tab/>
            </w:r>
            <w:r>
              <w:rPr>
                <w:noProof/>
                <w:webHidden/>
              </w:rPr>
              <w:fldChar w:fldCharType="begin"/>
            </w:r>
            <w:r>
              <w:rPr>
                <w:noProof/>
                <w:webHidden/>
              </w:rPr>
              <w:instrText xml:space="preserve"> PAGEREF _Toc220491897 \h </w:instrText>
            </w:r>
            <w:r>
              <w:rPr>
                <w:noProof/>
                <w:webHidden/>
              </w:rPr>
            </w:r>
            <w:r>
              <w:rPr>
                <w:noProof/>
                <w:webHidden/>
              </w:rPr>
              <w:fldChar w:fldCharType="separate"/>
            </w:r>
            <w:r>
              <w:rPr>
                <w:noProof/>
                <w:webHidden/>
              </w:rPr>
              <w:t>916</w:t>
            </w:r>
            <w:r>
              <w:rPr>
                <w:noProof/>
                <w:webHidden/>
              </w:rPr>
              <w:fldChar w:fldCharType="end"/>
            </w:r>
          </w:hyperlink>
        </w:p>
        <w:p w14:paraId="2CEAE8AF" w14:textId="4067751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898" w:history="1">
            <w:r w:rsidRPr="001D4C20">
              <w:rPr>
                <w:rStyle w:val="Lienhypertexte"/>
                <w:noProof/>
              </w:rPr>
              <w:t>58.41.1a Armoires encastrées - Structure et planches - Eléments blocs CCTB 01.10</w:t>
            </w:r>
            <w:r>
              <w:rPr>
                <w:noProof/>
                <w:webHidden/>
              </w:rPr>
              <w:tab/>
            </w:r>
            <w:r>
              <w:rPr>
                <w:noProof/>
                <w:webHidden/>
              </w:rPr>
              <w:fldChar w:fldCharType="begin"/>
            </w:r>
            <w:r>
              <w:rPr>
                <w:noProof/>
                <w:webHidden/>
              </w:rPr>
              <w:instrText xml:space="preserve"> PAGEREF _Toc220491898 \h </w:instrText>
            </w:r>
            <w:r>
              <w:rPr>
                <w:noProof/>
                <w:webHidden/>
              </w:rPr>
            </w:r>
            <w:r>
              <w:rPr>
                <w:noProof/>
                <w:webHidden/>
              </w:rPr>
              <w:fldChar w:fldCharType="separate"/>
            </w:r>
            <w:r>
              <w:rPr>
                <w:noProof/>
                <w:webHidden/>
              </w:rPr>
              <w:t>916</w:t>
            </w:r>
            <w:r>
              <w:rPr>
                <w:noProof/>
                <w:webHidden/>
              </w:rPr>
              <w:fldChar w:fldCharType="end"/>
            </w:r>
          </w:hyperlink>
        </w:p>
        <w:p w14:paraId="4AED4250" w14:textId="1FE23C42"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899" w:history="1">
            <w:r w:rsidRPr="001D4C20">
              <w:rPr>
                <w:rStyle w:val="Lienhypertexte"/>
                <w:noProof/>
              </w:rPr>
              <w:t>58.41.2 Armoires encastrées - Structure et planches - Façades &amp; côtés apparents CCTB 01.02</w:t>
            </w:r>
            <w:r>
              <w:rPr>
                <w:noProof/>
                <w:webHidden/>
              </w:rPr>
              <w:tab/>
            </w:r>
            <w:r>
              <w:rPr>
                <w:noProof/>
                <w:webHidden/>
              </w:rPr>
              <w:fldChar w:fldCharType="begin"/>
            </w:r>
            <w:r>
              <w:rPr>
                <w:noProof/>
                <w:webHidden/>
              </w:rPr>
              <w:instrText xml:space="preserve"> PAGEREF _Toc220491899 \h </w:instrText>
            </w:r>
            <w:r>
              <w:rPr>
                <w:noProof/>
                <w:webHidden/>
              </w:rPr>
            </w:r>
            <w:r>
              <w:rPr>
                <w:noProof/>
                <w:webHidden/>
              </w:rPr>
              <w:fldChar w:fldCharType="separate"/>
            </w:r>
            <w:r>
              <w:rPr>
                <w:noProof/>
                <w:webHidden/>
              </w:rPr>
              <w:t>917</w:t>
            </w:r>
            <w:r>
              <w:rPr>
                <w:noProof/>
                <w:webHidden/>
              </w:rPr>
              <w:fldChar w:fldCharType="end"/>
            </w:r>
          </w:hyperlink>
        </w:p>
        <w:p w14:paraId="0B15CE82" w14:textId="1FB88A2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00" w:history="1">
            <w:r w:rsidRPr="001D4C20">
              <w:rPr>
                <w:rStyle w:val="Lienhypertexte"/>
                <w:noProof/>
              </w:rPr>
              <w:t>58.41.2a Armoires encastrées - Structure et planches - Façades &amp; côtés apparents CCTB 01.10</w:t>
            </w:r>
            <w:r>
              <w:rPr>
                <w:noProof/>
                <w:webHidden/>
              </w:rPr>
              <w:tab/>
            </w:r>
            <w:r>
              <w:rPr>
                <w:noProof/>
                <w:webHidden/>
              </w:rPr>
              <w:fldChar w:fldCharType="begin"/>
            </w:r>
            <w:r>
              <w:rPr>
                <w:noProof/>
                <w:webHidden/>
              </w:rPr>
              <w:instrText xml:space="preserve"> PAGEREF _Toc220491900 \h </w:instrText>
            </w:r>
            <w:r>
              <w:rPr>
                <w:noProof/>
                <w:webHidden/>
              </w:rPr>
            </w:r>
            <w:r>
              <w:rPr>
                <w:noProof/>
                <w:webHidden/>
              </w:rPr>
              <w:fldChar w:fldCharType="separate"/>
            </w:r>
            <w:r>
              <w:rPr>
                <w:noProof/>
                <w:webHidden/>
              </w:rPr>
              <w:t>917</w:t>
            </w:r>
            <w:r>
              <w:rPr>
                <w:noProof/>
                <w:webHidden/>
              </w:rPr>
              <w:fldChar w:fldCharType="end"/>
            </w:r>
          </w:hyperlink>
        </w:p>
        <w:p w14:paraId="5EA003BA" w14:textId="66E15DE1"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01" w:history="1">
            <w:r w:rsidRPr="001D4C20">
              <w:rPr>
                <w:rStyle w:val="Lienhypertexte"/>
                <w:noProof/>
              </w:rPr>
              <w:t>58.41.3 Armoires encastrées - Structure et planches - Planches intérieures CCTB 01.02</w:t>
            </w:r>
            <w:r>
              <w:rPr>
                <w:noProof/>
                <w:webHidden/>
              </w:rPr>
              <w:tab/>
            </w:r>
            <w:r>
              <w:rPr>
                <w:noProof/>
                <w:webHidden/>
              </w:rPr>
              <w:fldChar w:fldCharType="begin"/>
            </w:r>
            <w:r>
              <w:rPr>
                <w:noProof/>
                <w:webHidden/>
              </w:rPr>
              <w:instrText xml:space="preserve"> PAGEREF _Toc220491901 \h </w:instrText>
            </w:r>
            <w:r>
              <w:rPr>
                <w:noProof/>
                <w:webHidden/>
              </w:rPr>
            </w:r>
            <w:r>
              <w:rPr>
                <w:noProof/>
                <w:webHidden/>
              </w:rPr>
              <w:fldChar w:fldCharType="separate"/>
            </w:r>
            <w:r>
              <w:rPr>
                <w:noProof/>
                <w:webHidden/>
              </w:rPr>
              <w:t>918</w:t>
            </w:r>
            <w:r>
              <w:rPr>
                <w:noProof/>
                <w:webHidden/>
              </w:rPr>
              <w:fldChar w:fldCharType="end"/>
            </w:r>
          </w:hyperlink>
        </w:p>
        <w:p w14:paraId="3BBBE0BF" w14:textId="712E85E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02" w:history="1">
            <w:r w:rsidRPr="001D4C20">
              <w:rPr>
                <w:rStyle w:val="Lienhypertexte"/>
                <w:noProof/>
              </w:rPr>
              <w:t>58.41.3a Armoires encastrées - Structure et planches - Planches intérieures CCTB 01.10</w:t>
            </w:r>
            <w:r>
              <w:rPr>
                <w:noProof/>
                <w:webHidden/>
              </w:rPr>
              <w:tab/>
            </w:r>
            <w:r>
              <w:rPr>
                <w:noProof/>
                <w:webHidden/>
              </w:rPr>
              <w:fldChar w:fldCharType="begin"/>
            </w:r>
            <w:r>
              <w:rPr>
                <w:noProof/>
                <w:webHidden/>
              </w:rPr>
              <w:instrText xml:space="preserve"> PAGEREF _Toc220491902 \h </w:instrText>
            </w:r>
            <w:r>
              <w:rPr>
                <w:noProof/>
                <w:webHidden/>
              </w:rPr>
            </w:r>
            <w:r>
              <w:rPr>
                <w:noProof/>
                <w:webHidden/>
              </w:rPr>
              <w:fldChar w:fldCharType="separate"/>
            </w:r>
            <w:r>
              <w:rPr>
                <w:noProof/>
                <w:webHidden/>
              </w:rPr>
              <w:t>918</w:t>
            </w:r>
            <w:r>
              <w:rPr>
                <w:noProof/>
                <w:webHidden/>
              </w:rPr>
              <w:fldChar w:fldCharType="end"/>
            </w:r>
          </w:hyperlink>
        </w:p>
        <w:p w14:paraId="31A9C1A0" w14:textId="1CC0627C"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903" w:history="1">
            <w:r w:rsidRPr="001D4C20">
              <w:rPr>
                <w:rStyle w:val="Lienhypertexte"/>
                <w:noProof/>
              </w:rPr>
              <w:t>58.42 Armoires encastrées - Portes / Tiroirs / Caissons CCTB 01.02</w:t>
            </w:r>
            <w:r>
              <w:rPr>
                <w:noProof/>
                <w:webHidden/>
              </w:rPr>
              <w:tab/>
            </w:r>
            <w:r>
              <w:rPr>
                <w:noProof/>
                <w:webHidden/>
              </w:rPr>
              <w:fldChar w:fldCharType="begin"/>
            </w:r>
            <w:r>
              <w:rPr>
                <w:noProof/>
                <w:webHidden/>
              </w:rPr>
              <w:instrText xml:space="preserve"> PAGEREF _Toc220491903 \h </w:instrText>
            </w:r>
            <w:r>
              <w:rPr>
                <w:noProof/>
                <w:webHidden/>
              </w:rPr>
            </w:r>
            <w:r>
              <w:rPr>
                <w:noProof/>
                <w:webHidden/>
              </w:rPr>
              <w:fldChar w:fldCharType="separate"/>
            </w:r>
            <w:r>
              <w:rPr>
                <w:noProof/>
                <w:webHidden/>
              </w:rPr>
              <w:t>918</w:t>
            </w:r>
            <w:r>
              <w:rPr>
                <w:noProof/>
                <w:webHidden/>
              </w:rPr>
              <w:fldChar w:fldCharType="end"/>
            </w:r>
          </w:hyperlink>
        </w:p>
        <w:p w14:paraId="5875E07B" w14:textId="56AB7CC9"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04" w:history="1">
            <w:r w:rsidRPr="001D4C20">
              <w:rPr>
                <w:rStyle w:val="Lienhypertexte"/>
                <w:noProof/>
              </w:rPr>
              <w:t>58.42.1 Armoires encastrées - Portes CCTB 01.02</w:t>
            </w:r>
            <w:r>
              <w:rPr>
                <w:noProof/>
                <w:webHidden/>
              </w:rPr>
              <w:tab/>
            </w:r>
            <w:r>
              <w:rPr>
                <w:noProof/>
                <w:webHidden/>
              </w:rPr>
              <w:fldChar w:fldCharType="begin"/>
            </w:r>
            <w:r>
              <w:rPr>
                <w:noProof/>
                <w:webHidden/>
              </w:rPr>
              <w:instrText xml:space="preserve"> PAGEREF _Toc220491904 \h </w:instrText>
            </w:r>
            <w:r>
              <w:rPr>
                <w:noProof/>
                <w:webHidden/>
              </w:rPr>
            </w:r>
            <w:r>
              <w:rPr>
                <w:noProof/>
                <w:webHidden/>
              </w:rPr>
              <w:fldChar w:fldCharType="separate"/>
            </w:r>
            <w:r>
              <w:rPr>
                <w:noProof/>
                <w:webHidden/>
              </w:rPr>
              <w:t>918</w:t>
            </w:r>
            <w:r>
              <w:rPr>
                <w:noProof/>
                <w:webHidden/>
              </w:rPr>
              <w:fldChar w:fldCharType="end"/>
            </w:r>
          </w:hyperlink>
        </w:p>
        <w:p w14:paraId="3D31A1DB" w14:textId="085C7FFB"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05" w:history="1">
            <w:r w:rsidRPr="001D4C20">
              <w:rPr>
                <w:rStyle w:val="Lienhypertexte"/>
                <w:noProof/>
              </w:rPr>
              <w:t>58.42.1a Armoires encastrées - Portes CCTB 01.02</w:t>
            </w:r>
            <w:r>
              <w:rPr>
                <w:noProof/>
                <w:webHidden/>
              </w:rPr>
              <w:tab/>
            </w:r>
            <w:r>
              <w:rPr>
                <w:noProof/>
                <w:webHidden/>
              </w:rPr>
              <w:fldChar w:fldCharType="begin"/>
            </w:r>
            <w:r>
              <w:rPr>
                <w:noProof/>
                <w:webHidden/>
              </w:rPr>
              <w:instrText xml:space="preserve"> PAGEREF _Toc220491905 \h </w:instrText>
            </w:r>
            <w:r>
              <w:rPr>
                <w:noProof/>
                <w:webHidden/>
              </w:rPr>
            </w:r>
            <w:r>
              <w:rPr>
                <w:noProof/>
                <w:webHidden/>
              </w:rPr>
              <w:fldChar w:fldCharType="separate"/>
            </w:r>
            <w:r>
              <w:rPr>
                <w:noProof/>
                <w:webHidden/>
              </w:rPr>
              <w:t>918</w:t>
            </w:r>
            <w:r>
              <w:rPr>
                <w:noProof/>
                <w:webHidden/>
              </w:rPr>
              <w:fldChar w:fldCharType="end"/>
            </w:r>
          </w:hyperlink>
        </w:p>
        <w:p w14:paraId="341B19DD" w14:textId="11EBF255"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06" w:history="1">
            <w:r w:rsidRPr="001D4C20">
              <w:rPr>
                <w:rStyle w:val="Lienhypertexte"/>
                <w:noProof/>
              </w:rPr>
              <w:t>58.42.2 Armoires encastrées - Tiroirs CCTB 01.02</w:t>
            </w:r>
            <w:r>
              <w:rPr>
                <w:noProof/>
                <w:webHidden/>
              </w:rPr>
              <w:tab/>
            </w:r>
            <w:r>
              <w:rPr>
                <w:noProof/>
                <w:webHidden/>
              </w:rPr>
              <w:fldChar w:fldCharType="begin"/>
            </w:r>
            <w:r>
              <w:rPr>
                <w:noProof/>
                <w:webHidden/>
              </w:rPr>
              <w:instrText xml:space="preserve"> PAGEREF _Toc220491906 \h </w:instrText>
            </w:r>
            <w:r>
              <w:rPr>
                <w:noProof/>
                <w:webHidden/>
              </w:rPr>
            </w:r>
            <w:r>
              <w:rPr>
                <w:noProof/>
                <w:webHidden/>
              </w:rPr>
              <w:fldChar w:fldCharType="separate"/>
            </w:r>
            <w:r>
              <w:rPr>
                <w:noProof/>
                <w:webHidden/>
              </w:rPr>
              <w:t>919</w:t>
            </w:r>
            <w:r>
              <w:rPr>
                <w:noProof/>
                <w:webHidden/>
              </w:rPr>
              <w:fldChar w:fldCharType="end"/>
            </w:r>
          </w:hyperlink>
        </w:p>
        <w:p w14:paraId="0EBBFBD2" w14:textId="0F66DE41"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07" w:history="1">
            <w:r w:rsidRPr="001D4C20">
              <w:rPr>
                <w:rStyle w:val="Lienhypertexte"/>
                <w:noProof/>
              </w:rPr>
              <w:t>58.42.2a Armoires encastrées - Tiroirs CCTB 01.02</w:t>
            </w:r>
            <w:r>
              <w:rPr>
                <w:noProof/>
                <w:webHidden/>
              </w:rPr>
              <w:tab/>
            </w:r>
            <w:r>
              <w:rPr>
                <w:noProof/>
                <w:webHidden/>
              </w:rPr>
              <w:fldChar w:fldCharType="begin"/>
            </w:r>
            <w:r>
              <w:rPr>
                <w:noProof/>
                <w:webHidden/>
              </w:rPr>
              <w:instrText xml:space="preserve"> PAGEREF _Toc220491907 \h </w:instrText>
            </w:r>
            <w:r>
              <w:rPr>
                <w:noProof/>
                <w:webHidden/>
              </w:rPr>
            </w:r>
            <w:r>
              <w:rPr>
                <w:noProof/>
                <w:webHidden/>
              </w:rPr>
              <w:fldChar w:fldCharType="separate"/>
            </w:r>
            <w:r>
              <w:rPr>
                <w:noProof/>
                <w:webHidden/>
              </w:rPr>
              <w:t>919</w:t>
            </w:r>
            <w:r>
              <w:rPr>
                <w:noProof/>
                <w:webHidden/>
              </w:rPr>
              <w:fldChar w:fldCharType="end"/>
            </w:r>
          </w:hyperlink>
        </w:p>
        <w:p w14:paraId="5CB8542B" w14:textId="74C126D7"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08" w:history="1">
            <w:r w:rsidRPr="001D4C20">
              <w:rPr>
                <w:rStyle w:val="Lienhypertexte"/>
                <w:noProof/>
              </w:rPr>
              <w:t>58.42.3 Armoires encastrées - Caissons CCTB 01.02</w:t>
            </w:r>
            <w:r>
              <w:rPr>
                <w:noProof/>
                <w:webHidden/>
              </w:rPr>
              <w:tab/>
            </w:r>
            <w:r>
              <w:rPr>
                <w:noProof/>
                <w:webHidden/>
              </w:rPr>
              <w:fldChar w:fldCharType="begin"/>
            </w:r>
            <w:r>
              <w:rPr>
                <w:noProof/>
                <w:webHidden/>
              </w:rPr>
              <w:instrText xml:space="preserve"> PAGEREF _Toc220491908 \h </w:instrText>
            </w:r>
            <w:r>
              <w:rPr>
                <w:noProof/>
                <w:webHidden/>
              </w:rPr>
            </w:r>
            <w:r>
              <w:rPr>
                <w:noProof/>
                <w:webHidden/>
              </w:rPr>
              <w:fldChar w:fldCharType="separate"/>
            </w:r>
            <w:r>
              <w:rPr>
                <w:noProof/>
                <w:webHidden/>
              </w:rPr>
              <w:t>920</w:t>
            </w:r>
            <w:r>
              <w:rPr>
                <w:noProof/>
                <w:webHidden/>
              </w:rPr>
              <w:fldChar w:fldCharType="end"/>
            </w:r>
          </w:hyperlink>
        </w:p>
        <w:p w14:paraId="2681EE42" w14:textId="4EFB1CE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09" w:history="1">
            <w:r w:rsidRPr="001D4C20">
              <w:rPr>
                <w:rStyle w:val="Lienhypertexte"/>
                <w:noProof/>
              </w:rPr>
              <w:t>58.42.3a Armoires encastrées - Caissons CCTB 01.02</w:t>
            </w:r>
            <w:r>
              <w:rPr>
                <w:noProof/>
                <w:webHidden/>
              </w:rPr>
              <w:tab/>
            </w:r>
            <w:r>
              <w:rPr>
                <w:noProof/>
                <w:webHidden/>
              </w:rPr>
              <w:fldChar w:fldCharType="begin"/>
            </w:r>
            <w:r>
              <w:rPr>
                <w:noProof/>
                <w:webHidden/>
              </w:rPr>
              <w:instrText xml:space="preserve"> PAGEREF _Toc220491909 \h </w:instrText>
            </w:r>
            <w:r>
              <w:rPr>
                <w:noProof/>
                <w:webHidden/>
              </w:rPr>
            </w:r>
            <w:r>
              <w:rPr>
                <w:noProof/>
                <w:webHidden/>
              </w:rPr>
              <w:fldChar w:fldCharType="separate"/>
            </w:r>
            <w:r>
              <w:rPr>
                <w:noProof/>
                <w:webHidden/>
              </w:rPr>
              <w:t>920</w:t>
            </w:r>
            <w:r>
              <w:rPr>
                <w:noProof/>
                <w:webHidden/>
              </w:rPr>
              <w:fldChar w:fldCharType="end"/>
            </w:r>
          </w:hyperlink>
        </w:p>
        <w:p w14:paraId="619E1E62" w14:textId="6082D2E5"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910" w:history="1">
            <w:r w:rsidRPr="001D4C20">
              <w:rPr>
                <w:rStyle w:val="Lienhypertexte"/>
                <w:noProof/>
              </w:rPr>
              <w:t>58.43 Armoires encastrées - Plans de travail / Tablettes CCTB 01.02</w:t>
            </w:r>
            <w:r>
              <w:rPr>
                <w:noProof/>
                <w:webHidden/>
              </w:rPr>
              <w:tab/>
            </w:r>
            <w:r>
              <w:rPr>
                <w:noProof/>
                <w:webHidden/>
              </w:rPr>
              <w:fldChar w:fldCharType="begin"/>
            </w:r>
            <w:r>
              <w:rPr>
                <w:noProof/>
                <w:webHidden/>
              </w:rPr>
              <w:instrText xml:space="preserve"> PAGEREF _Toc220491910 \h </w:instrText>
            </w:r>
            <w:r>
              <w:rPr>
                <w:noProof/>
                <w:webHidden/>
              </w:rPr>
            </w:r>
            <w:r>
              <w:rPr>
                <w:noProof/>
                <w:webHidden/>
              </w:rPr>
              <w:fldChar w:fldCharType="separate"/>
            </w:r>
            <w:r>
              <w:rPr>
                <w:noProof/>
                <w:webHidden/>
              </w:rPr>
              <w:t>921</w:t>
            </w:r>
            <w:r>
              <w:rPr>
                <w:noProof/>
                <w:webHidden/>
              </w:rPr>
              <w:fldChar w:fldCharType="end"/>
            </w:r>
          </w:hyperlink>
        </w:p>
        <w:p w14:paraId="0A008F97" w14:textId="06A99631"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11" w:history="1">
            <w:r w:rsidRPr="001D4C20">
              <w:rPr>
                <w:rStyle w:val="Lienhypertexte"/>
                <w:noProof/>
              </w:rPr>
              <w:t>58.43.1 Armoires encastrées - Plans de travail CCTB 01.02</w:t>
            </w:r>
            <w:r>
              <w:rPr>
                <w:noProof/>
                <w:webHidden/>
              </w:rPr>
              <w:tab/>
            </w:r>
            <w:r>
              <w:rPr>
                <w:noProof/>
                <w:webHidden/>
              </w:rPr>
              <w:fldChar w:fldCharType="begin"/>
            </w:r>
            <w:r>
              <w:rPr>
                <w:noProof/>
                <w:webHidden/>
              </w:rPr>
              <w:instrText xml:space="preserve"> PAGEREF _Toc220491911 \h </w:instrText>
            </w:r>
            <w:r>
              <w:rPr>
                <w:noProof/>
                <w:webHidden/>
              </w:rPr>
            </w:r>
            <w:r>
              <w:rPr>
                <w:noProof/>
                <w:webHidden/>
              </w:rPr>
              <w:fldChar w:fldCharType="separate"/>
            </w:r>
            <w:r>
              <w:rPr>
                <w:noProof/>
                <w:webHidden/>
              </w:rPr>
              <w:t>921</w:t>
            </w:r>
            <w:r>
              <w:rPr>
                <w:noProof/>
                <w:webHidden/>
              </w:rPr>
              <w:fldChar w:fldCharType="end"/>
            </w:r>
          </w:hyperlink>
        </w:p>
        <w:p w14:paraId="52913C3E" w14:textId="45140CE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12" w:history="1">
            <w:r w:rsidRPr="001D4C20">
              <w:rPr>
                <w:rStyle w:val="Lienhypertexte"/>
                <w:noProof/>
              </w:rPr>
              <w:t>58.43.1a Armoires encastrées - Plans de travail CCTB 01.10</w:t>
            </w:r>
            <w:r>
              <w:rPr>
                <w:noProof/>
                <w:webHidden/>
              </w:rPr>
              <w:tab/>
            </w:r>
            <w:r>
              <w:rPr>
                <w:noProof/>
                <w:webHidden/>
              </w:rPr>
              <w:fldChar w:fldCharType="begin"/>
            </w:r>
            <w:r>
              <w:rPr>
                <w:noProof/>
                <w:webHidden/>
              </w:rPr>
              <w:instrText xml:space="preserve"> PAGEREF _Toc220491912 \h </w:instrText>
            </w:r>
            <w:r>
              <w:rPr>
                <w:noProof/>
                <w:webHidden/>
              </w:rPr>
            </w:r>
            <w:r>
              <w:rPr>
                <w:noProof/>
                <w:webHidden/>
              </w:rPr>
              <w:fldChar w:fldCharType="separate"/>
            </w:r>
            <w:r>
              <w:rPr>
                <w:noProof/>
                <w:webHidden/>
              </w:rPr>
              <w:t>921</w:t>
            </w:r>
            <w:r>
              <w:rPr>
                <w:noProof/>
                <w:webHidden/>
              </w:rPr>
              <w:fldChar w:fldCharType="end"/>
            </w:r>
          </w:hyperlink>
        </w:p>
        <w:p w14:paraId="28C0ECB1" w14:textId="6C004746"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13" w:history="1">
            <w:r w:rsidRPr="001D4C20">
              <w:rPr>
                <w:rStyle w:val="Lienhypertexte"/>
                <w:noProof/>
              </w:rPr>
              <w:t>58.43.2 Armoires encastrées - Tablettes CCTB 01.02</w:t>
            </w:r>
            <w:r>
              <w:rPr>
                <w:noProof/>
                <w:webHidden/>
              </w:rPr>
              <w:tab/>
            </w:r>
            <w:r>
              <w:rPr>
                <w:noProof/>
                <w:webHidden/>
              </w:rPr>
              <w:fldChar w:fldCharType="begin"/>
            </w:r>
            <w:r>
              <w:rPr>
                <w:noProof/>
                <w:webHidden/>
              </w:rPr>
              <w:instrText xml:space="preserve"> PAGEREF _Toc220491913 \h </w:instrText>
            </w:r>
            <w:r>
              <w:rPr>
                <w:noProof/>
                <w:webHidden/>
              </w:rPr>
            </w:r>
            <w:r>
              <w:rPr>
                <w:noProof/>
                <w:webHidden/>
              </w:rPr>
              <w:fldChar w:fldCharType="separate"/>
            </w:r>
            <w:r>
              <w:rPr>
                <w:noProof/>
                <w:webHidden/>
              </w:rPr>
              <w:t>921</w:t>
            </w:r>
            <w:r>
              <w:rPr>
                <w:noProof/>
                <w:webHidden/>
              </w:rPr>
              <w:fldChar w:fldCharType="end"/>
            </w:r>
          </w:hyperlink>
        </w:p>
        <w:p w14:paraId="0C4517CC" w14:textId="68D5A0E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14" w:history="1">
            <w:r w:rsidRPr="001D4C20">
              <w:rPr>
                <w:rStyle w:val="Lienhypertexte"/>
                <w:noProof/>
              </w:rPr>
              <w:t>58.43.2a Armoires encastrées - Tablettes CCTB 01.10</w:t>
            </w:r>
            <w:r>
              <w:rPr>
                <w:noProof/>
                <w:webHidden/>
              </w:rPr>
              <w:tab/>
            </w:r>
            <w:r>
              <w:rPr>
                <w:noProof/>
                <w:webHidden/>
              </w:rPr>
              <w:fldChar w:fldCharType="begin"/>
            </w:r>
            <w:r>
              <w:rPr>
                <w:noProof/>
                <w:webHidden/>
              </w:rPr>
              <w:instrText xml:space="preserve"> PAGEREF _Toc220491914 \h </w:instrText>
            </w:r>
            <w:r>
              <w:rPr>
                <w:noProof/>
                <w:webHidden/>
              </w:rPr>
            </w:r>
            <w:r>
              <w:rPr>
                <w:noProof/>
                <w:webHidden/>
              </w:rPr>
              <w:fldChar w:fldCharType="separate"/>
            </w:r>
            <w:r>
              <w:rPr>
                <w:noProof/>
                <w:webHidden/>
              </w:rPr>
              <w:t>921</w:t>
            </w:r>
            <w:r>
              <w:rPr>
                <w:noProof/>
                <w:webHidden/>
              </w:rPr>
              <w:fldChar w:fldCharType="end"/>
            </w:r>
          </w:hyperlink>
        </w:p>
        <w:p w14:paraId="51AEAA40" w14:textId="7B354627"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915" w:history="1">
            <w:r w:rsidRPr="001D4C20">
              <w:rPr>
                <w:rStyle w:val="Lienhypertexte"/>
                <w:noProof/>
              </w:rPr>
              <w:t>58.44 Armoires encastrées - Quincaillerie complémentaire CCTB 01.02</w:t>
            </w:r>
            <w:r>
              <w:rPr>
                <w:noProof/>
                <w:webHidden/>
              </w:rPr>
              <w:tab/>
            </w:r>
            <w:r>
              <w:rPr>
                <w:noProof/>
                <w:webHidden/>
              </w:rPr>
              <w:fldChar w:fldCharType="begin"/>
            </w:r>
            <w:r>
              <w:rPr>
                <w:noProof/>
                <w:webHidden/>
              </w:rPr>
              <w:instrText xml:space="preserve"> PAGEREF _Toc220491915 \h </w:instrText>
            </w:r>
            <w:r>
              <w:rPr>
                <w:noProof/>
                <w:webHidden/>
              </w:rPr>
            </w:r>
            <w:r>
              <w:rPr>
                <w:noProof/>
                <w:webHidden/>
              </w:rPr>
              <w:fldChar w:fldCharType="separate"/>
            </w:r>
            <w:r>
              <w:rPr>
                <w:noProof/>
                <w:webHidden/>
              </w:rPr>
              <w:t>921</w:t>
            </w:r>
            <w:r>
              <w:rPr>
                <w:noProof/>
                <w:webHidden/>
              </w:rPr>
              <w:fldChar w:fldCharType="end"/>
            </w:r>
          </w:hyperlink>
        </w:p>
        <w:p w14:paraId="34C63B7B" w14:textId="07FE6244"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16" w:history="1">
            <w:r w:rsidRPr="001D4C20">
              <w:rPr>
                <w:rStyle w:val="Lienhypertexte"/>
                <w:noProof/>
              </w:rPr>
              <w:t>58.44.1 Armoires encastrées - Quincaillerie complémentaire - Poignées et tirants CCTB 01.02</w:t>
            </w:r>
            <w:r>
              <w:rPr>
                <w:noProof/>
                <w:webHidden/>
              </w:rPr>
              <w:tab/>
            </w:r>
            <w:r>
              <w:rPr>
                <w:noProof/>
                <w:webHidden/>
              </w:rPr>
              <w:fldChar w:fldCharType="begin"/>
            </w:r>
            <w:r>
              <w:rPr>
                <w:noProof/>
                <w:webHidden/>
              </w:rPr>
              <w:instrText xml:space="preserve"> PAGEREF _Toc220491916 \h </w:instrText>
            </w:r>
            <w:r>
              <w:rPr>
                <w:noProof/>
                <w:webHidden/>
              </w:rPr>
            </w:r>
            <w:r>
              <w:rPr>
                <w:noProof/>
                <w:webHidden/>
              </w:rPr>
              <w:fldChar w:fldCharType="separate"/>
            </w:r>
            <w:r>
              <w:rPr>
                <w:noProof/>
                <w:webHidden/>
              </w:rPr>
              <w:t>921</w:t>
            </w:r>
            <w:r>
              <w:rPr>
                <w:noProof/>
                <w:webHidden/>
              </w:rPr>
              <w:fldChar w:fldCharType="end"/>
            </w:r>
          </w:hyperlink>
        </w:p>
        <w:p w14:paraId="33E4BC8B" w14:textId="0B8819E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17" w:history="1">
            <w:r w:rsidRPr="001D4C20">
              <w:rPr>
                <w:rStyle w:val="Lienhypertexte"/>
                <w:noProof/>
              </w:rPr>
              <w:t>58.44.1a Armoires encastrées - Quincaillerie complémentaire - Poignées et tirants CCTB 01.10</w:t>
            </w:r>
            <w:r>
              <w:rPr>
                <w:noProof/>
                <w:webHidden/>
              </w:rPr>
              <w:tab/>
            </w:r>
            <w:r>
              <w:rPr>
                <w:noProof/>
                <w:webHidden/>
              </w:rPr>
              <w:fldChar w:fldCharType="begin"/>
            </w:r>
            <w:r>
              <w:rPr>
                <w:noProof/>
                <w:webHidden/>
              </w:rPr>
              <w:instrText xml:space="preserve"> PAGEREF _Toc220491917 \h </w:instrText>
            </w:r>
            <w:r>
              <w:rPr>
                <w:noProof/>
                <w:webHidden/>
              </w:rPr>
            </w:r>
            <w:r>
              <w:rPr>
                <w:noProof/>
                <w:webHidden/>
              </w:rPr>
              <w:fldChar w:fldCharType="separate"/>
            </w:r>
            <w:r>
              <w:rPr>
                <w:noProof/>
                <w:webHidden/>
              </w:rPr>
              <w:t>922</w:t>
            </w:r>
            <w:r>
              <w:rPr>
                <w:noProof/>
                <w:webHidden/>
              </w:rPr>
              <w:fldChar w:fldCharType="end"/>
            </w:r>
          </w:hyperlink>
        </w:p>
        <w:p w14:paraId="6921F8AF" w14:textId="5893965A"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18" w:history="1">
            <w:r w:rsidRPr="001D4C20">
              <w:rPr>
                <w:rStyle w:val="Lienhypertexte"/>
                <w:noProof/>
              </w:rPr>
              <w:t>58.44.2 Armoires encastrées - Quincaillerie complémentaire - Charnières CCTB 01.02</w:t>
            </w:r>
            <w:r>
              <w:rPr>
                <w:noProof/>
                <w:webHidden/>
              </w:rPr>
              <w:tab/>
            </w:r>
            <w:r>
              <w:rPr>
                <w:noProof/>
                <w:webHidden/>
              </w:rPr>
              <w:fldChar w:fldCharType="begin"/>
            </w:r>
            <w:r>
              <w:rPr>
                <w:noProof/>
                <w:webHidden/>
              </w:rPr>
              <w:instrText xml:space="preserve"> PAGEREF _Toc220491918 \h </w:instrText>
            </w:r>
            <w:r>
              <w:rPr>
                <w:noProof/>
                <w:webHidden/>
              </w:rPr>
            </w:r>
            <w:r>
              <w:rPr>
                <w:noProof/>
                <w:webHidden/>
              </w:rPr>
              <w:fldChar w:fldCharType="separate"/>
            </w:r>
            <w:r>
              <w:rPr>
                <w:noProof/>
                <w:webHidden/>
              </w:rPr>
              <w:t>922</w:t>
            </w:r>
            <w:r>
              <w:rPr>
                <w:noProof/>
                <w:webHidden/>
              </w:rPr>
              <w:fldChar w:fldCharType="end"/>
            </w:r>
          </w:hyperlink>
        </w:p>
        <w:p w14:paraId="574E49C2" w14:textId="477464A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19" w:history="1">
            <w:r w:rsidRPr="001D4C20">
              <w:rPr>
                <w:rStyle w:val="Lienhypertexte"/>
                <w:noProof/>
              </w:rPr>
              <w:t>58.44.2a Armoires encastrées - Quincaillerie complémentaire - Charnières CCTB 01.10</w:t>
            </w:r>
            <w:r>
              <w:rPr>
                <w:noProof/>
                <w:webHidden/>
              </w:rPr>
              <w:tab/>
            </w:r>
            <w:r>
              <w:rPr>
                <w:noProof/>
                <w:webHidden/>
              </w:rPr>
              <w:fldChar w:fldCharType="begin"/>
            </w:r>
            <w:r>
              <w:rPr>
                <w:noProof/>
                <w:webHidden/>
              </w:rPr>
              <w:instrText xml:space="preserve"> PAGEREF _Toc220491919 \h </w:instrText>
            </w:r>
            <w:r>
              <w:rPr>
                <w:noProof/>
                <w:webHidden/>
              </w:rPr>
            </w:r>
            <w:r>
              <w:rPr>
                <w:noProof/>
                <w:webHidden/>
              </w:rPr>
              <w:fldChar w:fldCharType="separate"/>
            </w:r>
            <w:r>
              <w:rPr>
                <w:noProof/>
                <w:webHidden/>
              </w:rPr>
              <w:t>922</w:t>
            </w:r>
            <w:r>
              <w:rPr>
                <w:noProof/>
                <w:webHidden/>
              </w:rPr>
              <w:fldChar w:fldCharType="end"/>
            </w:r>
          </w:hyperlink>
        </w:p>
        <w:p w14:paraId="71707ECD" w14:textId="695CDEEB"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20" w:history="1">
            <w:r w:rsidRPr="001D4C20">
              <w:rPr>
                <w:rStyle w:val="Lienhypertexte"/>
                <w:noProof/>
              </w:rPr>
              <w:t>58.44.3 Armoires encastrées - Quincaillerie complémentaire - Rails et glissières CCTB 01.02</w:t>
            </w:r>
            <w:r>
              <w:rPr>
                <w:noProof/>
                <w:webHidden/>
              </w:rPr>
              <w:tab/>
            </w:r>
            <w:r>
              <w:rPr>
                <w:noProof/>
                <w:webHidden/>
              </w:rPr>
              <w:fldChar w:fldCharType="begin"/>
            </w:r>
            <w:r>
              <w:rPr>
                <w:noProof/>
                <w:webHidden/>
              </w:rPr>
              <w:instrText xml:space="preserve"> PAGEREF _Toc220491920 \h </w:instrText>
            </w:r>
            <w:r>
              <w:rPr>
                <w:noProof/>
                <w:webHidden/>
              </w:rPr>
            </w:r>
            <w:r>
              <w:rPr>
                <w:noProof/>
                <w:webHidden/>
              </w:rPr>
              <w:fldChar w:fldCharType="separate"/>
            </w:r>
            <w:r>
              <w:rPr>
                <w:noProof/>
                <w:webHidden/>
              </w:rPr>
              <w:t>923</w:t>
            </w:r>
            <w:r>
              <w:rPr>
                <w:noProof/>
                <w:webHidden/>
              </w:rPr>
              <w:fldChar w:fldCharType="end"/>
            </w:r>
          </w:hyperlink>
        </w:p>
        <w:p w14:paraId="03BD6AD3" w14:textId="0E53B114"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21" w:history="1">
            <w:r w:rsidRPr="001D4C20">
              <w:rPr>
                <w:rStyle w:val="Lienhypertexte"/>
                <w:noProof/>
              </w:rPr>
              <w:t>58.44.3a Armoires encastrées - Quincaillerie complémentaire - Rails et glissières CCTB 01.10</w:t>
            </w:r>
            <w:r>
              <w:rPr>
                <w:noProof/>
                <w:webHidden/>
              </w:rPr>
              <w:tab/>
            </w:r>
            <w:r>
              <w:rPr>
                <w:noProof/>
                <w:webHidden/>
              </w:rPr>
              <w:fldChar w:fldCharType="begin"/>
            </w:r>
            <w:r>
              <w:rPr>
                <w:noProof/>
                <w:webHidden/>
              </w:rPr>
              <w:instrText xml:space="preserve"> PAGEREF _Toc220491921 \h </w:instrText>
            </w:r>
            <w:r>
              <w:rPr>
                <w:noProof/>
                <w:webHidden/>
              </w:rPr>
            </w:r>
            <w:r>
              <w:rPr>
                <w:noProof/>
                <w:webHidden/>
              </w:rPr>
              <w:fldChar w:fldCharType="separate"/>
            </w:r>
            <w:r>
              <w:rPr>
                <w:noProof/>
                <w:webHidden/>
              </w:rPr>
              <w:t>923</w:t>
            </w:r>
            <w:r>
              <w:rPr>
                <w:noProof/>
                <w:webHidden/>
              </w:rPr>
              <w:fldChar w:fldCharType="end"/>
            </w:r>
          </w:hyperlink>
        </w:p>
        <w:p w14:paraId="14B7C6F2" w14:textId="5F410FF3"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922" w:history="1">
            <w:r w:rsidRPr="001D4C20">
              <w:rPr>
                <w:rStyle w:val="Lienhypertexte"/>
                <w:noProof/>
              </w:rPr>
              <w:t>58.45 Armoires encastrées - Accessoires CCTB 01.02</w:t>
            </w:r>
            <w:r>
              <w:rPr>
                <w:noProof/>
                <w:webHidden/>
              </w:rPr>
              <w:tab/>
            </w:r>
            <w:r>
              <w:rPr>
                <w:noProof/>
                <w:webHidden/>
              </w:rPr>
              <w:fldChar w:fldCharType="begin"/>
            </w:r>
            <w:r>
              <w:rPr>
                <w:noProof/>
                <w:webHidden/>
              </w:rPr>
              <w:instrText xml:space="preserve"> PAGEREF _Toc220491922 \h </w:instrText>
            </w:r>
            <w:r>
              <w:rPr>
                <w:noProof/>
                <w:webHidden/>
              </w:rPr>
            </w:r>
            <w:r>
              <w:rPr>
                <w:noProof/>
                <w:webHidden/>
              </w:rPr>
              <w:fldChar w:fldCharType="separate"/>
            </w:r>
            <w:r>
              <w:rPr>
                <w:noProof/>
                <w:webHidden/>
              </w:rPr>
              <w:t>923</w:t>
            </w:r>
            <w:r>
              <w:rPr>
                <w:noProof/>
                <w:webHidden/>
              </w:rPr>
              <w:fldChar w:fldCharType="end"/>
            </w:r>
          </w:hyperlink>
        </w:p>
        <w:p w14:paraId="6957DE6B" w14:textId="50D4B8F2"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23" w:history="1">
            <w:r w:rsidRPr="001D4C20">
              <w:rPr>
                <w:rStyle w:val="Lienhypertexte"/>
                <w:noProof/>
              </w:rPr>
              <w:t>58.45.1 Armoires encastrées - Accessoires CCTB 01.10</w:t>
            </w:r>
            <w:r>
              <w:rPr>
                <w:noProof/>
                <w:webHidden/>
              </w:rPr>
              <w:tab/>
            </w:r>
            <w:r>
              <w:rPr>
                <w:noProof/>
                <w:webHidden/>
              </w:rPr>
              <w:fldChar w:fldCharType="begin"/>
            </w:r>
            <w:r>
              <w:rPr>
                <w:noProof/>
                <w:webHidden/>
              </w:rPr>
              <w:instrText xml:space="preserve"> PAGEREF _Toc220491923 \h </w:instrText>
            </w:r>
            <w:r>
              <w:rPr>
                <w:noProof/>
                <w:webHidden/>
              </w:rPr>
            </w:r>
            <w:r>
              <w:rPr>
                <w:noProof/>
                <w:webHidden/>
              </w:rPr>
              <w:fldChar w:fldCharType="separate"/>
            </w:r>
            <w:r>
              <w:rPr>
                <w:noProof/>
                <w:webHidden/>
              </w:rPr>
              <w:t>923</w:t>
            </w:r>
            <w:r>
              <w:rPr>
                <w:noProof/>
                <w:webHidden/>
              </w:rPr>
              <w:fldChar w:fldCharType="end"/>
            </w:r>
          </w:hyperlink>
        </w:p>
        <w:p w14:paraId="6AFCAB06" w14:textId="14285C6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24" w:history="1">
            <w:r w:rsidRPr="001D4C20">
              <w:rPr>
                <w:rStyle w:val="Lienhypertexte"/>
                <w:noProof/>
              </w:rPr>
              <w:t>58.45.1a Armoires encastrées - Accessoires CCTB 01.10</w:t>
            </w:r>
            <w:r>
              <w:rPr>
                <w:noProof/>
                <w:webHidden/>
              </w:rPr>
              <w:tab/>
            </w:r>
            <w:r>
              <w:rPr>
                <w:noProof/>
                <w:webHidden/>
              </w:rPr>
              <w:fldChar w:fldCharType="begin"/>
            </w:r>
            <w:r>
              <w:rPr>
                <w:noProof/>
                <w:webHidden/>
              </w:rPr>
              <w:instrText xml:space="preserve"> PAGEREF _Toc220491924 \h </w:instrText>
            </w:r>
            <w:r>
              <w:rPr>
                <w:noProof/>
                <w:webHidden/>
              </w:rPr>
            </w:r>
            <w:r>
              <w:rPr>
                <w:noProof/>
                <w:webHidden/>
              </w:rPr>
              <w:fldChar w:fldCharType="separate"/>
            </w:r>
            <w:r>
              <w:rPr>
                <w:noProof/>
                <w:webHidden/>
              </w:rPr>
              <w:t>923</w:t>
            </w:r>
            <w:r>
              <w:rPr>
                <w:noProof/>
                <w:webHidden/>
              </w:rPr>
              <w:fldChar w:fldCharType="end"/>
            </w:r>
          </w:hyperlink>
        </w:p>
        <w:p w14:paraId="7A3A048E" w14:textId="5072264E"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925" w:history="1">
            <w:r w:rsidRPr="001D4C20">
              <w:rPr>
                <w:rStyle w:val="Lienhypertexte"/>
                <w:noProof/>
              </w:rPr>
              <w:t>58.5 Armoires d'archivage CCTB 01.02</w:t>
            </w:r>
            <w:r>
              <w:rPr>
                <w:noProof/>
                <w:webHidden/>
              </w:rPr>
              <w:tab/>
            </w:r>
            <w:r>
              <w:rPr>
                <w:noProof/>
                <w:webHidden/>
              </w:rPr>
              <w:fldChar w:fldCharType="begin"/>
            </w:r>
            <w:r>
              <w:rPr>
                <w:noProof/>
                <w:webHidden/>
              </w:rPr>
              <w:instrText xml:space="preserve"> PAGEREF _Toc220491925 \h </w:instrText>
            </w:r>
            <w:r>
              <w:rPr>
                <w:noProof/>
                <w:webHidden/>
              </w:rPr>
            </w:r>
            <w:r>
              <w:rPr>
                <w:noProof/>
                <w:webHidden/>
              </w:rPr>
              <w:fldChar w:fldCharType="separate"/>
            </w:r>
            <w:r>
              <w:rPr>
                <w:noProof/>
                <w:webHidden/>
              </w:rPr>
              <w:t>924</w:t>
            </w:r>
            <w:r>
              <w:rPr>
                <w:noProof/>
                <w:webHidden/>
              </w:rPr>
              <w:fldChar w:fldCharType="end"/>
            </w:r>
          </w:hyperlink>
        </w:p>
        <w:p w14:paraId="1ECDB3B3" w14:textId="62697989"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926" w:history="1">
            <w:r w:rsidRPr="001D4C20">
              <w:rPr>
                <w:rStyle w:val="Lienhypertexte"/>
                <w:noProof/>
              </w:rPr>
              <w:t>58.51 Armoires d'archivage à système coulissant CCTB 01.02</w:t>
            </w:r>
            <w:r>
              <w:rPr>
                <w:noProof/>
                <w:webHidden/>
              </w:rPr>
              <w:tab/>
            </w:r>
            <w:r>
              <w:rPr>
                <w:noProof/>
                <w:webHidden/>
              </w:rPr>
              <w:fldChar w:fldCharType="begin"/>
            </w:r>
            <w:r>
              <w:rPr>
                <w:noProof/>
                <w:webHidden/>
              </w:rPr>
              <w:instrText xml:space="preserve"> PAGEREF _Toc220491926 \h </w:instrText>
            </w:r>
            <w:r>
              <w:rPr>
                <w:noProof/>
                <w:webHidden/>
              </w:rPr>
            </w:r>
            <w:r>
              <w:rPr>
                <w:noProof/>
                <w:webHidden/>
              </w:rPr>
              <w:fldChar w:fldCharType="separate"/>
            </w:r>
            <w:r>
              <w:rPr>
                <w:noProof/>
                <w:webHidden/>
              </w:rPr>
              <w:t>924</w:t>
            </w:r>
            <w:r>
              <w:rPr>
                <w:noProof/>
                <w:webHidden/>
              </w:rPr>
              <w:fldChar w:fldCharType="end"/>
            </w:r>
          </w:hyperlink>
        </w:p>
        <w:p w14:paraId="54739419" w14:textId="54903330"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27" w:history="1">
            <w:r w:rsidRPr="001D4C20">
              <w:rPr>
                <w:rStyle w:val="Lienhypertexte"/>
                <w:noProof/>
              </w:rPr>
              <w:t>58.51.1 Armoires d'archivage à système coulissant CCTB 01.02</w:t>
            </w:r>
            <w:r>
              <w:rPr>
                <w:noProof/>
                <w:webHidden/>
              </w:rPr>
              <w:tab/>
            </w:r>
            <w:r>
              <w:rPr>
                <w:noProof/>
                <w:webHidden/>
              </w:rPr>
              <w:fldChar w:fldCharType="begin"/>
            </w:r>
            <w:r>
              <w:rPr>
                <w:noProof/>
                <w:webHidden/>
              </w:rPr>
              <w:instrText xml:space="preserve"> PAGEREF _Toc220491927 \h </w:instrText>
            </w:r>
            <w:r>
              <w:rPr>
                <w:noProof/>
                <w:webHidden/>
              </w:rPr>
            </w:r>
            <w:r>
              <w:rPr>
                <w:noProof/>
                <w:webHidden/>
              </w:rPr>
              <w:fldChar w:fldCharType="separate"/>
            </w:r>
            <w:r>
              <w:rPr>
                <w:noProof/>
                <w:webHidden/>
              </w:rPr>
              <w:t>924</w:t>
            </w:r>
            <w:r>
              <w:rPr>
                <w:noProof/>
                <w:webHidden/>
              </w:rPr>
              <w:fldChar w:fldCharType="end"/>
            </w:r>
          </w:hyperlink>
        </w:p>
        <w:p w14:paraId="71055427" w14:textId="54E5E82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28" w:history="1">
            <w:r w:rsidRPr="001D4C20">
              <w:rPr>
                <w:rStyle w:val="Lienhypertexte"/>
                <w:noProof/>
              </w:rPr>
              <w:t>58.51.1a Armoires d'archivage à système coulissant CCTB 01.02</w:t>
            </w:r>
            <w:r>
              <w:rPr>
                <w:noProof/>
                <w:webHidden/>
              </w:rPr>
              <w:tab/>
            </w:r>
            <w:r>
              <w:rPr>
                <w:noProof/>
                <w:webHidden/>
              </w:rPr>
              <w:fldChar w:fldCharType="begin"/>
            </w:r>
            <w:r>
              <w:rPr>
                <w:noProof/>
                <w:webHidden/>
              </w:rPr>
              <w:instrText xml:space="preserve"> PAGEREF _Toc220491928 \h </w:instrText>
            </w:r>
            <w:r>
              <w:rPr>
                <w:noProof/>
                <w:webHidden/>
              </w:rPr>
            </w:r>
            <w:r>
              <w:rPr>
                <w:noProof/>
                <w:webHidden/>
              </w:rPr>
              <w:fldChar w:fldCharType="separate"/>
            </w:r>
            <w:r>
              <w:rPr>
                <w:noProof/>
                <w:webHidden/>
              </w:rPr>
              <w:t>924</w:t>
            </w:r>
            <w:r>
              <w:rPr>
                <w:noProof/>
                <w:webHidden/>
              </w:rPr>
              <w:fldChar w:fldCharType="end"/>
            </w:r>
          </w:hyperlink>
        </w:p>
        <w:p w14:paraId="747A4A89" w14:textId="65CCF37C"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929" w:history="1">
            <w:r w:rsidRPr="001D4C20">
              <w:rPr>
                <w:rStyle w:val="Lienhypertexte"/>
                <w:noProof/>
              </w:rPr>
              <w:t>58.52 Armoires d'archivage à système à tambour CCTB 01.02</w:t>
            </w:r>
            <w:r>
              <w:rPr>
                <w:noProof/>
                <w:webHidden/>
              </w:rPr>
              <w:tab/>
            </w:r>
            <w:r>
              <w:rPr>
                <w:noProof/>
                <w:webHidden/>
              </w:rPr>
              <w:fldChar w:fldCharType="begin"/>
            </w:r>
            <w:r>
              <w:rPr>
                <w:noProof/>
                <w:webHidden/>
              </w:rPr>
              <w:instrText xml:space="preserve"> PAGEREF _Toc220491929 \h </w:instrText>
            </w:r>
            <w:r>
              <w:rPr>
                <w:noProof/>
                <w:webHidden/>
              </w:rPr>
            </w:r>
            <w:r>
              <w:rPr>
                <w:noProof/>
                <w:webHidden/>
              </w:rPr>
              <w:fldChar w:fldCharType="separate"/>
            </w:r>
            <w:r>
              <w:rPr>
                <w:noProof/>
                <w:webHidden/>
              </w:rPr>
              <w:t>924</w:t>
            </w:r>
            <w:r>
              <w:rPr>
                <w:noProof/>
                <w:webHidden/>
              </w:rPr>
              <w:fldChar w:fldCharType="end"/>
            </w:r>
          </w:hyperlink>
        </w:p>
        <w:p w14:paraId="128A590B" w14:textId="2AE08FE5"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30" w:history="1">
            <w:r w:rsidRPr="001D4C20">
              <w:rPr>
                <w:rStyle w:val="Lienhypertexte"/>
                <w:noProof/>
              </w:rPr>
              <w:t>58.52.1 Armoires d'archivage à système à tambour CCTB 01.02</w:t>
            </w:r>
            <w:r>
              <w:rPr>
                <w:noProof/>
                <w:webHidden/>
              </w:rPr>
              <w:tab/>
            </w:r>
            <w:r>
              <w:rPr>
                <w:noProof/>
                <w:webHidden/>
              </w:rPr>
              <w:fldChar w:fldCharType="begin"/>
            </w:r>
            <w:r>
              <w:rPr>
                <w:noProof/>
                <w:webHidden/>
              </w:rPr>
              <w:instrText xml:space="preserve"> PAGEREF _Toc220491930 \h </w:instrText>
            </w:r>
            <w:r>
              <w:rPr>
                <w:noProof/>
                <w:webHidden/>
              </w:rPr>
            </w:r>
            <w:r>
              <w:rPr>
                <w:noProof/>
                <w:webHidden/>
              </w:rPr>
              <w:fldChar w:fldCharType="separate"/>
            </w:r>
            <w:r>
              <w:rPr>
                <w:noProof/>
                <w:webHidden/>
              </w:rPr>
              <w:t>924</w:t>
            </w:r>
            <w:r>
              <w:rPr>
                <w:noProof/>
                <w:webHidden/>
              </w:rPr>
              <w:fldChar w:fldCharType="end"/>
            </w:r>
          </w:hyperlink>
        </w:p>
        <w:p w14:paraId="6086A46E" w14:textId="204DC36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31" w:history="1">
            <w:r w:rsidRPr="001D4C20">
              <w:rPr>
                <w:rStyle w:val="Lienhypertexte"/>
                <w:noProof/>
              </w:rPr>
              <w:t>58.52.1a Armoires d'archivage à système à tambour CCTB 01.02</w:t>
            </w:r>
            <w:r>
              <w:rPr>
                <w:noProof/>
                <w:webHidden/>
              </w:rPr>
              <w:tab/>
            </w:r>
            <w:r>
              <w:rPr>
                <w:noProof/>
                <w:webHidden/>
              </w:rPr>
              <w:fldChar w:fldCharType="begin"/>
            </w:r>
            <w:r>
              <w:rPr>
                <w:noProof/>
                <w:webHidden/>
              </w:rPr>
              <w:instrText xml:space="preserve"> PAGEREF _Toc220491931 \h </w:instrText>
            </w:r>
            <w:r>
              <w:rPr>
                <w:noProof/>
                <w:webHidden/>
              </w:rPr>
            </w:r>
            <w:r>
              <w:rPr>
                <w:noProof/>
                <w:webHidden/>
              </w:rPr>
              <w:fldChar w:fldCharType="separate"/>
            </w:r>
            <w:r>
              <w:rPr>
                <w:noProof/>
                <w:webHidden/>
              </w:rPr>
              <w:t>924</w:t>
            </w:r>
            <w:r>
              <w:rPr>
                <w:noProof/>
                <w:webHidden/>
              </w:rPr>
              <w:fldChar w:fldCharType="end"/>
            </w:r>
          </w:hyperlink>
        </w:p>
        <w:p w14:paraId="285EFAF6" w14:textId="5A71AB5A"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932" w:history="1">
            <w:r w:rsidRPr="001D4C20">
              <w:rPr>
                <w:rStyle w:val="Lienhypertexte"/>
                <w:noProof/>
              </w:rPr>
              <w:t>58.53 Armoires d'archivage à plateaux CCTB 01.02</w:t>
            </w:r>
            <w:r>
              <w:rPr>
                <w:noProof/>
                <w:webHidden/>
              </w:rPr>
              <w:tab/>
            </w:r>
            <w:r>
              <w:rPr>
                <w:noProof/>
                <w:webHidden/>
              </w:rPr>
              <w:fldChar w:fldCharType="begin"/>
            </w:r>
            <w:r>
              <w:rPr>
                <w:noProof/>
                <w:webHidden/>
              </w:rPr>
              <w:instrText xml:space="preserve"> PAGEREF _Toc220491932 \h </w:instrText>
            </w:r>
            <w:r>
              <w:rPr>
                <w:noProof/>
                <w:webHidden/>
              </w:rPr>
            </w:r>
            <w:r>
              <w:rPr>
                <w:noProof/>
                <w:webHidden/>
              </w:rPr>
              <w:fldChar w:fldCharType="separate"/>
            </w:r>
            <w:r>
              <w:rPr>
                <w:noProof/>
                <w:webHidden/>
              </w:rPr>
              <w:t>924</w:t>
            </w:r>
            <w:r>
              <w:rPr>
                <w:noProof/>
                <w:webHidden/>
              </w:rPr>
              <w:fldChar w:fldCharType="end"/>
            </w:r>
          </w:hyperlink>
        </w:p>
        <w:p w14:paraId="5ECE7187" w14:textId="5F794000"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33" w:history="1">
            <w:r w:rsidRPr="001D4C20">
              <w:rPr>
                <w:rStyle w:val="Lienhypertexte"/>
                <w:noProof/>
              </w:rPr>
              <w:t>58.53.1 Armoires d'archivage à plateaux CCTB 01.02</w:t>
            </w:r>
            <w:r>
              <w:rPr>
                <w:noProof/>
                <w:webHidden/>
              </w:rPr>
              <w:tab/>
            </w:r>
            <w:r>
              <w:rPr>
                <w:noProof/>
                <w:webHidden/>
              </w:rPr>
              <w:fldChar w:fldCharType="begin"/>
            </w:r>
            <w:r>
              <w:rPr>
                <w:noProof/>
                <w:webHidden/>
              </w:rPr>
              <w:instrText xml:space="preserve"> PAGEREF _Toc220491933 \h </w:instrText>
            </w:r>
            <w:r>
              <w:rPr>
                <w:noProof/>
                <w:webHidden/>
              </w:rPr>
            </w:r>
            <w:r>
              <w:rPr>
                <w:noProof/>
                <w:webHidden/>
              </w:rPr>
              <w:fldChar w:fldCharType="separate"/>
            </w:r>
            <w:r>
              <w:rPr>
                <w:noProof/>
                <w:webHidden/>
              </w:rPr>
              <w:t>924</w:t>
            </w:r>
            <w:r>
              <w:rPr>
                <w:noProof/>
                <w:webHidden/>
              </w:rPr>
              <w:fldChar w:fldCharType="end"/>
            </w:r>
          </w:hyperlink>
        </w:p>
        <w:p w14:paraId="30E630CB" w14:textId="14FF168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34" w:history="1">
            <w:r w:rsidRPr="001D4C20">
              <w:rPr>
                <w:rStyle w:val="Lienhypertexte"/>
                <w:noProof/>
              </w:rPr>
              <w:t>58.53.1a Armoires d'archivage à plateaux CCTB 01.02</w:t>
            </w:r>
            <w:r>
              <w:rPr>
                <w:noProof/>
                <w:webHidden/>
              </w:rPr>
              <w:tab/>
            </w:r>
            <w:r>
              <w:rPr>
                <w:noProof/>
                <w:webHidden/>
              </w:rPr>
              <w:fldChar w:fldCharType="begin"/>
            </w:r>
            <w:r>
              <w:rPr>
                <w:noProof/>
                <w:webHidden/>
              </w:rPr>
              <w:instrText xml:space="preserve"> PAGEREF _Toc220491934 \h </w:instrText>
            </w:r>
            <w:r>
              <w:rPr>
                <w:noProof/>
                <w:webHidden/>
              </w:rPr>
            </w:r>
            <w:r>
              <w:rPr>
                <w:noProof/>
                <w:webHidden/>
              </w:rPr>
              <w:fldChar w:fldCharType="separate"/>
            </w:r>
            <w:r>
              <w:rPr>
                <w:noProof/>
                <w:webHidden/>
              </w:rPr>
              <w:t>924</w:t>
            </w:r>
            <w:r>
              <w:rPr>
                <w:noProof/>
                <w:webHidden/>
              </w:rPr>
              <w:fldChar w:fldCharType="end"/>
            </w:r>
          </w:hyperlink>
        </w:p>
        <w:p w14:paraId="09EAB30B" w14:textId="444523DC"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935" w:history="1">
            <w:r w:rsidRPr="001D4C20">
              <w:rPr>
                <w:rStyle w:val="Lienhypertexte"/>
                <w:noProof/>
              </w:rPr>
              <w:t>58.6 Mobilier de laboratoire CCTB 01.02</w:t>
            </w:r>
            <w:r>
              <w:rPr>
                <w:noProof/>
                <w:webHidden/>
              </w:rPr>
              <w:tab/>
            </w:r>
            <w:r>
              <w:rPr>
                <w:noProof/>
                <w:webHidden/>
              </w:rPr>
              <w:fldChar w:fldCharType="begin"/>
            </w:r>
            <w:r>
              <w:rPr>
                <w:noProof/>
                <w:webHidden/>
              </w:rPr>
              <w:instrText xml:space="preserve"> PAGEREF _Toc220491935 \h </w:instrText>
            </w:r>
            <w:r>
              <w:rPr>
                <w:noProof/>
                <w:webHidden/>
              </w:rPr>
            </w:r>
            <w:r>
              <w:rPr>
                <w:noProof/>
                <w:webHidden/>
              </w:rPr>
              <w:fldChar w:fldCharType="separate"/>
            </w:r>
            <w:r>
              <w:rPr>
                <w:noProof/>
                <w:webHidden/>
              </w:rPr>
              <w:t>924</w:t>
            </w:r>
            <w:r>
              <w:rPr>
                <w:noProof/>
                <w:webHidden/>
              </w:rPr>
              <w:fldChar w:fldCharType="end"/>
            </w:r>
          </w:hyperlink>
        </w:p>
        <w:p w14:paraId="0BE35191" w14:textId="0A700CF4"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936" w:history="1">
            <w:r w:rsidRPr="001D4C20">
              <w:rPr>
                <w:rStyle w:val="Lienhypertexte"/>
                <w:noProof/>
              </w:rPr>
              <w:t>58.61 Mobilier de laboratoire - Structure et planches CCTB 01.02</w:t>
            </w:r>
            <w:r>
              <w:rPr>
                <w:noProof/>
                <w:webHidden/>
              </w:rPr>
              <w:tab/>
            </w:r>
            <w:r>
              <w:rPr>
                <w:noProof/>
                <w:webHidden/>
              </w:rPr>
              <w:fldChar w:fldCharType="begin"/>
            </w:r>
            <w:r>
              <w:rPr>
                <w:noProof/>
                <w:webHidden/>
              </w:rPr>
              <w:instrText xml:space="preserve"> PAGEREF _Toc220491936 \h </w:instrText>
            </w:r>
            <w:r>
              <w:rPr>
                <w:noProof/>
                <w:webHidden/>
              </w:rPr>
            </w:r>
            <w:r>
              <w:rPr>
                <w:noProof/>
                <w:webHidden/>
              </w:rPr>
              <w:fldChar w:fldCharType="separate"/>
            </w:r>
            <w:r>
              <w:rPr>
                <w:noProof/>
                <w:webHidden/>
              </w:rPr>
              <w:t>924</w:t>
            </w:r>
            <w:r>
              <w:rPr>
                <w:noProof/>
                <w:webHidden/>
              </w:rPr>
              <w:fldChar w:fldCharType="end"/>
            </w:r>
          </w:hyperlink>
        </w:p>
        <w:p w14:paraId="2ABCCD5E" w14:textId="2D03B821"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37" w:history="1">
            <w:r w:rsidRPr="001D4C20">
              <w:rPr>
                <w:rStyle w:val="Lienhypertexte"/>
                <w:noProof/>
              </w:rPr>
              <w:t>58.61.1 Mobilier de laboratoire - Structure et planches - Eléments blocs CCTB 01.02</w:t>
            </w:r>
            <w:r>
              <w:rPr>
                <w:noProof/>
                <w:webHidden/>
              </w:rPr>
              <w:tab/>
            </w:r>
            <w:r>
              <w:rPr>
                <w:noProof/>
                <w:webHidden/>
              </w:rPr>
              <w:fldChar w:fldCharType="begin"/>
            </w:r>
            <w:r>
              <w:rPr>
                <w:noProof/>
                <w:webHidden/>
              </w:rPr>
              <w:instrText xml:space="preserve"> PAGEREF _Toc220491937 \h </w:instrText>
            </w:r>
            <w:r>
              <w:rPr>
                <w:noProof/>
                <w:webHidden/>
              </w:rPr>
            </w:r>
            <w:r>
              <w:rPr>
                <w:noProof/>
                <w:webHidden/>
              </w:rPr>
              <w:fldChar w:fldCharType="separate"/>
            </w:r>
            <w:r>
              <w:rPr>
                <w:noProof/>
                <w:webHidden/>
              </w:rPr>
              <w:t>925</w:t>
            </w:r>
            <w:r>
              <w:rPr>
                <w:noProof/>
                <w:webHidden/>
              </w:rPr>
              <w:fldChar w:fldCharType="end"/>
            </w:r>
          </w:hyperlink>
        </w:p>
        <w:p w14:paraId="281F50A3" w14:textId="71BA028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38" w:history="1">
            <w:r w:rsidRPr="001D4C20">
              <w:rPr>
                <w:rStyle w:val="Lienhypertexte"/>
                <w:noProof/>
              </w:rPr>
              <w:t>58.61.1a Mobilier de laboratoire - Structure et planches - Eléments blocs CCTB 01.02</w:t>
            </w:r>
            <w:r>
              <w:rPr>
                <w:noProof/>
                <w:webHidden/>
              </w:rPr>
              <w:tab/>
            </w:r>
            <w:r>
              <w:rPr>
                <w:noProof/>
                <w:webHidden/>
              </w:rPr>
              <w:fldChar w:fldCharType="begin"/>
            </w:r>
            <w:r>
              <w:rPr>
                <w:noProof/>
                <w:webHidden/>
              </w:rPr>
              <w:instrText xml:space="preserve"> PAGEREF _Toc220491938 \h </w:instrText>
            </w:r>
            <w:r>
              <w:rPr>
                <w:noProof/>
                <w:webHidden/>
              </w:rPr>
            </w:r>
            <w:r>
              <w:rPr>
                <w:noProof/>
                <w:webHidden/>
              </w:rPr>
              <w:fldChar w:fldCharType="separate"/>
            </w:r>
            <w:r>
              <w:rPr>
                <w:noProof/>
                <w:webHidden/>
              </w:rPr>
              <w:t>925</w:t>
            </w:r>
            <w:r>
              <w:rPr>
                <w:noProof/>
                <w:webHidden/>
              </w:rPr>
              <w:fldChar w:fldCharType="end"/>
            </w:r>
          </w:hyperlink>
        </w:p>
        <w:p w14:paraId="54654D9D" w14:textId="6092B52C"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39" w:history="1">
            <w:r w:rsidRPr="001D4C20">
              <w:rPr>
                <w:rStyle w:val="Lienhypertexte"/>
                <w:noProof/>
              </w:rPr>
              <w:t>58.61.2 Mobilier de laboratoire - Structure et planches - Façades &amp; côtés apparents CCTB 01.02</w:t>
            </w:r>
            <w:r>
              <w:rPr>
                <w:noProof/>
                <w:webHidden/>
              </w:rPr>
              <w:tab/>
            </w:r>
            <w:r>
              <w:rPr>
                <w:noProof/>
                <w:webHidden/>
              </w:rPr>
              <w:fldChar w:fldCharType="begin"/>
            </w:r>
            <w:r>
              <w:rPr>
                <w:noProof/>
                <w:webHidden/>
              </w:rPr>
              <w:instrText xml:space="preserve"> PAGEREF _Toc220491939 \h </w:instrText>
            </w:r>
            <w:r>
              <w:rPr>
                <w:noProof/>
                <w:webHidden/>
              </w:rPr>
            </w:r>
            <w:r>
              <w:rPr>
                <w:noProof/>
                <w:webHidden/>
              </w:rPr>
              <w:fldChar w:fldCharType="separate"/>
            </w:r>
            <w:r>
              <w:rPr>
                <w:noProof/>
                <w:webHidden/>
              </w:rPr>
              <w:t>925</w:t>
            </w:r>
            <w:r>
              <w:rPr>
                <w:noProof/>
                <w:webHidden/>
              </w:rPr>
              <w:fldChar w:fldCharType="end"/>
            </w:r>
          </w:hyperlink>
        </w:p>
        <w:p w14:paraId="4D5F560D" w14:textId="03E1A2A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40" w:history="1">
            <w:r w:rsidRPr="001D4C20">
              <w:rPr>
                <w:rStyle w:val="Lienhypertexte"/>
                <w:noProof/>
              </w:rPr>
              <w:t>58.61.2a Mobilier de laboratoire - Structure et planches - Façades &amp; côtés apparents CCTB 01.10</w:t>
            </w:r>
            <w:r>
              <w:rPr>
                <w:noProof/>
                <w:webHidden/>
              </w:rPr>
              <w:tab/>
            </w:r>
            <w:r>
              <w:rPr>
                <w:noProof/>
                <w:webHidden/>
              </w:rPr>
              <w:fldChar w:fldCharType="begin"/>
            </w:r>
            <w:r>
              <w:rPr>
                <w:noProof/>
                <w:webHidden/>
              </w:rPr>
              <w:instrText xml:space="preserve"> PAGEREF _Toc220491940 \h </w:instrText>
            </w:r>
            <w:r>
              <w:rPr>
                <w:noProof/>
                <w:webHidden/>
              </w:rPr>
            </w:r>
            <w:r>
              <w:rPr>
                <w:noProof/>
                <w:webHidden/>
              </w:rPr>
              <w:fldChar w:fldCharType="separate"/>
            </w:r>
            <w:r>
              <w:rPr>
                <w:noProof/>
                <w:webHidden/>
              </w:rPr>
              <w:t>925</w:t>
            </w:r>
            <w:r>
              <w:rPr>
                <w:noProof/>
                <w:webHidden/>
              </w:rPr>
              <w:fldChar w:fldCharType="end"/>
            </w:r>
          </w:hyperlink>
        </w:p>
        <w:p w14:paraId="5D751EA4" w14:textId="1D8D46B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41" w:history="1">
            <w:r w:rsidRPr="001D4C20">
              <w:rPr>
                <w:rStyle w:val="Lienhypertexte"/>
                <w:noProof/>
              </w:rPr>
              <w:t>58.61.3 Mobilier de laboratoire - Structure et planches - Planches intérieures CCTB 01.02</w:t>
            </w:r>
            <w:r>
              <w:rPr>
                <w:noProof/>
                <w:webHidden/>
              </w:rPr>
              <w:tab/>
            </w:r>
            <w:r>
              <w:rPr>
                <w:noProof/>
                <w:webHidden/>
              </w:rPr>
              <w:fldChar w:fldCharType="begin"/>
            </w:r>
            <w:r>
              <w:rPr>
                <w:noProof/>
                <w:webHidden/>
              </w:rPr>
              <w:instrText xml:space="preserve"> PAGEREF _Toc220491941 \h </w:instrText>
            </w:r>
            <w:r>
              <w:rPr>
                <w:noProof/>
                <w:webHidden/>
              </w:rPr>
            </w:r>
            <w:r>
              <w:rPr>
                <w:noProof/>
                <w:webHidden/>
              </w:rPr>
              <w:fldChar w:fldCharType="separate"/>
            </w:r>
            <w:r>
              <w:rPr>
                <w:noProof/>
                <w:webHidden/>
              </w:rPr>
              <w:t>925</w:t>
            </w:r>
            <w:r>
              <w:rPr>
                <w:noProof/>
                <w:webHidden/>
              </w:rPr>
              <w:fldChar w:fldCharType="end"/>
            </w:r>
          </w:hyperlink>
        </w:p>
        <w:p w14:paraId="71256553" w14:textId="1527316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42" w:history="1">
            <w:r w:rsidRPr="001D4C20">
              <w:rPr>
                <w:rStyle w:val="Lienhypertexte"/>
                <w:noProof/>
              </w:rPr>
              <w:t>58.61.3a Mobilier de laboratoire - Structure et planches - Planches intérieures CCTB 01.02</w:t>
            </w:r>
            <w:r>
              <w:rPr>
                <w:noProof/>
                <w:webHidden/>
              </w:rPr>
              <w:tab/>
            </w:r>
            <w:r>
              <w:rPr>
                <w:noProof/>
                <w:webHidden/>
              </w:rPr>
              <w:fldChar w:fldCharType="begin"/>
            </w:r>
            <w:r>
              <w:rPr>
                <w:noProof/>
                <w:webHidden/>
              </w:rPr>
              <w:instrText xml:space="preserve"> PAGEREF _Toc220491942 \h </w:instrText>
            </w:r>
            <w:r>
              <w:rPr>
                <w:noProof/>
                <w:webHidden/>
              </w:rPr>
            </w:r>
            <w:r>
              <w:rPr>
                <w:noProof/>
                <w:webHidden/>
              </w:rPr>
              <w:fldChar w:fldCharType="separate"/>
            </w:r>
            <w:r>
              <w:rPr>
                <w:noProof/>
                <w:webHidden/>
              </w:rPr>
              <w:t>926</w:t>
            </w:r>
            <w:r>
              <w:rPr>
                <w:noProof/>
                <w:webHidden/>
              </w:rPr>
              <w:fldChar w:fldCharType="end"/>
            </w:r>
          </w:hyperlink>
        </w:p>
        <w:p w14:paraId="42AD02A2" w14:textId="683051FB"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43" w:history="1">
            <w:r w:rsidRPr="001D4C20">
              <w:rPr>
                <w:rStyle w:val="Lienhypertexte"/>
                <w:noProof/>
              </w:rPr>
              <w:t>58.61.4 Mobilier de laboratoire - Structure et planches - Structure complémentaire, y compris étagères CCTB 01.02</w:t>
            </w:r>
            <w:r>
              <w:rPr>
                <w:noProof/>
                <w:webHidden/>
              </w:rPr>
              <w:tab/>
            </w:r>
            <w:r>
              <w:rPr>
                <w:noProof/>
                <w:webHidden/>
              </w:rPr>
              <w:fldChar w:fldCharType="begin"/>
            </w:r>
            <w:r>
              <w:rPr>
                <w:noProof/>
                <w:webHidden/>
              </w:rPr>
              <w:instrText xml:space="preserve"> PAGEREF _Toc220491943 \h </w:instrText>
            </w:r>
            <w:r>
              <w:rPr>
                <w:noProof/>
                <w:webHidden/>
              </w:rPr>
            </w:r>
            <w:r>
              <w:rPr>
                <w:noProof/>
                <w:webHidden/>
              </w:rPr>
              <w:fldChar w:fldCharType="separate"/>
            </w:r>
            <w:r>
              <w:rPr>
                <w:noProof/>
                <w:webHidden/>
              </w:rPr>
              <w:t>926</w:t>
            </w:r>
            <w:r>
              <w:rPr>
                <w:noProof/>
                <w:webHidden/>
              </w:rPr>
              <w:fldChar w:fldCharType="end"/>
            </w:r>
          </w:hyperlink>
        </w:p>
        <w:p w14:paraId="024AE6D5" w14:textId="658F8BE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44" w:history="1">
            <w:r w:rsidRPr="001D4C20">
              <w:rPr>
                <w:rStyle w:val="Lienhypertexte"/>
                <w:noProof/>
              </w:rPr>
              <w:t>58.61.4a Mobilier de laboratoire - Structure et planches - Structure complémentaire, y compris étagères CCTB 01.02</w:t>
            </w:r>
            <w:r>
              <w:rPr>
                <w:noProof/>
                <w:webHidden/>
              </w:rPr>
              <w:tab/>
            </w:r>
            <w:r>
              <w:rPr>
                <w:noProof/>
                <w:webHidden/>
              </w:rPr>
              <w:fldChar w:fldCharType="begin"/>
            </w:r>
            <w:r>
              <w:rPr>
                <w:noProof/>
                <w:webHidden/>
              </w:rPr>
              <w:instrText xml:space="preserve"> PAGEREF _Toc220491944 \h </w:instrText>
            </w:r>
            <w:r>
              <w:rPr>
                <w:noProof/>
                <w:webHidden/>
              </w:rPr>
            </w:r>
            <w:r>
              <w:rPr>
                <w:noProof/>
                <w:webHidden/>
              </w:rPr>
              <w:fldChar w:fldCharType="separate"/>
            </w:r>
            <w:r>
              <w:rPr>
                <w:noProof/>
                <w:webHidden/>
              </w:rPr>
              <w:t>926</w:t>
            </w:r>
            <w:r>
              <w:rPr>
                <w:noProof/>
                <w:webHidden/>
              </w:rPr>
              <w:fldChar w:fldCharType="end"/>
            </w:r>
          </w:hyperlink>
        </w:p>
        <w:p w14:paraId="0E863506" w14:textId="7BC2C1CC"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945" w:history="1">
            <w:r w:rsidRPr="001D4C20">
              <w:rPr>
                <w:rStyle w:val="Lienhypertexte"/>
                <w:noProof/>
              </w:rPr>
              <w:t>58.62 Mobilier de laboratoire - Portes / Tiroirs / Caissons CCTB 01.02</w:t>
            </w:r>
            <w:r>
              <w:rPr>
                <w:noProof/>
                <w:webHidden/>
              </w:rPr>
              <w:tab/>
            </w:r>
            <w:r>
              <w:rPr>
                <w:noProof/>
                <w:webHidden/>
              </w:rPr>
              <w:fldChar w:fldCharType="begin"/>
            </w:r>
            <w:r>
              <w:rPr>
                <w:noProof/>
                <w:webHidden/>
              </w:rPr>
              <w:instrText xml:space="preserve"> PAGEREF _Toc220491945 \h </w:instrText>
            </w:r>
            <w:r>
              <w:rPr>
                <w:noProof/>
                <w:webHidden/>
              </w:rPr>
            </w:r>
            <w:r>
              <w:rPr>
                <w:noProof/>
                <w:webHidden/>
              </w:rPr>
              <w:fldChar w:fldCharType="separate"/>
            </w:r>
            <w:r>
              <w:rPr>
                <w:noProof/>
                <w:webHidden/>
              </w:rPr>
              <w:t>926</w:t>
            </w:r>
            <w:r>
              <w:rPr>
                <w:noProof/>
                <w:webHidden/>
              </w:rPr>
              <w:fldChar w:fldCharType="end"/>
            </w:r>
          </w:hyperlink>
        </w:p>
        <w:p w14:paraId="4DACF123" w14:textId="64C30499"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46" w:history="1">
            <w:r w:rsidRPr="001D4C20">
              <w:rPr>
                <w:rStyle w:val="Lienhypertexte"/>
                <w:noProof/>
              </w:rPr>
              <w:t>58.62.1 Mobilier de laboratoire - Portes CCTB 01.02</w:t>
            </w:r>
            <w:r>
              <w:rPr>
                <w:noProof/>
                <w:webHidden/>
              </w:rPr>
              <w:tab/>
            </w:r>
            <w:r>
              <w:rPr>
                <w:noProof/>
                <w:webHidden/>
              </w:rPr>
              <w:fldChar w:fldCharType="begin"/>
            </w:r>
            <w:r>
              <w:rPr>
                <w:noProof/>
                <w:webHidden/>
              </w:rPr>
              <w:instrText xml:space="preserve"> PAGEREF _Toc220491946 \h </w:instrText>
            </w:r>
            <w:r>
              <w:rPr>
                <w:noProof/>
                <w:webHidden/>
              </w:rPr>
            </w:r>
            <w:r>
              <w:rPr>
                <w:noProof/>
                <w:webHidden/>
              </w:rPr>
              <w:fldChar w:fldCharType="separate"/>
            </w:r>
            <w:r>
              <w:rPr>
                <w:noProof/>
                <w:webHidden/>
              </w:rPr>
              <w:t>926</w:t>
            </w:r>
            <w:r>
              <w:rPr>
                <w:noProof/>
                <w:webHidden/>
              </w:rPr>
              <w:fldChar w:fldCharType="end"/>
            </w:r>
          </w:hyperlink>
        </w:p>
        <w:p w14:paraId="7EABA0E8" w14:textId="5D39478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47" w:history="1">
            <w:r w:rsidRPr="001D4C20">
              <w:rPr>
                <w:rStyle w:val="Lienhypertexte"/>
                <w:noProof/>
              </w:rPr>
              <w:t>58.62.1a Mobilier de laboratoire - Portes CCTB 01.10</w:t>
            </w:r>
            <w:r>
              <w:rPr>
                <w:noProof/>
                <w:webHidden/>
              </w:rPr>
              <w:tab/>
            </w:r>
            <w:r>
              <w:rPr>
                <w:noProof/>
                <w:webHidden/>
              </w:rPr>
              <w:fldChar w:fldCharType="begin"/>
            </w:r>
            <w:r>
              <w:rPr>
                <w:noProof/>
                <w:webHidden/>
              </w:rPr>
              <w:instrText xml:space="preserve"> PAGEREF _Toc220491947 \h </w:instrText>
            </w:r>
            <w:r>
              <w:rPr>
                <w:noProof/>
                <w:webHidden/>
              </w:rPr>
            </w:r>
            <w:r>
              <w:rPr>
                <w:noProof/>
                <w:webHidden/>
              </w:rPr>
              <w:fldChar w:fldCharType="separate"/>
            </w:r>
            <w:r>
              <w:rPr>
                <w:noProof/>
                <w:webHidden/>
              </w:rPr>
              <w:t>926</w:t>
            </w:r>
            <w:r>
              <w:rPr>
                <w:noProof/>
                <w:webHidden/>
              </w:rPr>
              <w:fldChar w:fldCharType="end"/>
            </w:r>
          </w:hyperlink>
        </w:p>
        <w:p w14:paraId="1948D247" w14:textId="7E8483F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48" w:history="1">
            <w:r w:rsidRPr="001D4C20">
              <w:rPr>
                <w:rStyle w:val="Lienhypertexte"/>
                <w:noProof/>
              </w:rPr>
              <w:t>58.62.2 Mobilier de laboratoire - Tiroirs CCTB 01.02</w:t>
            </w:r>
            <w:r>
              <w:rPr>
                <w:noProof/>
                <w:webHidden/>
              </w:rPr>
              <w:tab/>
            </w:r>
            <w:r>
              <w:rPr>
                <w:noProof/>
                <w:webHidden/>
              </w:rPr>
              <w:fldChar w:fldCharType="begin"/>
            </w:r>
            <w:r>
              <w:rPr>
                <w:noProof/>
                <w:webHidden/>
              </w:rPr>
              <w:instrText xml:space="preserve"> PAGEREF _Toc220491948 \h </w:instrText>
            </w:r>
            <w:r>
              <w:rPr>
                <w:noProof/>
                <w:webHidden/>
              </w:rPr>
            </w:r>
            <w:r>
              <w:rPr>
                <w:noProof/>
                <w:webHidden/>
              </w:rPr>
              <w:fldChar w:fldCharType="separate"/>
            </w:r>
            <w:r>
              <w:rPr>
                <w:noProof/>
                <w:webHidden/>
              </w:rPr>
              <w:t>926</w:t>
            </w:r>
            <w:r>
              <w:rPr>
                <w:noProof/>
                <w:webHidden/>
              </w:rPr>
              <w:fldChar w:fldCharType="end"/>
            </w:r>
          </w:hyperlink>
        </w:p>
        <w:p w14:paraId="19B7BA26" w14:textId="5643D2DF"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49" w:history="1">
            <w:r w:rsidRPr="001D4C20">
              <w:rPr>
                <w:rStyle w:val="Lienhypertexte"/>
                <w:noProof/>
              </w:rPr>
              <w:t>58.62.2a Mobilier de laboratoire - Tiroirs CCTB 01.10</w:t>
            </w:r>
            <w:r>
              <w:rPr>
                <w:noProof/>
                <w:webHidden/>
              </w:rPr>
              <w:tab/>
            </w:r>
            <w:r>
              <w:rPr>
                <w:noProof/>
                <w:webHidden/>
              </w:rPr>
              <w:fldChar w:fldCharType="begin"/>
            </w:r>
            <w:r>
              <w:rPr>
                <w:noProof/>
                <w:webHidden/>
              </w:rPr>
              <w:instrText xml:space="preserve"> PAGEREF _Toc220491949 \h </w:instrText>
            </w:r>
            <w:r>
              <w:rPr>
                <w:noProof/>
                <w:webHidden/>
              </w:rPr>
            </w:r>
            <w:r>
              <w:rPr>
                <w:noProof/>
                <w:webHidden/>
              </w:rPr>
              <w:fldChar w:fldCharType="separate"/>
            </w:r>
            <w:r>
              <w:rPr>
                <w:noProof/>
                <w:webHidden/>
              </w:rPr>
              <w:t>926</w:t>
            </w:r>
            <w:r>
              <w:rPr>
                <w:noProof/>
                <w:webHidden/>
              </w:rPr>
              <w:fldChar w:fldCharType="end"/>
            </w:r>
          </w:hyperlink>
        </w:p>
        <w:p w14:paraId="386CFACE" w14:textId="57D08B2A"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50" w:history="1">
            <w:r w:rsidRPr="001D4C20">
              <w:rPr>
                <w:rStyle w:val="Lienhypertexte"/>
                <w:noProof/>
              </w:rPr>
              <w:t>58.62.3 Mobilier de laboratoire - Caissons CCTB 01.02</w:t>
            </w:r>
            <w:r>
              <w:rPr>
                <w:noProof/>
                <w:webHidden/>
              </w:rPr>
              <w:tab/>
            </w:r>
            <w:r>
              <w:rPr>
                <w:noProof/>
                <w:webHidden/>
              </w:rPr>
              <w:fldChar w:fldCharType="begin"/>
            </w:r>
            <w:r>
              <w:rPr>
                <w:noProof/>
                <w:webHidden/>
              </w:rPr>
              <w:instrText xml:space="preserve"> PAGEREF _Toc220491950 \h </w:instrText>
            </w:r>
            <w:r>
              <w:rPr>
                <w:noProof/>
                <w:webHidden/>
              </w:rPr>
            </w:r>
            <w:r>
              <w:rPr>
                <w:noProof/>
                <w:webHidden/>
              </w:rPr>
              <w:fldChar w:fldCharType="separate"/>
            </w:r>
            <w:r>
              <w:rPr>
                <w:noProof/>
                <w:webHidden/>
              </w:rPr>
              <w:t>927</w:t>
            </w:r>
            <w:r>
              <w:rPr>
                <w:noProof/>
                <w:webHidden/>
              </w:rPr>
              <w:fldChar w:fldCharType="end"/>
            </w:r>
          </w:hyperlink>
        </w:p>
        <w:p w14:paraId="47DE70C0" w14:textId="66ED9B1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51" w:history="1">
            <w:r w:rsidRPr="001D4C20">
              <w:rPr>
                <w:rStyle w:val="Lienhypertexte"/>
                <w:noProof/>
              </w:rPr>
              <w:t>58.62.3a Mobilier de laboratoire - Caissons CCTB 01.02</w:t>
            </w:r>
            <w:r>
              <w:rPr>
                <w:noProof/>
                <w:webHidden/>
              </w:rPr>
              <w:tab/>
            </w:r>
            <w:r>
              <w:rPr>
                <w:noProof/>
                <w:webHidden/>
              </w:rPr>
              <w:fldChar w:fldCharType="begin"/>
            </w:r>
            <w:r>
              <w:rPr>
                <w:noProof/>
                <w:webHidden/>
              </w:rPr>
              <w:instrText xml:space="preserve"> PAGEREF _Toc220491951 \h </w:instrText>
            </w:r>
            <w:r>
              <w:rPr>
                <w:noProof/>
                <w:webHidden/>
              </w:rPr>
            </w:r>
            <w:r>
              <w:rPr>
                <w:noProof/>
                <w:webHidden/>
              </w:rPr>
              <w:fldChar w:fldCharType="separate"/>
            </w:r>
            <w:r>
              <w:rPr>
                <w:noProof/>
                <w:webHidden/>
              </w:rPr>
              <w:t>927</w:t>
            </w:r>
            <w:r>
              <w:rPr>
                <w:noProof/>
                <w:webHidden/>
              </w:rPr>
              <w:fldChar w:fldCharType="end"/>
            </w:r>
          </w:hyperlink>
        </w:p>
        <w:p w14:paraId="3B984D44" w14:textId="5A464547"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952" w:history="1">
            <w:r w:rsidRPr="001D4C20">
              <w:rPr>
                <w:rStyle w:val="Lienhypertexte"/>
                <w:noProof/>
              </w:rPr>
              <w:t>58.63 Mobilier de laboratoire - Plans de travail / Tablettes / Panneaux de finition CCTB 01.02</w:t>
            </w:r>
            <w:r>
              <w:rPr>
                <w:noProof/>
                <w:webHidden/>
              </w:rPr>
              <w:tab/>
            </w:r>
            <w:r>
              <w:rPr>
                <w:noProof/>
                <w:webHidden/>
              </w:rPr>
              <w:fldChar w:fldCharType="begin"/>
            </w:r>
            <w:r>
              <w:rPr>
                <w:noProof/>
                <w:webHidden/>
              </w:rPr>
              <w:instrText xml:space="preserve"> PAGEREF _Toc220491952 \h </w:instrText>
            </w:r>
            <w:r>
              <w:rPr>
                <w:noProof/>
                <w:webHidden/>
              </w:rPr>
            </w:r>
            <w:r>
              <w:rPr>
                <w:noProof/>
                <w:webHidden/>
              </w:rPr>
              <w:fldChar w:fldCharType="separate"/>
            </w:r>
            <w:r>
              <w:rPr>
                <w:noProof/>
                <w:webHidden/>
              </w:rPr>
              <w:t>927</w:t>
            </w:r>
            <w:r>
              <w:rPr>
                <w:noProof/>
                <w:webHidden/>
              </w:rPr>
              <w:fldChar w:fldCharType="end"/>
            </w:r>
          </w:hyperlink>
        </w:p>
        <w:p w14:paraId="5CD90989" w14:textId="2C19715F"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53" w:history="1">
            <w:r w:rsidRPr="001D4C20">
              <w:rPr>
                <w:rStyle w:val="Lienhypertexte"/>
                <w:noProof/>
              </w:rPr>
              <w:t>58.63.1 Mobilier de laboratoire - Plans de travail CCTB 01.02</w:t>
            </w:r>
            <w:r>
              <w:rPr>
                <w:noProof/>
                <w:webHidden/>
              </w:rPr>
              <w:tab/>
            </w:r>
            <w:r>
              <w:rPr>
                <w:noProof/>
                <w:webHidden/>
              </w:rPr>
              <w:fldChar w:fldCharType="begin"/>
            </w:r>
            <w:r>
              <w:rPr>
                <w:noProof/>
                <w:webHidden/>
              </w:rPr>
              <w:instrText xml:space="preserve"> PAGEREF _Toc220491953 \h </w:instrText>
            </w:r>
            <w:r>
              <w:rPr>
                <w:noProof/>
                <w:webHidden/>
              </w:rPr>
            </w:r>
            <w:r>
              <w:rPr>
                <w:noProof/>
                <w:webHidden/>
              </w:rPr>
              <w:fldChar w:fldCharType="separate"/>
            </w:r>
            <w:r>
              <w:rPr>
                <w:noProof/>
                <w:webHidden/>
              </w:rPr>
              <w:t>927</w:t>
            </w:r>
            <w:r>
              <w:rPr>
                <w:noProof/>
                <w:webHidden/>
              </w:rPr>
              <w:fldChar w:fldCharType="end"/>
            </w:r>
          </w:hyperlink>
        </w:p>
        <w:p w14:paraId="0D4FB2D3" w14:textId="2CE1B04E"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54" w:history="1">
            <w:r w:rsidRPr="001D4C20">
              <w:rPr>
                <w:rStyle w:val="Lienhypertexte"/>
                <w:noProof/>
              </w:rPr>
              <w:t>58.63.1a Mobilier de laboratoire - Plans de travail CCTB 01.02</w:t>
            </w:r>
            <w:r>
              <w:rPr>
                <w:noProof/>
                <w:webHidden/>
              </w:rPr>
              <w:tab/>
            </w:r>
            <w:r>
              <w:rPr>
                <w:noProof/>
                <w:webHidden/>
              </w:rPr>
              <w:fldChar w:fldCharType="begin"/>
            </w:r>
            <w:r>
              <w:rPr>
                <w:noProof/>
                <w:webHidden/>
              </w:rPr>
              <w:instrText xml:space="preserve"> PAGEREF _Toc220491954 \h </w:instrText>
            </w:r>
            <w:r>
              <w:rPr>
                <w:noProof/>
                <w:webHidden/>
              </w:rPr>
            </w:r>
            <w:r>
              <w:rPr>
                <w:noProof/>
                <w:webHidden/>
              </w:rPr>
              <w:fldChar w:fldCharType="separate"/>
            </w:r>
            <w:r>
              <w:rPr>
                <w:noProof/>
                <w:webHidden/>
              </w:rPr>
              <w:t>927</w:t>
            </w:r>
            <w:r>
              <w:rPr>
                <w:noProof/>
                <w:webHidden/>
              </w:rPr>
              <w:fldChar w:fldCharType="end"/>
            </w:r>
          </w:hyperlink>
        </w:p>
        <w:p w14:paraId="458C0B43" w14:textId="419D390A"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55" w:history="1">
            <w:r w:rsidRPr="001D4C20">
              <w:rPr>
                <w:rStyle w:val="Lienhypertexte"/>
                <w:noProof/>
              </w:rPr>
              <w:t>58.63.2 Mobilier de laboratoire - Tablettes CCTB 01.02</w:t>
            </w:r>
            <w:r>
              <w:rPr>
                <w:noProof/>
                <w:webHidden/>
              </w:rPr>
              <w:tab/>
            </w:r>
            <w:r>
              <w:rPr>
                <w:noProof/>
                <w:webHidden/>
              </w:rPr>
              <w:fldChar w:fldCharType="begin"/>
            </w:r>
            <w:r>
              <w:rPr>
                <w:noProof/>
                <w:webHidden/>
              </w:rPr>
              <w:instrText xml:space="preserve"> PAGEREF _Toc220491955 \h </w:instrText>
            </w:r>
            <w:r>
              <w:rPr>
                <w:noProof/>
                <w:webHidden/>
              </w:rPr>
            </w:r>
            <w:r>
              <w:rPr>
                <w:noProof/>
                <w:webHidden/>
              </w:rPr>
              <w:fldChar w:fldCharType="separate"/>
            </w:r>
            <w:r>
              <w:rPr>
                <w:noProof/>
                <w:webHidden/>
              </w:rPr>
              <w:t>927</w:t>
            </w:r>
            <w:r>
              <w:rPr>
                <w:noProof/>
                <w:webHidden/>
              </w:rPr>
              <w:fldChar w:fldCharType="end"/>
            </w:r>
          </w:hyperlink>
        </w:p>
        <w:p w14:paraId="2898F58A" w14:textId="2FB3026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56" w:history="1">
            <w:r w:rsidRPr="001D4C20">
              <w:rPr>
                <w:rStyle w:val="Lienhypertexte"/>
                <w:noProof/>
              </w:rPr>
              <w:t>58.63.2a Mobilier de laboratoire - Tablettes CCTB 01.02</w:t>
            </w:r>
            <w:r>
              <w:rPr>
                <w:noProof/>
                <w:webHidden/>
              </w:rPr>
              <w:tab/>
            </w:r>
            <w:r>
              <w:rPr>
                <w:noProof/>
                <w:webHidden/>
              </w:rPr>
              <w:fldChar w:fldCharType="begin"/>
            </w:r>
            <w:r>
              <w:rPr>
                <w:noProof/>
                <w:webHidden/>
              </w:rPr>
              <w:instrText xml:space="preserve"> PAGEREF _Toc220491956 \h </w:instrText>
            </w:r>
            <w:r>
              <w:rPr>
                <w:noProof/>
                <w:webHidden/>
              </w:rPr>
            </w:r>
            <w:r>
              <w:rPr>
                <w:noProof/>
                <w:webHidden/>
              </w:rPr>
              <w:fldChar w:fldCharType="separate"/>
            </w:r>
            <w:r>
              <w:rPr>
                <w:noProof/>
                <w:webHidden/>
              </w:rPr>
              <w:t>927</w:t>
            </w:r>
            <w:r>
              <w:rPr>
                <w:noProof/>
                <w:webHidden/>
              </w:rPr>
              <w:fldChar w:fldCharType="end"/>
            </w:r>
          </w:hyperlink>
        </w:p>
        <w:p w14:paraId="0F106DB4" w14:textId="2A129752"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57" w:history="1">
            <w:r w:rsidRPr="001D4C20">
              <w:rPr>
                <w:rStyle w:val="Lienhypertexte"/>
                <w:noProof/>
              </w:rPr>
              <w:t>58.63.3 Mobilier de laboratoire - Panneaux de finition (façades, joues, plinthes) CCTB 01.02</w:t>
            </w:r>
            <w:r>
              <w:rPr>
                <w:noProof/>
                <w:webHidden/>
              </w:rPr>
              <w:tab/>
            </w:r>
            <w:r>
              <w:rPr>
                <w:noProof/>
                <w:webHidden/>
              </w:rPr>
              <w:fldChar w:fldCharType="begin"/>
            </w:r>
            <w:r>
              <w:rPr>
                <w:noProof/>
                <w:webHidden/>
              </w:rPr>
              <w:instrText xml:space="preserve"> PAGEREF _Toc220491957 \h </w:instrText>
            </w:r>
            <w:r>
              <w:rPr>
                <w:noProof/>
                <w:webHidden/>
              </w:rPr>
            </w:r>
            <w:r>
              <w:rPr>
                <w:noProof/>
                <w:webHidden/>
              </w:rPr>
              <w:fldChar w:fldCharType="separate"/>
            </w:r>
            <w:r>
              <w:rPr>
                <w:noProof/>
                <w:webHidden/>
              </w:rPr>
              <w:t>927</w:t>
            </w:r>
            <w:r>
              <w:rPr>
                <w:noProof/>
                <w:webHidden/>
              </w:rPr>
              <w:fldChar w:fldCharType="end"/>
            </w:r>
          </w:hyperlink>
        </w:p>
        <w:p w14:paraId="044D3935" w14:textId="16A0E54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58" w:history="1">
            <w:r w:rsidRPr="001D4C20">
              <w:rPr>
                <w:rStyle w:val="Lienhypertexte"/>
                <w:noProof/>
              </w:rPr>
              <w:t>58.63.3a Mobilier de laboratoire - Panneaux de finition (façades, joues, plinthes) CCTB 01.02</w:t>
            </w:r>
            <w:r>
              <w:rPr>
                <w:noProof/>
                <w:webHidden/>
              </w:rPr>
              <w:tab/>
            </w:r>
            <w:r>
              <w:rPr>
                <w:noProof/>
                <w:webHidden/>
              </w:rPr>
              <w:fldChar w:fldCharType="begin"/>
            </w:r>
            <w:r>
              <w:rPr>
                <w:noProof/>
                <w:webHidden/>
              </w:rPr>
              <w:instrText xml:space="preserve"> PAGEREF _Toc220491958 \h </w:instrText>
            </w:r>
            <w:r>
              <w:rPr>
                <w:noProof/>
                <w:webHidden/>
              </w:rPr>
            </w:r>
            <w:r>
              <w:rPr>
                <w:noProof/>
                <w:webHidden/>
              </w:rPr>
              <w:fldChar w:fldCharType="separate"/>
            </w:r>
            <w:r>
              <w:rPr>
                <w:noProof/>
                <w:webHidden/>
              </w:rPr>
              <w:t>927</w:t>
            </w:r>
            <w:r>
              <w:rPr>
                <w:noProof/>
                <w:webHidden/>
              </w:rPr>
              <w:fldChar w:fldCharType="end"/>
            </w:r>
          </w:hyperlink>
        </w:p>
        <w:p w14:paraId="21985D2E" w14:textId="64D9063E"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959" w:history="1">
            <w:r w:rsidRPr="001D4C20">
              <w:rPr>
                <w:rStyle w:val="Lienhypertexte"/>
                <w:noProof/>
              </w:rPr>
              <w:t>58.64 Mobilier de laboratoire - Quincaillerie complémentaire CCTB 01.02</w:t>
            </w:r>
            <w:r>
              <w:rPr>
                <w:noProof/>
                <w:webHidden/>
              </w:rPr>
              <w:tab/>
            </w:r>
            <w:r>
              <w:rPr>
                <w:noProof/>
                <w:webHidden/>
              </w:rPr>
              <w:fldChar w:fldCharType="begin"/>
            </w:r>
            <w:r>
              <w:rPr>
                <w:noProof/>
                <w:webHidden/>
              </w:rPr>
              <w:instrText xml:space="preserve"> PAGEREF _Toc220491959 \h </w:instrText>
            </w:r>
            <w:r>
              <w:rPr>
                <w:noProof/>
                <w:webHidden/>
              </w:rPr>
            </w:r>
            <w:r>
              <w:rPr>
                <w:noProof/>
                <w:webHidden/>
              </w:rPr>
              <w:fldChar w:fldCharType="separate"/>
            </w:r>
            <w:r>
              <w:rPr>
                <w:noProof/>
                <w:webHidden/>
              </w:rPr>
              <w:t>927</w:t>
            </w:r>
            <w:r>
              <w:rPr>
                <w:noProof/>
                <w:webHidden/>
              </w:rPr>
              <w:fldChar w:fldCharType="end"/>
            </w:r>
          </w:hyperlink>
        </w:p>
        <w:p w14:paraId="6D3B66A7" w14:textId="1D4EAB97"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60" w:history="1">
            <w:r w:rsidRPr="001D4C20">
              <w:rPr>
                <w:rStyle w:val="Lienhypertexte"/>
                <w:noProof/>
              </w:rPr>
              <w:t>58.64.1 Mobilier de laboratoire - Quincaillerie complémentaire - Poignées et tirants CCTB 01.02</w:t>
            </w:r>
            <w:r>
              <w:rPr>
                <w:noProof/>
                <w:webHidden/>
              </w:rPr>
              <w:tab/>
            </w:r>
            <w:r>
              <w:rPr>
                <w:noProof/>
                <w:webHidden/>
              </w:rPr>
              <w:fldChar w:fldCharType="begin"/>
            </w:r>
            <w:r>
              <w:rPr>
                <w:noProof/>
                <w:webHidden/>
              </w:rPr>
              <w:instrText xml:space="preserve"> PAGEREF _Toc220491960 \h </w:instrText>
            </w:r>
            <w:r>
              <w:rPr>
                <w:noProof/>
                <w:webHidden/>
              </w:rPr>
            </w:r>
            <w:r>
              <w:rPr>
                <w:noProof/>
                <w:webHidden/>
              </w:rPr>
              <w:fldChar w:fldCharType="separate"/>
            </w:r>
            <w:r>
              <w:rPr>
                <w:noProof/>
                <w:webHidden/>
              </w:rPr>
              <w:t>927</w:t>
            </w:r>
            <w:r>
              <w:rPr>
                <w:noProof/>
                <w:webHidden/>
              </w:rPr>
              <w:fldChar w:fldCharType="end"/>
            </w:r>
          </w:hyperlink>
        </w:p>
        <w:p w14:paraId="1ADE16AC" w14:textId="61FA0F1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61" w:history="1">
            <w:r w:rsidRPr="001D4C20">
              <w:rPr>
                <w:rStyle w:val="Lienhypertexte"/>
                <w:noProof/>
              </w:rPr>
              <w:t>58.64.1a Mobilier de laboratoire - Quincaillerie complémentaire - Poignées et tirants CCTB 01.02</w:t>
            </w:r>
            <w:r>
              <w:rPr>
                <w:noProof/>
                <w:webHidden/>
              </w:rPr>
              <w:tab/>
            </w:r>
            <w:r>
              <w:rPr>
                <w:noProof/>
                <w:webHidden/>
              </w:rPr>
              <w:fldChar w:fldCharType="begin"/>
            </w:r>
            <w:r>
              <w:rPr>
                <w:noProof/>
                <w:webHidden/>
              </w:rPr>
              <w:instrText xml:space="preserve"> PAGEREF _Toc220491961 \h </w:instrText>
            </w:r>
            <w:r>
              <w:rPr>
                <w:noProof/>
                <w:webHidden/>
              </w:rPr>
            </w:r>
            <w:r>
              <w:rPr>
                <w:noProof/>
                <w:webHidden/>
              </w:rPr>
              <w:fldChar w:fldCharType="separate"/>
            </w:r>
            <w:r>
              <w:rPr>
                <w:noProof/>
                <w:webHidden/>
              </w:rPr>
              <w:t>927</w:t>
            </w:r>
            <w:r>
              <w:rPr>
                <w:noProof/>
                <w:webHidden/>
              </w:rPr>
              <w:fldChar w:fldCharType="end"/>
            </w:r>
          </w:hyperlink>
        </w:p>
        <w:p w14:paraId="55187DA7" w14:textId="0EBD8E67"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62" w:history="1">
            <w:r w:rsidRPr="001D4C20">
              <w:rPr>
                <w:rStyle w:val="Lienhypertexte"/>
                <w:noProof/>
              </w:rPr>
              <w:t>58.64.2 Mobilier de laboratoire - Quincaillerie complémentaire - Charnières CCTB 01.02</w:t>
            </w:r>
            <w:r>
              <w:rPr>
                <w:noProof/>
                <w:webHidden/>
              </w:rPr>
              <w:tab/>
            </w:r>
            <w:r>
              <w:rPr>
                <w:noProof/>
                <w:webHidden/>
              </w:rPr>
              <w:fldChar w:fldCharType="begin"/>
            </w:r>
            <w:r>
              <w:rPr>
                <w:noProof/>
                <w:webHidden/>
              </w:rPr>
              <w:instrText xml:space="preserve"> PAGEREF _Toc220491962 \h </w:instrText>
            </w:r>
            <w:r>
              <w:rPr>
                <w:noProof/>
                <w:webHidden/>
              </w:rPr>
            </w:r>
            <w:r>
              <w:rPr>
                <w:noProof/>
                <w:webHidden/>
              </w:rPr>
              <w:fldChar w:fldCharType="separate"/>
            </w:r>
            <w:r>
              <w:rPr>
                <w:noProof/>
                <w:webHidden/>
              </w:rPr>
              <w:t>927</w:t>
            </w:r>
            <w:r>
              <w:rPr>
                <w:noProof/>
                <w:webHidden/>
              </w:rPr>
              <w:fldChar w:fldCharType="end"/>
            </w:r>
          </w:hyperlink>
        </w:p>
        <w:p w14:paraId="27996036" w14:textId="185D380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63" w:history="1">
            <w:r w:rsidRPr="001D4C20">
              <w:rPr>
                <w:rStyle w:val="Lienhypertexte"/>
                <w:noProof/>
              </w:rPr>
              <w:t>58.64.2a Mobilier de laboratoire - Quincaillerie complémentaire - Charnières CCTB 01.02</w:t>
            </w:r>
            <w:r>
              <w:rPr>
                <w:noProof/>
                <w:webHidden/>
              </w:rPr>
              <w:tab/>
            </w:r>
            <w:r>
              <w:rPr>
                <w:noProof/>
                <w:webHidden/>
              </w:rPr>
              <w:fldChar w:fldCharType="begin"/>
            </w:r>
            <w:r>
              <w:rPr>
                <w:noProof/>
                <w:webHidden/>
              </w:rPr>
              <w:instrText xml:space="preserve"> PAGEREF _Toc220491963 \h </w:instrText>
            </w:r>
            <w:r>
              <w:rPr>
                <w:noProof/>
                <w:webHidden/>
              </w:rPr>
            </w:r>
            <w:r>
              <w:rPr>
                <w:noProof/>
                <w:webHidden/>
              </w:rPr>
              <w:fldChar w:fldCharType="separate"/>
            </w:r>
            <w:r>
              <w:rPr>
                <w:noProof/>
                <w:webHidden/>
              </w:rPr>
              <w:t>927</w:t>
            </w:r>
            <w:r>
              <w:rPr>
                <w:noProof/>
                <w:webHidden/>
              </w:rPr>
              <w:fldChar w:fldCharType="end"/>
            </w:r>
          </w:hyperlink>
        </w:p>
        <w:p w14:paraId="420CCAB6" w14:textId="2D2DA489"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64" w:history="1">
            <w:r w:rsidRPr="001D4C20">
              <w:rPr>
                <w:rStyle w:val="Lienhypertexte"/>
                <w:noProof/>
              </w:rPr>
              <w:t>58.64.3 Mobilier de laboratoire - Quincaillerie complémentaire - Rails et glissières CCTB 01.02</w:t>
            </w:r>
            <w:r>
              <w:rPr>
                <w:noProof/>
                <w:webHidden/>
              </w:rPr>
              <w:tab/>
            </w:r>
            <w:r>
              <w:rPr>
                <w:noProof/>
                <w:webHidden/>
              </w:rPr>
              <w:fldChar w:fldCharType="begin"/>
            </w:r>
            <w:r>
              <w:rPr>
                <w:noProof/>
                <w:webHidden/>
              </w:rPr>
              <w:instrText xml:space="preserve"> PAGEREF _Toc220491964 \h </w:instrText>
            </w:r>
            <w:r>
              <w:rPr>
                <w:noProof/>
                <w:webHidden/>
              </w:rPr>
            </w:r>
            <w:r>
              <w:rPr>
                <w:noProof/>
                <w:webHidden/>
              </w:rPr>
              <w:fldChar w:fldCharType="separate"/>
            </w:r>
            <w:r>
              <w:rPr>
                <w:noProof/>
                <w:webHidden/>
              </w:rPr>
              <w:t>927</w:t>
            </w:r>
            <w:r>
              <w:rPr>
                <w:noProof/>
                <w:webHidden/>
              </w:rPr>
              <w:fldChar w:fldCharType="end"/>
            </w:r>
          </w:hyperlink>
        </w:p>
        <w:p w14:paraId="7FC992D0" w14:textId="6F5B0CF3"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65" w:history="1">
            <w:r w:rsidRPr="001D4C20">
              <w:rPr>
                <w:rStyle w:val="Lienhypertexte"/>
                <w:noProof/>
              </w:rPr>
              <w:t>58.64.3a Mobilier de laboratoire - Quincaillerie complémentaire - Rails et glissières CCTB 01.02</w:t>
            </w:r>
            <w:r>
              <w:rPr>
                <w:noProof/>
                <w:webHidden/>
              </w:rPr>
              <w:tab/>
            </w:r>
            <w:r>
              <w:rPr>
                <w:noProof/>
                <w:webHidden/>
              </w:rPr>
              <w:fldChar w:fldCharType="begin"/>
            </w:r>
            <w:r>
              <w:rPr>
                <w:noProof/>
                <w:webHidden/>
              </w:rPr>
              <w:instrText xml:space="preserve"> PAGEREF _Toc220491965 \h </w:instrText>
            </w:r>
            <w:r>
              <w:rPr>
                <w:noProof/>
                <w:webHidden/>
              </w:rPr>
            </w:r>
            <w:r>
              <w:rPr>
                <w:noProof/>
                <w:webHidden/>
              </w:rPr>
              <w:fldChar w:fldCharType="separate"/>
            </w:r>
            <w:r>
              <w:rPr>
                <w:noProof/>
                <w:webHidden/>
              </w:rPr>
              <w:t>927</w:t>
            </w:r>
            <w:r>
              <w:rPr>
                <w:noProof/>
                <w:webHidden/>
              </w:rPr>
              <w:fldChar w:fldCharType="end"/>
            </w:r>
          </w:hyperlink>
        </w:p>
        <w:p w14:paraId="73122893" w14:textId="67E2DF92"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966" w:history="1">
            <w:r w:rsidRPr="001D4C20">
              <w:rPr>
                <w:rStyle w:val="Lienhypertexte"/>
                <w:noProof/>
              </w:rPr>
              <w:t>58.65 Mobilier de laboratoire - Accessoires CCTB 01.02</w:t>
            </w:r>
            <w:r>
              <w:rPr>
                <w:noProof/>
                <w:webHidden/>
              </w:rPr>
              <w:tab/>
            </w:r>
            <w:r>
              <w:rPr>
                <w:noProof/>
                <w:webHidden/>
              </w:rPr>
              <w:fldChar w:fldCharType="begin"/>
            </w:r>
            <w:r>
              <w:rPr>
                <w:noProof/>
                <w:webHidden/>
              </w:rPr>
              <w:instrText xml:space="preserve"> PAGEREF _Toc220491966 \h </w:instrText>
            </w:r>
            <w:r>
              <w:rPr>
                <w:noProof/>
                <w:webHidden/>
              </w:rPr>
            </w:r>
            <w:r>
              <w:rPr>
                <w:noProof/>
                <w:webHidden/>
              </w:rPr>
              <w:fldChar w:fldCharType="separate"/>
            </w:r>
            <w:r>
              <w:rPr>
                <w:noProof/>
                <w:webHidden/>
              </w:rPr>
              <w:t>927</w:t>
            </w:r>
            <w:r>
              <w:rPr>
                <w:noProof/>
                <w:webHidden/>
              </w:rPr>
              <w:fldChar w:fldCharType="end"/>
            </w:r>
          </w:hyperlink>
        </w:p>
        <w:p w14:paraId="1AAB88B7" w14:textId="14DD90D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67" w:history="1">
            <w:r w:rsidRPr="001D4C20">
              <w:rPr>
                <w:rStyle w:val="Lienhypertexte"/>
                <w:noProof/>
              </w:rPr>
              <w:t>58.65.1 Mobilier de laboratoire - Accessoires CCTB 01.02</w:t>
            </w:r>
            <w:r>
              <w:rPr>
                <w:noProof/>
                <w:webHidden/>
              </w:rPr>
              <w:tab/>
            </w:r>
            <w:r>
              <w:rPr>
                <w:noProof/>
                <w:webHidden/>
              </w:rPr>
              <w:fldChar w:fldCharType="begin"/>
            </w:r>
            <w:r>
              <w:rPr>
                <w:noProof/>
                <w:webHidden/>
              </w:rPr>
              <w:instrText xml:space="preserve"> PAGEREF _Toc220491967 \h </w:instrText>
            </w:r>
            <w:r>
              <w:rPr>
                <w:noProof/>
                <w:webHidden/>
              </w:rPr>
            </w:r>
            <w:r>
              <w:rPr>
                <w:noProof/>
                <w:webHidden/>
              </w:rPr>
              <w:fldChar w:fldCharType="separate"/>
            </w:r>
            <w:r>
              <w:rPr>
                <w:noProof/>
                <w:webHidden/>
              </w:rPr>
              <w:t>927</w:t>
            </w:r>
            <w:r>
              <w:rPr>
                <w:noProof/>
                <w:webHidden/>
              </w:rPr>
              <w:fldChar w:fldCharType="end"/>
            </w:r>
          </w:hyperlink>
        </w:p>
        <w:p w14:paraId="41A88AF4" w14:textId="13618FCD"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68" w:history="1">
            <w:r w:rsidRPr="001D4C20">
              <w:rPr>
                <w:rStyle w:val="Lienhypertexte"/>
                <w:noProof/>
              </w:rPr>
              <w:t>58.65.1a Mobilier de laboratoire - Accessoires CCTB 01.02</w:t>
            </w:r>
            <w:r>
              <w:rPr>
                <w:noProof/>
                <w:webHidden/>
              </w:rPr>
              <w:tab/>
            </w:r>
            <w:r>
              <w:rPr>
                <w:noProof/>
                <w:webHidden/>
              </w:rPr>
              <w:fldChar w:fldCharType="begin"/>
            </w:r>
            <w:r>
              <w:rPr>
                <w:noProof/>
                <w:webHidden/>
              </w:rPr>
              <w:instrText xml:space="preserve"> PAGEREF _Toc220491968 \h </w:instrText>
            </w:r>
            <w:r>
              <w:rPr>
                <w:noProof/>
                <w:webHidden/>
              </w:rPr>
            </w:r>
            <w:r>
              <w:rPr>
                <w:noProof/>
                <w:webHidden/>
              </w:rPr>
              <w:fldChar w:fldCharType="separate"/>
            </w:r>
            <w:r>
              <w:rPr>
                <w:noProof/>
                <w:webHidden/>
              </w:rPr>
              <w:t>927</w:t>
            </w:r>
            <w:r>
              <w:rPr>
                <w:noProof/>
                <w:webHidden/>
              </w:rPr>
              <w:fldChar w:fldCharType="end"/>
            </w:r>
          </w:hyperlink>
        </w:p>
        <w:p w14:paraId="79E78E80" w14:textId="5B8C7BDF"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969" w:history="1">
            <w:r w:rsidRPr="001D4C20">
              <w:rPr>
                <w:rStyle w:val="Lienhypertexte"/>
                <w:noProof/>
              </w:rPr>
              <w:t>58.7 Mobilier intérieur - Eléments particuliers  CCTB 01.02</w:t>
            </w:r>
            <w:r>
              <w:rPr>
                <w:noProof/>
                <w:webHidden/>
              </w:rPr>
              <w:tab/>
            </w:r>
            <w:r>
              <w:rPr>
                <w:noProof/>
                <w:webHidden/>
              </w:rPr>
              <w:fldChar w:fldCharType="begin"/>
            </w:r>
            <w:r>
              <w:rPr>
                <w:noProof/>
                <w:webHidden/>
              </w:rPr>
              <w:instrText xml:space="preserve"> PAGEREF _Toc220491969 \h </w:instrText>
            </w:r>
            <w:r>
              <w:rPr>
                <w:noProof/>
                <w:webHidden/>
              </w:rPr>
            </w:r>
            <w:r>
              <w:rPr>
                <w:noProof/>
                <w:webHidden/>
              </w:rPr>
              <w:fldChar w:fldCharType="separate"/>
            </w:r>
            <w:r>
              <w:rPr>
                <w:noProof/>
                <w:webHidden/>
              </w:rPr>
              <w:t>928</w:t>
            </w:r>
            <w:r>
              <w:rPr>
                <w:noProof/>
                <w:webHidden/>
              </w:rPr>
              <w:fldChar w:fldCharType="end"/>
            </w:r>
          </w:hyperlink>
        </w:p>
        <w:p w14:paraId="4352B8DD" w14:textId="35D6A7E1"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970" w:history="1">
            <w:r w:rsidRPr="001D4C20">
              <w:rPr>
                <w:rStyle w:val="Lienhypertexte"/>
                <w:noProof/>
              </w:rPr>
              <w:t>58.71 Mobilier intérieur - Eléments particuliers - Boîtes aux lettres CCTB 01.13</w:t>
            </w:r>
            <w:r>
              <w:rPr>
                <w:noProof/>
                <w:webHidden/>
              </w:rPr>
              <w:tab/>
            </w:r>
            <w:r>
              <w:rPr>
                <w:noProof/>
                <w:webHidden/>
              </w:rPr>
              <w:fldChar w:fldCharType="begin"/>
            </w:r>
            <w:r>
              <w:rPr>
                <w:noProof/>
                <w:webHidden/>
              </w:rPr>
              <w:instrText xml:space="preserve"> PAGEREF _Toc220491970 \h </w:instrText>
            </w:r>
            <w:r>
              <w:rPr>
                <w:noProof/>
                <w:webHidden/>
              </w:rPr>
            </w:r>
            <w:r>
              <w:rPr>
                <w:noProof/>
                <w:webHidden/>
              </w:rPr>
              <w:fldChar w:fldCharType="separate"/>
            </w:r>
            <w:r>
              <w:rPr>
                <w:noProof/>
                <w:webHidden/>
              </w:rPr>
              <w:t>928</w:t>
            </w:r>
            <w:r>
              <w:rPr>
                <w:noProof/>
                <w:webHidden/>
              </w:rPr>
              <w:fldChar w:fldCharType="end"/>
            </w:r>
          </w:hyperlink>
        </w:p>
        <w:p w14:paraId="578AD392" w14:textId="387C989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71" w:history="1">
            <w:r w:rsidRPr="001D4C20">
              <w:rPr>
                <w:rStyle w:val="Lienhypertexte"/>
                <w:noProof/>
              </w:rPr>
              <w:t>58.71.1 Mobilier intérieur - Eléments particuliers - Boîtes aux lettres CCTB 01.02</w:t>
            </w:r>
            <w:r>
              <w:rPr>
                <w:noProof/>
                <w:webHidden/>
              </w:rPr>
              <w:tab/>
            </w:r>
            <w:r>
              <w:rPr>
                <w:noProof/>
                <w:webHidden/>
              </w:rPr>
              <w:fldChar w:fldCharType="begin"/>
            </w:r>
            <w:r>
              <w:rPr>
                <w:noProof/>
                <w:webHidden/>
              </w:rPr>
              <w:instrText xml:space="preserve"> PAGEREF _Toc220491971 \h </w:instrText>
            </w:r>
            <w:r>
              <w:rPr>
                <w:noProof/>
                <w:webHidden/>
              </w:rPr>
            </w:r>
            <w:r>
              <w:rPr>
                <w:noProof/>
                <w:webHidden/>
              </w:rPr>
              <w:fldChar w:fldCharType="separate"/>
            </w:r>
            <w:r>
              <w:rPr>
                <w:noProof/>
                <w:webHidden/>
              </w:rPr>
              <w:t>928</w:t>
            </w:r>
            <w:r>
              <w:rPr>
                <w:noProof/>
                <w:webHidden/>
              </w:rPr>
              <w:fldChar w:fldCharType="end"/>
            </w:r>
          </w:hyperlink>
        </w:p>
        <w:p w14:paraId="03E3675A" w14:textId="5F33B3B9"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72" w:history="1">
            <w:r w:rsidRPr="001D4C20">
              <w:rPr>
                <w:rStyle w:val="Lienhypertexte"/>
                <w:noProof/>
              </w:rPr>
              <w:t>58.71.1a Mobilier intérieur - Eléments particuliers - Boîtes aux lettres CCTB 01.10</w:t>
            </w:r>
            <w:r>
              <w:rPr>
                <w:noProof/>
                <w:webHidden/>
              </w:rPr>
              <w:tab/>
            </w:r>
            <w:r>
              <w:rPr>
                <w:noProof/>
                <w:webHidden/>
              </w:rPr>
              <w:fldChar w:fldCharType="begin"/>
            </w:r>
            <w:r>
              <w:rPr>
                <w:noProof/>
                <w:webHidden/>
              </w:rPr>
              <w:instrText xml:space="preserve"> PAGEREF _Toc220491972 \h </w:instrText>
            </w:r>
            <w:r>
              <w:rPr>
                <w:noProof/>
                <w:webHidden/>
              </w:rPr>
            </w:r>
            <w:r>
              <w:rPr>
                <w:noProof/>
                <w:webHidden/>
              </w:rPr>
              <w:fldChar w:fldCharType="separate"/>
            </w:r>
            <w:r>
              <w:rPr>
                <w:noProof/>
                <w:webHidden/>
              </w:rPr>
              <w:t>928</w:t>
            </w:r>
            <w:r>
              <w:rPr>
                <w:noProof/>
                <w:webHidden/>
              </w:rPr>
              <w:fldChar w:fldCharType="end"/>
            </w:r>
          </w:hyperlink>
        </w:p>
        <w:p w14:paraId="46009CF8" w14:textId="7A3683AB"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973" w:history="1">
            <w:r w:rsidRPr="001D4C20">
              <w:rPr>
                <w:rStyle w:val="Lienhypertexte"/>
                <w:noProof/>
              </w:rPr>
              <w:t>58.72 Mobilier intérieur - Eléments particuliers - Consoles pour parlophone CCTB 01.02</w:t>
            </w:r>
            <w:r>
              <w:rPr>
                <w:noProof/>
                <w:webHidden/>
              </w:rPr>
              <w:tab/>
            </w:r>
            <w:r>
              <w:rPr>
                <w:noProof/>
                <w:webHidden/>
              </w:rPr>
              <w:fldChar w:fldCharType="begin"/>
            </w:r>
            <w:r>
              <w:rPr>
                <w:noProof/>
                <w:webHidden/>
              </w:rPr>
              <w:instrText xml:space="preserve"> PAGEREF _Toc220491973 \h </w:instrText>
            </w:r>
            <w:r>
              <w:rPr>
                <w:noProof/>
                <w:webHidden/>
              </w:rPr>
            </w:r>
            <w:r>
              <w:rPr>
                <w:noProof/>
                <w:webHidden/>
              </w:rPr>
              <w:fldChar w:fldCharType="separate"/>
            </w:r>
            <w:r>
              <w:rPr>
                <w:noProof/>
                <w:webHidden/>
              </w:rPr>
              <w:t>930</w:t>
            </w:r>
            <w:r>
              <w:rPr>
                <w:noProof/>
                <w:webHidden/>
              </w:rPr>
              <w:fldChar w:fldCharType="end"/>
            </w:r>
          </w:hyperlink>
        </w:p>
        <w:p w14:paraId="2092B58E" w14:textId="2537136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74" w:history="1">
            <w:r w:rsidRPr="001D4C20">
              <w:rPr>
                <w:rStyle w:val="Lienhypertexte"/>
                <w:noProof/>
              </w:rPr>
              <w:t>58.72.1 Mobilier intérieur - Eléments particuliers - Consoles pour parlophone CCTB 01.02</w:t>
            </w:r>
            <w:r>
              <w:rPr>
                <w:noProof/>
                <w:webHidden/>
              </w:rPr>
              <w:tab/>
            </w:r>
            <w:r>
              <w:rPr>
                <w:noProof/>
                <w:webHidden/>
              </w:rPr>
              <w:fldChar w:fldCharType="begin"/>
            </w:r>
            <w:r>
              <w:rPr>
                <w:noProof/>
                <w:webHidden/>
              </w:rPr>
              <w:instrText xml:space="preserve"> PAGEREF _Toc220491974 \h </w:instrText>
            </w:r>
            <w:r>
              <w:rPr>
                <w:noProof/>
                <w:webHidden/>
              </w:rPr>
            </w:r>
            <w:r>
              <w:rPr>
                <w:noProof/>
                <w:webHidden/>
              </w:rPr>
              <w:fldChar w:fldCharType="separate"/>
            </w:r>
            <w:r>
              <w:rPr>
                <w:noProof/>
                <w:webHidden/>
              </w:rPr>
              <w:t>930</w:t>
            </w:r>
            <w:r>
              <w:rPr>
                <w:noProof/>
                <w:webHidden/>
              </w:rPr>
              <w:fldChar w:fldCharType="end"/>
            </w:r>
          </w:hyperlink>
        </w:p>
        <w:p w14:paraId="374BCBCC" w14:textId="1991070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75" w:history="1">
            <w:r w:rsidRPr="001D4C20">
              <w:rPr>
                <w:rStyle w:val="Lienhypertexte"/>
                <w:noProof/>
              </w:rPr>
              <w:t>58.72.1a Mobilier intérieur - Eléments particuliers - Consoles pour parlophone CCTB 01.10</w:t>
            </w:r>
            <w:r>
              <w:rPr>
                <w:noProof/>
                <w:webHidden/>
              </w:rPr>
              <w:tab/>
            </w:r>
            <w:r>
              <w:rPr>
                <w:noProof/>
                <w:webHidden/>
              </w:rPr>
              <w:fldChar w:fldCharType="begin"/>
            </w:r>
            <w:r>
              <w:rPr>
                <w:noProof/>
                <w:webHidden/>
              </w:rPr>
              <w:instrText xml:space="preserve"> PAGEREF _Toc220491975 \h </w:instrText>
            </w:r>
            <w:r>
              <w:rPr>
                <w:noProof/>
                <w:webHidden/>
              </w:rPr>
            </w:r>
            <w:r>
              <w:rPr>
                <w:noProof/>
                <w:webHidden/>
              </w:rPr>
              <w:fldChar w:fldCharType="separate"/>
            </w:r>
            <w:r>
              <w:rPr>
                <w:noProof/>
                <w:webHidden/>
              </w:rPr>
              <w:t>930</w:t>
            </w:r>
            <w:r>
              <w:rPr>
                <w:noProof/>
                <w:webHidden/>
              </w:rPr>
              <w:fldChar w:fldCharType="end"/>
            </w:r>
          </w:hyperlink>
        </w:p>
        <w:p w14:paraId="71D62853" w14:textId="57313503"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976" w:history="1">
            <w:r w:rsidRPr="001D4C20">
              <w:rPr>
                <w:rStyle w:val="Lienhypertexte"/>
                <w:noProof/>
              </w:rPr>
              <w:t>58.73 Mobilier intérieur - Eléments particuliers - Barrière de sécurité - de guidage CCTB 01.02</w:t>
            </w:r>
            <w:r>
              <w:rPr>
                <w:noProof/>
                <w:webHidden/>
              </w:rPr>
              <w:tab/>
            </w:r>
            <w:r>
              <w:rPr>
                <w:noProof/>
                <w:webHidden/>
              </w:rPr>
              <w:fldChar w:fldCharType="begin"/>
            </w:r>
            <w:r>
              <w:rPr>
                <w:noProof/>
                <w:webHidden/>
              </w:rPr>
              <w:instrText xml:space="preserve"> PAGEREF _Toc220491976 \h </w:instrText>
            </w:r>
            <w:r>
              <w:rPr>
                <w:noProof/>
                <w:webHidden/>
              </w:rPr>
            </w:r>
            <w:r>
              <w:rPr>
                <w:noProof/>
                <w:webHidden/>
              </w:rPr>
              <w:fldChar w:fldCharType="separate"/>
            </w:r>
            <w:r>
              <w:rPr>
                <w:noProof/>
                <w:webHidden/>
              </w:rPr>
              <w:t>931</w:t>
            </w:r>
            <w:r>
              <w:rPr>
                <w:noProof/>
                <w:webHidden/>
              </w:rPr>
              <w:fldChar w:fldCharType="end"/>
            </w:r>
          </w:hyperlink>
        </w:p>
        <w:p w14:paraId="3FD5E27A" w14:textId="41608379"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77" w:history="1">
            <w:r w:rsidRPr="001D4C20">
              <w:rPr>
                <w:rStyle w:val="Lienhypertexte"/>
                <w:noProof/>
              </w:rPr>
              <w:t>58.73.1 Mobilier intérieur - Eléments particuliers - Barrière de sécurité - de guidage en bois CCTB 01.02</w:t>
            </w:r>
            <w:r>
              <w:rPr>
                <w:noProof/>
                <w:webHidden/>
              </w:rPr>
              <w:tab/>
            </w:r>
            <w:r>
              <w:rPr>
                <w:noProof/>
                <w:webHidden/>
              </w:rPr>
              <w:fldChar w:fldCharType="begin"/>
            </w:r>
            <w:r>
              <w:rPr>
                <w:noProof/>
                <w:webHidden/>
              </w:rPr>
              <w:instrText xml:space="preserve"> PAGEREF _Toc220491977 \h </w:instrText>
            </w:r>
            <w:r>
              <w:rPr>
                <w:noProof/>
                <w:webHidden/>
              </w:rPr>
            </w:r>
            <w:r>
              <w:rPr>
                <w:noProof/>
                <w:webHidden/>
              </w:rPr>
              <w:fldChar w:fldCharType="separate"/>
            </w:r>
            <w:r>
              <w:rPr>
                <w:noProof/>
                <w:webHidden/>
              </w:rPr>
              <w:t>931</w:t>
            </w:r>
            <w:r>
              <w:rPr>
                <w:noProof/>
                <w:webHidden/>
              </w:rPr>
              <w:fldChar w:fldCharType="end"/>
            </w:r>
          </w:hyperlink>
        </w:p>
        <w:p w14:paraId="0B5E3292" w14:textId="5FAB3F1C"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78" w:history="1">
            <w:r w:rsidRPr="001D4C20">
              <w:rPr>
                <w:rStyle w:val="Lienhypertexte"/>
                <w:noProof/>
              </w:rPr>
              <w:t>58.73.1a Mobilier intérieur - Eléments particuliers - Barrière de sécurité - de guidage en bois CCTB 01.02</w:t>
            </w:r>
            <w:r>
              <w:rPr>
                <w:noProof/>
                <w:webHidden/>
              </w:rPr>
              <w:tab/>
            </w:r>
            <w:r>
              <w:rPr>
                <w:noProof/>
                <w:webHidden/>
              </w:rPr>
              <w:fldChar w:fldCharType="begin"/>
            </w:r>
            <w:r>
              <w:rPr>
                <w:noProof/>
                <w:webHidden/>
              </w:rPr>
              <w:instrText xml:space="preserve"> PAGEREF _Toc220491978 \h </w:instrText>
            </w:r>
            <w:r>
              <w:rPr>
                <w:noProof/>
                <w:webHidden/>
              </w:rPr>
            </w:r>
            <w:r>
              <w:rPr>
                <w:noProof/>
                <w:webHidden/>
              </w:rPr>
              <w:fldChar w:fldCharType="separate"/>
            </w:r>
            <w:r>
              <w:rPr>
                <w:noProof/>
                <w:webHidden/>
              </w:rPr>
              <w:t>931</w:t>
            </w:r>
            <w:r>
              <w:rPr>
                <w:noProof/>
                <w:webHidden/>
              </w:rPr>
              <w:fldChar w:fldCharType="end"/>
            </w:r>
          </w:hyperlink>
        </w:p>
        <w:p w14:paraId="37C6D31F" w14:textId="06317E6B"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79" w:history="1">
            <w:r w:rsidRPr="001D4C20">
              <w:rPr>
                <w:rStyle w:val="Lienhypertexte"/>
                <w:noProof/>
              </w:rPr>
              <w:t>58.73.2 Mobilier intérieur - Eléments particuliers - Barrière de sécurité - de guidage en acier CCTB 01.02</w:t>
            </w:r>
            <w:r>
              <w:rPr>
                <w:noProof/>
                <w:webHidden/>
              </w:rPr>
              <w:tab/>
            </w:r>
            <w:r>
              <w:rPr>
                <w:noProof/>
                <w:webHidden/>
              </w:rPr>
              <w:fldChar w:fldCharType="begin"/>
            </w:r>
            <w:r>
              <w:rPr>
                <w:noProof/>
                <w:webHidden/>
              </w:rPr>
              <w:instrText xml:space="preserve"> PAGEREF _Toc220491979 \h </w:instrText>
            </w:r>
            <w:r>
              <w:rPr>
                <w:noProof/>
                <w:webHidden/>
              </w:rPr>
            </w:r>
            <w:r>
              <w:rPr>
                <w:noProof/>
                <w:webHidden/>
              </w:rPr>
              <w:fldChar w:fldCharType="separate"/>
            </w:r>
            <w:r>
              <w:rPr>
                <w:noProof/>
                <w:webHidden/>
              </w:rPr>
              <w:t>931</w:t>
            </w:r>
            <w:r>
              <w:rPr>
                <w:noProof/>
                <w:webHidden/>
              </w:rPr>
              <w:fldChar w:fldCharType="end"/>
            </w:r>
          </w:hyperlink>
        </w:p>
        <w:p w14:paraId="619E1C0F" w14:textId="20F2A66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80" w:history="1">
            <w:r w:rsidRPr="001D4C20">
              <w:rPr>
                <w:rStyle w:val="Lienhypertexte"/>
                <w:noProof/>
              </w:rPr>
              <w:t>58.73.2a Mobilier intérieur - Eléments particuliers - Barrière de sécurité - de guidage en acier CCTB 01.02</w:t>
            </w:r>
            <w:r>
              <w:rPr>
                <w:noProof/>
                <w:webHidden/>
              </w:rPr>
              <w:tab/>
            </w:r>
            <w:r>
              <w:rPr>
                <w:noProof/>
                <w:webHidden/>
              </w:rPr>
              <w:fldChar w:fldCharType="begin"/>
            </w:r>
            <w:r>
              <w:rPr>
                <w:noProof/>
                <w:webHidden/>
              </w:rPr>
              <w:instrText xml:space="preserve"> PAGEREF _Toc220491980 \h </w:instrText>
            </w:r>
            <w:r>
              <w:rPr>
                <w:noProof/>
                <w:webHidden/>
              </w:rPr>
            </w:r>
            <w:r>
              <w:rPr>
                <w:noProof/>
                <w:webHidden/>
              </w:rPr>
              <w:fldChar w:fldCharType="separate"/>
            </w:r>
            <w:r>
              <w:rPr>
                <w:noProof/>
                <w:webHidden/>
              </w:rPr>
              <w:t>931</w:t>
            </w:r>
            <w:r>
              <w:rPr>
                <w:noProof/>
                <w:webHidden/>
              </w:rPr>
              <w:fldChar w:fldCharType="end"/>
            </w:r>
          </w:hyperlink>
        </w:p>
        <w:p w14:paraId="09A75673" w14:textId="0234A873"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81" w:history="1">
            <w:r w:rsidRPr="001D4C20">
              <w:rPr>
                <w:rStyle w:val="Lienhypertexte"/>
                <w:noProof/>
              </w:rPr>
              <w:t>58.73.3 Mobilier intérieur - Eléments particuliers - Barrière de sécurité - de guidage en acier inoxydable CCTB 01.02</w:t>
            </w:r>
            <w:r>
              <w:rPr>
                <w:noProof/>
                <w:webHidden/>
              </w:rPr>
              <w:tab/>
            </w:r>
            <w:r>
              <w:rPr>
                <w:noProof/>
                <w:webHidden/>
              </w:rPr>
              <w:fldChar w:fldCharType="begin"/>
            </w:r>
            <w:r>
              <w:rPr>
                <w:noProof/>
                <w:webHidden/>
              </w:rPr>
              <w:instrText xml:space="preserve"> PAGEREF _Toc220491981 \h </w:instrText>
            </w:r>
            <w:r>
              <w:rPr>
                <w:noProof/>
                <w:webHidden/>
              </w:rPr>
            </w:r>
            <w:r>
              <w:rPr>
                <w:noProof/>
                <w:webHidden/>
              </w:rPr>
              <w:fldChar w:fldCharType="separate"/>
            </w:r>
            <w:r>
              <w:rPr>
                <w:noProof/>
                <w:webHidden/>
              </w:rPr>
              <w:t>931</w:t>
            </w:r>
            <w:r>
              <w:rPr>
                <w:noProof/>
                <w:webHidden/>
              </w:rPr>
              <w:fldChar w:fldCharType="end"/>
            </w:r>
          </w:hyperlink>
        </w:p>
        <w:p w14:paraId="73AC3BF0" w14:textId="58661A9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82" w:history="1">
            <w:r w:rsidRPr="001D4C20">
              <w:rPr>
                <w:rStyle w:val="Lienhypertexte"/>
                <w:noProof/>
              </w:rPr>
              <w:t>58.73.3a Mobilier intérieur - Eléments particuliers - Barrière de sécurité - de guidage en acier inoxydable CCTB 01.02</w:t>
            </w:r>
            <w:r>
              <w:rPr>
                <w:noProof/>
                <w:webHidden/>
              </w:rPr>
              <w:tab/>
            </w:r>
            <w:r>
              <w:rPr>
                <w:noProof/>
                <w:webHidden/>
              </w:rPr>
              <w:fldChar w:fldCharType="begin"/>
            </w:r>
            <w:r>
              <w:rPr>
                <w:noProof/>
                <w:webHidden/>
              </w:rPr>
              <w:instrText xml:space="preserve"> PAGEREF _Toc220491982 \h </w:instrText>
            </w:r>
            <w:r>
              <w:rPr>
                <w:noProof/>
                <w:webHidden/>
              </w:rPr>
            </w:r>
            <w:r>
              <w:rPr>
                <w:noProof/>
                <w:webHidden/>
              </w:rPr>
              <w:fldChar w:fldCharType="separate"/>
            </w:r>
            <w:r>
              <w:rPr>
                <w:noProof/>
                <w:webHidden/>
              </w:rPr>
              <w:t>931</w:t>
            </w:r>
            <w:r>
              <w:rPr>
                <w:noProof/>
                <w:webHidden/>
              </w:rPr>
              <w:fldChar w:fldCharType="end"/>
            </w:r>
          </w:hyperlink>
        </w:p>
        <w:p w14:paraId="31844EF0" w14:textId="5FB8D69E"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83" w:history="1">
            <w:r w:rsidRPr="001D4C20">
              <w:rPr>
                <w:rStyle w:val="Lienhypertexte"/>
                <w:noProof/>
              </w:rPr>
              <w:t>58.73.4 Mobilier intérieur - Eléments particuliers - Barrière de sécurité - de guidage en matériaux mixtes CCTB 01.02</w:t>
            </w:r>
            <w:r>
              <w:rPr>
                <w:noProof/>
                <w:webHidden/>
              </w:rPr>
              <w:tab/>
            </w:r>
            <w:r>
              <w:rPr>
                <w:noProof/>
                <w:webHidden/>
              </w:rPr>
              <w:fldChar w:fldCharType="begin"/>
            </w:r>
            <w:r>
              <w:rPr>
                <w:noProof/>
                <w:webHidden/>
              </w:rPr>
              <w:instrText xml:space="preserve"> PAGEREF _Toc220491983 \h </w:instrText>
            </w:r>
            <w:r>
              <w:rPr>
                <w:noProof/>
                <w:webHidden/>
              </w:rPr>
            </w:r>
            <w:r>
              <w:rPr>
                <w:noProof/>
                <w:webHidden/>
              </w:rPr>
              <w:fldChar w:fldCharType="separate"/>
            </w:r>
            <w:r>
              <w:rPr>
                <w:noProof/>
                <w:webHidden/>
              </w:rPr>
              <w:t>931</w:t>
            </w:r>
            <w:r>
              <w:rPr>
                <w:noProof/>
                <w:webHidden/>
              </w:rPr>
              <w:fldChar w:fldCharType="end"/>
            </w:r>
          </w:hyperlink>
        </w:p>
        <w:p w14:paraId="3BD524A1" w14:textId="2CC7D838"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84" w:history="1">
            <w:r w:rsidRPr="001D4C20">
              <w:rPr>
                <w:rStyle w:val="Lienhypertexte"/>
                <w:noProof/>
              </w:rPr>
              <w:t>58.73.4a Mobilier intérieur - Eléments particuliers - Barrière de sécurité - de guidage en matériaux mixtes CCTB 01.02</w:t>
            </w:r>
            <w:r>
              <w:rPr>
                <w:noProof/>
                <w:webHidden/>
              </w:rPr>
              <w:tab/>
            </w:r>
            <w:r>
              <w:rPr>
                <w:noProof/>
                <w:webHidden/>
              </w:rPr>
              <w:fldChar w:fldCharType="begin"/>
            </w:r>
            <w:r>
              <w:rPr>
                <w:noProof/>
                <w:webHidden/>
              </w:rPr>
              <w:instrText xml:space="preserve"> PAGEREF _Toc220491984 \h </w:instrText>
            </w:r>
            <w:r>
              <w:rPr>
                <w:noProof/>
                <w:webHidden/>
              </w:rPr>
            </w:r>
            <w:r>
              <w:rPr>
                <w:noProof/>
                <w:webHidden/>
              </w:rPr>
              <w:fldChar w:fldCharType="separate"/>
            </w:r>
            <w:r>
              <w:rPr>
                <w:noProof/>
                <w:webHidden/>
              </w:rPr>
              <w:t>931</w:t>
            </w:r>
            <w:r>
              <w:rPr>
                <w:noProof/>
                <w:webHidden/>
              </w:rPr>
              <w:fldChar w:fldCharType="end"/>
            </w:r>
          </w:hyperlink>
        </w:p>
        <w:p w14:paraId="7AEB0D5A" w14:textId="7382A4B4" w:rsidR="000F4169" w:rsidRDefault="000F4169">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985" w:history="1">
            <w:r w:rsidRPr="001D4C20">
              <w:rPr>
                <w:rStyle w:val="Lienhypertexte"/>
                <w:noProof/>
              </w:rPr>
              <w:t>58.74 Mobilier intérieur - Eléments particuliers - Siège / Banc fixé au mur ou au sol CCTB 01.02</w:t>
            </w:r>
            <w:r>
              <w:rPr>
                <w:noProof/>
                <w:webHidden/>
              </w:rPr>
              <w:tab/>
            </w:r>
            <w:r>
              <w:rPr>
                <w:noProof/>
                <w:webHidden/>
              </w:rPr>
              <w:fldChar w:fldCharType="begin"/>
            </w:r>
            <w:r>
              <w:rPr>
                <w:noProof/>
                <w:webHidden/>
              </w:rPr>
              <w:instrText xml:space="preserve"> PAGEREF _Toc220491985 \h </w:instrText>
            </w:r>
            <w:r>
              <w:rPr>
                <w:noProof/>
                <w:webHidden/>
              </w:rPr>
            </w:r>
            <w:r>
              <w:rPr>
                <w:noProof/>
                <w:webHidden/>
              </w:rPr>
              <w:fldChar w:fldCharType="separate"/>
            </w:r>
            <w:r>
              <w:rPr>
                <w:noProof/>
                <w:webHidden/>
              </w:rPr>
              <w:t>932</w:t>
            </w:r>
            <w:r>
              <w:rPr>
                <w:noProof/>
                <w:webHidden/>
              </w:rPr>
              <w:fldChar w:fldCharType="end"/>
            </w:r>
          </w:hyperlink>
        </w:p>
        <w:p w14:paraId="266C1FDF" w14:textId="640462E7"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86" w:history="1">
            <w:r w:rsidRPr="001D4C20">
              <w:rPr>
                <w:rStyle w:val="Lienhypertexte"/>
                <w:noProof/>
              </w:rPr>
              <w:t>58.74.1 Mobilier intérieur - Eléments particuliers - Siège / Banc fixé au mur ou au sol en bois CCTB 01.02</w:t>
            </w:r>
            <w:r>
              <w:rPr>
                <w:noProof/>
                <w:webHidden/>
              </w:rPr>
              <w:tab/>
            </w:r>
            <w:r>
              <w:rPr>
                <w:noProof/>
                <w:webHidden/>
              </w:rPr>
              <w:fldChar w:fldCharType="begin"/>
            </w:r>
            <w:r>
              <w:rPr>
                <w:noProof/>
                <w:webHidden/>
              </w:rPr>
              <w:instrText xml:space="preserve"> PAGEREF _Toc220491986 \h </w:instrText>
            </w:r>
            <w:r>
              <w:rPr>
                <w:noProof/>
                <w:webHidden/>
              </w:rPr>
            </w:r>
            <w:r>
              <w:rPr>
                <w:noProof/>
                <w:webHidden/>
              </w:rPr>
              <w:fldChar w:fldCharType="separate"/>
            </w:r>
            <w:r>
              <w:rPr>
                <w:noProof/>
                <w:webHidden/>
              </w:rPr>
              <w:t>932</w:t>
            </w:r>
            <w:r>
              <w:rPr>
                <w:noProof/>
                <w:webHidden/>
              </w:rPr>
              <w:fldChar w:fldCharType="end"/>
            </w:r>
          </w:hyperlink>
        </w:p>
        <w:p w14:paraId="1D0F7053" w14:textId="6CE7E297"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87" w:history="1">
            <w:r w:rsidRPr="001D4C20">
              <w:rPr>
                <w:rStyle w:val="Lienhypertexte"/>
                <w:noProof/>
              </w:rPr>
              <w:t>58.74.1a Mobilier intérieur - Eléments particuliers - Siège / Banc fixé au mur ou au sol en bois CCTB 01.02</w:t>
            </w:r>
            <w:r>
              <w:rPr>
                <w:noProof/>
                <w:webHidden/>
              </w:rPr>
              <w:tab/>
            </w:r>
            <w:r>
              <w:rPr>
                <w:noProof/>
                <w:webHidden/>
              </w:rPr>
              <w:fldChar w:fldCharType="begin"/>
            </w:r>
            <w:r>
              <w:rPr>
                <w:noProof/>
                <w:webHidden/>
              </w:rPr>
              <w:instrText xml:space="preserve"> PAGEREF _Toc220491987 \h </w:instrText>
            </w:r>
            <w:r>
              <w:rPr>
                <w:noProof/>
                <w:webHidden/>
              </w:rPr>
            </w:r>
            <w:r>
              <w:rPr>
                <w:noProof/>
                <w:webHidden/>
              </w:rPr>
              <w:fldChar w:fldCharType="separate"/>
            </w:r>
            <w:r>
              <w:rPr>
                <w:noProof/>
                <w:webHidden/>
              </w:rPr>
              <w:t>932</w:t>
            </w:r>
            <w:r>
              <w:rPr>
                <w:noProof/>
                <w:webHidden/>
              </w:rPr>
              <w:fldChar w:fldCharType="end"/>
            </w:r>
          </w:hyperlink>
        </w:p>
        <w:p w14:paraId="7454F079" w14:textId="0EE2ED77"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88" w:history="1">
            <w:r w:rsidRPr="001D4C20">
              <w:rPr>
                <w:rStyle w:val="Lienhypertexte"/>
                <w:noProof/>
              </w:rPr>
              <w:t>58.74.2 Mobilier intérieur - Eléments particuliers - Siège / Banc fixé au mur ou au sol en acier CCTB 01.02</w:t>
            </w:r>
            <w:r>
              <w:rPr>
                <w:noProof/>
                <w:webHidden/>
              </w:rPr>
              <w:tab/>
            </w:r>
            <w:r>
              <w:rPr>
                <w:noProof/>
                <w:webHidden/>
              </w:rPr>
              <w:fldChar w:fldCharType="begin"/>
            </w:r>
            <w:r>
              <w:rPr>
                <w:noProof/>
                <w:webHidden/>
              </w:rPr>
              <w:instrText xml:space="preserve"> PAGEREF _Toc220491988 \h </w:instrText>
            </w:r>
            <w:r>
              <w:rPr>
                <w:noProof/>
                <w:webHidden/>
              </w:rPr>
            </w:r>
            <w:r>
              <w:rPr>
                <w:noProof/>
                <w:webHidden/>
              </w:rPr>
              <w:fldChar w:fldCharType="separate"/>
            </w:r>
            <w:r>
              <w:rPr>
                <w:noProof/>
                <w:webHidden/>
              </w:rPr>
              <w:t>932</w:t>
            </w:r>
            <w:r>
              <w:rPr>
                <w:noProof/>
                <w:webHidden/>
              </w:rPr>
              <w:fldChar w:fldCharType="end"/>
            </w:r>
          </w:hyperlink>
        </w:p>
        <w:p w14:paraId="799A475E" w14:textId="083E5DD2"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89" w:history="1">
            <w:r w:rsidRPr="001D4C20">
              <w:rPr>
                <w:rStyle w:val="Lienhypertexte"/>
                <w:noProof/>
              </w:rPr>
              <w:t>58.74.2a Mobilier intérieur - Eléments particuliers - Siège / Banc fixé au mur ou au sol en acier CCTB 01.02</w:t>
            </w:r>
            <w:r>
              <w:rPr>
                <w:noProof/>
                <w:webHidden/>
              </w:rPr>
              <w:tab/>
            </w:r>
            <w:r>
              <w:rPr>
                <w:noProof/>
                <w:webHidden/>
              </w:rPr>
              <w:fldChar w:fldCharType="begin"/>
            </w:r>
            <w:r>
              <w:rPr>
                <w:noProof/>
                <w:webHidden/>
              </w:rPr>
              <w:instrText xml:space="preserve"> PAGEREF _Toc220491989 \h </w:instrText>
            </w:r>
            <w:r>
              <w:rPr>
                <w:noProof/>
                <w:webHidden/>
              </w:rPr>
            </w:r>
            <w:r>
              <w:rPr>
                <w:noProof/>
                <w:webHidden/>
              </w:rPr>
              <w:fldChar w:fldCharType="separate"/>
            </w:r>
            <w:r>
              <w:rPr>
                <w:noProof/>
                <w:webHidden/>
              </w:rPr>
              <w:t>932</w:t>
            </w:r>
            <w:r>
              <w:rPr>
                <w:noProof/>
                <w:webHidden/>
              </w:rPr>
              <w:fldChar w:fldCharType="end"/>
            </w:r>
          </w:hyperlink>
        </w:p>
        <w:p w14:paraId="2EB0D344" w14:textId="6DE78401"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90" w:history="1">
            <w:r w:rsidRPr="001D4C20">
              <w:rPr>
                <w:rStyle w:val="Lienhypertexte"/>
                <w:noProof/>
              </w:rPr>
              <w:t>58.74.3 Mobilier intérieur - Eléments particuliers - Siège / Banc fixé au mur ou au sol en acier inoxydable CCTB 01.02</w:t>
            </w:r>
            <w:r>
              <w:rPr>
                <w:noProof/>
                <w:webHidden/>
              </w:rPr>
              <w:tab/>
            </w:r>
            <w:r>
              <w:rPr>
                <w:noProof/>
                <w:webHidden/>
              </w:rPr>
              <w:fldChar w:fldCharType="begin"/>
            </w:r>
            <w:r>
              <w:rPr>
                <w:noProof/>
                <w:webHidden/>
              </w:rPr>
              <w:instrText xml:space="preserve"> PAGEREF _Toc220491990 \h </w:instrText>
            </w:r>
            <w:r>
              <w:rPr>
                <w:noProof/>
                <w:webHidden/>
              </w:rPr>
            </w:r>
            <w:r>
              <w:rPr>
                <w:noProof/>
                <w:webHidden/>
              </w:rPr>
              <w:fldChar w:fldCharType="separate"/>
            </w:r>
            <w:r>
              <w:rPr>
                <w:noProof/>
                <w:webHidden/>
              </w:rPr>
              <w:t>932</w:t>
            </w:r>
            <w:r>
              <w:rPr>
                <w:noProof/>
                <w:webHidden/>
              </w:rPr>
              <w:fldChar w:fldCharType="end"/>
            </w:r>
          </w:hyperlink>
        </w:p>
        <w:p w14:paraId="50A5A3C1" w14:textId="133B7BB5"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91" w:history="1">
            <w:r w:rsidRPr="001D4C20">
              <w:rPr>
                <w:rStyle w:val="Lienhypertexte"/>
                <w:noProof/>
              </w:rPr>
              <w:t>58.74.3a Mobilier intérieur - Eléments particuliers - Siège / Banc fixé au mur ou au sol en acier inoxydable CCTB 01.02</w:t>
            </w:r>
            <w:r>
              <w:rPr>
                <w:noProof/>
                <w:webHidden/>
              </w:rPr>
              <w:tab/>
            </w:r>
            <w:r>
              <w:rPr>
                <w:noProof/>
                <w:webHidden/>
              </w:rPr>
              <w:fldChar w:fldCharType="begin"/>
            </w:r>
            <w:r>
              <w:rPr>
                <w:noProof/>
                <w:webHidden/>
              </w:rPr>
              <w:instrText xml:space="preserve"> PAGEREF _Toc220491991 \h </w:instrText>
            </w:r>
            <w:r>
              <w:rPr>
                <w:noProof/>
                <w:webHidden/>
              </w:rPr>
            </w:r>
            <w:r>
              <w:rPr>
                <w:noProof/>
                <w:webHidden/>
              </w:rPr>
              <w:fldChar w:fldCharType="separate"/>
            </w:r>
            <w:r>
              <w:rPr>
                <w:noProof/>
                <w:webHidden/>
              </w:rPr>
              <w:t>932</w:t>
            </w:r>
            <w:r>
              <w:rPr>
                <w:noProof/>
                <w:webHidden/>
              </w:rPr>
              <w:fldChar w:fldCharType="end"/>
            </w:r>
          </w:hyperlink>
        </w:p>
        <w:p w14:paraId="7D880AF6" w14:textId="2C86EA68" w:rsidR="000F4169" w:rsidRDefault="000F4169">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992" w:history="1">
            <w:r w:rsidRPr="001D4C20">
              <w:rPr>
                <w:rStyle w:val="Lienhypertexte"/>
                <w:noProof/>
              </w:rPr>
              <w:t>58.74.4 Mobilier intérieur - Eléments particuliers - Siège / Banc fixé au mur ou au sol en matériaux mixtes CCTB 01.02</w:t>
            </w:r>
            <w:r>
              <w:rPr>
                <w:noProof/>
                <w:webHidden/>
              </w:rPr>
              <w:tab/>
            </w:r>
            <w:r>
              <w:rPr>
                <w:noProof/>
                <w:webHidden/>
              </w:rPr>
              <w:fldChar w:fldCharType="begin"/>
            </w:r>
            <w:r>
              <w:rPr>
                <w:noProof/>
                <w:webHidden/>
              </w:rPr>
              <w:instrText xml:space="preserve"> PAGEREF _Toc220491992 \h </w:instrText>
            </w:r>
            <w:r>
              <w:rPr>
                <w:noProof/>
                <w:webHidden/>
              </w:rPr>
            </w:r>
            <w:r>
              <w:rPr>
                <w:noProof/>
                <w:webHidden/>
              </w:rPr>
              <w:fldChar w:fldCharType="separate"/>
            </w:r>
            <w:r>
              <w:rPr>
                <w:noProof/>
                <w:webHidden/>
              </w:rPr>
              <w:t>932</w:t>
            </w:r>
            <w:r>
              <w:rPr>
                <w:noProof/>
                <w:webHidden/>
              </w:rPr>
              <w:fldChar w:fldCharType="end"/>
            </w:r>
          </w:hyperlink>
        </w:p>
        <w:p w14:paraId="67197620" w14:textId="509A955A" w:rsidR="000F4169" w:rsidRDefault="000F4169">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993" w:history="1">
            <w:r w:rsidRPr="001D4C20">
              <w:rPr>
                <w:rStyle w:val="Lienhypertexte"/>
                <w:noProof/>
              </w:rPr>
              <w:t>58.74.4a Mobilier intérieur - Eléments particuliers - Siège / Banc fixé au mur ou au sol en matériaux mixtes CCTB 01.02</w:t>
            </w:r>
            <w:r>
              <w:rPr>
                <w:noProof/>
                <w:webHidden/>
              </w:rPr>
              <w:tab/>
            </w:r>
            <w:r>
              <w:rPr>
                <w:noProof/>
                <w:webHidden/>
              </w:rPr>
              <w:fldChar w:fldCharType="begin"/>
            </w:r>
            <w:r>
              <w:rPr>
                <w:noProof/>
                <w:webHidden/>
              </w:rPr>
              <w:instrText xml:space="preserve"> PAGEREF _Toc220491993 \h </w:instrText>
            </w:r>
            <w:r>
              <w:rPr>
                <w:noProof/>
                <w:webHidden/>
              </w:rPr>
            </w:r>
            <w:r>
              <w:rPr>
                <w:noProof/>
                <w:webHidden/>
              </w:rPr>
              <w:fldChar w:fldCharType="separate"/>
            </w:r>
            <w:r>
              <w:rPr>
                <w:noProof/>
                <w:webHidden/>
              </w:rPr>
              <w:t>932</w:t>
            </w:r>
            <w:r>
              <w:rPr>
                <w:noProof/>
                <w:webHidden/>
              </w:rPr>
              <w:fldChar w:fldCharType="end"/>
            </w:r>
          </w:hyperlink>
        </w:p>
        <w:p w14:paraId="56D5A614" w14:textId="70CB14F5" w:rsidR="000F4169" w:rsidRDefault="000F4169">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994" w:history="1">
            <w:r w:rsidRPr="001D4C20">
              <w:rPr>
                <w:rStyle w:val="Lienhypertexte"/>
                <w:noProof/>
              </w:rPr>
              <w:t>58.8 Mobilier intérieur fixe - Rénovation CCTB 01.02</w:t>
            </w:r>
            <w:r>
              <w:rPr>
                <w:noProof/>
                <w:webHidden/>
              </w:rPr>
              <w:tab/>
            </w:r>
            <w:r>
              <w:rPr>
                <w:noProof/>
                <w:webHidden/>
              </w:rPr>
              <w:fldChar w:fldCharType="begin"/>
            </w:r>
            <w:r>
              <w:rPr>
                <w:noProof/>
                <w:webHidden/>
              </w:rPr>
              <w:instrText xml:space="preserve"> PAGEREF _Toc220491994 \h </w:instrText>
            </w:r>
            <w:r>
              <w:rPr>
                <w:noProof/>
                <w:webHidden/>
              </w:rPr>
            </w:r>
            <w:r>
              <w:rPr>
                <w:noProof/>
                <w:webHidden/>
              </w:rPr>
              <w:fldChar w:fldCharType="separate"/>
            </w:r>
            <w:r>
              <w:rPr>
                <w:noProof/>
                <w:webHidden/>
              </w:rPr>
              <w:t>932</w:t>
            </w:r>
            <w:r>
              <w:rPr>
                <w:noProof/>
                <w:webHidden/>
              </w:rPr>
              <w:fldChar w:fldCharType="end"/>
            </w:r>
          </w:hyperlink>
        </w:p>
        <w:p w14:paraId="37E77FA1" w14:textId="5D514227" w:rsidR="004B2808" w:rsidRDefault="00000000">
          <w:r>
            <w:rPr>
              <w:b/>
              <w:bCs/>
              <w:noProof/>
            </w:rPr>
            <w:fldChar w:fldCharType="end"/>
          </w:r>
        </w:p>
      </w:sdtContent>
    </w:sdt>
    <w:p w14:paraId="47182379" w14:textId="77777777" w:rsidR="004B2808" w:rsidRDefault="00000000">
      <w:r>
        <w:br w:type="page"/>
      </w:r>
    </w:p>
    <w:p w14:paraId="0415A696" w14:textId="77777777" w:rsidR="004B2808" w:rsidRDefault="00000000">
      <w:pPr>
        <w:pStyle w:val="Author-eSectionHeading1Numberless"/>
      </w:pPr>
      <w:bookmarkStart w:id="0" w:name="_Toc220490220"/>
      <w:r>
        <w:lastRenderedPageBreak/>
        <w:t>5 T5 Fermetures / Finitions intérieures CCTB 01.13</w:t>
      </w:r>
      <w:bookmarkEnd w:id="0"/>
    </w:p>
    <w:p w14:paraId="4DA482DC" w14:textId="77777777" w:rsidR="004B2808" w:rsidRDefault="00000000">
      <w:pPr>
        <w:pStyle w:val="pheading"/>
      </w:pPr>
      <w:bookmarkStart w:id="1" w:name="44"/>
      <w:bookmarkEnd w:id="1"/>
      <w:r>
        <w:t>DESCRIPTION</w:t>
      </w:r>
    </w:p>
    <w:p w14:paraId="3B3D1EDE" w14:textId="77777777" w:rsidR="004B2808" w:rsidRDefault="00000000">
      <w:pPr>
        <w:pStyle w:val="pheading"/>
      </w:pPr>
      <w:r>
        <w:t>- Remarques importantes</w:t>
      </w:r>
    </w:p>
    <w:p w14:paraId="32D60889" w14:textId="77777777" w:rsidR="004B2808" w:rsidRDefault="00000000">
      <w:r>
        <w:t>La gestion et l’évacuation des déchets de chantier est décrite et comptabilisée au 07 Déchets, matériaux et éléments réemployables.</w:t>
      </w:r>
    </w:p>
    <w:p w14:paraId="58123A19" w14:textId="77777777" w:rsidR="004B2808" w:rsidRDefault="00000000">
      <w:pPr>
        <w:ind w:left="750"/>
      </w:pPr>
      <w:r>
        <w:t> </w:t>
      </w:r>
    </w:p>
    <w:p w14:paraId="4E4BB21D" w14:textId="77777777" w:rsidR="004B2808" w:rsidRDefault="00000000">
      <w:pPr>
        <w:pStyle w:val="pheading"/>
      </w:pPr>
      <w:r>
        <w:t>MATÉRIAUX</w:t>
      </w:r>
    </w:p>
    <w:p w14:paraId="48FCE4FE" w14:textId="77777777" w:rsidR="004B2808" w:rsidRDefault="00000000">
      <w:r>
        <w:t>Pour démontrer la résistance au feu par essais, seules les séries de normes d’essais reprises dans les normes de classification [NBN EN 13501-2], [NBN EN 13501-3+A1] et [NBN EN 13501-4] sont utilisées, sauf en ce qui concerne les portes résistant au feu et les plafonds suspendus pour lesquels la norme belge [NBN 713-020] est encore utilisée.</w:t>
      </w:r>
    </w:p>
    <w:p w14:paraId="28E9B1AD" w14:textId="77777777" w:rsidR="004B2808" w:rsidRDefault="00000000">
      <w:pPr>
        <w:pStyle w:val="Author-eSectionHeading2Numberless"/>
      </w:pPr>
      <w:bookmarkStart w:id="2" w:name="_Toc220490221"/>
      <w:r>
        <w:t>51 Parois légères et finitions des murs intérieurs CCTB 01.11</w:t>
      </w:r>
      <w:bookmarkEnd w:id="2"/>
    </w:p>
    <w:p w14:paraId="285205AD" w14:textId="77777777" w:rsidR="004B2808" w:rsidRDefault="00000000">
      <w:pPr>
        <w:pStyle w:val="Author-eSectionHeading3Numberless"/>
      </w:pPr>
      <w:bookmarkStart w:id="3" w:name="60"/>
      <w:bookmarkStart w:id="4" w:name="_Toc220490222"/>
      <w:bookmarkEnd w:id="3"/>
      <w:r>
        <w:t>51.1 Cloisons fixes légères de séparation (Rem.: le type d'ossature est explicité à l'article) CCTB 01.11</w:t>
      </w:r>
      <w:bookmarkEnd w:id="4"/>
    </w:p>
    <w:p w14:paraId="6DB090CA" w14:textId="77777777" w:rsidR="004B2808" w:rsidRDefault="00000000">
      <w:pPr>
        <w:pStyle w:val="pheading"/>
      </w:pPr>
      <w:bookmarkStart w:id="5" w:name="1132"/>
      <w:bookmarkEnd w:id="5"/>
      <w:r>
        <w:t>DESCRIPTION</w:t>
      </w:r>
    </w:p>
    <w:p w14:paraId="29AF9882" w14:textId="77777777" w:rsidR="004B2808" w:rsidRDefault="00000000">
      <w:pPr>
        <w:pStyle w:val="pheading"/>
      </w:pPr>
      <w:r>
        <w:t>- Définition / Comprend</w:t>
      </w:r>
    </w:p>
    <w:p w14:paraId="507A8845" w14:textId="77777777" w:rsidR="004B2808" w:rsidRDefault="00000000">
      <w:r>
        <w:t>Ce poste comprend toutes les fournitures et travaux en vue de la réalisation des revêtements intérieurs à l'aide de matériaux en plaques sur les murs intérieurs, les plafonds et/ou les éléments à habiller afin de constituer un ouvrage parfaitement fini et/ou prêt à peindre.</w:t>
      </w:r>
    </w:p>
    <w:p w14:paraId="07CA9F21" w14:textId="77777777" w:rsidR="004B2808" w:rsidRDefault="00000000">
      <w:r>
        <w:t>Conformément aux dispositions générales et/ou spécifiques du cahier spécial des charges, les prix unitaires compris dans ces postes doivent toujours comprendre, soit selon la ventilation dans le métré récapitulatif, soit dans leur totalité :</w:t>
      </w:r>
    </w:p>
    <w:p w14:paraId="03476339" w14:textId="77777777" w:rsidR="004B2808" w:rsidRDefault="00000000">
      <w:pPr>
        <w:pStyle w:val="Author-eListParagraph"/>
        <w:numPr>
          <w:ilvl w:val="0"/>
          <w:numId w:val="2"/>
        </w:numPr>
      </w:pPr>
      <w:r>
        <w:t>le cas échéant, les études et les essais (en ce qui concerne les performances exigées en matière d'acoustique et/ou de résistance au feu);</w:t>
      </w:r>
    </w:p>
    <w:p w14:paraId="64B637F4" w14:textId="77777777" w:rsidR="004B2808" w:rsidRDefault="00000000">
      <w:pPr>
        <w:pStyle w:val="Author-eListParagraph"/>
        <w:numPr>
          <w:ilvl w:val="0"/>
          <w:numId w:val="2"/>
        </w:numPr>
      </w:pPr>
      <w:r>
        <w:t>le traçage et/ou la mise d'aplomb des cloisons, plafonds, caissons, …;</w:t>
      </w:r>
    </w:p>
    <w:p w14:paraId="3D8D78F7" w14:textId="77777777" w:rsidR="004B2808" w:rsidRDefault="00000000">
      <w:pPr>
        <w:pStyle w:val="Author-eListParagraph"/>
        <w:numPr>
          <w:ilvl w:val="0"/>
          <w:numId w:val="2"/>
        </w:numPr>
      </w:pPr>
      <w:r>
        <w:t>la fourniture et le montage des structures portantes prescrites en bois ou en métal, y compris tous les éléments d'assemblage et/ou d'ancrage;</w:t>
      </w:r>
    </w:p>
    <w:p w14:paraId="776666BB" w14:textId="77777777" w:rsidR="004B2808" w:rsidRDefault="00000000">
      <w:pPr>
        <w:pStyle w:val="Author-eListParagraph"/>
        <w:numPr>
          <w:ilvl w:val="0"/>
          <w:numId w:val="2"/>
        </w:numPr>
      </w:pPr>
      <w:r>
        <w:t>la fourniture et la pose des renforts pour les fixations ou la suspension;</w:t>
      </w:r>
    </w:p>
    <w:p w14:paraId="2E800D52" w14:textId="77777777" w:rsidR="004B2808" w:rsidRDefault="00000000">
      <w:pPr>
        <w:pStyle w:val="Author-eListParagraph"/>
        <w:numPr>
          <w:ilvl w:val="0"/>
          <w:numId w:val="2"/>
        </w:numPr>
      </w:pPr>
      <w:r>
        <w:t>la réalisation des éventuelles réservations pour l'intégration des conduites, des appareils encastrés ou les trappes d'accès ainsi que la finition des bords pour les éléments d'encastrement;</w:t>
      </w:r>
    </w:p>
    <w:p w14:paraId="018BC029" w14:textId="77777777" w:rsidR="004B2808" w:rsidRDefault="00000000">
      <w:pPr>
        <w:pStyle w:val="Author-eListParagraph"/>
        <w:numPr>
          <w:ilvl w:val="0"/>
          <w:numId w:val="2"/>
        </w:numPr>
      </w:pPr>
      <w:r>
        <w:t>la fourniture et la pose des panneaux de revêtement, y compris les moyens de fixation;</w:t>
      </w:r>
    </w:p>
    <w:p w14:paraId="69578F4D" w14:textId="77777777" w:rsidR="004B2808" w:rsidRDefault="00000000">
      <w:pPr>
        <w:pStyle w:val="Author-eListParagraph"/>
        <w:numPr>
          <w:ilvl w:val="0"/>
          <w:numId w:val="2"/>
        </w:numPr>
      </w:pPr>
      <w:r>
        <w:t>la fourniture et la pose des éventuelles isolations acoustiques et/ou en vue d’améliorer la résistance au feu;</w:t>
      </w:r>
    </w:p>
    <w:p w14:paraId="5F2175D5" w14:textId="77777777" w:rsidR="004B2808" w:rsidRDefault="00000000">
      <w:pPr>
        <w:pStyle w:val="Author-eListParagraph"/>
        <w:numPr>
          <w:ilvl w:val="0"/>
          <w:numId w:val="2"/>
        </w:numPr>
      </w:pPr>
      <w:r>
        <w:t>La finition prête à peindre des panneaux de revêtement, y compris la finition des surfaces et des bords ainsi que toutes les pièces de consolidation;</w:t>
      </w:r>
    </w:p>
    <w:p w14:paraId="21B25129" w14:textId="77777777" w:rsidR="004B2808" w:rsidRDefault="00000000">
      <w:pPr>
        <w:pStyle w:val="Author-eListParagraph"/>
        <w:numPr>
          <w:ilvl w:val="0"/>
          <w:numId w:val="2"/>
        </w:numPr>
      </w:pPr>
      <w:r>
        <w:t>le retouchage a posteriori des percements pour les installations techniques et/ou des petites imperfections.</w:t>
      </w:r>
    </w:p>
    <w:p w14:paraId="50E05122" w14:textId="77777777" w:rsidR="004B2808" w:rsidRDefault="00000000">
      <w:pPr>
        <w:pStyle w:val="pheading"/>
      </w:pPr>
      <w:r>
        <w:t>- Remarques importantes</w:t>
      </w:r>
    </w:p>
    <w:p w14:paraId="48956AE1" w14:textId="77777777" w:rsidR="004B2808" w:rsidRDefault="00000000">
      <w:r>
        <w:rPr>
          <w:i/>
          <w:u w:val="single"/>
        </w:rPr>
        <w:t xml:space="preserve">Attention </w:t>
      </w:r>
    </w:p>
    <w:p w14:paraId="2732184D" w14:textId="77777777" w:rsidR="004B2808" w:rsidRDefault="00000000">
      <w:r>
        <w:t>La finition de la face inférieure des escaliers est comprise dans les postes respectifs.</w:t>
      </w:r>
    </w:p>
    <w:p w14:paraId="47DAFE4A" w14:textId="77777777" w:rsidR="004B2808" w:rsidRDefault="00000000">
      <w:pPr>
        <w:pStyle w:val="pheading"/>
      </w:pPr>
      <w:r>
        <w:lastRenderedPageBreak/>
        <w:t>MATÉRIAUX</w:t>
      </w:r>
    </w:p>
    <w:p w14:paraId="375A3F31" w14:textId="77777777" w:rsidR="004B2808" w:rsidRDefault="00000000">
      <w:r>
        <w:t>Tous les matériaux utilisés (panneaux de revêtement, structure portante, moyens de fixation, etc.) doivent, en fonction de leur emplacement, être résistants à la corrosion, aux moisissures et aux insectes. </w:t>
      </w:r>
    </w:p>
    <w:p w14:paraId="1C36FA44" w14:textId="77777777" w:rsidR="004B2808" w:rsidRDefault="00000000">
      <w:pPr>
        <w:pStyle w:val="heading"/>
      </w:pPr>
      <w:r>
        <w:t>Plaques de plâtre enrobées de carton</w:t>
      </w:r>
    </w:p>
    <w:p w14:paraId="042BD6C7" w14:textId="77777777" w:rsidR="004B2808" w:rsidRDefault="00000000">
      <w:pPr>
        <w:pStyle w:val="Author-eListParagraph"/>
        <w:numPr>
          <w:ilvl w:val="0"/>
          <w:numId w:val="3"/>
        </w:numPr>
      </w:pPr>
      <w:r>
        <w:t>Les plaques de plâtre enrobées de carton doivent satisfaire aux exigences de qualité de la norme [NBN EN 520+A1]. Les plaques se composent d'une âme en plâtre dont les deux faces sont revêtues d'un carton gris clair résistant. Les faces vues des plaques répondent aux exigences de degré de finition et de tolérances d’exécution définis dans la [NIT 233].</w:t>
      </w:r>
    </w:p>
    <w:p w14:paraId="20DB3C21" w14:textId="77777777" w:rsidR="004B2808" w:rsidRDefault="00000000">
      <w:pPr>
        <w:pStyle w:val="Author-eListParagraph"/>
        <w:numPr>
          <w:ilvl w:val="0"/>
          <w:numId w:val="3"/>
        </w:numPr>
      </w:pPr>
      <w:r>
        <w:t>Tolérance d’exécution : classe normale ou spéciale</w:t>
      </w:r>
    </w:p>
    <w:p w14:paraId="159E7B6F" w14:textId="77777777" w:rsidR="004B2808" w:rsidRDefault="00000000">
      <w:pPr>
        <w:pStyle w:val="Author-eListParagraph"/>
        <w:numPr>
          <w:ilvl w:val="0"/>
          <w:numId w:val="3"/>
        </w:numPr>
      </w:pPr>
      <w:r>
        <w:t>Degré de finition : F1, F2 ou F3</w:t>
      </w:r>
    </w:p>
    <w:p w14:paraId="7BF202B3" w14:textId="77777777" w:rsidR="004B2808" w:rsidRDefault="00000000">
      <w:pPr>
        <w:pStyle w:val="Author-eListParagraph"/>
        <w:numPr>
          <w:ilvl w:val="0"/>
          <w:numId w:val="3"/>
        </w:numPr>
      </w:pPr>
      <w:r>
        <w:t>Dans les locaux à degré d'humidité élevé (locaux sanitaires), les panneaux standard sont prévus avec une résistance à l'eau améliorée et un faible pouvoir absorbant (l'âme en plâtre est alors traitée avec une émulsion au bitume et revêtue de carton de couleur vert clair).</w:t>
      </w:r>
    </w:p>
    <w:p w14:paraId="0E5E81C5" w14:textId="77777777" w:rsidR="004B2808" w:rsidRDefault="00000000">
      <w:pPr>
        <w:pStyle w:val="Author-eListParagraph"/>
        <w:numPr>
          <w:ilvl w:val="0"/>
          <w:numId w:val="3"/>
        </w:numPr>
      </w:pPr>
      <w:r>
        <w:t>Tous les accessoires tels que les moyens de fixation et les produits spéciaux sont livrés par le fabricant des plaques. Les plaques sont entreposées dans un endroit sec et posées horizontalement sur un support plat. Elles sont protégées contre toute possibilité de dégradation (par ex. les éclaboussures de mortier, …)</w:t>
      </w:r>
    </w:p>
    <w:p w14:paraId="5AA5160A" w14:textId="77777777" w:rsidR="004B2808" w:rsidRDefault="00000000">
      <w:pPr>
        <w:pStyle w:val="Author-eListParagraph"/>
        <w:numPr>
          <w:ilvl w:val="0"/>
          <w:numId w:val="3"/>
        </w:numPr>
      </w:pPr>
      <w:r>
        <w:t>Les panneaux contreplaqués se composent d'un nombre impair de feuilles de bois pelé, assemblées par collage, les fibres du bois étant posées symétriquement par rapport au fil central; les feuilles suivantes sont toutes posées avec le sens des fibres mis perpendiculairement.</w:t>
      </w:r>
    </w:p>
    <w:p w14:paraId="0A4B75AC" w14:textId="77777777" w:rsidR="004B2808" w:rsidRDefault="00000000">
      <w:pPr>
        <w:pStyle w:val="Author-eListParagraph"/>
        <w:numPr>
          <w:ilvl w:val="0"/>
          <w:numId w:val="3"/>
        </w:numPr>
      </w:pPr>
      <w:r>
        <w:t xml:space="preserve">Qualité du collage : </w:t>
      </w:r>
      <w:r>
        <w:rPr>
          <w:rStyle w:val="optioncarChar"/>
        </w:rPr>
        <w:t>minimum 24-20 climat intérieur sec </w:t>
      </w:r>
      <w:r>
        <w:t>(par défaut)</w:t>
      </w:r>
      <w:r>
        <w:rPr>
          <w:rStyle w:val="optioncarChar"/>
        </w:rPr>
        <w:t xml:space="preserve"> / 03-67 climat intérieur humide / 03-100 climat extérieur - temps limité / 72-100 climat extérieur - temps illimité / ***</w:t>
      </w:r>
      <w:r>
        <w:t>. Soit, classe de collage</w:t>
      </w:r>
      <w:r>
        <w:rPr>
          <w:rStyle w:val="optioncarChar"/>
        </w:rPr>
        <w:t> 1 </w:t>
      </w:r>
      <w:r>
        <w:t>(par défaut)</w:t>
      </w:r>
      <w:r>
        <w:rPr>
          <w:rStyle w:val="optioncarChar"/>
        </w:rPr>
        <w:t xml:space="preserve"> / 2 / 3 / ***</w:t>
      </w:r>
      <w:r>
        <w:t xml:space="preserve"> selon la norme [NBN EN 314-2].</w:t>
      </w:r>
    </w:p>
    <w:p w14:paraId="0BEDFA84" w14:textId="77777777" w:rsidR="004B2808" w:rsidRDefault="00000000">
      <w:pPr>
        <w:pStyle w:val="Author-eListParagraph"/>
        <w:numPr>
          <w:ilvl w:val="0"/>
          <w:numId w:val="3"/>
        </w:numPr>
      </w:pPr>
      <w:r>
        <w:t xml:space="preserve"> Défauts exclus :  </w:t>
      </w:r>
    </w:p>
    <w:p w14:paraId="43B041D1" w14:textId="77777777" w:rsidR="004B2808" w:rsidRDefault="00000000">
      <w:pPr>
        <w:pStyle w:val="Author-eListParagraph"/>
        <w:numPr>
          <w:ilvl w:val="1"/>
          <w:numId w:val="4"/>
        </w:numPr>
      </w:pPr>
      <w:r>
        <w:t>dans les couches intérieures : pourriture, bois décomposé, nœuds malsains, couches chevauchantes, joints éclatés, nœuds non adhérents, trous et soufflures.</w:t>
      </w:r>
    </w:p>
    <w:p w14:paraId="5BD9BAAD" w14:textId="77777777" w:rsidR="004B2808" w:rsidRDefault="00000000">
      <w:pPr>
        <w:pStyle w:val="Author-eListParagraph"/>
        <w:numPr>
          <w:ilvl w:val="1"/>
          <w:numId w:val="4"/>
        </w:numPr>
      </w:pPr>
      <w:r>
        <w:t>dans les couches extérieures : pourriture, bois décomposé, nœuds malsains, fissures et fentes, joints ouverts, vermoulures, trous d'insectes, remplissages non résistants aux ambiances extérieures, bois pelucheux, entre-écorce, soufflures</w:t>
      </w:r>
    </w:p>
    <w:p w14:paraId="4ADB7130" w14:textId="77777777" w:rsidR="004B2808" w:rsidRDefault="00000000">
      <w:pPr>
        <w:pStyle w:val="Author-eListParagraph"/>
        <w:numPr>
          <w:ilvl w:val="1"/>
          <w:numId w:val="4"/>
        </w:numPr>
      </w:pPr>
      <w:r>
        <w:t>les défauts de fabrication suivants entraînent le refus du contre-plaqué : joints ouverts entre les couches ou entre deux bandes de placage d'une même couche, des couches se chevauchant, des réparations, des soufflures, une surface rugueuse, pénétration de colle, bois pelucheux, entre-écorce et soufflures.</w:t>
      </w:r>
    </w:p>
    <w:p w14:paraId="5F921F51" w14:textId="77777777" w:rsidR="004B2808" w:rsidRDefault="00000000">
      <w:r>
        <w:t> </w:t>
      </w:r>
    </w:p>
    <w:tbl>
      <w:tblPr>
        <w:tblStyle w:val="Author-eTableGrid"/>
        <w:tblW w:w="9045" w:type="dxa"/>
        <w:tblLayout w:type="fixed"/>
        <w:tblLook w:val="04A0" w:firstRow="1" w:lastRow="0" w:firstColumn="1" w:lastColumn="0" w:noHBand="0" w:noVBand="1"/>
      </w:tblPr>
      <w:tblGrid>
        <w:gridCol w:w="1809"/>
        <w:gridCol w:w="1809"/>
        <w:gridCol w:w="1809"/>
        <w:gridCol w:w="1809"/>
        <w:gridCol w:w="1809"/>
      </w:tblGrid>
      <w:tr w:rsidR="004B2808" w14:paraId="58AB9300" w14:textId="77777777">
        <w:tc>
          <w:tcPr>
            <w:tcW w:w="1800" w:type="dxa"/>
            <w:noWrap/>
          </w:tcPr>
          <w:p w14:paraId="03C86150" w14:textId="77777777" w:rsidR="004B2808" w:rsidRDefault="00000000">
            <w:pPr>
              <w:jc w:val="center"/>
            </w:pPr>
            <w:r>
              <w:t>Application</w:t>
            </w:r>
          </w:p>
        </w:tc>
        <w:tc>
          <w:tcPr>
            <w:tcW w:w="1800" w:type="dxa"/>
            <w:noWrap/>
          </w:tcPr>
          <w:p w14:paraId="3949E958" w14:textId="77777777" w:rsidR="004B2808" w:rsidRDefault="00000000">
            <w:pPr>
              <w:jc w:val="center"/>
            </w:pPr>
            <w:r>
              <w:t>Classe d'utilisation (selon [CEN/TS 635-4])</w:t>
            </w:r>
          </w:p>
        </w:tc>
        <w:tc>
          <w:tcPr>
            <w:tcW w:w="1800" w:type="dxa"/>
            <w:noWrap/>
          </w:tcPr>
          <w:p w14:paraId="6389A00C" w14:textId="77777777" w:rsidR="004B2808" w:rsidRDefault="00000000">
            <w:pPr>
              <w:jc w:val="center"/>
            </w:pPr>
            <w:r>
              <w:t>Classe de colle</w:t>
            </w:r>
          </w:p>
          <w:p w14:paraId="31CDC659" w14:textId="77777777" w:rsidR="004B2808" w:rsidRDefault="00000000">
            <w:pPr>
              <w:jc w:val="center"/>
            </w:pPr>
            <w:r>
              <w:t>(selon [NBN EN 314-2])</w:t>
            </w:r>
          </w:p>
        </w:tc>
        <w:tc>
          <w:tcPr>
            <w:tcW w:w="1800" w:type="dxa"/>
            <w:noWrap/>
          </w:tcPr>
          <w:p w14:paraId="3E3F23F1" w14:textId="77777777" w:rsidR="004B2808" w:rsidRDefault="00000000">
            <w:pPr>
              <w:jc w:val="center"/>
            </w:pPr>
            <w:r>
              <w:t>Norme de référence</w:t>
            </w:r>
          </w:p>
        </w:tc>
        <w:tc>
          <w:tcPr>
            <w:tcW w:w="1800" w:type="dxa"/>
            <w:noWrap/>
          </w:tcPr>
          <w:p w14:paraId="1752A5B3" w14:textId="77777777" w:rsidR="004B2808" w:rsidRDefault="00000000">
            <w:pPr>
              <w:jc w:val="center"/>
            </w:pPr>
            <w:r>
              <w:t>Référence des placages extérieurs</w:t>
            </w:r>
          </w:p>
        </w:tc>
      </w:tr>
      <w:tr w:rsidR="004B2808" w14:paraId="7A6EFC87" w14:textId="77777777">
        <w:tc>
          <w:tcPr>
            <w:tcW w:w="1800" w:type="dxa"/>
            <w:noWrap/>
          </w:tcPr>
          <w:p w14:paraId="49335213" w14:textId="77777777" w:rsidR="004B2808" w:rsidRDefault="00000000">
            <w:pPr>
              <w:jc w:val="center"/>
            </w:pPr>
            <w:r>
              <w:t>Sèche - à l'intérieur</w:t>
            </w:r>
          </w:p>
        </w:tc>
        <w:tc>
          <w:tcPr>
            <w:tcW w:w="1800" w:type="dxa"/>
            <w:noWrap/>
          </w:tcPr>
          <w:p w14:paraId="50E06C08" w14:textId="77777777" w:rsidR="004B2808" w:rsidRDefault="00000000">
            <w:pPr>
              <w:jc w:val="center"/>
            </w:pPr>
            <w:r>
              <w:t>I</w:t>
            </w:r>
          </w:p>
        </w:tc>
        <w:tc>
          <w:tcPr>
            <w:tcW w:w="1800" w:type="dxa"/>
            <w:noWrap/>
          </w:tcPr>
          <w:p w14:paraId="4C9D5389" w14:textId="77777777" w:rsidR="004B2808" w:rsidRDefault="00000000">
            <w:pPr>
              <w:jc w:val="center"/>
            </w:pPr>
            <w:r>
              <w:t>1</w:t>
            </w:r>
          </w:p>
        </w:tc>
        <w:tc>
          <w:tcPr>
            <w:tcW w:w="1800" w:type="dxa"/>
            <w:noWrap/>
          </w:tcPr>
          <w:p w14:paraId="4A9A866F" w14:textId="77777777" w:rsidR="004B2808" w:rsidRDefault="00000000">
            <w:pPr>
              <w:jc w:val="center"/>
            </w:pPr>
            <w:r>
              <w:t>Panneaux de structure [NBN EN 636+A1]</w:t>
            </w:r>
          </w:p>
        </w:tc>
        <w:tc>
          <w:tcPr>
            <w:tcW w:w="1800" w:type="dxa"/>
            <w:noWrap/>
          </w:tcPr>
          <w:p w14:paraId="25243E19" w14:textId="77777777" w:rsidR="004B2808" w:rsidRDefault="00000000">
            <w:pPr>
              <w:jc w:val="center"/>
            </w:pPr>
            <w:r>
              <w:t>K - L - M - N - O</w:t>
            </w:r>
          </w:p>
        </w:tc>
      </w:tr>
      <w:tr w:rsidR="004B2808" w14:paraId="3F61F18C" w14:textId="77777777">
        <w:tc>
          <w:tcPr>
            <w:tcW w:w="1800" w:type="dxa"/>
            <w:noWrap/>
          </w:tcPr>
          <w:p w14:paraId="0EDAB0C5" w14:textId="77777777" w:rsidR="004B2808" w:rsidRDefault="00000000">
            <w:pPr>
              <w:jc w:val="center"/>
            </w:pPr>
            <w:r>
              <w:t>Humide - à l'intérieur</w:t>
            </w:r>
          </w:p>
        </w:tc>
        <w:tc>
          <w:tcPr>
            <w:tcW w:w="1800" w:type="dxa"/>
            <w:noWrap/>
          </w:tcPr>
          <w:p w14:paraId="76BC346E" w14:textId="77777777" w:rsidR="004B2808" w:rsidRDefault="00000000">
            <w:pPr>
              <w:jc w:val="center"/>
            </w:pPr>
            <w:r>
              <w:t>II</w:t>
            </w:r>
          </w:p>
        </w:tc>
        <w:tc>
          <w:tcPr>
            <w:tcW w:w="1800" w:type="dxa"/>
            <w:noWrap/>
          </w:tcPr>
          <w:p w14:paraId="2D344903" w14:textId="77777777" w:rsidR="004B2808" w:rsidRDefault="00000000">
            <w:pPr>
              <w:jc w:val="center"/>
            </w:pPr>
            <w:r>
              <w:t>2</w:t>
            </w:r>
          </w:p>
        </w:tc>
        <w:tc>
          <w:tcPr>
            <w:tcW w:w="1800" w:type="dxa"/>
            <w:noWrap/>
          </w:tcPr>
          <w:p w14:paraId="49E1C50A" w14:textId="77777777" w:rsidR="004B2808" w:rsidRDefault="00000000">
            <w:pPr>
              <w:jc w:val="center"/>
            </w:pPr>
            <w:r>
              <w:t>Panneaux de structure [NBN EN 636+A1]</w:t>
            </w:r>
          </w:p>
        </w:tc>
        <w:tc>
          <w:tcPr>
            <w:tcW w:w="1800" w:type="dxa"/>
            <w:noWrap/>
          </w:tcPr>
          <w:p w14:paraId="7550FF60" w14:textId="77777777" w:rsidR="004B2808" w:rsidRDefault="00000000">
            <w:pPr>
              <w:jc w:val="center"/>
            </w:pPr>
            <w:r>
              <w:t>F - G - H - I - J</w:t>
            </w:r>
          </w:p>
        </w:tc>
      </w:tr>
      <w:tr w:rsidR="004B2808" w14:paraId="25EA8440" w14:textId="77777777">
        <w:tc>
          <w:tcPr>
            <w:tcW w:w="1800" w:type="dxa"/>
            <w:noWrap/>
          </w:tcPr>
          <w:p w14:paraId="2B7C6273" w14:textId="77777777" w:rsidR="004B2808" w:rsidRDefault="00000000">
            <w:pPr>
              <w:jc w:val="center"/>
            </w:pPr>
            <w:r>
              <w:t>Humide - à l'intérieur</w:t>
            </w:r>
          </w:p>
        </w:tc>
        <w:tc>
          <w:tcPr>
            <w:tcW w:w="1800" w:type="dxa"/>
            <w:noWrap/>
          </w:tcPr>
          <w:p w14:paraId="5DD9A068" w14:textId="77777777" w:rsidR="004B2808" w:rsidRDefault="00000000">
            <w:pPr>
              <w:jc w:val="center"/>
            </w:pPr>
            <w:r>
              <w:t>III</w:t>
            </w:r>
          </w:p>
        </w:tc>
        <w:tc>
          <w:tcPr>
            <w:tcW w:w="1800" w:type="dxa"/>
            <w:noWrap/>
          </w:tcPr>
          <w:p w14:paraId="00EB8C54" w14:textId="77777777" w:rsidR="004B2808" w:rsidRDefault="00000000">
            <w:pPr>
              <w:jc w:val="center"/>
            </w:pPr>
            <w:r>
              <w:t>3</w:t>
            </w:r>
          </w:p>
        </w:tc>
        <w:tc>
          <w:tcPr>
            <w:tcW w:w="1800" w:type="dxa"/>
            <w:noWrap/>
          </w:tcPr>
          <w:p w14:paraId="67731E1F" w14:textId="77777777" w:rsidR="004B2808" w:rsidRDefault="00000000">
            <w:pPr>
              <w:jc w:val="center"/>
            </w:pPr>
            <w:r>
              <w:t>Panneaux de structure [NBN EN 636+A1]</w:t>
            </w:r>
          </w:p>
        </w:tc>
        <w:tc>
          <w:tcPr>
            <w:tcW w:w="1800" w:type="dxa"/>
            <w:noWrap/>
          </w:tcPr>
          <w:p w14:paraId="46578087" w14:textId="77777777" w:rsidR="004B2808" w:rsidRDefault="00000000">
            <w:pPr>
              <w:jc w:val="center"/>
            </w:pPr>
            <w:r>
              <w:t>A - B- C - D - E</w:t>
            </w:r>
          </w:p>
        </w:tc>
      </w:tr>
    </w:tbl>
    <w:p w14:paraId="30E0507C" w14:textId="77777777" w:rsidR="004B2808" w:rsidRDefault="00000000">
      <w:r>
        <w:t> </w:t>
      </w:r>
    </w:p>
    <w:p w14:paraId="287C7898" w14:textId="77777777" w:rsidR="004B2808" w:rsidRDefault="00000000">
      <w:r>
        <w:rPr>
          <w:b/>
        </w:rPr>
        <w:t>Panneaux en bois plein</w:t>
      </w:r>
    </w:p>
    <w:p w14:paraId="4A2B2700" w14:textId="77777777" w:rsidR="004B2808" w:rsidRDefault="00000000">
      <w:r>
        <w:lastRenderedPageBreak/>
        <w:t>Conformément à la  [NBN EN 12775]</w:t>
      </w:r>
    </w:p>
    <w:p w14:paraId="74840549" w14:textId="77777777" w:rsidR="004B2808" w:rsidRDefault="00000000">
      <w:r>
        <w:rPr>
          <w:b/>
        </w:rPr>
        <w:t>MDF</w:t>
      </w:r>
      <w:r>
        <w:t xml:space="preserve"> (Medium Density Fiberboard)</w:t>
      </w:r>
    </w:p>
    <w:p w14:paraId="07CBBD01" w14:textId="77777777" w:rsidR="004B2808" w:rsidRDefault="00000000">
      <w:pPr>
        <w:pStyle w:val="Author-eListParagraph"/>
        <w:numPr>
          <w:ilvl w:val="0"/>
          <w:numId w:val="5"/>
        </w:numPr>
      </w:pPr>
      <w:r>
        <w:t>Panneaux plats de fibres comprimées à base de fibres de bois séchées et assemblées avec des résines.</w:t>
      </w:r>
    </w:p>
    <w:p w14:paraId="2E1E9007" w14:textId="77777777" w:rsidR="004B2808" w:rsidRDefault="00000000">
      <w:pPr>
        <w:pStyle w:val="Author-eListParagraph"/>
        <w:numPr>
          <w:ilvl w:val="0"/>
          <w:numId w:val="5"/>
        </w:numPr>
      </w:pPr>
      <w:r>
        <w:t xml:space="preserve">Spécifications techniques : </w:t>
      </w:r>
    </w:p>
    <w:p w14:paraId="65882D04" w14:textId="77777777" w:rsidR="004B2808" w:rsidRDefault="00000000">
      <w:pPr>
        <w:pStyle w:val="Author-eListParagraph"/>
        <w:numPr>
          <w:ilvl w:val="1"/>
          <w:numId w:val="6"/>
        </w:numPr>
      </w:pPr>
      <w:r>
        <w:t>masse volumique comprise entre 600 et 900 kg/m3</w:t>
      </w:r>
    </w:p>
    <w:p w14:paraId="3433CF71" w14:textId="77777777" w:rsidR="004B2808" w:rsidRDefault="00000000">
      <w:pPr>
        <w:pStyle w:val="Author-eListParagraph"/>
        <w:numPr>
          <w:ilvl w:val="1"/>
          <w:numId w:val="6"/>
        </w:numPr>
      </w:pPr>
      <w:r>
        <w:t>résistance à la flexion entre 20 et 40 N/mm2</w:t>
      </w:r>
    </w:p>
    <w:p w14:paraId="42A9E57D" w14:textId="77777777" w:rsidR="004B2808" w:rsidRDefault="00000000">
      <w:pPr>
        <w:pStyle w:val="Author-eListParagraph"/>
        <w:numPr>
          <w:ilvl w:val="1"/>
          <w:numId w:val="6"/>
        </w:numPr>
      </w:pPr>
      <w:r>
        <w:t>module d'élasticité entre 2000 et 3000 N/mm2</w:t>
      </w:r>
    </w:p>
    <w:p w14:paraId="0AD5B22C" w14:textId="77777777" w:rsidR="004B2808" w:rsidRDefault="00000000">
      <w:pPr>
        <w:pStyle w:val="Author-eListParagraph"/>
        <w:numPr>
          <w:ilvl w:val="1"/>
          <w:numId w:val="6"/>
        </w:numPr>
      </w:pPr>
      <w:r>
        <w:t>[Buildwise Article Revue (1997-02-29)]</w:t>
      </w:r>
    </w:p>
    <w:p w14:paraId="4320F995" w14:textId="77777777" w:rsidR="004B2808" w:rsidRDefault="00000000">
      <w:r>
        <w:rPr>
          <w:b/>
        </w:rPr>
        <w:t>Panneaux OSB</w:t>
      </w:r>
    </w:p>
    <w:p w14:paraId="63139A6D" w14:textId="77777777" w:rsidR="004B2808" w:rsidRDefault="00000000">
      <w:r>
        <w:t>Conformément à la norme  [NBN EN 300] </w:t>
      </w:r>
    </w:p>
    <w:p w14:paraId="02182483" w14:textId="77777777" w:rsidR="004B2808" w:rsidRDefault="00000000">
      <w:r>
        <w:rPr>
          <w:b/>
        </w:rPr>
        <w:t>Panneaux HPL</w:t>
      </w:r>
      <w:r>
        <w:t xml:space="preserve"> (Stratifiés décoratifs haute pression)</w:t>
      </w:r>
    </w:p>
    <w:p w14:paraId="733D720E" w14:textId="77777777" w:rsidR="004B2808" w:rsidRDefault="00000000">
      <w:pPr>
        <w:pStyle w:val="Author-eListParagraph"/>
        <w:numPr>
          <w:ilvl w:val="0"/>
          <w:numId w:val="7"/>
        </w:numPr>
      </w:pPr>
      <w:r>
        <w:t>[Buildwise Article Revue (2000-01-30)]</w:t>
      </w:r>
    </w:p>
    <w:p w14:paraId="174D7355" w14:textId="77777777" w:rsidR="004B2808" w:rsidRDefault="00000000">
      <w:pPr>
        <w:pStyle w:val="Author-eListParagraph"/>
        <w:numPr>
          <w:ilvl w:val="0"/>
          <w:numId w:val="7"/>
        </w:numPr>
      </w:pPr>
      <w:r>
        <w:t>[Buildwise Article Revue (2000-02-29)]</w:t>
      </w:r>
    </w:p>
    <w:p w14:paraId="114E522F" w14:textId="77777777" w:rsidR="004B2808" w:rsidRDefault="00000000">
      <w:r>
        <w:rPr>
          <w:b/>
        </w:rPr>
        <w:t xml:space="preserve">Panneaux de résine synthétique </w:t>
      </w:r>
    </w:p>
    <w:p w14:paraId="04B38170" w14:textId="77777777" w:rsidR="004B2808" w:rsidRDefault="00000000">
      <w:pPr>
        <w:pStyle w:val="Author-eListParagraph"/>
        <w:numPr>
          <w:ilvl w:val="0"/>
          <w:numId w:val="8"/>
        </w:numPr>
      </w:pPr>
      <w:r>
        <w:t>Panneaux de construction à base de résines synthétiques thermodurcissables renforcées de fibres de cellulose.</w:t>
      </w:r>
    </w:p>
    <w:p w14:paraId="7579472D" w14:textId="77777777" w:rsidR="004B2808" w:rsidRDefault="00000000">
      <w:pPr>
        <w:pStyle w:val="Author-eListParagraph"/>
        <w:numPr>
          <w:ilvl w:val="0"/>
          <w:numId w:val="8"/>
        </w:numPr>
      </w:pPr>
      <w:r>
        <w:t>Les deux faces des panneaux ont un revêtement décoratif.</w:t>
      </w:r>
    </w:p>
    <w:p w14:paraId="48AC90F8" w14:textId="77777777" w:rsidR="004B2808" w:rsidRDefault="00000000">
      <w:pPr>
        <w:pStyle w:val="Author-eListParagraph"/>
        <w:numPr>
          <w:ilvl w:val="0"/>
          <w:numId w:val="8"/>
        </w:numPr>
      </w:pPr>
      <w:r>
        <w:t>Les panneaux conviennent pour usage en milieu extérieur et/ou dans les locaux humides (salles de bains). </w:t>
      </w:r>
    </w:p>
    <w:p w14:paraId="1F424B3E" w14:textId="77777777" w:rsidR="004B2808" w:rsidRDefault="00000000">
      <w:pPr>
        <w:pStyle w:val="heading"/>
      </w:pPr>
      <w:r>
        <w:t>Lattage en bois</w:t>
      </w:r>
    </w:p>
    <w:p w14:paraId="4D4D587F" w14:textId="77777777" w:rsidR="004B2808" w:rsidRDefault="00000000">
      <w:r>
        <w:t xml:space="preserve">Tout le bois de structure doit répondre aux exigences des [STS 31+ 32] et [NBN EN 942]. Le bois a subi un traitement insecticide et fongicide incolore selon le procédé A1 conformément aux </w:t>
      </w:r>
      <w:r>
        <w:rPr>
          <w:shd w:val="clear" w:color="auto" w:fill="FFFFFF"/>
        </w:rPr>
        <w:t xml:space="preserve">[STS 04.3] ; </w:t>
      </w:r>
      <w:r>
        <w:t>le certificat d'imprégnation est soumis à la demande de l'auteur de projet. Le degré d'humidité du bois est inférieur à 18 %.</w:t>
      </w:r>
    </w:p>
    <w:p w14:paraId="2B48EB36" w14:textId="77777777" w:rsidR="004B2808" w:rsidRDefault="00000000">
      <w:pPr>
        <w:pStyle w:val="heading"/>
      </w:pPr>
      <w:r>
        <w:t>Moyens d'assemblage</w:t>
      </w:r>
    </w:p>
    <w:p w14:paraId="27743FC0" w14:textId="77777777" w:rsidR="004B2808" w:rsidRDefault="00000000">
      <w:r>
        <w:t>Tous les moyens d'assemblages utilisés (clous, boulons, pointes, vis, agrafes, colles, …) satisfont aux [STS 06.8]. Tous les éléments en métal ont subi un traitement contre la corrosion, soit par galvanisation, soit par cadmiage conformément aux normes belges et/ou européennes.</w:t>
      </w:r>
    </w:p>
    <w:p w14:paraId="31BE6704" w14:textId="77777777" w:rsidR="004B2808" w:rsidRDefault="00000000">
      <w:pPr>
        <w:pStyle w:val="pheading"/>
      </w:pPr>
      <w:r>
        <w:t>EXÉCUTION / MISE EN ŒUVRE</w:t>
      </w:r>
    </w:p>
    <w:p w14:paraId="7082DC1E" w14:textId="77777777" w:rsidR="004B2808" w:rsidRDefault="00000000">
      <w:pPr>
        <w:pStyle w:val="heading"/>
      </w:pPr>
      <w:r>
        <w:t>Généralités</w:t>
      </w:r>
    </w:p>
    <w:p w14:paraId="674358AB" w14:textId="77777777" w:rsidR="004B2808" w:rsidRDefault="00000000">
      <w:r>
        <w:t>Afin de réaliser une exécution impeccable, les revêtements en plaques sont exécutés par un entrepreneur ou un sous-traitant spécialisé.</w:t>
      </w:r>
    </w:p>
    <w:p w14:paraId="1DAD7602" w14:textId="77777777" w:rsidR="004B2808" w:rsidRDefault="00000000">
      <w:pPr>
        <w:pStyle w:val="Author-eListParagraph"/>
        <w:numPr>
          <w:ilvl w:val="0"/>
          <w:numId w:val="9"/>
        </w:numPr>
      </w:pPr>
      <w:r>
        <w:t>Avant de commencer, l'entrepreneur doit se renseigner sur les conditions d'exécution. Les travaux sont exécutés dans un espace à l'abri du vent et de la pluie et, s'il y a risque de déformations suite à un excès d'humidité, dans un bâtiment sec.</w:t>
      </w:r>
    </w:p>
    <w:p w14:paraId="2294F50F" w14:textId="77777777" w:rsidR="004B2808" w:rsidRDefault="00000000">
      <w:pPr>
        <w:pStyle w:val="Author-eListParagraph"/>
        <w:numPr>
          <w:ilvl w:val="0"/>
          <w:numId w:val="9"/>
        </w:numPr>
      </w:pPr>
      <w:r>
        <w:t>L'entrepreneur vérifie si le support est suffisamment plan, d'équerre, sec, propre, stable et cohérent et le rend approprié au besoin. Lorsque des défauts visibles risquent de nuire à la qualité de l'exécution, l'entrepreneur en avertit l'auteur de projet en temps utile.</w:t>
      </w:r>
    </w:p>
    <w:p w14:paraId="4789FB1E" w14:textId="77777777" w:rsidR="004B2808" w:rsidRDefault="00000000">
      <w:pPr>
        <w:pStyle w:val="Author-eListParagraph"/>
        <w:numPr>
          <w:ilvl w:val="0"/>
          <w:numId w:val="9"/>
        </w:numPr>
      </w:pPr>
      <w:r>
        <w:t>Pour l'application des revêtements en plaques, l'entrepreneur tient compte de la situation existante, c'est-à-dire des poutres fléchissantes, des consoles, des installations techniques en place et/ou encore à réaliser, des conduites, … En concertations avec les différents installateurs, il prévoit toutes les réservations, renforts, etc. nécessaires en tenant compte de la finition prescrite. A la demande de la direction des travaux, l'entrepreneur soumet à cet effet les dessins de détail nécessaires.</w:t>
      </w:r>
    </w:p>
    <w:p w14:paraId="1373905B" w14:textId="77777777" w:rsidR="004B2808" w:rsidRDefault="00000000">
      <w:pPr>
        <w:pStyle w:val="Author-eListParagraph"/>
        <w:numPr>
          <w:ilvl w:val="0"/>
          <w:numId w:val="9"/>
        </w:numPr>
      </w:pPr>
      <w:r>
        <w:t>Les finitions et les fixations doivent répondre aux différentes sollicitations auxquelles l'ensemble est soumis en fonction du poids des structures suspendues à la finition et/ou des éléments fixés à la finition.</w:t>
      </w:r>
    </w:p>
    <w:p w14:paraId="5375C075" w14:textId="77777777" w:rsidR="004B2808" w:rsidRDefault="00000000">
      <w:pPr>
        <w:pStyle w:val="Author-eListParagraph"/>
        <w:numPr>
          <w:ilvl w:val="0"/>
          <w:numId w:val="9"/>
        </w:numPr>
      </w:pPr>
      <w:r>
        <w:lastRenderedPageBreak/>
        <w:t>La fixation de l'ensemble aux structures portantes se fait selon la proposition établie par l'entrepreneur. Ce dernier soumet, le cas échéant, les plans d'exécution qu'il a élaborés.</w:t>
      </w:r>
    </w:p>
    <w:p w14:paraId="67653AB1" w14:textId="77777777" w:rsidR="004B2808" w:rsidRDefault="00000000">
      <w:pPr>
        <w:pStyle w:val="Author-eListParagraph"/>
        <w:numPr>
          <w:ilvl w:val="0"/>
          <w:numId w:val="9"/>
        </w:numPr>
      </w:pPr>
      <w:r>
        <w:t>Les éventuels étaiements et appuis doivent être compris. Pour l'exécution des revêtements en plaques, il est tenu compte des prescriptions du fabricant des plaques, des colles, des moyens de fixation et/ou de la structure portante à laquelle elles doivent être fixées.</w:t>
      </w:r>
    </w:p>
    <w:p w14:paraId="3189919C" w14:textId="77777777" w:rsidR="004B2808" w:rsidRDefault="00000000">
      <w:pPr>
        <w:pStyle w:val="heading"/>
      </w:pPr>
      <w:r>
        <w:t>Etudes</w:t>
      </w:r>
    </w:p>
    <w:p w14:paraId="05A3EA70" w14:textId="77777777" w:rsidR="004B2808" w:rsidRDefault="00000000">
      <w:r>
        <w:t>Lorsque des performances particulières sont exigées au niveau acoustique et/ou du point de vue de la résistance au feu, l'entrepreneur effectue, en se basant sur les plans d'adjudication, une étude en vue d'obtenir les classes de performance prescrites, conformément aux normes reprises dans les documents d’exécution de référence.    </w:t>
      </w:r>
    </w:p>
    <w:p w14:paraId="7C657937" w14:textId="77777777" w:rsidR="004B2808" w:rsidRDefault="00000000">
      <w:pPr>
        <w:pStyle w:val="heading"/>
      </w:pPr>
      <w:r>
        <w:t>Joints de dilatation</w:t>
      </w:r>
    </w:p>
    <w:p w14:paraId="5BE82B77" w14:textId="77777777" w:rsidR="004B2808" w:rsidRDefault="00000000">
      <w:r>
        <w:t>L'entrepreneur est responsable de l'exécution des revêtements de murs et plafonds sans fissures et il respecte les joints de dilatation selon les indications sur les plans, les prescriptions du fabricant et/ou sa propre expérience. Lorsqu'il est nécessaire de prévoir des joints de mouvement supplémentaires pour absorber les fissures dans le support, il soumet le problème à l'auteur de projet.</w:t>
      </w:r>
    </w:p>
    <w:p w14:paraId="74D85110" w14:textId="77777777" w:rsidR="004B2808" w:rsidRDefault="00000000">
      <w:r>
        <w:rPr>
          <w:b/>
          <w:sz w:val="24"/>
        </w:rPr>
        <w:t>Sécurité</w:t>
      </w:r>
    </w:p>
    <w:p w14:paraId="29AAD50A" w14:textId="77777777" w:rsidR="004B2808" w:rsidRDefault="00000000">
      <w:r>
        <w:t>Conformément au chapitre 01.45 PSS travaux de parachèvement intérieur, établie par le coordinateur-projet et annexée au présent cahier des charges. Toutes les directives en la matière et les indications concrètes du coordinateur-réalisation sont scrupuleusement respectées.</w:t>
      </w:r>
    </w:p>
    <w:p w14:paraId="19BBAEC9" w14:textId="77777777" w:rsidR="004B2808" w:rsidRDefault="00000000">
      <w:r>
        <w:rPr>
          <w:b/>
          <w:sz w:val="24"/>
        </w:rPr>
        <w:t>Sécurisation incendie</w:t>
      </w:r>
    </w:p>
    <w:p w14:paraId="502D19CE" w14:textId="77777777" w:rsidR="004B2808" w:rsidRDefault="00000000">
      <w:pPr>
        <w:pStyle w:val="Author-eListParagraph"/>
        <w:numPr>
          <w:ilvl w:val="0"/>
          <w:numId w:val="10"/>
        </w:numPr>
      </w:pPr>
      <w:r>
        <w:t>Les plaques doivent satisfaire aux exigences de réaction et de résistance au feu en fonction du type de bâtiment et de la destination des locaux dont elles font partie.</w:t>
      </w:r>
    </w:p>
    <w:p w14:paraId="6D43C3EF" w14:textId="77777777" w:rsidR="004B2808" w:rsidRDefault="00000000">
      <w:pPr>
        <w:pStyle w:val="Author-eListParagraph"/>
        <w:numPr>
          <w:ilvl w:val="0"/>
          <w:numId w:val="10"/>
        </w:numPr>
      </w:pPr>
      <w:r>
        <w:t>Support aux prescripteurs : [SWL GSI/T1/B] et [SWL GSI/T1/C] de la prévention passive référencés dans le tome 0 T0 Entreprise / Chantier de ce cahier des charges.</w:t>
      </w:r>
    </w:p>
    <w:p w14:paraId="5BC08855" w14:textId="77777777" w:rsidR="004B2808" w:rsidRDefault="00000000">
      <w:pPr>
        <w:pStyle w:val="pheading"/>
      </w:pPr>
      <w:r>
        <w:t>CONTRÔLES</w:t>
      </w:r>
    </w:p>
    <w:p w14:paraId="043AFCEC" w14:textId="77777777" w:rsidR="004B2808" w:rsidRDefault="00000000">
      <w:r>
        <w:t>La composition des murs / plafonds / … terminés doit satisfaire à toutes les exigences formulées dans le cahier spécial des charges et/ou par les pompiers en matière d'isolation acoustique et de résistance au feu. En fonction de la finition prescrite, les surfaces ainsi que les jonctions avec les autres revêtements (plafonnage, …) constituent un ouvrage soigné et prêt à peindre.</w:t>
      </w:r>
    </w:p>
    <w:p w14:paraId="6605AD9E" w14:textId="77777777" w:rsidR="004B2808" w:rsidRDefault="00000000">
      <w:pPr>
        <w:pStyle w:val="Author-eSectionHeading4Numberless"/>
      </w:pPr>
      <w:bookmarkStart w:id="6" w:name="_Toc220490223"/>
      <w:r>
        <w:t>51.11 Cloison fixe légère creuse CCTB 01.12</w:t>
      </w:r>
      <w:bookmarkEnd w:id="6"/>
    </w:p>
    <w:p w14:paraId="02E275F9" w14:textId="77777777" w:rsidR="004B2808" w:rsidRDefault="00000000">
      <w:pPr>
        <w:pStyle w:val="pheading"/>
      </w:pPr>
      <w:bookmarkStart w:id="7" w:name="1349"/>
      <w:bookmarkEnd w:id="7"/>
      <w:r>
        <w:t>DESCRIPTION</w:t>
      </w:r>
    </w:p>
    <w:p w14:paraId="44D47054" w14:textId="77777777" w:rsidR="004B2808" w:rsidRDefault="00000000">
      <w:pPr>
        <w:pStyle w:val="pheading"/>
      </w:pPr>
      <w:r>
        <w:t>- Définition / Comprend</w:t>
      </w:r>
    </w:p>
    <w:p w14:paraId="24E61A11" w14:textId="77777777" w:rsidR="004B2808" w:rsidRDefault="00000000">
      <w:r>
        <w:t>Il s'agit de la fourniture et de la pose de tous les matériaux en vue de la réalisation de cloisons intérieures non portantes et creuses (et, éventuellement, les caissons verticaux intégrés pour les conduites), y compris toute la structure portante, les panneaux, les matériaux d'isolation prescrits, les moyens de fixation et la finition prête à peindre. </w:t>
      </w:r>
    </w:p>
    <w:p w14:paraId="2A82B699" w14:textId="77777777" w:rsidR="004B2808" w:rsidRDefault="00000000">
      <w:pPr>
        <w:pStyle w:val="pheading"/>
      </w:pPr>
      <w:r>
        <w:t>EXÉCUTION / MISE EN ŒUVRE</w:t>
      </w:r>
    </w:p>
    <w:p w14:paraId="73A3DCCD" w14:textId="77777777" w:rsidR="004B2808" w:rsidRDefault="00000000">
      <w:pPr>
        <w:pStyle w:val="heading"/>
      </w:pPr>
      <w:r>
        <w:t>Structure portante</w:t>
      </w:r>
    </w:p>
    <w:p w14:paraId="705AA0C7" w14:textId="77777777" w:rsidR="004B2808" w:rsidRDefault="00000000">
      <w:r>
        <w:t>Les cloisons intérieures sont posées selon les prescriptions de la [NIT 233] et les directives du fabricant. Les cloisons non portantes sont constituées d'une ossature en </w:t>
      </w:r>
      <w:r>
        <w:rPr>
          <w:rStyle w:val="optioncarChar"/>
        </w:rPr>
        <w:t>bois</w:t>
      </w:r>
      <w:r>
        <w:t> (par défaut)</w:t>
      </w:r>
      <w:r>
        <w:rPr>
          <w:rStyle w:val="optioncarChar"/>
        </w:rPr>
        <w:t xml:space="preserve"> / métal / ***</w:t>
      </w:r>
      <w:r>
        <w:t xml:space="preserve"> recouverte.</w:t>
      </w:r>
    </w:p>
    <w:p w14:paraId="5FD6D951" w14:textId="77777777" w:rsidR="004B2808" w:rsidRDefault="00000000">
      <w:pPr>
        <w:ind w:left="450"/>
      </w:pPr>
      <w:r>
        <w:t>Choix opéré : </w:t>
      </w:r>
      <w:r>
        <w:rPr>
          <w:rStyle w:val="optioncarChar"/>
          <w:b/>
        </w:rPr>
        <w:t>bois </w:t>
      </w:r>
      <w:r>
        <w:t>(par défaut)</w:t>
      </w:r>
      <w:r>
        <w:rPr>
          <w:rStyle w:val="optioncarChar"/>
          <w:b/>
        </w:rPr>
        <w:t xml:space="preserve"> / métal</w:t>
      </w:r>
    </w:p>
    <w:p w14:paraId="505BEF56" w14:textId="77777777" w:rsidR="004B2808" w:rsidRDefault="00000000">
      <w:pPr>
        <w:ind w:left="450"/>
      </w:pPr>
      <w:r>
        <w:rPr>
          <w:b/>
        </w:rPr>
        <w:t>(Soit par défaut) </w:t>
      </w:r>
      <w:r>
        <w:t xml:space="preserve">: Le bois de charpenterie (pour les éventuelles sous-structures) doit satisfaire aux [STS 04.1] et reçoit un traitement de préservation de type A1 selon les prescriptions des [STS 04.3]. Les chevrons sont redressés et rabotés sur les faces destinées à recevoir les </w:t>
      </w:r>
      <w:r>
        <w:lastRenderedPageBreak/>
        <w:t xml:space="preserve">plaques. Les dimensions des chevrons sont déterminées en fonction de l'épaisseur totale de la cloison et de sa hauteur : (Lxl) ≥ </w:t>
      </w:r>
      <w:r>
        <w:rPr>
          <w:rStyle w:val="optioncarChar"/>
        </w:rPr>
        <w:t xml:space="preserve">75 x 48 </w:t>
      </w:r>
      <w:r>
        <w:t>(par défaut) </w:t>
      </w:r>
      <w:r>
        <w:rPr>
          <w:rStyle w:val="optioncarChar"/>
        </w:rPr>
        <w:t>/ ***x*** </w:t>
      </w:r>
      <w:r>
        <w:t>mm.</w:t>
      </w:r>
      <w:r>
        <w:br/>
      </w:r>
      <w:r>
        <w:rPr>
          <w:b/>
        </w:rPr>
        <w:t>(Soit)</w:t>
      </w:r>
      <w:r>
        <w:t xml:space="preserve"> : L'épaisseur des profils est ≥ 0,6 mm. Tous les éléments utilisés sont galvanisés (min. 275 gr./m²). Dans les profils verticaux, on prévoit des ouvertures pour le passage des conduites d'électricité. Les dimensions des profils sont déterminées en fonction de l'épaisseur totale de la cloison et de sa hauteur, conformément aux directives du fabricant. Là où des encadrements sont prévus pour les portes et fenêtres en bois, une latte en bois est embrevée dans le profil, d'une épaisseur ≥ 24 mm et de la même largeur que les montants verticaux.</w:t>
      </w:r>
    </w:p>
    <w:p w14:paraId="71F99A32" w14:textId="77777777" w:rsidR="004B2808" w:rsidRDefault="00000000">
      <w:pPr>
        <w:pStyle w:val="Author-eListParagraph"/>
        <w:numPr>
          <w:ilvl w:val="0"/>
          <w:numId w:val="11"/>
        </w:numPr>
      </w:pPr>
      <w:r>
        <w:t>Les </w:t>
      </w:r>
      <w:r>
        <w:rPr>
          <w:rStyle w:val="optioncarChar"/>
        </w:rPr>
        <w:t>supports en bois </w:t>
      </w:r>
      <w:r>
        <w:t>(par défaut)</w:t>
      </w:r>
      <w:r>
        <w:rPr>
          <w:rStyle w:val="optioncarChar"/>
        </w:rPr>
        <w:t xml:space="preserve"> / profils en métal / *** </w:t>
      </w:r>
      <w:r>
        <w:t>sont fixés au gros-œuvre avec des moyens de fixation inoxydables et en intercalant un mastic d'étanchéité ou des bandes d'étanchéité.</w:t>
      </w:r>
    </w:p>
    <w:p w14:paraId="0F9D55D8" w14:textId="77777777" w:rsidR="004B2808" w:rsidRDefault="00000000">
      <w:pPr>
        <w:pStyle w:val="Author-eListParagraph"/>
        <w:numPr>
          <w:ilvl w:val="0"/>
          <w:numId w:val="11"/>
        </w:numPr>
      </w:pPr>
      <w:r>
        <w:t>L'entrepreneur prévoit, si nécessaire, des renforcements ou des profils plus lourds selon les indications du fabricant, pour les portes et/ou fenêtres de grandes dimensions, pour la suspension des appareils sanitaires ou d'autres équipements, etc.)</w:t>
      </w:r>
    </w:p>
    <w:p w14:paraId="21F305AE" w14:textId="77777777" w:rsidR="004B2808" w:rsidRDefault="00000000">
      <w:pPr>
        <w:pStyle w:val="Author-eListParagraph"/>
        <w:numPr>
          <w:ilvl w:val="0"/>
          <w:numId w:val="11"/>
        </w:numPr>
      </w:pPr>
      <w:r>
        <w:t>Les plaques sont posées à environ 10 mm du sol. Ce joint est ensuite rejointoyé avec un mastic durablement élastique et hydrofuge.</w:t>
      </w:r>
    </w:p>
    <w:p w14:paraId="032D9F42" w14:textId="77777777" w:rsidR="004B2808" w:rsidRDefault="00000000">
      <w:pPr>
        <w:pStyle w:val="Author-eListParagraph"/>
        <w:numPr>
          <w:ilvl w:val="0"/>
          <w:numId w:val="11"/>
        </w:numPr>
      </w:pPr>
      <w:r>
        <w:t>Toutes les plaques sont obligatoirement vissées avec des vis autoforeuses à tête en trompette [NBN EN 14566+A1] . L'utilisation de clous ou d'agrafes pour la fixation des plaques n'est pas admise.  </w:t>
      </w:r>
    </w:p>
    <w:p w14:paraId="08435F8D" w14:textId="77777777" w:rsidR="004B2808" w:rsidRDefault="00000000">
      <w:pPr>
        <w:pStyle w:val="heading"/>
      </w:pPr>
      <w:r>
        <w:t>Prestations particulières</w:t>
      </w:r>
    </w:p>
    <w:p w14:paraId="1BB55D06" w14:textId="77777777" w:rsidR="004B2808" w:rsidRDefault="00000000">
      <w:r>
        <w:t>La constitution de la cloison creuse complète satisfait aux performances prescrites en matière d'isolation acoustique et/ou de résistance au feu.  </w:t>
      </w:r>
    </w:p>
    <w:p w14:paraId="17BE6D83" w14:textId="77777777" w:rsidR="004B2808" w:rsidRDefault="00000000">
      <w:pPr>
        <w:ind w:left="750"/>
      </w:pPr>
      <w:r>
        <w:t> </w:t>
      </w:r>
    </w:p>
    <w:p w14:paraId="7F7C09F9" w14:textId="77777777" w:rsidR="004B2808" w:rsidRDefault="00000000">
      <w:pPr>
        <w:pStyle w:val="Author-eSectionHeading5Numberless"/>
      </w:pPr>
      <w:bookmarkStart w:id="8" w:name="_Toc220490224"/>
      <w:r>
        <w:t>51.11.1 Parement en plaques/panneaux à base de plâtre CCTB 01.02</w:t>
      </w:r>
      <w:bookmarkEnd w:id="8"/>
    </w:p>
    <w:p w14:paraId="549793AC" w14:textId="77777777" w:rsidR="004B2808" w:rsidRDefault="00000000">
      <w:pPr>
        <w:pStyle w:val="Author-eSectionHeading6Numberless"/>
      </w:pPr>
      <w:bookmarkStart w:id="9" w:name="_Toc220490225"/>
      <w:r>
        <w:t>51.11.1a Cloisons creuses / parement en plaques/panneaux à base de plâtre CCTB 01.12</w:t>
      </w:r>
      <w:bookmarkEnd w:id="9"/>
    </w:p>
    <w:p w14:paraId="5609199B" w14:textId="77777777" w:rsidR="004B2808" w:rsidRDefault="00000000">
      <w:pPr>
        <w:pStyle w:val="pheading"/>
      </w:pPr>
      <w:r>
        <w:t>MATÉRIAUX</w:t>
      </w:r>
    </w:p>
    <w:p w14:paraId="36282D45" w14:textId="77777777" w:rsidR="004B2808" w:rsidRDefault="00000000">
      <w:pPr>
        <w:pStyle w:val="pheading"/>
      </w:pPr>
      <w:r>
        <w:t>- Caractéristiques générales</w:t>
      </w:r>
    </w:p>
    <w:p w14:paraId="3E5D815D" w14:textId="77777777" w:rsidR="004B2808" w:rsidRDefault="00000000">
      <w:r>
        <w:t xml:space="preserve">Il s'agit de cloisons non portantes constituées d'une ossature en </w:t>
      </w:r>
      <w:r>
        <w:rPr>
          <w:rStyle w:val="optioncarChar"/>
        </w:rPr>
        <w:t xml:space="preserve">bois / métal </w:t>
      </w:r>
      <w:r>
        <w:t>à revêtir.</w:t>
      </w:r>
    </w:p>
    <w:p w14:paraId="2438A9B3" w14:textId="77777777" w:rsidR="004B2808" w:rsidRDefault="00000000">
      <w:r>
        <w:rPr>
          <w:b/>
        </w:rPr>
        <w:t>(Soit par défaut) :</w:t>
      </w:r>
      <w:r>
        <w:t xml:space="preserve"> Les dimensions des supports en bois sont déterminées en fonction de l'épaisseur totale des cloisons et de leur hauteur: (Lxl ) ≥ </w:t>
      </w:r>
      <w:r>
        <w:rPr>
          <w:rStyle w:val="optioncarChar"/>
        </w:rPr>
        <w:t>75 x 48 </w:t>
      </w:r>
      <w:r>
        <w:t>(par défaut)</w:t>
      </w:r>
      <w:r>
        <w:rPr>
          <w:rStyle w:val="optioncarChar"/>
        </w:rPr>
        <w:t xml:space="preserve"> / *** x ***</w:t>
      </w:r>
      <w:r>
        <w:t xml:space="preserve"> mm. L'espacement des lattes est de ≤ </w:t>
      </w:r>
      <w:r>
        <w:rPr>
          <w:rStyle w:val="optioncarChar"/>
        </w:rPr>
        <w:t xml:space="preserve">40 / 60 </w:t>
      </w:r>
      <w:r>
        <w:rPr>
          <w:rStyle w:val="normalChar"/>
          <w:color w:val="000000"/>
        </w:rPr>
        <w:t>cm</w:t>
      </w:r>
      <w:r>
        <w:rPr>
          <w:rStyle w:val="optioncarChar"/>
          <w:color w:val="000000"/>
        </w:rPr>
        <w:t>.</w:t>
      </w:r>
    </w:p>
    <w:p w14:paraId="2CD2F47F" w14:textId="77777777" w:rsidR="004B2808" w:rsidRDefault="00000000">
      <w:r>
        <w:rPr>
          <w:b/>
        </w:rPr>
        <w:t>(Soit) :</w:t>
      </w:r>
      <w:r>
        <w:t xml:space="preserve"> Les dimensions des profils métalliques sont déterminées en fonction de l'épaisseur totale des cloisons et de leur hauteur, selon les directives du fabricant . L'épaisseur des profils est d'au moins </w:t>
      </w:r>
      <w:r>
        <w:rPr>
          <w:rStyle w:val="optioncarChar"/>
        </w:rPr>
        <w:t xml:space="preserve">0,6 </w:t>
      </w:r>
      <w:r>
        <w:t>(par défaut) </w:t>
      </w:r>
      <w:r>
        <w:rPr>
          <w:rStyle w:val="optioncarChar"/>
        </w:rPr>
        <w:t>/ *** </w:t>
      </w:r>
      <w:r>
        <w:t>mm.</w:t>
      </w:r>
    </w:p>
    <w:p w14:paraId="33FA7604" w14:textId="77777777" w:rsidR="004B2808" w:rsidRDefault="00000000">
      <w:pPr>
        <w:pStyle w:val="heading"/>
      </w:pPr>
      <w:r>
        <w:t>Spécifications - plaques de plâtre enrobées de carton</w:t>
      </w:r>
    </w:p>
    <w:p w14:paraId="2A8E550A" w14:textId="77777777" w:rsidR="004B2808" w:rsidRDefault="00000000">
      <w:r>
        <w:t>Type :  </w:t>
      </w:r>
      <w:r>
        <w:rPr>
          <w:rStyle w:val="optioncarChar"/>
        </w:rPr>
        <w:t>A / F (à cohésion améliorée de l’âme à haute température aussi appelée « plaque Rf ») / P (plaques aptes à recevoir un enduit au plâtre) / H (à taux d’absorption d’eau réduit) selon [NBN EN 520+A1]</w:t>
      </w:r>
    </w:p>
    <w:p w14:paraId="31613574" w14:textId="77777777" w:rsidR="004B2808" w:rsidRDefault="00000000">
      <w:r>
        <w:t>Dimensions des plaques :</w:t>
      </w:r>
    </w:p>
    <w:p w14:paraId="794C6E4A" w14:textId="77777777" w:rsidR="004B2808" w:rsidRDefault="00000000">
      <w:pPr>
        <w:pStyle w:val="Author-eListParagraph"/>
        <w:numPr>
          <w:ilvl w:val="0"/>
          <w:numId w:val="12"/>
        </w:numPr>
      </w:pPr>
      <w:r>
        <w:rPr>
          <w:rStyle w:val="optioncarChar"/>
          <w:color w:val="000000"/>
        </w:rPr>
        <w:t>Epaisseur des plaques :</w:t>
      </w:r>
      <w:r>
        <w:rPr>
          <w:rStyle w:val="optioncarChar"/>
        </w:rPr>
        <w:t xml:space="preserve"> 9,5</w:t>
      </w:r>
      <w:r>
        <w:t> (par défaut)</w:t>
      </w:r>
      <w:r>
        <w:rPr>
          <w:rStyle w:val="optioncarChar"/>
        </w:rPr>
        <w:t xml:space="preserve"> / 12,5 / 15 / *** </w:t>
      </w:r>
      <w:r>
        <w:rPr>
          <w:rStyle w:val="optioncarChar"/>
          <w:color w:val="000000"/>
        </w:rPr>
        <w:t>mm</w:t>
      </w:r>
    </w:p>
    <w:p w14:paraId="04301435" w14:textId="77777777" w:rsidR="004B2808" w:rsidRDefault="00000000">
      <w:pPr>
        <w:pStyle w:val="Author-eListParagraph"/>
        <w:numPr>
          <w:ilvl w:val="0"/>
          <w:numId w:val="12"/>
        </w:numPr>
      </w:pPr>
      <w:r>
        <w:t>Largeur :</w:t>
      </w:r>
      <w:r>
        <w:rPr>
          <w:rStyle w:val="optioncarChar"/>
        </w:rPr>
        <w:t xml:space="preserve"> 600 / 1200 </w:t>
      </w:r>
      <w:r>
        <w:rPr>
          <w:rStyle w:val="optioncarChar"/>
          <w:color w:val="000000"/>
        </w:rPr>
        <w:t>mm</w:t>
      </w:r>
      <w:r>
        <w:rPr>
          <w:rStyle w:val="optioncarChar"/>
        </w:rPr>
        <w:t xml:space="preserve"> / au choix de l'entrepreneur</w:t>
      </w:r>
    </w:p>
    <w:p w14:paraId="4383EA87" w14:textId="77777777" w:rsidR="004B2808" w:rsidRDefault="00000000">
      <w:pPr>
        <w:pStyle w:val="Author-eListParagraph"/>
        <w:numPr>
          <w:ilvl w:val="0"/>
          <w:numId w:val="12"/>
        </w:numPr>
      </w:pPr>
      <w:r>
        <w:t xml:space="preserve">Longueur : </w:t>
      </w:r>
      <w:r>
        <w:rPr>
          <w:rStyle w:val="optioncarChar"/>
        </w:rPr>
        <w:t>au moins la hauteur libre du local </w:t>
      </w:r>
      <w:r>
        <w:t>(par défaut)</w:t>
      </w:r>
      <w:r>
        <w:rPr>
          <w:rStyle w:val="optioncarChar"/>
        </w:rPr>
        <w:t xml:space="preserve"> / ***</w:t>
      </w:r>
    </w:p>
    <w:p w14:paraId="36C91C81" w14:textId="77777777" w:rsidR="004B2808" w:rsidRDefault="00000000">
      <w:pPr>
        <w:ind w:left="454"/>
      </w:pPr>
      <w:r>
        <w:t>Bords longitudinaux selon [NBN EN 520+A1] :</w:t>
      </w:r>
    </w:p>
    <w:p w14:paraId="5C574413" w14:textId="77777777" w:rsidR="004B2808" w:rsidRDefault="00000000">
      <w:r>
        <w:t xml:space="preserve">pour les plaques de type A, F et H : </w:t>
      </w:r>
      <w:r>
        <w:rPr>
          <w:rStyle w:val="optioncarChar"/>
        </w:rPr>
        <w:t xml:space="preserve">droit / biseauté / aminci / semi-arrondi / aminci semi-arrondi / arrondi </w:t>
      </w:r>
    </w:p>
    <w:p w14:paraId="1ADB641F" w14:textId="77777777" w:rsidR="004B2808" w:rsidRDefault="00000000">
      <w:r>
        <w:lastRenderedPageBreak/>
        <w:t>pour les plaques de type P</w:t>
      </w:r>
      <w:r>
        <w:rPr>
          <w:rStyle w:val="optioncarChar"/>
        </w:rPr>
        <w:t> : droit / arrondi</w:t>
      </w:r>
    </w:p>
    <w:p w14:paraId="6D9CBD38" w14:textId="77777777" w:rsidR="004B2808" w:rsidRDefault="00000000">
      <w:r>
        <w:t>Selon la [Décision 2003/593/CE] et les conditions qui y sont reprises, les plaques de parement en plâtre (sauf plaques perforées) appartiennent à la classe de réaction au feu A2-s1, d0 pour autant que ces plaques soient montées et fixées in situ selon des conditions bien précises :</w:t>
      </w:r>
    </w:p>
    <w:p w14:paraId="311403E2" w14:textId="77777777" w:rsidR="004B2808" w:rsidRDefault="00000000">
      <w:pPr>
        <w:pStyle w:val="Author-eListParagraph"/>
        <w:numPr>
          <w:ilvl w:val="0"/>
          <w:numId w:val="13"/>
        </w:numPr>
      </w:pPr>
      <w:r>
        <w:t>Fixation mécanique sur une sous-structure en métal ou en bois ; la cavité entre les plaques et l’ossature peut rester libre ou être comblée au moyen d’un matériau isolant de la classe de réaction au feu A2-s1, d0.</w:t>
      </w:r>
    </w:p>
    <w:p w14:paraId="67E5B65D" w14:textId="77777777" w:rsidR="004B2808" w:rsidRDefault="00000000">
      <w:pPr>
        <w:pStyle w:val="Author-eListParagraph"/>
        <w:numPr>
          <w:ilvl w:val="0"/>
          <w:numId w:val="13"/>
        </w:numPr>
      </w:pPr>
      <w:r>
        <w:t>Fixation directe ou collage sur un support continu présentant au moins une réaction au feu de classe A2-s1, d0.  </w:t>
      </w:r>
    </w:p>
    <w:p w14:paraId="7291EFA4" w14:textId="77777777" w:rsidR="004B2808" w:rsidRDefault="00000000">
      <w:pPr>
        <w:pStyle w:val="heading"/>
      </w:pPr>
      <w:r>
        <w:t>Spécifications - matériau d'isolation</w:t>
      </w:r>
    </w:p>
    <w:p w14:paraId="63A348F5" w14:textId="77777777" w:rsidR="004B2808" w:rsidRDefault="00000000">
      <w:r>
        <w:t xml:space="preserve">Nature : </w:t>
      </w:r>
      <w:r>
        <w:rPr>
          <w:rStyle w:val="optioncarChar"/>
        </w:rPr>
        <w:t>laine minérale selon les [STS 08.82] type TS </w:t>
      </w:r>
      <w:r>
        <w:t>(par défaut)</w:t>
      </w:r>
      <w:r>
        <w:rPr>
          <w:rStyle w:val="optioncarChar"/>
        </w:rPr>
        <w:t xml:space="preserve"> / ***</w:t>
      </w:r>
    </w:p>
    <w:p w14:paraId="0A32CBE1" w14:textId="77777777" w:rsidR="004B2808" w:rsidRDefault="00000000">
      <w:r>
        <w:t>Conductibilité thermique : maximum 0,034 W/mk à 10°C (selon la [NBN B 62-201] )</w:t>
      </w:r>
    </w:p>
    <w:p w14:paraId="59C4274A" w14:textId="77777777" w:rsidR="004B2808" w:rsidRDefault="00000000">
      <w:r>
        <w:t xml:space="preserve">Masse volumique : </w:t>
      </w:r>
      <w:r>
        <w:rPr>
          <w:rStyle w:val="optioncarChar"/>
        </w:rPr>
        <w:t>laine de verre d’au moins 16 kg/m3 / laine de roche d’au moins 30 kg/m3.</w:t>
      </w:r>
    </w:p>
    <w:p w14:paraId="552436B2" w14:textId="77777777" w:rsidR="004B2808" w:rsidRDefault="00000000">
      <w:r>
        <w:t>Selon la Décision du 4 octobre 1996 ([Décision 96/603/CE]) et les conditions qui y sont reprises, la laine minérale appartient à la classe de réaction au feu A1. </w:t>
      </w:r>
    </w:p>
    <w:p w14:paraId="69532B52" w14:textId="77777777" w:rsidR="004B2808" w:rsidRDefault="00000000">
      <w:r>
        <w:t xml:space="preserve">Epaisseur des plaques : minimum </w:t>
      </w:r>
      <w:r>
        <w:rPr>
          <w:rStyle w:val="optioncarChar"/>
        </w:rPr>
        <w:t>50 </w:t>
      </w:r>
      <w:r>
        <w:t>(par défaut)</w:t>
      </w:r>
      <w:r>
        <w:rPr>
          <w:rStyle w:val="optioncarChar"/>
        </w:rPr>
        <w:t> /***</w:t>
      </w:r>
      <w:r>
        <w:t xml:space="preserve"> mm.</w:t>
      </w:r>
    </w:p>
    <w:p w14:paraId="36B1CEC4" w14:textId="77777777" w:rsidR="004B2808" w:rsidRDefault="00000000">
      <w:pPr>
        <w:pStyle w:val="facult"/>
      </w:pPr>
      <w:r>
        <w:rPr>
          <w:color w:val="000000"/>
        </w:rPr>
        <w:t>L'ensemble de la cloison présente une résistance au feu de</w:t>
      </w:r>
      <w:r>
        <w:rPr>
          <w:rStyle w:val="optioncarChar"/>
          <w:color w:val="000000"/>
        </w:rPr>
        <w:t>EI</w:t>
      </w:r>
      <w:r>
        <w:rPr>
          <w:rStyle w:val="optioncarChar"/>
        </w:rPr>
        <w:t xml:space="preserve"> 30 / 60 / 120 selon la </w:t>
      </w:r>
      <w:r>
        <w:t>[NBN EN 13501-2]</w:t>
      </w:r>
      <w:r>
        <w:rPr>
          <w:rStyle w:val="optioncarChar"/>
        </w:rPr>
        <w:t xml:space="preserve"> (ou </w:t>
      </w:r>
      <w:r>
        <w:rPr>
          <w:rStyle w:val="optioncarChar"/>
          <w:color w:val="000000"/>
        </w:rPr>
        <w:t>Rf</w:t>
      </w:r>
      <w:r>
        <w:rPr>
          <w:rStyle w:val="optioncarChar"/>
        </w:rPr>
        <w:t xml:space="preserve"> 1/2  /  1  /  2 </w:t>
      </w:r>
      <w:r>
        <w:rPr>
          <w:rStyle w:val="optioncarChar"/>
          <w:color w:val="000000"/>
        </w:rPr>
        <w:t xml:space="preserve">h </w:t>
      </w:r>
      <w:r>
        <w:rPr>
          <w:rStyle w:val="Titre2Car"/>
          <w:color w:val="000000"/>
        </w:rPr>
        <w:t>selon la [NBN 713-020] tant qu’elle est encore d’application</w:t>
      </w:r>
      <w:r>
        <w:rPr>
          <w:rStyle w:val="optioncarChar"/>
          <w:color w:val="000000"/>
        </w:rPr>
        <w:t>)</w:t>
      </w:r>
      <w:r>
        <w:rPr>
          <w:rStyle w:val="Titre2Car"/>
          <w:color w:val="000000"/>
        </w:rPr>
        <w:t>. La performance de résistance au feu est attestée conformément aux prescriptions reprises dans l’arrêté royal Normes de base du 13 juin 2007 modifiant l’arrêté royal [AR 1994-07-07]. La cloison est posée en conformité totale avec les conditions de pose mentionnées dans le(s) rapport(s) d'essai : oui / non (par déaut).</w:t>
      </w:r>
    </w:p>
    <w:p w14:paraId="5E561735" w14:textId="77777777" w:rsidR="004B2808" w:rsidRDefault="00000000">
      <w:pPr>
        <w:pStyle w:val="facult"/>
      </w:pPr>
      <w:r>
        <w:rPr>
          <w:color w:val="000000"/>
        </w:rPr>
        <w:t>Les cloisons appartiennent à la classe acoustique</w:t>
      </w:r>
      <w:r>
        <w:rPr>
          <w:rStyle w:val="optioncarChar"/>
        </w:rPr>
        <w:t>IIIa / IIa</w:t>
      </w:r>
      <w:r>
        <w:rPr>
          <w:color w:val="000000"/>
        </w:rPr>
        <w:t>selon la [NBN S 01-400], 2ème édition. L'isolation acoustique des cloisons est conforme aux exigences d'isolation acoustique. Un certificat remis par un laboratoire belge agréé est soumis. Les cloisons sont posées en conformité totale avec les conditions de pose mentionnées dans le rapport d'essai.</w:t>
      </w:r>
      <w:r>
        <w:t> </w:t>
      </w:r>
    </w:p>
    <w:p w14:paraId="27C53C93" w14:textId="77777777" w:rsidR="004B2808" w:rsidRDefault="00000000">
      <w:pPr>
        <w:pStyle w:val="pheading"/>
      </w:pPr>
      <w:r>
        <w:t>EXÉCUTION / MISE EN ŒUVRE</w:t>
      </w:r>
    </w:p>
    <w:p w14:paraId="54B19198" w14:textId="77777777" w:rsidR="004B2808" w:rsidRDefault="00000000">
      <w:pPr>
        <w:pStyle w:val="pheading"/>
      </w:pPr>
      <w:r>
        <w:t>- Prescriptions générales</w:t>
      </w:r>
    </w:p>
    <w:p w14:paraId="3B2B44EB" w14:textId="77777777" w:rsidR="004B2808" w:rsidRDefault="00000000">
      <w:r>
        <w:t xml:space="preserve">Conformément à l'article </w:t>
      </w:r>
      <w:hyperlink w:anchor="1132" w:history="1">
        <w:r w:rsidR="004B2808">
          <w:rPr>
            <w:color w:val="0000EE"/>
          </w:rPr>
          <w:t>51.1 Cloisons fixes légères de séparation (Rem.: le type d'ossature est explicité à l'article)</w:t>
        </w:r>
      </w:hyperlink>
      <w:r>
        <w:t> </w:t>
      </w:r>
    </w:p>
    <w:p w14:paraId="05FFB6E7" w14:textId="77777777" w:rsidR="004B2808" w:rsidRDefault="00000000">
      <w:pPr>
        <w:pStyle w:val="heading"/>
      </w:pPr>
      <w:r>
        <w:t>Composition des cloisons</w:t>
      </w:r>
    </w:p>
    <w:p w14:paraId="3E1872FE" w14:textId="77777777" w:rsidR="004B2808" w:rsidRDefault="00000000">
      <w:r>
        <w:t xml:space="preserve">Les cloisons intérieures non portantes sont construites sur une ossature en </w:t>
      </w:r>
      <w:r>
        <w:rPr>
          <w:rStyle w:val="optioncarChar"/>
        </w:rPr>
        <w:t>bois (ou) / métal / au choix de l'entrepreneur</w:t>
      </w:r>
    </w:p>
    <w:p w14:paraId="4B004128" w14:textId="77777777" w:rsidR="004B2808" w:rsidRDefault="00000000">
      <w:r>
        <w:t xml:space="preserve">Une </w:t>
      </w:r>
      <w:r>
        <w:rPr>
          <w:rStyle w:val="optioncarChar"/>
        </w:rPr>
        <w:t>simple / double</w:t>
      </w:r>
      <w:r>
        <w:t xml:space="preserve"> couche de plaques est appliquée sur </w:t>
      </w:r>
      <w:r>
        <w:rPr>
          <w:rStyle w:val="optioncarChar"/>
        </w:rPr>
        <w:t>une seule face / les deux faces</w:t>
      </w:r>
      <w:r>
        <w:t xml:space="preserve"> de l'ossature. Les doubles plaques sont posées en alternance.</w:t>
      </w:r>
    </w:p>
    <w:p w14:paraId="63D06EED" w14:textId="77777777" w:rsidR="004B2808" w:rsidRDefault="00000000">
      <w:r>
        <w:t>L'épaisseur totale des cloisons est de :</w:t>
      </w:r>
      <w:r>
        <w:rPr>
          <w:rStyle w:val="optioncarChar"/>
        </w:rPr>
        <w:t xml:space="preserve"> *** mm / correspond aux indications sur les plans</w:t>
      </w:r>
      <w:r>
        <w:t xml:space="preserve"> (par défaut)</w:t>
      </w:r>
      <w:r>
        <w:rPr>
          <w:rStyle w:val="optioncarChar"/>
        </w:rPr>
        <w:t>.</w:t>
      </w:r>
    </w:p>
    <w:p w14:paraId="4E3C5A4E" w14:textId="77777777" w:rsidR="004B2808" w:rsidRDefault="00000000">
      <w:r>
        <w:t xml:space="preserve">Les cloisons sont posées </w:t>
      </w:r>
      <w:r>
        <w:rPr>
          <w:rStyle w:val="optioncarChar"/>
        </w:rPr>
        <w:t>de plancher à plancher / jusqu'à la hauteur du plafond suspendu. Dans le cas d’une cloison aux performances de résistance au feu, il convient d’assurer la continuité de la résistance au feu dans le plenum du plafond suspendu.</w:t>
      </w:r>
      <w:r>
        <w:t> </w:t>
      </w:r>
    </w:p>
    <w:p w14:paraId="7C6144DD" w14:textId="77777777" w:rsidR="004B2808" w:rsidRDefault="00000000">
      <w:r>
        <w:t xml:space="preserve">Les cloisons sont posées </w:t>
      </w:r>
      <w:r>
        <w:rPr>
          <w:rStyle w:val="optioncarChar"/>
        </w:rPr>
        <w:t xml:space="preserve">sur la chape </w:t>
      </w:r>
      <w:r>
        <w:t>(par défaut) </w:t>
      </w:r>
      <w:r>
        <w:rPr>
          <w:rStyle w:val="optioncarChar"/>
        </w:rPr>
        <w:t>/ sur le revêtement de sol / ***</w:t>
      </w:r>
    </w:p>
    <w:p w14:paraId="3A9BCD05" w14:textId="77777777" w:rsidR="004B2808" w:rsidRDefault="00000000">
      <w:pPr>
        <w:pStyle w:val="heading"/>
      </w:pPr>
      <w:r>
        <w:t>Finition des plaques et des joints</w:t>
      </w:r>
    </w:p>
    <w:p w14:paraId="061500AD" w14:textId="77777777" w:rsidR="004B2808" w:rsidRDefault="00000000">
      <w:r>
        <w:t>La finition des plaques de plâtre répond aux exigences de degrés de finition et de tolérances d’exécution définis dans la [NIT 233].</w:t>
      </w:r>
    </w:p>
    <w:p w14:paraId="6EC7A7BD" w14:textId="77777777" w:rsidR="004B2808" w:rsidRDefault="00000000">
      <w:r>
        <w:t>- Tolérance d’exécution : classe normale ou spéciale</w:t>
      </w:r>
    </w:p>
    <w:p w14:paraId="7C7AF504" w14:textId="77777777" w:rsidR="004B2808" w:rsidRDefault="00000000">
      <w:r>
        <w:t>- Degré de finition : F1, F2 ou F3.</w:t>
      </w:r>
    </w:p>
    <w:p w14:paraId="1416A84C" w14:textId="77777777" w:rsidR="004B2808" w:rsidRDefault="00000000">
      <w:r>
        <w:lastRenderedPageBreak/>
        <w:t xml:space="preserve">Choix opéré: </w:t>
      </w:r>
      <w:r>
        <w:rPr>
          <w:rStyle w:val="optioncarChar"/>
        </w:rPr>
        <w:t>sans joint / joints visibles / joints longitudinaux ouverts</w:t>
      </w:r>
    </w:p>
    <w:p w14:paraId="4443193E" w14:textId="77777777" w:rsidR="004B2808" w:rsidRDefault="00000000">
      <w:pPr>
        <w:ind w:left="450"/>
      </w:pPr>
      <w:r>
        <w:rPr>
          <w:b/>
        </w:rPr>
        <w:t>(Soit) :</w:t>
      </w:r>
      <w:r>
        <w:t xml:space="preserve"> Les plaques sont parachevées sans joints visibles (destinées à être tapissées, carrelées ou peintes ultérieurement). Sur tous les angles extérieurs, on fixe des cornières de protection à angle arrondi plein et des ailes en métal fin déployé. Les angles extérieurs et intérieurs sont achevés avec des bandes de recouvrement et enduites en même temps que les têtes de vis avec un matériau approprié, livré par le fabricant.</w:t>
      </w:r>
    </w:p>
    <w:p w14:paraId="5D2C2AC0" w14:textId="77777777" w:rsidR="004B2808" w:rsidRDefault="00000000">
      <w:pPr>
        <w:ind w:left="450"/>
      </w:pPr>
      <w:r>
        <w:rPr>
          <w:b/>
        </w:rPr>
        <w:t>(Soit) :</w:t>
      </w:r>
      <w:r>
        <w:t xml:space="preserve"> Les plaques sont parachevées à joints visibles (destinées à être peintes ultérieurement). Sur tous les angles extérieurs, on fixe des cornières de protection à angle arrondi plein et des ailes en métal fin déployé. Les têtes de vis sont enduites à fleur des plaques avec un matériau approprié, livré par le fabricant.</w:t>
      </w:r>
    </w:p>
    <w:p w14:paraId="0270EFAE" w14:textId="77777777" w:rsidR="004B2808" w:rsidRDefault="00000000">
      <w:pPr>
        <w:ind w:left="450"/>
      </w:pPr>
      <w:r>
        <w:rPr>
          <w:b/>
        </w:rPr>
        <w:t>(Soit) :</w:t>
      </w:r>
      <w:r>
        <w:t xml:space="preserve"> Les plaques sont posées à joints longitudinaux ouverts sur une largeur de 3 à 4 mm et ensuite plafonnées. Le plafonnage est prévu dans un article séparé (voir l'élément </w:t>
      </w:r>
      <w:hyperlink w:anchor="1135" w:history="1">
        <w:r w:rsidR="004B2808">
          <w:rPr>
            <w:color w:val="0000EE"/>
          </w:rPr>
          <w:t>51.54 Enduit à base de plâtre</w:t>
        </w:r>
      </w:hyperlink>
      <w:r>
        <w:t>).</w:t>
      </w:r>
    </w:p>
    <w:p w14:paraId="41A79737" w14:textId="77777777" w:rsidR="004B2808" w:rsidRDefault="00000000">
      <w:r>
        <w:t xml:space="preserve">Renforcements : </w:t>
      </w:r>
      <w:r>
        <w:rPr>
          <w:rStyle w:val="optioncarChar"/>
        </w:rPr>
        <w:t>pas d'application</w:t>
      </w:r>
      <w:r>
        <w:t xml:space="preserve"> (par défaut) </w:t>
      </w:r>
      <w:r>
        <w:rPr>
          <w:rStyle w:val="optioncarChar"/>
        </w:rPr>
        <w:t>/ ***</w:t>
      </w:r>
    </w:p>
    <w:p w14:paraId="5560EAE1" w14:textId="77777777" w:rsidR="004B2808" w:rsidRDefault="00000000">
      <w:r>
        <w:t xml:space="preserve">Conduites des régies : </w:t>
      </w:r>
      <w:r>
        <w:rPr>
          <w:rStyle w:val="optioncarChar"/>
        </w:rPr>
        <w:t>pas d'application</w:t>
      </w:r>
      <w:r>
        <w:t xml:space="preserve"> (par défaut) </w:t>
      </w:r>
      <w:r>
        <w:rPr>
          <w:rStyle w:val="optioncarChar"/>
        </w:rPr>
        <w:t>/ ***</w:t>
      </w:r>
    </w:p>
    <w:p w14:paraId="021F98AD" w14:textId="77777777" w:rsidR="004B2808" w:rsidRDefault="00000000">
      <w:r>
        <w:t xml:space="preserve">Joints de dilatation : </w:t>
      </w:r>
      <w:r>
        <w:rPr>
          <w:rStyle w:val="optioncarChar"/>
        </w:rPr>
        <w:t>pas d'application</w:t>
      </w:r>
      <w:r>
        <w:t xml:space="preserve"> (par défaut) </w:t>
      </w:r>
      <w:r>
        <w:rPr>
          <w:rStyle w:val="optioncarChar"/>
        </w:rPr>
        <w:t>/ ***</w:t>
      </w:r>
    </w:p>
    <w:p w14:paraId="1130DDA6" w14:textId="77777777" w:rsidR="004B2808" w:rsidRDefault="00000000">
      <w:r>
        <w:t xml:space="preserve">Les plaques présentent une résistance à l'eau améliorée : </w:t>
      </w:r>
      <w:r>
        <w:rPr>
          <w:rStyle w:val="optioncarChar"/>
        </w:rPr>
        <w:t>pas d'application</w:t>
      </w:r>
      <w:r>
        <w:t xml:space="preserve"> (par défaut) </w:t>
      </w:r>
      <w:r>
        <w:rPr>
          <w:rStyle w:val="optioncarChar"/>
        </w:rPr>
        <w:t>/ ***</w:t>
      </w:r>
    </w:p>
    <w:p w14:paraId="1AB3D0A6" w14:textId="77777777" w:rsidR="004B2808" w:rsidRDefault="00000000">
      <w:r>
        <w:t xml:space="preserve">Couche de fond : les plaques sont terminées avec une couche de fond à base de résines synthétiques. A cet effet, l'entrepreneur soumet les informations techniques de son produit avant de l'appliquer : </w:t>
      </w:r>
      <w:r>
        <w:rPr>
          <w:rStyle w:val="optioncarChar"/>
        </w:rPr>
        <w:t>pas d'application</w:t>
      </w:r>
      <w:r>
        <w:t xml:space="preserve"> (par défaut) </w:t>
      </w:r>
      <w:r>
        <w:rPr>
          <w:rStyle w:val="optioncarChar"/>
        </w:rPr>
        <w:t>/ ***</w:t>
      </w:r>
      <w:r>
        <w:t>.</w:t>
      </w:r>
    </w:p>
    <w:p w14:paraId="7F582247" w14:textId="77777777" w:rsidR="004B2808" w:rsidRDefault="00000000">
      <w:pPr>
        <w:ind w:left="750"/>
      </w:pPr>
      <w:r>
        <w:t> </w:t>
      </w:r>
    </w:p>
    <w:p w14:paraId="732803E9" w14:textId="77777777" w:rsidR="004B2808" w:rsidRDefault="00000000">
      <w:pPr>
        <w:pStyle w:val="pheading"/>
      </w:pPr>
      <w:r>
        <w:t>MESURAGE</w:t>
      </w:r>
    </w:p>
    <w:p w14:paraId="612B073D" w14:textId="77777777" w:rsidR="004B2808" w:rsidRDefault="00000000">
      <w:r>
        <w:t>Conformément aux indications spécifiques dans le cahier spécial des charges et/ou le métré récapitulatif, le mesurage doit être conçu comme suit :</w:t>
      </w:r>
    </w:p>
    <w:p w14:paraId="4AC1AA44" w14:textId="77777777" w:rsidR="004B2808" w:rsidRDefault="00000000">
      <w:pPr>
        <w:pStyle w:val="pheading"/>
      </w:pPr>
      <w:r>
        <w:t>- unité de mesure:</w:t>
      </w:r>
    </w:p>
    <w:p w14:paraId="02ADDD41" w14:textId="77777777" w:rsidR="004B2808" w:rsidRDefault="00000000">
      <w:r>
        <w:t>m²</w:t>
      </w:r>
    </w:p>
    <w:p w14:paraId="630DC554" w14:textId="77777777" w:rsidR="004B2808" w:rsidRDefault="00000000">
      <w:pPr>
        <w:pStyle w:val="pheading"/>
      </w:pPr>
      <w:r>
        <w:t>- code de mesurage:</w:t>
      </w:r>
    </w:p>
    <w:p w14:paraId="225802A2" w14:textId="77777777" w:rsidR="004B2808" w:rsidRDefault="00000000">
      <w:r>
        <w:t>Ventilé selon l'épaisseur et la composition des cloisons, surface nette de la cloison. Les ouvertures&gt; 0,50 m² sont déduites.</w:t>
      </w:r>
    </w:p>
    <w:p w14:paraId="2569C689" w14:textId="77777777" w:rsidR="004B2808" w:rsidRDefault="00000000">
      <w:r>
        <w:rPr>
          <w:u w:val="single"/>
        </w:rPr>
        <w:t xml:space="preserve">Attention </w:t>
      </w:r>
    </w:p>
    <w:p w14:paraId="65F24CC2" w14:textId="77777777" w:rsidR="004B2808" w:rsidRDefault="00000000">
      <w:r>
        <w:t>Le cahier des charges décrit la composition d'une cloison, structure portante / plaques / matériau d'isolation, avec l'application d'une seule ou d'une double couche de plaques, ….</w:t>
      </w:r>
    </w:p>
    <w:p w14:paraId="1B77AA43" w14:textId="77777777" w:rsidR="004B2808" w:rsidRDefault="00000000">
      <w:pPr>
        <w:pStyle w:val="pheading"/>
      </w:pPr>
      <w:r>
        <w:t>- nature du marché:</w:t>
      </w:r>
    </w:p>
    <w:p w14:paraId="58CB8283" w14:textId="77777777" w:rsidR="004B2808" w:rsidRDefault="00000000">
      <w:r>
        <w:t>QF</w:t>
      </w:r>
    </w:p>
    <w:p w14:paraId="125AC1F2" w14:textId="77777777" w:rsidR="004B2808" w:rsidRDefault="00000000">
      <w:pPr>
        <w:pStyle w:val="pheading"/>
      </w:pPr>
      <w:r>
        <w:t>AIDE</w:t>
      </w:r>
    </w:p>
    <w:p w14:paraId="3ECF1909" w14:textId="77777777" w:rsidR="004B2808" w:rsidRDefault="00000000">
      <w:r>
        <w:rPr>
          <w:u w:val="single"/>
        </w:rPr>
        <w:t>Note à l'attention de l'auteur de projet</w:t>
      </w:r>
    </w:p>
    <w:p w14:paraId="2A0049FC" w14:textId="77777777" w:rsidR="004B2808" w:rsidRDefault="00000000">
      <w:r>
        <w:t>- Pour les combinaisons disponibles, le type des bords longitudinaux et les dimensions des plaques, il est recommandé de consulter la documentation récente.</w:t>
      </w:r>
    </w:p>
    <w:p w14:paraId="6823089C" w14:textId="77777777" w:rsidR="004B2808" w:rsidRDefault="00000000">
      <w:pPr>
        <w:pStyle w:val="Author-eSectionHeading5Numberless"/>
      </w:pPr>
      <w:bookmarkStart w:id="10" w:name="_Toc220490226"/>
      <w:r>
        <w:t>51.11.2 Parement en plaques/panneaux à base minérale autre que plâtre CCTB 01.02</w:t>
      </w:r>
      <w:bookmarkEnd w:id="10"/>
    </w:p>
    <w:p w14:paraId="230E2E20" w14:textId="77777777" w:rsidR="004B2808" w:rsidRDefault="00000000">
      <w:pPr>
        <w:pStyle w:val="Author-eSectionHeading6Numberless"/>
      </w:pPr>
      <w:bookmarkStart w:id="11" w:name="_Toc220490227"/>
      <w:r>
        <w:t>51.11.2a Cloisons creuses / parement en plaques/panneaux à base minérale autre que plâtre, à base de silico-calcaire CCTB 01.02</w:t>
      </w:r>
      <w:bookmarkEnd w:id="11"/>
    </w:p>
    <w:p w14:paraId="720C5937" w14:textId="77777777" w:rsidR="004B2808" w:rsidRDefault="00000000">
      <w:pPr>
        <w:pStyle w:val="pheading"/>
      </w:pPr>
      <w:r>
        <w:t>DESCRIPTION</w:t>
      </w:r>
    </w:p>
    <w:p w14:paraId="5EC779C8" w14:textId="77777777" w:rsidR="004B2808" w:rsidRDefault="00000000">
      <w:pPr>
        <w:pStyle w:val="pheading"/>
      </w:pPr>
      <w:r>
        <w:lastRenderedPageBreak/>
        <w:t>- Définition / Comprend</w:t>
      </w:r>
    </w:p>
    <w:p w14:paraId="2597CF97" w14:textId="77777777" w:rsidR="004B2808" w:rsidRDefault="00000000">
      <w:r>
        <w:t>Il s’agit de cloisons fixes légères creuses en plaques/panneaux à base de :</w:t>
      </w:r>
    </w:p>
    <w:p w14:paraId="4C0396D7" w14:textId="77777777" w:rsidR="004B2808" w:rsidRDefault="00000000">
      <w:pPr>
        <w:pStyle w:val="Author-eListParagraph"/>
        <w:numPr>
          <w:ilvl w:val="0"/>
          <w:numId w:val="14"/>
        </w:numPr>
      </w:pPr>
      <w:r>
        <w:t xml:space="preserve"> plaques de silicates de calcium </w:t>
      </w:r>
    </w:p>
    <w:p w14:paraId="40BE9EC8" w14:textId="77777777" w:rsidR="004B2808" w:rsidRDefault="00000000">
      <w:pPr>
        <w:pStyle w:val="Author-eListParagraph"/>
        <w:numPr>
          <w:ilvl w:val="0"/>
          <w:numId w:val="14"/>
        </w:numPr>
      </w:pPr>
      <w:r>
        <w:t xml:space="preserve">… </w:t>
      </w:r>
    </w:p>
    <w:p w14:paraId="6BDE2EFA" w14:textId="77777777" w:rsidR="004B2808" w:rsidRDefault="00000000">
      <w:pPr>
        <w:pStyle w:val="pheading"/>
      </w:pPr>
      <w:r>
        <w:t>- Localisation</w:t>
      </w:r>
    </w:p>
    <w:p w14:paraId="45BD223C" w14:textId="77777777" w:rsidR="004B2808" w:rsidRDefault="00000000">
      <w:r>
        <w:t>cloisons creuses</w:t>
      </w:r>
    </w:p>
    <w:p w14:paraId="03D7238E" w14:textId="77777777" w:rsidR="004B2808" w:rsidRDefault="00000000">
      <w:r>
        <w:t>habillage / gaines pour les conduites </w:t>
      </w:r>
    </w:p>
    <w:p w14:paraId="6F7BA433" w14:textId="77777777" w:rsidR="004B2808" w:rsidRDefault="00000000">
      <w:pPr>
        <w:pStyle w:val="pheading"/>
      </w:pPr>
      <w:r>
        <w:t>MESURAGE</w:t>
      </w:r>
    </w:p>
    <w:p w14:paraId="75571968" w14:textId="77777777" w:rsidR="004B2808" w:rsidRDefault="00000000">
      <w:r>
        <w:t>Conformément aux indications spécifiques dans le cahier spécial des charges et/ou le métré récapitulatif, le mesurage doit être conçu comme suit :</w:t>
      </w:r>
    </w:p>
    <w:p w14:paraId="2976A5BE" w14:textId="77777777" w:rsidR="004B2808" w:rsidRDefault="00000000">
      <w:pPr>
        <w:pStyle w:val="pheading"/>
      </w:pPr>
      <w:r>
        <w:t>- unité de mesure:</w:t>
      </w:r>
    </w:p>
    <w:p w14:paraId="47C12059" w14:textId="77777777" w:rsidR="004B2808" w:rsidRDefault="00000000">
      <w:r>
        <w:t>m²</w:t>
      </w:r>
    </w:p>
    <w:p w14:paraId="5702C442" w14:textId="77777777" w:rsidR="004B2808" w:rsidRDefault="00000000">
      <w:pPr>
        <w:pStyle w:val="pheading"/>
      </w:pPr>
      <w:r>
        <w:t>- code de mesurage:</w:t>
      </w:r>
    </w:p>
    <w:p w14:paraId="202FEE39" w14:textId="77777777" w:rsidR="004B2808" w:rsidRDefault="00000000">
      <w:r>
        <w:t>ventilé selon l'épaisseur et la composition des cloisons, surface nette de la cloison. Les ouvertures supérieures à 0,50 m2 sont déduites.</w:t>
      </w:r>
    </w:p>
    <w:p w14:paraId="69D2B6CE" w14:textId="77777777" w:rsidR="004B2808" w:rsidRDefault="00000000">
      <w:r>
        <w:rPr>
          <w:u w:val="single"/>
        </w:rPr>
        <w:t xml:space="preserve">Attention </w:t>
      </w:r>
    </w:p>
    <w:p w14:paraId="53BBDC38" w14:textId="77777777" w:rsidR="004B2808" w:rsidRDefault="00000000">
      <w:r>
        <w:t>Le cahier des charges décrit la composition d'une cloison, structure portante / plaques / matériau d'isolation, avec l'application d'une seule ou d'une double couche de plaques, ….</w:t>
      </w:r>
    </w:p>
    <w:p w14:paraId="68FC32F2" w14:textId="77777777" w:rsidR="004B2808" w:rsidRDefault="00000000">
      <w:pPr>
        <w:pStyle w:val="pheading"/>
      </w:pPr>
      <w:r>
        <w:t>- nature du marché:</w:t>
      </w:r>
    </w:p>
    <w:p w14:paraId="2E3B6F9E" w14:textId="77777777" w:rsidR="004B2808" w:rsidRDefault="00000000">
      <w:r>
        <w:t>QF</w:t>
      </w:r>
    </w:p>
    <w:p w14:paraId="3935C3FC" w14:textId="77777777" w:rsidR="004B2808" w:rsidRDefault="00000000">
      <w:pPr>
        <w:pStyle w:val="Author-eSectionHeading6Numberless"/>
      </w:pPr>
      <w:bookmarkStart w:id="12" w:name="_Toc220490228"/>
      <w:r>
        <w:t>51.11.2b Cloisons creuses / parement en plaques/panneaux à base minérale autre que plâtre, à base de fibro-ciment CCTB 01.02</w:t>
      </w:r>
      <w:bookmarkEnd w:id="12"/>
    </w:p>
    <w:p w14:paraId="5EAC6E3D" w14:textId="77777777" w:rsidR="004B2808" w:rsidRDefault="00000000">
      <w:pPr>
        <w:pStyle w:val="Author-eSectionHeading5Numberless"/>
      </w:pPr>
      <w:bookmarkStart w:id="13" w:name="_Toc220490229"/>
      <w:r>
        <w:t>51.11.3 Parement en plaques/panneaux à base de bois CCTB 01.02</w:t>
      </w:r>
      <w:bookmarkEnd w:id="13"/>
    </w:p>
    <w:p w14:paraId="180E163F" w14:textId="77777777" w:rsidR="004B2808" w:rsidRDefault="00000000">
      <w:pPr>
        <w:pStyle w:val="Author-eSectionHeading6Numberless"/>
      </w:pPr>
      <w:bookmarkStart w:id="14" w:name="_Toc220490230"/>
      <w:r>
        <w:t>51.11.3a Cloisons creuses / parement en plaques/panneaux en bois massif CCTB 01.02</w:t>
      </w:r>
      <w:bookmarkEnd w:id="14"/>
    </w:p>
    <w:p w14:paraId="6F781A91" w14:textId="77777777" w:rsidR="004B2808" w:rsidRDefault="00000000">
      <w:pPr>
        <w:pStyle w:val="Author-eSectionHeading6Numberless"/>
      </w:pPr>
      <w:bookmarkStart w:id="15" w:name="_Toc220490231"/>
      <w:r>
        <w:t>51.11.3b Cloisons creuses / parement en plaques/panneaux à base de bois CCTB 01.10</w:t>
      </w:r>
      <w:bookmarkEnd w:id="15"/>
    </w:p>
    <w:p w14:paraId="6DA028E8" w14:textId="77777777" w:rsidR="004B2808" w:rsidRDefault="00000000">
      <w:pPr>
        <w:pStyle w:val="pheading"/>
      </w:pPr>
      <w:r>
        <w:t>DESCRIPTION</w:t>
      </w:r>
    </w:p>
    <w:p w14:paraId="344E2C6A" w14:textId="77777777" w:rsidR="004B2808" w:rsidRDefault="00000000">
      <w:pPr>
        <w:pStyle w:val="pheading"/>
      </w:pPr>
      <w:r>
        <w:t>- Définition / Comprend</w:t>
      </w:r>
    </w:p>
    <w:p w14:paraId="360ABA25" w14:textId="77777777" w:rsidR="004B2808" w:rsidRDefault="00000000">
      <w:r>
        <w:t>Il s’agit de cloisons fixes légères creuses en plaques/panneaux à base de :</w:t>
      </w:r>
    </w:p>
    <w:p w14:paraId="5493FCE6" w14:textId="77777777" w:rsidR="004B2808" w:rsidRDefault="00000000">
      <w:pPr>
        <w:pStyle w:val="Author-eListParagraph"/>
        <w:numPr>
          <w:ilvl w:val="0"/>
          <w:numId w:val="15"/>
        </w:numPr>
      </w:pPr>
      <w:r>
        <w:t>panneaux de particules</w:t>
      </w:r>
    </w:p>
    <w:p w14:paraId="4C59ED21" w14:textId="77777777" w:rsidR="004B2808" w:rsidRDefault="00000000">
      <w:pPr>
        <w:pStyle w:val="Author-eListParagraph"/>
        <w:numPr>
          <w:ilvl w:val="0"/>
          <w:numId w:val="15"/>
        </w:numPr>
      </w:pPr>
      <w:r>
        <w:t>panneaux contreplaqués</w:t>
      </w:r>
    </w:p>
    <w:p w14:paraId="30EAE235" w14:textId="77777777" w:rsidR="004B2808" w:rsidRDefault="00000000">
      <w:pPr>
        <w:pStyle w:val="Author-eListParagraph"/>
        <w:numPr>
          <w:ilvl w:val="0"/>
          <w:numId w:val="15"/>
        </w:numPr>
      </w:pPr>
      <w:r>
        <w:t>panneaux MDF</w:t>
      </w:r>
    </w:p>
    <w:p w14:paraId="3DF4CF37" w14:textId="77777777" w:rsidR="004B2808" w:rsidRDefault="00000000">
      <w:pPr>
        <w:pStyle w:val="Author-eListParagraph"/>
        <w:numPr>
          <w:ilvl w:val="0"/>
          <w:numId w:val="15"/>
        </w:numPr>
      </w:pPr>
      <w:r>
        <w:t>panneaux OSB</w:t>
      </w:r>
    </w:p>
    <w:p w14:paraId="73BE4127" w14:textId="77777777" w:rsidR="004B2808" w:rsidRDefault="00000000">
      <w:pPr>
        <w:pStyle w:val="pheading"/>
      </w:pPr>
      <w:r>
        <w:t>MATÉRIAUX</w:t>
      </w:r>
    </w:p>
    <w:p w14:paraId="64D65CA4" w14:textId="77777777" w:rsidR="004B2808" w:rsidRDefault="00000000">
      <w:pPr>
        <w:pStyle w:val="pheading"/>
      </w:pPr>
      <w:r>
        <w:t>- Caractéristiques générales</w:t>
      </w:r>
    </w:p>
    <w:p w14:paraId="0EACF9F0" w14:textId="77777777" w:rsidR="004B2808" w:rsidRDefault="00000000">
      <w:r>
        <w:t>Il s'agit de cloisons intérieures mobiles, constituées d'une ossature en</w:t>
      </w:r>
      <w:r>
        <w:rPr>
          <w:rStyle w:val="optioncarChar"/>
        </w:rPr>
        <w:t> métal</w:t>
      </w:r>
      <w:r>
        <w:t> (par défaut)</w:t>
      </w:r>
      <w:r>
        <w:rPr>
          <w:rStyle w:val="optioncarChar"/>
        </w:rPr>
        <w:t xml:space="preserve"> / bois / ***</w:t>
      </w:r>
      <w:r>
        <w:t xml:space="preserve"> destinée à être revêtue et d'un mécanisme de coulisse adapté au poids et à la fonction des portes. Les cloisons intérieures mobiles parfaitement finies satisfont aux exigences en matière de sollicitations, d'acoustique et de résistance au feu. Les panneaux à base de bois utilisés pour les </w:t>
      </w:r>
      <w:r>
        <w:lastRenderedPageBreak/>
        <w:t>cloisons mobiles sont choisis en tenant compte des classes de service.  Cette analyse est reprise dans le [Buildwise Magazine Contact n°23 (2009/3)].</w:t>
      </w:r>
    </w:p>
    <w:p w14:paraId="1CFD376B" w14:textId="77777777" w:rsidR="004B2808" w:rsidRDefault="00000000">
      <w:r>
        <w:t xml:space="preserve">Pour les panneaux de particules </w:t>
      </w:r>
      <w:r>
        <w:rPr>
          <w:rStyle w:val="optioncarChar"/>
        </w:rPr>
        <w:t xml:space="preserve">P2 </w:t>
      </w:r>
      <w:r>
        <w:t>(par défaut) </w:t>
      </w:r>
      <w:r>
        <w:rPr>
          <w:rStyle w:val="optioncarChar"/>
        </w:rPr>
        <w:t>/ P3 / P5 / P7 / ***</w:t>
      </w:r>
      <w:r>
        <w:t xml:space="preserve"> selon la [NBN EN 312] (la classe P1 est utilisée pour des propriétés mécaniques élevées et pour une classe de service 2).</w:t>
      </w:r>
    </w:p>
    <w:p w14:paraId="3943C56F" w14:textId="77777777" w:rsidR="004B2808" w:rsidRDefault="00000000">
      <w:r>
        <w:t>Pour les panneaux contreplaqués, ils sont conformes à la [NBN EN 636+A1].</w:t>
      </w:r>
    </w:p>
    <w:p w14:paraId="77FA0AB0" w14:textId="77777777" w:rsidR="004B2808" w:rsidRDefault="00000000">
      <w:r>
        <w:t xml:space="preserve">Pour des panneaux en MDF, ils sont classés </w:t>
      </w:r>
      <w:r>
        <w:rPr>
          <w:rStyle w:val="optioncarChar"/>
        </w:rPr>
        <w:t>MDF </w:t>
      </w:r>
      <w:r>
        <w:t>(par défaut) </w:t>
      </w:r>
      <w:r>
        <w:rPr>
          <w:rStyle w:val="optioncarChar"/>
        </w:rPr>
        <w:t xml:space="preserve"> / MDFLA / MDFH / MDFHLS / *** </w:t>
      </w:r>
      <w:r>
        <w:t>selon la norme [NBN EN 622-5].</w:t>
      </w:r>
    </w:p>
    <w:p w14:paraId="4E78FA32" w14:textId="77777777" w:rsidR="004B2808" w:rsidRDefault="00000000">
      <w:r>
        <w:t>Pour les panneaux OSB, ils sont classés :</w:t>
      </w:r>
    </w:p>
    <w:p w14:paraId="12233E89" w14:textId="77777777" w:rsidR="004B2808" w:rsidRDefault="00000000">
      <w:pPr>
        <w:pStyle w:val="Author-eListParagraph"/>
        <w:numPr>
          <w:ilvl w:val="0"/>
          <w:numId w:val="16"/>
        </w:numPr>
      </w:pPr>
      <w:r>
        <w:t>OSB1 (selon [NBN EN 300]) pour les classes de service 1</w:t>
      </w:r>
    </w:p>
    <w:p w14:paraId="6D22D699" w14:textId="77777777" w:rsidR="004B2808" w:rsidRDefault="00000000">
      <w:pPr>
        <w:pStyle w:val="Author-eListParagraph"/>
        <w:numPr>
          <w:ilvl w:val="0"/>
          <w:numId w:val="16"/>
        </w:numPr>
      </w:pPr>
      <w:r>
        <w:t>OSB3 (selon [NBN EN 300]) pour les classes de service 2</w:t>
      </w:r>
    </w:p>
    <w:p w14:paraId="6C8F9AB3" w14:textId="77777777" w:rsidR="004B2808" w:rsidRDefault="00000000">
      <w:r>
        <w:t>L'entrepreneur soumet au préalable à l'auteur de projet une documentation technique reprenant toutes les caractéristiques des panneaux.  Les panneaux et bois de menuiserie intérieure satisfont aux exigences de la [STS 04.2].</w:t>
      </w:r>
    </w:p>
    <w:p w14:paraId="5C2EAD40" w14:textId="77777777" w:rsidR="004B2808" w:rsidRDefault="00000000">
      <w:pPr>
        <w:pStyle w:val="pheading"/>
      </w:pPr>
      <w:r>
        <w:t>MESURAGE</w:t>
      </w:r>
    </w:p>
    <w:p w14:paraId="05B96392" w14:textId="77777777" w:rsidR="004B2808" w:rsidRDefault="00000000">
      <w:r>
        <w:t>Conformément aux indications spécifiques dans le cahier spécial des charges et/ou le métré récapitulatif, le mesurage doit être conçu comme suit :</w:t>
      </w:r>
    </w:p>
    <w:p w14:paraId="342D7A0F" w14:textId="77777777" w:rsidR="004B2808" w:rsidRDefault="00000000">
      <w:pPr>
        <w:pStyle w:val="pheading"/>
      </w:pPr>
      <w:r>
        <w:t>- unité de mesure:</w:t>
      </w:r>
    </w:p>
    <w:p w14:paraId="4FB056C2" w14:textId="77777777" w:rsidR="004B2808" w:rsidRDefault="00000000">
      <w:r>
        <w:t>m²</w:t>
      </w:r>
    </w:p>
    <w:p w14:paraId="3AFD2AFE" w14:textId="77777777" w:rsidR="004B2808" w:rsidRDefault="00000000">
      <w:pPr>
        <w:pStyle w:val="pheading"/>
      </w:pPr>
      <w:r>
        <w:t>- code de mesurage:</w:t>
      </w:r>
    </w:p>
    <w:p w14:paraId="1D6715F0" w14:textId="77777777" w:rsidR="004B2808" w:rsidRDefault="00000000">
      <w:r>
        <w:t>ventilé selon l'épaisseur et la composition des cloisons, surface nette de la cloison. Les ouvertures supérieures à 0,50 m² sont déduites.</w:t>
      </w:r>
    </w:p>
    <w:p w14:paraId="16C14C7E" w14:textId="77777777" w:rsidR="004B2808" w:rsidRDefault="00000000">
      <w:r>
        <w:rPr>
          <w:u w:val="single"/>
        </w:rPr>
        <w:t>Attention</w:t>
      </w:r>
      <w:r>
        <w:br/>
        <w:t>Le cahier des charges décrit la composition d'une cloison, structure portante / plaques / matériau d'isolation, avec l'application d'une seule ou d'une double couche de plaques, ….</w:t>
      </w:r>
    </w:p>
    <w:p w14:paraId="10A02903" w14:textId="77777777" w:rsidR="004B2808" w:rsidRDefault="00000000">
      <w:pPr>
        <w:pStyle w:val="pheading"/>
      </w:pPr>
      <w:r>
        <w:t>- nature du marché:</w:t>
      </w:r>
    </w:p>
    <w:p w14:paraId="6B520425" w14:textId="77777777" w:rsidR="004B2808" w:rsidRDefault="00000000">
      <w:r>
        <w:t>QF</w:t>
      </w:r>
    </w:p>
    <w:p w14:paraId="4475F827" w14:textId="77777777" w:rsidR="004B2808" w:rsidRDefault="00000000">
      <w:pPr>
        <w:pStyle w:val="Author-eSectionHeading5Numberless"/>
      </w:pPr>
      <w:bookmarkStart w:id="16" w:name="_Toc220490232"/>
      <w:r>
        <w:t>51.11.4 Parement en plaques/panneaux métalliques CCTB 01.02</w:t>
      </w:r>
      <w:bookmarkEnd w:id="16"/>
    </w:p>
    <w:p w14:paraId="7CBDBB9E" w14:textId="77777777" w:rsidR="004B2808" w:rsidRDefault="00000000">
      <w:pPr>
        <w:pStyle w:val="Author-eSectionHeading6Numberless"/>
      </w:pPr>
      <w:bookmarkStart w:id="17" w:name="_Toc220490233"/>
      <w:r>
        <w:t>51.11.4a Cloisons creuses / parement en plaques/panneaux métalliques/panneaux en acier CCTB 01.02</w:t>
      </w:r>
      <w:bookmarkEnd w:id="17"/>
    </w:p>
    <w:p w14:paraId="15D3993B" w14:textId="77777777" w:rsidR="004B2808" w:rsidRDefault="00000000">
      <w:pPr>
        <w:pStyle w:val="Author-eSectionHeading6Numberless"/>
      </w:pPr>
      <w:bookmarkStart w:id="18" w:name="_Toc220490234"/>
      <w:r>
        <w:t>51.11.4b Cloisons creuses / parement en plaques/panneaux métalliques/panneaux en aluminium CCTB 01.02</w:t>
      </w:r>
      <w:bookmarkEnd w:id="18"/>
    </w:p>
    <w:p w14:paraId="71AA3795" w14:textId="77777777" w:rsidR="004B2808" w:rsidRDefault="00000000">
      <w:pPr>
        <w:pStyle w:val="Author-eSectionHeading6Numberless"/>
      </w:pPr>
      <w:bookmarkStart w:id="19" w:name="_Toc220490235"/>
      <w:r>
        <w:t>51.11.4c Cloisons creuses / parement en plaques/panneaux métalliques/panneaux en cuivre CCTB 01.02</w:t>
      </w:r>
      <w:bookmarkEnd w:id="19"/>
    </w:p>
    <w:p w14:paraId="2A235673" w14:textId="77777777" w:rsidR="004B2808" w:rsidRDefault="00000000">
      <w:pPr>
        <w:pStyle w:val="Author-eSectionHeading5Numberless"/>
      </w:pPr>
      <w:bookmarkStart w:id="20" w:name="_Toc220490236"/>
      <w:r>
        <w:t>51.11.5 Parement en plaques/panneaux synthétiques ou composites CCTB 01.02</w:t>
      </w:r>
      <w:bookmarkEnd w:id="20"/>
    </w:p>
    <w:p w14:paraId="28B8556B" w14:textId="77777777" w:rsidR="004B2808" w:rsidRDefault="00000000">
      <w:pPr>
        <w:pStyle w:val="Author-eSectionHeading6Numberless"/>
      </w:pPr>
      <w:bookmarkStart w:id="21" w:name="_Toc220490237"/>
      <w:r>
        <w:t>51.11.5a Cloisons creuses / parement en plaques/panneaux synthétiques ou composites CCTB 01.02</w:t>
      </w:r>
      <w:bookmarkEnd w:id="21"/>
    </w:p>
    <w:p w14:paraId="42B1A2F7" w14:textId="77777777" w:rsidR="004B2808" w:rsidRDefault="00000000">
      <w:pPr>
        <w:pStyle w:val="Author-eSectionHeading5Numberless"/>
      </w:pPr>
      <w:bookmarkStart w:id="22" w:name="_Toc220490238"/>
      <w:r>
        <w:t>51.11.6 Parement en plaques/panneaux à base de verre CCTB 01.02</w:t>
      </w:r>
      <w:bookmarkEnd w:id="22"/>
    </w:p>
    <w:p w14:paraId="33C5C74E" w14:textId="77777777" w:rsidR="004B2808" w:rsidRDefault="00000000">
      <w:pPr>
        <w:pStyle w:val="Author-eSectionHeading6Numberless"/>
      </w:pPr>
      <w:bookmarkStart w:id="23" w:name="_Toc220490239"/>
      <w:r>
        <w:t>51.11.6a Cloisons creuses / parement en plaques/panneaux à base de verre CCTB 01.10</w:t>
      </w:r>
      <w:bookmarkEnd w:id="23"/>
    </w:p>
    <w:p w14:paraId="457BD28D" w14:textId="77777777" w:rsidR="004B2808" w:rsidRDefault="00000000">
      <w:pPr>
        <w:pStyle w:val="pheading"/>
      </w:pPr>
      <w:r>
        <w:t>DESCRIPTION</w:t>
      </w:r>
    </w:p>
    <w:p w14:paraId="3A49558C" w14:textId="77777777" w:rsidR="004B2808" w:rsidRDefault="00000000">
      <w:pPr>
        <w:pStyle w:val="pheading"/>
      </w:pPr>
      <w:r>
        <w:lastRenderedPageBreak/>
        <w:t>- Définition / Comprend</w:t>
      </w:r>
    </w:p>
    <w:p w14:paraId="2A63AC09" w14:textId="77777777" w:rsidR="004B2808" w:rsidRDefault="00000000">
      <w:pPr>
        <w:jc w:val="both"/>
      </w:pPr>
      <w:r>
        <w:t>Il s’agit de la fourniture et la pose de plaques de parement constituées de panneaux à base de verre expansé renforcé avec de la fibre de verre sur les 2 faces.</w:t>
      </w:r>
    </w:p>
    <w:p w14:paraId="4CCB9662" w14:textId="77777777" w:rsidR="004B2808" w:rsidRDefault="00000000">
      <w:pPr>
        <w:jc w:val="both"/>
      </w:pPr>
      <w:r>
        <w:t>Ce poste comprend toutes les fournitures et travaux en vue de la réalisation des revêtements intérieurs à l'aide de matériaux en panneaux à base de verre expansé renforcé avec de la fibre de verre sur les 2 faces sur les murs intérieurs, les plafonds et/ou les éléments à habiller afin de constituer un ouvrage parfaitement fini. En complément des dispositions générales et/ou spécifiques du cahier spécial des charges, les prix unitaires compris dans ces postes doivent comprendre (soit selon la ventilation dans le métré récapitulatif, soit dans leur totalité) :</w:t>
      </w:r>
    </w:p>
    <w:p w14:paraId="39550186" w14:textId="77777777" w:rsidR="004B2808" w:rsidRDefault="00000000">
      <w:pPr>
        <w:pStyle w:val="Author-eListParagraph"/>
        <w:numPr>
          <w:ilvl w:val="0"/>
          <w:numId w:val="17"/>
        </w:numPr>
        <w:jc w:val="both"/>
      </w:pPr>
      <w:r>
        <w:t xml:space="preserve">la fourniture et la pose d’une isolation </w:t>
      </w:r>
      <w:r>
        <w:rPr>
          <w:rStyle w:val="optioncarChar"/>
        </w:rPr>
        <w:t>acoustique / thermique / ayant pour but d’améliorer la résistance au feu / sans objet</w:t>
      </w:r>
    </w:p>
    <w:p w14:paraId="0D2835F1" w14:textId="77777777" w:rsidR="004B2808" w:rsidRDefault="00000000">
      <w:pPr>
        <w:pStyle w:val="Author-eListParagraph"/>
        <w:numPr>
          <w:ilvl w:val="0"/>
          <w:numId w:val="17"/>
        </w:numPr>
        <w:jc w:val="both"/>
      </w:pPr>
      <w:r>
        <w:t>la fourniture et la pose des bandes autocollantes sur les joints ;</w:t>
      </w:r>
    </w:p>
    <w:p w14:paraId="5AAA243C" w14:textId="77777777" w:rsidR="004B2808" w:rsidRDefault="00000000">
      <w:pPr>
        <w:pStyle w:val="Author-eListParagraph"/>
        <w:numPr>
          <w:ilvl w:val="0"/>
          <w:numId w:val="17"/>
        </w:numPr>
        <w:jc w:val="both"/>
      </w:pPr>
      <w:r>
        <w:t>la finition prête à peindre des panneaux de revêtement, y compris la finition des surfaces et des bords ainsi que toutes les pièces de consolidation, d’angles;</w:t>
      </w:r>
    </w:p>
    <w:p w14:paraId="4C3CE8CA" w14:textId="77777777" w:rsidR="004B2808" w:rsidRDefault="00000000">
      <w:pPr>
        <w:pStyle w:val="Author-eListParagraph"/>
        <w:numPr>
          <w:ilvl w:val="0"/>
          <w:numId w:val="17"/>
        </w:numPr>
        <w:jc w:val="both"/>
      </w:pPr>
      <w:r>
        <w:t>le cas échéant, les études et les essais (en ce qui concerne l’esthétique de la finition ainsi que les performances exigées en matière d'acoustique et/ou de résistance au feu);</w:t>
      </w:r>
    </w:p>
    <w:p w14:paraId="57BB62CD" w14:textId="77777777" w:rsidR="004B2808" w:rsidRDefault="00000000">
      <w:pPr>
        <w:pStyle w:val="pheading"/>
      </w:pPr>
      <w:r>
        <w:t>- Localisation</w:t>
      </w:r>
    </w:p>
    <w:p w14:paraId="4ACA2F02" w14:textId="77777777" w:rsidR="004B2808" w:rsidRDefault="00000000">
      <w:r>
        <w:t xml:space="preserve">Localisation des travaux : </w:t>
      </w:r>
      <w:r>
        <w:rPr>
          <w:rStyle w:val="optioncarChar"/>
        </w:rPr>
        <w:t>***</w:t>
      </w:r>
      <w:r>
        <w:t>.</w:t>
      </w:r>
    </w:p>
    <w:p w14:paraId="497A4614" w14:textId="77777777" w:rsidR="004B2808" w:rsidRDefault="00000000">
      <w:r>
        <w:t>Voir plans et métrés détaillés.</w:t>
      </w:r>
    </w:p>
    <w:p w14:paraId="72DF4BBF" w14:textId="77777777" w:rsidR="004B2808" w:rsidRDefault="00000000">
      <w:pPr>
        <w:pStyle w:val="pheading"/>
      </w:pPr>
      <w:r>
        <w:t>MATÉRIAUX</w:t>
      </w:r>
    </w:p>
    <w:p w14:paraId="7B69E075" w14:textId="77777777" w:rsidR="004B2808" w:rsidRDefault="00000000">
      <w:pPr>
        <w:pStyle w:val="pheading"/>
      </w:pPr>
      <w:r>
        <w:t>- Caractéristiques générales</w:t>
      </w:r>
    </w:p>
    <w:p w14:paraId="27D4F54C" w14:textId="77777777" w:rsidR="004B2808" w:rsidRDefault="00000000">
      <w:pPr>
        <w:jc w:val="both"/>
      </w:pPr>
      <w:r>
        <w:rPr>
          <w:b/>
        </w:rPr>
        <w:t>Plaques de verre expansé</w:t>
      </w:r>
    </w:p>
    <w:p w14:paraId="2FD323C6" w14:textId="77777777" w:rsidR="004B2808" w:rsidRDefault="00000000">
      <w:pPr>
        <w:jc w:val="both"/>
      </w:pPr>
      <w:r>
        <w:t>Ce sont des plaques à bord droit mises bord à bord sans collage. Ces panneaux sont prêts à enduire ou à carreler.</w:t>
      </w:r>
    </w:p>
    <w:p w14:paraId="5210417D" w14:textId="77777777" w:rsidR="004B2808" w:rsidRDefault="00000000">
      <w:pPr>
        <w:jc w:val="both"/>
      </w:pPr>
      <w:r>
        <w:rPr>
          <w:u w:val="single"/>
        </w:rPr>
        <w:t>Dimensions des plaques :</w:t>
      </w:r>
    </w:p>
    <w:p w14:paraId="54AD3B17" w14:textId="77777777" w:rsidR="004B2808" w:rsidRDefault="00000000">
      <w:pPr>
        <w:jc w:val="both"/>
      </w:pPr>
      <w:r>
        <w:t xml:space="preserve">Epaisseur des plaques : </w:t>
      </w:r>
      <w:r>
        <w:rPr>
          <w:rStyle w:val="optioncarChar"/>
        </w:rPr>
        <w:t>8 </w:t>
      </w:r>
      <w:r>
        <w:t>(par défaut)</w:t>
      </w:r>
      <w:r>
        <w:rPr>
          <w:rStyle w:val="optioncarChar"/>
        </w:rPr>
        <w:t> / 10 / 12 / 20 / *** </w:t>
      </w:r>
      <w:r>
        <w:t>mm</w:t>
      </w:r>
    </w:p>
    <w:p w14:paraId="14C0C3AA" w14:textId="77777777" w:rsidR="004B2808" w:rsidRDefault="00000000">
      <w:pPr>
        <w:jc w:val="both"/>
      </w:pPr>
      <w:r>
        <w:t>Largeur :</w:t>
      </w:r>
      <w:r>
        <w:rPr>
          <w:rStyle w:val="optioncarChar"/>
        </w:rPr>
        <w:t xml:space="preserve"> 600 mm </w:t>
      </w:r>
      <w:r>
        <w:t>(par défaut)</w:t>
      </w:r>
      <w:r>
        <w:rPr>
          <w:rStyle w:val="optioncarChar"/>
        </w:rPr>
        <w:t xml:space="preserve"> / 1200 mm / au choix de l'entrepreneur</w:t>
      </w:r>
    </w:p>
    <w:p w14:paraId="421F1039" w14:textId="77777777" w:rsidR="004B2808" w:rsidRDefault="00000000">
      <w:pPr>
        <w:jc w:val="both"/>
      </w:pPr>
      <w:r>
        <w:t xml:space="preserve">Longueur : </w:t>
      </w:r>
      <w:r>
        <w:rPr>
          <w:rStyle w:val="optioncarChar"/>
        </w:rPr>
        <w:t>800 mm </w:t>
      </w:r>
      <w:r>
        <w:t>(par défaut)</w:t>
      </w:r>
      <w:r>
        <w:rPr>
          <w:rStyle w:val="optioncarChar"/>
        </w:rPr>
        <w:t xml:space="preserve"> / 2400 mm / 2600 mm / au choix de l'entrepreneur</w:t>
      </w:r>
    </w:p>
    <w:p w14:paraId="3CBE2EC7" w14:textId="77777777" w:rsidR="004B2808" w:rsidRDefault="00000000">
      <w:pPr>
        <w:jc w:val="both"/>
      </w:pPr>
      <w:r>
        <w:rPr>
          <w:u w:val="single"/>
        </w:rPr>
        <w:t>Réaction au feu suivant [NBN EN 13501-1]:</w:t>
      </w:r>
    </w:p>
    <w:p w14:paraId="67155A7D" w14:textId="77777777" w:rsidR="004B2808" w:rsidRDefault="00000000">
      <w:pPr>
        <w:jc w:val="both"/>
      </w:pPr>
      <w:r>
        <w:t xml:space="preserve">Classe : </w:t>
      </w:r>
      <w:r>
        <w:rPr>
          <w:rStyle w:val="optioncarChar"/>
        </w:rPr>
        <w:t>B </w:t>
      </w:r>
      <w:r>
        <w:t xml:space="preserve">(par défaut) </w:t>
      </w:r>
      <w:r>
        <w:rPr>
          <w:rStyle w:val="optioncarChar"/>
        </w:rPr>
        <w:t>/ C</w:t>
      </w:r>
    </w:p>
    <w:p w14:paraId="393D5137" w14:textId="77777777" w:rsidR="004B2808" w:rsidRDefault="00000000">
      <w:pPr>
        <w:jc w:val="both"/>
      </w:pPr>
      <w:r>
        <w:t>Classe :</w:t>
      </w:r>
      <w:r>
        <w:rPr>
          <w:rStyle w:val="optioncarChar"/>
        </w:rPr>
        <w:t xml:space="preserve"> s1 </w:t>
      </w:r>
      <w:r>
        <w:t xml:space="preserve">(par défaut) </w:t>
      </w:r>
      <w:r>
        <w:rPr>
          <w:rStyle w:val="optioncarChar"/>
        </w:rPr>
        <w:t>/ s2</w:t>
      </w:r>
    </w:p>
    <w:p w14:paraId="006182BA" w14:textId="77777777" w:rsidR="004B2808" w:rsidRDefault="00000000">
      <w:pPr>
        <w:jc w:val="both"/>
      </w:pPr>
      <w:r>
        <w:t>Classe :</w:t>
      </w:r>
      <w:r>
        <w:rPr>
          <w:rStyle w:val="optioncarChar"/>
        </w:rPr>
        <w:t xml:space="preserve"> d0 </w:t>
      </w:r>
      <w:r>
        <w:t>(par défaut)</w:t>
      </w:r>
      <w:r>
        <w:rPr>
          <w:rStyle w:val="optioncarChar"/>
        </w:rPr>
        <w:t xml:space="preserve"> / d1 / d2</w:t>
      </w:r>
    </w:p>
    <w:p w14:paraId="37E0C195" w14:textId="77777777" w:rsidR="004B2808" w:rsidRDefault="00000000">
      <w:pPr>
        <w:pStyle w:val="pheading"/>
      </w:pPr>
      <w:r>
        <w:t>- Finitions</w:t>
      </w:r>
    </w:p>
    <w:p w14:paraId="446F4AD2" w14:textId="77777777" w:rsidR="004B2808" w:rsidRDefault="00000000">
      <w:pPr>
        <w:jc w:val="both"/>
      </w:pPr>
      <w:r>
        <w:t xml:space="preserve">Type : </w:t>
      </w:r>
      <w:r>
        <w:rPr>
          <w:rStyle w:val="optioncarChar"/>
        </w:rPr>
        <w:t>enduit de plâtre mince lissé / enduit de plâtre mince structuré / carrelage (non compris) / ***</w:t>
      </w:r>
    </w:p>
    <w:p w14:paraId="7C962C68" w14:textId="77777777" w:rsidR="004B2808" w:rsidRDefault="00000000">
      <w:pPr>
        <w:jc w:val="both"/>
      </w:pPr>
      <w:r>
        <w:t xml:space="preserve">Pour les finitions en enduit de plâtre mince, elles sont décrites dans </w:t>
      </w:r>
      <w:r>
        <w:rPr>
          <w:rStyle w:val="optioncarChar"/>
        </w:rPr>
        <w:t>l’article  </w:t>
      </w:r>
      <w:hyperlink w:anchor="1136" w:history="1">
        <w:r w:rsidR="004B2808">
          <w:rPr>
            <w:rStyle w:val="optioncarChar"/>
            <w:color w:val="0000EE"/>
          </w:rPr>
          <w:t>54.14.1a Enduits à base de plâtre en 1 couche (± 10 mm), prédosés à sec</w:t>
        </w:r>
      </w:hyperlink>
      <w:r>
        <w:rPr>
          <w:rStyle w:val="optioncarChar"/>
        </w:rPr>
        <w:t xml:space="preserve"> / l'article </w:t>
      </w:r>
      <w:hyperlink w:anchor="1137" w:history="1">
        <w:r w:rsidR="004B2808">
          <w:rPr>
            <w:rStyle w:val="optioncarChar"/>
            <w:color w:val="0000EE"/>
          </w:rPr>
          <w:t>54.14.1b Enduits à base de plâtre en 1 couche (± 10 mm), prêts à l'emploi</w:t>
        </w:r>
      </w:hyperlink>
      <w:r>
        <w:rPr>
          <w:rStyle w:val="optioncarChar"/>
        </w:rPr>
        <w:t xml:space="preserve"> / l'article </w:t>
      </w:r>
      <w:hyperlink w:anchor="1138" w:history="1">
        <w:r w:rsidR="004B2808">
          <w:rPr>
            <w:rStyle w:val="optioncarChar"/>
            <w:color w:val="0000EE"/>
          </w:rPr>
          <w:t>54.14.1c Enduits au plâtre et à la chaux (composition prescrite) en 1 couche (± 10 mm)</w:t>
        </w:r>
      </w:hyperlink>
      <w:r>
        <w:t xml:space="preserve"> et comprise dans ce poste.</w:t>
      </w:r>
    </w:p>
    <w:p w14:paraId="283294FC" w14:textId="77777777" w:rsidR="004B2808" w:rsidRDefault="00000000">
      <w:pPr>
        <w:jc w:val="both"/>
      </w:pPr>
      <w:r>
        <w:t>Pour les finitions de type carrelage, elles sont décrites et comprises au titre </w:t>
      </w:r>
      <w:hyperlink w:anchor="61" w:history="1">
        <w:r w:rsidR="004B2808">
          <w:rPr>
            <w:color w:val="0000EE"/>
          </w:rPr>
          <w:t>51.6 Autres revêtements intérieurs (collés, scellés ou fixés mécaniquement)</w:t>
        </w:r>
      </w:hyperlink>
    </w:p>
    <w:p w14:paraId="378A3D1F" w14:textId="77777777" w:rsidR="004B2808" w:rsidRDefault="00000000">
      <w:pPr>
        <w:pStyle w:val="pheading"/>
      </w:pPr>
      <w:r>
        <w:t>- Prescriptions complémentaires</w:t>
      </w:r>
    </w:p>
    <w:p w14:paraId="4D57A33B" w14:textId="77777777" w:rsidR="004B2808" w:rsidRDefault="00000000">
      <w:pPr>
        <w:jc w:val="both"/>
      </w:pPr>
      <w:r>
        <w:rPr>
          <w:rStyle w:val="facultChar"/>
          <w:b/>
        </w:rPr>
        <w:t>Matériau d'isolation</w:t>
      </w:r>
    </w:p>
    <w:p w14:paraId="361DE786" w14:textId="77777777" w:rsidR="004B2808" w:rsidRDefault="00000000">
      <w:pPr>
        <w:jc w:val="both"/>
      </w:pPr>
      <w:r>
        <w:rPr>
          <w:rStyle w:val="facultChar"/>
        </w:rPr>
        <w:t xml:space="preserve">Isolant acoustique : </w:t>
      </w:r>
      <w:r>
        <w:rPr>
          <w:rStyle w:val="optioncarChar"/>
        </w:rPr>
        <w:t>oui / non</w:t>
      </w:r>
    </w:p>
    <w:p w14:paraId="3447D865" w14:textId="77777777" w:rsidR="004B2808" w:rsidRDefault="00000000">
      <w:pPr>
        <w:jc w:val="both"/>
      </w:pPr>
      <w:r>
        <w:rPr>
          <w:rStyle w:val="facultChar"/>
        </w:rPr>
        <w:t xml:space="preserve">Isolant thermique : </w:t>
      </w:r>
      <w:r>
        <w:rPr>
          <w:rStyle w:val="optioncarChar"/>
        </w:rPr>
        <w:t>oui / non</w:t>
      </w:r>
    </w:p>
    <w:p w14:paraId="434576EE" w14:textId="77777777" w:rsidR="004B2808" w:rsidRDefault="00000000">
      <w:pPr>
        <w:jc w:val="both"/>
      </w:pPr>
      <w:r>
        <w:rPr>
          <w:rStyle w:val="facultChar"/>
        </w:rPr>
        <w:lastRenderedPageBreak/>
        <w:t xml:space="preserve">Type : </w:t>
      </w:r>
      <w:r>
        <w:rPr>
          <w:rStyle w:val="optioncarChar"/>
        </w:rPr>
        <w:t xml:space="preserve">laine de bois </w:t>
      </w:r>
      <w:r>
        <w:t xml:space="preserve">(par défaut) </w:t>
      </w:r>
      <w:r>
        <w:rPr>
          <w:rStyle w:val="optioncarChar"/>
        </w:rPr>
        <w:t>/ laine de verre / laine de roche / laine à base de cellulose / ***</w:t>
      </w:r>
    </w:p>
    <w:p w14:paraId="5AF052F0" w14:textId="77777777" w:rsidR="004B2808" w:rsidRDefault="00000000">
      <w:pPr>
        <w:jc w:val="both"/>
      </w:pPr>
      <w:r>
        <w:rPr>
          <w:rStyle w:val="facultChar"/>
        </w:rPr>
        <w:t xml:space="preserve">Masse volumique : </w:t>
      </w:r>
      <w:r>
        <w:rPr>
          <w:rStyle w:val="optioncarChar"/>
        </w:rPr>
        <w:t>***</w:t>
      </w:r>
    </w:p>
    <w:p w14:paraId="50AAB028" w14:textId="77777777" w:rsidR="004B2808" w:rsidRDefault="00000000">
      <w:pPr>
        <w:jc w:val="both"/>
      </w:pPr>
      <w:r>
        <w:rPr>
          <w:rStyle w:val="facultChar"/>
        </w:rPr>
        <w:t xml:space="preserve">Épaisseur des panneaux : </w:t>
      </w:r>
      <w:r>
        <w:rPr>
          <w:rStyle w:val="optioncarChar"/>
        </w:rPr>
        <w:t>sans panneau complémentaire </w:t>
      </w:r>
      <w:r>
        <w:t>(par défaut)</w:t>
      </w:r>
      <w:r>
        <w:rPr>
          <w:rStyle w:val="optioncarChar"/>
        </w:rPr>
        <w:t xml:space="preserve"> / 20 mm / 40 mm / 60 mm / ***mm</w:t>
      </w:r>
    </w:p>
    <w:p w14:paraId="3F34C8BF" w14:textId="77777777" w:rsidR="004B2808" w:rsidRDefault="00000000">
      <w:pPr>
        <w:jc w:val="both"/>
      </w:pPr>
      <w:r>
        <w:rPr>
          <w:rStyle w:val="facultChar"/>
        </w:rPr>
        <w:t xml:space="preserve">Conductibilité thermique : </w:t>
      </w:r>
      <w:r>
        <w:rPr>
          <w:rStyle w:val="optioncarChar"/>
        </w:rPr>
        <w:t xml:space="preserve">aucune exigence </w:t>
      </w:r>
      <w:r>
        <w:t>(par défaut) </w:t>
      </w:r>
      <w:r>
        <w:rPr>
          <w:rStyle w:val="optioncarChar"/>
        </w:rPr>
        <w:t>/ inférieure ou égale à 0,034 W/mk à 10°C (selon la [NBN B 62-201]) / ***</w:t>
      </w:r>
    </w:p>
    <w:p w14:paraId="67061589" w14:textId="77777777" w:rsidR="004B2808" w:rsidRDefault="00000000">
      <w:pPr>
        <w:jc w:val="both"/>
      </w:pPr>
      <w:r>
        <w:rPr>
          <w:rStyle w:val="facultChar"/>
        </w:rPr>
        <w:t xml:space="preserve">Les cloisons appartiennent à la classe acoustique </w:t>
      </w:r>
      <w:r>
        <w:rPr>
          <w:rStyle w:val="optioncarChar"/>
        </w:rPr>
        <w:t>IIIa / IIa</w:t>
      </w:r>
      <w:r>
        <w:t>  </w:t>
      </w:r>
      <w:r>
        <w:rPr>
          <w:rStyle w:val="facultChar"/>
        </w:rPr>
        <w:t>selon la [NBN S 01-400].</w:t>
      </w:r>
    </w:p>
    <w:p w14:paraId="6F7513EA" w14:textId="77777777" w:rsidR="004B2808" w:rsidRDefault="00000000">
      <w:pPr>
        <w:jc w:val="both"/>
      </w:pPr>
      <w:r>
        <w:rPr>
          <w:rStyle w:val="facultChar"/>
        </w:rPr>
        <w:t>L'isolation acoustique des cloisons est conforme aux exigences d'isolation acoustique. Un certificat remis par un laboratoire belge agréé est soumis. Les cloisons sont posées en conformité totale avec les conditions de pose mentionnées dans le rapport d'essai.</w:t>
      </w:r>
    </w:p>
    <w:p w14:paraId="7989EE77" w14:textId="77777777" w:rsidR="004B2808" w:rsidRDefault="004B2808">
      <w:pPr>
        <w:jc w:val="both"/>
      </w:pPr>
    </w:p>
    <w:p w14:paraId="3B8E522D" w14:textId="77777777" w:rsidR="004B2808" w:rsidRDefault="004B2808">
      <w:pPr>
        <w:jc w:val="both"/>
      </w:pPr>
    </w:p>
    <w:p w14:paraId="5DF3676E" w14:textId="77777777" w:rsidR="004B2808" w:rsidRDefault="00000000">
      <w:pPr>
        <w:jc w:val="both"/>
      </w:pPr>
      <w:r>
        <w:rPr>
          <w:rStyle w:val="facultChar"/>
        </w:rPr>
        <w:t xml:space="preserve">L'ensemble de la cloison présente une résistance au feu de </w:t>
      </w:r>
      <w:r>
        <w:rPr>
          <w:rStyle w:val="optioncarChar"/>
        </w:rPr>
        <w:t>EI 30/ EI 60 / EI 120</w:t>
      </w:r>
      <w:r>
        <w:rPr>
          <w:rStyle w:val="facultChar"/>
        </w:rPr>
        <w:t xml:space="preserve"> selon la [NBN EN 13501-2] (ou </w:t>
      </w:r>
      <w:r>
        <w:rPr>
          <w:rStyle w:val="optioncarChar"/>
        </w:rPr>
        <w:t>Rf 1/2 h / Rf 1 h / Rf 2 h</w:t>
      </w:r>
      <w:r>
        <w:rPr>
          <w:rStyle w:val="facultChar"/>
        </w:rPr>
        <w:t xml:space="preserve"> selon la [NBN 713-020] tant qu’elle est encore d’application). La performance de résistance au feu est attestée conformément aux prescriptions reprises dans l'[AR 1994-07-07].</w:t>
      </w:r>
    </w:p>
    <w:p w14:paraId="5DD3D40E" w14:textId="77777777" w:rsidR="004B2808" w:rsidRDefault="00000000">
      <w:pPr>
        <w:jc w:val="both"/>
      </w:pPr>
      <w:r>
        <w:rPr>
          <w:rStyle w:val="facultChar"/>
        </w:rPr>
        <w:t>La cloison est posée en conformité totale avec les conditions de pose mentionnées dans le(s) rapport(s) d'essai.</w:t>
      </w:r>
    </w:p>
    <w:p w14:paraId="227B08E9" w14:textId="77777777" w:rsidR="004B2808" w:rsidRDefault="00000000">
      <w:pPr>
        <w:pStyle w:val="pheading"/>
      </w:pPr>
      <w:r>
        <w:t>EXÉCUTION / MISE EN ŒUVRE</w:t>
      </w:r>
    </w:p>
    <w:p w14:paraId="651194BB" w14:textId="77777777" w:rsidR="004B2808" w:rsidRDefault="00000000">
      <w:pPr>
        <w:pStyle w:val="pheading"/>
      </w:pPr>
      <w:r>
        <w:t>- Prescriptions générales</w:t>
      </w:r>
    </w:p>
    <w:p w14:paraId="6E83ABB6" w14:textId="77777777" w:rsidR="004B2808" w:rsidRDefault="00000000">
      <w:pPr>
        <w:jc w:val="both"/>
      </w:pPr>
      <w:r>
        <w:t xml:space="preserve">Conformément au titre </w:t>
      </w:r>
      <w:hyperlink w:anchor="1132" w:history="1">
        <w:r w:rsidR="004B2808">
          <w:rPr>
            <w:color w:val="0000EE"/>
          </w:rPr>
          <w:t>51.1 Cloisons fixes légères de séparation (Rem.: le type d'ossature est explicité à l'article)</w:t>
        </w:r>
      </w:hyperlink>
      <w:r>
        <w:t>.</w:t>
      </w:r>
    </w:p>
    <w:p w14:paraId="4C5F66E4" w14:textId="77777777" w:rsidR="004B2808" w:rsidRDefault="00000000">
      <w:pPr>
        <w:jc w:val="both"/>
      </w:pPr>
      <w:r>
        <w:rPr>
          <w:b/>
        </w:rPr>
        <w:t>Composition du parement</w:t>
      </w:r>
    </w:p>
    <w:p w14:paraId="02FB29C0" w14:textId="77777777" w:rsidR="004B2808" w:rsidRDefault="00000000">
      <w:pPr>
        <w:jc w:val="both"/>
      </w:pPr>
      <w:r>
        <w:t xml:space="preserve">Fixation au moyen de </w:t>
      </w:r>
      <w:r>
        <w:rPr>
          <w:rStyle w:val="optioncarChar"/>
        </w:rPr>
        <w:t>mortier-colle / structure en bois / structure en métal</w:t>
      </w:r>
      <w:r>
        <w:t xml:space="preserve"> (selon l'article </w:t>
      </w:r>
      <w:hyperlink w:anchor="1140" w:history="1">
        <w:r w:rsidR="004B2808">
          <w:rPr>
            <w:color w:val="0000EE"/>
          </w:rPr>
          <w:t>51.21.1a Cloisons de doublage sur ossature / parement en plaques/panneaux à base de plâtre</w:t>
        </w:r>
      </w:hyperlink>
      <w:r>
        <w:t>)</w:t>
      </w:r>
    </w:p>
    <w:p w14:paraId="787D53F5" w14:textId="77777777" w:rsidR="004B2808" w:rsidRDefault="00000000">
      <w:pPr>
        <w:jc w:val="both"/>
      </w:pPr>
      <w:r>
        <w:t xml:space="preserve">Les plaques sont posées </w:t>
      </w:r>
      <w:r>
        <w:rPr>
          <w:rStyle w:val="optioncarChar"/>
        </w:rPr>
        <w:t>verticalement / horizontalement</w:t>
      </w:r>
      <w:r>
        <w:t xml:space="preserve"> bien jointives avec un joint ouvert de ± 10 mm entre le bord inférieur des plaques et le sol.</w:t>
      </w:r>
    </w:p>
    <w:p w14:paraId="7B0ADA75" w14:textId="77777777" w:rsidR="004B2808" w:rsidRDefault="00000000">
      <w:pPr>
        <w:jc w:val="both"/>
      </w:pPr>
      <w:r>
        <w:rPr>
          <w:b/>
        </w:rPr>
        <w:t>Finition des plaques et des joints</w:t>
      </w:r>
    </w:p>
    <w:p w14:paraId="6A6BC665" w14:textId="77777777" w:rsidR="004B2808" w:rsidRDefault="00000000">
      <w:pPr>
        <w:jc w:val="both"/>
      </w:pPr>
      <w:r>
        <w:rPr>
          <w:rStyle w:val="optioncarChar"/>
        </w:rPr>
        <w:t xml:space="preserve">Sans joint visible </w:t>
      </w:r>
      <w:r>
        <w:t xml:space="preserve">(par défaut) </w:t>
      </w:r>
      <w:r>
        <w:rPr>
          <w:rStyle w:val="optioncarChar"/>
        </w:rPr>
        <w:t>/ Pas de parachèvement</w:t>
      </w:r>
    </w:p>
    <w:p w14:paraId="43A6EF53" w14:textId="77777777" w:rsidR="004B2808" w:rsidRDefault="00000000">
      <w:pPr>
        <w:ind w:left="567"/>
        <w:jc w:val="both"/>
      </w:pPr>
      <w:r>
        <w:rPr>
          <w:b/>
          <w:i/>
        </w:rPr>
        <w:t>(Soit par défaut)</w:t>
      </w:r>
    </w:p>
    <w:p w14:paraId="76382CCC" w14:textId="77777777" w:rsidR="004B2808" w:rsidRDefault="00000000">
      <w:pPr>
        <w:ind w:left="567"/>
        <w:jc w:val="both"/>
      </w:pPr>
      <w:r>
        <w:rPr>
          <w:rStyle w:val="soitChar"/>
          <w:b/>
          <w:u w:val="single"/>
        </w:rPr>
        <w:t>Sans joint visible :</w:t>
      </w:r>
      <w:r>
        <w:rPr>
          <w:rStyle w:val="soitChar"/>
        </w:rPr>
        <w:t>les plaques sont parachevées sans joints visibles (destinées à être tapissées ou peintes ultérieurement). Les joints et les angles intérieurs sont achevés avec des bandes de recouvrement et enduites en même temps que les têtes de vis avec un matériau approprié de type enduit mince.</w:t>
      </w:r>
    </w:p>
    <w:p w14:paraId="641B92A8" w14:textId="77777777" w:rsidR="004B2808" w:rsidRDefault="00000000">
      <w:pPr>
        <w:ind w:left="567"/>
        <w:jc w:val="both"/>
      </w:pPr>
      <w:r>
        <w:rPr>
          <w:rStyle w:val="soitChar"/>
        </w:rPr>
        <w:t>Sur tous les angles extérieurs, on fixe des cornières de protection à angle arrondi plein et des ailes en métal fin déployé. Les têtes de vis sont enduites à fleur des plaques avec un matériau approprié.</w:t>
      </w:r>
    </w:p>
    <w:p w14:paraId="10D61D50" w14:textId="77777777" w:rsidR="004B2808" w:rsidRDefault="00000000">
      <w:pPr>
        <w:ind w:left="567"/>
        <w:jc w:val="both"/>
      </w:pPr>
      <w:r>
        <w:rPr>
          <w:b/>
          <w:i/>
        </w:rPr>
        <w:t>(Soit)</w:t>
      </w:r>
    </w:p>
    <w:p w14:paraId="012F3738" w14:textId="77777777" w:rsidR="004B2808" w:rsidRDefault="00000000">
      <w:pPr>
        <w:ind w:left="567"/>
        <w:jc w:val="both"/>
      </w:pPr>
      <w:r>
        <w:rPr>
          <w:rStyle w:val="soitChar"/>
          <w:b/>
          <w:u w:val="single"/>
        </w:rPr>
        <w:t>Pas de parachèvement :</w:t>
      </w:r>
      <w:r>
        <w:rPr>
          <w:rStyle w:val="soitChar"/>
        </w:rPr>
        <w:t>les plaques ne sont pas parachevées pour recevoir du carrelage (non compris).</w:t>
      </w:r>
    </w:p>
    <w:p w14:paraId="0B6618D1" w14:textId="77777777" w:rsidR="004B2808" w:rsidRDefault="00000000">
      <w:pPr>
        <w:pStyle w:val="pheading"/>
      </w:pPr>
      <w:r>
        <w:t>- Notes d’exécution complémentaires</w:t>
      </w:r>
    </w:p>
    <w:p w14:paraId="66D2C99D" w14:textId="77777777" w:rsidR="004B2808" w:rsidRDefault="00000000">
      <w:pPr>
        <w:jc w:val="both"/>
      </w:pPr>
      <w:r>
        <w:rPr>
          <w:rStyle w:val="facultChar"/>
        </w:rPr>
        <w:t xml:space="preserve">Une </w:t>
      </w:r>
      <w:r>
        <w:rPr>
          <w:rStyle w:val="optioncarChar"/>
        </w:rPr>
        <w:t>simple / double</w:t>
      </w:r>
      <w:r>
        <w:rPr>
          <w:rStyle w:val="facultChar"/>
        </w:rPr>
        <w:t xml:space="preserve"> couche de plaques est appliquée. Les doubles plaques sont posées en alternance.</w:t>
      </w:r>
    </w:p>
    <w:p w14:paraId="3F8D8083" w14:textId="77777777" w:rsidR="004B2808" w:rsidRDefault="00000000">
      <w:pPr>
        <w:jc w:val="both"/>
      </w:pPr>
      <w:r>
        <w:rPr>
          <w:rStyle w:val="facultChar"/>
        </w:rPr>
        <w:t xml:space="preserve">Les joints entre panneaux doivent recevoir un renforcement d’armature (pontage) suivant la description du chapitre </w:t>
      </w:r>
      <w:hyperlink w:anchor="1141" w:history="1">
        <w:r w:rsidR="004B2808">
          <w:rPr>
            <w:rStyle w:val="facultChar"/>
            <w:color w:val="0000EE"/>
          </w:rPr>
          <w:t>51.52.3 Renforcements d'armature (pontage)</w:t>
        </w:r>
      </w:hyperlink>
      <w:r>
        <w:rPr>
          <w:rStyle w:val="facultChar"/>
        </w:rPr>
        <w:t>.</w:t>
      </w:r>
    </w:p>
    <w:p w14:paraId="3287F61C" w14:textId="77777777" w:rsidR="004B2808" w:rsidRDefault="00000000">
      <w:pPr>
        <w:jc w:val="both"/>
      </w:pPr>
      <w:r>
        <w:rPr>
          <w:rStyle w:val="facultChar"/>
        </w:rPr>
        <w:lastRenderedPageBreak/>
        <w:t xml:space="preserve">Renforcements : </w:t>
      </w:r>
      <w:r>
        <w:rPr>
          <w:rStyle w:val="optioncarChar"/>
        </w:rPr>
        <w:t xml:space="preserve">sans / radiateur, évier, meubles de cuisine et de salle de bain </w:t>
      </w:r>
      <w:r>
        <w:t xml:space="preserve">(par défaut) </w:t>
      </w:r>
      <w:r>
        <w:rPr>
          <w:rStyle w:val="optioncarChar"/>
        </w:rPr>
        <w:t> / suivant plan de détail / ***</w:t>
      </w:r>
      <w:r>
        <w:rPr>
          <w:rStyle w:val="facultChar"/>
        </w:rPr>
        <w:t>.</w:t>
      </w:r>
    </w:p>
    <w:p w14:paraId="24F965D1" w14:textId="77777777" w:rsidR="004B2808" w:rsidRDefault="00000000">
      <w:pPr>
        <w:jc w:val="both"/>
      </w:pPr>
      <w:r>
        <w:rPr>
          <w:rStyle w:val="facultChar"/>
        </w:rPr>
        <w:t xml:space="preserve">Joints de dilatation : </w:t>
      </w:r>
      <w:r>
        <w:rPr>
          <w:rStyle w:val="optioncarChar"/>
        </w:rPr>
        <w:t xml:space="preserve">Tous les 8 m maximum </w:t>
      </w:r>
      <w:r>
        <w:t>(par défaut)</w:t>
      </w:r>
      <w:r>
        <w:rPr>
          <w:rStyle w:val="optioncarChar"/>
        </w:rPr>
        <w:t xml:space="preserve"> / ***</w:t>
      </w:r>
    </w:p>
    <w:p w14:paraId="0EC3CE02" w14:textId="77777777" w:rsidR="004B2808" w:rsidRDefault="00000000">
      <w:pPr>
        <w:jc w:val="both"/>
      </w:pPr>
      <w:r>
        <w:rPr>
          <w:rStyle w:val="facultChar"/>
        </w:rPr>
        <w:t>Les cloisons doivent répondre aux exigences correspondant aux classes de catégorie d’usage suivant la [NIT 233] paragraphe 2.5.2 :</w:t>
      </w:r>
    </w:p>
    <w:p w14:paraId="08C2D65B" w14:textId="77777777" w:rsidR="004B2808" w:rsidRDefault="00000000">
      <w:pPr>
        <w:pStyle w:val="Author-eListParagraph"/>
        <w:numPr>
          <w:ilvl w:val="0"/>
          <w:numId w:val="18"/>
        </w:numPr>
      </w:pPr>
      <w:r>
        <w:rPr>
          <w:rStyle w:val="facultChar"/>
        </w:rPr>
        <w:t xml:space="preserve">Catégorie : </w:t>
      </w:r>
      <w:r>
        <w:rPr>
          <w:rStyle w:val="optioncarChar"/>
        </w:rPr>
        <w:t>non déterminée</w:t>
      </w:r>
      <w:r>
        <w:t> (par défaut)</w:t>
      </w:r>
      <w:r>
        <w:rPr>
          <w:rStyle w:val="optioncarChar"/>
        </w:rPr>
        <w:t xml:space="preserve"> / A / B / C / D</w:t>
      </w:r>
    </w:p>
    <w:p w14:paraId="35A61A4E" w14:textId="77777777" w:rsidR="004B2808" w:rsidRDefault="00000000">
      <w:pPr>
        <w:pStyle w:val="Author-eListParagraph"/>
        <w:numPr>
          <w:ilvl w:val="0"/>
          <w:numId w:val="18"/>
        </w:numPr>
      </w:pPr>
      <w:r>
        <w:rPr>
          <w:rStyle w:val="facultChar"/>
        </w:rPr>
        <w:t>Sous-catégorie :</w:t>
      </w:r>
      <w:r>
        <w:rPr>
          <w:rStyle w:val="optioncarChar"/>
        </w:rPr>
        <w:t xml:space="preserve"> sans objet </w:t>
      </w:r>
      <w:r>
        <w:t>(par défaut)</w:t>
      </w:r>
      <w:r>
        <w:rPr>
          <w:rStyle w:val="optioncarChar"/>
        </w:rPr>
        <w:t xml:space="preserve"> / C1 / C2 / C3 / C4 / C5 / D1 / D2</w:t>
      </w:r>
    </w:p>
    <w:p w14:paraId="404BF37C" w14:textId="77777777" w:rsidR="004B2808" w:rsidRDefault="00000000">
      <w:pPr>
        <w:jc w:val="both"/>
      </w:pPr>
      <w:r>
        <w:rPr>
          <w:rStyle w:val="facultChar"/>
        </w:rPr>
        <w:t>L’entreprise fait parvenir à l’architecte et/ou la direction des travaux les études et les essais en ce qui concerne les performances exigées en matière d'acoustique et/ou de résistance au feu.</w:t>
      </w:r>
    </w:p>
    <w:p w14:paraId="3CC8AB06" w14:textId="77777777" w:rsidR="004B2808" w:rsidRDefault="00000000">
      <w:pPr>
        <w:pStyle w:val="pheading"/>
      </w:pPr>
      <w:r>
        <w:t>- Échantillons</w:t>
      </w:r>
    </w:p>
    <w:p w14:paraId="7955C9E3" w14:textId="77777777" w:rsidR="004B2808" w:rsidRDefault="00000000">
      <w:pPr>
        <w:jc w:val="both"/>
      </w:pPr>
      <w:r>
        <w:t>Pour tout enduit devant présenter une autre finition que lisse, un essai d’1 m² est réalisé.</w:t>
      </w:r>
    </w:p>
    <w:p w14:paraId="6B2EF8F5" w14:textId="77777777" w:rsidR="004B2808" w:rsidRDefault="00000000">
      <w:pPr>
        <w:pStyle w:val="pheading"/>
      </w:pPr>
      <w:r>
        <w:t>CONTRÔLES PARTICULIERS</w:t>
      </w:r>
    </w:p>
    <w:p w14:paraId="0411B3A3" w14:textId="77777777" w:rsidR="004B2808" w:rsidRDefault="00000000">
      <w:pPr>
        <w:jc w:val="both"/>
      </w:pPr>
      <w:r>
        <w:t>Avant toute mise en œuvre le support doit pouvoir supporter la charge des cloisons et/ ou des habillages. Se référer notamment à la [NBN B 03-003].</w:t>
      </w:r>
    </w:p>
    <w:p w14:paraId="36252598" w14:textId="77777777" w:rsidR="004B2808" w:rsidRDefault="00000000">
      <w:pPr>
        <w:jc w:val="both"/>
      </w:pPr>
      <w:r>
        <w:t>La planéité des supports doit répondre aux prescriptions de la [NIT 233].</w:t>
      </w:r>
    </w:p>
    <w:p w14:paraId="4A200698" w14:textId="77777777" w:rsidR="004B2808" w:rsidRDefault="00000000">
      <w:pPr>
        <w:jc w:val="both"/>
      </w:pPr>
      <w:r>
        <w:t>Le contrôle des tolérances en matière de planéité des surfaces, de l’aplomb ou de la verticalité, de la rectitude des arêtes et l’angularité doit répondre à la [NBN ISO 7976-1].</w:t>
      </w:r>
    </w:p>
    <w:p w14:paraId="49A9CEE8" w14:textId="77777777" w:rsidR="004B2808" w:rsidRDefault="00000000">
      <w:pPr>
        <w:pStyle w:val="pheading"/>
      </w:pPr>
      <w:r>
        <w:t>DOCUMENTS DE RÉFÉRENCE COMPLÉMENTAIRES</w:t>
      </w:r>
    </w:p>
    <w:p w14:paraId="12738462" w14:textId="77777777" w:rsidR="004B2808" w:rsidRDefault="00000000">
      <w:pPr>
        <w:pStyle w:val="pheading"/>
      </w:pPr>
      <w:r>
        <w:t>- Matériau</w:t>
      </w:r>
    </w:p>
    <w:p w14:paraId="74AA5EDE" w14:textId="77777777" w:rsidR="004B2808" w:rsidRDefault="00000000">
      <w:r>
        <w:t>[NBN EN 13501 série, Classement au feu des produits et éléments de construction]</w:t>
      </w:r>
    </w:p>
    <w:p w14:paraId="47065E7D" w14:textId="77777777" w:rsidR="004B2808" w:rsidRDefault="00000000">
      <w:r>
        <w:t>[NBN S 01-400, Acoustique - Critères de l'isolation acoustique]</w:t>
      </w:r>
    </w:p>
    <w:p w14:paraId="5A63B45B" w14:textId="77777777" w:rsidR="004B2808" w:rsidRDefault="00000000">
      <w:r>
        <w:t>[NBN EN ISO 12354-1, Acoustique du bâtiment - Calcul de la performance acoustique des bâtiments à partir de la performance des éléments - Partie 1: Isolement acoustique aux bruits aériens entre des locaux (ISO 12354-1:2017)]</w:t>
      </w:r>
    </w:p>
    <w:p w14:paraId="3E0AE3D2" w14:textId="77777777" w:rsidR="004B2808" w:rsidRDefault="00000000">
      <w:r>
        <w:t>[NBN B 03-003, Déformation des structures - Valeurs limites de déformation - Bâtiments]</w:t>
      </w:r>
    </w:p>
    <w:p w14:paraId="42D2C42F" w14:textId="77777777" w:rsidR="004B2808" w:rsidRDefault="00000000">
      <w:pPr>
        <w:pStyle w:val="pheading"/>
      </w:pPr>
      <w:r>
        <w:t>- Exécution</w:t>
      </w:r>
    </w:p>
    <w:p w14:paraId="2ABD1132" w14:textId="77777777" w:rsidR="004B2808" w:rsidRDefault="00000000">
      <w:r>
        <w:t>[NIT 233, Les cloisons légères.]</w:t>
      </w:r>
    </w:p>
    <w:p w14:paraId="32498800" w14:textId="77777777" w:rsidR="004B2808" w:rsidRDefault="00000000">
      <w:r>
        <w:t>[NBN ISO 7976-1, Tolérances pour le bâtiment - Méthodes de mesure des bâtiments et des produits pour le bâtiment - Partie 1 : Méthodes et instruments]</w:t>
      </w:r>
    </w:p>
    <w:p w14:paraId="49F343DD" w14:textId="77777777" w:rsidR="004B2808" w:rsidRDefault="00000000">
      <w:pPr>
        <w:pStyle w:val="pheading"/>
      </w:pPr>
      <w:r>
        <w:t>MESURAGE</w:t>
      </w:r>
    </w:p>
    <w:p w14:paraId="147F434A" w14:textId="77777777" w:rsidR="004B2808" w:rsidRDefault="00000000">
      <w:pPr>
        <w:pStyle w:val="pheading"/>
      </w:pPr>
      <w:r>
        <w:t>- unité de mesure:</w:t>
      </w:r>
    </w:p>
    <w:p w14:paraId="714524BA" w14:textId="77777777" w:rsidR="004B2808" w:rsidRDefault="00000000">
      <w:r>
        <w:t>m²</w:t>
      </w:r>
    </w:p>
    <w:p w14:paraId="049EF247" w14:textId="77777777" w:rsidR="004B2808" w:rsidRDefault="00000000">
      <w:pPr>
        <w:pStyle w:val="pheading"/>
      </w:pPr>
      <w:r>
        <w:t>- code de mesurage:</w:t>
      </w:r>
    </w:p>
    <w:p w14:paraId="60C14743" w14:textId="77777777" w:rsidR="004B2808" w:rsidRDefault="00000000">
      <w:r>
        <w:rPr>
          <w:b/>
        </w:rPr>
        <w:t>Surface nette</w:t>
      </w:r>
      <w:r>
        <w:t xml:space="preserve"> de la cloison. Distinction faite selon l'épaisseur et la composition des cloisons. Les ouvertures supérieures à 0,50 m² sont déduites.</w:t>
      </w:r>
    </w:p>
    <w:p w14:paraId="71D7BB64" w14:textId="77777777" w:rsidR="004B2808" w:rsidRDefault="00000000">
      <w:pPr>
        <w:pStyle w:val="pheading"/>
      </w:pPr>
      <w:r>
        <w:t>- nature du marché:</w:t>
      </w:r>
    </w:p>
    <w:p w14:paraId="7C3CD44D" w14:textId="77777777" w:rsidR="004B2808" w:rsidRDefault="00000000">
      <w:r>
        <w:t>QF</w:t>
      </w:r>
    </w:p>
    <w:p w14:paraId="44A97A3E" w14:textId="77777777" w:rsidR="004B2808" w:rsidRDefault="00000000">
      <w:pPr>
        <w:pStyle w:val="Author-eSectionHeading5Numberless"/>
      </w:pPr>
      <w:bookmarkStart w:id="24" w:name="_Toc220490240"/>
      <w:r>
        <w:t>51.11.7 Parement en textile CCTB 01.02</w:t>
      </w:r>
      <w:bookmarkEnd w:id="24"/>
    </w:p>
    <w:p w14:paraId="34C3887F" w14:textId="77777777" w:rsidR="004B2808" w:rsidRDefault="00000000">
      <w:pPr>
        <w:pStyle w:val="Author-eSectionHeading6Numberless"/>
      </w:pPr>
      <w:bookmarkStart w:id="25" w:name="_Toc220490241"/>
      <w:r>
        <w:t>51.11.7a Cloisons creuses / parement en textile CCTB 01.02</w:t>
      </w:r>
      <w:bookmarkEnd w:id="25"/>
    </w:p>
    <w:p w14:paraId="4C584029" w14:textId="77777777" w:rsidR="004B2808" w:rsidRDefault="00000000">
      <w:pPr>
        <w:pStyle w:val="Author-eSectionHeading5Numberless"/>
      </w:pPr>
      <w:bookmarkStart w:id="26" w:name="_Toc220490242"/>
      <w:r>
        <w:t>51.11.8 Parement mixte CCTB 01.02</w:t>
      </w:r>
      <w:bookmarkEnd w:id="26"/>
    </w:p>
    <w:p w14:paraId="70A23E6E" w14:textId="77777777" w:rsidR="004B2808" w:rsidRDefault="00000000">
      <w:pPr>
        <w:pStyle w:val="Author-eSectionHeading6Numberless"/>
      </w:pPr>
      <w:bookmarkStart w:id="27" w:name="_Toc220490243"/>
      <w:r>
        <w:lastRenderedPageBreak/>
        <w:t>51.11.8a Cloisons creuses / parement mixte CCTB 01.02</w:t>
      </w:r>
      <w:bookmarkEnd w:id="27"/>
    </w:p>
    <w:p w14:paraId="1B42047D" w14:textId="77777777" w:rsidR="004B2808" w:rsidRDefault="00000000">
      <w:pPr>
        <w:pStyle w:val="Author-eSectionHeading3Numberless"/>
      </w:pPr>
      <w:bookmarkStart w:id="28" w:name="_Toc220490244"/>
      <w:r>
        <w:t>51.2 Cloisons fixes légères de doublage (et lambris) CCTB 01.02</w:t>
      </w:r>
      <w:bookmarkEnd w:id="28"/>
    </w:p>
    <w:p w14:paraId="4EB2F312" w14:textId="77777777" w:rsidR="004B2808" w:rsidRDefault="00000000">
      <w:pPr>
        <w:pStyle w:val="Author-eSectionHeading4Numberless"/>
      </w:pPr>
      <w:bookmarkStart w:id="29" w:name="1150"/>
      <w:bookmarkStart w:id="30" w:name="_Toc220490245"/>
      <w:bookmarkEnd w:id="29"/>
      <w:r>
        <w:t>51.21 Cloison fixe légère de doublage (et lambris) sur ossature CCTB 01.11</w:t>
      </w:r>
      <w:bookmarkEnd w:id="30"/>
    </w:p>
    <w:p w14:paraId="4223D434" w14:textId="77777777" w:rsidR="004B2808" w:rsidRDefault="00000000">
      <w:pPr>
        <w:pStyle w:val="pheading"/>
      </w:pPr>
      <w:r>
        <w:t>DESCRIPTION</w:t>
      </w:r>
    </w:p>
    <w:p w14:paraId="7390A07C" w14:textId="77777777" w:rsidR="004B2808" w:rsidRDefault="00000000">
      <w:pPr>
        <w:pStyle w:val="pheading"/>
      </w:pPr>
      <w:r>
        <w:t>- Définition / Comprend</w:t>
      </w:r>
    </w:p>
    <w:p w14:paraId="0E69ADD6" w14:textId="77777777" w:rsidR="004B2808" w:rsidRDefault="00000000">
      <w:r>
        <w:t>Il s'agit de la fourniture et de la pose de tous les matériaux pour la réalisation des cloisons de doublage non portantes (et, le cas échéant, des caissons verticaux intégrés pour les conduites), y compris les encadrements, les plaques, les matériaux d'isolation prescrits, les moyens de fixation et la finition prête à peindre.</w:t>
      </w:r>
    </w:p>
    <w:p w14:paraId="073E96BB" w14:textId="77777777" w:rsidR="004B2808" w:rsidRDefault="00000000">
      <w:pPr>
        <w:pStyle w:val="pheading"/>
      </w:pPr>
      <w:r>
        <w:t>EXÉCUTION / MISE EN ŒUVRE</w:t>
      </w:r>
    </w:p>
    <w:p w14:paraId="072928F4" w14:textId="77777777" w:rsidR="004B2808" w:rsidRDefault="00000000">
      <w:r>
        <w:t>Les cloisons fixes légères de doublage et/ou lambris sont posés selon les prescriptions de la [NIT 233] et les directives données par le fabricant. La composition de la cloison de doublage et/ou de la cloison de doublage composée complète doit satisfaire aux exigences en ce qui concerne l'isolation acoustique et/ou la sécurité incendie (résistance au feu/réaction au feu) et/ou la sécurité d’utilisation et l’aptitude à l’emploi et/ou isolation thermique. En fonction de la situation, on prévoit des compléments d'isolation lors du montage et/ou des isolants appliqués usine sur les plaques afin de satisfaire aux performances exigées respectivement pour l'isolation acoustique selon la [NBN S 01-400-1] et/ou la résistance au feu basée sur les classes issues de la [NBN EN 13501-2] (ou [NBN 713-020] tant qu’elle est encore d’application ).</w:t>
      </w:r>
    </w:p>
    <w:p w14:paraId="5114C1C7" w14:textId="77777777" w:rsidR="004B2808" w:rsidRDefault="00000000">
      <w:pPr>
        <w:ind w:left="750"/>
      </w:pPr>
      <w:r>
        <w:t> </w:t>
      </w:r>
    </w:p>
    <w:p w14:paraId="245ABE6B" w14:textId="77777777" w:rsidR="004B2808" w:rsidRDefault="00000000">
      <w:pPr>
        <w:pStyle w:val="pheading"/>
      </w:pPr>
      <w:r>
        <w:t>AIDE</w:t>
      </w:r>
    </w:p>
    <w:p w14:paraId="4847E184" w14:textId="77777777" w:rsidR="004B2808" w:rsidRDefault="00000000">
      <w:r>
        <w:t>Support aux prescripteurs : [NIT 233].</w:t>
      </w:r>
    </w:p>
    <w:p w14:paraId="08A36C35" w14:textId="77777777" w:rsidR="004B2808" w:rsidRDefault="00000000">
      <w:pPr>
        <w:ind w:left="750"/>
      </w:pPr>
      <w:r>
        <w:t> </w:t>
      </w:r>
    </w:p>
    <w:p w14:paraId="007AEC46" w14:textId="77777777" w:rsidR="004B2808" w:rsidRDefault="00000000">
      <w:pPr>
        <w:pStyle w:val="Author-eSectionHeading5Numberless"/>
      </w:pPr>
      <w:bookmarkStart w:id="31" w:name="_Toc220490246"/>
      <w:r>
        <w:t>51.21.1 Parement en plaques/panneaux à base de plâtre CCTB 01.11</w:t>
      </w:r>
      <w:bookmarkEnd w:id="31"/>
    </w:p>
    <w:p w14:paraId="06C6E3B1" w14:textId="77777777" w:rsidR="004B2808" w:rsidRDefault="00000000">
      <w:pPr>
        <w:pStyle w:val="pheading"/>
      </w:pPr>
      <w:r>
        <w:t>DESCRIPTION</w:t>
      </w:r>
    </w:p>
    <w:p w14:paraId="1719C1DD" w14:textId="77777777" w:rsidR="004B2808" w:rsidRDefault="00000000">
      <w:pPr>
        <w:pStyle w:val="pheading"/>
      </w:pPr>
      <w:r>
        <w:t>- Définition / Comprend</w:t>
      </w:r>
    </w:p>
    <w:p w14:paraId="522F01FB" w14:textId="77777777" w:rsidR="004B2808" w:rsidRDefault="00000000">
      <w:pPr>
        <w:jc w:val="both"/>
      </w:pPr>
      <w:r>
        <w:t>Le travail comprend notamment :</w:t>
      </w:r>
    </w:p>
    <w:p w14:paraId="706BCF56" w14:textId="77777777" w:rsidR="004B2808" w:rsidRDefault="00000000">
      <w:pPr>
        <w:pStyle w:val="Author-eListParagraph"/>
        <w:numPr>
          <w:ilvl w:val="0"/>
          <w:numId w:val="19"/>
        </w:numPr>
        <w:jc w:val="both"/>
      </w:pPr>
      <w:r>
        <w:t>Toutes précautions en matière de sécurité conformément au 01.4 Plans de sécurité et de santé ;</w:t>
      </w:r>
    </w:p>
    <w:p w14:paraId="72FE13F8" w14:textId="77777777" w:rsidR="004B2808" w:rsidRDefault="00000000">
      <w:pPr>
        <w:pStyle w:val="Author-eListParagraph"/>
        <w:numPr>
          <w:ilvl w:val="0"/>
          <w:numId w:val="19"/>
        </w:numPr>
        <w:jc w:val="both"/>
      </w:pPr>
      <w:r>
        <w:t>L’établissement des plans d’exécution ;</w:t>
      </w:r>
    </w:p>
    <w:p w14:paraId="18510982" w14:textId="77777777" w:rsidR="004B2808" w:rsidRDefault="00000000">
      <w:pPr>
        <w:pStyle w:val="Author-eListParagraph"/>
        <w:numPr>
          <w:ilvl w:val="0"/>
          <w:numId w:val="19"/>
        </w:numPr>
        <w:jc w:val="both"/>
      </w:pPr>
      <w:r>
        <w:t>Le dimensionnement et l’espacement des montants de l’ossature ;</w:t>
      </w:r>
    </w:p>
    <w:p w14:paraId="77E66FCE" w14:textId="77777777" w:rsidR="004B2808" w:rsidRDefault="00000000">
      <w:pPr>
        <w:pStyle w:val="Author-eListParagraph"/>
        <w:numPr>
          <w:ilvl w:val="0"/>
          <w:numId w:val="19"/>
        </w:numPr>
        <w:jc w:val="both"/>
      </w:pPr>
      <w:r>
        <w:t>Toutes les découpes pour raccords aux éléments adjacents, réalisation des baies et ouvertures de tous types au moyen des outils préconisés dans la documentation technique accompagnant les produits ;</w:t>
      </w:r>
    </w:p>
    <w:p w14:paraId="5E5C18C9" w14:textId="77777777" w:rsidR="004B2808" w:rsidRDefault="00000000">
      <w:pPr>
        <w:pStyle w:val="Author-eListParagraph"/>
        <w:numPr>
          <w:ilvl w:val="0"/>
          <w:numId w:val="19"/>
        </w:numPr>
        <w:jc w:val="both"/>
      </w:pPr>
      <w:r>
        <w:t>L'évacuation et la gestion des déchets générés par les travaux de pose des cloisons conformément à la section 07 Déchets, matériaux et éléments réemployables fait partie du prix unitaire de l'article suivant.</w:t>
      </w:r>
    </w:p>
    <w:p w14:paraId="0E2FC70A" w14:textId="77777777" w:rsidR="004B2808" w:rsidRDefault="00000000">
      <w:pPr>
        <w:pStyle w:val="Author-eListParagraph"/>
        <w:numPr>
          <w:ilvl w:val="0"/>
          <w:numId w:val="19"/>
        </w:numPr>
        <w:jc w:val="both"/>
      </w:pPr>
      <w:r>
        <w:t>Tous éléments de renfort pour la fixation ou la suspension d’objets sur la cloison de doublage.</w:t>
      </w:r>
    </w:p>
    <w:p w14:paraId="59F39350" w14:textId="77777777" w:rsidR="004B2808" w:rsidRDefault="00000000">
      <w:pPr>
        <w:pStyle w:val="Author-eSectionHeading6Numberless"/>
      </w:pPr>
      <w:bookmarkStart w:id="32" w:name="_Toc220490247"/>
      <w:r>
        <w:t>51.21.1a Cloisons de doublage sur ossature / parement en plaques/panneaux à base de plâtre CCTB 01.12</w:t>
      </w:r>
      <w:bookmarkEnd w:id="32"/>
    </w:p>
    <w:p w14:paraId="7067453E" w14:textId="77777777" w:rsidR="004B2808" w:rsidRDefault="00000000">
      <w:pPr>
        <w:pStyle w:val="pheading"/>
      </w:pPr>
      <w:bookmarkStart w:id="33" w:name="1140"/>
      <w:bookmarkEnd w:id="33"/>
      <w:r>
        <w:lastRenderedPageBreak/>
        <w:t>DESCRIPTION</w:t>
      </w:r>
    </w:p>
    <w:p w14:paraId="44D84BEA" w14:textId="77777777" w:rsidR="004B2808" w:rsidRDefault="00000000">
      <w:pPr>
        <w:pStyle w:val="pheading"/>
      </w:pPr>
      <w:r>
        <w:t>- Définition / Comprend</w:t>
      </w:r>
    </w:p>
    <w:p w14:paraId="38E53B88" w14:textId="77777777" w:rsidR="004B2808" w:rsidRDefault="00000000">
      <w:pPr>
        <w:jc w:val="both"/>
      </w:pPr>
      <w:r>
        <w:t>Il s’agit de la fourniture et la pose de cloisons de doublage sur ossature avec parement en panneaux à base de plâtre, y compris l’ossature, l’isolation éventuelle, les plaques et leur finition.</w:t>
      </w:r>
    </w:p>
    <w:p w14:paraId="4D299CFC" w14:textId="77777777" w:rsidR="004B2808" w:rsidRDefault="00000000">
      <w:pPr>
        <w:pStyle w:val="pheading"/>
      </w:pPr>
      <w:r>
        <w:t>MATÉRIAUX</w:t>
      </w:r>
    </w:p>
    <w:p w14:paraId="50783B73" w14:textId="77777777" w:rsidR="004B2808" w:rsidRDefault="00000000">
      <w:pPr>
        <w:pStyle w:val="pheading"/>
      </w:pPr>
      <w:r>
        <w:t>- Caractéristiques générales</w:t>
      </w:r>
    </w:p>
    <w:p w14:paraId="2F8D84B1" w14:textId="77777777" w:rsidR="004B2808" w:rsidRDefault="00000000">
      <w:pPr>
        <w:jc w:val="both"/>
      </w:pPr>
      <w:r>
        <w:t xml:space="preserve">Cloison de doublage à fonction acoustique : valeur Rw (C ;Ctr) à atteindre : </w:t>
      </w:r>
      <w:r>
        <w:rPr>
          <w:rStyle w:val="optioncarChar"/>
        </w:rPr>
        <w:t>pas d’application / ***</w:t>
      </w:r>
      <w:r>
        <w:t xml:space="preserve"> dB</w:t>
      </w:r>
    </w:p>
    <w:p w14:paraId="632852F0" w14:textId="77777777" w:rsidR="004B2808" w:rsidRDefault="00000000">
      <w:pPr>
        <w:jc w:val="both"/>
      </w:pPr>
      <w:r>
        <w:t xml:space="preserve">Cloison de doublage à fonction thermique :  valeur Uparoi à atteindre : </w:t>
      </w:r>
      <w:r>
        <w:rPr>
          <w:rStyle w:val="optioncarChar"/>
        </w:rPr>
        <w:t>pas d’application / ***</w:t>
      </w:r>
      <w:r>
        <w:t xml:space="preserve"> W/m²K</w:t>
      </w:r>
    </w:p>
    <w:p w14:paraId="1D02BCD2" w14:textId="77777777" w:rsidR="004B2808" w:rsidRDefault="00000000">
      <w:pPr>
        <w:jc w:val="both"/>
      </w:pPr>
      <w:r>
        <w:t xml:space="preserve">Cloison de doublage à fonction EI : EI </w:t>
      </w:r>
      <w:r>
        <w:rPr>
          <w:rStyle w:val="optioncarChar"/>
        </w:rPr>
        <w:t>30/ 60 / 120</w:t>
      </w:r>
    </w:p>
    <w:p w14:paraId="0D1292E4" w14:textId="77777777" w:rsidR="004B2808" w:rsidRDefault="004B2808">
      <w:pPr>
        <w:jc w:val="both"/>
      </w:pPr>
    </w:p>
    <w:p w14:paraId="1C99FD10" w14:textId="77777777" w:rsidR="004B2808" w:rsidRDefault="00000000">
      <w:pPr>
        <w:jc w:val="both"/>
      </w:pPr>
      <w:r>
        <w:rPr>
          <w:b/>
        </w:rPr>
        <w:t>Ossature :</w:t>
      </w:r>
      <w:r>
        <w:t> </w:t>
      </w:r>
      <w:r>
        <w:rPr>
          <w:rStyle w:val="optioncarChar"/>
        </w:rPr>
        <w:t xml:space="preserve">en acier galvanisé </w:t>
      </w:r>
      <w:r>
        <w:t>(par défaut)</w:t>
      </w:r>
      <w:r>
        <w:rPr>
          <w:rStyle w:val="optioncarChar"/>
        </w:rPr>
        <w:t xml:space="preserve"> / en bois       </w:t>
      </w:r>
      <w:r>
        <w:t>                                  </w:t>
      </w:r>
    </w:p>
    <w:p w14:paraId="5A8E062F" w14:textId="77777777" w:rsidR="004B2808" w:rsidRDefault="00000000">
      <w:pPr>
        <w:jc w:val="both"/>
      </w:pPr>
      <w:r>
        <w:rPr>
          <w:b/>
        </w:rPr>
        <w:t>(soit par défaut)</w:t>
      </w:r>
    </w:p>
    <w:p w14:paraId="15901BD5" w14:textId="77777777" w:rsidR="004B2808" w:rsidRDefault="00000000">
      <w:pPr>
        <w:jc w:val="both"/>
      </w:pPr>
      <w:r>
        <w:rPr>
          <w:rStyle w:val="soitChar"/>
          <w:u w:val="single"/>
        </w:rPr>
        <w:t>Ossature en acier galvanisé :</w:t>
      </w:r>
    </w:p>
    <w:p w14:paraId="54887D4A" w14:textId="77777777" w:rsidR="004B2808" w:rsidRDefault="00000000">
      <w:pPr>
        <w:pStyle w:val="Author-eListParagraph"/>
        <w:numPr>
          <w:ilvl w:val="0"/>
          <w:numId w:val="20"/>
        </w:numPr>
      </w:pPr>
      <w:r>
        <w:rPr>
          <w:rStyle w:val="soitChar"/>
        </w:rPr>
        <w:t>Galvanisation : ≥ 275 gr/m</w:t>
      </w:r>
      <w:r>
        <w:rPr>
          <w:rStyle w:val="soitChar"/>
          <w:vertAlign w:val="superscript"/>
        </w:rPr>
        <w:t>2</w:t>
      </w:r>
    </w:p>
    <w:p w14:paraId="133B6198" w14:textId="77777777" w:rsidR="004B2808" w:rsidRDefault="00000000">
      <w:pPr>
        <w:pStyle w:val="Author-eListParagraph"/>
        <w:numPr>
          <w:ilvl w:val="0"/>
          <w:numId w:val="20"/>
        </w:numPr>
      </w:pPr>
      <w:r>
        <w:rPr>
          <w:rStyle w:val="soitChar"/>
        </w:rPr>
        <w:t xml:space="preserve">Profils d’épaisseur : </w:t>
      </w:r>
      <w:r>
        <w:rPr>
          <w:rStyle w:val="optioncarChar"/>
        </w:rPr>
        <w:t>0,6 / 2</w:t>
      </w:r>
      <w:r>
        <w:rPr>
          <w:rStyle w:val="soitChar"/>
        </w:rPr>
        <w:t xml:space="preserve"> mm ;</w:t>
      </w:r>
    </w:p>
    <w:p w14:paraId="681BB24C" w14:textId="77777777" w:rsidR="004B2808" w:rsidRDefault="00000000">
      <w:pPr>
        <w:pStyle w:val="Author-eListParagraph"/>
        <w:numPr>
          <w:ilvl w:val="0"/>
          <w:numId w:val="20"/>
        </w:numPr>
      </w:pPr>
      <w:r>
        <w:rPr>
          <w:rStyle w:val="soitChar"/>
        </w:rPr>
        <w:t xml:space="preserve">Profils verticaux type C : </w:t>
      </w:r>
      <w:r>
        <w:rPr>
          <w:rStyle w:val="optioncarChar"/>
        </w:rPr>
        <w:t xml:space="preserve">± 50 x 50 x 50 </w:t>
      </w:r>
      <w:r>
        <w:t>(par défaut)</w:t>
      </w:r>
      <w:r>
        <w:rPr>
          <w:rStyle w:val="optioncarChar"/>
        </w:rPr>
        <w:t xml:space="preserve"> / ± 50 x 75 x 50 / ± 50 x 100 x 50 / ± 50 x 150 x 50 / ***</w:t>
      </w:r>
      <w:r>
        <w:rPr>
          <w:rStyle w:val="soitChar"/>
        </w:rPr>
        <w:t xml:space="preserve"> mm</w:t>
      </w:r>
    </w:p>
    <w:p w14:paraId="099402A7" w14:textId="77777777" w:rsidR="004B2808" w:rsidRDefault="00000000">
      <w:pPr>
        <w:pStyle w:val="Author-eListParagraph"/>
        <w:numPr>
          <w:ilvl w:val="0"/>
          <w:numId w:val="20"/>
        </w:numPr>
      </w:pPr>
      <w:r>
        <w:rPr>
          <w:rStyle w:val="soitChar"/>
        </w:rPr>
        <w:t xml:space="preserve">Profils sol et plafond type U : </w:t>
      </w:r>
      <w:r>
        <w:rPr>
          <w:rStyle w:val="optioncarChar"/>
        </w:rPr>
        <w:t xml:space="preserve">± 40 x 40 x 50 </w:t>
      </w:r>
      <w:r>
        <w:t>(par défaut)</w:t>
      </w:r>
      <w:r>
        <w:rPr>
          <w:rStyle w:val="optioncarChar"/>
        </w:rPr>
        <w:t xml:space="preserve"> / ± 40 x 40 x 75 / ± 40 x 40 x 100 / ± 40 x 40 x 150 / ***</w:t>
      </w:r>
      <w:r>
        <w:rPr>
          <w:rStyle w:val="soitChar"/>
        </w:rPr>
        <w:t xml:space="preserve"> mm</w:t>
      </w:r>
    </w:p>
    <w:p w14:paraId="0E366982" w14:textId="77777777" w:rsidR="004B2808" w:rsidRDefault="00000000">
      <w:pPr>
        <w:jc w:val="both"/>
      </w:pPr>
      <w:r>
        <w:rPr>
          <w:b/>
        </w:rPr>
        <w:t>(soit)</w:t>
      </w:r>
    </w:p>
    <w:p w14:paraId="587A537A" w14:textId="77777777" w:rsidR="004B2808" w:rsidRDefault="00000000">
      <w:pPr>
        <w:jc w:val="both"/>
      </w:pPr>
      <w:r>
        <w:rPr>
          <w:rStyle w:val="soitChar"/>
          <w:u w:val="single"/>
        </w:rPr>
        <w:t>Ossature en bois :</w:t>
      </w:r>
    </w:p>
    <w:p w14:paraId="67E15273" w14:textId="77777777" w:rsidR="004B2808" w:rsidRDefault="00000000">
      <w:pPr>
        <w:pStyle w:val="Author-eListParagraph"/>
        <w:numPr>
          <w:ilvl w:val="0"/>
          <w:numId w:val="21"/>
        </w:numPr>
      </w:pPr>
      <w:r>
        <w:rPr>
          <w:rStyle w:val="soitChar"/>
        </w:rPr>
        <w:t xml:space="preserve">Essence : </w:t>
      </w:r>
      <w:r>
        <w:rPr>
          <w:rStyle w:val="optioncarChar"/>
        </w:rPr>
        <w:t>Pinus sylvestris</w:t>
      </w:r>
      <w:r>
        <w:t xml:space="preserve"> (par défaut)</w:t>
      </w:r>
      <w:r>
        <w:rPr>
          <w:rStyle w:val="optioncarChar"/>
        </w:rPr>
        <w:t xml:space="preserve"> / Picea abies / ***</w:t>
      </w:r>
    </w:p>
    <w:p w14:paraId="4A24EB88" w14:textId="77777777" w:rsidR="004B2808" w:rsidRDefault="00000000">
      <w:pPr>
        <w:pStyle w:val="Author-eListParagraph"/>
        <w:numPr>
          <w:ilvl w:val="0"/>
          <w:numId w:val="21"/>
        </w:numPr>
      </w:pPr>
      <w:r>
        <w:rPr>
          <w:rStyle w:val="soitChar"/>
        </w:rPr>
        <w:t>Classe de résistance : C16</w:t>
      </w:r>
    </w:p>
    <w:p w14:paraId="056C8D83" w14:textId="77777777" w:rsidR="004B2808" w:rsidRDefault="00000000">
      <w:pPr>
        <w:pStyle w:val="Author-eListParagraph"/>
        <w:numPr>
          <w:ilvl w:val="0"/>
          <w:numId w:val="21"/>
        </w:numPr>
      </w:pPr>
      <w:r>
        <w:rPr>
          <w:rStyle w:val="soitChar"/>
        </w:rPr>
        <w:t>Traitement insecticide par procédé : A1</w:t>
      </w:r>
    </w:p>
    <w:p w14:paraId="307D8A8C" w14:textId="77777777" w:rsidR="004B2808" w:rsidRDefault="00000000">
      <w:pPr>
        <w:pStyle w:val="Author-eListParagraph"/>
        <w:numPr>
          <w:ilvl w:val="0"/>
          <w:numId w:val="21"/>
        </w:numPr>
      </w:pPr>
      <w:r>
        <w:rPr>
          <w:rStyle w:val="soitChar"/>
        </w:rPr>
        <w:t xml:space="preserve">Chevrons de </w:t>
      </w:r>
      <w:r>
        <w:rPr>
          <w:rStyle w:val="optioncarChar"/>
        </w:rPr>
        <w:t>75 x 48</w:t>
      </w:r>
      <w:r>
        <w:t xml:space="preserve"> (par défaut)</w:t>
      </w:r>
      <w:r>
        <w:rPr>
          <w:rStyle w:val="optioncarChar"/>
        </w:rPr>
        <w:t xml:space="preserve"> / ***</w:t>
      </w:r>
      <w:r>
        <w:rPr>
          <w:rStyle w:val="soitChar"/>
        </w:rPr>
        <w:t xml:space="preserve"> mm</w:t>
      </w:r>
    </w:p>
    <w:p w14:paraId="5B38D9ED" w14:textId="77777777" w:rsidR="004B2808" w:rsidRDefault="00000000">
      <w:pPr>
        <w:jc w:val="both"/>
      </w:pPr>
      <w:r>
        <w:t xml:space="preserve">Panneaux de finition : </w:t>
      </w:r>
      <w:r>
        <w:rPr>
          <w:rStyle w:val="optioncarChar"/>
        </w:rPr>
        <w:t>plaque de plâtre enrobé de carton</w:t>
      </w:r>
      <w:r>
        <w:t xml:space="preserve"> (par défaut)</w:t>
      </w:r>
      <w:r>
        <w:rPr>
          <w:rStyle w:val="optioncarChar"/>
        </w:rPr>
        <w:t xml:space="preserve"> / plaque de plâtre armé de fibres</w:t>
      </w:r>
    </w:p>
    <w:p w14:paraId="2F0D345D" w14:textId="77777777" w:rsidR="004B2808" w:rsidRDefault="00000000">
      <w:pPr>
        <w:jc w:val="both"/>
      </w:pPr>
      <w:r>
        <w:rPr>
          <w:b/>
        </w:rPr>
        <w:t>(soit par défaut)</w:t>
      </w:r>
    </w:p>
    <w:p w14:paraId="289E9067" w14:textId="77777777" w:rsidR="004B2808" w:rsidRDefault="00000000">
      <w:pPr>
        <w:jc w:val="both"/>
      </w:pPr>
      <w:r>
        <w:rPr>
          <w:rStyle w:val="soitChar"/>
          <w:u w:val="single"/>
        </w:rPr>
        <w:t>Plaque de plâtre enrobé de carton</w:t>
      </w:r>
      <w:r>
        <w:rPr>
          <w:rStyle w:val="soitChar"/>
        </w:rPr>
        <w:t> [NBN EN 520+A1] :</w:t>
      </w:r>
    </w:p>
    <w:p w14:paraId="6616973B" w14:textId="77777777" w:rsidR="004B2808" w:rsidRDefault="00000000">
      <w:pPr>
        <w:jc w:val="both"/>
      </w:pPr>
      <w:r>
        <w:rPr>
          <w:rStyle w:val="soitChar"/>
        </w:rPr>
        <w:t xml:space="preserve">Type : </w:t>
      </w:r>
      <w:r>
        <w:rPr>
          <w:rStyle w:val="optioncarChar"/>
        </w:rPr>
        <w:t>A / F (cohésion améliorée à haute température) / P (1 face apte à recevoir un enduit au plâtre) / D (masse volumique contrôlée) / R (haute résistance mécanique) / I (haute dureté superficielle)</w:t>
      </w:r>
    </w:p>
    <w:p w14:paraId="0BB4AE25" w14:textId="77777777" w:rsidR="004B2808" w:rsidRDefault="00000000">
      <w:pPr>
        <w:jc w:val="both"/>
      </w:pPr>
      <w:r>
        <w:rPr>
          <w:rStyle w:val="soitChar"/>
        </w:rPr>
        <w:t>Plaques à taux d’absorption d’eau réduit :</w:t>
      </w:r>
      <w:r>
        <w:rPr>
          <w:rStyle w:val="optioncarChar"/>
        </w:rPr>
        <w:t xml:space="preserve"> H1 / H2 / H3</w:t>
      </w:r>
    </w:p>
    <w:p w14:paraId="2D8970A6" w14:textId="77777777" w:rsidR="004B2808" w:rsidRDefault="00000000">
      <w:pPr>
        <w:jc w:val="both"/>
      </w:pPr>
      <w:r>
        <w:rPr>
          <w:rStyle w:val="soitChar"/>
        </w:rPr>
        <w:t xml:space="preserve">Réaction au feu : </w:t>
      </w:r>
      <w:r>
        <w:rPr>
          <w:rStyle w:val="optioncarChar"/>
        </w:rPr>
        <w:t>A2-s1, d0 / A1</w:t>
      </w:r>
    </w:p>
    <w:p w14:paraId="0CB3546B" w14:textId="77777777" w:rsidR="004B2808" w:rsidRDefault="00000000">
      <w:pPr>
        <w:jc w:val="both"/>
      </w:pPr>
      <w:r>
        <w:rPr>
          <w:rStyle w:val="soitChar"/>
        </w:rPr>
        <w:t xml:space="preserve">Épaisseur : </w:t>
      </w:r>
      <w:r>
        <w:rPr>
          <w:rStyle w:val="optioncarChar"/>
        </w:rPr>
        <w:t>9 / 12,5 / 15 / 18</w:t>
      </w:r>
      <w:r>
        <w:rPr>
          <w:rStyle w:val="soitChar"/>
        </w:rPr>
        <w:t xml:space="preserve"> mm</w:t>
      </w:r>
    </w:p>
    <w:p w14:paraId="56BA449E" w14:textId="77777777" w:rsidR="004B2808" w:rsidRDefault="00000000">
      <w:pPr>
        <w:jc w:val="both"/>
      </w:pPr>
      <w:r>
        <w:rPr>
          <w:rStyle w:val="soitChar"/>
        </w:rPr>
        <w:t xml:space="preserve">Bords longitudinaux : </w:t>
      </w:r>
      <w:r>
        <w:rPr>
          <w:rStyle w:val="optioncarChar"/>
        </w:rPr>
        <w:t>droits / biseautés / amincis / semi-arrondis / aminci semi-arrondis / arrondis</w:t>
      </w:r>
    </w:p>
    <w:p w14:paraId="42E740A2" w14:textId="77777777" w:rsidR="004B2808" w:rsidRDefault="00000000">
      <w:pPr>
        <w:jc w:val="both"/>
      </w:pPr>
      <w:r>
        <w:rPr>
          <w:rStyle w:val="soitChar"/>
        </w:rPr>
        <w:t xml:space="preserve">Bords transversaux : </w:t>
      </w:r>
      <w:r>
        <w:rPr>
          <w:rStyle w:val="optioncarChar"/>
        </w:rPr>
        <w:t>SK / SKF / UFF</w:t>
      </w:r>
    </w:p>
    <w:p w14:paraId="3CA75B85" w14:textId="77777777" w:rsidR="004B2808" w:rsidRDefault="00000000">
      <w:pPr>
        <w:jc w:val="both"/>
      </w:pPr>
      <w:r>
        <w:rPr>
          <w:rStyle w:val="soitChar"/>
        </w:rPr>
        <w:t xml:space="preserve">Largeur : </w:t>
      </w:r>
      <w:r>
        <w:rPr>
          <w:rStyle w:val="optioncarChar"/>
        </w:rPr>
        <w:t>600 / 1000 / 1200</w:t>
      </w:r>
      <w:r>
        <w:rPr>
          <w:rStyle w:val="soitChar"/>
        </w:rPr>
        <w:t xml:space="preserve"> mm</w:t>
      </w:r>
    </w:p>
    <w:p w14:paraId="7B6EE0E5" w14:textId="77777777" w:rsidR="004B2808" w:rsidRDefault="00000000">
      <w:pPr>
        <w:jc w:val="both"/>
      </w:pPr>
      <w:r>
        <w:rPr>
          <w:rStyle w:val="soitChar"/>
        </w:rPr>
        <w:t xml:space="preserve">Hauteur : </w:t>
      </w:r>
      <w:r>
        <w:rPr>
          <w:rStyle w:val="optioncarChar"/>
        </w:rPr>
        <w:t>Hauteur libre du local</w:t>
      </w:r>
      <w:r>
        <w:t xml:space="preserve"> (par défaut)</w:t>
      </w:r>
      <w:r>
        <w:rPr>
          <w:rStyle w:val="optioncarChar"/>
        </w:rPr>
        <w:t xml:space="preserve"> /1200 / 2400 / 2800 / 3000 / ***</w:t>
      </w:r>
      <w:r>
        <w:rPr>
          <w:rStyle w:val="soitChar"/>
        </w:rPr>
        <w:t xml:space="preserve"> mm</w:t>
      </w:r>
    </w:p>
    <w:p w14:paraId="67B69A63" w14:textId="77777777" w:rsidR="004B2808" w:rsidRDefault="00000000">
      <w:pPr>
        <w:jc w:val="both"/>
      </w:pPr>
      <w:r>
        <w:rPr>
          <w:rStyle w:val="soitChar"/>
        </w:rPr>
        <w:t>Tolérances :</w:t>
      </w:r>
    </w:p>
    <w:p w14:paraId="634DC911" w14:textId="77777777" w:rsidR="004B2808" w:rsidRDefault="00000000">
      <w:pPr>
        <w:pStyle w:val="Author-eListParagraph"/>
        <w:numPr>
          <w:ilvl w:val="0"/>
          <w:numId w:val="22"/>
        </w:numPr>
      </w:pPr>
      <w:r>
        <w:rPr>
          <w:rStyle w:val="soitChar"/>
        </w:rPr>
        <w:t>Largeur :  + 0,-4 mm </w:t>
      </w:r>
    </w:p>
    <w:p w14:paraId="3A2769BE" w14:textId="77777777" w:rsidR="004B2808" w:rsidRDefault="00000000">
      <w:pPr>
        <w:pStyle w:val="Author-eListParagraph"/>
        <w:numPr>
          <w:ilvl w:val="0"/>
          <w:numId w:val="22"/>
        </w:numPr>
      </w:pPr>
      <w:r>
        <w:rPr>
          <w:rStyle w:val="soitChar"/>
        </w:rPr>
        <w:t>Hauteur ; + 0,-5 mm </w:t>
      </w:r>
    </w:p>
    <w:p w14:paraId="15106C54" w14:textId="77777777" w:rsidR="004B2808" w:rsidRDefault="00000000">
      <w:pPr>
        <w:pStyle w:val="Author-eListParagraph"/>
        <w:numPr>
          <w:ilvl w:val="0"/>
          <w:numId w:val="22"/>
        </w:numPr>
      </w:pPr>
      <w:r>
        <w:rPr>
          <w:rStyle w:val="soitChar"/>
        </w:rPr>
        <w:t xml:space="preserve">Épaisseur : </w:t>
      </w:r>
      <w:r>
        <w:rPr>
          <w:rStyle w:val="optioncarChar"/>
        </w:rPr>
        <w:t>panneaux ≤ 15mm : + 0,5, -0,5 mm / panneaux &gt; 18mm :  + 0, 4, - 0,4 x épaisseur mm</w:t>
      </w:r>
    </w:p>
    <w:p w14:paraId="32187EE0" w14:textId="77777777" w:rsidR="004B2808" w:rsidRDefault="00000000">
      <w:pPr>
        <w:jc w:val="both"/>
      </w:pPr>
      <w:r>
        <w:rPr>
          <w:b/>
        </w:rPr>
        <w:t>(soit)</w:t>
      </w:r>
    </w:p>
    <w:p w14:paraId="70C81F3B" w14:textId="77777777" w:rsidR="004B2808" w:rsidRDefault="00000000">
      <w:pPr>
        <w:jc w:val="both"/>
      </w:pPr>
      <w:r>
        <w:rPr>
          <w:rStyle w:val="soitChar"/>
          <w:u w:val="single"/>
        </w:rPr>
        <w:lastRenderedPageBreak/>
        <w:t>Plaque de plâtre armé de fibres</w:t>
      </w:r>
      <w:r>
        <w:t xml:space="preserve">  </w:t>
      </w:r>
      <w:r>
        <w:rPr>
          <w:rStyle w:val="soitChar"/>
        </w:rPr>
        <w:t>[NBN EN 15283-2+A1] :</w:t>
      </w:r>
    </w:p>
    <w:p w14:paraId="4862FBB1" w14:textId="77777777" w:rsidR="004B2808" w:rsidRDefault="00000000">
      <w:pPr>
        <w:jc w:val="both"/>
      </w:pPr>
      <w:r>
        <w:rPr>
          <w:rStyle w:val="soitChar"/>
        </w:rPr>
        <w:t xml:space="preserve">Type : </w:t>
      </w:r>
      <w:r>
        <w:rPr>
          <w:rStyle w:val="optioncarChar"/>
        </w:rPr>
        <w:t>GF-D (haute masse volumique) / GF-I (haute dureté superficielle) / GF R1(résistance à la flexion ≥ 8,0 N/mm2) / GF R2 (résistance à la flexion ≥ 10,0 N/mm2)</w:t>
      </w:r>
    </w:p>
    <w:p w14:paraId="185E8673" w14:textId="77777777" w:rsidR="004B2808" w:rsidRDefault="00000000">
      <w:pPr>
        <w:jc w:val="both"/>
      </w:pPr>
      <w:r>
        <w:rPr>
          <w:rStyle w:val="soitChar"/>
        </w:rPr>
        <w:t xml:space="preserve">Plaques à taux d’absorption d’eau réduit : </w:t>
      </w:r>
      <w:r>
        <w:rPr>
          <w:rStyle w:val="optioncarChar"/>
        </w:rPr>
        <w:t>GF-H (taux d’absorption d’eau réduit) / GF-W1 (absorption en surface réduite) / GF-W2 (absorption en surface réduite)</w:t>
      </w:r>
    </w:p>
    <w:p w14:paraId="7D58B8C0" w14:textId="77777777" w:rsidR="004B2808" w:rsidRDefault="00000000">
      <w:pPr>
        <w:jc w:val="both"/>
      </w:pPr>
      <w:r>
        <w:rPr>
          <w:rStyle w:val="soitChar"/>
        </w:rPr>
        <w:t xml:space="preserve">Réaction au feu : </w:t>
      </w:r>
      <w:r>
        <w:rPr>
          <w:rStyle w:val="optioncarChar"/>
        </w:rPr>
        <w:t>A2-s1, d0 / A1</w:t>
      </w:r>
      <w:r>
        <w:rPr>
          <w:rStyle w:val="soitChar"/>
        </w:rPr>
        <w:t> ;</w:t>
      </w:r>
    </w:p>
    <w:p w14:paraId="4FB488D2" w14:textId="77777777" w:rsidR="004B2808" w:rsidRDefault="00000000">
      <w:pPr>
        <w:jc w:val="both"/>
      </w:pPr>
      <w:r>
        <w:rPr>
          <w:rStyle w:val="soitChar"/>
        </w:rPr>
        <w:t xml:space="preserve">Épaisseur : </w:t>
      </w:r>
      <w:r>
        <w:rPr>
          <w:rStyle w:val="optioncarChar"/>
        </w:rPr>
        <w:t>10 / 12,5 / 15 / 18</w:t>
      </w:r>
      <w:r>
        <w:rPr>
          <w:rStyle w:val="soitChar"/>
        </w:rPr>
        <w:t xml:space="preserve"> mm</w:t>
      </w:r>
    </w:p>
    <w:p w14:paraId="5BF1CFDB" w14:textId="77777777" w:rsidR="004B2808" w:rsidRDefault="00000000">
      <w:pPr>
        <w:jc w:val="both"/>
      </w:pPr>
      <w:r>
        <w:rPr>
          <w:rStyle w:val="soitChar"/>
        </w:rPr>
        <w:t xml:space="preserve">Bords : </w:t>
      </w:r>
      <w:r>
        <w:rPr>
          <w:rStyle w:val="optioncarChar"/>
        </w:rPr>
        <w:t>amincis / droits</w:t>
      </w:r>
    </w:p>
    <w:p w14:paraId="66BFF027" w14:textId="77777777" w:rsidR="004B2808" w:rsidRDefault="00000000">
      <w:pPr>
        <w:jc w:val="both"/>
      </w:pPr>
      <w:r>
        <w:rPr>
          <w:rStyle w:val="soitChar"/>
        </w:rPr>
        <w:t xml:space="preserve">Largeur : </w:t>
      </w:r>
      <w:r>
        <w:rPr>
          <w:rStyle w:val="optioncarChar"/>
        </w:rPr>
        <w:t>600 / 1000 / 1200</w:t>
      </w:r>
      <w:r>
        <w:rPr>
          <w:rStyle w:val="soitChar"/>
        </w:rPr>
        <w:t xml:space="preserve"> mm</w:t>
      </w:r>
    </w:p>
    <w:p w14:paraId="6C6D0213" w14:textId="77777777" w:rsidR="004B2808" w:rsidRDefault="00000000">
      <w:pPr>
        <w:jc w:val="both"/>
      </w:pPr>
      <w:r>
        <w:rPr>
          <w:rStyle w:val="soitChar"/>
        </w:rPr>
        <w:t xml:space="preserve">Hauteur : </w:t>
      </w:r>
      <w:r>
        <w:rPr>
          <w:rStyle w:val="optioncarChar"/>
        </w:rPr>
        <w:t xml:space="preserve">Hauteur libre du local </w:t>
      </w:r>
      <w:r>
        <w:t xml:space="preserve">(par défaut) </w:t>
      </w:r>
      <w:r>
        <w:rPr>
          <w:rStyle w:val="optioncarChar"/>
        </w:rPr>
        <w:t>/ 1200 / 2400 / 2800 / 3000 / ***</w:t>
      </w:r>
      <w:r>
        <w:rPr>
          <w:rStyle w:val="soitChar"/>
        </w:rPr>
        <w:t xml:space="preserve"> mm</w:t>
      </w:r>
    </w:p>
    <w:p w14:paraId="2CF5810C" w14:textId="77777777" w:rsidR="004B2808" w:rsidRDefault="00000000">
      <w:pPr>
        <w:jc w:val="both"/>
      </w:pPr>
      <w:r>
        <w:rPr>
          <w:rStyle w:val="soitChar"/>
        </w:rPr>
        <w:t>Tolérances :</w:t>
      </w:r>
    </w:p>
    <w:p w14:paraId="616483CC" w14:textId="77777777" w:rsidR="004B2808" w:rsidRDefault="00000000">
      <w:pPr>
        <w:pStyle w:val="Author-eListParagraph"/>
        <w:numPr>
          <w:ilvl w:val="0"/>
          <w:numId w:val="23"/>
        </w:numPr>
      </w:pPr>
      <w:r>
        <w:rPr>
          <w:rStyle w:val="soitChar"/>
        </w:rPr>
        <w:t>Largeur :  + 0, -4 mm </w:t>
      </w:r>
    </w:p>
    <w:p w14:paraId="68210C2A" w14:textId="77777777" w:rsidR="004B2808" w:rsidRDefault="00000000">
      <w:pPr>
        <w:pStyle w:val="Author-eListParagraph"/>
        <w:numPr>
          <w:ilvl w:val="0"/>
          <w:numId w:val="23"/>
        </w:numPr>
      </w:pPr>
      <w:r>
        <w:rPr>
          <w:rStyle w:val="soitChar"/>
        </w:rPr>
        <w:t>Hauteur : + 0, -5 mm </w:t>
      </w:r>
    </w:p>
    <w:p w14:paraId="56DC860B" w14:textId="77777777" w:rsidR="004B2808" w:rsidRDefault="00000000">
      <w:pPr>
        <w:pStyle w:val="Author-eListParagraph"/>
        <w:numPr>
          <w:ilvl w:val="0"/>
          <w:numId w:val="23"/>
        </w:numPr>
      </w:pPr>
      <w:r>
        <w:rPr>
          <w:rStyle w:val="soitChar"/>
        </w:rPr>
        <w:t xml:space="preserve">Épaisseur : classe </w:t>
      </w:r>
      <w:r>
        <w:rPr>
          <w:rStyle w:val="optioncarChar"/>
        </w:rPr>
        <w:t>C1 / C2</w:t>
      </w:r>
      <w:r>
        <w:rPr>
          <w:rStyle w:val="soitChar"/>
        </w:rPr>
        <w:t> </w:t>
      </w:r>
    </w:p>
    <w:p w14:paraId="650F2537" w14:textId="77777777" w:rsidR="004B2808" w:rsidRDefault="00000000">
      <w:pPr>
        <w:jc w:val="both"/>
      </w:pPr>
      <w:r>
        <w:rPr>
          <w:b/>
        </w:rPr>
        <w:t>Isolation :</w:t>
      </w:r>
      <w:r>
        <w:t>  </w:t>
      </w:r>
      <w:r>
        <w:rPr>
          <w:rStyle w:val="optioncarChar"/>
        </w:rPr>
        <w:t xml:space="preserve">oui </w:t>
      </w:r>
      <w:r>
        <w:t xml:space="preserve">(par défaut) </w:t>
      </w:r>
      <w:r>
        <w:rPr>
          <w:rStyle w:val="optioncarChar"/>
        </w:rPr>
        <w:t>/ non</w:t>
      </w:r>
    </w:p>
    <w:p w14:paraId="1113AB4A" w14:textId="77777777" w:rsidR="004B2808" w:rsidRDefault="00000000">
      <w:pPr>
        <w:jc w:val="both"/>
      </w:pPr>
      <w:r>
        <w:rPr>
          <w:b/>
        </w:rPr>
        <w:t>(soit par défaut)</w:t>
      </w:r>
    </w:p>
    <w:p w14:paraId="3A9EF679" w14:textId="77777777" w:rsidR="004B2808" w:rsidRDefault="00000000">
      <w:pPr>
        <w:jc w:val="both"/>
      </w:pPr>
      <w:r>
        <w:rPr>
          <w:rStyle w:val="soitChar"/>
          <w:u w:val="single"/>
        </w:rPr>
        <w:t>Oui :</w:t>
      </w:r>
      <w:r>
        <w:rPr>
          <w:rStyle w:val="soitChar"/>
        </w:rPr>
        <w:t xml:space="preserve"> Isolation suivant descriptif dans l’élément </w:t>
      </w:r>
      <w:hyperlink w:anchor="73" w:history="1">
        <w:r w:rsidR="004B2808">
          <w:rPr>
            <w:rStyle w:val="soitChar"/>
            <w:color w:val="0000EE"/>
          </w:rPr>
          <w:t>52.4 Isolation</w:t>
        </w:r>
      </w:hyperlink>
      <w:r>
        <w:rPr>
          <w:rStyle w:val="soitChar"/>
        </w:rPr>
        <w:t xml:space="preserve"> : </w:t>
      </w:r>
      <w:r>
        <w:rPr>
          <w:rStyle w:val="optioncarChar"/>
        </w:rPr>
        <w:t>laine de roche / laine de verre / fibres de bois / fibres de cellulose</w:t>
      </w:r>
    </w:p>
    <w:p w14:paraId="7F624975" w14:textId="77777777" w:rsidR="004B2808" w:rsidRDefault="00000000">
      <w:pPr>
        <w:jc w:val="both"/>
      </w:pPr>
      <w:r>
        <w:rPr>
          <w:rStyle w:val="soitChar"/>
        </w:rPr>
        <w:t xml:space="preserve">Épaisseur d’isolation : </w:t>
      </w:r>
      <w:r>
        <w:rPr>
          <w:rStyle w:val="optioncarChar"/>
        </w:rPr>
        <w:t xml:space="preserve">50 </w:t>
      </w:r>
      <w:r>
        <w:t>(par défaut)</w:t>
      </w:r>
      <w:r>
        <w:rPr>
          <w:rStyle w:val="optioncarChar"/>
        </w:rPr>
        <w:t xml:space="preserve"> / 60 / 75 / ***</w:t>
      </w:r>
      <w:r>
        <w:rPr>
          <w:rStyle w:val="soitChar"/>
        </w:rPr>
        <w:t xml:space="preserve"> mm</w:t>
      </w:r>
    </w:p>
    <w:p w14:paraId="78A914F9" w14:textId="77777777" w:rsidR="004B2808" w:rsidRDefault="00000000">
      <w:pPr>
        <w:jc w:val="both"/>
      </w:pPr>
      <w:r>
        <w:rPr>
          <w:b/>
        </w:rPr>
        <w:t>(soit)  </w:t>
      </w:r>
    </w:p>
    <w:p w14:paraId="09967DE3" w14:textId="77777777" w:rsidR="004B2808" w:rsidRDefault="00000000">
      <w:pPr>
        <w:jc w:val="both"/>
      </w:pPr>
      <w:r>
        <w:rPr>
          <w:rStyle w:val="soitChar"/>
          <w:u w:val="single"/>
        </w:rPr>
        <w:t>Non :</w:t>
      </w:r>
      <w:r>
        <w:rPr>
          <w:rStyle w:val="soitChar"/>
        </w:rPr>
        <w:t xml:space="preserve"> pas d’isolation</w:t>
      </w:r>
    </w:p>
    <w:p w14:paraId="6D681074" w14:textId="77777777" w:rsidR="004B2808" w:rsidRDefault="00000000">
      <w:pPr>
        <w:jc w:val="both"/>
      </w:pPr>
      <w:r>
        <w:t> </w:t>
      </w:r>
    </w:p>
    <w:p w14:paraId="4C4C2BAD" w14:textId="77777777" w:rsidR="004B2808" w:rsidRDefault="00000000">
      <w:pPr>
        <w:jc w:val="both"/>
      </w:pPr>
      <w:r>
        <w:t xml:space="preserve">Les matériaux sont couverts par une déclaration d’aptitude à l’utilisation décrite au chapitre 02.42.1 Critères d'acceptabilité : </w:t>
      </w:r>
      <w:r>
        <w:rPr>
          <w:rStyle w:val="optioncarChar"/>
        </w:rPr>
        <w:t>oui</w:t>
      </w:r>
      <w:r>
        <w:t xml:space="preserve"> (par défaut)</w:t>
      </w:r>
      <w:r>
        <w:rPr>
          <w:rStyle w:val="optioncarChar"/>
        </w:rPr>
        <w:t xml:space="preserve"> / non.</w:t>
      </w:r>
    </w:p>
    <w:p w14:paraId="2134574D" w14:textId="77777777" w:rsidR="004B2808" w:rsidRDefault="00000000">
      <w:pPr>
        <w:jc w:val="both"/>
      </w:pPr>
      <w:r>
        <w:rPr>
          <w:b/>
        </w:rPr>
        <w:t>Aspects environnementaux</w:t>
      </w:r>
    </w:p>
    <w:p w14:paraId="7005FB70" w14:textId="77777777" w:rsidR="004B2808" w:rsidRDefault="00000000">
      <w:pPr>
        <w:jc w:val="both"/>
      </w:pPr>
      <w:r>
        <w:t>Le matériau dispose d’un EPD :</w:t>
      </w:r>
      <w:r>
        <w:rPr>
          <w:rStyle w:val="optioncarChar"/>
        </w:rPr>
        <w:t xml:space="preserve"> oui</w:t>
      </w:r>
      <w:r>
        <w:t xml:space="preserve"> (par défaut)</w:t>
      </w:r>
      <w:r>
        <w:rPr>
          <w:rStyle w:val="optioncarChar"/>
        </w:rPr>
        <w:t xml:space="preserve"> / non</w:t>
      </w:r>
      <w:r>
        <w:t>.</w:t>
      </w:r>
    </w:p>
    <w:p w14:paraId="308BE90E" w14:textId="77777777" w:rsidR="004B2808" w:rsidRDefault="00000000">
      <w:pPr>
        <w:jc w:val="both"/>
      </w:pPr>
      <w:r>
        <w:t xml:space="preserve">Les déchets produits lors de la mise en œuvre du matériau sont récupérés et recyclés par le fabricant : </w:t>
      </w:r>
      <w:r>
        <w:rPr>
          <w:rStyle w:val="optioncarChar"/>
        </w:rPr>
        <w:t xml:space="preserve">oui </w:t>
      </w:r>
      <w:r>
        <w:t>(par défaut)</w:t>
      </w:r>
      <w:r>
        <w:rPr>
          <w:rStyle w:val="optioncarChar"/>
        </w:rPr>
        <w:t xml:space="preserve"> / non</w:t>
      </w:r>
      <w:r>
        <w:t>.</w:t>
      </w:r>
    </w:p>
    <w:p w14:paraId="0278912F" w14:textId="77777777" w:rsidR="004B2808" w:rsidRDefault="00000000">
      <w:pPr>
        <w:pStyle w:val="pheading"/>
      </w:pPr>
      <w:r>
        <w:t>EXÉCUTION / MISE EN ŒUVRE</w:t>
      </w:r>
    </w:p>
    <w:p w14:paraId="66667C68" w14:textId="77777777" w:rsidR="004B2808" w:rsidRDefault="00000000">
      <w:pPr>
        <w:pStyle w:val="pheading"/>
      </w:pPr>
      <w:r>
        <w:t>- Prescriptions générales</w:t>
      </w:r>
    </w:p>
    <w:p w14:paraId="04BF94CD" w14:textId="77777777" w:rsidR="004B2808" w:rsidRDefault="00000000">
      <w:pPr>
        <w:jc w:val="both"/>
      </w:pPr>
      <w:r>
        <w:t>Mise en œuvre conformément à la documentation technique accompagnant les matériaux.</w:t>
      </w:r>
    </w:p>
    <w:p w14:paraId="44BC3FFC" w14:textId="77777777" w:rsidR="004B2808" w:rsidRDefault="00000000">
      <w:pPr>
        <w:pStyle w:val="Author-eListParagraph"/>
        <w:numPr>
          <w:ilvl w:val="0"/>
          <w:numId w:val="24"/>
        </w:numPr>
      </w:pPr>
      <w:r>
        <w:t xml:space="preserve">Pose des </w:t>
      </w:r>
      <w:r>
        <w:rPr>
          <w:rStyle w:val="optioncarChar"/>
        </w:rPr>
        <w:t>profils / lisses</w:t>
      </w:r>
      <w:r>
        <w:t xml:space="preserve"> de sol et de plafond avec interposition d’un joint acoustique ;</w:t>
      </w:r>
    </w:p>
    <w:p w14:paraId="04EF7347" w14:textId="77777777" w:rsidR="004B2808" w:rsidRDefault="00000000">
      <w:pPr>
        <w:pStyle w:val="Author-eListParagraph"/>
        <w:numPr>
          <w:ilvl w:val="0"/>
          <w:numId w:val="24"/>
        </w:numPr>
      </w:pPr>
      <w:r>
        <w:t xml:space="preserve">Pose des </w:t>
      </w:r>
      <w:r>
        <w:rPr>
          <w:rStyle w:val="optioncarChar"/>
        </w:rPr>
        <w:t>profils / montants</w:t>
      </w:r>
      <w:r>
        <w:t xml:space="preserve"> verticaux entre-distance : </w:t>
      </w:r>
      <w:r>
        <w:rPr>
          <w:rStyle w:val="optioncarChar"/>
        </w:rPr>
        <w:t xml:space="preserve">60 </w:t>
      </w:r>
      <w:r>
        <w:t>(par défaut)</w:t>
      </w:r>
      <w:r>
        <w:rPr>
          <w:rStyle w:val="optioncarChar"/>
        </w:rPr>
        <w:t xml:space="preserve"> / 40 / 50 / ***</w:t>
      </w:r>
      <w:r>
        <w:t xml:space="preserve"> cm ;</w:t>
      </w:r>
    </w:p>
    <w:p w14:paraId="71261E44" w14:textId="77777777" w:rsidR="004B2808" w:rsidRDefault="00000000">
      <w:pPr>
        <w:pStyle w:val="Author-eListParagraph"/>
        <w:numPr>
          <w:ilvl w:val="0"/>
          <w:numId w:val="24"/>
        </w:numPr>
      </w:pPr>
      <w:r>
        <w:t xml:space="preserve">Pose de panneaux de renfort à base de bois entre les éléments de structure aux endroits où des éléments doivent être fixés dans la paroi : </w:t>
      </w:r>
      <w:r>
        <w:rPr>
          <w:rStyle w:val="optioncarChar"/>
        </w:rPr>
        <w:t>OSB / Multiplex</w:t>
      </w:r>
      <w:r>
        <w:t> ;</w:t>
      </w:r>
    </w:p>
    <w:p w14:paraId="5E640EBD" w14:textId="77777777" w:rsidR="004B2808" w:rsidRDefault="00000000">
      <w:pPr>
        <w:pStyle w:val="Author-eListParagraph"/>
        <w:numPr>
          <w:ilvl w:val="0"/>
          <w:numId w:val="24"/>
        </w:numPr>
      </w:pPr>
      <w:r>
        <w:t xml:space="preserve">Pose d’un pare-vapeur suivant l'élément 26.21 Pare-vapeur : </w:t>
      </w:r>
      <w:r>
        <w:rPr>
          <w:rStyle w:val="optioncarChar"/>
        </w:rPr>
        <w:t>oui / non</w:t>
      </w:r>
    </w:p>
    <w:p w14:paraId="3F964233" w14:textId="77777777" w:rsidR="004B2808" w:rsidRDefault="00000000">
      <w:pPr>
        <w:pStyle w:val="Author-eListParagraph"/>
        <w:numPr>
          <w:ilvl w:val="0"/>
          <w:numId w:val="24"/>
        </w:numPr>
      </w:pPr>
      <w:r>
        <w:t xml:space="preserve">Pose de : </w:t>
      </w:r>
      <w:r>
        <w:rPr>
          <w:rStyle w:val="optioncarChar"/>
        </w:rPr>
        <w:t>1 couche / 2 couches à joints alternés</w:t>
      </w:r>
      <w:r>
        <w:t> ;</w:t>
      </w:r>
    </w:p>
    <w:p w14:paraId="02767AB1" w14:textId="77777777" w:rsidR="004B2808" w:rsidRDefault="00000000">
      <w:pPr>
        <w:pStyle w:val="Author-eListParagraph"/>
        <w:numPr>
          <w:ilvl w:val="0"/>
          <w:numId w:val="24"/>
        </w:numPr>
      </w:pPr>
      <w:r>
        <w:t xml:space="preserve">Fixation au moyen de : </w:t>
      </w:r>
      <w:r>
        <w:rPr>
          <w:rStyle w:val="optioncarChar"/>
        </w:rPr>
        <w:t>vis auto-taraudeuses / agrafes / clous</w:t>
      </w:r>
      <w:r>
        <w:t> ;</w:t>
      </w:r>
    </w:p>
    <w:p w14:paraId="164D9BD0" w14:textId="77777777" w:rsidR="004B2808" w:rsidRDefault="00000000">
      <w:pPr>
        <w:pStyle w:val="Author-eListParagraph"/>
        <w:numPr>
          <w:ilvl w:val="0"/>
          <w:numId w:val="24"/>
        </w:numPr>
      </w:pPr>
      <w:r>
        <w:t xml:space="preserve">Entre-distance des fixations : conformément </w:t>
      </w:r>
      <w:r>
        <w:rPr>
          <w:rStyle w:val="optioncarChar"/>
        </w:rPr>
        <w:t>à la documentation technique accompagnant les matériaux / au rapport d’essai pour les contre-cloisons à fonction EI</w:t>
      </w:r>
    </w:p>
    <w:p w14:paraId="3A5F474B" w14:textId="77777777" w:rsidR="004B2808" w:rsidRDefault="00000000">
      <w:pPr>
        <w:jc w:val="both"/>
      </w:pPr>
      <w:r>
        <w:t>Finition au moyen du produit d’enduisage conformément à la documentation technique accompagnant les matériaux.</w:t>
      </w:r>
    </w:p>
    <w:p w14:paraId="743ED2B9" w14:textId="77777777" w:rsidR="004B2808" w:rsidRDefault="00000000">
      <w:pPr>
        <w:pStyle w:val="Author-eListParagraph"/>
        <w:numPr>
          <w:ilvl w:val="0"/>
          <w:numId w:val="25"/>
        </w:numPr>
        <w:jc w:val="both"/>
      </w:pPr>
      <w:r>
        <w:t xml:space="preserve">Degré de finition : </w:t>
      </w:r>
      <w:r>
        <w:rPr>
          <w:rStyle w:val="optioncarChar"/>
        </w:rPr>
        <w:t>F1 / F2a / F2b / F3</w:t>
      </w:r>
    </w:p>
    <w:p w14:paraId="2926F22D" w14:textId="77777777" w:rsidR="004B2808" w:rsidRDefault="00000000">
      <w:pPr>
        <w:pStyle w:val="Author-eListParagraph"/>
        <w:numPr>
          <w:ilvl w:val="0"/>
          <w:numId w:val="25"/>
        </w:numPr>
        <w:jc w:val="both"/>
      </w:pPr>
      <w:r>
        <w:t xml:space="preserve">Planéité : </w:t>
      </w:r>
      <w:r>
        <w:rPr>
          <w:rStyle w:val="optioncarChar"/>
        </w:rPr>
        <w:t>N / S</w:t>
      </w:r>
    </w:p>
    <w:p w14:paraId="562582A3" w14:textId="77777777" w:rsidR="004B2808" w:rsidRDefault="00000000">
      <w:pPr>
        <w:pStyle w:val="pheading"/>
      </w:pPr>
      <w:r>
        <w:lastRenderedPageBreak/>
        <w:t>DOCUMENTS DE RÉFÉRENCE COMPLÉMENTAIRES</w:t>
      </w:r>
    </w:p>
    <w:p w14:paraId="78117C55" w14:textId="77777777" w:rsidR="004B2808" w:rsidRDefault="00000000">
      <w:pPr>
        <w:pStyle w:val="pheading"/>
      </w:pPr>
      <w:r>
        <w:t>- Exécution</w:t>
      </w:r>
    </w:p>
    <w:p w14:paraId="51DBAFE8" w14:textId="77777777" w:rsidR="004B2808" w:rsidRDefault="00000000">
      <w:r>
        <w:t>[AR 1994-07-07, Arrêté royal fixant les normes de base en matière de prévention contre l'incendie et l'explosion, auxquelles les bâtiments nouveaux doivent satisfaire]</w:t>
      </w:r>
    </w:p>
    <w:p w14:paraId="73F827D4" w14:textId="77777777" w:rsidR="004B2808" w:rsidRDefault="00000000">
      <w:r>
        <w:t>[NIT 233, Les cloisons légères.]</w:t>
      </w:r>
    </w:p>
    <w:p w14:paraId="121CD3F9" w14:textId="77777777" w:rsidR="004B2808" w:rsidRDefault="00000000">
      <w:r>
        <w:t>[NIT 281, Isolation acoustique entre habitations.]</w:t>
      </w:r>
    </w:p>
    <w:p w14:paraId="76FCB6EB" w14:textId="77777777" w:rsidR="004B2808" w:rsidRDefault="00000000">
      <w:r>
        <w:t>[STS 04.1, Bois et panneaux à base de bois : bois de structure]</w:t>
      </w:r>
    </w:p>
    <w:p w14:paraId="58024FCE" w14:textId="77777777" w:rsidR="004B2808" w:rsidRDefault="00000000">
      <w:r>
        <w:t>[NBN EN 520+A1, Plaques de plâtre - Définitions, spécifications et méthodes d'essai]</w:t>
      </w:r>
    </w:p>
    <w:p w14:paraId="6BBC642E" w14:textId="77777777" w:rsidR="004B2808" w:rsidRDefault="00000000">
      <w:r>
        <w:t>[NBN EN 13501-1, Classement au feu des produits et éléments de construction - Partie 1: Classement à partir des données d'essais de réaction au feu]</w:t>
      </w:r>
    </w:p>
    <w:p w14:paraId="355C2A74" w14:textId="77777777" w:rsidR="004B280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2BD573CA" w14:textId="77777777" w:rsidR="004B2808" w:rsidRDefault="00000000">
      <w:r>
        <w:t>[NBN EN 15283-2+A1, Plaques de plâtre armées de fibres - Définitions, spécifications et méthodes d'essai - Partie 2: Plaques de plâtre fibrées]</w:t>
      </w:r>
    </w:p>
    <w:p w14:paraId="36C7E972" w14:textId="77777777" w:rsidR="004B2808" w:rsidRDefault="00000000">
      <w:r>
        <w:t>[NBN EN 1995-1-1, Eurocode 5: Conception et calcul des structures en bois - Partie 1-1 : Généralités - Règles communes et règles pour les bâtiments (+AC:2006)]</w:t>
      </w:r>
    </w:p>
    <w:p w14:paraId="2E5384D2" w14:textId="77777777" w:rsidR="004B2808" w:rsidRDefault="00000000">
      <w:r>
        <w:t>[NBN EN 14195, Éléments d'ossature métalliques pour systèmes en plaques de plâtre - Définitions, spécifications et méthodes d'essai]</w:t>
      </w:r>
    </w:p>
    <w:p w14:paraId="551B2DED" w14:textId="77777777" w:rsidR="004B2808" w:rsidRDefault="00000000">
      <w:r>
        <w:t>[NBN EN 13963, Matériaux de jointoiement pour plaques de plâtre - Définitions, spécifications et méthodes d'essai]</w:t>
      </w:r>
    </w:p>
    <w:p w14:paraId="0EBDBB70" w14:textId="77777777" w:rsidR="004B2808" w:rsidRDefault="00000000">
      <w:pPr>
        <w:pStyle w:val="pheading"/>
      </w:pPr>
      <w:r>
        <w:t>MESURAGE</w:t>
      </w:r>
    </w:p>
    <w:p w14:paraId="1FCC5F1A" w14:textId="77777777" w:rsidR="004B2808" w:rsidRDefault="00000000">
      <w:pPr>
        <w:pStyle w:val="pheading"/>
      </w:pPr>
      <w:r>
        <w:t>- unité de mesure:</w:t>
      </w:r>
    </w:p>
    <w:p w14:paraId="7E6930BF" w14:textId="77777777" w:rsidR="004B2808" w:rsidRDefault="00000000">
      <w:r>
        <w:t>m²</w:t>
      </w:r>
    </w:p>
    <w:p w14:paraId="24801A75" w14:textId="77777777" w:rsidR="004B2808" w:rsidRDefault="00000000">
      <w:pPr>
        <w:pStyle w:val="pheading"/>
      </w:pPr>
      <w:r>
        <w:t>- code de mesurage:</w:t>
      </w:r>
    </w:p>
    <w:p w14:paraId="6183B2C6" w14:textId="77777777" w:rsidR="004B2808" w:rsidRDefault="00000000">
      <w:r>
        <w:t>Surface nette des contre-cloisons.</w:t>
      </w:r>
      <w:r>
        <w:br/>
        <w:t>Les réservations ˃ 0,5m² sont déduites.</w:t>
      </w:r>
    </w:p>
    <w:p w14:paraId="146E3F95" w14:textId="77777777" w:rsidR="004B2808" w:rsidRDefault="00000000">
      <w:pPr>
        <w:pStyle w:val="pheading"/>
      </w:pPr>
      <w:r>
        <w:t>- nature du marché:</w:t>
      </w:r>
    </w:p>
    <w:p w14:paraId="6489EEF3" w14:textId="77777777" w:rsidR="004B2808" w:rsidRDefault="00000000">
      <w:r>
        <w:t>QF</w:t>
      </w:r>
    </w:p>
    <w:p w14:paraId="1AA0C67B" w14:textId="77777777" w:rsidR="004B2808" w:rsidRDefault="00000000">
      <w:pPr>
        <w:pStyle w:val="Author-eSectionHeading5Numberless"/>
      </w:pPr>
      <w:bookmarkStart w:id="34" w:name="_Toc220490248"/>
      <w:r>
        <w:t>51.21.2 Parement en plaques/panneaux à base minérale autre que plâtre CCTB 01.02</w:t>
      </w:r>
      <w:bookmarkEnd w:id="34"/>
    </w:p>
    <w:p w14:paraId="24EB2D3C" w14:textId="77777777" w:rsidR="004B2808" w:rsidRDefault="00000000">
      <w:pPr>
        <w:pStyle w:val="Author-eSectionHeading6Numberless"/>
      </w:pPr>
      <w:bookmarkStart w:id="35" w:name="_Toc220490249"/>
      <w:r>
        <w:t>51.21.2a Cloisons de doublage sur ossature / parement en plaques/panneaux à base minérale autre que plâtre, à base de silico-calcaire CCTB 01.02</w:t>
      </w:r>
      <w:bookmarkEnd w:id="35"/>
    </w:p>
    <w:p w14:paraId="6D331463" w14:textId="77777777" w:rsidR="004B2808" w:rsidRDefault="00000000">
      <w:pPr>
        <w:pStyle w:val="pheading"/>
      </w:pPr>
      <w:r>
        <w:t>DESCRIPTION</w:t>
      </w:r>
    </w:p>
    <w:p w14:paraId="5BA1FFA4" w14:textId="77777777" w:rsidR="004B2808" w:rsidRDefault="00000000">
      <w:pPr>
        <w:pStyle w:val="pheading"/>
      </w:pPr>
      <w:r>
        <w:t>- Définition / Comprend</w:t>
      </w:r>
    </w:p>
    <w:p w14:paraId="70D92326" w14:textId="77777777" w:rsidR="004B2808" w:rsidRDefault="00000000">
      <w:r>
        <w:t>Il s’agit de parement en plaques/panneaux à base de :</w:t>
      </w:r>
    </w:p>
    <w:p w14:paraId="55264A36" w14:textId="77777777" w:rsidR="004B2808" w:rsidRDefault="00000000">
      <w:r>
        <w:t>- plaques de silicates de calcium</w:t>
      </w:r>
    </w:p>
    <w:p w14:paraId="38F9D88D" w14:textId="77777777" w:rsidR="004B2808" w:rsidRDefault="00000000">
      <w:r>
        <w:t>- …</w:t>
      </w:r>
    </w:p>
    <w:p w14:paraId="63F57861" w14:textId="77777777" w:rsidR="004B2808" w:rsidRDefault="00000000">
      <w:pPr>
        <w:pStyle w:val="pheading"/>
      </w:pPr>
      <w:r>
        <w:t>- Localisation</w:t>
      </w:r>
    </w:p>
    <w:p w14:paraId="5B18154D" w14:textId="77777777" w:rsidR="004B2808" w:rsidRDefault="00000000">
      <w:r>
        <w:t>cloisons de doublage</w:t>
      </w:r>
    </w:p>
    <w:p w14:paraId="45F612AC" w14:textId="77777777" w:rsidR="004B2808" w:rsidRDefault="00000000">
      <w:r>
        <w:t>habillage / gaines pour les conduites</w:t>
      </w:r>
    </w:p>
    <w:p w14:paraId="0C373950" w14:textId="77777777" w:rsidR="004B2808" w:rsidRDefault="00000000">
      <w:pPr>
        <w:pStyle w:val="pheading"/>
      </w:pPr>
      <w:r>
        <w:lastRenderedPageBreak/>
        <w:t>MESURAGE</w:t>
      </w:r>
    </w:p>
    <w:p w14:paraId="3D9E69F6" w14:textId="77777777" w:rsidR="004B2808" w:rsidRDefault="00000000">
      <w:r>
        <w:t>Conformément aux indications spécifiques dans le cahier spécial des charges et/ou le métré récapitulatif, le mesurage doit être conçu comme suit :</w:t>
      </w:r>
    </w:p>
    <w:p w14:paraId="0153C92E" w14:textId="77777777" w:rsidR="004B2808" w:rsidRDefault="00000000">
      <w:pPr>
        <w:pStyle w:val="pheading"/>
      </w:pPr>
      <w:r>
        <w:t>- unité de mesure:</w:t>
      </w:r>
    </w:p>
    <w:p w14:paraId="06598FC7" w14:textId="77777777" w:rsidR="004B2808" w:rsidRDefault="00000000">
      <w:r>
        <w:t>m²</w:t>
      </w:r>
    </w:p>
    <w:p w14:paraId="34ED8343" w14:textId="77777777" w:rsidR="004B2808" w:rsidRDefault="00000000">
      <w:pPr>
        <w:pStyle w:val="pheading"/>
      </w:pPr>
      <w:r>
        <w:t>- code de mesurage:</w:t>
      </w:r>
    </w:p>
    <w:p w14:paraId="16D168A2" w14:textId="77777777" w:rsidR="004B2808" w:rsidRDefault="00000000">
      <w:r>
        <w:t>ventilé selon l'épaisseur et la composition des cloisons, surface nette de la cloison. Les ouvertures supérieures à 0,50 m2 sont déduites.</w:t>
      </w:r>
    </w:p>
    <w:p w14:paraId="7AA7C762" w14:textId="77777777" w:rsidR="004B2808" w:rsidRDefault="00000000">
      <w:r>
        <w:rPr>
          <w:u w:val="single"/>
        </w:rPr>
        <w:t xml:space="preserve">Attention </w:t>
      </w:r>
    </w:p>
    <w:p w14:paraId="1198E976" w14:textId="77777777" w:rsidR="004B2808" w:rsidRDefault="00000000">
      <w:r>
        <w:t>Le cahier des charges décrit la composition d'une cloison, structure portante / plaques / matériau d'isolation, avec l'application d'une seule ou d'une double couche de plaques, ….</w:t>
      </w:r>
    </w:p>
    <w:p w14:paraId="3241107C" w14:textId="77777777" w:rsidR="004B2808" w:rsidRDefault="00000000">
      <w:pPr>
        <w:pStyle w:val="pheading"/>
      </w:pPr>
      <w:r>
        <w:t>- nature du marché:</w:t>
      </w:r>
    </w:p>
    <w:p w14:paraId="05223CDE" w14:textId="77777777" w:rsidR="004B2808" w:rsidRDefault="00000000">
      <w:r>
        <w:t>QF</w:t>
      </w:r>
    </w:p>
    <w:p w14:paraId="0D85BFA2" w14:textId="77777777" w:rsidR="004B2808" w:rsidRDefault="00000000">
      <w:pPr>
        <w:pStyle w:val="Author-eSectionHeading6Numberless"/>
      </w:pPr>
      <w:bookmarkStart w:id="36" w:name="_Toc220490250"/>
      <w:r>
        <w:t>51.21.2b Cloisons de doublage sur ossature / parement en plaques/panneaux à base minérale autre que plâtre, à base de fibro-ciment CCTB 01.02</w:t>
      </w:r>
      <w:bookmarkEnd w:id="36"/>
    </w:p>
    <w:p w14:paraId="5F15590E" w14:textId="77777777" w:rsidR="004B2808" w:rsidRDefault="00000000">
      <w:pPr>
        <w:pStyle w:val="Author-eSectionHeading5Numberless"/>
      </w:pPr>
      <w:bookmarkStart w:id="37" w:name="_Toc220490251"/>
      <w:r>
        <w:t>51.21.3 Parement en plaques/panneaux à base de bois CCTB 01.02</w:t>
      </w:r>
      <w:bookmarkEnd w:id="37"/>
    </w:p>
    <w:p w14:paraId="5106588F" w14:textId="77777777" w:rsidR="004B2808" w:rsidRDefault="00000000">
      <w:pPr>
        <w:pStyle w:val="Author-eSectionHeading6Numberless"/>
      </w:pPr>
      <w:bookmarkStart w:id="38" w:name="1327"/>
      <w:bookmarkStart w:id="39" w:name="_Toc220490252"/>
      <w:bookmarkEnd w:id="38"/>
      <w:r>
        <w:t>51.21.3a Cloisons de doublage sur ossature / parement en bois massif CCTB 01.02</w:t>
      </w:r>
      <w:bookmarkEnd w:id="39"/>
    </w:p>
    <w:p w14:paraId="7B80440E" w14:textId="77777777" w:rsidR="004B2808" w:rsidRDefault="00000000">
      <w:pPr>
        <w:pStyle w:val="Author-eSectionHeading6Numberless"/>
      </w:pPr>
      <w:bookmarkStart w:id="40" w:name="_Toc220490253"/>
      <w:r>
        <w:t>51.21.3b Cloisons de doublage sur ossature / parement en plaques/panneaux à base de bois CCTB 01.12</w:t>
      </w:r>
      <w:bookmarkEnd w:id="40"/>
    </w:p>
    <w:p w14:paraId="02BFD2B0" w14:textId="77777777" w:rsidR="004B2808" w:rsidRDefault="00000000">
      <w:pPr>
        <w:pStyle w:val="pheading"/>
      </w:pPr>
      <w:r>
        <w:t>DESCRIPTION</w:t>
      </w:r>
    </w:p>
    <w:p w14:paraId="14025852" w14:textId="77777777" w:rsidR="004B2808" w:rsidRDefault="00000000">
      <w:pPr>
        <w:pStyle w:val="pheading"/>
      </w:pPr>
      <w:r>
        <w:t>- Définition / Comprend</w:t>
      </w:r>
    </w:p>
    <w:p w14:paraId="390305FA" w14:textId="77777777" w:rsidR="004B2808" w:rsidRDefault="00000000">
      <w:r>
        <w:t>Il s’agit de parement en plaques/panneaux à base de :</w:t>
      </w:r>
    </w:p>
    <w:p w14:paraId="44091D8A" w14:textId="77777777" w:rsidR="004B2808" w:rsidRDefault="00000000">
      <w:pPr>
        <w:pStyle w:val="Author-eListParagraph"/>
        <w:numPr>
          <w:ilvl w:val="0"/>
          <w:numId w:val="26"/>
        </w:numPr>
      </w:pPr>
      <w:r>
        <w:t>panneaux de particules</w:t>
      </w:r>
    </w:p>
    <w:p w14:paraId="2CBF092E" w14:textId="77777777" w:rsidR="004B2808" w:rsidRDefault="00000000">
      <w:pPr>
        <w:pStyle w:val="Author-eListParagraph"/>
        <w:numPr>
          <w:ilvl w:val="0"/>
          <w:numId w:val="26"/>
        </w:numPr>
      </w:pPr>
      <w:r>
        <w:t>panneaux contreplaqués</w:t>
      </w:r>
    </w:p>
    <w:p w14:paraId="37CFFF94" w14:textId="77777777" w:rsidR="004B2808" w:rsidRDefault="00000000">
      <w:pPr>
        <w:pStyle w:val="Author-eListParagraph"/>
        <w:numPr>
          <w:ilvl w:val="0"/>
          <w:numId w:val="26"/>
        </w:numPr>
      </w:pPr>
      <w:r>
        <w:t>panneaux MDF</w:t>
      </w:r>
    </w:p>
    <w:p w14:paraId="418CB0C0" w14:textId="77777777" w:rsidR="004B2808" w:rsidRDefault="00000000">
      <w:pPr>
        <w:pStyle w:val="Author-eListParagraph"/>
        <w:numPr>
          <w:ilvl w:val="0"/>
          <w:numId w:val="26"/>
        </w:numPr>
      </w:pPr>
      <w:r>
        <w:t>panneaux OSB</w:t>
      </w:r>
    </w:p>
    <w:p w14:paraId="4D658360" w14:textId="77777777" w:rsidR="004B2808" w:rsidRDefault="00000000">
      <w:pPr>
        <w:pStyle w:val="pheading"/>
      </w:pPr>
      <w:r>
        <w:t>- Localisation</w:t>
      </w:r>
    </w:p>
    <w:p w14:paraId="4A6DDA9B" w14:textId="77777777" w:rsidR="004B2808" w:rsidRDefault="00000000">
      <w:r>
        <w:t>cloisons de doublage</w:t>
      </w:r>
    </w:p>
    <w:p w14:paraId="73685940" w14:textId="77777777" w:rsidR="004B2808" w:rsidRDefault="00000000">
      <w:pPr>
        <w:pStyle w:val="pheading"/>
      </w:pPr>
      <w:r>
        <w:t>MATÉRIAUX</w:t>
      </w:r>
    </w:p>
    <w:p w14:paraId="0534F081" w14:textId="77777777" w:rsidR="004B2808" w:rsidRDefault="00000000">
      <w:pPr>
        <w:pStyle w:val="pheading"/>
      </w:pPr>
      <w:r>
        <w:t>- Caractéristiques générales</w:t>
      </w:r>
    </w:p>
    <w:p w14:paraId="5AFB28E7" w14:textId="77777777" w:rsidR="004B2808" w:rsidRDefault="00000000">
      <w:r>
        <w:t xml:space="preserve">Il s'agit de cloisons intérieures mobiles, constituées d'une ossature en </w:t>
      </w:r>
      <w:r>
        <w:rPr>
          <w:rStyle w:val="optioncarChar"/>
        </w:rPr>
        <w:t>métal </w:t>
      </w:r>
      <w:r>
        <w:t xml:space="preserve">(par défaut) </w:t>
      </w:r>
      <w:r>
        <w:rPr>
          <w:rStyle w:val="optioncarChar"/>
        </w:rPr>
        <w:t>/ bois / ***</w:t>
      </w:r>
      <w:r>
        <w:t xml:space="preserve"> destinée à être revêtue et d'un mécanisme de coulisse adapté au poids et à la fonction des portes. Les cloisons intérieures mobiles parfaitement finies satisfont aux exigences en matière de sollicitations, d'acoustique et de résistance au feu. Les panneaux à base de bois utilisés pour les cloisons mobiles sont choisis en tenant compte des classes de service. Cette analyse est reprise dans le [Buildwise Magazine Contact n°23 (2009/3)].</w:t>
      </w:r>
    </w:p>
    <w:p w14:paraId="705D0DEA" w14:textId="77777777" w:rsidR="004B2808" w:rsidRDefault="00000000">
      <w:r>
        <w:t xml:space="preserve">Pour les panneaux de particules </w:t>
      </w:r>
      <w:r>
        <w:rPr>
          <w:rStyle w:val="optioncarChar"/>
        </w:rPr>
        <w:t xml:space="preserve">P2 </w:t>
      </w:r>
      <w:r>
        <w:t>(par défaut) </w:t>
      </w:r>
      <w:r>
        <w:rPr>
          <w:rStyle w:val="optioncarChar"/>
        </w:rPr>
        <w:t>/ P3 / P5 / P7 / ***</w:t>
      </w:r>
      <w:r>
        <w:t xml:space="preserve"> selon la [NBN EN 312] (la classe P1 est utilisée pour des propriétés mécaniques élevées et pour une classe de service 2).</w:t>
      </w:r>
    </w:p>
    <w:p w14:paraId="3CEBCEB5" w14:textId="77777777" w:rsidR="004B2808" w:rsidRDefault="00000000">
      <w:r>
        <w:t>Pour les panneaux contreplaqués, ils sont conformes à la [NBN EN 636+A1] pour les différentes classes de service.</w:t>
      </w:r>
    </w:p>
    <w:p w14:paraId="3D65C39B" w14:textId="77777777" w:rsidR="004B2808" w:rsidRDefault="00000000">
      <w:r>
        <w:t xml:space="preserve">Pour des panneaux en MBF, ils sont classés </w:t>
      </w:r>
      <w:r>
        <w:rPr>
          <w:rStyle w:val="optioncarChar"/>
        </w:rPr>
        <w:t>MDF </w:t>
      </w:r>
      <w:r>
        <w:t>(par défaut)</w:t>
      </w:r>
      <w:r>
        <w:rPr>
          <w:rStyle w:val="optioncarChar"/>
        </w:rPr>
        <w:t xml:space="preserve"> / MDFLA / MDFH / MDFHLS / ***</w:t>
      </w:r>
      <w:r>
        <w:t xml:space="preserve"> selon la norme [NBN EN 622-5].</w:t>
      </w:r>
    </w:p>
    <w:p w14:paraId="040DE096" w14:textId="77777777" w:rsidR="004B2808" w:rsidRDefault="00000000">
      <w:r>
        <w:lastRenderedPageBreak/>
        <w:t>Pour les panneaux OSB, ils sont classés :</w:t>
      </w:r>
    </w:p>
    <w:p w14:paraId="236D94B7" w14:textId="77777777" w:rsidR="004B2808" w:rsidRDefault="00000000">
      <w:pPr>
        <w:pStyle w:val="Author-eListParagraph"/>
        <w:numPr>
          <w:ilvl w:val="0"/>
          <w:numId w:val="27"/>
        </w:numPr>
      </w:pPr>
      <w:r>
        <w:t>OSB1 (selon [NBN EN 300]) pour les classes de service 1</w:t>
      </w:r>
    </w:p>
    <w:p w14:paraId="3DEEE920" w14:textId="77777777" w:rsidR="004B2808" w:rsidRDefault="00000000">
      <w:pPr>
        <w:pStyle w:val="Author-eListParagraph"/>
        <w:numPr>
          <w:ilvl w:val="0"/>
          <w:numId w:val="27"/>
        </w:numPr>
      </w:pPr>
      <w:r>
        <w:t>OSB3 (selon [NBN EN 300]) pour les classes de service 2</w:t>
      </w:r>
    </w:p>
    <w:p w14:paraId="117256C1" w14:textId="77777777" w:rsidR="004B2808" w:rsidRDefault="00000000">
      <w:r>
        <w:t>L'entrepreneur soumet au préalable à l'auteur de projet une documentation technique reprenant toutes les caractéristiques des panneaux. Les panneaux et bois de menuiserie intérieure satisfont aux exigences de la [STS 04.2]</w:t>
      </w:r>
    </w:p>
    <w:p w14:paraId="6A76F3B1" w14:textId="77777777" w:rsidR="004B2808" w:rsidRDefault="00000000">
      <w:pPr>
        <w:pStyle w:val="pheading"/>
      </w:pPr>
      <w:r>
        <w:t>MESURAGE</w:t>
      </w:r>
    </w:p>
    <w:p w14:paraId="706FB560" w14:textId="77777777" w:rsidR="004B2808" w:rsidRDefault="00000000">
      <w:r>
        <w:t>Conformément aux indications spécifiques dans le cahier spécial des charges et/ou le métré récapitulatif, le mesurage doit être conçu comme suit :</w:t>
      </w:r>
    </w:p>
    <w:p w14:paraId="088E092F" w14:textId="77777777" w:rsidR="004B2808" w:rsidRDefault="00000000">
      <w:pPr>
        <w:pStyle w:val="pheading"/>
      </w:pPr>
      <w:r>
        <w:t>- unité de mesure:</w:t>
      </w:r>
    </w:p>
    <w:p w14:paraId="4C02F35D" w14:textId="77777777" w:rsidR="004B2808" w:rsidRDefault="00000000">
      <w:r>
        <w:t>m²</w:t>
      </w:r>
    </w:p>
    <w:p w14:paraId="283F25D5" w14:textId="77777777" w:rsidR="004B2808" w:rsidRDefault="00000000">
      <w:pPr>
        <w:pStyle w:val="pheading"/>
      </w:pPr>
      <w:r>
        <w:t>- code de mesurage:</w:t>
      </w:r>
    </w:p>
    <w:p w14:paraId="199B1733" w14:textId="77777777" w:rsidR="004B2808" w:rsidRDefault="00000000">
      <w:r>
        <w:t>Ventilé selon l'épaisseur et la composition des cloisons, surface nette de la cloison. Les ouvertures &gt; 0,50 m² sont déduites.</w:t>
      </w:r>
    </w:p>
    <w:p w14:paraId="6DD5C98E" w14:textId="77777777" w:rsidR="004B2808" w:rsidRDefault="00000000">
      <w:r>
        <w:rPr>
          <w:u w:val="single"/>
        </w:rPr>
        <w:t>Attention</w:t>
      </w:r>
      <w:r>
        <w:br/>
        <w:t>Le cahier des charges décrit la composition d'une cloison, structure portante / plaques / matériau d'isolation, avec l'application d'une seule ou d'une double couche de plaques, ….</w:t>
      </w:r>
    </w:p>
    <w:p w14:paraId="3DA2381C" w14:textId="77777777" w:rsidR="004B2808" w:rsidRDefault="00000000">
      <w:pPr>
        <w:pStyle w:val="pheading"/>
      </w:pPr>
      <w:r>
        <w:t>- nature du marché:</w:t>
      </w:r>
    </w:p>
    <w:p w14:paraId="134F56D4" w14:textId="77777777" w:rsidR="004B2808" w:rsidRDefault="00000000">
      <w:r>
        <w:t>QF</w:t>
      </w:r>
    </w:p>
    <w:p w14:paraId="65C2AF85" w14:textId="77777777" w:rsidR="004B2808" w:rsidRDefault="00000000">
      <w:pPr>
        <w:pStyle w:val="Author-eSectionHeading5Numberless"/>
      </w:pPr>
      <w:bookmarkStart w:id="41" w:name="_Toc220490254"/>
      <w:r>
        <w:t>51.21.4 Parement en plaques/panneaux métalliques CCTB 01.02</w:t>
      </w:r>
      <w:bookmarkEnd w:id="41"/>
    </w:p>
    <w:p w14:paraId="78D47D78" w14:textId="77777777" w:rsidR="004B2808" w:rsidRDefault="00000000">
      <w:pPr>
        <w:pStyle w:val="Author-eSectionHeading6Numberless"/>
      </w:pPr>
      <w:bookmarkStart w:id="42" w:name="_Toc220490255"/>
      <w:r>
        <w:t>51.21.4a Cloisons de doublage sur ossature / parement en plaques/panneaux métalliques/panneaux en acier CCTB 01.02</w:t>
      </w:r>
      <w:bookmarkEnd w:id="42"/>
    </w:p>
    <w:p w14:paraId="0ADE63FA" w14:textId="77777777" w:rsidR="004B2808" w:rsidRDefault="00000000">
      <w:pPr>
        <w:pStyle w:val="Author-eSectionHeading6Numberless"/>
      </w:pPr>
      <w:bookmarkStart w:id="43" w:name="_Toc220490256"/>
      <w:r>
        <w:t>51.21.4b Cloisons de doublage sur ossature / parement en plaques/panneaux métalliques/panneaux en aluminium CCTB 01.02</w:t>
      </w:r>
      <w:bookmarkEnd w:id="43"/>
    </w:p>
    <w:p w14:paraId="10AE1935" w14:textId="77777777" w:rsidR="004B2808" w:rsidRDefault="00000000">
      <w:pPr>
        <w:pStyle w:val="Author-eSectionHeading6Numberless"/>
      </w:pPr>
      <w:bookmarkStart w:id="44" w:name="_Toc220490257"/>
      <w:r>
        <w:t>51.21.4c Cloisons de doublage sur ossature / parement en plaques/panneaux métalliques/panneaux en cuivre CCTB 01.02</w:t>
      </w:r>
      <w:bookmarkEnd w:id="44"/>
    </w:p>
    <w:p w14:paraId="0209C041" w14:textId="77777777" w:rsidR="004B2808" w:rsidRDefault="00000000">
      <w:pPr>
        <w:pStyle w:val="Author-eSectionHeading5Numberless"/>
      </w:pPr>
      <w:bookmarkStart w:id="45" w:name="_Toc220490258"/>
      <w:r>
        <w:t>51.21.5 Parement en plaques/panneaux synthétiques ou composites CCTB 01.02</w:t>
      </w:r>
      <w:bookmarkEnd w:id="45"/>
    </w:p>
    <w:p w14:paraId="4B21215B" w14:textId="77777777" w:rsidR="004B2808" w:rsidRDefault="00000000">
      <w:pPr>
        <w:pStyle w:val="Author-eSectionHeading6Numberless"/>
      </w:pPr>
      <w:bookmarkStart w:id="46" w:name="_Toc220490259"/>
      <w:r>
        <w:t>51.21.5a Cloisons de doublage sur ossature / parement en plaques/panneaux synthétiques ou composites CCTB 01.02</w:t>
      </w:r>
      <w:bookmarkEnd w:id="46"/>
    </w:p>
    <w:p w14:paraId="51096C30" w14:textId="77777777" w:rsidR="004B2808" w:rsidRDefault="00000000">
      <w:pPr>
        <w:pStyle w:val="Author-eSectionHeading5Numberless"/>
      </w:pPr>
      <w:bookmarkStart w:id="47" w:name="_Toc220490260"/>
      <w:r>
        <w:t>51.21.6 Parement en plaques/panneaux à base de verre CCTB 01.02</w:t>
      </w:r>
      <w:bookmarkEnd w:id="47"/>
    </w:p>
    <w:p w14:paraId="71884CE5" w14:textId="77777777" w:rsidR="004B2808" w:rsidRDefault="00000000">
      <w:pPr>
        <w:pStyle w:val="Author-eSectionHeading6Numberless"/>
      </w:pPr>
      <w:bookmarkStart w:id="48" w:name="_Toc220490261"/>
      <w:r>
        <w:t>51.21.6a Cloisons de doublage sur ossature / parement en plaques/panneaux en verre CCTB 01.10</w:t>
      </w:r>
      <w:bookmarkEnd w:id="48"/>
    </w:p>
    <w:p w14:paraId="14FAD6C5" w14:textId="77777777" w:rsidR="004B2808" w:rsidRDefault="00000000">
      <w:pPr>
        <w:pStyle w:val="pheading"/>
      </w:pPr>
      <w:r>
        <w:t>MATÉRIAUX</w:t>
      </w:r>
    </w:p>
    <w:p w14:paraId="760DF47E" w14:textId="77777777" w:rsidR="004B2808" w:rsidRDefault="00000000">
      <w:pPr>
        <w:pStyle w:val="pheading"/>
      </w:pPr>
      <w:r>
        <w:t>- Caractéristiques générales</w:t>
      </w:r>
    </w:p>
    <w:p w14:paraId="10697711" w14:textId="77777777" w:rsidR="004B2808" w:rsidRDefault="00000000">
      <w:r>
        <w:t xml:space="preserve">Les parements sont conformes à la norme [NBN S 23-002] .  La résistance aux chocs est spécifiée : </w:t>
      </w:r>
      <w:r>
        <w:rPr>
          <w:rStyle w:val="optioncarChar"/>
        </w:rPr>
        <w:t>1A1</w:t>
      </w:r>
      <w:r>
        <w:t xml:space="preserve"> (par défaut) </w:t>
      </w:r>
      <w:r>
        <w:rPr>
          <w:rStyle w:val="optioncarChar"/>
        </w:rPr>
        <w:t>/ 1B1 / 1C1 / ***</w:t>
      </w:r>
      <w:r>
        <w:t>  conformément à la norme [NBN EN 12600] et [NBN S 23-002] .</w:t>
      </w:r>
    </w:p>
    <w:p w14:paraId="3909933B" w14:textId="77777777" w:rsidR="004B2808" w:rsidRDefault="00000000">
      <w:pPr>
        <w:pStyle w:val="pheading"/>
      </w:pPr>
      <w:r>
        <w:t>MESURAGE</w:t>
      </w:r>
    </w:p>
    <w:p w14:paraId="3F61FFEC" w14:textId="77777777" w:rsidR="004B2808" w:rsidRDefault="00000000">
      <w:r>
        <w:t>Conformément aux indications spécifiques dans le cahier spécial des charges et/ou le métré récapitulatif, le mesurage doit être conçu comme suit :</w:t>
      </w:r>
    </w:p>
    <w:p w14:paraId="2DA3D122" w14:textId="77777777" w:rsidR="004B2808" w:rsidRDefault="00000000">
      <w:pPr>
        <w:pStyle w:val="pheading"/>
      </w:pPr>
      <w:r>
        <w:lastRenderedPageBreak/>
        <w:t>- unité de mesure:</w:t>
      </w:r>
    </w:p>
    <w:p w14:paraId="009ADB60" w14:textId="77777777" w:rsidR="004B2808" w:rsidRDefault="00000000">
      <w:r>
        <w:t>m²</w:t>
      </w:r>
    </w:p>
    <w:p w14:paraId="4FDE9311" w14:textId="77777777" w:rsidR="004B2808" w:rsidRDefault="00000000">
      <w:pPr>
        <w:pStyle w:val="pheading"/>
      </w:pPr>
      <w:r>
        <w:t>- code de mesurage:</w:t>
      </w:r>
    </w:p>
    <w:p w14:paraId="28BCDEED" w14:textId="77777777" w:rsidR="004B2808" w:rsidRDefault="00000000">
      <w:r>
        <w:t>ventilé selon l'épaisseur et la composition des cloisons, surface nette de la cloison. Les ouvertures supérieures à 0,50 m² sont déduites.</w:t>
      </w:r>
    </w:p>
    <w:p w14:paraId="70C0F0AD" w14:textId="77777777" w:rsidR="004B2808" w:rsidRDefault="00000000">
      <w:r>
        <w:rPr>
          <w:u w:val="single"/>
        </w:rPr>
        <w:t>Attention</w:t>
      </w:r>
      <w:r>
        <w:br/>
        <w:t>Le cahier des charges décrit la composition d'une cloison, structure portante / plaques / matériau d'isolation, avec l'application d'une seule ou d'une double couche de plaques, ….</w:t>
      </w:r>
    </w:p>
    <w:p w14:paraId="34DE2119" w14:textId="77777777" w:rsidR="004B2808" w:rsidRDefault="00000000">
      <w:pPr>
        <w:pStyle w:val="pheading"/>
      </w:pPr>
      <w:r>
        <w:t>- nature du marché:</w:t>
      </w:r>
    </w:p>
    <w:p w14:paraId="48A8867C" w14:textId="77777777" w:rsidR="004B2808" w:rsidRDefault="00000000">
      <w:r>
        <w:t>QF</w:t>
      </w:r>
    </w:p>
    <w:p w14:paraId="043C2B0D" w14:textId="77777777" w:rsidR="004B2808" w:rsidRDefault="00000000">
      <w:pPr>
        <w:pStyle w:val="Author-eSectionHeading6Numberless"/>
      </w:pPr>
      <w:bookmarkStart w:id="49" w:name="_Toc220490262"/>
      <w:r>
        <w:t>51.21.6b Cloisons de doublage sur ossature / parement en plaques/panneaux en miroir CCTB 01.10</w:t>
      </w:r>
      <w:bookmarkEnd w:id="49"/>
    </w:p>
    <w:p w14:paraId="134C49B2" w14:textId="77777777" w:rsidR="004B2808" w:rsidRDefault="00000000">
      <w:pPr>
        <w:pStyle w:val="pheading"/>
      </w:pPr>
      <w:r>
        <w:t>MATÉRIAUX</w:t>
      </w:r>
    </w:p>
    <w:p w14:paraId="70B3FF70" w14:textId="77777777" w:rsidR="004B2808" w:rsidRDefault="00000000">
      <w:pPr>
        <w:pStyle w:val="pheading"/>
      </w:pPr>
      <w:r>
        <w:t>- Caractéristiques générales</w:t>
      </w:r>
    </w:p>
    <w:p w14:paraId="445B5A5B" w14:textId="77777777" w:rsidR="004B2808" w:rsidRDefault="00000000">
      <w:r>
        <w:t xml:space="preserve">Les parements sont conformes à la norme [NBN S 23-002] .  La résistance aux chocs est spécifiée: </w:t>
      </w:r>
      <w:r>
        <w:rPr>
          <w:rStyle w:val="optioncarChar"/>
        </w:rPr>
        <w:t xml:space="preserve">1A1 </w:t>
      </w:r>
      <w:r>
        <w:t>(par défaut) </w:t>
      </w:r>
      <w:r>
        <w:rPr>
          <w:rStyle w:val="optioncarChar"/>
        </w:rPr>
        <w:t>/ 1B1 / 1C1</w:t>
      </w:r>
      <w:r>
        <w:t xml:space="preserve"> conformément à la [NBN EN 12600] et [NBN S 23-002] .</w:t>
      </w:r>
    </w:p>
    <w:p w14:paraId="7FA639D5" w14:textId="77777777" w:rsidR="004B2808" w:rsidRDefault="00000000">
      <w:pPr>
        <w:pStyle w:val="pheading"/>
      </w:pPr>
      <w:r>
        <w:t>MESURAGE</w:t>
      </w:r>
    </w:p>
    <w:p w14:paraId="2705AC59" w14:textId="77777777" w:rsidR="004B2808" w:rsidRDefault="00000000">
      <w:r>
        <w:t>Conformément aux indications spécifiques dans le cahier spécial des charges et/ou le métré récapitulatif, le mesurage doit être conçu comme suit :</w:t>
      </w:r>
    </w:p>
    <w:p w14:paraId="1FB19180" w14:textId="77777777" w:rsidR="004B2808" w:rsidRDefault="00000000">
      <w:pPr>
        <w:pStyle w:val="pheading"/>
      </w:pPr>
      <w:r>
        <w:t>- unité de mesure:</w:t>
      </w:r>
    </w:p>
    <w:p w14:paraId="7A2793B1" w14:textId="77777777" w:rsidR="004B2808" w:rsidRDefault="00000000">
      <w:r>
        <w:t>m²</w:t>
      </w:r>
    </w:p>
    <w:p w14:paraId="5B59F658" w14:textId="77777777" w:rsidR="004B2808" w:rsidRDefault="00000000">
      <w:pPr>
        <w:pStyle w:val="pheading"/>
      </w:pPr>
      <w:r>
        <w:t>- code de mesurage:</w:t>
      </w:r>
    </w:p>
    <w:p w14:paraId="254C705A" w14:textId="77777777" w:rsidR="004B2808" w:rsidRDefault="00000000">
      <w:r>
        <w:t>ventilé selon l'épaisseur et la composition des cloisons, surface nette de la cloison. Les ouvertures supérieures à 0,50 m² sont déduites.</w:t>
      </w:r>
    </w:p>
    <w:p w14:paraId="007EF322" w14:textId="77777777" w:rsidR="004B2808" w:rsidRDefault="00000000">
      <w:r>
        <w:rPr>
          <w:u w:val="single"/>
        </w:rPr>
        <w:t>Attention</w:t>
      </w:r>
      <w:r>
        <w:br/>
        <w:t>Le cahier des charges décrit la composition d'une cloison, structure portante / plaques / matériau d'isolation, avec l'application d'une seule ou d'une double couche de plaques, ….</w:t>
      </w:r>
    </w:p>
    <w:p w14:paraId="214208F0" w14:textId="77777777" w:rsidR="004B2808" w:rsidRDefault="00000000">
      <w:pPr>
        <w:pStyle w:val="pheading"/>
      </w:pPr>
      <w:r>
        <w:t>- nature du marché:</w:t>
      </w:r>
    </w:p>
    <w:p w14:paraId="7D5DB1C2" w14:textId="77777777" w:rsidR="004B2808" w:rsidRDefault="00000000">
      <w:r>
        <w:t>QF</w:t>
      </w:r>
    </w:p>
    <w:p w14:paraId="0E794B44" w14:textId="77777777" w:rsidR="004B2808" w:rsidRDefault="00000000">
      <w:pPr>
        <w:pStyle w:val="Author-eSectionHeading5Numberless"/>
      </w:pPr>
      <w:bookmarkStart w:id="50" w:name="_Toc220490263"/>
      <w:r>
        <w:t>51.21.7 Parement en textile CCTB 01.02</w:t>
      </w:r>
      <w:bookmarkEnd w:id="50"/>
    </w:p>
    <w:p w14:paraId="5E491B3C" w14:textId="77777777" w:rsidR="004B2808" w:rsidRDefault="00000000">
      <w:pPr>
        <w:pStyle w:val="Author-eSectionHeading6Numberless"/>
      </w:pPr>
      <w:bookmarkStart w:id="51" w:name="_Toc220490264"/>
      <w:r>
        <w:t>51.21.7a Cloisons de doublage sur ossature / parement en textile CCTB 01.02</w:t>
      </w:r>
      <w:bookmarkEnd w:id="51"/>
    </w:p>
    <w:p w14:paraId="35A6BB18" w14:textId="77777777" w:rsidR="004B2808" w:rsidRDefault="00000000">
      <w:pPr>
        <w:pStyle w:val="Author-eSectionHeading5Numberless"/>
      </w:pPr>
      <w:bookmarkStart w:id="52" w:name="_Toc220490265"/>
      <w:r>
        <w:t>51.21.8 Parement mixte CCTB 01.02</w:t>
      </w:r>
      <w:bookmarkEnd w:id="52"/>
    </w:p>
    <w:p w14:paraId="58644994" w14:textId="77777777" w:rsidR="004B2808" w:rsidRDefault="00000000">
      <w:pPr>
        <w:pStyle w:val="Author-eSectionHeading6Numberless"/>
      </w:pPr>
      <w:bookmarkStart w:id="53" w:name="_Toc220490266"/>
      <w:r>
        <w:t>51.21.8a Cloisons de doublage sur ossature / parement mixte CCTB 01.02</w:t>
      </w:r>
      <w:bookmarkEnd w:id="53"/>
    </w:p>
    <w:p w14:paraId="1A67A602" w14:textId="77777777" w:rsidR="004B2808" w:rsidRDefault="00000000">
      <w:pPr>
        <w:pStyle w:val="Author-eSectionHeading4Numberless"/>
      </w:pPr>
      <w:bookmarkStart w:id="54" w:name="_Toc220490267"/>
      <w:r>
        <w:t>51.22 Cloison fixe légère de doublage en panneaux fixés sans ossature CCTB 01.11</w:t>
      </w:r>
      <w:bookmarkEnd w:id="54"/>
    </w:p>
    <w:p w14:paraId="15585C24" w14:textId="77777777" w:rsidR="004B2808" w:rsidRDefault="00000000">
      <w:pPr>
        <w:pStyle w:val="pheading"/>
      </w:pPr>
      <w:bookmarkStart w:id="55" w:name="1149"/>
      <w:bookmarkEnd w:id="55"/>
      <w:r>
        <w:t>DESCRIPTION</w:t>
      </w:r>
    </w:p>
    <w:p w14:paraId="79D39A81" w14:textId="77777777" w:rsidR="004B2808" w:rsidRDefault="00000000">
      <w:pPr>
        <w:pStyle w:val="pheading"/>
      </w:pPr>
      <w:r>
        <w:t>- Définition / Comprend</w:t>
      </w:r>
    </w:p>
    <w:p w14:paraId="45DB475E" w14:textId="77777777" w:rsidR="004B2808" w:rsidRDefault="00000000">
      <w:r>
        <w:t xml:space="preserve">Il s'agit de la fourniture et de la pose de tous les matériaux pour la réalisation des cloisons de doublage non portantes (et, le cas échéant, des caissons verticaux intégrés pour les conduites), y </w:t>
      </w:r>
      <w:r>
        <w:lastRenderedPageBreak/>
        <w:t>compris les encadrements, les plaques, les matériaux d'isolation prescrits, les moyens de fixation et la finition prête à peindre.   </w:t>
      </w:r>
    </w:p>
    <w:p w14:paraId="084DA869" w14:textId="77777777" w:rsidR="004B2808" w:rsidRDefault="00000000">
      <w:pPr>
        <w:pStyle w:val="pheading"/>
      </w:pPr>
      <w:r>
        <w:t>EXÉCUTION / MISE EN ŒUVRE</w:t>
      </w:r>
    </w:p>
    <w:p w14:paraId="26426DA8" w14:textId="77777777" w:rsidR="004B2808" w:rsidRDefault="00000000">
      <w:r>
        <w:t>Les cloisons fixes légères de doublage en panneaux fixés sans ossature sont posées selon les prescriptions de la [NIT 233] et les directives données par le fabricant. La composition de la cloison de doublage doit satisfaire aux exigences en ce qui concerne l'isolation acoustique et/ou la sécurité incendie (résistance au feu/réaction au feu) et/ou la sécurité d’utilisation et l’aptitude à l’emploi et/ou isolation thermique. En fonction de la situation, on prévoit des compléments d'isolation lors du montage et/ou des isolants appliqués usine sur les plaques afin de satisfaire aux performances exigées respectivement pour l'isolation acoustique selon la [NBN S 01-400] et/ou la résistance au feu basée sur les classes issues de la [NBN EN 13501-2] (ou [NBN 713-020] tant qu’elle est encore d’application ).</w:t>
      </w:r>
    </w:p>
    <w:p w14:paraId="5D7591A2" w14:textId="77777777" w:rsidR="004B2808" w:rsidRDefault="00000000">
      <w:r>
        <w:t>Support aux prescripteurs : [NIT 233].</w:t>
      </w:r>
    </w:p>
    <w:p w14:paraId="0260D842" w14:textId="77777777" w:rsidR="004B2808" w:rsidRDefault="00000000">
      <w:pPr>
        <w:ind w:left="750"/>
      </w:pPr>
      <w:r>
        <w:t> </w:t>
      </w:r>
    </w:p>
    <w:p w14:paraId="58551EBD" w14:textId="77777777" w:rsidR="004B2808" w:rsidRDefault="00000000">
      <w:pPr>
        <w:pStyle w:val="pheading"/>
      </w:pPr>
      <w:r>
        <w:t>AIDE</w:t>
      </w:r>
    </w:p>
    <w:p w14:paraId="54890C6E" w14:textId="77777777" w:rsidR="004B2808" w:rsidRDefault="00000000">
      <w:r>
        <w:t>Support aux prescripteurs : [NIT 233].</w:t>
      </w:r>
    </w:p>
    <w:p w14:paraId="28AECBA7" w14:textId="77777777" w:rsidR="004B2808" w:rsidRDefault="00000000">
      <w:pPr>
        <w:ind w:left="750"/>
      </w:pPr>
      <w:r>
        <w:t> </w:t>
      </w:r>
    </w:p>
    <w:p w14:paraId="54C78A87" w14:textId="77777777" w:rsidR="004B2808" w:rsidRDefault="00000000">
      <w:pPr>
        <w:pStyle w:val="Author-eSectionHeading5Numberless"/>
      </w:pPr>
      <w:bookmarkStart w:id="56" w:name="_Toc220490268"/>
      <w:r>
        <w:t>51.22.1 Parement en plaques/panneaux à base de plâtre CCTB 01.02</w:t>
      </w:r>
      <w:bookmarkEnd w:id="56"/>
    </w:p>
    <w:p w14:paraId="061A341D" w14:textId="77777777" w:rsidR="004B2808" w:rsidRDefault="00000000">
      <w:pPr>
        <w:pStyle w:val="Author-eSectionHeading6Numberless"/>
      </w:pPr>
      <w:bookmarkStart w:id="57" w:name="_Toc220490269"/>
      <w:r>
        <w:t>51.22.1a Cloisons de doublage sans ossature / parement en plaques/panneaux à base de plâtre CCTB 01.11</w:t>
      </w:r>
      <w:bookmarkEnd w:id="57"/>
    </w:p>
    <w:p w14:paraId="364DF28F" w14:textId="77777777" w:rsidR="004B2808" w:rsidRDefault="00000000">
      <w:pPr>
        <w:pStyle w:val="pheading"/>
      </w:pPr>
      <w:r>
        <w:t>DESCRIPTION</w:t>
      </w:r>
    </w:p>
    <w:p w14:paraId="675F305D" w14:textId="77777777" w:rsidR="004B2808" w:rsidRDefault="00000000">
      <w:pPr>
        <w:pStyle w:val="pheading"/>
      </w:pPr>
      <w:r>
        <w:t>- Localisation</w:t>
      </w:r>
    </w:p>
    <w:p w14:paraId="49CF4683" w14:textId="77777777" w:rsidR="004B2808" w:rsidRDefault="00000000">
      <w:r>
        <w:t>cloisons de doublage</w:t>
      </w:r>
    </w:p>
    <w:p w14:paraId="2FD0EA8E" w14:textId="77777777" w:rsidR="004B2808" w:rsidRDefault="00000000">
      <w:pPr>
        <w:pStyle w:val="pheading"/>
      </w:pPr>
      <w:r>
        <w:t>MATÉRIAUX</w:t>
      </w:r>
    </w:p>
    <w:p w14:paraId="7CC310B1" w14:textId="77777777" w:rsidR="004B2808" w:rsidRDefault="00000000">
      <w:pPr>
        <w:pStyle w:val="pheading"/>
      </w:pPr>
      <w:r>
        <w:t>- Caractéristiques générales</w:t>
      </w:r>
    </w:p>
    <w:p w14:paraId="62643E99" w14:textId="77777777" w:rsidR="004B2808" w:rsidRDefault="00000000">
      <w:pPr>
        <w:pStyle w:val="heading"/>
      </w:pPr>
      <w:r>
        <w:t>Spécifications - plaques de plâtre enrobées de carton</w:t>
      </w:r>
    </w:p>
    <w:p w14:paraId="3AC26DCA" w14:textId="77777777" w:rsidR="004B2808" w:rsidRDefault="00000000">
      <w:r>
        <w:t xml:space="preserve">Type : Type </w:t>
      </w:r>
      <w:r>
        <w:rPr>
          <w:rStyle w:val="optioncarChar"/>
        </w:rPr>
        <w:t>A / Type F (à cohésion améliorée de l’âme à haute température aussi appelée « plaque RF ») / Type P (plaques aptes à recevoir un enduit au plâtre) / Type H (à taux d’absorption d’eau réduit) selon [NBN EN 520+A1]</w:t>
      </w:r>
    </w:p>
    <w:p w14:paraId="4FFAC209" w14:textId="77777777" w:rsidR="004B2808" w:rsidRDefault="00000000">
      <w:r>
        <w:t>Dimensions des plaques :</w:t>
      </w:r>
    </w:p>
    <w:p w14:paraId="61F2C36F" w14:textId="77777777" w:rsidR="004B2808" w:rsidRDefault="00000000">
      <w:r>
        <w:t xml:space="preserve">Epaisseur des plaques : </w:t>
      </w:r>
      <w:r>
        <w:rPr>
          <w:rStyle w:val="optioncarChar"/>
        </w:rPr>
        <w:t>9,5 </w:t>
      </w:r>
      <w:r>
        <w:t xml:space="preserve">(par défaut) </w:t>
      </w:r>
      <w:r>
        <w:rPr>
          <w:rStyle w:val="optioncarChar"/>
        </w:rPr>
        <w:t>/ 12.5 / 15 / *** </w:t>
      </w:r>
      <w:r>
        <w:t>mm)</w:t>
      </w:r>
    </w:p>
    <w:p w14:paraId="3940764E" w14:textId="77777777" w:rsidR="004B2808" w:rsidRDefault="00000000">
      <w:r>
        <w:t>Largeur :</w:t>
      </w:r>
      <w:r>
        <w:rPr>
          <w:rStyle w:val="optioncarChar"/>
        </w:rPr>
        <w:t xml:space="preserve"> 600 / 1200 mm / au choix de l'entrepreneur</w:t>
      </w:r>
    </w:p>
    <w:p w14:paraId="79076746" w14:textId="77777777" w:rsidR="004B2808" w:rsidRDefault="00000000">
      <w:r>
        <w:t xml:space="preserve">Longueur : </w:t>
      </w:r>
      <w:r>
        <w:rPr>
          <w:rStyle w:val="optioncarChar"/>
        </w:rPr>
        <w:t>au moins la hauteur libre du local </w:t>
      </w:r>
      <w:r>
        <w:t>(par défaut)</w:t>
      </w:r>
      <w:r>
        <w:rPr>
          <w:rStyle w:val="optioncarChar"/>
        </w:rPr>
        <w:t xml:space="preserve"> / ***</w:t>
      </w:r>
    </w:p>
    <w:p w14:paraId="2C11D993" w14:textId="77777777" w:rsidR="004B2808" w:rsidRDefault="00000000">
      <w:r>
        <w:t>Bords longitudinaux selon la [NBN EN 520+A1] :</w:t>
      </w:r>
    </w:p>
    <w:p w14:paraId="43D49AAB" w14:textId="77777777" w:rsidR="004B2808" w:rsidRDefault="00000000">
      <w:pPr>
        <w:ind w:left="465"/>
      </w:pPr>
      <w:r>
        <w:t xml:space="preserve">pour les plaques de type A, F et H : </w:t>
      </w:r>
      <w:r>
        <w:rPr>
          <w:rStyle w:val="optioncarChar"/>
        </w:rPr>
        <w:t xml:space="preserve">droit / biseauté / aminci / semi-arrondi / aminci semi-arrondi / arrondi </w:t>
      </w:r>
    </w:p>
    <w:p w14:paraId="4E3E69C9" w14:textId="77777777" w:rsidR="004B2808" w:rsidRDefault="00000000">
      <w:pPr>
        <w:ind w:left="465"/>
      </w:pPr>
      <w:r>
        <w:t>pour les plaques de type P </w:t>
      </w:r>
      <w:r>
        <w:rPr>
          <w:rStyle w:val="optioncarChar"/>
        </w:rPr>
        <w:t>: droit / arrondi</w:t>
      </w:r>
    </w:p>
    <w:p w14:paraId="4B6D31CA" w14:textId="77777777" w:rsidR="004B2808" w:rsidRDefault="00000000">
      <w:r>
        <w:t>Selon la Décision du 7 août 2003 [Décision 2003/593/CE] et les conditions qui y sont reprises, les plaques de parement en plâtre (sauf plaques perforées) appartiennent à la classe de réaction au feu A2-s1, d0 pour autant que ces plaques soient montées et fixées in situ selon des conditions bien précises :</w:t>
      </w:r>
    </w:p>
    <w:p w14:paraId="371BF032" w14:textId="77777777" w:rsidR="004B2808" w:rsidRDefault="00000000">
      <w:pPr>
        <w:pStyle w:val="Author-eListParagraph"/>
        <w:numPr>
          <w:ilvl w:val="0"/>
          <w:numId w:val="28"/>
        </w:numPr>
      </w:pPr>
      <w:r>
        <w:lastRenderedPageBreak/>
        <w:t>Fixation mécanique sur une sous-structure en métal ou en bois ; la cavité entre les plaques et l’ossature peut rester libre ou être comblée au moyen d’un matériau isolant de la classe de réaction au feu A2-s1, d0.</w:t>
      </w:r>
    </w:p>
    <w:p w14:paraId="45DA7186" w14:textId="77777777" w:rsidR="004B2808" w:rsidRDefault="00000000">
      <w:pPr>
        <w:pStyle w:val="Author-eListParagraph"/>
        <w:numPr>
          <w:ilvl w:val="0"/>
          <w:numId w:val="28"/>
        </w:numPr>
      </w:pPr>
      <w:r>
        <w:t>Fixation directe ou collage sur un support continu présentant au moins une réaction au feu de classe A2-s1, d0.</w:t>
      </w:r>
    </w:p>
    <w:p w14:paraId="684206D5" w14:textId="77777777" w:rsidR="004B2808" w:rsidRDefault="00000000">
      <w:r>
        <w:t> </w:t>
      </w:r>
    </w:p>
    <w:p w14:paraId="480CFB76" w14:textId="77777777" w:rsidR="004B2808" w:rsidRDefault="00000000">
      <w:r>
        <w:rPr>
          <w:u w:val="single"/>
        </w:rPr>
        <w:t>Note à l'attention de l'auteur de projet</w:t>
      </w:r>
    </w:p>
    <w:p w14:paraId="3517AECA" w14:textId="77777777" w:rsidR="004B2808" w:rsidRDefault="00000000">
      <w:r>
        <w:t>Pour les combinaisons disponibles, le type des bords longitudinaux et les dimensions des plaques, il est recommandé de consulter la documentation récente.</w:t>
      </w:r>
    </w:p>
    <w:p w14:paraId="68995BD0" w14:textId="77777777" w:rsidR="004B2808" w:rsidRDefault="00000000">
      <w:pPr>
        <w:pStyle w:val="heading"/>
      </w:pPr>
      <w:r>
        <w:t>Spécifications - matériau d'isolation</w:t>
      </w:r>
    </w:p>
    <w:p w14:paraId="5E6431FF" w14:textId="77777777" w:rsidR="004B2808" w:rsidRDefault="00000000">
      <w:r>
        <w:t xml:space="preserve">Nature : </w:t>
      </w:r>
      <w:r>
        <w:rPr>
          <w:rStyle w:val="optioncarChar"/>
        </w:rPr>
        <w:t>laine minérale selon les [STS 08.82] type TS </w:t>
      </w:r>
      <w:r>
        <w:t>(par défaut)</w:t>
      </w:r>
      <w:r>
        <w:rPr>
          <w:rStyle w:val="optioncarChar"/>
        </w:rPr>
        <w:t xml:space="preserve"> / plaques composées de ***</w:t>
      </w:r>
    </w:p>
    <w:p w14:paraId="44DEF202" w14:textId="77777777" w:rsidR="004B2808" w:rsidRDefault="00000000">
      <w:r>
        <w:t>Conductibilité thermique : maximum 0,034 W/mk à 10°C (selon la [NBN B 62-201])</w:t>
      </w:r>
    </w:p>
    <w:p w14:paraId="37F6FF8F" w14:textId="77777777" w:rsidR="004B2808" w:rsidRDefault="00000000">
      <w:r>
        <w:t xml:space="preserve">Masse volumique : </w:t>
      </w:r>
      <w:r>
        <w:rPr>
          <w:rStyle w:val="optioncarChar"/>
        </w:rPr>
        <w:t>laine de verre d’au moins 16 kg/m3 </w:t>
      </w:r>
      <w:r>
        <w:t>(par défaut)</w:t>
      </w:r>
      <w:r>
        <w:rPr>
          <w:rStyle w:val="optioncarChar"/>
        </w:rPr>
        <w:t xml:space="preserve"> / laine de roche d’au moins 30 kg/m3.</w:t>
      </w:r>
    </w:p>
    <w:p w14:paraId="19B6D9B5" w14:textId="77777777" w:rsidR="004B2808" w:rsidRDefault="00000000">
      <w:r>
        <w:t>Selon la Décision du 4 octobre 1996 [Décision 96/603/CE] et les conditions qui y sont reprises, la laine minérale appartient à la classe de réaction au feu A1.</w:t>
      </w:r>
    </w:p>
    <w:p w14:paraId="16CAB68B" w14:textId="77777777" w:rsidR="004B2808" w:rsidRDefault="00000000">
      <w:r>
        <w:t xml:space="preserve">Epaisseur des plaques : minimum </w:t>
      </w:r>
      <w:r>
        <w:rPr>
          <w:rStyle w:val="optioncarChar"/>
        </w:rPr>
        <w:t>50 </w:t>
      </w:r>
      <w:r>
        <w:t>(par défaut)</w:t>
      </w:r>
      <w:r>
        <w:rPr>
          <w:rStyle w:val="optioncarChar"/>
        </w:rPr>
        <w:t xml:space="preserve"> / ***</w:t>
      </w:r>
      <w:r>
        <w:t xml:space="preserve"> mm.</w:t>
      </w:r>
    </w:p>
    <w:p w14:paraId="79C9B867" w14:textId="77777777" w:rsidR="004B2808" w:rsidRDefault="00000000">
      <w:pPr>
        <w:pStyle w:val="pheading"/>
      </w:pPr>
      <w:r>
        <w:t>- Prescriptions complémentaires</w:t>
      </w:r>
    </w:p>
    <w:p w14:paraId="4AB43350" w14:textId="77777777" w:rsidR="004B2808" w:rsidRDefault="00000000">
      <w:pPr>
        <w:pStyle w:val="facult"/>
      </w:pPr>
      <w:r>
        <w:t xml:space="preserve">- L'ensemble de la cloison présente une résistance au feu de </w:t>
      </w:r>
      <w:r>
        <w:rPr>
          <w:rStyle w:val="optioncarChar"/>
        </w:rPr>
        <w:t xml:space="preserve">EI 30/ EI 60/ EI 120 selon la </w:t>
      </w:r>
      <w:r>
        <w:t>[NBN EN 13501-2] </w:t>
      </w:r>
      <w:r>
        <w:rPr>
          <w:rStyle w:val="optioncarChar"/>
        </w:rPr>
        <w:t xml:space="preserve">(ou Rf 1/2 h / Rf 1 h / Rf 2 h </w:t>
      </w:r>
      <w:r>
        <w:t>selon la [NBN 713-020] tant qu’elle est encore d’application</w:t>
      </w:r>
      <w:r>
        <w:rPr>
          <w:rStyle w:val="optioncarChar"/>
        </w:rPr>
        <w:t>)</w:t>
      </w:r>
      <w:r>
        <w:t>. La performance de résistance au feu est attestée conformément aux prescriptions reprises dans l’arrêté royal Normes de base du 13 juin 2007 modifiant l’arrêté royal du [AR 1994-07-07]. La cloison est posée en conformité totale avec les conditions de pose mentionnées dans le(s) rapport(s) d'essai.</w:t>
      </w:r>
    </w:p>
    <w:p w14:paraId="7E21737A" w14:textId="77777777" w:rsidR="004B2808" w:rsidRDefault="00000000">
      <w:pPr>
        <w:pStyle w:val="facult"/>
      </w:pPr>
      <w:r>
        <w:t xml:space="preserve">- Les cloisons appartiennent à la classe acoustique </w:t>
      </w:r>
      <w:r>
        <w:rPr>
          <w:rStyle w:val="optioncarChar"/>
        </w:rPr>
        <w:t>IIIa / IIa</w:t>
      </w:r>
      <w:r>
        <w:t xml:space="preserve"> selon la [NBN S 01-400], 2ème édition. L'isolation acoustique des cloisons est conforme aux exigences d'isolation acoustique. Un certificat remis par un laboratoire belge agréé est soumis. Les cloisons sont posées en conformité totale avec les conditions de pose mentionnées dans le rapport d'essai.</w:t>
      </w:r>
    </w:p>
    <w:p w14:paraId="64581358" w14:textId="77777777" w:rsidR="004B2808" w:rsidRDefault="00000000">
      <w:pPr>
        <w:pStyle w:val="pheading"/>
      </w:pPr>
      <w:r>
        <w:t>EXÉCUTION / MISE EN ŒUVRE</w:t>
      </w:r>
    </w:p>
    <w:p w14:paraId="21EAF2E8" w14:textId="77777777" w:rsidR="004B2808" w:rsidRDefault="00000000">
      <w:pPr>
        <w:pStyle w:val="pheading"/>
      </w:pPr>
      <w:r>
        <w:t>- Prescriptions générales</w:t>
      </w:r>
    </w:p>
    <w:p w14:paraId="4D758340" w14:textId="77777777" w:rsidR="004B2808" w:rsidRDefault="00000000">
      <w:r>
        <w:t>Selon le titre </w:t>
      </w:r>
      <w:hyperlink w:anchor="1149" w:history="1">
        <w:r w:rsidR="004B2808">
          <w:rPr>
            <w:color w:val="0000EE"/>
          </w:rPr>
          <w:t>51.22 Cloison fixe légère de doublage en panneaux fixés sans ossature</w:t>
        </w:r>
      </w:hyperlink>
    </w:p>
    <w:p w14:paraId="30390757" w14:textId="77777777" w:rsidR="004B2808" w:rsidRDefault="00000000">
      <w:pPr>
        <w:pStyle w:val="heading"/>
      </w:pPr>
      <w:r>
        <w:t>Composition de la cloison</w:t>
      </w:r>
    </w:p>
    <w:p w14:paraId="16DB6D53" w14:textId="77777777" w:rsidR="004B2808" w:rsidRDefault="00000000">
      <w:r>
        <w:t xml:space="preserve">Fixation au moyen de </w:t>
      </w:r>
      <w:r>
        <w:rPr>
          <w:rStyle w:val="optioncarChar"/>
        </w:rPr>
        <w:t xml:space="preserve">plâtre / structure en bois / structure en métal </w:t>
      </w:r>
      <w:r>
        <w:t>(selon le titre </w:t>
      </w:r>
      <w:hyperlink w:anchor="1150" w:history="1">
        <w:r w:rsidR="004B2808">
          <w:rPr>
            <w:color w:val="0000EE"/>
          </w:rPr>
          <w:t>51.2 Cloisons fixes légères de doublage (et lambris)</w:t>
        </w:r>
      </w:hyperlink>
      <w:r>
        <w:t>)</w:t>
      </w:r>
    </w:p>
    <w:p w14:paraId="7AFDBF06" w14:textId="77777777" w:rsidR="004B2808" w:rsidRDefault="00000000">
      <w:r>
        <w:t xml:space="preserve">Une </w:t>
      </w:r>
      <w:r>
        <w:rPr>
          <w:rStyle w:val="optioncarChar"/>
        </w:rPr>
        <w:t>simple / double</w:t>
      </w:r>
      <w:r>
        <w:t xml:space="preserve"> couche de plaques est appliquée/. Les doubles plaques sont posées en alternance.</w:t>
      </w:r>
    </w:p>
    <w:p w14:paraId="73963A05" w14:textId="77777777" w:rsidR="004B2808" w:rsidRDefault="00000000">
      <w:r>
        <w:t xml:space="preserve">Les plaques sont posées </w:t>
      </w:r>
      <w:r>
        <w:rPr>
          <w:rStyle w:val="optioncarChar"/>
        </w:rPr>
        <w:t xml:space="preserve">verticalement / horizontalement </w:t>
      </w:r>
      <w:r>
        <w:t>avec un joint ouvert de ± 10 mm entre le bord inférieur des plaques et le sol.</w:t>
      </w:r>
    </w:p>
    <w:p w14:paraId="653CC0EF" w14:textId="77777777" w:rsidR="004B2808" w:rsidRDefault="00000000">
      <w:r>
        <w:t xml:space="preserve">Les cloisons de doublage sont posées </w:t>
      </w:r>
      <w:r>
        <w:rPr>
          <w:rStyle w:val="optioncarChar"/>
        </w:rPr>
        <w:t>de plancher à plancher / jusqu'à la hauteur du plafond suspendu.</w:t>
      </w:r>
    </w:p>
    <w:p w14:paraId="66C2790C" w14:textId="77777777" w:rsidR="004B2808" w:rsidRDefault="00000000">
      <w:r>
        <w:t xml:space="preserve">Les cloisons de doublage sont posées </w:t>
      </w:r>
      <w:r>
        <w:rPr>
          <w:rStyle w:val="optioncarChar"/>
        </w:rPr>
        <w:t>sur la chape </w:t>
      </w:r>
      <w:r>
        <w:t>(par défaut)</w:t>
      </w:r>
      <w:r>
        <w:rPr>
          <w:rStyle w:val="optioncarChar"/>
        </w:rPr>
        <w:t> / sur le revêtement de sol / ***</w:t>
      </w:r>
    </w:p>
    <w:p w14:paraId="4DAAB499" w14:textId="77777777" w:rsidR="004B2808" w:rsidRDefault="00000000">
      <w:pPr>
        <w:pStyle w:val="heading"/>
      </w:pPr>
      <w:r>
        <w:t>Finition des plaques et des joints</w:t>
      </w:r>
    </w:p>
    <w:p w14:paraId="28DF395C" w14:textId="77777777" w:rsidR="004B2808" w:rsidRDefault="00000000">
      <w:pPr>
        <w:pStyle w:val="soit"/>
      </w:pPr>
      <w:r>
        <w:rPr>
          <w:color w:val="000000"/>
        </w:rPr>
        <w:t xml:space="preserve">Choix opéré: </w:t>
      </w:r>
      <w:r>
        <w:rPr>
          <w:rStyle w:val="optioncarChar"/>
        </w:rPr>
        <w:t>OPTION 1 (sans joints visibles) </w:t>
      </w:r>
      <w:r>
        <w:t>(par défaut)</w:t>
      </w:r>
      <w:r>
        <w:rPr>
          <w:rStyle w:val="optioncarChar"/>
        </w:rPr>
        <w:t xml:space="preserve"> / OPTION 2 (joints visibles) / ***</w:t>
      </w:r>
    </w:p>
    <w:p w14:paraId="16A847DB" w14:textId="77777777" w:rsidR="004B2808" w:rsidRDefault="00000000">
      <w:r>
        <w:rPr>
          <w:b/>
        </w:rPr>
        <w:t>***OPTION 1</w:t>
      </w:r>
      <w:r>
        <w:t> (par défaut)</w:t>
      </w:r>
      <w:r>
        <w:rPr>
          <w:b/>
        </w:rPr>
        <w:t xml:space="preserve"> :</w:t>
      </w:r>
      <w:r>
        <w:t xml:space="preserve"> Les plaques sont parachevées sans joints visibles (destinées à être tapissées ou peintes ultérieurement). Les joints et les angles intérieurs sont achevés avec des </w:t>
      </w:r>
      <w:r>
        <w:lastRenderedPageBreak/>
        <w:t>bandes de recouvrement et enduites en même temps que les têtes de vis avec un matériau approprié.</w:t>
      </w:r>
    </w:p>
    <w:p w14:paraId="50D95055" w14:textId="77777777" w:rsidR="004B2808" w:rsidRDefault="00000000">
      <w:r>
        <w:rPr>
          <w:b/>
        </w:rPr>
        <w:t>***OPTION 2:</w:t>
      </w:r>
      <w:r>
        <w:t xml:space="preserve"> Les plaques sont parachevées à joints visibles (destinées à être peintes ultérieurement). Sur tous les angles extérieurs, on fixe des cornières de protection à angle arrondi plein et des ailes en métal fin déployé. Les têtes de</w:t>
      </w:r>
    </w:p>
    <w:p w14:paraId="3BEBBA6D" w14:textId="77777777" w:rsidR="004B2808" w:rsidRDefault="00000000">
      <w:pPr>
        <w:pStyle w:val="pheading"/>
      </w:pPr>
      <w:r>
        <w:t>- Notes d’exécution complémentaires</w:t>
      </w:r>
    </w:p>
    <w:p w14:paraId="5D5BB080" w14:textId="77777777" w:rsidR="004B2808" w:rsidRDefault="00000000">
      <w:pPr>
        <w:pStyle w:val="heading"/>
      </w:pPr>
      <w:r>
        <w:t>Notes d'exécution complémentaires</w:t>
      </w:r>
    </w:p>
    <w:p w14:paraId="218F1497" w14:textId="77777777" w:rsidR="004B2808" w:rsidRDefault="00000000">
      <w:r>
        <w:t>Renforcements : ***</w:t>
      </w:r>
    </w:p>
    <w:p w14:paraId="0915A286" w14:textId="77777777" w:rsidR="004B2808" w:rsidRDefault="00000000">
      <w:r>
        <w:t>Conduites des régies : ***</w:t>
      </w:r>
    </w:p>
    <w:p w14:paraId="1E08B4F7" w14:textId="77777777" w:rsidR="004B2808" w:rsidRDefault="00000000">
      <w:r>
        <w:t>Joints de dilatation : ***</w:t>
      </w:r>
    </w:p>
    <w:p w14:paraId="4F1329BE" w14:textId="77777777" w:rsidR="004B2808" w:rsidRDefault="00000000">
      <w:r>
        <w:t xml:space="preserve">Les plaques présentent une résistance à l'humidité améliorée pour </w:t>
      </w:r>
      <w:r>
        <w:rPr>
          <w:rStyle w:val="optioncarChar"/>
        </w:rPr>
        <w:t>***</w:t>
      </w:r>
      <w:r>
        <w:t>.</w:t>
      </w:r>
    </w:p>
    <w:p w14:paraId="2D3538D7" w14:textId="77777777" w:rsidR="004B2808" w:rsidRDefault="00000000">
      <w:r>
        <w:t>Couche de fond : les plaques sont terminées avec une couche de fond à base de résines synthétiques. A cet effet, l'entrepreneur soumet les informations techniques de son produit avant de l'appliquer.</w:t>
      </w:r>
    </w:p>
    <w:p w14:paraId="6DD24946" w14:textId="77777777" w:rsidR="004B2808" w:rsidRDefault="00000000">
      <w:r>
        <w:t> </w:t>
      </w:r>
    </w:p>
    <w:p w14:paraId="3751F2F9" w14:textId="77777777" w:rsidR="004B2808" w:rsidRDefault="00000000">
      <w:pPr>
        <w:pStyle w:val="pheading"/>
      </w:pPr>
      <w:r>
        <w:t>MESURAGE</w:t>
      </w:r>
    </w:p>
    <w:p w14:paraId="5DE30DB3" w14:textId="77777777" w:rsidR="004B2808" w:rsidRDefault="00000000">
      <w:r>
        <w:t>Conformément aux indications spécifiques dans le cahier spécial des charges et/ou le métré récapitulatif, le mesurage doit être conçu comme suit :</w:t>
      </w:r>
    </w:p>
    <w:p w14:paraId="6A9184A9" w14:textId="77777777" w:rsidR="004B2808" w:rsidRDefault="00000000">
      <w:pPr>
        <w:pStyle w:val="pheading"/>
      </w:pPr>
      <w:r>
        <w:t>- unité de mesure:</w:t>
      </w:r>
    </w:p>
    <w:p w14:paraId="6B9B322A" w14:textId="77777777" w:rsidR="004B2808" w:rsidRDefault="00000000">
      <w:r>
        <w:t>m²</w:t>
      </w:r>
    </w:p>
    <w:p w14:paraId="3BE06F3E" w14:textId="77777777" w:rsidR="004B2808" w:rsidRDefault="00000000">
      <w:pPr>
        <w:pStyle w:val="pheading"/>
      </w:pPr>
      <w:r>
        <w:t>- code de mesurage:</w:t>
      </w:r>
    </w:p>
    <w:p w14:paraId="2C186C46" w14:textId="77777777" w:rsidR="004B2808" w:rsidRDefault="00000000">
      <w:r>
        <w:t>ventilé selon l'épaisseur et la composition des cloisons, surface nette de la cloison. Les ouvertures supérieures à 0,50 m2 sont déduites.</w:t>
      </w:r>
    </w:p>
    <w:p w14:paraId="3FFE8F99" w14:textId="77777777" w:rsidR="004B2808" w:rsidRDefault="00000000">
      <w:r>
        <w:t>Le cahier des charges décrit la composition d'une cloison sans ossature, plaques / matériau d'isolation, avec l'application d'une seule ou d'une double couche de plaques, ….</w:t>
      </w:r>
    </w:p>
    <w:p w14:paraId="23D7B614" w14:textId="77777777" w:rsidR="004B2808" w:rsidRDefault="00000000">
      <w:pPr>
        <w:pStyle w:val="pheading"/>
      </w:pPr>
      <w:r>
        <w:t>- nature du marché:</w:t>
      </w:r>
    </w:p>
    <w:p w14:paraId="2570DA69" w14:textId="77777777" w:rsidR="004B2808" w:rsidRDefault="00000000">
      <w:r>
        <w:t>QF</w:t>
      </w:r>
    </w:p>
    <w:p w14:paraId="7577AA02" w14:textId="77777777" w:rsidR="004B2808" w:rsidRDefault="00000000">
      <w:pPr>
        <w:pStyle w:val="Author-eSectionHeading5Numberless"/>
      </w:pPr>
      <w:bookmarkStart w:id="58" w:name="_Toc220490270"/>
      <w:r>
        <w:t>51.22.2 Parement en plaques/panneaux à base minérale autre que plâtre CCTB 01.02</w:t>
      </w:r>
      <w:bookmarkEnd w:id="58"/>
    </w:p>
    <w:p w14:paraId="0AC213F4" w14:textId="77777777" w:rsidR="004B2808" w:rsidRDefault="00000000">
      <w:pPr>
        <w:pStyle w:val="Author-eSectionHeading6Numberless"/>
      </w:pPr>
      <w:bookmarkStart w:id="59" w:name="_Toc220490271"/>
      <w:r>
        <w:t>51.22.2a Cloisons de doublage sans ossature / parement en plaques/panneaux à base minérale autre que plâtre, à base de silico-calcaire CCTB 01.02</w:t>
      </w:r>
      <w:bookmarkEnd w:id="59"/>
    </w:p>
    <w:p w14:paraId="5284299E" w14:textId="77777777" w:rsidR="004B2808" w:rsidRDefault="00000000">
      <w:pPr>
        <w:pStyle w:val="pheading"/>
      </w:pPr>
      <w:r>
        <w:t>DESCRIPTION</w:t>
      </w:r>
    </w:p>
    <w:p w14:paraId="333D7228" w14:textId="77777777" w:rsidR="004B2808" w:rsidRDefault="00000000">
      <w:pPr>
        <w:pStyle w:val="pheading"/>
      </w:pPr>
      <w:r>
        <w:t>- Définition / Comprend</w:t>
      </w:r>
    </w:p>
    <w:p w14:paraId="5751479D" w14:textId="77777777" w:rsidR="004B2808" w:rsidRDefault="00000000">
      <w:r>
        <w:t>Il s’agit de parement en plaques/panneaux à base de :</w:t>
      </w:r>
    </w:p>
    <w:p w14:paraId="64353F21" w14:textId="77777777" w:rsidR="004B2808" w:rsidRDefault="00000000">
      <w:pPr>
        <w:pStyle w:val="Author-eListParagraph"/>
        <w:numPr>
          <w:ilvl w:val="0"/>
          <w:numId w:val="29"/>
        </w:numPr>
      </w:pPr>
      <w:r>
        <w:t xml:space="preserve"> plaques de silicates de calcium </w:t>
      </w:r>
    </w:p>
    <w:p w14:paraId="69C3C0CF" w14:textId="77777777" w:rsidR="004B2808" w:rsidRDefault="00000000">
      <w:pPr>
        <w:pStyle w:val="Author-eListParagraph"/>
        <w:numPr>
          <w:ilvl w:val="0"/>
          <w:numId w:val="29"/>
        </w:numPr>
      </w:pPr>
      <w:r>
        <w:t>... </w:t>
      </w:r>
    </w:p>
    <w:p w14:paraId="15C8ADA7" w14:textId="77777777" w:rsidR="004B2808" w:rsidRDefault="00000000">
      <w:pPr>
        <w:pStyle w:val="pheading"/>
      </w:pPr>
      <w:r>
        <w:t>- Localisation</w:t>
      </w:r>
    </w:p>
    <w:p w14:paraId="4EBA9B16" w14:textId="77777777" w:rsidR="004B2808" w:rsidRDefault="00000000">
      <w:r>
        <w:t>cloisons de doublage</w:t>
      </w:r>
    </w:p>
    <w:p w14:paraId="67DC7667" w14:textId="77777777" w:rsidR="004B2808" w:rsidRDefault="00000000">
      <w:r>
        <w:t>habillage / gaines pour les conduites</w:t>
      </w:r>
    </w:p>
    <w:p w14:paraId="0FB73E57" w14:textId="77777777" w:rsidR="004B2808" w:rsidRDefault="00000000">
      <w:pPr>
        <w:pStyle w:val="pheading"/>
      </w:pPr>
      <w:r>
        <w:t>MESURAGE</w:t>
      </w:r>
    </w:p>
    <w:p w14:paraId="03DF38D2" w14:textId="77777777" w:rsidR="004B2808" w:rsidRDefault="00000000">
      <w:r>
        <w:lastRenderedPageBreak/>
        <w:t>Conformément aux indications spécifiques dans le cahier spécial des charges et/ou le métré récapitulatif, le mesurage doit être conçu comme suit :</w:t>
      </w:r>
    </w:p>
    <w:p w14:paraId="25938005" w14:textId="77777777" w:rsidR="004B2808" w:rsidRDefault="00000000">
      <w:pPr>
        <w:pStyle w:val="pheading"/>
      </w:pPr>
      <w:r>
        <w:t>- unité de mesure:</w:t>
      </w:r>
    </w:p>
    <w:p w14:paraId="26A30E58" w14:textId="77777777" w:rsidR="004B2808" w:rsidRDefault="00000000">
      <w:r>
        <w:t>m²</w:t>
      </w:r>
    </w:p>
    <w:p w14:paraId="586A073B" w14:textId="77777777" w:rsidR="004B2808" w:rsidRDefault="00000000">
      <w:pPr>
        <w:pStyle w:val="pheading"/>
      </w:pPr>
      <w:r>
        <w:t>- code de mesurage:</w:t>
      </w:r>
    </w:p>
    <w:p w14:paraId="76A44449" w14:textId="77777777" w:rsidR="004B2808" w:rsidRDefault="00000000">
      <w:r>
        <w:t>ventilé selon l'épaisseur et la composition des cloisons, surface nette de la cloison. Les ouvertures supérieures à 0,50 m² sont déduites.</w:t>
      </w:r>
    </w:p>
    <w:p w14:paraId="16DCAD44" w14:textId="77777777" w:rsidR="004B2808" w:rsidRDefault="00000000">
      <w:r>
        <w:t>Le cahier des charges décrit la composition d'une cloison sans ossature, plaques / matériau d'isolation, avec l'application d'une seule ou d'une double couche de plaques, ….</w:t>
      </w:r>
    </w:p>
    <w:p w14:paraId="2AEFD036" w14:textId="77777777" w:rsidR="004B2808" w:rsidRDefault="00000000">
      <w:pPr>
        <w:pStyle w:val="pheading"/>
      </w:pPr>
      <w:r>
        <w:t>- nature du marché:</w:t>
      </w:r>
    </w:p>
    <w:p w14:paraId="4D137E89" w14:textId="77777777" w:rsidR="004B2808" w:rsidRDefault="00000000">
      <w:r>
        <w:t>QF</w:t>
      </w:r>
    </w:p>
    <w:p w14:paraId="7FEA1C37" w14:textId="77777777" w:rsidR="004B2808" w:rsidRDefault="00000000">
      <w:pPr>
        <w:pStyle w:val="Author-eSectionHeading6Numberless"/>
      </w:pPr>
      <w:bookmarkStart w:id="60" w:name="_Toc220490272"/>
      <w:r>
        <w:t>51.22.2b Cloisons de doublage sans ossature / parement en plaques/panneaux à base minérale autre que plâtre, à base de fibro-ciment CCTB 01.02</w:t>
      </w:r>
      <w:bookmarkEnd w:id="60"/>
    </w:p>
    <w:p w14:paraId="53497100" w14:textId="77777777" w:rsidR="004B2808" w:rsidRDefault="00000000">
      <w:pPr>
        <w:pStyle w:val="Author-eSectionHeading5Numberless"/>
      </w:pPr>
      <w:bookmarkStart w:id="61" w:name="_Toc220490273"/>
      <w:r>
        <w:t>51.22.3 Parement en plaques/panneaux à base de bois CCTB 01.02</w:t>
      </w:r>
      <w:bookmarkEnd w:id="61"/>
    </w:p>
    <w:p w14:paraId="4380F321" w14:textId="77777777" w:rsidR="004B2808" w:rsidRDefault="00000000">
      <w:pPr>
        <w:pStyle w:val="Author-eSectionHeading6Numberless"/>
      </w:pPr>
      <w:bookmarkStart w:id="62" w:name="1328"/>
      <w:bookmarkStart w:id="63" w:name="_Toc220490274"/>
      <w:bookmarkEnd w:id="62"/>
      <w:r>
        <w:t>51.22.3a Cloisons de doublage sans ossature / parement en plaques/panneaux en bois massif CCTB 01.02</w:t>
      </w:r>
      <w:bookmarkEnd w:id="63"/>
    </w:p>
    <w:p w14:paraId="44FC0291" w14:textId="77777777" w:rsidR="004B2808" w:rsidRDefault="00000000">
      <w:pPr>
        <w:pStyle w:val="Author-eSectionHeading6Numberless"/>
      </w:pPr>
      <w:bookmarkStart w:id="64" w:name="_Toc220490275"/>
      <w:r>
        <w:t>51.22.3b Cloisons de doublage sans ossature / parement en plaques/panneaux à base de bois CCTB 01.10</w:t>
      </w:r>
      <w:bookmarkEnd w:id="64"/>
    </w:p>
    <w:p w14:paraId="12FB5CC1" w14:textId="77777777" w:rsidR="004B2808" w:rsidRDefault="00000000">
      <w:pPr>
        <w:pStyle w:val="pheading"/>
      </w:pPr>
      <w:r>
        <w:t>DESCRIPTION</w:t>
      </w:r>
    </w:p>
    <w:p w14:paraId="5022170D" w14:textId="77777777" w:rsidR="004B2808" w:rsidRDefault="00000000">
      <w:pPr>
        <w:pStyle w:val="pheading"/>
      </w:pPr>
      <w:r>
        <w:t>- Définition / Comprend</w:t>
      </w:r>
    </w:p>
    <w:p w14:paraId="46DB3DBE" w14:textId="77777777" w:rsidR="004B2808" w:rsidRDefault="00000000">
      <w:r>
        <w:t>Il s’agit de parement en plaques/panneaux à base de :</w:t>
      </w:r>
    </w:p>
    <w:p w14:paraId="63DC6AB4" w14:textId="77777777" w:rsidR="004B2808" w:rsidRDefault="00000000">
      <w:pPr>
        <w:pStyle w:val="Author-eListParagraph"/>
        <w:numPr>
          <w:ilvl w:val="0"/>
          <w:numId w:val="30"/>
        </w:numPr>
      </w:pPr>
      <w:r>
        <w:t>panneaux de particules</w:t>
      </w:r>
    </w:p>
    <w:p w14:paraId="19F65C93" w14:textId="77777777" w:rsidR="004B2808" w:rsidRDefault="00000000">
      <w:pPr>
        <w:pStyle w:val="Author-eListParagraph"/>
        <w:numPr>
          <w:ilvl w:val="0"/>
          <w:numId w:val="30"/>
        </w:numPr>
      </w:pPr>
      <w:r>
        <w:t>panneaux contreplaqués</w:t>
      </w:r>
    </w:p>
    <w:p w14:paraId="1B4A3D6F" w14:textId="77777777" w:rsidR="004B2808" w:rsidRDefault="00000000">
      <w:pPr>
        <w:pStyle w:val="Author-eListParagraph"/>
        <w:numPr>
          <w:ilvl w:val="0"/>
          <w:numId w:val="30"/>
        </w:numPr>
      </w:pPr>
      <w:r>
        <w:t>panneaux MDF</w:t>
      </w:r>
    </w:p>
    <w:p w14:paraId="0A23907D" w14:textId="77777777" w:rsidR="004B2808" w:rsidRDefault="00000000">
      <w:pPr>
        <w:pStyle w:val="Author-eListParagraph"/>
        <w:numPr>
          <w:ilvl w:val="0"/>
          <w:numId w:val="30"/>
        </w:numPr>
      </w:pPr>
      <w:r>
        <w:t>panneaux OSB</w:t>
      </w:r>
    </w:p>
    <w:p w14:paraId="116AB1A0" w14:textId="77777777" w:rsidR="004B2808" w:rsidRDefault="00000000">
      <w:r>
        <w:br/>
      </w:r>
    </w:p>
    <w:p w14:paraId="452D1307" w14:textId="77777777" w:rsidR="004B2808" w:rsidRDefault="00000000">
      <w:pPr>
        <w:pStyle w:val="pheading"/>
      </w:pPr>
      <w:r>
        <w:t>- Localisation</w:t>
      </w:r>
    </w:p>
    <w:p w14:paraId="6D3FCD74" w14:textId="77777777" w:rsidR="004B2808" w:rsidRDefault="00000000">
      <w:r>
        <w:t>cloisons de doublage</w:t>
      </w:r>
    </w:p>
    <w:p w14:paraId="43B9DA25" w14:textId="77777777" w:rsidR="004B2808" w:rsidRDefault="00000000">
      <w:r>
        <w:t>habillage / gaines pour les conduites</w:t>
      </w:r>
    </w:p>
    <w:p w14:paraId="4BF292C9" w14:textId="77777777" w:rsidR="004B2808" w:rsidRDefault="00000000">
      <w:pPr>
        <w:pStyle w:val="pheading"/>
      </w:pPr>
      <w:r>
        <w:t>MATÉRIAUX</w:t>
      </w:r>
    </w:p>
    <w:p w14:paraId="33F5FE97" w14:textId="77777777" w:rsidR="004B2808" w:rsidRDefault="00000000">
      <w:pPr>
        <w:pStyle w:val="pheading"/>
      </w:pPr>
      <w:r>
        <w:t>- Caractéristiques générales</w:t>
      </w:r>
    </w:p>
    <w:p w14:paraId="7F34AAF6" w14:textId="77777777" w:rsidR="004B2808" w:rsidRDefault="00000000">
      <w:r>
        <w:t xml:space="preserve">Il s'agit de cloisons intérieures mobiles, constituées d'une ossature en </w:t>
      </w:r>
      <w:r>
        <w:rPr>
          <w:rStyle w:val="optioncarChar"/>
        </w:rPr>
        <w:t xml:space="preserve">métal </w:t>
      </w:r>
      <w:r>
        <w:t>(par défaut) </w:t>
      </w:r>
      <w:r>
        <w:rPr>
          <w:rStyle w:val="optioncarChar"/>
        </w:rPr>
        <w:t>/ bois/ ***</w:t>
      </w:r>
      <w:r>
        <w:t xml:space="preserve"> destinée à être revêtue et d'un mécanisme de coulisse adapté au poids et à la fonction des portes. Les cloisons intérieures mobiles parfaitement finies satisfont aux exigences en matière de sollicitations, d'acoustique et de résistance au feu. Les panneaux à base de bois utilisés pour les cloisons mobiles sont choisis en tenant compte des classes de service.  Cette analyse est reprise dans le [Buildwise Magazine Contact n°23 (2009/3)].</w:t>
      </w:r>
    </w:p>
    <w:p w14:paraId="228FA3D8" w14:textId="77777777" w:rsidR="004B2808" w:rsidRDefault="00000000">
      <w:r>
        <w:t xml:space="preserve">Pour les panneaux de particules </w:t>
      </w:r>
      <w:r>
        <w:rPr>
          <w:rStyle w:val="optioncarChar"/>
        </w:rPr>
        <w:t>P2 </w:t>
      </w:r>
      <w:r>
        <w:t xml:space="preserve">(par défaut) </w:t>
      </w:r>
      <w:r>
        <w:rPr>
          <w:rStyle w:val="optioncarChar"/>
        </w:rPr>
        <w:t>/ P3 / P5 / P7 / ***</w:t>
      </w:r>
      <w:r>
        <w:t xml:space="preserve"> selon la [NBN EN 312] (la classe P1 est utilisée pour des propriétés mécaniques élevées et pour une classe de service 2).</w:t>
      </w:r>
    </w:p>
    <w:p w14:paraId="7B8D4E56" w14:textId="77777777" w:rsidR="004B2808" w:rsidRDefault="00000000">
      <w:r>
        <w:t>Pour les panneaux contreplaqués, ils sont conformes à la [NBN EN 636+A1] pour les différentes classes de service.</w:t>
      </w:r>
    </w:p>
    <w:p w14:paraId="77033445" w14:textId="77777777" w:rsidR="004B2808" w:rsidRDefault="00000000">
      <w:r>
        <w:lastRenderedPageBreak/>
        <w:t xml:space="preserve">Pour des panneaux en MDF, ils sont classés </w:t>
      </w:r>
      <w:r>
        <w:rPr>
          <w:rStyle w:val="optioncarChar"/>
        </w:rPr>
        <w:t>MDF</w:t>
      </w:r>
      <w:r>
        <w:t>(par défaut)</w:t>
      </w:r>
      <w:r>
        <w:rPr>
          <w:rStyle w:val="optioncarChar"/>
        </w:rPr>
        <w:t> / MDFLA / MDFH / MDFHLS / ***</w:t>
      </w:r>
      <w:r>
        <w:t xml:space="preserve"> selon la norme [NBN EN 622-5].</w:t>
      </w:r>
    </w:p>
    <w:p w14:paraId="50F94529" w14:textId="77777777" w:rsidR="004B2808" w:rsidRDefault="00000000">
      <w:r>
        <w:t>Pour les panneaux OSB, ils sont classés :</w:t>
      </w:r>
    </w:p>
    <w:p w14:paraId="05DF06BF" w14:textId="77777777" w:rsidR="004B2808" w:rsidRDefault="00000000">
      <w:pPr>
        <w:pStyle w:val="Author-eListParagraph"/>
        <w:numPr>
          <w:ilvl w:val="0"/>
          <w:numId w:val="31"/>
        </w:numPr>
      </w:pPr>
      <w:r>
        <w:t>OSB1 (selon [NBN EN 300]) pour les classes de service 1</w:t>
      </w:r>
    </w:p>
    <w:p w14:paraId="5812807D" w14:textId="77777777" w:rsidR="004B2808" w:rsidRDefault="00000000">
      <w:pPr>
        <w:pStyle w:val="Author-eListParagraph"/>
        <w:numPr>
          <w:ilvl w:val="0"/>
          <w:numId w:val="31"/>
        </w:numPr>
      </w:pPr>
      <w:r>
        <w:t>OSB3 (selon [NBN EN 300]) pour les classes de service 2</w:t>
      </w:r>
    </w:p>
    <w:p w14:paraId="58D8109A" w14:textId="77777777" w:rsidR="004B2808" w:rsidRDefault="00000000">
      <w:r>
        <w:t>L'entrepreneur soumet au préalable à l'auteur de projet une documentation technique reprenant toutes les caractéristiques des panneaux.  Les panneaux et bois de menuiserie intérieure satisfont aux exigences de la [STS 04.2]</w:t>
      </w:r>
    </w:p>
    <w:p w14:paraId="7401D1F0" w14:textId="77777777" w:rsidR="004B2808" w:rsidRDefault="00000000">
      <w:pPr>
        <w:pStyle w:val="pheading"/>
      </w:pPr>
      <w:r>
        <w:t>MESURAGE</w:t>
      </w:r>
    </w:p>
    <w:p w14:paraId="04DFD6E8" w14:textId="77777777" w:rsidR="004B2808" w:rsidRDefault="00000000">
      <w:r>
        <w:t>Conformément aux indications spécifiques dans le cahier spécial des charges et/ou le métré récapitulatif, le mesurage doit être conçu comme suit :</w:t>
      </w:r>
    </w:p>
    <w:p w14:paraId="1A44395B" w14:textId="77777777" w:rsidR="004B2808" w:rsidRDefault="00000000">
      <w:pPr>
        <w:pStyle w:val="pheading"/>
      </w:pPr>
      <w:r>
        <w:t>- unité de mesure:</w:t>
      </w:r>
    </w:p>
    <w:p w14:paraId="46591EF1" w14:textId="77777777" w:rsidR="004B2808" w:rsidRDefault="00000000">
      <w:r>
        <w:t>m²</w:t>
      </w:r>
    </w:p>
    <w:p w14:paraId="6404D6F2" w14:textId="77777777" w:rsidR="004B2808" w:rsidRDefault="00000000">
      <w:pPr>
        <w:pStyle w:val="pheading"/>
      </w:pPr>
      <w:r>
        <w:t>- code de mesurage:</w:t>
      </w:r>
    </w:p>
    <w:p w14:paraId="28B6E220" w14:textId="77777777" w:rsidR="004B2808" w:rsidRDefault="00000000">
      <w:r>
        <w:t>ventilé selon l'épaisseur et la composition des cloisons, surface nette de la cloison. Les ouvertures supérieures à 0,50 m² sont déduites.</w:t>
      </w:r>
    </w:p>
    <w:p w14:paraId="0B0DA1CC" w14:textId="77777777" w:rsidR="004B2808" w:rsidRDefault="00000000">
      <w:r>
        <w:t>Le cahier des charges décrit la composition d'une cloison sans ossature, plaques / matériau d'isolation, avec l'application d'une seule ou d'une double couche de plaques, ….</w:t>
      </w:r>
    </w:p>
    <w:p w14:paraId="2504BD1E" w14:textId="77777777" w:rsidR="004B2808" w:rsidRDefault="00000000">
      <w:pPr>
        <w:pStyle w:val="pheading"/>
      </w:pPr>
      <w:r>
        <w:t>- nature du marché:</w:t>
      </w:r>
    </w:p>
    <w:p w14:paraId="41D7EF9B" w14:textId="77777777" w:rsidR="004B2808" w:rsidRDefault="00000000">
      <w:r>
        <w:t>QF</w:t>
      </w:r>
    </w:p>
    <w:p w14:paraId="140FE0A2" w14:textId="77777777" w:rsidR="004B2808" w:rsidRDefault="00000000">
      <w:pPr>
        <w:pStyle w:val="Author-eSectionHeading5Numberless"/>
      </w:pPr>
      <w:bookmarkStart w:id="65" w:name="_Toc220490276"/>
      <w:r>
        <w:t>51.22.4 Parement en plaques/panneaux métalliques CCTB 01.02</w:t>
      </w:r>
      <w:bookmarkEnd w:id="65"/>
    </w:p>
    <w:p w14:paraId="402959BA" w14:textId="77777777" w:rsidR="004B2808" w:rsidRDefault="00000000">
      <w:pPr>
        <w:pStyle w:val="Author-eSectionHeading6Numberless"/>
      </w:pPr>
      <w:bookmarkStart w:id="66" w:name="_Toc220490277"/>
      <w:r>
        <w:t>51.22.4a Cloisons de doublage sans ossature / parement en plaques/panneaux métalliques/panneaux en acier CCTB 01.02</w:t>
      </w:r>
      <w:bookmarkEnd w:id="66"/>
    </w:p>
    <w:p w14:paraId="0D641B3A" w14:textId="77777777" w:rsidR="004B2808" w:rsidRDefault="00000000">
      <w:pPr>
        <w:pStyle w:val="Author-eSectionHeading6Numberless"/>
      </w:pPr>
      <w:bookmarkStart w:id="67" w:name="_Toc220490278"/>
      <w:r>
        <w:t>51.22.4b Cloisons de doublage sans ossature / parement en plaques/panneaux métalliques/panneaux en aluminium CCTB 01.02</w:t>
      </w:r>
      <w:bookmarkEnd w:id="67"/>
    </w:p>
    <w:p w14:paraId="54752DB3" w14:textId="77777777" w:rsidR="004B2808" w:rsidRDefault="00000000">
      <w:pPr>
        <w:pStyle w:val="pheading"/>
      </w:pPr>
      <w:r>
        <w:t>MESURAGE</w:t>
      </w:r>
    </w:p>
    <w:p w14:paraId="2E671D9F" w14:textId="77777777" w:rsidR="004B2808" w:rsidRDefault="00000000">
      <w:r>
        <w:t>Conformément aux indications spécifiques dans le cahier spécial des charges et/ou le métré récapitulatif, le mesurage doit être conçu comme suit :</w:t>
      </w:r>
    </w:p>
    <w:p w14:paraId="44E81E53" w14:textId="77777777" w:rsidR="004B2808" w:rsidRDefault="00000000">
      <w:pPr>
        <w:pStyle w:val="pheading"/>
      </w:pPr>
      <w:r>
        <w:t>- unité de mesure:</w:t>
      </w:r>
    </w:p>
    <w:p w14:paraId="17E02D86" w14:textId="77777777" w:rsidR="004B2808" w:rsidRDefault="00000000">
      <w:r>
        <w:t>m²</w:t>
      </w:r>
    </w:p>
    <w:p w14:paraId="0E3F1937" w14:textId="77777777" w:rsidR="004B2808" w:rsidRDefault="00000000">
      <w:pPr>
        <w:pStyle w:val="pheading"/>
      </w:pPr>
      <w:r>
        <w:t>- code de mesurage:</w:t>
      </w:r>
    </w:p>
    <w:p w14:paraId="25B71AEA" w14:textId="77777777" w:rsidR="004B2808" w:rsidRDefault="00000000">
      <w:r>
        <w:t>ventilé selon l'épaisseur et la composition des cloisons, surface nette de la cloison. Les ouvertures supérieures à 0,50 m2 sont déduites.</w:t>
      </w:r>
    </w:p>
    <w:p w14:paraId="7C9044DE" w14:textId="77777777" w:rsidR="004B2808" w:rsidRDefault="00000000">
      <w:r>
        <w:t>Le cahier des charges décrit la composition d'une cloison sans ossature, plaques / matériau d'isolation, avec l'application d'une seule ou d'une double couche de plaques, ….</w:t>
      </w:r>
    </w:p>
    <w:p w14:paraId="45AEEBE3" w14:textId="77777777" w:rsidR="004B2808" w:rsidRDefault="00000000">
      <w:pPr>
        <w:pStyle w:val="pheading"/>
      </w:pPr>
      <w:r>
        <w:t>- nature du marché:</w:t>
      </w:r>
    </w:p>
    <w:p w14:paraId="629C4B63" w14:textId="77777777" w:rsidR="004B2808" w:rsidRDefault="00000000">
      <w:r>
        <w:t>QF</w:t>
      </w:r>
    </w:p>
    <w:p w14:paraId="210512B2" w14:textId="77777777" w:rsidR="004B2808" w:rsidRDefault="00000000">
      <w:pPr>
        <w:pStyle w:val="Author-eSectionHeading6Numberless"/>
      </w:pPr>
      <w:bookmarkStart w:id="68" w:name="_Toc220490279"/>
      <w:r>
        <w:t>51.22.4c Cloisons de doublage sans ossature / parement en plaques/panneaux métalliques/panneaux en cuivre CCTB 01.02</w:t>
      </w:r>
      <w:bookmarkEnd w:id="68"/>
    </w:p>
    <w:p w14:paraId="5AAB088F" w14:textId="77777777" w:rsidR="004B2808" w:rsidRDefault="00000000">
      <w:pPr>
        <w:pStyle w:val="Author-eSectionHeading5Numberless"/>
      </w:pPr>
      <w:bookmarkStart w:id="69" w:name="_Toc220490280"/>
      <w:r>
        <w:t>51.22.5 Parement en plaques/panneaux synthétiques ou composites CCTB 01.02</w:t>
      </w:r>
      <w:bookmarkEnd w:id="69"/>
    </w:p>
    <w:p w14:paraId="6E74443E" w14:textId="77777777" w:rsidR="004B2808" w:rsidRDefault="00000000">
      <w:pPr>
        <w:pStyle w:val="Author-eSectionHeading6Numberless"/>
      </w:pPr>
      <w:bookmarkStart w:id="70" w:name="_Toc220490281"/>
      <w:r>
        <w:lastRenderedPageBreak/>
        <w:t>51.22.5a Cloisons de doublage sans ossature / parement en plaques/panneaux synthétiques ou composites CCTB 01.02</w:t>
      </w:r>
      <w:bookmarkEnd w:id="70"/>
    </w:p>
    <w:p w14:paraId="7D6AE6BF" w14:textId="77777777" w:rsidR="004B2808" w:rsidRDefault="00000000">
      <w:pPr>
        <w:pStyle w:val="Author-eSectionHeading5Numberless"/>
      </w:pPr>
      <w:bookmarkStart w:id="71" w:name="_Toc220490282"/>
      <w:r>
        <w:t>51.22.6 Parement en plaques/panneaux à base de verre CCTB 01.02</w:t>
      </w:r>
      <w:bookmarkEnd w:id="71"/>
    </w:p>
    <w:p w14:paraId="092320B4" w14:textId="77777777" w:rsidR="004B2808" w:rsidRDefault="00000000">
      <w:pPr>
        <w:pStyle w:val="Author-eSectionHeading6Numberless"/>
      </w:pPr>
      <w:bookmarkStart w:id="72" w:name="_Toc220490283"/>
      <w:r>
        <w:t>51.22.6a Cloisons de doublage sans ossature / parement en plaques/panneaux à base de verre CCTB 01.10</w:t>
      </w:r>
      <w:bookmarkEnd w:id="72"/>
    </w:p>
    <w:p w14:paraId="23AA61D9" w14:textId="77777777" w:rsidR="004B2808" w:rsidRDefault="00000000">
      <w:pPr>
        <w:pStyle w:val="pheading"/>
      </w:pPr>
      <w:r>
        <w:t>MATÉRIAUX</w:t>
      </w:r>
    </w:p>
    <w:p w14:paraId="5A788E1C" w14:textId="77777777" w:rsidR="004B2808" w:rsidRDefault="00000000">
      <w:pPr>
        <w:pStyle w:val="pheading"/>
      </w:pPr>
      <w:r>
        <w:t>- Caractéristiques générales</w:t>
      </w:r>
    </w:p>
    <w:p w14:paraId="5DF09E90" w14:textId="77777777" w:rsidR="004B2808" w:rsidRDefault="00000000">
      <w:r>
        <w:t xml:space="preserve">Les parements sont conformes à la norme [NBN S 23-002].  La résistance aux chocs sera spécifiée : </w:t>
      </w:r>
      <w:r>
        <w:rPr>
          <w:rStyle w:val="optioncarChar"/>
        </w:rPr>
        <w:t xml:space="preserve">1A1 </w:t>
      </w:r>
      <w:r>
        <w:t>(par défaut) </w:t>
      </w:r>
      <w:r>
        <w:rPr>
          <w:rStyle w:val="optioncarChar"/>
        </w:rPr>
        <w:t>/ 1B1 / 1C1 / *** </w:t>
      </w:r>
      <w:r>
        <w:t>conformément à la norme [NBN EN 12600] et [NBN S 23-002].</w:t>
      </w:r>
    </w:p>
    <w:p w14:paraId="72FFE4B5" w14:textId="77777777" w:rsidR="004B2808" w:rsidRDefault="00000000">
      <w:pPr>
        <w:pStyle w:val="pheading"/>
      </w:pPr>
      <w:r>
        <w:t>MESURAGE</w:t>
      </w:r>
    </w:p>
    <w:p w14:paraId="5DF5F142" w14:textId="77777777" w:rsidR="004B2808" w:rsidRDefault="00000000">
      <w:r>
        <w:t>Conformément aux indications spécifiques dans le cahier spécial des charges et/ou le métré récapitulatif, le mesurage doit être conçu comme suit :</w:t>
      </w:r>
    </w:p>
    <w:p w14:paraId="3F355468" w14:textId="77777777" w:rsidR="004B2808" w:rsidRDefault="00000000">
      <w:pPr>
        <w:pStyle w:val="pheading"/>
      </w:pPr>
      <w:r>
        <w:t>- unité de mesure:</w:t>
      </w:r>
    </w:p>
    <w:p w14:paraId="7BF3F50A" w14:textId="77777777" w:rsidR="004B2808" w:rsidRDefault="00000000">
      <w:r>
        <w:t>m²</w:t>
      </w:r>
    </w:p>
    <w:p w14:paraId="590C89FA" w14:textId="77777777" w:rsidR="004B2808" w:rsidRDefault="00000000">
      <w:pPr>
        <w:pStyle w:val="pheading"/>
      </w:pPr>
      <w:r>
        <w:t>- code de mesurage:</w:t>
      </w:r>
    </w:p>
    <w:p w14:paraId="511613B6" w14:textId="77777777" w:rsidR="004B2808" w:rsidRDefault="00000000">
      <w:r>
        <w:t>ventilé selon l'épaisseur et la composition des cloisons, surface nette de la cloison. Les ouvertures supérieures à 0,50 m² sont déduites.</w:t>
      </w:r>
    </w:p>
    <w:p w14:paraId="56FF096E" w14:textId="77777777" w:rsidR="004B2808" w:rsidRDefault="00000000">
      <w:r>
        <w:t>Le cahier des charges décrit la composition d'une cloison sans ossature, plaques / matériau d'isolation, avec l'application d'une seule ou d'une double couche de plaques, ….</w:t>
      </w:r>
    </w:p>
    <w:p w14:paraId="11199269" w14:textId="77777777" w:rsidR="004B2808" w:rsidRDefault="00000000">
      <w:pPr>
        <w:pStyle w:val="pheading"/>
      </w:pPr>
      <w:r>
        <w:t>- nature du marché:</w:t>
      </w:r>
    </w:p>
    <w:p w14:paraId="1D128AA2" w14:textId="77777777" w:rsidR="004B2808" w:rsidRDefault="00000000">
      <w:r>
        <w:t>QF</w:t>
      </w:r>
    </w:p>
    <w:p w14:paraId="6B5D1D13" w14:textId="77777777" w:rsidR="004B2808" w:rsidRDefault="00000000">
      <w:pPr>
        <w:pStyle w:val="Author-eSectionHeading5Numberless"/>
      </w:pPr>
      <w:bookmarkStart w:id="73" w:name="_Toc220490284"/>
      <w:r>
        <w:t>51.22.7 Parement en textile CCTB 01.02</w:t>
      </w:r>
      <w:bookmarkEnd w:id="73"/>
    </w:p>
    <w:p w14:paraId="6E3152E4" w14:textId="77777777" w:rsidR="004B2808" w:rsidRDefault="00000000">
      <w:pPr>
        <w:pStyle w:val="Author-eSectionHeading6Numberless"/>
      </w:pPr>
      <w:bookmarkStart w:id="74" w:name="_Toc220490285"/>
      <w:r>
        <w:t>51.22.7a Cloisons de doublage sans ossature / parement en textile CCTB 01.02</w:t>
      </w:r>
      <w:bookmarkEnd w:id="74"/>
    </w:p>
    <w:p w14:paraId="7545F1BB" w14:textId="77777777" w:rsidR="004B2808" w:rsidRDefault="00000000">
      <w:pPr>
        <w:pStyle w:val="Author-eSectionHeading5Numberless"/>
      </w:pPr>
      <w:bookmarkStart w:id="75" w:name="_Toc220490286"/>
      <w:r>
        <w:t>51.22.8 Parement mixte CCTB 01.02</w:t>
      </w:r>
      <w:bookmarkEnd w:id="75"/>
    </w:p>
    <w:p w14:paraId="17578B59" w14:textId="77777777" w:rsidR="004B2808" w:rsidRDefault="00000000">
      <w:pPr>
        <w:pStyle w:val="Author-eSectionHeading6Numberless"/>
      </w:pPr>
      <w:bookmarkStart w:id="76" w:name="_Toc220490287"/>
      <w:r>
        <w:t>51.22.8a Cloisons de doublage sans ossature / parement mixte CCTB 01.02</w:t>
      </w:r>
      <w:bookmarkEnd w:id="76"/>
    </w:p>
    <w:p w14:paraId="148984EA" w14:textId="77777777" w:rsidR="004B2808" w:rsidRDefault="00000000">
      <w:pPr>
        <w:pStyle w:val="Author-eSectionHeading3Numberless"/>
      </w:pPr>
      <w:bookmarkStart w:id="77" w:name="_Toc220490288"/>
      <w:r>
        <w:t>51.3 Cloisons à système démontables et amovibles (particulières) CCTB 01.02</w:t>
      </w:r>
      <w:bookmarkEnd w:id="77"/>
    </w:p>
    <w:p w14:paraId="7ABCC598" w14:textId="77777777" w:rsidR="004B2808" w:rsidRDefault="00000000">
      <w:pPr>
        <w:pStyle w:val="Author-eSectionHeading4Numberless"/>
      </w:pPr>
      <w:bookmarkStart w:id="78" w:name="_Toc220490289"/>
      <w:r>
        <w:t>51.31 Cloisons à système monobloc (dont cloisons frigorifiques) CCTB 01.11</w:t>
      </w:r>
      <w:bookmarkEnd w:id="78"/>
    </w:p>
    <w:p w14:paraId="36F54816" w14:textId="77777777" w:rsidR="004B2808" w:rsidRDefault="00000000">
      <w:pPr>
        <w:pStyle w:val="pheading"/>
      </w:pPr>
      <w:bookmarkStart w:id="79" w:name="1348"/>
      <w:bookmarkEnd w:id="79"/>
      <w:r>
        <w:t>DESCRIPTION</w:t>
      </w:r>
    </w:p>
    <w:p w14:paraId="7ADB552C" w14:textId="77777777" w:rsidR="004B2808" w:rsidRDefault="00000000">
      <w:pPr>
        <w:pStyle w:val="pheading"/>
      </w:pPr>
      <w:r>
        <w:t>- Définition / Comprend</w:t>
      </w:r>
    </w:p>
    <w:p w14:paraId="4B5F6960" w14:textId="77777777" w:rsidR="004B2808" w:rsidRDefault="00000000">
      <w:pPr>
        <w:jc w:val="both"/>
      </w:pPr>
      <w:r>
        <w:t>Le travail comprend notamment :</w:t>
      </w:r>
    </w:p>
    <w:p w14:paraId="265A7366" w14:textId="77777777" w:rsidR="004B2808" w:rsidRDefault="00000000">
      <w:pPr>
        <w:pStyle w:val="Author-eListParagraph"/>
        <w:numPr>
          <w:ilvl w:val="0"/>
          <w:numId w:val="32"/>
        </w:numPr>
        <w:jc w:val="both"/>
      </w:pPr>
      <w:r>
        <w:t>Toutes précautions en matière de sécurité conformément au 01.4 Plans de sécurité et de santé ;</w:t>
      </w:r>
    </w:p>
    <w:p w14:paraId="7709DCA1" w14:textId="77777777" w:rsidR="004B2808" w:rsidRDefault="00000000">
      <w:pPr>
        <w:pStyle w:val="Author-eListParagraph"/>
        <w:numPr>
          <w:ilvl w:val="0"/>
          <w:numId w:val="32"/>
        </w:numPr>
        <w:jc w:val="both"/>
      </w:pPr>
      <w:r>
        <w:t>L’établissement des plans d’exécution ;</w:t>
      </w:r>
    </w:p>
    <w:p w14:paraId="5061FEC1" w14:textId="77777777" w:rsidR="004B2808" w:rsidRDefault="00000000">
      <w:pPr>
        <w:pStyle w:val="Author-eListParagraph"/>
        <w:numPr>
          <w:ilvl w:val="0"/>
          <w:numId w:val="32"/>
        </w:numPr>
      </w:pPr>
      <w:r>
        <w:rPr>
          <w:color w:val="000000"/>
        </w:rPr>
        <w:t>Établissement de la note de calcul déterminant l’épaisseur des vitrages ;</w:t>
      </w:r>
    </w:p>
    <w:p w14:paraId="5A770C1A" w14:textId="77777777" w:rsidR="004B2808" w:rsidRDefault="00000000">
      <w:pPr>
        <w:pStyle w:val="Author-eListParagraph"/>
        <w:numPr>
          <w:ilvl w:val="0"/>
          <w:numId w:val="32"/>
        </w:numPr>
        <w:jc w:val="both"/>
      </w:pPr>
      <w:r>
        <w:t>Vérification de la tolérance d’exécution de matériaux adjacents ;</w:t>
      </w:r>
    </w:p>
    <w:p w14:paraId="2418210E" w14:textId="77777777" w:rsidR="004B2808" w:rsidRDefault="00000000">
      <w:pPr>
        <w:pStyle w:val="Author-eListParagraph"/>
        <w:numPr>
          <w:ilvl w:val="0"/>
          <w:numId w:val="32"/>
        </w:numPr>
        <w:jc w:val="both"/>
      </w:pPr>
      <w:r>
        <w:lastRenderedPageBreak/>
        <w:t>L'évacuation et la gestion des déchets générés par les travaux de pose des cloisons conformément à la section 07 Déchets, matériaux et éléments réemployables fait partie du prix unitaire des articles suivants.</w:t>
      </w:r>
    </w:p>
    <w:p w14:paraId="4CB8E73C" w14:textId="77777777" w:rsidR="004B2808" w:rsidRDefault="00000000">
      <w:pPr>
        <w:pStyle w:val="Author-eSectionHeading5Numberless"/>
      </w:pPr>
      <w:bookmarkStart w:id="80" w:name="_Toc220490290"/>
      <w:r>
        <w:t>51.31.1 Cloisons à système monobloc (dont cloisons frigorifiques) CCTB 01.02</w:t>
      </w:r>
      <w:bookmarkEnd w:id="80"/>
    </w:p>
    <w:p w14:paraId="6C8BB7C5" w14:textId="77777777" w:rsidR="004B2808" w:rsidRDefault="00000000">
      <w:pPr>
        <w:pStyle w:val="Author-eSectionHeading6Numberless"/>
      </w:pPr>
      <w:bookmarkStart w:id="81" w:name="_Toc220490291"/>
      <w:r>
        <w:t>51.31.1a Cloisons démontables et amovibles / panneaux pleins CCTB 01.11</w:t>
      </w:r>
      <w:bookmarkEnd w:id="81"/>
    </w:p>
    <w:p w14:paraId="4715EBA4" w14:textId="77777777" w:rsidR="004B2808" w:rsidRDefault="00000000">
      <w:pPr>
        <w:pStyle w:val="pheading"/>
      </w:pPr>
      <w:bookmarkStart w:id="82" w:name="1152"/>
      <w:bookmarkEnd w:id="82"/>
      <w:r>
        <w:t>DESCRIPTION</w:t>
      </w:r>
    </w:p>
    <w:p w14:paraId="2EFDBBC9" w14:textId="77777777" w:rsidR="004B2808" w:rsidRDefault="00000000">
      <w:pPr>
        <w:pStyle w:val="pheading"/>
      </w:pPr>
      <w:r>
        <w:t>- Définition / Comprend</w:t>
      </w:r>
    </w:p>
    <w:p w14:paraId="5719D341" w14:textId="77777777" w:rsidR="004B2808" w:rsidRDefault="00000000">
      <w:pPr>
        <w:jc w:val="both"/>
      </w:pPr>
      <w:r>
        <w:t>Il s’agit de la fourniture et la pose de cloisons démontables et amovibles à panneaux pleins.</w:t>
      </w:r>
    </w:p>
    <w:p w14:paraId="14CA3829" w14:textId="77777777" w:rsidR="004B2808" w:rsidRDefault="00000000">
      <w:pPr>
        <w:jc w:val="both"/>
      </w:pPr>
      <w:r>
        <w:t>Le travail comprend notamment :</w:t>
      </w:r>
    </w:p>
    <w:p w14:paraId="2CD944AD" w14:textId="77777777" w:rsidR="004B2808" w:rsidRDefault="00000000">
      <w:pPr>
        <w:pStyle w:val="Author-eListParagraph"/>
        <w:numPr>
          <w:ilvl w:val="0"/>
          <w:numId w:val="33"/>
        </w:numPr>
        <w:jc w:val="both"/>
      </w:pPr>
      <w:r>
        <w:t xml:space="preserve">Intégration des panneaux vitrés suivant </w:t>
      </w:r>
      <w:hyperlink w:anchor="1151" w:history="1">
        <w:r w:rsidR="004B2808">
          <w:rPr>
            <w:color w:val="0000EE"/>
          </w:rPr>
          <w:t>51.31.1b Cloisons démontables et amovibles / panneaux vitrés</w:t>
        </w:r>
      </w:hyperlink>
      <w:r>
        <w:t xml:space="preserve"> : </w:t>
      </w:r>
      <w:r>
        <w:rPr>
          <w:rStyle w:val="optioncarChar"/>
        </w:rPr>
        <w:t>oui / non ;</w:t>
      </w:r>
    </w:p>
    <w:p w14:paraId="262C7B23" w14:textId="77777777" w:rsidR="004B2808" w:rsidRDefault="00000000">
      <w:pPr>
        <w:pStyle w:val="Author-eListParagraph"/>
        <w:numPr>
          <w:ilvl w:val="0"/>
          <w:numId w:val="33"/>
        </w:numPr>
        <w:jc w:val="both"/>
      </w:pPr>
      <w:r>
        <w:t>Intégration des portes ;</w:t>
      </w:r>
    </w:p>
    <w:p w14:paraId="137CC2D6" w14:textId="77777777" w:rsidR="004B2808" w:rsidRDefault="00000000">
      <w:pPr>
        <w:pStyle w:val="Author-eListParagraph"/>
        <w:numPr>
          <w:ilvl w:val="0"/>
          <w:numId w:val="33"/>
        </w:numPr>
        <w:jc w:val="both"/>
      </w:pPr>
      <w:r>
        <w:t>Travaux de ragréages des surfaces à l’identique.</w:t>
      </w:r>
    </w:p>
    <w:p w14:paraId="344B4C68" w14:textId="77777777" w:rsidR="004B2808" w:rsidRDefault="00000000">
      <w:pPr>
        <w:pStyle w:val="pheading"/>
      </w:pPr>
      <w:r>
        <w:t>MATÉRIAUX</w:t>
      </w:r>
    </w:p>
    <w:p w14:paraId="47BF0241" w14:textId="77777777" w:rsidR="004B2808" w:rsidRDefault="00000000">
      <w:pPr>
        <w:pStyle w:val="pheading"/>
      </w:pPr>
      <w:r>
        <w:t>- Caractéristiques générales</w:t>
      </w:r>
    </w:p>
    <w:p w14:paraId="05C6549A" w14:textId="77777777" w:rsidR="004B2808" w:rsidRDefault="00000000">
      <w:pPr>
        <w:jc w:val="both"/>
      </w:pPr>
      <w:r>
        <w:t xml:space="preserve">Résistance au feu : </w:t>
      </w:r>
      <w:r>
        <w:rPr>
          <w:rStyle w:val="optioncarChar"/>
        </w:rPr>
        <w:t>EI0 / EI30 / EI60</w:t>
      </w:r>
    </w:p>
    <w:p w14:paraId="24A85B62" w14:textId="77777777" w:rsidR="004B2808" w:rsidRDefault="00000000">
      <w:pPr>
        <w:jc w:val="both"/>
      </w:pPr>
      <w:r>
        <w:t xml:space="preserve">Réaction au feu : </w:t>
      </w:r>
      <w:r>
        <w:rPr>
          <w:rStyle w:val="optioncarChar"/>
        </w:rPr>
        <w:t>A2-s1, d0</w:t>
      </w:r>
      <w:r>
        <w:t> (par défaut)</w:t>
      </w:r>
      <w:r>
        <w:rPr>
          <w:rStyle w:val="optioncarChar"/>
        </w:rPr>
        <w:t> / B-s1, d0 / ***</w:t>
      </w:r>
    </w:p>
    <w:p w14:paraId="69C6845C" w14:textId="77777777" w:rsidR="004B2808" w:rsidRDefault="00000000">
      <w:pPr>
        <w:jc w:val="both"/>
      </w:pPr>
      <w:r>
        <w:t>Caractéristique acoustique : valeur R</w:t>
      </w:r>
      <w:r>
        <w:rPr>
          <w:vertAlign w:val="subscript"/>
        </w:rPr>
        <w:t>w</w:t>
      </w:r>
      <w:r>
        <w:t xml:space="preserve"> : </w:t>
      </w:r>
      <w:r>
        <w:rPr>
          <w:rStyle w:val="optioncarChar"/>
        </w:rPr>
        <w:t>***</w:t>
      </w:r>
      <w:r>
        <w:t xml:space="preserve"> dB</w:t>
      </w:r>
    </w:p>
    <w:p w14:paraId="7FD09B61" w14:textId="77777777" w:rsidR="004B2808" w:rsidRDefault="00000000">
      <w:pPr>
        <w:jc w:val="both"/>
      </w:pPr>
      <w:r>
        <w:t xml:space="preserve">Catégorie d’usage suivant [NBN EN 1991 série] : </w:t>
      </w:r>
      <w:r>
        <w:rPr>
          <w:rStyle w:val="optioncarChar"/>
        </w:rPr>
        <w:t>A / B / C / D</w:t>
      </w:r>
    </w:p>
    <w:p w14:paraId="00E5CFE7" w14:textId="77777777" w:rsidR="004B2808" w:rsidRDefault="00000000">
      <w:pPr>
        <w:jc w:val="both"/>
      </w:pPr>
      <w:r>
        <w:t xml:space="preserve">Épaisseur : </w:t>
      </w:r>
      <w:r>
        <w:rPr>
          <w:rStyle w:val="optioncarChar"/>
        </w:rPr>
        <w:t xml:space="preserve">100 </w:t>
      </w:r>
      <w:r>
        <w:t xml:space="preserve">(par défaut) </w:t>
      </w:r>
      <w:r>
        <w:rPr>
          <w:rStyle w:val="optioncarChar"/>
        </w:rPr>
        <w:t>/ 90 / ***</w:t>
      </w:r>
      <w:r>
        <w:t xml:space="preserve"> mm</w:t>
      </w:r>
    </w:p>
    <w:p w14:paraId="0B65878B" w14:textId="77777777" w:rsidR="004B2808" w:rsidRDefault="00000000">
      <w:pPr>
        <w:jc w:val="both"/>
      </w:pPr>
      <w:r>
        <w:t xml:space="preserve">Modulation : </w:t>
      </w:r>
      <w:r>
        <w:rPr>
          <w:rStyle w:val="optioncarChar"/>
        </w:rPr>
        <w:t xml:space="preserve">1200 </w:t>
      </w:r>
      <w:r>
        <w:t>(par défaut)</w:t>
      </w:r>
      <w:r>
        <w:rPr>
          <w:rStyle w:val="optioncarChar"/>
        </w:rPr>
        <w:t xml:space="preserve"> / 600 / 750 / 900 / 1000 / ***</w:t>
      </w:r>
      <w:r>
        <w:t xml:space="preserve"> mm</w:t>
      </w:r>
    </w:p>
    <w:p w14:paraId="510DA2EF" w14:textId="77777777" w:rsidR="004B2808" w:rsidRDefault="00000000">
      <w:pPr>
        <w:jc w:val="both"/>
      </w:pPr>
      <w:r>
        <w:t xml:space="preserve">Hauteur : </w:t>
      </w:r>
      <w:r>
        <w:rPr>
          <w:rStyle w:val="optioncarChar"/>
        </w:rPr>
        <w:t>***</w:t>
      </w:r>
    </w:p>
    <w:p w14:paraId="13307C16" w14:textId="77777777" w:rsidR="004B2808" w:rsidRDefault="00000000">
      <w:pPr>
        <w:jc w:val="both"/>
      </w:pPr>
      <w:r>
        <w:rPr>
          <w:b/>
        </w:rPr>
        <w:t xml:space="preserve">Lisses sol et plafond </w:t>
      </w:r>
      <w:r>
        <w:t xml:space="preserve">: </w:t>
      </w:r>
      <w:r>
        <w:rPr>
          <w:rStyle w:val="optioncarChar"/>
        </w:rPr>
        <w:t xml:space="preserve">acier thermolaqué </w:t>
      </w:r>
      <w:r>
        <w:t>(par défaut)</w:t>
      </w:r>
      <w:r>
        <w:rPr>
          <w:rStyle w:val="optioncarChar"/>
        </w:rPr>
        <w:t xml:space="preserve"> / ***</w:t>
      </w:r>
    </w:p>
    <w:p w14:paraId="46151E46" w14:textId="77777777" w:rsidR="004B2808" w:rsidRDefault="00000000">
      <w:pPr>
        <w:pStyle w:val="Author-eListParagraph"/>
        <w:numPr>
          <w:ilvl w:val="0"/>
          <w:numId w:val="34"/>
        </w:numPr>
      </w:pPr>
      <w:r>
        <w:t xml:space="preserve">Épaisseur :   </w:t>
      </w:r>
      <w:r>
        <w:rPr>
          <w:rStyle w:val="optioncarChar"/>
        </w:rPr>
        <w:t xml:space="preserve">1 </w:t>
      </w:r>
      <w:r>
        <w:t xml:space="preserve">(par défaut) </w:t>
      </w:r>
      <w:r>
        <w:rPr>
          <w:rStyle w:val="optioncarChar"/>
        </w:rPr>
        <w:t>/ 1,5 / ***</w:t>
      </w:r>
      <w:r>
        <w:t xml:space="preserve"> mm</w:t>
      </w:r>
    </w:p>
    <w:p w14:paraId="33374BCE" w14:textId="77777777" w:rsidR="004B2808" w:rsidRDefault="00000000">
      <w:pPr>
        <w:pStyle w:val="Author-eListParagraph"/>
        <w:numPr>
          <w:ilvl w:val="0"/>
          <w:numId w:val="34"/>
        </w:numPr>
      </w:pPr>
      <w:r>
        <w:t xml:space="preserve">Finition : </w:t>
      </w:r>
      <w:r>
        <w:rPr>
          <w:rStyle w:val="optioncarChar"/>
        </w:rPr>
        <w:t xml:space="preserve">60 </w:t>
      </w:r>
      <w:r>
        <w:t>(par défaut)</w:t>
      </w:r>
      <w:r>
        <w:rPr>
          <w:rStyle w:val="optioncarChar"/>
        </w:rPr>
        <w:t xml:space="preserve"> / 70 / 100 / ***</w:t>
      </w:r>
      <w:r>
        <w:t xml:space="preserve"> µm</w:t>
      </w:r>
    </w:p>
    <w:p w14:paraId="6B63F8A6" w14:textId="77777777" w:rsidR="004B2808" w:rsidRDefault="00000000">
      <w:pPr>
        <w:pStyle w:val="Author-eListParagraph"/>
        <w:numPr>
          <w:ilvl w:val="0"/>
          <w:numId w:val="34"/>
        </w:numPr>
      </w:pPr>
      <w:r>
        <w:t>Pourvues en face inférieure/supérieure de joints à cellules fermées collés.</w:t>
      </w:r>
      <w:r>
        <w:br/>
      </w:r>
    </w:p>
    <w:p w14:paraId="7546D7D6" w14:textId="77777777" w:rsidR="004B2808" w:rsidRDefault="00000000">
      <w:pPr>
        <w:jc w:val="both"/>
      </w:pPr>
      <w:r>
        <w:rPr>
          <w:b/>
        </w:rPr>
        <w:t>Lisses horizontales remplies de :</w:t>
      </w:r>
      <w:r>
        <w:rPr>
          <w:rStyle w:val="optioncarChar"/>
        </w:rPr>
        <w:t xml:space="preserve"> laine de roche</w:t>
      </w:r>
      <w:r>
        <w:t xml:space="preserve"> (par défaut)</w:t>
      </w:r>
      <w:r>
        <w:rPr>
          <w:rStyle w:val="optioncarChar"/>
        </w:rPr>
        <w:t xml:space="preserve"> / panneau à base de bois lamellé collé / chevron en bois</w:t>
      </w:r>
    </w:p>
    <w:p w14:paraId="39D31D5C" w14:textId="77777777" w:rsidR="004B2808" w:rsidRDefault="00000000">
      <w:pPr>
        <w:jc w:val="both"/>
      </w:pPr>
      <w:r>
        <w:rPr>
          <w:b/>
        </w:rPr>
        <w:t>(soit par défaut)</w:t>
      </w:r>
    </w:p>
    <w:p w14:paraId="731A2C8F" w14:textId="77777777" w:rsidR="004B2808" w:rsidRDefault="00000000">
      <w:pPr>
        <w:jc w:val="both"/>
      </w:pPr>
      <w:r>
        <w:rPr>
          <w:rStyle w:val="soitChar"/>
          <w:u w:val="single"/>
        </w:rPr>
        <w:t>Laine de roche :</w:t>
      </w:r>
    </w:p>
    <w:p w14:paraId="4E2C577E" w14:textId="77777777" w:rsidR="004B2808" w:rsidRDefault="00000000">
      <w:pPr>
        <w:pStyle w:val="Author-eListParagraph"/>
        <w:numPr>
          <w:ilvl w:val="0"/>
          <w:numId w:val="35"/>
        </w:numPr>
      </w:pPr>
      <w:r>
        <w:rPr>
          <w:rStyle w:val="soitChar"/>
        </w:rPr>
        <w:t xml:space="preserve">Densité : </w:t>
      </w:r>
      <w:r>
        <w:rPr>
          <w:rStyle w:val="optioncarChar"/>
        </w:rPr>
        <w:t>150</w:t>
      </w:r>
      <w:r>
        <w:t xml:space="preserve"> (par défaut)</w:t>
      </w:r>
      <w:r>
        <w:rPr>
          <w:rStyle w:val="optioncarChar"/>
        </w:rPr>
        <w:t xml:space="preserve"> / 45 / ***</w:t>
      </w:r>
      <w:r>
        <w:rPr>
          <w:rStyle w:val="soitChar"/>
        </w:rPr>
        <w:t xml:space="preserve"> kg/m³</w:t>
      </w:r>
    </w:p>
    <w:p w14:paraId="16256C32" w14:textId="77777777" w:rsidR="004B2808" w:rsidRDefault="00000000">
      <w:pPr>
        <w:jc w:val="both"/>
      </w:pPr>
      <w:r>
        <w:rPr>
          <w:b/>
        </w:rPr>
        <w:t>(soit)</w:t>
      </w:r>
    </w:p>
    <w:p w14:paraId="34B47176" w14:textId="77777777" w:rsidR="004B2808" w:rsidRDefault="00000000">
      <w:pPr>
        <w:jc w:val="both"/>
      </w:pPr>
      <w:r>
        <w:rPr>
          <w:rStyle w:val="soitChar"/>
          <w:u w:val="single"/>
        </w:rPr>
        <w:t>Panneau à base de bois lamellé collé :</w:t>
      </w:r>
    </w:p>
    <w:p w14:paraId="097197A8" w14:textId="77777777" w:rsidR="004B2808" w:rsidRDefault="00000000">
      <w:pPr>
        <w:pStyle w:val="Author-eListParagraph"/>
        <w:numPr>
          <w:ilvl w:val="0"/>
          <w:numId w:val="36"/>
        </w:numPr>
      </w:pPr>
      <w:r>
        <w:rPr>
          <w:rStyle w:val="soitChar"/>
        </w:rPr>
        <w:t xml:space="preserve">Densité : </w:t>
      </w:r>
      <w:r>
        <w:rPr>
          <w:rStyle w:val="optioncarChar"/>
        </w:rPr>
        <w:t>650</w:t>
      </w:r>
      <w:r>
        <w:t xml:space="preserve"> (par défaut) </w:t>
      </w:r>
      <w:r>
        <w:rPr>
          <w:rStyle w:val="optioncarChar"/>
        </w:rPr>
        <w:t>/ ***</w:t>
      </w:r>
      <w:r>
        <w:rPr>
          <w:rStyle w:val="soitChar"/>
        </w:rPr>
        <w:t xml:space="preserve"> kg/m³</w:t>
      </w:r>
    </w:p>
    <w:p w14:paraId="65D3CF10" w14:textId="77777777" w:rsidR="004B2808" w:rsidRDefault="00000000">
      <w:pPr>
        <w:pStyle w:val="Author-eListParagraph"/>
        <w:numPr>
          <w:ilvl w:val="0"/>
          <w:numId w:val="36"/>
        </w:numPr>
      </w:pPr>
      <w:r>
        <w:rPr>
          <w:rStyle w:val="soitChar"/>
        </w:rPr>
        <w:t>Formaldéhyde : classe E1</w:t>
      </w:r>
    </w:p>
    <w:p w14:paraId="09BB7A26" w14:textId="77777777" w:rsidR="004B2808" w:rsidRDefault="00000000">
      <w:pPr>
        <w:pStyle w:val="Author-eListParagraph"/>
        <w:numPr>
          <w:ilvl w:val="0"/>
          <w:numId w:val="36"/>
        </w:numPr>
      </w:pPr>
      <w:r>
        <w:rPr>
          <w:rStyle w:val="soitChar"/>
        </w:rPr>
        <w:t>Classe d’utilisation : P2</w:t>
      </w:r>
    </w:p>
    <w:p w14:paraId="7849B567" w14:textId="77777777" w:rsidR="004B2808" w:rsidRDefault="00000000">
      <w:pPr>
        <w:jc w:val="both"/>
      </w:pPr>
      <w:r>
        <w:rPr>
          <w:b/>
        </w:rPr>
        <w:t>(soit)</w:t>
      </w:r>
    </w:p>
    <w:p w14:paraId="3EC13A10" w14:textId="77777777" w:rsidR="004B2808" w:rsidRDefault="00000000">
      <w:pPr>
        <w:jc w:val="both"/>
      </w:pPr>
      <w:r>
        <w:rPr>
          <w:rStyle w:val="soitChar"/>
          <w:u w:val="single"/>
        </w:rPr>
        <w:t>Chevron en bois :</w:t>
      </w:r>
    </w:p>
    <w:p w14:paraId="15DD4537" w14:textId="77777777" w:rsidR="004B2808" w:rsidRDefault="00000000">
      <w:pPr>
        <w:pStyle w:val="Author-eListParagraph"/>
        <w:numPr>
          <w:ilvl w:val="0"/>
          <w:numId w:val="37"/>
        </w:numPr>
      </w:pPr>
      <w:r>
        <w:rPr>
          <w:rStyle w:val="soitChar"/>
        </w:rPr>
        <w:t xml:space="preserve">Densité : </w:t>
      </w:r>
      <w:r>
        <w:rPr>
          <w:rStyle w:val="optioncarChar"/>
        </w:rPr>
        <w:t>430</w:t>
      </w:r>
      <w:r>
        <w:t xml:space="preserve"> (par défaut)</w:t>
      </w:r>
      <w:r>
        <w:rPr>
          <w:rStyle w:val="optioncarChar"/>
        </w:rPr>
        <w:t xml:space="preserve"> / ***</w:t>
      </w:r>
      <w:r>
        <w:rPr>
          <w:rStyle w:val="soitChar"/>
        </w:rPr>
        <w:t xml:space="preserve"> kg/m³</w:t>
      </w:r>
    </w:p>
    <w:p w14:paraId="64B51ACE" w14:textId="77777777" w:rsidR="004B2808" w:rsidRDefault="00000000">
      <w:pPr>
        <w:pStyle w:val="Author-eListParagraph"/>
        <w:numPr>
          <w:ilvl w:val="0"/>
          <w:numId w:val="37"/>
        </w:numPr>
      </w:pPr>
      <w:r>
        <w:rPr>
          <w:rStyle w:val="soitChar"/>
        </w:rPr>
        <w:lastRenderedPageBreak/>
        <w:t xml:space="preserve">Essence : </w:t>
      </w:r>
      <w:r>
        <w:rPr>
          <w:rStyle w:val="optioncarChar"/>
        </w:rPr>
        <w:t xml:space="preserve">pin </w:t>
      </w:r>
      <w:r>
        <w:t>(par défaut)</w:t>
      </w:r>
      <w:r>
        <w:rPr>
          <w:rStyle w:val="optioncarChar"/>
        </w:rPr>
        <w:t xml:space="preserve"> / ***</w:t>
      </w:r>
      <w:r>
        <w:br/>
      </w:r>
    </w:p>
    <w:p w14:paraId="12D24A26" w14:textId="77777777" w:rsidR="004B2808" w:rsidRDefault="00000000">
      <w:pPr>
        <w:jc w:val="both"/>
      </w:pPr>
      <w:r>
        <w:rPr>
          <w:b/>
        </w:rPr>
        <w:t>Éléments monoblocs à panneaux pleins :</w:t>
      </w:r>
    </w:p>
    <w:p w14:paraId="28734A34" w14:textId="77777777" w:rsidR="004B2808" w:rsidRDefault="00000000">
      <w:pPr>
        <w:pStyle w:val="Author-eListParagraph"/>
        <w:numPr>
          <w:ilvl w:val="0"/>
          <w:numId w:val="38"/>
        </w:numPr>
      </w:pPr>
      <w:r>
        <w:t xml:space="preserve">Profilés acier : </w:t>
      </w:r>
      <w:r>
        <w:rPr>
          <w:rStyle w:val="optioncarChar"/>
        </w:rPr>
        <w:t xml:space="preserve">1,2 </w:t>
      </w:r>
      <w:r>
        <w:t>(par défaut)</w:t>
      </w:r>
      <w:r>
        <w:rPr>
          <w:rStyle w:val="optioncarChar"/>
        </w:rPr>
        <w:t xml:space="preserve"> / ***</w:t>
      </w:r>
      <w:r>
        <w:t xml:space="preserve"> mm</w:t>
      </w:r>
    </w:p>
    <w:p w14:paraId="69F281C8" w14:textId="77777777" w:rsidR="004B2808" w:rsidRDefault="00000000">
      <w:pPr>
        <w:pStyle w:val="Author-eListParagraph"/>
        <w:numPr>
          <w:ilvl w:val="0"/>
          <w:numId w:val="38"/>
        </w:numPr>
      </w:pPr>
      <w:r>
        <w:t xml:space="preserve">Panneaux : </w:t>
      </w:r>
      <w:r>
        <w:rPr>
          <w:rStyle w:val="optioncarChar"/>
        </w:rPr>
        <w:t>à base de bois</w:t>
      </w:r>
      <w:r>
        <w:t xml:space="preserve"> (par défaut)</w:t>
      </w:r>
      <w:r>
        <w:rPr>
          <w:rStyle w:val="optioncarChar"/>
        </w:rPr>
        <w:t xml:space="preserve"> / tôle d’acier</w:t>
      </w:r>
    </w:p>
    <w:p w14:paraId="1769CE25" w14:textId="77777777" w:rsidR="004B2808" w:rsidRDefault="00000000">
      <w:pPr>
        <w:ind w:left="567"/>
        <w:jc w:val="both"/>
      </w:pPr>
      <w:r>
        <w:rPr>
          <w:b/>
        </w:rPr>
        <w:t>(soit par défaut)</w:t>
      </w:r>
    </w:p>
    <w:p w14:paraId="511617EA" w14:textId="77777777" w:rsidR="004B2808" w:rsidRDefault="00000000">
      <w:pPr>
        <w:ind w:left="567"/>
        <w:jc w:val="both"/>
      </w:pPr>
      <w:r>
        <w:rPr>
          <w:rStyle w:val="soitChar"/>
          <w:u w:val="single"/>
        </w:rPr>
        <w:t>Panneaux à base de bois :</w:t>
      </w:r>
    </w:p>
    <w:p w14:paraId="57A047DE" w14:textId="77777777" w:rsidR="004B2808" w:rsidRDefault="00000000">
      <w:pPr>
        <w:pStyle w:val="Author-eListParagraph"/>
        <w:numPr>
          <w:ilvl w:val="0"/>
          <w:numId w:val="39"/>
        </w:numPr>
      </w:pPr>
      <w:r>
        <w:rPr>
          <w:rStyle w:val="soitChar"/>
        </w:rPr>
        <w:t xml:space="preserve">Type : </w:t>
      </w:r>
      <w:r>
        <w:rPr>
          <w:rStyle w:val="optioncarChar"/>
        </w:rPr>
        <w:t>aggloméré / MDF / multiplex</w:t>
      </w:r>
    </w:p>
    <w:p w14:paraId="3AF20403" w14:textId="77777777" w:rsidR="004B2808" w:rsidRDefault="00000000">
      <w:pPr>
        <w:pStyle w:val="Author-eListParagraph"/>
        <w:numPr>
          <w:ilvl w:val="0"/>
          <w:numId w:val="39"/>
        </w:numPr>
      </w:pPr>
      <w:r>
        <w:rPr>
          <w:rStyle w:val="soitChar"/>
        </w:rPr>
        <w:t xml:space="preserve">Densité : </w:t>
      </w:r>
      <w:r>
        <w:rPr>
          <w:rStyle w:val="optioncarChar"/>
        </w:rPr>
        <w:t xml:space="preserve">650 </w:t>
      </w:r>
      <w:r>
        <w:t xml:space="preserve">(par défaut) </w:t>
      </w:r>
      <w:r>
        <w:rPr>
          <w:rStyle w:val="optioncarChar"/>
        </w:rPr>
        <w:t>/ 730 / ***</w:t>
      </w:r>
      <w:r>
        <w:rPr>
          <w:rStyle w:val="soitChar"/>
        </w:rPr>
        <w:t xml:space="preserve"> kg/m³</w:t>
      </w:r>
    </w:p>
    <w:p w14:paraId="7190C44C" w14:textId="77777777" w:rsidR="004B2808" w:rsidRDefault="00000000">
      <w:pPr>
        <w:pStyle w:val="Author-eListParagraph"/>
        <w:numPr>
          <w:ilvl w:val="0"/>
          <w:numId w:val="39"/>
        </w:numPr>
      </w:pPr>
      <w:r>
        <w:rPr>
          <w:rStyle w:val="soitChar"/>
        </w:rPr>
        <w:t xml:space="preserve">Épaisseur : </w:t>
      </w:r>
      <w:r>
        <w:rPr>
          <w:rStyle w:val="optioncarChar"/>
        </w:rPr>
        <w:t xml:space="preserve">18 </w:t>
      </w:r>
      <w:r>
        <w:t>(par défaut)</w:t>
      </w:r>
      <w:r>
        <w:rPr>
          <w:rStyle w:val="optioncarChar"/>
        </w:rPr>
        <w:t xml:space="preserve"> / ***</w:t>
      </w:r>
      <w:r>
        <w:rPr>
          <w:rStyle w:val="soitChar"/>
        </w:rPr>
        <w:t xml:space="preserve"> mm</w:t>
      </w:r>
    </w:p>
    <w:p w14:paraId="59C79650" w14:textId="77777777" w:rsidR="004B2808" w:rsidRDefault="00000000">
      <w:pPr>
        <w:pStyle w:val="Author-eListParagraph"/>
        <w:numPr>
          <w:ilvl w:val="0"/>
          <w:numId w:val="39"/>
        </w:numPr>
      </w:pPr>
      <w:r>
        <w:rPr>
          <w:rStyle w:val="soitChar"/>
        </w:rPr>
        <w:t>Émission formaldéhyde : E1</w:t>
      </w:r>
    </w:p>
    <w:p w14:paraId="58DE5AE5" w14:textId="77777777" w:rsidR="004B2808" w:rsidRDefault="00000000">
      <w:pPr>
        <w:pStyle w:val="Author-eListParagraph"/>
        <w:numPr>
          <w:ilvl w:val="0"/>
          <w:numId w:val="39"/>
        </w:numPr>
      </w:pPr>
      <w:r>
        <w:rPr>
          <w:rStyle w:val="soitChar"/>
        </w:rPr>
        <w:t xml:space="preserve">Perforé : </w:t>
      </w:r>
      <w:r>
        <w:rPr>
          <w:rStyle w:val="optioncarChar"/>
        </w:rPr>
        <w:t>oui / non</w:t>
      </w:r>
    </w:p>
    <w:p w14:paraId="6551E93E" w14:textId="77777777" w:rsidR="004B2808" w:rsidRDefault="00000000">
      <w:pPr>
        <w:pStyle w:val="Author-eListParagraph"/>
        <w:numPr>
          <w:ilvl w:val="0"/>
          <w:numId w:val="39"/>
        </w:numPr>
      </w:pPr>
      <w:r>
        <w:rPr>
          <w:rStyle w:val="soitChar"/>
        </w:rPr>
        <w:t xml:space="preserve">Finition : </w:t>
      </w:r>
      <w:r>
        <w:rPr>
          <w:rStyle w:val="optioncarChar"/>
        </w:rPr>
        <w:t>mélaminé / stratifié / placage bois / vinyle / textile</w:t>
      </w:r>
    </w:p>
    <w:p w14:paraId="126DD880" w14:textId="77777777" w:rsidR="004B2808" w:rsidRDefault="00000000">
      <w:pPr>
        <w:ind w:left="567"/>
        <w:jc w:val="both"/>
      </w:pPr>
      <w:r>
        <w:rPr>
          <w:b/>
        </w:rPr>
        <w:t>(soit)</w:t>
      </w:r>
    </w:p>
    <w:p w14:paraId="1B176C56" w14:textId="77777777" w:rsidR="004B2808" w:rsidRDefault="00000000">
      <w:pPr>
        <w:ind w:left="567"/>
        <w:jc w:val="both"/>
      </w:pPr>
      <w:r>
        <w:rPr>
          <w:rStyle w:val="soitChar"/>
          <w:u w:val="single"/>
        </w:rPr>
        <w:t>Tôle d’acier :</w:t>
      </w:r>
    </w:p>
    <w:p w14:paraId="6CA3DDCE" w14:textId="77777777" w:rsidR="004B2808" w:rsidRDefault="00000000">
      <w:pPr>
        <w:pStyle w:val="Author-eListParagraph"/>
        <w:numPr>
          <w:ilvl w:val="0"/>
          <w:numId w:val="40"/>
        </w:numPr>
      </w:pPr>
      <w:r>
        <w:rPr>
          <w:rStyle w:val="soitChar"/>
        </w:rPr>
        <w:t xml:space="preserve">Épaisseur : </w:t>
      </w:r>
      <w:r>
        <w:rPr>
          <w:rStyle w:val="optioncarChar"/>
        </w:rPr>
        <w:t xml:space="preserve">1 </w:t>
      </w:r>
      <w:r>
        <w:t>(par défaut)</w:t>
      </w:r>
      <w:r>
        <w:rPr>
          <w:rStyle w:val="optioncarChar"/>
        </w:rPr>
        <w:t xml:space="preserve"> / ***</w:t>
      </w:r>
      <w:r>
        <w:rPr>
          <w:rStyle w:val="soitChar"/>
        </w:rPr>
        <w:t xml:space="preserve"> mm</w:t>
      </w:r>
    </w:p>
    <w:p w14:paraId="65811B60" w14:textId="77777777" w:rsidR="004B2808" w:rsidRDefault="00000000">
      <w:pPr>
        <w:pStyle w:val="Author-eListParagraph"/>
        <w:numPr>
          <w:ilvl w:val="0"/>
          <w:numId w:val="40"/>
        </w:numPr>
      </w:pPr>
      <w:r>
        <w:rPr>
          <w:rStyle w:val="soitChar"/>
        </w:rPr>
        <w:t xml:space="preserve">Tôle : </w:t>
      </w:r>
      <w:r>
        <w:rPr>
          <w:rStyle w:val="optioncarChar"/>
        </w:rPr>
        <w:t>pleine / perforée / microperforée</w:t>
      </w:r>
    </w:p>
    <w:p w14:paraId="25040F50" w14:textId="77777777" w:rsidR="004B2808" w:rsidRDefault="00000000">
      <w:pPr>
        <w:pStyle w:val="Author-eListParagraph"/>
        <w:numPr>
          <w:ilvl w:val="0"/>
          <w:numId w:val="40"/>
        </w:numPr>
      </w:pPr>
      <w:r>
        <w:rPr>
          <w:rStyle w:val="soitChar"/>
        </w:rPr>
        <w:t xml:space="preserve">Finition : thermolaqué : </w:t>
      </w:r>
      <w:r>
        <w:rPr>
          <w:rStyle w:val="optioncarChar"/>
        </w:rPr>
        <w:t>60 (par défaut) / 70 / 100 / ***</w:t>
      </w:r>
      <w:r>
        <w:rPr>
          <w:rStyle w:val="soitChar"/>
        </w:rPr>
        <w:t xml:space="preserve"> mm</w:t>
      </w:r>
    </w:p>
    <w:p w14:paraId="27CC36F2" w14:textId="77777777" w:rsidR="004B2808" w:rsidRDefault="00000000">
      <w:pPr>
        <w:pStyle w:val="Author-eListParagraph"/>
        <w:numPr>
          <w:ilvl w:val="0"/>
          <w:numId w:val="40"/>
        </w:numPr>
      </w:pPr>
      <w:r>
        <w:rPr>
          <w:rStyle w:val="soitChar"/>
        </w:rPr>
        <w:t xml:space="preserve">Panneau arrière : </w:t>
      </w:r>
      <w:r>
        <w:rPr>
          <w:rStyle w:val="optioncarChar"/>
        </w:rPr>
        <w:t>plaque de plâtre / panneau à base de bois / aucun</w:t>
      </w:r>
    </w:p>
    <w:p w14:paraId="6064B54F" w14:textId="77777777" w:rsidR="004B2808" w:rsidRDefault="00000000">
      <w:r>
        <w:t xml:space="preserve">Isolation dans les éléments monoblocs : </w:t>
      </w:r>
      <w:r>
        <w:rPr>
          <w:rStyle w:val="optioncarChar"/>
        </w:rPr>
        <w:t xml:space="preserve">laine de roche </w:t>
      </w:r>
      <w:r>
        <w:t>(par défaut)</w:t>
      </w:r>
      <w:r>
        <w:rPr>
          <w:rStyle w:val="optioncarChar"/>
        </w:rPr>
        <w:t xml:space="preserve"> / ***</w:t>
      </w:r>
    </w:p>
    <w:p w14:paraId="128C77E9" w14:textId="77777777" w:rsidR="004B2808" w:rsidRDefault="00000000">
      <w:pPr>
        <w:pStyle w:val="Author-eListParagraph"/>
        <w:numPr>
          <w:ilvl w:val="0"/>
          <w:numId w:val="41"/>
        </w:numPr>
      </w:pPr>
      <w:r>
        <w:t xml:space="preserve">Épaisseur : </w:t>
      </w:r>
      <w:r>
        <w:rPr>
          <w:rStyle w:val="optioncarChar"/>
        </w:rPr>
        <w:t xml:space="preserve">60 </w:t>
      </w:r>
      <w:r>
        <w:t xml:space="preserve">(par défaut) </w:t>
      </w:r>
      <w:r>
        <w:rPr>
          <w:rStyle w:val="optioncarChar"/>
        </w:rPr>
        <w:t>/ 40 / ***</w:t>
      </w:r>
      <w:r>
        <w:t xml:space="preserve"> mm</w:t>
      </w:r>
    </w:p>
    <w:p w14:paraId="31E0E1D0" w14:textId="77777777" w:rsidR="004B2808" w:rsidRDefault="00000000">
      <w:pPr>
        <w:pStyle w:val="Author-eListParagraph"/>
        <w:numPr>
          <w:ilvl w:val="0"/>
          <w:numId w:val="41"/>
        </w:numPr>
      </w:pPr>
      <w:r>
        <w:t xml:space="preserve">Densité : </w:t>
      </w:r>
      <w:r>
        <w:rPr>
          <w:rStyle w:val="optioncarChar"/>
        </w:rPr>
        <w:t xml:space="preserve">45 </w:t>
      </w:r>
      <w:r>
        <w:t>(par défaut</w:t>
      </w:r>
      <w:r>
        <w:rPr>
          <w:rStyle w:val="optioncarChar"/>
        </w:rPr>
        <w:t>) / ***</w:t>
      </w:r>
      <w:r>
        <w:t xml:space="preserve"> kg/m³</w:t>
      </w:r>
    </w:p>
    <w:p w14:paraId="1B43BCEF" w14:textId="77777777" w:rsidR="004B2808" w:rsidRDefault="00000000">
      <w:pPr>
        <w:jc w:val="both"/>
      </w:pPr>
      <w:r>
        <w:rPr>
          <w:b/>
        </w:rPr>
        <w:t>Éléments techniques de même nature que les éléments monoblocs, avec parement amovible : </w:t>
      </w:r>
      <w:r>
        <w:rPr>
          <w:rStyle w:val="optioncarChar"/>
        </w:rPr>
        <w:t>oui / non </w:t>
      </w:r>
    </w:p>
    <w:p w14:paraId="10B3E489" w14:textId="77777777" w:rsidR="004B2808" w:rsidRDefault="00000000">
      <w:pPr>
        <w:jc w:val="both"/>
      </w:pPr>
      <w:r>
        <w:t xml:space="preserve">Portes : </w:t>
      </w:r>
      <w:r>
        <w:rPr>
          <w:rStyle w:val="optioncarChar"/>
        </w:rPr>
        <w:t>pleines</w:t>
      </w:r>
      <w:r>
        <w:t xml:space="preserve"> (par défaut)</w:t>
      </w:r>
      <w:r>
        <w:rPr>
          <w:rStyle w:val="optioncarChar"/>
        </w:rPr>
        <w:t xml:space="preserve"> / vitrées</w:t>
      </w:r>
    </w:p>
    <w:p w14:paraId="605308BA" w14:textId="77777777" w:rsidR="004B2808" w:rsidRDefault="00000000">
      <w:pPr>
        <w:jc w:val="both"/>
      </w:pPr>
      <w:r>
        <w:rPr>
          <w:b/>
        </w:rPr>
        <w:t>(soit par défaut)</w:t>
      </w:r>
    </w:p>
    <w:p w14:paraId="6C82A0CF" w14:textId="77777777" w:rsidR="004B2808" w:rsidRDefault="00000000">
      <w:pPr>
        <w:jc w:val="both"/>
      </w:pPr>
      <w:r>
        <w:rPr>
          <w:rStyle w:val="soitChar"/>
          <w:u w:val="single"/>
        </w:rPr>
        <w:t>Portes pleines :</w:t>
      </w:r>
    </w:p>
    <w:p w14:paraId="6A600BD9" w14:textId="77777777" w:rsidR="004B2808" w:rsidRDefault="00000000">
      <w:pPr>
        <w:pStyle w:val="Author-eListParagraph"/>
        <w:numPr>
          <w:ilvl w:val="0"/>
          <w:numId w:val="42"/>
        </w:numPr>
      </w:pPr>
      <w:r>
        <w:rPr>
          <w:rStyle w:val="soitChar"/>
        </w:rPr>
        <w:t xml:space="preserve">Embrasure : </w:t>
      </w:r>
      <w:r>
        <w:rPr>
          <w:rStyle w:val="optioncarChar"/>
        </w:rPr>
        <w:t>acier thermolaqué / aluminium thermolaqué / aluminium anodisé</w:t>
      </w:r>
    </w:p>
    <w:p w14:paraId="01B37E58" w14:textId="77777777" w:rsidR="004B2808" w:rsidRDefault="00000000">
      <w:pPr>
        <w:pStyle w:val="Author-eListParagraph"/>
        <w:numPr>
          <w:ilvl w:val="0"/>
          <w:numId w:val="42"/>
        </w:numPr>
      </w:pPr>
      <w:r>
        <w:rPr>
          <w:rStyle w:val="soitChar"/>
        </w:rPr>
        <w:t xml:space="preserve">Affleurant à la face de la cloison dans laquelle elle est intégrée : </w:t>
      </w:r>
      <w:r>
        <w:rPr>
          <w:rStyle w:val="optioncarChar"/>
        </w:rPr>
        <w:t>oui / non</w:t>
      </w:r>
    </w:p>
    <w:p w14:paraId="5E02A8C5" w14:textId="77777777" w:rsidR="004B2808" w:rsidRDefault="00000000">
      <w:pPr>
        <w:pStyle w:val="Author-eListParagraph"/>
        <w:numPr>
          <w:ilvl w:val="0"/>
          <w:numId w:val="42"/>
        </w:numPr>
      </w:pPr>
      <w:r>
        <w:rPr>
          <w:rStyle w:val="soitChar"/>
        </w:rPr>
        <w:t xml:space="preserve">Largeur : </w:t>
      </w:r>
      <w:r>
        <w:rPr>
          <w:rStyle w:val="optioncarChar"/>
        </w:rPr>
        <w:t>930</w:t>
      </w:r>
      <w:r>
        <w:t xml:space="preserve"> (par défaut)</w:t>
      </w:r>
      <w:r>
        <w:rPr>
          <w:rStyle w:val="optioncarChar"/>
        </w:rPr>
        <w:t xml:space="preserve"> / 830 / 1030</w:t>
      </w:r>
      <w:r>
        <w:rPr>
          <w:rStyle w:val="soitChar"/>
        </w:rPr>
        <w:t xml:space="preserve"> mm</w:t>
      </w:r>
    </w:p>
    <w:p w14:paraId="27116D41" w14:textId="77777777" w:rsidR="004B2808" w:rsidRDefault="00000000">
      <w:pPr>
        <w:pStyle w:val="Author-eListParagraph"/>
        <w:numPr>
          <w:ilvl w:val="0"/>
          <w:numId w:val="42"/>
        </w:numPr>
      </w:pPr>
      <w:r>
        <w:rPr>
          <w:rStyle w:val="soitChar"/>
        </w:rPr>
        <w:t xml:space="preserve">Épaisseur : </w:t>
      </w:r>
      <w:r>
        <w:rPr>
          <w:rStyle w:val="optioncarChar"/>
        </w:rPr>
        <w:t xml:space="preserve">40 </w:t>
      </w:r>
      <w:r>
        <w:t xml:space="preserve">(par défaut) </w:t>
      </w:r>
      <w:r>
        <w:rPr>
          <w:rStyle w:val="optioncarChar"/>
        </w:rPr>
        <w:t>/ 50 / ***</w:t>
      </w:r>
      <w:r>
        <w:rPr>
          <w:rStyle w:val="soitChar"/>
        </w:rPr>
        <w:t xml:space="preserve"> mm</w:t>
      </w:r>
    </w:p>
    <w:p w14:paraId="62991F5E" w14:textId="77777777" w:rsidR="004B2808" w:rsidRDefault="00000000">
      <w:pPr>
        <w:pStyle w:val="Author-eListParagraph"/>
        <w:numPr>
          <w:ilvl w:val="0"/>
          <w:numId w:val="42"/>
        </w:numPr>
      </w:pPr>
      <w:r>
        <w:rPr>
          <w:rStyle w:val="soitChar"/>
        </w:rPr>
        <w:t>Hauteur :</w:t>
      </w:r>
      <w:r>
        <w:rPr>
          <w:rStyle w:val="optioncarChar"/>
        </w:rPr>
        <w:t xml:space="preserve"> toute hauteur / 211,5 avec imposte / 201,5 avec imposte</w:t>
      </w:r>
    </w:p>
    <w:p w14:paraId="2755414D" w14:textId="77777777" w:rsidR="004B2808" w:rsidRDefault="00000000">
      <w:pPr>
        <w:pStyle w:val="Author-eListParagraph"/>
        <w:numPr>
          <w:ilvl w:val="0"/>
          <w:numId w:val="42"/>
        </w:numPr>
      </w:pPr>
      <w:r>
        <w:rPr>
          <w:rStyle w:val="soitChar"/>
        </w:rPr>
        <w:t>Caractéristique acoustique, valeur R</w:t>
      </w:r>
      <w:r>
        <w:rPr>
          <w:rStyle w:val="soitChar"/>
          <w:vertAlign w:val="subscript"/>
        </w:rPr>
        <w:t>w</w:t>
      </w:r>
      <w:r>
        <w:rPr>
          <w:rStyle w:val="soitChar"/>
        </w:rPr>
        <w:t xml:space="preserve"> : </w:t>
      </w:r>
      <w:r>
        <w:rPr>
          <w:rStyle w:val="optioncarChar"/>
        </w:rPr>
        <w:t>***</w:t>
      </w:r>
      <w:r>
        <w:rPr>
          <w:rStyle w:val="soitChar"/>
        </w:rPr>
        <w:t xml:space="preserve"> dB</w:t>
      </w:r>
    </w:p>
    <w:p w14:paraId="0CB6ECE2" w14:textId="77777777" w:rsidR="004B2808" w:rsidRDefault="00000000">
      <w:pPr>
        <w:pStyle w:val="Author-eListParagraph"/>
        <w:numPr>
          <w:ilvl w:val="0"/>
          <w:numId w:val="42"/>
        </w:numPr>
      </w:pPr>
      <w:r>
        <w:rPr>
          <w:rStyle w:val="soitChar"/>
        </w:rPr>
        <w:t>Résistance au feu :</w:t>
      </w:r>
      <w:r>
        <w:rPr>
          <w:rStyle w:val="optioncarChar"/>
        </w:rPr>
        <w:t xml:space="preserve"> EI</w:t>
      </w:r>
      <w:r>
        <w:rPr>
          <w:rStyle w:val="optioncarChar"/>
          <w:vertAlign w:val="subscript"/>
        </w:rPr>
        <w:t>1</w:t>
      </w:r>
      <w:r>
        <w:rPr>
          <w:rStyle w:val="optioncarChar"/>
        </w:rPr>
        <w:t>0 / EI</w:t>
      </w:r>
      <w:r>
        <w:rPr>
          <w:rStyle w:val="optioncarChar"/>
          <w:vertAlign w:val="subscript"/>
        </w:rPr>
        <w:t>1</w:t>
      </w:r>
      <w:r>
        <w:rPr>
          <w:rStyle w:val="optioncarChar"/>
        </w:rPr>
        <w:t>30 / EI</w:t>
      </w:r>
      <w:r>
        <w:rPr>
          <w:rStyle w:val="optioncarChar"/>
          <w:vertAlign w:val="subscript"/>
        </w:rPr>
        <w:t>1</w:t>
      </w:r>
      <w:r>
        <w:rPr>
          <w:rStyle w:val="optioncarChar"/>
        </w:rPr>
        <w:t>60</w:t>
      </w:r>
    </w:p>
    <w:p w14:paraId="60AA5FA2" w14:textId="77777777" w:rsidR="004B2808" w:rsidRDefault="00000000">
      <w:pPr>
        <w:pStyle w:val="Author-eListParagraph"/>
        <w:numPr>
          <w:ilvl w:val="0"/>
          <w:numId w:val="42"/>
        </w:numPr>
      </w:pPr>
      <w:r>
        <w:rPr>
          <w:rStyle w:val="soitChar"/>
        </w:rPr>
        <w:t xml:space="preserve">Finition : </w:t>
      </w:r>
      <w:r>
        <w:rPr>
          <w:rStyle w:val="optioncarChar"/>
        </w:rPr>
        <w:t>bois à peindre / bois finition HPL / bois placage bois / acier thermolaqué</w:t>
      </w:r>
    </w:p>
    <w:p w14:paraId="0323B946" w14:textId="77777777" w:rsidR="004B2808" w:rsidRDefault="00000000">
      <w:pPr>
        <w:pStyle w:val="Author-eListParagraph"/>
        <w:numPr>
          <w:ilvl w:val="0"/>
          <w:numId w:val="42"/>
        </w:numPr>
      </w:pPr>
      <w:r>
        <w:rPr>
          <w:rStyle w:val="soitChar"/>
        </w:rPr>
        <w:t xml:space="preserve">Suspentes adaptées au poids de la porte : </w:t>
      </w:r>
      <w:r>
        <w:rPr>
          <w:rStyle w:val="optioncarChar"/>
        </w:rPr>
        <w:t>charnières invisibles / paumelles inox / pivot / coulissant</w:t>
      </w:r>
    </w:p>
    <w:p w14:paraId="0C8769BB" w14:textId="77777777" w:rsidR="004B2808" w:rsidRDefault="00000000">
      <w:pPr>
        <w:pStyle w:val="Author-eListParagraph"/>
        <w:numPr>
          <w:ilvl w:val="0"/>
          <w:numId w:val="42"/>
        </w:numPr>
      </w:pPr>
      <w:r>
        <w:rPr>
          <w:rStyle w:val="soitChar"/>
        </w:rPr>
        <w:t xml:space="preserve">Plinthe automatique : </w:t>
      </w:r>
      <w:r>
        <w:rPr>
          <w:rStyle w:val="optioncarChar"/>
        </w:rPr>
        <w:t>oui / non</w:t>
      </w:r>
    </w:p>
    <w:p w14:paraId="41EFE05C" w14:textId="77777777" w:rsidR="004B2808" w:rsidRDefault="00000000">
      <w:pPr>
        <w:pStyle w:val="Author-eListParagraph"/>
        <w:numPr>
          <w:ilvl w:val="0"/>
          <w:numId w:val="42"/>
        </w:numPr>
      </w:pPr>
      <w:r>
        <w:rPr>
          <w:rStyle w:val="soitChar"/>
        </w:rPr>
        <w:t>Serrure à cylindre :</w:t>
      </w:r>
      <w:r>
        <w:rPr>
          <w:rStyle w:val="optioncarChar"/>
        </w:rPr>
        <w:t xml:space="preserve"> oui / non</w:t>
      </w:r>
    </w:p>
    <w:p w14:paraId="2A7F0773" w14:textId="77777777" w:rsidR="004B2808" w:rsidRDefault="00000000">
      <w:pPr>
        <w:pStyle w:val="Author-eListParagraph"/>
        <w:numPr>
          <w:ilvl w:val="0"/>
          <w:numId w:val="42"/>
        </w:numPr>
      </w:pPr>
      <w:r>
        <w:rPr>
          <w:rStyle w:val="soitChar"/>
        </w:rPr>
        <w:t xml:space="preserve">Béquille : </w:t>
      </w:r>
      <w:r>
        <w:rPr>
          <w:rStyle w:val="optioncarChar"/>
        </w:rPr>
        <w:t xml:space="preserve">U inox brossé </w:t>
      </w:r>
      <w:r>
        <w:t>(par défaut)</w:t>
      </w:r>
      <w:r>
        <w:rPr>
          <w:rStyle w:val="optioncarChar"/>
        </w:rPr>
        <w:t xml:space="preserve"> / L inox brossé / ***</w:t>
      </w:r>
    </w:p>
    <w:p w14:paraId="664D8FC1" w14:textId="77777777" w:rsidR="004B2808" w:rsidRDefault="00000000">
      <w:pPr>
        <w:pStyle w:val="Author-eListParagraph"/>
        <w:numPr>
          <w:ilvl w:val="0"/>
          <w:numId w:val="42"/>
        </w:numPr>
      </w:pPr>
      <w:r>
        <w:rPr>
          <w:rStyle w:val="soitChar"/>
        </w:rPr>
        <w:t xml:space="preserve">Poignée fixe : </w:t>
      </w:r>
      <w:r>
        <w:rPr>
          <w:rStyle w:val="optioncarChar"/>
        </w:rPr>
        <w:t>U bords droits inox brossé</w:t>
      </w:r>
      <w:r>
        <w:t xml:space="preserve"> (par défaut)</w:t>
      </w:r>
      <w:r>
        <w:rPr>
          <w:rStyle w:val="optioncarChar"/>
        </w:rPr>
        <w:t xml:space="preserve"> / *** </w:t>
      </w:r>
    </w:p>
    <w:p w14:paraId="4890DC2B" w14:textId="77777777" w:rsidR="004B2808" w:rsidRDefault="00000000">
      <w:pPr>
        <w:jc w:val="both"/>
      </w:pPr>
      <w:r>
        <w:rPr>
          <w:b/>
        </w:rPr>
        <w:t>(soit)</w:t>
      </w:r>
    </w:p>
    <w:p w14:paraId="785B3D87" w14:textId="77777777" w:rsidR="004B2808" w:rsidRDefault="00000000">
      <w:pPr>
        <w:jc w:val="both"/>
      </w:pPr>
      <w:r>
        <w:rPr>
          <w:rStyle w:val="soitChar"/>
          <w:u w:val="single"/>
        </w:rPr>
        <w:t>Portes vitrées :</w:t>
      </w:r>
    </w:p>
    <w:p w14:paraId="5F545110" w14:textId="77777777" w:rsidR="004B2808" w:rsidRDefault="00000000">
      <w:pPr>
        <w:pStyle w:val="Author-eListParagraph"/>
        <w:numPr>
          <w:ilvl w:val="0"/>
          <w:numId w:val="43"/>
        </w:numPr>
      </w:pPr>
      <w:r>
        <w:rPr>
          <w:rStyle w:val="soitChar"/>
        </w:rPr>
        <w:t xml:space="preserve">Embrasure : </w:t>
      </w:r>
      <w:r>
        <w:rPr>
          <w:rStyle w:val="optioncarChar"/>
        </w:rPr>
        <w:t>acier thermolaqué / aluminium thermolaqué / aluminium anodisé</w:t>
      </w:r>
    </w:p>
    <w:p w14:paraId="40B6B7BE" w14:textId="77777777" w:rsidR="004B2808" w:rsidRDefault="00000000">
      <w:pPr>
        <w:pStyle w:val="Author-eListParagraph"/>
        <w:numPr>
          <w:ilvl w:val="0"/>
          <w:numId w:val="43"/>
        </w:numPr>
      </w:pPr>
      <w:r>
        <w:rPr>
          <w:rStyle w:val="soitChar"/>
        </w:rPr>
        <w:t xml:space="preserve">Résistance au feu : </w:t>
      </w:r>
      <w:r>
        <w:rPr>
          <w:rStyle w:val="optioncarChar"/>
        </w:rPr>
        <w:t>EI</w:t>
      </w:r>
      <w:r>
        <w:rPr>
          <w:rStyle w:val="optioncarChar"/>
          <w:vertAlign w:val="subscript"/>
        </w:rPr>
        <w:t>1</w:t>
      </w:r>
      <w:r>
        <w:rPr>
          <w:rStyle w:val="optioncarChar"/>
        </w:rPr>
        <w:t>0 / EI</w:t>
      </w:r>
      <w:r>
        <w:rPr>
          <w:rStyle w:val="optioncarChar"/>
          <w:vertAlign w:val="subscript"/>
        </w:rPr>
        <w:t>1</w:t>
      </w:r>
      <w:r>
        <w:rPr>
          <w:rStyle w:val="optioncarChar"/>
        </w:rPr>
        <w:t>30 / EI</w:t>
      </w:r>
      <w:r>
        <w:rPr>
          <w:rStyle w:val="optioncarChar"/>
          <w:vertAlign w:val="subscript"/>
        </w:rPr>
        <w:t>1</w:t>
      </w:r>
      <w:r>
        <w:rPr>
          <w:rStyle w:val="optioncarChar"/>
        </w:rPr>
        <w:t>60</w:t>
      </w:r>
    </w:p>
    <w:p w14:paraId="3CB3C133" w14:textId="77777777" w:rsidR="004B2808" w:rsidRDefault="00000000">
      <w:pPr>
        <w:pStyle w:val="Author-eListParagraph"/>
        <w:numPr>
          <w:ilvl w:val="0"/>
          <w:numId w:val="43"/>
        </w:numPr>
      </w:pPr>
      <w:r>
        <w:rPr>
          <w:rStyle w:val="soitChar"/>
        </w:rPr>
        <w:t>Caractéristique acoustique, valeur R</w:t>
      </w:r>
      <w:r>
        <w:rPr>
          <w:rStyle w:val="soitChar"/>
          <w:vertAlign w:val="subscript"/>
        </w:rPr>
        <w:t>w</w:t>
      </w:r>
      <w:r>
        <w:rPr>
          <w:rStyle w:val="soitChar"/>
        </w:rPr>
        <w:t xml:space="preserve"> : </w:t>
      </w:r>
      <w:r>
        <w:rPr>
          <w:rStyle w:val="optioncarChar"/>
        </w:rPr>
        <w:t>***</w:t>
      </w:r>
      <w:r>
        <w:rPr>
          <w:rStyle w:val="soitChar"/>
        </w:rPr>
        <w:t xml:space="preserve"> dB</w:t>
      </w:r>
    </w:p>
    <w:p w14:paraId="57079ED0" w14:textId="77777777" w:rsidR="004B2808" w:rsidRDefault="00000000">
      <w:pPr>
        <w:pStyle w:val="Author-eListParagraph"/>
        <w:numPr>
          <w:ilvl w:val="0"/>
          <w:numId w:val="43"/>
        </w:numPr>
      </w:pPr>
      <w:r>
        <w:rPr>
          <w:rStyle w:val="soitChar"/>
        </w:rPr>
        <w:t xml:space="preserve">Vitrage : </w:t>
      </w:r>
      <w:r>
        <w:rPr>
          <w:rStyle w:val="optioncarChar"/>
        </w:rPr>
        <w:t>cadre mince / sans cadre / affleurant 1 face / double affleurant 2 faces</w:t>
      </w:r>
    </w:p>
    <w:p w14:paraId="5A6470DF" w14:textId="77777777" w:rsidR="004B2808" w:rsidRDefault="00000000">
      <w:pPr>
        <w:pStyle w:val="Author-eListParagraph"/>
        <w:numPr>
          <w:ilvl w:val="0"/>
          <w:numId w:val="43"/>
        </w:numPr>
      </w:pPr>
      <w:r>
        <w:rPr>
          <w:rStyle w:val="soitChar"/>
        </w:rPr>
        <w:lastRenderedPageBreak/>
        <w:t xml:space="preserve">Largeur : </w:t>
      </w:r>
      <w:r>
        <w:rPr>
          <w:rStyle w:val="optioncarChar"/>
        </w:rPr>
        <w:t xml:space="preserve">930 </w:t>
      </w:r>
      <w:r>
        <w:t xml:space="preserve">(par défaut) </w:t>
      </w:r>
      <w:r>
        <w:rPr>
          <w:rStyle w:val="optioncarChar"/>
        </w:rPr>
        <w:t>/ 830 / 1030 / ***</w:t>
      </w:r>
      <w:r>
        <w:rPr>
          <w:rStyle w:val="soitChar"/>
        </w:rPr>
        <w:t xml:space="preserve"> mm</w:t>
      </w:r>
    </w:p>
    <w:p w14:paraId="5A4AF6A6" w14:textId="77777777" w:rsidR="004B2808" w:rsidRDefault="00000000">
      <w:pPr>
        <w:pStyle w:val="Author-eListParagraph"/>
        <w:numPr>
          <w:ilvl w:val="0"/>
          <w:numId w:val="43"/>
        </w:numPr>
      </w:pPr>
      <w:r>
        <w:rPr>
          <w:rStyle w:val="soitChar"/>
        </w:rPr>
        <w:t xml:space="preserve">Sécurité des personnes suivant [NBN S 23-002/A1] : </w:t>
      </w:r>
      <w:r>
        <w:rPr>
          <w:rStyle w:val="optioncarChar"/>
        </w:rPr>
        <w:t>feuilleté 2B2 / trempé 1C</w:t>
      </w:r>
    </w:p>
    <w:p w14:paraId="08E51DC4" w14:textId="77777777" w:rsidR="004B2808" w:rsidRDefault="00000000">
      <w:pPr>
        <w:pStyle w:val="Author-eListParagraph"/>
        <w:numPr>
          <w:ilvl w:val="0"/>
          <w:numId w:val="43"/>
        </w:numPr>
      </w:pPr>
      <w:r>
        <w:rPr>
          <w:rStyle w:val="soitChar"/>
        </w:rPr>
        <w:t xml:space="preserve">Suspentes adaptées au poids de la porte : </w:t>
      </w:r>
      <w:r>
        <w:rPr>
          <w:rStyle w:val="optioncarChar"/>
        </w:rPr>
        <w:t>charnières invisibles / paumelles inox / pivot </w:t>
      </w:r>
    </w:p>
    <w:p w14:paraId="58B3AB6A" w14:textId="77777777" w:rsidR="004B2808" w:rsidRDefault="00000000">
      <w:pPr>
        <w:pStyle w:val="Author-eListParagraph"/>
        <w:numPr>
          <w:ilvl w:val="0"/>
          <w:numId w:val="43"/>
        </w:numPr>
      </w:pPr>
      <w:r>
        <w:rPr>
          <w:rStyle w:val="optioncarChar"/>
        </w:rPr>
        <w:t>/ coulissant</w:t>
      </w:r>
    </w:p>
    <w:p w14:paraId="7FC3D8B9" w14:textId="77777777" w:rsidR="004B2808" w:rsidRDefault="00000000">
      <w:pPr>
        <w:pStyle w:val="Author-eListParagraph"/>
        <w:numPr>
          <w:ilvl w:val="0"/>
          <w:numId w:val="43"/>
        </w:numPr>
      </w:pPr>
      <w:r>
        <w:rPr>
          <w:rStyle w:val="soitChar"/>
        </w:rPr>
        <w:t xml:space="preserve">Plinthe automatique : </w:t>
      </w:r>
      <w:r>
        <w:rPr>
          <w:rStyle w:val="optioncarChar"/>
        </w:rPr>
        <w:t>oui / non</w:t>
      </w:r>
    </w:p>
    <w:p w14:paraId="175E1B88" w14:textId="77777777" w:rsidR="004B2808" w:rsidRDefault="00000000">
      <w:pPr>
        <w:pStyle w:val="Author-eListParagraph"/>
        <w:numPr>
          <w:ilvl w:val="0"/>
          <w:numId w:val="43"/>
        </w:numPr>
      </w:pPr>
      <w:r>
        <w:rPr>
          <w:rStyle w:val="soitChar"/>
        </w:rPr>
        <w:t xml:space="preserve">Serrure à cylindre : </w:t>
      </w:r>
      <w:r>
        <w:rPr>
          <w:rStyle w:val="optioncarChar"/>
        </w:rPr>
        <w:t>oui / non</w:t>
      </w:r>
    </w:p>
    <w:p w14:paraId="105300A8" w14:textId="77777777" w:rsidR="004B2808" w:rsidRDefault="00000000">
      <w:pPr>
        <w:pStyle w:val="Author-eListParagraph"/>
        <w:numPr>
          <w:ilvl w:val="0"/>
          <w:numId w:val="43"/>
        </w:numPr>
      </w:pPr>
      <w:r>
        <w:rPr>
          <w:rStyle w:val="soitChar"/>
        </w:rPr>
        <w:t xml:space="preserve">Béquille : </w:t>
      </w:r>
      <w:r>
        <w:rPr>
          <w:rStyle w:val="optioncarChar"/>
        </w:rPr>
        <w:t xml:space="preserve">U inox brossé </w:t>
      </w:r>
      <w:r>
        <w:t>(par défaut)</w:t>
      </w:r>
      <w:r>
        <w:rPr>
          <w:rStyle w:val="optioncarChar"/>
        </w:rPr>
        <w:t xml:space="preserve"> / L inox brossé / ***</w:t>
      </w:r>
    </w:p>
    <w:p w14:paraId="5B4CF51C" w14:textId="77777777" w:rsidR="004B2808" w:rsidRDefault="00000000">
      <w:pPr>
        <w:pStyle w:val="Author-eListParagraph"/>
        <w:numPr>
          <w:ilvl w:val="0"/>
          <w:numId w:val="43"/>
        </w:numPr>
      </w:pPr>
      <w:r>
        <w:rPr>
          <w:rStyle w:val="soitChar"/>
        </w:rPr>
        <w:t xml:space="preserve">Poignée fixe : </w:t>
      </w:r>
      <w:r>
        <w:rPr>
          <w:rStyle w:val="optioncarChar"/>
        </w:rPr>
        <w:t xml:space="preserve">U bords droits inox brossé </w:t>
      </w:r>
      <w:r>
        <w:t>(par défaut)</w:t>
      </w:r>
      <w:r>
        <w:rPr>
          <w:rStyle w:val="optioncarChar"/>
        </w:rPr>
        <w:t xml:space="preserve"> / ***</w:t>
      </w:r>
      <w:r>
        <w:br/>
      </w:r>
    </w:p>
    <w:p w14:paraId="32642956" w14:textId="77777777" w:rsidR="004B2808" w:rsidRDefault="00000000">
      <w:pPr>
        <w:jc w:val="both"/>
      </w:pPr>
      <w:r>
        <w:rPr>
          <w:b/>
        </w:rPr>
        <w:t>Aspects environnementaux</w:t>
      </w:r>
    </w:p>
    <w:p w14:paraId="47928CE0" w14:textId="77777777" w:rsidR="004B2808" w:rsidRDefault="00000000">
      <w:pPr>
        <w:jc w:val="both"/>
      </w:pPr>
      <w:r>
        <w:t>La démontabilité des cloisons et portes permet leur réutilisation sans perte de qualité.</w:t>
      </w:r>
    </w:p>
    <w:p w14:paraId="5C3355E6" w14:textId="77777777" w:rsidR="004B2808" w:rsidRDefault="00000000">
      <w:pPr>
        <w:pStyle w:val="pheading"/>
      </w:pPr>
      <w:r>
        <w:t>- Finitions</w:t>
      </w:r>
    </w:p>
    <w:p w14:paraId="3873414E" w14:textId="77777777" w:rsidR="004B2808" w:rsidRDefault="00000000">
      <w:pPr>
        <w:jc w:val="both"/>
      </w:pPr>
      <w:r>
        <w:t xml:space="preserve">Tous les éléments visibles sont de teinte : </w:t>
      </w:r>
      <w:r>
        <w:rPr>
          <w:rStyle w:val="optioncarChar"/>
        </w:rPr>
        <w:t xml:space="preserve">au choix dans la gamme du fabricant </w:t>
      </w:r>
      <w:r>
        <w:t>(par défaut)</w:t>
      </w:r>
      <w:r>
        <w:rPr>
          <w:rStyle w:val="optioncarChar"/>
        </w:rPr>
        <w:t> / au choix de la direction de chantier / ***</w:t>
      </w:r>
    </w:p>
    <w:p w14:paraId="389D24A1" w14:textId="77777777" w:rsidR="004B2808" w:rsidRDefault="00000000">
      <w:pPr>
        <w:pStyle w:val="pheading"/>
      </w:pPr>
      <w:r>
        <w:t>EXÉCUTION / MISE EN ŒUVRE</w:t>
      </w:r>
    </w:p>
    <w:p w14:paraId="7F92FF6A" w14:textId="77777777" w:rsidR="004B2808" w:rsidRDefault="00000000">
      <w:pPr>
        <w:pStyle w:val="pheading"/>
      </w:pPr>
      <w:r>
        <w:t>- Prescriptions générales</w:t>
      </w:r>
    </w:p>
    <w:p w14:paraId="455D77EC" w14:textId="77777777" w:rsidR="004B2808" w:rsidRDefault="00000000">
      <w:pPr>
        <w:jc w:val="both"/>
      </w:pPr>
      <w:r>
        <w:t>Vérification de la tolérance des chapes et finitions adjacentes aux parois : en cas de hors tolérance, l’entrepreneur prévient immédiatement la direction de chantier.</w:t>
      </w:r>
    </w:p>
    <w:p w14:paraId="2DCE80A9" w14:textId="77777777" w:rsidR="004B2808" w:rsidRDefault="004B2808">
      <w:pPr>
        <w:jc w:val="both"/>
      </w:pPr>
    </w:p>
    <w:p w14:paraId="662AAAC2" w14:textId="77777777" w:rsidR="004B2808" w:rsidRDefault="00000000">
      <w:pPr>
        <w:jc w:val="both"/>
      </w:pPr>
      <w:r>
        <w:t>Tolérance d’exécution :</w:t>
      </w:r>
    </w:p>
    <w:p w14:paraId="0DE5CCBD" w14:textId="77777777" w:rsidR="004B2808" w:rsidRDefault="00000000">
      <w:pPr>
        <w:pStyle w:val="Author-eListParagraph"/>
        <w:numPr>
          <w:ilvl w:val="0"/>
          <w:numId w:val="44"/>
        </w:numPr>
      </w:pPr>
      <w:r>
        <w:t xml:space="preserve">Hors-plomb : </w:t>
      </w:r>
      <w:r>
        <w:rPr>
          <w:rStyle w:val="optioncarChar"/>
        </w:rPr>
        <w:t>N / S</w:t>
      </w:r>
    </w:p>
    <w:p w14:paraId="43EC3697" w14:textId="77777777" w:rsidR="004B2808" w:rsidRDefault="00000000">
      <w:pPr>
        <w:pStyle w:val="Author-eListParagraph"/>
        <w:numPr>
          <w:ilvl w:val="0"/>
          <w:numId w:val="44"/>
        </w:numPr>
      </w:pPr>
      <w:r>
        <w:t xml:space="preserve">Irrégularité maximale entre 2 éléments adjacents : </w:t>
      </w:r>
      <w:r>
        <w:rPr>
          <w:rStyle w:val="optioncarChar"/>
        </w:rPr>
        <w:t xml:space="preserve">1 </w:t>
      </w:r>
      <w:r>
        <w:t>(par défaut)</w:t>
      </w:r>
      <w:r>
        <w:rPr>
          <w:rStyle w:val="optioncarChar"/>
        </w:rPr>
        <w:t xml:space="preserve"> / ***</w:t>
      </w:r>
      <w:r>
        <w:t xml:space="preserve"> mm</w:t>
      </w:r>
    </w:p>
    <w:p w14:paraId="57F72714" w14:textId="77777777" w:rsidR="004B2808" w:rsidRDefault="00000000">
      <w:pPr>
        <w:jc w:val="both"/>
      </w:pPr>
      <w:r>
        <w:t>La modulation des éléments est :</w:t>
      </w:r>
      <w:r>
        <w:rPr>
          <w:rStyle w:val="optioncarChar"/>
        </w:rPr>
        <w:t xml:space="preserve"> indiquée sur les plans d’adjudication / mise au point par l’entreprise en concertation avec la direction de chantier </w:t>
      </w:r>
    </w:p>
    <w:p w14:paraId="3FA31D81" w14:textId="77777777" w:rsidR="004B2808" w:rsidRDefault="00000000">
      <w:pPr>
        <w:jc w:val="both"/>
      </w:pPr>
      <w:r>
        <w:t>Tous les éléments techniques à intégrer sont indiqués par l’entrepreneur sur les plans de pose en coordination avec les entreprises techniques.</w:t>
      </w:r>
    </w:p>
    <w:p w14:paraId="6FAFC5A3" w14:textId="77777777" w:rsidR="004B2808" w:rsidRDefault="00000000">
      <w:pPr>
        <w:jc w:val="both"/>
      </w:pPr>
      <w:r>
        <w:t>L’entrepreneur réalise le plan de pose et le présente pour approbation la direction de chantier.</w:t>
      </w:r>
    </w:p>
    <w:p w14:paraId="453DEE02" w14:textId="77777777" w:rsidR="004B2808" w:rsidRDefault="00000000">
      <w:pPr>
        <w:jc w:val="both"/>
      </w:pPr>
      <w:r>
        <w:t>Les panneaux sont livrés avec toutes les réservations et percements nécessaires pour l’intégration des éléments techniques.</w:t>
      </w:r>
    </w:p>
    <w:p w14:paraId="73E09CDD" w14:textId="77777777" w:rsidR="004B2808" w:rsidRDefault="00000000">
      <w:pPr>
        <w:jc w:val="both"/>
      </w:pPr>
      <w:r>
        <w:t>Les panneaux techniques et les pièces d’about adaptées aux parois sur lesquelles elles doivent être fixées sont réalisés en usine.</w:t>
      </w:r>
    </w:p>
    <w:p w14:paraId="0AEEB7D5" w14:textId="77777777" w:rsidR="004B2808" w:rsidRDefault="004B2808">
      <w:pPr>
        <w:jc w:val="both"/>
      </w:pPr>
    </w:p>
    <w:p w14:paraId="030F2F70" w14:textId="77777777" w:rsidR="004B2808" w:rsidRDefault="00000000">
      <w:pPr>
        <w:jc w:val="both"/>
      </w:pPr>
      <w:r>
        <w:t>Mise en œuvre suivant prescriptions de la documentation technique accompagnant les matériaux :</w:t>
      </w:r>
    </w:p>
    <w:p w14:paraId="789B92FB" w14:textId="77777777" w:rsidR="004B2808" w:rsidRDefault="00000000">
      <w:pPr>
        <w:pStyle w:val="Author-eListParagraph"/>
        <w:numPr>
          <w:ilvl w:val="0"/>
          <w:numId w:val="45"/>
        </w:numPr>
      </w:pPr>
      <w:r>
        <w:t>Pose des lisses supérieure et inférieure avec interposition d’une mousse à cellules fermées</w:t>
      </w:r>
    </w:p>
    <w:p w14:paraId="0362A957" w14:textId="77777777" w:rsidR="004B2808" w:rsidRDefault="00000000">
      <w:pPr>
        <w:pStyle w:val="Author-eListParagraph"/>
        <w:numPr>
          <w:ilvl w:val="0"/>
          <w:numId w:val="45"/>
        </w:numPr>
      </w:pPr>
      <w:r>
        <w:t>Pose des lisses latérales au contact avec les parois adjacentes</w:t>
      </w:r>
    </w:p>
    <w:p w14:paraId="7B072646" w14:textId="77777777" w:rsidR="004B2808" w:rsidRDefault="00000000">
      <w:pPr>
        <w:pStyle w:val="Author-eListParagraph"/>
        <w:numPr>
          <w:ilvl w:val="0"/>
          <w:numId w:val="45"/>
        </w:numPr>
      </w:pPr>
      <w:r>
        <w:t>Pose des câbles et réseaux divers par les entreprises techniques</w:t>
      </w:r>
    </w:p>
    <w:p w14:paraId="5C544A0F" w14:textId="77777777" w:rsidR="004B2808" w:rsidRDefault="00000000">
      <w:pPr>
        <w:pStyle w:val="Author-eListParagraph"/>
        <w:numPr>
          <w:ilvl w:val="0"/>
          <w:numId w:val="45"/>
        </w:numPr>
      </w:pPr>
      <w:r>
        <w:t xml:space="preserve">Pose des panneaux avec liaison : </w:t>
      </w:r>
      <w:r>
        <w:rPr>
          <w:rStyle w:val="optioncarChar"/>
        </w:rPr>
        <w:t>au moyen d’une came placée dans la jonction / par clipsage autour d’un profil pris dans l’épaisseur des panneaux</w:t>
      </w:r>
      <w:r>
        <w:t>.</w:t>
      </w:r>
    </w:p>
    <w:p w14:paraId="28A9FA64" w14:textId="77777777" w:rsidR="004B2808" w:rsidRDefault="00000000">
      <w:pPr>
        <w:pStyle w:val="Author-eListParagraph"/>
        <w:numPr>
          <w:ilvl w:val="0"/>
          <w:numId w:val="45"/>
        </w:numPr>
      </w:pPr>
      <w:r>
        <w:t xml:space="preserve">Raccord entre panneaux : </w:t>
      </w:r>
      <w:r>
        <w:rPr>
          <w:rStyle w:val="optioncarChar"/>
        </w:rPr>
        <w:t>au moyen d’un joint PVC / au moyen d’un joint acier / à joint creux / bord à bord</w:t>
      </w:r>
    </w:p>
    <w:p w14:paraId="1BF7991C" w14:textId="77777777" w:rsidR="004B2808" w:rsidRDefault="00000000">
      <w:pPr>
        <w:pStyle w:val="Author-eListParagraph"/>
        <w:numPr>
          <w:ilvl w:val="0"/>
          <w:numId w:val="45"/>
        </w:numPr>
      </w:pPr>
      <w:r>
        <w:t xml:space="preserve">Crémaillères insérées dans les jonctions : </w:t>
      </w:r>
      <w:r>
        <w:rPr>
          <w:rStyle w:val="optioncarChar"/>
        </w:rPr>
        <w:t>oui / non</w:t>
      </w:r>
    </w:p>
    <w:p w14:paraId="04B9854B" w14:textId="77777777" w:rsidR="004B2808" w:rsidRDefault="00000000">
      <w:pPr>
        <w:pStyle w:val="pheading"/>
      </w:pPr>
      <w:r>
        <w:t>DOCUMENTS DE RÉFÉRENCE COMPLÉMENTAIRES</w:t>
      </w:r>
    </w:p>
    <w:p w14:paraId="5C3B319C" w14:textId="77777777" w:rsidR="004B2808" w:rsidRDefault="00000000">
      <w:pPr>
        <w:pStyle w:val="pheading"/>
      </w:pPr>
      <w:r>
        <w:t>- Matériau</w:t>
      </w:r>
    </w:p>
    <w:p w14:paraId="65EB23AF" w14:textId="77777777" w:rsidR="004B2808" w:rsidRDefault="00000000">
      <w:r>
        <w:t>[AR 1994-07-07, Arrêté royal fixant les normes de base en matière de prévention contre l'incendie et l'explosion, auxquelles les bâtiments nouveaux doivent satisfaire]</w:t>
      </w:r>
    </w:p>
    <w:p w14:paraId="08C4CDA4" w14:textId="77777777" w:rsidR="004B2808" w:rsidRDefault="00000000">
      <w:r>
        <w:lastRenderedPageBreak/>
        <w:t>[NIT 233, Les cloisons légères.]</w:t>
      </w:r>
    </w:p>
    <w:p w14:paraId="0111B09F" w14:textId="77777777" w:rsidR="004B2808" w:rsidRDefault="00000000">
      <w:r>
        <w:t>[NIT 261, Ouvrages particuliers en verre. Partie 2 : applications non structurales (vitrines, portes et ensembles en verre trempé).]</w:t>
      </w:r>
    </w:p>
    <w:p w14:paraId="1EB18567" w14:textId="77777777" w:rsidR="004B2808" w:rsidRDefault="00000000">
      <w:r>
        <w:t>[NIT 194, Code de bonne pratique pour la pose de revêtements muraux souples.]</w:t>
      </w:r>
    </w:p>
    <w:p w14:paraId="1B577865" w14:textId="77777777" w:rsidR="004B280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 </w:t>
      </w:r>
    </w:p>
    <w:p w14:paraId="05B26D9C" w14:textId="77777777" w:rsidR="004B2808" w:rsidRDefault="00000000">
      <w:r>
        <w:t>[NBN S 23-002/A1, Vitrerie (+ AC:2010)] </w:t>
      </w:r>
    </w:p>
    <w:p w14:paraId="2923AA44" w14:textId="77777777" w:rsidR="004B2808" w:rsidRDefault="00000000">
      <w:r>
        <w:t>[NBN EN ISO 717-1, Acoustique - Évaluation de l'isolement acoustique des immeubles et des éléments de construction - Partie 1: Isolement aux bruits aériens (ISO 717-1:2020)]</w:t>
      </w:r>
    </w:p>
    <w:p w14:paraId="5847B174" w14:textId="77777777" w:rsidR="004B2808" w:rsidRDefault="00000000">
      <w:r>
        <w:t>[NBN EN ISO 10140-3, Acoustique - Mesurage en laboratoire de l'isolation acoustique des éléments de construction - Partie 3: Mesurage de l'isolation au bruit de choc (ISO 10140-3:2021)]</w:t>
      </w:r>
    </w:p>
    <w:p w14:paraId="516FA0EB" w14:textId="77777777" w:rsidR="004B2808" w:rsidRDefault="00000000">
      <w:r>
        <w:t>[NBN EN 1991 série, Eurocode 1 : Actions sur les structures]</w:t>
      </w:r>
    </w:p>
    <w:p w14:paraId="427D3D93" w14:textId="77777777" w:rsidR="004B2808" w:rsidRDefault="00000000">
      <w:pPr>
        <w:pStyle w:val="pheading"/>
      </w:pPr>
      <w:r>
        <w:t>- Exécution</w:t>
      </w:r>
    </w:p>
    <w:p w14:paraId="59B000F3" w14:textId="77777777" w:rsidR="004B2808" w:rsidRDefault="00000000">
      <w:r>
        <w:t>[NIT 233, Les cloisons légères.]</w:t>
      </w:r>
    </w:p>
    <w:p w14:paraId="50214E3B" w14:textId="77777777" w:rsidR="004B2808" w:rsidRDefault="00000000">
      <w:pPr>
        <w:pStyle w:val="pheading"/>
      </w:pPr>
      <w:r>
        <w:t>MESURAGE</w:t>
      </w:r>
    </w:p>
    <w:p w14:paraId="28C3131D" w14:textId="77777777" w:rsidR="004B2808" w:rsidRDefault="00000000">
      <w:pPr>
        <w:pStyle w:val="pheading"/>
      </w:pPr>
      <w:r>
        <w:t>- unité de mesure:</w:t>
      </w:r>
    </w:p>
    <w:p w14:paraId="5EC105AB" w14:textId="77777777" w:rsidR="004B2808" w:rsidRDefault="00000000">
      <w:r>
        <w:t>m² pour les cloisons ; m pour les crémaillères ; pc pour les modules techniques ; pc pour les portes</w:t>
      </w:r>
    </w:p>
    <w:p w14:paraId="2E034B90" w14:textId="77777777" w:rsidR="004B2808" w:rsidRDefault="00000000">
      <w:pPr>
        <w:pStyle w:val="pheading"/>
      </w:pPr>
      <w:r>
        <w:t>- code de mesurage:</w:t>
      </w:r>
    </w:p>
    <w:p w14:paraId="4F769001" w14:textId="77777777" w:rsidR="004B2808" w:rsidRDefault="00000000">
      <w:pPr>
        <w:jc w:val="both"/>
      </w:pPr>
      <w:r>
        <w:t>Cloisons : surface nette distinction faite du type et de la hauteur</w:t>
      </w:r>
    </w:p>
    <w:p w14:paraId="127F5527" w14:textId="77777777" w:rsidR="004B2808" w:rsidRDefault="00000000">
      <w:pPr>
        <w:jc w:val="both"/>
      </w:pPr>
      <w:r>
        <w:t>Crémaillères : longueur nette</w:t>
      </w:r>
    </w:p>
    <w:p w14:paraId="39F26407" w14:textId="77777777" w:rsidR="004B2808" w:rsidRDefault="00000000">
      <w:pPr>
        <w:jc w:val="both"/>
      </w:pPr>
      <w:r>
        <w:t>Modules techniques : quantité nette à mettre en œuvre, distinction faite suivant le type</w:t>
      </w:r>
    </w:p>
    <w:p w14:paraId="22F4367D" w14:textId="77777777" w:rsidR="004B2808" w:rsidRDefault="00000000">
      <w:pPr>
        <w:jc w:val="both"/>
      </w:pPr>
      <w:r>
        <w:t>Portes : quantité nette à mettre en œuvre, distinction faite suivant la dimension</w:t>
      </w:r>
    </w:p>
    <w:p w14:paraId="0DDB1A00" w14:textId="77777777" w:rsidR="004B2808" w:rsidRDefault="00000000">
      <w:pPr>
        <w:pStyle w:val="pheading"/>
      </w:pPr>
      <w:r>
        <w:t>- nature du marché:</w:t>
      </w:r>
    </w:p>
    <w:p w14:paraId="29813B82" w14:textId="77777777" w:rsidR="004B2808" w:rsidRDefault="00000000">
      <w:r>
        <w:t>QF</w:t>
      </w:r>
    </w:p>
    <w:p w14:paraId="5DD4A4F8" w14:textId="77777777" w:rsidR="004B2808" w:rsidRDefault="00000000">
      <w:pPr>
        <w:pStyle w:val="Author-eSectionHeading6Numberless"/>
      </w:pPr>
      <w:bookmarkStart w:id="83" w:name="_Toc220490292"/>
      <w:r>
        <w:t>51.31.1b Cloisons démontables et amovibles / panneaux vitrés CCTB 01.11</w:t>
      </w:r>
      <w:bookmarkEnd w:id="83"/>
    </w:p>
    <w:p w14:paraId="41C9A785" w14:textId="77777777" w:rsidR="004B2808" w:rsidRDefault="00000000">
      <w:pPr>
        <w:pStyle w:val="pheading"/>
      </w:pPr>
      <w:bookmarkStart w:id="84" w:name="1151"/>
      <w:bookmarkEnd w:id="84"/>
      <w:r>
        <w:t>DESCRIPTION</w:t>
      </w:r>
    </w:p>
    <w:p w14:paraId="702C6298" w14:textId="77777777" w:rsidR="004B2808" w:rsidRDefault="00000000">
      <w:pPr>
        <w:pStyle w:val="pheading"/>
      </w:pPr>
      <w:r>
        <w:t>- Définition / Comprend</w:t>
      </w:r>
    </w:p>
    <w:p w14:paraId="71CF53C8" w14:textId="77777777" w:rsidR="004B2808" w:rsidRDefault="00000000">
      <w:pPr>
        <w:jc w:val="both"/>
      </w:pPr>
      <w:r>
        <w:t>Il s’agit de la fourniture et la pose de cloisons démontables et amovibles à panneaux vitrés.</w:t>
      </w:r>
    </w:p>
    <w:p w14:paraId="39CE1585" w14:textId="77777777" w:rsidR="004B2808" w:rsidRDefault="00000000">
      <w:pPr>
        <w:jc w:val="both"/>
      </w:pPr>
      <w:r>
        <w:t>Le travail comprend notamment :</w:t>
      </w:r>
    </w:p>
    <w:p w14:paraId="321C5E84" w14:textId="77777777" w:rsidR="004B2808" w:rsidRDefault="00000000">
      <w:pPr>
        <w:pStyle w:val="Author-eListParagraph"/>
        <w:numPr>
          <w:ilvl w:val="0"/>
          <w:numId w:val="46"/>
        </w:numPr>
        <w:jc w:val="both"/>
      </w:pPr>
      <w:r>
        <w:t>Intégration des portes ;</w:t>
      </w:r>
    </w:p>
    <w:p w14:paraId="0562C792" w14:textId="77777777" w:rsidR="004B2808" w:rsidRDefault="00000000">
      <w:pPr>
        <w:pStyle w:val="Author-eListParagraph"/>
        <w:numPr>
          <w:ilvl w:val="0"/>
          <w:numId w:val="46"/>
        </w:numPr>
        <w:jc w:val="both"/>
      </w:pPr>
      <w:r>
        <w:t xml:space="preserve">Intégration des panneaux pleins suivant </w:t>
      </w:r>
      <w:hyperlink w:anchor="1152" w:history="1">
        <w:r w:rsidR="004B2808">
          <w:rPr>
            <w:color w:val="0000EE"/>
          </w:rPr>
          <w:t>51.31.1a Cloisons démontables et amovibles / panneaux pleins</w:t>
        </w:r>
      </w:hyperlink>
      <w:r>
        <w:t xml:space="preserve"> : </w:t>
      </w:r>
      <w:r>
        <w:rPr>
          <w:rStyle w:val="optioncarChar"/>
        </w:rPr>
        <w:t>oui / non.</w:t>
      </w:r>
    </w:p>
    <w:p w14:paraId="398EE8CE" w14:textId="77777777" w:rsidR="004B2808" w:rsidRDefault="00000000">
      <w:pPr>
        <w:pStyle w:val="pheading"/>
      </w:pPr>
      <w:r>
        <w:t>MATÉRIAUX</w:t>
      </w:r>
    </w:p>
    <w:p w14:paraId="3A860C97" w14:textId="77777777" w:rsidR="004B2808" w:rsidRDefault="00000000">
      <w:pPr>
        <w:pStyle w:val="pheading"/>
      </w:pPr>
      <w:r>
        <w:t>- Caractéristiques générales</w:t>
      </w:r>
    </w:p>
    <w:p w14:paraId="439DC9F5" w14:textId="77777777" w:rsidR="004B2808" w:rsidRDefault="00000000">
      <w:pPr>
        <w:jc w:val="both"/>
      </w:pPr>
      <w:r>
        <w:t xml:space="preserve">Les matériaux sont couverts par une déclaration d’aptitude à l’utilisation décrite au chapitre 02.42.1 Critères d'acceptabilité : </w:t>
      </w:r>
      <w:r>
        <w:rPr>
          <w:rStyle w:val="optioncarChar"/>
        </w:rPr>
        <w:t>oui / non</w:t>
      </w:r>
    </w:p>
    <w:p w14:paraId="17599253" w14:textId="77777777" w:rsidR="004B2808" w:rsidRDefault="00000000">
      <w:pPr>
        <w:jc w:val="both"/>
      </w:pPr>
      <w:r>
        <w:t xml:space="preserve">Résistance au feu : </w:t>
      </w:r>
      <w:r>
        <w:rPr>
          <w:rStyle w:val="optioncarChar"/>
        </w:rPr>
        <w:t>EI0 / EI30 / EI60</w:t>
      </w:r>
    </w:p>
    <w:p w14:paraId="624F3738" w14:textId="77777777" w:rsidR="004B2808" w:rsidRDefault="00000000">
      <w:pPr>
        <w:jc w:val="both"/>
      </w:pPr>
      <w:r>
        <w:t xml:space="preserve">Réaction au feu : </w:t>
      </w:r>
      <w:r>
        <w:rPr>
          <w:rStyle w:val="optioncarChar"/>
        </w:rPr>
        <w:t>A2-s1, d0</w:t>
      </w:r>
      <w:r>
        <w:t> (par défaut)</w:t>
      </w:r>
      <w:r>
        <w:rPr>
          <w:rStyle w:val="optioncarChar"/>
        </w:rPr>
        <w:t> / B-s1, d0 / ***</w:t>
      </w:r>
    </w:p>
    <w:p w14:paraId="14063A9C" w14:textId="77777777" w:rsidR="004B2808" w:rsidRDefault="00000000">
      <w:pPr>
        <w:jc w:val="both"/>
      </w:pPr>
      <w:r>
        <w:t>Caractéristique acoustique : valeur R</w:t>
      </w:r>
      <w:r>
        <w:rPr>
          <w:vertAlign w:val="subscript"/>
        </w:rPr>
        <w:t>w</w:t>
      </w:r>
      <w:r>
        <w:t xml:space="preserve"> : </w:t>
      </w:r>
      <w:r>
        <w:rPr>
          <w:rStyle w:val="optioncarChar"/>
        </w:rPr>
        <w:t>***</w:t>
      </w:r>
      <w:r>
        <w:t xml:space="preserve"> dB</w:t>
      </w:r>
    </w:p>
    <w:p w14:paraId="4E032F4A" w14:textId="77777777" w:rsidR="004B2808" w:rsidRDefault="00000000">
      <w:pPr>
        <w:jc w:val="both"/>
      </w:pPr>
      <w:r>
        <w:t xml:space="preserve">Catégorie d’usage suivant [NBN EN 1991 série] : </w:t>
      </w:r>
      <w:r>
        <w:rPr>
          <w:rStyle w:val="optioncarChar"/>
        </w:rPr>
        <w:t>A / B / C / D</w:t>
      </w:r>
    </w:p>
    <w:p w14:paraId="6B3A01B2" w14:textId="77777777" w:rsidR="004B2808" w:rsidRDefault="00000000">
      <w:pPr>
        <w:jc w:val="both"/>
      </w:pPr>
      <w:r>
        <w:lastRenderedPageBreak/>
        <w:t xml:space="preserve">Épaisseur cloison : </w:t>
      </w:r>
      <w:r>
        <w:rPr>
          <w:rStyle w:val="optioncarChar"/>
        </w:rPr>
        <w:t xml:space="preserve">100 </w:t>
      </w:r>
      <w:r>
        <w:t>(par défaut)</w:t>
      </w:r>
      <w:r>
        <w:rPr>
          <w:rStyle w:val="optioncarChar"/>
        </w:rPr>
        <w:t xml:space="preserve"> / 35 / 50 / 90 / ***</w:t>
      </w:r>
      <w:r>
        <w:t xml:space="preserve"> mm</w:t>
      </w:r>
    </w:p>
    <w:p w14:paraId="2B60055F" w14:textId="77777777" w:rsidR="004B2808" w:rsidRDefault="00000000">
      <w:pPr>
        <w:jc w:val="both"/>
      </w:pPr>
      <w:r>
        <w:t xml:space="preserve">Modulation : </w:t>
      </w:r>
      <w:r>
        <w:rPr>
          <w:rStyle w:val="optioncarChar"/>
        </w:rPr>
        <w:t xml:space="preserve">1200 </w:t>
      </w:r>
      <w:r>
        <w:t>(par défaut)</w:t>
      </w:r>
      <w:r>
        <w:rPr>
          <w:rStyle w:val="optioncarChar"/>
        </w:rPr>
        <w:t xml:space="preserve"> / 900 / 1000 / ***</w:t>
      </w:r>
      <w:r>
        <w:t xml:space="preserve"> mm</w:t>
      </w:r>
    </w:p>
    <w:p w14:paraId="1DBAE328" w14:textId="77777777" w:rsidR="004B2808" w:rsidRDefault="00000000">
      <w:pPr>
        <w:jc w:val="both"/>
      </w:pPr>
      <w:r>
        <w:t xml:space="preserve">Hauteur : </w:t>
      </w:r>
      <w:r>
        <w:rPr>
          <w:rStyle w:val="optioncarChar"/>
        </w:rPr>
        <w:t>***</w:t>
      </w:r>
      <w:r>
        <w:t xml:space="preserve"> mm</w:t>
      </w:r>
    </w:p>
    <w:p w14:paraId="25A9409D" w14:textId="77777777" w:rsidR="004B2808" w:rsidRDefault="00000000">
      <w:pPr>
        <w:jc w:val="both"/>
      </w:pPr>
      <w:r>
        <w:t>Vitrage :</w:t>
      </w:r>
    </w:p>
    <w:p w14:paraId="69207AA9" w14:textId="77777777" w:rsidR="004B2808" w:rsidRDefault="00000000">
      <w:pPr>
        <w:pStyle w:val="Author-eListParagraph"/>
        <w:numPr>
          <w:ilvl w:val="0"/>
          <w:numId w:val="47"/>
        </w:numPr>
      </w:pPr>
      <w:r>
        <w:t xml:space="preserve">Sécurité des personnes suivant [NBN S 23-002/A1] : </w:t>
      </w:r>
      <w:r>
        <w:rPr>
          <w:rStyle w:val="optioncarChar"/>
        </w:rPr>
        <w:t>feuilleté 2B2 / trempé 1C</w:t>
      </w:r>
    </w:p>
    <w:p w14:paraId="1E0E8501" w14:textId="77777777" w:rsidR="004B2808" w:rsidRDefault="00000000">
      <w:pPr>
        <w:pStyle w:val="Author-eListParagraph"/>
        <w:numPr>
          <w:ilvl w:val="0"/>
          <w:numId w:val="47"/>
        </w:numPr>
      </w:pPr>
      <w:r>
        <w:t xml:space="preserve">Résistant au feu : </w:t>
      </w:r>
      <w:r>
        <w:rPr>
          <w:rStyle w:val="optioncarChar"/>
        </w:rPr>
        <w:t>EI0 / EI30 / EI60</w:t>
      </w:r>
    </w:p>
    <w:p w14:paraId="2E114883" w14:textId="77777777" w:rsidR="004B2808" w:rsidRDefault="00000000">
      <w:pPr>
        <w:pStyle w:val="Author-eListParagraph"/>
        <w:numPr>
          <w:ilvl w:val="0"/>
          <w:numId w:val="47"/>
        </w:numPr>
      </w:pPr>
      <w:r>
        <w:t>Épaisseur vitrage suivant note de calcul établie par l’entreprise à présenter pour approbation à la direction de chantier</w:t>
      </w:r>
    </w:p>
    <w:p w14:paraId="68179890" w14:textId="77777777" w:rsidR="004B2808" w:rsidRDefault="00000000">
      <w:pPr>
        <w:pStyle w:val="Author-eListParagraph"/>
        <w:numPr>
          <w:ilvl w:val="0"/>
          <w:numId w:val="47"/>
        </w:numPr>
      </w:pPr>
      <w:r>
        <w:t xml:space="preserve">Finition vitrage :  </w:t>
      </w:r>
      <w:r>
        <w:rPr>
          <w:rStyle w:val="optioncarChar"/>
        </w:rPr>
        <w:t>transparent / avec film / sablé / teinté / sérigraphié</w:t>
      </w:r>
      <w:r>
        <w:br/>
      </w:r>
    </w:p>
    <w:p w14:paraId="6C44B762" w14:textId="77777777" w:rsidR="004B2808" w:rsidRDefault="00000000">
      <w:pPr>
        <w:jc w:val="both"/>
      </w:pPr>
      <w:r>
        <w:rPr>
          <w:b/>
        </w:rPr>
        <w:t>Lisses sol et plafond </w:t>
      </w:r>
      <w:r>
        <w:t xml:space="preserve">: </w:t>
      </w:r>
      <w:r>
        <w:rPr>
          <w:rStyle w:val="optioncarChar"/>
        </w:rPr>
        <w:t>acier thermolaqué</w:t>
      </w:r>
      <w:r>
        <w:t xml:space="preserve"> (par défaut) </w:t>
      </w:r>
      <w:r>
        <w:rPr>
          <w:rStyle w:val="optioncarChar"/>
        </w:rPr>
        <w:t>/ ***</w:t>
      </w:r>
    </w:p>
    <w:p w14:paraId="233C1A19" w14:textId="77777777" w:rsidR="004B2808" w:rsidRDefault="00000000">
      <w:pPr>
        <w:pStyle w:val="Author-eListParagraph"/>
        <w:numPr>
          <w:ilvl w:val="0"/>
          <w:numId w:val="48"/>
        </w:numPr>
      </w:pPr>
      <w:r>
        <w:t xml:space="preserve">Épaisseur : </w:t>
      </w:r>
      <w:r>
        <w:rPr>
          <w:rStyle w:val="optioncarChar"/>
        </w:rPr>
        <w:t xml:space="preserve">1 </w:t>
      </w:r>
      <w:r>
        <w:t xml:space="preserve">(par défaut) </w:t>
      </w:r>
      <w:r>
        <w:rPr>
          <w:rStyle w:val="optioncarChar"/>
        </w:rPr>
        <w:t>/ 1,5 / ***</w:t>
      </w:r>
      <w:r>
        <w:t xml:space="preserve"> mm</w:t>
      </w:r>
    </w:p>
    <w:p w14:paraId="53C1EF59" w14:textId="77777777" w:rsidR="004B2808" w:rsidRDefault="00000000">
      <w:pPr>
        <w:pStyle w:val="Author-eListParagraph"/>
        <w:numPr>
          <w:ilvl w:val="0"/>
          <w:numId w:val="48"/>
        </w:numPr>
      </w:pPr>
      <w:r>
        <w:t xml:space="preserve">Finition : </w:t>
      </w:r>
      <w:r>
        <w:rPr>
          <w:rStyle w:val="optioncarChar"/>
        </w:rPr>
        <w:t xml:space="preserve">60 </w:t>
      </w:r>
      <w:r>
        <w:t xml:space="preserve">(par défaut) </w:t>
      </w:r>
      <w:r>
        <w:rPr>
          <w:rStyle w:val="optioncarChar"/>
        </w:rPr>
        <w:t>/ 70 / 100 / ***</w:t>
      </w:r>
      <w:r>
        <w:t xml:space="preserve"> µm</w:t>
      </w:r>
    </w:p>
    <w:p w14:paraId="520800FF" w14:textId="77777777" w:rsidR="004B2808" w:rsidRDefault="00000000">
      <w:pPr>
        <w:pStyle w:val="Author-eListParagraph"/>
        <w:numPr>
          <w:ilvl w:val="0"/>
          <w:numId w:val="48"/>
        </w:numPr>
      </w:pPr>
      <w:r>
        <w:t>Pourvues en face inférieure/supérieure de joints à cellules fermées collés.</w:t>
      </w:r>
      <w:r>
        <w:br/>
      </w:r>
    </w:p>
    <w:p w14:paraId="181B2469" w14:textId="77777777" w:rsidR="004B2808" w:rsidRDefault="00000000">
      <w:pPr>
        <w:jc w:val="both"/>
      </w:pPr>
      <w:r>
        <w:rPr>
          <w:b/>
        </w:rPr>
        <w:t>Lisses horizontales remplies de :</w:t>
      </w:r>
      <w:r>
        <w:t>  </w:t>
      </w:r>
      <w:r>
        <w:rPr>
          <w:rStyle w:val="optioncarChar"/>
        </w:rPr>
        <w:t>laine de roche</w:t>
      </w:r>
      <w:r>
        <w:t xml:space="preserve"> (par défaut)</w:t>
      </w:r>
      <w:r>
        <w:rPr>
          <w:rStyle w:val="optioncarChar"/>
        </w:rPr>
        <w:t xml:space="preserve"> / panneau à base de bois lamellé collé / chevron en bois</w:t>
      </w:r>
    </w:p>
    <w:p w14:paraId="64508797" w14:textId="77777777" w:rsidR="004B2808" w:rsidRDefault="00000000">
      <w:pPr>
        <w:jc w:val="both"/>
      </w:pPr>
      <w:r>
        <w:rPr>
          <w:b/>
        </w:rPr>
        <w:t>(soit par défaut)</w:t>
      </w:r>
    </w:p>
    <w:p w14:paraId="006E9595" w14:textId="77777777" w:rsidR="004B2808" w:rsidRDefault="00000000">
      <w:pPr>
        <w:jc w:val="both"/>
      </w:pPr>
      <w:r>
        <w:rPr>
          <w:rStyle w:val="soitChar"/>
          <w:u w:val="single"/>
        </w:rPr>
        <w:t>Laine de roche :</w:t>
      </w:r>
    </w:p>
    <w:p w14:paraId="2D6D33EC" w14:textId="77777777" w:rsidR="004B2808" w:rsidRDefault="00000000">
      <w:pPr>
        <w:pStyle w:val="Author-eListParagraph"/>
        <w:numPr>
          <w:ilvl w:val="0"/>
          <w:numId w:val="49"/>
        </w:numPr>
      </w:pPr>
      <w:r>
        <w:rPr>
          <w:rStyle w:val="soitChar"/>
        </w:rPr>
        <w:t xml:space="preserve">Densité : </w:t>
      </w:r>
      <w:r>
        <w:rPr>
          <w:rStyle w:val="optioncarChar"/>
        </w:rPr>
        <w:t xml:space="preserve">150 </w:t>
      </w:r>
      <w:r>
        <w:t>(par défaut)</w:t>
      </w:r>
      <w:r>
        <w:rPr>
          <w:rStyle w:val="optioncarChar"/>
        </w:rPr>
        <w:t xml:space="preserve"> / 45 / ***</w:t>
      </w:r>
      <w:r>
        <w:rPr>
          <w:rStyle w:val="soitChar"/>
        </w:rPr>
        <w:t xml:space="preserve"> kg/m³</w:t>
      </w:r>
    </w:p>
    <w:p w14:paraId="516DA074" w14:textId="77777777" w:rsidR="004B2808" w:rsidRDefault="00000000">
      <w:pPr>
        <w:jc w:val="both"/>
      </w:pPr>
      <w:r>
        <w:rPr>
          <w:b/>
        </w:rPr>
        <w:t>(soit)</w:t>
      </w:r>
    </w:p>
    <w:p w14:paraId="75B15E90" w14:textId="77777777" w:rsidR="004B2808" w:rsidRDefault="00000000">
      <w:pPr>
        <w:jc w:val="both"/>
      </w:pPr>
      <w:r>
        <w:rPr>
          <w:rStyle w:val="soitChar"/>
          <w:u w:val="single"/>
        </w:rPr>
        <w:t>Panneau à base de bois lamellé collé :</w:t>
      </w:r>
    </w:p>
    <w:p w14:paraId="3085A95C" w14:textId="77777777" w:rsidR="004B2808" w:rsidRDefault="00000000">
      <w:pPr>
        <w:pStyle w:val="Author-eListParagraph"/>
        <w:numPr>
          <w:ilvl w:val="0"/>
          <w:numId w:val="50"/>
        </w:numPr>
      </w:pPr>
      <w:r>
        <w:rPr>
          <w:rStyle w:val="soitChar"/>
        </w:rPr>
        <w:t xml:space="preserve">Densité : </w:t>
      </w:r>
      <w:r>
        <w:rPr>
          <w:rStyle w:val="optioncarChar"/>
        </w:rPr>
        <w:t xml:space="preserve">650 </w:t>
      </w:r>
      <w:r>
        <w:t>(par défaut)</w:t>
      </w:r>
      <w:r>
        <w:rPr>
          <w:rStyle w:val="optioncarChar"/>
        </w:rPr>
        <w:t xml:space="preserve"> / ***</w:t>
      </w:r>
      <w:r>
        <w:rPr>
          <w:rStyle w:val="soitChar"/>
        </w:rPr>
        <w:t xml:space="preserve"> kg/m³</w:t>
      </w:r>
    </w:p>
    <w:p w14:paraId="12BEE965" w14:textId="77777777" w:rsidR="004B2808" w:rsidRDefault="00000000">
      <w:pPr>
        <w:pStyle w:val="Author-eListParagraph"/>
        <w:numPr>
          <w:ilvl w:val="0"/>
          <w:numId w:val="50"/>
        </w:numPr>
      </w:pPr>
      <w:r>
        <w:rPr>
          <w:rStyle w:val="soitChar"/>
        </w:rPr>
        <w:t>Formaldéhyde : classe E1</w:t>
      </w:r>
    </w:p>
    <w:p w14:paraId="410C794B" w14:textId="77777777" w:rsidR="004B2808" w:rsidRDefault="00000000">
      <w:pPr>
        <w:pStyle w:val="Author-eListParagraph"/>
        <w:numPr>
          <w:ilvl w:val="0"/>
          <w:numId w:val="50"/>
        </w:numPr>
      </w:pPr>
      <w:r>
        <w:rPr>
          <w:rStyle w:val="soitChar"/>
        </w:rPr>
        <w:t>Classe d’utilisation : P2</w:t>
      </w:r>
    </w:p>
    <w:p w14:paraId="16961587" w14:textId="77777777" w:rsidR="004B2808" w:rsidRDefault="00000000">
      <w:pPr>
        <w:jc w:val="both"/>
      </w:pPr>
      <w:r>
        <w:rPr>
          <w:b/>
        </w:rPr>
        <w:t>(soit)</w:t>
      </w:r>
    </w:p>
    <w:p w14:paraId="16C4A95F" w14:textId="77777777" w:rsidR="004B2808" w:rsidRDefault="00000000">
      <w:pPr>
        <w:jc w:val="both"/>
      </w:pPr>
      <w:r>
        <w:rPr>
          <w:rStyle w:val="soitChar"/>
          <w:u w:val="single"/>
        </w:rPr>
        <w:t>Chevron en bois :</w:t>
      </w:r>
    </w:p>
    <w:p w14:paraId="11A26660" w14:textId="77777777" w:rsidR="004B2808" w:rsidRDefault="00000000">
      <w:pPr>
        <w:pStyle w:val="Author-eListParagraph"/>
        <w:numPr>
          <w:ilvl w:val="0"/>
          <w:numId w:val="51"/>
        </w:numPr>
      </w:pPr>
      <w:r>
        <w:rPr>
          <w:rStyle w:val="soitChar"/>
        </w:rPr>
        <w:t xml:space="preserve">Densité : </w:t>
      </w:r>
      <w:r>
        <w:rPr>
          <w:rStyle w:val="optioncarChar"/>
        </w:rPr>
        <w:t>430</w:t>
      </w:r>
      <w:r>
        <w:t xml:space="preserve"> (par défaut)</w:t>
      </w:r>
      <w:r>
        <w:rPr>
          <w:rStyle w:val="optioncarChar"/>
        </w:rPr>
        <w:t xml:space="preserve"> / ***</w:t>
      </w:r>
      <w:r>
        <w:rPr>
          <w:rStyle w:val="soitChar"/>
        </w:rPr>
        <w:t xml:space="preserve"> kg/m³</w:t>
      </w:r>
    </w:p>
    <w:p w14:paraId="1E3E2195" w14:textId="77777777" w:rsidR="004B2808" w:rsidRDefault="00000000">
      <w:pPr>
        <w:pStyle w:val="Author-eListParagraph"/>
        <w:numPr>
          <w:ilvl w:val="0"/>
          <w:numId w:val="51"/>
        </w:numPr>
      </w:pPr>
      <w:r>
        <w:rPr>
          <w:rStyle w:val="soitChar"/>
        </w:rPr>
        <w:t xml:space="preserve">Essence : </w:t>
      </w:r>
      <w:r>
        <w:rPr>
          <w:rStyle w:val="optioncarChar"/>
        </w:rPr>
        <w:t xml:space="preserve">pin </w:t>
      </w:r>
      <w:r>
        <w:t>(par défaut)</w:t>
      </w:r>
      <w:r>
        <w:rPr>
          <w:rStyle w:val="optioncarChar"/>
        </w:rPr>
        <w:t xml:space="preserve"> / ***</w:t>
      </w:r>
    </w:p>
    <w:p w14:paraId="509B0727" w14:textId="77777777" w:rsidR="004B2808" w:rsidRDefault="004B2808"/>
    <w:p w14:paraId="666E3B95" w14:textId="77777777" w:rsidR="004B2808" w:rsidRDefault="00000000">
      <w:pPr>
        <w:jc w:val="both"/>
      </w:pPr>
      <w:r>
        <w:rPr>
          <w:b/>
        </w:rPr>
        <w:t>Éléments monoblocs à panneaux vitrés :</w:t>
      </w:r>
      <w:r>
        <w:t xml:space="preserve">  </w:t>
      </w:r>
      <w:r>
        <w:rPr>
          <w:rStyle w:val="optioncarChar"/>
        </w:rPr>
        <w:t xml:space="preserve">vitrage bord-à-bord serti dans les profils aluminium haut et bas </w:t>
      </w:r>
      <w:r>
        <w:t xml:space="preserve">(par défaut) </w:t>
      </w:r>
      <w:r>
        <w:rPr>
          <w:rStyle w:val="optioncarChar"/>
        </w:rPr>
        <w:t>/ vitrage en cadre d’aluminium </w:t>
      </w:r>
    </w:p>
    <w:p w14:paraId="2DF0A9DB" w14:textId="77777777" w:rsidR="004B2808" w:rsidRDefault="00000000">
      <w:pPr>
        <w:jc w:val="both"/>
      </w:pPr>
      <w:r>
        <w:rPr>
          <w:b/>
        </w:rPr>
        <w:t>(soit par défaut)</w:t>
      </w:r>
    </w:p>
    <w:p w14:paraId="04B11187" w14:textId="77777777" w:rsidR="004B2808" w:rsidRDefault="00000000">
      <w:pPr>
        <w:jc w:val="both"/>
      </w:pPr>
      <w:r>
        <w:rPr>
          <w:rStyle w:val="soitChar"/>
          <w:u w:val="single"/>
        </w:rPr>
        <w:t>Vitrage bord-à-bord serti dans les profils aluminium haut et bas :</w:t>
      </w:r>
    </w:p>
    <w:p w14:paraId="17FA08CA" w14:textId="77777777" w:rsidR="004B2808" w:rsidRDefault="00000000">
      <w:pPr>
        <w:pStyle w:val="Author-eListParagraph"/>
        <w:numPr>
          <w:ilvl w:val="0"/>
          <w:numId w:val="52"/>
        </w:numPr>
      </w:pPr>
      <w:r>
        <w:rPr>
          <w:rStyle w:val="soitChar"/>
        </w:rPr>
        <w:t xml:space="preserve">Vitrage :  </w:t>
      </w:r>
      <w:r>
        <w:rPr>
          <w:rStyle w:val="optioncarChar"/>
        </w:rPr>
        <w:t>simple centré / double centré / double affleurant 1 face / double affleurant 2 faces</w:t>
      </w:r>
    </w:p>
    <w:p w14:paraId="6E2FEF51" w14:textId="77777777" w:rsidR="004B2808" w:rsidRDefault="00000000">
      <w:pPr>
        <w:pStyle w:val="Author-eListParagraph"/>
        <w:numPr>
          <w:ilvl w:val="0"/>
          <w:numId w:val="52"/>
        </w:numPr>
      </w:pPr>
      <w:r>
        <w:rPr>
          <w:rStyle w:val="soitChar"/>
        </w:rPr>
        <w:t xml:space="preserve">Finition profils aluminium : </w:t>
      </w:r>
      <w:r>
        <w:rPr>
          <w:rStyle w:val="optioncarChar"/>
        </w:rPr>
        <w:t>thermolaqué 60 µm</w:t>
      </w:r>
      <w:r>
        <w:t xml:space="preserve"> (par défaut)</w:t>
      </w:r>
      <w:r>
        <w:rPr>
          <w:rStyle w:val="optioncarChar"/>
        </w:rPr>
        <w:t xml:space="preserve"> / anodisé / ***</w:t>
      </w:r>
    </w:p>
    <w:p w14:paraId="3FFCF0A2" w14:textId="77777777" w:rsidR="004B2808" w:rsidRDefault="00000000">
      <w:pPr>
        <w:jc w:val="both"/>
      </w:pPr>
      <w:r>
        <w:rPr>
          <w:b/>
        </w:rPr>
        <w:t>(soit)</w:t>
      </w:r>
    </w:p>
    <w:p w14:paraId="65A85A94" w14:textId="77777777" w:rsidR="004B2808" w:rsidRDefault="00000000">
      <w:pPr>
        <w:jc w:val="both"/>
      </w:pPr>
      <w:r>
        <w:rPr>
          <w:rStyle w:val="soitChar"/>
          <w:u w:val="single"/>
        </w:rPr>
        <w:t>Vitrage en cadre d’aluminium :</w:t>
      </w:r>
    </w:p>
    <w:p w14:paraId="06A7D6E8" w14:textId="77777777" w:rsidR="004B2808" w:rsidRDefault="00000000">
      <w:pPr>
        <w:pStyle w:val="Author-eListParagraph"/>
        <w:numPr>
          <w:ilvl w:val="0"/>
          <w:numId w:val="53"/>
        </w:numPr>
      </w:pPr>
      <w:r>
        <w:rPr>
          <w:rStyle w:val="soitChar"/>
        </w:rPr>
        <w:t xml:space="preserve">Vitrage : </w:t>
      </w:r>
      <w:r>
        <w:rPr>
          <w:rStyle w:val="optioncarChar"/>
        </w:rPr>
        <w:t>simple centré / double centré / double affleurant 1 face / double affleurant 2 faces</w:t>
      </w:r>
    </w:p>
    <w:p w14:paraId="6FEC2E69" w14:textId="77777777" w:rsidR="004B2808" w:rsidRDefault="00000000">
      <w:pPr>
        <w:pStyle w:val="Author-eListParagraph"/>
        <w:numPr>
          <w:ilvl w:val="0"/>
          <w:numId w:val="53"/>
        </w:numPr>
      </w:pPr>
      <w:r>
        <w:rPr>
          <w:rStyle w:val="soitChar"/>
        </w:rPr>
        <w:t xml:space="preserve">Finition cadre : </w:t>
      </w:r>
      <w:r>
        <w:rPr>
          <w:rStyle w:val="optioncarChar"/>
        </w:rPr>
        <w:t xml:space="preserve">thermolaqué 60 µm </w:t>
      </w:r>
      <w:r>
        <w:t>(par défaut)</w:t>
      </w:r>
      <w:r>
        <w:rPr>
          <w:rStyle w:val="optioncarChar"/>
        </w:rPr>
        <w:t xml:space="preserve"> / anodisé / ***</w:t>
      </w:r>
    </w:p>
    <w:p w14:paraId="52BD71D2" w14:textId="77777777" w:rsidR="004B2808" w:rsidRDefault="004B2808"/>
    <w:p w14:paraId="48C472E9" w14:textId="77777777" w:rsidR="004B2808" w:rsidRDefault="00000000">
      <w:pPr>
        <w:jc w:val="both"/>
      </w:pPr>
      <w:r>
        <w:rPr>
          <w:b/>
        </w:rPr>
        <w:t>Store à lamelles intégré dans la cloison :</w:t>
      </w:r>
      <w:r>
        <w:rPr>
          <w:rStyle w:val="optioncarChar"/>
        </w:rPr>
        <w:t>oui / non</w:t>
      </w:r>
    </w:p>
    <w:p w14:paraId="33792485" w14:textId="77777777" w:rsidR="004B2808" w:rsidRDefault="00000000">
      <w:pPr>
        <w:pStyle w:val="Author-eListParagraph"/>
        <w:numPr>
          <w:ilvl w:val="0"/>
          <w:numId w:val="54"/>
        </w:numPr>
      </w:pPr>
      <w:r>
        <w:t xml:space="preserve">Commande des stores : </w:t>
      </w:r>
      <w:r>
        <w:rPr>
          <w:rStyle w:val="optioncarChar"/>
        </w:rPr>
        <w:t>manuelle / électrique</w:t>
      </w:r>
    </w:p>
    <w:p w14:paraId="497ACDEB" w14:textId="77777777" w:rsidR="004B2808" w:rsidRDefault="004B2808"/>
    <w:p w14:paraId="073A94C7" w14:textId="77777777" w:rsidR="004B2808" w:rsidRDefault="00000000">
      <w:pPr>
        <w:jc w:val="both"/>
      </w:pPr>
      <w:r>
        <w:rPr>
          <w:b/>
        </w:rPr>
        <w:t>Portes :</w:t>
      </w:r>
      <w:r>
        <w:t xml:space="preserve">  </w:t>
      </w:r>
      <w:r>
        <w:rPr>
          <w:rStyle w:val="optioncarChar"/>
        </w:rPr>
        <w:t>pleines</w:t>
      </w:r>
      <w:r>
        <w:t xml:space="preserve"> (par défaut) </w:t>
      </w:r>
      <w:r>
        <w:rPr>
          <w:rStyle w:val="optioncarChar"/>
        </w:rPr>
        <w:t>/ vitrées</w:t>
      </w:r>
    </w:p>
    <w:p w14:paraId="6D6A590D" w14:textId="77777777" w:rsidR="004B2808" w:rsidRDefault="00000000">
      <w:pPr>
        <w:jc w:val="both"/>
      </w:pPr>
      <w:r>
        <w:rPr>
          <w:b/>
        </w:rPr>
        <w:t>(soit par défaut)</w:t>
      </w:r>
    </w:p>
    <w:p w14:paraId="23E741DC" w14:textId="77777777" w:rsidR="004B2808" w:rsidRDefault="00000000">
      <w:pPr>
        <w:jc w:val="both"/>
      </w:pPr>
      <w:r>
        <w:rPr>
          <w:rStyle w:val="soitChar"/>
          <w:u w:val="single"/>
        </w:rPr>
        <w:t>Portes pleines :</w:t>
      </w:r>
    </w:p>
    <w:p w14:paraId="79D64B64" w14:textId="77777777" w:rsidR="004B2808" w:rsidRDefault="00000000">
      <w:pPr>
        <w:pStyle w:val="Author-eListParagraph"/>
        <w:numPr>
          <w:ilvl w:val="0"/>
          <w:numId w:val="55"/>
        </w:numPr>
      </w:pPr>
      <w:r>
        <w:rPr>
          <w:rStyle w:val="soitChar"/>
        </w:rPr>
        <w:t xml:space="preserve">Embrasure : </w:t>
      </w:r>
      <w:r>
        <w:rPr>
          <w:rStyle w:val="optioncarChar"/>
        </w:rPr>
        <w:t>acier thermolaqué / aluminium thermolaqué / aluminium anodisé</w:t>
      </w:r>
    </w:p>
    <w:p w14:paraId="2D173D8E" w14:textId="77777777" w:rsidR="004B2808" w:rsidRDefault="00000000">
      <w:pPr>
        <w:pStyle w:val="Author-eListParagraph"/>
        <w:numPr>
          <w:ilvl w:val="0"/>
          <w:numId w:val="55"/>
        </w:numPr>
      </w:pPr>
      <w:r>
        <w:rPr>
          <w:rStyle w:val="soitChar"/>
        </w:rPr>
        <w:t xml:space="preserve">Affleurant à la face de la cloison dans laquelle elle est intégrée : </w:t>
      </w:r>
      <w:r>
        <w:rPr>
          <w:rStyle w:val="optioncarChar"/>
        </w:rPr>
        <w:t>oui / non</w:t>
      </w:r>
    </w:p>
    <w:p w14:paraId="6FA13EBC" w14:textId="77777777" w:rsidR="004B2808" w:rsidRDefault="00000000">
      <w:pPr>
        <w:pStyle w:val="Author-eListParagraph"/>
        <w:numPr>
          <w:ilvl w:val="0"/>
          <w:numId w:val="55"/>
        </w:numPr>
      </w:pPr>
      <w:r>
        <w:rPr>
          <w:rStyle w:val="soitChar"/>
        </w:rPr>
        <w:t xml:space="preserve">Largeur : </w:t>
      </w:r>
      <w:r>
        <w:rPr>
          <w:rStyle w:val="optioncarChar"/>
        </w:rPr>
        <w:t xml:space="preserve">930 </w:t>
      </w:r>
      <w:r>
        <w:t>(par défaut)</w:t>
      </w:r>
      <w:r>
        <w:rPr>
          <w:rStyle w:val="optioncarChar"/>
        </w:rPr>
        <w:t xml:space="preserve"> / 830 /1030</w:t>
      </w:r>
      <w:r>
        <w:rPr>
          <w:rStyle w:val="soitChar"/>
        </w:rPr>
        <w:t xml:space="preserve"> mm</w:t>
      </w:r>
    </w:p>
    <w:p w14:paraId="17F09D72" w14:textId="77777777" w:rsidR="004B2808" w:rsidRDefault="00000000">
      <w:pPr>
        <w:pStyle w:val="Author-eListParagraph"/>
        <w:numPr>
          <w:ilvl w:val="0"/>
          <w:numId w:val="55"/>
        </w:numPr>
      </w:pPr>
      <w:r>
        <w:rPr>
          <w:rStyle w:val="soitChar"/>
        </w:rPr>
        <w:t xml:space="preserve">Épaisseur : </w:t>
      </w:r>
      <w:r>
        <w:rPr>
          <w:rStyle w:val="optioncarChar"/>
        </w:rPr>
        <w:t xml:space="preserve">40 </w:t>
      </w:r>
      <w:r>
        <w:t>(par défaut)</w:t>
      </w:r>
      <w:r>
        <w:rPr>
          <w:rStyle w:val="optioncarChar"/>
        </w:rPr>
        <w:t xml:space="preserve"> / 50 / ***</w:t>
      </w:r>
      <w:r>
        <w:rPr>
          <w:rStyle w:val="soitChar"/>
        </w:rPr>
        <w:t xml:space="preserve"> mm</w:t>
      </w:r>
    </w:p>
    <w:p w14:paraId="04D4EEAB" w14:textId="77777777" w:rsidR="004B2808" w:rsidRDefault="00000000">
      <w:pPr>
        <w:pStyle w:val="Author-eListParagraph"/>
        <w:numPr>
          <w:ilvl w:val="0"/>
          <w:numId w:val="55"/>
        </w:numPr>
      </w:pPr>
      <w:r>
        <w:rPr>
          <w:rStyle w:val="soitChar"/>
        </w:rPr>
        <w:t xml:space="preserve">Hauteur : </w:t>
      </w:r>
      <w:r>
        <w:rPr>
          <w:rStyle w:val="optioncarChar"/>
        </w:rPr>
        <w:t>toute hauteur / 211,5 avec imposte / 201,5 avec imposte</w:t>
      </w:r>
    </w:p>
    <w:p w14:paraId="77D4B7D6" w14:textId="77777777" w:rsidR="004B2808" w:rsidRDefault="00000000">
      <w:pPr>
        <w:pStyle w:val="Author-eListParagraph"/>
        <w:numPr>
          <w:ilvl w:val="0"/>
          <w:numId w:val="55"/>
        </w:numPr>
        <w:jc w:val="both"/>
      </w:pPr>
      <w:r>
        <w:rPr>
          <w:rStyle w:val="soitChar"/>
        </w:rPr>
        <w:t>Caractéristique acoustique, valeur R</w:t>
      </w:r>
      <w:r>
        <w:rPr>
          <w:rStyle w:val="soitChar"/>
          <w:vertAlign w:val="subscript"/>
        </w:rPr>
        <w:t>w</w:t>
      </w:r>
      <w:r>
        <w:rPr>
          <w:rStyle w:val="soitChar"/>
        </w:rPr>
        <w:t xml:space="preserve"> : </w:t>
      </w:r>
      <w:r>
        <w:rPr>
          <w:rStyle w:val="optioncarChar"/>
        </w:rPr>
        <w:t>***</w:t>
      </w:r>
      <w:r>
        <w:rPr>
          <w:rStyle w:val="soitChar"/>
        </w:rPr>
        <w:t xml:space="preserve"> dB</w:t>
      </w:r>
    </w:p>
    <w:p w14:paraId="369D82E8" w14:textId="77777777" w:rsidR="004B2808" w:rsidRDefault="00000000">
      <w:pPr>
        <w:pStyle w:val="Author-eListParagraph"/>
        <w:numPr>
          <w:ilvl w:val="0"/>
          <w:numId w:val="55"/>
        </w:numPr>
      </w:pPr>
      <w:r>
        <w:rPr>
          <w:rStyle w:val="soitChar"/>
        </w:rPr>
        <w:t xml:space="preserve">Résistance au feu : </w:t>
      </w:r>
      <w:r>
        <w:rPr>
          <w:rStyle w:val="optioncarChar"/>
        </w:rPr>
        <w:t>EI</w:t>
      </w:r>
      <w:r>
        <w:rPr>
          <w:rStyle w:val="optioncarChar"/>
          <w:vertAlign w:val="subscript"/>
        </w:rPr>
        <w:t>1</w:t>
      </w:r>
      <w:r>
        <w:rPr>
          <w:rStyle w:val="optioncarChar"/>
        </w:rPr>
        <w:t>0 / EI</w:t>
      </w:r>
      <w:r>
        <w:rPr>
          <w:rStyle w:val="optioncarChar"/>
          <w:vertAlign w:val="subscript"/>
        </w:rPr>
        <w:t>1</w:t>
      </w:r>
      <w:r>
        <w:rPr>
          <w:rStyle w:val="optioncarChar"/>
        </w:rPr>
        <w:t>30 / EI</w:t>
      </w:r>
      <w:r>
        <w:rPr>
          <w:rStyle w:val="optioncarChar"/>
          <w:vertAlign w:val="subscript"/>
        </w:rPr>
        <w:t>1</w:t>
      </w:r>
      <w:r>
        <w:rPr>
          <w:rStyle w:val="optioncarChar"/>
        </w:rPr>
        <w:t>60</w:t>
      </w:r>
    </w:p>
    <w:p w14:paraId="53B3C2FD" w14:textId="77777777" w:rsidR="004B2808" w:rsidRDefault="00000000">
      <w:pPr>
        <w:pStyle w:val="Author-eListParagraph"/>
        <w:numPr>
          <w:ilvl w:val="0"/>
          <w:numId w:val="55"/>
        </w:numPr>
      </w:pPr>
      <w:r>
        <w:rPr>
          <w:rStyle w:val="soitChar"/>
        </w:rPr>
        <w:t xml:space="preserve">Finition : </w:t>
      </w:r>
      <w:r>
        <w:rPr>
          <w:rStyle w:val="optioncarChar"/>
        </w:rPr>
        <w:t>bois à peindre / bois finition HPL / bois placage bois / acier thermolaqué</w:t>
      </w:r>
    </w:p>
    <w:p w14:paraId="324C5368" w14:textId="77777777" w:rsidR="004B2808" w:rsidRDefault="00000000">
      <w:pPr>
        <w:pStyle w:val="Author-eListParagraph"/>
        <w:numPr>
          <w:ilvl w:val="0"/>
          <w:numId w:val="55"/>
        </w:numPr>
      </w:pPr>
      <w:r>
        <w:rPr>
          <w:rStyle w:val="soitChar"/>
        </w:rPr>
        <w:t xml:space="preserve">Suspentes adaptées au poids de la porte : </w:t>
      </w:r>
      <w:r>
        <w:rPr>
          <w:rStyle w:val="optioncarChar"/>
        </w:rPr>
        <w:t>charnières invisibles / paumelles inox / pivot / coulissant</w:t>
      </w:r>
    </w:p>
    <w:p w14:paraId="35287B0C" w14:textId="77777777" w:rsidR="004B2808" w:rsidRDefault="00000000">
      <w:pPr>
        <w:pStyle w:val="Author-eListParagraph"/>
        <w:numPr>
          <w:ilvl w:val="0"/>
          <w:numId w:val="55"/>
        </w:numPr>
      </w:pPr>
      <w:r>
        <w:rPr>
          <w:rStyle w:val="soitChar"/>
        </w:rPr>
        <w:t xml:space="preserve">Plinthe automatique : </w:t>
      </w:r>
      <w:r>
        <w:rPr>
          <w:rStyle w:val="optioncarChar"/>
        </w:rPr>
        <w:t>oui / non</w:t>
      </w:r>
    </w:p>
    <w:p w14:paraId="6D055306" w14:textId="77777777" w:rsidR="004B2808" w:rsidRDefault="00000000">
      <w:pPr>
        <w:pStyle w:val="Author-eListParagraph"/>
        <w:numPr>
          <w:ilvl w:val="0"/>
          <w:numId w:val="55"/>
        </w:numPr>
      </w:pPr>
      <w:r>
        <w:rPr>
          <w:rStyle w:val="soitChar"/>
        </w:rPr>
        <w:t xml:space="preserve">Serrure à cylindre : </w:t>
      </w:r>
      <w:r>
        <w:rPr>
          <w:rStyle w:val="optioncarChar"/>
        </w:rPr>
        <w:t>oui / non</w:t>
      </w:r>
    </w:p>
    <w:p w14:paraId="004EFAF4" w14:textId="77777777" w:rsidR="004B2808" w:rsidRDefault="00000000">
      <w:pPr>
        <w:pStyle w:val="Author-eListParagraph"/>
        <w:numPr>
          <w:ilvl w:val="0"/>
          <w:numId w:val="55"/>
        </w:numPr>
      </w:pPr>
      <w:r>
        <w:rPr>
          <w:rStyle w:val="soitChar"/>
        </w:rPr>
        <w:t xml:space="preserve">Béquille : </w:t>
      </w:r>
      <w:r>
        <w:rPr>
          <w:rStyle w:val="optioncarChar"/>
        </w:rPr>
        <w:t>U inox brossé</w:t>
      </w:r>
      <w:r>
        <w:t xml:space="preserve"> (par défaut)</w:t>
      </w:r>
      <w:r>
        <w:rPr>
          <w:rStyle w:val="optioncarChar"/>
        </w:rPr>
        <w:t xml:space="preserve"> / L inox brossé / ***</w:t>
      </w:r>
    </w:p>
    <w:p w14:paraId="70FE1A29" w14:textId="77777777" w:rsidR="004B2808" w:rsidRDefault="00000000">
      <w:pPr>
        <w:pStyle w:val="Author-eListParagraph"/>
        <w:numPr>
          <w:ilvl w:val="0"/>
          <w:numId w:val="55"/>
        </w:numPr>
      </w:pPr>
      <w:r>
        <w:rPr>
          <w:rStyle w:val="soitChar"/>
        </w:rPr>
        <w:t xml:space="preserve">Poignée fixe : </w:t>
      </w:r>
      <w:r>
        <w:rPr>
          <w:rStyle w:val="optioncarChar"/>
        </w:rPr>
        <w:t>U bords droits inox brossé</w:t>
      </w:r>
      <w:r>
        <w:t xml:space="preserve"> (par défaut) </w:t>
      </w:r>
      <w:r>
        <w:rPr>
          <w:rStyle w:val="optioncarChar"/>
        </w:rPr>
        <w:t>/ ***</w:t>
      </w:r>
    </w:p>
    <w:p w14:paraId="5F3E8796" w14:textId="77777777" w:rsidR="004B2808" w:rsidRDefault="00000000">
      <w:pPr>
        <w:jc w:val="both"/>
      </w:pPr>
      <w:r>
        <w:rPr>
          <w:b/>
        </w:rPr>
        <w:t> (soit)</w:t>
      </w:r>
    </w:p>
    <w:p w14:paraId="7CE474E8" w14:textId="77777777" w:rsidR="004B2808" w:rsidRDefault="00000000">
      <w:pPr>
        <w:jc w:val="both"/>
      </w:pPr>
      <w:r>
        <w:rPr>
          <w:rStyle w:val="soitChar"/>
          <w:u w:val="single"/>
        </w:rPr>
        <w:t>Portes vitrées :</w:t>
      </w:r>
    </w:p>
    <w:p w14:paraId="6365EC4E" w14:textId="77777777" w:rsidR="004B2808" w:rsidRDefault="00000000">
      <w:pPr>
        <w:pStyle w:val="Author-eListParagraph"/>
        <w:numPr>
          <w:ilvl w:val="0"/>
          <w:numId w:val="56"/>
        </w:numPr>
        <w:jc w:val="both"/>
      </w:pPr>
      <w:r>
        <w:rPr>
          <w:rStyle w:val="soitChar"/>
        </w:rPr>
        <w:t xml:space="preserve">Embrasure : </w:t>
      </w:r>
      <w:r>
        <w:rPr>
          <w:rStyle w:val="optioncarChar"/>
        </w:rPr>
        <w:t>acier thermolaqué / aluminium thermolaqué / aluminium anodisé</w:t>
      </w:r>
    </w:p>
    <w:p w14:paraId="58274846" w14:textId="77777777" w:rsidR="004B2808" w:rsidRDefault="00000000">
      <w:pPr>
        <w:pStyle w:val="Author-eListParagraph"/>
        <w:numPr>
          <w:ilvl w:val="0"/>
          <w:numId w:val="56"/>
        </w:numPr>
        <w:jc w:val="both"/>
      </w:pPr>
      <w:r>
        <w:rPr>
          <w:rStyle w:val="soitChar"/>
        </w:rPr>
        <w:t xml:space="preserve">Résistance au feu : </w:t>
      </w:r>
      <w:r>
        <w:rPr>
          <w:rStyle w:val="optioncarChar"/>
        </w:rPr>
        <w:t>EI</w:t>
      </w:r>
      <w:r>
        <w:rPr>
          <w:rStyle w:val="optioncarChar"/>
          <w:vertAlign w:val="subscript"/>
        </w:rPr>
        <w:t>1</w:t>
      </w:r>
      <w:r>
        <w:rPr>
          <w:rStyle w:val="optioncarChar"/>
        </w:rPr>
        <w:t>0 / EI</w:t>
      </w:r>
      <w:r>
        <w:rPr>
          <w:rStyle w:val="optioncarChar"/>
          <w:vertAlign w:val="subscript"/>
        </w:rPr>
        <w:t>1</w:t>
      </w:r>
      <w:r>
        <w:rPr>
          <w:rStyle w:val="optioncarChar"/>
        </w:rPr>
        <w:t>30 / EI</w:t>
      </w:r>
      <w:r>
        <w:rPr>
          <w:rStyle w:val="optioncarChar"/>
          <w:vertAlign w:val="subscript"/>
        </w:rPr>
        <w:t>1</w:t>
      </w:r>
      <w:r>
        <w:rPr>
          <w:rStyle w:val="optioncarChar"/>
        </w:rPr>
        <w:t>60</w:t>
      </w:r>
    </w:p>
    <w:p w14:paraId="760C7A65" w14:textId="77777777" w:rsidR="004B2808" w:rsidRDefault="00000000">
      <w:pPr>
        <w:pStyle w:val="Author-eListParagraph"/>
        <w:numPr>
          <w:ilvl w:val="0"/>
          <w:numId w:val="56"/>
        </w:numPr>
        <w:jc w:val="both"/>
      </w:pPr>
      <w:r>
        <w:rPr>
          <w:rStyle w:val="soitChar"/>
        </w:rPr>
        <w:t>Caractéristique acoustique : valeur R</w:t>
      </w:r>
      <w:r>
        <w:rPr>
          <w:rStyle w:val="soitChar"/>
          <w:vertAlign w:val="subscript"/>
        </w:rPr>
        <w:t>w</w:t>
      </w:r>
      <w:r>
        <w:rPr>
          <w:rStyle w:val="soitChar"/>
        </w:rPr>
        <w:t xml:space="preserve"> : </w:t>
      </w:r>
      <w:r>
        <w:rPr>
          <w:rStyle w:val="optioncarChar"/>
        </w:rPr>
        <w:t>***</w:t>
      </w:r>
      <w:r>
        <w:rPr>
          <w:rStyle w:val="soitChar"/>
        </w:rPr>
        <w:t xml:space="preserve"> dB</w:t>
      </w:r>
    </w:p>
    <w:p w14:paraId="57C07425" w14:textId="77777777" w:rsidR="004B2808" w:rsidRDefault="00000000">
      <w:pPr>
        <w:pStyle w:val="Author-eListParagraph"/>
        <w:numPr>
          <w:ilvl w:val="0"/>
          <w:numId w:val="56"/>
        </w:numPr>
        <w:jc w:val="both"/>
      </w:pPr>
      <w:r>
        <w:rPr>
          <w:rStyle w:val="soitChar"/>
        </w:rPr>
        <w:t xml:space="preserve">Vitrage : </w:t>
      </w:r>
      <w:r>
        <w:rPr>
          <w:rStyle w:val="optioncarChar"/>
        </w:rPr>
        <w:t>cadre mince / sans cadre / affleurant 1 face / double affleurant 2 faces</w:t>
      </w:r>
    </w:p>
    <w:p w14:paraId="0D34883C" w14:textId="77777777" w:rsidR="004B2808" w:rsidRDefault="00000000">
      <w:pPr>
        <w:pStyle w:val="Author-eListParagraph"/>
        <w:numPr>
          <w:ilvl w:val="0"/>
          <w:numId w:val="56"/>
        </w:numPr>
        <w:jc w:val="both"/>
      </w:pPr>
      <w:r>
        <w:rPr>
          <w:rStyle w:val="soitChar"/>
        </w:rPr>
        <w:t xml:space="preserve">Largeur : </w:t>
      </w:r>
      <w:r>
        <w:rPr>
          <w:rStyle w:val="optioncarChar"/>
        </w:rPr>
        <w:t xml:space="preserve">930 </w:t>
      </w:r>
      <w:r>
        <w:t>(par défaut)</w:t>
      </w:r>
      <w:r>
        <w:rPr>
          <w:rStyle w:val="optioncarChar"/>
        </w:rPr>
        <w:t xml:space="preserve"> / 830 / 1030 / ***</w:t>
      </w:r>
      <w:r>
        <w:rPr>
          <w:rStyle w:val="soitChar"/>
        </w:rPr>
        <w:t xml:space="preserve"> mm</w:t>
      </w:r>
    </w:p>
    <w:p w14:paraId="335B22A4" w14:textId="77777777" w:rsidR="004B2808" w:rsidRDefault="00000000">
      <w:pPr>
        <w:pStyle w:val="Author-eListParagraph"/>
        <w:numPr>
          <w:ilvl w:val="0"/>
          <w:numId w:val="56"/>
        </w:numPr>
        <w:jc w:val="both"/>
      </w:pPr>
      <w:r>
        <w:rPr>
          <w:rStyle w:val="soitChar"/>
        </w:rPr>
        <w:t xml:space="preserve">Sécurité des personnes suivant [NBN S 23-002/A1] : </w:t>
      </w:r>
      <w:r>
        <w:rPr>
          <w:rStyle w:val="optioncarChar"/>
        </w:rPr>
        <w:t>feuilleté 2B2 / trempé 1C</w:t>
      </w:r>
    </w:p>
    <w:p w14:paraId="4A4CB3EF" w14:textId="77777777" w:rsidR="004B2808" w:rsidRDefault="00000000">
      <w:pPr>
        <w:pStyle w:val="Author-eListParagraph"/>
        <w:numPr>
          <w:ilvl w:val="0"/>
          <w:numId w:val="56"/>
        </w:numPr>
        <w:jc w:val="both"/>
      </w:pPr>
      <w:r>
        <w:rPr>
          <w:rStyle w:val="soitChar"/>
        </w:rPr>
        <w:t xml:space="preserve">Suspentes adaptées au poids de la porte : </w:t>
      </w:r>
      <w:r>
        <w:rPr>
          <w:rStyle w:val="optioncarChar"/>
        </w:rPr>
        <w:t>charnières invisibles / paumelles inox / pivot / coulissant en applique / coulissant dans la paroi.</w:t>
      </w:r>
    </w:p>
    <w:p w14:paraId="7B9FC72A" w14:textId="77777777" w:rsidR="004B2808" w:rsidRDefault="00000000">
      <w:pPr>
        <w:pStyle w:val="Author-eListParagraph"/>
        <w:numPr>
          <w:ilvl w:val="0"/>
          <w:numId w:val="56"/>
        </w:numPr>
        <w:jc w:val="both"/>
      </w:pPr>
      <w:r>
        <w:rPr>
          <w:rStyle w:val="soitChar"/>
        </w:rPr>
        <w:t xml:space="preserve">Plinthe automatique : </w:t>
      </w:r>
      <w:r>
        <w:rPr>
          <w:rStyle w:val="optioncarChar"/>
        </w:rPr>
        <w:t>oui / non</w:t>
      </w:r>
    </w:p>
    <w:p w14:paraId="3BA89350" w14:textId="77777777" w:rsidR="004B2808" w:rsidRDefault="00000000">
      <w:pPr>
        <w:pStyle w:val="Author-eListParagraph"/>
        <w:numPr>
          <w:ilvl w:val="0"/>
          <w:numId w:val="56"/>
        </w:numPr>
        <w:jc w:val="both"/>
      </w:pPr>
      <w:r>
        <w:rPr>
          <w:rStyle w:val="soitChar"/>
        </w:rPr>
        <w:t xml:space="preserve">Serrure à cylindre : </w:t>
      </w:r>
      <w:r>
        <w:rPr>
          <w:rStyle w:val="optioncarChar"/>
        </w:rPr>
        <w:t>oui / non</w:t>
      </w:r>
    </w:p>
    <w:p w14:paraId="4D28440C" w14:textId="77777777" w:rsidR="004B2808" w:rsidRDefault="00000000">
      <w:pPr>
        <w:pStyle w:val="Author-eListParagraph"/>
        <w:numPr>
          <w:ilvl w:val="0"/>
          <w:numId w:val="56"/>
        </w:numPr>
        <w:jc w:val="both"/>
      </w:pPr>
      <w:r>
        <w:rPr>
          <w:rStyle w:val="soitChar"/>
        </w:rPr>
        <w:t xml:space="preserve">Béquille : </w:t>
      </w:r>
      <w:r>
        <w:rPr>
          <w:rStyle w:val="optioncarChar"/>
        </w:rPr>
        <w:t xml:space="preserve">U inox brossé </w:t>
      </w:r>
      <w:r>
        <w:t>(par défaut)</w:t>
      </w:r>
      <w:r>
        <w:rPr>
          <w:rStyle w:val="optioncarChar"/>
        </w:rPr>
        <w:t xml:space="preserve"> / L inox brossé / ***</w:t>
      </w:r>
    </w:p>
    <w:p w14:paraId="1CC74DFD" w14:textId="77777777" w:rsidR="004B2808" w:rsidRDefault="00000000">
      <w:pPr>
        <w:pStyle w:val="Author-eListParagraph"/>
        <w:numPr>
          <w:ilvl w:val="0"/>
          <w:numId w:val="56"/>
        </w:numPr>
        <w:jc w:val="both"/>
      </w:pPr>
      <w:r>
        <w:rPr>
          <w:rStyle w:val="soitChar"/>
        </w:rPr>
        <w:t xml:space="preserve">Poignée fixe : </w:t>
      </w:r>
      <w:r>
        <w:rPr>
          <w:rStyle w:val="optioncarChar"/>
        </w:rPr>
        <w:t xml:space="preserve">U bords droits inox brossé </w:t>
      </w:r>
      <w:r>
        <w:t>(par défaut)</w:t>
      </w:r>
      <w:r>
        <w:rPr>
          <w:rStyle w:val="optioncarChar"/>
        </w:rPr>
        <w:t xml:space="preserve"> / ***</w:t>
      </w:r>
    </w:p>
    <w:p w14:paraId="25079D48" w14:textId="77777777" w:rsidR="004B2808" w:rsidRDefault="00000000">
      <w:pPr>
        <w:pStyle w:val="pheading"/>
      </w:pPr>
      <w:r>
        <w:t>- Finitions</w:t>
      </w:r>
    </w:p>
    <w:p w14:paraId="302999BD" w14:textId="77777777" w:rsidR="004B2808" w:rsidRDefault="00000000">
      <w:pPr>
        <w:jc w:val="both"/>
      </w:pPr>
      <w:r>
        <w:t xml:space="preserve">Tous les éléments visibles sont de teinte : </w:t>
      </w:r>
      <w:r>
        <w:rPr>
          <w:rStyle w:val="optioncarChar"/>
        </w:rPr>
        <w:t>au choix dans la gamme du fabricant</w:t>
      </w:r>
      <w:r>
        <w:t xml:space="preserve"> (par défaut)</w:t>
      </w:r>
      <w:r>
        <w:rPr>
          <w:rStyle w:val="optioncarChar"/>
        </w:rPr>
        <w:t> / au choix de la direction de chantier / ***.</w:t>
      </w:r>
    </w:p>
    <w:p w14:paraId="46FBC58C" w14:textId="77777777" w:rsidR="004B2808" w:rsidRDefault="00000000">
      <w:pPr>
        <w:pStyle w:val="pheading"/>
      </w:pPr>
      <w:r>
        <w:t>EXÉCUTION / MISE EN ŒUVRE</w:t>
      </w:r>
    </w:p>
    <w:p w14:paraId="43D65630" w14:textId="77777777" w:rsidR="004B2808" w:rsidRDefault="00000000">
      <w:pPr>
        <w:pStyle w:val="pheading"/>
      </w:pPr>
      <w:r>
        <w:t>- Prescriptions générales</w:t>
      </w:r>
    </w:p>
    <w:p w14:paraId="10B55079" w14:textId="77777777" w:rsidR="004B2808" w:rsidRDefault="00000000">
      <w:pPr>
        <w:jc w:val="both"/>
      </w:pPr>
      <w:r>
        <w:t>Vérification de la tolérance des chapes et finitions adjacentes aux parois : en cas de hors tolérance, l’entrepreneur prévient immédiatement la direction de chantier.</w:t>
      </w:r>
    </w:p>
    <w:p w14:paraId="16DCEE0D" w14:textId="77777777" w:rsidR="004B2808" w:rsidRDefault="00000000">
      <w:pPr>
        <w:jc w:val="both"/>
      </w:pPr>
      <w:r>
        <w:t>Tolérance d’exécution :</w:t>
      </w:r>
    </w:p>
    <w:p w14:paraId="34A53620" w14:textId="77777777" w:rsidR="004B2808" w:rsidRDefault="00000000">
      <w:pPr>
        <w:pStyle w:val="Author-eListParagraph"/>
        <w:numPr>
          <w:ilvl w:val="0"/>
          <w:numId w:val="57"/>
        </w:numPr>
      </w:pPr>
      <w:r>
        <w:t xml:space="preserve">Hors-aplomb : </w:t>
      </w:r>
      <w:r>
        <w:rPr>
          <w:rStyle w:val="optioncarChar"/>
        </w:rPr>
        <w:t>N / S</w:t>
      </w:r>
    </w:p>
    <w:p w14:paraId="411A3574" w14:textId="77777777" w:rsidR="004B2808" w:rsidRDefault="00000000">
      <w:pPr>
        <w:pStyle w:val="Author-eListParagraph"/>
        <w:numPr>
          <w:ilvl w:val="0"/>
          <w:numId w:val="57"/>
        </w:numPr>
      </w:pPr>
      <w:r>
        <w:t>Irrégularité maximale entre 2 éléments adjacents : 1 mm</w:t>
      </w:r>
    </w:p>
    <w:p w14:paraId="25817617" w14:textId="77777777" w:rsidR="004B2808" w:rsidRDefault="00000000">
      <w:pPr>
        <w:jc w:val="both"/>
      </w:pPr>
      <w:r>
        <w:t xml:space="preserve">La modulation des éléments est : </w:t>
      </w:r>
      <w:r>
        <w:rPr>
          <w:rStyle w:val="optioncarChar"/>
        </w:rPr>
        <w:t>indiquée sur les plans d’adjudication / mise au point par l’entreprise en concertation avec la direction de chantier </w:t>
      </w:r>
    </w:p>
    <w:p w14:paraId="729C06C0" w14:textId="77777777" w:rsidR="004B2808" w:rsidRDefault="00000000">
      <w:pPr>
        <w:jc w:val="both"/>
      </w:pPr>
      <w:r>
        <w:t>Tous les éléments techniques à intégrer sont indiqués par l’entrepreneur sur les plans de pose en coordination avec les entreprises techniques.</w:t>
      </w:r>
    </w:p>
    <w:p w14:paraId="66BBEF01" w14:textId="77777777" w:rsidR="004B2808" w:rsidRDefault="00000000">
      <w:pPr>
        <w:jc w:val="both"/>
      </w:pPr>
      <w:r>
        <w:t>L’entrepreneur réalise le plan de pose et le présente pour approbation la direction de chantier.</w:t>
      </w:r>
    </w:p>
    <w:p w14:paraId="52CCF1EC" w14:textId="77777777" w:rsidR="004B2808" w:rsidRDefault="004B2808">
      <w:pPr>
        <w:jc w:val="both"/>
      </w:pPr>
    </w:p>
    <w:p w14:paraId="1B69CE8B" w14:textId="77777777" w:rsidR="004B2808" w:rsidRDefault="00000000">
      <w:pPr>
        <w:jc w:val="both"/>
      </w:pPr>
      <w:r>
        <w:t>Mise en œuvre suivant prescriptions de la documentation technique accompagnant les matériaux :</w:t>
      </w:r>
    </w:p>
    <w:p w14:paraId="45255BE0" w14:textId="77777777" w:rsidR="004B2808" w:rsidRDefault="00000000">
      <w:pPr>
        <w:pStyle w:val="Author-eListParagraph"/>
        <w:numPr>
          <w:ilvl w:val="0"/>
          <w:numId w:val="58"/>
        </w:numPr>
      </w:pPr>
      <w:r>
        <w:t>Pose des lisses supérieure et inférieure avec interposition d’une mousse à cellules fermées collées.</w:t>
      </w:r>
    </w:p>
    <w:p w14:paraId="45426EC0" w14:textId="77777777" w:rsidR="004B2808" w:rsidRDefault="00000000">
      <w:pPr>
        <w:pStyle w:val="Author-eListParagraph"/>
        <w:numPr>
          <w:ilvl w:val="0"/>
          <w:numId w:val="58"/>
        </w:numPr>
      </w:pPr>
      <w:r>
        <w:t>Pose des lisses latérales au contact avec les parois adjacentes.</w:t>
      </w:r>
    </w:p>
    <w:p w14:paraId="209F9571" w14:textId="77777777" w:rsidR="004B2808" w:rsidRDefault="00000000">
      <w:pPr>
        <w:pStyle w:val="Author-eListParagraph"/>
        <w:numPr>
          <w:ilvl w:val="0"/>
          <w:numId w:val="58"/>
        </w:numPr>
      </w:pPr>
      <w:r>
        <w:t>Pose des câbles et réseaux divers dans les lisses horizontales par les entreprises techniques.</w:t>
      </w:r>
    </w:p>
    <w:p w14:paraId="2534D3CA" w14:textId="77777777" w:rsidR="004B2808" w:rsidRDefault="00000000">
      <w:pPr>
        <w:pStyle w:val="Author-eListParagraph"/>
        <w:numPr>
          <w:ilvl w:val="0"/>
          <w:numId w:val="58"/>
        </w:numPr>
      </w:pPr>
      <w:r>
        <w:t xml:space="preserve">Pose des panneaux raccord au moyen d’un : </w:t>
      </w:r>
      <w:r>
        <w:rPr>
          <w:rStyle w:val="optioncarChar"/>
        </w:rPr>
        <w:t>profil aluminium anodisé / profil aluminium thermolaqué / profilé translucide / collage</w:t>
      </w:r>
    </w:p>
    <w:p w14:paraId="76ADA7A6" w14:textId="77777777" w:rsidR="004B2808" w:rsidRDefault="00000000">
      <w:pPr>
        <w:pStyle w:val="Author-eListParagraph"/>
        <w:numPr>
          <w:ilvl w:val="0"/>
          <w:numId w:val="58"/>
        </w:numPr>
      </w:pPr>
      <w:r>
        <w:t>Raccords aux parois latérales au moyen de profilés identiques aux lisses horizontales.</w:t>
      </w:r>
    </w:p>
    <w:p w14:paraId="7F057F24" w14:textId="77777777" w:rsidR="004B2808" w:rsidRDefault="00000000">
      <w:pPr>
        <w:jc w:val="both"/>
      </w:pPr>
      <w:r>
        <w:rPr>
          <w:b/>
        </w:rPr>
        <w:t>Aspects environnementaux</w:t>
      </w:r>
    </w:p>
    <w:p w14:paraId="10EB8164" w14:textId="77777777" w:rsidR="004B2808" w:rsidRDefault="00000000">
      <w:pPr>
        <w:jc w:val="both"/>
      </w:pPr>
      <w:r>
        <w:t>La démontabilité des panneaux et portes permet leur réutilisation sans perte de qualité.</w:t>
      </w:r>
    </w:p>
    <w:p w14:paraId="35CF8FCD" w14:textId="77777777" w:rsidR="004B2808" w:rsidRDefault="00000000">
      <w:pPr>
        <w:pStyle w:val="pheading"/>
      </w:pPr>
      <w:r>
        <w:t>DOCUMENTS DE RÉFÉRENCE COMPLÉMENTAIRES</w:t>
      </w:r>
    </w:p>
    <w:p w14:paraId="76CC8755" w14:textId="77777777" w:rsidR="004B2808" w:rsidRDefault="00000000">
      <w:pPr>
        <w:pStyle w:val="pheading"/>
      </w:pPr>
      <w:r>
        <w:t>- Matériau</w:t>
      </w:r>
    </w:p>
    <w:p w14:paraId="1F70BC3F" w14:textId="77777777" w:rsidR="004B2808" w:rsidRDefault="00000000">
      <w:r>
        <w:t>[AR 1994-07-07, Arrêté royal fixant les normes de base en matière de prévention contre l'incendie et l'explosion, auxquelles les bâtiments nouveaux doivent satisfaire]</w:t>
      </w:r>
    </w:p>
    <w:p w14:paraId="42F273CF" w14:textId="77777777" w:rsidR="004B2808" w:rsidRDefault="00000000">
      <w:r>
        <w:t>[NIT 233, Les cloisons légères.]</w:t>
      </w:r>
    </w:p>
    <w:p w14:paraId="6A51AB81" w14:textId="77777777" w:rsidR="004B2808" w:rsidRDefault="00000000">
      <w:r>
        <w:t>[NIT 275, Ouvrages particuliers en verre. Partie 3 : applications non structurales (cloisons intérieures en verre).]</w:t>
      </w:r>
    </w:p>
    <w:p w14:paraId="5A2D75DD" w14:textId="77777777" w:rsidR="004B2808" w:rsidRDefault="00000000">
      <w:r>
        <w:t>[NIT 261, Ouvrages particuliers en verre. Partie 2 : applications non structurales (vitrines, portes et ensembles en verre trempé).]</w:t>
      </w:r>
    </w:p>
    <w:p w14:paraId="1D0F7EBF" w14:textId="77777777" w:rsidR="004B280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767E2898" w14:textId="77777777" w:rsidR="004B2808" w:rsidRDefault="00000000">
      <w:r>
        <w:t>[NBN S 23-002/A1, Vitrerie (+ AC:2010)] </w:t>
      </w:r>
    </w:p>
    <w:p w14:paraId="60E84CCC" w14:textId="77777777" w:rsidR="004B2808" w:rsidRDefault="00000000">
      <w:r>
        <w:t>[NBN EN ISO 717-1, Acoustique - Évaluation de l'isolement acoustique des immeubles et des éléments de construction - Partie 1: Isolement aux bruits aériens (ISO 717-1:2020)]</w:t>
      </w:r>
    </w:p>
    <w:p w14:paraId="4AD7186F" w14:textId="77777777" w:rsidR="004B2808" w:rsidRDefault="00000000">
      <w:r>
        <w:t>[NBN EN ISO 10140-3, Acoustique - Mesurage en laboratoire de l'isolation acoustique des éléments de construction - Partie 3: Mesurage de l'isolation au bruit de choc (ISO 10140-3:2021)]</w:t>
      </w:r>
    </w:p>
    <w:p w14:paraId="38D12A80" w14:textId="77777777" w:rsidR="004B2808" w:rsidRDefault="00000000">
      <w:r>
        <w:t>[NBN EN 1991 série, Eurocode 1 : Actions sur les structures]</w:t>
      </w:r>
    </w:p>
    <w:p w14:paraId="4B58319D" w14:textId="77777777" w:rsidR="004B2808" w:rsidRDefault="00000000">
      <w:pPr>
        <w:pStyle w:val="pheading"/>
      </w:pPr>
      <w:r>
        <w:t>- Exécution</w:t>
      </w:r>
    </w:p>
    <w:p w14:paraId="117427F5" w14:textId="77777777" w:rsidR="004B2808" w:rsidRDefault="00000000">
      <w:r>
        <w:t>[NIT 233, Les cloisons légères.]</w:t>
      </w:r>
    </w:p>
    <w:p w14:paraId="302DA644" w14:textId="77777777" w:rsidR="004B2808" w:rsidRDefault="00000000">
      <w:pPr>
        <w:pStyle w:val="pheading"/>
      </w:pPr>
      <w:r>
        <w:t>MESURAGE</w:t>
      </w:r>
    </w:p>
    <w:p w14:paraId="62504462" w14:textId="77777777" w:rsidR="004B2808" w:rsidRDefault="00000000">
      <w:pPr>
        <w:pStyle w:val="pheading"/>
      </w:pPr>
      <w:r>
        <w:t>- unité de mesure:</w:t>
      </w:r>
    </w:p>
    <w:p w14:paraId="3C5C60F5" w14:textId="77777777" w:rsidR="004B2808" w:rsidRDefault="00000000">
      <w:r>
        <w:t>m² pour les cloisons ; pc pour les portes</w:t>
      </w:r>
    </w:p>
    <w:p w14:paraId="3F006C6C" w14:textId="77777777" w:rsidR="004B2808" w:rsidRDefault="00000000">
      <w:pPr>
        <w:pStyle w:val="pheading"/>
      </w:pPr>
      <w:r>
        <w:t>- code de mesurage:</w:t>
      </w:r>
    </w:p>
    <w:p w14:paraId="0E4C47C6" w14:textId="77777777" w:rsidR="004B2808" w:rsidRDefault="00000000">
      <w:pPr>
        <w:jc w:val="both"/>
      </w:pPr>
      <w:r>
        <w:t>Cloisons : surface nette distinction faite du type et de la hauteur</w:t>
      </w:r>
    </w:p>
    <w:p w14:paraId="1F6A36EC" w14:textId="77777777" w:rsidR="004B2808" w:rsidRDefault="00000000">
      <w:pPr>
        <w:jc w:val="both"/>
      </w:pPr>
      <w:r>
        <w:t>Portes : quantité nette à mettre en œuvre, distinction faite suivant la dimension</w:t>
      </w:r>
    </w:p>
    <w:p w14:paraId="48C9B3DB" w14:textId="77777777" w:rsidR="004B2808" w:rsidRDefault="00000000">
      <w:pPr>
        <w:pStyle w:val="pheading"/>
      </w:pPr>
      <w:r>
        <w:t>- nature du marché:</w:t>
      </w:r>
    </w:p>
    <w:p w14:paraId="7D05B444" w14:textId="77777777" w:rsidR="004B2808" w:rsidRDefault="00000000">
      <w:r>
        <w:t>QF</w:t>
      </w:r>
    </w:p>
    <w:p w14:paraId="5EE1A17E" w14:textId="77777777" w:rsidR="004B2808" w:rsidRDefault="00000000">
      <w:pPr>
        <w:pStyle w:val="Author-eSectionHeading6Numberless"/>
      </w:pPr>
      <w:bookmarkStart w:id="85" w:name="_Toc220490293"/>
      <w:r>
        <w:t>51.31.1c Cloisons démontables et amovibles / cloisons frigorifiques CCTB 01.11</w:t>
      </w:r>
      <w:bookmarkEnd w:id="85"/>
    </w:p>
    <w:p w14:paraId="10FD444E" w14:textId="77777777" w:rsidR="004B2808" w:rsidRDefault="00000000">
      <w:pPr>
        <w:pStyle w:val="pheading"/>
      </w:pPr>
      <w:r>
        <w:t>DESCRIPTION</w:t>
      </w:r>
    </w:p>
    <w:p w14:paraId="5F321C88" w14:textId="77777777" w:rsidR="004B2808" w:rsidRDefault="00000000">
      <w:pPr>
        <w:pStyle w:val="pheading"/>
      </w:pPr>
      <w:r>
        <w:lastRenderedPageBreak/>
        <w:t>- Définition / Comprend</w:t>
      </w:r>
    </w:p>
    <w:p w14:paraId="207D7017" w14:textId="77777777" w:rsidR="004B2808" w:rsidRDefault="00000000">
      <w:pPr>
        <w:jc w:val="both"/>
      </w:pPr>
      <w:r>
        <w:t>Il s’agit de la fourniture et la pose de cloisons démontables et amovibles / cloisons frigorifiques.</w:t>
      </w:r>
    </w:p>
    <w:p w14:paraId="0741DE4D" w14:textId="77777777" w:rsidR="004B2808" w:rsidRDefault="00000000">
      <w:pPr>
        <w:jc w:val="both"/>
      </w:pPr>
      <w:r>
        <w:t>Le travail comprend notamment :</w:t>
      </w:r>
    </w:p>
    <w:p w14:paraId="04F9EF71" w14:textId="77777777" w:rsidR="004B2808" w:rsidRDefault="00000000">
      <w:pPr>
        <w:pStyle w:val="Author-eListParagraph"/>
        <w:numPr>
          <w:ilvl w:val="0"/>
          <w:numId w:val="59"/>
        </w:numPr>
        <w:jc w:val="both"/>
      </w:pPr>
      <w:r>
        <w:t>Intégration des portes</w:t>
      </w:r>
    </w:p>
    <w:p w14:paraId="03636FC3" w14:textId="77777777" w:rsidR="004B2808" w:rsidRDefault="00000000">
      <w:pPr>
        <w:pStyle w:val="pheading"/>
      </w:pPr>
      <w:r>
        <w:t>MATÉRIAUX</w:t>
      </w:r>
    </w:p>
    <w:p w14:paraId="18C337AD" w14:textId="77777777" w:rsidR="004B2808" w:rsidRDefault="00000000">
      <w:pPr>
        <w:pStyle w:val="pheading"/>
      </w:pPr>
      <w:r>
        <w:t>- Caractéristiques générales</w:t>
      </w:r>
    </w:p>
    <w:p w14:paraId="143BA54B" w14:textId="77777777" w:rsidR="004B2808" w:rsidRDefault="00000000">
      <w:pPr>
        <w:jc w:val="both"/>
      </w:pPr>
      <w:r>
        <w:t xml:space="preserve">Les matériaux sont couverts par une déclaration d’aptitude à l’utilisation décrite au chapitre 02.42.1 Critères d'acceptabilité : </w:t>
      </w:r>
      <w:r>
        <w:rPr>
          <w:rStyle w:val="optioncarChar"/>
        </w:rPr>
        <w:t>oui / non</w:t>
      </w:r>
    </w:p>
    <w:p w14:paraId="4F40DFA0" w14:textId="77777777" w:rsidR="004B2808" w:rsidRDefault="00000000">
      <w:pPr>
        <w:jc w:val="both"/>
      </w:pPr>
      <w:r>
        <w:t>Durabilité et effets à long terme : rapport d’essai à présenter en fonction du type d’isolation et de la méthode de collage suivant Tableau 3 de la [NBN EN 14509]</w:t>
      </w:r>
    </w:p>
    <w:p w14:paraId="06CFCB81" w14:textId="77777777" w:rsidR="004B2808" w:rsidRDefault="00000000">
      <w:pPr>
        <w:jc w:val="both"/>
      </w:pPr>
      <w:r>
        <w:t xml:space="preserve">Utilisation alimentaire : </w:t>
      </w:r>
      <w:r>
        <w:rPr>
          <w:rStyle w:val="optioncarChar"/>
        </w:rPr>
        <w:t>oui / non</w:t>
      </w:r>
    </w:p>
    <w:p w14:paraId="6CBEC730" w14:textId="77777777" w:rsidR="004B2808" w:rsidRDefault="00000000">
      <w:pPr>
        <w:jc w:val="both"/>
      </w:pPr>
      <w:r>
        <w:t xml:space="preserve">Résistance au feu : </w:t>
      </w:r>
      <w:r>
        <w:rPr>
          <w:rStyle w:val="optioncarChar"/>
        </w:rPr>
        <w:t>EI0 / EI30 / EI60</w:t>
      </w:r>
    </w:p>
    <w:p w14:paraId="6DEC6689" w14:textId="77777777" w:rsidR="004B2808" w:rsidRDefault="00000000">
      <w:pPr>
        <w:jc w:val="both"/>
      </w:pPr>
      <w:r>
        <w:t xml:space="preserve">Réaction au feu : </w:t>
      </w:r>
      <w:r>
        <w:rPr>
          <w:rStyle w:val="optioncarChar"/>
        </w:rPr>
        <w:t>A2-s1, d0 </w:t>
      </w:r>
      <w:r>
        <w:t>(par défaut)</w:t>
      </w:r>
      <w:r>
        <w:rPr>
          <w:rStyle w:val="optioncarChar"/>
        </w:rPr>
        <w:t> / B-s1, d0 / ***</w:t>
      </w:r>
    </w:p>
    <w:p w14:paraId="21267767" w14:textId="77777777" w:rsidR="004B2808" w:rsidRDefault="00000000">
      <w:pPr>
        <w:jc w:val="both"/>
      </w:pPr>
      <w:r>
        <w:t xml:space="preserve">Épaisseur : </w:t>
      </w:r>
      <w:r>
        <w:rPr>
          <w:rStyle w:val="optioncarChar"/>
        </w:rPr>
        <w:t xml:space="preserve">100 </w:t>
      </w:r>
      <w:r>
        <w:t>(par défaut)</w:t>
      </w:r>
      <w:r>
        <w:rPr>
          <w:rStyle w:val="optioncarChar"/>
        </w:rPr>
        <w:t xml:space="preserve"> / 140 / 240 / ***</w:t>
      </w:r>
      <w:r>
        <w:t xml:space="preserve"> mm</w:t>
      </w:r>
    </w:p>
    <w:p w14:paraId="5BBF77F8" w14:textId="77777777" w:rsidR="004B2808" w:rsidRDefault="00000000">
      <w:pPr>
        <w:jc w:val="both"/>
      </w:pPr>
      <w:r>
        <w:t xml:space="preserve">Modulation : </w:t>
      </w:r>
      <w:r>
        <w:rPr>
          <w:rStyle w:val="optioncarChar"/>
        </w:rPr>
        <w:t xml:space="preserve">1000 </w:t>
      </w:r>
      <w:r>
        <w:t>(par défaut)</w:t>
      </w:r>
      <w:r>
        <w:rPr>
          <w:rStyle w:val="optioncarChar"/>
        </w:rPr>
        <w:t xml:space="preserve"> / 1200 / ***</w:t>
      </w:r>
      <w:r>
        <w:t xml:space="preserve"> mm</w:t>
      </w:r>
    </w:p>
    <w:p w14:paraId="5B6A3EDB" w14:textId="77777777" w:rsidR="004B2808" w:rsidRDefault="00000000">
      <w:pPr>
        <w:jc w:val="both"/>
      </w:pPr>
      <w:r>
        <w:t xml:space="preserve">Hauteur : </w:t>
      </w:r>
      <w:r>
        <w:rPr>
          <w:rStyle w:val="optioncarChar"/>
        </w:rPr>
        <w:t>***</w:t>
      </w:r>
      <w:r>
        <w:t xml:space="preserve"> mm </w:t>
      </w:r>
    </w:p>
    <w:p w14:paraId="15FA48A1" w14:textId="77777777" w:rsidR="004B2808" w:rsidRDefault="00000000">
      <w:pPr>
        <w:jc w:val="both"/>
      </w:pPr>
      <w:r>
        <w:rPr>
          <w:b/>
        </w:rPr>
        <w:t>Lisses sol et plafond :</w:t>
      </w:r>
      <w:r>
        <w:t xml:space="preserve">  </w:t>
      </w:r>
      <w:r>
        <w:rPr>
          <w:rStyle w:val="optioncarChar"/>
        </w:rPr>
        <w:t>acier thermolaqué 35 μm</w:t>
      </w:r>
      <w:r>
        <w:t xml:space="preserve"> (par défaut)</w:t>
      </w:r>
      <w:r>
        <w:rPr>
          <w:rStyle w:val="optioncarChar"/>
        </w:rPr>
        <w:t xml:space="preserve"> / PVC / inox / ***</w:t>
      </w:r>
    </w:p>
    <w:p w14:paraId="3DC0FFA3" w14:textId="77777777" w:rsidR="004B2808" w:rsidRDefault="00000000">
      <w:pPr>
        <w:jc w:val="both"/>
      </w:pPr>
      <w:r>
        <w:rPr>
          <w:b/>
        </w:rPr>
        <w:t>Éléments monoblocs : </w:t>
      </w:r>
    </w:p>
    <w:p w14:paraId="301BDE11" w14:textId="77777777" w:rsidR="004B2808" w:rsidRDefault="00000000">
      <w:pPr>
        <w:pStyle w:val="Author-eListParagraph"/>
        <w:numPr>
          <w:ilvl w:val="0"/>
          <w:numId w:val="60"/>
        </w:numPr>
      </w:pPr>
      <w:r>
        <w:t>Profilés en tôle d’acier :  </w:t>
      </w:r>
      <w:r>
        <w:rPr>
          <w:rStyle w:val="optioncarChar"/>
        </w:rPr>
        <w:t xml:space="preserve">1,2 </w:t>
      </w:r>
      <w:r>
        <w:t>(par défaut)</w:t>
      </w:r>
      <w:r>
        <w:rPr>
          <w:rStyle w:val="optioncarChar"/>
        </w:rPr>
        <w:t xml:space="preserve"> / 1,5 / ***</w:t>
      </w:r>
      <w:r>
        <w:t xml:space="preserve"> mm</w:t>
      </w:r>
    </w:p>
    <w:p w14:paraId="38230173" w14:textId="77777777" w:rsidR="004B2808" w:rsidRDefault="00000000">
      <w:pPr>
        <w:pStyle w:val="Author-eListParagraph"/>
        <w:numPr>
          <w:ilvl w:val="0"/>
          <w:numId w:val="60"/>
        </w:numPr>
      </w:pPr>
      <w:r>
        <w:t xml:space="preserve">Parement tôle d’acier épaisseur : </w:t>
      </w:r>
      <w:r>
        <w:rPr>
          <w:rStyle w:val="optioncarChar"/>
        </w:rPr>
        <w:t>0,63</w:t>
      </w:r>
      <w:r>
        <w:t xml:space="preserve"> (par défaut)</w:t>
      </w:r>
      <w:r>
        <w:rPr>
          <w:rStyle w:val="optioncarChar"/>
        </w:rPr>
        <w:t xml:space="preserve"> / 0,75 / ***</w:t>
      </w:r>
      <w:r>
        <w:t xml:space="preserve"> mm</w:t>
      </w:r>
    </w:p>
    <w:p w14:paraId="31FB795C" w14:textId="77777777" w:rsidR="004B2808" w:rsidRDefault="00000000">
      <w:pPr>
        <w:pStyle w:val="Author-eListParagraph"/>
        <w:numPr>
          <w:ilvl w:val="0"/>
          <w:numId w:val="60"/>
        </w:numPr>
      </w:pPr>
      <w:r>
        <w:t xml:space="preserve">Profil à emboîtement pourvu d’un joint pare-vapeur : </w:t>
      </w:r>
      <w:r>
        <w:rPr>
          <w:rStyle w:val="optioncarChar"/>
        </w:rPr>
        <w:t>oui / non</w:t>
      </w:r>
    </w:p>
    <w:p w14:paraId="176B9D6F" w14:textId="77777777" w:rsidR="004B2808" w:rsidRDefault="00000000">
      <w:pPr>
        <w:jc w:val="both"/>
      </w:pPr>
      <w:r>
        <w:rPr>
          <w:b/>
        </w:rPr>
        <w:t>Isolation </w:t>
      </w:r>
      <w:r>
        <w:t xml:space="preserve">: </w:t>
      </w:r>
      <w:r>
        <w:rPr>
          <w:rStyle w:val="optioncarChar"/>
        </w:rPr>
        <w:t xml:space="preserve">laine de roche </w:t>
      </w:r>
      <w:r>
        <w:t>(par défaut)</w:t>
      </w:r>
      <w:r>
        <w:rPr>
          <w:rStyle w:val="optioncarChar"/>
        </w:rPr>
        <w:t xml:space="preserve"> / PIR - PUR injecté / ***</w:t>
      </w:r>
    </w:p>
    <w:p w14:paraId="16836B17" w14:textId="77777777" w:rsidR="004B2808" w:rsidRDefault="00000000">
      <w:pPr>
        <w:jc w:val="both"/>
      </w:pPr>
      <w:r>
        <w:rPr>
          <w:b/>
        </w:rPr>
        <w:t>(soit par défaut)</w:t>
      </w:r>
    </w:p>
    <w:p w14:paraId="4AB01AEF" w14:textId="77777777" w:rsidR="004B2808" w:rsidRDefault="00000000">
      <w:pPr>
        <w:jc w:val="both"/>
      </w:pPr>
      <w:r>
        <w:rPr>
          <w:rStyle w:val="soitChar"/>
          <w:u w:val="single"/>
        </w:rPr>
        <w:t>Laine de roche :</w:t>
      </w:r>
    </w:p>
    <w:p w14:paraId="61062AE6" w14:textId="77777777" w:rsidR="004B2808" w:rsidRDefault="00000000">
      <w:pPr>
        <w:pStyle w:val="Author-eListParagraph"/>
        <w:numPr>
          <w:ilvl w:val="0"/>
          <w:numId w:val="61"/>
        </w:numPr>
      </w:pPr>
      <w:r>
        <w:rPr>
          <w:rStyle w:val="soitChar"/>
        </w:rPr>
        <w:t xml:space="preserve">Densité : </w:t>
      </w:r>
      <w:r>
        <w:rPr>
          <w:rStyle w:val="optioncarChar"/>
        </w:rPr>
        <w:t xml:space="preserve">95 </w:t>
      </w:r>
      <w:r>
        <w:t>(par défaut)</w:t>
      </w:r>
      <w:r>
        <w:rPr>
          <w:rStyle w:val="optioncarChar"/>
        </w:rPr>
        <w:t xml:space="preserve"> / 120 / 135 / ***</w:t>
      </w:r>
      <w:r>
        <w:rPr>
          <w:rStyle w:val="soitChar"/>
        </w:rPr>
        <w:t xml:space="preserve"> kg/m3</w:t>
      </w:r>
    </w:p>
    <w:p w14:paraId="44A89EDC" w14:textId="77777777" w:rsidR="004B2808" w:rsidRDefault="00000000">
      <w:pPr>
        <w:pStyle w:val="Author-eListParagraph"/>
        <w:numPr>
          <w:ilvl w:val="0"/>
          <w:numId w:val="61"/>
        </w:numPr>
      </w:pPr>
      <w:r>
        <w:rPr>
          <w:rStyle w:val="soitChar"/>
        </w:rPr>
        <w:t xml:space="preserve">Conductivité thermique : </w:t>
      </w:r>
      <w:r>
        <w:rPr>
          <w:rStyle w:val="optioncarChar"/>
        </w:rPr>
        <w:t>0,41</w:t>
      </w:r>
      <w:r>
        <w:t xml:space="preserve"> (par défaut) </w:t>
      </w:r>
      <w:r>
        <w:rPr>
          <w:rStyle w:val="optioncarChar"/>
        </w:rPr>
        <w:t>/ ***</w:t>
      </w:r>
      <w:r>
        <w:rPr>
          <w:rStyle w:val="soitChar"/>
        </w:rPr>
        <w:t xml:space="preserve"> W/mK</w:t>
      </w:r>
    </w:p>
    <w:p w14:paraId="13E32794" w14:textId="77777777" w:rsidR="004B2808" w:rsidRDefault="00000000">
      <w:pPr>
        <w:jc w:val="both"/>
      </w:pPr>
      <w:r>
        <w:rPr>
          <w:b/>
        </w:rPr>
        <w:t>(soit)</w:t>
      </w:r>
    </w:p>
    <w:p w14:paraId="0C722173" w14:textId="77777777" w:rsidR="004B2808" w:rsidRDefault="00000000">
      <w:pPr>
        <w:jc w:val="both"/>
      </w:pPr>
      <w:r>
        <w:rPr>
          <w:rStyle w:val="soitChar"/>
          <w:u w:val="single"/>
        </w:rPr>
        <w:t>PIR – PUR injecté</w:t>
      </w:r>
    </w:p>
    <w:p w14:paraId="1179F399" w14:textId="77777777" w:rsidR="004B2808" w:rsidRDefault="00000000">
      <w:pPr>
        <w:pStyle w:val="Author-eListParagraph"/>
        <w:numPr>
          <w:ilvl w:val="0"/>
          <w:numId w:val="62"/>
        </w:numPr>
      </w:pPr>
      <w:r>
        <w:rPr>
          <w:rStyle w:val="soitChar"/>
        </w:rPr>
        <w:t xml:space="preserve">Densité : </w:t>
      </w:r>
      <w:r>
        <w:rPr>
          <w:rStyle w:val="optioncarChar"/>
        </w:rPr>
        <w:t xml:space="preserve">40 </w:t>
      </w:r>
      <w:r>
        <w:t xml:space="preserve">(par défaut) </w:t>
      </w:r>
      <w:r>
        <w:rPr>
          <w:rStyle w:val="optioncarChar"/>
        </w:rPr>
        <w:t>/ 50 / ***</w:t>
      </w:r>
      <w:r>
        <w:rPr>
          <w:rStyle w:val="soitChar"/>
        </w:rPr>
        <w:t xml:space="preserve"> kg/m3</w:t>
      </w:r>
    </w:p>
    <w:p w14:paraId="0E82FE9D" w14:textId="77777777" w:rsidR="004B2808" w:rsidRDefault="00000000">
      <w:pPr>
        <w:pStyle w:val="Author-eListParagraph"/>
        <w:numPr>
          <w:ilvl w:val="0"/>
          <w:numId w:val="62"/>
        </w:numPr>
      </w:pPr>
      <w:r>
        <w:rPr>
          <w:rStyle w:val="soitChar"/>
        </w:rPr>
        <w:t xml:space="preserve">Conductivité thermique : </w:t>
      </w:r>
      <w:r>
        <w:rPr>
          <w:rStyle w:val="optioncarChar"/>
        </w:rPr>
        <w:t xml:space="preserve">0,026 </w:t>
      </w:r>
      <w:r>
        <w:t>(par défaut)</w:t>
      </w:r>
      <w:r>
        <w:rPr>
          <w:rStyle w:val="optioncarChar"/>
        </w:rPr>
        <w:t xml:space="preserve"> / ***</w:t>
      </w:r>
      <w:r>
        <w:rPr>
          <w:rStyle w:val="soitChar"/>
        </w:rPr>
        <w:t xml:space="preserve"> W/mK </w:t>
      </w:r>
    </w:p>
    <w:p w14:paraId="526E9231" w14:textId="77777777" w:rsidR="004B2808" w:rsidRDefault="00000000">
      <w:pPr>
        <w:jc w:val="both"/>
      </w:pPr>
      <w:r>
        <w:rPr>
          <w:b/>
        </w:rPr>
        <w:t>(soit)</w:t>
      </w:r>
    </w:p>
    <w:p w14:paraId="76EB54BD" w14:textId="77777777" w:rsidR="004B2808" w:rsidRDefault="00000000">
      <w:pPr>
        <w:jc w:val="both"/>
      </w:pPr>
      <w:r>
        <w:rPr>
          <w:rStyle w:val="optioncarChar"/>
        </w:rPr>
        <w:t>***</w:t>
      </w:r>
    </w:p>
    <w:p w14:paraId="3D1EC8ED" w14:textId="77777777" w:rsidR="004B2808" w:rsidRDefault="00000000">
      <w:pPr>
        <w:jc w:val="both"/>
      </w:pPr>
      <w:r>
        <w:rPr>
          <w:b/>
        </w:rPr>
        <w:t>Porte :</w:t>
      </w:r>
      <w:r>
        <w:t xml:space="preserve">  </w:t>
      </w:r>
      <w:r>
        <w:rPr>
          <w:rStyle w:val="optioncarChar"/>
        </w:rPr>
        <w:t>acier thermolaqué / ***</w:t>
      </w:r>
    </w:p>
    <w:p w14:paraId="610F0616" w14:textId="77777777" w:rsidR="004B2808" w:rsidRDefault="00000000">
      <w:pPr>
        <w:pStyle w:val="Author-eListParagraph"/>
        <w:numPr>
          <w:ilvl w:val="0"/>
          <w:numId w:val="63"/>
        </w:numPr>
      </w:pPr>
      <w:r>
        <w:t xml:space="preserve">Résistance au feu : </w:t>
      </w:r>
      <w:r>
        <w:rPr>
          <w:rStyle w:val="optioncarChar"/>
        </w:rPr>
        <w:t>EI</w:t>
      </w:r>
      <w:r>
        <w:rPr>
          <w:rStyle w:val="optioncarChar"/>
          <w:vertAlign w:val="subscript"/>
        </w:rPr>
        <w:t>1</w:t>
      </w:r>
      <w:r>
        <w:rPr>
          <w:rStyle w:val="optioncarChar"/>
        </w:rPr>
        <w:t>0 / EI</w:t>
      </w:r>
      <w:r>
        <w:rPr>
          <w:rStyle w:val="optioncarChar"/>
          <w:vertAlign w:val="subscript"/>
        </w:rPr>
        <w:t>1</w:t>
      </w:r>
      <w:r>
        <w:rPr>
          <w:rStyle w:val="optioncarChar"/>
        </w:rPr>
        <w:t>30 / EI</w:t>
      </w:r>
      <w:r>
        <w:rPr>
          <w:rStyle w:val="optioncarChar"/>
          <w:vertAlign w:val="subscript"/>
        </w:rPr>
        <w:t>1</w:t>
      </w:r>
      <w:r>
        <w:rPr>
          <w:rStyle w:val="optioncarChar"/>
        </w:rPr>
        <w:t>60</w:t>
      </w:r>
    </w:p>
    <w:p w14:paraId="1869599A" w14:textId="77777777" w:rsidR="004B2808" w:rsidRDefault="00000000">
      <w:pPr>
        <w:pStyle w:val="Author-eListParagraph"/>
        <w:numPr>
          <w:ilvl w:val="0"/>
          <w:numId w:val="63"/>
        </w:numPr>
      </w:pPr>
      <w:r>
        <w:t xml:space="preserve">Épaisseur tôle : </w:t>
      </w:r>
      <w:r>
        <w:rPr>
          <w:rStyle w:val="optioncarChar"/>
        </w:rPr>
        <w:t xml:space="preserve">0,6 </w:t>
      </w:r>
      <w:r>
        <w:t>(par défaut)</w:t>
      </w:r>
      <w:r>
        <w:rPr>
          <w:rStyle w:val="optioncarChar"/>
        </w:rPr>
        <w:t xml:space="preserve"> / ***</w:t>
      </w:r>
      <w:r>
        <w:t xml:space="preserve"> mm</w:t>
      </w:r>
    </w:p>
    <w:p w14:paraId="1C9F3A18" w14:textId="77777777" w:rsidR="004B2808" w:rsidRDefault="00000000">
      <w:pPr>
        <w:pStyle w:val="Author-eListParagraph"/>
        <w:numPr>
          <w:ilvl w:val="0"/>
          <w:numId w:val="63"/>
        </w:numPr>
      </w:pPr>
      <w:r>
        <w:t>Finition :</w:t>
      </w:r>
      <w:r>
        <w:rPr>
          <w:rStyle w:val="optioncarChar"/>
        </w:rPr>
        <w:t xml:space="preserve"> thermolaqué 25 μm </w:t>
      </w:r>
      <w:r>
        <w:t>(par défaut)</w:t>
      </w:r>
      <w:r>
        <w:rPr>
          <w:rStyle w:val="optioncarChar"/>
        </w:rPr>
        <w:t xml:space="preserve"> / ***</w:t>
      </w:r>
    </w:p>
    <w:p w14:paraId="238479B2" w14:textId="77777777" w:rsidR="004B2808" w:rsidRDefault="00000000">
      <w:pPr>
        <w:pStyle w:val="Author-eListParagraph"/>
        <w:numPr>
          <w:ilvl w:val="0"/>
          <w:numId w:val="63"/>
        </w:numPr>
      </w:pPr>
      <w:r>
        <w:t xml:space="preserve">Épaisseur porte : </w:t>
      </w:r>
      <w:r>
        <w:rPr>
          <w:rStyle w:val="optioncarChar"/>
        </w:rPr>
        <w:t xml:space="preserve">60 </w:t>
      </w:r>
      <w:r>
        <w:t>(par défaut)</w:t>
      </w:r>
      <w:r>
        <w:rPr>
          <w:rStyle w:val="optioncarChar"/>
        </w:rPr>
        <w:t xml:space="preserve"> / 120 / ***</w:t>
      </w:r>
      <w:r>
        <w:t xml:space="preserve"> mm</w:t>
      </w:r>
    </w:p>
    <w:p w14:paraId="2C3D6660" w14:textId="77777777" w:rsidR="004B2808" w:rsidRDefault="00000000">
      <w:pPr>
        <w:pStyle w:val="Author-eListParagraph"/>
        <w:numPr>
          <w:ilvl w:val="0"/>
          <w:numId w:val="63"/>
        </w:numPr>
      </w:pPr>
      <w:r>
        <w:t xml:space="preserve">Âme isolante : </w:t>
      </w:r>
      <w:r>
        <w:rPr>
          <w:rStyle w:val="optioncarChar"/>
        </w:rPr>
        <w:t xml:space="preserve">PUR </w:t>
      </w:r>
      <w:r>
        <w:t xml:space="preserve">(par défaut) </w:t>
      </w:r>
      <w:r>
        <w:rPr>
          <w:rStyle w:val="optioncarChar"/>
        </w:rPr>
        <w:t>/ ***</w:t>
      </w:r>
    </w:p>
    <w:p w14:paraId="4A8D3A01" w14:textId="77777777" w:rsidR="004B2808" w:rsidRDefault="00000000">
      <w:pPr>
        <w:pStyle w:val="Author-eListParagraph"/>
        <w:numPr>
          <w:ilvl w:val="0"/>
          <w:numId w:val="63"/>
        </w:numPr>
      </w:pPr>
      <w:r>
        <w:t xml:space="preserve">Valeur U : </w:t>
      </w:r>
      <w:r>
        <w:rPr>
          <w:rStyle w:val="optioncarChar"/>
        </w:rPr>
        <w:t>***</w:t>
      </w:r>
      <w:r>
        <w:t xml:space="preserve"> W/m²K</w:t>
      </w:r>
    </w:p>
    <w:p w14:paraId="26F71CFE" w14:textId="77777777" w:rsidR="004B2808" w:rsidRDefault="00000000">
      <w:pPr>
        <w:pStyle w:val="Author-eListParagraph"/>
        <w:numPr>
          <w:ilvl w:val="0"/>
          <w:numId w:val="63"/>
        </w:numPr>
      </w:pPr>
      <w:r>
        <w:t xml:space="preserve">Largeur : </w:t>
      </w:r>
      <w:r>
        <w:rPr>
          <w:rStyle w:val="optioncarChar"/>
        </w:rPr>
        <w:t xml:space="preserve">930 </w:t>
      </w:r>
      <w:r>
        <w:t>(par défaut)</w:t>
      </w:r>
      <w:r>
        <w:rPr>
          <w:rStyle w:val="optioncarChar"/>
        </w:rPr>
        <w:t xml:space="preserve"> / 830 / 1030 / ***</w:t>
      </w:r>
      <w:r>
        <w:t xml:space="preserve"> mm</w:t>
      </w:r>
    </w:p>
    <w:p w14:paraId="712013F0" w14:textId="77777777" w:rsidR="004B2808" w:rsidRDefault="00000000">
      <w:pPr>
        <w:pStyle w:val="Author-eListParagraph"/>
        <w:numPr>
          <w:ilvl w:val="0"/>
          <w:numId w:val="63"/>
        </w:numPr>
      </w:pPr>
      <w:r>
        <w:t xml:space="preserve">Hauteur : </w:t>
      </w:r>
      <w:r>
        <w:rPr>
          <w:rStyle w:val="optioncarChar"/>
        </w:rPr>
        <w:t>2100</w:t>
      </w:r>
      <w:r>
        <w:t xml:space="preserve"> (par défaut)</w:t>
      </w:r>
      <w:r>
        <w:rPr>
          <w:rStyle w:val="optioncarChar"/>
        </w:rPr>
        <w:t xml:space="preserve"> / 2000 / ***</w:t>
      </w:r>
      <w:r>
        <w:t xml:space="preserve"> mm</w:t>
      </w:r>
    </w:p>
    <w:p w14:paraId="76A9CBF4" w14:textId="77777777" w:rsidR="004B2808" w:rsidRDefault="00000000">
      <w:pPr>
        <w:pStyle w:val="Author-eListParagraph"/>
        <w:numPr>
          <w:ilvl w:val="0"/>
          <w:numId w:val="63"/>
        </w:numPr>
      </w:pPr>
      <w:r>
        <w:t xml:space="preserve">Fonctionnement : </w:t>
      </w:r>
      <w:r>
        <w:rPr>
          <w:rStyle w:val="optioncarChar"/>
        </w:rPr>
        <w:t>pivotant / coulissant</w:t>
      </w:r>
      <w:r>
        <w:br/>
      </w:r>
    </w:p>
    <w:p w14:paraId="6B0253E3" w14:textId="77777777" w:rsidR="004B2808" w:rsidRDefault="00000000">
      <w:pPr>
        <w:jc w:val="both"/>
      </w:pPr>
      <w:r>
        <w:rPr>
          <w:b/>
        </w:rPr>
        <w:lastRenderedPageBreak/>
        <w:t>Huisserie :</w:t>
      </w:r>
      <w:r>
        <w:t xml:space="preserve">  </w:t>
      </w:r>
      <w:r>
        <w:rPr>
          <w:rStyle w:val="optioncarChar"/>
        </w:rPr>
        <w:t>acier / aluminium</w:t>
      </w:r>
    </w:p>
    <w:p w14:paraId="53591C3B" w14:textId="77777777" w:rsidR="004B2808" w:rsidRDefault="00000000">
      <w:pPr>
        <w:pStyle w:val="Author-eListParagraph"/>
        <w:numPr>
          <w:ilvl w:val="0"/>
          <w:numId w:val="64"/>
        </w:numPr>
        <w:jc w:val="both"/>
      </w:pPr>
      <w:r>
        <w:t xml:space="preserve">Thermolaqué : </w:t>
      </w:r>
      <w:r>
        <w:rPr>
          <w:rStyle w:val="optioncarChar"/>
        </w:rPr>
        <w:t>60</w:t>
      </w:r>
      <w:r>
        <w:t xml:space="preserve"> (par défaut)</w:t>
      </w:r>
      <w:r>
        <w:rPr>
          <w:rStyle w:val="optioncarChar"/>
        </w:rPr>
        <w:t xml:space="preserve"> / ***</w:t>
      </w:r>
      <w:r>
        <w:t xml:space="preserve"> mm</w:t>
      </w:r>
    </w:p>
    <w:p w14:paraId="1C9CEB83" w14:textId="77777777" w:rsidR="004B2808" w:rsidRDefault="00000000">
      <w:pPr>
        <w:pStyle w:val="Author-eListParagraph"/>
        <w:numPr>
          <w:ilvl w:val="0"/>
          <w:numId w:val="64"/>
        </w:numPr>
        <w:jc w:val="both"/>
      </w:pPr>
      <w:r>
        <w:t>A coupure thermique :</w:t>
      </w:r>
      <w:r>
        <w:rPr>
          <w:rStyle w:val="optioncarChar"/>
        </w:rPr>
        <w:t xml:space="preserve"> oui / non</w:t>
      </w:r>
    </w:p>
    <w:p w14:paraId="4B03BF87" w14:textId="77777777" w:rsidR="004B2808" w:rsidRDefault="00000000">
      <w:pPr>
        <w:pStyle w:val="pheading"/>
      </w:pPr>
      <w:r>
        <w:t>- Finitions</w:t>
      </w:r>
    </w:p>
    <w:p w14:paraId="69D78E0F" w14:textId="77777777" w:rsidR="004B2808" w:rsidRDefault="00000000">
      <w:pPr>
        <w:jc w:val="both"/>
      </w:pPr>
      <w:r>
        <w:t xml:space="preserve">Finition du parement : </w:t>
      </w:r>
      <w:r>
        <w:rPr>
          <w:rStyle w:val="optioncarChar"/>
        </w:rPr>
        <w:t>thermolaqué 25 μm / PVFD / film PVC / inox</w:t>
      </w:r>
    </w:p>
    <w:p w14:paraId="0D71C47F" w14:textId="77777777" w:rsidR="004B2808" w:rsidRDefault="00000000">
      <w:pPr>
        <w:jc w:val="both"/>
      </w:pPr>
      <w:r>
        <w:t>Teinte au choix de la direction des travaux dans la gamme standard du fabricant.</w:t>
      </w:r>
    </w:p>
    <w:p w14:paraId="608BF6F4" w14:textId="77777777" w:rsidR="004B2808" w:rsidRDefault="00000000">
      <w:pPr>
        <w:pStyle w:val="pheading"/>
      </w:pPr>
      <w:r>
        <w:t>EXÉCUTION / MISE EN ŒUVRE</w:t>
      </w:r>
    </w:p>
    <w:p w14:paraId="748DDF08" w14:textId="77777777" w:rsidR="004B2808" w:rsidRDefault="00000000">
      <w:pPr>
        <w:pStyle w:val="pheading"/>
      </w:pPr>
      <w:r>
        <w:t>- Prescriptions générales</w:t>
      </w:r>
    </w:p>
    <w:p w14:paraId="01B2216F" w14:textId="77777777" w:rsidR="004B2808" w:rsidRDefault="00000000">
      <w:pPr>
        <w:jc w:val="both"/>
      </w:pPr>
      <w:r>
        <w:t>Vérification de la tolérance des chapes et finitions adjacentes aux parois : en cas de hors tolérance, l’entrepreneur prévient immédiatement la direction de chantier.</w:t>
      </w:r>
    </w:p>
    <w:p w14:paraId="29B9459D" w14:textId="77777777" w:rsidR="004B2808" w:rsidRDefault="00000000">
      <w:pPr>
        <w:jc w:val="both"/>
      </w:pPr>
      <w:r>
        <w:t>Tolérance d’exécution :</w:t>
      </w:r>
    </w:p>
    <w:p w14:paraId="43B06AE9" w14:textId="77777777" w:rsidR="004B2808" w:rsidRDefault="00000000">
      <w:pPr>
        <w:pStyle w:val="Author-eListParagraph"/>
        <w:numPr>
          <w:ilvl w:val="0"/>
          <w:numId w:val="65"/>
        </w:numPr>
      </w:pPr>
      <w:r>
        <w:t xml:space="preserve">Hors-aplomb : </w:t>
      </w:r>
      <w:r>
        <w:rPr>
          <w:rStyle w:val="optioncarChar"/>
        </w:rPr>
        <w:t>N / S</w:t>
      </w:r>
    </w:p>
    <w:p w14:paraId="62023313" w14:textId="77777777" w:rsidR="004B2808" w:rsidRDefault="00000000">
      <w:pPr>
        <w:pStyle w:val="Author-eListParagraph"/>
        <w:numPr>
          <w:ilvl w:val="0"/>
          <w:numId w:val="65"/>
        </w:numPr>
      </w:pPr>
      <w:r>
        <w:t>Irrégularité maximale entre 2 éléments adjacents : 1 mm</w:t>
      </w:r>
    </w:p>
    <w:p w14:paraId="096E5638" w14:textId="77777777" w:rsidR="004B2808" w:rsidRDefault="00000000">
      <w:pPr>
        <w:jc w:val="both"/>
      </w:pPr>
      <w:r>
        <w:t>Mise en œuvre suivant prescriptions de la documentation technique accompagnant les matériaux :</w:t>
      </w:r>
    </w:p>
    <w:p w14:paraId="68EE4E8D" w14:textId="77777777" w:rsidR="004B2808" w:rsidRDefault="00000000">
      <w:pPr>
        <w:pStyle w:val="Author-eListParagraph"/>
        <w:numPr>
          <w:ilvl w:val="0"/>
          <w:numId w:val="66"/>
        </w:numPr>
        <w:jc w:val="both"/>
      </w:pPr>
      <w:r>
        <w:t>Pose de profilés de sol et plafond avec interposition de joints mastic</w:t>
      </w:r>
    </w:p>
    <w:p w14:paraId="19485782" w14:textId="77777777" w:rsidR="004B2808" w:rsidRDefault="00000000">
      <w:pPr>
        <w:pStyle w:val="Author-eListParagraph"/>
        <w:numPr>
          <w:ilvl w:val="0"/>
          <w:numId w:val="66"/>
        </w:numPr>
        <w:jc w:val="both"/>
      </w:pPr>
      <w:r>
        <w:t>Pose des panneaux avec fixations suivant note de calcul réalisée par l’entrepreneur et présentée pour approbation à la direction de chantier.</w:t>
      </w:r>
    </w:p>
    <w:p w14:paraId="0751D95E" w14:textId="77777777" w:rsidR="004B2808" w:rsidRDefault="00000000">
      <w:pPr>
        <w:pStyle w:val="Author-eListParagraph"/>
        <w:numPr>
          <w:ilvl w:val="0"/>
          <w:numId w:val="66"/>
        </w:numPr>
        <w:jc w:val="both"/>
      </w:pPr>
      <w:r>
        <w:t xml:space="preserve">Raccord entre panneaux au moyen d’un joint : </w:t>
      </w:r>
      <w:r>
        <w:rPr>
          <w:rStyle w:val="optioncarChar"/>
        </w:rPr>
        <w:t>mastic silicone</w:t>
      </w:r>
      <w:r>
        <w:t xml:space="preserve"> (par défaut)</w:t>
      </w:r>
      <w:r>
        <w:rPr>
          <w:rStyle w:val="optioncarChar"/>
        </w:rPr>
        <w:t xml:space="preserve"> / PVC / ***</w:t>
      </w:r>
    </w:p>
    <w:p w14:paraId="6A0C9508" w14:textId="77777777" w:rsidR="004B2808" w:rsidRDefault="00000000">
      <w:pPr>
        <w:pStyle w:val="Author-eListParagraph"/>
        <w:numPr>
          <w:ilvl w:val="0"/>
          <w:numId w:val="66"/>
        </w:numPr>
        <w:jc w:val="both"/>
      </w:pPr>
      <w:r>
        <w:t xml:space="preserve">Réalisation d’une coupure thermique entre panneaux lors de leur mise en place : </w:t>
      </w:r>
      <w:r>
        <w:rPr>
          <w:rStyle w:val="optioncarChar"/>
        </w:rPr>
        <w:t>oui / non</w:t>
      </w:r>
    </w:p>
    <w:p w14:paraId="7FBE4259" w14:textId="77777777" w:rsidR="004B2808" w:rsidRDefault="00000000">
      <w:pPr>
        <w:pStyle w:val="Author-eListParagraph"/>
        <w:numPr>
          <w:ilvl w:val="0"/>
          <w:numId w:val="66"/>
        </w:numPr>
        <w:jc w:val="both"/>
      </w:pPr>
      <w:r>
        <w:t xml:space="preserve">Injection de PUR entre panneaux lors de leur mise en place : </w:t>
      </w:r>
      <w:r>
        <w:rPr>
          <w:rStyle w:val="optioncarChar"/>
        </w:rPr>
        <w:t>oui / non</w:t>
      </w:r>
    </w:p>
    <w:p w14:paraId="4104467F" w14:textId="77777777" w:rsidR="004B2808" w:rsidRDefault="00000000">
      <w:pPr>
        <w:pStyle w:val="Author-eListParagraph"/>
        <w:numPr>
          <w:ilvl w:val="0"/>
          <w:numId w:val="66"/>
        </w:numPr>
        <w:jc w:val="both"/>
      </w:pPr>
      <w:r>
        <w:t xml:space="preserve">Mise en place d’un joint pare-vapeur entre panneaux et entre panneaux et éléments adjacents : </w:t>
      </w:r>
      <w:r>
        <w:rPr>
          <w:rStyle w:val="optioncarChar"/>
        </w:rPr>
        <w:t>oui / non</w:t>
      </w:r>
    </w:p>
    <w:p w14:paraId="5C113AD8" w14:textId="77777777" w:rsidR="004B2808" w:rsidRDefault="00000000">
      <w:pPr>
        <w:pStyle w:val="Author-eListParagraph"/>
        <w:numPr>
          <w:ilvl w:val="0"/>
          <w:numId w:val="66"/>
        </w:numPr>
        <w:jc w:val="both"/>
      </w:pPr>
      <w:r>
        <w:t xml:space="preserve">Pose de profilés PVC formant angle arrondi :   </w:t>
      </w:r>
    </w:p>
    <w:p w14:paraId="1C0B5FF7" w14:textId="77777777" w:rsidR="004B2808" w:rsidRDefault="00000000">
      <w:pPr>
        <w:pStyle w:val="Author-eListParagraph"/>
        <w:numPr>
          <w:ilvl w:val="1"/>
          <w:numId w:val="67"/>
        </w:numPr>
      </w:pPr>
      <w:r>
        <w:t>Au raccord avec le plafond et le sol :  </w:t>
      </w:r>
      <w:r>
        <w:rPr>
          <w:rStyle w:val="optioncarChar"/>
        </w:rPr>
        <w:t>oui / non</w:t>
      </w:r>
    </w:p>
    <w:p w14:paraId="7B6D44FE" w14:textId="77777777" w:rsidR="004B2808" w:rsidRDefault="00000000">
      <w:pPr>
        <w:pStyle w:val="Author-eListParagraph"/>
        <w:numPr>
          <w:ilvl w:val="1"/>
          <w:numId w:val="67"/>
        </w:numPr>
      </w:pPr>
      <w:r>
        <w:t>Au raccord intérieur entre panneaux en angle :</w:t>
      </w:r>
      <w:r>
        <w:rPr>
          <w:rStyle w:val="optioncarChar"/>
        </w:rPr>
        <w:t xml:space="preserve"> oui / non</w:t>
      </w:r>
    </w:p>
    <w:p w14:paraId="29FCC24E" w14:textId="77777777" w:rsidR="004B2808" w:rsidRDefault="00000000">
      <w:pPr>
        <w:pStyle w:val="Author-eListParagraph"/>
        <w:numPr>
          <w:ilvl w:val="1"/>
          <w:numId w:val="67"/>
        </w:numPr>
      </w:pPr>
      <w:r>
        <w:t xml:space="preserve">Au raccord avec les matériaux adjacents : </w:t>
      </w:r>
      <w:r>
        <w:rPr>
          <w:rStyle w:val="optioncarChar"/>
        </w:rPr>
        <w:t>oui / non</w:t>
      </w:r>
    </w:p>
    <w:p w14:paraId="60B6F1E4" w14:textId="77777777" w:rsidR="004B2808" w:rsidRDefault="00000000">
      <w:pPr>
        <w:pStyle w:val="Author-eListParagraph"/>
        <w:numPr>
          <w:ilvl w:val="0"/>
          <w:numId w:val="66"/>
        </w:numPr>
        <w:jc w:val="both"/>
      </w:pPr>
      <w:r>
        <w:t xml:space="preserve">Pose de cornières d’acier de même nature que les panneaux : </w:t>
      </w:r>
    </w:p>
    <w:p w14:paraId="656AA393" w14:textId="77777777" w:rsidR="004B2808" w:rsidRDefault="00000000">
      <w:pPr>
        <w:pStyle w:val="Author-eListParagraph"/>
        <w:numPr>
          <w:ilvl w:val="1"/>
          <w:numId w:val="68"/>
        </w:numPr>
      </w:pPr>
      <w:r>
        <w:t xml:space="preserve">Au raccord avec le plafond et le sol : </w:t>
      </w:r>
      <w:r>
        <w:rPr>
          <w:rStyle w:val="optioncarChar"/>
        </w:rPr>
        <w:t>oui / non</w:t>
      </w:r>
    </w:p>
    <w:p w14:paraId="47121FE2" w14:textId="77777777" w:rsidR="004B2808" w:rsidRDefault="00000000">
      <w:pPr>
        <w:pStyle w:val="Author-eListParagraph"/>
        <w:numPr>
          <w:ilvl w:val="1"/>
          <w:numId w:val="68"/>
        </w:numPr>
      </w:pPr>
      <w:r>
        <w:t xml:space="preserve">Au raccord intérieur entre panneaux en angle : </w:t>
      </w:r>
      <w:r>
        <w:rPr>
          <w:rStyle w:val="optioncarChar"/>
        </w:rPr>
        <w:t>oui / non</w:t>
      </w:r>
    </w:p>
    <w:p w14:paraId="1D5E0702" w14:textId="77777777" w:rsidR="004B2808" w:rsidRDefault="00000000">
      <w:pPr>
        <w:pStyle w:val="Author-eListParagraph"/>
        <w:numPr>
          <w:ilvl w:val="1"/>
          <w:numId w:val="68"/>
        </w:numPr>
      </w:pPr>
      <w:r>
        <w:t xml:space="preserve">Au raccord avec les matériaux adjacents : </w:t>
      </w:r>
      <w:r>
        <w:rPr>
          <w:rStyle w:val="optioncarChar"/>
        </w:rPr>
        <w:t>oui / non</w:t>
      </w:r>
    </w:p>
    <w:p w14:paraId="3B3F8C67" w14:textId="77777777" w:rsidR="004B2808" w:rsidRDefault="00000000">
      <w:pPr>
        <w:pStyle w:val="Author-eListParagraph"/>
        <w:numPr>
          <w:ilvl w:val="0"/>
          <w:numId w:val="66"/>
        </w:numPr>
        <w:jc w:val="both"/>
      </w:pPr>
      <w:r>
        <w:t xml:space="preserve">Pose d’un joint RF entre panneaux lors de leur mise en place : </w:t>
      </w:r>
      <w:r>
        <w:rPr>
          <w:rStyle w:val="optioncarChar"/>
        </w:rPr>
        <w:t>oui / non</w:t>
      </w:r>
    </w:p>
    <w:p w14:paraId="0FFA197F" w14:textId="77777777" w:rsidR="004B2808" w:rsidRDefault="00000000">
      <w:pPr>
        <w:pStyle w:val="Author-eListParagraph"/>
        <w:numPr>
          <w:ilvl w:val="0"/>
          <w:numId w:val="66"/>
        </w:numPr>
        <w:jc w:val="both"/>
      </w:pPr>
      <w:r>
        <w:t xml:space="preserve">Pose de joints mastic de part et d’autre entre panneaux lors de leur mise en place : </w:t>
      </w:r>
      <w:r>
        <w:rPr>
          <w:rStyle w:val="optioncarChar"/>
        </w:rPr>
        <w:t>oui / non</w:t>
      </w:r>
    </w:p>
    <w:p w14:paraId="08B0DAF5" w14:textId="77777777" w:rsidR="004B2808" w:rsidRDefault="00000000">
      <w:pPr>
        <w:pStyle w:val="pheading"/>
      </w:pPr>
      <w:r>
        <w:t>DOCUMENTS DE RÉFÉRENCE COMPLÉMENTAIRES</w:t>
      </w:r>
    </w:p>
    <w:p w14:paraId="03CC96DD" w14:textId="77777777" w:rsidR="004B2808" w:rsidRDefault="00000000">
      <w:pPr>
        <w:pStyle w:val="pheading"/>
      </w:pPr>
      <w:r>
        <w:t>- Matériau</w:t>
      </w:r>
    </w:p>
    <w:p w14:paraId="5AC4560E" w14:textId="77777777" w:rsidR="004B2808" w:rsidRDefault="00000000">
      <w:pPr>
        <w:spacing w:line="256" w:lineRule="auto"/>
      </w:pPr>
      <w:r>
        <w:t>[AR 1994-07-07, Arrêté royal fixant les normes de base en matière de prévention contre l'incendie et l'explosion, auxquelles les bâtiments nouveaux doivent satisfaire]</w:t>
      </w:r>
    </w:p>
    <w:p w14:paraId="392632A6" w14:textId="77777777" w:rsidR="004B2808" w:rsidRDefault="00000000">
      <w:pPr>
        <w:spacing w:line="256" w:lineRule="auto"/>
      </w:pPr>
      <w:r>
        <w:t>[NIT 233, Les cloisons légères.]</w:t>
      </w:r>
    </w:p>
    <w:p w14:paraId="0971E2CC" w14:textId="77777777" w:rsidR="004B2808" w:rsidRDefault="00000000">
      <w:pPr>
        <w:spacing w:line="256" w:lineRule="auto"/>
      </w:pPr>
      <w:r>
        <w:t>[NBN EN 13501-2, Classement au feu des produits et éléments de construction - Partie 2 : Classement à partir des données d’essais de résistance au feu et/ou de contrôle des fumées à l’exclusion des produits utilisés dans les systèmes de ventilation ]</w:t>
      </w:r>
    </w:p>
    <w:p w14:paraId="71167370" w14:textId="77777777" w:rsidR="004B2808" w:rsidRDefault="00000000">
      <w:r>
        <w:t>[NBN EN 14509, Panneaux sandwiches autoportants, isolants, double peau à parements métalliques - Produits manufacturés - Spécifications]</w:t>
      </w:r>
    </w:p>
    <w:p w14:paraId="05578CE6" w14:textId="77777777" w:rsidR="004B2808" w:rsidRDefault="00000000">
      <w:pPr>
        <w:pStyle w:val="pheading"/>
      </w:pPr>
      <w:r>
        <w:t>- Exécution</w:t>
      </w:r>
    </w:p>
    <w:p w14:paraId="0AC4F4C0" w14:textId="77777777" w:rsidR="004B2808" w:rsidRDefault="00000000">
      <w:r>
        <w:t>[NIT 233, Les cloisons légères.]</w:t>
      </w:r>
    </w:p>
    <w:p w14:paraId="40EE2F22" w14:textId="77777777" w:rsidR="004B2808" w:rsidRDefault="00000000">
      <w:pPr>
        <w:pStyle w:val="pheading"/>
      </w:pPr>
      <w:r>
        <w:t>MESURAGE</w:t>
      </w:r>
    </w:p>
    <w:p w14:paraId="0C930CD6" w14:textId="77777777" w:rsidR="004B2808" w:rsidRDefault="00000000">
      <w:pPr>
        <w:pStyle w:val="pheading"/>
      </w:pPr>
      <w:r>
        <w:lastRenderedPageBreak/>
        <w:t>- unité de mesure:</w:t>
      </w:r>
    </w:p>
    <w:p w14:paraId="00602D49" w14:textId="77777777" w:rsidR="004B2808" w:rsidRDefault="00000000">
      <w:r>
        <w:t>m² pour les cloisons ; pc pour les portes</w:t>
      </w:r>
    </w:p>
    <w:p w14:paraId="04B5FE33" w14:textId="77777777" w:rsidR="004B2808" w:rsidRDefault="00000000">
      <w:pPr>
        <w:pStyle w:val="pheading"/>
      </w:pPr>
      <w:r>
        <w:t>- code de mesurage:</w:t>
      </w:r>
    </w:p>
    <w:p w14:paraId="54E5923D" w14:textId="77777777" w:rsidR="004B2808" w:rsidRDefault="00000000">
      <w:r>
        <w:t>Cloisons : surface nette distinction faite du type et de la hauteur</w:t>
      </w:r>
      <w:r>
        <w:br/>
        <w:t>Portes : quantité nette à mettre en œuvre, distinction faite suivant la dimension</w:t>
      </w:r>
    </w:p>
    <w:p w14:paraId="062820B7" w14:textId="77777777" w:rsidR="004B2808" w:rsidRDefault="00000000">
      <w:pPr>
        <w:pStyle w:val="pheading"/>
      </w:pPr>
      <w:r>
        <w:t>- nature du marché:</w:t>
      </w:r>
    </w:p>
    <w:p w14:paraId="4C7BC50D" w14:textId="77777777" w:rsidR="004B2808" w:rsidRDefault="00000000">
      <w:r>
        <w:t>QF</w:t>
      </w:r>
    </w:p>
    <w:p w14:paraId="434362E2" w14:textId="77777777" w:rsidR="004B2808" w:rsidRDefault="00000000">
      <w:pPr>
        <w:pStyle w:val="Author-eSectionHeading4Numberless"/>
      </w:pPr>
      <w:bookmarkStart w:id="86" w:name="_Toc220490294"/>
      <w:r>
        <w:t>51.32 Cloisons à système bi blocs CCTB 01.11</w:t>
      </w:r>
      <w:bookmarkEnd w:id="86"/>
    </w:p>
    <w:p w14:paraId="0B3545CE" w14:textId="77777777" w:rsidR="004B2808" w:rsidRDefault="00000000">
      <w:pPr>
        <w:pStyle w:val="pheading"/>
      </w:pPr>
      <w:r>
        <w:t>DESCRIPTION</w:t>
      </w:r>
    </w:p>
    <w:p w14:paraId="15C3B12D" w14:textId="77777777" w:rsidR="004B2808" w:rsidRDefault="00000000">
      <w:pPr>
        <w:pStyle w:val="pheading"/>
      </w:pPr>
      <w:r>
        <w:t>- Définition / Comprend</w:t>
      </w:r>
    </w:p>
    <w:p w14:paraId="0F70CDD0" w14:textId="77777777" w:rsidR="004B2808" w:rsidRDefault="00000000">
      <w:pPr>
        <w:jc w:val="both"/>
      </w:pPr>
      <w:r>
        <w:t>Le travail comprend notamment :</w:t>
      </w:r>
    </w:p>
    <w:p w14:paraId="75945C75" w14:textId="77777777" w:rsidR="004B2808" w:rsidRDefault="00000000">
      <w:pPr>
        <w:pStyle w:val="Author-eListParagraph"/>
        <w:numPr>
          <w:ilvl w:val="0"/>
          <w:numId w:val="69"/>
        </w:numPr>
        <w:jc w:val="both"/>
      </w:pPr>
      <w:r>
        <w:t>Toutes précautions en matière de sécurité conformément au 01.4 Plans de sécurité et de santé ;</w:t>
      </w:r>
    </w:p>
    <w:p w14:paraId="57ABE1AC" w14:textId="77777777" w:rsidR="004B2808" w:rsidRDefault="00000000">
      <w:pPr>
        <w:pStyle w:val="Author-eListParagraph"/>
        <w:numPr>
          <w:ilvl w:val="0"/>
          <w:numId w:val="69"/>
        </w:numPr>
        <w:jc w:val="both"/>
      </w:pPr>
      <w:r>
        <w:t>L’établissement des plans d’exécution ;</w:t>
      </w:r>
    </w:p>
    <w:p w14:paraId="77FD7659" w14:textId="77777777" w:rsidR="004B2808" w:rsidRDefault="00000000">
      <w:pPr>
        <w:pStyle w:val="Author-eListParagraph"/>
        <w:numPr>
          <w:ilvl w:val="0"/>
          <w:numId w:val="69"/>
        </w:numPr>
        <w:jc w:val="both"/>
      </w:pPr>
      <w:r>
        <w:t>Vérification de la tolérance d’exécution de matériaux adjacents ;</w:t>
      </w:r>
    </w:p>
    <w:p w14:paraId="51B21FA1" w14:textId="77777777" w:rsidR="004B2808" w:rsidRDefault="00000000">
      <w:pPr>
        <w:pStyle w:val="Author-eListParagraph"/>
        <w:numPr>
          <w:ilvl w:val="0"/>
          <w:numId w:val="69"/>
        </w:numPr>
        <w:jc w:val="both"/>
      </w:pPr>
      <w:r>
        <w:t>L'évacuation et la gestion des déchets générés par les travaux de pose des cloisons conformément à la section 07 Déchets, matériaux et éléments réemployables fait partie du prix unitaire des articles suivants.</w:t>
      </w:r>
    </w:p>
    <w:p w14:paraId="39744186" w14:textId="77777777" w:rsidR="004B2808" w:rsidRDefault="00000000">
      <w:pPr>
        <w:pStyle w:val="pheading"/>
      </w:pPr>
      <w:r>
        <w:t>EXÉCUTION / MISE EN ŒUVRE</w:t>
      </w:r>
    </w:p>
    <w:p w14:paraId="3C0289F2" w14:textId="77777777" w:rsidR="004B2808" w:rsidRDefault="00000000">
      <w:pPr>
        <w:jc w:val="both"/>
      </w:pPr>
      <w:r>
        <w:rPr>
          <w:b/>
        </w:rPr>
        <w:t>Aspects environnementaux</w:t>
      </w:r>
    </w:p>
    <w:p w14:paraId="4872E1B4" w14:textId="77777777" w:rsidR="004B2808" w:rsidRDefault="00000000">
      <w:pPr>
        <w:jc w:val="both"/>
      </w:pPr>
      <w:r>
        <w:t>La démontabilité des panneaux permet leur réutilisation sans perte de qualité.</w:t>
      </w:r>
    </w:p>
    <w:p w14:paraId="7A499998" w14:textId="77777777" w:rsidR="004B2808" w:rsidRDefault="00000000">
      <w:pPr>
        <w:pStyle w:val="Author-eSectionHeading5Numberless"/>
      </w:pPr>
      <w:bookmarkStart w:id="87" w:name="_Toc220490295"/>
      <w:r>
        <w:t>51.32.1 Cloisons à système bi blocs CCTB 01.02</w:t>
      </w:r>
      <w:bookmarkEnd w:id="87"/>
    </w:p>
    <w:p w14:paraId="749648F0" w14:textId="77777777" w:rsidR="004B2808" w:rsidRDefault="00000000">
      <w:pPr>
        <w:pStyle w:val="Author-eSectionHeading6Numberless"/>
      </w:pPr>
      <w:bookmarkStart w:id="88" w:name="_Toc220490296"/>
      <w:r>
        <w:t>51.32.1a Cloisons à système bi blocs CCTB 01.11</w:t>
      </w:r>
      <w:bookmarkEnd w:id="88"/>
    </w:p>
    <w:p w14:paraId="44790E9B" w14:textId="77777777" w:rsidR="004B2808" w:rsidRDefault="00000000">
      <w:pPr>
        <w:pStyle w:val="pheading"/>
      </w:pPr>
      <w:bookmarkStart w:id="89" w:name="1155"/>
      <w:bookmarkEnd w:id="89"/>
      <w:r>
        <w:t>DESCRIPTION</w:t>
      </w:r>
    </w:p>
    <w:p w14:paraId="73322E0B" w14:textId="77777777" w:rsidR="004B2808" w:rsidRDefault="00000000">
      <w:pPr>
        <w:pStyle w:val="pheading"/>
      </w:pPr>
      <w:r>
        <w:t>- Définition / Comprend</w:t>
      </w:r>
    </w:p>
    <w:p w14:paraId="671D3EC0" w14:textId="77777777" w:rsidR="004B2808" w:rsidRDefault="00000000">
      <w:pPr>
        <w:jc w:val="both"/>
      </w:pPr>
      <w:r>
        <w:t>Il s’agit de la fourniture et la pose de cloisons démontables et amovibles à panneaux pleins.</w:t>
      </w:r>
    </w:p>
    <w:p w14:paraId="67FD352C" w14:textId="77777777" w:rsidR="004B2808" w:rsidRDefault="00000000">
      <w:pPr>
        <w:jc w:val="both"/>
      </w:pPr>
      <w:r>
        <w:t>Le travail comprend notamment :</w:t>
      </w:r>
    </w:p>
    <w:p w14:paraId="77EDC8A0" w14:textId="77777777" w:rsidR="004B2808" w:rsidRDefault="00000000">
      <w:pPr>
        <w:pStyle w:val="Author-eListParagraph"/>
        <w:numPr>
          <w:ilvl w:val="0"/>
          <w:numId w:val="70"/>
        </w:numPr>
        <w:jc w:val="both"/>
      </w:pPr>
      <w:r>
        <w:t xml:space="preserve">Intégration des panneaux vitrés suivant </w:t>
      </w:r>
      <w:hyperlink w:anchor="1153" w:history="1">
        <w:r w:rsidR="004B2808">
          <w:rPr>
            <w:color w:val="0000EE"/>
          </w:rPr>
          <w:t>51.32.1b Cloisons à système bi blocs vitrées</w:t>
        </w:r>
      </w:hyperlink>
      <w:r>
        <w:t xml:space="preserve"> : </w:t>
      </w:r>
      <w:r>
        <w:rPr>
          <w:rStyle w:val="optioncarChar"/>
        </w:rPr>
        <w:t>oui / non</w:t>
      </w:r>
    </w:p>
    <w:p w14:paraId="783694B0" w14:textId="77777777" w:rsidR="004B2808" w:rsidRDefault="00000000">
      <w:pPr>
        <w:pStyle w:val="Author-eListParagraph"/>
        <w:numPr>
          <w:ilvl w:val="0"/>
          <w:numId w:val="70"/>
        </w:numPr>
        <w:jc w:val="both"/>
      </w:pPr>
      <w:r>
        <w:t xml:space="preserve">Intégration des portes pleines suivant </w:t>
      </w:r>
      <w:hyperlink w:anchor="1154" w:history="1">
        <w:r w:rsidR="004B2808">
          <w:rPr>
            <w:color w:val="0000EE"/>
          </w:rPr>
          <w:t>51.32.1c Cloisons à système bi blocs portes pleines intégrées</w:t>
        </w:r>
      </w:hyperlink>
    </w:p>
    <w:p w14:paraId="60F319CC" w14:textId="77777777" w:rsidR="004B2808" w:rsidRDefault="00000000">
      <w:pPr>
        <w:pStyle w:val="pheading"/>
      </w:pPr>
      <w:r>
        <w:t>MATÉRIAUX</w:t>
      </w:r>
    </w:p>
    <w:p w14:paraId="69319CAB" w14:textId="77777777" w:rsidR="004B2808" w:rsidRDefault="00000000">
      <w:pPr>
        <w:pStyle w:val="pheading"/>
      </w:pPr>
      <w:r>
        <w:t>- Caractéristiques générales</w:t>
      </w:r>
    </w:p>
    <w:p w14:paraId="2F544C1A" w14:textId="77777777" w:rsidR="004B2808" w:rsidRDefault="00000000">
      <w:pPr>
        <w:jc w:val="both"/>
      </w:pPr>
      <w:r>
        <w:t xml:space="preserve">Les matériaux sont couverts par une déclaration d’aptitude à l’utilisation décrite au chapitre 02.42.1 Critères d'acceptabilité : </w:t>
      </w:r>
      <w:r>
        <w:rPr>
          <w:rStyle w:val="optioncarChar"/>
        </w:rPr>
        <w:t>oui / non</w:t>
      </w:r>
    </w:p>
    <w:p w14:paraId="4FF83E36" w14:textId="77777777" w:rsidR="004B2808" w:rsidRDefault="00000000">
      <w:pPr>
        <w:jc w:val="both"/>
      </w:pPr>
      <w:r>
        <w:t xml:space="preserve">Résistance au feu : </w:t>
      </w:r>
      <w:r>
        <w:rPr>
          <w:rStyle w:val="optioncarChar"/>
        </w:rPr>
        <w:t>EI0 / EI30 / EI60</w:t>
      </w:r>
    </w:p>
    <w:p w14:paraId="01778360" w14:textId="77777777" w:rsidR="004B2808" w:rsidRDefault="00000000">
      <w:pPr>
        <w:jc w:val="both"/>
      </w:pPr>
      <w:r>
        <w:t xml:space="preserve">Réaction au feu : </w:t>
      </w:r>
      <w:r>
        <w:rPr>
          <w:rStyle w:val="optioncarChar"/>
        </w:rPr>
        <w:t>A2-s1, d0 </w:t>
      </w:r>
      <w:r>
        <w:t>(par défaut) </w:t>
      </w:r>
      <w:r>
        <w:rPr>
          <w:rStyle w:val="optioncarChar"/>
        </w:rPr>
        <w:t>/ B-s1, d0 / ***</w:t>
      </w:r>
    </w:p>
    <w:p w14:paraId="60F7A09C" w14:textId="77777777" w:rsidR="004B2808" w:rsidRDefault="00000000">
      <w:pPr>
        <w:jc w:val="both"/>
      </w:pPr>
      <w:r>
        <w:t>Caractéristique acoustique, valeur R</w:t>
      </w:r>
      <w:r>
        <w:rPr>
          <w:vertAlign w:val="subscript"/>
        </w:rPr>
        <w:t>w</w:t>
      </w:r>
      <w:r>
        <w:t xml:space="preserve"> : </w:t>
      </w:r>
      <w:r>
        <w:rPr>
          <w:rStyle w:val="optioncarChar"/>
        </w:rPr>
        <w:t>***</w:t>
      </w:r>
      <w:r>
        <w:t xml:space="preserve"> dB</w:t>
      </w:r>
    </w:p>
    <w:p w14:paraId="16D97D5B" w14:textId="77777777" w:rsidR="004B2808" w:rsidRDefault="00000000">
      <w:pPr>
        <w:jc w:val="both"/>
      </w:pPr>
      <w:r>
        <w:t xml:space="preserve">Catégorie d’usage suivant [NBN EN 1991 série] : </w:t>
      </w:r>
      <w:r>
        <w:rPr>
          <w:rStyle w:val="optioncarChar"/>
        </w:rPr>
        <w:t>A / B / C / D</w:t>
      </w:r>
    </w:p>
    <w:p w14:paraId="30AAD497" w14:textId="77777777" w:rsidR="004B2808" w:rsidRDefault="00000000">
      <w:pPr>
        <w:jc w:val="both"/>
      </w:pPr>
      <w:r>
        <w:t xml:space="preserve">Épaisseur : </w:t>
      </w:r>
      <w:r>
        <w:rPr>
          <w:rStyle w:val="optioncarChar"/>
        </w:rPr>
        <w:t xml:space="preserve">100 </w:t>
      </w:r>
      <w:r>
        <w:t>(par défaut)</w:t>
      </w:r>
      <w:r>
        <w:rPr>
          <w:rStyle w:val="optioncarChar"/>
        </w:rPr>
        <w:t xml:space="preserve"> / 80 / ***</w:t>
      </w:r>
      <w:r>
        <w:t xml:space="preserve"> mm</w:t>
      </w:r>
    </w:p>
    <w:p w14:paraId="24AA781A" w14:textId="77777777" w:rsidR="004B2808" w:rsidRDefault="00000000">
      <w:pPr>
        <w:jc w:val="both"/>
      </w:pPr>
      <w:r>
        <w:t xml:space="preserve">Modulation : </w:t>
      </w:r>
      <w:r>
        <w:rPr>
          <w:rStyle w:val="optioncarChar"/>
        </w:rPr>
        <w:t xml:space="preserve">1200 </w:t>
      </w:r>
      <w:r>
        <w:t xml:space="preserve">(par défaut) </w:t>
      </w:r>
      <w:r>
        <w:rPr>
          <w:rStyle w:val="optioncarChar"/>
        </w:rPr>
        <w:t>/ 900 / 1000 / 600 / ***</w:t>
      </w:r>
      <w:r>
        <w:t xml:space="preserve"> mm</w:t>
      </w:r>
    </w:p>
    <w:p w14:paraId="3ACE4FB8" w14:textId="77777777" w:rsidR="004B2808" w:rsidRDefault="00000000">
      <w:pPr>
        <w:jc w:val="both"/>
      </w:pPr>
      <w:r>
        <w:lastRenderedPageBreak/>
        <w:t xml:space="preserve">Hauteur : </w:t>
      </w:r>
      <w:r>
        <w:rPr>
          <w:rStyle w:val="optioncarChar"/>
        </w:rPr>
        <w:t>***</w:t>
      </w:r>
      <w:r>
        <w:t xml:space="preserve"> mm</w:t>
      </w:r>
    </w:p>
    <w:p w14:paraId="17D50A42" w14:textId="77777777" w:rsidR="004B2808" w:rsidRDefault="00000000">
      <w:pPr>
        <w:jc w:val="both"/>
      </w:pPr>
      <w:r>
        <w:rPr>
          <w:b/>
        </w:rPr>
        <w:t>Lisses sol et plafond </w:t>
      </w:r>
      <w:r>
        <w:t>:  </w:t>
      </w:r>
      <w:r>
        <w:rPr>
          <w:rStyle w:val="optioncarChar"/>
        </w:rPr>
        <w:t>acier thermolaqué</w:t>
      </w:r>
      <w:r>
        <w:t xml:space="preserve"> (par défaut) </w:t>
      </w:r>
      <w:r>
        <w:rPr>
          <w:rStyle w:val="optioncarChar"/>
        </w:rPr>
        <w:t>/ ***</w:t>
      </w:r>
    </w:p>
    <w:p w14:paraId="62F7333B" w14:textId="77777777" w:rsidR="004B2808" w:rsidRDefault="00000000">
      <w:pPr>
        <w:pStyle w:val="Author-eListParagraph"/>
        <w:numPr>
          <w:ilvl w:val="0"/>
          <w:numId w:val="71"/>
        </w:numPr>
      </w:pPr>
      <w:r>
        <w:t xml:space="preserve">Épaisseur : </w:t>
      </w:r>
      <w:r>
        <w:rPr>
          <w:rStyle w:val="optioncarChar"/>
        </w:rPr>
        <w:t xml:space="preserve">1 </w:t>
      </w:r>
      <w:r>
        <w:t xml:space="preserve">(par défaut) </w:t>
      </w:r>
      <w:r>
        <w:rPr>
          <w:rStyle w:val="optioncarChar"/>
        </w:rPr>
        <w:t>/ 1,5 / ***</w:t>
      </w:r>
      <w:r>
        <w:t xml:space="preserve"> mm</w:t>
      </w:r>
    </w:p>
    <w:p w14:paraId="4075538C" w14:textId="77777777" w:rsidR="004B2808" w:rsidRDefault="00000000">
      <w:pPr>
        <w:pStyle w:val="Author-eListParagraph"/>
        <w:numPr>
          <w:ilvl w:val="0"/>
          <w:numId w:val="71"/>
        </w:numPr>
      </w:pPr>
      <w:r>
        <w:t xml:space="preserve">Finition : </w:t>
      </w:r>
      <w:r>
        <w:rPr>
          <w:rStyle w:val="optioncarChar"/>
        </w:rPr>
        <w:t xml:space="preserve">60 </w:t>
      </w:r>
      <w:r>
        <w:t>(par défaut)</w:t>
      </w:r>
      <w:r>
        <w:rPr>
          <w:rStyle w:val="optioncarChar"/>
        </w:rPr>
        <w:t xml:space="preserve"> / 70 / 100 / ***</w:t>
      </w:r>
      <w:r>
        <w:t xml:space="preserve"> µm</w:t>
      </w:r>
    </w:p>
    <w:p w14:paraId="7012F806" w14:textId="77777777" w:rsidR="004B2808" w:rsidRDefault="00000000">
      <w:pPr>
        <w:pStyle w:val="Author-eListParagraph"/>
        <w:numPr>
          <w:ilvl w:val="0"/>
          <w:numId w:val="71"/>
        </w:numPr>
      </w:pPr>
      <w:r>
        <w:t>Pourvues en face inférieure/supérieure et en faces latérales de joints à cellules fermées collés.</w:t>
      </w:r>
    </w:p>
    <w:p w14:paraId="22C1FA0A" w14:textId="77777777" w:rsidR="004B2808" w:rsidRDefault="00000000">
      <w:pPr>
        <w:jc w:val="both"/>
      </w:pPr>
      <w:r>
        <w:rPr>
          <w:b/>
        </w:rPr>
        <w:t>Profils verticaux :</w:t>
      </w:r>
      <w:r>
        <w:t>  </w:t>
      </w:r>
      <w:r>
        <w:rPr>
          <w:rStyle w:val="optioncarChar"/>
        </w:rPr>
        <w:t xml:space="preserve">acier galvanisé </w:t>
      </w:r>
      <w:r>
        <w:t>(par défaut)</w:t>
      </w:r>
      <w:r>
        <w:rPr>
          <w:rStyle w:val="optioncarChar"/>
        </w:rPr>
        <w:t xml:space="preserve"> / acier thermolaqué / ***</w:t>
      </w:r>
    </w:p>
    <w:p w14:paraId="06A20EDA" w14:textId="77777777" w:rsidR="004B2808" w:rsidRDefault="00000000">
      <w:pPr>
        <w:pStyle w:val="Author-eListParagraph"/>
        <w:numPr>
          <w:ilvl w:val="0"/>
          <w:numId w:val="72"/>
        </w:numPr>
      </w:pPr>
      <w:r>
        <w:t xml:space="preserve">Épaisseur : </w:t>
      </w:r>
      <w:r>
        <w:rPr>
          <w:rStyle w:val="optioncarChar"/>
        </w:rPr>
        <w:t>1,5</w:t>
      </w:r>
      <w:r>
        <w:t xml:space="preserve"> (par défaut)</w:t>
      </w:r>
      <w:r>
        <w:rPr>
          <w:rStyle w:val="optioncarChar"/>
        </w:rPr>
        <w:t xml:space="preserve"> / 1 / ***</w:t>
      </w:r>
      <w:r>
        <w:t xml:space="preserve"> mm</w:t>
      </w:r>
    </w:p>
    <w:p w14:paraId="12208409" w14:textId="77777777" w:rsidR="004B2808" w:rsidRDefault="00000000">
      <w:pPr>
        <w:pStyle w:val="Author-eListParagraph"/>
        <w:numPr>
          <w:ilvl w:val="0"/>
          <w:numId w:val="72"/>
        </w:numPr>
      </w:pPr>
      <w:r>
        <w:t>Pourvus de perforations pour l’accrochage des panneaux et pour passage de câbles et gaines techniques</w:t>
      </w:r>
    </w:p>
    <w:p w14:paraId="047601A6" w14:textId="77777777" w:rsidR="004B2808" w:rsidRDefault="00000000">
      <w:pPr>
        <w:pStyle w:val="Author-eListParagraph"/>
        <w:numPr>
          <w:ilvl w:val="0"/>
          <w:numId w:val="72"/>
        </w:numPr>
      </w:pPr>
      <w:r>
        <w:t xml:space="preserve">Pourvus de perforations pour introduction de crochets de suspension pour accessoires : </w:t>
      </w:r>
      <w:r>
        <w:rPr>
          <w:rStyle w:val="optioncarChar"/>
        </w:rPr>
        <w:t>oui / non</w:t>
      </w:r>
    </w:p>
    <w:p w14:paraId="3E29EF82" w14:textId="77777777" w:rsidR="004B2808" w:rsidRDefault="00000000">
      <w:pPr>
        <w:jc w:val="both"/>
      </w:pPr>
      <w:r>
        <w:rPr>
          <w:b/>
        </w:rPr>
        <w:t>Lisses horizontales et profils C remplis de :</w:t>
      </w:r>
      <w:r>
        <w:t>  </w:t>
      </w:r>
      <w:r>
        <w:rPr>
          <w:rStyle w:val="optioncarChar"/>
        </w:rPr>
        <w:t>laine de roche</w:t>
      </w:r>
      <w:r>
        <w:t xml:space="preserve"> (par défaut)</w:t>
      </w:r>
      <w:r>
        <w:rPr>
          <w:rStyle w:val="optioncarChar"/>
        </w:rPr>
        <w:t xml:space="preserve"> / panneau à base de bois lamellé collé / chevron en bois</w:t>
      </w:r>
    </w:p>
    <w:p w14:paraId="69D61C86" w14:textId="77777777" w:rsidR="004B2808" w:rsidRDefault="00000000">
      <w:pPr>
        <w:jc w:val="both"/>
      </w:pPr>
      <w:r>
        <w:rPr>
          <w:b/>
        </w:rPr>
        <w:t>(soit par défaut)</w:t>
      </w:r>
    </w:p>
    <w:p w14:paraId="561139C3" w14:textId="77777777" w:rsidR="004B2808" w:rsidRDefault="00000000">
      <w:pPr>
        <w:jc w:val="both"/>
      </w:pPr>
      <w:r>
        <w:rPr>
          <w:rStyle w:val="soitChar"/>
          <w:u w:val="single"/>
        </w:rPr>
        <w:t>Laine de roche :</w:t>
      </w:r>
    </w:p>
    <w:p w14:paraId="6DE1DC0F" w14:textId="77777777" w:rsidR="004B2808" w:rsidRDefault="00000000">
      <w:pPr>
        <w:pStyle w:val="Author-eListParagraph"/>
        <w:numPr>
          <w:ilvl w:val="0"/>
          <w:numId w:val="73"/>
        </w:numPr>
      </w:pPr>
      <w:r>
        <w:rPr>
          <w:rStyle w:val="soitChar"/>
        </w:rPr>
        <w:t xml:space="preserve">Densité : </w:t>
      </w:r>
      <w:r>
        <w:rPr>
          <w:rStyle w:val="optioncarChar"/>
        </w:rPr>
        <w:t>150</w:t>
      </w:r>
      <w:r>
        <w:t xml:space="preserve"> (par défaut) </w:t>
      </w:r>
      <w:r>
        <w:rPr>
          <w:rStyle w:val="optioncarChar"/>
        </w:rPr>
        <w:t>/ 45 / ***</w:t>
      </w:r>
      <w:r>
        <w:rPr>
          <w:rStyle w:val="soitChar"/>
        </w:rPr>
        <w:t xml:space="preserve"> kg/m³</w:t>
      </w:r>
    </w:p>
    <w:p w14:paraId="0CC40CB6" w14:textId="77777777" w:rsidR="004B2808" w:rsidRDefault="00000000">
      <w:pPr>
        <w:jc w:val="both"/>
      </w:pPr>
      <w:r>
        <w:rPr>
          <w:b/>
        </w:rPr>
        <w:t>(soit)</w:t>
      </w:r>
    </w:p>
    <w:p w14:paraId="58284CE6" w14:textId="77777777" w:rsidR="004B2808" w:rsidRDefault="00000000">
      <w:pPr>
        <w:jc w:val="both"/>
      </w:pPr>
      <w:r>
        <w:rPr>
          <w:rStyle w:val="soitChar"/>
          <w:u w:val="single"/>
        </w:rPr>
        <w:t>Panneau à base de bois lamellé collé :</w:t>
      </w:r>
    </w:p>
    <w:p w14:paraId="1D1B08E5" w14:textId="77777777" w:rsidR="004B2808" w:rsidRDefault="00000000">
      <w:pPr>
        <w:pStyle w:val="Author-eListParagraph"/>
        <w:numPr>
          <w:ilvl w:val="0"/>
          <w:numId w:val="74"/>
        </w:numPr>
      </w:pPr>
      <w:r>
        <w:rPr>
          <w:rStyle w:val="soitChar"/>
        </w:rPr>
        <w:t xml:space="preserve">Densité : </w:t>
      </w:r>
      <w:r>
        <w:rPr>
          <w:rStyle w:val="optioncarChar"/>
        </w:rPr>
        <w:t>650</w:t>
      </w:r>
      <w:r>
        <w:t xml:space="preserve"> (par défaut)</w:t>
      </w:r>
      <w:r>
        <w:rPr>
          <w:rStyle w:val="optioncarChar"/>
        </w:rPr>
        <w:t xml:space="preserve"> / ***</w:t>
      </w:r>
      <w:r>
        <w:rPr>
          <w:rStyle w:val="soitChar"/>
        </w:rPr>
        <w:t xml:space="preserve"> kg/m³</w:t>
      </w:r>
    </w:p>
    <w:p w14:paraId="3130FDE7" w14:textId="77777777" w:rsidR="004B2808" w:rsidRDefault="00000000">
      <w:pPr>
        <w:pStyle w:val="Author-eListParagraph"/>
        <w:numPr>
          <w:ilvl w:val="0"/>
          <w:numId w:val="74"/>
        </w:numPr>
      </w:pPr>
      <w:r>
        <w:rPr>
          <w:rStyle w:val="soitChar"/>
        </w:rPr>
        <w:t>Formaldéhyde : classe E1</w:t>
      </w:r>
    </w:p>
    <w:p w14:paraId="3F89500C" w14:textId="77777777" w:rsidR="004B2808" w:rsidRDefault="00000000">
      <w:pPr>
        <w:pStyle w:val="Author-eListParagraph"/>
        <w:numPr>
          <w:ilvl w:val="0"/>
          <w:numId w:val="74"/>
        </w:numPr>
      </w:pPr>
      <w:r>
        <w:rPr>
          <w:rStyle w:val="soitChar"/>
        </w:rPr>
        <w:t>Classe d’utilisation : P2</w:t>
      </w:r>
    </w:p>
    <w:p w14:paraId="11D0C0FE" w14:textId="77777777" w:rsidR="004B2808" w:rsidRDefault="00000000">
      <w:pPr>
        <w:jc w:val="both"/>
      </w:pPr>
      <w:r>
        <w:rPr>
          <w:b/>
        </w:rPr>
        <w:t>(soit)</w:t>
      </w:r>
    </w:p>
    <w:p w14:paraId="10888194" w14:textId="77777777" w:rsidR="004B2808" w:rsidRDefault="00000000">
      <w:pPr>
        <w:jc w:val="both"/>
      </w:pPr>
      <w:r>
        <w:rPr>
          <w:rStyle w:val="soitChar"/>
          <w:u w:val="single"/>
        </w:rPr>
        <w:t>Chevron en bois :</w:t>
      </w:r>
    </w:p>
    <w:p w14:paraId="5FDFD22C" w14:textId="77777777" w:rsidR="004B2808" w:rsidRDefault="00000000">
      <w:pPr>
        <w:pStyle w:val="Author-eListParagraph"/>
        <w:numPr>
          <w:ilvl w:val="0"/>
          <w:numId w:val="75"/>
        </w:numPr>
      </w:pPr>
      <w:r>
        <w:rPr>
          <w:rStyle w:val="soitChar"/>
        </w:rPr>
        <w:t xml:space="preserve">Densité : </w:t>
      </w:r>
      <w:r>
        <w:rPr>
          <w:rStyle w:val="optioncarChar"/>
        </w:rPr>
        <w:t xml:space="preserve">430 </w:t>
      </w:r>
      <w:r>
        <w:t>(par défaut)</w:t>
      </w:r>
      <w:r>
        <w:rPr>
          <w:rStyle w:val="optioncarChar"/>
        </w:rPr>
        <w:t xml:space="preserve"> / ***</w:t>
      </w:r>
      <w:r>
        <w:rPr>
          <w:rStyle w:val="soitChar"/>
        </w:rPr>
        <w:t xml:space="preserve"> kg/m³</w:t>
      </w:r>
    </w:p>
    <w:p w14:paraId="288EBFCC" w14:textId="77777777" w:rsidR="004B2808" w:rsidRDefault="00000000">
      <w:pPr>
        <w:pStyle w:val="Author-eListParagraph"/>
        <w:numPr>
          <w:ilvl w:val="0"/>
          <w:numId w:val="75"/>
        </w:numPr>
      </w:pPr>
      <w:r>
        <w:rPr>
          <w:rStyle w:val="soitChar"/>
        </w:rPr>
        <w:t xml:space="preserve">Essence : </w:t>
      </w:r>
      <w:r>
        <w:rPr>
          <w:rStyle w:val="optioncarChar"/>
        </w:rPr>
        <w:t xml:space="preserve">pin </w:t>
      </w:r>
      <w:r>
        <w:t>(par défaut)</w:t>
      </w:r>
      <w:r>
        <w:rPr>
          <w:rStyle w:val="optioncarChar"/>
        </w:rPr>
        <w:t xml:space="preserve"> / ***</w:t>
      </w:r>
      <w:r>
        <w:br/>
      </w:r>
    </w:p>
    <w:p w14:paraId="0760B879" w14:textId="77777777" w:rsidR="004B2808" w:rsidRDefault="00000000">
      <w:pPr>
        <w:jc w:val="both"/>
      </w:pPr>
      <w:r>
        <w:rPr>
          <w:b/>
        </w:rPr>
        <w:t>Panneaux :</w:t>
      </w:r>
      <w:r>
        <w:t xml:space="preserve">  </w:t>
      </w:r>
      <w:r>
        <w:rPr>
          <w:rStyle w:val="optioncarChar"/>
        </w:rPr>
        <w:t xml:space="preserve">à base de bois </w:t>
      </w:r>
      <w:r>
        <w:t xml:space="preserve">(par défaut) </w:t>
      </w:r>
      <w:r>
        <w:rPr>
          <w:rStyle w:val="optioncarChar"/>
        </w:rPr>
        <w:t>/ acier</w:t>
      </w:r>
    </w:p>
    <w:p w14:paraId="2491B8C0" w14:textId="77777777" w:rsidR="004B2808" w:rsidRDefault="00000000">
      <w:pPr>
        <w:jc w:val="both"/>
      </w:pPr>
      <w:r>
        <w:rPr>
          <w:b/>
        </w:rPr>
        <w:t>(soit par défaut)</w:t>
      </w:r>
    </w:p>
    <w:p w14:paraId="05695979" w14:textId="77777777" w:rsidR="004B2808" w:rsidRDefault="00000000">
      <w:pPr>
        <w:jc w:val="both"/>
      </w:pPr>
      <w:r>
        <w:rPr>
          <w:rStyle w:val="soitChar"/>
          <w:u w:val="single"/>
        </w:rPr>
        <w:t>Panneaux à base de bois :</w:t>
      </w:r>
      <w:r>
        <w:t>  </w:t>
      </w:r>
      <w:r>
        <w:rPr>
          <w:rStyle w:val="optioncarChar"/>
        </w:rPr>
        <w:t>aggloméré / MDF / multiplex</w:t>
      </w:r>
    </w:p>
    <w:p w14:paraId="359A2184" w14:textId="77777777" w:rsidR="004B2808" w:rsidRDefault="00000000">
      <w:pPr>
        <w:pStyle w:val="Author-eListParagraph"/>
        <w:numPr>
          <w:ilvl w:val="0"/>
          <w:numId w:val="76"/>
        </w:numPr>
      </w:pPr>
      <w:r>
        <w:rPr>
          <w:rStyle w:val="soitChar"/>
        </w:rPr>
        <w:t xml:space="preserve">Densité : </w:t>
      </w:r>
      <w:r>
        <w:rPr>
          <w:rStyle w:val="optioncarChar"/>
        </w:rPr>
        <w:t xml:space="preserve">650 </w:t>
      </w:r>
      <w:r>
        <w:t>(par défaut)</w:t>
      </w:r>
      <w:r>
        <w:rPr>
          <w:rStyle w:val="optioncarChar"/>
        </w:rPr>
        <w:t xml:space="preserve"> / 730 / ***</w:t>
      </w:r>
      <w:r>
        <w:rPr>
          <w:rStyle w:val="soitChar"/>
        </w:rPr>
        <w:t xml:space="preserve"> kg/m³</w:t>
      </w:r>
    </w:p>
    <w:p w14:paraId="7504A562" w14:textId="77777777" w:rsidR="004B2808" w:rsidRDefault="00000000">
      <w:pPr>
        <w:pStyle w:val="Author-eListParagraph"/>
        <w:numPr>
          <w:ilvl w:val="0"/>
          <w:numId w:val="76"/>
        </w:numPr>
      </w:pPr>
      <w:r>
        <w:rPr>
          <w:rStyle w:val="soitChar"/>
        </w:rPr>
        <w:t xml:space="preserve">Épaisseur : </w:t>
      </w:r>
      <w:r>
        <w:rPr>
          <w:rStyle w:val="optioncarChar"/>
        </w:rPr>
        <w:t>18</w:t>
      </w:r>
      <w:r>
        <w:t xml:space="preserve"> (par défaut)</w:t>
      </w:r>
      <w:r>
        <w:rPr>
          <w:rStyle w:val="optioncarChar"/>
        </w:rPr>
        <w:t xml:space="preserve"> / ***</w:t>
      </w:r>
      <w:r>
        <w:rPr>
          <w:rStyle w:val="soitChar"/>
        </w:rPr>
        <w:t xml:space="preserve"> mm</w:t>
      </w:r>
    </w:p>
    <w:p w14:paraId="4E499809" w14:textId="77777777" w:rsidR="004B2808" w:rsidRDefault="00000000">
      <w:pPr>
        <w:pStyle w:val="Author-eListParagraph"/>
        <w:numPr>
          <w:ilvl w:val="0"/>
          <w:numId w:val="76"/>
        </w:numPr>
      </w:pPr>
      <w:r>
        <w:rPr>
          <w:rStyle w:val="soitChar"/>
        </w:rPr>
        <w:t>Émission formaldéhyde : E1</w:t>
      </w:r>
    </w:p>
    <w:p w14:paraId="785A7FC9" w14:textId="77777777" w:rsidR="004B2808" w:rsidRDefault="00000000">
      <w:pPr>
        <w:pStyle w:val="Author-eListParagraph"/>
        <w:numPr>
          <w:ilvl w:val="0"/>
          <w:numId w:val="76"/>
        </w:numPr>
      </w:pPr>
      <w:r>
        <w:rPr>
          <w:rStyle w:val="soitChar"/>
        </w:rPr>
        <w:t xml:space="preserve">Perforé : </w:t>
      </w:r>
      <w:r>
        <w:rPr>
          <w:rStyle w:val="optioncarChar"/>
        </w:rPr>
        <w:t>oui / non</w:t>
      </w:r>
    </w:p>
    <w:p w14:paraId="42E53F26" w14:textId="77777777" w:rsidR="004B2808" w:rsidRDefault="00000000">
      <w:pPr>
        <w:pStyle w:val="Author-eListParagraph"/>
        <w:numPr>
          <w:ilvl w:val="0"/>
          <w:numId w:val="76"/>
        </w:numPr>
      </w:pPr>
      <w:r>
        <w:rPr>
          <w:rStyle w:val="soitChar"/>
        </w:rPr>
        <w:t xml:space="preserve">Finition faces : </w:t>
      </w:r>
      <w:r>
        <w:rPr>
          <w:rStyle w:val="optioncarChar"/>
        </w:rPr>
        <w:t>mélaminé / stratifié / placage bois / vinyle / textile</w:t>
      </w:r>
    </w:p>
    <w:p w14:paraId="6FB47BD4" w14:textId="77777777" w:rsidR="004B2808" w:rsidRDefault="00000000">
      <w:pPr>
        <w:pStyle w:val="Author-eListParagraph"/>
        <w:numPr>
          <w:ilvl w:val="0"/>
          <w:numId w:val="76"/>
        </w:numPr>
      </w:pPr>
      <w:r>
        <w:rPr>
          <w:rStyle w:val="soitChar"/>
        </w:rPr>
        <w:t xml:space="preserve">Finition bords : </w:t>
      </w:r>
      <w:r>
        <w:rPr>
          <w:rStyle w:val="optioncarChar"/>
        </w:rPr>
        <w:t xml:space="preserve">bande de couleur adaptée à la finition des faces </w:t>
      </w:r>
      <w:r>
        <w:t>(par défaut)</w:t>
      </w:r>
      <w:r>
        <w:rPr>
          <w:rStyle w:val="optioncarChar"/>
        </w:rPr>
        <w:t xml:space="preserve"> / ***</w:t>
      </w:r>
    </w:p>
    <w:p w14:paraId="79FF6AD9" w14:textId="77777777" w:rsidR="004B2808" w:rsidRDefault="00000000">
      <w:pPr>
        <w:jc w:val="both"/>
      </w:pPr>
      <w:r>
        <w:rPr>
          <w:b/>
        </w:rPr>
        <w:t>(soit)</w:t>
      </w:r>
    </w:p>
    <w:p w14:paraId="56B30A55" w14:textId="77777777" w:rsidR="004B2808" w:rsidRDefault="00000000">
      <w:pPr>
        <w:jc w:val="both"/>
      </w:pPr>
      <w:r>
        <w:rPr>
          <w:rStyle w:val="soitChar"/>
          <w:u w:val="single"/>
        </w:rPr>
        <w:t>Cassettes en acier sur panneau :</w:t>
      </w:r>
    </w:p>
    <w:p w14:paraId="2DA03054" w14:textId="77777777" w:rsidR="004B2808" w:rsidRDefault="00000000">
      <w:pPr>
        <w:pStyle w:val="Author-eListParagraph"/>
        <w:numPr>
          <w:ilvl w:val="0"/>
          <w:numId w:val="77"/>
        </w:numPr>
      </w:pPr>
      <w:r>
        <w:rPr>
          <w:rStyle w:val="soitChar"/>
        </w:rPr>
        <w:t xml:space="preserve">Épaisseur tôle : </w:t>
      </w:r>
      <w:r>
        <w:rPr>
          <w:rStyle w:val="optioncarChar"/>
        </w:rPr>
        <w:t xml:space="preserve">1 </w:t>
      </w:r>
      <w:r>
        <w:t>(par défaut)</w:t>
      </w:r>
      <w:r>
        <w:rPr>
          <w:rStyle w:val="optioncarChar"/>
        </w:rPr>
        <w:t xml:space="preserve"> / ***</w:t>
      </w:r>
      <w:r>
        <w:rPr>
          <w:rStyle w:val="soitChar"/>
        </w:rPr>
        <w:t xml:space="preserve"> mm</w:t>
      </w:r>
    </w:p>
    <w:p w14:paraId="756ACAFF" w14:textId="77777777" w:rsidR="004B2808" w:rsidRDefault="00000000">
      <w:pPr>
        <w:pStyle w:val="Author-eListParagraph"/>
        <w:numPr>
          <w:ilvl w:val="0"/>
          <w:numId w:val="77"/>
        </w:numPr>
      </w:pPr>
      <w:r>
        <w:rPr>
          <w:rStyle w:val="soitChar"/>
        </w:rPr>
        <w:t xml:space="preserve">Finition : </w:t>
      </w:r>
      <w:r>
        <w:rPr>
          <w:rStyle w:val="optioncarChar"/>
        </w:rPr>
        <w:t xml:space="preserve">thermolaqué 60 </w:t>
      </w:r>
      <w:r>
        <w:t>(par défaut)</w:t>
      </w:r>
      <w:r>
        <w:rPr>
          <w:rStyle w:val="optioncarChar"/>
        </w:rPr>
        <w:t xml:space="preserve"> / 70 / 100 / ***</w:t>
      </w:r>
      <w:r>
        <w:rPr>
          <w:rStyle w:val="soitChar"/>
        </w:rPr>
        <w:t xml:space="preserve"> µm</w:t>
      </w:r>
    </w:p>
    <w:p w14:paraId="1CFA9997" w14:textId="77777777" w:rsidR="004B2808" w:rsidRDefault="00000000">
      <w:pPr>
        <w:pStyle w:val="Author-eListParagraph"/>
        <w:numPr>
          <w:ilvl w:val="0"/>
          <w:numId w:val="77"/>
        </w:numPr>
      </w:pPr>
      <w:r>
        <w:rPr>
          <w:rStyle w:val="soitChar"/>
        </w:rPr>
        <w:t xml:space="preserve">Perforé : </w:t>
      </w:r>
      <w:r>
        <w:rPr>
          <w:rStyle w:val="optioncarChar"/>
        </w:rPr>
        <w:t>oui / non</w:t>
      </w:r>
    </w:p>
    <w:p w14:paraId="54E3008F" w14:textId="77777777" w:rsidR="004B2808" w:rsidRDefault="00000000">
      <w:pPr>
        <w:pStyle w:val="Author-eListParagraph"/>
        <w:numPr>
          <w:ilvl w:val="0"/>
          <w:numId w:val="77"/>
        </w:numPr>
      </w:pPr>
      <w:r>
        <w:rPr>
          <w:rStyle w:val="soitChar"/>
        </w:rPr>
        <w:t xml:space="preserve">Panneau : </w:t>
      </w:r>
      <w:r>
        <w:rPr>
          <w:rStyle w:val="optioncarChar"/>
        </w:rPr>
        <w:t>plaque de plâtre / à base de bois</w:t>
      </w:r>
      <w:r>
        <w:br/>
      </w:r>
    </w:p>
    <w:p w14:paraId="23994B76" w14:textId="77777777" w:rsidR="004B2808" w:rsidRDefault="00000000">
      <w:pPr>
        <w:jc w:val="both"/>
      </w:pPr>
      <w:r>
        <w:rPr>
          <w:b/>
        </w:rPr>
        <w:t>Isolation entre les panneaux :</w:t>
      </w:r>
      <w:r>
        <w:t xml:space="preserve">  </w:t>
      </w:r>
      <w:r>
        <w:rPr>
          <w:rStyle w:val="optioncarChar"/>
        </w:rPr>
        <w:t>laine de roche</w:t>
      </w:r>
      <w:r>
        <w:t xml:space="preserve"> (par défaut)</w:t>
      </w:r>
      <w:r>
        <w:rPr>
          <w:rStyle w:val="optioncarChar"/>
        </w:rPr>
        <w:t xml:space="preserve"> / ***</w:t>
      </w:r>
    </w:p>
    <w:p w14:paraId="4AF0BBB8" w14:textId="77777777" w:rsidR="004B2808" w:rsidRDefault="00000000">
      <w:pPr>
        <w:pStyle w:val="Author-eListParagraph"/>
        <w:numPr>
          <w:ilvl w:val="0"/>
          <w:numId w:val="78"/>
        </w:numPr>
      </w:pPr>
      <w:r>
        <w:t xml:space="preserve">Épaisseur : </w:t>
      </w:r>
      <w:r>
        <w:rPr>
          <w:rStyle w:val="optioncarChar"/>
        </w:rPr>
        <w:t xml:space="preserve">60 </w:t>
      </w:r>
      <w:r>
        <w:t>(par défaut)</w:t>
      </w:r>
      <w:r>
        <w:rPr>
          <w:rStyle w:val="optioncarChar"/>
        </w:rPr>
        <w:t xml:space="preserve"> / 40 / ***</w:t>
      </w:r>
      <w:r>
        <w:t xml:space="preserve"> mm</w:t>
      </w:r>
    </w:p>
    <w:p w14:paraId="105E511F" w14:textId="77777777" w:rsidR="004B2808" w:rsidRDefault="00000000">
      <w:pPr>
        <w:pStyle w:val="Author-eListParagraph"/>
        <w:numPr>
          <w:ilvl w:val="0"/>
          <w:numId w:val="78"/>
        </w:numPr>
      </w:pPr>
      <w:r>
        <w:lastRenderedPageBreak/>
        <w:t xml:space="preserve">Densité : </w:t>
      </w:r>
      <w:r>
        <w:rPr>
          <w:rStyle w:val="optioncarChar"/>
        </w:rPr>
        <w:t xml:space="preserve">45 </w:t>
      </w:r>
      <w:r>
        <w:t>(par défaut)</w:t>
      </w:r>
      <w:r>
        <w:rPr>
          <w:rStyle w:val="optioncarChar"/>
        </w:rPr>
        <w:t xml:space="preserve"> / ***</w:t>
      </w:r>
      <w:r>
        <w:t xml:space="preserve"> kg/m³</w:t>
      </w:r>
      <w:r>
        <w:br/>
      </w:r>
    </w:p>
    <w:p w14:paraId="0D5ACC7C" w14:textId="77777777" w:rsidR="004B2808" w:rsidRDefault="00000000">
      <w:pPr>
        <w:jc w:val="both"/>
      </w:pPr>
      <w:r>
        <w:rPr>
          <w:b/>
        </w:rPr>
        <w:t>Élément acoustique supplémentaire à l’arrière des panneaux :</w:t>
      </w:r>
      <w:r>
        <w:t>  </w:t>
      </w:r>
      <w:r>
        <w:rPr>
          <w:rStyle w:val="optioncarChar"/>
        </w:rPr>
        <w:t>aucun / panneau de plaque de plâtre / membrane acoustique</w:t>
      </w:r>
    </w:p>
    <w:p w14:paraId="6F6369B1" w14:textId="77777777" w:rsidR="004B2808" w:rsidRDefault="00000000">
      <w:pPr>
        <w:jc w:val="both"/>
      </w:pPr>
      <w:r>
        <w:rPr>
          <w:b/>
        </w:rPr>
        <w:t>(soit par défaut)</w:t>
      </w:r>
    </w:p>
    <w:p w14:paraId="53DA916D" w14:textId="77777777" w:rsidR="004B2808" w:rsidRDefault="00000000">
      <w:pPr>
        <w:jc w:val="both"/>
      </w:pPr>
      <w:r>
        <w:rPr>
          <w:rStyle w:val="soitChar"/>
          <w:u w:val="single"/>
        </w:rPr>
        <w:t>Aucun :</w:t>
      </w:r>
      <w:r>
        <w:rPr>
          <w:rStyle w:val="soitChar"/>
        </w:rPr>
        <w:t xml:space="preserve"> pas d’application</w:t>
      </w:r>
    </w:p>
    <w:p w14:paraId="0309F29F" w14:textId="77777777" w:rsidR="004B2808" w:rsidRDefault="00000000">
      <w:pPr>
        <w:jc w:val="both"/>
      </w:pPr>
      <w:r>
        <w:rPr>
          <w:b/>
        </w:rPr>
        <w:t>(soit)</w:t>
      </w:r>
    </w:p>
    <w:p w14:paraId="2FAD6015" w14:textId="77777777" w:rsidR="004B2808" w:rsidRDefault="00000000">
      <w:pPr>
        <w:jc w:val="both"/>
      </w:pPr>
      <w:r>
        <w:rPr>
          <w:rStyle w:val="soitChar"/>
          <w:u w:val="single"/>
        </w:rPr>
        <w:t>Panneau de plaque de plâtre :</w:t>
      </w:r>
    </w:p>
    <w:p w14:paraId="294BC074" w14:textId="77777777" w:rsidR="004B2808" w:rsidRDefault="00000000">
      <w:pPr>
        <w:pStyle w:val="Author-eListParagraph"/>
        <w:numPr>
          <w:ilvl w:val="0"/>
          <w:numId w:val="79"/>
        </w:numPr>
      </w:pPr>
      <w:r>
        <w:rPr>
          <w:rStyle w:val="soitChar"/>
        </w:rPr>
        <w:t xml:space="preserve">Épaisseur : </w:t>
      </w:r>
      <w:r>
        <w:rPr>
          <w:rStyle w:val="optioncarChar"/>
        </w:rPr>
        <w:t xml:space="preserve">18 </w:t>
      </w:r>
      <w:r>
        <w:t>(par défaut)</w:t>
      </w:r>
      <w:r>
        <w:rPr>
          <w:rStyle w:val="optioncarChar"/>
        </w:rPr>
        <w:t xml:space="preserve"> / ***</w:t>
      </w:r>
      <w:r>
        <w:rPr>
          <w:rStyle w:val="soitChar"/>
        </w:rPr>
        <w:t xml:space="preserve"> mm</w:t>
      </w:r>
    </w:p>
    <w:p w14:paraId="5A22DCCF" w14:textId="77777777" w:rsidR="004B2808" w:rsidRDefault="00000000">
      <w:pPr>
        <w:pStyle w:val="Author-eListParagraph"/>
        <w:numPr>
          <w:ilvl w:val="0"/>
          <w:numId w:val="79"/>
        </w:numPr>
      </w:pPr>
      <w:r>
        <w:rPr>
          <w:rStyle w:val="soitChar"/>
        </w:rPr>
        <w:t xml:space="preserve">Localisation : </w:t>
      </w:r>
      <w:r>
        <w:rPr>
          <w:rStyle w:val="optioncarChar"/>
        </w:rPr>
        <w:t>sur une face / sur les 2 faces</w:t>
      </w:r>
    </w:p>
    <w:p w14:paraId="067DD3A9" w14:textId="77777777" w:rsidR="004B2808" w:rsidRDefault="00000000">
      <w:pPr>
        <w:jc w:val="both"/>
      </w:pPr>
      <w:r>
        <w:rPr>
          <w:b/>
        </w:rPr>
        <w:t>(soit)</w:t>
      </w:r>
    </w:p>
    <w:p w14:paraId="242DA16F" w14:textId="77777777" w:rsidR="004B2808" w:rsidRDefault="00000000">
      <w:pPr>
        <w:jc w:val="both"/>
      </w:pPr>
      <w:r>
        <w:rPr>
          <w:rStyle w:val="soitChar"/>
          <w:u w:val="single"/>
        </w:rPr>
        <w:t>Membrane acoustique :</w:t>
      </w:r>
    </w:p>
    <w:p w14:paraId="0596EB28" w14:textId="77777777" w:rsidR="004B2808" w:rsidRDefault="00000000">
      <w:pPr>
        <w:pStyle w:val="Author-eListParagraph"/>
        <w:numPr>
          <w:ilvl w:val="0"/>
          <w:numId w:val="80"/>
        </w:numPr>
        <w:jc w:val="both"/>
      </w:pPr>
      <w:r>
        <w:rPr>
          <w:rStyle w:val="soitChar"/>
        </w:rPr>
        <w:t xml:space="preserve">Type : </w:t>
      </w:r>
      <w:r>
        <w:rPr>
          <w:rStyle w:val="optioncarChar"/>
        </w:rPr>
        <w:t>polymère</w:t>
      </w:r>
      <w:r>
        <w:t xml:space="preserve"> (par défaut)</w:t>
      </w:r>
      <w:r>
        <w:rPr>
          <w:rStyle w:val="optioncarChar"/>
        </w:rPr>
        <w:t xml:space="preserve"> / non tissé fibres de celluloses et de verre</w:t>
      </w:r>
    </w:p>
    <w:p w14:paraId="09C80A1E" w14:textId="77777777" w:rsidR="004B2808" w:rsidRDefault="00000000">
      <w:pPr>
        <w:pStyle w:val="Author-eListParagraph"/>
        <w:numPr>
          <w:ilvl w:val="0"/>
          <w:numId w:val="80"/>
        </w:numPr>
        <w:jc w:val="both"/>
      </w:pPr>
      <w:r>
        <w:rPr>
          <w:rStyle w:val="soitChar"/>
        </w:rPr>
        <w:t xml:space="preserve">Épaisseur : </w:t>
      </w:r>
      <w:r>
        <w:rPr>
          <w:rStyle w:val="optioncarChar"/>
        </w:rPr>
        <w:t xml:space="preserve">5 </w:t>
      </w:r>
      <w:r>
        <w:t>(par défaut)</w:t>
      </w:r>
      <w:r>
        <w:rPr>
          <w:rStyle w:val="optioncarChar"/>
        </w:rPr>
        <w:t xml:space="preserve"> / 0,2 / ***</w:t>
      </w:r>
      <w:r>
        <w:rPr>
          <w:rStyle w:val="soitChar"/>
        </w:rPr>
        <w:t xml:space="preserve"> mm</w:t>
      </w:r>
    </w:p>
    <w:p w14:paraId="5A38D74C" w14:textId="77777777" w:rsidR="004B2808" w:rsidRDefault="00000000">
      <w:pPr>
        <w:pStyle w:val="Author-eListParagraph"/>
        <w:numPr>
          <w:ilvl w:val="0"/>
          <w:numId w:val="80"/>
        </w:numPr>
        <w:jc w:val="both"/>
      </w:pPr>
      <w:r>
        <w:rPr>
          <w:rStyle w:val="soitChar"/>
        </w:rPr>
        <w:t xml:space="preserve">Densité : </w:t>
      </w:r>
      <w:r>
        <w:rPr>
          <w:rStyle w:val="optioncarChar"/>
        </w:rPr>
        <w:t xml:space="preserve">10 </w:t>
      </w:r>
      <w:r>
        <w:t>(par défaut)</w:t>
      </w:r>
      <w:r>
        <w:rPr>
          <w:rStyle w:val="optioncarChar"/>
        </w:rPr>
        <w:t xml:space="preserve"> / ***</w:t>
      </w:r>
      <w:r>
        <w:rPr>
          <w:rStyle w:val="soitChar"/>
        </w:rPr>
        <w:t xml:space="preserve"> kg/m²</w:t>
      </w:r>
    </w:p>
    <w:p w14:paraId="51A85381" w14:textId="77777777" w:rsidR="004B2808" w:rsidRDefault="00000000">
      <w:pPr>
        <w:pStyle w:val="Author-eListParagraph"/>
        <w:numPr>
          <w:ilvl w:val="0"/>
          <w:numId w:val="80"/>
        </w:numPr>
        <w:jc w:val="both"/>
      </w:pPr>
      <w:r>
        <w:rPr>
          <w:rStyle w:val="soitChar"/>
        </w:rPr>
        <w:t xml:space="preserve">Collé à l’arrière des panneaux de finition : </w:t>
      </w:r>
      <w:r>
        <w:rPr>
          <w:rStyle w:val="optioncarChar"/>
        </w:rPr>
        <w:t>sur une face / sur les 2 faces</w:t>
      </w:r>
    </w:p>
    <w:p w14:paraId="41984DFC" w14:textId="77777777" w:rsidR="004B2808" w:rsidRDefault="00000000">
      <w:pPr>
        <w:pStyle w:val="pheading"/>
      </w:pPr>
      <w:r>
        <w:t>- Finitions</w:t>
      </w:r>
    </w:p>
    <w:p w14:paraId="0AF49963" w14:textId="77777777" w:rsidR="004B2808" w:rsidRDefault="00000000">
      <w:pPr>
        <w:jc w:val="both"/>
      </w:pPr>
      <w:r>
        <w:t xml:space="preserve">Tous les éléments visibles sont de teinte : </w:t>
      </w:r>
      <w:r>
        <w:rPr>
          <w:rStyle w:val="optioncarChar"/>
        </w:rPr>
        <w:t xml:space="preserve">au choix dans la gamme du fabricant </w:t>
      </w:r>
      <w:r>
        <w:t>(par défaut)</w:t>
      </w:r>
      <w:r>
        <w:rPr>
          <w:rStyle w:val="optioncarChar"/>
        </w:rPr>
        <w:t> / au choix de la direction de chantier / ***</w:t>
      </w:r>
      <w:r>
        <w:t>.</w:t>
      </w:r>
    </w:p>
    <w:p w14:paraId="64AD2076" w14:textId="77777777" w:rsidR="004B2808" w:rsidRDefault="00000000">
      <w:pPr>
        <w:pStyle w:val="pheading"/>
      </w:pPr>
      <w:r>
        <w:t>EXÉCUTION / MISE EN ŒUVRE</w:t>
      </w:r>
    </w:p>
    <w:p w14:paraId="60C3433B" w14:textId="77777777" w:rsidR="004B2808" w:rsidRDefault="00000000">
      <w:pPr>
        <w:pStyle w:val="pheading"/>
      </w:pPr>
      <w:r>
        <w:t>- Prescriptions générales</w:t>
      </w:r>
    </w:p>
    <w:p w14:paraId="3DF70BA5" w14:textId="77777777" w:rsidR="004B2808" w:rsidRDefault="00000000">
      <w:pPr>
        <w:jc w:val="both"/>
      </w:pPr>
      <w:r>
        <w:t>Vérification de la tolérance des chapes et finitions adjacentes aux parois : en cas de hors tolérance, l’entrepreneur prévient immédiatement la direction de chantier.</w:t>
      </w:r>
    </w:p>
    <w:p w14:paraId="49869148" w14:textId="77777777" w:rsidR="004B2808" w:rsidRDefault="00000000">
      <w:pPr>
        <w:jc w:val="both"/>
      </w:pPr>
      <w:r>
        <w:t>Tolérance d’exécution :</w:t>
      </w:r>
    </w:p>
    <w:p w14:paraId="4A8056EA" w14:textId="77777777" w:rsidR="004B2808" w:rsidRDefault="00000000">
      <w:pPr>
        <w:pStyle w:val="Author-eListParagraph"/>
        <w:numPr>
          <w:ilvl w:val="0"/>
          <w:numId w:val="81"/>
        </w:numPr>
      </w:pPr>
      <w:r>
        <w:t xml:space="preserve">Hors-aplomb : </w:t>
      </w:r>
      <w:r>
        <w:rPr>
          <w:rStyle w:val="optioncarChar"/>
        </w:rPr>
        <w:t>N / S</w:t>
      </w:r>
    </w:p>
    <w:p w14:paraId="38932E18" w14:textId="77777777" w:rsidR="004B2808" w:rsidRDefault="00000000">
      <w:pPr>
        <w:pStyle w:val="Author-eListParagraph"/>
        <w:numPr>
          <w:ilvl w:val="0"/>
          <w:numId w:val="81"/>
        </w:numPr>
      </w:pPr>
      <w:r>
        <w:t>Irrégularité maximale entre 2 éléments adjacents : 1 mm</w:t>
      </w:r>
    </w:p>
    <w:p w14:paraId="015C1575" w14:textId="77777777" w:rsidR="004B2808" w:rsidRDefault="00000000">
      <w:pPr>
        <w:jc w:val="both"/>
      </w:pPr>
      <w:r>
        <w:t xml:space="preserve">La modulation des éléments est : </w:t>
      </w:r>
      <w:r>
        <w:rPr>
          <w:rStyle w:val="optioncarChar"/>
        </w:rPr>
        <w:t>indiquée sur les plans d’adjudication / mise au point par l’entreprise en concertation avec la direction de chantier </w:t>
      </w:r>
    </w:p>
    <w:p w14:paraId="44AFC899" w14:textId="77777777" w:rsidR="004B2808" w:rsidRDefault="00000000">
      <w:pPr>
        <w:jc w:val="both"/>
      </w:pPr>
      <w:r>
        <w:t>Tous les éléments techniques à intégrer sont indiqués par l’entrepreneur sur les plans de pose en coordination avec les entreprises techniques.</w:t>
      </w:r>
    </w:p>
    <w:p w14:paraId="26AF7E09" w14:textId="77777777" w:rsidR="004B2808" w:rsidRDefault="00000000">
      <w:pPr>
        <w:jc w:val="both"/>
      </w:pPr>
      <w:r>
        <w:t>L’entrepreneur réalise le plan de pose et le présente pour approbation la direction de chantier.</w:t>
      </w:r>
    </w:p>
    <w:p w14:paraId="3582E627" w14:textId="77777777" w:rsidR="004B2808" w:rsidRDefault="00000000">
      <w:pPr>
        <w:jc w:val="both"/>
      </w:pPr>
      <w:r>
        <w:t>Les panneaux sont livrés avec toutes les réservations et percements nécessaires pour l’intégration des éléments techniques.</w:t>
      </w:r>
    </w:p>
    <w:p w14:paraId="79C4398F" w14:textId="77777777" w:rsidR="004B2808" w:rsidRDefault="00000000">
      <w:pPr>
        <w:jc w:val="both"/>
      </w:pPr>
      <w:r>
        <w:t>Les panneaux techniques et les pièces d’about adaptées aux parois sur lesquelles elles sont fixées sont réalisés en usine.</w:t>
      </w:r>
    </w:p>
    <w:p w14:paraId="77E12984" w14:textId="77777777" w:rsidR="004B2808" w:rsidRDefault="00000000">
      <w:pPr>
        <w:jc w:val="both"/>
      </w:pPr>
      <w:r>
        <w:t>Mise en œuvre suivant prescriptions de la documentation technique accompagnant les matériaux :</w:t>
      </w:r>
    </w:p>
    <w:p w14:paraId="1402B5DA" w14:textId="77777777" w:rsidR="004B2808" w:rsidRDefault="00000000">
      <w:pPr>
        <w:pStyle w:val="Author-eListParagraph"/>
        <w:numPr>
          <w:ilvl w:val="0"/>
          <w:numId w:val="82"/>
        </w:numPr>
      </w:pPr>
      <w:r>
        <w:t>Pose des lisses supérieure et inférieure avec interposition d’une mousse à cellules fermées collées, type et écartement des fixations suivant prescriptions de la documentation technique.</w:t>
      </w:r>
    </w:p>
    <w:p w14:paraId="47071A47" w14:textId="77777777" w:rsidR="004B2808" w:rsidRDefault="00000000">
      <w:pPr>
        <w:pStyle w:val="Author-eListParagraph"/>
        <w:numPr>
          <w:ilvl w:val="0"/>
          <w:numId w:val="82"/>
        </w:numPr>
      </w:pPr>
      <w:r>
        <w:t>Pose des lisses latérales au contact avec les parois adjacentes</w:t>
      </w:r>
    </w:p>
    <w:p w14:paraId="7687E477" w14:textId="77777777" w:rsidR="004B2808" w:rsidRDefault="00000000">
      <w:pPr>
        <w:pStyle w:val="Author-eListParagraph"/>
        <w:numPr>
          <w:ilvl w:val="0"/>
          <w:numId w:val="82"/>
        </w:numPr>
      </w:pPr>
      <w:r>
        <w:t>Pose de la structure verticale avec joints de mousse à cellules fermées collée sur les 2 faces où sont appliqués les panneaux de finition.</w:t>
      </w:r>
    </w:p>
    <w:p w14:paraId="56549ECB" w14:textId="77777777" w:rsidR="004B2808" w:rsidRDefault="00000000">
      <w:pPr>
        <w:pStyle w:val="Author-eListParagraph"/>
        <w:numPr>
          <w:ilvl w:val="0"/>
          <w:numId w:val="82"/>
        </w:numPr>
      </w:pPr>
      <w:r>
        <w:t>Pose des câbles et réseaux divers par les entreprises techniques</w:t>
      </w:r>
    </w:p>
    <w:p w14:paraId="075CAB70" w14:textId="77777777" w:rsidR="004B2808" w:rsidRDefault="00000000">
      <w:pPr>
        <w:pStyle w:val="Author-eListParagraph"/>
        <w:numPr>
          <w:ilvl w:val="0"/>
          <w:numId w:val="82"/>
        </w:numPr>
      </w:pPr>
      <w:r>
        <w:t xml:space="preserve">Pose des panneaux au moyen de crochets fixés à l’arrière des panneaux : </w:t>
      </w:r>
      <w:r>
        <w:rPr>
          <w:rStyle w:val="optioncarChar"/>
        </w:rPr>
        <w:t>avec joint creux / bord à bord</w:t>
      </w:r>
    </w:p>
    <w:p w14:paraId="0929AB6D" w14:textId="77777777" w:rsidR="004B2808" w:rsidRDefault="00000000">
      <w:pPr>
        <w:pStyle w:val="pheading"/>
      </w:pPr>
      <w:r>
        <w:lastRenderedPageBreak/>
        <w:t>DOCUMENTS DE RÉFÉRENCE COMPLÉMENTAIRES</w:t>
      </w:r>
    </w:p>
    <w:p w14:paraId="1EA22FDE" w14:textId="77777777" w:rsidR="004B2808" w:rsidRDefault="00000000">
      <w:pPr>
        <w:pStyle w:val="pheading"/>
      </w:pPr>
      <w:r>
        <w:t>- Matériau</w:t>
      </w:r>
    </w:p>
    <w:p w14:paraId="4F132520" w14:textId="77777777" w:rsidR="004B2808" w:rsidRDefault="00000000">
      <w:r>
        <w:t>[AR 1994-07-07, Arrêté royal fixant les normes de base en matière de prévention contre l'incendie et l'explosion, auxquelles les bâtiments nouveaux doivent satisfaire]</w:t>
      </w:r>
    </w:p>
    <w:p w14:paraId="2C840F6C" w14:textId="77777777" w:rsidR="004B2808" w:rsidRDefault="00000000">
      <w:r>
        <w:t>[NIT 233, Les cloisons légères.]</w:t>
      </w:r>
    </w:p>
    <w:p w14:paraId="6150710F" w14:textId="77777777" w:rsidR="004B2808" w:rsidRDefault="00000000">
      <w:r>
        <w:t>[NIT 194, Code de bonne pratique pour la pose de revêtements muraux souples.]</w:t>
      </w:r>
    </w:p>
    <w:p w14:paraId="660E2995" w14:textId="77777777" w:rsidR="004B280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 </w:t>
      </w:r>
    </w:p>
    <w:p w14:paraId="485E30DD" w14:textId="77777777" w:rsidR="004B2808" w:rsidRDefault="00000000">
      <w:r>
        <w:t>[NBN EN ISO 717-1, Acoustique - Évaluation de l'isolement acoustique des immeubles et des éléments de construction - Partie 1: Isolement aux bruits aériens (ISO 717-1:2020)]</w:t>
      </w:r>
    </w:p>
    <w:p w14:paraId="6085722A" w14:textId="77777777" w:rsidR="004B2808" w:rsidRDefault="00000000">
      <w:r>
        <w:t>[NBN EN ISO 10140-3, Acoustique - Mesurage en laboratoire de l'isolation acoustique des éléments de construction - Partie 3: Mesurage de l'isolation au bruit de choc (ISO 10140-3:2021)]</w:t>
      </w:r>
    </w:p>
    <w:p w14:paraId="7A7993F7" w14:textId="77777777" w:rsidR="004B2808" w:rsidRDefault="00000000">
      <w:r>
        <w:t>[NBN EN 14322, Panneaux à base de bois - Panneaux surfacés mélaminés pour usages intérieurs - Définition, exigences et classification]</w:t>
      </w:r>
    </w:p>
    <w:p w14:paraId="252E5B5A" w14:textId="77777777" w:rsidR="004B2808" w:rsidRDefault="00000000">
      <w:r>
        <w:t>[NBN EN 438-3, Stratifiés décoratifs haute pression (HPL) - Plaques à base de résines thermodurcissables (communément appelées stratifiés) - Partie 3: Classification et spécifications des stratifiés d'épaisseur inférieure à 2 mm destinés à être collés sur des supports]</w:t>
      </w:r>
    </w:p>
    <w:p w14:paraId="7E733F78" w14:textId="77777777" w:rsidR="004B2808" w:rsidRDefault="00000000">
      <w:r>
        <w:t>[NBN EN 1991 série, Eurocode 1 : Actions sur les structures]</w:t>
      </w:r>
    </w:p>
    <w:p w14:paraId="2656CC24" w14:textId="77777777" w:rsidR="004B2808" w:rsidRDefault="00000000">
      <w:pPr>
        <w:pStyle w:val="pheading"/>
      </w:pPr>
      <w:r>
        <w:t>- Exécution</w:t>
      </w:r>
    </w:p>
    <w:p w14:paraId="6AE24A22" w14:textId="77777777" w:rsidR="004B2808" w:rsidRDefault="00000000">
      <w:r>
        <w:t>[NIT 233, Les cloisons légères.]</w:t>
      </w:r>
    </w:p>
    <w:p w14:paraId="0642D804" w14:textId="77777777" w:rsidR="004B2808" w:rsidRDefault="00000000">
      <w:pPr>
        <w:pStyle w:val="pheading"/>
      </w:pPr>
      <w:r>
        <w:t>MESURAGE</w:t>
      </w:r>
    </w:p>
    <w:p w14:paraId="4D65C707" w14:textId="77777777" w:rsidR="004B2808" w:rsidRDefault="00000000">
      <w:pPr>
        <w:pStyle w:val="pheading"/>
      </w:pPr>
      <w:r>
        <w:t>- unité de mesure:</w:t>
      </w:r>
    </w:p>
    <w:p w14:paraId="54912C83" w14:textId="77777777" w:rsidR="004B2808" w:rsidRDefault="00000000">
      <w:r>
        <w:t>m²</w:t>
      </w:r>
    </w:p>
    <w:p w14:paraId="606576AE" w14:textId="77777777" w:rsidR="004B2808" w:rsidRDefault="00000000">
      <w:pPr>
        <w:pStyle w:val="pheading"/>
      </w:pPr>
      <w:r>
        <w:t>- code de mesurage:</w:t>
      </w:r>
    </w:p>
    <w:p w14:paraId="2F86C9ED" w14:textId="77777777" w:rsidR="004B2808" w:rsidRDefault="00000000">
      <w:r>
        <w:t>Surface nette à mettre en œuvre, distinction faite suivant le type et la hauteur</w:t>
      </w:r>
    </w:p>
    <w:p w14:paraId="60FD6555" w14:textId="77777777" w:rsidR="004B2808" w:rsidRDefault="00000000">
      <w:pPr>
        <w:pStyle w:val="pheading"/>
      </w:pPr>
      <w:r>
        <w:t>- nature du marché:</w:t>
      </w:r>
    </w:p>
    <w:p w14:paraId="74255EB8" w14:textId="77777777" w:rsidR="004B2808" w:rsidRDefault="00000000">
      <w:r>
        <w:t>QF</w:t>
      </w:r>
    </w:p>
    <w:p w14:paraId="58AFA7D0" w14:textId="77777777" w:rsidR="004B2808" w:rsidRDefault="00000000">
      <w:pPr>
        <w:pStyle w:val="Author-eSectionHeading6Numberless"/>
      </w:pPr>
      <w:bookmarkStart w:id="90" w:name="_Toc220490297"/>
      <w:r>
        <w:t>51.32.1b Cloisons à système bi blocs vitrées CCTB 01.12</w:t>
      </w:r>
      <w:bookmarkEnd w:id="90"/>
    </w:p>
    <w:p w14:paraId="65C5B0D9" w14:textId="77777777" w:rsidR="004B2808" w:rsidRDefault="00000000">
      <w:pPr>
        <w:pStyle w:val="pheading"/>
      </w:pPr>
      <w:bookmarkStart w:id="91" w:name="1153"/>
      <w:bookmarkEnd w:id="91"/>
      <w:r>
        <w:t>DESCRIPTION</w:t>
      </w:r>
    </w:p>
    <w:p w14:paraId="6C1E7050" w14:textId="77777777" w:rsidR="004B2808" w:rsidRDefault="00000000">
      <w:pPr>
        <w:pStyle w:val="pheading"/>
      </w:pPr>
      <w:r>
        <w:t>- Définition / Comprend</w:t>
      </w:r>
    </w:p>
    <w:p w14:paraId="66C79416" w14:textId="77777777" w:rsidR="004B2808" w:rsidRDefault="00000000">
      <w:pPr>
        <w:jc w:val="both"/>
      </w:pPr>
      <w:r>
        <w:t>Il s’agit de la fourniture et la pose de cloisons démontables et amovibles vitrées.</w:t>
      </w:r>
    </w:p>
    <w:p w14:paraId="118906E8" w14:textId="77777777" w:rsidR="004B2808" w:rsidRDefault="00000000">
      <w:pPr>
        <w:jc w:val="both"/>
      </w:pPr>
      <w:r>
        <w:t>Le travail comprend notamment :</w:t>
      </w:r>
    </w:p>
    <w:p w14:paraId="50DAAFDF" w14:textId="77777777" w:rsidR="004B2808" w:rsidRDefault="00000000">
      <w:pPr>
        <w:pStyle w:val="Author-eListParagraph"/>
        <w:numPr>
          <w:ilvl w:val="0"/>
          <w:numId w:val="83"/>
        </w:numPr>
        <w:jc w:val="both"/>
      </w:pPr>
      <w:r>
        <w:rPr>
          <w:color w:val="000000"/>
        </w:rPr>
        <w:t>Établissement de la note de calcul déterminant l’épaisseur des vitrages.</w:t>
      </w:r>
      <w:r>
        <w:t>       </w:t>
      </w:r>
    </w:p>
    <w:p w14:paraId="7099E3B0" w14:textId="77777777" w:rsidR="004B2808" w:rsidRDefault="00000000">
      <w:pPr>
        <w:pStyle w:val="Author-eListParagraph"/>
        <w:numPr>
          <w:ilvl w:val="0"/>
          <w:numId w:val="83"/>
        </w:numPr>
        <w:jc w:val="both"/>
      </w:pPr>
      <w:r>
        <w:t xml:space="preserve">Intégration des panneaux pleins suivant </w:t>
      </w:r>
      <w:hyperlink w:anchor="1155" w:history="1">
        <w:r w:rsidR="004B2808">
          <w:rPr>
            <w:color w:val="0000EE"/>
          </w:rPr>
          <w:t>51.32.1a Cloisons à système bi blocs</w:t>
        </w:r>
      </w:hyperlink>
      <w:r>
        <w:t xml:space="preserve"> : </w:t>
      </w:r>
      <w:r>
        <w:rPr>
          <w:rStyle w:val="optioncarChar"/>
        </w:rPr>
        <w:t>oui / non</w:t>
      </w:r>
    </w:p>
    <w:p w14:paraId="5AC0C36F" w14:textId="77777777" w:rsidR="004B2808" w:rsidRDefault="00000000">
      <w:pPr>
        <w:pStyle w:val="Author-eListParagraph"/>
        <w:numPr>
          <w:ilvl w:val="0"/>
          <w:numId w:val="83"/>
        </w:numPr>
        <w:jc w:val="both"/>
      </w:pPr>
      <w:r>
        <w:t xml:space="preserve">Intégration des portes pleines suivant </w:t>
      </w:r>
      <w:hyperlink w:anchor="1154" w:history="1">
        <w:r w:rsidR="004B2808">
          <w:rPr>
            <w:color w:val="0000EE"/>
          </w:rPr>
          <w:t>51.32.1c Cloisons à système bi blocs portes pleines intégrées</w:t>
        </w:r>
      </w:hyperlink>
    </w:p>
    <w:p w14:paraId="301653C4" w14:textId="77777777" w:rsidR="004B2808" w:rsidRDefault="00000000">
      <w:pPr>
        <w:pStyle w:val="pheading"/>
      </w:pPr>
      <w:r>
        <w:t>MATÉRIAUX</w:t>
      </w:r>
    </w:p>
    <w:p w14:paraId="639842E5" w14:textId="77777777" w:rsidR="004B2808" w:rsidRDefault="00000000">
      <w:pPr>
        <w:pStyle w:val="pheading"/>
      </w:pPr>
      <w:r>
        <w:t>- Caractéristiques générales</w:t>
      </w:r>
    </w:p>
    <w:p w14:paraId="634B29F9" w14:textId="77777777" w:rsidR="004B2808" w:rsidRDefault="00000000">
      <w:pPr>
        <w:jc w:val="both"/>
      </w:pPr>
      <w:r>
        <w:t xml:space="preserve">Les matériaux sont couverts par une déclaration d’aptitude à l’utilisation décrite au chapitre 02.42.1 Critères d'acceptabilité : </w:t>
      </w:r>
      <w:r>
        <w:rPr>
          <w:rStyle w:val="optioncarChar"/>
        </w:rPr>
        <w:t>oui / non</w:t>
      </w:r>
    </w:p>
    <w:p w14:paraId="55962D0B" w14:textId="77777777" w:rsidR="004B2808" w:rsidRDefault="00000000">
      <w:pPr>
        <w:jc w:val="both"/>
      </w:pPr>
      <w:r>
        <w:lastRenderedPageBreak/>
        <w:t>Résistance au feu :</w:t>
      </w:r>
      <w:r>
        <w:rPr>
          <w:rStyle w:val="optioncarChar"/>
          <w:color w:val="000000"/>
        </w:rPr>
        <w:t xml:space="preserve"> EI</w:t>
      </w:r>
      <w:r>
        <w:rPr>
          <w:rStyle w:val="optioncarChar"/>
        </w:rPr>
        <w:t xml:space="preserve"> 0 / 30 / 60</w:t>
      </w:r>
    </w:p>
    <w:p w14:paraId="7D4AD4EF" w14:textId="77777777" w:rsidR="004B2808" w:rsidRDefault="00000000">
      <w:pPr>
        <w:jc w:val="both"/>
      </w:pPr>
      <w:r>
        <w:t xml:space="preserve">Réaction au feu : </w:t>
      </w:r>
      <w:r>
        <w:rPr>
          <w:rStyle w:val="optioncarChar"/>
        </w:rPr>
        <w:t>A2-s1, d0 </w:t>
      </w:r>
      <w:r>
        <w:rPr>
          <w:rStyle w:val="optioncarChar"/>
          <w:color w:val="000000"/>
        </w:rPr>
        <w:t>(par défaut)</w:t>
      </w:r>
      <w:r>
        <w:rPr>
          <w:rStyle w:val="optioncarChar"/>
        </w:rPr>
        <w:t> / B-s1, d0 / ***</w:t>
      </w:r>
    </w:p>
    <w:p w14:paraId="3AD7E224" w14:textId="77777777" w:rsidR="004B2808" w:rsidRDefault="00000000">
      <w:pPr>
        <w:jc w:val="both"/>
      </w:pPr>
      <w:r>
        <w:t>Caractéristique acoustique : valeur R</w:t>
      </w:r>
      <w:r>
        <w:rPr>
          <w:vertAlign w:val="subscript"/>
        </w:rPr>
        <w:t>w</w:t>
      </w:r>
      <w:r>
        <w:t xml:space="preserve">  : </w:t>
      </w:r>
      <w:r>
        <w:rPr>
          <w:rStyle w:val="optioncarChar"/>
        </w:rPr>
        <w:t>***</w:t>
      </w:r>
      <w:r>
        <w:t xml:space="preserve"> dB</w:t>
      </w:r>
    </w:p>
    <w:p w14:paraId="070B48BD" w14:textId="77777777" w:rsidR="004B2808" w:rsidRDefault="00000000">
      <w:pPr>
        <w:jc w:val="both"/>
      </w:pPr>
      <w:r>
        <w:t xml:space="preserve">Catégorie d’usage suivant [NBN EN 1991 série] : </w:t>
      </w:r>
      <w:r>
        <w:rPr>
          <w:rStyle w:val="optioncarChar"/>
        </w:rPr>
        <w:t>A / B / C / D</w:t>
      </w:r>
    </w:p>
    <w:p w14:paraId="56F21CFA" w14:textId="77777777" w:rsidR="004B2808" w:rsidRDefault="00000000">
      <w:pPr>
        <w:jc w:val="both"/>
      </w:pPr>
      <w:r>
        <w:t xml:space="preserve">Épaisseur : </w:t>
      </w:r>
      <w:r>
        <w:rPr>
          <w:rStyle w:val="optioncarChar"/>
        </w:rPr>
        <w:t xml:space="preserve">100 </w:t>
      </w:r>
      <w:r>
        <w:t>(par défaut)</w:t>
      </w:r>
      <w:r>
        <w:rPr>
          <w:rStyle w:val="optioncarChar"/>
        </w:rPr>
        <w:t xml:space="preserve"> / 80 / ***</w:t>
      </w:r>
      <w:r>
        <w:t xml:space="preserve"> mm</w:t>
      </w:r>
    </w:p>
    <w:p w14:paraId="214E8401" w14:textId="77777777" w:rsidR="004B2808" w:rsidRDefault="00000000">
      <w:pPr>
        <w:jc w:val="both"/>
      </w:pPr>
      <w:r>
        <w:t xml:space="preserve">Modulation : </w:t>
      </w:r>
      <w:r>
        <w:rPr>
          <w:rStyle w:val="optioncarChar"/>
        </w:rPr>
        <w:t>1200</w:t>
      </w:r>
      <w:r>
        <w:t xml:space="preserve"> (par défaut) </w:t>
      </w:r>
      <w:r>
        <w:rPr>
          <w:rStyle w:val="optioncarChar"/>
        </w:rPr>
        <w:t>/ 900 / 1000 / ***</w:t>
      </w:r>
      <w:r>
        <w:t xml:space="preserve"> mm</w:t>
      </w:r>
    </w:p>
    <w:p w14:paraId="5C2AE464" w14:textId="77777777" w:rsidR="004B2808" w:rsidRDefault="00000000">
      <w:pPr>
        <w:jc w:val="both"/>
      </w:pPr>
      <w:r>
        <w:t xml:space="preserve">Hauteur : </w:t>
      </w:r>
      <w:r>
        <w:rPr>
          <w:rStyle w:val="optioncarChar"/>
        </w:rPr>
        <w:t>***</w:t>
      </w:r>
      <w:r>
        <w:t xml:space="preserve"> mm</w:t>
      </w:r>
    </w:p>
    <w:p w14:paraId="7488BBD9" w14:textId="77777777" w:rsidR="004B2808" w:rsidRDefault="00000000">
      <w:pPr>
        <w:jc w:val="both"/>
      </w:pPr>
      <w:r>
        <w:t>Vitrage :</w:t>
      </w:r>
    </w:p>
    <w:p w14:paraId="3C9B66C6" w14:textId="77777777" w:rsidR="004B2808" w:rsidRDefault="00000000">
      <w:pPr>
        <w:pStyle w:val="Author-eListParagraph"/>
        <w:numPr>
          <w:ilvl w:val="0"/>
          <w:numId w:val="84"/>
        </w:numPr>
      </w:pPr>
      <w:r>
        <w:t xml:space="preserve">Sécurité des personnes suivant [NBN S 23-002/A1] : </w:t>
      </w:r>
      <w:r>
        <w:rPr>
          <w:rStyle w:val="optioncarChar"/>
        </w:rPr>
        <w:t>feuilleté 2B2 / trempé 1C</w:t>
      </w:r>
    </w:p>
    <w:p w14:paraId="30C285FC" w14:textId="77777777" w:rsidR="004B2808" w:rsidRDefault="00000000">
      <w:pPr>
        <w:pStyle w:val="Author-eListParagraph"/>
        <w:numPr>
          <w:ilvl w:val="0"/>
          <w:numId w:val="84"/>
        </w:numPr>
      </w:pPr>
      <w:r>
        <w:t>Épaisseur vitrage suivant note de calcul établie par l’entreprise à présenter pour approbation à la direction de chantier</w:t>
      </w:r>
    </w:p>
    <w:p w14:paraId="319AD609" w14:textId="77777777" w:rsidR="004B2808" w:rsidRDefault="00000000">
      <w:pPr>
        <w:pStyle w:val="Author-eListParagraph"/>
        <w:numPr>
          <w:ilvl w:val="0"/>
          <w:numId w:val="84"/>
        </w:numPr>
      </w:pPr>
      <w:r>
        <w:t xml:space="preserve">Finition vitrage :  </w:t>
      </w:r>
      <w:r>
        <w:rPr>
          <w:rStyle w:val="optioncarChar"/>
        </w:rPr>
        <w:t>transparent / avec film / sablé / teinté / sérigraphié</w:t>
      </w:r>
    </w:p>
    <w:p w14:paraId="1C11E7AC" w14:textId="77777777" w:rsidR="004B2808" w:rsidRDefault="00000000">
      <w:pPr>
        <w:jc w:val="both"/>
      </w:pPr>
      <w:r>
        <w:rPr>
          <w:b/>
        </w:rPr>
        <w:t>Lisses sol et plafond :</w:t>
      </w:r>
      <w:r>
        <w:t>  </w:t>
      </w:r>
      <w:r>
        <w:rPr>
          <w:rStyle w:val="optioncarChar"/>
        </w:rPr>
        <w:t xml:space="preserve">acier thermolaqué </w:t>
      </w:r>
      <w:r>
        <w:t xml:space="preserve">(par défaut) </w:t>
      </w:r>
      <w:r>
        <w:rPr>
          <w:rStyle w:val="optioncarChar"/>
        </w:rPr>
        <w:t>/ ***</w:t>
      </w:r>
    </w:p>
    <w:p w14:paraId="75F16123" w14:textId="77777777" w:rsidR="004B2808" w:rsidRDefault="00000000">
      <w:pPr>
        <w:pStyle w:val="Author-eListParagraph"/>
        <w:numPr>
          <w:ilvl w:val="0"/>
          <w:numId w:val="85"/>
        </w:numPr>
      </w:pPr>
      <w:r>
        <w:t xml:space="preserve">Épaisseur : </w:t>
      </w:r>
      <w:r>
        <w:rPr>
          <w:rStyle w:val="optioncarChar"/>
        </w:rPr>
        <w:t xml:space="preserve">1 </w:t>
      </w:r>
      <w:r>
        <w:t xml:space="preserve">(par défaut) </w:t>
      </w:r>
      <w:r>
        <w:rPr>
          <w:rStyle w:val="optioncarChar"/>
        </w:rPr>
        <w:t>/ 1,5 / ***</w:t>
      </w:r>
      <w:r>
        <w:t xml:space="preserve"> mm</w:t>
      </w:r>
    </w:p>
    <w:p w14:paraId="482869A2" w14:textId="77777777" w:rsidR="004B2808" w:rsidRDefault="00000000">
      <w:pPr>
        <w:pStyle w:val="Author-eListParagraph"/>
        <w:numPr>
          <w:ilvl w:val="0"/>
          <w:numId w:val="85"/>
        </w:numPr>
      </w:pPr>
      <w:r>
        <w:t xml:space="preserve">Finition : </w:t>
      </w:r>
      <w:r>
        <w:rPr>
          <w:rStyle w:val="optioncarChar"/>
        </w:rPr>
        <w:t>60</w:t>
      </w:r>
      <w:r>
        <w:t xml:space="preserve"> (par défaut) </w:t>
      </w:r>
      <w:r>
        <w:rPr>
          <w:rStyle w:val="optioncarChar"/>
        </w:rPr>
        <w:t>/ 70 / 100 / ***</w:t>
      </w:r>
      <w:r>
        <w:t xml:space="preserve"> µm</w:t>
      </w:r>
    </w:p>
    <w:p w14:paraId="516957AC" w14:textId="77777777" w:rsidR="004B2808" w:rsidRDefault="00000000">
      <w:pPr>
        <w:pStyle w:val="Author-eListParagraph"/>
        <w:numPr>
          <w:ilvl w:val="0"/>
          <w:numId w:val="85"/>
        </w:numPr>
      </w:pPr>
      <w:r>
        <w:t>Pourvues en face inférieure/supérieure et en faces latérales de joints à cellules fermées collés.</w:t>
      </w:r>
    </w:p>
    <w:p w14:paraId="515549EF" w14:textId="77777777" w:rsidR="004B2808" w:rsidRDefault="00000000">
      <w:pPr>
        <w:jc w:val="both"/>
      </w:pPr>
      <w:r>
        <w:rPr>
          <w:b/>
        </w:rPr>
        <w:t>Profils verticaux :</w:t>
      </w:r>
      <w:r>
        <w:t>  </w:t>
      </w:r>
      <w:r>
        <w:rPr>
          <w:rStyle w:val="optioncarChar"/>
        </w:rPr>
        <w:t xml:space="preserve">acier galvanisé </w:t>
      </w:r>
      <w:r>
        <w:t xml:space="preserve">(par défaut) </w:t>
      </w:r>
      <w:r>
        <w:rPr>
          <w:rStyle w:val="optioncarChar"/>
        </w:rPr>
        <w:t>/ acier thermolaqué / ***</w:t>
      </w:r>
    </w:p>
    <w:p w14:paraId="5002379B" w14:textId="77777777" w:rsidR="004B2808" w:rsidRDefault="00000000">
      <w:pPr>
        <w:pStyle w:val="Author-eListParagraph"/>
        <w:numPr>
          <w:ilvl w:val="0"/>
          <w:numId w:val="86"/>
        </w:numPr>
      </w:pPr>
      <w:r>
        <w:t xml:space="preserve">Épaisseur : </w:t>
      </w:r>
      <w:r>
        <w:rPr>
          <w:rStyle w:val="optioncarChar"/>
        </w:rPr>
        <w:t xml:space="preserve">1,5 </w:t>
      </w:r>
      <w:r>
        <w:t>(par défaut)</w:t>
      </w:r>
      <w:r>
        <w:rPr>
          <w:rStyle w:val="optioncarChar"/>
        </w:rPr>
        <w:t xml:space="preserve"> / 1 / ***</w:t>
      </w:r>
      <w:r>
        <w:t xml:space="preserve"> mm</w:t>
      </w:r>
    </w:p>
    <w:p w14:paraId="001C10BA" w14:textId="77777777" w:rsidR="004B2808" w:rsidRDefault="00000000">
      <w:pPr>
        <w:pStyle w:val="Author-eListParagraph"/>
        <w:numPr>
          <w:ilvl w:val="0"/>
          <w:numId w:val="86"/>
        </w:numPr>
      </w:pPr>
      <w:r>
        <w:t>Pourvus de perforations pour l’accrochage des panneaux</w:t>
      </w:r>
    </w:p>
    <w:p w14:paraId="4FBA53C3" w14:textId="77777777" w:rsidR="004B2808" w:rsidRDefault="00000000">
      <w:pPr>
        <w:jc w:val="both"/>
      </w:pPr>
      <w:r>
        <w:rPr>
          <w:b/>
        </w:rPr>
        <w:t>Lisses horizontales et profils C remplis de :</w:t>
      </w:r>
      <w:r>
        <w:t xml:space="preserve">  </w:t>
      </w:r>
      <w:r>
        <w:rPr>
          <w:rStyle w:val="optioncarChar"/>
        </w:rPr>
        <w:t xml:space="preserve">laine de roche </w:t>
      </w:r>
      <w:r>
        <w:t>(par défaut)</w:t>
      </w:r>
      <w:r>
        <w:rPr>
          <w:rStyle w:val="optioncarChar"/>
        </w:rPr>
        <w:t xml:space="preserve"> / panneau à base de bois lamellé collé / chevron en bois</w:t>
      </w:r>
    </w:p>
    <w:p w14:paraId="3A2C2F6A" w14:textId="77777777" w:rsidR="004B2808" w:rsidRDefault="00000000">
      <w:pPr>
        <w:jc w:val="both"/>
      </w:pPr>
      <w:r>
        <w:rPr>
          <w:b/>
        </w:rPr>
        <w:t>(soit par défaut)</w:t>
      </w:r>
    </w:p>
    <w:p w14:paraId="4C23D9FC" w14:textId="77777777" w:rsidR="004B2808" w:rsidRDefault="00000000">
      <w:pPr>
        <w:jc w:val="both"/>
      </w:pPr>
      <w:r>
        <w:rPr>
          <w:rStyle w:val="soitChar"/>
          <w:u w:val="single"/>
        </w:rPr>
        <w:t>Laine de roche :</w:t>
      </w:r>
    </w:p>
    <w:p w14:paraId="166E88A4" w14:textId="77777777" w:rsidR="004B2808" w:rsidRDefault="00000000">
      <w:pPr>
        <w:pStyle w:val="Author-eListParagraph"/>
        <w:numPr>
          <w:ilvl w:val="0"/>
          <w:numId w:val="87"/>
        </w:numPr>
      </w:pPr>
      <w:r>
        <w:rPr>
          <w:rStyle w:val="soitChar"/>
        </w:rPr>
        <w:t xml:space="preserve">Densité : </w:t>
      </w:r>
      <w:r>
        <w:rPr>
          <w:rStyle w:val="optioncarChar"/>
        </w:rPr>
        <w:t>150</w:t>
      </w:r>
      <w:r>
        <w:t xml:space="preserve"> (par défaut)</w:t>
      </w:r>
      <w:r>
        <w:rPr>
          <w:rStyle w:val="optioncarChar"/>
        </w:rPr>
        <w:t xml:space="preserve"> / 45 / ***</w:t>
      </w:r>
      <w:r>
        <w:t> </w:t>
      </w:r>
      <w:r>
        <w:rPr>
          <w:rStyle w:val="soitChar"/>
        </w:rPr>
        <w:t>kg/m³</w:t>
      </w:r>
    </w:p>
    <w:p w14:paraId="297CCB3B" w14:textId="77777777" w:rsidR="004B2808" w:rsidRDefault="00000000">
      <w:pPr>
        <w:jc w:val="both"/>
      </w:pPr>
      <w:r>
        <w:rPr>
          <w:b/>
        </w:rPr>
        <w:t>(soit)</w:t>
      </w:r>
    </w:p>
    <w:p w14:paraId="338D4D22" w14:textId="77777777" w:rsidR="004B2808" w:rsidRDefault="00000000">
      <w:pPr>
        <w:jc w:val="both"/>
      </w:pPr>
      <w:r>
        <w:rPr>
          <w:rStyle w:val="soitChar"/>
          <w:u w:val="single"/>
        </w:rPr>
        <w:t>Panneau à base de bois lamellé collé :</w:t>
      </w:r>
    </w:p>
    <w:p w14:paraId="4ED4DBC1" w14:textId="77777777" w:rsidR="004B2808" w:rsidRDefault="00000000">
      <w:pPr>
        <w:pStyle w:val="Author-eListParagraph"/>
        <w:numPr>
          <w:ilvl w:val="0"/>
          <w:numId w:val="88"/>
        </w:numPr>
      </w:pPr>
      <w:r>
        <w:rPr>
          <w:rStyle w:val="soitChar"/>
        </w:rPr>
        <w:t xml:space="preserve">Densité : </w:t>
      </w:r>
      <w:r>
        <w:rPr>
          <w:rStyle w:val="optioncarChar"/>
        </w:rPr>
        <w:t>650</w:t>
      </w:r>
      <w:r>
        <w:t xml:space="preserve"> (par défaut)</w:t>
      </w:r>
      <w:r>
        <w:rPr>
          <w:rStyle w:val="optioncarChar"/>
        </w:rPr>
        <w:t xml:space="preserve"> / ***</w:t>
      </w:r>
      <w:r>
        <w:rPr>
          <w:rStyle w:val="soitChar"/>
        </w:rPr>
        <w:t xml:space="preserve"> kg/m³</w:t>
      </w:r>
    </w:p>
    <w:p w14:paraId="56FF631D" w14:textId="77777777" w:rsidR="004B2808" w:rsidRDefault="00000000">
      <w:pPr>
        <w:pStyle w:val="Author-eListParagraph"/>
        <w:numPr>
          <w:ilvl w:val="0"/>
          <w:numId w:val="88"/>
        </w:numPr>
      </w:pPr>
      <w:r>
        <w:rPr>
          <w:rStyle w:val="soitChar"/>
        </w:rPr>
        <w:t>Formaldéhyde : classe E1</w:t>
      </w:r>
    </w:p>
    <w:p w14:paraId="1E8A2DDF" w14:textId="77777777" w:rsidR="004B2808" w:rsidRDefault="00000000">
      <w:pPr>
        <w:pStyle w:val="Author-eListParagraph"/>
        <w:numPr>
          <w:ilvl w:val="0"/>
          <w:numId w:val="88"/>
        </w:numPr>
      </w:pPr>
      <w:r>
        <w:rPr>
          <w:rStyle w:val="soitChar"/>
        </w:rPr>
        <w:t>Classe d’utilisation : P2</w:t>
      </w:r>
    </w:p>
    <w:p w14:paraId="360E91CA" w14:textId="77777777" w:rsidR="004B2808" w:rsidRDefault="00000000">
      <w:pPr>
        <w:jc w:val="both"/>
      </w:pPr>
      <w:r>
        <w:rPr>
          <w:b/>
        </w:rPr>
        <w:t>(soit)</w:t>
      </w:r>
    </w:p>
    <w:p w14:paraId="67FBBAB0" w14:textId="77777777" w:rsidR="004B2808" w:rsidRDefault="00000000">
      <w:pPr>
        <w:jc w:val="both"/>
      </w:pPr>
      <w:r>
        <w:rPr>
          <w:rStyle w:val="soitChar"/>
          <w:u w:val="single"/>
        </w:rPr>
        <w:t>Chevron en bois :</w:t>
      </w:r>
    </w:p>
    <w:p w14:paraId="3F35D6A4" w14:textId="77777777" w:rsidR="004B2808" w:rsidRDefault="00000000">
      <w:pPr>
        <w:pStyle w:val="Author-eListParagraph"/>
        <w:numPr>
          <w:ilvl w:val="0"/>
          <w:numId w:val="89"/>
        </w:numPr>
      </w:pPr>
      <w:r>
        <w:rPr>
          <w:rStyle w:val="soitChar"/>
        </w:rPr>
        <w:t xml:space="preserve">Densité : </w:t>
      </w:r>
      <w:r>
        <w:rPr>
          <w:rStyle w:val="optioncarChar"/>
        </w:rPr>
        <w:t>430</w:t>
      </w:r>
      <w:r>
        <w:t xml:space="preserve"> (par défaut)</w:t>
      </w:r>
      <w:r>
        <w:rPr>
          <w:rStyle w:val="optioncarChar"/>
        </w:rPr>
        <w:t xml:space="preserve"> / ***</w:t>
      </w:r>
      <w:r>
        <w:rPr>
          <w:rStyle w:val="soitChar"/>
        </w:rPr>
        <w:t xml:space="preserve"> kg/m³</w:t>
      </w:r>
    </w:p>
    <w:p w14:paraId="0F783037" w14:textId="77777777" w:rsidR="004B2808" w:rsidRDefault="00000000">
      <w:pPr>
        <w:pStyle w:val="Author-eListParagraph"/>
        <w:numPr>
          <w:ilvl w:val="0"/>
          <w:numId w:val="89"/>
        </w:numPr>
      </w:pPr>
      <w:r>
        <w:rPr>
          <w:rStyle w:val="soitChar"/>
        </w:rPr>
        <w:t xml:space="preserve">Essence : </w:t>
      </w:r>
      <w:r>
        <w:rPr>
          <w:rStyle w:val="optioncarChar"/>
        </w:rPr>
        <w:t xml:space="preserve">pin </w:t>
      </w:r>
      <w:r>
        <w:t>(par défaut)</w:t>
      </w:r>
      <w:r>
        <w:rPr>
          <w:rStyle w:val="optioncarChar"/>
        </w:rPr>
        <w:t xml:space="preserve"> / ***</w:t>
      </w:r>
      <w:r>
        <w:t> </w:t>
      </w:r>
    </w:p>
    <w:p w14:paraId="10DE7145" w14:textId="77777777" w:rsidR="004B2808" w:rsidRDefault="00000000">
      <w:pPr>
        <w:jc w:val="both"/>
      </w:pPr>
      <w:r>
        <w:rPr>
          <w:b/>
        </w:rPr>
        <w:t>Panneaux vitrés de part et d’autre de l’ossature avec cadre aluminium :</w:t>
      </w:r>
      <w:r>
        <w:t xml:space="preserve">  </w:t>
      </w:r>
      <w:r>
        <w:rPr>
          <w:rStyle w:val="optioncarChar"/>
        </w:rPr>
        <w:t>caché / visible</w:t>
      </w:r>
    </w:p>
    <w:p w14:paraId="40AC1BE3" w14:textId="77777777" w:rsidR="004B2808" w:rsidRDefault="00000000">
      <w:pPr>
        <w:jc w:val="both"/>
      </w:pPr>
      <w:r>
        <w:rPr>
          <w:b/>
        </w:rPr>
        <w:t>(soit par défaut) </w:t>
      </w:r>
    </w:p>
    <w:p w14:paraId="25B6B9AB" w14:textId="77777777" w:rsidR="004B2808" w:rsidRDefault="00000000">
      <w:pPr>
        <w:jc w:val="both"/>
      </w:pPr>
      <w:r>
        <w:rPr>
          <w:rStyle w:val="soitChar"/>
          <w:u w:val="single"/>
        </w:rPr>
        <w:t>Cadre caché :</w:t>
      </w:r>
    </w:p>
    <w:p w14:paraId="6DFDA5AB" w14:textId="77777777" w:rsidR="004B2808" w:rsidRDefault="00000000">
      <w:pPr>
        <w:pStyle w:val="Author-eListParagraph"/>
        <w:numPr>
          <w:ilvl w:val="0"/>
          <w:numId w:val="90"/>
        </w:numPr>
      </w:pPr>
      <w:r>
        <w:rPr>
          <w:rStyle w:val="soitChar"/>
        </w:rPr>
        <w:t>Vitrage taillé à 45° collé sur le cadre caché au moyen d’un joint structurel</w:t>
      </w:r>
    </w:p>
    <w:p w14:paraId="36C97514" w14:textId="77777777" w:rsidR="004B2808" w:rsidRDefault="00000000">
      <w:pPr>
        <w:pStyle w:val="Author-eListParagraph"/>
        <w:numPr>
          <w:ilvl w:val="0"/>
          <w:numId w:val="90"/>
        </w:numPr>
      </w:pPr>
      <w:r>
        <w:rPr>
          <w:rStyle w:val="soitChar"/>
        </w:rPr>
        <w:t>Bord teinté couleur au choix de la direction de chantier</w:t>
      </w:r>
    </w:p>
    <w:p w14:paraId="699D3FBA" w14:textId="77777777" w:rsidR="004B2808" w:rsidRDefault="00000000">
      <w:pPr>
        <w:pStyle w:val="Author-eListParagraph"/>
        <w:numPr>
          <w:ilvl w:val="0"/>
          <w:numId w:val="90"/>
        </w:numPr>
      </w:pPr>
      <w:r>
        <w:rPr>
          <w:rStyle w:val="soitChar"/>
        </w:rPr>
        <w:t>Vitrage :</w:t>
      </w:r>
      <w:r>
        <w:rPr>
          <w:rStyle w:val="optioncarChar"/>
        </w:rPr>
        <w:t xml:space="preserve"> double / simple</w:t>
      </w:r>
    </w:p>
    <w:p w14:paraId="50A2BD01" w14:textId="77777777" w:rsidR="004B2808" w:rsidRDefault="00000000">
      <w:pPr>
        <w:jc w:val="both"/>
      </w:pPr>
      <w:r>
        <w:rPr>
          <w:b/>
        </w:rPr>
        <w:t>(soit)</w:t>
      </w:r>
    </w:p>
    <w:p w14:paraId="0E39A190" w14:textId="77777777" w:rsidR="004B2808" w:rsidRDefault="00000000">
      <w:pPr>
        <w:jc w:val="both"/>
      </w:pPr>
      <w:r>
        <w:rPr>
          <w:rStyle w:val="soitChar"/>
          <w:u w:val="single"/>
        </w:rPr>
        <w:t>Cadre visible :</w:t>
      </w:r>
    </w:p>
    <w:p w14:paraId="53F7CEC1" w14:textId="77777777" w:rsidR="004B2808" w:rsidRDefault="00000000">
      <w:pPr>
        <w:pStyle w:val="Author-eListParagraph"/>
        <w:numPr>
          <w:ilvl w:val="0"/>
          <w:numId w:val="91"/>
        </w:numPr>
      </w:pPr>
      <w:r>
        <w:rPr>
          <w:rStyle w:val="soitChar"/>
        </w:rPr>
        <w:t>Vitrage inséré dans un cadre en aluminium avec joint PVC transparent</w:t>
      </w:r>
    </w:p>
    <w:p w14:paraId="64C399DA" w14:textId="77777777" w:rsidR="004B2808" w:rsidRDefault="00000000">
      <w:pPr>
        <w:pStyle w:val="Author-eListParagraph"/>
        <w:numPr>
          <w:ilvl w:val="0"/>
          <w:numId w:val="91"/>
        </w:numPr>
      </w:pPr>
      <w:r>
        <w:rPr>
          <w:rStyle w:val="soitChar"/>
        </w:rPr>
        <w:lastRenderedPageBreak/>
        <w:t xml:space="preserve">Finition : </w:t>
      </w:r>
      <w:r>
        <w:rPr>
          <w:rStyle w:val="optioncarChar"/>
        </w:rPr>
        <w:t>thermolaqué 60 µm / anodisé</w:t>
      </w:r>
    </w:p>
    <w:p w14:paraId="3EF234EF" w14:textId="77777777" w:rsidR="004B2808" w:rsidRDefault="00000000">
      <w:pPr>
        <w:pStyle w:val="Author-eListParagraph"/>
        <w:numPr>
          <w:ilvl w:val="0"/>
          <w:numId w:val="91"/>
        </w:numPr>
      </w:pPr>
      <w:r>
        <w:rPr>
          <w:rStyle w:val="soitChar"/>
        </w:rPr>
        <w:t xml:space="preserve">Vitrage : </w:t>
      </w:r>
      <w:r>
        <w:rPr>
          <w:rStyle w:val="optioncarChar"/>
        </w:rPr>
        <w:t>double / simple</w:t>
      </w:r>
      <w:r>
        <w:t> </w:t>
      </w:r>
    </w:p>
    <w:p w14:paraId="6CE58E83" w14:textId="77777777" w:rsidR="004B2808" w:rsidRDefault="00000000">
      <w:pPr>
        <w:jc w:val="both"/>
      </w:pPr>
      <w:r>
        <w:rPr>
          <w:b/>
        </w:rPr>
        <w:t>Réalisation de la caractéristique EIau moyen d’une vitre insérée entre les 2 panneaux vitrés fixés de part et d’autre de l’ossature :</w:t>
      </w:r>
      <w:r>
        <w:t xml:space="preserve">  </w:t>
      </w:r>
      <w:r>
        <w:rPr>
          <w:rStyle w:val="optioncarChar"/>
        </w:rPr>
        <w:t>oui / non</w:t>
      </w:r>
    </w:p>
    <w:p w14:paraId="3D9921B0" w14:textId="77777777" w:rsidR="004B2808" w:rsidRDefault="00000000">
      <w:pPr>
        <w:jc w:val="both"/>
      </w:pPr>
      <w:r>
        <w:rPr>
          <w:b/>
        </w:rPr>
        <w:t>Store à lamelles entre les 2 vitrages :</w:t>
      </w:r>
      <w:r>
        <w:t>  </w:t>
      </w:r>
      <w:r>
        <w:rPr>
          <w:rStyle w:val="optioncarChar"/>
        </w:rPr>
        <w:t>oui / non</w:t>
      </w:r>
    </w:p>
    <w:p w14:paraId="36AE3E92" w14:textId="77777777" w:rsidR="004B2808" w:rsidRDefault="00000000">
      <w:pPr>
        <w:pStyle w:val="Author-eListParagraph"/>
        <w:numPr>
          <w:ilvl w:val="0"/>
          <w:numId w:val="92"/>
        </w:numPr>
        <w:jc w:val="both"/>
      </w:pPr>
      <w:r>
        <w:t xml:space="preserve">Commande du store : </w:t>
      </w:r>
      <w:r>
        <w:rPr>
          <w:rStyle w:val="optioncarChar"/>
        </w:rPr>
        <w:t>manuelle / électrique</w:t>
      </w:r>
    </w:p>
    <w:p w14:paraId="55A33484" w14:textId="77777777" w:rsidR="004B2808" w:rsidRDefault="00000000">
      <w:pPr>
        <w:pStyle w:val="pheading"/>
      </w:pPr>
      <w:r>
        <w:t>- Finitions</w:t>
      </w:r>
    </w:p>
    <w:p w14:paraId="71227EBF" w14:textId="77777777" w:rsidR="004B2808" w:rsidRDefault="00000000">
      <w:pPr>
        <w:jc w:val="both"/>
      </w:pPr>
      <w:r>
        <w:t xml:space="preserve">Tous les éléments visibles sont de teinte : </w:t>
      </w:r>
      <w:r>
        <w:rPr>
          <w:rStyle w:val="optioncarChar"/>
        </w:rPr>
        <w:t xml:space="preserve">au choix dans la gamme du fabricant </w:t>
      </w:r>
      <w:r>
        <w:t>(par défaut)</w:t>
      </w:r>
      <w:r>
        <w:rPr>
          <w:rStyle w:val="optioncarChar"/>
        </w:rPr>
        <w:t> /au choix de la direction de chantier / ***.</w:t>
      </w:r>
    </w:p>
    <w:p w14:paraId="53655A93" w14:textId="77777777" w:rsidR="004B2808" w:rsidRDefault="00000000">
      <w:pPr>
        <w:pStyle w:val="pheading"/>
      </w:pPr>
      <w:r>
        <w:t>EXÉCUTION / MISE EN ŒUVRE</w:t>
      </w:r>
    </w:p>
    <w:p w14:paraId="72509689" w14:textId="77777777" w:rsidR="004B2808" w:rsidRDefault="00000000">
      <w:pPr>
        <w:pStyle w:val="pheading"/>
      </w:pPr>
      <w:r>
        <w:t>- Prescriptions générales</w:t>
      </w:r>
    </w:p>
    <w:p w14:paraId="18ABFD82" w14:textId="77777777" w:rsidR="004B2808" w:rsidRDefault="00000000">
      <w:pPr>
        <w:jc w:val="both"/>
      </w:pPr>
      <w:r>
        <w:t>Vérification de la tolérance des chapes et finitions adjacentes aux parois : en cas de hors tolérance, l’entrepreneur prévient immédiatement la direction de chantier.</w:t>
      </w:r>
    </w:p>
    <w:p w14:paraId="192921E5" w14:textId="77777777" w:rsidR="004B2808" w:rsidRDefault="00000000">
      <w:pPr>
        <w:jc w:val="both"/>
      </w:pPr>
      <w:r>
        <w:t>Tolérance d’exécution :</w:t>
      </w:r>
    </w:p>
    <w:p w14:paraId="5A061479" w14:textId="77777777" w:rsidR="004B2808" w:rsidRDefault="00000000">
      <w:pPr>
        <w:pStyle w:val="Author-eListParagraph"/>
        <w:numPr>
          <w:ilvl w:val="0"/>
          <w:numId w:val="93"/>
        </w:numPr>
      </w:pPr>
      <w:r>
        <w:t xml:space="preserve">Hors-aplomb : </w:t>
      </w:r>
      <w:r>
        <w:rPr>
          <w:rStyle w:val="optioncarChar"/>
        </w:rPr>
        <w:t>N / S</w:t>
      </w:r>
    </w:p>
    <w:p w14:paraId="364C4E55" w14:textId="77777777" w:rsidR="004B2808" w:rsidRDefault="00000000">
      <w:pPr>
        <w:pStyle w:val="Author-eListParagraph"/>
        <w:numPr>
          <w:ilvl w:val="0"/>
          <w:numId w:val="93"/>
        </w:numPr>
      </w:pPr>
      <w:r>
        <w:t>Irrégularité maximale entre 2 éléments adjacents : 1 mm</w:t>
      </w:r>
    </w:p>
    <w:p w14:paraId="2865EDB2" w14:textId="77777777" w:rsidR="004B2808" w:rsidRDefault="00000000">
      <w:pPr>
        <w:jc w:val="both"/>
      </w:pPr>
      <w:r>
        <w:t xml:space="preserve">La modulation des éléments est : </w:t>
      </w:r>
      <w:r>
        <w:rPr>
          <w:rStyle w:val="optioncarChar"/>
        </w:rPr>
        <w:t>indiquée sur les plans d’adjudication / mise au point par l’entreprise en concertation avec la direction de chantier </w:t>
      </w:r>
    </w:p>
    <w:p w14:paraId="695C7ED5" w14:textId="77777777" w:rsidR="004B2808" w:rsidRDefault="004B2808">
      <w:pPr>
        <w:jc w:val="both"/>
      </w:pPr>
    </w:p>
    <w:p w14:paraId="1C7AA1EC" w14:textId="77777777" w:rsidR="004B2808" w:rsidRDefault="00000000">
      <w:pPr>
        <w:jc w:val="both"/>
      </w:pPr>
      <w:r>
        <w:t>Tous les éléments techniques à intégrer sont indiqués par l’entrepreneur sur les plans de pose en coordination avec les entreprises techniques.</w:t>
      </w:r>
    </w:p>
    <w:p w14:paraId="27A2ADD5" w14:textId="77777777" w:rsidR="004B2808" w:rsidRDefault="00000000">
      <w:pPr>
        <w:jc w:val="both"/>
      </w:pPr>
      <w:r>
        <w:t>L’entrepreneur réalise le plan de pose et le présente pour approbation la direction de chantier.</w:t>
      </w:r>
    </w:p>
    <w:p w14:paraId="26F388B7" w14:textId="77777777" w:rsidR="004B2808" w:rsidRDefault="00000000">
      <w:pPr>
        <w:jc w:val="both"/>
      </w:pPr>
      <w:r>
        <w:t>Mise en œuvre suivant prescriptions de la documentation technique accompagnant les matériaux :</w:t>
      </w:r>
    </w:p>
    <w:p w14:paraId="67D0A121" w14:textId="77777777" w:rsidR="004B2808" w:rsidRDefault="00000000">
      <w:pPr>
        <w:pStyle w:val="Author-eListParagraph"/>
        <w:numPr>
          <w:ilvl w:val="0"/>
          <w:numId w:val="94"/>
        </w:numPr>
        <w:jc w:val="both"/>
      </w:pPr>
      <w:r>
        <w:t>Pose des lisses supérieure et inférieure avec interposition d’une mousse à cellules fermées collées, type et écartement des fixations suivant prescriptions de la documentation technique.</w:t>
      </w:r>
    </w:p>
    <w:p w14:paraId="49C26839" w14:textId="77777777" w:rsidR="004B2808" w:rsidRDefault="00000000">
      <w:pPr>
        <w:pStyle w:val="Author-eListParagraph"/>
        <w:numPr>
          <w:ilvl w:val="0"/>
          <w:numId w:val="94"/>
        </w:numPr>
        <w:jc w:val="both"/>
      </w:pPr>
      <w:r>
        <w:t>Pose des câbles et réseaux divers dans les lisses horizontales.</w:t>
      </w:r>
    </w:p>
    <w:p w14:paraId="42252880" w14:textId="77777777" w:rsidR="004B2808" w:rsidRDefault="00000000">
      <w:pPr>
        <w:pStyle w:val="Author-eListParagraph"/>
        <w:numPr>
          <w:ilvl w:val="0"/>
          <w:numId w:val="94"/>
        </w:numPr>
        <w:jc w:val="both"/>
      </w:pPr>
      <w:r>
        <w:t>Pose des lisses latérales au contact avec les parois adjacentes</w:t>
      </w:r>
    </w:p>
    <w:p w14:paraId="268F8F84" w14:textId="77777777" w:rsidR="004B2808" w:rsidRDefault="00000000">
      <w:pPr>
        <w:pStyle w:val="Author-eListParagraph"/>
        <w:numPr>
          <w:ilvl w:val="0"/>
          <w:numId w:val="94"/>
        </w:numPr>
        <w:jc w:val="both"/>
      </w:pPr>
      <w:r>
        <w:t>Pose de la structure verticale avec joints de mousse à cellules fermées collée sur les 2 faces où sont appliqués les panneaux de finition.</w:t>
      </w:r>
    </w:p>
    <w:p w14:paraId="6C818CB3" w14:textId="77777777" w:rsidR="004B2808" w:rsidRDefault="00000000">
      <w:pPr>
        <w:pStyle w:val="Author-eListParagraph"/>
        <w:numPr>
          <w:ilvl w:val="0"/>
          <w:numId w:val="94"/>
        </w:numPr>
        <w:jc w:val="both"/>
      </w:pPr>
      <w:r>
        <w:t xml:space="preserve">Pose des panneaux au moyen de crochets fixés à l’arrière des panneaux : </w:t>
      </w:r>
      <w:r>
        <w:rPr>
          <w:rStyle w:val="optioncarChar"/>
        </w:rPr>
        <w:t>avec joint creux / bord à bord</w:t>
      </w:r>
    </w:p>
    <w:p w14:paraId="40FF8F63" w14:textId="77777777" w:rsidR="004B2808" w:rsidRDefault="00000000">
      <w:pPr>
        <w:pStyle w:val="pheading"/>
      </w:pPr>
      <w:r>
        <w:t>DOCUMENTS DE RÉFÉRENCE COMPLÉMENTAIRES</w:t>
      </w:r>
    </w:p>
    <w:p w14:paraId="272C9338" w14:textId="77777777" w:rsidR="004B2808" w:rsidRDefault="00000000">
      <w:pPr>
        <w:pStyle w:val="pheading"/>
      </w:pPr>
      <w:r>
        <w:t>- Matériau</w:t>
      </w:r>
    </w:p>
    <w:p w14:paraId="7418A568" w14:textId="77777777" w:rsidR="004B2808" w:rsidRDefault="00000000">
      <w:r>
        <w:t>[AR 1994-07-07, Arrêté royal fixant les normes de base en matière de prévention contre l'incendie et l'explosion, auxquelles les bâtiments nouveaux doivent satisfaire]</w:t>
      </w:r>
    </w:p>
    <w:p w14:paraId="708E6D5B" w14:textId="77777777" w:rsidR="004B2808" w:rsidRDefault="00000000">
      <w:r>
        <w:t>[NIT 233, Les cloisons légères.]</w:t>
      </w:r>
    </w:p>
    <w:p w14:paraId="23062F86" w14:textId="77777777" w:rsidR="004B2808" w:rsidRDefault="00000000">
      <w:r>
        <w:t>[NIT 275, Ouvrages particuliers en verre. Partie 3 : applications non structurales (cloisons intérieures en verre).]</w:t>
      </w:r>
    </w:p>
    <w:p w14:paraId="3F59FE13" w14:textId="77777777" w:rsidR="004B280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7A74E2EF" w14:textId="77777777" w:rsidR="004B2808" w:rsidRDefault="00000000">
      <w:r>
        <w:t>[NBN S 23-002/A1, Vitrerie (+ AC:2010)]</w:t>
      </w:r>
    </w:p>
    <w:p w14:paraId="7132E854" w14:textId="77777777" w:rsidR="004B2808" w:rsidRDefault="00000000">
      <w:r>
        <w:t>[NBN EN ISO 717-1, Acoustique - Évaluation de l'isolement acoustique des immeubles et des éléments de construction - Partie 1: Isolement aux bruits aériens (ISO 717-1:2020)]</w:t>
      </w:r>
    </w:p>
    <w:p w14:paraId="4907C1F2" w14:textId="77777777" w:rsidR="004B2808" w:rsidRDefault="00000000">
      <w:r>
        <w:lastRenderedPageBreak/>
        <w:t>[NBN EN ISO 10140-3, Acoustique - Mesurage en laboratoire de l'isolation acoustique des éléments de construction - Partie 3: Mesurage de l'isolation au bruit de choc (ISO 10140-3:2021)]</w:t>
      </w:r>
    </w:p>
    <w:p w14:paraId="49A83C40" w14:textId="77777777" w:rsidR="004B2808" w:rsidRDefault="00000000">
      <w:r>
        <w:t>[NBN EN 1991 série, Eurocode 1 : Actions sur les structures]</w:t>
      </w:r>
    </w:p>
    <w:p w14:paraId="561C4D33" w14:textId="77777777" w:rsidR="004B2808" w:rsidRDefault="00000000">
      <w:pPr>
        <w:pStyle w:val="pheading"/>
      </w:pPr>
      <w:r>
        <w:t>- Exécution</w:t>
      </w:r>
    </w:p>
    <w:p w14:paraId="16CA713A" w14:textId="77777777" w:rsidR="004B2808" w:rsidRDefault="00000000">
      <w:r>
        <w:t>[NIT 233, Les cloisons légères.]</w:t>
      </w:r>
    </w:p>
    <w:p w14:paraId="6F666D6C" w14:textId="77777777" w:rsidR="004B2808" w:rsidRDefault="00000000">
      <w:pPr>
        <w:pStyle w:val="pheading"/>
      </w:pPr>
      <w:r>
        <w:t>MESURAGE</w:t>
      </w:r>
    </w:p>
    <w:p w14:paraId="4780C0A5" w14:textId="77777777" w:rsidR="004B2808" w:rsidRDefault="00000000">
      <w:pPr>
        <w:pStyle w:val="pheading"/>
      </w:pPr>
      <w:r>
        <w:t>- unité de mesure:</w:t>
      </w:r>
    </w:p>
    <w:p w14:paraId="316B4FE3" w14:textId="77777777" w:rsidR="004B2808" w:rsidRDefault="00000000">
      <w:r>
        <w:t>m²</w:t>
      </w:r>
    </w:p>
    <w:p w14:paraId="7CE4780D" w14:textId="77777777" w:rsidR="004B2808" w:rsidRDefault="00000000">
      <w:pPr>
        <w:pStyle w:val="pheading"/>
      </w:pPr>
      <w:r>
        <w:t>- code de mesurage:</w:t>
      </w:r>
    </w:p>
    <w:p w14:paraId="63DE7A97" w14:textId="77777777" w:rsidR="004B2808" w:rsidRDefault="00000000">
      <w:r>
        <w:t>Surface nette à mettre en œuvre, distinction faite suivant le type et la hauteur.</w:t>
      </w:r>
    </w:p>
    <w:p w14:paraId="6911D409" w14:textId="77777777" w:rsidR="004B2808" w:rsidRDefault="00000000">
      <w:pPr>
        <w:pStyle w:val="pheading"/>
      </w:pPr>
      <w:r>
        <w:t>- nature du marché:</w:t>
      </w:r>
    </w:p>
    <w:p w14:paraId="6C004DA9" w14:textId="77777777" w:rsidR="004B2808" w:rsidRDefault="00000000">
      <w:r>
        <w:t>QF</w:t>
      </w:r>
    </w:p>
    <w:p w14:paraId="62B037EA" w14:textId="77777777" w:rsidR="004B2808" w:rsidRDefault="00000000">
      <w:pPr>
        <w:pStyle w:val="Author-eSectionHeading6Numberless"/>
      </w:pPr>
      <w:bookmarkStart w:id="92" w:name="_Toc220490298"/>
      <w:r>
        <w:t>51.32.1c Cloisons à système bi blocs portes pleines intégrées  CCTB 01.11</w:t>
      </w:r>
      <w:bookmarkEnd w:id="92"/>
    </w:p>
    <w:p w14:paraId="1D5DFF06" w14:textId="77777777" w:rsidR="004B2808" w:rsidRDefault="00000000">
      <w:pPr>
        <w:pStyle w:val="pheading"/>
      </w:pPr>
      <w:bookmarkStart w:id="93" w:name="1154"/>
      <w:bookmarkEnd w:id="93"/>
      <w:r>
        <w:t>DESCRIPTION</w:t>
      </w:r>
    </w:p>
    <w:p w14:paraId="3A0D5C0D" w14:textId="77777777" w:rsidR="004B2808" w:rsidRDefault="00000000">
      <w:pPr>
        <w:pStyle w:val="pheading"/>
      </w:pPr>
      <w:r>
        <w:t>- Définition / Comprend</w:t>
      </w:r>
    </w:p>
    <w:p w14:paraId="2D913484" w14:textId="77777777" w:rsidR="004B2808" w:rsidRDefault="00000000">
      <w:pPr>
        <w:jc w:val="both"/>
      </w:pPr>
      <w:r>
        <w:t>Il s’agit de la fourniture et la pose de portes intégrées aux cloisons démontables de type bi bloc.</w:t>
      </w:r>
    </w:p>
    <w:p w14:paraId="369884F8" w14:textId="77777777" w:rsidR="004B2808" w:rsidRDefault="00000000">
      <w:pPr>
        <w:jc w:val="both"/>
      </w:pPr>
      <w:r>
        <w:t>Le travail comprend notamment :</w:t>
      </w:r>
    </w:p>
    <w:p w14:paraId="1431EFD8" w14:textId="77777777" w:rsidR="004B2808" w:rsidRDefault="00000000">
      <w:pPr>
        <w:pStyle w:val="Author-eListParagraph"/>
        <w:numPr>
          <w:ilvl w:val="0"/>
          <w:numId w:val="95"/>
        </w:numPr>
        <w:jc w:val="both"/>
      </w:pPr>
      <w:r>
        <w:t xml:space="preserve">Intégration dans la cloison à panneaux vitrés suivant </w:t>
      </w:r>
      <w:hyperlink w:anchor="1153" w:history="1">
        <w:r w:rsidR="004B2808">
          <w:rPr>
            <w:color w:val="0000EE"/>
          </w:rPr>
          <w:t>51.32.1b Cloisons à système bi blocs vitrées</w:t>
        </w:r>
      </w:hyperlink>
      <w:r>
        <w:t xml:space="preserve"> : </w:t>
      </w:r>
      <w:r>
        <w:rPr>
          <w:rStyle w:val="optioncarChar"/>
        </w:rPr>
        <w:t>oui / non</w:t>
      </w:r>
    </w:p>
    <w:p w14:paraId="5ACAEB76" w14:textId="77777777" w:rsidR="004B2808" w:rsidRDefault="00000000">
      <w:pPr>
        <w:pStyle w:val="Author-eListParagraph"/>
        <w:numPr>
          <w:ilvl w:val="0"/>
          <w:numId w:val="95"/>
        </w:numPr>
        <w:jc w:val="both"/>
      </w:pPr>
      <w:r>
        <w:t xml:space="preserve">Intégration dans la cloison à panneaux pleins suivant </w:t>
      </w:r>
      <w:hyperlink w:anchor="1155" w:history="1">
        <w:r w:rsidR="004B2808">
          <w:rPr>
            <w:color w:val="0000EE"/>
          </w:rPr>
          <w:t>51.32.1a Cloisons à système bi blocs</w:t>
        </w:r>
      </w:hyperlink>
      <w:r>
        <w:t xml:space="preserve"> : </w:t>
      </w:r>
      <w:r>
        <w:rPr>
          <w:rStyle w:val="optioncarChar"/>
        </w:rPr>
        <w:t>oui / non</w:t>
      </w:r>
    </w:p>
    <w:p w14:paraId="35B7FE56" w14:textId="77777777" w:rsidR="004B2808" w:rsidRDefault="00000000">
      <w:pPr>
        <w:pStyle w:val="pheading"/>
      </w:pPr>
      <w:r>
        <w:t>MATÉRIAUX</w:t>
      </w:r>
    </w:p>
    <w:p w14:paraId="6EA4F55E" w14:textId="77777777" w:rsidR="004B2808" w:rsidRDefault="00000000">
      <w:pPr>
        <w:pStyle w:val="pheading"/>
      </w:pPr>
      <w:r>
        <w:t>- Caractéristiques générales</w:t>
      </w:r>
    </w:p>
    <w:p w14:paraId="496605F8" w14:textId="77777777" w:rsidR="004B2808" w:rsidRDefault="00000000">
      <w:pPr>
        <w:jc w:val="both"/>
      </w:pPr>
      <w:r>
        <w:t xml:space="preserve">Les matériaux sont couverts par une déclaration d’aptitude à l’utilisation décrite au chapitre 02.42.1 Critères d'acceptabilité : </w:t>
      </w:r>
      <w:r>
        <w:rPr>
          <w:rStyle w:val="optioncarChar"/>
        </w:rPr>
        <w:t>oui / non</w:t>
      </w:r>
    </w:p>
    <w:p w14:paraId="69FFC772" w14:textId="77777777" w:rsidR="004B2808" w:rsidRDefault="00000000">
      <w:pPr>
        <w:jc w:val="both"/>
      </w:pPr>
      <w:r>
        <w:t xml:space="preserve">Résistance au feu : </w:t>
      </w:r>
      <w:r>
        <w:rPr>
          <w:rStyle w:val="optioncarChar"/>
        </w:rPr>
        <w:t>EI</w:t>
      </w:r>
      <w:r>
        <w:rPr>
          <w:rStyle w:val="optioncarChar"/>
          <w:vertAlign w:val="subscript"/>
        </w:rPr>
        <w:t>1</w:t>
      </w:r>
      <w:r>
        <w:rPr>
          <w:rStyle w:val="optioncarChar"/>
        </w:rPr>
        <w:t>0 / EI</w:t>
      </w:r>
      <w:r>
        <w:rPr>
          <w:rStyle w:val="optioncarChar"/>
          <w:vertAlign w:val="subscript"/>
        </w:rPr>
        <w:t>1</w:t>
      </w:r>
      <w:r>
        <w:rPr>
          <w:rStyle w:val="optioncarChar"/>
        </w:rPr>
        <w:t>30 / EI</w:t>
      </w:r>
      <w:r>
        <w:rPr>
          <w:rStyle w:val="optioncarChar"/>
          <w:vertAlign w:val="subscript"/>
        </w:rPr>
        <w:t>1</w:t>
      </w:r>
      <w:r>
        <w:rPr>
          <w:rStyle w:val="optioncarChar"/>
        </w:rPr>
        <w:t>60</w:t>
      </w:r>
    </w:p>
    <w:p w14:paraId="14933DC7" w14:textId="77777777" w:rsidR="004B2808" w:rsidRDefault="00000000">
      <w:pPr>
        <w:jc w:val="both"/>
      </w:pPr>
      <w:r>
        <w:t>Caractéristique acoustique : valeur R</w:t>
      </w:r>
      <w:r>
        <w:rPr>
          <w:vertAlign w:val="subscript"/>
        </w:rPr>
        <w:t>w</w:t>
      </w:r>
      <w:r>
        <w:t xml:space="preserve"> : </w:t>
      </w:r>
      <w:r>
        <w:rPr>
          <w:rStyle w:val="optioncarChar"/>
        </w:rPr>
        <w:t>***</w:t>
      </w:r>
      <w:r>
        <w:t xml:space="preserve"> dB</w:t>
      </w:r>
    </w:p>
    <w:p w14:paraId="6FB5BB34" w14:textId="77777777" w:rsidR="004B2808" w:rsidRDefault="00000000">
      <w:pPr>
        <w:jc w:val="both"/>
      </w:pPr>
      <w:r>
        <w:t xml:space="preserve">Embrasure : </w:t>
      </w:r>
      <w:r>
        <w:rPr>
          <w:rStyle w:val="optioncarChar"/>
        </w:rPr>
        <w:t>acier thermolaqué / aluminium thermolaqué / aluminium anodisé</w:t>
      </w:r>
    </w:p>
    <w:p w14:paraId="29DBB7C6" w14:textId="77777777" w:rsidR="004B2808" w:rsidRDefault="00000000">
      <w:pPr>
        <w:jc w:val="both"/>
      </w:pPr>
      <w:r>
        <w:t>Porte :</w:t>
      </w:r>
    </w:p>
    <w:p w14:paraId="6D25E066" w14:textId="77777777" w:rsidR="004B2808" w:rsidRDefault="00000000">
      <w:pPr>
        <w:pStyle w:val="Author-eListParagraph"/>
        <w:numPr>
          <w:ilvl w:val="0"/>
          <w:numId w:val="96"/>
        </w:numPr>
        <w:jc w:val="both"/>
      </w:pPr>
      <w:r>
        <w:t xml:space="preserve">Affleurant à la face de la cloison bi bloc dans laquelle elle est insérée : </w:t>
      </w:r>
      <w:r>
        <w:rPr>
          <w:rStyle w:val="optioncarChar"/>
        </w:rPr>
        <w:t>oui / non</w:t>
      </w:r>
    </w:p>
    <w:p w14:paraId="611E8F1B" w14:textId="77777777" w:rsidR="004B2808" w:rsidRDefault="00000000">
      <w:pPr>
        <w:pStyle w:val="Author-eListParagraph"/>
        <w:numPr>
          <w:ilvl w:val="0"/>
          <w:numId w:val="96"/>
        </w:numPr>
        <w:jc w:val="both"/>
      </w:pPr>
      <w:r>
        <w:t xml:space="preserve">Largeur : </w:t>
      </w:r>
      <w:r>
        <w:rPr>
          <w:rStyle w:val="optioncarChar"/>
        </w:rPr>
        <w:t>830</w:t>
      </w:r>
      <w:r>
        <w:t> </w:t>
      </w:r>
      <w:r>
        <w:rPr>
          <w:rStyle w:val="optioncarChar"/>
        </w:rPr>
        <w:t xml:space="preserve">/ 930 </w:t>
      </w:r>
      <w:r>
        <w:t>(par défaut)</w:t>
      </w:r>
      <w:r>
        <w:rPr>
          <w:rStyle w:val="optioncarChar"/>
        </w:rPr>
        <w:t xml:space="preserve"> / 1030 / ***</w:t>
      </w:r>
      <w:r>
        <w:t xml:space="preserve"> mm</w:t>
      </w:r>
    </w:p>
    <w:p w14:paraId="6C64E7EE" w14:textId="77777777" w:rsidR="004B2808" w:rsidRDefault="00000000">
      <w:pPr>
        <w:pStyle w:val="Author-eListParagraph"/>
        <w:numPr>
          <w:ilvl w:val="0"/>
          <w:numId w:val="96"/>
        </w:numPr>
        <w:jc w:val="both"/>
      </w:pPr>
      <w:r>
        <w:t xml:space="preserve">Hauteur : </w:t>
      </w:r>
      <w:r>
        <w:rPr>
          <w:rStyle w:val="optioncarChar"/>
        </w:rPr>
        <w:t>toute hauteur / 2115 mm avec imposte / 2015 mm avec imposte</w:t>
      </w:r>
    </w:p>
    <w:p w14:paraId="76228F97" w14:textId="77777777" w:rsidR="004B2808" w:rsidRDefault="00000000">
      <w:pPr>
        <w:pStyle w:val="Author-eListParagraph"/>
        <w:numPr>
          <w:ilvl w:val="0"/>
          <w:numId w:val="96"/>
        </w:numPr>
        <w:jc w:val="both"/>
      </w:pPr>
      <w:r>
        <w:t xml:space="preserve">Finition faces : </w:t>
      </w:r>
      <w:r>
        <w:rPr>
          <w:rStyle w:val="optioncarChar"/>
        </w:rPr>
        <w:t>bois à peindre / bois finition HPL / bois placage bois / acier thermolaqué</w:t>
      </w:r>
    </w:p>
    <w:p w14:paraId="26EB970F" w14:textId="77777777" w:rsidR="004B2808" w:rsidRDefault="00000000">
      <w:pPr>
        <w:pStyle w:val="Author-eListParagraph"/>
        <w:numPr>
          <w:ilvl w:val="0"/>
          <w:numId w:val="96"/>
        </w:numPr>
        <w:jc w:val="both"/>
      </w:pPr>
      <w:r>
        <w:t xml:space="preserve">Finition bords : </w:t>
      </w:r>
      <w:r>
        <w:rPr>
          <w:rStyle w:val="optioncarChar"/>
        </w:rPr>
        <w:t>bois non traité / bois verni / bois peint / acier thermolaqué</w:t>
      </w:r>
    </w:p>
    <w:p w14:paraId="370ED006" w14:textId="77777777" w:rsidR="004B2808" w:rsidRDefault="00000000">
      <w:pPr>
        <w:pStyle w:val="Author-eListParagraph"/>
        <w:numPr>
          <w:ilvl w:val="0"/>
          <w:numId w:val="96"/>
        </w:numPr>
        <w:jc w:val="both"/>
      </w:pPr>
      <w:r>
        <w:t xml:space="preserve">Suspentes adaptées au poids de la porte : </w:t>
      </w:r>
      <w:r>
        <w:rPr>
          <w:rStyle w:val="optioncarChar"/>
        </w:rPr>
        <w:t>charnières invisibles / paumelles inox / pivot </w:t>
      </w:r>
    </w:p>
    <w:p w14:paraId="4E4F4B26" w14:textId="77777777" w:rsidR="004B2808" w:rsidRDefault="00000000">
      <w:pPr>
        <w:pStyle w:val="Author-eListParagraph"/>
        <w:numPr>
          <w:ilvl w:val="0"/>
          <w:numId w:val="96"/>
        </w:numPr>
        <w:jc w:val="both"/>
      </w:pPr>
      <w:r>
        <w:t>Plinthe automatique :</w:t>
      </w:r>
      <w:r>
        <w:rPr>
          <w:rStyle w:val="optioncarChar"/>
        </w:rPr>
        <w:t xml:space="preserve"> oui / non</w:t>
      </w:r>
    </w:p>
    <w:p w14:paraId="5302C9E5" w14:textId="77777777" w:rsidR="004B2808" w:rsidRDefault="00000000">
      <w:pPr>
        <w:pStyle w:val="Author-eListParagraph"/>
        <w:numPr>
          <w:ilvl w:val="0"/>
          <w:numId w:val="96"/>
        </w:numPr>
        <w:jc w:val="both"/>
      </w:pPr>
      <w:r>
        <w:t xml:space="preserve">Serrure à cylindre : </w:t>
      </w:r>
      <w:r>
        <w:rPr>
          <w:rStyle w:val="optioncarChar"/>
        </w:rPr>
        <w:t>oui / non</w:t>
      </w:r>
    </w:p>
    <w:p w14:paraId="2D082EE8" w14:textId="77777777" w:rsidR="004B2808" w:rsidRDefault="00000000">
      <w:pPr>
        <w:pStyle w:val="Author-eListParagraph"/>
        <w:numPr>
          <w:ilvl w:val="0"/>
          <w:numId w:val="96"/>
        </w:numPr>
        <w:jc w:val="both"/>
      </w:pPr>
      <w:r>
        <w:t xml:space="preserve">Béquille : </w:t>
      </w:r>
      <w:r>
        <w:rPr>
          <w:rStyle w:val="optioncarChar"/>
        </w:rPr>
        <w:t xml:space="preserve">U inox brossé </w:t>
      </w:r>
      <w:r>
        <w:t>(par défaut)</w:t>
      </w:r>
      <w:r>
        <w:rPr>
          <w:rStyle w:val="optioncarChar"/>
        </w:rPr>
        <w:t xml:space="preserve"> / L inox brossé / ***</w:t>
      </w:r>
    </w:p>
    <w:p w14:paraId="2DFC5685" w14:textId="77777777" w:rsidR="004B2808" w:rsidRDefault="00000000">
      <w:pPr>
        <w:pStyle w:val="Author-eListParagraph"/>
        <w:numPr>
          <w:ilvl w:val="0"/>
          <w:numId w:val="96"/>
        </w:numPr>
        <w:jc w:val="both"/>
      </w:pPr>
      <w:r>
        <w:t xml:space="preserve">Poignée fixe : </w:t>
      </w:r>
      <w:r>
        <w:rPr>
          <w:rStyle w:val="optioncarChar"/>
        </w:rPr>
        <w:t xml:space="preserve">U bords droits inox brossé </w:t>
      </w:r>
      <w:r>
        <w:t>(par défaut)</w:t>
      </w:r>
      <w:r>
        <w:rPr>
          <w:rStyle w:val="optioncarChar"/>
        </w:rPr>
        <w:t xml:space="preserve"> / ***</w:t>
      </w:r>
    </w:p>
    <w:p w14:paraId="448FF6CC" w14:textId="77777777" w:rsidR="004B2808" w:rsidRDefault="00000000">
      <w:pPr>
        <w:pStyle w:val="pheading"/>
      </w:pPr>
      <w:r>
        <w:t>- Finitions</w:t>
      </w:r>
    </w:p>
    <w:p w14:paraId="61FBB8B7" w14:textId="77777777" w:rsidR="004B2808" w:rsidRDefault="00000000">
      <w:pPr>
        <w:jc w:val="both"/>
      </w:pPr>
      <w:r>
        <w:t xml:space="preserve">Tous les éléments visibles sont de teinte : </w:t>
      </w:r>
      <w:r>
        <w:rPr>
          <w:rStyle w:val="optioncarChar"/>
        </w:rPr>
        <w:t>au choix dans la gamme du fabricant</w:t>
      </w:r>
      <w:r>
        <w:t xml:space="preserve"> (par défaut)</w:t>
      </w:r>
      <w:r>
        <w:rPr>
          <w:rStyle w:val="optioncarChar"/>
        </w:rPr>
        <w:t> / au choix de la direction de chantier / ***.</w:t>
      </w:r>
    </w:p>
    <w:p w14:paraId="10EA1EB3" w14:textId="77777777" w:rsidR="004B2808" w:rsidRDefault="00000000">
      <w:pPr>
        <w:pStyle w:val="pheading"/>
      </w:pPr>
      <w:r>
        <w:lastRenderedPageBreak/>
        <w:t>EXÉCUTION / MISE EN ŒUVRE</w:t>
      </w:r>
    </w:p>
    <w:p w14:paraId="00A860D2" w14:textId="77777777" w:rsidR="004B2808" w:rsidRDefault="00000000">
      <w:pPr>
        <w:pStyle w:val="pheading"/>
      </w:pPr>
      <w:r>
        <w:t>- Prescriptions générales</w:t>
      </w:r>
    </w:p>
    <w:p w14:paraId="5696F6B5" w14:textId="77777777" w:rsidR="004B2808" w:rsidRDefault="00000000">
      <w:pPr>
        <w:jc w:val="both"/>
      </w:pPr>
      <w:r>
        <w:t>La mise en œuvre est réalisée suivant les prescriptions de la documentation technique accompagnant les matériaux.</w:t>
      </w:r>
    </w:p>
    <w:p w14:paraId="78837437" w14:textId="77777777" w:rsidR="004B2808" w:rsidRDefault="00000000">
      <w:pPr>
        <w:jc w:val="both"/>
      </w:pPr>
      <w:r>
        <w:t>Les cadres de portes sont insérés entre les éléments d’ossature des cloisons auxquels ils sont fixés suivant les prescriptions de la documentation technique.</w:t>
      </w:r>
    </w:p>
    <w:p w14:paraId="660E4DF3" w14:textId="77777777" w:rsidR="004B2808" w:rsidRDefault="00000000">
      <w:pPr>
        <w:pStyle w:val="pheading"/>
      </w:pPr>
      <w:r>
        <w:t>DOCUMENTS DE RÉFÉRENCE COMPLÉMENTAIRES</w:t>
      </w:r>
    </w:p>
    <w:p w14:paraId="4DD159BD" w14:textId="77777777" w:rsidR="004B2808" w:rsidRDefault="00000000">
      <w:pPr>
        <w:pStyle w:val="pheading"/>
      </w:pPr>
      <w:r>
        <w:t>- Matériau</w:t>
      </w:r>
    </w:p>
    <w:p w14:paraId="736C882A" w14:textId="77777777" w:rsidR="004B2808" w:rsidRDefault="00000000">
      <w:r>
        <w:t>[AR 1994-07-07, Arrêté royal fixant les normes de base en matière de prévention contre l'incendie et l'explosion, auxquelles les bâtiments nouveaux doivent satisfaire]</w:t>
      </w:r>
    </w:p>
    <w:p w14:paraId="25B0B1AA" w14:textId="77777777" w:rsidR="004B280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069C8AB9" w14:textId="77777777" w:rsidR="004B2808" w:rsidRDefault="00000000">
      <w:r>
        <w:t>[NBN EN ISO 717-1, Acoustique - Évaluation de l'isolement acoustique des immeubles et des éléments de construction - Partie 1: Isolement aux bruits aériens (ISO 717-1:2020)]</w:t>
      </w:r>
    </w:p>
    <w:p w14:paraId="3E828504" w14:textId="77777777" w:rsidR="004B2808" w:rsidRDefault="00000000">
      <w:pPr>
        <w:pStyle w:val="pheading"/>
      </w:pPr>
      <w:r>
        <w:t>MESURAGE</w:t>
      </w:r>
    </w:p>
    <w:p w14:paraId="3035D1EE" w14:textId="77777777" w:rsidR="004B2808" w:rsidRDefault="00000000">
      <w:pPr>
        <w:pStyle w:val="pheading"/>
      </w:pPr>
      <w:r>
        <w:t>- unité de mesure:</w:t>
      </w:r>
    </w:p>
    <w:p w14:paraId="1BC36B62" w14:textId="77777777" w:rsidR="004B2808" w:rsidRDefault="00000000">
      <w:r>
        <w:t>pc</w:t>
      </w:r>
    </w:p>
    <w:p w14:paraId="32FB52DD" w14:textId="77777777" w:rsidR="004B2808" w:rsidRDefault="00000000">
      <w:pPr>
        <w:pStyle w:val="pheading"/>
      </w:pPr>
      <w:r>
        <w:t>- code de mesurage:</w:t>
      </w:r>
    </w:p>
    <w:p w14:paraId="6EA6ADF7" w14:textId="77777777" w:rsidR="004B2808" w:rsidRDefault="00000000">
      <w:pPr>
        <w:jc w:val="both"/>
      </w:pPr>
      <w:r>
        <w:t>Quantité nette à mettre en œuvre, distinction faite suivant la dimension.</w:t>
      </w:r>
    </w:p>
    <w:p w14:paraId="0B6CDA17" w14:textId="77777777" w:rsidR="004B2808" w:rsidRDefault="00000000">
      <w:pPr>
        <w:pStyle w:val="pheading"/>
      </w:pPr>
      <w:r>
        <w:t>- nature du marché:</w:t>
      </w:r>
    </w:p>
    <w:p w14:paraId="69F7537C" w14:textId="77777777" w:rsidR="004B2808" w:rsidRDefault="00000000">
      <w:r>
        <w:t>QF</w:t>
      </w:r>
    </w:p>
    <w:p w14:paraId="504A9F8D" w14:textId="77777777" w:rsidR="004B2808" w:rsidRDefault="00000000">
      <w:pPr>
        <w:pStyle w:val="Author-eSectionHeading4Numberless"/>
      </w:pPr>
      <w:bookmarkStart w:id="94" w:name="_Toc220490299"/>
      <w:r>
        <w:t>51.33 Ecrans séparateurs pour sanitaires et vestiaires CCTB 01.02</w:t>
      </w:r>
      <w:bookmarkEnd w:id="94"/>
    </w:p>
    <w:p w14:paraId="59D7C674" w14:textId="77777777" w:rsidR="004B2808" w:rsidRDefault="00000000">
      <w:pPr>
        <w:pStyle w:val="Author-eSectionHeading5Numberless"/>
      </w:pPr>
      <w:bookmarkStart w:id="95" w:name="_Toc220490300"/>
      <w:r>
        <w:t>51.33.1 Ecrans séparateurs pour sanitaires et vestiaires CCTB 01.02</w:t>
      </w:r>
      <w:bookmarkEnd w:id="95"/>
    </w:p>
    <w:p w14:paraId="45E52F00" w14:textId="77777777" w:rsidR="004B2808" w:rsidRDefault="00000000">
      <w:pPr>
        <w:pStyle w:val="Author-eSectionHeading6Numberless"/>
      </w:pPr>
      <w:bookmarkStart w:id="96" w:name="_Toc220490301"/>
      <w:r>
        <w:t>51.33.1a Ecrans séparateurs pour sanitaires et vestiaires CCTB 01.13</w:t>
      </w:r>
      <w:bookmarkEnd w:id="96"/>
    </w:p>
    <w:p w14:paraId="0448EB32" w14:textId="77777777" w:rsidR="004B2808" w:rsidRDefault="00000000">
      <w:pPr>
        <w:pStyle w:val="pheading"/>
      </w:pPr>
      <w:r>
        <w:t>DESCRIPTION</w:t>
      </w:r>
    </w:p>
    <w:p w14:paraId="7C73889E" w14:textId="77777777" w:rsidR="004B2808" w:rsidRDefault="00000000">
      <w:pPr>
        <w:pStyle w:val="pheading"/>
      </w:pPr>
      <w:r>
        <w:t>- Définition / Comprend</w:t>
      </w:r>
    </w:p>
    <w:p w14:paraId="774D2316" w14:textId="77777777" w:rsidR="004B2808" w:rsidRDefault="00000000">
      <w:r>
        <w:t>Ce poste comprend :</w:t>
      </w:r>
    </w:p>
    <w:p w14:paraId="6547EF69" w14:textId="77777777" w:rsidR="004B2808" w:rsidRDefault="00000000">
      <w:pPr>
        <w:pStyle w:val="Author-eListParagraph"/>
        <w:numPr>
          <w:ilvl w:val="0"/>
          <w:numId w:val="97"/>
        </w:numPr>
      </w:pPr>
      <w:r>
        <w:t>la prise de mesures ;</w:t>
      </w:r>
    </w:p>
    <w:p w14:paraId="13B8890E" w14:textId="77777777" w:rsidR="004B2808" w:rsidRDefault="00000000">
      <w:pPr>
        <w:pStyle w:val="Author-eListParagraph"/>
        <w:numPr>
          <w:ilvl w:val="0"/>
          <w:numId w:val="97"/>
        </w:numPr>
      </w:pPr>
      <w:r>
        <w:t>les plans de fabrication à soumettre à l’auteur de projet pour approbation ;</w:t>
      </w:r>
    </w:p>
    <w:p w14:paraId="296EA5DE" w14:textId="77777777" w:rsidR="004B2808" w:rsidRDefault="00000000">
      <w:pPr>
        <w:pStyle w:val="Author-eListParagraph"/>
        <w:numPr>
          <w:ilvl w:val="0"/>
          <w:numId w:val="97"/>
        </w:numPr>
      </w:pPr>
      <w:r>
        <w:t>la fourniture des panneaux ;</w:t>
      </w:r>
    </w:p>
    <w:p w14:paraId="14DE0FF1" w14:textId="77777777" w:rsidR="004B2808" w:rsidRDefault="00000000">
      <w:pPr>
        <w:pStyle w:val="Author-eListParagraph"/>
        <w:numPr>
          <w:ilvl w:val="0"/>
          <w:numId w:val="97"/>
        </w:numPr>
      </w:pPr>
      <w:r>
        <w:t>l’évaluation du support et le choix adapté des fixations</w:t>
      </w:r>
    </w:p>
    <w:p w14:paraId="26163F4F" w14:textId="77777777" w:rsidR="004B2808" w:rsidRDefault="00000000">
      <w:pPr>
        <w:pStyle w:val="Author-eListParagraph"/>
        <w:numPr>
          <w:ilvl w:val="0"/>
          <w:numId w:val="97"/>
        </w:numPr>
      </w:pPr>
      <w:r>
        <w:t>le placement des ensembles  et des éléments de raccords ;</w:t>
      </w:r>
    </w:p>
    <w:p w14:paraId="3E877A5D" w14:textId="77777777" w:rsidR="004B2808" w:rsidRDefault="00000000">
      <w:pPr>
        <w:pStyle w:val="Author-eListParagraph"/>
        <w:numPr>
          <w:ilvl w:val="0"/>
          <w:numId w:val="97"/>
        </w:numPr>
      </w:pPr>
      <w:r>
        <w:t>les éventuelles mesures de protection provisoires jusqu’à la réception du chantier;</w:t>
      </w:r>
    </w:p>
    <w:p w14:paraId="6E6E1241" w14:textId="77777777" w:rsidR="004B2808" w:rsidRDefault="00000000">
      <w:pPr>
        <w:pStyle w:val="Author-eListParagraph"/>
        <w:numPr>
          <w:ilvl w:val="0"/>
          <w:numId w:val="97"/>
        </w:numPr>
      </w:pPr>
      <w:r>
        <w:t>l’enlèvement des protections;</w:t>
      </w:r>
    </w:p>
    <w:p w14:paraId="0FBF4AF7" w14:textId="77777777" w:rsidR="004B2808" w:rsidRDefault="00000000">
      <w:pPr>
        <w:pStyle w:val="Author-eListParagraph"/>
        <w:numPr>
          <w:ilvl w:val="0"/>
          <w:numId w:val="97"/>
        </w:numPr>
      </w:pPr>
      <w:r>
        <w:t>l’évacuation des déchets et le nettoyage du chantier.</w:t>
      </w:r>
    </w:p>
    <w:p w14:paraId="38ABA93E" w14:textId="77777777" w:rsidR="004B2808" w:rsidRDefault="00000000">
      <w:pPr>
        <w:pStyle w:val="pheading"/>
      </w:pPr>
      <w:r>
        <w:t>- Localisation</w:t>
      </w:r>
    </w:p>
    <w:p w14:paraId="2C887C40" w14:textId="77777777" w:rsidR="004B2808" w:rsidRDefault="00000000">
      <w:r>
        <w:t xml:space="preserve">Les travaux sont localisés : </w:t>
      </w:r>
      <w:r>
        <w:rPr>
          <w:rStyle w:val="optioncarChar"/>
        </w:rPr>
        <w:t>***</w:t>
      </w:r>
      <w:r>
        <w:t>.</w:t>
      </w:r>
    </w:p>
    <w:p w14:paraId="0B137D18" w14:textId="77777777" w:rsidR="004B2808" w:rsidRDefault="00000000">
      <w:r>
        <w:t>Voir plans et métrés détaillés.</w:t>
      </w:r>
    </w:p>
    <w:p w14:paraId="05B2AD08" w14:textId="77777777" w:rsidR="004B2808" w:rsidRDefault="00000000">
      <w:pPr>
        <w:pStyle w:val="pheading"/>
      </w:pPr>
      <w:r>
        <w:t>MATÉRIAUX</w:t>
      </w:r>
    </w:p>
    <w:p w14:paraId="32A4BEEF" w14:textId="77777777" w:rsidR="004B2808" w:rsidRDefault="00000000">
      <w:pPr>
        <w:pStyle w:val="pheading"/>
      </w:pPr>
      <w:r>
        <w:t>- Caractéristiques générales</w:t>
      </w:r>
    </w:p>
    <w:p w14:paraId="753DA50C" w14:textId="77777777" w:rsidR="004B2808" w:rsidRDefault="00000000">
      <w:pPr>
        <w:jc w:val="both"/>
      </w:pPr>
      <w:r>
        <w:rPr>
          <w:b/>
          <w:u w:val="single"/>
        </w:rPr>
        <w:lastRenderedPageBreak/>
        <w:t>Panneaux</w:t>
      </w:r>
    </w:p>
    <w:p w14:paraId="58F1AF79" w14:textId="77777777" w:rsidR="004B2808" w:rsidRDefault="00000000">
      <w:pPr>
        <w:jc w:val="both"/>
      </w:pPr>
      <w:r>
        <w:t>Les écrans séparateurs sont de qualité à pouvoir être utilisés dans des espaces humides. Ils sont entièrement édifiés à l'aide de matériaux résistant à l'humidité, à la corrosion et aux moisissures.</w:t>
      </w:r>
    </w:p>
    <w:p w14:paraId="4AE5A75F" w14:textId="77777777" w:rsidR="004B2808" w:rsidRDefault="00000000">
      <w:pPr>
        <w:jc w:val="both"/>
      </w:pPr>
      <w:r>
        <w:t>Résistance au nettoyage : les surfaces ne doivent contenir aucun produit sensible aux solvants usuels (acétone, diluants, white spirit, décapants, etc.), et aux produits de nettoyage pour graffitis.</w:t>
      </w:r>
    </w:p>
    <w:p w14:paraId="6752CF5C" w14:textId="77777777" w:rsidR="004B2808" w:rsidRDefault="00000000">
      <w:pPr>
        <w:jc w:val="both"/>
      </w:pPr>
      <w:r>
        <w:t>Garantie de dix ans sur les propriétés mécaniques et physiques ainsi que sur la tenue des coloris.</w:t>
      </w:r>
    </w:p>
    <w:p w14:paraId="6EE9F32E" w14:textId="77777777" w:rsidR="004B2808" w:rsidRDefault="00000000">
      <w:pPr>
        <w:jc w:val="both"/>
      </w:pPr>
      <w:r>
        <w:t xml:space="preserve">Choix du type de panneaux : </w:t>
      </w:r>
      <w:r>
        <w:rPr>
          <w:rStyle w:val="optioncarChar"/>
        </w:rPr>
        <w:t>HPL</w:t>
      </w:r>
      <w:r>
        <w:t xml:space="preserve"> (par défaut) </w:t>
      </w:r>
      <w:r>
        <w:rPr>
          <w:rStyle w:val="optioncarChar"/>
        </w:rPr>
        <w:t>/ verre / ***</w:t>
      </w:r>
      <w:r>
        <w:t>.</w:t>
      </w:r>
    </w:p>
    <w:p w14:paraId="20232818" w14:textId="77777777" w:rsidR="004B2808" w:rsidRDefault="00000000">
      <w:pPr>
        <w:jc w:val="both"/>
      </w:pPr>
      <w:r>
        <w:rPr>
          <w:b/>
          <w:i/>
        </w:rPr>
        <w:t>(Soit par défaut)</w:t>
      </w:r>
    </w:p>
    <w:p w14:paraId="7FC5E846" w14:textId="77777777" w:rsidR="004B2808" w:rsidRDefault="00000000">
      <w:pPr>
        <w:jc w:val="both"/>
      </w:pPr>
      <w:r>
        <w:rPr>
          <w:rStyle w:val="soitChar"/>
          <w:u w:val="single"/>
        </w:rPr>
        <w:t>HPL</w:t>
      </w:r>
    </w:p>
    <w:p w14:paraId="666CB12D" w14:textId="77777777" w:rsidR="004B2808" w:rsidRDefault="00000000">
      <w:pPr>
        <w:jc w:val="both"/>
      </w:pPr>
      <w:r>
        <w:rPr>
          <w:rStyle w:val="soitChar"/>
        </w:rPr>
        <w:t>Panneaux massifs, décoratifs et autoportants en matière synthétique fabriqués à base de fibres cellulosiques imprégnées de résine synthétique thermodurcissable. Les panneaux sont recouverts sur les deux faces d’une surface décorative intégrée à base de résines pigmentées.</w:t>
      </w:r>
    </w:p>
    <w:p w14:paraId="72D5ECFA" w14:textId="77777777" w:rsidR="004B2808" w:rsidRDefault="00000000">
      <w:pPr>
        <w:jc w:val="both"/>
      </w:pPr>
      <w:r>
        <w:rPr>
          <w:rStyle w:val="soitChar"/>
        </w:rPr>
        <w:t>Les panneaux sont fabriqués sous haute pression et à température élevée afin d'obtenir une structure très homogène et complètement fermée sans pores, ni dans la surface, ni dans le noyau.</w:t>
      </w:r>
    </w:p>
    <w:p w14:paraId="13F126AA" w14:textId="77777777" w:rsidR="004B2808" w:rsidRDefault="00000000">
      <w:pPr>
        <w:jc w:val="both"/>
      </w:pPr>
      <w:r>
        <w:rPr>
          <w:rStyle w:val="soitChar"/>
        </w:rPr>
        <w:t>Les panneaux ont subi préalablement un traitement antibactérien.</w:t>
      </w:r>
    </w:p>
    <w:p w14:paraId="2564F458" w14:textId="77777777" w:rsidR="004B2808" w:rsidRDefault="00000000">
      <w:pPr>
        <w:jc w:val="both"/>
      </w:pPr>
      <w:r>
        <w:rPr>
          <w:rStyle w:val="soitChar"/>
          <w:i/>
        </w:rPr>
        <w:t>Caractéristiques des panneaux</w:t>
      </w:r>
    </w:p>
    <w:p w14:paraId="2CFE8A5E" w14:textId="77777777" w:rsidR="004B2808" w:rsidRDefault="00000000">
      <w:pPr>
        <w:pStyle w:val="Author-eListParagraph"/>
        <w:numPr>
          <w:ilvl w:val="0"/>
          <w:numId w:val="98"/>
        </w:numPr>
      </w:pPr>
      <w:r>
        <w:rPr>
          <w:rStyle w:val="soitChar"/>
        </w:rPr>
        <w:t>Épaisseurs panneaux :</w:t>
      </w:r>
      <w:r>
        <w:rPr>
          <w:rStyle w:val="optioncarChar"/>
        </w:rPr>
        <w:t>10 / 13</w:t>
      </w:r>
      <w:r>
        <w:t xml:space="preserve"> (par défaut)</w:t>
      </w:r>
      <w:r>
        <w:rPr>
          <w:rStyle w:val="optioncarChar"/>
        </w:rPr>
        <w:t xml:space="preserve"> / *** </w:t>
      </w:r>
      <w:r>
        <w:rPr>
          <w:rStyle w:val="soitChar"/>
        </w:rPr>
        <w:t>mm, tolérances : ±0,5 mm.</w:t>
      </w:r>
    </w:p>
    <w:p w14:paraId="3C0F0D0B" w14:textId="77777777" w:rsidR="004B2808" w:rsidRDefault="00000000">
      <w:pPr>
        <w:pStyle w:val="Author-eListParagraph"/>
        <w:numPr>
          <w:ilvl w:val="0"/>
          <w:numId w:val="98"/>
        </w:numPr>
      </w:pPr>
      <w:r>
        <w:rPr>
          <w:rStyle w:val="soitChar"/>
        </w:rPr>
        <w:t>Bords :</w:t>
      </w:r>
      <w:r>
        <w:rPr>
          <w:rStyle w:val="optioncarChar"/>
        </w:rPr>
        <w:t xml:space="preserve"> chanfreinés</w:t>
      </w:r>
      <w:r>
        <w:t xml:space="preserve"> (par défaut)</w:t>
      </w:r>
      <w:r>
        <w:rPr>
          <w:rStyle w:val="optioncarChar"/>
        </w:rPr>
        <w:t xml:space="preserve"> / arrondis.</w:t>
      </w:r>
    </w:p>
    <w:p w14:paraId="2874311F" w14:textId="77777777" w:rsidR="004B2808" w:rsidRDefault="00000000">
      <w:pPr>
        <w:jc w:val="both"/>
      </w:pPr>
      <w:r>
        <w:rPr>
          <w:rStyle w:val="soitChar"/>
          <w:i/>
        </w:rPr>
        <w:t>Propriétés physiques :</w:t>
      </w:r>
    </w:p>
    <w:p w14:paraId="0C8D28BD" w14:textId="77777777" w:rsidR="004B2808" w:rsidRDefault="00000000">
      <w:pPr>
        <w:pStyle w:val="Author-eListParagraph"/>
        <w:numPr>
          <w:ilvl w:val="0"/>
          <w:numId w:val="99"/>
        </w:numPr>
      </w:pPr>
      <w:r>
        <w:rPr>
          <w:rStyle w:val="soitChar"/>
        </w:rPr>
        <w:t>Masse volumique [NBN EN ISO 1183-1] : ≥</w:t>
      </w:r>
      <w:r>
        <w:rPr>
          <w:rStyle w:val="optioncarChar"/>
        </w:rPr>
        <w:t>1.350 kg/m³</w:t>
      </w:r>
      <w:r>
        <w:t xml:space="preserve"> (par défaut) </w:t>
      </w:r>
      <w:r>
        <w:rPr>
          <w:rStyle w:val="optioncarChar"/>
        </w:rPr>
        <w:t>/ ***.</w:t>
      </w:r>
    </w:p>
    <w:p w14:paraId="1E609029" w14:textId="77777777" w:rsidR="004B2808" w:rsidRDefault="00000000">
      <w:pPr>
        <w:pStyle w:val="Author-eListParagraph"/>
        <w:numPr>
          <w:ilvl w:val="0"/>
          <w:numId w:val="99"/>
        </w:numPr>
      </w:pPr>
      <w:r>
        <w:rPr>
          <w:rStyle w:val="soitChar"/>
        </w:rPr>
        <w:t>Tolérance sur longueur et largeur selon le point 6 de la [NBN EN 438-2:2016+A1] </w:t>
      </w:r>
      <w:r>
        <w:t>:</w:t>
      </w:r>
      <w:r>
        <w:rPr>
          <w:rStyle w:val="optioncarChar"/>
        </w:rPr>
        <w:t xml:space="preserve"> - 0 à +10 mm</w:t>
      </w:r>
      <w:r>
        <w:t xml:space="preserve"> (par défaut) </w:t>
      </w:r>
      <w:r>
        <w:rPr>
          <w:rStyle w:val="optioncarChar"/>
        </w:rPr>
        <w:t>/ ***.</w:t>
      </w:r>
    </w:p>
    <w:p w14:paraId="798742E4" w14:textId="77777777" w:rsidR="004B2808" w:rsidRDefault="00000000">
      <w:pPr>
        <w:pStyle w:val="Author-eListParagraph"/>
        <w:numPr>
          <w:ilvl w:val="0"/>
          <w:numId w:val="99"/>
        </w:numPr>
      </w:pPr>
      <w:r>
        <w:rPr>
          <w:rStyle w:val="soitChar"/>
        </w:rPr>
        <w:t>Tolérance sur rectitude des bords selon le point 7 de la [NBN EN 438-2:2016+A1] :≤</w:t>
      </w:r>
      <w:r>
        <w:rPr>
          <w:rStyle w:val="optioncarChar"/>
        </w:rPr>
        <w:t>1,5 mm/m</w:t>
      </w:r>
      <w:r>
        <w:t xml:space="preserve"> (par défaut)</w:t>
      </w:r>
      <w:r>
        <w:rPr>
          <w:rStyle w:val="optioncarChar"/>
        </w:rPr>
        <w:t xml:space="preserve"> / ***</w:t>
      </w:r>
      <w:r>
        <w:t>.</w:t>
      </w:r>
    </w:p>
    <w:p w14:paraId="551E2867" w14:textId="77777777" w:rsidR="004B2808" w:rsidRDefault="00000000">
      <w:pPr>
        <w:pStyle w:val="Author-eListParagraph"/>
        <w:numPr>
          <w:ilvl w:val="0"/>
          <w:numId w:val="99"/>
        </w:numPr>
      </w:pPr>
      <w:r>
        <w:rPr>
          <w:rStyle w:val="soitChar"/>
        </w:rPr>
        <w:t>Tolérance sur équerrage selon le point 8 de la [NBN EN 438-2:2016+A1] : ≤</w:t>
      </w:r>
      <w:r>
        <w:rPr>
          <w:rStyle w:val="optioncarChar"/>
        </w:rPr>
        <w:t>1,5  mm/m</w:t>
      </w:r>
      <w:r>
        <w:t xml:space="preserve"> (par défaut) </w:t>
      </w:r>
      <w:r>
        <w:rPr>
          <w:rStyle w:val="optioncarChar"/>
        </w:rPr>
        <w:t>/ ***</w:t>
      </w:r>
      <w:r>
        <w:t>.</w:t>
      </w:r>
    </w:p>
    <w:p w14:paraId="0100CFC3" w14:textId="77777777" w:rsidR="004B2808" w:rsidRDefault="00000000">
      <w:pPr>
        <w:pStyle w:val="Author-eListParagraph"/>
        <w:numPr>
          <w:ilvl w:val="0"/>
          <w:numId w:val="99"/>
        </w:numPr>
      </w:pPr>
      <w:r>
        <w:rPr>
          <w:rStyle w:val="soitChar"/>
        </w:rPr>
        <w:t>Tolérance sur planéité selon le point 9 de la [NBN EN 438-2:2016+A1]: ≤</w:t>
      </w:r>
      <w:r>
        <w:rPr>
          <w:rStyle w:val="optioncarChar"/>
        </w:rPr>
        <w:t xml:space="preserve"> 5,0 mm/m</w:t>
      </w:r>
      <w:r>
        <w:t xml:space="preserve"> (par défaut) </w:t>
      </w:r>
      <w:r>
        <w:rPr>
          <w:rStyle w:val="optioncarChar"/>
        </w:rPr>
        <w:t>/ ***</w:t>
      </w:r>
      <w:r>
        <w:t>.</w:t>
      </w:r>
    </w:p>
    <w:p w14:paraId="172F253D" w14:textId="77777777" w:rsidR="004B2808" w:rsidRDefault="00000000">
      <w:pPr>
        <w:jc w:val="both"/>
      </w:pPr>
      <w:r>
        <w:rPr>
          <w:rStyle w:val="soitChar"/>
          <w:i/>
        </w:rPr>
        <w:t>Propriétés mécaniques :</w:t>
      </w:r>
    </w:p>
    <w:p w14:paraId="06B44DE3" w14:textId="77777777" w:rsidR="004B2808" w:rsidRDefault="00000000">
      <w:pPr>
        <w:pStyle w:val="Author-eListParagraph"/>
        <w:numPr>
          <w:ilvl w:val="0"/>
          <w:numId w:val="100"/>
        </w:numPr>
      </w:pPr>
      <w:r>
        <w:rPr>
          <w:rStyle w:val="soitChar"/>
        </w:rPr>
        <w:t>Module d’élasticité [NBN EN ISO 178] :≥</w:t>
      </w:r>
      <w:r>
        <w:rPr>
          <w:rStyle w:val="optioncarChar"/>
        </w:rPr>
        <w:t>9000 MPa</w:t>
      </w:r>
      <w:r>
        <w:t xml:space="preserve"> (par défaut) </w:t>
      </w:r>
      <w:r>
        <w:rPr>
          <w:rStyle w:val="optioncarChar"/>
        </w:rPr>
        <w:t>/ ***.</w:t>
      </w:r>
    </w:p>
    <w:p w14:paraId="4E1CA956" w14:textId="77777777" w:rsidR="004B2808" w:rsidRDefault="00000000">
      <w:pPr>
        <w:pStyle w:val="Author-eListParagraph"/>
        <w:numPr>
          <w:ilvl w:val="0"/>
          <w:numId w:val="100"/>
        </w:numPr>
      </w:pPr>
      <w:r>
        <w:rPr>
          <w:rStyle w:val="soitChar"/>
        </w:rPr>
        <w:t>Résistance en flexion [NBN EN ISO 178] : ≥</w:t>
      </w:r>
      <w:r>
        <w:rPr>
          <w:rStyle w:val="optioncarChar"/>
        </w:rPr>
        <w:t>80 MPa</w:t>
      </w:r>
      <w:r>
        <w:t xml:space="preserve"> (par défaut) </w:t>
      </w:r>
      <w:r>
        <w:rPr>
          <w:rStyle w:val="optioncarChar"/>
        </w:rPr>
        <w:t>/ ***</w:t>
      </w:r>
      <w:r>
        <w:t>.</w:t>
      </w:r>
    </w:p>
    <w:p w14:paraId="3C991C5A" w14:textId="77777777" w:rsidR="004B2808" w:rsidRDefault="00000000">
      <w:pPr>
        <w:pStyle w:val="Author-eListParagraph"/>
        <w:numPr>
          <w:ilvl w:val="0"/>
          <w:numId w:val="100"/>
        </w:numPr>
      </w:pPr>
      <w:r>
        <w:rPr>
          <w:rStyle w:val="soitChar"/>
        </w:rPr>
        <w:t>Résistance à la traction [NBN EN ISO 527-2] :≥</w:t>
      </w:r>
      <w:r>
        <w:rPr>
          <w:rStyle w:val="optioncarChar"/>
        </w:rPr>
        <w:t>60 MPa</w:t>
      </w:r>
      <w:r>
        <w:t xml:space="preserve"> (par défaut)</w:t>
      </w:r>
      <w:r>
        <w:rPr>
          <w:rStyle w:val="optioncarChar"/>
        </w:rPr>
        <w:t xml:space="preserve"> / ***</w:t>
      </w:r>
      <w:r>
        <w:t>.</w:t>
      </w:r>
    </w:p>
    <w:p w14:paraId="58E16B3B" w14:textId="77777777" w:rsidR="004B2808" w:rsidRDefault="00000000">
      <w:pPr>
        <w:pStyle w:val="Author-eListParagraph"/>
        <w:numPr>
          <w:ilvl w:val="0"/>
          <w:numId w:val="100"/>
        </w:numPr>
      </w:pPr>
      <w:r>
        <w:rPr>
          <w:rStyle w:val="soitChar"/>
        </w:rPr>
        <w:t>Résistance à l’usure (point initial) selon le point 10 de la [NBN EN 438-2:2016+A1] :≥</w:t>
      </w:r>
      <w:r>
        <w:rPr>
          <w:rStyle w:val="optioncarChar"/>
        </w:rPr>
        <w:t>150 révolutions (nombre de tours)</w:t>
      </w:r>
      <w:r>
        <w:t xml:space="preserve"> (par défaut) </w:t>
      </w:r>
      <w:r>
        <w:rPr>
          <w:rStyle w:val="optioncarChar"/>
        </w:rPr>
        <w:t>/ ***.</w:t>
      </w:r>
    </w:p>
    <w:p w14:paraId="5ADB9BA9" w14:textId="77777777" w:rsidR="004B2808" w:rsidRDefault="00000000">
      <w:pPr>
        <w:pStyle w:val="Author-eListParagraph"/>
        <w:numPr>
          <w:ilvl w:val="0"/>
          <w:numId w:val="100"/>
        </w:numPr>
      </w:pPr>
      <w:r>
        <w:rPr>
          <w:rStyle w:val="soitChar"/>
        </w:rPr>
        <w:t xml:space="preserve">Résistance aux rayures selon le point 25 de la [NBN EN 438-2:2016+A1] (b) : ≥ </w:t>
      </w:r>
      <w:r>
        <w:rPr>
          <w:rStyle w:val="optioncarChar"/>
        </w:rPr>
        <w:t>3 Degrés </w:t>
      </w:r>
      <w:r>
        <w:t xml:space="preserve">(par défaut) </w:t>
      </w:r>
      <w:r>
        <w:rPr>
          <w:rStyle w:val="optioncarChar"/>
        </w:rPr>
        <w:t>/ ***</w:t>
      </w:r>
      <w:r>
        <w:t>.</w:t>
      </w:r>
    </w:p>
    <w:p w14:paraId="35EF8B72" w14:textId="77777777" w:rsidR="004B2808" w:rsidRDefault="00000000">
      <w:pPr>
        <w:pStyle w:val="Author-eListParagraph"/>
        <w:numPr>
          <w:ilvl w:val="0"/>
          <w:numId w:val="100"/>
        </w:numPr>
      </w:pPr>
      <w:r>
        <w:rPr>
          <w:rStyle w:val="soitChar"/>
        </w:rPr>
        <w:t>Tenue aux lampes à arc au Xénon [NBN EN 438-2:2016+A1]: stabilité des coloris de la surface décorative polymérisée par faisceaux électroniques et résistants aux intempéries &gt;</w:t>
      </w:r>
      <w:r>
        <w:rPr>
          <w:rStyle w:val="optioncarChar"/>
        </w:rPr>
        <w:t>5</w:t>
      </w:r>
      <w:r>
        <w:t xml:space="preserve"> (par défaut) </w:t>
      </w:r>
      <w:r>
        <w:rPr>
          <w:rStyle w:val="optioncarChar"/>
        </w:rPr>
        <w:t>/ ***.</w:t>
      </w:r>
    </w:p>
    <w:p w14:paraId="41C56137" w14:textId="77777777" w:rsidR="004B2808" w:rsidRDefault="00000000">
      <w:pPr>
        <w:jc w:val="both"/>
      </w:pPr>
      <w:r>
        <w:rPr>
          <w:rStyle w:val="soitChar"/>
          <w:i/>
        </w:rPr>
        <w:t>Comportement au feu :</w:t>
      </w:r>
    </w:p>
    <w:p w14:paraId="4C2F5BCA" w14:textId="77777777" w:rsidR="004B2808" w:rsidRDefault="00000000">
      <w:pPr>
        <w:pStyle w:val="Author-eListParagraph"/>
        <w:numPr>
          <w:ilvl w:val="0"/>
          <w:numId w:val="101"/>
        </w:numPr>
      </w:pPr>
      <w:r>
        <w:rPr>
          <w:rStyle w:val="soitChar"/>
        </w:rPr>
        <w:t xml:space="preserve">Réaction au feu [NBN EN 13501-1] : </w:t>
      </w:r>
      <w:r>
        <w:rPr>
          <w:rStyle w:val="optioncarChar"/>
        </w:rPr>
        <w:t>D-s2,d0 (standard)</w:t>
      </w:r>
      <w:r>
        <w:t xml:space="preserve"> (par défaut) </w:t>
      </w:r>
      <w:r>
        <w:rPr>
          <w:rStyle w:val="optioncarChar"/>
        </w:rPr>
        <w:t>/ B-s2,d0 (améliorée).</w:t>
      </w:r>
    </w:p>
    <w:p w14:paraId="4FE121EF" w14:textId="77777777" w:rsidR="004B2808" w:rsidRDefault="00000000">
      <w:pPr>
        <w:jc w:val="both"/>
      </w:pPr>
      <w:r>
        <w:rPr>
          <w:b/>
          <w:i/>
        </w:rPr>
        <w:t>(Soit)</w:t>
      </w:r>
    </w:p>
    <w:p w14:paraId="0ADFA798" w14:textId="77777777" w:rsidR="004B2808" w:rsidRDefault="00000000">
      <w:pPr>
        <w:jc w:val="both"/>
      </w:pPr>
      <w:r>
        <w:rPr>
          <w:rStyle w:val="soitChar"/>
          <w:u w:val="single"/>
        </w:rPr>
        <w:t>Verre</w:t>
      </w:r>
    </w:p>
    <w:p w14:paraId="412D168F" w14:textId="77777777" w:rsidR="004B2808" w:rsidRDefault="004B2808">
      <w:pPr>
        <w:jc w:val="both"/>
      </w:pPr>
    </w:p>
    <w:p w14:paraId="79C74975" w14:textId="77777777" w:rsidR="004B2808" w:rsidRDefault="00000000">
      <w:pPr>
        <w:jc w:val="both"/>
      </w:pPr>
      <w:r>
        <w:rPr>
          <w:rStyle w:val="soitChar"/>
          <w:i/>
        </w:rPr>
        <w:t>Caractéristiques du verre</w:t>
      </w:r>
    </w:p>
    <w:p w14:paraId="6D5A01B7" w14:textId="77777777" w:rsidR="004B2808" w:rsidRDefault="00000000">
      <w:pPr>
        <w:pStyle w:val="Author-eListParagraph"/>
        <w:numPr>
          <w:ilvl w:val="0"/>
          <w:numId w:val="102"/>
        </w:numPr>
      </w:pPr>
      <w:r>
        <w:rPr>
          <w:rStyle w:val="soitChar"/>
        </w:rPr>
        <w:t>Type : Verre de sécurité </w:t>
      </w:r>
      <w:r>
        <w:rPr>
          <w:rStyle w:val="optioncarChar"/>
        </w:rPr>
        <w:t>trempé [NBN EN 12150-2]</w:t>
      </w:r>
      <w:r>
        <w:t xml:space="preserve"> (par défaut) </w:t>
      </w:r>
      <w:r>
        <w:rPr>
          <w:rStyle w:val="optioncarChar"/>
        </w:rPr>
        <w:t>/ feuilleté.</w:t>
      </w:r>
    </w:p>
    <w:p w14:paraId="3100BF32" w14:textId="77777777" w:rsidR="004B2808" w:rsidRDefault="00000000">
      <w:pPr>
        <w:pStyle w:val="Author-eListParagraph"/>
        <w:numPr>
          <w:ilvl w:val="0"/>
          <w:numId w:val="102"/>
        </w:numPr>
      </w:pPr>
      <w:r>
        <w:rPr>
          <w:rStyle w:val="soitChar"/>
        </w:rPr>
        <w:lastRenderedPageBreak/>
        <w:t>Emaillé sur un côté de la paroi</w:t>
      </w:r>
    </w:p>
    <w:p w14:paraId="04B3A26E" w14:textId="77777777" w:rsidR="004B2808" w:rsidRDefault="00000000">
      <w:pPr>
        <w:pStyle w:val="Author-eListParagraph"/>
        <w:numPr>
          <w:ilvl w:val="0"/>
          <w:numId w:val="102"/>
        </w:numPr>
      </w:pPr>
      <w:r>
        <w:rPr>
          <w:rStyle w:val="soitChar"/>
        </w:rPr>
        <w:t xml:space="preserve">Épaisseur: </w:t>
      </w:r>
      <w:r>
        <w:rPr>
          <w:rStyle w:val="optioncarChar"/>
        </w:rPr>
        <w:t>10</w:t>
      </w:r>
      <w:r>
        <w:t xml:space="preserve"> (par défaut)</w:t>
      </w:r>
      <w:r>
        <w:rPr>
          <w:rStyle w:val="optioncarChar"/>
        </w:rPr>
        <w:t xml:space="preserve"> / *** mm, tolérances : ± 0,1 mm.</w:t>
      </w:r>
    </w:p>
    <w:p w14:paraId="7A6B1173" w14:textId="77777777" w:rsidR="004B2808" w:rsidRDefault="00000000">
      <w:pPr>
        <w:pStyle w:val="Author-eListParagraph"/>
        <w:numPr>
          <w:ilvl w:val="0"/>
          <w:numId w:val="102"/>
        </w:numPr>
      </w:pPr>
      <w:r>
        <w:rPr>
          <w:rStyle w:val="soitChar"/>
        </w:rPr>
        <w:t xml:space="preserve">Bords : </w:t>
      </w:r>
      <w:r>
        <w:rPr>
          <w:rStyle w:val="optioncarChar"/>
        </w:rPr>
        <w:t>chanfreinés</w:t>
      </w:r>
      <w:r>
        <w:t xml:space="preserve"> (par défaut) </w:t>
      </w:r>
      <w:r>
        <w:rPr>
          <w:rStyle w:val="optioncarChar"/>
        </w:rPr>
        <w:t>/ arrondis.</w:t>
      </w:r>
    </w:p>
    <w:p w14:paraId="78897185" w14:textId="77777777" w:rsidR="004B2808" w:rsidRDefault="004B2808"/>
    <w:p w14:paraId="4BD4E830" w14:textId="77777777" w:rsidR="004B2808" w:rsidRDefault="00000000">
      <w:pPr>
        <w:jc w:val="both"/>
      </w:pPr>
      <w:r>
        <w:rPr>
          <w:b/>
          <w:u w:val="single"/>
        </w:rPr>
        <w:t>Profils de stabilisation et de suspension</w:t>
      </w:r>
    </w:p>
    <w:p w14:paraId="41DC506E" w14:textId="77777777" w:rsidR="004B2808" w:rsidRDefault="00000000">
      <w:pPr>
        <w:jc w:val="both"/>
      </w:pPr>
      <w:r>
        <w:t>Au-dessus des cloisons frontales et sur les côtés, un profil stabilisateur et ou de suspension est prévu.</w:t>
      </w:r>
    </w:p>
    <w:p w14:paraId="3C066161" w14:textId="77777777" w:rsidR="004B2808" w:rsidRDefault="00000000">
      <w:pPr>
        <w:pStyle w:val="Author-eListParagraph"/>
        <w:numPr>
          <w:ilvl w:val="0"/>
          <w:numId w:val="103"/>
        </w:numPr>
      </w:pPr>
      <w:r>
        <w:t xml:space="preserve">Profil : </w:t>
      </w:r>
      <w:r>
        <w:rPr>
          <w:rStyle w:val="optioncarChar"/>
        </w:rPr>
        <w:t>à soumettre à l’approbation de l’auteur de projet</w:t>
      </w:r>
      <w:r>
        <w:t xml:space="preserve"> (par défaut) </w:t>
      </w:r>
      <w:r>
        <w:rPr>
          <w:rStyle w:val="optioncarChar"/>
        </w:rPr>
        <w:t>/ circulaire / carré / rectangulaire / *** .</w:t>
      </w:r>
    </w:p>
    <w:p w14:paraId="5BD2A2C6" w14:textId="77777777" w:rsidR="004B2808" w:rsidRDefault="00000000">
      <w:pPr>
        <w:pStyle w:val="Author-eListParagraph"/>
        <w:numPr>
          <w:ilvl w:val="0"/>
          <w:numId w:val="103"/>
        </w:numPr>
      </w:pPr>
      <w:r>
        <w:t>·Section minimum :</w:t>
      </w:r>
      <w:r>
        <w:rPr>
          <w:rStyle w:val="optioncarChar"/>
        </w:rPr>
        <w:t xml:space="preserve"> à soumettre à l’approbation de l’auteur de projet</w:t>
      </w:r>
      <w:r>
        <w:t xml:space="preserve"> (par défaut) </w:t>
      </w:r>
      <w:r>
        <w:rPr>
          <w:rStyle w:val="optioncarChar"/>
        </w:rPr>
        <w:t>/ diamètre minimum de 30 / *** mm / minimum *** x *** mm</w:t>
      </w:r>
    </w:p>
    <w:p w14:paraId="3ABB6C48" w14:textId="77777777" w:rsidR="004B2808" w:rsidRDefault="00000000">
      <w:pPr>
        <w:pStyle w:val="Author-eListParagraph"/>
        <w:numPr>
          <w:ilvl w:val="0"/>
          <w:numId w:val="103"/>
        </w:numPr>
      </w:pPr>
      <w:r>
        <w:t xml:space="preserve">Matériau : </w:t>
      </w:r>
      <w:r>
        <w:rPr>
          <w:rStyle w:val="optioncarChar"/>
        </w:rPr>
        <w:t>à soumettre à l’approbation de l’auteur de projet</w:t>
      </w:r>
      <w:r>
        <w:t xml:space="preserve"> (par défaut) /</w:t>
      </w:r>
      <w:r>
        <w:rPr>
          <w:rStyle w:val="optioncarChar"/>
        </w:rPr>
        <w:t xml:space="preserve"> acier galvanisé recouvert d'un habillage en nylon / aluminium / inox / ***</w:t>
      </w:r>
    </w:p>
    <w:p w14:paraId="4335E4A4" w14:textId="77777777" w:rsidR="004B2808" w:rsidRDefault="00000000">
      <w:pPr>
        <w:jc w:val="both"/>
      </w:pPr>
      <w:r>
        <w:rPr>
          <w:b/>
          <w:i/>
        </w:rPr>
        <w:t>(Soit par défaut)</w:t>
      </w:r>
    </w:p>
    <w:p w14:paraId="0591434B" w14:textId="77777777" w:rsidR="004B2808" w:rsidRDefault="00000000">
      <w:pPr>
        <w:jc w:val="both"/>
      </w:pPr>
      <w:r>
        <w:rPr>
          <w:rStyle w:val="soitChar"/>
          <w:u w:val="single"/>
        </w:rPr>
        <w:t>A soumettre à l’approbation de l’auteur de projet</w:t>
      </w:r>
    </w:p>
    <w:p w14:paraId="30CF5450" w14:textId="77777777" w:rsidR="004B2808" w:rsidRDefault="00000000">
      <w:pPr>
        <w:jc w:val="both"/>
      </w:pPr>
      <w:r>
        <w:rPr>
          <w:b/>
          <w:i/>
        </w:rPr>
        <w:t>(Soit)</w:t>
      </w:r>
    </w:p>
    <w:p w14:paraId="1CE24028" w14:textId="77777777" w:rsidR="004B2808" w:rsidRDefault="00000000">
      <w:pPr>
        <w:jc w:val="both"/>
      </w:pPr>
      <w:r>
        <w:rPr>
          <w:rStyle w:val="soitChar"/>
          <w:u w:val="single"/>
        </w:rPr>
        <w:t>Nylon :</w:t>
      </w:r>
    </w:p>
    <w:p w14:paraId="2EC3EFC3" w14:textId="77777777" w:rsidR="004B2808" w:rsidRDefault="00000000">
      <w:pPr>
        <w:jc w:val="both"/>
      </w:pPr>
      <w:r>
        <w:rPr>
          <w:rStyle w:val="soitChar"/>
        </w:rPr>
        <w:t>Nylon teinté dans la masse, incassable, inaltérable aux frottements, aux  températures élevées, à l'humidité et aux produits chimiques.</w:t>
      </w:r>
    </w:p>
    <w:p w14:paraId="2DD1CC48" w14:textId="77777777" w:rsidR="004B2808" w:rsidRDefault="00000000">
      <w:pPr>
        <w:jc w:val="both"/>
      </w:pPr>
      <w:r>
        <w:rPr>
          <w:b/>
          <w:i/>
        </w:rPr>
        <w:t>(Soit)</w:t>
      </w:r>
    </w:p>
    <w:p w14:paraId="6496A1B9" w14:textId="77777777" w:rsidR="004B2808" w:rsidRDefault="00000000">
      <w:pPr>
        <w:jc w:val="both"/>
      </w:pPr>
      <w:r>
        <w:rPr>
          <w:rStyle w:val="soitChar"/>
          <w:u w:val="single"/>
        </w:rPr>
        <w:t>Aluminium :</w:t>
      </w:r>
    </w:p>
    <w:p w14:paraId="01C71F8F" w14:textId="77777777" w:rsidR="004B2808" w:rsidRDefault="00000000">
      <w:pPr>
        <w:jc w:val="both"/>
      </w:pPr>
      <w:r>
        <w:rPr>
          <w:rStyle w:val="soitChar"/>
        </w:rPr>
        <w:t>Nature : Aluminium extrudé en alliage AlMgSi.</w:t>
      </w:r>
    </w:p>
    <w:p w14:paraId="4F127343" w14:textId="77777777" w:rsidR="004B2808" w:rsidRDefault="00000000">
      <w:pPr>
        <w:jc w:val="both"/>
      </w:pPr>
      <w:r>
        <w:rPr>
          <w:rStyle w:val="soitChar"/>
        </w:rPr>
        <w:t>Finition :</w:t>
      </w:r>
      <w:r>
        <w:rPr>
          <w:rStyle w:val="optioncarChar"/>
        </w:rPr>
        <w:t>naturel / laqué au four avec poudre époxy (épaisseur de ± 60</w:t>
      </w:r>
      <w:r>
        <w:t xml:space="preserve"> (par défaut) </w:t>
      </w:r>
      <w:r>
        <w:rPr>
          <w:rStyle w:val="optioncarChar"/>
        </w:rPr>
        <w:t>/ *** microns)</w:t>
      </w:r>
      <w:r>
        <w:t xml:space="preserve"> (par défaut) </w:t>
      </w:r>
      <w:r>
        <w:rPr>
          <w:rStyle w:val="optioncarChar"/>
        </w:rPr>
        <w:t> / ***.</w:t>
      </w:r>
    </w:p>
    <w:p w14:paraId="11DCA1AB" w14:textId="77777777" w:rsidR="004B2808" w:rsidRDefault="00000000">
      <w:pPr>
        <w:jc w:val="both"/>
      </w:pPr>
      <w:r>
        <w:rPr>
          <w:b/>
          <w:i/>
        </w:rPr>
        <w:t>(Soit)</w:t>
      </w:r>
    </w:p>
    <w:p w14:paraId="5832DCCF" w14:textId="77777777" w:rsidR="004B2808" w:rsidRDefault="00000000">
      <w:pPr>
        <w:jc w:val="both"/>
      </w:pPr>
      <w:r>
        <w:rPr>
          <w:rStyle w:val="soitChar"/>
          <w:u w:val="single"/>
        </w:rPr>
        <w:t>Inox :</w:t>
      </w:r>
    </w:p>
    <w:p w14:paraId="324DDA2D" w14:textId="77777777" w:rsidR="004B2808" w:rsidRDefault="00000000">
      <w:pPr>
        <w:jc w:val="both"/>
      </w:pPr>
      <w:r>
        <w:rPr>
          <w:rStyle w:val="soitChar"/>
        </w:rPr>
        <w:t>Qualité :</w:t>
      </w:r>
      <w:r>
        <w:rPr>
          <w:rStyle w:val="optioncarChar"/>
        </w:rPr>
        <w:t>AISI 304 (standard)</w:t>
      </w:r>
      <w:r>
        <w:t xml:space="preserve"> (par défaut) </w:t>
      </w:r>
      <w:r>
        <w:rPr>
          <w:rStyle w:val="optioncarChar"/>
        </w:rPr>
        <w:t xml:space="preserve"> / 316 (milieu agressif tel que mer, piscine, etc. / ***.</w:t>
      </w:r>
    </w:p>
    <w:p w14:paraId="6FB7B62E" w14:textId="77777777" w:rsidR="004B2808" w:rsidRDefault="00000000">
      <w:pPr>
        <w:jc w:val="both"/>
      </w:pPr>
      <w:r>
        <w:rPr>
          <w:rStyle w:val="soitChar"/>
        </w:rPr>
        <w:t>Finition :</w:t>
      </w:r>
      <w:r>
        <w:rPr>
          <w:rStyle w:val="optioncarChar"/>
        </w:rPr>
        <w:t>brossé</w:t>
      </w:r>
      <w:r>
        <w:t xml:space="preserve"> (par défaut) </w:t>
      </w:r>
      <w:r>
        <w:rPr>
          <w:rStyle w:val="optioncarChar"/>
        </w:rPr>
        <w:t> / ***.</w:t>
      </w:r>
    </w:p>
    <w:p w14:paraId="75D4E7A3" w14:textId="77777777" w:rsidR="004B2808" w:rsidRDefault="00000000">
      <w:pPr>
        <w:jc w:val="both"/>
      </w:pPr>
      <w:r>
        <w:t> </w:t>
      </w:r>
    </w:p>
    <w:p w14:paraId="03C74BD5" w14:textId="77777777" w:rsidR="004B2808" w:rsidRDefault="00000000">
      <w:pPr>
        <w:jc w:val="both"/>
      </w:pPr>
      <w:r>
        <w:t>Pour les raccords muraux et le raccordement des écrans entre eux, il est fait usage de profils en forme de U et L.</w:t>
      </w:r>
    </w:p>
    <w:p w14:paraId="0FB4E859" w14:textId="77777777" w:rsidR="004B2808" w:rsidRDefault="00000000">
      <w:pPr>
        <w:jc w:val="both"/>
      </w:pPr>
      <w:r>
        <w:t xml:space="preserve">Ces profils sont : </w:t>
      </w:r>
      <w:r>
        <w:rPr>
          <w:rStyle w:val="optioncarChar"/>
        </w:rPr>
        <w:t>de même nature que les profils de stabilisation et de suspension</w:t>
      </w:r>
      <w:r>
        <w:t xml:space="preserve"> (par défaut) </w:t>
      </w:r>
      <w:r>
        <w:rPr>
          <w:rStyle w:val="optioncarChar"/>
        </w:rPr>
        <w:t>/ en nylon / en aluminium extrudé (alliage AlMgSi) naturel anodisé / en aluminium extrudé (alliage AlMgSi), laqué au four avec poudre époxy (épaisseur de ± 60</w:t>
      </w:r>
      <w:r>
        <w:t xml:space="preserve"> (par défaut)</w:t>
      </w:r>
      <w:r>
        <w:rPr>
          <w:rStyle w:val="optioncarChar"/>
        </w:rPr>
        <w:t xml:space="preserve"> / *** microns) / en Inox / ***.</w:t>
      </w:r>
    </w:p>
    <w:p w14:paraId="2A425A20" w14:textId="77777777" w:rsidR="004B2808" w:rsidRDefault="00000000">
      <w:pPr>
        <w:jc w:val="both"/>
      </w:pPr>
      <w:r>
        <w:t> </w:t>
      </w:r>
    </w:p>
    <w:p w14:paraId="4E885584" w14:textId="77777777" w:rsidR="004B2808" w:rsidRDefault="00000000">
      <w:pPr>
        <w:jc w:val="both"/>
      </w:pPr>
      <w:r>
        <w:rPr>
          <w:b/>
          <w:u w:val="single"/>
        </w:rPr>
        <w:t>Pieds</w:t>
      </w:r>
      <w:r>
        <w:rPr>
          <w:b/>
        </w:rPr>
        <w:t>:</w:t>
      </w:r>
    </w:p>
    <w:p w14:paraId="5F458543" w14:textId="77777777" w:rsidR="004B2808" w:rsidRDefault="00000000">
      <w:pPr>
        <w:jc w:val="both"/>
      </w:pPr>
      <w:r>
        <w:t>Les pieds sont réglables en hauteur. Ils sont pourvus d'une rosace de finition cachant les vis.</w:t>
      </w:r>
    </w:p>
    <w:p w14:paraId="09165327" w14:textId="77777777" w:rsidR="004B2808" w:rsidRDefault="00000000">
      <w:pPr>
        <w:jc w:val="both"/>
      </w:pPr>
      <w:r>
        <w:t xml:space="preserve">Hauteur :  </w:t>
      </w:r>
      <w:r>
        <w:rPr>
          <w:rStyle w:val="optioncarChar"/>
        </w:rPr>
        <w:t>à soumettre à l’approbation de l’auteur de projet</w:t>
      </w:r>
      <w:r>
        <w:t xml:space="preserve"> (par défaut) </w:t>
      </w:r>
      <w:r>
        <w:rPr>
          <w:rStyle w:val="optioncarChar"/>
        </w:rPr>
        <w:t>/ 100 / 150 / 200 mm, avec tolérances : ± 50 mm.</w:t>
      </w:r>
    </w:p>
    <w:p w14:paraId="3880C3A7" w14:textId="77777777" w:rsidR="004B2808" w:rsidRDefault="00000000">
      <w:pPr>
        <w:jc w:val="both"/>
      </w:pPr>
      <w:r>
        <w:t xml:space="preserve">Diamètre : </w:t>
      </w:r>
      <w:r>
        <w:rPr>
          <w:rStyle w:val="optioncarChar"/>
        </w:rPr>
        <w:t>à soumettre à l’approbation de de l’auteur de projet</w:t>
      </w:r>
      <w:r>
        <w:t xml:space="preserve"> (par défaut)</w:t>
      </w:r>
      <w:r>
        <w:rPr>
          <w:rStyle w:val="optioncarChar"/>
        </w:rPr>
        <w:t xml:space="preserve"> / minimum 30 / *** mm. </w:t>
      </w:r>
    </w:p>
    <w:p w14:paraId="3EDEB842" w14:textId="77777777" w:rsidR="004B2808" w:rsidRDefault="00000000">
      <w:pPr>
        <w:jc w:val="both"/>
      </w:pPr>
      <w:r>
        <w:t xml:space="preserve">Matériau des pieds : </w:t>
      </w:r>
      <w:r>
        <w:rPr>
          <w:rStyle w:val="optioncarChar"/>
        </w:rPr>
        <w:t>de même nature que les profils de stabilisation et de suspension</w:t>
      </w:r>
      <w:r>
        <w:t xml:space="preserve"> (par défaut) </w:t>
      </w:r>
      <w:r>
        <w:rPr>
          <w:rStyle w:val="optioncarChar"/>
        </w:rPr>
        <w:t>/ nylon / aluminium / inox / sans pieds / ***.</w:t>
      </w:r>
    </w:p>
    <w:p w14:paraId="014F869C" w14:textId="77777777" w:rsidR="004B2808" w:rsidRDefault="004B2808">
      <w:pPr>
        <w:jc w:val="both"/>
      </w:pPr>
    </w:p>
    <w:p w14:paraId="62EBBED9" w14:textId="77777777" w:rsidR="004B2808" w:rsidRDefault="00000000">
      <w:pPr>
        <w:jc w:val="both"/>
      </w:pPr>
      <w:r>
        <w:rPr>
          <w:b/>
          <w:i/>
        </w:rPr>
        <w:t>(Soit par défaut)</w:t>
      </w:r>
    </w:p>
    <w:p w14:paraId="0905832C" w14:textId="77777777" w:rsidR="004B2808" w:rsidRDefault="00000000">
      <w:pPr>
        <w:jc w:val="both"/>
      </w:pPr>
      <w:r>
        <w:rPr>
          <w:rStyle w:val="soitChar"/>
          <w:u w:val="single"/>
        </w:rPr>
        <w:lastRenderedPageBreak/>
        <w:t>De même nature que les profils de stabilisation et de suspension.</w:t>
      </w:r>
    </w:p>
    <w:p w14:paraId="3385E2FC" w14:textId="77777777" w:rsidR="004B2808" w:rsidRDefault="00000000">
      <w:pPr>
        <w:jc w:val="both"/>
      </w:pPr>
      <w:r>
        <w:rPr>
          <w:b/>
          <w:i/>
        </w:rPr>
        <w:t>(Soit)</w:t>
      </w:r>
    </w:p>
    <w:p w14:paraId="3261B9A3" w14:textId="77777777" w:rsidR="004B2808" w:rsidRDefault="00000000">
      <w:pPr>
        <w:jc w:val="both"/>
      </w:pPr>
      <w:r>
        <w:rPr>
          <w:rStyle w:val="soitChar"/>
          <w:u w:val="single"/>
        </w:rPr>
        <w:t>Pieds en nylon :</w:t>
      </w:r>
    </w:p>
    <w:p w14:paraId="6A1B5EC1" w14:textId="77777777" w:rsidR="004B2808" w:rsidRDefault="00000000">
      <w:pPr>
        <w:jc w:val="both"/>
      </w:pPr>
      <w:r>
        <w:rPr>
          <w:rStyle w:val="soitChar"/>
        </w:rPr>
        <w:t>Pieds en nylon teinté dans la masse, incassable, inaltérable aux frottements, aux  températures élevées, à l'humidité et aux produits chimiques.</w:t>
      </w:r>
    </w:p>
    <w:p w14:paraId="370F0953" w14:textId="77777777" w:rsidR="004B2808" w:rsidRDefault="00000000">
      <w:pPr>
        <w:jc w:val="both"/>
      </w:pPr>
      <w:r>
        <w:rPr>
          <w:b/>
          <w:i/>
        </w:rPr>
        <w:t>(Soit)</w:t>
      </w:r>
    </w:p>
    <w:p w14:paraId="56E58E9E" w14:textId="77777777" w:rsidR="004B2808" w:rsidRDefault="00000000">
      <w:pPr>
        <w:jc w:val="both"/>
      </w:pPr>
      <w:r>
        <w:rPr>
          <w:rStyle w:val="soitChar"/>
          <w:u w:val="single"/>
        </w:rPr>
        <w:t>Pieds en aluminium :</w:t>
      </w:r>
    </w:p>
    <w:p w14:paraId="3F9D1898" w14:textId="77777777" w:rsidR="004B2808" w:rsidRDefault="00000000">
      <w:pPr>
        <w:jc w:val="both"/>
      </w:pPr>
      <w:r>
        <w:rPr>
          <w:rStyle w:val="soitChar"/>
        </w:rPr>
        <w:t>Nature : Aluminium extrudé en alliage AlMgSi.</w:t>
      </w:r>
    </w:p>
    <w:p w14:paraId="08C546DB" w14:textId="77777777" w:rsidR="004B2808" w:rsidRDefault="00000000">
      <w:pPr>
        <w:jc w:val="both"/>
      </w:pPr>
      <w:r>
        <w:rPr>
          <w:rStyle w:val="soitChar"/>
        </w:rPr>
        <w:t>Finition :</w:t>
      </w:r>
      <w:r>
        <w:rPr>
          <w:rStyle w:val="optioncarChar"/>
        </w:rPr>
        <w:t>laqué au four avec poudre époxy (épaisseur de ± 60</w:t>
      </w:r>
      <w:r>
        <w:t xml:space="preserve"> (par défaut) </w:t>
      </w:r>
      <w:r>
        <w:rPr>
          <w:rStyle w:val="optioncarChar"/>
        </w:rPr>
        <w:t>/ *** microns)</w:t>
      </w:r>
      <w:r>
        <w:t xml:space="preserve"> (par défaut) </w:t>
      </w:r>
      <w:r>
        <w:rPr>
          <w:rStyle w:val="optioncarChar"/>
        </w:rPr>
        <w:t>/ naturel anodisé / ***.</w:t>
      </w:r>
    </w:p>
    <w:p w14:paraId="133BE58D" w14:textId="77777777" w:rsidR="004B2808" w:rsidRDefault="00000000">
      <w:pPr>
        <w:jc w:val="both"/>
      </w:pPr>
      <w:r>
        <w:rPr>
          <w:b/>
          <w:i/>
        </w:rPr>
        <w:t>(Soit)</w:t>
      </w:r>
    </w:p>
    <w:p w14:paraId="7BE20937" w14:textId="77777777" w:rsidR="004B2808" w:rsidRDefault="00000000">
      <w:pPr>
        <w:jc w:val="both"/>
      </w:pPr>
      <w:r>
        <w:rPr>
          <w:rStyle w:val="soitChar"/>
          <w:u w:val="single"/>
        </w:rPr>
        <w:t>Pieds en inox :</w:t>
      </w:r>
    </w:p>
    <w:p w14:paraId="29888F9F" w14:textId="77777777" w:rsidR="004B2808" w:rsidRDefault="00000000">
      <w:pPr>
        <w:jc w:val="both"/>
      </w:pPr>
      <w:r>
        <w:rPr>
          <w:rStyle w:val="soitChar"/>
        </w:rPr>
        <w:t>Qualité :</w:t>
      </w:r>
      <w:r>
        <w:rPr>
          <w:rStyle w:val="optioncarChar"/>
        </w:rPr>
        <w:t xml:space="preserve"> AISI 304 (standard)</w:t>
      </w:r>
      <w:r>
        <w:t xml:space="preserve"> (par défaut) </w:t>
      </w:r>
      <w:r>
        <w:rPr>
          <w:rStyle w:val="optioncarChar"/>
        </w:rPr>
        <w:t xml:space="preserve"> / 316 (milieu agressif tel que mer, piscine, etc.) / ***</w:t>
      </w:r>
    </w:p>
    <w:p w14:paraId="76FA9E5A" w14:textId="77777777" w:rsidR="004B2808" w:rsidRDefault="00000000">
      <w:pPr>
        <w:jc w:val="both"/>
      </w:pPr>
      <w:r>
        <w:rPr>
          <w:rStyle w:val="soitChar"/>
        </w:rPr>
        <w:t>Finition :</w:t>
      </w:r>
      <w:r>
        <w:rPr>
          <w:rStyle w:val="optioncarChar"/>
        </w:rPr>
        <w:t>brossé</w:t>
      </w:r>
      <w:r>
        <w:t xml:space="preserve"> (par défaut) </w:t>
      </w:r>
      <w:r>
        <w:rPr>
          <w:rStyle w:val="optioncarChar"/>
        </w:rPr>
        <w:t> / ***.</w:t>
      </w:r>
    </w:p>
    <w:p w14:paraId="0799C980" w14:textId="77777777" w:rsidR="004B2808" w:rsidRDefault="00000000">
      <w:pPr>
        <w:jc w:val="both"/>
      </w:pPr>
      <w:r>
        <w:rPr>
          <w:b/>
          <w:i/>
        </w:rPr>
        <w:t>(Soit)</w:t>
      </w:r>
    </w:p>
    <w:p w14:paraId="31D3EF12" w14:textId="77777777" w:rsidR="004B2808" w:rsidRDefault="00000000">
      <w:pPr>
        <w:jc w:val="both"/>
      </w:pPr>
      <w:r>
        <w:rPr>
          <w:rStyle w:val="soitChar"/>
          <w:u w:val="single"/>
        </w:rPr>
        <w:t>Sans pieds.</w:t>
      </w:r>
    </w:p>
    <w:p w14:paraId="2A874887" w14:textId="77777777" w:rsidR="004B2808" w:rsidRDefault="00000000">
      <w:pPr>
        <w:jc w:val="both"/>
      </w:pPr>
      <w:r>
        <w:t> </w:t>
      </w:r>
    </w:p>
    <w:p w14:paraId="22F6255B" w14:textId="77777777" w:rsidR="004B2808" w:rsidRDefault="00000000">
      <w:pPr>
        <w:jc w:val="both"/>
      </w:pPr>
      <w:r>
        <w:rPr>
          <w:b/>
          <w:u w:val="single"/>
        </w:rPr>
        <w:t>Accessoires et Quincailleries</w:t>
      </w:r>
    </w:p>
    <w:p w14:paraId="5803E461" w14:textId="77777777" w:rsidR="004B2808" w:rsidRDefault="00000000">
      <w:pPr>
        <w:jc w:val="both"/>
      </w:pPr>
      <w:r>
        <w:t xml:space="preserve">Choix des accessoires et quincailleries : </w:t>
      </w:r>
      <w:r>
        <w:rPr>
          <w:rStyle w:val="optioncarChar"/>
        </w:rPr>
        <w:t>de même nature que les profils de stabilisation et de suspension</w:t>
      </w:r>
      <w:r>
        <w:t xml:space="preserve"> (par défaut) </w:t>
      </w:r>
      <w:r>
        <w:rPr>
          <w:rStyle w:val="optioncarChar"/>
        </w:rPr>
        <w:t>/ nylon / aluminium / inox / ***.</w:t>
      </w:r>
    </w:p>
    <w:p w14:paraId="285D52A7" w14:textId="77777777" w:rsidR="004B2808" w:rsidRDefault="00000000">
      <w:pPr>
        <w:jc w:val="both"/>
      </w:pPr>
      <w:r>
        <w:rPr>
          <w:b/>
          <w:i/>
        </w:rPr>
        <w:t>(Soit par défaut)</w:t>
      </w:r>
    </w:p>
    <w:p w14:paraId="1F389C59" w14:textId="77777777" w:rsidR="004B2808" w:rsidRDefault="00000000">
      <w:pPr>
        <w:jc w:val="both"/>
      </w:pPr>
      <w:r>
        <w:rPr>
          <w:rStyle w:val="soitChar"/>
          <w:u w:val="single"/>
        </w:rPr>
        <w:t>De même nature que les profils de stabilisation et de suspension.</w:t>
      </w:r>
    </w:p>
    <w:p w14:paraId="59D2C757" w14:textId="77777777" w:rsidR="004B2808" w:rsidRDefault="00000000">
      <w:pPr>
        <w:jc w:val="both"/>
      </w:pPr>
      <w:r>
        <w:rPr>
          <w:b/>
          <w:i/>
        </w:rPr>
        <w:t>(Soit)</w:t>
      </w:r>
    </w:p>
    <w:p w14:paraId="0636399D" w14:textId="77777777" w:rsidR="004B2808" w:rsidRDefault="00000000">
      <w:pPr>
        <w:jc w:val="both"/>
      </w:pPr>
      <w:r>
        <w:rPr>
          <w:rStyle w:val="soitChar"/>
          <w:u w:val="single"/>
        </w:rPr>
        <w:t>Nylon :</w:t>
      </w:r>
    </w:p>
    <w:p w14:paraId="694CE9D0" w14:textId="77777777" w:rsidR="004B2808" w:rsidRDefault="00000000">
      <w:pPr>
        <w:jc w:val="both"/>
      </w:pPr>
      <w:r>
        <w:rPr>
          <w:rStyle w:val="soitChar"/>
        </w:rPr>
        <w:t>Nylon teinté dans la masse, incassable, inaltérable aux frottements, aux  températures élevées, à l'humidité et aux produits chimiques.</w:t>
      </w:r>
    </w:p>
    <w:p w14:paraId="46B2D017" w14:textId="77777777" w:rsidR="004B2808" w:rsidRDefault="00000000">
      <w:pPr>
        <w:jc w:val="both"/>
      </w:pPr>
      <w:r>
        <w:rPr>
          <w:b/>
          <w:i/>
        </w:rPr>
        <w:t>(Soit)</w:t>
      </w:r>
    </w:p>
    <w:p w14:paraId="54E5E20A" w14:textId="77777777" w:rsidR="004B2808" w:rsidRDefault="00000000">
      <w:pPr>
        <w:jc w:val="both"/>
      </w:pPr>
      <w:r>
        <w:rPr>
          <w:rStyle w:val="soitChar"/>
          <w:u w:val="single"/>
        </w:rPr>
        <w:t>Pieds en aluminium extrudé :</w:t>
      </w:r>
    </w:p>
    <w:p w14:paraId="121D71C0" w14:textId="77777777" w:rsidR="004B2808" w:rsidRDefault="00000000">
      <w:pPr>
        <w:jc w:val="both"/>
      </w:pPr>
      <w:r>
        <w:rPr>
          <w:rStyle w:val="soitChar"/>
        </w:rPr>
        <w:t>Nature : Aluminium extrudé en alliage AlMgSi.</w:t>
      </w:r>
    </w:p>
    <w:p w14:paraId="0EA19D9B" w14:textId="77777777" w:rsidR="004B2808" w:rsidRDefault="00000000">
      <w:pPr>
        <w:jc w:val="both"/>
      </w:pPr>
      <w:r>
        <w:rPr>
          <w:rStyle w:val="soitChar"/>
        </w:rPr>
        <w:t>Finition :</w:t>
      </w:r>
      <w:r>
        <w:rPr>
          <w:rStyle w:val="optioncarChar"/>
        </w:rPr>
        <w:t xml:space="preserve"> laqué au four avec poudre époxy (épaisseur de ± 60</w:t>
      </w:r>
      <w:r>
        <w:t xml:space="preserve"> (par défaut) </w:t>
      </w:r>
      <w:r>
        <w:rPr>
          <w:rStyle w:val="optioncarChar"/>
        </w:rPr>
        <w:t>/ *** microns)</w:t>
      </w:r>
      <w:r>
        <w:t xml:space="preserve"> (par défaut) </w:t>
      </w:r>
      <w:r>
        <w:rPr>
          <w:rStyle w:val="optioncarChar"/>
        </w:rPr>
        <w:t>/ naturel anodisé / ***</w:t>
      </w:r>
      <w:r>
        <w:t>.</w:t>
      </w:r>
    </w:p>
    <w:p w14:paraId="69280864" w14:textId="77777777" w:rsidR="004B2808" w:rsidRDefault="00000000">
      <w:pPr>
        <w:jc w:val="both"/>
      </w:pPr>
      <w:r>
        <w:rPr>
          <w:b/>
          <w:i/>
        </w:rPr>
        <w:t>(Soit)</w:t>
      </w:r>
    </w:p>
    <w:p w14:paraId="3FD6D04D" w14:textId="77777777" w:rsidR="004B2808" w:rsidRDefault="00000000">
      <w:pPr>
        <w:jc w:val="both"/>
      </w:pPr>
      <w:r>
        <w:rPr>
          <w:rStyle w:val="soitChar"/>
          <w:u w:val="single"/>
        </w:rPr>
        <w:t>Inox :</w:t>
      </w:r>
    </w:p>
    <w:p w14:paraId="2F01E9FF" w14:textId="77777777" w:rsidR="004B2808" w:rsidRDefault="00000000">
      <w:pPr>
        <w:jc w:val="both"/>
      </w:pPr>
      <w:r>
        <w:rPr>
          <w:rStyle w:val="soitChar"/>
        </w:rPr>
        <w:t>Qualité :</w:t>
      </w:r>
      <w:r>
        <w:rPr>
          <w:rStyle w:val="optioncarChar"/>
        </w:rPr>
        <w:t>AISI 304 (standard)</w:t>
      </w:r>
      <w:r>
        <w:t xml:space="preserve"> (par défaut)  </w:t>
      </w:r>
      <w:r>
        <w:rPr>
          <w:rStyle w:val="optioncarChar"/>
        </w:rPr>
        <w:t>/ 316 (milieu agressif tel que mer, piscine, etc.) / ***.</w:t>
      </w:r>
    </w:p>
    <w:p w14:paraId="777AB52C" w14:textId="77777777" w:rsidR="004B2808" w:rsidRDefault="00000000">
      <w:pPr>
        <w:jc w:val="both"/>
      </w:pPr>
      <w:r>
        <w:rPr>
          <w:rStyle w:val="soitChar"/>
        </w:rPr>
        <w:t>Finition :</w:t>
      </w:r>
      <w:r>
        <w:rPr>
          <w:rStyle w:val="optioncarChar"/>
        </w:rPr>
        <w:t>brossé</w:t>
      </w:r>
      <w:r>
        <w:t xml:space="preserve"> (par défaut)  </w:t>
      </w:r>
      <w:r>
        <w:rPr>
          <w:rStyle w:val="optioncarChar"/>
        </w:rPr>
        <w:t>/ ***.</w:t>
      </w:r>
    </w:p>
    <w:p w14:paraId="39855B83" w14:textId="77777777" w:rsidR="004B2808" w:rsidRDefault="00000000">
      <w:pPr>
        <w:jc w:val="both"/>
      </w:pPr>
      <w:r>
        <w:t> </w:t>
      </w:r>
    </w:p>
    <w:p w14:paraId="4C147440" w14:textId="77777777" w:rsidR="004B2808" w:rsidRDefault="00000000">
      <w:pPr>
        <w:jc w:val="both"/>
      </w:pPr>
      <w:r>
        <w:rPr>
          <w:b/>
          <w:u w:val="single"/>
        </w:rPr>
        <w:t>Visserie</w:t>
      </w:r>
    </w:p>
    <w:p w14:paraId="47BC95EA" w14:textId="77777777" w:rsidR="004B2808" w:rsidRDefault="00000000">
      <w:pPr>
        <w:jc w:val="both"/>
      </w:pPr>
      <w:r>
        <w:t>Toutes les vis utilisées sont en inox avec tête spéciale en anti-effraction.</w:t>
      </w:r>
    </w:p>
    <w:p w14:paraId="28D0039B" w14:textId="77777777" w:rsidR="004B2808" w:rsidRDefault="00000000">
      <w:pPr>
        <w:jc w:val="both"/>
      </w:pPr>
      <w:r>
        <w:t> </w:t>
      </w:r>
    </w:p>
    <w:p w14:paraId="4F2723BB" w14:textId="77777777" w:rsidR="004B2808" w:rsidRDefault="00000000">
      <w:pPr>
        <w:jc w:val="both"/>
      </w:pPr>
      <w:r>
        <w:rPr>
          <w:b/>
          <w:u w:val="single"/>
        </w:rPr>
        <w:t>Portes</w:t>
      </w:r>
    </w:p>
    <w:p w14:paraId="2B928F48" w14:textId="77777777" w:rsidR="004B2808" w:rsidRDefault="00000000">
      <w:pPr>
        <w:jc w:val="both"/>
      </w:pPr>
      <w:r>
        <w:t xml:space="preserve">Les portes sont fabriquées à partir de matériaux </w:t>
      </w:r>
      <w:r>
        <w:rPr>
          <w:rStyle w:val="optioncarChar"/>
        </w:rPr>
        <w:t>de même nature que les panneaux</w:t>
      </w:r>
      <w:r>
        <w:t xml:space="preserve"> (par défaut ) </w:t>
      </w:r>
      <w:r>
        <w:rPr>
          <w:rStyle w:val="optioncarChar"/>
        </w:rPr>
        <w:t>/ ***.</w:t>
      </w:r>
    </w:p>
    <w:p w14:paraId="308F8889" w14:textId="77777777" w:rsidR="004B2808" w:rsidRDefault="00000000">
      <w:pPr>
        <w:jc w:val="both"/>
      </w:pPr>
      <w:r>
        <w:lastRenderedPageBreak/>
        <w:t>Elles sont munies :</w:t>
      </w:r>
    </w:p>
    <w:p w14:paraId="0D75BF46" w14:textId="77777777" w:rsidR="004B2808" w:rsidRDefault="00000000">
      <w:pPr>
        <w:pStyle w:val="Author-eListParagraph"/>
        <w:numPr>
          <w:ilvl w:val="0"/>
          <w:numId w:val="104"/>
        </w:numPr>
      </w:pPr>
      <w:r>
        <w:t>de trois paumelles, dont 2 neutres et 1 à ressort assurant la fermeture ou l’ouverture automatique ;</w:t>
      </w:r>
    </w:p>
    <w:p w14:paraId="79378930" w14:textId="77777777" w:rsidR="004B2808" w:rsidRDefault="00000000">
      <w:pPr>
        <w:pStyle w:val="Author-eListParagraph"/>
        <w:numPr>
          <w:ilvl w:val="0"/>
          <w:numId w:val="104"/>
        </w:numPr>
      </w:pPr>
      <w:r>
        <w:t>de deux boutons de porte fixes ;</w:t>
      </w:r>
    </w:p>
    <w:p w14:paraId="6296EF72" w14:textId="77777777" w:rsidR="004B2808" w:rsidRDefault="00000000">
      <w:pPr>
        <w:pStyle w:val="Author-eListParagraph"/>
        <w:numPr>
          <w:ilvl w:val="0"/>
          <w:numId w:val="104"/>
        </w:numPr>
      </w:pPr>
      <w:r>
        <w:t>d'une serrure libre/occupé avec indicateur d'occupation coloré en deux ton distincts (par exemple: rouge et vert) sur la face extérieure de la porte et une poignée de verrouillage à l’intérieur qui, en cas d'urgence, peut s'ouvrir de l'extérieur (jeu de 2 clés adaptées à fournir).</w:t>
      </w:r>
    </w:p>
    <w:p w14:paraId="536CCFBD" w14:textId="77777777" w:rsidR="004B2808" w:rsidRDefault="00000000">
      <w:pPr>
        <w:pStyle w:val="Author-eListParagraph"/>
        <w:numPr>
          <w:ilvl w:val="0"/>
          <w:numId w:val="104"/>
        </w:numPr>
      </w:pPr>
      <w:r>
        <w:rPr>
          <w:rStyle w:val="optioncarChar"/>
        </w:rPr>
        <w:t>d’un / de deux</w:t>
      </w:r>
      <w:r>
        <w:t xml:space="preserve"> (par défaut) crochets portemanteaux </w:t>
      </w:r>
      <w:r>
        <w:rPr>
          <w:rStyle w:val="optioncarChar"/>
        </w:rPr>
        <w:t>simple</w:t>
      </w:r>
      <w:r>
        <w:t xml:space="preserve"> (par défaut)</w:t>
      </w:r>
      <w:r>
        <w:rPr>
          <w:rStyle w:val="optioncarChar"/>
        </w:rPr>
        <w:t xml:space="preserve"> / double</w:t>
      </w:r>
      <w:r>
        <w:t>.</w:t>
      </w:r>
    </w:p>
    <w:p w14:paraId="106A7202" w14:textId="77777777" w:rsidR="004B2808" w:rsidRDefault="00000000">
      <w:pPr>
        <w:jc w:val="both"/>
      </w:pPr>
      <w:r>
        <w:t>Ces éléments sont à soumettre à l’approbation de l’auteur de projet</w:t>
      </w:r>
    </w:p>
    <w:p w14:paraId="5EA4833A" w14:textId="77777777" w:rsidR="004B2808" w:rsidRDefault="00000000">
      <w:pPr>
        <w:jc w:val="both"/>
      </w:pPr>
      <w:r>
        <w:t xml:space="preserve">Les portes sont posées :  </w:t>
      </w:r>
      <w:r>
        <w:rPr>
          <w:rStyle w:val="optioncarChar"/>
        </w:rPr>
        <w:t>à recouvrement / dans l’alignement du plan des parois frontales</w:t>
      </w:r>
      <w:r>
        <w:t xml:space="preserve"> (par défaut). </w:t>
      </w:r>
    </w:p>
    <w:p w14:paraId="684B335E" w14:textId="77777777" w:rsidR="004B2808" w:rsidRDefault="00000000">
      <w:pPr>
        <w:jc w:val="both"/>
      </w:pPr>
      <w:r>
        <w:t>Les battées des portes sont fraisées et munies de joints de battée antibruit.</w:t>
      </w:r>
    </w:p>
    <w:p w14:paraId="27FE7B2F" w14:textId="77777777" w:rsidR="004B2808" w:rsidRDefault="00000000">
      <w:pPr>
        <w:jc w:val="both"/>
      </w:pPr>
      <w:r>
        <w:t xml:space="preserve">Toutes les fixations sont </w:t>
      </w:r>
      <w:r>
        <w:rPr>
          <w:rStyle w:val="optioncarChar"/>
        </w:rPr>
        <w:t>visibles / cachées</w:t>
      </w:r>
      <w:r>
        <w:t xml:space="preserve"> (par défaut) à l’aide : </w:t>
      </w:r>
      <w:r>
        <w:rPr>
          <w:rStyle w:val="optioncarChar"/>
        </w:rPr>
        <w:t>de rosaces de finition</w:t>
      </w:r>
      <w:r>
        <w:t xml:space="preserve"> (par défaut)</w:t>
      </w:r>
      <w:r>
        <w:rPr>
          <w:rStyle w:val="optioncarChar"/>
        </w:rPr>
        <w:t xml:space="preserve"> / de capuchons / ***.</w:t>
      </w:r>
    </w:p>
    <w:p w14:paraId="68C89256" w14:textId="77777777" w:rsidR="004B2808" w:rsidRDefault="00000000">
      <w:pPr>
        <w:jc w:val="both"/>
      </w:pPr>
      <w:r>
        <w:t> </w:t>
      </w:r>
    </w:p>
    <w:p w14:paraId="71A2EC65" w14:textId="77777777" w:rsidR="004B2808" w:rsidRDefault="00000000">
      <w:pPr>
        <w:pStyle w:val="pheading"/>
      </w:pPr>
      <w:r>
        <w:t>- Finitions</w:t>
      </w:r>
    </w:p>
    <w:p w14:paraId="1253C1E6" w14:textId="77777777" w:rsidR="004B2808" w:rsidRDefault="00000000">
      <w:pPr>
        <w:jc w:val="both"/>
      </w:pPr>
      <w:r>
        <w:rPr>
          <w:b/>
          <w:u w:val="single"/>
        </w:rPr>
        <w:t>Panneaux / portes / banquettes</w:t>
      </w:r>
    </w:p>
    <w:p w14:paraId="32425AEA" w14:textId="77777777" w:rsidR="004B2808" w:rsidRDefault="00000000">
      <w:pPr>
        <w:jc w:val="both"/>
      </w:pPr>
      <w:r>
        <w:t>Couleurs de surfaces : Teintes à soumettre à l’auteur de projet, avec possibilité de panacher.</w:t>
      </w:r>
    </w:p>
    <w:p w14:paraId="36A68BFD" w14:textId="77777777" w:rsidR="004B2808" w:rsidRDefault="00000000">
      <w:pPr>
        <w:jc w:val="both"/>
      </w:pPr>
      <w:r>
        <w:rPr>
          <w:b/>
          <w:u w:val="single"/>
        </w:rPr>
        <w:t>Suspentes et accessoires</w:t>
      </w:r>
    </w:p>
    <w:p w14:paraId="2E553F9B" w14:textId="77777777" w:rsidR="004B2808" w:rsidRDefault="00000000">
      <w:pPr>
        <w:jc w:val="both"/>
      </w:pPr>
      <w:r>
        <w:t xml:space="preserve">Couleurs : </w:t>
      </w:r>
      <w:r>
        <w:rPr>
          <w:rStyle w:val="optioncarChar"/>
        </w:rPr>
        <w:t>Aluminium naturel anodisé / inox / teintes RAL à soumettre à l’approbation de l’auteur de projet</w:t>
      </w:r>
      <w:r>
        <w:t xml:space="preserve"> (par défaut) , avec possibilité de panacher.</w:t>
      </w:r>
    </w:p>
    <w:p w14:paraId="1775D6DB" w14:textId="77777777" w:rsidR="004B2808" w:rsidRDefault="00000000">
      <w:pPr>
        <w:jc w:val="both"/>
      </w:pPr>
      <w:r>
        <w:t>Les teintes RAL retenues par l’auteur de projet sont:</w:t>
      </w:r>
      <w:r>
        <w:rPr>
          <w:rStyle w:val="optioncarChar"/>
        </w:rPr>
        <w:t xml:space="preserve"> 1018 (jaune) / 2009 (orange) / 3020  (rouge) / 3011 (rouge foncé) / 5015 (bleu) / 5050 (bleu plus foncé) / 5013 (bleu foncé) / 6018 (vert) / 7011 (gris-vert) / 9005 (noir) / 9003 (blanc)</w:t>
      </w:r>
      <w:r>
        <w:t xml:space="preserve"> (par défaut).  </w:t>
      </w:r>
    </w:p>
    <w:p w14:paraId="1EC05638" w14:textId="77777777" w:rsidR="004B2808" w:rsidRDefault="00000000">
      <w:pPr>
        <w:pStyle w:val="pheading"/>
      </w:pPr>
      <w:r>
        <w:t>- Prescriptions complémentaires</w:t>
      </w:r>
    </w:p>
    <w:p w14:paraId="53B860D5" w14:textId="77777777" w:rsidR="004B2808" w:rsidRDefault="00000000">
      <w:pPr>
        <w:jc w:val="both"/>
      </w:pPr>
      <w:r>
        <w:rPr>
          <w:rStyle w:val="facultChar"/>
        </w:rPr>
        <w:t>Les accessoires équipant les cabines sanitaires comme le porte-papier toilette, la brosse pour W.C., etc. , ne font pas partie de cet article. Ils sont repris dans les articles 65.32.1a Cuvettes de W-C - sur pied et 65.32.1b Cuvettes de W-C - suspendues.</w:t>
      </w:r>
    </w:p>
    <w:p w14:paraId="6367B7F3" w14:textId="77777777" w:rsidR="004B2808" w:rsidRDefault="00000000">
      <w:pPr>
        <w:jc w:val="both"/>
      </w:pPr>
      <w:r>
        <w:rPr>
          <w:rStyle w:val="facultChar"/>
        </w:rPr>
        <w:t>Le présent article comprend également une banquette dans le vestiaire :</w:t>
      </w:r>
    </w:p>
    <w:p w14:paraId="1D08C6B0" w14:textId="77777777" w:rsidR="004B2808" w:rsidRDefault="00000000">
      <w:pPr>
        <w:jc w:val="both"/>
      </w:pPr>
      <w:r>
        <w:rPr>
          <w:rStyle w:val="facultChar"/>
        </w:rPr>
        <w:t xml:space="preserve"> Les banquettes sont fabriquées à partir de matériaux de même nature que les parois.</w:t>
      </w:r>
    </w:p>
    <w:p w14:paraId="74BB0681" w14:textId="77777777" w:rsidR="004B2808" w:rsidRDefault="00000000">
      <w:pPr>
        <w:pStyle w:val="pheading"/>
      </w:pPr>
      <w:r>
        <w:t>EXÉCUTION / MISE EN ŒUVRE</w:t>
      </w:r>
    </w:p>
    <w:p w14:paraId="45F58863" w14:textId="77777777" w:rsidR="004B2808" w:rsidRDefault="00000000">
      <w:pPr>
        <w:pStyle w:val="pheading"/>
      </w:pPr>
      <w:r>
        <w:t>- Prescriptions générales</w:t>
      </w:r>
    </w:p>
    <w:p w14:paraId="777E0BD0" w14:textId="77777777" w:rsidR="004B2808" w:rsidRDefault="00000000">
      <w:pPr>
        <w:jc w:val="both"/>
      </w:pPr>
      <w:r>
        <w:t xml:space="preserve">La hauteur de passage libre est de minimum </w:t>
      </w:r>
      <w:r>
        <w:rPr>
          <w:rStyle w:val="optioncarChar"/>
        </w:rPr>
        <w:t>201,5</w:t>
      </w:r>
      <w:r>
        <w:t xml:space="preserve"> (par défaut) </w:t>
      </w:r>
      <w:r>
        <w:rPr>
          <w:rStyle w:val="optioncarChar"/>
        </w:rPr>
        <w:t>/ ***</w:t>
      </w:r>
      <w:r>
        <w:t xml:space="preserve"> cm.</w:t>
      </w:r>
    </w:p>
    <w:p w14:paraId="39982033" w14:textId="77777777" w:rsidR="004B2808" w:rsidRDefault="00000000">
      <w:pPr>
        <w:jc w:val="both"/>
      </w:pPr>
      <w:r>
        <w:t xml:space="preserve">Choix du type de montage : </w:t>
      </w:r>
      <w:r>
        <w:rPr>
          <w:rStyle w:val="optioncarChar"/>
        </w:rPr>
        <w:t>avec pieds</w:t>
      </w:r>
      <w:r>
        <w:t xml:space="preserve"> (par défaut)  </w:t>
      </w:r>
      <w:r>
        <w:rPr>
          <w:rStyle w:val="optioncarChar"/>
        </w:rPr>
        <w:t>/ sans pieds</w:t>
      </w:r>
      <w:r>
        <w:t>. </w:t>
      </w:r>
    </w:p>
    <w:p w14:paraId="1C182543" w14:textId="77777777" w:rsidR="004B2808" w:rsidRDefault="00000000">
      <w:pPr>
        <w:jc w:val="both"/>
      </w:pPr>
      <w:r>
        <w:rPr>
          <w:b/>
        </w:rPr>
        <w:t>(Soit par défaut)</w:t>
      </w:r>
    </w:p>
    <w:p w14:paraId="655A41EC" w14:textId="77777777" w:rsidR="004B2808" w:rsidRDefault="00000000">
      <w:pPr>
        <w:jc w:val="both"/>
      </w:pPr>
      <w:r>
        <w:rPr>
          <w:rStyle w:val="soitChar"/>
          <w:u w:val="single"/>
        </w:rPr>
        <w:t>Montage avec pieds</w:t>
      </w:r>
    </w:p>
    <w:p w14:paraId="529FD89E" w14:textId="77777777" w:rsidR="004B2808" w:rsidRDefault="00000000">
      <w:pPr>
        <w:jc w:val="both"/>
      </w:pPr>
      <w:r>
        <w:rPr>
          <w:rStyle w:val="soitChar"/>
        </w:rPr>
        <w:t>Les panneaux de parois sont montés sur pieds d'appui réglables. Le raccordement aux murs et le raccord entre les plaques se font à l'aide des pièces en forme L et U.</w:t>
      </w:r>
    </w:p>
    <w:p w14:paraId="59461617" w14:textId="77777777" w:rsidR="004B2808" w:rsidRDefault="00000000">
      <w:pPr>
        <w:jc w:val="both"/>
      </w:pPr>
      <w:r>
        <w:rPr>
          <w:rStyle w:val="soitChar"/>
        </w:rPr>
        <w:t>Les parois équipées d'une porte et les parois libres sont pourvues à leur partie supérieure d'un tube de stabilisation. Ce tube est fixé aux parois du local par des pièces de fixation murale réglables.</w:t>
      </w:r>
    </w:p>
    <w:p w14:paraId="70CA5163" w14:textId="77777777" w:rsidR="004B2808" w:rsidRDefault="00000000">
      <w:pPr>
        <w:jc w:val="both"/>
      </w:pPr>
      <w:r>
        <w:rPr>
          <w:b/>
        </w:rPr>
        <w:t>(Soit)</w:t>
      </w:r>
    </w:p>
    <w:p w14:paraId="1CA1256C" w14:textId="77777777" w:rsidR="004B2808" w:rsidRDefault="00000000">
      <w:pPr>
        <w:jc w:val="both"/>
      </w:pPr>
      <w:r>
        <w:rPr>
          <w:rStyle w:val="soitChar"/>
          <w:u w:val="single"/>
        </w:rPr>
        <w:t>Montage sans pieds</w:t>
      </w:r>
    </w:p>
    <w:p w14:paraId="6D256DC8" w14:textId="77777777" w:rsidR="004B2808" w:rsidRDefault="00000000">
      <w:pPr>
        <w:jc w:val="both"/>
      </w:pPr>
      <w:r>
        <w:rPr>
          <w:rStyle w:val="soitChar"/>
        </w:rPr>
        <w:t>Les cloisons sanitaires sont montées sans pieds, par suspension et raccordements uniquement aux murs.</w:t>
      </w:r>
    </w:p>
    <w:p w14:paraId="4FF191C8" w14:textId="77777777" w:rsidR="004B2808" w:rsidRDefault="00000000">
      <w:pPr>
        <w:jc w:val="both"/>
      </w:pPr>
      <w:r>
        <w:rPr>
          <w:rStyle w:val="soitChar"/>
        </w:rPr>
        <w:lastRenderedPageBreak/>
        <w:t xml:space="preserve">L’espace libre entre le sol et les panneaux est de minimum </w:t>
      </w:r>
      <w:r>
        <w:rPr>
          <w:rStyle w:val="optioncarChar"/>
        </w:rPr>
        <w:t>150</w:t>
      </w:r>
      <w:r>
        <w:t xml:space="preserve"> (par défaut) </w:t>
      </w:r>
      <w:r>
        <w:rPr>
          <w:rStyle w:val="optioncarChar"/>
        </w:rPr>
        <w:t>/ ***</w:t>
      </w:r>
      <w:r>
        <w:rPr>
          <w:rStyle w:val="soitChar"/>
        </w:rPr>
        <w:t>mm.</w:t>
      </w:r>
    </w:p>
    <w:p w14:paraId="017296E1" w14:textId="77777777" w:rsidR="004B2808" w:rsidRDefault="00000000">
      <w:pPr>
        <w:jc w:val="both"/>
      </w:pPr>
      <w:r>
        <w:rPr>
          <w:rStyle w:val="soitChar"/>
        </w:rPr>
        <w:t>La stabilité des cloisons frontales et latérales est assurée par le profilé de suspension qui est conçu de  telle manière que la flèche sous influence d’une pression externe de 300 kg reste inférieure à 2 mm.</w:t>
      </w:r>
    </w:p>
    <w:p w14:paraId="2412D476" w14:textId="77777777" w:rsidR="004B2808" w:rsidRDefault="00000000">
      <w:pPr>
        <w:jc w:val="both"/>
      </w:pPr>
      <w:r>
        <w:rPr>
          <w:rStyle w:val="soitChar"/>
        </w:rPr>
        <w:t>En cas d’une disposition d’angle, un poteau est prévu du sol jusqu’au plafond.</w:t>
      </w:r>
    </w:p>
    <w:p w14:paraId="016D787B" w14:textId="77777777" w:rsidR="004B2808" w:rsidRDefault="00000000">
      <w:pPr>
        <w:jc w:val="both"/>
      </w:pPr>
      <w:r>
        <w:rPr>
          <w:rStyle w:val="soitChar"/>
        </w:rPr>
        <w:t>En cas de travées de plus de 4 m, au moins 1 support supplémentaire ou un poteau du sol jusqu’au plafond est prévu, dépendant de la situation.</w:t>
      </w:r>
    </w:p>
    <w:p w14:paraId="5FB3BBD8" w14:textId="77777777" w:rsidR="004B2808" w:rsidRDefault="00000000">
      <w:pPr>
        <w:jc w:val="both"/>
      </w:pPr>
      <w:r>
        <w:rPr>
          <w:rStyle w:val="soitChar"/>
        </w:rPr>
        <w:t>Le raccordement des panneaux sur les murs et des cloisons de séparation sur la cloison frontale est exécuté à l’aide d’un profilé de jonction murale.</w:t>
      </w:r>
    </w:p>
    <w:p w14:paraId="0D3A35A9" w14:textId="77777777" w:rsidR="004B2808" w:rsidRDefault="00000000">
      <w:pPr>
        <w:pStyle w:val="pheading"/>
      </w:pPr>
      <w:r>
        <w:t>- Notes d’exécution complémentaires</w:t>
      </w:r>
    </w:p>
    <w:p w14:paraId="0D29561C" w14:textId="77777777" w:rsidR="004B2808" w:rsidRDefault="00000000">
      <w:pPr>
        <w:jc w:val="both"/>
      </w:pPr>
      <w:r>
        <w:rPr>
          <w:rStyle w:val="facultChar"/>
        </w:rPr>
        <w:t>Le présent article comprend également une banquette dans le vestiaire :</w:t>
      </w:r>
    </w:p>
    <w:p w14:paraId="05D92F1E" w14:textId="77777777" w:rsidR="004B2808" w:rsidRDefault="00000000">
      <w:pPr>
        <w:jc w:val="both"/>
      </w:pPr>
      <w:r>
        <w:rPr>
          <w:rStyle w:val="facultChar"/>
        </w:rPr>
        <w:t>Une banquette fixe d’une profondeur de</w:t>
      </w:r>
      <w:r>
        <w:rPr>
          <w:rStyle w:val="optioncarChar"/>
        </w:rPr>
        <w:t xml:space="preserve"> ± 30 cm (50 cm pour les PMR)</w:t>
      </w:r>
      <w:r>
        <w:t xml:space="preserve"> (par défaut) </w:t>
      </w:r>
      <w:r>
        <w:rPr>
          <w:rStyle w:val="optioncarChar"/>
        </w:rPr>
        <w:t>/ ***</w:t>
      </w:r>
      <w:r>
        <w:rPr>
          <w:rStyle w:val="facultChar"/>
        </w:rPr>
        <w:t>, sur toute la largeur de la cabine, est également prévue et fixée solidement aux parois qui l’entoure.</w:t>
      </w:r>
    </w:p>
    <w:p w14:paraId="77F13530" w14:textId="77777777" w:rsidR="004B2808" w:rsidRDefault="00000000">
      <w:pPr>
        <w:pStyle w:val="pheading"/>
      </w:pPr>
      <w:r>
        <w:t>DOCUMENTS DE RÉFÉRENCE COMPLÉMENTAIRES</w:t>
      </w:r>
    </w:p>
    <w:p w14:paraId="7B92617A" w14:textId="77777777" w:rsidR="004B2808" w:rsidRDefault="00000000">
      <w:pPr>
        <w:pStyle w:val="pheading"/>
      </w:pPr>
      <w:r>
        <w:t>- Matériau</w:t>
      </w:r>
    </w:p>
    <w:p w14:paraId="39B28D04" w14:textId="77777777" w:rsidR="004B2808" w:rsidRDefault="00000000">
      <w:r>
        <w:t>Prescriptions du fabricant</w:t>
      </w:r>
      <w:r>
        <w:br/>
      </w:r>
      <w:r>
        <w:br/>
        <w:t>[NBN EN 438-2:2016+A1, Stratifiés décoratifs haute pression (HPL) - Plaques à base de résines thermodurcissables (communément appelées stratifiés) - Partie 2: Détermination des propriétés]</w:t>
      </w:r>
      <w:r>
        <w:br/>
      </w:r>
      <w:r>
        <w:br/>
        <w:t>[NBN EN ISO 1183-1, Plastiques - Méthodes de détermination de la masse volumique des plastiques non alvéolaires - Partie 1: Méthode par immersion, méthode du pycnomètre en milieu liquide et méthode par titrage (ISO 1183-1:2025)]</w:t>
      </w:r>
      <w:r>
        <w:br/>
      </w:r>
      <w:r>
        <w:br/>
        <w:t>[NBN EN ISO 178, Plastiques - Détermination des propriétés en flexion (ISO 178:2019)]</w:t>
      </w:r>
      <w:r>
        <w:br/>
      </w:r>
      <w:r>
        <w:br/>
        <w:t>[NBN EN ISO 527-2, Plastiques - Détermination des propriétés en traction - Partie 2: Conditions d'essai des plastiques pour moulage et extrusion (ISO 527-2:2025)]</w:t>
      </w:r>
      <w:r>
        <w:br/>
      </w:r>
      <w:r>
        <w:br/>
        <w:t>[NBN EN 13501-1, Classement au feu des produits et éléments de construction - Partie 1: Classement à partir des données d'essais de réaction au feu]</w:t>
      </w:r>
    </w:p>
    <w:p w14:paraId="11D8AA7F" w14:textId="77777777" w:rsidR="004B2808" w:rsidRDefault="00000000">
      <w:pPr>
        <w:pStyle w:val="pheading"/>
      </w:pPr>
      <w:r>
        <w:t>- Exécution</w:t>
      </w:r>
    </w:p>
    <w:p w14:paraId="40118E06" w14:textId="77777777" w:rsidR="004B2808" w:rsidRDefault="00000000">
      <w:r>
        <w:t>Prescriptions du fabricant.</w:t>
      </w:r>
      <w:r>
        <w:br/>
      </w:r>
      <w:r>
        <w:br/>
        <w:t>[GRU 2016-07-20, Guide Régional d'Urbanisme] (chapitre 4)</w:t>
      </w:r>
      <w:r>
        <w:br/>
      </w:r>
      <w:r>
        <w:br/>
        <w:t>[SWL CALA, Guide d’aide à la conception d’un logement adaptable]</w:t>
      </w:r>
    </w:p>
    <w:p w14:paraId="7C824562" w14:textId="77777777" w:rsidR="004B2808" w:rsidRDefault="00000000">
      <w:pPr>
        <w:pStyle w:val="pheading"/>
      </w:pPr>
      <w:r>
        <w:t>MESURAGE</w:t>
      </w:r>
    </w:p>
    <w:p w14:paraId="2CACAC33" w14:textId="77777777" w:rsidR="004B2808" w:rsidRDefault="00000000">
      <w:pPr>
        <w:pStyle w:val="pheading"/>
      </w:pPr>
      <w:r>
        <w:t>- unité de mesure:</w:t>
      </w:r>
    </w:p>
    <w:p w14:paraId="7756F412" w14:textId="77777777" w:rsidR="004B2808" w:rsidRDefault="00000000">
      <w:r>
        <w:rPr>
          <w:rStyle w:val="optioncarChar"/>
        </w:rPr>
        <w:t>m²</w:t>
      </w:r>
      <w:r>
        <w:t xml:space="preserve"> (par défaut) </w:t>
      </w:r>
      <w:r>
        <w:rPr>
          <w:rStyle w:val="optioncarChar"/>
        </w:rPr>
        <w:t>/ pc</w:t>
      </w:r>
    </w:p>
    <w:p w14:paraId="5DDE44AF" w14:textId="77777777" w:rsidR="004B2808" w:rsidRDefault="00000000">
      <w:r>
        <w:rPr>
          <w:b/>
        </w:rPr>
        <w:t>(Soit par défaut)</w:t>
      </w:r>
    </w:p>
    <w:p w14:paraId="32FDC804" w14:textId="77777777" w:rsidR="004B2808" w:rsidRDefault="00000000">
      <w:r>
        <w:rPr>
          <w:rStyle w:val="soitChar"/>
        </w:rPr>
        <w:t>1. m²</w:t>
      </w:r>
      <w:r>
        <w:br/>
      </w:r>
      <w:r>
        <w:br/>
      </w:r>
      <w:r>
        <w:rPr>
          <w:b/>
        </w:rPr>
        <w:t>(Soit)</w:t>
      </w:r>
    </w:p>
    <w:p w14:paraId="4CEEFE25" w14:textId="77777777" w:rsidR="004B2808" w:rsidRDefault="00000000">
      <w:r>
        <w:rPr>
          <w:rStyle w:val="soitChar"/>
        </w:rPr>
        <w:t>2. pc</w:t>
      </w:r>
    </w:p>
    <w:p w14:paraId="0798B03B" w14:textId="77777777" w:rsidR="004B2808" w:rsidRDefault="00000000">
      <w:pPr>
        <w:pStyle w:val="pheading"/>
      </w:pPr>
      <w:r>
        <w:t>- code de mesurage:</w:t>
      </w:r>
    </w:p>
    <w:p w14:paraId="07AD724C" w14:textId="77777777" w:rsidR="004B2808" w:rsidRDefault="00000000">
      <w:r>
        <w:lastRenderedPageBreak/>
        <w:t>A ventiler en fonction de la nature des matériaux.</w:t>
      </w:r>
    </w:p>
    <w:p w14:paraId="24067D31" w14:textId="77777777" w:rsidR="004B2808" w:rsidRDefault="00000000">
      <w:r>
        <w:rPr>
          <w:rStyle w:val="optioncarChar"/>
        </w:rPr>
        <w:t>surface nette</w:t>
      </w:r>
      <w:r>
        <w:t xml:space="preserve"> (par défaut)</w:t>
      </w:r>
      <w:r>
        <w:rPr>
          <w:rStyle w:val="optioncarChar"/>
        </w:rPr>
        <w:t xml:space="preserve"> / quantité nette</w:t>
      </w:r>
    </w:p>
    <w:p w14:paraId="27FD8164" w14:textId="77777777" w:rsidR="004B2808" w:rsidRDefault="00000000">
      <w:r>
        <w:rPr>
          <w:b/>
        </w:rPr>
        <w:t>(Soit par défaut)</w:t>
      </w:r>
    </w:p>
    <w:p w14:paraId="4359A2D5" w14:textId="77777777" w:rsidR="004B2808" w:rsidRDefault="00000000">
      <w:r>
        <w:rPr>
          <w:rStyle w:val="soitChar"/>
        </w:rPr>
        <w:t xml:space="preserve">1. </w:t>
      </w:r>
      <w:r>
        <w:rPr>
          <w:rStyle w:val="soitChar"/>
          <w:u w:val="single"/>
        </w:rPr>
        <w:t>surface nette</w:t>
      </w:r>
      <w:r>
        <w:rPr>
          <w:rStyle w:val="soitChar"/>
        </w:rPr>
        <w:t xml:space="preserve"> à mettre en œuvre pour les parois, portes comprises (l’espace laissé en pied doit être déduit).</w:t>
      </w:r>
      <w:r>
        <w:t xml:space="preserve">  </w:t>
      </w:r>
      <w:r>
        <w:br/>
      </w:r>
      <w:r>
        <w:br/>
      </w:r>
      <w:r>
        <w:rPr>
          <w:b/>
        </w:rPr>
        <w:t>(Soit)</w:t>
      </w:r>
    </w:p>
    <w:p w14:paraId="60C8A67C" w14:textId="77777777" w:rsidR="004B2808" w:rsidRDefault="00000000">
      <w:r>
        <w:rPr>
          <w:rStyle w:val="soitChar"/>
        </w:rPr>
        <w:t>2.</w:t>
      </w:r>
      <w:r>
        <w:rPr>
          <w:rStyle w:val="soitChar"/>
          <w:u w:val="single"/>
        </w:rPr>
        <w:t xml:space="preserve"> quantité nette</w:t>
      </w:r>
      <w:r>
        <w:rPr>
          <w:rStyle w:val="soitChar"/>
        </w:rPr>
        <w:t xml:space="preserve"> à mettre en œuvre, une pièce étant composée d’un ensemble d’une ou de plusieurs cabines formant une unité, distinction faite suivant les dimensions.</w:t>
      </w:r>
    </w:p>
    <w:p w14:paraId="0CA7CC79" w14:textId="77777777" w:rsidR="004B2808" w:rsidRDefault="00000000">
      <w:pPr>
        <w:pStyle w:val="pheading"/>
      </w:pPr>
      <w:r>
        <w:t>- nature du marché:</w:t>
      </w:r>
    </w:p>
    <w:p w14:paraId="1C5C073D" w14:textId="77777777" w:rsidR="004B2808" w:rsidRDefault="00000000">
      <w:r>
        <w:t>QF</w:t>
      </w:r>
    </w:p>
    <w:p w14:paraId="118E7B5E" w14:textId="77777777" w:rsidR="004B2808" w:rsidRDefault="00000000">
      <w:pPr>
        <w:pStyle w:val="Author-eSectionHeading4Numberless"/>
      </w:pPr>
      <w:bookmarkStart w:id="97" w:name="_Toc220490302"/>
      <w:r>
        <w:t>51.34 Cloisons à système en petits éléments et claustras CCTB 01.02</w:t>
      </w:r>
      <w:bookmarkEnd w:id="97"/>
    </w:p>
    <w:p w14:paraId="221F6E36" w14:textId="77777777" w:rsidR="004B2808" w:rsidRDefault="00000000">
      <w:pPr>
        <w:pStyle w:val="Author-eSectionHeading5Numberless"/>
      </w:pPr>
      <w:bookmarkStart w:id="98" w:name="_Toc220490303"/>
      <w:r>
        <w:t>51.34.1 Cloisons à système en petits éléments et claustras CCTB 01.02</w:t>
      </w:r>
      <w:bookmarkEnd w:id="98"/>
    </w:p>
    <w:p w14:paraId="2AD3D5C6" w14:textId="77777777" w:rsidR="004B2808" w:rsidRDefault="00000000">
      <w:pPr>
        <w:pStyle w:val="Author-eSectionHeading6Numberless"/>
      </w:pPr>
      <w:bookmarkStart w:id="99" w:name="_Toc220490304"/>
      <w:r>
        <w:t>51.34.1a Cloisons à système en petits éléments et claustras CCTB 01.02</w:t>
      </w:r>
      <w:bookmarkEnd w:id="99"/>
    </w:p>
    <w:p w14:paraId="1BBCE3B3" w14:textId="77777777" w:rsidR="004B2808" w:rsidRDefault="00000000">
      <w:pPr>
        <w:pStyle w:val="Author-eSectionHeading3Numberless"/>
      </w:pPr>
      <w:bookmarkStart w:id="100" w:name="_Toc220490305"/>
      <w:r>
        <w:t>51.4 Cloisons mobiles CCTB 01.12</w:t>
      </w:r>
      <w:bookmarkEnd w:id="100"/>
    </w:p>
    <w:p w14:paraId="38780A8B" w14:textId="77777777" w:rsidR="004B2808" w:rsidRDefault="00000000">
      <w:pPr>
        <w:pStyle w:val="pheading"/>
      </w:pPr>
      <w:r>
        <w:t>DESCRIPTION</w:t>
      </w:r>
    </w:p>
    <w:p w14:paraId="70393908" w14:textId="77777777" w:rsidR="004B2808" w:rsidRDefault="00000000">
      <w:pPr>
        <w:pStyle w:val="pheading"/>
      </w:pPr>
      <w:r>
        <w:t>- Définition / Comprend</w:t>
      </w:r>
    </w:p>
    <w:p w14:paraId="5E4DCD22" w14:textId="77777777" w:rsidR="004B2808" w:rsidRDefault="00000000">
      <w:pPr>
        <w:jc w:val="both"/>
      </w:pPr>
      <w:r>
        <w:t>Cet élément comprend la fourniture et la pose de tous les éléments nécessaires à la composition des cloisons mobiles, y compris toutes les pièces et accessoires qui en font intrinsèquement partie.</w:t>
      </w:r>
    </w:p>
    <w:p w14:paraId="69C37A79" w14:textId="77777777" w:rsidR="004B2808" w:rsidRDefault="00000000">
      <w:pPr>
        <w:jc w:val="both"/>
      </w:pPr>
      <w:r>
        <w:t>Les prix unitaires compris les articles suivants comprennent toujours notamment :</w:t>
      </w:r>
    </w:p>
    <w:p w14:paraId="0B3E6E18" w14:textId="77777777" w:rsidR="004B2808" w:rsidRDefault="00000000">
      <w:pPr>
        <w:pStyle w:val="Author-eListParagraph"/>
        <w:numPr>
          <w:ilvl w:val="0"/>
          <w:numId w:val="105"/>
        </w:numPr>
        <w:jc w:val="both"/>
      </w:pPr>
      <w:r>
        <w:t>le contrôle et le relevé sur place des dimensions exactes dans l'œuvre et les adaptations éventuelles des éléments à préfabriquer aux dimensions réelles ;</w:t>
      </w:r>
    </w:p>
    <w:p w14:paraId="7512450A" w14:textId="77777777" w:rsidR="004B2808" w:rsidRDefault="00000000">
      <w:pPr>
        <w:pStyle w:val="Author-eListParagraph"/>
        <w:numPr>
          <w:ilvl w:val="0"/>
          <w:numId w:val="105"/>
        </w:numPr>
        <w:jc w:val="both"/>
      </w:pPr>
      <w:r>
        <w:t>la fourniture et la pose de tous les éléments nécessaires en vue de composer les ensembles de cloisons mobiles ;</w:t>
      </w:r>
    </w:p>
    <w:p w14:paraId="58EF84EC" w14:textId="77777777" w:rsidR="004B2808" w:rsidRDefault="00000000">
      <w:pPr>
        <w:pStyle w:val="Author-eListParagraph"/>
        <w:numPr>
          <w:ilvl w:val="0"/>
          <w:numId w:val="105"/>
        </w:numPr>
        <w:jc w:val="both"/>
      </w:pPr>
      <w:r>
        <w:t>la fourniture, la pose et le raccordement des éventuels éléments de commande et de motorisation ;</w:t>
      </w:r>
    </w:p>
    <w:p w14:paraId="77CB27F9" w14:textId="77777777" w:rsidR="004B2808" w:rsidRDefault="00000000">
      <w:pPr>
        <w:pStyle w:val="Author-eListParagraph"/>
        <w:numPr>
          <w:ilvl w:val="0"/>
          <w:numId w:val="105"/>
        </w:numPr>
        <w:jc w:val="both"/>
      </w:pPr>
      <w:r>
        <w:t>l'évacuation de tous les déchets provenant de l'entreprise et l'enlèvement de tous les autocollants sur les éléments placés, à l'exception de ceux indiquant la résistance au feu. Voir 07 Déchets, matériaux et éléments réemployables.</w:t>
      </w:r>
    </w:p>
    <w:p w14:paraId="47C97E48" w14:textId="77777777" w:rsidR="004B2808" w:rsidRDefault="00000000">
      <w:pPr>
        <w:pStyle w:val="pheading"/>
      </w:pPr>
      <w:r>
        <w:t>EXÉCUTION / MISE EN ŒUVRE</w:t>
      </w:r>
    </w:p>
    <w:p w14:paraId="17FE6FB1" w14:textId="77777777" w:rsidR="004B2808" w:rsidRDefault="00000000">
      <w:pPr>
        <w:jc w:val="both"/>
      </w:pPr>
      <w:r>
        <w:t>Avant la mise en œuvre, l’entrepreneur contrôle si les dimensions de pose prévues sur les plans correspondent à la situation sur place. Lorsqu'il découvre des divergences, il en avertit immédiatement l'auteur de projet.</w:t>
      </w:r>
    </w:p>
    <w:p w14:paraId="170FA37C" w14:textId="77777777" w:rsidR="004B2808" w:rsidRDefault="00000000">
      <w:pPr>
        <w:jc w:val="both"/>
      </w:pPr>
      <w:r>
        <w:t>La mise en œuvre des cloisons mobiles est exécutée par une firme spécialisée, conformément aux plans et détails d'exécution approuvés par de la direction du chantier.</w:t>
      </w:r>
    </w:p>
    <w:p w14:paraId="4DFF78C7" w14:textId="77777777" w:rsidR="004B2808" w:rsidRDefault="00000000">
      <w:pPr>
        <w:jc w:val="both"/>
      </w:pPr>
      <w:r>
        <w:t>Les mesures indiquées sur les plans, les dessins de détail et/ou le métré sont donnés à titre purement indicatif. Les dimensions exactes sont toujours contrôlées sur place.</w:t>
      </w:r>
    </w:p>
    <w:p w14:paraId="5CC954FD" w14:textId="77777777" w:rsidR="004B2808" w:rsidRDefault="00000000">
      <w:pPr>
        <w:jc w:val="both"/>
      </w:pPr>
      <w:r>
        <w:t>Les cloisons mobiles ne sont mises en œuvre que lorsque les conditions de pose sont favorables. Les conditions de mise en œuvre considérées comme normales sont les suivantes : lorsque la température est comprise entre 15 et 25 °C et que le degré d'humidité se situe entre 40 et 70 % HR. Elles sont entreposées à l’intérieur dans un endroit approprié à l'abri du soleil et de l'humidité.</w:t>
      </w:r>
    </w:p>
    <w:p w14:paraId="32CE60ED" w14:textId="77777777" w:rsidR="004B2808" w:rsidRDefault="00000000">
      <w:pPr>
        <w:jc w:val="both"/>
      </w:pPr>
      <w:r>
        <w:t>Lorsque les cloisons sont motorisées :</w:t>
      </w:r>
    </w:p>
    <w:p w14:paraId="326936F8" w14:textId="77777777" w:rsidR="004B2808" w:rsidRDefault="00000000">
      <w:pPr>
        <w:pStyle w:val="Author-eListParagraph"/>
        <w:numPr>
          <w:ilvl w:val="0"/>
          <w:numId w:val="106"/>
        </w:numPr>
        <w:jc w:val="both"/>
      </w:pPr>
      <w:r>
        <w:lastRenderedPageBreak/>
        <w:t>Les dispositifs de commande et accessoires sont fournis, placés et raccordés par le fournisseur des cloisons ;</w:t>
      </w:r>
    </w:p>
    <w:p w14:paraId="096E9DE4" w14:textId="77777777" w:rsidR="004B2808" w:rsidRDefault="00000000">
      <w:pPr>
        <w:pStyle w:val="Author-eListParagraph"/>
        <w:numPr>
          <w:ilvl w:val="0"/>
          <w:numId w:val="106"/>
        </w:numPr>
        <w:jc w:val="both"/>
      </w:pPr>
      <w:r>
        <w:t>L'alimentation, les équipements de protection dans TD et les câblages depuis les coffrets sont à charge de l'entreprise d'électricité (Voir 71.24.7 Équipements particuliers) et conformes aux prescriptions des plans de détail du fabricant des cloisons ;</w:t>
      </w:r>
    </w:p>
    <w:p w14:paraId="73ABE67A" w14:textId="77777777" w:rsidR="004B2808" w:rsidRDefault="00000000">
      <w:pPr>
        <w:pStyle w:val="Author-eListParagraph"/>
        <w:numPr>
          <w:ilvl w:val="0"/>
          <w:numId w:val="106"/>
        </w:numPr>
        <w:jc w:val="both"/>
      </w:pPr>
      <w:r>
        <w:t>Vérification conformité installation électrique suivant [RGIE] ;</w:t>
      </w:r>
    </w:p>
    <w:p w14:paraId="24B5CE6F" w14:textId="77777777" w:rsidR="004B2808" w:rsidRDefault="00000000">
      <w:pPr>
        <w:pStyle w:val="Author-eListParagraph"/>
        <w:numPr>
          <w:ilvl w:val="0"/>
          <w:numId w:val="106"/>
        </w:numPr>
        <w:jc w:val="both"/>
      </w:pPr>
      <w:r>
        <w:t>Fournir plans de l’installation électrique, fiches techniques des matériels, PV de réception par un SECT (Service Externe de Contrôle Technique).</w:t>
      </w:r>
    </w:p>
    <w:p w14:paraId="6DBD3264" w14:textId="77777777" w:rsidR="004B2808" w:rsidRDefault="00000000">
      <w:pPr>
        <w:ind w:left="750"/>
      </w:pPr>
      <w:r>
        <w:t> </w:t>
      </w:r>
    </w:p>
    <w:p w14:paraId="0E431DC4" w14:textId="77777777" w:rsidR="004B2808" w:rsidRDefault="00000000">
      <w:pPr>
        <w:pStyle w:val="pheading"/>
      </w:pPr>
      <w:r>
        <w:t>DOCUMENTS DE RÉFÉRENCE</w:t>
      </w:r>
    </w:p>
    <w:p w14:paraId="3FD9B05C" w14:textId="77777777" w:rsidR="004B2808" w:rsidRDefault="00000000">
      <w:pPr>
        <w:pStyle w:val="pheading"/>
      </w:pPr>
      <w:r>
        <w:t>- Matériau</w:t>
      </w:r>
    </w:p>
    <w:p w14:paraId="1D4F9031" w14:textId="77777777" w:rsidR="004B2808" w:rsidRDefault="00000000">
      <w:r>
        <w:t>[NBN EN 10346, Produits plats en acier revêtus en continu par immersion à chaud pour formage à froid - Conditions techniques de livraison]</w:t>
      </w:r>
    </w:p>
    <w:p w14:paraId="105B6851" w14:textId="77777777" w:rsidR="004B2808" w:rsidRDefault="00000000">
      <w:r>
        <w:t>[NBN EN 10169, Produits plats en acier revêtus en continu de matières organiques (prélaqués) - Conditions techniques de livraison]</w:t>
      </w:r>
    </w:p>
    <w:p w14:paraId="1DBDADF7" w14:textId="77777777" w:rsidR="004B2808" w:rsidRDefault="00000000">
      <w:r>
        <w:t>[NBN EN 485-2:2016+A1, Aluminium et alliages d'aluminium - Tôles, bandes et tôles épaisses - Partie 2: Caractéristiques mécaniques]</w:t>
      </w:r>
    </w:p>
    <w:p w14:paraId="10C79B99" w14:textId="77777777" w:rsidR="004B2808" w:rsidRDefault="00000000">
      <w:r>
        <w:t>[NBN EN 1396, Aluminium et alliages d'aluminium - Tôles et bandes revêtues en bobine pour applications générales - Spécifications]</w:t>
      </w:r>
    </w:p>
    <w:p w14:paraId="54A8FF44" w14:textId="77777777" w:rsidR="004B2808" w:rsidRDefault="00000000">
      <w:r>
        <w:t>[NBN EN 485-4, Aluminium et alliages d'aluminium - Tôles, bandes et tôles épaisses - Partie 4: Tolérances sur forme et dimensions des produits laminés à froid]</w:t>
      </w:r>
    </w:p>
    <w:p w14:paraId="7255C6DD" w14:textId="77777777" w:rsidR="004B2808" w:rsidRDefault="00000000">
      <w:r>
        <w:t>[NBN S 23-002/A1, Vitrerie (+ AC:2010)]</w:t>
      </w:r>
    </w:p>
    <w:p w14:paraId="5FBB1374" w14:textId="77777777" w:rsidR="004B2808" w:rsidRDefault="00000000">
      <w:r>
        <w:t>[NBN 713-020, Protection contre l'incendie - Comportement au feu des matériaux et éléments de construction - Résistance au feu des éléments de construction (avec erratum)]</w:t>
      </w:r>
    </w:p>
    <w:p w14:paraId="26E63D0E" w14:textId="77777777" w:rsidR="004B2808" w:rsidRDefault="00000000">
      <w:r>
        <w:t>[NBN EN 13501-1, Classement au feu des produits et éléments de construction - Partie 1: Classement à partir des données d'essais de réaction au feu]</w:t>
      </w:r>
    </w:p>
    <w:p w14:paraId="69C11BD9" w14:textId="77777777" w:rsidR="004B280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305644E6" w14:textId="77777777" w:rsidR="004B2808" w:rsidRDefault="00000000">
      <w:r>
        <w:t>[NBN EN 312, Panneaux de particules - Exigences]</w:t>
      </w:r>
    </w:p>
    <w:p w14:paraId="789E0910" w14:textId="77777777" w:rsidR="004B2808" w:rsidRDefault="00000000">
      <w:r>
        <w:t>[NBN EN 335, Durabilité du bois et des matériaux à base de bois - Classes d'emploi: définitions, application au bois massif et aux matériaux à base de bois]</w:t>
      </w:r>
    </w:p>
    <w:p w14:paraId="61CE9F06" w14:textId="77777777" w:rsidR="004B2808" w:rsidRDefault="00000000">
      <w:r>
        <w:t>[NBN EN 622-5, Panneaux de fibres - Exigences - Partie 5 : Exigences pour panneaux obtenus par procédé à sec (MDF)]</w:t>
      </w:r>
    </w:p>
    <w:p w14:paraId="4EB79EE4" w14:textId="77777777" w:rsidR="004B2808" w:rsidRDefault="00000000">
      <w:r>
        <w:t>[NBN EN 438 série, Stratifiés décoratifs haute pression (HPL) - Plaques à base de résines thermodurcissables (communément appelées stratifiés)]</w:t>
      </w:r>
    </w:p>
    <w:p w14:paraId="75577860" w14:textId="77777777" w:rsidR="004B2808" w:rsidRDefault="00000000">
      <w:r>
        <w:t>[NBN EN 636+A1, Contreplaqué - Exigences]</w:t>
      </w:r>
    </w:p>
    <w:p w14:paraId="37B1FC21" w14:textId="77777777" w:rsidR="004B2808" w:rsidRDefault="00000000">
      <w:pPr>
        <w:pStyle w:val="Author-eSectionHeading4Numberless"/>
      </w:pPr>
      <w:bookmarkStart w:id="101" w:name="_Toc220490306"/>
      <w:r>
        <w:t>51.41 Cloisons mobiles - coulissantes horizontales CCTB 01.11</w:t>
      </w:r>
      <w:bookmarkEnd w:id="101"/>
    </w:p>
    <w:p w14:paraId="42223E34" w14:textId="77777777" w:rsidR="004B2808" w:rsidRDefault="00000000">
      <w:pPr>
        <w:pStyle w:val="pheading"/>
      </w:pPr>
      <w:r>
        <w:t>MATÉRIAUX</w:t>
      </w:r>
    </w:p>
    <w:p w14:paraId="36B91DEB" w14:textId="77777777" w:rsidR="004B2808" w:rsidRDefault="00000000">
      <w:pPr>
        <w:jc w:val="both"/>
      </w:pPr>
      <w:r>
        <w:t>La cloison mobile est composée de panneaux coulissant horizontalement sur une structure porteuse métallique dont le dimensionnement est calculé en fonction de la taille et du poids des panneaux de cloisonnement.</w:t>
      </w:r>
    </w:p>
    <w:p w14:paraId="76BD8FB8" w14:textId="77777777" w:rsidR="004B2808" w:rsidRDefault="00000000">
      <w:pPr>
        <w:jc w:val="both"/>
      </w:pPr>
      <w:r>
        <w:rPr>
          <w:b/>
        </w:rPr>
        <w:t>Rail(s) de support et de guidage</w:t>
      </w:r>
    </w:p>
    <w:p w14:paraId="613F6D65" w14:textId="77777777" w:rsidR="004B2808" w:rsidRDefault="00000000">
      <w:pPr>
        <w:jc w:val="both"/>
      </w:pPr>
      <w:r>
        <w:lastRenderedPageBreak/>
        <w:t>En partie haute, les rails sont en aluminium ou en acier (grandes hauteurs et/ou normes incendie). Ils sont ancrés à la structure portante à l’aide de tiges filetées et de barrettes de mise à niveau. Afin d'assurer la stabilité latérale des éléments, des galets en nylon autolubrifiant coulissent dans le rail.</w:t>
      </w:r>
    </w:p>
    <w:p w14:paraId="595496BA" w14:textId="77777777" w:rsidR="004B2808" w:rsidRDefault="00000000">
      <w:pPr>
        <w:pStyle w:val="Author-eSectionHeading5Numberless"/>
      </w:pPr>
      <w:bookmarkStart w:id="102" w:name="_Toc220490307"/>
      <w:r>
        <w:t>51.41.1 Cloisons mobiles - coulissantes horizontales CCTB 01.12</w:t>
      </w:r>
      <w:bookmarkEnd w:id="102"/>
    </w:p>
    <w:p w14:paraId="1D275203" w14:textId="77777777" w:rsidR="004B2808" w:rsidRDefault="00000000">
      <w:pPr>
        <w:pStyle w:val="pheading"/>
      </w:pPr>
      <w:r>
        <w:t>DESCRIPTION</w:t>
      </w:r>
    </w:p>
    <w:p w14:paraId="0881FAE9" w14:textId="77777777" w:rsidR="004B2808" w:rsidRDefault="00000000">
      <w:pPr>
        <w:pStyle w:val="pheading"/>
      </w:pPr>
      <w:r>
        <w:t>- Définition / Comprend</w:t>
      </w:r>
    </w:p>
    <w:p w14:paraId="7D836A7F" w14:textId="77777777" w:rsidR="004B2808" w:rsidRDefault="00000000">
      <w:pPr>
        <w:jc w:val="both"/>
      </w:pPr>
      <w:r>
        <w:t>Cet élément comprend la fourniture et la pose de tous les éléments nécessaires à la composition de cloisons mobiles coulissant horizontalement sur un rail porteur de guidage placé en partie supérieure.</w:t>
      </w:r>
    </w:p>
    <w:p w14:paraId="359990A2" w14:textId="77777777" w:rsidR="004B2808" w:rsidRDefault="00000000">
      <w:pPr>
        <w:pStyle w:val="pheading"/>
      </w:pPr>
      <w:r>
        <w:t>MATÉRIAUX</w:t>
      </w:r>
    </w:p>
    <w:p w14:paraId="5F4E727D" w14:textId="77777777" w:rsidR="004B2808" w:rsidRDefault="00000000">
      <w:pPr>
        <w:jc w:val="both"/>
      </w:pPr>
      <w:r>
        <w:t>Elles sont composées de panneaux mobiles permettant de moduler la dimension des locaux où elles sont installées tout en assurant une isolation acoustique de qualité grâce à la composition des panneaux et aux systèmes de verrouillage intégrés.</w:t>
      </w:r>
    </w:p>
    <w:p w14:paraId="5F8B04DE" w14:textId="77777777" w:rsidR="004B2808" w:rsidRDefault="00000000">
      <w:pPr>
        <w:pStyle w:val="Author-eSectionHeading6Numberless"/>
      </w:pPr>
      <w:bookmarkStart w:id="103" w:name="_Toc220490308"/>
      <w:r>
        <w:t>51.41.1a Cloisons mobiles - coulissantes horizontales CCTB 01.11</w:t>
      </w:r>
      <w:bookmarkEnd w:id="103"/>
    </w:p>
    <w:p w14:paraId="7346A238" w14:textId="77777777" w:rsidR="004B2808" w:rsidRDefault="00000000">
      <w:pPr>
        <w:pStyle w:val="pheading"/>
      </w:pPr>
      <w:r>
        <w:t>DESCRIPTION</w:t>
      </w:r>
    </w:p>
    <w:p w14:paraId="77CA3BEC" w14:textId="77777777" w:rsidR="004B2808" w:rsidRDefault="00000000">
      <w:pPr>
        <w:pStyle w:val="pheading"/>
      </w:pPr>
      <w:r>
        <w:t>- Définition / Comprend</w:t>
      </w:r>
    </w:p>
    <w:p w14:paraId="2469B70F" w14:textId="77777777" w:rsidR="004B2808" w:rsidRDefault="00000000">
      <w:pPr>
        <w:jc w:val="both"/>
      </w:pPr>
      <w:r>
        <w:t>Il s’agit de la fourniture et de la pose de cloisons mobiles composés d’éléments indépendants à doubles suspentes coulissant dans un rail de support et composés :</w:t>
      </w:r>
    </w:p>
    <w:p w14:paraId="06A08AB4" w14:textId="77777777" w:rsidR="004B2808" w:rsidRDefault="00000000">
      <w:pPr>
        <w:pStyle w:val="Author-eListParagraph"/>
        <w:numPr>
          <w:ilvl w:val="0"/>
          <w:numId w:val="107"/>
        </w:numPr>
      </w:pPr>
      <w:r>
        <w:t>de profils porteurs avec consoles de fixation ;</w:t>
      </w:r>
    </w:p>
    <w:p w14:paraId="57F5BD1B" w14:textId="77777777" w:rsidR="004B2808" w:rsidRDefault="00000000">
      <w:pPr>
        <w:pStyle w:val="Author-eListParagraph"/>
        <w:numPr>
          <w:ilvl w:val="0"/>
          <w:numId w:val="107"/>
        </w:numPr>
      </w:pPr>
      <w:r>
        <w:t>de panneaux mobiles de cloisonnement permettant de moduler la dimension de locaux ou de salles.</w:t>
      </w:r>
    </w:p>
    <w:p w14:paraId="0964AAF9" w14:textId="77777777" w:rsidR="004B2808" w:rsidRDefault="00000000">
      <w:pPr>
        <w:jc w:val="both"/>
      </w:pPr>
      <w:r>
        <w:t>Cet article comprend également l’étude par le fabricant :</w:t>
      </w:r>
    </w:p>
    <w:p w14:paraId="75FFD717" w14:textId="77777777" w:rsidR="004B2808" w:rsidRDefault="00000000">
      <w:pPr>
        <w:pStyle w:val="Author-eListParagraph"/>
        <w:numPr>
          <w:ilvl w:val="0"/>
          <w:numId w:val="108"/>
        </w:numPr>
      </w:pPr>
      <w:r>
        <w:t>du dimensionnement des structures de suspente et de leurs ancrages ;</w:t>
      </w:r>
    </w:p>
    <w:p w14:paraId="72EB75E1" w14:textId="77777777" w:rsidR="004B2808" w:rsidRDefault="00000000">
      <w:pPr>
        <w:pStyle w:val="Author-eListParagraph"/>
        <w:numPr>
          <w:ilvl w:val="0"/>
          <w:numId w:val="108"/>
        </w:numPr>
      </w:pPr>
      <w:r>
        <w:t>du dimensionnement et du calepinage des panneaux en fonction des plans de principe joints au dossier ;</w:t>
      </w:r>
    </w:p>
    <w:p w14:paraId="4E162190" w14:textId="77777777" w:rsidR="004B2808" w:rsidRDefault="00000000">
      <w:pPr>
        <w:pStyle w:val="Author-eListParagraph"/>
        <w:numPr>
          <w:ilvl w:val="0"/>
          <w:numId w:val="108"/>
        </w:numPr>
      </w:pPr>
      <w:r>
        <w:t>de l’intégration des éventuelles motorisations, portes et accessoires décrits ci-après.</w:t>
      </w:r>
    </w:p>
    <w:p w14:paraId="42126FA6" w14:textId="77777777" w:rsidR="004B2808" w:rsidRDefault="00000000">
      <w:pPr>
        <w:jc w:val="both"/>
      </w:pPr>
      <w:r>
        <w:t>L’ensemble des notes de calcul et des plans de détail sont soumis à l’approbation de la direction des travaux.</w:t>
      </w:r>
    </w:p>
    <w:p w14:paraId="58520114" w14:textId="77777777" w:rsidR="004B2808" w:rsidRDefault="00000000">
      <w:pPr>
        <w:pStyle w:val="pheading"/>
      </w:pPr>
      <w:r>
        <w:t>MATÉRIAUX</w:t>
      </w:r>
    </w:p>
    <w:p w14:paraId="5D004AEF" w14:textId="77777777" w:rsidR="004B2808" w:rsidRDefault="00000000">
      <w:pPr>
        <w:pStyle w:val="pheading"/>
      </w:pPr>
      <w:r>
        <w:t>- Caractéristiques générales</w:t>
      </w:r>
    </w:p>
    <w:p w14:paraId="6F479786" w14:textId="77777777" w:rsidR="004B2808" w:rsidRDefault="00000000">
      <w:pPr>
        <w:jc w:val="both"/>
      </w:pPr>
      <w:r>
        <w:rPr>
          <w:b/>
        </w:rPr>
        <w:t>Rail(s) de support et de guidage</w:t>
      </w:r>
    </w:p>
    <w:p w14:paraId="288CF4AE" w14:textId="77777777" w:rsidR="004B2808" w:rsidRDefault="00000000">
      <w:pPr>
        <w:pStyle w:val="Author-eListParagraph"/>
        <w:numPr>
          <w:ilvl w:val="0"/>
          <w:numId w:val="109"/>
        </w:numPr>
      </w:pPr>
      <w:r>
        <w:t>Type d’ancrage et dimensions : à déterminer par le fabricant du système et à soumettre à l’approbation de la direction du chantier.</w:t>
      </w:r>
    </w:p>
    <w:p w14:paraId="42937A92" w14:textId="77777777" w:rsidR="004B2808" w:rsidRDefault="00000000">
      <w:pPr>
        <w:pStyle w:val="Author-eListParagraph"/>
        <w:numPr>
          <w:ilvl w:val="0"/>
          <w:numId w:val="109"/>
        </w:numPr>
      </w:pPr>
      <w:r>
        <w:t xml:space="preserve">Positionnement par rapport au plafond de finition : </w:t>
      </w:r>
      <w:r>
        <w:rPr>
          <w:rStyle w:val="optioncarChar"/>
        </w:rPr>
        <w:t xml:space="preserve">saillant </w:t>
      </w:r>
      <w:r>
        <w:t xml:space="preserve">(par défaut) </w:t>
      </w:r>
      <w:r>
        <w:rPr>
          <w:rStyle w:val="optioncarChar"/>
        </w:rPr>
        <w:t>/ non saillant.</w:t>
      </w:r>
    </w:p>
    <w:p w14:paraId="2ED21832" w14:textId="77777777" w:rsidR="004B2808" w:rsidRDefault="00000000">
      <w:pPr>
        <w:ind w:left="567"/>
        <w:jc w:val="both"/>
      </w:pPr>
      <w:r>
        <w:rPr>
          <w:b/>
        </w:rPr>
        <w:t>(soit par défaut)</w:t>
      </w:r>
    </w:p>
    <w:p w14:paraId="4CF6F1E2" w14:textId="77777777" w:rsidR="004B2808" w:rsidRDefault="00000000">
      <w:pPr>
        <w:ind w:left="567"/>
        <w:jc w:val="both"/>
      </w:pPr>
      <w:r>
        <w:rPr>
          <w:rStyle w:val="soitChar"/>
          <w:u w:val="single"/>
        </w:rPr>
        <w:t>Saillant :</w:t>
      </w:r>
    </w:p>
    <w:p w14:paraId="38AA3C06" w14:textId="77777777" w:rsidR="004B2808" w:rsidRDefault="00000000">
      <w:pPr>
        <w:pStyle w:val="Author-eListParagraph"/>
        <w:numPr>
          <w:ilvl w:val="1"/>
          <w:numId w:val="110"/>
        </w:numPr>
      </w:pPr>
      <w:r>
        <w:rPr>
          <w:rStyle w:val="soitChar"/>
        </w:rPr>
        <w:t xml:space="preserve">Hauteur du débordement : </w:t>
      </w:r>
      <w:r>
        <w:rPr>
          <w:rStyle w:val="optioncarChar"/>
        </w:rPr>
        <w:t xml:space="preserve">80 </w:t>
      </w:r>
      <w:r>
        <w:t>(par défaut)</w:t>
      </w:r>
      <w:r>
        <w:rPr>
          <w:rStyle w:val="optioncarChar"/>
        </w:rPr>
        <w:t xml:space="preserve"> / ***</w:t>
      </w:r>
      <w:r>
        <w:rPr>
          <w:rStyle w:val="soitChar"/>
        </w:rPr>
        <w:t xml:space="preserve"> mm.</w:t>
      </w:r>
    </w:p>
    <w:p w14:paraId="75CD929C" w14:textId="77777777" w:rsidR="004B2808" w:rsidRDefault="00000000">
      <w:pPr>
        <w:pStyle w:val="Author-eListParagraph"/>
        <w:numPr>
          <w:ilvl w:val="1"/>
          <w:numId w:val="110"/>
        </w:numPr>
      </w:pPr>
      <w:r>
        <w:rPr>
          <w:rStyle w:val="soitChar"/>
        </w:rPr>
        <w:t>Réglage d’ajustement en hauteur :</w:t>
      </w:r>
      <w:r>
        <w:rPr>
          <w:rStyle w:val="optioncarChar"/>
        </w:rPr>
        <w:t xml:space="preserve">30 </w:t>
      </w:r>
      <w:r>
        <w:t>(par défaut)</w:t>
      </w:r>
      <w:r>
        <w:rPr>
          <w:rStyle w:val="optioncarChar"/>
        </w:rPr>
        <w:t xml:space="preserve"> / ***</w:t>
      </w:r>
      <w:r>
        <w:t> </w:t>
      </w:r>
      <w:r>
        <w:rPr>
          <w:rStyle w:val="soitChar"/>
        </w:rPr>
        <w:t>mm.</w:t>
      </w:r>
    </w:p>
    <w:p w14:paraId="6A7E621B" w14:textId="77777777" w:rsidR="004B2808" w:rsidRDefault="00000000">
      <w:pPr>
        <w:ind w:left="567"/>
        <w:jc w:val="both"/>
      </w:pPr>
      <w:r>
        <w:rPr>
          <w:b/>
        </w:rPr>
        <w:t>(soit)</w:t>
      </w:r>
    </w:p>
    <w:p w14:paraId="0D869455" w14:textId="77777777" w:rsidR="004B2808" w:rsidRDefault="00000000">
      <w:pPr>
        <w:ind w:left="567"/>
        <w:jc w:val="both"/>
      </w:pPr>
      <w:r>
        <w:rPr>
          <w:rStyle w:val="soitChar"/>
          <w:u w:val="single"/>
        </w:rPr>
        <w:t>Non saillant :</w:t>
      </w:r>
    </w:p>
    <w:p w14:paraId="7EF53147" w14:textId="77777777" w:rsidR="004B2808" w:rsidRDefault="00000000">
      <w:pPr>
        <w:pStyle w:val="Author-eListParagraph"/>
        <w:numPr>
          <w:ilvl w:val="1"/>
          <w:numId w:val="111"/>
        </w:numPr>
      </w:pPr>
      <w:r>
        <w:rPr>
          <w:rStyle w:val="soitChar"/>
        </w:rPr>
        <w:t>Hauteur du débordement : néant.</w:t>
      </w:r>
    </w:p>
    <w:p w14:paraId="1F707E09" w14:textId="77777777" w:rsidR="004B2808" w:rsidRDefault="00000000">
      <w:pPr>
        <w:jc w:val="both"/>
      </w:pPr>
      <w:r>
        <w:t xml:space="preserve">En partie basse : </w:t>
      </w:r>
      <w:r>
        <w:rPr>
          <w:rStyle w:val="optioncarChar"/>
        </w:rPr>
        <w:t>pas de rail de guidage au sol</w:t>
      </w:r>
      <w:r>
        <w:t xml:space="preserve"> (par défaut) </w:t>
      </w:r>
      <w:r>
        <w:rPr>
          <w:rStyle w:val="optioncarChar"/>
        </w:rPr>
        <w:t>/ barre de seuil porteuse</w:t>
      </w:r>
      <w:r>
        <w:t>.</w:t>
      </w:r>
    </w:p>
    <w:p w14:paraId="399FE1E2" w14:textId="77777777" w:rsidR="004B2808" w:rsidRDefault="00000000">
      <w:pPr>
        <w:jc w:val="both"/>
      </w:pPr>
      <w:r>
        <w:rPr>
          <w:b/>
        </w:rPr>
        <w:t>(soit par défaut)</w:t>
      </w:r>
    </w:p>
    <w:p w14:paraId="45A960EF" w14:textId="77777777" w:rsidR="004B2808" w:rsidRDefault="00000000">
      <w:pPr>
        <w:jc w:val="both"/>
      </w:pPr>
      <w:r>
        <w:rPr>
          <w:rStyle w:val="soitChar"/>
          <w:u w:val="single"/>
        </w:rPr>
        <w:lastRenderedPageBreak/>
        <w:t>Pas de rail de guidage au sol :</w:t>
      </w:r>
    </w:p>
    <w:p w14:paraId="0DF895C2" w14:textId="77777777" w:rsidR="004B2808" w:rsidRDefault="00000000">
      <w:pPr>
        <w:jc w:val="both"/>
      </w:pPr>
      <w:r>
        <w:rPr>
          <w:rStyle w:val="soitChar"/>
        </w:rPr>
        <w:t>Le mouvement et l’étanchéité des éléments mobiles sont rendus possible par l’intégration de plinthes télescopiques mobiles.</w:t>
      </w:r>
    </w:p>
    <w:p w14:paraId="1495DA4B" w14:textId="77777777" w:rsidR="004B2808" w:rsidRDefault="00000000">
      <w:pPr>
        <w:jc w:val="both"/>
      </w:pPr>
      <w:r>
        <w:rPr>
          <w:b/>
        </w:rPr>
        <w:t>(soit)</w:t>
      </w:r>
    </w:p>
    <w:p w14:paraId="53E4262B" w14:textId="77777777" w:rsidR="004B2808" w:rsidRDefault="00000000">
      <w:pPr>
        <w:jc w:val="both"/>
      </w:pPr>
      <w:r>
        <w:rPr>
          <w:rStyle w:val="soitChar"/>
          <w:u w:val="single"/>
        </w:rPr>
        <w:t>Barre de seuil porteuse :</w:t>
      </w:r>
    </w:p>
    <w:p w14:paraId="72991EED" w14:textId="77777777" w:rsidR="004B2808" w:rsidRDefault="00000000">
      <w:pPr>
        <w:jc w:val="both"/>
      </w:pPr>
      <w:r>
        <w:rPr>
          <w:rStyle w:val="soitChar"/>
        </w:rPr>
        <w:t>Barre de seuil porteuse en aluminium partiellement insérée dans le revêtement de sol intégrant un chariot à roulettes.</w:t>
      </w:r>
    </w:p>
    <w:p w14:paraId="77446C18" w14:textId="77777777" w:rsidR="004B2808" w:rsidRDefault="00000000">
      <w:pPr>
        <w:pStyle w:val="Author-eListParagraph"/>
        <w:numPr>
          <w:ilvl w:val="0"/>
          <w:numId w:val="112"/>
        </w:numPr>
      </w:pPr>
      <w:r>
        <w:rPr>
          <w:rStyle w:val="soitChar"/>
        </w:rPr>
        <w:t>Hauteur totale :  </w:t>
      </w:r>
      <w:r>
        <w:rPr>
          <w:rStyle w:val="optioncarChar"/>
        </w:rPr>
        <w:t xml:space="preserve">9 </w:t>
      </w:r>
      <w:r>
        <w:t>(par défaut)</w:t>
      </w:r>
      <w:r>
        <w:rPr>
          <w:rStyle w:val="optioncarChar"/>
        </w:rPr>
        <w:t xml:space="preserve"> / ***</w:t>
      </w:r>
      <w:r>
        <w:rPr>
          <w:rStyle w:val="soitChar"/>
        </w:rPr>
        <w:t xml:space="preserve"> mm</w:t>
      </w:r>
    </w:p>
    <w:p w14:paraId="16F3DA9E" w14:textId="77777777" w:rsidR="004B2808" w:rsidRDefault="00000000">
      <w:pPr>
        <w:pStyle w:val="Author-eListParagraph"/>
        <w:numPr>
          <w:ilvl w:val="0"/>
          <w:numId w:val="112"/>
        </w:numPr>
      </w:pPr>
      <w:r>
        <w:rPr>
          <w:rStyle w:val="soitChar"/>
        </w:rPr>
        <w:t xml:space="preserve">Saillie : </w:t>
      </w:r>
      <w:r>
        <w:rPr>
          <w:rStyle w:val="optioncarChar"/>
        </w:rPr>
        <w:t>4</w:t>
      </w:r>
      <w:r>
        <w:t xml:space="preserve"> (par défaut)</w:t>
      </w:r>
      <w:r>
        <w:rPr>
          <w:rStyle w:val="optioncarChar"/>
        </w:rPr>
        <w:t xml:space="preserve"> / ***</w:t>
      </w:r>
      <w:r>
        <w:rPr>
          <w:rStyle w:val="soitChar"/>
        </w:rPr>
        <w:t xml:space="preserve"> mm</w:t>
      </w:r>
    </w:p>
    <w:p w14:paraId="2416A9A8" w14:textId="77777777" w:rsidR="004B2808" w:rsidRDefault="00000000">
      <w:pPr>
        <w:pStyle w:val="Author-eListParagraph"/>
        <w:numPr>
          <w:ilvl w:val="0"/>
          <w:numId w:val="112"/>
        </w:numPr>
      </w:pPr>
      <w:r>
        <w:rPr>
          <w:rStyle w:val="soitChar"/>
        </w:rPr>
        <w:t xml:space="preserve">Largeur totale : </w:t>
      </w:r>
      <w:r>
        <w:rPr>
          <w:rStyle w:val="optioncarChar"/>
        </w:rPr>
        <w:t>100</w:t>
      </w:r>
      <w:r>
        <w:t xml:space="preserve"> (par défaut) </w:t>
      </w:r>
      <w:r>
        <w:rPr>
          <w:rStyle w:val="optioncarChar"/>
        </w:rPr>
        <w:t>/ ***</w:t>
      </w:r>
      <w:r>
        <w:rPr>
          <w:rStyle w:val="soitChar"/>
        </w:rPr>
        <w:t xml:space="preserve"> mm.</w:t>
      </w:r>
    </w:p>
    <w:p w14:paraId="147745BC" w14:textId="77777777" w:rsidR="004B2808" w:rsidRDefault="00000000">
      <w:pPr>
        <w:jc w:val="both"/>
      </w:pPr>
      <w:r>
        <w:rPr>
          <w:b/>
        </w:rPr>
        <w:t>Panneau</w:t>
      </w:r>
    </w:p>
    <w:p w14:paraId="3EBAFD83" w14:textId="77777777" w:rsidR="004B2808" w:rsidRDefault="00000000">
      <w:pPr>
        <w:jc w:val="both"/>
      </w:pPr>
      <w:r>
        <w:t xml:space="preserve">Les cloisons mobiles sont constituées d’éléments </w:t>
      </w:r>
      <w:r>
        <w:rPr>
          <w:rStyle w:val="optioncarChar"/>
        </w:rPr>
        <w:t>pleins</w:t>
      </w:r>
      <w:r>
        <w:t xml:space="preserve"> (par défaut) </w:t>
      </w:r>
      <w:r>
        <w:rPr>
          <w:rStyle w:val="optioncarChar"/>
        </w:rPr>
        <w:t>/ vitrés</w:t>
      </w:r>
      <w:r>
        <w:t>.</w:t>
      </w:r>
    </w:p>
    <w:p w14:paraId="269C579E" w14:textId="77777777" w:rsidR="004B2808" w:rsidRDefault="00000000">
      <w:pPr>
        <w:jc w:val="both"/>
      </w:pPr>
      <w:r>
        <w:rPr>
          <w:b/>
        </w:rPr>
        <w:t>(soit par défaut)</w:t>
      </w:r>
    </w:p>
    <w:p w14:paraId="56DA17BF" w14:textId="77777777" w:rsidR="004B2808" w:rsidRDefault="00000000">
      <w:pPr>
        <w:jc w:val="both"/>
      </w:pPr>
      <w:r>
        <w:rPr>
          <w:rStyle w:val="soitChar"/>
          <w:u w:val="single"/>
        </w:rPr>
        <w:t>Pleins :</w:t>
      </w:r>
    </w:p>
    <w:p w14:paraId="07CDE1F1" w14:textId="77777777" w:rsidR="004B2808" w:rsidRDefault="00000000">
      <w:pPr>
        <w:jc w:val="both"/>
      </w:pPr>
      <w:r>
        <w:rPr>
          <w:rStyle w:val="soitChar"/>
        </w:rPr>
        <w:t>Les éléments pleins sont composés de panneaux composites fermés comprenant une ossature en métal destinée à être revêtue de panneaux de structure et intégrant un isolant.</w:t>
      </w:r>
    </w:p>
    <w:p w14:paraId="00618F14" w14:textId="77777777" w:rsidR="004B2808" w:rsidRDefault="00000000">
      <w:pPr>
        <w:pStyle w:val="Author-eListParagraph"/>
        <w:numPr>
          <w:ilvl w:val="0"/>
          <w:numId w:val="113"/>
        </w:numPr>
      </w:pPr>
      <w:r>
        <w:rPr>
          <w:rStyle w:val="soitChar"/>
        </w:rPr>
        <w:t>Panneau de structure : les panneaux à base de bois utilisés pour les cloisons mobiles sont choisis en tenant compte des classes de service. Cette analyse est reprise dans le [Buildwise Article Dossier (2015/2.20)]. Suivant l’usage et le type de cloison, ils sont constitués de panneaux de particules, de MDF ou d’OSB et sont ensuite recouverts d’un panneau de finition.</w:t>
      </w:r>
    </w:p>
    <w:p w14:paraId="39BAB268" w14:textId="77777777" w:rsidR="004B2808" w:rsidRDefault="00000000">
      <w:pPr>
        <w:pStyle w:val="Author-eListParagraph"/>
        <w:numPr>
          <w:ilvl w:val="0"/>
          <w:numId w:val="113"/>
        </w:numPr>
      </w:pPr>
      <w:r>
        <w:rPr>
          <w:rStyle w:val="soitChar"/>
        </w:rPr>
        <w:t xml:space="preserve">Remplissage isolant : </w:t>
      </w:r>
      <w:r>
        <w:rPr>
          <w:rStyle w:val="optioncarChar"/>
        </w:rPr>
        <w:t xml:space="preserve">à soumettre pour approbation par le fabricant en fonction des performances prescrites pour l’ensemble de la cloison </w:t>
      </w:r>
      <w:r>
        <w:t>(par défaut)</w:t>
      </w:r>
      <w:r>
        <w:rPr>
          <w:rStyle w:val="optioncarChar"/>
        </w:rPr>
        <w:t xml:space="preserve"> / laine de roche haute densité / mousse acoustique MDI / ***.</w:t>
      </w:r>
    </w:p>
    <w:p w14:paraId="4A5B05D7" w14:textId="77777777" w:rsidR="004B2808" w:rsidRDefault="00000000">
      <w:pPr>
        <w:jc w:val="both"/>
      </w:pPr>
      <w:r>
        <w:rPr>
          <w:b/>
        </w:rPr>
        <w:t>(soit)</w:t>
      </w:r>
    </w:p>
    <w:p w14:paraId="20FBEAF7" w14:textId="77777777" w:rsidR="004B2808" w:rsidRDefault="00000000">
      <w:pPr>
        <w:jc w:val="both"/>
      </w:pPr>
      <w:r>
        <w:rPr>
          <w:rStyle w:val="soitChar"/>
          <w:u w:val="single"/>
        </w:rPr>
        <w:t>Vitrés :</w:t>
      </w:r>
    </w:p>
    <w:p w14:paraId="7B71C1BF" w14:textId="77777777" w:rsidR="004B2808" w:rsidRDefault="00000000">
      <w:pPr>
        <w:jc w:val="both"/>
      </w:pPr>
      <w:r>
        <w:rPr>
          <w:rStyle w:val="soitChar"/>
        </w:rPr>
        <w:t>Les éléments vitrés sont composés d’un cadre aluminium ou en acier ≥ à 90 mm d’épaisseur, recevant un simple ou un double vitrage trempé d’une épaisseur ≥ à 6 mm où feuilletés d’une épaisseur ≥ à 8 mm suivant [NBN S 23-002/A1].</w:t>
      </w:r>
    </w:p>
    <w:p w14:paraId="5622A92E" w14:textId="77777777" w:rsidR="004B2808" w:rsidRDefault="004B2808">
      <w:pPr>
        <w:jc w:val="both"/>
      </w:pPr>
    </w:p>
    <w:p w14:paraId="0AC14007" w14:textId="77777777" w:rsidR="004B2808" w:rsidRDefault="00000000">
      <w:pPr>
        <w:pStyle w:val="Author-eListParagraph"/>
        <w:numPr>
          <w:ilvl w:val="0"/>
          <w:numId w:val="114"/>
        </w:numPr>
      </w:pPr>
      <w:r>
        <w:rPr>
          <w:rStyle w:val="soitChar"/>
        </w:rPr>
        <w:t>Type de vitrage :</w:t>
      </w:r>
      <w:r>
        <w:rPr>
          <w:rStyle w:val="optioncarChar"/>
        </w:rPr>
        <w:t xml:space="preserve"> verre de sécurité simple </w:t>
      </w:r>
      <w:r>
        <w:t xml:space="preserve">(par défaut) </w:t>
      </w:r>
      <w:r>
        <w:rPr>
          <w:rStyle w:val="optioncarChar"/>
        </w:rPr>
        <w:t>/ double / ***.</w:t>
      </w:r>
      <w:r>
        <w:br/>
      </w:r>
    </w:p>
    <w:p w14:paraId="32C1F8C0" w14:textId="77777777" w:rsidR="004B2808" w:rsidRDefault="00000000">
      <w:pPr>
        <w:pStyle w:val="Author-eListParagraph"/>
        <w:numPr>
          <w:ilvl w:val="0"/>
          <w:numId w:val="115"/>
        </w:numPr>
      </w:pPr>
      <w:r>
        <w:t xml:space="preserve">Dimensions de la cloison mobile : </w:t>
      </w:r>
      <w:r>
        <w:rPr>
          <w:rStyle w:val="optioncarChar"/>
        </w:rPr>
        <w:t>voir métré détaillé et plans</w:t>
      </w:r>
      <w:r>
        <w:t xml:space="preserve"> (par défaut) </w:t>
      </w:r>
      <w:r>
        <w:rPr>
          <w:rStyle w:val="optioncarChar"/>
        </w:rPr>
        <w:t>/ *** x *** cm / ***</w:t>
      </w:r>
      <w:r>
        <w:t>.</w:t>
      </w:r>
    </w:p>
    <w:p w14:paraId="5670BE08" w14:textId="77777777" w:rsidR="004B2808" w:rsidRDefault="00000000">
      <w:pPr>
        <w:pStyle w:val="Author-eListParagraph"/>
        <w:numPr>
          <w:ilvl w:val="0"/>
          <w:numId w:val="115"/>
        </w:numPr>
        <w:jc w:val="both"/>
      </w:pPr>
      <w:r>
        <w:t>Largeur des panneaux :</w:t>
      </w:r>
      <w:r>
        <w:rPr>
          <w:rStyle w:val="optioncarChar"/>
        </w:rPr>
        <w:t xml:space="preserve"> à soumettre pour approbation par le fabricant en fonction des plans de principe joints au dossier</w:t>
      </w:r>
      <w:r>
        <w:t xml:space="preserve"> (par défaut) </w:t>
      </w:r>
      <w:r>
        <w:rPr>
          <w:rStyle w:val="optioncarChar"/>
        </w:rPr>
        <w:t xml:space="preserve"> /  600 / 1200 / 1300 / *** mm</w:t>
      </w:r>
      <w:r>
        <w:t>.</w:t>
      </w:r>
    </w:p>
    <w:p w14:paraId="3E372268" w14:textId="77777777" w:rsidR="004B2808" w:rsidRDefault="00000000">
      <w:pPr>
        <w:pStyle w:val="Author-eListParagraph"/>
        <w:numPr>
          <w:ilvl w:val="0"/>
          <w:numId w:val="115"/>
        </w:numPr>
        <w:jc w:val="both"/>
      </w:pPr>
      <w:r>
        <w:t xml:space="preserve">Epaisseur des panneaux : </w:t>
      </w:r>
      <w:r>
        <w:rPr>
          <w:rStyle w:val="optioncarChar"/>
        </w:rPr>
        <w:t xml:space="preserve">à soumettre pour approbation par le fabricant en fonction des plans de principes joints au dossier et des performances prescrites pour l’ensemble de la cloison </w:t>
      </w:r>
      <w:r>
        <w:t>(par défaut)</w:t>
      </w:r>
      <w:r>
        <w:rPr>
          <w:rStyle w:val="optioncarChar"/>
        </w:rPr>
        <w:t>  /  90 / 110 / *** mm.</w:t>
      </w:r>
    </w:p>
    <w:p w14:paraId="642FC007" w14:textId="77777777" w:rsidR="004B2808" w:rsidRDefault="00000000">
      <w:pPr>
        <w:pStyle w:val="Author-eListParagraph"/>
        <w:numPr>
          <w:ilvl w:val="0"/>
          <w:numId w:val="115"/>
        </w:numPr>
        <w:jc w:val="both"/>
      </w:pPr>
      <w:r>
        <w:t>Finition verticale : des profils visibles ou encastrés en aluminium assurent la protection des chants. Leurs formes concave/convexe ou à tenons et mortaises permettent par leur emboîtement l’alignement et la stabilité des éléments. Des joints souples complètent l’étanchéité. Aucune visserie n’est apparente.</w:t>
      </w:r>
    </w:p>
    <w:p w14:paraId="16E6BAFD" w14:textId="77777777" w:rsidR="004B2808" w:rsidRDefault="00000000">
      <w:pPr>
        <w:pStyle w:val="Author-eListParagraph"/>
        <w:numPr>
          <w:ilvl w:val="0"/>
          <w:numId w:val="115"/>
        </w:numPr>
        <w:jc w:val="both"/>
      </w:pPr>
      <w:r>
        <w:t xml:space="preserve">Finition horizontale : des plinthes télescopiques mobiles (haute et basse) comportant des joints souples complètent l’étanchéité de chaque élément. Leur mouvement est commandé par l’intermédiaire d’un mécanisme interne et la pression exercée par le mécanisme pour assurer la stabilité et l’étanchéité des panneaux est ≥ à </w:t>
      </w:r>
      <w:r>
        <w:rPr>
          <w:rStyle w:val="optioncarChar"/>
        </w:rPr>
        <w:t xml:space="preserve">120 </w:t>
      </w:r>
      <w:r>
        <w:t>(par défaut)</w:t>
      </w:r>
      <w:r>
        <w:rPr>
          <w:rStyle w:val="optioncarChar"/>
        </w:rPr>
        <w:t xml:space="preserve"> / ***</w:t>
      </w:r>
      <w:r>
        <w:t xml:space="preserve"> kg/m. La course des plinthes oscille entre 20 et 40 mm afin de compenser les éventuelles déclivités du sol.</w:t>
      </w:r>
    </w:p>
    <w:p w14:paraId="2CA04BB6" w14:textId="77777777" w:rsidR="004B2808" w:rsidRDefault="00000000">
      <w:pPr>
        <w:pStyle w:val="Author-eListParagraph"/>
        <w:numPr>
          <w:ilvl w:val="0"/>
          <w:numId w:val="115"/>
        </w:numPr>
        <w:jc w:val="both"/>
      </w:pPr>
      <w:r>
        <w:lastRenderedPageBreak/>
        <w:t>Raccordements mural : chaque extrémité de la cloison est équipée de deux profils d’ajustement fixes assurant l’étanchéité phonique avec les parois adjacentes. Des joints souples complètent l’étanchéité.</w:t>
      </w:r>
    </w:p>
    <w:p w14:paraId="1C8549C1" w14:textId="77777777" w:rsidR="004B2808" w:rsidRDefault="00000000">
      <w:pPr>
        <w:pStyle w:val="Author-eListParagraph"/>
        <w:numPr>
          <w:ilvl w:val="0"/>
          <w:numId w:val="115"/>
        </w:numPr>
        <w:jc w:val="both"/>
      </w:pPr>
      <w:r>
        <w:t xml:space="preserve">Panneaux : </w:t>
      </w:r>
      <w:r>
        <w:rPr>
          <w:rStyle w:val="optioncarChar"/>
        </w:rPr>
        <w:t>indépendants</w:t>
      </w:r>
      <w:r>
        <w:t xml:space="preserve"> (par défaut)</w:t>
      </w:r>
      <w:r>
        <w:rPr>
          <w:rStyle w:val="optioncarChar"/>
        </w:rPr>
        <w:t xml:space="preserve"> / jumelés par 2 / jumelés par 3 / ***</w:t>
      </w:r>
      <w:r>
        <w:t>.</w:t>
      </w:r>
    </w:p>
    <w:p w14:paraId="406B3346" w14:textId="77777777" w:rsidR="004B2808" w:rsidRDefault="00000000">
      <w:pPr>
        <w:pStyle w:val="Author-eListParagraph"/>
        <w:numPr>
          <w:ilvl w:val="0"/>
          <w:numId w:val="115"/>
        </w:numPr>
        <w:jc w:val="both"/>
      </w:pPr>
      <w:r>
        <w:t xml:space="preserve">Indice d’affaiblissement acoustique Rw : ≥ </w:t>
      </w:r>
      <w:r>
        <w:rPr>
          <w:rStyle w:val="optioncarChar"/>
        </w:rPr>
        <w:t xml:space="preserve">35 </w:t>
      </w:r>
      <w:r>
        <w:t xml:space="preserve">(par défaut) </w:t>
      </w:r>
      <w:r>
        <w:rPr>
          <w:rStyle w:val="optioncarChar"/>
        </w:rPr>
        <w:t>/ 45 / 55 / 60 / ***</w:t>
      </w:r>
      <w:r>
        <w:t xml:space="preserve"> dB.</w:t>
      </w:r>
    </w:p>
    <w:p w14:paraId="6B9AED2D" w14:textId="77777777" w:rsidR="004B2808" w:rsidRDefault="00000000">
      <w:pPr>
        <w:pStyle w:val="Author-eListParagraph"/>
        <w:numPr>
          <w:ilvl w:val="0"/>
          <w:numId w:val="115"/>
        </w:numPr>
        <w:jc w:val="both"/>
      </w:pPr>
      <w:r>
        <w:t xml:space="preserve">Résistance thermique de la cloison RT : </w:t>
      </w:r>
      <w:r>
        <w:rPr>
          <w:rStyle w:val="optioncarChar"/>
        </w:rPr>
        <w:t xml:space="preserve">néant </w:t>
      </w:r>
      <w:r>
        <w:t>(par défaut)</w:t>
      </w:r>
      <w:r>
        <w:rPr>
          <w:rStyle w:val="optioncarChar"/>
        </w:rPr>
        <w:t xml:space="preserve"> / ***</w:t>
      </w:r>
      <w:r>
        <w:t>.</w:t>
      </w:r>
    </w:p>
    <w:p w14:paraId="3189D501" w14:textId="77777777" w:rsidR="004B2808" w:rsidRDefault="00000000">
      <w:pPr>
        <w:pStyle w:val="Author-eListParagraph"/>
        <w:numPr>
          <w:ilvl w:val="0"/>
          <w:numId w:val="115"/>
        </w:numPr>
        <w:jc w:val="both"/>
      </w:pPr>
      <w:r>
        <w:t xml:space="preserve">Résistance au feu : </w:t>
      </w:r>
      <w:r>
        <w:rPr>
          <w:rStyle w:val="optioncarChar"/>
        </w:rPr>
        <w:t xml:space="preserve">néant (pas de résistance au feu requise) </w:t>
      </w:r>
      <w:r>
        <w:t xml:space="preserve">(par défaut) </w:t>
      </w:r>
      <w:r>
        <w:rPr>
          <w:rStyle w:val="optioncarChar"/>
        </w:rPr>
        <w:t>/ EI 30 / EI 60 / ***</w:t>
      </w:r>
      <w:r>
        <w:t xml:space="preserve"> selon la [NBN EN 13501-2]. Les rails de support, les fixations, la composition des panneaux et la technique de pose sont déterminés par le fabricant en respect des conditions mentionnées dans le(s) rapport(s) d'essai établi suivant la norme [NBN EN 13501-2] accompagnant obligatoirement la fiche technique du produit.</w:t>
      </w:r>
    </w:p>
    <w:p w14:paraId="0FBD525F" w14:textId="77777777" w:rsidR="004B2808" w:rsidRDefault="00000000">
      <w:pPr>
        <w:pStyle w:val="Author-eListParagraph"/>
        <w:numPr>
          <w:ilvl w:val="0"/>
          <w:numId w:val="115"/>
        </w:numPr>
        <w:jc w:val="both"/>
      </w:pPr>
      <w:r>
        <w:t xml:space="preserve">Performances d’endurance : </w:t>
      </w:r>
      <w:r>
        <w:rPr>
          <w:rStyle w:val="optioncarChar"/>
        </w:rPr>
        <w:t>classe 3 (10 000 cycles d’ouverture)</w:t>
      </w:r>
      <w:r>
        <w:t xml:space="preserve"> (par défaut) </w:t>
      </w:r>
      <w:r>
        <w:rPr>
          <w:rStyle w:val="optioncarChar"/>
        </w:rPr>
        <w:t>/ classe 1 (2000 cycles d’ouverture) / classe 2 (5000 cycles d’ouverture) / ***</w:t>
      </w:r>
      <w:r>
        <w:t xml:space="preserve"> suivant les [NBN EN 14201] pour les manœuvres manuelles et [NBN EN 14202] pour les manœuvres motorisées.</w:t>
      </w:r>
    </w:p>
    <w:p w14:paraId="6D0DB32B" w14:textId="77777777" w:rsidR="004B2808" w:rsidRDefault="00000000">
      <w:pPr>
        <w:jc w:val="both"/>
      </w:pPr>
      <w:r>
        <w:rPr>
          <w:b/>
        </w:rPr>
        <w:t>Verrouillage </w:t>
      </w:r>
    </w:p>
    <w:p w14:paraId="419F5C5A" w14:textId="77777777" w:rsidR="004B2808" w:rsidRDefault="00000000">
      <w:pPr>
        <w:jc w:val="both"/>
      </w:pPr>
      <w:r>
        <w:t xml:space="preserve">Le verrouillage total du mur est : </w:t>
      </w:r>
      <w:r>
        <w:rPr>
          <w:rStyle w:val="optioncarChar"/>
        </w:rPr>
        <w:t>manuel</w:t>
      </w:r>
      <w:r>
        <w:t xml:space="preserve"> (par défaut)</w:t>
      </w:r>
      <w:r>
        <w:rPr>
          <w:rStyle w:val="optioncarChar"/>
        </w:rPr>
        <w:t xml:space="preserve"> / semi-électrique / électrique / ***</w:t>
      </w:r>
      <w:r>
        <w:t>.</w:t>
      </w:r>
    </w:p>
    <w:p w14:paraId="19A6B98C" w14:textId="77777777" w:rsidR="004B2808" w:rsidRDefault="00000000">
      <w:pPr>
        <w:jc w:val="both"/>
      </w:pPr>
      <w:r>
        <w:rPr>
          <w:b/>
        </w:rPr>
        <w:t>(soit par défaut)</w:t>
      </w:r>
    </w:p>
    <w:p w14:paraId="2C28E2F6" w14:textId="77777777" w:rsidR="004B2808" w:rsidRDefault="00000000">
      <w:pPr>
        <w:jc w:val="both"/>
      </w:pPr>
      <w:r>
        <w:rPr>
          <w:rStyle w:val="soitChar"/>
          <w:u w:val="single"/>
        </w:rPr>
        <w:t>Manuel :</w:t>
      </w:r>
    </w:p>
    <w:p w14:paraId="3797CC90" w14:textId="77777777" w:rsidR="004B2808" w:rsidRDefault="00000000">
      <w:pPr>
        <w:jc w:val="both"/>
      </w:pPr>
      <w:r>
        <w:rPr>
          <w:rStyle w:val="soitChar"/>
        </w:rPr>
        <w:t>Les plinthes télescopiques des panneaux sont manœuvrées une à une par une manivelle indépendante permettant de libérer les panneaux et de les ranger ensuite un à un manuellement. La course et la pression sont réglables sur chantier.</w:t>
      </w:r>
    </w:p>
    <w:p w14:paraId="558F77F1" w14:textId="77777777" w:rsidR="004B2808" w:rsidRDefault="00000000">
      <w:pPr>
        <w:jc w:val="both"/>
      </w:pPr>
      <w:r>
        <w:rPr>
          <w:b/>
        </w:rPr>
        <w:t>(soit)</w:t>
      </w:r>
    </w:p>
    <w:p w14:paraId="7BF94B43" w14:textId="77777777" w:rsidR="004B2808" w:rsidRDefault="00000000">
      <w:pPr>
        <w:jc w:val="both"/>
      </w:pPr>
      <w:r>
        <w:rPr>
          <w:rStyle w:val="soitChar"/>
          <w:u w:val="single"/>
        </w:rPr>
        <w:t>Semi-électrique :</w:t>
      </w:r>
    </w:p>
    <w:p w14:paraId="25C94D11" w14:textId="77777777" w:rsidR="004B2808" w:rsidRDefault="00000000">
      <w:pPr>
        <w:jc w:val="both"/>
      </w:pPr>
      <w:r>
        <w:rPr>
          <w:rStyle w:val="soitChar"/>
        </w:rPr>
        <w:t>Les plinthes télescopiques des panneaux sont contrôlées électriquement permettant de libérer les panneaux et de les ranger ensuite un à un manuellement.</w:t>
      </w:r>
    </w:p>
    <w:p w14:paraId="369E453E" w14:textId="77777777" w:rsidR="004B2808" w:rsidRDefault="00000000">
      <w:pPr>
        <w:jc w:val="both"/>
      </w:pPr>
      <w:r>
        <w:rPr>
          <w:b/>
        </w:rPr>
        <w:t>(soit)</w:t>
      </w:r>
    </w:p>
    <w:p w14:paraId="70D31A9C" w14:textId="77777777" w:rsidR="004B2808" w:rsidRDefault="00000000">
      <w:pPr>
        <w:jc w:val="both"/>
      </w:pPr>
      <w:r>
        <w:rPr>
          <w:rStyle w:val="soitChar"/>
          <w:u w:val="single"/>
        </w:rPr>
        <w:t>Electrique (uniquement système avec rail inférieur) :</w:t>
      </w:r>
    </w:p>
    <w:p w14:paraId="6DB0D0A0" w14:textId="77777777" w:rsidR="004B2808" w:rsidRDefault="00000000">
      <w:pPr>
        <w:jc w:val="both"/>
      </w:pPr>
      <w:r>
        <w:rPr>
          <w:rStyle w:val="soitChar"/>
        </w:rPr>
        <w:t>La motorisation est conforme à la [NBN EN 60335-2-97] et répond aux exigences de sécurité d’utilisation, de vitesse d’entrainement et de compatibilité électromagnétique. La puissance est adaptée aux caractéristiques de la cloison mobile à actionner afin de respecter les exigences de sécurité et d’endurance.</w:t>
      </w:r>
    </w:p>
    <w:p w14:paraId="33407101" w14:textId="77777777" w:rsidR="004B2808" w:rsidRDefault="00000000">
      <w:pPr>
        <w:jc w:val="both"/>
      </w:pPr>
      <w:r>
        <w:rPr>
          <w:rStyle w:val="soitChar"/>
        </w:rPr>
        <w:t>La commande des plinthes télescopiques et du déplacement des panneaux dans la position souhaitée est entièrement contrôlée électriquement et programmable.</w:t>
      </w:r>
    </w:p>
    <w:p w14:paraId="4A3BF5F9" w14:textId="77777777" w:rsidR="004B2808" w:rsidRDefault="00000000">
      <w:pPr>
        <w:pStyle w:val="Author-eListParagraph"/>
        <w:numPr>
          <w:ilvl w:val="0"/>
          <w:numId w:val="116"/>
        </w:numPr>
      </w:pPr>
      <w:r>
        <w:rPr>
          <w:rStyle w:val="soitChar"/>
        </w:rPr>
        <w:t xml:space="preserve">Commande par </w:t>
      </w:r>
      <w:r>
        <w:rPr>
          <w:rStyle w:val="optioncarChar"/>
        </w:rPr>
        <w:t xml:space="preserve">panneau à touches </w:t>
      </w:r>
      <w:r>
        <w:t xml:space="preserve">(par défaut) </w:t>
      </w:r>
      <w:r>
        <w:rPr>
          <w:rStyle w:val="optioncarChar"/>
        </w:rPr>
        <w:t>/ écran tactile / application pour smartphone / ***</w:t>
      </w:r>
      <w:r>
        <w:rPr>
          <w:rStyle w:val="soitChar"/>
        </w:rPr>
        <w:t>.</w:t>
      </w:r>
    </w:p>
    <w:p w14:paraId="79583DA6" w14:textId="77777777" w:rsidR="004B2808" w:rsidRDefault="00000000">
      <w:pPr>
        <w:pStyle w:val="Author-eListParagraph"/>
        <w:numPr>
          <w:ilvl w:val="0"/>
          <w:numId w:val="116"/>
        </w:numPr>
      </w:pPr>
      <w:r>
        <w:rPr>
          <w:rStyle w:val="soitChar"/>
        </w:rPr>
        <w:t>Sécurité : arrêt du système en cas d’obstacle.</w:t>
      </w:r>
    </w:p>
    <w:p w14:paraId="49421499" w14:textId="77777777" w:rsidR="004B2808" w:rsidRDefault="00000000">
      <w:pPr>
        <w:pStyle w:val="Author-eListParagraph"/>
        <w:numPr>
          <w:ilvl w:val="0"/>
          <w:numId w:val="116"/>
        </w:numPr>
      </w:pPr>
      <w:r>
        <w:rPr>
          <w:rStyle w:val="soitChar"/>
        </w:rPr>
        <w:t xml:space="preserve">Vitesse de déplacement : </w:t>
      </w:r>
      <w:r>
        <w:rPr>
          <w:rStyle w:val="optioncarChar"/>
        </w:rPr>
        <w:t xml:space="preserve">0,20 </w:t>
      </w:r>
      <w:r>
        <w:t>(par défaut)</w:t>
      </w:r>
      <w:r>
        <w:rPr>
          <w:rStyle w:val="optioncarChar"/>
        </w:rPr>
        <w:t xml:space="preserve"> / ***</w:t>
      </w:r>
      <w:r>
        <w:rPr>
          <w:rStyle w:val="soitChar"/>
        </w:rPr>
        <w:t xml:space="preserve"> m/sec</w:t>
      </w:r>
    </w:p>
    <w:p w14:paraId="071CFED6" w14:textId="77777777" w:rsidR="004B2808" w:rsidRDefault="00000000">
      <w:pPr>
        <w:jc w:val="both"/>
      </w:pPr>
      <w:r>
        <w:rPr>
          <w:b/>
        </w:rPr>
        <w:t>(soit)</w:t>
      </w:r>
    </w:p>
    <w:p w14:paraId="7E6915A1" w14:textId="77777777" w:rsidR="004B2808" w:rsidRDefault="00000000">
      <w:pPr>
        <w:jc w:val="both"/>
      </w:pPr>
      <w:r>
        <w:rPr>
          <w:rStyle w:val="optioncarChar"/>
        </w:rPr>
        <w:t>***</w:t>
      </w:r>
    </w:p>
    <w:p w14:paraId="206FC30B" w14:textId="77777777" w:rsidR="004B2808" w:rsidRDefault="00000000">
      <w:pPr>
        <w:jc w:val="both"/>
      </w:pPr>
      <w:r>
        <w:rPr>
          <w:b/>
        </w:rPr>
        <w:t>Stockage des éléments</w:t>
      </w:r>
    </w:p>
    <w:p w14:paraId="7A9A32B7" w14:textId="77777777" w:rsidR="004B2808" w:rsidRDefault="00000000">
      <w:pPr>
        <w:jc w:val="both"/>
      </w:pPr>
      <w:r>
        <w:t xml:space="preserve">Le stockage des panneaux est prévu de manière compacte à une extrémité </w:t>
      </w:r>
      <w:r>
        <w:rPr>
          <w:rStyle w:val="optioncarChar"/>
        </w:rPr>
        <w:t xml:space="preserve">perpendiculairement </w:t>
      </w:r>
      <w:r>
        <w:t>(par défaut)</w:t>
      </w:r>
      <w:r>
        <w:rPr>
          <w:rStyle w:val="optioncarChar"/>
        </w:rPr>
        <w:t xml:space="preserve"> / parallèlement</w:t>
      </w:r>
      <w:r>
        <w:t xml:space="preserve"> au rail de support de la cloison mobile.</w:t>
      </w:r>
    </w:p>
    <w:p w14:paraId="08989FC1" w14:textId="77777777" w:rsidR="004B2808" w:rsidRDefault="00000000">
      <w:pPr>
        <w:jc w:val="both"/>
      </w:pPr>
      <w:r>
        <w:rPr>
          <w:b/>
        </w:rPr>
        <w:t>(soit par défaut)</w:t>
      </w:r>
    </w:p>
    <w:p w14:paraId="62355999" w14:textId="77777777" w:rsidR="004B2808" w:rsidRDefault="00000000">
      <w:pPr>
        <w:jc w:val="both"/>
      </w:pPr>
      <w:r>
        <w:rPr>
          <w:rStyle w:val="soitChar"/>
          <w:u w:val="single"/>
        </w:rPr>
        <w:t>Perpendiculairement :</w:t>
      </w:r>
    </w:p>
    <w:p w14:paraId="33BB1C0C" w14:textId="77777777" w:rsidR="004B2808" w:rsidRDefault="00000000">
      <w:pPr>
        <w:jc w:val="both"/>
      </w:pPr>
      <w:r>
        <w:rPr>
          <w:rStyle w:val="soitChar"/>
        </w:rPr>
        <w:t xml:space="preserve">Les panneaux à double suspente sont rangés perpendiculairement grâce à une translation dans une zone de stockage composée de </w:t>
      </w:r>
      <w:r>
        <w:rPr>
          <w:rStyle w:val="optioncarChar"/>
        </w:rPr>
        <w:t xml:space="preserve">2 rails en forme de H </w:t>
      </w:r>
      <w:r>
        <w:t>(par défaut)</w:t>
      </w:r>
      <w:r>
        <w:rPr>
          <w:rStyle w:val="optioncarChar"/>
        </w:rPr>
        <w:t xml:space="preserve"> / 4 rails en forme de double H / 1 rail en forme de L situé le long d’un mur / 2 rails en forme de Y pour intégration dans une niche / ***</w:t>
      </w:r>
      <w:r>
        <w:rPr>
          <w:rStyle w:val="soitChar"/>
        </w:rPr>
        <w:t>.</w:t>
      </w:r>
    </w:p>
    <w:p w14:paraId="2C2FCD8E" w14:textId="77777777" w:rsidR="004B2808" w:rsidRDefault="00000000">
      <w:pPr>
        <w:jc w:val="both"/>
      </w:pPr>
      <w:r>
        <w:rPr>
          <w:b/>
        </w:rPr>
        <w:lastRenderedPageBreak/>
        <w:t>(soit)</w:t>
      </w:r>
    </w:p>
    <w:p w14:paraId="40ED8838" w14:textId="77777777" w:rsidR="004B2808" w:rsidRDefault="00000000">
      <w:pPr>
        <w:jc w:val="both"/>
      </w:pPr>
      <w:r>
        <w:rPr>
          <w:rStyle w:val="soitChar"/>
          <w:u w:val="single"/>
        </w:rPr>
        <w:t>Parallèlement :</w:t>
      </w:r>
    </w:p>
    <w:p w14:paraId="738F98B1" w14:textId="77777777" w:rsidR="004B2808" w:rsidRDefault="00000000">
      <w:pPr>
        <w:jc w:val="both"/>
      </w:pPr>
      <w:r>
        <w:rPr>
          <w:rStyle w:val="soitChar"/>
        </w:rPr>
        <w:t xml:space="preserve">Les panneaux à double suspente sont rangés parallèlement mais désaxé de l'alignement du rail grâce à une translation dans une zone de stockage composée de </w:t>
      </w:r>
      <w:r>
        <w:rPr>
          <w:rStyle w:val="optioncarChar"/>
        </w:rPr>
        <w:t xml:space="preserve">4 rails en forme de double H </w:t>
      </w:r>
      <w:r>
        <w:t>(par défaut)</w:t>
      </w:r>
      <w:r>
        <w:rPr>
          <w:rStyle w:val="optioncarChar"/>
        </w:rPr>
        <w:t xml:space="preserve"> / 6 rails en forme de triple H / ***.</w:t>
      </w:r>
    </w:p>
    <w:p w14:paraId="66E1C206" w14:textId="77777777" w:rsidR="004B2808" w:rsidRDefault="00000000">
      <w:pPr>
        <w:jc w:val="both"/>
      </w:pPr>
      <w:r>
        <w:rPr>
          <w:b/>
        </w:rPr>
        <w:t>Eléments complémentaires : porte</w:t>
      </w:r>
    </w:p>
    <w:p w14:paraId="7DDD469A" w14:textId="77777777" w:rsidR="004B2808" w:rsidRDefault="00000000">
      <w:pPr>
        <w:pStyle w:val="Author-eListParagraph"/>
        <w:numPr>
          <w:ilvl w:val="0"/>
          <w:numId w:val="117"/>
        </w:numPr>
      </w:pPr>
      <w:r>
        <w:t xml:space="preserve">Nombre d’éléments à intégrer dans la cloison : </w:t>
      </w:r>
      <w:r>
        <w:rPr>
          <w:rStyle w:val="optioncarChar"/>
        </w:rPr>
        <w:t>néant</w:t>
      </w:r>
      <w:r>
        <w:t xml:space="preserve"> (par défaut) </w:t>
      </w:r>
      <w:r>
        <w:rPr>
          <w:rStyle w:val="optioncarChar"/>
        </w:rPr>
        <w:t>/ voir plans de principe joints au dossier / 1 / 2 / ***</w:t>
      </w:r>
      <w:r>
        <w:t>.</w:t>
      </w:r>
    </w:p>
    <w:p w14:paraId="2CEA8DC3" w14:textId="77777777" w:rsidR="004B2808" w:rsidRDefault="00000000">
      <w:pPr>
        <w:pStyle w:val="Author-eListParagraph"/>
        <w:numPr>
          <w:ilvl w:val="0"/>
          <w:numId w:val="117"/>
        </w:numPr>
      </w:pPr>
      <w:r>
        <w:t xml:space="preserve">Type de porte : </w:t>
      </w:r>
      <w:r>
        <w:rPr>
          <w:rStyle w:val="optioncarChar"/>
        </w:rPr>
        <w:t xml:space="preserve">simple </w:t>
      </w:r>
      <w:r>
        <w:t>(par défaut)</w:t>
      </w:r>
      <w:r>
        <w:rPr>
          <w:rStyle w:val="optioncarChar"/>
        </w:rPr>
        <w:t xml:space="preserve"> / double / ***</w:t>
      </w:r>
      <w:r>
        <w:t>.</w:t>
      </w:r>
    </w:p>
    <w:p w14:paraId="3D4D4995" w14:textId="77777777" w:rsidR="004B2808" w:rsidRDefault="00000000">
      <w:pPr>
        <w:pStyle w:val="Author-eListParagraph"/>
        <w:numPr>
          <w:ilvl w:val="0"/>
          <w:numId w:val="117"/>
        </w:numPr>
      </w:pPr>
      <w:r>
        <w:t xml:space="preserve">Type d’ouverture : </w:t>
      </w:r>
      <w:r>
        <w:rPr>
          <w:rStyle w:val="optioncarChar"/>
        </w:rPr>
        <w:t>ouvrant simple</w:t>
      </w:r>
      <w:r>
        <w:t xml:space="preserve"> (par défaut) </w:t>
      </w:r>
      <w:r>
        <w:rPr>
          <w:rStyle w:val="optioncarChar"/>
        </w:rPr>
        <w:t>/ télescopique / ***</w:t>
      </w:r>
      <w:r>
        <w:t>.</w:t>
      </w:r>
    </w:p>
    <w:p w14:paraId="590CA781" w14:textId="77777777" w:rsidR="004B2808" w:rsidRDefault="00000000">
      <w:pPr>
        <w:pStyle w:val="Author-eListParagraph"/>
        <w:numPr>
          <w:ilvl w:val="0"/>
          <w:numId w:val="117"/>
        </w:numPr>
      </w:pPr>
      <w:r>
        <w:t xml:space="preserve">Remplissage : </w:t>
      </w:r>
      <w:r>
        <w:rPr>
          <w:rStyle w:val="optioncarChar"/>
        </w:rPr>
        <w:t xml:space="preserve">plein </w:t>
      </w:r>
      <w:r>
        <w:t>(par défaut)</w:t>
      </w:r>
      <w:r>
        <w:rPr>
          <w:rStyle w:val="optioncarChar"/>
        </w:rPr>
        <w:t xml:space="preserve"> / plein avec un vitrage intégré de dimension ** x ** cm / vitré / ***</w:t>
      </w:r>
      <w:r>
        <w:t xml:space="preserve"> dont les caractéristiques et les performances sont similaires à celles de la cloison dans laquelle elle s’intègre.</w:t>
      </w:r>
    </w:p>
    <w:p w14:paraId="5582D98D" w14:textId="77777777" w:rsidR="004B2808" w:rsidRDefault="00000000">
      <w:pPr>
        <w:pStyle w:val="Author-eListParagraph"/>
        <w:numPr>
          <w:ilvl w:val="0"/>
          <w:numId w:val="117"/>
        </w:numPr>
      </w:pPr>
      <w:r>
        <w:t xml:space="preserve">Dimensions de la partie ouvrante : </w:t>
      </w:r>
      <w:r>
        <w:rPr>
          <w:rStyle w:val="optioncarChar"/>
        </w:rPr>
        <w:t>*** x ***</w:t>
      </w:r>
      <w:r>
        <w:t xml:space="preserve"> cm.</w:t>
      </w:r>
    </w:p>
    <w:p w14:paraId="17E0E053" w14:textId="77777777" w:rsidR="004B2808" w:rsidRDefault="00000000">
      <w:pPr>
        <w:pStyle w:val="Author-eListParagraph"/>
        <w:numPr>
          <w:ilvl w:val="0"/>
          <w:numId w:val="117"/>
        </w:numPr>
      </w:pPr>
      <w:r>
        <w:t xml:space="preserve">Imposte supérieur : </w:t>
      </w:r>
      <w:r>
        <w:rPr>
          <w:rStyle w:val="optioncarChar"/>
        </w:rPr>
        <w:t xml:space="preserve">néant (la hauteur de porte est identique à celle du panneau) </w:t>
      </w:r>
      <w:r>
        <w:t>(par défaut)</w:t>
      </w:r>
      <w:r>
        <w:rPr>
          <w:rStyle w:val="optioncarChar"/>
        </w:rPr>
        <w:t xml:space="preserve"> / plein / vitré / *** dont les caractéristiques et les performances sont similaires à celles de la cloison dans laquelle il s’intègre.</w:t>
      </w:r>
    </w:p>
    <w:p w14:paraId="290A8B6C" w14:textId="77777777" w:rsidR="004B2808" w:rsidRDefault="00000000">
      <w:pPr>
        <w:pStyle w:val="Author-eListParagraph"/>
        <w:numPr>
          <w:ilvl w:val="0"/>
          <w:numId w:val="117"/>
        </w:numPr>
      </w:pPr>
      <w:r>
        <w:t xml:space="preserve">Verrouillage : </w:t>
      </w:r>
      <w:r>
        <w:rPr>
          <w:rStyle w:val="optioncarChar"/>
        </w:rPr>
        <w:t xml:space="preserve">poignée double faces </w:t>
      </w:r>
      <w:r>
        <w:t>(par défaut)</w:t>
      </w:r>
      <w:r>
        <w:rPr>
          <w:rStyle w:val="optioncarChar"/>
        </w:rPr>
        <w:t xml:space="preserve"> / poignée double faces avec serrure / poignée double faces avec serrure antipanique / ***</w:t>
      </w:r>
      <w:r>
        <w:t>.</w:t>
      </w:r>
    </w:p>
    <w:p w14:paraId="14937BB7" w14:textId="77777777" w:rsidR="004B2808" w:rsidRDefault="00000000">
      <w:pPr>
        <w:pStyle w:val="Author-eListParagraph"/>
        <w:numPr>
          <w:ilvl w:val="0"/>
          <w:numId w:val="117"/>
        </w:numPr>
      </w:pPr>
      <w:r>
        <w:t xml:space="preserve">Ferme-porte : </w:t>
      </w:r>
      <w:r>
        <w:rPr>
          <w:rStyle w:val="optioncarChar"/>
        </w:rPr>
        <w:t xml:space="preserve">néant </w:t>
      </w:r>
      <w:r>
        <w:t>(par défaut)</w:t>
      </w:r>
      <w:r>
        <w:rPr>
          <w:rStyle w:val="optioncarChar"/>
        </w:rPr>
        <w:t xml:space="preserve"> / articulé / à bras coulissant / ***</w:t>
      </w:r>
      <w:r>
        <w:t>.</w:t>
      </w:r>
    </w:p>
    <w:p w14:paraId="78FDC7E9" w14:textId="77777777" w:rsidR="004B2808" w:rsidRDefault="00000000">
      <w:pPr>
        <w:pStyle w:val="Author-eListParagraph"/>
        <w:numPr>
          <w:ilvl w:val="0"/>
          <w:numId w:val="117"/>
        </w:numPr>
      </w:pPr>
      <w:r>
        <w:t xml:space="preserve">Résistance au feu : </w:t>
      </w:r>
      <w:r>
        <w:rPr>
          <w:rStyle w:val="optioncarChar"/>
        </w:rPr>
        <w:t xml:space="preserve">identique à celle de la cloison mobile dans laquelle la porte est insérée </w:t>
      </w:r>
      <w:r>
        <w:t>(par défaut)</w:t>
      </w:r>
      <w:r>
        <w:rPr>
          <w:rStyle w:val="optioncarChar"/>
        </w:rPr>
        <w:t xml:space="preserve"> / ***.</w:t>
      </w:r>
    </w:p>
    <w:p w14:paraId="3AEB2AD5" w14:textId="77777777" w:rsidR="004B2808" w:rsidRDefault="00000000">
      <w:r>
        <w:rPr>
          <w:b/>
        </w:rPr>
        <w:t>Eléments complémentaires : partie vitrée</w:t>
      </w:r>
    </w:p>
    <w:p w14:paraId="6AD70A83" w14:textId="77777777" w:rsidR="004B2808" w:rsidRDefault="00000000">
      <w:pPr>
        <w:pStyle w:val="Author-eListParagraph"/>
        <w:numPr>
          <w:ilvl w:val="0"/>
          <w:numId w:val="118"/>
        </w:numPr>
      </w:pPr>
      <w:r>
        <w:t xml:space="preserve">Nombre d’éléments à intégrer dans la cloison : </w:t>
      </w:r>
      <w:r>
        <w:rPr>
          <w:rStyle w:val="optioncarChar"/>
        </w:rPr>
        <w:t>néant</w:t>
      </w:r>
      <w:r>
        <w:t xml:space="preserve"> (par défaut)</w:t>
      </w:r>
      <w:r>
        <w:rPr>
          <w:rStyle w:val="optioncarChar"/>
        </w:rPr>
        <w:t xml:space="preserve"> / voir plans de principe joints au dossier / 1 / 2 / ***.</w:t>
      </w:r>
    </w:p>
    <w:p w14:paraId="56BB3B53" w14:textId="77777777" w:rsidR="004B2808" w:rsidRDefault="00000000">
      <w:pPr>
        <w:pStyle w:val="Author-eListParagraph"/>
        <w:numPr>
          <w:ilvl w:val="0"/>
          <w:numId w:val="118"/>
        </w:numPr>
      </w:pPr>
      <w:r>
        <w:t xml:space="preserve">Dimensions : </w:t>
      </w:r>
      <w:r>
        <w:rPr>
          <w:rStyle w:val="optioncarChar"/>
        </w:rPr>
        <w:t>*** x ***</w:t>
      </w:r>
      <w:r>
        <w:t xml:space="preserve"> cm.</w:t>
      </w:r>
    </w:p>
    <w:p w14:paraId="67DFC32E" w14:textId="77777777" w:rsidR="004B2808" w:rsidRDefault="00000000">
      <w:pPr>
        <w:pStyle w:val="Author-eListParagraph"/>
        <w:numPr>
          <w:ilvl w:val="0"/>
          <w:numId w:val="118"/>
        </w:numPr>
      </w:pPr>
      <w:r>
        <w:t xml:space="preserve">Remplissage : verre de sécurité </w:t>
      </w:r>
      <w:r>
        <w:rPr>
          <w:rStyle w:val="optioncarChar"/>
        </w:rPr>
        <w:t>simple</w:t>
      </w:r>
      <w:r>
        <w:t xml:space="preserve"> (par défaut)</w:t>
      </w:r>
      <w:r>
        <w:rPr>
          <w:rStyle w:val="optioncarChar"/>
        </w:rPr>
        <w:t xml:space="preserve"> / double</w:t>
      </w:r>
      <w:r>
        <w:t xml:space="preserve"> conforme à la [NBN S 23-002/A1].</w:t>
      </w:r>
    </w:p>
    <w:p w14:paraId="0E4FA85C" w14:textId="77777777" w:rsidR="004B2808" w:rsidRDefault="00000000">
      <w:pPr>
        <w:pStyle w:val="Author-eListParagraph"/>
        <w:numPr>
          <w:ilvl w:val="0"/>
          <w:numId w:val="118"/>
        </w:numPr>
      </w:pPr>
      <w:r>
        <w:t>Résistance au feu :</w:t>
      </w:r>
      <w:r>
        <w:rPr>
          <w:rStyle w:val="optioncarChar"/>
        </w:rPr>
        <w:t xml:space="preserve"> identique à celle de la cloison mobile dans laquelle le vitrage est inséré </w:t>
      </w:r>
      <w:r>
        <w:t>(par défaut)</w:t>
      </w:r>
      <w:r>
        <w:rPr>
          <w:rStyle w:val="optioncarChar"/>
        </w:rPr>
        <w:t xml:space="preserve"> / ***.</w:t>
      </w:r>
    </w:p>
    <w:p w14:paraId="20FA9370" w14:textId="77777777" w:rsidR="004B2808" w:rsidRDefault="00000000">
      <w:pPr>
        <w:pStyle w:val="pheading"/>
      </w:pPr>
      <w:r>
        <w:t>- Finitions</w:t>
      </w:r>
    </w:p>
    <w:p w14:paraId="47F6E423" w14:textId="77777777" w:rsidR="004B2808" w:rsidRDefault="00000000">
      <w:pPr>
        <w:jc w:val="both"/>
      </w:pPr>
      <w:r>
        <w:rPr>
          <w:b/>
        </w:rPr>
        <w:t>Rail(s) de support et de guidage</w:t>
      </w:r>
    </w:p>
    <w:p w14:paraId="659AF23F" w14:textId="77777777" w:rsidR="004B2808" w:rsidRDefault="00000000">
      <w:pPr>
        <w:jc w:val="both"/>
      </w:pPr>
      <w:r>
        <w:t xml:space="preserve">Rail supérieur et profils de raccordement mural : </w:t>
      </w:r>
      <w:r>
        <w:rPr>
          <w:rStyle w:val="optioncarChar"/>
        </w:rPr>
        <w:t xml:space="preserve">anodisé </w:t>
      </w:r>
      <w:r>
        <w:t>(par défaut)</w:t>
      </w:r>
      <w:r>
        <w:rPr>
          <w:rStyle w:val="optioncarChar"/>
        </w:rPr>
        <w:t xml:space="preserve"> / thermolaqué par poudrage polyester / galvanisé &amp; peint / ***</w:t>
      </w:r>
      <w:r>
        <w:t>.</w:t>
      </w:r>
    </w:p>
    <w:p w14:paraId="044C4B6F" w14:textId="77777777" w:rsidR="004B2808" w:rsidRDefault="00000000">
      <w:pPr>
        <w:jc w:val="both"/>
      </w:pPr>
      <w:r>
        <w:rPr>
          <w:b/>
        </w:rPr>
        <w:t>(soit par défaut)</w:t>
      </w:r>
    </w:p>
    <w:p w14:paraId="7DF68E0E" w14:textId="77777777" w:rsidR="004B2808" w:rsidRDefault="00000000">
      <w:pPr>
        <w:jc w:val="both"/>
      </w:pPr>
      <w:r>
        <w:rPr>
          <w:rStyle w:val="soitChar"/>
          <w:u w:val="single"/>
        </w:rPr>
        <w:t>Anodisé :</w:t>
      </w:r>
      <w:r>
        <w:rPr>
          <w:rStyle w:val="soitChar"/>
        </w:rPr>
        <w:t xml:space="preserve"> selon Qualanod épaisseur ≥ 18 μm</w:t>
      </w:r>
    </w:p>
    <w:p w14:paraId="76B499C8" w14:textId="77777777" w:rsidR="004B2808" w:rsidRDefault="00000000">
      <w:pPr>
        <w:pStyle w:val="Author-eListParagraph"/>
        <w:numPr>
          <w:ilvl w:val="0"/>
          <w:numId w:val="119"/>
        </w:numPr>
      </w:pPr>
      <w:r>
        <w:rPr>
          <w:rStyle w:val="soitChar"/>
        </w:rPr>
        <w:t xml:space="preserve">Couleur : </w:t>
      </w:r>
      <w:r>
        <w:rPr>
          <w:rStyle w:val="optioncarChar"/>
        </w:rPr>
        <w:t>naturelle</w:t>
      </w:r>
      <w:r>
        <w:t xml:space="preserve"> (par défaut)</w:t>
      </w:r>
      <w:r>
        <w:rPr>
          <w:rStyle w:val="optioncarChar"/>
        </w:rPr>
        <w:t xml:space="preserve"> / ***.</w:t>
      </w:r>
    </w:p>
    <w:p w14:paraId="097C80AD" w14:textId="77777777" w:rsidR="004B2808" w:rsidRDefault="00000000">
      <w:pPr>
        <w:pStyle w:val="Author-eListParagraph"/>
        <w:numPr>
          <w:ilvl w:val="0"/>
          <w:numId w:val="119"/>
        </w:numPr>
      </w:pPr>
      <w:r>
        <w:rPr>
          <w:rStyle w:val="soitChar"/>
        </w:rPr>
        <w:t xml:space="preserve">Finition : </w:t>
      </w:r>
      <w:r>
        <w:rPr>
          <w:rStyle w:val="optioncarChar"/>
        </w:rPr>
        <w:t xml:space="preserve">mate </w:t>
      </w:r>
      <w:r>
        <w:t>(par défaut)</w:t>
      </w:r>
      <w:r>
        <w:rPr>
          <w:rStyle w:val="optioncarChar"/>
        </w:rPr>
        <w:t xml:space="preserve"> / ***</w:t>
      </w:r>
      <w:r>
        <w:rPr>
          <w:rStyle w:val="soitChar"/>
        </w:rPr>
        <w:t>.</w:t>
      </w:r>
    </w:p>
    <w:p w14:paraId="0861196F" w14:textId="77777777" w:rsidR="004B2808" w:rsidRDefault="00000000">
      <w:pPr>
        <w:jc w:val="both"/>
      </w:pPr>
      <w:r>
        <w:rPr>
          <w:b/>
        </w:rPr>
        <w:t>(soit)</w:t>
      </w:r>
    </w:p>
    <w:p w14:paraId="10196DBA" w14:textId="77777777" w:rsidR="004B2808" w:rsidRDefault="00000000">
      <w:pPr>
        <w:jc w:val="both"/>
      </w:pPr>
      <w:r>
        <w:rPr>
          <w:rStyle w:val="soitChar"/>
          <w:u w:val="single"/>
        </w:rPr>
        <w:t>Thermolaqué par poudrage polyester :</w:t>
      </w:r>
      <w:r>
        <w:rPr>
          <w:rStyle w:val="soitChar"/>
        </w:rPr>
        <w:t xml:space="preserve"> selon Qualicoat épaisseur ≥ 60 μm</w:t>
      </w:r>
    </w:p>
    <w:p w14:paraId="3A93271A" w14:textId="77777777" w:rsidR="004B2808" w:rsidRDefault="00000000">
      <w:pPr>
        <w:pStyle w:val="Author-eListParagraph"/>
        <w:numPr>
          <w:ilvl w:val="0"/>
          <w:numId w:val="120"/>
        </w:numPr>
      </w:pPr>
      <w:r>
        <w:rPr>
          <w:rStyle w:val="soitChar"/>
        </w:rPr>
        <w:t xml:space="preserve">Couleur : RAL n° </w:t>
      </w:r>
      <w:r>
        <w:rPr>
          <w:rStyle w:val="optioncarChar"/>
        </w:rPr>
        <w:t>***</w:t>
      </w:r>
    </w:p>
    <w:p w14:paraId="3A4FE291" w14:textId="77777777" w:rsidR="004B2808" w:rsidRDefault="00000000">
      <w:pPr>
        <w:pStyle w:val="Author-eListParagraph"/>
        <w:numPr>
          <w:ilvl w:val="0"/>
          <w:numId w:val="120"/>
        </w:numPr>
      </w:pPr>
      <w:r>
        <w:rPr>
          <w:rStyle w:val="soitChar"/>
        </w:rPr>
        <w:t xml:space="preserve">Brillance : </w:t>
      </w:r>
      <w:r>
        <w:rPr>
          <w:rStyle w:val="optioncarChar"/>
        </w:rPr>
        <w:t>70</w:t>
      </w:r>
      <w:r>
        <w:t xml:space="preserve"> (par défaut) </w:t>
      </w:r>
      <w:r>
        <w:rPr>
          <w:rStyle w:val="optioncarChar"/>
        </w:rPr>
        <w:t>/ ***</w:t>
      </w:r>
      <w:r>
        <w:rPr>
          <w:rStyle w:val="soitChar"/>
        </w:rPr>
        <w:t xml:space="preserve"> %.</w:t>
      </w:r>
    </w:p>
    <w:p w14:paraId="25B3B184" w14:textId="77777777" w:rsidR="004B2808" w:rsidRDefault="00000000">
      <w:pPr>
        <w:jc w:val="both"/>
      </w:pPr>
      <w:r>
        <w:rPr>
          <w:b/>
        </w:rPr>
        <w:t>(soit)</w:t>
      </w:r>
    </w:p>
    <w:p w14:paraId="79ADCA73" w14:textId="77777777" w:rsidR="004B2808" w:rsidRDefault="00000000">
      <w:pPr>
        <w:jc w:val="both"/>
      </w:pPr>
      <w:r>
        <w:rPr>
          <w:rStyle w:val="soitChar"/>
          <w:u w:val="single"/>
        </w:rPr>
        <w:t>Galvanisé et peint :</w:t>
      </w:r>
      <w:r>
        <w:rPr>
          <w:rStyle w:val="soitChar"/>
        </w:rPr>
        <w:t xml:space="preserve"> épaisseur ≥ 60 μm</w:t>
      </w:r>
    </w:p>
    <w:p w14:paraId="1B3C9225" w14:textId="77777777" w:rsidR="004B2808" w:rsidRDefault="00000000">
      <w:pPr>
        <w:pStyle w:val="Author-eListParagraph"/>
        <w:numPr>
          <w:ilvl w:val="0"/>
          <w:numId w:val="121"/>
        </w:numPr>
      </w:pPr>
      <w:r>
        <w:rPr>
          <w:rStyle w:val="soitChar"/>
        </w:rPr>
        <w:t xml:space="preserve">Couleur : RAL n° </w:t>
      </w:r>
      <w:r>
        <w:rPr>
          <w:rStyle w:val="optioncarChar"/>
        </w:rPr>
        <w:t>***</w:t>
      </w:r>
    </w:p>
    <w:p w14:paraId="7DBF4C5C" w14:textId="77777777" w:rsidR="004B2808" w:rsidRDefault="00000000">
      <w:pPr>
        <w:pStyle w:val="Author-eListParagraph"/>
        <w:numPr>
          <w:ilvl w:val="0"/>
          <w:numId w:val="121"/>
        </w:numPr>
      </w:pPr>
      <w:r>
        <w:rPr>
          <w:rStyle w:val="soitChar"/>
        </w:rPr>
        <w:t xml:space="preserve">Finition : </w:t>
      </w:r>
      <w:r>
        <w:rPr>
          <w:rStyle w:val="optioncarChar"/>
        </w:rPr>
        <w:t xml:space="preserve">mate </w:t>
      </w:r>
      <w:r>
        <w:t xml:space="preserve">(par défaut) </w:t>
      </w:r>
      <w:r>
        <w:rPr>
          <w:rStyle w:val="optioncarChar"/>
        </w:rPr>
        <w:t>/ ***.</w:t>
      </w:r>
    </w:p>
    <w:p w14:paraId="2EE16B18" w14:textId="77777777" w:rsidR="004B2808" w:rsidRDefault="00000000">
      <w:pPr>
        <w:jc w:val="both"/>
      </w:pPr>
      <w:r>
        <w:rPr>
          <w:b/>
        </w:rPr>
        <w:t>(soit)</w:t>
      </w:r>
    </w:p>
    <w:p w14:paraId="18D6535C" w14:textId="77777777" w:rsidR="004B2808" w:rsidRDefault="00000000">
      <w:pPr>
        <w:jc w:val="both"/>
      </w:pPr>
      <w:r>
        <w:rPr>
          <w:rStyle w:val="optioncarChar"/>
        </w:rPr>
        <w:lastRenderedPageBreak/>
        <w:t>***</w:t>
      </w:r>
    </w:p>
    <w:p w14:paraId="7148A984" w14:textId="77777777" w:rsidR="004B2808" w:rsidRDefault="00000000">
      <w:pPr>
        <w:jc w:val="both"/>
      </w:pPr>
      <w:r>
        <w:t xml:space="preserve">Rail inférieur : </w:t>
      </w:r>
      <w:r>
        <w:rPr>
          <w:rStyle w:val="optioncarChar"/>
        </w:rPr>
        <w:t xml:space="preserve">anodisé </w:t>
      </w:r>
      <w:r>
        <w:t xml:space="preserve">(par défaut) </w:t>
      </w:r>
      <w:r>
        <w:rPr>
          <w:rStyle w:val="optioncarChar"/>
        </w:rPr>
        <w:t>/ thermolaqué par poudrage polyester / ***</w:t>
      </w:r>
      <w:r>
        <w:t>.</w:t>
      </w:r>
    </w:p>
    <w:p w14:paraId="0B9C1688" w14:textId="77777777" w:rsidR="004B2808" w:rsidRDefault="00000000">
      <w:pPr>
        <w:jc w:val="both"/>
      </w:pPr>
      <w:r>
        <w:rPr>
          <w:b/>
        </w:rPr>
        <w:t>(soit par défaut)</w:t>
      </w:r>
    </w:p>
    <w:p w14:paraId="7E191055" w14:textId="77777777" w:rsidR="004B2808" w:rsidRDefault="00000000">
      <w:pPr>
        <w:jc w:val="both"/>
      </w:pPr>
      <w:r>
        <w:rPr>
          <w:rStyle w:val="soitChar"/>
          <w:u w:val="single"/>
        </w:rPr>
        <w:t>Anodisé :</w:t>
      </w:r>
      <w:r>
        <w:rPr>
          <w:rStyle w:val="soitChar"/>
        </w:rPr>
        <w:t xml:space="preserve"> selon Qualanod épaisseur ≥ 18 μm</w:t>
      </w:r>
    </w:p>
    <w:p w14:paraId="22947E2C" w14:textId="77777777" w:rsidR="004B2808" w:rsidRDefault="00000000">
      <w:pPr>
        <w:pStyle w:val="Author-eListParagraph"/>
        <w:numPr>
          <w:ilvl w:val="0"/>
          <w:numId w:val="122"/>
        </w:numPr>
      </w:pPr>
      <w:r>
        <w:rPr>
          <w:rStyle w:val="soitChar"/>
        </w:rPr>
        <w:t xml:space="preserve">Couleur : </w:t>
      </w:r>
      <w:r>
        <w:rPr>
          <w:rStyle w:val="optioncarChar"/>
        </w:rPr>
        <w:t xml:space="preserve">naturelle </w:t>
      </w:r>
      <w:r>
        <w:t xml:space="preserve">(par défaut) </w:t>
      </w:r>
      <w:r>
        <w:rPr>
          <w:rStyle w:val="optioncarChar"/>
        </w:rPr>
        <w:t>/ ***</w:t>
      </w:r>
      <w:r>
        <w:rPr>
          <w:rStyle w:val="soitChar"/>
        </w:rPr>
        <w:t>.</w:t>
      </w:r>
    </w:p>
    <w:p w14:paraId="35B92A0A" w14:textId="77777777" w:rsidR="004B2808" w:rsidRDefault="00000000">
      <w:pPr>
        <w:pStyle w:val="Author-eListParagraph"/>
        <w:numPr>
          <w:ilvl w:val="0"/>
          <w:numId w:val="122"/>
        </w:numPr>
      </w:pPr>
      <w:r>
        <w:rPr>
          <w:rStyle w:val="soitChar"/>
        </w:rPr>
        <w:t xml:space="preserve">Finition : </w:t>
      </w:r>
      <w:r>
        <w:rPr>
          <w:rStyle w:val="optioncarChar"/>
        </w:rPr>
        <w:t xml:space="preserve">mate </w:t>
      </w:r>
      <w:r>
        <w:t>(par défaut)</w:t>
      </w:r>
      <w:r>
        <w:rPr>
          <w:rStyle w:val="optioncarChar"/>
        </w:rPr>
        <w:t xml:space="preserve"> / ***</w:t>
      </w:r>
      <w:r>
        <w:rPr>
          <w:rStyle w:val="soitChar"/>
        </w:rPr>
        <w:t>.</w:t>
      </w:r>
    </w:p>
    <w:p w14:paraId="1B8E831F" w14:textId="77777777" w:rsidR="004B2808" w:rsidRDefault="00000000">
      <w:pPr>
        <w:jc w:val="both"/>
      </w:pPr>
      <w:r>
        <w:rPr>
          <w:b/>
        </w:rPr>
        <w:t xml:space="preserve"> (soit)</w:t>
      </w:r>
    </w:p>
    <w:p w14:paraId="45490CA9" w14:textId="77777777" w:rsidR="004B2808" w:rsidRDefault="00000000">
      <w:pPr>
        <w:jc w:val="both"/>
      </w:pPr>
      <w:r>
        <w:rPr>
          <w:rStyle w:val="soitChar"/>
          <w:u w:val="single"/>
        </w:rPr>
        <w:t>Thermolaqué par poudrage polyester :</w:t>
      </w:r>
      <w:r>
        <w:rPr>
          <w:rStyle w:val="soitChar"/>
        </w:rPr>
        <w:t xml:space="preserve"> selon Qualicoat épaisseur ≥ 60 μm</w:t>
      </w:r>
    </w:p>
    <w:p w14:paraId="1E77856A" w14:textId="77777777" w:rsidR="004B2808" w:rsidRDefault="00000000">
      <w:pPr>
        <w:pStyle w:val="Author-eListParagraph"/>
        <w:numPr>
          <w:ilvl w:val="0"/>
          <w:numId w:val="123"/>
        </w:numPr>
      </w:pPr>
      <w:r>
        <w:rPr>
          <w:rStyle w:val="soitChar"/>
        </w:rPr>
        <w:t xml:space="preserve">Couleur : RAL n° </w:t>
      </w:r>
      <w:r>
        <w:rPr>
          <w:rStyle w:val="optioncarChar"/>
        </w:rPr>
        <w:t>***</w:t>
      </w:r>
    </w:p>
    <w:p w14:paraId="6A45FB10" w14:textId="77777777" w:rsidR="004B2808" w:rsidRDefault="00000000">
      <w:pPr>
        <w:pStyle w:val="Author-eListParagraph"/>
        <w:numPr>
          <w:ilvl w:val="0"/>
          <w:numId w:val="123"/>
        </w:numPr>
      </w:pPr>
      <w:r>
        <w:rPr>
          <w:rStyle w:val="soitChar"/>
        </w:rPr>
        <w:t xml:space="preserve">Brillance : </w:t>
      </w:r>
      <w:r>
        <w:rPr>
          <w:rStyle w:val="optioncarChar"/>
        </w:rPr>
        <w:t xml:space="preserve">70 </w:t>
      </w:r>
      <w:r>
        <w:t>(par défaut)</w:t>
      </w:r>
      <w:r>
        <w:rPr>
          <w:rStyle w:val="optioncarChar"/>
        </w:rPr>
        <w:t xml:space="preserve"> / ***</w:t>
      </w:r>
      <w:r>
        <w:t>  </w:t>
      </w:r>
      <w:r>
        <w:rPr>
          <w:rStyle w:val="soitChar"/>
        </w:rPr>
        <w:t>%.</w:t>
      </w:r>
    </w:p>
    <w:p w14:paraId="19BD8090" w14:textId="77777777" w:rsidR="004B2808" w:rsidRDefault="00000000">
      <w:pPr>
        <w:jc w:val="both"/>
      </w:pPr>
      <w:r>
        <w:rPr>
          <w:b/>
        </w:rPr>
        <w:t>(soit)</w:t>
      </w:r>
    </w:p>
    <w:p w14:paraId="15F9CF6F" w14:textId="77777777" w:rsidR="004B2808" w:rsidRDefault="00000000">
      <w:pPr>
        <w:jc w:val="both"/>
      </w:pPr>
      <w:r>
        <w:rPr>
          <w:rStyle w:val="optioncarChar"/>
        </w:rPr>
        <w:t>***</w:t>
      </w:r>
    </w:p>
    <w:p w14:paraId="2B9794DD" w14:textId="77777777" w:rsidR="004B2808" w:rsidRDefault="00000000">
      <w:pPr>
        <w:jc w:val="both"/>
      </w:pPr>
      <w:r>
        <w:rPr>
          <w:b/>
        </w:rPr>
        <w:t>Finition des chants</w:t>
      </w:r>
    </w:p>
    <w:p w14:paraId="7136BD52" w14:textId="77777777" w:rsidR="004B2808" w:rsidRDefault="00000000">
      <w:pPr>
        <w:jc w:val="both"/>
      </w:pPr>
      <w:r>
        <w:t xml:space="preserve">Profils de finition du chant des panneaux : </w:t>
      </w:r>
      <w:r>
        <w:rPr>
          <w:rStyle w:val="optioncarChar"/>
        </w:rPr>
        <w:t>anodisé</w:t>
      </w:r>
      <w:r>
        <w:t xml:space="preserve"> (par défaut) </w:t>
      </w:r>
      <w:r>
        <w:rPr>
          <w:rStyle w:val="optioncarChar"/>
        </w:rPr>
        <w:t>/ thermolaqué par poudrage polyester / ***</w:t>
      </w:r>
      <w:r>
        <w:t>.</w:t>
      </w:r>
    </w:p>
    <w:p w14:paraId="5C09E73A" w14:textId="77777777" w:rsidR="004B2808" w:rsidRDefault="00000000">
      <w:pPr>
        <w:jc w:val="both"/>
      </w:pPr>
      <w:r>
        <w:rPr>
          <w:b/>
        </w:rPr>
        <w:t>(soit par défaut)</w:t>
      </w:r>
    </w:p>
    <w:p w14:paraId="02F88067" w14:textId="77777777" w:rsidR="004B2808" w:rsidRDefault="00000000">
      <w:pPr>
        <w:jc w:val="both"/>
      </w:pPr>
      <w:r>
        <w:rPr>
          <w:rStyle w:val="soitChar"/>
          <w:u w:val="single"/>
        </w:rPr>
        <w:t>Anodisé :</w:t>
      </w:r>
      <w:r>
        <w:rPr>
          <w:rStyle w:val="soitChar"/>
        </w:rPr>
        <w:t xml:space="preserve"> selon Qualanod épaisseur ≥ 18 μm</w:t>
      </w:r>
    </w:p>
    <w:p w14:paraId="1262AB37" w14:textId="77777777" w:rsidR="004B2808" w:rsidRDefault="00000000">
      <w:pPr>
        <w:pStyle w:val="Author-eListParagraph"/>
        <w:numPr>
          <w:ilvl w:val="0"/>
          <w:numId w:val="124"/>
        </w:numPr>
      </w:pPr>
      <w:r>
        <w:rPr>
          <w:rStyle w:val="soitChar"/>
        </w:rPr>
        <w:t xml:space="preserve">Couleur : </w:t>
      </w:r>
      <w:r>
        <w:rPr>
          <w:rStyle w:val="optioncarChar"/>
        </w:rPr>
        <w:t>naturelle</w:t>
      </w:r>
      <w:r>
        <w:t xml:space="preserve"> (par défaut) </w:t>
      </w:r>
      <w:r>
        <w:rPr>
          <w:rStyle w:val="optioncarChar"/>
        </w:rPr>
        <w:t>/ ***</w:t>
      </w:r>
      <w:r>
        <w:rPr>
          <w:rStyle w:val="soitChar"/>
        </w:rPr>
        <w:t>.</w:t>
      </w:r>
    </w:p>
    <w:p w14:paraId="6E4F0E82" w14:textId="77777777" w:rsidR="004B2808" w:rsidRDefault="00000000">
      <w:pPr>
        <w:pStyle w:val="Author-eListParagraph"/>
        <w:numPr>
          <w:ilvl w:val="0"/>
          <w:numId w:val="124"/>
        </w:numPr>
      </w:pPr>
      <w:r>
        <w:rPr>
          <w:rStyle w:val="soitChar"/>
        </w:rPr>
        <w:t xml:space="preserve">Finition : </w:t>
      </w:r>
      <w:r>
        <w:rPr>
          <w:rStyle w:val="optioncarChar"/>
        </w:rPr>
        <w:t xml:space="preserve">mate </w:t>
      </w:r>
      <w:r>
        <w:t xml:space="preserve">(par défaut) </w:t>
      </w:r>
      <w:r>
        <w:rPr>
          <w:rStyle w:val="optioncarChar"/>
        </w:rPr>
        <w:t>/ ***.</w:t>
      </w:r>
    </w:p>
    <w:p w14:paraId="69EC848A" w14:textId="77777777" w:rsidR="004B2808" w:rsidRDefault="00000000">
      <w:pPr>
        <w:jc w:val="both"/>
      </w:pPr>
      <w:r>
        <w:rPr>
          <w:b/>
        </w:rPr>
        <w:t>(soit)</w:t>
      </w:r>
    </w:p>
    <w:p w14:paraId="31A590F4" w14:textId="77777777" w:rsidR="004B2808" w:rsidRDefault="00000000">
      <w:pPr>
        <w:jc w:val="both"/>
      </w:pPr>
      <w:r>
        <w:rPr>
          <w:rStyle w:val="soitChar"/>
          <w:u w:val="single"/>
        </w:rPr>
        <w:t>Thermolaqué par poudrage polyester :</w:t>
      </w:r>
      <w:r>
        <w:rPr>
          <w:rStyle w:val="soitChar"/>
        </w:rPr>
        <w:t xml:space="preserve"> selon Qualicoat épaisseur ≥ 60 μm</w:t>
      </w:r>
    </w:p>
    <w:p w14:paraId="37B6ACEB" w14:textId="77777777" w:rsidR="004B2808" w:rsidRDefault="00000000">
      <w:pPr>
        <w:pStyle w:val="Author-eListParagraph"/>
        <w:numPr>
          <w:ilvl w:val="0"/>
          <w:numId w:val="125"/>
        </w:numPr>
      </w:pPr>
      <w:r>
        <w:rPr>
          <w:rStyle w:val="soitChar"/>
        </w:rPr>
        <w:t xml:space="preserve">Couleur : RAL n° </w:t>
      </w:r>
      <w:r>
        <w:rPr>
          <w:rStyle w:val="optioncarChar"/>
        </w:rPr>
        <w:t>***</w:t>
      </w:r>
    </w:p>
    <w:p w14:paraId="761489C3" w14:textId="77777777" w:rsidR="004B2808" w:rsidRDefault="00000000">
      <w:pPr>
        <w:pStyle w:val="Author-eListParagraph"/>
        <w:numPr>
          <w:ilvl w:val="0"/>
          <w:numId w:val="125"/>
        </w:numPr>
      </w:pPr>
      <w:r>
        <w:rPr>
          <w:rStyle w:val="soitChar"/>
        </w:rPr>
        <w:t xml:space="preserve">Brillance : </w:t>
      </w:r>
      <w:r>
        <w:rPr>
          <w:rStyle w:val="optioncarChar"/>
        </w:rPr>
        <w:t xml:space="preserve">70 </w:t>
      </w:r>
      <w:r>
        <w:t xml:space="preserve">(par défaut) </w:t>
      </w:r>
      <w:r>
        <w:rPr>
          <w:rStyle w:val="optioncarChar"/>
        </w:rPr>
        <w:t>/ ***</w:t>
      </w:r>
      <w:r>
        <w:t>  </w:t>
      </w:r>
      <w:r>
        <w:rPr>
          <w:rStyle w:val="soitChar"/>
        </w:rPr>
        <w:t>%.</w:t>
      </w:r>
    </w:p>
    <w:p w14:paraId="0CF5E83E" w14:textId="77777777" w:rsidR="004B2808" w:rsidRDefault="00000000">
      <w:pPr>
        <w:jc w:val="both"/>
      </w:pPr>
      <w:r>
        <w:rPr>
          <w:b/>
        </w:rPr>
        <w:t>(soit)</w:t>
      </w:r>
    </w:p>
    <w:p w14:paraId="50DB434D" w14:textId="77777777" w:rsidR="004B2808" w:rsidRDefault="00000000">
      <w:pPr>
        <w:jc w:val="both"/>
      </w:pPr>
      <w:r>
        <w:rPr>
          <w:rStyle w:val="optioncarChar"/>
        </w:rPr>
        <w:t>***</w:t>
      </w:r>
    </w:p>
    <w:p w14:paraId="06B1C455" w14:textId="77777777" w:rsidR="004B2808" w:rsidRDefault="00000000">
      <w:pPr>
        <w:jc w:val="both"/>
      </w:pPr>
      <w:r>
        <w:rPr>
          <w:b/>
        </w:rPr>
        <w:t>Finition des panneaux pleins</w:t>
      </w:r>
    </w:p>
    <w:p w14:paraId="6CC59ECF" w14:textId="77777777" w:rsidR="004B2808" w:rsidRDefault="00000000">
      <w:pPr>
        <w:jc w:val="both"/>
      </w:pPr>
      <w:r>
        <w:t xml:space="preserve">La structure des panneaux est recouverte de : </w:t>
      </w:r>
      <w:r>
        <w:rPr>
          <w:rStyle w:val="optioncarChar"/>
        </w:rPr>
        <w:t>mélaminé </w:t>
      </w:r>
      <w:r>
        <w:t>(par défaut)</w:t>
      </w:r>
      <w:r>
        <w:rPr>
          <w:rStyle w:val="optioncarChar"/>
        </w:rPr>
        <w:t xml:space="preserve"> / stratifié / panneaux acoustiques / ***.</w:t>
      </w:r>
    </w:p>
    <w:p w14:paraId="746A524C" w14:textId="77777777" w:rsidR="004B2808" w:rsidRDefault="00000000">
      <w:pPr>
        <w:jc w:val="both"/>
      </w:pPr>
      <w:r>
        <w:rPr>
          <w:b/>
        </w:rPr>
        <w:t>(soit par défaut)</w:t>
      </w:r>
    </w:p>
    <w:p w14:paraId="2DE42B6A" w14:textId="77777777" w:rsidR="004B2808" w:rsidRDefault="00000000">
      <w:pPr>
        <w:jc w:val="both"/>
      </w:pPr>
      <w:r>
        <w:rPr>
          <w:rStyle w:val="soitChar"/>
          <w:u w:val="single"/>
        </w:rPr>
        <w:t>Mélaminé :</w:t>
      </w:r>
    </w:p>
    <w:p w14:paraId="25625A73" w14:textId="77777777" w:rsidR="004B2808" w:rsidRDefault="00000000">
      <w:pPr>
        <w:pStyle w:val="Author-eListParagraph"/>
        <w:numPr>
          <w:ilvl w:val="0"/>
          <w:numId w:val="126"/>
        </w:numPr>
      </w:pPr>
      <w:r>
        <w:rPr>
          <w:rStyle w:val="soitChar"/>
        </w:rPr>
        <w:t xml:space="preserve">Epaisseur : ≥ </w:t>
      </w:r>
      <w:r>
        <w:rPr>
          <w:rStyle w:val="optioncarChar"/>
        </w:rPr>
        <w:t xml:space="preserve">0,8 </w:t>
      </w:r>
      <w:r>
        <w:t>(par défaut)</w:t>
      </w:r>
      <w:r>
        <w:rPr>
          <w:rStyle w:val="optioncarChar"/>
        </w:rPr>
        <w:t xml:space="preserve"> / ***</w:t>
      </w:r>
      <w:r>
        <w:rPr>
          <w:rStyle w:val="soitChar"/>
        </w:rPr>
        <w:t xml:space="preserve"> mm.</w:t>
      </w:r>
    </w:p>
    <w:p w14:paraId="4934B88E" w14:textId="77777777" w:rsidR="004B2808" w:rsidRDefault="00000000">
      <w:pPr>
        <w:pStyle w:val="Author-eListParagraph"/>
        <w:numPr>
          <w:ilvl w:val="0"/>
          <w:numId w:val="126"/>
        </w:numPr>
      </w:pPr>
      <w:r>
        <w:rPr>
          <w:rStyle w:val="soitChar"/>
        </w:rPr>
        <w:t xml:space="preserve">Couleur : </w:t>
      </w:r>
      <w:r>
        <w:rPr>
          <w:rStyle w:val="optioncarChar"/>
        </w:rPr>
        <w:t xml:space="preserve">à choisir dans la gamme standard du fabricant comprenant 10 teintes au minimum </w:t>
      </w:r>
      <w:r>
        <w:t>(par défaut)</w:t>
      </w:r>
      <w:r>
        <w:rPr>
          <w:rStyle w:val="optioncarChar"/>
        </w:rPr>
        <w:t xml:space="preserve"> / finition brut à peindre / teinte RAL *** / aspect bois essence :  ***  /  ***.</w:t>
      </w:r>
    </w:p>
    <w:p w14:paraId="06990412" w14:textId="77777777" w:rsidR="004B2808" w:rsidRDefault="00000000">
      <w:pPr>
        <w:pStyle w:val="Author-eListParagraph"/>
        <w:numPr>
          <w:ilvl w:val="0"/>
          <w:numId w:val="126"/>
        </w:numPr>
      </w:pPr>
      <w:r>
        <w:rPr>
          <w:rStyle w:val="soitChar"/>
        </w:rPr>
        <w:t xml:space="preserve">Finition : </w:t>
      </w:r>
      <w:r>
        <w:rPr>
          <w:rStyle w:val="optioncarChar"/>
        </w:rPr>
        <w:t xml:space="preserve">satinée </w:t>
      </w:r>
      <w:r>
        <w:t xml:space="preserve">(par défaut) </w:t>
      </w:r>
      <w:r>
        <w:rPr>
          <w:rStyle w:val="optioncarChar"/>
        </w:rPr>
        <w:t>/ brillante / mate / ***</w:t>
      </w:r>
      <w:r>
        <w:rPr>
          <w:rStyle w:val="soitChar"/>
        </w:rPr>
        <w:t>.</w:t>
      </w:r>
    </w:p>
    <w:p w14:paraId="373DC9E8" w14:textId="77777777" w:rsidR="004B2808" w:rsidRDefault="00000000">
      <w:pPr>
        <w:pStyle w:val="Author-eListParagraph"/>
        <w:numPr>
          <w:ilvl w:val="0"/>
          <w:numId w:val="126"/>
        </w:numPr>
      </w:pPr>
      <w:r>
        <w:rPr>
          <w:rStyle w:val="soitChar"/>
        </w:rPr>
        <w:t xml:space="preserve">Aspect : </w:t>
      </w:r>
      <w:r>
        <w:rPr>
          <w:rStyle w:val="optioncarChar"/>
        </w:rPr>
        <w:t xml:space="preserve">lisse </w:t>
      </w:r>
      <w:r>
        <w:t>(par défaut)</w:t>
      </w:r>
      <w:r>
        <w:rPr>
          <w:rStyle w:val="optioncarChar"/>
        </w:rPr>
        <w:t xml:space="preserve"> / ***</w:t>
      </w:r>
      <w:r>
        <w:rPr>
          <w:rStyle w:val="soitChar"/>
        </w:rPr>
        <w:t>.</w:t>
      </w:r>
    </w:p>
    <w:p w14:paraId="587798EE" w14:textId="77777777" w:rsidR="004B2808" w:rsidRDefault="00000000">
      <w:pPr>
        <w:jc w:val="both"/>
      </w:pPr>
      <w:r>
        <w:rPr>
          <w:b/>
        </w:rPr>
        <w:t>(soit)</w:t>
      </w:r>
    </w:p>
    <w:p w14:paraId="7F32BF85" w14:textId="77777777" w:rsidR="004B2808" w:rsidRDefault="00000000">
      <w:pPr>
        <w:jc w:val="both"/>
      </w:pPr>
      <w:r>
        <w:rPr>
          <w:rStyle w:val="soitChar"/>
          <w:u w:val="single"/>
        </w:rPr>
        <w:t>Stratifié :</w:t>
      </w:r>
      <w:r>
        <w:rPr>
          <w:rStyle w:val="soitChar"/>
        </w:rPr>
        <w:t xml:space="preserve"> plaque de stratifié haute pression, classe HPL-EN 438 VGS ou S 232.</w:t>
      </w:r>
    </w:p>
    <w:p w14:paraId="58EA4215" w14:textId="77777777" w:rsidR="004B2808" w:rsidRDefault="00000000">
      <w:pPr>
        <w:pStyle w:val="Author-eListParagraph"/>
        <w:numPr>
          <w:ilvl w:val="0"/>
          <w:numId w:val="127"/>
        </w:numPr>
      </w:pPr>
      <w:r>
        <w:rPr>
          <w:rStyle w:val="soitChar"/>
        </w:rPr>
        <w:t xml:space="preserve">Epaisseur : ≥ </w:t>
      </w:r>
      <w:r>
        <w:rPr>
          <w:rStyle w:val="optioncarChar"/>
        </w:rPr>
        <w:t xml:space="preserve">0,8 </w:t>
      </w:r>
      <w:r>
        <w:t>(par défaut)</w:t>
      </w:r>
      <w:r>
        <w:rPr>
          <w:rStyle w:val="optioncarChar"/>
        </w:rPr>
        <w:t xml:space="preserve"> / ***</w:t>
      </w:r>
      <w:r>
        <w:rPr>
          <w:rStyle w:val="soitChar"/>
        </w:rPr>
        <w:t xml:space="preserve"> mm.</w:t>
      </w:r>
    </w:p>
    <w:p w14:paraId="2DF607B5" w14:textId="77777777" w:rsidR="004B2808" w:rsidRDefault="00000000">
      <w:pPr>
        <w:pStyle w:val="Author-eListParagraph"/>
        <w:numPr>
          <w:ilvl w:val="0"/>
          <w:numId w:val="127"/>
        </w:numPr>
      </w:pPr>
      <w:r>
        <w:rPr>
          <w:rStyle w:val="soitChar"/>
        </w:rPr>
        <w:t xml:space="preserve">Couleur : </w:t>
      </w:r>
      <w:r>
        <w:rPr>
          <w:rStyle w:val="optioncarChar"/>
        </w:rPr>
        <w:t xml:space="preserve">à choisir dans la gamme standard du fabricant comprenant 10 teintes au minimum </w:t>
      </w:r>
      <w:r>
        <w:t>(par défaut)</w:t>
      </w:r>
      <w:r>
        <w:rPr>
          <w:rStyle w:val="optioncarChar"/>
        </w:rPr>
        <w:t xml:space="preserve"> / teinte RAL *** / aspect bois - essence :  ***  /  ***</w:t>
      </w:r>
      <w:r>
        <w:rPr>
          <w:rStyle w:val="soitChar"/>
        </w:rPr>
        <w:t>.</w:t>
      </w:r>
    </w:p>
    <w:p w14:paraId="529269B1" w14:textId="77777777" w:rsidR="004B2808" w:rsidRDefault="00000000">
      <w:pPr>
        <w:pStyle w:val="Author-eListParagraph"/>
        <w:numPr>
          <w:ilvl w:val="0"/>
          <w:numId w:val="127"/>
        </w:numPr>
      </w:pPr>
      <w:r>
        <w:rPr>
          <w:rStyle w:val="soitChar"/>
        </w:rPr>
        <w:t xml:space="preserve">Finition : </w:t>
      </w:r>
      <w:r>
        <w:rPr>
          <w:rStyle w:val="optioncarChar"/>
        </w:rPr>
        <w:t xml:space="preserve">satinée </w:t>
      </w:r>
      <w:r>
        <w:t xml:space="preserve">(par défaut) </w:t>
      </w:r>
      <w:r>
        <w:rPr>
          <w:rStyle w:val="optioncarChar"/>
        </w:rPr>
        <w:t>/ brillante / mate / ***</w:t>
      </w:r>
      <w:r>
        <w:rPr>
          <w:rStyle w:val="soitChar"/>
        </w:rPr>
        <w:t>.</w:t>
      </w:r>
    </w:p>
    <w:p w14:paraId="55ED9B51" w14:textId="77777777" w:rsidR="004B2808" w:rsidRDefault="00000000">
      <w:pPr>
        <w:pStyle w:val="Author-eListParagraph"/>
        <w:numPr>
          <w:ilvl w:val="0"/>
          <w:numId w:val="127"/>
        </w:numPr>
      </w:pPr>
      <w:r>
        <w:rPr>
          <w:rStyle w:val="soitChar"/>
        </w:rPr>
        <w:t xml:space="preserve">Aspect : </w:t>
      </w:r>
      <w:r>
        <w:rPr>
          <w:rStyle w:val="optioncarChar"/>
        </w:rPr>
        <w:t xml:space="preserve">lisse </w:t>
      </w:r>
      <w:r>
        <w:t>(par défaut)</w:t>
      </w:r>
      <w:r>
        <w:rPr>
          <w:rStyle w:val="optioncarChar"/>
        </w:rPr>
        <w:t xml:space="preserve"> / ***</w:t>
      </w:r>
      <w:r>
        <w:rPr>
          <w:rStyle w:val="soitChar"/>
        </w:rPr>
        <w:t>.</w:t>
      </w:r>
    </w:p>
    <w:p w14:paraId="176C6179" w14:textId="77777777" w:rsidR="004B2808" w:rsidRDefault="00000000">
      <w:pPr>
        <w:jc w:val="both"/>
      </w:pPr>
      <w:r>
        <w:rPr>
          <w:b/>
        </w:rPr>
        <w:t>(soit)</w:t>
      </w:r>
    </w:p>
    <w:p w14:paraId="33E419C7" w14:textId="77777777" w:rsidR="004B2808" w:rsidRDefault="00000000">
      <w:pPr>
        <w:jc w:val="both"/>
      </w:pPr>
      <w:r>
        <w:rPr>
          <w:rStyle w:val="soitChar"/>
          <w:u w:val="single"/>
        </w:rPr>
        <w:lastRenderedPageBreak/>
        <w:t>Panneau acoustique :</w:t>
      </w:r>
      <w:r>
        <w:rPr>
          <w:rStyle w:val="soitChar"/>
        </w:rPr>
        <w:t xml:space="preserve"> la finition des panneaux mobiles intègre des panneaux perforés composés d’un support en aggloméré, d’un isolant phonique, d’un voile acoustique intercalé et d’une finition en MDF perforée.</w:t>
      </w:r>
    </w:p>
    <w:p w14:paraId="50BDB152" w14:textId="77777777" w:rsidR="004B2808" w:rsidRDefault="00000000">
      <w:pPr>
        <w:pStyle w:val="Author-eListParagraph"/>
        <w:numPr>
          <w:ilvl w:val="0"/>
          <w:numId w:val="128"/>
        </w:numPr>
      </w:pPr>
      <w:r>
        <w:rPr>
          <w:rStyle w:val="soitChar"/>
        </w:rPr>
        <w:t>Epaisseur : ≥</w:t>
      </w:r>
      <w:r>
        <w:rPr>
          <w:rStyle w:val="optioncarChar"/>
        </w:rPr>
        <w:t xml:space="preserve"> 18 </w:t>
      </w:r>
      <w:r>
        <w:t xml:space="preserve">(par défaut) </w:t>
      </w:r>
      <w:r>
        <w:rPr>
          <w:rStyle w:val="optioncarChar"/>
        </w:rPr>
        <w:t>/ ***</w:t>
      </w:r>
      <w:r>
        <w:rPr>
          <w:rStyle w:val="soitChar"/>
        </w:rPr>
        <w:t xml:space="preserve"> mm.</w:t>
      </w:r>
    </w:p>
    <w:p w14:paraId="18488250" w14:textId="77777777" w:rsidR="004B2808" w:rsidRDefault="00000000">
      <w:pPr>
        <w:pStyle w:val="Author-eListParagraph"/>
        <w:numPr>
          <w:ilvl w:val="0"/>
          <w:numId w:val="128"/>
        </w:numPr>
      </w:pPr>
      <w:r>
        <w:rPr>
          <w:rStyle w:val="soitChar"/>
        </w:rPr>
        <w:t xml:space="preserve">Proportion de panneaux perforés par rapport à l’ensemble : </w:t>
      </w:r>
      <w:r>
        <w:rPr>
          <w:rStyle w:val="optioncarChar"/>
        </w:rPr>
        <w:t xml:space="preserve">à déterminer par le fabricant en fonction des prescriptions d’atténuation acoustique décrites ci-avant </w:t>
      </w:r>
      <w:r>
        <w:t xml:space="preserve">(par défaut) </w:t>
      </w:r>
      <w:r>
        <w:rPr>
          <w:rStyle w:val="optioncarChar"/>
        </w:rPr>
        <w:t>/ 50 % / 75 % / ***.</w:t>
      </w:r>
    </w:p>
    <w:p w14:paraId="30BC03A4" w14:textId="77777777" w:rsidR="004B2808" w:rsidRDefault="00000000">
      <w:pPr>
        <w:pStyle w:val="Author-eListParagraph"/>
        <w:numPr>
          <w:ilvl w:val="0"/>
          <w:numId w:val="128"/>
        </w:numPr>
      </w:pPr>
      <w:r>
        <w:rPr>
          <w:rStyle w:val="soitChar"/>
        </w:rPr>
        <w:t xml:space="preserve">Couleur : </w:t>
      </w:r>
      <w:r>
        <w:rPr>
          <w:rStyle w:val="optioncarChar"/>
        </w:rPr>
        <w:t xml:space="preserve">à choisir dans la gamme standard du fabricant comprenant 10 teintes au minimum </w:t>
      </w:r>
      <w:r>
        <w:t xml:space="preserve">(par défaut) </w:t>
      </w:r>
      <w:r>
        <w:rPr>
          <w:rStyle w:val="optioncarChar"/>
        </w:rPr>
        <w:t>/ teinte RAL *** / aspect bois essence :  ***  /  ***.</w:t>
      </w:r>
    </w:p>
    <w:p w14:paraId="37E4767B" w14:textId="77777777" w:rsidR="004B2808" w:rsidRDefault="00000000">
      <w:pPr>
        <w:pStyle w:val="Author-eListParagraph"/>
        <w:numPr>
          <w:ilvl w:val="0"/>
          <w:numId w:val="128"/>
        </w:numPr>
      </w:pPr>
      <w:r>
        <w:rPr>
          <w:rStyle w:val="soitChar"/>
        </w:rPr>
        <w:t xml:space="preserve">Finition : </w:t>
      </w:r>
      <w:r>
        <w:rPr>
          <w:rStyle w:val="optioncarChar"/>
        </w:rPr>
        <w:t xml:space="preserve">satinée </w:t>
      </w:r>
      <w:r>
        <w:t xml:space="preserve">(par défaut) </w:t>
      </w:r>
      <w:r>
        <w:rPr>
          <w:rStyle w:val="optioncarChar"/>
        </w:rPr>
        <w:t>/ brillante / mate / ***</w:t>
      </w:r>
      <w:r>
        <w:rPr>
          <w:rStyle w:val="soitChar"/>
        </w:rPr>
        <w:t>.</w:t>
      </w:r>
    </w:p>
    <w:p w14:paraId="52A22699" w14:textId="77777777" w:rsidR="004B2808" w:rsidRDefault="00000000">
      <w:pPr>
        <w:pStyle w:val="Author-eListParagraph"/>
        <w:numPr>
          <w:ilvl w:val="0"/>
          <w:numId w:val="128"/>
        </w:numPr>
      </w:pPr>
      <w:r>
        <w:rPr>
          <w:rStyle w:val="soitChar"/>
        </w:rPr>
        <w:t xml:space="preserve">Aspect : </w:t>
      </w:r>
      <w:r>
        <w:rPr>
          <w:rStyle w:val="optioncarChar"/>
        </w:rPr>
        <w:t>lisse</w:t>
      </w:r>
      <w:r>
        <w:t xml:space="preserve"> (par défaut)</w:t>
      </w:r>
      <w:r>
        <w:rPr>
          <w:rStyle w:val="optioncarChar"/>
        </w:rPr>
        <w:t xml:space="preserve"> / ***</w:t>
      </w:r>
      <w:r>
        <w:rPr>
          <w:rStyle w:val="soitChar"/>
        </w:rPr>
        <w:t>.</w:t>
      </w:r>
    </w:p>
    <w:p w14:paraId="31AF9439" w14:textId="77777777" w:rsidR="004B2808" w:rsidRDefault="00000000">
      <w:pPr>
        <w:jc w:val="both"/>
      </w:pPr>
      <w:r>
        <w:rPr>
          <w:b/>
        </w:rPr>
        <w:t>(soit)</w:t>
      </w:r>
    </w:p>
    <w:p w14:paraId="37D623FA" w14:textId="77777777" w:rsidR="004B2808" w:rsidRDefault="00000000">
      <w:pPr>
        <w:jc w:val="both"/>
      </w:pPr>
      <w:r>
        <w:rPr>
          <w:rStyle w:val="optioncarChar"/>
        </w:rPr>
        <w:t>***</w:t>
      </w:r>
    </w:p>
    <w:p w14:paraId="2D2EFC6C" w14:textId="77777777" w:rsidR="004B2808" w:rsidRDefault="00000000">
      <w:pPr>
        <w:jc w:val="both"/>
      </w:pPr>
      <w:r>
        <w:rPr>
          <w:b/>
        </w:rPr>
        <w:t>Finition des panneaux vitrés</w:t>
      </w:r>
    </w:p>
    <w:p w14:paraId="7E968376" w14:textId="77777777" w:rsidR="004B2808" w:rsidRDefault="00000000">
      <w:pPr>
        <w:jc w:val="both"/>
      </w:pPr>
      <w:r>
        <w:t xml:space="preserve">Profils des cadres métalliques : </w:t>
      </w:r>
      <w:r>
        <w:rPr>
          <w:rStyle w:val="optioncarChar"/>
        </w:rPr>
        <w:t xml:space="preserve">thermolaqué par poudrage polyester </w:t>
      </w:r>
      <w:r>
        <w:t>(par défaut)</w:t>
      </w:r>
      <w:r>
        <w:rPr>
          <w:rStyle w:val="optioncarChar"/>
        </w:rPr>
        <w:t xml:space="preserve"> / anodisé / ***</w:t>
      </w:r>
      <w:r>
        <w:t>.</w:t>
      </w:r>
    </w:p>
    <w:p w14:paraId="6F3E49F7" w14:textId="77777777" w:rsidR="004B2808" w:rsidRDefault="00000000">
      <w:pPr>
        <w:jc w:val="both"/>
      </w:pPr>
      <w:r>
        <w:rPr>
          <w:b/>
        </w:rPr>
        <w:t>(soit par défaut)</w:t>
      </w:r>
    </w:p>
    <w:p w14:paraId="43A86B90" w14:textId="77777777" w:rsidR="004B2808" w:rsidRDefault="00000000">
      <w:pPr>
        <w:jc w:val="both"/>
      </w:pPr>
      <w:r>
        <w:rPr>
          <w:rStyle w:val="soitChar"/>
          <w:u w:val="single"/>
        </w:rPr>
        <w:t>Thermolaqué par poudrage polyester :</w:t>
      </w:r>
      <w:r>
        <w:rPr>
          <w:rStyle w:val="soitChar"/>
        </w:rPr>
        <w:t xml:space="preserve"> selon Qualicoat épaisseur ≥ 60 μm</w:t>
      </w:r>
    </w:p>
    <w:p w14:paraId="2F333D45" w14:textId="77777777" w:rsidR="004B2808" w:rsidRDefault="00000000">
      <w:pPr>
        <w:pStyle w:val="Author-eListParagraph"/>
        <w:numPr>
          <w:ilvl w:val="0"/>
          <w:numId w:val="129"/>
        </w:numPr>
      </w:pPr>
      <w:r>
        <w:rPr>
          <w:rStyle w:val="soitChar"/>
        </w:rPr>
        <w:t>Couleur : RAL n°</w:t>
      </w:r>
      <w:r>
        <w:rPr>
          <w:rStyle w:val="optioncarChar"/>
        </w:rPr>
        <w:t xml:space="preserve"> ***</w:t>
      </w:r>
    </w:p>
    <w:p w14:paraId="5BC23E41" w14:textId="77777777" w:rsidR="004B2808" w:rsidRDefault="00000000">
      <w:pPr>
        <w:pStyle w:val="Author-eListParagraph"/>
        <w:numPr>
          <w:ilvl w:val="0"/>
          <w:numId w:val="129"/>
        </w:numPr>
      </w:pPr>
      <w:r>
        <w:rPr>
          <w:rStyle w:val="soitChar"/>
        </w:rPr>
        <w:t xml:space="preserve">Brillance : </w:t>
      </w:r>
      <w:r>
        <w:rPr>
          <w:rStyle w:val="optioncarChar"/>
        </w:rPr>
        <w:t xml:space="preserve">70 </w:t>
      </w:r>
      <w:r>
        <w:t>(par défaut)</w:t>
      </w:r>
      <w:r>
        <w:rPr>
          <w:rStyle w:val="optioncarChar"/>
        </w:rPr>
        <w:t xml:space="preserve"> / ***</w:t>
      </w:r>
      <w:r>
        <w:t>  </w:t>
      </w:r>
      <w:r>
        <w:rPr>
          <w:rStyle w:val="soitChar"/>
        </w:rPr>
        <w:t>%.</w:t>
      </w:r>
    </w:p>
    <w:p w14:paraId="45DB3AAD" w14:textId="77777777" w:rsidR="004B2808" w:rsidRDefault="00000000">
      <w:pPr>
        <w:jc w:val="both"/>
      </w:pPr>
      <w:r>
        <w:rPr>
          <w:b/>
        </w:rPr>
        <w:t>(soit)</w:t>
      </w:r>
    </w:p>
    <w:p w14:paraId="0666CA61" w14:textId="77777777" w:rsidR="004B2808" w:rsidRDefault="00000000">
      <w:pPr>
        <w:jc w:val="both"/>
      </w:pPr>
      <w:r>
        <w:rPr>
          <w:rStyle w:val="soitChar"/>
          <w:u w:val="single"/>
        </w:rPr>
        <w:t>Anodisé :</w:t>
      </w:r>
      <w:r>
        <w:rPr>
          <w:rStyle w:val="soitChar"/>
        </w:rPr>
        <w:t xml:space="preserve"> selon Qualanod épaisseur ≥ 18 μm</w:t>
      </w:r>
    </w:p>
    <w:p w14:paraId="306EA250" w14:textId="77777777" w:rsidR="004B2808" w:rsidRDefault="00000000">
      <w:pPr>
        <w:pStyle w:val="Author-eListParagraph"/>
        <w:numPr>
          <w:ilvl w:val="0"/>
          <w:numId w:val="130"/>
        </w:numPr>
      </w:pPr>
      <w:r>
        <w:rPr>
          <w:rStyle w:val="soitChar"/>
        </w:rPr>
        <w:t>Couleur :</w:t>
      </w:r>
      <w:r>
        <w:rPr>
          <w:rStyle w:val="optioncarChar"/>
        </w:rPr>
        <w:t xml:space="preserve"> naturelle </w:t>
      </w:r>
      <w:r>
        <w:t>(par défaut)</w:t>
      </w:r>
      <w:r>
        <w:rPr>
          <w:rStyle w:val="optioncarChar"/>
        </w:rPr>
        <w:t xml:space="preserve"> / ***.</w:t>
      </w:r>
    </w:p>
    <w:p w14:paraId="1F559DF2" w14:textId="77777777" w:rsidR="004B2808" w:rsidRDefault="00000000">
      <w:pPr>
        <w:pStyle w:val="Author-eListParagraph"/>
        <w:numPr>
          <w:ilvl w:val="0"/>
          <w:numId w:val="130"/>
        </w:numPr>
      </w:pPr>
      <w:r>
        <w:rPr>
          <w:rStyle w:val="soitChar"/>
        </w:rPr>
        <w:t xml:space="preserve">Finition : </w:t>
      </w:r>
      <w:r>
        <w:rPr>
          <w:rStyle w:val="optioncarChar"/>
        </w:rPr>
        <w:t>mate</w:t>
      </w:r>
      <w:r>
        <w:t xml:space="preserve"> (par défaut)</w:t>
      </w:r>
      <w:r>
        <w:rPr>
          <w:rStyle w:val="optioncarChar"/>
        </w:rPr>
        <w:t xml:space="preserve"> / ***</w:t>
      </w:r>
      <w:r>
        <w:rPr>
          <w:rStyle w:val="soitChar"/>
        </w:rPr>
        <w:t>.</w:t>
      </w:r>
    </w:p>
    <w:p w14:paraId="3299204F" w14:textId="77777777" w:rsidR="004B2808" w:rsidRDefault="00000000">
      <w:pPr>
        <w:jc w:val="both"/>
      </w:pPr>
      <w:r>
        <w:rPr>
          <w:b/>
        </w:rPr>
        <w:t>(soit)</w:t>
      </w:r>
    </w:p>
    <w:p w14:paraId="377956E8" w14:textId="77777777" w:rsidR="004B2808" w:rsidRDefault="00000000">
      <w:pPr>
        <w:jc w:val="both"/>
      </w:pPr>
      <w:r>
        <w:rPr>
          <w:rStyle w:val="optioncarChar"/>
        </w:rPr>
        <w:t>***</w:t>
      </w:r>
    </w:p>
    <w:p w14:paraId="4507E4D0" w14:textId="77777777" w:rsidR="004B2808" w:rsidRDefault="00000000">
      <w:pPr>
        <w:jc w:val="both"/>
      </w:pPr>
      <w:r>
        <w:t xml:space="preserve">Vitrage : </w:t>
      </w:r>
      <w:r>
        <w:rPr>
          <w:rStyle w:val="optioncarChar"/>
        </w:rPr>
        <w:t>clair</w:t>
      </w:r>
      <w:r>
        <w:t xml:space="preserve"> (par défaut) </w:t>
      </w:r>
      <w:r>
        <w:rPr>
          <w:rStyle w:val="optioncarChar"/>
        </w:rPr>
        <w:t>/ mat / unidirectionnel (glace intimité) / ***</w:t>
      </w:r>
      <w:r>
        <w:t>.</w:t>
      </w:r>
    </w:p>
    <w:p w14:paraId="5AE1D3EE" w14:textId="77777777" w:rsidR="004B2808" w:rsidRDefault="00000000">
      <w:pPr>
        <w:pStyle w:val="pheading"/>
      </w:pPr>
      <w:r>
        <w:t>EXÉCUTION / MISE EN ŒUVRE</w:t>
      </w:r>
    </w:p>
    <w:p w14:paraId="248C3F88" w14:textId="77777777" w:rsidR="004B2808" w:rsidRDefault="00000000">
      <w:pPr>
        <w:pStyle w:val="pheading"/>
      </w:pPr>
      <w:r>
        <w:t>- Prescriptions générales</w:t>
      </w:r>
    </w:p>
    <w:p w14:paraId="336E17BA" w14:textId="77777777" w:rsidR="004B2808" w:rsidRDefault="00000000">
      <w:pPr>
        <w:jc w:val="both"/>
      </w:pPr>
      <w:r>
        <w:t>La mise en œuvre et les assemblages sont exécutés conformément à la documentation technique accompagnant le produit et aux plans de détails approuvés par la direction du chantier lors de l’étude du fabricant prescrite ci-avant.</w:t>
      </w:r>
    </w:p>
    <w:p w14:paraId="219113D0" w14:textId="77777777" w:rsidR="004B2808" w:rsidRDefault="00000000">
      <w:pPr>
        <w:pStyle w:val="pheading"/>
      </w:pPr>
      <w:r>
        <w:t>- Échantillons</w:t>
      </w:r>
    </w:p>
    <w:p w14:paraId="55B1D2DA" w14:textId="77777777" w:rsidR="004B2808" w:rsidRDefault="00000000">
      <w:pPr>
        <w:jc w:val="both"/>
      </w:pPr>
      <w:r>
        <w:t>L’entrepreneur soumet un échantillon du système et des finitions qu’il propose à l’approbation de la direction du chantier.</w:t>
      </w:r>
    </w:p>
    <w:p w14:paraId="21F2C931" w14:textId="77777777" w:rsidR="004B2808" w:rsidRDefault="00000000">
      <w:pPr>
        <w:pStyle w:val="pheading"/>
      </w:pPr>
      <w:r>
        <w:t>MESURAGE</w:t>
      </w:r>
    </w:p>
    <w:p w14:paraId="7A1D2807" w14:textId="77777777" w:rsidR="004B2808" w:rsidRDefault="00000000">
      <w:pPr>
        <w:pStyle w:val="pheading"/>
      </w:pPr>
      <w:r>
        <w:t>- unité de mesure:</w:t>
      </w:r>
    </w:p>
    <w:p w14:paraId="4B957C78" w14:textId="77777777" w:rsidR="004B2808" w:rsidRDefault="00000000">
      <w:r>
        <w:t>m²</w:t>
      </w:r>
    </w:p>
    <w:p w14:paraId="40D4DF09" w14:textId="77777777" w:rsidR="004B2808" w:rsidRDefault="00000000">
      <w:pPr>
        <w:pStyle w:val="pheading"/>
      </w:pPr>
      <w:r>
        <w:t>- code de mesurage:</w:t>
      </w:r>
    </w:p>
    <w:p w14:paraId="417D3522" w14:textId="77777777" w:rsidR="004B2808" w:rsidRDefault="00000000">
      <w:pPr>
        <w:jc w:val="both"/>
      </w:pPr>
      <w:r>
        <w:t>Surface nette de panneaux à mettre en œuvre, ventilée suivant le type de panneau, des performances requises, des accessoires prescrits, etc...</w:t>
      </w:r>
    </w:p>
    <w:p w14:paraId="7B6C4386" w14:textId="77777777" w:rsidR="004B2808" w:rsidRDefault="00000000">
      <w:pPr>
        <w:pStyle w:val="pheading"/>
      </w:pPr>
      <w:r>
        <w:t>- nature du marché:</w:t>
      </w:r>
    </w:p>
    <w:p w14:paraId="03675449" w14:textId="77777777" w:rsidR="004B2808" w:rsidRDefault="00000000">
      <w:r>
        <w:t>QF</w:t>
      </w:r>
    </w:p>
    <w:p w14:paraId="2E191783" w14:textId="77777777" w:rsidR="004B2808" w:rsidRDefault="00000000">
      <w:pPr>
        <w:pStyle w:val="Author-eSectionHeading4Numberless"/>
      </w:pPr>
      <w:bookmarkStart w:id="104" w:name="_Toc220490309"/>
      <w:r>
        <w:lastRenderedPageBreak/>
        <w:t>51.42 Cloisons mobiles - coulissantes verticales CCTB 01.11</w:t>
      </w:r>
      <w:bookmarkEnd w:id="104"/>
    </w:p>
    <w:p w14:paraId="13A7CFC3" w14:textId="77777777" w:rsidR="004B2808" w:rsidRDefault="00000000">
      <w:pPr>
        <w:pStyle w:val="pheading"/>
      </w:pPr>
      <w:r>
        <w:t>MATÉRIAUX</w:t>
      </w:r>
    </w:p>
    <w:p w14:paraId="27DA3725" w14:textId="77777777" w:rsidR="004B2808" w:rsidRDefault="00000000">
      <w:pPr>
        <w:jc w:val="both"/>
      </w:pPr>
      <w:r>
        <w:t>La cloison mobile est composée de panneaux coulissants verticalement qui se replient vers le haut sans intervention manuelle à la manière d’un accordéon. L’ensemble est relié à une structure porteuse métallique dont le dimensionnement est calculé en fonction de la taille et du poids des panneaux de cloisonnement.</w:t>
      </w:r>
    </w:p>
    <w:p w14:paraId="79824EF8" w14:textId="77777777" w:rsidR="004B2808" w:rsidRDefault="00000000">
      <w:pPr>
        <w:jc w:val="both"/>
      </w:pPr>
      <w:r>
        <w:rPr>
          <w:b/>
        </w:rPr>
        <w:t>Rail(s) de support et de guidage</w:t>
      </w:r>
    </w:p>
    <w:p w14:paraId="171C79B5" w14:textId="77777777" w:rsidR="004B2808" w:rsidRDefault="00000000">
      <w:pPr>
        <w:jc w:val="both"/>
      </w:pPr>
      <w:r>
        <w:t>En partie haute, la structure se compose d’un profilé de support principal en acier pour la cloison et de divers supports pour le mécanisme de levage. L’ensemble est ancré à la structure portante à l’aide de tiges filetées et de barrettes de mise à niveau. Il s’insère dans un espace de rangement dont les dimensions permettent l’intégration de l’ensemble du mécanisme.</w:t>
      </w:r>
    </w:p>
    <w:p w14:paraId="3A75C0BD" w14:textId="77777777" w:rsidR="004B2808" w:rsidRDefault="004B2808">
      <w:pPr>
        <w:jc w:val="both"/>
      </w:pPr>
    </w:p>
    <w:p w14:paraId="526FDE0A" w14:textId="77777777" w:rsidR="004B2808" w:rsidRDefault="00000000">
      <w:pPr>
        <w:jc w:val="both"/>
      </w:pPr>
      <w:r>
        <w:t>En partie latérale, les rails sont en aluminium ou en acier. Ils sont ancrés à la structure portante à l’aide de tiges filetées et de barrettes de mise à niveau. Afin d'assurer la stabilité latérale des éléments, des galets en nylon autolubrifiant coulissent dans le rail.</w:t>
      </w:r>
    </w:p>
    <w:p w14:paraId="28A5F522" w14:textId="77777777" w:rsidR="004B2808" w:rsidRDefault="004B2808">
      <w:pPr>
        <w:jc w:val="both"/>
      </w:pPr>
    </w:p>
    <w:p w14:paraId="01B9E87B" w14:textId="77777777" w:rsidR="004B2808" w:rsidRDefault="00000000">
      <w:pPr>
        <w:jc w:val="both"/>
      </w:pPr>
      <w:r>
        <w:t>En partie basse : pas de rail.</w:t>
      </w:r>
    </w:p>
    <w:p w14:paraId="541862F7" w14:textId="77777777" w:rsidR="004B2808" w:rsidRDefault="00000000">
      <w:pPr>
        <w:jc w:val="both"/>
      </w:pPr>
      <w:r>
        <w:rPr>
          <w:b/>
        </w:rPr>
        <w:t>Mécanisme de pliage</w:t>
      </w:r>
    </w:p>
    <w:p w14:paraId="469984FC" w14:textId="77777777" w:rsidR="004B2808" w:rsidRDefault="00000000">
      <w:pPr>
        <w:jc w:val="both"/>
      </w:pPr>
      <w:r>
        <w:t>Le mécanisme de suspension, pliage et déploiement est fabriqué à partir d’extrusions d’aluminium de grade structural et de profilés de construction en acier, afin de minimiser le poids du système.</w:t>
      </w:r>
    </w:p>
    <w:p w14:paraId="0A8F8D91" w14:textId="77777777" w:rsidR="004B2808" w:rsidRDefault="00000000">
      <w:pPr>
        <w:jc w:val="both"/>
      </w:pPr>
      <w:r>
        <w:t>Toutes les surfaces d’usure telles que bagues, entretoises, goupilles, disques, roulements et manchons sont conçus pour fonctionner avec une usure minimale, tout au long des 10 000 cycles de vie utile de la cloison automatique.</w:t>
      </w:r>
    </w:p>
    <w:p w14:paraId="4036BB3C" w14:textId="77777777" w:rsidR="004B2808" w:rsidRDefault="00000000">
      <w:pPr>
        <w:jc w:val="both"/>
      </w:pPr>
      <w:r>
        <w:t>Les supports qui relient le mécanisme de levage à la structure sont fabriqués en acier et sont soudés ou boulonnés à la structure de support.</w:t>
      </w:r>
    </w:p>
    <w:p w14:paraId="0EB9B22F" w14:textId="77777777" w:rsidR="004B2808" w:rsidRDefault="00000000">
      <w:pPr>
        <w:pStyle w:val="Author-eListParagraph"/>
        <w:numPr>
          <w:ilvl w:val="0"/>
          <w:numId w:val="131"/>
        </w:numPr>
      </w:pPr>
      <w:r>
        <w:t>Type d’ancrage et dimensions : à déterminer par le fabricant du système et à soumettre à l’approbation de la direction du chantier.</w:t>
      </w:r>
    </w:p>
    <w:p w14:paraId="04F57032" w14:textId="77777777" w:rsidR="004B2808" w:rsidRDefault="00000000">
      <w:pPr>
        <w:jc w:val="both"/>
      </w:pPr>
      <w:r>
        <w:rPr>
          <w:b/>
        </w:rPr>
        <w:t>Motorisation </w:t>
      </w:r>
    </w:p>
    <w:p w14:paraId="56DDEDB4" w14:textId="77777777" w:rsidR="004B2808" w:rsidRDefault="00000000">
      <w:pPr>
        <w:jc w:val="both"/>
      </w:pPr>
      <w:r>
        <w:t>La motorisation est conforme à la [NBN EN 60335-2-97] et répond aux exigences de sécurité d’utilisation, de vitesse d’entrainement et de compatibilité électromagnétique. La puissance est adaptée aux caractéristiques de la cloison mobile à actionner afin de respecter les exigences de sécurité et d’endurance.</w:t>
      </w:r>
    </w:p>
    <w:p w14:paraId="1AF4ED6E" w14:textId="77777777" w:rsidR="004B2808" w:rsidRDefault="00000000">
      <w:pPr>
        <w:jc w:val="both"/>
      </w:pPr>
      <w:r>
        <w:t>La commande du déplacement des panneaux dans la position souhaitée est entièrement contrôlée électriquement et programmable.</w:t>
      </w:r>
    </w:p>
    <w:p w14:paraId="41456309" w14:textId="77777777" w:rsidR="004B2808" w:rsidRDefault="00000000">
      <w:pPr>
        <w:jc w:val="both"/>
      </w:pPr>
      <w:r>
        <w:t>Le mécanisme de levage est conçu pour fonctionner en douceur, silencieusement et sans danger à l’aide de préférence de roulements à billes plutôt que de bagues et surfaces d’usure. En aucun cas les systèmes d’entraînement par chaîne ou courroie ne sont admissibles.</w:t>
      </w:r>
    </w:p>
    <w:p w14:paraId="1DF53473" w14:textId="77777777" w:rsidR="004B2808" w:rsidRDefault="00000000">
      <w:pPr>
        <w:jc w:val="both"/>
      </w:pPr>
      <w:r>
        <w:t>Chaque mécanisme de levage est équipé d’un câble de type « aviation » en acier galvanisé. Le diamètre des câbles est dimensionné par le fabricant du système de façon à supporter tout le poids de la cloison.</w:t>
      </w:r>
    </w:p>
    <w:p w14:paraId="62E9F3FF" w14:textId="77777777" w:rsidR="004B2808" w:rsidRDefault="00000000">
      <w:pPr>
        <w:jc w:val="both"/>
      </w:pPr>
      <w:r>
        <w:rPr>
          <w:b/>
        </w:rPr>
        <w:t>Équipement de sécurité</w:t>
      </w:r>
    </w:p>
    <w:p w14:paraId="44425DC5" w14:textId="77777777" w:rsidR="004B2808" w:rsidRDefault="00000000">
      <w:pPr>
        <w:jc w:val="both"/>
      </w:pPr>
      <w:r>
        <w:t>Le système est équipé : </w:t>
      </w:r>
    </w:p>
    <w:p w14:paraId="41142A21" w14:textId="77777777" w:rsidR="004B2808" w:rsidRDefault="00000000">
      <w:pPr>
        <w:pStyle w:val="Author-eListParagraph"/>
        <w:numPr>
          <w:ilvl w:val="0"/>
          <w:numId w:val="132"/>
        </w:numPr>
      </w:pPr>
      <w:r>
        <w:t>d’un frein de type électromagnétique qui s’engage lorsque l’alimentation électrique du système est interrompue. Ce frein a un couple de décélération minimale ≥ à 200 % du couple de la commande mécanique en pleine charge. Un levier de désengagement manuel du frein est présent sur le moteur.</w:t>
      </w:r>
    </w:p>
    <w:p w14:paraId="3DA10C7B" w14:textId="77777777" w:rsidR="004B2808" w:rsidRDefault="00000000">
      <w:pPr>
        <w:pStyle w:val="Author-eListParagraph"/>
        <w:numPr>
          <w:ilvl w:val="0"/>
          <w:numId w:val="132"/>
        </w:numPr>
      </w:pPr>
      <w:r>
        <w:lastRenderedPageBreak/>
        <w:t>d’un frein dynamique, distinct et indépendant du frein décrit ci-avant de manière à limiter la vitesse de descente maximale à une valeur ≤ à 150 % de la vitesse de descente normale et à arrêter le mouvement vers le bas dans le cas d’un bris du système d’entraînement.</w:t>
      </w:r>
    </w:p>
    <w:p w14:paraId="66689203" w14:textId="77777777" w:rsidR="004B2808" w:rsidRDefault="00000000">
      <w:pPr>
        <w:pStyle w:val="Author-eListParagraph"/>
        <w:numPr>
          <w:ilvl w:val="0"/>
          <w:numId w:val="132"/>
        </w:numPr>
      </w:pPr>
      <w:r>
        <w:t>d’interrupteurs électriques de fin de course de manière à immobiliser la cloison à ses limites de déplacement supérieures et inférieures.</w:t>
      </w:r>
    </w:p>
    <w:p w14:paraId="54B67A4B" w14:textId="77777777" w:rsidR="004B2808" w:rsidRDefault="00000000">
      <w:pPr>
        <w:pStyle w:val="Author-eListParagraph"/>
        <w:numPr>
          <w:ilvl w:val="0"/>
          <w:numId w:val="132"/>
        </w:numPr>
      </w:pPr>
      <w:r>
        <w:t>d’un détecteur mécanique de surcouple pouvant détecter un blocage dans le système et agir en tant que détecteur de dépassement de fin de course lorsque la cloison monte et que le premier interrupteur tombe en panne.</w:t>
      </w:r>
    </w:p>
    <w:p w14:paraId="777E7D17" w14:textId="77777777" w:rsidR="004B2808" w:rsidRDefault="00000000">
      <w:pPr>
        <w:pStyle w:val="Author-eListParagraph"/>
        <w:numPr>
          <w:ilvl w:val="0"/>
          <w:numId w:val="132"/>
        </w:numPr>
      </w:pPr>
      <w:r>
        <w:t>sur le rebord inférieur de la cloison, d’une bande de détection de pression continue sur toute sa longueur permettant de couper l’alimentation électrique de l’équipement de levage et engageant le frein électromagnétique décrit ci-avant si le rebord entre en contact avec un obstacle. L’alimentation de l’équipement de levage reste interrompue jusqu’à ce que l’interrupteur ait été relâché ou que la direction de la cloison a été inversée et l’obstacle enlevé.</w:t>
      </w:r>
    </w:p>
    <w:p w14:paraId="4A91C022" w14:textId="77777777" w:rsidR="004B2808" w:rsidRDefault="00000000">
      <w:pPr>
        <w:pStyle w:val="Author-eListParagraph"/>
        <w:numPr>
          <w:ilvl w:val="0"/>
          <w:numId w:val="132"/>
        </w:numPr>
      </w:pPr>
      <w:r>
        <w:t>de capteurs optiques qui coupent l’alimentation de l’équipement de levage. Si un objet ou une personne passe entre l’émetteur et le récepteur, la direction de la cloison est inversée automatiquement et la cloison s’ouvre pendant 3 secondes afin de pouvoir retirer l’objet.</w:t>
      </w:r>
    </w:p>
    <w:p w14:paraId="5484BE07" w14:textId="77777777" w:rsidR="004B2808" w:rsidRDefault="00000000">
      <w:pPr>
        <w:jc w:val="both"/>
      </w:pPr>
      <w:r>
        <w:rPr>
          <w:b/>
        </w:rPr>
        <w:t>Stockage des éléments</w:t>
      </w:r>
    </w:p>
    <w:p w14:paraId="037AFF0B" w14:textId="77777777" w:rsidR="004B2808" w:rsidRDefault="00000000">
      <w:pPr>
        <w:jc w:val="both"/>
      </w:pPr>
      <w:r>
        <w:t>Le stockage des panneaux est prévu de manière compacte dans une zone située à l’extrémité supérieure du rail de guidage.</w:t>
      </w:r>
    </w:p>
    <w:p w14:paraId="2096FD13" w14:textId="77777777" w:rsidR="004B2808" w:rsidRDefault="00000000">
      <w:pPr>
        <w:pStyle w:val="Author-eSectionHeading5Numberless"/>
      </w:pPr>
      <w:bookmarkStart w:id="105" w:name="_Toc220490310"/>
      <w:r>
        <w:t>51.42.1 Cloisons mobiles - coulissantes verticales CCTB 01.11</w:t>
      </w:r>
      <w:bookmarkEnd w:id="105"/>
    </w:p>
    <w:p w14:paraId="5B777E98" w14:textId="77777777" w:rsidR="004B2808" w:rsidRDefault="00000000">
      <w:pPr>
        <w:pStyle w:val="Author-eSectionHeading6Numberless"/>
      </w:pPr>
      <w:bookmarkStart w:id="106" w:name="_Toc220490311"/>
      <w:r>
        <w:t>51.42.1a Cloisons mobiles - coulissantes verticales CCTB 01.11</w:t>
      </w:r>
      <w:bookmarkEnd w:id="106"/>
    </w:p>
    <w:p w14:paraId="12406C02" w14:textId="77777777" w:rsidR="004B2808" w:rsidRDefault="00000000">
      <w:pPr>
        <w:pStyle w:val="pheading"/>
      </w:pPr>
      <w:r>
        <w:t>DESCRIPTION</w:t>
      </w:r>
    </w:p>
    <w:p w14:paraId="4C7C3396" w14:textId="77777777" w:rsidR="004B2808" w:rsidRDefault="00000000">
      <w:pPr>
        <w:pStyle w:val="pheading"/>
      </w:pPr>
      <w:r>
        <w:t>- Définition / Comprend</w:t>
      </w:r>
    </w:p>
    <w:p w14:paraId="53D3D76F" w14:textId="77777777" w:rsidR="004B2808" w:rsidRDefault="00000000">
      <w:pPr>
        <w:jc w:val="both"/>
      </w:pPr>
      <w:r>
        <w:t>Il s’agit de la fourniture et de la pose de cloisons mobiles auto rétractables composés d’éléments liaisonnés en accordéon coulissant verticalement dans un rail de guidage et composés :</w:t>
      </w:r>
    </w:p>
    <w:p w14:paraId="00FCA448" w14:textId="77777777" w:rsidR="004B2808" w:rsidRDefault="00000000">
      <w:pPr>
        <w:pStyle w:val="Author-eListParagraph"/>
        <w:numPr>
          <w:ilvl w:val="0"/>
          <w:numId w:val="133"/>
        </w:numPr>
      </w:pPr>
      <w:r>
        <w:t>de profils porteurs en acier avec consoles de fixation ;</w:t>
      </w:r>
    </w:p>
    <w:p w14:paraId="7737014B" w14:textId="77777777" w:rsidR="004B2808" w:rsidRDefault="00000000">
      <w:pPr>
        <w:pStyle w:val="Author-eListParagraph"/>
        <w:numPr>
          <w:ilvl w:val="0"/>
          <w:numId w:val="133"/>
        </w:numPr>
      </w:pPr>
      <w:r>
        <w:t>de supports en acier pour le mécanisme de levage ;</w:t>
      </w:r>
    </w:p>
    <w:p w14:paraId="1439A1B8" w14:textId="77777777" w:rsidR="004B2808" w:rsidRDefault="00000000">
      <w:pPr>
        <w:pStyle w:val="Author-eListParagraph"/>
        <w:numPr>
          <w:ilvl w:val="0"/>
          <w:numId w:val="133"/>
        </w:numPr>
      </w:pPr>
      <w:r>
        <w:t>de profils verticaux latéraux de guidage ;</w:t>
      </w:r>
    </w:p>
    <w:p w14:paraId="01FDDE73" w14:textId="77777777" w:rsidR="004B2808" w:rsidRDefault="00000000">
      <w:pPr>
        <w:pStyle w:val="Author-eListParagraph"/>
        <w:numPr>
          <w:ilvl w:val="0"/>
          <w:numId w:val="133"/>
        </w:numPr>
      </w:pPr>
      <w:r>
        <w:t>de panneaux mobiles de cloisonnement permettant de moduler la dimension de locaux ou de salles.</w:t>
      </w:r>
    </w:p>
    <w:p w14:paraId="034B83A6" w14:textId="77777777" w:rsidR="004B2808" w:rsidRDefault="00000000">
      <w:pPr>
        <w:jc w:val="both"/>
      </w:pPr>
      <w:r>
        <w:t>Cet article comprend également l’étude par le fabricant :</w:t>
      </w:r>
    </w:p>
    <w:p w14:paraId="03062EAF" w14:textId="77777777" w:rsidR="004B2808" w:rsidRDefault="00000000">
      <w:pPr>
        <w:pStyle w:val="Author-eListParagraph"/>
        <w:numPr>
          <w:ilvl w:val="0"/>
          <w:numId w:val="134"/>
        </w:numPr>
      </w:pPr>
      <w:r>
        <w:t>du dimensionnement des structures de suspente et de leurs ancrages ;</w:t>
      </w:r>
    </w:p>
    <w:p w14:paraId="1F399C9B" w14:textId="77777777" w:rsidR="004B2808" w:rsidRDefault="00000000">
      <w:pPr>
        <w:pStyle w:val="Author-eListParagraph"/>
        <w:numPr>
          <w:ilvl w:val="0"/>
          <w:numId w:val="134"/>
        </w:numPr>
      </w:pPr>
      <w:r>
        <w:t>du dimensionnement et du calepinage des panneaux en fonction des plans de principes joints au dossier ;</w:t>
      </w:r>
    </w:p>
    <w:p w14:paraId="00399888" w14:textId="77777777" w:rsidR="004B2808" w:rsidRDefault="00000000">
      <w:pPr>
        <w:pStyle w:val="Author-eListParagraph"/>
        <w:numPr>
          <w:ilvl w:val="0"/>
          <w:numId w:val="134"/>
        </w:numPr>
      </w:pPr>
      <w:r>
        <w:t>de l’intégration de la motorisation et des éventuels accessoires décrits ci-après.</w:t>
      </w:r>
    </w:p>
    <w:p w14:paraId="3C9D48E0" w14:textId="77777777" w:rsidR="004B2808" w:rsidRDefault="00000000">
      <w:pPr>
        <w:jc w:val="both"/>
      </w:pPr>
      <w:r>
        <w:t>L’ensemble des notes de calcul et des plans de détail sont soumis à l’approbation de la direction des travaux.</w:t>
      </w:r>
    </w:p>
    <w:p w14:paraId="790182B1" w14:textId="77777777" w:rsidR="004B2808" w:rsidRDefault="00000000">
      <w:pPr>
        <w:pStyle w:val="pheading"/>
      </w:pPr>
      <w:r>
        <w:t>MATÉRIAUX</w:t>
      </w:r>
    </w:p>
    <w:p w14:paraId="49FFB184" w14:textId="77777777" w:rsidR="004B2808" w:rsidRDefault="00000000">
      <w:pPr>
        <w:pStyle w:val="pheading"/>
      </w:pPr>
      <w:r>
        <w:t>- Caractéristiques générales</w:t>
      </w:r>
    </w:p>
    <w:p w14:paraId="714A0079" w14:textId="77777777" w:rsidR="004B2808" w:rsidRDefault="00000000">
      <w:pPr>
        <w:jc w:val="both"/>
      </w:pPr>
      <w:r>
        <w:rPr>
          <w:b/>
        </w:rPr>
        <w:t>Rail(s) de support et de guidage</w:t>
      </w:r>
    </w:p>
    <w:p w14:paraId="3F0114E6" w14:textId="77777777" w:rsidR="004B2808" w:rsidRDefault="00000000">
      <w:pPr>
        <w:jc w:val="both"/>
      </w:pPr>
      <w:r>
        <w:t>En partie haute :</w:t>
      </w:r>
    </w:p>
    <w:p w14:paraId="278B879C" w14:textId="77777777" w:rsidR="004B2808" w:rsidRDefault="00000000">
      <w:pPr>
        <w:pStyle w:val="Author-eListParagraph"/>
        <w:numPr>
          <w:ilvl w:val="0"/>
          <w:numId w:val="135"/>
        </w:numPr>
      </w:pPr>
      <w:r>
        <w:t>Type d’ancrage et dimensions : à déterminer par le fabricant du système et à soumettre à l’approbation de la direction du chantier.</w:t>
      </w:r>
    </w:p>
    <w:p w14:paraId="2EDE2D29" w14:textId="77777777" w:rsidR="004B2808" w:rsidRDefault="00000000">
      <w:pPr>
        <w:pStyle w:val="Author-eListParagraph"/>
        <w:numPr>
          <w:ilvl w:val="0"/>
          <w:numId w:val="135"/>
        </w:numPr>
      </w:pPr>
      <w:r>
        <w:t xml:space="preserve">Positionnement du système et de la cloison repliée par rapport au plafond ou au coffrage de finition : </w:t>
      </w:r>
      <w:r>
        <w:rPr>
          <w:rStyle w:val="optioncarChar"/>
        </w:rPr>
        <w:t xml:space="preserve">non saillant </w:t>
      </w:r>
      <w:r>
        <w:t>(par défaut)</w:t>
      </w:r>
      <w:r>
        <w:rPr>
          <w:rStyle w:val="optioncarChar"/>
        </w:rPr>
        <w:t xml:space="preserve"> / saillant</w:t>
      </w:r>
      <w:r>
        <w:t>.</w:t>
      </w:r>
    </w:p>
    <w:p w14:paraId="1C774E4C" w14:textId="77777777" w:rsidR="004B2808" w:rsidRDefault="00000000">
      <w:r>
        <w:t>En partie latérale :</w:t>
      </w:r>
    </w:p>
    <w:p w14:paraId="28036944" w14:textId="77777777" w:rsidR="004B2808" w:rsidRDefault="00000000">
      <w:pPr>
        <w:pStyle w:val="Author-eListParagraph"/>
        <w:numPr>
          <w:ilvl w:val="0"/>
          <w:numId w:val="136"/>
        </w:numPr>
      </w:pPr>
      <w:r>
        <w:lastRenderedPageBreak/>
        <w:t>Type d’ancrage et dimensions : à déterminer par le fabricant du système et à soumettre à l’approbation de la direction du chantier.</w:t>
      </w:r>
    </w:p>
    <w:p w14:paraId="25EA1D43" w14:textId="77777777" w:rsidR="004B2808" w:rsidRDefault="00000000">
      <w:pPr>
        <w:pStyle w:val="Author-eListParagraph"/>
        <w:numPr>
          <w:ilvl w:val="0"/>
          <w:numId w:val="136"/>
        </w:numPr>
      </w:pPr>
      <w:r>
        <w:t xml:space="preserve">Positionnement par rapport à la finition du mur : </w:t>
      </w:r>
      <w:r>
        <w:rPr>
          <w:rStyle w:val="optioncarChar"/>
        </w:rPr>
        <w:t xml:space="preserve">non saillant </w:t>
      </w:r>
      <w:r>
        <w:t xml:space="preserve">(par défaut) </w:t>
      </w:r>
      <w:r>
        <w:rPr>
          <w:rStyle w:val="optioncarChar"/>
        </w:rPr>
        <w:t>/ saillant</w:t>
      </w:r>
      <w:r>
        <w:t>.</w:t>
      </w:r>
    </w:p>
    <w:p w14:paraId="217158BA" w14:textId="77777777" w:rsidR="004B2808" w:rsidRDefault="00000000">
      <w:pPr>
        <w:jc w:val="both"/>
      </w:pPr>
      <w:r>
        <w:rPr>
          <w:b/>
        </w:rPr>
        <w:t>Panneau</w:t>
      </w:r>
    </w:p>
    <w:p w14:paraId="146592B1" w14:textId="77777777" w:rsidR="004B2808" w:rsidRDefault="00000000">
      <w:pPr>
        <w:jc w:val="both"/>
      </w:pPr>
      <w:r>
        <w:t xml:space="preserve">Les cloisons mobiles sont constituées d’éléments </w:t>
      </w:r>
      <w:r>
        <w:rPr>
          <w:rStyle w:val="optioncarChar"/>
        </w:rPr>
        <w:t>pleins</w:t>
      </w:r>
      <w:r>
        <w:t xml:space="preserve"> (par défaut)</w:t>
      </w:r>
      <w:r>
        <w:rPr>
          <w:rStyle w:val="optioncarChar"/>
        </w:rPr>
        <w:t xml:space="preserve"> / vitrés.</w:t>
      </w:r>
    </w:p>
    <w:p w14:paraId="17B94FD8" w14:textId="77777777" w:rsidR="004B2808" w:rsidRDefault="00000000">
      <w:pPr>
        <w:jc w:val="both"/>
      </w:pPr>
      <w:r>
        <w:rPr>
          <w:b/>
        </w:rPr>
        <w:t>(soit par défaut)</w:t>
      </w:r>
    </w:p>
    <w:p w14:paraId="3B38C625" w14:textId="77777777" w:rsidR="004B2808" w:rsidRDefault="00000000">
      <w:pPr>
        <w:jc w:val="both"/>
      </w:pPr>
      <w:r>
        <w:rPr>
          <w:rStyle w:val="soitChar"/>
          <w:u w:val="single"/>
        </w:rPr>
        <w:t>Pleins :</w:t>
      </w:r>
    </w:p>
    <w:p w14:paraId="0C164785" w14:textId="77777777" w:rsidR="004B2808" w:rsidRDefault="00000000">
      <w:pPr>
        <w:jc w:val="both"/>
      </w:pPr>
      <w:r>
        <w:rPr>
          <w:rStyle w:val="soitChar"/>
        </w:rPr>
        <w:t>Les éléments pleins sont composés de panneaux composites fermés comprenant une ossature en métal destinée à être revêtue de panneaux de structure et intégrant un isolant.</w:t>
      </w:r>
    </w:p>
    <w:p w14:paraId="4DC27722" w14:textId="77777777" w:rsidR="004B2808" w:rsidRDefault="00000000">
      <w:pPr>
        <w:pStyle w:val="Author-eListParagraph"/>
        <w:numPr>
          <w:ilvl w:val="0"/>
          <w:numId w:val="137"/>
        </w:numPr>
      </w:pPr>
      <w:r>
        <w:rPr>
          <w:rStyle w:val="soitChar"/>
        </w:rPr>
        <w:t>Panneau de structure : les panneaux à base de bois utilisés pour les cloisons mobiles sont choisis en tenant compte des classes de service. Cette analyse est reprise dans le [Buildwise Article Dossier (2015/2.20)]. Suivant l’usage et le type de cloison, ils sont constitués de panneaux de particules, de MDF ou d’OSB et sont ensuite recouverts d’un panneau de finition.</w:t>
      </w:r>
    </w:p>
    <w:p w14:paraId="38612792" w14:textId="77777777" w:rsidR="004B2808" w:rsidRDefault="00000000">
      <w:pPr>
        <w:pStyle w:val="Author-eListParagraph"/>
        <w:numPr>
          <w:ilvl w:val="0"/>
          <w:numId w:val="137"/>
        </w:numPr>
      </w:pPr>
      <w:r>
        <w:rPr>
          <w:rStyle w:val="soitChar"/>
        </w:rPr>
        <w:t xml:space="preserve">Remplissage isolant : </w:t>
      </w:r>
      <w:r>
        <w:rPr>
          <w:rStyle w:val="optioncarChar"/>
        </w:rPr>
        <w:t xml:space="preserve">à soumettre pour approbation par le fabricant en fonction des performances prescrites pour l’ensemble de la cloison </w:t>
      </w:r>
      <w:r>
        <w:t>(par défaut)</w:t>
      </w:r>
      <w:r>
        <w:rPr>
          <w:rStyle w:val="optioncarChar"/>
        </w:rPr>
        <w:t xml:space="preserve"> / laine de roche haute densité / mousse acoustique MDI / ***</w:t>
      </w:r>
      <w:r>
        <w:rPr>
          <w:rStyle w:val="soitChar"/>
        </w:rPr>
        <w:t>.</w:t>
      </w:r>
    </w:p>
    <w:p w14:paraId="0237EC2D" w14:textId="77777777" w:rsidR="004B2808" w:rsidRDefault="00000000">
      <w:pPr>
        <w:jc w:val="both"/>
      </w:pPr>
      <w:r>
        <w:rPr>
          <w:b/>
        </w:rPr>
        <w:t>(soit)</w:t>
      </w:r>
    </w:p>
    <w:p w14:paraId="366C2F8C" w14:textId="77777777" w:rsidR="004B2808" w:rsidRDefault="00000000">
      <w:pPr>
        <w:jc w:val="both"/>
      </w:pPr>
      <w:r>
        <w:rPr>
          <w:rStyle w:val="soitChar"/>
          <w:u w:val="single"/>
        </w:rPr>
        <w:t>Vitrés :</w:t>
      </w:r>
    </w:p>
    <w:p w14:paraId="6F68E659" w14:textId="77777777" w:rsidR="004B2808" w:rsidRDefault="00000000">
      <w:pPr>
        <w:jc w:val="both"/>
      </w:pPr>
      <w:r>
        <w:rPr>
          <w:rStyle w:val="soitChar"/>
        </w:rPr>
        <w:t>Les éléments vitrés sont composés d’un cadre aluminium recevant un simple vitrage de sécurité.</w:t>
      </w:r>
    </w:p>
    <w:p w14:paraId="2659E908" w14:textId="77777777" w:rsidR="004B2808" w:rsidRDefault="00000000">
      <w:pPr>
        <w:pStyle w:val="Author-eListParagraph"/>
        <w:numPr>
          <w:ilvl w:val="0"/>
          <w:numId w:val="138"/>
        </w:numPr>
      </w:pPr>
      <w:r>
        <w:rPr>
          <w:rStyle w:val="soitChar"/>
        </w:rPr>
        <w:t xml:space="preserve">Type de vitrage : </w:t>
      </w:r>
      <w:r>
        <w:rPr>
          <w:rStyle w:val="optioncarChar"/>
        </w:rPr>
        <w:t>verre de sécurité trempé ou feuilleté suivant la [NBN S 23-002/A1] </w:t>
      </w:r>
      <w:r>
        <w:t>(par défaut)</w:t>
      </w:r>
      <w:r>
        <w:rPr>
          <w:rStyle w:val="optioncarChar"/>
        </w:rPr>
        <w:t xml:space="preserve"> / plexiglas / ***.</w:t>
      </w:r>
    </w:p>
    <w:p w14:paraId="624DA5C1" w14:textId="77777777" w:rsidR="004B2808" w:rsidRDefault="004B2808"/>
    <w:p w14:paraId="57DCD2C0" w14:textId="77777777" w:rsidR="004B2808" w:rsidRDefault="00000000">
      <w:pPr>
        <w:pStyle w:val="Author-eListParagraph"/>
        <w:numPr>
          <w:ilvl w:val="0"/>
          <w:numId w:val="139"/>
        </w:numPr>
      </w:pPr>
      <w:r>
        <w:t xml:space="preserve">Dimensions de la cloison mobile : </w:t>
      </w:r>
      <w:r>
        <w:rPr>
          <w:rStyle w:val="optioncarChar"/>
        </w:rPr>
        <w:t>voir métré détaillé et plans</w:t>
      </w:r>
      <w:r>
        <w:t xml:space="preserve"> (par défaut)</w:t>
      </w:r>
      <w:r>
        <w:rPr>
          <w:rStyle w:val="optioncarChar"/>
        </w:rPr>
        <w:t xml:space="preserve"> / *** x *** cm / ***</w:t>
      </w:r>
      <w:r>
        <w:t>.</w:t>
      </w:r>
    </w:p>
    <w:p w14:paraId="4D8DF055" w14:textId="77777777" w:rsidR="004B2808" w:rsidRDefault="00000000">
      <w:pPr>
        <w:pStyle w:val="Author-eListParagraph"/>
        <w:numPr>
          <w:ilvl w:val="0"/>
          <w:numId w:val="139"/>
        </w:numPr>
      </w:pPr>
      <w:r>
        <w:t xml:space="preserve">Hauteur des panneaux : </w:t>
      </w:r>
      <w:r>
        <w:rPr>
          <w:rStyle w:val="optioncarChar"/>
        </w:rPr>
        <w:t>à soumettre pour approbation par le fabricant en fonction des plans de principes joints au dossier</w:t>
      </w:r>
      <w:r>
        <w:t xml:space="preserve"> (par défaut) </w:t>
      </w:r>
      <w:r>
        <w:rPr>
          <w:rStyle w:val="optioncarChar"/>
        </w:rPr>
        <w:t>/ 600 / 650 / *** mm</w:t>
      </w:r>
      <w:r>
        <w:t>.</w:t>
      </w:r>
    </w:p>
    <w:p w14:paraId="5949CBE3" w14:textId="77777777" w:rsidR="004B2808" w:rsidRDefault="00000000">
      <w:pPr>
        <w:pStyle w:val="Author-eListParagraph"/>
        <w:numPr>
          <w:ilvl w:val="0"/>
          <w:numId w:val="139"/>
        </w:numPr>
      </w:pPr>
      <w:r>
        <w:t xml:space="preserve">Epaisseur des panneaux : </w:t>
      </w:r>
      <w:r>
        <w:rPr>
          <w:rStyle w:val="optioncarChar"/>
        </w:rPr>
        <w:t xml:space="preserve">à soumettre pour approbation par le fabricant en fonction des plans de principes joints au dossier et des performances prescrites pour l’ensemble de la cloison </w:t>
      </w:r>
      <w:r>
        <w:t xml:space="preserve">(par défaut) </w:t>
      </w:r>
      <w:r>
        <w:rPr>
          <w:rStyle w:val="optioncarChar"/>
        </w:rPr>
        <w:t>/ *** mm.</w:t>
      </w:r>
    </w:p>
    <w:p w14:paraId="7F1FA997" w14:textId="77777777" w:rsidR="004B2808" w:rsidRDefault="00000000">
      <w:pPr>
        <w:pStyle w:val="Author-eListParagraph"/>
        <w:numPr>
          <w:ilvl w:val="0"/>
          <w:numId w:val="139"/>
        </w:numPr>
      </w:pPr>
      <w:r>
        <w:t>Finition horizontale : des profils visibles ou encastrés en aluminium assurent la protection des chants. Leurs formes permettent l’alignement et la stabilité des éléments. Des joints souples complètent l’étanchéité. Aucune visserie n’est apparente.</w:t>
      </w:r>
    </w:p>
    <w:p w14:paraId="7CB9F5CC" w14:textId="77777777" w:rsidR="004B2808" w:rsidRDefault="00000000">
      <w:pPr>
        <w:pStyle w:val="Author-eListParagraph"/>
        <w:numPr>
          <w:ilvl w:val="0"/>
          <w:numId w:val="139"/>
        </w:numPr>
      </w:pPr>
      <w:r>
        <w:t>Panneaux : liaisonnés en accordéon.</w:t>
      </w:r>
    </w:p>
    <w:p w14:paraId="05177B57" w14:textId="77777777" w:rsidR="004B2808" w:rsidRDefault="00000000">
      <w:pPr>
        <w:pStyle w:val="Author-eListParagraph"/>
        <w:numPr>
          <w:ilvl w:val="0"/>
          <w:numId w:val="139"/>
        </w:numPr>
      </w:pPr>
      <w:r>
        <w:t xml:space="preserve">Indice d’affaiblissement acoustique Rw : ≥ </w:t>
      </w:r>
      <w:r>
        <w:rPr>
          <w:rStyle w:val="optioncarChar"/>
        </w:rPr>
        <w:t xml:space="preserve">35 </w:t>
      </w:r>
      <w:r>
        <w:t>(par défaut)</w:t>
      </w:r>
      <w:r>
        <w:rPr>
          <w:rStyle w:val="optioncarChar"/>
        </w:rPr>
        <w:t xml:space="preserve"> / 45 / 55 / 60 / ***</w:t>
      </w:r>
      <w:r>
        <w:t xml:space="preserve"> dB.</w:t>
      </w:r>
    </w:p>
    <w:p w14:paraId="70E35F31" w14:textId="77777777" w:rsidR="004B2808" w:rsidRDefault="00000000">
      <w:pPr>
        <w:pStyle w:val="Author-eListParagraph"/>
        <w:numPr>
          <w:ilvl w:val="0"/>
          <w:numId w:val="139"/>
        </w:numPr>
      </w:pPr>
      <w:r>
        <w:t xml:space="preserve">Résistance thermique de la cloison RT : </w:t>
      </w:r>
      <w:r>
        <w:rPr>
          <w:rStyle w:val="optioncarChar"/>
        </w:rPr>
        <w:t>néant</w:t>
      </w:r>
      <w:r>
        <w:t xml:space="preserve"> (par défaut)</w:t>
      </w:r>
      <w:r>
        <w:rPr>
          <w:rStyle w:val="optioncarChar"/>
        </w:rPr>
        <w:t xml:space="preserve"> / ***</w:t>
      </w:r>
      <w:r>
        <w:t>.</w:t>
      </w:r>
    </w:p>
    <w:p w14:paraId="5DC7C98B" w14:textId="77777777" w:rsidR="004B2808" w:rsidRDefault="00000000">
      <w:pPr>
        <w:pStyle w:val="Author-eListParagraph"/>
        <w:numPr>
          <w:ilvl w:val="0"/>
          <w:numId w:val="139"/>
        </w:numPr>
      </w:pPr>
      <w:r>
        <w:t xml:space="preserve">Comportement au feu : </w:t>
      </w:r>
      <w:r>
        <w:rPr>
          <w:rStyle w:val="optioncarChar"/>
        </w:rPr>
        <w:t xml:space="preserve">(Bs2-d0) </w:t>
      </w:r>
      <w:r>
        <w:t xml:space="preserve">(par défaut) </w:t>
      </w:r>
      <w:r>
        <w:rPr>
          <w:rStyle w:val="optioncarChar"/>
        </w:rPr>
        <w:t>/ ***</w:t>
      </w:r>
      <w:r>
        <w:t xml:space="preserve"> selon la [NBN EN 13501-1].</w:t>
      </w:r>
    </w:p>
    <w:p w14:paraId="548BC551" w14:textId="77777777" w:rsidR="004B2808" w:rsidRDefault="00000000">
      <w:pPr>
        <w:jc w:val="both"/>
      </w:pPr>
      <w:r>
        <w:rPr>
          <w:b/>
        </w:rPr>
        <w:t>Motorisation </w:t>
      </w:r>
    </w:p>
    <w:p w14:paraId="111D9CE1" w14:textId="77777777" w:rsidR="004B2808" w:rsidRDefault="00000000">
      <w:pPr>
        <w:pStyle w:val="Author-eListParagraph"/>
        <w:numPr>
          <w:ilvl w:val="0"/>
          <w:numId w:val="140"/>
        </w:numPr>
      </w:pPr>
      <w:r>
        <w:t xml:space="preserve">Commande par : </w:t>
      </w:r>
      <w:r>
        <w:rPr>
          <w:rStyle w:val="optioncarChar"/>
        </w:rPr>
        <w:t>interrupteur à bouton poussoir</w:t>
      </w:r>
      <w:r>
        <w:t xml:space="preserve"> (par défaut) </w:t>
      </w:r>
      <w:r>
        <w:rPr>
          <w:rStyle w:val="optioncarChar"/>
        </w:rPr>
        <w:t>/ écran tactile / ***</w:t>
      </w:r>
      <w:r>
        <w:t>.</w:t>
      </w:r>
    </w:p>
    <w:p w14:paraId="38181F28" w14:textId="77777777" w:rsidR="004B2808" w:rsidRDefault="00000000">
      <w:pPr>
        <w:pStyle w:val="Author-eListParagraph"/>
        <w:numPr>
          <w:ilvl w:val="0"/>
          <w:numId w:val="140"/>
        </w:numPr>
      </w:pPr>
      <w:r>
        <w:t xml:space="preserve">Nombre de tableau de commande : </w:t>
      </w:r>
      <w:r>
        <w:rPr>
          <w:rStyle w:val="optioncarChar"/>
        </w:rPr>
        <w:t xml:space="preserve">2 </w:t>
      </w:r>
      <w:r>
        <w:t>(par défaut)</w:t>
      </w:r>
      <w:r>
        <w:rPr>
          <w:rStyle w:val="optioncarChar"/>
        </w:rPr>
        <w:t xml:space="preserve"> / 1 / ***.</w:t>
      </w:r>
    </w:p>
    <w:p w14:paraId="10701CF2" w14:textId="77777777" w:rsidR="004B2808" w:rsidRDefault="00000000">
      <w:pPr>
        <w:pStyle w:val="Author-eListParagraph"/>
        <w:numPr>
          <w:ilvl w:val="0"/>
          <w:numId w:val="140"/>
        </w:numPr>
      </w:pPr>
      <w:r>
        <w:t xml:space="preserve">Vitesse de déplacement : </w:t>
      </w:r>
      <w:r>
        <w:rPr>
          <w:rStyle w:val="optioncarChar"/>
        </w:rPr>
        <w:t>0,025</w:t>
      </w:r>
      <w:r>
        <w:t xml:space="preserve"> (par défaut) </w:t>
      </w:r>
      <w:r>
        <w:rPr>
          <w:rStyle w:val="optioncarChar"/>
        </w:rPr>
        <w:t>/ 0,05 / ***</w:t>
      </w:r>
      <w:r>
        <w:t xml:space="preserve"> m/sec.</w:t>
      </w:r>
    </w:p>
    <w:p w14:paraId="38133A78" w14:textId="77777777" w:rsidR="004B2808" w:rsidRDefault="00000000">
      <w:pPr>
        <w:pStyle w:val="Author-eListParagraph"/>
        <w:numPr>
          <w:ilvl w:val="0"/>
          <w:numId w:val="140"/>
        </w:numPr>
      </w:pPr>
      <w:r>
        <w:t xml:space="preserve">Performances d’endurance : </w:t>
      </w:r>
      <w:r>
        <w:rPr>
          <w:rStyle w:val="optioncarChar"/>
        </w:rPr>
        <w:t xml:space="preserve">classe 3 (10 000 cycles d’ouverture) </w:t>
      </w:r>
      <w:r>
        <w:t xml:space="preserve">(par défaut) </w:t>
      </w:r>
      <w:r>
        <w:rPr>
          <w:rStyle w:val="optioncarChar"/>
        </w:rPr>
        <w:t>/ classe 1 (2000 cycles d’ouverture) / classe 2 (5000 cycles d’ouverture) / ***</w:t>
      </w:r>
      <w:r>
        <w:t xml:space="preserve"> suivant la [NBN EN 14202].</w:t>
      </w:r>
    </w:p>
    <w:p w14:paraId="54B6DD2B" w14:textId="77777777" w:rsidR="004B2808" w:rsidRDefault="00000000">
      <w:pPr>
        <w:jc w:val="both"/>
      </w:pPr>
      <w:r>
        <w:rPr>
          <w:b/>
        </w:rPr>
        <w:t>Rail(s) de guidage</w:t>
      </w:r>
    </w:p>
    <w:p w14:paraId="064F90B8" w14:textId="77777777" w:rsidR="004B2808" w:rsidRDefault="00000000">
      <w:pPr>
        <w:jc w:val="both"/>
      </w:pPr>
      <w:r>
        <w:t xml:space="preserve">Rail latéral de guidage : </w:t>
      </w:r>
      <w:r>
        <w:rPr>
          <w:rStyle w:val="optioncarChar"/>
        </w:rPr>
        <w:t xml:space="preserve">anodisé </w:t>
      </w:r>
      <w:r>
        <w:t>(par défaut)</w:t>
      </w:r>
      <w:r>
        <w:rPr>
          <w:rStyle w:val="optioncarChar"/>
        </w:rPr>
        <w:t xml:space="preserve"> / thermolaqué par poudrage polyester / galvanisé et peint / ***</w:t>
      </w:r>
      <w:r>
        <w:t>.</w:t>
      </w:r>
    </w:p>
    <w:p w14:paraId="356F8B02" w14:textId="77777777" w:rsidR="004B2808" w:rsidRDefault="00000000">
      <w:pPr>
        <w:jc w:val="both"/>
      </w:pPr>
      <w:r>
        <w:rPr>
          <w:b/>
        </w:rPr>
        <w:t>(soit par défaut)</w:t>
      </w:r>
    </w:p>
    <w:p w14:paraId="13348CFE" w14:textId="77777777" w:rsidR="004B2808" w:rsidRDefault="00000000">
      <w:pPr>
        <w:jc w:val="both"/>
      </w:pPr>
      <w:r>
        <w:rPr>
          <w:rStyle w:val="soitChar"/>
          <w:u w:val="single"/>
        </w:rPr>
        <w:lastRenderedPageBreak/>
        <w:t>Anodisé :</w:t>
      </w:r>
      <w:r>
        <w:rPr>
          <w:rStyle w:val="soitChar"/>
        </w:rPr>
        <w:t xml:space="preserve"> selon Qualanod épaisseur ≥ 18 μm</w:t>
      </w:r>
    </w:p>
    <w:p w14:paraId="6211A7C4" w14:textId="77777777" w:rsidR="004B2808" w:rsidRDefault="00000000">
      <w:pPr>
        <w:pStyle w:val="Author-eListParagraph"/>
        <w:numPr>
          <w:ilvl w:val="0"/>
          <w:numId w:val="141"/>
        </w:numPr>
      </w:pPr>
      <w:r>
        <w:rPr>
          <w:rStyle w:val="soitChar"/>
        </w:rPr>
        <w:t xml:space="preserve">Couleur : </w:t>
      </w:r>
      <w:r>
        <w:rPr>
          <w:rStyle w:val="optioncarChar"/>
        </w:rPr>
        <w:t>naturelle</w:t>
      </w:r>
      <w:r>
        <w:t xml:space="preserve"> (par défaut)</w:t>
      </w:r>
      <w:r>
        <w:rPr>
          <w:rStyle w:val="optioncarChar"/>
        </w:rPr>
        <w:t xml:space="preserve"> / ***.</w:t>
      </w:r>
    </w:p>
    <w:p w14:paraId="5A5DEC95" w14:textId="77777777" w:rsidR="004B2808" w:rsidRDefault="00000000">
      <w:pPr>
        <w:pStyle w:val="Author-eListParagraph"/>
        <w:numPr>
          <w:ilvl w:val="0"/>
          <w:numId w:val="141"/>
        </w:numPr>
      </w:pPr>
      <w:r>
        <w:rPr>
          <w:rStyle w:val="soitChar"/>
        </w:rPr>
        <w:t xml:space="preserve">Finition : </w:t>
      </w:r>
      <w:r>
        <w:rPr>
          <w:rStyle w:val="optioncarChar"/>
        </w:rPr>
        <w:t>mate</w:t>
      </w:r>
      <w:r>
        <w:t xml:space="preserve"> (par défaut) </w:t>
      </w:r>
      <w:r>
        <w:rPr>
          <w:rStyle w:val="optioncarChar"/>
        </w:rPr>
        <w:t>/ ***.</w:t>
      </w:r>
    </w:p>
    <w:p w14:paraId="6049FCEC" w14:textId="77777777" w:rsidR="004B2808" w:rsidRDefault="00000000">
      <w:pPr>
        <w:jc w:val="both"/>
      </w:pPr>
      <w:r>
        <w:rPr>
          <w:b/>
        </w:rPr>
        <w:t>(soit)</w:t>
      </w:r>
    </w:p>
    <w:p w14:paraId="1178E00D" w14:textId="77777777" w:rsidR="004B2808" w:rsidRDefault="00000000">
      <w:pPr>
        <w:jc w:val="both"/>
      </w:pPr>
      <w:r>
        <w:rPr>
          <w:rStyle w:val="soitChar"/>
          <w:u w:val="single"/>
        </w:rPr>
        <w:t>Thermolaqué par poudrage polyester :</w:t>
      </w:r>
      <w:r>
        <w:rPr>
          <w:rStyle w:val="soitChar"/>
        </w:rPr>
        <w:t xml:space="preserve"> selon Qualicoat épaisseur ≥ 60 μm</w:t>
      </w:r>
    </w:p>
    <w:p w14:paraId="6537FEEE" w14:textId="77777777" w:rsidR="004B2808" w:rsidRDefault="00000000">
      <w:pPr>
        <w:pStyle w:val="Author-eListParagraph"/>
        <w:numPr>
          <w:ilvl w:val="0"/>
          <w:numId w:val="142"/>
        </w:numPr>
      </w:pPr>
      <w:r>
        <w:rPr>
          <w:rStyle w:val="soitChar"/>
        </w:rPr>
        <w:t xml:space="preserve">Couleur : RAL n° </w:t>
      </w:r>
      <w:r>
        <w:rPr>
          <w:rStyle w:val="optioncarChar"/>
        </w:rPr>
        <w:t>***</w:t>
      </w:r>
    </w:p>
    <w:p w14:paraId="303BD0BF" w14:textId="77777777" w:rsidR="004B2808" w:rsidRDefault="00000000">
      <w:pPr>
        <w:pStyle w:val="Author-eListParagraph"/>
        <w:numPr>
          <w:ilvl w:val="0"/>
          <w:numId w:val="142"/>
        </w:numPr>
      </w:pPr>
      <w:r>
        <w:rPr>
          <w:rStyle w:val="soitChar"/>
        </w:rPr>
        <w:t xml:space="preserve">Brillance : </w:t>
      </w:r>
      <w:r>
        <w:rPr>
          <w:rStyle w:val="optioncarChar"/>
        </w:rPr>
        <w:t>70</w:t>
      </w:r>
      <w:r>
        <w:t xml:space="preserve"> (par défaut)</w:t>
      </w:r>
      <w:r>
        <w:rPr>
          <w:rStyle w:val="optioncarChar"/>
        </w:rPr>
        <w:t xml:space="preserve"> / ***</w:t>
      </w:r>
      <w:r>
        <w:rPr>
          <w:rStyle w:val="soitChar"/>
        </w:rPr>
        <w:t xml:space="preserve"> %.</w:t>
      </w:r>
    </w:p>
    <w:p w14:paraId="01C3F287" w14:textId="77777777" w:rsidR="004B2808" w:rsidRDefault="00000000">
      <w:pPr>
        <w:jc w:val="both"/>
      </w:pPr>
      <w:r>
        <w:rPr>
          <w:b/>
        </w:rPr>
        <w:t>(soit)</w:t>
      </w:r>
    </w:p>
    <w:p w14:paraId="553BCEED" w14:textId="77777777" w:rsidR="004B2808" w:rsidRDefault="00000000">
      <w:pPr>
        <w:jc w:val="both"/>
      </w:pPr>
      <w:r>
        <w:rPr>
          <w:rStyle w:val="soitChar"/>
          <w:u w:val="single"/>
        </w:rPr>
        <w:t>Galvanisé et peint :</w:t>
      </w:r>
      <w:r>
        <w:rPr>
          <w:rStyle w:val="soitChar"/>
        </w:rPr>
        <w:t xml:space="preserve"> épaisseur ≥ 60 μm</w:t>
      </w:r>
    </w:p>
    <w:p w14:paraId="727E488B" w14:textId="77777777" w:rsidR="004B2808" w:rsidRDefault="00000000">
      <w:pPr>
        <w:pStyle w:val="Author-eListParagraph"/>
        <w:numPr>
          <w:ilvl w:val="0"/>
          <w:numId w:val="143"/>
        </w:numPr>
      </w:pPr>
      <w:r>
        <w:rPr>
          <w:rStyle w:val="soitChar"/>
        </w:rPr>
        <w:t xml:space="preserve">Couleur : RAL n° </w:t>
      </w:r>
      <w:r>
        <w:rPr>
          <w:rStyle w:val="optioncarChar"/>
        </w:rPr>
        <w:t>***</w:t>
      </w:r>
    </w:p>
    <w:p w14:paraId="71B1E34C" w14:textId="77777777" w:rsidR="004B2808" w:rsidRDefault="00000000">
      <w:pPr>
        <w:pStyle w:val="Author-eListParagraph"/>
        <w:numPr>
          <w:ilvl w:val="0"/>
          <w:numId w:val="143"/>
        </w:numPr>
      </w:pPr>
      <w:r>
        <w:rPr>
          <w:rStyle w:val="soitChar"/>
        </w:rPr>
        <w:t xml:space="preserve">Finition : </w:t>
      </w:r>
      <w:r>
        <w:rPr>
          <w:rStyle w:val="optioncarChar"/>
        </w:rPr>
        <w:t xml:space="preserve">mate </w:t>
      </w:r>
      <w:r>
        <w:t>(par défaut)</w:t>
      </w:r>
      <w:r>
        <w:rPr>
          <w:rStyle w:val="optioncarChar"/>
        </w:rPr>
        <w:t xml:space="preserve"> / ***.</w:t>
      </w:r>
    </w:p>
    <w:p w14:paraId="5069BC8A" w14:textId="77777777" w:rsidR="004B2808" w:rsidRDefault="00000000">
      <w:pPr>
        <w:jc w:val="both"/>
      </w:pPr>
      <w:r>
        <w:rPr>
          <w:b/>
        </w:rPr>
        <w:t>(soit)</w:t>
      </w:r>
    </w:p>
    <w:p w14:paraId="0372E390" w14:textId="77777777" w:rsidR="004B2808" w:rsidRDefault="00000000">
      <w:pPr>
        <w:jc w:val="both"/>
      </w:pPr>
      <w:r>
        <w:rPr>
          <w:rStyle w:val="optioncarChar"/>
          <w:b/>
        </w:rPr>
        <w:t>***</w:t>
      </w:r>
    </w:p>
    <w:p w14:paraId="6990AE3A" w14:textId="77777777" w:rsidR="004B2808" w:rsidRDefault="00000000">
      <w:pPr>
        <w:jc w:val="both"/>
      </w:pPr>
      <w:r>
        <w:rPr>
          <w:b/>
        </w:rPr>
        <w:t>Finition des chants</w:t>
      </w:r>
    </w:p>
    <w:p w14:paraId="6E78D9A2" w14:textId="77777777" w:rsidR="004B2808" w:rsidRDefault="00000000">
      <w:pPr>
        <w:jc w:val="both"/>
      </w:pPr>
      <w:r>
        <w:t xml:space="preserve">Profils de finition du chant des panneaux : </w:t>
      </w:r>
      <w:r>
        <w:rPr>
          <w:rStyle w:val="optioncarChar"/>
        </w:rPr>
        <w:t>anodisé</w:t>
      </w:r>
      <w:r>
        <w:t xml:space="preserve"> (par défaut)</w:t>
      </w:r>
      <w:r>
        <w:rPr>
          <w:rStyle w:val="optioncarChar"/>
        </w:rPr>
        <w:t xml:space="preserve"> / thermolaqué par poudrage polyester / ***.</w:t>
      </w:r>
    </w:p>
    <w:p w14:paraId="2D4211A4" w14:textId="77777777" w:rsidR="004B2808" w:rsidRDefault="00000000">
      <w:pPr>
        <w:jc w:val="both"/>
      </w:pPr>
      <w:r>
        <w:rPr>
          <w:b/>
        </w:rPr>
        <w:t>(soit par défaut)</w:t>
      </w:r>
    </w:p>
    <w:p w14:paraId="5AAB88BC" w14:textId="77777777" w:rsidR="004B2808" w:rsidRDefault="00000000">
      <w:pPr>
        <w:jc w:val="both"/>
      </w:pPr>
      <w:r>
        <w:rPr>
          <w:rStyle w:val="soitChar"/>
          <w:u w:val="single"/>
        </w:rPr>
        <w:t>Anodisé :</w:t>
      </w:r>
      <w:r>
        <w:rPr>
          <w:rStyle w:val="soitChar"/>
        </w:rPr>
        <w:t xml:space="preserve"> selon Qualanod épaisseur ≥ 18 μm</w:t>
      </w:r>
    </w:p>
    <w:p w14:paraId="01A96B11" w14:textId="77777777" w:rsidR="004B2808" w:rsidRDefault="00000000">
      <w:pPr>
        <w:pStyle w:val="Author-eListParagraph"/>
        <w:numPr>
          <w:ilvl w:val="0"/>
          <w:numId w:val="144"/>
        </w:numPr>
      </w:pPr>
      <w:r>
        <w:rPr>
          <w:rStyle w:val="soitChar"/>
        </w:rPr>
        <w:t xml:space="preserve">Couleur : </w:t>
      </w:r>
      <w:r>
        <w:rPr>
          <w:rStyle w:val="optioncarChar"/>
        </w:rPr>
        <w:t xml:space="preserve">naturelle </w:t>
      </w:r>
      <w:r>
        <w:t>(par défaut)</w:t>
      </w:r>
      <w:r>
        <w:rPr>
          <w:rStyle w:val="optioncarChar"/>
        </w:rPr>
        <w:t xml:space="preserve"> / ***.</w:t>
      </w:r>
    </w:p>
    <w:p w14:paraId="5B7D2BB0" w14:textId="77777777" w:rsidR="004B2808" w:rsidRDefault="00000000">
      <w:pPr>
        <w:pStyle w:val="Author-eListParagraph"/>
        <w:numPr>
          <w:ilvl w:val="0"/>
          <w:numId w:val="144"/>
        </w:numPr>
      </w:pPr>
      <w:r>
        <w:rPr>
          <w:rStyle w:val="soitChar"/>
        </w:rPr>
        <w:t xml:space="preserve">Finition : </w:t>
      </w:r>
      <w:r>
        <w:rPr>
          <w:rStyle w:val="optioncarChar"/>
        </w:rPr>
        <w:t>mate</w:t>
      </w:r>
      <w:r>
        <w:t xml:space="preserve"> (par défaut) </w:t>
      </w:r>
      <w:r>
        <w:rPr>
          <w:rStyle w:val="optioncarChar"/>
        </w:rPr>
        <w:t>/ ***</w:t>
      </w:r>
      <w:r>
        <w:rPr>
          <w:rStyle w:val="soitChar"/>
        </w:rPr>
        <w:t>.</w:t>
      </w:r>
    </w:p>
    <w:p w14:paraId="6C01E7D6" w14:textId="77777777" w:rsidR="004B2808" w:rsidRDefault="00000000">
      <w:pPr>
        <w:jc w:val="both"/>
      </w:pPr>
      <w:r>
        <w:rPr>
          <w:b/>
        </w:rPr>
        <w:t>(soit)</w:t>
      </w:r>
    </w:p>
    <w:p w14:paraId="2027ED70" w14:textId="77777777" w:rsidR="004B2808" w:rsidRDefault="00000000">
      <w:pPr>
        <w:jc w:val="both"/>
      </w:pPr>
      <w:r>
        <w:rPr>
          <w:rStyle w:val="soitChar"/>
          <w:u w:val="single"/>
        </w:rPr>
        <w:t>Thermolaqué par poudrage polyester :</w:t>
      </w:r>
      <w:r>
        <w:rPr>
          <w:rStyle w:val="soitChar"/>
        </w:rPr>
        <w:t xml:space="preserve"> selon Qualicoat épaisseur ≥ 60 μm</w:t>
      </w:r>
    </w:p>
    <w:p w14:paraId="36CC9C5B" w14:textId="77777777" w:rsidR="004B2808" w:rsidRDefault="00000000">
      <w:pPr>
        <w:pStyle w:val="Author-eListParagraph"/>
        <w:numPr>
          <w:ilvl w:val="0"/>
          <w:numId w:val="145"/>
        </w:numPr>
      </w:pPr>
      <w:r>
        <w:rPr>
          <w:rStyle w:val="soitChar"/>
        </w:rPr>
        <w:t xml:space="preserve">Couleur : RAL n° </w:t>
      </w:r>
      <w:r>
        <w:rPr>
          <w:rStyle w:val="optioncarChar"/>
        </w:rPr>
        <w:t>***</w:t>
      </w:r>
    </w:p>
    <w:p w14:paraId="62973183" w14:textId="77777777" w:rsidR="004B2808" w:rsidRDefault="00000000">
      <w:pPr>
        <w:pStyle w:val="Author-eListParagraph"/>
        <w:numPr>
          <w:ilvl w:val="0"/>
          <w:numId w:val="145"/>
        </w:numPr>
      </w:pPr>
      <w:r>
        <w:rPr>
          <w:rStyle w:val="soitChar"/>
        </w:rPr>
        <w:t xml:space="preserve">Brillance : </w:t>
      </w:r>
      <w:r>
        <w:rPr>
          <w:rStyle w:val="optioncarChar"/>
        </w:rPr>
        <w:t>70</w:t>
      </w:r>
      <w:r>
        <w:t xml:space="preserve"> (par défaut)</w:t>
      </w:r>
      <w:r>
        <w:rPr>
          <w:rStyle w:val="optioncarChar"/>
        </w:rPr>
        <w:t xml:space="preserve"> / ***</w:t>
      </w:r>
      <w:r>
        <w:rPr>
          <w:rStyle w:val="soitChar"/>
        </w:rPr>
        <w:t xml:space="preserve"> %.</w:t>
      </w:r>
    </w:p>
    <w:p w14:paraId="5D53625A" w14:textId="77777777" w:rsidR="004B2808" w:rsidRDefault="00000000">
      <w:pPr>
        <w:jc w:val="both"/>
      </w:pPr>
      <w:r>
        <w:rPr>
          <w:b/>
        </w:rPr>
        <w:t>(soit)</w:t>
      </w:r>
    </w:p>
    <w:p w14:paraId="62F108E2" w14:textId="77777777" w:rsidR="004B2808" w:rsidRDefault="00000000">
      <w:pPr>
        <w:jc w:val="both"/>
      </w:pPr>
      <w:r>
        <w:rPr>
          <w:rStyle w:val="optioncarChar"/>
          <w:b/>
        </w:rPr>
        <w:t>***</w:t>
      </w:r>
    </w:p>
    <w:p w14:paraId="53EEBF69" w14:textId="77777777" w:rsidR="004B2808" w:rsidRDefault="00000000">
      <w:pPr>
        <w:jc w:val="both"/>
      </w:pPr>
      <w:r>
        <w:rPr>
          <w:b/>
        </w:rPr>
        <w:t>Finition des panneaux pleins</w:t>
      </w:r>
    </w:p>
    <w:p w14:paraId="0931FBE9" w14:textId="77777777" w:rsidR="004B2808" w:rsidRDefault="00000000">
      <w:pPr>
        <w:jc w:val="both"/>
      </w:pPr>
      <w:r>
        <w:t xml:space="preserve">La structure des panneaux est recouverte de : </w:t>
      </w:r>
      <w:r>
        <w:rPr>
          <w:rStyle w:val="optioncarChar"/>
        </w:rPr>
        <w:t xml:space="preserve">mélaminé </w:t>
      </w:r>
      <w:r>
        <w:t xml:space="preserve">(par défaut) </w:t>
      </w:r>
      <w:r>
        <w:rPr>
          <w:rStyle w:val="optioncarChar"/>
        </w:rPr>
        <w:t>/ stratifié / ***</w:t>
      </w:r>
      <w:r>
        <w:t>.</w:t>
      </w:r>
    </w:p>
    <w:p w14:paraId="5D99C82C" w14:textId="77777777" w:rsidR="004B2808" w:rsidRDefault="00000000">
      <w:pPr>
        <w:jc w:val="both"/>
      </w:pPr>
      <w:r>
        <w:rPr>
          <w:b/>
        </w:rPr>
        <w:t xml:space="preserve"> (soit par défaut)</w:t>
      </w:r>
    </w:p>
    <w:p w14:paraId="6FA13877" w14:textId="77777777" w:rsidR="004B2808" w:rsidRDefault="00000000">
      <w:pPr>
        <w:jc w:val="both"/>
      </w:pPr>
      <w:r>
        <w:rPr>
          <w:rStyle w:val="soitChar"/>
          <w:u w:val="single"/>
        </w:rPr>
        <w:t>Mélaminé :</w:t>
      </w:r>
    </w:p>
    <w:p w14:paraId="1700306F" w14:textId="77777777" w:rsidR="004B2808" w:rsidRDefault="00000000">
      <w:pPr>
        <w:pStyle w:val="Author-eListParagraph"/>
        <w:numPr>
          <w:ilvl w:val="0"/>
          <w:numId w:val="146"/>
        </w:numPr>
      </w:pPr>
      <w:r>
        <w:rPr>
          <w:rStyle w:val="soitChar"/>
        </w:rPr>
        <w:t xml:space="preserve">Epaisseur : ≥ </w:t>
      </w:r>
      <w:r>
        <w:rPr>
          <w:rStyle w:val="optioncarChar"/>
        </w:rPr>
        <w:t xml:space="preserve">0,8 </w:t>
      </w:r>
      <w:r>
        <w:t>(par défaut)</w:t>
      </w:r>
      <w:r>
        <w:rPr>
          <w:rStyle w:val="optioncarChar"/>
        </w:rPr>
        <w:t xml:space="preserve"> / ***</w:t>
      </w:r>
      <w:r>
        <w:t>  </w:t>
      </w:r>
      <w:r>
        <w:rPr>
          <w:rStyle w:val="soitChar"/>
        </w:rPr>
        <w:t>mm.</w:t>
      </w:r>
    </w:p>
    <w:p w14:paraId="7D4EC7E5" w14:textId="77777777" w:rsidR="004B2808" w:rsidRDefault="00000000">
      <w:pPr>
        <w:pStyle w:val="Author-eListParagraph"/>
        <w:numPr>
          <w:ilvl w:val="0"/>
          <w:numId w:val="146"/>
        </w:numPr>
      </w:pPr>
      <w:r>
        <w:rPr>
          <w:rStyle w:val="soitChar"/>
        </w:rPr>
        <w:t xml:space="preserve">Couleur : </w:t>
      </w:r>
      <w:r>
        <w:rPr>
          <w:rStyle w:val="optioncarChar"/>
        </w:rPr>
        <w:t xml:space="preserve">à choisir dans la gamme standard du fabricant comprenant 10 teintes au minimum </w:t>
      </w:r>
      <w:r>
        <w:t xml:space="preserve">(par défaut) </w:t>
      </w:r>
      <w:r>
        <w:rPr>
          <w:rStyle w:val="optioncarChar"/>
        </w:rPr>
        <w:t>/ finition brut à peindre / teinte RAL *** / aspect bois essence :  *** / ***</w:t>
      </w:r>
      <w:r>
        <w:rPr>
          <w:rStyle w:val="soitChar"/>
        </w:rPr>
        <w:t>.</w:t>
      </w:r>
    </w:p>
    <w:p w14:paraId="52579786" w14:textId="77777777" w:rsidR="004B2808" w:rsidRDefault="00000000">
      <w:pPr>
        <w:pStyle w:val="Author-eListParagraph"/>
        <w:numPr>
          <w:ilvl w:val="0"/>
          <w:numId w:val="146"/>
        </w:numPr>
      </w:pPr>
      <w:r>
        <w:rPr>
          <w:rStyle w:val="soitChar"/>
        </w:rPr>
        <w:t xml:space="preserve">Finition : </w:t>
      </w:r>
      <w:r>
        <w:rPr>
          <w:rStyle w:val="optioncarChar"/>
        </w:rPr>
        <w:t>satinée</w:t>
      </w:r>
      <w:r>
        <w:t xml:space="preserve"> (par défaut) </w:t>
      </w:r>
      <w:r>
        <w:rPr>
          <w:rStyle w:val="optioncarChar"/>
        </w:rPr>
        <w:t>/ brillante / mate / ***</w:t>
      </w:r>
      <w:r>
        <w:rPr>
          <w:rStyle w:val="soitChar"/>
        </w:rPr>
        <w:t>.</w:t>
      </w:r>
    </w:p>
    <w:p w14:paraId="055CC8EC" w14:textId="77777777" w:rsidR="004B2808" w:rsidRDefault="00000000">
      <w:pPr>
        <w:pStyle w:val="Author-eListParagraph"/>
        <w:numPr>
          <w:ilvl w:val="0"/>
          <w:numId w:val="146"/>
        </w:numPr>
      </w:pPr>
      <w:r>
        <w:rPr>
          <w:rStyle w:val="soitChar"/>
        </w:rPr>
        <w:t>Aspect :</w:t>
      </w:r>
      <w:r>
        <w:rPr>
          <w:rStyle w:val="optioncarChar"/>
        </w:rPr>
        <w:t xml:space="preserve"> lisse</w:t>
      </w:r>
      <w:r>
        <w:t xml:space="preserve"> (par défaut)</w:t>
      </w:r>
      <w:r>
        <w:rPr>
          <w:rStyle w:val="optioncarChar"/>
        </w:rPr>
        <w:t xml:space="preserve"> / ***.</w:t>
      </w:r>
    </w:p>
    <w:p w14:paraId="5394C606" w14:textId="77777777" w:rsidR="004B2808" w:rsidRDefault="00000000">
      <w:pPr>
        <w:jc w:val="both"/>
      </w:pPr>
      <w:r>
        <w:rPr>
          <w:b/>
        </w:rPr>
        <w:t>(soit)</w:t>
      </w:r>
    </w:p>
    <w:p w14:paraId="0D7DA82D" w14:textId="77777777" w:rsidR="004B2808" w:rsidRDefault="00000000">
      <w:pPr>
        <w:jc w:val="both"/>
      </w:pPr>
      <w:r>
        <w:rPr>
          <w:rStyle w:val="soitChar"/>
          <w:u w:val="single"/>
        </w:rPr>
        <w:t>Stratifié :</w:t>
      </w:r>
      <w:r>
        <w:rPr>
          <w:rStyle w:val="soitChar"/>
        </w:rPr>
        <w:t xml:space="preserve"> plaque de stratifié haute pression, classe HPL-EN 438 VGS ou S 232.</w:t>
      </w:r>
    </w:p>
    <w:p w14:paraId="28A99194" w14:textId="77777777" w:rsidR="004B2808" w:rsidRDefault="00000000">
      <w:pPr>
        <w:pStyle w:val="Author-eListParagraph"/>
        <w:numPr>
          <w:ilvl w:val="0"/>
          <w:numId w:val="147"/>
        </w:numPr>
      </w:pPr>
      <w:r>
        <w:rPr>
          <w:rStyle w:val="soitChar"/>
        </w:rPr>
        <w:t xml:space="preserve">Epaisseur : ≥ </w:t>
      </w:r>
      <w:r>
        <w:rPr>
          <w:rStyle w:val="optioncarChar"/>
        </w:rPr>
        <w:t>0,8</w:t>
      </w:r>
      <w:r>
        <w:t xml:space="preserve"> (par défaut)</w:t>
      </w:r>
      <w:r>
        <w:rPr>
          <w:rStyle w:val="optioncarChar"/>
        </w:rPr>
        <w:t xml:space="preserve"> / ***</w:t>
      </w:r>
      <w:r>
        <w:rPr>
          <w:rStyle w:val="soitChar"/>
        </w:rPr>
        <w:t xml:space="preserve"> mm.</w:t>
      </w:r>
    </w:p>
    <w:p w14:paraId="0C429C55" w14:textId="77777777" w:rsidR="004B2808" w:rsidRDefault="00000000">
      <w:pPr>
        <w:pStyle w:val="Author-eListParagraph"/>
        <w:numPr>
          <w:ilvl w:val="0"/>
          <w:numId w:val="147"/>
        </w:numPr>
      </w:pPr>
      <w:r>
        <w:rPr>
          <w:rStyle w:val="soitChar"/>
        </w:rPr>
        <w:t xml:space="preserve">Couleur : </w:t>
      </w:r>
      <w:r>
        <w:rPr>
          <w:rStyle w:val="optioncarChar"/>
        </w:rPr>
        <w:t xml:space="preserve">à choisir dans la gamme standard du fabricant comprenant 10 teintes au minimum </w:t>
      </w:r>
      <w:r>
        <w:t>(par défaut)</w:t>
      </w:r>
      <w:r>
        <w:rPr>
          <w:rStyle w:val="optioncarChar"/>
        </w:rPr>
        <w:t xml:space="preserve"> / teinte RAL *** / aspect bois - essence :  *** / ***.</w:t>
      </w:r>
    </w:p>
    <w:p w14:paraId="727419E1" w14:textId="77777777" w:rsidR="004B2808" w:rsidRDefault="00000000">
      <w:pPr>
        <w:pStyle w:val="Author-eListParagraph"/>
        <w:numPr>
          <w:ilvl w:val="0"/>
          <w:numId w:val="147"/>
        </w:numPr>
      </w:pPr>
      <w:r>
        <w:rPr>
          <w:rStyle w:val="soitChar"/>
        </w:rPr>
        <w:t xml:space="preserve">Finition : </w:t>
      </w:r>
      <w:r>
        <w:rPr>
          <w:rStyle w:val="optioncarChar"/>
        </w:rPr>
        <w:t>satinée</w:t>
      </w:r>
      <w:r>
        <w:t xml:space="preserve"> (par défaut)</w:t>
      </w:r>
      <w:r>
        <w:rPr>
          <w:rStyle w:val="optioncarChar"/>
        </w:rPr>
        <w:t xml:space="preserve"> / brillante / mate / ***.</w:t>
      </w:r>
    </w:p>
    <w:p w14:paraId="6B11C4FF" w14:textId="77777777" w:rsidR="004B2808" w:rsidRDefault="00000000">
      <w:pPr>
        <w:pStyle w:val="Author-eListParagraph"/>
        <w:numPr>
          <w:ilvl w:val="0"/>
          <w:numId w:val="147"/>
        </w:numPr>
      </w:pPr>
      <w:r>
        <w:rPr>
          <w:rStyle w:val="soitChar"/>
        </w:rPr>
        <w:t xml:space="preserve">Aspect : </w:t>
      </w:r>
      <w:r>
        <w:rPr>
          <w:rStyle w:val="optioncarChar"/>
        </w:rPr>
        <w:t>lisse</w:t>
      </w:r>
      <w:r>
        <w:t xml:space="preserve"> (par défaut)</w:t>
      </w:r>
      <w:r>
        <w:rPr>
          <w:rStyle w:val="optioncarChar"/>
        </w:rPr>
        <w:t xml:space="preserve"> / ***.</w:t>
      </w:r>
    </w:p>
    <w:p w14:paraId="23BF5902" w14:textId="77777777" w:rsidR="004B2808" w:rsidRDefault="00000000">
      <w:pPr>
        <w:jc w:val="both"/>
      </w:pPr>
      <w:r>
        <w:rPr>
          <w:b/>
        </w:rPr>
        <w:t>(soit)</w:t>
      </w:r>
    </w:p>
    <w:p w14:paraId="7EC66AA1" w14:textId="77777777" w:rsidR="004B2808" w:rsidRDefault="00000000">
      <w:pPr>
        <w:jc w:val="both"/>
      </w:pPr>
      <w:r>
        <w:rPr>
          <w:rStyle w:val="optioncarChar"/>
          <w:b/>
        </w:rPr>
        <w:lastRenderedPageBreak/>
        <w:t>***</w:t>
      </w:r>
    </w:p>
    <w:p w14:paraId="1CF59894" w14:textId="77777777" w:rsidR="004B2808" w:rsidRDefault="00000000">
      <w:pPr>
        <w:jc w:val="both"/>
      </w:pPr>
      <w:r>
        <w:rPr>
          <w:b/>
        </w:rPr>
        <w:t>Finition des panneaux vitrés</w:t>
      </w:r>
    </w:p>
    <w:p w14:paraId="14EB236F" w14:textId="77777777" w:rsidR="004B2808" w:rsidRDefault="00000000">
      <w:pPr>
        <w:jc w:val="both"/>
      </w:pPr>
      <w:r>
        <w:t xml:space="preserve">Profils des cadres métalliques : </w:t>
      </w:r>
      <w:r>
        <w:rPr>
          <w:rStyle w:val="optioncarChar"/>
        </w:rPr>
        <w:t xml:space="preserve">thermolaqué par poudrage polyester </w:t>
      </w:r>
      <w:r>
        <w:t xml:space="preserve">(par défaut) </w:t>
      </w:r>
      <w:r>
        <w:rPr>
          <w:rStyle w:val="optioncarChar"/>
        </w:rPr>
        <w:t>/ anodisé / ***</w:t>
      </w:r>
      <w:r>
        <w:t>.</w:t>
      </w:r>
    </w:p>
    <w:p w14:paraId="1BBB1F9C" w14:textId="77777777" w:rsidR="004B2808" w:rsidRDefault="00000000">
      <w:pPr>
        <w:jc w:val="both"/>
      </w:pPr>
      <w:r>
        <w:rPr>
          <w:b/>
        </w:rPr>
        <w:t>(soit par défaut)</w:t>
      </w:r>
    </w:p>
    <w:p w14:paraId="74B865AE" w14:textId="77777777" w:rsidR="004B2808" w:rsidRDefault="00000000">
      <w:pPr>
        <w:jc w:val="both"/>
      </w:pPr>
      <w:r>
        <w:rPr>
          <w:rStyle w:val="soitChar"/>
          <w:u w:val="single"/>
        </w:rPr>
        <w:t>Thermolaqué par poudrage polyester :</w:t>
      </w:r>
      <w:r>
        <w:rPr>
          <w:rStyle w:val="soitChar"/>
        </w:rPr>
        <w:t xml:space="preserve"> selon Qualicoat épaisseur ≥ 60 μm</w:t>
      </w:r>
    </w:p>
    <w:p w14:paraId="6121C563" w14:textId="77777777" w:rsidR="004B2808" w:rsidRDefault="00000000">
      <w:pPr>
        <w:pStyle w:val="Author-eListParagraph"/>
        <w:numPr>
          <w:ilvl w:val="0"/>
          <w:numId w:val="148"/>
        </w:numPr>
      </w:pPr>
      <w:r>
        <w:rPr>
          <w:rStyle w:val="soitChar"/>
        </w:rPr>
        <w:t xml:space="preserve">Couleur : RAL n° </w:t>
      </w:r>
      <w:r>
        <w:rPr>
          <w:rStyle w:val="optioncarChar"/>
        </w:rPr>
        <w:t>***</w:t>
      </w:r>
    </w:p>
    <w:p w14:paraId="679E467F" w14:textId="77777777" w:rsidR="004B2808" w:rsidRDefault="00000000">
      <w:pPr>
        <w:pStyle w:val="Author-eListParagraph"/>
        <w:numPr>
          <w:ilvl w:val="0"/>
          <w:numId w:val="148"/>
        </w:numPr>
      </w:pPr>
      <w:r>
        <w:rPr>
          <w:rStyle w:val="soitChar"/>
        </w:rPr>
        <w:t xml:space="preserve">Brillance : </w:t>
      </w:r>
      <w:r>
        <w:rPr>
          <w:rStyle w:val="optioncarChar"/>
        </w:rPr>
        <w:t xml:space="preserve">70 </w:t>
      </w:r>
      <w:r>
        <w:t>(par défaut)</w:t>
      </w:r>
      <w:r>
        <w:rPr>
          <w:rStyle w:val="optioncarChar"/>
        </w:rPr>
        <w:t xml:space="preserve"> / ***</w:t>
      </w:r>
      <w:r>
        <w:rPr>
          <w:rStyle w:val="soitChar"/>
        </w:rPr>
        <w:t xml:space="preserve"> %.</w:t>
      </w:r>
    </w:p>
    <w:p w14:paraId="3E0366AE" w14:textId="77777777" w:rsidR="004B2808" w:rsidRDefault="00000000">
      <w:pPr>
        <w:jc w:val="both"/>
      </w:pPr>
      <w:r>
        <w:rPr>
          <w:b/>
        </w:rPr>
        <w:t>(soit)</w:t>
      </w:r>
    </w:p>
    <w:p w14:paraId="2386F44F" w14:textId="77777777" w:rsidR="004B2808" w:rsidRDefault="00000000">
      <w:pPr>
        <w:jc w:val="both"/>
      </w:pPr>
      <w:r>
        <w:rPr>
          <w:rStyle w:val="soitChar"/>
          <w:u w:val="single"/>
        </w:rPr>
        <w:t>Anodisé :</w:t>
      </w:r>
      <w:r>
        <w:rPr>
          <w:rStyle w:val="soitChar"/>
        </w:rPr>
        <w:t xml:space="preserve"> selon Qualanod épaisseur ≥ 18 μm</w:t>
      </w:r>
    </w:p>
    <w:p w14:paraId="0B573F0A" w14:textId="77777777" w:rsidR="004B2808" w:rsidRDefault="00000000">
      <w:pPr>
        <w:pStyle w:val="Author-eListParagraph"/>
        <w:numPr>
          <w:ilvl w:val="0"/>
          <w:numId w:val="149"/>
        </w:numPr>
      </w:pPr>
      <w:r>
        <w:rPr>
          <w:rStyle w:val="soitChar"/>
        </w:rPr>
        <w:t xml:space="preserve">Couleur : </w:t>
      </w:r>
      <w:r>
        <w:rPr>
          <w:rStyle w:val="optioncarChar"/>
        </w:rPr>
        <w:t>naturelle</w:t>
      </w:r>
      <w:r>
        <w:t xml:space="preserve"> (par défaut)</w:t>
      </w:r>
      <w:r>
        <w:rPr>
          <w:rStyle w:val="optioncarChar"/>
        </w:rPr>
        <w:t xml:space="preserve"> / ***.</w:t>
      </w:r>
    </w:p>
    <w:p w14:paraId="2D1A08EC" w14:textId="77777777" w:rsidR="004B2808" w:rsidRDefault="00000000">
      <w:pPr>
        <w:pStyle w:val="Author-eListParagraph"/>
        <w:numPr>
          <w:ilvl w:val="0"/>
          <w:numId w:val="149"/>
        </w:numPr>
      </w:pPr>
      <w:r>
        <w:rPr>
          <w:rStyle w:val="soitChar"/>
        </w:rPr>
        <w:t xml:space="preserve">Finition : </w:t>
      </w:r>
      <w:r>
        <w:rPr>
          <w:rStyle w:val="optioncarChar"/>
        </w:rPr>
        <w:t xml:space="preserve">mate </w:t>
      </w:r>
      <w:r>
        <w:t xml:space="preserve">(par défaut) </w:t>
      </w:r>
      <w:r>
        <w:rPr>
          <w:rStyle w:val="optioncarChar"/>
        </w:rPr>
        <w:t>/ ***</w:t>
      </w:r>
      <w:r>
        <w:rPr>
          <w:rStyle w:val="soitChar"/>
        </w:rPr>
        <w:t>.</w:t>
      </w:r>
    </w:p>
    <w:p w14:paraId="5AD5189B" w14:textId="77777777" w:rsidR="004B2808" w:rsidRDefault="00000000">
      <w:pPr>
        <w:jc w:val="both"/>
      </w:pPr>
      <w:r>
        <w:rPr>
          <w:b/>
        </w:rPr>
        <w:t>(soit)</w:t>
      </w:r>
    </w:p>
    <w:p w14:paraId="3C1DC81A" w14:textId="77777777" w:rsidR="004B2808" w:rsidRDefault="00000000">
      <w:pPr>
        <w:jc w:val="both"/>
      </w:pPr>
      <w:r>
        <w:rPr>
          <w:rStyle w:val="optioncarChar"/>
          <w:b/>
        </w:rPr>
        <w:t>***</w:t>
      </w:r>
    </w:p>
    <w:p w14:paraId="5D926675" w14:textId="77777777" w:rsidR="004B2808" w:rsidRDefault="00000000">
      <w:pPr>
        <w:jc w:val="both"/>
      </w:pPr>
      <w:r>
        <w:t xml:space="preserve">Vitrage : </w:t>
      </w:r>
      <w:r>
        <w:rPr>
          <w:rStyle w:val="optioncarChar"/>
        </w:rPr>
        <w:t xml:space="preserve">clair </w:t>
      </w:r>
      <w:r>
        <w:t>(par défaut)</w:t>
      </w:r>
      <w:r>
        <w:rPr>
          <w:rStyle w:val="optioncarChar"/>
        </w:rPr>
        <w:t xml:space="preserve"> / mat / unidirectionnel (glace intimité) / ***</w:t>
      </w:r>
      <w:r>
        <w:t>.</w:t>
      </w:r>
    </w:p>
    <w:p w14:paraId="54718E9D" w14:textId="77777777" w:rsidR="004B2808" w:rsidRDefault="00000000">
      <w:pPr>
        <w:pStyle w:val="pheading"/>
      </w:pPr>
      <w:r>
        <w:t>EXÉCUTION / MISE EN ŒUVRE</w:t>
      </w:r>
    </w:p>
    <w:p w14:paraId="2378FD65" w14:textId="77777777" w:rsidR="004B2808" w:rsidRDefault="00000000">
      <w:pPr>
        <w:pStyle w:val="pheading"/>
      </w:pPr>
      <w:r>
        <w:t>- Prescriptions générales</w:t>
      </w:r>
    </w:p>
    <w:p w14:paraId="739DD5CB" w14:textId="77777777" w:rsidR="004B2808" w:rsidRDefault="00000000">
      <w:pPr>
        <w:jc w:val="both"/>
      </w:pPr>
      <w:r>
        <w:t>La mise en œuvre et les assemblages sont exécutés conformément à la documentation technique accompagnant le produit et aux plans de détails approuvés par la direction du chantier lors de l’étude du fabricant prescrite ci-avant.</w:t>
      </w:r>
    </w:p>
    <w:p w14:paraId="091FBF3D" w14:textId="77777777" w:rsidR="004B2808" w:rsidRDefault="00000000">
      <w:pPr>
        <w:pStyle w:val="pheading"/>
      </w:pPr>
      <w:r>
        <w:t>- Échantillons</w:t>
      </w:r>
    </w:p>
    <w:p w14:paraId="21F84F9E" w14:textId="77777777" w:rsidR="004B2808" w:rsidRDefault="00000000">
      <w:pPr>
        <w:jc w:val="both"/>
      </w:pPr>
      <w:r>
        <w:t>L’entrepreneur soumet un échantillon du système et des finitions qu’il propose à l’approbation de la direction du chantier.</w:t>
      </w:r>
    </w:p>
    <w:p w14:paraId="4E132CAD" w14:textId="77777777" w:rsidR="004B2808" w:rsidRDefault="00000000">
      <w:pPr>
        <w:pStyle w:val="pheading"/>
      </w:pPr>
      <w:r>
        <w:t>MESURAGE</w:t>
      </w:r>
    </w:p>
    <w:p w14:paraId="50A5BF3D" w14:textId="77777777" w:rsidR="004B2808" w:rsidRDefault="00000000">
      <w:pPr>
        <w:pStyle w:val="pheading"/>
      </w:pPr>
      <w:r>
        <w:t>- unité de mesure:</w:t>
      </w:r>
    </w:p>
    <w:p w14:paraId="01A67190" w14:textId="77777777" w:rsidR="004B2808" w:rsidRDefault="00000000">
      <w:r>
        <w:t>m²</w:t>
      </w:r>
    </w:p>
    <w:p w14:paraId="695F5217" w14:textId="77777777" w:rsidR="004B2808" w:rsidRDefault="00000000">
      <w:pPr>
        <w:pStyle w:val="pheading"/>
      </w:pPr>
      <w:r>
        <w:t>- code de mesurage:</w:t>
      </w:r>
    </w:p>
    <w:p w14:paraId="08DD1FB7" w14:textId="77777777" w:rsidR="004B2808" w:rsidRDefault="00000000">
      <w:pPr>
        <w:jc w:val="both"/>
      </w:pPr>
      <w:r>
        <w:t>Surface nette de panneaux à mettre en œuvre, ventilée suivant le type de panneau, des performances requises, des accessoires prescrits, etc...</w:t>
      </w:r>
    </w:p>
    <w:p w14:paraId="261668E1" w14:textId="77777777" w:rsidR="004B2808" w:rsidRDefault="00000000">
      <w:pPr>
        <w:pStyle w:val="pheading"/>
      </w:pPr>
      <w:r>
        <w:t>- nature du marché:</w:t>
      </w:r>
    </w:p>
    <w:p w14:paraId="44C23876" w14:textId="77777777" w:rsidR="004B2808" w:rsidRDefault="00000000">
      <w:r>
        <w:t>QF</w:t>
      </w:r>
    </w:p>
    <w:p w14:paraId="69FCCD99" w14:textId="77777777" w:rsidR="004B2808" w:rsidRDefault="00000000">
      <w:pPr>
        <w:pStyle w:val="Author-eSectionHeading4Numberless"/>
      </w:pPr>
      <w:bookmarkStart w:id="107" w:name="_Toc220490312"/>
      <w:r>
        <w:t>51.43 Cloisons mobiles pivotantes CCTB 01.11</w:t>
      </w:r>
      <w:bookmarkEnd w:id="107"/>
    </w:p>
    <w:p w14:paraId="22685268" w14:textId="77777777" w:rsidR="004B2808" w:rsidRDefault="00000000">
      <w:pPr>
        <w:pStyle w:val="pheading"/>
      </w:pPr>
      <w:r>
        <w:t>MATÉRIAUX</w:t>
      </w:r>
    </w:p>
    <w:p w14:paraId="172E21DF" w14:textId="77777777" w:rsidR="004B2808" w:rsidRDefault="00000000">
      <w:pPr>
        <w:jc w:val="both"/>
      </w:pPr>
      <w:r>
        <w:t>La cloison mobile est composée de panneaux coulissant horizontalement sur une structure porteuse métallique dont le dimensionnement est calculé en fonction de la taille et du poids des panneaux de cloisonnement.</w:t>
      </w:r>
    </w:p>
    <w:p w14:paraId="5FD6236E" w14:textId="77777777" w:rsidR="004B2808" w:rsidRDefault="00000000">
      <w:pPr>
        <w:jc w:val="both"/>
      </w:pPr>
      <w:r>
        <w:rPr>
          <w:b/>
        </w:rPr>
        <w:t>Rail(s) de support et de guidage</w:t>
      </w:r>
    </w:p>
    <w:p w14:paraId="351A0E60" w14:textId="77777777" w:rsidR="004B2808" w:rsidRDefault="00000000">
      <w:pPr>
        <w:jc w:val="both"/>
      </w:pPr>
      <w:r>
        <w:t>En partie haute, les rails sont en aluminium ou en acier (grandes hauteurs et/ou normes incendie). Ils sont ancrés à la structure portante à l’aide de tiges filetées et de barrettes de mise à niveau. Afin d'assurer la stabilité latérale des éléments, des galets en nylon autolubrifiant coulissent dans le rail.</w:t>
      </w:r>
    </w:p>
    <w:p w14:paraId="43A6436E" w14:textId="77777777" w:rsidR="004B2808" w:rsidRDefault="00000000">
      <w:pPr>
        <w:pStyle w:val="Author-eSectionHeading5Numberless"/>
      </w:pPr>
      <w:bookmarkStart w:id="108" w:name="_Toc220490313"/>
      <w:r>
        <w:t>51.43.1 Cloisons mobiles pivotantes CCTB 01.11</w:t>
      </w:r>
      <w:bookmarkEnd w:id="108"/>
    </w:p>
    <w:p w14:paraId="5C75A289" w14:textId="77777777" w:rsidR="004B2808" w:rsidRDefault="00000000">
      <w:pPr>
        <w:pStyle w:val="Author-eSectionHeading6Numberless"/>
      </w:pPr>
      <w:bookmarkStart w:id="109" w:name="_Toc220490314"/>
      <w:r>
        <w:t>51.43.1a Cloisons mobiles pivotantes CCTB 01.11</w:t>
      </w:r>
      <w:bookmarkEnd w:id="109"/>
    </w:p>
    <w:p w14:paraId="27E937DD" w14:textId="77777777" w:rsidR="004B2808" w:rsidRDefault="00000000">
      <w:pPr>
        <w:pStyle w:val="pheading"/>
      </w:pPr>
      <w:r>
        <w:lastRenderedPageBreak/>
        <w:t>DESCRIPTION</w:t>
      </w:r>
    </w:p>
    <w:p w14:paraId="3910E7D0" w14:textId="77777777" w:rsidR="004B2808" w:rsidRDefault="00000000">
      <w:pPr>
        <w:pStyle w:val="pheading"/>
      </w:pPr>
      <w:r>
        <w:t>- Définition / Comprend</w:t>
      </w:r>
    </w:p>
    <w:p w14:paraId="5899D7D3" w14:textId="77777777" w:rsidR="004B2808" w:rsidRDefault="00000000">
      <w:pPr>
        <w:jc w:val="both"/>
      </w:pPr>
      <w:r>
        <w:t>Il s’agit de la fourniture et de la pose de cloisons mobiles composées d’éléments pivotants et indépendants à simples suspentes coulissant dans un rail de support et composés :</w:t>
      </w:r>
    </w:p>
    <w:p w14:paraId="20F99B83" w14:textId="77777777" w:rsidR="004B2808" w:rsidRDefault="00000000">
      <w:pPr>
        <w:pStyle w:val="Author-eListParagraph"/>
        <w:numPr>
          <w:ilvl w:val="0"/>
          <w:numId w:val="150"/>
        </w:numPr>
      </w:pPr>
      <w:r>
        <w:t>de profils porteurs avec consoles de fixation ;</w:t>
      </w:r>
    </w:p>
    <w:p w14:paraId="22CFAC9C" w14:textId="77777777" w:rsidR="004B2808" w:rsidRDefault="00000000">
      <w:pPr>
        <w:pStyle w:val="Author-eListParagraph"/>
        <w:numPr>
          <w:ilvl w:val="0"/>
          <w:numId w:val="150"/>
        </w:numPr>
      </w:pPr>
      <w:r>
        <w:t>de panneaux mobiles de cloisonnement permettant de moduler la dimension de locaux ou de salles.</w:t>
      </w:r>
    </w:p>
    <w:p w14:paraId="141DA31C" w14:textId="77777777" w:rsidR="004B2808" w:rsidRDefault="00000000">
      <w:pPr>
        <w:jc w:val="both"/>
      </w:pPr>
      <w:r>
        <w:t>Cet article comprend également l’étude par le fabricant :</w:t>
      </w:r>
    </w:p>
    <w:p w14:paraId="500712C2" w14:textId="77777777" w:rsidR="004B2808" w:rsidRDefault="00000000">
      <w:pPr>
        <w:pStyle w:val="Author-eListParagraph"/>
        <w:numPr>
          <w:ilvl w:val="0"/>
          <w:numId w:val="151"/>
        </w:numPr>
      </w:pPr>
      <w:r>
        <w:t>du dimensionnement des structures de suspente et de leurs ancrages ;</w:t>
      </w:r>
    </w:p>
    <w:p w14:paraId="3A676F0C" w14:textId="77777777" w:rsidR="004B2808" w:rsidRDefault="00000000">
      <w:pPr>
        <w:pStyle w:val="Author-eListParagraph"/>
        <w:numPr>
          <w:ilvl w:val="0"/>
          <w:numId w:val="151"/>
        </w:numPr>
      </w:pPr>
      <w:r>
        <w:t>du dimensionnement et du calepinage des panneaux en fonction des plans de principes joints au dossier ;</w:t>
      </w:r>
    </w:p>
    <w:p w14:paraId="2D1BFFA5" w14:textId="77777777" w:rsidR="004B2808" w:rsidRDefault="00000000">
      <w:pPr>
        <w:pStyle w:val="Author-eListParagraph"/>
        <w:numPr>
          <w:ilvl w:val="0"/>
          <w:numId w:val="151"/>
        </w:numPr>
      </w:pPr>
      <w:r>
        <w:t>de l’intégration des éventuelles motorisations, portes et accessoires décrits ci-après.</w:t>
      </w:r>
    </w:p>
    <w:p w14:paraId="262B2014" w14:textId="77777777" w:rsidR="004B2808" w:rsidRDefault="00000000">
      <w:pPr>
        <w:jc w:val="both"/>
      </w:pPr>
      <w:r>
        <w:t>L’ensemble des notes de calcul et des plans de détail sont soumis à l’approbation de la direction du chantier.</w:t>
      </w:r>
    </w:p>
    <w:p w14:paraId="5F7A6F83" w14:textId="77777777" w:rsidR="004B2808" w:rsidRDefault="00000000">
      <w:pPr>
        <w:pStyle w:val="pheading"/>
      </w:pPr>
      <w:r>
        <w:t>MATÉRIAUX</w:t>
      </w:r>
    </w:p>
    <w:p w14:paraId="7714E308" w14:textId="77777777" w:rsidR="004B2808" w:rsidRDefault="00000000">
      <w:pPr>
        <w:pStyle w:val="pheading"/>
      </w:pPr>
      <w:r>
        <w:t>- Caractéristiques générales</w:t>
      </w:r>
    </w:p>
    <w:p w14:paraId="7756A011" w14:textId="77777777" w:rsidR="004B2808" w:rsidRDefault="00000000">
      <w:pPr>
        <w:jc w:val="both"/>
      </w:pPr>
      <w:r>
        <w:rPr>
          <w:b/>
        </w:rPr>
        <w:t>Rail(s) de support et de guidage</w:t>
      </w:r>
    </w:p>
    <w:p w14:paraId="5147973F" w14:textId="77777777" w:rsidR="004B2808" w:rsidRDefault="00000000">
      <w:pPr>
        <w:jc w:val="both"/>
      </w:pPr>
      <w:r>
        <w:t>En partie haute : </w:t>
      </w:r>
    </w:p>
    <w:p w14:paraId="42823B75" w14:textId="77777777" w:rsidR="004B2808" w:rsidRDefault="00000000">
      <w:pPr>
        <w:pStyle w:val="Author-eListParagraph"/>
        <w:numPr>
          <w:ilvl w:val="0"/>
          <w:numId w:val="152"/>
        </w:numPr>
      </w:pPr>
      <w:r>
        <w:t>Type d’ancrage et dimensions : à déterminer par le fabricant du système et à soumettre à l’approbation de la direction du chantier.</w:t>
      </w:r>
    </w:p>
    <w:p w14:paraId="192FBCBE" w14:textId="77777777" w:rsidR="004B2808" w:rsidRDefault="00000000">
      <w:pPr>
        <w:pStyle w:val="Author-eListParagraph"/>
        <w:numPr>
          <w:ilvl w:val="0"/>
          <w:numId w:val="152"/>
        </w:numPr>
      </w:pPr>
      <w:r>
        <w:t xml:space="preserve">Positionnement par rapport au plafond de finition : </w:t>
      </w:r>
      <w:r>
        <w:rPr>
          <w:rStyle w:val="optioncarChar"/>
        </w:rPr>
        <w:t xml:space="preserve">saillant </w:t>
      </w:r>
      <w:r>
        <w:t>(par défaut)</w:t>
      </w:r>
      <w:r>
        <w:rPr>
          <w:rStyle w:val="optioncarChar"/>
        </w:rPr>
        <w:t xml:space="preserve"> / non saillant.</w:t>
      </w:r>
    </w:p>
    <w:p w14:paraId="57687234" w14:textId="77777777" w:rsidR="004B2808" w:rsidRDefault="00000000">
      <w:pPr>
        <w:ind w:left="567"/>
        <w:jc w:val="both"/>
      </w:pPr>
      <w:r>
        <w:rPr>
          <w:b/>
        </w:rPr>
        <w:t>(soit par défaut)</w:t>
      </w:r>
    </w:p>
    <w:p w14:paraId="5CF22309" w14:textId="77777777" w:rsidR="004B2808" w:rsidRDefault="00000000">
      <w:pPr>
        <w:ind w:left="567"/>
        <w:jc w:val="both"/>
      </w:pPr>
      <w:r>
        <w:rPr>
          <w:rStyle w:val="soitChar"/>
          <w:u w:val="single"/>
        </w:rPr>
        <w:t>Saillant :</w:t>
      </w:r>
    </w:p>
    <w:p w14:paraId="5036EA8F" w14:textId="77777777" w:rsidR="004B2808" w:rsidRDefault="00000000">
      <w:pPr>
        <w:pStyle w:val="Author-eListParagraph"/>
        <w:numPr>
          <w:ilvl w:val="1"/>
          <w:numId w:val="153"/>
        </w:numPr>
      </w:pPr>
      <w:r>
        <w:rPr>
          <w:rStyle w:val="soitChar"/>
        </w:rPr>
        <w:t xml:space="preserve">Hauteur du débordement : </w:t>
      </w:r>
      <w:r>
        <w:rPr>
          <w:rStyle w:val="optioncarChar"/>
        </w:rPr>
        <w:t>80</w:t>
      </w:r>
      <w:r>
        <w:t xml:space="preserve"> (par défaut)</w:t>
      </w:r>
      <w:r>
        <w:rPr>
          <w:rStyle w:val="optioncarChar"/>
        </w:rPr>
        <w:t xml:space="preserve"> / ***</w:t>
      </w:r>
      <w:r>
        <w:rPr>
          <w:rStyle w:val="soitChar"/>
        </w:rPr>
        <w:t xml:space="preserve"> mm.</w:t>
      </w:r>
    </w:p>
    <w:p w14:paraId="65D14511" w14:textId="77777777" w:rsidR="004B2808" w:rsidRDefault="00000000">
      <w:pPr>
        <w:pStyle w:val="Author-eListParagraph"/>
        <w:numPr>
          <w:ilvl w:val="1"/>
          <w:numId w:val="153"/>
        </w:numPr>
      </w:pPr>
      <w:r>
        <w:rPr>
          <w:rStyle w:val="soitChar"/>
        </w:rPr>
        <w:t xml:space="preserve">Réglage d’ajustement en hauteur : </w:t>
      </w:r>
      <w:r>
        <w:rPr>
          <w:rStyle w:val="optioncarChar"/>
        </w:rPr>
        <w:t xml:space="preserve">30 </w:t>
      </w:r>
      <w:r>
        <w:t>(par défaut)</w:t>
      </w:r>
      <w:r>
        <w:rPr>
          <w:rStyle w:val="optioncarChar"/>
        </w:rPr>
        <w:t xml:space="preserve"> / ***</w:t>
      </w:r>
      <w:r>
        <w:rPr>
          <w:rStyle w:val="soitChar"/>
        </w:rPr>
        <w:t xml:space="preserve"> mm.</w:t>
      </w:r>
    </w:p>
    <w:p w14:paraId="28538434" w14:textId="77777777" w:rsidR="004B2808" w:rsidRDefault="00000000">
      <w:pPr>
        <w:ind w:left="567"/>
        <w:jc w:val="both"/>
      </w:pPr>
      <w:r>
        <w:rPr>
          <w:b/>
        </w:rPr>
        <w:t>(soit)</w:t>
      </w:r>
    </w:p>
    <w:p w14:paraId="27038F5E" w14:textId="77777777" w:rsidR="004B2808" w:rsidRDefault="00000000">
      <w:pPr>
        <w:ind w:left="567"/>
        <w:jc w:val="both"/>
      </w:pPr>
      <w:r>
        <w:rPr>
          <w:rStyle w:val="soitChar"/>
          <w:u w:val="single"/>
        </w:rPr>
        <w:t>Non saillant :</w:t>
      </w:r>
    </w:p>
    <w:p w14:paraId="4E9FBFC5" w14:textId="77777777" w:rsidR="004B2808" w:rsidRDefault="00000000">
      <w:pPr>
        <w:pStyle w:val="Author-eListParagraph"/>
        <w:numPr>
          <w:ilvl w:val="1"/>
          <w:numId w:val="154"/>
        </w:numPr>
      </w:pPr>
      <w:r>
        <w:rPr>
          <w:rStyle w:val="soitChar"/>
        </w:rPr>
        <w:t>Hauteur du débordement : néant.</w:t>
      </w:r>
    </w:p>
    <w:p w14:paraId="618CD25D" w14:textId="77777777" w:rsidR="004B2808" w:rsidRDefault="00000000">
      <w:pPr>
        <w:jc w:val="both"/>
      </w:pPr>
      <w:r>
        <w:t xml:space="preserve">En partie basse : </w:t>
      </w:r>
      <w:r>
        <w:rPr>
          <w:rStyle w:val="optioncarChar"/>
        </w:rPr>
        <w:t>pas de rail de guidage au sol</w:t>
      </w:r>
      <w:r>
        <w:t xml:space="preserve"> (par défaut)</w:t>
      </w:r>
      <w:r>
        <w:rPr>
          <w:rStyle w:val="optioncarChar"/>
        </w:rPr>
        <w:t xml:space="preserve"> / barre de seuil porteuse.</w:t>
      </w:r>
    </w:p>
    <w:p w14:paraId="726F25E7" w14:textId="77777777" w:rsidR="004B2808" w:rsidRDefault="00000000">
      <w:pPr>
        <w:jc w:val="both"/>
      </w:pPr>
      <w:r>
        <w:rPr>
          <w:b/>
        </w:rPr>
        <w:t>(soit par défaut)</w:t>
      </w:r>
    </w:p>
    <w:p w14:paraId="2D0E133E" w14:textId="77777777" w:rsidR="004B2808" w:rsidRDefault="00000000">
      <w:pPr>
        <w:jc w:val="both"/>
      </w:pPr>
      <w:r>
        <w:rPr>
          <w:rStyle w:val="soitChar"/>
          <w:u w:val="single"/>
        </w:rPr>
        <w:t>Pas de rail de guidage au sol :</w:t>
      </w:r>
    </w:p>
    <w:p w14:paraId="100502F9" w14:textId="77777777" w:rsidR="004B2808" w:rsidRDefault="00000000">
      <w:pPr>
        <w:jc w:val="both"/>
      </w:pPr>
      <w:r>
        <w:rPr>
          <w:rStyle w:val="soitChar"/>
        </w:rPr>
        <w:t>Le mouvement et l’étanchéité des éléments mobiles sont rendus possible par l’intégration de plinthes télescopiques mobiles.</w:t>
      </w:r>
    </w:p>
    <w:p w14:paraId="2B4FCEF1" w14:textId="77777777" w:rsidR="004B2808" w:rsidRDefault="00000000">
      <w:pPr>
        <w:jc w:val="both"/>
      </w:pPr>
      <w:r>
        <w:rPr>
          <w:b/>
        </w:rPr>
        <w:t>(soit)</w:t>
      </w:r>
    </w:p>
    <w:p w14:paraId="2FC2CE24" w14:textId="77777777" w:rsidR="004B2808" w:rsidRDefault="00000000">
      <w:pPr>
        <w:jc w:val="both"/>
      </w:pPr>
      <w:r>
        <w:rPr>
          <w:rStyle w:val="soitChar"/>
          <w:u w:val="single"/>
        </w:rPr>
        <w:t>Barre de seuil porteuse :</w:t>
      </w:r>
    </w:p>
    <w:p w14:paraId="5F6B05B5" w14:textId="77777777" w:rsidR="004B2808" w:rsidRDefault="00000000">
      <w:pPr>
        <w:jc w:val="both"/>
      </w:pPr>
      <w:r>
        <w:rPr>
          <w:rStyle w:val="soitChar"/>
        </w:rPr>
        <w:t>Barre de seuil porteuse en aluminium partiellement insérée dans le revêtement de sol intégrant un chariot à roulettes.</w:t>
      </w:r>
    </w:p>
    <w:p w14:paraId="27C6C74C" w14:textId="77777777" w:rsidR="004B2808" w:rsidRDefault="00000000">
      <w:pPr>
        <w:pStyle w:val="Author-eListParagraph"/>
        <w:numPr>
          <w:ilvl w:val="0"/>
          <w:numId w:val="155"/>
        </w:numPr>
      </w:pPr>
      <w:r>
        <w:rPr>
          <w:rStyle w:val="soitChar"/>
        </w:rPr>
        <w:t>Hauteur totale :  </w:t>
      </w:r>
      <w:r>
        <w:rPr>
          <w:rStyle w:val="optioncarChar"/>
        </w:rPr>
        <w:t xml:space="preserve">9 </w:t>
      </w:r>
      <w:r>
        <w:t>(par défaut)</w:t>
      </w:r>
      <w:r>
        <w:rPr>
          <w:rStyle w:val="optioncarChar"/>
        </w:rPr>
        <w:t xml:space="preserve"> / ***</w:t>
      </w:r>
      <w:r>
        <w:rPr>
          <w:rStyle w:val="soitChar"/>
        </w:rPr>
        <w:t xml:space="preserve"> mm</w:t>
      </w:r>
    </w:p>
    <w:p w14:paraId="0FD88096" w14:textId="77777777" w:rsidR="004B2808" w:rsidRDefault="00000000">
      <w:pPr>
        <w:pStyle w:val="Author-eListParagraph"/>
        <w:numPr>
          <w:ilvl w:val="0"/>
          <w:numId w:val="155"/>
        </w:numPr>
      </w:pPr>
      <w:r>
        <w:rPr>
          <w:rStyle w:val="soitChar"/>
        </w:rPr>
        <w:t xml:space="preserve">Saillie : </w:t>
      </w:r>
      <w:r>
        <w:rPr>
          <w:rStyle w:val="optioncarChar"/>
        </w:rPr>
        <w:t xml:space="preserve">4 </w:t>
      </w:r>
      <w:r>
        <w:t>(par défaut)</w:t>
      </w:r>
      <w:r>
        <w:rPr>
          <w:rStyle w:val="optioncarChar"/>
        </w:rPr>
        <w:t xml:space="preserve"> / ***</w:t>
      </w:r>
      <w:r>
        <w:rPr>
          <w:rStyle w:val="soitChar"/>
        </w:rPr>
        <w:t xml:space="preserve"> mm</w:t>
      </w:r>
    </w:p>
    <w:p w14:paraId="7FC9A306" w14:textId="77777777" w:rsidR="004B2808" w:rsidRDefault="00000000">
      <w:pPr>
        <w:pStyle w:val="Author-eListParagraph"/>
        <w:numPr>
          <w:ilvl w:val="0"/>
          <w:numId w:val="155"/>
        </w:numPr>
      </w:pPr>
      <w:r>
        <w:rPr>
          <w:rStyle w:val="soitChar"/>
        </w:rPr>
        <w:t xml:space="preserve">Largeur totale : </w:t>
      </w:r>
      <w:r>
        <w:rPr>
          <w:rStyle w:val="optioncarChar"/>
        </w:rPr>
        <w:t xml:space="preserve">100 </w:t>
      </w:r>
      <w:r>
        <w:t>(par défaut)</w:t>
      </w:r>
      <w:r>
        <w:rPr>
          <w:rStyle w:val="optioncarChar"/>
        </w:rPr>
        <w:t xml:space="preserve"> / ***</w:t>
      </w:r>
      <w:r>
        <w:rPr>
          <w:rStyle w:val="soitChar"/>
        </w:rPr>
        <w:t xml:space="preserve"> mm.</w:t>
      </w:r>
    </w:p>
    <w:p w14:paraId="758027A5" w14:textId="77777777" w:rsidR="004B2808" w:rsidRDefault="00000000">
      <w:pPr>
        <w:jc w:val="both"/>
      </w:pPr>
      <w:r>
        <w:rPr>
          <w:b/>
        </w:rPr>
        <w:t>Panneau</w:t>
      </w:r>
    </w:p>
    <w:p w14:paraId="507DD88E" w14:textId="77777777" w:rsidR="004B2808" w:rsidRDefault="00000000">
      <w:pPr>
        <w:jc w:val="both"/>
      </w:pPr>
      <w:r>
        <w:t xml:space="preserve">Les cloisons mobiles sont constituées d’éléments </w:t>
      </w:r>
      <w:r>
        <w:rPr>
          <w:rStyle w:val="optioncarChar"/>
        </w:rPr>
        <w:t xml:space="preserve">pleins </w:t>
      </w:r>
      <w:r>
        <w:t>(par défaut)</w:t>
      </w:r>
      <w:r>
        <w:rPr>
          <w:rStyle w:val="optioncarChar"/>
        </w:rPr>
        <w:t xml:space="preserve"> / vitrés</w:t>
      </w:r>
      <w:r>
        <w:t>.</w:t>
      </w:r>
    </w:p>
    <w:p w14:paraId="06E9A3EB" w14:textId="77777777" w:rsidR="004B2808" w:rsidRDefault="00000000">
      <w:pPr>
        <w:jc w:val="both"/>
      </w:pPr>
      <w:r>
        <w:rPr>
          <w:b/>
        </w:rPr>
        <w:t>(soit par défaut)</w:t>
      </w:r>
    </w:p>
    <w:p w14:paraId="4C422A2A" w14:textId="77777777" w:rsidR="004B2808" w:rsidRDefault="00000000">
      <w:pPr>
        <w:jc w:val="both"/>
      </w:pPr>
      <w:r>
        <w:rPr>
          <w:rStyle w:val="soitChar"/>
          <w:u w:val="single"/>
        </w:rPr>
        <w:lastRenderedPageBreak/>
        <w:t>Pleins :</w:t>
      </w:r>
    </w:p>
    <w:p w14:paraId="21586527" w14:textId="77777777" w:rsidR="004B2808" w:rsidRDefault="00000000">
      <w:pPr>
        <w:jc w:val="both"/>
      </w:pPr>
      <w:r>
        <w:rPr>
          <w:rStyle w:val="soitChar"/>
        </w:rPr>
        <w:t>Les éléments pleins sont composés de panneaux composites fermés comprenant une ossature en métal destinée à être revêtue de panneaux de structure et intégrant un isolant.</w:t>
      </w:r>
    </w:p>
    <w:p w14:paraId="572D3F1E" w14:textId="77777777" w:rsidR="004B2808" w:rsidRDefault="00000000">
      <w:pPr>
        <w:pStyle w:val="Author-eListParagraph"/>
        <w:numPr>
          <w:ilvl w:val="0"/>
          <w:numId w:val="156"/>
        </w:numPr>
      </w:pPr>
      <w:r>
        <w:rPr>
          <w:rStyle w:val="soitChar"/>
        </w:rPr>
        <w:t>Panneau de structure : les panneaux à base de bois utilisés pour les cloisons mobiles sont choisis en tenant compte des classes de service. Cette analyse est reprise dans le [Buildwise Article Dossier (2015/2.20)]. Suivant l’usage et le type de cloison, ils sont constitués de panneaux de particules, de MDF ou d’OSB et sont ensuite recouverts d’un panneau de finition.</w:t>
      </w:r>
    </w:p>
    <w:p w14:paraId="7DDB3358" w14:textId="77777777" w:rsidR="004B2808" w:rsidRDefault="00000000">
      <w:pPr>
        <w:pStyle w:val="Author-eListParagraph"/>
        <w:numPr>
          <w:ilvl w:val="0"/>
          <w:numId w:val="156"/>
        </w:numPr>
      </w:pPr>
      <w:r>
        <w:rPr>
          <w:rStyle w:val="soitChar"/>
        </w:rPr>
        <w:t xml:space="preserve">Remplissage isolant : </w:t>
      </w:r>
      <w:r>
        <w:rPr>
          <w:rStyle w:val="optioncarChar"/>
        </w:rPr>
        <w:t>à soumettre pour approbation par le fabricant en fonction des performances prescrites pour l’ensemble de la cloison</w:t>
      </w:r>
      <w:r>
        <w:t xml:space="preserve"> (par défaut)</w:t>
      </w:r>
      <w:r>
        <w:rPr>
          <w:rStyle w:val="optioncarChar"/>
        </w:rPr>
        <w:t xml:space="preserve"> / laine de roche haute densité / mousse acoustique MDI / ***.</w:t>
      </w:r>
    </w:p>
    <w:p w14:paraId="5D4DA1D1" w14:textId="77777777" w:rsidR="004B2808" w:rsidRDefault="00000000">
      <w:pPr>
        <w:jc w:val="both"/>
      </w:pPr>
      <w:r>
        <w:rPr>
          <w:b/>
        </w:rPr>
        <w:t>(soit)</w:t>
      </w:r>
    </w:p>
    <w:p w14:paraId="0645A9AB" w14:textId="77777777" w:rsidR="004B2808" w:rsidRDefault="00000000">
      <w:pPr>
        <w:jc w:val="both"/>
      </w:pPr>
      <w:r>
        <w:rPr>
          <w:rStyle w:val="soitChar"/>
          <w:u w:val="single"/>
        </w:rPr>
        <w:t>Vitrés :</w:t>
      </w:r>
    </w:p>
    <w:p w14:paraId="398AB753" w14:textId="77777777" w:rsidR="004B2808" w:rsidRDefault="00000000">
      <w:pPr>
        <w:jc w:val="both"/>
      </w:pPr>
      <w:r>
        <w:rPr>
          <w:rStyle w:val="soitChar"/>
        </w:rPr>
        <w:t>Les éléments vitrés sont composés d’un cadre aluminium ou en acier ≥ à 90 mm d’épaisseur, recevant un simple ou un double vitrage trempé d’une épaisseur ≥ à 6 mm où feuilletés d’une épaisseur ≥ à 8 mm suivant [NBN S 23-002/A1].</w:t>
      </w:r>
    </w:p>
    <w:p w14:paraId="19A7B974" w14:textId="77777777" w:rsidR="004B2808" w:rsidRDefault="00000000">
      <w:pPr>
        <w:pStyle w:val="Author-eListParagraph"/>
        <w:numPr>
          <w:ilvl w:val="0"/>
          <w:numId w:val="157"/>
        </w:numPr>
      </w:pPr>
      <w:r>
        <w:rPr>
          <w:rStyle w:val="soitChar"/>
        </w:rPr>
        <w:t xml:space="preserve">Type de vitrage : verre de sécurité </w:t>
      </w:r>
      <w:r>
        <w:rPr>
          <w:rStyle w:val="optioncarChar"/>
        </w:rPr>
        <w:t>simple</w:t>
      </w:r>
      <w:r>
        <w:t xml:space="preserve"> (par défaut)</w:t>
      </w:r>
      <w:r>
        <w:rPr>
          <w:rStyle w:val="optioncarChar"/>
        </w:rPr>
        <w:t xml:space="preserve"> / double / ***</w:t>
      </w:r>
      <w:r>
        <w:rPr>
          <w:rStyle w:val="soitChar"/>
        </w:rPr>
        <w:t>.</w:t>
      </w:r>
    </w:p>
    <w:p w14:paraId="528269DC" w14:textId="77777777" w:rsidR="004B2808" w:rsidRDefault="004B2808"/>
    <w:p w14:paraId="70240B24" w14:textId="77777777" w:rsidR="004B2808" w:rsidRDefault="00000000">
      <w:pPr>
        <w:pStyle w:val="Author-eListParagraph"/>
        <w:numPr>
          <w:ilvl w:val="0"/>
          <w:numId w:val="158"/>
        </w:numPr>
      </w:pPr>
      <w:r>
        <w:t xml:space="preserve">Dimensions de la cloison mobile : </w:t>
      </w:r>
      <w:r>
        <w:rPr>
          <w:rStyle w:val="optioncarChar"/>
        </w:rPr>
        <w:t>voir métré détaillé et plans</w:t>
      </w:r>
      <w:r>
        <w:t xml:space="preserve"> (par défaut)</w:t>
      </w:r>
      <w:r>
        <w:rPr>
          <w:rStyle w:val="optioncarChar"/>
        </w:rPr>
        <w:t xml:space="preserve"> / *** x *** cm / ***</w:t>
      </w:r>
      <w:r>
        <w:t>.</w:t>
      </w:r>
    </w:p>
    <w:p w14:paraId="31CC4556" w14:textId="77777777" w:rsidR="004B2808" w:rsidRDefault="00000000">
      <w:pPr>
        <w:pStyle w:val="Author-eListParagraph"/>
        <w:numPr>
          <w:ilvl w:val="0"/>
          <w:numId w:val="158"/>
        </w:numPr>
      </w:pPr>
      <w:r>
        <w:t xml:space="preserve">Largeur des panneaux : </w:t>
      </w:r>
      <w:r>
        <w:rPr>
          <w:rStyle w:val="optioncarChar"/>
        </w:rPr>
        <w:t>à soumettre pour approbation par le fabricant en fonction des plans de principes joints au dossier</w:t>
      </w:r>
      <w:r>
        <w:t xml:space="preserve"> (par défaut)</w:t>
      </w:r>
      <w:r>
        <w:rPr>
          <w:rStyle w:val="optioncarChar"/>
        </w:rPr>
        <w:t xml:space="preserve"> / 600 / 1200 / 1300 / *** mm</w:t>
      </w:r>
      <w:r>
        <w:t>.</w:t>
      </w:r>
    </w:p>
    <w:p w14:paraId="048CC565" w14:textId="77777777" w:rsidR="004B2808" w:rsidRDefault="00000000">
      <w:pPr>
        <w:pStyle w:val="Author-eListParagraph"/>
        <w:numPr>
          <w:ilvl w:val="0"/>
          <w:numId w:val="158"/>
        </w:numPr>
      </w:pPr>
      <w:r>
        <w:t xml:space="preserve">Epaisseur des panneaux : </w:t>
      </w:r>
      <w:r>
        <w:rPr>
          <w:rStyle w:val="optioncarChar"/>
        </w:rPr>
        <w:t>à soumettre pour approbation par le fabricant en fonction des plans de principes joints au dossier et des performances prescrites pour l’ensemble de la cloison</w:t>
      </w:r>
      <w:r>
        <w:t xml:space="preserve"> (par défaut)</w:t>
      </w:r>
      <w:r>
        <w:rPr>
          <w:rStyle w:val="optioncarChar"/>
        </w:rPr>
        <w:t xml:space="preserve"> 90 / 110 / *** mm.</w:t>
      </w:r>
    </w:p>
    <w:p w14:paraId="277D5C4E" w14:textId="77777777" w:rsidR="004B2808" w:rsidRDefault="00000000">
      <w:pPr>
        <w:pStyle w:val="Author-eListParagraph"/>
        <w:numPr>
          <w:ilvl w:val="0"/>
          <w:numId w:val="158"/>
        </w:numPr>
      </w:pPr>
      <w:r>
        <w:t>Finition verticale : des profils visibles ou encastrés en aluminium assurent la protection des chants. Leurs formes concave/convexe ou à tenons et mortaises permettent par leur emboîtement l’alignement et la stabilité des éléments. Des joints souples complètent l’étanchéité. Aucune visserie n’est apparente.</w:t>
      </w:r>
    </w:p>
    <w:p w14:paraId="0F4AE10C" w14:textId="77777777" w:rsidR="004B2808" w:rsidRDefault="00000000">
      <w:pPr>
        <w:pStyle w:val="Author-eListParagraph"/>
        <w:numPr>
          <w:ilvl w:val="0"/>
          <w:numId w:val="158"/>
        </w:numPr>
      </w:pPr>
      <w:r>
        <w:t xml:space="preserve">Finition horizontale : des plinthes télescopiques mobiles (haute et basse) comportant des joints souples complèteront l’étanchéité de chaque élément. Leur mouvement est commandé par l’intermédiaire d’un mécanisme interne et la pression exercée par le mécanisme pour assurer la stabilité et l’étanchéité des panneaux est ≥ à </w:t>
      </w:r>
      <w:r>
        <w:rPr>
          <w:rStyle w:val="optioncarChar"/>
        </w:rPr>
        <w:t xml:space="preserve">120 </w:t>
      </w:r>
      <w:r>
        <w:t>(par défaut)</w:t>
      </w:r>
      <w:r>
        <w:rPr>
          <w:rStyle w:val="optioncarChar"/>
        </w:rPr>
        <w:t xml:space="preserve"> / ***</w:t>
      </w:r>
      <w:r>
        <w:t xml:space="preserve"> kg/m. La course des plinthes oscille entre 20 et 40 mm afin de compenser les éventuelles déclivités du sol.</w:t>
      </w:r>
    </w:p>
    <w:p w14:paraId="46A8527D" w14:textId="77777777" w:rsidR="004B2808" w:rsidRDefault="00000000">
      <w:pPr>
        <w:pStyle w:val="Author-eListParagraph"/>
        <w:numPr>
          <w:ilvl w:val="0"/>
          <w:numId w:val="158"/>
        </w:numPr>
      </w:pPr>
      <w:r>
        <w:t>Raccordements muraux : chaque extrémité de la cloison est équipée de deux profils d’ajustement fixes assurant l’étanchéité phonique avec les parois adjacentes. Des joints souples complètent l’étanchéité.</w:t>
      </w:r>
    </w:p>
    <w:p w14:paraId="42716A0A" w14:textId="77777777" w:rsidR="004B2808" w:rsidRDefault="00000000">
      <w:pPr>
        <w:pStyle w:val="Author-eListParagraph"/>
        <w:numPr>
          <w:ilvl w:val="0"/>
          <w:numId w:val="158"/>
        </w:numPr>
      </w:pPr>
      <w:r>
        <w:t xml:space="preserve">Panneaux : </w:t>
      </w:r>
      <w:r>
        <w:rPr>
          <w:rStyle w:val="optioncarChar"/>
        </w:rPr>
        <w:t>indépendants</w:t>
      </w:r>
      <w:r>
        <w:t xml:space="preserve"> (par défaut)</w:t>
      </w:r>
      <w:r>
        <w:rPr>
          <w:rStyle w:val="optioncarChar"/>
        </w:rPr>
        <w:t xml:space="preserve"> / jumelés par 2 / jumelés par 3 / ***.</w:t>
      </w:r>
    </w:p>
    <w:p w14:paraId="13FDD94D" w14:textId="77777777" w:rsidR="004B2808" w:rsidRDefault="00000000">
      <w:pPr>
        <w:pStyle w:val="Author-eListParagraph"/>
        <w:numPr>
          <w:ilvl w:val="0"/>
          <w:numId w:val="158"/>
        </w:numPr>
      </w:pPr>
      <w:r>
        <w:t xml:space="preserve">Indice d’affaiblissement acoustique Rw : ≥ </w:t>
      </w:r>
      <w:r>
        <w:rPr>
          <w:rStyle w:val="optioncarChar"/>
        </w:rPr>
        <w:t xml:space="preserve">35 </w:t>
      </w:r>
      <w:r>
        <w:t>(par défaut)</w:t>
      </w:r>
      <w:r>
        <w:rPr>
          <w:rStyle w:val="optioncarChar"/>
        </w:rPr>
        <w:t xml:space="preserve"> / 45 / 55 / 60 / ***</w:t>
      </w:r>
      <w:r>
        <w:t xml:space="preserve"> dB.</w:t>
      </w:r>
    </w:p>
    <w:p w14:paraId="0C862662" w14:textId="77777777" w:rsidR="004B2808" w:rsidRDefault="00000000">
      <w:pPr>
        <w:pStyle w:val="Author-eListParagraph"/>
        <w:numPr>
          <w:ilvl w:val="0"/>
          <w:numId w:val="158"/>
        </w:numPr>
      </w:pPr>
      <w:r>
        <w:t xml:space="preserve">Résistance thermique de la cloison RT : </w:t>
      </w:r>
      <w:r>
        <w:rPr>
          <w:rStyle w:val="optioncarChar"/>
        </w:rPr>
        <w:t xml:space="preserve">néant </w:t>
      </w:r>
      <w:r>
        <w:t>(par défaut)</w:t>
      </w:r>
      <w:r>
        <w:rPr>
          <w:rStyle w:val="optioncarChar"/>
        </w:rPr>
        <w:t xml:space="preserve"> / ***</w:t>
      </w:r>
      <w:r>
        <w:t>.  </w:t>
      </w:r>
    </w:p>
    <w:p w14:paraId="117B350D" w14:textId="77777777" w:rsidR="004B2808" w:rsidRDefault="00000000">
      <w:pPr>
        <w:pStyle w:val="Author-eListParagraph"/>
        <w:numPr>
          <w:ilvl w:val="0"/>
          <w:numId w:val="158"/>
        </w:numPr>
      </w:pPr>
      <w:r>
        <w:t xml:space="preserve">Résistance au feu : </w:t>
      </w:r>
      <w:r>
        <w:rPr>
          <w:rStyle w:val="optioncarChar"/>
        </w:rPr>
        <w:t xml:space="preserve">néant (pas de résistance au feu requise) </w:t>
      </w:r>
      <w:r>
        <w:t>(par défaut) /</w:t>
      </w:r>
      <w:r>
        <w:rPr>
          <w:rStyle w:val="optioncarChar"/>
        </w:rPr>
        <w:t xml:space="preserve"> EI 30 / EI 60 / ***</w:t>
      </w:r>
      <w:r>
        <w:t xml:space="preserve"> selon la [NBN EN 13501-2]. Les rails de support, les fixations, la composition des panneaux et la technique de pose sont déterminés par le fabricant en respect des conditions mentionnées dans le(s) rapport(s) d'essai établi suivant la norme [NBN EN 13501-2] accompagnant obligatoirement la fiche technique du produit.</w:t>
      </w:r>
    </w:p>
    <w:p w14:paraId="3EAEF715" w14:textId="77777777" w:rsidR="004B2808" w:rsidRDefault="00000000">
      <w:pPr>
        <w:pStyle w:val="Author-eListParagraph"/>
        <w:numPr>
          <w:ilvl w:val="0"/>
          <w:numId w:val="158"/>
        </w:numPr>
      </w:pPr>
      <w:r>
        <w:t xml:space="preserve">Performances d’endurance : </w:t>
      </w:r>
      <w:r>
        <w:rPr>
          <w:rStyle w:val="optioncarChar"/>
        </w:rPr>
        <w:t xml:space="preserve">classe 3 (10 000 cycles d’ouverture) </w:t>
      </w:r>
      <w:r>
        <w:t>(par défaut)</w:t>
      </w:r>
      <w:r>
        <w:rPr>
          <w:rStyle w:val="optioncarChar"/>
        </w:rPr>
        <w:t xml:space="preserve"> / classe 1 (2000 cycles d’ouverture) / classe 2 (5000 cycles d’ouverture) / ***</w:t>
      </w:r>
      <w:r>
        <w:t xml:space="preserve"> suivant les [NBN EN 14201] pour les manœuvres manuelles et [NBN EN 14202] pour les manœuvres motorisées.</w:t>
      </w:r>
    </w:p>
    <w:p w14:paraId="5949C5C8" w14:textId="77777777" w:rsidR="004B2808" w:rsidRDefault="00000000">
      <w:pPr>
        <w:jc w:val="both"/>
      </w:pPr>
      <w:r>
        <w:rPr>
          <w:b/>
        </w:rPr>
        <w:t>Verrouillage </w:t>
      </w:r>
    </w:p>
    <w:p w14:paraId="7E356BBC" w14:textId="77777777" w:rsidR="004B2808" w:rsidRDefault="00000000">
      <w:pPr>
        <w:jc w:val="both"/>
      </w:pPr>
      <w:r>
        <w:t xml:space="preserve">Le verrouillage total du mur est : </w:t>
      </w:r>
      <w:r>
        <w:rPr>
          <w:rStyle w:val="optioncarChar"/>
        </w:rPr>
        <w:t>manuel</w:t>
      </w:r>
      <w:r>
        <w:t xml:space="preserve"> (par défaut)</w:t>
      </w:r>
      <w:r>
        <w:rPr>
          <w:rStyle w:val="optioncarChar"/>
        </w:rPr>
        <w:t xml:space="preserve"> / semi-électrique / électrique / ***</w:t>
      </w:r>
      <w:r>
        <w:t>.</w:t>
      </w:r>
    </w:p>
    <w:p w14:paraId="62730295" w14:textId="77777777" w:rsidR="004B2808" w:rsidRDefault="00000000">
      <w:pPr>
        <w:jc w:val="both"/>
      </w:pPr>
      <w:r>
        <w:rPr>
          <w:b/>
        </w:rPr>
        <w:t>(soit par défaut)</w:t>
      </w:r>
    </w:p>
    <w:p w14:paraId="7136EE8F" w14:textId="77777777" w:rsidR="004B2808" w:rsidRDefault="00000000">
      <w:pPr>
        <w:jc w:val="both"/>
      </w:pPr>
      <w:r>
        <w:rPr>
          <w:rStyle w:val="soitChar"/>
          <w:u w:val="single"/>
        </w:rPr>
        <w:lastRenderedPageBreak/>
        <w:t>Manuel :</w:t>
      </w:r>
    </w:p>
    <w:p w14:paraId="636ADB62" w14:textId="77777777" w:rsidR="004B2808" w:rsidRDefault="00000000">
      <w:pPr>
        <w:jc w:val="both"/>
      </w:pPr>
      <w:r>
        <w:rPr>
          <w:rStyle w:val="soitChar"/>
        </w:rPr>
        <w:t>Les plinthes télescopiques des panneaux sont manœuvrées une à une par une manivelle indépendante permettant de libérer les panneaux et de les ranger ensuite un à un manuellement. La course et la pression sont réglables sur chantier.</w:t>
      </w:r>
    </w:p>
    <w:p w14:paraId="156F2D20" w14:textId="77777777" w:rsidR="004B2808" w:rsidRDefault="00000000">
      <w:pPr>
        <w:jc w:val="both"/>
      </w:pPr>
      <w:r>
        <w:rPr>
          <w:b/>
        </w:rPr>
        <w:t>(soit)</w:t>
      </w:r>
    </w:p>
    <w:p w14:paraId="6522D507" w14:textId="77777777" w:rsidR="004B2808" w:rsidRDefault="00000000">
      <w:pPr>
        <w:jc w:val="both"/>
      </w:pPr>
      <w:r>
        <w:rPr>
          <w:rStyle w:val="soitChar"/>
          <w:u w:val="single"/>
        </w:rPr>
        <w:t>Semi-électrique :</w:t>
      </w:r>
    </w:p>
    <w:p w14:paraId="0453546C" w14:textId="77777777" w:rsidR="004B2808" w:rsidRDefault="00000000">
      <w:pPr>
        <w:jc w:val="both"/>
      </w:pPr>
      <w:r>
        <w:rPr>
          <w:rStyle w:val="soitChar"/>
        </w:rPr>
        <w:t>Les plinthes télescopiques des panneaux sont contrôlées électriquement permettant de libérer les panneaux et de les ranger ensuite un à un manuellement.</w:t>
      </w:r>
    </w:p>
    <w:p w14:paraId="0BDA75C6" w14:textId="77777777" w:rsidR="004B2808" w:rsidRDefault="00000000">
      <w:pPr>
        <w:jc w:val="both"/>
      </w:pPr>
      <w:r>
        <w:rPr>
          <w:b/>
        </w:rPr>
        <w:t>(soit)</w:t>
      </w:r>
    </w:p>
    <w:p w14:paraId="56E4EBCB" w14:textId="77777777" w:rsidR="004B2808" w:rsidRDefault="00000000">
      <w:pPr>
        <w:jc w:val="both"/>
      </w:pPr>
      <w:r>
        <w:rPr>
          <w:rStyle w:val="soitChar"/>
          <w:u w:val="single"/>
        </w:rPr>
        <w:t>Electrique (uniquement système avec rail inférieur) :</w:t>
      </w:r>
    </w:p>
    <w:p w14:paraId="2736B3CC" w14:textId="77777777" w:rsidR="004B2808" w:rsidRDefault="00000000">
      <w:pPr>
        <w:jc w:val="both"/>
      </w:pPr>
      <w:r>
        <w:rPr>
          <w:rStyle w:val="soitChar"/>
        </w:rPr>
        <w:t>La motorisation est conforme à la [NBN EN 60335-2-97] et répond aux exigences de sécurité d’utilisation, de vitesse d’entrainement et de compatibilité électromagnétique. La puissance est adaptée aux caractéristiques de la cloison mobile à actionner afin de respecter les exigences de sécurité et d’endurance.</w:t>
      </w:r>
    </w:p>
    <w:p w14:paraId="789C65E8" w14:textId="77777777" w:rsidR="004B2808" w:rsidRDefault="00000000">
      <w:pPr>
        <w:jc w:val="both"/>
      </w:pPr>
      <w:r>
        <w:rPr>
          <w:rStyle w:val="soitChar"/>
        </w:rPr>
        <w:t>La commande des plinthes télescopiques et du déplacement des panneaux dans la position souhaitée est entièrement contrôlée électriquement et programmable.</w:t>
      </w:r>
    </w:p>
    <w:p w14:paraId="22FE7C74" w14:textId="77777777" w:rsidR="004B2808" w:rsidRDefault="00000000">
      <w:pPr>
        <w:pStyle w:val="Author-eListParagraph"/>
        <w:numPr>
          <w:ilvl w:val="0"/>
          <w:numId w:val="159"/>
        </w:numPr>
      </w:pPr>
      <w:r>
        <w:rPr>
          <w:rStyle w:val="soitChar"/>
        </w:rPr>
        <w:t xml:space="preserve">Commande par </w:t>
      </w:r>
      <w:r>
        <w:rPr>
          <w:rStyle w:val="optioncarChar"/>
        </w:rPr>
        <w:t>panneau à touches</w:t>
      </w:r>
      <w:r>
        <w:t xml:space="preserve"> (par défaut)</w:t>
      </w:r>
      <w:r>
        <w:rPr>
          <w:rStyle w:val="optioncarChar"/>
        </w:rPr>
        <w:t xml:space="preserve"> / écran tactile / application pour smartphone / ***.</w:t>
      </w:r>
    </w:p>
    <w:p w14:paraId="17F93BB2" w14:textId="77777777" w:rsidR="004B2808" w:rsidRDefault="00000000">
      <w:pPr>
        <w:pStyle w:val="Author-eListParagraph"/>
        <w:numPr>
          <w:ilvl w:val="0"/>
          <w:numId w:val="159"/>
        </w:numPr>
      </w:pPr>
      <w:r>
        <w:rPr>
          <w:rStyle w:val="soitChar"/>
        </w:rPr>
        <w:t>Sécurité : arrêt du système en cas d’obstacle.</w:t>
      </w:r>
    </w:p>
    <w:p w14:paraId="4F73CF10" w14:textId="77777777" w:rsidR="004B2808" w:rsidRDefault="00000000">
      <w:pPr>
        <w:pStyle w:val="Author-eListParagraph"/>
        <w:numPr>
          <w:ilvl w:val="0"/>
          <w:numId w:val="159"/>
        </w:numPr>
      </w:pPr>
      <w:r>
        <w:rPr>
          <w:rStyle w:val="soitChar"/>
        </w:rPr>
        <w:t xml:space="preserve">Vitesse de déplacement : </w:t>
      </w:r>
      <w:r>
        <w:rPr>
          <w:rStyle w:val="optioncarChar"/>
        </w:rPr>
        <w:t xml:space="preserve">0,20 </w:t>
      </w:r>
      <w:r>
        <w:t>(par défaut)</w:t>
      </w:r>
      <w:r>
        <w:rPr>
          <w:rStyle w:val="optioncarChar"/>
        </w:rPr>
        <w:t xml:space="preserve"> / ***</w:t>
      </w:r>
      <w:r>
        <w:rPr>
          <w:rStyle w:val="soitChar"/>
        </w:rPr>
        <w:t xml:space="preserve"> m/sec</w:t>
      </w:r>
    </w:p>
    <w:p w14:paraId="28DB89E2" w14:textId="77777777" w:rsidR="004B2808" w:rsidRDefault="00000000">
      <w:pPr>
        <w:jc w:val="both"/>
      </w:pPr>
      <w:r>
        <w:rPr>
          <w:b/>
        </w:rPr>
        <w:t>(soit)</w:t>
      </w:r>
    </w:p>
    <w:p w14:paraId="09455A41" w14:textId="77777777" w:rsidR="004B2808" w:rsidRDefault="00000000">
      <w:pPr>
        <w:jc w:val="both"/>
      </w:pPr>
      <w:r>
        <w:rPr>
          <w:rStyle w:val="optioncarChar"/>
          <w:b/>
        </w:rPr>
        <w:t>***</w:t>
      </w:r>
    </w:p>
    <w:p w14:paraId="44A4171A" w14:textId="77777777" w:rsidR="004B2808" w:rsidRDefault="00000000">
      <w:pPr>
        <w:jc w:val="both"/>
      </w:pPr>
      <w:r>
        <w:rPr>
          <w:b/>
        </w:rPr>
        <w:t>Stockage des éléments</w:t>
      </w:r>
    </w:p>
    <w:p w14:paraId="66170FB8" w14:textId="77777777" w:rsidR="004B2808" w:rsidRDefault="00000000">
      <w:pPr>
        <w:jc w:val="both"/>
      </w:pPr>
      <w:r>
        <w:t>Le stockage des panneaux est prévu de manière compacte dans une zone de stockage à une extrémité / aux deux extrémités perpendiculairement au rail de support de la cloison mobile.</w:t>
      </w:r>
    </w:p>
    <w:p w14:paraId="1DC2E66E" w14:textId="77777777" w:rsidR="004B2808" w:rsidRDefault="00000000">
      <w:pPr>
        <w:jc w:val="both"/>
      </w:pPr>
      <w:r>
        <w:rPr>
          <w:b/>
        </w:rPr>
        <w:t>Eléments complémentaires : porte</w:t>
      </w:r>
    </w:p>
    <w:p w14:paraId="590EC29B" w14:textId="77777777" w:rsidR="004B2808" w:rsidRDefault="00000000">
      <w:pPr>
        <w:pStyle w:val="Author-eListParagraph"/>
        <w:numPr>
          <w:ilvl w:val="0"/>
          <w:numId w:val="160"/>
        </w:numPr>
      </w:pPr>
      <w:r>
        <w:t xml:space="preserve">Nombre d’éléments à intégrer dans la cloison : </w:t>
      </w:r>
      <w:r>
        <w:rPr>
          <w:rStyle w:val="optioncarChar"/>
        </w:rPr>
        <w:t>néant</w:t>
      </w:r>
      <w:r>
        <w:t xml:space="preserve"> (par défaut) </w:t>
      </w:r>
      <w:r>
        <w:rPr>
          <w:rStyle w:val="optioncarChar"/>
        </w:rPr>
        <w:t>/ voir plans de principes joints au dossier / 1 / 2 / ***.</w:t>
      </w:r>
    </w:p>
    <w:p w14:paraId="264C9A70" w14:textId="77777777" w:rsidR="004B2808" w:rsidRDefault="00000000">
      <w:pPr>
        <w:pStyle w:val="Author-eListParagraph"/>
        <w:numPr>
          <w:ilvl w:val="0"/>
          <w:numId w:val="160"/>
        </w:numPr>
      </w:pPr>
      <w:r>
        <w:t xml:space="preserve">Type de porte : </w:t>
      </w:r>
      <w:r>
        <w:rPr>
          <w:rStyle w:val="optioncarChar"/>
        </w:rPr>
        <w:t>simple</w:t>
      </w:r>
      <w:r>
        <w:t xml:space="preserve"> (par défaut)</w:t>
      </w:r>
      <w:r>
        <w:rPr>
          <w:rStyle w:val="optioncarChar"/>
        </w:rPr>
        <w:t xml:space="preserve"> / double / ***.</w:t>
      </w:r>
    </w:p>
    <w:p w14:paraId="63CD8444" w14:textId="77777777" w:rsidR="004B2808" w:rsidRDefault="00000000">
      <w:pPr>
        <w:pStyle w:val="Author-eListParagraph"/>
        <w:numPr>
          <w:ilvl w:val="0"/>
          <w:numId w:val="160"/>
        </w:numPr>
      </w:pPr>
      <w:r>
        <w:t xml:space="preserve">Type d’ouverture : </w:t>
      </w:r>
      <w:r>
        <w:rPr>
          <w:rStyle w:val="optioncarChar"/>
        </w:rPr>
        <w:t>ouvrant simple</w:t>
      </w:r>
      <w:r>
        <w:t xml:space="preserve"> (par défaut)</w:t>
      </w:r>
      <w:r>
        <w:rPr>
          <w:rStyle w:val="optioncarChar"/>
        </w:rPr>
        <w:t xml:space="preserve"> / télescopique / ***</w:t>
      </w:r>
      <w:r>
        <w:t>.</w:t>
      </w:r>
    </w:p>
    <w:p w14:paraId="5E580CC7" w14:textId="77777777" w:rsidR="004B2808" w:rsidRDefault="00000000">
      <w:pPr>
        <w:pStyle w:val="Author-eListParagraph"/>
        <w:numPr>
          <w:ilvl w:val="0"/>
          <w:numId w:val="160"/>
        </w:numPr>
        <w:jc w:val="both"/>
      </w:pPr>
      <w:r>
        <w:t xml:space="preserve">Remplissage : </w:t>
      </w:r>
      <w:r>
        <w:rPr>
          <w:rStyle w:val="optioncarChar"/>
        </w:rPr>
        <w:t xml:space="preserve">plein </w:t>
      </w:r>
      <w:r>
        <w:t xml:space="preserve">(par défaut) </w:t>
      </w:r>
      <w:r>
        <w:rPr>
          <w:rStyle w:val="optioncarChar"/>
        </w:rPr>
        <w:t xml:space="preserve">/ plein avec un vitrage intégré de dimension *** x *** cm / vitré / *** </w:t>
      </w:r>
      <w:r>
        <w:t>dont les caractéristiques et les performances sont similaires à celles de la cloison dans laquelle elle s’intègre.</w:t>
      </w:r>
    </w:p>
    <w:p w14:paraId="72EF1398" w14:textId="77777777" w:rsidR="004B2808" w:rsidRDefault="00000000">
      <w:pPr>
        <w:pStyle w:val="Author-eListParagraph"/>
        <w:numPr>
          <w:ilvl w:val="0"/>
          <w:numId w:val="160"/>
        </w:numPr>
      </w:pPr>
      <w:r>
        <w:t xml:space="preserve">Dimensions de la partie ouvrante : </w:t>
      </w:r>
      <w:r>
        <w:rPr>
          <w:rStyle w:val="optioncarChar"/>
        </w:rPr>
        <w:t>*** x ***</w:t>
      </w:r>
      <w:r>
        <w:t xml:space="preserve"> cm.</w:t>
      </w:r>
    </w:p>
    <w:p w14:paraId="58CF9E3C" w14:textId="77777777" w:rsidR="004B2808" w:rsidRDefault="00000000">
      <w:pPr>
        <w:pStyle w:val="Author-eListParagraph"/>
        <w:numPr>
          <w:ilvl w:val="0"/>
          <w:numId w:val="160"/>
        </w:numPr>
        <w:jc w:val="both"/>
      </w:pPr>
      <w:r>
        <w:t xml:space="preserve">Imposte supérieur : </w:t>
      </w:r>
      <w:r>
        <w:rPr>
          <w:rStyle w:val="optioncarChar"/>
        </w:rPr>
        <w:t>néant (la hauteur de porte est identique à celle du panneau)</w:t>
      </w:r>
      <w:r>
        <w:t xml:space="preserve"> (par défaut)</w:t>
      </w:r>
      <w:r>
        <w:rPr>
          <w:rStyle w:val="optioncarChar"/>
        </w:rPr>
        <w:t xml:space="preserve"> / plein / vitré / *** </w:t>
      </w:r>
      <w:r>
        <w:t>dont les caractéristiques et les performances sont similaires à celles de la cloison dans laquelle il s’intègre.</w:t>
      </w:r>
    </w:p>
    <w:p w14:paraId="2FF652EB" w14:textId="77777777" w:rsidR="004B2808" w:rsidRDefault="00000000">
      <w:pPr>
        <w:pStyle w:val="Author-eListParagraph"/>
        <w:numPr>
          <w:ilvl w:val="0"/>
          <w:numId w:val="160"/>
        </w:numPr>
      </w:pPr>
      <w:r>
        <w:t xml:space="preserve">Verrouillage : </w:t>
      </w:r>
      <w:r>
        <w:rPr>
          <w:rStyle w:val="optioncarChar"/>
        </w:rPr>
        <w:t>poignée double faces</w:t>
      </w:r>
      <w:r>
        <w:t xml:space="preserve"> (par défaut)</w:t>
      </w:r>
      <w:r>
        <w:rPr>
          <w:rStyle w:val="optioncarChar"/>
        </w:rPr>
        <w:t xml:space="preserve"> / poignée double faces avec serrure / poignée double faces avec serrure antipanique / ***.</w:t>
      </w:r>
    </w:p>
    <w:p w14:paraId="17D7C329" w14:textId="77777777" w:rsidR="004B2808" w:rsidRDefault="00000000">
      <w:pPr>
        <w:pStyle w:val="Author-eListParagraph"/>
        <w:numPr>
          <w:ilvl w:val="0"/>
          <w:numId w:val="160"/>
        </w:numPr>
      </w:pPr>
      <w:r>
        <w:t xml:space="preserve">Ferme-porte : </w:t>
      </w:r>
      <w:r>
        <w:rPr>
          <w:rStyle w:val="optioncarChar"/>
        </w:rPr>
        <w:t xml:space="preserve">néant </w:t>
      </w:r>
      <w:r>
        <w:t>(par défaut)</w:t>
      </w:r>
      <w:r>
        <w:rPr>
          <w:rStyle w:val="optioncarChar"/>
        </w:rPr>
        <w:t xml:space="preserve"> / articulé / à bras coulissant / ***.</w:t>
      </w:r>
    </w:p>
    <w:p w14:paraId="4B66C1CD" w14:textId="77777777" w:rsidR="004B2808" w:rsidRDefault="00000000">
      <w:pPr>
        <w:pStyle w:val="Author-eListParagraph"/>
        <w:numPr>
          <w:ilvl w:val="0"/>
          <w:numId w:val="160"/>
        </w:numPr>
      </w:pPr>
      <w:r>
        <w:t xml:space="preserve">Résistance au feu : </w:t>
      </w:r>
      <w:r>
        <w:rPr>
          <w:rStyle w:val="optioncarChar"/>
        </w:rPr>
        <w:t xml:space="preserve">identique à celle de la cloison mobile dans laquelle la porte est insérée </w:t>
      </w:r>
      <w:r>
        <w:t>(par défaut)</w:t>
      </w:r>
      <w:r>
        <w:rPr>
          <w:rStyle w:val="optioncarChar"/>
        </w:rPr>
        <w:t xml:space="preserve"> / ***.</w:t>
      </w:r>
    </w:p>
    <w:p w14:paraId="4025C15F" w14:textId="77777777" w:rsidR="004B2808" w:rsidRDefault="00000000">
      <w:pPr>
        <w:jc w:val="both"/>
      </w:pPr>
      <w:r>
        <w:rPr>
          <w:b/>
        </w:rPr>
        <w:t>Eléments complémentaires : partie vitrée </w:t>
      </w:r>
    </w:p>
    <w:p w14:paraId="03782292" w14:textId="77777777" w:rsidR="004B2808" w:rsidRDefault="00000000">
      <w:pPr>
        <w:pStyle w:val="Author-eListParagraph"/>
        <w:numPr>
          <w:ilvl w:val="0"/>
          <w:numId w:val="161"/>
        </w:numPr>
        <w:jc w:val="both"/>
      </w:pPr>
      <w:r>
        <w:t xml:space="preserve">Nombre d’éléments à intégrer dans la cloison : </w:t>
      </w:r>
      <w:r>
        <w:rPr>
          <w:rStyle w:val="optioncarChar"/>
        </w:rPr>
        <w:t xml:space="preserve">néant </w:t>
      </w:r>
      <w:r>
        <w:t>(par défaut)</w:t>
      </w:r>
      <w:r>
        <w:rPr>
          <w:rStyle w:val="optioncarChar"/>
        </w:rPr>
        <w:t xml:space="preserve"> / voir plans de principes joints au dossier / 1 / 2 / ***.</w:t>
      </w:r>
    </w:p>
    <w:p w14:paraId="32D2F256" w14:textId="77777777" w:rsidR="004B2808" w:rsidRDefault="00000000">
      <w:pPr>
        <w:pStyle w:val="Author-eListParagraph"/>
        <w:numPr>
          <w:ilvl w:val="0"/>
          <w:numId w:val="161"/>
        </w:numPr>
        <w:jc w:val="both"/>
      </w:pPr>
      <w:r>
        <w:t xml:space="preserve">Dimensions : </w:t>
      </w:r>
      <w:r>
        <w:rPr>
          <w:rStyle w:val="optioncarChar"/>
        </w:rPr>
        <w:t>*** x ***</w:t>
      </w:r>
      <w:r>
        <w:t xml:space="preserve"> cm.</w:t>
      </w:r>
    </w:p>
    <w:p w14:paraId="61A7A907" w14:textId="77777777" w:rsidR="004B2808" w:rsidRDefault="00000000">
      <w:pPr>
        <w:pStyle w:val="Author-eListParagraph"/>
        <w:numPr>
          <w:ilvl w:val="0"/>
          <w:numId w:val="161"/>
        </w:numPr>
        <w:jc w:val="both"/>
      </w:pPr>
      <w:r>
        <w:t>Remplissage : verre de sécurité</w:t>
      </w:r>
      <w:r>
        <w:rPr>
          <w:rStyle w:val="optioncarChar"/>
        </w:rPr>
        <w:t xml:space="preserve"> simple </w:t>
      </w:r>
      <w:r>
        <w:t>(par défaut)</w:t>
      </w:r>
      <w:r>
        <w:rPr>
          <w:rStyle w:val="optioncarChar"/>
        </w:rPr>
        <w:t xml:space="preserve"> / double</w:t>
      </w:r>
      <w:r>
        <w:t xml:space="preserve"> conforme à la [NBN S 23-002/A1].</w:t>
      </w:r>
    </w:p>
    <w:p w14:paraId="780C5EEF" w14:textId="77777777" w:rsidR="004B2808" w:rsidRDefault="00000000">
      <w:pPr>
        <w:pStyle w:val="Author-eListParagraph"/>
        <w:numPr>
          <w:ilvl w:val="0"/>
          <w:numId w:val="161"/>
        </w:numPr>
        <w:jc w:val="both"/>
      </w:pPr>
      <w:r>
        <w:lastRenderedPageBreak/>
        <w:t xml:space="preserve">Résistance au feu : </w:t>
      </w:r>
      <w:r>
        <w:rPr>
          <w:rStyle w:val="optioncarChar"/>
        </w:rPr>
        <w:t xml:space="preserve">identique à celle de la cloison mobile dans laquelle le vitrage est inséré </w:t>
      </w:r>
      <w:r>
        <w:t>(par défaut)</w:t>
      </w:r>
      <w:r>
        <w:rPr>
          <w:rStyle w:val="optioncarChar"/>
        </w:rPr>
        <w:t xml:space="preserve"> / ***</w:t>
      </w:r>
      <w:r>
        <w:t>.</w:t>
      </w:r>
    </w:p>
    <w:p w14:paraId="0DA2FE86" w14:textId="77777777" w:rsidR="004B2808" w:rsidRDefault="00000000">
      <w:pPr>
        <w:pStyle w:val="pheading"/>
      </w:pPr>
      <w:r>
        <w:t>- Finitions</w:t>
      </w:r>
    </w:p>
    <w:p w14:paraId="410B0C5B" w14:textId="77777777" w:rsidR="004B2808" w:rsidRDefault="00000000">
      <w:pPr>
        <w:jc w:val="both"/>
      </w:pPr>
      <w:r>
        <w:rPr>
          <w:b/>
        </w:rPr>
        <w:t>Rail(s) de support et de guidage</w:t>
      </w:r>
    </w:p>
    <w:p w14:paraId="5FE5E94E" w14:textId="77777777" w:rsidR="004B2808" w:rsidRDefault="00000000">
      <w:pPr>
        <w:jc w:val="both"/>
      </w:pPr>
      <w:r>
        <w:t xml:space="preserve">Rail supérieur et profils de raccordement mural : </w:t>
      </w:r>
      <w:r>
        <w:rPr>
          <w:rStyle w:val="optioncarChar"/>
        </w:rPr>
        <w:t xml:space="preserve">anodisé </w:t>
      </w:r>
      <w:r>
        <w:t xml:space="preserve">(par défaut) </w:t>
      </w:r>
      <w:r>
        <w:rPr>
          <w:rStyle w:val="optioncarChar"/>
        </w:rPr>
        <w:t>/ thermolaqué par poudrage polyester / galvanisé et peint / ***.</w:t>
      </w:r>
    </w:p>
    <w:p w14:paraId="123444E8" w14:textId="77777777" w:rsidR="004B2808" w:rsidRDefault="00000000">
      <w:pPr>
        <w:jc w:val="both"/>
      </w:pPr>
      <w:r>
        <w:rPr>
          <w:b/>
        </w:rPr>
        <w:t>(soit par défaut)</w:t>
      </w:r>
    </w:p>
    <w:p w14:paraId="7A443D83" w14:textId="77777777" w:rsidR="004B2808" w:rsidRDefault="00000000">
      <w:pPr>
        <w:jc w:val="both"/>
      </w:pPr>
      <w:r>
        <w:rPr>
          <w:rStyle w:val="soitChar"/>
          <w:u w:val="single"/>
        </w:rPr>
        <w:t>Anodisé :</w:t>
      </w:r>
      <w:r>
        <w:rPr>
          <w:rStyle w:val="soitChar"/>
        </w:rPr>
        <w:t xml:space="preserve"> selon Qualanod épaisseur ≥ 18 μm</w:t>
      </w:r>
    </w:p>
    <w:p w14:paraId="26F8C480" w14:textId="77777777" w:rsidR="004B2808" w:rsidRDefault="00000000">
      <w:pPr>
        <w:pStyle w:val="Author-eListParagraph"/>
        <w:numPr>
          <w:ilvl w:val="0"/>
          <w:numId w:val="162"/>
        </w:numPr>
      </w:pPr>
      <w:r>
        <w:rPr>
          <w:rStyle w:val="soitChar"/>
        </w:rPr>
        <w:t xml:space="preserve">Couleur : </w:t>
      </w:r>
      <w:r>
        <w:rPr>
          <w:rStyle w:val="optioncarChar"/>
        </w:rPr>
        <w:t xml:space="preserve">naturelle </w:t>
      </w:r>
      <w:r>
        <w:t>(par défaut)</w:t>
      </w:r>
      <w:r>
        <w:rPr>
          <w:rStyle w:val="optioncarChar"/>
        </w:rPr>
        <w:t xml:space="preserve"> / ***</w:t>
      </w:r>
      <w:r>
        <w:rPr>
          <w:rStyle w:val="soitChar"/>
        </w:rPr>
        <w:t>.</w:t>
      </w:r>
    </w:p>
    <w:p w14:paraId="30972A5C" w14:textId="77777777" w:rsidR="004B2808" w:rsidRDefault="00000000">
      <w:pPr>
        <w:pStyle w:val="Author-eListParagraph"/>
        <w:numPr>
          <w:ilvl w:val="0"/>
          <w:numId w:val="162"/>
        </w:numPr>
      </w:pPr>
      <w:r>
        <w:rPr>
          <w:rStyle w:val="soitChar"/>
        </w:rPr>
        <w:t xml:space="preserve">Finition : </w:t>
      </w:r>
      <w:r>
        <w:rPr>
          <w:rStyle w:val="optioncarChar"/>
        </w:rPr>
        <w:t xml:space="preserve">mate </w:t>
      </w:r>
      <w:r>
        <w:t>(par défaut)</w:t>
      </w:r>
      <w:r>
        <w:rPr>
          <w:rStyle w:val="optioncarChar"/>
        </w:rPr>
        <w:t xml:space="preserve"> / ***</w:t>
      </w:r>
      <w:r>
        <w:rPr>
          <w:rStyle w:val="soitChar"/>
        </w:rPr>
        <w:t>.</w:t>
      </w:r>
    </w:p>
    <w:p w14:paraId="3240C651" w14:textId="77777777" w:rsidR="004B2808" w:rsidRDefault="00000000">
      <w:pPr>
        <w:jc w:val="both"/>
      </w:pPr>
      <w:r>
        <w:rPr>
          <w:b/>
        </w:rPr>
        <w:t>(soit)</w:t>
      </w:r>
    </w:p>
    <w:p w14:paraId="7A04E26C" w14:textId="77777777" w:rsidR="004B2808" w:rsidRDefault="00000000">
      <w:pPr>
        <w:jc w:val="both"/>
      </w:pPr>
      <w:r>
        <w:rPr>
          <w:rStyle w:val="soitChar"/>
          <w:u w:val="single"/>
        </w:rPr>
        <w:t>Thermolaqué par poudrage polyester :</w:t>
      </w:r>
      <w:r>
        <w:rPr>
          <w:rStyle w:val="soitChar"/>
        </w:rPr>
        <w:t xml:space="preserve"> selon Qualicoat épaisseur ≥ 60 μm</w:t>
      </w:r>
    </w:p>
    <w:p w14:paraId="286F30A3" w14:textId="77777777" w:rsidR="004B2808" w:rsidRDefault="00000000">
      <w:pPr>
        <w:pStyle w:val="Author-eListParagraph"/>
        <w:numPr>
          <w:ilvl w:val="0"/>
          <w:numId w:val="163"/>
        </w:numPr>
      </w:pPr>
      <w:r>
        <w:rPr>
          <w:rStyle w:val="soitChar"/>
        </w:rPr>
        <w:t xml:space="preserve">Couleur : RAL n° </w:t>
      </w:r>
      <w:r>
        <w:rPr>
          <w:rStyle w:val="optioncarChar"/>
        </w:rPr>
        <w:t>***</w:t>
      </w:r>
    </w:p>
    <w:p w14:paraId="4CA9AA2A" w14:textId="77777777" w:rsidR="004B2808" w:rsidRDefault="00000000">
      <w:pPr>
        <w:pStyle w:val="Author-eListParagraph"/>
        <w:numPr>
          <w:ilvl w:val="0"/>
          <w:numId w:val="163"/>
        </w:numPr>
      </w:pPr>
      <w:r>
        <w:rPr>
          <w:rStyle w:val="soitChar"/>
        </w:rPr>
        <w:t xml:space="preserve">Brillance : </w:t>
      </w:r>
      <w:r>
        <w:rPr>
          <w:rStyle w:val="optioncarChar"/>
        </w:rPr>
        <w:t xml:space="preserve">70 </w:t>
      </w:r>
      <w:r>
        <w:t>(par défaut)</w:t>
      </w:r>
      <w:r>
        <w:rPr>
          <w:rStyle w:val="optioncarChar"/>
        </w:rPr>
        <w:t xml:space="preserve"> / ***</w:t>
      </w:r>
      <w:r>
        <w:rPr>
          <w:rStyle w:val="soitChar"/>
        </w:rPr>
        <w:t xml:space="preserve"> %.</w:t>
      </w:r>
    </w:p>
    <w:p w14:paraId="23F1FC01" w14:textId="77777777" w:rsidR="004B2808" w:rsidRDefault="00000000">
      <w:pPr>
        <w:jc w:val="both"/>
      </w:pPr>
      <w:r>
        <w:rPr>
          <w:b/>
        </w:rPr>
        <w:t>(soit)</w:t>
      </w:r>
    </w:p>
    <w:p w14:paraId="155D77AD" w14:textId="77777777" w:rsidR="004B2808" w:rsidRDefault="00000000">
      <w:pPr>
        <w:jc w:val="both"/>
      </w:pPr>
      <w:r>
        <w:rPr>
          <w:rStyle w:val="soitChar"/>
          <w:u w:val="single"/>
        </w:rPr>
        <w:t>Galvanisé et peint :</w:t>
      </w:r>
      <w:r>
        <w:rPr>
          <w:rStyle w:val="soitChar"/>
        </w:rPr>
        <w:t xml:space="preserve"> épaisseur ≥ 60 μm</w:t>
      </w:r>
    </w:p>
    <w:p w14:paraId="3DC4DC00" w14:textId="77777777" w:rsidR="004B2808" w:rsidRDefault="00000000">
      <w:pPr>
        <w:pStyle w:val="Author-eListParagraph"/>
        <w:numPr>
          <w:ilvl w:val="0"/>
          <w:numId w:val="164"/>
        </w:numPr>
      </w:pPr>
      <w:r>
        <w:rPr>
          <w:rStyle w:val="soitChar"/>
        </w:rPr>
        <w:t xml:space="preserve">Couleur : RAL n° </w:t>
      </w:r>
      <w:r>
        <w:rPr>
          <w:rStyle w:val="optioncarChar"/>
        </w:rPr>
        <w:t>***</w:t>
      </w:r>
    </w:p>
    <w:p w14:paraId="4438AFA9" w14:textId="77777777" w:rsidR="004B2808" w:rsidRDefault="00000000">
      <w:pPr>
        <w:pStyle w:val="Author-eListParagraph"/>
        <w:numPr>
          <w:ilvl w:val="0"/>
          <w:numId w:val="164"/>
        </w:numPr>
      </w:pPr>
      <w:r>
        <w:rPr>
          <w:rStyle w:val="soitChar"/>
        </w:rPr>
        <w:t xml:space="preserve">Finition : </w:t>
      </w:r>
      <w:r>
        <w:rPr>
          <w:rStyle w:val="optioncarChar"/>
        </w:rPr>
        <w:t>mate</w:t>
      </w:r>
      <w:r>
        <w:t xml:space="preserve"> (par défaut) </w:t>
      </w:r>
      <w:r>
        <w:rPr>
          <w:rStyle w:val="optioncarChar"/>
        </w:rPr>
        <w:t>/ ***.</w:t>
      </w:r>
    </w:p>
    <w:p w14:paraId="4DB7C10F" w14:textId="77777777" w:rsidR="004B2808" w:rsidRDefault="00000000">
      <w:pPr>
        <w:jc w:val="both"/>
      </w:pPr>
      <w:r>
        <w:rPr>
          <w:b/>
        </w:rPr>
        <w:t>(soit)</w:t>
      </w:r>
    </w:p>
    <w:p w14:paraId="1D762E0C" w14:textId="77777777" w:rsidR="004B2808" w:rsidRDefault="00000000">
      <w:pPr>
        <w:jc w:val="both"/>
      </w:pPr>
      <w:r>
        <w:rPr>
          <w:rStyle w:val="optioncarChar"/>
        </w:rPr>
        <w:t>***</w:t>
      </w:r>
    </w:p>
    <w:p w14:paraId="59D154C7" w14:textId="77777777" w:rsidR="004B2808" w:rsidRDefault="00000000">
      <w:pPr>
        <w:jc w:val="both"/>
      </w:pPr>
      <w:r>
        <w:t xml:space="preserve">Rail inférieur : </w:t>
      </w:r>
      <w:r>
        <w:rPr>
          <w:rStyle w:val="optioncarChar"/>
        </w:rPr>
        <w:t>anodisé</w:t>
      </w:r>
      <w:r>
        <w:t xml:space="preserve"> (par défaut) </w:t>
      </w:r>
      <w:r>
        <w:rPr>
          <w:rStyle w:val="optioncarChar"/>
        </w:rPr>
        <w:t>/ thermolaqué par poudrage polyester / ***</w:t>
      </w:r>
      <w:r>
        <w:t>.</w:t>
      </w:r>
    </w:p>
    <w:p w14:paraId="4EAE4F00" w14:textId="77777777" w:rsidR="004B2808" w:rsidRDefault="00000000">
      <w:pPr>
        <w:jc w:val="both"/>
      </w:pPr>
      <w:r>
        <w:rPr>
          <w:b/>
        </w:rPr>
        <w:t>(soit par défaut)</w:t>
      </w:r>
    </w:p>
    <w:p w14:paraId="1019A4BF" w14:textId="77777777" w:rsidR="004B2808" w:rsidRDefault="00000000">
      <w:pPr>
        <w:jc w:val="both"/>
      </w:pPr>
      <w:r>
        <w:rPr>
          <w:rStyle w:val="soitChar"/>
          <w:u w:val="single"/>
        </w:rPr>
        <w:t>Anodisé :</w:t>
      </w:r>
      <w:r>
        <w:rPr>
          <w:rStyle w:val="soitChar"/>
        </w:rPr>
        <w:t xml:space="preserve"> selon Qualanod épaisseur ≥ 18 μm</w:t>
      </w:r>
    </w:p>
    <w:p w14:paraId="42D1DC86" w14:textId="77777777" w:rsidR="004B2808" w:rsidRDefault="00000000">
      <w:pPr>
        <w:pStyle w:val="Author-eListParagraph"/>
        <w:numPr>
          <w:ilvl w:val="0"/>
          <w:numId w:val="165"/>
        </w:numPr>
      </w:pPr>
      <w:r>
        <w:rPr>
          <w:rStyle w:val="soitChar"/>
        </w:rPr>
        <w:t xml:space="preserve">Couleur : </w:t>
      </w:r>
      <w:r>
        <w:rPr>
          <w:rStyle w:val="optioncarChar"/>
        </w:rPr>
        <w:t>naturelle</w:t>
      </w:r>
      <w:r>
        <w:t xml:space="preserve"> (par défaut)</w:t>
      </w:r>
      <w:r>
        <w:rPr>
          <w:rStyle w:val="optioncarChar"/>
        </w:rPr>
        <w:t xml:space="preserve"> / ***.</w:t>
      </w:r>
    </w:p>
    <w:p w14:paraId="0805CFCF" w14:textId="77777777" w:rsidR="004B2808" w:rsidRDefault="00000000">
      <w:pPr>
        <w:pStyle w:val="Author-eListParagraph"/>
        <w:numPr>
          <w:ilvl w:val="0"/>
          <w:numId w:val="165"/>
        </w:numPr>
      </w:pPr>
      <w:r>
        <w:rPr>
          <w:rStyle w:val="soitChar"/>
        </w:rPr>
        <w:t xml:space="preserve">Finition : </w:t>
      </w:r>
      <w:r>
        <w:rPr>
          <w:rStyle w:val="optioncarChar"/>
        </w:rPr>
        <w:t xml:space="preserve">mate </w:t>
      </w:r>
      <w:r>
        <w:t>(par défaut)</w:t>
      </w:r>
      <w:r>
        <w:rPr>
          <w:rStyle w:val="optioncarChar"/>
        </w:rPr>
        <w:t xml:space="preserve"> / ***.</w:t>
      </w:r>
    </w:p>
    <w:p w14:paraId="6201E47B" w14:textId="77777777" w:rsidR="004B2808" w:rsidRDefault="00000000">
      <w:pPr>
        <w:jc w:val="both"/>
      </w:pPr>
      <w:r>
        <w:rPr>
          <w:b/>
        </w:rPr>
        <w:t>(soit)</w:t>
      </w:r>
    </w:p>
    <w:p w14:paraId="7DA729EE" w14:textId="77777777" w:rsidR="004B2808" w:rsidRDefault="00000000">
      <w:pPr>
        <w:jc w:val="both"/>
      </w:pPr>
      <w:r>
        <w:rPr>
          <w:rStyle w:val="soitChar"/>
          <w:u w:val="single"/>
        </w:rPr>
        <w:t>Thermolaqué par poudrage polyester :</w:t>
      </w:r>
      <w:r>
        <w:rPr>
          <w:rStyle w:val="soitChar"/>
        </w:rPr>
        <w:t xml:space="preserve"> selon Qualicoat épaisseur ≥ 60 μm</w:t>
      </w:r>
    </w:p>
    <w:p w14:paraId="11009B35" w14:textId="77777777" w:rsidR="004B2808" w:rsidRDefault="00000000">
      <w:pPr>
        <w:pStyle w:val="Author-eListParagraph"/>
        <w:numPr>
          <w:ilvl w:val="0"/>
          <w:numId w:val="166"/>
        </w:numPr>
      </w:pPr>
      <w:r>
        <w:rPr>
          <w:rStyle w:val="soitChar"/>
        </w:rPr>
        <w:t xml:space="preserve">Couleur : RAL n° </w:t>
      </w:r>
      <w:r>
        <w:rPr>
          <w:rStyle w:val="optioncarChar"/>
        </w:rPr>
        <w:t>***</w:t>
      </w:r>
    </w:p>
    <w:p w14:paraId="5F4EEA96" w14:textId="77777777" w:rsidR="004B2808" w:rsidRDefault="00000000">
      <w:pPr>
        <w:pStyle w:val="Author-eListParagraph"/>
        <w:numPr>
          <w:ilvl w:val="0"/>
          <w:numId w:val="166"/>
        </w:numPr>
      </w:pPr>
      <w:r>
        <w:rPr>
          <w:rStyle w:val="soitChar"/>
        </w:rPr>
        <w:t xml:space="preserve">Brillance : </w:t>
      </w:r>
      <w:r>
        <w:rPr>
          <w:rStyle w:val="optioncarChar"/>
        </w:rPr>
        <w:t>70</w:t>
      </w:r>
      <w:r>
        <w:t xml:space="preserve"> (par défaut) </w:t>
      </w:r>
      <w:r>
        <w:rPr>
          <w:rStyle w:val="optioncarChar"/>
        </w:rPr>
        <w:t>/ ***</w:t>
      </w:r>
      <w:r>
        <w:rPr>
          <w:rStyle w:val="soitChar"/>
        </w:rPr>
        <w:t xml:space="preserve"> %.</w:t>
      </w:r>
    </w:p>
    <w:p w14:paraId="718A6E61" w14:textId="77777777" w:rsidR="004B2808" w:rsidRDefault="00000000">
      <w:pPr>
        <w:jc w:val="both"/>
      </w:pPr>
      <w:r>
        <w:rPr>
          <w:b/>
        </w:rPr>
        <w:t>(soit)</w:t>
      </w:r>
    </w:p>
    <w:p w14:paraId="66B98309" w14:textId="77777777" w:rsidR="004B2808" w:rsidRDefault="00000000">
      <w:pPr>
        <w:jc w:val="both"/>
      </w:pPr>
      <w:r>
        <w:rPr>
          <w:rStyle w:val="optioncarChar"/>
        </w:rPr>
        <w:t>***</w:t>
      </w:r>
    </w:p>
    <w:p w14:paraId="75E4DD96" w14:textId="77777777" w:rsidR="004B2808" w:rsidRDefault="00000000">
      <w:pPr>
        <w:jc w:val="both"/>
      </w:pPr>
      <w:r>
        <w:rPr>
          <w:b/>
        </w:rPr>
        <w:t>Finition des chants</w:t>
      </w:r>
    </w:p>
    <w:p w14:paraId="6815C438" w14:textId="77777777" w:rsidR="004B2808" w:rsidRDefault="00000000">
      <w:pPr>
        <w:jc w:val="both"/>
      </w:pPr>
      <w:r>
        <w:t xml:space="preserve">Profils de finition du chant des panneaux : </w:t>
      </w:r>
      <w:r>
        <w:rPr>
          <w:rStyle w:val="optioncarChar"/>
        </w:rPr>
        <w:t xml:space="preserve">anodisé </w:t>
      </w:r>
      <w:r>
        <w:t>(par défaut)</w:t>
      </w:r>
      <w:r>
        <w:rPr>
          <w:rStyle w:val="optioncarChar"/>
        </w:rPr>
        <w:t xml:space="preserve"> / thermolaqué par poudrage polyester / ***.</w:t>
      </w:r>
    </w:p>
    <w:p w14:paraId="26157495" w14:textId="77777777" w:rsidR="004B2808" w:rsidRDefault="00000000">
      <w:pPr>
        <w:jc w:val="both"/>
      </w:pPr>
      <w:r>
        <w:rPr>
          <w:b/>
        </w:rPr>
        <w:t>(soit par défaut)</w:t>
      </w:r>
    </w:p>
    <w:p w14:paraId="2026429C" w14:textId="77777777" w:rsidR="004B2808" w:rsidRDefault="00000000">
      <w:pPr>
        <w:jc w:val="both"/>
      </w:pPr>
      <w:r>
        <w:rPr>
          <w:rStyle w:val="soitChar"/>
          <w:u w:val="single"/>
        </w:rPr>
        <w:t>Anodisé :</w:t>
      </w:r>
      <w:r>
        <w:rPr>
          <w:rStyle w:val="soitChar"/>
        </w:rPr>
        <w:t xml:space="preserve"> selon Qualanod épaisseur ≥ 18 μm</w:t>
      </w:r>
    </w:p>
    <w:p w14:paraId="76D62346" w14:textId="77777777" w:rsidR="004B2808" w:rsidRDefault="00000000">
      <w:pPr>
        <w:pStyle w:val="Author-eListParagraph"/>
        <w:numPr>
          <w:ilvl w:val="0"/>
          <w:numId w:val="167"/>
        </w:numPr>
      </w:pPr>
      <w:r>
        <w:rPr>
          <w:rStyle w:val="soitChar"/>
        </w:rPr>
        <w:t xml:space="preserve">Couleur : </w:t>
      </w:r>
      <w:r>
        <w:rPr>
          <w:rStyle w:val="optioncarChar"/>
        </w:rPr>
        <w:t xml:space="preserve">naturelle </w:t>
      </w:r>
      <w:r>
        <w:t>(par défaut)</w:t>
      </w:r>
      <w:r>
        <w:rPr>
          <w:rStyle w:val="optioncarChar"/>
        </w:rPr>
        <w:t xml:space="preserve"> / ***.</w:t>
      </w:r>
    </w:p>
    <w:p w14:paraId="10143503" w14:textId="77777777" w:rsidR="004B2808" w:rsidRDefault="00000000">
      <w:pPr>
        <w:pStyle w:val="Author-eListParagraph"/>
        <w:numPr>
          <w:ilvl w:val="0"/>
          <w:numId w:val="167"/>
        </w:numPr>
      </w:pPr>
      <w:r>
        <w:rPr>
          <w:rStyle w:val="soitChar"/>
        </w:rPr>
        <w:t xml:space="preserve">Finition : </w:t>
      </w:r>
      <w:r>
        <w:rPr>
          <w:rStyle w:val="optioncarChar"/>
        </w:rPr>
        <w:t xml:space="preserve">mate </w:t>
      </w:r>
      <w:r>
        <w:t>(par défaut)</w:t>
      </w:r>
      <w:r>
        <w:rPr>
          <w:rStyle w:val="optioncarChar"/>
        </w:rPr>
        <w:t xml:space="preserve"> / ***</w:t>
      </w:r>
      <w:r>
        <w:rPr>
          <w:rStyle w:val="soitChar"/>
        </w:rPr>
        <w:t>.</w:t>
      </w:r>
    </w:p>
    <w:p w14:paraId="72425BE0" w14:textId="77777777" w:rsidR="004B2808" w:rsidRDefault="00000000">
      <w:pPr>
        <w:jc w:val="both"/>
      </w:pPr>
      <w:r>
        <w:rPr>
          <w:b/>
        </w:rPr>
        <w:t>(soit)</w:t>
      </w:r>
    </w:p>
    <w:p w14:paraId="76CB8B85" w14:textId="77777777" w:rsidR="004B2808" w:rsidRDefault="00000000">
      <w:pPr>
        <w:jc w:val="both"/>
      </w:pPr>
      <w:r>
        <w:rPr>
          <w:rStyle w:val="soitChar"/>
          <w:u w:val="single"/>
        </w:rPr>
        <w:t>Thermolaqué par poudrage polyester :</w:t>
      </w:r>
      <w:r>
        <w:rPr>
          <w:rStyle w:val="soitChar"/>
        </w:rPr>
        <w:t xml:space="preserve"> selon Qualicoat épaisseur ≥ 60 μm</w:t>
      </w:r>
    </w:p>
    <w:p w14:paraId="79B463ED" w14:textId="77777777" w:rsidR="004B2808" w:rsidRDefault="00000000">
      <w:pPr>
        <w:pStyle w:val="Author-eListParagraph"/>
        <w:numPr>
          <w:ilvl w:val="0"/>
          <w:numId w:val="168"/>
        </w:numPr>
      </w:pPr>
      <w:r>
        <w:rPr>
          <w:rStyle w:val="soitChar"/>
        </w:rPr>
        <w:t xml:space="preserve">Couleur : RAL n° </w:t>
      </w:r>
      <w:r>
        <w:rPr>
          <w:rStyle w:val="optioncarChar"/>
        </w:rPr>
        <w:t>***</w:t>
      </w:r>
    </w:p>
    <w:p w14:paraId="186A699F" w14:textId="77777777" w:rsidR="004B2808" w:rsidRDefault="00000000">
      <w:pPr>
        <w:pStyle w:val="Author-eListParagraph"/>
        <w:numPr>
          <w:ilvl w:val="0"/>
          <w:numId w:val="168"/>
        </w:numPr>
      </w:pPr>
      <w:r>
        <w:rPr>
          <w:rStyle w:val="soitChar"/>
        </w:rPr>
        <w:t xml:space="preserve">Brillance : </w:t>
      </w:r>
      <w:r>
        <w:rPr>
          <w:rStyle w:val="optioncarChar"/>
        </w:rPr>
        <w:t xml:space="preserve">70 </w:t>
      </w:r>
      <w:r>
        <w:t>(par défaut)</w:t>
      </w:r>
      <w:r>
        <w:rPr>
          <w:rStyle w:val="optioncarChar"/>
        </w:rPr>
        <w:t xml:space="preserve"> / ***</w:t>
      </w:r>
      <w:r>
        <w:t>  </w:t>
      </w:r>
      <w:r>
        <w:rPr>
          <w:rStyle w:val="soitChar"/>
        </w:rPr>
        <w:t>%.</w:t>
      </w:r>
    </w:p>
    <w:p w14:paraId="4562A93E" w14:textId="77777777" w:rsidR="004B2808" w:rsidRDefault="00000000">
      <w:pPr>
        <w:jc w:val="both"/>
      </w:pPr>
      <w:r>
        <w:rPr>
          <w:b/>
        </w:rPr>
        <w:lastRenderedPageBreak/>
        <w:t>(soit)</w:t>
      </w:r>
    </w:p>
    <w:p w14:paraId="75037701" w14:textId="77777777" w:rsidR="004B2808" w:rsidRDefault="00000000">
      <w:pPr>
        <w:jc w:val="both"/>
      </w:pPr>
      <w:r>
        <w:rPr>
          <w:rStyle w:val="optioncarChar"/>
        </w:rPr>
        <w:t>***</w:t>
      </w:r>
    </w:p>
    <w:p w14:paraId="20F94625" w14:textId="77777777" w:rsidR="004B2808" w:rsidRDefault="00000000">
      <w:pPr>
        <w:jc w:val="both"/>
      </w:pPr>
      <w:r>
        <w:rPr>
          <w:b/>
        </w:rPr>
        <w:t>Finition des panneaux pleins</w:t>
      </w:r>
    </w:p>
    <w:p w14:paraId="1604B8C2" w14:textId="77777777" w:rsidR="004B2808" w:rsidRDefault="00000000">
      <w:pPr>
        <w:jc w:val="both"/>
      </w:pPr>
      <w:r>
        <w:t xml:space="preserve">La structure des panneaux est recouverte de : </w:t>
      </w:r>
      <w:r>
        <w:rPr>
          <w:rStyle w:val="optioncarChar"/>
        </w:rPr>
        <w:t xml:space="preserve">mélaminé </w:t>
      </w:r>
      <w:r>
        <w:t>(par défaut)</w:t>
      </w:r>
      <w:r>
        <w:rPr>
          <w:rStyle w:val="optioncarChar"/>
        </w:rPr>
        <w:t xml:space="preserve"> / stratifié / panneaux acoustiques / ***.</w:t>
      </w:r>
    </w:p>
    <w:p w14:paraId="4E30B09C" w14:textId="77777777" w:rsidR="004B2808" w:rsidRDefault="00000000">
      <w:pPr>
        <w:jc w:val="both"/>
      </w:pPr>
      <w:r>
        <w:rPr>
          <w:b/>
        </w:rPr>
        <w:t>(soit par défaut)</w:t>
      </w:r>
    </w:p>
    <w:p w14:paraId="3CF42B1C" w14:textId="77777777" w:rsidR="004B2808" w:rsidRDefault="00000000">
      <w:pPr>
        <w:jc w:val="both"/>
      </w:pPr>
      <w:r>
        <w:rPr>
          <w:rStyle w:val="soitChar"/>
          <w:u w:val="single"/>
        </w:rPr>
        <w:t>Mélaminé :</w:t>
      </w:r>
    </w:p>
    <w:p w14:paraId="7E26B439" w14:textId="77777777" w:rsidR="004B2808" w:rsidRDefault="00000000">
      <w:pPr>
        <w:pStyle w:val="Author-eListParagraph"/>
        <w:numPr>
          <w:ilvl w:val="0"/>
          <w:numId w:val="169"/>
        </w:numPr>
      </w:pPr>
      <w:r>
        <w:rPr>
          <w:rStyle w:val="soitChar"/>
        </w:rPr>
        <w:t xml:space="preserve">Epaisseur : ≥ </w:t>
      </w:r>
      <w:r>
        <w:rPr>
          <w:rStyle w:val="optioncarChar"/>
        </w:rPr>
        <w:t>0,8</w:t>
      </w:r>
      <w:r>
        <w:t xml:space="preserve"> (par défaut) </w:t>
      </w:r>
      <w:r>
        <w:rPr>
          <w:rStyle w:val="optioncarChar"/>
        </w:rPr>
        <w:t>/ ***</w:t>
      </w:r>
      <w:r>
        <w:rPr>
          <w:rStyle w:val="soitChar"/>
        </w:rPr>
        <w:t xml:space="preserve"> mm.</w:t>
      </w:r>
    </w:p>
    <w:p w14:paraId="2DDCF3DB" w14:textId="77777777" w:rsidR="004B2808" w:rsidRDefault="00000000">
      <w:pPr>
        <w:pStyle w:val="Author-eListParagraph"/>
        <w:numPr>
          <w:ilvl w:val="0"/>
          <w:numId w:val="169"/>
        </w:numPr>
      </w:pPr>
      <w:r>
        <w:rPr>
          <w:rStyle w:val="soitChar"/>
        </w:rPr>
        <w:t xml:space="preserve">Couleur : </w:t>
      </w:r>
      <w:r>
        <w:rPr>
          <w:rStyle w:val="optioncarChar"/>
        </w:rPr>
        <w:t xml:space="preserve">à choisir dans la gamme standard du fabricant comprenant 10 teintes au minimum </w:t>
      </w:r>
      <w:r>
        <w:t xml:space="preserve">(par défaut) </w:t>
      </w:r>
      <w:r>
        <w:rPr>
          <w:rStyle w:val="optioncarChar"/>
        </w:rPr>
        <w:t>/ finition brut à peindre / teinte RAL *** / aspect bois essence :  *** / ***.</w:t>
      </w:r>
    </w:p>
    <w:p w14:paraId="1083E9DC" w14:textId="77777777" w:rsidR="004B2808" w:rsidRDefault="00000000">
      <w:pPr>
        <w:pStyle w:val="Author-eListParagraph"/>
        <w:numPr>
          <w:ilvl w:val="0"/>
          <w:numId w:val="169"/>
        </w:numPr>
      </w:pPr>
      <w:r>
        <w:rPr>
          <w:rStyle w:val="soitChar"/>
        </w:rPr>
        <w:t xml:space="preserve">Finition : </w:t>
      </w:r>
      <w:r>
        <w:rPr>
          <w:rStyle w:val="optioncarChar"/>
        </w:rPr>
        <w:t xml:space="preserve">satinée </w:t>
      </w:r>
      <w:r>
        <w:t xml:space="preserve">(par défaut) </w:t>
      </w:r>
      <w:r>
        <w:rPr>
          <w:rStyle w:val="optioncarChar"/>
        </w:rPr>
        <w:t>/ brillante / mate / ***.</w:t>
      </w:r>
    </w:p>
    <w:p w14:paraId="2FAF5379" w14:textId="77777777" w:rsidR="004B2808" w:rsidRDefault="00000000">
      <w:pPr>
        <w:pStyle w:val="Author-eListParagraph"/>
        <w:numPr>
          <w:ilvl w:val="0"/>
          <w:numId w:val="169"/>
        </w:numPr>
      </w:pPr>
      <w:r>
        <w:rPr>
          <w:rStyle w:val="soitChar"/>
        </w:rPr>
        <w:t xml:space="preserve">Aspect : </w:t>
      </w:r>
      <w:r>
        <w:rPr>
          <w:rStyle w:val="optioncarChar"/>
        </w:rPr>
        <w:t xml:space="preserve">lisse </w:t>
      </w:r>
      <w:r>
        <w:t>(par défaut)</w:t>
      </w:r>
      <w:r>
        <w:rPr>
          <w:rStyle w:val="optioncarChar"/>
        </w:rPr>
        <w:t xml:space="preserve"> / ***.</w:t>
      </w:r>
    </w:p>
    <w:p w14:paraId="7422056C" w14:textId="77777777" w:rsidR="004B2808" w:rsidRDefault="00000000">
      <w:pPr>
        <w:jc w:val="both"/>
      </w:pPr>
      <w:r>
        <w:rPr>
          <w:b/>
        </w:rPr>
        <w:t>(soit)</w:t>
      </w:r>
    </w:p>
    <w:p w14:paraId="5836F07A" w14:textId="77777777" w:rsidR="004B2808" w:rsidRDefault="00000000">
      <w:pPr>
        <w:jc w:val="both"/>
      </w:pPr>
      <w:r>
        <w:rPr>
          <w:rStyle w:val="soitChar"/>
          <w:u w:val="single"/>
        </w:rPr>
        <w:t>Stratifié :</w:t>
      </w:r>
      <w:r>
        <w:rPr>
          <w:rStyle w:val="soitChar"/>
        </w:rPr>
        <w:t xml:space="preserve"> plaque de stratifié haute pression, classe HPL-EN 438 VGS ou S 232.</w:t>
      </w:r>
    </w:p>
    <w:p w14:paraId="4EB4560E" w14:textId="77777777" w:rsidR="004B2808" w:rsidRDefault="00000000">
      <w:pPr>
        <w:pStyle w:val="Author-eListParagraph"/>
        <w:numPr>
          <w:ilvl w:val="0"/>
          <w:numId w:val="170"/>
        </w:numPr>
      </w:pPr>
      <w:r>
        <w:rPr>
          <w:rStyle w:val="soitChar"/>
        </w:rPr>
        <w:t xml:space="preserve">Epaisseur : ≥ </w:t>
      </w:r>
      <w:r>
        <w:rPr>
          <w:rStyle w:val="optioncarChar"/>
        </w:rPr>
        <w:t xml:space="preserve">0,8 </w:t>
      </w:r>
      <w:r>
        <w:t>(par défaut)</w:t>
      </w:r>
      <w:r>
        <w:rPr>
          <w:rStyle w:val="optioncarChar"/>
        </w:rPr>
        <w:t xml:space="preserve"> / ***</w:t>
      </w:r>
      <w:r>
        <w:t>  </w:t>
      </w:r>
      <w:r>
        <w:rPr>
          <w:rStyle w:val="soitChar"/>
        </w:rPr>
        <w:t>mm.</w:t>
      </w:r>
    </w:p>
    <w:p w14:paraId="775639D7" w14:textId="77777777" w:rsidR="004B2808" w:rsidRDefault="00000000">
      <w:pPr>
        <w:pStyle w:val="Author-eListParagraph"/>
        <w:numPr>
          <w:ilvl w:val="0"/>
          <w:numId w:val="170"/>
        </w:numPr>
      </w:pPr>
      <w:r>
        <w:rPr>
          <w:rStyle w:val="soitChar"/>
        </w:rPr>
        <w:t xml:space="preserve">Couleur : </w:t>
      </w:r>
      <w:r>
        <w:rPr>
          <w:rStyle w:val="optioncarChar"/>
        </w:rPr>
        <w:t xml:space="preserve">à choisir dans la gamme standard du fabricant comprenant 10 teintes au minimum </w:t>
      </w:r>
      <w:r>
        <w:t>(par défaut)</w:t>
      </w:r>
      <w:r>
        <w:rPr>
          <w:rStyle w:val="optioncarChar"/>
        </w:rPr>
        <w:t xml:space="preserve"> / teinte RAL *** / aspect bois - essence :  *** / ***.</w:t>
      </w:r>
    </w:p>
    <w:p w14:paraId="41F5D661" w14:textId="77777777" w:rsidR="004B2808" w:rsidRDefault="00000000">
      <w:pPr>
        <w:pStyle w:val="Author-eListParagraph"/>
        <w:numPr>
          <w:ilvl w:val="0"/>
          <w:numId w:val="170"/>
        </w:numPr>
      </w:pPr>
      <w:r>
        <w:rPr>
          <w:rStyle w:val="soitChar"/>
        </w:rPr>
        <w:t xml:space="preserve">Finition : </w:t>
      </w:r>
      <w:r>
        <w:rPr>
          <w:rStyle w:val="optioncarChar"/>
        </w:rPr>
        <w:t>satinée</w:t>
      </w:r>
      <w:r>
        <w:t xml:space="preserve"> (par défaut) </w:t>
      </w:r>
      <w:r>
        <w:rPr>
          <w:rStyle w:val="optioncarChar"/>
        </w:rPr>
        <w:t>/ brillante / mate / ***.</w:t>
      </w:r>
    </w:p>
    <w:p w14:paraId="0F2E2906" w14:textId="77777777" w:rsidR="004B2808" w:rsidRDefault="00000000">
      <w:pPr>
        <w:pStyle w:val="Author-eListParagraph"/>
        <w:numPr>
          <w:ilvl w:val="0"/>
          <w:numId w:val="170"/>
        </w:numPr>
      </w:pPr>
      <w:r>
        <w:rPr>
          <w:rStyle w:val="soitChar"/>
        </w:rPr>
        <w:t>Aspect :</w:t>
      </w:r>
      <w:r>
        <w:rPr>
          <w:rStyle w:val="optioncarChar"/>
        </w:rPr>
        <w:t xml:space="preserve"> lisse </w:t>
      </w:r>
      <w:r>
        <w:t>(par défaut)</w:t>
      </w:r>
      <w:r>
        <w:rPr>
          <w:rStyle w:val="optioncarChar"/>
        </w:rPr>
        <w:t xml:space="preserve"> / ***</w:t>
      </w:r>
      <w:r>
        <w:rPr>
          <w:rStyle w:val="soitChar"/>
        </w:rPr>
        <w:t>.</w:t>
      </w:r>
    </w:p>
    <w:p w14:paraId="78E8803A" w14:textId="77777777" w:rsidR="004B2808" w:rsidRDefault="00000000">
      <w:pPr>
        <w:jc w:val="both"/>
      </w:pPr>
      <w:r>
        <w:rPr>
          <w:b/>
        </w:rPr>
        <w:t>(soit)</w:t>
      </w:r>
    </w:p>
    <w:p w14:paraId="0A8C21FE" w14:textId="77777777" w:rsidR="004B2808" w:rsidRDefault="00000000">
      <w:pPr>
        <w:jc w:val="both"/>
      </w:pPr>
      <w:r>
        <w:rPr>
          <w:rStyle w:val="soitChar"/>
          <w:u w:val="single"/>
        </w:rPr>
        <w:t>Panneau acoustique :</w:t>
      </w:r>
      <w:r>
        <w:rPr>
          <w:rStyle w:val="soitChar"/>
        </w:rPr>
        <w:t xml:space="preserve"> la finition des panneaux mobiles intègre des panneaux perforés composés d’un support en aggloméré, d’un isolant phonique, d’un voile acoustique intercalé et d’une finition en MDF perforée.</w:t>
      </w:r>
    </w:p>
    <w:p w14:paraId="3D00B68F" w14:textId="77777777" w:rsidR="004B2808" w:rsidRDefault="00000000">
      <w:pPr>
        <w:pStyle w:val="Author-eListParagraph"/>
        <w:numPr>
          <w:ilvl w:val="0"/>
          <w:numId w:val="171"/>
        </w:numPr>
      </w:pPr>
      <w:r>
        <w:rPr>
          <w:rStyle w:val="soitChar"/>
        </w:rPr>
        <w:t>Epaisseur : ≥</w:t>
      </w:r>
      <w:r>
        <w:rPr>
          <w:rStyle w:val="optioncarChar"/>
        </w:rPr>
        <w:t xml:space="preserve"> 18</w:t>
      </w:r>
      <w:r>
        <w:t xml:space="preserve"> (par défaut)</w:t>
      </w:r>
      <w:r>
        <w:rPr>
          <w:rStyle w:val="optioncarChar"/>
        </w:rPr>
        <w:t xml:space="preserve"> / ***</w:t>
      </w:r>
      <w:r>
        <w:rPr>
          <w:rStyle w:val="soitChar"/>
        </w:rPr>
        <w:t xml:space="preserve"> mm.</w:t>
      </w:r>
    </w:p>
    <w:p w14:paraId="5F686902" w14:textId="77777777" w:rsidR="004B2808" w:rsidRDefault="00000000">
      <w:pPr>
        <w:pStyle w:val="Author-eListParagraph"/>
        <w:numPr>
          <w:ilvl w:val="0"/>
          <w:numId w:val="171"/>
        </w:numPr>
      </w:pPr>
      <w:r>
        <w:rPr>
          <w:rStyle w:val="soitChar"/>
        </w:rPr>
        <w:t>Proportion de panneaux perforés par rapport à l’ensemble :</w:t>
      </w:r>
      <w:r>
        <w:rPr>
          <w:rStyle w:val="optioncarChar"/>
        </w:rPr>
        <w:t xml:space="preserve"> à déterminer par le fabricant en fonction des prescriptions d’atténuation acoustique décrites ci-avant</w:t>
      </w:r>
      <w:r>
        <w:t xml:space="preserve"> (par défaut)</w:t>
      </w:r>
      <w:r>
        <w:rPr>
          <w:rStyle w:val="optioncarChar"/>
        </w:rPr>
        <w:t xml:space="preserve"> / 50 % / 75 % / ***.</w:t>
      </w:r>
    </w:p>
    <w:p w14:paraId="4391627E" w14:textId="77777777" w:rsidR="004B2808" w:rsidRDefault="00000000">
      <w:pPr>
        <w:pStyle w:val="Author-eListParagraph"/>
        <w:numPr>
          <w:ilvl w:val="0"/>
          <w:numId w:val="171"/>
        </w:numPr>
      </w:pPr>
      <w:r>
        <w:rPr>
          <w:rStyle w:val="soitChar"/>
        </w:rPr>
        <w:t xml:space="preserve">Couleur : </w:t>
      </w:r>
      <w:r>
        <w:rPr>
          <w:rStyle w:val="optioncarChar"/>
        </w:rPr>
        <w:t xml:space="preserve">à choisir dans la gamme standard du fabricant comprenant 10 teintes au minimum </w:t>
      </w:r>
      <w:r>
        <w:t>(par défaut)</w:t>
      </w:r>
      <w:r>
        <w:rPr>
          <w:rStyle w:val="optioncarChar"/>
        </w:rPr>
        <w:t xml:space="preserve"> / teinte RAL *** / aspect bois essence :  *** / ***.</w:t>
      </w:r>
    </w:p>
    <w:p w14:paraId="3B7C63C6" w14:textId="77777777" w:rsidR="004B2808" w:rsidRDefault="00000000">
      <w:pPr>
        <w:pStyle w:val="Author-eListParagraph"/>
        <w:numPr>
          <w:ilvl w:val="0"/>
          <w:numId w:val="171"/>
        </w:numPr>
      </w:pPr>
      <w:r>
        <w:rPr>
          <w:rStyle w:val="soitChar"/>
        </w:rPr>
        <w:t xml:space="preserve">Finition : </w:t>
      </w:r>
      <w:r>
        <w:rPr>
          <w:rStyle w:val="optioncarChar"/>
        </w:rPr>
        <w:t xml:space="preserve">satinée </w:t>
      </w:r>
      <w:r>
        <w:t>(par défaut)</w:t>
      </w:r>
      <w:r>
        <w:rPr>
          <w:rStyle w:val="optioncarChar"/>
        </w:rPr>
        <w:t xml:space="preserve"> / brillante / mate / ***.</w:t>
      </w:r>
    </w:p>
    <w:p w14:paraId="2E0C8144" w14:textId="77777777" w:rsidR="004B2808" w:rsidRDefault="00000000">
      <w:pPr>
        <w:pStyle w:val="Author-eListParagraph"/>
        <w:numPr>
          <w:ilvl w:val="0"/>
          <w:numId w:val="171"/>
        </w:numPr>
      </w:pPr>
      <w:r>
        <w:rPr>
          <w:rStyle w:val="soitChar"/>
        </w:rPr>
        <w:t>Aspect :</w:t>
      </w:r>
      <w:r>
        <w:rPr>
          <w:rStyle w:val="optioncarChar"/>
        </w:rPr>
        <w:t xml:space="preserve"> lisse </w:t>
      </w:r>
      <w:r>
        <w:t>(par défaut)</w:t>
      </w:r>
      <w:r>
        <w:rPr>
          <w:rStyle w:val="optioncarChar"/>
        </w:rPr>
        <w:t xml:space="preserve"> / ***</w:t>
      </w:r>
      <w:r>
        <w:rPr>
          <w:rStyle w:val="soitChar"/>
        </w:rPr>
        <w:t>.</w:t>
      </w:r>
    </w:p>
    <w:p w14:paraId="30C7DB7B" w14:textId="77777777" w:rsidR="004B2808" w:rsidRDefault="00000000">
      <w:pPr>
        <w:jc w:val="both"/>
      </w:pPr>
      <w:r>
        <w:rPr>
          <w:b/>
        </w:rPr>
        <w:t>(soit)</w:t>
      </w:r>
    </w:p>
    <w:p w14:paraId="7E3BC5FC" w14:textId="77777777" w:rsidR="004B2808" w:rsidRDefault="00000000">
      <w:pPr>
        <w:jc w:val="both"/>
      </w:pPr>
      <w:r>
        <w:rPr>
          <w:rStyle w:val="optioncarChar"/>
        </w:rPr>
        <w:t>***</w:t>
      </w:r>
    </w:p>
    <w:p w14:paraId="56275F9D" w14:textId="77777777" w:rsidR="004B2808" w:rsidRDefault="00000000">
      <w:pPr>
        <w:jc w:val="both"/>
      </w:pPr>
      <w:r>
        <w:rPr>
          <w:b/>
        </w:rPr>
        <w:t>Finition des panneaux vitrés</w:t>
      </w:r>
    </w:p>
    <w:p w14:paraId="3F8BE8AC" w14:textId="77777777" w:rsidR="004B2808" w:rsidRDefault="00000000">
      <w:pPr>
        <w:jc w:val="both"/>
      </w:pPr>
      <w:r>
        <w:t xml:space="preserve">Profils des cadres métalliques : </w:t>
      </w:r>
      <w:r>
        <w:rPr>
          <w:rStyle w:val="optioncarChar"/>
        </w:rPr>
        <w:t xml:space="preserve">thermolaqué par poudrage polyester </w:t>
      </w:r>
      <w:r>
        <w:t xml:space="preserve">(par défaut) </w:t>
      </w:r>
      <w:r>
        <w:rPr>
          <w:rStyle w:val="optioncarChar"/>
        </w:rPr>
        <w:t>/ anodisé / ***.</w:t>
      </w:r>
    </w:p>
    <w:p w14:paraId="7569D1C4" w14:textId="77777777" w:rsidR="004B2808" w:rsidRDefault="00000000">
      <w:pPr>
        <w:jc w:val="both"/>
      </w:pPr>
      <w:r>
        <w:rPr>
          <w:b/>
        </w:rPr>
        <w:t>(soit par défaut)</w:t>
      </w:r>
    </w:p>
    <w:p w14:paraId="77A150C0" w14:textId="77777777" w:rsidR="004B2808" w:rsidRDefault="00000000">
      <w:pPr>
        <w:jc w:val="both"/>
      </w:pPr>
      <w:r>
        <w:rPr>
          <w:rStyle w:val="soitChar"/>
          <w:u w:val="single"/>
        </w:rPr>
        <w:t>Thermolaqué par poudrage polyester :</w:t>
      </w:r>
      <w:r>
        <w:rPr>
          <w:rStyle w:val="soitChar"/>
        </w:rPr>
        <w:t xml:space="preserve"> selon Qualicoat épaisseur ≥ 60 μm</w:t>
      </w:r>
    </w:p>
    <w:p w14:paraId="02A3BC08" w14:textId="77777777" w:rsidR="004B2808" w:rsidRDefault="00000000">
      <w:pPr>
        <w:pStyle w:val="Author-eListParagraph"/>
        <w:numPr>
          <w:ilvl w:val="0"/>
          <w:numId w:val="172"/>
        </w:numPr>
      </w:pPr>
      <w:r>
        <w:rPr>
          <w:rStyle w:val="soitChar"/>
        </w:rPr>
        <w:t xml:space="preserve">Couleur : RAL n° </w:t>
      </w:r>
      <w:r>
        <w:rPr>
          <w:rStyle w:val="optioncarChar"/>
        </w:rPr>
        <w:t>***</w:t>
      </w:r>
    </w:p>
    <w:p w14:paraId="5E713022" w14:textId="77777777" w:rsidR="004B2808" w:rsidRDefault="00000000">
      <w:pPr>
        <w:pStyle w:val="Author-eListParagraph"/>
        <w:numPr>
          <w:ilvl w:val="0"/>
          <w:numId w:val="172"/>
        </w:numPr>
      </w:pPr>
      <w:r>
        <w:rPr>
          <w:rStyle w:val="soitChar"/>
        </w:rPr>
        <w:t xml:space="preserve">Brillance : </w:t>
      </w:r>
      <w:r>
        <w:rPr>
          <w:rStyle w:val="optioncarChar"/>
        </w:rPr>
        <w:t xml:space="preserve">70 </w:t>
      </w:r>
      <w:r>
        <w:t>(par défaut)</w:t>
      </w:r>
      <w:r>
        <w:rPr>
          <w:rStyle w:val="optioncarChar"/>
        </w:rPr>
        <w:t xml:space="preserve"> / ***</w:t>
      </w:r>
      <w:r>
        <w:rPr>
          <w:rStyle w:val="soitChar"/>
        </w:rPr>
        <w:t xml:space="preserve"> %.</w:t>
      </w:r>
    </w:p>
    <w:p w14:paraId="37506F28" w14:textId="77777777" w:rsidR="004B2808" w:rsidRDefault="00000000">
      <w:pPr>
        <w:jc w:val="both"/>
      </w:pPr>
      <w:r>
        <w:rPr>
          <w:b/>
        </w:rPr>
        <w:t>(soit)</w:t>
      </w:r>
    </w:p>
    <w:p w14:paraId="23C5241B" w14:textId="77777777" w:rsidR="004B2808" w:rsidRDefault="00000000">
      <w:pPr>
        <w:jc w:val="both"/>
      </w:pPr>
      <w:r>
        <w:rPr>
          <w:rStyle w:val="soitChar"/>
          <w:u w:val="single"/>
        </w:rPr>
        <w:t>Anodisé :</w:t>
      </w:r>
      <w:r>
        <w:rPr>
          <w:rStyle w:val="soitChar"/>
        </w:rPr>
        <w:t xml:space="preserve"> selon Qualanod épaisseur ≥ 18 μm</w:t>
      </w:r>
    </w:p>
    <w:p w14:paraId="5D06D9BA" w14:textId="77777777" w:rsidR="004B2808" w:rsidRDefault="00000000">
      <w:pPr>
        <w:pStyle w:val="Author-eListParagraph"/>
        <w:numPr>
          <w:ilvl w:val="0"/>
          <w:numId w:val="173"/>
        </w:numPr>
      </w:pPr>
      <w:r>
        <w:rPr>
          <w:rStyle w:val="soitChar"/>
        </w:rPr>
        <w:t xml:space="preserve">Couleur : </w:t>
      </w:r>
      <w:r>
        <w:rPr>
          <w:rStyle w:val="optioncarChar"/>
        </w:rPr>
        <w:t xml:space="preserve">naturelle </w:t>
      </w:r>
      <w:r>
        <w:t>(par défaut)</w:t>
      </w:r>
      <w:r>
        <w:rPr>
          <w:rStyle w:val="optioncarChar"/>
        </w:rPr>
        <w:t xml:space="preserve"> / ***.</w:t>
      </w:r>
    </w:p>
    <w:p w14:paraId="6ADB9E11" w14:textId="77777777" w:rsidR="004B2808" w:rsidRDefault="00000000">
      <w:pPr>
        <w:pStyle w:val="Author-eListParagraph"/>
        <w:numPr>
          <w:ilvl w:val="0"/>
          <w:numId w:val="173"/>
        </w:numPr>
      </w:pPr>
      <w:r>
        <w:rPr>
          <w:rStyle w:val="soitChar"/>
        </w:rPr>
        <w:t xml:space="preserve">Finition : </w:t>
      </w:r>
      <w:r>
        <w:rPr>
          <w:rStyle w:val="optioncarChar"/>
        </w:rPr>
        <w:t xml:space="preserve">mate </w:t>
      </w:r>
      <w:r>
        <w:t xml:space="preserve">(par défaut) </w:t>
      </w:r>
      <w:r>
        <w:rPr>
          <w:rStyle w:val="optioncarChar"/>
        </w:rPr>
        <w:t>/ ***.</w:t>
      </w:r>
    </w:p>
    <w:p w14:paraId="064BE8CB" w14:textId="77777777" w:rsidR="004B2808" w:rsidRDefault="00000000">
      <w:pPr>
        <w:jc w:val="both"/>
      </w:pPr>
      <w:r>
        <w:rPr>
          <w:b/>
        </w:rPr>
        <w:t>(soit)</w:t>
      </w:r>
    </w:p>
    <w:p w14:paraId="292E558A" w14:textId="77777777" w:rsidR="004B2808" w:rsidRDefault="00000000">
      <w:pPr>
        <w:jc w:val="both"/>
      </w:pPr>
      <w:r>
        <w:rPr>
          <w:rStyle w:val="optioncarChar"/>
        </w:rPr>
        <w:t>***</w:t>
      </w:r>
    </w:p>
    <w:p w14:paraId="719465E6" w14:textId="77777777" w:rsidR="004B2808" w:rsidRDefault="00000000">
      <w:pPr>
        <w:jc w:val="both"/>
      </w:pPr>
      <w:r>
        <w:lastRenderedPageBreak/>
        <w:t xml:space="preserve">Vitrage : </w:t>
      </w:r>
      <w:r>
        <w:rPr>
          <w:rStyle w:val="optioncarChar"/>
        </w:rPr>
        <w:t>clair</w:t>
      </w:r>
      <w:r>
        <w:t xml:space="preserve"> (par défaut)</w:t>
      </w:r>
      <w:r>
        <w:rPr>
          <w:rStyle w:val="optioncarChar"/>
        </w:rPr>
        <w:t xml:space="preserve"> / mat / unidirectionnel (glace intimité) / ***</w:t>
      </w:r>
      <w:r>
        <w:t>.</w:t>
      </w:r>
    </w:p>
    <w:p w14:paraId="65160F6E" w14:textId="77777777" w:rsidR="004B2808" w:rsidRDefault="00000000">
      <w:pPr>
        <w:pStyle w:val="pheading"/>
      </w:pPr>
      <w:r>
        <w:t>EXÉCUTION / MISE EN ŒUVRE</w:t>
      </w:r>
    </w:p>
    <w:p w14:paraId="1A5AD7F0" w14:textId="77777777" w:rsidR="004B2808" w:rsidRDefault="00000000">
      <w:pPr>
        <w:pStyle w:val="pheading"/>
      </w:pPr>
      <w:r>
        <w:t>- Prescriptions générales</w:t>
      </w:r>
    </w:p>
    <w:p w14:paraId="2A1AD806" w14:textId="77777777" w:rsidR="004B2808" w:rsidRDefault="00000000">
      <w:pPr>
        <w:jc w:val="both"/>
      </w:pPr>
      <w:r>
        <w:t>La mise en œuvre et les assemblages sont exécutés conformément à la documentation technique accompagnant le produit et aux plans de détails approuvés par la direction du chantier lors de l’étude du fabricant prescrite ci-avant.</w:t>
      </w:r>
    </w:p>
    <w:p w14:paraId="62DE1CBE" w14:textId="77777777" w:rsidR="004B2808" w:rsidRDefault="00000000">
      <w:pPr>
        <w:pStyle w:val="pheading"/>
      </w:pPr>
      <w:r>
        <w:t>MESURAGE</w:t>
      </w:r>
    </w:p>
    <w:p w14:paraId="7E01988F" w14:textId="77777777" w:rsidR="004B2808" w:rsidRDefault="00000000">
      <w:pPr>
        <w:pStyle w:val="pheading"/>
      </w:pPr>
      <w:r>
        <w:t>- unité de mesure:</w:t>
      </w:r>
    </w:p>
    <w:p w14:paraId="1E46A99A" w14:textId="77777777" w:rsidR="004B2808" w:rsidRDefault="00000000">
      <w:r>
        <w:t>m²</w:t>
      </w:r>
    </w:p>
    <w:p w14:paraId="17E531F8" w14:textId="77777777" w:rsidR="004B2808" w:rsidRDefault="00000000">
      <w:pPr>
        <w:pStyle w:val="pheading"/>
      </w:pPr>
      <w:r>
        <w:t>- code de mesurage:</w:t>
      </w:r>
    </w:p>
    <w:p w14:paraId="4EBAB356" w14:textId="77777777" w:rsidR="004B2808" w:rsidRDefault="00000000">
      <w:pPr>
        <w:jc w:val="both"/>
      </w:pPr>
      <w:r>
        <w:t>Surface nette de panneaux à mettre en œuvre, ventilée suivant le type de panneau, des performances requises, des accessoires prescrits, etc...</w:t>
      </w:r>
    </w:p>
    <w:p w14:paraId="6B7EC594" w14:textId="77777777" w:rsidR="004B2808" w:rsidRDefault="00000000">
      <w:pPr>
        <w:pStyle w:val="pheading"/>
      </w:pPr>
      <w:r>
        <w:t>- nature du marché:</w:t>
      </w:r>
    </w:p>
    <w:p w14:paraId="796EA8B6" w14:textId="77777777" w:rsidR="004B2808" w:rsidRDefault="00000000">
      <w:r>
        <w:t>QF</w:t>
      </w:r>
    </w:p>
    <w:p w14:paraId="254B4854" w14:textId="77777777" w:rsidR="004B2808" w:rsidRDefault="00000000">
      <w:pPr>
        <w:pStyle w:val="Author-eSectionHeading4Numberless"/>
      </w:pPr>
      <w:bookmarkStart w:id="110" w:name="_Toc220490315"/>
      <w:r>
        <w:t>51.44 Cloisons mobiles en accordéon CCTB 01.12</w:t>
      </w:r>
      <w:bookmarkEnd w:id="110"/>
    </w:p>
    <w:p w14:paraId="54227BE2" w14:textId="77777777" w:rsidR="004B2808" w:rsidRDefault="00000000">
      <w:pPr>
        <w:pStyle w:val="pheading"/>
      </w:pPr>
      <w:r>
        <w:t>MATÉRIAUX</w:t>
      </w:r>
    </w:p>
    <w:p w14:paraId="49F75DE0" w14:textId="77777777" w:rsidR="004B2808" w:rsidRDefault="00000000">
      <w:pPr>
        <w:jc w:val="both"/>
      </w:pPr>
      <w:r>
        <w:t>La cloison mobile est composée de panneaux pliants à double soufflets sur une structure porteuse métallique dont le dimensionnement est calculé en fonction de la taille et du poids des panneaux de cloisonnement.</w:t>
      </w:r>
    </w:p>
    <w:p w14:paraId="31D92CDF" w14:textId="77777777" w:rsidR="004B2808" w:rsidRDefault="00000000">
      <w:pPr>
        <w:jc w:val="both"/>
      </w:pPr>
      <w:r>
        <w:rPr>
          <w:b/>
        </w:rPr>
        <w:t>Rail(s) de support et de guidage</w:t>
      </w:r>
    </w:p>
    <w:p w14:paraId="739B4053" w14:textId="77777777" w:rsidR="004B2808" w:rsidRDefault="00000000">
      <w:pPr>
        <w:jc w:val="both"/>
      </w:pPr>
      <w:r>
        <w:t>En partie haute, les rails sont en aluminium ou en acier (grandes hauteurs). Ils sont ancrés à la structure portante à l’aide de tiges filetées et de barrettes de mise à niveau. Afin d'assurer la stabilité latérale des éléments, des galets en nylon autolubrifiant coulissent dans le rail.</w:t>
      </w:r>
    </w:p>
    <w:p w14:paraId="25FF9DC6" w14:textId="77777777" w:rsidR="004B2808" w:rsidRDefault="00000000">
      <w:r>
        <w:t>En partie basse : pas de rail de guidage au sol.</w:t>
      </w:r>
    </w:p>
    <w:p w14:paraId="5A5484E0" w14:textId="77777777" w:rsidR="004B2808" w:rsidRDefault="00000000">
      <w:pPr>
        <w:jc w:val="both"/>
      </w:pPr>
      <w:r>
        <w:rPr>
          <w:b/>
        </w:rPr>
        <w:t>Panneau</w:t>
      </w:r>
    </w:p>
    <w:p w14:paraId="777A7E4E" w14:textId="77777777" w:rsidR="004B2808" w:rsidRDefault="00000000">
      <w:pPr>
        <w:jc w:val="both"/>
      </w:pPr>
      <w:r>
        <w:t>Les cloisons mobiles sont constituées d’éléments pleins en panneaux d’aggloméré revêtus. Les panneaux à base de bois utilisés pour les cloisons mobiles sont choisis en tenant compte des classes de service. Cette analyse est reprise dans le [CSTC Contact n°23 (2009/3)].</w:t>
      </w:r>
    </w:p>
    <w:p w14:paraId="314C7CFC" w14:textId="77777777" w:rsidR="004B2808" w:rsidRDefault="00000000">
      <w:pPr>
        <w:pStyle w:val="Author-eSectionHeading5Numberless"/>
      </w:pPr>
      <w:bookmarkStart w:id="111" w:name="_Toc220490316"/>
      <w:r>
        <w:t>51.44.1 Cloisons mobiles en accordéon CCTB 01.11</w:t>
      </w:r>
      <w:bookmarkEnd w:id="111"/>
    </w:p>
    <w:p w14:paraId="5E6392C2" w14:textId="77777777" w:rsidR="004B2808" w:rsidRDefault="00000000">
      <w:pPr>
        <w:pStyle w:val="Author-eSectionHeading6Numberless"/>
      </w:pPr>
      <w:bookmarkStart w:id="112" w:name="_Toc220490317"/>
      <w:r>
        <w:t>51.44.1a Cloisons mobiles en accordéon CCTB 01.11</w:t>
      </w:r>
      <w:bookmarkEnd w:id="112"/>
    </w:p>
    <w:p w14:paraId="2D01F3B2" w14:textId="77777777" w:rsidR="004B2808" w:rsidRDefault="00000000">
      <w:pPr>
        <w:pStyle w:val="pheading"/>
      </w:pPr>
      <w:r>
        <w:t>DESCRIPTION</w:t>
      </w:r>
    </w:p>
    <w:p w14:paraId="3EEEB7A0" w14:textId="77777777" w:rsidR="004B2808" w:rsidRDefault="00000000">
      <w:pPr>
        <w:pStyle w:val="pheading"/>
      </w:pPr>
      <w:r>
        <w:t>- Définition / Comprend</w:t>
      </w:r>
    </w:p>
    <w:p w14:paraId="6707454C" w14:textId="77777777" w:rsidR="004B2808" w:rsidRDefault="00000000">
      <w:pPr>
        <w:jc w:val="both"/>
      </w:pPr>
      <w:r>
        <w:t>Il s’agit de la fourniture et de la pose de cloisons pliantes et extensibles coulissant dans un rail de support et composées :</w:t>
      </w:r>
    </w:p>
    <w:p w14:paraId="1CFA5C16" w14:textId="77777777" w:rsidR="004B2808" w:rsidRDefault="00000000">
      <w:pPr>
        <w:pStyle w:val="Author-eListParagraph"/>
        <w:numPr>
          <w:ilvl w:val="0"/>
          <w:numId w:val="174"/>
        </w:numPr>
      </w:pPr>
      <w:r>
        <w:t>de profils porteurs avec consoles de fixation ;</w:t>
      </w:r>
    </w:p>
    <w:p w14:paraId="4BAB8BE9" w14:textId="77777777" w:rsidR="004B2808" w:rsidRDefault="00000000">
      <w:pPr>
        <w:pStyle w:val="Author-eListParagraph"/>
        <w:numPr>
          <w:ilvl w:val="0"/>
          <w:numId w:val="174"/>
        </w:numPr>
      </w:pPr>
      <w:r>
        <w:t>de panneaux pliants et extensibles permettant de moduler la dimension de locaux ou de salles.</w:t>
      </w:r>
    </w:p>
    <w:p w14:paraId="0F235445" w14:textId="77777777" w:rsidR="004B2808" w:rsidRDefault="00000000">
      <w:pPr>
        <w:jc w:val="both"/>
      </w:pPr>
      <w:r>
        <w:t>Cet article comprend également l’étude par le fabricant :</w:t>
      </w:r>
    </w:p>
    <w:p w14:paraId="5964A0C0" w14:textId="77777777" w:rsidR="004B2808" w:rsidRDefault="00000000">
      <w:pPr>
        <w:pStyle w:val="Author-eListParagraph"/>
        <w:numPr>
          <w:ilvl w:val="0"/>
          <w:numId w:val="175"/>
        </w:numPr>
      </w:pPr>
      <w:r>
        <w:t>du dimensionnement des structures de suspente et de leurs ancrages ;</w:t>
      </w:r>
    </w:p>
    <w:p w14:paraId="0477BCBF" w14:textId="77777777" w:rsidR="004B2808" w:rsidRDefault="00000000">
      <w:pPr>
        <w:pStyle w:val="Author-eListParagraph"/>
        <w:numPr>
          <w:ilvl w:val="0"/>
          <w:numId w:val="175"/>
        </w:numPr>
      </w:pPr>
      <w:r>
        <w:t>du dimensionnement et du calepinage des panneaux en fonction des plans de principes joints au dossier ;</w:t>
      </w:r>
    </w:p>
    <w:p w14:paraId="00909A72" w14:textId="77777777" w:rsidR="004B2808" w:rsidRDefault="00000000">
      <w:pPr>
        <w:pStyle w:val="Author-eListParagraph"/>
        <w:numPr>
          <w:ilvl w:val="0"/>
          <w:numId w:val="175"/>
        </w:numPr>
      </w:pPr>
      <w:r>
        <w:t>de l’intégration des éventuelles portes et accessoires décrits ci-après.</w:t>
      </w:r>
    </w:p>
    <w:p w14:paraId="4681BD96" w14:textId="77777777" w:rsidR="004B2808" w:rsidRDefault="00000000">
      <w:pPr>
        <w:jc w:val="both"/>
      </w:pPr>
      <w:r>
        <w:lastRenderedPageBreak/>
        <w:t>L’ensemble des notes de calcul et des plans de détail sont soumis à l’approbation de la direction des travaux.</w:t>
      </w:r>
    </w:p>
    <w:p w14:paraId="7A5309D8" w14:textId="77777777" w:rsidR="004B2808" w:rsidRDefault="00000000">
      <w:pPr>
        <w:pStyle w:val="pheading"/>
      </w:pPr>
      <w:r>
        <w:t>MATÉRIAUX</w:t>
      </w:r>
    </w:p>
    <w:p w14:paraId="5EAD8D6A" w14:textId="77777777" w:rsidR="004B2808" w:rsidRDefault="00000000">
      <w:pPr>
        <w:pStyle w:val="pheading"/>
      </w:pPr>
      <w:r>
        <w:t>- Caractéristiques générales</w:t>
      </w:r>
    </w:p>
    <w:p w14:paraId="431715B7" w14:textId="77777777" w:rsidR="004B2808" w:rsidRDefault="00000000">
      <w:pPr>
        <w:jc w:val="both"/>
      </w:pPr>
      <w:r>
        <w:rPr>
          <w:b/>
        </w:rPr>
        <w:t>Rail(s) de support et de guidage</w:t>
      </w:r>
    </w:p>
    <w:p w14:paraId="67A8F122" w14:textId="77777777" w:rsidR="004B2808" w:rsidRDefault="00000000">
      <w:pPr>
        <w:pStyle w:val="Author-eListParagraph"/>
        <w:numPr>
          <w:ilvl w:val="0"/>
          <w:numId w:val="176"/>
        </w:numPr>
      </w:pPr>
      <w:r>
        <w:t>Type d’ancrage et dimensions : à déterminer par le fabricant du système et à soumettre à l’approbation de la direction du chantier.</w:t>
      </w:r>
    </w:p>
    <w:p w14:paraId="57379585" w14:textId="77777777" w:rsidR="004B2808" w:rsidRDefault="00000000">
      <w:pPr>
        <w:pStyle w:val="Author-eListParagraph"/>
        <w:numPr>
          <w:ilvl w:val="0"/>
          <w:numId w:val="176"/>
        </w:numPr>
      </w:pPr>
      <w:r>
        <w:t xml:space="preserve">Positionnement par rapport au plafond de finition : </w:t>
      </w:r>
      <w:r>
        <w:rPr>
          <w:rStyle w:val="optioncarChar"/>
        </w:rPr>
        <w:t>saillant</w:t>
      </w:r>
      <w:r>
        <w:t xml:space="preserve"> (par défaut) </w:t>
      </w:r>
      <w:r>
        <w:rPr>
          <w:rStyle w:val="optioncarChar"/>
        </w:rPr>
        <w:t>/ non saillant</w:t>
      </w:r>
      <w:r>
        <w:t>.</w:t>
      </w:r>
    </w:p>
    <w:p w14:paraId="0A6FE5F0" w14:textId="77777777" w:rsidR="004B2808" w:rsidRDefault="00000000">
      <w:pPr>
        <w:ind w:left="567"/>
        <w:jc w:val="both"/>
      </w:pPr>
      <w:r>
        <w:rPr>
          <w:b/>
        </w:rPr>
        <w:t>(soit par défaut)</w:t>
      </w:r>
    </w:p>
    <w:p w14:paraId="01D4DAC5" w14:textId="77777777" w:rsidR="004B2808" w:rsidRDefault="00000000">
      <w:pPr>
        <w:ind w:left="567"/>
        <w:jc w:val="both"/>
      </w:pPr>
      <w:r>
        <w:rPr>
          <w:rStyle w:val="soitChar"/>
          <w:u w:val="single"/>
        </w:rPr>
        <w:t>Saillant :</w:t>
      </w:r>
    </w:p>
    <w:p w14:paraId="5DD95BFB" w14:textId="77777777" w:rsidR="004B2808" w:rsidRDefault="00000000">
      <w:pPr>
        <w:pStyle w:val="Author-eListParagraph"/>
        <w:numPr>
          <w:ilvl w:val="0"/>
          <w:numId w:val="177"/>
        </w:numPr>
      </w:pPr>
      <w:r>
        <w:rPr>
          <w:rStyle w:val="soitChar"/>
        </w:rPr>
        <w:t xml:space="preserve">Hauteur du débordement : </w:t>
      </w:r>
      <w:r>
        <w:rPr>
          <w:rStyle w:val="optioncarChar"/>
        </w:rPr>
        <w:t>80</w:t>
      </w:r>
      <w:r>
        <w:t xml:space="preserve"> (par défaut)</w:t>
      </w:r>
      <w:r>
        <w:rPr>
          <w:rStyle w:val="optioncarChar"/>
        </w:rPr>
        <w:t xml:space="preserve"> / ***</w:t>
      </w:r>
      <w:r>
        <w:rPr>
          <w:rStyle w:val="soitChar"/>
        </w:rPr>
        <w:t xml:space="preserve"> mm.</w:t>
      </w:r>
    </w:p>
    <w:p w14:paraId="76AA90A9" w14:textId="77777777" w:rsidR="004B2808" w:rsidRDefault="00000000">
      <w:pPr>
        <w:pStyle w:val="Author-eListParagraph"/>
        <w:numPr>
          <w:ilvl w:val="0"/>
          <w:numId w:val="177"/>
        </w:numPr>
      </w:pPr>
      <w:r>
        <w:rPr>
          <w:rStyle w:val="soitChar"/>
        </w:rPr>
        <w:t xml:space="preserve">Réglage d’ajustement en hauteur : </w:t>
      </w:r>
      <w:r>
        <w:rPr>
          <w:rStyle w:val="optioncarChar"/>
        </w:rPr>
        <w:t>30</w:t>
      </w:r>
      <w:r>
        <w:t xml:space="preserve"> (par défaut)</w:t>
      </w:r>
      <w:r>
        <w:rPr>
          <w:rStyle w:val="optioncarChar"/>
        </w:rPr>
        <w:t xml:space="preserve"> / ***</w:t>
      </w:r>
      <w:r>
        <w:rPr>
          <w:rStyle w:val="soitChar"/>
        </w:rPr>
        <w:t xml:space="preserve"> mm.</w:t>
      </w:r>
    </w:p>
    <w:p w14:paraId="087CAA7E" w14:textId="77777777" w:rsidR="004B2808" w:rsidRDefault="00000000">
      <w:pPr>
        <w:ind w:left="567"/>
        <w:jc w:val="both"/>
      </w:pPr>
      <w:r>
        <w:rPr>
          <w:b/>
        </w:rPr>
        <w:t>(soit)</w:t>
      </w:r>
    </w:p>
    <w:p w14:paraId="31A56A6F" w14:textId="77777777" w:rsidR="004B2808" w:rsidRDefault="00000000">
      <w:pPr>
        <w:ind w:left="567"/>
        <w:jc w:val="both"/>
      </w:pPr>
      <w:r>
        <w:rPr>
          <w:rStyle w:val="soitChar"/>
          <w:u w:val="single"/>
        </w:rPr>
        <w:t>Non saillant :</w:t>
      </w:r>
    </w:p>
    <w:p w14:paraId="31F0E2D1" w14:textId="77777777" w:rsidR="004B2808" w:rsidRDefault="00000000">
      <w:pPr>
        <w:pStyle w:val="Author-eListParagraph"/>
        <w:numPr>
          <w:ilvl w:val="0"/>
          <w:numId w:val="178"/>
        </w:numPr>
      </w:pPr>
      <w:r>
        <w:rPr>
          <w:rStyle w:val="soitChar"/>
        </w:rPr>
        <w:t>Hauteur du débordement : néant.</w:t>
      </w:r>
    </w:p>
    <w:p w14:paraId="013A3223" w14:textId="77777777" w:rsidR="004B2808" w:rsidRDefault="00000000">
      <w:pPr>
        <w:jc w:val="both"/>
      </w:pPr>
      <w:r>
        <w:rPr>
          <w:b/>
        </w:rPr>
        <w:t>Panneau</w:t>
      </w:r>
    </w:p>
    <w:p w14:paraId="30A223C2" w14:textId="77777777" w:rsidR="004B2808" w:rsidRDefault="00000000">
      <w:pPr>
        <w:jc w:val="both"/>
      </w:pPr>
      <w:r>
        <w:t>Les cloisons mobiles sont constituées d’éléments pleins en panneaux d’aggloméré revêtus. Les panneaux à base de bois utilisés pour les cloisons mobiles sont choisis en tenant compte des classes de service. Cette analyse est reprise dans le [Buildwise Article Dossier (2015/2.20)].</w:t>
      </w:r>
    </w:p>
    <w:p w14:paraId="5742A869" w14:textId="77777777" w:rsidR="004B2808" w:rsidRDefault="00000000">
      <w:pPr>
        <w:pStyle w:val="Author-eListParagraph"/>
        <w:numPr>
          <w:ilvl w:val="0"/>
          <w:numId w:val="179"/>
        </w:numPr>
      </w:pPr>
      <w:r>
        <w:t xml:space="preserve">Dimensions de la cloison mobile : </w:t>
      </w:r>
      <w:r>
        <w:rPr>
          <w:rStyle w:val="optioncarChar"/>
        </w:rPr>
        <w:t xml:space="preserve">voir métré détaillé et plans </w:t>
      </w:r>
      <w:r>
        <w:t xml:space="preserve">(par défaut) </w:t>
      </w:r>
      <w:r>
        <w:rPr>
          <w:rStyle w:val="optioncarChar"/>
        </w:rPr>
        <w:t>/ *** x *** cm / ***</w:t>
      </w:r>
      <w:r>
        <w:t>.</w:t>
      </w:r>
    </w:p>
    <w:p w14:paraId="3343AECE" w14:textId="77777777" w:rsidR="004B2808" w:rsidRDefault="00000000">
      <w:pPr>
        <w:pStyle w:val="Author-eListParagraph"/>
        <w:numPr>
          <w:ilvl w:val="0"/>
          <w:numId w:val="179"/>
        </w:numPr>
      </w:pPr>
      <w:r>
        <w:t xml:space="preserve">Nombre de vantail : </w:t>
      </w:r>
      <w:r>
        <w:rPr>
          <w:rStyle w:val="optioncarChar"/>
        </w:rPr>
        <w:t xml:space="preserve">1 </w:t>
      </w:r>
      <w:r>
        <w:t>(par défaut)</w:t>
      </w:r>
      <w:r>
        <w:rPr>
          <w:rStyle w:val="optioncarChar"/>
        </w:rPr>
        <w:t xml:space="preserve"> / 2 / ***</w:t>
      </w:r>
      <w:r>
        <w:t>.</w:t>
      </w:r>
    </w:p>
    <w:p w14:paraId="4695F126" w14:textId="77777777" w:rsidR="004B2808" w:rsidRDefault="00000000">
      <w:pPr>
        <w:pStyle w:val="Author-eListParagraph"/>
        <w:numPr>
          <w:ilvl w:val="0"/>
          <w:numId w:val="179"/>
        </w:numPr>
      </w:pPr>
      <w:r>
        <w:t xml:space="preserve">Largeur des panneaux : </w:t>
      </w:r>
      <w:r>
        <w:rPr>
          <w:rStyle w:val="optioncarChar"/>
        </w:rPr>
        <w:t>à soumettre pour approbation par le fabricant en fonction des plans de principes joints au dossier</w:t>
      </w:r>
      <w:r>
        <w:t xml:space="preserve"> (par défaut)</w:t>
      </w:r>
      <w:r>
        <w:rPr>
          <w:rStyle w:val="optioncarChar"/>
        </w:rPr>
        <w:t xml:space="preserve"> / 400 / 480 / *** mm</w:t>
      </w:r>
      <w:r>
        <w:t>.</w:t>
      </w:r>
    </w:p>
    <w:p w14:paraId="01511042" w14:textId="77777777" w:rsidR="004B2808" w:rsidRDefault="00000000">
      <w:pPr>
        <w:pStyle w:val="Author-eListParagraph"/>
        <w:numPr>
          <w:ilvl w:val="0"/>
          <w:numId w:val="179"/>
        </w:numPr>
      </w:pPr>
      <w:r>
        <w:t xml:space="preserve">Epaisseur des panneaux : </w:t>
      </w:r>
      <w:r>
        <w:rPr>
          <w:rStyle w:val="optioncarChar"/>
        </w:rPr>
        <w:t xml:space="preserve">à soumettre pour approbation par le fabricant en fonction des plans de principes joints au dossier et des performances prescrites pour l’ensemble de la cloison </w:t>
      </w:r>
      <w:r>
        <w:t>(par défaut)</w:t>
      </w:r>
      <w:r>
        <w:rPr>
          <w:rStyle w:val="optioncarChar"/>
        </w:rPr>
        <w:t xml:space="preserve"> / 12 / 16 / *** mm.</w:t>
      </w:r>
    </w:p>
    <w:p w14:paraId="1DE9521A" w14:textId="77777777" w:rsidR="004B2808" w:rsidRDefault="00000000">
      <w:pPr>
        <w:pStyle w:val="Author-eListParagraph"/>
        <w:numPr>
          <w:ilvl w:val="0"/>
          <w:numId w:val="179"/>
        </w:numPr>
      </w:pPr>
      <w:r>
        <w:t>Raccordements muraux : chaque extrémité de la cloison est équipée de profils d’ajustement fixes assurant l’étanchéité phonique avec les parois adjacentes. Des joints souples complètent l’étanchéité.</w:t>
      </w:r>
    </w:p>
    <w:p w14:paraId="1AFF63AD" w14:textId="77777777" w:rsidR="004B2808" w:rsidRDefault="00000000">
      <w:pPr>
        <w:pStyle w:val="Author-eListParagraph"/>
        <w:numPr>
          <w:ilvl w:val="0"/>
          <w:numId w:val="179"/>
        </w:numPr>
      </w:pPr>
      <w:r>
        <w:t xml:space="preserve">Panneaux : </w:t>
      </w:r>
      <w:r>
        <w:rPr>
          <w:rStyle w:val="optioncarChar"/>
        </w:rPr>
        <w:t>pliants à deux soufflets</w:t>
      </w:r>
      <w:r>
        <w:t xml:space="preserve"> (par défaut) </w:t>
      </w:r>
      <w:r>
        <w:rPr>
          <w:rStyle w:val="optioncarChar"/>
        </w:rPr>
        <w:t>/ ***</w:t>
      </w:r>
      <w:r>
        <w:t>.</w:t>
      </w:r>
    </w:p>
    <w:p w14:paraId="529F939D" w14:textId="77777777" w:rsidR="004B2808" w:rsidRDefault="00000000">
      <w:pPr>
        <w:pStyle w:val="Author-eListParagraph"/>
        <w:numPr>
          <w:ilvl w:val="0"/>
          <w:numId w:val="179"/>
        </w:numPr>
      </w:pPr>
      <w:r>
        <w:t xml:space="preserve">Indice d’affaiblissement acoustique Rw : ≥ </w:t>
      </w:r>
      <w:r>
        <w:rPr>
          <w:rStyle w:val="optioncarChar"/>
        </w:rPr>
        <w:t xml:space="preserve">30 </w:t>
      </w:r>
      <w:r>
        <w:t>(par défaut)</w:t>
      </w:r>
      <w:r>
        <w:rPr>
          <w:rStyle w:val="optioncarChar"/>
        </w:rPr>
        <w:t xml:space="preserve"> / 35 / ***</w:t>
      </w:r>
      <w:r>
        <w:t xml:space="preserve"> dB.</w:t>
      </w:r>
    </w:p>
    <w:p w14:paraId="4EEED33A" w14:textId="77777777" w:rsidR="004B2808" w:rsidRDefault="00000000">
      <w:pPr>
        <w:pStyle w:val="Author-eListParagraph"/>
        <w:numPr>
          <w:ilvl w:val="0"/>
          <w:numId w:val="179"/>
        </w:numPr>
      </w:pPr>
      <w:r>
        <w:t xml:space="preserve">Comportement au feu : </w:t>
      </w:r>
      <w:r>
        <w:rPr>
          <w:rStyle w:val="optioncarChar"/>
        </w:rPr>
        <w:t xml:space="preserve">M3 (Ds1-d0) </w:t>
      </w:r>
      <w:r>
        <w:t>(par défaut)</w:t>
      </w:r>
      <w:r>
        <w:rPr>
          <w:rStyle w:val="optioncarChar"/>
        </w:rPr>
        <w:t xml:space="preserve"> / ***</w:t>
      </w:r>
      <w:r>
        <w:t xml:space="preserve"> selon la [NBN EN 13501-1].</w:t>
      </w:r>
    </w:p>
    <w:p w14:paraId="3B2A2A7E" w14:textId="77777777" w:rsidR="004B2808" w:rsidRDefault="00000000">
      <w:pPr>
        <w:pStyle w:val="Author-eListParagraph"/>
        <w:numPr>
          <w:ilvl w:val="0"/>
          <w:numId w:val="179"/>
        </w:numPr>
      </w:pPr>
      <w:r>
        <w:t xml:space="preserve">Performances d’endurance : </w:t>
      </w:r>
      <w:r>
        <w:rPr>
          <w:rStyle w:val="optioncarChar"/>
        </w:rPr>
        <w:t xml:space="preserve">Classe 3 (10 000 cycles d’ouverture) </w:t>
      </w:r>
      <w:r>
        <w:t>(par défaut)</w:t>
      </w:r>
      <w:r>
        <w:rPr>
          <w:rStyle w:val="optioncarChar"/>
        </w:rPr>
        <w:t xml:space="preserve"> / Classe 1 (2000 cycles d’ouverture) / Classe 2 (5000 cycles d’ouverture) / ***</w:t>
      </w:r>
      <w:r>
        <w:t xml:space="preserve"> suivant la [NBN EN 14201].</w:t>
      </w:r>
    </w:p>
    <w:p w14:paraId="5BACF61E" w14:textId="77777777" w:rsidR="004B2808" w:rsidRDefault="00000000">
      <w:pPr>
        <w:jc w:val="both"/>
      </w:pPr>
      <w:r>
        <w:rPr>
          <w:b/>
        </w:rPr>
        <w:t>Verrouillage </w:t>
      </w:r>
    </w:p>
    <w:p w14:paraId="156ACEA4" w14:textId="77777777" w:rsidR="004B2808" w:rsidRDefault="00000000">
      <w:pPr>
        <w:jc w:val="both"/>
      </w:pPr>
      <w:r>
        <w:t xml:space="preserve">Verrouillage manuel à l’aide </w:t>
      </w:r>
      <w:r>
        <w:rPr>
          <w:rStyle w:val="optioncarChar"/>
        </w:rPr>
        <w:t xml:space="preserve">d’une poignée double faces </w:t>
      </w:r>
      <w:r>
        <w:t>(par défaut)</w:t>
      </w:r>
      <w:r>
        <w:rPr>
          <w:rStyle w:val="optioncarChar"/>
        </w:rPr>
        <w:t xml:space="preserve"> / d’une poignée double faces et d’une serrure à clé / ***</w:t>
      </w:r>
      <w:r>
        <w:t>.</w:t>
      </w:r>
    </w:p>
    <w:p w14:paraId="3D863914" w14:textId="77777777" w:rsidR="004B2808" w:rsidRDefault="00000000">
      <w:pPr>
        <w:jc w:val="both"/>
      </w:pPr>
      <w:r>
        <w:rPr>
          <w:b/>
        </w:rPr>
        <w:t>Stockage des éléments</w:t>
      </w:r>
    </w:p>
    <w:p w14:paraId="61488363" w14:textId="77777777" w:rsidR="004B2808" w:rsidRDefault="00000000">
      <w:pPr>
        <w:jc w:val="both"/>
      </w:pPr>
      <w:r>
        <w:t xml:space="preserve">Le stockage des panneaux est prévu de manière compacte dans une zone de stockage </w:t>
      </w:r>
      <w:r>
        <w:rPr>
          <w:rStyle w:val="optioncarChar"/>
        </w:rPr>
        <w:t>à une extrémité / aux deux extrémités</w:t>
      </w:r>
      <w:r>
        <w:t xml:space="preserve"> perpendiculairement au rail de support de la cloison mobile.</w:t>
      </w:r>
    </w:p>
    <w:p w14:paraId="35E565FA" w14:textId="77777777" w:rsidR="004B2808" w:rsidRDefault="00000000">
      <w:pPr>
        <w:jc w:val="both"/>
      </w:pPr>
      <w:r>
        <w:rPr>
          <w:b/>
        </w:rPr>
        <w:t>Eléments complémentaires : porte</w:t>
      </w:r>
    </w:p>
    <w:p w14:paraId="3C85E8B5" w14:textId="77777777" w:rsidR="004B2808" w:rsidRDefault="00000000">
      <w:pPr>
        <w:pStyle w:val="Author-eListParagraph"/>
        <w:numPr>
          <w:ilvl w:val="0"/>
          <w:numId w:val="180"/>
        </w:numPr>
        <w:jc w:val="both"/>
      </w:pPr>
      <w:r>
        <w:t xml:space="preserve">Nombre d’éléments à intégrer dans la cloison : </w:t>
      </w:r>
      <w:r>
        <w:rPr>
          <w:rStyle w:val="optioncarChar"/>
        </w:rPr>
        <w:t>néant</w:t>
      </w:r>
      <w:r>
        <w:t xml:space="preserve"> (par défaut)</w:t>
      </w:r>
      <w:r>
        <w:rPr>
          <w:rStyle w:val="optioncarChar"/>
        </w:rPr>
        <w:t xml:space="preserve"> / voir plans de principes joints au dossier / 1 / ***.</w:t>
      </w:r>
    </w:p>
    <w:p w14:paraId="783D4D21" w14:textId="77777777" w:rsidR="004B2808" w:rsidRDefault="00000000">
      <w:pPr>
        <w:pStyle w:val="Author-eListParagraph"/>
        <w:numPr>
          <w:ilvl w:val="0"/>
          <w:numId w:val="180"/>
        </w:numPr>
        <w:jc w:val="both"/>
      </w:pPr>
      <w:r>
        <w:t>Type de porte : simple.</w:t>
      </w:r>
    </w:p>
    <w:p w14:paraId="62C4E1F9" w14:textId="77777777" w:rsidR="004B2808" w:rsidRDefault="00000000">
      <w:pPr>
        <w:pStyle w:val="Author-eListParagraph"/>
        <w:numPr>
          <w:ilvl w:val="0"/>
          <w:numId w:val="180"/>
        </w:numPr>
        <w:jc w:val="both"/>
      </w:pPr>
      <w:r>
        <w:t>Type d’ouverture : ouvrant simple.</w:t>
      </w:r>
    </w:p>
    <w:p w14:paraId="361DF861" w14:textId="77777777" w:rsidR="004B2808" w:rsidRDefault="00000000">
      <w:pPr>
        <w:pStyle w:val="Author-eListParagraph"/>
        <w:numPr>
          <w:ilvl w:val="0"/>
          <w:numId w:val="180"/>
        </w:numPr>
        <w:jc w:val="both"/>
      </w:pPr>
      <w:r>
        <w:lastRenderedPageBreak/>
        <w:t xml:space="preserve">Remplissage : </w:t>
      </w:r>
      <w:r>
        <w:rPr>
          <w:rStyle w:val="optioncarChar"/>
        </w:rPr>
        <w:t xml:space="preserve">plein </w:t>
      </w:r>
      <w:r>
        <w:t xml:space="preserve">(par défaut) </w:t>
      </w:r>
      <w:r>
        <w:rPr>
          <w:rStyle w:val="optioncarChar"/>
        </w:rPr>
        <w:t>/ plein avec un vitrage intégré de dimension *** x *** cm / ***</w:t>
      </w:r>
      <w:r>
        <w:t xml:space="preserve"> dont les caractéristiques et les performances sont similaires à celles de la cloison dans laquelle elle s’intègre.</w:t>
      </w:r>
    </w:p>
    <w:p w14:paraId="36CE82CC" w14:textId="77777777" w:rsidR="004B2808" w:rsidRDefault="00000000">
      <w:pPr>
        <w:pStyle w:val="Author-eListParagraph"/>
        <w:numPr>
          <w:ilvl w:val="0"/>
          <w:numId w:val="180"/>
        </w:numPr>
        <w:jc w:val="both"/>
      </w:pPr>
      <w:r>
        <w:t xml:space="preserve">Dimensions de la partie ouvrante : </w:t>
      </w:r>
      <w:r>
        <w:rPr>
          <w:rStyle w:val="optioncarChar"/>
        </w:rPr>
        <w:t>*** x ***</w:t>
      </w:r>
      <w:r>
        <w:t xml:space="preserve"> cm.</w:t>
      </w:r>
    </w:p>
    <w:p w14:paraId="2B7C929E" w14:textId="77777777" w:rsidR="004B2808" w:rsidRDefault="00000000">
      <w:pPr>
        <w:pStyle w:val="Author-eListParagraph"/>
        <w:numPr>
          <w:ilvl w:val="0"/>
          <w:numId w:val="180"/>
        </w:numPr>
        <w:jc w:val="both"/>
      </w:pPr>
      <w:r>
        <w:t xml:space="preserve">Verrouillage : </w:t>
      </w:r>
      <w:r>
        <w:rPr>
          <w:rStyle w:val="optioncarChar"/>
        </w:rPr>
        <w:t>poignée double faces</w:t>
      </w:r>
      <w:r>
        <w:t xml:space="preserve"> (par défaut)</w:t>
      </w:r>
      <w:r>
        <w:rPr>
          <w:rStyle w:val="optioncarChar"/>
        </w:rPr>
        <w:t xml:space="preserve"> / poignée double faces avec serrure / poignée double faces avec serrure antipanique / ***.</w:t>
      </w:r>
    </w:p>
    <w:p w14:paraId="65118E50" w14:textId="77777777" w:rsidR="004B2808" w:rsidRDefault="00000000">
      <w:pPr>
        <w:pStyle w:val="pheading"/>
      </w:pPr>
      <w:r>
        <w:t>- Finitions</w:t>
      </w:r>
    </w:p>
    <w:p w14:paraId="6D8D87E0" w14:textId="77777777" w:rsidR="004B2808" w:rsidRDefault="00000000">
      <w:pPr>
        <w:jc w:val="both"/>
      </w:pPr>
      <w:r>
        <w:rPr>
          <w:b/>
        </w:rPr>
        <w:t>Rail(s) de support et de guidage</w:t>
      </w:r>
    </w:p>
    <w:p w14:paraId="69A27D08" w14:textId="77777777" w:rsidR="004B2808" w:rsidRDefault="00000000">
      <w:pPr>
        <w:jc w:val="both"/>
      </w:pPr>
      <w:r>
        <w:t xml:space="preserve">Rail supérieur et profils de raccordement mural : </w:t>
      </w:r>
      <w:r>
        <w:rPr>
          <w:rStyle w:val="optioncarChar"/>
        </w:rPr>
        <w:t xml:space="preserve">anodisé </w:t>
      </w:r>
      <w:r>
        <w:t xml:space="preserve">(par défaut) </w:t>
      </w:r>
      <w:r>
        <w:rPr>
          <w:rStyle w:val="optioncarChar"/>
        </w:rPr>
        <w:t>/ thermolaqué par poudrage polyester / galvanisé et peint / ***.</w:t>
      </w:r>
    </w:p>
    <w:p w14:paraId="19A38209" w14:textId="77777777" w:rsidR="004B2808" w:rsidRDefault="00000000">
      <w:pPr>
        <w:jc w:val="both"/>
      </w:pPr>
      <w:r>
        <w:rPr>
          <w:b/>
        </w:rPr>
        <w:t>(soit par défaut)</w:t>
      </w:r>
    </w:p>
    <w:p w14:paraId="30C05CDA" w14:textId="77777777" w:rsidR="004B2808" w:rsidRDefault="00000000">
      <w:pPr>
        <w:jc w:val="both"/>
      </w:pPr>
      <w:r>
        <w:rPr>
          <w:rStyle w:val="soitChar"/>
          <w:u w:val="single"/>
        </w:rPr>
        <w:t>Anodisé :</w:t>
      </w:r>
      <w:r>
        <w:rPr>
          <w:rStyle w:val="soitChar"/>
        </w:rPr>
        <w:t xml:space="preserve"> selon Qualanod épaisseur ≥ 18 μm</w:t>
      </w:r>
    </w:p>
    <w:p w14:paraId="5EB6D8E8" w14:textId="77777777" w:rsidR="004B2808" w:rsidRDefault="00000000">
      <w:pPr>
        <w:pStyle w:val="Author-eListParagraph"/>
        <w:numPr>
          <w:ilvl w:val="0"/>
          <w:numId w:val="181"/>
        </w:numPr>
      </w:pPr>
      <w:r>
        <w:rPr>
          <w:rStyle w:val="soitChar"/>
        </w:rPr>
        <w:t xml:space="preserve">Couleur : </w:t>
      </w:r>
      <w:r>
        <w:rPr>
          <w:rStyle w:val="optioncarChar"/>
        </w:rPr>
        <w:t xml:space="preserve">naturelle </w:t>
      </w:r>
      <w:r>
        <w:t xml:space="preserve">(par défaut) </w:t>
      </w:r>
      <w:r>
        <w:rPr>
          <w:rStyle w:val="optioncarChar"/>
        </w:rPr>
        <w:t>/ ***</w:t>
      </w:r>
      <w:r>
        <w:rPr>
          <w:rStyle w:val="soitChar"/>
        </w:rPr>
        <w:t>.</w:t>
      </w:r>
    </w:p>
    <w:p w14:paraId="27AC2196" w14:textId="77777777" w:rsidR="004B2808" w:rsidRDefault="00000000">
      <w:pPr>
        <w:pStyle w:val="Author-eListParagraph"/>
        <w:numPr>
          <w:ilvl w:val="0"/>
          <w:numId w:val="181"/>
        </w:numPr>
      </w:pPr>
      <w:r>
        <w:rPr>
          <w:rStyle w:val="soitChar"/>
        </w:rPr>
        <w:t>Finition :</w:t>
      </w:r>
      <w:r>
        <w:rPr>
          <w:rStyle w:val="optioncarChar"/>
        </w:rPr>
        <w:t xml:space="preserve"> mate </w:t>
      </w:r>
      <w:r>
        <w:t>(par défaut)</w:t>
      </w:r>
      <w:r>
        <w:rPr>
          <w:rStyle w:val="optioncarChar"/>
        </w:rPr>
        <w:t xml:space="preserve"> / ***.</w:t>
      </w:r>
    </w:p>
    <w:p w14:paraId="11914126" w14:textId="77777777" w:rsidR="004B2808" w:rsidRDefault="00000000">
      <w:pPr>
        <w:jc w:val="both"/>
      </w:pPr>
      <w:r>
        <w:rPr>
          <w:b/>
        </w:rPr>
        <w:t>(soit)</w:t>
      </w:r>
    </w:p>
    <w:p w14:paraId="0C7D177D" w14:textId="77777777" w:rsidR="004B2808" w:rsidRDefault="00000000">
      <w:pPr>
        <w:jc w:val="both"/>
      </w:pPr>
      <w:r>
        <w:rPr>
          <w:rStyle w:val="soitChar"/>
          <w:u w:val="single"/>
        </w:rPr>
        <w:t>Thermolaqué par poudrage polyester :</w:t>
      </w:r>
      <w:r>
        <w:rPr>
          <w:rStyle w:val="soitChar"/>
        </w:rPr>
        <w:t xml:space="preserve"> selon Qualicoat épaisseur ≥ 60 μm</w:t>
      </w:r>
    </w:p>
    <w:p w14:paraId="35FAD13B" w14:textId="77777777" w:rsidR="004B2808" w:rsidRDefault="00000000">
      <w:pPr>
        <w:pStyle w:val="Author-eListParagraph"/>
        <w:numPr>
          <w:ilvl w:val="0"/>
          <w:numId w:val="182"/>
        </w:numPr>
      </w:pPr>
      <w:r>
        <w:rPr>
          <w:rStyle w:val="soitChar"/>
        </w:rPr>
        <w:t xml:space="preserve">Couleur : RAL n° </w:t>
      </w:r>
      <w:r>
        <w:rPr>
          <w:rStyle w:val="optioncarChar"/>
        </w:rPr>
        <w:t>***</w:t>
      </w:r>
    </w:p>
    <w:p w14:paraId="72398E76" w14:textId="77777777" w:rsidR="004B2808" w:rsidRDefault="00000000">
      <w:pPr>
        <w:pStyle w:val="Author-eListParagraph"/>
        <w:numPr>
          <w:ilvl w:val="0"/>
          <w:numId w:val="182"/>
        </w:numPr>
      </w:pPr>
      <w:r>
        <w:rPr>
          <w:rStyle w:val="soitChar"/>
        </w:rPr>
        <w:t xml:space="preserve">Brillance : </w:t>
      </w:r>
      <w:r>
        <w:rPr>
          <w:rStyle w:val="optioncarChar"/>
        </w:rPr>
        <w:t xml:space="preserve">70 </w:t>
      </w:r>
      <w:r>
        <w:t>(par défaut)</w:t>
      </w:r>
      <w:r>
        <w:rPr>
          <w:rStyle w:val="optioncarChar"/>
        </w:rPr>
        <w:t xml:space="preserve"> / ***</w:t>
      </w:r>
      <w:r>
        <w:rPr>
          <w:rStyle w:val="soitChar"/>
        </w:rPr>
        <w:t>%.</w:t>
      </w:r>
    </w:p>
    <w:p w14:paraId="251B3064" w14:textId="77777777" w:rsidR="004B2808" w:rsidRDefault="00000000">
      <w:pPr>
        <w:jc w:val="both"/>
      </w:pPr>
      <w:r>
        <w:rPr>
          <w:b/>
        </w:rPr>
        <w:t>(soit)</w:t>
      </w:r>
    </w:p>
    <w:p w14:paraId="1F1C38FB" w14:textId="77777777" w:rsidR="004B2808" w:rsidRDefault="00000000">
      <w:pPr>
        <w:jc w:val="both"/>
      </w:pPr>
      <w:r>
        <w:rPr>
          <w:rStyle w:val="soitChar"/>
          <w:u w:val="single"/>
        </w:rPr>
        <w:t>Galvanisé et peint :</w:t>
      </w:r>
      <w:r>
        <w:rPr>
          <w:rStyle w:val="soitChar"/>
        </w:rPr>
        <w:t xml:space="preserve"> épaisseur ≥ 60 μm</w:t>
      </w:r>
    </w:p>
    <w:p w14:paraId="18C2C80F" w14:textId="77777777" w:rsidR="004B2808" w:rsidRDefault="00000000">
      <w:pPr>
        <w:pStyle w:val="Author-eListParagraph"/>
        <w:numPr>
          <w:ilvl w:val="0"/>
          <w:numId w:val="183"/>
        </w:numPr>
      </w:pPr>
      <w:r>
        <w:rPr>
          <w:rStyle w:val="soitChar"/>
        </w:rPr>
        <w:t xml:space="preserve">Couleur : RAL n° </w:t>
      </w:r>
      <w:r>
        <w:rPr>
          <w:rStyle w:val="optioncarChar"/>
        </w:rPr>
        <w:t>***</w:t>
      </w:r>
    </w:p>
    <w:p w14:paraId="038196E2" w14:textId="77777777" w:rsidR="004B2808" w:rsidRDefault="00000000">
      <w:pPr>
        <w:pStyle w:val="Author-eListParagraph"/>
        <w:numPr>
          <w:ilvl w:val="0"/>
          <w:numId w:val="183"/>
        </w:numPr>
      </w:pPr>
      <w:r>
        <w:rPr>
          <w:rStyle w:val="soitChar"/>
        </w:rPr>
        <w:t xml:space="preserve">Finition : </w:t>
      </w:r>
      <w:r>
        <w:rPr>
          <w:rStyle w:val="optioncarChar"/>
        </w:rPr>
        <w:t>mate</w:t>
      </w:r>
      <w:r>
        <w:t xml:space="preserve"> (par défaut)</w:t>
      </w:r>
      <w:r>
        <w:rPr>
          <w:rStyle w:val="optioncarChar"/>
        </w:rPr>
        <w:t xml:space="preserve"> / ***.</w:t>
      </w:r>
    </w:p>
    <w:p w14:paraId="1D860EC1" w14:textId="77777777" w:rsidR="004B2808" w:rsidRDefault="00000000">
      <w:pPr>
        <w:jc w:val="both"/>
      </w:pPr>
      <w:r>
        <w:rPr>
          <w:b/>
        </w:rPr>
        <w:t>(soit)</w:t>
      </w:r>
    </w:p>
    <w:p w14:paraId="3AF0D3DC" w14:textId="77777777" w:rsidR="004B2808" w:rsidRDefault="00000000">
      <w:pPr>
        <w:jc w:val="both"/>
      </w:pPr>
      <w:r>
        <w:rPr>
          <w:rStyle w:val="optioncarChar"/>
        </w:rPr>
        <w:t>***</w:t>
      </w:r>
    </w:p>
    <w:p w14:paraId="43FC7F48" w14:textId="77777777" w:rsidR="004B2808" w:rsidRDefault="00000000">
      <w:pPr>
        <w:jc w:val="both"/>
      </w:pPr>
      <w:r>
        <w:rPr>
          <w:b/>
        </w:rPr>
        <w:t>Finition des chants</w:t>
      </w:r>
    </w:p>
    <w:p w14:paraId="48ABB743" w14:textId="77777777" w:rsidR="004B2808" w:rsidRDefault="00000000">
      <w:pPr>
        <w:jc w:val="both"/>
      </w:pPr>
      <w:r>
        <w:t xml:space="preserve">Profils de finition du chant des panneaux : </w:t>
      </w:r>
      <w:r>
        <w:rPr>
          <w:rStyle w:val="optioncarChar"/>
        </w:rPr>
        <w:t xml:space="preserve">bords arrondis de 2 mm d’épaisseur en ABS </w:t>
      </w:r>
      <w:r>
        <w:t xml:space="preserve">(par défaut) </w:t>
      </w:r>
      <w:r>
        <w:rPr>
          <w:rStyle w:val="optioncarChar"/>
        </w:rPr>
        <w:t>/ ***.</w:t>
      </w:r>
    </w:p>
    <w:p w14:paraId="7EA25177" w14:textId="77777777" w:rsidR="004B2808" w:rsidRDefault="00000000">
      <w:pPr>
        <w:jc w:val="both"/>
      </w:pPr>
      <w:r>
        <w:rPr>
          <w:b/>
        </w:rPr>
        <w:t>Finition des panneaux pleins</w:t>
      </w:r>
    </w:p>
    <w:p w14:paraId="341C310D" w14:textId="77777777" w:rsidR="004B2808" w:rsidRDefault="00000000">
      <w:pPr>
        <w:jc w:val="both"/>
      </w:pPr>
      <w:r>
        <w:t xml:space="preserve">La structure des panneaux est recouverte de : </w:t>
      </w:r>
      <w:r>
        <w:rPr>
          <w:rStyle w:val="optioncarChar"/>
        </w:rPr>
        <w:t>mélaminé</w:t>
      </w:r>
      <w:r>
        <w:t xml:space="preserve"> (par défaut)</w:t>
      </w:r>
      <w:r>
        <w:rPr>
          <w:rStyle w:val="optioncarChar"/>
        </w:rPr>
        <w:t xml:space="preserve"> / stratifié / ***</w:t>
      </w:r>
      <w:r>
        <w:t>.</w:t>
      </w:r>
    </w:p>
    <w:p w14:paraId="38928C13" w14:textId="77777777" w:rsidR="004B2808" w:rsidRDefault="00000000">
      <w:pPr>
        <w:jc w:val="both"/>
      </w:pPr>
      <w:r>
        <w:rPr>
          <w:b/>
        </w:rPr>
        <w:t>(soit par défaut)</w:t>
      </w:r>
    </w:p>
    <w:p w14:paraId="69149243" w14:textId="77777777" w:rsidR="004B2808" w:rsidRDefault="00000000">
      <w:pPr>
        <w:jc w:val="both"/>
      </w:pPr>
      <w:r>
        <w:rPr>
          <w:rStyle w:val="soitChar"/>
          <w:u w:val="single"/>
        </w:rPr>
        <w:t>Mélaminé :</w:t>
      </w:r>
    </w:p>
    <w:p w14:paraId="553BFA9E" w14:textId="77777777" w:rsidR="004B2808" w:rsidRDefault="00000000">
      <w:pPr>
        <w:pStyle w:val="Author-eListParagraph"/>
        <w:numPr>
          <w:ilvl w:val="0"/>
          <w:numId w:val="184"/>
        </w:numPr>
        <w:jc w:val="both"/>
      </w:pPr>
      <w:r>
        <w:rPr>
          <w:rStyle w:val="soitChar"/>
        </w:rPr>
        <w:t xml:space="preserve">Epaisseur : ≥ </w:t>
      </w:r>
      <w:r>
        <w:rPr>
          <w:rStyle w:val="optioncarChar"/>
        </w:rPr>
        <w:t>0,8</w:t>
      </w:r>
      <w:r>
        <w:t xml:space="preserve"> (par défaut)</w:t>
      </w:r>
      <w:r>
        <w:rPr>
          <w:rStyle w:val="optioncarChar"/>
        </w:rPr>
        <w:t xml:space="preserve"> / ***</w:t>
      </w:r>
      <w:r>
        <w:rPr>
          <w:rStyle w:val="soitChar"/>
        </w:rPr>
        <w:t xml:space="preserve"> mm.</w:t>
      </w:r>
    </w:p>
    <w:p w14:paraId="790A56E9" w14:textId="77777777" w:rsidR="004B2808" w:rsidRDefault="00000000">
      <w:pPr>
        <w:pStyle w:val="Author-eListParagraph"/>
        <w:numPr>
          <w:ilvl w:val="0"/>
          <w:numId w:val="184"/>
        </w:numPr>
        <w:jc w:val="both"/>
      </w:pPr>
      <w:r>
        <w:rPr>
          <w:rStyle w:val="soitChar"/>
        </w:rPr>
        <w:t xml:space="preserve">Couleur : </w:t>
      </w:r>
      <w:r>
        <w:rPr>
          <w:rStyle w:val="optioncarChar"/>
        </w:rPr>
        <w:t xml:space="preserve">à choisir dans la gamme standard du fabricant comprenant 10 teintes au minimum </w:t>
      </w:r>
      <w:r>
        <w:t>(par défaut)</w:t>
      </w:r>
      <w:r>
        <w:rPr>
          <w:rStyle w:val="optioncarChar"/>
        </w:rPr>
        <w:t xml:space="preserve"> / finition brut à peindre / teinte RAL *** / aspect bois essence :  *** / ***.</w:t>
      </w:r>
    </w:p>
    <w:p w14:paraId="1CB52ED8" w14:textId="77777777" w:rsidR="004B2808" w:rsidRDefault="00000000">
      <w:pPr>
        <w:pStyle w:val="Author-eListParagraph"/>
        <w:numPr>
          <w:ilvl w:val="0"/>
          <w:numId w:val="184"/>
        </w:numPr>
        <w:jc w:val="both"/>
      </w:pPr>
      <w:r>
        <w:rPr>
          <w:rStyle w:val="soitChar"/>
        </w:rPr>
        <w:t xml:space="preserve">Finition : </w:t>
      </w:r>
      <w:r>
        <w:rPr>
          <w:rStyle w:val="optioncarChar"/>
        </w:rPr>
        <w:t>satinée</w:t>
      </w:r>
      <w:r>
        <w:t xml:space="preserve"> (par défaut) </w:t>
      </w:r>
      <w:r>
        <w:rPr>
          <w:rStyle w:val="optioncarChar"/>
        </w:rPr>
        <w:t>/ brillante / mate / ***.</w:t>
      </w:r>
    </w:p>
    <w:p w14:paraId="6DD2D43B" w14:textId="77777777" w:rsidR="004B2808" w:rsidRDefault="00000000">
      <w:pPr>
        <w:pStyle w:val="Author-eListParagraph"/>
        <w:numPr>
          <w:ilvl w:val="0"/>
          <w:numId w:val="184"/>
        </w:numPr>
        <w:jc w:val="both"/>
      </w:pPr>
      <w:r>
        <w:rPr>
          <w:rStyle w:val="soitChar"/>
        </w:rPr>
        <w:t xml:space="preserve">Aspect : </w:t>
      </w:r>
      <w:r>
        <w:rPr>
          <w:rStyle w:val="optioncarChar"/>
        </w:rPr>
        <w:t xml:space="preserve">lisse </w:t>
      </w:r>
      <w:r>
        <w:t>(par défaut)</w:t>
      </w:r>
      <w:r>
        <w:rPr>
          <w:rStyle w:val="optioncarChar"/>
        </w:rPr>
        <w:t xml:space="preserve"> / ***.</w:t>
      </w:r>
    </w:p>
    <w:p w14:paraId="4C24CB60" w14:textId="77777777" w:rsidR="004B2808" w:rsidRDefault="00000000">
      <w:pPr>
        <w:jc w:val="both"/>
      </w:pPr>
      <w:r>
        <w:rPr>
          <w:b/>
        </w:rPr>
        <w:t>(soit)</w:t>
      </w:r>
    </w:p>
    <w:p w14:paraId="3A9B0A1A" w14:textId="77777777" w:rsidR="004B2808" w:rsidRDefault="00000000">
      <w:pPr>
        <w:jc w:val="both"/>
      </w:pPr>
      <w:r>
        <w:rPr>
          <w:rStyle w:val="soitChar"/>
          <w:u w:val="single"/>
        </w:rPr>
        <w:t>Stratifié :</w:t>
      </w:r>
      <w:r>
        <w:rPr>
          <w:rStyle w:val="soitChar"/>
        </w:rPr>
        <w:t xml:space="preserve"> plaque de stratifié haute pression, classe HPL-EN 438 VGS ou S 232.</w:t>
      </w:r>
    </w:p>
    <w:p w14:paraId="68DF5452" w14:textId="77777777" w:rsidR="004B2808" w:rsidRDefault="00000000">
      <w:pPr>
        <w:pStyle w:val="Author-eListParagraph"/>
        <w:numPr>
          <w:ilvl w:val="0"/>
          <w:numId w:val="185"/>
        </w:numPr>
      </w:pPr>
      <w:r>
        <w:rPr>
          <w:rStyle w:val="soitChar"/>
        </w:rPr>
        <w:t xml:space="preserve">Epaisseur : ≥ </w:t>
      </w:r>
      <w:r>
        <w:rPr>
          <w:rStyle w:val="optioncarChar"/>
        </w:rPr>
        <w:t>0,8</w:t>
      </w:r>
      <w:r>
        <w:t xml:space="preserve"> (par défaut) </w:t>
      </w:r>
      <w:r>
        <w:rPr>
          <w:rStyle w:val="optioncarChar"/>
        </w:rPr>
        <w:t>/ ***</w:t>
      </w:r>
      <w:r>
        <w:rPr>
          <w:rStyle w:val="soitChar"/>
        </w:rPr>
        <w:t xml:space="preserve"> mm.</w:t>
      </w:r>
    </w:p>
    <w:p w14:paraId="5AB2B590" w14:textId="77777777" w:rsidR="004B2808" w:rsidRDefault="00000000">
      <w:pPr>
        <w:pStyle w:val="Author-eListParagraph"/>
        <w:numPr>
          <w:ilvl w:val="0"/>
          <w:numId w:val="185"/>
        </w:numPr>
      </w:pPr>
      <w:r>
        <w:rPr>
          <w:rStyle w:val="soitChar"/>
        </w:rPr>
        <w:t>Couleur :</w:t>
      </w:r>
      <w:r>
        <w:rPr>
          <w:rStyle w:val="optioncarChar"/>
        </w:rPr>
        <w:t xml:space="preserve"> à choisir dans la gamme standard du fabricant comprenant 10 teintes au minimum </w:t>
      </w:r>
      <w:r>
        <w:t>(par défaut)</w:t>
      </w:r>
      <w:r>
        <w:rPr>
          <w:rStyle w:val="optioncarChar"/>
        </w:rPr>
        <w:t xml:space="preserve"> / teinte RAL *** / aspect bois - essence :  *** / ***</w:t>
      </w:r>
      <w:r>
        <w:rPr>
          <w:rStyle w:val="soitChar"/>
        </w:rPr>
        <w:t>.</w:t>
      </w:r>
    </w:p>
    <w:p w14:paraId="14EC451C" w14:textId="77777777" w:rsidR="004B2808" w:rsidRDefault="00000000">
      <w:pPr>
        <w:pStyle w:val="Author-eListParagraph"/>
        <w:numPr>
          <w:ilvl w:val="0"/>
          <w:numId w:val="185"/>
        </w:numPr>
      </w:pPr>
      <w:r>
        <w:rPr>
          <w:rStyle w:val="soitChar"/>
        </w:rPr>
        <w:t xml:space="preserve">Finition : </w:t>
      </w:r>
      <w:r>
        <w:rPr>
          <w:rStyle w:val="optioncarChar"/>
        </w:rPr>
        <w:t xml:space="preserve">satinée </w:t>
      </w:r>
      <w:r>
        <w:t xml:space="preserve">(par défaut) </w:t>
      </w:r>
      <w:r>
        <w:rPr>
          <w:rStyle w:val="optioncarChar"/>
        </w:rPr>
        <w:t>/ brillante / mate / ***</w:t>
      </w:r>
      <w:r>
        <w:rPr>
          <w:rStyle w:val="soitChar"/>
        </w:rPr>
        <w:t>.</w:t>
      </w:r>
    </w:p>
    <w:p w14:paraId="4723F6F2" w14:textId="77777777" w:rsidR="004B2808" w:rsidRDefault="00000000">
      <w:pPr>
        <w:pStyle w:val="Author-eListParagraph"/>
        <w:numPr>
          <w:ilvl w:val="0"/>
          <w:numId w:val="185"/>
        </w:numPr>
      </w:pPr>
      <w:r>
        <w:rPr>
          <w:rStyle w:val="soitChar"/>
        </w:rPr>
        <w:t xml:space="preserve">Aspect : </w:t>
      </w:r>
      <w:r>
        <w:rPr>
          <w:rStyle w:val="optioncarChar"/>
        </w:rPr>
        <w:t>lisse</w:t>
      </w:r>
      <w:r>
        <w:t xml:space="preserve"> (par défaut)</w:t>
      </w:r>
      <w:r>
        <w:rPr>
          <w:rStyle w:val="optioncarChar"/>
        </w:rPr>
        <w:t xml:space="preserve"> / ***.</w:t>
      </w:r>
    </w:p>
    <w:p w14:paraId="49C58F75" w14:textId="77777777" w:rsidR="004B2808" w:rsidRDefault="00000000">
      <w:pPr>
        <w:jc w:val="both"/>
      </w:pPr>
      <w:r>
        <w:rPr>
          <w:b/>
        </w:rPr>
        <w:t>(soit)</w:t>
      </w:r>
    </w:p>
    <w:p w14:paraId="3B1D6AC6" w14:textId="77777777" w:rsidR="004B2808" w:rsidRDefault="00000000">
      <w:pPr>
        <w:jc w:val="both"/>
      </w:pPr>
      <w:r>
        <w:rPr>
          <w:rStyle w:val="optioncarChar"/>
        </w:rPr>
        <w:lastRenderedPageBreak/>
        <w:t>***</w:t>
      </w:r>
    </w:p>
    <w:p w14:paraId="7295FDA7" w14:textId="77777777" w:rsidR="004B2808" w:rsidRDefault="00000000">
      <w:pPr>
        <w:pStyle w:val="pheading"/>
      </w:pPr>
      <w:r>
        <w:t>EXÉCUTION / MISE EN ŒUVRE</w:t>
      </w:r>
    </w:p>
    <w:p w14:paraId="7F30D3B2" w14:textId="77777777" w:rsidR="004B2808" w:rsidRDefault="00000000">
      <w:pPr>
        <w:pStyle w:val="pheading"/>
      </w:pPr>
      <w:r>
        <w:t>- Prescriptions générales</w:t>
      </w:r>
    </w:p>
    <w:p w14:paraId="0F364063" w14:textId="77777777" w:rsidR="004B2808" w:rsidRDefault="00000000">
      <w:pPr>
        <w:jc w:val="both"/>
      </w:pPr>
      <w:r>
        <w:t>La mise en œuvre et les assemblages sont exécutés conformément à la documentation technique accompagnant le produit et aux plans de détails approuvés par la direction du chantier lors de l’étude du fabricant prescrite ci-avant.</w:t>
      </w:r>
    </w:p>
    <w:p w14:paraId="2F50DF05" w14:textId="77777777" w:rsidR="004B2808" w:rsidRDefault="00000000">
      <w:pPr>
        <w:pStyle w:val="pheading"/>
      </w:pPr>
      <w:r>
        <w:t>- Échantillons</w:t>
      </w:r>
    </w:p>
    <w:p w14:paraId="4C88A07A" w14:textId="77777777" w:rsidR="004B2808" w:rsidRDefault="00000000">
      <w:pPr>
        <w:jc w:val="both"/>
      </w:pPr>
      <w:r>
        <w:t>L’entrepreneur soumet un échantillon du système et des finitions qu’il propose à l’approbation de la direction du chantier.</w:t>
      </w:r>
    </w:p>
    <w:p w14:paraId="3081441C" w14:textId="77777777" w:rsidR="004B2808" w:rsidRDefault="00000000">
      <w:pPr>
        <w:pStyle w:val="pheading"/>
      </w:pPr>
      <w:r>
        <w:t>MESURAGE</w:t>
      </w:r>
    </w:p>
    <w:p w14:paraId="6A1EAD34" w14:textId="77777777" w:rsidR="004B2808" w:rsidRDefault="00000000">
      <w:pPr>
        <w:pStyle w:val="pheading"/>
      </w:pPr>
      <w:r>
        <w:t>- unité de mesure:</w:t>
      </w:r>
    </w:p>
    <w:p w14:paraId="35E78539" w14:textId="77777777" w:rsidR="004B2808" w:rsidRDefault="00000000">
      <w:r>
        <w:t>m²</w:t>
      </w:r>
    </w:p>
    <w:p w14:paraId="0DEEB3AD" w14:textId="77777777" w:rsidR="004B2808" w:rsidRDefault="00000000">
      <w:pPr>
        <w:pStyle w:val="pheading"/>
      </w:pPr>
      <w:r>
        <w:t>- code de mesurage:</w:t>
      </w:r>
    </w:p>
    <w:p w14:paraId="196FB0C4" w14:textId="77777777" w:rsidR="004B2808" w:rsidRDefault="00000000">
      <w:pPr>
        <w:jc w:val="both"/>
      </w:pPr>
      <w:r>
        <w:t>Surface nette de panneaux à mettre en œuvre, ventilée suivant le type de panneau, des performances requises, des accessoires prescrits, etc...</w:t>
      </w:r>
    </w:p>
    <w:p w14:paraId="6CDD1C87" w14:textId="77777777" w:rsidR="004B2808" w:rsidRDefault="00000000">
      <w:pPr>
        <w:pStyle w:val="pheading"/>
      </w:pPr>
      <w:r>
        <w:t>- nature du marché:</w:t>
      </w:r>
    </w:p>
    <w:p w14:paraId="799C5243" w14:textId="77777777" w:rsidR="004B2808" w:rsidRDefault="00000000">
      <w:r>
        <w:t>QF</w:t>
      </w:r>
    </w:p>
    <w:p w14:paraId="7D0CD1D7" w14:textId="77777777" w:rsidR="004B2808" w:rsidRDefault="00000000">
      <w:pPr>
        <w:pStyle w:val="Author-eSectionHeading4Numberless"/>
      </w:pPr>
      <w:bookmarkStart w:id="113" w:name="_Toc220490318"/>
      <w:r>
        <w:t>51.45 Cloisons à panneaux indépendants mobiles (sur ou sans rail) CCTB 01.02</w:t>
      </w:r>
      <w:bookmarkEnd w:id="113"/>
    </w:p>
    <w:p w14:paraId="6FDB2EE5" w14:textId="77777777" w:rsidR="004B2808" w:rsidRDefault="00000000">
      <w:pPr>
        <w:pStyle w:val="Author-eSectionHeading5Numberless"/>
      </w:pPr>
      <w:bookmarkStart w:id="114" w:name="_Toc220490319"/>
      <w:r>
        <w:t>51.45.1 Cloisons à panneaux indépendants mobiles (sur ou sans rail) CCTB 01.02</w:t>
      </w:r>
      <w:bookmarkEnd w:id="114"/>
    </w:p>
    <w:p w14:paraId="46A308E4" w14:textId="77777777" w:rsidR="004B2808" w:rsidRDefault="00000000">
      <w:pPr>
        <w:pStyle w:val="Author-eSectionHeading6Numberless"/>
      </w:pPr>
      <w:bookmarkStart w:id="115" w:name="_Toc220490320"/>
      <w:r>
        <w:t>51.45.1a Cloisons acoustiques à panneaux indépendants mobiles (sur ou sans rail) CCTB 01.12</w:t>
      </w:r>
      <w:bookmarkEnd w:id="115"/>
    </w:p>
    <w:p w14:paraId="7798FCD9" w14:textId="77777777" w:rsidR="004B2808" w:rsidRDefault="00000000">
      <w:pPr>
        <w:pStyle w:val="pheading"/>
      </w:pPr>
      <w:r>
        <w:t>DESCRIPTION</w:t>
      </w:r>
    </w:p>
    <w:p w14:paraId="432911DC" w14:textId="77777777" w:rsidR="004B2808" w:rsidRDefault="00000000">
      <w:pPr>
        <w:pStyle w:val="pheading"/>
      </w:pPr>
      <w:r>
        <w:t>- Définition / Comprend</w:t>
      </w:r>
    </w:p>
    <w:p w14:paraId="199EF6AC" w14:textId="77777777" w:rsidR="004B2808" w:rsidRDefault="00000000">
      <w:pPr>
        <w:jc w:val="both"/>
      </w:pPr>
      <w:r>
        <w:t>Il s’agit de la fourniture et la pose de cloisons mobiles acoustiques composées de panneaux indépendants coulissant dans un rail de support. Elles sont composées :</w:t>
      </w:r>
    </w:p>
    <w:p w14:paraId="0269DE7C" w14:textId="77777777" w:rsidR="004B2808" w:rsidRDefault="00000000">
      <w:pPr>
        <w:pStyle w:val="Author-eListParagraph"/>
        <w:numPr>
          <w:ilvl w:val="0"/>
          <w:numId w:val="186"/>
        </w:numPr>
      </w:pPr>
      <w:r>
        <w:t>de rails porteurs avec fixations ;</w:t>
      </w:r>
    </w:p>
    <w:p w14:paraId="3288DECA" w14:textId="77777777" w:rsidR="004B2808" w:rsidRDefault="00000000">
      <w:pPr>
        <w:pStyle w:val="Author-eListParagraph"/>
        <w:numPr>
          <w:ilvl w:val="0"/>
          <w:numId w:val="186"/>
        </w:numPr>
      </w:pPr>
      <w:r>
        <w:t>de panneaux mobiles indépendants de cloisonnement permettant de moduler la dimension de locaux ou de salles.</w:t>
      </w:r>
    </w:p>
    <w:p w14:paraId="47D7B783" w14:textId="77777777" w:rsidR="004B2808" w:rsidRDefault="00000000">
      <w:pPr>
        <w:jc w:val="both"/>
      </w:pPr>
      <w:r>
        <w:t>Cet article comprend également l’étude par le fabricant :</w:t>
      </w:r>
    </w:p>
    <w:p w14:paraId="39A7FC0D" w14:textId="77777777" w:rsidR="004B2808" w:rsidRDefault="00000000">
      <w:pPr>
        <w:pStyle w:val="Author-eListParagraph"/>
        <w:numPr>
          <w:ilvl w:val="0"/>
          <w:numId w:val="187"/>
        </w:numPr>
      </w:pPr>
      <w:r>
        <w:t>du dimensionnement des structures de suspente et de leurs ancrages ;</w:t>
      </w:r>
    </w:p>
    <w:p w14:paraId="7C7D41EE" w14:textId="77777777" w:rsidR="004B2808" w:rsidRDefault="00000000">
      <w:pPr>
        <w:pStyle w:val="Author-eListParagraph"/>
        <w:numPr>
          <w:ilvl w:val="0"/>
          <w:numId w:val="187"/>
        </w:numPr>
      </w:pPr>
      <w:r>
        <w:t>du dimensionnement et du calepinage des panneaux en fonction des plans de principes joints au dossier.</w:t>
      </w:r>
    </w:p>
    <w:p w14:paraId="6C57450A" w14:textId="77777777" w:rsidR="004B2808" w:rsidRDefault="00000000">
      <w:pPr>
        <w:jc w:val="both"/>
      </w:pPr>
      <w:r>
        <w:t>L’ensemble des notes de calcul et des plans de détail sont soumis à l’approbation de la direction des travaux.</w:t>
      </w:r>
    </w:p>
    <w:p w14:paraId="6B007AF4" w14:textId="77777777" w:rsidR="004B2808" w:rsidRDefault="00000000">
      <w:pPr>
        <w:pStyle w:val="pheading"/>
      </w:pPr>
      <w:r>
        <w:t>MATÉRIAUX</w:t>
      </w:r>
    </w:p>
    <w:p w14:paraId="0C79D941" w14:textId="77777777" w:rsidR="004B2808" w:rsidRDefault="00000000">
      <w:pPr>
        <w:pStyle w:val="pheading"/>
      </w:pPr>
      <w:r>
        <w:t>- Caractéristiques générales</w:t>
      </w:r>
    </w:p>
    <w:p w14:paraId="39905AC5" w14:textId="77777777" w:rsidR="004B2808" w:rsidRDefault="00000000">
      <w:pPr>
        <w:jc w:val="both"/>
      </w:pPr>
      <w:r>
        <w:t>La cloison mobile est composée de panneaux indépendants coulissant horizontalement sur une structure porteuse métallique dont le dimensionnement est calculé en fonction de la taille et du poids des panneaux de cloisonnement.</w:t>
      </w:r>
    </w:p>
    <w:p w14:paraId="71F70E55" w14:textId="77777777" w:rsidR="004B2808" w:rsidRDefault="00000000">
      <w:pPr>
        <w:jc w:val="both"/>
      </w:pPr>
      <w:r>
        <w:rPr>
          <w:b/>
        </w:rPr>
        <w:lastRenderedPageBreak/>
        <w:t>Rail(s) de support et de guidage :</w:t>
      </w:r>
    </w:p>
    <w:p w14:paraId="2DEDB9C2" w14:textId="77777777" w:rsidR="004B2808" w:rsidRDefault="00000000">
      <w:pPr>
        <w:jc w:val="both"/>
      </w:pPr>
      <w:r>
        <w:t>En partie haute, les rails guides (un par vantail) sont composés de profils en aluminium dans lesquels coulissent les chariots de roulement équipés de galets en nylon autolubrifiant. Ils sont ancrés à la structure portante à l’aide de tiges filetées et de barrettes de mise à niveau.</w:t>
      </w:r>
    </w:p>
    <w:p w14:paraId="13FC0A17" w14:textId="77777777" w:rsidR="004B2808" w:rsidRDefault="00000000">
      <w:pPr>
        <w:jc w:val="both"/>
      </w:pPr>
      <w:r>
        <w:t>Le système est complété par deux profils cache rail clipsables, en aluminium, qui dissimulent les rails et les mécanismes de roulement.</w:t>
      </w:r>
    </w:p>
    <w:p w14:paraId="471BDA30" w14:textId="77777777" w:rsidR="004B2808" w:rsidRDefault="00000000">
      <w:pPr>
        <w:pStyle w:val="Author-eListParagraph"/>
        <w:numPr>
          <w:ilvl w:val="0"/>
          <w:numId w:val="188"/>
        </w:numPr>
      </w:pPr>
      <w:r>
        <w:t>Type d’ancrage et dimensions : à déterminer par le fabricant du système et à soumettre à l’approbation de la direction du chantier.</w:t>
      </w:r>
    </w:p>
    <w:p w14:paraId="128E485E" w14:textId="77777777" w:rsidR="004B2808" w:rsidRDefault="00000000">
      <w:pPr>
        <w:ind w:left="567"/>
        <w:jc w:val="both"/>
      </w:pPr>
      <w:r>
        <w:t xml:space="preserve">En partie basse : </w:t>
      </w:r>
      <w:r>
        <w:rPr>
          <w:rStyle w:val="optioncarChar"/>
        </w:rPr>
        <w:t>guide ponctuel</w:t>
      </w:r>
      <w:r>
        <w:t xml:space="preserve"> (par défaut) </w:t>
      </w:r>
      <w:r>
        <w:rPr>
          <w:rStyle w:val="optioncarChar"/>
        </w:rPr>
        <w:t>/ ***</w:t>
      </w:r>
      <w:r>
        <w:t>.</w:t>
      </w:r>
    </w:p>
    <w:p w14:paraId="777B0B52" w14:textId="77777777" w:rsidR="004B2808" w:rsidRDefault="00000000">
      <w:pPr>
        <w:ind w:left="567"/>
        <w:jc w:val="both"/>
      </w:pPr>
      <w:r>
        <w:rPr>
          <w:b/>
        </w:rPr>
        <w:t>(soit par défaut)</w:t>
      </w:r>
    </w:p>
    <w:p w14:paraId="466E4C70" w14:textId="77777777" w:rsidR="004B2808" w:rsidRDefault="00000000">
      <w:pPr>
        <w:ind w:left="567"/>
        <w:jc w:val="both"/>
      </w:pPr>
      <w:r>
        <w:rPr>
          <w:rStyle w:val="soitChar"/>
          <w:u w:val="single"/>
        </w:rPr>
        <w:t>Guide ponctuel :</w:t>
      </w:r>
    </w:p>
    <w:p w14:paraId="10774413" w14:textId="77777777" w:rsidR="004B2808" w:rsidRDefault="00000000">
      <w:pPr>
        <w:ind w:left="567"/>
        <w:jc w:val="both"/>
      </w:pPr>
      <w:r>
        <w:rPr>
          <w:rStyle w:val="soitChar"/>
        </w:rPr>
        <w:t>Guide en polyamide en forme de U (un par vantail) qui maintient chaque vantail dans une position parfaitement verticale.</w:t>
      </w:r>
    </w:p>
    <w:p w14:paraId="4A7B4925" w14:textId="77777777" w:rsidR="004B2808" w:rsidRDefault="00000000">
      <w:pPr>
        <w:pStyle w:val="Author-eListParagraph"/>
        <w:numPr>
          <w:ilvl w:val="1"/>
          <w:numId w:val="189"/>
        </w:numPr>
      </w:pPr>
      <w:r>
        <w:rPr>
          <w:rStyle w:val="soitChar"/>
        </w:rPr>
        <w:t xml:space="preserve">Hauteur :  </w:t>
      </w:r>
      <w:r>
        <w:rPr>
          <w:rStyle w:val="optioncarChar"/>
        </w:rPr>
        <w:t xml:space="preserve">25 </w:t>
      </w:r>
      <w:r>
        <w:t>(par défaut)</w:t>
      </w:r>
      <w:r>
        <w:rPr>
          <w:rStyle w:val="optioncarChar"/>
        </w:rPr>
        <w:t xml:space="preserve"> / ***</w:t>
      </w:r>
      <w:r>
        <w:rPr>
          <w:rStyle w:val="soitChar"/>
        </w:rPr>
        <w:t xml:space="preserve"> mm</w:t>
      </w:r>
    </w:p>
    <w:p w14:paraId="76B1EBC7" w14:textId="77777777" w:rsidR="004B2808" w:rsidRDefault="00000000">
      <w:pPr>
        <w:pStyle w:val="Author-eListParagraph"/>
        <w:numPr>
          <w:ilvl w:val="1"/>
          <w:numId w:val="189"/>
        </w:numPr>
      </w:pPr>
      <w:r>
        <w:rPr>
          <w:rStyle w:val="soitChar"/>
        </w:rPr>
        <w:t xml:space="preserve">Largeur : </w:t>
      </w:r>
      <w:r>
        <w:rPr>
          <w:rStyle w:val="optioncarChar"/>
        </w:rPr>
        <w:t xml:space="preserve">60 </w:t>
      </w:r>
      <w:r>
        <w:t>(par défaut)</w:t>
      </w:r>
      <w:r>
        <w:rPr>
          <w:rStyle w:val="optioncarChar"/>
        </w:rPr>
        <w:t xml:space="preserve"> / ***</w:t>
      </w:r>
      <w:r>
        <w:rPr>
          <w:rStyle w:val="soitChar"/>
        </w:rPr>
        <w:t xml:space="preserve"> mm</w:t>
      </w:r>
    </w:p>
    <w:p w14:paraId="22AF1B3E" w14:textId="77777777" w:rsidR="004B2808" w:rsidRDefault="00000000">
      <w:pPr>
        <w:pStyle w:val="Author-eListParagraph"/>
        <w:numPr>
          <w:ilvl w:val="1"/>
          <w:numId w:val="189"/>
        </w:numPr>
      </w:pPr>
      <w:r>
        <w:rPr>
          <w:rStyle w:val="soitChar"/>
        </w:rPr>
        <w:t xml:space="preserve">Profondeur : </w:t>
      </w:r>
      <w:r>
        <w:rPr>
          <w:rStyle w:val="optioncarChar"/>
        </w:rPr>
        <w:t>52</w:t>
      </w:r>
      <w:r>
        <w:t xml:space="preserve"> (par défaut) </w:t>
      </w:r>
      <w:r>
        <w:rPr>
          <w:rStyle w:val="optioncarChar"/>
        </w:rPr>
        <w:t>/ ***</w:t>
      </w:r>
      <w:r>
        <w:rPr>
          <w:rStyle w:val="soitChar"/>
        </w:rPr>
        <w:t xml:space="preserve"> mm</w:t>
      </w:r>
    </w:p>
    <w:p w14:paraId="32B4ED5F" w14:textId="77777777" w:rsidR="004B2808" w:rsidRDefault="00000000">
      <w:pPr>
        <w:ind w:left="567"/>
        <w:jc w:val="both"/>
      </w:pPr>
      <w:r>
        <w:rPr>
          <w:b/>
        </w:rPr>
        <w:t>(soit)</w:t>
      </w:r>
    </w:p>
    <w:p w14:paraId="620312CD" w14:textId="77777777" w:rsidR="004B2808" w:rsidRDefault="00000000">
      <w:pPr>
        <w:ind w:left="567"/>
        <w:jc w:val="both"/>
      </w:pPr>
      <w:r>
        <w:rPr>
          <w:rStyle w:val="optioncarChar"/>
        </w:rPr>
        <w:t>***</w:t>
      </w:r>
    </w:p>
    <w:p w14:paraId="2AF532A4" w14:textId="77777777" w:rsidR="004B2808" w:rsidRDefault="00000000">
      <w:pPr>
        <w:jc w:val="both"/>
      </w:pPr>
      <w:r>
        <w:rPr>
          <w:b/>
        </w:rPr>
        <w:t>Panneau :</w:t>
      </w:r>
    </w:p>
    <w:p w14:paraId="1BA49433" w14:textId="77777777" w:rsidR="004B2808" w:rsidRDefault="00000000">
      <w:pPr>
        <w:jc w:val="both"/>
      </w:pPr>
      <w:r>
        <w:t>Les cloisons sont composées de panneaux indépendants à revêtement textile constitués de :</w:t>
      </w:r>
    </w:p>
    <w:p w14:paraId="13D61B1B" w14:textId="77777777" w:rsidR="004B2808" w:rsidRDefault="00000000">
      <w:pPr>
        <w:pStyle w:val="Author-eListParagraph"/>
        <w:numPr>
          <w:ilvl w:val="0"/>
          <w:numId w:val="190"/>
        </w:numPr>
      </w:pPr>
      <w:r>
        <w:t xml:space="preserve">Cadres métalliques : </w:t>
      </w:r>
    </w:p>
    <w:p w14:paraId="17DAA597" w14:textId="77777777" w:rsidR="004B2808" w:rsidRDefault="00000000">
      <w:pPr>
        <w:pStyle w:val="Author-eListParagraph"/>
        <w:numPr>
          <w:ilvl w:val="1"/>
          <w:numId w:val="191"/>
        </w:numPr>
      </w:pPr>
      <w:r>
        <w:t xml:space="preserve">Matériau : </w:t>
      </w:r>
      <w:r>
        <w:rPr>
          <w:rStyle w:val="optioncarChar"/>
        </w:rPr>
        <w:t xml:space="preserve">aluminium anodisé </w:t>
      </w:r>
      <w:r>
        <w:t>(par défaut)</w:t>
      </w:r>
      <w:r>
        <w:rPr>
          <w:rStyle w:val="optioncarChar"/>
        </w:rPr>
        <w:t xml:space="preserve"> / aluminium thermolaqué / ***</w:t>
      </w:r>
      <w:r>
        <w:t>.</w:t>
      </w:r>
    </w:p>
    <w:p w14:paraId="3A0F4FF9" w14:textId="77777777" w:rsidR="004B2808" w:rsidRDefault="00000000">
      <w:pPr>
        <w:pStyle w:val="Author-eListParagraph"/>
        <w:numPr>
          <w:ilvl w:val="1"/>
          <w:numId w:val="191"/>
        </w:numPr>
      </w:pPr>
      <w:r>
        <w:t xml:space="preserve">Section :  ± </w:t>
      </w:r>
      <w:r>
        <w:rPr>
          <w:rStyle w:val="optioncarChar"/>
        </w:rPr>
        <w:t xml:space="preserve">40 x 20 </w:t>
      </w:r>
      <w:r>
        <w:t>(par défaut)</w:t>
      </w:r>
      <w:r>
        <w:rPr>
          <w:rStyle w:val="optioncarChar"/>
        </w:rPr>
        <w:t xml:space="preserve"> / 40 x 40 / ***</w:t>
      </w:r>
      <w:r>
        <w:t xml:space="preserve"> mm</w:t>
      </w:r>
    </w:p>
    <w:p w14:paraId="787BCD2F" w14:textId="77777777" w:rsidR="004B2808" w:rsidRDefault="00000000">
      <w:pPr>
        <w:pStyle w:val="Author-eListParagraph"/>
        <w:numPr>
          <w:ilvl w:val="0"/>
          <w:numId w:val="190"/>
        </w:numPr>
      </w:pPr>
      <w:r>
        <w:t xml:space="preserve">Noyau acoustique :  </w:t>
      </w:r>
      <w:r>
        <w:rPr>
          <w:rStyle w:val="optioncarChar"/>
        </w:rPr>
        <w:t xml:space="preserve">laine de roche </w:t>
      </w:r>
      <w:r>
        <w:t>(par défaut)</w:t>
      </w:r>
      <w:r>
        <w:rPr>
          <w:rStyle w:val="optioncarChar"/>
        </w:rPr>
        <w:t> / laine de verre / fibres de polyester / ***</w:t>
      </w:r>
    </w:p>
    <w:p w14:paraId="407B7A16" w14:textId="77777777" w:rsidR="004B2808" w:rsidRDefault="00000000">
      <w:pPr>
        <w:pStyle w:val="Author-eListParagraph"/>
        <w:numPr>
          <w:ilvl w:val="1"/>
          <w:numId w:val="192"/>
        </w:numPr>
      </w:pPr>
      <w:r>
        <w:t xml:space="preserve">Densité : ≥ </w:t>
      </w:r>
      <w:r>
        <w:rPr>
          <w:rStyle w:val="optioncarChar"/>
        </w:rPr>
        <w:t>16 / 36 / 80 / 120 / ***</w:t>
      </w:r>
      <w:r>
        <w:t xml:space="preserve"> kg/m3</w:t>
      </w:r>
    </w:p>
    <w:p w14:paraId="5C077B20" w14:textId="77777777" w:rsidR="004B2808" w:rsidRDefault="00000000">
      <w:pPr>
        <w:pStyle w:val="Author-eListParagraph"/>
        <w:numPr>
          <w:ilvl w:val="1"/>
          <w:numId w:val="192"/>
        </w:numPr>
      </w:pPr>
      <w:r>
        <w:t xml:space="preserve">Épaisseur : </w:t>
      </w:r>
      <w:r>
        <w:rPr>
          <w:rStyle w:val="optioncarChar"/>
        </w:rPr>
        <w:t>20 / 25 / ***</w:t>
      </w:r>
      <w:r>
        <w:t xml:space="preserve"> mm</w:t>
      </w:r>
    </w:p>
    <w:p w14:paraId="260B725D" w14:textId="77777777" w:rsidR="004B2808" w:rsidRDefault="00000000">
      <w:pPr>
        <w:pStyle w:val="Author-eListParagraph"/>
        <w:numPr>
          <w:ilvl w:val="0"/>
          <w:numId w:val="190"/>
        </w:numPr>
      </w:pPr>
      <w:r>
        <w:t xml:space="preserve">Textile : </w:t>
      </w:r>
    </w:p>
    <w:p w14:paraId="202F174E" w14:textId="77777777" w:rsidR="004B2808" w:rsidRDefault="00000000">
      <w:pPr>
        <w:pStyle w:val="Author-eListParagraph"/>
        <w:numPr>
          <w:ilvl w:val="1"/>
          <w:numId w:val="193"/>
        </w:numPr>
      </w:pPr>
      <w:r>
        <w:t xml:space="preserve">Matériau : </w:t>
      </w:r>
      <w:r>
        <w:rPr>
          <w:rStyle w:val="optioncarChar"/>
        </w:rPr>
        <w:t xml:space="preserve">polyester </w:t>
      </w:r>
      <w:r>
        <w:t>(par défaut) </w:t>
      </w:r>
      <w:r>
        <w:rPr>
          <w:rStyle w:val="optioncarChar"/>
        </w:rPr>
        <w:t>/ ***</w:t>
      </w:r>
      <w:r>
        <w:t> </w:t>
      </w:r>
    </w:p>
    <w:p w14:paraId="499DC3AF" w14:textId="77777777" w:rsidR="004B2808" w:rsidRDefault="00000000">
      <w:pPr>
        <w:pStyle w:val="Author-eListParagraph"/>
        <w:numPr>
          <w:ilvl w:val="1"/>
          <w:numId w:val="193"/>
        </w:numPr>
      </w:pPr>
      <w:r>
        <w:t xml:space="preserve">Densité : ≥ </w:t>
      </w:r>
      <w:r>
        <w:rPr>
          <w:rStyle w:val="optioncarChar"/>
        </w:rPr>
        <w:t>350 / ***</w:t>
      </w:r>
      <w:r>
        <w:t xml:space="preserve"> gr/m²</w:t>
      </w:r>
    </w:p>
    <w:p w14:paraId="4468DAD4" w14:textId="77777777" w:rsidR="004B2808" w:rsidRDefault="00000000">
      <w:pPr>
        <w:pStyle w:val="Author-eListParagraph"/>
        <w:numPr>
          <w:ilvl w:val="1"/>
          <w:numId w:val="193"/>
        </w:numPr>
      </w:pPr>
      <w:r>
        <w:t>Deux toiles par vantail clipsables et interchangeables.</w:t>
      </w:r>
    </w:p>
    <w:p w14:paraId="059FD115" w14:textId="77777777" w:rsidR="004B2808" w:rsidRDefault="00000000">
      <w:pPr>
        <w:pStyle w:val="Author-eListParagraph"/>
        <w:numPr>
          <w:ilvl w:val="0"/>
          <w:numId w:val="190"/>
        </w:numPr>
      </w:pPr>
      <w:r>
        <w:t xml:space="preserve">Dimensions de la cloison mobile : </w:t>
      </w:r>
      <w:r>
        <w:rPr>
          <w:rStyle w:val="optioncarChar"/>
        </w:rPr>
        <w:t xml:space="preserve">voir métré détaillé et plans </w:t>
      </w:r>
      <w:r>
        <w:t>(par défaut)</w:t>
      </w:r>
      <w:r>
        <w:rPr>
          <w:rStyle w:val="optioncarChar"/>
        </w:rPr>
        <w:t xml:space="preserve"> / *** x *** cm / ***.</w:t>
      </w:r>
    </w:p>
    <w:p w14:paraId="5F24D2D7" w14:textId="77777777" w:rsidR="004B2808" w:rsidRDefault="00000000">
      <w:pPr>
        <w:pStyle w:val="Author-eListParagraph"/>
        <w:numPr>
          <w:ilvl w:val="0"/>
          <w:numId w:val="190"/>
        </w:numPr>
      </w:pPr>
      <w:r>
        <w:t xml:space="preserve">Nombre de vantail : </w:t>
      </w:r>
      <w:r>
        <w:rPr>
          <w:rStyle w:val="optioncarChar"/>
        </w:rPr>
        <w:t>1</w:t>
      </w:r>
      <w:r>
        <w:t xml:space="preserve"> (par défaut)</w:t>
      </w:r>
      <w:r>
        <w:rPr>
          <w:rStyle w:val="optioncarChar"/>
        </w:rPr>
        <w:t xml:space="preserve"> / 2 / 3 / 4.</w:t>
      </w:r>
    </w:p>
    <w:p w14:paraId="22B9757F" w14:textId="77777777" w:rsidR="004B2808" w:rsidRDefault="00000000">
      <w:pPr>
        <w:pStyle w:val="Author-eListParagraph"/>
        <w:numPr>
          <w:ilvl w:val="0"/>
          <w:numId w:val="190"/>
        </w:numPr>
      </w:pPr>
      <w:r>
        <w:t xml:space="preserve">Largeur des panneaux : </w:t>
      </w:r>
      <w:r>
        <w:rPr>
          <w:rStyle w:val="optioncarChar"/>
        </w:rPr>
        <w:t xml:space="preserve">à soumettre pour approbation par le fabricant en fonction des plans de principes joints au dossier </w:t>
      </w:r>
      <w:r>
        <w:t xml:space="preserve">(par défaut) </w:t>
      </w:r>
      <w:r>
        <w:rPr>
          <w:rStyle w:val="optioncarChar"/>
        </w:rPr>
        <w:t>/ 500 / 100 / 150 / *** mm</w:t>
      </w:r>
      <w:r>
        <w:t>.</w:t>
      </w:r>
    </w:p>
    <w:p w14:paraId="3FDD587C" w14:textId="77777777" w:rsidR="004B2808" w:rsidRDefault="00000000">
      <w:pPr>
        <w:pStyle w:val="Author-eListParagraph"/>
        <w:numPr>
          <w:ilvl w:val="0"/>
          <w:numId w:val="190"/>
        </w:numPr>
      </w:pPr>
      <w:r>
        <w:t>Largeur de recouvrement entre les panneaux :</w:t>
      </w:r>
      <w:r>
        <w:rPr>
          <w:rStyle w:val="optioncarChar"/>
        </w:rPr>
        <w:t xml:space="preserve"> à soumettre pour approbation par le fabricant en fonction des plans de principes joints au dossier </w:t>
      </w:r>
      <w:r>
        <w:t xml:space="preserve">(par défaut) </w:t>
      </w:r>
      <w:r>
        <w:rPr>
          <w:rStyle w:val="optioncarChar"/>
        </w:rPr>
        <w:t>/ 15 / 20 / *** mm</w:t>
      </w:r>
      <w:r>
        <w:t>.</w:t>
      </w:r>
    </w:p>
    <w:p w14:paraId="29987499" w14:textId="77777777" w:rsidR="004B2808" w:rsidRDefault="00000000">
      <w:pPr>
        <w:pStyle w:val="Author-eListParagraph"/>
        <w:numPr>
          <w:ilvl w:val="0"/>
          <w:numId w:val="190"/>
        </w:numPr>
      </w:pPr>
      <w:r>
        <w:t xml:space="preserve">Epaisseur des panneaux : </w:t>
      </w:r>
      <w:r>
        <w:rPr>
          <w:rStyle w:val="optioncarChar"/>
        </w:rPr>
        <w:t xml:space="preserve">à soumettre pour approbation par le fabricant en fonction des plans de principes joints au dossier et des performances prescrites pour l’ensemble de la cloison </w:t>
      </w:r>
      <w:r>
        <w:t>(par défaut)</w:t>
      </w:r>
      <w:r>
        <w:rPr>
          <w:rStyle w:val="optioncarChar"/>
        </w:rPr>
        <w:t xml:space="preserve"> / 40 / *** mm.</w:t>
      </w:r>
    </w:p>
    <w:p w14:paraId="58BDEC78" w14:textId="77777777" w:rsidR="004B2808" w:rsidRDefault="00000000">
      <w:pPr>
        <w:pStyle w:val="Author-eListParagraph"/>
        <w:numPr>
          <w:ilvl w:val="0"/>
          <w:numId w:val="190"/>
        </w:numPr>
      </w:pPr>
      <w:r>
        <w:t>Raccordements muraux : chaque extrémité de la cloison est équipée de profils d’ajustement fixes assurant l’étanchéité phonique avec les parois adjacentes.</w:t>
      </w:r>
    </w:p>
    <w:p w14:paraId="09259E19" w14:textId="77777777" w:rsidR="004B2808" w:rsidRDefault="00000000">
      <w:pPr>
        <w:pStyle w:val="Author-eListParagraph"/>
        <w:numPr>
          <w:ilvl w:val="0"/>
          <w:numId w:val="190"/>
        </w:numPr>
      </w:pPr>
      <w:r>
        <w:t>Absorption acoustique (a</w:t>
      </w:r>
      <w:r>
        <w:rPr>
          <w:vertAlign w:val="subscript"/>
        </w:rPr>
        <w:t>w</w:t>
      </w:r>
      <w:r>
        <w:t xml:space="preserve">) : ≥ à </w:t>
      </w:r>
      <w:r>
        <w:rPr>
          <w:rStyle w:val="optioncarChar"/>
        </w:rPr>
        <w:t xml:space="preserve">0,40 </w:t>
      </w:r>
      <w:r>
        <w:t>(par défaut) </w:t>
      </w:r>
      <w:r>
        <w:rPr>
          <w:rStyle w:val="optioncarChar"/>
        </w:rPr>
        <w:t>/ 0.50 / ***</w:t>
      </w:r>
      <w:r>
        <w:t>. </w:t>
      </w:r>
    </w:p>
    <w:p w14:paraId="032EEB25" w14:textId="77777777" w:rsidR="004B2808" w:rsidRDefault="00000000">
      <w:pPr>
        <w:pStyle w:val="Author-eListParagraph"/>
        <w:numPr>
          <w:ilvl w:val="0"/>
          <w:numId w:val="190"/>
        </w:numPr>
      </w:pPr>
      <w:r>
        <w:t xml:space="preserve">Indice d’affaiblissement acoustique Rw : ≥ </w:t>
      </w:r>
      <w:r>
        <w:rPr>
          <w:rStyle w:val="optioncarChar"/>
        </w:rPr>
        <w:t xml:space="preserve">25 </w:t>
      </w:r>
      <w:r>
        <w:t xml:space="preserve">(par défaut) </w:t>
      </w:r>
      <w:r>
        <w:rPr>
          <w:rStyle w:val="optioncarChar"/>
        </w:rPr>
        <w:t>/ 30 / ***</w:t>
      </w:r>
      <w:r>
        <w:t xml:space="preserve"> dB.</w:t>
      </w:r>
    </w:p>
    <w:p w14:paraId="39FF978D" w14:textId="77777777" w:rsidR="004B2808" w:rsidRDefault="00000000">
      <w:pPr>
        <w:pStyle w:val="Author-eListParagraph"/>
        <w:numPr>
          <w:ilvl w:val="0"/>
          <w:numId w:val="190"/>
        </w:numPr>
      </w:pPr>
      <w:r>
        <w:t xml:space="preserve">Classement au feu : </w:t>
      </w:r>
      <w:r>
        <w:rPr>
          <w:rStyle w:val="optioncarChar"/>
        </w:rPr>
        <w:t>D-s1,d0 </w:t>
      </w:r>
      <w:r>
        <w:t>(par défaut)</w:t>
      </w:r>
      <w:r>
        <w:rPr>
          <w:rStyle w:val="optioncarChar"/>
        </w:rPr>
        <w:t xml:space="preserve"> / ***</w:t>
      </w:r>
      <w:r>
        <w:t xml:space="preserve"> selon la [NBN EN 13501-1].</w:t>
      </w:r>
    </w:p>
    <w:p w14:paraId="1D65BD0A" w14:textId="77777777" w:rsidR="004B2808" w:rsidRDefault="00000000">
      <w:pPr>
        <w:pStyle w:val="Author-eListParagraph"/>
        <w:numPr>
          <w:ilvl w:val="0"/>
          <w:numId w:val="190"/>
        </w:numPr>
      </w:pPr>
      <w:r>
        <w:t xml:space="preserve">Performances d’endurance : </w:t>
      </w:r>
      <w:r>
        <w:rPr>
          <w:rStyle w:val="optioncarChar"/>
        </w:rPr>
        <w:t>classe 3 (10 000 cycles d’ouverture)</w:t>
      </w:r>
      <w:r>
        <w:t xml:space="preserve"> (par défaut) </w:t>
      </w:r>
      <w:r>
        <w:rPr>
          <w:rStyle w:val="optioncarChar"/>
        </w:rPr>
        <w:t>/ classe 1 (2000 cycles d’ouverture) / classe 2 (5000 cycles d’ouverture) / ***</w:t>
      </w:r>
      <w:r>
        <w:t xml:space="preserve"> suivant la [NBN EN 14201].</w:t>
      </w:r>
    </w:p>
    <w:p w14:paraId="6311F7AE" w14:textId="77777777" w:rsidR="004B2808" w:rsidRDefault="00000000">
      <w:pPr>
        <w:jc w:val="both"/>
      </w:pPr>
      <w:r>
        <w:rPr>
          <w:b/>
        </w:rPr>
        <w:t>Aspects environnementaux :</w:t>
      </w:r>
    </w:p>
    <w:p w14:paraId="4357C040" w14:textId="77777777" w:rsidR="004B2808" w:rsidRDefault="00000000">
      <w:pPr>
        <w:pStyle w:val="Author-eListParagraph"/>
        <w:numPr>
          <w:ilvl w:val="0"/>
          <w:numId w:val="194"/>
        </w:numPr>
        <w:jc w:val="both"/>
      </w:pPr>
      <w:r>
        <w:lastRenderedPageBreak/>
        <w:t xml:space="preserve">Panneaux à base de bois issu de forêts gérées durablement suivant prescriptions du 02.42.4 Bois provenant de forêts gérées durablement : </w:t>
      </w:r>
      <w:r>
        <w:rPr>
          <w:rStyle w:val="optioncarChar"/>
        </w:rPr>
        <w:t>oui / non</w:t>
      </w:r>
    </w:p>
    <w:p w14:paraId="187742A0" w14:textId="77777777" w:rsidR="004B2808" w:rsidRDefault="00000000">
      <w:pPr>
        <w:pStyle w:val="Author-eListParagraph"/>
        <w:numPr>
          <w:ilvl w:val="0"/>
          <w:numId w:val="194"/>
        </w:numPr>
        <w:jc w:val="both"/>
      </w:pPr>
      <w:r>
        <w:t xml:space="preserve">Matériaux disposant d’un label suivant prescriptions du 02.42.6 Labels environnementaux : </w:t>
      </w:r>
      <w:r>
        <w:rPr>
          <w:rStyle w:val="optioncarChar"/>
        </w:rPr>
        <w:t>oui / non</w:t>
      </w:r>
    </w:p>
    <w:p w14:paraId="3243B2C4" w14:textId="77777777" w:rsidR="004B2808" w:rsidRDefault="00000000">
      <w:pPr>
        <w:pStyle w:val="Author-eListParagraph"/>
        <w:numPr>
          <w:ilvl w:val="0"/>
          <w:numId w:val="194"/>
        </w:numPr>
        <w:jc w:val="both"/>
      </w:pPr>
      <w:r>
        <w:t xml:space="preserve">Matériaux recyclés entrant dans la fabrication du produit : </w:t>
      </w:r>
      <w:r>
        <w:rPr>
          <w:rStyle w:val="optioncarChar"/>
        </w:rPr>
        <w:t>oui / non</w:t>
      </w:r>
    </w:p>
    <w:p w14:paraId="6A2DDD58" w14:textId="77777777" w:rsidR="004B2808" w:rsidRDefault="00000000">
      <w:pPr>
        <w:pStyle w:val="pheading"/>
      </w:pPr>
      <w:r>
        <w:t>- Finitions</w:t>
      </w:r>
    </w:p>
    <w:p w14:paraId="7C91787E" w14:textId="77777777" w:rsidR="004B2808" w:rsidRDefault="00000000">
      <w:pPr>
        <w:jc w:val="both"/>
      </w:pPr>
      <w:r>
        <w:rPr>
          <w:b/>
        </w:rPr>
        <w:t>Rail(s) de support et de guidage :</w:t>
      </w:r>
    </w:p>
    <w:p w14:paraId="73C87FD1" w14:textId="77777777" w:rsidR="004B2808" w:rsidRDefault="00000000">
      <w:pPr>
        <w:pStyle w:val="Author-eListParagraph"/>
        <w:numPr>
          <w:ilvl w:val="0"/>
          <w:numId w:val="195"/>
        </w:numPr>
      </w:pPr>
      <w:r>
        <w:t xml:space="preserve">Rail supérieur et profils de raccordement mural : </w:t>
      </w:r>
      <w:r>
        <w:rPr>
          <w:rStyle w:val="optioncarChar"/>
        </w:rPr>
        <w:t>anodisé</w:t>
      </w:r>
      <w:r>
        <w:t xml:space="preserve"> (par défaut)</w:t>
      </w:r>
      <w:r>
        <w:rPr>
          <w:rStyle w:val="optioncarChar"/>
        </w:rPr>
        <w:t xml:space="preserve"> / thermolaqué par poudrage polyester.</w:t>
      </w:r>
    </w:p>
    <w:p w14:paraId="6DDC737A" w14:textId="77777777" w:rsidR="004B2808" w:rsidRDefault="00000000">
      <w:pPr>
        <w:ind w:left="567"/>
        <w:jc w:val="both"/>
      </w:pPr>
      <w:r>
        <w:rPr>
          <w:b/>
        </w:rPr>
        <w:t>(soit par défaut)</w:t>
      </w:r>
    </w:p>
    <w:p w14:paraId="3D470795" w14:textId="77777777" w:rsidR="004B2808" w:rsidRDefault="00000000">
      <w:pPr>
        <w:ind w:left="567"/>
        <w:jc w:val="both"/>
      </w:pPr>
      <w:r>
        <w:rPr>
          <w:rStyle w:val="soitChar"/>
          <w:u w:val="single"/>
        </w:rPr>
        <w:t>Anodisé :</w:t>
      </w:r>
      <w:r>
        <w:rPr>
          <w:rStyle w:val="soitChar"/>
        </w:rPr>
        <w:t xml:space="preserve"> selon Qualanod épaisseur ≥ 18 μm</w:t>
      </w:r>
    </w:p>
    <w:p w14:paraId="68FAA722" w14:textId="77777777" w:rsidR="004B2808" w:rsidRDefault="00000000">
      <w:pPr>
        <w:pStyle w:val="Author-eListParagraph"/>
        <w:numPr>
          <w:ilvl w:val="0"/>
          <w:numId w:val="196"/>
        </w:numPr>
      </w:pPr>
      <w:r>
        <w:rPr>
          <w:rStyle w:val="soitChar"/>
        </w:rPr>
        <w:t xml:space="preserve">Couleur : </w:t>
      </w:r>
      <w:r>
        <w:rPr>
          <w:rStyle w:val="optioncarChar"/>
        </w:rPr>
        <w:t>naturelle</w:t>
      </w:r>
      <w:r>
        <w:t xml:space="preserve"> (par défaut)</w:t>
      </w:r>
      <w:r>
        <w:rPr>
          <w:rStyle w:val="optioncarChar"/>
        </w:rPr>
        <w:t xml:space="preserve"> / ***.</w:t>
      </w:r>
    </w:p>
    <w:p w14:paraId="72EAB28B" w14:textId="77777777" w:rsidR="004B2808" w:rsidRDefault="00000000">
      <w:pPr>
        <w:pStyle w:val="Author-eListParagraph"/>
        <w:numPr>
          <w:ilvl w:val="0"/>
          <w:numId w:val="196"/>
        </w:numPr>
      </w:pPr>
      <w:r>
        <w:rPr>
          <w:rStyle w:val="soitChar"/>
        </w:rPr>
        <w:t xml:space="preserve">Finition : </w:t>
      </w:r>
      <w:r>
        <w:rPr>
          <w:rStyle w:val="optioncarChar"/>
        </w:rPr>
        <w:t xml:space="preserve">mate </w:t>
      </w:r>
      <w:r>
        <w:t>(par défaut)</w:t>
      </w:r>
      <w:r>
        <w:rPr>
          <w:rStyle w:val="optioncarChar"/>
        </w:rPr>
        <w:t xml:space="preserve"> / ***.</w:t>
      </w:r>
    </w:p>
    <w:p w14:paraId="30D06D9E" w14:textId="77777777" w:rsidR="004B2808" w:rsidRDefault="00000000">
      <w:pPr>
        <w:ind w:left="567"/>
        <w:jc w:val="both"/>
      </w:pPr>
      <w:r>
        <w:rPr>
          <w:b/>
        </w:rPr>
        <w:t>(soit)</w:t>
      </w:r>
    </w:p>
    <w:p w14:paraId="470A0843" w14:textId="77777777" w:rsidR="004B2808" w:rsidRDefault="00000000">
      <w:pPr>
        <w:ind w:left="567"/>
        <w:jc w:val="both"/>
      </w:pPr>
      <w:r>
        <w:rPr>
          <w:rStyle w:val="soitChar"/>
          <w:u w:val="single"/>
        </w:rPr>
        <w:t>Thermolaqué par poudrage polyester :</w:t>
      </w:r>
      <w:r>
        <w:rPr>
          <w:rStyle w:val="soitChar"/>
        </w:rPr>
        <w:t xml:space="preserve"> selon Qualicoat épaisseur ≥ 60 μm</w:t>
      </w:r>
    </w:p>
    <w:p w14:paraId="66EBBF37" w14:textId="77777777" w:rsidR="004B2808" w:rsidRDefault="00000000">
      <w:pPr>
        <w:pStyle w:val="Author-eListParagraph"/>
        <w:numPr>
          <w:ilvl w:val="1"/>
          <w:numId w:val="197"/>
        </w:numPr>
      </w:pPr>
      <w:r>
        <w:rPr>
          <w:rStyle w:val="soitChar"/>
        </w:rPr>
        <w:t xml:space="preserve">Couleur : RAL n° </w:t>
      </w:r>
      <w:r>
        <w:rPr>
          <w:rStyle w:val="optioncarChar"/>
        </w:rPr>
        <w:t>***</w:t>
      </w:r>
    </w:p>
    <w:p w14:paraId="7D1388C1" w14:textId="77777777" w:rsidR="004B2808" w:rsidRDefault="00000000">
      <w:pPr>
        <w:pStyle w:val="Author-eListParagraph"/>
        <w:numPr>
          <w:ilvl w:val="1"/>
          <w:numId w:val="197"/>
        </w:numPr>
      </w:pPr>
      <w:r>
        <w:rPr>
          <w:rStyle w:val="soitChar"/>
        </w:rPr>
        <w:t xml:space="preserve">Brillance : </w:t>
      </w:r>
      <w:r>
        <w:rPr>
          <w:rStyle w:val="optioncarChar"/>
        </w:rPr>
        <w:t xml:space="preserve">70 </w:t>
      </w:r>
      <w:r>
        <w:t xml:space="preserve">(par défaut) </w:t>
      </w:r>
      <w:r>
        <w:rPr>
          <w:rStyle w:val="optioncarChar"/>
        </w:rPr>
        <w:t>/ ***</w:t>
      </w:r>
      <w:r>
        <w:rPr>
          <w:rStyle w:val="soitChar"/>
        </w:rPr>
        <w:t xml:space="preserve"> %.</w:t>
      </w:r>
    </w:p>
    <w:p w14:paraId="717243E7" w14:textId="77777777" w:rsidR="004B2808" w:rsidRDefault="00000000">
      <w:pPr>
        <w:jc w:val="both"/>
      </w:pPr>
      <w:r>
        <w:rPr>
          <w:b/>
        </w:rPr>
        <w:t>Finition des cadres des panneaux :</w:t>
      </w:r>
    </w:p>
    <w:p w14:paraId="47A3F56B" w14:textId="77777777" w:rsidR="004B2808" w:rsidRDefault="00000000">
      <w:pPr>
        <w:pStyle w:val="Author-eListParagraph"/>
        <w:numPr>
          <w:ilvl w:val="0"/>
          <w:numId w:val="198"/>
        </w:numPr>
      </w:pPr>
      <w:r>
        <w:t xml:space="preserve">Cadre de finition des panneaux : </w:t>
      </w:r>
      <w:r>
        <w:rPr>
          <w:rStyle w:val="optioncarChar"/>
        </w:rPr>
        <w:t xml:space="preserve">anodisé </w:t>
      </w:r>
      <w:r>
        <w:t>(par défaut)</w:t>
      </w:r>
      <w:r>
        <w:rPr>
          <w:rStyle w:val="optioncarChar"/>
        </w:rPr>
        <w:t xml:space="preserve"> / thermolaqué par poudrage polyester.</w:t>
      </w:r>
    </w:p>
    <w:p w14:paraId="780AF77D" w14:textId="77777777" w:rsidR="004B2808" w:rsidRDefault="00000000">
      <w:pPr>
        <w:ind w:left="567"/>
        <w:jc w:val="both"/>
      </w:pPr>
      <w:r>
        <w:rPr>
          <w:b/>
        </w:rPr>
        <w:t>(soit par défaut)</w:t>
      </w:r>
    </w:p>
    <w:p w14:paraId="57C56CA5" w14:textId="77777777" w:rsidR="004B2808" w:rsidRDefault="00000000">
      <w:pPr>
        <w:ind w:left="567"/>
        <w:jc w:val="both"/>
      </w:pPr>
      <w:r>
        <w:rPr>
          <w:rStyle w:val="soitChar"/>
          <w:u w:val="single"/>
        </w:rPr>
        <w:t>Anodisé :</w:t>
      </w:r>
      <w:r>
        <w:rPr>
          <w:rStyle w:val="soitChar"/>
        </w:rPr>
        <w:t xml:space="preserve"> selon Qualanod épaisseur ≥ 18 μm</w:t>
      </w:r>
    </w:p>
    <w:p w14:paraId="4BE5E80F" w14:textId="77777777" w:rsidR="004B2808" w:rsidRDefault="00000000">
      <w:pPr>
        <w:pStyle w:val="Author-eListParagraph"/>
        <w:numPr>
          <w:ilvl w:val="0"/>
          <w:numId w:val="199"/>
        </w:numPr>
      </w:pPr>
      <w:r>
        <w:rPr>
          <w:rStyle w:val="soitChar"/>
        </w:rPr>
        <w:t xml:space="preserve">Couleur : </w:t>
      </w:r>
      <w:r>
        <w:rPr>
          <w:rStyle w:val="optioncarChar"/>
        </w:rPr>
        <w:t>naturelle</w:t>
      </w:r>
      <w:r>
        <w:t xml:space="preserve"> (par défaut)</w:t>
      </w:r>
      <w:r>
        <w:rPr>
          <w:rStyle w:val="optioncarChar"/>
        </w:rPr>
        <w:t xml:space="preserve"> / ***</w:t>
      </w:r>
      <w:r>
        <w:rPr>
          <w:rStyle w:val="soitChar"/>
        </w:rPr>
        <w:t>.</w:t>
      </w:r>
    </w:p>
    <w:p w14:paraId="4E04536D" w14:textId="77777777" w:rsidR="004B2808" w:rsidRDefault="00000000">
      <w:pPr>
        <w:pStyle w:val="Author-eListParagraph"/>
        <w:numPr>
          <w:ilvl w:val="0"/>
          <w:numId w:val="199"/>
        </w:numPr>
      </w:pPr>
      <w:r>
        <w:rPr>
          <w:rStyle w:val="soitChar"/>
        </w:rPr>
        <w:t xml:space="preserve">Finition : </w:t>
      </w:r>
      <w:r>
        <w:rPr>
          <w:rStyle w:val="optioncarChar"/>
        </w:rPr>
        <w:t xml:space="preserve">mate </w:t>
      </w:r>
      <w:r>
        <w:t xml:space="preserve">(par défaut) </w:t>
      </w:r>
      <w:r>
        <w:rPr>
          <w:rStyle w:val="optioncarChar"/>
        </w:rPr>
        <w:t>/ ***.</w:t>
      </w:r>
    </w:p>
    <w:p w14:paraId="17015D7C" w14:textId="77777777" w:rsidR="004B2808" w:rsidRDefault="00000000">
      <w:pPr>
        <w:ind w:left="567"/>
        <w:jc w:val="both"/>
      </w:pPr>
      <w:r>
        <w:rPr>
          <w:b/>
        </w:rPr>
        <w:t>(soit)</w:t>
      </w:r>
    </w:p>
    <w:p w14:paraId="2A6C0C34" w14:textId="77777777" w:rsidR="004B2808" w:rsidRDefault="00000000">
      <w:pPr>
        <w:ind w:left="567"/>
        <w:jc w:val="both"/>
      </w:pPr>
      <w:r>
        <w:rPr>
          <w:rStyle w:val="soitChar"/>
          <w:u w:val="single"/>
        </w:rPr>
        <w:t>Thermolaqué par poudrage polyester :</w:t>
      </w:r>
      <w:r>
        <w:rPr>
          <w:rStyle w:val="soitChar"/>
        </w:rPr>
        <w:t xml:space="preserve"> selon Qualicoat épaisseur ≥ 60 μm</w:t>
      </w:r>
    </w:p>
    <w:p w14:paraId="0E1CFC89" w14:textId="77777777" w:rsidR="004B2808" w:rsidRDefault="00000000">
      <w:pPr>
        <w:pStyle w:val="Author-eListParagraph"/>
        <w:numPr>
          <w:ilvl w:val="0"/>
          <w:numId w:val="200"/>
        </w:numPr>
      </w:pPr>
      <w:r>
        <w:rPr>
          <w:rStyle w:val="soitChar"/>
        </w:rPr>
        <w:t xml:space="preserve">Couleur : RAL n° </w:t>
      </w:r>
      <w:r>
        <w:rPr>
          <w:rStyle w:val="optioncarChar"/>
        </w:rPr>
        <w:t>***</w:t>
      </w:r>
    </w:p>
    <w:p w14:paraId="0910DEDA" w14:textId="77777777" w:rsidR="004B2808" w:rsidRDefault="00000000">
      <w:pPr>
        <w:pStyle w:val="Author-eListParagraph"/>
        <w:numPr>
          <w:ilvl w:val="0"/>
          <w:numId w:val="200"/>
        </w:numPr>
      </w:pPr>
      <w:r>
        <w:rPr>
          <w:rStyle w:val="soitChar"/>
        </w:rPr>
        <w:t xml:space="preserve">Brillance : </w:t>
      </w:r>
      <w:r>
        <w:rPr>
          <w:rStyle w:val="optioncarChar"/>
        </w:rPr>
        <w:t xml:space="preserve">70 </w:t>
      </w:r>
      <w:r>
        <w:t>(par défaut)</w:t>
      </w:r>
      <w:r>
        <w:rPr>
          <w:rStyle w:val="optioncarChar"/>
        </w:rPr>
        <w:t xml:space="preserve"> / ***</w:t>
      </w:r>
      <w:r>
        <w:rPr>
          <w:rStyle w:val="soitChar"/>
        </w:rPr>
        <w:t xml:space="preserve"> %.</w:t>
      </w:r>
    </w:p>
    <w:p w14:paraId="674204D2" w14:textId="77777777" w:rsidR="004B2808" w:rsidRDefault="00000000">
      <w:pPr>
        <w:jc w:val="both"/>
      </w:pPr>
      <w:r>
        <w:rPr>
          <w:b/>
        </w:rPr>
        <w:t>Finition textile :</w:t>
      </w:r>
    </w:p>
    <w:p w14:paraId="6ABFCBE5" w14:textId="77777777" w:rsidR="004B2808" w:rsidRDefault="00000000">
      <w:pPr>
        <w:pStyle w:val="Author-eListParagraph"/>
        <w:numPr>
          <w:ilvl w:val="0"/>
          <w:numId w:val="201"/>
        </w:numPr>
        <w:jc w:val="both"/>
      </w:pPr>
      <w:r>
        <w:t xml:space="preserve">Couleur : </w:t>
      </w:r>
      <w:r>
        <w:rPr>
          <w:rStyle w:val="optioncarChar"/>
        </w:rPr>
        <w:t xml:space="preserve">à choisir dans la gamme standard du fabricant comprenant 10 teintes au minimum </w:t>
      </w:r>
      <w:r>
        <w:t>(par défaut)</w:t>
      </w:r>
      <w:r>
        <w:rPr>
          <w:rStyle w:val="optioncarChar"/>
        </w:rPr>
        <w:t xml:space="preserve"> / ***.</w:t>
      </w:r>
    </w:p>
    <w:p w14:paraId="5AFE07B3" w14:textId="77777777" w:rsidR="004B2808" w:rsidRDefault="00000000">
      <w:pPr>
        <w:pStyle w:val="Author-eListParagraph"/>
        <w:numPr>
          <w:ilvl w:val="0"/>
          <w:numId w:val="201"/>
        </w:numPr>
        <w:jc w:val="both"/>
      </w:pPr>
      <w:r>
        <w:t xml:space="preserve">Aspect : </w:t>
      </w:r>
      <w:r>
        <w:rPr>
          <w:rStyle w:val="optioncarChar"/>
        </w:rPr>
        <w:t>uni</w:t>
      </w:r>
      <w:r>
        <w:t xml:space="preserve"> (par défaut) </w:t>
      </w:r>
      <w:r>
        <w:rPr>
          <w:rStyle w:val="optioncarChar"/>
        </w:rPr>
        <w:t>/ impression de motif / gaufré / ***</w:t>
      </w:r>
      <w:r>
        <w:t>.</w:t>
      </w:r>
    </w:p>
    <w:p w14:paraId="5E7A535D" w14:textId="77777777" w:rsidR="004B2808" w:rsidRDefault="00000000">
      <w:pPr>
        <w:pStyle w:val="pheading"/>
      </w:pPr>
      <w:r>
        <w:t>EXÉCUTION / MISE EN ŒUVRE</w:t>
      </w:r>
    </w:p>
    <w:p w14:paraId="15DD01DC" w14:textId="77777777" w:rsidR="004B2808" w:rsidRDefault="00000000">
      <w:pPr>
        <w:pStyle w:val="pheading"/>
      </w:pPr>
      <w:r>
        <w:t>- Prescriptions générales</w:t>
      </w:r>
    </w:p>
    <w:p w14:paraId="5A9D1E0D" w14:textId="77777777" w:rsidR="004B2808" w:rsidRDefault="00000000">
      <w:pPr>
        <w:jc w:val="both"/>
      </w:pPr>
      <w:r>
        <w:t>La mise en œuvre et les assemblages sont exécutés conformément à la documentation technique accompagnant le produit et aux plans de détails approuvés par la direction du chantier lors de l’étude du fabricant prescrite ci-avant.</w:t>
      </w:r>
    </w:p>
    <w:p w14:paraId="5896BD5A" w14:textId="77777777" w:rsidR="004B2808" w:rsidRDefault="00000000">
      <w:pPr>
        <w:pStyle w:val="pheading"/>
      </w:pPr>
      <w:r>
        <w:t>- Échantillons</w:t>
      </w:r>
    </w:p>
    <w:p w14:paraId="29EAFD5D" w14:textId="77777777" w:rsidR="004B2808" w:rsidRDefault="00000000">
      <w:pPr>
        <w:jc w:val="both"/>
      </w:pPr>
      <w:r>
        <w:t>L’entrepreneur soumet un échantillon du système et des finitions qu’il propose à l’approbation de la direction des travaux.</w:t>
      </w:r>
    </w:p>
    <w:p w14:paraId="3706A031" w14:textId="77777777" w:rsidR="004B2808" w:rsidRDefault="00000000">
      <w:pPr>
        <w:pStyle w:val="pheading"/>
      </w:pPr>
      <w:r>
        <w:t>MESURAGE</w:t>
      </w:r>
    </w:p>
    <w:p w14:paraId="143C559D" w14:textId="77777777" w:rsidR="004B2808" w:rsidRDefault="00000000">
      <w:pPr>
        <w:pStyle w:val="pheading"/>
      </w:pPr>
      <w:r>
        <w:t>- unité de mesure:</w:t>
      </w:r>
    </w:p>
    <w:p w14:paraId="69AD2B65" w14:textId="77777777" w:rsidR="004B2808" w:rsidRDefault="00000000">
      <w:r>
        <w:t>m²</w:t>
      </w:r>
    </w:p>
    <w:p w14:paraId="3366A6D8" w14:textId="77777777" w:rsidR="004B2808" w:rsidRDefault="00000000">
      <w:pPr>
        <w:pStyle w:val="pheading"/>
      </w:pPr>
      <w:r>
        <w:lastRenderedPageBreak/>
        <w:t>- code de mesurage:</w:t>
      </w:r>
    </w:p>
    <w:p w14:paraId="041B8E8E" w14:textId="77777777" w:rsidR="004B2808" w:rsidRDefault="00000000">
      <w:pPr>
        <w:jc w:val="both"/>
      </w:pPr>
      <w:r>
        <w:t>Surface nette de panneaux à mettre en œuvre, ventilée suivant le type de panneau, des performances requises, etc...</w:t>
      </w:r>
    </w:p>
    <w:p w14:paraId="30388826" w14:textId="77777777" w:rsidR="004B2808" w:rsidRDefault="00000000">
      <w:pPr>
        <w:pStyle w:val="pheading"/>
      </w:pPr>
      <w:r>
        <w:t>- nature du marché:</w:t>
      </w:r>
    </w:p>
    <w:p w14:paraId="03CBD3E1" w14:textId="77777777" w:rsidR="004B2808" w:rsidRDefault="00000000">
      <w:r>
        <w:t>QF</w:t>
      </w:r>
    </w:p>
    <w:p w14:paraId="3D8C0973" w14:textId="77777777" w:rsidR="004B2808" w:rsidRDefault="00000000">
      <w:pPr>
        <w:pStyle w:val="Author-eSectionHeading4Numberless"/>
      </w:pPr>
      <w:bookmarkStart w:id="116" w:name="_Toc220490321"/>
      <w:r>
        <w:t>51.46 Ecrans de séparation mobiles CCTB 01.11</w:t>
      </w:r>
      <w:bookmarkEnd w:id="116"/>
    </w:p>
    <w:p w14:paraId="405348C9" w14:textId="77777777" w:rsidR="004B2808" w:rsidRDefault="00000000">
      <w:pPr>
        <w:pStyle w:val="pheading"/>
      </w:pPr>
      <w:r>
        <w:t>DESCRIPTION</w:t>
      </w:r>
    </w:p>
    <w:p w14:paraId="561C0FD9" w14:textId="77777777" w:rsidR="004B2808" w:rsidRDefault="00000000">
      <w:pPr>
        <w:pStyle w:val="pheading"/>
      </w:pPr>
      <w:r>
        <w:t>- Définition / Comprend</w:t>
      </w:r>
    </w:p>
    <w:p w14:paraId="0D98E6F4" w14:textId="77777777" w:rsidR="004B2808" w:rsidRDefault="00000000">
      <w:pPr>
        <w:jc w:val="both"/>
      </w:pPr>
      <w:r>
        <w:t>Il s’agit de la fourniture et la pose d’écrans de séparation mobiles.</w:t>
      </w:r>
    </w:p>
    <w:p w14:paraId="3DE0E06E" w14:textId="77777777" w:rsidR="004B2808" w:rsidRDefault="00000000">
      <w:pPr>
        <w:jc w:val="both"/>
      </w:pPr>
      <w:r>
        <w:t>Le travail comprend notamment :</w:t>
      </w:r>
    </w:p>
    <w:p w14:paraId="770EA1DE" w14:textId="77777777" w:rsidR="004B2808" w:rsidRDefault="00000000">
      <w:pPr>
        <w:pStyle w:val="Author-eListParagraph"/>
        <w:numPr>
          <w:ilvl w:val="0"/>
          <w:numId w:val="202"/>
        </w:numPr>
        <w:jc w:val="both"/>
      </w:pPr>
      <w:r>
        <w:t>la mise au point des dimensions des écrans en fonction des plans d’aménagement ;</w:t>
      </w:r>
    </w:p>
    <w:p w14:paraId="0764AD8D" w14:textId="77777777" w:rsidR="004B2808" w:rsidRDefault="00000000">
      <w:pPr>
        <w:pStyle w:val="Author-eListParagraph"/>
        <w:numPr>
          <w:ilvl w:val="0"/>
          <w:numId w:val="202"/>
        </w:numPr>
        <w:jc w:val="both"/>
      </w:pPr>
      <w:r>
        <w:t>la fourniture, assemblage et pose des écrans ;</w:t>
      </w:r>
    </w:p>
    <w:p w14:paraId="3C629CEA" w14:textId="77777777" w:rsidR="004B2808" w:rsidRDefault="00000000">
      <w:pPr>
        <w:pStyle w:val="Author-eListParagraph"/>
        <w:numPr>
          <w:ilvl w:val="0"/>
          <w:numId w:val="202"/>
        </w:numPr>
        <w:jc w:val="both"/>
      </w:pPr>
      <w:r>
        <w:t>l'évacuation et la gestion des déchets générés par les travaux de pose conformément à la section 07 Déchets, matériaux et éléments réemployables</w:t>
      </w:r>
    </w:p>
    <w:p w14:paraId="2E2A9AAB" w14:textId="77777777" w:rsidR="004B2808" w:rsidRDefault="00000000">
      <w:pPr>
        <w:pStyle w:val="pheading"/>
      </w:pPr>
      <w:r>
        <w:t>MATÉRIAUX</w:t>
      </w:r>
    </w:p>
    <w:p w14:paraId="337C6DE9" w14:textId="77777777" w:rsidR="004B2808" w:rsidRDefault="00000000">
      <w:pPr>
        <w:jc w:val="both"/>
      </w:pPr>
      <w:r>
        <w:t>Exigences en matière de sécurité, conformément à la norme [NBN EN 1023-2] :</w:t>
      </w:r>
    </w:p>
    <w:p w14:paraId="47914AAD" w14:textId="77777777" w:rsidR="004B2808" w:rsidRDefault="00000000">
      <w:pPr>
        <w:pStyle w:val="Author-eListParagraph"/>
        <w:numPr>
          <w:ilvl w:val="0"/>
          <w:numId w:val="203"/>
        </w:numPr>
      </w:pPr>
      <w:r>
        <w:t>Tous les coins et arêtes accessibles sont arrondis avec un rayon ≥ 2 mm</w:t>
      </w:r>
    </w:p>
    <w:p w14:paraId="2BEAB02E" w14:textId="77777777" w:rsidR="004B2808" w:rsidRDefault="00000000">
      <w:pPr>
        <w:pStyle w:val="Author-eListParagraph"/>
        <w:numPr>
          <w:ilvl w:val="0"/>
          <w:numId w:val="203"/>
        </w:numPr>
      </w:pPr>
      <w:r>
        <w:t>Les extrémités des éléments creux sont fermées ou obturées</w:t>
      </w:r>
    </w:p>
    <w:p w14:paraId="6575ACAD" w14:textId="77777777" w:rsidR="004B2808" w:rsidRDefault="00000000">
      <w:pPr>
        <w:jc w:val="both"/>
      </w:pPr>
      <w:r>
        <w:t>Conformément à la [NBN EN 1023-3] :</w:t>
      </w:r>
    </w:p>
    <w:p w14:paraId="6E6E4C20" w14:textId="77777777" w:rsidR="004B2808" w:rsidRDefault="00000000">
      <w:pPr>
        <w:pStyle w:val="Author-eListParagraph"/>
        <w:numPr>
          <w:ilvl w:val="0"/>
          <w:numId w:val="204"/>
        </w:numPr>
      </w:pPr>
      <w:r>
        <w:t>Essai de stabilité : la cloison ne peut pas basculer</w:t>
      </w:r>
    </w:p>
    <w:p w14:paraId="186B5B51" w14:textId="77777777" w:rsidR="004B2808" w:rsidRDefault="00000000">
      <w:pPr>
        <w:pStyle w:val="Author-eListParagraph"/>
        <w:numPr>
          <w:ilvl w:val="0"/>
          <w:numId w:val="204"/>
        </w:numPr>
      </w:pPr>
      <w:r>
        <w:t>Essai de résistance : aucune rupture d’éléments, d’assemblages ni détérioration, ni desserrement susceptible de nuire à la sécurité ni aux fonctions d’assemblage de cloisons.</w:t>
      </w:r>
    </w:p>
    <w:p w14:paraId="699AF748" w14:textId="77777777" w:rsidR="004B2808" w:rsidRDefault="00000000">
      <w:pPr>
        <w:jc w:val="both"/>
      </w:pPr>
      <w:r>
        <w:rPr>
          <w:b/>
        </w:rPr>
        <w:t>Aspects environnementaux :</w:t>
      </w:r>
    </w:p>
    <w:p w14:paraId="790D8295" w14:textId="77777777" w:rsidR="004B2808" w:rsidRDefault="00000000">
      <w:pPr>
        <w:jc w:val="both"/>
      </w:pPr>
      <w:r>
        <w:t>Les documents joints à la fiche technique des matériaux mis en œuvre comprennent l’ensemble des informations précisant les caractéristiques environnementales des produits proposés tels que :</w:t>
      </w:r>
    </w:p>
    <w:p w14:paraId="165790E2" w14:textId="77777777" w:rsidR="004B2808" w:rsidRDefault="00000000">
      <w:pPr>
        <w:pStyle w:val="Author-eListParagraph"/>
        <w:numPr>
          <w:ilvl w:val="0"/>
          <w:numId w:val="205"/>
        </w:numPr>
        <w:jc w:val="both"/>
      </w:pPr>
      <w:r>
        <w:t>EPD Déclaration environnementale de produit ;</w:t>
      </w:r>
    </w:p>
    <w:p w14:paraId="385DE03B" w14:textId="77777777" w:rsidR="004B2808" w:rsidRDefault="00000000">
      <w:pPr>
        <w:pStyle w:val="Author-eListParagraph"/>
        <w:numPr>
          <w:ilvl w:val="0"/>
          <w:numId w:val="205"/>
        </w:numPr>
        <w:jc w:val="both"/>
      </w:pPr>
      <w:r>
        <w:t>La filière de recyclage des déchets produits lors de la fabrication et lors de la mise en œuvre ;</w:t>
      </w:r>
    </w:p>
    <w:p w14:paraId="046FFEC5" w14:textId="77777777" w:rsidR="004B2808" w:rsidRDefault="00000000">
      <w:pPr>
        <w:pStyle w:val="Author-eListParagraph"/>
        <w:numPr>
          <w:ilvl w:val="0"/>
          <w:numId w:val="205"/>
        </w:numPr>
        <w:jc w:val="both"/>
      </w:pPr>
      <w:r>
        <w:t>Le pourcentage entrant dans la fabrication du produit en matériaux bio-sourcés et/ou en matériaux recyclés ;</w:t>
      </w:r>
    </w:p>
    <w:p w14:paraId="578D7C0B" w14:textId="77777777" w:rsidR="004B2808" w:rsidRDefault="00000000">
      <w:pPr>
        <w:pStyle w:val="Author-eListParagraph"/>
        <w:numPr>
          <w:ilvl w:val="0"/>
          <w:numId w:val="205"/>
        </w:numPr>
        <w:jc w:val="both"/>
      </w:pPr>
      <w:r>
        <w:t>Le caractère recyclable des matériaux composant les panneaux.</w:t>
      </w:r>
    </w:p>
    <w:p w14:paraId="69DC9FD7" w14:textId="77777777" w:rsidR="004B2808" w:rsidRDefault="00000000">
      <w:pPr>
        <w:pStyle w:val="pheading"/>
      </w:pPr>
      <w:r>
        <w:t>EXÉCUTION / MISE EN ŒUVRE</w:t>
      </w:r>
    </w:p>
    <w:p w14:paraId="4FECDFE2" w14:textId="77777777" w:rsidR="004B2808" w:rsidRDefault="00000000">
      <w:pPr>
        <w:jc w:val="both"/>
      </w:pPr>
      <w:r>
        <w:t>Les panneaux sont placés conformément aux plans d’implantation.</w:t>
      </w:r>
    </w:p>
    <w:p w14:paraId="4D55C6B4" w14:textId="77777777" w:rsidR="004B2808" w:rsidRDefault="00000000">
      <w:pPr>
        <w:jc w:val="both"/>
      </w:pPr>
      <w:r>
        <w:t xml:space="preserve">Lors de la livraison et pose, l’entrepreneur met en place toutes les protections de parois et sols </w:t>
      </w:r>
      <w:r>
        <w:rPr>
          <w:rStyle w:val="optioncarChar"/>
        </w:rPr>
        <w:t>sur le trajet parcouru / suivant exigences de la direction des travaux.</w:t>
      </w:r>
    </w:p>
    <w:p w14:paraId="6EB4CCEA" w14:textId="77777777" w:rsidR="004B2808" w:rsidRDefault="00000000">
      <w:pPr>
        <w:jc w:val="both"/>
      </w:pPr>
      <w:r>
        <w:t>Tous emballages /et matériaux non utilisés sont évacués immédiatement.</w:t>
      </w:r>
    </w:p>
    <w:p w14:paraId="292631EF" w14:textId="77777777" w:rsidR="004B2808" w:rsidRDefault="00000000">
      <w:pPr>
        <w:pStyle w:val="pheading"/>
      </w:pPr>
      <w:r>
        <w:t>DOCUMENTS DE RÉFÉRENCE</w:t>
      </w:r>
    </w:p>
    <w:p w14:paraId="39565A4B" w14:textId="77777777" w:rsidR="004B2808" w:rsidRDefault="00000000">
      <w:pPr>
        <w:pStyle w:val="pheading"/>
      </w:pPr>
      <w:r>
        <w:t>- Matériau</w:t>
      </w:r>
    </w:p>
    <w:p w14:paraId="40D2B920" w14:textId="77777777" w:rsidR="004B2808" w:rsidRDefault="00000000">
      <w:r>
        <w:t>[NBN EN 1023-1, Mobilier de bureau - Cloisons - Partie 1: Dimensions ]</w:t>
      </w:r>
    </w:p>
    <w:p w14:paraId="6F14DE35" w14:textId="77777777" w:rsidR="004B2808" w:rsidRDefault="00000000">
      <w:r>
        <w:t>[NBN EN 1023-2, Mobilier de bureau - Cloisons - Partie 2: Exigences mécaniques de sécurité]</w:t>
      </w:r>
    </w:p>
    <w:p w14:paraId="0E9D9270" w14:textId="77777777" w:rsidR="004B2808" w:rsidRDefault="00000000">
      <w:r>
        <w:t>[NBN EN 1023-3, Mobilier de bureau - Cloisons - Partie 3: Méthodes d'essai ]</w:t>
      </w:r>
    </w:p>
    <w:p w14:paraId="4E079DD7" w14:textId="77777777" w:rsidR="004B2808" w:rsidRDefault="00000000">
      <w:pPr>
        <w:pStyle w:val="Author-eSectionHeading5Numberless"/>
      </w:pPr>
      <w:bookmarkStart w:id="117" w:name="_Toc220490322"/>
      <w:r>
        <w:t>51.46.1 Ecran de séparation mobiles métalliques CCTB 01.11</w:t>
      </w:r>
      <w:bookmarkEnd w:id="117"/>
    </w:p>
    <w:p w14:paraId="153F2211" w14:textId="77777777" w:rsidR="004B2808" w:rsidRDefault="00000000">
      <w:pPr>
        <w:pStyle w:val="Author-eSectionHeading6Numberless"/>
      </w:pPr>
      <w:bookmarkStart w:id="118" w:name="_Toc220490323"/>
      <w:r>
        <w:lastRenderedPageBreak/>
        <w:t>51.46.1a Ecran de séparation mobiles métalliques CCTB 01.11</w:t>
      </w:r>
      <w:bookmarkEnd w:id="118"/>
    </w:p>
    <w:p w14:paraId="320A9B4D" w14:textId="77777777" w:rsidR="004B2808" w:rsidRDefault="00000000">
      <w:pPr>
        <w:pStyle w:val="pheading"/>
      </w:pPr>
      <w:r>
        <w:t>DESCRIPTION</w:t>
      </w:r>
    </w:p>
    <w:p w14:paraId="5BF4AA7E" w14:textId="77777777" w:rsidR="004B2808" w:rsidRDefault="00000000">
      <w:pPr>
        <w:pStyle w:val="pheading"/>
      </w:pPr>
      <w:r>
        <w:t>- Définition / Comprend</w:t>
      </w:r>
    </w:p>
    <w:p w14:paraId="543D9597" w14:textId="77777777" w:rsidR="004B2808" w:rsidRDefault="00000000">
      <w:pPr>
        <w:jc w:val="both"/>
      </w:pPr>
      <w:r>
        <w:t>Il s’agit de la fourniture et la pose d’écrans de séparation mobiles métalliques.</w:t>
      </w:r>
    </w:p>
    <w:p w14:paraId="59A09852" w14:textId="77777777" w:rsidR="004B2808" w:rsidRDefault="00000000">
      <w:pPr>
        <w:pStyle w:val="pheading"/>
      </w:pPr>
      <w:r>
        <w:t>MATÉRIAUX</w:t>
      </w:r>
    </w:p>
    <w:p w14:paraId="01007329" w14:textId="77777777" w:rsidR="004B2808" w:rsidRDefault="00000000">
      <w:pPr>
        <w:pStyle w:val="pheading"/>
      </w:pPr>
      <w:r>
        <w:t>- Caractéristiques générales</w:t>
      </w:r>
    </w:p>
    <w:p w14:paraId="094E988E" w14:textId="77777777" w:rsidR="004B2808" w:rsidRDefault="00000000">
      <w:pPr>
        <w:jc w:val="both"/>
      </w:pPr>
      <w:r>
        <w:t>Écran de séparation mobile métallique</w:t>
      </w:r>
    </w:p>
    <w:p w14:paraId="273F3CF5" w14:textId="77777777" w:rsidR="004B2808" w:rsidRDefault="00000000">
      <w:pPr>
        <w:pStyle w:val="Author-eListParagraph"/>
        <w:numPr>
          <w:ilvl w:val="0"/>
          <w:numId w:val="206"/>
        </w:numPr>
      </w:pPr>
      <w:r>
        <w:t xml:space="preserve">Hauteur : </w:t>
      </w:r>
      <w:r>
        <w:rPr>
          <w:rStyle w:val="optioncarChar"/>
        </w:rPr>
        <w:t xml:space="preserve">1800 </w:t>
      </w:r>
      <w:r>
        <w:t>(par défaut)</w:t>
      </w:r>
      <w:r>
        <w:rPr>
          <w:rStyle w:val="optioncarChar"/>
        </w:rPr>
        <w:t xml:space="preserve"> / 1500 / 1600 / 2000 / ***</w:t>
      </w:r>
      <w:r>
        <w:t xml:space="preserve"> mm</w:t>
      </w:r>
    </w:p>
    <w:p w14:paraId="401238EA" w14:textId="77777777" w:rsidR="004B2808" w:rsidRDefault="00000000">
      <w:pPr>
        <w:pStyle w:val="Author-eListParagraph"/>
        <w:numPr>
          <w:ilvl w:val="0"/>
          <w:numId w:val="206"/>
        </w:numPr>
      </w:pPr>
      <w:r>
        <w:t xml:space="preserve">Largeur : </w:t>
      </w:r>
      <w:r>
        <w:rPr>
          <w:rStyle w:val="optioncarChar"/>
        </w:rPr>
        <w:t>1200</w:t>
      </w:r>
      <w:r>
        <w:t xml:space="preserve"> (par défaut)</w:t>
      </w:r>
      <w:r>
        <w:rPr>
          <w:rStyle w:val="optioncarChar"/>
        </w:rPr>
        <w:t xml:space="preserve"> / 1000 / 800 / ***</w:t>
      </w:r>
      <w:r>
        <w:t xml:space="preserve"> mm</w:t>
      </w:r>
    </w:p>
    <w:p w14:paraId="161E4A28" w14:textId="77777777" w:rsidR="004B2808" w:rsidRDefault="00000000">
      <w:pPr>
        <w:pStyle w:val="Author-eListParagraph"/>
        <w:numPr>
          <w:ilvl w:val="0"/>
          <w:numId w:val="206"/>
        </w:numPr>
      </w:pPr>
      <w:r>
        <w:t xml:space="preserve">Possibilité de fixation des écrans entre eux : </w:t>
      </w:r>
      <w:r>
        <w:rPr>
          <w:rStyle w:val="optioncarChar"/>
        </w:rPr>
        <w:t>oui / non</w:t>
      </w:r>
    </w:p>
    <w:p w14:paraId="230F93EF" w14:textId="77777777" w:rsidR="004B2808" w:rsidRDefault="00000000">
      <w:pPr>
        <w:pStyle w:val="Author-eListParagraph"/>
        <w:numPr>
          <w:ilvl w:val="0"/>
          <w:numId w:val="206"/>
        </w:numPr>
      </w:pPr>
      <w:r>
        <w:t xml:space="preserve">Réaction au feu suivant [NBN EN 13501-1] : </w:t>
      </w:r>
      <w:r>
        <w:rPr>
          <w:rStyle w:val="optioncarChar"/>
        </w:rPr>
        <w:t xml:space="preserve">A1 </w:t>
      </w:r>
      <w:r>
        <w:t xml:space="preserve">(par défaut) </w:t>
      </w:r>
      <w:r>
        <w:rPr>
          <w:rStyle w:val="optioncarChar"/>
        </w:rPr>
        <w:t>/ ***</w:t>
      </w:r>
    </w:p>
    <w:p w14:paraId="27AB0288" w14:textId="77777777" w:rsidR="004B2808" w:rsidRDefault="00000000">
      <w:pPr>
        <w:jc w:val="both"/>
      </w:pPr>
      <w:r>
        <w:t xml:space="preserve">Les écrans sont fixés : </w:t>
      </w:r>
      <w:r>
        <w:rPr>
          <w:rStyle w:val="optioncarChar"/>
        </w:rPr>
        <w:t>entre montants / sur pieds</w:t>
      </w:r>
    </w:p>
    <w:p w14:paraId="668CD28D" w14:textId="77777777" w:rsidR="004B2808" w:rsidRDefault="00000000">
      <w:pPr>
        <w:jc w:val="both"/>
      </w:pPr>
      <w:r>
        <w:rPr>
          <w:b/>
        </w:rPr>
        <w:t>(soit)</w:t>
      </w:r>
    </w:p>
    <w:p w14:paraId="43765F70" w14:textId="77777777" w:rsidR="004B2808" w:rsidRDefault="00000000">
      <w:pPr>
        <w:jc w:val="both"/>
      </w:pPr>
      <w:r>
        <w:rPr>
          <w:rStyle w:val="soitChar"/>
          <w:u w:val="single"/>
        </w:rPr>
        <w:t>Entre montants :</w:t>
      </w:r>
    </w:p>
    <w:p w14:paraId="2F381AF7" w14:textId="77777777" w:rsidR="004B2808" w:rsidRDefault="00000000">
      <w:pPr>
        <w:pStyle w:val="Author-eListParagraph"/>
        <w:numPr>
          <w:ilvl w:val="0"/>
          <w:numId w:val="207"/>
        </w:numPr>
      </w:pPr>
      <w:r>
        <w:rPr>
          <w:rStyle w:val="soitChar"/>
        </w:rPr>
        <w:t xml:space="preserve">Matériau : </w:t>
      </w:r>
      <w:r>
        <w:rPr>
          <w:rStyle w:val="optioncarChar"/>
        </w:rPr>
        <w:t>aluminium thermolaqué (par défaut) / aluminium anodisé / acier finition époxy / inox / ***</w:t>
      </w:r>
    </w:p>
    <w:p w14:paraId="166F2FF4" w14:textId="77777777" w:rsidR="004B2808" w:rsidRDefault="00000000">
      <w:pPr>
        <w:pStyle w:val="Author-eListParagraph"/>
        <w:numPr>
          <w:ilvl w:val="0"/>
          <w:numId w:val="207"/>
        </w:numPr>
      </w:pPr>
      <w:r>
        <w:rPr>
          <w:rStyle w:val="soitChar"/>
        </w:rPr>
        <w:t>Section :  </w:t>
      </w:r>
      <w:r>
        <w:rPr>
          <w:rStyle w:val="optioncarChar"/>
        </w:rPr>
        <w:t xml:space="preserve">± 60 x 60 </w:t>
      </w:r>
      <w:r>
        <w:t>(par défaut)</w:t>
      </w:r>
      <w:r>
        <w:rPr>
          <w:rStyle w:val="optioncarChar"/>
        </w:rPr>
        <w:t xml:space="preserve"> / ± 50 x 50 / ***</w:t>
      </w:r>
      <w:r>
        <w:rPr>
          <w:rStyle w:val="soitChar"/>
        </w:rPr>
        <w:t xml:space="preserve"> mm</w:t>
      </w:r>
    </w:p>
    <w:p w14:paraId="428F5C49" w14:textId="77777777" w:rsidR="004B2808" w:rsidRDefault="00000000">
      <w:pPr>
        <w:pStyle w:val="Author-eListParagraph"/>
        <w:numPr>
          <w:ilvl w:val="0"/>
          <w:numId w:val="207"/>
        </w:numPr>
      </w:pPr>
      <w:r>
        <w:rPr>
          <w:rStyle w:val="soitChar"/>
        </w:rPr>
        <w:t>Teinte au choix de la direction des travaux </w:t>
      </w:r>
    </w:p>
    <w:p w14:paraId="10D442A6" w14:textId="77777777" w:rsidR="004B2808" w:rsidRDefault="00000000">
      <w:pPr>
        <w:pStyle w:val="Author-eListParagraph"/>
        <w:numPr>
          <w:ilvl w:val="0"/>
          <w:numId w:val="207"/>
        </w:numPr>
      </w:pPr>
      <w:r>
        <w:rPr>
          <w:rStyle w:val="soitChar"/>
        </w:rPr>
        <w:t xml:space="preserve">Base : </w:t>
      </w:r>
      <w:r>
        <w:rPr>
          <w:rStyle w:val="optioncarChar"/>
        </w:rPr>
        <w:t>T / en V / piats / sur roulettes avec frein</w:t>
      </w:r>
    </w:p>
    <w:p w14:paraId="3A0DA3E3" w14:textId="77777777" w:rsidR="004B2808" w:rsidRDefault="00000000">
      <w:pPr>
        <w:pStyle w:val="Author-eListParagraph"/>
        <w:numPr>
          <w:ilvl w:val="0"/>
          <w:numId w:val="207"/>
        </w:numPr>
      </w:pPr>
      <w:r>
        <w:rPr>
          <w:rStyle w:val="soitChar"/>
        </w:rPr>
        <w:t xml:space="preserve">Fixation des panneaux entre eux : </w:t>
      </w:r>
      <w:r>
        <w:rPr>
          <w:rStyle w:val="optioncarChar"/>
        </w:rPr>
        <w:t>oui / non</w:t>
      </w:r>
    </w:p>
    <w:p w14:paraId="3854FD2E" w14:textId="77777777" w:rsidR="004B2808" w:rsidRDefault="00000000">
      <w:pPr>
        <w:jc w:val="both"/>
      </w:pPr>
      <w:r>
        <w:rPr>
          <w:b/>
        </w:rPr>
        <w:t>(soit)</w:t>
      </w:r>
    </w:p>
    <w:p w14:paraId="2F818CA7" w14:textId="77777777" w:rsidR="004B2808" w:rsidRDefault="00000000">
      <w:pPr>
        <w:jc w:val="both"/>
      </w:pPr>
      <w:r>
        <w:rPr>
          <w:rStyle w:val="soitChar"/>
          <w:u w:val="single"/>
        </w:rPr>
        <w:t>Sur pieds :</w:t>
      </w:r>
    </w:p>
    <w:p w14:paraId="17FDAC53" w14:textId="77777777" w:rsidR="004B2808" w:rsidRDefault="00000000">
      <w:pPr>
        <w:pStyle w:val="Author-eListParagraph"/>
        <w:numPr>
          <w:ilvl w:val="0"/>
          <w:numId w:val="208"/>
        </w:numPr>
      </w:pPr>
      <w:r>
        <w:rPr>
          <w:rStyle w:val="soitChar"/>
        </w:rPr>
        <w:t xml:space="preserve">Matériau : </w:t>
      </w:r>
      <w:r>
        <w:rPr>
          <w:rStyle w:val="optioncarChar"/>
        </w:rPr>
        <w:t>aluminium thermolaqué</w:t>
      </w:r>
      <w:r>
        <w:t xml:space="preserve"> (par défaut)</w:t>
      </w:r>
      <w:r>
        <w:rPr>
          <w:rStyle w:val="optioncarChar"/>
        </w:rPr>
        <w:t xml:space="preserve"> / aluminium anodisé / acier finition époxy / inox / ***</w:t>
      </w:r>
    </w:p>
    <w:p w14:paraId="79C8B4D4" w14:textId="77777777" w:rsidR="004B2808" w:rsidRDefault="00000000">
      <w:pPr>
        <w:pStyle w:val="Author-eListParagraph"/>
        <w:numPr>
          <w:ilvl w:val="0"/>
          <w:numId w:val="208"/>
        </w:numPr>
      </w:pPr>
      <w:r>
        <w:rPr>
          <w:rStyle w:val="soitChar"/>
        </w:rPr>
        <w:t xml:space="preserve">Hauteur : </w:t>
      </w:r>
      <w:r>
        <w:rPr>
          <w:rStyle w:val="optioncarChar"/>
        </w:rPr>
        <w:t xml:space="preserve">± 100 </w:t>
      </w:r>
      <w:r>
        <w:t>(par défaut)</w:t>
      </w:r>
      <w:r>
        <w:rPr>
          <w:rStyle w:val="optioncarChar"/>
        </w:rPr>
        <w:t xml:space="preserve"> / ± 50 / ***</w:t>
      </w:r>
      <w:r>
        <w:rPr>
          <w:rStyle w:val="soitChar"/>
        </w:rPr>
        <w:t xml:space="preserve"> mm</w:t>
      </w:r>
    </w:p>
    <w:p w14:paraId="23CE3090" w14:textId="77777777" w:rsidR="004B2808" w:rsidRDefault="00000000">
      <w:pPr>
        <w:pStyle w:val="Author-eListParagraph"/>
        <w:numPr>
          <w:ilvl w:val="0"/>
          <w:numId w:val="208"/>
        </w:numPr>
      </w:pPr>
      <w:r>
        <w:rPr>
          <w:rStyle w:val="soitChar"/>
        </w:rPr>
        <w:t>Teinte : au choix de la direction des travaux</w:t>
      </w:r>
    </w:p>
    <w:p w14:paraId="3829CE6B" w14:textId="77777777" w:rsidR="004B2808" w:rsidRDefault="00000000">
      <w:pPr>
        <w:pStyle w:val="Author-eListParagraph"/>
        <w:numPr>
          <w:ilvl w:val="0"/>
          <w:numId w:val="208"/>
        </w:numPr>
      </w:pPr>
      <w:r>
        <w:rPr>
          <w:rStyle w:val="soitChar"/>
        </w:rPr>
        <w:t xml:space="preserve">Forme : </w:t>
      </w:r>
      <w:r>
        <w:rPr>
          <w:rStyle w:val="optioncarChar"/>
        </w:rPr>
        <w:t>T / en V / piats / tubulaires / sur roulettes avec frein</w:t>
      </w:r>
    </w:p>
    <w:p w14:paraId="36E0AB00" w14:textId="77777777" w:rsidR="004B2808" w:rsidRDefault="00000000">
      <w:pPr>
        <w:pStyle w:val="Author-eListParagraph"/>
        <w:numPr>
          <w:ilvl w:val="0"/>
          <w:numId w:val="208"/>
        </w:numPr>
      </w:pPr>
      <w:r>
        <w:rPr>
          <w:rStyle w:val="soitChar"/>
        </w:rPr>
        <w:t xml:space="preserve">Fixation des panneaux entre eux : </w:t>
      </w:r>
      <w:r>
        <w:rPr>
          <w:rStyle w:val="optioncarChar"/>
        </w:rPr>
        <w:t>oui / non</w:t>
      </w:r>
    </w:p>
    <w:p w14:paraId="640CE774" w14:textId="77777777" w:rsidR="004B2808" w:rsidRDefault="004B2808"/>
    <w:p w14:paraId="5E183FC8" w14:textId="77777777" w:rsidR="004B2808" w:rsidRDefault="00000000">
      <w:pPr>
        <w:jc w:val="both"/>
      </w:pPr>
      <w:r>
        <w:t xml:space="preserve">Panneaux de remplissage : </w:t>
      </w:r>
      <w:r>
        <w:rPr>
          <w:rStyle w:val="optioncarChar"/>
        </w:rPr>
        <w:t xml:space="preserve">tôle pleine </w:t>
      </w:r>
      <w:r>
        <w:t>(par défaut)</w:t>
      </w:r>
      <w:r>
        <w:rPr>
          <w:rStyle w:val="optioncarChar"/>
        </w:rPr>
        <w:t xml:space="preserve"> / tôle perforée / métal déployé / ***</w:t>
      </w:r>
    </w:p>
    <w:p w14:paraId="6353B20C" w14:textId="77777777" w:rsidR="004B2808" w:rsidRDefault="00000000">
      <w:pPr>
        <w:pStyle w:val="Author-eListParagraph"/>
        <w:numPr>
          <w:ilvl w:val="0"/>
          <w:numId w:val="209"/>
        </w:numPr>
      </w:pPr>
      <w:r>
        <w:t xml:space="preserve">Cadre : </w:t>
      </w:r>
      <w:r>
        <w:rPr>
          <w:rStyle w:val="optioncarChar"/>
        </w:rPr>
        <w:t>non / oui</w:t>
      </w:r>
    </w:p>
    <w:p w14:paraId="1CE260C3" w14:textId="77777777" w:rsidR="004B2808" w:rsidRDefault="00000000">
      <w:pPr>
        <w:pStyle w:val="Author-eListParagraph"/>
        <w:numPr>
          <w:ilvl w:val="0"/>
          <w:numId w:val="209"/>
        </w:numPr>
      </w:pPr>
      <w:r>
        <w:t xml:space="preserve">Matériau : </w:t>
      </w:r>
      <w:r>
        <w:rPr>
          <w:rStyle w:val="optioncarChar"/>
        </w:rPr>
        <w:t xml:space="preserve">aluminium thermolaqué </w:t>
      </w:r>
      <w:r>
        <w:t xml:space="preserve">(par défaut) </w:t>
      </w:r>
      <w:r>
        <w:rPr>
          <w:rStyle w:val="optioncarChar"/>
        </w:rPr>
        <w:t>/ aluminium anodisé / acier finition époxy / inox / ***</w:t>
      </w:r>
    </w:p>
    <w:p w14:paraId="33A6C99F" w14:textId="77777777" w:rsidR="004B2808" w:rsidRDefault="00000000">
      <w:pPr>
        <w:pStyle w:val="Author-eListParagraph"/>
        <w:numPr>
          <w:ilvl w:val="0"/>
          <w:numId w:val="209"/>
        </w:numPr>
      </w:pPr>
      <w:r>
        <w:t xml:space="preserve">Épaisseur : </w:t>
      </w:r>
      <w:r>
        <w:rPr>
          <w:rStyle w:val="optioncarChar"/>
        </w:rPr>
        <w:t>0,75 / 1 / 3 / ***</w:t>
      </w:r>
      <w:r>
        <w:t xml:space="preserve"> mm</w:t>
      </w:r>
    </w:p>
    <w:p w14:paraId="209195C1" w14:textId="77777777" w:rsidR="004B2808" w:rsidRDefault="00000000">
      <w:pPr>
        <w:pStyle w:val="Author-eListParagraph"/>
        <w:numPr>
          <w:ilvl w:val="0"/>
          <w:numId w:val="209"/>
        </w:numPr>
      </w:pPr>
      <w:r>
        <w:t>Teinte au choix de la direction des travaux</w:t>
      </w:r>
    </w:p>
    <w:p w14:paraId="0C2AE169" w14:textId="77777777" w:rsidR="004B2808" w:rsidRDefault="00000000">
      <w:pPr>
        <w:jc w:val="both"/>
      </w:pPr>
      <w:r>
        <w:rPr>
          <w:b/>
        </w:rPr>
        <w:t>Aspects environnementaux :</w:t>
      </w:r>
    </w:p>
    <w:p w14:paraId="641639E1" w14:textId="77777777" w:rsidR="004B2808" w:rsidRDefault="00000000">
      <w:pPr>
        <w:pStyle w:val="Author-eListParagraph"/>
        <w:numPr>
          <w:ilvl w:val="0"/>
          <w:numId w:val="210"/>
        </w:numPr>
        <w:jc w:val="both"/>
      </w:pPr>
      <w:r>
        <w:t xml:space="preserve">Matériaux recyclés entrant dans la fabrication du produit : </w:t>
      </w:r>
      <w:r>
        <w:rPr>
          <w:rStyle w:val="optioncarChar"/>
        </w:rPr>
        <w:t>oui / non</w:t>
      </w:r>
    </w:p>
    <w:p w14:paraId="43B76A8B" w14:textId="77777777" w:rsidR="004B2808" w:rsidRDefault="00000000">
      <w:pPr>
        <w:pStyle w:val="Author-eListParagraph"/>
        <w:numPr>
          <w:ilvl w:val="0"/>
          <w:numId w:val="210"/>
        </w:numPr>
        <w:jc w:val="both"/>
      </w:pPr>
      <w:r>
        <w:t>Matériaux disposant d’un label suivant prescriptions du 02.42.6 Labels environnementaux :</w:t>
      </w:r>
      <w:r>
        <w:rPr>
          <w:rStyle w:val="optioncarChar"/>
        </w:rPr>
        <w:t xml:space="preserve"> oui / non</w:t>
      </w:r>
    </w:p>
    <w:p w14:paraId="6E7F2F5C" w14:textId="77777777" w:rsidR="004B2808" w:rsidRDefault="00000000">
      <w:pPr>
        <w:pStyle w:val="pheading"/>
      </w:pPr>
      <w:r>
        <w:t>DOCUMENTS DE RÉFÉRENCE COMPLÉMENTAIRES</w:t>
      </w:r>
    </w:p>
    <w:p w14:paraId="2048C699" w14:textId="77777777" w:rsidR="004B2808" w:rsidRDefault="00000000">
      <w:pPr>
        <w:pStyle w:val="pheading"/>
      </w:pPr>
      <w:r>
        <w:t>- Matériau</w:t>
      </w:r>
    </w:p>
    <w:p w14:paraId="22F79DE5" w14:textId="77777777" w:rsidR="004B2808" w:rsidRDefault="00000000">
      <w:r>
        <w:t>[NBN EN 13501-1, Classement au feu des produits et éléments de construction - Partie 1: Classement à partir des données d'essais de réaction au feu]</w:t>
      </w:r>
    </w:p>
    <w:p w14:paraId="10712A85" w14:textId="77777777" w:rsidR="004B2808" w:rsidRDefault="00000000">
      <w:pPr>
        <w:pStyle w:val="pheading"/>
      </w:pPr>
      <w:r>
        <w:t>MESURAGE</w:t>
      </w:r>
    </w:p>
    <w:p w14:paraId="6078D900" w14:textId="77777777" w:rsidR="004B2808" w:rsidRDefault="00000000">
      <w:pPr>
        <w:pStyle w:val="pheading"/>
      </w:pPr>
      <w:r>
        <w:lastRenderedPageBreak/>
        <w:t>- unité de mesure:</w:t>
      </w:r>
    </w:p>
    <w:p w14:paraId="1729C70B" w14:textId="77777777" w:rsidR="004B2808" w:rsidRDefault="00000000">
      <w:r>
        <w:t>pc</w:t>
      </w:r>
    </w:p>
    <w:p w14:paraId="38C5B601" w14:textId="77777777" w:rsidR="004B2808" w:rsidRDefault="00000000">
      <w:pPr>
        <w:pStyle w:val="pheading"/>
      </w:pPr>
      <w:r>
        <w:t>- code de mesurage:</w:t>
      </w:r>
    </w:p>
    <w:p w14:paraId="13E4295F" w14:textId="77777777" w:rsidR="004B2808" w:rsidRDefault="00000000">
      <w:r>
        <w:t>Quantité nette : à la pièce, distinction faite du type et des dimensions</w:t>
      </w:r>
    </w:p>
    <w:p w14:paraId="3313CF4B" w14:textId="77777777" w:rsidR="004B2808" w:rsidRDefault="00000000">
      <w:pPr>
        <w:pStyle w:val="pheading"/>
      </w:pPr>
      <w:r>
        <w:t>- nature du marché:</w:t>
      </w:r>
    </w:p>
    <w:p w14:paraId="1A04496A" w14:textId="77777777" w:rsidR="004B2808" w:rsidRDefault="00000000">
      <w:r>
        <w:t>QF</w:t>
      </w:r>
    </w:p>
    <w:p w14:paraId="318120D4" w14:textId="77777777" w:rsidR="004B2808" w:rsidRDefault="00000000">
      <w:pPr>
        <w:pStyle w:val="Author-eSectionHeading5Numberless"/>
      </w:pPr>
      <w:bookmarkStart w:id="119" w:name="_Toc220490324"/>
      <w:r>
        <w:t>51.46.2 Ecran de séparation mobiles synthétiques et composites CCTB 01.11</w:t>
      </w:r>
      <w:bookmarkEnd w:id="119"/>
    </w:p>
    <w:p w14:paraId="41D53D22" w14:textId="77777777" w:rsidR="004B2808" w:rsidRDefault="00000000">
      <w:pPr>
        <w:pStyle w:val="Author-eSectionHeading6Numberless"/>
      </w:pPr>
      <w:bookmarkStart w:id="120" w:name="_Toc220490325"/>
      <w:r>
        <w:t>51.46.2a Ecran de séparation mobiles synthétiques et composites CCTB 01.11</w:t>
      </w:r>
      <w:bookmarkEnd w:id="120"/>
    </w:p>
    <w:p w14:paraId="2C970C35" w14:textId="77777777" w:rsidR="004B2808" w:rsidRDefault="00000000">
      <w:pPr>
        <w:pStyle w:val="pheading"/>
      </w:pPr>
      <w:r>
        <w:t>DESCRIPTION</w:t>
      </w:r>
    </w:p>
    <w:p w14:paraId="39BC1257" w14:textId="77777777" w:rsidR="004B2808" w:rsidRDefault="00000000">
      <w:pPr>
        <w:pStyle w:val="pheading"/>
      </w:pPr>
      <w:r>
        <w:t>- Définition / Comprend</w:t>
      </w:r>
    </w:p>
    <w:p w14:paraId="7F185936" w14:textId="77777777" w:rsidR="004B2808" w:rsidRDefault="00000000">
      <w:pPr>
        <w:jc w:val="both"/>
      </w:pPr>
      <w:r>
        <w:t>Il s’agit de la fourniture et la pose de séparation mobiles synthétiques et composites.</w:t>
      </w:r>
    </w:p>
    <w:p w14:paraId="64236301" w14:textId="77777777" w:rsidR="004B2808" w:rsidRDefault="00000000">
      <w:pPr>
        <w:pStyle w:val="pheading"/>
      </w:pPr>
      <w:r>
        <w:t>MATÉRIAUX</w:t>
      </w:r>
    </w:p>
    <w:p w14:paraId="3C99F6E7" w14:textId="77777777" w:rsidR="004B2808" w:rsidRDefault="00000000">
      <w:pPr>
        <w:pStyle w:val="pheading"/>
      </w:pPr>
      <w:r>
        <w:t>- Caractéristiques générales</w:t>
      </w:r>
    </w:p>
    <w:p w14:paraId="79A1D814" w14:textId="77777777" w:rsidR="004B2808" w:rsidRDefault="00000000">
      <w:pPr>
        <w:jc w:val="both"/>
      </w:pPr>
      <w:r>
        <w:t>Écran de séparation mobile :</w:t>
      </w:r>
    </w:p>
    <w:p w14:paraId="50EB6123" w14:textId="77777777" w:rsidR="004B2808" w:rsidRDefault="00000000">
      <w:pPr>
        <w:pStyle w:val="Author-eListParagraph"/>
        <w:numPr>
          <w:ilvl w:val="0"/>
          <w:numId w:val="211"/>
        </w:numPr>
      </w:pPr>
      <w:r>
        <w:t xml:space="preserve">Hauteur : </w:t>
      </w:r>
      <w:r>
        <w:rPr>
          <w:rStyle w:val="optioncarChar"/>
        </w:rPr>
        <w:t xml:space="preserve">1800 </w:t>
      </w:r>
      <w:r>
        <w:t>(par défaut)</w:t>
      </w:r>
      <w:r>
        <w:rPr>
          <w:rStyle w:val="optioncarChar"/>
        </w:rPr>
        <w:t xml:space="preserve"> / 1500 / 1600 / 2000 / ***</w:t>
      </w:r>
      <w:r>
        <w:t xml:space="preserve"> mm</w:t>
      </w:r>
    </w:p>
    <w:p w14:paraId="70FA6EE1" w14:textId="77777777" w:rsidR="004B2808" w:rsidRDefault="00000000">
      <w:pPr>
        <w:pStyle w:val="Author-eListParagraph"/>
        <w:numPr>
          <w:ilvl w:val="0"/>
          <w:numId w:val="211"/>
        </w:numPr>
      </w:pPr>
      <w:r>
        <w:t xml:space="preserve">Largeur : </w:t>
      </w:r>
      <w:r>
        <w:rPr>
          <w:rStyle w:val="optioncarChar"/>
        </w:rPr>
        <w:t xml:space="preserve">1200 </w:t>
      </w:r>
      <w:r>
        <w:t>(par défaut)</w:t>
      </w:r>
      <w:r>
        <w:rPr>
          <w:rStyle w:val="optioncarChar"/>
        </w:rPr>
        <w:t xml:space="preserve"> / 1000 / 800 / ***</w:t>
      </w:r>
      <w:r>
        <w:t xml:space="preserve"> mm</w:t>
      </w:r>
    </w:p>
    <w:p w14:paraId="527C8E8B" w14:textId="77777777" w:rsidR="004B2808" w:rsidRDefault="00000000">
      <w:pPr>
        <w:pStyle w:val="Author-eListParagraph"/>
        <w:numPr>
          <w:ilvl w:val="0"/>
          <w:numId w:val="211"/>
        </w:numPr>
      </w:pPr>
      <w:r>
        <w:t xml:space="preserve">Possibilité de fixation des écrans entre eux : </w:t>
      </w:r>
      <w:r>
        <w:rPr>
          <w:rStyle w:val="optioncarChar"/>
        </w:rPr>
        <w:t>oui / non</w:t>
      </w:r>
    </w:p>
    <w:p w14:paraId="0F755E6A" w14:textId="77777777" w:rsidR="004B2808" w:rsidRDefault="00000000">
      <w:pPr>
        <w:pStyle w:val="Author-eListParagraph"/>
        <w:numPr>
          <w:ilvl w:val="0"/>
          <w:numId w:val="211"/>
        </w:numPr>
      </w:pPr>
      <w:r>
        <w:t xml:space="preserve">Réaction au feu suivant [NBN EN 13501-1] : </w:t>
      </w:r>
      <w:r>
        <w:rPr>
          <w:rStyle w:val="optioncarChar"/>
        </w:rPr>
        <w:t xml:space="preserve">Bs1-d1 </w:t>
      </w:r>
      <w:r>
        <w:t>(par défaut)</w:t>
      </w:r>
      <w:r>
        <w:rPr>
          <w:rStyle w:val="optioncarChar"/>
        </w:rPr>
        <w:t xml:space="preserve"> / A1 / A2</w:t>
      </w:r>
    </w:p>
    <w:p w14:paraId="24B3BBE9" w14:textId="77777777" w:rsidR="004B2808" w:rsidRDefault="00000000">
      <w:pPr>
        <w:jc w:val="both"/>
      </w:pPr>
      <w:r>
        <w:t xml:space="preserve">Les écrans sont fixés : </w:t>
      </w:r>
      <w:r>
        <w:rPr>
          <w:rStyle w:val="optioncarChar"/>
        </w:rPr>
        <w:t>entre montants / sur pieds</w:t>
      </w:r>
    </w:p>
    <w:p w14:paraId="1E3CA45A" w14:textId="77777777" w:rsidR="004B2808" w:rsidRDefault="00000000">
      <w:pPr>
        <w:jc w:val="both"/>
      </w:pPr>
      <w:r>
        <w:rPr>
          <w:b/>
        </w:rPr>
        <w:t>(soit)</w:t>
      </w:r>
    </w:p>
    <w:p w14:paraId="1779C7D8" w14:textId="77777777" w:rsidR="004B2808" w:rsidRDefault="00000000">
      <w:pPr>
        <w:jc w:val="both"/>
      </w:pPr>
      <w:r>
        <w:rPr>
          <w:rStyle w:val="soitChar"/>
          <w:u w:val="single"/>
        </w:rPr>
        <w:t>Entre montants :</w:t>
      </w:r>
    </w:p>
    <w:p w14:paraId="35F47752" w14:textId="77777777" w:rsidR="004B2808" w:rsidRDefault="00000000">
      <w:pPr>
        <w:pStyle w:val="Author-eListParagraph"/>
        <w:numPr>
          <w:ilvl w:val="0"/>
          <w:numId w:val="212"/>
        </w:numPr>
      </w:pPr>
      <w:r>
        <w:rPr>
          <w:rStyle w:val="soitChar"/>
        </w:rPr>
        <w:t xml:space="preserve">Matériau : </w:t>
      </w:r>
      <w:r>
        <w:rPr>
          <w:rStyle w:val="optioncarChar"/>
        </w:rPr>
        <w:t xml:space="preserve">aluminium thermolaqué </w:t>
      </w:r>
      <w:r>
        <w:t>(par défaut)</w:t>
      </w:r>
      <w:r>
        <w:rPr>
          <w:rStyle w:val="optioncarChar"/>
        </w:rPr>
        <w:t xml:space="preserve"> / aluminium anodisé / acier finition époxy / inox / ***</w:t>
      </w:r>
    </w:p>
    <w:p w14:paraId="7E92540F" w14:textId="77777777" w:rsidR="004B2808" w:rsidRDefault="00000000">
      <w:pPr>
        <w:pStyle w:val="Author-eListParagraph"/>
        <w:numPr>
          <w:ilvl w:val="0"/>
          <w:numId w:val="212"/>
        </w:numPr>
      </w:pPr>
      <w:r>
        <w:rPr>
          <w:rStyle w:val="soitChar"/>
        </w:rPr>
        <w:t>Section :  </w:t>
      </w:r>
      <w:r>
        <w:rPr>
          <w:rStyle w:val="optioncarChar"/>
        </w:rPr>
        <w:t>± 60 x 60</w:t>
      </w:r>
      <w:r>
        <w:t xml:space="preserve"> (par défaut)</w:t>
      </w:r>
      <w:r>
        <w:rPr>
          <w:rStyle w:val="optioncarChar"/>
        </w:rPr>
        <w:t xml:space="preserve"> / ± 50 x 50 / ***</w:t>
      </w:r>
      <w:r>
        <w:rPr>
          <w:rStyle w:val="soitChar"/>
        </w:rPr>
        <w:t xml:space="preserve"> mm</w:t>
      </w:r>
    </w:p>
    <w:p w14:paraId="4EAFCA65" w14:textId="77777777" w:rsidR="004B2808" w:rsidRDefault="00000000">
      <w:pPr>
        <w:pStyle w:val="Author-eListParagraph"/>
        <w:numPr>
          <w:ilvl w:val="0"/>
          <w:numId w:val="212"/>
        </w:numPr>
      </w:pPr>
      <w:r>
        <w:rPr>
          <w:rStyle w:val="soitChar"/>
        </w:rPr>
        <w:t xml:space="preserve">Teinte : </w:t>
      </w:r>
      <w:r>
        <w:rPr>
          <w:rStyle w:val="optioncarChar"/>
        </w:rPr>
        <w:t xml:space="preserve">anthracite </w:t>
      </w:r>
      <w:r>
        <w:t>(par défaut)</w:t>
      </w:r>
      <w:r>
        <w:rPr>
          <w:rStyle w:val="optioncarChar"/>
        </w:rPr>
        <w:t xml:space="preserve"> / blanc / au choix de la direction des travaux</w:t>
      </w:r>
    </w:p>
    <w:p w14:paraId="48F463C6" w14:textId="77777777" w:rsidR="004B2808" w:rsidRDefault="00000000">
      <w:pPr>
        <w:pStyle w:val="Author-eListParagraph"/>
        <w:numPr>
          <w:ilvl w:val="0"/>
          <w:numId w:val="212"/>
        </w:numPr>
      </w:pPr>
      <w:r>
        <w:rPr>
          <w:rStyle w:val="soitChar"/>
        </w:rPr>
        <w:t xml:space="preserve">Base : </w:t>
      </w:r>
      <w:r>
        <w:rPr>
          <w:rStyle w:val="optioncarChar"/>
        </w:rPr>
        <w:t>T / en V / piats / sur roulettes avec frein</w:t>
      </w:r>
    </w:p>
    <w:p w14:paraId="62A49006" w14:textId="77777777" w:rsidR="004B2808" w:rsidRDefault="00000000">
      <w:pPr>
        <w:pStyle w:val="Author-eListParagraph"/>
        <w:numPr>
          <w:ilvl w:val="0"/>
          <w:numId w:val="212"/>
        </w:numPr>
      </w:pPr>
      <w:r>
        <w:rPr>
          <w:rStyle w:val="soitChar"/>
        </w:rPr>
        <w:t xml:space="preserve">Fixation des panneaux entre eux : </w:t>
      </w:r>
      <w:r>
        <w:rPr>
          <w:rStyle w:val="optioncarChar"/>
        </w:rPr>
        <w:t>oui / non</w:t>
      </w:r>
    </w:p>
    <w:p w14:paraId="5E362200" w14:textId="77777777" w:rsidR="004B2808" w:rsidRDefault="00000000">
      <w:pPr>
        <w:jc w:val="both"/>
      </w:pPr>
      <w:r>
        <w:rPr>
          <w:b/>
        </w:rPr>
        <w:t>(soit)</w:t>
      </w:r>
    </w:p>
    <w:p w14:paraId="5DC34273" w14:textId="77777777" w:rsidR="004B2808" w:rsidRDefault="00000000">
      <w:pPr>
        <w:jc w:val="both"/>
      </w:pPr>
      <w:r>
        <w:rPr>
          <w:rStyle w:val="soitChar"/>
          <w:u w:val="single"/>
        </w:rPr>
        <w:t>Sur pieds :</w:t>
      </w:r>
    </w:p>
    <w:p w14:paraId="26D91790" w14:textId="77777777" w:rsidR="004B2808" w:rsidRDefault="00000000">
      <w:pPr>
        <w:pStyle w:val="Author-eListParagraph"/>
        <w:numPr>
          <w:ilvl w:val="0"/>
          <w:numId w:val="213"/>
        </w:numPr>
      </w:pPr>
      <w:r>
        <w:rPr>
          <w:rStyle w:val="soitChar"/>
        </w:rPr>
        <w:t xml:space="preserve">Matériau : </w:t>
      </w:r>
      <w:r>
        <w:rPr>
          <w:rStyle w:val="optioncarChar"/>
        </w:rPr>
        <w:t>aluminium thermolaqué</w:t>
      </w:r>
      <w:r>
        <w:t xml:space="preserve"> (par défaut)</w:t>
      </w:r>
      <w:r>
        <w:rPr>
          <w:rStyle w:val="optioncarChar"/>
        </w:rPr>
        <w:t xml:space="preserve"> / aluminium anodisé / acier finition époxy / inox / ***</w:t>
      </w:r>
    </w:p>
    <w:p w14:paraId="7169A45C" w14:textId="77777777" w:rsidR="004B2808" w:rsidRDefault="00000000">
      <w:pPr>
        <w:pStyle w:val="Author-eListParagraph"/>
        <w:numPr>
          <w:ilvl w:val="0"/>
          <w:numId w:val="213"/>
        </w:numPr>
      </w:pPr>
      <w:r>
        <w:rPr>
          <w:rStyle w:val="soitChar"/>
        </w:rPr>
        <w:t xml:space="preserve">Hauteur : </w:t>
      </w:r>
      <w:r>
        <w:rPr>
          <w:rStyle w:val="optioncarChar"/>
        </w:rPr>
        <w:t>± 100</w:t>
      </w:r>
      <w:r>
        <w:t xml:space="preserve"> (par défaut) </w:t>
      </w:r>
      <w:r>
        <w:rPr>
          <w:rStyle w:val="optioncarChar"/>
        </w:rPr>
        <w:t>/ ± 50 / ***</w:t>
      </w:r>
      <w:r>
        <w:rPr>
          <w:rStyle w:val="soitChar"/>
        </w:rPr>
        <w:t xml:space="preserve"> mm</w:t>
      </w:r>
    </w:p>
    <w:p w14:paraId="7CD34E56" w14:textId="77777777" w:rsidR="004B2808" w:rsidRDefault="00000000">
      <w:pPr>
        <w:pStyle w:val="Author-eListParagraph"/>
        <w:numPr>
          <w:ilvl w:val="0"/>
          <w:numId w:val="213"/>
        </w:numPr>
      </w:pPr>
      <w:r>
        <w:rPr>
          <w:rStyle w:val="soitChar"/>
        </w:rPr>
        <w:t xml:space="preserve">Teinte : </w:t>
      </w:r>
      <w:r>
        <w:rPr>
          <w:rStyle w:val="optioncarChar"/>
        </w:rPr>
        <w:t xml:space="preserve">anthracite </w:t>
      </w:r>
      <w:r>
        <w:t xml:space="preserve">(par défaut) </w:t>
      </w:r>
      <w:r>
        <w:rPr>
          <w:rStyle w:val="optioncarChar"/>
        </w:rPr>
        <w:t>/ blanc / au choix de la direction des travaux</w:t>
      </w:r>
    </w:p>
    <w:p w14:paraId="51712F41" w14:textId="77777777" w:rsidR="004B2808" w:rsidRDefault="00000000">
      <w:pPr>
        <w:pStyle w:val="Author-eListParagraph"/>
        <w:numPr>
          <w:ilvl w:val="0"/>
          <w:numId w:val="213"/>
        </w:numPr>
      </w:pPr>
      <w:r>
        <w:rPr>
          <w:rStyle w:val="soitChar"/>
        </w:rPr>
        <w:t xml:space="preserve">Forme : </w:t>
      </w:r>
      <w:r>
        <w:rPr>
          <w:rStyle w:val="optioncarChar"/>
        </w:rPr>
        <w:t>T / en V / piats / tubulaires / sur roulettes avec frein</w:t>
      </w:r>
    </w:p>
    <w:p w14:paraId="7E2EADBF" w14:textId="77777777" w:rsidR="004B2808" w:rsidRDefault="00000000">
      <w:pPr>
        <w:pStyle w:val="Author-eListParagraph"/>
        <w:numPr>
          <w:ilvl w:val="0"/>
          <w:numId w:val="213"/>
        </w:numPr>
      </w:pPr>
      <w:r>
        <w:rPr>
          <w:rStyle w:val="soitChar"/>
        </w:rPr>
        <w:t xml:space="preserve">Fixation des panneaux entre eux : </w:t>
      </w:r>
      <w:r>
        <w:rPr>
          <w:rStyle w:val="optioncarChar"/>
        </w:rPr>
        <w:t>oui / non</w:t>
      </w:r>
    </w:p>
    <w:p w14:paraId="5FCC701F" w14:textId="77777777" w:rsidR="004B2808" w:rsidRDefault="00000000">
      <w:pPr>
        <w:jc w:val="both"/>
      </w:pPr>
      <w:r>
        <w:t xml:space="preserve">Panneaux de remplissage : </w:t>
      </w:r>
      <w:r>
        <w:rPr>
          <w:rStyle w:val="optioncarChar"/>
        </w:rPr>
        <w:t>translucides / pleins / inscriptibles et aimantés</w:t>
      </w:r>
    </w:p>
    <w:p w14:paraId="40F6394B" w14:textId="77777777" w:rsidR="004B2808" w:rsidRDefault="00000000">
      <w:pPr>
        <w:jc w:val="both"/>
      </w:pPr>
      <w:r>
        <w:rPr>
          <w:b/>
        </w:rPr>
        <w:t>(soit)</w:t>
      </w:r>
    </w:p>
    <w:p w14:paraId="4100B887" w14:textId="77777777" w:rsidR="004B2808" w:rsidRDefault="00000000">
      <w:pPr>
        <w:jc w:val="both"/>
      </w:pPr>
      <w:r>
        <w:rPr>
          <w:rStyle w:val="soitChar"/>
          <w:u w:val="single"/>
        </w:rPr>
        <w:t>Translucides</w:t>
      </w:r>
    </w:p>
    <w:p w14:paraId="53B3FB6B" w14:textId="77777777" w:rsidR="004B2808" w:rsidRDefault="00000000">
      <w:pPr>
        <w:pStyle w:val="Author-eListParagraph"/>
        <w:numPr>
          <w:ilvl w:val="0"/>
          <w:numId w:val="214"/>
        </w:numPr>
      </w:pPr>
      <w:r>
        <w:rPr>
          <w:rStyle w:val="soitChar"/>
        </w:rPr>
        <w:t xml:space="preserve">Cadre : </w:t>
      </w:r>
      <w:r>
        <w:rPr>
          <w:rStyle w:val="optioncarChar"/>
        </w:rPr>
        <w:t>aluminium thermolaqué</w:t>
      </w:r>
      <w:r>
        <w:t xml:space="preserve"> (par défaut)</w:t>
      </w:r>
      <w:r>
        <w:rPr>
          <w:rStyle w:val="optioncarChar"/>
        </w:rPr>
        <w:t xml:space="preserve"> / aluminium anodisé / bois / acier revêtu époxy / ***</w:t>
      </w:r>
    </w:p>
    <w:p w14:paraId="3AC112AF" w14:textId="77777777" w:rsidR="004B2808" w:rsidRDefault="00000000">
      <w:pPr>
        <w:pStyle w:val="Author-eListParagraph"/>
        <w:numPr>
          <w:ilvl w:val="0"/>
          <w:numId w:val="214"/>
        </w:numPr>
      </w:pPr>
      <w:r>
        <w:rPr>
          <w:rStyle w:val="soitChar"/>
        </w:rPr>
        <w:t xml:space="preserve">Remplissage : </w:t>
      </w:r>
      <w:r>
        <w:rPr>
          <w:rStyle w:val="optioncarChar"/>
        </w:rPr>
        <w:t xml:space="preserve">verre trempé </w:t>
      </w:r>
      <w:r>
        <w:t>(par défaut)</w:t>
      </w:r>
      <w:r>
        <w:rPr>
          <w:rStyle w:val="optioncarChar"/>
        </w:rPr>
        <w:t xml:space="preserve"> / polycarbonate alvéolaire / verre acrylique / ***</w:t>
      </w:r>
    </w:p>
    <w:p w14:paraId="1BF6A31C" w14:textId="77777777" w:rsidR="004B2808" w:rsidRDefault="00000000">
      <w:pPr>
        <w:pStyle w:val="Author-eListParagraph"/>
        <w:numPr>
          <w:ilvl w:val="0"/>
          <w:numId w:val="214"/>
        </w:numPr>
      </w:pPr>
      <w:r>
        <w:rPr>
          <w:rStyle w:val="soitChar"/>
        </w:rPr>
        <w:lastRenderedPageBreak/>
        <w:t xml:space="preserve"> Aspect : </w:t>
      </w:r>
      <w:r>
        <w:rPr>
          <w:rStyle w:val="optioncarChar"/>
        </w:rPr>
        <w:t>sablé / satiné / teinté au choix de la direction des travaux</w:t>
      </w:r>
    </w:p>
    <w:p w14:paraId="5FDC3359" w14:textId="77777777" w:rsidR="004B2808" w:rsidRDefault="00000000">
      <w:pPr>
        <w:jc w:val="both"/>
      </w:pPr>
      <w:r>
        <w:rPr>
          <w:b/>
        </w:rPr>
        <w:t>(soit)</w:t>
      </w:r>
    </w:p>
    <w:p w14:paraId="1DAAD6CB" w14:textId="77777777" w:rsidR="004B2808" w:rsidRDefault="00000000">
      <w:pPr>
        <w:jc w:val="both"/>
      </w:pPr>
      <w:r>
        <w:rPr>
          <w:rStyle w:val="soitChar"/>
          <w:u w:val="single"/>
        </w:rPr>
        <w:t>Pleins</w:t>
      </w:r>
    </w:p>
    <w:p w14:paraId="3DFEEE15" w14:textId="77777777" w:rsidR="004B2808" w:rsidRDefault="00000000">
      <w:pPr>
        <w:pStyle w:val="Author-eListParagraph"/>
        <w:numPr>
          <w:ilvl w:val="0"/>
          <w:numId w:val="215"/>
        </w:numPr>
      </w:pPr>
      <w:r>
        <w:rPr>
          <w:rStyle w:val="soitChar"/>
        </w:rPr>
        <w:t xml:space="preserve">Cadre : </w:t>
      </w:r>
      <w:r>
        <w:rPr>
          <w:rStyle w:val="optioncarChar"/>
        </w:rPr>
        <w:t xml:space="preserve">aluminium thermolaqué </w:t>
      </w:r>
      <w:r>
        <w:t>(par défaut)</w:t>
      </w:r>
      <w:r>
        <w:rPr>
          <w:rStyle w:val="optioncarChar"/>
        </w:rPr>
        <w:t xml:space="preserve"> / aluminium anodisé / bois / acier revêtu époxy / ***</w:t>
      </w:r>
    </w:p>
    <w:p w14:paraId="78006847" w14:textId="77777777" w:rsidR="004B2808" w:rsidRDefault="00000000">
      <w:pPr>
        <w:pStyle w:val="Author-eListParagraph"/>
        <w:numPr>
          <w:ilvl w:val="0"/>
          <w:numId w:val="215"/>
        </w:numPr>
      </w:pPr>
      <w:r>
        <w:rPr>
          <w:rStyle w:val="soitChar"/>
        </w:rPr>
        <w:t xml:space="preserve">Remplissage : </w:t>
      </w:r>
      <w:r>
        <w:rPr>
          <w:rStyle w:val="optioncarChar"/>
        </w:rPr>
        <w:t>panneau de particules mélaminé / panneau de particules revêtu de liège épinglable / stratifié / panneau de particules plaquage bois</w:t>
      </w:r>
    </w:p>
    <w:p w14:paraId="42AD6507" w14:textId="77777777" w:rsidR="004B2808" w:rsidRDefault="00000000">
      <w:pPr>
        <w:jc w:val="both"/>
      </w:pPr>
      <w:r>
        <w:rPr>
          <w:b/>
        </w:rPr>
        <w:t>(soit)</w:t>
      </w:r>
    </w:p>
    <w:p w14:paraId="1109937D" w14:textId="77777777" w:rsidR="004B2808" w:rsidRDefault="00000000">
      <w:pPr>
        <w:jc w:val="both"/>
      </w:pPr>
      <w:r>
        <w:rPr>
          <w:rStyle w:val="soitChar"/>
          <w:u w:val="single"/>
        </w:rPr>
        <w:t>Inscriptibles et aimantés</w:t>
      </w:r>
      <w:r>
        <w:rPr>
          <w:rStyle w:val="soitChar"/>
        </w:rPr>
        <w:t> </w:t>
      </w:r>
    </w:p>
    <w:p w14:paraId="376BE300" w14:textId="77777777" w:rsidR="004B2808" w:rsidRDefault="00000000">
      <w:pPr>
        <w:pStyle w:val="Author-eListParagraph"/>
        <w:numPr>
          <w:ilvl w:val="0"/>
          <w:numId w:val="216"/>
        </w:numPr>
      </w:pPr>
      <w:r>
        <w:rPr>
          <w:rStyle w:val="soitChar"/>
        </w:rPr>
        <w:t xml:space="preserve">Cadre : </w:t>
      </w:r>
      <w:r>
        <w:rPr>
          <w:rStyle w:val="optioncarChar"/>
        </w:rPr>
        <w:t xml:space="preserve">aluminium thermolaqué </w:t>
      </w:r>
      <w:r>
        <w:t>(par défaut)</w:t>
      </w:r>
      <w:r>
        <w:rPr>
          <w:rStyle w:val="optioncarChar"/>
        </w:rPr>
        <w:t xml:space="preserve"> / aluminium anodisé / bois / acier revêtu époxy / ***</w:t>
      </w:r>
    </w:p>
    <w:p w14:paraId="40F04081" w14:textId="77777777" w:rsidR="004B2808" w:rsidRDefault="00000000">
      <w:pPr>
        <w:pStyle w:val="Author-eListParagraph"/>
        <w:numPr>
          <w:ilvl w:val="0"/>
          <w:numId w:val="216"/>
        </w:numPr>
      </w:pPr>
      <w:r>
        <w:rPr>
          <w:rStyle w:val="soitChar"/>
        </w:rPr>
        <w:t xml:space="preserve">Traverse : </w:t>
      </w:r>
      <w:r>
        <w:rPr>
          <w:rStyle w:val="optioncarChar"/>
        </w:rPr>
        <w:t>non</w:t>
      </w:r>
      <w:r>
        <w:t xml:space="preserve"> (par défaut)</w:t>
      </w:r>
      <w:r>
        <w:rPr>
          <w:rStyle w:val="optioncarChar"/>
        </w:rPr>
        <w:t xml:space="preserve"> / oui</w:t>
      </w:r>
    </w:p>
    <w:p w14:paraId="5BE775F8" w14:textId="77777777" w:rsidR="004B2808" w:rsidRDefault="00000000">
      <w:pPr>
        <w:ind w:left="567"/>
        <w:jc w:val="both"/>
      </w:pPr>
      <w:r>
        <w:rPr>
          <w:b/>
        </w:rPr>
        <w:t>(soit par défaut)</w:t>
      </w:r>
    </w:p>
    <w:p w14:paraId="59A59484" w14:textId="77777777" w:rsidR="004B2808" w:rsidRDefault="00000000">
      <w:pPr>
        <w:ind w:left="567"/>
        <w:jc w:val="both"/>
      </w:pPr>
      <w:r>
        <w:rPr>
          <w:rStyle w:val="soitChar"/>
          <w:u w:val="single"/>
        </w:rPr>
        <w:t>Non</w:t>
      </w:r>
    </w:p>
    <w:p w14:paraId="403F7B99" w14:textId="77777777" w:rsidR="004B2808" w:rsidRDefault="00000000">
      <w:pPr>
        <w:pStyle w:val="Author-eListParagraph"/>
        <w:numPr>
          <w:ilvl w:val="0"/>
          <w:numId w:val="217"/>
        </w:numPr>
      </w:pPr>
      <w:r>
        <w:rPr>
          <w:rStyle w:val="soitChar"/>
        </w:rPr>
        <w:t>Remplissage toute hauteur : panneau de particules revêtu d’acier émaillé blanc inscriptible et aimanté</w:t>
      </w:r>
    </w:p>
    <w:p w14:paraId="5E7568C8" w14:textId="77777777" w:rsidR="004B2808" w:rsidRDefault="00000000">
      <w:pPr>
        <w:ind w:left="567"/>
        <w:jc w:val="both"/>
      </w:pPr>
      <w:r>
        <w:rPr>
          <w:b/>
        </w:rPr>
        <w:t>(soit)</w:t>
      </w:r>
    </w:p>
    <w:p w14:paraId="5941B671" w14:textId="77777777" w:rsidR="004B2808" w:rsidRDefault="00000000">
      <w:pPr>
        <w:ind w:left="567"/>
        <w:jc w:val="both"/>
      </w:pPr>
      <w:r>
        <w:rPr>
          <w:rStyle w:val="soitChar"/>
          <w:u w:val="single"/>
        </w:rPr>
        <w:t>Oui</w:t>
      </w:r>
    </w:p>
    <w:p w14:paraId="4900FB92" w14:textId="77777777" w:rsidR="004B2808" w:rsidRDefault="00000000">
      <w:pPr>
        <w:pStyle w:val="Author-eListParagraph"/>
        <w:numPr>
          <w:ilvl w:val="0"/>
          <w:numId w:val="218"/>
        </w:numPr>
      </w:pPr>
      <w:r>
        <w:rPr>
          <w:rStyle w:val="soitChar"/>
        </w:rPr>
        <w:t xml:space="preserve">Traverse à : </w:t>
      </w:r>
      <w:r>
        <w:rPr>
          <w:rStyle w:val="optioncarChar"/>
        </w:rPr>
        <w:t>½ hauteur / à *** cm du bas</w:t>
      </w:r>
    </w:p>
    <w:p w14:paraId="45BFE6CE" w14:textId="77777777" w:rsidR="004B2808" w:rsidRDefault="00000000">
      <w:pPr>
        <w:pStyle w:val="Author-eListParagraph"/>
        <w:numPr>
          <w:ilvl w:val="0"/>
          <w:numId w:val="218"/>
        </w:numPr>
      </w:pPr>
      <w:r>
        <w:rPr>
          <w:rStyle w:val="soitChar"/>
        </w:rPr>
        <w:t>Remplissage partie supérieure : panneau de particules revêtu d’acier émaillé blanc inscriptible et aimanté</w:t>
      </w:r>
    </w:p>
    <w:p w14:paraId="6E0653B6" w14:textId="77777777" w:rsidR="004B2808" w:rsidRDefault="00000000">
      <w:pPr>
        <w:pStyle w:val="Author-eListParagraph"/>
        <w:numPr>
          <w:ilvl w:val="0"/>
          <w:numId w:val="218"/>
        </w:numPr>
      </w:pPr>
      <w:r>
        <w:rPr>
          <w:rStyle w:val="soitChar"/>
        </w:rPr>
        <w:t xml:space="preserve">Remplissage partie inférieure : </w:t>
      </w:r>
      <w:r>
        <w:rPr>
          <w:rStyle w:val="optioncarChar"/>
        </w:rPr>
        <w:t>panneau de particules mélaminé / stratifié / panneau de particules plaquage bois</w:t>
      </w:r>
    </w:p>
    <w:p w14:paraId="03C65605" w14:textId="77777777" w:rsidR="004B2808" w:rsidRDefault="00000000">
      <w:pPr>
        <w:jc w:val="both"/>
      </w:pPr>
      <w:r>
        <w:t> </w:t>
      </w:r>
    </w:p>
    <w:p w14:paraId="6ADEBCAE" w14:textId="77777777" w:rsidR="004B2808" w:rsidRDefault="00000000">
      <w:pPr>
        <w:jc w:val="both"/>
      </w:pPr>
      <w:r>
        <w:rPr>
          <w:b/>
        </w:rPr>
        <w:t>Aspects environnementaux :</w:t>
      </w:r>
    </w:p>
    <w:p w14:paraId="7DF94842" w14:textId="77777777" w:rsidR="004B2808" w:rsidRDefault="00000000">
      <w:pPr>
        <w:pStyle w:val="Author-eListParagraph"/>
        <w:numPr>
          <w:ilvl w:val="0"/>
          <w:numId w:val="219"/>
        </w:numPr>
        <w:jc w:val="both"/>
      </w:pPr>
      <w:r>
        <w:t xml:space="preserve">Panneaux à base de bois issu de forêts gérées durablement suivant prescriptions du 02.42.4 Bois provenant de forêts gérées durablement. : </w:t>
      </w:r>
      <w:r>
        <w:rPr>
          <w:rStyle w:val="optioncarChar"/>
        </w:rPr>
        <w:t>oui / non</w:t>
      </w:r>
    </w:p>
    <w:p w14:paraId="5F55FF4A" w14:textId="77777777" w:rsidR="004B2808" w:rsidRDefault="00000000">
      <w:pPr>
        <w:pStyle w:val="Author-eListParagraph"/>
        <w:numPr>
          <w:ilvl w:val="0"/>
          <w:numId w:val="219"/>
        </w:numPr>
        <w:jc w:val="both"/>
      </w:pPr>
      <w:r>
        <w:t xml:space="preserve">Matériaux recyclés entrant dans la fabrication du produit : </w:t>
      </w:r>
      <w:r>
        <w:rPr>
          <w:rStyle w:val="optioncarChar"/>
        </w:rPr>
        <w:t>oui / non</w:t>
      </w:r>
    </w:p>
    <w:p w14:paraId="012FA8B5" w14:textId="77777777" w:rsidR="004B2808" w:rsidRDefault="00000000">
      <w:pPr>
        <w:pStyle w:val="Author-eListParagraph"/>
        <w:numPr>
          <w:ilvl w:val="0"/>
          <w:numId w:val="219"/>
        </w:numPr>
        <w:jc w:val="both"/>
      </w:pPr>
      <w:r>
        <w:t xml:space="preserve">Matériaux disposant d’un label suivant prescriptions du 02.42.6 Labels environnementaux : </w:t>
      </w:r>
      <w:r>
        <w:rPr>
          <w:rStyle w:val="optioncarChar"/>
        </w:rPr>
        <w:t>oui / non</w:t>
      </w:r>
    </w:p>
    <w:p w14:paraId="1C67CDAC" w14:textId="77777777" w:rsidR="004B2808" w:rsidRDefault="00000000">
      <w:pPr>
        <w:pStyle w:val="pheading"/>
      </w:pPr>
      <w:r>
        <w:t>DOCUMENTS DE RÉFÉRENCE COMPLÉMENTAIRES</w:t>
      </w:r>
    </w:p>
    <w:p w14:paraId="5549EF83" w14:textId="77777777" w:rsidR="004B2808" w:rsidRDefault="00000000">
      <w:pPr>
        <w:pStyle w:val="pheading"/>
      </w:pPr>
      <w:r>
        <w:t>- Matériau</w:t>
      </w:r>
    </w:p>
    <w:p w14:paraId="10766A7E" w14:textId="77777777" w:rsidR="004B2808" w:rsidRDefault="00000000">
      <w:r>
        <w:t>[NBN EN 13501-1, Classement au feu des produits et éléments de construction - Partie 1: Classement à partir des données d'essais de réaction au feu]</w:t>
      </w:r>
    </w:p>
    <w:p w14:paraId="29E0232A" w14:textId="77777777" w:rsidR="004B2808" w:rsidRDefault="00000000">
      <w:pPr>
        <w:pStyle w:val="pheading"/>
      </w:pPr>
      <w:r>
        <w:t>MESURAGE</w:t>
      </w:r>
    </w:p>
    <w:p w14:paraId="16B1CF5D" w14:textId="77777777" w:rsidR="004B2808" w:rsidRDefault="00000000">
      <w:pPr>
        <w:pStyle w:val="pheading"/>
      </w:pPr>
      <w:r>
        <w:t>- unité de mesure:</w:t>
      </w:r>
    </w:p>
    <w:p w14:paraId="3E6CD2BD" w14:textId="77777777" w:rsidR="004B2808" w:rsidRDefault="00000000">
      <w:r>
        <w:t>pc</w:t>
      </w:r>
    </w:p>
    <w:p w14:paraId="6FDD8016" w14:textId="77777777" w:rsidR="004B2808" w:rsidRDefault="00000000">
      <w:pPr>
        <w:pStyle w:val="pheading"/>
      </w:pPr>
      <w:r>
        <w:t>- code de mesurage:</w:t>
      </w:r>
    </w:p>
    <w:p w14:paraId="1F87CD9F" w14:textId="77777777" w:rsidR="004B2808" w:rsidRDefault="00000000">
      <w:r>
        <w:t>Quantité nette : à la pièce, distinction faite du type et des dimensions</w:t>
      </w:r>
    </w:p>
    <w:p w14:paraId="37E80988" w14:textId="77777777" w:rsidR="004B2808" w:rsidRDefault="00000000">
      <w:pPr>
        <w:pStyle w:val="pheading"/>
      </w:pPr>
      <w:r>
        <w:t>- nature du marché:</w:t>
      </w:r>
    </w:p>
    <w:p w14:paraId="5BC265CB" w14:textId="77777777" w:rsidR="004B2808" w:rsidRDefault="00000000">
      <w:r>
        <w:t>QF</w:t>
      </w:r>
    </w:p>
    <w:p w14:paraId="4BC81036" w14:textId="77777777" w:rsidR="004B2808" w:rsidRDefault="00000000">
      <w:pPr>
        <w:pStyle w:val="Author-eSectionHeading5Numberless"/>
      </w:pPr>
      <w:bookmarkStart w:id="121" w:name="_Toc220490326"/>
      <w:r>
        <w:t>51.46.3 Ecran de séparation mobiles en textile CCTB 01.11</w:t>
      </w:r>
      <w:bookmarkEnd w:id="121"/>
    </w:p>
    <w:p w14:paraId="5522BDEF" w14:textId="77777777" w:rsidR="004B2808" w:rsidRDefault="00000000">
      <w:pPr>
        <w:pStyle w:val="Author-eSectionHeading6Numberless"/>
      </w:pPr>
      <w:bookmarkStart w:id="122" w:name="_Toc220490327"/>
      <w:r>
        <w:lastRenderedPageBreak/>
        <w:t>51.46.3a Ecran de séparation mobiles en textile CCTB 01.11</w:t>
      </w:r>
      <w:bookmarkEnd w:id="122"/>
    </w:p>
    <w:p w14:paraId="30DD5D41" w14:textId="77777777" w:rsidR="004B2808" w:rsidRDefault="00000000">
      <w:pPr>
        <w:pStyle w:val="pheading"/>
      </w:pPr>
      <w:r>
        <w:t>DESCRIPTION</w:t>
      </w:r>
    </w:p>
    <w:p w14:paraId="374F61E0" w14:textId="77777777" w:rsidR="004B2808" w:rsidRDefault="00000000">
      <w:pPr>
        <w:pStyle w:val="pheading"/>
      </w:pPr>
      <w:r>
        <w:t>- Définition / Comprend</w:t>
      </w:r>
    </w:p>
    <w:p w14:paraId="7B6AB15A" w14:textId="77777777" w:rsidR="004B2808" w:rsidRDefault="00000000">
      <w:pPr>
        <w:jc w:val="both"/>
      </w:pPr>
      <w:r>
        <w:t>Il s’agit de la fourniture et la pose d’écrans de séparation mobiles en textile.</w:t>
      </w:r>
    </w:p>
    <w:p w14:paraId="4722C7E0" w14:textId="77777777" w:rsidR="004B2808" w:rsidRDefault="00000000">
      <w:pPr>
        <w:pStyle w:val="pheading"/>
      </w:pPr>
      <w:r>
        <w:t>MATÉRIAUX</w:t>
      </w:r>
    </w:p>
    <w:p w14:paraId="1C5AB1B9" w14:textId="77777777" w:rsidR="004B2808" w:rsidRDefault="00000000">
      <w:pPr>
        <w:pStyle w:val="pheading"/>
      </w:pPr>
      <w:r>
        <w:t>- Caractéristiques générales</w:t>
      </w:r>
    </w:p>
    <w:p w14:paraId="5E60B569" w14:textId="77777777" w:rsidR="004B2808" w:rsidRDefault="00000000">
      <w:pPr>
        <w:jc w:val="both"/>
      </w:pPr>
      <w:r>
        <w:t>Écran de séparation mobile composé de panneaux à revêtement textile</w:t>
      </w:r>
    </w:p>
    <w:p w14:paraId="3F1C679E" w14:textId="77777777" w:rsidR="004B2808" w:rsidRDefault="00000000">
      <w:pPr>
        <w:pStyle w:val="Author-eListParagraph"/>
        <w:numPr>
          <w:ilvl w:val="0"/>
          <w:numId w:val="220"/>
        </w:numPr>
      </w:pPr>
      <w:r>
        <w:t xml:space="preserve">Hauteur : </w:t>
      </w:r>
      <w:r>
        <w:rPr>
          <w:rStyle w:val="optioncarChar"/>
        </w:rPr>
        <w:t>1800</w:t>
      </w:r>
      <w:r>
        <w:t xml:space="preserve"> (par défaut) </w:t>
      </w:r>
      <w:r>
        <w:rPr>
          <w:rStyle w:val="optioncarChar"/>
        </w:rPr>
        <w:t>/ 1500 / 1600 / 2000 / ***</w:t>
      </w:r>
      <w:r>
        <w:t xml:space="preserve"> mm</w:t>
      </w:r>
    </w:p>
    <w:p w14:paraId="3FBFF682" w14:textId="77777777" w:rsidR="004B2808" w:rsidRDefault="00000000">
      <w:pPr>
        <w:pStyle w:val="Author-eListParagraph"/>
        <w:numPr>
          <w:ilvl w:val="0"/>
          <w:numId w:val="220"/>
        </w:numPr>
      </w:pPr>
      <w:r>
        <w:t xml:space="preserve">Largeur : </w:t>
      </w:r>
      <w:r>
        <w:rPr>
          <w:rStyle w:val="optioncarChar"/>
        </w:rPr>
        <w:t xml:space="preserve">1200 </w:t>
      </w:r>
      <w:r>
        <w:t>(par défaut)</w:t>
      </w:r>
      <w:r>
        <w:rPr>
          <w:rStyle w:val="optioncarChar"/>
        </w:rPr>
        <w:t xml:space="preserve"> / 1000 / 800 / ***</w:t>
      </w:r>
      <w:r>
        <w:t xml:space="preserve"> mm</w:t>
      </w:r>
    </w:p>
    <w:p w14:paraId="4260B876" w14:textId="77777777" w:rsidR="004B2808" w:rsidRDefault="00000000">
      <w:pPr>
        <w:pStyle w:val="Author-eListParagraph"/>
        <w:numPr>
          <w:ilvl w:val="0"/>
          <w:numId w:val="220"/>
        </w:numPr>
      </w:pPr>
      <w:r>
        <w:t xml:space="preserve">Possibilité de fixation des écrans entre eux : </w:t>
      </w:r>
      <w:r>
        <w:rPr>
          <w:rStyle w:val="optioncarChar"/>
        </w:rPr>
        <w:t>oui / non</w:t>
      </w:r>
    </w:p>
    <w:p w14:paraId="13915B8A" w14:textId="77777777" w:rsidR="004B2808" w:rsidRDefault="00000000">
      <w:pPr>
        <w:pStyle w:val="Author-eListParagraph"/>
        <w:numPr>
          <w:ilvl w:val="0"/>
          <w:numId w:val="220"/>
        </w:numPr>
      </w:pPr>
      <w:r>
        <w:t xml:space="preserve">Réaction au feu suivant [NBN EN 13501-1] : </w:t>
      </w:r>
      <w:r>
        <w:rPr>
          <w:rStyle w:val="optioncarChar"/>
        </w:rPr>
        <w:t>Bs1-d1</w:t>
      </w:r>
      <w:r>
        <w:t xml:space="preserve"> (par défaut)</w:t>
      </w:r>
      <w:r>
        <w:rPr>
          <w:rStyle w:val="optioncarChar"/>
        </w:rPr>
        <w:t xml:space="preserve"> / A1 / A2</w:t>
      </w:r>
    </w:p>
    <w:p w14:paraId="4A717A59" w14:textId="77777777" w:rsidR="004B2808" w:rsidRDefault="00000000">
      <w:pPr>
        <w:jc w:val="both"/>
      </w:pPr>
      <w:r>
        <w:t xml:space="preserve">Les écrans sont fixés : </w:t>
      </w:r>
      <w:r>
        <w:rPr>
          <w:rStyle w:val="optioncarChar"/>
        </w:rPr>
        <w:t>entre montants / sur pieds</w:t>
      </w:r>
    </w:p>
    <w:p w14:paraId="7E6F9187" w14:textId="77777777" w:rsidR="004B2808" w:rsidRDefault="00000000">
      <w:pPr>
        <w:jc w:val="both"/>
      </w:pPr>
      <w:r>
        <w:rPr>
          <w:b/>
        </w:rPr>
        <w:t>(soit)</w:t>
      </w:r>
    </w:p>
    <w:p w14:paraId="192EE926" w14:textId="77777777" w:rsidR="004B2808" w:rsidRDefault="00000000">
      <w:pPr>
        <w:jc w:val="both"/>
      </w:pPr>
      <w:r>
        <w:rPr>
          <w:rStyle w:val="soitChar"/>
          <w:u w:val="single"/>
        </w:rPr>
        <w:t>Entre montants :</w:t>
      </w:r>
    </w:p>
    <w:p w14:paraId="37B30915" w14:textId="77777777" w:rsidR="004B2808" w:rsidRDefault="00000000">
      <w:pPr>
        <w:pStyle w:val="Author-eListParagraph"/>
        <w:numPr>
          <w:ilvl w:val="0"/>
          <w:numId w:val="221"/>
        </w:numPr>
      </w:pPr>
      <w:r>
        <w:rPr>
          <w:rStyle w:val="soitChar"/>
        </w:rPr>
        <w:t>Matériau :</w:t>
      </w:r>
      <w:r>
        <w:t xml:space="preserve">  </w:t>
      </w:r>
      <w:r>
        <w:rPr>
          <w:rStyle w:val="optioncarChar"/>
        </w:rPr>
        <w:t xml:space="preserve">aluminium thermolaqué </w:t>
      </w:r>
      <w:r>
        <w:t xml:space="preserve">(par défaut) </w:t>
      </w:r>
      <w:r>
        <w:rPr>
          <w:rStyle w:val="optioncarChar"/>
        </w:rPr>
        <w:t>/ aluminium anodisé / acier finition époxy / inox / ***</w:t>
      </w:r>
    </w:p>
    <w:p w14:paraId="6A703FE5" w14:textId="77777777" w:rsidR="004B2808" w:rsidRDefault="00000000">
      <w:pPr>
        <w:pStyle w:val="Author-eListParagraph"/>
        <w:numPr>
          <w:ilvl w:val="0"/>
          <w:numId w:val="221"/>
        </w:numPr>
      </w:pPr>
      <w:r>
        <w:rPr>
          <w:rStyle w:val="soitChar"/>
        </w:rPr>
        <w:t>Section :</w:t>
      </w:r>
      <w:r>
        <w:t xml:space="preserve">  </w:t>
      </w:r>
      <w:r>
        <w:rPr>
          <w:rStyle w:val="optioncarChar"/>
        </w:rPr>
        <w:t>± 90 x 60</w:t>
      </w:r>
      <w:r>
        <w:t xml:space="preserve"> (par défaut)</w:t>
      </w:r>
      <w:r>
        <w:rPr>
          <w:rStyle w:val="optioncarChar"/>
        </w:rPr>
        <w:t xml:space="preserve"> / ± 50 x 50 / ***</w:t>
      </w:r>
      <w:r>
        <w:t>  </w:t>
      </w:r>
      <w:r>
        <w:rPr>
          <w:rStyle w:val="soitChar"/>
        </w:rPr>
        <w:t>mm</w:t>
      </w:r>
    </w:p>
    <w:p w14:paraId="6F502927" w14:textId="77777777" w:rsidR="004B2808" w:rsidRDefault="00000000">
      <w:pPr>
        <w:pStyle w:val="Author-eListParagraph"/>
        <w:numPr>
          <w:ilvl w:val="0"/>
          <w:numId w:val="221"/>
        </w:numPr>
      </w:pPr>
      <w:r>
        <w:rPr>
          <w:rStyle w:val="soitChar"/>
        </w:rPr>
        <w:t>Teinte :</w:t>
      </w:r>
      <w:r>
        <w:t xml:space="preserve">  </w:t>
      </w:r>
      <w:r>
        <w:rPr>
          <w:rStyle w:val="optioncarChar"/>
        </w:rPr>
        <w:t>anthracite</w:t>
      </w:r>
      <w:r>
        <w:t xml:space="preserve"> (par défaut)</w:t>
      </w:r>
      <w:r>
        <w:rPr>
          <w:rStyle w:val="optioncarChar"/>
        </w:rPr>
        <w:t xml:space="preserve"> / blanc / au choix de la direction des travaux</w:t>
      </w:r>
    </w:p>
    <w:p w14:paraId="7147ABC2" w14:textId="77777777" w:rsidR="004B2808" w:rsidRDefault="00000000">
      <w:pPr>
        <w:pStyle w:val="Author-eListParagraph"/>
        <w:numPr>
          <w:ilvl w:val="0"/>
          <w:numId w:val="221"/>
        </w:numPr>
      </w:pPr>
      <w:r>
        <w:rPr>
          <w:rStyle w:val="soitChar"/>
        </w:rPr>
        <w:t>Base :</w:t>
      </w:r>
      <w:r>
        <w:t xml:space="preserve">  </w:t>
      </w:r>
      <w:r>
        <w:rPr>
          <w:rStyle w:val="optioncarChar"/>
        </w:rPr>
        <w:t>T / en V / piats / sur roulettes avec frein</w:t>
      </w:r>
    </w:p>
    <w:p w14:paraId="65953593" w14:textId="77777777" w:rsidR="004B2808" w:rsidRDefault="00000000">
      <w:pPr>
        <w:pStyle w:val="Author-eListParagraph"/>
        <w:numPr>
          <w:ilvl w:val="0"/>
          <w:numId w:val="221"/>
        </w:numPr>
      </w:pPr>
      <w:r>
        <w:rPr>
          <w:rStyle w:val="soitChar"/>
        </w:rPr>
        <w:t>Fixation des panneaux entre eux :</w:t>
      </w:r>
      <w:r>
        <w:t>  </w:t>
      </w:r>
      <w:r>
        <w:rPr>
          <w:rStyle w:val="optioncarChar"/>
        </w:rPr>
        <w:t>oui / non</w:t>
      </w:r>
    </w:p>
    <w:p w14:paraId="28352B3C" w14:textId="77777777" w:rsidR="004B2808" w:rsidRDefault="00000000">
      <w:pPr>
        <w:jc w:val="both"/>
      </w:pPr>
      <w:r>
        <w:rPr>
          <w:b/>
        </w:rPr>
        <w:t>(soit)</w:t>
      </w:r>
    </w:p>
    <w:p w14:paraId="1AC866AE" w14:textId="77777777" w:rsidR="004B2808" w:rsidRDefault="00000000">
      <w:pPr>
        <w:jc w:val="both"/>
      </w:pPr>
      <w:r>
        <w:rPr>
          <w:rStyle w:val="soitChar"/>
          <w:u w:val="single"/>
        </w:rPr>
        <w:t>Sur pieds :</w:t>
      </w:r>
    </w:p>
    <w:p w14:paraId="1517D870" w14:textId="77777777" w:rsidR="004B2808" w:rsidRDefault="00000000">
      <w:pPr>
        <w:pStyle w:val="Author-eListParagraph"/>
        <w:numPr>
          <w:ilvl w:val="0"/>
          <w:numId w:val="222"/>
        </w:numPr>
      </w:pPr>
      <w:r>
        <w:rPr>
          <w:rStyle w:val="soitChar"/>
        </w:rPr>
        <w:t>Matériau :</w:t>
      </w:r>
      <w:r>
        <w:t>  </w:t>
      </w:r>
      <w:r>
        <w:rPr>
          <w:rStyle w:val="optioncarChar"/>
        </w:rPr>
        <w:t>aluminium thermolaqué</w:t>
      </w:r>
      <w:r>
        <w:t xml:space="preserve"> (par défaut)</w:t>
      </w:r>
      <w:r>
        <w:rPr>
          <w:rStyle w:val="optioncarChar"/>
        </w:rPr>
        <w:t xml:space="preserve"> / aluminium anodisé / acier finition époxy / inox / *** </w:t>
      </w:r>
    </w:p>
    <w:p w14:paraId="4ED6EF24" w14:textId="77777777" w:rsidR="004B2808" w:rsidRDefault="00000000">
      <w:pPr>
        <w:pStyle w:val="Author-eListParagraph"/>
        <w:numPr>
          <w:ilvl w:val="0"/>
          <w:numId w:val="222"/>
        </w:numPr>
      </w:pPr>
      <w:r>
        <w:rPr>
          <w:rStyle w:val="soitChar"/>
        </w:rPr>
        <w:t>Hauteur :</w:t>
      </w:r>
      <w:r>
        <w:t xml:space="preserve">  </w:t>
      </w:r>
      <w:r>
        <w:rPr>
          <w:rStyle w:val="optioncarChar"/>
        </w:rPr>
        <w:t>± 100</w:t>
      </w:r>
      <w:r>
        <w:t xml:space="preserve"> (par défaut)</w:t>
      </w:r>
      <w:r>
        <w:rPr>
          <w:rStyle w:val="optioncarChar"/>
        </w:rPr>
        <w:t xml:space="preserve"> / ± 50 / ***</w:t>
      </w:r>
      <w:r>
        <w:t>  </w:t>
      </w:r>
      <w:r>
        <w:rPr>
          <w:rStyle w:val="soitChar"/>
        </w:rPr>
        <w:t>mm</w:t>
      </w:r>
    </w:p>
    <w:p w14:paraId="26A12999" w14:textId="77777777" w:rsidR="004B2808" w:rsidRDefault="00000000">
      <w:pPr>
        <w:pStyle w:val="Author-eListParagraph"/>
        <w:numPr>
          <w:ilvl w:val="0"/>
          <w:numId w:val="222"/>
        </w:numPr>
      </w:pPr>
      <w:r>
        <w:rPr>
          <w:rStyle w:val="soitChar"/>
        </w:rPr>
        <w:t>Teinte :</w:t>
      </w:r>
      <w:r>
        <w:t>  </w:t>
      </w:r>
      <w:r>
        <w:rPr>
          <w:rStyle w:val="optioncarChar"/>
        </w:rPr>
        <w:t>anthracite</w:t>
      </w:r>
      <w:r>
        <w:t xml:space="preserve"> (par défaut) </w:t>
      </w:r>
      <w:r>
        <w:rPr>
          <w:rStyle w:val="optioncarChar"/>
        </w:rPr>
        <w:t>/ blanc / au choix de la direction des travaux</w:t>
      </w:r>
    </w:p>
    <w:p w14:paraId="0FC58D2E" w14:textId="77777777" w:rsidR="004B2808" w:rsidRDefault="00000000">
      <w:pPr>
        <w:pStyle w:val="Author-eListParagraph"/>
        <w:numPr>
          <w:ilvl w:val="0"/>
          <w:numId w:val="222"/>
        </w:numPr>
      </w:pPr>
      <w:r>
        <w:rPr>
          <w:rStyle w:val="soitChar"/>
        </w:rPr>
        <w:t>Forme </w:t>
      </w:r>
      <w:r>
        <w:t>:  </w:t>
      </w:r>
      <w:r>
        <w:rPr>
          <w:rStyle w:val="optioncarChar"/>
        </w:rPr>
        <w:t>T / en V / piats / tubulaires / sur roulettes avec frein</w:t>
      </w:r>
    </w:p>
    <w:p w14:paraId="28C5D2D6" w14:textId="77777777" w:rsidR="004B2808" w:rsidRDefault="00000000">
      <w:pPr>
        <w:pStyle w:val="Author-eListParagraph"/>
        <w:numPr>
          <w:ilvl w:val="0"/>
          <w:numId w:val="222"/>
        </w:numPr>
      </w:pPr>
      <w:r>
        <w:rPr>
          <w:rStyle w:val="soitChar"/>
        </w:rPr>
        <w:t>Fixation des panneaux entre eux :</w:t>
      </w:r>
      <w:r>
        <w:t xml:space="preserve">  </w:t>
      </w:r>
      <w:r>
        <w:rPr>
          <w:rStyle w:val="optioncarChar"/>
        </w:rPr>
        <w:t>oui / non</w:t>
      </w:r>
    </w:p>
    <w:p w14:paraId="48362D44" w14:textId="77777777" w:rsidR="004B2808" w:rsidRDefault="00000000">
      <w:pPr>
        <w:jc w:val="both"/>
      </w:pPr>
      <w:r>
        <w:t> </w:t>
      </w:r>
    </w:p>
    <w:p w14:paraId="61735527" w14:textId="77777777" w:rsidR="004B2808" w:rsidRDefault="00000000">
      <w:pPr>
        <w:jc w:val="both"/>
      </w:pPr>
      <w:r>
        <w:t xml:space="preserve">Les écrans sont composés de : </w:t>
      </w:r>
      <w:r>
        <w:rPr>
          <w:rStyle w:val="optioncarChar"/>
        </w:rPr>
        <w:t>cadre avec noyau acoustique et finition textile</w:t>
      </w:r>
      <w:r>
        <w:t xml:space="preserve"> (par défaut)</w:t>
      </w:r>
      <w:r>
        <w:rPr>
          <w:rStyle w:val="optioncarChar"/>
        </w:rPr>
        <w:t xml:space="preserve"> / cadre avec panneau de particules et finition textile / ***</w:t>
      </w:r>
    </w:p>
    <w:p w14:paraId="2096B600" w14:textId="77777777" w:rsidR="004B2808" w:rsidRDefault="00000000">
      <w:pPr>
        <w:jc w:val="both"/>
      </w:pPr>
      <w:r>
        <w:rPr>
          <w:b/>
        </w:rPr>
        <w:t>(soit par défaut)</w:t>
      </w:r>
    </w:p>
    <w:p w14:paraId="50D0E901" w14:textId="77777777" w:rsidR="004B2808" w:rsidRDefault="00000000">
      <w:pPr>
        <w:jc w:val="both"/>
      </w:pPr>
      <w:r>
        <w:rPr>
          <w:rStyle w:val="soitChar"/>
          <w:u w:val="single"/>
        </w:rPr>
        <w:t>Cadre avec noyau acoustique et finition textile :</w:t>
      </w:r>
    </w:p>
    <w:p w14:paraId="79879E61" w14:textId="77777777" w:rsidR="004B2808" w:rsidRDefault="00000000">
      <w:pPr>
        <w:pStyle w:val="Author-eListParagraph"/>
        <w:numPr>
          <w:ilvl w:val="0"/>
          <w:numId w:val="223"/>
        </w:numPr>
      </w:pPr>
      <w:r>
        <w:rPr>
          <w:rStyle w:val="soitChar"/>
        </w:rPr>
        <w:t>Cadre :</w:t>
      </w:r>
    </w:p>
    <w:p w14:paraId="62D3F954" w14:textId="77777777" w:rsidR="004B2808" w:rsidRDefault="00000000">
      <w:pPr>
        <w:pStyle w:val="Author-eListParagraph"/>
        <w:numPr>
          <w:ilvl w:val="1"/>
          <w:numId w:val="224"/>
        </w:numPr>
      </w:pPr>
      <w:r>
        <w:rPr>
          <w:rStyle w:val="soitChar"/>
        </w:rPr>
        <w:t xml:space="preserve">Matériau : </w:t>
      </w:r>
      <w:r>
        <w:rPr>
          <w:rStyle w:val="optioncarChar"/>
        </w:rPr>
        <w:t xml:space="preserve">aluminium thermolaqué </w:t>
      </w:r>
      <w:r>
        <w:t>(par défaut)</w:t>
      </w:r>
      <w:r>
        <w:rPr>
          <w:rStyle w:val="optioncarChar"/>
        </w:rPr>
        <w:t xml:space="preserve"> / aluminium anodisé / bois / acier finition époxy / inox / ***</w:t>
      </w:r>
    </w:p>
    <w:p w14:paraId="791102B9" w14:textId="77777777" w:rsidR="004B2808" w:rsidRDefault="00000000">
      <w:pPr>
        <w:pStyle w:val="Author-eListParagraph"/>
        <w:numPr>
          <w:ilvl w:val="1"/>
          <w:numId w:val="224"/>
        </w:numPr>
      </w:pPr>
      <w:r>
        <w:rPr>
          <w:rStyle w:val="soitChar"/>
        </w:rPr>
        <w:t xml:space="preserve">Visible : </w:t>
      </w:r>
      <w:r>
        <w:rPr>
          <w:rStyle w:val="optioncarChar"/>
        </w:rPr>
        <w:t>oui / non</w:t>
      </w:r>
    </w:p>
    <w:p w14:paraId="1CA2730A" w14:textId="77777777" w:rsidR="004B2808" w:rsidRDefault="00000000">
      <w:pPr>
        <w:pStyle w:val="Author-eListParagraph"/>
        <w:numPr>
          <w:ilvl w:val="0"/>
          <w:numId w:val="223"/>
        </w:numPr>
      </w:pPr>
      <w:r>
        <w:rPr>
          <w:rStyle w:val="soitChar"/>
        </w:rPr>
        <w:t xml:space="preserve">Noyau acoustique :  </w:t>
      </w:r>
      <w:r>
        <w:rPr>
          <w:rStyle w:val="optioncarChar"/>
        </w:rPr>
        <w:t xml:space="preserve">laine de roche </w:t>
      </w:r>
      <w:r>
        <w:t>(par défaut)</w:t>
      </w:r>
      <w:r>
        <w:rPr>
          <w:rStyle w:val="optioncarChar"/>
        </w:rPr>
        <w:t> / laine de verre / fibres de polyester / ***</w:t>
      </w:r>
    </w:p>
    <w:p w14:paraId="1F23F59D" w14:textId="77777777" w:rsidR="004B2808" w:rsidRDefault="00000000">
      <w:pPr>
        <w:pStyle w:val="Author-eListParagraph"/>
        <w:numPr>
          <w:ilvl w:val="0"/>
          <w:numId w:val="223"/>
        </w:numPr>
      </w:pPr>
      <w:r>
        <w:rPr>
          <w:rStyle w:val="soitChar"/>
        </w:rPr>
        <w:t>Densité :</w:t>
      </w:r>
      <w:r>
        <w:rPr>
          <w:rStyle w:val="optioncarChar"/>
        </w:rPr>
        <w:t xml:space="preserve"> ± 16 / ± 36 / /± 80 / ± 120 / ***</w:t>
      </w:r>
      <w:r>
        <w:rPr>
          <w:rStyle w:val="soitChar"/>
        </w:rPr>
        <w:t xml:space="preserve"> kg/m3</w:t>
      </w:r>
    </w:p>
    <w:p w14:paraId="41925D9A" w14:textId="77777777" w:rsidR="004B2808" w:rsidRDefault="00000000">
      <w:pPr>
        <w:pStyle w:val="Author-eListParagraph"/>
        <w:numPr>
          <w:ilvl w:val="0"/>
          <w:numId w:val="223"/>
        </w:numPr>
      </w:pPr>
      <w:r>
        <w:rPr>
          <w:rStyle w:val="soitChar"/>
        </w:rPr>
        <w:t xml:space="preserve">Épaisseur : </w:t>
      </w:r>
      <w:r>
        <w:rPr>
          <w:rStyle w:val="optioncarChar"/>
        </w:rPr>
        <w:t>± 20 / ± 40 / ***</w:t>
      </w:r>
      <w:r>
        <w:rPr>
          <w:rStyle w:val="soitChar"/>
        </w:rPr>
        <w:t xml:space="preserve"> mm</w:t>
      </w:r>
    </w:p>
    <w:p w14:paraId="271DC76C" w14:textId="77777777" w:rsidR="004B2808" w:rsidRDefault="00000000">
      <w:pPr>
        <w:pStyle w:val="Author-eListParagraph"/>
        <w:numPr>
          <w:ilvl w:val="0"/>
          <w:numId w:val="223"/>
        </w:numPr>
      </w:pPr>
      <w:r>
        <w:rPr>
          <w:rStyle w:val="soitChar"/>
        </w:rPr>
        <w:t xml:space="preserve">Classe d’absorption acoustique suivant [NBN EN ISO 11654] : </w:t>
      </w:r>
      <w:r>
        <w:rPr>
          <w:rStyle w:val="optioncarChar"/>
        </w:rPr>
        <w:t xml:space="preserve">A </w:t>
      </w:r>
      <w:r>
        <w:t>(par défaut)</w:t>
      </w:r>
      <w:r>
        <w:rPr>
          <w:rStyle w:val="optioncarChar"/>
        </w:rPr>
        <w:t xml:space="preserve"> / B / C</w:t>
      </w:r>
    </w:p>
    <w:p w14:paraId="3C7831FB" w14:textId="77777777" w:rsidR="004B2808" w:rsidRDefault="00000000">
      <w:pPr>
        <w:pStyle w:val="Author-eListParagraph"/>
        <w:numPr>
          <w:ilvl w:val="0"/>
          <w:numId w:val="223"/>
        </w:numPr>
      </w:pPr>
      <w:r>
        <w:rPr>
          <w:rStyle w:val="soitChar"/>
        </w:rPr>
        <w:t xml:space="preserve">Panneau de particules intégré : </w:t>
      </w:r>
      <w:r>
        <w:rPr>
          <w:rStyle w:val="optioncarChar"/>
        </w:rPr>
        <w:t xml:space="preserve">oui </w:t>
      </w:r>
      <w:r>
        <w:t xml:space="preserve">(par défaut) </w:t>
      </w:r>
      <w:r>
        <w:rPr>
          <w:rStyle w:val="optioncarChar"/>
        </w:rPr>
        <w:t>/ non</w:t>
      </w:r>
    </w:p>
    <w:p w14:paraId="6A22496A" w14:textId="77777777" w:rsidR="004B2808" w:rsidRDefault="00000000">
      <w:pPr>
        <w:ind w:left="567"/>
        <w:jc w:val="both"/>
      </w:pPr>
      <w:r>
        <w:rPr>
          <w:b/>
        </w:rPr>
        <w:t>(soit par défaut)</w:t>
      </w:r>
    </w:p>
    <w:p w14:paraId="4067628A" w14:textId="77777777" w:rsidR="004B2808" w:rsidRDefault="00000000">
      <w:pPr>
        <w:ind w:left="567"/>
        <w:jc w:val="both"/>
      </w:pPr>
      <w:r>
        <w:rPr>
          <w:rStyle w:val="soitChar"/>
          <w:u w:val="single"/>
        </w:rPr>
        <w:t>Oui :</w:t>
      </w:r>
    </w:p>
    <w:p w14:paraId="593C2BB6" w14:textId="77777777" w:rsidR="004B2808" w:rsidRDefault="00000000">
      <w:pPr>
        <w:ind w:left="567"/>
        <w:jc w:val="both"/>
      </w:pPr>
      <w:r>
        <w:rPr>
          <w:rStyle w:val="soitChar"/>
        </w:rPr>
        <w:t xml:space="preserve">Matériau : </w:t>
      </w:r>
      <w:r>
        <w:rPr>
          <w:rStyle w:val="optioncarChar"/>
        </w:rPr>
        <w:t>aggloméré / mdf</w:t>
      </w:r>
    </w:p>
    <w:p w14:paraId="7465CE50" w14:textId="77777777" w:rsidR="004B2808" w:rsidRDefault="00000000">
      <w:pPr>
        <w:ind w:left="567"/>
        <w:jc w:val="both"/>
      </w:pPr>
      <w:r>
        <w:rPr>
          <w:rStyle w:val="soitChar"/>
        </w:rPr>
        <w:lastRenderedPageBreak/>
        <w:t xml:space="preserve">Épaisseur : </w:t>
      </w:r>
      <w:r>
        <w:rPr>
          <w:rStyle w:val="optioncarChar"/>
        </w:rPr>
        <w:t xml:space="preserve">18 </w:t>
      </w:r>
      <w:r>
        <w:t xml:space="preserve">(par défaut) </w:t>
      </w:r>
      <w:r>
        <w:rPr>
          <w:rStyle w:val="optioncarChar"/>
        </w:rPr>
        <w:t>/ 16 / ***</w:t>
      </w:r>
      <w:r>
        <w:rPr>
          <w:rStyle w:val="soitChar"/>
        </w:rPr>
        <w:t xml:space="preserve"> mm</w:t>
      </w:r>
    </w:p>
    <w:p w14:paraId="00A8D42B" w14:textId="77777777" w:rsidR="004B2808" w:rsidRDefault="00000000">
      <w:pPr>
        <w:ind w:left="567"/>
        <w:jc w:val="both"/>
      </w:pPr>
      <w:r>
        <w:rPr>
          <w:b/>
        </w:rPr>
        <w:t>(soit)</w:t>
      </w:r>
    </w:p>
    <w:p w14:paraId="67E027E5" w14:textId="77777777" w:rsidR="004B2808" w:rsidRDefault="00000000">
      <w:pPr>
        <w:ind w:left="567"/>
        <w:jc w:val="both"/>
      </w:pPr>
      <w:r>
        <w:rPr>
          <w:rStyle w:val="soitChar"/>
          <w:u w:val="single"/>
        </w:rPr>
        <w:t>Non :</w:t>
      </w:r>
    </w:p>
    <w:p w14:paraId="1D6777D4" w14:textId="77777777" w:rsidR="004B2808" w:rsidRDefault="00000000">
      <w:pPr>
        <w:pStyle w:val="Author-eListParagraph"/>
        <w:numPr>
          <w:ilvl w:val="0"/>
          <w:numId w:val="225"/>
        </w:numPr>
      </w:pPr>
      <w:r>
        <w:rPr>
          <w:rStyle w:val="soitChar"/>
        </w:rPr>
        <w:t>Textile :</w:t>
      </w:r>
    </w:p>
    <w:p w14:paraId="256CB3B8" w14:textId="77777777" w:rsidR="004B2808" w:rsidRDefault="00000000">
      <w:pPr>
        <w:pStyle w:val="Author-eListParagraph"/>
        <w:numPr>
          <w:ilvl w:val="1"/>
          <w:numId w:val="226"/>
        </w:numPr>
      </w:pPr>
      <w:r>
        <w:rPr>
          <w:rStyle w:val="soitChar"/>
        </w:rPr>
        <w:t xml:space="preserve">Matériau : </w:t>
      </w:r>
      <w:r>
        <w:rPr>
          <w:rStyle w:val="optioncarChar"/>
        </w:rPr>
        <w:t xml:space="preserve">polyester </w:t>
      </w:r>
      <w:r>
        <w:t>(par défaut)</w:t>
      </w:r>
      <w:r>
        <w:rPr>
          <w:rStyle w:val="optioncarChar"/>
        </w:rPr>
        <w:t> / polyester -viscose / polyester-coton / laine / ***</w:t>
      </w:r>
    </w:p>
    <w:p w14:paraId="56375A0E" w14:textId="77777777" w:rsidR="004B2808" w:rsidRDefault="00000000">
      <w:pPr>
        <w:pStyle w:val="Author-eListParagraph"/>
        <w:numPr>
          <w:ilvl w:val="1"/>
          <w:numId w:val="226"/>
        </w:numPr>
      </w:pPr>
      <w:r>
        <w:rPr>
          <w:rStyle w:val="soitChar"/>
        </w:rPr>
        <w:t xml:space="preserve">Aspect : </w:t>
      </w:r>
      <w:r>
        <w:rPr>
          <w:rStyle w:val="optioncarChar"/>
        </w:rPr>
        <w:t>uni, teinte au choix de la direction des travaux / impression au choix de la direction des travaux</w:t>
      </w:r>
    </w:p>
    <w:p w14:paraId="2486BE7A" w14:textId="77777777" w:rsidR="004B2808" w:rsidRDefault="00000000">
      <w:pPr>
        <w:jc w:val="both"/>
      </w:pPr>
      <w:r>
        <w:rPr>
          <w:b/>
        </w:rPr>
        <w:t>(soit)</w:t>
      </w:r>
    </w:p>
    <w:p w14:paraId="60461DAB" w14:textId="77777777" w:rsidR="004B2808" w:rsidRDefault="00000000">
      <w:pPr>
        <w:jc w:val="both"/>
      </w:pPr>
      <w:r>
        <w:rPr>
          <w:rStyle w:val="soitChar"/>
          <w:u w:val="single"/>
        </w:rPr>
        <w:t>Cadre avec panneau de particules et finition textile :</w:t>
      </w:r>
    </w:p>
    <w:p w14:paraId="7CED10AB" w14:textId="77777777" w:rsidR="004B2808" w:rsidRDefault="00000000">
      <w:pPr>
        <w:pStyle w:val="Author-eListParagraph"/>
        <w:numPr>
          <w:ilvl w:val="0"/>
          <w:numId w:val="227"/>
        </w:numPr>
      </w:pPr>
      <w:r>
        <w:rPr>
          <w:rStyle w:val="soitChar"/>
        </w:rPr>
        <w:t>Cadre :</w:t>
      </w:r>
    </w:p>
    <w:p w14:paraId="2DA57160" w14:textId="77777777" w:rsidR="004B2808" w:rsidRDefault="00000000">
      <w:pPr>
        <w:pStyle w:val="Author-eListParagraph"/>
        <w:numPr>
          <w:ilvl w:val="1"/>
          <w:numId w:val="228"/>
        </w:numPr>
      </w:pPr>
      <w:r>
        <w:rPr>
          <w:rStyle w:val="soitChar"/>
        </w:rPr>
        <w:t xml:space="preserve">Matériau : </w:t>
      </w:r>
      <w:r>
        <w:rPr>
          <w:rStyle w:val="optioncarChar"/>
        </w:rPr>
        <w:t>aluminium thermolaqué</w:t>
      </w:r>
      <w:r>
        <w:t xml:space="preserve"> (par défaut)</w:t>
      </w:r>
      <w:r>
        <w:rPr>
          <w:rStyle w:val="optioncarChar"/>
        </w:rPr>
        <w:t xml:space="preserve"> / aluminium anodisé / bois / acier finition époxy / inox / ***</w:t>
      </w:r>
    </w:p>
    <w:p w14:paraId="3EFB3017" w14:textId="77777777" w:rsidR="004B2808" w:rsidRDefault="00000000">
      <w:pPr>
        <w:pStyle w:val="Author-eListParagraph"/>
        <w:numPr>
          <w:ilvl w:val="1"/>
          <w:numId w:val="228"/>
        </w:numPr>
      </w:pPr>
      <w:r>
        <w:rPr>
          <w:rStyle w:val="soitChar"/>
        </w:rPr>
        <w:t xml:space="preserve">Visible : </w:t>
      </w:r>
      <w:r>
        <w:rPr>
          <w:rStyle w:val="optioncarChar"/>
        </w:rPr>
        <w:t>oui / non</w:t>
      </w:r>
    </w:p>
    <w:p w14:paraId="4570AF62" w14:textId="77777777" w:rsidR="004B2808" w:rsidRDefault="00000000">
      <w:pPr>
        <w:pStyle w:val="Author-eListParagraph"/>
        <w:numPr>
          <w:ilvl w:val="0"/>
          <w:numId w:val="227"/>
        </w:numPr>
      </w:pPr>
      <w:r>
        <w:rPr>
          <w:rStyle w:val="soitChar"/>
        </w:rPr>
        <w:t xml:space="preserve">Panneau de particules : </w:t>
      </w:r>
      <w:r>
        <w:rPr>
          <w:rStyle w:val="optioncarChar"/>
        </w:rPr>
        <w:t>aggloméré / mdf</w:t>
      </w:r>
    </w:p>
    <w:p w14:paraId="0F0511F4" w14:textId="77777777" w:rsidR="004B2808" w:rsidRDefault="00000000">
      <w:pPr>
        <w:pStyle w:val="Author-eListParagraph"/>
        <w:numPr>
          <w:ilvl w:val="0"/>
          <w:numId w:val="227"/>
        </w:numPr>
      </w:pPr>
      <w:r>
        <w:rPr>
          <w:rStyle w:val="soitChar"/>
        </w:rPr>
        <w:t>Textile :</w:t>
      </w:r>
    </w:p>
    <w:p w14:paraId="508E7ED4" w14:textId="77777777" w:rsidR="004B2808" w:rsidRDefault="00000000">
      <w:pPr>
        <w:pStyle w:val="Author-eListParagraph"/>
        <w:numPr>
          <w:ilvl w:val="1"/>
          <w:numId w:val="229"/>
        </w:numPr>
      </w:pPr>
      <w:r>
        <w:rPr>
          <w:rStyle w:val="soitChar"/>
        </w:rPr>
        <w:t xml:space="preserve">Matériau : </w:t>
      </w:r>
      <w:r>
        <w:rPr>
          <w:rStyle w:val="optioncarChar"/>
        </w:rPr>
        <w:t>polyester </w:t>
      </w:r>
      <w:r>
        <w:t>(par défaut)</w:t>
      </w:r>
      <w:r>
        <w:rPr>
          <w:rStyle w:val="optioncarChar"/>
        </w:rPr>
        <w:t> / polyester-viscose / polyester-coton / laine / ***</w:t>
      </w:r>
    </w:p>
    <w:p w14:paraId="05A465E8" w14:textId="77777777" w:rsidR="004B2808" w:rsidRDefault="00000000">
      <w:pPr>
        <w:pStyle w:val="Author-eListParagraph"/>
        <w:numPr>
          <w:ilvl w:val="1"/>
          <w:numId w:val="229"/>
        </w:numPr>
      </w:pPr>
      <w:r>
        <w:rPr>
          <w:rStyle w:val="soitChar"/>
        </w:rPr>
        <w:t xml:space="preserve">Aspect : </w:t>
      </w:r>
      <w:r>
        <w:rPr>
          <w:rStyle w:val="optioncarChar"/>
        </w:rPr>
        <w:t>uni, teinte au choix de la direction des travaux / impression au choix de la direction des travaux</w:t>
      </w:r>
    </w:p>
    <w:p w14:paraId="0EE6356C" w14:textId="77777777" w:rsidR="004B2808" w:rsidRDefault="00000000">
      <w:r>
        <w:rPr>
          <w:b/>
        </w:rPr>
        <w:t>(soit)</w:t>
      </w:r>
      <w:r>
        <w:br/>
      </w:r>
      <w:r>
        <w:rPr>
          <w:rStyle w:val="optioncarChar"/>
        </w:rPr>
        <w:t>***</w:t>
      </w:r>
    </w:p>
    <w:p w14:paraId="309C364B" w14:textId="77777777" w:rsidR="004B2808" w:rsidRDefault="00000000">
      <w:pPr>
        <w:jc w:val="both"/>
      </w:pPr>
      <w:r>
        <w:rPr>
          <w:b/>
        </w:rPr>
        <w:t>Aspects environnementaux :</w:t>
      </w:r>
    </w:p>
    <w:p w14:paraId="73DBAEB7" w14:textId="77777777" w:rsidR="004B2808" w:rsidRDefault="00000000">
      <w:pPr>
        <w:pStyle w:val="Author-eListParagraph"/>
        <w:numPr>
          <w:ilvl w:val="0"/>
          <w:numId w:val="230"/>
        </w:numPr>
        <w:jc w:val="both"/>
      </w:pPr>
      <w:r>
        <w:t xml:space="preserve">Panneaux à base de bois issu de forêts gérées durablement suivant prescriptions du 02.42.4 Bois provenant de forêts gérées durablement : </w:t>
      </w:r>
      <w:r>
        <w:rPr>
          <w:rStyle w:val="optioncarChar"/>
        </w:rPr>
        <w:t>oui / non</w:t>
      </w:r>
    </w:p>
    <w:p w14:paraId="4DCA89A8" w14:textId="77777777" w:rsidR="004B2808" w:rsidRDefault="00000000">
      <w:pPr>
        <w:pStyle w:val="Author-eListParagraph"/>
        <w:numPr>
          <w:ilvl w:val="0"/>
          <w:numId w:val="230"/>
        </w:numPr>
        <w:jc w:val="both"/>
      </w:pPr>
      <w:r>
        <w:t xml:space="preserve">Matériaux recyclés entrant dans la fabrication du produit : </w:t>
      </w:r>
      <w:r>
        <w:rPr>
          <w:rStyle w:val="optioncarChar"/>
        </w:rPr>
        <w:t>oui / non</w:t>
      </w:r>
    </w:p>
    <w:p w14:paraId="6E0FD083" w14:textId="77777777" w:rsidR="004B2808" w:rsidRDefault="00000000">
      <w:pPr>
        <w:pStyle w:val="Author-eListParagraph"/>
        <w:numPr>
          <w:ilvl w:val="0"/>
          <w:numId w:val="230"/>
        </w:numPr>
        <w:jc w:val="both"/>
      </w:pPr>
      <w:r>
        <w:t xml:space="preserve">Matériaux disposant d’un label suivant prescriptions du 02.42.6 Labels environnementaux : </w:t>
      </w:r>
      <w:r>
        <w:rPr>
          <w:rStyle w:val="optioncarChar"/>
        </w:rPr>
        <w:t>oui / non</w:t>
      </w:r>
    </w:p>
    <w:p w14:paraId="6FBF33AA" w14:textId="77777777" w:rsidR="004B2808" w:rsidRDefault="00000000">
      <w:pPr>
        <w:pStyle w:val="pheading"/>
      </w:pPr>
      <w:r>
        <w:t>DOCUMENTS DE RÉFÉRENCE COMPLÉMENTAIRES</w:t>
      </w:r>
    </w:p>
    <w:p w14:paraId="152DE730" w14:textId="77777777" w:rsidR="004B2808" w:rsidRDefault="00000000">
      <w:pPr>
        <w:pStyle w:val="pheading"/>
      </w:pPr>
      <w:r>
        <w:t>- Matériau</w:t>
      </w:r>
    </w:p>
    <w:p w14:paraId="1D0ADB9B" w14:textId="77777777" w:rsidR="004B2808" w:rsidRDefault="00000000">
      <w:r>
        <w:t>[NBN EN 13501-1, Classement au feu des produits et éléments de construction - Partie 1: Classement à partir des données d'essais de réaction au feu]</w:t>
      </w:r>
    </w:p>
    <w:p w14:paraId="44978181" w14:textId="77777777" w:rsidR="004B2808" w:rsidRDefault="00000000">
      <w:r>
        <w:t>[NBN EN ISO 11654, Acoustique - Absorbants pour l'utilisation dans les bâtiments - Evaluation de l'absorption acoustique (ISO 11654:1997)]</w:t>
      </w:r>
    </w:p>
    <w:p w14:paraId="0350148C" w14:textId="77777777" w:rsidR="004B2808" w:rsidRDefault="00000000">
      <w:r>
        <w:t>[NBN EN ISO 354, Acoustique - Mesurage de l'absorption acoustique en salle réverbérante (ISO 354:2003)]</w:t>
      </w:r>
    </w:p>
    <w:p w14:paraId="3230FACE" w14:textId="77777777" w:rsidR="004B2808" w:rsidRDefault="00000000">
      <w:pPr>
        <w:pStyle w:val="pheading"/>
      </w:pPr>
      <w:r>
        <w:t>MESURAGE</w:t>
      </w:r>
    </w:p>
    <w:p w14:paraId="1C12704E" w14:textId="77777777" w:rsidR="004B2808" w:rsidRDefault="00000000">
      <w:pPr>
        <w:pStyle w:val="pheading"/>
      </w:pPr>
      <w:r>
        <w:t>- unité de mesure:</w:t>
      </w:r>
    </w:p>
    <w:p w14:paraId="0A6B250C" w14:textId="77777777" w:rsidR="004B2808" w:rsidRDefault="00000000">
      <w:r>
        <w:t>pc</w:t>
      </w:r>
    </w:p>
    <w:p w14:paraId="4B79067D" w14:textId="77777777" w:rsidR="004B2808" w:rsidRDefault="00000000">
      <w:pPr>
        <w:pStyle w:val="pheading"/>
      </w:pPr>
      <w:r>
        <w:t>- code de mesurage:</w:t>
      </w:r>
    </w:p>
    <w:p w14:paraId="7CFACE09" w14:textId="77777777" w:rsidR="004B2808" w:rsidRDefault="00000000">
      <w:r>
        <w:t>Quantité nette : à la pièce, distinction faite du type et des dimensions</w:t>
      </w:r>
    </w:p>
    <w:p w14:paraId="3CBF2D4D" w14:textId="77777777" w:rsidR="004B2808" w:rsidRDefault="00000000">
      <w:pPr>
        <w:pStyle w:val="pheading"/>
      </w:pPr>
      <w:r>
        <w:t>- nature du marché:</w:t>
      </w:r>
    </w:p>
    <w:p w14:paraId="0D39AA88" w14:textId="77777777" w:rsidR="004B2808" w:rsidRDefault="00000000">
      <w:r>
        <w:t>QF</w:t>
      </w:r>
    </w:p>
    <w:p w14:paraId="784FE8C9" w14:textId="77777777" w:rsidR="004B2808" w:rsidRDefault="00000000">
      <w:pPr>
        <w:pStyle w:val="Author-eSectionHeading5Numberless"/>
      </w:pPr>
      <w:bookmarkStart w:id="123" w:name="_Toc220490328"/>
      <w:r>
        <w:t>51.46.4 Ecran de séparation mobiles mixtes CCTB 01.02</w:t>
      </w:r>
      <w:bookmarkEnd w:id="123"/>
    </w:p>
    <w:p w14:paraId="2CA26EDE" w14:textId="77777777" w:rsidR="004B2808" w:rsidRDefault="00000000">
      <w:pPr>
        <w:pStyle w:val="Author-eSectionHeading6Numberless"/>
      </w:pPr>
      <w:bookmarkStart w:id="124" w:name="_Toc220490329"/>
      <w:r>
        <w:t>51.46.4a Ecran de séparation mobiles mixtes CCTB 01.02</w:t>
      </w:r>
      <w:bookmarkEnd w:id="124"/>
    </w:p>
    <w:p w14:paraId="6E83FA43" w14:textId="77777777" w:rsidR="004B2808" w:rsidRDefault="00000000">
      <w:pPr>
        <w:pStyle w:val="Author-eSectionHeading4Numberless"/>
      </w:pPr>
      <w:bookmarkStart w:id="125" w:name="_Toc220490330"/>
      <w:r>
        <w:lastRenderedPageBreak/>
        <w:t>51.47 Rideaux séparateurs CCTB 01.02</w:t>
      </w:r>
      <w:bookmarkEnd w:id="125"/>
    </w:p>
    <w:p w14:paraId="5824BE58" w14:textId="77777777" w:rsidR="004B2808" w:rsidRDefault="00000000">
      <w:pPr>
        <w:pStyle w:val="Author-eSectionHeading5Numberless"/>
      </w:pPr>
      <w:bookmarkStart w:id="126" w:name="_Toc220490331"/>
      <w:r>
        <w:t>51.47.1 Rideaux séparateurs métalliques CCTB 01.02</w:t>
      </w:r>
      <w:bookmarkEnd w:id="126"/>
    </w:p>
    <w:p w14:paraId="14A7264A" w14:textId="77777777" w:rsidR="004B2808" w:rsidRDefault="00000000">
      <w:pPr>
        <w:pStyle w:val="Author-eSectionHeading6Numberless"/>
      </w:pPr>
      <w:bookmarkStart w:id="127" w:name="_Toc220490332"/>
      <w:r>
        <w:t>51.47.1a Rideaux séparateurs métalliques CCTB 01.02</w:t>
      </w:r>
      <w:bookmarkEnd w:id="127"/>
    </w:p>
    <w:p w14:paraId="6B74A312" w14:textId="77777777" w:rsidR="004B2808" w:rsidRDefault="00000000">
      <w:pPr>
        <w:pStyle w:val="Author-eSectionHeading5Numberless"/>
      </w:pPr>
      <w:bookmarkStart w:id="128" w:name="_Toc220490333"/>
      <w:r>
        <w:t>51.47.2 Rideaux séparateurs synthétiques et composites CCTB 01.02</w:t>
      </w:r>
      <w:bookmarkEnd w:id="128"/>
    </w:p>
    <w:p w14:paraId="74A0E099" w14:textId="77777777" w:rsidR="004B2808" w:rsidRDefault="00000000">
      <w:pPr>
        <w:pStyle w:val="Author-eSectionHeading6Numberless"/>
      </w:pPr>
      <w:bookmarkStart w:id="129" w:name="_Toc220490334"/>
      <w:r>
        <w:t>51.47.2a Rideaux séparateurs synthétiques et composites CCTB 01.02</w:t>
      </w:r>
      <w:bookmarkEnd w:id="129"/>
    </w:p>
    <w:p w14:paraId="5AD53F8C" w14:textId="77777777" w:rsidR="004B2808" w:rsidRDefault="00000000">
      <w:pPr>
        <w:pStyle w:val="Author-eSectionHeading5Numberless"/>
      </w:pPr>
      <w:bookmarkStart w:id="130" w:name="_Toc220490335"/>
      <w:r>
        <w:t>51.47.3 Rideaux séparateurs en textile CCTB 01.02</w:t>
      </w:r>
      <w:bookmarkEnd w:id="130"/>
    </w:p>
    <w:p w14:paraId="41F3C257" w14:textId="77777777" w:rsidR="004B2808" w:rsidRDefault="00000000">
      <w:pPr>
        <w:pStyle w:val="Author-eSectionHeading6Numberless"/>
      </w:pPr>
      <w:bookmarkStart w:id="131" w:name="_Toc220490336"/>
      <w:r>
        <w:t>51.47.3a Rideaux séparateurs en textile CCTB 01.02</w:t>
      </w:r>
      <w:bookmarkEnd w:id="131"/>
    </w:p>
    <w:p w14:paraId="3F734D56" w14:textId="77777777" w:rsidR="004B2808" w:rsidRDefault="00000000">
      <w:pPr>
        <w:pStyle w:val="Author-eSectionHeading5Numberless"/>
      </w:pPr>
      <w:bookmarkStart w:id="132" w:name="_Toc220490337"/>
      <w:r>
        <w:t>51.47.4 Rideaux séparateurs mixtes CCTB 01.02</w:t>
      </w:r>
      <w:bookmarkEnd w:id="132"/>
    </w:p>
    <w:p w14:paraId="456AABE4" w14:textId="77777777" w:rsidR="004B2808" w:rsidRDefault="00000000">
      <w:pPr>
        <w:pStyle w:val="Author-eSectionHeading6Numberless"/>
      </w:pPr>
      <w:bookmarkStart w:id="133" w:name="_Toc220490338"/>
      <w:r>
        <w:t>51.47.4a Rideaux séparateurs mixtes CCTB 01.02</w:t>
      </w:r>
      <w:bookmarkEnd w:id="133"/>
    </w:p>
    <w:p w14:paraId="285126E4" w14:textId="77777777" w:rsidR="004B2808" w:rsidRDefault="00000000">
      <w:pPr>
        <w:pStyle w:val="Author-eSectionHeading3Numberless"/>
      </w:pPr>
      <w:bookmarkStart w:id="134" w:name="_Toc220490339"/>
      <w:r>
        <w:t>51.5 Revêtements intérieurs enduits CCTB 01.12</w:t>
      </w:r>
      <w:bookmarkEnd w:id="134"/>
    </w:p>
    <w:p w14:paraId="4C4DC33B" w14:textId="77777777" w:rsidR="004B2808" w:rsidRDefault="00000000">
      <w:pPr>
        <w:pStyle w:val="pheading"/>
      </w:pPr>
      <w:bookmarkStart w:id="135" w:name="1164"/>
      <w:bookmarkEnd w:id="135"/>
      <w:r>
        <w:t>DESCRIPTION</w:t>
      </w:r>
    </w:p>
    <w:p w14:paraId="5E47966F" w14:textId="77777777" w:rsidR="004B2808" w:rsidRDefault="00000000">
      <w:pPr>
        <w:pStyle w:val="pheading"/>
      </w:pPr>
      <w:r>
        <w:t>- Définition / Comprend</w:t>
      </w:r>
    </w:p>
    <w:p w14:paraId="7B62FEA8" w14:textId="77777777" w:rsidR="004B2808" w:rsidRDefault="00000000">
      <w:r>
        <w:t>Le poste " Revêtements intérieurs enduits" comprend toutes les fournitures et travaux en vue de la réalisation des plafonnages prévus sur les murs intérieurs. Conformément aux dispositions générales et/ou spécifiques du cahier spécial des charges, les prix unitaires compris dans ces postes doivent toujours comprendre, soit selon la ventilation dans le métré récapitulatif, soit dans leur totalité :</w:t>
      </w:r>
    </w:p>
    <w:p w14:paraId="1FD0672C" w14:textId="77777777" w:rsidR="004B2808" w:rsidRDefault="00000000">
      <w:pPr>
        <w:pStyle w:val="Author-eListParagraph"/>
        <w:numPr>
          <w:ilvl w:val="0"/>
          <w:numId w:val="231"/>
        </w:numPr>
      </w:pPr>
      <w:r>
        <w:t>la préparation et le dépoussiérage (à la brosse ou à l'aspirateur) du support;</w:t>
      </w:r>
    </w:p>
    <w:p w14:paraId="1912CB71" w14:textId="77777777" w:rsidR="004B2808" w:rsidRDefault="00000000">
      <w:pPr>
        <w:pStyle w:val="Author-eListParagraph"/>
        <w:numPr>
          <w:ilvl w:val="0"/>
          <w:numId w:val="231"/>
        </w:numPr>
      </w:pPr>
      <w:r>
        <w:t>l'application préalable d'une couche de fond lorsque le type de support le requiert;</w:t>
      </w:r>
    </w:p>
    <w:p w14:paraId="01137A55" w14:textId="77777777" w:rsidR="004B2808" w:rsidRDefault="00000000">
      <w:pPr>
        <w:pStyle w:val="Author-eListParagraph"/>
        <w:numPr>
          <w:ilvl w:val="0"/>
          <w:numId w:val="231"/>
        </w:numPr>
      </w:pPr>
      <w:r>
        <w:t>l'installation des échafaudages nécessaires;</w:t>
      </w:r>
    </w:p>
    <w:p w14:paraId="6348BEE8" w14:textId="77777777" w:rsidR="004B2808" w:rsidRDefault="00000000">
      <w:pPr>
        <w:pStyle w:val="Author-eListParagraph"/>
        <w:numPr>
          <w:ilvl w:val="0"/>
          <w:numId w:val="231"/>
        </w:numPr>
      </w:pPr>
      <w:r>
        <w:t>la protection efficace des ouvrages déjà réalisés;</w:t>
      </w:r>
    </w:p>
    <w:p w14:paraId="78D0B4AD" w14:textId="77777777" w:rsidR="004B2808" w:rsidRDefault="00000000">
      <w:pPr>
        <w:pStyle w:val="Author-eListParagraph"/>
        <w:numPr>
          <w:ilvl w:val="0"/>
          <w:numId w:val="231"/>
        </w:numPr>
      </w:pPr>
      <w:r>
        <w:t>la fourniture et la pose des profils de protections pour les bords et les angles ainsi que les treillis de renfort;</w:t>
      </w:r>
    </w:p>
    <w:p w14:paraId="79B059D0" w14:textId="77777777" w:rsidR="004B2808" w:rsidRDefault="00000000">
      <w:pPr>
        <w:pStyle w:val="Author-eListParagraph"/>
        <w:numPr>
          <w:ilvl w:val="0"/>
          <w:numId w:val="231"/>
        </w:numPr>
      </w:pPr>
      <w:r>
        <w:t>l'exécution des couches d'enduit prescrites, y compris toutes les fournitures;</w:t>
      </w:r>
    </w:p>
    <w:p w14:paraId="7D728243" w14:textId="77777777" w:rsidR="004B2808" w:rsidRDefault="00000000">
      <w:pPr>
        <w:pStyle w:val="Author-eListParagraph"/>
        <w:numPr>
          <w:ilvl w:val="0"/>
          <w:numId w:val="231"/>
        </w:numPr>
      </w:pPr>
      <w:r>
        <w:t>l'arrêt ou la découpe du plafonnage juste au-dessus des protections contre l'humidité;</w:t>
      </w:r>
    </w:p>
    <w:p w14:paraId="2CFC2E5D" w14:textId="77777777" w:rsidR="004B2808" w:rsidRDefault="00000000">
      <w:pPr>
        <w:pStyle w:val="Author-eListParagraph"/>
        <w:numPr>
          <w:ilvl w:val="0"/>
          <w:numId w:val="231"/>
        </w:numPr>
      </w:pPr>
      <w:r>
        <w:t>l'égalisation complète de la surface, la finition soignée au droit des profils des bords et des angles et des profils d'arrêt, le retouchage des imperfections remarquées, telles que les irrégularités ou les rayures, …;</w:t>
      </w:r>
    </w:p>
    <w:p w14:paraId="618B8086" w14:textId="77777777" w:rsidR="004B2808" w:rsidRDefault="00000000">
      <w:pPr>
        <w:pStyle w:val="Author-eListParagraph"/>
        <w:numPr>
          <w:ilvl w:val="0"/>
          <w:numId w:val="231"/>
        </w:numPr>
      </w:pPr>
      <w:r>
        <w:t>le ragréage parfait au droit des tablettes de fenêtre, des plinthes, des appareils d'éclairage et des installations de chauffage, etc. une fois mis en place;</w:t>
      </w:r>
    </w:p>
    <w:p w14:paraId="3FCE6D3F" w14:textId="77777777" w:rsidR="004B2808" w:rsidRDefault="00000000">
      <w:pPr>
        <w:pStyle w:val="Author-eListParagraph"/>
        <w:numPr>
          <w:ilvl w:val="0"/>
          <w:numId w:val="231"/>
        </w:numPr>
      </w:pPr>
      <w:r>
        <w:t>l'évacuation de tous les déchets, le nettoyage et/ou la protection du plafonnage appliqué.</w:t>
      </w:r>
    </w:p>
    <w:p w14:paraId="6D41D82F" w14:textId="77777777" w:rsidR="004B2808" w:rsidRDefault="00000000">
      <w:pPr>
        <w:pStyle w:val="pheading"/>
      </w:pPr>
      <w:r>
        <w:t>MATÉRIAUX</w:t>
      </w:r>
    </w:p>
    <w:p w14:paraId="120F7C29" w14:textId="77777777" w:rsidR="004B2808" w:rsidRDefault="00000000">
      <w:r>
        <w:t>Les enduits manufacturés doivent répondre aux spécifications des normes européennes.</w:t>
      </w:r>
      <w:r>
        <w:br/>
        <w:t>Les enduits de et à base de plâtre sont conformes à la [NBN EN 13279-1].</w:t>
      </w:r>
      <w:r>
        <w:br/>
        <w:t>Les mortiers d'enduit (liant minéral, ciment et/ou chaux) sont conformes à la [NBN EN 998-1].</w:t>
      </w:r>
      <w:r>
        <w:br/>
        <w:t>Les enduits organiques sont conformes à la [NBN EN 15824]. Cette norme couvre également les enduits dont le liant est inorganique tel : silicate, silane, siloxane et silicone. </w:t>
      </w:r>
    </w:p>
    <w:p w14:paraId="771AF8BF" w14:textId="77777777" w:rsidR="004B2808" w:rsidRDefault="00000000">
      <w:pPr>
        <w:pStyle w:val="heading"/>
      </w:pPr>
      <w:r>
        <w:t>Composition du mortier</w:t>
      </w:r>
    </w:p>
    <w:p w14:paraId="60C5BF01" w14:textId="77777777" w:rsidR="004B2808" w:rsidRDefault="00000000">
      <w:pPr>
        <w:pStyle w:val="Author-eListParagraph"/>
        <w:numPr>
          <w:ilvl w:val="0"/>
          <w:numId w:val="232"/>
        </w:numPr>
      </w:pPr>
      <w:r>
        <w:t>Dans leur composition, les matériaux doivent tenir compte de leur compatibilité mutuelle et du support de façon à assurer une adhérence et une stabilité optimales des couches entre elles et vis-à-vis du support. Les dispositions de la [NIT 284] sont d'application.</w:t>
      </w:r>
    </w:p>
    <w:p w14:paraId="1D3D80E0" w14:textId="77777777" w:rsidR="004B2808" w:rsidRDefault="00000000">
      <w:pPr>
        <w:pStyle w:val="Author-eListParagraph"/>
        <w:numPr>
          <w:ilvl w:val="0"/>
          <w:numId w:val="232"/>
        </w:numPr>
      </w:pPr>
      <w:r>
        <w:t xml:space="preserve">La composition concrète des matériaux de plafonnage est régie par les descriptifs du cahier spécial des charges et/ou des textes suivants.   </w:t>
      </w:r>
    </w:p>
    <w:p w14:paraId="5B85E059" w14:textId="77777777" w:rsidR="004B2808" w:rsidRDefault="00000000">
      <w:pPr>
        <w:pStyle w:val="Author-eListParagraph"/>
        <w:numPr>
          <w:ilvl w:val="1"/>
          <w:numId w:val="233"/>
        </w:numPr>
      </w:pPr>
      <w:r>
        <w:lastRenderedPageBreak/>
        <w:t>Le plâtre provient du plâtreau (CaSO4 -1/2H2O) ou est obtenu par un processus industriel : la radioactivité du produit est négligeable et, par conséquent, inférieure à 300 Bq/kg.</w:t>
      </w:r>
    </w:p>
    <w:p w14:paraId="39FCA168" w14:textId="77777777" w:rsidR="004B2808" w:rsidRDefault="00000000">
      <w:pPr>
        <w:pStyle w:val="Author-eListParagraph"/>
        <w:numPr>
          <w:ilvl w:val="1"/>
          <w:numId w:val="233"/>
        </w:numPr>
      </w:pPr>
      <w:r>
        <w:t>Les chaux répondent à la [NBN EN 459 série].</w:t>
      </w:r>
    </w:p>
    <w:p w14:paraId="2BC8DBEA" w14:textId="77777777" w:rsidR="004B2808" w:rsidRDefault="00000000">
      <w:pPr>
        <w:pStyle w:val="Author-eListParagraph"/>
        <w:numPr>
          <w:ilvl w:val="1"/>
          <w:numId w:val="233"/>
        </w:numPr>
      </w:pPr>
      <w:r>
        <w:t>Les mortiers hydrauliques répondent à la [NIT 284].</w:t>
      </w:r>
    </w:p>
    <w:p w14:paraId="53A95E46" w14:textId="77777777" w:rsidR="004B2808" w:rsidRDefault="00000000">
      <w:pPr>
        <w:pStyle w:val="Author-eListParagraph"/>
        <w:numPr>
          <w:ilvl w:val="1"/>
          <w:numId w:val="233"/>
        </w:numPr>
      </w:pPr>
      <w:r>
        <w:t>Le ciment répond aux critères d'acceptabilité de produit tels que spécifiés dans l'article 02.42.1 Critères d'acceptabilité.</w:t>
      </w:r>
    </w:p>
    <w:p w14:paraId="23927B19" w14:textId="77777777" w:rsidR="004B2808" w:rsidRDefault="00000000">
      <w:pPr>
        <w:pStyle w:val="Author-eListParagraph"/>
        <w:numPr>
          <w:ilvl w:val="1"/>
          <w:numId w:val="233"/>
        </w:numPr>
      </w:pPr>
      <w:r>
        <w:t>Les adjuvants légers tels que la perlite / vermiculite / liège / granulés XPS / fibres en matière synthétique /... : ces adjuvants n'ont d'aucune manière une influence néfaste sur la composition du mortier et ne sont pas nuisibles pour la mise en œuvre; la teneur en matières organiques ne peut dépasser 0,5%. Les dimensions des granulats les plus gros ne peuvent pas dépasser 1/3 de l'épaisseur de la couche d'enduit.</w:t>
      </w:r>
    </w:p>
    <w:p w14:paraId="4589357D" w14:textId="77777777" w:rsidR="004B2808" w:rsidRDefault="00000000">
      <w:pPr>
        <w:pStyle w:val="Author-eListParagraph"/>
        <w:numPr>
          <w:ilvl w:val="1"/>
          <w:numId w:val="233"/>
        </w:numPr>
      </w:pPr>
      <w:r>
        <w:t>L'eau de gâchage doit être claire et exempte de matières organiques; on utilise de préférence de l'eau de ville ou de l'eau de puits potable, l'eau teintée et/ou malodorante n'est pas admise.</w:t>
      </w:r>
    </w:p>
    <w:p w14:paraId="3BD5DA39" w14:textId="77777777" w:rsidR="004B2808" w:rsidRDefault="00000000">
      <w:pPr>
        <w:pStyle w:val="heading"/>
      </w:pPr>
      <w:r>
        <w:t>Preparation du mortier</w:t>
      </w:r>
    </w:p>
    <w:p w14:paraId="16218012" w14:textId="77777777" w:rsidR="004B2808" w:rsidRDefault="00000000">
      <w:pPr>
        <w:pStyle w:val="Author-eListParagraph"/>
        <w:numPr>
          <w:ilvl w:val="0"/>
          <w:numId w:val="234"/>
        </w:numPr>
      </w:pPr>
      <w:r>
        <w:t>Les enduits sont exécutés avec un mortier préparé sur le chantier ou prémélangé en usine et mis en œuvre en une ou deux couches, en fonction de l'application.</w:t>
      </w:r>
    </w:p>
    <w:p w14:paraId="1E3AF155" w14:textId="77777777" w:rsidR="004B2808" w:rsidRDefault="00000000">
      <w:pPr>
        <w:pStyle w:val="Author-eListParagraph"/>
        <w:numPr>
          <w:ilvl w:val="0"/>
          <w:numId w:val="234"/>
        </w:numPr>
      </w:pPr>
      <w:r>
        <w:t>Les enduits secs prémélangés en usine sont (mentionnant la date limite de péremption) entreposés dans un endroit sec. Ils sont mélangés, dans une bétonneuse mécanique (à moins de 500 tr/min), avec la quantité d'eau de gâchage indiquée par le fabricant afin d'obtenir une pâte sans grumeaux.</w:t>
      </w:r>
    </w:p>
    <w:p w14:paraId="56490599" w14:textId="77777777" w:rsidR="004B2808" w:rsidRDefault="00000000">
      <w:pPr>
        <w:pStyle w:val="Author-eListParagraph"/>
        <w:numPr>
          <w:ilvl w:val="0"/>
          <w:numId w:val="234"/>
        </w:numPr>
      </w:pPr>
      <w:r>
        <w:t>Les compositions de mortier préparées sur le chantier sont mélangées mécaniquement afin d'obtenir une pâte sans grumeaux. On utilise toujours des cuves propres et rincées. Les mortiers doivent être mis en œuvre avant le commencement de la prise et ne peuvent en aucun cas être mélangés une seconde fois en ajoutant de l'eau.</w:t>
      </w:r>
    </w:p>
    <w:p w14:paraId="4A688F81" w14:textId="77777777" w:rsidR="004B2808" w:rsidRDefault="00000000">
      <w:pPr>
        <w:pStyle w:val="Author-eListParagraph"/>
        <w:numPr>
          <w:ilvl w:val="0"/>
          <w:numId w:val="234"/>
        </w:numPr>
      </w:pPr>
      <w:r>
        <w:t>Les enduits prêts à l'emploi sont livrés en conteneurs ou silos sur lesquels figurent la composition, la teneur en eau, la force d'adhérence minimale, le temps de prise, le mode d'emploi et les contre-indications.</w:t>
      </w:r>
    </w:p>
    <w:p w14:paraId="2856284C" w14:textId="77777777" w:rsidR="004B2808" w:rsidRDefault="00000000">
      <w:pPr>
        <w:pStyle w:val="Author-eListParagraph"/>
        <w:numPr>
          <w:ilvl w:val="0"/>
          <w:numId w:val="234"/>
        </w:numPr>
      </w:pPr>
      <w:r>
        <w:t>Pour les enduits appliqués au pistolet, la rigidité du mortier doit être dosée afin d'obtenir une faible consistance qui permette une mise en œuvre impeccable et adaptée en fonction du type de support. La machine à pistoler règle constamment le rapport enduit et eau et évite ainsi le surdosage en eau.</w:t>
      </w:r>
    </w:p>
    <w:p w14:paraId="0C54BCAF" w14:textId="77777777" w:rsidR="004B2808" w:rsidRDefault="00000000">
      <w:pPr>
        <w:pStyle w:val="pheading"/>
      </w:pPr>
      <w:r>
        <w:t>EXÉCUTION / MISE EN ŒUVRE</w:t>
      </w:r>
    </w:p>
    <w:p w14:paraId="29D74D95" w14:textId="77777777" w:rsidR="004B2808" w:rsidRDefault="00000000">
      <w:pPr>
        <w:pStyle w:val="heading"/>
      </w:pPr>
      <w:r>
        <w:t>Modalités d'entreprise</w:t>
      </w:r>
    </w:p>
    <w:p w14:paraId="43C815F6" w14:textId="77777777" w:rsidR="004B2808" w:rsidRDefault="00000000">
      <w:r>
        <w:t>En vue d'une exécution soignée, les travaux de plafonnage sont exécutés par un entrepreneur spécialisé. Avant l'exécution, celui-ci doit se rendre compte des conditions d'exécution et de la nature du support. S'il constate que certains aspects risquent de nuire à la qualité de l'exécution, il en avertit immédiatement l'auteur de projet.</w:t>
      </w:r>
    </w:p>
    <w:p w14:paraId="6DFF471F" w14:textId="77777777" w:rsidR="004B2808" w:rsidRDefault="00000000">
      <w:pPr>
        <w:pStyle w:val="heading"/>
      </w:pPr>
      <w:r>
        <w:t>Coordination - Timing</w:t>
      </w:r>
    </w:p>
    <w:p w14:paraId="75585869" w14:textId="77777777" w:rsidR="004B2808" w:rsidRDefault="00000000">
      <w:r>
        <w:t>Les travaux de plafonnage ne peuvent commencer que lorsque tous les éléments de gros-œuvre en contact avec les enduits intérieurs sont terminés; c'est-à-dire après la pose de la menuiserie extérieure, y compris le vitrage, après la pose et le ragréage des saignées pour les conduites encastrées, fourreaux, passages de canalisations, … et avant la pose des portes intérieures et de la menuiserie intérieure, avant la pose des carrelages ou revêtements, avant la pose des éventuelles conduites apparentes et, en principe, également avant de tirer les fils électriques dans les tuyaux.</w:t>
      </w:r>
    </w:p>
    <w:p w14:paraId="5944A091" w14:textId="77777777" w:rsidR="004B2808" w:rsidRDefault="00000000">
      <w:pPr>
        <w:pStyle w:val="heading"/>
      </w:pPr>
      <w:r>
        <w:t>Influences atmosphériques</w:t>
      </w:r>
    </w:p>
    <w:p w14:paraId="38D0AE39" w14:textId="77777777" w:rsidR="004B2808" w:rsidRDefault="00000000">
      <w:pPr>
        <w:pStyle w:val="Author-eListParagraph"/>
        <w:numPr>
          <w:ilvl w:val="0"/>
          <w:numId w:val="235"/>
        </w:numPr>
      </w:pPr>
      <w:r>
        <w:t xml:space="preserve">L'exécution des travaux de plafonnage doit se faire dans des espaces à l'abri du vent et de la pluie. La température ambiante et celle du support doivent être d'au moins 5°C et ne dépassent pas 30°C . Les plafonnages sur les ouvrages en maçonnerie et/ou en béton ne </w:t>
      </w:r>
      <w:r>
        <w:lastRenderedPageBreak/>
        <w:t xml:space="preserve">peuvent se faire que lorsque le retrait de séchage est accompli (soit après </w:t>
      </w:r>
      <w:r>
        <w:rPr>
          <w:shd w:val="clear" w:color="auto" w:fill="FFFFFF"/>
        </w:rPr>
        <w:t xml:space="preserve">au moins 6 semaines). </w:t>
      </w:r>
    </w:p>
    <w:p w14:paraId="38B8887D" w14:textId="77777777" w:rsidR="004B2808" w:rsidRDefault="00000000">
      <w:pPr>
        <w:pStyle w:val="Author-eListParagraph"/>
        <w:numPr>
          <w:ilvl w:val="0"/>
          <w:numId w:val="235"/>
        </w:numPr>
      </w:pPr>
      <w:r>
        <w:t>Il faut éviter une dessiccation trop rapide. Par temps sec et chaud, l'entrepreneur doit prendre les mesures qui s'imposent afin de prévenir les fissurations. Ces conditions sont maintenues au moins pendant 3 jours après l'application de l'enduit. Le réchauffement accéléré des locaux plafonnés ou l'utilisation de séchoirs ne peuvent avoir de conséquence néfaste sur le résultat des travaux. Il y a lieu de prévoir une ventilation suffisante en évitant toutefois les courants d'air trop forts.</w:t>
      </w:r>
    </w:p>
    <w:p w14:paraId="1A58FDB4" w14:textId="77777777" w:rsidR="004B2808" w:rsidRDefault="00000000">
      <w:pPr>
        <w:pStyle w:val="heading"/>
      </w:pPr>
      <w:r>
        <w:t>Mesures de protection - Echafaudages</w:t>
      </w:r>
    </w:p>
    <w:p w14:paraId="63099125" w14:textId="77777777" w:rsidR="004B2808" w:rsidRDefault="00000000">
      <w:pPr>
        <w:pStyle w:val="Author-eListParagraph"/>
        <w:numPr>
          <w:ilvl w:val="0"/>
          <w:numId w:val="236"/>
        </w:numPr>
      </w:pPr>
      <w:r>
        <w:t>Toutes les parties qui ne sont pas plafonnées (parement intérieur destiné à rester apparent, menuiserie, gîtages en bois, poutrelles en acier, escaliers, …) sont soigneusement et efficacement protégées contre les dégradations et les éclaboussures, à l'aide de feuilles de plastique, de bandes autocollantes et/ou de papier.</w:t>
      </w:r>
    </w:p>
    <w:p w14:paraId="01121F79" w14:textId="77777777" w:rsidR="004B2808" w:rsidRDefault="00000000">
      <w:pPr>
        <w:pStyle w:val="Author-eListParagraph"/>
        <w:numPr>
          <w:ilvl w:val="0"/>
          <w:numId w:val="236"/>
        </w:numPr>
      </w:pPr>
      <w:r>
        <w:t>Les échafaudages sont mis en place sans enlever des matériaux du mur porteur. On ne peut réaliser aucun trou sans l'autorisation écrite de l'auteur de projet.</w:t>
      </w:r>
    </w:p>
    <w:p w14:paraId="2F4E0F11" w14:textId="77777777" w:rsidR="004B2808" w:rsidRDefault="00000000">
      <w:pPr>
        <w:pStyle w:val="Author-eListParagraph"/>
        <w:numPr>
          <w:ilvl w:val="0"/>
          <w:numId w:val="236"/>
        </w:numPr>
      </w:pPr>
      <w:r>
        <w:t>Toutes les parties métalliques non protégées sont préalablement traitées avec une peinture antirouille appropriée.</w:t>
      </w:r>
    </w:p>
    <w:p w14:paraId="60A4DC29" w14:textId="77777777" w:rsidR="004B2808" w:rsidRDefault="00000000">
      <w:pPr>
        <w:pStyle w:val="Author-eListParagraph"/>
        <w:numPr>
          <w:ilvl w:val="0"/>
          <w:numId w:val="236"/>
        </w:numPr>
      </w:pPr>
      <w:r>
        <w:t>Tous les matériaux et ouvrages de construction souillés par l'entrepreneur plâtrier sont nettoyés par ce dernier avec tous les moyens appropriés, sans les endommager.</w:t>
      </w:r>
    </w:p>
    <w:p w14:paraId="2F9F0632" w14:textId="77777777" w:rsidR="004B2808" w:rsidRDefault="00000000">
      <w:pPr>
        <w:pStyle w:val="Author-eListParagraph"/>
        <w:numPr>
          <w:ilvl w:val="0"/>
          <w:numId w:val="236"/>
        </w:numPr>
      </w:pPr>
      <w:r>
        <w:t>Les dégradations survenues suite aux travaux de plafonnage sont réparées aux frais du plâtrier. Ces réparations sont parfaitement invisibles. L'entrepreneur effectue également les réparations lorsque les dégradations ont été provoquées par des tiers.</w:t>
      </w:r>
    </w:p>
    <w:p w14:paraId="02BD808A" w14:textId="77777777" w:rsidR="004B2808" w:rsidRDefault="00000000">
      <w:pPr>
        <w:pStyle w:val="heading"/>
      </w:pPr>
      <w:r>
        <w:t>Côtes de niveau</w:t>
      </w:r>
    </w:p>
    <w:p w14:paraId="3AF8CF7A" w14:textId="77777777" w:rsidR="004B2808" w:rsidRDefault="00000000">
      <w:pPr>
        <w:pStyle w:val="Author-eListParagraph"/>
        <w:numPr>
          <w:ilvl w:val="0"/>
          <w:numId w:val="237"/>
        </w:numPr>
      </w:pPr>
      <w:r>
        <w:t>Avant de commencer les travaux, les cotes de niveau à respecter sont d'abord appliquées, c'est-à-dire la délimitation inférieure et supérieure des pans de murs à enduire.</w:t>
      </w:r>
    </w:p>
    <w:p w14:paraId="763C4EA4" w14:textId="77777777" w:rsidR="004B2808" w:rsidRDefault="00000000">
      <w:pPr>
        <w:pStyle w:val="Author-eListParagraph"/>
        <w:numPr>
          <w:ilvl w:val="0"/>
          <w:numId w:val="237"/>
        </w:numPr>
      </w:pPr>
      <w:r>
        <w:t>En principe, le plafonnage est prévu jusqu' à environ 3 à 5 cm au-dessus du niveau fini du sol. En aucun cas le plafonnage ne peut descendre en dessous des barrières contre l 'humidité. Les éventuelles parties excédentaires sont coupées juste au-dessus des étanchéités ou jusqu' au niveau prescrit derrière les plinthes.</w:t>
      </w:r>
    </w:p>
    <w:p w14:paraId="02A1D9D3" w14:textId="77777777" w:rsidR="004B2808" w:rsidRDefault="00000000">
      <w:pPr>
        <w:pStyle w:val="heading"/>
      </w:pPr>
      <w:r>
        <w:t>Modalités de mise en œuvre</w:t>
      </w:r>
    </w:p>
    <w:p w14:paraId="162E2B07" w14:textId="77777777" w:rsidR="004B2808" w:rsidRDefault="00000000">
      <w:pPr>
        <w:pStyle w:val="Author-eListParagraph"/>
        <w:numPr>
          <w:ilvl w:val="0"/>
          <w:numId w:val="238"/>
        </w:numPr>
      </w:pPr>
      <w:r>
        <w:t xml:space="preserve">La mise en œuvre est conforme à la [NIT 284]. L'enduit est appliqué régulièrement, soit à la main, soit avec une machine à pistoler, sur une épaisseur suffisante, en une ou plusieurs couches, en fonction de la composition de l'enduit. Toutes les opérations sont exécutées conformément aux dispositions du fabricant qui fournit les produits et avec l'outillage qu'il préconise. En principe, les travaux comprennent successivement l'application (à la main ou au pistolet) de l'enduit, l'égalisation (à la latte et le resserrage), le ponçage et le polissage (à la spatule et un aplanisseur d'angle) et, enfin, la finition. </w:t>
      </w:r>
      <w:r>
        <w:br/>
      </w:r>
      <w:r>
        <w:rPr>
          <w:u w:val="single"/>
        </w:rPr>
        <w:t xml:space="preserve">Attention </w:t>
      </w:r>
      <w:r>
        <w:t>: les murs destinés à être carrelés ne doivent être ni poncés ni polis.</w:t>
      </w:r>
    </w:p>
    <w:p w14:paraId="043567F1" w14:textId="77777777" w:rsidR="004B2808" w:rsidRDefault="00000000">
      <w:pPr>
        <w:pStyle w:val="Author-eListParagraph"/>
        <w:numPr>
          <w:ilvl w:val="0"/>
          <w:numId w:val="238"/>
        </w:numPr>
      </w:pPr>
      <w:r>
        <w:t>Les couches sont appliquées avec une force suffisante afin d'obtenir un contact intense. Lorsque l'enduit est appliqué en plusieurs couches, la couche de fond doit être peignée et séchée afin d'obtenir une adhérence et une cohérence suffisantes avec la couche d'enduit suivante. Par temps sec et chaud, l'entrepreneur prend les mesures qui s'imposent pour prévenir les fissures dues à une dessiccation trop rapide en pulvérisant d'eau chaque couche après son application.</w:t>
      </w:r>
    </w:p>
    <w:p w14:paraId="0FE13C1B" w14:textId="77777777" w:rsidR="004B2808" w:rsidRDefault="00000000">
      <w:pPr>
        <w:pStyle w:val="Author-eListParagraph"/>
        <w:numPr>
          <w:ilvl w:val="0"/>
          <w:numId w:val="238"/>
        </w:numPr>
      </w:pPr>
      <w:r>
        <w:t>Les plafonnages sont toujours exécutés d'aplomb et de niveau (voir les écarts admissibles).</w:t>
      </w:r>
    </w:p>
    <w:p w14:paraId="4ECB8A16" w14:textId="77777777" w:rsidR="004B2808" w:rsidRDefault="00000000">
      <w:pPr>
        <w:pStyle w:val="Author-eListParagraph"/>
        <w:numPr>
          <w:ilvl w:val="0"/>
          <w:numId w:val="238"/>
        </w:numPr>
      </w:pPr>
      <w:r>
        <w:t>Sur la plupart des supports, on peut appliquer les enduits fabriqués en usine à base de plâtre, qui peuvent être mis en œuvre en une seule couche sur une épaisseur moyenne de 10 mm (au minimum 8 mm ).</w:t>
      </w:r>
    </w:p>
    <w:p w14:paraId="717D4342" w14:textId="77777777" w:rsidR="004B2808" w:rsidRDefault="00000000">
      <w:pPr>
        <w:pStyle w:val="Author-eListParagraph"/>
        <w:numPr>
          <w:ilvl w:val="0"/>
          <w:numId w:val="238"/>
        </w:numPr>
      </w:pPr>
      <w:r>
        <w:t xml:space="preserve">Les enduits à la chaux sont posés en deux couches au moins, de composition identique ou différente, et sur une épaisseur totale d'environ 20 mm. Pour les plafonnages qui se composent de plusieurs couches, les épaisseurs suivantes doivent être respectées : une couche d'adhérence (2 à 3 mm). Une couche de fond (de 10 à 15 mm) et une couche de </w:t>
      </w:r>
      <w:r>
        <w:lastRenderedPageBreak/>
        <w:t>finition (de 5 à 7 mm). Les enduits, dits pelliculaires, de quelques millimètres d'épaisseur ne sont autorisés que lorsque le support est suffisamment plan et égal, par exemple sur les murs en blocs de béton cellulaire assemblés par collage, en briques silico-calcaires, blocs de plâtre ou plaques de plâtre enrobées de carton.</w:t>
      </w:r>
    </w:p>
    <w:p w14:paraId="6D8A2FF0" w14:textId="77777777" w:rsidR="004B2808" w:rsidRDefault="00000000">
      <w:pPr>
        <w:pStyle w:val="heading"/>
      </w:pPr>
      <w:r>
        <w:t>Finition</w:t>
      </w:r>
    </w:p>
    <w:p w14:paraId="695DF8DB" w14:textId="77777777" w:rsidR="004B2808" w:rsidRDefault="00000000">
      <w:pPr>
        <w:pStyle w:val="Author-eListParagraph"/>
        <w:numPr>
          <w:ilvl w:val="0"/>
          <w:numId w:val="239"/>
        </w:numPr>
      </w:pPr>
      <w:r>
        <w:t>Les murs répondent aux exigences de degrés de finition et de tolérances d’exécution définis dans la [NIT 284]. Le contrôle se fait avant application des finitions ultérieures éventuelles, sous un éclairage naturel, à l'œil nu et à une distance de 2 mètres. Il ne peut jamais se faire sous éclairage rasant ou à contre-jour.</w:t>
      </w:r>
      <w:r>
        <w:br/>
        <w:t>La surface ne peut présenter localement de trous ou de rayures d'une profondeur supérieure à 1 mm, ni, de façon systématique, d'autres défauts de surface, ni des fissures de retrait dû au séchage de l'enduit proprement dit. Le faïençage est quant à lui admissible.</w:t>
      </w:r>
    </w:p>
    <w:p w14:paraId="5520CE56" w14:textId="77777777" w:rsidR="004B2808" w:rsidRDefault="00000000">
      <w:pPr>
        <w:pStyle w:val="Author-eListParagraph"/>
        <w:numPr>
          <w:ilvl w:val="0"/>
          <w:numId w:val="239"/>
        </w:numPr>
      </w:pPr>
      <w:r>
        <w:t xml:space="preserve">Degré de finition de l'enduit : </w:t>
      </w:r>
      <w:r>
        <w:br/>
        <w:t>degré de finition normale : on admet 4 irrégularités pour 4 m² de surface, qui peuvent consister soit en zones locales irrégulièrement polies de 0.5 dm² maximum, soit en coups de plâtresse, soit en présence de grains de sable. En outre, on admet deux ondulations par longueur de 2 m.</w:t>
      </w:r>
      <w:r>
        <w:br/>
        <w:t>degré de finition spéciale : on ne tolère que deux irrégularités pour 4 m² de surface et deux ondulations par longueur de 2 mètres.</w:t>
      </w:r>
      <w:r>
        <w:br/>
        <w:t>Rem. : si le plafonnage est destiné à être carrelé, aucun degré de finition n'est prescrit.</w:t>
      </w:r>
    </w:p>
    <w:p w14:paraId="66989ED8" w14:textId="77777777" w:rsidR="004B2808" w:rsidRDefault="00000000">
      <w:pPr>
        <w:pStyle w:val="Author-eListParagraph"/>
        <w:numPr>
          <w:ilvl w:val="0"/>
          <w:numId w:val="239"/>
        </w:numPr>
      </w:pPr>
      <w:r>
        <w:t>Au droit de toutes les jonctions entre des éléments de construction de nature et de composition différentes où des tassements différentiels risquent de se produire, on pratique au couteau, avant le durcissement complet, une légère incision afin d'obtenir un joint marqué qui puisse absorber les éventuelles fissures.</w:t>
      </w:r>
    </w:p>
    <w:p w14:paraId="0812AA00" w14:textId="77777777" w:rsidR="004B2808" w:rsidRDefault="00000000">
      <w:pPr>
        <w:pStyle w:val="Author-eListParagraph"/>
        <w:numPr>
          <w:ilvl w:val="0"/>
          <w:numId w:val="239"/>
        </w:numPr>
      </w:pPr>
      <w:r>
        <w:t>Avant la réception provisoire, toutes les imperfections (irrégularités, rayures, etc.) doivent être soigneusement retouchées.</w:t>
      </w:r>
    </w:p>
    <w:p w14:paraId="4F107A32" w14:textId="77777777" w:rsidR="004B2808" w:rsidRDefault="00000000">
      <w:r>
        <w:rPr>
          <w:b/>
          <w:sz w:val="24"/>
        </w:rPr>
        <w:t>Sécurité</w:t>
      </w:r>
    </w:p>
    <w:p w14:paraId="462CB2D8" w14:textId="77777777" w:rsidR="004B2808" w:rsidRDefault="00000000">
      <w:r>
        <w:t>Conformément à la rubrique 01.45 PSS travaux de parachèvement intérieur "coordination sécurité / parachèvements intérieures", établie par le coordinateur-projet et annexée au présent cahier des charges. Toutes les directives en la matière et les indications concrètes du coordinateur-réalisation sont scrupuleusement respectées.</w:t>
      </w:r>
    </w:p>
    <w:p w14:paraId="3BD5EAC6" w14:textId="77777777" w:rsidR="004B2808" w:rsidRDefault="00000000">
      <w:r>
        <w:rPr>
          <w:b/>
          <w:sz w:val="24"/>
        </w:rPr>
        <w:t>Sécurisation incendie</w:t>
      </w:r>
    </w:p>
    <w:p w14:paraId="189C93C3" w14:textId="77777777" w:rsidR="004B2808" w:rsidRDefault="00000000">
      <w:r>
        <w:t>En matière de sécurité incendie, les enduits intérieurs doivent satisfaire, dans certains cas, à des exigences en fonction de leur destination et doivent être mis en œuvre conformément au rapport d’essai. </w:t>
      </w:r>
      <w:r>
        <w:br/>
        <w:t>Les enduits peuvent également participer à la résistance au feu d’un élément de construction.</w:t>
      </w:r>
      <w:r>
        <w:br/>
        <w:t>Support aux prescripteurs : [SWL GSI/T1/B] et [SWL GSI/T1/C] de la prévention passive référencés dans le tome0 T0 Entreprise / Chantier  de ce cahier des charges.</w:t>
      </w:r>
    </w:p>
    <w:p w14:paraId="49DD4D8C" w14:textId="77777777" w:rsidR="004B2808" w:rsidRDefault="00000000">
      <w:pPr>
        <w:pStyle w:val="pheading"/>
      </w:pPr>
      <w:r>
        <w:t>CONTRÔLES</w:t>
      </w:r>
    </w:p>
    <w:p w14:paraId="49F4C60E" w14:textId="77777777" w:rsidR="004B2808" w:rsidRDefault="004B2808"/>
    <w:p w14:paraId="4E5EEAE4" w14:textId="77777777" w:rsidR="004B2808" w:rsidRDefault="00000000">
      <w:r>
        <w:t>Les tolérances admissibles au niveau du degré de finition sont conforment à la [NIT 284].</w:t>
      </w:r>
    </w:p>
    <w:p w14:paraId="2A660492" w14:textId="77777777" w:rsidR="004B2808" w:rsidRDefault="00000000">
      <w:pPr>
        <w:pStyle w:val="Author-eListParagraph"/>
        <w:numPr>
          <w:ilvl w:val="0"/>
          <w:numId w:val="240"/>
        </w:numPr>
      </w:pPr>
      <w:r>
        <w:rPr>
          <w:i/>
        </w:rPr>
        <w:t xml:space="preserve">A défaut d'exigences particulières dans le cahier spécial des charges, le degré de finition “normal” est d'application. </w:t>
      </w:r>
    </w:p>
    <w:p w14:paraId="26CA236A" w14:textId="77777777" w:rsidR="004B2808" w:rsidRDefault="00000000">
      <w:pPr>
        <w:pStyle w:val="Author-eListParagraph"/>
        <w:numPr>
          <w:ilvl w:val="0"/>
          <w:numId w:val="240"/>
        </w:numPr>
      </w:pPr>
      <w:r>
        <w:rPr>
          <w:i/>
        </w:rPr>
        <w:t>Indépendamment du degré de finition prescrit, la surface du plafonnage ne peut pas fariner. L'adhérence de la couche superficielle est supérieure à 0,2 N/mm2 (valeur conseillée).</w:t>
      </w:r>
      <w:r>
        <w:t> </w:t>
      </w:r>
      <w:r>
        <w:rPr>
          <w:i/>
        </w:rPr>
        <w:t>(Voir [NIT 284] ).</w:t>
      </w:r>
    </w:p>
    <w:p w14:paraId="33BD7333" w14:textId="77777777" w:rsidR="004B2808" w:rsidRDefault="00000000">
      <w:pPr>
        <w:pStyle w:val="Author-eListParagraph"/>
        <w:numPr>
          <w:ilvl w:val="0"/>
          <w:numId w:val="241"/>
        </w:numPr>
      </w:pPr>
      <w:r>
        <w:rPr>
          <w:i/>
        </w:rPr>
        <w:t xml:space="preserve">L'entrepreneur est tenu de réparer toutes les fissures qui se présentent pendant le délai de garantie. </w:t>
      </w:r>
    </w:p>
    <w:p w14:paraId="05F92F44" w14:textId="77777777" w:rsidR="004B2808" w:rsidRDefault="00000000">
      <w:r>
        <w:br/>
        <w:t>La norme [NBN EN 13914-2] renseigne les exigences suivantes :</w:t>
      </w:r>
    </w:p>
    <w:p w14:paraId="4396FEF9" w14:textId="77777777" w:rsidR="004B2808" w:rsidRDefault="00000000">
      <w:r>
        <w:lastRenderedPageBreak/>
        <w:t>Planéité à la latte de 2 m</w:t>
      </w:r>
    </w:p>
    <w:tbl>
      <w:tblPr>
        <w:tblStyle w:val="Author-eTableGrid"/>
        <w:tblW w:w="0" w:type="auto"/>
        <w:tblBorders>
          <w:insideH w:val="nil"/>
          <w:insideV w:val="nil"/>
        </w:tblBorders>
        <w:tblLayout w:type="fixed"/>
        <w:tblLook w:val="04A0" w:firstRow="1" w:lastRow="0" w:firstColumn="1" w:lastColumn="0" w:noHBand="0" w:noVBand="1"/>
      </w:tblPr>
      <w:tblGrid>
        <w:gridCol w:w="3000"/>
        <w:gridCol w:w="3000"/>
        <w:gridCol w:w="3000"/>
      </w:tblGrid>
      <w:tr w:rsidR="004B2808" w14:paraId="0A1F1BA2" w14:textId="77777777">
        <w:tc>
          <w:tcPr>
            <w:tcW w:w="3000" w:type="dxa"/>
            <w:tcBorders>
              <w:top w:val="single" w:sz="8" w:space="0" w:color="000000"/>
              <w:left w:val="single" w:sz="8" w:space="0" w:color="000000"/>
              <w:bottom w:val="single" w:sz="8" w:space="0" w:color="000000"/>
              <w:right w:val="single" w:sz="8" w:space="0" w:color="000000"/>
            </w:tcBorders>
            <w:noWrap/>
          </w:tcPr>
          <w:p w14:paraId="12C063F0" w14:textId="77777777" w:rsidR="004B2808" w:rsidRDefault="00000000">
            <w:pPr>
              <w:jc w:val="center"/>
            </w:pPr>
            <w:r>
              <w:t>classe</w:t>
            </w:r>
          </w:p>
        </w:tc>
        <w:tc>
          <w:tcPr>
            <w:tcW w:w="3000" w:type="dxa"/>
            <w:tcBorders>
              <w:top w:val="single" w:sz="8" w:space="0" w:color="000000"/>
              <w:left w:val="single" w:sz="8" w:space="0" w:color="000000"/>
              <w:bottom w:val="single" w:sz="8" w:space="0" w:color="000000"/>
              <w:right w:val="single" w:sz="8" w:space="0" w:color="000000"/>
            </w:tcBorders>
            <w:noWrap/>
          </w:tcPr>
          <w:p w14:paraId="79C69A9E" w14:textId="77777777" w:rsidR="004B2808" w:rsidRDefault="00000000">
            <w:pPr>
              <w:jc w:val="center"/>
            </w:pPr>
            <w:r>
              <w:t>exigence de planéité</w:t>
            </w:r>
            <w:r>
              <w:br/>
              <w:t xml:space="preserve"> sur l'enduit (latte de 2 m)</w:t>
            </w:r>
            <w:r>
              <w:br/>
              <w:t>[mm]</w:t>
            </w:r>
          </w:p>
        </w:tc>
        <w:tc>
          <w:tcPr>
            <w:tcW w:w="3000" w:type="dxa"/>
            <w:tcBorders>
              <w:top w:val="single" w:sz="8" w:space="0" w:color="000000"/>
              <w:left w:val="single" w:sz="8" w:space="0" w:color="000000"/>
              <w:bottom w:val="single" w:sz="8" w:space="0" w:color="000000"/>
              <w:right w:val="single" w:sz="8" w:space="0" w:color="000000"/>
            </w:tcBorders>
            <w:noWrap/>
          </w:tcPr>
          <w:p w14:paraId="53269496" w14:textId="77777777" w:rsidR="004B2808" w:rsidRDefault="00000000">
            <w:pPr>
              <w:jc w:val="center"/>
            </w:pPr>
            <w:r>
              <w:t>planéité minimale exigée sur le support (latte de 2 m)</w:t>
            </w:r>
            <w:r>
              <w:br/>
              <w:t xml:space="preserve"> pour atteindre l'exigence de planéité sur l'enduit</w:t>
            </w:r>
            <w:r>
              <w:br/>
              <w:t>[mm]</w:t>
            </w:r>
          </w:p>
        </w:tc>
      </w:tr>
      <w:tr w:rsidR="004B2808" w14:paraId="37466355" w14:textId="77777777">
        <w:tc>
          <w:tcPr>
            <w:tcW w:w="3000" w:type="dxa"/>
            <w:tcBorders>
              <w:top w:val="single" w:sz="8" w:space="0" w:color="000000"/>
              <w:left w:val="single" w:sz="8" w:space="0" w:color="000000"/>
              <w:bottom w:val="single" w:sz="8" w:space="0" w:color="000000"/>
              <w:right w:val="single" w:sz="8" w:space="0" w:color="000000"/>
            </w:tcBorders>
            <w:noWrap/>
          </w:tcPr>
          <w:p w14:paraId="6673C0DC" w14:textId="77777777" w:rsidR="004B2808" w:rsidRDefault="00000000">
            <w:pPr>
              <w:jc w:val="center"/>
            </w:pPr>
            <w:r>
              <w:t>0</w:t>
            </w:r>
          </w:p>
        </w:tc>
        <w:tc>
          <w:tcPr>
            <w:tcW w:w="3000" w:type="dxa"/>
            <w:tcBorders>
              <w:top w:val="single" w:sz="8" w:space="0" w:color="000000"/>
              <w:left w:val="single" w:sz="8" w:space="0" w:color="000000"/>
              <w:bottom w:val="single" w:sz="8" w:space="0" w:color="000000"/>
              <w:right w:val="single" w:sz="8" w:space="0" w:color="000000"/>
            </w:tcBorders>
            <w:noWrap/>
          </w:tcPr>
          <w:p w14:paraId="01BA9BCE" w14:textId="77777777" w:rsidR="004B2808" w:rsidRDefault="00000000">
            <w:pPr>
              <w:jc w:val="center"/>
            </w:pPr>
            <w:r>
              <w:t>-</w:t>
            </w:r>
          </w:p>
        </w:tc>
        <w:tc>
          <w:tcPr>
            <w:tcW w:w="3000" w:type="dxa"/>
            <w:tcBorders>
              <w:top w:val="single" w:sz="8" w:space="0" w:color="000000"/>
              <w:left w:val="single" w:sz="8" w:space="0" w:color="000000"/>
              <w:bottom w:val="single" w:sz="8" w:space="0" w:color="000000"/>
              <w:right w:val="single" w:sz="8" w:space="0" w:color="000000"/>
            </w:tcBorders>
            <w:noWrap/>
          </w:tcPr>
          <w:p w14:paraId="6EF7E62E" w14:textId="77777777" w:rsidR="004B2808" w:rsidRDefault="00000000">
            <w:pPr>
              <w:jc w:val="center"/>
            </w:pPr>
            <w:r>
              <w:t>-</w:t>
            </w:r>
          </w:p>
        </w:tc>
      </w:tr>
      <w:tr w:rsidR="004B2808" w14:paraId="6D29774F" w14:textId="77777777">
        <w:tc>
          <w:tcPr>
            <w:tcW w:w="3000" w:type="dxa"/>
            <w:tcBorders>
              <w:top w:val="single" w:sz="8" w:space="0" w:color="000000"/>
              <w:left w:val="single" w:sz="8" w:space="0" w:color="000000"/>
              <w:bottom w:val="single" w:sz="8" w:space="0" w:color="000000"/>
              <w:right w:val="single" w:sz="8" w:space="0" w:color="000000"/>
            </w:tcBorders>
            <w:noWrap/>
          </w:tcPr>
          <w:p w14:paraId="225D7E96" w14:textId="77777777" w:rsidR="004B2808" w:rsidRDefault="00000000">
            <w:pPr>
              <w:jc w:val="center"/>
            </w:pPr>
            <w:r>
              <w:t>1</w:t>
            </w:r>
          </w:p>
        </w:tc>
        <w:tc>
          <w:tcPr>
            <w:tcW w:w="3000" w:type="dxa"/>
            <w:tcBorders>
              <w:top w:val="single" w:sz="8" w:space="0" w:color="000000"/>
              <w:left w:val="single" w:sz="8" w:space="0" w:color="000000"/>
              <w:bottom w:val="single" w:sz="8" w:space="0" w:color="000000"/>
              <w:right w:val="single" w:sz="8" w:space="0" w:color="000000"/>
            </w:tcBorders>
            <w:noWrap/>
          </w:tcPr>
          <w:p w14:paraId="77CDF7A3" w14:textId="77777777" w:rsidR="004B2808" w:rsidRDefault="00000000">
            <w:pPr>
              <w:jc w:val="center"/>
            </w:pPr>
            <w:r>
              <w:t>± 10</w:t>
            </w:r>
          </w:p>
        </w:tc>
        <w:tc>
          <w:tcPr>
            <w:tcW w:w="3000" w:type="dxa"/>
            <w:tcBorders>
              <w:top w:val="single" w:sz="8" w:space="0" w:color="000000"/>
              <w:left w:val="single" w:sz="8" w:space="0" w:color="000000"/>
              <w:bottom w:val="single" w:sz="8" w:space="0" w:color="000000"/>
              <w:right w:val="single" w:sz="8" w:space="0" w:color="000000"/>
            </w:tcBorders>
            <w:noWrap/>
          </w:tcPr>
          <w:p w14:paraId="33A21C6E" w14:textId="77777777" w:rsidR="004B2808" w:rsidRDefault="00000000">
            <w:pPr>
              <w:jc w:val="center"/>
            </w:pPr>
            <w:r>
              <w:t>± 15</w:t>
            </w:r>
          </w:p>
        </w:tc>
      </w:tr>
      <w:tr w:rsidR="004B2808" w14:paraId="072AAE0F" w14:textId="77777777">
        <w:tc>
          <w:tcPr>
            <w:tcW w:w="3000" w:type="dxa"/>
            <w:tcBorders>
              <w:top w:val="single" w:sz="8" w:space="0" w:color="000000"/>
              <w:left w:val="single" w:sz="8" w:space="0" w:color="000000"/>
              <w:bottom w:val="single" w:sz="8" w:space="0" w:color="000000"/>
              <w:right w:val="single" w:sz="8" w:space="0" w:color="000000"/>
            </w:tcBorders>
            <w:noWrap/>
          </w:tcPr>
          <w:p w14:paraId="6AD2F93F" w14:textId="77777777" w:rsidR="004B2808" w:rsidRDefault="00000000">
            <w:pPr>
              <w:jc w:val="center"/>
            </w:pPr>
            <w:r>
              <w:t>2</w:t>
            </w:r>
          </w:p>
        </w:tc>
        <w:tc>
          <w:tcPr>
            <w:tcW w:w="3000" w:type="dxa"/>
            <w:tcBorders>
              <w:top w:val="single" w:sz="8" w:space="0" w:color="000000"/>
              <w:left w:val="single" w:sz="8" w:space="0" w:color="000000"/>
              <w:bottom w:val="single" w:sz="8" w:space="0" w:color="000000"/>
              <w:right w:val="single" w:sz="8" w:space="0" w:color="000000"/>
            </w:tcBorders>
            <w:noWrap/>
          </w:tcPr>
          <w:p w14:paraId="3AB0E74A" w14:textId="77777777" w:rsidR="004B2808" w:rsidRDefault="00000000">
            <w:pPr>
              <w:jc w:val="center"/>
            </w:pPr>
            <w:r>
              <w:t>± 7</w:t>
            </w:r>
          </w:p>
        </w:tc>
        <w:tc>
          <w:tcPr>
            <w:tcW w:w="3000" w:type="dxa"/>
            <w:tcBorders>
              <w:top w:val="single" w:sz="8" w:space="0" w:color="000000"/>
              <w:left w:val="single" w:sz="8" w:space="0" w:color="000000"/>
              <w:bottom w:val="single" w:sz="8" w:space="0" w:color="000000"/>
              <w:right w:val="single" w:sz="8" w:space="0" w:color="000000"/>
            </w:tcBorders>
            <w:noWrap/>
          </w:tcPr>
          <w:p w14:paraId="2FA5D009" w14:textId="77777777" w:rsidR="004B2808" w:rsidRDefault="00000000">
            <w:pPr>
              <w:jc w:val="center"/>
            </w:pPr>
            <w:r>
              <w:t>± 12</w:t>
            </w:r>
          </w:p>
        </w:tc>
      </w:tr>
      <w:tr w:rsidR="004B2808" w14:paraId="79B175DE" w14:textId="77777777">
        <w:tc>
          <w:tcPr>
            <w:tcW w:w="3000" w:type="dxa"/>
            <w:tcBorders>
              <w:top w:val="single" w:sz="8" w:space="0" w:color="000000"/>
              <w:left w:val="single" w:sz="8" w:space="0" w:color="000000"/>
              <w:bottom w:val="single" w:sz="8" w:space="0" w:color="000000"/>
              <w:right w:val="single" w:sz="8" w:space="0" w:color="000000"/>
            </w:tcBorders>
            <w:noWrap/>
          </w:tcPr>
          <w:p w14:paraId="0B641F30" w14:textId="77777777" w:rsidR="004B2808" w:rsidRDefault="00000000">
            <w:pPr>
              <w:jc w:val="center"/>
            </w:pPr>
            <w:r>
              <w:t>3</w:t>
            </w:r>
          </w:p>
        </w:tc>
        <w:tc>
          <w:tcPr>
            <w:tcW w:w="3000" w:type="dxa"/>
            <w:tcBorders>
              <w:top w:val="single" w:sz="8" w:space="0" w:color="000000"/>
              <w:left w:val="single" w:sz="8" w:space="0" w:color="000000"/>
              <w:bottom w:val="single" w:sz="8" w:space="0" w:color="000000"/>
              <w:right w:val="single" w:sz="8" w:space="0" w:color="000000"/>
            </w:tcBorders>
            <w:noWrap/>
          </w:tcPr>
          <w:p w14:paraId="1B0D2E96" w14:textId="77777777" w:rsidR="004B2808" w:rsidRDefault="00000000">
            <w:pPr>
              <w:jc w:val="center"/>
            </w:pPr>
            <w:r>
              <w:t>± 5</w:t>
            </w:r>
          </w:p>
        </w:tc>
        <w:tc>
          <w:tcPr>
            <w:tcW w:w="3000" w:type="dxa"/>
            <w:tcBorders>
              <w:top w:val="single" w:sz="8" w:space="0" w:color="000000"/>
              <w:left w:val="single" w:sz="8" w:space="0" w:color="000000"/>
              <w:bottom w:val="single" w:sz="8" w:space="0" w:color="000000"/>
              <w:right w:val="single" w:sz="8" w:space="0" w:color="000000"/>
            </w:tcBorders>
            <w:noWrap/>
          </w:tcPr>
          <w:p w14:paraId="63C0E22B" w14:textId="77777777" w:rsidR="004B2808" w:rsidRDefault="00000000">
            <w:pPr>
              <w:jc w:val="center"/>
            </w:pPr>
            <w:r>
              <w:t>± 10</w:t>
            </w:r>
          </w:p>
        </w:tc>
      </w:tr>
      <w:tr w:rsidR="004B2808" w14:paraId="6D9945BB" w14:textId="77777777">
        <w:tc>
          <w:tcPr>
            <w:tcW w:w="3000" w:type="dxa"/>
            <w:tcBorders>
              <w:top w:val="single" w:sz="8" w:space="0" w:color="000000"/>
              <w:left w:val="single" w:sz="8" w:space="0" w:color="000000"/>
              <w:bottom w:val="single" w:sz="8" w:space="0" w:color="000000"/>
              <w:right w:val="single" w:sz="8" w:space="0" w:color="000000"/>
            </w:tcBorders>
            <w:noWrap/>
          </w:tcPr>
          <w:p w14:paraId="2803B538" w14:textId="77777777" w:rsidR="004B2808" w:rsidRDefault="00000000">
            <w:pPr>
              <w:jc w:val="center"/>
            </w:pPr>
            <w:r>
              <w:t>4</w:t>
            </w:r>
            <w:r>
              <w:rPr>
                <w:vertAlign w:val="superscript"/>
              </w:rPr>
              <w:t>a</w:t>
            </w:r>
          </w:p>
        </w:tc>
        <w:tc>
          <w:tcPr>
            <w:tcW w:w="3000" w:type="dxa"/>
            <w:tcBorders>
              <w:top w:val="single" w:sz="8" w:space="0" w:color="000000"/>
              <w:left w:val="single" w:sz="8" w:space="0" w:color="000000"/>
              <w:bottom w:val="single" w:sz="8" w:space="0" w:color="000000"/>
              <w:right w:val="single" w:sz="8" w:space="0" w:color="000000"/>
            </w:tcBorders>
            <w:noWrap/>
          </w:tcPr>
          <w:p w14:paraId="314BEAA7" w14:textId="77777777" w:rsidR="004B2808" w:rsidRDefault="00000000">
            <w:pPr>
              <w:jc w:val="center"/>
            </w:pPr>
            <w:r>
              <w:t>± 3</w:t>
            </w:r>
          </w:p>
        </w:tc>
        <w:tc>
          <w:tcPr>
            <w:tcW w:w="3000" w:type="dxa"/>
            <w:tcBorders>
              <w:top w:val="single" w:sz="8" w:space="0" w:color="000000"/>
              <w:left w:val="single" w:sz="8" w:space="0" w:color="000000"/>
              <w:bottom w:val="single" w:sz="8" w:space="0" w:color="000000"/>
              <w:right w:val="single" w:sz="8" w:space="0" w:color="000000"/>
            </w:tcBorders>
            <w:noWrap/>
          </w:tcPr>
          <w:p w14:paraId="4875E32E" w14:textId="77777777" w:rsidR="004B2808" w:rsidRDefault="00000000">
            <w:pPr>
              <w:jc w:val="center"/>
            </w:pPr>
            <w:r>
              <w:t>± 5</w:t>
            </w:r>
          </w:p>
        </w:tc>
      </w:tr>
      <w:tr w:rsidR="004B2808" w14:paraId="63574D4B" w14:textId="77777777">
        <w:tc>
          <w:tcPr>
            <w:tcW w:w="3000" w:type="dxa"/>
            <w:tcBorders>
              <w:top w:val="single" w:sz="8" w:space="0" w:color="000000"/>
              <w:left w:val="single" w:sz="8" w:space="0" w:color="000000"/>
              <w:bottom w:val="single" w:sz="8" w:space="0" w:color="000000"/>
              <w:right w:val="single" w:sz="8" w:space="0" w:color="000000"/>
            </w:tcBorders>
            <w:noWrap/>
          </w:tcPr>
          <w:p w14:paraId="2C1517F6" w14:textId="77777777" w:rsidR="004B2808" w:rsidRDefault="00000000">
            <w:pPr>
              <w:jc w:val="center"/>
            </w:pPr>
            <w:r>
              <w:t>5</w:t>
            </w:r>
            <w:r>
              <w:rPr>
                <w:vertAlign w:val="superscript"/>
              </w:rPr>
              <w:t>a</w:t>
            </w:r>
          </w:p>
        </w:tc>
        <w:tc>
          <w:tcPr>
            <w:tcW w:w="3000" w:type="dxa"/>
            <w:tcBorders>
              <w:top w:val="single" w:sz="8" w:space="0" w:color="000000"/>
              <w:left w:val="single" w:sz="8" w:space="0" w:color="000000"/>
              <w:bottom w:val="single" w:sz="8" w:space="0" w:color="000000"/>
              <w:right w:val="single" w:sz="8" w:space="0" w:color="000000"/>
            </w:tcBorders>
            <w:noWrap/>
          </w:tcPr>
          <w:p w14:paraId="40450A1D" w14:textId="77777777" w:rsidR="004B2808" w:rsidRDefault="00000000">
            <w:pPr>
              <w:jc w:val="center"/>
            </w:pPr>
            <w:r>
              <w:t>± 2</w:t>
            </w:r>
          </w:p>
        </w:tc>
        <w:tc>
          <w:tcPr>
            <w:tcW w:w="3000" w:type="dxa"/>
            <w:tcBorders>
              <w:top w:val="single" w:sz="8" w:space="0" w:color="000000"/>
              <w:left w:val="single" w:sz="8" w:space="0" w:color="000000"/>
              <w:bottom w:val="single" w:sz="8" w:space="0" w:color="000000"/>
              <w:right w:val="single" w:sz="8" w:space="0" w:color="000000"/>
            </w:tcBorders>
            <w:noWrap/>
          </w:tcPr>
          <w:p w14:paraId="33A1DAE5" w14:textId="77777777" w:rsidR="004B2808" w:rsidRDefault="00000000">
            <w:pPr>
              <w:jc w:val="center"/>
            </w:pPr>
            <w:r>
              <w:t>± 2</w:t>
            </w:r>
          </w:p>
        </w:tc>
      </w:tr>
      <w:tr w:rsidR="004B2808" w14:paraId="7050A31D" w14:textId="77777777">
        <w:tc>
          <w:tcPr>
            <w:tcW w:w="9000" w:type="dxa"/>
            <w:gridSpan w:val="3"/>
            <w:tcBorders>
              <w:top w:val="single" w:sz="8" w:space="0" w:color="000000"/>
              <w:left w:val="single" w:sz="8" w:space="0" w:color="000000"/>
              <w:bottom w:val="single" w:sz="8" w:space="0" w:color="000000"/>
              <w:right w:val="single" w:sz="8" w:space="0" w:color="000000"/>
            </w:tcBorders>
            <w:noWrap/>
          </w:tcPr>
          <w:p w14:paraId="273D28BD" w14:textId="77777777" w:rsidR="004B2808" w:rsidRDefault="00000000">
            <w:pPr>
              <w:jc w:val="center"/>
            </w:pPr>
            <w:r>
              <w:rPr>
                <w:vertAlign w:val="superscript"/>
              </w:rPr>
              <w:t>a</w:t>
            </w:r>
            <w:r>
              <w:t xml:space="preserve"> : applicable uniquement aux enduits d'épaisseur ≤ 6 mm.</w:t>
            </w:r>
          </w:p>
        </w:tc>
      </w:tr>
    </w:tbl>
    <w:p w14:paraId="608E822C" w14:textId="77777777" w:rsidR="004B2808" w:rsidRDefault="00000000">
      <w:r>
        <w:t> </w:t>
      </w:r>
    </w:p>
    <w:p w14:paraId="5624CEE4" w14:textId="77777777" w:rsidR="004B2808" w:rsidRDefault="00000000">
      <w:r>
        <w:t>angularité</w:t>
      </w:r>
    </w:p>
    <w:tbl>
      <w:tblPr>
        <w:tblStyle w:val="Author-e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4515"/>
        <w:gridCol w:w="4515"/>
      </w:tblGrid>
      <w:tr w:rsidR="004B2808" w14:paraId="358D0D9E" w14:textId="77777777">
        <w:tc>
          <w:tcPr>
            <w:tcW w:w="4515" w:type="dxa"/>
            <w:tcBorders>
              <w:top w:val="single" w:sz="8" w:space="0" w:color="000000"/>
              <w:left w:val="single" w:sz="8" w:space="0" w:color="000000"/>
              <w:bottom w:val="single" w:sz="8" w:space="0" w:color="000000"/>
              <w:right w:val="single" w:sz="8" w:space="0" w:color="000000"/>
            </w:tcBorders>
            <w:noWrap/>
          </w:tcPr>
          <w:p w14:paraId="5D21D2CC" w14:textId="77777777" w:rsidR="004B2808" w:rsidRDefault="00000000">
            <w:pPr>
              <w:jc w:val="center"/>
            </w:pPr>
            <w:r>
              <w:t>l [m]</w:t>
            </w:r>
          </w:p>
        </w:tc>
        <w:tc>
          <w:tcPr>
            <w:tcW w:w="4515" w:type="dxa"/>
            <w:tcBorders>
              <w:top w:val="single" w:sz="8" w:space="0" w:color="000000"/>
              <w:left w:val="single" w:sz="8" w:space="0" w:color="000000"/>
              <w:bottom w:val="single" w:sz="8" w:space="0" w:color="000000"/>
              <w:right w:val="single" w:sz="8" w:space="0" w:color="000000"/>
            </w:tcBorders>
            <w:noWrap/>
          </w:tcPr>
          <w:p w14:paraId="75A0D15F" w14:textId="77777777" w:rsidR="004B2808" w:rsidRDefault="00000000">
            <w:pPr>
              <w:jc w:val="center"/>
            </w:pPr>
            <w:r>
              <w:t>écart angulaire admissible</w:t>
            </w:r>
            <w:r>
              <w:br/>
              <w:t>[mm]</w:t>
            </w:r>
          </w:p>
        </w:tc>
      </w:tr>
      <w:tr w:rsidR="004B2808" w14:paraId="4B918849" w14:textId="77777777">
        <w:tc>
          <w:tcPr>
            <w:tcW w:w="4515" w:type="dxa"/>
            <w:tcBorders>
              <w:top w:val="single" w:sz="8" w:space="0" w:color="000000"/>
              <w:left w:val="single" w:sz="8" w:space="0" w:color="000000"/>
              <w:bottom w:val="single" w:sz="8" w:space="0" w:color="000000"/>
              <w:right w:val="single" w:sz="8" w:space="0" w:color="000000"/>
            </w:tcBorders>
            <w:noWrap/>
          </w:tcPr>
          <w:p w14:paraId="7F5033A5" w14:textId="77777777" w:rsidR="004B2808" w:rsidRDefault="00000000">
            <w:pPr>
              <w:jc w:val="center"/>
            </w:pPr>
            <w:r>
              <w:t>&lt; 0.25</w:t>
            </w:r>
          </w:p>
        </w:tc>
        <w:tc>
          <w:tcPr>
            <w:tcW w:w="4515" w:type="dxa"/>
            <w:tcBorders>
              <w:top w:val="single" w:sz="8" w:space="0" w:color="000000"/>
              <w:left w:val="single" w:sz="8" w:space="0" w:color="000000"/>
              <w:bottom w:val="single" w:sz="8" w:space="0" w:color="000000"/>
              <w:right w:val="single" w:sz="8" w:space="0" w:color="000000"/>
            </w:tcBorders>
            <w:noWrap/>
          </w:tcPr>
          <w:p w14:paraId="42DA4B8F" w14:textId="77777777" w:rsidR="004B2808" w:rsidRDefault="00000000">
            <w:pPr>
              <w:jc w:val="center"/>
            </w:pPr>
            <w:r>
              <w:t>3</w:t>
            </w:r>
          </w:p>
        </w:tc>
      </w:tr>
      <w:tr w:rsidR="004B2808" w14:paraId="53C6F19A" w14:textId="77777777">
        <w:tc>
          <w:tcPr>
            <w:tcW w:w="4515" w:type="dxa"/>
            <w:tcBorders>
              <w:top w:val="single" w:sz="8" w:space="0" w:color="000000"/>
              <w:left w:val="single" w:sz="8" w:space="0" w:color="000000"/>
              <w:bottom w:val="single" w:sz="8" w:space="0" w:color="000000"/>
              <w:right w:val="single" w:sz="8" w:space="0" w:color="000000"/>
            </w:tcBorders>
            <w:noWrap/>
          </w:tcPr>
          <w:p w14:paraId="29264278" w14:textId="77777777" w:rsidR="004B2808" w:rsidRDefault="00000000">
            <w:pPr>
              <w:jc w:val="center"/>
            </w:pPr>
            <w:r>
              <w:t>0.25 ≤ l &lt; 0.5</w:t>
            </w:r>
          </w:p>
        </w:tc>
        <w:tc>
          <w:tcPr>
            <w:tcW w:w="4515" w:type="dxa"/>
            <w:tcBorders>
              <w:top w:val="single" w:sz="8" w:space="0" w:color="000000"/>
              <w:left w:val="single" w:sz="8" w:space="0" w:color="000000"/>
              <w:bottom w:val="single" w:sz="8" w:space="0" w:color="000000"/>
              <w:right w:val="single" w:sz="8" w:space="0" w:color="000000"/>
            </w:tcBorders>
            <w:noWrap/>
          </w:tcPr>
          <w:p w14:paraId="3BD0C94A" w14:textId="77777777" w:rsidR="004B2808" w:rsidRDefault="00000000">
            <w:pPr>
              <w:jc w:val="center"/>
            </w:pPr>
            <w:r>
              <w:t>5</w:t>
            </w:r>
          </w:p>
        </w:tc>
      </w:tr>
      <w:tr w:rsidR="004B2808" w14:paraId="671E550F" w14:textId="77777777">
        <w:tc>
          <w:tcPr>
            <w:tcW w:w="4515" w:type="dxa"/>
            <w:tcBorders>
              <w:top w:val="single" w:sz="8" w:space="0" w:color="000000"/>
              <w:left w:val="single" w:sz="8" w:space="0" w:color="000000"/>
              <w:bottom w:val="single" w:sz="8" w:space="0" w:color="000000"/>
              <w:right w:val="single" w:sz="8" w:space="0" w:color="000000"/>
            </w:tcBorders>
            <w:noWrap/>
          </w:tcPr>
          <w:p w14:paraId="122F72FF" w14:textId="77777777" w:rsidR="004B2808" w:rsidRDefault="00000000">
            <w:pPr>
              <w:jc w:val="center"/>
            </w:pPr>
            <w:r>
              <w:t>0.5 ≤ l &lt; 1</w:t>
            </w:r>
          </w:p>
        </w:tc>
        <w:tc>
          <w:tcPr>
            <w:tcW w:w="4515" w:type="dxa"/>
            <w:tcBorders>
              <w:top w:val="single" w:sz="8" w:space="0" w:color="000000"/>
              <w:left w:val="single" w:sz="8" w:space="0" w:color="000000"/>
              <w:bottom w:val="single" w:sz="8" w:space="0" w:color="000000"/>
              <w:right w:val="single" w:sz="8" w:space="0" w:color="000000"/>
            </w:tcBorders>
            <w:noWrap/>
          </w:tcPr>
          <w:p w14:paraId="415B5024" w14:textId="77777777" w:rsidR="004B2808" w:rsidRDefault="00000000">
            <w:pPr>
              <w:jc w:val="center"/>
            </w:pPr>
            <w:r>
              <w:t>6</w:t>
            </w:r>
          </w:p>
        </w:tc>
      </w:tr>
      <w:tr w:rsidR="004B2808" w14:paraId="258F0ED2" w14:textId="77777777">
        <w:tc>
          <w:tcPr>
            <w:tcW w:w="4515" w:type="dxa"/>
            <w:tcBorders>
              <w:top w:val="single" w:sz="8" w:space="0" w:color="000000"/>
              <w:left w:val="single" w:sz="8" w:space="0" w:color="000000"/>
              <w:bottom w:val="single" w:sz="8" w:space="0" w:color="000000"/>
              <w:right w:val="single" w:sz="8" w:space="0" w:color="000000"/>
            </w:tcBorders>
            <w:noWrap/>
          </w:tcPr>
          <w:p w14:paraId="11B21471" w14:textId="77777777" w:rsidR="004B2808" w:rsidRDefault="00000000">
            <w:pPr>
              <w:jc w:val="center"/>
            </w:pPr>
            <w:r>
              <w:t>1 ≤ l ≤ 3</w:t>
            </w:r>
          </w:p>
        </w:tc>
        <w:tc>
          <w:tcPr>
            <w:tcW w:w="4515" w:type="dxa"/>
            <w:tcBorders>
              <w:top w:val="single" w:sz="8" w:space="0" w:color="000000"/>
              <w:left w:val="single" w:sz="8" w:space="0" w:color="000000"/>
              <w:bottom w:val="single" w:sz="8" w:space="0" w:color="000000"/>
              <w:right w:val="single" w:sz="8" w:space="0" w:color="000000"/>
            </w:tcBorders>
            <w:noWrap/>
          </w:tcPr>
          <w:p w14:paraId="77C6ED6B" w14:textId="77777777" w:rsidR="004B2808" w:rsidRDefault="00000000">
            <w:pPr>
              <w:jc w:val="center"/>
            </w:pPr>
            <w:r>
              <w:t>8</w:t>
            </w:r>
          </w:p>
        </w:tc>
      </w:tr>
    </w:tbl>
    <w:p w14:paraId="7C3845F5" w14:textId="77777777" w:rsidR="004B2808" w:rsidRDefault="00000000">
      <w:pPr>
        <w:pStyle w:val="pheading"/>
      </w:pPr>
      <w:r>
        <w:t>DOCUMENTS DE RÉFÉRENCE</w:t>
      </w:r>
    </w:p>
    <w:p w14:paraId="15E0C6A3" w14:textId="77777777" w:rsidR="004B2808" w:rsidRDefault="00000000">
      <w:pPr>
        <w:pStyle w:val="pheading"/>
      </w:pPr>
      <w:r>
        <w:t>- Matériau</w:t>
      </w:r>
    </w:p>
    <w:p w14:paraId="6B310DCA" w14:textId="77777777" w:rsidR="004B2808" w:rsidRDefault="00000000">
      <w:r>
        <w:t>[NBN EN 998-1] : Définitions et spécifications des mortiers pour maçonnerie - Partie 1: Mortiers d'enduits minéraux extérieurs et intérieurs.</w:t>
      </w:r>
    </w:p>
    <w:p w14:paraId="53EAEF86" w14:textId="77777777" w:rsidR="004B2808" w:rsidRDefault="00000000">
      <w:r>
        <w:t>[NBN EN 15824]: Spécifications pour enduits de maçonnerie organiques extérieurs et intérieurs.</w:t>
      </w:r>
    </w:p>
    <w:p w14:paraId="76F3CC4E" w14:textId="77777777" w:rsidR="004B2808" w:rsidRDefault="00000000">
      <w:r>
        <w:t>[NBN EN 13279-1]: Liants-plâtres et enduits à base de plâtre pour le bâtiment - Partie 1: Définitions et exigences.</w:t>
      </w:r>
    </w:p>
    <w:p w14:paraId="01F1CA5F" w14:textId="77777777" w:rsidR="004B2808" w:rsidRDefault="00000000">
      <w:r>
        <w:t>[NBN EN 13658-1] : Lattis et cornières métalliques - Définitions, prescriptions et méthodes d'essai - Partie 1 : Enduits intérieurs.</w:t>
      </w:r>
    </w:p>
    <w:p w14:paraId="33ED3FB5" w14:textId="77777777" w:rsidR="004B2808" w:rsidRDefault="00000000">
      <w:pPr>
        <w:pStyle w:val="pheading"/>
      </w:pPr>
      <w:r>
        <w:t>- Exécution</w:t>
      </w:r>
    </w:p>
    <w:p w14:paraId="2FB1C824" w14:textId="77777777" w:rsidR="004B2808" w:rsidRDefault="00000000">
      <w:r>
        <w:t>[NIT 284, Les enduits intérieurs.].</w:t>
      </w:r>
    </w:p>
    <w:p w14:paraId="5257DF33" w14:textId="77777777" w:rsidR="004B2808" w:rsidRDefault="00000000">
      <w:r>
        <w:t>[NBN EN 13914-2] : Conception, préparation et mise en oeuvre des enduits intérieurs et extérieurs - Partie 2: enduits intérieurs.</w:t>
      </w:r>
    </w:p>
    <w:p w14:paraId="101A845E" w14:textId="77777777" w:rsidR="004B2808" w:rsidRDefault="00000000">
      <w:r>
        <w:t>[CEN/TR 15125] : Design, preparation and application of internal cement and/or lime plastering systems.</w:t>
      </w:r>
    </w:p>
    <w:p w14:paraId="6454BFA5" w14:textId="77777777" w:rsidR="004B2808" w:rsidRDefault="00000000">
      <w:pPr>
        <w:pStyle w:val="pheading"/>
      </w:pPr>
      <w:r>
        <w:t>AIDE</w:t>
      </w:r>
    </w:p>
    <w:p w14:paraId="2249114F" w14:textId="77777777" w:rsidR="004B2808" w:rsidRDefault="00000000">
      <w:r>
        <w:rPr>
          <w:i/>
          <w:u w:val="single"/>
        </w:rPr>
        <w:t xml:space="preserve">Note à l'attention de l'auteur de projet </w:t>
      </w:r>
    </w:p>
    <w:p w14:paraId="6829BA8B" w14:textId="77777777" w:rsidR="004B2808" w:rsidRDefault="00000000">
      <w:pPr>
        <w:pStyle w:val="Author-eListParagraph"/>
        <w:numPr>
          <w:ilvl w:val="0"/>
          <w:numId w:val="242"/>
        </w:numPr>
      </w:pPr>
      <w:r>
        <w:t>Par enduits secs (ou enduits d'usine), on comprend les enduits prémélangés en usine de façon qu'il suffit, sur le chantier, d'ajouter la quantité d'eau de gâchage nécessaire. En fonction du type, ils sont destinés à être mis en œuvre en une ou plusieurs couches sur une épaisseur qui varie entre quelques mm et une vingtaine de mm.</w:t>
      </w:r>
    </w:p>
    <w:p w14:paraId="23E66534" w14:textId="77777777" w:rsidR="004B2808" w:rsidRDefault="00000000">
      <w:pPr>
        <w:pStyle w:val="Author-eListParagraph"/>
        <w:numPr>
          <w:ilvl w:val="0"/>
          <w:numId w:val="242"/>
        </w:numPr>
      </w:pPr>
      <w:r>
        <w:lastRenderedPageBreak/>
        <w:t>On comprend par enduit traditionnel, les enduits pour lesquels plusieurs composantes doivent être dosées et mélangées sur le chantier. Ils sont appliqués en deux couches au moins, à l'exception d'un cimentage en une seule couche.</w:t>
      </w:r>
    </w:p>
    <w:p w14:paraId="58C53549" w14:textId="77777777" w:rsidR="004B2808" w:rsidRDefault="00000000">
      <w:pPr>
        <w:pStyle w:val="Author-eListParagraph"/>
        <w:numPr>
          <w:ilvl w:val="0"/>
          <w:numId w:val="242"/>
        </w:numPr>
      </w:pPr>
      <w:r>
        <w:t>On comprend par enduit décoratif, les enduits qui sont finis de manière décorative. Ils peuvent être appliqués en une ou plusieurs couches.</w:t>
      </w:r>
    </w:p>
    <w:p w14:paraId="209A109B" w14:textId="77777777" w:rsidR="004B2808" w:rsidRDefault="00000000">
      <w:pPr>
        <w:pStyle w:val="Author-eListParagraph"/>
        <w:numPr>
          <w:ilvl w:val="0"/>
          <w:numId w:val="242"/>
        </w:numPr>
      </w:pPr>
      <w:r>
        <w:t>Les mortiers liés au ciment ne sont pas admis sur les supports contenant du plâtre ou de la chaux hydratée et ne peuvent pas être mélangés au plâtre car il peut se former des sels expansifs.</w:t>
      </w:r>
    </w:p>
    <w:p w14:paraId="517BD10A" w14:textId="77777777" w:rsidR="004B2808" w:rsidRDefault="00000000">
      <w:pPr>
        <w:pStyle w:val="Author-eListParagraph"/>
        <w:numPr>
          <w:ilvl w:val="0"/>
          <w:numId w:val="242"/>
        </w:numPr>
      </w:pPr>
      <w:r>
        <w:rPr>
          <w:shd w:val="clear" w:color="auto" w:fill="FFFFFF"/>
        </w:rPr>
        <w:t xml:space="preserve">Pour les supports en béton cellulaire, en briques silico-calcaires et en panneaux de ciment de laine de bois, les indications du fabricant en ce qui concerne la composition du mortier des matériaux constituant le support sont respectées. </w:t>
      </w:r>
    </w:p>
    <w:p w14:paraId="160F5875" w14:textId="77777777" w:rsidR="004B2808" w:rsidRDefault="00000000">
      <w:pPr>
        <w:pStyle w:val="Author-eSectionHeading4Numberless"/>
      </w:pPr>
      <w:bookmarkStart w:id="136" w:name="_Toc220490340"/>
      <w:r>
        <w:t>51.51 Reconnaissance du support (examens complémentaires) CCTB 01.02</w:t>
      </w:r>
      <w:bookmarkEnd w:id="136"/>
    </w:p>
    <w:p w14:paraId="65C14297" w14:textId="77777777" w:rsidR="004B2808" w:rsidRDefault="00000000">
      <w:pPr>
        <w:pStyle w:val="Author-eSectionHeading5Numberless"/>
      </w:pPr>
      <w:bookmarkStart w:id="137" w:name="_Toc220490341"/>
      <w:r>
        <w:t>51.51.1 Mesures de l'humidité du support CCTB 01.02</w:t>
      </w:r>
      <w:bookmarkEnd w:id="137"/>
    </w:p>
    <w:p w14:paraId="42247CA3" w14:textId="77777777" w:rsidR="004B2808" w:rsidRDefault="00000000">
      <w:pPr>
        <w:pStyle w:val="Author-eSectionHeading6Numberless"/>
      </w:pPr>
      <w:bookmarkStart w:id="138" w:name="_Toc220490342"/>
      <w:r>
        <w:t>51.51.1a Mesures de l'humidité du support CCTB 01.02</w:t>
      </w:r>
      <w:bookmarkEnd w:id="138"/>
    </w:p>
    <w:p w14:paraId="0CCE54A1" w14:textId="77777777" w:rsidR="004B2808" w:rsidRDefault="00000000">
      <w:pPr>
        <w:pStyle w:val="Author-eSectionHeading5Numberless"/>
      </w:pPr>
      <w:bookmarkStart w:id="139" w:name="_Toc220490343"/>
      <w:r>
        <w:t>51.51.2 Contrôles de la cohésion du support CCTB 01.02</w:t>
      </w:r>
      <w:bookmarkEnd w:id="139"/>
    </w:p>
    <w:p w14:paraId="62916F0A" w14:textId="77777777" w:rsidR="004B2808" w:rsidRDefault="00000000">
      <w:pPr>
        <w:pStyle w:val="Author-eSectionHeading6Numberless"/>
      </w:pPr>
      <w:bookmarkStart w:id="140" w:name="_Toc220490344"/>
      <w:r>
        <w:t>51.51.2a Contrôle de la cohésion du support CCTB 01.02</w:t>
      </w:r>
      <w:bookmarkEnd w:id="140"/>
    </w:p>
    <w:p w14:paraId="005DC893" w14:textId="77777777" w:rsidR="004B2808" w:rsidRDefault="00000000">
      <w:pPr>
        <w:pStyle w:val="Author-eSectionHeading5Numberless"/>
      </w:pPr>
      <w:bookmarkStart w:id="141" w:name="_Toc220490345"/>
      <w:r>
        <w:t>51.51.3 Contrôle d'adhérence du support CCTB 01.02</w:t>
      </w:r>
      <w:bookmarkEnd w:id="141"/>
    </w:p>
    <w:p w14:paraId="28E45F22" w14:textId="77777777" w:rsidR="004B2808" w:rsidRDefault="00000000">
      <w:pPr>
        <w:pStyle w:val="Author-eSectionHeading6Numberless"/>
      </w:pPr>
      <w:bookmarkStart w:id="142" w:name="_Toc220490346"/>
      <w:r>
        <w:t>51.51.3a Contrôles d'adhérence du support CCTB 01.02</w:t>
      </w:r>
      <w:bookmarkEnd w:id="142"/>
    </w:p>
    <w:p w14:paraId="5C2269E0" w14:textId="77777777" w:rsidR="004B2808" w:rsidRDefault="00000000">
      <w:pPr>
        <w:pStyle w:val="Author-eSectionHeading5Numberless"/>
      </w:pPr>
      <w:bookmarkStart w:id="143" w:name="_Toc220490347"/>
      <w:r>
        <w:t>51.51.4 Autres examens complémentaires CCTB 01.02</w:t>
      </w:r>
      <w:bookmarkEnd w:id="143"/>
    </w:p>
    <w:p w14:paraId="2F44AC63" w14:textId="77777777" w:rsidR="004B2808" w:rsidRDefault="00000000">
      <w:pPr>
        <w:pStyle w:val="Author-eSectionHeading6Numberless"/>
      </w:pPr>
      <w:bookmarkStart w:id="144" w:name="_Toc220490348"/>
      <w:r>
        <w:t>51.51.4a Autres examens complémentaires CCTB 01.02</w:t>
      </w:r>
      <w:bookmarkEnd w:id="144"/>
    </w:p>
    <w:p w14:paraId="78962F06" w14:textId="77777777" w:rsidR="004B2808" w:rsidRDefault="00000000">
      <w:pPr>
        <w:pStyle w:val="Author-eSectionHeading4Numberless"/>
      </w:pPr>
      <w:bookmarkStart w:id="145" w:name="_Toc220490349"/>
      <w:r>
        <w:t>51.52 Préparation du support CCTB 01.11</w:t>
      </w:r>
      <w:bookmarkEnd w:id="145"/>
    </w:p>
    <w:p w14:paraId="3496E9F3" w14:textId="77777777" w:rsidR="004B2808" w:rsidRDefault="00000000">
      <w:pPr>
        <w:pStyle w:val="pheading"/>
      </w:pPr>
      <w:bookmarkStart w:id="146" w:name="1165"/>
      <w:bookmarkEnd w:id="146"/>
      <w:r>
        <w:t>MATÉRIAUX</w:t>
      </w:r>
    </w:p>
    <w:p w14:paraId="1C99D0FE" w14:textId="77777777" w:rsidR="004B2808" w:rsidRDefault="00000000">
      <w:pPr>
        <w:pStyle w:val="heading"/>
      </w:pPr>
      <w:r>
        <w:t>Produits de traitement préliminaire</w:t>
      </w:r>
    </w:p>
    <w:p w14:paraId="53F35F36" w14:textId="77777777" w:rsidR="004B2808" w:rsidRDefault="00000000">
      <w:r>
        <w:t>En vue de réduire le pouvoir d'absorption du support, d'égaliser la surface ou d'améliorer l'adhérence et/ou la cohésion entre les couches successives, l'entrepreneur doit évaluer quels produits de traitement préalable il est souhaitable d'utiliser, conformément aux recommandations du fabricant et afin d'obtenir les meilleurs résultats. Les produits utilisés à cet effet sont ceux recommandés par le fabricant d'enduit.</w:t>
      </w:r>
    </w:p>
    <w:p w14:paraId="3A988AA3" w14:textId="77777777" w:rsidR="004B2808" w:rsidRDefault="00000000">
      <w:pPr>
        <w:pStyle w:val="pheading"/>
      </w:pPr>
      <w:r>
        <w:t>EXÉCUTION / MISE EN ŒUVRE</w:t>
      </w:r>
    </w:p>
    <w:p w14:paraId="090B57E6" w14:textId="77777777" w:rsidR="004B2808" w:rsidRDefault="00000000">
      <w:pPr>
        <w:pStyle w:val="Author-eListParagraph"/>
        <w:numPr>
          <w:ilvl w:val="0"/>
          <w:numId w:val="243"/>
        </w:numPr>
      </w:pPr>
      <w:r>
        <w:t>Le support doit être propre, stable et uniforme. En fonction des circonstances et conformément aux recommandations du fabricant et/ou selon les règles de bonne pratique, la préparation du support comprend les travaux suivants :</w:t>
      </w:r>
    </w:p>
    <w:p w14:paraId="1337CD60" w14:textId="77777777" w:rsidR="004B2808" w:rsidRDefault="00000000">
      <w:pPr>
        <w:pStyle w:val="Author-eListParagraph"/>
        <w:numPr>
          <w:ilvl w:val="0"/>
          <w:numId w:val="243"/>
        </w:numPr>
      </w:pPr>
      <w:r>
        <w:t>L'enlèvement préalable, à l'aide d'une brosse ou éventuellement de solvants, de toutes les impuretés afin qu'il ne subsiste aucune trace de graisse, de rouille, d’argile, de produit de décoffrage, de sable ou de mortier.</w:t>
      </w:r>
    </w:p>
    <w:p w14:paraId="5ECEA5E7" w14:textId="77777777" w:rsidR="004B2808" w:rsidRDefault="00000000">
      <w:pPr>
        <w:pStyle w:val="Author-eListParagraph"/>
        <w:numPr>
          <w:ilvl w:val="0"/>
          <w:numId w:val="243"/>
        </w:numPr>
      </w:pPr>
      <w:r>
        <w:t>Le grattage préalable des joints encrassés ou non adhérents, le décapage de matériaux qui dépassent du plan du mur/plafond, l'enlèvement de clous, d'éléments de constructions non adhérents ou étrangers, …</w:t>
      </w:r>
    </w:p>
    <w:p w14:paraId="38BF7A71" w14:textId="77777777" w:rsidR="004B2808" w:rsidRDefault="00000000">
      <w:pPr>
        <w:pStyle w:val="Author-eListParagraph"/>
        <w:numPr>
          <w:ilvl w:val="0"/>
          <w:numId w:val="243"/>
        </w:numPr>
      </w:pPr>
      <w:r>
        <w:t>Le remplissage ou l'égalisation des trous et fissures (de plus de 20 mm) au moyen d'une couche de fond.</w:t>
      </w:r>
    </w:p>
    <w:p w14:paraId="24C90DA1" w14:textId="77777777" w:rsidR="004B2808" w:rsidRDefault="00000000">
      <w:r>
        <w:rPr>
          <w:u w:val="single"/>
        </w:rPr>
        <w:t>Attention :</w:t>
      </w:r>
      <w:r>
        <w:t xml:space="preserve"> les saignées dans les murs / plafonds pour l'encastrement des conduites et des fourreaux doivent toujours être rebouchées au mortier de ciment approprié.</w:t>
      </w:r>
    </w:p>
    <w:p w14:paraId="501CA564" w14:textId="77777777" w:rsidR="004B2808" w:rsidRDefault="00000000">
      <w:pPr>
        <w:pStyle w:val="Author-eListParagraph"/>
        <w:numPr>
          <w:ilvl w:val="0"/>
          <w:numId w:val="244"/>
        </w:numPr>
      </w:pPr>
      <w:r>
        <w:lastRenderedPageBreak/>
        <w:t>Le remplissage préalable des joints de mouvement ouverts au moyen d'une gaze de fibres synthétiques et le recouvrement des joints à l'aide de bandes en fibre de verre armées. Ce voile de fibres de verre est également placé, avec les recouvrements nécessaires, à tous les endroits où des fissurations sont à craindre.</w:t>
      </w:r>
    </w:p>
    <w:p w14:paraId="7601C73D" w14:textId="77777777" w:rsidR="004B2808" w:rsidRDefault="00000000">
      <w:pPr>
        <w:pStyle w:val="Author-eListParagraph"/>
        <w:numPr>
          <w:ilvl w:val="0"/>
          <w:numId w:val="244"/>
        </w:numPr>
      </w:pPr>
      <w:r>
        <w:t>L'application préalable d'une couche de fond ou d'adhérence appropriée qui peut s'avérer indispensable en fonction du mode d'exécution et de la nature du support, de la saison et des circonstances atmosphériques et ce, en vue d'obtenir une bonne adhérence et/ou un aspect régulier du plafonnage. A cet effet, l'entrepreneur demande conseil au fabricant de l'enduit. L'éventuelle couche de fond est comprise dans le prix.</w:t>
      </w:r>
    </w:p>
    <w:p w14:paraId="3D456E2A" w14:textId="77777777" w:rsidR="004B2808" w:rsidRDefault="00000000">
      <w:pPr>
        <w:pStyle w:val="Author-eListParagraph"/>
        <w:numPr>
          <w:ilvl w:val="0"/>
          <w:numId w:val="244"/>
        </w:numPr>
      </w:pPr>
      <w:r>
        <w:t>Les supports trop absorbants (béton cellulaire, briques silico-calcaires, etc.) sont préalablement traités avec un matériau synthétique en dispersion présentant une stabilité alcaline élevée, qui réduit le pouvoir absorbant du support.</w:t>
      </w:r>
    </w:p>
    <w:p w14:paraId="2BA0169A" w14:textId="77777777" w:rsidR="004B2808" w:rsidRDefault="00000000">
      <w:pPr>
        <w:pStyle w:val="Author-eListParagraph"/>
        <w:numPr>
          <w:ilvl w:val="0"/>
          <w:numId w:val="244"/>
        </w:numPr>
      </w:pPr>
      <w:r>
        <w:t>Le striage des supports trop lisses ou leur enduisage avec une couche d'adhérence appropriée. Les surfaces en béton lisses (par ex. les pré-dalles, etc.) reçoivent un traitement préalable avec une couche d'adhérence composée de sable de quartz mélangé à une dispersion de résine synthétique à stabilité alcaline élevée ou tout autre traitement qui est validé.</w:t>
      </w:r>
    </w:p>
    <w:p w14:paraId="378FE784" w14:textId="77777777" w:rsidR="004B2808" w:rsidRDefault="00000000">
      <w:pPr>
        <w:pStyle w:val="Author-eListParagraph"/>
        <w:numPr>
          <w:ilvl w:val="0"/>
          <w:numId w:val="244"/>
        </w:numPr>
      </w:pPr>
      <w:r>
        <w:t>Le recouvrement des poutres en bois et en acier avec un treillis en métal inoxydable ou synthétique. Ces treillis sont posés avec un chevauchement suffisant entre eux et avec les murs attenants et ils sont solidement fixés mécaniquement.</w:t>
      </w:r>
    </w:p>
    <w:p w14:paraId="26B17711" w14:textId="77777777" w:rsidR="004B2808" w:rsidRDefault="00000000">
      <w:pPr>
        <w:pStyle w:val="Author-eListParagraph"/>
        <w:numPr>
          <w:ilvl w:val="0"/>
          <w:numId w:val="244"/>
        </w:numPr>
      </w:pPr>
      <w:r>
        <w:t>Aux endroits qui ne peuvent pas être plafonnés immédiatement et dont la forme ne permet pas l'utilisation de matériaux en plaques, le plafonnage est appliqué sur une armature placée soigneusement.</w:t>
      </w:r>
    </w:p>
    <w:p w14:paraId="01317EED" w14:textId="77777777" w:rsidR="004B2808" w:rsidRDefault="00000000">
      <w:pPr>
        <w:pStyle w:val="Author-eListParagraph"/>
        <w:numPr>
          <w:ilvl w:val="0"/>
          <w:numId w:val="244"/>
        </w:numPr>
      </w:pPr>
      <w:r>
        <w:t>Le remplissage des joints entre les panneaux de plâtre enrobés de carton avec le produit approprié et le recouvrement de ces joints à l'aide d'une bande d'armature (en papier ou en fibres de verre) recommandée par le fabricant.</w:t>
      </w:r>
    </w:p>
    <w:p w14:paraId="62DF02F7" w14:textId="77777777" w:rsidR="004B2808" w:rsidRDefault="00000000">
      <w:pPr>
        <w:pStyle w:val="Author-eListParagraph"/>
        <w:numPr>
          <w:ilvl w:val="0"/>
          <w:numId w:val="244"/>
        </w:numPr>
      </w:pPr>
      <w:r>
        <w:t>Le dépoussiérage à la brosse ou à l'aspirateur;</w:t>
      </w:r>
    </w:p>
    <w:p w14:paraId="2081B8C4" w14:textId="77777777" w:rsidR="004B2808" w:rsidRDefault="00000000">
      <w:pPr>
        <w:pStyle w:val="Author-eListParagraph"/>
        <w:numPr>
          <w:ilvl w:val="0"/>
          <w:numId w:val="244"/>
        </w:numPr>
      </w:pPr>
      <w:r>
        <w:t>L'éventuelle humidification des supports trop secs ou poreux;</w:t>
      </w:r>
    </w:p>
    <w:p w14:paraId="2B99FFE3" w14:textId="77777777" w:rsidR="004B2808" w:rsidRDefault="00000000">
      <w:pPr>
        <w:pStyle w:val="Author-eSectionHeading5Numberless"/>
      </w:pPr>
      <w:bookmarkStart w:id="147" w:name="_Toc220490350"/>
      <w:r>
        <w:t>51.52.1 Décapage CCTB 01.02</w:t>
      </w:r>
      <w:bookmarkEnd w:id="147"/>
    </w:p>
    <w:p w14:paraId="4DFA6248" w14:textId="77777777" w:rsidR="004B2808" w:rsidRDefault="00000000">
      <w:pPr>
        <w:pStyle w:val="Author-eSectionHeading6Numberless"/>
      </w:pPr>
      <w:bookmarkStart w:id="148" w:name="_Toc220490351"/>
      <w:r>
        <w:t>51.52.1a Décapage - élimination d'efflorescences CCTB 01.02</w:t>
      </w:r>
      <w:bookmarkEnd w:id="148"/>
    </w:p>
    <w:p w14:paraId="1999548D" w14:textId="77777777" w:rsidR="004B2808" w:rsidRDefault="00000000">
      <w:pPr>
        <w:pStyle w:val="Author-eSectionHeading6Numberless"/>
      </w:pPr>
      <w:bookmarkStart w:id="149" w:name="_Toc220490352"/>
      <w:r>
        <w:t>51.52.1b Décapage - élimination d'éléments non adhérents en surface CCTB 01.02</w:t>
      </w:r>
      <w:bookmarkEnd w:id="149"/>
    </w:p>
    <w:p w14:paraId="2A4D6A62" w14:textId="77777777" w:rsidR="004B2808" w:rsidRDefault="00000000">
      <w:pPr>
        <w:pStyle w:val="Author-eSectionHeading5Numberless"/>
      </w:pPr>
      <w:bookmarkStart w:id="150" w:name="_Toc220490353"/>
      <w:r>
        <w:t>51.52.2 Prétraitements CCTB 01.02</w:t>
      </w:r>
      <w:bookmarkEnd w:id="150"/>
    </w:p>
    <w:p w14:paraId="76F6FE2D" w14:textId="77777777" w:rsidR="004B2808" w:rsidRDefault="00000000">
      <w:pPr>
        <w:pStyle w:val="Author-eSectionHeading6Numberless"/>
      </w:pPr>
      <w:bookmarkStart w:id="151" w:name="_Toc220490354"/>
      <w:r>
        <w:t>51.52.2a Prétraitements - couches d'accrochage CCTB 01.12</w:t>
      </w:r>
      <w:bookmarkEnd w:id="151"/>
    </w:p>
    <w:p w14:paraId="7C81F69C" w14:textId="77777777" w:rsidR="004B2808" w:rsidRDefault="00000000">
      <w:pPr>
        <w:pStyle w:val="pheading"/>
      </w:pPr>
      <w:bookmarkStart w:id="152" w:name="1168"/>
      <w:bookmarkEnd w:id="152"/>
      <w:r>
        <w:t>DESCRIPTION</w:t>
      </w:r>
    </w:p>
    <w:p w14:paraId="20DEBF07" w14:textId="77777777" w:rsidR="004B2808" w:rsidRDefault="00000000">
      <w:pPr>
        <w:pStyle w:val="pheading"/>
      </w:pPr>
      <w:r>
        <w:t>- Définition / Comprend</w:t>
      </w:r>
    </w:p>
    <w:p w14:paraId="1C5328DE" w14:textId="77777777" w:rsidR="004B2808" w:rsidRDefault="00000000">
      <w:pPr>
        <w:jc w:val="both"/>
      </w:pPr>
      <w:r>
        <w:rPr>
          <w:b/>
        </w:rPr>
        <w:t>﻿</w:t>
      </w:r>
      <w:r>
        <w:t xml:space="preserve">﻿Il s’agit de la fourniture et de l’application de primaires et gobetis d’accrochage. Ces produits s’utilisent sur les supports à adhérence limitée (par exemple supports peu absorbants) afin d’améliorer l’adhérence de l’enduit intérieur (cf. sous-titres </w:t>
      </w:r>
      <w:hyperlink w:anchor="1135" w:history="1">
        <w:r w:rsidR="004B2808">
          <w:rPr>
            <w:color w:val="0000EE"/>
          </w:rPr>
          <w:t>51.54 Enduit à base de plâtre</w:t>
        </w:r>
      </w:hyperlink>
      <w:r>
        <w:t xml:space="preserve">, </w:t>
      </w:r>
      <w:hyperlink w:anchor="1161" w:history="1">
        <w:r w:rsidR="004B2808">
          <w:rPr>
            <w:color w:val="0000EE"/>
          </w:rPr>
          <w:t>51.55 Enduit au ciment et/ou à la chaux</w:t>
        </w:r>
      </w:hyperlink>
      <w:r>
        <w:t xml:space="preserve"> et </w:t>
      </w:r>
      <w:hyperlink w:anchor="1162" w:history="1">
        <w:r w:rsidR="004B2808">
          <w:rPr>
            <w:color w:val="0000EE"/>
          </w:rPr>
          <w:t>51.56 Enduits à base d'argile</w:t>
        </w:r>
      </w:hyperlink>
      <w:r>
        <w:t>).</w:t>
      </w:r>
    </w:p>
    <w:p w14:paraId="3D537E67" w14:textId="77777777" w:rsidR="004B2808" w:rsidRDefault="00000000">
      <w:pPr>
        <w:pStyle w:val="pheading"/>
      </w:pPr>
      <w:r>
        <w:t>- Localisation</w:t>
      </w:r>
    </w:p>
    <w:p w14:paraId="47250045" w14:textId="77777777" w:rsidR="004B2808" w:rsidRDefault="00000000">
      <w:r>
        <w:t xml:space="preserve">Localisation des travaux : </w:t>
      </w:r>
      <w:r>
        <w:rPr>
          <w:rStyle w:val="optioncarChar"/>
        </w:rPr>
        <w:t>***</w:t>
      </w:r>
      <w:r>
        <w:t>.</w:t>
      </w:r>
    </w:p>
    <w:p w14:paraId="71884283" w14:textId="77777777" w:rsidR="004B2808" w:rsidRDefault="00000000">
      <w:r>
        <w:t>Voir plans et métrés détaillés.</w:t>
      </w:r>
    </w:p>
    <w:p w14:paraId="136C8791" w14:textId="77777777" w:rsidR="004B2808" w:rsidRDefault="00000000">
      <w:pPr>
        <w:pStyle w:val="pheading"/>
      </w:pPr>
      <w:r>
        <w:t>MATÉRIAUX</w:t>
      </w:r>
    </w:p>
    <w:p w14:paraId="45996F69" w14:textId="77777777" w:rsidR="004B2808" w:rsidRDefault="00000000">
      <w:pPr>
        <w:pStyle w:val="pheading"/>
      </w:pPr>
      <w:r>
        <w:t>- Caractéristiques générales</w:t>
      </w:r>
    </w:p>
    <w:p w14:paraId="2A53EFA7" w14:textId="77777777" w:rsidR="004B2808" w:rsidRDefault="00000000">
      <w:pPr>
        <w:jc w:val="both"/>
      </w:pPr>
      <w:r>
        <w:t>Les primaires d’accrochage sont généralement des produits manufacturés prêts à l’emploi constitués d’une résine en dispersion éventuellement dotée de grains de sable.</w:t>
      </w:r>
    </w:p>
    <w:p w14:paraId="711DB1B5" w14:textId="77777777" w:rsidR="004B2808" w:rsidRDefault="00000000">
      <w:pPr>
        <w:jc w:val="both"/>
      </w:pPr>
      <w:r>
        <w:lastRenderedPageBreak/>
        <w:t>Les gobetis d’accrochage sont des barbotines liant-sable riches en liant (ciment, chaux). Il s’agit d’un mélange semi-liquide constitué en général de 1 part de liant pour 2 à 3 parts de sable de granulométrie 0/2 ou 0/4. Des barbotines de terre crue ou d’argile peuvent également être utilisées pour recevoir un enduit d’argile maigre ou de faible adhérence.</w:t>
      </w:r>
    </w:p>
    <w:p w14:paraId="1B375701" w14:textId="77777777" w:rsidR="004B2808" w:rsidRDefault="00000000">
      <w:pPr>
        <w:jc w:val="both"/>
      </w:pPr>
      <w:r>
        <w:t>La couche d’accrochage doit être compatible avec le support et l’enduit à mettre en œuvre. Cette compatibilité doit être préalablement vérifiée dans la documentation technique accompagnant le produit et dans les règles de l’art (cf. notamment [NBN EN 13914-2], [NIT 284]).</w:t>
      </w:r>
    </w:p>
    <w:p w14:paraId="35118AB8" w14:textId="77777777" w:rsidR="004B2808" w:rsidRDefault="00000000">
      <w:pPr>
        <w:pStyle w:val="pheading"/>
      </w:pPr>
      <w:r>
        <w:t>EXÉCUTION / MISE EN ŒUVRE</w:t>
      </w:r>
    </w:p>
    <w:p w14:paraId="7D038803" w14:textId="77777777" w:rsidR="004B2808" w:rsidRDefault="00000000">
      <w:pPr>
        <w:pStyle w:val="pheading"/>
      </w:pPr>
      <w:r>
        <w:t>- Prescriptions générales</w:t>
      </w:r>
    </w:p>
    <w:p w14:paraId="0B85CCC2" w14:textId="77777777" w:rsidR="004B2808" w:rsidRDefault="00000000">
      <w:pPr>
        <w:jc w:val="both"/>
      </w:pPr>
      <w:r>
        <w:t>L’entrepreneur applique la couche d’accrochage adéquate et compatible en fonction de la nature et des caractéristiques (absorption d’eau, surface lisse, etc. ) du support ainsi que de l’enduit à appliquer.</w:t>
      </w:r>
    </w:p>
    <w:p w14:paraId="270CF715" w14:textId="77777777" w:rsidR="004B2808" w:rsidRDefault="00000000">
      <w:pPr>
        <w:pStyle w:val="pheading"/>
      </w:pPr>
      <w:r>
        <w:t>DOCUMENTS DE RÉFÉRENCE COMPLÉMENTAIRES</w:t>
      </w:r>
    </w:p>
    <w:p w14:paraId="376FBAD8" w14:textId="77777777" w:rsidR="004B2808" w:rsidRDefault="00000000">
      <w:pPr>
        <w:pStyle w:val="pheading"/>
      </w:pPr>
      <w:r>
        <w:t>- Exécution</w:t>
      </w:r>
    </w:p>
    <w:p w14:paraId="545FBE9E" w14:textId="77777777" w:rsidR="004B2808" w:rsidRDefault="00000000">
      <w:r>
        <w:t>[NIT 284, Les enduits intérieurs.]</w:t>
      </w:r>
    </w:p>
    <w:p w14:paraId="78209E8B" w14:textId="77777777" w:rsidR="004B2808" w:rsidRDefault="00000000">
      <w:r>
        <w:t>[NBN EN 13914-2, Conception, préparation et mise en oeuvre des enduits extérieurs et intérieurs - Partie 2: Enduits intérieurs]</w:t>
      </w:r>
    </w:p>
    <w:p w14:paraId="166F30F6" w14:textId="77777777" w:rsidR="004B2808" w:rsidRDefault="00000000">
      <w:r>
        <w:t>[AWAP Chaux, Van Baelen et al. - Le livre de la chaux - L'utilisation de la chaux comme liant pour mortiers de construction et de jointoiement de l'origine à nos jours]</w:t>
      </w:r>
    </w:p>
    <w:p w14:paraId="42B60796" w14:textId="77777777" w:rsidR="004B2808" w:rsidRDefault="00000000">
      <w:r>
        <w:t>[Moniteur Terre crue, Röhlen / Ziegert - Construire en terre crue: Construction - Rénovation - Finitions]</w:t>
      </w:r>
    </w:p>
    <w:p w14:paraId="5C4DE480" w14:textId="77777777" w:rsidR="004B2808" w:rsidRDefault="00000000">
      <w:r>
        <w:t>[CRATerre, CRATerre - Traité de construction en terre]</w:t>
      </w:r>
    </w:p>
    <w:p w14:paraId="3343E8A1" w14:textId="77777777" w:rsidR="004B2808" w:rsidRDefault="00000000">
      <w:r>
        <w:t>[Buildwise Magazine Contact n°60 (2018/4), CSTC Contact n°60 (2018/4)]</w:t>
      </w:r>
    </w:p>
    <w:p w14:paraId="4F403211" w14:textId="77777777" w:rsidR="004B2808" w:rsidRDefault="00000000">
      <w:pPr>
        <w:pStyle w:val="pheading"/>
      </w:pPr>
      <w:r>
        <w:t>MESURAGE</w:t>
      </w:r>
    </w:p>
    <w:p w14:paraId="6CCD9E40" w14:textId="77777777" w:rsidR="004B2808" w:rsidRDefault="00000000">
      <w:pPr>
        <w:pStyle w:val="pheading"/>
      </w:pPr>
      <w:r>
        <w:t>- unité de mesure:</w:t>
      </w:r>
    </w:p>
    <w:p w14:paraId="273CE28E" w14:textId="77777777" w:rsidR="004B2808" w:rsidRDefault="00000000">
      <w:r>
        <w:rPr>
          <w:rStyle w:val="optioncarChar"/>
        </w:rPr>
        <w:t xml:space="preserve">- </w:t>
      </w:r>
      <w:r>
        <w:t>(par défaut)</w:t>
      </w:r>
      <w:r>
        <w:rPr>
          <w:rStyle w:val="optioncarChar"/>
        </w:rPr>
        <w:t xml:space="preserve"> / m²</w:t>
      </w:r>
    </w:p>
    <w:p w14:paraId="65CC2B3D" w14:textId="77777777" w:rsidR="004B2808" w:rsidRDefault="00000000">
      <w:r>
        <w:rPr>
          <w:b/>
          <w:i/>
        </w:rPr>
        <w:t>(Soit par défaut)</w:t>
      </w:r>
    </w:p>
    <w:p w14:paraId="64A3B234" w14:textId="77777777" w:rsidR="004B2808" w:rsidRDefault="00000000">
      <w:r>
        <w:rPr>
          <w:rStyle w:val="soitChar"/>
        </w:rPr>
        <w:t>1. -</w:t>
      </w:r>
    </w:p>
    <w:p w14:paraId="76F85612" w14:textId="77777777" w:rsidR="004B2808" w:rsidRDefault="00000000">
      <w:r>
        <w:rPr>
          <w:b/>
          <w:i/>
        </w:rPr>
        <w:t>(Soit)</w:t>
      </w:r>
    </w:p>
    <w:p w14:paraId="300AE0EF" w14:textId="77777777" w:rsidR="004B2808" w:rsidRDefault="00000000">
      <w:r>
        <w:rPr>
          <w:rStyle w:val="soitChar"/>
        </w:rPr>
        <w:t>2. m²</w:t>
      </w:r>
    </w:p>
    <w:p w14:paraId="2C63F5FC" w14:textId="77777777" w:rsidR="004B2808" w:rsidRDefault="00000000">
      <w:pPr>
        <w:pStyle w:val="pheading"/>
      </w:pPr>
      <w:r>
        <w:t>- code de mesurage:</w:t>
      </w:r>
    </w:p>
    <w:p w14:paraId="11E09120" w14:textId="77777777" w:rsidR="004B2808" w:rsidRDefault="00000000">
      <w:pPr>
        <w:jc w:val="both"/>
      </w:pPr>
      <w:r>
        <w:rPr>
          <w:rStyle w:val="optioncarChar"/>
        </w:rPr>
        <w:t xml:space="preserve">Compris dans la pose de l’enduit </w:t>
      </w:r>
      <w:r>
        <w:t xml:space="preserve">(par défaut) </w:t>
      </w:r>
      <w:r>
        <w:rPr>
          <w:rStyle w:val="optioncarChar"/>
        </w:rPr>
        <w:t>/ Surface nette.</w:t>
      </w:r>
    </w:p>
    <w:p w14:paraId="6F2C4486" w14:textId="77777777" w:rsidR="004B2808" w:rsidRDefault="00000000">
      <w:pPr>
        <w:jc w:val="both"/>
      </w:pPr>
      <w:r>
        <w:rPr>
          <w:b/>
          <w:i/>
        </w:rPr>
        <w:t>(Soit par défaut)</w:t>
      </w:r>
    </w:p>
    <w:p w14:paraId="104DC8F6" w14:textId="77777777" w:rsidR="004B2808" w:rsidRDefault="00000000">
      <w:pPr>
        <w:jc w:val="both"/>
      </w:pPr>
      <w:r>
        <w:rPr>
          <w:rStyle w:val="soitChar"/>
          <w:b/>
        </w:rPr>
        <w:t>1. Compris</w:t>
      </w:r>
      <w:r>
        <w:rPr>
          <w:rStyle w:val="soitChar"/>
        </w:rPr>
        <w:t> </w:t>
      </w:r>
      <w:r>
        <w:rPr>
          <w:rStyle w:val="soitChar"/>
          <w:b/>
        </w:rPr>
        <w:t>dans la pose de l’enduit</w:t>
      </w:r>
      <w:r>
        <w:rPr>
          <w:rStyle w:val="soitChar"/>
        </w:rPr>
        <w:t xml:space="preserve"> dans l’élément</w:t>
      </w:r>
      <w:r>
        <w:rPr>
          <w:rStyle w:val="optioncarChar"/>
        </w:rPr>
        <w:t>***</w:t>
      </w:r>
    </w:p>
    <w:p w14:paraId="132337A6" w14:textId="77777777" w:rsidR="004B2808" w:rsidRDefault="00000000">
      <w:pPr>
        <w:jc w:val="both"/>
      </w:pPr>
      <w:r>
        <w:rPr>
          <w:b/>
          <w:i/>
        </w:rPr>
        <w:t>(Soit)</w:t>
      </w:r>
    </w:p>
    <w:p w14:paraId="491A8A36" w14:textId="77777777" w:rsidR="004B2808" w:rsidRDefault="00000000">
      <w:pPr>
        <w:jc w:val="both"/>
      </w:pPr>
      <w:r>
        <w:rPr>
          <w:rStyle w:val="soitChar"/>
          <w:b/>
        </w:rPr>
        <w:t>2. Surface nette</w:t>
      </w:r>
      <w:r>
        <w:rPr>
          <w:rStyle w:val="soitChar"/>
        </w:rPr>
        <w:t xml:space="preserve"> de la couche à appliquer. Les ouvertures et les interruptions supérieures à 0,50 m² sont déduites. Les retours sont comptés.</w:t>
      </w:r>
    </w:p>
    <w:p w14:paraId="1A350838" w14:textId="77777777" w:rsidR="004B2808" w:rsidRDefault="00000000">
      <w:pPr>
        <w:pStyle w:val="pheading"/>
      </w:pPr>
      <w:r>
        <w:t>- nature du marché:</w:t>
      </w:r>
    </w:p>
    <w:p w14:paraId="7F891492" w14:textId="77777777" w:rsidR="004B2808" w:rsidRDefault="00000000">
      <w:r>
        <w:rPr>
          <w:rStyle w:val="optioncarChar"/>
        </w:rPr>
        <w:t xml:space="preserve">PM </w:t>
      </w:r>
      <w:r>
        <w:t xml:space="preserve">(par défaut) </w:t>
      </w:r>
      <w:r>
        <w:rPr>
          <w:rStyle w:val="optioncarChar"/>
        </w:rPr>
        <w:t>/ QF</w:t>
      </w:r>
    </w:p>
    <w:p w14:paraId="48E72923" w14:textId="77777777" w:rsidR="004B2808" w:rsidRDefault="00000000">
      <w:r>
        <w:rPr>
          <w:b/>
          <w:i/>
        </w:rPr>
        <w:t>(Soit par défaut)</w:t>
      </w:r>
    </w:p>
    <w:p w14:paraId="6722068B" w14:textId="77777777" w:rsidR="004B2808" w:rsidRDefault="00000000">
      <w:r>
        <w:rPr>
          <w:rStyle w:val="soitChar"/>
        </w:rPr>
        <w:t>1. PM</w:t>
      </w:r>
    </w:p>
    <w:p w14:paraId="1F61F2BE" w14:textId="77777777" w:rsidR="004B2808" w:rsidRDefault="00000000">
      <w:r>
        <w:rPr>
          <w:b/>
          <w:i/>
        </w:rPr>
        <w:t>(Soit)</w:t>
      </w:r>
    </w:p>
    <w:p w14:paraId="0BAA1A40" w14:textId="77777777" w:rsidR="004B2808" w:rsidRDefault="00000000">
      <w:r>
        <w:rPr>
          <w:rStyle w:val="soitChar"/>
        </w:rPr>
        <w:lastRenderedPageBreak/>
        <w:t>2. QF</w:t>
      </w:r>
    </w:p>
    <w:p w14:paraId="17BDB7B5" w14:textId="77777777" w:rsidR="004B2808" w:rsidRDefault="00000000">
      <w:pPr>
        <w:pStyle w:val="Author-eSectionHeading6Numberless"/>
      </w:pPr>
      <w:bookmarkStart w:id="153" w:name="_Toc220490355"/>
      <w:r>
        <w:t>51.52.2b Prétraitements - primaires d'imprégnation pour support absorbant  CCTB 01.07</w:t>
      </w:r>
      <w:bookmarkEnd w:id="153"/>
    </w:p>
    <w:p w14:paraId="643D65E8" w14:textId="77777777" w:rsidR="004B2808" w:rsidRDefault="00000000">
      <w:pPr>
        <w:pStyle w:val="pheading"/>
      </w:pPr>
      <w:r>
        <w:t>DESCRIPTION</w:t>
      </w:r>
    </w:p>
    <w:p w14:paraId="227B563E" w14:textId="77777777" w:rsidR="004B2808" w:rsidRDefault="00000000">
      <w:pPr>
        <w:pStyle w:val="pheading"/>
      </w:pPr>
      <w:r>
        <w:t>- Définition / Comprend</w:t>
      </w:r>
    </w:p>
    <w:p w14:paraId="70A83DA5" w14:textId="77777777" w:rsidR="004B2808" w:rsidRDefault="00000000">
      <w:r>
        <w:t>Renvoi au 81.11.5a Régulateurs intérieurs d'absorption sur murs et plafonds minéraux</w:t>
      </w:r>
    </w:p>
    <w:p w14:paraId="0151DAD5" w14:textId="77777777" w:rsidR="004B2808" w:rsidRDefault="00000000">
      <w:pPr>
        <w:pStyle w:val="Author-eSectionHeading5Numberless"/>
      </w:pPr>
      <w:bookmarkStart w:id="154" w:name="_Toc220490356"/>
      <w:r>
        <w:t>51.52.3 Renforcements d'armature (pontage) CCTB 01.11</w:t>
      </w:r>
      <w:bookmarkEnd w:id="154"/>
    </w:p>
    <w:p w14:paraId="3C44C278" w14:textId="77777777" w:rsidR="004B2808" w:rsidRDefault="00000000">
      <w:pPr>
        <w:pStyle w:val="pheading"/>
      </w:pPr>
      <w:bookmarkStart w:id="155" w:name="1141"/>
      <w:bookmarkEnd w:id="155"/>
      <w:r>
        <w:t>MATÉRIAUX</w:t>
      </w:r>
    </w:p>
    <w:p w14:paraId="34E54C10" w14:textId="77777777" w:rsidR="004B2808" w:rsidRDefault="00000000">
      <w:pPr>
        <w:jc w:val="both"/>
      </w:pPr>
      <w:r>
        <w:rPr>
          <w:u w:val="single"/>
        </w:rPr>
        <w:t>Treillis de renfort</w:t>
      </w:r>
      <w:r>
        <w:t xml:space="preserve"> : ces treillis sont noyés dans l'enduit au droit de la jonction entre différentes surfaces et aux endroits où l’on peut s'attendre à des problèmes d'adhérence. En fonction de la situation, on utilise un filet de Nylon synthétique dont la compatibilité a été validée, un tissu de fibres de verre et/ou une bande de métal déployé anticorrosion. Les profils n'ont pas d'influence néfaste sur l'enduit à appliquer ou sur le plan esthétique.</w:t>
      </w:r>
    </w:p>
    <w:p w14:paraId="5BA3D847" w14:textId="77777777" w:rsidR="004B2808" w:rsidRDefault="00000000">
      <w:pPr>
        <w:pStyle w:val="pheading"/>
      </w:pPr>
      <w:r>
        <w:t>EXÉCUTION / MISE EN ŒUVRE</w:t>
      </w:r>
    </w:p>
    <w:p w14:paraId="37AD0D29" w14:textId="77777777" w:rsidR="004B2808" w:rsidRDefault="00000000">
      <w:pPr>
        <w:pStyle w:val="Author-eListParagraph"/>
        <w:numPr>
          <w:ilvl w:val="0"/>
          <w:numId w:val="245"/>
        </w:numPr>
        <w:jc w:val="both"/>
      </w:pPr>
      <w:r>
        <w:t>Au droit de la transition entre deux matériaux différents (béton / maçonnerie / saignées) et/ou aux endroits où des problèmes d'adhérence peuvent se produire, des bandes de renforcement spéciales sont appliquées.</w:t>
      </w:r>
    </w:p>
    <w:p w14:paraId="04DEB0EB" w14:textId="77777777" w:rsidR="004B2808" w:rsidRDefault="00000000">
      <w:pPr>
        <w:pStyle w:val="Author-eListParagraph"/>
        <w:numPr>
          <w:ilvl w:val="0"/>
          <w:numId w:val="245"/>
        </w:numPr>
        <w:jc w:val="both"/>
      </w:pPr>
      <w:r>
        <w:t>Ces bandes sont enfoncées dans l'enduit et ensuite recouvertes d'enduit qui est égalisé. Les bandes sont posées avec un recouvrement d'au moins 10 cm dans les deux sens. L'épaisseur de la couche d'enduit sur le treillis d'armature est d'au moins 10 mm .</w:t>
      </w:r>
    </w:p>
    <w:p w14:paraId="6E35E4BC" w14:textId="77777777" w:rsidR="004B2808" w:rsidRDefault="00000000">
      <w:pPr>
        <w:pStyle w:val="Author-eListParagraph"/>
        <w:numPr>
          <w:ilvl w:val="0"/>
          <w:numId w:val="245"/>
        </w:numPr>
        <w:jc w:val="both"/>
      </w:pPr>
      <w:r>
        <w:t>Au droit des joints de mouvement dans le support, un joint spécial est prévu dans le plafonnage, qui est également franchi par une couche d'enduit sur un treillis d'armature.</w:t>
      </w:r>
    </w:p>
    <w:p w14:paraId="2494F76F" w14:textId="77777777" w:rsidR="004B2808" w:rsidRDefault="00000000">
      <w:pPr>
        <w:pStyle w:val="pheading"/>
      </w:pPr>
      <w:r>
        <w:t>DOCUMENTS DE RÉFÉRENCE</w:t>
      </w:r>
    </w:p>
    <w:p w14:paraId="01E52FF9" w14:textId="77777777" w:rsidR="004B2808" w:rsidRDefault="00000000">
      <w:pPr>
        <w:pStyle w:val="pheading"/>
      </w:pPr>
      <w:r>
        <w:t>- Exécution</w:t>
      </w:r>
    </w:p>
    <w:p w14:paraId="506E2458" w14:textId="77777777" w:rsidR="004B2808" w:rsidRDefault="00000000">
      <w:r>
        <w:t>[NIT 284, Les enduits intérieurs.]</w:t>
      </w:r>
    </w:p>
    <w:p w14:paraId="2C75295A" w14:textId="77777777" w:rsidR="004B2808" w:rsidRDefault="00000000">
      <w:r>
        <w:t>[NBN EN 13914-2, Conception, préparation et mise en oeuvre des enduits extérieurs et intérieurs - Partie 2: Enduits intérieurs]</w:t>
      </w:r>
    </w:p>
    <w:p w14:paraId="25C022F6" w14:textId="77777777" w:rsidR="004B2808" w:rsidRDefault="00000000">
      <w:pPr>
        <w:pStyle w:val="Author-eSectionHeading6Numberless"/>
      </w:pPr>
      <w:bookmarkStart w:id="156" w:name="_Toc220490357"/>
      <w:r>
        <w:t>51.52.3a Renforcements d'armature (pontage) - métallique CCTB 01.02</w:t>
      </w:r>
      <w:bookmarkEnd w:id="156"/>
    </w:p>
    <w:p w14:paraId="5709F2DC" w14:textId="77777777" w:rsidR="004B2808" w:rsidRDefault="00000000">
      <w:pPr>
        <w:pStyle w:val="Author-eSectionHeading6Numberless"/>
      </w:pPr>
      <w:bookmarkStart w:id="157" w:name="_Toc220490358"/>
      <w:r>
        <w:t>51.52.3b Renforcements d'armature (pontage) - en fibres de verre CCTB 01.11</w:t>
      </w:r>
      <w:bookmarkEnd w:id="157"/>
    </w:p>
    <w:p w14:paraId="33B6C44E" w14:textId="77777777" w:rsidR="004B2808" w:rsidRDefault="00000000">
      <w:pPr>
        <w:pStyle w:val="pheading"/>
      </w:pPr>
      <w:r>
        <w:t>DESCRIPTION</w:t>
      </w:r>
    </w:p>
    <w:p w14:paraId="0595AAC6" w14:textId="77777777" w:rsidR="004B2808" w:rsidRDefault="00000000">
      <w:pPr>
        <w:pStyle w:val="pheading"/>
      </w:pPr>
      <w:r>
        <w:t>- Définition / Comprend</w:t>
      </w:r>
    </w:p>
    <w:p w14:paraId="59C51783" w14:textId="77777777" w:rsidR="004B2808" w:rsidRDefault="00000000">
      <w:pPr>
        <w:jc w:val="both"/>
      </w:pPr>
      <w:r>
        <w:t>Il s’agit de la fourniture et la pose de renforcements d’armature en fibres de verre au droit des raccords entre matériaux différents et sur des zones présentant des fissures.</w:t>
      </w:r>
    </w:p>
    <w:p w14:paraId="7923F585" w14:textId="77777777" w:rsidR="004B2808" w:rsidRDefault="00000000">
      <w:pPr>
        <w:jc w:val="both"/>
      </w:pPr>
      <w:r>
        <w:t>Le travail comprend notamment :</w:t>
      </w:r>
    </w:p>
    <w:p w14:paraId="738EF5F6" w14:textId="77777777" w:rsidR="004B2808" w:rsidRDefault="00000000">
      <w:pPr>
        <w:pStyle w:val="Author-eListParagraph"/>
        <w:numPr>
          <w:ilvl w:val="0"/>
          <w:numId w:val="246"/>
        </w:numPr>
        <w:jc w:val="both"/>
      </w:pPr>
      <w:r>
        <w:t>fourniture des treillis</w:t>
      </w:r>
    </w:p>
    <w:p w14:paraId="4E7EC7F1" w14:textId="77777777" w:rsidR="004B2808" w:rsidRDefault="00000000">
      <w:pPr>
        <w:pStyle w:val="Author-eListParagraph"/>
        <w:numPr>
          <w:ilvl w:val="0"/>
          <w:numId w:val="246"/>
        </w:numPr>
        <w:jc w:val="both"/>
      </w:pPr>
      <w:r>
        <w:t xml:space="preserve">mise en œuvre suivant </w:t>
      </w:r>
      <w:hyperlink w:anchor="1141" w:history="1">
        <w:r w:rsidR="004B2808">
          <w:rPr>
            <w:color w:val="0000EE"/>
          </w:rPr>
          <w:t>51.52.3 Renforcements d'armature (pontage)</w:t>
        </w:r>
      </w:hyperlink>
    </w:p>
    <w:p w14:paraId="70C93FD7" w14:textId="77777777" w:rsidR="004B2808" w:rsidRDefault="00000000">
      <w:pPr>
        <w:pStyle w:val="pheading"/>
      </w:pPr>
      <w:r>
        <w:t>MATÉRIAUX</w:t>
      </w:r>
    </w:p>
    <w:p w14:paraId="73A30C65" w14:textId="77777777" w:rsidR="004B2808" w:rsidRDefault="00000000">
      <w:pPr>
        <w:pStyle w:val="pheading"/>
      </w:pPr>
      <w:r>
        <w:t>- Caractéristiques générales</w:t>
      </w:r>
    </w:p>
    <w:p w14:paraId="511F711B" w14:textId="77777777" w:rsidR="004B2808" w:rsidRDefault="00000000">
      <w:pPr>
        <w:jc w:val="both"/>
      </w:pPr>
      <w:r>
        <w:t>Matériau : fibres de verre, protégés contre les alcalis et résistant à ces derniers.</w:t>
      </w:r>
    </w:p>
    <w:p w14:paraId="3E4300BC" w14:textId="77777777" w:rsidR="004B2808" w:rsidRDefault="00000000">
      <w:pPr>
        <w:jc w:val="both"/>
      </w:pPr>
      <w:r>
        <w:t xml:space="preserve">Rouleaux de largeur : </w:t>
      </w:r>
      <w:r>
        <w:rPr>
          <w:rStyle w:val="optioncarChar"/>
        </w:rPr>
        <w:t>250</w:t>
      </w:r>
      <w:r>
        <w:t xml:space="preserve"> (par défaut)</w:t>
      </w:r>
      <w:r>
        <w:rPr>
          <w:rStyle w:val="optioncarChar"/>
        </w:rPr>
        <w:t xml:space="preserve"> / 500 / 600 / 1000 / ***</w:t>
      </w:r>
      <w:r>
        <w:t xml:space="preserve"> mm</w:t>
      </w:r>
    </w:p>
    <w:p w14:paraId="2B8003AA" w14:textId="77777777" w:rsidR="004B2808" w:rsidRDefault="00000000">
      <w:pPr>
        <w:jc w:val="both"/>
      </w:pPr>
      <w:r>
        <w:t xml:space="preserve">Dimensions des mailles adaptées au type d’enduit utilisé : </w:t>
      </w:r>
      <w:r>
        <w:rPr>
          <w:rStyle w:val="optioncarChar"/>
        </w:rPr>
        <w:t xml:space="preserve">5x5 </w:t>
      </w:r>
      <w:r>
        <w:t xml:space="preserve">(par défaut) </w:t>
      </w:r>
      <w:r>
        <w:rPr>
          <w:rStyle w:val="optioncarChar"/>
        </w:rPr>
        <w:t>/ 5x8 / 5,5x6 / ***</w:t>
      </w:r>
      <w:r>
        <w:t xml:space="preserve"> mm</w:t>
      </w:r>
    </w:p>
    <w:p w14:paraId="691962A7" w14:textId="77777777" w:rsidR="004B2808" w:rsidRDefault="00000000">
      <w:pPr>
        <w:jc w:val="both"/>
      </w:pPr>
      <w:r>
        <w:t>Résistance à la traction ≥ </w:t>
      </w:r>
      <w:r>
        <w:rPr>
          <w:rStyle w:val="optioncarChar"/>
        </w:rPr>
        <w:t xml:space="preserve">850 </w:t>
      </w:r>
      <w:r>
        <w:t xml:space="preserve">(par défaut) </w:t>
      </w:r>
      <w:r>
        <w:rPr>
          <w:rStyle w:val="optioncarChar"/>
        </w:rPr>
        <w:t>/ 1100 / ***</w:t>
      </w:r>
      <w:r>
        <w:t xml:space="preserve"> N/50mm</w:t>
      </w:r>
    </w:p>
    <w:p w14:paraId="0DEA8EF7" w14:textId="77777777" w:rsidR="004B2808" w:rsidRDefault="00000000">
      <w:pPr>
        <w:pStyle w:val="pheading"/>
      </w:pPr>
      <w:r>
        <w:lastRenderedPageBreak/>
        <w:t>EXÉCUTION / MISE EN ŒUVRE</w:t>
      </w:r>
    </w:p>
    <w:p w14:paraId="7A7B5B97" w14:textId="77777777" w:rsidR="004B2808" w:rsidRDefault="00000000">
      <w:pPr>
        <w:pStyle w:val="pheading"/>
      </w:pPr>
      <w:r>
        <w:t>- Prescriptions générales</w:t>
      </w:r>
    </w:p>
    <w:p w14:paraId="6975A318" w14:textId="77777777" w:rsidR="004B2808" w:rsidRDefault="00000000">
      <w:pPr>
        <w:jc w:val="both"/>
      </w:pPr>
      <w:r>
        <w:t xml:space="preserve">Mise en œuvre suivant </w:t>
      </w:r>
      <w:hyperlink w:anchor="1141" w:history="1">
        <w:r w:rsidR="004B2808">
          <w:rPr>
            <w:color w:val="0000EE"/>
          </w:rPr>
          <w:t>51.52.3 Renforcements d'armature (pontage)</w:t>
        </w:r>
      </w:hyperlink>
    </w:p>
    <w:p w14:paraId="60FEB7A5" w14:textId="77777777" w:rsidR="004B2808" w:rsidRDefault="00000000">
      <w:pPr>
        <w:jc w:val="both"/>
      </w:pPr>
      <w:r>
        <w:t xml:space="preserve">Pose : </w:t>
      </w:r>
      <w:r>
        <w:rPr>
          <w:rStyle w:val="optioncarChar"/>
        </w:rPr>
        <w:t>au droit des raccords entre matériaux différents / sur une zone présentant des fissures</w:t>
      </w:r>
    </w:p>
    <w:p w14:paraId="26D80C4F" w14:textId="77777777" w:rsidR="004B2808" w:rsidRDefault="00000000">
      <w:pPr>
        <w:jc w:val="both"/>
      </w:pPr>
      <w:r>
        <w:rPr>
          <w:b/>
        </w:rPr>
        <w:t>(soit)</w:t>
      </w:r>
    </w:p>
    <w:p w14:paraId="495D0498" w14:textId="77777777" w:rsidR="004B2808" w:rsidRDefault="00000000">
      <w:pPr>
        <w:jc w:val="both"/>
      </w:pPr>
      <w:r>
        <w:rPr>
          <w:rStyle w:val="soitChar"/>
          <w:u w:val="single"/>
        </w:rPr>
        <w:t>Au droit du raccord entre matériaux différents :</w:t>
      </w:r>
    </w:p>
    <w:p w14:paraId="10862984" w14:textId="77777777" w:rsidR="004B2808" w:rsidRDefault="00000000">
      <w:pPr>
        <w:pStyle w:val="Author-eListParagraph"/>
        <w:numPr>
          <w:ilvl w:val="0"/>
          <w:numId w:val="247"/>
        </w:numPr>
      </w:pPr>
      <w:r>
        <w:rPr>
          <w:rStyle w:val="soitChar"/>
        </w:rPr>
        <w:t>Largeur ± 200mm</w:t>
      </w:r>
    </w:p>
    <w:p w14:paraId="05F36ED2" w14:textId="77777777" w:rsidR="004B2808" w:rsidRDefault="00000000">
      <w:pPr>
        <w:jc w:val="both"/>
      </w:pPr>
      <w:r>
        <w:rPr>
          <w:b/>
        </w:rPr>
        <w:t>(soit)</w:t>
      </w:r>
    </w:p>
    <w:p w14:paraId="66EF14CD" w14:textId="77777777" w:rsidR="004B2808" w:rsidRDefault="00000000">
      <w:pPr>
        <w:jc w:val="both"/>
      </w:pPr>
      <w:r>
        <w:rPr>
          <w:rStyle w:val="soitChar"/>
          <w:u w:val="single"/>
        </w:rPr>
        <w:t>Sur une zone présentant des fissures :</w:t>
      </w:r>
    </w:p>
    <w:p w14:paraId="7CFDE43F" w14:textId="77777777" w:rsidR="004B2808" w:rsidRDefault="00000000">
      <w:pPr>
        <w:pStyle w:val="Author-eListParagraph"/>
        <w:numPr>
          <w:ilvl w:val="0"/>
          <w:numId w:val="248"/>
        </w:numPr>
      </w:pPr>
      <w:r>
        <w:rPr>
          <w:rStyle w:val="soitChar"/>
        </w:rPr>
        <w:t>Sur l’ensemble d’une surface présentant des fissures + 100mm sur tout le pourtour</w:t>
      </w:r>
    </w:p>
    <w:p w14:paraId="332A34AE" w14:textId="77777777" w:rsidR="004B2808" w:rsidRDefault="00000000">
      <w:pPr>
        <w:jc w:val="both"/>
      </w:pPr>
      <w:r>
        <w:t> </w:t>
      </w:r>
    </w:p>
    <w:p w14:paraId="7533D159" w14:textId="77777777" w:rsidR="004B2808" w:rsidRDefault="00000000">
      <w:pPr>
        <w:jc w:val="both"/>
      </w:pPr>
      <w:r>
        <w:t>Le treillis est placé dans le tiers supérieur de l’enduit.</w:t>
      </w:r>
    </w:p>
    <w:p w14:paraId="5FF330E0" w14:textId="77777777" w:rsidR="004B2808" w:rsidRDefault="00000000">
      <w:pPr>
        <w:jc w:val="both"/>
      </w:pPr>
      <w:r>
        <w:t xml:space="preserve">L’épaisseur de la couche d’enduit sur le treillis est ≥ </w:t>
      </w:r>
      <w:r>
        <w:rPr>
          <w:rStyle w:val="optioncarChar"/>
        </w:rPr>
        <w:t>5 / 10 / ***</w:t>
      </w:r>
      <w:r>
        <w:t xml:space="preserve"> mm</w:t>
      </w:r>
    </w:p>
    <w:p w14:paraId="0FA6F0CC" w14:textId="77777777" w:rsidR="004B2808" w:rsidRDefault="00000000">
      <w:pPr>
        <w:pStyle w:val="pheading"/>
      </w:pPr>
      <w:r>
        <w:t>MESURAGE</w:t>
      </w:r>
    </w:p>
    <w:p w14:paraId="12707969" w14:textId="77777777" w:rsidR="004B2808" w:rsidRDefault="00000000">
      <w:pPr>
        <w:pStyle w:val="pheading"/>
      </w:pPr>
      <w:r>
        <w:t>- unité de mesure:</w:t>
      </w:r>
    </w:p>
    <w:p w14:paraId="7FEE6691" w14:textId="77777777" w:rsidR="004B2808" w:rsidRDefault="00000000">
      <w:r>
        <w:rPr>
          <w:rStyle w:val="optioncarChar"/>
        </w:rPr>
        <w:t xml:space="preserve">- </w:t>
      </w:r>
      <w:r>
        <w:t xml:space="preserve">(par défaut) </w:t>
      </w:r>
      <w:r>
        <w:rPr>
          <w:rStyle w:val="optioncarChar"/>
        </w:rPr>
        <w:t>/ m² / m</w:t>
      </w:r>
    </w:p>
    <w:p w14:paraId="77E1B611" w14:textId="77777777" w:rsidR="004B2808" w:rsidRDefault="00000000">
      <w:r>
        <w:rPr>
          <w:b/>
        </w:rPr>
        <w:t>(soit par défaut)</w:t>
      </w:r>
      <w:r>
        <w:br/>
      </w:r>
      <w:r>
        <w:rPr>
          <w:rStyle w:val="soitChar"/>
        </w:rPr>
        <w:t>1. -</w:t>
      </w:r>
      <w:r>
        <w:br/>
      </w:r>
      <w:r>
        <w:rPr>
          <w:b/>
        </w:rPr>
        <w:t>(soit)</w:t>
      </w:r>
      <w:r>
        <w:br/>
      </w:r>
      <w:r>
        <w:rPr>
          <w:rStyle w:val="soitChar"/>
        </w:rPr>
        <w:t>2. m²</w:t>
      </w:r>
      <w:r>
        <w:br/>
      </w:r>
      <w:r>
        <w:rPr>
          <w:b/>
        </w:rPr>
        <w:t>(soit)</w:t>
      </w:r>
      <w:r>
        <w:br/>
      </w:r>
      <w:r>
        <w:rPr>
          <w:rStyle w:val="soitChar"/>
        </w:rPr>
        <w:t>3. m</w:t>
      </w:r>
    </w:p>
    <w:p w14:paraId="2912B1DF" w14:textId="77777777" w:rsidR="004B2808" w:rsidRDefault="00000000">
      <w:pPr>
        <w:pStyle w:val="pheading"/>
      </w:pPr>
      <w:r>
        <w:t>- code de mesurage:</w:t>
      </w:r>
    </w:p>
    <w:p w14:paraId="4D3E900D" w14:textId="77777777" w:rsidR="004B2808" w:rsidRDefault="00000000">
      <w:pPr>
        <w:jc w:val="both"/>
      </w:pPr>
      <w:r>
        <w:rPr>
          <w:rStyle w:val="optioncarChar"/>
        </w:rPr>
        <w:t xml:space="preserve">Compris </w:t>
      </w:r>
      <w:r>
        <w:t>(par défaut)</w:t>
      </w:r>
      <w:r>
        <w:rPr>
          <w:rStyle w:val="optioncarChar"/>
        </w:rPr>
        <w:t xml:space="preserve"> / Surface nette / Longueur nette</w:t>
      </w:r>
    </w:p>
    <w:p w14:paraId="74292CF8" w14:textId="77777777" w:rsidR="004B2808" w:rsidRDefault="00000000">
      <w:pPr>
        <w:jc w:val="both"/>
      </w:pPr>
      <w:r>
        <w:rPr>
          <w:b/>
        </w:rPr>
        <w:t>(soit par défaut)</w:t>
      </w:r>
    </w:p>
    <w:p w14:paraId="6AAF15A9" w14:textId="77777777" w:rsidR="004B2808" w:rsidRDefault="00000000">
      <w:pPr>
        <w:jc w:val="both"/>
      </w:pPr>
      <w:r>
        <w:rPr>
          <w:rStyle w:val="soitChar"/>
        </w:rPr>
        <w:t xml:space="preserve">1. </w:t>
      </w:r>
      <w:r>
        <w:rPr>
          <w:rStyle w:val="soitChar"/>
          <w:u w:val="single"/>
        </w:rPr>
        <w:t>Compris</w:t>
      </w:r>
      <w:r>
        <w:rPr>
          <w:rStyle w:val="soitChar"/>
        </w:rPr>
        <w:t xml:space="preserve"> dans la pose de l’enduit de l’article</w:t>
      </w:r>
      <w:r>
        <w:t xml:space="preserve">  </w:t>
      </w:r>
      <w:r>
        <w:rPr>
          <w:rStyle w:val="optioncarChar"/>
        </w:rPr>
        <w:t>***</w:t>
      </w:r>
    </w:p>
    <w:p w14:paraId="59DEE011" w14:textId="77777777" w:rsidR="004B2808" w:rsidRDefault="00000000">
      <w:pPr>
        <w:jc w:val="both"/>
      </w:pPr>
      <w:r>
        <w:rPr>
          <w:b/>
        </w:rPr>
        <w:t>(soit)</w:t>
      </w:r>
    </w:p>
    <w:p w14:paraId="5646C6B0" w14:textId="77777777" w:rsidR="004B2808" w:rsidRDefault="00000000">
      <w:pPr>
        <w:jc w:val="both"/>
      </w:pPr>
      <w:r>
        <w:rPr>
          <w:rStyle w:val="soitChar"/>
        </w:rPr>
        <w:t xml:space="preserve">2. </w:t>
      </w:r>
      <w:r>
        <w:rPr>
          <w:rStyle w:val="soitChar"/>
          <w:u w:val="single"/>
        </w:rPr>
        <w:t>Surface nette</w:t>
      </w:r>
      <w:r>
        <w:rPr>
          <w:rStyle w:val="soitChar"/>
        </w:rPr>
        <w:t xml:space="preserve"> de la bande d’armature à appliquer.</w:t>
      </w:r>
    </w:p>
    <w:p w14:paraId="744137F5" w14:textId="77777777" w:rsidR="004B2808" w:rsidRDefault="00000000">
      <w:pPr>
        <w:jc w:val="both"/>
      </w:pPr>
      <w:r>
        <w:rPr>
          <w:b/>
        </w:rPr>
        <w:t>(soit)</w:t>
      </w:r>
    </w:p>
    <w:p w14:paraId="050CB309" w14:textId="77777777" w:rsidR="004B2808" w:rsidRDefault="00000000">
      <w:pPr>
        <w:jc w:val="both"/>
      </w:pPr>
      <w:r>
        <w:rPr>
          <w:rStyle w:val="soitChar"/>
        </w:rPr>
        <w:t>3. L</w:t>
      </w:r>
      <w:r>
        <w:rPr>
          <w:rStyle w:val="soitChar"/>
          <w:u w:val="single"/>
        </w:rPr>
        <w:t>ongueur nette</w:t>
      </w:r>
      <w:r>
        <w:rPr>
          <w:rStyle w:val="soitChar"/>
        </w:rPr>
        <w:t xml:space="preserve"> de la bande d’armature à appliquer.</w:t>
      </w:r>
    </w:p>
    <w:p w14:paraId="533D0BA7" w14:textId="77777777" w:rsidR="004B2808" w:rsidRDefault="00000000">
      <w:pPr>
        <w:pStyle w:val="pheading"/>
      </w:pPr>
      <w:r>
        <w:t>- nature du marché:</w:t>
      </w:r>
    </w:p>
    <w:p w14:paraId="67F4E606" w14:textId="77777777" w:rsidR="004B2808" w:rsidRDefault="00000000">
      <w:r>
        <w:rPr>
          <w:rStyle w:val="optioncarChar"/>
        </w:rPr>
        <w:t xml:space="preserve">PM </w:t>
      </w:r>
      <w:r>
        <w:t>(par défaut)</w:t>
      </w:r>
      <w:r>
        <w:rPr>
          <w:rStyle w:val="optioncarChar"/>
        </w:rPr>
        <w:t xml:space="preserve"> / QP</w:t>
      </w:r>
    </w:p>
    <w:p w14:paraId="392964A6" w14:textId="77777777" w:rsidR="004B2808" w:rsidRDefault="00000000">
      <w:r>
        <w:rPr>
          <w:b/>
        </w:rPr>
        <w:t>(soit par défaut)</w:t>
      </w:r>
      <w:r>
        <w:br/>
      </w:r>
      <w:r>
        <w:rPr>
          <w:rStyle w:val="soitChar"/>
        </w:rPr>
        <w:t>1. PM</w:t>
      </w:r>
      <w:r>
        <w:br/>
      </w:r>
      <w:r>
        <w:rPr>
          <w:b/>
        </w:rPr>
        <w:t>(soit)</w:t>
      </w:r>
      <w:r>
        <w:br/>
      </w:r>
      <w:r>
        <w:rPr>
          <w:rStyle w:val="soitChar"/>
        </w:rPr>
        <w:t>2.3. QP</w:t>
      </w:r>
    </w:p>
    <w:p w14:paraId="04070070" w14:textId="77777777" w:rsidR="004B2808" w:rsidRDefault="00000000">
      <w:pPr>
        <w:pStyle w:val="Author-eSectionHeading6Numberless"/>
      </w:pPr>
      <w:bookmarkStart w:id="158" w:name="_Toc220490359"/>
      <w:r>
        <w:t>51.52.3c Renforcements d'armature (pontage) - synthétiques CCTB 01.11</w:t>
      </w:r>
      <w:bookmarkEnd w:id="158"/>
    </w:p>
    <w:p w14:paraId="1BA86AC8" w14:textId="77777777" w:rsidR="004B2808" w:rsidRDefault="00000000">
      <w:pPr>
        <w:pStyle w:val="pheading"/>
      </w:pPr>
      <w:r>
        <w:t>DESCRIPTION</w:t>
      </w:r>
    </w:p>
    <w:p w14:paraId="271546EF" w14:textId="77777777" w:rsidR="004B2808" w:rsidRDefault="00000000">
      <w:pPr>
        <w:pStyle w:val="pheading"/>
      </w:pPr>
      <w:r>
        <w:t>- Définition / Comprend</w:t>
      </w:r>
    </w:p>
    <w:p w14:paraId="764F1537" w14:textId="77777777" w:rsidR="004B2808" w:rsidRDefault="00000000">
      <w:pPr>
        <w:jc w:val="both"/>
      </w:pPr>
      <w:r>
        <w:t>Il s’agit de la fourniture et la pose de renforcements d’armature synthétiques au droit des raccords entre matériaux différents et sur des zones présentant des fissures.</w:t>
      </w:r>
    </w:p>
    <w:p w14:paraId="52EDC961" w14:textId="77777777" w:rsidR="004B2808" w:rsidRDefault="00000000">
      <w:pPr>
        <w:jc w:val="both"/>
      </w:pPr>
      <w:r>
        <w:lastRenderedPageBreak/>
        <w:t>Le travail comprend notamment :</w:t>
      </w:r>
    </w:p>
    <w:p w14:paraId="07536562" w14:textId="77777777" w:rsidR="004B2808" w:rsidRDefault="00000000">
      <w:pPr>
        <w:pStyle w:val="Author-eListParagraph"/>
        <w:numPr>
          <w:ilvl w:val="0"/>
          <w:numId w:val="249"/>
        </w:numPr>
        <w:jc w:val="both"/>
      </w:pPr>
      <w:r>
        <w:t>fourniture des treillis</w:t>
      </w:r>
    </w:p>
    <w:p w14:paraId="25651D98" w14:textId="77777777" w:rsidR="004B2808" w:rsidRDefault="00000000">
      <w:pPr>
        <w:pStyle w:val="Author-eListParagraph"/>
        <w:numPr>
          <w:ilvl w:val="0"/>
          <w:numId w:val="249"/>
        </w:numPr>
        <w:jc w:val="both"/>
      </w:pPr>
      <w:r>
        <w:t xml:space="preserve">mise en œuvre suivant </w:t>
      </w:r>
      <w:hyperlink w:anchor="1141" w:history="1">
        <w:r w:rsidR="004B2808">
          <w:rPr>
            <w:color w:val="0000EE"/>
          </w:rPr>
          <w:t>51.52.3 Renforcements d'armature (pontage)</w:t>
        </w:r>
      </w:hyperlink>
    </w:p>
    <w:p w14:paraId="332D2484" w14:textId="77777777" w:rsidR="004B2808" w:rsidRDefault="00000000">
      <w:pPr>
        <w:pStyle w:val="pheading"/>
      </w:pPr>
      <w:r>
        <w:t>MATÉRIAUX</w:t>
      </w:r>
    </w:p>
    <w:p w14:paraId="65DE9CB0" w14:textId="77777777" w:rsidR="004B2808" w:rsidRDefault="00000000">
      <w:pPr>
        <w:pStyle w:val="pheading"/>
      </w:pPr>
      <w:r>
        <w:t>- Caractéristiques générales</w:t>
      </w:r>
    </w:p>
    <w:p w14:paraId="282E09BE" w14:textId="77777777" w:rsidR="004B2808" w:rsidRDefault="00000000">
      <w:pPr>
        <w:jc w:val="both"/>
      </w:pPr>
      <w:r>
        <w:t xml:space="preserve">Matériau : </w:t>
      </w:r>
      <w:r>
        <w:rPr>
          <w:rStyle w:val="optioncarChar"/>
        </w:rPr>
        <w:t>polypropylène</w:t>
      </w:r>
      <w:r>
        <w:t xml:space="preserve"> (par défaut)</w:t>
      </w:r>
      <w:r>
        <w:rPr>
          <w:rStyle w:val="optioncarChar"/>
        </w:rPr>
        <w:t xml:space="preserve"> / PET / ***</w:t>
      </w:r>
    </w:p>
    <w:p w14:paraId="093896E4" w14:textId="77777777" w:rsidR="004B2808" w:rsidRDefault="00000000">
      <w:pPr>
        <w:jc w:val="both"/>
      </w:pPr>
      <w:r>
        <w:t xml:space="preserve">Rouleaux de largeur : </w:t>
      </w:r>
      <w:r>
        <w:rPr>
          <w:rStyle w:val="optioncarChar"/>
        </w:rPr>
        <w:t xml:space="preserve">200 </w:t>
      </w:r>
      <w:r>
        <w:t xml:space="preserve">(par défaut) </w:t>
      </w:r>
      <w:r>
        <w:rPr>
          <w:rStyle w:val="optioncarChar"/>
        </w:rPr>
        <w:t>/ 1000 / ***</w:t>
      </w:r>
      <w:r>
        <w:t xml:space="preserve"> mm</w:t>
      </w:r>
    </w:p>
    <w:p w14:paraId="5B016CA3" w14:textId="77777777" w:rsidR="004B2808" w:rsidRDefault="00000000">
      <w:pPr>
        <w:jc w:val="both"/>
      </w:pPr>
      <w:r>
        <w:t xml:space="preserve">Dimensions des mailles adaptées au type d’enduit : </w:t>
      </w:r>
      <w:r>
        <w:rPr>
          <w:rStyle w:val="optioncarChar"/>
        </w:rPr>
        <w:t>5x5</w:t>
      </w:r>
      <w:r>
        <w:t xml:space="preserve"> (par défaut)</w:t>
      </w:r>
      <w:r>
        <w:rPr>
          <w:rStyle w:val="optioncarChar"/>
        </w:rPr>
        <w:t xml:space="preserve"> / 2,5x2,5 / 15x15 / ***</w:t>
      </w:r>
      <w:r>
        <w:t xml:space="preserve"> mm</w:t>
      </w:r>
    </w:p>
    <w:p w14:paraId="60B191D0" w14:textId="77777777" w:rsidR="004B2808" w:rsidRDefault="00000000">
      <w:pPr>
        <w:jc w:val="both"/>
      </w:pPr>
      <w:r>
        <w:t xml:space="preserve">Résistance à la traction : ≥ </w:t>
      </w:r>
      <w:r>
        <w:rPr>
          <w:rStyle w:val="optioncarChar"/>
        </w:rPr>
        <w:t>4,5</w:t>
      </w:r>
      <w:r>
        <w:t xml:space="preserve"> (par défaut) </w:t>
      </w:r>
      <w:r>
        <w:rPr>
          <w:rStyle w:val="optioncarChar"/>
        </w:rPr>
        <w:t>/ ***</w:t>
      </w:r>
      <w:r>
        <w:t xml:space="preserve"> kN/m</w:t>
      </w:r>
    </w:p>
    <w:p w14:paraId="1733C849" w14:textId="77777777" w:rsidR="004B2808" w:rsidRDefault="00000000">
      <w:pPr>
        <w:pStyle w:val="pheading"/>
      </w:pPr>
      <w:r>
        <w:t>EXÉCUTION / MISE EN ŒUVRE</w:t>
      </w:r>
    </w:p>
    <w:p w14:paraId="38974554" w14:textId="77777777" w:rsidR="004B2808" w:rsidRDefault="00000000">
      <w:pPr>
        <w:pStyle w:val="pheading"/>
      </w:pPr>
      <w:r>
        <w:t>- Prescriptions générales</w:t>
      </w:r>
    </w:p>
    <w:p w14:paraId="1E4B72D2" w14:textId="77777777" w:rsidR="004B2808" w:rsidRDefault="00000000">
      <w:pPr>
        <w:jc w:val="both"/>
      </w:pPr>
      <w:r>
        <w:t xml:space="preserve">Mise en œuvre suivant </w:t>
      </w:r>
      <w:hyperlink w:anchor="1141" w:history="1">
        <w:r w:rsidR="004B2808">
          <w:rPr>
            <w:color w:val="0000EE"/>
          </w:rPr>
          <w:t>51.52.3 Renforcements d'armature (pontage)</w:t>
        </w:r>
      </w:hyperlink>
    </w:p>
    <w:p w14:paraId="4F80AAD2" w14:textId="77777777" w:rsidR="004B2808" w:rsidRDefault="00000000">
      <w:pPr>
        <w:jc w:val="both"/>
      </w:pPr>
      <w:r>
        <w:t xml:space="preserve">Pose : </w:t>
      </w:r>
      <w:r>
        <w:rPr>
          <w:rStyle w:val="optioncarChar"/>
        </w:rPr>
        <w:t>au droit des raccords entre matériaux différents / sur une zone présentant des fissures</w:t>
      </w:r>
    </w:p>
    <w:p w14:paraId="16260D8A" w14:textId="77777777" w:rsidR="004B2808" w:rsidRDefault="00000000">
      <w:pPr>
        <w:jc w:val="both"/>
      </w:pPr>
      <w:r>
        <w:rPr>
          <w:b/>
        </w:rPr>
        <w:t>(soit)</w:t>
      </w:r>
    </w:p>
    <w:p w14:paraId="4CE2130A" w14:textId="77777777" w:rsidR="004B2808" w:rsidRDefault="00000000">
      <w:pPr>
        <w:jc w:val="both"/>
      </w:pPr>
      <w:r>
        <w:rPr>
          <w:rStyle w:val="soitChar"/>
          <w:u w:val="single"/>
        </w:rPr>
        <w:t>Au droit du raccord entre matériaux différents :</w:t>
      </w:r>
    </w:p>
    <w:p w14:paraId="18015169" w14:textId="77777777" w:rsidR="004B2808" w:rsidRDefault="00000000">
      <w:pPr>
        <w:jc w:val="both"/>
      </w:pPr>
      <w:r>
        <w:rPr>
          <w:rStyle w:val="soitChar"/>
        </w:rPr>
        <w:t>Largeur = ± 200 mm</w:t>
      </w:r>
    </w:p>
    <w:p w14:paraId="059CD668" w14:textId="77777777" w:rsidR="004B2808" w:rsidRDefault="00000000">
      <w:pPr>
        <w:jc w:val="both"/>
      </w:pPr>
      <w:r>
        <w:rPr>
          <w:b/>
        </w:rPr>
        <w:t>(soit)</w:t>
      </w:r>
    </w:p>
    <w:p w14:paraId="6CD9FC2A" w14:textId="77777777" w:rsidR="004B2808" w:rsidRDefault="00000000">
      <w:pPr>
        <w:jc w:val="both"/>
      </w:pPr>
      <w:r>
        <w:rPr>
          <w:rStyle w:val="soitChar"/>
          <w:u w:val="single"/>
        </w:rPr>
        <w:t>Sur une zone présentant des fissures :</w:t>
      </w:r>
    </w:p>
    <w:p w14:paraId="01ABD3CB" w14:textId="77777777" w:rsidR="004B2808" w:rsidRDefault="00000000">
      <w:pPr>
        <w:jc w:val="both"/>
      </w:pPr>
      <w:r>
        <w:rPr>
          <w:rStyle w:val="soitChar"/>
        </w:rPr>
        <w:t>Sur l’ensemble d’une surface présentant des fissures + 100 mm sur tout le pourtour</w:t>
      </w:r>
    </w:p>
    <w:p w14:paraId="37E8C207" w14:textId="77777777" w:rsidR="004B2808" w:rsidRDefault="00000000">
      <w:pPr>
        <w:jc w:val="both"/>
      </w:pPr>
      <w:r>
        <w:t> </w:t>
      </w:r>
    </w:p>
    <w:p w14:paraId="7768519F" w14:textId="77777777" w:rsidR="004B2808" w:rsidRDefault="00000000">
      <w:pPr>
        <w:jc w:val="both"/>
      </w:pPr>
      <w:r>
        <w:t>Le treillis est marouflé dans l’enduit.</w:t>
      </w:r>
    </w:p>
    <w:p w14:paraId="781031C0" w14:textId="77777777" w:rsidR="004B2808" w:rsidRDefault="00000000">
      <w:pPr>
        <w:jc w:val="both"/>
      </w:pPr>
      <w:r>
        <w:t xml:space="preserve">L’épaisseur de la couche d’enduit sur le treillis est ≥ </w:t>
      </w:r>
      <w:r>
        <w:rPr>
          <w:rStyle w:val="optioncarChar"/>
        </w:rPr>
        <w:t>5 / 10 / ***</w:t>
      </w:r>
      <w:r>
        <w:t xml:space="preserve"> mm</w:t>
      </w:r>
    </w:p>
    <w:p w14:paraId="20518FA8" w14:textId="77777777" w:rsidR="004B2808" w:rsidRDefault="00000000">
      <w:pPr>
        <w:pStyle w:val="pheading"/>
      </w:pPr>
      <w:r>
        <w:t>MESURAGE</w:t>
      </w:r>
    </w:p>
    <w:p w14:paraId="7400F213" w14:textId="77777777" w:rsidR="004B2808" w:rsidRDefault="00000000">
      <w:pPr>
        <w:pStyle w:val="pheading"/>
      </w:pPr>
      <w:r>
        <w:t>- unité de mesure:</w:t>
      </w:r>
    </w:p>
    <w:p w14:paraId="6353BF22" w14:textId="77777777" w:rsidR="004B2808" w:rsidRDefault="00000000">
      <w:r>
        <w:rPr>
          <w:rStyle w:val="optioncarChar"/>
        </w:rPr>
        <w:t>-</w:t>
      </w:r>
      <w:r>
        <w:t xml:space="preserve"> (par défaut) </w:t>
      </w:r>
      <w:r>
        <w:rPr>
          <w:rStyle w:val="optioncarChar"/>
        </w:rPr>
        <w:t>/ m² / m</w:t>
      </w:r>
    </w:p>
    <w:p w14:paraId="1ED85B7D" w14:textId="77777777" w:rsidR="004B2808" w:rsidRDefault="00000000">
      <w:r>
        <w:rPr>
          <w:b/>
        </w:rPr>
        <w:t>(soit par défaut)</w:t>
      </w:r>
      <w:r>
        <w:br/>
      </w:r>
      <w:r>
        <w:rPr>
          <w:rStyle w:val="soitChar"/>
        </w:rPr>
        <w:t>1. -</w:t>
      </w:r>
      <w:r>
        <w:br/>
      </w:r>
      <w:r>
        <w:rPr>
          <w:b/>
        </w:rPr>
        <w:t>(soit)</w:t>
      </w:r>
      <w:r>
        <w:br/>
      </w:r>
      <w:r>
        <w:rPr>
          <w:rStyle w:val="soitChar"/>
        </w:rPr>
        <w:t>2. m²</w:t>
      </w:r>
      <w:r>
        <w:br/>
      </w:r>
      <w:r>
        <w:rPr>
          <w:b/>
        </w:rPr>
        <w:t>(soit)</w:t>
      </w:r>
      <w:r>
        <w:br/>
      </w:r>
      <w:r>
        <w:rPr>
          <w:rStyle w:val="soitChar"/>
        </w:rPr>
        <w:t>3. m</w:t>
      </w:r>
    </w:p>
    <w:p w14:paraId="6D3A7F9B" w14:textId="77777777" w:rsidR="004B2808" w:rsidRDefault="00000000">
      <w:pPr>
        <w:pStyle w:val="pheading"/>
      </w:pPr>
      <w:r>
        <w:t>- code de mesurage:</w:t>
      </w:r>
    </w:p>
    <w:p w14:paraId="783E5C29" w14:textId="77777777" w:rsidR="004B2808" w:rsidRDefault="00000000">
      <w:pPr>
        <w:jc w:val="both"/>
      </w:pPr>
      <w:r>
        <w:rPr>
          <w:rStyle w:val="optioncarChar"/>
        </w:rPr>
        <w:t>Compris </w:t>
      </w:r>
      <w:r>
        <w:t>(par défaut)</w:t>
      </w:r>
      <w:r>
        <w:rPr>
          <w:rStyle w:val="optioncarChar"/>
        </w:rPr>
        <w:t xml:space="preserve"> / Surface nette / Longueur nette</w:t>
      </w:r>
    </w:p>
    <w:p w14:paraId="0B627EAB" w14:textId="77777777" w:rsidR="004B2808" w:rsidRDefault="00000000">
      <w:pPr>
        <w:jc w:val="both"/>
      </w:pPr>
      <w:r>
        <w:rPr>
          <w:b/>
        </w:rPr>
        <w:t>(soit par défaut)</w:t>
      </w:r>
    </w:p>
    <w:p w14:paraId="5CA21DA4" w14:textId="77777777" w:rsidR="004B2808" w:rsidRDefault="00000000">
      <w:pPr>
        <w:jc w:val="both"/>
      </w:pPr>
      <w:r>
        <w:rPr>
          <w:rStyle w:val="soitChar"/>
        </w:rPr>
        <w:t xml:space="preserve">1. </w:t>
      </w:r>
      <w:r>
        <w:rPr>
          <w:rStyle w:val="soitChar"/>
          <w:u w:val="single"/>
        </w:rPr>
        <w:t xml:space="preserve">Compris </w:t>
      </w:r>
      <w:r>
        <w:rPr>
          <w:rStyle w:val="soitChar"/>
        </w:rPr>
        <w:t>dans la pose de l’enduit dans l'article</w:t>
      </w:r>
      <w:r>
        <w:t> </w:t>
      </w:r>
      <w:r>
        <w:rPr>
          <w:rStyle w:val="optioncarChar"/>
        </w:rPr>
        <w:t>***</w:t>
      </w:r>
    </w:p>
    <w:p w14:paraId="52580D45" w14:textId="77777777" w:rsidR="004B2808" w:rsidRDefault="00000000">
      <w:pPr>
        <w:jc w:val="both"/>
      </w:pPr>
      <w:r>
        <w:rPr>
          <w:b/>
        </w:rPr>
        <w:t>(soit)</w:t>
      </w:r>
    </w:p>
    <w:p w14:paraId="1701F11A" w14:textId="77777777" w:rsidR="004B2808" w:rsidRDefault="00000000">
      <w:pPr>
        <w:jc w:val="both"/>
      </w:pPr>
      <w:r>
        <w:rPr>
          <w:rStyle w:val="soitChar"/>
        </w:rPr>
        <w:t xml:space="preserve">2. </w:t>
      </w:r>
      <w:r>
        <w:rPr>
          <w:rStyle w:val="soitChar"/>
          <w:u w:val="single"/>
        </w:rPr>
        <w:t>Surface nette</w:t>
      </w:r>
      <w:r>
        <w:rPr>
          <w:rStyle w:val="soitChar"/>
        </w:rPr>
        <w:t xml:space="preserve"> de la bande d’armature à appliquer.</w:t>
      </w:r>
    </w:p>
    <w:p w14:paraId="408B2E8A" w14:textId="77777777" w:rsidR="004B2808" w:rsidRDefault="00000000">
      <w:pPr>
        <w:jc w:val="both"/>
      </w:pPr>
      <w:r>
        <w:rPr>
          <w:b/>
        </w:rPr>
        <w:t>(soit)</w:t>
      </w:r>
    </w:p>
    <w:p w14:paraId="36853189" w14:textId="77777777" w:rsidR="004B2808" w:rsidRDefault="00000000">
      <w:pPr>
        <w:jc w:val="both"/>
      </w:pPr>
      <w:r>
        <w:rPr>
          <w:rStyle w:val="soitChar"/>
        </w:rPr>
        <w:t xml:space="preserve">3. </w:t>
      </w:r>
      <w:r>
        <w:rPr>
          <w:rStyle w:val="soitChar"/>
          <w:u w:val="single"/>
        </w:rPr>
        <w:t>Longueur nette</w:t>
      </w:r>
      <w:r>
        <w:rPr>
          <w:rStyle w:val="soitChar"/>
        </w:rPr>
        <w:t xml:space="preserve"> de la bande d’armature à appliquer.</w:t>
      </w:r>
    </w:p>
    <w:p w14:paraId="2ECA2099" w14:textId="77777777" w:rsidR="004B2808" w:rsidRDefault="00000000">
      <w:pPr>
        <w:pStyle w:val="pheading"/>
      </w:pPr>
      <w:r>
        <w:t>- nature du marché:</w:t>
      </w:r>
    </w:p>
    <w:p w14:paraId="1B516088" w14:textId="77777777" w:rsidR="004B2808" w:rsidRDefault="00000000">
      <w:r>
        <w:rPr>
          <w:rStyle w:val="optioncarChar"/>
        </w:rPr>
        <w:lastRenderedPageBreak/>
        <w:t xml:space="preserve">PM </w:t>
      </w:r>
      <w:r>
        <w:t xml:space="preserve">(par défaut) </w:t>
      </w:r>
      <w:r>
        <w:rPr>
          <w:rStyle w:val="optioncarChar"/>
        </w:rPr>
        <w:t>/ QP</w:t>
      </w:r>
    </w:p>
    <w:p w14:paraId="1BF0F7CF" w14:textId="77777777" w:rsidR="004B2808" w:rsidRDefault="00000000">
      <w:r>
        <w:rPr>
          <w:b/>
        </w:rPr>
        <w:t>(soit par défaut)</w:t>
      </w:r>
      <w:r>
        <w:br/>
      </w:r>
      <w:r>
        <w:rPr>
          <w:rStyle w:val="soitChar"/>
        </w:rPr>
        <w:t>1. PM</w:t>
      </w:r>
      <w:r>
        <w:br/>
      </w:r>
      <w:r>
        <w:rPr>
          <w:b/>
        </w:rPr>
        <w:t>(soit)</w:t>
      </w:r>
      <w:r>
        <w:br/>
      </w:r>
      <w:r>
        <w:rPr>
          <w:rStyle w:val="soitChar"/>
        </w:rPr>
        <w:t>2. 3. QP</w:t>
      </w:r>
    </w:p>
    <w:p w14:paraId="065F6EBC" w14:textId="77777777" w:rsidR="004B2808" w:rsidRDefault="00000000">
      <w:pPr>
        <w:pStyle w:val="Author-eSectionHeading6Numberless"/>
      </w:pPr>
      <w:bookmarkStart w:id="159" w:name="_Toc220490360"/>
      <w:r>
        <w:t>51.52.3d Renforcements d'armature (pontage) - en métal déployé CCTB 01.02</w:t>
      </w:r>
      <w:bookmarkEnd w:id="159"/>
    </w:p>
    <w:p w14:paraId="1627CE0F" w14:textId="77777777" w:rsidR="004B2808" w:rsidRDefault="00000000">
      <w:pPr>
        <w:pStyle w:val="Author-eSectionHeading5Numberless"/>
      </w:pPr>
      <w:bookmarkStart w:id="160" w:name="_Toc220490361"/>
      <w:r>
        <w:t>51.52.4 Profilés d'arrêt CCTB 01.02</w:t>
      </w:r>
      <w:bookmarkEnd w:id="160"/>
    </w:p>
    <w:p w14:paraId="1018CBED" w14:textId="77777777" w:rsidR="004B2808" w:rsidRDefault="00000000">
      <w:pPr>
        <w:pStyle w:val="pheading"/>
      </w:pPr>
      <w:bookmarkStart w:id="161" w:name="1177"/>
      <w:bookmarkEnd w:id="161"/>
      <w:r>
        <w:t>MATÉRIAUX</w:t>
      </w:r>
    </w:p>
    <w:p w14:paraId="2253F899" w14:textId="77777777" w:rsidR="004B2808" w:rsidRDefault="00000000">
      <w:r>
        <w:rPr>
          <w:u w:val="single"/>
        </w:rPr>
        <w:t>Cornières de protection et profils d'arrêt </w:t>
      </w:r>
      <w:r>
        <w:t>: à chaque changement de direction ou terminaison des surfaces plafonnées, on prévoit les profils appropriés. Les cornières permettent de réaliser des angles bien alignés, rectilignes et résistants aux chocs. Les profils d'arrêt assurent une finition nette du plafonnage et/ou un raccord soigné avec les autres ouvrages de construction. Les cornières et profils d'arrêts sont pourvus d'ailes de fixation en métal déployé ou en métal perforé afin de les ancrer solidement dans le plafonnage. Les profils n'ont pas d'influence néfaste sur l'enduit à appliquer ou sur le plan esthétique. Les profils sont résistants à la corrosion après avoir suivi un traitement par galvanisation, zingage ou cadmiage, conformément aux dispositions des normes européennes et belges. Le type et le mode de fixation sont soumis au maître d’ouvrage à sa demande.</w:t>
      </w:r>
      <w:r>
        <w:br/>
        <w:t>Les profilés métalliques sont conformes aux spécifications de la [NBN EN 13658-1].</w:t>
      </w:r>
    </w:p>
    <w:p w14:paraId="0A74D396" w14:textId="77777777" w:rsidR="004B2808" w:rsidRDefault="00000000">
      <w:pPr>
        <w:pStyle w:val="pheading"/>
      </w:pPr>
      <w:r>
        <w:t>EXÉCUTION / MISE EN ŒUVRE</w:t>
      </w:r>
    </w:p>
    <w:p w14:paraId="3EE5D857" w14:textId="77777777" w:rsidR="004B2808" w:rsidRDefault="00000000">
      <w:pPr>
        <w:pStyle w:val="Author-eListParagraph"/>
        <w:numPr>
          <w:ilvl w:val="0"/>
          <w:numId w:val="250"/>
        </w:numPr>
      </w:pPr>
      <w:r>
        <w:t xml:space="preserve"> Tous les angles saillants et les bords, aussi bien horizontaux que verticaux, sont renforcés dans l'épaisseur du plafonnage, par des profils de protection sur toute la longueur et/ou hauteur. Ces profils sont en acier galvanisé perforé. Ils sont posés parfaitement d'aplomb et, en fonction de la situation, ils sont placés horizontalement ou perpendiculairement par rapport aux pans de mur attenants. </w:t>
      </w:r>
    </w:p>
    <w:p w14:paraId="12A959F3" w14:textId="77777777" w:rsidR="004B2808" w:rsidRDefault="00000000">
      <w:pPr>
        <w:pStyle w:val="Author-eListParagraph"/>
        <w:numPr>
          <w:ilvl w:val="0"/>
          <w:numId w:val="250"/>
        </w:numPr>
      </w:pPr>
      <w:r>
        <w:t xml:space="preserve">Lorsque le cahier spécial des charges ne prévoit pas d'encadrement autour des fenêtres, les ébrasements sont également enduits et les angles sont protégés avec les cornières appropriées. </w:t>
      </w:r>
    </w:p>
    <w:p w14:paraId="05EC78AD" w14:textId="77777777" w:rsidR="004B2808" w:rsidRDefault="00000000">
      <w:pPr>
        <w:pStyle w:val="Author-eListParagraph"/>
        <w:numPr>
          <w:ilvl w:val="0"/>
          <w:numId w:val="250"/>
        </w:numPr>
      </w:pPr>
      <w:r>
        <w:t>Au droit de la jonction avec les châssis de fenêtre et aux endroits indiqués en cours d'exécution, les profils d'arrêt en forme de L, fabriqués en acier galvanisé et/ou en PVC sont appliqués avec une bande de mousse autocollante. Le type et le mode de fixation sont préalablement soumis pour approbation à la direction du chantier. Les joints sont obturés avec les silicones appropriés. </w:t>
      </w:r>
    </w:p>
    <w:p w14:paraId="5BDE3D91" w14:textId="77777777" w:rsidR="004B2808" w:rsidRDefault="00000000">
      <w:pPr>
        <w:pStyle w:val="Author-eSectionHeading6Numberless"/>
      </w:pPr>
      <w:bookmarkStart w:id="162" w:name="_Toc220490362"/>
      <w:r>
        <w:t>51.52.4a Profilés d'arrêt - profilés d'arrêt CCTB 01.02</w:t>
      </w:r>
      <w:bookmarkEnd w:id="162"/>
    </w:p>
    <w:p w14:paraId="77ECD0C5" w14:textId="77777777" w:rsidR="004B2808" w:rsidRDefault="00000000">
      <w:pPr>
        <w:pStyle w:val="Author-eSectionHeading6Numberless"/>
      </w:pPr>
      <w:bookmarkStart w:id="163" w:name="_Toc220490363"/>
      <w:r>
        <w:t>51.52.4b Profilés d'arrêt - profilés d'angle CCTB 01.02</w:t>
      </w:r>
      <w:bookmarkEnd w:id="163"/>
    </w:p>
    <w:p w14:paraId="53120163" w14:textId="77777777" w:rsidR="004B2808" w:rsidRDefault="00000000">
      <w:pPr>
        <w:pStyle w:val="Author-eSectionHeading6Numberless"/>
      </w:pPr>
      <w:bookmarkStart w:id="164" w:name="_Toc220490364"/>
      <w:r>
        <w:t>51.52.4c Profilés d'arrêt - profilés de joint CCTB 01.02</w:t>
      </w:r>
      <w:bookmarkEnd w:id="164"/>
    </w:p>
    <w:p w14:paraId="74CC1B7D" w14:textId="77777777" w:rsidR="004B2808" w:rsidRDefault="00000000">
      <w:pPr>
        <w:pStyle w:val="Author-eSectionHeading4Numberless"/>
      </w:pPr>
      <w:bookmarkStart w:id="165" w:name="_Toc220490365"/>
      <w:r>
        <w:t>51.53 Support d'enduit complémentaire CCTB 01.02</w:t>
      </w:r>
      <w:bookmarkEnd w:id="165"/>
    </w:p>
    <w:p w14:paraId="55477329" w14:textId="77777777" w:rsidR="004B2808" w:rsidRDefault="00000000">
      <w:pPr>
        <w:pStyle w:val="Author-eSectionHeading5Numberless"/>
      </w:pPr>
      <w:bookmarkStart w:id="166" w:name="1166"/>
      <w:bookmarkStart w:id="167" w:name="_Toc220490366"/>
      <w:bookmarkEnd w:id="166"/>
      <w:r>
        <w:t>51.53.1 Supports d'enduit complémentaires - Treillis CCTB 01.02</w:t>
      </w:r>
      <w:bookmarkEnd w:id="167"/>
    </w:p>
    <w:p w14:paraId="3119C356" w14:textId="77777777" w:rsidR="004B2808" w:rsidRDefault="00000000">
      <w:pPr>
        <w:pStyle w:val="Author-eSectionHeading6Numberless"/>
      </w:pPr>
      <w:bookmarkStart w:id="168" w:name="_Toc220490367"/>
      <w:r>
        <w:t>51.53.1a Support d'enduit complémentaire - treillis métalliques CCTB 01.12</w:t>
      </w:r>
      <w:bookmarkEnd w:id="168"/>
    </w:p>
    <w:p w14:paraId="4467931B" w14:textId="77777777" w:rsidR="004B2808" w:rsidRDefault="00000000">
      <w:pPr>
        <w:pStyle w:val="Author-eSectionHeading6Numberless"/>
      </w:pPr>
      <w:bookmarkStart w:id="169" w:name="_Toc220490368"/>
      <w:r>
        <w:t>51.53.1b Support d'enduit complémentaire - treillis métalliques à dos cartonné (stucanet) CCTB 01.02</w:t>
      </w:r>
      <w:bookmarkEnd w:id="169"/>
    </w:p>
    <w:p w14:paraId="54835CFB" w14:textId="77777777" w:rsidR="004B2808" w:rsidRDefault="00000000">
      <w:pPr>
        <w:pStyle w:val="Author-eSectionHeading6Numberless"/>
      </w:pPr>
      <w:bookmarkStart w:id="170" w:name="_Toc220490369"/>
      <w:r>
        <w:t>51.53.1c Support d'enduit complémentaire - textiles en fibres de verre CCTB 01.02</w:t>
      </w:r>
      <w:bookmarkEnd w:id="170"/>
    </w:p>
    <w:p w14:paraId="4E92F1C8" w14:textId="77777777" w:rsidR="004B2808" w:rsidRDefault="00000000">
      <w:pPr>
        <w:pStyle w:val="Author-eSectionHeading6Numberless"/>
      </w:pPr>
      <w:bookmarkStart w:id="171" w:name="_Toc220490370"/>
      <w:r>
        <w:t>51.53.1d Support d'enduit complémentaire - treillis en matière synthétique CCTB 01.02</w:t>
      </w:r>
      <w:bookmarkEnd w:id="171"/>
    </w:p>
    <w:p w14:paraId="7652755F" w14:textId="77777777" w:rsidR="004B2808" w:rsidRDefault="00000000">
      <w:pPr>
        <w:pStyle w:val="Author-eSectionHeading6Numberless"/>
      </w:pPr>
      <w:bookmarkStart w:id="172" w:name="_Toc220490371"/>
      <w:r>
        <w:t>51.53.1e Support d'enduit complémentaire - treillis en métal déployé CCTB 01.02</w:t>
      </w:r>
      <w:bookmarkEnd w:id="172"/>
    </w:p>
    <w:p w14:paraId="546DB70B" w14:textId="77777777" w:rsidR="004B2808" w:rsidRDefault="00000000">
      <w:pPr>
        <w:pStyle w:val="Author-eSectionHeading5Numberless"/>
      </w:pPr>
      <w:bookmarkStart w:id="173" w:name="_Toc220490372"/>
      <w:r>
        <w:lastRenderedPageBreak/>
        <w:t>51.53.2 Support d'enduit complémentaire - autres supports CCTB 01.02</w:t>
      </w:r>
      <w:bookmarkEnd w:id="173"/>
    </w:p>
    <w:p w14:paraId="101412D1" w14:textId="77777777" w:rsidR="004B2808" w:rsidRDefault="00000000">
      <w:pPr>
        <w:pStyle w:val="Author-eSectionHeading6Numberless"/>
      </w:pPr>
      <w:bookmarkStart w:id="174" w:name="_Toc220490373"/>
      <w:r>
        <w:t>51.53.2a Support d'enduit complémentaire - Lattis CCTB 01.02</w:t>
      </w:r>
      <w:bookmarkEnd w:id="174"/>
    </w:p>
    <w:p w14:paraId="6D228C07" w14:textId="77777777" w:rsidR="004B2808" w:rsidRDefault="00000000">
      <w:pPr>
        <w:pStyle w:val="Author-eSectionHeading6Numberless"/>
      </w:pPr>
      <w:bookmarkStart w:id="175" w:name="_Toc220490374"/>
      <w:r>
        <w:t>51.53.2b Support d'enduit complémentaire - Nattes de roseaux CCTB 01.08</w:t>
      </w:r>
      <w:bookmarkEnd w:id="175"/>
    </w:p>
    <w:p w14:paraId="6162D9E8" w14:textId="77777777" w:rsidR="004B2808" w:rsidRDefault="00000000">
      <w:pPr>
        <w:pStyle w:val="pheading"/>
      </w:pPr>
      <w:bookmarkStart w:id="176" w:name="1167"/>
      <w:bookmarkEnd w:id="176"/>
      <w:r>
        <w:t>DESCRIPTION</w:t>
      </w:r>
    </w:p>
    <w:p w14:paraId="284E92BE" w14:textId="77777777" w:rsidR="004B2808" w:rsidRDefault="00000000">
      <w:pPr>
        <w:pStyle w:val="pheading"/>
      </w:pPr>
      <w:r>
        <w:t>- Définition / Comprend</w:t>
      </w:r>
    </w:p>
    <w:p w14:paraId="6960475B" w14:textId="77777777" w:rsidR="004B2808" w:rsidRDefault="00000000">
      <w:pPr>
        <w:jc w:val="both"/>
      </w:pPr>
      <w:r>
        <w:t>Il s’agit de la fourniture et de la pose d’un support complémentaire d’enduit mural sous la forme de nattes de roseau. Le support convient pour les enduits à l’argile ou à la chaux.</w:t>
      </w:r>
    </w:p>
    <w:p w14:paraId="2D9E6113" w14:textId="77777777" w:rsidR="004B2808" w:rsidRDefault="00000000">
      <w:pPr>
        <w:pStyle w:val="pheading"/>
      </w:pPr>
      <w:r>
        <w:t>- Localisation</w:t>
      </w:r>
    </w:p>
    <w:p w14:paraId="2FFEE8C6" w14:textId="77777777" w:rsidR="004B2808" w:rsidRDefault="00000000">
      <w:r>
        <w:t xml:space="preserve">Localisation des travaux : </w:t>
      </w:r>
      <w:r>
        <w:rPr>
          <w:rStyle w:val="optioncarChar"/>
        </w:rPr>
        <w:t>***</w:t>
      </w:r>
      <w:r>
        <w:t>.</w:t>
      </w:r>
    </w:p>
    <w:p w14:paraId="6134C9B9" w14:textId="77777777" w:rsidR="004B2808" w:rsidRDefault="00000000">
      <w:r>
        <w:t>Voir plans et métrés détaillés.</w:t>
      </w:r>
    </w:p>
    <w:p w14:paraId="412B9739" w14:textId="77777777" w:rsidR="004B2808" w:rsidRDefault="00000000">
      <w:pPr>
        <w:pStyle w:val="pheading"/>
      </w:pPr>
      <w:r>
        <w:t>MATÉRIAUX</w:t>
      </w:r>
    </w:p>
    <w:p w14:paraId="40553774" w14:textId="77777777" w:rsidR="004B2808" w:rsidRDefault="00000000">
      <w:pPr>
        <w:pStyle w:val="pheading"/>
      </w:pPr>
      <w:r>
        <w:t>- Caractéristiques générales</w:t>
      </w:r>
    </w:p>
    <w:p w14:paraId="203D3D80" w14:textId="77777777" w:rsidR="004B2808" w:rsidRDefault="00000000">
      <w:pPr>
        <w:jc w:val="both"/>
      </w:pPr>
      <w:r>
        <w:t xml:space="preserve">Il s’agit de roseaux tubulaires laissés naturels, environ 70 brins par mètre linéaire. Les brins sont reliés avec un fil </w:t>
      </w:r>
      <w:r>
        <w:rPr>
          <w:rStyle w:val="optioncarChar"/>
        </w:rPr>
        <w:t>de fer galvanisé / de nylon environ</w:t>
      </w:r>
      <w:r>
        <w:t xml:space="preserve"> tous les 10 à 20 cm.</w:t>
      </w:r>
    </w:p>
    <w:p w14:paraId="686D219A" w14:textId="77777777" w:rsidR="004B2808" w:rsidRDefault="00000000">
      <w:pPr>
        <w:pStyle w:val="pheading"/>
      </w:pPr>
      <w:r>
        <w:t>EXÉCUTION / MISE EN ŒUVRE</w:t>
      </w:r>
    </w:p>
    <w:p w14:paraId="3DAF0370" w14:textId="77777777" w:rsidR="004B2808" w:rsidRDefault="00000000">
      <w:pPr>
        <w:pStyle w:val="pheading"/>
      </w:pPr>
      <w:r>
        <w:t>- Prescriptions générales</w:t>
      </w:r>
    </w:p>
    <w:p w14:paraId="7E23A824" w14:textId="77777777" w:rsidR="004B2808" w:rsidRDefault="00000000">
      <w:pPr>
        <w:jc w:val="both"/>
      </w:pPr>
      <w:r>
        <w:t xml:space="preserve">La natte de roseaux peut être coupée avec un sécateur. Les rouleaux entiers et non dépliés peuvent être coupés à la scie circulaire. A partir du bas, la natte de roseaux s’accroche à l’aide d’un fil galvanisé ou en nylon de sorte à plaquer les roseaux contre le support, au moyen </w:t>
      </w:r>
      <w:r>
        <w:rPr>
          <w:rStyle w:val="optioncarChar"/>
        </w:rPr>
        <w:t xml:space="preserve">d’agrafes inoxydables </w:t>
      </w:r>
      <w:r>
        <w:t xml:space="preserve">(par défaut) </w:t>
      </w:r>
      <w:r>
        <w:rPr>
          <w:rStyle w:val="optioncarChar"/>
        </w:rPr>
        <w:t>/ de clous / de vis avec rondelles (+ chevilles éventuelles adaptées au support)</w:t>
      </w:r>
      <w:r>
        <w:t>. La dimension des agrafes doit être de 16mm minimum pour les murs.</w:t>
      </w:r>
    </w:p>
    <w:p w14:paraId="38F65FB8" w14:textId="77777777" w:rsidR="004B2808" w:rsidRDefault="00000000">
      <w:pPr>
        <w:jc w:val="both"/>
      </w:pPr>
      <w:r>
        <w:t>Les joints des panneaux de roseaux sont armés avec une toile de jute ou toile de verre conformément à l‘enduit utilisé. Les toiles sont décalées par rapport aux joints des panneaux.</w:t>
      </w:r>
    </w:p>
    <w:p w14:paraId="5EC2EC62" w14:textId="77777777" w:rsidR="004B2808" w:rsidRDefault="00000000">
      <w:pPr>
        <w:pStyle w:val="pheading"/>
      </w:pPr>
      <w:r>
        <w:t>DOCUMENTS DE RÉFÉRENCE COMPLÉMENTAIRES</w:t>
      </w:r>
    </w:p>
    <w:p w14:paraId="76F363EF" w14:textId="77777777" w:rsidR="004B2808" w:rsidRDefault="00000000">
      <w:pPr>
        <w:pStyle w:val="pheading"/>
      </w:pPr>
      <w:r>
        <w:t>- Matériau</w:t>
      </w:r>
    </w:p>
    <w:p w14:paraId="724DBD16" w14:textId="77777777" w:rsidR="004B2808" w:rsidRDefault="00000000">
      <w:r>
        <w:t>[Moniteur Terre crue, Röhlen / Ziegert - Construire en terre crue: Construction - Rénovation - Finitions]</w:t>
      </w:r>
    </w:p>
    <w:p w14:paraId="2B5BD92C" w14:textId="77777777" w:rsidR="004B2808" w:rsidRDefault="00000000">
      <w:r>
        <w:t>[CRATerre, CRATerre - Traité de construction en terre]</w:t>
      </w:r>
    </w:p>
    <w:p w14:paraId="7DA74146" w14:textId="77777777" w:rsidR="004B2808" w:rsidRDefault="00000000">
      <w:pPr>
        <w:pStyle w:val="pheading"/>
      </w:pPr>
      <w:r>
        <w:t>- Exécution</w:t>
      </w:r>
    </w:p>
    <w:p w14:paraId="148027E6" w14:textId="77777777" w:rsidR="004B2808" w:rsidRDefault="00000000">
      <w:r>
        <w:t>[Moniteur Terre crue, Röhlen / Ziegert - Construire en terre crue: Construction - Rénovation - Finitions]</w:t>
      </w:r>
    </w:p>
    <w:p w14:paraId="138753A3" w14:textId="77777777" w:rsidR="004B2808" w:rsidRDefault="00000000">
      <w:r>
        <w:t>[CRATerre, CRATerre - Traité de construction en terre]</w:t>
      </w:r>
    </w:p>
    <w:p w14:paraId="49A046B7" w14:textId="77777777" w:rsidR="004B2808" w:rsidRDefault="00000000">
      <w:pPr>
        <w:pStyle w:val="pheading"/>
      </w:pPr>
      <w:r>
        <w:t>MESURAGE</w:t>
      </w:r>
    </w:p>
    <w:p w14:paraId="24C5C4A8" w14:textId="77777777" w:rsidR="004B2808" w:rsidRDefault="00000000">
      <w:pPr>
        <w:pStyle w:val="pheading"/>
      </w:pPr>
      <w:r>
        <w:t>- unité de mesure:</w:t>
      </w:r>
    </w:p>
    <w:p w14:paraId="52162344" w14:textId="77777777" w:rsidR="004B2808" w:rsidRDefault="00000000">
      <w:r>
        <w:rPr>
          <w:rStyle w:val="optioncarChar"/>
        </w:rPr>
        <w:t xml:space="preserve">- </w:t>
      </w:r>
      <w:r>
        <w:t>(par défaut)</w:t>
      </w:r>
      <w:r>
        <w:rPr>
          <w:rStyle w:val="optioncarChar"/>
        </w:rPr>
        <w:t xml:space="preserve"> / m²</w:t>
      </w:r>
    </w:p>
    <w:p w14:paraId="3653D76C" w14:textId="77777777" w:rsidR="004B2808" w:rsidRDefault="00000000">
      <w:r>
        <w:rPr>
          <w:b/>
          <w:i/>
        </w:rPr>
        <w:t>(Soit par défaut)</w:t>
      </w:r>
    </w:p>
    <w:p w14:paraId="497C1D68" w14:textId="77777777" w:rsidR="004B2808" w:rsidRDefault="00000000">
      <w:r>
        <w:rPr>
          <w:rStyle w:val="soitChar"/>
        </w:rPr>
        <w:t>1. -</w:t>
      </w:r>
    </w:p>
    <w:p w14:paraId="3980EA16" w14:textId="77777777" w:rsidR="004B2808" w:rsidRDefault="00000000">
      <w:r>
        <w:rPr>
          <w:b/>
          <w:i/>
        </w:rPr>
        <w:t>(Soit)</w:t>
      </w:r>
    </w:p>
    <w:p w14:paraId="21A11686" w14:textId="77777777" w:rsidR="004B2808" w:rsidRDefault="00000000">
      <w:r>
        <w:rPr>
          <w:rStyle w:val="soitChar"/>
        </w:rPr>
        <w:t>2. m²</w:t>
      </w:r>
    </w:p>
    <w:p w14:paraId="3BE9E5ED" w14:textId="77777777" w:rsidR="004B2808" w:rsidRDefault="00000000">
      <w:pPr>
        <w:pStyle w:val="pheading"/>
      </w:pPr>
      <w:r>
        <w:t>- code de mesurage:</w:t>
      </w:r>
    </w:p>
    <w:p w14:paraId="1726875F" w14:textId="77777777" w:rsidR="004B2808" w:rsidRDefault="00000000">
      <w:pPr>
        <w:jc w:val="both"/>
      </w:pPr>
      <w:r>
        <w:rPr>
          <w:rStyle w:val="optioncarChar"/>
        </w:rPr>
        <w:lastRenderedPageBreak/>
        <w:t xml:space="preserve">Compris dans la pose de l’enduit </w:t>
      </w:r>
      <w:r>
        <w:t>(par défaut)</w:t>
      </w:r>
      <w:r>
        <w:rPr>
          <w:rStyle w:val="optioncarChar"/>
        </w:rPr>
        <w:t xml:space="preserve"> / Surface nette.</w:t>
      </w:r>
    </w:p>
    <w:p w14:paraId="3C240BEC" w14:textId="77777777" w:rsidR="004B2808" w:rsidRDefault="00000000">
      <w:pPr>
        <w:jc w:val="both"/>
      </w:pPr>
      <w:r>
        <w:rPr>
          <w:b/>
          <w:i/>
        </w:rPr>
        <w:t>(Soit par défaut)</w:t>
      </w:r>
    </w:p>
    <w:p w14:paraId="4DEA305B" w14:textId="77777777" w:rsidR="004B2808" w:rsidRDefault="00000000">
      <w:pPr>
        <w:jc w:val="both"/>
      </w:pPr>
      <w:r>
        <w:rPr>
          <w:rStyle w:val="soitChar"/>
          <w:b/>
        </w:rPr>
        <w:t>1. Compris dans la pose de l’enduit</w:t>
      </w:r>
      <w:r>
        <w:rPr>
          <w:rStyle w:val="soitChar"/>
        </w:rPr>
        <w:t xml:space="preserve"> dans l’élément</w:t>
      </w:r>
      <w:r>
        <w:rPr>
          <w:rStyle w:val="optioncarChar"/>
        </w:rPr>
        <w:t>***</w:t>
      </w:r>
    </w:p>
    <w:p w14:paraId="2C4DE1CF" w14:textId="77777777" w:rsidR="004B2808" w:rsidRDefault="00000000">
      <w:pPr>
        <w:jc w:val="both"/>
      </w:pPr>
      <w:r>
        <w:rPr>
          <w:b/>
          <w:i/>
        </w:rPr>
        <w:t>(Soit)</w:t>
      </w:r>
    </w:p>
    <w:p w14:paraId="42DC985E" w14:textId="77777777" w:rsidR="004B2808" w:rsidRDefault="00000000">
      <w:pPr>
        <w:jc w:val="both"/>
      </w:pPr>
      <w:r>
        <w:rPr>
          <w:rStyle w:val="soitChar"/>
          <w:b/>
        </w:rPr>
        <w:t>2. Surface nette</w:t>
      </w:r>
      <w:r>
        <w:rPr>
          <w:rStyle w:val="soitChar"/>
        </w:rPr>
        <w:t xml:space="preserve"> de la natte à poser. Les ouvertures et les interruptions supérieures à 0,50 m² sont déduites.</w:t>
      </w:r>
    </w:p>
    <w:p w14:paraId="23CE23A5" w14:textId="77777777" w:rsidR="004B2808" w:rsidRDefault="00000000">
      <w:pPr>
        <w:pStyle w:val="pheading"/>
      </w:pPr>
      <w:r>
        <w:t>- nature du marché:</w:t>
      </w:r>
    </w:p>
    <w:p w14:paraId="363A2E15" w14:textId="77777777" w:rsidR="004B2808" w:rsidRDefault="00000000">
      <w:r>
        <w:rPr>
          <w:rStyle w:val="optioncarChar"/>
        </w:rPr>
        <w:t>PM</w:t>
      </w:r>
      <w:r>
        <w:t xml:space="preserve"> (par défaut) </w:t>
      </w:r>
      <w:r>
        <w:rPr>
          <w:rStyle w:val="optioncarChar"/>
        </w:rPr>
        <w:t>/ QF</w:t>
      </w:r>
    </w:p>
    <w:p w14:paraId="7106BDDB" w14:textId="77777777" w:rsidR="004B2808" w:rsidRDefault="00000000">
      <w:r>
        <w:rPr>
          <w:b/>
          <w:i/>
        </w:rPr>
        <w:t>(Soit par défaut)</w:t>
      </w:r>
    </w:p>
    <w:p w14:paraId="2AAE7FC8" w14:textId="77777777" w:rsidR="004B2808" w:rsidRDefault="00000000">
      <w:r>
        <w:rPr>
          <w:rStyle w:val="soitChar"/>
        </w:rPr>
        <w:t>1. PM</w:t>
      </w:r>
    </w:p>
    <w:p w14:paraId="0368F400" w14:textId="77777777" w:rsidR="004B2808" w:rsidRDefault="00000000">
      <w:r>
        <w:rPr>
          <w:b/>
          <w:i/>
        </w:rPr>
        <w:t>(Soit)</w:t>
      </w:r>
    </w:p>
    <w:p w14:paraId="6C655D65" w14:textId="77777777" w:rsidR="004B2808" w:rsidRDefault="00000000">
      <w:r>
        <w:rPr>
          <w:rStyle w:val="soitChar"/>
        </w:rPr>
        <w:t>2. QF</w:t>
      </w:r>
    </w:p>
    <w:p w14:paraId="07BCCAC7" w14:textId="77777777" w:rsidR="004B2808" w:rsidRDefault="00000000">
      <w:pPr>
        <w:pStyle w:val="Author-eSectionHeading4Numberless"/>
      </w:pPr>
      <w:bookmarkStart w:id="177" w:name="_Toc220490375"/>
      <w:r>
        <w:t>51.54 Enduit à base de plâtre CCTB 01.02</w:t>
      </w:r>
      <w:bookmarkEnd w:id="177"/>
    </w:p>
    <w:p w14:paraId="70BBFB19" w14:textId="77777777" w:rsidR="004B2808" w:rsidRDefault="00000000">
      <w:pPr>
        <w:pStyle w:val="pheading"/>
      </w:pPr>
      <w:bookmarkStart w:id="178" w:name="1135"/>
      <w:bookmarkEnd w:id="178"/>
      <w:r>
        <w:t>DESCRIPTION</w:t>
      </w:r>
    </w:p>
    <w:p w14:paraId="769CE0DF" w14:textId="77777777" w:rsidR="004B2808" w:rsidRDefault="00000000">
      <w:pPr>
        <w:pStyle w:val="pheading"/>
      </w:pPr>
      <w:r>
        <w:t>- Définition / Comprend</w:t>
      </w:r>
    </w:p>
    <w:p w14:paraId="7B6BAF56" w14:textId="77777777" w:rsidR="004B2808" w:rsidRDefault="00000000">
      <w:r>
        <w:t>La présente rubrique concerne les enduits sur les parois verticales intérieures et/ou les ébrasements des portes et fenêtres pour lesquels une finition esthétique est prévue (par ex. peinture, tapissage, enduit décoratif, ...). </w:t>
      </w:r>
    </w:p>
    <w:p w14:paraId="6D327ED6" w14:textId="77777777" w:rsidR="004B2808" w:rsidRDefault="00000000">
      <w:pPr>
        <w:pStyle w:val="Author-eSectionHeading5Numberless"/>
      </w:pPr>
      <w:bookmarkStart w:id="179" w:name="_Toc220490376"/>
      <w:r>
        <w:t>51.54.1 Enduit à base de plâtre en 1 couche (± 10 mm) CCTB 01.02</w:t>
      </w:r>
      <w:bookmarkEnd w:id="179"/>
    </w:p>
    <w:p w14:paraId="4538B6AD" w14:textId="77777777" w:rsidR="004B2808" w:rsidRDefault="00000000">
      <w:pPr>
        <w:pStyle w:val="Author-eSectionHeading6Numberless"/>
      </w:pPr>
      <w:bookmarkStart w:id="180" w:name="_Toc220490377"/>
      <w:r>
        <w:t>51.54.1a Enduit à base de plâtre en 1 couche, prédosé à sec / prêt à l'emploi CCTB 01.12</w:t>
      </w:r>
      <w:bookmarkEnd w:id="180"/>
    </w:p>
    <w:p w14:paraId="2BC4EA15" w14:textId="77777777" w:rsidR="004B2808" w:rsidRDefault="00000000">
      <w:pPr>
        <w:pStyle w:val="pheading"/>
      </w:pPr>
      <w:r>
        <w:t>DESCRIPTION</w:t>
      </w:r>
    </w:p>
    <w:p w14:paraId="3C54FC4C" w14:textId="77777777" w:rsidR="004B2808" w:rsidRDefault="00000000">
      <w:pPr>
        <w:pStyle w:val="pheading"/>
      </w:pPr>
      <w:r>
        <w:t>- Localisation</w:t>
      </w:r>
    </w:p>
    <w:p w14:paraId="235FD331" w14:textId="77777777" w:rsidR="004B2808" w:rsidRDefault="00000000">
      <w:r>
        <w:t>enduits de parois verticales intérieures</w:t>
      </w:r>
    </w:p>
    <w:p w14:paraId="2E35C1A3" w14:textId="77777777" w:rsidR="004B2808" w:rsidRDefault="00000000">
      <w:r>
        <w:t>enduits de parois verticales intérieures sur plaques de plâtre enrobées d’un carton spécialement conçu en vue de servir de support au plafonnage</w:t>
      </w:r>
    </w:p>
    <w:p w14:paraId="5F5264F4" w14:textId="77777777" w:rsidR="004B2808" w:rsidRDefault="00000000">
      <w:pPr>
        <w:pStyle w:val="pheading"/>
      </w:pPr>
      <w:r>
        <w:t>MATÉRIAUX</w:t>
      </w:r>
    </w:p>
    <w:p w14:paraId="76F7BD34" w14:textId="77777777" w:rsidR="004B2808" w:rsidRDefault="00000000">
      <w:pPr>
        <w:pStyle w:val="pheading"/>
      </w:pPr>
      <w:r>
        <w:t>- Caractéristiques générales</w:t>
      </w:r>
    </w:p>
    <w:p w14:paraId="1922688F" w14:textId="77777777" w:rsidR="004B2808" w:rsidRDefault="00000000">
      <w:r>
        <w:t>Il s'agit des enduits fabriqués en usine, conformes à la [NBN EN 13279-1] de composition prédosée à base de matières minérales inorganiques.</w:t>
      </w:r>
    </w:p>
    <w:p w14:paraId="5811E261" w14:textId="77777777" w:rsidR="004B2808" w:rsidRDefault="00000000">
      <w:r>
        <w:t xml:space="preserve">Ils contiennent au moins 50 % de produits au sulfate de calcium déshydratés (CaSO4-1/2H2O), extraits de la pierre à plâtre ou des produits secondaires résultant de processus industriels et brûlés selon une méthode particulière. Ils sont éventuellement mélangés à des adjuvants tels que du sable, de la perlite ou vermiculite, des fibres et/ou autres adjuvants, choisis en fonction des qualités exigées de l'enduit telles que l'adhérence ou la durée du temps de prise. La radioactivité du produit est négligeable et, par conséquent, inférieure à </w:t>
      </w:r>
      <w:r>
        <w:rPr>
          <w:rStyle w:val="optioncarChar"/>
        </w:rPr>
        <w:t>300</w:t>
      </w:r>
      <w:r>
        <w:t xml:space="preserve"> (par défaut)</w:t>
      </w:r>
      <w:r>
        <w:rPr>
          <w:rStyle w:val="optioncarChar"/>
        </w:rPr>
        <w:t xml:space="preserve"> / *** </w:t>
      </w:r>
      <w:r>
        <w:t>Bq/kg.</w:t>
      </w:r>
    </w:p>
    <w:p w14:paraId="4126986D" w14:textId="77777777" w:rsidR="004B2808" w:rsidRDefault="00000000">
      <w:r>
        <w:t>En fonction de la nature du support, la gamme de produits présentée par le fabricant pour les enduits à projeter en une seule couche contient des enduits prêts à mélanger, des enduits d'adhérence ou des enduits de finition. L'entrepreneur soumet le procédé de plafonnage qu'il juge le plus approprié pour l'ouvrage à exécuter à l'approbation de l'administration. La plupart des supports conviennent à l'application d'un enduit projeté en une seule couche, qui contient au moins 94 % de plâtre et de l'anhydrite. Les adjuvants nécessaires (retardateurs de prise et produits rétenteurs d'eau) assurent une mise en œuvre et une adhérence optimale.</w:t>
      </w:r>
    </w:p>
    <w:p w14:paraId="00B26ABD" w14:textId="77777777" w:rsidR="004B2808" w:rsidRDefault="00000000">
      <w:r>
        <w:lastRenderedPageBreak/>
        <w:t>Voir aussi [NIT 284] pour les enduits dosés in situ.</w:t>
      </w:r>
    </w:p>
    <w:p w14:paraId="57B57FAB" w14:textId="77777777" w:rsidR="004B2808" w:rsidRDefault="00000000">
      <w:pPr>
        <w:pStyle w:val="pheading"/>
      </w:pPr>
      <w:r>
        <w:t>- Prescriptions complémentaires</w:t>
      </w:r>
    </w:p>
    <w:p w14:paraId="68EFA700" w14:textId="77777777" w:rsidR="004B2808" w:rsidRDefault="00000000">
      <w:pPr>
        <w:pStyle w:val="facult"/>
      </w:pPr>
      <w:r>
        <w:t>L'enduit fabriqué en usine dispose d'une déclaration d'aptitude à l'utilisation suivant les prescriptions de l'élément 02.42.1 Critères d'acceptabilité.</w:t>
      </w:r>
    </w:p>
    <w:p w14:paraId="4CE6952C" w14:textId="77777777" w:rsidR="004B2808" w:rsidRDefault="00000000">
      <w:pPr>
        <w:ind w:left="750"/>
      </w:pPr>
      <w:r>
        <w:t> </w:t>
      </w:r>
    </w:p>
    <w:p w14:paraId="44F5A196" w14:textId="77777777" w:rsidR="004B2808" w:rsidRDefault="00000000">
      <w:pPr>
        <w:pStyle w:val="pheading"/>
      </w:pPr>
      <w:r>
        <w:t>EXÉCUTION / MISE EN ŒUVRE</w:t>
      </w:r>
    </w:p>
    <w:p w14:paraId="1E44C0D9" w14:textId="77777777" w:rsidR="004B2808" w:rsidRDefault="00000000">
      <w:pPr>
        <w:pStyle w:val="pheading"/>
      </w:pPr>
      <w:r>
        <w:t>- Prescriptions générales</w:t>
      </w:r>
    </w:p>
    <w:p w14:paraId="4EA71800" w14:textId="77777777" w:rsidR="004B2808" w:rsidRDefault="00000000">
      <w:r>
        <w:t xml:space="preserve">La préparation du support, le mélange de l'enduit et son exécution sont conformes aux dispositions de l'article </w:t>
      </w:r>
      <w:hyperlink w:anchor="1164" w:history="1">
        <w:r w:rsidR="004B2808">
          <w:rPr>
            <w:color w:val="0000EE"/>
          </w:rPr>
          <w:t>51.5 Revêtements intérieurs enduits</w:t>
        </w:r>
      </w:hyperlink>
      <w:r>
        <w:t xml:space="preserve"> , aux directives données par le fabricant et aux documents de référence en vigueur.</w:t>
      </w:r>
    </w:p>
    <w:p w14:paraId="7B50A9AA" w14:textId="77777777" w:rsidR="004B2808" w:rsidRDefault="00000000">
      <w:pPr>
        <w:pStyle w:val="heading"/>
      </w:pPr>
      <w:r>
        <w:t>Spécifications</w:t>
      </w:r>
    </w:p>
    <w:p w14:paraId="6089CDA6" w14:textId="77777777" w:rsidR="004B2808" w:rsidRDefault="00000000">
      <w:r>
        <w:t xml:space="preserve">Mode d'exécution : </w:t>
      </w:r>
      <w:r>
        <w:rPr>
          <w:rStyle w:val="optioncarChar"/>
        </w:rPr>
        <w:t>en une seule couche</w:t>
      </w:r>
      <w:r>
        <w:t xml:space="preserve"> (par défaut) </w:t>
      </w:r>
      <w:r>
        <w:rPr>
          <w:rStyle w:val="optioncarChar"/>
        </w:rPr>
        <w:t>/ ***</w:t>
      </w:r>
    </w:p>
    <w:p w14:paraId="21A352EA" w14:textId="77777777" w:rsidR="004B2808" w:rsidRDefault="00000000">
      <w:r>
        <w:t xml:space="preserve">Epaisseur totale moyenne : </w:t>
      </w:r>
      <w:r>
        <w:rPr>
          <w:rStyle w:val="optioncarChar"/>
        </w:rPr>
        <w:t>10</w:t>
      </w:r>
      <w:r>
        <w:t> (par défaut)</w:t>
      </w:r>
      <w:r>
        <w:rPr>
          <w:rStyle w:val="optioncarChar"/>
        </w:rPr>
        <w:t xml:space="preserve"> / 15 / ***</w:t>
      </w:r>
      <w:r>
        <w:t xml:space="preserve"> mm.</w:t>
      </w:r>
    </w:p>
    <w:p w14:paraId="11B0AD48" w14:textId="77777777" w:rsidR="004B2808" w:rsidRDefault="00000000">
      <w:r>
        <w:t xml:space="preserve">Recouvrement des treillis de consolidation : au moins </w:t>
      </w:r>
      <w:r>
        <w:rPr>
          <w:rStyle w:val="optioncarChar"/>
        </w:rPr>
        <w:t>10 </w:t>
      </w:r>
      <w:r>
        <w:t xml:space="preserve">(par défaut) </w:t>
      </w:r>
      <w:r>
        <w:rPr>
          <w:rStyle w:val="optioncarChar"/>
        </w:rPr>
        <w:t>/ ***</w:t>
      </w:r>
      <w:r>
        <w:t xml:space="preserve"> mm.</w:t>
      </w:r>
    </w:p>
    <w:p w14:paraId="41F46791" w14:textId="77777777" w:rsidR="004B2808" w:rsidRDefault="00000000">
      <w:r>
        <w:t xml:space="preserve">La couche de finition est terminée </w:t>
      </w:r>
      <w:r>
        <w:rPr>
          <w:rStyle w:val="optioncarChar"/>
        </w:rPr>
        <w:t>lisse </w:t>
      </w:r>
      <w:r>
        <w:t>(par défaut)</w:t>
      </w:r>
      <w:r>
        <w:rPr>
          <w:rStyle w:val="optioncarChar"/>
        </w:rPr>
        <w:t xml:space="preserve"> / *** </w:t>
      </w:r>
      <w:r>
        <w:t>, sauf pour les surfaces qui doivent être carrelées.</w:t>
      </w:r>
    </w:p>
    <w:p w14:paraId="5835F94B" w14:textId="77777777" w:rsidR="004B2808" w:rsidRDefault="00000000">
      <w:r>
        <w:t>Réaction au feu du revêtement de la paroi (enduit) prenant en compte l’influence du support (couche(s) sous-jacente(s)) : classe</w:t>
      </w:r>
      <w:r>
        <w:rPr>
          <w:rStyle w:val="optioncarChar"/>
        </w:rPr>
        <w:t xml:space="preserve"> A1</w:t>
      </w:r>
      <w:r>
        <w:t xml:space="preserve"> (par défaut)</w:t>
      </w:r>
      <w:r>
        <w:rPr>
          <w:rStyle w:val="optioncarChar"/>
        </w:rPr>
        <w:t xml:space="preserve"> / A2 / B / C / D / E / F </w:t>
      </w:r>
      <w:r>
        <w:t>selon la [NBN EN 13501-1]</w:t>
      </w:r>
      <w:r>
        <w:rPr>
          <w:rStyle w:val="optioncarChar"/>
        </w:rPr>
        <w:t xml:space="preserve"> .</w:t>
      </w:r>
    </w:p>
    <w:p w14:paraId="29A9A75C" w14:textId="77777777" w:rsidR="004B2808" w:rsidRDefault="00000000">
      <w:pPr>
        <w:pStyle w:val="Author-eListParagraph"/>
        <w:numPr>
          <w:ilvl w:val="0"/>
          <w:numId w:val="251"/>
        </w:numPr>
      </w:pPr>
      <w:r>
        <w:t>Classes additionnelles :</w:t>
      </w:r>
    </w:p>
    <w:p w14:paraId="6C864A96" w14:textId="77777777" w:rsidR="004B2808" w:rsidRDefault="00000000">
      <w:pPr>
        <w:pStyle w:val="Author-eListParagraph"/>
        <w:numPr>
          <w:ilvl w:val="0"/>
          <w:numId w:val="251"/>
        </w:numPr>
      </w:pPr>
      <w:r>
        <w:t>Production de fumée : exigence</w:t>
      </w:r>
      <w:r>
        <w:rPr>
          <w:rStyle w:val="optioncarChar"/>
        </w:rPr>
        <w:t xml:space="preserve"> s1 </w:t>
      </w:r>
      <w:r>
        <w:t xml:space="preserve">(par défaut) </w:t>
      </w:r>
      <w:r>
        <w:rPr>
          <w:rStyle w:val="optioncarChar"/>
        </w:rPr>
        <w:t xml:space="preserve">/ s2 / s3. </w:t>
      </w:r>
    </w:p>
    <w:p w14:paraId="76E85858" w14:textId="77777777" w:rsidR="004B2808" w:rsidRDefault="00000000">
      <w:pPr>
        <w:pStyle w:val="Author-eListParagraph"/>
        <w:numPr>
          <w:ilvl w:val="0"/>
          <w:numId w:val="251"/>
        </w:numPr>
      </w:pPr>
      <w:r>
        <w:t>Gouttelettes et particules en feu :</w:t>
      </w:r>
      <w:r>
        <w:rPr>
          <w:rStyle w:val="optioncarChar"/>
        </w:rPr>
        <w:t xml:space="preserve"> d0 </w:t>
      </w:r>
      <w:r>
        <w:t>(par défaut) </w:t>
      </w:r>
      <w:r>
        <w:rPr>
          <w:rStyle w:val="optioncarChar"/>
        </w:rPr>
        <w:t xml:space="preserve">/ d1 / d2. </w:t>
      </w:r>
    </w:p>
    <w:p w14:paraId="4A9231E9" w14:textId="77777777" w:rsidR="004B2808" w:rsidRDefault="00000000">
      <w:r>
        <w:t> </w:t>
      </w:r>
    </w:p>
    <w:p w14:paraId="6591A0EB" w14:textId="77777777" w:rsidR="004B2808" w:rsidRDefault="00000000">
      <w:pPr>
        <w:spacing w:before="0" w:after="0"/>
      </w:pPr>
      <w:r>
        <w:rPr>
          <w:b/>
        </w:rPr>
        <w:t>enduit sur plaques de plâtre enrobées d’un carton spécialement conçu en vue de servir de support au plafonnage</w:t>
      </w:r>
    </w:p>
    <w:p w14:paraId="1ED73914" w14:textId="77777777" w:rsidR="004B2808" w:rsidRDefault="00000000">
      <w:r>
        <w:t>Les plaques de plâtre enrobées de carton sont vissées en alternance sur les lattes de support, conformément aux directives du fabricant. Les côtés de tête sont parfaitement jointifs et s'appuient toujours sur une latte. Les côtés longitudinaux sont posés à joint ouvert afin de permettre au mortier d'enduit de pénétrer entre les plaques. L'enduit est appliqué immédiatement après la fixation des plaques afin d'éviter leur flambement en raison de l'humidité contenue dans l'air. Afin d'obtenir une épaisseur uniforme, on peut utiliser des profils de guidage. Avant d'appliquer le plafonnage, les joints des surfaces à enduire doivent être consolidés à l'aide de bandes d'armatures synthétiques en fibres de verre ou en voile de Nylon, d'une largeur de 10 cm, qui sont collées sur les plaques et noyées dans l'enduit.</w:t>
      </w:r>
    </w:p>
    <w:p w14:paraId="41B588B6" w14:textId="77777777" w:rsidR="004B2808" w:rsidRDefault="00000000">
      <w:pPr>
        <w:ind w:left="750"/>
      </w:pPr>
      <w:r>
        <w:t> </w:t>
      </w:r>
    </w:p>
    <w:p w14:paraId="6C4A7CCA" w14:textId="77777777" w:rsidR="004B2808" w:rsidRDefault="00000000">
      <w:pPr>
        <w:pStyle w:val="pheading"/>
      </w:pPr>
      <w:r>
        <w:t>- Notes d’exécution complémentaires</w:t>
      </w:r>
    </w:p>
    <w:p w14:paraId="00A246F3" w14:textId="77777777" w:rsidR="004B2808" w:rsidRDefault="00000000">
      <w:r>
        <w:t xml:space="preserve">Des profils de finition en forme de U sont prévus au droit des interruptions du plafonnage dans les cas suivants : </w:t>
      </w:r>
      <w:r>
        <w:rPr>
          <w:rStyle w:val="optioncarChar"/>
        </w:rPr>
        <w:t xml:space="preserve">joints de tassement </w:t>
      </w:r>
      <w:r>
        <w:t>(par défaut) </w:t>
      </w:r>
      <w:r>
        <w:rPr>
          <w:rStyle w:val="optioncarChar"/>
        </w:rPr>
        <w:t>/ joints de dilatation / jonction avec le parement / jonction avec les châssis / arrêt du plafonnage en hauteur / ***</w:t>
      </w:r>
      <w:r>
        <w:t xml:space="preserve"> Le type et le mode de fixation sont soumis à l'approbation de l'auteur de projet.</w:t>
      </w:r>
    </w:p>
    <w:p w14:paraId="6C888B9A" w14:textId="77777777" w:rsidR="004B2808" w:rsidRDefault="00000000">
      <w:pPr>
        <w:pStyle w:val="pheading"/>
      </w:pPr>
      <w:r>
        <w:t>MESURAGE</w:t>
      </w:r>
    </w:p>
    <w:p w14:paraId="4D607D0B" w14:textId="77777777" w:rsidR="004B2808" w:rsidRDefault="00000000">
      <w:r>
        <w:t>Conformément aux indications spécifiques dans le cahier spécial des charges et/ou le métré récapitulatif, le mesurage doit être conçu comme suit :</w:t>
      </w:r>
    </w:p>
    <w:p w14:paraId="09A9FC2C" w14:textId="77777777" w:rsidR="004B2808" w:rsidRDefault="00000000">
      <w:pPr>
        <w:pStyle w:val="pheading"/>
      </w:pPr>
      <w:r>
        <w:t>- unité de mesure:</w:t>
      </w:r>
    </w:p>
    <w:p w14:paraId="593BCA0C" w14:textId="77777777" w:rsidR="004B2808" w:rsidRDefault="00000000">
      <w:r>
        <w:rPr>
          <w:rStyle w:val="optioncarChar"/>
        </w:rPr>
        <w:t>m²</w:t>
      </w:r>
      <w:r>
        <w:t>(par défaut)</w:t>
      </w:r>
      <w:r>
        <w:rPr>
          <w:rStyle w:val="soitChar"/>
        </w:rPr>
        <w:t xml:space="preserve">  </w:t>
      </w:r>
      <w:r>
        <w:rPr>
          <w:rStyle w:val="optioncarChar"/>
        </w:rPr>
        <w:t xml:space="preserve">/ m </w:t>
      </w:r>
    </w:p>
    <w:p w14:paraId="65C312B0" w14:textId="77777777" w:rsidR="004B2808" w:rsidRDefault="00000000">
      <w:pPr>
        <w:pStyle w:val="pheading"/>
      </w:pPr>
      <w:r>
        <w:lastRenderedPageBreak/>
        <w:t>- code de mesurage:</w:t>
      </w:r>
    </w:p>
    <w:p w14:paraId="07B0CC19" w14:textId="77777777" w:rsidR="004B2808" w:rsidRDefault="00000000">
      <w:r>
        <w:t>Choix opéré :</w:t>
      </w:r>
      <w:r>
        <w:rPr>
          <w:rStyle w:val="optioncarChar"/>
        </w:rPr>
        <w:t xml:space="preserve"> OPTION 1 </w:t>
      </w:r>
      <w:r>
        <w:t>( par défaut)</w:t>
      </w:r>
      <w:r>
        <w:rPr>
          <w:rStyle w:val="optioncarChar"/>
        </w:rPr>
        <w:t xml:space="preserve"> /OPTION 2 / OPTION 3</w:t>
      </w:r>
    </w:p>
    <w:p w14:paraId="24928C9D" w14:textId="77777777" w:rsidR="004B2808" w:rsidRDefault="00000000">
      <w:r>
        <w:rPr>
          <w:b/>
        </w:rPr>
        <w:t>***OPTION 1</w:t>
      </w:r>
      <w:r>
        <w:t xml:space="preserve"> (par défaut) </w:t>
      </w:r>
      <w:r>
        <w:rPr>
          <w:b/>
        </w:rPr>
        <w:t>: </w:t>
      </w:r>
    </w:p>
    <w:p w14:paraId="252918FC" w14:textId="77777777" w:rsidR="004B2808" w:rsidRDefault="00000000">
      <w:pPr>
        <w:pStyle w:val="Author-eListParagraph"/>
        <w:numPr>
          <w:ilvl w:val="0"/>
          <w:numId w:val="252"/>
        </w:numPr>
      </w:pPr>
      <w:r>
        <w:t> </w:t>
      </w:r>
      <w:r>
        <w:rPr>
          <w:u w:val="single"/>
        </w:rPr>
        <w:t xml:space="preserve">murs : </w:t>
      </w:r>
      <w:r>
        <w:t>toutes les baies de fenêtres et portes extérieures qui doivent être enduites sont comptées pleines, en compensation du plafonnage des ébrasements sur les côtés et en linteau; par contre, les baies dont les ébrasements ne doivent pas être enduits et dont la superficie est supérieure à 0,5 m2, sont déduites (par ex. les portes intérieures où un encadrement est prévu ou les portes et fenêtres qui sont habillées de panneaux de revêtement).</w:t>
      </w:r>
    </w:p>
    <w:p w14:paraId="34B04CFF" w14:textId="77777777" w:rsidR="004B2808" w:rsidRDefault="00000000">
      <w:pPr>
        <w:pStyle w:val="Author-eListParagraph"/>
        <w:numPr>
          <w:ilvl w:val="0"/>
          <w:numId w:val="252"/>
        </w:numPr>
      </w:pPr>
      <w:r>
        <w:t>Les travaux de plafonnage ne font pas l'objet de décomptes.</w:t>
      </w:r>
    </w:p>
    <w:p w14:paraId="6A86971E" w14:textId="77777777" w:rsidR="004B2808" w:rsidRDefault="00000000">
      <w:r>
        <w:rPr>
          <w:b/>
        </w:rPr>
        <w:t>***OPTION 2:</w:t>
      </w:r>
    </w:p>
    <w:p w14:paraId="48605ADA" w14:textId="77777777" w:rsidR="004B2808" w:rsidRDefault="00000000">
      <w:pPr>
        <w:pStyle w:val="Author-eListParagraph"/>
        <w:numPr>
          <w:ilvl w:val="0"/>
          <w:numId w:val="253"/>
        </w:numPr>
      </w:pPr>
      <w:r>
        <w:rPr>
          <w:u w:val="single"/>
        </w:rPr>
        <w:t>parois verticales :</w:t>
      </w:r>
      <w:r>
        <w:t xml:space="preserve"> surface nette, toutes les réservations supérieures à 0,5 m2 sont déduites. Les ébrasements et les moulures dont la largeur est inférieure à 30 cm sont comptés séparément, longueur nette, le cas échéant ventilé selon les différentes épaisseurs de murs.</w:t>
      </w:r>
    </w:p>
    <w:p w14:paraId="338A27D3" w14:textId="77777777" w:rsidR="004B2808" w:rsidRDefault="00000000">
      <w:pPr>
        <w:pStyle w:val="Author-eListParagraph"/>
        <w:numPr>
          <w:ilvl w:val="0"/>
          <w:numId w:val="253"/>
        </w:numPr>
      </w:pPr>
      <w:r>
        <w:t>Les travaux de plafonnage ne font pas l'objet de décomptes.</w:t>
      </w:r>
    </w:p>
    <w:p w14:paraId="5626A032" w14:textId="77777777" w:rsidR="004B2808" w:rsidRDefault="00000000">
      <w:r>
        <w:rPr>
          <w:b/>
        </w:rPr>
        <w:t>***OPTION 3:</w:t>
      </w:r>
    </w:p>
    <w:p w14:paraId="22DC7023" w14:textId="77777777" w:rsidR="004B2808" w:rsidRDefault="00000000">
      <w:pPr>
        <w:pStyle w:val="Author-eListParagraph"/>
        <w:numPr>
          <w:ilvl w:val="0"/>
          <w:numId w:val="254"/>
        </w:numPr>
      </w:pPr>
      <w:r>
        <w:t>pour les ébrasements et les moulures</w:t>
      </w:r>
    </w:p>
    <w:p w14:paraId="7DC6BD9C" w14:textId="77777777" w:rsidR="004B2808" w:rsidRDefault="00000000">
      <w:pPr>
        <w:pStyle w:val="Author-eListParagraph"/>
        <w:numPr>
          <w:ilvl w:val="0"/>
          <w:numId w:val="254"/>
        </w:numPr>
      </w:pPr>
      <w:r>
        <w:t>Les travaux de plafonnage ne font pas l'objet de décomptes.</w:t>
      </w:r>
    </w:p>
    <w:p w14:paraId="4C651424" w14:textId="77777777" w:rsidR="004B2808" w:rsidRDefault="00000000">
      <w:pPr>
        <w:pStyle w:val="pheading"/>
      </w:pPr>
      <w:r>
        <w:t>- nature du marché:</w:t>
      </w:r>
    </w:p>
    <w:p w14:paraId="5CC27654" w14:textId="77777777" w:rsidR="004B2808" w:rsidRDefault="00000000">
      <w:r>
        <w:t>QF</w:t>
      </w:r>
    </w:p>
    <w:p w14:paraId="2B4258C5" w14:textId="77777777" w:rsidR="004B2808" w:rsidRDefault="00000000">
      <w:pPr>
        <w:pStyle w:val="Author-eSectionHeading5Numberless"/>
      </w:pPr>
      <w:bookmarkStart w:id="181" w:name="_Toc220490378"/>
      <w:r>
        <w:t>51.54.2 Enduit à base de plâtre en 2 couches (15mm&lt;ép&lt;25mm) CCTB 01.02</w:t>
      </w:r>
      <w:bookmarkEnd w:id="181"/>
    </w:p>
    <w:p w14:paraId="2B5458C1" w14:textId="77777777" w:rsidR="004B2808" w:rsidRDefault="00000000">
      <w:pPr>
        <w:pStyle w:val="Author-eSectionHeading6Numberless"/>
      </w:pPr>
      <w:bookmarkStart w:id="182" w:name="_Toc220490379"/>
      <w:r>
        <w:t>51.54.2a Enduit à base de plâtre en 2 couches - Traditionnel / au plâtre et à la chaux CCTB 01.12</w:t>
      </w:r>
      <w:bookmarkEnd w:id="182"/>
    </w:p>
    <w:p w14:paraId="5DDDC020" w14:textId="77777777" w:rsidR="004B2808" w:rsidRDefault="00000000">
      <w:pPr>
        <w:pStyle w:val="pheading"/>
      </w:pPr>
      <w:r>
        <w:t>DESCRIPTION</w:t>
      </w:r>
    </w:p>
    <w:p w14:paraId="1F206790" w14:textId="77777777" w:rsidR="004B2808" w:rsidRDefault="00000000">
      <w:pPr>
        <w:pStyle w:val="pheading"/>
      </w:pPr>
      <w:r>
        <w:t>- Localisation</w:t>
      </w:r>
    </w:p>
    <w:p w14:paraId="3931D448" w14:textId="77777777" w:rsidR="004B2808" w:rsidRDefault="00000000">
      <w:r>
        <w:t>enduits de parois verticales intérieures</w:t>
      </w:r>
    </w:p>
    <w:p w14:paraId="47A9A73F" w14:textId="77777777" w:rsidR="004B2808" w:rsidRDefault="00000000">
      <w:pPr>
        <w:pStyle w:val="pheading"/>
      </w:pPr>
      <w:r>
        <w:t>MATÉRIAUX</w:t>
      </w:r>
    </w:p>
    <w:p w14:paraId="5281F49A" w14:textId="77777777" w:rsidR="004B2808" w:rsidRDefault="00000000">
      <w:pPr>
        <w:pStyle w:val="pheading"/>
      </w:pPr>
      <w:r>
        <w:t>- Caractéristiques générales</w:t>
      </w:r>
    </w:p>
    <w:p w14:paraId="5E91942E" w14:textId="77777777" w:rsidR="004B2808" w:rsidRDefault="00000000">
      <w:r>
        <w:t>Les propriétés des matériaux à utiliser sont conformes aux normes européennes en vigueur (produits manufacturés) et à la [NIT 284] .</w:t>
      </w:r>
    </w:p>
    <w:p w14:paraId="11EE998E" w14:textId="77777777" w:rsidR="004B2808" w:rsidRDefault="00000000">
      <w:r>
        <w:t>Composition d'enduits dosés in situ :</w:t>
      </w:r>
    </w:p>
    <w:p w14:paraId="0985A532" w14:textId="77777777" w:rsidR="004B2808" w:rsidRDefault="00000000">
      <w:r>
        <w:rPr>
          <w:u w:val="single"/>
        </w:rPr>
        <w:t>Note à l'attention de l'auteur de projet</w:t>
      </w:r>
    </w:p>
    <w:p w14:paraId="671F2303" w14:textId="77777777" w:rsidR="004B2808" w:rsidRDefault="00000000">
      <w:r>
        <w:t>- Les abréviations suivantes sont utilisées : PL = plâtre / C = ciment / G = chaux hydratée ou chaux grasse</w:t>
      </w:r>
    </w:p>
    <w:p w14:paraId="308F1E9B" w14:textId="77777777" w:rsidR="004B2808" w:rsidRDefault="00000000">
      <w:r>
        <w:t>- X = chaux hydraulique / S = sable</w:t>
      </w:r>
    </w:p>
    <w:p w14:paraId="7D95E517" w14:textId="77777777" w:rsidR="004B2808" w:rsidRDefault="00000000">
      <w:r>
        <w:t>- Les proportions de mélange sont exprimées en volumes et quelquefois en masse.</w:t>
      </w:r>
    </w:p>
    <w:p w14:paraId="7A8299D0" w14:textId="77777777" w:rsidR="004B2808" w:rsidRDefault="00000000">
      <w:r>
        <w:t>- par ex. mortier bâtard C200, G100 = 200 kg de ciment et 100 kg de chaux /m³ de sable .</w:t>
      </w:r>
    </w:p>
    <w:p w14:paraId="7F53C781" w14:textId="77777777" w:rsidR="004B2808" w:rsidRDefault="00000000">
      <w:r>
        <w:t>- par ex. mortier bâtard G300, PL 200 = 300 kg chaux grasse et 200 kg de plâtre /m³ de sable.</w:t>
      </w:r>
    </w:p>
    <w:p w14:paraId="4C19A54F" w14:textId="77777777" w:rsidR="004B2808" w:rsidRDefault="00000000">
      <w:r>
        <w:t>Liant : ***</w:t>
      </w:r>
    </w:p>
    <w:p w14:paraId="0EE7B4E0" w14:textId="77777777" w:rsidR="004B2808" w:rsidRDefault="00000000">
      <w:r>
        <w:t>Adjuvants : ***</w:t>
      </w:r>
    </w:p>
    <w:p w14:paraId="6A129B70" w14:textId="77777777" w:rsidR="004B2808" w:rsidRDefault="00000000">
      <w:r>
        <w:lastRenderedPageBreak/>
        <w:t xml:space="preserve">Adjuvants légers : </w:t>
      </w:r>
      <w:r>
        <w:rPr>
          <w:rStyle w:val="optioncarChar"/>
        </w:rPr>
        <w:t>perlite</w:t>
      </w:r>
      <w:r>
        <w:t> (par défaut)</w:t>
      </w:r>
      <w:r>
        <w:rPr>
          <w:rStyle w:val="optioncarChar"/>
        </w:rPr>
        <w:t> / vermiculite / liège / Granulés XPS / fibres en matière synthétique /***</w:t>
      </w:r>
    </w:p>
    <w:p w14:paraId="66E1FC04" w14:textId="77777777" w:rsidR="004B2808" w:rsidRDefault="00000000">
      <w:r>
        <w:t xml:space="preserve">Eventuels colorants : </w:t>
      </w:r>
      <w:r>
        <w:rPr>
          <w:rStyle w:val="optioncarChar"/>
        </w:rPr>
        <w:t>***</w:t>
      </w:r>
    </w:p>
    <w:p w14:paraId="068E079D" w14:textId="77777777" w:rsidR="004B2808" w:rsidRDefault="00000000">
      <w:r>
        <w:t xml:space="preserve">Spécifications particulières : </w:t>
      </w:r>
      <w:r>
        <w:rPr>
          <w:rStyle w:val="optioncarChar"/>
        </w:rPr>
        <w:t>granulométrie / résistance à la flexion / résistance à la compression / masse volumique /</w:t>
      </w:r>
      <w:r>
        <w:t> </w:t>
      </w:r>
      <w:r>
        <w:rPr>
          <w:rStyle w:val="optioncarChar"/>
        </w:rPr>
        <w:t xml:space="preserve">coefficient de résistance à la vapeur d'eau </w:t>
      </w:r>
    </w:p>
    <w:p w14:paraId="11C6C391" w14:textId="77777777" w:rsidR="004B2808" w:rsidRDefault="00000000">
      <w:pPr>
        <w:pStyle w:val="pheading"/>
      </w:pPr>
      <w:r>
        <w:t>EXÉCUTION / MISE EN ŒUVRE</w:t>
      </w:r>
    </w:p>
    <w:p w14:paraId="114947A1" w14:textId="77777777" w:rsidR="004B2808" w:rsidRDefault="00000000">
      <w:pPr>
        <w:pStyle w:val="pheading"/>
      </w:pPr>
      <w:r>
        <w:t>- Prescriptions générales</w:t>
      </w:r>
    </w:p>
    <w:p w14:paraId="434D9692" w14:textId="77777777" w:rsidR="004B2808" w:rsidRDefault="00000000">
      <w:r>
        <w:t xml:space="preserve">La préparation du support, le mélange de l'enduit et son exécution sont conformes aux dispositions du titre </w:t>
      </w:r>
      <w:hyperlink w:anchor="1164" w:history="1">
        <w:r w:rsidR="004B2808">
          <w:rPr>
            <w:color w:val="0000EE"/>
          </w:rPr>
          <w:t>51.5 Revêtements intérieurs enduits</w:t>
        </w:r>
      </w:hyperlink>
      <w:r>
        <w:t>, aux directives données par le fabricant et aux documents de référence.</w:t>
      </w:r>
    </w:p>
    <w:p w14:paraId="129649E4" w14:textId="77777777" w:rsidR="004B2808" w:rsidRDefault="00000000">
      <w:pPr>
        <w:pStyle w:val="heading"/>
      </w:pPr>
      <w:r>
        <w:t>Spécifications</w:t>
      </w:r>
    </w:p>
    <w:p w14:paraId="2A9D640E" w14:textId="77777777" w:rsidR="004B2808" w:rsidRDefault="00000000">
      <w:r>
        <w:t xml:space="preserve">Mode d'exécution : </w:t>
      </w:r>
      <w:r>
        <w:rPr>
          <w:rStyle w:val="optioncarChar"/>
        </w:rPr>
        <w:t>en deux couches</w:t>
      </w:r>
      <w:r>
        <w:t> (par défaut)</w:t>
      </w:r>
      <w:r>
        <w:rPr>
          <w:rStyle w:val="optioncarChar"/>
        </w:rPr>
        <w:t xml:space="preserve"> / ***</w:t>
      </w:r>
    </w:p>
    <w:p w14:paraId="731437B6" w14:textId="77777777" w:rsidR="004B2808" w:rsidRDefault="00000000">
      <w:r>
        <w:t xml:space="preserve">Epaisseur totale moyenne : </w:t>
      </w:r>
      <w:r>
        <w:rPr>
          <w:rStyle w:val="optioncarChar"/>
        </w:rPr>
        <w:t>15</w:t>
      </w:r>
      <w:r>
        <w:t> (par défaut)</w:t>
      </w:r>
      <w:r>
        <w:rPr>
          <w:rStyle w:val="optioncarChar"/>
        </w:rPr>
        <w:t xml:space="preserve"> / 20 / 25 / ***</w:t>
      </w:r>
      <w:r>
        <w:t xml:space="preserve"> mm.</w:t>
      </w:r>
    </w:p>
    <w:p w14:paraId="69AA3E05" w14:textId="77777777" w:rsidR="004B2808" w:rsidRDefault="00000000">
      <w:r>
        <w:t>Recouvrement des treillis de consolidation : ≥- </w:t>
      </w:r>
      <w:r>
        <w:rPr>
          <w:rStyle w:val="optioncarChar"/>
        </w:rPr>
        <w:t>10</w:t>
      </w:r>
      <w:r>
        <w:t> (par défaut)</w:t>
      </w:r>
      <w:r>
        <w:rPr>
          <w:rStyle w:val="optioncarChar"/>
        </w:rPr>
        <w:t xml:space="preserve"> / ***</w:t>
      </w:r>
      <w:r>
        <w:t xml:space="preserve"> mm.</w:t>
      </w:r>
    </w:p>
    <w:p w14:paraId="431A3E3A" w14:textId="77777777" w:rsidR="004B2808" w:rsidRDefault="00000000">
      <w:r>
        <w:t xml:space="preserve">La couche de finition est terminée </w:t>
      </w:r>
      <w:r>
        <w:rPr>
          <w:rStyle w:val="optioncarChar"/>
        </w:rPr>
        <w:t>lisse </w:t>
      </w:r>
      <w:r>
        <w:t>(par défaut)</w:t>
      </w:r>
      <w:r>
        <w:rPr>
          <w:rStyle w:val="optioncarChar"/>
        </w:rPr>
        <w:t xml:space="preserve"> / *** </w:t>
      </w:r>
      <w:r>
        <w:t>, sauf pour les surfaces qui sont carrelées.</w:t>
      </w:r>
    </w:p>
    <w:p w14:paraId="60D20CF0" w14:textId="77777777" w:rsidR="004B2808" w:rsidRDefault="00000000">
      <w:r>
        <w:rPr>
          <w:b/>
        </w:rPr>
        <w:t>Selon la [Décision 96/603/CE] et les conditions qui y sont reprises, la chaux et le plâtre appartiennent à la classe de réaction au feu A1.</w:t>
      </w:r>
    </w:p>
    <w:p w14:paraId="7547332B" w14:textId="77777777" w:rsidR="004B2808" w:rsidRDefault="00000000">
      <w:pPr>
        <w:ind w:left="750"/>
      </w:pPr>
      <w:r>
        <w:t> </w:t>
      </w:r>
    </w:p>
    <w:p w14:paraId="4782EC9C" w14:textId="77777777" w:rsidR="004B2808" w:rsidRDefault="00000000">
      <w:pPr>
        <w:pStyle w:val="pheading"/>
      </w:pPr>
      <w:r>
        <w:t>- Notes d’exécution complémentaires</w:t>
      </w:r>
    </w:p>
    <w:p w14:paraId="04BBFD69" w14:textId="77777777" w:rsidR="004B2808" w:rsidRDefault="00000000">
      <w:r>
        <w:t xml:space="preserve">Des profils de finition en forme de U doivent être prévus aux endroits d'interruption du plafonnage, dans les cas suivants: </w:t>
      </w:r>
      <w:r>
        <w:rPr>
          <w:rStyle w:val="optioncarChar"/>
        </w:rPr>
        <w:t>joints de tassement </w:t>
      </w:r>
      <w:r>
        <w:t>(par défaut)</w:t>
      </w:r>
      <w:r>
        <w:rPr>
          <w:rStyle w:val="optioncarChar"/>
        </w:rPr>
        <w:t> / joints de dilatation / jonction avec le parement intérieur / jonction avec les châssis / arrêt du plafonnage en hauteur / ***. </w:t>
      </w:r>
      <w:r>
        <w:t>Le type et le mode de fixation sont soumis à l'approbation de l'auteur de projet.</w:t>
      </w:r>
    </w:p>
    <w:p w14:paraId="3AF5455D" w14:textId="77777777" w:rsidR="004B2808" w:rsidRDefault="00000000">
      <w:pPr>
        <w:pStyle w:val="pheading"/>
      </w:pPr>
      <w:r>
        <w:t>MESURAGE</w:t>
      </w:r>
    </w:p>
    <w:p w14:paraId="6E72DEAB" w14:textId="77777777" w:rsidR="004B2808" w:rsidRDefault="00000000">
      <w:pPr>
        <w:pStyle w:val="pheading"/>
      </w:pPr>
      <w:r>
        <w:t>- unité de mesure:</w:t>
      </w:r>
    </w:p>
    <w:p w14:paraId="47D536D0" w14:textId="77777777" w:rsidR="004B2808" w:rsidRDefault="00000000">
      <w:r>
        <w:rPr>
          <w:rStyle w:val="optioncarChar"/>
        </w:rPr>
        <w:t>m²</w:t>
      </w:r>
      <w:r>
        <w:t xml:space="preserve"> (par défaut) </w:t>
      </w:r>
      <w:r>
        <w:rPr>
          <w:rStyle w:val="optioncarChar"/>
        </w:rPr>
        <w:t>/ m</w:t>
      </w:r>
    </w:p>
    <w:p w14:paraId="59A4AA98" w14:textId="77777777" w:rsidR="004B2808" w:rsidRDefault="00000000">
      <w:r>
        <w:rPr>
          <w:b/>
        </w:rPr>
        <w:t>(soit par défaut)</w:t>
      </w:r>
    </w:p>
    <w:p w14:paraId="1D316BAD" w14:textId="77777777" w:rsidR="004B2808" w:rsidRDefault="00000000">
      <w:r>
        <w:rPr>
          <w:color w:val="33CCCC"/>
        </w:rPr>
        <w:t>1.2. m²</w:t>
      </w:r>
    </w:p>
    <w:p w14:paraId="0BFC9941" w14:textId="77777777" w:rsidR="004B2808" w:rsidRDefault="00000000">
      <w:r>
        <w:rPr>
          <w:b/>
        </w:rPr>
        <w:t>(soit)</w:t>
      </w:r>
    </w:p>
    <w:p w14:paraId="748FF813" w14:textId="77777777" w:rsidR="004B2808" w:rsidRDefault="00000000">
      <w:r>
        <w:rPr>
          <w:color w:val="33CCCC"/>
        </w:rPr>
        <w:t>3. m</w:t>
      </w:r>
    </w:p>
    <w:p w14:paraId="522CEA36" w14:textId="77777777" w:rsidR="004B2808" w:rsidRDefault="004B2808"/>
    <w:p w14:paraId="2021F675" w14:textId="77777777" w:rsidR="004B2808" w:rsidRDefault="00000000">
      <w:pPr>
        <w:pStyle w:val="pheading"/>
      </w:pPr>
      <w:r>
        <w:t>- code de mesurage:</w:t>
      </w:r>
    </w:p>
    <w:p w14:paraId="51F89C00" w14:textId="77777777" w:rsidR="004B2808" w:rsidRDefault="00000000">
      <w:r>
        <w:rPr>
          <w:rStyle w:val="optioncarChar"/>
        </w:rPr>
        <w:t>murs</w:t>
      </w:r>
      <w:r>
        <w:t xml:space="preserve"> (par défaut) </w:t>
      </w:r>
      <w:r>
        <w:rPr>
          <w:rStyle w:val="optioncarChar"/>
        </w:rPr>
        <w:t>/ parois verticales / pour les ébrasements et les moulures</w:t>
      </w:r>
    </w:p>
    <w:p w14:paraId="4985A05D" w14:textId="77777777" w:rsidR="004B2808" w:rsidRDefault="00000000">
      <w:r>
        <w:rPr>
          <w:b/>
        </w:rPr>
        <w:t>(soit par défaut) </w:t>
      </w:r>
      <w:r>
        <w:rPr>
          <w:color w:val="33CCCC"/>
          <w:u w:val="single"/>
        </w:rPr>
        <w:t>murs :</w:t>
      </w:r>
      <w:r>
        <w:rPr>
          <w:color w:val="33CCCC"/>
        </w:rPr>
        <w:t xml:space="preserve"> toutes les baies de fenêtres et portes extérieures qui doivent être enduites sont comptées pleines, en compensation du plafonnage des ébrasements sur les côtés et en linteau; par contre, les baies dont les ébrasements ne doivent pas être enduits et dont la superficie est &gt; 0,5 m², sont déduites (par ex. les portes intérieures où un encadrement est prévu ou les portes et fenêtres qui sont habillées de panneaux de revêtement).</w:t>
      </w:r>
      <w:r>
        <w:br/>
      </w:r>
      <w:r>
        <w:rPr>
          <w:color w:val="33CCCC"/>
        </w:rPr>
        <w:t>Les travaux de plafonnage ne font pas l'objet de décomptes.</w:t>
      </w:r>
    </w:p>
    <w:p w14:paraId="2665ECFF" w14:textId="77777777" w:rsidR="004B2808" w:rsidRDefault="00000000">
      <w:r>
        <w:rPr>
          <w:b/>
        </w:rPr>
        <w:t>(soit) </w:t>
      </w:r>
      <w:r>
        <w:rPr>
          <w:color w:val="33CCCC"/>
          <w:u w:val="single"/>
        </w:rPr>
        <w:t>parois verticales :</w:t>
      </w:r>
      <w:r>
        <w:rPr>
          <w:color w:val="33CCCC"/>
        </w:rPr>
        <w:t xml:space="preserve"> surface nette, toutes les réservations &gt; 0,5 m² sont déduites. Les ébrasements et les moulures dont la largeur est &lt; 30 cm sont comptés séparément, longueur nette, le cas échéant ventilé selon les différentes épaisseurs de murs.</w:t>
      </w:r>
      <w:r>
        <w:br/>
      </w:r>
      <w:r>
        <w:rPr>
          <w:color w:val="33CCCC"/>
        </w:rPr>
        <w:t>Les travaux de plafonnage ne font pas l'objet de décomptes.</w:t>
      </w:r>
    </w:p>
    <w:p w14:paraId="2F41CAFB" w14:textId="77777777" w:rsidR="004B2808" w:rsidRDefault="00000000">
      <w:r>
        <w:rPr>
          <w:b/>
        </w:rPr>
        <w:lastRenderedPageBreak/>
        <w:t>(soit) </w:t>
      </w:r>
      <w:r>
        <w:rPr>
          <w:color w:val="33CCCC"/>
          <w:u w:val="single"/>
        </w:rPr>
        <w:t>pour les ébrasements et les moulures :</w:t>
      </w:r>
      <w:r>
        <w:rPr>
          <w:color w:val="33CCCC"/>
        </w:rPr>
        <w:t> Les travaux de plafonnage ne font pas l'objet de décomptes.</w:t>
      </w:r>
    </w:p>
    <w:p w14:paraId="0A14B895" w14:textId="77777777" w:rsidR="004B2808" w:rsidRDefault="00000000">
      <w:pPr>
        <w:pStyle w:val="pheading"/>
      </w:pPr>
      <w:r>
        <w:t>- nature du marché:</w:t>
      </w:r>
    </w:p>
    <w:p w14:paraId="57F9E4D9" w14:textId="77777777" w:rsidR="004B2808" w:rsidRDefault="004B2808"/>
    <w:p w14:paraId="28CD45EE" w14:textId="77777777" w:rsidR="004B2808" w:rsidRDefault="00000000">
      <w:r>
        <w:t>QF</w:t>
      </w:r>
    </w:p>
    <w:p w14:paraId="660080EB" w14:textId="77777777" w:rsidR="004B2808" w:rsidRDefault="00000000">
      <w:pPr>
        <w:pStyle w:val="Author-eSectionHeading6Numberless"/>
      </w:pPr>
      <w:bookmarkStart w:id="183" w:name="_Toc220490380"/>
      <w:r>
        <w:t>51.54.2b Enduit à base de plâtre en 2 couches prédosé à sec / prêt à l'emploi CCTB 01.11</w:t>
      </w:r>
      <w:bookmarkEnd w:id="183"/>
    </w:p>
    <w:p w14:paraId="3C5E9FD2" w14:textId="77777777" w:rsidR="004B2808" w:rsidRDefault="00000000">
      <w:pPr>
        <w:pStyle w:val="pheading"/>
      </w:pPr>
      <w:r>
        <w:t>DESCRIPTION</w:t>
      </w:r>
    </w:p>
    <w:p w14:paraId="15261D13" w14:textId="77777777" w:rsidR="004B2808" w:rsidRDefault="00000000">
      <w:pPr>
        <w:pStyle w:val="pheading"/>
      </w:pPr>
      <w:r>
        <w:t>- Localisation</w:t>
      </w:r>
    </w:p>
    <w:p w14:paraId="723616F3" w14:textId="77777777" w:rsidR="004B2808" w:rsidRDefault="00000000">
      <w:r>
        <w:t>enduits de parois verticales intérieures</w:t>
      </w:r>
    </w:p>
    <w:p w14:paraId="201B5932" w14:textId="77777777" w:rsidR="004B2808" w:rsidRDefault="00000000">
      <w:r>
        <w:t>enduits de parois verticales intérieures sur plaques de plâtre enrobées d’un carton spécialement conçu en vue de servir de support au plafonnage</w:t>
      </w:r>
    </w:p>
    <w:p w14:paraId="5439A2D0" w14:textId="77777777" w:rsidR="004B2808" w:rsidRDefault="00000000">
      <w:pPr>
        <w:pStyle w:val="pheading"/>
      </w:pPr>
      <w:r>
        <w:t>MATÉRIAUX</w:t>
      </w:r>
    </w:p>
    <w:p w14:paraId="4227E2A0" w14:textId="77777777" w:rsidR="004B2808" w:rsidRDefault="00000000">
      <w:pPr>
        <w:pStyle w:val="pheading"/>
      </w:pPr>
      <w:r>
        <w:t>- Caractéristiques générales</w:t>
      </w:r>
    </w:p>
    <w:p w14:paraId="0F2DDE88" w14:textId="77777777" w:rsidR="004B2808" w:rsidRDefault="00000000">
      <w:r>
        <w:t>Il s'agit des enduits fabriqués en usine de composition prédosée à base de matières minérales inorganiques.</w:t>
      </w:r>
    </w:p>
    <w:p w14:paraId="6DBEC90A" w14:textId="77777777" w:rsidR="004B2808" w:rsidRDefault="00000000">
      <w:r>
        <w:t xml:space="preserve">Ils contiennent au moins 50 % de produits au sulfate de calcium déshydratés (CaSO4-1/2H2O), extraits de la pierre à plâtre ou des produits secondaires résultant de processus industriels et brûlés selon une méthode particulière. Ils sont éventuellement mélangés à des adjuvants tels que du sable, de la perlite ou vermiculite, choisis en fonction des qualités exigées de l'enduit telles que l'adhérence ou la durée du temps de prise. La radioactivité du produit est négligeable et, par conséquent, &lt; </w:t>
      </w:r>
      <w:r>
        <w:rPr>
          <w:rStyle w:val="optioncarChar"/>
        </w:rPr>
        <w:t>300 </w:t>
      </w:r>
      <w:r>
        <w:t>(par défaut)</w:t>
      </w:r>
      <w:r>
        <w:rPr>
          <w:rStyle w:val="optioncarChar"/>
        </w:rPr>
        <w:t xml:space="preserve"> / *** </w:t>
      </w:r>
      <w:r>
        <w:t>Bq/kg.</w:t>
      </w:r>
    </w:p>
    <w:p w14:paraId="4B338955" w14:textId="77777777" w:rsidR="004B2808" w:rsidRDefault="00000000">
      <w:r>
        <w:t>En fonction de la nature du support, la gamme de produits présentée par le fabricant pour les enduits à projeter en une seule couche contient des enduits prêts à mélanger, des enduits d'adhérence ou des enduits de finition. L'entrepreneur soumet le procédé de plafonnage qu'il juge le plus approprié pour l'ouvrage à exécuter à l'approbation de l'administration. La plupart des supports conviennent à l'application d'un enduit projeté en une seule couche, qui contient au moins 94 % de plâtre et de l'anhydrite. Les adjuvants nécessaires (retardateurs de prise et produits rétenteurs d'eau) assurent une mise en œuvre et une adhérence optimale.</w:t>
      </w:r>
    </w:p>
    <w:p w14:paraId="13284FBC" w14:textId="77777777" w:rsidR="004B2808" w:rsidRDefault="00000000">
      <w:pPr>
        <w:pStyle w:val="pheading"/>
      </w:pPr>
      <w:r>
        <w:t>EXÉCUTION / MISE EN ŒUVRE</w:t>
      </w:r>
    </w:p>
    <w:p w14:paraId="0C878836" w14:textId="77777777" w:rsidR="004B2808" w:rsidRDefault="00000000">
      <w:pPr>
        <w:pStyle w:val="pheading"/>
      </w:pPr>
      <w:r>
        <w:t>- Prescriptions générales</w:t>
      </w:r>
    </w:p>
    <w:p w14:paraId="468139D6" w14:textId="77777777" w:rsidR="004B2808" w:rsidRDefault="00000000">
      <w:r>
        <w:t xml:space="preserve">La préparation du support, le mélange du mortier et l'exécution des plafonnages sont conformes aux dispositions du titre </w:t>
      </w:r>
      <w:hyperlink w:anchor="1164" w:history="1">
        <w:r w:rsidR="004B2808">
          <w:rPr>
            <w:color w:val="0000EE"/>
          </w:rPr>
          <w:t>51.5 Revêtements intérieurs enduits</w:t>
        </w:r>
      </w:hyperlink>
      <w:r>
        <w:t>, à celles du sous-titre </w:t>
      </w:r>
      <w:hyperlink w:anchor="1165" w:history="1">
        <w:r w:rsidR="004B2808">
          <w:rPr>
            <w:color w:val="0000EE"/>
          </w:rPr>
          <w:t>51.52 Préparation du support</w:t>
        </w:r>
      </w:hyperlink>
      <w:r>
        <w:t xml:space="preserve"> et aux directives données par le fabricant.</w:t>
      </w:r>
    </w:p>
    <w:p w14:paraId="6694A5C0" w14:textId="77777777" w:rsidR="004B2808" w:rsidRDefault="00000000">
      <w:pPr>
        <w:pStyle w:val="heading"/>
      </w:pPr>
      <w:r>
        <w:t>Spécifications</w:t>
      </w:r>
    </w:p>
    <w:p w14:paraId="6FA79CE0" w14:textId="77777777" w:rsidR="004B2808" w:rsidRDefault="00000000">
      <w:r>
        <w:t xml:space="preserve">Mode d'exécution : </w:t>
      </w:r>
      <w:r>
        <w:rPr>
          <w:rStyle w:val="optioncarChar"/>
        </w:rPr>
        <w:t>en deux couches </w:t>
      </w:r>
      <w:r>
        <w:t>(par défaut)</w:t>
      </w:r>
      <w:r>
        <w:rPr>
          <w:rStyle w:val="optioncarChar"/>
        </w:rPr>
        <w:t xml:space="preserve"> / ***</w:t>
      </w:r>
    </w:p>
    <w:p w14:paraId="0C3A2D52" w14:textId="77777777" w:rsidR="004B2808" w:rsidRDefault="00000000">
      <w:r>
        <w:t xml:space="preserve">Epaisseur totale moyenne : </w:t>
      </w:r>
      <w:r>
        <w:rPr>
          <w:rStyle w:val="optioncarChar"/>
        </w:rPr>
        <w:t>15</w:t>
      </w:r>
      <w:r>
        <w:t> (par défaut)</w:t>
      </w:r>
      <w:r>
        <w:rPr>
          <w:rStyle w:val="optioncarChar"/>
        </w:rPr>
        <w:t xml:space="preserve"> / 20 / 25 / ***</w:t>
      </w:r>
      <w:r>
        <w:t xml:space="preserve"> mm.</w:t>
      </w:r>
    </w:p>
    <w:p w14:paraId="2EE964A7" w14:textId="77777777" w:rsidR="004B2808" w:rsidRDefault="00000000">
      <w:r>
        <w:t>Recouvrement des treillis de consolidation : ≥ </w:t>
      </w:r>
      <w:r>
        <w:rPr>
          <w:rStyle w:val="optioncarChar"/>
        </w:rPr>
        <w:t>10 </w:t>
      </w:r>
      <w:r>
        <w:t xml:space="preserve">(par défaut) </w:t>
      </w:r>
      <w:r>
        <w:rPr>
          <w:rStyle w:val="optioncarChar"/>
        </w:rPr>
        <w:t>/ ***</w:t>
      </w:r>
      <w:r>
        <w:t xml:space="preserve"> mm.</w:t>
      </w:r>
    </w:p>
    <w:p w14:paraId="4AC7278B" w14:textId="77777777" w:rsidR="004B2808" w:rsidRDefault="00000000">
      <w:r>
        <w:t xml:space="preserve">La couche de finition sera terminée </w:t>
      </w:r>
      <w:r>
        <w:rPr>
          <w:rStyle w:val="optioncarChar"/>
        </w:rPr>
        <w:t xml:space="preserve">lisse </w:t>
      </w:r>
      <w:r>
        <w:t>(par défaut) </w:t>
      </w:r>
      <w:r>
        <w:rPr>
          <w:rStyle w:val="optioncarChar"/>
        </w:rPr>
        <w:t xml:space="preserve">/ *** </w:t>
      </w:r>
      <w:r>
        <w:t>, sauf pour les surfaces qui doivent être carrelées.</w:t>
      </w:r>
    </w:p>
    <w:p w14:paraId="5544E745" w14:textId="77777777" w:rsidR="004B2808" w:rsidRDefault="00000000">
      <w:r>
        <w:t xml:space="preserve">Degré de finition prescrit : </w:t>
      </w:r>
      <w:r>
        <w:rPr>
          <w:rStyle w:val="optioncarChar"/>
        </w:rPr>
        <w:t>normal</w:t>
      </w:r>
      <w:r>
        <w:t xml:space="preserve"> (par défaut) </w:t>
      </w:r>
      <w:r>
        <w:rPr>
          <w:rStyle w:val="optioncarChar"/>
        </w:rPr>
        <w:t>/ spécial / ***</w:t>
      </w:r>
    </w:p>
    <w:p w14:paraId="4F6931DC" w14:textId="77777777" w:rsidR="004B2808" w:rsidRDefault="00000000">
      <w:r>
        <w:t>Réaction au feu du revêtement de la paroi (enduit) prenant en compte l’influence du support (couche(s) sous-jacente(s)) :</w:t>
      </w:r>
      <w:r>
        <w:rPr>
          <w:rStyle w:val="optioncarChar"/>
        </w:rPr>
        <w:t xml:space="preserve"> classe A1 / A2 / B / C / D / E / F </w:t>
      </w:r>
      <w:r>
        <w:t>selon la NBN EN 13501-1</w:t>
      </w:r>
      <w:r>
        <w:rPr>
          <w:rStyle w:val="optioncarChar"/>
        </w:rPr>
        <w:t> </w:t>
      </w:r>
      <w:r>
        <w:t>ou classe</w:t>
      </w:r>
      <w:r>
        <w:rPr>
          <w:rStyle w:val="optioncarChar"/>
        </w:rPr>
        <w:t> : A0 / A1/ A2 / A3 / A4 (</w:t>
      </w:r>
      <w:r>
        <w:t>selon la NBN S 21-203 tant qu’elle est encore d’application)</w:t>
      </w:r>
      <w:r>
        <w:rPr>
          <w:rStyle w:val="optioncarChar"/>
        </w:rPr>
        <w:t xml:space="preserve">. </w:t>
      </w:r>
    </w:p>
    <w:p w14:paraId="11AA9F10" w14:textId="77777777" w:rsidR="004B2808" w:rsidRDefault="00000000">
      <w:pPr>
        <w:ind w:firstLine="435"/>
      </w:pPr>
      <w:r>
        <w:lastRenderedPageBreak/>
        <w:t xml:space="preserve">Classes additionnelles : </w:t>
      </w:r>
      <w:r>
        <w:rPr>
          <w:rStyle w:val="optioncarChar"/>
        </w:rPr>
        <w:t>***</w:t>
      </w:r>
    </w:p>
    <w:p w14:paraId="59A4EFFE" w14:textId="77777777" w:rsidR="004B2808" w:rsidRDefault="00000000">
      <w:pPr>
        <w:ind w:firstLine="435"/>
      </w:pPr>
      <w:r>
        <w:t>Production de fumée : exigence :</w:t>
      </w:r>
      <w:r>
        <w:rPr>
          <w:rStyle w:val="optioncarChar"/>
        </w:rPr>
        <w:t xml:space="preserve"> s1 / s2 /s3. </w:t>
      </w:r>
    </w:p>
    <w:p w14:paraId="2797D28B" w14:textId="77777777" w:rsidR="004B2808" w:rsidRDefault="00000000">
      <w:pPr>
        <w:ind w:firstLine="435"/>
      </w:pPr>
      <w:r>
        <w:t>Gouttelettes et particules en feu :</w:t>
      </w:r>
      <w:r>
        <w:rPr>
          <w:rStyle w:val="optioncarChar"/>
        </w:rPr>
        <w:t xml:space="preserve"> d0 / d1 / d2. </w:t>
      </w:r>
    </w:p>
    <w:p w14:paraId="0674EE39" w14:textId="77777777" w:rsidR="004B2808" w:rsidRDefault="00000000">
      <w:r>
        <w:t>Enduit sur plaques de plâtre enrobées d’un carton spécialement conçu en vue de servir de support au plafonnage</w:t>
      </w:r>
    </w:p>
    <w:p w14:paraId="4EE3BE5F" w14:textId="77777777" w:rsidR="004B2808" w:rsidRDefault="00000000">
      <w:r>
        <w:t>Les plaques de plâtre enrobées de carton sont vissées en alternance sur les lattes de support, conformément aux directives du fabricant. Les côtés de tête sont parfaitement jointifs et s'appuient toujours sur une latte. Les côtés longitudinaux sont posés à joint ouvert afin de permettre au mortier d'enduit de pénétrer entre les plaques. L'enduit est appliqué immédiatement après la fixation des plaques afin d'éviter leur flambement en raison de l'humidité contenue dans l'air. Afin d'obtenir une épaisseur uniforme, on peut utiliser des profils de guidage. Avant d'appliquer le plafonnage, les joints des surfaces à enduire doivent être consolidés à l'aide de bandes d'armatures synthétiques en fibres de verre ou en voile de Nylon, d'une largeur de 10 cm, qui sont collées sur les plaques et noyées dans l'enduit.</w:t>
      </w:r>
    </w:p>
    <w:p w14:paraId="120B2F29" w14:textId="77777777" w:rsidR="004B2808" w:rsidRDefault="00000000">
      <w:r>
        <w:t>L'enduit fabriqué en usine a obtenu l'agrément technique UBAtc, avec un contrôle suivi pendant la fabrication.</w:t>
      </w:r>
    </w:p>
    <w:p w14:paraId="521CF9E8" w14:textId="77777777" w:rsidR="004B2808" w:rsidRDefault="00000000">
      <w:pPr>
        <w:pStyle w:val="pheading"/>
      </w:pPr>
      <w:r>
        <w:t>- Notes d’exécution complémentaires</w:t>
      </w:r>
    </w:p>
    <w:p w14:paraId="3CAC1418" w14:textId="77777777" w:rsidR="004B2808" w:rsidRDefault="00000000">
      <w:r>
        <w:t xml:space="preserve">Des profils de finition en forme de U sont prévus au droit des interruptions du plafonnage dans les cas suivants : </w:t>
      </w:r>
      <w:r>
        <w:rPr>
          <w:rStyle w:val="optioncarChar"/>
        </w:rPr>
        <w:t>joints de tassement </w:t>
      </w:r>
      <w:r>
        <w:t>(par défaut)</w:t>
      </w:r>
      <w:r>
        <w:rPr>
          <w:rStyle w:val="optioncarChar"/>
        </w:rPr>
        <w:t xml:space="preserve"> / joints de dilatation / jonction avec le parement / jonction avec les châssis / arrêt du plafonnage en hauteur / ***</w:t>
      </w:r>
      <w:r>
        <w:t xml:space="preserve"> Le type et le mode de fixation sont soumis à l'approbation de l'auteur de projet.</w:t>
      </w:r>
    </w:p>
    <w:p w14:paraId="308BBC41" w14:textId="77777777" w:rsidR="004B2808" w:rsidRDefault="00000000">
      <w:pPr>
        <w:pStyle w:val="pheading"/>
      </w:pPr>
      <w:r>
        <w:t>MESURAGE</w:t>
      </w:r>
    </w:p>
    <w:p w14:paraId="7BC1D3CA" w14:textId="77777777" w:rsidR="004B2808" w:rsidRDefault="00000000">
      <w:pPr>
        <w:pStyle w:val="pheading"/>
      </w:pPr>
      <w:r>
        <w:t>- unité de mesure:</w:t>
      </w:r>
    </w:p>
    <w:p w14:paraId="55E6E5D7" w14:textId="77777777" w:rsidR="004B2808" w:rsidRDefault="00000000">
      <w:r>
        <w:rPr>
          <w:rStyle w:val="optioncarChar"/>
        </w:rPr>
        <w:t>m²</w:t>
      </w:r>
      <w:r>
        <w:t> (par défaut) </w:t>
      </w:r>
      <w:r>
        <w:rPr>
          <w:rStyle w:val="optioncarChar"/>
        </w:rPr>
        <w:t>/ m</w:t>
      </w:r>
    </w:p>
    <w:p w14:paraId="160C53E2" w14:textId="77777777" w:rsidR="004B2808" w:rsidRDefault="00000000">
      <w:r>
        <w:rPr>
          <w:b/>
        </w:rPr>
        <w:t>(soit par défaut)</w:t>
      </w:r>
    </w:p>
    <w:p w14:paraId="71FAB25B" w14:textId="77777777" w:rsidR="004B2808" w:rsidRDefault="00000000">
      <w:r>
        <w:rPr>
          <w:color w:val="33CCCC"/>
        </w:rPr>
        <w:t>1.2. m²</w:t>
      </w:r>
    </w:p>
    <w:p w14:paraId="3999422C" w14:textId="77777777" w:rsidR="004B2808" w:rsidRDefault="00000000">
      <w:r>
        <w:rPr>
          <w:b/>
        </w:rPr>
        <w:t>(soit)</w:t>
      </w:r>
    </w:p>
    <w:p w14:paraId="478C683A" w14:textId="77777777" w:rsidR="004B2808" w:rsidRDefault="00000000">
      <w:r>
        <w:rPr>
          <w:color w:val="33CCCC"/>
        </w:rPr>
        <w:t>3. m</w:t>
      </w:r>
    </w:p>
    <w:p w14:paraId="70875587" w14:textId="77777777" w:rsidR="004B2808" w:rsidRDefault="00000000">
      <w:pPr>
        <w:pStyle w:val="pheading"/>
      </w:pPr>
      <w:r>
        <w:t>- code de mesurage:</w:t>
      </w:r>
    </w:p>
    <w:p w14:paraId="12E921CB" w14:textId="77777777" w:rsidR="004B2808" w:rsidRDefault="00000000">
      <w:r>
        <w:rPr>
          <w:rStyle w:val="optioncarChar"/>
        </w:rPr>
        <w:t>murs</w:t>
      </w:r>
      <w:r>
        <w:t> (par défaut) </w:t>
      </w:r>
      <w:r>
        <w:rPr>
          <w:rStyle w:val="optioncarChar"/>
        </w:rPr>
        <w:t>/ parois verticales / pour les ébrasements et les moulures</w:t>
      </w:r>
    </w:p>
    <w:p w14:paraId="14C22511" w14:textId="77777777" w:rsidR="004B2808" w:rsidRDefault="00000000">
      <w:r>
        <w:rPr>
          <w:b/>
        </w:rPr>
        <w:t>(soit par défaut) </w:t>
      </w:r>
      <w:r>
        <w:t> </w:t>
      </w:r>
      <w:r>
        <w:rPr>
          <w:color w:val="33CCCC"/>
          <w:u w:val="single"/>
        </w:rPr>
        <w:t>murs :</w:t>
      </w:r>
      <w:r>
        <w:rPr>
          <w:color w:val="33CCCC"/>
        </w:rPr>
        <w:t> toutes les baies de fenêtres et portes extérieures qui doivent être enduites sont comptées pleines, en compensation du plafonnage des ébrasements sur les côtés et en linteau; par contre, les baies dont les ébrasements ne doivent pas être enduits et dont la superficie est &gt; 0,5 m², sont déduites (par ex. les portes intérieures où un encadrement est prévu ou les portes et fenêtres qui sont habillées de panneaux de revêtement).</w:t>
      </w:r>
      <w:r>
        <w:br/>
      </w:r>
      <w:r>
        <w:rPr>
          <w:color w:val="33CCCC"/>
        </w:rPr>
        <w:t>Les travaux de plafonnage ne font pas l'objet de décomptes.</w:t>
      </w:r>
    </w:p>
    <w:p w14:paraId="7714B91E" w14:textId="77777777" w:rsidR="004B2808" w:rsidRDefault="00000000">
      <w:r>
        <w:rPr>
          <w:b/>
        </w:rPr>
        <w:t>(soit) </w:t>
      </w:r>
      <w:r>
        <w:t> </w:t>
      </w:r>
      <w:r>
        <w:rPr>
          <w:color w:val="33CCCC"/>
          <w:u w:val="single"/>
        </w:rPr>
        <w:t>parois verticales :</w:t>
      </w:r>
      <w:r>
        <w:rPr>
          <w:color w:val="33CCCC"/>
        </w:rPr>
        <w:t> surface nette, toutes les réservations &gt; 0,5 m² sont déduites. Les ébrasements et les moulures dont la largeur est &lt; 30 cm sont comptés séparément, longueur nette, le cas échéant ventilé selon les différentes épaisseurs de murs.</w:t>
      </w:r>
      <w:r>
        <w:br/>
      </w:r>
      <w:r>
        <w:rPr>
          <w:color w:val="33CCCC"/>
        </w:rPr>
        <w:t>Les travaux de plafonnage ne font pas l'objet de décomptes.</w:t>
      </w:r>
    </w:p>
    <w:p w14:paraId="710E99B9" w14:textId="77777777" w:rsidR="004B2808" w:rsidRDefault="00000000">
      <w:r>
        <w:rPr>
          <w:b/>
        </w:rPr>
        <w:t>(soit) </w:t>
      </w:r>
      <w:r>
        <w:t> </w:t>
      </w:r>
      <w:r>
        <w:rPr>
          <w:color w:val="33CCCC"/>
          <w:u w:val="single"/>
        </w:rPr>
        <w:t>pour les ébrasements et les moulures :</w:t>
      </w:r>
      <w:r>
        <w:t> </w:t>
      </w:r>
      <w:r>
        <w:rPr>
          <w:color w:val="33CCCC"/>
        </w:rPr>
        <w:t>Les travaux de plafonnage ne font pas l'objet de décomptes.</w:t>
      </w:r>
    </w:p>
    <w:p w14:paraId="582C48B7" w14:textId="77777777" w:rsidR="004B2808" w:rsidRDefault="00000000">
      <w:pPr>
        <w:pStyle w:val="pheading"/>
      </w:pPr>
      <w:r>
        <w:t>- nature du marché:</w:t>
      </w:r>
    </w:p>
    <w:p w14:paraId="35EE6DB9" w14:textId="77777777" w:rsidR="004B2808" w:rsidRDefault="00000000">
      <w:r>
        <w:t>QF</w:t>
      </w:r>
    </w:p>
    <w:p w14:paraId="16F41280" w14:textId="77777777" w:rsidR="004B2808" w:rsidRDefault="00000000">
      <w:pPr>
        <w:pStyle w:val="Author-eSectionHeading5Numberless"/>
      </w:pPr>
      <w:bookmarkStart w:id="184" w:name="_Toc220490381"/>
      <w:r>
        <w:t>51.54.3 Enduit à base de plâtre, pelliculaire CCTB 01.02</w:t>
      </w:r>
      <w:bookmarkEnd w:id="184"/>
    </w:p>
    <w:p w14:paraId="2C766622" w14:textId="77777777" w:rsidR="004B2808" w:rsidRDefault="00000000">
      <w:pPr>
        <w:pStyle w:val="Author-eSectionHeading6Numberless"/>
      </w:pPr>
      <w:bookmarkStart w:id="185" w:name="394"/>
      <w:bookmarkStart w:id="186" w:name="_Toc220490382"/>
      <w:bookmarkEnd w:id="185"/>
      <w:r>
        <w:lastRenderedPageBreak/>
        <w:t>51.54.3a Enduit à base de plâtre, pelliculaire, prédosé à sec CCTB 01.11</w:t>
      </w:r>
      <w:bookmarkEnd w:id="186"/>
    </w:p>
    <w:p w14:paraId="5538F194" w14:textId="77777777" w:rsidR="004B2808" w:rsidRDefault="00000000">
      <w:pPr>
        <w:pStyle w:val="pheading"/>
      </w:pPr>
      <w:r>
        <w:t>DESCRIPTION</w:t>
      </w:r>
    </w:p>
    <w:p w14:paraId="0498A2B2" w14:textId="77777777" w:rsidR="004B2808" w:rsidRDefault="00000000">
      <w:pPr>
        <w:pStyle w:val="pheading"/>
      </w:pPr>
      <w:r>
        <w:t>- Localisation</w:t>
      </w:r>
    </w:p>
    <w:p w14:paraId="6EA637AA" w14:textId="77777777" w:rsidR="004B2808" w:rsidRDefault="00000000">
      <w:r>
        <w:t>enduits de parois verticales intérieures en blocs assemblés par collage</w:t>
      </w:r>
    </w:p>
    <w:p w14:paraId="79B26D04" w14:textId="77777777" w:rsidR="004B2808" w:rsidRDefault="00000000">
      <w:pPr>
        <w:pStyle w:val="pheading"/>
      </w:pPr>
      <w:r>
        <w:t>MATÉRIAUX</w:t>
      </w:r>
    </w:p>
    <w:p w14:paraId="4D0D20D2" w14:textId="77777777" w:rsidR="004B2808" w:rsidRDefault="00000000">
      <w:pPr>
        <w:pStyle w:val="pheading"/>
      </w:pPr>
      <w:r>
        <w:t>- Caractéristiques générales</w:t>
      </w:r>
    </w:p>
    <w:p w14:paraId="0BB10790" w14:textId="77777777" w:rsidR="004B2808" w:rsidRDefault="00000000">
      <w:r>
        <w:t>Il s'agit d'une mince couche d'enduit à appliquer sur les blocs en béton cellulaire, en plâtre ou silico-calcaires assemblés par collage. L'enduit utilisé est à base de plâtre et d'adjuvants sélectionnés en fonction du domaine d'application spécifique. Il présente une forte adhérence et une grande durabilité.</w:t>
      </w:r>
    </w:p>
    <w:p w14:paraId="217BC8AD" w14:textId="77777777" w:rsidR="004B2808" w:rsidRDefault="00000000">
      <w:r>
        <w:t>Ils sont conformes à la [NBN EN 13279-1]. Voir aussi [NIT 284].</w:t>
      </w:r>
    </w:p>
    <w:p w14:paraId="24CE5284" w14:textId="77777777" w:rsidR="004B2808" w:rsidRDefault="00000000">
      <w:r>
        <w:rPr>
          <w:b/>
        </w:rPr>
        <w:t>Spécifications</w:t>
      </w:r>
    </w:p>
    <w:p w14:paraId="1A40583D" w14:textId="77777777" w:rsidR="004B2808" w:rsidRDefault="00000000">
      <w:r>
        <w:t>Selon la [Décision 96/603/CE] et les conditions qui y sont reprises, la chaux et le plâtre appartiennent à la classe de réaction au feu A1.</w:t>
      </w:r>
    </w:p>
    <w:p w14:paraId="3185DE2C" w14:textId="77777777" w:rsidR="004B2808" w:rsidRDefault="00000000">
      <w:pPr>
        <w:ind w:left="750"/>
      </w:pPr>
      <w:r>
        <w:t> </w:t>
      </w:r>
    </w:p>
    <w:p w14:paraId="77A918CB" w14:textId="77777777" w:rsidR="004B2808" w:rsidRDefault="00000000">
      <w:pPr>
        <w:pStyle w:val="pheading"/>
      </w:pPr>
      <w:r>
        <w:t>- Finitions</w:t>
      </w:r>
    </w:p>
    <w:p w14:paraId="2D2929A5" w14:textId="77777777" w:rsidR="004B2808" w:rsidRDefault="00000000">
      <w:r>
        <w:t xml:space="preserve">Degré de finition requis : </w:t>
      </w:r>
      <w:r>
        <w:rPr>
          <w:rStyle w:val="optioncarChar"/>
        </w:rPr>
        <w:t>normal (par défaut) / spécial / ***</w:t>
      </w:r>
    </w:p>
    <w:p w14:paraId="1F2F6933" w14:textId="77777777" w:rsidR="004B2808" w:rsidRDefault="00000000">
      <w:pPr>
        <w:pStyle w:val="pheading"/>
      </w:pPr>
      <w:r>
        <w:t>EXÉCUTION / MISE EN ŒUVRE</w:t>
      </w:r>
    </w:p>
    <w:p w14:paraId="78E37D3A" w14:textId="77777777" w:rsidR="004B2808" w:rsidRDefault="00000000">
      <w:pPr>
        <w:pStyle w:val="pheading"/>
      </w:pPr>
      <w:r>
        <w:t>- Prescriptions générales</w:t>
      </w:r>
    </w:p>
    <w:p w14:paraId="4A4800A6" w14:textId="77777777" w:rsidR="004B2808" w:rsidRDefault="00000000">
      <w:r>
        <w:t xml:space="preserve">Comme le support est fortement absorbant, il y a lieu, d'appliquer : </w:t>
      </w:r>
      <w:r>
        <w:rPr>
          <w:rStyle w:val="optioncarChar"/>
        </w:rPr>
        <w:t>une couche de fond / l'enduit en deux couches successives</w:t>
      </w:r>
      <w:r>
        <w:t xml:space="preserve"> qui ne dépassent jamais 2 mm d’épaisseur.</w:t>
      </w:r>
    </w:p>
    <w:p w14:paraId="474DAD68" w14:textId="77777777" w:rsidR="004B2808" w:rsidRDefault="00000000">
      <w:pPr>
        <w:pStyle w:val="pheading"/>
      </w:pPr>
      <w:r>
        <w:t>MESURAGE</w:t>
      </w:r>
    </w:p>
    <w:p w14:paraId="0A02451A" w14:textId="77777777" w:rsidR="004B2808" w:rsidRDefault="00000000">
      <w:pPr>
        <w:pStyle w:val="pheading"/>
      </w:pPr>
      <w:r>
        <w:t>- unité de mesure:</w:t>
      </w:r>
    </w:p>
    <w:p w14:paraId="1421B384" w14:textId="77777777" w:rsidR="004B2808" w:rsidRDefault="00000000">
      <w:r>
        <w:rPr>
          <w:rStyle w:val="optioncarChar"/>
        </w:rPr>
        <w:t>m²</w:t>
      </w:r>
      <w:r>
        <w:t>  (par défaut) </w:t>
      </w:r>
      <w:r>
        <w:rPr>
          <w:rStyle w:val="optioncarChar"/>
        </w:rPr>
        <w:t>/ m</w:t>
      </w:r>
    </w:p>
    <w:p w14:paraId="6BF083DA" w14:textId="77777777" w:rsidR="004B2808" w:rsidRDefault="00000000">
      <w:r>
        <w:rPr>
          <w:b/>
        </w:rPr>
        <w:t>(soit par défaut)</w:t>
      </w:r>
    </w:p>
    <w:p w14:paraId="04FF252E" w14:textId="77777777" w:rsidR="004B2808" w:rsidRDefault="00000000">
      <w:r>
        <w:rPr>
          <w:color w:val="33CCCC"/>
        </w:rPr>
        <w:t>1.2. m²</w:t>
      </w:r>
    </w:p>
    <w:p w14:paraId="4B42073D" w14:textId="77777777" w:rsidR="004B2808" w:rsidRDefault="00000000">
      <w:r>
        <w:rPr>
          <w:b/>
        </w:rPr>
        <w:t>(soit)</w:t>
      </w:r>
    </w:p>
    <w:p w14:paraId="3F1C8B79" w14:textId="77777777" w:rsidR="004B2808" w:rsidRDefault="00000000">
      <w:r>
        <w:rPr>
          <w:color w:val="33CCCC"/>
        </w:rPr>
        <w:t>3. m</w:t>
      </w:r>
    </w:p>
    <w:p w14:paraId="451F7267" w14:textId="77777777" w:rsidR="004B2808" w:rsidRDefault="00000000">
      <w:pPr>
        <w:pStyle w:val="pheading"/>
      </w:pPr>
      <w:r>
        <w:t>- code de mesurage:</w:t>
      </w:r>
    </w:p>
    <w:p w14:paraId="6274C444" w14:textId="77777777" w:rsidR="004B2808" w:rsidRDefault="00000000">
      <w:r>
        <w:rPr>
          <w:rStyle w:val="optioncarChar"/>
        </w:rPr>
        <w:t>murs</w:t>
      </w:r>
      <w:r>
        <w:t> (par défaut) </w:t>
      </w:r>
      <w:r>
        <w:rPr>
          <w:rStyle w:val="optioncarChar"/>
        </w:rPr>
        <w:t>/ parois verticales / pour les ébrasements et les moulures</w:t>
      </w:r>
    </w:p>
    <w:p w14:paraId="349A3F4B" w14:textId="77777777" w:rsidR="004B2808" w:rsidRDefault="00000000">
      <w:r>
        <w:rPr>
          <w:b/>
        </w:rPr>
        <w:t>(soit par défaut) </w:t>
      </w:r>
      <w:r>
        <w:t>   </w:t>
      </w:r>
      <w:r>
        <w:rPr>
          <w:color w:val="33CCCC"/>
          <w:u w:val="single"/>
        </w:rPr>
        <w:t>murs :</w:t>
      </w:r>
      <w:r>
        <w:rPr>
          <w:color w:val="33CCCC"/>
        </w:rPr>
        <w:t>  toutes les baies de fenêtres et portes extérieures qui doivent être enduites sont comptées pleines, en compensation du plafonnage des ébrasements sur les côtés et en linteau; par contre, les baies dont les ébrasements ne doivent pas être enduits et dont la superficie est &gt; 0,5 m², sont déduites (par ex. les portes intérieures où un encadrement est prévu ou les portes et fenêtres qui sont habillées de panneaux de revêtement).</w:t>
      </w:r>
      <w:r>
        <w:br/>
      </w:r>
      <w:r>
        <w:rPr>
          <w:color w:val="33CCCC"/>
        </w:rPr>
        <w:t>Les travaux de plafonnage ne font pas l'objet de décomptes.</w:t>
      </w:r>
    </w:p>
    <w:p w14:paraId="1C7AEAE1" w14:textId="77777777" w:rsidR="004B2808" w:rsidRDefault="00000000">
      <w:r>
        <w:rPr>
          <w:b/>
        </w:rPr>
        <w:t>(soit) </w:t>
      </w:r>
      <w:r>
        <w:t>   </w:t>
      </w:r>
      <w:r>
        <w:rPr>
          <w:color w:val="33CCCC"/>
          <w:u w:val="single"/>
        </w:rPr>
        <w:t>parois verticales :</w:t>
      </w:r>
      <w:r>
        <w:rPr>
          <w:color w:val="33CCCC"/>
        </w:rPr>
        <w:t>  surface nette, toutes les réservations &gt; 0,5 m² sont déduites. Les ébrasements et les moulures dont la largeur est &lt; 30 cm sont comptés séparément, longueur nette, le cas échéant ventilé selon les différentes épaisseurs de murs.</w:t>
      </w:r>
      <w:r>
        <w:br/>
      </w:r>
      <w:r>
        <w:rPr>
          <w:color w:val="33CCCC"/>
        </w:rPr>
        <w:t>Les travaux de plafonnage ne font pas l'objet de décomptes.</w:t>
      </w:r>
    </w:p>
    <w:p w14:paraId="329169EB" w14:textId="77777777" w:rsidR="004B2808" w:rsidRDefault="00000000">
      <w:r>
        <w:rPr>
          <w:b/>
        </w:rPr>
        <w:t>(soit) </w:t>
      </w:r>
      <w:r>
        <w:t>   </w:t>
      </w:r>
      <w:r>
        <w:rPr>
          <w:color w:val="33CCCC"/>
          <w:u w:val="single"/>
        </w:rPr>
        <w:t>pour les ébrasements et les moulures :</w:t>
      </w:r>
      <w:r>
        <w:rPr>
          <w:u w:val="single"/>
        </w:rPr>
        <w:t> </w:t>
      </w:r>
      <w:r>
        <w:t>  </w:t>
      </w:r>
      <w:r>
        <w:rPr>
          <w:color w:val="33CCCC"/>
        </w:rPr>
        <w:t>Les travaux de plafonnage ne font pas l'objet de décomptes.</w:t>
      </w:r>
    </w:p>
    <w:p w14:paraId="0F992E59" w14:textId="77777777" w:rsidR="004B2808" w:rsidRDefault="00000000">
      <w:pPr>
        <w:pStyle w:val="pheading"/>
      </w:pPr>
      <w:r>
        <w:t>- nature du marché:</w:t>
      </w:r>
    </w:p>
    <w:p w14:paraId="0293B4DF" w14:textId="77777777" w:rsidR="004B2808" w:rsidRDefault="00000000">
      <w:r>
        <w:lastRenderedPageBreak/>
        <w:t>QF</w:t>
      </w:r>
    </w:p>
    <w:p w14:paraId="778E8CC0" w14:textId="77777777" w:rsidR="004B2808" w:rsidRDefault="00000000">
      <w:pPr>
        <w:pStyle w:val="Author-eSectionHeading4Numberless"/>
      </w:pPr>
      <w:bookmarkStart w:id="187" w:name="_Toc220490383"/>
      <w:r>
        <w:t>51.55 Enduit au ciment et/ou à la chaux CCTB 01.02</w:t>
      </w:r>
      <w:bookmarkEnd w:id="187"/>
    </w:p>
    <w:p w14:paraId="32BA955E" w14:textId="77777777" w:rsidR="004B2808" w:rsidRDefault="00000000">
      <w:pPr>
        <w:pStyle w:val="Author-eSectionHeading5Numberless"/>
      </w:pPr>
      <w:bookmarkStart w:id="188" w:name="1161"/>
      <w:bookmarkStart w:id="189" w:name="_Toc220490384"/>
      <w:bookmarkEnd w:id="188"/>
      <w:r>
        <w:t>51.55.1 Enduit au ciment CCTB 01.02</w:t>
      </w:r>
      <w:bookmarkEnd w:id="189"/>
    </w:p>
    <w:p w14:paraId="3B010C0B" w14:textId="77777777" w:rsidR="004B2808" w:rsidRDefault="00000000">
      <w:pPr>
        <w:pStyle w:val="Author-eSectionHeading6Numberless"/>
      </w:pPr>
      <w:bookmarkStart w:id="190" w:name="_Toc220490385"/>
      <w:r>
        <w:t>51.55.1a Enduit au ciment sans couche de finition CCTB 01.10</w:t>
      </w:r>
      <w:bookmarkEnd w:id="190"/>
    </w:p>
    <w:p w14:paraId="3237D41E" w14:textId="77777777" w:rsidR="004B2808" w:rsidRDefault="00000000">
      <w:pPr>
        <w:pStyle w:val="pheading"/>
      </w:pPr>
      <w:r>
        <w:t>DESCRIPTION</w:t>
      </w:r>
    </w:p>
    <w:p w14:paraId="22D15FBD" w14:textId="77777777" w:rsidR="004B2808" w:rsidRDefault="00000000">
      <w:pPr>
        <w:pStyle w:val="pheading"/>
      </w:pPr>
      <w:r>
        <w:t>- Localisation</w:t>
      </w:r>
    </w:p>
    <w:p w14:paraId="55528B28" w14:textId="77777777" w:rsidR="004B2808" w:rsidRDefault="00000000">
      <w:r>
        <w:t>enduits de parois verticales intérieures</w:t>
      </w:r>
    </w:p>
    <w:p w14:paraId="5AB171E5" w14:textId="77777777" w:rsidR="004B2808" w:rsidRDefault="00000000">
      <w:pPr>
        <w:pStyle w:val="pheading"/>
      </w:pPr>
      <w:r>
        <w:t>MATÉRIAUX</w:t>
      </w:r>
    </w:p>
    <w:p w14:paraId="646B3B66" w14:textId="77777777" w:rsidR="004B2808" w:rsidRDefault="00000000">
      <w:pPr>
        <w:pStyle w:val="pheading"/>
      </w:pPr>
      <w:r>
        <w:t>- Caractéristiques générales</w:t>
      </w:r>
    </w:p>
    <w:p w14:paraId="00D2B6C3" w14:textId="77777777" w:rsidR="004B2808" w:rsidRDefault="00000000">
      <w:r>
        <w:t xml:space="preserve">L'enduit au mortier de ciment se compose, soit d'un mortier prédosé et mélangé (conforme à la [NBN EN 998-1]), soit d'un mortier préparé sur le chantier. Les mortiers préparés en usine (mélange sec ou humide) contiennent, une série d'additifs qui doivent être compatibles entre eux et avec le ciment. Ils sont généralement de nature organique et améliorent la malléabilité du mortier. Lorsqu'il est fait usage de mortier préparé sur le chantier, le cimentage se compose d'une couche d'adhérence, d'une couche de fond et d'une éventuelle couche de finition </w:t>
      </w:r>
      <w:r>
        <w:rPr>
          <w:b/>
          <w:color w:val="969696"/>
        </w:rPr>
        <w:t>(voir options</w:t>
      </w:r>
      <w:r>
        <w:t>). La couche d'adhérence contient 500 kg de ciment + 100 kg de chaud ou 600 kg de ciment par m3 de sable grossier ou moyen.</w:t>
      </w:r>
    </w:p>
    <w:p w14:paraId="2EBA103C" w14:textId="77777777" w:rsidR="004B2808" w:rsidRDefault="00000000">
      <w:r>
        <w:t>La couche de fond est constituée de:</w:t>
      </w:r>
    </w:p>
    <w:p w14:paraId="330DACE2" w14:textId="77777777" w:rsidR="004B2808" w:rsidRDefault="00000000">
      <w:r>
        <w:t xml:space="preserve">Choix opéré : </w:t>
      </w:r>
      <w:r>
        <w:rPr>
          <w:rStyle w:val="optioncarChar"/>
        </w:rPr>
        <w:t>OPTION 1 (sur support stable)</w:t>
      </w:r>
      <w:r>
        <w:t xml:space="preserve"> (par défaut)</w:t>
      </w:r>
      <w:r>
        <w:rPr>
          <w:rStyle w:val="optioncarChar"/>
        </w:rPr>
        <w:t> / OPTION 2 (sur support moins stable)/ OPTION 3 (composition hydrofuge)</w:t>
      </w:r>
    </w:p>
    <w:p w14:paraId="2EAE2C56" w14:textId="77777777" w:rsidR="004B2808" w:rsidRDefault="00000000">
      <w:r>
        <w:rPr>
          <w:b/>
        </w:rPr>
        <w:t xml:space="preserve">***OPTION 1 </w:t>
      </w:r>
      <w:r>
        <w:t>(par défaut) </w:t>
      </w:r>
      <w:r>
        <w:rPr>
          <w:b/>
        </w:rPr>
        <w:t xml:space="preserve">: </w:t>
      </w:r>
      <w:r>
        <w:rPr>
          <w:u w:val="single"/>
        </w:rPr>
        <w:t xml:space="preserve">sur un support stable </w:t>
      </w:r>
      <w:r>
        <w:t>(briques, blocs de béton lourd, moellons) : mortier bâtard composé de 250 kg de ciment et 150 kg de chaux par m3 de sable moyen (masse volumique apparente sèche 1.500 kg/m3). </w:t>
      </w:r>
    </w:p>
    <w:p w14:paraId="6AE7B359" w14:textId="77777777" w:rsidR="004B2808" w:rsidRDefault="00000000">
      <w:r>
        <w:rPr>
          <w:b/>
        </w:rPr>
        <w:t>***OPTION 2:</w:t>
      </w:r>
      <w:r>
        <w:rPr>
          <w:u w:val="single"/>
        </w:rPr>
        <w:t>sur un support moins stable</w:t>
      </w:r>
      <w:r>
        <w:t xml:space="preserve"> (blocs de béton légers) : mortier bâtard composé de 175 kg de ciment et 125 kg de chaux par m3 de sable moyen (masse volumique apparente sèche 1.500 kg/m3).</w:t>
      </w:r>
    </w:p>
    <w:p w14:paraId="55D84631" w14:textId="77777777" w:rsidR="004B2808" w:rsidRDefault="00000000">
      <w:r>
        <w:rPr>
          <w:b/>
        </w:rPr>
        <w:t>***OPTION 3:</w:t>
      </w:r>
      <w:r>
        <w:t xml:space="preserve">  lorsqu'une </w:t>
      </w:r>
      <w:r>
        <w:rPr>
          <w:u w:val="single"/>
        </w:rPr>
        <w:t>composition hydrofuge</w:t>
      </w:r>
      <w:r>
        <w:t xml:space="preserve"> est exigée : mortier de ciment hydrofuge sans chaux (400 kg de ciment par m3 de mortier, soit 1 part de ciment pour 3 parts de sable). On ajoute un produit hydrofuge qui ne risque pas de réduire les propriétés de résistance du mortier et qui est exempt de matières organiques et d'huiles. Le produit est préalablement soumis à l'auteur de projet. Comme liant, on peut utiliser, soit du ciment de la classe de résistance 32,5 et de la chaux de construction, soit de la chaux grasse, soit de la chaux hydraulique synthétique XHA. Conformément aux [NBN EN 12620+A1] et [NBN EN 13139], le sable a une masse volumique apparente sèche de 1.350 à 1.500 kg/m3 et un module de finesse ASTM compris entre 1,7 et 3,4 selon la [NBN EN 13242+A1] - Pierres concassées et graviers - Analyse granulométrique (1978).</w:t>
      </w:r>
    </w:p>
    <w:p w14:paraId="6509BAC3" w14:textId="77777777" w:rsidR="004B2808" w:rsidRDefault="00000000">
      <w:pPr>
        <w:pStyle w:val="heading"/>
      </w:pPr>
      <w:r>
        <w:t>Spécifications</w:t>
      </w:r>
    </w:p>
    <w:p w14:paraId="414EB96F" w14:textId="77777777" w:rsidR="004B2808" w:rsidRDefault="00000000">
      <w:r>
        <w:t xml:space="preserve">Mode d'exécution : </w:t>
      </w:r>
      <w:r>
        <w:rPr>
          <w:rStyle w:val="optioncarChar"/>
        </w:rPr>
        <w:t xml:space="preserve">en une seule couche </w:t>
      </w:r>
      <w:r>
        <w:t>(par défaut) </w:t>
      </w:r>
      <w:r>
        <w:rPr>
          <w:rStyle w:val="optioncarChar"/>
        </w:rPr>
        <w:t>/ en deux couches /***</w:t>
      </w:r>
    </w:p>
    <w:p w14:paraId="042CB510" w14:textId="77777777" w:rsidR="004B2808" w:rsidRDefault="00000000">
      <w:r>
        <w:t xml:space="preserve">Epaisseur totale moyenne des couches de mortier : </w:t>
      </w:r>
      <w:r>
        <w:rPr>
          <w:rStyle w:val="optioncarChar"/>
        </w:rPr>
        <w:t>15 </w:t>
      </w:r>
      <w:r>
        <w:t>(par défaut)</w:t>
      </w:r>
      <w:r>
        <w:rPr>
          <w:rStyle w:val="optioncarChar"/>
        </w:rPr>
        <w:t xml:space="preserve"> / 20 / 25 / 30 / ***</w:t>
      </w:r>
      <w:r>
        <w:t xml:space="preserve"> mm</w:t>
      </w:r>
    </w:p>
    <w:p w14:paraId="422AE334" w14:textId="77777777" w:rsidR="004B2808" w:rsidRDefault="00000000">
      <w:r>
        <w:t xml:space="preserve">Recouvrement des treillis de consolidation :au moins </w:t>
      </w:r>
      <w:r>
        <w:rPr>
          <w:rStyle w:val="optioncarChar"/>
        </w:rPr>
        <w:t xml:space="preserve">10 </w:t>
      </w:r>
      <w:r>
        <w:t>(par défaut) </w:t>
      </w:r>
      <w:r>
        <w:rPr>
          <w:rStyle w:val="optioncarChar"/>
        </w:rPr>
        <w:t>/ 20 / ***</w:t>
      </w:r>
      <w:r>
        <w:t xml:space="preserve"> mm.</w:t>
      </w:r>
    </w:p>
    <w:p w14:paraId="025B2B2B" w14:textId="77777777" w:rsidR="004B2808" w:rsidRDefault="00000000">
      <w:r>
        <w:t xml:space="preserve">Parachèvement de la couche de finition : </w:t>
      </w:r>
      <w:r>
        <w:rPr>
          <w:rStyle w:val="optioncarChar"/>
        </w:rPr>
        <w:t>lisse </w:t>
      </w:r>
      <w:r>
        <w:t>(par défaut)</w:t>
      </w:r>
      <w:r>
        <w:rPr>
          <w:rStyle w:val="optioncarChar"/>
        </w:rPr>
        <w:t xml:space="preserve"> / gratté / structure tyrolienne / structure Travertin / ***</w:t>
      </w:r>
    </w:p>
    <w:p w14:paraId="7E93CBF6" w14:textId="77777777" w:rsidR="004B2808" w:rsidRDefault="00000000">
      <w:r>
        <w:t xml:space="preserve">Degré de finition requis : </w:t>
      </w:r>
      <w:r>
        <w:rPr>
          <w:rStyle w:val="optioncarChar"/>
        </w:rPr>
        <w:t>rugueux </w:t>
      </w:r>
      <w:r>
        <w:t>(par défaut)</w:t>
      </w:r>
      <w:r>
        <w:rPr>
          <w:rStyle w:val="optioncarChar"/>
        </w:rPr>
        <w:t xml:space="preserve"> / normal / spécial / ***</w:t>
      </w:r>
    </w:p>
    <w:p w14:paraId="0704972E" w14:textId="77777777" w:rsidR="004B2808" w:rsidRDefault="00000000">
      <w:r>
        <w:rPr>
          <w:b/>
        </w:rPr>
        <w:t>Selon la Décision du 4 octobre 1996 (96/603/CE) et les conditions qui y sont reprises, le mortier de ciment appartient à la classe de réaction au feu A1.</w:t>
      </w:r>
    </w:p>
    <w:p w14:paraId="56287F06" w14:textId="77777777" w:rsidR="004B2808" w:rsidRDefault="00000000">
      <w:pPr>
        <w:pStyle w:val="pheading"/>
      </w:pPr>
      <w:r>
        <w:t>- Finitions</w:t>
      </w:r>
    </w:p>
    <w:p w14:paraId="6A9DF5AC" w14:textId="77777777" w:rsidR="004B2808" w:rsidRDefault="00000000">
      <w:r>
        <w:lastRenderedPageBreak/>
        <w:t xml:space="preserve">Degré de finition requis : </w:t>
      </w:r>
      <w:r>
        <w:rPr>
          <w:rStyle w:val="optioncarChar"/>
        </w:rPr>
        <w:t>rugueux </w:t>
      </w:r>
      <w:r>
        <w:t>(par défaut)</w:t>
      </w:r>
      <w:r>
        <w:rPr>
          <w:rStyle w:val="optioncarChar"/>
        </w:rPr>
        <w:t xml:space="preserve"> / normal / spécial / ***</w:t>
      </w:r>
    </w:p>
    <w:p w14:paraId="48E6C849" w14:textId="77777777" w:rsidR="004B2808" w:rsidRDefault="00000000">
      <w:pPr>
        <w:pStyle w:val="pheading"/>
      </w:pPr>
      <w:r>
        <w:t>- Prescriptions complémentaires</w:t>
      </w:r>
    </w:p>
    <w:p w14:paraId="589E7B93" w14:textId="77777777" w:rsidR="004B2808" w:rsidRDefault="00000000">
      <w:pPr>
        <w:pStyle w:val="facult"/>
      </w:pPr>
      <w:r>
        <w:t>Une couche de finition est également appliquée, uniquement pour une finition lisse prête à peindre ou lorsque le plafonnage doit lui-même avoir une structure décorative. Cette couche de finition a la même composition que la couche de fond, mais contient du sable plus fin (masse volumique apparente sèche 1.350 kg/m3).</w:t>
      </w:r>
    </w:p>
    <w:p w14:paraId="52F79530" w14:textId="77777777" w:rsidR="004B2808" w:rsidRDefault="00000000">
      <w:r>
        <w:rPr>
          <w:u w:val="single"/>
        </w:rPr>
        <w:t>Note à l'attention de l'auteur de projet</w:t>
      </w:r>
    </w:p>
    <w:p w14:paraId="7F2323A8" w14:textId="77777777" w:rsidR="004B2808" w:rsidRDefault="00000000">
      <w:r>
        <w:t>- Les mortiers liés au ciment ne sont pas admis sur les supports contenant du plâtre ou de la chaux hydratée et ne peuvent pas être mélangés au plâtre car il y a risque de formation de sels expansifs.</w:t>
      </w:r>
    </w:p>
    <w:p w14:paraId="021BE057" w14:textId="77777777" w:rsidR="004B2808" w:rsidRDefault="00000000">
      <w:r>
        <w:t>- Pour les supports en béton cellulaire, en briques silico-calcaires et en panneaux de ciment de laine de bois, les indications du fabricant en ce qui concerne la composition du mortier des matériaux constituant le support sont respectées.</w:t>
      </w:r>
    </w:p>
    <w:p w14:paraId="027A2A46" w14:textId="77777777" w:rsidR="004B2808" w:rsidRDefault="00000000">
      <w:pPr>
        <w:pStyle w:val="pheading"/>
      </w:pPr>
      <w:r>
        <w:t>EXÉCUTION / MISE EN ŒUVRE</w:t>
      </w:r>
    </w:p>
    <w:p w14:paraId="23B4698B" w14:textId="77777777" w:rsidR="004B2808" w:rsidRDefault="00000000">
      <w:pPr>
        <w:pStyle w:val="pheading"/>
      </w:pPr>
      <w:r>
        <w:t>- Prescriptions générales</w:t>
      </w:r>
    </w:p>
    <w:p w14:paraId="5B41C71E" w14:textId="77777777" w:rsidR="004B2808" w:rsidRDefault="00000000">
      <w:r>
        <w:t xml:space="preserve">Choix opéré: </w:t>
      </w:r>
      <w:r>
        <w:rPr>
          <w:rStyle w:val="optioncarChar"/>
        </w:rPr>
        <w:t>OPTION 1 (mortier prêt à l'emploi) / OPTION 2 (mortiers préparés sur chantier)</w:t>
      </w:r>
    </w:p>
    <w:p w14:paraId="0580A2FE" w14:textId="77777777" w:rsidR="004B2808" w:rsidRDefault="00000000">
      <w:r>
        <w:rPr>
          <w:b/>
        </w:rPr>
        <w:t>***OPTION 1:</w:t>
      </w:r>
      <w:r>
        <w:t xml:space="preserve"> Les mortiers prêts à l'emploi doivent être mis en œuvre rapidement. Les mélanges prédosés secs sont mélangés mécaniquement avec la quantité d'eau de gâchage indiquée par le fabricant. L'application du mortier prédosé s'effectue en une ou deux couches, selon les indications spécifiques du fabricant et ne nécessite, en principe, pas l'humidification préalable du support ni le traitement a posteriori contre un séchage trop rapide. Le mortier est appliqué en une ou plusieurs couches de maximum 10 mm frais-à-frais, il est immédiatement égalisé et bien serré à la truelle dès que le mortier aura bien "tiré".</w:t>
      </w:r>
    </w:p>
    <w:p w14:paraId="32F99CA0" w14:textId="77777777" w:rsidR="004B2808" w:rsidRDefault="00000000">
      <w:r>
        <w:br/>
      </w:r>
      <w:r>
        <w:rPr>
          <w:rStyle w:val="facultChar"/>
        </w:rPr>
        <w:t>Options Lorsqu'une couche de finition supplémentaire est prévue, celle-ci est appliquée après environ une demi-heure sur une épaisseur de 3 à 4 mm et, après le compactage, la structure prescrite y est réalisée.</w:t>
      </w:r>
    </w:p>
    <w:p w14:paraId="2CFA825D" w14:textId="77777777" w:rsidR="004B2808" w:rsidRDefault="00000000">
      <w:r>
        <w:rPr>
          <w:b/>
        </w:rPr>
        <w:t>***OPTION 2:</w:t>
      </w:r>
      <w:r>
        <w:rPr>
          <w:u w:val="single"/>
        </w:rPr>
        <w:t xml:space="preserve">Les mortiers préparés sur le chantier </w:t>
      </w:r>
      <w:r>
        <w:t>sont mélangés mécaniquement.  Le support est humidifié à saturation avant de projeter le mortier d'adhérence fluide sur une épaisseur de 1 à 2 mm à l'aide d'une truelle. Lorsque cette couche a suffisamment durci (au minimum pendant 3 jours), elle est humidifiée et la couche de fond est appliquée sur une épaisseur de 7 à 10 mm, soit à la spatule, soit par projection mécanique ou pneumatique. Lorsque la couche totale prescrite dépasse 10 mm d'épaisseur, la mise en œuvre est réalisée en plusieurs couches de maximum 10 mm. Après environ une heure, l'enduit est bien serré et la structure demandée y sera réalisée.</w:t>
      </w:r>
    </w:p>
    <w:p w14:paraId="2167F444" w14:textId="77777777" w:rsidR="004B2808" w:rsidRDefault="00000000">
      <w:pPr>
        <w:pStyle w:val="soit"/>
      </w:pPr>
      <w:r>
        <w:br/>
      </w:r>
      <w:r>
        <w:rPr>
          <w:rStyle w:val="facultChar"/>
        </w:rPr>
        <w:t>Options Lorsqu'une couche supplémentaire est prévue, la présente couche d'enduit est rayée afin d'améliorer l'adhérence de la couche de finition. Lorsque la couche de fond a suffisamment durci (au minimum après 8 jours), elle est humidifiée et la couche de finition de 3 à 4 mm est appliquée, bien serrée et achevée conformément à l'aspect prescrit.</w:t>
      </w:r>
    </w:p>
    <w:p w14:paraId="2C129D4F" w14:textId="77777777" w:rsidR="004B2808" w:rsidRDefault="00000000">
      <w:pPr>
        <w:pStyle w:val="pheading"/>
      </w:pPr>
      <w:r>
        <w:t>- Notes d’exécution complémentaires</w:t>
      </w:r>
    </w:p>
    <w:p w14:paraId="6129B9E9" w14:textId="77777777" w:rsidR="004B2808" w:rsidRDefault="00000000">
      <w:r>
        <w:t xml:space="preserve">Des profils de finition en forme de U doivent être prévus aux endroits d'interruption du plafonnage, dans les cas suivants : </w:t>
      </w:r>
      <w:r>
        <w:rPr>
          <w:rStyle w:val="optioncarChar"/>
        </w:rPr>
        <w:t xml:space="preserve">joints de tassement </w:t>
      </w:r>
      <w:r>
        <w:t>(par défaut) </w:t>
      </w:r>
      <w:r>
        <w:rPr>
          <w:rStyle w:val="optioncarChar"/>
        </w:rPr>
        <w:t>/ joints de dilatation / jonction avec le parement intérieur / jonction avec les châssis / arrêt du plafonnage en hauteur / ***</w:t>
      </w:r>
      <w:r>
        <w:t xml:space="preserve"> . Le type et le mode de fixation sont soumis à l'approbation de l'auteur de projet.</w:t>
      </w:r>
    </w:p>
    <w:p w14:paraId="18CE1429" w14:textId="77777777" w:rsidR="004B2808" w:rsidRDefault="00000000">
      <w:r>
        <w:t xml:space="preserve">Les surfaces sont parfaitement planes mais la finition est rugueuse afin de faciliter l'adhérence des carrelages prévus à l'article </w:t>
      </w:r>
      <w:r>
        <w:rPr>
          <w:rStyle w:val="optioncarChar"/>
        </w:rPr>
        <w:t>***</w:t>
      </w:r>
    </w:p>
    <w:p w14:paraId="34E82DAE" w14:textId="77777777" w:rsidR="004B2808" w:rsidRDefault="00000000">
      <w:pPr>
        <w:pStyle w:val="pheading"/>
      </w:pPr>
      <w:r>
        <w:t>MESURAGE</w:t>
      </w:r>
    </w:p>
    <w:p w14:paraId="4A2D3C4F" w14:textId="77777777" w:rsidR="004B2808" w:rsidRDefault="00000000">
      <w:r>
        <w:t>Conformément aux indications spécifiques dans le cahier spécial des charges et/ou le métré récapitulatif, le mesurage doit être conçu comme suit :</w:t>
      </w:r>
    </w:p>
    <w:p w14:paraId="446F8335" w14:textId="77777777" w:rsidR="004B2808" w:rsidRDefault="00000000">
      <w:pPr>
        <w:pStyle w:val="pheading"/>
      </w:pPr>
      <w:r>
        <w:lastRenderedPageBreak/>
        <w:t>- unité de mesure:</w:t>
      </w:r>
    </w:p>
    <w:p w14:paraId="0509604C" w14:textId="77777777" w:rsidR="004B2808" w:rsidRDefault="00000000">
      <w:r>
        <w:rPr>
          <w:rStyle w:val="optioncarChar"/>
        </w:rPr>
        <w:t>m²</w:t>
      </w:r>
      <w:r>
        <w:t>(par défaut)</w:t>
      </w:r>
      <w:r>
        <w:rPr>
          <w:rStyle w:val="soitChar"/>
        </w:rPr>
        <w:t xml:space="preserve">  </w:t>
      </w:r>
      <w:r>
        <w:rPr>
          <w:rStyle w:val="optioncarChar"/>
        </w:rPr>
        <w:t xml:space="preserve">/ m </w:t>
      </w:r>
    </w:p>
    <w:p w14:paraId="53C0077E" w14:textId="77777777" w:rsidR="004B2808" w:rsidRDefault="00000000">
      <w:pPr>
        <w:pStyle w:val="pheading"/>
      </w:pPr>
      <w:r>
        <w:t>- code de mesurage:</w:t>
      </w:r>
    </w:p>
    <w:p w14:paraId="08EC5C58" w14:textId="77777777" w:rsidR="004B2808" w:rsidRDefault="00000000">
      <w:r>
        <w:t>Choix opéré :</w:t>
      </w:r>
      <w:r>
        <w:rPr>
          <w:rStyle w:val="optioncarChar"/>
        </w:rPr>
        <w:t xml:space="preserve"> OPTION 1 ( par défaut) /OPTION 2 / OPTION 3</w:t>
      </w:r>
    </w:p>
    <w:p w14:paraId="6E9F6133" w14:textId="77777777" w:rsidR="004B2808" w:rsidRDefault="00000000">
      <w:r>
        <w:rPr>
          <w:b/>
        </w:rPr>
        <w:t>***OPTION 1: </w:t>
      </w:r>
    </w:p>
    <w:p w14:paraId="7360DB6F" w14:textId="77777777" w:rsidR="004B2808" w:rsidRDefault="00000000">
      <w:pPr>
        <w:pStyle w:val="Author-eListParagraph"/>
        <w:numPr>
          <w:ilvl w:val="0"/>
          <w:numId w:val="255"/>
        </w:numPr>
      </w:pPr>
      <w:r>
        <w:t> </w:t>
      </w:r>
      <w:r>
        <w:rPr>
          <w:u w:val="single"/>
        </w:rPr>
        <w:t xml:space="preserve">murs : </w:t>
      </w:r>
      <w:r>
        <w:t>toutes les baies de fenêtres et portes extérieures qui doivent être enduites sont comptées pleines, en compensation du plafonnage des ébrasements sur les côtés et en linteau; par contre, les baies dont les ébrasements ne doivent pas être enduits et dont la superficie est supérieure à 0,5 m2, sont déduites (par ex. les portes intérieures où un encadrement est prévu ou les portes et fenêtres qui sont habillées de panneaux de revêtement).</w:t>
      </w:r>
    </w:p>
    <w:p w14:paraId="65CF1F8B" w14:textId="77777777" w:rsidR="004B2808" w:rsidRDefault="00000000">
      <w:pPr>
        <w:pStyle w:val="Author-eListParagraph"/>
        <w:numPr>
          <w:ilvl w:val="0"/>
          <w:numId w:val="255"/>
        </w:numPr>
      </w:pPr>
      <w:r>
        <w:t>Les travaux de plafonnage ne feront pas l'objet de décomptes.</w:t>
      </w:r>
    </w:p>
    <w:p w14:paraId="55F9F8D4" w14:textId="77777777" w:rsidR="004B2808" w:rsidRDefault="00000000">
      <w:r>
        <w:rPr>
          <w:b/>
        </w:rPr>
        <w:t>***OPTION 2:</w:t>
      </w:r>
    </w:p>
    <w:p w14:paraId="71CBB4FB" w14:textId="77777777" w:rsidR="004B2808" w:rsidRDefault="00000000">
      <w:pPr>
        <w:pStyle w:val="Author-eListParagraph"/>
        <w:numPr>
          <w:ilvl w:val="0"/>
          <w:numId w:val="256"/>
        </w:numPr>
      </w:pPr>
      <w:r>
        <w:rPr>
          <w:u w:val="single"/>
        </w:rPr>
        <w:t>parois verticales :</w:t>
      </w:r>
      <w:r>
        <w:t xml:space="preserve"> surface nette, toutes les réservations supérieures à 0,5 m2 sont déduites. Les ébrasements et les moulures dont la largeur est inférieure à 30 cm sont comptés séparément, longueur nette, le cas échéant ventilé selon les différentes épaisseurs de murs.</w:t>
      </w:r>
    </w:p>
    <w:p w14:paraId="2EEAE477" w14:textId="77777777" w:rsidR="004B2808" w:rsidRDefault="00000000">
      <w:pPr>
        <w:pStyle w:val="Author-eListParagraph"/>
        <w:numPr>
          <w:ilvl w:val="0"/>
          <w:numId w:val="256"/>
        </w:numPr>
      </w:pPr>
      <w:r>
        <w:t>Les travaux de plafonnage ne font pas l'objet de décomptes.</w:t>
      </w:r>
    </w:p>
    <w:p w14:paraId="044B76A3" w14:textId="77777777" w:rsidR="004B2808" w:rsidRDefault="00000000">
      <w:r>
        <w:rPr>
          <w:b/>
        </w:rPr>
        <w:t>***OPTION 3:</w:t>
      </w:r>
    </w:p>
    <w:p w14:paraId="5E12F0AD" w14:textId="77777777" w:rsidR="004B2808" w:rsidRDefault="00000000">
      <w:pPr>
        <w:pStyle w:val="Author-eListParagraph"/>
        <w:numPr>
          <w:ilvl w:val="0"/>
          <w:numId w:val="257"/>
        </w:numPr>
      </w:pPr>
      <w:r>
        <w:t>pour les ébrasements et les moulures</w:t>
      </w:r>
    </w:p>
    <w:p w14:paraId="17A81629" w14:textId="77777777" w:rsidR="004B2808" w:rsidRDefault="00000000">
      <w:pPr>
        <w:pStyle w:val="Author-eListParagraph"/>
        <w:numPr>
          <w:ilvl w:val="0"/>
          <w:numId w:val="257"/>
        </w:numPr>
      </w:pPr>
      <w:r>
        <w:t>Les travaux de plafonnage ne font pas l'objet de décomptes.</w:t>
      </w:r>
    </w:p>
    <w:p w14:paraId="2666D94B" w14:textId="77777777" w:rsidR="004B2808" w:rsidRDefault="00000000">
      <w:pPr>
        <w:pStyle w:val="pheading"/>
      </w:pPr>
      <w:r>
        <w:t>- nature du marché:</w:t>
      </w:r>
    </w:p>
    <w:p w14:paraId="52AAE724" w14:textId="77777777" w:rsidR="004B2808" w:rsidRDefault="00000000">
      <w:r>
        <w:t>QF</w:t>
      </w:r>
    </w:p>
    <w:p w14:paraId="01722234" w14:textId="77777777" w:rsidR="004B2808" w:rsidRDefault="00000000">
      <w:pPr>
        <w:pStyle w:val="Author-eSectionHeading6Numberless"/>
      </w:pPr>
      <w:bookmarkStart w:id="191" w:name="_Toc220490386"/>
      <w:r>
        <w:t>51.55.1b Enduit au ciment avec couche de finition CCTB 01.02</w:t>
      </w:r>
      <w:bookmarkEnd w:id="191"/>
    </w:p>
    <w:p w14:paraId="1296DB5E" w14:textId="77777777" w:rsidR="004B2808" w:rsidRDefault="00000000">
      <w:pPr>
        <w:pStyle w:val="Author-eSectionHeading5Numberless"/>
      </w:pPr>
      <w:bookmarkStart w:id="192" w:name="_Toc220490387"/>
      <w:r>
        <w:t>51.55.2 Enduit à la chaux hydraulique CCTB 01.02</w:t>
      </w:r>
      <w:bookmarkEnd w:id="192"/>
    </w:p>
    <w:p w14:paraId="406A5AA6" w14:textId="77777777" w:rsidR="004B2808" w:rsidRDefault="00000000">
      <w:pPr>
        <w:pStyle w:val="Author-eSectionHeading6Numberless"/>
      </w:pPr>
      <w:bookmarkStart w:id="193" w:name="_Toc220490388"/>
      <w:r>
        <w:t>51.55.2a Enduit à la chaux hydraulique CCTB 01.12</w:t>
      </w:r>
      <w:bookmarkEnd w:id="193"/>
    </w:p>
    <w:p w14:paraId="4B246BCE" w14:textId="77777777" w:rsidR="004B2808" w:rsidRDefault="00000000">
      <w:pPr>
        <w:pStyle w:val="pheading"/>
      </w:pPr>
      <w:r>
        <w:t>DESCRIPTION</w:t>
      </w:r>
    </w:p>
    <w:p w14:paraId="4F48A9BB" w14:textId="77777777" w:rsidR="004B2808" w:rsidRDefault="00000000">
      <w:pPr>
        <w:pStyle w:val="pheading"/>
      </w:pPr>
      <w:r>
        <w:t>- Définition / Comprend</w:t>
      </w:r>
    </w:p>
    <w:p w14:paraId="31A45A5A" w14:textId="77777777" w:rsidR="004B2808" w:rsidRDefault="00000000">
      <w:pPr>
        <w:jc w:val="both"/>
      </w:pPr>
      <w:r>
        <w:t>Il s'agit de la fourniture et de la pose d’un enduit intérieur à la chaux hydraulique sur des parois verticales.</w:t>
      </w:r>
    </w:p>
    <w:p w14:paraId="092B0C5C" w14:textId="77777777" w:rsidR="004B2808" w:rsidRDefault="00000000">
      <w:pPr>
        <w:jc w:val="both"/>
      </w:pPr>
      <w:r>
        <w:t>Le travail comprend notamment :</w:t>
      </w:r>
    </w:p>
    <w:p w14:paraId="5385DAD8" w14:textId="77777777" w:rsidR="004B2808" w:rsidRDefault="00000000">
      <w:pPr>
        <w:pStyle w:val="Author-eListParagraph"/>
        <w:numPr>
          <w:ilvl w:val="0"/>
          <w:numId w:val="258"/>
        </w:numPr>
        <w:jc w:val="both"/>
      </w:pPr>
      <w:r>
        <w:t>La préparation et nettoyage des supports sur lesquels l’enduit va être posé.</w:t>
      </w:r>
    </w:p>
    <w:p w14:paraId="51297DDD" w14:textId="77777777" w:rsidR="004B2808" w:rsidRDefault="00000000">
      <w:pPr>
        <w:pStyle w:val="Author-eListParagraph"/>
        <w:numPr>
          <w:ilvl w:val="0"/>
          <w:numId w:val="258"/>
        </w:numPr>
        <w:jc w:val="both"/>
      </w:pPr>
      <w:r>
        <w:t>L’application de la couche d’accrochage, si nécessaire pour le support prévu</w:t>
      </w:r>
    </w:p>
    <w:p w14:paraId="3FCE689E" w14:textId="77777777" w:rsidR="004B2808" w:rsidRDefault="00000000">
      <w:pPr>
        <w:pStyle w:val="Author-eListParagraph"/>
        <w:numPr>
          <w:ilvl w:val="0"/>
          <w:numId w:val="258"/>
        </w:numPr>
        <w:jc w:val="both"/>
      </w:pPr>
      <w:r>
        <w:t>La fourniture et la pose des treillis de renforcement prévus, par exemple au droit du raccord entre deux supports de nature différente.</w:t>
      </w:r>
    </w:p>
    <w:p w14:paraId="6C904D5D" w14:textId="77777777" w:rsidR="004B2808" w:rsidRDefault="00000000">
      <w:pPr>
        <w:pStyle w:val="Author-eListParagraph"/>
        <w:numPr>
          <w:ilvl w:val="0"/>
          <w:numId w:val="258"/>
        </w:numPr>
        <w:jc w:val="both"/>
      </w:pPr>
      <w:r>
        <w:t>La fourniture et la mise en œuvre des profilés d’angle et/ou d’arrêts.</w:t>
      </w:r>
    </w:p>
    <w:p w14:paraId="76F4CC10" w14:textId="77777777" w:rsidR="004B2808" w:rsidRDefault="00000000">
      <w:pPr>
        <w:pStyle w:val="Author-eListParagraph"/>
        <w:numPr>
          <w:ilvl w:val="0"/>
          <w:numId w:val="258"/>
        </w:numPr>
        <w:jc w:val="both"/>
      </w:pPr>
      <w:r>
        <w:t>L’application des différentes couches de l’enduit, toutes fournitures comprises</w:t>
      </w:r>
    </w:p>
    <w:p w14:paraId="28457594" w14:textId="77777777" w:rsidR="004B2808" w:rsidRDefault="00000000">
      <w:pPr>
        <w:pStyle w:val="Author-eListParagraph"/>
        <w:numPr>
          <w:ilvl w:val="0"/>
          <w:numId w:val="258"/>
        </w:numPr>
        <w:jc w:val="both"/>
      </w:pPr>
      <w:r>
        <w:t>La protection de la menuiserie en place ainsi que du vitrage éventuel</w:t>
      </w:r>
    </w:p>
    <w:p w14:paraId="0BBC7AAC" w14:textId="77777777" w:rsidR="004B2808" w:rsidRDefault="00000000">
      <w:pPr>
        <w:pStyle w:val="Author-eListParagraph"/>
        <w:numPr>
          <w:ilvl w:val="0"/>
          <w:numId w:val="258"/>
        </w:numPr>
        <w:jc w:val="both"/>
      </w:pPr>
      <w:r>
        <w:t>Le parachèvement de l’enduit juste au-dessus des barrières anticapillaires ou l’application de l’enduit jusqu’aux éléments de jonctions de l’étanchéité à l’air du bâtiment sauf mention contraire dans le cahier des charges.</w:t>
      </w:r>
    </w:p>
    <w:p w14:paraId="58BACC09" w14:textId="77777777" w:rsidR="004B2808" w:rsidRDefault="00000000">
      <w:pPr>
        <w:pStyle w:val="Author-eListParagraph"/>
        <w:numPr>
          <w:ilvl w:val="0"/>
          <w:numId w:val="258"/>
        </w:numPr>
        <w:jc w:val="both"/>
      </w:pPr>
      <w:r>
        <w:t>Le déblayage des déchets produits par lui, le nettoyage et/ou la protection de l’espace de travail</w:t>
      </w:r>
    </w:p>
    <w:p w14:paraId="11324DEA" w14:textId="77777777" w:rsidR="004B2808" w:rsidRDefault="00000000">
      <w:pPr>
        <w:pStyle w:val="pheading"/>
      </w:pPr>
      <w:r>
        <w:t>- Localisation</w:t>
      </w:r>
    </w:p>
    <w:p w14:paraId="51E3B8EA" w14:textId="77777777" w:rsidR="004B2808" w:rsidRDefault="00000000">
      <w:r>
        <w:t xml:space="preserve">La pose est réalisée aux endroits suivants : </w:t>
      </w:r>
      <w:r>
        <w:rPr>
          <w:rStyle w:val="optioncarChar"/>
        </w:rPr>
        <w:t>***</w:t>
      </w:r>
      <w:r>
        <w:t>.</w:t>
      </w:r>
    </w:p>
    <w:p w14:paraId="2839B79C" w14:textId="77777777" w:rsidR="004B2808" w:rsidRDefault="00000000">
      <w:r>
        <w:lastRenderedPageBreak/>
        <w:t>Voir plans et métrés détaillés.</w:t>
      </w:r>
    </w:p>
    <w:p w14:paraId="4945A3E7" w14:textId="77777777" w:rsidR="004B2808" w:rsidRDefault="00000000">
      <w:pPr>
        <w:pStyle w:val="pheading"/>
      </w:pPr>
      <w:r>
        <w:t>MATÉRIAUX</w:t>
      </w:r>
    </w:p>
    <w:p w14:paraId="0FADB2A8" w14:textId="77777777" w:rsidR="004B2808" w:rsidRDefault="00000000">
      <w:pPr>
        <w:pStyle w:val="pheading"/>
      </w:pPr>
      <w:r>
        <w:t>- Caractéristiques générales</w:t>
      </w:r>
    </w:p>
    <w:p w14:paraId="15AB936D" w14:textId="77777777" w:rsidR="004B2808" w:rsidRDefault="00000000">
      <w:pPr>
        <w:jc w:val="both"/>
      </w:pPr>
      <w:r>
        <w:t xml:space="preserve">L'enduit au mortier à la chaux se compose </w:t>
      </w:r>
      <w:r>
        <w:rPr>
          <w:rStyle w:val="optioncarChar"/>
        </w:rPr>
        <w:t>d'un mortier prédosé et mélangé conforme à la [NBN EN 998-1]</w:t>
      </w:r>
      <w:r>
        <w:t> (par défaut)</w:t>
      </w:r>
      <w:r>
        <w:rPr>
          <w:rStyle w:val="optioncarChar"/>
        </w:rPr>
        <w:t xml:space="preserve"> / d'un mortier préparé sur le chantier</w:t>
      </w:r>
      <w:r>
        <w:t>.</w:t>
      </w:r>
    </w:p>
    <w:p w14:paraId="72437F82" w14:textId="77777777" w:rsidR="004B2808" w:rsidRDefault="00000000">
      <w:pPr>
        <w:ind w:left="567"/>
        <w:jc w:val="both"/>
      </w:pPr>
      <w:r>
        <w:rPr>
          <w:b/>
          <w:i/>
        </w:rPr>
        <w:t>(Soit par défaut)</w:t>
      </w:r>
    </w:p>
    <w:p w14:paraId="227F7FEF" w14:textId="77777777" w:rsidR="004B2808" w:rsidRDefault="00000000">
      <w:pPr>
        <w:ind w:left="567"/>
        <w:jc w:val="both"/>
      </w:pPr>
      <w:r>
        <w:rPr>
          <w:rStyle w:val="soitChar"/>
          <w:b/>
          <w:u w:val="single"/>
        </w:rPr>
        <w:t>Mortier à la chaux hydraulique prédosé et mélangé</w:t>
      </w:r>
    </w:p>
    <w:p w14:paraId="105BC846" w14:textId="77777777" w:rsidR="004B2808" w:rsidRDefault="00000000">
      <w:pPr>
        <w:ind w:left="567"/>
        <w:jc w:val="both"/>
      </w:pPr>
      <w:r>
        <w:rPr>
          <w:rStyle w:val="soitChar"/>
        </w:rPr>
        <w:t>Les enduits sont composés de chaux</w:t>
      </w:r>
      <w:r>
        <w:rPr>
          <w:rStyle w:val="optioncarChar"/>
        </w:rPr>
        <w:t xml:space="preserve"> NHL </w:t>
      </w:r>
      <w:r>
        <w:t>(par défaut)</w:t>
      </w:r>
      <w:r>
        <w:rPr>
          <w:rStyle w:val="optioncarChar"/>
        </w:rPr>
        <w:t xml:space="preserve"> / HL / FL</w:t>
      </w:r>
      <w:r>
        <w:rPr>
          <w:rStyle w:val="soitChar"/>
        </w:rPr>
        <w:t xml:space="preserve"> et d’une charge de sable de rivière.</w:t>
      </w:r>
    </w:p>
    <w:p w14:paraId="2C1ECDBE" w14:textId="77777777" w:rsidR="004B2808" w:rsidRDefault="00000000">
      <w:pPr>
        <w:ind w:left="567"/>
        <w:jc w:val="both"/>
      </w:pPr>
      <w:r>
        <w:rPr>
          <w:rStyle w:val="soitChar"/>
        </w:rPr>
        <w:t>La résistance à la compression de la chaux hydraulique est de</w:t>
      </w:r>
      <w:r>
        <w:rPr>
          <w:rStyle w:val="optioncarChar"/>
        </w:rPr>
        <w:t xml:space="preserve"> 2 / 3.5 </w:t>
      </w:r>
      <w:r>
        <w:t>(par défaut)</w:t>
      </w:r>
      <w:r>
        <w:rPr>
          <w:rStyle w:val="optioncarChar"/>
        </w:rPr>
        <w:t xml:space="preserve"> / 5</w:t>
      </w:r>
      <w:r>
        <w:rPr>
          <w:rStyle w:val="soitChar"/>
        </w:rPr>
        <w:t xml:space="preserve"> MPa.</w:t>
      </w:r>
    </w:p>
    <w:p w14:paraId="34C7C139" w14:textId="77777777" w:rsidR="004B2808" w:rsidRDefault="00000000">
      <w:pPr>
        <w:ind w:left="567"/>
        <w:jc w:val="both"/>
      </w:pPr>
      <w:r>
        <w:rPr>
          <w:rStyle w:val="soitChar"/>
        </w:rPr>
        <w:t>La chaux doit être conforme à la norme Européenne [NBN EN 459-1]. </w:t>
      </w:r>
    </w:p>
    <w:p w14:paraId="6E4C8152" w14:textId="77777777" w:rsidR="004B2808" w:rsidRDefault="004B2808"/>
    <w:p w14:paraId="080A09EC" w14:textId="77777777" w:rsidR="004B2808" w:rsidRDefault="00000000">
      <w:pPr>
        <w:ind w:left="567"/>
        <w:jc w:val="both"/>
      </w:pPr>
      <w:r>
        <w:rPr>
          <w:b/>
          <w:i/>
        </w:rPr>
        <w:t>(Soit)</w:t>
      </w:r>
    </w:p>
    <w:p w14:paraId="042B6234" w14:textId="77777777" w:rsidR="004B2808" w:rsidRDefault="00000000">
      <w:pPr>
        <w:ind w:left="567"/>
        <w:jc w:val="both"/>
      </w:pPr>
      <w:r>
        <w:rPr>
          <w:rStyle w:val="soitChar"/>
          <w:b/>
          <w:u w:val="single"/>
        </w:rPr>
        <w:t>Mortiers à la chaux hydraulique préparés sur chantier</w:t>
      </w:r>
    </w:p>
    <w:p w14:paraId="0F63129A" w14:textId="77777777" w:rsidR="004B2808" w:rsidRDefault="00000000">
      <w:pPr>
        <w:ind w:left="567"/>
        <w:jc w:val="both"/>
      </w:pPr>
      <w:r>
        <w:rPr>
          <w:rStyle w:val="soitChar"/>
        </w:rPr>
        <w:t>Les enduits sont composés de chaux</w:t>
      </w:r>
      <w:r>
        <w:rPr>
          <w:rStyle w:val="optioncarChar"/>
        </w:rPr>
        <w:t xml:space="preserve"> NHL</w:t>
      </w:r>
      <w:r>
        <w:t xml:space="preserve"> (par défaut) </w:t>
      </w:r>
      <w:r>
        <w:rPr>
          <w:rStyle w:val="optioncarChar"/>
        </w:rPr>
        <w:t>/ HL / FL </w:t>
      </w:r>
      <w:r>
        <w:rPr>
          <w:rStyle w:val="soitChar"/>
        </w:rPr>
        <w:t>et d’une charge de sable de rivière.</w:t>
      </w:r>
    </w:p>
    <w:p w14:paraId="66CD49C7" w14:textId="77777777" w:rsidR="004B2808" w:rsidRDefault="00000000">
      <w:pPr>
        <w:ind w:left="567"/>
        <w:jc w:val="both"/>
      </w:pPr>
      <w:r>
        <w:rPr>
          <w:rStyle w:val="soitChar"/>
        </w:rPr>
        <w:t xml:space="preserve">La résistance à la compression de la chaux hydraulique est de </w:t>
      </w:r>
      <w:r>
        <w:rPr>
          <w:rStyle w:val="optioncarChar"/>
        </w:rPr>
        <w:t xml:space="preserve">2 / 3.5 </w:t>
      </w:r>
      <w:r>
        <w:t>(par défaut)</w:t>
      </w:r>
      <w:r>
        <w:rPr>
          <w:rStyle w:val="optioncarChar"/>
        </w:rPr>
        <w:t xml:space="preserve"> / 5</w:t>
      </w:r>
      <w:r>
        <w:rPr>
          <w:rStyle w:val="soitChar"/>
        </w:rPr>
        <w:t xml:space="preserve"> MPa.</w:t>
      </w:r>
    </w:p>
    <w:p w14:paraId="6C943B18" w14:textId="77777777" w:rsidR="004B2808" w:rsidRDefault="00000000">
      <w:pPr>
        <w:ind w:left="567"/>
        <w:jc w:val="both"/>
      </w:pPr>
      <w:r>
        <w:rPr>
          <w:rStyle w:val="soitChar"/>
        </w:rPr>
        <w:t>La chaux doit être conforme à la norme Européenne [NBN EN 459-1].</w:t>
      </w:r>
    </w:p>
    <w:p w14:paraId="0DAC05D4" w14:textId="77777777" w:rsidR="004B2808" w:rsidRDefault="00000000">
      <w:pPr>
        <w:ind w:left="567"/>
        <w:jc w:val="both"/>
      </w:pPr>
      <w:r>
        <w:rPr>
          <w:rStyle w:val="soitChar"/>
        </w:rPr>
        <w:t>Proportion de base = 1: 3 (liant : sable de rivière)</w:t>
      </w:r>
    </w:p>
    <w:p w14:paraId="1B683E1B" w14:textId="77777777" w:rsidR="004B2808" w:rsidRDefault="00000000">
      <w:pPr>
        <w:ind w:left="567"/>
        <w:jc w:val="both"/>
      </w:pPr>
      <w:r>
        <w:rPr>
          <w:rStyle w:val="soitChar"/>
        </w:rPr>
        <w:t>Dans ce cas, les charges (sables) doivent correspondre au tableau suivant:</w:t>
      </w:r>
    </w:p>
    <w:tbl>
      <w:tblPr>
        <w:tblStyle w:val="Author-eTableGrid"/>
        <w:tblW w:w="9030" w:type="dxa"/>
        <w:tblInd w:w="567" w:type="dxa"/>
        <w:tblLayout w:type="fixed"/>
        <w:tblLook w:val="04A0" w:firstRow="1" w:lastRow="0" w:firstColumn="1" w:lastColumn="0" w:noHBand="0" w:noVBand="1"/>
      </w:tblPr>
      <w:tblGrid>
        <w:gridCol w:w="4515"/>
        <w:gridCol w:w="4515"/>
      </w:tblGrid>
      <w:tr w:rsidR="004B2808" w14:paraId="5E2B7C3D" w14:textId="77777777">
        <w:tc>
          <w:tcPr>
            <w:tcW w:w="4515" w:type="dxa"/>
            <w:noWrap/>
          </w:tcPr>
          <w:p w14:paraId="09234C1B" w14:textId="77777777" w:rsidR="004B2808" w:rsidRDefault="00000000">
            <w:pPr>
              <w:ind w:left="567"/>
              <w:jc w:val="center"/>
            </w:pPr>
            <w:r>
              <w:rPr>
                <w:rStyle w:val="soitChar"/>
                <w:b/>
              </w:rPr>
              <w:t>Epaisseur enduit</w:t>
            </w:r>
          </w:p>
        </w:tc>
        <w:tc>
          <w:tcPr>
            <w:tcW w:w="4515" w:type="dxa"/>
            <w:noWrap/>
          </w:tcPr>
          <w:p w14:paraId="2A2B676D" w14:textId="77777777" w:rsidR="004B2808" w:rsidRDefault="00000000">
            <w:pPr>
              <w:ind w:left="567"/>
              <w:jc w:val="center"/>
            </w:pPr>
            <w:r>
              <w:rPr>
                <w:rStyle w:val="soitChar"/>
                <w:b/>
              </w:rPr>
              <w:t>Charge (sables)</w:t>
            </w:r>
          </w:p>
        </w:tc>
      </w:tr>
      <w:tr w:rsidR="004B2808" w14:paraId="16DC7E13" w14:textId="77777777">
        <w:tc>
          <w:tcPr>
            <w:tcW w:w="4515" w:type="dxa"/>
            <w:noWrap/>
          </w:tcPr>
          <w:p w14:paraId="454A207A" w14:textId="77777777" w:rsidR="004B2808" w:rsidRDefault="00000000">
            <w:pPr>
              <w:ind w:left="567"/>
            </w:pPr>
            <w:r>
              <w:rPr>
                <w:rStyle w:val="soitChar"/>
              </w:rPr>
              <w:t>0 &gt; 5mm</w:t>
            </w:r>
          </w:p>
        </w:tc>
        <w:tc>
          <w:tcPr>
            <w:tcW w:w="4515" w:type="dxa"/>
            <w:noWrap/>
          </w:tcPr>
          <w:p w14:paraId="47CCCCE0" w14:textId="77777777" w:rsidR="004B2808" w:rsidRDefault="00000000">
            <w:pPr>
              <w:ind w:left="567"/>
            </w:pPr>
            <w:r>
              <w:rPr>
                <w:rStyle w:val="soitChar"/>
              </w:rPr>
              <w:t>0-1mm</w:t>
            </w:r>
          </w:p>
        </w:tc>
      </w:tr>
      <w:tr w:rsidR="004B2808" w14:paraId="06159EF1" w14:textId="77777777">
        <w:tc>
          <w:tcPr>
            <w:tcW w:w="4515" w:type="dxa"/>
            <w:noWrap/>
          </w:tcPr>
          <w:p w14:paraId="23DD6A6F" w14:textId="77777777" w:rsidR="004B2808" w:rsidRDefault="00000000">
            <w:pPr>
              <w:ind w:left="567"/>
            </w:pPr>
            <w:r>
              <w:rPr>
                <w:rStyle w:val="soitChar"/>
              </w:rPr>
              <w:t>5 &gt; 10mm</w:t>
            </w:r>
          </w:p>
        </w:tc>
        <w:tc>
          <w:tcPr>
            <w:tcW w:w="4515" w:type="dxa"/>
            <w:noWrap/>
          </w:tcPr>
          <w:p w14:paraId="0048DB67" w14:textId="77777777" w:rsidR="004B2808" w:rsidRDefault="00000000">
            <w:pPr>
              <w:ind w:left="567"/>
            </w:pPr>
            <w:r>
              <w:rPr>
                <w:rStyle w:val="soitChar"/>
              </w:rPr>
              <w:t>0-2mm</w:t>
            </w:r>
          </w:p>
        </w:tc>
      </w:tr>
      <w:tr w:rsidR="004B2808" w14:paraId="030FB6F8" w14:textId="77777777">
        <w:tc>
          <w:tcPr>
            <w:tcW w:w="4515" w:type="dxa"/>
            <w:noWrap/>
          </w:tcPr>
          <w:p w14:paraId="067F3097" w14:textId="77777777" w:rsidR="004B2808" w:rsidRDefault="00000000">
            <w:pPr>
              <w:ind w:left="567"/>
              <w:jc w:val="center"/>
            </w:pPr>
            <w:r>
              <w:rPr>
                <w:rStyle w:val="soitChar"/>
              </w:rPr>
              <w:t>10 &gt; 30mm</w:t>
            </w:r>
          </w:p>
        </w:tc>
        <w:tc>
          <w:tcPr>
            <w:tcW w:w="4515" w:type="dxa"/>
            <w:noWrap/>
          </w:tcPr>
          <w:p w14:paraId="5877B2B5" w14:textId="77777777" w:rsidR="004B2808" w:rsidRDefault="00000000">
            <w:pPr>
              <w:ind w:left="567"/>
              <w:jc w:val="center"/>
            </w:pPr>
            <w:r>
              <w:rPr>
                <w:rStyle w:val="soitChar"/>
              </w:rPr>
              <w:t>0-4mm</w:t>
            </w:r>
          </w:p>
        </w:tc>
      </w:tr>
    </w:tbl>
    <w:p w14:paraId="0CEB0C6F" w14:textId="77777777" w:rsidR="004B2808" w:rsidRDefault="00000000">
      <w:pPr>
        <w:pStyle w:val="pheading"/>
      </w:pPr>
      <w:r>
        <w:t>- Finitions</w:t>
      </w:r>
    </w:p>
    <w:p w14:paraId="3048A49E" w14:textId="77777777" w:rsidR="004B2808" w:rsidRDefault="00000000">
      <w:pPr>
        <w:jc w:val="both"/>
      </w:pPr>
      <w:r>
        <w:t xml:space="preserve">Degré de finition requis : </w:t>
      </w:r>
      <w:r>
        <w:rPr>
          <w:rStyle w:val="optioncarChar"/>
        </w:rPr>
        <w:t>Enduit non lissé pour recevoir une autre finition (carrelage par exemple) / normal suivant [NIT 284] </w:t>
      </w:r>
      <w:r>
        <w:t xml:space="preserve">(par défaut) </w:t>
      </w:r>
      <w:r>
        <w:rPr>
          <w:rStyle w:val="optioncarChar"/>
        </w:rPr>
        <w:t>/ spécial suivant [NIT 284]  / ***</w:t>
      </w:r>
      <w:r>
        <w:t>.</w:t>
      </w:r>
    </w:p>
    <w:p w14:paraId="6DE004E6" w14:textId="77777777" w:rsidR="004B2808" w:rsidRDefault="00000000">
      <w:pPr>
        <w:jc w:val="both"/>
      </w:pPr>
      <w:r>
        <w:t xml:space="preserve">Parachèvement de la couche de finition suivant la [NBN EN 13914-1] et [NBN EN 13914-2] : Niveau </w:t>
      </w:r>
      <w:r>
        <w:rPr>
          <w:rStyle w:val="optioncarChar"/>
        </w:rPr>
        <w:t>1 / 2 / 3 / 4</w:t>
      </w:r>
      <w:r>
        <w:t>.</w:t>
      </w:r>
    </w:p>
    <w:p w14:paraId="4628CF66" w14:textId="77777777" w:rsidR="004B2808" w:rsidRDefault="00000000">
      <w:pPr>
        <w:pStyle w:val="pheading"/>
      </w:pPr>
      <w:r>
        <w:t>EXÉCUTION / MISE EN ŒUVRE</w:t>
      </w:r>
    </w:p>
    <w:p w14:paraId="26A94436" w14:textId="77777777" w:rsidR="004B2808" w:rsidRDefault="00000000">
      <w:pPr>
        <w:pStyle w:val="pheading"/>
      </w:pPr>
      <w:r>
        <w:t>- Prescriptions générales</w:t>
      </w:r>
    </w:p>
    <w:p w14:paraId="46AAA262" w14:textId="77777777" w:rsidR="004B2808" w:rsidRDefault="00000000">
      <w:pPr>
        <w:jc w:val="both"/>
      </w:pPr>
      <w:r>
        <w:t>L’exécution respecte la [NIT 284] et tout code de bonne pratique comme :</w:t>
      </w:r>
    </w:p>
    <w:p w14:paraId="1B24707B" w14:textId="77777777" w:rsidR="004B2808" w:rsidRDefault="00000000">
      <w:pPr>
        <w:pStyle w:val="Author-eListParagraph"/>
        <w:numPr>
          <w:ilvl w:val="0"/>
          <w:numId w:val="259"/>
        </w:numPr>
      </w:pPr>
      <w:r>
        <w:t>[Eyrolles Chaux, Ecole d'Avignon - Techniques et pratique de la chaux]</w:t>
      </w:r>
    </w:p>
    <w:p w14:paraId="5FFBE138" w14:textId="77777777" w:rsidR="004B2808" w:rsidRDefault="00000000">
      <w:pPr>
        <w:pStyle w:val="Author-eListParagraph"/>
        <w:numPr>
          <w:ilvl w:val="0"/>
          <w:numId w:val="259"/>
        </w:numPr>
      </w:pPr>
      <w:r>
        <w:t>[AWAP Chaux, Van Baelen et al. - Le livre de la chaux - L'utilisation de la chaux comme liant pour mortiers de construction et de jointoiement de l'origine à nos jours]</w:t>
      </w:r>
    </w:p>
    <w:p w14:paraId="5CFC0692" w14:textId="77777777" w:rsidR="004B2808" w:rsidRDefault="00000000">
      <w:pPr>
        <w:jc w:val="both"/>
      </w:pPr>
      <w:r>
        <w:t>L’enduit ne peut pas être appliqué à des températures inférieures à +5°C pour les mortiers de chaux hydraulique HL et FL et à +8°C pour les mortiers de chaux hydraulique naturelle et supérieures à + 30°pour tous les types de chaux.  Il ne doit jamais être appliqué sur un support gelé, ni par temps de brouillard dense. En été et par temps sec, il faut prendre toutes les précautions nécessaires pour éviter un assèchement trop rapide du mortier.  Le mortier doit être protégé du gel et du soleil intense pendant 48 à 72 heures après l’application (ébrasements exposés au soleil par exemple).</w:t>
      </w:r>
    </w:p>
    <w:p w14:paraId="4B94F817" w14:textId="77777777" w:rsidR="004B2808" w:rsidRDefault="00000000">
      <w:pPr>
        <w:jc w:val="both"/>
      </w:pPr>
      <w:r>
        <w:t>La recette et les épaisseurs des couches de corps et superficielle doivent être soumis à l’auteur de projet</w:t>
      </w:r>
    </w:p>
    <w:p w14:paraId="2CFE5729" w14:textId="77777777" w:rsidR="004B2808" w:rsidRDefault="00000000">
      <w:pPr>
        <w:jc w:val="both"/>
      </w:pPr>
      <w:r>
        <w:lastRenderedPageBreak/>
        <w:t xml:space="preserve">Type de support : </w:t>
      </w:r>
      <w:r>
        <w:rPr>
          <w:rStyle w:val="optioncarChar"/>
        </w:rPr>
        <w:t>béton banché </w:t>
      </w:r>
      <w:r>
        <w:t>(par défaut)</w:t>
      </w:r>
      <w:r>
        <w:rPr>
          <w:rStyle w:val="optioncarChar"/>
        </w:rPr>
        <w:t xml:space="preserve"> / brique maçonnée / béton cellulaire / bloc béton / bloc terre-cuite / bloc terre crue / chanvre projeté / bloc chaux-chanvre / botte de paille / panneau bois / ***.</w:t>
      </w:r>
    </w:p>
    <w:p w14:paraId="34627A57" w14:textId="77777777" w:rsidR="004B2808" w:rsidRDefault="00000000">
      <w:pPr>
        <w:jc w:val="both"/>
      </w:pPr>
      <w:r>
        <w:t>Voir plans et métré détaillé.</w:t>
      </w:r>
    </w:p>
    <w:p w14:paraId="40FC2928" w14:textId="77777777" w:rsidR="004B2808" w:rsidRDefault="00000000">
      <w:pPr>
        <w:jc w:val="both"/>
      </w:pPr>
      <w:r>
        <w:rPr>
          <w:b/>
        </w:rPr>
        <w:t>Supports d’enduit complémentaires</w:t>
      </w:r>
    </w:p>
    <w:p w14:paraId="24C3BD4C" w14:textId="77777777" w:rsidR="004B2808" w:rsidRDefault="00000000">
      <w:pPr>
        <w:jc w:val="both"/>
      </w:pPr>
      <w:r>
        <w:t xml:space="preserve">Selon support : </w:t>
      </w:r>
      <w:r>
        <w:rPr>
          <w:rStyle w:val="optioncarChar"/>
        </w:rPr>
        <w:t>pose d’une canisse </w:t>
      </w:r>
      <w:r>
        <w:t>(par défaut)</w:t>
      </w:r>
      <w:r>
        <w:rPr>
          <w:rStyle w:val="optioncarChar"/>
        </w:rPr>
        <w:t> / d’un treillis / ***</w:t>
      </w:r>
      <w:r>
        <w:t>.</w:t>
      </w:r>
    </w:p>
    <w:p w14:paraId="0441D751" w14:textId="77777777" w:rsidR="004B2808" w:rsidRDefault="00000000">
      <w:pPr>
        <w:jc w:val="both"/>
      </w:pPr>
      <w:r>
        <w:rPr>
          <w:b/>
        </w:rPr>
        <w:t>Accrocheur (gobetis)</w:t>
      </w:r>
    </w:p>
    <w:p w14:paraId="6CEDF592" w14:textId="77777777" w:rsidR="004B2808" w:rsidRDefault="00000000">
      <w:pPr>
        <w:jc w:val="both"/>
      </w:pPr>
      <w:r>
        <w:t>Pose d’un accrocheur réalisé à la chaux avec une charge à la granulométrie adaptée pour supports trop ou trop peu absorbants, supports friables, poussiéreux,… de l’entièreté de la surface à traiter.</w:t>
      </w:r>
    </w:p>
    <w:p w14:paraId="7FF2D640" w14:textId="77777777" w:rsidR="004B2808" w:rsidRDefault="00000000">
      <w:pPr>
        <w:jc w:val="both"/>
      </w:pPr>
      <w:r>
        <w:t xml:space="preserve">Pose en gobetis </w:t>
      </w:r>
      <w:r>
        <w:rPr>
          <w:rStyle w:val="optioncarChar"/>
        </w:rPr>
        <w:t>avec Tyrolienne / jeté à la truelle / à la brosse</w:t>
      </w:r>
      <w:r>
        <w:t xml:space="preserve"> (par défaut)</w:t>
      </w:r>
    </w:p>
    <w:p w14:paraId="22124AF7" w14:textId="77777777" w:rsidR="004B2808" w:rsidRDefault="00000000">
      <w:pPr>
        <w:jc w:val="both"/>
      </w:pPr>
      <w:r>
        <w:rPr>
          <w:b/>
        </w:rPr>
        <w:t>Couche de corps</w:t>
      </w:r>
    </w:p>
    <w:p w14:paraId="32D2A6FF" w14:textId="77777777" w:rsidR="004B2808" w:rsidRDefault="00000000">
      <w:pPr>
        <w:jc w:val="both"/>
      </w:pPr>
      <w:r>
        <w:t>Epaisseur suivant proposition de l’entrepreneur à faire valider par l’auteur de projet.</w:t>
      </w:r>
    </w:p>
    <w:p w14:paraId="565D4021" w14:textId="77777777" w:rsidR="004B2808" w:rsidRDefault="00000000">
      <w:pPr>
        <w:jc w:val="both"/>
      </w:pPr>
      <w:r>
        <w:t xml:space="preserve">Un treillis général </w:t>
      </w:r>
      <w:r>
        <w:rPr>
          <w:rStyle w:val="optioncarChar"/>
        </w:rPr>
        <w:t>doit / ne doit pa</w:t>
      </w:r>
      <w:r>
        <w:t>s être posé.</w:t>
      </w:r>
    </w:p>
    <w:p w14:paraId="5272145E" w14:textId="77777777" w:rsidR="004B2808" w:rsidRDefault="00000000">
      <w:pPr>
        <w:jc w:val="both"/>
      </w:pPr>
      <w:r>
        <w:t xml:space="preserve">Un treillis de renforcement aux changements de matériaux ou plan </w:t>
      </w:r>
      <w:r>
        <w:rPr>
          <w:rStyle w:val="optioncarChar"/>
        </w:rPr>
        <w:t>doit / ne doit pas</w:t>
      </w:r>
      <w:r>
        <w:t xml:space="preserve"> être posé.</w:t>
      </w:r>
    </w:p>
    <w:p w14:paraId="7D8446F1" w14:textId="77777777" w:rsidR="004B2808" w:rsidRDefault="00000000">
      <w:pPr>
        <w:jc w:val="both"/>
      </w:pPr>
      <w:r>
        <w:t xml:space="preserve">Recouvrement des treillis de consolidation éventuels : ≥ </w:t>
      </w:r>
      <w:r>
        <w:rPr>
          <w:rStyle w:val="optioncarChar"/>
        </w:rPr>
        <w:t xml:space="preserve">10 </w:t>
      </w:r>
      <w:r>
        <w:t>(par défaut)</w:t>
      </w:r>
      <w:r>
        <w:rPr>
          <w:rStyle w:val="optioncarChar"/>
        </w:rPr>
        <w:t>  / 20 / ***</w:t>
      </w:r>
      <w:r>
        <w:t xml:space="preserve"> cm.</w:t>
      </w:r>
    </w:p>
    <w:p w14:paraId="56A281DD" w14:textId="77777777" w:rsidR="004B2808" w:rsidRDefault="00000000">
      <w:pPr>
        <w:jc w:val="both"/>
      </w:pPr>
      <w:r>
        <w:rPr>
          <w:b/>
        </w:rPr>
        <w:t>Couche superficielle (de finition)</w:t>
      </w:r>
    </w:p>
    <w:p w14:paraId="335CCDEF" w14:textId="77777777" w:rsidR="004B2808" w:rsidRDefault="00000000">
      <w:pPr>
        <w:jc w:val="both"/>
      </w:pPr>
      <w:r>
        <w:t>Epaisseur suivant proposition de l’entrepreneur à faire valider par l’auteur de projet.</w:t>
      </w:r>
    </w:p>
    <w:p w14:paraId="0A550AB7" w14:textId="77777777" w:rsidR="004B2808" w:rsidRDefault="00000000">
      <w:pPr>
        <w:pStyle w:val="pheading"/>
      </w:pPr>
      <w:r>
        <w:t>- Notes d’exécution complémentaires</w:t>
      </w:r>
    </w:p>
    <w:p w14:paraId="7B88CD7E" w14:textId="77777777" w:rsidR="004B2808" w:rsidRDefault="00000000">
      <w:pPr>
        <w:jc w:val="both"/>
      </w:pPr>
      <w:r>
        <w:rPr>
          <w:rStyle w:val="facultChar"/>
        </w:rPr>
        <w:t>L’enduit servant d’étanchéité à l’air du bâtiment, il est appliqué en jonction avec le sol, le plafond, les menuiseries,… Les feutres, treillis spéciaux de raccords sont décrits dans un autre poste.</w:t>
      </w:r>
    </w:p>
    <w:p w14:paraId="4A4051C2" w14:textId="77777777" w:rsidR="004B2808" w:rsidRDefault="00000000">
      <w:pPr>
        <w:pStyle w:val="pheading"/>
      </w:pPr>
      <w:r>
        <w:t>- Échantillons</w:t>
      </w:r>
    </w:p>
    <w:p w14:paraId="208D6A67" w14:textId="77777777" w:rsidR="004B2808" w:rsidRDefault="00000000">
      <w:pPr>
        <w:jc w:val="both"/>
      </w:pPr>
      <w:r>
        <w:t>En cas de réalisation d’un enduit préparé sur chantier, un échantillon de 1 m² est réalisé afin d’observer la qualité de l’enduit réalisé.</w:t>
      </w:r>
    </w:p>
    <w:p w14:paraId="6C37AC9C" w14:textId="77777777" w:rsidR="004B2808" w:rsidRDefault="00000000">
      <w:pPr>
        <w:jc w:val="both"/>
      </w:pPr>
      <w:r>
        <w:t xml:space="preserve">En cas de finition de type </w:t>
      </w:r>
      <w:r>
        <w:rPr>
          <w:rStyle w:val="optioncarChar"/>
        </w:rPr>
        <w:t>gratté </w:t>
      </w:r>
      <w:r>
        <w:t xml:space="preserve">(par défaut) </w:t>
      </w:r>
      <w:r>
        <w:rPr>
          <w:rStyle w:val="optioncarChar"/>
        </w:rPr>
        <w:t>/ structure tyrolienne / structure Travertin / ***</w:t>
      </w:r>
      <w:r>
        <w:t>, un échantillon de 1 m² est réalisé.</w:t>
      </w:r>
    </w:p>
    <w:p w14:paraId="2EE5C98B" w14:textId="77777777" w:rsidR="004B2808" w:rsidRDefault="00000000">
      <w:pPr>
        <w:pStyle w:val="pheading"/>
      </w:pPr>
      <w:r>
        <w:t>CONTRÔLES PARTICULIERS</w:t>
      </w:r>
    </w:p>
    <w:p w14:paraId="4071B07D" w14:textId="77777777" w:rsidR="004B2808" w:rsidRDefault="00000000">
      <w:pPr>
        <w:jc w:val="both"/>
      </w:pPr>
      <w:r>
        <w:t>Les méthodes et les instruments de mesure utilisés pour le contrôle sont définis dans les normes [ISO 4464, ISO 7078 et 7976-1]. Les contrôles s’effectuent toujours par rapport à une ligne, une surface ou un point de référence.</w:t>
      </w:r>
    </w:p>
    <w:p w14:paraId="648C80D4" w14:textId="77777777" w:rsidR="004B2808" w:rsidRDefault="00000000">
      <w:pPr>
        <w:jc w:val="both"/>
      </w:pPr>
      <w:r>
        <w:rPr>
          <w:b/>
        </w:rPr>
        <w:t>Degré de finition normal :</w:t>
      </w:r>
    </w:p>
    <w:p w14:paraId="7D37218C" w14:textId="77777777" w:rsidR="004B2808" w:rsidRDefault="00000000">
      <w:pPr>
        <w:jc w:val="both"/>
      </w:pPr>
      <w:r>
        <w:t>Pour un degré de finition normale, on admet 4 irrégularités pour 4 m² de surface suivant la [NIT 284], qui peuvent consister soit en zones locales irrégulièrement polies de 0,5 dm² maximum, soit en coups de plâtresse, soit en la présence de grains de sable.</w:t>
      </w:r>
    </w:p>
    <w:p w14:paraId="470F0493" w14:textId="77777777" w:rsidR="004B2808" w:rsidRDefault="00000000">
      <w:pPr>
        <w:jc w:val="both"/>
      </w:pPr>
      <w:r>
        <w:t>En outre, on admet deux ondulations par longueur de 2 mètres de maximum 5 mm.</w:t>
      </w:r>
    </w:p>
    <w:p w14:paraId="262F5A0A" w14:textId="77777777" w:rsidR="004B2808" w:rsidRDefault="00000000">
      <w:pPr>
        <w:jc w:val="both"/>
      </w:pPr>
      <w:r>
        <w:t>Le hors-plomb d’une surface ou d’une arête est au maximum de 8 mm par 2.5 m de hauteur.</w:t>
      </w:r>
    </w:p>
    <w:p w14:paraId="019DF4EC" w14:textId="77777777" w:rsidR="004B2808" w:rsidRDefault="00000000">
      <w:pPr>
        <w:jc w:val="both"/>
      </w:pPr>
      <w:r>
        <w:rPr>
          <w:b/>
        </w:rPr>
        <w:t>Degré de finition spécial :</w:t>
      </w:r>
    </w:p>
    <w:p w14:paraId="23C9B98F" w14:textId="77777777" w:rsidR="004B2808" w:rsidRDefault="00000000">
      <w:pPr>
        <w:jc w:val="both"/>
      </w:pPr>
      <w:r>
        <w:t>Pour un degré de finition spéciale, on ne tolère que 2 irrégularités suivant la [NIT 284] pour 4 m² de surface et deux ondulations par longueur de 2 mètres de maximum 3 mm.</w:t>
      </w:r>
    </w:p>
    <w:p w14:paraId="0CE062CB" w14:textId="77777777" w:rsidR="004B2808" w:rsidRDefault="00000000">
      <w:pPr>
        <w:jc w:val="both"/>
      </w:pPr>
      <w:r>
        <w:t>Le hors-plomb d’une surface ou d’une arête est au maximum de 5 mm par 2.5 m de hauteur.</w:t>
      </w:r>
    </w:p>
    <w:p w14:paraId="173ABB6F" w14:textId="77777777" w:rsidR="004B2808" w:rsidRDefault="004B2808"/>
    <w:p w14:paraId="43355D90" w14:textId="77777777" w:rsidR="004B2808" w:rsidRDefault="00000000">
      <w:pPr>
        <w:jc w:val="both"/>
      </w:pPr>
      <w:r>
        <w:t>Les écarts angulaires des retours de fenêtres, corps de cheminées,… respectent la [NIT 284].</w:t>
      </w:r>
    </w:p>
    <w:p w14:paraId="71534366" w14:textId="77777777" w:rsidR="004B2808" w:rsidRDefault="00000000">
      <w:pPr>
        <w:pStyle w:val="pheading"/>
      </w:pPr>
      <w:r>
        <w:t>DOCUMENTS DE RÉFÉRENCE COMPLÉMENTAIRES</w:t>
      </w:r>
    </w:p>
    <w:p w14:paraId="224D9FBC" w14:textId="77777777" w:rsidR="004B2808" w:rsidRDefault="00000000">
      <w:pPr>
        <w:pStyle w:val="pheading"/>
      </w:pPr>
      <w:r>
        <w:lastRenderedPageBreak/>
        <w:t>- Matériau</w:t>
      </w:r>
    </w:p>
    <w:p w14:paraId="16F5B68E" w14:textId="77777777" w:rsidR="004B2808" w:rsidRDefault="00000000">
      <w:r>
        <w:t>[NBN EN 998-1, Définitions et spécifications des mortiers pour maçonnerie - Partie 1: Mortiers d'enduits minéraux extérieurs et intérieurs]</w:t>
      </w:r>
    </w:p>
    <w:p w14:paraId="6B693575" w14:textId="77777777" w:rsidR="004B2808" w:rsidRDefault="00000000">
      <w:r>
        <w:t>[NBN EN 459-1, Chaux de construction - Partie 1: Définitions, spécifications et critères de conformité]</w:t>
      </w:r>
    </w:p>
    <w:p w14:paraId="3E34BB78" w14:textId="77777777" w:rsidR="004B2808" w:rsidRDefault="00000000">
      <w:r>
        <w:t>[NBN EN 459-2, Chaux de construction - Partie 2: Méthodes d’essai]</w:t>
      </w:r>
    </w:p>
    <w:p w14:paraId="0808CF14" w14:textId="77777777" w:rsidR="004B2808" w:rsidRDefault="00000000">
      <w:r>
        <w:t>[Eyrolles Chaux, Ecole d'Avignon - Techniques et pratique de la chaux]</w:t>
      </w:r>
    </w:p>
    <w:p w14:paraId="54FCD5A1" w14:textId="77777777" w:rsidR="004B2808" w:rsidRDefault="00000000">
      <w:r>
        <w:t>[AWAP Chaux, Van Baelen et al. - Le livre de la chaux - L'utilisation de la chaux comme liant pour mortiers de construction et de jointoiement de l'origine à nos jours]</w:t>
      </w:r>
    </w:p>
    <w:p w14:paraId="029C7781" w14:textId="77777777" w:rsidR="004B2808" w:rsidRDefault="00000000">
      <w:pPr>
        <w:pStyle w:val="pheading"/>
      </w:pPr>
      <w:r>
        <w:t>- Exécution</w:t>
      </w:r>
    </w:p>
    <w:p w14:paraId="47A14690" w14:textId="77777777" w:rsidR="004B2808" w:rsidRDefault="00000000">
      <w:r>
        <w:t>[NIT 284, Les enduits intérieurs.] </w:t>
      </w:r>
    </w:p>
    <w:p w14:paraId="111CCCB9" w14:textId="77777777" w:rsidR="004B2808" w:rsidRDefault="00000000">
      <w:r>
        <w:t>[NBN ISO 7078, Construction immobilière — Procédés pour l'implantation, le mesurage et la topométrie — Vocabulaire (ISO 7078:2020)]</w:t>
      </w:r>
    </w:p>
    <w:p w14:paraId="18E6877D" w14:textId="77777777" w:rsidR="004B2808" w:rsidRDefault="00000000">
      <w:r>
        <w:t>[ISO 1803, Construction immobilière -- Tolérances -- Expression de l'exactitude dimensionnelle -- Principes et terminologie]</w:t>
      </w:r>
    </w:p>
    <w:p w14:paraId="5EE87550" w14:textId="77777777" w:rsidR="004B2808" w:rsidRDefault="00000000">
      <w:r>
        <w:t>[NBN ISO 7976-1, Tolérances pour le bâtiment - Méthodes de mesure des bâtiments et des produits pour le bâtiment - Partie 1 : Méthodes et instruments]</w:t>
      </w:r>
    </w:p>
    <w:p w14:paraId="16E97307" w14:textId="77777777" w:rsidR="004B2808" w:rsidRDefault="00000000">
      <w:r>
        <w:t>[NBN EN 13914-2, Conception, préparation et mise en oeuvre des enduits extérieurs et intérieurs - Partie 2: Enduits intérieurs] </w:t>
      </w:r>
    </w:p>
    <w:p w14:paraId="14EE9BC7" w14:textId="77777777" w:rsidR="004B2808" w:rsidRDefault="00000000">
      <w:r>
        <w:t>[Eyrolles Chaux, Ecole d'Avignon - Techniques et pratique de la chaux]</w:t>
      </w:r>
    </w:p>
    <w:p w14:paraId="20DAD8AB" w14:textId="77777777" w:rsidR="004B2808" w:rsidRDefault="00000000">
      <w:r>
        <w:t>[AWAP Chaux, Van Baelen et al. - Le livre de la chaux - L'utilisation de la chaux comme liant pour mortiers de construction et de jointoiement de l'origine à nos jours]</w:t>
      </w:r>
    </w:p>
    <w:p w14:paraId="06B6D484" w14:textId="77777777" w:rsidR="004B2808" w:rsidRDefault="00000000">
      <w:r>
        <w:t>[NF DTU 26.1, Travaux de bâtiment - Travaux d'enduits de mortiers - Partie 1-1 : cahier des clauses techniques - Partie 1-2 : critères généraux de choix des matériaux - Partie 2 : cahier des clauses spéciales]</w:t>
      </w:r>
    </w:p>
    <w:p w14:paraId="2F038EDE" w14:textId="77777777" w:rsidR="004B2808" w:rsidRDefault="00000000">
      <w:pPr>
        <w:pStyle w:val="pheading"/>
      </w:pPr>
      <w:r>
        <w:t>MESURAGE</w:t>
      </w:r>
    </w:p>
    <w:p w14:paraId="368C95FE" w14:textId="77777777" w:rsidR="004B2808" w:rsidRDefault="00000000">
      <w:pPr>
        <w:pStyle w:val="pheading"/>
      </w:pPr>
      <w:r>
        <w:t>- unité de mesure:</w:t>
      </w:r>
    </w:p>
    <w:p w14:paraId="4A6305B8" w14:textId="77777777" w:rsidR="004B2808" w:rsidRDefault="00000000">
      <w:r>
        <w:rPr>
          <w:rStyle w:val="optioncarChar"/>
        </w:rPr>
        <w:t xml:space="preserve">m² </w:t>
      </w:r>
      <w:r>
        <w:t>(par défaut)  </w:t>
      </w:r>
      <w:r>
        <w:rPr>
          <w:rStyle w:val="optioncarChar"/>
        </w:rPr>
        <w:t>/ m² ; m</w:t>
      </w:r>
    </w:p>
    <w:p w14:paraId="53DF3284" w14:textId="77777777" w:rsidR="004B2808" w:rsidRDefault="00000000">
      <w:r>
        <w:rPr>
          <w:b/>
          <w:i/>
        </w:rPr>
        <w:t>(Soit par défaut)</w:t>
      </w:r>
    </w:p>
    <w:p w14:paraId="34A1E784" w14:textId="77777777" w:rsidR="004B2808" w:rsidRDefault="00000000">
      <w:r>
        <w:rPr>
          <w:rStyle w:val="soitChar"/>
        </w:rPr>
        <w:t>1. m²</w:t>
      </w:r>
    </w:p>
    <w:p w14:paraId="423B8C91" w14:textId="77777777" w:rsidR="004B2808" w:rsidRDefault="00000000">
      <w:r>
        <w:rPr>
          <w:b/>
          <w:i/>
        </w:rPr>
        <w:t>(Soit)</w:t>
      </w:r>
    </w:p>
    <w:p w14:paraId="018C79CF" w14:textId="77777777" w:rsidR="004B2808" w:rsidRDefault="00000000">
      <w:r>
        <w:rPr>
          <w:rStyle w:val="soitChar"/>
        </w:rPr>
        <w:t>2. m² ; m</w:t>
      </w:r>
    </w:p>
    <w:p w14:paraId="0529B998" w14:textId="77777777" w:rsidR="004B2808" w:rsidRDefault="00000000">
      <w:pPr>
        <w:pStyle w:val="pheading"/>
      </w:pPr>
      <w:r>
        <w:t>- code de mesurage:</w:t>
      </w:r>
    </w:p>
    <w:p w14:paraId="2CC1A2F6" w14:textId="77777777" w:rsidR="004B2808" w:rsidRDefault="00000000">
      <w:pPr>
        <w:jc w:val="both"/>
      </w:pPr>
      <w:r>
        <w:rPr>
          <w:rStyle w:val="optioncarChar"/>
        </w:rPr>
        <w:t xml:space="preserve">Surface nette </w:t>
      </w:r>
      <w:r>
        <w:t xml:space="preserve">(par défaut) </w:t>
      </w:r>
      <w:r>
        <w:rPr>
          <w:rStyle w:val="optioncarChar"/>
        </w:rPr>
        <w:t>/ Surface nette et longueur nette</w:t>
      </w:r>
    </w:p>
    <w:p w14:paraId="1B9572D2" w14:textId="77777777" w:rsidR="004B2808" w:rsidRDefault="00000000">
      <w:pPr>
        <w:jc w:val="both"/>
      </w:pPr>
      <w:r>
        <w:rPr>
          <w:b/>
          <w:i/>
        </w:rPr>
        <w:t>(Soit par défaut)</w:t>
      </w:r>
    </w:p>
    <w:p w14:paraId="4F62A65C" w14:textId="77777777" w:rsidR="004B2808" w:rsidRDefault="00000000">
      <w:pPr>
        <w:jc w:val="both"/>
      </w:pPr>
      <w:r>
        <w:rPr>
          <w:rStyle w:val="soitChar"/>
          <w:b/>
        </w:rPr>
        <w:t>1. Surface nette</w:t>
      </w:r>
    </w:p>
    <w:p w14:paraId="1695053B" w14:textId="77777777" w:rsidR="004B2808" w:rsidRDefault="00000000">
      <w:pPr>
        <w:pStyle w:val="Author-eListParagraph"/>
        <w:numPr>
          <w:ilvl w:val="0"/>
          <w:numId w:val="260"/>
        </w:numPr>
      </w:pPr>
      <w:r>
        <w:rPr>
          <w:rStyle w:val="soitChar"/>
        </w:rPr>
        <w:t>Murs : toutes les baies de fenêtres et portes extérieures qui doivent être enduites sont comptées pleines, en compensation du plafonnage des ébrasements sur les côtés et en linteau; par contre, les baies dont les ébrasements ne doivent pas être enduits et dont la superficie est supérieure à 0,5 m², sont déduites (par ex. les portes intérieures où un encadrement est prévu ou les portes et fenêtres qui sont habillées de panneaux de revêtement).</w:t>
      </w:r>
    </w:p>
    <w:p w14:paraId="6DF67682" w14:textId="77777777" w:rsidR="004B2808" w:rsidRDefault="00000000">
      <w:pPr>
        <w:pStyle w:val="Author-eListParagraph"/>
        <w:numPr>
          <w:ilvl w:val="0"/>
          <w:numId w:val="260"/>
        </w:numPr>
      </w:pPr>
      <w:r>
        <w:rPr>
          <w:rStyle w:val="soitChar"/>
        </w:rPr>
        <w:t>Les travaux de plafonnage ne font pas l'objet de décomptes.</w:t>
      </w:r>
    </w:p>
    <w:p w14:paraId="232D3D68" w14:textId="77777777" w:rsidR="004B2808" w:rsidRDefault="00000000">
      <w:pPr>
        <w:jc w:val="both"/>
      </w:pPr>
      <w:r>
        <w:rPr>
          <w:b/>
          <w:i/>
        </w:rPr>
        <w:t>(Soit)</w:t>
      </w:r>
    </w:p>
    <w:p w14:paraId="19999314" w14:textId="77777777" w:rsidR="004B2808" w:rsidRDefault="00000000">
      <w:pPr>
        <w:jc w:val="both"/>
      </w:pPr>
      <w:r>
        <w:rPr>
          <w:rStyle w:val="soitChar"/>
          <w:b/>
        </w:rPr>
        <w:lastRenderedPageBreak/>
        <w:t>2. Surface nette et longueur nette</w:t>
      </w:r>
      <w:r>
        <w:rPr>
          <w:rStyle w:val="soitChar"/>
        </w:rPr>
        <w:t xml:space="preserve"> des ébrasements et moulures</w:t>
      </w:r>
    </w:p>
    <w:p w14:paraId="33AC2701" w14:textId="77777777" w:rsidR="004B2808" w:rsidRDefault="00000000">
      <w:pPr>
        <w:pStyle w:val="Author-eListParagraph"/>
        <w:numPr>
          <w:ilvl w:val="0"/>
          <w:numId w:val="261"/>
        </w:numPr>
        <w:jc w:val="both"/>
      </w:pPr>
      <w:r>
        <w:rPr>
          <w:rStyle w:val="soitChar"/>
        </w:rPr>
        <w:t>Parois verticales : surface nette, toutes les réservations supérieures à 0,5 m2 sont déduites. Les ébrasements et les moulures dont la largeur est inférieure à 30 cm sont comptés séparément, longueur nette, le cas échéant ventilé selon les différentes épaisseurs de murs.</w:t>
      </w:r>
    </w:p>
    <w:p w14:paraId="6E6128CD" w14:textId="77777777" w:rsidR="004B2808" w:rsidRDefault="00000000">
      <w:pPr>
        <w:pStyle w:val="Author-eListParagraph"/>
        <w:numPr>
          <w:ilvl w:val="0"/>
          <w:numId w:val="261"/>
        </w:numPr>
        <w:jc w:val="both"/>
      </w:pPr>
      <w:r>
        <w:rPr>
          <w:rStyle w:val="soitChar"/>
        </w:rPr>
        <w:t>Les travaux de plafonnage ne font pas l'objet de décomptes.</w:t>
      </w:r>
    </w:p>
    <w:p w14:paraId="20673FB4" w14:textId="77777777" w:rsidR="004B2808" w:rsidRDefault="00000000">
      <w:pPr>
        <w:pStyle w:val="pheading"/>
      </w:pPr>
      <w:r>
        <w:t>- nature du marché:</w:t>
      </w:r>
    </w:p>
    <w:p w14:paraId="3403A05A" w14:textId="77777777" w:rsidR="004B2808" w:rsidRDefault="00000000">
      <w:r>
        <w:t>QF</w:t>
      </w:r>
    </w:p>
    <w:p w14:paraId="0A2B6CDF" w14:textId="77777777" w:rsidR="004B2808" w:rsidRDefault="00000000">
      <w:pPr>
        <w:pStyle w:val="pheading"/>
      </w:pPr>
      <w:r>
        <w:t>AIDE</w:t>
      </w:r>
    </w:p>
    <w:p w14:paraId="3EFC6820" w14:textId="77777777" w:rsidR="004B2808" w:rsidRDefault="00000000">
      <w:pPr>
        <w:jc w:val="both"/>
      </w:pPr>
      <w:r>
        <w:t>Chaux ayant des propriétés hydrauliques : chaux de construction constituées principalement d’hydroxyde de calcium (Ca(OH)2), mais aussi de silicates de calcium et d’aluminates de calcium. Ces chaux ont la propriété de faire prise et de durcir lorsqu'elles sont mélangées à l'eau et/ou sous l'eau. La réaction avec le dioxyde de carbone présent dans l'air contribue au durcissement. Les chaux ayant des propriétés hydrauliques sont divisées en trois sous-familles, la chaux hydraulique naturelle (NHL), la chaux formulée (FL) et la chaux hydraulique (HL). Voir la [NBN EN 459-1] pour les caractéristiques spécifiques à chacune des sous-familles.</w:t>
      </w:r>
    </w:p>
    <w:p w14:paraId="7433678B" w14:textId="77777777" w:rsidR="004B2808" w:rsidRDefault="00000000">
      <w:pPr>
        <w:jc w:val="both"/>
      </w:pPr>
      <w:r>
        <w:t>Un enduit à la chaux hydraulique NHL n’est pas apte à recevoir une finition en carrelage. Il en est de même pour les classes 2 et 3.5 des HL et FL.</w:t>
      </w:r>
    </w:p>
    <w:p w14:paraId="73182A1E" w14:textId="77777777" w:rsidR="004B2808" w:rsidRDefault="00000000">
      <w:pPr>
        <w:pStyle w:val="Author-eSectionHeading4Numberless"/>
      </w:pPr>
      <w:bookmarkStart w:id="194" w:name="_Toc220490389"/>
      <w:r>
        <w:t>51.56 Enduits à base d'argile CCTB 01.08</w:t>
      </w:r>
      <w:bookmarkEnd w:id="194"/>
    </w:p>
    <w:p w14:paraId="0114AD06" w14:textId="77777777" w:rsidR="004B2808" w:rsidRDefault="00000000">
      <w:pPr>
        <w:pStyle w:val="pheading"/>
      </w:pPr>
      <w:bookmarkStart w:id="195" w:name="1162"/>
      <w:bookmarkEnd w:id="195"/>
      <w:r>
        <w:t>MATÉRIAUX</w:t>
      </w:r>
    </w:p>
    <w:p w14:paraId="113E76DB" w14:textId="77777777" w:rsidR="004B2808" w:rsidRDefault="00000000">
      <w:pPr>
        <w:jc w:val="both"/>
      </w:pPr>
      <w:r>
        <w:t>La terre utilisée est issue de sol répondant au [DRW 2018-03-01]. En outre, les terre d’excavation sont conformes aux normes d'assainissements et normes d'intervention (voir [AGRBC 2018-03-29]).</w:t>
      </w:r>
    </w:p>
    <w:p w14:paraId="24626177" w14:textId="77777777" w:rsidR="004B2808" w:rsidRDefault="00000000">
      <w:pPr>
        <w:pStyle w:val="Author-eSectionHeading5Numberless"/>
      </w:pPr>
      <w:bookmarkStart w:id="196" w:name="_Toc220490390"/>
      <w:r>
        <w:t>51.56.1 Enduits à base d'argile CCTB 01.02</w:t>
      </w:r>
      <w:bookmarkEnd w:id="196"/>
    </w:p>
    <w:p w14:paraId="6D41D028" w14:textId="77777777" w:rsidR="004B2808" w:rsidRDefault="00000000">
      <w:pPr>
        <w:pStyle w:val="Author-eSectionHeading6Numberless"/>
      </w:pPr>
      <w:bookmarkStart w:id="197" w:name="_Toc220490391"/>
      <w:r>
        <w:t>51.56.1a Enduits à base d'argile CCTB 01.12</w:t>
      </w:r>
      <w:bookmarkEnd w:id="197"/>
    </w:p>
    <w:p w14:paraId="10DB8063" w14:textId="77777777" w:rsidR="004B2808" w:rsidRDefault="00000000">
      <w:pPr>
        <w:pStyle w:val="pheading"/>
      </w:pPr>
      <w:bookmarkStart w:id="198" w:name="601"/>
      <w:bookmarkEnd w:id="198"/>
      <w:r>
        <w:t>DESCRIPTION</w:t>
      </w:r>
    </w:p>
    <w:p w14:paraId="4FD91CC5" w14:textId="77777777" w:rsidR="004B2808" w:rsidRDefault="00000000">
      <w:pPr>
        <w:pStyle w:val="pheading"/>
      </w:pPr>
      <w:r>
        <w:t>- Définition / Comprend</w:t>
      </w:r>
    </w:p>
    <w:p w14:paraId="5731A45B" w14:textId="77777777" w:rsidR="004B2808" w:rsidRDefault="00000000">
      <w:pPr>
        <w:jc w:val="both"/>
      </w:pPr>
      <w:r>
        <w:t>Il s’agit de la fourniture et la pose d’un enduit à base d’argile sur parois verticales. Il peut s’agir d’un enduit monocouche ou d’un système d’enduits multicouche.</w:t>
      </w:r>
    </w:p>
    <w:p w14:paraId="267B1B64" w14:textId="77777777" w:rsidR="004B2808" w:rsidRDefault="00000000">
      <w:pPr>
        <w:jc w:val="both"/>
      </w:pPr>
      <w:r>
        <w:t>Les enduits d’argile sont composés d’argiles naturelles, de sables, voire de fibres végétales.</w:t>
      </w:r>
    </w:p>
    <w:p w14:paraId="5BD6871F" w14:textId="77777777" w:rsidR="004B2808" w:rsidRDefault="00000000">
      <w:pPr>
        <w:jc w:val="both"/>
      </w:pPr>
      <w:r>
        <w:t xml:space="preserve">L’éventuel support complémentaire (voir sous-titre </w:t>
      </w:r>
      <w:hyperlink w:anchor="1166" w:history="1">
        <w:r w:rsidR="004B2808">
          <w:rPr>
            <w:color w:val="0000EE"/>
          </w:rPr>
          <w:t>51.53 Support d'enduit complémentaire</w:t>
        </w:r>
      </w:hyperlink>
      <w:r>
        <w:t xml:space="preserve"> et en particulier l’article </w:t>
      </w:r>
      <w:hyperlink w:anchor="1167" w:history="1">
        <w:r w:rsidR="004B2808">
          <w:rPr>
            <w:color w:val="0000EE"/>
          </w:rPr>
          <w:t>51.53.2b Support d'enduit complémentaire - Nattes de roseaux</w:t>
        </w:r>
      </w:hyperlink>
      <w:r>
        <w:t xml:space="preserve">) ainsi que l’éventuelle couche d’accrochage (voir article </w:t>
      </w:r>
      <w:hyperlink w:anchor="1168" w:history="1">
        <w:r w:rsidR="004B2808">
          <w:rPr>
            <w:color w:val="0000EE"/>
          </w:rPr>
          <w:t>51.52.2a Prétraitements - couches d'accrochage</w:t>
        </w:r>
      </w:hyperlink>
      <w:r>
        <w:t>) (gobetis par exemple) sont comptés dans le présent article.</w:t>
      </w:r>
    </w:p>
    <w:p w14:paraId="500A8827" w14:textId="77777777" w:rsidR="004B2808" w:rsidRDefault="00000000">
      <w:pPr>
        <w:jc w:val="both"/>
      </w:pPr>
      <w:r>
        <w:t xml:space="preserve">La portée des travaux est décrite dans le titre </w:t>
      </w:r>
      <w:hyperlink w:anchor="1164" w:history="1">
        <w:r w:rsidR="004B2808">
          <w:rPr>
            <w:color w:val="0000EE"/>
          </w:rPr>
          <w:t>51.5 Revêtements intérieurs enduits</w:t>
        </w:r>
      </w:hyperlink>
      <w:r>
        <w:t>.</w:t>
      </w:r>
    </w:p>
    <w:p w14:paraId="3F161C7B" w14:textId="77777777" w:rsidR="004B2808" w:rsidRDefault="00000000">
      <w:pPr>
        <w:pStyle w:val="pheading"/>
      </w:pPr>
      <w:r>
        <w:t>- Localisation</w:t>
      </w:r>
    </w:p>
    <w:p w14:paraId="4E4F6C21" w14:textId="77777777" w:rsidR="004B2808" w:rsidRDefault="00000000">
      <w:r>
        <w:t xml:space="preserve">Localisation des travaux : </w:t>
      </w:r>
      <w:r>
        <w:rPr>
          <w:rStyle w:val="optioncarChar"/>
        </w:rPr>
        <w:t>***</w:t>
      </w:r>
      <w:r>
        <w:t>.</w:t>
      </w:r>
    </w:p>
    <w:p w14:paraId="57F418D6" w14:textId="77777777" w:rsidR="004B2808" w:rsidRDefault="00000000">
      <w:r>
        <w:t>Voir plans et métrés détaillés.</w:t>
      </w:r>
    </w:p>
    <w:p w14:paraId="4A69A455" w14:textId="77777777" w:rsidR="004B2808" w:rsidRDefault="00000000">
      <w:pPr>
        <w:pStyle w:val="pheading"/>
      </w:pPr>
      <w:r>
        <w:t>MATÉRIAUX</w:t>
      </w:r>
    </w:p>
    <w:p w14:paraId="51D21B82" w14:textId="77777777" w:rsidR="004B2808" w:rsidRDefault="00000000">
      <w:pPr>
        <w:pStyle w:val="pheading"/>
      </w:pPr>
      <w:r>
        <w:t>- Caractéristiques générales</w:t>
      </w:r>
    </w:p>
    <w:p w14:paraId="047620C6" w14:textId="77777777" w:rsidR="004B2808" w:rsidRDefault="00000000">
      <w:pPr>
        <w:jc w:val="both"/>
      </w:pPr>
      <w:r>
        <w:t>Les enduits à base d’argile contiennent souvent des fibres naturelles comme de la paille afin de réduire le risque de fissuration. Les teneurs en sable et fibres des mélanges peuvent varier fortement en fonction du type d’argile et de l’application visée (couche de base ou finition).</w:t>
      </w:r>
    </w:p>
    <w:p w14:paraId="42D3F78A" w14:textId="77777777" w:rsidR="004B2808" w:rsidRDefault="00000000">
      <w:pPr>
        <w:jc w:val="both"/>
      </w:pPr>
      <w:r>
        <w:t>En l’absence de norme propre, les spécifications sont basées principalement sur la [DIN 18947] et la [NBN EN 998-1]. Elles s’appliquent à chaque couche du système d’enduit sauf mention contraire.</w:t>
      </w:r>
    </w:p>
    <w:p w14:paraId="58CC3808" w14:textId="77777777" w:rsidR="004B2808" w:rsidRDefault="00000000">
      <w:pPr>
        <w:jc w:val="both"/>
      </w:pPr>
      <w:r>
        <w:lastRenderedPageBreak/>
        <w:t xml:space="preserve">Granulats végétaux : </w:t>
      </w:r>
      <w:r>
        <w:rPr>
          <w:rStyle w:val="optioncarChar"/>
        </w:rPr>
        <w:t>oui / non</w:t>
      </w:r>
      <w:r>
        <w:t>.</w:t>
      </w:r>
    </w:p>
    <w:p w14:paraId="2D8E6F03" w14:textId="77777777" w:rsidR="004B2808" w:rsidRDefault="00000000">
      <w:pPr>
        <w:jc w:val="both"/>
      </w:pPr>
      <w:r>
        <w:t xml:space="preserve"> Le cas échéant, description de la granulométrie : </w:t>
      </w:r>
      <w:r>
        <w:rPr>
          <w:rStyle w:val="optioncarChar"/>
        </w:rPr>
        <w:t>***</w:t>
      </w:r>
      <w:r>
        <w:t>.</w:t>
      </w:r>
    </w:p>
    <w:p w14:paraId="4C459357" w14:textId="77777777" w:rsidR="004B2808" w:rsidRDefault="00000000">
      <w:pPr>
        <w:jc w:val="both"/>
      </w:pPr>
      <w:r>
        <w:t xml:space="preserve">Masse volumique apparente [DIN 18947], [NBN EN 1015-10]) : </w:t>
      </w:r>
      <w:r>
        <w:rPr>
          <w:rStyle w:val="optioncarChar"/>
        </w:rPr>
        <w:t>non spécifié </w:t>
      </w:r>
      <w:r>
        <w:t>(par défaut)</w:t>
      </w:r>
      <w:r>
        <w:rPr>
          <w:rStyle w:val="optioncarChar"/>
        </w:rPr>
        <w:t xml:space="preserve"> / ***</w:t>
      </w:r>
    </w:p>
    <w:p w14:paraId="243254DD" w14:textId="77777777" w:rsidR="004B2808" w:rsidRDefault="00000000">
      <w:pPr>
        <w:jc w:val="both"/>
      </w:pPr>
      <w:r>
        <w:t xml:space="preserve">Retrait linéaire ([NBN EN 12808-4] ou équivalente) : </w:t>
      </w:r>
      <w:r>
        <w:rPr>
          <w:rStyle w:val="optioncarChar"/>
        </w:rPr>
        <w:t>non spécifié </w:t>
      </w:r>
      <w:r>
        <w:t>(par défaut)</w:t>
      </w:r>
      <w:r>
        <w:rPr>
          <w:rStyle w:val="optioncarChar"/>
        </w:rPr>
        <w:t> / ***</w:t>
      </w:r>
      <w:r>
        <w:t> (≤ 2 mm / m)</w:t>
      </w:r>
    </w:p>
    <w:p w14:paraId="39EE571C" w14:textId="77777777" w:rsidR="004B2808" w:rsidRDefault="00000000">
      <w:pPr>
        <w:jc w:val="both"/>
      </w:pPr>
      <w:r>
        <w:t xml:space="preserve">Résistance à la flexion ([DIN 18947], [NBN EN 1015-11]) : </w:t>
      </w:r>
      <w:r>
        <w:rPr>
          <w:rStyle w:val="optioncarChar"/>
        </w:rPr>
        <w:t>non spécifié </w:t>
      </w:r>
      <w:r>
        <w:t>(par défaut)</w:t>
      </w:r>
      <w:r>
        <w:rPr>
          <w:rStyle w:val="optioncarChar"/>
        </w:rPr>
        <w:t> / ***</w:t>
      </w:r>
    </w:p>
    <w:p w14:paraId="0790A930" w14:textId="77777777" w:rsidR="004B2808" w:rsidRDefault="00000000">
      <w:pPr>
        <w:jc w:val="both"/>
      </w:pPr>
      <w:r>
        <w:t xml:space="preserve">Résistance à la compression ([DIN 18947], [NBN EN 1015-11]) : </w:t>
      </w:r>
      <w:r>
        <w:rPr>
          <w:rStyle w:val="optioncarChar"/>
        </w:rPr>
        <w:t>non spécifié </w:t>
      </w:r>
      <w:r>
        <w:t>(par défaut)</w:t>
      </w:r>
      <w:r>
        <w:rPr>
          <w:rStyle w:val="optioncarChar"/>
        </w:rPr>
        <w:t> / ***</w:t>
      </w:r>
    </w:p>
    <w:p w14:paraId="53B74C03" w14:textId="77777777" w:rsidR="004B2808" w:rsidRDefault="00000000">
      <w:pPr>
        <w:jc w:val="both"/>
      </w:pPr>
      <w:r>
        <w:t xml:space="preserve">Adhérence du système d’enduits ([DIN 18947], [NBN EN 1015-12]) : </w:t>
      </w:r>
      <w:r>
        <w:rPr>
          <w:rStyle w:val="optioncarChar"/>
        </w:rPr>
        <w:t>non spécifié </w:t>
      </w:r>
      <w:r>
        <w:t>(par défaut)</w:t>
      </w:r>
      <w:r>
        <w:rPr>
          <w:rStyle w:val="optioncarChar"/>
        </w:rPr>
        <w:t> / ***</w:t>
      </w:r>
    </w:p>
    <w:p w14:paraId="39EBE40F" w14:textId="77777777" w:rsidR="004B2808" w:rsidRDefault="00000000">
      <w:pPr>
        <w:jc w:val="both"/>
      </w:pPr>
      <w:r>
        <w:t xml:space="preserve">Résistance à la diffusion de vapeur d’eau – valeur µ ([NBN EN ISO 12572]) : </w:t>
      </w:r>
      <w:r>
        <w:rPr>
          <w:rStyle w:val="optioncarChar"/>
        </w:rPr>
        <w:t>non spécifié </w:t>
      </w:r>
      <w:r>
        <w:t>(par défaut)</w:t>
      </w:r>
      <w:r>
        <w:rPr>
          <w:rStyle w:val="optioncarChar"/>
        </w:rPr>
        <w:t> / ***</w:t>
      </w:r>
    </w:p>
    <w:p w14:paraId="2998EC8A" w14:textId="77777777" w:rsidR="004B2808" w:rsidRDefault="00000000">
      <w:pPr>
        <w:jc w:val="both"/>
      </w:pPr>
      <w:r>
        <w:t xml:space="preserve">Reprise d’eau par capillarité ([DIN 18947], [NBN EN 1015-18]) : </w:t>
      </w:r>
      <w:r>
        <w:rPr>
          <w:rStyle w:val="optioncarChar"/>
        </w:rPr>
        <w:t>non spécifié </w:t>
      </w:r>
      <w:r>
        <w:t>(par défaut)</w:t>
      </w:r>
      <w:r>
        <w:rPr>
          <w:rStyle w:val="optioncarChar"/>
        </w:rPr>
        <w:t> / ***</w:t>
      </w:r>
    </w:p>
    <w:p w14:paraId="6AB742D8" w14:textId="77777777" w:rsidR="004B2808" w:rsidRDefault="00000000">
      <w:pPr>
        <w:jc w:val="both"/>
      </w:pPr>
      <w:r>
        <w:t xml:space="preserve">Dureté de surface de la couche de finition ([NBN EN 13279-2]) : </w:t>
      </w:r>
      <w:r>
        <w:rPr>
          <w:rStyle w:val="optioncarChar"/>
        </w:rPr>
        <w:t>non spécifié </w:t>
      </w:r>
      <w:r>
        <w:t>(par défaut)</w:t>
      </w:r>
      <w:r>
        <w:rPr>
          <w:rStyle w:val="optioncarChar"/>
        </w:rPr>
        <w:t> / ***</w:t>
      </w:r>
    </w:p>
    <w:p w14:paraId="138C5B12" w14:textId="77777777" w:rsidR="004B2808" w:rsidRDefault="00000000">
      <w:pPr>
        <w:jc w:val="both"/>
      </w:pPr>
      <w:r>
        <w:t>Dureté shore C de la couche de finition ([NBN EN 12859]) : </w:t>
      </w:r>
      <w:r>
        <w:rPr>
          <w:rStyle w:val="optioncarChar"/>
        </w:rPr>
        <w:t>non spécifié </w:t>
      </w:r>
      <w:r>
        <w:t>(par défaut)</w:t>
      </w:r>
      <w:r>
        <w:rPr>
          <w:rStyle w:val="optioncarChar"/>
        </w:rPr>
        <w:t> / ***</w:t>
      </w:r>
    </w:p>
    <w:p w14:paraId="0A8E8C05" w14:textId="77777777" w:rsidR="004B2808" w:rsidRDefault="00000000">
      <w:pPr>
        <w:jc w:val="both"/>
      </w:pPr>
      <w:r>
        <w:t xml:space="preserve">Sorption hygroscopique à 8% d’humidité relative : </w:t>
      </w:r>
      <w:r>
        <w:rPr>
          <w:rStyle w:val="optioncarChar"/>
        </w:rPr>
        <w:t>non spécifié </w:t>
      </w:r>
      <w:r>
        <w:t>(par défaut)</w:t>
      </w:r>
      <w:r>
        <w:rPr>
          <w:rStyle w:val="optioncarChar"/>
        </w:rPr>
        <w:t> / ***</w:t>
      </w:r>
    </w:p>
    <w:p w14:paraId="199E646D" w14:textId="77777777" w:rsidR="004B2808" w:rsidRDefault="00000000">
      <w:pPr>
        <w:jc w:val="both"/>
      </w:pPr>
      <w:r>
        <w:t xml:space="preserve">Moisture Buffer value du système d’enduits ([DTU BYG R-126]) : </w:t>
      </w:r>
      <w:r>
        <w:rPr>
          <w:rStyle w:val="optioncarChar"/>
        </w:rPr>
        <w:t>non spécifié </w:t>
      </w:r>
      <w:r>
        <w:t>(par défaut)</w:t>
      </w:r>
      <w:r>
        <w:rPr>
          <w:rStyle w:val="optioncarChar"/>
        </w:rPr>
        <w:t> / ***</w:t>
      </w:r>
    </w:p>
    <w:p w14:paraId="6C7F5D72" w14:textId="77777777" w:rsidR="004B2808" w:rsidRDefault="00000000">
      <w:pPr>
        <w:jc w:val="both"/>
      </w:pPr>
      <w:r>
        <w:t xml:space="preserve">Etanchéité à l’air du système d’enduit ([NBN EN 12114]) sur support prescrit : </w:t>
      </w:r>
      <w:r>
        <w:rPr>
          <w:rStyle w:val="optioncarChar"/>
        </w:rPr>
        <w:t>non spécifié </w:t>
      </w:r>
      <w:r>
        <w:t>(par défaut)</w:t>
      </w:r>
      <w:r>
        <w:rPr>
          <w:rStyle w:val="optioncarChar"/>
        </w:rPr>
        <w:t> / ***</w:t>
      </w:r>
    </w:p>
    <w:p w14:paraId="6D30D2ED" w14:textId="77777777" w:rsidR="004B2808" w:rsidRDefault="00000000">
      <w:pPr>
        <w:jc w:val="both"/>
      </w:pPr>
      <w:r>
        <w:t>Conductivité thermique, λ</w:t>
      </w:r>
      <w:r>
        <w:rPr>
          <w:vertAlign w:val="subscript"/>
        </w:rPr>
        <w:t>10,dry,mat</w:t>
      </w:r>
      <w:r>
        <w:t xml:space="preserve"> (valeur 90/90) : </w:t>
      </w:r>
      <w:r>
        <w:rPr>
          <w:rStyle w:val="optioncarChar"/>
        </w:rPr>
        <w:t>non spécifié </w:t>
      </w:r>
      <w:r>
        <w:t>(par défaut)</w:t>
      </w:r>
      <w:r>
        <w:rPr>
          <w:rStyle w:val="optioncarChar"/>
        </w:rPr>
        <w:t> / ***</w:t>
      </w:r>
    </w:p>
    <w:p w14:paraId="0518B953" w14:textId="77777777" w:rsidR="004B2808" w:rsidRDefault="00000000">
      <w:pPr>
        <w:jc w:val="both"/>
      </w:pPr>
      <w:r>
        <w:t xml:space="preserve">Réaction au feu de l’enduit ou du système d’enduit prenant en compte l’influence du support (couche(s) sous-jacente(s)) : classe </w:t>
      </w:r>
      <w:r>
        <w:rPr>
          <w:rStyle w:val="optioncarChar"/>
        </w:rPr>
        <w:t>A1</w:t>
      </w:r>
      <w:r>
        <w:t xml:space="preserve"> (par défaut) </w:t>
      </w:r>
      <w:r>
        <w:rPr>
          <w:rStyle w:val="optioncarChar"/>
        </w:rPr>
        <w:t>/ A2 / B / C / D / E / F / ***</w:t>
      </w:r>
      <w:r>
        <w:t xml:space="preserve"> selon la [NBN EN 13501-1].</w:t>
      </w:r>
    </w:p>
    <w:p w14:paraId="208A55EF" w14:textId="77777777" w:rsidR="004B2808" w:rsidRDefault="00000000">
      <w:pPr>
        <w:jc w:val="both"/>
      </w:pPr>
      <w:r>
        <w:t xml:space="preserve"> Classes additionnelles :</w:t>
      </w:r>
    </w:p>
    <w:p w14:paraId="760F6ED0" w14:textId="77777777" w:rsidR="004B2808" w:rsidRDefault="00000000">
      <w:pPr>
        <w:jc w:val="both"/>
      </w:pPr>
      <w:r>
        <w:t xml:space="preserve"> Production de fumée : exigence </w:t>
      </w:r>
      <w:r>
        <w:rPr>
          <w:rStyle w:val="optioncarChar"/>
        </w:rPr>
        <w:t>s1 / s2 / s3</w:t>
      </w:r>
      <w:r>
        <w:t xml:space="preserve">. </w:t>
      </w:r>
    </w:p>
    <w:p w14:paraId="491B1C38" w14:textId="77777777" w:rsidR="004B2808" w:rsidRDefault="00000000">
      <w:pPr>
        <w:jc w:val="both"/>
      </w:pPr>
      <w:r>
        <w:t xml:space="preserve"> Gouttelettes et particules en feu : </w:t>
      </w:r>
      <w:r>
        <w:rPr>
          <w:rStyle w:val="optioncarChar"/>
        </w:rPr>
        <w:t>d0 / d1 / d2</w:t>
      </w:r>
      <w:r>
        <w:t>.</w:t>
      </w:r>
    </w:p>
    <w:p w14:paraId="30167785" w14:textId="77777777" w:rsidR="004B2808" w:rsidRDefault="00000000">
      <w:pPr>
        <w:jc w:val="both"/>
      </w:pPr>
      <w:r>
        <w:t xml:space="preserve">Couleur de l’enduit monocouche ou de l’enduit de finition du système d’enduit : </w:t>
      </w:r>
      <w:r>
        <w:rPr>
          <w:rStyle w:val="optioncarChar"/>
        </w:rPr>
        <w:t>***</w:t>
      </w:r>
      <w:r>
        <w:t>.</w:t>
      </w:r>
    </w:p>
    <w:p w14:paraId="68F407B9" w14:textId="77777777" w:rsidR="004B2808" w:rsidRDefault="00000000">
      <w:pPr>
        <w:pStyle w:val="pheading"/>
      </w:pPr>
      <w:r>
        <w:t>- Prescriptions complémentaires</w:t>
      </w:r>
    </w:p>
    <w:p w14:paraId="74D93F50" w14:textId="77777777" w:rsidR="004B2808" w:rsidRDefault="00000000">
      <w:pPr>
        <w:jc w:val="both"/>
      </w:pPr>
      <w:r>
        <w:rPr>
          <w:rStyle w:val="facultChar"/>
        </w:rPr>
        <w:t>L’enduit dispose d'une déclaration d'aptitude à l'utilisation suivant les prescriptions de l'élément 02.42.1 Critères d'acceptabilité.</w:t>
      </w:r>
    </w:p>
    <w:p w14:paraId="4D5ECA9C" w14:textId="77777777" w:rsidR="004B2808" w:rsidRDefault="00000000">
      <w:pPr>
        <w:pStyle w:val="pheading"/>
      </w:pPr>
      <w:r>
        <w:t>EXÉCUTION / MISE EN ŒUVRE</w:t>
      </w:r>
    </w:p>
    <w:p w14:paraId="488FA7E6" w14:textId="77777777" w:rsidR="004B2808" w:rsidRDefault="00000000">
      <w:pPr>
        <w:pStyle w:val="pheading"/>
      </w:pPr>
      <w:r>
        <w:t>- Prescriptions générales</w:t>
      </w:r>
    </w:p>
    <w:p w14:paraId="4A290B9B" w14:textId="77777777" w:rsidR="004B2808" w:rsidRDefault="00000000">
      <w:pPr>
        <w:jc w:val="both"/>
      </w:pPr>
      <w:r>
        <w:rPr>
          <w:b/>
        </w:rPr>
        <w:t>Généralités</w:t>
      </w:r>
    </w:p>
    <w:p w14:paraId="23AF061D" w14:textId="77777777" w:rsidR="004B2808" w:rsidRDefault="00000000">
      <w:pPr>
        <w:jc w:val="both"/>
      </w:pPr>
      <w:r>
        <w:t xml:space="preserve">La préparation du support, le mélange de l'enduit et son exécution sont conformes aux dispositions du titre </w:t>
      </w:r>
      <w:hyperlink w:anchor="1164" w:history="1">
        <w:r w:rsidR="004B2808">
          <w:rPr>
            <w:color w:val="0000EE"/>
          </w:rPr>
          <w:t>51.5 Revêtements intérieurs enduits</w:t>
        </w:r>
      </w:hyperlink>
      <w:r>
        <w:t>, à celles du sous-titre </w:t>
      </w:r>
      <w:hyperlink w:anchor="1165" w:history="1">
        <w:r w:rsidR="004B2808">
          <w:rPr>
            <w:color w:val="0000EE"/>
          </w:rPr>
          <w:t>51.52 Préparation du support</w:t>
        </w:r>
      </w:hyperlink>
      <w:r>
        <w:t>, à la documentation technique accompagnant le produit et aux documents de référence.</w:t>
      </w:r>
    </w:p>
    <w:p w14:paraId="0C8A40FC" w14:textId="77777777" w:rsidR="004B2808" w:rsidRDefault="00000000">
      <w:pPr>
        <w:jc w:val="both"/>
      </w:pPr>
      <w:r>
        <w:t>L'entrepreneur soumet le procédé de plafonnage qu'il juge le plus approprié pour l'ouvrage à exécuter à l'approbation de l'auteur de projet ; système multicouche ou monocouche, éventuel support complémentaire, épaisseur de couches, traitement des arêtes (usage d’un profilé ou non, types d’arrondi le cas échéant), finition de surface (fine ou grossière).</w:t>
      </w:r>
    </w:p>
    <w:p w14:paraId="2EEBAABC" w14:textId="77777777" w:rsidR="004B2808" w:rsidRDefault="00000000">
      <w:pPr>
        <w:jc w:val="both"/>
      </w:pPr>
      <w:r>
        <w:t>L’application en monocouche est uniquement possible sur des supports suffisamment plans et avec une succion uniforme.</w:t>
      </w:r>
    </w:p>
    <w:p w14:paraId="2201C810" w14:textId="77777777" w:rsidR="004B2808" w:rsidRDefault="00000000">
      <w:pPr>
        <w:jc w:val="both"/>
      </w:pPr>
      <w:r>
        <w:t>Dans le cas d’un système multicouche, la sous-couche doit être sèche avant d’appliquer la prochaine couche.</w:t>
      </w:r>
    </w:p>
    <w:p w14:paraId="3964D884" w14:textId="77777777" w:rsidR="004B2808" w:rsidRDefault="00000000">
      <w:pPr>
        <w:jc w:val="both"/>
      </w:pPr>
      <w:r>
        <w:t>Les enduits peuvent être appliqués manuellement ou projetés à la machine.</w:t>
      </w:r>
    </w:p>
    <w:p w14:paraId="6CD31D76" w14:textId="77777777" w:rsidR="004B2808" w:rsidRDefault="00000000">
      <w:pPr>
        <w:jc w:val="both"/>
      </w:pPr>
      <w:r>
        <w:rPr>
          <w:b/>
        </w:rPr>
        <w:t>Support</w:t>
      </w:r>
    </w:p>
    <w:p w14:paraId="7A1E2C14" w14:textId="77777777" w:rsidR="004B2808" w:rsidRDefault="00000000">
      <w:pPr>
        <w:jc w:val="both"/>
      </w:pPr>
      <w:r>
        <w:lastRenderedPageBreak/>
        <w:t xml:space="preserve">En cas de support d’enduit complémentaire (voir </w:t>
      </w:r>
      <w:hyperlink w:anchor="1166" w:history="1">
        <w:r w:rsidR="004B2808">
          <w:rPr>
            <w:color w:val="0000EE"/>
          </w:rPr>
          <w:t>51.53 Support d'enduit complémentaire</w:t>
        </w:r>
      </w:hyperlink>
      <w:r>
        <w:t>), ce dernier est fixé au support conformément à la documentation technique accompagnant le produit.</w:t>
      </w:r>
    </w:p>
    <w:p w14:paraId="728DF0FA" w14:textId="77777777" w:rsidR="004B2808" w:rsidRDefault="00000000">
      <w:pPr>
        <w:jc w:val="both"/>
      </w:pPr>
      <w:r>
        <w:t>Le support doit être sec, adhérent, propre, exempt de sels, hors gel, dépoussiéré et suffisamment rugueux.</w:t>
      </w:r>
    </w:p>
    <w:p w14:paraId="4A628E72" w14:textId="77777777" w:rsidR="004B2808" w:rsidRDefault="00000000">
      <w:pPr>
        <w:jc w:val="both"/>
      </w:pPr>
      <w:r>
        <w:t>Une humidification par vaporisation préalable est nécessaire afin de lier d’éventuelles poussières à la surface à enduire. Des panneaux ne doivent pas être humidifiés à l’avance.</w:t>
      </w:r>
    </w:p>
    <w:p w14:paraId="41FF8D58" w14:textId="77777777" w:rsidR="004B2808" w:rsidRDefault="00000000">
      <w:pPr>
        <w:jc w:val="both"/>
      </w:pPr>
      <w:r>
        <w:t>Les supports possibles, revêtus ou non d’une couche d’accrochage, sont les suivants : maçonnerie (pierre, brique, béton, béton cellulaire, blocs de chaux-chanvre, etc. ), projection de chaux-chanvre, etc.</w:t>
      </w:r>
    </w:p>
    <w:p w14:paraId="03DE5252" w14:textId="77777777" w:rsidR="004B2808" w:rsidRDefault="00000000">
      <w:pPr>
        <w:jc w:val="both"/>
      </w:pPr>
      <w:r>
        <w:t>Les supports suivants ne nécessitent pas de couche d’accrochage : panneaux roseau, panneaux fibre de bois, panneaux de liège.</w:t>
      </w:r>
    </w:p>
    <w:p w14:paraId="0308D61B" w14:textId="77777777" w:rsidR="004B2808" w:rsidRDefault="00000000">
      <w:pPr>
        <w:jc w:val="both"/>
      </w:pPr>
      <w:r>
        <w:t>Les supports suivants nécessitent une couche d’accrochage : panneaux en plâtre, plaques fibres-gypse.</w:t>
      </w:r>
    </w:p>
    <w:p w14:paraId="050A73C6" w14:textId="77777777" w:rsidR="004B2808" w:rsidRDefault="00000000">
      <w:pPr>
        <w:jc w:val="both"/>
      </w:pPr>
      <w:r>
        <w:t>Les supports suivants sont dotés de tissus de roseau : OSB, panneaux de bois</w:t>
      </w:r>
    </w:p>
    <w:p w14:paraId="7D081B9D" w14:textId="77777777" w:rsidR="004B2808" w:rsidRDefault="00000000">
      <w:pPr>
        <w:jc w:val="both"/>
      </w:pPr>
      <w:r>
        <w:rPr>
          <w:b/>
        </w:rPr>
        <w:t>Armatures</w:t>
      </w:r>
    </w:p>
    <w:p w14:paraId="3B185F12" w14:textId="77777777" w:rsidR="004B2808" w:rsidRDefault="00000000">
      <w:pPr>
        <w:jc w:val="both"/>
      </w:pPr>
      <w:r>
        <w:t>Un filet d’armature doit être placé sur les joints de panneaux, soit en bandes de 8-10 cm, soit comme armature sur toute la surface. L’armature se place dans le dernier tiers de la couche de l’enduit.</w:t>
      </w:r>
    </w:p>
    <w:p w14:paraId="310408A3" w14:textId="77777777" w:rsidR="004B2808" w:rsidRDefault="00000000">
      <w:pPr>
        <w:jc w:val="both"/>
      </w:pPr>
      <w:r>
        <w:t>Il faut également appliquer une armature sur des supports qui présentent des matériaux différents et/ou d’absorption différente.</w:t>
      </w:r>
    </w:p>
    <w:p w14:paraId="02CC198E" w14:textId="77777777" w:rsidR="004B2808" w:rsidRDefault="00000000">
      <w:pPr>
        <w:jc w:val="both"/>
      </w:pPr>
      <w:r>
        <w:t>Sont autorisées les armatures en fibre de lin ou de jute, la fibre de verre.</w:t>
      </w:r>
    </w:p>
    <w:p w14:paraId="6AFD02DF" w14:textId="77777777" w:rsidR="004B2808" w:rsidRDefault="00000000">
      <w:pPr>
        <w:jc w:val="both"/>
      </w:pPr>
      <w:r>
        <w:t>Le retrait de séchage occasionne parfois des joints de raccord aux ouvrages (ébrasements de fenêtres ou portes, etc. ). Ces joints peuvent être colmatés à l’aide de silicone ou d’un mélange liège-cellulose-argile.</w:t>
      </w:r>
    </w:p>
    <w:p w14:paraId="07641E40" w14:textId="77777777" w:rsidR="004B2808" w:rsidRDefault="00000000">
      <w:pPr>
        <w:jc w:val="both"/>
      </w:pPr>
      <w:r>
        <w:rPr>
          <w:b/>
        </w:rPr>
        <w:t>Séchage</w:t>
      </w:r>
    </w:p>
    <w:p w14:paraId="26E943C2" w14:textId="77777777" w:rsidR="004B2808" w:rsidRDefault="00000000">
      <w:pPr>
        <w:jc w:val="both"/>
      </w:pPr>
      <w:r>
        <w:t>Après l’application de couches épaisses (≥ 1 cm), il faut garantir un séchage rapide par une aération suffisante (ouvrir portes et fenêtres) ou par un appareil de déshumidification.</w:t>
      </w:r>
    </w:p>
    <w:p w14:paraId="5DD94064" w14:textId="77777777" w:rsidR="004B2808" w:rsidRDefault="00000000">
      <w:pPr>
        <w:jc w:val="both"/>
      </w:pPr>
      <w:r>
        <w:t>Après l’application de fines couches (2-5 mm), il faut par contre garantir un séchage lent et régulier sans courant d’air.</w:t>
      </w:r>
    </w:p>
    <w:p w14:paraId="72883123" w14:textId="77777777" w:rsidR="004B2808" w:rsidRDefault="00000000">
      <w:pPr>
        <w:ind w:left="750"/>
      </w:pPr>
      <w:r>
        <w:t> </w:t>
      </w:r>
    </w:p>
    <w:p w14:paraId="6DD212BC" w14:textId="77777777" w:rsidR="004B2808" w:rsidRDefault="00000000">
      <w:pPr>
        <w:pStyle w:val="pheading"/>
      </w:pPr>
      <w:r>
        <w:t>- Notes d’exécution complémentaires</w:t>
      </w:r>
    </w:p>
    <w:p w14:paraId="2F259C6D" w14:textId="77777777" w:rsidR="004B2808" w:rsidRDefault="00000000">
      <w:pPr>
        <w:jc w:val="both"/>
      </w:pPr>
      <w:r>
        <w:rPr>
          <w:rStyle w:val="facultChar"/>
        </w:rPr>
        <w:t xml:space="preserve">Des profils de finition en forme de U sont prévus au droit des interruptions du plafonnage dans les cas suivants : </w:t>
      </w:r>
      <w:r>
        <w:rPr>
          <w:rStyle w:val="optioncarChar"/>
        </w:rPr>
        <w:t>joints de tassement </w:t>
      </w:r>
      <w:r>
        <w:t>(par défaut)</w:t>
      </w:r>
      <w:r>
        <w:rPr>
          <w:rStyle w:val="optioncarChar"/>
        </w:rPr>
        <w:t xml:space="preserve"> / joints de dilatation / jonction avec le parement / jonction avec les châssis / arrêt du plafonnage en hauteur / ***</w:t>
      </w:r>
      <w:r>
        <w:rPr>
          <w:rStyle w:val="facultChar"/>
        </w:rPr>
        <w:t>. Le type et le mode de fixation sont soumis à l'approbation de l'auteur de projet.</w:t>
      </w:r>
    </w:p>
    <w:p w14:paraId="50EECB40" w14:textId="77777777" w:rsidR="004B2808" w:rsidRDefault="00000000">
      <w:pPr>
        <w:pStyle w:val="pheading"/>
      </w:pPr>
      <w:r>
        <w:t>- Échantillons</w:t>
      </w:r>
    </w:p>
    <w:p w14:paraId="73F8454A" w14:textId="77777777" w:rsidR="004B2808" w:rsidRDefault="00000000">
      <w:pPr>
        <w:jc w:val="both"/>
      </w:pPr>
      <w:r>
        <w:t>Dans tous les cas, un échantillon probant de taille suffisante (~1m²) doit être réalisé afin de vérifier la bonne adhérence du support et l’épaisseur à appliquer.</w:t>
      </w:r>
    </w:p>
    <w:p w14:paraId="16872F6E" w14:textId="77777777" w:rsidR="004B2808" w:rsidRDefault="00000000">
      <w:pPr>
        <w:pStyle w:val="pheading"/>
      </w:pPr>
      <w:r>
        <w:t>DOCUMENTS DE RÉFÉRENCE COMPLÉMENTAIRES</w:t>
      </w:r>
    </w:p>
    <w:p w14:paraId="5B335910" w14:textId="77777777" w:rsidR="004B2808" w:rsidRDefault="00000000">
      <w:pPr>
        <w:pStyle w:val="pheading"/>
      </w:pPr>
      <w:r>
        <w:t>- Matériau</w:t>
      </w:r>
    </w:p>
    <w:p w14:paraId="5BECAD4D" w14:textId="77777777" w:rsidR="004B2808" w:rsidRDefault="00000000">
      <w:r>
        <w:t>[Moniteur Terre crue, Röhlen / Ziegert - Construire en terre crue: Construction - Rénovation - Finitions]</w:t>
      </w:r>
    </w:p>
    <w:p w14:paraId="21C151CB" w14:textId="77777777" w:rsidR="004B2808" w:rsidRDefault="00000000">
      <w:r>
        <w:t>[CRATerre, CRATerre - Traité de construction en terre]</w:t>
      </w:r>
    </w:p>
    <w:p w14:paraId="106BA507" w14:textId="77777777" w:rsidR="004B2808" w:rsidRDefault="00000000">
      <w:r>
        <w:t>[NBN EN 998-1, Définitions et spécifications des mortiers pour maçonnerie - Partie 1: Mortiers d'enduits minéraux extérieurs et intérieurs]</w:t>
      </w:r>
    </w:p>
    <w:p w14:paraId="0CA6AD93" w14:textId="77777777" w:rsidR="004B2808" w:rsidRDefault="00000000">
      <w:r>
        <w:lastRenderedPageBreak/>
        <w:t>[NBN EN 1015-10, Méthodes d'essai des mortiers pour la maçonnerie - Partie 10: Détermination de la masse volumique apparente sèche du mortier durci]</w:t>
      </w:r>
    </w:p>
    <w:p w14:paraId="715DA46F" w14:textId="77777777" w:rsidR="004B2808" w:rsidRDefault="00000000">
      <w:r>
        <w:t>[NBN EN 12808-4, Mortiers de joints pour carrelages - Partie 4: Détermination du retrait (+AC:2011)]</w:t>
      </w:r>
    </w:p>
    <w:p w14:paraId="307A33D5" w14:textId="77777777" w:rsidR="004B2808" w:rsidRDefault="00000000">
      <w:r>
        <w:t>[NBN EN 1015-11, Méthodes d'essai des mortiers pour maçonnerie - Détermination de la résistance à la flexion et à la compression du mortier durci]</w:t>
      </w:r>
    </w:p>
    <w:p w14:paraId="5B232F72" w14:textId="77777777" w:rsidR="004B2808" w:rsidRDefault="00000000">
      <w:r>
        <w:t>[NBN EN 1015-12, Méthodes d'essai des mortiers pour maçonnerie - Partie 12 : Détermination de l'adhérence des mortiers d'enduit durcis appliqués sur supports]</w:t>
      </w:r>
    </w:p>
    <w:p w14:paraId="6FE003AD" w14:textId="77777777" w:rsidR="004B2808" w:rsidRDefault="00000000">
      <w:r>
        <w:t>[NBN EN ISO 12572, Performance hygrothermique des matériaux et produits pour le bâtiment - Détermination des propriétés de transmission de la vapeur d'eau - Méthode de la coupelle (ISO 12572:2016)]</w:t>
      </w:r>
    </w:p>
    <w:p w14:paraId="7FF9E6D3" w14:textId="77777777" w:rsidR="004B2808" w:rsidRDefault="00000000">
      <w:r>
        <w:t>[NBN EN 1015-18, Méthodes d'essai des mortiers pour maçonnerie - Partie 18: Détermination du coefficient d'absorption d'eau par capillarité du mortier durci]</w:t>
      </w:r>
    </w:p>
    <w:p w14:paraId="31192AE8" w14:textId="77777777" w:rsidR="004B2808" w:rsidRDefault="00000000">
      <w:r>
        <w:t>[NBN EN 13279-2, Liants-plâtres et enduits à base de plâtre pour le bâtiment - Partie 2: Méthodes d'essai]</w:t>
      </w:r>
    </w:p>
    <w:p w14:paraId="2D8FE2AB" w14:textId="77777777" w:rsidR="004B2808" w:rsidRDefault="00000000">
      <w:r>
        <w:t>[NBN EN 12859, Carreaux de plâtre - Définitions, spécifications et méthodes d'essai]</w:t>
      </w:r>
    </w:p>
    <w:p w14:paraId="03F7928A" w14:textId="77777777" w:rsidR="004B2808" w:rsidRDefault="00000000">
      <w:r>
        <w:t>[DTU BYG R-126, BYG Report - Moisture Buffering of Building Materials - Rode, Carsten]</w:t>
      </w:r>
    </w:p>
    <w:p w14:paraId="4BBD787F" w14:textId="77777777" w:rsidR="004B2808" w:rsidRDefault="00000000">
      <w:r>
        <w:t>[NBN EN 12114, Performance thermique de bâtiments - Perméabilité à l'air des composants et parois de bâtiments - Méthode d'essai en laboratoire]</w:t>
      </w:r>
    </w:p>
    <w:p w14:paraId="3EC47B1A" w14:textId="77777777" w:rsidR="004B2808" w:rsidRDefault="00000000">
      <w:r>
        <w:t>[NBN EN 13501-1, Classement au feu des produits et éléments de construction - Partie 1: Classement à partir des données d'essais de réaction au feu]</w:t>
      </w:r>
    </w:p>
    <w:p w14:paraId="12B35B8E" w14:textId="77777777" w:rsidR="004B2808" w:rsidRDefault="00000000">
      <w:r>
        <w:t>[DIN 18947, Mortier de terre pour enduit - Exigences, essai et étiquetage - Lehmputzmörtel - Anforderungen, Prüfung und Kennzeichnung]</w:t>
      </w:r>
    </w:p>
    <w:p w14:paraId="05CC1887" w14:textId="77777777" w:rsidR="004B2808" w:rsidRDefault="00000000">
      <w:pPr>
        <w:pStyle w:val="pheading"/>
      </w:pPr>
      <w:r>
        <w:t>- Exécution</w:t>
      </w:r>
    </w:p>
    <w:p w14:paraId="01D5A087" w14:textId="77777777" w:rsidR="004B2808" w:rsidRDefault="00000000">
      <w:r>
        <w:t>[NIT 284, Les enduits intérieurs.]</w:t>
      </w:r>
    </w:p>
    <w:p w14:paraId="7B7C1855" w14:textId="77777777" w:rsidR="004B2808" w:rsidRDefault="00000000">
      <w:r>
        <w:t>[NBN EN 13914-2, Conception, préparation et mise en oeuvre des enduits extérieurs et intérieurs - Partie 2: Enduits intérieurs]</w:t>
      </w:r>
    </w:p>
    <w:p w14:paraId="62BE650C" w14:textId="77777777" w:rsidR="004B2808" w:rsidRDefault="00000000">
      <w:r>
        <w:t>[Moniteur Terre crue, Röhlen / Ziegert - Construire en terre crue: Construction - Rénovation - Finitions]</w:t>
      </w:r>
    </w:p>
    <w:p w14:paraId="3D376AFB" w14:textId="77777777" w:rsidR="004B2808" w:rsidRDefault="00000000">
      <w:r>
        <w:t>[CRATerre, CRATerre - Traité de construction en terre]</w:t>
      </w:r>
    </w:p>
    <w:p w14:paraId="120FEF0F" w14:textId="77777777" w:rsidR="004B2808" w:rsidRDefault="00000000">
      <w:r>
        <w:t>[Règles de construction en argile, Lehmbau Regeln: Begriffe – Baustoffe – Bauteile]</w:t>
      </w:r>
    </w:p>
    <w:p w14:paraId="0852DE0E" w14:textId="77777777" w:rsidR="004B2808" w:rsidRDefault="00000000">
      <w:pPr>
        <w:pStyle w:val="pheading"/>
      </w:pPr>
      <w:r>
        <w:t>MESURAGE</w:t>
      </w:r>
    </w:p>
    <w:p w14:paraId="6E1D7D20" w14:textId="77777777" w:rsidR="004B2808" w:rsidRDefault="00000000">
      <w:pPr>
        <w:pStyle w:val="pheading"/>
      </w:pPr>
      <w:r>
        <w:t>- unité de mesure:</w:t>
      </w:r>
    </w:p>
    <w:p w14:paraId="7C561DBF" w14:textId="77777777" w:rsidR="004B2808" w:rsidRDefault="00000000">
      <w:r>
        <w:rPr>
          <w:rStyle w:val="optioncarChar"/>
        </w:rPr>
        <w:t xml:space="preserve">m² </w:t>
      </w:r>
      <w:r>
        <w:t>(par défaut)</w:t>
      </w:r>
      <w:r>
        <w:rPr>
          <w:rStyle w:val="optioncarChar"/>
        </w:rPr>
        <w:t xml:space="preserve"> / m² ; m</w:t>
      </w:r>
    </w:p>
    <w:p w14:paraId="0EC02299" w14:textId="77777777" w:rsidR="004B2808" w:rsidRDefault="00000000">
      <w:r>
        <w:rPr>
          <w:b/>
          <w:i/>
        </w:rPr>
        <w:t>(Soit par défaut)</w:t>
      </w:r>
    </w:p>
    <w:p w14:paraId="7BFC04F2" w14:textId="77777777" w:rsidR="004B2808" w:rsidRDefault="00000000">
      <w:r>
        <w:rPr>
          <w:rStyle w:val="soitChar"/>
        </w:rPr>
        <w:t>1. m²</w:t>
      </w:r>
    </w:p>
    <w:p w14:paraId="0E56AF0E" w14:textId="77777777" w:rsidR="004B2808" w:rsidRDefault="00000000">
      <w:r>
        <w:rPr>
          <w:b/>
          <w:i/>
        </w:rPr>
        <w:t>(Soit)</w:t>
      </w:r>
    </w:p>
    <w:p w14:paraId="2E86585F" w14:textId="77777777" w:rsidR="004B2808" w:rsidRDefault="00000000">
      <w:r>
        <w:rPr>
          <w:rStyle w:val="soitChar"/>
        </w:rPr>
        <w:t>2. m² ; m</w:t>
      </w:r>
    </w:p>
    <w:p w14:paraId="72F8F566" w14:textId="77777777" w:rsidR="004B2808" w:rsidRDefault="00000000">
      <w:pPr>
        <w:pStyle w:val="pheading"/>
      </w:pPr>
      <w:r>
        <w:t>- code de mesurage:</w:t>
      </w:r>
    </w:p>
    <w:p w14:paraId="53EB2F6F" w14:textId="77777777" w:rsidR="004B2808" w:rsidRDefault="00000000">
      <w:pPr>
        <w:jc w:val="both"/>
      </w:pPr>
      <w:r>
        <w:rPr>
          <w:rStyle w:val="optioncarChar"/>
        </w:rPr>
        <w:t xml:space="preserve">Surface nette </w:t>
      </w:r>
      <w:r>
        <w:t xml:space="preserve">(par défaut) </w:t>
      </w:r>
      <w:r>
        <w:rPr>
          <w:rStyle w:val="optioncarChar"/>
        </w:rPr>
        <w:t>/ Surface nette et longueur nette des ébrasements et moulures</w:t>
      </w:r>
    </w:p>
    <w:p w14:paraId="00878607" w14:textId="77777777" w:rsidR="004B2808" w:rsidRDefault="00000000">
      <w:pPr>
        <w:jc w:val="both"/>
      </w:pPr>
      <w:r>
        <w:rPr>
          <w:b/>
          <w:i/>
        </w:rPr>
        <w:t>(Soit par défaut)</w:t>
      </w:r>
    </w:p>
    <w:p w14:paraId="6A2D5FB5" w14:textId="77777777" w:rsidR="004B2808" w:rsidRDefault="00000000">
      <w:pPr>
        <w:jc w:val="both"/>
      </w:pPr>
      <w:r>
        <w:rPr>
          <w:rStyle w:val="soitChar"/>
          <w:b/>
        </w:rPr>
        <w:t>1. Surface nette </w:t>
      </w:r>
    </w:p>
    <w:p w14:paraId="69BD8030" w14:textId="77777777" w:rsidR="004B2808" w:rsidRDefault="004B2808">
      <w:pPr>
        <w:jc w:val="both"/>
      </w:pPr>
    </w:p>
    <w:p w14:paraId="25EBAA26" w14:textId="77777777" w:rsidR="004B2808" w:rsidRDefault="00000000">
      <w:pPr>
        <w:pStyle w:val="Author-eListParagraph"/>
        <w:numPr>
          <w:ilvl w:val="0"/>
          <w:numId w:val="262"/>
        </w:numPr>
      </w:pPr>
      <w:r>
        <w:rPr>
          <w:rStyle w:val="soitChar"/>
          <w:u w:val="single"/>
        </w:rPr>
        <w:lastRenderedPageBreak/>
        <w:t>murs</w:t>
      </w:r>
      <w:r>
        <w:rPr>
          <w:rStyle w:val="soitChar"/>
        </w:rPr>
        <w:t> : toutes les baies de fenêtres et portes extérieures qui doivent être enduites sont comptées pleines, en compensation du plafonnage des ébrasements sur les côtés et en linteau; par contre, les baies dont les ébrasements ne doivent pas être enduits et dont la superficie est supérieure à 0,5 m², sont déduites (par ex. les portes intérieures où un encadrement est prévu ou les portes et fenêtres qui sont habillées de panneaux de revêtement).</w:t>
      </w:r>
    </w:p>
    <w:p w14:paraId="5CEB3F2E" w14:textId="77777777" w:rsidR="004B2808" w:rsidRDefault="00000000">
      <w:pPr>
        <w:pStyle w:val="Author-eListParagraph"/>
        <w:numPr>
          <w:ilvl w:val="0"/>
          <w:numId w:val="262"/>
        </w:numPr>
      </w:pPr>
      <w:r>
        <w:rPr>
          <w:rStyle w:val="soitChar"/>
        </w:rPr>
        <w:t>les travaux de plafonnage ne font pas l'objet de décomptes.</w:t>
      </w:r>
    </w:p>
    <w:p w14:paraId="47E3BD93" w14:textId="77777777" w:rsidR="004B2808" w:rsidRDefault="00000000">
      <w:pPr>
        <w:jc w:val="both"/>
      </w:pPr>
      <w:r>
        <w:rPr>
          <w:b/>
          <w:i/>
        </w:rPr>
        <w:t>(Soit)</w:t>
      </w:r>
    </w:p>
    <w:p w14:paraId="06EC7F88" w14:textId="77777777" w:rsidR="004B2808" w:rsidRDefault="00000000">
      <w:pPr>
        <w:jc w:val="both"/>
      </w:pPr>
      <w:r>
        <w:rPr>
          <w:rStyle w:val="soitChar"/>
          <w:b/>
        </w:rPr>
        <w:t>2. Surface nette et longueur nette des ébrasements et moulures</w:t>
      </w:r>
      <w:r>
        <w:rPr>
          <w:rStyle w:val="soitChar"/>
        </w:rPr>
        <w:t>.</w:t>
      </w:r>
    </w:p>
    <w:p w14:paraId="39E530B1" w14:textId="77777777" w:rsidR="004B2808" w:rsidRDefault="004B2808">
      <w:pPr>
        <w:jc w:val="both"/>
      </w:pPr>
    </w:p>
    <w:p w14:paraId="2889B731" w14:textId="77777777" w:rsidR="004B2808" w:rsidRDefault="00000000">
      <w:pPr>
        <w:pStyle w:val="Author-eListParagraph"/>
        <w:numPr>
          <w:ilvl w:val="0"/>
          <w:numId w:val="263"/>
        </w:numPr>
        <w:jc w:val="both"/>
      </w:pPr>
      <w:r>
        <w:rPr>
          <w:rStyle w:val="soitChar"/>
          <w:u w:val="single"/>
        </w:rPr>
        <w:t>parois verticales</w:t>
      </w:r>
      <w:r>
        <w:rPr>
          <w:rStyle w:val="soitChar"/>
        </w:rPr>
        <w:t> : surface nette, toutes les réservations supérieures à 0,5 m² sont déduites.</w:t>
      </w:r>
    </w:p>
    <w:p w14:paraId="464591D1" w14:textId="77777777" w:rsidR="004B2808" w:rsidRDefault="00000000">
      <w:pPr>
        <w:pStyle w:val="Author-eListParagraph"/>
        <w:numPr>
          <w:ilvl w:val="0"/>
          <w:numId w:val="263"/>
        </w:numPr>
        <w:jc w:val="both"/>
      </w:pPr>
      <w:r>
        <w:rPr>
          <w:rStyle w:val="soitChar"/>
          <w:u w:val="single"/>
        </w:rPr>
        <w:t>les ébrasements et les moulures</w:t>
      </w:r>
      <w:r>
        <w:rPr>
          <w:rStyle w:val="soitChar"/>
        </w:rPr>
        <w:t xml:space="preserve"> dont la largeur est inférieure à 30 cm sont comptés séparément, longueur nette, le cas échéant ventilé selon les différentes épaisseurs de murs.</w:t>
      </w:r>
    </w:p>
    <w:p w14:paraId="75F7CF8C" w14:textId="77777777" w:rsidR="004B2808" w:rsidRDefault="00000000">
      <w:pPr>
        <w:pStyle w:val="Author-eListParagraph"/>
        <w:numPr>
          <w:ilvl w:val="0"/>
          <w:numId w:val="263"/>
        </w:numPr>
        <w:jc w:val="both"/>
      </w:pPr>
      <w:r>
        <w:rPr>
          <w:rStyle w:val="soitChar"/>
        </w:rPr>
        <w:t>les travaux de plafonnage ne font pas l'objet de décomptes.</w:t>
      </w:r>
    </w:p>
    <w:p w14:paraId="3EE218C8" w14:textId="77777777" w:rsidR="004B2808" w:rsidRDefault="00000000">
      <w:pPr>
        <w:pStyle w:val="pheading"/>
      </w:pPr>
      <w:r>
        <w:t>- nature du marché:</w:t>
      </w:r>
    </w:p>
    <w:p w14:paraId="02DD924B" w14:textId="77777777" w:rsidR="004B2808" w:rsidRDefault="00000000">
      <w:r>
        <w:t>1.2. QF</w:t>
      </w:r>
    </w:p>
    <w:p w14:paraId="0941EE5D" w14:textId="77777777" w:rsidR="004B2808" w:rsidRDefault="00000000">
      <w:pPr>
        <w:pStyle w:val="pheading"/>
      </w:pPr>
      <w:r>
        <w:t>AIDE</w:t>
      </w:r>
    </w:p>
    <w:p w14:paraId="41621238" w14:textId="77777777" w:rsidR="004B2808" w:rsidRDefault="00000000">
      <w:pPr>
        <w:jc w:val="both"/>
      </w:pPr>
      <w:r>
        <w:t>L’auteur de projet peut s’inspirer des ouvrages de référence suivant pour une prescription adéquate : [Moniteur Terre crue], [CRATerre]</w:t>
      </w:r>
    </w:p>
    <w:p w14:paraId="6A61D429" w14:textId="77777777" w:rsidR="004B2808" w:rsidRDefault="00000000">
      <w:pPr>
        <w:pStyle w:val="Author-eSectionHeading6Numberless"/>
      </w:pPr>
      <w:bookmarkStart w:id="199" w:name="_Toc220490392"/>
      <w:r>
        <w:t>51.56.1b Enduits à base d'argile et d'autres composants minéraux CCTB 01.12</w:t>
      </w:r>
      <w:bookmarkEnd w:id="199"/>
    </w:p>
    <w:p w14:paraId="4615140B" w14:textId="77777777" w:rsidR="004B2808" w:rsidRDefault="00000000">
      <w:pPr>
        <w:pStyle w:val="pheading"/>
      </w:pPr>
      <w:r>
        <w:t>DESCRIPTION</w:t>
      </w:r>
    </w:p>
    <w:p w14:paraId="31AEBA18" w14:textId="77777777" w:rsidR="004B2808" w:rsidRDefault="00000000">
      <w:pPr>
        <w:pStyle w:val="pheading"/>
      </w:pPr>
      <w:r>
        <w:t>- Définition / Comprend</w:t>
      </w:r>
    </w:p>
    <w:p w14:paraId="17260B3B" w14:textId="77777777" w:rsidR="004B2808" w:rsidRDefault="00000000">
      <w:pPr>
        <w:jc w:val="both"/>
      </w:pPr>
      <w:r>
        <w:t>Il s’agit de la fourniture et la pose d’un enduit à base d’argile et d’autres composants minéraux (plâtre, chaux) sur parois verticales.</w:t>
      </w:r>
    </w:p>
    <w:p w14:paraId="2989881D" w14:textId="77777777" w:rsidR="004B2808" w:rsidRDefault="00000000">
      <w:pPr>
        <w:jc w:val="both"/>
      </w:pPr>
      <w:r>
        <w:t>Ces enduits contiennent en outre du sable voir des fibres végétales.</w:t>
      </w:r>
    </w:p>
    <w:p w14:paraId="1C37846C" w14:textId="77777777" w:rsidR="004B2808" w:rsidRDefault="00000000">
      <w:pPr>
        <w:jc w:val="both"/>
      </w:pPr>
      <w:r>
        <w:t xml:space="preserve">Il peut s’agir d’un enduit monocouche ou d’un système d’enduits multicouche. L’éventuel support complémentaire (voir sous-titre </w:t>
      </w:r>
      <w:hyperlink w:anchor="1166" w:history="1">
        <w:r w:rsidR="004B2808">
          <w:rPr>
            <w:color w:val="0000EE"/>
          </w:rPr>
          <w:t>51.53 Support d'enduit complémentaire</w:t>
        </w:r>
      </w:hyperlink>
      <w:r>
        <w:t xml:space="preserve"> et en particulier l’article </w:t>
      </w:r>
      <w:hyperlink w:anchor="1167" w:history="1">
        <w:r w:rsidR="004B2808">
          <w:rPr>
            <w:color w:val="0000EE"/>
          </w:rPr>
          <w:t>51.53.2b Support d'enduit complémentaire - Nattes de roseaux</w:t>
        </w:r>
      </w:hyperlink>
      <w:r>
        <w:t xml:space="preserve">) ainsi que l’éventuelle couche d’accrochage (voir article </w:t>
      </w:r>
      <w:hyperlink w:anchor="1168" w:history="1">
        <w:r w:rsidR="004B2808">
          <w:rPr>
            <w:color w:val="0000EE"/>
          </w:rPr>
          <w:t>51.52.2a Prétraitements - couches d'accrochage</w:t>
        </w:r>
      </w:hyperlink>
      <w:r>
        <w:t>) (gobetis par exemple) sont comptés dans le présent article.</w:t>
      </w:r>
    </w:p>
    <w:p w14:paraId="18DFEC71" w14:textId="77777777" w:rsidR="004B2808" w:rsidRDefault="00000000">
      <w:pPr>
        <w:jc w:val="both"/>
      </w:pPr>
      <w:r>
        <w:t xml:space="preserve">La portée des travaux est décrite dans le titre </w:t>
      </w:r>
      <w:hyperlink w:anchor="1164" w:history="1">
        <w:r w:rsidR="004B2808">
          <w:rPr>
            <w:color w:val="0000EE"/>
          </w:rPr>
          <w:t>51.5 Revêtements intérieurs enduits</w:t>
        </w:r>
      </w:hyperlink>
      <w:r>
        <w:t>.</w:t>
      </w:r>
    </w:p>
    <w:p w14:paraId="617E7048" w14:textId="77777777" w:rsidR="004B2808" w:rsidRDefault="00000000">
      <w:pPr>
        <w:pStyle w:val="pheading"/>
      </w:pPr>
      <w:r>
        <w:t>- Localisation</w:t>
      </w:r>
    </w:p>
    <w:p w14:paraId="4AA67410" w14:textId="77777777" w:rsidR="004B2808" w:rsidRDefault="00000000">
      <w:r>
        <w:t xml:space="preserve">Localisation des travaux : </w:t>
      </w:r>
      <w:r>
        <w:rPr>
          <w:rStyle w:val="optioncarChar"/>
        </w:rPr>
        <w:t>***</w:t>
      </w:r>
      <w:r>
        <w:t>.</w:t>
      </w:r>
    </w:p>
    <w:p w14:paraId="6EBF77F4" w14:textId="77777777" w:rsidR="004B2808" w:rsidRDefault="00000000">
      <w:r>
        <w:t>Voir plans et métrés détaillés.</w:t>
      </w:r>
    </w:p>
    <w:p w14:paraId="4269CC4B" w14:textId="77777777" w:rsidR="004B2808" w:rsidRDefault="00000000">
      <w:pPr>
        <w:pStyle w:val="pheading"/>
      </w:pPr>
      <w:r>
        <w:t>MATÉRIAUX</w:t>
      </w:r>
    </w:p>
    <w:p w14:paraId="6FCF2E70" w14:textId="77777777" w:rsidR="004B2808" w:rsidRDefault="00000000">
      <w:pPr>
        <w:pStyle w:val="pheading"/>
      </w:pPr>
      <w:r>
        <w:t>- Caractéristiques générales</w:t>
      </w:r>
    </w:p>
    <w:p w14:paraId="7A356CAE" w14:textId="77777777" w:rsidR="004B2808" w:rsidRDefault="00000000">
      <w:pPr>
        <w:jc w:val="both"/>
      </w:pPr>
      <w:r>
        <w:t>Les enduits à base d’argile contiennent souvent des fibres naturelles comme de la paille afin de réduire le risque de fissuration. Les teneurs en sable et fibres des mélanges peuvent varier fortement en fonction du type d’argile et de l’application visée (couche de base ou finition).</w:t>
      </w:r>
    </w:p>
    <w:p w14:paraId="6E9741EC" w14:textId="77777777" w:rsidR="004B2808" w:rsidRDefault="00000000">
      <w:pPr>
        <w:jc w:val="both"/>
      </w:pPr>
      <w:r>
        <w:t>En l’absence de norme propre, les spécifications sont basées principalement sur la [DIN 18947] et la [NBN EN 998-1]. Elles s’appliquent à chaque couche du système d’enduit sauf mention contraire.</w:t>
      </w:r>
    </w:p>
    <w:p w14:paraId="3BC8FE89" w14:textId="77777777" w:rsidR="004B2808" w:rsidRDefault="00000000">
      <w:pPr>
        <w:jc w:val="both"/>
      </w:pPr>
      <w:r>
        <w:t xml:space="preserve">Autres composants minéraux : </w:t>
      </w:r>
      <w:r>
        <w:rPr>
          <w:rStyle w:val="optioncarChar"/>
        </w:rPr>
        <w:t>chaux </w:t>
      </w:r>
      <w:r>
        <w:t>(par défaut)</w:t>
      </w:r>
      <w:r>
        <w:rPr>
          <w:rStyle w:val="optioncarChar"/>
        </w:rPr>
        <w:t xml:space="preserve"> / plâtre / ***</w:t>
      </w:r>
    </w:p>
    <w:p w14:paraId="28D994BA" w14:textId="77777777" w:rsidR="004B2808" w:rsidRDefault="00000000">
      <w:pPr>
        <w:jc w:val="both"/>
      </w:pPr>
      <w:r>
        <w:t>Granulats végétaux : </w:t>
      </w:r>
      <w:r>
        <w:rPr>
          <w:rStyle w:val="optioncarChar"/>
        </w:rPr>
        <w:t>oui / non</w:t>
      </w:r>
      <w:r>
        <w:t>.</w:t>
      </w:r>
    </w:p>
    <w:p w14:paraId="3E2B7DEF" w14:textId="77777777" w:rsidR="004B2808" w:rsidRDefault="00000000">
      <w:pPr>
        <w:jc w:val="both"/>
      </w:pPr>
      <w:r>
        <w:t>Le cas échéant, description de la granulométrie : </w:t>
      </w:r>
      <w:r>
        <w:rPr>
          <w:rStyle w:val="optioncarChar"/>
        </w:rPr>
        <w:t>***</w:t>
      </w:r>
      <w:r>
        <w:t>.</w:t>
      </w:r>
    </w:p>
    <w:p w14:paraId="258B15EA" w14:textId="77777777" w:rsidR="004B2808" w:rsidRDefault="00000000">
      <w:pPr>
        <w:jc w:val="both"/>
      </w:pPr>
      <w:r>
        <w:lastRenderedPageBreak/>
        <w:t>Masse volumique apparente [DIN 18947], [NBN EN 1015-10]) :</w:t>
      </w:r>
      <w:r>
        <w:rPr>
          <w:rStyle w:val="optioncarChar"/>
        </w:rPr>
        <w:t>non spécifié </w:t>
      </w:r>
      <w:r>
        <w:t>(par défaut)</w:t>
      </w:r>
      <w:r>
        <w:rPr>
          <w:rStyle w:val="optioncarChar"/>
        </w:rPr>
        <w:t> / ***</w:t>
      </w:r>
    </w:p>
    <w:p w14:paraId="63D46E8C" w14:textId="77777777" w:rsidR="004B2808" w:rsidRDefault="00000000">
      <w:pPr>
        <w:jc w:val="both"/>
      </w:pPr>
      <w:r>
        <w:t>Retrait linéaire ([NBN EN 12808-4] ou équivalente) :</w:t>
      </w:r>
      <w:r>
        <w:rPr>
          <w:rStyle w:val="optioncarChar"/>
        </w:rPr>
        <w:t>non spécifié </w:t>
      </w:r>
      <w:r>
        <w:t>(par défaut)</w:t>
      </w:r>
      <w:r>
        <w:rPr>
          <w:rStyle w:val="optioncarChar"/>
        </w:rPr>
        <w:t> / ***</w:t>
      </w:r>
      <w:r>
        <w:t> (≤ 2 mm / m)</w:t>
      </w:r>
    </w:p>
    <w:p w14:paraId="67A1E811" w14:textId="77777777" w:rsidR="004B2808" w:rsidRDefault="00000000">
      <w:pPr>
        <w:jc w:val="both"/>
      </w:pPr>
      <w:r>
        <w:t>Résistance à la flexion ([DIN 18947], [NBN EN 1015-11]) :</w:t>
      </w:r>
      <w:r>
        <w:rPr>
          <w:rStyle w:val="optioncarChar"/>
        </w:rPr>
        <w:t>non spécifié </w:t>
      </w:r>
      <w:r>
        <w:t>(par défaut)</w:t>
      </w:r>
      <w:r>
        <w:rPr>
          <w:rStyle w:val="optioncarChar"/>
        </w:rPr>
        <w:t> / ***</w:t>
      </w:r>
    </w:p>
    <w:p w14:paraId="4950D401" w14:textId="77777777" w:rsidR="004B2808" w:rsidRDefault="00000000">
      <w:pPr>
        <w:jc w:val="both"/>
      </w:pPr>
      <w:r>
        <w:t>Résistance à la compression ([DIN 18947], [NBN EN 1015-11]) :</w:t>
      </w:r>
      <w:r>
        <w:rPr>
          <w:rStyle w:val="optioncarChar"/>
        </w:rPr>
        <w:t>non spécifié </w:t>
      </w:r>
      <w:r>
        <w:t>(par défaut)</w:t>
      </w:r>
      <w:r>
        <w:rPr>
          <w:rStyle w:val="optioncarChar"/>
        </w:rPr>
        <w:t> / ***</w:t>
      </w:r>
    </w:p>
    <w:p w14:paraId="3CE1FF8F" w14:textId="77777777" w:rsidR="004B2808" w:rsidRDefault="00000000">
      <w:pPr>
        <w:jc w:val="both"/>
      </w:pPr>
      <w:r>
        <w:t>Adhérence du système d’enduits ([DIN 18947], [NBN EN 1015-12]) :</w:t>
      </w:r>
      <w:r>
        <w:rPr>
          <w:rStyle w:val="optioncarChar"/>
        </w:rPr>
        <w:t>non spécifié </w:t>
      </w:r>
      <w:r>
        <w:t>(par défaut)</w:t>
      </w:r>
      <w:r>
        <w:rPr>
          <w:rStyle w:val="optioncarChar"/>
        </w:rPr>
        <w:t> / ***</w:t>
      </w:r>
    </w:p>
    <w:p w14:paraId="4515D895" w14:textId="77777777" w:rsidR="004B2808" w:rsidRDefault="00000000">
      <w:pPr>
        <w:jc w:val="both"/>
      </w:pPr>
      <w:r>
        <w:t>Résistance à la diffusion de vapeur d’eau – valeur µ ([NBN EN ISO 12572]) :</w:t>
      </w:r>
      <w:r>
        <w:rPr>
          <w:rStyle w:val="optioncarChar"/>
        </w:rPr>
        <w:t>non spécifié </w:t>
      </w:r>
      <w:r>
        <w:t>(par défaut)</w:t>
      </w:r>
      <w:r>
        <w:rPr>
          <w:rStyle w:val="optioncarChar"/>
        </w:rPr>
        <w:t> / ***</w:t>
      </w:r>
    </w:p>
    <w:p w14:paraId="7222987A" w14:textId="77777777" w:rsidR="004B2808" w:rsidRDefault="00000000">
      <w:pPr>
        <w:jc w:val="both"/>
      </w:pPr>
      <w:r>
        <w:t>Reprise d’eau par capillarité ([DIN 18947], [NBN EN 1015-18]) :</w:t>
      </w:r>
      <w:r>
        <w:rPr>
          <w:rStyle w:val="optioncarChar"/>
        </w:rPr>
        <w:t>non spécifié </w:t>
      </w:r>
      <w:r>
        <w:t>(par défaut)</w:t>
      </w:r>
      <w:r>
        <w:rPr>
          <w:rStyle w:val="optioncarChar"/>
        </w:rPr>
        <w:t> / ***</w:t>
      </w:r>
    </w:p>
    <w:p w14:paraId="3440840C" w14:textId="77777777" w:rsidR="004B2808" w:rsidRDefault="00000000">
      <w:pPr>
        <w:jc w:val="both"/>
      </w:pPr>
      <w:r>
        <w:t>Dureté de surface de la couche de finition ([NBN EN 13279-2]) :</w:t>
      </w:r>
      <w:r>
        <w:rPr>
          <w:rStyle w:val="optioncarChar"/>
        </w:rPr>
        <w:t>non spécifié </w:t>
      </w:r>
      <w:r>
        <w:t>(par défaut)</w:t>
      </w:r>
      <w:r>
        <w:rPr>
          <w:rStyle w:val="optioncarChar"/>
        </w:rPr>
        <w:t> / ***</w:t>
      </w:r>
    </w:p>
    <w:p w14:paraId="2A16806D" w14:textId="77777777" w:rsidR="004B2808" w:rsidRDefault="00000000">
      <w:pPr>
        <w:jc w:val="both"/>
      </w:pPr>
      <w:r>
        <w:t>Dureté shore C de la couche de finition ([NBN EN 12859]) :</w:t>
      </w:r>
      <w:r>
        <w:rPr>
          <w:rStyle w:val="optioncarChar"/>
        </w:rPr>
        <w:t>non spécifié </w:t>
      </w:r>
      <w:r>
        <w:t>(par défaut)</w:t>
      </w:r>
      <w:r>
        <w:rPr>
          <w:rStyle w:val="optioncarChar"/>
        </w:rPr>
        <w:t> / ***</w:t>
      </w:r>
    </w:p>
    <w:p w14:paraId="3C4994B0" w14:textId="77777777" w:rsidR="004B2808" w:rsidRDefault="00000000">
      <w:pPr>
        <w:jc w:val="both"/>
      </w:pPr>
      <w:r>
        <w:t>Sorption hygroscopique à 8% d’humidité relative :</w:t>
      </w:r>
      <w:r>
        <w:rPr>
          <w:rStyle w:val="optioncarChar"/>
        </w:rPr>
        <w:t>non spécifié </w:t>
      </w:r>
      <w:r>
        <w:t>(par défaut)</w:t>
      </w:r>
      <w:r>
        <w:rPr>
          <w:rStyle w:val="optioncarChar"/>
        </w:rPr>
        <w:t> / ***</w:t>
      </w:r>
    </w:p>
    <w:p w14:paraId="6DD9FB87" w14:textId="77777777" w:rsidR="004B2808" w:rsidRDefault="00000000">
      <w:pPr>
        <w:jc w:val="both"/>
      </w:pPr>
      <w:r>
        <w:t>Moisture Buffer value du système d’enduits ([DTU BYG R-126]) :</w:t>
      </w:r>
      <w:r>
        <w:rPr>
          <w:rStyle w:val="optioncarChar"/>
        </w:rPr>
        <w:t>non spécifié </w:t>
      </w:r>
      <w:r>
        <w:t>(par défaut)</w:t>
      </w:r>
      <w:r>
        <w:rPr>
          <w:rStyle w:val="optioncarChar"/>
        </w:rPr>
        <w:t> / ***</w:t>
      </w:r>
    </w:p>
    <w:p w14:paraId="5E9350D8" w14:textId="77777777" w:rsidR="004B2808" w:rsidRDefault="00000000">
      <w:pPr>
        <w:jc w:val="both"/>
      </w:pPr>
      <w:r>
        <w:t>Etanchéité à l’air du système d’enduit ([NBN EN 12114]) sur support prescrit : </w:t>
      </w:r>
      <w:r>
        <w:rPr>
          <w:rStyle w:val="optioncarChar"/>
        </w:rPr>
        <w:t>*** / non spécifié</w:t>
      </w:r>
    </w:p>
    <w:p w14:paraId="54915066" w14:textId="77777777" w:rsidR="004B2808" w:rsidRDefault="00000000">
      <w:pPr>
        <w:jc w:val="both"/>
      </w:pPr>
      <w:r>
        <w:t>Conductivité thermique, λ</w:t>
      </w:r>
      <w:r>
        <w:rPr>
          <w:vertAlign w:val="subscript"/>
        </w:rPr>
        <w:t>10,dry,mat</w:t>
      </w:r>
      <w:r>
        <w:t> (valeur 90/90) :</w:t>
      </w:r>
      <w:r>
        <w:rPr>
          <w:rStyle w:val="optioncarChar"/>
        </w:rPr>
        <w:t>non spécifié </w:t>
      </w:r>
      <w:r>
        <w:t>(par défaut)</w:t>
      </w:r>
      <w:r>
        <w:rPr>
          <w:rStyle w:val="optioncarChar"/>
        </w:rPr>
        <w:t> / ***</w:t>
      </w:r>
    </w:p>
    <w:p w14:paraId="65C64267" w14:textId="77777777" w:rsidR="004B2808" w:rsidRDefault="00000000">
      <w:pPr>
        <w:jc w:val="both"/>
      </w:pPr>
      <w:r>
        <w:t>Réaction au feu de l’enduit ou du système d’enduit prenant en compte l’influence du support (couche(s) sous-jacente(s)) : classe  </w:t>
      </w:r>
      <w:r>
        <w:rPr>
          <w:rStyle w:val="optioncarChar"/>
        </w:rPr>
        <w:t>A1 </w:t>
      </w:r>
      <w:r>
        <w:t>(par défaut)</w:t>
      </w:r>
      <w:r>
        <w:rPr>
          <w:rStyle w:val="optioncarChar"/>
        </w:rPr>
        <w:t xml:space="preserve"> / A2 / B / C / D / E / F / ***</w:t>
      </w:r>
      <w:r>
        <w:t> selon la [NBN EN 13501-1].</w:t>
      </w:r>
    </w:p>
    <w:p w14:paraId="01EE5219" w14:textId="77777777" w:rsidR="004B2808" w:rsidRDefault="00000000">
      <w:pPr>
        <w:jc w:val="both"/>
      </w:pPr>
      <w:r>
        <w:t>Classes additionnelles :</w:t>
      </w:r>
    </w:p>
    <w:p w14:paraId="2ED0330B" w14:textId="77777777" w:rsidR="004B2808" w:rsidRDefault="00000000">
      <w:pPr>
        <w:jc w:val="both"/>
      </w:pPr>
      <w:r>
        <w:t>Production de fumée : exigence </w:t>
      </w:r>
      <w:r>
        <w:rPr>
          <w:rStyle w:val="optioncarChar"/>
        </w:rPr>
        <w:t>s1 / s2 / s3</w:t>
      </w:r>
      <w:r>
        <w:t>. </w:t>
      </w:r>
    </w:p>
    <w:p w14:paraId="0442FC0D" w14:textId="77777777" w:rsidR="004B2808" w:rsidRDefault="00000000">
      <w:pPr>
        <w:jc w:val="both"/>
      </w:pPr>
      <w:r>
        <w:t>Gouttelettes et particules en feu : </w:t>
      </w:r>
      <w:r>
        <w:rPr>
          <w:rStyle w:val="optioncarChar"/>
        </w:rPr>
        <w:t>d0 / d1 / d2</w:t>
      </w:r>
      <w:r>
        <w:t>.</w:t>
      </w:r>
    </w:p>
    <w:p w14:paraId="18CC3B0B" w14:textId="77777777" w:rsidR="004B2808" w:rsidRDefault="00000000">
      <w:pPr>
        <w:jc w:val="both"/>
      </w:pPr>
      <w:r>
        <w:t>Couleur de l’enduit monocouche ou de l’enduit de finition du système d’enduit : </w:t>
      </w:r>
      <w:r>
        <w:rPr>
          <w:rStyle w:val="optioncarChar"/>
        </w:rPr>
        <w:t>***</w:t>
      </w:r>
      <w:r>
        <w:t>.</w:t>
      </w:r>
    </w:p>
    <w:p w14:paraId="6E01D0F0" w14:textId="77777777" w:rsidR="004B2808" w:rsidRDefault="00000000">
      <w:pPr>
        <w:pStyle w:val="pheading"/>
      </w:pPr>
      <w:r>
        <w:t>- Prescriptions complémentaires</w:t>
      </w:r>
    </w:p>
    <w:p w14:paraId="56B96D04" w14:textId="77777777" w:rsidR="004B2808" w:rsidRDefault="00000000">
      <w:pPr>
        <w:jc w:val="both"/>
      </w:pPr>
      <w:r>
        <w:rPr>
          <w:rStyle w:val="facultChar"/>
        </w:rPr>
        <w:t>L’enduit dispose d'une déclaration d'aptitude à l'utilisation suivant les prescriptions de l'élément 02.42.1 Critères d'acceptabilité.</w:t>
      </w:r>
    </w:p>
    <w:p w14:paraId="2298069A" w14:textId="77777777" w:rsidR="004B2808" w:rsidRDefault="00000000">
      <w:pPr>
        <w:pStyle w:val="pheading"/>
      </w:pPr>
      <w:r>
        <w:t>EXÉCUTION / MISE EN ŒUVRE</w:t>
      </w:r>
    </w:p>
    <w:p w14:paraId="3D41F4BF" w14:textId="77777777" w:rsidR="004B2808" w:rsidRDefault="00000000">
      <w:pPr>
        <w:pStyle w:val="pheading"/>
      </w:pPr>
      <w:r>
        <w:t>- Prescriptions générales</w:t>
      </w:r>
    </w:p>
    <w:p w14:paraId="26572312" w14:textId="77777777" w:rsidR="004B2808" w:rsidRDefault="00000000">
      <w:pPr>
        <w:jc w:val="both"/>
      </w:pPr>
      <w:r>
        <w:rPr>
          <w:b/>
        </w:rPr>
        <w:t>Généralités</w:t>
      </w:r>
    </w:p>
    <w:p w14:paraId="77E941A7" w14:textId="77777777" w:rsidR="004B2808" w:rsidRDefault="00000000">
      <w:pPr>
        <w:jc w:val="both"/>
      </w:pPr>
      <w:r>
        <w:t xml:space="preserve">La préparation du support, le mélange de l'enduit et son exécution sont conformes aux dispositions du titre </w:t>
      </w:r>
      <w:hyperlink w:anchor="1164" w:history="1">
        <w:r w:rsidR="004B2808">
          <w:rPr>
            <w:color w:val="0000EE"/>
          </w:rPr>
          <w:t>51.5 Revêtements intérieurs enduits</w:t>
        </w:r>
      </w:hyperlink>
      <w:r>
        <w:t>, à celles du sous-titre </w:t>
      </w:r>
      <w:hyperlink w:anchor="1165" w:history="1">
        <w:r w:rsidR="004B2808">
          <w:rPr>
            <w:color w:val="0000EE"/>
          </w:rPr>
          <w:t>51.52 Préparation du support</w:t>
        </w:r>
      </w:hyperlink>
      <w:r>
        <w:t>, à la documentation technique accompagnant le produit et aux documents de référence.</w:t>
      </w:r>
    </w:p>
    <w:p w14:paraId="4A8894E2" w14:textId="77777777" w:rsidR="004B2808" w:rsidRDefault="00000000">
      <w:pPr>
        <w:jc w:val="both"/>
      </w:pPr>
      <w:r>
        <w:t>L'entrepreneur soumet le procédé de plafonnage qu'il juge le plus approprié pour l'ouvrage à exécuter à l'approbation de l'auteur de projet ; système multicouche ou monocouche, éventuel support complémentaire, épaisseur de couches, traitement des arêtes (usage d’un profilé ou non, types d’arrondi le cas échéant), finition de surface (fine ou grossière).</w:t>
      </w:r>
    </w:p>
    <w:p w14:paraId="74C48D9F" w14:textId="77777777" w:rsidR="004B2808" w:rsidRDefault="00000000">
      <w:pPr>
        <w:jc w:val="both"/>
      </w:pPr>
      <w:r>
        <w:t>L’application en monocouche est uniquement possible sur des supports suffisamment plans et avec une succion uniforme.</w:t>
      </w:r>
    </w:p>
    <w:p w14:paraId="3379FFB4" w14:textId="77777777" w:rsidR="004B2808" w:rsidRDefault="00000000">
      <w:pPr>
        <w:jc w:val="both"/>
      </w:pPr>
      <w:r>
        <w:t>Dans le cas d’un système multicouche, la sous-couche doit être sèche avant d’appliquer la prochaine couche.</w:t>
      </w:r>
    </w:p>
    <w:p w14:paraId="6A536871" w14:textId="77777777" w:rsidR="004B2808" w:rsidRDefault="00000000">
      <w:pPr>
        <w:jc w:val="both"/>
      </w:pPr>
      <w:r>
        <w:t>Les enduits peuvent être appliqués manuellement ou projetés à la machine.</w:t>
      </w:r>
    </w:p>
    <w:p w14:paraId="1CDA9EE7" w14:textId="77777777" w:rsidR="004B2808" w:rsidRDefault="00000000">
      <w:pPr>
        <w:jc w:val="both"/>
      </w:pPr>
      <w:r>
        <w:rPr>
          <w:b/>
        </w:rPr>
        <w:t>Support</w:t>
      </w:r>
    </w:p>
    <w:p w14:paraId="0A0ED452" w14:textId="77777777" w:rsidR="004B2808" w:rsidRDefault="00000000">
      <w:pPr>
        <w:jc w:val="both"/>
      </w:pPr>
      <w:r>
        <w:t xml:space="preserve">En cas de support d’enduit complémentaire (voir </w:t>
      </w:r>
      <w:hyperlink w:anchor="1166" w:history="1">
        <w:r w:rsidR="004B2808">
          <w:rPr>
            <w:color w:val="0000EE"/>
          </w:rPr>
          <w:t>51.53 Support d'enduit complémentaire</w:t>
        </w:r>
      </w:hyperlink>
      <w:r>
        <w:t>), ce dernier est fixé au support conformément à la documentation technique accompagnant le produit.</w:t>
      </w:r>
    </w:p>
    <w:p w14:paraId="75F3FD71" w14:textId="77777777" w:rsidR="004B2808" w:rsidRDefault="00000000">
      <w:pPr>
        <w:jc w:val="both"/>
      </w:pPr>
      <w:r>
        <w:lastRenderedPageBreak/>
        <w:t>Le support doit être sec, adhérent, propre, exempt de sels, hors gel, dépoussiéré et suffisamment rugueux.</w:t>
      </w:r>
    </w:p>
    <w:p w14:paraId="2C4EC5F9" w14:textId="77777777" w:rsidR="004B2808" w:rsidRDefault="00000000">
      <w:pPr>
        <w:jc w:val="both"/>
      </w:pPr>
      <w:r>
        <w:t>Une humidification par vaporisation préalable est nécessaire afin de lier d’éventuelles poussières à la surface à enduire. Des panneaux ne doivent pas être humidifiés à l’avance.</w:t>
      </w:r>
    </w:p>
    <w:p w14:paraId="650DA6EA" w14:textId="77777777" w:rsidR="004B2808" w:rsidRDefault="00000000">
      <w:pPr>
        <w:jc w:val="both"/>
      </w:pPr>
      <w:r>
        <w:t>Les supports possibles, revêtus ou non d’une couche d’accrochage, sont les suivants :  </w:t>
      </w:r>
    </w:p>
    <w:p w14:paraId="57C94775" w14:textId="77777777" w:rsidR="004B2808" w:rsidRDefault="00000000">
      <w:pPr>
        <w:jc w:val="both"/>
      </w:pPr>
      <w:r>
        <w:t>maçonnerie (pierre, brique, béton, béton cellulaire, blocs de chaux-chanvre, etc.), projection de chaux-chanvre, etc.</w:t>
      </w:r>
    </w:p>
    <w:p w14:paraId="5FC73549" w14:textId="77777777" w:rsidR="004B2808" w:rsidRDefault="00000000">
      <w:pPr>
        <w:jc w:val="both"/>
      </w:pPr>
      <w:r>
        <w:t>Les supports suivants ne nécessitent pas de couche d’accrochage : panneaux roseau, panneaux fibre de bois, panneaux de liège.</w:t>
      </w:r>
    </w:p>
    <w:p w14:paraId="78540CEE" w14:textId="77777777" w:rsidR="004B2808" w:rsidRDefault="00000000">
      <w:pPr>
        <w:jc w:val="both"/>
      </w:pPr>
      <w:r>
        <w:t>Les supports suivants nécessitent une couche d’accrochage : panneaux en plâtre, plaques fibres-gypse.</w:t>
      </w:r>
    </w:p>
    <w:p w14:paraId="4B80F761" w14:textId="77777777" w:rsidR="004B2808" w:rsidRDefault="00000000">
      <w:pPr>
        <w:jc w:val="both"/>
      </w:pPr>
      <w:r>
        <w:t>Les supports suivants sont dotés de tissus de roseau : OSB, panneaux de bois</w:t>
      </w:r>
    </w:p>
    <w:p w14:paraId="2D9F13E3" w14:textId="77777777" w:rsidR="004B2808" w:rsidRDefault="00000000">
      <w:pPr>
        <w:jc w:val="both"/>
      </w:pPr>
      <w:r>
        <w:rPr>
          <w:b/>
        </w:rPr>
        <w:t>Armatures</w:t>
      </w:r>
    </w:p>
    <w:p w14:paraId="4ACAC887" w14:textId="77777777" w:rsidR="004B2808" w:rsidRDefault="00000000">
      <w:pPr>
        <w:jc w:val="both"/>
      </w:pPr>
      <w:r>
        <w:t>Un filet d’armature doit être placé sur les joints de panneaux, soit en bandes de 8-10 cm, soit comme armature sur toute la surface. L’armature se place dans le dernier tiers de la couche de l’enduit.</w:t>
      </w:r>
    </w:p>
    <w:p w14:paraId="607BAD72" w14:textId="77777777" w:rsidR="004B2808" w:rsidRDefault="00000000">
      <w:pPr>
        <w:jc w:val="both"/>
      </w:pPr>
      <w:r>
        <w:t>Il faut également appliquer une armature sur des supports qui présentent des matériaux différents et/ou d’absorption différente.</w:t>
      </w:r>
    </w:p>
    <w:p w14:paraId="03B9D66B" w14:textId="77777777" w:rsidR="004B2808" w:rsidRDefault="00000000">
      <w:pPr>
        <w:jc w:val="both"/>
      </w:pPr>
      <w:r>
        <w:t>Sont autorisées les armatures en fibre de lin ou de jute, la fibre de verre.</w:t>
      </w:r>
    </w:p>
    <w:p w14:paraId="0B637ED9" w14:textId="77777777" w:rsidR="004B2808" w:rsidRDefault="00000000">
      <w:pPr>
        <w:jc w:val="both"/>
      </w:pPr>
      <w:r>
        <w:t>Le retrait de séchage occasionne parfois des joints de raccord aux ouvrages (ébrasements de fenêtres ou portes, etc.). Ces joints peuvent être colmatés à l’aide de silicone ou d’un mélange liège-cellulose-argile.</w:t>
      </w:r>
    </w:p>
    <w:p w14:paraId="0305F240" w14:textId="77777777" w:rsidR="004B2808" w:rsidRDefault="00000000">
      <w:pPr>
        <w:jc w:val="both"/>
      </w:pPr>
      <w:r>
        <w:rPr>
          <w:b/>
        </w:rPr>
        <w:t>Séchage</w:t>
      </w:r>
    </w:p>
    <w:p w14:paraId="162B2332" w14:textId="77777777" w:rsidR="004B2808" w:rsidRDefault="00000000">
      <w:pPr>
        <w:jc w:val="both"/>
      </w:pPr>
      <w:r>
        <w:t>Après l’application de couches épaisses (≥ 1 cm), il faut garantir un séchage rapide par une aération suffisante (ouvrir portes et fenêtres) ou par un appareil de déshumidification.</w:t>
      </w:r>
    </w:p>
    <w:p w14:paraId="0FF1F383" w14:textId="77777777" w:rsidR="004B2808" w:rsidRDefault="00000000">
      <w:pPr>
        <w:jc w:val="both"/>
      </w:pPr>
      <w:r>
        <w:t>Après l’application de fines couches (2-5 mm), il faut par contre garantir un séchage lent et régulier sans courant d’air.</w:t>
      </w:r>
    </w:p>
    <w:p w14:paraId="50179180" w14:textId="77777777" w:rsidR="004B2808" w:rsidRDefault="00000000">
      <w:pPr>
        <w:ind w:left="750"/>
      </w:pPr>
      <w:r>
        <w:t> </w:t>
      </w:r>
    </w:p>
    <w:p w14:paraId="3335BC15" w14:textId="77777777" w:rsidR="004B2808" w:rsidRDefault="00000000">
      <w:pPr>
        <w:pStyle w:val="pheading"/>
      </w:pPr>
      <w:r>
        <w:t>- Notes d’exécution complémentaires</w:t>
      </w:r>
    </w:p>
    <w:p w14:paraId="2F7D50A4" w14:textId="77777777" w:rsidR="004B2808" w:rsidRDefault="00000000">
      <w:pPr>
        <w:jc w:val="both"/>
      </w:pPr>
      <w:r>
        <w:rPr>
          <w:rStyle w:val="facultChar"/>
        </w:rPr>
        <w:t>Des profils de finition en forme de U sont prévus au droit des interruptions du plafonnage dans les cas suivants :</w:t>
      </w:r>
      <w:r>
        <w:rPr>
          <w:rStyle w:val="optioncarChar"/>
        </w:rPr>
        <w:t xml:space="preserve"> joints de tassement </w:t>
      </w:r>
      <w:r>
        <w:t>(par défaut)</w:t>
      </w:r>
      <w:r>
        <w:rPr>
          <w:rStyle w:val="optioncarChar"/>
        </w:rPr>
        <w:t xml:space="preserve"> / joints de dilatation / jonction avec le parement / jonction avec les châssis / arrêt du plafonnage en hauteur / ***</w:t>
      </w:r>
      <w:r>
        <w:rPr>
          <w:rStyle w:val="facultChar"/>
        </w:rPr>
        <w:t>. Le type et le mode de fixation sont soumis à l'approbation de l'auteur de projet.</w:t>
      </w:r>
    </w:p>
    <w:p w14:paraId="758B6357" w14:textId="77777777" w:rsidR="004B2808" w:rsidRDefault="00000000">
      <w:pPr>
        <w:pStyle w:val="pheading"/>
      </w:pPr>
      <w:r>
        <w:t>- Échantillons</w:t>
      </w:r>
    </w:p>
    <w:p w14:paraId="7F6EF08B" w14:textId="77777777" w:rsidR="004B2808" w:rsidRDefault="00000000">
      <w:pPr>
        <w:jc w:val="both"/>
      </w:pPr>
      <w:r>
        <w:t>Dans tous les cas, un échantillon probant de taille suffisante (~1m²) doit être réalisé afin de vérifier la bonne adhérence du support et l’épaisseur à appliquer.</w:t>
      </w:r>
    </w:p>
    <w:p w14:paraId="5E0F1315" w14:textId="77777777" w:rsidR="004B2808" w:rsidRDefault="00000000">
      <w:pPr>
        <w:pStyle w:val="pheading"/>
      </w:pPr>
      <w:r>
        <w:t>DOCUMENTS DE RÉFÉRENCE COMPLÉMENTAIRES</w:t>
      </w:r>
    </w:p>
    <w:p w14:paraId="035BFFF3" w14:textId="77777777" w:rsidR="004B2808" w:rsidRDefault="00000000">
      <w:pPr>
        <w:pStyle w:val="pheading"/>
      </w:pPr>
      <w:r>
        <w:t>- Matériau</w:t>
      </w:r>
    </w:p>
    <w:p w14:paraId="7B76AF4B" w14:textId="77777777" w:rsidR="004B2808" w:rsidRDefault="00000000">
      <w:r>
        <w:t>[Moniteur Terre crue, Röhlen / Ziegert - Construire en terre crue: Construction - Rénovation - Finitions]</w:t>
      </w:r>
    </w:p>
    <w:p w14:paraId="132FBBEC" w14:textId="77777777" w:rsidR="004B2808" w:rsidRDefault="00000000">
      <w:r>
        <w:t>[CRATerre, CRATerre - Traité de construction en terre]</w:t>
      </w:r>
    </w:p>
    <w:p w14:paraId="294900F6" w14:textId="77777777" w:rsidR="004B2808" w:rsidRDefault="00000000">
      <w:r>
        <w:t>[NBN EN 998-1, Définitions et spécifications des mortiers pour maçonnerie - Partie 1: Mortiers d'enduits minéraux extérieurs et intérieurs]</w:t>
      </w:r>
    </w:p>
    <w:p w14:paraId="70B6A7FE" w14:textId="77777777" w:rsidR="004B2808" w:rsidRDefault="00000000">
      <w:r>
        <w:t>[NBN EN 1015-10, Méthodes d'essai des mortiers pour la maçonnerie - Partie 10: Détermination de la masse volumique apparente sèche du mortier durci]</w:t>
      </w:r>
    </w:p>
    <w:p w14:paraId="2A57B82E" w14:textId="77777777" w:rsidR="004B2808" w:rsidRDefault="00000000">
      <w:r>
        <w:lastRenderedPageBreak/>
        <w:t>[NBN EN 12808-4, Mortiers de joints pour carrelages - Partie 4: Détermination du retrait (+AC:2011)]</w:t>
      </w:r>
    </w:p>
    <w:p w14:paraId="02418EC3" w14:textId="77777777" w:rsidR="004B2808" w:rsidRDefault="00000000">
      <w:r>
        <w:t>[NBN EN 1015-11, Méthodes d'essai des mortiers pour maçonnerie - Détermination de la résistance à la flexion et à la compression du mortier durci]</w:t>
      </w:r>
    </w:p>
    <w:p w14:paraId="280E7E59" w14:textId="77777777" w:rsidR="004B2808" w:rsidRDefault="00000000">
      <w:r>
        <w:t>[NBN EN 1015-12, Méthodes d'essai des mortiers pour maçonnerie - Partie 12 : Détermination de l'adhérence des mortiers d'enduit durcis appliqués sur supports]</w:t>
      </w:r>
    </w:p>
    <w:p w14:paraId="4F11D5F4" w14:textId="77777777" w:rsidR="004B2808" w:rsidRDefault="00000000">
      <w:r>
        <w:t>[NBN EN ISO 12572, Performance hygrothermique des matériaux et produits pour le bâtiment - Détermination des propriétés de transmission de la vapeur d'eau - Méthode de la coupelle (ISO 12572:2016)]</w:t>
      </w:r>
    </w:p>
    <w:p w14:paraId="7A49D644" w14:textId="77777777" w:rsidR="004B2808" w:rsidRDefault="00000000">
      <w:r>
        <w:t>[NBN EN 1015-18, Méthodes d'essai des mortiers pour maçonnerie - Partie 18: Détermination du coefficient d'absorption d'eau par capillarité du mortier durci]</w:t>
      </w:r>
    </w:p>
    <w:p w14:paraId="7DADECBB" w14:textId="77777777" w:rsidR="004B2808" w:rsidRDefault="00000000">
      <w:r>
        <w:t>[NBN EN 13279-2, Liants-plâtres et enduits à base de plâtre pour le bâtiment - Partie 2: Méthodes d'essai]</w:t>
      </w:r>
    </w:p>
    <w:p w14:paraId="145FAFDB" w14:textId="77777777" w:rsidR="004B2808" w:rsidRDefault="00000000">
      <w:r>
        <w:t>[NBN EN 12859, Carreaux de plâtre - Définitions, spécifications et méthodes d'essai]</w:t>
      </w:r>
    </w:p>
    <w:p w14:paraId="35EA2A05" w14:textId="77777777" w:rsidR="004B2808" w:rsidRDefault="00000000">
      <w:r>
        <w:t>[DTU BYG R-126, BYG Report - Moisture Buffering of Building Materials - Rode, Carsten]</w:t>
      </w:r>
    </w:p>
    <w:p w14:paraId="735AC3E6" w14:textId="77777777" w:rsidR="004B2808" w:rsidRDefault="00000000">
      <w:r>
        <w:t>[NBN EN 12114, Performance thermique de bâtiments - Perméabilité à l'air des composants et parois de bâtiments - Méthode d'essai en laboratoire]</w:t>
      </w:r>
    </w:p>
    <w:p w14:paraId="7C1A56B2" w14:textId="77777777" w:rsidR="004B2808" w:rsidRDefault="00000000">
      <w:r>
        <w:t>[NBN EN 13501-1, Classement au feu des produits et éléments de construction - Partie 1: Classement à partir des données d'essais de réaction au feu]</w:t>
      </w:r>
    </w:p>
    <w:p w14:paraId="197CEC84" w14:textId="77777777" w:rsidR="004B2808" w:rsidRDefault="00000000">
      <w:r>
        <w:t>[DIN 18947, Mortier de terre pour enduit - Exigences, essai et étiquetage - Lehmputzmörtel - Anforderungen, Prüfung und Kennzeichnung]</w:t>
      </w:r>
    </w:p>
    <w:p w14:paraId="688A558C" w14:textId="77777777" w:rsidR="004B2808" w:rsidRDefault="00000000">
      <w:pPr>
        <w:pStyle w:val="pheading"/>
      </w:pPr>
      <w:r>
        <w:t>- Exécution</w:t>
      </w:r>
    </w:p>
    <w:p w14:paraId="1E00D4A5" w14:textId="77777777" w:rsidR="004B2808" w:rsidRDefault="00000000">
      <w:r>
        <w:t>[NIT 284, Les enduits intérieurs.]</w:t>
      </w:r>
    </w:p>
    <w:p w14:paraId="20EA904A" w14:textId="77777777" w:rsidR="004B2808" w:rsidRDefault="00000000">
      <w:r>
        <w:t>[NBN EN 13914-2, Conception, préparation et mise en oeuvre des enduits extérieurs et intérieurs - Partie 2: Enduits intérieurs]</w:t>
      </w:r>
    </w:p>
    <w:p w14:paraId="61AE3242" w14:textId="77777777" w:rsidR="004B2808" w:rsidRDefault="00000000">
      <w:r>
        <w:t>[Moniteur Terre crue, Röhlen / Ziegert - Construire en terre crue: Construction - Rénovation - Finitions]</w:t>
      </w:r>
    </w:p>
    <w:p w14:paraId="72CB03D6" w14:textId="77777777" w:rsidR="004B2808" w:rsidRDefault="00000000">
      <w:r>
        <w:t>[CRATerre, CRATerre - Traité de construction en terre]</w:t>
      </w:r>
    </w:p>
    <w:p w14:paraId="715F1E3A" w14:textId="77777777" w:rsidR="004B2808" w:rsidRDefault="00000000">
      <w:r>
        <w:t>[Règles de construction en argile, Lehmbau Regeln: Begriffe – Baustoffe – Bauteile]</w:t>
      </w:r>
    </w:p>
    <w:p w14:paraId="69179014" w14:textId="77777777" w:rsidR="004B2808" w:rsidRDefault="00000000">
      <w:pPr>
        <w:pStyle w:val="pheading"/>
      </w:pPr>
      <w:r>
        <w:t>MESURAGE</w:t>
      </w:r>
    </w:p>
    <w:p w14:paraId="47FF3697" w14:textId="77777777" w:rsidR="004B2808" w:rsidRDefault="00000000">
      <w:pPr>
        <w:pStyle w:val="pheading"/>
      </w:pPr>
      <w:r>
        <w:t>- unité de mesure:</w:t>
      </w:r>
    </w:p>
    <w:p w14:paraId="24DE2B34" w14:textId="77777777" w:rsidR="004B2808" w:rsidRDefault="00000000">
      <w:r>
        <w:rPr>
          <w:rStyle w:val="optioncarChar"/>
        </w:rPr>
        <w:t xml:space="preserve">m² </w:t>
      </w:r>
      <w:r>
        <w:t>(par défaut)</w:t>
      </w:r>
      <w:r>
        <w:rPr>
          <w:rStyle w:val="optioncarChar"/>
        </w:rPr>
        <w:t xml:space="preserve"> / m² ; m</w:t>
      </w:r>
    </w:p>
    <w:p w14:paraId="7A2C3664" w14:textId="77777777" w:rsidR="004B2808" w:rsidRDefault="00000000">
      <w:r>
        <w:rPr>
          <w:b/>
          <w:i/>
        </w:rPr>
        <w:t>(Soit par défaut)</w:t>
      </w:r>
    </w:p>
    <w:p w14:paraId="0D2F85A1" w14:textId="77777777" w:rsidR="004B2808" w:rsidRDefault="00000000">
      <w:r>
        <w:rPr>
          <w:rStyle w:val="soitChar"/>
        </w:rPr>
        <w:t>1. m²</w:t>
      </w:r>
    </w:p>
    <w:p w14:paraId="73262928" w14:textId="77777777" w:rsidR="004B2808" w:rsidRDefault="00000000">
      <w:r>
        <w:rPr>
          <w:b/>
          <w:i/>
        </w:rPr>
        <w:t>(Soit)</w:t>
      </w:r>
    </w:p>
    <w:p w14:paraId="1A05E22A" w14:textId="77777777" w:rsidR="004B2808" w:rsidRDefault="00000000">
      <w:r>
        <w:rPr>
          <w:rStyle w:val="soitChar"/>
        </w:rPr>
        <w:t>2. m² ; m</w:t>
      </w:r>
    </w:p>
    <w:p w14:paraId="6EC217D5" w14:textId="77777777" w:rsidR="004B2808" w:rsidRDefault="00000000">
      <w:pPr>
        <w:pStyle w:val="pheading"/>
      </w:pPr>
      <w:r>
        <w:t>- code de mesurage:</w:t>
      </w:r>
    </w:p>
    <w:p w14:paraId="27193786" w14:textId="77777777" w:rsidR="004B2808" w:rsidRDefault="00000000">
      <w:pPr>
        <w:jc w:val="both"/>
      </w:pPr>
      <w:r>
        <w:rPr>
          <w:rStyle w:val="optioncarChar"/>
        </w:rPr>
        <w:t xml:space="preserve">Surface nette </w:t>
      </w:r>
      <w:r>
        <w:t>(par défaut)</w:t>
      </w:r>
      <w:r>
        <w:rPr>
          <w:rStyle w:val="optioncarChar"/>
        </w:rPr>
        <w:t xml:space="preserve"> / Surface nette et longueur nette des ébrasements et moulures</w:t>
      </w:r>
    </w:p>
    <w:p w14:paraId="0D73CDF3" w14:textId="77777777" w:rsidR="004B2808" w:rsidRDefault="00000000">
      <w:pPr>
        <w:jc w:val="both"/>
      </w:pPr>
      <w:r>
        <w:rPr>
          <w:b/>
          <w:i/>
        </w:rPr>
        <w:t>(Soit par défaut)</w:t>
      </w:r>
    </w:p>
    <w:p w14:paraId="2EB09495" w14:textId="77777777" w:rsidR="004B2808" w:rsidRDefault="00000000">
      <w:pPr>
        <w:jc w:val="both"/>
      </w:pPr>
      <w:r>
        <w:rPr>
          <w:rStyle w:val="soitChar"/>
          <w:b/>
        </w:rPr>
        <w:t>1. Surface nette </w:t>
      </w:r>
    </w:p>
    <w:p w14:paraId="4740DF89" w14:textId="77777777" w:rsidR="004B2808" w:rsidRDefault="00000000">
      <w:pPr>
        <w:pStyle w:val="Author-eListParagraph"/>
        <w:numPr>
          <w:ilvl w:val="0"/>
          <w:numId w:val="264"/>
        </w:numPr>
      </w:pPr>
      <w:r>
        <w:rPr>
          <w:rStyle w:val="soitChar"/>
          <w:u w:val="single"/>
        </w:rPr>
        <w:t>murs </w:t>
      </w:r>
      <w:r>
        <w:rPr>
          <w:rStyle w:val="soitChar"/>
        </w:rPr>
        <w:t xml:space="preserve">: toutes les baies de fenêtres et portes extérieures qui doivent être enduites sont comptées pleines, en compensation du plafonnage des ébrasements sur les côtés et en linteau; par contre, les baies dont les ébrasements ne doivent pas être enduits et dont la superficie est supérieure à 0,5 m², sont déduites (par ex. les portes intérieures où un </w:t>
      </w:r>
      <w:r>
        <w:rPr>
          <w:rStyle w:val="soitChar"/>
        </w:rPr>
        <w:lastRenderedPageBreak/>
        <w:t>encadrement est prévu ou les portes et fenêtres qui sont habillées de panneaux de revêtement).</w:t>
      </w:r>
    </w:p>
    <w:p w14:paraId="1ECC6895" w14:textId="77777777" w:rsidR="004B2808" w:rsidRDefault="00000000">
      <w:pPr>
        <w:pStyle w:val="Author-eListParagraph"/>
        <w:numPr>
          <w:ilvl w:val="0"/>
          <w:numId w:val="264"/>
        </w:numPr>
      </w:pPr>
      <w:r>
        <w:rPr>
          <w:rStyle w:val="soitChar"/>
        </w:rPr>
        <w:t>les travaux de plafonnage ne feront pas l'objet de décomptes.</w:t>
      </w:r>
    </w:p>
    <w:p w14:paraId="22D4DF7E" w14:textId="77777777" w:rsidR="004B2808" w:rsidRDefault="00000000">
      <w:pPr>
        <w:jc w:val="both"/>
      </w:pPr>
      <w:r>
        <w:rPr>
          <w:b/>
          <w:i/>
        </w:rPr>
        <w:t>(Soit)</w:t>
      </w:r>
    </w:p>
    <w:p w14:paraId="5B8EA390" w14:textId="77777777" w:rsidR="004B2808" w:rsidRDefault="00000000">
      <w:pPr>
        <w:jc w:val="both"/>
      </w:pPr>
      <w:r>
        <w:rPr>
          <w:rStyle w:val="soitChar"/>
          <w:b/>
        </w:rPr>
        <w:t>2. Surface nette et longueur nette des ébrasements et moulures.</w:t>
      </w:r>
    </w:p>
    <w:p w14:paraId="0A25AD66" w14:textId="77777777" w:rsidR="004B2808" w:rsidRDefault="00000000">
      <w:pPr>
        <w:pStyle w:val="Author-eListParagraph"/>
        <w:numPr>
          <w:ilvl w:val="0"/>
          <w:numId w:val="265"/>
        </w:numPr>
      </w:pPr>
      <w:r>
        <w:rPr>
          <w:rStyle w:val="soitChar"/>
          <w:u w:val="single"/>
        </w:rPr>
        <w:t>parois verticales</w:t>
      </w:r>
      <w:r>
        <w:rPr>
          <w:rStyle w:val="soitChar"/>
        </w:rPr>
        <w:t> : surface nette, toutes les réservations supérieures à 0,5 m² sont déduites.</w:t>
      </w:r>
    </w:p>
    <w:p w14:paraId="6279CC9D" w14:textId="77777777" w:rsidR="004B2808" w:rsidRDefault="00000000">
      <w:pPr>
        <w:pStyle w:val="Author-eListParagraph"/>
        <w:numPr>
          <w:ilvl w:val="0"/>
          <w:numId w:val="265"/>
        </w:numPr>
      </w:pPr>
      <w:r>
        <w:rPr>
          <w:rStyle w:val="soitChar"/>
          <w:u w:val="single"/>
        </w:rPr>
        <w:t>les ébrasements et les moulures</w:t>
      </w:r>
      <w:r>
        <w:rPr>
          <w:rStyle w:val="soitChar"/>
        </w:rPr>
        <w:t xml:space="preserve"> dont la largeur est inférieure à 30 cm sont comptés séparément, longueur nette, le cas échéant ventilé selon les différentes épaisseurs de murs.</w:t>
      </w:r>
    </w:p>
    <w:p w14:paraId="75AB8377" w14:textId="77777777" w:rsidR="004B2808" w:rsidRDefault="00000000">
      <w:pPr>
        <w:pStyle w:val="Author-eListParagraph"/>
        <w:numPr>
          <w:ilvl w:val="0"/>
          <w:numId w:val="265"/>
        </w:numPr>
      </w:pPr>
      <w:r>
        <w:rPr>
          <w:rStyle w:val="soitChar"/>
        </w:rPr>
        <w:t>les travaux de plafonnage ne font pas l'objet de décomptes.</w:t>
      </w:r>
    </w:p>
    <w:p w14:paraId="4FDF63AA" w14:textId="77777777" w:rsidR="004B2808" w:rsidRDefault="00000000">
      <w:pPr>
        <w:pStyle w:val="pheading"/>
      </w:pPr>
      <w:r>
        <w:t>- nature du marché:</w:t>
      </w:r>
    </w:p>
    <w:p w14:paraId="47FF5F47" w14:textId="77777777" w:rsidR="004B2808" w:rsidRDefault="00000000">
      <w:r>
        <w:t>1.2. QF</w:t>
      </w:r>
    </w:p>
    <w:p w14:paraId="2AF6FD90" w14:textId="77777777" w:rsidR="004B2808" w:rsidRDefault="00000000">
      <w:pPr>
        <w:pStyle w:val="pheading"/>
      </w:pPr>
      <w:r>
        <w:t>AIDE</w:t>
      </w:r>
    </w:p>
    <w:p w14:paraId="606A3DD3" w14:textId="77777777" w:rsidR="004B2808" w:rsidRDefault="00000000">
      <w:pPr>
        <w:jc w:val="both"/>
      </w:pPr>
      <w:r>
        <w:t>L’auteur de projet peut s’inspirer des ouvrages de référence suivant pour une prescription adéquate : [Moniteur Terre crue], [CRATerre]</w:t>
      </w:r>
    </w:p>
    <w:p w14:paraId="66D2B08D" w14:textId="77777777" w:rsidR="004B2808" w:rsidRDefault="00000000">
      <w:pPr>
        <w:pStyle w:val="Author-eSectionHeading4Numberless"/>
      </w:pPr>
      <w:bookmarkStart w:id="200" w:name="_Toc220490393"/>
      <w:r>
        <w:t>51.57 Supplément pour enduits suite à une fonction particulière CCTB 01.02</w:t>
      </w:r>
      <w:bookmarkEnd w:id="200"/>
    </w:p>
    <w:p w14:paraId="3BCBF674" w14:textId="77777777" w:rsidR="004B2808" w:rsidRDefault="00000000">
      <w:pPr>
        <w:pStyle w:val="Author-eSectionHeading5Numberless"/>
      </w:pPr>
      <w:bookmarkStart w:id="201" w:name="_Toc220490394"/>
      <w:r>
        <w:t>51.57.1 Suppléments pour enduits - Finition décorative d'enduit (chaux et/ou ciment, résines synthétiques ou solution silicatée) CCTB 01.02</w:t>
      </w:r>
      <w:bookmarkEnd w:id="201"/>
    </w:p>
    <w:p w14:paraId="1ABA82D4" w14:textId="77777777" w:rsidR="004B2808" w:rsidRDefault="00000000">
      <w:pPr>
        <w:pStyle w:val="Author-eSectionHeading6Numberless"/>
      </w:pPr>
      <w:bookmarkStart w:id="202" w:name="_Toc220490395"/>
      <w:r>
        <w:t>51.57.1a Suppléments pour enduits - Finition d'enduit taloché (rustique) CCTB 01.02</w:t>
      </w:r>
      <w:bookmarkEnd w:id="202"/>
    </w:p>
    <w:p w14:paraId="0039CBD2" w14:textId="77777777" w:rsidR="004B2808" w:rsidRDefault="00000000">
      <w:pPr>
        <w:pStyle w:val="Author-eSectionHeading6Numberless"/>
      </w:pPr>
      <w:bookmarkStart w:id="203" w:name="_Toc220490396"/>
      <w:r>
        <w:t>51.57.1b Suppléments pour enduits - Finition d'enduit gratté CCTB 01.02</w:t>
      </w:r>
      <w:bookmarkEnd w:id="203"/>
    </w:p>
    <w:p w14:paraId="444CF1BC" w14:textId="77777777" w:rsidR="004B2808" w:rsidRDefault="00000000">
      <w:pPr>
        <w:pStyle w:val="Author-eSectionHeading6Numberless"/>
      </w:pPr>
      <w:bookmarkStart w:id="204" w:name="_Toc220490397"/>
      <w:r>
        <w:t>51.57.1c Suppléments pour enduits - Finition d'enduit peigné CCTB 01.02</w:t>
      </w:r>
      <w:bookmarkEnd w:id="204"/>
    </w:p>
    <w:p w14:paraId="56E286D9" w14:textId="77777777" w:rsidR="004B2808" w:rsidRDefault="00000000">
      <w:pPr>
        <w:pStyle w:val="Author-eSectionHeading6Numberless"/>
      </w:pPr>
      <w:bookmarkStart w:id="205" w:name="_Toc220490398"/>
      <w:r>
        <w:t>51.57.1d Suppléments pour enduits - Finition d'enduit lavé CCTB 01.02</w:t>
      </w:r>
      <w:bookmarkEnd w:id="205"/>
    </w:p>
    <w:p w14:paraId="4B5C1AFB" w14:textId="77777777" w:rsidR="004B2808" w:rsidRDefault="00000000">
      <w:pPr>
        <w:pStyle w:val="Author-eSectionHeading6Numberless"/>
      </w:pPr>
      <w:bookmarkStart w:id="206" w:name="_Toc220490399"/>
      <w:r>
        <w:t>51.57.1e Suppléments pour enduits - Finition d'enduit tyrolien CCTB 01.02</w:t>
      </w:r>
      <w:bookmarkEnd w:id="206"/>
    </w:p>
    <w:p w14:paraId="2783FB75" w14:textId="77777777" w:rsidR="004B2808" w:rsidRDefault="00000000">
      <w:pPr>
        <w:pStyle w:val="Author-eSectionHeading6Numberless"/>
      </w:pPr>
      <w:bookmarkStart w:id="207" w:name="_Toc220490400"/>
      <w:r>
        <w:t>51.57.1f Suppléments pour enduits - Finition d'enduit roulé CCTB 01.02</w:t>
      </w:r>
      <w:bookmarkEnd w:id="207"/>
    </w:p>
    <w:p w14:paraId="0D527D0A" w14:textId="77777777" w:rsidR="004B2808" w:rsidRDefault="00000000">
      <w:pPr>
        <w:pStyle w:val="Author-eSectionHeading6Numberless"/>
      </w:pPr>
      <w:bookmarkStart w:id="208" w:name="_Toc220490401"/>
      <w:r>
        <w:t>51.57.1g Suppléments pour enduits - Sgraffite CCTB 01.02</w:t>
      </w:r>
      <w:bookmarkEnd w:id="208"/>
    </w:p>
    <w:p w14:paraId="3093B1B0" w14:textId="77777777" w:rsidR="004B2808" w:rsidRDefault="00000000">
      <w:pPr>
        <w:pStyle w:val="Author-eSectionHeading6Numberless"/>
      </w:pPr>
      <w:bookmarkStart w:id="209" w:name="_Toc220490402"/>
      <w:r>
        <w:t>51.57.1h Suppléments pour enduits - Finition d'enduit granité ou marbré (stuc) CCTB 01.02</w:t>
      </w:r>
      <w:bookmarkEnd w:id="209"/>
    </w:p>
    <w:p w14:paraId="2D148A99" w14:textId="77777777" w:rsidR="004B2808" w:rsidRDefault="00000000">
      <w:pPr>
        <w:pStyle w:val="Author-eSectionHeading5Numberless"/>
      </w:pPr>
      <w:bookmarkStart w:id="210" w:name="_Toc220490403"/>
      <w:r>
        <w:t>51.57.2 Suppléments pour enduits - Adjuvants spécifiques CCTB 01.02</w:t>
      </w:r>
      <w:bookmarkEnd w:id="210"/>
    </w:p>
    <w:p w14:paraId="0815EB5F" w14:textId="77777777" w:rsidR="004B2808" w:rsidRDefault="00000000">
      <w:pPr>
        <w:pStyle w:val="Author-eSectionHeading6Numberless"/>
      </w:pPr>
      <w:bookmarkStart w:id="211" w:name="_Toc220490404"/>
      <w:r>
        <w:t>51.57.2a Suppléments pour enduits - Adjuvants spécifiques CCTB 01.02</w:t>
      </w:r>
      <w:bookmarkEnd w:id="211"/>
    </w:p>
    <w:p w14:paraId="4BF3628B" w14:textId="77777777" w:rsidR="004B2808" w:rsidRDefault="00000000">
      <w:pPr>
        <w:pStyle w:val="Author-eSectionHeading3Numberless"/>
      </w:pPr>
      <w:bookmarkStart w:id="212" w:name="_Toc220490405"/>
      <w:r>
        <w:t>51.6 Autres revêtements intérieurs (collés, scellés ou fixés mécaniquement) CCTB 01.11</w:t>
      </w:r>
      <w:bookmarkEnd w:id="212"/>
    </w:p>
    <w:p w14:paraId="53184FD4" w14:textId="77777777" w:rsidR="004B2808" w:rsidRDefault="00000000">
      <w:pPr>
        <w:pStyle w:val="pheading"/>
      </w:pPr>
      <w:bookmarkStart w:id="213" w:name="61"/>
      <w:bookmarkEnd w:id="213"/>
      <w:r>
        <w:t>DESCRIPTION</w:t>
      </w:r>
    </w:p>
    <w:p w14:paraId="66BB4FFB" w14:textId="77777777" w:rsidR="004B2808" w:rsidRDefault="00000000">
      <w:pPr>
        <w:pStyle w:val="pheading"/>
      </w:pPr>
      <w:r>
        <w:t>- Définition / Comprend</w:t>
      </w:r>
    </w:p>
    <w:p w14:paraId="3AF83377" w14:textId="77777777" w:rsidR="004B2808" w:rsidRDefault="00000000">
      <w:pPr>
        <w:jc w:val="both"/>
      </w:pPr>
      <w:r>
        <w:t>Livraison, stockage, manutention, fournitures, mise en œuvre sont toujours conformes à la documentation technique qui accompagne le produit.</w:t>
      </w:r>
    </w:p>
    <w:p w14:paraId="5EDB298E" w14:textId="77777777" w:rsidR="004B2808" w:rsidRDefault="00000000">
      <w:pPr>
        <w:pStyle w:val="pheading"/>
      </w:pPr>
      <w:r>
        <w:t>MATÉRIAUX</w:t>
      </w:r>
    </w:p>
    <w:p w14:paraId="18D617D0" w14:textId="77777777" w:rsidR="004B2808" w:rsidRDefault="00000000">
      <w:pPr>
        <w:jc w:val="both"/>
      </w:pPr>
      <w:r>
        <w:rPr>
          <w:b/>
        </w:rPr>
        <w:t>Couleurs et décors - Echantillons</w:t>
      </w:r>
    </w:p>
    <w:p w14:paraId="685C3744" w14:textId="77777777" w:rsidR="004B2808" w:rsidRDefault="00000000">
      <w:pPr>
        <w:jc w:val="both"/>
      </w:pPr>
      <w:r>
        <w:t>Sauf dispositions contraires, le revêtement est choisi par l’auteur de projet et/ou le maître de l'ouvrage sur présentation d’échantillons fournis préalablement par l’entrepreneur.</w:t>
      </w:r>
    </w:p>
    <w:p w14:paraId="34C10817" w14:textId="77777777" w:rsidR="004B2808" w:rsidRDefault="00000000">
      <w:pPr>
        <w:pStyle w:val="Author-eSectionHeading4Numberless"/>
      </w:pPr>
      <w:bookmarkStart w:id="214" w:name="_Toc220490406"/>
      <w:r>
        <w:lastRenderedPageBreak/>
        <w:t>51.61 Revêtements muraux en carreaux en céramique CCTB 01.10</w:t>
      </w:r>
      <w:bookmarkEnd w:id="214"/>
    </w:p>
    <w:p w14:paraId="6C6032C5" w14:textId="77777777" w:rsidR="004B2808" w:rsidRDefault="00000000">
      <w:pPr>
        <w:pStyle w:val="pheading"/>
      </w:pPr>
      <w:r>
        <w:t>DESCRIPTION</w:t>
      </w:r>
    </w:p>
    <w:p w14:paraId="4188964B" w14:textId="77777777" w:rsidR="004B2808" w:rsidRDefault="00000000">
      <w:pPr>
        <w:pStyle w:val="pheading"/>
      </w:pPr>
      <w:r>
        <w:t>- Définition / Comprend</w:t>
      </w:r>
    </w:p>
    <w:p w14:paraId="2FFA9649" w14:textId="77777777" w:rsidR="004B2808" w:rsidRDefault="00000000">
      <w:pPr>
        <w:jc w:val="both"/>
      </w:pPr>
      <w:r>
        <w:t>Cet élément comprend la fourniture (hors matériaux récupérés du même site) et travaux nécessaires en vue de la réalisation des carrelages muraux afin de constituer un ouvrage parfaitement fini selon la description consignée au cahier spécial des charges.</w:t>
      </w:r>
    </w:p>
    <w:p w14:paraId="3B643C98" w14:textId="77777777" w:rsidR="004B2808" w:rsidRDefault="00000000">
      <w:pPr>
        <w:pStyle w:val="Author-eListParagraph"/>
        <w:numPr>
          <w:ilvl w:val="0"/>
          <w:numId w:val="266"/>
        </w:numPr>
        <w:jc w:val="both"/>
      </w:pPr>
      <w:r>
        <w:t>la préparation de l'aire de pose, c'est-à-dire l'enlèvement de toutes les impuretés et des parties non adhérentes ;</w:t>
      </w:r>
    </w:p>
    <w:p w14:paraId="0F757767" w14:textId="77777777" w:rsidR="004B2808" w:rsidRDefault="00000000">
      <w:pPr>
        <w:pStyle w:val="Author-eListParagraph"/>
        <w:numPr>
          <w:ilvl w:val="0"/>
          <w:numId w:val="266"/>
        </w:numPr>
        <w:jc w:val="both"/>
      </w:pPr>
      <w:r>
        <w:t>l'enlèvement de toutes les aspérités et/ou l'égalisation des faces de mur (*) ;</w:t>
      </w:r>
    </w:p>
    <w:p w14:paraId="28725847" w14:textId="77777777" w:rsidR="004B2808" w:rsidRDefault="00000000">
      <w:pPr>
        <w:pStyle w:val="Author-eListParagraph"/>
        <w:numPr>
          <w:ilvl w:val="0"/>
          <w:numId w:val="266"/>
        </w:numPr>
        <w:jc w:val="both"/>
      </w:pPr>
      <w:r>
        <w:t>si nécessaire, la réalisation dans le revêtement des ouvertures pour les conduites, les crochets, supports, etc. qui doivent être placés à l'avance ;</w:t>
      </w:r>
    </w:p>
    <w:p w14:paraId="45B15590" w14:textId="77777777" w:rsidR="004B2808" w:rsidRDefault="00000000">
      <w:pPr>
        <w:pStyle w:val="Author-eListParagraph"/>
        <w:numPr>
          <w:ilvl w:val="0"/>
          <w:numId w:val="266"/>
        </w:numPr>
        <w:jc w:val="both"/>
      </w:pPr>
      <w:r>
        <w:t>La fourniture (hors matériaux récupérés du même site) et la pose des carreaux de céramique ;</w:t>
      </w:r>
    </w:p>
    <w:p w14:paraId="3F2C50E0" w14:textId="77777777" w:rsidR="004B2808" w:rsidRDefault="00000000">
      <w:pPr>
        <w:pStyle w:val="Author-eListParagraph"/>
        <w:numPr>
          <w:ilvl w:val="0"/>
          <w:numId w:val="266"/>
        </w:numPr>
        <w:jc w:val="both"/>
      </w:pPr>
      <w:r>
        <w:t>le rejointoiement des surfaces et l'achèvement des joints avec un mastic élastique ;</w:t>
      </w:r>
    </w:p>
    <w:p w14:paraId="222779DE" w14:textId="77777777" w:rsidR="004B2808" w:rsidRDefault="00000000">
      <w:pPr>
        <w:pStyle w:val="Author-eListParagraph"/>
        <w:numPr>
          <w:ilvl w:val="0"/>
          <w:numId w:val="266"/>
        </w:numPr>
        <w:jc w:val="both"/>
      </w:pPr>
      <w:r>
        <w:t>le nettoyage des murs carrelés, y compris l'enlèvement des taches de mortier ou de colle et de mortier de jointoiement.</w:t>
      </w:r>
    </w:p>
    <w:p w14:paraId="5F7B00FB" w14:textId="77777777" w:rsidR="004B2808" w:rsidRDefault="00000000">
      <w:pPr>
        <w:pStyle w:val="pheading"/>
      </w:pPr>
      <w:r>
        <w:t>- Remarques importantes</w:t>
      </w:r>
    </w:p>
    <w:p w14:paraId="0CE17407" w14:textId="77777777" w:rsidR="004B2808" w:rsidRDefault="00000000">
      <w:pPr>
        <w:jc w:val="both"/>
      </w:pPr>
      <w:r>
        <w:t>(*) Attention : Sur une aire de pose en plafonnage et pour l'application d'une colle synthétique ou d'un mortier-colle, l'égalisation n'est pas nécessaire en raison du degré de finition exigé au poste enduit à la chaux ou au plâtre au titre </w:t>
      </w:r>
      <w:hyperlink w:anchor="1164" w:history="1">
        <w:r w:rsidR="004B2808">
          <w:rPr>
            <w:color w:val="0000EE"/>
          </w:rPr>
          <w:t>51.5 Revêtements intérieurs enduits</w:t>
        </w:r>
      </w:hyperlink>
      <w:r>
        <w:t>.</w:t>
      </w:r>
    </w:p>
    <w:p w14:paraId="402CF806" w14:textId="77777777" w:rsidR="004B2808" w:rsidRDefault="00000000">
      <w:pPr>
        <w:pStyle w:val="pheading"/>
      </w:pPr>
      <w:r>
        <w:t>MATÉRIAUX</w:t>
      </w:r>
    </w:p>
    <w:p w14:paraId="1833E2F6" w14:textId="77777777" w:rsidR="004B2808" w:rsidRDefault="00000000">
      <w:pPr>
        <w:jc w:val="both"/>
      </w:pPr>
      <w:r>
        <w:t>Les carreaux neufs satisfont aux dispositions la norme produit [NBN EN 14411]. A l'arrière des carreaux, une marque en creux ou en relief permet d'identifier le fabricant. Voir § 2.3 et chapitre 3 de la [NIT 227].</w:t>
      </w:r>
    </w:p>
    <w:p w14:paraId="1996B69C" w14:textId="77777777" w:rsidR="004B2808" w:rsidRDefault="00000000">
      <w:pPr>
        <w:jc w:val="both"/>
      </w:pPr>
      <w:r>
        <w:t>Le dos des carreaux est profilé afin d'obtenir une bonne adhérence avec le mortier et/ou la colle. Le choix des matériaux et les spécifications sont décrits dans les articles respectifs et les spécifications du cahier spécial des charges.</w:t>
      </w:r>
    </w:p>
    <w:p w14:paraId="45E83DD6" w14:textId="77777777" w:rsidR="004B2808" w:rsidRDefault="00000000">
      <w:pPr>
        <w:jc w:val="both"/>
      </w:pPr>
      <w:r>
        <w:t>Le produit de jointoiement est en principe un mortier blanc, compatible avec le mortier ou la colle de mise en œuvre (p.e. composé de 1/2 part de ciment blanc, 1/2 part de sable blanc fin, auquel on ajoute des adjuvants afin de garantir une élasticité relative ou conforme à la [NBN EN 13888]).</w:t>
      </w:r>
    </w:p>
    <w:p w14:paraId="7999194C" w14:textId="77777777" w:rsidR="004B2808" w:rsidRDefault="00000000">
      <w:pPr>
        <w:jc w:val="both"/>
      </w:pPr>
      <w:r>
        <w:t>Une série complète d'échantillons ainsi qu'une documentation technique des mortiers ou des mastics élastiques sont préalablement soumis pour approbation au maître d’ouvrage.</w:t>
      </w:r>
    </w:p>
    <w:p w14:paraId="016C81A8" w14:textId="77777777" w:rsidR="004B2808" w:rsidRDefault="00000000">
      <w:pPr>
        <w:jc w:val="both"/>
      </w:pPr>
      <w:r>
        <w:t> </w:t>
      </w:r>
    </w:p>
    <w:p w14:paraId="3AB6C60D" w14:textId="77777777" w:rsidR="004B2808" w:rsidRDefault="00000000">
      <w:pPr>
        <w:jc w:val="both"/>
      </w:pPr>
      <w:r>
        <w:t>Les carreaux céramiques sont classifiés en fonction de leur absorption d’eau Eb déterminée selon la norme [NBN EN ISO 10545-3]. Des sous-groupes sont également définis dans la norme [NBN EN 14411].</w:t>
      </w:r>
    </w:p>
    <w:p w14:paraId="10D8A729" w14:textId="77777777" w:rsidR="004B2808" w:rsidRDefault="00000000">
      <w:pPr>
        <w:jc w:val="both"/>
      </w:pPr>
      <w:r>
        <w:t>Les performances de résistance aux rayures sont exprimées conformément à la [NIT 237].</w:t>
      </w:r>
    </w:p>
    <w:p w14:paraId="629184F1" w14:textId="77777777" w:rsidR="004B2808" w:rsidRDefault="00000000">
      <w:pPr>
        <w:jc w:val="both"/>
      </w:pPr>
      <w:r>
        <w:t>Les performances de résistance à l’usure sont exprimées conformément [NBN EN ISO 10545-6] et [NBN EN ISO 10545-7].</w:t>
      </w:r>
    </w:p>
    <w:p w14:paraId="03A60279" w14:textId="77777777" w:rsidR="004B2808" w:rsidRDefault="00000000">
      <w:pPr>
        <w:jc w:val="both"/>
      </w:pPr>
      <w:r>
        <w:t>Les performances de résistance au gel/ dégel sont exprimées conformément [NBN EN 16165 ]</w:t>
      </w:r>
    </w:p>
    <w:p w14:paraId="12B9852C" w14:textId="77777777" w:rsidR="004B2808" w:rsidRDefault="00000000">
      <w:pPr>
        <w:jc w:val="both"/>
      </w:pPr>
      <w:r>
        <w:t>Les performances de tactilité sont exprimées conformément [CEN/TS 15209].</w:t>
      </w:r>
    </w:p>
    <w:p w14:paraId="723698B6" w14:textId="77777777" w:rsidR="004B2808" w:rsidRDefault="00000000">
      <w:pPr>
        <w:jc w:val="both"/>
      </w:pPr>
      <w:r>
        <w:t>Les performances de résistance chimique sont exprimées conformément [NBN EN ISO 10545-13].</w:t>
      </w:r>
    </w:p>
    <w:p w14:paraId="338D7302" w14:textId="77777777" w:rsidR="004B2808" w:rsidRDefault="00000000">
      <w:pPr>
        <w:jc w:val="both"/>
      </w:pPr>
      <w:r>
        <w:t>Les performances de résistance aux taches sont exprimées conformément [NBN EN ISO 10545-14].</w:t>
      </w:r>
    </w:p>
    <w:p w14:paraId="5481D4FD" w14:textId="77777777" w:rsidR="004B2808" w:rsidRDefault="00000000">
      <w:pPr>
        <w:jc w:val="both"/>
      </w:pPr>
      <w:r>
        <w:t>Les portes et leurs composantes, c'est-à-dire les encadrements, les feuilles de porte, les moyens de fixation.</w:t>
      </w:r>
    </w:p>
    <w:p w14:paraId="13D4CFC5" w14:textId="77777777" w:rsidR="004B2808" w:rsidRDefault="00000000">
      <w:pPr>
        <w:jc w:val="both"/>
      </w:pPr>
      <w:r>
        <w:lastRenderedPageBreak/>
        <w:t>Les conditions de fourniture et de qualité des carreaux céramiques satisfont aux dispositions suivantes :</w:t>
      </w:r>
    </w:p>
    <w:p w14:paraId="66337495" w14:textId="77777777" w:rsidR="004B2808" w:rsidRDefault="00000000">
      <w:pPr>
        <w:pStyle w:val="Author-eListParagraph"/>
        <w:numPr>
          <w:ilvl w:val="0"/>
          <w:numId w:val="267"/>
        </w:numPr>
        <w:jc w:val="both"/>
      </w:pPr>
      <w:r>
        <w:t>Par type de carreau choisi, un échantillon représentatif est soumis ainsi qu'une fiche technique selon la [NIT 237] (§ 2.4.4.2 &amp; § 2.4.5). Cette dernière mentionne toutes les caractéristiques particulières des carreaux et contient toutes les informations qui permettent de déterminer le produit sans équivoque.</w:t>
      </w:r>
    </w:p>
    <w:p w14:paraId="5F0C64EC" w14:textId="77777777" w:rsidR="004B2808" w:rsidRDefault="004B2808">
      <w:pPr>
        <w:pStyle w:val="Author-eListParagraph"/>
        <w:numPr>
          <w:ilvl w:val="0"/>
          <w:numId w:val="267"/>
        </w:numPr>
        <w:jc w:val="both"/>
      </w:pPr>
    </w:p>
    <w:p w14:paraId="7988A80B" w14:textId="77777777" w:rsidR="004B2808" w:rsidRDefault="00000000">
      <w:pPr>
        <w:pStyle w:val="Author-eListParagraph"/>
        <w:numPr>
          <w:ilvl w:val="0"/>
          <w:numId w:val="267"/>
        </w:numPr>
        <w:jc w:val="both"/>
      </w:pPr>
      <w:r>
        <w:t>Les spécifications physiques et mécaniques en fonction de la nature respective des carreaux sont reprises au § 2.4 de la [NIT 237] ainsi que les tolérances respectives et les méthodes de contrôle en ce qui concerne la longueur et la rectitude des bords, l'épaisseur, la rectitude des angles et la planéité.</w:t>
      </w:r>
    </w:p>
    <w:p w14:paraId="0AA3A6EF" w14:textId="77777777" w:rsidR="004B2808" w:rsidRDefault="00000000">
      <w:pPr>
        <w:jc w:val="both"/>
      </w:pPr>
      <w:r>
        <w:rPr>
          <w:b/>
          <w:u w:val="single"/>
        </w:rPr>
        <w:t>Spécifications des produits de pose :</w:t>
      </w:r>
    </w:p>
    <w:p w14:paraId="4347D8E5" w14:textId="77777777" w:rsidR="004B2808" w:rsidRDefault="00000000">
      <w:pPr>
        <w:jc w:val="both"/>
      </w:pPr>
      <w:r>
        <w:rPr>
          <w:u w:val="single"/>
        </w:rPr>
        <w:t>Colle à carrelage</w:t>
      </w:r>
    </w:p>
    <w:p w14:paraId="36589A44" w14:textId="77777777" w:rsidR="004B2808" w:rsidRDefault="00000000">
      <w:pPr>
        <w:jc w:val="both"/>
      </w:pPr>
      <w:r>
        <w:t>Les colles à carrelages répondent aux spécifications de la [NBN EN 12004-1]. Voir également au §3.1. de la [NIT 237].</w:t>
      </w:r>
    </w:p>
    <w:p w14:paraId="0022EAB7" w14:textId="77777777" w:rsidR="004B2808" w:rsidRDefault="00000000">
      <w:pPr>
        <w:jc w:val="both"/>
      </w:pPr>
      <w:r>
        <w:t>Les types, à savoir C (mortier-colle), D (colle en dispersion) ou R (colle réactive), les classes (colle normale ou améliorée) et les propriétés additionnelles éventuelles (temps ouvert allongé E, durcissement rapide F, glissement limité T, déformabilité S1 ou S2) sont compatibles avec le carreau, choisis en fonction de l’usage et de la nature du support.</w:t>
      </w:r>
    </w:p>
    <w:p w14:paraId="569310F2" w14:textId="77777777" w:rsidR="004B2808" w:rsidRDefault="00000000">
      <w:pPr>
        <w:jc w:val="both"/>
      </w:pPr>
      <w:r>
        <w:rPr>
          <w:u w:val="single"/>
        </w:rPr>
        <w:t>Produit de jointoiement prédosé</w:t>
      </w:r>
    </w:p>
    <w:p w14:paraId="62FE0308" w14:textId="77777777" w:rsidR="004B2808" w:rsidRDefault="00000000">
      <w:pPr>
        <w:jc w:val="both"/>
      </w:pPr>
      <w:r>
        <w:t>Les produits de jointoiement prédosés répondent aux spécifications de la [NBN EN 13888]. Voir également au §3.5. et 3.5.1 de la [NIT 237].</w:t>
      </w:r>
    </w:p>
    <w:p w14:paraId="45C74071" w14:textId="77777777" w:rsidR="004B2808" w:rsidRDefault="00000000">
      <w:pPr>
        <w:jc w:val="both"/>
      </w:pPr>
      <w:r>
        <w:t>Les types, à savoir CG (à base de ciment), RG (à base de résine), et autres propriétés sont compatibles avec le carreau et choisis en fonction de l’usage.</w:t>
      </w:r>
    </w:p>
    <w:p w14:paraId="08001688" w14:textId="77777777" w:rsidR="004B2808" w:rsidRDefault="00000000">
      <w:pPr>
        <w:jc w:val="both"/>
      </w:pPr>
      <w:r>
        <w:rPr>
          <w:u w:val="single"/>
        </w:rPr>
        <w:t>Produit de jointoiement traditionnel</w:t>
      </w:r>
    </w:p>
    <w:p w14:paraId="066D0CF7" w14:textId="77777777" w:rsidR="004B2808" w:rsidRDefault="00000000">
      <w:pPr>
        <w:jc w:val="both"/>
      </w:pPr>
      <w:r>
        <w:t>Les produits de jointoiement traditionnels respectent les définitions et principes du §3.5.2 de la [NIT 237].</w:t>
      </w:r>
    </w:p>
    <w:p w14:paraId="209723FE" w14:textId="77777777" w:rsidR="004B2808" w:rsidRDefault="00000000">
      <w:pPr>
        <w:pStyle w:val="pheading"/>
      </w:pPr>
      <w:r>
        <w:t>EXÉCUTION / MISE EN ŒUVRE</w:t>
      </w:r>
    </w:p>
    <w:p w14:paraId="614C8CF4" w14:textId="77777777" w:rsidR="004B2808" w:rsidRDefault="00000000">
      <w:pPr>
        <w:jc w:val="both"/>
      </w:pPr>
      <w:r>
        <w:rPr>
          <w:b/>
          <w:u w:val="single"/>
        </w:rPr>
        <w:t>Généralités</w:t>
      </w:r>
    </w:p>
    <w:p w14:paraId="50C869FF" w14:textId="77777777" w:rsidR="004B2808" w:rsidRDefault="00000000">
      <w:pPr>
        <w:jc w:val="both"/>
      </w:pPr>
      <w:r>
        <w:t>Les travaux de carrelage sont exécutés par des ouvriers spécialisés aux prescriptions du fabricant. Le moment de la mise en œuvre est judicieusement choisi en parfaite coordination avec la mise en œuvre du mobilier de cuisine, des appareils sanitaires et des accessoires. Toutes les garanties sont données pour obtenir une exécution parfaite, particulièrement en ce qui concerne les affaissements possibles, les tassements, les fissures dans les joints et les carreaux, l'étanchéité à l'eau, la durabilité, etc. Lorsqu'un joint de dilatation se présente dans l'aire de pose du carrelage, celui-ci est prolongé dans le carrelage.</w:t>
      </w:r>
    </w:p>
    <w:p w14:paraId="3397310E" w14:textId="77777777" w:rsidR="004B2808" w:rsidRDefault="00000000">
      <w:pPr>
        <w:jc w:val="both"/>
      </w:pPr>
      <w:r>
        <w:rPr>
          <w:b/>
          <w:u w:val="single"/>
        </w:rPr>
        <w:t>Mode De Pose</w:t>
      </w:r>
    </w:p>
    <w:p w14:paraId="4A41C29F" w14:textId="77777777" w:rsidR="004B2808" w:rsidRDefault="00000000">
      <w:pPr>
        <w:jc w:val="both"/>
      </w:pPr>
      <w:r>
        <w:t>Sauf dispositions contraires dans le cahier spécial des charges :</w:t>
      </w:r>
    </w:p>
    <w:p w14:paraId="57D4341D" w14:textId="77777777" w:rsidR="004B2808" w:rsidRDefault="00000000">
      <w:pPr>
        <w:pStyle w:val="Author-eListParagraph"/>
        <w:numPr>
          <w:ilvl w:val="0"/>
          <w:numId w:val="268"/>
        </w:numPr>
        <w:jc w:val="both"/>
      </w:pPr>
      <w:r>
        <w:t>les carreaux sont posés à joints égaux et lisses. La largeur des joints est fonction des dimensions et des tolérances dimensionnelles des carreaux § 5.5.1 de la [NIT 227] ; </w:t>
      </w:r>
    </w:p>
    <w:p w14:paraId="02E01B06" w14:textId="77777777" w:rsidR="004B2808" w:rsidRDefault="004B2808">
      <w:pPr>
        <w:pStyle w:val="Author-eListParagraph"/>
        <w:numPr>
          <w:ilvl w:val="0"/>
          <w:numId w:val="268"/>
        </w:numPr>
        <w:jc w:val="both"/>
      </w:pPr>
    </w:p>
    <w:p w14:paraId="6A796A87" w14:textId="77777777" w:rsidR="004B2808" w:rsidRDefault="00000000">
      <w:pPr>
        <w:pStyle w:val="Author-eListParagraph"/>
        <w:numPr>
          <w:ilvl w:val="0"/>
          <w:numId w:val="268"/>
        </w:numPr>
        <w:jc w:val="both"/>
      </w:pPr>
      <w:r>
        <w:t>les bandes étroites inférieures à un demi-carreau sont évitées ;</w:t>
      </w:r>
    </w:p>
    <w:p w14:paraId="4EF8A379" w14:textId="77777777" w:rsidR="004B2808" w:rsidRDefault="004B2808">
      <w:pPr>
        <w:pStyle w:val="Author-eListParagraph"/>
        <w:numPr>
          <w:ilvl w:val="0"/>
          <w:numId w:val="268"/>
        </w:numPr>
        <w:jc w:val="both"/>
      </w:pPr>
    </w:p>
    <w:p w14:paraId="33A42F0D" w14:textId="77777777" w:rsidR="004B2808" w:rsidRDefault="00000000">
      <w:pPr>
        <w:pStyle w:val="Author-eListParagraph"/>
        <w:numPr>
          <w:ilvl w:val="0"/>
          <w:numId w:val="268"/>
        </w:numPr>
        <w:jc w:val="both"/>
      </w:pPr>
      <w:r>
        <w:t>les carreaux sont découpés mécaniquement, sans dégradations visibles de la couche d'émail ;</w:t>
      </w:r>
    </w:p>
    <w:p w14:paraId="3CADD43F" w14:textId="77777777" w:rsidR="004B2808" w:rsidRDefault="004B2808">
      <w:pPr>
        <w:pStyle w:val="Author-eListParagraph"/>
        <w:numPr>
          <w:ilvl w:val="0"/>
          <w:numId w:val="268"/>
        </w:numPr>
        <w:jc w:val="both"/>
      </w:pPr>
    </w:p>
    <w:p w14:paraId="73B45C82" w14:textId="77777777" w:rsidR="004B2808" w:rsidRDefault="00000000">
      <w:pPr>
        <w:pStyle w:val="Author-eListParagraph"/>
        <w:numPr>
          <w:ilvl w:val="0"/>
          <w:numId w:val="268"/>
        </w:numPr>
        <w:jc w:val="both"/>
      </w:pPr>
      <w:r>
        <w:t>pour les angles saillants et les chants visibles des carreaux aux bords arrondis sont utilisés ;</w:t>
      </w:r>
    </w:p>
    <w:p w14:paraId="694DEF72" w14:textId="77777777" w:rsidR="004B2808" w:rsidRDefault="004B2808">
      <w:pPr>
        <w:pStyle w:val="Author-eListParagraph"/>
        <w:numPr>
          <w:ilvl w:val="0"/>
          <w:numId w:val="268"/>
        </w:numPr>
        <w:jc w:val="both"/>
      </w:pPr>
    </w:p>
    <w:p w14:paraId="6DE7CAF1" w14:textId="77777777" w:rsidR="004B2808" w:rsidRDefault="00000000">
      <w:pPr>
        <w:pStyle w:val="Author-eListParagraph"/>
        <w:numPr>
          <w:ilvl w:val="0"/>
          <w:numId w:val="268"/>
        </w:numPr>
        <w:jc w:val="both"/>
      </w:pPr>
      <w:r>
        <w:lastRenderedPageBreak/>
        <w:t>au droit des interrupteurs, des prises de courant ou de la robinetterie, des carreaux aux réservations préforées, qui sont achevées à la meule sont utilisés.</w:t>
      </w:r>
    </w:p>
    <w:p w14:paraId="70617A48" w14:textId="77777777" w:rsidR="004B2808" w:rsidRDefault="00000000">
      <w:pPr>
        <w:jc w:val="both"/>
      </w:pPr>
      <w:r>
        <w:t>Différents types de support sont possibles § 4.2 de la [NIT 227]. La technique de pose adéquate dépend entre autres du support à carreler. § 5.2 de la [NIT 227].</w:t>
      </w:r>
    </w:p>
    <w:p w14:paraId="669D0A60" w14:textId="77777777" w:rsidR="004B2808" w:rsidRDefault="00000000">
      <w:pPr>
        <w:jc w:val="both"/>
      </w:pPr>
      <w:r>
        <w:t>Pour plus d'informations, consultez aussi "Décollement des carrelages muraux intérieurs" [Buildwise Article Revue (1995-03-23)] + [NIT 227].</w:t>
      </w:r>
    </w:p>
    <w:p w14:paraId="31A3E635" w14:textId="77777777" w:rsidR="004B2808" w:rsidRDefault="00000000">
      <w:pPr>
        <w:jc w:val="both"/>
      </w:pPr>
      <w:r>
        <w:rPr>
          <w:b/>
          <w:u w:val="single"/>
        </w:rPr>
        <w:t>Remplissage des joints</w:t>
      </w:r>
    </w:p>
    <w:p w14:paraId="77C35737" w14:textId="77777777" w:rsidR="004B2808" w:rsidRDefault="00000000">
      <w:pPr>
        <w:jc w:val="both"/>
      </w:pPr>
      <w:r>
        <w:t>Au préalable, les joints et la surface des carreaux sont nettoyés avant le durcissement de la colle ou du mortier et débarrassés de toutes impuretés telles que poussière, sciure, clous, etc.</w:t>
      </w:r>
    </w:p>
    <w:p w14:paraId="1BF5E2A0" w14:textId="77777777" w:rsidR="004B2808" w:rsidRDefault="00000000">
      <w:pPr>
        <w:jc w:val="both"/>
      </w:pPr>
      <w:r>
        <w:t>Au plus tard 24 heures après leur mise en œuvre, les carrelages sont rejointoyés sur toute leur hauteur avec un mortier de jointoiement, compatible avec le système de mise en œuvre .Avant le jointoiement, les carreaux sont bien humidifiés afin que le mortier de jointoiement ne puisse pas brûler.</w:t>
      </w:r>
    </w:p>
    <w:p w14:paraId="4303E187" w14:textId="77777777" w:rsidR="004B2808" w:rsidRDefault="00000000">
      <w:pPr>
        <w:jc w:val="both"/>
      </w:pPr>
      <w:r>
        <w:t>Les joints d'angle verticaux et horizontaux ne sont pas jointoyés au mortier mais remplis avec un mastic fongicide durablement élastique. De même, les joints entre le sol et les murs ne sont pas rejointoyés mais remplis avec un mastic plastique approprié.</w:t>
      </w:r>
    </w:p>
    <w:p w14:paraId="06EFC3E0" w14:textId="77777777" w:rsidR="004B2808" w:rsidRDefault="00000000">
      <w:pPr>
        <w:jc w:val="both"/>
      </w:pPr>
      <w:r>
        <w:t>Pendant les travaux, les locaux sont protégés de tout foulement indésirable et maintenus (système de climatisation lorsque requis) aux conditions climatologiques requises en fonction du type de revêtement qui y est prévu soit généralement entre 5-10 et 25°C et entre 30 et 85%HR (voir fiches techniques des produits utilisés).</w:t>
      </w:r>
    </w:p>
    <w:p w14:paraId="373A14F5" w14:textId="77777777" w:rsidR="004B2808" w:rsidRDefault="00000000">
      <w:pPr>
        <w:pStyle w:val="pheading"/>
      </w:pPr>
      <w:r>
        <w:t>CONTRÔLES</w:t>
      </w:r>
    </w:p>
    <w:p w14:paraId="4A42D7C4" w14:textId="77777777" w:rsidR="004B2808" w:rsidRDefault="00000000">
      <w:pPr>
        <w:jc w:val="both"/>
      </w:pPr>
      <w:r>
        <w:t>Le revêtement en carrelage présente une surface verticale et plane, exempte de fissures dans les joints et les carreaux ou d'autres dégradations de la surface.</w:t>
      </w:r>
    </w:p>
    <w:p w14:paraId="015C4F1A" w14:textId="77777777" w:rsidR="004B2808" w:rsidRDefault="00000000">
      <w:pPr>
        <w:jc w:val="both"/>
      </w:pPr>
      <w:r>
        <w:t>Un nuançage de couleur uniforme est exigé dans un seul et même local.</w:t>
      </w:r>
    </w:p>
    <w:p w14:paraId="4D534434" w14:textId="77777777" w:rsidR="004B2808" w:rsidRDefault="00000000">
      <w:pPr>
        <w:pStyle w:val="pheading"/>
      </w:pPr>
      <w:r>
        <w:t>DOCUMENTS DE RÉFÉRENCE</w:t>
      </w:r>
    </w:p>
    <w:p w14:paraId="0E6C5BBB" w14:textId="77777777" w:rsidR="004B2808" w:rsidRDefault="00000000">
      <w:pPr>
        <w:pStyle w:val="pheading"/>
      </w:pPr>
      <w:r>
        <w:t>- Matériau</w:t>
      </w:r>
    </w:p>
    <w:p w14:paraId="6E07D5E5" w14:textId="77777777" w:rsidR="004B2808" w:rsidRDefault="00000000">
      <w:pPr>
        <w:spacing w:before="240" w:after="240"/>
      </w:pPr>
      <w:r>
        <w:t>[NBN EN 14411, Carreaux céramiques - Définitions, classification, caractéristiques, évaluation et vérification de la constance de performance et marquage]</w:t>
      </w:r>
    </w:p>
    <w:p w14:paraId="3DA59E8A" w14:textId="77777777" w:rsidR="004B2808" w:rsidRDefault="00000000">
      <w:pPr>
        <w:spacing w:before="240" w:after="240"/>
      </w:pPr>
      <w:r>
        <w:t>[NBN EN ISO 10545-6, Carreaux et dalles céramiques - Partie 6: Détermination de la résistance à l'abrasion profonde pour les carreaux non émaillés (ISO 10545-6:2010)]</w:t>
      </w:r>
    </w:p>
    <w:p w14:paraId="15BFE0CA" w14:textId="77777777" w:rsidR="004B2808" w:rsidRDefault="00000000">
      <w:pPr>
        <w:spacing w:before="240" w:after="240"/>
      </w:pPr>
      <w:r>
        <w:t>[NBN EN ISO 10545-7, Carreaux et dalles céramiques - Partie 7: Détermination de la résistance à l'abrasion de surface pour les carreaux et dalles émaillés (ISO 10545-7:1996) (+AC:1999)]</w:t>
      </w:r>
    </w:p>
    <w:p w14:paraId="7D1F51E3" w14:textId="77777777" w:rsidR="004B2808" w:rsidRDefault="00000000">
      <w:pPr>
        <w:spacing w:before="240" w:after="240"/>
      </w:pPr>
      <w:r>
        <w:t>[NBN EN ISO 10545-13, Carreaux et dalles céramiques - Partie 13: Détermination de la résistance chimique (ISO 10545-13:2016)]</w:t>
      </w:r>
    </w:p>
    <w:p w14:paraId="35956D9F" w14:textId="77777777" w:rsidR="004B2808" w:rsidRDefault="00000000">
      <w:pPr>
        <w:spacing w:before="240" w:after="240"/>
      </w:pPr>
      <w:r>
        <w:t>[NBN EN ISO 10545-14, Carreaux et dalles céramiques - Partie 14 : Détermination de la résistance aux taches (ISO 10545-14:2015)]</w:t>
      </w:r>
    </w:p>
    <w:p w14:paraId="409B45DA" w14:textId="77777777" w:rsidR="004B2808" w:rsidRDefault="00000000">
      <w:pPr>
        <w:spacing w:before="240" w:after="240"/>
      </w:pPr>
      <w:r>
        <w:t>[NBN EN 12004-1, Colles à carrelage - Partie 1: Exigences, évaluation et vérification de la constance de performance, classification et marquage]</w:t>
      </w:r>
    </w:p>
    <w:p w14:paraId="1FD394EA" w14:textId="77777777" w:rsidR="004B2808" w:rsidRDefault="00000000">
      <w:pPr>
        <w:spacing w:before="240" w:after="240"/>
      </w:pPr>
      <w:r>
        <w:t>[NBN EN 13888, Mortiers de jointoiement pour carreaux et dalles céramiques - Exigences, évaluation de conformité, classification et désignation]</w:t>
      </w:r>
    </w:p>
    <w:p w14:paraId="13048AE2" w14:textId="77777777" w:rsidR="004B2808" w:rsidRDefault="00000000">
      <w:pPr>
        <w:spacing w:before="240" w:after="240"/>
      </w:pPr>
      <w:r>
        <w:t>[NBN EN ISO 11600, Construction immobilière - Produits pour joints - Classification et exigences pour les mastics (ISO 11600:2002)]</w:t>
      </w:r>
    </w:p>
    <w:p w14:paraId="3050CA95" w14:textId="77777777" w:rsidR="004B2808" w:rsidRDefault="00000000">
      <w:pPr>
        <w:spacing w:before="240" w:after="240"/>
      </w:pPr>
      <w:r>
        <w:lastRenderedPageBreak/>
        <w:t>[NIT 237, Revêtements de sol intérieurs en carreaux céramiques (remplace la NIT 137 pour les travaux de carrelage en céramique).]</w:t>
      </w:r>
    </w:p>
    <w:p w14:paraId="26787EBC" w14:textId="77777777" w:rsidR="004B2808" w:rsidRDefault="00000000">
      <w:pPr>
        <w:pStyle w:val="pheading"/>
      </w:pPr>
      <w:r>
        <w:t>- Exécution</w:t>
      </w:r>
    </w:p>
    <w:p w14:paraId="77A2CC82" w14:textId="77777777" w:rsidR="004B2808" w:rsidRDefault="00000000">
      <w:r>
        <w:t>[NIT 237, Revêtements de sol intérieurs en carreaux céramiques (remplace la NIT 137 pour les travaux de carrelage en céramique).]</w:t>
      </w:r>
    </w:p>
    <w:p w14:paraId="3B8C8BBE" w14:textId="77777777" w:rsidR="004B2808" w:rsidRDefault="00000000">
      <w:pPr>
        <w:pStyle w:val="pheading"/>
      </w:pPr>
      <w:r>
        <w:t>AIDE</w:t>
      </w:r>
    </w:p>
    <w:p w14:paraId="19D9BCE3" w14:textId="77777777" w:rsidR="004B2808" w:rsidRDefault="00000000">
      <w:r>
        <w:t>Tableau 1. Classification des carreaux céramiques émaillés ou non</w:t>
      </w:r>
    </w:p>
    <w:tbl>
      <w:tblPr>
        <w:tblStyle w:val="Author-eTableGrid"/>
        <w:tblW w:w="9060" w:type="dxa"/>
        <w:tblLayout w:type="fixed"/>
        <w:tblLook w:val="04A0" w:firstRow="1" w:lastRow="0" w:firstColumn="1" w:lastColumn="0" w:noHBand="0" w:noVBand="1"/>
      </w:tblPr>
      <w:tblGrid>
        <w:gridCol w:w="1812"/>
        <w:gridCol w:w="1812"/>
        <w:gridCol w:w="1812"/>
        <w:gridCol w:w="1812"/>
        <w:gridCol w:w="1812"/>
      </w:tblGrid>
      <w:tr w:rsidR="004B2808" w14:paraId="00CCFFCF" w14:textId="77777777">
        <w:tc>
          <w:tcPr>
            <w:tcW w:w="1800" w:type="dxa"/>
            <w:vMerge w:val="restart"/>
            <w:noWrap/>
          </w:tcPr>
          <w:p w14:paraId="5130012B" w14:textId="77777777" w:rsidR="004B2808" w:rsidRDefault="004B2808"/>
          <w:p w14:paraId="39A9AB02" w14:textId="77777777" w:rsidR="004B2808" w:rsidRDefault="00000000">
            <w:pPr>
              <w:jc w:val="center"/>
            </w:pPr>
            <w:r>
              <w:t>Type de carreau</w:t>
            </w:r>
          </w:p>
        </w:tc>
        <w:tc>
          <w:tcPr>
            <w:tcW w:w="7200" w:type="dxa"/>
            <w:gridSpan w:val="4"/>
            <w:noWrap/>
          </w:tcPr>
          <w:p w14:paraId="3D124424" w14:textId="77777777" w:rsidR="004B2808" w:rsidRDefault="00000000">
            <w:pPr>
              <w:jc w:val="center"/>
            </w:pPr>
            <w:r>
              <w:t>Absorption d’eau E par ébullition (% de la masse)</w:t>
            </w:r>
          </w:p>
        </w:tc>
      </w:tr>
      <w:tr w:rsidR="004B2808" w14:paraId="2D46C4EC" w14:textId="77777777">
        <w:tc>
          <w:tcPr>
            <w:tcW w:w="1800" w:type="dxa"/>
            <w:vMerge/>
            <w:noWrap/>
          </w:tcPr>
          <w:p w14:paraId="537E5CCC" w14:textId="77777777" w:rsidR="004B2808" w:rsidRDefault="004B2808"/>
        </w:tc>
        <w:tc>
          <w:tcPr>
            <w:tcW w:w="1800" w:type="dxa"/>
            <w:noWrap/>
          </w:tcPr>
          <w:p w14:paraId="31BAEB95" w14:textId="77777777" w:rsidR="004B2808" w:rsidRDefault="00000000">
            <w:pPr>
              <w:jc w:val="center"/>
            </w:pPr>
            <w:r>
              <w:t>Groupe I</w:t>
            </w:r>
          </w:p>
          <w:p w14:paraId="6AEC8087" w14:textId="77777777" w:rsidR="004B2808" w:rsidRDefault="00000000">
            <w:pPr>
              <w:jc w:val="center"/>
            </w:pPr>
            <w:r>
              <w:t>E ≤ 3 %</w:t>
            </w:r>
          </w:p>
        </w:tc>
        <w:tc>
          <w:tcPr>
            <w:tcW w:w="1800" w:type="dxa"/>
            <w:noWrap/>
          </w:tcPr>
          <w:p w14:paraId="0E0BAD3D" w14:textId="77777777" w:rsidR="004B2808" w:rsidRDefault="00000000">
            <w:pPr>
              <w:jc w:val="center"/>
            </w:pPr>
            <w:r>
              <w:t>Groupe IIa</w:t>
            </w:r>
          </w:p>
          <w:p w14:paraId="7101A9BD" w14:textId="77777777" w:rsidR="004B2808" w:rsidRDefault="00000000">
            <w:pPr>
              <w:jc w:val="center"/>
            </w:pPr>
            <w:r>
              <w:t>3 % &lt; E ≤ 6 %</w:t>
            </w:r>
          </w:p>
        </w:tc>
        <w:tc>
          <w:tcPr>
            <w:tcW w:w="1800" w:type="dxa"/>
            <w:noWrap/>
          </w:tcPr>
          <w:p w14:paraId="67D9BAC8" w14:textId="77777777" w:rsidR="004B2808" w:rsidRDefault="00000000">
            <w:pPr>
              <w:jc w:val="center"/>
            </w:pPr>
            <w:r>
              <w:t>Groupe IIb</w:t>
            </w:r>
          </w:p>
          <w:p w14:paraId="26DF8611" w14:textId="77777777" w:rsidR="004B2808" w:rsidRDefault="00000000">
            <w:pPr>
              <w:jc w:val="center"/>
            </w:pPr>
            <w:r>
              <w:t>§ % &lt; E ≤ 10 %</w:t>
            </w:r>
          </w:p>
        </w:tc>
        <w:tc>
          <w:tcPr>
            <w:tcW w:w="1800" w:type="dxa"/>
            <w:noWrap/>
          </w:tcPr>
          <w:p w14:paraId="6826F3DE" w14:textId="77777777" w:rsidR="004B2808" w:rsidRDefault="00000000">
            <w:pPr>
              <w:jc w:val="center"/>
            </w:pPr>
            <w:r>
              <w:t>Groupe III</w:t>
            </w:r>
          </w:p>
          <w:p w14:paraId="3966869B" w14:textId="77777777" w:rsidR="004B2808" w:rsidRDefault="00000000">
            <w:pPr>
              <w:jc w:val="center"/>
            </w:pPr>
            <w:r>
              <w:t>E &gt; 10 %</w:t>
            </w:r>
          </w:p>
        </w:tc>
      </w:tr>
      <w:tr w:rsidR="004B2808" w14:paraId="69248F05" w14:textId="77777777">
        <w:tc>
          <w:tcPr>
            <w:tcW w:w="1800" w:type="dxa"/>
            <w:vMerge w:val="restart"/>
            <w:noWrap/>
          </w:tcPr>
          <w:p w14:paraId="0EFD58B2" w14:textId="77777777" w:rsidR="004B2808" w:rsidRDefault="004B2808"/>
          <w:p w14:paraId="284058AB" w14:textId="77777777" w:rsidR="004B2808" w:rsidRDefault="00000000">
            <w:pPr>
              <w:jc w:val="center"/>
            </w:pPr>
            <w:r>
              <w:t>A</w:t>
            </w:r>
          </w:p>
          <w:p w14:paraId="47964DD8" w14:textId="77777777" w:rsidR="004B2808" w:rsidRDefault="00000000">
            <w:pPr>
              <w:jc w:val="center"/>
            </w:pPr>
            <w:r>
              <w:t>Etiré</w:t>
            </w:r>
          </w:p>
        </w:tc>
        <w:tc>
          <w:tcPr>
            <w:tcW w:w="1800" w:type="dxa"/>
            <w:noWrap/>
          </w:tcPr>
          <w:p w14:paraId="6C353A5F" w14:textId="77777777" w:rsidR="004B2808" w:rsidRDefault="00000000">
            <w:pPr>
              <w:jc w:val="center"/>
            </w:pPr>
            <w:r>
              <w:t>Groupe AI</w:t>
            </w:r>
            <w:r>
              <w:rPr>
                <w:vertAlign w:val="subscript"/>
              </w:rPr>
              <w:t>a</w:t>
            </w:r>
          </w:p>
          <w:p w14:paraId="510D45B9" w14:textId="77777777" w:rsidR="004B2808" w:rsidRDefault="00000000">
            <w:pPr>
              <w:jc w:val="center"/>
            </w:pPr>
            <w:r>
              <w:t>E ≤ 0.5 %</w:t>
            </w:r>
          </w:p>
        </w:tc>
        <w:tc>
          <w:tcPr>
            <w:tcW w:w="1800" w:type="dxa"/>
            <w:noWrap/>
          </w:tcPr>
          <w:p w14:paraId="0538A3C0" w14:textId="77777777" w:rsidR="004B2808" w:rsidRDefault="00000000">
            <w:pPr>
              <w:jc w:val="center"/>
            </w:pPr>
            <w:r>
              <w:t>AII</w:t>
            </w:r>
            <w:r>
              <w:rPr>
                <w:vertAlign w:val="subscript"/>
              </w:rPr>
              <w:t>a-1</w:t>
            </w:r>
            <w:r>
              <w:t> (*)</w:t>
            </w:r>
          </w:p>
        </w:tc>
        <w:tc>
          <w:tcPr>
            <w:tcW w:w="1800" w:type="dxa"/>
            <w:noWrap/>
          </w:tcPr>
          <w:p w14:paraId="68EEB28C" w14:textId="77777777" w:rsidR="004B2808" w:rsidRDefault="00000000">
            <w:pPr>
              <w:jc w:val="center"/>
            </w:pPr>
            <w:r>
              <w:t>AII</w:t>
            </w:r>
            <w:r>
              <w:rPr>
                <w:vertAlign w:val="subscript"/>
              </w:rPr>
              <w:t>b-1</w:t>
            </w:r>
            <w:r>
              <w:t> (*)</w:t>
            </w:r>
          </w:p>
        </w:tc>
        <w:tc>
          <w:tcPr>
            <w:tcW w:w="1800" w:type="dxa"/>
            <w:vMerge w:val="restart"/>
            <w:noWrap/>
          </w:tcPr>
          <w:p w14:paraId="28448EBC" w14:textId="77777777" w:rsidR="004B2808" w:rsidRDefault="00000000">
            <w:pPr>
              <w:jc w:val="center"/>
            </w:pPr>
            <w:r>
              <w:t>AIII</w:t>
            </w:r>
          </w:p>
        </w:tc>
      </w:tr>
      <w:tr w:rsidR="004B2808" w14:paraId="22E893BC" w14:textId="77777777">
        <w:tc>
          <w:tcPr>
            <w:tcW w:w="1800" w:type="dxa"/>
            <w:vMerge/>
            <w:noWrap/>
          </w:tcPr>
          <w:p w14:paraId="3A8FB305" w14:textId="77777777" w:rsidR="004B2808" w:rsidRDefault="004B2808"/>
        </w:tc>
        <w:tc>
          <w:tcPr>
            <w:tcW w:w="1800" w:type="dxa"/>
            <w:noWrap/>
          </w:tcPr>
          <w:p w14:paraId="35D3987D" w14:textId="77777777" w:rsidR="004B2808" w:rsidRDefault="00000000">
            <w:pPr>
              <w:jc w:val="center"/>
            </w:pPr>
            <w:r>
              <w:t>Groupe AI</w:t>
            </w:r>
            <w:r>
              <w:rPr>
                <w:vertAlign w:val="subscript"/>
              </w:rPr>
              <w:t>b</w:t>
            </w:r>
          </w:p>
          <w:p w14:paraId="118DCCCE" w14:textId="77777777" w:rsidR="004B2808" w:rsidRDefault="00000000">
            <w:pPr>
              <w:jc w:val="center"/>
            </w:pPr>
            <w:r>
              <w:t>0.5 % &lt; E ≤ 3 %</w:t>
            </w:r>
          </w:p>
        </w:tc>
        <w:tc>
          <w:tcPr>
            <w:tcW w:w="1800" w:type="dxa"/>
            <w:noWrap/>
          </w:tcPr>
          <w:p w14:paraId="07F6A2B4" w14:textId="77777777" w:rsidR="004B2808" w:rsidRDefault="00000000">
            <w:pPr>
              <w:jc w:val="center"/>
            </w:pPr>
            <w:r>
              <w:t>AII</w:t>
            </w:r>
            <w:r>
              <w:rPr>
                <w:vertAlign w:val="subscript"/>
              </w:rPr>
              <w:t>a-2</w:t>
            </w:r>
            <w:r>
              <w:t> (*)</w:t>
            </w:r>
          </w:p>
        </w:tc>
        <w:tc>
          <w:tcPr>
            <w:tcW w:w="1800" w:type="dxa"/>
            <w:noWrap/>
          </w:tcPr>
          <w:p w14:paraId="1BCC78C8" w14:textId="77777777" w:rsidR="004B2808" w:rsidRDefault="00000000">
            <w:pPr>
              <w:jc w:val="center"/>
            </w:pPr>
            <w:r>
              <w:t>AII</w:t>
            </w:r>
            <w:r>
              <w:rPr>
                <w:vertAlign w:val="subscript"/>
              </w:rPr>
              <w:t>b-2</w:t>
            </w:r>
            <w:r>
              <w:t> (*)</w:t>
            </w:r>
          </w:p>
        </w:tc>
        <w:tc>
          <w:tcPr>
            <w:tcW w:w="1800" w:type="dxa"/>
            <w:vMerge/>
            <w:noWrap/>
          </w:tcPr>
          <w:p w14:paraId="0E425CA3" w14:textId="77777777" w:rsidR="004B2808" w:rsidRDefault="004B2808"/>
        </w:tc>
      </w:tr>
      <w:tr w:rsidR="004B2808" w14:paraId="714433CA" w14:textId="77777777">
        <w:tc>
          <w:tcPr>
            <w:tcW w:w="1800" w:type="dxa"/>
            <w:vMerge w:val="restart"/>
            <w:noWrap/>
          </w:tcPr>
          <w:p w14:paraId="4F7867D1" w14:textId="77777777" w:rsidR="004B2808" w:rsidRDefault="004B2808"/>
          <w:p w14:paraId="59339291" w14:textId="77777777" w:rsidR="004B2808" w:rsidRDefault="00000000">
            <w:pPr>
              <w:jc w:val="center"/>
            </w:pPr>
            <w:r>
              <w:t>B</w:t>
            </w:r>
          </w:p>
          <w:p w14:paraId="2A8AB61E" w14:textId="77777777" w:rsidR="004B2808" w:rsidRDefault="00000000">
            <w:pPr>
              <w:jc w:val="center"/>
            </w:pPr>
            <w:r>
              <w:t>Pressé à sec</w:t>
            </w:r>
          </w:p>
        </w:tc>
        <w:tc>
          <w:tcPr>
            <w:tcW w:w="1800" w:type="dxa"/>
            <w:noWrap/>
          </w:tcPr>
          <w:p w14:paraId="267976E4" w14:textId="77777777" w:rsidR="004B2808" w:rsidRDefault="00000000">
            <w:pPr>
              <w:jc w:val="center"/>
            </w:pPr>
            <w:r>
              <w:t>Groupe BI</w:t>
            </w:r>
            <w:r>
              <w:rPr>
                <w:vertAlign w:val="subscript"/>
              </w:rPr>
              <w:t>a</w:t>
            </w:r>
          </w:p>
          <w:p w14:paraId="1CD2C213" w14:textId="77777777" w:rsidR="004B2808" w:rsidRDefault="00000000">
            <w:pPr>
              <w:jc w:val="center"/>
            </w:pPr>
            <w:r>
              <w:t>E ≤ 0.5 %</w:t>
            </w:r>
          </w:p>
        </w:tc>
        <w:tc>
          <w:tcPr>
            <w:tcW w:w="1800" w:type="dxa"/>
            <w:vMerge w:val="restart"/>
            <w:noWrap/>
          </w:tcPr>
          <w:p w14:paraId="5C6C240C" w14:textId="77777777" w:rsidR="004B2808" w:rsidRDefault="00000000">
            <w:pPr>
              <w:jc w:val="center"/>
            </w:pPr>
            <w:r>
              <w:t>BIIa</w:t>
            </w:r>
          </w:p>
        </w:tc>
        <w:tc>
          <w:tcPr>
            <w:tcW w:w="1800" w:type="dxa"/>
            <w:vMerge w:val="restart"/>
            <w:noWrap/>
          </w:tcPr>
          <w:p w14:paraId="3BAFD5B3" w14:textId="77777777" w:rsidR="004B2808" w:rsidRDefault="00000000">
            <w:pPr>
              <w:jc w:val="center"/>
            </w:pPr>
            <w:r>
              <w:t>BII</w:t>
            </w:r>
            <w:r>
              <w:rPr>
                <w:vertAlign w:val="subscript"/>
              </w:rPr>
              <w:t>b</w:t>
            </w:r>
          </w:p>
        </w:tc>
        <w:tc>
          <w:tcPr>
            <w:tcW w:w="1800" w:type="dxa"/>
            <w:vMerge w:val="restart"/>
            <w:noWrap/>
          </w:tcPr>
          <w:p w14:paraId="63A5F8BC" w14:textId="77777777" w:rsidR="004B2808" w:rsidRDefault="00000000">
            <w:pPr>
              <w:jc w:val="center"/>
            </w:pPr>
            <w:r>
              <w:t>BIII (**)</w:t>
            </w:r>
          </w:p>
        </w:tc>
      </w:tr>
      <w:tr w:rsidR="004B2808" w14:paraId="49B256DA" w14:textId="77777777">
        <w:tc>
          <w:tcPr>
            <w:tcW w:w="1800" w:type="dxa"/>
            <w:vMerge/>
            <w:noWrap/>
          </w:tcPr>
          <w:p w14:paraId="6083B103" w14:textId="77777777" w:rsidR="004B2808" w:rsidRDefault="004B2808"/>
        </w:tc>
        <w:tc>
          <w:tcPr>
            <w:tcW w:w="1800" w:type="dxa"/>
            <w:noWrap/>
          </w:tcPr>
          <w:p w14:paraId="372A97D5" w14:textId="77777777" w:rsidR="004B2808" w:rsidRDefault="00000000">
            <w:pPr>
              <w:jc w:val="center"/>
            </w:pPr>
            <w:r>
              <w:t>Groupe BI</w:t>
            </w:r>
            <w:r>
              <w:rPr>
                <w:vertAlign w:val="subscript"/>
              </w:rPr>
              <w:t>b</w:t>
            </w:r>
          </w:p>
          <w:p w14:paraId="780F94C0" w14:textId="77777777" w:rsidR="004B2808" w:rsidRDefault="00000000">
            <w:pPr>
              <w:jc w:val="center"/>
            </w:pPr>
            <w:r>
              <w:t>0.5 % &lt; E ≤ 3 %</w:t>
            </w:r>
          </w:p>
        </w:tc>
        <w:tc>
          <w:tcPr>
            <w:tcW w:w="1800" w:type="dxa"/>
            <w:vMerge/>
            <w:noWrap/>
          </w:tcPr>
          <w:p w14:paraId="08CA89CE" w14:textId="77777777" w:rsidR="004B2808" w:rsidRDefault="004B2808"/>
        </w:tc>
        <w:tc>
          <w:tcPr>
            <w:tcW w:w="1800" w:type="dxa"/>
            <w:vMerge/>
            <w:noWrap/>
          </w:tcPr>
          <w:p w14:paraId="5D1567A5" w14:textId="77777777" w:rsidR="004B2808" w:rsidRDefault="004B2808"/>
        </w:tc>
        <w:tc>
          <w:tcPr>
            <w:tcW w:w="1800" w:type="dxa"/>
            <w:vMerge/>
            <w:noWrap/>
          </w:tcPr>
          <w:p w14:paraId="19360D8B" w14:textId="77777777" w:rsidR="004B2808" w:rsidRDefault="004B2808"/>
        </w:tc>
      </w:tr>
      <w:tr w:rsidR="004B2808" w14:paraId="05B183AD" w14:textId="77777777">
        <w:tc>
          <w:tcPr>
            <w:tcW w:w="9000" w:type="dxa"/>
            <w:gridSpan w:val="5"/>
            <w:noWrap/>
          </w:tcPr>
          <w:p w14:paraId="59BABC5D" w14:textId="77777777" w:rsidR="004B2808" w:rsidRDefault="00000000">
            <w:pPr>
              <w:jc w:val="both"/>
            </w:pPr>
            <w:r>
              <w:t>(*) Les groupes AII</w:t>
            </w:r>
            <w:r>
              <w:rPr>
                <w:vertAlign w:val="subscript"/>
              </w:rPr>
              <w:t>a</w:t>
            </w:r>
            <w:r>
              <w:t xml:space="preserve"> et AII</w:t>
            </w:r>
            <w:r>
              <w:rPr>
                <w:vertAlign w:val="subscript"/>
              </w:rPr>
              <w:t>b</w:t>
            </w:r>
            <w:r>
              <w:t xml:space="preserve"> sont subdivisés en deux sous-groupes de produits (1 et 2) aux spécifications différentes.</w:t>
            </w:r>
          </w:p>
          <w:p w14:paraId="6BD92D73" w14:textId="77777777" w:rsidR="004B2808" w:rsidRDefault="00000000">
            <w:pPr>
              <w:jc w:val="both"/>
            </w:pPr>
            <w:r>
              <w:t>(**) Le groupe BIII n’englobe que les carreaux émaillés. Les carreaux pressés à sec, non émaillés, présentant une absorption d’eau supérieure à 10 % ne sont donc pas compris dans ce groupe de produits.</w:t>
            </w:r>
          </w:p>
        </w:tc>
      </w:tr>
    </w:tbl>
    <w:p w14:paraId="061530BC" w14:textId="77777777" w:rsidR="004B2808" w:rsidRDefault="004B2808"/>
    <w:p w14:paraId="75FB4834" w14:textId="77777777" w:rsidR="004B2808" w:rsidRDefault="004B2808"/>
    <w:p w14:paraId="440DDDAA" w14:textId="77777777" w:rsidR="004B2808" w:rsidRDefault="00000000">
      <w:r>
        <w:t>Tableau 2. Exigences minimales applicables aux différentes classes de carreaux</w:t>
      </w:r>
    </w:p>
    <w:tbl>
      <w:tblPr>
        <w:tblStyle w:val="Author-eTableGrid"/>
        <w:tblW w:w="9060" w:type="dxa"/>
        <w:tblLayout w:type="fixed"/>
        <w:tblLook w:val="04A0" w:firstRow="1" w:lastRow="0" w:firstColumn="1" w:lastColumn="0" w:noHBand="0" w:noVBand="1"/>
      </w:tblPr>
      <w:tblGrid>
        <w:gridCol w:w="845"/>
        <w:gridCol w:w="1643"/>
        <w:gridCol w:w="1643"/>
        <w:gridCol w:w="1643"/>
        <w:gridCol w:w="1643"/>
        <w:gridCol w:w="1643"/>
      </w:tblGrid>
      <w:tr w:rsidR="004B2808" w14:paraId="172221F7" w14:textId="77777777">
        <w:tc>
          <w:tcPr>
            <w:tcW w:w="840" w:type="dxa"/>
            <w:vMerge w:val="restart"/>
            <w:noWrap/>
          </w:tcPr>
          <w:p w14:paraId="62FD9673" w14:textId="77777777" w:rsidR="004B2808" w:rsidRDefault="00000000">
            <w:pPr>
              <w:jc w:val="center"/>
            </w:pPr>
            <w:r>
              <w:rPr>
                <w:b/>
              </w:rPr>
              <w:t>Classe</w:t>
            </w:r>
          </w:p>
        </w:tc>
        <w:tc>
          <w:tcPr>
            <w:tcW w:w="3270" w:type="dxa"/>
            <w:gridSpan w:val="2"/>
            <w:noWrap/>
          </w:tcPr>
          <w:p w14:paraId="3581B5DC" w14:textId="77777777" w:rsidR="004B2808" w:rsidRDefault="00000000">
            <w:pPr>
              <w:jc w:val="center"/>
            </w:pPr>
            <w:r>
              <w:rPr>
                <w:b/>
              </w:rPr>
              <w:t>Résistance à l’usure selon [NBN EN ISO 10545-6] (uniquement pour les carreaux non émaillés)</w:t>
            </w:r>
          </w:p>
        </w:tc>
        <w:tc>
          <w:tcPr>
            <w:tcW w:w="4905" w:type="dxa"/>
            <w:gridSpan w:val="3"/>
            <w:noWrap/>
          </w:tcPr>
          <w:p w14:paraId="4C2A8AF8" w14:textId="77777777" w:rsidR="004B2808" w:rsidRDefault="00000000">
            <w:pPr>
              <w:jc w:val="center"/>
            </w:pPr>
            <w:r>
              <w:rPr>
                <w:b/>
              </w:rPr>
              <w:t>Caractéristiques de rupture selon [NBN EN ISO 10545-4]</w:t>
            </w:r>
          </w:p>
        </w:tc>
      </w:tr>
      <w:tr w:rsidR="004B2808" w14:paraId="7DB61DF4" w14:textId="77777777">
        <w:tc>
          <w:tcPr>
            <w:tcW w:w="840" w:type="dxa"/>
            <w:vMerge/>
            <w:noWrap/>
          </w:tcPr>
          <w:p w14:paraId="137DBA5A" w14:textId="77777777" w:rsidR="004B2808" w:rsidRDefault="004B2808"/>
        </w:tc>
        <w:tc>
          <w:tcPr>
            <w:tcW w:w="1635" w:type="dxa"/>
            <w:vMerge w:val="restart"/>
            <w:noWrap/>
          </w:tcPr>
          <w:p w14:paraId="5962DC52" w14:textId="77777777" w:rsidR="004B2808" w:rsidRDefault="00000000">
            <w:r>
              <w:rPr>
                <w:b/>
              </w:rPr>
              <w:t>[mm³ (mm)]</w:t>
            </w:r>
          </w:p>
        </w:tc>
        <w:tc>
          <w:tcPr>
            <w:tcW w:w="1635" w:type="dxa"/>
            <w:vMerge w:val="restart"/>
            <w:noWrap/>
          </w:tcPr>
          <w:p w14:paraId="40AB1686" w14:textId="77777777" w:rsidR="004B2808" w:rsidRDefault="00000000">
            <w:r>
              <w:rPr>
                <w:b/>
              </w:rPr>
              <w:t>Classe UPEC équivalente</w:t>
            </w:r>
          </w:p>
        </w:tc>
        <w:tc>
          <w:tcPr>
            <w:tcW w:w="3270" w:type="dxa"/>
            <w:gridSpan w:val="2"/>
            <w:noWrap/>
          </w:tcPr>
          <w:p w14:paraId="7E8BD942" w14:textId="77777777" w:rsidR="004B2808" w:rsidRDefault="00000000">
            <w:r>
              <w:rPr>
                <w:b/>
              </w:rPr>
              <w:t>Résistance à la rupture</w:t>
            </w:r>
          </w:p>
        </w:tc>
        <w:tc>
          <w:tcPr>
            <w:tcW w:w="1635" w:type="dxa"/>
            <w:vMerge w:val="restart"/>
            <w:noWrap/>
          </w:tcPr>
          <w:p w14:paraId="561ABD39" w14:textId="77777777" w:rsidR="004B2808" w:rsidRDefault="00000000">
            <w:r>
              <w:rPr>
                <w:b/>
              </w:rPr>
              <w:t>Module de rupture</w:t>
            </w:r>
          </w:p>
          <w:p w14:paraId="5ADA2479" w14:textId="77777777" w:rsidR="004B2808" w:rsidRDefault="00000000">
            <w:r>
              <w:rPr>
                <w:b/>
              </w:rPr>
              <w:t>R [N/mm²]</w:t>
            </w:r>
          </w:p>
        </w:tc>
      </w:tr>
      <w:tr w:rsidR="004B2808" w14:paraId="1DB85A97" w14:textId="77777777">
        <w:tc>
          <w:tcPr>
            <w:tcW w:w="840" w:type="dxa"/>
            <w:vMerge/>
            <w:noWrap/>
          </w:tcPr>
          <w:p w14:paraId="4EA81E57" w14:textId="77777777" w:rsidR="004B2808" w:rsidRDefault="004B2808"/>
        </w:tc>
        <w:tc>
          <w:tcPr>
            <w:tcW w:w="1635" w:type="dxa"/>
            <w:vMerge/>
            <w:noWrap/>
          </w:tcPr>
          <w:p w14:paraId="22A0BD75" w14:textId="77777777" w:rsidR="004B2808" w:rsidRDefault="004B2808"/>
        </w:tc>
        <w:tc>
          <w:tcPr>
            <w:tcW w:w="1635" w:type="dxa"/>
            <w:vMerge/>
            <w:noWrap/>
          </w:tcPr>
          <w:p w14:paraId="0B9100C8" w14:textId="77777777" w:rsidR="004B2808" w:rsidRDefault="004B2808"/>
        </w:tc>
        <w:tc>
          <w:tcPr>
            <w:tcW w:w="1635" w:type="dxa"/>
            <w:noWrap/>
          </w:tcPr>
          <w:p w14:paraId="54D7B2E0" w14:textId="77777777" w:rsidR="004B2808" w:rsidRDefault="00000000">
            <w:r>
              <w:rPr>
                <w:b/>
              </w:rPr>
              <w:t>Epaisseur</w:t>
            </w:r>
          </w:p>
        </w:tc>
        <w:tc>
          <w:tcPr>
            <w:tcW w:w="1635" w:type="dxa"/>
            <w:noWrap/>
          </w:tcPr>
          <w:p w14:paraId="71F61A62" w14:textId="77777777" w:rsidR="004B2808" w:rsidRDefault="00000000">
            <w:r>
              <w:rPr>
                <w:b/>
              </w:rPr>
              <w:t>[N]</w:t>
            </w:r>
          </w:p>
        </w:tc>
        <w:tc>
          <w:tcPr>
            <w:tcW w:w="1635" w:type="dxa"/>
            <w:vMerge/>
            <w:noWrap/>
          </w:tcPr>
          <w:p w14:paraId="095F07BC" w14:textId="77777777" w:rsidR="004B2808" w:rsidRDefault="004B2808"/>
        </w:tc>
      </w:tr>
      <w:tr w:rsidR="004B2808" w14:paraId="3630B798" w14:textId="77777777">
        <w:tc>
          <w:tcPr>
            <w:tcW w:w="840" w:type="dxa"/>
            <w:vMerge w:val="restart"/>
            <w:noWrap/>
          </w:tcPr>
          <w:p w14:paraId="44781B89" w14:textId="77777777" w:rsidR="004B2808" w:rsidRDefault="004B2808"/>
          <w:p w14:paraId="4EC537F3" w14:textId="77777777" w:rsidR="004B2808" w:rsidRDefault="00000000">
            <w:r>
              <w:t>AI</w:t>
            </w:r>
            <w:r>
              <w:rPr>
                <w:vertAlign w:val="subscript"/>
              </w:rPr>
              <w:t>a</w:t>
            </w:r>
          </w:p>
        </w:tc>
        <w:tc>
          <w:tcPr>
            <w:tcW w:w="1635" w:type="dxa"/>
            <w:vMerge w:val="restart"/>
            <w:noWrap/>
          </w:tcPr>
          <w:p w14:paraId="7F0055AB" w14:textId="77777777" w:rsidR="004B2808" w:rsidRDefault="004B2808"/>
          <w:p w14:paraId="4AE36CA5" w14:textId="77777777" w:rsidR="004B2808" w:rsidRDefault="00000000">
            <w:r>
              <w:t>Max. 275 (32)</w:t>
            </w:r>
          </w:p>
        </w:tc>
        <w:tc>
          <w:tcPr>
            <w:tcW w:w="1635" w:type="dxa"/>
            <w:vMerge w:val="restart"/>
            <w:noWrap/>
          </w:tcPr>
          <w:p w14:paraId="11CBC299" w14:textId="77777777" w:rsidR="004B2808" w:rsidRDefault="004B2808"/>
          <w:p w14:paraId="50F51417" w14:textId="77777777" w:rsidR="004B2808" w:rsidRDefault="00000000">
            <w:r>
              <w:t>U4</w:t>
            </w:r>
          </w:p>
        </w:tc>
        <w:tc>
          <w:tcPr>
            <w:tcW w:w="1635" w:type="dxa"/>
            <w:noWrap/>
          </w:tcPr>
          <w:p w14:paraId="65108C25" w14:textId="77777777" w:rsidR="004B2808" w:rsidRDefault="00000000">
            <w:r>
              <w:t>≥ 7.5 mm</w:t>
            </w:r>
          </w:p>
        </w:tc>
        <w:tc>
          <w:tcPr>
            <w:tcW w:w="1635" w:type="dxa"/>
            <w:noWrap/>
          </w:tcPr>
          <w:p w14:paraId="46DD66D2" w14:textId="77777777" w:rsidR="004B2808" w:rsidRDefault="00000000">
            <w:r>
              <w:t>≥ 1300</w:t>
            </w:r>
          </w:p>
        </w:tc>
        <w:tc>
          <w:tcPr>
            <w:tcW w:w="1635" w:type="dxa"/>
            <w:vMerge w:val="restart"/>
            <w:noWrap/>
          </w:tcPr>
          <w:p w14:paraId="36BE5809" w14:textId="77777777" w:rsidR="004B2808" w:rsidRDefault="00000000">
            <w:r>
              <w:t>Min. 28</w:t>
            </w:r>
          </w:p>
          <w:p w14:paraId="3F4431A1" w14:textId="77777777" w:rsidR="004B2808" w:rsidRDefault="00000000">
            <w:r>
              <w:t>Min. individuel 21</w:t>
            </w:r>
          </w:p>
        </w:tc>
      </w:tr>
      <w:tr w:rsidR="004B2808" w14:paraId="6497B072" w14:textId="77777777">
        <w:tc>
          <w:tcPr>
            <w:tcW w:w="840" w:type="dxa"/>
            <w:vMerge/>
            <w:noWrap/>
          </w:tcPr>
          <w:p w14:paraId="06000E5A" w14:textId="77777777" w:rsidR="004B2808" w:rsidRDefault="004B2808"/>
        </w:tc>
        <w:tc>
          <w:tcPr>
            <w:tcW w:w="1635" w:type="dxa"/>
            <w:vMerge/>
            <w:noWrap/>
          </w:tcPr>
          <w:p w14:paraId="4B3334CA" w14:textId="77777777" w:rsidR="004B2808" w:rsidRDefault="004B2808"/>
        </w:tc>
        <w:tc>
          <w:tcPr>
            <w:tcW w:w="1635" w:type="dxa"/>
            <w:vMerge/>
            <w:noWrap/>
          </w:tcPr>
          <w:p w14:paraId="067CF5AA" w14:textId="77777777" w:rsidR="004B2808" w:rsidRDefault="004B2808"/>
        </w:tc>
        <w:tc>
          <w:tcPr>
            <w:tcW w:w="1635" w:type="dxa"/>
            <w:noWrap/>
          </w:tcPr>
          <w:p w14:paraId="02E92ACA" w14:textId="77777777" w:rsidR="004B2808" w:rsidRDefault="00000000">
            <w:r>
              <w:t>&lt; 7.5 mm</w:t>
            </w:r>
          </w:p>
        </w:tc>
        <w:tc>
          <w:tcPr>
            <w:tcW w:w="1635" w:type="dxa"/>
            <w:noWrap/>
          </w:tcPr>
          <w:p w14:paraId="461B4B6B" w14:textId="77777777" w:rsidR="004B2808" w:rsidRDefault="00000000">
            <w:r>
              <w:t>≥ 600</w:t>
            </w:r>
          </w:p>
        </w:tc>
        <w:tc>
          <w:tcPr>
            <w:tcW w:w="1635" w:type="dxa"/>
            <w:vMerge/>
            <w:noWrap/>
          </w:tcPr>
          <w:p w14:paraId="20291F04" w14:textId="77777777" w:rsidR="004B2808" w:rsidRDefault="004B2808"/>
        </w:tc>
      </w:tr>
      <w:tr w:rsidR="004B2808" w14:paraId="272EC672" w14:textId="77777777">
        <w:tc>
          <w:tcPr>
            <w:tcW w:w="840" w:type="dxa"/>
            <w:vMerge w:val="restart"/>
            <w:noWrap/>
          </w:tcPr>
          <w:p w14:paraId="2A58F702" w14:textId="77777777" w:rsidR="004B2808" w:rsidRDefault="004B2808"/>
          <w:p w14:paraId="3208C94A" w14:textId="77777777" w:rsidR="004B2808" w:rsidRDefault="00000000">
            <w:r>
              <w:t>AI</w:t>
            </w:r>
            <w:r>
              <w:rPr>
                <w:vertAlign w:val="subscript"/>
              </w:rPr>
              <w:t>b</w:t>
            </w:r>
          </w:p>
        </w:tc>
        <w:tc>
          <w:tcPr>
            <w:tcW w:w="1635" w:type="dxa"/>
            <w:vMerge w:val="restart"/>
            <w:noWrap/>
          </w:tcPr>
          <w:p w14:paraId="161EF341" w14:textId="77777777" w:rsidR="004B2808" w:rsidRDefault="004B2808"/>
          <w:p w14:paraId="3C66B026" w14:textId="77777777" w:rsidR="004B2808" w:rsidRDefault="00000000">
            <w:r>
              <w:t>Max. 275 (32)</w:t>
            </w:r>
          </w:p>
        </w:tc>
        <w:tc>
          <w:tcPr>
            <w:tcW w:w="1635" w:type="dxa"/>
            <w:vMerge w:val="restart"/>
            <w:noWrap/>
          </w:tcPr>
          <w:p w14:paraId="4A8069BC" w14:textId="77777777" w:rsidR="004B2808" w:rsidRDefault="004B2808"/>
          <w:p w14:paraId="3B653986" w14:textId="77777777" w:rsidR="004B2808" w:rsidRDefault="00000000">
            <w:r>
              <w:t>U4</w:t>
            </w:r>
          </w:p>
        </w:tc>
        <w:tc>
          <w:tcPr>
            <w:tcW w:w="1635" w:type="dxa"/>
            <w:noWrap/>
          </w:tcPr>
          <w:p w14:paraId="355C968F" w14:textId="77777777" w:rsidR="004B2808" w:rsidRDefault="00000000">
            <w:r>
              <w:t>≥ 7.5 mm</w:t>
            </w:r>
          </w:p>
        </w:tc>
        <w:tc>
          <w:tcPr>
            <w:tcW w:w="1635" w:type="dxa"/>
            <w:noWrap/>
          </w:tcPr>
          <w:p w14:paraId="3C08AD5D" w14:textId="77777777" w:rsidR="004B2808" w:rsidRDefault="00000000">
            <w:r>
              <w:t>≥ 1100</w:t>
            </w:r>
          </w:p>
        </w:tc>
        <w:tc>
          <w:tcPr>
            <w:tcW w:w="1635" w:type="dxa"/>
            <w:vMerge w:val="restart"/>
            <w:noWrap/>
          </w:tcPr>
          <w:p w14:paraId="33EF9237" w14:textId="77777777" w:rsidR="004B2808" w:rsidRDefault="00000000">
            <w:r>
              <w:t>Min. 23</w:t>
            </w:r>
          </w:p>
          <w:p w14:paraId="08C9221F" w14:textId="77777777" w:rsidR="004B2808" w:rsidRDefault="00000000">
            <w:r>
              <w:t>Min. individuel 18</w:t>
            </w:r>
          </w:p>
        </w:tc>
      </w:tr>
      <w:tr w:rsidR="004B2808" w14:paraId="3A87D0B0" w14:textId="77777777">
        <w:tc>
          <w:tcPr>
            <w:tcW w:w="840" w:type="dxa"/>
            <w:vMerge/>
            <w:noWrap/>
          </w:tcPr>
          <w:p w14:paraId="487FCC52" w14:textId="77777777" w:rsidR="004B2808" w:rsidRDefault="004B2808"/>
        </w:tc>
        <w:tc>
          <w:tcPr>
            <w:tcW w:w="1635" w:type="dxa"/>
            <w:vMerge/>
            <w:noWrap/>
          </w:tcPr>
          <w:p w14:paraId="69CE3583" w14:textId="77777777" w:rsidR="004B2808" w:rsidRDefault="004B2808"/>
        </w:tc>
        <w:tc>
          <w:tcPr>
            <w:tcW w:w="1635" w:type="dxa"/>
            <w:vMerge/>
            <w:noWrap/>
          </w:tcPr>
          <w:p w14:paraId="26E7C69F" w14:textId="77777777" w:rsidR="004B2808" w:rsidRDefault="004B2808"/>
        </w:tc>
        <w:tc>
          <w:tcPr>
            <w:tcW w:w="1635" w:type="dxa"/>
            <w:noWrap/>
          </w:tcPr>
          <w:p w14:paraId="24BB880C" w14:textId="77777777" w:rsidR="004B2808" w:rsidRDefault="00000000">
            <w:r>
              <w:t>&lt; 7.5 mm</w:t>
            </w:r>
          </w:p>
        </w:tc>
        <w:tc>
          <w:tcPr>
            <w:tcW w:w="1635" w:type="dxa"/>
            <w:noWrap/>
          </w:tcPr>
          <w:p w14:paraId="495EF65F" w14:textId="77777777" w:rsidR="004B2808" w:rsidRDefault="00000000">
            <w:r>
              <w:t>≥ 600</w:t>
            </w:r>
          </w:p>
        </w:tc>
        <w:tc>
          <w:tcPr>
            <w:tcW w:w="1635" w:type="dxa"/>
            <w:vMerge/>
            <w:noWrap/>
          </w:tcPr>
          <w:p w14:paraId="5B1E7553" w14:textId="77777777" w:rsidR="004B2808" w:rsidRDefault="004B2808"/>
        </w:tc>
      </w:tr>
      <w:tr w:rsidR="004B2808" w14:paraId="76DF482C" w14:textId="77777777">
        <w:tc>
          <w:tcPr>
            <w:tcW w:w="840" w:type="dxa"/>
            <w:vMerge w:val="restart"/>
            <w:noWrap/>
          </w:tcPr>
          <w:p w14:paraId="075DBA1F" w14:textId="77777777" w:rsidR="004B2808" w:rsidRDefault="004B2808"/>
          <w:p w14:paraId="31B9E3FF" w14:textId="77777777" w:rsidR="004B2808" w:rsidRDefault="00000000">
            <w:r>
              <w:t>AII</w:t>
            </w:r>
            <w:r>
              <w:rPr>
                <w:vertAlign w:val="subscript"/>
              </w:rPr>
              <w:t>a-1</w:t>
            </w:r>
          </w:p>
        </w:tc>
        <w:tc>
          <w:tcPr>
            <w:tcW w:w="1635" w:type="dxa"/>
            <w:vMerge w:val="restart"/>
            <w:noWrap/>
          </w:tcPr>
          <w:p w14:paraId="436C71F9" w14:textId="77777777" w:rsidR="004B2808" w:rsidRDefault="004B2808"/>
          <w:p w14:paraId="325D2A1C" w14:textId="77777777" w:rsidR="004B2808" w:rsidRDefault="00000000">
            <w:r>
              <w:t>Max. 393 (36)</w:t>
            </w:r>
          </w:p>
        </w:tc>
        <w:tc>
          <w:tcPr>
            <w:tcW w:w="1635" w:type="dxa"/>
            <w:vMerge w:val="restart"/>
            <w:noWrap/>
          </w:tcPr>
          <w:p w14:paraId="3B25470B" w14:textId="77777777" w:rsidR="004B2808" w:rsidRDefault="004B2808"/>
          <w:p w14:paraId="202346CB" w14:textId="77777777" w:rsidR="004B2808" w:rsidRDefault="00000000">
            <w:r>
              <w:t>U3 ou U3s</w:t>
            </w:r>
          </w:p>
        </w:tc>
        <w:tc>
          <w:tcPr>
            <w:tcW w:w="1635" w:type="dxa"/>
            <w:noWrap/>
          </w:tcPr>
          <w:p w14:paraId="045F8C67" w14:textId="77777777" w:rsidR="004B2808" w:rsidRDefault="00000000">
            <w:r>
              <w:t>≥ 7.5 mm</w:t>
            </w:r>
          </w:p>
        </w:tc>
        <w:tc>
          <w:tcPr>
            <w:tcW w:w="1635" w:type="dxa"/>
            <w:noWrap/>
          </w:tcPr>
          <w:p w14:paraId="6099F6CD" w14:textId="77777777" w:rsidR="004B2808" w:rsidRDefault="00000000">
            <w:r>
              <w:t>≥ 950</w:t>
            </w:r>
          </w:p>
        </w:tc>
        <w:tc>
          <w:tcPr>
            <w:tcW w:w="1635" w:type="dxa"/>
            <w:vMerge w:val="restart"/>
            <w:noWrap/>
          </w:tcPr>
          <w:p w14:paraId="0D9DF6D5" w14:textId="77777777" w:rsidR="004B2808" w:rsidRDefault="00000000">
            <w:r>
              <w:t>Min. 20</w:t>
            </w:r>
          </w:p>
          <w:p w14:paraId="0013137D" w14:textId="77777777" w:rsidR="004B2808" w:rsidRDefault="00000000">
            <w:r>
              <w:t>Min. individuel 18</w:t>
            </w:r>
          </w:p>
        </w:tc>
      </w:tr>
      <w:tr w:rsidR="004B2808" w14:paraId="71C9547E" w14:textId="77777777">
        <w:tc>
          <w:tcPr>
            <w:tcW w:w="840" w:type="dxa"/>
            <w:vMerge/>
            <w:noWrap/>
          </w:tcPr>
          <w:p w14:paraId="6EE0AECD" w14:textId="77777777" w:rsidR="004B2808" w:rsidRDefault="004B2808"/>
        </w:tc>
        <w:tc>
          <w:tcPr>
            <w:tcW w:w="1635" w:type="dxa"/>
            <w:vMerge/>
            <w:noWrap/>
          </w:tcPr>
          <w:p w14:paraId="3C9EEED3" w14:textId="77777777" w:rsidR="004B2808" w:rsidRDefault="004B2808"/>
        </w:tc>
        <w:tc>
          <w:tcPr>
            <w:tcW w:w="1635" w:type="dxa"/>
            <w:vMerge/>
            <w:noWrap/>
          </w:tcPr>
          <w:p w14:paraId="383CF456" w14:textId="77777777" w:rsidR="004B2808" w:rsidRDefault="004B2808"/>
        </w:tc>
        <w:tc>
          <w:tcPr>
            <w:tcW w:w="1635" w:type="dxa"/>
            <w:noWrap/>
          </w:tcPr>
          <w:p w14:paraId="15765F5C" w14:textId="77777777" w:rsidR="004B2808" w:rsidRDefault="00000000">
            <w:r>
              <w:t>&lt; 7.5 mm</w:t>
            </w:r>
          </w:p>
        </w:tc>
        <w:tc>
          <w:tcPr>
            <w:tcW w:w="1635" w:type="dxa"/>
            <w:noWrap/>
          </w:tcPr>
          <w:p w14:paraId="79351746" w14:textId="77777777" w:rsidR="004B2808" w:rsidRDefault="00000000">
            <w:r>
              <w:t>≥ 600</w:t>
            </w:r>
          </w:p>
        </w:tc>
        <w:tc>
          <w:tcPr>
            <w:tcW w:w="1635" w:type="dxa"/>
            <w:vMerge/>
            <w:noWrap/>
          </w:tcPr>
          <w:p w14:paraId="04CAC3E1" w14:textId="77777777" w:rsidR="004B2808" w:rsidRDefault="004B2808"/>
        </w:tc>
      </w:tr>
      <w:tr w:rsidR="004B2808" w14:paraId="010052EB" w14:textId="77777777">
        <w:tc>
          <w:tcPr>
            <w:tcW w:w="840" w:type="dxa"/>
            <w:vMerge w:val="restart"/>
            <w:noWrap/>
          </w:tcPr>
          <w:p w14:paraId="53BB6A19" w14:textId="77777777" w:rsidR="004B2808" w:rsidRDefault="004B2808"/>
          <w:p w14:paraId="57E21287" w14:textId="77777777" w:rsidR="004B2808" w:rsidRDefault="00000000">
            <w:r>
              <w:t>AII</w:t>
            </w:r>
            <w:r>
              <w:rPr>
                <w:vertAlign w:val="subscript"/>
              </w:rPr>
              <w:t>a-2</w:t>
            </w:r>
          </w:p>
        </w:tc>
        <w:tc>
          <w:tcPr>
            <w:tcW w:w="1635" w:type="dxa"/>
            <w:vMerge w:val="restart"/>
            <w:noWrap/>
          </w:tcPr>
          <w:p w14:paraId="16EDAFE5" w14:textId="77777777" w:rsidR="004B2808" w:rsidRDefault="004B2808"/>
          <w:p w14:paraId="3781986B" w14:textId="77777777" w:rsidR="004B2808" w:rsidRDefault="00000000">
            <w:r>
              <w:t>Max. 541 (40)</w:t>
            </w:r>
          </w:p>
        </w:tc>
        <w:tc>
          <w:tcPr>
            <w:tcW w:w="1635" w:type="dxa"/>
            <w:vMerge w:val="restart"/>
            <w:noWrap/>
          </w:tcPr>
          <w:p w14:paraId="01C10B81" w14:textId="77777777" w:rsidR="004B2808" w:rsidRDefault="004B2808"/>
          <w:p w14:paraId="65E3040A" w14:textId="77777777" w:rsidR="004B2808" w:rsidRDefault="00000000">
            <w:r>
              <w:t>U3 ou U3s</w:t>
            </w:r>
          </w:p>
        </w:tc>
        <w:tc>
          <w:tcPr>
            <w:tcW w:w="1635" w:type="dxa"/>
            <w:noWrap/>
          </w:tcPr>
          <w:p w14:paraId="511EEBF8" w14:textId="77777777" w:rsidR="004B2808" w:rsidRDefault="00000000">
            <w:r>
              <w:t>≥ 7.5 mm</w:t>
            </w:r>
          </w:p>
        </w:tc>
        <w:tc>
          <w:tcPr>
            <w:tcW w:w="1635" w:type="dxa"/>
            <w:noWrap/>
          </w:tcPr>
          <w:p w14:paraId="2A4F6EFF" w14:textId="77777777" w:rsidR="004B2808" w:rsidRDefault="00000000">
            <w:r>
              <w:t>≥ 800</w:t>
            </w:r>
          </w:p>
        </w:tc>
        <w:tc>
          <w:tcPr>
            <w:tcW w:w="1635" w:type="dxa"/>
            <w:vMerge w:val="restart"/>
            <w:noWrap/>
          </w:tcPr>
          <w:p w14:paraId="446207AD" w14:textId="77777777" w:rsidR="004B2808" w:rsidRDefault="00000000">
            <w:r>
              <w:t>Min. 13</w:t>
            </w:r>
          </w:p>
          <w:p w14:paraId="7FCD45EB" w14:textId="77777777" w:rsidR="004B2808" w:rsidRDefault="00000000">
            <w:r>
              <w:t>Min. individuel 11</w:t>
            </w:r>
          </w:p>
        </w:tc>
      </w:tr>
      <w:tr w:rsidR="004B2808" w14:paraId="1D7264C1" w14:textId="77777777">
        <w:tc>
          <w:tcPr>
            <w:tcW w:w="840" w:type="dxa"/>
            <w:vMerge/>
            <w:noWrap/>
          </w:tcPr>
          <w:p w14:paraId="0479AF4E" w14:textId="77777777" w:rsidR="004B2808" w:rsidRDefault="004B2808"/>
        </w:tc>
        <w:tc>
          <w:tcPr>
            <w:tcW w:w="1635" w:type="dxa"/>
            <w:vMerge/>
            <w:noWrap/>
          </w:tcPr>
          <w:p w14:paraId="4B470413" w14:textId="77777777" w:rsidR="004B2808" w:rsidRDefault="004B2808"/>
        </w:tc>
        <w:tc>
          <w:tcPr>
            <w:tcW w:w="1635" w:type="dxa"/>
            <w:vMerge/>
            <w:noWrap/>
          </w:tcPr>
          <w:p w14:paraId="7E742FD6" w14:textId="77777777" w:rsidR="004B2808" w:rsidRDefault="004B2808"/>
        </w:tc>
        <w:tc>
          <w:tcPr>
            <w:tcW w:w="1635" w:type="dxa"/>
            <w:noWrap/>
          </w:tcPr>
          <w:p w14:paraId="4A5C2B03" w14:textId="77777777" w:rsidR="004B2808" w:rsidRDefault="00000000">
            <w:r>
              <w:t>&lt; 7.5 mm</w:t>
            </w:r>
          </w:p>
        </w:tc>
        <w:tc>
          <w:tcPr>
            <w:tcW w:w="1635" w:type="dxa"/>
            <w:noWrap/>
          </w:tcPr>
          <w:p w14:paraId="4CEAFF1C" w14:textId="77777777" w:rsidR="004B2808" w:rsidRDefault="00000000">
            <w:r>
              <w:t>≥ 600</w:t>
            </w:r>
          </w:p>
        </w:tc>
        <w:tc>
          <w:tcPr>
            <w:tcW w:w="1635" w:type="dxa"/>
            <w:vMerge/>
            <w:noWrap/>
          </w:tcPr>
          <w:p w14:paraId="6E49BA06" w14:textId="77777777" w:rsidR="004B2808" w:rsidRDefault="004B2808"/>
        </w:tc>
      </w:tr>
      <w:tr w:rsidR="004B2808" w14:paraId="3374FBD5" w14:textId="77777777">
        <w:tc>
          <w:tcPr>
            <w:tcW w:w="840" w:type="dxa"/>
            <w:noWrap/>
          </w:tcPr>
          <w:p w14:paraId="488FFB3B" w14:textId="77777777" w:rsidR="004B2808" w:rsidRDefault="004B2808"/>
          <w:p w14:paraId="56A5EC56" w14:textId="77777777" w:rsidR="004B2808" w:rsidRDefault="00000000">
            <w:pPr>
              <w:jc w:val="center"/>
            </w:pPr>
            <w:r>
              <w:t>AII</w:t>
            </w:r>
            <w:r>
              <w:rPr>
                <w:vertAlign w:val="subscript"/>
              </w:rPr>
              <w:t>b-1</w:t>
            </w:r>
          </w:p>
        </w:tc>
        <w:tc>
          <w:tcPr>
            <w:tcW w:w="1635" w:type="dxa"/>
            <w:noWrap/>
          </w:tcPr>
          <w:p w14:paraId="36687A48" w14:textId="77777777" w:rsidR="004B2808" w:rsidRDefault="004B2808"/>
          <w:p w14:paraId="6127EA3B" w14:textId="77777777" w:rsidR="004B2808" w:rsidRDefault="00000000">
            <w:pPr>
              <w:jc w:val="center"/>
            </w:pPr>
            <w:r>
              <w:t>Max. 649 (42.5)</w:t>
            </w:r>
          </w:p>
        </w:tc>
        <w:tc>
          <w:tcPr>
            <w:tcW w:w="1635" w:type="dxa"/>
            <w:noWrap/>
          </w:tcPr>
          <w:p w14:paraId="5351BD9D" w14:textId="77777777" w:rsidR="004B2808" w:rsidRDefault="004B2808"/>
          <w:p w14:paraId="01E40442" w14:textId="77777777" w:rsidR="004B2808" w:rsidRDefault="00000000">
            <w:pPr>
              <w:jc w:val="center"/>
            </w:pPr>
            <w:r>
              <w:t>U2s</w:t>
            </w:r>
          </w:p>
        </w:tc>
        <w:tc>
          <w:tcPr>
            <w:tcW w:w="3270" w:type="dxa"/>
            <w:gridSpan w:val="2"/>
            <w:noWrap/>
          </w:tcPr>
          <w:p w14:paraId="238411C0" w14:textId="77777777" w:rsidR="004B2808" w:rsidRDefault="004B2808"/>
          <w:p w14:paraId="1CA9A7F4" w14:textId="77777777" w:rsidR="004B2808" w:rsidRDefault="00000000">
            <w:pPr>
              <w:jc w:val="center"/>
            </w:pPr>
            <w:r>
              <w:t>≥ 900</w:t>
            </w:r>
          </w:p>
        </w:tc>
        <w:tc>
          <w:tcPr>
            <w:tcW w:w="1635" w:type="dxa"/>
            <w:noWrap/>
          </w:tcPr>
          <w:p w14:paraId="339D04C6" w14:textId="77777777" w:rsidR="004B2808" w:rsidRDefault="00000000">
            <w:pPr>
              <w:jc w:val="center"/>
            </w:pPr>
            <w:r>
              <w:t>Min. 17.5</w:t>
            </w:r>
          </w:p>
          <w:p w14:paraId="29CCDE32" w14:textId="77777777" w:rsidR="004B2808" w:rsidRDefault="00000000">
            <w:pPr>
              <w:jc w:val="center"/>
            </w:pPr>
            <w:r>
              <w:t>Min. individuel 15</w:t>
            </w:r>
          </w:p>
        </w:tc>
      </w:tr>
      <w:tr w:rsidR="004B2808" w14:paraId="55A4BBB8" w14:textId="77777777">
        <w:tc>
          <w:tcPr>
            <w:tcW w:w="840" w:type="dxa"/>
            <w:noWrap/>
          </w:tcPr>
          <w:p w14:paraId="29EDE1CA" w14:textId="77777777" w:rsidR="004B2808" w:rsidRDefault="00000000">
            <w:pPr>
              <w:jc w:val="center"/>
            </w:pPr>
            <w:r>
              <w:t>AII</w:t>
            </w:r>
            <w:r>
              <w:rPr>
                <w:vertAlign w:val="subscript"/>
              </w:rPr>
              <w:t>b-2</w:t>
            </w:r>
          </w:p>
        </w:tc>
        <w:tc>
          <w:tcPr>
            <w:tcW w:w="1635" w:type="dxa"/>
            <w:noWrap/>
          </w:tcPr>
          <w:p w14:paraId="25FBB9D5" w14:textId="77777777" w:rsidR="004B2808" w:rsidRDefault="00000000">
            <w:pPr>
              <w:jc w:val="center"/>
            </w:pPr>
            <w:r>
              <w:t>Max. 1062 (50)</w:t>
            </w:r>
          </w:p>
        </w:tc>
        <w:tc>
          <w:tcPr>
            <w:tcW w:w="1635" w:type="dxa"/>
            <w:noWrap/>
          </w:tcPr>
          <w:p w14:paraId="4514E3BD" w14:textId="77777777" w:rsidR="004B2808" w:rsidRDefault="00000000">
            <w:pPr>
              <w:jc w:val="center"/>
            </w:pPr>
            <w:r>
              <w:t>U2s</w:t>
            </w:r>
          </w:p>
        </w:tc>
        <w:tc>
          <w:tcPr>
            <w:tcW w:w="3270" w:type="dxa"/>
            <w:gridSpan w:val="2"/>
            <w:noWrap/>
          </w:tcPr>
          <w:p w14:paraId="4D71AED0" w14:textId="77777777" w:rsidR="004B2808" w:rsidRDefault="00000000">
            <w:pPr>
              <w:jc w:val="center"/>
            </w:pPr>
            <w:r>
              <w:t>≥ 750</w:t>
            </w:r>
          </w:p>
        </w:tc>
        <w:tc>
          <w:tcPr>
            <w:tcW w:w="1635" w:type="dxa"/>
            <w:noWrap/>
          </w:tcPr>
          <w:p w14:paraId="1D4C43A5" w14:textId="77777777" w:rsidR="004B2808" w:rsidRDefault="00000000">
            <w:pPr>
              <w:jc w:val="center"/>
            </w:pPr>
            <w:r>
              <w:t>Min. 9</w:t>
            </w:r>
          </w:p>
          <w:p w14:paraId="11CBE1DE" w14:textId="77777777" w:rsidR="004B2808" w:rsidRDefault="00000000">
            <w:pPr>
              <w:jc w:val="center"/>
            </w:pPr>
            <w:r>
              <w:t>Min. individuel 8</w:t>
            </w:r>
          </w:p>
        </w:tc>
      </w:tr>
      <w:tr w:rsidR="004B2808" w14:paraId="31BB5A44" w14:textId="77777777">
        <w:tc>
          <w:tcPr>
            <w:tcW w:w="840" w:type="dxa"/>
            <w:noWrap/>
          </w:tcPr>
          <w:p w14:paraId="2BC252EB" w14:textId="77777777" w:rsidR="004B2808" w:rsidRDefault="00000000">
            <w:r>
              <w:t>AIII</w:t>
            </w:r>
          </w:p>
        </w:tc>
        <w:tc>
          <w:tcPr>
            <w:tcW w:w="1635" w:type="dxa"/>
            <w:noWrap/>
          </w:tcPr>
          <w:p w14:paraId="58F3C960" w14:textId="77777777" w:rsidR="004B2808" w:rsidRDefault="00000000">
            <w:r>
              <w:t>Max. 2365 (65)</w:t>
            </w:r>
          </w:p>
        </w:tc>
        <w:tc>
          <w:tcPr>
            <w:tcW w:w="1635" w:type="dxa"/>
            <w:noWrap/>
          </w:tcPr>
          <w:p w14:paraId="1B815712" w14:textId="77777777" w:rsidR="004B2808" w:rsidRDefault="00000000">
            <w:r>
              <w:t>U2</w:t>
            </w:r>
          </w:p>
        </w:tc>
        <w:tc>
          <w:tcPr>
            <w:tcW w:w="3270" w:type="dxa"/>
            <w:gridSpan w:val="2"/>
            <w:noWrap/>
          </w:tcPr>
          <w:p w14:paraId="4BF6164B" w14:textId="77777777" w:rsidR="004B2808" w:rsidRDefault="00000000">
            <w:r>
              <w:t>≥ 600</w:t>
            </w:r>
          </w:p>
        </w:tc>
        <w:tc>
          <w:tcPr>
            <w:tcW w:w="1635" w:type="dxa"/>
            <w:noWrap/>
          </w:tcPr>
          <w:p w14:paraId="3AC22366" w14:textId="77777777" w:rsidR="004B2808" w:rsidRDefault="00000000">
            <w:r>
              <w:t>Min. 8</w:t>
            </w:r>
          </w:p>
          <w:p w14:paraId="44D4C5F6" w14:textId="77777777" w:rsidR="004B2808" w:rsidRDefault="00000000">
            <w:r>
              <w:t>Min. individuel 7</w:t>
            </w:r>
          </w:p>
        </w:tc>
      </w:tr>
      <w:tr w:rsidR="004B2808" w14:paraId="20959559" w14:textId="77777777">
        <w:tc>
          <w:tcPr>
            <w:tcW w:w="840" w:type="dxa"/>
            <w:vMerge w:val="restart"/>
            <w:noWrap/>
          </w:tcPr>
          <w:p w14:paraId="7B82ABC1" w14:textId="77777777" w:rsidR="004B2808" w:rsidRDefault="004B2808"/>
          <w:p w14:paraId="5F040F23" w14:textId="77777777" w:rsidR="004B2808" w:rsidRDefault="00000000">
            <w:r>
              <w:lastRenderedPageBreak/>
              <w:t>BI</w:t>
            </w:r>
            <w:r>
              <w:rPr>
                <w:vertAlign w:val="subscript"/>
              </w:rPr>
              <w:t>a</w:t>
            </w:r>
          </w:p>
        </w:tc>
        <w:tc>
          <w:tcPr>
            <w:tcW w:w="1635" w:type="dxa"/>
            <w:vMerge w:val="restart"/>
            <w:noWrap/>
          </w:tcPr>
          <w:p w14:paraId="39C58DA7" w14:textId="77777777" w:rsidR="004B2808" w:rsidRDefault="004B2808"/>
          <w:p w14:paraId="6AD814A2" w14:textId="77777777" w:rsidR="004B2808" w:rsidRDefault="00000000">
            <w:r>
              <w:lastRenderedPageBreak/>
              <w:t>Max. 175 (27.5)</w:t>
            </w:r>
          </w:p>
        </w:tc>
        <w:tc>
          <w:tcPr>
            <w:tcW w:w="1635" w:type="dxa"/>
            <w:vMerge w:val="restart"/>
            <w:noWrap/>
          </w:tcPr>
          <w:p w14:paraId="7E9C8A4D" w14:textId="77777777" w:rsidR="004B2808" w:rsidRDefault="004B2808"/>
          <w:p w14:paraId="5672AB20" w14:textId="77777777" w:rsidR="004B2808" w:rsidRDefault="00000000">
            <w:r>
              <w:lastRenderedPageBreak/>
              <w:t>U4</w:t>
            </w:r>
          </w:p>
        </w:tc>
        <w:tc>
          <w:tcPr>
            <w:tcW w:w="1635" w:type="dxa"/>
            <w:noWrap/>
          </w:tcPr>
          <w:p w14:paraId="081BCDE9" w14:textId="77777777" w:rsidR="004B2808" w:rsidRDefault="00000000">
            <w:r>
              <w:lastRenderedPageBreak/>
              <w:t>≥ 7.5 mm</w:t>
            </w:r>
          </w:p>
        </w:tc>
        <w:tc>
          <w:tcPr>
            <w:tcW w:w="1635" w:type="dxa"/>
            <w:noWrap/>
          </w:tcPr>
          <w:p w14:paraId="2DB70A9C" w14:textId="77777777" w:rsidR="004B2808" w:rsidRDefault="00000000">
            <w:r>
              <w:t>≥ 1300</w:t>
            </w:r>
          </w:p>
        </w:tc>
        <w:tc>
          <w:tcPr>
            <w:tcW w:w="1635" w:type="dxa"/>
            <w:vMerge w:val="restart"/>
            <w:noWrap/>
          </w:tcPr>
          <w:p w14:paraId="621EC787" w14:textId="77777777" w:rsidR="004B2808" w:rsidRDefault="00000000">
            <w:r>
              <w:t>Min. 35</w:t>
            </w:r>
          </w:p>
          <w:p w14:paraId="51D98379" w14:textId="77777777" w:rsidR="004B2808" w:rsidRDefault="00000000">
            <w:r>
              <w:lastRenderedPageBreak/>
              <w:t>Min. individuel 32</w:t>
            </w:r>
          </w:p>
        </w:tc>
      </w:tr>
      <w:tr w:rsidR="004B2808" w14:paraId="6D668E88" w14:textId="77777777">
        <w:tc>
          <w:tcPr>
            <w:tcW w:w="840" w:type="dxa"/>
            <w:vMerge/>
            <w:noWrap/>
          </w:tcPr>
          <w:p w14:paraId="258F2963" w14:textId="77777777" w:rsidR="004B2808" w:rsidRDefault="004B2808"/>
        </w:tc>
        <w:tc>
          <w:tcPr>
            <w:tcW w:w="1635" w:type="dxa"/>
            <w:vMerge/>
            <w:noWrap/>
          </w:tcPr>
          <w:p w14:paraId="00337B55" w14:textId="77777777" w:rsidR="004B2808" w:rsidRDefault="004B2808"/>
        </w:tc>
        <w:tc>
          <w:tcPr>
            <w:tcW w:w="1635" w:type="dxa"/>
            <w:vMerge/>
            <w:noWrap/>
          </w:tcPr>
          <w:p w14:paraId="520F207A" w14:textId="77777777" w:rsidR="004B2808" w:rsidRDefault="004B2808"/>
        </w:tc>
        <w:tc>
          <w:tcPr>
            <w:tcW w:w="1635" w:type="dxa"/>
            <w:noWrap/>
          </w:tcPr>
          <w:p w14:paraId="295DD5CB" w14:textId="77777777" w:rsidR="004B2808" w:rsidRDefault="00000000">
            <w:r>
              <w:t>&lt; 7.5 mm</w:t>
            </w:r>
          </w:p>
        </w:tc>
        <w:tc>
          <w:tcPr>
            <w:tcW w:w="1635" w:type="dxa"/>
            <w:noWrap/>
          </w:tcPr>
          <w:p w14:paraId="0FDF9D13" w14:textId="77777777" w:rsidR="004B2808" w:rsidRDefault="00000000">
            <w:r>
              <w:t>≥ 700</w:t>
            </w:r>
          </w:p>
        </w:tc>
        <w:tc>
          <w:tcPr>
            <w:tcW w:w="1635" w:type="dxa"/>
            <w:vMerge/>
            <w:noWrap/>
          </w:tcPr>
          <w:p w14:paraId="10998A97" w14:textId="77777777" w:rsidR="004B2808" w:rsidRDefault="004B2808"/>
        </w:tc>
      </w:tr>
      <w:tr w:rsidR="004B2808" w14:paraId="77311296" w14:textId="77777777">
        <w:tc>
          <w:tcPr>
            <w:tcW w:w="840" w:type="dxa"/>
            <w:vMerge w:val="restart"/>
            <w:noWrap/>
          </w:tcPr>
          <w:p w14:paraId="1276E2C8" w14:textId="77777777" w:rsidR="004B2808" w:rsidRDefault="004B2808"/>
          <w:p w14:paraId="75E6D15E" w14:textId="77777777" w:rsidR="004B2808" w:rsidRDefault="00000000">
            <w:r>
              <w:t>BI</w:t>
            </w:r>
            <w:r>
              <w:rPr>
                <w:vertAlign w:val="subscript"/>
              </w:rPr>
              <w:t>b</w:t>
            </w:r>
          </w:p>
        </w:tc>
        <w:tc>
          <w:tcPr>
            <w:tcW w:w="1635" w:type="dxa"/>
            <w:vMerge w:val="restart"/>
            <w:noWrap/>
          </w:tcPr>
          <w:p w14:paraId="32FB04A0" w14:textId="77777777" w:rsidR="004B2808" w:rsidRDefault="004B2808"/>
          <w:p w14:paraId="62ED432B" w14:textId="77777777" w:rsidR="004B2808" w:rsidRDefault="00000000">
            <w:r>
              <w:t>Max 175 (27.5)</w:t>
            </w:r>
          </w:p>
        </w:tc>
        <w:tc>
          <w:tcPr>
            <w:tcW w:w="1635" w:type="dxa"/>
            <w:vMerge w:val="restart"/>
            <w:noWrap/>
          </w:tcPr>
          <w:p w14:paraId="4336A8AE" w14:textId="77777777" w:rsidR="004B2808" w:rsidRDefault="004B2808"/>
          <w:p w14:paraId="22F1EFCF" w14:textId="77777777" w:rsidR="004B2808" w:rsidRDefault="00000000">
            <w:r>
              <w:t>U4</w:t>
            </w:r>
          </w:p>
        </w:tc>
        <w:tc>
          <w:tcPr>
            <w:tcW w:w="1635" w:type="dxa"/>
            <w:noWrap/>
          </w:tcPr>
          <w:p w14:paraId="36898E73" w14:textId="77777777" w:rsidR="004B2808" w:rsidRDefault="00000000">
            <w:r>
              <w:t>≥ 7.5 mm</w:t>
            </w:r>
          </w:p>
        </w:tc>
        <w:tc>
          <w:tcPr>
            <w:tcW w:w="1635" w:type="dxa"/>
            <w:noWrap/>
          </w:tcPr>
          <w:p w14:paraId="562A98BC" w14:textId="77777777" w:rsidR="004B2808" w:rsidRDefault="00000000">
            <w:r>
              <w:t>≥ 1100</w:t>
            </w:r>
          </w:p>
        </w:tc>
        <w:tc>
          <w:tcPr>
            <w:tcW w:w="1635" w:type="dxa"/>
            <w:vMerge w:val="restart"/>
            <w:noWrap/>
          </w:tcPr>
          <w:p w14:paraId="3B323EA9" w14:textId="77777777" w:rsidR="004B2808" w:rsidRDefault="00000000">
            <w:r>
              <w:t>Min. 30</w:t>
            </w:r>
          </w:p>
          <w:p w14:paraId="119AB57C" w14:textId="77777777" w:rsidR="004B2808" w:rsidRDefault="00000000">
            <w:r>
              <w:t>Min. individuel 27</w:t>
            </w:r>
          </w:p>
        </w:tc>
      </w:tr>
      <w:tr w:rsidR="004B2808" w14:paraId="454DEE7B" w14:textId="77777777">
        <w:tc>
          <w:tcPr>
            <w:tcW w:w="840" w:type="dxa"/>
            <w:vMerge/>
            <w:noWrap/>
          </w:tcPr>
          <w:p w14:paraId="30A2FBB4" w14:textId="77777777" w:rsidR="004B2808" w:rsidRDefault="004B2808"/>
        </w:tc>
        <w:tc>
          <w:tcPr>
            <w:tcW w:w="1635" w:type="dxa"/>
            <w:vMerge/>
            <w:noWrap/>
          </w:tcPr>
          <w:p w14:paraId="779F01ED" w14:textId="77777777" w:rsidR="004B2808" w:rsidRDefault="004B2808"/>
        </w:tc>
        <w:tc>
          <w:tcPr>
            <w:tcW w:w="1635" w:type="dxa"/>
            <w:vMerge/>
            <w:noWrap/>
          </w:tcPr>
          <w:p w14:paraId="2A19E3A0" w14:textId="77777777" w:rsidR="004B2808" w:rsidRDefault="004B2808"/>
        </w:tc>
        <w:tc>
          <w:tcPr>
            <w:tcW w:w="1635" w:type="dxa"/>
            <w:noWrap/>
          </w:tcPr>
          <w:p w14:paraId="3E3E34C9" w14:textId="77777777" w:rsidR="004B2808" w:rsidRDefault="00000000">
            <w:r>
              <w:t>&lt; 7.5 mm</w:t>
            </w:r>
          </w:p>
        </w:tc>
        <w:tc>
          <w:tcPr>
            <w:tcW w:w="1635" w:type="dxa"/>
            <w:noWrap/>
          </w:tcPr>
          <w:p w14:paraId="737BDDAE" w14:textId="77777777" w:rsidR="004B2808" w:rsidRDefault="00000000">
            <w:r>
              <w:t>≥ 700</w:t>
            </w:r>
          </w:p>
        </w:tc>
        <w:tc>
          <w:tcPr>
            <w:tcW w:w="1635" w:type="dxa"/>
            <w:vMerge/>
            <w:noWrap/>
          </w:tcPr>
          <w:p w14:paraId="71F4542B" w14:textId="77777777" w:rsidR="004B2808" w:rsidRDefault="004B2808"/>
        </w:tc>
      </w:tr>
      <w:tr w:rsidR="004B2808" w14:paraId="3D10F89F" w14:textId="77777777">
        <w:tc>
          <w:tcPr>
            <w:tcW w:w="840" w:type="dxa"/>
            <w:vMerge w:val="restart"/>
            <w:noWrap/>
          </w:tcPr>
          <w:p w14:paraId="59C2BE12" w14:textId="77777777" w:rsidR="004B2808" w:rsidRDefault="004B2808"/>
          <w:p w14:paraId="1F02AD21" w14:textId="77777777" w:rsidR="004B2808" w:rsidRDefault="00000000">
            <w:r>
              <w:t>BII</w:t>
            </w:r>
            <w:r>
              <w:rPr>
                <w:vertAlign w:val="subscript"/>
              </w:rPr>
              <w:t>a</w:t>
            </w:r>
          </w:p>
        </w:tc>
        <w:tc>
          <w:tcPr>
            <w:tcW w:w="1635" w:type="dxa"/>
            <w:vMerge w:val="restart"/>
            <w:noWrap/>
          </w:tcPr>
          <w:p w14:paraId="44B896BE" w14:textId="77777777" w:rsidR="004B2808" w:rsidRDefault="004B2808"/>
          <w:p w14:paraId="787BC2FF" w14:textId="77777777" w:rsidR="004B2808" w:rsidRDefault="00000000">
            <w:r>
              <w:t>Max. 345 (34.5)</w:t>
            </w:r>
          </w:p>
        </w:tc>
        <w:tc>
          <w:tcPr>
            <w:tcW w:w="1635" w:type="dxa"/>
            <w:vMerge w:val="restart"/>
            <w:noWrap/>
          </w:tcPr>
          <w:p w14:paraId="3EF4B7E2" w14:textId="77777777" w:rsidR="004B2808" w:rsidRDefault="00000000">
            <w:r>
              <w:t>Jusqu’à 275 U4, sinon U3</w:t>
            </w:r>
          </w:p>
        </w:tc>
        <w:tc>
          <w:tcPr>
            <w:tcW w:w="1635" w:type="dxa"/>
            <w:noWrap/>
          </w:tcPr>
          <w:p w14:paraId="4D3F2DB2" w14:textId="77777777" w:rsidR="004B2808" w:rsidRDefault="00000000">
            <w:r>
              <w:t>≥ 7.5 mm</w:t>
            </w:r>
          </w:p>
        </w:tc>
        <w:tc>
          <w:tcPr>
            <w:tcW w:w="1635" w:type="dxa"/>
            <w:noWrap/>
          </w:tcPr>
          <w:p w14:paraId="0BC8E247" w14:textId="77777777" w:rsidR="004B2808" w:rsidRDefault="00000000">
            <w:r>
              <w:t>≥ 1000</w:t>
            </w:r>
          </w:p>
        </w:tc>
        <w:tc>
          <w:tcPr>
            <w:tcW w:w="1635" w:type="dxa"/>
            <w:vMerge w:val="restart"/>
            <w:noWrap/>
          </w:tcPr>
          <w:p w14:paraId="349D84C0" w14:textId="77777777" w:rsidR="004B2808" w:rsidRDefault="00000000">
            <w:r>
              <w:t>Min. 22</w:t>
            </w:r>
          </w:p>
          <w:p w14:paraId="19FA941E" w14:textId="77777777" w:rsidR="004B2808" w:rsidRDefault="00000000">
            <w:r>
              <w:t>Min. individuel 20</w:t>
            </w:r>
          </w:p>
        </w:tc>
      </w:tr>
      <w:tr w:rsidR="004B2808" w14:paraId="7ACAE760" w14:textId="77777777">
        <w:tc>
          <w:tcPr>
            <w:tcW w:w="840" w:type="dxa"/>
            <w:vMerge/>
            <w:noWrap/>
          </w:tcPr>
          <w:p w14:paraId="4F1ECEAB" w14:textId="77777777" w:rsidR="004B2808" w:rsidRDefault="004B2808"/>
        </w:tc>
        <w:tc>
          <w:tcPr>
            <w:tcW w:w="1635" w:type="dxa"/>
            <w:vMerge/>
            <w:noWrap/>
          </w:tcPr>
          <w:p w14:paraId="6BEB46F7" w14:textId="77777777" w:rsidR="004B2808" w:rsidRDefault="004B2808"/>
        </w:tc>
        <w:tc>
          <w:tcPr>
            <w:tcW w:w="1635" w:type="dxa"/>
            <w:vMerge/>
            <w:noWrap/>
          </w:tcPr>
          <w:p w14:paraId="3C0E718F" w14:textId="77777777" w:rsidR="004B2808" w:rsidRDefault="004B2808"/>
        </w:tc>
        <w:tc>
          <w:tcPr>
            <w:tcW w:w="1635" w:type="dxa"/>
            <w:noWrap/>
          </w:tcPr>
          <w:p w14:paraId="1127504C" w14:textId="77777777" w:rsidR="004B2808" w:rsidRDefault="00000000">
            <w:r>
              <w:t>&lt; 7.5 mm</w:t>
            </w:r>
          </w:p>
        </w:tc>
        <w:tc>
          <w:tcPr>
            <w:tcW w:w="1635" w:type="dxa"/>
            <w:noWrap/>
          </w:tcPr>
          <w:p w14:paraId="2C4022D1" w14:textId="77777777" w:rsidR="004B2808" w:rsidRDefault="00000000">
            <w:r>
              <w:t>≥ 600</w:t>
            </w:r>
          </w:p>
        </w:tc>
        <w:tc>
          <w:tcPr>
            <w:tcW w:w="1635" w:type="dxa"/>
            <w:vMerge/>
            <w:noWrap/>
          </w:tcPr>
          <w:p w14:paraId="33847009" w14:textId="77777777" w:rsidR="004B2808" w:rsidRDefault="004B2808"/>
        </w:tc>
      </w:tr>
      <w:tr w:rsidR="004B2808" w14:paraId="33E18EE9" w14:textId="77777777">
        <w:tc>
          <w:tcPr>
            <w:tcW w:w="840" w:type="dxa"/>
            <w:vMerge w:val="restart"/>
            <w:noWrap/>
          </w:tcPr>
          <w:p w14:paraId="551B5379" w14:textId="77777777" w:rsidR="004B2808" w:rsidRDefault="004B2808"/>
          <w:p w14:paraId="145E1DB4" w14:textId="77777777" w:rsidR="004B2808" w:rsidRDefault="00000000">
            <w:r>
              <w:t>BII</w:t>
            </w:r>
            <w:r>
              <w:rPr>
                <w:vertAlign w:val="subscript"/>
              </w:rPr>
              <w:t>b</w:t>
            </w:r>
          </w:p>
        </w:tc>
        <w:tc>
          <w:tcPr>
            <w:tcW w:w="1635" w:type="dxa"/>
            <w:vMerge w:val="restart"/>
            <w:noWrap/>
          </w:tcPr>
          <w:p w14:paraId="79A64692" w14:textId="77777777" w:rsidR="004B2808" w:rsidRDefault="004B2808"/>
          <w:p w14:paraId="7AEE5A7A" w14:textId="77777777" w:rsidR="004B2808" w:rsidRDefault="00000000">
            <w:r>
              <w:t>Max. 540 (40)</w:t>
            </w:r>
          </w:p>
        </w:tc>
        <w:tc>
          <w:tcPr>
            <w:tcW w:w="1635" w:type="dxa"/>
            <w:vMerge w:val="restart"/>
            <w:noWrap/>
          </w:tcPr>
          <w:p w14:paraId="2511FBE0" w14:textId="77777777" w:rsidR="004B2808" w:rsidRDefault="004B2808"/>
          <w:p w14:paraId="3DF87619" w14:textId="77777777" w:rsidR="004B2808" w:rsidRDefault="00000000">
            <w:r>
              <w:t>U3 ou U3s</w:t>
            </w:r>
          </w:p>
        </w:tc>
        <w:tc>
          <w:tcPr>
            <w:tcW w:w="1635" w:type="dxa"/>
            <w:noWrap/>
          </w:tcPr>
          <w:p w14:paraId="7FD77FFC" w14:textId="77777777" w:rsidR="004B2808" w:rsidRDefault="00000000">
            <w:r>
              <w:t>≥ 7.5 mm</w:t>
            </w:r>
          </w:p>
        </w:tc>
        <w:tc>
          <w:tcPr>
            <w:tcW w:w="1635" w:type="dxa"/>
            <w:noWrap/>
          </w:tcPr>
          <w:p w14:paraId="0955DDC3" w14:textId="77777777" w:rsidR="004B2808" w:rsidRDefault="00000000">
            <w:r>
              <w:t>≥ 800</w:t>
            </w:r>
          </w:p>
        </w:tc>
        <w:tc>
          <w:tcPr>
            <w:tcW w:w="1635" w:type="dxa"/>
            <w:vMerge w:val="restart"/>
            <w:noWrap/>
          </w:tcPr>
          <w:p w14:paraId="3E293504" w14:textId="77777777" w:rsidR="004B2808" w:rsidRDefault="00000000">
            <w:r>
              <w:t>Min. 18</w:t>
            </w:r>
          </w:p>
          <w:p w14:paraId="4DE3B69D" w14:textId="77777777" w:rsidR="004B2808" w:rsidRDefault="00000000">
            <w:r>
              <w:t>Min. individuel 16</w:t>
            </w:r>
          </w:p>
        </w:tc>
      </w:tr>
      <w:tr w:rsidR="004B2808" w14:paraId="47521AB2" w14:textId="77777777">
        <w:tc>
          <w:tcPr>
            <w:tcW w:w="840" w:type="dxa"/>
            <w:vMerge/>
            <w:noWrap/>
          </w:tcPr>
          <w:p w14:paraId="6F344D5E" w14:textId="77777777" w:rsidR="004B2808" w:rsidRDefault="004B2808"/>
        </w:tc>
        <w:tc>
          <w:tcPr>
            <w:tcW w:w="1635" w:type="dxa"/>
            <w:vMerge/>
            <w:noWrap/>
          </w:tcPr>
          <w:p w14:paraId="44890F5A" w14:textId="77777777" w:rsidR="004B2808" w:rsidRDefault="004B2808"/>
        </w:tc>
        <w:tc>
          <w:tcPr>
            <w:tcW w:w="1635" w:type="dxa"/>
            <w:vMerge/>
            <w:noWrap/>
          </w:tcPr>
          <w:p w14:paraId="591EC171" w14:textId="77777777" w:rsidR="004B2808" w:rsidRDefault="004B2808"/>
        </w:tc>
        <w:tc>
          <w:tcPr>
            <w:tcW w:w="1635" w:type="dxa"/>
            <w:noWrap/>
          </w:tcPr>
          <w:p w14:paraId="0BEFEC69" w14:textId="77777777" w:rsidR="004B2808" w:rsidRDefault="00000000">
            <w:r>
              <w:t>&lt; 7.5 mm</w:t>
            </w:r>
          </w:p>
        </w:tc>
        <w:tc>
          <w:tcPr>
            <w:tcW w:w="1635" w:type="dxa"/>
            <w:noWrap/>
          </w:tcPr>
          <w:p w14:paraId="0E4D4241" w14:textId="77777777" w:rsidR="004B2808" w:rsidRDefault="00000000">
            <w:r>
              <w:t>≥ 500</w:t>
            </w:r>
          </w:p>
        </w:tc>
        <w:tc>
          <w:tcPr>
            <w:tcW w:w="1635" w:type="dxa"/>
            <w:vMerge/>
            <w:noWrap/>
          </w:tcPr>
          <w:p w14:paraId="44F35D61" w14:textId="77777777" w:rsidR="004B2808" w:rsidRDefault="004B2808"/>
        </w:tc>
      </w:tr>
      <w:tr w:rsidR="004B2808" w14:paraId="471340E3" w14:textId="77777777">
        <w:tc>
          <w:tcPr>
            <w:tcW w:w="840" w:type="dxa"/>
            <w:vMerge w:val="restart"/>
            <w:noWrap/>
          </w:tcPr>
          <w:p w14:paraId="33D6EAF1" w14:textId="77777777" w:rsidR="004B2808" w:rsidRDefault="00000000">
            <w:r>
              <w:t>BIII</w:t>
            </w:r>
          </w:p>
        </w:tc>
        <w:tc>
          <w:tcPr>
            <w:tcW w:w="1635" w:type="dxa"/>
            <w:vMerge w:val="restart"/>
            <w:noWrap/>
          </w:tcPr>
          <w:p w14:paraId="56FFF5F1" w14:textId="77777777" w:rsidR="004B2808" w:rsidRDefault="00000000">
            <w:r>
              <w:t>-</w:t>
            </w:r>
          </w:p>
        </w:tc>
        <w:tc>
          <w:tcPr>
            <w:tcW w:w="1635" w:type="dxa"/>
            <w:vMerge w:val="restart"/>
            <w:noWrap/>
          </w:tcPr>
          <w:p w14:paraId="348B08F3" w14:textId="77777777" w:rsidR="004B2808" w:rsidRDefault="00000000">
            <w:r>
              <w:t>-</w:t>
            </w:r>
          </w:p>
        </w:tc>
        <w:tc>
          <w:tcPr>
            <w:tcW w:w="1635" w:type="dxa"/>
            <w:noWrap/>
          </w:tcPr>
          <w:p w14:paraId="54E3296B" w14:textId="77777777" w:rsidR="004B2808" w:rsidRDefault="00000000">
            <w:r>
              <w:t>≥ 7.5 mm</w:t>
            </w:r>
          </w:p>
        </w:tc>
        <w:tc>
          <w:tcPr>
            <w:tcW w:w="1635" w:type="dxa"/>
            <w:noWrap/>
          </w:tcPr>
          <w:p w14:paraId="29B8D13A" w14:textId="77777777" w:rsidR="004B2808" w:rsidRDefault="00000000">
            <w:r>
              <w:t>≥ 600</w:t>
            </w:r>
          </w:p>
        </w:tc>
        <w:tc>
          <w:tcPr>
            <w:tcW w:w="1635" w:type="dxa"/>
            <w:noWrap/>
          </w:tcPr>
          <w:p w14:paraId="323F725E" w14:textId="77777777" w:rsidR="004B2808" w:rsidRDefault="00000000">
            <w:r>
              <w:t>Min. 15</w:t>
            </w:r>
          </w:p>
        </w:tc>
      </w:tr>
      <w:tr w:rsidR="004B2808" w14:paraId="714858EB" w14:textId="77777777">
        <w:tc>
          <w:tcPr>
            <w:tcW w:w="840" w:type="dxa"/>
            <w:vMerge/>
            <w:noWrap/>
          </w:tcPr>
          <w:p w14:paraId="48AD1BE8" w14:textId="77777777" w:rsidR="004B2808" w:rsidRDefault="004B2808"/>
        </w:tc>
        <w:tc>
          <w:tcPr>
            <w:tcW w:w="1635" w:type="dxa"/>
            <w:vMerge/>
            <w:noWrap/>
          </w:tcPr>
          <w:p w14:paraId="34146C26" w14:textId="77777777" w:rsidR="004B2808" w:rsidRDefault="004B2808"/>
        </w:tc>
        <w:tc>
          <w:tcPr>
            <w:tcW w:w="1635" w:type="dxa"/>
            <w:vMerge/>
            <w:noWrap/>
          </w:tcPr>
          <w:p w14:paraId="0E85B19E" w14:textId="77777777" w:rsidR="004B2808" w:rsidRDefault="004B2808"/>
        </w:tc>
        <w:tc>
          <w:tcPr>
            <w:tcW w:w="1635" w:type="dxa"/>
            <w:noWrap/>
          </w:tcPr>
          <w:p w14:paraId="39FBBCA3" w14:textId="77777777" w:rsidR="004B2808" w:rsidRDefault="00000000">
            <w:pPr>
              <w:jc w:val="center"/>
            </w:pPr>
            <w:r>
              <w:t>&lt; 7.5 mm</w:t>
            </w:r>
          </w:p>
        </w:tc>
        <w:tc>
          <w:tcPr>
            <w:tcW w:w="1635" w:type="dxa"/>
            <w:noWrap/>
          </w:tcPr>
          <w:p w14:paraId="09808293" w14:textId="77777777" w:rsidR="004B2808" w:rsidRDefault="00000000">
            <w:pPr>
              <w:jc w:val="center"/>
            </w:pPr>
            <w:r>
              <w:t>≥ 200</w:t>
            </w:r>
          </w:p>
        </w:tc>
        <w:tc>
          <w:tcPr>
            <w:tcW w:w="1635" w:type="dxa"/>
            <w:noWrap/>
          </w:tcPr>
          <w:p w14:paraId="221DEE36" w14:textId="77777777" w:rsidR="004B2808" w:rsidRDefault="00000000">
            <w:pPr>
              <w:jc w:val="center"/>
            </w:pPr>
            <w:r>
              <w:t>Min. 12</w:t>
            </w:r>
          </w:p>
        </w:tc>
      </w:tr>
    </w:tbl>
    <w:p w14:paraId="7F881E43" w14:textId="77777777" w:rsidR="004B2808" w:rsidRDefault="004B2808"/>
    <w:p w14:paraId="23FDE9F3" w14:textId="77777777" w:rsidR="004B2808" w:rsidRDefault="00000000">
      <w:pPr>
        <w:jc w:val="both"/>
      </w:pPr>
      <w:r>
        <w:t>Les appareillages à joints continus dans les deux directions (carré ou losanges) réduisent le risque de propagation des fissures éventuelles au sein des carreaux. Celles-ci ont en effet tendance à se développer dans les joints et sont donc moins visibles.</w:t>
      </w:r>
    </w:p>
    <w:p w14:paraId="5F04E19F" w14:textId="77777777" w:rsidR="004B2808" w:rsidRDefault="00000000">
      <w:pPr>
        <w:pStyle w:val="Author-eSectionHeading5Numberless"/>
      </w:pPr>
      <w:bookmarkStart w:id="215" w:name="_Toc220490407"/>
      <w:r>
        <w:t>51.61.1 Revêtement muraux en carreaux en céramique CCTB 01.02</w:t>
      </w:r>
      <w:bookmarkEnd w:id="215"/>
    </w:p>
    <w:p w14:paraId="59508280" w14:textId="77777777" w:rsidR="004B2808" w:rsidRDefault="00000000">
      <w:pPr>
        <w:pStyle w:val="Author-eSectionHeading6Numberless"/>
      </w:pPr>
      <w:bookmarkStart w:id="216" w:name="_Toc220490408"/>
      <w:r>
        <w:t>51.61.1a Revêtement muraux en carreaux en céramique CCTB 01.10</w:t>
      </w:r>
      <w:bookmarkEnd w:id="216"/>
    </w:p>
    <w:p w14:paraId="00AB5E5E" w14:textId="77777777" w:rsidR="004B2808" w:rsidRDefault="00000000">
      <w:pPr>
        <w:pStyle w:val="pheading"/>
      </w:pPr>
      <w:bookmarkStart w:id="217" w:name="146"/>
      <w:bookmarkEnd w:id="217"/>
      <w:r>
        <w:t>DESCRIPTION</w:t>
      </w:r>
    </w:p>
    <w:p w14:paraId="494FE4E9" w14:textId="77777777" w:rsidR="004B2808" w:rsidRDefault="00000000">
      <w:pPr>
        <w:pStyle w:val="pheading"/>
      </w:pPr>
      <w:r>
        <w:t>- Définition / Comprend</w:t>
      </w:r>
    </w:p>
    <w:p w14:paraId="190D914B" w14:textId="77777777" w:rsidR="004B2808" w:rsidRDefault="00000000">
      <w:pPr>
        <w:jc w:val="both"/>
      </w:pPr>
      <w:r>
        <w:t>Il s’agit de la fourniture (hors matériaux récupérés du même site) et la pose de revêtements muraux en carreaux de céramique.</w:t>
      </w:r>
    </w:p>
    <w:p w14:paraId="388BB699" w14:textId="77777777" w:rsidR="004B2808" w:rsidRDefault="00000000">
      <w:pPr>
        <w:pStyle w:val="pheading"/>
      </w:pPr>
      <w:r>
        <w:t>MATÉRIAUX</w:t>
      </w:r>
    </w:p>
    <w:p w14:paraId="62E8E8F1" w14:textId="77777777" w:rsidR="004B2808" w:rsidRDefault="00000000">
      <w:pPr>
        <w:pStyle w:val="pheading"/>
      </w:pPr>
      <w:r>
        <w:t>- Caractéristiques générales</w:t>
      </w:r>
    </w:p>
    <w:p w14:paraId="1C3D4BD5" w14:textId="77777777" w:rsidR="004B2808" w:rsidRDefault="00000000">
      <w:pPr>
        <w:jc w:val="both"/>
      </w:pPr>
      <w:r>
        <w:rPr>
          <w:u w:val="single"/>
        </w:rPr>
        <w:t>Spécifications (voir aussi [NIT 227])</w:t>
      </w:r>
    </w:p>
    <w:p w14:paraId="7692DB87" w14:textId="77777777" w:rsidR="004B2808" w:rsidRDefault="00000000">
      <w:pPr>
        <w:pStyle w:val="Author-eListParagraph"/>
        <w:numPr>
          <w:ilvl w:val="0"/>
          <w:numId w:val="269"/>
        </w:numPr>
      </w:pPr>
      <w:r>
        <w:t>Surface : </w:t>
      </w:r>
      <w:r>
        <w:rPr>
          <w:rStyle w:val="optioncarChar"/>
        </w:rPr>
        <w:t>non émaillée / émaillée (satiné / brillant)</w:t>
      </w:r>
      <w:r>
        <w:br/>
      </w:r>
    </w:p>
    <w:p w14:paraId="7AFCD03C" w14:textId="77777777" w:rsidR="004B2808" w:rsidRDefault="00000000">
      <w:pPr>
        <w:pStyle w:val="Author-eListParagraph"/>
        <w:numPr>
          <w:ilvl w:val="0"/>
          <w:numId w:val="269"/>
        </w:numPr>
      </w:pPr>
      <w:r>
        <w:t>Epaisseur : minimum </w:t>
      </w:r>
      <w:r>
        <w:rPr>
          <w:rStyle w:val="optioncarChar"/>
        </w:rPr>
        <w:t>8 </w:t>
      </w:r>
      <w:r>
        <w:t>(par défaut)</w:t>
      </w:r>
      <w:r>
        <w:rPr>
          <w:rStyle w:val="optioncarChar"/>
        </w:rPr>
        <w:t xml:space="preserve"> / *** </w:t>
      </w:r>
      <w:r>
        <w:t>mm</w:t>
      </w:r>
      <w:r>
        <w:br/>
      </w:r>
    </w:p>
    <w:p w14:paraId="4FCD9A49" w14:textId="77777777" w:rsidR="004B2808" w:rsidRDefault="00000000">
      <w:pPr>
        <w:pStyle w:val="Author-eListParagraph"/>
        <w:numPr>
          <w:ilvl w:val="0"/>
          <w:numId w:val="269"/>
        </w:numPr>
      </w:pPr>
      <w:r>
        <w:t xml:space="preserve">Dimensions modulaires : </w:t>
      </w:r>
    </w:p>
    <w:p w14:paraId="1DA4D28A" w14:textId="77777777" w:rsidR="004B2808" w:rsidRDefault="00000000">
      <w:pPr>
        <w:pStyle w:val="Author-eListParagraph"/>
        <w:numPr>
          <w:ilvl w:val="1"/>
          <w:numId w:val="270"/>
        </w:numPr>
      </w:pPr>
      <w:r>
        <w:t>grès pressé : </w:t>
      </w:r>
      <w:r>
        <w:rPr>
          <w:rStyle w:val="optioncarChar"/>
        </w:rPr>
        <w:t>50 x 50 </w:t>
      </w:r>
      <w:r>
        <w:t>(par défaut)</w:t>
      </w:r>
      <w:r>
        <w:rPr>
          <w:rStyle w:val="optioncarChar"/>
        </w:rPr>
        <w:t xml:space="preserve"> / 50 x 100 / 100 x 100 / 100 x 200 / 150 x 150 / ***</w:t>
      </w:r>
      <w:r>
        <w:t> mm</w:t>
      </w:r>
    </w:p>
    <w:p w14:paraId="572DC0D0" w14:textId="77777777" w:rsidR="004B2808" w:rsidRDefault="00000000">
      <w:pPr>
        <w:pStyle w:val="Author-eListParagraph"/>
        <w:numPr>
          <w:ilvl w:val="1"/>
          <w:numId w:val="270"/>
        </w:numPr>
      </w:pPr>
      <w:r>
        <w:t>grès étiré : </w:t>
      </w:r>
      <w:r>
        <w:rPr>
          <w:rStyle w:val="optioncarChar"/>
        </w:rPr>
        <w:t>100 x 200 / 200 x 200 / 300 x 300 / ***</w:t>
      </w:r>
      <w:r>
        <w:t> mm</w:t>
      </w:r>
      <w:r>
        <w:br/>
      </w:r>
    </w:p>
    <w:p w14:paraId="114ACCBF" w14:textId="77777777" w:rsidR="004B2808" w:rsidRDefault="00000000">
      <w:pPr>
        <w:pStyle w:val="Author-eListParagraph"/>
        <w:numPr>
          <w:ilvl w:val="0"/>
          <w:numId w:val="269"/>
        </w:numPr>
      </w:pPr>
      <w:r>
        <w:t>Coloris : </w:t>
      </w:r>
      <w:r>
        <w:rPr>
          <w:rStyle w:val="optioncarChar"/>
        </w:rPr>
        <w:t>à choisir par le maître d’ouvrage parmi au moins 5 échantillons</w:t>
      </w:r>
      <w:r>
        <w:t> (par défaut)</w:t>
      </w:r>
      <w:r>
        <w:rPr>
          <w:rStyle w:val="optioncarChar"/>
        </w:rPr>
        <w:t xml:space="preserve"> / à choisir par le maître d’ouvrage parmi la gamme standard complète proposée par le fabricant.</w:t>
      </w:r>
    </w:p>
    <w:p w14:paraId="7D9D856A" w14:textId="77777777" w:rsidR="004B2808" w:rsidRDefault="004B2808"/>
    <w:p w14:paraId="1F141F08" w14:textId="77777777" w:rsidR="004B2808" w:rsidRDefault="00000000">
      <w:pPr>
        <w:jc w:val="both"/>
      </w:pPr>
      <w:r>
        <w:t xml:space="preserve">Les carreaux de céramique sont </w:t>
      </w:r>
      <w:r>
        <w:rPr>
          <w:rStyle w:val="optioncarChar"/>
        </w:rPr>
        <w:t>neufs</w:t>
      </w:r>
      <w:r>
        <w:t xml:space="preserve"> (par défaut)</w:t>
      </w:r>
      <w:r>
        <w:rPr>
          <w:rStyle w:val="optioncarChar"/>
        </w:rPr>
        <w:t xml:space="preserve"> / de réemploi.</w:t>
      </w:r>
    </w:p>
    <w:p w14:paraId="61F7428E" w14:textId="77777777" w:rsidR="004B2808" w:rsidRDefault="00000000">
      <w:pPr>
        <w:ind w:left="567"/>
        <w:jc w:val="both"/>
      </w:pPr>
      <w:r>
        <w:rPr>
          <w:b/>
          <w:i/>
        </w:rPr>
        <w:t>(Soit par défaut)</w:t>
      </w:r>
    </w:p>
    <w:p w14:paraId="65C13AD1" w14:textId="77777777" w:rsidR="004B2808" w:rsidRDefault="00000000">
      <w:pPr>
        <w:ind w:left="567"/>
        <w:jc w:val="both"/>
      </w:pPr>
      <w:r>
        <w:rPr>
          <w:rStyle w:val="soitChar"/>
          <w:u w:val="single"/>
        </w:rPr>
        <w:t>Neufs :</w:t>
      </w:r>
    </w:p>
    <w:p w14:paraId="40FA6015" w14:textId="77777777" w:rsidR="004B2808" w:rsidRDefault="00000000">
      <w:pPr>
        <w:pStyle w:val="Author-eListParagraph"/>
        <w:numPr>
          <w:ilvl w:val="0"/>
          <w:numId w:val="271"/>
        </w:numPr>
      </w:pPr>
      <w:r>
        <w:rPr>
          <w:rStyle w:val="soitChar"/>
        </w:rPr>
        <w:t>Classe (selon le taux d’absorption d’eau E et le procédé de fabrication) : </w:t>
      </w:r>
      <w:r>
        <w:rPr>
          <w:rStyle w:val="optioncarChar"/>
        </w:rPr>
        <w:t xml:space="preserve">AIa / AIb / AIIa-1 / AIIa-2 / AIIb-1 / AIIb-2 / AIII </w:t>
      </w:r>
      <w:r>
        <w:t>(par défaut)</w:t>
      </w:r>
      <w:r>
        <w:rPr>
          <w:rStyle w:val="optioncarChar"/>
        </w:rPr>
        <w:t xml:space="preserve">  / BIa / BIb / BIIa / BIIb / BIII.</w:t>
      </w:r>
      <w:r>
        <w:br/>
      </w:r>
    </w:p>
    <w:p w14:paraId="6044DEA4" w14:textId="77777777" w:rsidR="004B2808" w:rsidRDefault="00000000">
      <w:pPr>
        <w:pStyle w:val="Author-eListParagraph"/>
        <w:numPr>
          <w:ilvl w:val="0"/>
          <w:numId w:val="271"/>
        </w:numPr>
      </w:pPr>
      <w:r>
        <w:rPr>
          <w:rStyle w:val="soitChar"/>
        </w:rPr>
        <w:t>Résistance chimique – détergents et sels de piscine [NBN EN ISO 10545-13] :</w:t>
      </w:r>
      <w:r>
        <w:br/>
      </w:r>
      <w:r>
        <w:rPr>
          <w:rStyle w:val="soitChar"/>
        </w:rPr>
        <w:t>Carreaux non émaillés : </w:t>
      </w:r>
      <w:r>
        <w:rPr>
          <w:rStyle w:val="optioncarChar"/>
        </w:rPr>
        <w:t>UA / UB </w:t>
      </w:r>
      <w:r>
        <w:t>(par défaut) </w:t>
      </w:r>
      <w:r>
        <w:rPr>
          <w:rStyle w:val="optioncarChar"/>
        </w:rPr>
        <w:t>/ UC</w:t>
      </w:r>
      <w:r>
        <w:rPr>
          <w:rStyle w:val="soitChar"/>
        </w:rPr>
        <w:t xml:space="preserve">. </w:t>
      </w:r>
      <w:r>
        <w:br/>
      </w:r>
      <w:r>
        <w:rPr>
          <w:rStyle w:val="soitChar"/>
        </w:rPr>
        <w:t>Carreaux émaillés : </w:t>
      </w:r>
      <w:r>
        <w:rPr>
          <w:rStyle w:val="optioncarChar"/>
        </w:rPr>
        <w:t>GA / GB </w:t>
      </w:r>
      <w:r>
        <w:t>(par défaut)</w:t>
      </w:r>
      <w:r>
        <w:rPr>
          <w:rStyle w:val="optioncarChar"/>
        </w:rPr>
        <w:t> / GC</w:t>
      </w:r>
      <w:r>
        <w:br/>
      </w:r>
    </w:p>
    <w:p w14:paraId="4D1E31B0" w14:textId="77777777" w:rsidR="004B2808" w:rsidRDefault="00000000">
      <w:pPr>
        <w:pStyle w:val="Author-eListParagraph"/>
        <w:numPr>
          <w:ilvl w:val="0"/>
          <w:numId w:val="271"/>
        </w:numPr>
      </w:pPr>
      <w:r>
        <w:rPr>
          <w:rStyle w:val="soitChar"/>
        </w:rPr>
        <w:lastRenderedPageBreak/>
        <w:t>Résistance chimique – acides et bases peu concentrés [NBN EN ISO 10545-13] :</w:t>
      </w:r>
      <w:r>
        <w:br/>
      </w:r>
      <w:r>
        <w:rPr>
          <w:rStyle w:val="soitChar"/>
        </w:rPr>
        <w:t>Carreaux non émaillés : </w:t>
      </w:r>
      <w:r>
        <w:rPr>
          <w:rStyle w:val="optioncarChar"/>
        </w:rPr>
        <w:t>ULA / ULB </w:t>
      </w:r>
      <w:r>
        <w:t>(par défaut)</w:t>
      </w:r>
      <w:r>
        <w:rPr>
          <w:rStyle w:val="optioncarChar"/>
        </w:rPr>
        <w:t> / ULC</w:t>
      </w:r>
      <w:r>
        <w:rPr>
          <w:rStyle w:val="soitChar"/>
        </w:rPr>
        <w:t xml:space="preserve">. </w:t>
      </w:r>
      <w:r>
        <w:br/>
      </w:r>
      <w:r>
        <w:rPr>
          <w:rStyle w:val="soitChar"/>
        </w:rPr>
        <w:t>Carreaux émaillés :</w:t>
      </w:r>
      <w:r>
        <w:rPr>
          <w:rStyle w:val="optioncarChar"/>
        </w:rPr>
        <w:t> GLA / GLB </w:t>
      </w:r>
      <w:r>
        <w:t>(par défaut)</w:t>
      </w:r>
      <w:r>
        <w:rPr>
          <w:rStyle w:val="optioncarChar"/>
        </w:rPr>
        <w:t> / GLC</w:t>
      </w:r>
      <w:r>
        <w:rPr>
          <w:rStyle w:val="soitChar"/>
        </w:rPr>
        <w:t>.</w:t>
      </w:r>
      <w:r>
        <w:t> </w:t>
      </w:r>
    </w:p>
    <w:p w14:paraId="1A650D4C" w14:textId="77777777" w:rsidR="004B2808" w:rsidRDefault="00000000">
      <w:pPr>
        <w:pStyle w:val="Author-eListParagraph"/>
        <w:numPr>
          <w:ilvl w:val="0"/>
          <w:numId w:val="272"/>
        </w:numPr>
      </w:pPr>
      <w:r>
        <w:rPr>
          <w:rStyle w:val="soitChar"/>
        </w:rPr>
        <w:t>Résistance chimique – acides et bases très concentrés [NBN EN ISO 10545-13] :</w:t>
      </w:r>
      <w:r>
        <w:br/>
      </w:r>
      <w:r>
        <w:rPr>
          <w:rStyle w:val="soitChar"/>
        </w:rPr>
        <w:t>Carreaux non émaillés : </w:t>
      </w:r>
      <w:r>
        <w:rPr>
          <w:rStyle w:val="optioncarChar"/>
        </w:rPr>
        <w:t>UHA / UHB </w:t>
      </w:r>
      <w:r>
        <w:t>(par défaut) </w:t>
      </w:r>
      <w:r>
        <w:rPr>
          <w:rStyle w:val="optioncarChar"/>
        </w:rPr>
        <w:t>/ UHC</w:t>
      </w:r>
      <w:r>
        <w:rPr>
          <w:rStyle w:val="soitChar"/>
        </w:rPr>
        <w:t xml:space="preserve">. </w:t>
      </w:r>
      <w:r>
        <w:br/>
      </w:r>
      <w:r>
        <w:rPr>
          <w:rStyle w:val="soitChar"/>
        </w:rPr>
        <w:t>Carreaux émaillés : </w:t>
      </w:r>
      <w:r>
        <w:rPr>
          <w:rStyle w:val="optioncarChar"/>
        </w:rPr>
        <w:t>GHA / GHB</w:t>
      </w:r>
      <w:r>
        <w:t> (par défaut) </w:t>
      </w:r>
      <w:r>
        <w:rPr>
          <w:rStyle w:val="optioncarChar"/>
        </w:rPr>
        <w:t>/ GHC</w:t>
      </w:r>
    </w:p>
    <w:p w14:paraId="31BBE6B7" w14:textId="77777777" w:rsidR="004B2808" w:rsidRDefault="00000000">
      <w:pPr>
        <w:pStyle w:val="Author-eListParagraph"/>
        <w:numPr>
          <w:ilvl w:val="0"/>
          <w:numId w:val="273"/>
        </w:numPr>
      </w:pPr>
      <w:r>
        <w:rPr>
          <w:rStyle w:val="soitChar"/>
        </w:rPr>
        <w:t>Résistance aux taches [NBN EN ISO 10545-14]: </w:t>
      </w:r>
      <w:r>
        <w:rPr>
          <w:rStyle w:val="optioncarChar"/>
        </w:rPr>
        <w:t>1 / 2 / 3 </w:t>
      </w:r>
      <w:r>
        <w:t>(par défaut)</w:t>
      </w:r>
      <w:r>
        <w:rPr>
          <w:rStyle w:val="optioncarChar"/>
        </w:rPr>
        <w:t> / 4 / 5</w:t>
      </w:r>
    </w:p>
    <w:p w14:paraId="108EC69C" w14:textId="77777777" w:rsidR="004B2808" w:rsidRDefault="00000000">
      <w:pPr>
        <w:pStyle w:val="Author-eListParagraph"/>
        <w:numPr>
          <w:ilvl w:val="0"/>
          <w:numId w:val="274"/>
        </w:numPr>
      </w:pPr>
      <w:r>
        <w:rPr>
          <w:rStyle w:val="soitChar"/>
        </w:rPr>
        <w:t>Classe ([NBN B 27-011/A1]) du carreau céramique émaillé selon sa résistance à l’abrasion (essai PEI [NBN EN ISO 10545-7]) : </w:t>
      </w:r>
      <w:r>
        <w:rPr>
          <w:rStyle w:val="optioncarChar"/>
        </w:rPr>
        <w:t>1 / 2 / 3</w:t>
      </w:r>
      <w:r>
        <w:t xml:space="preserve"> (par défaut)</w:t>
      </w:r>
      <w:r>
        <w:rPr>
          <w:rStyle w:val="optioncarChar"/>
        </w:rPr>
        <w:t xml:space="preserve"> / 4 / 5.</w:t>
      </w:r>
      <w:r>
        <w:br/>
      </w:r>
    </w:p>
    <w:p w14:paraId="50661720" w14:textId="77777777" w:rsidR="004B2808" w:rsidRDefault="00000000">
      <w:pPr>
        <w:pStyle w:val="Author-eListParagraph"/>
        <w:numPr>
          <w:ilvl w:val="0"/>
          <w:numId w:val="274"/>
        </w:numPr>
      </w:pPr>
      <w:r>
        <w:rPr>
          <w:rStyle w:val="soitChar"/>
        </w:rPr>
        <w:t>Classe ([NBN EN 14411]) du carreau céramique émaillé selon sa résistance à l’abrasion (essai PEI [NBN EN ISO 10545-7]) : </w:t>
      </w:r>
      <w:r>
        <w:rPr>
          <w:rStyle w:val="optioncarChar"/>
        </w:rPr>
        <w:t xml:space="preserve">1 / 2 / 3 </w:t>
      </w:r>
      <w:r>
        <w:t>(par défaut)</w:t>
      </w:r>
      <w:r>
        <w:rPr>
          <w:rStyle w:val="optioncarChar"/>
        </w:rPr>
        <w:t xml:space="preserve"> / 4 / 5.</w:t>
      </w:r>
      <w:r>
        <w:br/>
      </w:r>
    </w:p>
    <w:p w14:paraId="77921943" w14:textId="77777777" w:rsidR="004B2808" w:rsidRDefault="00000000">
      <w:pPr>
        <w:pStyle w:val="Author-eListParagraph"/>
        <w:numPr>
          <w:ilvl w:val="0"/>
          <w:numId w:val="274"/>
        </w:numPr>
      </w:pPr>
      <w:r>
        <w:rPr>
          <w:rStyle w:val="soitChar"/>
        </w:rPr>
        <w:t>Classe (UPEC) du carreau céramique émaillé selon sa résistance à l’abrasion (essai PEI [NBN EN ISO 10545-7]) : </w:t>
      </w:r>
      <w:r>
        <w:rPr>
          <w:rStyle w:val="optioncarChar"/>
        </w:rPr>
        <w:t>U1 / U2 / U2S / U3</w:t>
      </w:r>
      <w:r>
        <w:t xml:space="preserve"> (par défaut) </w:t>
      </w:r>
      <w:r>
        <w:rPr>
          <w:rStyle w:val="optioncarChar"/>
        </w:rPr>
        <w:t>/  U3S / U4</w:t>
      </w:r>
      <w:r>
        <w:rPr>
          <w:rStyle w:val="soitChar"/>
        </w:rPr>
        <w:t>.</w:t>
      </w:r>
      <w:r>
        <w:br/>
      </w:r>
    </w:p>
    <w:p w14:paraId="3AE01C19" w14:textId="77777777" w:rsidR="004B2808" w:rsidRDefault="00000000">
      <w:pPr>
        <w:pStyle w:val="Author-eListParagraph"/>
        <w:numPr>
          <w:ilvl w:val="0"/>
          <w:numId w:val="274"/>
        </w:numPr>
      </w:pPr>
      <w:r>
        <w:rPr>
          <w:rStyle w:val="soitChar"/>
        </w:rPr>
        <w:t>Classe (UPEC) du carreau céramique non émaillé selon sa résistance à ‘abrasion (essai Capon [NBN EN ISO 10545-6]) : </w:t>
      </w:r>
      <w:r>
        <w:rPr>
          <w:rStyle w:val="optioncarChar"/>
        </w:rPr>
        <w:t xml:space="preserve">U1 / U2 / U2S / U3 </w:t>
      </w:r>
      <w:r>
        <w:t>(par défaut) </w:t>
      </w:r>
      <w:r>
        <w:rPr>
          <w:rStyle w:val="optioncarChar"/>
        </w:rPr>
        <w:t>/ U3S / U4</w:t>
      </w:r>
      <w:r>
        <w:rPr>
          <w:rStyle w:val="soitChar"/>
        </w:rPr>
        <w:t>.</w:t>
      </w:r>
      <w:r>
        <w:br/>
      </w:r>
    </w:p>
    <w:p w14:paraId="42A2AF31" w14:textId="77777777" w:rsidR="004B2808" w:rsidRDefault="00000000">
      <w:pPr>
        <w:pStyle w:val="Author-eListParagraph"/>
        <w:numPr>
          <w:ilvl w:val="0"/>
          <w:numId w:val="274"/>
        </w:numPr>
      </w:pPr>
      <w:r>
        <w:rPr>
          <w:rStyle w:val="soitChar"/>
        </w:rPr>
        <w:t>Résistance à la rayure, §2.4.3.2 de la [NIT 237] :</w:t>
      </w:r>
      <w:r>
        <w:br/>
      </w:r>
      <w:r>
        <w:rPr>
          <w:rStyle w:val="soitChar"/>
        </w:rPr>
        <w:t xml:space="preserve">Carreau émaillé : ≥ </w:t>
      </w:r>
      <w:r>
        <w:rPr>
          <w:rStyle w:val="optioncarChar"/>
        </w:rPr>
        <w:t>5 </w:t>
      </w:r>
      <w:r>
        <w:t>(par défaut)</w:t>
      </w:r>
      <w:r>
        <w:rPr>
          <w:rStyle w:val="optioncarChar"/>
        </w:rPr>
        <w:t> / 6 / 7 / 8 / 9 / 10</w:t>
      </w:r>
      <w:r>
        <w:rPr>
          <w:rStyle w:val="soitChar"/>
        </w:rPr>
        <w:t>.</w:t>
      </w:r>
      <w:r>
        <w:br/>
      </w:r>
      <w:r>
        <w:rPr>
          <w:rStyle w:val="soitChar"/>
        </w:rPr>
        <w:t xml:space="preserve">Carreau non émaillé : ≥ </w:t>
      </w:r>
      <w:r>
        <w:rPr>
          <w:rStyle w:val="optioncarChar"/>
        </w:rPr>
        <w:t>6</w:t>
      </w:r>
      <w:r>
        <w:t> (par défaut)</w:t>
      </w:r>
      <w:r>
        <w:rPr>
          <w:rStyle w:val="optioncarChar"/>
        </w:rPr>
        <w:t> / 7 / 8 / 9 / 10</w:t>
      </w:r>
      <w:r>
        <w:rPr>
          <w:rStyle w:val="soitChar"/>
        </w:rPr>
        <w:t>.</w:t>
      </w:r>
    </w:p>
    <w:p w14:paraId="7627C8E8" w14:textId="77777777" w:rsidR="004B2808" w:rsidRDefault="00000000">
      <w:pPr>
        <w:pStyle w:val="Author-eListParagraph"/>
        <w:numPr>
          <w:ilvl w:val="0"/>
          <w:numId w:val="275"/>
        </w:numPr>
      </w:pPr>
      <w:r>
        <w:rPr>
          <w:rStyle w:val="soitChar"/>
        </w:rPr>
        <w:t>Résistance au tressaillage du carreau émaillé : </w:t>
      </w:r>
      <w:r>
        <w:rPr>
          <w:rStyle w:val="optioncarChar"/>
        </w:rPr>
        <w:t xml:space="preserve">pas de spécification </w:t>
      </w:r>
      <w:r>
        <w:t>(par défaut) </w:t>
      </w:r>
      <w:r>
        <w:rPr>
          <w:rStyle w:val="optioncarChar"/>
        </w:rPr>
        <w:t>/ résistant.</w:t>
      </w:r>
    </w:p>
    <w:p w14:paraId="6F5371E0" w14:textId="77777777" w:rsidR="004B2808" w:rsidRDefault="00000000">
      <w:pPr>
        <w:ind w:left="567"/>
        <w:jc w:val="both"/>
      </w:pPr>
      <w:r>
        <w:t> </w:t>
      </w:r>
    </w:p>
    <w:p w14:paraId="6F44997B" w14:textId="77777777" w:rsidR="004B2808" w:rsidRDefault="00000000">
      <w:pPr>
        <w:ind w:left="567"/>
        <w:jc w:val="both"/>
      </w:pPr>
      <w:r>
        <w:rPr>
          <w:b/>
          <w:i/>
        </w:rPr>
        <w:t>(Soit)</w:t>
      </w:r>
    </w:p>
    <w:p w14:paraId="35C0EE4F" w14:textId="77777777" w:rsidR="004B2808" w:rsidRDefault="00000000">
      <w:pPr>
        <w:ind w:left="567"/>
        <w:jc w:val="both"/>
      </w:pPr>
      <w:r>
        <w:rPr>
          <w:rStyle w:val="soitChar"/>
          <w:u w:val="single"/>
        </w:rPr>
        <w:t>Réemploi :</w:t>
      </w:r>
    </w:p>
    <w:p w14:paraId="45831275" w14:textId="77777777" w:rsidR="004B2808" w:rsidRDefault="00000000">
      <w:pPr>
        <w:ind w:left="567"/>
        <w:jc w:val="both"/>
      </w:pPr>
      <w:r>
        <w:rPr>
          <w:rStyle w:val="soitChar"/>
        </w:rPr>
        <w:t xml:space="preserve">Il s’agit de carreaux de céramique issus </w:t>
      </w:r>
      <w:r>
        <w:rPr>
          <w:rStyle w:val="optioncarChar"/>
        </w:rPr>
        <w:t xml:space="preserve">du démontage de revêtement existants </w:t>
      </w:r>
      <w:r>
        <w:t>(par défaut)</w:t>
      </w:r>
      <w:r>
        <w:rPr>
          <w:rStyle w:val="optioncarChar"/>
        </w:rPr>
        <w:t xml:space="preserve">  / ***.</w:t>
      </w:r>
    </w:p>
    <w:p w14:paraId="5067F077" w14:textId="77777777" w:rsidR="004B2808" w:rsidRDefault="00000000">
      <w:pPr>
        <w:ind w:left="567"/>
        <w:jc w:val="both"/>
      </w:pPr>
      <w:r>
        <w:rPr>
          <w:rStyle w:val="soitChar"/>
        </w:rPr>
        <w:t>Les carreaux de céramiques sont destinés à un usage similaire à l’usage initial ou moins sollicitant.</w:t>
      </w:r>
    </w:p>
    <w:p w14:paraId="3E80D687" w14:textId="77777777" w:rsidR="004B2808" w:rsidRDefault="00000000">
      <w:pPr>
        <w:ind w:left="567"/>
        <w:jc w:val="both"/>
      </w:pPr>
      <w:r>
        <w:rPr>
          <w:rStyle w:val="soitChar"/>
        </w:rPr>
        <w:t>Pour une application initiale non connue les caractéristiques suivantes sont déterminées sur les échantillons représentatifs du lot.</w:t>
      </w:r>
    </w:p>
    <w:p w14:paraId="6FB2D5F4" w14:textId="77777777" w:rsidR="004B2808" w:rsidRDefault="00000000">
      <w:pPr>
        <w:pStyle w:val="Author-eListParagraph"/>
        <w:numPr>
          <w:ilvl w:val="1"/>
          <w:numId w:val="276"/>
        </w:numPr>
      </w:pPr>
      <w:r>
        <w:rPr>
          <w:rStyle w:val="soitChar"/>
        </w:rPr>
        <w:t>Classe (selon le taux d’absorption d’eau E et le procédé de fabrication) </w:t>
      </w:r>
      <w:r>
        <w:rPr>
          <w:rStyle w:val="optioncarChar"/>
        </w:rPr>
        <w:t xml:space="preserve">: AIa / AIb / AIIa-1 / AIIa-2 / AIIb-1 / AIIb-2 / AIII </w:t>
      </w:r>
      <w:r>
        <w:t>(par défaut) </w:t>
      </w:r>
      <w:r>
        <w:rPr>
          <w:rStyle w:val="optioncarChar"/>
        </w:rPr>
        <w:t>/ BIa / BIb / BIIa / BIIb / BIII</w:t>
      </w:r>
      <w:r>
        <w:rPr>
          <w:rStyle w:val="soitChar"/>
        </w:rPr>
        <w:t>.</w:t>
      </w:r>
      <w:r>
        <w:br/>
      </w:r>
    </w:p>
    <w:p w14:paraId="3AC6D479" w14:textId="77777777" w:rsidR="004B2808" w:rsidRDefault="00000000">
      <w:pPr>
        <w:pStyle w:val="Author-eListParagraph"/>
        <w:numPr>
          <w:ilvl w:val="1"/>
          <w:numId w:val="276"/>
        </w:numPr>
      </w:pPr>
      <w:r>
        <w:rPr>
          <w:rStyle w:val="soitChar"/>
        </w:rPr>
        <w:t>Résistance aux taches [NBN EN ISO 10545-14] : </w:t>
      </w:r>
      <w:r>
        <w:rPr>
          <w:rStyle w:val="optioncarChar"/>
        </w:rPr>
        <w:t>1 / 2 / 3</w:t>
      </w:r>
      <w:r>
        <w:t> (par défaut) </w:t>
      </w:r>
      <w:r>
        <w:rPr>
          <w:rStyle w:val="optioncarChar"/>
        </w:rPr>
        <w:t>/ 4 / 5</w:t>
      </w:r>
      <w:r>
        <w:rPr>
          <w:rStyle w:val="soitChar"/>
        </w:rPr>
        <w:t>.</w:t>
      </w:r>
    </w:p>
    <w:p w14:paraId="78D1EFE8" w14:textId="77777777" w:rsidR="004B2808" w:rsidRDefault="004B2808"/>
    <w:p w14:paraId="28EDA233" w14:textId="77777777" w:rsidR="004B2808" w:rsidRDefault="00000000">
      <w:pPr>
        <w:ind w:left="567"/>
        <w:jc w:val="both"/>
      </w:pPr>
      <w:r>
        <w:rPr>
          <w:rStyle w:val="soitChar"/>
        </w:rPr>
        <w:t>Défauts esthétiques acceptables sur la face visible et les tranches des carreaux :  </w:t>
      </w:r>
    </w:p>
    <w:p w14:paraId="3F744F60" w14:textId="77777777" w:rsidR="004B2808" w:rsidRDefault="00000000">
      <w:pPr>
        <w:pStyle w:val="Author-eListParagraph"/>
        <w:numPr>
          <w:ilvl w:val="1"/>
          <w:numId w:val="277"/>
        </w:numPr>
      </w:pPr>
      <w:r>
        <w:rPr>
          <w:rStyle w:val="soitChar"/>
        </w:rPr>
        <w:t>Fissures sur une longueur de moins de</w:t>
      </w:r>
      <w:r>
        <w:rPr>
          <w:rStyle w:val="optioncarChar"/>
        </w:rPr>
        <w:t> 1 </w:t>
      </w:r>
      <w:r>
        <w:t>(par défaut)</w:t>
      </w:r>
      <w:r>
        <w:rPr>
          <w:rStyle w:val="optioncarChar"/>
        </w:rPr>
        <w:t> / 2 / 3 / 5 / ***</w:t>
      </w:r>
      <w:r>
        <w:rPr>
          <w:rStyle w:val="soitChar"/>
        </w:rPr>
        <w:t> cm </w:t>
      </w:r>
    </w:p>
    <w:p w14:paraId="6C15EF56" w14:textId="77777777" w:rsidR="004B2808" w:rsidRDefault="00000000">
      <w:pPr>
        <w:pStyle w:val="Author-eListParagraph"/>
        <w:numPr>
          <w:ilvl w:val="0"/>
          <w:numId w:val="278"/>
        </w:numPr>
        <w:jc w:val="both"/>
      </w:pPr>
      <w:r>
        <w:rPr>
          <w:rStyle w:val="soitChar"/>
        </w:rPr>
        <w:t>Eclats de moins de </w:t>
      </w:r>
      <w:r>
        <w:rPr>
          <w:rStyle w:val="optioncarChar"/>
        </w:rPr>
        <w:t>0,1</w:t>
      </w:r>
      <w:r>
        <w:t> (par défaut)</w:t>
      </w:r>
      <w:r>
        <w:rPr>
          <w:rStyle w:val="optioncarChar"/>
        </w:rPr>
        <w:t> / 0,25 / 0,5 / 1 / ***</w:t>
      </w:r>
      <w:r>
        <w:rPr>
          <w:rStyle w:val="soitChar"/>
        </w:rPr>
        <w:t> cm²   </w:t>
      </w:r>
    </w:p>
    <w:p w14:paraId="208BB1CD" w14:textId="77777777" w:rsidR="004B2808" w:rsidRDefault="004B2808">
      <w:pPr>
        <w:pStyle w:val="Author-eListParagraph"/>
        <w:numPr>
          <w:ilvl w:val="0"/>
          <w:numId w:val="278"/>
        </w:numPr>
        <w:jc w:val="both"/>
      </w:pPr>
    </w:p>
    <w:p w14:paraId="2A30CD2E" w14:textId="77777777" w:rsidR="004B2808" w:rsidRDefault="00000000">
      <w:pPr>
        <w:pStyle w:val="Author-eListParagraph"/>
        <w:numPr>
          <w:ilvl w:val="0"/>
          <w:numId w:val="278"/>
        </w:numPr>
        <w:jc w:val="both"/>
      </w:pPr>
      <w:r>
        <w:rPr>
          <w:rStyle w:val="soitChar"/>
        </w:rPr>
        <w:t>Trace de colle ou mortier sur les tranches : </w:t>
      </w:r>
      <w:r>
        <w:rPr>
          <w:rStyle w:val="optioncarChar"/>
        </w:rPr>
        <w:t>aucune </w:t>
      </w:r>
      <w:r>
        <w:t>(par défaut)</w:t>
      </w:r>
      <w:r>
        <w:rPr>
          <w:rStyle w:val="optioncarChar"/>
        </w:rPr>
        <w:t> / 10 % / 20 % / 30 % / 50 % / *** %  </w:t>
      </w:r>
    </w:p>
    <w:p w14:paraId="2D3C3108" w14:textId="77777777" w:rsidR="004B2808" w:rsidRDefault="004B2808">
      <w:pPr>
        <w:pStyle w:val="Author-eListParagraph"/>
        <w:numPr>
          <w:ilvl w:val="0"/>
          <w:numId w:val="278"/>
        </w:numPr>
        <w:jc w:val="both"/>
      </w:pPr>
    </w:p>
    <w:p w14:paraId="7931D925" w14:textId="77777777" w:rsidR="004B2808" w:rsidRDefault="00000000">
      <w:pPr>
        <w:pStyle w:val="Author-eListParagraph"/>
        <w:numPr>
          <w:ilvl w:val="0"/>
          <w:numId w:val="278"/>
        </w:numPr>
        <w:jc w:val="both"/>
      </w:pPr>
      <w:r>
        <w:rPr>
          <w:rStyle w:val="soitChar"/>
        </w:rPr>
        <w:t>Largeur des irrégularités sur les arêtes en partant des bords : </w:t>
      </w:r>
      <w:r>
        <w:rPr>
          <w:rStyle w:val="optioncarChar"/>
        </w:rPr>
        <w:t>0,1 </w:t>
      </w:r>
      <w:r>
        <w:t>(par défaut)</w:t>
      </w:r>
      <w:r>
        <w:rPr>
          <w:rStyle w:val="optioncarChar"/>
        </w:rPr>
        <w:t> / 0,2 / 0,5 / ***</w:t>
      </w:r>
      <w:r>
        <w:rPr>
          <w:rStyle w:val="soitChar"/>
        </w:rPr>
        <w:t> cm </w:t>
      </w:r>
    </w:p>
    <w:p w14:paraId="08644719" w14:textId="77777777" w:rsidR="004B2808" w:rsidRDefault="00000000">
      <w:pPr>
        <w:pStyle w:val="pheading"/>
      </w:pPr>
      <w:r>
        <w:t>- Finitions</w:t>
      </w:r>
    </w:p>
    <w:p w14:paraId="0A0837DE" w14:textId="77777777" w:rsidR="004B2808" w:rsidRDefault="00000000">
      <w:r>
        <w:t>Couleur : </w:t>
      </w:r>
      <w:r>
        <w:rPr>
          <w:rStyle w:val="optioncarChar"/>
        </w:rPr>
        <w:t>sable / jaune / gris / noir / bleu / vert / ***</w:t>
      </w:r>
      <w:r>
        <w:t>. L'entrepreneur soumet une carte de couleurs.</w:t>
      </w:r>
    </w:p>
    <w:p w14:paraId="7853F272" w14:textId="77777777" w:rsidR="004B2808" w:rsidRDefault="00000000">
      <w:pPr>
        <w:pStyle w:val="Author-eListParagraph"/>
        <w:numPr>
          <w:ilvl w:val="0"/>
          <w:numId w:val="279"/>
        </w:numPr>
      </w:pPr>
      <w:r>
        <w:lastRenderedPageBreak/>
        <w:t>Finition : </w:t>
      </w:r>
      <w:r>
        <w:rPr>
          <w:rStyle w:val="optioncarChar"/>
        </w:rPr>
        <w:t>émaillé (GL) / non émaillé (UGL) / engobé / poli</w:t>
      </w:r>
      <w:r>
        <w:br/>
      </w:r>
    </w:p>
    <w:p w14:paraId="47890576" w14:textId="77777777" w:rsidR="004B2808" w:rsidRDefault="00000000">
      <w:pPr>
        <w:pStyle w:val="Author-eListParagraph"/>
        <w:numPr>
          <w:ilvl w:val="0"/>
          <w:numId w:val="279"/>
        </w:numPr>
      </w:pPr>
      <w:r>
        <w:t>Aspect : lisse</w:t>
      </w:r>
    </w:p>
    <w:p w14:paraId="6EA3580E" w14:textId="77777777" w:rsidR="004B2808" w:rsidRDefault="00000000">
      <w:pPr>
        <w:pStyle w:val="pheading"/>
      </w:pPr>
      <w:r>
        <w:t>EXÉCUTION / MISE EN ŒUVRE</w:t>
      </w:r>
    </w:p>
    <w:p w14:paraId="0B760946" w14:textId="77777777" w:rsidR="004B2808" w:rsidRDefault="00000000">
      <w:pPr>
        <w:pStyle w:val="pheading"/>
      </w:pPr>
      <w:r>
        <w:t>- Prescriptions générales</w:t>
      </w:r>
    </w:p>
    <w:p w14:paraId="4A4E8364" w14:textId="77777777" w:rsidR="004B2808" w:rsidRDefault="00000000">
      <w:pPr>
        <w:jc w:val="both"/>
      </w:pPr>
      <w:r>
        <w:t>Les carreaux sont posés à joints égaux et lisses de</w:t>
      </w:r>
      <w:r>
        <w:rPr>
          <w:rStyle w:val="optioncarChar"/>
        </w:rPr>
        <w:t xml:space="preserve"> 2</w:t>
      </w:r>
      <w:r>
        <w:t xml:space="preserve"> (par défaut)</w:t>
      </w:r>
      <w:r>
        <w:rPr>
          <w:rStyle w:val="optioncarChar"/>
        </w:rPr>
        <w:t xml:space="preserve"> / ***</w:t>
      </w:r>
      <w:r>
        <w:t xml:space="preserve"> mm de largeur;</w:t>
      </w:r>
    </w:p>
    <w:p w14:paraId="41137FAD" w14:textId="77777777" w:rsidR="004B2808" w:rsidRDefault="00000000">
      <w:pPr>
        <w:jc w:val="both"/>
      </w:pPr>
      <w:r>
        <w:t>Les carreaux sont posés </w:t>
      </w:r>
      <w:r>
        <w:rPr>
          <w:rStyle w:val="optioncarChar"/>
        </w:rPr>
        <w:t>symétriquement / selon le dessin de détail / à joints continus / joints alternés </w:t>
      </w:r>
      <w:r>
        <w:t>(le long côté disposé</w:t>
      </w:r>
      <w:r>
        <w:rPr>
          <w:rStyle w:val="optioncarChar"/>
        </w:rPr>
        <w:t> horizontalement / verticalement</w:t>
      </w:r>
      <w:r>
        <w:t>).</w:t>
      </w:r>
    </w:p>
    <w:p w14:paraId="2415DC5A" w14:textId="77777777" w:rsidR="004B2808" w:rsidRDefault="00000000">
      <w:pPr>
        <w:jc w:val="both"/>
      </w:pPr>
      <w:r>
        <w:t>Le choix de la technique de pose dépend notamment du support: </w:t>
      </w:r>
      <w:r>
        <w:rPr>
          <w:rStyle w:val="optioncarChar"/>
        </w:rPr>
        <w:t>sur cimentage </w:t>
      </w:r>
      <w:r>
        <w:t>(par défaut</w:t>
      </w:r>
      <w:r>
        <w:rPr>
          <w:rStyle w:val="optioncarChar"/>
        </w:rPr>
        <w:t>) / sur plafonnage / sur autre support</w:t>
      </w:r>
      <w:r>
        <w:t>.</w:t>
      </w:r>
    </w:p>
    <w:p w14:paraId="75B32DA0" w14:textId="77777777" w:rsidR="004B2808" w:rsidRDefault="00000000">
      <w:pPr>
        <w:ind w:left="567"/>
        <w:jc w:val="both"/>
      </w:pPr>
      <w:r>
        <w:rPr>
          <w:b/>
          <w:i/>
        </w:rPr>
        <w:t>(Soit par défaut)</w:t>
      </w:r>
    </w:p>
    <w:p w14:paraId="75EA5785" w14:textId="77777777" w:rsidR="004B2808" w:rsidRDefault="00000000">
      <w:pPr>
        <w:ind w:left="567"/>
        <w:jc w:val="both"/>
      </w:pPr>
      <w:r>
        <w:rPr>
          <w:rStyle w:val="soitChar"/>
          <w:u w:val="single"/>
        </w:rPr>
        <w:t>Sur cimentage</w:t>
      </w:r>
      <w:r>
        <w:rPr>
          <w:rStyle w:val="soitChar"/>
        </w:rPr>
        <w:t xml:space="preserve"> : sur un cimentage peigné au mortier de ciment (composé de 250 kg de ciment, classe de résistance 32,5, par m3 sable). Les carreaux sont préalablement humidifiés.</w:t>
      </w:r>
    </w:p>
    <w:p w14:paraId="3A2C8805" w14:textId="77777777" w:rsidR="004B2808" w:rsidRDefault="00000000">
      <w:pPr>
        <w:ind w:left="567"/>
        <w:jc w:val="both"/>
      </w:pPr>
      <w:r>
        <w:rPr>
          <w:b/>
          <w:i/>
        </w:rPr>
        <w:t>(Soit)</w:t>
      </w:r>
    </w:p>
    <w:p w14:paraId="596B07A6" w14:textId="77777777" w:rsidR="004B2808" w:rsidRDefault="00000000">
      <w:pPr>
        <w:ind w:left="567"/>
        <w:jc w:val="both"/>
      </w:pPr>
      <w:r>
        <w:rPr>
          <w:rStyle w:val="soitChar"/>
          <w:u w:val="single"/>
        </w:rPr>
        <w:t>Sur plafonnage</w:t>
      </w:r>
      <w:r>
        <w:rPr>
          <w:rStyle w:val="soitChar"/>
        </w:rPr>
        <w:t xml:space="preserve"> : sur un support en plafonnage et/ou en plaques de plâtre enrobées de carton par </w:t>
      </w:r>
      <w:r>
        <w:rPr>
          <w:rStyle w:val="optioncarChar"/>
        </w:rPr>
        <w:t>simple / double</w:t>
      </w:r>
      <w:r>
        <w:rPr>
          <w:rStyle w:val="soitChar"/>
        </w:rPr>
        <w:t xml:space="preserve"> encollage avec </w:t>
      </w:r>
      <w:r>
        <w:rPr>
          <w:rStyle w:val="optioncarChar"/>
        </w:rPr>
        <w:t>une colle synthétique / un mortier-colle</w:t>
      </w:r>
      <w:r>
        <w:rPr>
          <w:rStyle w:val="soitChar"/>
        </w:rPr>
        <w:t>. Les joints et les carreaux sont nettoyés avant le durcissement de la colle.</w:t>
      </w:r>
    </w:p>
    <w:p w14:paraId="7A11515B" w14:textId="77777777" w:rsidR="004B2808" w:rsidRDefault="00000000">
      <w:pPr>
        <w:ind w:left="567"/>
        <w:jc w:val="both"/>
      </w:pPr>
      <w:r>
        <w:rPr>
          <w:b/>
          <w:i/>
        </w:rPr>
        <w:t>(Soit)</w:t>
      </w:r>
    </w:p>
    <w:p w14:paraId="056AF909" w14:textId="77777777" w:rsidR="004B2808" w:rsidRDefault="00000000">
      <w:pPr>
        <w:ind w:left="567"/>
        <w:jc w:val="both"/>
      </w:pPr>
      <w:r>
        <w:rPr>
          <w:rStyle w:val="soitChar"/>
          <w:u w:val="single"/>
        </w:rPr>
        <w:t>Sur autre support</w:t>
      </w:r>
      <w:r>
        <w:rPr>
          <w:rStyle w:val="soitChar"/>
        </w:rPr>
        <w:t xml:space="preserve"> : sur un autre type de support mentionné dans § 4.2 de la [NIT 227].</w:t>
      </w:r>
    </w:p>
    <w:p w14:paraId="73E0942D" w14:textId="77777777" w:rsidR="004B2808" w:rsidRDefault="00000000">
      <w:pPr>
        <w:jc w:val="both"/>
      </w:pPr>
      <w:r>
        <w:t> </w:t>
      </w:r>
    </w:p>
    <w:p w14:paraId="09A16E3F" w14:textId="77777777" w:rsidR="004B2808" w:rsidRDefault="00000000">
      <w:pPr>
        <w:jc w:val="both"/>
      </w:pPr>
      <w:r>
        <w:t>Les produits de jointoyage sont</w:t>
      </w:r>
    </w:p>
    <w:p w14:paraId="110F2FF2" w14:textId="77777777" w:rsidR="004B2808" w:rsidRDefault="00000000">
      <w:pPr>
        <w:pStyle w:val="Author-eListParagraph"/>
        <w:numPr>
          <w:ilvl w:val="0"/>
          <w:numId w:val="280"/>
        </w:numPr>
        <w:jc w:val="both"/>
      </w:pPr>
      <w:r>
        <w:t>Teinte : </w:t>
      </w:r>
      <w:r>
        <w:rPr>
          <w:rStyle w:val="optioncarChar"/>
        </w:rPr>
        <w:t>teinte à soumettre au maitre d’ouvrage </w:t>
      </w:r>
      <w:r>
        <w:t>(par défaut)</w:t>
      </w:r>
      <w:r>
        <w:rPr>
          <w:rStyle w:val="optioncarChar"/>
        </w:rPr>
        <w:t> / gris clair / ***</w:t>
      </w:r>
      <w:r>
        <w:t>.</w:t>
      </w:r>
    </w:p>
    <w:p w14:paraId="0EAF0E37" w14:textId="77777777" w:rsidR="004B2808" w:rsidRDefault="004B2808">
      <w:pPr>
        <w:pStyle w:val="Author-eListParagraph"/>
        <w:numPr>
          <w:ilvl w:val="0"/>
          <w:numId w:val="280"/>
        </w:numPr>
        <w:jc w:val="both"/>
      </w:pPr>
    </w:p>
    <w:p w14:paraId="6CC10967" w14:textId="77777777" w:rsidR="004B2808" w:rsidRDefault="00000000">
      <w:pPr>
        <w:pStyle w:val="Author-eListParagraph"/>
        <w:numPr>
          <w:ilvl w:val="0"/>
          <w:numId w:val="280"/>
        </w:numPr>
        <w:jc w:val="both"/>
      </w:pPr>
      <w:r>
        <w:t>Liquides et solutions auxquels le produit résiste (voir tableau 34 de la [NIT 237] : </w:t>
      </w:r>
      <w:r>
        <w:rPr>
          <w:rStyle w:val="optioncarChar"/>
        </w:rPr>
        <w:t xml:space="preserve">pas de spécification </w:t>
      </w:r>
      <w:r>
        <w:t>(par défaut)</w:t>
      </w:r>
      <w:r>
        <w:rPr>
          <w:rStyle w:val="optioncarChar"/>
        </w:rPr>
        <w:t> / ***</w:t>
      </w:r>
      <w:r>
        <w:t>.</w:t>
      </w:r>
    </w:p>
    <w:p w14:paraId="4492A1D0" w14:textId="77777777" w:rsidR="004B2808" w:rsidRDefault="00000000">
      <w:pPr>
        <w:pStyle w:val="pheading"/>
      </w:pPr>
      <w:r>
        <w:t>- Notes d’exécution complémentaires</w:t>
      </w:r>
    </w:p>
    <w:p w14:paraId="485689E5" w14:textId="77777777" w:rsidR="004B2808" w:rsidRDefault="00000000">
      <w:pPr>
        <w:jc w:val="both"/>
      </w:pPr>
      <w:r>
        <w:rPr>
          <w:rStyle w:val="facultChar"/>
        </w:rPr>
        <w:t xml:space="preserve">Pour la finition des bords visibles, les carreaux </w:t>
      </w:r>
      <w:r>
        <w:rPr>
          <w:rStyle w:val="optioncarChar"/>
        </w:rPr>
        <w:t>à bords arrondis</w:t>
      </w:r>
      <w:r>
        <w:t xml:space="preserve"> (par défaut) </w:t>
      </w:r>
      <w:r>
        <w:rPr>
          <w:rStyle w:val="optioncarChar"/>
        </w:rPr>
        <w:t>/ de bordure spéciaux / ***</w:t>
      </w:r>
      <w:r>
        <w:rPr>
          <w:rStyle w:val="facultChar"/>
        </w:rPr>
        <w:t> sont utilisés.</w:t>
      </w:r>
    </w:p>
    <w:p w14:paraId="3AF4EE28" w14:textId="77777777" w:rsidR="004B2808" w:rsidRDefault="00000000">
      <w:pPr>
        <w:jc w:val="both"/>
      </w:pPr>
      <w:r>
        <w:rPr>
          <w:rStyle w:val="facultChar"/>
        </w:rPr>
        <w:t>Les </w:t>
      </w:r>
      <w:r>
        <w:rPr>
          <w:rStyle w:val="optioncarChar"/>
        </w:rPr>
        <w:t xml:space="preserve">carreaux décoratifs </w:t>
      </w:r>
      <w:r>
        <w:t>(par défaut) </w:t>
      </w:r>
      <w:r>
        <w:rPr>
          <w:rStyle w:val="optioncarChar"/>
        </w:rPr>
        <w:t>/ bords décoratifs / *** </w:t>
      </w:r>
      <w:r>
        <w:rPr>
          <w:rStyle w:val="facultChar"/>
        </w:rPr>
        <w:t xml:space="preserve"> sont posés conformément aux dessins de détail soumis au maître d’ouvrage.</w:t>
      </w:r>
    </w:p>
    <w:p w14:paraId="616157CF" w14:textId="77777777" w:rsidR="004B2808" w:rsidRDefault="00000000">
      <w:pPr>
        <w:jc w:val="both"/>
      </w:pPr>
      <w:r>
        <w:rPr>
          <w:rStyle w:val="facultChar"/>
        </w:rPr>
        <w:t>Les angles saillants sont réalisés à l'aide de carreaux biseautés ou avec des profils en </w:t>
      </w:r>
      <w:r>
        <w:rPr>
          <w:rStyle w:val="optioncarChar"/>
        </w:rPr>
        <w:t xml:space="preserve">aluminium blanc / matière synthétique </w:t>
      </w:r>
      <w:r>
        <w:t>(par défaut)</w:t>
      </w:r>
      <w:r>
        <w:rPr>
          <w:rStyle w:val="optioncarChar"/>
        </w:rPr>
        <w:t xml:space="preserve"> / ***</w:t>
      </w:r>
      <w:r>
        <w:rPr>
          <w:rStyle w:val="facultChar"/>
        </w:rPr>
        <w:t>.</w:t>
      </w:r>
    </w:p>
    <w:p w14:paraId="6E7293E3" w14:textId="77777777" w:rsidR="004B2808" w:rsidRDefault="00000000">
      <w:pPr>
        <w:jc w:val="both"/>
      </w:pPr>
      <w:r>
        <w:rPr>
          <w:rStyle w:val="facultChar"/>
        </w:rPr>
        <w:t>Les angles rentrants horizontaux et verticaux sont rejointoyés avec des silicones sanitaires </w:t>
      </w:r>
      <w:r>
        <w:rPr>
          <w:rStyle w:val="optioncarChar"/>
        </w:rPr>
        <w:t xml:space="preserve">blancs </w:t>
      </w:r>
      <w:r>
        <w:t xml:space="preserve">(par défaut) </w:t>
      </w:r>
      <w:r>
        <w:rPr>
          <w:rStyle w:val="optioncarChar"/>
        </w:rPr>
        <w:t>/ ***</w:t>
      </w:r>
      <w:r>
        <w:rPr>
          <w:rStyle w:val="facultChar"/>
        </w:rPr>
        <w:t>.</w:t>
      </w:r>
    </w:p>
    <w:p w14:paraId="3CA056B0" w14:textId="77777777" w:rsidR="004B2808" w:rsidRDefault="00000000">
      <w:pPr>
        <w:pStyle w:val="pheading"/>
      </w:pPr>
      <w:r>
        <w:t>DOCUMENTS DE RÉFÉRENCE COMPLÉMENTAIRES</w:t>
      </w:r>
    </w:p>
    <w:p w14:paraId="6E2A7514" w14:textId="77777777" w:rsidR="004B2808" w:rsidRDefault="00000000">
      <w:pPr>
        <w:pStyle w:val="pheading"/>
      </w:pPr>
      <w:r>
        <w:t>- Matériau</w:t>
      </w:r>
    </w:p>
    <w:p w14:paraId="6DDA639E" w14:textId="77777777" w:rsidR="004B2808" w:rsidRDefault="00000000">
      <w:r>
        <w:t>[STS 52.1, Menuiseries extérieures en bois]</w:t>
      </w:r>
    </w:p>
    <w:p w14:paraId="6E2C9F34" w14:textId="77777777" w:rsidR="004B2808" w:rsidRDefault="00000000">
      <w:pPr>
        <w:pStyle w:val="pheading"/>
      </w:pPr>
      <w:r>
        <w:t>MESURAGE</w:t>
      </w:r>
    </w:p>
    <w:p w14:paraId="40E48301" w14:textId="77777777" w:rsidR="004B2808" w:rsidRDefault="00000000">
      <w:pPr>
        <w:pStyle w:val="pheading"/>
      </w:pPr>
      <w:r>
        <w:t>- unité de mesure:</w:t>
      </w:r>
    </w:p>
    <w:p w14:paraId="1982939C" w14:textId="77777777" w:rsidR="004B2808" w:rsidRDefault="00000000">
      <w:r>
        <w:t>m²</w:t>
      </w:r>
    </w:p>
    <w:p w14:paraId="41657DC5" w14:textId="77777777" w:rsidR="004B2808" w:rsidRDefault="00000000">
      <w:pPr>
        <w:pStyle w:val="pheading"/>
      </w:pPr>
      <w:r>
        <w:t>- code de mesurage:</w:t>
      </w:r>
    </w:p>
    <w:p w14:paraId="6D96CDF3" w14:textId="77777777" w:rsidR="004B2808" w:rsidRDefault="00000000">
      <w:pPr>
        <w:jc w:val="both"/>
      </w:pPr>
      <w:r>
        <w:t xml:space="preserve">En fonction de la nature et des dimensions des carrelages, surface nette mesurée. Les dimensions, déduites des plans, sont exprimées dans un multiple de 50 mm, arrondi vers le bas. Les surfaces </w:t>
      </w:r>
      <w:r>
        <w:lastRenderedPageBreak/>
        <w:t>sont mesurées par-dessus les joints et soudures. Les entre-portes carrelés sont également comptés. Les ouvertures et les interruptions supérieures à 0,50 m2 sont déduites.</w:t>
      </w:r>
    </w:p>
    <w:p w14:paraId="4D67C5E2" w14:textId="77777777" w:rsidR="004B2808" w:rsidRDefault="00000000">
      <w:pPr>
        <w:jc w:val="both"/>
      </w:pPr>
      <w:r>
        <w:t>Distinction faite suivant le type de carreaux (neuf et/ou de réemploi). S’il s’agit de réemploi, distinguer  avec ou sans fourniture.</w:t>
      </w:r>
    </w:p>
    <w:p w14:paraId="211F4A71" w14:textId="77777777" w:rsidR="004B2808" w:rsidRDefault="00000000">
      <w:pPr>
        <w:pStyle w:val="pheading"/>
      </w:pPr>
      <w:r>
        <w:t>- nature du marché:</w:t>
      </w:r>
    </w:p>
    <w:p w14:paraId="487794A3" w14:textId="77777777" w:rsidR="004B2808" w:rsidRDefault="00000000">
      <w:r>
        <w:t>QF</w:t>
      </w:r>
    </w:p>
    <w:p w14:paraId="2E8E04E9" w14:textId="77777777" w:rsidR="004B2808" w:rsidRDefault="00000000">
      <w:pPr>
        <w:pStyle w:val="Author-eSectionHeading4Numberless"/>
      </w:pPr>
      <w:bookmarkStart w:id="218" w:name="_Toc220490409"/>
      <w:r>
        <w:t>51.62 Revêtements muraux en carreaux en pierre naturelle CCTB 01.02</w:t>
      </w:r>
      <w:bookmarkEnd w:id="218"/>
    </w:p>
    <w:p w14:paraId="195F345D" w14:textId="77777777" w:rsidR="004B2808" w:rsidRDefault="00000000">
      <w:pPr>
        <w:pStyle w:val="Author-eSectionHeading5Numberless"/>
      </w:pPr>
      <w:bookmarkStart w:id="219" w:name="_Toc220490410"/>
      <w:r>
        <w:t>51.62.1 Revêtements muraux en pierres blanches CCTB 01.02</w:t>
      </w:r>
      <w:bookmarkEnd w:id="219"/>
    </w:p>
    <w:p w14:paraId="7468A5D4" w14:textId="77777777" w:rsidR="004B2808" w:rsidRDefault="00000000">
      <w:pPr>
        <w:pStyle w:val="Author-eSectionHeading6Numberless"/>
      </w:pPr>
      <w:bookmarkStart w:id="220" w:name="_Toc220490411"/>
      <w:r>
        <w:t>51.62.1a Revêtements muraux en pierres blanches CCTB 01.02</w:t>
      </w:r>
      <w:bookmarkEnd w:id="220"/>
    </w:p>
    <w:p w14:paraId="6DAEB23F" w14:textId="77777777" w:rsidR="004B2808" w:rsidRDefault="00000000">
      <w:pPr>
        <w:pStyle w:val="Author-eSectionHeading5Numberless"/>
      </w:pPr>
      <w:bookmarkStart w:id="221" w:name="_Toc220490412"/>
      <w:r>
        <w:t>51.62.2 Revêtements muraux en pierres marbrières CCTB 01.02</w:t>
      </w:r>
      <w:bookmarkEnd w:id="221"/>
    </w:p>
    <w:p w14:paraId="61F8FB05" w14:textId="77777777" w:rsidR="004B2808" w:rsidRDefault="00000000">
      <w:pPr>
        <w:pStyle w:val="Author-eSectionHeading6Numberless"/>
      </w:pPr>
      <w:bookmarkStart w:id="222" w:name="_Toc220490413"/>
      <w:r>
        <w:t>51.62.2a Revêtements muraux en pierres marbrières CCTB 01.02</w:t>
      </w:r>
      <w:bookmarkEnd w:id="222"/>
    </w:p>
    <w:p w14:paraId="27C2CA75" w14:textId="77777777" w:rsidR="004B2808" w:rsidRDefault="00000000">
      <w:pPr>
        <w:pStyle w:val="Author-eSectionHeading5Numberless"/>
      </w:pPr>
      <w:bookmarkStart w:id="223" w:name="_Toc220490414"/>
      <w:r>
        <w:t>51.62.3 Revêtements muraux en marbres CCTB 01.02</w:t>
      </w:r>
      <w:bookmarkEnd w:id="223"/>
    </w:p>
    <w:p w14:paraId="76DDA399" w14:textId="77777777" w:rsidR="004B2808" w:rsidRDefault="00000000">
      <w:pPr>
        <w:pStyle w:val="Author-eSectionHeading6Numberless"/>
      </w:pPr>
      <w:bookmarkStart w:id="224" w:name="_Toc220490415"/>
      <w:r>
        <w:t>51.62.3a Revêtements muraux en marbres CCTB 01.02</w:t>
      </w:r>
      <w:bookmarkEnd w:id="224"/>
    </w:p>
    <w:p w14:paraId="2FDA0E28" w14:textId="77777777" w:rsidR="004B2808" w:rsidRDefault="00000000">
      <w:pPr>
        <w:pStyle w:val="Author-eSectionHeading5Numberless"/>
      </w:pPr>
      <w:bookmarkStart w:id="225" w:name="_Toc220490416"/>
      <w:r>
        <w:t>51.62.4 Revêtements muraux en pierres bleues CCTB 01.02</w:t>
      </w:r>
      <w:bookmarkEnd w:id="225"/>
    </w:p>
    <w:p w14:paraId="5B5DEBD2" w14:textId="77777777" w:rsidR="004B2808" w:rsidRDefault="00000000">
      <w:pPr>
        <w:pStyle w:val="Author-eSectionHeading6Numberless"/>
      </w:pPr>
      <w:bookmarkStart w:id="226" w:name="_Toc220490417"/>
      <w:r>
        <w:t>51.62.4a Revêtements muraux en pierres bleues CCTB 01.02</w:t>
      </w:r>
      <w:bookmarkEnd w:id="226"/>
    </w:p>
    <w:p w14:paraId="3D2CC895" w14:textId="77777777" w:rsidR="004B2808" w:rsidRDefault="00000000">
      <w:pPr>
        <w:pStyle w:val="Author-eSectionHeading5Numberless"/>
      </w:pPr>
      <w:bookmarkStart w:id="227" w:name="_Toc220490418"/>
      <w:r>
        <w:t>51.62.5 Revêtements muraux en granits CCTB 01.02</w:t>
      </w:r>
      <w:bookmarkEnd w:id="227"/>
    </w:p>
    <w:p w14:paraId="7A17C82E" w14:textId="77777777" w:rsidR="004B2808" w:rsidRDefault="00000000">
      <w:pPr>
        <w:pStyle w:val="Author-eSectionHeading6Numberless"/>
      </w:pPr>
      <w:bookmarkStart w:id="228" w:name="_Toc220490419"/>
      <w:r>
        <w:t>51.62.5a Revêtements muraux en granits CCTB 01.02</w:t>
      </w:r>
      <w:bookmarkEnd w:id="228"/>
    </w:p>
    <w:p w14:paraId="7D67748F" w14:textId="77777777" w:rsidR="004B2808" w:rsidRDefault="00000000">
      <w:pPr>
        <w:pStyle w:val="Author-eSectionHeading5Numberless"/>
      </w:pPr>
      <w:bookmarkStart w:id="229" w:name="_Toc220490420"/>
      <w:r>
        <w:t>51.62.6 Revêtements muraux en schistes CCTB 01.02</w:t>
      </w:r>
      <w:bookmarkEnd w:id="229"/>
    </w:p>
    <w:p w14:paraId="04EF88DD" w14:textId="77777777" w:rsidR="004B2808" w:rsidRDefault="00000000">
      <w:pPr>
        <w:pStyle w:val="Author-eSectionHeading6Numberless"/>
      </w:pPr>
      <w:bookmarkStart w:id="230" w:name="_Toc220490421"/>
      <w:r>
        <w:t>51.62.6a Revêtements muraux en schistes CCTB 01.02</w:t>
      </w:r>
      <w:bookmarkEnd w:id="230"/>
    </w:p>
    <w:p w14:paraId="746243F3" w14:textId="77777777" w:rsidR="004B2808" w:rsidRDefault="00000000">
      <w:pPr>
        <w:pStyle w:val="Author-eSectionHeading4Numberless"/>
      </w:pPr>
      <w:bookmarkStart w:id="231" w:name="_Toc220490422"/>
      <w:r>
        <w:t>51.63 Revêtements en carreaux en mosaïque CCTB 01.02</w:t>
      </w:r>
      <w:bookmarkEnd w:id="231"/>
    </w:p>
    <w:p w14:paraId="78D5ADEC" w14:textId="77777777" w:rsidR="004B2808" w:rsidRDefault="00000000">
      <w:pPr>
        <w:pStyle w:val="Author-eSectionHeading5Numberless"/>
      </w:pPr>
      <w:bookmarkStart w:id="232" w:name="1274"/>
      <w:bookmarkStart w:id="233" w:name="_Toc220490423"/>
      <w:bookmarkEnd w:id="232"/>
      <w:r>
        <w:t>51.63.1 Revêtements en carreaux en mosaïque de verre CCTB 01.02</w:t>
      </w:r>
      <w:bookmarkEnd w:id="233"/>
    </w:p>
    <w:p w14:paraId="387E1F43" w14:textId="77777777" w:rsidR="004B2808" w:rsidRDefault="00000000">
      <w:pPr>
        <w:pStyle w:val="Author-eSectionHeading6Numberless"/>
      </w:pPr>
      <w:bookmarkStart w:id="234" w:name="_Toc220490424"/>
      <w:r>
        <w:t>51.63.1a Revêtements en carreaux en mosaïque de verre CCTB 01.02</w:t>
      </w:r>
      <w:bookmarkEnd w:id="234"/>
    </w:p>
    <w:p w14:paraId="59820FCD" w14:textId="77777777" w:rsidR="004B2808" w:rsidRDefault="00000000">
      <w:pPr>
        <w:pStyle w:val="Author-eSectionHeading5Numberless"/>
      </w:pPr>
      <w:bookmarkStart w:id="235" w:name="_Toc220490425"/>
      <w:r>
        <w:t>51.63.2 Revêtements en carreaux en mosaïque de céramique CCTB 01.02</w:t>
      </w:r>
      <w:bookmarkEnd w:id="235"/>
    </w:p>
    <w:p w14:paraId="6DA509BB" w14:textId="77777777" w:rsidR="004B2808" w:rsidRDefault="00000000">
      <w:pPr>
        <w:pStyle w:val="Author-eSectionHeading6Numberless"/>
      </w:pPr>
      <w:bookmarkStart w:id="236" w:name="_Toc220490426"/>
      <w:r>
        <w:t>51.63.2a Revêtements en carreaux en mosaïque de céramique CCTB 01.02</w:t>
      </w:r>
      <w:bookmarkEnd w:id="236"/>
    </w:p>
    <w:p w14:paraId="6F73381A" w14:textId="77777777" w:rsidR="004B2808" w:rsidRDefault="00000000">
      <w:pPr>
        <w:pStyle w:val="Author-eSectionHeading5Numberless"/>
      </w:pPr>
      <w:bookmarkStart w:id="237" w:name="_Toc220490427"/>
      <w:r>
        <w:t>51.63.3 Revêtements en carreaux en mosaïque de galets CCTB 01.02</w:t>
      </w:r>
      <w:bookmarkEnd w:id="237"/>
    </w:p>
    <w:p w14:paraId="323C3050" w14:textId="77777777" w:rsidR="004B2808" w:rsidRDefault="00000000">
      <w:pPr>
        <w:pStyle w:val="Author-eSectionHeading6Numberless"/>
      </w:pPr>
      <w:bookmarkStart w:id="238" w:name="_Toc220490428"/>
      <w:r>
        <w:t>51.63.3a Revêtements en carreaux en mosaïque de galets CCTB 01.02</w:t>
      </w:r>
      <w:bookmarkEnd w:id="238"/>
    </w:p>
    <w:p w14:paraId="4A163212" w14:textId="77777777" w:rsidR="004B2808" w:rsidRDefault="00000000">
      <w:pPr>
        <w:pStyle w:val="Author-eSectionHeading4Numberless"/>
      </w:pPr>
      <w:bookmarkStart w:id="239" w:name="_Toc220490429"/>
      <w:r>
        <w:t>51.64 Revêtements en carreaux à base de liants CCTB 01.02</w:t>
      </w:r>
      <w:bookmarkEnd w:id="239"/>
    </w:p>
    <w:p w14:paraId="508BC18B" w14:textId="77777777" w:rsidR="004B2808" w:rsidRDefault="00000000">
      <w:pPr>
        <w:pStyle w:val="Author-eSectionHeading5Numberless"/>
      </w:pPr>
      <w:bookmarkStart w:id="240" w:name="_Toc220490430"/>
      <w:r>
        <w:t>51.64.1 Revêtements en carreaux à base de liants hydrauliques CCTB 01.02</w:t>
      </w:r>
      <w:bookmarkEnd w:id="240"/>
    </w:p>
    <w:p w14:paraId="1C8CC5A5" w14:textId="77777777" w:rsidR="004B2808" w:rsidRDefault="00000000">
      <w:pPr>
        <w:pStyle w:val="Author-eSectionHeading6Numberless"/>
      </w:pPr>
      <w:bookmarkStart w:id="241" w:name="_Toc220490431"/>
      <w:r>
        <w:t>51.64.1a Revêtements en carreaux à base de liants hydrauliques CCTB 01.02</w:t>
      </w:r>
      <w:bookmarkEnd w:id="241"/>
    </w:p>
    <w:p w14:paraId="5F86FDBE" w14:textId="77777777" w:rsidR="004B2808" w:rsidRDefault="00000000">
      <w:pPr>
        <w:pStyle w:val="Author-eSectionHeading5Numberless"/>
      </w:pPr>
      <w:bookmarkStart w:id="242" w:name="_Toc220490432"/>
      <w:r>
        <w:t>51.64.2 Revêtements en carreaux à base de liants résineux CCTB 01.02</w:t>
      </w:r>
      <w:bookmarkEnd w:id="242"/>
    </w:p>
    <w:p w14:paraId="58C141B5" w14:textId="77777777" w:rsidR="004B2808" w:rsidRDefault="00000000">
      <w:pPr>
        <w:pStyle w:val="Author-eSectionHeading6Numberless"/>
      </w:pPr>
      <w:bookmarkStart w:id="243" w:name="_Toc220490433"/>
      <w:r>
        <w:t>51.64.2a Revêtements en carreaux à base de liants résineux CCTB 01.02</w:t>
      </w:r>
      <w:bookmarkEnd w:id="243"/>
    </w:p>
    <w:p w14:paraId="090294E0" w14:textId="77777777" w:rsidR="004B2808" w:rsidRDefault="00000000">
      <w:pPr>
        <w:pStyle w:val="Author-eSectionHeading4Numberless"/>
      </w:pPr>
      <w:bookmarkStart w:id="244" w:name="_Toc220490434"/>
      <w:r>
        <w:lastRenderedPageBreak/>
        <w:t>51.65 Revêtements muraux métalliques CCTB 01.02</w:t>
      </w:r>
      <w:bookmarkEnd w:id="244"/>
    </w:p>
    <w:p w14:paraId="4315F9DD" w14:textId="77777777" w:rsidR="004B2808" w:rsidRDefault="00000000">
      <w:pPr>
        <w:pStyle w:val="Author-eSectionHeading5Numberless"/>
      </w:pPr>
      <w:bookmarkStart w:id="245" w:name="62"/>
      <w:bookmarkStart w:id="246" w:name="_Toc220490435"/>
      <w:bookmarkEnd w:id="245"/>
      <w:r>
        <w:t>51.65.1 Revêtements muraux en acier CCTB 01.02</w:t>
      </w:r>
      <w:bookmarkEnd w:id="246"/>
    </w:p>
    <w:p w14:paraId="3D1F7EBC" w14:textId="77777777" w:rsidR="004B2808" w:rsidRDefault="00000000">
      <w:pPr>
        <w:pStyle w:val="Author-eSectionHeading6Numberless"/>
      </w:pPr>
      <w:bookmarkStart w:id="247" w:name="_Toc220490436"/>
      <w:r>
        <w:t>51.65.1a Revêtements muraux en acier CCTB 01.02</w:t>
      </w:r>
      <w:bookmarkEnd w:id="247"/>
    </w:p>
    <w:p w14:paraId="7C4DB7E7" w14:textId="77777777" w:rsidR="004B2808" w:rsidRDefault="00000000">
      <w:pPr>
        <w:pStyle w:val="Author-eSectionHeading6Numberless"/>
      </w:pPr>
      <w:bookmarkStart w:id="248" w:name="_Toc220490437"/>
      <w:r>
        <w:t>51.65.1b Revêtements muraux en acier galvanisé CCTB 01.02</w:t>
      </w:r>
      <w:bookmarkEnd w:id="248"/>
    </w:p>
    <w:p w14:paraId="4C950F4E" w14:textId="77777777" w:rsidR="004B2808" w:rsidRDefault="00000000">
      <w:pPr>
        <w:pStyle w:val="Author-eSectionHeading6Numberless"/>
      </w:pPr>
      <w:bookmarkStart w:id="249" w:name="_Toc220490438"/>
      <w:r>
        <w:t>51.65.1c Revêtements muraux en acier inoxydable CCTB 01.02</w:t>
      </w:r>
      <w:bookmarkEnd w:id="249"/>
    </w:p>
    <w:p w14:paraId="0D78FCE1" w14:textId="77777777" w:rsidR="004B2808" w:rsidRDefault="00000000">
      <w:pPr>
        <w:pStyle w:val="Author-eSectionHeading5Numberless"/>
      </w:pPr>
      <w:bookmarkStart w:id="250" w:name="_Toc220490439"/>
      <w:r>
        <w:t>51.65.2 Revêtements muraux en aluminium CCTB 01.02</w:t>
      </w:r>
      <w:bookmarkEnd w:id="250"/>
    </w:p>
    <w:p w14:paraId="7589F989" w14:textId="77777777" w:rsidR="004B2808" w:rsidRDefault="00000000">
      <w:pPr>
        <w:pStyle w:val="Author-eSectionHeading6Numberless"/>
      </w:pPr>
      <w:bookmarkStart w:id="251" w:name="_Toc220490440"/>
      <w:r>
        <w:t>51.65.2a Revêtements muraux en aluminium CCTB 01.02</w:t>
      </w:r>
      <w:bookmarkEnd w:id="251"/>
    </w:p>
    <w:p w14:paraId="4936E6A5" w14:textId="77777777" w:rsidR="004B2808" w:rsidRDefault="00000000">
      <w:pPr>
        <w:pStyle w:val="Author-eSectionHeading5Numberless"/>
      </w:pPr>
      <w:bookmarkStart w:id="252" w:name="_Toc220490441"/>
      <w:r>
        <w:t>51.65.3 Revêtements muraux en cuivre CCTB 01.02</w:t>
      </w:r>
      <w:bookmarkEnd w:id="252"/>
    </w:p>
    <w:p w14:paraId="5A3B14BE" w14:textId="77777777" w:rsidR="004B2808" w:rsidRDefault="00000000">
      <w:pPr>
        <w:pStyle w:val="Author-eSectionHeading6Numberless"/>
      </w:pPr>
      <w:bookmarkStart w:id="253" w:name="_Toc220490442"/>
      <w:r>
        <w:t>51.65.3a Revêtements muraux en cuivre CCTB 01.02</w:t>
      </w:r>
      <w:bookmarkEnd w:id="253"/>
    </w:p>
    <w:p w14:paraId="27979DD5" w14:textId="77777777" w:rsidR="004B2808" w:rsidRDefault="00000000">
      <w:pPr>
        <w:pStyle w:val="Author-eSectionHeading4Numberless"/>
      </w:pPr>
      <w:bookmarkStart w:id="254" w:name="_Toc220490443"/>
      <w:r>
        <w:t>51.66 Revêtements muraux en verre CCTB 01.02</w:t>
      </w:r>
      <w:bookmarkEnd w:id="254"/>
    </w:p>
    <w:p w14:paraId="7E8EC1ED" w14:textId="77777777" w:rsidR="004B2808" w:rsidRDefault="00000000">
      <w:pPr>
        <w:pStyle w:val="Author-eSectionHeading5Numberless"/>
      </w:pPr>
      <w:bookmarkStart w:id="255" w:name="_Toc220490444"/>
      <w:r>
        <w:t>51.66.1 Revêtements muraux en verre CCTB 01.02</w:t>
      </w:r>
      <w:bookmarkEnd w:id="255"/>
    </w:p>
    <w:p w14:paraId="45B2A13A" w14:textId="77777777" w:rsidR="004B2808" w:rsidRDefault="00000000">
      <w:pPr>
        <w:pStyle w:val="Author-eSectionHeading6Numberless"/>
      </w:pPr>
      <w:bookmarkStart w:id="256" w:name="_Toc220490445"/>
      <w:r>
        <w:t>51.66.1a Revêtements muraux en verre CCTB 01.02</w:t>
      </w:r>
      <w:bookmarkEnd w:id="256"/>
    </w:p>
    <w:p w14:paraId="70DFF8EC" w14:textId="77777777" w:rsidR="004B2808" w:rsidRDefault="00000000">
      <w:pPr>
        <w:pStyle w:val="Author-eSectionHeading4Numberless"/>
      </w:pPr>
      <w:bookmarkStart w:id="257" w:name="_Toc220490446"/>
      <w:r>
        <w:t>51.67 Revêtements muraux souples / semi-souples CCTB 01.11</w:t>
      </w:r>
      <w:bookmarkEnd w:id="257"/>
    </w:p>
    <w:p w14:paraId="5B5D612E" w14:textId="77777777" w:rsidR="004B2808" w:rsidRDefault="00000000">
      <w:pPr>
        <w:pStyle w:val="pheading"/>
      </w:pPr>
      <w:r>
        <w:t>DESCRIPTION</w:t>
      </w:r>
    </w:p>
    <w:p w14:paraId="28660DD6" w14:textId="77777777" w:rsidR="004B2808" w:rsidRDefault="00000000">
      <w:pPr>
        <w:pStyle w:val="pheading"/>
      </w:pPr>
      <w:r>
        <w:t>- Définition / Comprend</w:t>
      </w:r>
    </w:p>
    <w:p w14:paraId="6E2D8256" w14:textId="77777777" w:rsidR="004B2808" w:rsidRDefault="00000000">
      <w:pPr>
        <w:jc w:val="both"/>
      </w:pPr>
      <w:r>
        <w:t>Renvoi aux 81.12.7 Revêtements muraux souples (en papier peint, vinylique) et 81.12.8 Revêtements muraux souples en textile, non tissé ou tissé</w:t>
      </w:r>
    </w:p>
    <w:p w14:paraId="62EE14E7" w14:textId="77777777" w:rsidR="004B2808" w:rsidRDefault="00000000">
      <w:pPr>
        <w:jc w:val="both"/>
      </w:pPr>
      <w:r>
        <w:t>L’entrepreneur effectue une reconnaissance du support pour établir son offre.</w:t>
      </w:r>
    </w:p>
    <w:p w14:paraId="62A4BEE7" w14:textId="77777777" w:rsidR="004B2808" w:rsidRDefault="00000000">
      <w:pPr>
        <w:jc w:val="both"/>
      </w:pPr>
      <w:r>
        <w:t xml:space="preserve"> Cette dernière tient notamment compte de l’état apparent des surfaces à recouvrir, de tout ce qui nécessaire à leurs préparations et des conditions de travail.</w:t>
      </w:r>
    </w:p>
    <w:p w14:paraId="653C8DB7" w14:textId="77777777" w:rsidR="004B2808" w:rsidRDefault="00000000">
      <w:pPr>
        <w:jc w:val="both"/>
      </w:pPr>
      <w:r>
        <w:t>Le travail comprend notamment :</w:t>
      </w:r>
    </w:p>
    <w:p w14:paraId="5F15919A" w14:textId="77777777" w:rsidR="004B2808" w:rsidRDefault="00000000">
      <w:pPr>
        <w:pStyle w:val="Author-eListParagraph"/>
        <w:numPr>
          <w:ilvl w:val="0"/>
          <w:numId w:val="281"/>
        </w:numPr>
        <w:jc w:val="both"/>
      </w:pPr>
      <w:r>
        <w:t xml:space="preserve">les prestations et travaux préparatoires dont : </w:t>
      </w:r>
    </w:p>
    <w:p w14:paraId="597F9EE7" w14:textId="77777777" w:rsidR="004B2808" w:rsidRDefault="00000000">
      <w:pPr>
        <w:pStyle w:val="Author-eListParagraph"/>
        <w:numPr>
          <w:ilvl w:val="1"/>
          <w:numId w:val="282"/>
        </w:numPr>
        <w:jc w:val="both"/>
      </w:pPr>
      <w:r>
        <w:t>la prise des mesures in situ</w:t>
      </w:r>
    </w:p>
    <w:p w14:paraId="0FFFFB95" w14:textId="77777777" w:rsidR="004B2808" w:rsidRDefault="00000000">
      <w:pPr>
        <w:pStyle w:val="Author-eListParagraph"/>
        <w:numPr>
          <w:ilvl w:val="1"/>
          <w:numId w:val="282"/>
        </w:numPr>
        <w:jc w:val="both"/>
      </w:pPr>
      <w:r>
        <w:t>la vérification du support (planéité, aplomb, équerrage, …)</w:t>
      </w:r>
    </w:p>
    <w:p w14:paraId="6A6339AD" w14:textId="77777777" w:rsidR="004B2808" w:rsidRDefault="00000000">
      <w:pPr>
        <w:pStyle w:val="Author-eListParagraph"/>
        <w:numPr>
          <w:ilvl w:val="0"/>
          <w:numId w:val="281"/>
        </w:numPr>
        <w:jc w:val="both"/>
      </w:pPr>
      <w:r>
        <w:t>les mesures de sécurité ;</w:t>
      </w:r>
    </w:p>
    <w:p w14:paraId="7BA884AD" w14:textId="77777777" w:rsidR="004B2808" w:rsidRDefault="00000000">
      <w:pPr>
        <w:pStyle w:val="Author-eListParagraph"/>
        <w:numPr>
          <w:ilvl w:val="0"/>
          <w:numId w:val="281"/>
        </w:numPr>
        <w:jc w:val="both"/>
      </w:pPr>
      <w:r>
        <w:t>les moyens d’accès (échafaudages, …) ;</w:t>
      </w:r>
    </w:p>
    <w:p w14:paraId="0AF6D118" w14:textId="77777777" w:rsidR="004B2808" w:rsidRDefault="00000000">
      <w:pPr>
        <w:pStyle w:val="Author-eListParagraph"/>
        <w:numPr>
          <w:ilvl w:val="0"/>
          <w:numId w:val="281"/>
        </w:numPr>
        <w:jc w:val="both"/>
      </w:pPr>
      <w:r>
        <w:t>les moyens de manutention ;</w:t>
      </w:r>
    </w:p>
    <w:p w14:paraId="39C03D17" w14:textId="77777777" w:rsidR="004B2808" w:rsidRDefault="00000000">
      <w:pPr>
        <w:pStyle w:val="Author-eListParagraph"/>
        <w:numPr>
          <w:ilvl w:val="0"/>
          <w:numId w:val="281"/>
        </w:numPr>
        <w:jc w:val="both"/>
      </w:pPr>
      <w:r>
        <w:t>les moyens de protection du bâtiment ;</w:t>
      </w:r>
    </w:p>
    <w:p w14:paraId="1EF47E1D" w14:textId="77777777" w:rsidR="004B2808" w:rsidRDefault="00000000">
      <w:pPr>
        <w:pStyle w:val="Author-eListParagraph"/>
        <w:numPr>
          <w:ilvl w:val="0"/>
          <w:numId w:val="281"/>
        </w:numPr>
        <w:jc w:val="both"/>
      </w:pPr>
      <w:r>
        <w:t>l’entretien des moyens cités ci-avant et leur enlèvement complet en fin de chantier ;</w:t>
      </w:r>
    </w:p>
    <w:p w14:paraId="2496E173" w14:textId="77777777" w:rsidR="004B2808" w:rsidRDefault="00000000">
      <w:pPr>
        <w:pStyle w:val="Author-eListParagraph"/>
        <w:numPr>
          <w:ilvl w:val="0"/>
          <w:numId w:val="281"/>
        </w:numPr>
        <w:jc w:val="both"/>
      </w:pPr>
      <w:r>
        <w:t>la coordination avec les différents intervenants ;</w:t>
      </w:r>
    </w:p>
    <w:p w14:paraId="4B53B41F" w14:textId="77777777" w:rsidR="004B2808" w:rsidRDefault="00000000">
      <w:pPr>
        <w:pStyle w:val="Author-eListParagraph"/>
        <w:numPr>
          <w:ilvl w:val="0"/>
          <w:numId w:val="281"/>
        </w:numPr>
        <w:jc w:val="both"/>
      </w:pPr>
      <w:r>
        <w:t>les mesures de température et d’humidité de l’air et leur vérification ;</w:t>
      </w:r>
    </w:p>
    <w:p w14:paraId="6531DDB4" w14:textId="77777777" w:rsidR="004B2808" w:rsidRDefault="00000000">
      <w:pPr>
        <w:pStyle w:val="Author-eListParagraph"/>
        <w:numPr>
          <w:ilvl w:val="0"/>
          <w:numId w:val="281"/>
        </w:numPr>
        <w:jc w:val="both"/>
      </w:pPr>
      <w:r>
        <w:t>la préparation des surfaces selon les indications ci-après ;</w:t>
      </w:r>
    </w:p>
    <w:p w14:paraId="4513376E" w14:textId="77777777" w:rsidR="004B2808" w:rsidRDefault="00000000">
      <w:pPr>
        <w:pStyle w:val="Author-eListParagraph"/>
        <w:numPr>
          <w:ilvl w:val="0"/>
          <w:numId w:val="281"/>
        </w:numPr>
        <w:jc w:val="both"/>
      </w:pPr>
      <w:r>
        <w:t>la fourniture et la mise en œuvre des revêtements et accessoires ;</w:t>
      </w:r>
    </w:p>
    <w:p w14:paraId="0D42462A" w14:textId="77777777" w:rsidR="004B2808" w:rsidRDefault="00000000">
      <w:pPr>
        <w:pStyle w:val="Author-eListParagraph"/>
        <w:numPr>
          <w:ilvl w:val="0"/>
          <w:numId w:val="281"/>
        </w:numPr>
        <w:jc w:val="both"/>
      </w:pPr>
      <w:r>
        <w:t>la collecte, le tri et l’évacuation des déchets ;</w:t>
      </w:r>
    </w:p>
    <w:p w14:paraId="428A6C82" w14:textId="77777777" w:rsidR="004B2808" w:rsidRDefault="00000000">
      <w:pPr>
        <w:pStyle w:val="Author-eListParagraph"/>
        <w:numPr>
          <w:ilvl w:val="0"/>
          <w:numId w:val="281"/>
        </w:numPr>
        <w:jc w:val="both"/>
      </w:pPr>
      <w:r>
        <w:t>le nettoyage en fin de chantier ;</w:t>
      </w:r>
    </w:p>
    <w:p w14:paraId="53719A5B" w14:textId="77777777" w:rsidR="004B2808" w:rsidRDefault="00000000">
      <w:pPr>
        <w:pStyle w:val="Author-eListParagraph"/>
        <w:numPr>
          <w:ilvl w:val="0"/>
          <w:numId w:val="281"/>
        </w:numPr>
        <w:jc w:val="both"/>
      </w:pPr>
      <w:r>
        <w:t>l’entrepreneur traite et évacue, en dehors du chantier, les déchets issus des travaux conformément au 07 Déchets, matériaux et éléments réemployables et suivants.</w:t>
      </w:r>
    </w:p>
    <w:p w14:paraId="483B7AD0" w14:textId="77777777" w:rsidR="004B2808" w:rsidRDefault="00000000">
      <w:pPr>
        <w:pStyle w:val="pheading"/>
      </w:pPr>
      <w:r>
        <w:t>EXÉCUTION / MISE EN ŒUVRE</w:t>
      </w:r>
    </w:p>
    <w:p w14:paraId="2CE34AAA" w14:textId="77777777" w:rsidR="004B2808" w:rsidRDefault="00000000">
      <w:pPr>
        <w:jc w:val="both"/>
      </w:pPr>
      <w:r>
        <w:rPr>
          <w:b/>
        </w:rPr>
        <w:t>Etude préparatoire – Etat des surfaces</w:t>
      </w:r>
    </w:p>
    <w:p w14:paraId="26B43214" w14:textId="77777777" w:rsidR="004B2808" w:rsidRDefault="00000000">
      <w:pPr>
        <w:jc w:val="both"/>
      </w:pPr>
      <w:r>
        <w:t>Avant le début des travaux, l’entrepreneur vérifie minutieusement les différentes caractéristiques : planéité, aplomb, équerrage, état général, …</w:t>
      </w:r>
    </w:p>
    <w:p w14:paraId="69F1E654" w14:textId="77777777" w:rsidR="004B2808" w:rsidRDefault="00000000">
      <w:pPr>
        <w:jc w:val="both"/>
      </w:pPr>
      <w:r>
        <w:lastRenderedPageBreak/>
        <w:t>Si les conditions de mise en œuvre ne répondent aux règles de l’art, l’entrepreneur fait rapport à la direction des travaux. Les mesures appropriées sont définies en accord avec les différents intervenants.</w:t>
      </w:r>
    </w:p>
    <w:p w14:paraId="001E2625" w14:textId="77777777" w:rsidR="004B2808" w:rsidRDefault="00000000">
      <w:pPr>
        <w:jc w:val="both"/>
      </w:pPr>
      <w:r>
        <w:t>Un devis séparé est soumis à la direction des travaux uniquement si l’état général des surfaces le justifie et si les caractéristiques inappropriées de celles-ci ne pouvaient pas être connues avant la remise de l’offre.</w:t>
      </w:r>
    </w:p>
    <w:p w14:paraId="1FAA1610" w14:textId="77777777" w:rsidR="004B2808" w:rsidRDefault="00000000">
      <w:pPr>
        <w:jc w:val="both"/>
      </w:pPr>
      <w:r>
        <w:t xml:space="preserve"> L’approbation préalable de ce devis par la direction des travaux est indispensable à une adaptation de l’offre.</w:t>
      </w:r>
    </w:p>
    <w:p w14:paraId="5B1D1544" w14:textId="77777777" w:rsidR="004B2808" w:rsidRDefault="00000000">
      <w:pPr>
        <w:pStyle w:val="Author-eSectionHeading5Numberless"/>
      </w:pPr>
      <w:bookmarkStart w:id="258" w:name="_Toc220490447"/>
      <w:r>
        <w:t>51.67.1 Revêtements muraux souples à peindre CCTB 01.02</w:t>
      </w:r>
      <w:bookmarkEnd w:id="258"/>
    </w:p>
    <w:p w14:paraId="05C5B570" w14:textId="77777777" w:rsidR="004B2808" w:rsidRDefault="00000000">
      <w:pPr>
        <w:pStyle w:val="Author-eSectionHeading6Numberless"/>
      </w:pPr>
      <w:bookmarkStart w:id="259" w:name="_Toc220490448"/>
      <w:r>
        <w:t>51.67.1a Revêtements muraux souples en papier à peindre CCTB 01.02</w:t>
      </w:r>
      <w:bookmarkEnd w:id="259"/>
    </w:p>
    <w:p w14:paraId="0CCE341A" w14:textId="77777777" w:rsidR="004B2808" w:rsidRDefault="00000000">
      <w:pPr>
        <w:pStyle w:val="Author-eSectionHeading6Numberless"/>
      </w:pPr>
      <w:bookmarkStart w:id="260" w:name="_Toc220490449"/>
      <w:r>
        <w:t>51.67.1b Revêtements muraux souples en toile de fibres de verre à peindre CCTB 01.02</w:t>
      </w:r>
      <w:bookmarkEnd w:id="260"/>
    </w:p>
    <w:p w14:paraId="5DB17594" w14:textId="77777777" w:rsidR="004B2808" w:rsidRDefault="00000000">
      <w:pPr>
        <w:pStyle w:val="Author-eSectionHeading5Numberless"/>
      </w:pPr>
      <w:bookmarkStart w:id="261" w:name="_Toc220490450"/>
      <w:r>
        <w:t>51.67.2 Revêtements muraux souples en papier peint CCTB 01.07</w:t>
      </w:r>
      <w:bookmarkEnd w:id="261"/>
    </w:p>
    <w:p w14:paraId="7BF88814" w14:textId="77777777" w:rsidR="004B2808" w:rsidRDefault="00000000">
      <w:pPr>
        <w:pStyle w:val="pheading"/>
      </w:pPr>
      <w:r>
        <w:t>DESCRIPTION</w:t>
      </w:r>
    </w:p>
    <w:p w14:paraId="088954E4" w14:textId="77777777" w:rsidR="004B2808" w:rsidRDefault="00000000">
      <w:pPr>
        <w:pStyle w:val="pheading"/>
      </w:pPr>
      <w:r>
        <w:t>- Définition / Comprend</w:t>
      </w:r>
    </w:p>
    <w:p w14:paraId="178A586B" w14:textId="77777777" w:rsidR="004B2808" w:rsidRDefault="00000000">
      <w:r>
        <w:t>Renvoi au § 81.12.7 Revêtements muraux souples (en papier peint, vinylique)</w:t>
      </w:r>
    </w:p>
    <w:p w14:paraId="316EAD14" w14:textId="77777777" w:rsidR="004B2808" w:rsidRDefault="00000000">
      <w:pPr>
        <w:pStyle w:val="Author-eSectionHeading6Numberless"/>
      </w:pPr>
      <w:bookmarkStart w:id="262" w:name="_Toc220490451"/>
      <w:r>
        <w:t>51.67.2a Revêtements muraux souples en papier peint décoré CCTB 01.02</w:t>
      </w:r>
      <w:bookmarkEnd w:id="262"/>
    </w:p>
    <w:p w14:paraId="7DF2B88C" w14:textId="77777777" w:rsidR="004B2808" w:rsidRDefault="00000000">
      <w:pPr>
        <w:pStyle w:val="Author-eSectionHeading6Numberless"/>
      </w:pPr>
      <w:bookmarkStart w:id="263" w:name="_Toc220490452"/>
      <w:r>
        <w:t>51.67.2b Revêtements muraux souples en papier vinylique CCTB 01.02</w:t>
      </w:r>
      <w:bookmarkEnd w:id="263"/>
    </w:p>
    <w:p w14:paraId="639EBC5B" w14:textId="77777777" w:rsidR="004B2808" w:rsidRDefault="00000000">
      <w:pPr>
        <w:pStyle w:val="Author-eSectionHeading6Numberless"/>
      </w:pPr>
      <w:bookmarkStart w:id="264" w:name="_Toc220490453"/>
      <w:r>
        <w:t>51.67.2c Revêtements muraux souples en papier vinylique expansé en relief CCTB 01.02</w:t>
      </w:r>
      <w:bookmarkEnd w:id="264"/>
    </w:p>
    <w:p w14:paraId="5BACE5AB" w14:textId="77777777" w:rsidR="004B2808" w:rsidRDefault="00000000">
      <w:pPr>
        <w:pStyle w:val="Author-eSectionHeading5Numberless"/>
      </w:pPr>
      <w:bookmarkStart w:id="265" w:name="_Toc220490454"/>
      <w:r>
        <w:t>51.67.3 Revêtements muraux souples vinyliques  CCTB 01.07</w:t>
      </w:r>
      <w:bookmarkEnd w:id="265"/>
    </w:p>
    <w:p w14:paraId="12F3BF92" w14:textId="77777777" w:rsidR="004B2808" w:rsidRDefault="00000000">
      <w:pPr>
        <w:pStyle w:val="pheading"/>
      </w:pPr>
      <w:r>
        <w:t>DESCRIPTION</w:t>
      </w:r>
    </w:p>
    <w:p w14:paraId="2C08ED7A" w14:textId="77777777" w:rsidR="004B2808" w:rsidRDefault="00000000">
      <w:pPr>
        <w:pStyle w:val="pheading"/>
      </w:pPr>
      <w:r>
        <w:t>- Définition / Comprend</w:t>
      </w:r>
    </w:p>
    <w:p w14:paraId="6D8B25F4" w14:textId="77777777" w:rsidR="004B2808" w:rsidRDefault="00000000">
      <w:r>
        <w:t>Renvoi au § 81.12.7 Revêtements muraux souples (en papier peint, vinylique)</w:t>
      </w:r>
    </w:p>
    <w:p w14:paraId="0E3BEA2B" w14:textId="77777777" w:rsidR="004B2808" w:rsidRDefault="00000000">
      <w:pPr>
        <w:pStyle w:val="Author-eSectionHeading6Numberless"/>
      </w:pPr>
      <w:bookmarkStart w:id="266" w:name="_Toc220490455"/>
      <w:r>
        <w:t>51.67.3a Revêtements muraux souples vinyliques sur textile CCTB 01.02</w:t>
      </w:r>
      <w:bookmarkEnd w:id="266"/>
    </w:p>
    <w:p w14:paraId="2B933616" w14:textId="77777777" w:rsidR="004B2808" w:rsidRDefault="00000000">
      <w:pPr>
        <w:pStyle w:val="Author-eSectionHeading6Numberless"/>
      </w:pPr>
      <w:bookmarkStart w:id="267" w:name="_Toc220490456"/>
      <w:r>
        <w:t>51.67.3b Revêtements muraux souples vinyliques avec couche de protection sur textile CCTB 01.02</w:t>
      </w:r>
      <w:bookmarkEnd w:id="267"/>
    </w:p>
    <w:p w14:paraId="498EA1E3" w14:textId="77777777" w:rsidR="004B2808" w:rsidRDefault="00000000">
      <w:pPr>
        <w:pStyle w:val="Author-eSectionHeading6Numberless"/>
      </w:pPr>
      <w:bookmarkStart w:id="268" w:name="_Toc220490457"/>
      <w:r>
        <w:t>51.67.3c Revêtements muraux souples vinyliques avec motif sur textile CCTB 01.02</w:t>
      </w:r>
      <w:bookmarkEnd w:id="268"/>
    </w:p>
    <w:p w14:paraId="7FE56EA2" w14:textId="77777777" w:rsidR="004B2808" w:rsidRDefault="00000000">
      <w:pPr>
        <w:pStyle w:val="Author-eSectionHeading6Numberless"/>
      </w:pPr>
      <w:bookmarkStart w:id="269" w:name="_Toc220490458"/>
      <w:r>
        <w:t>51.67.3d Revêtements muraux souples vinyliques lourd sur textile CCTB 01.02</w:t>
      </w:r>
      <w:bookmarkEnd w:id="269"/>
    </w:p>
    <w:p w14:paraId="1FD22FA5" w14:textId="77777777" w:rsidR="004B2808" w:rsidRDefault="00000000">
      <w:pPr>
        <w:pStyle w:val="Author-eSectionHeading6Numberless"/>
      </w:pPr>
      <w:bookmarkStart w:id="270" w:name="_Toc220490459"/>
      <w:r>
        <w:t>51.67.3e Revêtements muraux souples vinyliques avec support de mousse CCTB 01.02</w:t>
      </w:r>
      <w:bookmarkEnd w:id="270"/>
    </w:p>
    <w:p w14:paraId="5D7A8AE8" w14:textId="77777777" w:rsidR="004B2808" w:rsidRDefault="00000000">
      <w:pPr>
        <w:pStyle w:val="Author-eSectionHeading5Numberless"/>
      </w:pPr>
      <w:bookmarkStart w:id="271" w:name="_Toc220490460"/>
      <w:r>
        <w:t>51.67.4 Revêtements muraux souples en textile non tissé  CCTB 01.07</w:t>
      </w:r>
      <w:bookmarkEnd w:id="271"/>
    </w:p>
    <w:p w14:paraId="412FC870" w14:textId="77777777" w:rsidR="004B2808" w:rsidRDefault="00000000">
      <w:pPr>
        <w:pStyle w:val="pheading"/>
      </w:pPr>
      <w:r>
        <w:t>DESCRIPTION</w:t>
      </w:r>
    </w:p>
    <w:p w14:paraId="61294894" w14:textId="77777777" w:rsidR="004B2808" w:rsidRDefault="00000000">
      <w:pPr>
        <w:pStyle w:val="pheading"/>
      </w:pPr>
      <w:r>
        <w:t>- Définition / Comprend</w:t>
      </w:r>
    </w:p>
    <w:p w14:paraId="07D23215" w14:textId="77777777" w:rsidR="004B2808" w:rsidRDefault="00000000">
      <w:r>
        <w:t>Renvoi au § 81.12.8 Revêtements muraux souples en textile, non tissé ou tissé</w:t>
      </w:r>
    </w:p>
    <w:p w14:paraId="25D7FAB7" w14:textId="77777777" w:rsidR="004B2808" w:rsidRDefault="00000000">
      <w:pPr>
        <w:pStyle w:val="Author-eSectionHeading6Numberless"/>
      </w:pPr>
      <w:bookmarkStart w:id="272" w:name="_Toc220490461"/>
      <w:r>
        <w:t>51.67.4a Revêtements muraux souples en textile non tissé de coton CCTB 01.02</w:t>
      </w:r>
      <w:bookmarkEnd w:id="272"/>
    </w:p>
    <w:p w14:paraId="69BA02F6" w14:textId="77777777" w:rsidR="004B2808" w:rsidRDefault="00000000">
      <w:pPr>
        <w:pStyle w:val="Author-eSectionHeading6Numberless"/>
      </w:pPr>
      <w:bookmarkStart w:id="273" w:name="_Toc220490462"/>
      <w:r>
        <w:t>51.67.4b Revêtements muraux souples en textile non tissé d'une combinaison de fibres CCTB 01.02</w:t>
      </w:r>
      <w:bookmarkEnd w:id="273"/>
    </w:p>
    <w:p w14:paraId="20109852" w14:textId="77777777" w:rsidR="004B2808" w:rsidRDefault="00000000">
      <w:pPr>
        <w:pStyle w:val="Author-eSectionHeading6Numberless"/>
      </w:pPr>
      <w:bookmarkStart w:id="274" w:name="_Toc220490463"/>
      <w:r>
        <w:lastRenderedPageBreak/>
        <w:t>51.67.4c Revêtements muraux souples en textile non tissé synthétique CCTB 01.02</w:t>
      </w:r>
      <w:bookmarkEnd w:id="274"/>
    </w:p>
    <w:p w14:paraId="37B04C6B" w14:textId="77777777" w:rsidR="004B2808" w:rsidRDefault="00000000">
      <w:pPr>
        <w:pStyle w:val="Author-eSectionHeading6Numberless"/>
      </w:pPr>
      <w:bookmarkStart w:id="275" w:name="_Toc220490464"/>
      <w:r>
        <w:t>51.67.4d Revêtements muraux souples en textile non tissé de lin CCTB 01.02</w:t>
      </w:r>
      <w:bookmarkEnd w:id="275"/>
    </w:p>
    <w:p w14:paraId="01707B6B" w14:textId="77777777" w:rsidR="004B2808" w:rsidRDefault="00000000">
      <w:pPr>
        <w:pStyle w:val="Author-eSectionHeading5Numberless"/>
      </w:pPr>
      <w:bookmarkStart w:id="276" w:name="_Toc220490465"/>
      <w:r>
        <w:t>51.67.5 Revêtements muraux souples en textile CCTB 01.07</w:t>
      </w:r>
      <w:bookmarkEnd w:id="276"/>
    </w:p>
    <w:p w14:paraId="533B637B" w14:textId="77777777" w:rsidR="004B2808" w:rsidRDefault="00000000">
      <w:pPr>
        <w:pStyle w:val="pheading"/>
      </w:pPr>
      <w:r>
        <w:t>DESCRIPTION</w:t>
      </w:r>
    </w:p>
    <w:p w14:paraId="28643496" w14:textId="77777777" w:rsidR="004B2808" w:rsidRDefault="00000000">
      <w:pPr>
        <w:pStyle w:val="pheading"/>
      </w:pPr>
      <w:r>
        <w:t>- Définition / Comprend</w:t>
      </w:r>
    </w:p>
    <w:p w14:paraId="274227B3" w14:textId="77777777" w:rsidR="004B2808" w:rsidRDefault="00000000">
      <w:r>
        <w:t>Renvoi au §81.12.8 Revêtements muraux souples en textile, non tissé ou tissé</w:t>
      </w:r>
    </w:p>
    <w:p w14:paraId="2FF9C343" w14:textId="77777777" w:rsidR="004B2808" w:rsidRDefault="00000000">
      <w:pPr>
        <w:pStyle w:val="Author-eSectionHeading6Numberless"/>
      </w:pPr>
      <w:bookmarkStart w:id="277" w:name="_Toc220490466"/>
      <w:r>
        <w:t>51.67.5a Revêtements souples en textile de laine CCTB 01.02</w:t>
      </w:r>
      <w:bookmarkEnd w:id="277"/>
    </w:p>
    <w:p w14:paraId="1BC4B4E3" w14:textId="77777777" w:rsidR="004B2808" w:rsidRDefault="00000000">
      <w:pPr>
        <w:pStyle w:val="Author-eSectionHeading6Numberless"/>
      </w:pPr>
      <w:bookmarkStart w:id="278" w:name="_Toc220490467"/>
      <w:r>
        <w:t>51.67.5b Revêtements souples en textile de coton CCTB 01.02</w:t>
      </w:r>
      <w:bookmarkEnd w:id="278"/>
    </w:p>
    <w:p w14:paraId="645C303F" w14:textId="77777777" w:rsidR="004B2808" w:rsidRDefault="00000000">
      <w:pPr>
        <w:pStyle w:val="Author-eSectionHeading6Numberless"/>
      </w:pPr>
      <w:bookmarkStart w:id="279" w:name="_Toc220490468"/>
      <w:r>
        <w:t>51.67.5c Revêtements souples en textile de soie naturelle CCTB 01.02</w:t>
      </w:r>
      <w:bookmarkEnd w:id="279"/>
    </w:p>
    <w:p w14:paraId="3FB3BB2D" w14:textId="77777777" w:rsidR="004B2808" w:rsidRDefault="00000000">
      <w:pPr>
        <w:pStyle w:val="Author-eSectionHeading6Numberless"/>
      </w:pPr>
      <w:bookmarkStart w:id="280" w:name="_Toc220490469"/>
      <w:r>
        <w:t>51.67.5d Revêtements souples en textile de jute CCTB 01.02</w:t>
      </w:r>
      <w:bookmarkEnd w:id="280"/>
    </w:p>
    <w:p w14:paraId="6D208277" w14:textId="77777777" w:rsidR="004B2808" w:rsidRDefault="00000000">
      <w:pPr>
        <w:pStyle w:val="Author-eSectionHeading6Numberless"/>
      </w:pPr>
      <w:bookmarkStart w:id="281" w:name="_Toc220490470"/>
      <w:r>
        <w:t>51.67.5e Revêtements souples en textile de combinaison de fibres CCTB 01.02</w:t>
      </w:r>
      <w:bookmarkEnd w:id="281"/>
    </w:p>
    <w:p w14:paraId="1339F643" w14:textId="77777777" w:rsidR="004B2808" w:rsidRDefault="00000000">
      <w:pPr>
        <w:pStyle w:val="Author-eSectionHeading6Numberless"/>
      </w:pPr>
      <w:bookmarkStart w:id="282" w:name="_Toc220490471"/>
      <w:r>
        <w:t>51.67.5f Revêtements souples en textile synthétique CCTB 01.02</w:t>
      </w:r>
      <w:bookmarkEnd w:id="282"/>
    </w:p>
    <w:p w14:paraId="31A91287" w14:textId="77777777" w:rsidR="004B2808" w:rsidRDefault="00000000">
      <w:pPr>
        <w:pStyle w:val="Author-eSectionHeading6Numberless"/>
      </w:pPr>
      <w:bookmarkStart w:id="283" w:name="_Toc220490472"/>
      <w:r>
        <w:t>51.67.5g Revêtements souples en textile de lin CCTB 01.02</w:t>
      </w:r>
      <w:bookmarkEnd w:id="283"/>
    </w:p>
    <w:p w14:paraId="3E3882A2" w14:textId="77777777" w:rsidR="004B2808" w:rsidRDefault="00000000">
      <w:pPr>
        <w:pStyle w:val="Author-eSectionHeading6Numberless"/>
      </w:pPr>
      <w:bookmarkStart w:id="284" w:name="_Toc220490473"/>
      <w:r>
        <w:t>51.67.5h Revêtements souples en textile de fibres de verre CCTB 01.02</w:t>
      </w:r>
      <w:bookmarkEnd w:id="284"/>
    </w:p>
    <w:p w14:paraId="18F86688" w14:textId="77777777" w:rsidR="004B2808" w:rsidRDefault="00000000">
      <w:pPr>
        <w:pStyle w:val="Author-eSectionHeading5Numberless"/>
      </w:pPr>
      <w:bookmarkStart w:id="285" w:name="_Toc220490474"/>
      <w:r>
        <w:t>51.67.6 Revêtements muraux semi-souples CCTB 01.02</w:t>
      </w:r>
      <w:bookmarkEnd w:id="285"/>
    </w:p>
    <w:p w14:paraId="0C82358B" w14:textId="77777777" w:rsidR="004B2808" w:rsidRDefault="00000000">
      <w:pPr>
        <w:pStyle w:val="Author-eSectionHeading6Numberless"/>
      </w:pPr>
      <w:bookmarkStart w:id="286" w:name="_Toc220490475"/>
      <w:r>
        <w:t>51.67.6a Revêtements muraux semi-souples en linoleum CCTB 01.12</w:t>
      </w:r>
      <w:bookmarkEnd w:id="286"/>
    </w:p>
    <w:p w14:paraId="7A4CC991" w14:textId="77777777" w:rsidR="004B2808" w:rsidRDefault="00000000">
      <w:pPr>
        <w:pStyle w:val="pheading"/>
      </w:pPr>
      <w:r>
        <w:t>DESCRIPTION</w:t>
      </w:r>
    </w:p>
    <w:p w14:paraId="6EDDC917" w14:textId="77777777" w:rsidR="004B2808" w:rsidRDefault="00000000">
      <w:pPr>
        <w:pStyle w:val="pheading"/>
      </w:pPr>
      <w:r>
        <w:t>- Définition / Comprend</w:t>
      </w:r>
    </w:p>
    <w:p w14:paraId="4D787CA7" w14:textId="77777777" w:rsidR="004B2808" w:rsidRDefault="00000000">
      <w:pPr>
        <w:jc w:val="both"/>
      </w:pPr>
      <w:r>
        <w:t>Il s’agit de la fourniture et de la pose collée, sur des murs intérieurs, de revêtements semi-souples en linoleum.</w:t>
      </w:r>
    </w:p>
    <w:p w14:paraId="2252F1E7" w14:textId="77777777" w:rsidR="004B2808" w:rsidRDefault="00000000">
      <w:pPr>
        <w:jc w:val="both"/>
      </w:pPr>
      <w:r>
        <w:t>Le cas échéant, l’enlèvement d’anciens revêtements est notamment décrit au 06 Travaux de stabilisation et de déconstruction et suivants.</w:t>
      </w:r>
    </w:p>
    <w:p w14:paraId="6316FF96" w14:textId="77777777" w:rsidR="004B2808" w:rsidRDefault="00000000">
      <w:pPr>
        <w:jc w:val="both"/>
      </w:pPr>
      <w:r>
        <w:t xml:space="preserve">Si une préparation particulière des supports est nécessaire, elle est notamment décrite au </w:t>
      </w:r>
      <w:hyperlink w:anchor="1164" w:history="1">
        <w:r w:rsidR="004B2808">
          <w:rPr>
            <w:color w:val="0000EE"/>
          </w:rPr>
          <w:t>51.5 Revêtements intérieurs enduits</w:t>
        </w:r>
      </w:hyperlink>
      <w:r>
        <w:t xml:space="preserve"> et suivants.</w:t>
      </w:r>
    </w:p>
    <w:p w14:paraId="04580113" w14:textId="77777777" w:rsidR="004B2808" w:rsidRDefault="00000000">
      <w:pPr>
        <w:pStyle w:val="pheading"/>
      </w:pPr>
      <w:r>
        <w:t>MATÉRIAUX</w:t>
      </w:r>
    </w:p>
    <w:p w14:paraId="3F2DF8BD" w14:textId="77777777" w:rsidR="004B2808" w:rsidRDefault="00000000">
      <w:pPr>
        <w:pStyle w:val="pheading"/>
      </w:pPr>
      <w:r>
        <w:t>- Caractéristiques générales</w:t>
      </w:r>
    </w:p>
    <w:p w14:paraId="61AC4566" w14:textId="77777777" w:rsidR="004B2808" w:rsidRDefault="00000000">
      <w:pPr>
        <w:jc w:val="both"/>
      </w:pPr>
      <w:r>
        <w:t>Le linoléum est fabriqué à base d'huile de lin oxydée et de résines, mélangées à des adjuvants, des charges et des pigments.</w:t>
      </w:r>
    </w:p>
    <w:p w14:paraId="28EF329F" w14:textId="77777777" w:rsidR="004B2808" w:rsidRDefault="00000000">
      <w:pPr>
        <w:jc w:val="both"/>
      </w:pPr>
      <w:r>
        <w:t>L'ensemble est calandré sur un tissu de jute qui a d'abord été imprégné d'une masse de linoléum de la même couleur afin d'éviter que le dessin du support en jute ne s'imprime dans le linoléum.</w:t>
      </w:r>
    </w:p>
    <w:p w14:paraId="7B75CC0F" w14:textId="77777777" w:rsidR="004B2808" w:rsidRDefault="00000000">
      <w:pPr>
        <w:jc w:val="both"/>
      </w:pPr>
      <w:r>
        <w:t>Le produit est destiné à un revêtement mural, monocouche.</w:t>
      </w:r>
    </w:p>
    <w:p w14:paraId="71225488" w14:textId="77777777" w:rsidR="004B2808" w:rsidRDefault="00000000">
      <w:pPr>
        <w:jc w:val="both"/>
      </w:pPr>
      <w:r>
        <w:t>Il bénéficie d’un traitement de surface réalisé par le fabricant afin de lui conférer des caractéristiques particulières de résistance à l’abrasion, aux rayures et aux taches.</w:t>
      </w:r>
    </w:p>
    <w:p w14:paraId="4D11D3A0" w14:textId="77777777" w:rsidR="004B2808" w:rsidRDefault="00000000">
      <w:pPr>
        <w:jc w:val="both"/>
      </w:pPr>
      <w:r>
        <w:t>Epaisseur totale :</w:t>
      </w:r>
      <w:r>
        <w:rPr>
          <w:rStyle w:val="optioncarChar"/>
        </w:rPr>
        <w:t xml:space="preserve"> 2</w:t>
      </w:r>
      <w:r>
        <w:t xml:space="preserve"> (par défaut)</w:t>
      </w:r>
      <w:r>
        <w:rPr>
          <w:rStyle w:val="optioncarChar"/>
        </w:rPr>
        <w:t xml:space="preserve"> / 2,5 / ***</w:t>
      </w:r>
      <w:r>
        <w:t> mm</w:t>
      </w:r>
    </w:p>
    <w:p w14:paraId="3FF08275" w14:textId="77777777" w:rsidR="004B2808" w:rsidRDefault="00000000">
      <w:pPr>
        <w:jc w:val="both"/>
      </w:pPr>
      <w:r>
        <w:t>Format :</w:t>
      </w:r>
    </w:p>
    <w:p w14:paraId="08C99A79" w14:textId="77777777" w:rsidR="004B2808" w:rsidRDefault="00000000">
      <w:pPr>
        <w:pStyle w:val="Author-eListParagraph"/>
        <w:numPr>
          <w:ilvl w:val="0"/>
          <w:numId w:val="283"/>
        </w:numPr>
      </w:pPr>
      <w:r>
        <w:t xml:space="preserve">  </w:t>
      </w:r>
      <w:r>
        <w:rPr>
          <w:rStyle w:val="optioncarChar"/>
        </w:rPr>
        <w:t xml:space="preserve">Rouleau (lés) </w:t>
      </w:r>
      <w:r>
        <w:t xml:space="preserve">(par défaut) </w:t>
      </w:r>
      <w:r>
        <w:rPr>
          <w:rStyle w:val="optioncarChar"/>
        </w:rPr>
        <w:t>/ dalle / ***</w:t>
      </w:r>
    </w:p>
    <w:p w14:paraId="3937D0E0" w14:textId="77777777" w:rsidR="004B2808" w:rsidRDefault="00000000">
      <w:pPr>
        <w:pStyle w:val="Author-eListParagraph"/>
        <w:numPr>
          <w:ilvl w:val="0"/>
          <w:numId w:val="283"/>
        </w:numPr>
      </w:pPr>
      <w:r>
        <w:t xml:space="preserve">  Largeur : </w:t>
      </w:r>
      <w:r>
        <w:rPr>
          <w:rStyle w:val="optioncarChar"/>
        </w:rPr>
        <w:t xml:space="preserve">2 </w:t>
      </w:r>
      <w:r>
        <w:t xml:space="preserve">(par défaut) </w:t>
      </w:r>
      <w:r>
        <w:rPr>
          <w:rStyle w:val="optioncarChar"/>
        </w:rPr>
        <w:t>/ ***</w:t>
      </w:r>
      <w:r>
        <w:t xml:space="preserve"> m</w:t>
      </w:r>
    </w:p>
    <w:p w14:paraId="2D54EEB4" w14:textId="77777777" w:rsidR="004B2808" w:rsidRDefault="00000000">
      <w:pPr>
        <w:pStyle w:val="Author-eListParagraph"/>
        <w:numPr>
          <w:ilvl w:val="0"/>
          <w:numId w:val="283"/>
        </w:numPr>
      </w:pPr>
      <w:r>
        <w:t xml:space="preserve">  Longueur : ≤ </w:t>
      </w:r>
      <w:r>
        <w:rPr>
          <w:rStyle w:val="optioncarChar"/>
        </w:rPr>
        <w:t xml:space="preserve">20 </w:t>
      </w:r>
      <w:r>
        <w:t>(par défaut)</w:t>
      </w:r>
      <w:r>
        <w:rPr>
          <w:rStyle w:val="optioncarChar"/>
        </w:rPr>
        <w:t xml:space="preserve"> / 30 / ***</w:t>
      </w:r>
      <w:r>
        <w:t xml:space="preserve"> m</w:t>
      </w:r>
    </w:p>
    <w:p w14:paraId="2E563440" w14:textId="77777777" w:rsidR="004B2808" w:rsidRDefault="00000000">
      <w:pPr>
        <w:jc w:val="both"/>
      </w:pPr>
      <w:r>
        <w:t xml:space="preserve">Masse surfacique : </w:t>
      </w:r>
      <w:r>
        <w:rPr>
          <w:rStyle w:val="optioncarChar"/>
        </w:rPr>
        <w:t xml:space="preserve">2900 </w:t>
      </w:r>
      <w:r>
        <w:t>(par défaut)</w:t>
      </w:r>
      <w:r>
        <w:rPr>
          <w:rStyle w:val="optioncarChar"/>
        </w:rPr>
        <w:t xml:space="preserve"> / ***</w:t>
      </w:r>
      <w:r>
        <w:t xml:space="preserve"> g/m²</w:t>
      </w:r>
    </w:p>
    <w:p w14:paraId="3C1F5251" w14:textId="77777777" w:rsidR="004B2808" w:rsidRDefault="00000000">
      <w:pPr>
        <w:jc w:val="both"/>
      </w:pPr>
      <w:r>
        <w:lastRenderedPageBreak/>
        <w:t xml:space="preserve">Garantie fabricant ≥ : </w:t>
      </w:r>
      <w:r>
        <w:rPr>
          <w:rStyle w:val="optioncarChar"/>
        </w:rPr>
        <w:t xml:space="preserve">10 </w:t>
      </w:r>
      <w:r>
        <w:t xml:space="preserve">(par défaut) </w:t>
      </w:r>
      <w:r>
        <w:rPr>
          <w:rStyle w:val="optioncarChar"/>
        </w:rPr>
        <w:t>/ ***</w:t>
      </w:r>
      <w:r>
        <w:t xml:space="preserve"> ans</w:t>
      </w:r>
    </w:p>
    <w:p w14:paraId="18A5C9D1" w14:textId="77777777" w:rsidR="004B2808" w:rsidRDefault="00000000">
      <w:pPr>
        <w:jc w:val="both"/>
      </w:pPr>
      <w:r>
        <w:t xml:space="preserve">Réaction au feu : </w:t>
      </w:r>
      <w:r>
        <w:rPr>
          <w:rStyle w:val="optioncarChar"/>
        </w:rPr>
        <w:t xml:space="preserve">B-s2,d0 </w:t>
      </w:r>
      <w:r>
        <w:t>(par défaut)</w:t>
      </w:r>
      <w:r>
        <w:rPr>
          <w:rStyle w:val="optioncarChar"/>
        </w:rPr>
        <w:t xml:space="preserve"> / ***</w:t>
      </w:r>
      <w:r>
        <w:t xml:space="preserve"> selon [NBN EN 13501-1] </w:t>
      </w:r>
    </w:p>
    <w:p w14:paraId="2B3C08FB" w14:textId="77777777" w:rsidR="004B2808" w:rsidRDefault="00000000">
      <w:pPr>
        <w:jc w:val="both"/>
      </w:pPr>
      <w:r>
        <w:t xml:space="preserve">Conductivité thermique : </w:t>
      </w:r>
      <w:r>
        <w:rPr>
          <w:rStyle w:val="optioncarChar"/>
        </w:rPr>
        <w:t>0,11</w:t>
      </w:r>
      <w:r>
        <w:t xml:space="preserve"> (par défaut) </w:t>
      </w:r>
      <w:r>
        <w:rPr>
          <w:rStyle w:val="optioncarChar"/>
        </w:rPr>
        <w:t>/ ***</w:t>
      </w:r>
      <w:r>
        <w:t xml:space="preserve"> W/(m K) selon [NBN EN ISO 10456]</w:t>
      </w:r>
    </w:p>
    <w:p w14:paraId="3931458C" w14:textId="77777777" w:rsidR="004B2808" w:rsidRDefault="00000000">
      <w:pPr>
        <w:jc w:val="both"/>
      </w:pPr>
      <w:r>
        <w:t xml:space="preserve">Résistance thermique : </w:t>
      </w:r>
      <w:r>
        <w:rPr>
          <w:rStyle w:val="optioncarChar"/>
        </w:rPr>
        <w:t xml:space="preserve">0,018 </w:t>
      </w:r>
      <w:r>
        <w:t>(par défaut)</w:t>
      </w:r>
      <w:r>
        <w:rPr>
          <w:rStyle w:val="optioncarChar"/>
        </w:rPr>
        <w:t xml:space="preserve"> / ***</w:t>
      </w:r>
      <w:r>
        <w:t xml:space="preserve"> m² K/W selon [NBN EN ISO 10456]</w:t>
      </w:r>
    </w:p>
    <w:p w14:paraId="3245E6D3" w14:textId="77777777" w:rsidR="004B2808" w:rsidRDefault="00000000">
      <w:pPr>
        <w:jc w:val="both"/>
      </w:pPr>
      <w:r>
        <w:t xml:space="preserve">Charges électrostatiques : </w:t>
      </w:r>
      <w:r>
        <w:rPr>
          <w:rStyle w:val="optioncarChar"/>
        </w:rPr>
        <w:t>Antistatique, ≤ 2 kV</w:t>
      </w:r>
      <w:r>
        <w:t xml:space="preserve"> (par défaut)</w:t>
      </w:r>
      <w:r>
        <w:rPr>
          <w:rStyle w:val="optioncarChar"/>
        </w:rPr>
        <w:t xml:space="preserve"> / ***</w:t>
      </w:r>
      <w:r>
        <w:t xml:space="preserve"> selon [NBN EN 1815]</w:t>
      </w:r>
    </w:p>
    <w:p w14:paraId="3EB4F3C2" w14:textId="77777777" w:rsidR="004B2808" w:rsidRDefault="00000000">
      <w:pPr>
        <w:jc w:val="both"/>
      </w:pPr>
      <w:r>
        <w:t xml:space="preserve">Concentration en phtalates : </w:t>
      </w:r>
      <w:r>
        <w:rPr>
          <w:rStyle w:val="optioncarChar"/>
        </w:rPr>
        <w:t>100 % sans phtalates </w:t>
      </w:r>
      <w:r>
        <w:t>(par défaut)</w:t>
      </w:r>
      <w:r>
        <w:rPr>
          <w:rStyle w:val="optioncarChar"/>
        </w:rPr>
        <w:t xml:space="preserve"> / ***</w:t>
      </w:r>
    </w:p>
    <w:p w14:paraId="3EF841C7" w14:textId="77777777" w:rsidR="004B2808" w:rsidRDefault="00000000">
      <w:pPr>
        <w:jc w:val="both"/>
      </w:pPr>
      <w:r>
        <w:t>Emissions COVT après 28 jours :</w:t>
      </w:r>
      <w:r>
        <w:rPr>
          <w:rStyle w:val="optioncarChar"/>
        </w:rPr>
        <w:t xml:space="preserve"> Platinum, ≤ 10 µg/m³ </w:t>
      </w:r>
      <w:r>
        <w:t>(par défaut)</w:t>
      </w:r>
      <w:r>
        <w:rPr>
          <w:rStyle w:val="optioncarChar"/>
        </w:rPr>
        <w:t xml:space="preserve"> / ***</w:t>
      </w:r>
      <w:r>
        <w:t xml:space="preserve"> selon [NBN EN 16516:2017+A1]</w:t>
      </w:r>
    </w:p>
    <w:p w14:paraId="55004323" w14:textId="77777777" w:rsidR="004B2808" w:rsidRDefault="00000000">
      <w:pPr>
        <w:jc w:val="both"/>
      </w:pPr>
      <w:r>
        <w:t xml:space="preserve">Résistance aux impacts : </w:t>
      </w:r>
      <w:r>
        <w:rPr>
          <w:rStyle w:val="optioncarChar"/>
        </w:rPr>
        <w:t>résistant aux chocs - pas d'éclatement ni de fissure visible</w:t>
      </w:r>
      <w:r>
        <w:t xml:space="preserve"> (par défaut)</w:t>
      </w:r>
      <w:r>
        <w:rPr>
          <w:rStyle w:val="optioncarChar"/>
        </w:rPr>
        <w:t xml:space="preserve"> / ***</w:t>
      </w:r>
      <w:r>
        <w:t xml:space="preserve"> selon [NBN EN 259-2]</w:t>
      </w:r>
    </w:p>
    <w:p w14:paraId="061C7960" w14:textId="77777777" w:rsidR="004B2808" w:rsidRDefault="00000000">
      <w:pPr>
        <w:jc w:val="both"/>
      </w:pPr>
      <w:r>
        <w:t xml:space="preserve">Résistance chimique : </w:t>
      </w:r>
      <w:r>
        <w:rPr>
          <w:rStyle w:val="optioncarChar"/>
        </w:rPr>
        <w:t xml:space="preserve">résistant aux acides dilués, huiles, graisses, solvants courants et alcalis </w:t>
      </w:r>
      <w:r>
        <w:t>(par défaut)</w:t>
      </w:r>
      <w:r>
        <w:rPr>
          <w:rStyle w:val="optioncarChar"/>
        </w:rPr>
        <w:t xml:space="preserve"> / ***</w:t>
      </w:r>
      <w:r>
        <w:t xml:space="preserve"> selon [NBN EN ISO 26987]</w:t>
      </w:r>
    </w:p>
    <w:p w14:paraId="0D68FB52" w14:textId="77777777" w:rsidR="004B2808" w:rsidRDefault="00000000">
      <w:pPr>
        <w:jc w:val="both"/>
      </w:pPr>
      <w:r>
        <w:t>Solidité des coloris à la lumière ≥ :</w:t>
      </w:r>
      <w:r>
        <w:rPr>
          <w:rStyle w:val="optioncarChar"/>
        </w:rPr>
        <w:t xml:space="preserve"> 6</w:t>
      </w:r>
      <w:r>
        <w:t xml:space="preserve"> (par défaut) </w:t>
      </w:r>
      <w:r>
        <w:rPr>
          <w:rStyle w:val="optioncarChar"/>
        </w:rPr>
        <w:t>/ ***</w:t>
      </w:r>
      <w:r>
        <w:t xml:space="preserve"> selon [NBN EN ISO 105-B02]</w:t>
      </w:r>
    </w:p>
    <w:p w14:paraId="0F7E290C" w14:textId="77777777" w:rsidR="004B2808" w:rsidRDefault="00000000">
      <w:pPr>
        <w:jc w:val="both"/>
      </w:pPr>
      <w:r>
        <w:t xml:space="preserve">Épongeabilité - Lavabilité : </w:t>
      </w:r>
      <w:r>
        <w:rPr>
          <w:rStyle w:val="optioncarChar"/>
        </w:rPr>
        <w:t xml:space="preserve">extra lavable </w:t>
      </w:r>
      <w:r>
        <w:t xml:space="preserve">(par défaut) </w:t>
      </w:r>
      <w:r>
        <w:rPr>
          <w:rStyle w:val="optioncarChar"/>
        </w:rPr>
        <w:t>/ ***</w:t>
      </w:r>
      <w:r>
        <w:t xml:space="preserve"> selon [NBN EN 12956] / [NBN EN 233]</w:t>
      </w:r>
    </w:p>
    <w:p w14:paraId="75F963EF" w14:textId="77777777" w:rsidR="004B2808" w:rsidRDefault="00000000">
      <w:pPr>
        <w:jc w:val="both"/>
      </w:pPr>
      <w:r>
        <w:t xml:space="preserve">Activité antibactérienne : </w:t>
      </w:r>
      <w:r>
        <w:rPr>
          <w:rStyle w:val="optioncarChar"/>
        </w:rPr>
        <w:t>naturellement antibactérien</w:t>
      </w:r>
      <w:r>
        <w:t xml:space="preserve"> (par défaut)</w:t>
      </w:r>
      <w:r>
        <w:rPr>
          <w:rStyle w:val="optioncarChar"/>
        </w:rPr>
        <w:t xml:space="preserve"> / ***</w:t>
      </w:r>
      <w:r>
        <w:t xml:space="preserve"> selon [ISO 22196]</w:t>
      </w:r>
    </w:p>
    <w:p w14:paraId="7B7BB8F6" w14:textId="77777777" w:rsidR="004B2808" w:rsidRDefault="00000000">
      <w:pPr>
        <w:jc w:val="both"/>
      </w:pPr>
      <w:r>
        <w:t xml:space="preserve">Colle de type : </w:t>
      </w:r>
      <w:r>
        <w:rPr>
          <w:rStyle w:val="optioncarChar"/>
        </w:rPr>
        <w:t>émulsion adhésive acrylique</w:t>
      </w:r>
      <w:r>
        <w:t xml:space="preserve"> (par défaut) </w:t>
      </w:r>
      <w:r>
        <w:rPr>
          <w:rStyle w:val="optioncarChar"/>
        </w:rPr>
        <w:t>/ ***</w:t>
      </w:r>
    </w:p>
    <w:p w14:paraId="5473C05C" w14:textId="77777777" w:rsidR="004B2808" w:rsidRDefault="00000000">
      <w:pPr>
        <w:pStyle w:val="pheading"/>
      </w:pPr>
      <w:r>
        <w:t>- Finitions</w:t>
      </w:r>
    </w:p>
    <w:p w14:paraId="77A76129" w14:textId="77777777" w:rsidR="004B2808" w:rsidRDefault="00000000">
      <w:pPr>
        <w:jc w:val="both"/>
      </w:pPr>
      <w:r>
        <w:rPr>
          <w:u w:val="single"/>
        </w:rPr>
        <w:t>Revêtement mural :</w:t>
      </w:r>
    </w:p>
    <w:p w14:paraId="6B4756A1" w14:textId="77777777" w:rsidR="004B2808" w:rsidRDefault="00000000">
      <w:pPr>
        <w:jc w:val="both"/>
      </w:pPr>
      <w:r>
        <w:t xml:space="preserve">Dessin : </w:t>
      </w:r>
      <w:r>
        <w:rPr>
          <w:rStyle w:val="optioncarChar"/>
        </w:rPr>
        <w:t xml:space="preserve">au choix dans la gamme standard du fabricant </w:t>
      </w:r>
      <w:r>
        <w:t xml:space="preserve">(par défaut) </w:t>
      </w:r>
      <w:r>
        <w:rPr>
          <w:rStyle w:val="optioncarChar"/>
        </w:rPr>
        <w:t>/ légèrement marbré / tacheté / uniforme / ***</w:t>
      </w:r>
    </w:p>
    <w:p w14:paraId="2AD35EB1" w14:textId="77777777" w:rsidR="004B2808" w:rsidRDefault="00000000">
      <w:pPr>
        <w:jc w:val="both"/>
      </w:pPr>
      <w:r>
        <w:t>Coloris : </w:t>
      </w:r>
      <w:r>
        <w:rPr>
          <w:rStyle w:val="optioncarChar"/>
        </w:rPr>
        <w:t>au choix dans le nuancier standard du fabricant</w:t>
      </w:r>
      <w:r>
        <w:t xml:space="preserve"> (par défaut)</w:t>
      </w:r>
      <w:r>
        <w:rPr>
          <w:rStyle w:val="optioncarChar"/>
        </w:rPr>
        <w:t xml:space="preserve"> / ***</w:t>
      </w:r>
    </w:p>
    <w:p w14:paraId="09E47E0D" w14:textId="77777777" w:rsidR="004B2808" w:rsidRDefault="00000000">
      <w:pPr>
        <w:jc w:val="both"/>
      </w:pPr>
      <w:r>
        <w:t xml:space="preserve">Pour les différentes parois : </w:t>
      </w:r>
      <w:r>
        <w:rPr>
          <w:rStyle w:val="optioncarChar"/>
        </w:rPr>
        <w:t>des dessins et coloris différents peuvent être choisis</w:t>
      </w:r>
      <w:r>
        <w:t xml:space="preserve"> (par défaut) </w:t>
      </w:r>
      <w:r>
        <w:rPr>
          <w:rStyle w:val="optioncarChar"/>
        </w:rPr>
        <w:t>/ dessins et coloris sont identiques / ***</w:t>
      </w:r>
    </w:p>
    <w:p w14:paraId="1DC472B8" w14:textId="77777777" w:rsidR="004B2808" w:rsidRDefault="00000000">
      <w:pPr>
        <w:jc w:val="both"/>
      </w:pPr>
      <w:r>
        <w:t>Motifs particuliers : </w:t>
      </w:r>
      <w:r>
        <w:rPr>
          <w:rStyle w:val="optioncarChar"/>
        </w:rPr>
        <w:t xml:space="preserve">selon indications aux plans </w:t>
      </w:r>
      <w:r>
        <w:t>(par défaut)</w:t>
      </w:r>
      <w:r>
        <w:rPr>
          <w:rStyle w:val="optioncarChar"/>
        </w:rPr>
        <w:t xml:space="preserve"> / dessin multicolore / dessin intégré / logo intégré / ***</w:t>
      </w:r>
    </w:p>
    <w:p w14:paraId="1471C6F3" w14:textId="77777777" w:rsidR="004B2808" w:rsidRDefault="00000000">
      <w:pPr>
        <w:jc w:val="both"/>
      </w:pPr>
      <w:r>
        <w:t>Afin d’obtenir une uniformité entre les différents lés, chaque surface - zone continue est recouverte d’un revêtement faisant partie d’un même lot.</w:t>
      </w:r>
    </w:p>
    <w:p w14:paraId="6BEA2467" w14:textId="77777777" w:rsidR="004B2808" w:rsidRDefault="00000000">
      <w:pPr>
        <w:jc w:val="both"/>
      </w:pPr>
      <w:r>
        <w:rPr>
          <w:u w:val="single"/>
        </w:rPr>
        <w:t>Cordons de soudures :</w:t>
      </w:r>
    </w:p>
    <w:p w14:paraId="1083723D" w14:textId="77777777" w:rsidR="004B2808" w:rsidRDefault="00000000">
      <w:pPr>
        <w:jc w:val="both"/>
      </w:pPr>
      <w:r>
        <w:t xml:space="preserve">Teinte : </w:t>
      </w:r>
      <w:r>
        <w:rPr>
          <w:rStyle w:val="optioncarChar"/>
        </w:rPr>
        <w:t xml:space="preserve">au choix dans le nuancier standard du fabricant </w:t>
      </w:r>
      <w:r>
        <w:t xml:space="preserve">(par défaut) </w:t>
      </w:r>
      <w:r>
        <w:rPr>
          <w:rStyle w:val="optioncarChar"/>
        </w:rPr>
        <w:t>/ ***</w:t>
      </w:r>
    </w:p>
    <w:p w14:paraId="1DC25A84" w14:textId="77777777" w:rsidR="004B2808" w:rsidRDefault="00000000">
      <w:pPr>
        <w:jc w:val="both"/>
      </w:pPr>
      <w:r>
        <w:rPr>
          <w:u w:val="single"/>
        </w:rPr>
        <w:t>Accessoires (profils de transition, profils d’angle, …) :</w:t>
      </w:r>
    </w:p>
    <w:p w14:paraId="441730F3" w14:textId="77777777" w:rsidR="004B2808" w:rsidRDefault="00000000">
      <w:pPr>
        <w:jc w:val="both"/>
      </w:pPr>
      <w:r>
        <w:t xml:space="preserve">Matériaux (bois, acier, pvc, …) : </w:t>
      </w:r>
      <w:r>
        <w:rPr>
          <w:rStyle w:val="optioncarChar"/>
        </w:rPr>
        <w:t>au choix dans la gamme standard du fabricant</w:t>
      </w:r>
      <w:r>
        <w:t xml:space="preserve"> (par défaut) </w:t>
      </w:r>
      <w:r>
        <w:rPr>
          <w:rStyle w:val="optioncarChar"/>
        </w:rPr>
        <w:t>/ ***</w:t>
      </w:r>
    </w:p>
    <w:p w14:paraId="48BDC08E" w14:textId="77777777" w:rsidR="004B2808" w:rsidRDefault="00000000">
      <w:pPr>
        <w:jc w:val="both"/>
      </w:pPr>
      <w:r>
        <w:t xml:space="preserve">Teinte : </w:t>
      </w:r>
      <w:r>
        <w:rPr>
          <w:rStyle w:val="optioncarChar"/>
        </w:rPr>
        <w:t>au choix dans le nuancier standard du fabricant</w:t>
      </w:r>
      <w:r>
        <w:t xml:space="preserve"> (par défaut)</w:t>
      </w:r>
      <w:r>
        <w:rPr>
          <w:rStyle w:val="optioncarChar"/>
        </w:rPr>
        <w:t xml:space="preserve"> / ***</w:t>
      </w:r>
    </w:p>
    <w:p w14:paraId="3290DF1A" w14:textId="77777777" w:rsidR="004B2808" w:rsidRDefault="00000000">
      <w:pPr>
        <w:jc w:val="both"/>
      </w:pPr>
      <w:r>
        <w:t>Avant commande, l’entrepreneur soumet les différents nuanciers à la direction des travaux.</w:t>
      </w:r>
    </w:p>
    <w:p w14:paraId="7ACBC846" w14:textId="77777777" w:rsidR="004B2808" w:rsidRDefault="00000000">
      <w:pPr>
        <w:jc w:val="both"/>
      </w:pPr>
      <w:r>
        <w:rPr>
          <w:u w:val="single"/>
        </w:rPr>
        <w:t>Aspects environnementaux :</w:t>
      </w:r>
    </w:p>
    <w:p w14:paraId="76CF31D8" w14:textId="77777777" w:rsidR="004B2808" w:rsidRDefault="00000000">
      <w:pPr>
        <w:jc w:val="both"/>
      </w:pPr>
      <w:r>
        <w:t xml:space="preserve">Le linoleum s’inscrit : </w:t>
      </w:r>
      <w:r>
        <w:rPr>
          <w:rStyle w:val="optioncarChar"/>
        </w:rPr>
        <w:t xml:space="preserve">dans un programme de recyclable mis en place par le fabricant </w:t>
      </w:r>
      <w:r>
        <w:t>(par défaut)</w:t>
      </w:r>
      <w:r>
        <w:rPr>
          <w:rStyle w:val="optioncarChar"/>
        </w:rPr>
        <w:t xml:space="preserve"> / ***</w:t>
      </w:r>
    </w:p>
    <w:p w14:paraId="05B81499" w14:textId="77777777" w:rsidR="004B2808" w:rsidRDefault="00000000">
      <w:pPr>
        <w:jc w:val="both"/>
      </w:pPr>
      <w:r>
        <w:t xml:space="preserve">Il est fabriqué à partir d'électricité d'origine : </w:t>
      </w:r>
      <w:r>
        <w:rPr>
          <w:rStyle w:val="optioncarChar"/>
        </w:rPr>
        <w:t xml:space="preserve">100 </w:t>
      </w:r>
      <w:r>
        <w:t>(par défaut)</w:t>
      </w:r>
      <w:r>
        <w:rPr>
          <w:rStyle w:val="optioncarChar"/>
        </w:rPr>
        <w:t xml:space="preserve"> / ***</w:t>
      </w:r>
      <w:r>
        <w:t xml:space="preserve"> % renouvelable.</w:t>
      </w:r>
    </w:p>
    <w:p w14:paraId="01FADF11" w14:textId="77777777" w:rsidR="004B2808" w:rsidRDefault="00000000">
      <w:pPr>
        <w:jc w:val="both"/>
      </w:pPr>
      <w:r>
        <w:t xml:space="preserve">Il possède une empreinte carbone totale (recyclage en fin de vie) de ± : </w:t>
      </w:r>
      <w:r>
        <w:rPr>
          <w:rStyle w:val="optioncarChar"/>
        </w:rPr>
        <w:t xml:space="preserve">2 </w:t>
      </w:r>
      <w:r>
        <w:t>(par défaut)</w:t>
      </w:r>
      <w:r>
        <w:rPr>
          <w:rStyle w:val="optioncarChar"/>
        </w:rPr>
        <w:t xml:space="preserve"> / ***</w:t>
      </w:r>
      <w:r>
        <w:t> kg de CO2/m²</w:t>
      </w:r>
    </w:p>
    <w:p w14:paraId="104C4C78" w14:textId="77777777" w:rsidR="004B2808" w:rsidRDefault="00000000">
      <w:pPr>
        <w:jc w:val="both"/>
      </w:pPr>
      <w:r>
        <w:t xml:space="preserve">Taux moyen de matières recyclés : </w:t>
      </w:r>
      <w:r>
        <w:rPr>
          <w:rStyle w:val="optioncarChar"/>
        </w:rPr>
        <w:t>30 / ***</w:t>
      </w:r>
      <w:r>
        <w:t xml:space="preserve"> %</w:t>
      </w:r>
    </w:p>
    <w:p w14:paraId="5A1E6166" w14:textId="77777777" w:rsidR="004B2808" w:rsidRDefault="00000000">
      <w:pPr>
        <w:jc w:val="both"/>
      </w:pPr>
      <w:r>
        <w:t xml:space="preserve">Label (s) : </w:t>
      </w:r>
      <w:r>
        <w:rPr>
          <w:rStyle w:val="optioncarChar"/>
        </w:rPr>
        <w:t>***</w:t>
      </w:r>
    </w:p>
    <w:p w14:paraId="5A8B73AC" w14:textId="77777777" w:rsidR="004B2808" w:rsidRDefault="00000000">
      <w:pPr>
        <w:jc w:val="both"/>
      </w:pPr>
      <w:r>
        <w:t xml:space="preserve">Certification (s) : </w:t>
      </w:r>
      <w:r>
        <w:rPr>
          <w:rStyle w:val="optioncarChar"/>
        </w:rPr>
        <w:t>***</w:t>
      </w:r>
    </w:p>
    <w:p w14:paraId="32E183B9" w14:textId="77777777" w:rsidR="004B2808" w:rsidRDefault="00000000">
      <w:pPr>
        <w:jc w:val="both"/>
      </w:pPr>
      <w:r>
        <w:t xml:space="preserve">Normes environnementales pour les bâtiments : </w:t>
      </w:r>
      <w:r>
        <w:rPr>
          <w:rStyle w:val="optioncarChar"/>
        </w:rPr>
        <w:t>***</w:t>
      </w:r>
    </w:p>
    <w:p w14:paraId="10871BD0" w14:textId="77777777" w:rsidR="004B2808" w:rsidRDefault="00000000">
      <w:pPr>
        <w:pStyle w:val="pheading"/>
      </w:pPr>
      <w:r>
        <w:lastRenderedPageBreak/>
        <w:t>EXÉCUTION / MISE EN ŒUVRE</w:t>
      </w:r>
    </w:p>
    <w:p w14:paraId="2A42B89B" w14:textId="77777777" w:rsidR="004B2808" w:rsidRDefault="00000000">
      <w:pPr>
        <w:pStyle w:val="pheading"/>
      </w:pPr>
      <w:r>
        <w:t>- Prescriptions générales</w:t>
      </w:r>
    </w:p>
    <w:p w14:paraId="5CB0D511" w14:textId="77777777" w:rsidR="004B2808" w:rsidRDefault="00000000">
      <w:pPr>
        <w:jc w:val="both"/>
      </w:pPr>
      <w:r>
        <w:rPr>
          <w:b/>
        </w:rPr>
        <w:t>Généralités</w:t>
      </w:r>
    </w:p>
    <w:p w14:paraId="06EAE750" w14:textId="77777777" w:rsidR="004B2808" w:rsidRDefault="00000000">
      <w:pPr>
        <w:jc w:val="both"/>
      </w:pPr>
      <w:r>
        <w:t>La mise en œuvre est notamment réalisée selon les [NIT 194] et [NIT 241].</w:t>
      </w:r>
    </w:p>
    <w:p w14:paraId="7CB89E62" w14:textId="77777777" w:rsidR="004B2808" w:rsidRDefault="00000000">
      <w:pPr>
        <w:jc w:val="both"/>
      </w:pPr>
      <w:r>
        <w:t>Tout au long de l’exécution, l’entrepreneur privilégie le recyclage des déchets, chutes, … selon 07 Déchets, matériaux et éléments réemployables et suivants. </w:t>
      </w:r>
    </w:p>
    <w:p w14:paraId="51A109E4" w14:textId="77777777" w:rsidR="004B2808" w:rsidRDefault="00000000">
      <w:pPr>
        <w:jc w:val="both"/>
      </w:pPr>
      <w:r>
        <w:rPr>
          <w:b/>
        </w:rPr>
        <w:t>Etude préparatoire – Etat des surfaces – Reconnaissance des supports</w:t>
      </w:r>
    </w:p>
    <w:p w14:paraId="2A054612" w14:textId="77777777" w:rsidR="004B2808" w:rsidRDefault="00000000">
      <w:pPr>
        <w:jc w:val="both"/>
      </w:pPr>
      <w:r>
        <w:t>L’état des surfaces respecte les exigences de la [NIT 194].</w:t>
      </w:r>
    </w:p>
    <w:p w14:paraId="275DFD01" w14:textId="77777777" w:rsidR="004B2808" w:rsidRDefault="00000000">
      <w:pPr>
        <w:jc w:val="both"/>
      </w:pPr>
      <w:r>
        <w:t>L’entrepreneur vérifie notamment la teneur en humidité, les propriétés mécaniques, le pouvoir absorbant, … des différents supports. </w:t>
      </w:r>
    </w:p>
    <w:p w14:paraId="5BBFC862" w14:textId="77777777" w:rsidR="004B2808" w:rsidRDefault="00000000">
      <w:pPr>
        <w:jc w:val="both"/>
      </w:pPr>
      <w:r>
        <w:rPr>
          <w:b/>
        </w:rPr>
        <w:t>Mise en œuvre </w:t>
      </w:r>
    </w:p>
    <w:p w14:paraId="67773A35" w14:textId="77777777" w:rsidR="004B2808" w:rsidRDefault="00000000">
      <w:pPr>
        <w:jc w:val="both"/>
      </w:pPr>
      <w:r>
        <w:rPr>
          <w:u w:val="single"/>
        </w:rPr>
        <w:t>Stockage préalable des produits (revêtements, colles, …) :</w:t>
      </w:r>
    </w:p>
    <w:p w14:paraId="6400DE97" w14:textId="77777777" w:rsidR="004B2808" w:rsidRDefault="00000000">
      <w:pPr>
        <w:jc w:val="both"/>
      </w:pPr>
      <w:r>
        <w:t>Avant leur mise en œuvre, les revêtements sont entreposés sur les lieux de pose afin d’atteindre un équilibre hygrothermique suivant les conditions locales d’ambiance.</w:t>
      </w:r>
    </w:p>
    <w:p w14:paraId="106830CF" w14:textId="77777777" w:rsidR="004B2808" w:rsidRDefault="00000000">
      <w:pPr>
        <w:pStyle w:val="Author-eListParagraph"/>
        <w:numPr>
          <w:ilvl w:val="0"/>
          <w:numId w:val="284"/>
        </w:numPr>
      </w:pPr>
      <w:r>
        <w:t xml:space="preserve">Le temps d’entrepose avant mise en œuvre est ≥ à : </w:t>
      </w:r>
      <w:r>
        <w:rPr>
          <w:rStyle w:val="optioncarChar"/>
        </w:rPr>
        <w:t>48</w:t>
      </w:r>
      <w:r>
        <w:t xml:space="preserve"> (par défaut) </w:t>
      </w:r>
      <w:r>
        <w:rPr>
          <w:rStyle w:val="optioncarChar"/>
        </w:rPr>
        <w:t>/ 24 / ***</w:t>
      </w:r>
      <w:r>
        <w:t xml:space="preserve"> heures</w:t>
      </w:r>
    </w:p>
    <w:p w14:paraId="08252289" w14:textId="77777777" w:rsidR="004B2808" w:rsidRDefault="00000000">
      <w:pPr>
        <w:jc w:val="both"/>
      </w:pPr>
      <w:r>
        <w:t>Les rouleaux sont stockés verticalement.</w:t>
      </w:r>
    </w:p>
    <w:p w14:paraId="13AA9121" w14:textId="77777777" w:rsidR="004B2808" w:rsidRDefault="00000000">
      <w:pPr>
        <w:jc w:val="both"/>
      </w:pPr>
      <w:r>
        <w:t>En fonction de leurs caractéristiques (à base de solvants ; en dispersion aqueuse ; matières combustibles ; matières inflam­mables ; …) les différents produits (primaires ; colles ; …)  à utiliser sont stockés selon la documentation technique qui les accompagne et la réglementation en vigueur (ex. : réglementation régionale, [RGPT], ...).</w:t>
      </w:r>
    </w:p>
    <w:p w14:paraId="118E4AAD" w14:textId="77777777" w:rsidR="004B2808" w:rsidRDefault="00000000">
      <w:pPr>
        <w:jc w:val="both"/>
      </w:pPr>
      <w:r>
        <w:rPr>
          <w:u w:val="single"/>
        </w:rPr>
        <w:t>Préparation des surfaces :</w:t>
      </w:r>
    </w:p>
    <w:p w14:paraId="1AD37E5B" w14:textId="77777777" w:rsidR="004B2808" w:rsidRDefault="00000000">
      <w:pPr>
        <w:jc w:val="both"/>
      </w:pPr>
      <w:r>
        <w:t>Les travaux préparatoires visent à rendre les supports aptes à recevoir le revêtement mural.</w:t>
      </w:r>
    </w:p>
    <w:p w14:paraId="3EA322AE" w14:textId="77777777" w:rsidR="004B2808" w:rsidRDefault="00000000">
      <w:pPr>
        <w:jc w:val="both"/>
      </w:pPr>
      <w:r>
        <w:t>Par tout moyen approprié (ex. brossage, aspiration, …), l’entrepreneur élimine notamment tous les éléments résiduels encore présents et qui pourraient compromettre la pose (ex. poussières, pellicules de plâtre, …),</w:t>
      </w:r>
    </w:p>
    <w:p w14:paraId="13763AD7" w14:textId="77777777" w:rsidR="004B2808" w:rsidRDefault="00000000">
      <w:pPr>
        <w:jc w:val="both"/>
      </w:pPr>
      <w:r>
        <w:t>L’entrepreneur met en œuvre les primaires nécessaires et adaptés aux supports.</w:t>
      </w:r>
    </w:p>
    <w:p w14:paraId="39BC047A" w14:textId="77777777" w:rsidR="004B2808" w:rsidRDefault="00000000">
      <w:pPr>
        <w:jc w:val="both"/>
      </w:pPr>
      <w:r>
        <w:t xml:space="preserve">Les travaux plus spécifiques tels que l’élimination des peintures et souillures importantes, les ragréages locaux, le traitement des supports instables, le traitement des fissures et des joints, l’égalisation des surfaces, … sont décrits au </w:t>
      </w:r>
      <w:hyperlink w:anchor="1164" w:history="1">
        <w:r w:rsidR="004B2808">
          <w:rPr>
            <w:color w:val="0000EE"/>
          </w:rPr>
          <w:t>51.5 Revêtements intérieurs enduits</w:t>
        </w:r>
      </w:hyperlink>
      <w:r>
        <w:t xml:space="preserve"> et suivants. </w:t>
      </w:r>
    </w:p>
    <w:p w14:paraId="7D0482E6" w14:textId="77777777" w:rsidR="004B2808" w:rsidRDefault="00000000">
      <w:pPr>
        <w:jc w:val="both"/>
      </w:pPr>
      <w:r>
        <w:rPr>
          <w:u w:val="single"/>
        </w:rPr>
        <w:t>Reconnaissance / Découpe / Assemblage du revêtement :</w:t>
      </w:r>
    </w:p>
    <w:p w14:paraId="311EB5CE" w14:textId="77777777" w:rsidR="004B2808" w:rsidRDefault="00000000">
      <w:pPr>
        <w:jc w:val="both"/>
      </w:pPr>
      <w:r>
        <w:t>Avant la pose du revêtement, l’entrepreneur repère les éventuels défauts à la surface du revêtement et les élimine.</w:t>
      </w:r>
    </w:p>
    <w:p w14:paraId="02316A3E" w14:textId="77777777" w:rsidR="004B2808" w:rsidRDefault="00000000">
      <w:pPr>
        <w:jc w:val="both"/>
      </w:pPr>
      <w:r>
        <w:t>Le débitage, la pose à blanc, la coupe définitive du revêtement, … se font selon la documentation technique qui accompagne les produits et avec du matériel adéquat.</w:t>
      </w:r>
    </w:p>
    <w:p w14:paraId="3CC58E29" w14:textId="77777777" w:rsidR="004B2808" w:rsidRDefault="00000000">
      <w:pPr>
        <w:jc w:val="both"/>
      </w:pPr>
      <w:r>
        <w:t>Avant le début des travaux, l’entrepreneur soumet une proposition de raccord entre les lés (plan de pose) à la direction des travaux. </w:t>
      </w:r>
    </w:p>
    <w:p w14:paraId="01EB993C" w14:textId="77777777" w:rsidR="004B2808" w:rsidRDefault="00000000">
      <w:pPr>
        <w:jc w:val="both"/>
      </w:pPr>
      <w:r>
        <w:rPr>
          <w:u w:val="single"/>
        </w:rPr>
        <w:t>Conditions pour la pose :</w:t>
      </w:r>
    </w:p>
    <w:p w14:paraId="46625136" w14:textId="77777777" w:rsidR="004B2808" w:rsidRDefault="00000000">
      <w:pPr>
        <w:pStyle w:val="Author-eListParagraph"/>
        <w:numPr>
          <w:ilvl w:val="0"/>
          <w:numId w:val="285"/>
        </w:numPr>
      </w:pPr>
      <w:r>
        <w:t xml:space="preserve">Température ambiante ≥ à : </w:t>
      </w:r>
      <w:r>
        <w:rPr>
          <w:rStyle w:val="optioncarChar"/>
        </w:rPr>
        <w:t>18</w:t>
      </w:r>
      <w:r>
        <w:t xml:space="preserve"> (par défaut)</w:t>
      </w:r>
      <w:r>
        <w:rPr>
          <w:rStyle w:val="optioncarChar"/>
        </w:rPr>
        <w:t xml:space="preserve"> / ***</w:t>
      </w:r>
      <w:r>
        <w:t xml:space="preserve"> °C</w:t>
      </w:r>
    </w:p>
    <w:p w14:paraId="44D26A39" w14:textId="77777777" w:rsidR="004B2808" w:rsidRDefault="00000000">
      <w:pPr>
        <w:pStyle w:val="Author-eListParagraph"/>
        <w:numPr>
          <w:ilvl w:val="0"/>
          <w:numId w:val="285"/>
        </w:numPr>
      </w:pPr>
      <w:r>
        <w:t xml:space="preserve">Humidité relative de l’air ambiant ≤ à : </w:t>
      </w:r>
      <w:r>
        <w:rPr>
          <w:rStyle w:val="optioncarChar"/>
        </w:rPr>
        <w:t xml:space="preserve">65 </w:t>
      </w:r>
      <w:r>
        <w:t xml:space="preserve">(par défaut) </w:t>
      </w:r>
      <w:r>
        <w:rPr>
          <w:rStyle w:val="optioncarChar"/>
        </w:rPr>
        <w:t>/ 75 / ***</w:t>
      </w:r>
      <w:r>
        <w:t xml:space="preserve"> %</w:t>
      </w:r>
    </w:p>
    <w:p w14:paraId="5741E2E0" w14:textId="77777777" w:rsidR="004B2808" w:rsidRDefault="00000000">
      <w:pPr>
        <w:pStyle w:val="Author-eListParagraph"/>
        <w:numPr>
          <w:ilvl w:val="0"/>
          <w:numId w:val="285"/>
        </w:numPr>
      </w:pPr>
      <w:r>
        <w:t xml:space="preserve">Température de surface ≥ à : </w:t>
      </w:r>
      <w:r>
        <w:rPr>
          <w:rStyle w:val="optioncarChar"/>
        </w:rPr>
        <w:t>15</w:t>
      </w:r>
      <w:r>
        <w:t xml:space="preserve"> (par défaut)</w:t>
      </w:r>
      <w:r>
        <w:rPr>
          <w:rStyle w:val="optioncarChar"/>
        </w:rPr>
        <w:t xml:space="preserve"> / ***</w:t>
      </w:r>
      <w:r>
        <w:t xml:space="preserve"> °C</w:t>
      </w:r>
    </w:p>
    <w:p w14:paraId="15A980DF" w14:textId="77777777" w:rsidR="004B2808" w:rsidRDefault="00000000">
      <w:pPr>
        <w:jc w:val="both"/>
      </w:pPr>
      <w:r>
        <w:t>Ces conditions sont respectées avant, pendant et après la pose.</w:t>
      </w:r>
    </w:p>
    <w:p w14:paraId="22C1A828" w14:textId="77777777" w:rsidR="004B2808" w:rsidRDefault="00000000">
      <w:pPr>
        <w:jc w:val="both"/>
      </w:pPr>
      <w:r>
        <w:rPr>
          <w:u w:val="single"/>
        </w:rPr>
        <w:t>Pose collée - Principe :</w:t>
      </w:r>
    </w:p>
    <w:p w14:paraId="7A5CC265" w14:textId="77777777" w:rsidR="004B2808" w:rsidRDefault="00000000">
      <w:pPr>
        <w:jc w:val="both"/>
      </w:pPr>
      <w:r>
        <w:t>L’entrepreneur procède à l’encollage régulier des surfaces. La formation de bourrelets de colle est proscrite.</w:t>
      </w:r>
    </w:p>
    <w:p w14:paraId="539AA1EA" w14:textId="77777777" w:rsidR="004B2808" w:rsidRDefault="00000000">
      <w:pPr>
        <w:pStyle w:val="Author-eListParagraph"/>
        <w:numPr>
          <w:ilvl w:val="0"/>
          <w:numId w:val="286"/>
        </w:numPr>
      </w:pPr>
      <w:r>
        <w:lastRenderedPageBreak/>
        <w:t xml:space="preserve">Consommation de colle ≥ à </w:t>
      </w:r>
      <w:r>
        <w:rPr>
          <w:rStyle w:val="optioncarChar"/>
        </w:rPr>
        <w:t>300 / 400</w:t>
      </w:r>
      <w:r>
        <w:t xml:space="preserve"> (par défaut)</w:t>
      </w:r>
      <w:r>
        <w:rPr>
          <w:rStyle w:val="optioncarChar"/>
        </w:rPr>
        <w:t xml:space="preserve"> / ***</w:t>
      </w:r>
      <w:r>
        <w:t xml:space="preserve"> gr/m²</w:t>
      </w:r>
    </w:p>
    <w:p w14:paraId="6E426659" w14:textId="77777777" w:rsidR="004B2808" w:rsidRDefault="00000000">
      <w:pPr>
        <w:pStyle w:val="Author-eListParagraph"/>
        <w:numPr>
          <w:ilvl w:val="0"/>
          <w:numId w:val="286"/>
        </w:numPr>
      </w:pPr>
      <w:r>
        <w:t xml:space="preserve">L’application de la colle se fait à l’aide d’une spatule dentelée de type : </w:t>
      </w:r>
      <w:r>
        <w:rPr>
          <w:rStyle w:val="optioncarChar"/>
        </w:rPr>
        <w:t>A2</w:t>
      </w:r>
      <w:r>
        <w:t xml:space="preserve"> (par défaut) </w:t>
      </w:r>
      <w:r>
        <w:rPr>
          <w:rStyle w:val="optioncarChar"/>
        </w:rPr>
        <w:t>/ B1 / ***</w:t>
      </w:r>
      <w:r>
        <w:t xml:space="preserve"> selon le [NIT 241]</w:t>
      </w:r>
    </w:p>
    <w:p w14:paraId="045D4418" w14:textId="77777777" w:rsidR="004B2808" w:rsidRDefault="00000000">
      <w:pPr>
        <w:jc w:val="both"/>
      </w:pPr>
      <w:r>
        <w:t>La pose du revêtement en lés se fait par la technique du collage en plein.</w:t>
      </w:r>
    </w:p>
    <w:p w14:paraId="090A0598" w14:textId="77777777" w:rsidR="004B2808" w:rsidRDefault="00000000">
      <w:pPr>
        <w:jc w:val="both"/>
      </w:pPr>
      <w:r>
        <w:t>Le revêtement est ensuite marouflé manuellement.</w:t>
      </w:r>
    </w:p>
    <w:p w14:paraId="60854686" w14:textId="77777777" w:rsidR="004B2808" w:rsidRDefault="00000000">
      <w:pPr>
        <w:jc w:val="both"/>
      </w:pPr>
      <w:r>
        <w:t>Le linoleum est coupé tout le long des angles rentrants et saillants (il ne peut pas être plié).</w:t>
      </w:r>
    </w:p>
    <w:p w14:paraId="73EF6642" w14:textId="77777777" w:rsidR="004B2808" w:rsidRDefault="00000000">
      <w:pPr>
        <w:jc w:val="both"/>
      </w:pPr>
      <w:r>
        <w:t xml:space="preserve">La jonction des lés est réalisée </w:t>
      </w:r>
      <w:r>
        <w:rPr>
          <w:rStyle w:val="optioncarChar"/>
        </w:rPr>
        <w:t>via la soudure des joints</w:t>
      </w:r>
      <w:r>
        <w:t xml:space="preserve"> (par défaut)</w:t>
      </w:r>
      <w:r>
        <w:rPr>
          <w:rStyle w:val="optioncarChar"/>
        </w:rPr>
        <w:t xml:space="preserve"> / à joints serrés ou bord à bord (jonction à vif).</w:t>
      </w:r>
    </w:p>
    <w:p w14:paraId="4232DB2D" w14:textId="77777777" w:rsidR="004B2808" w:rsidRDefault="00000000">
      <w:pPr>
        <w:jc w:val="both"/>
      </w:pPr>
      <w:r>
        <w:t>L’étanchement des surfaces (entre des revêtements de nature différente ; lors de percements (p. ex. de conduites) ; sur des joints de structure et de fractionnement) se fait : </w:t>
      </w:r>
      <w:r>
        <w:rPr>
          <w:rStyle w:val="optioncarChar"/>
        </w:rPr>
        <w:t xml:space="preserve">selon les indications aux plans </w:t>
      </w:r>
      <w:r>
        <w:t>(par défaut)</w:t>
      </w:r>
      <w:r>
        <w:rPr>
          <w:rStyle w:val="optioncarChar"/>
        </w:rPr>
        <w:t xml:space="preserve"> / *** </w:t>
      </w:r>
    </w:p>
    <w:p w14:paraId="340F2816" w14:textId="77777777" w:rsidR="004B2808" w:rsidRDefault="00000000">
      <w:pPr>
        <w:jc w:val="both"/>
      </w:pPr>
      <w:r>
        <w:rPr>
          <w:u w:val="single"/>
        </w:rPr>
        <w:t>Traitement des rives – angles / Travaux de finition :</w:t>
      </w:r>
    </w:p>
    <w:p w14:paraId="4481AC8F" w14:textId="77777777" w:rsidR="004B2808" w:rsidRDefault="00000000">
      <w:pPr>
        <w:jc w:val="both"/>
      </w:pPr>
      <w:r>
        <w:t>Les coins rentrants sont </w:t>
      </w:r>
      <w:r>
        <w:rPr>
          <w:rStyle w:val="optioncarChar"/>
        </w:rPr>
        <w:t>remplis par un scellant polymère ou PU</w:t>
      </w:r>
      <w:r>
        <w:t xml:space="preserve"> (par défaut) </w:t>
      </w:r>
      <w:r>
        <w:rPr>
          <w:rStyle w:val="optioncarChar"/>
        </w:rPr>
        <w:t>/ ***.</w:t>
      </w:r>
    </w:p>
    <w:p w14:paraId="3DC5B840" w14:textId="77777777" w:rsidR="004B2808" w:rsidRDefault="00000000">
      <w:pPr>
        <w:jc w:val="both"/>
      </w:pPr>
      <w:r>
        <w:t xml:space="preserve">Les coins sortants sont réalisés à l’aide de profils spéciaux. </w:t>
      </w:r>
    </w:p>
    <w:p w14:paraId="653A41F8" w14:textId="77777777" w:rsidR="004B2808" w:rsidRDefault="00000000">
      <w:pPr>
        <w:jc w:val="both"/>
      </w:pPr>
      <w:r>
        <w:t xml:space="preserve"> Ceux-ci sont placés : </w:t>
      </w:r>
      <w:r>
        <w:rPr>
          <w:rStyle w:val="optioncarChar"/>
        </w:rPr>
        <w:t>avant le linoleum qui est ensuite ajusté au profil</w:t>
      </w:r>
      <w:r>
        <w:t xml:space="preserve"> (par défaut)</w:t>
      </w:r>
      <w:r>
        <w:rPr>
          <w:rStyle w:val="optioncarChar"/>
        </w:rPr>
        <w:t xml:space="preserve"> / après le linoleum et de façon à recouvrir les 2 côtés du revêtement mural.</w:t>
      </w:r>
    </w:p>
    <w:p w14:paraId="0701B551" w14:textId="77777777" w:rsidR="004B2808" w:rsidRDefault="00000000">
      <w:pPr>
        <w:jc w:val="both"/>
      </w:pPr>
      <w:r>
        <w:t xml:space="preserve">Les jonctions entre le revêtement mural en linoléum et un autre revêtement sont réalisées via : </w:t>
      </w:r>
      <w:r>
        <w:rPr>
          <w:rStyle w:val="optioncarChar"/>
        </w:rPr>
        <w:t>des couvre-joints</w:t>
      </w:r>
      <w:r>
        <w:t xml:space="preserve"> (par défaut)</w:t>
      </w:r>
      <w:r>
        <w:rPr>
          <w:rStyle w:val="optioncarChar"/>
        </w:rPr>
        <w:t xml:space="preserve"> / des profils de transition / ***</w:t>
      </w:r>
      <w:r>
        <w:t>.</w:t>
      </w:r>
    </w:p>
    <w:p w14:paraId="67959F51" w14:textId="77777777" w:rsidR="004B2808" w:rsidRDefault="00000000">
      <w:pPr>
        <w:jc w:val="both"/>
      </w:pPr>
      <w:r>
        <w:rPr>
          <w:u w:val="single"/>
        </w:rPr>
        <w:t>Après la pose :</w:t>
      </w:r>
    </w:p>
    <w:p w14:paraId="720DDDC9" w14:textId="77777777" w:rsidR="004B2808" w:rsidRDefault="00000000">
      <w:pPr>
        <w:jc w:val="both"/>
      </w:pPr>
      <w:r>
        <w:t>Le revêtement mural posé n’est soumis à aucune contrainte avant un séchage complet.</w:t>
      </w:r>
    </w:p>
    <w:p w14:paraId="19024F6C" w14:textId="77777777" w:rsidR="004B2808" w:rsidRDefault="00000000">
      <w:pPr>
        <w:pStyle w:val="Author-eListParagraph"/>
        <w:numPr>
          <w:ilvl w:val="0"/>
          <w:numId w:val="287"/>
        </w:numPr>
      </w:pPr>
      <w:r>
        <w:t xml:space="preserve">Le délai d’attente est ≥ à : </w:t>
      </w:r>
      <w:r>
        <w:rPr>
          <w:rStyle w:val="optioncarChar"/>
        </w:rPr>
        <w:t>36 / 48 / 72</w:t>
      </w:r>
      <w:r>
        <w:t xml:space="preserve"> (par défaut)</w:t>
      </w:r>
      <w:r>
        <w:rPr>
          <w:rStyle w:val="optioncarChar"/>
        </w:rPr>
        <w:t xml:space="preserve"> / ***</w:t>
      </w:r>
      <w:r>
        <w:t xml:space="preserve"> heures.</w:t>
      </w:r>
    </w:p>
    <w:p w14:paraId="08ADAF30" w14:textId="77777777" w:rsidR="004B2808" w:rsidRDefault="00000000">
      <w:pPr>
        <w:ind w:left="750"/>
      </w:pPr>
      <w:r>
        <w:t> </w:t>
      </w:r>
    </w:p>
    <w:p w14:paraId="0A268CD2" w14:textId="77777777" w:rsidR="004B2808" w:rsidRDefault="00000000">
      <w:pPr>
        <w:pStyle w:val="pheading"/>
      </w:pPr>
      <w:r>
        <w:t>DOCUMENTS DE RÉFÉRENCE COMPLÉMENTAIRES</w:t>
      </w:r>
    </w:p>
    <w:p w14:paraId="03F5199A" w14:textId="77777777" w:rsidR="004B2808" w:rsidRDefault="00000000">
      <w:pPr>
        <w:pStyle w:val="pheading"/>
      </w:pPr>
      <w:r>
        <w:t>- Matériau</w:t>
      </w:r>
    </w:p>
    <w:p w14:paraId="6CE3DD18" w14:textId="77777777" w:rsidR="004B2808" w:rsidRDefault="00000000">
      <w:r>
        <w:t>[NBN EN 15102, Revêtements muraux décoratifs - Rouleaux]</w:t>
      </w:r>
      <w:r>
        <w:br/>
      </w:r>
      <w:r>
        <w:br/>
        <w:t>[NBN EN 235, Revêtements muraux - Vocabulaire et symboles]</w:t>
      </w:r>
    </w:p>
    <w:p w14:paraId="7CA5CBBD" w14:textId="77777777" w:rsidR="004B2808" w:rsidRDefault="00000000">
      <w:pPr>
        <w:pStyle w:val="pheading"/>
      </w:pPr>
      <w:r>
        <w:t>- Exécution</w:t>
      </w:r>
    </w:p>
    <w:p w14:paraId="7F8612C2" w14:textId="77777777" w:rsidR="004B2808" w:rsidRDefault="00000000">
      <w:r>
        <w:t>[NIT 194, Code de bonne pratique pour la pose de revêtements muraux souples.]</w:t>
      </w:r>
    </w:p>
    <w:p w14:paraId="558A9B7B" w14:textId="77777777" w:rsidR="004B2808" w:rsidRDefault="00000000">
      <w:r>
        <w:t>[NIT 241, Mise en oeuvre des revêtements de sol résilients (remplace partiellement la NIT 165).]</w:t>
      </w:r>
    </w:p>
    <w:p w14:paraId="417B9307" w14:textId="77777777" w:rsidR="004B2808" w:rsidRDefault="00000000">
      <w:pPr>
        <w:pStyle w:val="pheading"/>
      </w:pPr>
      <w:r>
        <w:t>MESURAGE</w:t>
      </w:r>
    </w:p>
    <w:p w14:paraId="3CC4491D" w14:textId="77777777" w:rsidR="004B2808" w:rsidRDefault="00000000">
      <w:pPr>
        <w:pStyle w:val="pheading"/>
      </w:pPr>
      <w:r>
        <w:t>- unité de mesure:</w:t>
      </w:r>
    </w:p>
    <w:p w14:paraId="5135A1A5" w14:textId="77777777" w:rsidR="004B2808" w:rsidRDefault="00000000">
      <w:r>
        <w:rPr>
          <w:rStyle w:val="optioncarChar"/>
        </w:rPr>
        <w:t xml:space="preserve">m² </w:t>
      </w:r>
      <w:r>
        <w:t>(par défaut)</w:t>
      </w:r>
      <w:r>
        <w:rPr>
          <w:rStyle w:val="optioncarChar"/>
        </w:rPr>
        <w:t xml:space="preserve"> / fft</w:t>
      </w:r>
    </w:p>
    <w:p w14:paraId="1187150E" w14:textId="77777777" w:rsidR="004B2808" w:rsidRDefault="00000000">
      <w:r>
        <w:rPr>
          <w:b/>
        </w:rPr>
        <w:t>(soit par défaut)</w:t>
      </w:r>
      <w:r>
        <w:br/>
      </w:r>
      <w:r>
        <w:rPr>
          <w:rStyle w:val="soitChar"/>
        </w:rPr>
        <w:t>1.   m²</w:t>
      </w:r>
      <w:r>
        <w:br/>
      </w:r>
      <w:r>
        <w:rPr>
          <w:b/>
        </w:rPr>
        <w:t>(soit)</w:t>
      </w:r>
      <w:r>
        <w:br/>
      </w:r>
      <w:r>
        <w:rPr>
          <w:rStyle w:val="soitChar"/>
        </w:rPr>
        <w:t>2.   fft</w:t>
      </w:r>
    </w:p>
    <w:p w14:paraId="063F72F6" w14:textId="77777777" w:rsidR="004B2808" w:rsidRDefault="00000000">
      <w:pPr>
        <w:pStyle w:val="pheading"/>
      </w:pPr>
      <w:r>
        <w:t>- code de mesurage:</w:t>
      </w:r>
    </w:p>
    <w:p w14:paraId="4B29F5AC" w14:textId="77777777" w:rsidR="004B2808" w:rsidRDefault="00000000">
      <w:pPr>
        <w:jc w:val="both"/>
      </w:pPr>
      <w:r>
        <w:rPr>
          <w:rStyle w:val="optioncarChar"/>
        </w:rPr>
        <w:t>Surface nette</w:t>
      </w:r>
      <w:r>
        <w:t xml:space="preserve"> (par défaut)</w:t>
      </w:r>
      <w:r>
        <w:rPr>
          <w:rStyle w:val="optioncarChar"/>
        </w:rPr>
        <w:t xml:space="preserve"> / Pour l'ensemble des prestations à réaliser</w:t>
      </w:r>
    </w:p>
    <w:p w14:paraId="23C2AB11" w14:textId="77777777" w:rsidR="004B2808" w:rsidRDefault="00000000">
      <w:pPr>
        <w:jc w:val="both"/>
      </w:pPr>
      <w:r>
        <w:rPr>
          <w:b/>
        </w:rPr>
        <w:t>(soit par défaut)</w:t>
      </w:r>
    </w:p>
    <w:p w14:paraId="7E296E02" w14:textId="77777777" w:rsidR="004B2808" w:rsidRDefault="00000000">
      <w:pPr>
        <w:jc w:val="both"/>
      </w:pPr>
      <w:r>
        <w:rPr>
          <w:rStyle w:val="soitChar"/>
        </w:rPr>
        <w:t>1. </w:t>
      </w:r>
      <w:r>
        <w:rPr>
          <w:rStyle w:val="soitChar"/>
          <w:u w:val="single"/>
        </w:rPr>
        <w:t xml:space="preserve"> Surface nette :</w:t>
      </w:r>
    </w:p>
    <w:p w14:paraId="166E43D5" w14:textId="77777777" w:rsidR="004B2808" w:rsidRDefault="00000000">
      <w:pPr>
        <w:jc w:val="both"/>
      </w:pPr>
      <w:r>
        <w:rPr>
          <w:rStyle w:val="soitChar"/>
        </w:rPr>
        <w:t>En tenant compte de la plus grande longueur et largeur de la surface à recouvrir, y compris la profondeur des niches.</w:t>
      </w:r>
    </w:p>
    <w:p w14:paraId="1F2CF4A8" w14:textId="77777777" w:rsidR="004B2808" w:rsidRDefault="00000000">
      <w:pPr>
        <w:jc w:val="both"/>
      </w:pPr>
      <w:r>
        <w:rPr>
          <w:rStyle w:val="soitChar"/>
        </w:rPr>
        <w:lastRenderedPageBreak/>
        <w:t>Eventuellement scindée dans différents postes selon le type de revêtement.</w:t>
      </w:r>
    </w:p>
    <w:p w14:paraId="1AB2A64D" w14:textId="77777777" w:rsidR="004B2808" w:rsidRDefault="00000000">
      <w:pPr>
        <w:jc w:val="both"/>
      </w:pPr>
      <w:r>
        <w:rPr>
          <w:b/>
        </w:rPr>
        <w:t>(soit)</w:t>
      </w:r>
    </w:p>
    <w:p w14:paraId="52A2A692" w14:textId="77777777" w:rsidR="004B2808" w:rsidRDefault="00000000">
      <w:pPr>
        <w:jc w:val="both"/>
      </w:pPr>
      <w:r>
        <w:rPr>
          <w:rStyle w:val="soitChar"/>
        </w:rPr>
        <w:t>2. </w:t>
      </w:r>
      <w:r>
        <w:rPr>
          <w:rStyle w:val="soitChar"/>
          <w:u w:val="single"/>
        </w:rPr>
        <w:t xml:space="preserve"> Pour l’ensemble des prestations à réaliser :</w:t>
      </w:r>
    </w:p>
    <w:p w14:paraId="44DD1DA2" w14:textId="77777777" w:rsidR="004B2808" w:rsidRDefault="00000000">
      <w:pPr>
        <w:jc w:val="both"/>
      </w:pPr>
      <w:r>
        <w:rPr>
          <w:rStyle w:val="soitChar"/>
        </w:rPr>
        <w:t>Le prix unitaire comprend toutes les prestations nécessaires pour l’exécution de l’ensemble.</w:t>
      </w:r>
    </w:p>
    <w:p w14:paraId="71C6AD96" w14:textId="77777777" w:rsidR="004B2808" w:rsidRDefault="00000000">
      <w:pPr>
        <w:jc w:val="both"/>
      </w:pPr>
      <w:r>
        <w:rPr>
          <w:rStyle w:val="soitChar"/>
        </w:rPr>
        <w:t>Eventuellement scindé dans différents postes selon le type de revêtement.</w:t>
      </w:r>
    </w:p>
    <w:p w14:paraId="6DFE363F" w14:textId="77777777" w:rsidR="004B2808" w:rsidRDefault="00000000">
      <w:pPr>
        <w:pStyle w:val="pheading"/>
      </w:pPr>
      <w:r>
        <w:t>- nature du marché:</w:t>
      </w:r>
    </w:p>
    <w:p w14:paraId="4C73F84F" w14:textId="77777777" w:rsidR="004B2808" w:rsidRDefault="00000000">
      <w:r>
        <w:rPr>
          <w:rStyle w:val="optioncarChar"/>
        </w:rPr>
        <w:t xml:space="preserve">QF </w:t>
      </w:r>
      <w:r>
        <w:t xml:space="preserve">(par défaut) </w:t>
      </w:r>
      <w:r>
        <w:rPr>
          <w:rStyle w:val="optioncarChar"/>
        </w:rPr>
        <w:t>/ PG</w:t>
      </w:r>
    </w:p>
    <w:p w14:paraId="1809DE6C" w14:textId="77777777" w:rsidR="004B2808" w:rsidRDefault="00000000">
      <w:r>
        <w:rPr>
          <w:b/>
        </w:rPr>
        <w:t>(soit par défaut)</w:t>
      </w:r>
      <w:r>
        <w:br/>
      </w:r>
      <w:r>
        <w:rPr>
          <w:rStyle w:val="soitChar"/>
        </w:rPr>
        <w:t>1.   QF</w:t>
      </w:r>
      <w:r>
        <w:br/>
      </w:r>
      <w:r>
        <w:rPr>
          <w:b/>
        </w:rPr>
        <w:t>(soit)</w:t>
      </w:r>
      <w:r>
        <w:br/>
      </w:r>
      <w:r>
        <w:rPr>
          <w:rStyle w:val="soitChar"/>
        </w:rPr>
        <w:t>2.   PG</w:t>
      </w:r>
      <w:r>
        <w:br/>
      </w:r>
    </w:p>
    <w:p w14:paraId="4DA6820A" w14:textId="77777777" w:rsidR="004B2808" w:rsidRDefault="00000000">
      <w:pPr>
        <w:pStyle w:val="Author-eSectionHeading6Numberless"/>
      </w:pPr>
      <w:bookmarkStart w:id="287" w:name="_Toc220490476"/>
      <w:r>
        <w:t>51.67.6b Revêtements muraux semi-souples en PVC CCTB 01.02</w:t>
      </w:r>
      <w:bookmarkEnd w:id="287"/>
    </w:p>
    <w:p w14:paraId="07D7AB4E" w14:textId="77777777" w:rsidR="004B2808" w:rsidRDefault="00000000">
      <w:pPr>
        <w:pStyle w:val="Author-eSectionHeading6Numberless"/>
      </w:pPr>
      <w:bookmarkStart w:id="288" w:name="_Toc220490477"/>
      <w:r>
        <w:t>51.67.6c Revêtements muraux semi-souples en caoutchouc CCTB 01.02</w:t>
      </w:r>
      <w:bookmarkEnd w:id="288"/>
    </w:p>
    <w:p w14:paraId="77D37180" w14:textId="77777777" w:rsidR="004B2808" w:rsidRDefault="00000000">
      <w:pPr>
        <w:pStyle w:val="Author-eSectionHeading6Numberless"/>
      </w:pPr>
      <w:bookmarkStart w:id="289" w:name="_Toc220490478"/>
      <w:r>
        <w:t>51.67.6d Revêtements muraux semi-souples en tapis CCTB 01.02</w:t>
      </w:r>
      <w:bookmarkEnd w:id="289"/>
    </w:p>
    <w:p w14:paraId="05B6351D" w14:textId="77777777" w:rsidR="004B2808" w:rsidRDefault="00000000">
      <w:pPr>
        <w:pStyle w:val="Author-eSectionHeading5Numberless"/>
      </w:pPr>
      <w:bookmarkStart w:id="290" w:name="_Toc220490479"/>
      <w:r>
        <w:t>51.67.7 Revêtements tendus CCTB 01.11</w:t>
      </w:r>
      <w:bookmarkEnd w:id="290"/>
    </w:p>
    <w:p w14:paraId="3A204585" w14:textId="77777777" w:rsidR="004B2808" w:rsidRDefault="00000000">
      <w:pPr>
        <w:pStyle w:val="pheading"/>
      </w:pPr>
      <w:r>
        <w:t>DESCRIPTION</w:t>
      </w:r>
    </w:p>
    <w:p w14:paraId="0317CAB3" w14:textId="77777777" w:rsidR="004B2808" w:rsidRDefault="00000000">
      <w:pPr>
        <w:pStyle w:val="pheading"/>
      </w:pPr>
      <w:r>
        <w:t>- Définition / Comprend</w:t>
      </w:r>
    </w:p>
    <w:p w14:paraId="42C7DE2A" w14:textId="77777777" w:rsidR="004B2808" w:rsidRDefault="00000000">
      <w:r>
        <w:t>Il s'agit de la finition de murs intérieurs réalisée à l’aide de revêtements tendus.</w:t>
      </w:r>
    </w:p>
    <w:p w14:paraId="08A2C063" w14:textId="77777777" w:rsidR="004B2808" w:rsidRDefault="00000000">
      <w:pPr>
        <w:pStyle w:val="pheading"/>
      </w:pPr>
      <w:r>
        <w:t>EXÉCUTION / MISE EN ŒUVRE</w:t>
      </w:r>
    </w:p>
    <w:p w14:paraId="66BB5940" w14:textId="77777777" w:rsidR="004B2808" w:rsidRDefault="00000000">
      <w:pPr>
        <w:jc w:val="both"/>
      </w:pPr>
      <w:r>
        <w:rPr>
          <w:b/>
        </w:rPr>
        <w:t>Généralités</w:t>
      </w:r>
    </w:p>
    <w:p w14:paraId="3C5BCA6F" w14:textId="77777777" w:rsidR="004B2808" w:rsidRDefault="00000000">
      <w:pPr>
        <w:jc w:val="both"/>
      </w:pPr>
      <w:r>
        <w:t>La mise en œuvre est notamment réalisée selon la [NIT 194].</w:t>
      </w:r>
    </w:p>
    <w:p w14:paraId="2871EA87" w14:textId="77777777" w:rsidR="004B2808" w:rsidRDefault="00000000">
      <w:pPr>
        <w:jc w:val="both"/>
      </w:pPr>
      <w:r>
        <w:t>L’entrepreneur coordonne ces travaux avec les différents intervenants.</w:t>
      </w:r>
    </w:p>
    <w:p w14:paraId="353F0D98" w14:textId="77777777" w:rsidR="004B2808" w:rsidRDefault="00000000">
      <w:pPr>
        <w:jc w:val="both"/>
      </w:pPr>
      <w:r>
        <w:t xml:space="preserve">La température requise pour la pose est ≥ à : </w:t>
      </w:r>
      <w:r>
        <w:rPr>
          <w:rStyle w:val="optioncarChar"/>
        </w:rPr>
        <w:t xml:space="preserve">12 </w:t>
      </w:r>
      <w:r>
        <w:t>(par défaut)</w:t>
      </w:r>
      <w:r>
        <w:rPr>
          <w:rStyle w:val="optioncarChar"/>
        </w:rPr>
        <w:t xml:space="preserve"> / ***</w:t>
      </w:r>
      <w:r>
        <w:t xml:space="preserve"> °C. </w:t>
      </w:r>
    </w:p>
    <w:p w14:paraId="4EF93DCF" w14:textId="77777777" w:rsidR="004B2808" w:rsidRDefault="00000000">
      <w:pPr>
        <w:jc w:val="both"/>
      </w:pPr>
      <w:r>
        <w:rPr>
          <w:b/>
        </w:rPr>
        <w:t>Etude préparatoire – Etat des surfaces</w:t>
      </w:r>
    </w:p>
    <w:p w14:paraId="4AC513E0" w14:textId="77777777" w:rsidR="004B2808" w:rsidRDefault="00000000">
      <w:pPr>
        <w:jc w:val="both"/>
      </w:pPr>
      <w:r>
        <w:t>L’état des surfaces respecte les exigences de la [NIT 194]. </w:t>
      </w:r>
    </w:p>
    <w:p w14:paraId="059864E0" w14:textId="77777777" w:rsidR="004B2808" w:rsidRDefault="00000000">
      <w:pPr>
        <w:jc w:val="both"/>
      </w:pPr>
      <w:r>
        <w:rPr>
          <w:b/>
        </w:rPr>
        <w:t>Mise en œuvre</w:t>
      </w:r>
    </w:p>
    <w:p w14:paraId="42629973" w14:textId="77777777" w:rsidR="004B2808" w:rsidRDefault="00000000">
      <w:pPr>
        <w:jc w:val="both"/>
      </w:pPr>
      <w:r>
        <w:rPr>
          <w:u w:val="single"/>
        </w:rPr>
        <w:t>Stockages des revêtements :</w:t>
      </w:r>
    </w:p>
    <w:p w14:paraId="5BA5B3D5" w14:textId="77777777" w:rsidR="004B2808" w:rsidRDefault="00000000">
      <w:pPr>
        <w:jc w:val="both"/>
      </w:pPr>
      <w:r>
        <w:t>Les revêtements sont entreposés sur les lieux de pose au minimum 48 heures avant la mise en œuvre afin d’atteindre un équilibre hygrothermique suivant les conditions locales d’ambiance.</w:t>
      </w:r>
    </w:p>
    <w:p w14:paraId="7EF0D129" w14:textId="77777777" w:rsidR="004B2808" w:rsidRDefault="00000000">
      <w:pPr>
        <w:jc w:val="both"/>
      </w:pPr>
      <w:r>
        <w:rPr>
          <w:u w:val="single"/>
        </w:rPr>
        <w:t>Préparation des surfaces :</w:t>
      </w:r>
    </w:p>
    <w:p w14:paraId="7795097A" w14:textId="77777777" w:rsidR="004B2808" w:rsidRDefault="00000000">
      <w:pPr>
        <w:jc w:val="both"/>
      </w:pPr>
      <w:r>
        <w:t>L’entrepreneur réalise notamment les étapes suivantes :</w:t>
      </w:r>
    </w:p>
    <w:p w14:paraId="2B9989A1" w14:textId="77777777" w:rsidR="004B2808" w:rsidRDefault="00000000">
      <w:pPr>
        <w:pStyle w:val="Author-eListParagraph"/>
        <w:numPr>
          <w:ilvl w:val="0"/>
          <w:numId w:val="288"/>
        </w:numPr>
      </w:pPr>
      <w:r>
        <w:t>Obturation de toutes les fissures ou ouvertures (gaines électriques, percements, …) susceptibles d’entretenir un mouvement d’air derrière le revêtement à poser.</w:t>
      </w:r>
    </w:p>
    <w:p w14:paraId="3C41A627" w14:textId="77777777" w:rsidR="004B2808" w:rsidRDefault="00000000">
      <w:pPr>
        <w:pStyle w:val="Author-eListParagraph"/>
        <w:numPr>
          <w:ilvl w:val="0"/>
          <w:numId w:val="288"/>
        </w:numPr>
      </w:pPr>
      <w:r>
        <w:t>En fonction du revêtement à poser (ex. : revêtement présentant une certaine transparence ; lorsqu’il n’est pas fait usage de molleton ; …), la teinte du subjectile est uniformisée, de préférence dans la tonalité principale du revêtement à poser et de manière à éviter des nuançages pour des revêtements présentant une certaine transparence.</w:t>
      </w:r>
    </w:p>
    <w:p w14:paraId="3D8FF6A4" w14:textId="77777777" w:rsidR="004B2808" w:rsidRDefault="00000000">
      <w:pPr>
        <w:jc w:val="both"/>
      </w:pPr>
      <w:r>
        <w:rPr>
          <w:u w:val="single"/>
        </w:rPr>
        <w:t>Reconnaissance / Découpe / Assemblage du revêtement :</w:t>
      </w:r>
    </w:p>
    <w:p w14:paraId="56F5CE90" w14:textId="77777777" w:rsidR="004B2808" w:rsidRDefault="00000000">
      <w:pPr>
        <w:jc w:val="both"/>
      </w:pPr>
      <w:r>
        <w:t>Avant la pose du revêtement, l’entrepreneur repère les éventuels défauts et les élimine.</w:t>
      </w:r>
    </w:p>
    <w:p w14:paraId="2F02541D" w14:textId="77777777" w:rsidR="004B2808" w:rsidRDefault="00000000">
      <w:pPr>
        <w:jc w:val="both"/>
      </w:pPr>
      <w:r>
        <w:t>Le revêtement est découpé suivant un fil de trame avec un excédent de 10 à 15 cm par rapport à la surface à couvrir.</w:t>
      </w:r>
    </w:p>
    <w:p w14:paraId="0761A24C" w14:textId="77777777" w:rsidR="004B2808" w:rsidRDefault="00000000">
      <w:pPr>
        <w:jc w:val="both"/>
      </w:pPr>
      <w:r>
        <w:lastRenderedPageBreak/>
        <w:t>En fonction de leurs dimensions; les divers lés sont alors assemblés par couture de façon droite, en veillant, d’une part, à ce qu’aucune couture ne soit à moins de 10 cm d’un angle et, d’autre part, à respecter la continuité du motif décoratif s’il existe. </w:t>
      </w:r>
    </w:p>
    <w:p w14:paraId="479BF535" w14:textId="77777777" w:rsidR="004B2808" w:rsidRDefault="00000000">
      <w:pPr>
        <w:jc w:val="both"/>
      </w:pPr>
      <w:r>
        <w:t>Avant le début des travaux, l’entrepreneur soumet une proposition de raccord entre les lés à la direction des travaux.</w:t>
      </w:r>
    </w:p>
    <w:p w14:paraId="451AC38D" w14:textId="77777777" w:rsidR="004B2808" w:rsidRDefault="00000000">
      <w:pPr>
        <w:jc w:val="both"/>
      </w:pPr>
      <w:r>
        <w:rPr>
          <w:u w:val="single"/>
        </w:rPr>
        <w:t>Pose tendue - Principe :</w:t>
      </w:r>
    </w:p>
    <w:p w14:paraId="2ECCD523" w14:textId="77777777" w:rsidR="004B2808" w:rsidRDefault="00000000">
      <w:pPr>
        <w:jc w:val="both"/>
      </w:pPr>
      <w:r>
        <w:t>L’entrepreneur procède à une prétension manuelle du revêtement textile en veillant à ce que le fil de chaîne soit droit et horizontal et le fil de trame aligné sur la verticale.</w:t>
      </w:r>
    </w:p>
    <w:p w14:paraId="03195C30" w14:textId="77777777" w:rsidR="004B2808" w:rsidRDefault="00000000">
      <w:pPr>
        <w:jc w:val="both"/>
      </w:pPr>
      <w:r>
        <w:t xml:space="preserve"> Il bloque ensuite le revêtement dans cette position avant de pratiquer la fixation finale.</w:t>
      </w:r>
    </w:p>
    <w:p w14:paraId="7EF240F3" w14:textId="77777777" w:rsidR="004B2808" w:rsidRDefault="00000000">
      <w:pPr>
        <w:jc w:val="both"/>
      </w:pPr>
      <w:r>
        <w:t>La pose permet d’obtenir finalement une traction uniformément répartie sur le revêtement textile.</w:t>
      </w:r>
    </w:p>
    <w:p w14:paraId="2EB2AE3B" w14:textId="77777777" w:rsidR="004B2808" w:rsidRDefault="00000000">
      <w:pPr>
        <w:pStyle w:val="pheading"/>
      </w:pPr>
      <w:r>
        <w:t>DOCUMENTS DE RÉFÉRENCE</w:t>
      </w:r>
    </w:p>
    <w:p w14:paraId="17D2D2E5" w14:textId="77777777" w:rsidR="004B2808" w:rsidRDefault="00000000">
      <w:pPr>
        <w:pStyle w:val="pheading"/>
      </w:pPr>
      <w:r>
        <w:t>- Matériau</w:t>
      </w:r>
    </w:p>
    <w:p w14:paraId="0DF15D48" w14:textId="77777777" w:rsidR="004B2808" w:rsidRDefault="00000000">
      <w:r>
        <w:t>[NBN EN 235, Revêtements muraux - Vocabulaire et symboles]</w:t>
      </w:r>
    </w:p>
    <w:p w14:paraId="7F944E92" w14:textId="77777777" w:rsidR="004B2808" w:rsidRDefault="00000000">
      <w:r>
        <w:t>[AR 1994-07-07, Arrêté royal fixant les normes de base en matière de prévention contre l'incendie et l'explosion, auxquelles les bâtiments nouveaux doivent satisfaire] et ses compléments</w:t>
      </w:r>
    </w:p>
    <w:p w14:paraId="779738D0" w14:textId="77777777" w:rsidR="004B2808" w:rsidRDefault="00000000">
      <w:pPr>
        <w:pStyle w:val="pheading"/>
      </w:pPr>
      <w:r>
        <w:t>- Exécution</w:t>
      </w:r>
    </w:p>
    <w:p w14:paraId="7F6B747A" w14:textId="77777777" w:rsidR="004B2808" w:rsidRDefault="00000000">
      <w:r>
        <w:t>[NIT 194, Code de bonne pratique pour la pose de revêtements muraux souples.]</w:t>
      </w:r>
    </w:p>
    <w:p w14:paraId="58606255" w14:textId="77777777" w:rsidR="004B2808" w:rsidRDefault="00000000">
      <w:pPr>
        <w:pStyle w:val="Author-eSectionHeading6Numberless"/>
      </w:pPr>
      <w:bookmarkStart w:id="291" w:name="_Toc220490480"/>
      <w:r>
        <w:t>51.67.7a Revêtements tendus en vinyle tendu CCTB 01.11</w:t>
      </w:r>
      <w:bookmarkEnd w:id="291"/>
    </w:p>
    <w:p w14:paraId="04A93405" w14:textId="77777777" w:rsidR="004B2808" w:rsidRDefault="00000000">
      <w:pPr>
        <w:pStyle w:val="pheading"/>
      </w:pPr>
      <w:r>
        <w:t>DESCRIPTION</w:t>
      </w:r>
    </w:p>
    <w:p w14:paraId="6A3D4ED3" w14:textId="77777777" w:rsidR="004B2808" w:rsidRDefault="00000000">
      <w:pPr>
        <w:pStyle w:val="pheading"/>
      </w:pPr>
      <w:r>
        <w:t>- Définition / Comprend</w:t>
      </w:r>
    </w:p>
    <w:p w14:paraId="4D05D888" w14:textId="77777777" w:rsidR="004B2808" w:rsidRDefault="00000000">
      <w:pPr>
        <w:jc w:val="both"/>
      </w:pPr>
      <w:r>
        <w:t>Il s’agit de la fourniture et de la pose, sur des murs intérieurs, de revêtements en vinyle tendu thermo-rétractable.</w:t>
      </w:r>
    </w:p>
    <w:p w14:paraId="7450B81D" w14:textId="77777777" w:rsidR="004B2808" w:rsidRDefault="00000000">
      <w:pPr>
        <w:jc w:val="both"/>
      </w:pPr>
      <w:r>
        <w:t>Le travail comprend également :</w:t>
      </w:r>
    </w:p>
    <w:p w14:paraId="57B42127" w14:textId="77777777" w:rsidR="004B2808" w:rsidRDefault="00000000">
      <w:pPr>
        <w:pStyle w:val="Author-eListParagraph"/>
        <w:numPr>
          <w:ilvl w:val="0"/>
          <w:numId w:val="289"/>
        </w:numPr>
      </w:pPr>
      <w:r>
        <w:t xml:space="preserve">La fourniture et la mise en œuvre d’un molleton : </w:t>
      </w:r>
      <w:r>
        <w:rPr>
          <w:rStyle w:val="optioncarChar"/>
        </w:rPr>
        <w:t xml:space="preserve">oui </w:t>
      </w:r>
      <w:r>
        <w:t>(par défaut)</w:t>
      </w:r>
      <w:r>
        <w:rPr>
          <w:rStyle w:val="optioncarChar"/>
        </w:rPr>
        <w:t xml:space="preserve"> / non</w:t>
      </w:r>
    </w:p>
    <w:p w14:paraId="3468AF4F" w14:textId="77777777" w:rsidR="004B2808" w:rsidRDefault="00000000">
      <w:pPr>
        <w:jc w:val="both"/>
      </w:pPr>
      <w:r>
        <w:t xml:space="preserve">Si une préparation particulière des supports est nécessaire, elle est notamment décrite au </w:t>
      </w:r>
      <w:hyperlink w:anchor="1164" w:history="1">
        <w:r w:rsidR="004B2808">
          <w:rPr>
            <w:color w:val="0000EE"/>
          </w:rPr>
          <w:t>51.5 Revêtements intérieurs enduits</w:t>
        </w:r>
      </w:hyperlink>
      <w:r>
        <w:t xml:space="preserve"> et suivants.</w:t>
      </w:r>
    </w:p>
    <w:p w14:paraId="2F1A30E2" w14:textId="77777777" w:rsidR="004B2808" w:rsidRDefault="00000000">
      <w:pPr>
        <w:pStyle w:val="pheading"/>
      </w:pPr>
      <w:r>
        <w:t>MATÉRIAUX</w:t>
      </w:r>
    </w:p>
    <w:p w14:paraId="1AD21702" w14:textId="77777777" w:rsidR="004B2808" w:rsidRDefault="00000000">
      <w:pPr>
        <w:pStyle w:val="pheading"/>
      </w:pPr>
      <w:r>
        <w:t>- Caractéristiques générales</w:t>
      </w:r>
    </w:p>
    <w:p w14:paraId="08C97774" w14:textId="77777777" w:rsidR="004B2808" w:rsidRDefault="00000000">
      <w:pPr>
        <w:jc w:val="both"/>
      </w:pPr>
      <w:r>
        <w:rPr>
          <w:u w:val="single"/>
        </w:rPr>
        <w:t>Revêtement vinyle :</w:t>
      </w:r>
    </w:p>
    <w:p w14:paraId="33F85ACF" w14:textId="77777777" w:rsidR="004B2808" w:rsidRDefault="00000000">
      <w:pPr>
        <w:jc w:val="both"/>
      </w:pPr>
      <w:r>
        <w:t>Il est constitué d’une toile en PVC, thermo-extensible.</w:t>
      </w:r>
    </w:p>
    <w:p w14:paraId="59C07D7B" w14:textId="77777777" w:rsidR="004B2808" w:rsidRDefault="00000000">
      <w:pPr>
        <w:jc w:val="both"/>
      </w:pPr>
      <w:r>
        <w:t xml:space="preserve">Composé de : </w:t>
      </w:r>
      <w:r>
        <w:rPr>
          <w:rStyle w:val="optioncarChar"/>
        </w:rPr>
        <w:t xml:space="preserve">copolymère (polychlorure de vinyle) entièrement recyclable </w:t>
      </w:r>
      <w:r>
        <w:t>(par défaut)</w:t>
      </w:r>
      <w:r>
        <w:rPr>
          <w:rStyle w:val="optioncarChar"/>
        </w:rPr>
        <w:t xml:space="preserve"> / ***</w:t>
      </w:r>
    </w:p>
    <w:p w14:paraId="489AC00F" w14:textId="77777777" w:rsidR="004B2808" w:rsidRDefault="00000000">
      <w:pPr>
        <w:jc w:val="both"/>
      </w:pPr>
      <w:r>
        <w:t xml:space="preserve">Classe de réaction au feu : </w:t>
      </w:r>
      <w:r>
        <w:rPr>
          <w:rStyle w:val="optioncarChar"/>
        </w:rPr>
        <w:t xml:space="preserve">B S1-d0 </w:t>
      </w:r>
      <w:r>
        <w:t>(par défaut)</w:t>
      </w:r>
      <w:r>
        <w:rPr>
          <w:rStyle w:val="optioncarChar"/>
        </w:rPr>
        <w:t xml:space="preserve"> / B S2-d0 / B S3-d0 / ***</w:t>
      </w:r>
    </w:p>
    <w:p w14:paraId="73C6DA42" w14:textId="77777777" w:rsidR="004B2808" w:rsidRDefault="00000000">
      <w:pPr>
        <w:jc w:val="both"/>
      </w:pPr>
      <w:r>
        <w:t xml:space="preserve">Toxicité (COV) : </w:t>
      </w:r>
      <w:r>
        <w:rPr>
          <w:rStyle w:val="optioncarChar"/>
        </w:rPr>
        <w:t>A+</w:t>
      </w:r>
      <w:r>
        <w:t xml:space="preserve"> (par défaut)</w:t>
      </w:r>
      <w:r>
        <w:rPr>
          <w:rStyle w:val="optioncarChar"/>
        </w:rPr>
        <w:t xml:space="preserve"> / ***</w:t>
      </w:r>
    </w:p>
    <w:p w14:paraId="2EB01BE0" w14:textId="77777777" w:rsidR="004B2808" w:rsidRDefault="00000000">
      <w:pPr>
        <w:jc w:val="both"/>
      </w:pPr>
      <w:r>
        <w:rPr>
          <w:rStyle w:val="optioncarChar"/>
        </w:rPr>
        <w:t>Perméable à la vapeur d’eau</w:t>
      </w:r>
      <w:r>
        <w:t xml:space="preserve"> (par défaut)</w:t>
      </w:r>
      <w:r>
        <w:rPr>
          <w:rStyle w:val="optioncarChar"/>
        </w:rPr>
        <w:t xml:space="preserve"> / ***</w:t>
      </w:r>
    </w:p>
    <w:p w14:paraId="352A2AA1" w14:textId="77777777" w:rsidR="004B2808" w:rsidRDefault="00000000">
      <w:pPr>
        <w:jc w:val="both"/>
      </w:pPr>
      <w:r>
        <w:t xml:space="preserve">Garantie du fabricant ≥ : </w:t>
      </w:r>
      <w:r>
        <w:rPr>
          <w:rStyle w:val="optioncarChar"/>
        </w:rPr>
        <w:t xml:space="preserve">10 </w:t>
      </w:r>
      <w:r>
        <w:t>(par défaut)</w:t>
      </w:r>
      <w:r>
        <w:rPr>
          <w:rStyle w:val="optioncarChar"/>
        </w:rPr>
        <w:t xml:space="preserve"> / ***</w:t>
      </w:r>
      <w:r>
        <w:t xml:space="preserve"> ans.</w:t>
      </w:r>
    </w:p>
    <w:p w14:paraId="2DB23C8E" w14:textId="77777777" w:rsidR="004B2808" w:rsidRDefault="00000000">
      <w:pPr>
        <w:jc w:val="both"/>
      </w:pPr>
      <w:r>
        <w:rPr>
          <w:u w:val="single"/>
        </w:rPr>
        <w:t>Molleton :</w:t>
      </w:r>
    </w:p>
    <w:p w14:paraId="29C9D3CD" w14:textId="77777777" w:rsidR="004B2808" w:rsidRDefault="00000000">
      <w:pPr>
        <w:jc w:val="both"/>
      </w:pPr>
      <w:r>
        <w:t xml:space="preserve">Composition : </w:t>
      </w:r>
      <w:r>
        <w:rPr>
          <w:rStyle w:val="optioncarChar"/>
        </w:rPr>
        <w:t xml:space="preserve">aiguilleté composé de fibres polyester </w:t>
      </w:r>
      <w:r>
        <w:t>(par défaut)</w:t>
      </w:r>
      <w:r>
        <w:rPr>
          <w:rStyle w:val="optioncarChar"/>
        </w:rPr>
        <w:t xml:space="preserve"> / chlorofibres / viscose (fibres végétales) / ***</w:t>
      </w:r>
    </w:p>
    <w:p w14:paraId="3ECF2C80" w14:textId="77777777" w:rsidR="004B2808" w:rsidRDefault="00000000">
      <w:pPr>
        <w:jc w:val="both"/>
      </w:pPr>
      <w:r>
        <w:t>Poids ± : </w:t>
      </w:r>
      <w:r>
        <w:rPr>
          <w:rStyle w:val="optioncarChar"/>
        </w:rPr>
        <w:t xml:space="preserve">330 </w:t>
      </w:r>
      <w:r>
        <w:t>(par défaut)</w:t>
      </w:r>
      <w:r>
        <w:rPr>
          <w:rStyle w:val="optioncarChar"/>
        </w:rPr>
        <w:t xml:space="preserve"> / 400 / 500 / ***</w:t>
      </w:r>
      <w:r>
        <w:t xml:space="preserve"> g/m²</w:t>
      </w:r>
    </w:p>
    <w:p w14:paraId="2CEAF9DA" w14:textId="77777777" w:rsidR="004B2808" w:rsidRDefault="00000000">
      <w:pPr>
        <w:jc w:val="both"/>
      </w:pPr>
      <w:r>
        <w:t xml:space="preserve">Epaisseur : </w:t>
      </w:r>
      <w:r>
        <w:rPr>
          <w:rStyle w:val="optioncarChar"/>
        </w:rPr>
        <w:t xml:space="preserve">3,5 </w:t>
      </w:r>
      <w:r>
        <w:t>(par défaut)</w:t>
      </w:r>
      <w:r>
        <w:rPr>
          <w:rStyle w:val="optioncarChar"/>
        </w:rPr>
        <w:t xml:space="preserve"> / 4 / 10 / ***</w:t>
      </w:r>
      <w:r>
        <w:t xml:space="preserve"> mm</w:t>
      </w:r>
    </w:p>
    <w:p w14:paraId="4D7FE162" w14:textId="77777777" w:rsidR="004B2808" w:rsidRDefault="00000000">
      <w:pPr>
        <w:jc w:val="both"/>
      </w:pPr>
      <w:r>
        <w:t>Classement au feu : </w:t>
      </w:r>
      <w:r>
        <w:rPr>
          <w:rStyle w:val="optioncarChar"/>
        </w:rPr>
        <w:t xml:space="preserve">A1 </w:t>
      </w:r>
      <w:r>
        <w:t>(par défaut)</w:t>
      </w:r>
      <w:r>
        <w:rPr>
          <w:rStyle w:val="optioncarChar"/>
        </w:rPr>
        <w:t xml:space="preserve"> / ***</w:t>
      </w:r>
      <w:r>
        <w:t xml:space="preserve"> selon [NBN EN 13501-1]</w:t>
      </w:r>
    </w:p>
    <w:p w14:paraId="3DF6477D" w14:textId="77777777" w:rsidR="004B2808" w:rsidRDefault="00000000">
      <w:pPr>
        <w:pStyle w:val="pheading"/>
      </w:pPr>
      <w:r>
        <w:lastRenderedPageBreak/>
        <w:t>- Finitions</w:t>
      </w:r>
    </w:p>
    <w:p w14:paraId="2C216CEA" w14:textId="77777777" w:rsidR="004B2808" w:rsidRDefault="00000000">
      <w:r>
        <w:rPr>
          <w:u w:val="single"/>
        </w:rPr>
        <w:t>Revêtement vinyle :</w:t>
      </w:r>
    </w:p>
    <w:p w14:paraId="195C1312" w14:textId="77777777" w:rsidR="004B2808" w:rsidRDefault="00000000">
      <w:pPr>
        <w:pStyle w:val="Author-eListParagraph"/>
        <w:numPr>
          <w:ilvl w:val="0"/>
          <w:numId w:val="290"/>
        </w:numPr>
      </w:pPr>
      <w:r>
        <w:t xml:space="preserve">Teinte : </w:t>
      </w:r>
      <w:r>
        <w:rPr>
          <w:rStyle w:val="optioncarChar"/>
        </w:rPr>
        <w:t xml:space="preserve">au choix dans le nuancier de base du fabricant </w:t>
      </w:r>
      <w:r>
        <w:t>(par défaut)</w:t>
      </w:r>
      <w:r>
        <w:rPr>
          <w:rStyle w:val="optioncarChar"/>
        </w:rPr>
        <w:t xml:space="preserve"> / ***</w:t>
      </w:r>
    </w:p>
    <w:p w14:paraId="7C5446A4" w14:textId="77777777" w:rsidR="004B2808" w:rsidRDefault="00000000">
      <w:pPr>
        <w:pStyle w:val="Author-eListParagraph"/>
        <w:numPr>
          <w:ilvl w:val="0"/>
          <w:numId w:val="290"/>
        </w:numPr>
      </w:pPr>
      <w:r>
        <w:t xml:space="preserve">Finition : </w:t>
      </w:r>
      <w:r>
        <w:rPr>
          <w:rStyle w:val="optioncarChar"/>
        </w:rPr>
        <w:t xml:space="preserve">mat </w:t>
      </w:r>
      <w:r>
        <w:t>(par défaut)</w:t>
      </w:r>
      <w:r>
        <w:rPr>
          <w:rStyle w:val="optioncarChar"/>
        </w:rPr>
        <w:t xml:space="preserve"> / satiné / laqué / métal / daim / translucide / ***</w:t>
      </w:r>
    </w:p>
    <w:p w14:paraId="48270F1E" w14:textId="77777777" w:rsidR="004B2808" w:rsidRDefault="00000000">
      <w:r>
        <w:rPr>
          <w:u w:val="single"/>
        </w:rPr>
        <w:t>Profils de support - Accessoires :</w:t>
      </w:r>
    </w:p>
    <w:p w14:paraId="1D7BD063" w14:textId="77777777" w:rsidR="004B2808" w:rsidRDefault="00000000">
      <w:pPr>
        <w:pStyle w:val="Author-eListParagraph"/>
        <w:numPr>
          <w:ilvl w:val="0"/>
          <w:numId w:val="291"/>
        </w:numPr>
      </w:pPr>
      <w:r>
        <w:t xml:space="preserve">Teinte : </w:t>
      </w:r>
      <w:r>
        <w:rPr>
          <w:rStyle w:val="optioncarChar"/>
        </w:rPr>
        <w:t xml:space="preserve">au choix dans le nuancier de base du fabricant </w:t>
      </w:r>
      <w:r>
        <w:t>(par défaut)</w:t>
      </w:r>
      <w:r>
        <w:rPr>
          <w:rStyle w:val="optioncarChar"/>
        </w:rPr>
        <w:t xml:space="preserve"> / ***</w:t>
      </w:r>
    </w:p>
    <w:p w14:paraId="31F61B51" w14:textId="77777777" w:rsidR="004B2808" w:rsidRDefault="00000000">
      <w:pPr>
        <w:pStyle w:val="Author-eListParagraph"/>
        <w:numPr>
          <w:ilvl w:val="0"/>
          <w:numId w:val="291"/>
        </w:numPr>
      </w:pPr>
      <w:r>
        <w:t xml:space="preserve">Finition : </w:t>
      </w:r>
      <w:r>
        <w:rPr>
          <w:rStyle w:val="optioncarChar"/>
        </w:rPr>
        <w:t>au choix dans le nuancier de base du fabricant</w:t>
      </w:r>
      <w:r>
        <w:t xml:space="preserve"> (par défaut) </w:t>
      </w:r>
      <w:r>
        <w:rPr>
          <w:rStyle w:val="optioncarChar"/>
        </w:rPr>
        <w:t>/ ***</w:t>
      </w:r>
    </w:p>
    <w:p w14:paraId="4982B27D" w14:textId="77777777" w:rsidR="004B2808" w:rsidRDefault="00000000">
      <w:r>
        <w:rPr>
          <w:u w:val="single"/>
        </w:rPr>
        <w:t>Molleton :</w:t>
      </w:r>
      <w:r>
        <w:br/>
        <w:t xml:space="preserve">Couleur : </w:t>
      </w:r>
      <w:r>
        <w:rPr>
          <w:rStyle w:val="optioncarChar"/>
        </w:rPr>
        <w:t>blanc</w:t>
      </w:r>
      <w:r>
        <w:t xml:space="preserve"> (par défaut)</w:t>
      </w:r>
      <w:r>
        <w:rPr>
          <w:rStyle w:val="optioncarChar"/>
        </w:rPr>
        <w:t xml:space="preserve"> / ***</w:t>
      </w:r>
    </w:p>
    <w:p w14:paraId="36064ADD" w14:textId="77777777" w:rsidR="004B2808" w:rsidRDefault="00000000">
      <w:pPr>
        <w:pStyle w:val="pheading"/>
      </w:pPr>
      <w:r>
        <w:t>EXÉCUTION / MISE EN ŒUVRE</w:t>
      </w:r>
    </w:p>
    <w:p w14:paraId="2A72D7E1" w14:textId="77777777" w:rsidR="004B2808" w:rsidRDefault="00000000">
      <w:pPr>
        <w:pStyle w:val="pheading"/>
      </w:pPr>
      <w:r>
        <w:t>- Prescriptions générales</w:t>
      </w:r>
    </w:p>
    <w:p w14:paraId="12D0932E" w14:textId="77777777" w:rsidR="004B2808" w:rsidRDefault="00000000">
      <w:pPr>
        <w:jc w:val="both"/>
      </w:pPr>
      <w:r>
        <w:rPr>
          <w:u w:val="single"/>
        </w:rPr>
        <w:t>Position du revêtement tendu :</w:t>
      </w:r>
    </w:p>
    <w:p w14:paraId="66AB0747" w14:textId="77777777" w:rsidR="004B2808" w:rsidRDefault="00000000">
      <w:pPr>
        <w:jc w:val="both"/>
      </w:pPr>
      <w:r>
        <w:t xml:space="preserve">Distance entre le revêtement et le support : </w:t>
      </w:r>
      <w:r>
        <w:rPr>
          <w:rStyle w:val="optioncarChar"/>
        </w:rPr>
        <w:t>selon indications aux plans</w:t>
      </w:r>
      <w:r>
        <w:t xml:space="preserve"> (par défaut)</w:t>
      </w:r>
      <w:r>
        <w:rPr>
          <w:rStyle w:val="optioncarChar"/>
        </w:rPr>
        <w:t xml:space="preserve"> / ***</w:t>
      </w:r>
    </w:p>
    <w:p w14:paraId="4A431824" w14:textId="77777777" w:rsidR="004B2808" w:rsidRDefault="00000000">
      <w:pPr>
        <w:jc w:val="both"/>
      </w:pPr>
      <w:r>
        <w:rPr>
          <w:u w:val="single"/>
        </w:rPr>
        <w:t>Fixation :</w:t>
      </w:r>
    </w:p>
    <w:p w14:paraId="0B0205C2" w14:textId="77777777" w:rsidR="004B2808" w:rsidRDefault="00000000">
      <w:pPr>
        <w:jc w:val="both"/>
      </w:pPr>
      <w:r>
        <w:t>Le revêtement est fixé sur les murs à l’aide de profils de support (lisses, languettes, …) adaptés à l’usage.</w:t>
      </w:r>
    </w:p>
    <w:p w14:paraId="67A38D6F" w14:textId="77777777" w:rsidR="004B2808" w:rsidRDefault="00000000">
      <w:pPr>
        <w:jc w:val="both"/>
      </w:pPr>
      <w:r>
        <w:t>Ces profils sont découpés à la longueur voulue et placés au pourtour de la surface à revêtir, ainsi qu’au pourtour des éventuelles ouvertures ou baies.</w:t>
      </w:r>
    </w:p>
    <w:p w14:paraId="0875D0BE" w14:textId="77777777" w:rsidR="004B2808" w:rsidRDefault="00000000">
      <w:pPr>
        <w:pStyle w:val="Author-eListParagraph"/>
        <w:numPr>
          <w:ilvl w:val="0"/>
          <w:numId w:val="292"/>
        </w:numPr>
      </w:pPr>
      <w:r>
        <w:t xml:space="preserve">Matériau : </w:t>
      </w:r>
      <w:r>
        <w:rPr>
          <w:rStyle w:val="optioncarChar"/>
        </w:rPr>
        <w:t xml:space="preserve">aluminium </w:t>
      </w:r>
      <w:r>
        <w:t xml:space="preserve">(par défaut) </w:t>
      </w:r>
      <w:r>
        <w:rPr>
          <w:rStyle w:val="optioncarChar"/>
        </w:rPr>
        <w:t>/ bois / matière plastique / ***</w:t>
      </w:r>
    </w:p>
    <w:p w14:paraId="2AD5AE57" w14:textId="77777777" w:rsidR="004B2808" w:rsidRDefault="00000000">
      <w:pPr>
        <w:pStyle w:val="Author-eListParagraph"/>
        <w:numPr>
          <w:ilvl w:val="0"/>
          <w:numId w:val="292"/>
        </w:numPr>
      </w:pPr>
      <w:r>
        <w:t xml:space="preserve">Fixation par : </w:t>
      </w:r>
      <w:r>
        <w:rPr>
          <w:rStyle w:val="optioncarChar"/>
        </w:rPr>
        <w:t xml:space="preserve">vissage </w:t>
      </w:r>
      <w:r>
        <w:t xml:space="preserve">(par défaut) </w:t>
      </w:r>
      <w:r>
        <w:rPr>
          <w:rStyle w:val="optioncarChar"/>
        </w:rPr>
        <w:t>/ collage / agrafage / ***</w:t>
      </w:r>
    </w:p>
    <w:p w14:paraId="628E049D" w14:textId="77777777" w:rsidR="004B2808" w:rsidRDefault="00000000">
      <w:pPr>
        <w:jc w:val="both"/>
      </w:pPr>
      <w:r>
        <w:t>Les différents éléments (profils, accessoires, revêtements, …) font partie d’un ensemble. Ils sont parfaitement compatibles et sont fournis par le même fabricant.</w:t>
      </w:r>
    </w:p>
    <w:p w14:paraId="7D53E009" w14:textId="77777777" w:rsidR="004B2808" w:rsidRDefault="00000000">
      <w:pPr>
        <w:jc w:val="both"/>
      </w:pPr>
      <w:r>
        <w:rPr>
          <w:u w:val="single"/>
        </w:rPr>
        <w:t>Molletons :</w:t>
      </w:r>
    </w:p>
    <w:p w14:paraId="15C6B3C8" w14:textId="77777777" w:rsidR="004B2808" w:rsidRDefault="00000000">
      <w:pPr>
        <w:jc w:val="both"/>
      </w:pPr>
      <w:r>
        <w:t>Il est éventuellement fait usage d’un molleton selon la description ci-avant.</w:t>
      </w:r>
    </w:p>
    <w:p w14:paraId="02EBB289" w14:textId="77777777" w:rsidR="004B2808" w:rsidRDefault="00000000">
      <w:pPr>
        <w:jc w:val="both"/>
      </w:pPr>
      <w:r>
        <w:t>Le cas échéant, le molleton est directement posé sur le mur de support, entre les profils de support.</w:t>
      </w:r>
    </w:p>
    <w:p w14:paraId="272CF20F" w14:textId="77777777" w:rsidR="004B2808" w:rsidRDefault="00000000">
      <w:pPr>
        <w:pStyle w:val="Author-eListParagraph"/>
        <w:numPr>
          <w:ilvl w:val="0"/>
          <w:numId w:val="293"/>
        </w:numPr>
      </w:pPr>
      <w:r>
        <w:t xml:space="preserve">Fixation par : </w:t>
      </w:r>
      <w:r>
        <w:rPr>
          <w:rStyle w:val="optioncarChar"/>
        </w:rPr>
        <w:t>agrafage</w:t>
      </w:r>
      <w:r>
        <w:t xml:space="preserve"> (par défaut)</w:t>
      </w:r>
      <w:r>
        <w:rPr>
          <w:rStyle w:val="optioncarChar"/>
        </w:rPr>
        <w:t xml:space="preserve"> / collage / ***</w:t>
      </w:r>
    </w:p>
    <w:p w14:paraId="024EFD73" w14:textId="77777777" w:rsidR="004B2808" w:rsidRDefault="00000000">
      <w:pPr>
        <w:jc w:val="both"/>
      </w:pPr>
      <w:r>
        <w:rPr>
          <w:u w:val="single"/>
        </w:rPr>
        <w:t>Pose tendue d’un revêtement vinyle thermo-rétractable :</w:t>
      </w:r>
    </w:p>
    <w:p w14:paraId="2B5DE0A6" w14:textId="77777777" w:rsidR="004B2808" w:rsidRDefault="00000000">
      <w:pPr>
        <w:jc w:val="both"/>
      </w:pPr>
      <w:r>
        <w:t>Pour obtenir la tension finale, une source de chaleur est régulièrement répartie dans la pièce.</w:t>
      </w:r>
    </w:p>
    <w:p w14:paraId="4B7FF8CD" w14:textId="77777777" w:rsidR="004B2808" w:rsidRDefault="00000000">
      <w:pPr>
        <w:jc w:val="both"/>
      </w:pPr>
      <w:r>
        <w:t>En se refroidissant, le résultat de l’effet thermique sur le revêtement thermo-rétractable préalablement posé conduit à une traction uniformément répartie et à l’obtention d’une surface rigoureusement plane.</w:t>
      </w:r>
    </w:p>
    <w:p w14:paraId="0778BFAC" w14:textId="77777777" w:rsidR="004B2808" w:rsidRDefault="00000000">
      <w:pPr>
        <w:pStyle w:val="pheading"/>
      </w:pPr>
      <w:r>
        <w:t>- Échantillons</w:t>
      </w:r>
    </w:p>
    <w:p w14:paraId="3E5DCBE0" w14:textId="77777777" w:rsidR="004B2808" w:rsidRDefault="00000000">
      <w:r>
        <w:t>Avant commande, l’entrepreneur soumet les différents nuanciers à la direction des travaux.</w:t>
      </w:r>
    </w:p>
    <w:p w14:paraId="2F633887" w14:textId="77777777" w:rsidR="004B2808" w:rsidRDefault="00000000">
      <w:pPr>
        <w:pStyle w:val="pheading"/>
      </w:pPr>
      <w:r>
        <w:t>MESURAGE</w:t>
      </w:r>
    </w:p>
    <w:p w14:paraId="0C7C58F4" w14:textId="77777777" w:rsidR="004B2808" w:rsidRDefault="00000000">
      <w:pPr>
        <w:pStyle w:val="pheading"/>
      </w:pPr>
      <w:r>
        <w:t>- unité de mesure:</w:t>
      </w:r>
    </w:p>
    <w:p w14:paraId="196D4E2D" w14:textId="77777777" w:rsidR="004B2808" w:rsidRDefault="00000000">
      <w:r>
        <w:rPr>
          <w:rStyle w:val="optioncarChar"/>
        </w:rPr>
        <w:t>m²</w:t>
      </w:r>
      <w:r>
        <w:t xml:space="preserve"> (par défaut)</w:t>
      </w:r>
      <w:r>
        <w:rPr>
          <w:rStyle w:val="optioncarChar"/>
        </w:rPr>
        <w:t xml:space="preserve"> / fft</w:t>
      </w:r>
    </w:p>
    <w:p w14:paraId="115CDD68" w14:textId="77777777" w:rsidR="004B2808" w:rsidRDefault="00000000">
      <w:r>
        <w:rPr>
          <w:b/>
        </w:rPr>
        <w:t>(soit par défaut)</w:t>
      </w:r>
      <w:r>
        <w:br/>
      </w:r>
      <w:r>
        <w:rPr>
          <w:rStyle w:val="soitChar"/>
        </w:rPr>
        <w:t>1.   m²</w:t>
      </w:r>
      <w:r>
        <w:br/>
      </w:r>
      <w:r>
        <w:rPr>
          <w:b/>
        </w:rPr>
        <w:t>(soit)</w:t>
      </w:r>
      <w:r>
        <w:br/>
      </w:r>
      <w:r>
        <w:rPr>
          <w:rStyle w:val="soitChar"/>
        </w:rPr>
        <w:t>2.   fft</w:t>
      </w:r>
    </w:p>
    <w:p w14:paraId="32A69614" w14:textId="77777777" w:rsidR="004B2808" w:rsidRDefault="00000000">
      <w:pPr>
        <w:pStyle w:val="pheading"/>
      </w:pPr>
      <w:r>
        <w:t>- code de mesurage:</w:t>
      </w:r>
    </w:p>
    <w:p w14:paraId="3BD8590E" w14:textId="77777777" w:rsidR="004B2808" w:rsidRDefault="00000000">
      <w:pPr>
        <w:jc w:val="both"/>
      </w:pPr>
      <w:r>
        <w:rPr>
          <w:rStyle w:val="optioncarChar"/>
        </w:rPr>
        <w:t>Surface nette</w:t>
      </w:r>
      <w:r>
        <w:t xml:space="preserve"> (par défaut) </w:t>
      </w:r>
      <w:r>
        <w:rPr>
          <w:rStyle w:val="optioncarChar"/>
        </w:rPr>
        <w:t>/ Pour l'ensemble des prestations à réaliser</w:t>
      </w:r>
    </w:p>
    <w:p w14:paraId="75DD351D" w14:textId="77777777" w:rsidR="004B2808" w:rsidRDefault="00000000">
      <w:pPr>
        <w:jc w:val="both"/>
      </w:pPr>
      <w:r>
        <w:rPr>
          <w:b/>
        </w:rPr>
        <w:lastRenderedPageBreak/>
        <w:t>(soit par défaut)</w:t>
      </w:r>
    </w:p>
    <w:p w14:paraId="424BA13B" w14:textId="77777777" w:rsidR="004B2808" w:rsidRDefault="00000000">
      <w:pPr>
        <w:jc w:val="both"/>
      </w:pPr>
      <w:r>
        <w:rPr>
          <w:rStyle w:val="soitChar"/>
        </w:rPr>
        <w:t>1.   </w:t>
      </w:r>
      <w:r>
        <w:rPr>
          <w:rStyle w:val="soitChar"/>
          <w:u w:val="single"/>
        </w:rPr>
        <w:t>Surface nette :</w:t>
      </w:r>
    </w:p>
    <w:p w14:paraId="6A752C79" w14:textId="77777777" w:rsidR="004B2808" w:rsidRDefault="00000000">
      <w:pPr>
        <w:jc w:val="both"/>
      </w:pPr>
      <w:r>
        <w:rPr>
          <w:rStyle w:val="soitChar"/>
        </w:rPr>
        <w:t>En tenant compte de la plus grande longueur et largeur de la surface à recouvrir, y compris la profondeur des niches.</w:t>
      </w:r>
    </w:p>
    <w:p w14:paraId="2C380835" w14:textId="77777777" w:rsidR="004B2808" w:rsidRDefault="00000000">
      <w:pPr>
        <w:jc w:val="both"/>
      </w:pPr>
      <w:r>
        <w:rPr>
          <w:rStyle w:val="soitChar"/>
        </w:rPr>
        <w:t>Eventuellement scindée dans différents postes selon le type de revêtement.</w:t>
      </w:r>
    </w:p>
    <w:p w14:paraId="7C9FA275" w14:textId="77777777" w:rsidR="004B2808" w:rsidRDefault="00000000">
      <w:pPr>
        <w:jc w:val="both"/>
      </w:pPr>
      <w:r>
        <w:rPr>
          <w:b/>
        </w:rPr>
        <w:t>(soit)</w:t>
      </w:r>
    </w:p>
    <w:p w14:paraId="13284E1B" w14:textId="77777777" w:rsidR="004B2808" w:rsidRDefault="00000000">
      <w:pPr>
        <w:jc w:val="both"/>
      </w:pPr>
      <w:r>
        <w:rPr>
          <w:rStyle w:val="soitChar"/>
        </w:rPr>
        <w:t>2.   </w:t>
      </w:r>
      <w:r>
        <w:rPr>
          <w:rStyle w:val="soitChar"/>
          <w:u w:val="single"/>
        </w:rPr>
        <w:t>Pour l’ensemble des prestations à réaliser :</w:t>
      </w:r>
    </w:p>
    <w:p w14:paraId="0C490EFE" w14:textId="77777777" w:rsidR="004B2808" w:rsidRDefault="00000000">
      <w:pPr>
        <w:jc w:val="both"/>
      </w:pPr>
      <w:r>
        <w:rPr>
          <w:rStyle w:val="soitChar"/>
        </w:rPr>
        <w:t>Le prix unitaire comprend toutes les prestations nécessaires pour l’exécution de l’ensemble.</w:t>
      </w:r>
    </w:p>
    <w:p w14:paraId="69D0EE0D" w14:textId="77777777" w:rsidR="004B2808" w:rsidRDefault="00000000">
      <w:pPr>
        <w:jc w:val="both"/>
      </w:pPr>
      <w:r>
        <w:rPr>
          <w:rStyle w:val="soitChar"/>
        </w:rPr>
        <w:t>Eventuellement scindé dans différents postes selon le type de revêtement.</w:t>
      </w:r>
    </w:p>
    <w:p w14:paraId="0F496961" w14:textId="77777777" w:rsidR="004B2808" w:rsidRDefault="00000000">
      <w:pPr>
        <w:pStyle w:val="pheading"/>
      </w:pPr>
      <w:r>
        <w:t>- nature du marché:</w:t>
      </w:r>
    </w:p>
    <w:p w14:paraId="0E5C5CFF" w14:textId="77777777" w:rsidR="004B2808" w:rsidRDefault="00000000">
      <w:r>
        <w:rPr>
          <w:rStyle w:val="optioncarChar"/>
        </w:rPr>
        <w:t>QF</w:t>
      </w:r>
      <w:r>
        <w:t xml:space="preserve"> (par défaut) </w:t>
      </w:r>
      <w:r>
        <w:rPr>
          <w:rStyle w:val="optioncarChar"/>
        </w:rPr>
        <w:t>/ PG</w:t>
      </w:r>
    </w:p>
    <w:p w14:paraId="0868634E" w14:textId="77777777" w:rsidR="004B2808" w:rsidRDefault="00000000">
      <w:r>
        <w:rPr>
          <w:b/>
        </w:rPr>
        <w:t>(soit par défaut)</w:t>
      </w:r>
      <w:r>
        <w:br/>
      </w:r>
      <w:r>
        <w:rPr>
          <w:rStyle w:val="soitChar"/>
        </w:rPr>
        <w:t>1.   QF</w:t>
      </w:r>
      <w:r>
        <w:br/>
      </w:r>
      <w:r>
        <w:rPr>
          <w:b/>
        </w:rPr>
        <w:t>(soit)</w:t>
      </w:r>
      <w:r>
        <w:br/>
      </w:r>
      <w:r>
        <w:rPr>
          <w:rStyle w:val="soitChar"/>
        </w:rPr>
        <w:t>2.   PG</w:t>
      </w:r>
    </w:p>
    <w:p w14:paraId="27B65173" w14:textId="77777777" w:rsidR="004B2808" w:rsidRDefault="00000000">
      <w:pPr>
        <w:pStyle w:val="pheading"/>
      </w:pPr>
      <w:r>
        <w:t>AIDE</w:t>
      </w:r>
    </w:p>
    <w:p w14:paraId="185F5F67" w14:textId="77777777" w:rsidR="004B2808" w:rsidRDefault="00000000">
      <w:pPr>
        <w:jc w:val="both"/>
      </w:pPr>
      <w:r>
        <w:rPr>
          <w:u w:val="single"/>
        </w:rPr>
        <w:t>Molletons :</w:t>
      </w:r>
    </w:p>
    <w:p w14:paraId="1DDBB5DB" w14:textId="77777777" w:rsidR="004B2808" w:rsidRDefault="00000000">
      <w:pPr>
        <w:jc w:val="both"/>
      </w:pPr>
      <w:r>
        <w:t xml:space="preserve"> Il en existe plusieurs qualités :</w:t>
      </w:r>
    </w:p>
    <w:p w14:paraId="10DC5852" w14:textId="77777777" w:rsidR="004B2808" w:rsidRDefault="00000000">
      <w:pPr>
        <w:pStyle w:val="Author-eListParagraph"/>
        <w:numPr>
          <w:ilvl w:val="0"/>
          <w:numId w:val="294"/>
        </w:numPr>
        <w:jc w:val="both"/>
      </w:pPr>
      <w:r>
        <w:t>le molleton acrylique, qui, par son volume, confère à la pose un aspect capitonné mais peut poser problème du fait de ses propriétés électrostatiques s’il existe la possibilité d’une circulation d’air ;</w:t>
      </w:r>
    </w:p>
    <w:p w14:paraId="7034F962" w14:textId="77777777" w:rsidR="004B2808" w:rsidRDefault="00000000">
      <w:pPr>
        <w:pStyle w:val="Author-eListParagraph"/>
        <w:numPr>
          <w:ilvl w:val="0"/>
          <w:numId w:val="294"/>
        </w:numPr>
        <w:jc w:val="both"/>
      </w:pPr>
      <w:r>
        <w:t>le molleton de coton, plus plat, très stable et antistatique ;</w:t>
      </w:r>
    </w:p>
    <w:p w14:paraId="3B501C43" w14:textId="77777777" w:rsidR="004B2808" w:rsidRDefault="00000000">
      <w:pPr>
        <w:pStyle w:val="Author-eListParagraph"/>
        <w:numPr>
          <w:ilvl w:val="0"/>
          <w:numId w:val="294"/>
        </w:numPr>
        <w:jc w:val="both"/>
      </w:pPr>
      <w:r>
        <w:t>le molleton en fibres de verre, qui améliore les propriétés anti-feu.</w:t>
      </w:r>
    </w:p>
    <w:p w14:paraId="0B591354" w14:textId="77777777" w:rsidR="004B2808" w:rsidRDefault="00000000">
      <w:pPr>
        <w:pStyle w:val="Author-eSectionHeading5Numberless"/>
      </w:pPr>
      <w:bookmarkStart w:id="292" w:name="_Toc220490481"/>
      <w:r>
        <w:t>51.67.8 Revêtements muraux particuliers CCTB 01.02</w:t>
      </w:r>
      <w:bookmarkEnd w:id="292"/>
    </w:p>
    <w:p w14:paraId="734740F3" w14:textId="77777777" w:rsidR="004B2808" w:rsidRDefault="00000000">
      <w:pPr>
        <w:pStyle w:val="Author-eSectionHeading6Numberless"/>
      </w:pPr>
      <w:bookmarkStart w:id="293" w:name="_Toc220490482"/>
      <w:r>
        <w:t>51.67.8a Revêtements muraux particuliers CCTB 01.02</w:t>
      </w:r>
      <w:bookmarkEnd w:id="293"/>
    </w:p>
    <w:p w14:paraId="0F939667" w14:textId="77777777" w:rsidR="004B2808" w:rsidRDefault="00000000">
      <w:pPr>
        <w:pStyle w:val="Author-eSectionHeading3Numberless"/>
      </w:pPr>
      <w:bookmarkStart w:id="294" w:name="_Toc220490483"/>
      <w:r>
        <w:t>51.7 Eléments particuliers et finitions CCTB 01.02</w:t>
      </w:r>
      <w:bookmarkEnd w:id="294"/>
    </w:p>
    <w:p w14:paraId="2BFDA517" w14:textId="77777777" w:rsidR="004B2808" w:rsidRDefault="00000000">
      <w:pPr>
        <w:pStyle w:val="Author-eSectionHeading4Numberless"/>
      </w:pPr>
      <w:bookmarkStart w:id="295" w:name="_Toc220490484"/>
      <w:r>
        <w:t>51.71 Eléments particuliers et finitions - Moulures CCTB 01.02</w:t>
      </w:r>
      <w:bookmarkEnd w:id="295"/>
    </w:p>
    <w:p w14:paraId="3CB33B9F" w14:textId="77777777" w:rsidR="004B2808" w:rsidRDefault="00000000">
      <w:pPr>
        <w:pStyle w:val="Author-eSectionHeading5Numberless"/>
      </w:pPr>
      <w:bookmarkStart w:id="296" w:name="_Toc220490485"/>
      <w:r>
        <w:t>51.71.1 Eléments particuliers et finitions - Moulures en plâtre CCTB 01.02</w:t>
      </w:r>
      <w:bookmarkEnd w:id="296"/>
    </w:p>
    <w:p w14:paraId="43031B8D" w14:textId="77777777" w:rsidR="004B2808" w:rsidRDefault="00000000">
      <w:pPr>
        <w:pStyle w:val="Author-eSectionHeading6Numberless"/>
      </w:pPr>
      <w:bookmarkStart w:id="297" w:name="_Toc220490486"/>
      <w:r>
        <w:t>51.71.1a Eléments particuliers et finitions- Moulures en plâtre - Staff CCTB 01.02</w:t>
      </w:r>
      <w:bookmarkEnd w:id="297"/>
    </w:p>
    <w:p w14:paraId="6944D36D" w14:textId="77777777" w:rsidR="004B2808" w:rsidRDefault="00000000">
      <w:pPr>
        <w:pStyle w:val="Author-eSectionHeading5Numberless"/>
      </w:pPr>
      <w:bookmarkStart w:id="298" w:name="_Toc220490487"/>
      <w:r>
        <w:t>51.71.2 Eléments particuliers et finitions - Moulures en bois CCTB 01.02</w:t>
      </w:r>
      <w:bookmarkEnd w:id="298"/>
    </w:p>
    <w:p w14:paraId="106FE952" w14:textId="77777777" w:rsidR="004B2808" w:rsidRDefault="00000000">
      <w:pPr>
        <w:pStyle w:val="Author-eSectionHeading6Numberless"/>
      </w:pPr>
      <w:bookmarkStart w:id="299" w:name="_Toc220490488"/>
      <w:r>
        <w:t>51.71.2a Eléments particuliers et finitions - Moulures en bois CCTB 01.02</w:t>
      </w:r>
      <w:bookmarkEnd w:id="299"/>
    </w:p>
    <w:p w14:paraId="3056B7C5" w14:textId="77777777" w:rsidR="004B2808" w:rsidRDefault="00000000">
      <w:pPr>
        <w:pStyle w:val="Author-eSectionHeading5Numberless"/>
      </w:pPr>
      <w:bookmarkStart w:id="300" w:name="_Toc220490489"/>
      <w:r>
        <w:t>51.71.3 Eléments particuliers et finitions - Moulures en matériaux synthétiques CCTB 01.02</w:t>
      </w:r>
      <w:bookmarkEnd w:id="300"/>
    </w:p>
    <w:p w14:paraId="09D4D743" w14:textId="77777777" w:rsidR="004B2808" w:rsidRDefault="00000000">
      <w:pPr>
        <w:pStyle w:val="Author-eSectionHeading6Numberless"/>
      </w:pPr>
      <w:bookmarkStart w:id="301" w:name="_Toc220490490"/>
      <w:r>
        <w:t>51.71.3a Eléments particuliers et finitions - Moulures en matériaux synthétiques CCTB 01.02</w:t>
      </w:r>
      <w:bookmarkEnd w:id="301"/>
    </w:p>
    <w:p w14:paraId="4552DEE3" w14:textId="77777777" w:rsidR="004B2808" w:rsidRDefault="00000000">
      <w:pPr>
        <w:pStyle w:val="Author-eSectionHeading4Numberless"/>
      </w:pPr>
      <w:bookmarkStart w:id="302" w:name="_Toc220490491"/>
      <w:r>
        <w:t>51.72 Réalisation de joints CCTB 01.02</w:t>
      </w:r>
      <w:bookmarkEnd w:id="302"/>
    </w:p>
    <w:p w14:paraId="173D7120" w14:textId="77777777" w:rsidR="004B2808" w:rsidRDefault="00000000">
      <w:pPr>
        <w:pStyle w:val="Author-eSectionHeading5Numberless"/>
      </w:pPr>
      <w:bookmarkStart w:id="303" w:name="_Toc220490492"/>
      <w:r>
        <w:t>51.72.1 Réalisation de joints - Joint de tassement CCTB 01.02</w:t>
      </w:r>
      <w:bookmarkEnd w:id="303"/>
    </w:p>
    <w:p w14:paraId="2B29971E" w14:textId="77777777" w:rsidR="004B2808" w:rsidRDefault="00000000">
      <w:pPr>
        <w:pStyle w:val="Author-eSectionHeading6Numberless"/>
      </w:pPr>
      <w:bookmarkStart w:id="304" w:name="_Toc220490493"/>
      <w:r>
        <w:t>51.72.1a Réalisation de joints - Joint de tassement réalisé in situ CCTB 01.12</w:t>
      </w:r>
      <w:bookmarkEnd w:id="304"/>
    </w:p>
    <w:p w14:paraId="7597201A" w14:textId="77777777" w:rsidR="004B2808" w:rsidRDefault="00000000">
      <w:pPr>
        <w:pStyle w:val="pheading"/>
      </w:pPr>
      <w:r>
        <w:lastRenderedPageBreak/>
        <w:t>DESCRIPTION</w:t>
      </w:r>
    </w:p>
    <w:p w14:paraId="41B78D37" w14:textId="77777777" w:rsidR="004B2808" w:rsidRDefault="00000000">
      <w:pPr>
        <w:pStyle w:val="pheading"/>
      </w:pPr>
      <w:r>
        <w:t>- Définition / Comprend</w:t>
      </w:r>
    </w:p>
    <w:p w14:paraId="39B155EA" w14:textId="77777777" w:rsidR="004B2808" w:rsidRDefault="00000000">
      <w:pPr>
        <w:jc w:val="both"/>
      </w:pPr>
      <w:r>
        <w:t>Il s’agit de la réalisation de joints de tassement in situ dans les parois légères et murs intérieurs permettant le tassement de la structure.</w:t>
      </w:r>
    </w:p>
    <w:p w14:paraId="6339D12A" w14:textId="77777777" w:rsidR="004B2808" w:rsidRDefault="00000000">
      <w:pPr>
        <w:jc w:val="both"/>
      </w:pPr>
      <w:r>
        <w:t>Ce poste comprend :</w:t>
      </w:r>
    </w:p>
    <w:p w14:paraId="3C1A2C53" w14:textId="77777777" w:rsidR="004B2808" w:rsidRDefault="00000000">
      <w:pPr>
        <w:pStyle w:val="Author-eListParagraph"/>
        <w:numPr>
          <w:ilvl w:val="0"/>
          <w:numId w:val="295"/>
        </w:numPr>
      </w:pPr>
      <w:r>
        <w:t>la préparation des travaux, l'installation des échafaudages, des protections, des bâches ;</w:t>
      </w:r>
    </w:p>
    <w:p w14:paraId="53232D7D" w14:textId="77777777" w:rsidR="004B2808" w:rsidRDefault="00000000">
      <w:pPr>
        <w:pStyle w:val="Author-eListParagraph"/>
        <w:numPr>
          <w:ilvl w:val="0"/>
          <w:numId w:val="295"/>
        </w:numPr>
      </w:pPr>
      <w:r>
        <w:t>la fourniture et la préparation de tous les matériaux nécessaires à la réalisation des joints de tassement ;</w:t>
      </w:r>
    </w:p>
    <w:p w14:paraId="0794FD3D" w14:textId="77777777" w:rsidR="004B2808" w:rsidRDefault="00000000">
      <w:pPr>
        <w:pStyle w:val="Author-eListParagraph"/>
        <w:numPr>
          <w:ilvl w:val="0"/>
          <w:numId w:val="295"/>
        </w:numPr>
      </w:pPr>
      <w:r>
        <w:t>l’exécution proprement dite des joints de tassement et les éventuelles mesures de protection;</w:t>
      </w:r>
    </w:p>
    <w:p w14:paraId="79C3C50E" w14:textId="77777777" w:rsidR="004B2808" w:rsidRDefault="00000000">
      <w:pPr>
        <w:pStyle w:val="Author-eListParagraph"/>
        <w:numPr>
          <w:ilvl w:val="0"/>
          <w:numId w:val="295"/>
        </w:numPr>
      </w:pPr>
      <w:r>
        <w:t>l'enlèvement des protections et des échafaudages;</w:t>
      </w:r>
    </w:p>
    <w:p w14:paraId="666B9741" w14:textId="77777777" w:rsidR="004B2808" w:rsidRDefault="00000000">
      <w:pPr>
        <w:pStyle w:val="Author-eListParagraph"/>
        <w:numPr>
          <w:ilvl w:val="0"/>
          <w:numId w:val="295"/>
        </w:numPr>
      </w:pPr>
      <w:r>
        <w:t>l’évacuation des déchets et le nettoyage du chantier.</w:t>
      </w:r>
    </w:p>
    <w:p w14:paraId="48968B7A" w14:textId="77777777" w:rsidR="004B2808" w:rsidRDefault="00000000">
      <w:pPr>
        <w:jc w:val="both"/>
      </w:pPr>
      <w:r>
        <w:t>L’évacuation et la gestion des déchets issus des travaux font l’objet d’un ou plusieurs postes spécifiques, détaillés dans le Tome 0, section 07 Déchets, matériaux et éléments réemployables</w:t>
      </w:r>
    </w:p>
    <w:p w14:paraId="5271B29E" w14:textId="77777777" w:rsidR="004B2808" w:rsidRDefault="00000000">
      <w:pPr>
        <w:pStyle w:val="pheading"/>
      </w:pPr>
      <w:r>
        <w:t>- Localisation</w:t>
      </w:r>
    </w:p>
    <w:p w14:paraId="6EDE356E" w14:textId="77777777" w:rsidR="004B2808" w:rsidRDefault="00000000">
      <w:r>
        <w:t>Les travaux sont localisés :</w:t>
      </w:r>
      <w:r>
        <w:rPr>
          <w:rStyle w:val="optioncarChar"/>
        </w:rPr>
        <w:t xml:space="preserve"> ***</w:t>
      </w:r>
      <w:r>
        <w:t>.</w:t>
      </w:r>
    </w:p>
    <w:p w14:paraId="5DB4BB97" w14:textId="77777777" w:rsidR="004B2808" w:rsidRDefault="00000000">
      <w:r>
        <w:t>Voir plans et métrés détaillés.</w:t>
      </w:r>
    </w:p>
    <w:p w14:paraId="798D68CB" w14:textId="77777777" w:rsidR="004B2808" w:rsidRDefault="00000000">
      <w:pPr>
        <w:pStyle w:val="pheading"/>
      </w:pPr>
      <w:r>
        <w:t>MATÉRIAUX</w:t>
      </w:r>
    </w:p>
    <w:p w14:paraId="40FA24E3" w14:textId="77777777" w:rsidR="004B2808" w:rsidRDefault="00000000">
      <w:pPr>
        <w:pStyle w:val="pheading"/>
      </w:pPr>
      <w:r>
        <w:t>- Caractéristiques générales</w:t>
      </w:r>
    </w:p>
    <w:p w14:paraId="5765FD18" w14:textId="77777777" w:rsidR="004B2808" w:rsidRDefault="00000000">
      <w:pPr>
        <w:jc w:val="both"/>
      </w:pPr>
      <w:r>
        <w:t>Les joints de tassement réalisés in situ sont une mise en œuvre particulière des matériaux décrits dans les autres articles pour la réalisation de parois.</w:t>
      </w:r>
    </w:p>
    <w:p w14:paraId="7EAB5962" w14:textId="77777777" w:rsidR="004B2808" w:rsidRDefault="00000000">
      <w:pPr>
        <w:pStyle w:val="pheading"/>
      </w:pPr>
      <w:r>
        <w:t>- Prescriptions complémentaires</w:t>
      </w:r>
    </w:p>
    <w:p w14:paraId="0E90F260" w14:textId="77777777" w:rsidR="004B2808" w:rsidRDefault="00000000">
      <w:pPr>
        <w:jc w:val="both"/>
      </w:pPr>
      <w:r>
        <w:rPr>
          <w:rStyle w:val="facultChar"/>
        </w:rPr>
        <w:t xml:space="preserve">Le présent article comprend également : </w:t>
      </w:r>
      <w:r>
        <w:rPr>
          <w:rStyle w:val="optioncarChar"/>
        </w:rPr>
        <w:t>une isolation acoustique dans le joint / un couvre-joint / un fond de joint coupe-feu / une membrane d’étanchéité à l’air.</w:t>
      </w:r>
    </w:p>
    <w:p w14:paraId="69AF0465" w14:textId="77777777" w:rsidR="004B2808" w:rsidRDefault="00000000">
      <w:pPr>
        <w:pStyle w:val="Author-eListParagraph"/>
        <w:numPr>
          <w:ilvl w:val="0"/>
          <w:numId w:val="296"/>
        </w:numPr>
      </w:pPr>
      <w:r>
        <w:rPr>
          <w:rStyle w:val="facultChar"/>
          <w:u w:val="single"/>
        </w:rPr>
        <w:t>Isolation (acoustique) :</w:t>
      </w:r>
      <w:r>
        <w:br/>
      </w:r>
      <w:r>
        <w:rPr>
          <w:rStyle w:val="facultChar"/>
        </w:rPr>
        <w:t>Renvoi aux éléments 32.41 Isolation en panneauxet 32.42 Isolation en rouleaux/matelas</w:t>
      </w:r>
    </w:p>
    <w:p w14:paraId="7A488761" w14:textId="77777777" w:rsidR="004B2808" w:rsidRDefault="00000000">
      <w:pPr>
        <w:pStyle w:val="Author-eListParagraph"/>
        <w:numPr>
          <w:ilvl w:val="0"/>
          <w:numId w:val="297"/>
        </w:numPr>
      </w:pPr>
      <w:r>
        <w:rPr>
          <w:rStyle w:val="facultChar"/>
          <w:u w:val="single"/>
        </w:rPr>
        <w:t>Couvre-joint :</w:t>
      </w:r>
      <w:r>
        <w:br/>
      </w:r>
      <w:r>
        <w:rPr>
          <w:rStyle w:val="facultChar"/>
        </w:rPr>
        <w:t xml:space="preserve">Renvoi à l’élément </w:t>
      </w:r>
      <w:hyperlink w:anchor="1174" w:history="1">
        <w:r w:rsidR="004B2808">
          <w:rPr>
            <w:color w:val="0000EE"/>
          </w:rPr>
          <w:t>51.74.1a Finitions particulières de joints - Couvre-joints</w:t>
        </w:r>
      </w:hyperlink>
    </w:p>
    <w:p w14:paraId="4B7E9BA2" w14:textId="77777777" w:rsidR="004B2808" w:rsidRDefault="00000000">
      <w:pPr>
        <w:pStyle w:val="Author-eListParagraph"/>
        <w:numPr>
          <w:ilvl w:val="0"/>
          <w:numId w:val="297"/>
        </w:numPr>
      </w:pPr>
      <w:r>
        <w:rPr>
          <w:rStyle w:val="facultChar"/>
          <w:u w:val="single"/>
        </w:rPr>
        <w:t>Fond de joint coupe-feu :</w:t>
      </w:r>
      <w:r>
        <w:br/>
      </w:r>
      <w:r>
        <w:rPr>
          <w:rStyle w:val="facultChar"/>
        </w:rPr>
        <w:t>Type de fond de joint coupe-feu:</w:t>
      </w:r>
      <w:r>
        <w:rPr>
          <w:rStyle w:val="facultChar"/>
          <w:color w:val="000000"/>
        </w:rPr>
        <w:t> </w:t>
      </w:r>
      <w:r>
        <w:rPr>
          <w:rStyle w:val="optioncarChar"/>
        </w:rPr>
        <w:t>cordon coupe-feu</w:t>
      </w:r>
      <w:r>
        <w:t xml:space="preserve"> (par défaut) </w:t>
      </w:r>
      <w:r>
        <w:rPr>
          <w:rStyle w:val="optioncarChar"/>
        </w:rPr>
        <w:t>/ laine de roche.</w:t>
      </w:r>
    </w:p>
    <w:p w14:paraId="53257862" w14:textId="77777777" w:rsidR="004B2808" w:rsidRDefault="00000000">
      <w:pPr>
        <w:ind w:left="567"/>
        <w:jc w:val="both"/>
      </w:pPr>
      <w:r>
        <w:rPr>
          <w:b/>
        </w:rPr>
        <w:t>(Soit par défaut)</w:t>
      </w:r>
    </w:p>
    <w:p w14:paraId="5F881BF8" w14:textId="77777777" w:rsidR="004B2808" w:rsidRDefault="00000000">
      <w:pPr>
        <w:ind w:left="567"/>
        <w:jc w:val="both"/>
      </w:pPr>
      <w:r>
        <w:rPr>
          <w:rStyle w:val="soitChar"/>
          <w:u w:val="single"/>
        </w:rPr>
        <w:t>Cordon coupe-feu</w:t>
      </w:r>
    </w:p>
    <w:p w14:paraId="03A5E72B" w14:textId="77777777" w:rsidR="004B2808" w:rsidRDefault="00000000">
      <w:pPr>
        <w:ind w:left="567"/>
        <w:jc w:val="both"/>
      </w:pPr>
      <w:r>
        <w:rPr>
          <w:rStyle w:val="soitChar"/>
        </w:rPr>
        <w:t>Fond de joint compressible basé sur de la laine de roche enveloppée d’une gaine en fibre de verre. Les cordons coupe-feu absorbent peu d’eau, ne contiennent pas d’amiante, sont chimiquement neutres et ne provoquent pas de dégagement de gaz nocifs en cas d’incendie.</w:t>
      </w:r>
    </w:p>
    <w:p w14:paraId="0EA20995" w14:textId="77777777" w:rsidR="004B2808" w:rsidRDefault="00000000">
      <w:pPr>
        <w:ind w:left="567"/>
        <w:jc w:val="both"/>
      </w:pPr>
      <w:r>
        <w:rPr>
          <w:rStyle w:val="soitChar"/>
          <w:i/>
        </w:rPr>
        <w:t>Caractéristiques :</w:t>
      </w:r>
    </w:p>
    <w:p w14:paraId="79564C01" w14:textId="77777777" w:rsidR="004B2808" w:rsidRDefault="00000000">
      <w:pPr>
        <w:pStyle w:val="Author-eListParagraph"/>
        <w:numPr>
          <w:ilvl w:val="1"/>
          <w:numId w:val="298"/>
        </w:numPr>
      </w:pPr>
      <w:r>
        <w:rPr>
          <w:rStyle w:val="soitChar"/>
        </w:rPr>
        <w:t>Réaction au feu [NBN EN 13501-1] : A1.</w:t>
      </w:r>
    </w:p>
    <w:p w14:paraId="7EAEA903" w14:textId="77777777" w:rsidR="004B2808" w:rsidRDefault="00000000">
      <w:pPr>
        <w:pStyle w:val="Author-eListParagraph"/>
        <w:numPr>
          <w:ilvl w:val="1"/>
          <w:numId w:val="298"/>
        </w:numPr>
      </w:pPr>
      <w:r>
        <w:rPr>
          <w:rStyle w:val="soitChar"/>
        </w:rPr>
        <w:t>Masse volumique :  100 à 250 kg/m³.</w:t>
      </w:r>
    </w:p>
    <w:p w14:paraId="0D96D29A" w14:textId="77777777" w:rsidR="004B2808" w:rsidRDefault="00000000">
      <w:pPr>
        <w:pStyle w:val="Author-eListParagraph"/>
        <w:numPr>
          <w:ilvl w:val="1"/>
          <w:numId w:val="298"/>
        </w:numPr>
      </w:pPr>
      <w:r>
        <w:rPr>
          <w:rStyle w:val="soitChar"/>
        </w:rPr>
        <w:t>Point de fusion &gt; 1000°C.</w:t>
      </w:r>
    </w:p>
    <w:p w14:paraId="6E1A10D2" w14:textId="77777777" w:rsidR="004B2808" w:rsidRDefault="00000000">
      <w:pPr>
        <w:ind w:left="567"/>
        <w:jc w:val="both"/>
      </w:pPr>
      <w:r>
        <w:t> </w:t>
      </w:r>
      <w:r>
        <w:rPr>
          <w:b/>
        </w:rPr>
        <w:t>(Soit) </w:t>
      </w:r>
    </w:p>
    <w:p w14:paraId="79042EF0" w14:textId="77777777" w:rsidR="004B2808" w:rsidRDefault="00000000">
      <w:pPr>
        <w:ind w:left="567"/>
        <w:jc w:val="both"/>
      </w:pPr>
      <w:r>
        <w:rPr>
          <w:rStyle w:val="soitChar"/>
          <w:u w:val="single"/>
        </w:rPr>
        <w:t>Laine de roche</w:t>
      </w:r>
    </w:p>
    <w:p w14:paraId="3089A7B2" w14:textId="77777777" w:rsidR="004B2808" w:rsidRDefault="00000000">
      <w:pPr>
        <w:ind w:left="567"/>
        <w:jc w:val="both"/>
      </w:pPr>
      <w:r>
        <w:rPr>
          <w:rStyle w:val="soitChar"/>
        </w:rPr>
        <w:t>Fond de joint compressible basé sur de la laine de roche sans revêtement.</w:t>
      </w:r>
    </w:p>
    <w:p w14:paraId="2BF330E8" w14:textId="77777777" w:rsidR="004B2808" w:rsidRDefault="00000000">
      <w:pPr>
        <w:ind w:left="567"/>
        <w:jc w:val="both"/>
      </w:pPr>
      <w:r>
        <w:rPr>
          <w:rStyle w:val="soitChar"/>
          <w:i/>
        </w:rPr>
        <w:t>Caractéristiques :</w:t>
      </w:r>
    </w:p>
    <w:p w14:paraId="2BA7F492" w14:textId="77777777" w:rsidR="004B2808" w:rsidRDefault="00000000">
      <w:pPr>
        <w:pStyle w:val="Author-eListParagraph"/>
        <w:numPr>
          <w:ilvl w:val="1"/>
          <w:numId w:val="299"/>
        </w:numPr>
      </w:pPr>
      <w:r>
        <w:rPr>
          <w:rStyle w:val="soitChar"/>
        </w:rPr>
        <w:t>Réaction au feu [NBN EN 13501-1]: A1.</w:t>
      </w:r>
    </w:p>
    <w:p w14:paraId="655E5908" w14:textId="77777777" w:rsidR="004B2808" w:rsidRDefault="00000000">
      <w:pPr>
        <w:pStyle w:val="Author-eListParagraph"/>
        <w:numPr>
          <w:ilvl w:val="1"/>
          <w:numId w:val="299"/>
        </w:numPr>
      </w:pPr>
      <w:r>
        <w:rPr>
          <w:rStyle w:val="soitChar"/>
        </w:rPr>
        <w:t>Masse volumique :  30 à 75 kg/m³.</w:t>
      </w:r>
    </w:p>
    <w:p w14:paraId="6F8A797F" w14:textId="77777777" w:rsidR="004B2808" w:rsidRDefault="00000000">
      <w:pPr>
        <w:pStyle w:val="Author-eListParagraph"/>
        <w:numPr>
          <w:ilvl w:val="1"/>
          <w:numId w:val="299"/>
        </w:numPr>
      </w:pPr>
      <w:r>
        <w:rPr>
          <w:rStyle w:val="soitChar"/>
        </w:rPr>
        <w:lastRenderedPageBreak/>
        <w:t>Point de fusion &gt; 1000°C.</w:t>
      </w:r>
    </w:p>
    <w:p w14:paraId="2E63E510" w14:textId="77777777" w:rsidR="004B2808" w:rsidRDefault="00000000">
      <w:pPr>
        <w:pStyle w:val="Author-eListParagraph"/>
        <w:numPr>
          <w:ilvl w:val="0"/>
          <w:numId w:val="300"/>
        </w:numPr>
      </w:pPr>
      <w:r>
        <w:rPr>
          <w:rStyle w:val="facultChar"/>
          <w:u w:val="single"/>
        </w:rPr>
        <w:t>Membrane d’étanchéité à l’air :</w:t>
      </w:r>
      <w:r>
        <w:br/>
      </w:r>
      <w:r>
        <w:rPr>
          <w:rStyle w:val="facultChar"/>
        </w:rPr>
        <w:t xml:space="preserve">Renvoi à l’élément </w:t>
      </w:r>
      <w:hyperlink w:anchor="1175" w:history="1">
        <w:r w:rsidR="004B2808">
          <w:rPr>
            <w:rStyle w:val="facultChar"/>
            <w:color w:val="0000EE"/>
          </w:rPr>
          <w:t>52.21.1 Membranes souples étanches aux matières gazeuses</w:t>
        </w:r>
      </w:hyperlink>
    </w:p>
    <w:p w14:paraId="49576E41" w14:textId="77777777" w:rsidR="004B2808" w:rsidRDefault="00000000">
      <w:pPr>
        <w:jc w:val="both"/>
      </w:pPr>
      <w:r>
        <w:t> </w:t>
      </w:r>
    </w:p>
    <w:p w14:paraId="3A2D8C7B" w14:textId="77777777" w:rsidR="004B2808" w:rsidRDefault="00000000">
      <w:pPr>
        <w:pStyle w:val="pheading"/>
      </w:pPr>
      <w:r>
        <w:t>EXÉCUTION / MISE EN ŒUVRE</w:t>
      </w:r>
    </w:p>
    <w:p w14:paraId="00730E7F" w14:textId="77777777" w:rsidR="004B2808" w:rsidRDefault="00000000">
      <w:pPr>
        <w:pStyle w:val="pheading"/>
      </w:pPr>
      <w:r>
        <w:t>- Prescriptions générales</w:t>
      </w:r>
    </w:p>
    <w:p w14:paraId="58FFE05F" w14:textId="77777777" w:rsidR="004B2808" w:rsidRDefault="00000000">
      <w:pPr>
        <w:jc w:val="both"/>
      </w:pPr>
      <w:r>
        <w:t>Tous les joints de tassement du gros œuvre doivent être répercutés dans les parois légères et les finitions des murs intérieurs et doivent par conséquent être réalisés aux droits des joints de tassement du gros œuvre.</w:t>
      </w:r>
    </w:p>
    <w:p w14:paraId="6B4F8C3B" w14:textId="77777777" w:rsidR="004B2808" w:rsidRDefault="00000000">
      <w:pPr>
        <w:jc w:val="both"/>
      </w:pPr>
      <w:r>
        <w:t>Les joints de tassement sont réalisés en divisant les parois en 2 parties entièrement indépendantes, sur toute leur hauteur et leur profondeur. La division doit être franche et les joints doivent être les plus rectilignes.</w:t>
      </w:r>
    </w:p>
    <w:p w14:paraId="65C39211" w14:textId="77777777" w:rsidR="004B2808" w:rsidRDefault="00000000">
      <w:pPr>
        <w:jc w:val="both"/>
      </w:pPr>
      <w:r>
        <w:t>Lorsque le joint de tassement est associé au joint de dilatation, sa largeur déprendra de celle du joint de dilation.</w:t>
      </w:r>
    </w:p>
    <w:p w14:paraId="1AC77FE7" w14:textId="77777777" w:rsidR="004B2808" w:rsidRDefault="00000000">
      <w:pPr>
        <w:jc w:val="both"/>
      </w:pPr>
      <w:r>
        <w:t xml:space="preserve">Largeur du joint : </w:t>
      </w:r>
      <w:r>
        <w:rPr>
          <w:rStyle w:val="optioncarChar"/>
        </w:rPr>
        <w:t>2</w:t>
      </w:r>
      <w:r>
        <w:t xml:space="preserve"> (par défaut)</w:t>
      </w:r>
      <w:r>
        <w:rPr>
          <w:rStyle w:val="optioncarChar"/>
        </w:rPr>
        <w:t xml:space="preserve"> / *** cm</w:t>
      </w:r>
      <w:r>
        <w:t>, avec une tolérance de</w:t>
      </w:r>
      <w:r>
        <w:rPr>
          <w:rStyle w:val="optioncarChar"/>
        </w:rPr>
        <w:t xml:space="preserve"> ± 1</w:t>
      </w:r>
      <w:r>
        <w:t xml:space="preserve"> (par défaut) </w:t>
      </w:r>
      <w:r>
        <w:rPr>
          <w:rStyle w:val="optioncarChar"/>
        </w:rPr>
        <w:t>/ ***</w:t>
      </w:r>
      <w:r>
        <w:t xml:space="preserve"> cm. </w:t>
      </w:r>
    </w:p>
    <w:p w14:paraId="72827FB5" w14:textId="77777777" w:rsidR="004B2808" w:rsidRDefault="00000000">
      <w:pPr>
        <w:pStyle w:val="pheading"/>
      </w:pPr>
      <w:r>
        <w:t>- Notes d’exécution complémentaires</w:t>
      </w:r>
    </w:p>
    <w:p w14:paraId="136A24D7" w14:textId="77777777" w:rsidR="004B2808" w:rsidRDefault="00000000">
      <w:pPr>
        <w:jc w:val="both"/>
      </w:pPr>
      <w:r>
        <w:rPr>
          <w:rStyle w:val="facultChar"/>
        </w:rPr>
        <w:t xml:space="preserve">Le présent article comprend également : </w:t>
      </w:r>
      <w:r>
        <w:rPr>
          <w:rStyle w:val="optioncarChar"/>
        </w:rPr>
        <w:t>un isolant acoustique dans le joint / un fond de joint coupe-feu / une membrane d’étanchéité à l’air / un couvre-joint.</w:t>
      </w:r>
    </w:p>
    <w:p w14:paraId="6A13F6BD" w14:textId="77777777" w:rsidR="004B2808" w:rsidRDefault="00000000">
      <w:pPr>
        <w:pStyle w:val="Author-eListParagraph"/>
        <w:numPr>
          <w:ilvl w:val="0"/>
          <w:numId w:val="301"/>
        </w:numPr>
      </w:pPr>
      <w:r>
        <w:rPr>
          <w:rStyle w:val="facultChar"/>
          <w:u w:val="single"/>
        </w:rPr>
        <w:t>Isolant acoustique:</w:t>
      </w:r>
      <w:r>
        <w:br/>
      </w:r>
      <w:r>
        <w:rPr>
          <w:rStyle w:val="facultChar"/>
        </w:rPr>
        <w:t>Un matériau isolant acoustique est intégré dans la largeur du joint, dans toute son épaisseur et sur toute sa hauteur. Cet isolant doit être suffisamment souple pour ne pas entraver les mouvements des parois.</w:t>
      </w:r>
    </w:p>
    <w:p w14:paraId="1AED9810" w14:textId="77777777" w:rsidR="004B2808" w:rsidRDefault="00000000">
      <w:pPr>
        <w:pStyle w:val="Author-eListParagraph"/>
        <w:numPr>
          <w:ilvl w:val="0"/>
          <w:numId w:val="302"/>
        </w:numPr>
      </w:pPr>
      <w:r>
        <w:rPr>
          <w:rStyle w:val="facultChar"/>
          <w:u w:val="single"/>
        </w:rPr>
        <w:t>Fond de joint coupe-feu:</w:t>
      </w:r>
      <w:r>
        <w:br/>
      </w:r>
      <w:r>
        <w:rPr>
          <w:rStyle w:val="facultChar"/>
        </w:rPr>
        <w:t>Un fond de joint coupe-feu de largeur adaptée à la largeur du joint est intégré dans la largeur du joint, et sur toute sa hauteur. Cet isolant doit être suffisamment souple pour ne pas entraver les mouvements des parois.</w:t>
      </w:r>
      <w:r>
        <w:br/>
      </w:r>
      <w:r>
        <w:rPr>
          <w:rStyle w:val="facultChar"/>
        </w:rPr>
        <w:t xml:space="preserve">Ce cordon doit présenter une résistance au feu [NBN EN 13501-2] : EI </w:t>
      </w:r>
      <w:r>
        <w:rPr>
          <w:rStyle w:val="optioncarChar"/>
        </w:rPr>
        <w:t>30 / 60 / 90 / 120 / 240</w:t>
      </w:r>
      <w:r>
        <w:rPr>
          <w:rStyle w:val="facultChar"/>
        </w:rPr>
        <w:t> </w:t>
      </w:r>
      <w:r>
        <w:rPr>
          <w:rStyle w:val="optioncarChar"/>
        </w:rPr>
        <w:t xml:space="preserve"> minutes.</w:t>
      </w:r>
    </w:p>
    <w:p w14:paraId="27EF6AC4" w14:textId="77777777" w:rsidR="004B2808" w:rsidRDefault="00000000">
      <w:pPr>
        <w:pStyle w:val="Author-eListParagraph"/>
        <w:numPr>
          <w:ilvl w:val="0"/>
          <w:numId w:val="303"/>
        </w:numPr>
      </w:pPr>
      <w:r>
        <w:rPr>
          <w:rStyle w:val="facultChar"/>
          <w:u w:val="single"/>
        </w:rPr>
        <w:t>Membrane d’étanchéité à l’air :</w:t>
      </w:r>
      <w:r>
        <w:br/>
      </w:r>
      <w:r>
        <w:rPr>
          <w:rStyle w:val="facultChar"/>
        </w:rPr>
        <w:t>La membrane d’étanchéité à l’air (et/ou pare-vapeur) doit être prolongée par-dessus les joints et l’isolant éventuel. Elle doit être suffisamment élastique et/ou prévoir un jeu suffisant pour s'adapter aux mouvements prévisibles de la structure.</w:t>
      </w:r>
      <w:r>
        <w:br/>
      </w:r>
      <w:r>
        <w:rPr>
          <w:rStyle w:val="facultChar"/>
        </w:rPr>
        <w:t xml:space="preserve">Cette membrane d’étanchéité est posée conformément à l'élément </w:t>
      </w:r>
      <w:hyperlink w:anchor="1175" w:history="1">
        <w:r w:rsidR="004B2808">
          <w:rPr>
            <w:rStyle w:val="facultChar"/>
            <w:color w:val="0000EE"/>
          </w:rPr>
          <w:t>52.21.1 Membranes souples étanches aux matières gazeuses</w:t>
        </w:r>
      </w:hyperlink>
      <w:r>
        <w:rPr>
          <w:rStyle w:val="facultChar"/>
        </w:rPr>
        <w:t> </w:t>
      </w:r>
    </w:p>
    <w:p w14:paraId="26DFA996" w14:textId="77777777" w:rsidR="004B2808" w:rsidRDefault="00000000">
      <w:pPr>
        <w:pStyle w:val="Author-eListParagraph"/>
        <w:numPr>
          <w:ilvl w:val="0"/>
          <w:numId w:val="304"/>
        </w:numPr>
      </w:pPr>
      <w:r>
        <w:rPr>
          <w:rStyle w:val="facultChar"/>
          <w:u w:val="single"/>
        </w:rPr>
        <w:t>Couvre-joint :</w:t>
      </w:r>
      <w:r>
        <w:br/>
      </w:r>
      <w:r>
        <w:rPr>
          <w:rStyle w:val="facultChar"/>
        </w:rPr>
        <w:t xml:space="preserve">Des couvre-joints sont placés conformément à l’élément </w:t>
      </w:r>
      <w:hyperlink w:anchor="1174" w:history="1">
        <w:r w:rsidR="004B2808">
          <w:rPr>
            <w:rStyle w:val="facultChar"/>
            <w:color w:val="0000EE"/>
          </w:rPr>
          <w:t>51.74.1a Finitions particulières de joints - Couvre-joints</w:t>
        </w:r>
      </w:hyperlink>
      <w:r>
        <w:rPr>
          <w:rStyle w:val="facultChar"/>
        </w:rPr>
        <w:t xml:space="preserve"> pour réaliser la finition du joint.</w:t>
      </w:r>
    </w:p>
    <w:p w14:paraId="6D79A4CC" w14:textId="77777777" w:rsidR="004B2808" w:rsidRDefault="00000000">
      <w:pPr>
        <w:pStyle w:val="pheading"/>
      </w:pPr>
      <w:r>
        <w:t>DOCUMENTS DE RÉFÉRENCE COMPLÉMENTAIRES</w:t>
      </w:r>
    </w:p>
    <w:p w14:paraId="6EB426FC" w14:textId="77777777" w:rsidR="004B2808" w:rsidRDefault="00000000">
      <w:pPr>
        <w:pStyle w:val="pheading"/>
      </w:pPr>
      <w:r>
        <w:t>- Matériau</w:t>
      </w:r>
    </w:p>
    <w:p w14:paraId="10487B93" w14:textId="77777777" w:rsidR="004B280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r>
        <w:br/>
      </w:r>
      <w:r>
        <w:br/>
        <w:t>[SWL GSI/T1/C, Guides sécurité incendie - Tome 1 Prévention passive - Guide C Résistance au feu]</w:t>
      </w:r>
      <w:r>
        <w:br/>
      </w:r>
      <w:r>
        <w:br/>
        <w:t>[NIT 255, L'étanchéité à l'air des bâtiments]</w:t>
      </w:r>
    </w:p>
    <w:p w14:paraId="47B96AC7" w14:textId="77777777" w:rsidR="004B2808" w:rsidRDefault="00000000">
      <w:pPr>
        <w:pStyle w:val="pheading"/>
      </w:pPr>
      <w:r>
        <w:t>- Exécution</w:t>
      </w:r>
    </w:p>
    <w:p w14:paraId="2F422CDC" w14:textId="77777777" w:rsidR="004B2808" w:rsidRDefault="00000000">
      <w:r>
        <w:t>[NIT 255, L'étanchéité à l'air des bâtiments]</w:t>
      </w:r>
    </w:p>
    <w:p w14:paraId="18BFC23A" w14:textId="77777777" w:rsidR="004B2808" w:rsidRDefault="00000000">
      <w:pPr>
        <w:pStyle w:val="pheading"/>
      </w:pPr>
      <w:r>
        <w:lastRenderedPageBreak/>
        <w:t>MESURAGE</w:t>
      </w:r>
    </w:p>
    <w:p w14:paraId="0F8AD76E" w14:textId="77777777" w:rsidR="004B2808" w:rsidRDefault="00000000">
      <w:pPr>
        <w:pStyle w:val="pheading"/>
      </w:pPr>
      <w:r>
        <w:t>- unité de mesure:</w:t>
      </w:r>
    </w:p>
    <w:p w14:paraId="5C775ED1" w14:textId="77777777" w:rsidR="004B2808" w:rsidRDefault="00000000">
      <w:r>
        <w:t>-</w:t>
      </w:r>
    </w:p>
    <w:p w14:paraId="6A7D592E" w14:textId="77777777" w:rsidR="004B2808" w:rsidRDefault="00000000">
      <w:pPr>
        <w:pStyle w:val="pheading"/>
      </w:pPr>
      <w:r>
        <w:t>- code de mesurage:</w:t>
      </w:r>
    </w:p>
    <w:p w14:paraId="65D33112" w14:textId="77777777" w:rsidR="004B2808" w:rsidRDefault="00000000">
      <w:r>
        <w:t>Compris dans les postes des maçonneries intérieures et parois légères.</w:t>
      </w:r>
    </w:p>
    <w:p w14:paraId="720E66F0" w14:textId="77777777" w:rsidR="004B2808" w:rsidRDefault="00000000">
      <w:pPr>
        <w:pStyle w:val="pheading"/>
      </w:pPr>
      <w:r>
        <w:t>- nature du marché:</w:t>
      </w:r>
    </w:p>
    <w:p w14:paraId="2D8FF881" w14:textId="77777777" w:rsidR="004B2808" w:rsidRDefault="00000000">
      <w:r>
        <w:t>PM</w:t>
      </w:r>
    </w:p>
    <w:p w14:paraId="073D3553" w14:textId="77777777" w:rsidR="004B2808" w:rsidRDefault="00000000">
      <w:pPr>
        <w:pStyle w:val="Author-eSectionHeading6Numberless"/>
      </w:pPr>
      <w:bookmarkStart w:id="305" w:name="_Toc220490494"/>
      <w:r>
        <w:t>51.72.1b Réalisation de joints - Joint de tassement à systèmes préfabriqués CCTB 01.02</w:t>
      </w:r>
      <w:bookmarkEnd w:id="305"/>
    </w:p>
    <w:p w14:paraId="52335711" w14:textId="77777777" w:rsidR="004B2808" w:rsidRDefault="00000000">
      <w:pPr>
        <w:pStyle w:val="Author-eSectionHeading5Numberless"/>
      </w:pPr>
      <w:bookmarkStart w:id="306" w:name="_Toc220490495"/>
      <w:r>
        <w:t>51.72.2 Réalisation de joints - Joint de dilatation CCTB 01.02</w:t>
      </w:r>
      <w:bookmarkEnd w:id="306"/>
    </w:p>
    <w:p w14:paraId="169FFD92" w14:textId="77777777" w:rsidR="004B2808" w:rsidRDefault="00000000">
      <w:pPr>
        <w:pStyle w:val="Author-eSectionHeading6Numberless"/>
      </w:pPr>
      <w:bookmarkStart w:id="307" w:name="_Toc220490496"/>
      <w:r>
        <w:t>51.72.2a Réalisation de joints - Joint de dilatation réalisé in situ CCTB 01.02</w:t>
      </w:r>
      <w:bookmarkEnd w:id="307"/>
    </w:p>
    <w:p w14:paraId="12CF8E14" w14:textId="77777777" w:rsidR="004B2808" w:rsidRDefault="00000000">
      <w:pPr>
        <w:pStyle w:val="Author-eSectionHeading6Numberless"/>
      </w:pPr>
      <w:bookmarkStart w:id="308" w:name="_Toc220490497"/>
      <w:r>
        <w:t>51.72.2b Réalisation de joints - Joint de dilatation à systèmes préfabriqués CCTB 01.12</w:t>
      </w:r>
      <w:bookmarkEnd w:id="308"/>
    </w:p>
    <w:p w14:paraId="3F8A460B" w14:textId="77777777" w:rsidR="004B2808" w:rsidRDefault="00000000">
      <w:pPr>
        <w:pStyle w:val="pheading"/>
      </w:pPr>
      <w:r>
        <w:t>DESCRIPTION</w:t>
      </w:r>
    </w:p>
    <w:p w14:paraId="36ADF75A" w14:textId="77777777" w:rsidR="004B2808" w:rsidRDefault="00000000">
      <w:pPr>
        <w:pStyle w:val="pheading"/>
      </w:pPr>
      <w:r>
        <w:t>- Définition / Comprend</w:t>
      </w:r>
    </w:p>
    <w:p w14:paraId="4AF70BFD" w14:textId="77777777" w:rsidR="004B2808" w:rsidRDefault="00000000">
      <w:pPr>
        <w:jc w:val="both"/>
      </w:pPr>
      <w:r>
        <w:t>Il s’agit de la réalisation de joints de dilatation à systèmes préfabriqués pour les parois légères et murs intérieurs.</w:t>
      </w:r>
    </w:p>
    <w:p w14:paraId="0293D004" w14:textId="77777777" w:rsidR="004B2808" w:rsidRDefault="00000000">
      <w:pPr>
        <w:jc w:val="both"/>
      </w:pPr>
      <w:r>
        <w:t>Ce poste comprend :</w:t>
      </w:r>
    </w:p>
    <w:p w14:paraId="7B9FDA87" w14:textId="77777777" w:rsidR="004B2808" w:rsidRDefault="00000000">
      <w:pPr>
        <w:pStyle w:val="Author-eListParagraph"/>
        <w:numPr>
          <w:ilvl w:val="0"/>
          <w:numId w:val="305"/>
        </w:numPr>
        <w:jc w:val="both"/>
      </w:pPr>
      <w:r>
        <w:t>la préparation des travaux et l'installation des échafaudages,</w:t>
      </w:r>
    </w:p>
    <w:p w14:paraId="3E8F6C46" w14:textId="77777777" w:rsidR="004B2808" w:rsidRDefault="00000000">
      <w:pPr>
        <w:pStyle w:val="Author-eListParagraph"/>
        <w:numPr>
          <w:ilvl w:val="0"/>
          <w:numId w:val="305"/>
        </w:numPr>
        <w:jc w:val="both"/>
      </w:pPr>
      <w:r>
        <w:t>la préparation, le nettoyage et le contrôle de l'aire de pose et du support;</w:t>
      </w:r>
    </w:p>
    <w:p w14:paraId="1F399452" w14:textId="77777777" w:rsidR="004B2808" w:rsidRDefault="00000000">
      <w:pPr>
        <w:pStyle w:val="Author-eListParagraph"/>
        <w:numPr>
          <w:ilvl w:val="0"/>
          <w:numId w:val="305"/>
        </w:numPr>
        <w:jc w:val="both"/>
      </w:pPr>
      <w:r>
        <w:t>la fourniture et la mise en œuvre proprement des joints de dilatation préfabriqués;</w:t>
      </w:r>
    </w:p>
    <w:p w14:paraId="7EFBCDED" w14:textId="77777777" w:rsidR="004B2808" w:rsidRDefault="00000000">
      <w:pPr>
        <w:pStyle w:val="Author-eListParagraph"/>
        <w:numPr>
          <w:ilvl w:val="0"/>
          <w:numId w:val="305"/>
        </w:numPr>
        <w:jc w:val="both"/>
      </w:pPr>
      <w:r>
        <w:t>le nettoyage immédiat des taches à l’aide de produits adéquats ;</w:t>
      </w:r>
    </w:p>
    <w:p w14:paraId="1D17E985" w14:textId="77777777" w:rsidR="004B2808" w:rsidRDefault="00000000">
      <w:pPr>
        <w:pStyle w:val="Author-eListParagraph"/>
        <w:numPr>
          <w:ilvl w:val="0"/>
          <w:numId w:val="305"/>
        </w:numPr>
        <w:jc w:val="both"/>
      </w:pPr>
      <w:r>
        <w:t>les éventuelles mesures de protection provisoires;</w:t>
      </w:r>
    </w:p>
    <w:p w14:paraId="396666DD" w14:textId="77777777" w:rsidR="004B2808" w:rsidRDefault="00000000">
      <w:pPr>
        <w:pStyle w:val="Author-eListParagraph"/>
        <w:numPr>
          <w:ilvl w:val="0"/>
          <w:numId w:val="305"/>
        </w:numPr>
        <w:jc w:val="both"/>
      </w:pPr>
      <w:r>
        <w:t>l’enlèvement des protections et des échafaudages ;</w:t>
      </w:r>
    </w:p>
    <w:p w14:paraId="2884F411" w14:textId="77777777" w:rsidR="004B2808" w:rsidRDefault="00000000">
      <w:pPr>
        <w:pStyle w:val="Author-eListParagraph"/>
        <w:numPr>
          <w:ilvl w:val="0"/>
          <w:numId w:val="305"/>
        </w:numPr>
        <w:jc w:val="both"/>
      </w:pPr>
      <w:r>
        <w:t>l’évacuation des déchets et le nettoyage du chantier.</w:t>
      </w:r>
    </w:p>
    <w:p w14:paraId="0F940A78" w14:textId="77777777" w:rsidR="004B2808" w:rsidRDefault="00000000">
      <w:pPr>
        <w:pStyle w:val="pheading"/>
      </w:pPr>
      <w:r>
        <w:t>- Localisation</w:t>
      </w:r>
    </w:p>
    <w:p w14:paraId="3D624C59" w14:textId="77777777" w:rsidR="004B2808" w:rsidRDefault="00000000">
      <w:r>
        <w:t xml:space="preserve">Les travaux sont localisés : </w:t>
      </w:r>
      <w:r>
        <w:rPr>
          <w:rStyle w:val="optioncarChar"/>
        </w:rPr>
        <w:t>***</w:t>
      </w:r>
      <w:r>
        <w:t>.</w:t>
      </w:r>
    </w:p>
    <w:p w14:paraId="7F17D95B" w14:textId="77777777" w:rsidR="004B2808" w:rsidRDefault="00000000">
      <w:r>
        <w:t>Voir plans et métrés détaillés.</w:t>
      </w:r>
    </w:p>
    <w:p w14:paraId="50FA6EE5" w14:textId="77777777" w:rsidR="004B2808" w:rsidRDefault="00000000">
      <w:pPr>
        <w:pStyle w:val="pheading"/>
      </w:pPr>
      <w:r>
        <w:t>MATÉRIAUX</w:t>
      </w:r>
    </w:p>
    <w:p w14:paraId="327D2454" w14:textId="77777777" w:rsidR="004B2808" w:rsidRDefault="00000000">
      <w:pPr>
        <w:pStyle w:val="pheading"/>
      </w:pPr>
      <w:r>
        <w:t>- Caractéristiques générales</w:t>
      </w:r>
    </w:p>
    <w:p w14:paraId="05E77BE4" w14:textId="77777777" w:rsidR="004B2808" w:rsidRDefault="00000000">
      <w:pPr>
        <w:jc w:val="both"/>
      </w:pPr>
      <w:r>
        <w:t xml:space="preserve">Type de joint du système préfabriqué: </w:t>
      </w:r>
      <w:r>
        <w:rPr>
          <w:rStyle w:val="optioncarChar"/>
        </w:rPr>
        <w:t>Profilés souples d’obturation alvéolaires </w:t>
      </w:r>
      <w:r>
        <w:t>(par défaut)</w:t>
      </w:r>
      <w:r>
        <w:rPr>
          <w:rStyle w:val="optioncarChar"/>
        </w:rPr>
        <w:t xml:space="preserve"> / Profilé en V destiné à être enduit / Joint de dilatation vertical à faible amplitude, destiné à être enduit / Joint de dilatation vertical à amples mouvements à fixations apparentes / ***</w:t>
      </w:r>
    </w:p>
    <w:p w14:paraId="1C889759" w14:textId="77777777" w:rsidR="004B2808" w:rsidRDefault="00000000">
      <w:pPr>
        <w:jc w:val="both"/>
      </w:pPr>
      <w:r>
        <w:rPr>
          <w:b/>
          <w:u w:val="single"/>
        </w:rPr>
        <w:t>Profilé souple d’obturation alvéolaire:</w:t>
      </w:r>
    </w:p>
    <w:p w14:paraId="3F22E9AE" w14:textId="77777777" w:rsidR="004B2808" w:rsidRDefault="00000000">
      <w:pPr>
        <w:jc w:val="both"/>
      </w:pPr>
      <w:r>
        <w:t xml:space="preserve">Profilé souple d’obturation alvéolaire étanche et à reprise de forme en : </w:t>
      </w:r>
      <w:r>
        <w:rPr>
          <w:rStyle w:val="optioncarChar"/>
        </w:rPr>
        <w:t>EPDM</w:t>
      </w:r>
      <w:r>
        <w:t xml:space="preserve"> (par défaut) </w:t>
      </w:r>
      <w:r>
        <w:rPr>
          <w:rStyle w:val="optioncarChar"/>
        </w:rPr>
        <w:t>/ nitrile / ***.</w:t>
      </w:r>
    </w:p>
    <w:p w14:paraId="396B8277" w14:textId="77777777" w:rsidR="004B2808" w:rsidRDefault="00000000">
      <w:pPr>
        <w:jc w:val="both"/>
      </w:pPr>
      <w:r>
        <w:rPr>
          <w:b/>
          <w:i/>
        </w:rPr>
        <w:t>(Soit par défaut)</w:t>
      </w:r>
    </w:p>
    <w:p w14:paraId="6C78E94B" w14:textId="77777777" w:rsidR="004B2808" w:rsidRDefault="00000000">
      <w:pPr>
        <w:jc w:val="both"/>
      </w:pPr>
      <w:r>
        <w:rPr>
          <w:rStyle w:val="soitChar"/>
          <w:u w:val="single"/>
        </w:rPr>
        <w:t>Joint en EPDM :</w:t>
      </w:r>
    </w:p>
    <w:p w14:paraId="759AC8D2" w14:textId="77777777" w:rsidR="004B2808" w:rsidRDefault="00000000">
      <w:pPr>
        <w:jc w:val="both"/>
      </w:pPr>
      <w:r>
        <w:rPr>
          <w:rStyle w:val="soitChar"/>
          <w:i/>
        </w:rPr>
        <w:t>Caractéristiques</w:t>
      </w:r>
    </w:p>
    <w:p w14:paraId="4E1713C1" w14:textId="77777777" w:rsidR="004B2808" w:rsidRDefault="00000000">
      <w:pPr>
        <w:pStyle w:val="Author-eListParagraph"/>
        <w:numPr>
          <w:ilvl w:val="0"/>
          <w:numId w:val="306"/>
        </w:numPr>
      </w:pPr>
      <w:r>
        <w:rPr>
          <w:rStyle w:val="soitChar"/>
        </w:rPr>
        <w:t>Allongement à la rupture : ≥</w:t>
      </w:r>
      <w:r>
        <w:rPr>
          <w:rStyle w:val="optioncarChar"/>
        </w:rPr>
        <w:t>275 %</w:t>
      </w:r>
      <w:r>
        <w:t xml:space="preserve"> (par défaut)</w:t>
      </w:r>
      <w:r>
        <w:rPr>
          <w:rStyle w:val="optioncarChar"/>
        </w:rPr>
        <w:t xml:space="preserve"> /***</w:t>
      </w:r>
      <w:r>
        <w:t>.</w:t>
      </w:r>
    </w:p>
    <w:p w14:paraId="665DA981" w14:textId="77777777" w:rsidR="004B2808" w:rsidRDefault="00000000">
      <w:pPr>
        <w:pStyle w:val="Author-eListParagraph"/>
        <w:numPr>
          <w:ilvl w:val="0"/>
          <w:numId w:val="306"/>
        </w:numPr>
      </w:pPr>
      <w:r>
        <w:rPr>
          <w:rStyle w:val="soitChar"/>
        </w:rPr>
        <w:t>Dureté Shore A  [NBN EN ISO 868] :</w:t>
      </w:r>
      <w:r>
        <w:rPr>
          <w:rStyle w:val="optioncarChar"/>
        </w:rPr>
        <w:t>75 ±5</w:t>
      </w:r>
      <w:r>
        <w:t xml:space="preserve"> (par défaut)</w:t>
      </w:r>
      <w:r>
        <w:rPr>
          <w:rStyle w:val="optioncarChar"/>
        </w:rPr>
        <w:t xml:space="preserve"> / ***.</w:t>
      </w:r>
    </w:p>
    <w:p w14:paraId="323CA443" w14:textId="77777777" w:rsidR="004B2808" w:rsidRDefault="00000000">
      <w:pPr>
        <w:pStyle w:val="Author-eListParagraph"/>
        <w:numPr>
          <w:ilvl w:val="0"/>
          <w:numId w:val="306"/>
        </w:numPr>
      </w:pPr>
      <w:r>
        <w:rPr>
          <w:rStyle w:val="soitChar"/>
        </w:rPr>
        <w:lastRenderedPageBreak/>
        <w:t>Résistant aux effets du vieillissement, aux agents chimiques.</w:t>
      </w:r>
    </w:p>
    <w:p w14:paraId="5B76757B" w14:textId="77777777" w:rsidR="004B2808" w:rsidRDefault="00000000">
      <w:pPr>
        <w:pStyle w:val="Author-eListParagraph"/>
        <w:numPr>
          <w:ilvl w:val="0"/>
          <w:numId w:val="306"/>
        </w:numPr>
      </w:pPr>
      <w:r>
        <w:rPr>
          <w:rStyle w:val="soitChar"/>
        </w:rPr>
        <w:t>Couleur :</w:t>
      </w:r>
      <w:r>
        <w:rPr>
          <w:rStyle w:val="optioncarChar"/>
        </w:rPr>
        <w:t>noir</w:t>
      </w:r>
      <w:r>
        <w:t xml:space="preserve"> (par défaut) </w:t>
      </w:r>
      <w:r>
        <w:rPr>
          <w:rStyle w:val="optioncarChar"/>
        </w:rPr>
        <w:t>/ gris / ***.</w:t>
      </w:r>
    </w:p>
    <w:p w14:paraId="6A85D309" w14:textId="77777777" w:rsidR="004B2808" w:rsidRDefault="00000000">
      <w:pPr>
        <w:pStyle w:val="Author-eListParagraph"/>
        <w:numPr>
          <w:ilvl w:val="0"/>
          <w:numId w:val="306"/>
        </w:numPr>
      </w:pPr>
      <w:r>
        <w:rPr>
          <w:rStyle w:val="soitChar"/>
        </w:rPr>
        <w:t>Jeu du joint minimum-maximum en mm :</w:t>
      </w:r>
      <w:r>
        <w:rPr>
          <w:rStyle w:val="optioncarChar"/>
        </w:rPr>
        <w:t>12-15 </w:t>
      </w:r>
      <w:r>
        <w:t>(par défaut)</w:t>
      </w:r>
      <w:r>
        <w:rPr>
          <w:rStyle w:val="optioncarChar"/>
        </w:rPr>
        <w:t xml:space="preserve"> / 15-20 / 21-28 / 26-34  / 35-55 / 60-72 / ***.</w:t>
      </w:r>
    </w:p>
    <w:p w14:paraId="2AFDFAEE" w14:textId="77777777" w:rsidR="004B2808" w:rsidRDefault="00000000">
      <w:pPr>
        <w:jc w:val="both"/>
      </w:pPr>
      <w:r>
        <w:rPr>
          <w:b/>
          <w:i/>
        </w:rPr>
        <w:t>(Soit)</w:t>
      </w:r>
    </w:p>
    <w:p w14:paraId="6C903D32" w14:textId="77777777" w:rsidR="004B2808" w:rsidRDefault="00000000">
      <w:pPr>
        <w:jc w:val="both"/>
      </w:pPr>
      <w:r>
        <w:rPr>
          <w:rStyle w:val="soitChar"/>
          <w:u w:val="single"/>
        </w:rPr>
        <w:t>Joint en nitrile :</w:t>
      </w:r>
    </w:p>
    <w:p w14:paraId="7488A4F7" w14:textId="77777777" w:rsidR="004B2808" w:rsidRDefault="00000000">
      <w:pPr>
        <w:jc w:val="both"/>
      </w:pPr>
      <w:r>
        <w:rPr>
          <w:rStyle w:val="soitChar"/>
          <w:i/>
        </w:rPr>
        <w:t>Caractéristiques</w:t>
      </w:r>
    </w:p>
    <w:p w14:paraId="392D9709" w14:textId="77777777" w:rsidR="004B2808" w:rsidRDefault="00000000">
      <w:pPr>
        <w:pStyle w:val="Author-eListParagraph"/>
        <w:numPr>
          <w:ilvl w:val="0"/>
          <w:numId w:val="307"/>
        </w:numPr>
      </w:pPr>
      <w:r>
        <w:rPr>
          <w:rStyle w:val="soitChar"/>
        </w:rPr>
        <w:t>Allongement à la rupture [NBN EN ISO 527-2]  ≥</w:t>
      </w:r>
      <w:r>
        <w:rPr>
          <w:rStyle w:val="optioncarChar"/>
        </w:rPr>
        <w:t>350 %</w:t>
      </w:r>
      <w:r>
        <w:t xml:space="preserve"> (par défaut) </w:t>
      </w:r>
      <w:r>
        <w:rPr>
          <w:rStyle w:val="optioncarChar"/>
        </w:rPr>
        <w:t>/ ***.</w:t>
      </w:r>
    </w:p>
    <w:p w14:paraId="2507FF20" w14:textId="77777777" w:rsidR="004B2808" w:rsidRDefault="00000000">
      <w:pPr>
        <w:pStyle w:val="Author-eListParagraph"/>
        <w:numPr>
          <w:ilvl w:val="0"/>
          <w:numId w:val="307"/>
        </w:numPr>
      </w:pPr>
      <w:r>
        <w:rPr>
          <w:rStyle w:val="soitChar"/>
        </w:rPr>
        <w:t>Dureté Shore A [NBN EN ISO 868] :</w:t>
      </w:r>
      <w:r>
        <w:rPr>
          <w:rStyle w:val="optioncarChar"/>
        </w:rPr>
        <w:t>67 ±5</w:t>
      </w:r>
      <w:r>
        <w:t xml:space="preserve"> (par défaut)</w:t>
      </w:r>
      <w:r>
        <w:rPr>
          <w:rStyle w:val="optioncarChar"/>
        </w:rPr>
        <w:t xml:space="preserve"> / ***</w:t>
      </w:r>
    </w:p>
    <w:p w14:paraId="3ED333B6" w14:textId="77777777" w:rsidR="004B2808" w:rsidRDefault="00000000">
      <w:pPr>
        <w:pStyle w:val="Author-eListParagraph"/>
        <w:numPr>
          <w:ilvl w:val="0"/>
          <w:numId w:val="307"/>
        </w:numPr>
      </w:pPr>
      <w:r>
        <w:rPr>
          <w:rStyle w:val="soitChar"/>
        </w:rPr>
        <w:t>Résistant aux effets du vieillissement, aux agents chimiques.</w:t>
      </w:r>
    </w:p>
    <w:p w14:paraId="477392BA" w14:textId="77777777" w:rsidR="004B2808" w:rsidRDefault="00000000">
      <w:pPr>
        <w:pStyle w:val="Author-eListParagraph"/>
        <w:numPr>
          <w:ilvl w:val="0"/>
          <w:numId w:val="307"/>
        </w:numPr>
      </w:pPr>
      <w:r>
        <w:rPr>
          <w:rStyle w:val="soitChar"/>
        </w:rPr>
        <w:t>Jeu du joint minimum-maximum en mm :</w:t>
      </w:r>
      <w:r>
        <w:rPr>
          <w:rStyle w:val="optioncarChar"/>
        </w:rPr>
        <w:t>7-12 </w:t>
      </w:r>
      <w:r>
        <w:t>(par défaut)</w:t>
      </w:r>
      <w:r>
        <w:rPr>
          <w:rStyle w:val="optioncarChar"/>
        </w:rPr>
        <w:t xml:space="preserve"> / 9-15 / 13-17 / 17-22 / 19-25 / 20-35 / 25-35 / 35-42 / ***. </w:t>
      </w:r>
    </w:p>
    <w:p w14:paraId="37D0B998" w14:textId="77777777" w:rsidR="004B2808" w:rsidRDefault="00000000">
      <w:pPr>
        <w:jc w:val="both"/>
      </w:pPr>
      <w:r>
        <w:rPr>
          <w:b/>
          <w:u w:val="single"/>
        </w:rPr>
        <w:t>Profilé en V destiné à être enduit :</w:t>
      </w:r>
    </w:p>
    <w:p w14:paraId="5D6CD5C2" w14:textId="77777777" w:rsidR="004B2808" w:rsidRDefault="00000000">
      <w:pPr>
        <w:jc w:val="both"/>
      </w:pPr>
      <w:r>
        <w:t>Profilé en V à ailes perforées, destiné à être enduit pour des dilatations jusque 5mm.</w:t>
      </w:r>
    </w:p>
    <w:p w14:paraId="33514FA4" w14:textId="77777777" w:rsidR="004B2808" w:rsidRDefault="00000000">
      <w:pPr>
        <w:jc w:val="both"/>
      </w:pPr>
      <w:r>
        <w:rPr>
          <w:i/>
        </w:rPr>
        <w:t>Caractéristiques</w:t>
      </w:r>
    </w:p>
    <w:p w14:paraId="51690A16" w14:textId="77777777" w:rsidR="004B2808" w:rsidRDefault="00000000">
      <w:pPr>
        <w:pStyle w:val="Author-eListParagraph"/>
        <w:numPr>
          <w:ilvl w:val="0"/>
          <w:numId w:val="308"/>
        </w:numPr>
      </w:pPr>
      <w:r>
        <w:t xml:space="preserve">Matériau : </w:t>
      </w:r>
      <w:r>
        <w:rPr>
          <w:rStyle w:val="optioncarChar"/>
        </w:rPr>
        <w:t>aluminium / alliage de zinc</w:t>
      </w:r>
      <w:r>
        <w:t xml:space="preserve"> (par défaut) </w:t>
      </w:r>
      <w:r>
        <w:rPr>
          <w:rStyle w:val="optioncarChar"/>
        </w:rPr>
        <w:t>/ acier galvanisé / Inox / Polyamide /  PVC (pour les pièces humide) / ***.</w:t>
      </w:r>
      <w:r>
        <w:br/>
      </w:r>
    </w:p>
    <w:p w14:paraId="45B4E115" w14:textId="77777777" w:rsidR="004B2808" w:rsidRDefault="00000000">
      <w:pPr>
        <w:jc w:val="both"/>
      </w:pPr>
      <w:r>
        <w:rPr>
          <w:b/>
          <w:u w:val="single"/>
        </w:rPr>
        <w:t>Joint de dilatation vertical à faible amplitude, destiné à être enduit :</w:t>
      </w:r>
    </w:p>
    <w:p w14:paraId="472BBC78" w14:textId="77777777" w:rsidR="004B2808" w:rsidRDefault="00000000">
      <w:pPr>
        <w:jc w:val="both"/>
      </w:pPr>
      <w:r>
        <w:t>Joint de dilatation vertical pour mur composé de deux profilés pré-percés destiné à être enduit et d’un insert souple interchangeable permettant d’absorber de petits mouvements multidirectionnels.</w:t>
      </w:r>
    </w:p>
    <w:p w14:paraId="73EA1943" w14:textId="77777777" w:rsidR="004B2808" w:rsidRDefault="00000000">
      <w:pPr>
        <w:pStyle w:val="Author-eListParagraph"/>
        <w:numPr>
          <w:ilvl w:val="0"/>
          <w:numId w:val="309"/>
        </w:numPr>
      </w:pPr>
      <w:r>
        <w:t xml:space="preserve">Modèle : </w:t>
      </w:r>
      <w:r>
        <w:rPr>
          <w:rStyle w:val="optioncarChar"/>
        </w:rPr>
        <w:t>plat</w:t>
      </w:r>
      <w:r>
        <w:t xml:space="preserve"> (par défaut) </w:t>
      </w:r>
      <w:r>
        <w:rPr>
          <w:rStyle w:val="optioncarChar"/>
        </w:rPr>
        <w:t>/ pour angle.</w:t>
      </w:r>
    </w:p>
    <w:p w14:paraId="76D81F17" w14:textId="77777777" w:rsidR="004B2808" w:rsidRDefault="00000000">
      <w:pPr>
        <w:pStyle w:val="Author-eListParagraph"/>
        <w:numPr>
          <w:ilvl w:val="0"/>
          <w:numId w:val="309"/>
        </w:numPr>
      </w:pPr>
      <w:r>
        <w:t xml:space="preserve">Matériau des profilés : </w:t>
      </w:r>
      <w:r>
        <w:rPr>
          <w:rStyle w:val="optioncarChar"/>
        </w:rPr>
        <w:t>acier galvanisé</w:t>
      </w:r>
      <w:r>
        <w:t xml:space="preserve"> (par défaut) </w:t>
      </w:r>
      <w:r>
        <w:rPr>
          <w:rStyle w:val="optioncarChar"/>
        </w:rPr>
        <w:t>/ aluminium / ***.</w:t>
      </w:r>
    </w:p>
    <w:p w14:paraId="5C2DAA04" w14:textId="77777777" w:rsidR="004B2808" w:rsidRDefault="00000000">
      <w:pPr>
        <w:pStyle w:val="Author-eListParagraph"/>
        <w:numPr>
          <w:ilvl w:val="0"/>
          <w:numId w:val="309"/>
        </w:numPr>
      </w:pPr>
      <w:r>
        <w:t xml:space="preserve">Matériau de l’insert : </w:t>
      </w:r>
      <w:r>
        <w:rPr>
          <w:rStyle w:val="optioncarChar"/>
        </w:rPr>
        <w:t>PVC</w:t>
      </w:r>
      <w:r>
        <w:t xml:space="preserve"> (par défaut) </w:t>
      </w:r>
      <w:r>
        <w:rPr>
          <w:rStyle w:val="optioncarChar"/>
        </w:rPr>
        <w:t>/ Nitrile / ***.</w:t>
      </w:r>
    </w:p>
    <w:p w14:paraId="5EE0549C" w14:textId="77777777" w:rsidR="004B2808" w:rsidRDefault="00000000">
      <w:pPr>
        <w:pStyle w:val="Author-eListParagraph"/>
        <w:numPr>
          <w:ilvl w:val="0"/>
          <w:numId w:val="309"/>
        </w:numPr>
      </w:pPr>
      <w:r>
        <w:t xml:space="preserve">Couleur de l’insert : </w:t>
      </w:r>
      <w:r>
        <w:rPr>
          <w:rStyle w:val="optioncarChar"/>
        </w:rPr>
        <w:t>noir</w:t>
      </w:r>
      <w:r>
        <w:t xml:space="preserve"> (par défaut) </w:t>
      </w:r>
      <w:r>
        <w:rPr>
          <w:rStyle w:val="optioncarChar"/>
        </w:rPr>
        <w:t>/ gris / blanc cassé / ***</w:t>
      </w:r>
    </w:p>
    <w:p w14:paraId="5F1AD9DC" w14:textId="77777777" w:rsidR="004B2808" w:rsidRDefault="00000000">
      <w:pPr>
        <w:pStyle w:val="Author-eListParagraph"/>
        <w:numPr>
          <w:ilvl w:val="0"/>
          <w:numId w:val="309"/>
        </w:numPr>
      </w:pPr>
      <w:r>
        <w:t xml:space="preserve">Ouverture du joint (tolérances de mouvements admissibles) en mm : </w:t>
      </w:r>
      <w:r>
        <w:rPr>
          <w:rStyle w:val="optioncarChar"/>
        </w:rPr>
        <w:t>30 (+5/-2) </w:t>
      </w:r>
      <w:r>
        <w:t>(par défaut)</w:t>
      </w:r>
      <w:r>
        <w:rPr>
          <w:rStyle w:val="optioncarChar"/>
        </w:rPr>
        <w:t xml:space="preserve"> / 50 (+10/-6) / ***</w:t>
      </w:r>
    </w:p>
    <w:p w14:paraId="2424AA0F" w14:textId="77777777" w:rsidR="004B2808" w:rsidRDefault="00000000">
      <w:pPr>
        <w:pStyle w:val="Author-eListParagraph"/>
        <w:numPr>
          <w:ilvl w:val="0"/>
          <w:numId w:val="309"/>
        </w:numPr>
      </w:pPr>
      <w:r>
        <w:t xml:space="preserve">Caractéristiques des profilés : </w:t>
      </w:r>
      <w:r>
        <w:rPr>
          <w:rStyle w:val="optioncarChar"/>
        </w:rPr>
        <w:t>acier galvanisé</w:t>
      </w:r>
      <w:r>
        <w:t xml:space="preserve"> (par défaut)</w:t>
      </w:r>
      <w:r>
        <w:rPr>
          <w:rStyle w:val="optioncarChar"/>
        </w:rPr>
        <w:t xml:space="preserve"> / aluminium.</w:t>
      </w:r>
    </w:p>
    <w:p w14:paraId="2D9CD2D3" w14:textId="77777777" w:rsidR="004B2808" w:rsidRDefault="00000000">
      <w:pPr>
        <w:ind w:left="567"/>
        <w:jc w:val="both"/>
      </w:pPr>
      <w:r>
        <w:rPr>
          <w:b/>
          <w:i/>
        </w:rPr>
        <w:t>(Soit par défaut)</w:t>
      </w:r>
    </w:p>
    <w:p w14:paraId="7450A62A" w14:textId="77777777" w:rsidR="004B2808" w:rsidRDefault="00000000">
      <w:pPr>
        <w:ind w:left="567"/>
        <w:jc w:val="both"/>
      </w:pPr>
      <w:r>
        <w:rPr>
          <w:rStyle w:val="soitChar"/>
          <w:u w:val="single"/>
        </w:rPr>
        <w:t>Acier galvanisé:</w:t>
      </w:r>
    </w:p>
    <w:p w14:paraId="55039E54" w14:textId="77777777" w:rsidR="004B2808" w:rsidRDefault="00000000">
      <w:pPr>
        <w:pStyle w:val="Author-eListParagraph"/>
        <w:numPr>
          <w:ilvl w:val="1"/>
          <w:numId w:val="310"/>
        </w:numPr>
      </w:pPr>
      <w:r>
        <w:rPr>
          <w:rStyle w:val="soitChar"/>
        </w:rPr>
        <w:t>Acier :</w:t>
      </w:r>
      <w:r>
        <w:rPr>
          <w:rStyle w:val="optioncarChar"/>
        </w:rPr>
        <w:t>S235JR</w:t>
      </w:r>
      <w:r>
        <w:t xml:space="preserve"> (par défaut) </w:t>
      </w:r>
      <w:r>
        <w:rPr>
          <w:rStyle w:val="optioncarChar"/>
        </w:rPr>
        <w:t>/ ***</w:t>
      </w:r>
      <w:r>
        <w:t>.</w:t>
      </w:r>
    </w:p>
    <w:p w14:paraId="06DDED23" w14:textId="77777777" w:rsidR="004B2808" w:rsidRDefault="00000000">
      <w:pPr>
        <w:pStyle w:val="Author-eListParagraph"/>
        <w:numPr>
          <w:ilvl w:val="1"/>
          <w:numId w:val="310"/>
        </w:numPr>
      </w:pPr>
      <w:r>
        <w:rPr>
          <w:rStyle w:val="soitChar"/>
        </w:rPr>
        <w:t>Épaisseur de galvanisation minimum :</w:t>
      </w:r>
      <w:r>
        <w:rPr>
          <w:rStyle w:val="optioncarChar"/>
        </w:rPr>
        <w:t>20 microns</w:t>
      </w:r>
      <w:r>
        <w:t xml:space="preserve"> (par défaut)</w:t>
      </w:r>
      <w:r>
        <w:rPr>
          <w:rStyle w:val="optioncarChar"/>
        </w:rPr>
        <w:t xml:space="preserve"> / ***</w:t>
      </w:r>
      <w:r>
        <w:t>.</w:t>
      </w:r>
    </w:p>
    <w:p w14:paraId="0ADF0B6B" w14:textId="77777777" w:rsidR="004B2808" w:rsidRDefault="00000000">
      <w:pPr>
        <w:ind w:left="567"/>
        <w:jc w:val="both"/>
      </w:pPr>
      <w:r>
        <w:rPr>
          <w:b/>
          <w:i/>
        </w:rPr>
        <w:t>(Soit)</w:t>
      </w:r>
    </w:p>
    <w:p w14:paraId="29C5C816" w14:textId="77777777" w:rsidR="004B2808" w:rsidRDefault="00000000">
      <w:pPr>
        <w:ind w:left="567"/>
        <w:jc w:val="both"/>
      </w:pPr>
      <w:r>
        <w:rPr>
          <w:rStyle w:val="soitChar"/>
          <w:u w:val="single"/>
        </w:rPr>
        <w:t>Aluminium :</w:t>
      </w:r>
    </w:p>
    <w:p w14:paraId="2399C105" w14:textId="77777777" w:rsidR="004B2808" w:rsidRDefault="00000000">
      <w:pPr>
        <w:pStyle w:val="Author-eListParagraph"/>
        <w:numPr>
          <w:ilvl w:val="1"/>
          <w:numId w:val="311"/>
        </w:numPr>
      </w:pPr>
      <w:r>
        <w:rPr>
          <w:rStyle w:val="soitChar"/>
        </w:rPr>
        <w:t>Résistance à la rupture minimum :</w:t>
      </w:r>
      <w:r>
        <w:rPr>
          <w:rStyle w:val="optioncarChar"/>
        </w:rPr>
        <w:t>160 MPa</w:t>
      </w:r>
      <w:r>
        <w:t xml:space="preserve"> (par défaut) </w:t>
      </w:r>
      <w:r>
        <w:rPr>
          <w:rStyle w:val="optioncarChar"/>
        </w:rPr>
        <w:t>/ ***.</w:t>
      </w:r>
    </w:p>
    <w:p w14:paraId="5C8EAC2A" w14:textId="77777777" w:rsidR="004B2808" w:rsidRDefault="00000000">
      <w:pPr>
        <w:pStyle w:val="Author-eListParagraph"/>
        <w:numPr>
          <w:ilvl w:val="1"/>
          <w:numId w:val="311"/>
        </w:numPr>
      </w:pPr>
      <w:r>
        <w:rPr>
          <w:rStyle w:val="soitChar"/>
        </w:rPr>
        <w:t>Module d’élasticité : 70.000 MPa.</w:t>
      </w:r>
    </w:p>
    <w:p w14:paraId="686FAECE" w14:textId="77777777" w:rsidR="004B2808" w:rsidRDefault="00000000">
      <w:pPr>
        <w:pStyle w:val="Author-eListParagraph"/>
        <w:numPr>
          <w:ilvl w:val="1"/>
          <w:numId w:val="311"/>
        </w:numPr>
      </w:pPr>
      <w:r>
        <w:rPr>
          <w:rStyle w:val="soitChar"/>
        </w:rPr>
        <w:t>Allongement minimum :</w:t>
      </w:r>
      <w:r>
        <w:rPr>
          <w:rStyle w:val="optioncarChar"/>
        </w:rPr>
        <w:t> 6%</w:t>
      </w:r>
      <w:r>
        <w:t xml:space="preserve"> (par défaut) </w:t>
      </w:r>
      <w:r>
        <w:rPr>
          <w:rStyle w:val="optioncarChar"/>
        </w:rPr>
        <w:t>/ ***.</w:t>
      </w:r>
    </w:p>
    <w:p w14:paraId="1F921617" w14:textId="77777777" w:rsidR="004B2808" w:rsidRDefault="00000000">
      <w:pPr>
        <w:pStyle w:val="Author-eListParagraph"/>
        <w:numPr>
          <w:ilvl w:val="0"/>
          <w:numId w:val="312"/>
        </w:numPr>
      </w:pPr>
      <w:r>
        <w:t xml:space="preserve">Caractéristiques de l’insert souple : </w:t>
      </w:r>
      <w:r>
        <w:rPr>
          <w:rStyle w:val="optioncarChar"/>
        </w:rPr>
        <w:t>PVC souple</w:t>
      </w:r>
      <w:r>
        <w:t xml:space="preserve"> (par défaut) </w:t>
      </w:r>
      <w:r>
        <w:rPr>
          <w:rStyle w:val="optioncarChar"/>
        </w:rPr>
        <w:t>/ nitrile.</w:t>
      </w:r>
    </w:p>
    <w:p w14:paraId="4266307F" w14:textId="77777777" w:rsidR="004B2808" w:rsidRDefault="00000000">
      <w:pPr>
        <w:ind w:left="567"/>
        <w:jc w:val="both"/>
      </w:pPr>
      <w:r>
        <w:rPr>
          <w:b/>
          <w:i/>
        </w:rPr>
        <w:t>(Soit par défaut)</w:t>
      </w:r>
    </w:p>
    <w:p w14:paraId="655F3E31" w14:textId="77777777" w:rsidR="004B2808" w:rsidRDefault="00000000">
      <w:pPr>
        <w:ind w:left="567"/>
        <w:jc w:val="both"/>
      </w:pPr>
      <w:r>
        <w:rPr>
          <w:rStyle w:val="soitChar"/>
          <w:u w:val="single"/>
        </w:rPr>
        <w:t>PVC souple :</w:t>
      </w:r>
    </w:p>
    <w:p w14:paraId="11E1D7A3" w14:textId="77777777" w:rsidR="004B2808" w:rsidRDefault="00000000">
      <w:pPr>
        <w:pStyle w:val="Author-eListParagraph"/>
        <w:numPr>
          <w:ilvl w:val="1"/>
          <w:numId w:val="313"/>
        </w:numPr>
      </w:pPr>
      <w:r>
        <w:rPr>
          <w:rStyle w:val="soitChar"/>
        </w:rPr>
        <w:t>Dureté Shore A [NBN EN ISO 868] :</w:t>
      </w:r>
      <w:r>
        <w:rPr>
          <w:rStyle w:val="optioncarChar"/>
        </w:rPr>
        <w:t>75 ±5</w:t>
      </w:r>
      <w:r>
        <w:t xml:space="preserve"> (par défaut) </w:t>
      </w:r>
      <w:r>
        <w:rPr>
          <w:rStyle w:val="optioncarChar"/>
        </w:rPr>
        <w:t>/ ***.</w:t>
      </w:r>
    </w:p>
    <w:p w14:paraId="201A4908" w14:textId="77777777" w:rsidR="004B2808" w:rsidRDefault="00000000">
      <w:pPr>
        <w:pStyle w:val="Author-eListParagraph"/>
        <w:numPr>
          <w:ilvl w:val="1"/>
          <w:numId w:val="313"/>
        </w:numPr>
      </w:pPr>
      <w:r>
        <w:rPr>
          <w:rStyle w:val="soitChar"/>
        </w:rPr>
        <w:t>Résistance à la traction [NBN EN ISO 527-2] : ≥</w:t>
      </w:r>
      <w:r>
        <w:rPr>
          <w:rStyle w:val="optioncarChar"/>
        </w:rPr>
        <w:t>8 MPa</w:t>
      </w:r>
      <w:r>
        <w:t xml:space="preserve"> (par défaut)</w:t>
      </w:r>
      <w:r>
        <w:rPr>
          <w:rStyle w:val="optioncarChar"/>
        </w:rPr>
        <w:t xml:space="preserve"> / ***.</w:t>
      </w:r>
    </w:p>
    <w:p w14:paraId="2B706FF4" w14:textId="77777777" w:rsidR="004B2808" w:rsidRDefault="00000000">
      <w:pPr>
        <w:pStyle w:val="Author-eListParagraph"/>
        <w:numPr>
          <w:ilvl w:val="1"/>
          <w:numId w:val="313"/>
        </w:numPr>
      </w:pPr>
      <w:r>
        <w:rPr>
          <w:rStyle w:val="soitChar"/>
        </w:rPr>
        <w:t>Allongement à la rupture [NBN EN ISO 527-2] : ≥</w:t>
      </w:r>
      <w:r>
        <w:rPr>
          <w:rStyle w:val="optioncarChar"/>
        </w:rPr>
        <w:t xml:space="preserve"> 275 %</w:t>
      </w:r>
      <w:r>
        <w:t xml:space="preserve"> (par défaut)</w:t>
      </w:r>
      <w:r>
        <w:rPr>
          <w:rStyle w:val="optioncarChar"/>
        </w:rPr>
        <w:t xml:space="preserve"> / ***.</w:t>
      </w:r>
    </w:p>
    <w:p w14:paraId="1383B863" w14:textId="77777777" w:rsidR="004B2808" w:rsidRDefault="00000000">
      <w:pPr>
        <w:pStyle w:val="Author-eListParagraph"/>
        <w:numPr>
          <w:ilvl w:val="1"/>
          <w:numId w:val="313"/>
        </w:numPr>
      </w:pPr>
      <w:r>
        <w:rPr>
          <w:rStyle w:val="soitChar"/>
        </w:rPr>
        <w:t>Allongement au déchirement à 23°C [DIN 53504] ≥</w:t>
      </w:r>
      <w:r>
        <w:rPr>
          <w:rStyle w:val="optioncarChar"/>
        </w:rPr>
        <w:t>275 %</w:t>
      </w:r>
      <w:r>
        <w:t xml:space="preserve"> (par défaut) </w:t>
      </w:r>
      <w:r>
        <w:rPr>
          <w:rStyle w:val="optioncarChar"/>
        </w:rPr>
        <w:t xml:space="preserve"> / ***.</w:t>
      </w:r>
    </w:p>
    <w:p w14:paraId="3F457226" w14:textId="77777777" w:rsidR="004B2808" w:rsidRDefault="00000000">
      <w:pPr>
        <w:pStyle w:val="Author-eListParagraph"/>
        <w:numPr>
          <w:ilvl w:val="1"/>
          <w:numId w:val="313"/>
        </w:numPr>
      </w:pPr>
      <w:r>
        <w:rPr>
          <w:rStyle w:val="soitChar"/>
        </w:rPr>
        <w:t>Résistance à la déchirure [DIN 53504] : ≥</w:t>
      </w:r>
      <w:r>
        <w:rPr>
          <w:rStyle w:val="optioncarChar"/>
        </w:rPr>
        <w:t>12 MPa</w:t>
      </w:r>
      <w:r>
        <w:t xml:space="preserve"> (par défaut) </w:t>
      </w:r>
      <w:r>
        <w:rPr>
          <w:rStyle w:val="optioncarChar"/>
        </w:rPr>
        <w:t>/ *** .</w:t>
      </w:r>
    </w:p>
    <w:p w14:paraId="663900E2" w14:textId="77777777" w:rsidR="004B2808" w:rsidRDefault="00000000">
      <w:pPr>
        <w:pStyle w:val="Author-eListParagraph"/>
        <w:numPr>
          <w:ilvl w:val="1"/>
          <w:numId w:val="313"/>
        </w:numPr>
      </w:pPr>
      <w:r>
        <w:rPr>
          <w:rStyle w:val="soitChar"/>
        </w:rPr>
        <w:t>Tolérance linéaire [DIN 16941] :</w:t>
      </w:r>
      <w:r>
        <w:rPr>
          <w:rStyle w:val="optioncarChar"/>
        </w:rPr>
        <w:t>± 0.7%</w:t>
      </w:r>
      <w:r>
        <w:t xml:space="preserve"> (par défaut) </w:t>
      </w:r>
      <w:r>
        <w:rPr>
          <w:rStyle w:val="optioncarChar"/>
        </w:rPr>
        <w:t>/ ***.</w:t>
      </w:r>
    </w:p>
    <w:p w14:paraId="33E3B937" w14:textId="77777777" w:rsidR="004B2808" w:rsidRDefault="00000000">
      <w:pPr>
        <w:ind w:left="567"/>
        <w:jc w:val="both"/>
      </w:pPr>
      <w:r>
        <w:rPr>
          <w:b/>
          <w:i/>
        </w:rPr>
        <w:lastRenderedPageBreak/>
        <w:t>(Soit)</w:t>
      </w:r>
    </w:p>
    <w:p w14:paraId="42454806" w14:textId="77777777" w:rsidR="004B2808" w:rsidRDefault="00000000">
      <w:pPr>
        <w:ind w:left="567"/>
        <w:jc w:val="both"/>
      </w:pPr>
      <w:r>
        <w:rPr>
          <w:rStyle w:val="soitChar"/>
          <w:u w:val="single"/>
        </w:rPr>
        <w:t>Nitrile:</w:t>
      </w:r>
    </w:p>
    <w:p w14:paraId="76E8EE3C" w14:textId="77777777" w:rsidR="004B2808" w:rsidRDefault="00000000">
      <w:pPr>
        <w:pStyle w:val="Author-eListParagraph"/>
        <w:numPr>
          <w:ilvl w:val="1"/>
          <w:numId w:val="314"/>
        </w:numPr>
      </w:pPr>
      <w:r>
        <w:rPr>
          <w:rStyle w:val="soitChar"/>
        </w:rPr>
        <w:t xml:space="preserve">Dureté Shore A [NBN EN ISO 868]: </w:t>
      </w:r>
      <w:r>
        <w:rPr>
          <w:rStyle w:val="optioncarChar"/>
        </w:rPr>
        <w:t>67 ±5</w:t>
      </w:r>
      <w:r>
        <w:t xml:space="preserve"> (par défaut) </w:t>
      </w:r>
      <w:r>
        <w:rPr>
          <w:rStyle w:val="optioncarChar"/>
        </w:rPr>
        <w:t>/ ***.</w:t>
      </w:r>
    </w:p>
    <w:p w14:paraId="61086EC1" w14:textId="77777777" w:rsidR="004B2808" w:rsidRDefault="00000000">
      <w:pPr>
        <w:pStyle w:val="Author-eListParagraph"/>
        <w:numPr>
          <w:ilvl w:val="1"/>
          <w:numId w:val="314"/>
        </w:numPr>
      </w:pPr>
      <w:r>
        <w:rPr>
          <w:rStyle w:val="soitChar"/>
        </w:rPr>
        <w:t xml:space="preserve">Allongement à la rupture [NBN EN ISO 527-2] : ≥ </w:t>
      </w:r>
      <w:r>
        <w:rPr>
          <w:rStyle w:val="optioncarChar"/>
        </w:rPr>
        <w:t>350 %</w:t>
      </w:r>
      <w:r>
        <w:t xml:space="preserve"> (par défaut)</w:t>
      </w:r>
      <w:r>
        <w:rPr>
          <w:rStyle w:val="optioncarChar"/>
        </w:rPr>
        <w:t xml:space="preserve"> /***.</w:t>
      </w:r>
    </w:p>
    <w:p w14:paraId="1B8DBECD" w14:textId="77777777" w:rsidR="004B2808" w:rsidRDefault="00000000">
      <w:pPr>
        <w:pStyle w:val="Author-eListParagraph"/>
        <w:numPr>
          <w:ilvl w:val="1"/>
          <w:numId w:val="314"/>
        </w:numPr>
      </w:pPr>
      <w:r>
        <w:rPr>
          <w:rStyle w:val="soitChar"/>
        </w:rPr>
        <w:t>Résistant aux effets du vieillissement, aux agents chimiques.</w:t>
      </w:r>
    </w:p>
    <w:p w14:paraId="27DD8C66" w14:textId="77777777" w:rsidR="004B2808" w:rsidRDefault="004B2808"/>
    <w:p w14:paraId="795FFB4B" w14:textId="77777777" w:rsidR="004B2808" w:rsidRDefault="00000000">
      <w:pPr>
        <w:jc w:val="both"/>
      </w:pPr>
      <w:r>
        <w:rPr>
          <w:b/>
          <w:u w:val="single"/>
        </w:rPr>
        <w:t>Joint de dilatation vertical à amples mouvements à fixations apparentes :</w:t>
      </w:r>
    </w:p>
    <w:p w14:paraId="72386F11" w14:textId="77777777" w:rsidR="004B2808" w:rsidRDefault="00000000">
      <w:pPr>
        <w:jc w:val="both"/>
      </w:pPr>
      <w:r>
        <w:t>Joint de dilatation vertical pour mur composé de deux profilés à fixations apparentes et d’un insert souple interchangeable permettant d’absorber d’amples mouvements multidirectionnels.</w:t>
      </w:r>
    </w:p>
    <w:p w14:paraId="7A09E512" w14:textId="77777777" w:rsidR="004B2808" w:rsidRDefault="00000000">
      <w:pPr>
        <w:pStyle w:val="Author-eListParagraph"/>
        <w:numPr>
          <w:ilvl w:val="0"/>
          <w:numId w:val="315"/>
        </w:numPr>
      </w:pPr>
      <w:r>
        <w:t xml:space="preserve">Matériau des profilés : </w:t>
      </w:r>
      <w:r>
        <w:rPr>
          <w:rStyle w:val="optioncarChar"/>
        </w:rPr>
        <w:t>aluminium</w:t>
      </w:r>
      <w:r>
        <w:t xml:space="preserve"> (par défaut) </w:t>
      </w:r>
      <w:r>
        <w:rPr>
          <w:rStyle w:val="optioncarChar"/>
        </w:rPr>
        <w:t>/ acier / ***.</w:t>
      </w:r>
    </w:p>
    <w:p w14:paraId="68A5D427" w14:textId="77777777" w:rsidR="004B2808" w:rsidRDefault="00000000">
      <w:pPr>
        <w:pStyle w:val="Author-eListParagraph"/>
        <w:numPr>
          <w:ilvl w:val="0"/>
          <w:numId w:val="315"/>
        </w:numPr>
      </w:pPr>
      <w:r>
        <w:t xml:space="preserve">Matériau de l’insert :  </w:t>
      </w:r>
      <w:r>
        <w:rPr>
          <w:rStyle w:val="optioncarChar"/>
        </w:rPr>
        <w:t>PVC</w:t>
      </w:r>
      <w:r>
        <w:t xml:space="preserve"> (par défaut)</w:t>
      </w:r>
      <w:r>
        <w:rPr>
          <w:rStyle w:val="optioncarChar"/>
        </w:rPr>
        <w:t xml:space="preserve"> / nitrile / ***.</w:t>
      </w:r>
    </w:p>
    <w:p w14:paraId="3CC8DCAC" w14:textId="77777777" w:rsidR="004B2808" w:rsidRDefault="00000000">
      <w:pPr>
        <w:pStyle w:val="Author-eListParagraph"/>
        <w:numPr>
          <w:ilvl w:val="0"/>
          <w:numId w:val="315"/>
        </w:numPr>
      </w:pPr>
      <w:r>
        <w:t xml:space="preserve">Modèle : </w:t>
      </w:r>
      <w:r>
        <w:rPr>
          <w:rStyle w:val="optioncarChar"/>
        </w:rPr>
        <w:t>plat</w:t>
      </w:r>
      <w:r>
        <w:t xml:space="preserve"> (par défaut) </w:t>
      </w:r>
      <w:r>
        <w:rPr>
          <w:rStyle w:val="optioncarChar"/>
        </w:rPr>
        <w:t>/ pour angle.</w:t>
      </w:r>
    </w:p>
    <w:p w14:paraId="00C679AC" w14:textId="77777777" w:rsidR="004B2808" w:rsidRDefault="00000000">
      <w:pPr>
        <w:pStyle w:val="Author-eListParagraph"/>
        <w:numPr>
          <w:ilvl w:val="0"/>
          <w:numId w:val="315"/>
        </w:numPr>
      </w:pPr>
      <w:r>
        <w:t xml:space="preserve">Couleur de l’insert : </w:t>
      </w:r>
      <w:r>
        <w:rPr>
          <w:rStyle w:val="optioncarChar"/>
        </w:rPr>
        <w:t>noir</w:t>
      </w:r>
      <w:r>
        <w:t xml:space="preserve"> (par défaut) </w:t>
      </w:r>
      <w:r>
        <w:rPr>
          <w:rStyle w:val="optioncarChar"/>
        </w:rPr>
        <w:t>/ gris / ***.</w:t>
      </w:r>
    </w:p>
    <w:p w14:paraId="59365E06" w14:textId="77777777" w:rsidR="004B2808" w:rsidRDefault="00000000">
      <w:pPr>
        <w:pStyle w:val="Author-eListParagraph"/>
        <w:numPr>
          <w:ilvl w:val="0"/>
          <w:numId w:val="315"/>
        </w:numPr>
      </w:pPr>
      <w:r>
        <w:t>Ouverture du joint (tolérances de mouvement admissible) en mm :</w:t>
      </w:r>
      <w:r>
        <w:rPr>
          <w:rStyle w:val="optioncarChar"/>
        </w:rPr>
        <w:t xml:space="preserve"> 30 (+8/-2) </w:t>
      </w:r>
      <w:r>
        <w:t xml:space="preserve">(par défaut) </w:t>
      </w:r>
      <w:r>
        <w:rPr>
          <w:rStyle w:val="optioncarChar"/>
        </w:rPr>
        <w:t>/ 50 (+20/-10) / 80 (+35/-15) / 120 (+45/-20) / 200 (+50/-40) / 280 (+80/-45) / 350 (+100/-50) / ***</w:t>
      </w:r>
      <w:r>
        <w:t>.</w:t>
      </w:r>
    </w:p>
    <w:p w14:paraId="15C20245" w14:textId="77777777" w:rsidR="004B2808" w:rsidRDefault="00000000">
      <w:pPr>
        <w:pStyle w:val="Author-eListParagraph"/>
        <w:numPr>
          <w:ilvl w:val="0"/>
          <w:numId w:val="315"/>
        </w:numPr>
      </w:pPr>
      <w:r>
        <w:t xml:space="preserve">Épaisseur : </w:t>
      </w:r>
      <w:r>
        <w:rPr>
          <w:rStyle w:val="optioncarChar"/>
        </w:rPr>
        <w:t>15 mm</w:t>
      </w:r>
      <w:r>
        <w:t xml:space="preserve"> (par défaut)</w:t>
      </w:r>
      <w:r>
        <w:rPr>
          <w:rStyle w:val="optioncarChar"/>
        </w:rPr>
        <w:t xml:space="preserve"> / ***.</w:t>
      </w:r>
    </w:p>
    <w:p w14:paraId="4EDDDA32" w14:textId="77777777" w:rsidR="004B2808" w:rsidRDefault="00000000">
      <w:pPr>
        <w:pStyle w:val="Author-eListParagraph"/>
        <w:numPr>
          <w:ilvl w:val="0"/>
          <w:numId w:val="315"/>
        </w:numPr>
      </w:pPr>
      <w:r>
        <w:t>Forme de l’insert :</w:t>
      </w:r>
      <w:r>
        <w:rPr>
          <w:rStyle w:val="optioncarChar"/>
        </w:rPr>
        <w:t xml:space="preserve"> plié en accordéon</w:t>
      </w:r>
      <w:r>
        <w:t xml:space="preserve"> (par défaut)</w:t>
      </w:r>
      <w:r>
        <w:rPr>
          <w:rStyle w:val="optioncarChar"/>
        </w:rPr>
        <w:t xml:space="preserve"> / lisse / ***.</w:t>
      </w:r>
    </w:p>
    <w:p w14:paraId="300894CB" w14:textId="77777777" w:rsidR="004B2808" w:rsidRDefault="00000000">
      <w:pPr>
        <w:pStyle w:val="Author-eListParagraph"/>
        <w:numPr>
          <w:ilvl w:val="0"/>
          <w:numId w:val="315"/>
        </w:numPr>
      </w:pPr>
      <w:r>
        <w:t>Caractéristiques des profilés :</w:t>
      </w:r>
      <w:r>
        <w:rPr>
          <w:rStyle w:val="optioncarChar"/>
        </w:rPr>
        <w:t xml:space="preserve"> acier galvanisé / aluminium</w:t>
      </w:r>
      <w:r>
        <w:t xml:space="preserve"> (par défaut).</w:t>
      </w:r>
    </w:p>
    <w:p w14:paraId="54410769" w14:textId="77777777" w:rsidR="004B2808" w:rsidRDefault="00000000">
      <w:pPr>
        <w:ind w:left="567"/>
        <w:jc w:val="both"/>
      </w:pPr>
      <w:r>
        <w:rPr>
          <w:b/>
          <w:i/>
        </w:rPr>
        <w:t>(Soit par défaut)</w:t>
      </w:r>
    </w:p>
    <w:p w14:paraId="5DC634EA" w14:textId="77777777" w:rsidR="004B2808" w:rsidRDefault="00000000">
      <w:pPr>
        <w:ind w:left="567"/>
        <w:jc w:val="both"/>
      </w:pPr>
      <w:r>
        <w:rPr>
          <w:rStyle w:val="soitChar"/>
          <w:u w:val="single"/>
        </w:rPr>
        <w:t>Aluminium :</w:t>
      </w:r>
    </w:p>
    <w:p w14:paraId="17E8D2D2" w14:textId="77777777" w:rsidR="004B2808" w:rsidRDefault="00000000">
      <w:pPr>
        <w:pStyle w:val="Author-eListParagraph"/>
        <w:numPr>
          <w:ilvl w:val="1"/>
          <w:numId w:val="316"/>
        </w:numPr>
      </w:pPr>
      <w:r>
        <w:rPr>
          <w:rStyle w:val="soitChar"/>
        </w:rPr>
        <w:t>Résistance à la rupture minimum :</w:t>
      </w:r>
      <w:r>
        <w:rPr>
          <w:rStyle w:val="optioncarChar"/>
        </w:rPr>
        <w:t>160 MPa</w:t>
      </w:r>
      <w:r>
        <w:t xml:space="preserve"> (par défaut) </w:t>
      </w:r>
      <w:r>
        <w:rPr>
          <w:rStyle w:val="optioncarChar"/>
        </w:rPr>
        <w:t>/ ***.</w:t>
      </w:r>
    </w:p>
    <w:p w14:paraId="59EC85A6" w14:textId="77777777" w:rsidR="004B2808" w:rsidRDefault="00000000">
      <w:pPr>
        <w:pStyle w:val="Author-eListParagraph"/>
        <w:numPr>
          <w:ilvl w:val="1"/>
          <w:numId w:val="316"/>
        </w:numPr>
      </w:pPr>
      <w:r>
        <w:rPr>
          <w:rStyle w:val="soitChar"/>
        </w:rPr>
        <w:t>Module d’élasticité: 70.000 MPa.</w:t>
      </w:r>
    </w:p>
    <w:p w14:paraId="61D01675" w14:textId="77777777" w:rsidR="004B2808" w:rsidRDefault="00000000">
      <w:pPr>
        <w:pStyle w:val="Author-eListParagraph"/>
        <w:numPr>
          <w:ilvl w:val="1"/>
          <w:numId w:val="316"/>
        </w:numPr>
      </w:pPr>
      <w:r>
        <w:rPr>
          <w:rStyle w:val="soitChar"/>
        </w:rPr>
        <w:t xml:space="preserve">Allongement minimum: </w:t>
      </w:r>
      <w:r>
        <w:rPr>
          <w:rStyle w:val="optioncarChar"/>
        </w:rPr>
        <w:t>6%</w:t>
      </w:r>
      <w:r>
        <w:t xml:space="preserve"> (par défaut)</w:t>
      </w:r>
      <w:r>
        <w:rPr>
          <w:rStyle w:val="optioncarChar"/>
        </w:rPr>
        <w:t xml:space="preserve"> / ***. </w:t>
      </w:r>
    </w:p>
    <w:p w14:paraId="06FA6897" w14:textId="77777777" w:rsidR="004B2808" w:rsidRDefault="00000000">
      <w:pPr>
        <w:ind w:left="567"/>
        <w:jc w:val="both"/>
      </w:pPr>
      <w:r>
        <w:rPr>
          <w:b/>
          <w:i/>
        </w:rPr>
        <w:t>(Soit)</w:t>
      </w:r>
    </w:p>
    <w:p w14:paraId="4F8B136A" w14:textId="77777777" w:rsidR="004B2808" w:rsidRDefault="00000000">
      <w:pPr>
        <w:ind w:left="567"/>
        <w:jc w:val="both"/>
      </w:pPr>
      <w:r>
        <w:rPr>
          <w:rStyle w:val="soitChar"/>
          <w:u w:val="single"/>
        </w:rPr>
        <w:t>Acier galvanisé :</w:t>
      </w:r>
    </w:p>
    <w:p w14:paraId="2574A9F1" w14:textId="77777777" w:rsidR="004B2808" w:rsidRDefault="00000000">
      <w:pPr>
        <w:pStyle w:val="Author-eListParagraph"/>
        <w:numPr>
          <w:ilvl w:val="1"/>
          <w:numId w:val="318"/>
        </w:numPr>
      </w:pPr>
      <w:r>
        <w:rPr>
          <w:rStyle w:val="soitChar"/>
        </w:rPr>
        <w:t>Acier :</w:t>
      </w:r>
      <w:r>
        <w:rPr>
          <w:rStyle w:val="optioncarChar"/>
        </w:rPr>
        <w:t xml:space="preserve"> S235JR</w:t>
      </w:r>
      <w:r>
        <w:t xml:space="preserve"> (par défaut) </w:t>
      </w:r>
      <w:r>
        <w:rPr>
          <w:rStyle w:val="optioncarChar"/>
        </w:rPr>
        <w:t>/ ***.</w:t>
      </w:r>
    </w:p>
    <w:p w14:paraId="07A853A1" w14:textId="77777777" w:rsidR="004B2808" w:rsidRDefault="00000000">
      <w:pPr>
        <w:pStyle w:val="Author-eListParagraph"/>
        <w:numPr>
          <w:ilvl w:val="1"/>
          <w:numId w:val="318"/>
        </w:numPr>
      </w:pPr>
      <w:r>
        <w:rPr>
          <w:rStyle w:val="soitChar"/>
        </w:rPr>
        <w:t>Épaisseur de galvanisation minimum :</w:t>
      </w:r>
      <w:r>
        <w:rPr>
          <w:rStyle w:val="optioncarChar"/>
        </w:rPr>
        <w:t>20 microns</w:t>
      </w:r>
      <w:r>
        <w:t xml:space="preserve"> (par défaut) </w:t>
      </w:r>
      <w:r>
        <w:rPr>
          <w:rStyle w:val="optioncarChar"/>
        </w:rPr>
        <w:t>/ ***.</w:t>
      </w:r>
      <w:r>
        <w:br/>
      </w:r>
    </w:p>
    <w:p w14:paraId="5F9CE921" w14:textId="77777777" w:rsidR="004B2808" w:rsidRDefault="00000000">
      <w:pPr>
        <w:pStyle w:val="Author-eListParagraph"/>
        <w:numPr>
          <w:ilvl w:val="0"/>
          <w:numId w:val="317"/>
        </w:numPr>
      </w:pPr>
      <w:r>
        <w:t> Caractéristiques de l’insert souple :</w:t>
      </w:r>
      <w:r>
        <w:rPr>
          <w:rStyle w:val="optioncarChar"/>
        </w:rPr>
        <w:t xml:space="preserve"> PVC souple</w:t>
      </w:r>
      <w:r>
        <w:t xml:space="preserve"> (par défaut) </w:t>
      </w:r>
      <w:r>
        <w:rPr>
          <w:rStyle w:val="optioncarChar"/>
        </w:rPr>
        <w:t>/ nitrile.</w:t>
      </w:r>
    </w:p>
    <w:p w14:paraId="21A8862F" w14:textId="77777777" w:rsidR="004B2808" w:rsidRDefault="00000000">
      <w:pPr>
        <w:ind w:left="567"/>
        <w:jc w:val="both"/>
      </w:pPr>
      <w:r>
        <w:rPr>
          <w:b/>
          <w:i/>
        </w:rPr>
        <w:t>(Soit par défaut)</w:t>
      </w:r>
    </w:p>
    <w:p w14:paraId="593081D4" w14:textId="77777777" w:rsidR="004B2808" w:rsidRDefault="00000000">
      <w:pPr>
        <w:ind w:left="567"/>
        <w:jc w:val="both"/>
      </w:pPr>
      <w:r>
        <w:rPr>
          <w:rStyle w:val="soitChar"/>
          <w:u w:val="single"/>
        </w:rPr>
        <w:t>PVC souple :</w:t>
      </w:r>
    </w:p>
    <w:p w14:paraId="34F18A2B" w14:textId="77777777" w:rsidR="004B2808" w:rsidRDefault="00000000">
      <w:pPr>
        <w:pStyle w:val="Author-eListParagraph"/>
        <w:numPr>
          <w:ilvl w:val="1"/>
          <w:numId w:val="319"/>
        </w:numPr>
      </w:pPr>
      <w:r>
        <w:rPr>
          <w:rStyle w:val="soitChar"/>
        </w:rPr>
        <w:t>Dureté Shore A [NBN EN ISO 868]:</w:t>
      </w:r>
      <w:r>
        <w:rPr>
          <w:rStyle w:val="optioncarChar"/>
        </w:rPr>
        <w:t>75 ±5</w:t>
      </w:r>
      <w:r>
        <w:t xml:space="preserve"> (par défaut)</w:t>
      </w:r>
      <w:r>
        <w:rPr>
          <w:rStyle w:val="optioncarChar"/>
        </w:rPr>
        <w:t xml:space="preserve"> / ***.</w:t>
      </w:r>
    </w:p>
    <w:p w14:paraId="314E5988" w14:textId="77777777" w:rsidR="004B2808" w:rsidRDefault="00000000">
      <w:pPr>
        <w:pStyle w:val="Author-eListParagraph"/>
        <w:numPr>
          <w:ilvl w:val="1"/>
          <w:numId w:val="319"/>
        </w:numPr>
      </w:pPr>
      <w:r>
        <w:rPr>
          <w:rStyle w:val="soitChar"/>
        </w:rPr>
        <w:t>Résistance à la traction [NBN EN ISO 527-2] : ≥</w:t>
      </w:r>
      <w:r>
        <w:rPr>
          <w:rStyle w:val="optioncarChar"/>
        </w:rPr>
        <w:t>8 MPa</w:t>
      </w:r>
      <w:r>
        <w:t xml:space="preserve"> (par défaut)</w:t>
      </w:r>
      <w:r>
        <w:rPr>
          <w:rStyle w:val="optioncarChar"/>
        </w:rPr>
        <w:t xml:space="preserve"> / ***.</w:t>
      </w:r>
    </w:p>
    <w:p w14:paraId="25CD7BF1" w14:textId="77777777" w:rsidR="004B2808" w:rsidRDefault="00000000">
      <w:pPr>
        <w:pStyle w:val="Author-eListParagraph"/>
        <w:numPr>
          <w:ilvl w:val="1"/>
          <w:numId w:val="319"/>
        </w:numPr>
      </w:pPr>
      <w:r>
        <w:rPr>
          <w:rStyle w:val="soitChar"/>
        </w:rPr>
        <w:t>Allongement à la rupture [NBN EN ISO 527-2] : ≥</w:t>
      </w:r>
      <w:r>
        <w:rPr>
          <w:rStyle w:val="optioncarChar"/>
        </w:rPr>
        <w:t>275 %</w:t>
      </w:r>
      <w:r>
        <w:t xml:space="preserve"> (par défaut)</w:t>
      </w:r>
      <w:r>
        <w:rPr>
          <w:rStyle w:val="optioncarChar"/>
        </w:rPr>
        <w:t xml:space="preserve"> / ***.</w:t>
      </w:r>
    </w:p>
    <w:p w14:paraId="5718959B" w14:textId="77777777" w:rsidR="004B2808" w:rsidRDefault="00000000">
      <w:pPr>
        <w:pStyle w:val="Author-eListParagraph"/>
        <w:numPr>
          <w:ilvl w:val="1"/>
          <w:numId w:val="319"/>
        </w:numPr>
      </w:pPr>
      <w:r>
        <w:rPr>
          <w:rStyle w:val="soitChar"/>
        </w:rPr>
        <w:t>Allongement au déchirement à 23°C [DIN 53504] ≥</w:t>
      </w:r>
      <w:r>
        <w:rPr>
          <w:rStyle w:val="optioncarChar"/>
        </w:rPr>
        <w:t>275 %</w:t>
      </w:r>
      <w:r>
        <w:t xml:space="preserve"> (par défaut)  </w:t>
      </w:r>
      <w:r>
        <w:rPr>
          <w:rStyle w:val="optioncarChar"/>
        </w:rPr>
        <w:t>/ ***.</w:t>
      </w:r>
    </w:p>
    <w:p w14:paraId="653038F8" w14:textId="77777777" w:rsidR="004B2808" w:rsidRDefault="00000000">
      <w:pPr>
        <w:pStyle w:val="Author-eListParagraph"/>
        <w:numPr>
          <w:ilvl w:val="1"/>
          <w:numId w:val="319"/>
        </w:numPr>
      </w:pPr>
      <w:r>
        <w:rPr>
          <w:rStyle w:val="soitChar"/>
        </w:rPr>
        <w:t>Résistance à la déchirure [DIN 53504] : ≥</w:t>
      </w:r>
      <w:r>
        <w:rPr>
          <w:rStyle w:val="optioncarChar"/>
        </w:rPr>
        <w:t>12 MPa</w:t>
      </w:r>
      <w:r>
        <w:t xml:space="preserve"> (par défaut)</w:t>
      </w:r>
      <w:r>
        <w:rPr>
          <w:rStyle w:val="optioncarChar"/>
        </w:rPr>
        <w:t xml:space="preserve"> / ***</w:t>
      </w:r>
      <w:r>
        <w:t xml:space="preserve"> .</w:t>
      </w:r>
    </w:p>
    <w:p w14:paraId="06065DE3" w14:textId="77777777" w:rsidR="004B2808" w:rsidRDefault="00000000">
      <w:pPr>
        <w:pStyle w:val="Author-eListParagraph"/>
        <w:numPr>
          <w:ilvl w:val="1"/>
          <w:numId w:val="319"/>
        </w:numPr>
      </w:pPr>
      <w:r>
        <w:rPr>
          <w:rStyle w:val="soitChar"/>
        </w:rPr>
        <w:t>Tolérance linéaire [DIN 16941] :</w:t>
      </w:r>
      <w:r>
        <w:rPr>
          <w:rStyle w:val="optioncarChar"/>
        </w:rPr>
        <w:t>± 0.7%</w:t>
      </w:r>
      <w:r>
        <w:t xml:space="preserve"> (par défaut)</w:t>
      </w:r>
      <w:r>
        <w:rPr>
          <w:rStyle w:val="optioncarChar"/>
        </w:rPr>
        <w:t xml:space="preserve"> / ***</w:t>
      </w:r>
      <w:r>
        <w:t>.</w:t>
      </w:r>
    </w:p>
    <w:p w14:paraId="3D4C6E22" w14:textId="77777777" w:rsidR="004B2808" w:rsidRDefault="00000000">
      <w:pPr>
        <w:ind w:left="567"/>
        <w:jc w:val="both"/>
      </w:pPr>
      <w:r>
        <w:rPr>
          <w:b/>
          <w:i/>
        </w:rPr>
        <w:t>(Soit)</w:t>
      </w:r>
    </w:p>
    <w:p w14:paraId="3829EFAF" w14:textId="77777777" w:rsidR="004B2808" w:rsidRDefault="00000000">
      <w:pPr>
        <w:ind w:left="567"/>
        <w:jc w:val="both"/>
      </w:pPr>
      <w:r>
        <w:rPr>
          <w:rStyle w:val="soitChar"/>
          <w:u w:val="single"/>
        </w:rPr>
        <w:t>Nitrile:</w:t>
      </w:r>
    </w:p>
    <w:p w14:paraId="3BDCE48A" w14:textId="77777777" w:rsidR="004B2808" w:rsidRDefault="00000000">
      <w:pPr>
        <w:pStyle w:val="Author-eListParagraph"/>
        <w:numPr>
          <w:ilvl w:val="1"/>
          <w:numId w:val="320"/>
        </w:numPr>
      </w:pPr>
      <w:r>
        <w:rPr>
          <w:rStyle w:val="soitChar"/>
        </w:rPr>
        <w:t>Dureté Shore A [NBN EN ISO 868]:</w:t>
      </w:r>
      <w:r>
        <w:rPr>
          <w:rStyle w:val="optioncarChar"/>
        </w:rPr>
        <w:t>67 ±5</w:t>
      </w:r>
      <w:r>
        <w:t xml:space="preserve"> (par défaut)</w:t>
      </w:r>
      <w:r>
        <w:rPr>
          <w:rStyle w:val="optioncarChar"/>
        </w:rPr>
        <w:t xml:space="preserve"> / ***.</w:t>
      </w:r>
    </w:p>
    <w:p w14:paraId="2438656A" w14:textId="77777777" w:rsidR="004B2808" w:rsidRDefault="00000000">
      <w:pPr>
        <w:pStyle w:val="Author-eListParagraph"/>
        <w:numPr>
          <w:ilvl w:val="1"/>
          <w:numId w:val="320"/>
        </w:numPr>
      </w:pPr>
      <w:r>
        <w:rPr>
          <w:rStyle w:val="soitChar"/>
        </w:rPr>
        <w:t>Allongement à la rupture [NBN EN ISO 527-2] : ≥</w:t>
      </w:r>
      <w:r>
        <w:rPr>
          <w:rStyle w:val="optioncarChar"/>
        </w:rPr>
        <w:t>350 %</w:t>
      </w:r>
      <w:r>
        <w:t xml:space="preserve"> (par défaut) </w:t>
      </w:r>
      <w:r>
        <w:rPr>
          <w:rStyle w:val="optioncarChar"/>
        </w:rPr>
        <w:t>/***.</w:t>
      </w:r>
    </w:p>
    <w:p w14:paraId="229760D6" w14:textId="77777777" w:rsidR="004B2808" w:rsidRDefault="00000000">
      <w:pPr>
        <w:pStyle w:val="Author-eListParagraph"/>
        <w:numPr>
          <w:ilvl w:val="1"/>
          <w:numId w:val="320"/>
        </w:numPr>
      </w:pPr>
      <w:r>
        <w:rPr>
          <w:rStyle w:val="soitChar"/>
        </w:rPr>
        <w:t>Résistant aux effets du vieillissement, aux agents chimiques.</w:t>
      </w:r>
    </w:p>
    <w:p w14:paraId="246AB69A" w14:textId="77777777" w:rsidR="004B2808" w:rsidRDefault="004B2808"/>
    <w:p w14:paraId="2CEC0903" w14:textId="77777777" w:rsidR="004B2808" w:rsidRDefault="00000000">
      <w:pPr>
        <w:jc w:val="both"/>
      </w:pPr>
      <w:r>
        <w:rPr>
          <w:b/>
          <w:u w:val="single"/>
        </w:rPr>
        <w:t>Joint de dilatation vertical tout en aluminium</w:t>
      </w:r>
    </w:p>
    <w:p w14:paraId="76229479" w14:textId="77777777" w:rsidR="004B2808" w:rsidRDefault="00000000">
      <w:pPr>
        <w:jc w:val="both"/>
      </w:pPr>
      <w:r>
        <w:lastRenderedPageBreak/>
        <w:t>Joint de dilatation vertical tout en aluminium naturel anodisé, composé de cornières en aluminium pré-percées pour fixation invisible et d'une partie centrale qui permet d’absorber d'amples mouvements multidirectionnels.</w:t>
      </w:r>
    </w:p>
    <w:p w14:paraId="27A6E4BD" w14:textId="77777777" w:rsidR="004B2808" w:rsidRDefault="00000000">
      <w:pPr>
        <w:pStyle w:val="Author-eListParagraph"/>
        <w:numPr>
          <w:ilvl w:val="0"/>
          <w:numId w:val="321"/>
        </w:numPr>
      </w:pPr>
      <w:r>
        <w:t xml:space="preserve">Épaisseur :  </w:t>
      </w:r>
      <w:r>
        <w:rPr>
          <w:rStyle w:val="optioncarChar"/>
        </w:rPr>
        <w:t>15</w:t>
      </w:r>
      <w:r>
        <w:t xml:space="preserve"> (par défaut) </w:t>
      </w:r>
      <w:r>
        <w:rPr>
          <w:rStyle w:val="optioncarChar"/>
        </w:rPr>
        <w:t>/ ***</w:t>
      </w:r>
      <w:r>
        <w:t xml:space="preserve"> mm, tolérances </w:t>
      </w:r>
      <w:r>
        <w:rPr>
          <w:rStyle w:val="optioncarChar"/>
        </w:rPr>
        <w:t>± 2 mm</w:t>
      </w:r>
      <w:r>
        <w:t xml:space="preserve"> (par défaut)</w:t>
      </w:r>
      <w:r>
        <w:rPr>
          <w:rStyle w:val="optioncarChar"/>
        </w:rPr>
        <w:t xml:space="preserve"> / ***</w:t>
      </w:r>
      <w:r>
        <w:t>.</w:t>
      </w:r>
    </w:p>
    <w:p w14:paraId="48A1E706" w14:textId="77777777" w:rsidR="004B2808" w:rsidRDefault="00000000">
      <w:pPr>
        <w:pStyle w:val="Author-eListParagraph"/>
        <w:numPr>
          <w:ilvl w:val="0"/>
          <w:numId w:val="321"/>
        </w:numPr>
      </w:pPr>
      <w:r>
        <w:t xml:space="preserve">Membrane d'étanchéité supplémentaire en nitrile : </w:t>
      </w:r>
      <w:r>
        <w:rPr>
          <w:rStyle w:val="optioncarChar"/>
        </w:rPr>
        <w:t>non</w:t>
      </w:r>
      <w:r>
        <w:t xml:space="preserve"> (par défaut) </w:t>
      </w:r>
      <w:r>
        <w:rPr>
          <w:rStyle w:val="optioncarChar"/>
        </w:rPr>
        <w:t>/ oui</w:t>
      </w:r>
      <w:r>
        <w:t>.</w:t>
      </w:r>
    </w:p>
    <w:p w14:paraId="0628AC26" w14:textId="77777777" w:rsidR="004B2808" w:rsidRDefault="00000000">
      <w:pPr>
        <w:pStyle w:val="Author-eListParagraph"/>
        <w:numPr>
          <w:ilvl w:val="0"/>
          <w:numId w:val="321"/>
        </w:numPr>
      </w:pPr>
      <w:r>
        <w:t xml:space="preserve">Modèle : </w:t>
      </w:r>
      <w:r>
        <w:rPr>
          <w:rStyle w:val="optioncarChar"/>
        </w:rPr>
        <w:t>plat</w:t>
      </w:r>
      <w:r>
        <w:t xml:space="preserve"> (par défaut) </w:t>
      </w:r>
      <w:r>
        <w:rPr>
          <w:rStyle w:val="optioncarChar"/>
        </w:rPr>
        <w:t>/ pour angle</w:t>
      </w:r>
      <w:r>
        <w:t>.</w:t>
      </w:r>
    </w:p>
    <w:p w14:paraId="6160CE8C" w14:textId="77777777" w:rsidR="004B2808" w:rsidRDefault="00000000">
      <w:pPr>
        <w:ind w:left="567"/>
        <w:jc w:val="both"/>
      </w:pPr>
      <w:r>
        <w:rPr>
          <w:b/>
          <w:i/>
        </w:rPr>
        <w:t>(Soit par défaut)</w:t>
      </w:r>
    </w:p>
    <w:p w14:paraId="59E0B929" w14:textId="77777777" w:rsidR="004B2808" w:rsidRDefault="00000000">
      <w:pPr>
        <w:ind w:left="567"/>
        <w:jc w:val="both"/>
      </w:pPr>
      <w:r>
        <w:rPr>
          <w:rStyle w:val="soitChar"/>
          <w:u w:val="single"/>
        </w:rPr>
        <w:t>Plat :</w:t>
      </w:r>
    </w:p>
    <w:p w14:paraId="1D2C2DBE" w14:textId="77777777" w:rsidR="004B2808" w:rsidRDefault="00000000">
      <w:pPr>
        <w:ind w:left="567"/>
        <w:jc w:val="both"/>
      </w:pPr>
      <w:r>
        <w:rPr>
          <w:rStyle w:val="soitChar"/>
        </w:rPr>
        <w:t xml:space="preserve">Ouverture du joint à couvrir (mouvement admissible), en mm:  </w:t>
      </w:r>
      <w:r>
        <w:rPr>
          <w:rStyle w:val="optioncarChar"/>
        </w:rPr>
        <w:t>≤ 40 (+25/-25) </w:t>
      </w:r>
      <w:r>
        <w:t>(par défaut)</w:t>
      </w:r>
      <w:r>
        <w:rPr>
          <w:rStyle w:val="optioncarChar"/>
        </w:rPr>
        <w:t xml:space="preserve"> / de 50 à 200 (+39/-39)  / ***</w:t>
      </w:r>
      <w:r>
        <w:rPr>
          <w:rStyle w:val="soitChar"/>
        </w:rPr>
        <w:t>.</w:t>
      </w:r>
    </w:p>
    <w:p w14:paraId="42E38F51" w14:textId="77777777" w:rsidR="004B2808" w:rsidRDefault="00000000">
      <w:pPr>
        <w:ind w:left="567"/>
        <w:jc w:val="both"/>
      </w:pPr>
      <w:r>
        <w:rPr>
          <w:b/>
          <w:i/>
        </w:rPr>
        <w:t>(Soit)</w:t>
      </w:r>
    </w:p>
    <w:p w14:paraId="2EFDE03B" w14:textId="77777777" w:rsidR="004B2808" w:rsidRDefault="00000000">
      <w:pPr>
        <w:ind w:left="567"/>
        <w:jc w:val="both"/>
      </w:pPr>
      <w:r>
        <w:rPr>
          <w:rStyle w:val="soitChar"/>
          <w:u w:val="single"/>
        </w:rPr>
        <w:t>Pour angle:</w:t>
      </w:r>
    </w:p>
    <w:p w14:paraId="5C900E0D" w14:textId="77777777" w:rsidR="004B2808" w:rsidRDefault="00000000">
      <w:pPr>
        <w:ind w:left="567"/>
        <w:jc w:val="both"/>
      </w:pPr>
      <w:r>
        <w:rPr>
          <w:rStyle w:val="soitChar"/>
        </w:rPr>
        <w:t xml:space="preserve">Ouverture du joint à couvrir (mouvement admissible), en mm:  </w:t>
      </w:r>
      <w:r>
        <w:rPr>
          <w:rStyle w:val="optioncarChar"/>
        </w:rPr>
        <w:t xml:space="preserve">≤ 40 (+12,5/-12,5) </w:t>
      </w:r>
      <w:r>
        <w:t>(par défaut) </w:t>
      </w:r>
      <w:r>
        <w:rPr>
          <w:rStyle w:val="optioncarChar"/>
        </w:rPr>
        <w:t>/ de 50 à 200 (+19,5/-19,5) / ***</w:t>
      </w:r>
      <w:r>
        <w:rPr>
          <w:rStyle w:val="soitChar"/>
        </w:rPr>
        <w:t>.</w:t>
      </w:r>
    </w:p>
    <w:p w14:paraId="1D77E1AA" w14:textId="77777777" w:rsidR="004B2808" w:rsidRDefault="00000000">
      <w:pPr>
        <w:jc w:val="both"/>
      </w:pPr>
      <w:r>
        <w:rPr>
          <w:i/>
        </w:rPr>
        <w:t>Caractéristiques de l’aluminium :</w:t>
      </w:r>
    </w:p>
    <w:p w14:paraId="1B19018A" w14:textId="77777777" w:rsidR="004B2808" w:rsidRDefault="00000000">
      <w:pPr>
        <w:pStyle w:val="Author-eListParagraph"/>
        <w:numPr>
          <w:ilvl w:val="0"/>
          <w:numId w:val="322"/>
        </w:numPr>
      </w:pPr>
      <w:r>
        <w:t xml:space="preserve">Résistance à la rupture minimum : </w:t>
      </w:r>
      <w:r>
        <w:rPr>
          <w:rStyle w:val="optioncarChar"/>
        </w:rPr>
        <w:t>160 MPa</w:t>
      </w:r>
      <w:r>
        <w:t xml:space="preserve"> (par défaut) </w:t>
      </w:r>
      <w:r>
        <w:rPr>
          <w:rStyle w:val="optioncarChar"/>
        </w:rPr>
        <w:t>/ ***</w:t>
      </w:r>
      <w:r>
        <w:t>.</w:t>
      </w:r>
    </w:p>
    <w:p w14:paraId="295CC940" w14:textId="77777777" w:rsidR="004B2808" w:rsidRDefault="00000000">
      <w:pPr>
        <w:pStyle w:val="Author-eListParagraph"/>
        <w:numPr>
          <w:ilvl w:val="0"/>
          <w:numId w:val="322"/>
        </w:numPr>
      </w:pPr>
      <w:r>
        <w:t>Module d’élasticité : 70.000 MPa.</w:t>
      </w:r>
    </w:p>
    <w:p w14:paraId="67A165FA" w14:textId="77777777" w:rsidR="004B2808" w:rsidRDefault="00000000">
      <w:pPr>
        <w:pStyle w:val="Author-eListParagraph"/>
        <w:numPr>
          <w:ilvl w:val="0"/>
          <w:numId w:val="322"/>
        </w:numPr>
      </w:pPr>
      <w:r>
        <w:t xml:space="preserve">Allongement minimum :  </w:t>
      </w:r>
      <w:r>
        <w:rPr>
          <w:rStyle w:val="optioncarChar"/>
        </w:rPr>
        <w:t>6%</w:t>
      </w:r>
      <w:r>
        <w:t xml:space="preserve"> (par défaut)</w:t>
      </w:r>
      <w:r>
        <w:rPr>
          <w:rStyle w:val="optioncarChar"/>
        </w:rPr>
        <w:t xml:space="preserve"> / ***</w:t>
      </w:r>
      <w:r>
        <w:t>.</w:t>
      </w:r>
    </w:p>
    <w:p w14:paraId="35D21DD5" w14:textId="77777777" w:rsidR="004B2808" w:rsidRDefault="00000000">
      <w:pPr>
        <w:pStyle w:val="pheading"/>
      </w:pPr>
      <w:r>
        <w:t>- Prescriptions complémentaires</w:t>
      </w:r>
    </w:p>
    <w:p w14:paraId="58CF5170" w14:textId="77777777" w:rsidR="004B2808" w:rsidRDefault="00000000">
      <w:pPr>
        <w:jc w:val="both"/>
      </w:pPr>
      <w:r>
        <w:rPr>
          <w:rStyle w:val="facultChar"/>
        </w:rPr>
        <w:t>Le présent article comprend également :</w:t>
      </w:r>
      <w:r>
        <w:rPr>
          <w:rStyle w:val="optioncarChar"/>
        </w:rPr>
        <w:t>une membrane d’étanchéité à l’air / un fond de joint coupe-feu.</w:t>
      </w:r>
    </w:p>
    <w:p w14:paraId="24742675" w14:textId="77777777" w:rsidR="004B2808" w:rsidRDefault="00000000">
      <w:pPr>
        <w:pStyle w:val="Author-eListParagraph"/>
        <w:numPr>
          <w:ilvl w:val="0"/>
          <w:numId w:val="323"/>
        </w:numPr>
      </w:pPr>
      <w:r>
        <w:rPr>
          <w:rStyle w:val="facultChar"/>
          <w:u w:val="single"/>
        </w:rPr>
        <w:t>Membrane d’étanchéité à l’air :</w:t>
      </w:r>
      <w:r>
        <w:br/>
      </w:r>
      <w:r>
        <w:rPr>
          <w:rStyle w:val="facultChar"/>
        </w:rPr>
        <w:t xml:space="preserve">Renvoi à l’élément </w:t>
      </w:r>
      <w:hyperlink w:anchor="1175" w:history="1">
        <w:r w:rsidR="004B2808">
          <w:rPr>
            <w:rStyle w:val="facultChar"/>
            <w:color w:val="0000EE"/>
          </w:rPr>
          <w:t>52.21.1 Membranes souples étanches aux matières gazeuses</w:t>
        </w:r>
      </w:hyperlink>
      <w:r>
        <w:rPr>
          <w:rStyle w:val="facultChar"/>
        </w:rPr>
        <w:t>.</w:t>
      </w:r>
    </w:p>
    <w:p w14:paraId="16F41825" w14:textId="77777777" w:rsidR="004B2808" w:rsidRDefault="00000000">
      <w:pPr>
        <w:pStyle w:val="Author-eListParagraph"/>
        <w:numPr>
          <w:ilvl w:val="0"/>
          <w:numId w:val="324"/>
        </w:numPr>
      </w:pPr>
      <w:r>
        <w:rPr>
          <w:rStyle w:val="facultChar"/>
          <w:u w:val="single"/>
        </w:rPr>
        <w:t>Fond de joint coupe-feu :</w:t>
      </w:r>
      <w:r>
        <w:br/>
      </w:r>
      <w:r>
        <w:rPr>
          <w:rStyle w:val="facultChar"/>
        </w:rPr>
        <w:t xml:space="preserve">Type de fond de joint coupe-feu: </w:t>
      </w:r>
      <w:r>
        <w:rPr>
          <w:rStyle w:val="optioncarChar"/>
        </w:rPr>
        <w:t>cordon coupe-feu</w:t>
      </w:r>
      <w:r>
        <w:rPr>
          <w:rStyle w:val="facultChar"/>
        </w:rPr>
        <w:t xml:space="preserve"> (par défaut) </w:t>
      </w:r>
      <w:r>
        <w:rPr>
          <w:rStyle w:val="optioncarChar"/>
        </w:rPr>
        <w:t>/ laine de roche.</w:t>
      </w:r>
    </w:p>
    <w:p w14:paraId="2D4EFB6A" w14:textId="77777777" w:rsidR="004B2808" w:rsidRDefault="00000000">
      <w:pPr>
        <w:ind w:left="567"/>
        <w:jc w:val="both"/>
      </w:pPr>
      <w:r>
        <w:rPr>
          <w:b/>
        </w:rPr>
        <w:t>(Soit par défaut)</w:t>
      </w:r>
    </w:p>
    <w:p w14:paraId="4A0FDF48" w14:textId="77777777" w:rsidR="004B2808" w:rsidRDefault="00000000">
      <w:pPr>
        <w:ind w:left="567"/>
        <w:jc w:val="both"/>
      </w:pPr>
      <w:r>
        <w:rPr>
          <w:rStyle w:val="soitChar"/>
          <w:u w:val="single"/>
        </w:rPr>
        <w:t>Cordon coupe-feu</w:t>
      </w:r>
    </w:p>
    <w:p w14:paraId="5DF5BBD3" w14:textId="77777777" w:rsidR="004B2808" w:rsidRDefault="00000000">
      <w:pPr>
        <w:ind w:left="567"/>
        <w:jc w:val="both"/>
      </w:pPr>
      <w:r>
        <w:rPr>
          <w:rStyle w:val="soitChar"/>
        </w:rPr>
        <w:t>Fond de joint compressible basé sur de la laine de roche enveloppée d’une gaine en fibre de verre. Les cordons coupe-feu absorbent peu d’eau, ne contiennent pas d’amiante, sont chimiquement neutres et ne provoquent pas de dégagement de gaz nocifs en cas d’incendie.</w:t>
      </w:r>
    </w:p>
    <w:p w14:paraId="3733725B" w14:textId="77777777" w:rsidR="004B2808" w:rsidRDefault="00000000">
      <w:pPr>
        <w:ind w:left="1134"/>
        <w:jc w:val="both"/>
      </w:pPr>
      <w:r>
        <w:rPr>
          <w:rStyle w:val="soitChar"/>
          <w:i/>
        </w:rPr>
        <w:t>Caractéristiques :</w:t>
      </w:r>
    </w:p>
    <w:p w14:paraId="4BB6EBB1" w14:textId="77777777" w:rsidR="004B2808" w:rsidRDefault="00000000">
      <w:pPr>
        <w:pStyle w:val="Author-eListParagraph"/>
        <w:numPr>
          <w:ilvl w:val="0"/>
          <w:numId w:val="325"/>
        </w:numPr>
      </w:pPr>
      <w:r>
        <w:rPr>
          <w:rStyle w:val="soitChar"/>
        </w:rPr>
        <w:t>Réaction au feu [NBN EN 13501-1] : A1.</w:t>
      </w:r>
    </w:p>
    <w:p w14:paraId="437CCEF3" w14:textId="77777777" w:rsidR="004B2808" w:rsidRDefault="00000000">
      <w:pPr>
        <w:pStyle w:val="Author-eListParagraph"/>
        <w:numPr>
          <w:ilvl w:val="0"/>
          <w:numId w:val="325"/>
        </w:numPr>
      </w:pPr>
      <w:r>
        <w:rPr>
          <w:rStyle w:val="soitChar"/>
        </w:rPr>
        <w:t>Masse volumique :  100 à 250 kg/m³.</w:t>
      </w:r>
    </w:p>
    <w:p w14:paraId="261C1E77" w14:textId="77777777" w:rsidR="004B2808" w:rsidRDefault="00000000">
      <w:pPr>
        <w:pStyle w:val="Author-eListParagraph"/>
        <w:numPr>
          <w:ilvl w:val="0"/>
          <w:numId w:val="325"/>
        </w:numPr>
      </w:pPr>
      <w:r>
        <w:rPr>
          <w:rStyle w:val="soitChar"/>
        </w:rPr>
        <w:t>Point de fusion &gt; 1000°C.</w:t>
      </w:r>
    </w:p>
    <w:p w14:paraId="1FC97B12" w14:textId="77777777" w:rsidR="004B2808" w:rsidRDefault="00000000">
      <w:pPr>
        <w:ind w:left="567"/>
        <w:jc w:val="both"/>
      </w:pPr>
      <w:r>
        <w:rPr>
          <w:b/>
        </w:rPr>
        <w:t>(Soit) </w:t>
      </w:r>
    </w:p>
    <w:p w14:paraId="0F833217" w14:textId="77777777" w:rsidR="004B2808" w:rsidRDefault="00000000">
      <w:pPr>
        <w:ind w:left="567"/>
        <w:jc w:val="both"/>
      </w:pPr>
      <w:r>
        <w:rPr>
          <w:rStyle w:val="soitChar"/>
          <w:u w:val="single"/>
        </w:rPr>
        <w:t>Laine de roche</w:t>
      </w:r>
    </w:p>
    <w:p w14:paraId="372559F3" w14:textId="77777777" w:rsidR="004B2808" w:rsidRDefault="00000000">
      <w:pPr>
        <w:ind w:left="567"/>
        <w:jc w:val="both"/>
      </w:pPr>
      <w:r>
        <w:rPr>
          <w:rStyle w:val="soitChar"/>
        </w:rPr>
        <w:t>Fond de joint compressible basé sur de la laine de roche sans revêtement.</w:t>
      </w:r>
    </w:p>
    <w:p w14:paraId="2EF87E98" w14:textId="77777777" w:rsidR="004B2808" w:rsidRDefault="00000000">
      <w:pPr>
        <w:ind w:left="1134"/>
        <w:jc w:val="both"/>
      </w:pPr>
      <w:r>
        <w:rPr>
          <w:rStyle w:val="soitChar"/>
          <w:i/>
        </w:rPr>
        <w:t>Caractéristiques :</w:t>
      </w:r>
    </w:p>
    <w:p w14:paraId="0E1D535B" w14:textId="77777777" w:rsidR="004B2808" w:rsidRDefault="00000000">
      <w:pPr>
        <w:pStyle w:val="Author-eListParagraph"/>
        <w:numPr>
          <w:ilvl w:val="0"/>
          <w:numId w:val="326"/>
        </w:numPr>
      </w:pPr>
      <w:r>
        <w:rPr>
          <w:rStyle w:val="soitChar"/>
        </w:rPr>
        <w:t>Réaction au feu [NBN EN 13501-1] : A1.</w:t>
      </w:r>
    </w:p>
    <w:p w14:paraId="16137E23" w14:textId="77777777" w:rsidR="004B2808" w:rsidRDefault="00000000">
      <w:pPr>
        <w:pStyle w:val="Author-eListParagraph"/>
        <w:numPr>
          <w:ilvl w:val="0"/>
          <w:numId w:val="326"/>
        </w:numPr>
      </w:pPr>
      <w:r>
        <w:rPr>
          <w:rStyle w:val="soitChar"/>
        </w:rPr>
        <w:t>Masse volumique :  30 à 75 kg/m³</w:t>
      </w:r>
    </w:p>
    <w:p w14:paraId="04DAC169" w14:textId="77777777" w:rsidR="004B2808" w:rsidRDefault="00000000">
      <w:pPr>
        <w:pStyle w:val="Author-eListParagraph"/>
        <w:numPr>
          <w:ilvl w:val="0"/>
          <w:numId w:val="326"/>
        </w:numPr>
      </w:pPr>
      <w:r>
        <w:rPr>
          <w:rStyle w:val="soitChar"/>
        </w:rPr>
        <w:t>Point de fusion &gt; 1000°C</w:t>
      </w:r>
    </w:p>
    <w:p w14:paraId="573A9190" w14:textId="77777777" w:rsidR="004B2808" w:rsidRDefault="00000000">
      <w:pPr>
        <w:pStyle w:val="pheading"/>
      </w:pPr>
      <w:r>
        <w:t>EXÉCUTION / MISE EN ŒUVRE</w:t>
      </w:r>
    </w:p>
    <w:p w14:paraId="7CEF38E5" w14:textId="77777777" w:rsidR="004B2808" w:rsidRDefault="00000000">
      <w:pPr>
        <w:pStyle w:val="pheading"/>
      </w:pPr>
      <w:r>
        <w:t>- Prescriptions générales</w:t>
      </w:r>
    </w:p>
    <w:p w14:paraId="0066A580" w14:textId="77777777" w:rsidR="004B2808" w:rsidRDefault="00000000">
      <w:pPr>
        <w:jc w:val="both"/>
      </w:pPr>
      <w:r>
        <w:lastRenderedPageBreak/>
        <w:t>L’entrepreneur est responsable de la qualité et de la mise en œuvre des joints à insérer dans les parois.</w:t>
      </w:r>
    </w:p>
    <w:p w14:paraId="7CE7E029" w14:textId="77777777" w:rsidR="004B2808" w:rsidRDefault="00000000">
      <w:pPr>
        <w:jc w:val="both"/>
      </w:pPr>
      <w:r>
        <w:t>Les fabricants et fournisseurs sont conjointement responsables avec l’entrepreneur du maintien et du vieillissement des matières et matériaux mis en œuvre.</w:t>
      </w:r>
    </w:p>
    <w:p w14:paraId="668F7BBB" w14:textId="77777777" w:rsidR="004B2808" w:rsidRDefault="00000000">
      <w:pPr>
        <w:jc w:val="both"/>
      </w:pPr>
      <w:r>
        <w:t>L’implantation des joints de dilatation est à soumettre à l’approbation de l’auteur de projet, avant mise en œuvre. Ce dernier peut refuser l’implantation pour des raisons d’ordre esthétique, toute modulation ne répondant pas aux critères imposés. L’écartement des joints d’un même local doit être régulier.</w:t>
      </w:r>
    </w:p>
    <w:p w14:paraId="298AA04F" w14:textId="77777777" w:rsidR="004B2808" w:rsidRDefault="00000000">
      <w:pPr>
        <w:jc w:val="both"/>
      </w:pPr>
      <w:r>
        <w:t xml:space="preserve">Mise en œuvre des profilés: Profilés </w:t>
      </w:r>
      <w:r>
        <w:rPr>
          <w:rStyle w:val="optioncarChar"/>
        </w:rPr>
        <w:t>souples d’obturation</w:t>
      </w:r>
      <w:r>
        <w:t xml:space="preserve"> (par défaut)  </w:t>
      </w:r>
      <w:r>
        <w:rPr>
          <w:rStyle w:val="optioncarChar"/>
        </w:rPr>
        <w:t>/ à enduire / à visser</w:t>
      </w:r>
      <w:r>
        <w:t>.</w:t>
      </w:r>
    </w:p>
    <w:p w14:paraId="4634B557" w14:textId="77777777" w:rsidR="004B2808" w:rsidRDefault="00000000">
      <w:pPr>
        <w:jc w:val="both"/>
      </w:pPr>
      <w:r>
        <w:rPr>
          <w:b/>
        </w:rPr>
        <w:t>(Soit par défaut)</w:t>
      </w:r>
    </w:p>
    <w:p w14:paraId="6F1D9EBF" w14:textId="77777777" w:rsidR="004B2808" w:rsidRDefault="00000000">
      <w:pPr>
        <w:jc w:val="both"/>
      </w:pPr>
      <w:r>
        <w:rPr>
          <w:rStyle w:val="soitChar"/>
          <w:u w:val="single"/>
        </w:rPr>
        <w:t>Profilés souples d’obturation</w:t>
      </w:r>
    </w:p>
    <w:p w14:paraId="5E6004EA" w14:textId="77777777" w:rsidR="004B2808" w:rsidRDefault="00000000">
      <w:pPr>
        <w:jc w:val="both"/>
      </w:pPr>
      <w:r>
        <w:rPr>
          <w:rStyle w:val="soitChar"/>
        </w:rPr>
        <w:t>Les profilés souples d’obturation alvéolaires sont posés en dernier lieu, une fois la finition terminée. Ils sont insérés dans le joint de dilatation et appliqué contre la finition.</w:t>
      </w:r>
    </w:p>
    <w:p w14:paraId="24A964D8" w14:textId="77777777" w:rsidR="004B2808" w:rsidRDefault="00000000">
      <w:pPr>
        <w:jc w:val="both"/>
      </w:pPr>
      <w:r>
        <w:rPr>
          <w:b/>
        </w:rPr>
        <w:t>(Soit)</w:t>
      </w:r>
    </w:p>
    <w:p w14:paraId="118E7229" w14:textId="77777777" w:rsidR="004B2808" w:rsidRDefault="00000000">
      <w:pPr>
        <w:jc w:val="both"/>
      </w:pPr>
      <w:r>
        <w:rPr>
          <w:rStyle w:val="soitChar"/>
          <w:u w:val="single"/>
        </w:rPr>
        <w:t>Profilés à enduire</w:t>
      </w:r>
    </w:p>
    <w:p w14:paraId="20BE5182" w14:textId="77777777" w:rsidR="004B2808" w:rsidRDefault="00000000">
      <w:pPr>
        <w:jc w:val="both"/>
      </w:pPr>
      <w:r>
        <w:rPr>
          <w:rStyle w:val="soitChar"/>
        </w:rPr>
        <w:t>Les profilés doivent être placés parfaitement d’aplomb et fixés provisoirement à l’aide de clous qui seront retirés avant l’application de l’enduit.</w:t>
      </w:r>
    </w:p>
    <w:p w14:paraId="4049AE0F" w14:textId="77777777" w:rsidR="004B2808" w:rsidRDefault="00000000">
      <w:pPr>
        <w:jc w:val="both"/>
      </w:pPr>
      <w:r>
        <w:rPr>
          <w:rStyle w:val="soitChar"/>
        </w:rPr>
        <w:t>L’entrepreneur veille à ne pas recouvrir d’enduit la partie destinée à se dilater pour ne pas en compromettre le bon fonctionnement et la nettoie immédiatement après l’application de l’enduit.</w:t>
      </w:r>
    </w:p>
    <w:p w14:paraId="65A75A60" w14:textId="77777777" w:rsidR="004B2808" w:rsidRDefault="00000000">
      <w:pPr>
        <w:jc w:val="both"/>
      </w:pPr>
      <w:r>
        <w:rPr>
          <w:b/>
        </w:rPr>
        <w:t>(Soit)</w:t>
      </w:r>
    </w:p>
    <w:p w14:paraId="6043086A" w14:textId="77777777" w:rsidR="004B2808" w:rsidRDefault="00000000">
      <w:pPr>
        <w:jc w:val="both"/>
      </w:pPr>
      <w:r>
        <w:rPr>
          <w:rStyle w:val="soitChar"/>
          <w:u w:val="single"/>
        </w:rPr>
        <w:t>Profilés à visser</w:t>
      </w:r>
    </w:p>
    <w:p w14:paraId="06A6A7CC" w14:textId="77777777" w:rsidR="004B2808" w:rsidRDefault="00000000">
      <w:pPr>
        <w:jc w:val="both"/>
      </w:pPr>
      <w:r>
        <w:rPr>
          <w:rStyle w:val="soitChar"/>
        </w:rPr>
        <w:t>Les profilés doivent être placés parfaitement d’aplomb et fixés à l’aide de vis en :</w:t>
      </w:r>
      <w:r>
        <w:t xml:space="preserve">  </w:t>
      </w:r>
      <w:r>
        <w:rPr>
          <w:rStyle w:val="optioncarChar"/>
        </w:rPr>
        <w:t>acier chromé</w:t>
      </w:r>
      <w:r>
        <w:t xml:space="preserve"> (par défaut) </w:t>
      </w:r>
      <w:r>
        <w:rPr>
          <w:rStyle w:val="optioncarChar"/>
        </w:rPr>
        <w:t>/ inox / ***</w:t>
      </w:r>
      <w:r>
        <w:t>.</w:t>
      </w:r>
    </w:p>
    <w:p w14:paraId="427FF60E" w14:textId="77777777" w:rsidR="004B2808" w:rsidRDefault="00000000">
      <w:pPr>
        <w:pStyle w:val="pheading"/>
      </w:pPr>
      <w:r>
        <w:t>- Notes d’exécution complémentaires</w:t>
      </w:r>
    </w:p>
    <w:p w14:paraId="420F52B9" w14:textId="77777777" w:rsidR="004B2808" w:rsidRDefault="00000000">
      <w:pPr>
        <w:jc w:val="both"/>
      </w:pPr>
      <w:r>
        <w:rPr>
          <w:rStyle w:val="facultChar"/>
        </w:rPr>
        <w:t>Le présent article comprend également</w:t>
      </w:r>
      <w:r>
        <w:rPr>
          <w:rStyle w:val="optioncarChar"/>
        </w:rPr>
        <w:t xml:space="preserve"> : une membrane d’étanchéité à l’air / un cordon coupe-feu.</w:t>
      </w:r>
    </w:p>
    <w:p w14:paraId="60E562AA" w14:textId="77777777" w:rsidR="004B2808" w:rsidRDefault="00000000">
      <w:pPr>
        <w:pStyle w:val="Author-eListParagraph"/>
        <w:numPr>
          <w:ilvl w:val="0"/>
          <w:numId w:val="327"/>
        </w:numPr>
      </w:pPr>
      <w:r>
        <w:rPr>
          <w:rStyle w:val="facultChar"/>
          <w:u w:val="single"/>
        </w:rPr>
        <w:t>Membrane d’étanchéité à l’air</w:t>
      </w:r>
      <w:r>
        <w:br/>
      </w:r>
      <w:r>
        <w:rPr>
          <w:rStyle w:val="facultChar"/>
        </w:rPr>
        <w:t xml:space="preserve">Une membrane d’étanchéité à l’air est placée derrière l’élément de dilatation préfabriqué. Elle est pliée en oméga (Ω) dans le sens de la longueur avec une largeur suffisante pour ne pas être tendue quand le joint est dilaté à son maximum.  </w:t>
      </w:r>
      <w:r>
        <w:br/>
      </w:r>
      <w:r>
        <w:rPr>
          <w:rStyle w:val="facultChar"/>
        </w:rPr>
        <w:t xml:space="preserve">Cette membrane d’étanchéité est posée conformément à l’article </w:t>
      </w:r>
      <w:hyperlink w:anchor="1175" w:history="1">
        <w:r w:rsidR="004B2808">
          <w:rPr>
            <w:rStyle w:val="facultChar"/>
            <w:color w:val="0000EE"/>
          </w:rPr>
          <w:t>52.21.1 Membranes souples étanches aux matières gazeuses</w:t>
        </w:r>
      </w:hyperlink>
      <w:r>
        <w:rPr>
          <w:rStyle w:val="facultChar"/>
        </w:rPr>
        <w:t>.</w:t>
      </w:r>
    </w:p>
    <w:p w14:paraId="5B06FD55" w14:textId="77777777" w:rsidR="004B2808" w:rsidRDefault="00000000">
      <w:pPr>
        <w:pStyle w:val="Author-eListParagraph"/>
        <w:numPr>
          <w:ilvl w:val="0"/>
          <w:numId w:val="328"/>
        </w:numPr>
      </w:pPr>
      <w:r>
        <w:rPr>
          <w:rStyle w:val="facultChar"/>
          <w:u w:val="single"/>
        </w:rPr>
        <w:t>Un fond de joint coupe-feu</w:t>
      </w:r>
      <w:r>
        <w:br/>
      </w:r>
      <w:r>
        <w:rPr>
          <w:rStyle w:val="facultChar"/>
        </w:rPr>
        <w:t xml:space="preserve">Un cordon coupe-feu de largeur adaptée à la largeur du joint de dilatation est placé à l’arrière du système de finition préfabriqué, et sur toute sa hauteur.        </w:t>
      </w:r>
      <w:r>
        <w:br/>
      </w:r>
      <w:r>
        <w:rPr>
          <w:rStyle w:val="facultChar"/>
        </w:rPr>
        <w:t xml:space="preserve">Ce cordon doit présenter une résistance au feu [NBN EN 13501-2] : </w:t>
      </w:r>
      <w:r>
        <w:rPr>
          <w:rStyle w:val="optioncarChar"/>
        </w:rPr>
        <w:t>EI  30 / 60 / 90 / 120 / 240 minutes.</w:t>
      </w:r>
    </w:p>
    <w:p w14:paraId="36317D19" w14:textId="77777777" w:rsidR="004B2808" w:rsidRDefault="00000000">
      <w:r>
        <w:t> </w:t>
      </w:r>
    </w:p>
    <w:p w14:paraId="2398EC0B" w14:textId="77777777" w:rsidR="004B2808" w:rsidRDefault="00000000">
      <w:pPr>
        <w:pStyle w:val="pheading"/>
      </w:pPr>
      <w:r>
        <w:t>DOCUMENTS DE RÉFÉRENCE COMPLÉMENTAIRES</w:t>
      </w:r>
    </w:p>
    <w:p w14:paraId="3CA4322B" w14:textId="77777777" w:rsidR="004B2808" w:rsidRDefault="00000000">
      <w:pPr>
        <w:pStyle w:val="pheading"/>
      </w:pPr>
      <w:r>
        <w:t>- Matériau</w:t>
      </w:r>
    </w:p>
    <w:p w14:paraId="0225831A" w14:textId="77777777" w:rsidR="004B2808" w:rsidRDefault="00000000">
      <w:r>
        <w:t>Prescriptions du fabricant</w:t>
      </w:r>
      <w:r>
        <w:br/>
      </w:r>
      <w:r>
        <w:br/>
        <w:t>[NBN EN ISO 868, Plastiques et ébonite - Détermination de la dureté par pénétration au moyen d'un duromètre (dureté Shore) (ISO 868:2003)]</w:t>
      </w:r>
      <w:r>
        <w:br/>
      </w:r>
      <w:r>
        <w:br/>
        <w:t>[NBN EN ISO 527-2, Plastiques - Détermination des propriétés en traction - Partie 2: Conditions d'essai des plastiques pour moulage et extrusion (ISO 527-2:2025)]</w:t>
      </w:r>
      <w:r>
        <w:br/>
      </w:r>
      <w:r>
        <w:br/>
      </w:r>
      <w:r>
        <w:lastRenderedPageBreak/>
        <w:t>[DIN 53504, Essai des caoutchoucs et élastomères - Détermination de la résistance à la rupture, de la résistance à la traction, de l'allongement à la rupture et des valeurs de contrainte à l'essai de traction - Prüfung von Kautschuk und Elastomeren - Bestimmung von Reißfestigkeit, Zugfestigkeit, Reißdehnung und Spannungswerten im Zugversuch]</w:t>
      </w:r>
      <w:r>
        <w:br/>
      </w:r>
      <w:r>
        <w:br/>
        <w:t>[DIN 16941, Thermoplastics extruded profiles - General tolerances of size, form and orientation]</w:t>
      </w:r>
      <w:r>
        <w:br/>
      </w:r>
      <w:r>
        <w:br/>
        <w:t>[NBN EN 13501-2, Classement au feu des produits et éléments de construction - Partie 2 : Classement à partir des données d’essais de résistance au feu et/ou de contrôle des fumées à l’exclusion des produits utilisés dans les systèmes de ventilation ]</w:t>
      </w:r>
      <w:r>
        <w:br/>
      </w:r>
      <w:r>
        <w:br/>
        <w:t>[SWL GSI/T1/C, Guides sécurité incendie - Tome 1 Prévention passive - Guide C Résistance au feu]</w:t>
      </w:r>
    </w:p>
    <w:p w14:paraId="74232A00" w14:textId="77777777" w:rsidR="004B2808" w:rsidRDefault="00000000">
      <w:r>
        <w:t> </w:t>
      </w:r>
    </w:p>
    <w:p w14:paraId="040F2CA1" w14:textId="77777777" w:rsidR="004B2808" w:rsidRDefault="00000000">
      <w:pPr>
        <w:pStyle w:val="pheading"/>
      </w:pPr>
      <w:r>
        <w:t>- Exécution</w:t>
      </w:r>
    </w:p>
    <w:p w14:paraId="552FD2CF" w14:textId="77777777" w:rsidR="004B2808" w:rsidRDefault="00000000">
      <w:r>
        <w:t>Prescriptions du fabricant</w:t>
      </w:r>
    </w:p>
    <w:p w14:paraId="26B7437D" w14:textId="77777777" w:rsidR="004B2808" w:rsidRDefault="00000000">
      <w:pPr>
        <w:pStyle w:val="pheading"/>
      </w:pPr>
      <w:r>
        <w:t>MESURAGE</w:t>
      </w:r>
    </w:p>
    <w:p w14:paraId="5FA4E8A7" w14:textId="77777777" w:rsidR="004B2808" w:rsidRDefault="00000000">
      <w:pPr>
        <w:pStyle w:val="pheading"/>
      </w:pPr>
      <w:r>
        <w:t>- unité de mesure:</w:t>
      </w:r>
    </w:p>
    <w:p w14:paraId="547E2B21" w14:textId="77777777" w:rsidR="004B2808" w:rsidRDefault="00000000">
      <w:r>
        <w:rPr>
          <w:rStyle w:val="optioncarChar"/>
        </w:rPr>
        <w:t>-</w:t>
      </w:r>
      <w:r>
        <w:t xml:space="preserve"> (par défaut) </w:t>
      </w:r>
      <w:r>
        <w:rPr>
          <w:rStyle w:val="optioncarChar"/>
        </w:rPr>
        <w:t>/ m</w:t>
      </w:r>
    </w:p>
    <w:p w14:paraId="07497060" w14:textId="77777777" w:rsidR="004B2808" w:rsidRDefault="00000000">
      <w:r>
        <w:rPr>
          <w:b/>
        </w:rPr>
        <w:t>(Soit par défaut)</w:t>
      </w:r>
    </w:p>
    <w:p w14:paraId="2768CF1F" w14:textId="77777777" w:rsidR="004B2808" w:rsidRDefault="00000000">
      <w:r>
        <w:rPr>
          <w:rStyle w:val="soitChar"/>
        </w:rPr>
        <w:t>1.     -</w:t>
      </w:r>
    </w:p>
    <w:p w14:paraId="7ADE8D3C" w14:textId="77777777" w:rsidR="004B2808" w:rsidRDefault="00000000">
      <w:r>
        <w:rPr>
          <w:b/>
        </w:rPr>
        <w:t>(Soit)</w:t>
      </w:r>
    </w:p>
    <w:p w14:paraId="46DD20BF" w14:textId="77777777" w:rsidR="004B2808" w:rsidRDefault="00000000">
      <w:r>
        <w:rPr>
          <w:rStyle w:val="soitChar"/>
        </w:rPr>
        <w:t>2.     m</w:t>
      </w:r>
    </w:p>
    <w:p w14:paraId="2C3E133C" w14:textId="77777777" w:rsidR="004B2808" w:rsidRDefault="00000000">
      <w:r>
        <w:t> </w:t>
      </w:r>
    </w:p>
    <w:p w14:paraId="6474A216" w14:textId="77777777" w:rsidR="004B2808" w:rsidRDefault="00000000">
      <w:pPr>
        <w:pStyle w:val="pheading"/>
      </w:pPr>
      <w:r>
        <w:t>- code de mesurage:</w:t>
      </w:r>
    </w:p>
    <w:p w14:paraId="697B1628" w14:textId="77777777" w:rsidR="004B2808" w:rsidRDefault="00000000">
      <w:r>
        <w:rPr>
          <w:rStyle w:val="optioncarChar"/>
        </w:rPr>
        <w:t>pour mémoire</w:t>
      </w:r>
      <w:r>
        <w:t xml:space="preserve"> (par défaut)</w:t>
      </w:r>
      <w:r>
        <w:rPr>
          <w:rStyle w:val="optioncarChar"/>
        </w:rPr>
        <w:t xml:space="preserve"> / longueur nette</w:t>
      </w:r>
    </w:p>
    <w:p w14:paraId="320DF983" w14:textId="77777777" w:rsidR="004B2808" w:rsidRDefault="00000000">
      <w:r>
        <w:rPr>
          <w:b/>
        </w:rPr>
        <w:t>(Soit par défaut)</w:t>
      </w:r>
    </w:p>
    <w:p w14:paraId="5D29EF87" w14:textId="77777777" w:rsidR="004B2808" w:rsidRDefault="00000000">
      <w:r>
        <w:rPr>
          <w:rStyle w:val="soitChar"/>
        </w:rPr>
        <w:t xml:space="preserve">1.     </w:t>
      </w:r>
      <w:r>
        <w:rPr>
          <w:rStyle w:val="soitChar"/>
          <w:u w:val="single"/>
        </w:rPr>
        <w:t>pour mémoire</w:t>
      </w:r>
      <w:r>
        <w:rPr>
          <w:rStyle w:val="soitChar"/>
        </w:rPr>
        <w:t> : compris dans le prix du plafonnage ou de la finition des parois.</w:t>
      </w:r>
    </w:p>
    <w:p w14:paraId="2CD6FF30" w14:textId="77777777" w:rsidR="004B2808" w:rsidRDefault="00000000">
      <w:r>
        <w:rPr>
          <w:b/>
        </w:rPr>
        <w:t>(Soit)</w:t>
      </w:r>
    </w:p>
    <w:p w14:paraId="4F08928D" w14:textId="77777777" w:rsidR="004B2808" w:rsidRDefault="00000000">
      <w:r>
        <w:rPr>
          <w:rStyle w:val="soitChar"/>
        </w:rPr>
        <w:t>2.   </w:t>
      </w:r>
      <w:r>
        <w:rPr>
          <w:rStyle w:val="soitChar"/>
          <w:u w:val="single"/>
        </w:rPr>
        <w:t>  longueur nette</w:t>
      </w:r>
      <w:r>
        <w:rPr>
          <w:rStyle w:val="soitChar"/>
        </w:rPr>
        <w:t xml:space="preserve"> à mettre en œuvre, mesurée entre le sol et le plafond parachevés, distinction faite suivant le type.</w:t>
      </w:r>
    </w:p>
    <w:p w14:paraId="16EB1B51" w14:textId="77777777" w:rsidR="004B2808" w:rsidRDefault="00000000">
      <w:pPr>
        <w:pStyle w:val="pheading"/>
      </w:pPr>
      <w:r>
        <w:t>- nature du marché:</w:t>
      </w:r>
    </w:p>
    <w:p w14:paraId="5483C213" w14:textId="77777777" w:rsidR="004B2808" w:rsidRDefault="00000000">
      <w:r>
        <w:rPr>
          <w:rStyle w:val="optioncarChar"/>
        </w:rPr>
        <w:t> PM</w:t>
      </w:r>
      <w:r>
        <w:t xml:space="preserve"> (par défaut)</w:t>
      </w:r>
      <w:r>
        <w:rPr>
          <w:rStyle w:val="optioncarChar"/>
        </w:rPr>
        <w:t xml:space="preserve"> / QF</w:t>
      </w:r>
    </w:p>
    <w:p w14:paraId="5DB92FF6" w14:textId="77777777" w:rsidR="004B2808" w:rsidRDefault="00000000">
      <w:r>
        <w:rPr>
          <w:b/>
        </w:rPr>
        <w:t>(Soit par défaut)</w:t>
      </w:r>
    </w:p>
    <w:p w14:paraId="2471E123" w14:textId="77777777" w:rsidR="004B2808" w:rsidRDefault="00000000">
      <w:r>
        <w:rPr>
          <w:rStyle w:val="soitChar"/>
        </w:rPr>
        <w:t>1.     PM</w:t>
      </w:r>
    </w:p>
    <w:p w14:paraId="3FD6BD5A" w14:textId="77777777" w:rsidR="004B2808" w:rsidRDefault="00000000">
      <w:r>
        <w:rPr>
          <w:b/>
        </w:rPr>
        <w:t>(Soit)</w:t>
      </w:r>
    </w:p>
    <w:p w14:paraId="2C2B0408" w14:textId="77777777" w:rsidR="004B2808" w:rsidRDefault="00000000">
      <w:r>
        <w:rPr>
          <w:rStyle w:val="soitChar"/>
        </w:rPr>
        <w:t>2.     QF</w:t>
      </w:r>
    </w:p>
    <w:p w14:paraId="094674AF" w14:textId="77777777" w:rsidR="004B2808" w:rsidRDefault="00000000">
      <w:pPr>
        <w:pStyle w:val="Author-eSectionHeading5Numberless"/>
      </w:pPr>
      <w:bookmarkStart w:id="309" w:name="_Toc220490498"/>
      <w:r>
        <w:t>51.72.3 Réalisation de joints - Joint de retrait CCTB 01.02</w:t>
      </w:r>
      <w:bookmarkEnd w:id="309"/>
    </w:p>
    <w:p w14:paraId="6EF725E1" w14:textId="77777777" w:rsidR="004B2808" w:rsidRDefault="00000000">
      <w:pPr>
        <w:pStyle w:val="Author-eSectionHeading6Numberless"/>
      </w:pPr>
      <w:bookmarkStart w:id="310" w:name="_Toc220490499"/>
      <w:r>
        <w:t>51.72.3a Réalisation de joints - Joint de retrait réalisé in situ CCTB 01.02</w:t>
      </w:r>
      <w:bookmarkEnd w:id="310"/>
    </w:p>
    <w:p w14:paraId="1A750D72" w14:textId="77777777" w:rsidR="004B2808" w:rsidRDefault="00000000">
      <w:pPr>
        <w:pStyle w:val="Author-eSectionHeading6Numberless"/>
      </w:pPr>
      <w:bookmarkStart w:id="311" w:name="_Toc220490500"/>
      <w:r>
        <w:t>51.72.3b Réalisation de joints - Joint de retrait à systèmes préfabriqués CCTB 01.02</w:t>
      </w:r>
      <w:bookmarkEnd w:id="311"/>
    </w:p>
    <w:p w14:paraId="179186B0" w14:textId="77777777" w:rsidR="004B2808" w:rsidRDefault="00000000">
      <w:pPr>
        <w:pStyle w:val="Author-eSectionHeading5Numberless"/>
      </w:pPr>
      <w:bookmarkStart w:id="312" w:name="_Toc220490501"/>
      <w:r>
        <w:t>51.72.4 Réalisation de joints - Joint de désolidarisation CCTB 01.02</w:t>
      </w:r>
      <w:bookmarkEnd w:id="312"/>
    </w:p>
    <w:p w14:paraId="44E8D139" w14:textId="77777777" w:rsidR="004B2808" w:rsidRDefault="00000000">
      <w:pPr>
        <w:pStyle w:val="Author-eSectionHeading6Numberless"/>
      </w:pPr>
      <w:bookmarkStart w:id="313" w:name="_Toc220490502"/>
      <w:r>
        <w:t>51.72.4a Réalisation de joints - Joint de désolidarisation réalisé in situ CCTB 01.02</w:t>
      </w:r>
      <w:bookmarkEnd w:id="313"/>
    </w:p>
    <w:p w14:paraId="32AF55E5" w14:textId="77777777" w:rsidR="004B2808" w:rsidRDefault="00000000">
      <w:pPr>
        <w:pStyle w:val="Author-eSectionHeading6Numberless"/>
      </w:pPr>
      <w:bookmarkStart w:id="314" w:name="_Toc220490503"/>
      <w:r>
        <w:lastRenderedPageBreak/>
        <w:t>51.72.4b Réalisation de joints - Joint de désolidarisation à systèmes préfabriqués CCTB 01.02</w:t>
      </w:r>
      <w:bookmarkEnd w:id="314"/>
    </w:p>
    <w:p w14:paraId="0B7EF209" w14:textId="77777777" w:rsidR="004B2808" w:rsidRDefault="00000000">
      <w:pPr>
        <w:pStyle w:val="Author-eSectionHeading4Numberless"/>
      </w:pPr>
      <w:bookmarkStart w:id="315" w:name="_Toc220490504"/>
      <w:r>
        <w:t>51.73 Etanchéisation de joints  CCTB 01.07</w:t>
      </w:r>
      <w:bookmarkEnd w:id="315"/>
    </w:p>
    <w:p w14:paraId="2017ED75" w14:textId="77777777" w:rsidR="004B2808" w:rsidRDefault="00000000">
      <w:pPr>
        <w:pStyle w:val="pheading"/>
      </w:pPr>
      <w:r>
        <w:t>DESCRIPTION</w:t>
      </w:r>
    </w:p>
    <w:p w14:paraId="50FD5F18" w14:textId="77777777" w:rsidR="004B2808" w:rsidRDefault="00000000">
      <w:pPr>
        <w:pStyle w:val="pheading"/>
      </w:pPr>
      <w:r>
        <w:t>- Définition / Comprend</w:t>
      </w:r>
    </w:p>
    <w:p w14:paraId="23360166" w14:textId="77777777" w:rsidR="004B2808" w:rsidRDefault="00000000">
      <w:r>
        <w:t xml:space="preserve">Renvoi au </w:t>
      </w:r>
      <w:hyperlink w:anchor="1176" w:history="1">
        <w:r w:rsidR="004B2808">
          <w:rPr>
            <w:color w:val="0000EE"/>
          </w:rPr>
          <w:t>52 Etanchéisation et isolation des parois intérieures</w:t>
        </w:r>
      </w:hyperlink>
    </w:p>
    <w:p w14:paraId="69E06C2F" w14:textId="77777777" w:rsidR="004B2808" w:rsidRDefault="00000000">
      <w:pPr>
        <w:pStyle w:val="Author-eSectionHeading4Numberless"/>
      </w:pPr>
      <w:bookmarkStart w:id="316" w:name="_Toc220490505"/>
      <w:r>
        <w:t>51.74 Finitions particulières de joints CCTB 01.02</w:t>
      </w:r>
      <w:bookmarkEnd w:id="316"/>
    </w:p>
    <w:p w14:paraId="61A347E0" w14:textId="77777777" w:rsidR="004B2808" w:rsidRDefault="00000000">
      <w:pPr>
        <w:pStyle w:val="Author-eSectionHeading5Numberless"/>
      </w:pPr>
      <w:bookmarkStart w:id="317" w:name="_Toc220490506"/>
      <w:r>
        <w:t>51.74.1 Finitions particulières de joints - Couvre-joints CCTB 01.02</w:t>
      </w:r>
      <w:bookmarkEnd w:id="317"/>
    </w:p>
    <w:p w14:paraId="50093F6E" w14:textId="77777777" w:rsidR="004B2808" w:rsidRDefault="00000000">
      <w:pPr>
        <w:pStyle w:val="Author-eSectionHeading6Numberless"/>
      </w:pPr>
      <w:bookmarkStart w:id="318" w:name="_Toc220490507"/>
      <w:r>
        <w:t>51.74.1a Finitions particulières de joints - Couvre-joints CCTB 01.02</w:t>
      </w:r>
      <w:bookmarkEnd w:id="318"/>
    </w:p>
    <w:p w14:paraId="0DD33DC0" w14:textId="77777777" w:rsidR="004B2808" w:rsidRDefault="00000000">
      <w:pPr>
        <w:pStyle w:val="Author-eSectionHeading5Numberless"/>
      </w:pPr>
      <w:bookmarkStart w:id="319" w:name="1174"/>
      <w:bookmarkStart w:id="320" w:name="_Toc220490508"/>
      <w:bookmarkEnd w:id="319"/>
      <w:r>
        <w:t>51.74.2 Finitions particulières de joints - Systèmes de finition de joints CCTB 01.02</w:t>
      </w:r>
      <w:bookmarkEnd w:id="320"/>
    </w:p>
    <w:p w14:paraId="7BF4999B" w14:textId="77777777" w:rsidR="004B2808" w:rsidRDefault="00000000">
      <w:pPr>
        <w:pStyle w:val="Author-eSectionHeading6Numberless"/>
      </w:pPr>
      <w:bookmarkStart w:id="321" w:name="_Toc220490509"/>
      <w:r>
        <w:t>51.74.2a Finitions particulières de joints - Système de finition de joints de structure CCTB 01.02</w:t>
      </w:r>
      <w:bookmarkEnd w:id="321"/>
    </w:p>
    <w:p w14:paraId="71B5CB9D" w14:textId="77777777" w:rsidR="004B2808" w:rsidRDefault="00000000">
      <w:pPr>
        <w:pStyle w:val="Author-eSectionHeading6Numberless"/>
      </w:pPr>
      <w:bookmarkStart w:id="322" w:name="_Toc220490510"/>
      <w:r>
        <w:t>51.74.2b Finitions particulières de joints - Système de finition de joints de fractionnement CCTB 01.02</w:t>
      </w:r>
      <w:bookmarkEnd w:id="322"/>
    </w:p>
    <w:p w14:paraId="66512D0F" w14:textId="77777777" w:rsidR="004B2808" w:rsidRDefault="00000000">
      <w:pPr>
        <w:pStyle w:val="Author-eSectionHeading6Numberless"/>
      </w:pPr>
      <w:bookmarkStart w:id="323" w:name="_Toc220490511"/>
      <w:r>
        <w:t>51.74.2c Finitions particulières de joints - Système de finition de joints imperméable étanche CCTB 01.02</w:t>
      </w:r>
      <w:bookmarkEnd w:id="323"/>
    </w:p>
    <w:p w14:paraId="533A8F5C" w14:textId="77777777" w:rsidR="004B2808" w:rsidRDefault="00000000">
      <w:pPr>
        <w:pStyle w:val="Author-eSectionHeading3Numberless"/>
      </w:pPr>
      <w:bookmarkStart w:id="324" w:name="_Toc220490512"/>
      <w:r>
        <w:t>51.8 Parois intérieures et finitions - Rénovation CCTB 01.10</w:t>
      </w:r>
      <w:bookmarkEnd w:id="324"/>
    </w:p>
    <w:p w14:paraId="089AA061" w14:textId="77777777" w:rsidR="004B2808" w:rsidRDefault="00000000">
      <w:pPr>
        <w:pStyle w:val="pheading"/>
      </w:pPr>
      <w:r>
        <w:t>DESCRIPTION</w:t>
      </w:r>
    </w:p>
    <w:p w14:paraId="2F07688E" w14:textId="77777777" w:rsidR="004B2808" w:rsidRDefault="00000000">
      <w:pPr>
        <w:pStyle w:val="pheading"/>
      </w:pPr>
      <w:r>
        <w:t>- Définition / Comprend</w:t>
      </w:r>
    </w:p>
    <w:p w14:paraId="4A42D5B8" w14:textId="77777777" w:rsidR="004B2808" w:rsidRDefault="00000000">
      <w:r>
        <w:t xml:space="preserve">Il s'agit des réparations locales au plafonnage existant. Le prix unitaire comprend le contrôle de la situation existante (en concertation avec l'auteur de projet), le décapage des parties non adhérentes, la préparation comme prévu à l'article </w:t>
      </w:r>
      <w:hyperlink w:anchor="1164" w:history="1">
        <w:r w:rsidR="004B2808">
          <w:rPr>
            <w:color w:val="0000EE"/>
          </w:rPr>
          <w:t>51.5 Revêtements intérieurs enduits</w:t>
        </w:r>
      </w:hyperlink>
      <w:r>
        <w:t xml:space="preserve"> et la finition.</w:t>
      </w:r>
    </w:p>
    <w:p w14:paraId="010DCE49" w14:textId="77777777" w:rsidR="004B2808" w:rsidRDefault="00000000">
      <w:r>
        <w:t>Aux endroits où des murs ont été démolis, où le plafonnage se détache et sur les pans de murs endommagés (les parties à restaurer sont indiqués sur place par l'auteur de projet).</w:t>
      </w:r>
    </w:p>
    <w:p w14:paraId="09AF8337" w14:textId="77777777" w:rsidR="004B2808" w:rsidRDefault="00000000">
      <w:pPr>
        <w:pStyle w:val="pheading"/>
      </w:pPr>
      <w:r>
        <w:t>MATÉRIAUX</w:t>
      </w:r>
    </w:p>
    <w:p w14:paraId="2D498D67" w14:textId="77777777" w:rsidR="004B2808" w:rsidRDefault="00000000">
      <w:r>
        <w:t xml:space="preserve">La composition du mortier de plafonnage se rapproche autant que possible de celle de l'enduit existant. Les cornières, treillis d'armature et les profils d'arrêt répondent au descriptif de l'article </w:t>
      </w:r>
      <w:hyperlink w:anchor="1141" w:history="1">
        <w:r w:rsidR="004B2808">
          <w:rPr>
            <w:color w:val="0000EE"/>
          </w:rPr>
          <w:t>51.52.3 Renforcements d'armature (pontage)</w:t>
        </w:r>
      </w:hyperlink>
      <w:r>
        <w:t xml:space="preserve"> et </w:t>
      </w:r>
      <w:hyperlink w:anchor="1177" w:history="1">
        <w:r w:rsidR="004B2808">
          <w:rPr>
            <w:color w:val="0000EE"/>
          </w:rPr>
          <w:t>51.52.4 Profilés d'arrêt</w:t>
        </w:r>
      </w:hyperlink>
      <w:r>
        <w:t>.</w:t>
      </w:r>
    </w:p>
    <w:p w14:paraId="79C28523" w14:textId="77777777" w:rsidR="004B2808" w:rsidRDefault="00000000">
      <w:pPr>
        <w:pStyle w:val="pheading"/>
      </w:pPr>
      <w:r>
        <w:t>EXÉCUTION / MISE EN ŒUVRE</w:t>
      </w:r>
    </w:p>
    <w:p w14:paraId="367A9AAC" w14:textId="77777777" w:rsidR="004B2808" w:rsidRDefault="00000000">
      <w:r>
        <w:t xml:space="preserve">La préparation du support, la fabrication du mortier et l'exécution du plafonnage se font conformément à l'article </w:t>
      </w:r>
      <w:hyperlink w:anchor="1164" w:history="1">
        <w:r w:rsidR="004B2808">
          <w:rPr>
            <w:color w:val="0000EE"/>
          </w:rPr>
          <w:t>51.5 Revêtements intérieurs enduits</w:t>
        </w:r>
      </w:hyperlink>
      <w:r>
        <w:t xml:space="preserve"> Revêtements intérieurs enduits</w:t>
      </w:r>
    </w:p>
    <w:p w14:paraId="188C799A" w14:textId="77777777" w:rsidR="004B2808" w:rsidRDefault="00000000">
      <w:pPr>
        <w:pStyle w:val="Author-eListParagraph"/>
        <w:numPr>
          <w:ilvl w:val="0"/>
          <w:numId w:val="329"/>
        </w:numPr>
      </w:pPr>
      <w:r>
        <w:t xml:space="preserve"> En concertation avec l'auteur de projet, les zones à réparer sont indiquées sur place et préalablement relevées. </w:t>
      </w:r>
    </w:p>
    <w:p w14:paraId="6021B680" w14:textId="77777777" w:rsidR="004B2808" w:rsidRDefault="00000000">
      <w:pPr>
        <w:pStyle w:val="Author-eListParagraph"/>
        <w:numPr>
          <w:ilvl w:val="0"/>
          <w:numId w:val="329"/>
        </w:numPr>
      </w:pPr>
      <w:r>
        <w:t xml:space="preserve">Les parties non adhérentes et/ou endommagées sont localement décapées jusqu'à la maçonnerie; si nécessaire, le support et les bords sont préalablement traités à l'aide d'une couche de fixation et/ou d'adhérence, conformément aux prescriptions du fabricant. </w:t>
      </w:r>
    </w:p>
    <w:p w14:paraId="08633720" w14:textId="77777777" w:rsidR="004B2808" w:rsidRDefault="00000000">
      <w:pPr>
        <w:pStyle w:val="Author-eListParagraph"/>
        <w:numPr>
          <w:ilvl w:val="0"/>
          <w:numId w:val="329"/>
        </w:numPr>
      </w:pPr>
      <w:r>
        <w:t xml:space="preserve">Les saignées réalisées par l'entrepreneur des techniques sont d'abord refermées avec un mortier de ciment approprié. La jonction entre les nouvelles et les anciennes parties est consolidée avec un treillis d'armature. </w:t>
      </w:r>
    </w:p>
    <w:p w14:paraId="61468C4E" w14:textId="77777777" w:rsidR="004B2808" w:rsidRDefault="00000000">
      <w:pPr>
        <w:pStyle w:val="Author-eListParagraph"/>
        <w:numPr>
          <w:ilvl w:val="0"/>
          <w:numId w:val="329"/>
        </w:numPr>
      </w:pPr>
      <w:r>
        <w:lastRenderedPageBreak/>
        <w:t xml:space="preserve">Le plafonnage proprement dit est exécuté sur une épaisseur identique au plafonnage existant et s'y raccorde parfaitement. </w:t>
      </w:r>
    </w:p>
    <w:p w14:paraId="6A8189B0" w14:textId="77777777" w:rsidR="004B2808" w:rsidRDefault="00000000">
      <w:pPr>
        <w:pStyle w:val="Author-eSectionHeading2Numberless"/>
      </w:pPr>
      <w:bookmarkStart w:id="325" w:name="_Toc220490513"/>
      <w:r>
        <w:t>52 Etanchéisation et isolation des parois intérieures CCTB 01.02</w:t>
      </w:r>
      <w:bookmarkEnd w:id="325"/>
    </w:p>
    <w:p w14:paraId="068C20B9" w14:textId="77777777" w:rsidR="004B2808" w:rsidRDefault="00000000">
      <w:pPr>
        <w:pStyle w:val="Author-eSectionHeading3Numberless"/>
      </w:pPr>
      <w:bookmarkStart w:id="326" w:name="1176"/>
      <w:bookmarkStart w:id="327" w:name="_Toc220490514"/>
      <w:bookmarkEnd w:id="326"/>
      <w:r>
        <w:t>52.1 Etanchéisation aux matières liquides CCTB 01.02</w:t>
      </w:r>
      <w:bookmarkEnd w:id="327"/>
    </w:p>
    <w:p w14:paraId="48D00F61" w14:textId="77777777" w:rsidR="004B2808" w:rsidRDefault="00000000">
      <w:pPr>
        <w:pStyle w:val="Author-eSectionHeading4Numberless"/>
      </w:pPr>
      <w:bookmarkStart w:id="328" w:name="1269"/>
      <w:bookmarkStart w:id="329" w:name="_Toc220490515"/>
      <w:bookmarkEnd w:id="328"/>
      <w:r>
        <w:t>52.11 Feuilles et membranes d'étanchéité à l'eau CCTB 01.02</w:t>
      </w:r>
      <w:bookmarkEnd w:id="329"/>
    </w:p>
    <w:p w14:paraId="70EAE296" w14:textId="77777777" w:rsidR="004B2808" w:rsidRDefault="00000000">
      <w:pPr>
        <w:pStyle w:val="Author-eSectionHeading5Numberless"/>
      </w:pPr>
      <w:bookmarkStart w:id="330" w:name="801"/>
      <w:bookmarkStart w:id="331" w:name="_Toc220490516"/>
      <w:bookmarkEnd w:id="330"/>
      <w:r>
        <w:t>52.11.1 Feuilles et membranes d'étanchéité à l'eau - Membranes souples CCTB 01.10</w:t>
      </w:r>
      <w:bookmarkEnd w:id="331"/>
    </w:p>
    <w:p w14:paraId="7E039956" w14:textId="77777777" w:rsidR="004B2808" w:rsidRDefault="00000000">
      <w:pPr>
        <w:pStyle w:val="pheading"/>
      </w:pPr>
      <w:bookmarkStart w:id="332" w:name="1204"/>
      <w:bookmarkEnd w:id="332"/>
      <w:r>
        <w:t>DESCRIPTION</w:t>
      </w:r>
    </w:p>
    <w:p w14:paraId="6B1E7A64" w14:textId="77777777" w:rsidR="004B2808" w:rsidRDefault="00000000">
      <w:pPr>
        <w:pStyle w:val="pheading"/>
      </w:pPr>
      <w:r>
        <w:t>- Définition / Comprend</w:t>
      </w:r>
    </w:p>
    <w:p w14:paraId="0B4A3BCD" w14:textId="77777777" w:rsidR="004B2808" w:rsidRDefault="00000000">
      <w:r>
        <w:t>Les membranes d'étanchéité dans les sols se composent d'une ou de plusieurs couches de désolidarisation étanches appliquées dans la composition du sol. Les travaux comprennent :</w:t>
      </w:r>
    </w:p>
    <w:p w14:paraId="39E4E97C" w14:textId="77777777" w:rsidR="004B2808" w:rsidRDefault="00000000">
      <w:pPr>
        <w:pStyle w:val="Author-eListParagraph"/>
        <w:numPr>
          <w:ilvl w:val="0"/>
          <w:numId w:val="330"/>
        </w:numPr>
      </w:pPr>
      <w:r>
        <w:t>la préparation et le contrôle de l'aire de pose;</w:t>
      </w:r>
    </w:p>
    <w:p w14:paraId="1DDE14DD" w14:textId="77777777" w:rsidR="004B2808" w:rsidRDefault="00000000">
      <w:pPr>
        <w:pStyle w:val="Author-eListParagraph"/>
        <w:numPr>
          <w:ilvl w:val="0"/>
          <w:numId w:val="330"/>
        </w:numPr>
      </w:pPr>
      <w:r>
        <w:t>la fourniture et la mise en œuvre des matériaux, y compris les éventuelles couches d'étanchéité;</w:t>
      </w:r>
    </w:p>
    <w:p w14:paraId="6BD31B74" w14:textId="77777777" w:rsidR="004B2808" w:rsidRDefault="00000000">
      <w:pPr>
        <w:pStyle w:val="Author-eListParagraph"/>
        <w:numPr>
          <w:ilvl w:val="0"/>
          <w:numId w:val="330"/>
        </w:numPr>
      </w:pPr>
      <w:r>
        <w:t>la fourniture et la pose des accessoires de pose et de fixation;</w:t>
      </w:r>
    </w:p>
    <w:p w14:paraId="1CD121AF" w14:textId="77777777" w:rsidR="004B2808" w:rsidRDefault="00000000">
      <w:pPr>
        <w:pStyle w:val="Author-eListParagraph"/>
        <w:numPr>
          <w:ilvl w:val="0"/>
          <w:numId w:val="330"/>
        </w:numPr>
      </w:pPr>
      <w:r>
        <w:t>les éventuelles mesures de protection provisoires;</w:t>
      </w:r>
    </w:p>
    <w:p w14:paraId="1E0609D2" w14:textId="77777777" w:rsidR="004B2808" w:rsidRDefault="00000000">
      <w:pPr>
        <w:pStyle w:val="Author-eListParagraph"/>
        <w:numPr>
          <w:ilvl w:val="0"/>
          <w:numId w:val="330"/>
        </w:numPr>
      </w:pPr>
      <w:r>
        <w:t xml:space="preserve">l'application de la sous-couche selon </w:t>
      </w:r>
      <w:r>
        <w:rPr>
          <w:rStyle w:val="optioncarChar"/>
        </w:rPr>
        <w:t xml:space="preserve">*** </w:t>
      </w:r>
      <w:r>
        <w:t>les spécifications du fabricant de membrane</w:t>
      </w:r>
    </w:p>
    <w:p w14:paraId="68B38F8F" w14:textId="77777777" w:rsidR="004B2808" w:rsidRDefault="00000000">
      <w:pPr>
        <w:pStyle w:val="pheading"/>
      </w:pPr>
      <w:r>
        <w:t>MATÉRIAUX</w:t>
      </w:r>
    </w:p>
    <w:p w14:paraId="4B974BB9" w14:textId="77777777" w:rsidR="004B2808" w:rsidRDefault="00000000">
      <w:r>
        <w:t>Les matériaux d'étanchéité conviennent comme hydrofuge pour les surfaces horizontales, dans l'épaisseur du sol. Les feuilles ne collent pas ou ne sont pas déchirées.</w:t>
      </w:r>
    </w:p>
    <w:p w14:paraId="0640CBD5" w14:textId="77777777" w:rsidR="004B2808" w:rsidRDefault="00000000">
      <w:pPr>
        <w:pStyle w:val="pheading"/>
      </w:pPr>
      <w:r>
        <w:t>EXÉCUTION / MISE EN ŒUVRE</w:t>
      </w:r>
    </w:p>
    <w:p w14:paraId="7ED852C3" w14:textId="77777777" w:rsidR="004B2808" w:rsidRDefault="00000000">
      <w:r>
        <w:t xml:space="preserve">Avant de poser la membrane, l'entrepreneur vérifie si le support correspond aux plans et aux prescriptions et peut assurer l'exécution parfaite des travaux. Si tel n'est pas le cas, il en informe l'auteur de projet en temps utile afin que celui-ci puisse prendre les mesures qui s'imposent pour ne pas devoir effectuer des adaptations par la suite. L'entrepreneur pose la membrane d'étanchéité au bon endroit dans la composition du sol. Avant l'exécution, l'auteur de projet est invité sur place. L'entrepreneur prend toutes les mesures qui s'imposent pour que la membrane ne soit pas endommagée. La membrane d'étanchéité est respectivement posée </w:t>
      </w:r>
      <w:r>
        <w:rPr>
          <w:rStyle w:val="optioncarChar"/>
        </w:rPr>
        <w:t>sur la dalle de sol portante </w:t>
      </w:r>
      <w:r>
        <w:t>(par défaut)</w:t>
      </w:r>
      <w:r>
        <w:rPr>
          <w:rStyle w:val="optioncarChar"/>
        </w:rPr>
        <w:t xml:space="preserve"> / sur la sous-aire prescrite / sur le sol fini existant / ***.</w:t>
      </w:r>
      <w:r>
        <w:t xml:space="preserve"> Les faces de contact sont propres et planes de façon à éviter les perforations. Les bandes sont posées sans tension sur une aire de pose qui satisfait aux conditions suivantes :</w:t>
      </w:r>
    </w:p>
    <w:p w14:paraId="4BEBFF5F" w14:textId="77777777" w:rsidR="004B2808" w:rsidRDefault="00000000">
      <w:pPr>
        <w:pStyle w:val="Author-eListParagraph"/>
        <w:numPr>
          <w:ilvl w:val="0"/>
          <w:numId w:val="331"/>
        </w:numPr>
      </w:pPr>
      <w:r>
        <w:t>L'aire de pose est sèche;</w:t>
      </w:r>
    </w:p>
    <w:p w14:paraId="37B0B528" w14:textId="77777777" w:rsidR="004B2808" w:rsidRDefault="00000000">
      <w:pPr>
        <w:pStyle w:val="Author-eListParagraph"/>
        <w:numPr>
          <w:ilvl w:val="0"/>
          <w:numId w:val="331"/>
        </w:numPr>
      </w:pPr>
      <w:r>
        <w:t>L'aire de pose est lisse, plane et dure;</w:t>
      </w:r>
    </w:p>
    <w:p w14:paraId="11228A9D" w14:textId="77777777" w:rsidR="004B2808" w:rsidRDefault="00000000">
      <w:pPr>
        <w:pStyle w:val="Author-eListParagraph"/>
        <w:numPr>
          <w:ilvl w:val="0"/>
          <w:numId w:val="331"/>
        </w:numPr>
      </w:pPr>
      <w:r>
        <w:t>Les joints des éléments porteurs du plancher sont franchis de manière appropriée;</w:t>
      </w:r>
    </w:p>
    <w:p w14:paraId="752C5CA8" w14:textId="77777777" w:rsidR="004B2808" w:rsidRDefault="00000000">
      <w:pPr>
        <w:pStyle w:val="Author-eListParagraph"/>
        <w:numPr>
          <w:ilvl w:val="0"/>
          <w:numId w:val="331"/>
        </w:numPr>
      </w:pPr>
      <w:r>
        <w:t>L'aire de pose est exempte de matières étrangères ou de corps étranger (graisse, gravier, huile, …);</w:t>
      </w:r>
    </w:p>
    <w:p w14:paraId="41EB9F01" w14:textId="77777777" w:rsidR="004B2808" w:rsidRDefault="00000000">
      <w:pPr>
        <w:pStyle w:val="Author-eListParagraph"/>
        <w:numPr>
          <w:ilvl w:val="0"/>
          <w:numId w:val="331"/>
        </w:numPr>
      </w:pPr>
      <w:r>
        <w:t>L'aire de pose est chimiquement et mécaniquement compatible avec l'étanchéité;</w:t>
      </w:r>
    </w:p>
    <w:p w14:paraId="073FBA84" w14:textId="77777777" w:rsidR="004B2808" w:rsidRDefault="00000000">
      <w:pPr>
        <w:pStyle w:val="Author-eListParagraph"/>
        <w:numPr>
          <w:ilvl w:val="0"/>
          <w:numId w:val="331"/>
        </w:numPr>
      </w:pPr>
      <w:r>
        <w:t>Lorsque des conduites (sanitaires, de chauffage, d'électricité, …) courent sur le sol, elles doivent d'abord être noyées dans une couche de remplissage.</w:t>
      </w:r>
    </w:p>
    <w:p w14:paraId="32E30291" w14:textId="77777777" w:rsidR="004B2808" w:rsidRDefault="00000000">
      <w:r>
        <w:t xml:space="preserve">En fonction du matériau utilisé et des exigences en ce qui concerne l'application, les joints sont rendus étanches. Au droit de toutes les interruptions dans le plancher, des murs et des éléments de structure verticaux, la membrane d'étanchéité est relevée sur au moins 15 cm de façon à assurer l'étanchéité de manière continue. Les rouleaux sont traités avec précaution pour éviter que l'extérieur </w:t>
      </w:r>
      <w:r>
        <w:lastRenderedPageBreak/>
        <w:t>ne soit endommagé. Les parties endommagées sont réparées avec un morceau de feuille appliqué, avec un recouvrement d'au moins 30 cm.</w:t>
      </w:r>
    </w:p>
    <w:p w14:paraId="49E63962" w14:textId="77777777" w:rsidR="004B2808" w:rsidRDefault="00000000">
      <w:pPr>
        <w:pStyle w:val="pheading"/>
      </w:pPr>
      <w:r>
        <w:t>CONTRÔLES</w:t>
      </w:r>
    </w:p>
    <w:p w14:paraId="20345419" w14:textId="77777777" w:rsidR="004B2808" w:rsidRDefault="00000000">
      <w:r>
        <w:t>L'auteur de projet contrôle la pose de la feuille d'étanchéité et vérifie la bonne exécution des détails de raccordement et des recouvrements.</w:t>
      </w:r>
    </w:p>
    <w:p w14:paraId="128B015A" w14:textId="77777777" w:rsidR="004B2808" w:rsidRDefault="00000000">
      <w:pPr>
        <w:pStyle w:val="Author-eSectionHeading6Numberless"/>
      </w:pPr>
      <w:bookmarkStart w:id="333" w:name="_Toc220490517"/>
      <w:r>
        <w:t>52.11.1a Feuilles et membranes d'étanchéité à l'eau - Membranes / PE CCTB 01.11</w:t>
      </w:r>
      <w:bookmarkEnd w:id="333"/>
    </w:p>
    <w:p w14:paraId="79BF8AFF" w14:textId="77777777" w:rsidR="004B2808" w:rsidRDefault="00000000">
      <w:pPr>
        <w:pStyle w:val="pheading"/>
      </w:pPr>
      <w:r>
        <w:t>MATÉRIAUX</w:t>
      </w:r>
    </w:p>
    <w:p w14:paraId="44444668" w14:textId="77777777" w:rsidR="004B2808" w:rsidRDefault="00000000">
      <w:pPr>
        <w:pStyle w:val="pheading"/>
      </w:pPr>
      <w:r>
        <w:t>- Caractéristiques générales</w:t>
      </w:r>
    </w:p>
    <w:p w14:paraId="0A4DE1AC" w14:textId="77777777" w:rsidR="004B2808" w:rsidRDefault="00000000">
      <w:r>
        <w:t>La couche d'étanchéité se compose d'une feuille de polyéthylène </w:t>
      </w:r>
      <w:r>
        <w:rPr>
          <w:rStyle w:val="optioncarChar"/>
        </w:rPr>
        <w:t>transparente</w:t>
      </w:r>
      <w:r>
        <w:t xml:space="preserve"> (par défaut) </w:t>
      </w:r>
      <w:r>
        <w:rPr>
          <w:rStyle w:val="optioncarChar"/>
        </w:rPr>
        <w:t>/ ***</w:t>
      </w:r>
    </w:p>
    <w:p w14:paraId="68D72773" w14:textId="77777777" w:rsidR="004B2808" w:rsidRDefault="00000000">
      <w:pPr>
        <w:pStyle w:val="heading"/>
      </w:pPr>
      <w:r>
        <w:t>Spécifications</w:t>
      </w:r>
    </w:p>
    <w:p w14:paraId="211147D0" w14:textId="77777777" w:rsidR="004B2808" w:rsidRDefault="00000000">
      <w:pPr>
        <w:pStyle w:val="Author-eListParagraph"/>
        <w:numPr>
          <w:ilvl w:val="0"/>
          <w:numId w:val="332"/>
        </w:numPr>
      </w:pPr>
      <w:r>
        <w:t xml:space="preserve">Largeur des rouleaux : </w:t>
      </w:r>
      <w:r>
        <w:rPr>
          <w:rStyle w:val="optioncarChar"/>
        </w:rPr>
        <w:t>4 </w:t>
      </w:r>
      <w:r>
        <w:t>(par défaut)</w:t>
      </w:r>
      <w:r>
        <w:rPr>
          <w:rStyle w:val="optioncarChar"/>
        </w:rPr>
        <w:t xml:space="preserve"> / 6 / 8 / *** </w:t>
      </w:r>
      <w:r>
        <w:t>m</w:t>
      </w:r>
    </w:p>
    <w:p w14:paraId="2EFCB2A8" w14:textId="77777777" w:rsidR="004B2808" w:rsidRDefault="00000000">
      <w:pPr>
        <w:pStyle w:val="Author-eListParagraph"/>
        <w:numPr>
          <w:ilvl w:val="0"/>
          <w:numId w:val="332"/>
        </w:numPr>
      </w:pPr>
      <w:r>
        <w:t xml:space="preserve">Epaisseur : ≥ </w:t>
      </w:r>
      <w:r>
        <w:rPr>
          <w:rStyle w:val="optioncarChar"/>
        </w:rPr>
        <w:t>0,2 </w:t>
      </w:r>
      <w:r>
        <w:t>(par défaut)</w:t>
      </w:r>
      <w:r>
        <w:rPr>
          <w:rStyle w:val="optioncarChar"/>
        </w:rPr>
        <w:t xml:space="preserve"> / 0,3 / 0,4 / ***</w:t>
      </w:r>
      <w:r>
        <w:t>  mm</w:t>
      </w:r>
    </w:p>
    <w:p w14:paraId="2F5EA46F" w14:textId="77777777" w:rsidR="004B2808" w:rsidRDefault="00000000">
      <w:pPr>
        <w:pStyle w:val="Author-eListParagraph"/>
        <w:numPr>
          <w:ilvl w:val="0"/>
          <w:numId w:val="332"/>
        </w:numPr>
      </w:pPr>
      <w:r>
        <w:t>La feuille est</w:t>
      </w:r>
      <w:r>
        <w:rPr>
          <w:rStyle w:val="optioncarChar"/>
        </w:rPr>
        <w:t> non armée </w:t>
      </w:r>
      <w:r>
        <w:t>(par défaut)</w:t>
      </w:r>
      <w:r>
        <w:rPr>
          <w:rStyle w:val="optioncarChar"/>
        </w:rPr>
        <w:t xml:space="preserve"> / armée / ***</w:t>
      </w:r>
    </w:p>
    <w:p w14:paraId="5CD70226" w14:textId="77777777" w:rsidR="004B2808" w:rsidRDefault="00000000">
      <w:r>
        <w:t>Les membranes d'étanchéité PE utilisées comme pare-vapeur sont conformes à la norme [NBN EN 13984].  Les membranes d'étanchéité PE utilisées contre les remontées d'humidité sont conformes aux spécifications de la norme [NBN EN 14909].</w:t>
      </w:r>
    </w:p>
    <w:p w14:paraId="3F7A651D" w14:textId="77777777" w:rsidR="004B2808" w:rsidRDefault="00000000">
      <w:pPr>
        <w:pStyle w:val="pheading"/>
      </w:pPr>
      <w:r>
        <w:t>EXÉCUTION / MISE EN ŒUVRE</w:t>
      </w:r>
    </w:p>
    <w:p w14:paraId="5585E64C" w14:textId="77777777" w:rsidR="004B2808" w:rsidRDefault="00000000">
      <w:pPr>
        <w:pStyle w:val="pheading"/>
      </w:pPr>
      <w:r>
        <w:t>- Prescriptions générales</w:t>
      </w:r>
    </w:p>
    <w:p w14:paraId="0CE0C682" w14:textId="77777777" w:rsidR="004B2808" w:rsidRDefault="00000000">
      <w:r>
        <w:t>Les feuilles sont posées avec un recouvrement ≥ 30 cm dans le cas de recouvrement simple et sont relevées contre les murs au-dessus du niveau fini du sol. Les parties endommagées sont réparées avec un morceau de feuille appliqué avec un recouvrement ≥ 30 cm.</w:t>
      </w:r>
    </w:p>
    <w:p w14:paraId="262C14FD" w14:textId="77777777" w:rsidR="004B2808" w:rsidRDefault="00000000">
      <w:pPr>
        <w:pStyle w:val="pheading"/>
      </w:pPr>
      <w:r>
        <w:t>- Notes d’exécution complémentaires</w:t>
      </w:r>
    </w:p>
    <w:p w14:paraId="042DE463" w14:textId="77777777" w:rsidR="004B2808" w:rsidRDefault="00000000">
      <w:pPr>
        <w:pStyle w:val="Author-eListParagraph"/>
        <w:numPr>
          <w:ilvl w:val="0"/>
          <w:numId w:val="333"/>
        </w:numPr>
      </w:pPr>
      <w:r>
        <w:t xml:space="preserve">Les feuilles sont posées </w:t>
      </w:r>
      <w:r>
        <w:rPr>
          <w:rStyle w:val="optioncarChar"/>
        </w:rPr>
        <w:t>en indépendance </w:t>
      </w:r>
      <w:r>
        <w:t xml:space="preserve">(par défaut) </w:t>
      </w:r>
      <w:r>
        <w:rPr>
          <w:rStyle w:val="optioncarChar"/>
        </w:rPr>
        <w:t>/ par collage à l'aire de pose / ***</w:t>
      </w:r>
      <w:r>
        <w:t>.</w:t>
      </w:r>
    </w:p>
    <w:p w14:paraId="6F9F5F76" w14:textId="77777777" w:rsidR="004B2808" w:rsidRDefault="00000000">
      <w:pPr>
        <w:pStyle w:val="Author-eListParagraph"/>
        <w:numPr>
          <w:ilvl w:val="0"/>
          <w:numId w:val="333"/>
        </w:numPr>
      </w:pPr>
      <w:r>
        <w:t xml:space="preserve">Les recouvrements sont soigneusement assemblés par </w:t>
      </w:r>
      <w:r>
        <w:rPr>
          <w:rStyle w:val="optioncarChar"/>
        </w:rPr>
        <w:t>recouvrement simple </w:t>
      </w:r>
      <w:r>
        <w:t xml:space="preserve">(par défaut) </w:t>
      </w:r>
      <w:r>
        <w:rPr>
          <w:rStyle w:val="optioncarChar"/>
        </w:rPr>
        <w:t>/ soudure à l'air chaud / collage / ***</w:t>
      </w:r>
      <w:r>
        <w:t> sur toute la largeur du joint et comprimés.</w:t>
      </w:r>
    </w:p>
    <w:p w14:paraId="501E263B" w14:textId="77777777" w:rsidR="004B2808" w:rsidRDefault="00000000">
      <w:pPr>
        <w:pStyle w:val="Author-eListParagraph"/>
        <w:numPr>
          <w:ilvl w:val="0"/>
          <w:numId w:val="333"/>
        </w:numPr>
      </w:pPr>
      <w:r>
        <w:t xml:space="preserve">Largeur des joints : ≥ </w:t>
      </w:r>
      <w:r>
        <w:rPr>
          <w:rStyle w:val="optioncarChar"/>
        </w:rPr>
        <w:t>5 </w:t>
      </w:r>
      <w:r>
        <w:t>(par défaut) / *** cm.</w:t>
      </w:r>
    </w:p>
    <w:p w14:paraId="2FAD82B8" w14:textId="77777777" w:rsidR="004B2808" w:rsidRDefault="00000000">
      <w:pPr>
        <w:pStyle w:val="Author-eListParagraph"/>
        <w:numPr>
          <w:ilvl w:val="0"/>
          <w:numId w:val="333"/>
        </w:numPr>
      </w:pPr>
      <w:r>
        <w:t xml:space="preserve">Hauteur des relevés : ≥ </w:t>
      </w:r>
      <w:r>
        <w:rPr>
          <w:rStyle w:val="optioncarChar"/>
        </w:rPr>
        <w:t>2 </w:t>
      </w:r>
      <w:r>
        <w:t>(par défaut)</w:t>
      </w:r>
      <w:r>
        <w:rPr>
          <w:rStyle w:val="optioncarChar"/>
        </w:rPr>
        <w:t xml:space="preserve"> / 10 / ***</w:t>
      </w:r>
      <w:r>
        <w:t> cm au-dessus du niveau fini du sol</w:t>
      </w:r>
    </w:p>
    <w:p w14:paraId="2E7CAC27" w14:textId="77777777" w:rsidR="004B2808" w:rsidRDefault="00000000">
      <w:pPr>
        <w:pStyle w:val="pheading"/>
      </w:pPr>
      <w:r>
        <w:t>MESURAGE</w:t>
      </w:r>
    </w:p>
    <w:p w14:paraId="7FE52FCD" w14:textId="77777777" w:rsidR="004B2808" w:rsidRDefault="00000000">
      <w:r>
        <w:t>Conformément aux indications spécifiques dans le cahier spécial des charges et/ou le métré récapitulatif, le mesurage est conçu comme suit : </w:t>
      </w:r>
    </w:p>
    <w:p w14:paraId="1667D14C" w14:textId="77777777" w:rsidR="004B2808" w:rsidRDefault="00000000">
      <w:pPr>
        <w:pStyle w:val="pheading"/>
      </w:pPr>
      <w:r>
        <w:t>- unité de mesure:</w:t>
      </w:r>
    </w:p>
    <w:p w14:paraId="27D513F9" w14:textId="77777777" w:rsidR="004B2808" w:rsidRDefault="00000000">
      <w:r>
        <w:t>m²</w:t>
      </w:r>
    </w:p>
    <w:p w14:paraId="346BF63F" w14:textId="77777777" w:rsidR="004B2808" w:rsidRDefault="00000000">
      <w:pPr>
        <w:pStyle w:val="pheading"/>
      </w:pPr>
      <w:r>
        <w:t>- code de mesurage:</w:t>
      </w:r>
    </w:p>
    <w:p w14:paraId="2CD2B0F8" w14:textId="77777777" w:rsidR="004B2808" w:rsidRDefault="00000000">
      <w:r>
        <w:t>Compris dans le prix unitaire de la chape.</w:t>
      </w:r>
    </w:p>
    <w:p w14:paraId="29DBEB05" w14:textId="77777777" w:rsidR="004B2808" w:rsidRDefault="00000000">
      <w:pPr>
        <w:pStyle w:val="pheading"/>
      </w:pPr>
      <w:r>
        <w:t>- nature du marché:</w:t>
      </w:r>
    </w:p>
    <w:p w14:paraId="74D3D8E2" w14:textId="77777777" w:rsidR="004B2808" w:rsidRDefault="00000000">
      <w:r>
        <w:t>PM </w:t>
      </w:r>
    </w:p>
    <w:p w14:paraId="7E344D89" w14:textId="77777777" w:rsidR="004B2808" w:rsidRDefault="00000000">
      <w:pPr>
        <w:pStyle w:val="Author-eSectionHeading6Numberless"/>
      </w:pPr>
      <w:bookmarkStart w:id="334" w:name="_Toc220490518"/>
      <w:r>
        <w:t>52.11.1b Feuilles et membranes d'étanchéité à l'eau - Membranes / PVC CCTB 01.10</w:t>
      </w:r>
      <w:bookmarkEnd w:id="334"/>
    </w:p>
    <w:p w14:paraId="378F6F4A" w14:textId="77777777" w:rsidR="004B2808" w:rsidRDefault="00000000">
      <w:pPr>
        <w:pStyle w:val="pheading"/>
      </w:pPr>
      <w:r>
        <w:t>MATÉRIAUX</w:t>
      </w:r>
    </w:p>
    <w:p w14:paraId="14AD40BA" w14:textId="77777777" w:rsidR="004B2808" w:rsidRDefault="00000000">
      <w:pPr>
        <w:pStyle w:val="pheading"/>
      </w:pPr>
      <w:r>
        <w:t>- Caractéristiques générales</w:t>
      </w:r>
    </w:p>
    <w:p w14:paraId="5598E70D" w14:textId="77777777" w:rsidR="004B2808" w:rsidRDefault="00000000">
      <w:r>
        <w:t xml:space="preserve">La couche d'étanchéité se compose d'une feuille de chlorure de polyvinyle </w:t>
      </w:r>
      <w:r>
        <w:rPr>
          <w:rStyle w:val="optioncarChar"/>
        </w:rPr>
        <w:t>transparente</w:t>
      </w:r>
      <w:r>
        <w:t> (par défaut)</w:t>
      </w:r>
      <w:r>
        <w:rPr>
          <w:rStyle w:val="optioncarChar"/>
        </w:rPr>
        <w:t xml:space="preserve"> / ***  </w:t>
      </w:r>
    </w:p>
    <w:p w14:paraId="65E4C280" w14:textId="77777777" w:rsidR="004B2808" w:rsidRDefault="00000000">
      <w:pPr>
        <w:pStyle w:val="heading"/>
      </w:pPr>
      <w:r>
        <w:lastRenderedPageBreak/>
        <w:t>Spécifications</w:t>
      </w:r>
    </w:p>
    <w:p w14:paraId="14068E1B" w14:textId="77777777" w:rsidR="004B2808" w:rsidRDefault="00000000">
      <w:pPr>
        <w:pStyle w:val="Author-eListParagraph"/>
        <w:numPr>
          <w:ilvl w:val="0"/>
          <w:numId w:val="334"/>
        </w:numPr>
      </w:pPr>
      <w:r>
        <w:t xml:space="preserve">Type : </w:t>
      </w:r>
      <w:r>
        <w:rPr>
          <w:rStyle w:val="optioncarChar"/>
        </w:rPr>
        <w:t>armée </w:t>
      </w:r>
      <w:r>
        <w:t>(par défaut)</w:t>
      </w:r>
      <w:r>
        <w:rPr>
          <w:rStyle w:val="optioncarChar"/>
        </w:rPr>
        <w:t xml:space="preserve"> / non armée</w:t>
      </w:r>
    </w:p>
    <w:p w14:paraId="5A8660F9" w14:textId="77777777" w:rsidR="004B2808" w:rsidRDefault="00000000">
      <w:pPr>
        <w:pStyle w:val="Author-eListParagraph"/>
        <w:numPr>
          <w:ilvl w:val="0"/>
          <w:numId w:val="334"/>
        </w:numPr>
      </w:pPr>
      <w:r>
        <w:t xml:space="preserve">Epaisseur: minimum </w:t>
      </w:r>
      <w:r>
        <w:rPr>
          <w:rStyle w:val="optioncarChar"/>
        </w:rPr>
        <w:t>0,1 </w:t>
      </w:r>
      <w:r>
        <w:t>(par défaut)</w:t>
      </w:r>
      <w:r>
        <w:rPr>
          <w:rStyle w:val="optioncarChar"/>
        </w:rPr>
        <w:t xml:space="preserve"> / 0,2 / 0,8 / 1,2 / 1,5</w:t>
      </w:r>
      <w:r>
        <w:t> mm.</w:t>
      </w:r>
    </w:p>
    <w:p w14:paraId="70430F04" w14:textId="77777777" w:rsidR="004B2808" w:rsidRDefault="00000000">
      <w:pPr>
        <w:pStyle w:val="Author-eListParagraph"/>
        <w:numPr>
          <w:ilvl w:val="0"/>
          <w:numId w:val="334"/>
        </w:numPr>
      </w:pPr>
      <w:r>
        <w:t>Les membranes d'étanchéité PVC utilisées comme pare vapeur sont conformes à la norme [NBN EN 13984].</w:t>
      </w:r>
    </w:p>
    <w:p w14:paraId="57A3EF22" w14:textId="77777777" w:rsidR="004B2808" w:rsidRDefault="00000000">
      <w:pPr>
        <w:pStyle w:val="Author-eListParagraph"/>
        <w:numPr>
          <w:ilvl w:val="0"/>
          <w:numId w:val="334"/>
        </w:numPr>
      </w:pPr>
      <w:r>
        <w:t>Les membranes d'étanchéité PVC utilisées contre les remontées d'humidité sont conformes aux spécifications de la norme [NBN EN 14909].</w:t>
      </w:r>
    </w:p>
    <w:p w14:paraId="4719CDBB" w14:textId="77777777" w:rsidR="004B2808" w:rsidRDefault="00000000">
      <w:pPr>
        <w:pStyle w:val="pheading"/>
      </w:pPr>
      <w:r>
        <w:t>EXÉCUTION / MISE EN ŒUVRE</w:t>
      </w:r>
    </w:p>
    <w:p w14:paraId="43F66BBB" w14:textId="77777777" w:rsidR="004B2808" w:rsidRDefault="00000000">
      <w:pPr>
        <w:pStyle w:val="pheading"/>
      </w:pPr>
      <w:r>
        <w:t>- Prescriptions générales</w:t>
      </w:r>
    </w:p>
    <w:p w14:paraId="5F8FB4E1" w14:textId="77777777" w:rsidR="004B2808" w:rsidRDefault="00000000">
      <w:r>
        <w:t>Les feuilles ne peuvent pas coller ni être déchirées. Les feuilles sont posées avec un recouvrement d'au moins 30 cm dans le cas de recouvrement simple et sont relevées contre les murs au-dessus du niveau fini du sol. L'entrepreneur prend toutes les mesures qui s'imposent pour prévenir la dégradation des membranes.</w:t>
      </w:r>
    </w:p>
    <w:p w14:paraId="271B14AD" w14:textId="77777777" w:rsidR="004B2808" w:rsidRDefault="00000000">
      <w:pPr>
        <w:pStyle w:val="pheading"/>
      </w:pPr>
      <w:r>
        <w:t>- Notes d’exécution complémentaires</w:t>
      </w:r>
    </w:p>
    <w:p w14:paraId="54F4EAC4" w14:textId="77777777" w:rsidR="004B2808" w:rsidRDefault="00000000">
      <w:pPr>
        <w:pStyle w:val="Author-eListParagraph"/>
        <w:numPr>
          <w:ilvl w:val="0"/>
          <w:numId w:val="335"/>
        </w:numPr>
      </w:pPr>
      <w:r>
        <w:t xml:space="preserve">Les feuilles sont posées </w:t>
      </w:r>
      <w:r>
        <w:rPr>
          <w:rStyle w:val="optioncarChar"/>
        </w:rPr>
        <w:t>en indépendance </w:t>
      </w:r>
      <w:r>
        <w:t>(par défaut)</w:t>
      </w:r>
      <w:r>
        <w:rPr>
          <w:rStyle w:val="optioncarChar"/>
        </w:rPr>
        <w:t xml:space="preserve"> / par collage à l'aire de pose / ***</w:t>
      </w:r>
      <w:r>
        <w:t>.</w:t>
      </w:r>
    </w:p>
    <w:p w14:paraId="52DF4AB4" w14:textId="77777777" w:rsidR="004B2808" w:rsidRDefault="00000000">
      <w:pPr>
        <w:pStyle w:val="Author-eListParagraph"/>
        <w:numPr>
          <w:ilvl w:val="0"/>
          <w:numId w:val="335"/>
        </w:numPr>
      </w:pPr>
      <w:r>
        <w:t xml:space="preserve">Les recouvrements seront soigneusement assemblés par </w:t>
      </w:r>
      <w:r>
        <w:rPr>
          <w:rStyle w:val="optioncarChar"/>
        </w:rPr>
        <w:t>recouvrement simple </w:t>
      </w:r>
      <w:r>
        <w:t>(par défaut)</w:t>
      </w:r>
      <w:r>
        <w:rPr>
          <w:rStyle w:val="optioncarChar"/>
        </w:rPr>
        <w:t xml:space="preserve"> / soudure à l'air chaud / collage </w:t>
      </w:r>
      <w:r>
        <w:t xml:space="preserve"> sur toute la largeur du joint et comprimés.</w:t>
      </w:r>
    </w:p>
    <w:p w14:paraId="5B41ABA3" w14:textId="77777777" w:rsidR="004B2808" w:rsidRDefault="00000000">
      <w:pPr>
        <w:pStyle w:val="Author-eListParagraph"/>
        <w:numPr>
          <w:ilvl w:val="0"/>
          <w:numId w:val="335"/>
        </w:numPr>
      </w:pPr>
      <w:r>
        <w:t xml:space="preserve">Largeur des joints : min </w:t>
      </w:r>
      <w:r>
        <w:rPr>
          <w:rStyle w:val="optioncarChar"/>
        </w:rPr>
        <w:t>3 </w:t>
      </w:r>
      <w:r>
        <w:t>(par défaut)</w:t>
      </w:r>
      <w:r>
        <w:rPr>
          <w:rStyle w:val="optioncarChar"/>
        </w:rPr>
        <w:t xml:space="preserve"> / *** </w:t>
      </w:r>
      <w:r>
        <w:t xml:space="preserve"> cm.</w:t>
      </w:r>
    </w:p>
    <w:p w14:paraId="01627AAA" w14:textId="77777777" w:rsidR="004B2808" w:rsidRDefault="00000000">
      <w:pPr>
        <w:pStyle w:val="Author-eListParagraph"/>
        <w:numPr>
          <w:ilvl w:val="0"/>
          <w:numId w:val="335"/>
        </w:numPr>
      </w:pPr>
      <w:r>
        <w:t xml:space="preserve">Hauteur des relevés : min </w:t>
      </w:r>
      <w:r>
        <w:rPr>
          <w:rStyle w:val="optioncarChar"/>
        </w:rPr>
        <w:t>2 </w:t>
      </w:r>
      <w:r>
        <w:t>(par défaut)</w:t>
      </w:r>
      <w:r>
        <w:rPr>
          <w:rStyle w:val="optioncarChar"/>
        </w:rPr>
        <w:t xml:space="preserve"> / 10 / ***</w:t>
      </w:r>
      <w:r>
        <w:t> cm au-dessus du niveau fini du sol. </w:t>
      </w:r>
    </w:p>
    <w:p w14:paraId="3A087532" w14:textId="77777777" w:rsidR="004B2808" w:rsidRDefault="00000000">
      <w:pPr>
        <w:pStyle w:val="pheading"/>
      </w:pPr>
      <w:r>
        <w:t>MESURAGE</w:t>
      </w:r>
    </w:p>
    <w:p w14:paraId="7184C3CC" w14:textId="77777777" w:rsidR="004B2808" w:rsidRDefault="00000000">
      <w:r>
        <w:t>Conformément aux indications spécifiques dans le cahier spécial des charges et/ou le métré récapitulatif, le mesurage doit être conçu comme suit : </w:t>
      </w:r>
    </w:p>
    <w:p w14:paraId="0D585D1A" w14:textId="77777777" w:rsidR="004B2808" w:rsidRDefault="00000000">
      <w:pPr>
        <w:pStyle w:val="pheading"/>
      </w:pPr>
      <w:r>
        <w:t>- unité de mesure:</w:t>
      </w:r>
    </w:p>
    <w:p w14:paraId="11F868D1" w14:textId="77777777" w:rsidR="004B2808" w:rsidRDefault="00000000">
      <w:r>
        <w:t>m²</w:t>
      </w:r>
    </w:p>
    <w:p w14:paraId="01D9E083" w14:textId="77777777" w:rsidR="004B2808" w:rsidRDefault="00000000">
      <w:pPr>
        <w:pStyle w:val="pheading"/>
      </w:pPr>
      <w:r>
        <w:t>- nature du marché:</w:t>
      </w:r>
    </w:p>
    <w:p w14:paraId="1E86B91D" w14:textId="77777777" w:rsidR="004B2808" w:rsidRDefault="00000000">
      <w:r>
        <w:t>PM Compris dans le prix unitaire de la chape</w:t>
      </w:r>
    </w:p>
    <w:p w14:paraId="317857DE" w14:textId="77777777" w:rsidR="004B2808" w:rsidRDefault="00000000">
      <w:pPr>
        <w:pStyle w:val="Author-eSectionHeading6Numberless"/>
      </w:pPr>
      <w:bookmarkStart w:id="335" w:name="_Toc220490519"/>
      <w:r>
        <w:t>52.11.1c Feuilles et membranes d'étanchéité à l'eau - Membranes / PIB CCTB 01.10</w:t>
      </w:r>
      <w:bookmarkEnd w:id="335"/>
    </w:p>
    <w:p w14:paraId="70CFB151" w14:textId="77777777" w:rsidR="004B2808" w:rsidRDefault="00000000">
      <w:pPr>
        <w:pStyle w:val="pheading"/>
      </w:pPr>
      <w:r>
        <w:t>MATÉRIAUX</w:t>
      </w:r>
    </w:p>
    <w:p w14:paraId="6AD2702D" w14:textId="77777777" w:rsidR="004B2808" w:rsidRDefault="00000000">
      <w:pPr>
        <w:pStyle w:val="pheading"/>
      </w:pPr>
      <w:r>
        <w:t>- Caractéristiques générales</w:t>
      </w:r>
    </w:p>
    <w:p w14:paraId="26266303" w14:textId="77777777" w:rsidR="004B2808" w:rsidRDefault="00000000">
      <w:r>
        <w:t>La couche d'étanchéité se compose d'une feuille de polyisobutylyne (PIB).</w:t>
      </w:r>
    </w:p>
    <w:p w14:paraId="29B13CE3" w14:textId="77777777" w:rsidR="004B2808" w:rsidRDefault="00000000">
      <w:pPr>
        <w:pStyle w:val="heading"/>
      </w:pPr>
      <w:r>
        <w:t>Spécifications</w:t>
      </w:r>
    </w:p>
    <w:p w14:paraId="0F799F4B" w14:textId="77777777" w:rsidR="004B2808" w:rsidRDefault="00000000">
      <w:pPr>
        <w:pStyle w:val="Author-eListParagraph"/>
        <w:numPr>
          <w:ilvl w:val="0"/>
          <w:numId w:val="336"/>
        </w:numPr>
      </w:pPr>
      <w:r>
        <w:t>Type : armée, avec un voile de polyester sur la face inférieure</w:t>
      </w:r>
    </w:p>
    <w:p w14:paraId="47E0B705" w14:textId="77777777" w:rsidR="004B2808" w:rsidRDefault="00000000">
      <w:pPr>
        <w:pStyle w:val="Author-eListParagraph"/>
        <w:numPr>
          <w:ilvl w:val="0"/>
          <w:numId w:val="336"/>
        </w:numPr>
      </w:pPr>
      <w:r>
        <w:t>Epaisseur : </w:t>
      </w:r>
      <w:r>
        <w:rPr>
          <w:rStyle w:val="optioncarChar"/>
        </w:rPr>
        <w:t>1,5 </w:t>
      </w:r>
      <w:r>
        <w:t>(par défaut) / *** mm.</w:t>
      </w:r>
    </w:p>
    <w:p w14:paraId="12DA0C31" w14:textId="77777777" w:rsidR="004B2808" w:rsidRDefault="00000000">
      <w:pPr>
        <w:pStyle w:val="Author-eListParagraph"/>
        <w:numPr>
          <w:ilvl w:val="0"/>
          <w:numId w:val="336"/>
        </w:numPr>
      </w:pPr>
      <w:r>
        <w:t>Coloris :</w:t>
      </w:r>
      <w:r>
        <w:rPr>
          <w:rStyle w:val="optioncarChar"/>
        </w:rPr>
        <w:t> gris</w:t>
      </w:r>
      <w:r>
        <w:t> (par défaut)</w:t>
      </w:r>
      <w:r>
        <w:rPr>
          <w:rStyle w:val="optioncarChar"/>
        </w:rPr>
        <w:t xml:space="preserve"> / ***</w:t>
      </w:r>
    </w:p>
    <w:p w14:paraId="52127151" w14:textId="77777777" w:rsidR="004B2808" w:rsidRDefault="00000000">
      <w:pPr>
        <w:pStyle w:val="Author-eListParagraph"/>
        <w:numPr>
          <w:ilvl w:val="0"/>
          <w:numId w:val="336"/>
        </w:numPr>
      </w:pPr>
      <w:r>
        <w:t>Les membranes PIB utilisées comme pare-vapeur sont conformes à la norme [NBN EN 13984].</w:t>
      </w:r>
    </w:p>
    <w:p w14:paraId="28920F23" w14:textId="77777777" w:rsidR="004B2808" w:rsidRDefault="00000000">
      <w:pPr>
        <w:pStyle w:val="Author-eListParagraph"/>
        <w:numPr>
          <w:ilvl w:val="0"/>
          <w:numId w:val="336"/>
        </w:numPr>
      </w:pPr>
      <w:r>
        <w:t>Les membranes PIB utilisées contre les remontées d'humidité sont conformes aux spécifications de la norme [NBN EN 14909].</w:t>
      </w:r>
    </w:p>
    <w:p w14:paraId="065B7BF9" w14:textId="77777777" w:rsidR="004B2808" w:rsidRDefault="00000000">
      <w:pPr>
        <w:pStyle w:val="pheading"/>
      </w:pPr>
      <w:r>
        <w:t>- Prescriptions complémentaires</w:t>
      </w:r>
    </w:p>
    <w:p w14:paraId="7EAFB327" w14:textId="77777777" w:rsidR="004B2808" w:rsidRDefault="00000000">
      <w:pPr>
        <w:pStyle w:val="facult"/>
      </w:pPr>
      <w:r>
        <w:t>La membrane dispose d'un agrément technique suivi UBAtc en tant que système d'étanchéité.</w:t>
      </w:r>
    </w:p>
    <w:p w14:paraId="3578EC1C" w14:textId="77777777" w:rsidR="004B2808" w:rsidRDefault="00000000">
      <w:pPr>
        <w:pStyle w:val="pheading"/>
      </w:pPr>
      <w:r>
        <w:t>EXÉCUTION / MISE EN ŒUVRE</w:t>
      </w:r>
    </w:p>
    <w:p w14:paraId="7B06BB45" w14:textId="77777777" w:rsidR="004B2808" w:rsidRDefault="00000000">
      <w:pPr>
        <w:pStyle w:val="pheading"/>
      </w:pPr>
      <w:r>
        <w:t>- Prescriptions générales</w:t>
      </w:r>
    </w:p>
    <w:p w14:paraId="4C4B42BF" w14:textId="77777777" w:rsidR="004B2808" w:rsidRDefault="00000000">
      <w:r>
        <w:lastRenderedPageBreak/>
        <w:t>Les feuilles ne peuvent pas coller ni être déchirées. Les feuilles sont posées avec un recouvrement d'au moins 30 cm dans le cas de recouvrement simple et sont relevées contre les murs au-dessus du niveau fini du sol. L'entrepreneur prend toutes les mesures qui s'imposent pour prévenir la dégradation des membranes. Les parties endommagées sont réparées en appliquant un morceau de feuille avec un recouvrement d'au moins 30 cm dans tous les sens.</w:t>
      </w:r>
    </w:p>
    <w:p w14:paraId="7E4C7CD0" w14:textId="77777777" w:rsidR="004B2808" w:rsidRDefault="00000000">
      <w:pPr>
        <w:pStyle w:val="pheading"/>
      </w:pPr>
      <w:r>
        <w:t>- Notes d’exécution complémentaires</w:t>
      </w:r>
    </w:p>
    <w:p w14:paraId="575D3930" w14:textId="77777777" w:rsidR="004B2808" w:rsidRDefault="00000000">
      <w:r>
        <w:t xml:space="preserve">Les feuilles sont posées </w:t>
      </w:r>
      <w:r>
        <w:rPr>
          <w:rStyle w:val="optioncarChar"/>
        </w:rPr>
        <w:t>en indépendance </w:t>
      </w:r>
      <w:r>
        <w:t>(par défaut)</w:t>
      </w:r>
      <w:r>
        <w:rPr>
          <w:rStyle w:val="optioncarChar"/>
        </w:rPr>
        <w:t xml:space="preserve"> / par collage à l'aire de pose / *** .</w:t>
      </w:r>
      <w:r>
        <w:br/>
        <w:t xml:space="preserve">Les recouvrements sont soigneusement assemblés par </w:t>
      </w:r>
      <w:r>
        <w:rPr>
          <w:rStyle w:val="optioncarChar"/>
        </w:rPr>
        <w:t>recouvrement simple</w:t>
      </w:r>
      <w:r>
        <w:t> (par défaut)</w:t>
      </w:r>
      <w:r>
        <w:rPr>
          <w:rStyle w:val="optioncarChar"/>
        </w:rPr>
        <w:t xml:space="preserve"> / soudure à l'air chaud / collage / ***</w:t>
      </w:r>
      <w:r>
        <w:t> sur toute la largeur du joint et comprimés.</w:t>
      </w:r>
      <w:r>
        <w:br/>
        <w:t xml:space="preserve">Largeur des joints : min </w:t>
      </w:r>
      <w:r>
        <w:rPr>
          <w:rStyle w:val="optioncarChar"/>
        </w:rPr>
        <w:t>3</w:t>
      </w:r>
      <w:r>
        <w:t> (par défaut)</w:t>
      </w:r>
      <w:r>
        <w:rPr>
          <w:rStyle w:val="optioncarChar"/>
        </w:rPr>
        <w:t xml:space="preserve"> / ***</w:t>
      </w:r>
      <w:r>
        <w:t> cm.</w:t>
      </w:r>
      <w:r>
        <w:br/>
        <w:t xml:space="preserve">Hauteur des relevés : min </w:t>
      </w:r>
      <w:r>
        <w:rPr>
          <w:rStyle w:val="optioncarChar"/>
        </w:rPr>
        <w:t xml:space="preserve">2 </w:t>
      </w:r>
      <w:r>
        <w:t>(par défaut) </w:t>
      </w:r>
      <w:r>
        <w:rPr>
          <w:rStyle w:val="optioncarChar"/>
        </w:rPr>
        <w:t>/ 10 / ***</w:t>
      </w:r>
      <w:r>
        <w:t> cm au-dessus du niveau fini du sol.</w:t>
      </w:r>
    </w:p>
    <w:p w14:paraId="2E67C992" w14:textId="77777777" w:rsidR="004B2808" w:rsidRDefault="00000000">
      <w:pPr>
        <w:pStyle w:val="pheading"/>
      </w:pPr>
      <w:r>
        <w:t>MESURAGE</w:t>
      </w:r>
    </w:p>
    <w:p w14:paraId="5EACA56D" w14:textId="77777777" w:rsidR="004B2808" w:rsidRDefault="00000000">
      <w:r>
        <w:t xml:space="preserve">Conformément aux indications spécifiques dans le cahier spécial des charges et/ou le métré récapitulatif, le mesurage doit être conçu comme suit </w:t>
      </w:r>
    </w:p>
    <w:p w14:paraId="20533A10" w14:textId="77777777" w:rsidR="004B2808" w:rsidRDefault="00000000">
      <w:pPr>
        <w:pStyle w:val="pheading"/>
      </w:pPr>
      <w:r>
        <w:t>- unité de mesure:</w:t>
      </w:r>
    </w:p>
    <w:p w14:paraId="33E74E22" w14:textId="77777777" w:rsidR="004B2808" w:rsidRDefault="00000000">
      <w:r>
        <w:t>m²</w:t>
      </w:r>
    </w:p>
    <w:p w14:paraId="4BAD2B6B" w14:textId="77777777" w:rsidR="004B2808" w:rsidRDefault="00000000">
      <w:pPr>
        <w:pStyle w:val="pheading"/>
      </w:pPr>
      <w:r>
        <w:t>- nature du marché:</w:t>
      </w:r>
    </w:p>
    <w:p w14:paraId="4D678322" w14:textId="77777777" w:rsidR="004B2808" w:rsidRDefault="00000000">
      <w:r>
        <w:t>PM Compris dans le prix unitaire de la chape</w:t>
      </w:r>
    </w:p>
    <w:p w14:paraId="171E9256" w14:textId="77777777" w:rsidR="004B2808" w:rsidRDefault="00000000">
      <w:pPr>
        <w:pStyle w:val="Author-eSectionHeading4Numberless"/>
      </w:pPr>
      <w:bookmarkStart w:id="336" w:name="_Toc220490520"/>
      <w:r>
        <w:t>52.12 Traitements d'étanchéisation &gt; REPORT 26.12 CCTB 01.02</w:t>
      </w:r>
      <w:bookmarkEnd w:id="336"/>
    </w:p>
    <w:p w14:paraId="0AE09EB3" w14:textId="77777777" w:rsidR="004B2808" w:rsidRDefault="00000000">
      <w:pPr>
        <w:pStyle w:val="Author-eSectionHeading4Numberless"/>
      </w:pPr>
      <w:bookmarkStart w:id="337" w:name="_Toc220490521"/>
      <w:r>
        <w:t>52.13 Traitements d'imperméabilisation CCTB 01.02</w:t>
      </w:r>
      <w:bookmarkEnd w:id="337"/>
    </w:p>
    <w:p w14:paraId="6634E801" w14:textId="77777777" w:rsidR="004B2808" w:rsidRDefault="00000000">
      <w:pPr>
        <w:pStyle w:val="Author-eSectionHeading5Numberless"/>
      </w:pPr>
      <w:bookmarkStart w:id="338" w:name="_Toc220490522"/>
      <w:r>
        <w:t>52.13.1 Traitement d'imperméabilisation par injection &gt; REPORT 26.13.1 CCTB 01.02</w:t>
      </w:r>
      <w:bookmarkEnd w:id="338"/>
    </w:p>
    <w:p w14:paraId="16B56A4C" w14:textId="77777777" w:rsidR="004B2808" w:rsidRDefault="00000000">
      <w:pPr>
        <w:pStyle w:val="Author-eSectionHeading5Numberless"/>
      </w:pPr>
      <w:bookmarkStart w:id="339" w:name="_Toc220490523"/>
      <w:r>
        <w:t>52.13.2 Traitement d'imperméabilisation par application d'une peinture CCTB 01.07</w:t>
      </w:r>
      <w:bookmarkEnd w:id="339"/>
    </w:p>
    <w:p w14:paraId="48BBA9B8" w14:textId="77777777" w:rsidR="004B2808" w:rsidRDefault="00000000">
      <w:pPr>
        <w:pStyle w:val="pheading"/>
      </w:pPr>
      <w:r>
        <w:t>DESCRIPTION</w:t>
      </w:r>
    </w:p>
    <w:p w14:paraId="626AD5F4" w14:textId="77777777" w:rsidR="004B2808" w:rsidRDefault="00000000">
      <w:pPr>
        <w:pStyle w:val="pheading"/>
      </w:pPr>
      <w:r>
        <w:t>- Définition / Comprend</w:t>
      </w:r>
    </w:p>
    <w:p w14:paraId="379ED0E0" w14:textId="77777777" w:rsidR="004B2808" w:rsidRDefault="00000000">
      <w:r>
        <w:t>Renvoi au 81.11.5 Primaires (couches de fond)</w:t>
      </w:r>
    </w:p>
    <w:p w14:paraId="62BFF60B" w14:textId="77777777" w:rsidR="004B2808" w:rsidRDefault="00000000">
      <w:pPr>
        <w:pStyle w:val="Author-eSectionHeading4Numberless"/>
      </w:pPr>
      <w:bookmarkStart w:id="340" w:name="_Toc220490524"/>
      <w:r>
        <w:t>52.14 Systèmes étanches CCTB 01.02</w:t>
      </w:r>
      <w:bookmarkEnd w:id="340"/>
    </w:p>
    <w:p w14:paraId="794EE793" w14:textId="77777777" w:rsidR="004B2808" w:rsidRDefault="00000000">
      <w:pPr>
        <w:pStyle w:val="Author-eSectionHeading5Numberless"/>
      </w:pPr>
      <w:bookmarkStart w:id="341" w:name="_Toc220490525"/>
      <w:r>
        <w:t>52.14.1 Systèmes étanches - Joints d'étanchéité préformés CCTB 01.02</w:t>
      </w:r>
      <w:bookmarkEnd w:id="341"/>
    </w:p>
    <w:p w14:paraId="6316DB9A" w14:textId="77777777" w:rsidR="004B2808" w:rsidRDefault="00000000">
      <w:pPr>
        <w:pStyle w:val="Author-eSectionHeading6Numberless"/>
      </w:pPr>
      <w:bookmarkStart w:id="342" w:name="_Toc220490526"/>
      <w:r>
        <w:t>52.14.1a Systèmes étanches - Joint de reprise CCTB 01.02</w:t>
      </w:r>
      <w:bookmarkEnd w:id="342"/>
    </w:p>
    <w:p w14:paraId="7EF37DAE" w14:textId="77777777" w:rsidR="004B2808" w:rsidRDefault="00000000">
      <w:pPr>
        <w:pStyle w:val="Author-eSectionHeading6Numberless"/>
      </w:pPr>
      <w:bookmarkStart w:id="343" w:name="_Toc220490527"/>
      <w:r>
        <w:t>52.14.1b Systèmes étanches - Joint de dilatation CCTB 01.02</w:t>
      </w:r>
      <w:bookmarkEnd w:id="343"/>
    </w:p>
    <w:p w14:paraId="5E297B23" w14:textId="77777777" w:rsidR="004B2808" w:rsidRDefault="00000000">
      <w:pPr>
        <w:pStyle w:val="Author-eSectionHeading5Numberless"/>
      </w:pPr>
      <w:bookmarkStart w:id="344" w:name="_Toc220490528"/>
      <w:r>
        <w:t>52.14.2 Systèmes étanches - Joints d'étanchéité hydrogonflants CCTB 01.02</w:t>
      </w:r>
      <w:bookmarkEnd w:id="344"/>
    </w:p>
    <w:p w14:paraId="7865E286" w14:textId="77777777" w:rsidR="004B2808" w:rsidRDefault="00000000">
      <w:pPr>
        <w:pStyle w:val="Author-eSectionHeading6Numberless"/>
      </w:pPr>
      <w:bookmarkStart w:id="345" w:name="_Toc220490529"/>
      <w:r>
        <w:t>52.14.2a Systèmes étanches - Joints d'étanchéité hydrogonflants CCTB 01.02</w:t>
      </w:r>
      <w:bookmarkEnd w:id="345"/>
    </w:p>
    <w:p w14:paraId="77B035B3" w14:textId="77777777" w:rsidR="004B2808" w:rsidRDefault="00000000">
      <w:pPr>
        <w:pStyle w:val="Author-eSectionHeading4Numberless"/>
      </w:pPr>
      <w:bookmarkStart w:id="346" w:name="_Toc220490530"/>
      <w:r>
        <w:t>52.15 Etanchéisation de joints CCTB 01.02</w:t>
      </w:r>
      <w:bookmarkEnd w:id="346"/>
    </w:p>
    <w:p w14:paraId="3E08FA28" w14:textId="77777777" w:rsidR="004B2808" w:rsidRDefault="00000000">
      <w:pPr>
        <w:pStyle w:val="Author-eSectionHeading5Numberless"/>
      </w:pPr>
      <w:bookmarkStart w:id="347" w:name="1357"/>
      <w:bookmarkStart w:id="348" w:name="_Toc220490531"/>
      <w:bookmarkEnd w:id="347"/>
      <w:r>
        <w:t>52.15.1 Etanchéisation de joints - Mastics d'étanchéité CCTB 01.02</w:t>
      </w:r>
      <w:bookmarkEnd w:id="348"/>
    </w:p>
    <w:p w14:paraId="79719A2F" w14:textId="77777777" w:rsidR="004B2808" w:rsidRDefault="00000000">
      <w:pPr>
        <w:pStyle w:val="Author-eSectionHeading6Numberless"/>
      </w:pPr>
      <w:bookmarkStart w:id="349" w:name="_Toc220490532"/>
      <w:r>
        <w:t>52.15.1a Etanchéisation de joints - Mastic d'étanchéité élastique CCTB 01.02</w:t>
      </w:r>
      <w:bookmarkEnd w:id="349"/>
    </w:p>
    <w:p w14:paraId="1634EC1F" w14:textId="77777777" w:rsidR="004B2808" w:rsidRDefault="00000000">
      <w:pPr>
        <w:pStyle w:val="Author-eSectionHeading6Numberless"/>
      </w:pPr>
      <w:bookmarkStart w:id="350" w:name="_Toc220490533"/>
      <w:r>
        <w:t>52.15.1b Etanchéisation de joints - Mastic d'étanchéité plastique CCTB 01.02</w:t>
      </w:r>
      <w:bookmarkEnd w:id="350"/>
    </w:p>
    <w:p w14:paraId="07531C3C" w14:textId="77777777" w:rsidR="004B2808" w:rsidRDefault="00000000">
      <w:pPr>
        <w:pStyle w:val="Author-eSectionHeading5Numberless"/>
      </w:pPr>
      <w:bookmarkStart w:id="351" w:name="_Toc220490534"/>
      <w:r>
        <w:lastRenderedPageBreak/>
        <w:t>52.15.2 Etanchéisation de joints - Mastics particuliers CCTB 01.02</w:t>
      </w:r>
      <w:bookmarkEnd w:id="351"/>
    </w:p>
    <w:p w14:paraId="1A6EDB67" w14:textId="77777777" w:rsidR="004B2808" w:rsidRDefault="00000000">
      <w:pPr>
        <w:pStyle w:val="Author-eSectionHeading6Numberless"/>
      </w:pPr>
      <w:bookmarkStart w:id="352" w:name="_Toc220490535"/>
      <w:r>
        <w:t>52.15.2a Etanchéisation de joints - Mastic hydrogonflant CCTB 01.02</w:t>
      </w:r>
      <w:bookmarkEnd w:id="352"/>
    </w:p>
    <w:p w14:paraId="29E3BB56" w14:textId="77777777" w:rsidR="004B2808" w:rsidRDefault="00000000">
      <w:pPr>
        <w:pStyle w:val="Author-eSectionHeading3Numberless"/>
      </w:pPr>
      <w:bookmarkStart w:id="353" w:name="_Toc220490536"/>
      <w:r>
        <w:t>52.2 Etanchéisation aux matières gazeuses CCTB 01.02</w:t>
      </w:r>
      <w:bookmarkEnd w:id="353"/>
    </w:p>
    <w:p w14:paraId="20969F92" w14:textId="77777777" w:rsidR="004B2808" w:rsidRDefault="00000000">
      <w:pPr>
        <w:pStyle w:val="pheading"/>
      </w:pPr>
      <w:bookmarkStart w:id="354" w:name="79"/>
      <w:bookmarkEnd w:id="354"/>
      <w:r>
        <w:t>DESCRIPTION</w:t>
      </w:r>
    </w:p>
    <w:p w14:paraId="4D7468E6" w14:textId="77777777" w:rsidR="004B2808" w:rsidRDefault="00000000">
      <w:pPr>
        <w:pStyle w:val="pheading"/>
      </w:pPr>
      <w:r>
        <w:t>- Définition / Comprend</w:t>
      </w:r>
    </w:p>
    <w:p w14:paraId="05E916A0" w14:textId="77777777" w:rsidR="004B2808" w:rsidRDefault="00000000">
      <w:r>
        <w:rPr>
          <w:b/>
        </w:rPr>
        <w:t>Etanchéité à la vapeur d’eau et étanchéité à l’air</w:t>
      </w:r>
    </w:p>
    <w:p w14:paraId="5A15AE26" w14:textId="77777777" w:rsidR="004B2808" w:rsidRDefault="00000000">
      <w:r>
        <w:t>Voir définitions et principes au chapitre 32.2 Etanchéisation aux matières gazeuses</w:t>
      </w:r>
    </w:p>
    <w:p w14:paraId="0CC6C039" w14:textId="77777777" w:rsidR="004B2808" w:rsidRDefault="00000000">
      <w:pPr>
        <w:pStyle w:val="Author-eSectionHeading4Numberless"/>
      </w:pPr>
      <w:bookmarkStart w:id="355" w:name="_Toc220490537"/>
      <w:r>
        <w:t>52.21 Pare-vapeur CCTB 01.02</w:t>
      </w:r>
      <w:bookmarkEnd w:id="355"/>
    </w:p>
    <w:p w14:paraId="3FC90B12" w14:textId="77777777" w:rsidR="004B2808" w:rsidRDefault="00000000">
      <w:pPr>
        <w:pStyle w:val="pheading"/>
      </w:pPr>
      <w:bookmarkStart w:id="356" w:name="1192"/>
      <w:bookmarkEnd w:id="356"/>
      <w:r>
        <w:t>DESCRIPTION</w:t>
      </w:r>
    </w:p>
    <w:p w14:paraId="1EBA8C81" w14:textId="77777777" w:rsidR="004B2808" w:rsidRDefault="00000000">
      <w:pPr>
        <w:pStyle w:val="pheading"/>
      </w:pPr>
      <w:r>
        <w:t>- Définition / Comprend</w:t>
      </w:r>
    </w:p>
    <w:p w14:paraId="75ACF7F8" w14:textId="77777777" w:rsidR="004B2808" w:rsidRDefault="00000000">
      <w:r>
        <w:t>Voir définitions, classes et principes au chapitre 32.22 Pare-vapeur et frein-vapeur souples et aux articles qui en découlent.</w:t>
      </w:r>
    </w:p>
    <w:p w14:paraId="07B1CD66" w14:textId="77777777" w:rsidR="004B2808" w:rsidRDefault="00000000">
      <w:pPr>
        <w:pStyle w:val="Author-eSectionHeading5Numberless"/>
      </w:pPr>
      <w:bookmarkStart w:id="357" w:name="_Toc220490538"/>
      <w:r>
        <w:t>52.21.1 Membranes souples étanches aux matières gazeuses CCTB 01.02</w:t>
      </w:r>
      <w:bookmarkEnd w:id="357"/>
    </w:p>
    <w:p w14:paraId="4B216F89" w14:textId="77777777" w:rsidR="004B2808" w:rsidRDefault="00000000">
      <w:pPr>
        <w:pStyle w:val="Author-eSectionHeading6Numberless"/>
      </w:pPr>
      <w:bookmarkStart w:id="358" w:name="1175"/>
      <w:bookmarkStart w:id="359" w:name="_Toc220490539"/>
      <w:bookmarkEnd w:id="358"/>
      <w:r>
        <w:t>52.21.1a Membranes souples étanches aux matières gazeuses - Pare-vapeur - membranes / PE CCTB 01.02</w:t>
      </w:r>
      <w:bookmarkEnd w:id="359"/>
    </w:p>
    <w:p w14:paraId="5CC0BE6C" w14:textId="77777777" w:rsidR="004B2808" w:rsidRDefault="00000000">
      <w:pPr>
        <w:pStyle w:val="Author-eSectionHeading4Numberless"/>
      </w:pPr>
      <w:bookmarkStart w:id="360" w:name="_Toc220490540"/>
      <w:r>
        <w:t>52.22 Bandes et rubans CCTB 01.02</w:t>
      </w:r>
      <w:bookmarkEnd w:id="360"/>
    </w:p>
    <w:p w14:paraId="69562566" w14:textId="77777777" w:rsidR="004B2808" w:rsidRDefault="00000000">
      <w:pPr>
        <w:pStyle w:val="Author-eSectionHeading5Numberless"/>
      </w:pPr>
      <w:bookmarkStart w:id="361" w:name="_Toc220490541"/>
      <w:r>
        <w:t>52.22.1 Traitement d'étanchéité aux matières gazeuses par injection CCTB 01.12</w:t>
      </w:r>
      <w:bookmarkEnd w:id="361"/>
    </w:p>
    <w:p w14:paraId="28E5B709" w14:textId="77777777" w:rsidR="004B2808" w:rsidRDefault="00000000">
      <w:pPr>
        <w:pStyle w:val="pheading"/>
      </w:pPr>
      <w:r>
        <w:t>DESCRIPTION</w:t>
      </w:r>
    </w:p>
    <w:p w14:paraId="0FABAD36" w14:textId="77777777" w:rsidR="004B2808" w:rsidRDefault="00000000">
      <w:pPr>
        <w:pStyle w:val="pheading"/>
      </w:pPr>
      <w:r>
        <w:t>- Définition / Comprend</w:t>
      </w:r>
    </w:p>
    <w:p w14:paraId="4820BB65" w14:textId="77777777" w:rsidR="004B2808" w:rsidRDefault="00000000">
      <w:pPr>
        <w:jc w:val="both"/>
      </w:pPr>
      <w:r>
        <w:rPr>
          <w:u w:val="single"/>
        </w:rPr>
        <w:t>Définitions :</w:t>
      </w:r>
    </w:p>
    <w:p w14:paraId="2AC1F62C" w14:textId="77777777" w:rsidR="004B2808" w:rsidRDefault="00000000">
      <w:pPr>
        <w:jc w:val="both"/>
      </w:pPr>
      <w:r>
        <w:rPr>
          <w:i/>
        </w:rPr>
        <w:t>« Injection »</w:t>
      </w:r>
      <w:r>
        <w:t> : mise en œuvre sous pression d’un produit d’étanchéité à l’intérieur de parois ou d’espaces vides.</w:t>
      </w:r>
    </w:p>
    <w:p w14:paraId="6E0DBFB6" w14:textId="77777777" w:rsidR="004B2808" w:rsidRDefault="00000000">
      <w:pPr>
        <w:jc w:val="both"/>
      </w:pPr>
      <w:r>
        <w:t xml:space="preserve"> Le présent article porte également sur l’application à l’aide d’un équipement sous pression (pistolet manuel, sur batterie ou pneumatique , bombe , …) de produits d’étanchéité sous forme de cordon appliqué sur différentes surfaces.</w:t>
      </w:r>
    </w:p>
    <w:p w14:paraId="20809F22" w14:textId="77777777" w:rsidR="004B2808" w:rsidRDefault="00000000">
      <w:pPr>
        <w:jc w:val="both"/>
      </w:pPr>
      <w:r>
        <w:rPr>
          <w:i/>
        </w:rPr>
        <w:t>« Etanchéité aux matières gazeuses »</w:t>
      </w:r>
      <w:r>
        <w:t> : il s’agit généralement d’une étanchéité à l’air (d’une paroi, pour limiter les déperditions thermiques, éviter les points de condensation, respecter les impositions PEB, …).</w:t>
      </w:r>
    </w:p>
    <w:p w14:paraId="01659221" w14:textId="77777777" w:rsidR="004B2808" w:rsidRDefault="00000000">
      <w:pPr>
        <w:jc w:val="both"/>
      </w:pPr>
      <w:r>
        <w:t>Le travail concerne notamment, la réalisation d’un traitement d’étanchéité (liste non exhaustive) :</w:t>
      </w:r>
    </w:p>
    <w:p w14:paraId="30A3A700" w14:textId="77777777" w:rsidR="004B2808" w:rsidRDefault="00000000">
      <w:pPr>
        <w:pStyle w:val="Author-eListParagraph"/>
        <w:numPr>
          <w:ilvl w:val="0"/>
          <w:numId w:val="337"/>
        </w:numPr>
      </w:pPr>
      <w:r>
        <w:t>au niveau d’un passage (traversée) de paroi, d’un espace à combler entre 2 parois de faible épaisseur et difficile d’accès, d’un espace entre 2 matériaux étanche à l’air, … ;</w:t>
      </w:r>
    </w:p>
    <w:p w14:paraId="114A6885" w14:textId="77777777" w:rsidR="004B2808" w:rsidRDefault="00000000">
      <w:pPr>
        <w:pStyle w:val="Author-eListParagraph"/>
        <w:numPr>
          <w:ilvl w:val="0"/>
          <w:numId w:val="337"/>
        </w:numPr>
      </w:pPr>
      <w:r>
        <w:t>par remplissage de cavités, espaces, interstices, … afin d’assurer la finition de l’étanchéité à l’air des parois intérieures (p.ex. : parois entre 2 unités PEB , parois intérieures en contact avec une gaine technique , …) et / ou les jonctions de celles-ci aux autres parties du bâtiment.</w:t>
      </w:r>
    </w:p>
    <w:p w14:paraId="6E987A29" w14:textId="77777777" w:rsidR="004B2808" w:rsidRDefault="00000000">
      <w:pPr>
        <w:jc w:val="both"/>
      </w:pPr>
      <w:r>
        <w:t>Le travail comprend notamment :</w:t>
      </w:r>
    </w:p>
    <w:p w14:paraId="6A937628" w14:textId="77777777" w:rsidR="004B2808" w:rsidRDefault="00000000">
      <w:pPr>
        <w:pStyle w:val="Author-eListParagraph"/>
        <w:numPr>
          <w:ilvl w:val="0"/>
          <w:numId w:val="338"/>
        </w:numPr>
      </w:pPr>
      <w:r>
        <w:t xml:space="preserve">Les prestations et travaux préparatoires dont : </w:t>
      </w:r>
    </w:p>
    <w:p w14:paraId="3628DD7C" w14:textId="77777777" w:rsidR="004B2808" w:rsidRDefault="00000000">
      <w:pPr>
        <w:pStyle w:val="Author-eListParagraph"/>
        <w:numPr>
          <w:ilvl w:val="1"/>
          <w:numId w:val="339"/>
        </w:numPr>
      </w:pPr>
      <w:r>
        <w:t>Le contrôle préalable du support</w:t>
      </w:r>
    </w:p>
    <w:p w14:paraId="58C5A8AD" w14:textId="77777777" w:rsidR="004B2808" w:rsidRDefault="00000000">
      <w:pPr>
        <w:pStyle w:val="Author-eListParagraph"/>
        <w:numPr>
          <w:ilvl w:val="1"/>
          <w:numId w:val="339"/>
        </w:numPr>
      </w:pPr>
      <w:r>
        <w:lastRenderedPageBreak/>
        <w:t>Le contrôle des températures</w:t>
      </w:r>
    </w:p>
    <w:p w14:paraId="31E4CB64" w14:textId="77777777" w:rsidR="004B2808" w:rsidRDefault="00000000">
      <w:pPr>
        <w:pStyle w:val="Author-eListParagraph"/>
        <w:numPr>
          <w:ilvl w:val="0"/>
          <w:numId w:val="338"/>
        </w:numPr>
      </w:pPr>
      <w:r>
        <w:t>Les mesures de sécurité ;</w:t>
      </w:r>
    </w:p>
    <w:p w14:paraId="315B8D4D" w14:textId="77777777" w:rsidR="004B2808" w:rsidRDefault="00000000">
      <w:pPr>
        <w:pStyle w:val="Author-eListParagraph"/>
        <w:numPr>
          <w:ilvl w:val="0"/>
          <w:numId w:val="338"/>
        </w:numPr>
      </w:pPr>
      <w:r>
        <w:t>Les moyens d’accès (échafaudages, …) ;</w:t>
      </w:r>
    </w:p>
    <w:p w14:paraId="204891E0" w14:textId="77777777" w:rsidR="004B2808" w:rsidRDefault="00000000">
      <w:pPr>
        <w:pStyle w:val="Author-eListParagraph"/>
        <w:numPr>
          <w:ilvl w:val="0"/>
          <w:numId w:val="338"/>
        </w:numPr>
      </w:pPr>
      <w:r>
        <w:t>Les moyens de protection du bâtiment, des parois, … ;</w:t>
      </w:r>
    </w:p>
    <w:p w14:paraId="1B10FC1E" w14:textId="77777777" w:rsidR="004B2808" w:rsidRDefault="00000000">
      <w:pPr>
        <w:pStyle w:val="Author-eListParagraph"/>
        <w:numPr>
          <w:ilvl w:val="0"/>
          <w:numId w:val="338"/>
        </w:numPr>
      </w:pPr>
      <w:r>
        <w:t>L’entretien des moyens cités ci-avant et leur enlèvement complet en fin de chantier ;</w:t>
      </w:r>
    </w:p>
    <w:p w14:paraId="75A4D826" w14:textId="77777777" w:rsidR="004B2808" w:rsidRDefault="00000000">
      <w:pPr>
        <w:pStyle w:val="Author-eListParagraph"/>
        <w:numPr>
          <w:ilvl w:val="0"/>
          <w:numId w:val="338"/>
        </w:numPr>
      </w:pPr>
      <w:r>
        <w:t>La coordination avec les différents intervenants ;</w:t>
      </w:r>
    </w:p>
    <w:p w14:paraId="50050E0F" w14:textId="77777777" w:rsidR="004B2808" w:rsidRDefault="00000000">
      <w:pPr>
        <w:pStyle w:val="Author-eListParagraph"/>
        <w:numPr>
          <w:ilvl w:val="0"/>
          <w:numId w:val="338"/>
        </w:numPr>
      </w:pPr>
      <w:r>
        <w:t>Le nettoyage et la préparation des surfaces ;</w:t>
      </w:r>
    </w:p>
    <w:p w14:paraId="6CF930C9" w14:textId="77777777" w:rsidR="004B2808" w:rsidRDefault="00000000">
      <w:pPr>
        <w:pStyle w:val="Author-eListParagraph"/>
        <w:numPr>
          <w:ilvl w:val="0"/>
          <w:numId w:val="338"/>
        </w:numPr>
      </w:pPr>
      <w:r>
        <w:t>La fourniture et la mise en œuvre des traitements d’étanchéité ;</w:t>
      </w:r>
    </w:p>
    <w:p w14:paraId="2ED178F8" w14:textId="77777777" w:rsidR="004B2808" w:rsidRDefault="00000000">
      <w:pPr>
        <w:pStyle w:val="Author-eListParagraph"/>
        <w:numPr>
          <w:ilvl w:val="0"/>
          <w:numId w:val="338"/>
        </w:numPr>
      </w:pPr>
      <w:r>
        <w:t>La gestion des déchets (collecte, tri, traitement, évacuation en dehors du chantier, …), conformément aux 07 Déchets, matériaux et éléments réemployables et suivants ;</w:t>
      </w:r>
    </w:p>
    <w:p w14:paraId="351A95F1" w14:textId="77777777" w:rsidR="004B2808" w:rsidRDefault="00000000">
      <w:pPr>
        <w:pStyle w:val="Author-eListParagraph"/>
        <w:numPr>
          <w:ilvl w:val="0"/>
          <w:numId w:val="338"/>
        </w:numPr>
      </w:pPr>
      <w:r>
        <w:t>Le nettoyage en fin de chantier.</w:t>
      </w:r>
    </w:p>
    <w:p w14:paraId="57F6FBD7" w14:textId="77777777" w:rsidR="004B2808" w:rsidRDefault="00000000">
      <w:pPr>
        <w:jc w:val="both"/>
      </w:pPr>
      <w:r>
        <w:t>Les contrôles éventuels de l’isolation thermique (thermographies) et / ou de l’étanchéité à l’air sont décrits et comptés aux 03.4 Mesures et contrôles et suivants.</w:t>
      </w:r>
    </w:p>
    <w:p w14:paraId="39285746" w14:textId="77777777" w:rsidR="004B2808" w:rsidRDefault="00000000">
      <w:pPr>
        <w:jc w:val="both"/>
      </w:pPr>
      <w:r>
        <w:t xml:space="preserve">Les traitements d’étanchéité aux matières gazeuses qui répondent à des exigences concernant la protection incendie sont décrits et comptés aux </w:t>
      </w:r>
      <w:hyperlink w:anchor="1181" w:history="1">
        <w:r w:rsidR="004B2808">
          <w:rPr>
            <w:color w:val="0000EE"/>
          </w:rPr>
          <w:t>52.3 Etanchéisations particulières</w:t>
        </w:r>
      </w:hyperlink>
      <w:r>
        <w:t xml:space="preserve"> et suivants.</w:t>
      </w:r>
    </w:p>
    <w:p w14:paraId="5BA8EF0C" w14:textId="77777777" w:rsidR="004B2808" w:rsidRDefault="00000000">
      <w:pPr>
        <w:jc w:val="both"/>
      </w:pPr>
      <w:r>
        <w:t>Livraison, stockage, manutention, fournitures et mise en œuvre sont toujours conformes à la documentation technique qui accompagne les produits.</w:t>
      </w:r>
    </w:p>
    <w:p w14:paraId="7AE7784C" w14:textId="77777777" w:rsidR="004B2808" w:rsidRDefault="00000000">
      <w:pPr>
        <w:pStyle w:val="pheading"/>
      </w:pPr>
      <w:r>
        <w:t>EXÉCUTION / MISE EN ŒUVRE</w:t>
      </w:r>
    </w:p>
    <w:p w14:paraId="1CFEECC1" w14:textId="77777777" w:rsidR="004B2808" w:rsidRDefault="00000000">
      <w:pPr>
        <w:jc w:val="both"/>
      </w:pPr>
      <w:r>
        <w:t>La mise en œuvre est toujours réalisée selon la documentation technique qui accompagne les produits, en particulier en ce qui concerne :</w:t>
      </w:r>
    </w:p>
    <w:p w14:paraId="7ACD6660" w14:textId="77777777" w:rsidR="004B2808" w:rsidRDefault="00000000">
      <w:pPr>
        <w:pStyle w:val="Author-eListParagraph"/>
        <w:numPr>
          <w:ilvl w:val="0"/>
          <w:numId w:val="340"/>
        </w:numPr>
      </w:pPr>
      <w:r>
        <w:t>Les conditions de température des produits, des surfaces, ambiante</w:t>
      </w:r>
    </w:p>
    <w:p w14:paraId="34DD6EE8" w14:textId="77777777" w:rsidR="004B2808" w:rsidRDefault="00000000">
      <w:pPr>
        <w:pStyle w:val="Author-eListParagraph"/>
        <w:numPr>
          <w:ilvl w:val="0"/>
          <w:numId w:val="340"/>
        </w:numPr>
      </w:pPr>
      <w:r>
        <w:t>La préparation des produits, des surfaces</w:t>
      </w:r>
    </w:p>
    <w:p w14:paraId="2DF481D7" w14:textId="77777777" w:rsidR="004B2808" w:rsidRDefault="00000000">
      <w:pPr>
        <w:pStyle w:val="Author-eListParagraph"/>
        <w:numPr>
          <w:ilvl w:val="0"/>
          <w:numId w:val="340"/>
        </w:numPr>
      </w:pPr>
      <w:r>
        <w:t>L’adhérence aux surfaces</w:t>
      </w:r>
    </w:p>
    <w:p w14:paraId="1825DA7E" w14:textId="77777777" w:rsidR="004B2808" w:rsidRDefault="00000000">
      <w:pPr>
        <w:jc w:val="both"/>
      </w:pPr>
      <w:r>
        <w:t>Préalablement à la mise en œuvre, les surfaces concernées sont nettoyées, dégraissées, dépoussiérées, séchées, …</w:t>
      </w:r>
    </w:p>
    <w:p w14:paraId="7F3BCEE3" w14:textId="77777777" w:rsidR="004B2808" w:rsidRDefault="00000000">
      <w:pPr>
        <w:jc w:val="both"/>
      </w:pPr>
      <w:r>
        <w:t>Si nécessaire, des protections (p.ex. ruban de masquage, …) sont appliquées afin d’éviter le débordement du produit, de façon à obtenir une application régulière, …</w:t>
      </w:r>
    </w:p>
    <w:p w14:paraId="347CE6BB" w14:textId="77777777" w:rsidR="004B2808" w:rsidRDefault="00000000">
      <w:pPr>
        <w:jc w:val="both"/>
      </w:pPr>
      <w:r>
        <w:t>L’entrepreneur effectue un essai préalable, notamment les surfaces délicates et/ou inconnues.</w:t>
      </w:r>
    </w:p>
    <w:p w14:paraId="36AC6EF9" w14:textId="77777777" w:rsidR="004B2808" w:rsidRDefault="00000000">
      <w:pPr>
        <w:jc w:val="both"/>
      </w:pPr>
      <w:r>
        <w:t>Si nécessaire, après application, les surfaces sont lissées, rabotées, … à l’aide d’un dispositif adapté (p.ex : raclette de lissage, …)</w:t>
      </w:r>
    </w:p>
    <w:p w14:paraId="102A1489" w14:textId="77777777" w:rsidR="004B2808" w:rsidRDefault="00000000">
      <w:pPr>
        <w:jc w:val="both"/>
      </w:pPr>
      <w:r>
        <w:t>L’application se fait de manière continue et de façon à assurer l’étanchéité aux matières gazeuses sur toute la longueur et toute la surface du traitement.</w:t>
      </w:r>
    </w:p>
    <w:p w14:paraId="39628996" w14:textId="77777777" w:rsidR="004B2808" w:rsidRDefault="00000000">
      <w:pPr>
        <w:jc w:val="both"/>
      </w:pPr>
      <w:r>
        <w:t xml:space="preserve"> L’entrepreneur veille aux différents raccords.</w:t>
      </w:r>
    </w:p>
    <w:p w14:paraId="144513B7" w14:textId="77777777" w:rsidR="004B2808" w:rsidRDefault="00000000">
      <w:pPr>
        <w:jc w:val="both"/>
      </w:pPr>
      <w:r>
        <w:t>Les taches, débordements, … sont immédiatement nettoyés selon la documentation technique qui accompagne les produits.</w:t>
      </w:r>
    </w:p>
    <w:p w14:paraId="39120D40" w14:textId="77777777" w:rsidR="004B2808" w:rsidRDefault="00000000">
      <w:pPr>
        <w:pStyle w:val="pheading"/>
      </w:pPr>
      <w:r>
        <w:t>DOCUMENTS DE RÉFÉRENCE</w:t>
      </w:r>
    </w:p>
    <w:p w14:paraId="04932BD1" w14:textId="77777777" w:rsidR="004B2808" w:rsidRDefault="00000000">
      <w:pPr>
        <w:pStyle w:val="pheading"/>
      </w:pPr>
      <w:r>
        <w:t>- Matériau</w:t>
      </w:r>
    </w:p>
    <w:p w14:paraId="1D04A30E" w14:textId="77777777" w:rsidR="004B2808" w:rsidRDefault="00000000">
      <w:r>
        <w:t>[NIT 255, L'étanchéité à l'air des bâtiments]</w:t>
      </w:r>
    </w:p>
    <w:p w14:paraId="55F0176B" w14:textId="77777777" w:rsidR="004B2808" w:rsidRDefault="00000000">
      <w:pPr>
        <w:pStyle w:val="pheading"/>
      </w:pPr>
      <w:r>
        <w:t>- Exécution</w:t>
      </w:r>
    </w:p>
    <w:p w14:paraId="76BF3AB6" w14:textId="77777777" w:rsidR="004B2808" w:rsidRDefault="00000000">
      <w:r>
        <w:t>[NIT 255, L'étanchéité à l'air des bâtiments]</w:t>
      </w:r>
    </w:p>
    <w:p w14:paraId="213C45F7" w14:textId="77777777" w:rsidR="004B2808" w:rsidRDefault="00000000">
      <w:pPr>
        <w:pStyle w:val="Author-eSectionHeading6Numberless"/>
      </w:pPr>
      <w:bookmarkStart w:id="362" w:name="_Toc220490542"/>
      <w:r>
        <w:t>52.22.1a Traitement d'étanchéité aux matières gazeuses par injection CCTB 01.12</w:t>
      </w:r>
      <w:bookmarkEnd w:id="362"/>
    </w:p>
    <w:p w14:paraId="2054D34C" w14:textId="77777777" w:rsidR="004B2808" w:rsidRDefault="00000000">
      <w:pPr>
        <w:pStyle w:val="pheading"/>
      </w:pPr>
      <w:r>
        <w:t>DESCRIPTION</w:t>
      </w:r>
    </w:p>
    <w:p w14:paraId="713AD7C8" w14:textId="77777777" w:rsidR="004B2808" w:rsidRDefault="00000000">
      <w:pPr>
        <w:pStyle w:val="pheading"/>
      </w:pPr>
      <w:r>
        <w:t>- Définition / Comprend</w:t>
      </w:r>
    </w:p>
    <w:p w14:paraId="7975174D" w14:textId="77777777" w:rsidR="004B2808" w:rsidRDefault="00000000">
      <w:pPr>
        <w:jc w:val="both"/>
      </w:pPr>
      <w:r>
        <w:t>Il s’agit de la fourniture et de la pose par injection d’un traitement d’étanchéité aux matières gazeuses, au niveau de parois intérieures.</w:t>
      </w:r>
    </w:p>
    <w:p w14:paraId="1C0BEAB9" w14:textId="77777777" w:rsidR="004B2808" w:rsidRDefault="00000000">
      <w:pPr>
        <w:pStyle w:val="pheading"/>
      </w:pPr>
      <w:r>
        <w:lastRenderedPageBreak/>
        <w:t>MATÉRIAUX</w:t>
      </w:r>
    </w:p>
    <w:p w14:paraId="10387787" w14:textId="77777777" w:rsidR="004B2808" w:rsidRDefault="00000000">
      <w:pPr>
        <w:pStyle w:val="pheading"/>
      </w:pPr>
      <w:r>
        <w:t>- Caractéristiques générales</w:t>
      </w:r>
    </w:p>
    <w:p w14:paraId="614E31FC" w14:textId="77777777" w:rsidR="004B2808" w:rsidRDefault="00000000">
      <w:pPr>
        <w:jc w:val="both"/>
      </w:pPr>
      <w:r>
        <w:rPr>
          <w:b/>
        </w:rPr>
        <w:t>Généralités</w:t>
      </w:r>
    </w:p>
    <w:p w14:paraId="0FE07661" w14:textId="77777777" w:rsidR="004B2808" w:rsidRDefault="00000000">
      <w:pPr>
        <w:jc w:val="both"/>
      </w:pPr>
      <w:r>
        <w:t>L’entrepreneur vérifie que les produits qu’il met en œuvre sont parfaitement adaptés à l’utilisation et compatibles avec les matériaux qui entrent en contact avec ceux-ci.</w:t>
      </w:r>
    </w:p>
    <w:p w14:paraId="312A14F2" w14:textId="77777777" w:rsidR="004B2808" w:rsidRDefault="00000000">
      <w:pPr>
        <w:jc w:val="both"/>
      </w:pPr>
      <w:r>
        <w:t xml:space="preserve"> Si nécessaire, avant la réalisation, il fait part de ses remarques à la direction des travaux.</w:t>
      </w:r>
    </w:p>
    <w:p w14:paraId="36725A1C" w14:textId="77777777" w:rsidR="004B2808" w:rsidRDefault="00000000">
      <w:pPr>
        <w:jc w:val="both"/>
      </w:pPr>
      <w:r>
        <w:t>Les produits utilisés :</w:t>
      </w:r>
    </w:p>
    <w:p w14:paraId="5BF7C7FA" w14:textId="77777777" w:rsidR="004B2808" w:rsidRDefault="00000000">
      <w:pPr>
        <w:pStyle w:val="Author-eListParagraph"/>
        <w:numPr>
          <w:ilvl w:val="0"/>
          <w:numId w:val="341"/>
        </w:numPr>
      </w:pPr>
      <w:r>
        <w:t>sont destinés à la réalisation d’un traitement d’étanchéité à l’air ;</w:t>
      </w:r>
    </w:p>
    <w:p w14:paraId="4BBF9990" w14:textId="77777777" w:rsidR="004B2808" w:rsidRDefault="00000000">
      <w:pPr>
        <w:pStyle w:val="Author-eListParagraph"/>
        <w:numPr>
          <w:ilvl w:val="0"/>
          <w:numId w:val="341"/>
        </w:numPr>
      </w:pPr>
      <w:r>
        <w:t>possèdent une bonne adhérence aux supports rencontrés (poreux, humides, poussiéreux, …)</w:t>
      </w:r>
    </w:p>
    <w:p w14:paraId="1072F7B1" w14:textId="77777777" w:rsidR="004B2808" w:rsidRDefault="00000000">
      <w:pPr>
        <w:pStyle w:val="Author-eListParagraph"/>
        <w:numPr>
          <w:ilvl w:val="0"/>
          <w:numId w:val="341"/>
        </w:numPr>
      </w:pPr>
      <w:r>
        <w:t>sont adaptés aux caractéristiques des espaces à injecter ;</w:t>
      </w:r>
    </w:p>
    <w:p w14:paraId="2594F4A1" w14:textId="77777777" w:rsidR="004B2808" w:rsidRDefault="00000000">
      <w:pPr>
        <w:pStyle w:val="Author-eListParagraph"/>
        <w:numPr>
          <w:ilvl w:val="0"/>
          <w:numId w:val="341"/>
        </w:numPr>
      </w:pPr>
      <w:r>
        <w:t>sont compatibles avec les travaux de peinture, plafonnage, … à réaliser ;</w:t>
      </w:r>
    </w:p>
    <w:p w14:paraId="5E798839" w14:textId="77777777" w:rsidR="004B2808" w:rsidRDefault="00000000">
      <w:pPr>
        <w:pStyle w:val="Author-eListParagraph"/>
        <w:numPr>
          <w:ilvl w:val="0"/>
          <w:numId w:val="341"/>
        </w:numPr>
      </w:pPr>
      <w:r>
        <w:t>sont destinés à être collés après séchage, en fonction de leur localisation ;</w:t>
      </w:r>
    </w:p>
    <w:p w14:paraId="776BD456" w14:textId="77777777" w:rsidR="004B2808" w:rsidRDefault="00000000">
      <w:pPr>
        <w:pStyle w:val="Author-eListParagraph"/>
        <w:numPr>
          <w:ilvl w:val="0"/>
          <w:numId w:val="341"/>
        </w:numPr>
      </w:pPr>
      <w:r>
        <w:t>sont adaptés aux parois présentant des caractéristiques de résistance au feu.</w:t>
      </w:r>
    </w:p>
    <w:p w14:paraId="7EBDDB14" w14:textId="77777777" w:rsidR="004B2808" w:rsidRDefault="00000000">
      <w:pPr>
        <w:jc w:val="both"/>
      </w:pPr>
      <w:r>
        <w:rPr>
          <w:b/>
        </w:rPr>
        <w:t>Description</w:t>
      </w:r>
    </w:p>
    <w:p w14:paraId="548A8793" w14:textId="77777777" w:rsidR="004B2808" w:rsidRDefault="00000000">
      <w:pPr>
        <w:jc w:val="both"/>
      </w:pPr>
      <w:r>
        <w:t xml:space="preserve">Gamme de produit : </w:t>
      </w:r>
      <w:r>
        <w:rPr>
          <w:rStyle w:val="optioncarChar"/>
        </w:rPr>
        <w:t xml:space="preserve">au choix de l’entrepreneur </w:t>
      </w:r>
      <w:r>
        <w:t>(par défaut)</w:t>
      </w:r>
      <w:r>
        <w:rPr>
          <w:rStyle w:val="optioncarChar"/>
        </w:rPr>
        <w:t xml:space="preserve"> / colles - mastics / mousses</w:t>
      </w:r>
    </w:p>
    <w:p w14:paraId="617FEF3D" w14:textId="77777777" w:rsidR="004B2808" w:rsidRDefault="00000000">
      <w:pPr>
        <w:jc w:val="both"/>
      </w:pPr>
      <w:r>
        <w:rPr>
          <w:b/>
        </w:rPr>
        <w:t>(soit par défaut)</w:t>
      </w:r>
    </w:p>
    <w:p w14:paraId="0409D307" w14:textId="77777777" w:rsidR="004B2808" w:rsidRDefault="00000000">
      <w:pPr>
        <w:jc w:val="both"/>
      </w:pPr>
      <w:r>
        <w:rPr>
          <w:rStyle w:val="soitChar"/>
          <w:u w:val="single"/>
        </w:rPr>
        <w:t>Au choix de l’entrepreneur :</w:t>
      </w:r>
    </w:p>
    <w:p w14:paraId="07F15B2F" w14:textId="77777777" w:rsidR="004B2808" w:rsidRDefault="00000000">
      <w:pPr>
        <w:jc w:val="both"/>
      </w:pPr>
      <w:r>
        <w:rPr>
          <w:rStyle w:val="soitChar"/>
        </w:rPr>
        <w:t>Préalablement à la réalisation, l’entrepreneur soumet les produits qu’il souhaite utiliser en fonction de l’application, des conditions de travail, des conditions particulières, des travaux ultérieurs à réaliser, du type de paroi concernée, ...</w:t>
      </w:r>
    </w:p>
    <w:p w14:paraId="5143D0EC" w14:textId="77777777" w:rsidR="004B2808" w:rsidRDefault="00000000">
      <w:pPr>
        <w:jc w:val="both"/>
      </w:pPr>
      <w:r>
        <w:rPr>
          <w:rStyle w:val="soitChar"/>
        </w:rPr>
        <w:t>Si nécessaire, il adapte ceux-ci en fonction des remarques formulées par la direction des travaux.</w:t>
      </w:r>
    </w:p>
    <w:p w14:paraId="31B2C613" w14:textId="77777777" w:rsidR="004B2808" w:rsidRDefault="00000000">
      <w:pPr>
        <w:jc w:val="both"/>
      </w:pPr>
      <w:r>
        <w:rPr>
          <w:b/>
        </w:rPr>
        <w:t>(soit)</w:t>
      </w:r>
    </w:p>
    <w:p w14:paraId="3265A6A9" w14:textId="77777777" w:rsidR="004B2808" w:rsidRDefault="00000000">
      <w:pPr>
        <w:jc w:val="both"/>
      </w:pPr>
      <w:r>
        <w:rPr>
          <w:rStyle w:val="soitChar"/>
          <w:u w:val="single"/>
        </w:rPr>
        <w:t>Colles - mastics :</w:t>
      </w:r>
    </w:p>
    <w:p w14:paraId="00B7807C" w14:textId="77777777" w:rsidR="004B2808" w:rsidRDefault="00000000">
      <w:pPr>
        <w:pStyle w:val="Author-eListParagraph"/>
        <w:numPr>
          <w:ilvl w:val="0"/>
          <w:numId w:val="342"/>
        </w:numPr>
      </w:pPr>
      <w:r>
        <w:rPr>
          <w:rStyle w:val="soitChar"/>
        </w:rPr>
        <w:t xml:space="preserve">Base : </w:t>
      </w:r>
      <w:r>
        <w:rPr>
          <w:rStyle w:val="optioncarChar"/>
        </w:rPr>
        <w:t>polymère hybride / ***</w:t>
      </w:r>
    </w:p>
    <w:p w14:paraId="1AC8B56B" w14:textId="77777777" w:rsidR="004B2808" w:rsidRDefault="00000000">
      <w:pPr>
        <w:pStyle w:val="Author-eListParagraph"/>
        <w:numPr>
          <w:ilvl w:val="0"/>
          <w:numId w:val="342"/>
        </w:numPr>
      </w:pPr>
      <w:r>
        <w:rPr>
          <w:rStyle w:val="soitChar"/>
        </w:rPr>
        <w:t xml:space="preserve">Densité : ± </w:t>
      </w:r>
      <w:r>
        <w:rPr>
          <w:rStyle w:val="optioncarChar"/>
        </w:rPr>
        <w:t>1,3 / 1,6 / ***</w:t>
      </w:r>
      <w:r>
        <w:rPr>
          <w:rStyle w:val="soitChar"/>
        </w:rPr>
        <w:t xml:space="preserve"> g/cm³, selon [NBN EN ISO 2811-1]</w:t>
      </w:r>
      <w:r>
        <w:rPr>
          <w:rStyle w:val="optioncarChar"/>
        </w:rPr>
        <w:t> / ***</w:t>
      </w:r>
    </w:p>
    <w:p w14:paraId="20E48F55" w14:textId="77777777" w:rsidR="004B2808" w:rsidRDefault="00000000">
      <w:pPr>
        <w:pStyle w:val="Author-eListParagraph"/>
        <w:numPr>
          <w:ilvl w:val="0"/>
          <w:numId w:val="342"/>
        </w:numPr>
      </w:pPr>
      <w:r>
        <w:rPr>
          <w:rStyle w:val="soitChar"/>
        </w:rPr>
        <w:t xml:space="preserve">Dureté Shore A : ± </w:t>
      </w:r>
      <w:r>
        <w:rPr>
          <w:rStyle w:val="optioncarChar"/>
        </w:rPr>
        <w:t>30 / 35 / ***</w:t>
      </w:r>
      <w:r>
        <w:rPr>
          <w:rStyle w:val="soitChar"/>
        </w:rPr>
        <w:t>, selon [DIN ISO 7619-1:2012-02]</w:t>
      </w:r>
      <w:r>
        <w:rPr>
          <w:rStyle w:val="soitChar"/>
          <w:color w:val="000000"/>
        </w:rPr>
        <w:t>, [DIN ISO 7619-2:2012-02]</w:t>
      </w:r>
      <w:r>
        <w:rPr>
          <w:rStyle w:val="optioncarChar"/>
        </w:rPr>
        <w:t> / ***</w:t>
      </w:r>
    </w:p>
    <w:p w14:paraId="7B5B7D77" w14:textId="77777777" w:rsidR="004B2808" w:rsidRDefault="00000000">
      <w:pPr>
        <w:pStyle w:val="Author-eListParagraph"/>
        <w:numPr>
          <w:ilvl w:val="0"/>
          <w:numId w:val="342"/>
        </w:numPr>
      </w:pPr>
      <w:r>
        <w:rPr>
          <w:rStyle w:val="soitChar"/>
        </w:rPr>
        <w:t>Résistance à la diffusion de vapeur (μ) : ± </w:t>
      </w:r>
      <w:r>
        <w:rPr>
          <w:rStyle w:val="optioncarChar"/>
        </w:rPr>
        <w:t>1270 / ***</w:t>
      </w:r>
      <w:r>
        <w:rPr>
          <w:rStyle w:val="soitChar"/>
        </w:rPr>
        <w:t>, selon [NBN EN ISO 12572]</w:t>
      </w:r>
      <w:r>
        <w:rPr>
          <w:rStyle w:val="optioncarChar"/>
        </w:rPr>
        <w:t> / ***</w:t>
      </w:r>
    </w:p>
    <w:p w14:paraId="7FE92EA8" w14:textId="77777777" w:rsidR="004B2808" w:rsidRDefault="00000000">
      <w:pPr>
        <w:pStyle w:val="Author-eListParagraph"/>
        <w:numPr>
          <w:ilvl w:val="0"/>
          <w:numId w:val="342"/>
        </w:numPr>
      </w:pPr>
      <w:r>
        <w:rPr>
          <w:rStyle w:val="soitChar"/>
        </w:rPr>
        <w:t xml:space="preserve">Temps de pelliculation : ± </w:t>
      </w:r>
      <w:r>
        <w:rPr>
          <w:rStyle w:val="optioncarChar"/>
        </w:rPr>
        <w:t>25 / 50 / 60 / ***</w:t>
      </w:r>
      <w:r>
        <w:rPr>
          <w:rStyle w:val="soitChar"/>
        </w:rPr>
        <w:t xml:space="preserve"> minutes</w:t>
      </w:r>
    </w:p>
    <w:p w14:paraId="2FAFE555" w14:textId="77777777" w:rsidR="004B2808" w:rsidRDefault="00000000">
      <w:pPr>
        <w:pStyle w:val="Author-eListParagraph"/>
        <w:numPr>
          <w:ilvl w:val="0"/>
          <w:numId w:val="342"/>
        </w:numPr>
      </w:pPr>
      <w:r>
        <w:rPr>
          <w:rStyle w:val="soitChar"/>
        </w:rPr>
        <w:t xml:space="preserve">Durcissement : ± </w:t>
      </w:r>
      <w:r>
        <w:rPr>
          <w:rStyle w:val="optioncarChar"/>
        </w:rPr>
        <w:t>2 / 2,5 / 2,8 / ***</w:t>
      </w:r>
      <w:r>
        <w:rPr>
          <w:rStyle w:val="soitChar"/>
        </w:rPr>
        <w:t xml:space="preserve"> mm / 24 heures</w:t>
      </w:r>
    </w:p>
    <w:p w14:paraId="09FDC2ED" w14:textId="77777777" w:rsidR="004B2808" w:rsidRDefault="00000000">
      <w:pPr>
        <w:pStyle w:val="Author-eListParagraph"/>
        <w:numPr>
          <w:ilvl w:val="0"/>
          <w:numId w:val="342"/>
        </w:numPr>
      </w:pPr>
      <w:r>
        <w:rPr>
          <w:rStyle w:val="soitChar"/>
        </w:rPr>
        <w:t xml:space="preserve">Rétraction : ± </w:t>
      </w:r>
      <w:r>
        <w:rPr>
          <w:rStyle w:val="optioncarChar"/>
        </w:rPr>
        <w:t>3 / 4 / 5 / ***</w:t>
      </w:r>
      <w:r>
        <w:rPr>
          <w:rStyle w:val="soitChar"/>
        </w:rPr>
        <w:t xml:space="preserve"> %</w:t>
      </w:r>
    </w:p>
    <w:p w14:paraId="672BB7CA" w14:textId="77777777" w:rsidR="004B2808" w:rsidRDefault="00000000">
      <w:pPr>
        <w:pStyle w:val="Author-eListParagraph"/>
        <w:numPr>
          <w:ilvl w:val="0"/>
          <w:numId w:val="342"/>
        </w:numPr>
      </w:pPr>
      <w:r>
        <w:rPr>
          <w:rStyle w:val="soitChar"/>
        </w:rPr>
        <w:t xml:space="preserve">Module d’élasticité 100 % : ± </w:t>
      </w:r>
      <w:r>
        <w:rPr>
          <w:rStyle w:val="optioncarChar"/>
        </w:rPr>
        <w:t>0,5 / 0,6 / 0,8 / ***</w:t>
      </w:r>
      <w:r>
        <w:rPr>
          <w:rStyle w:val="soitChar"/>
        </w:rPr>
        <w:t xml:space="preserve"> N/mm², selon [NBN EN ISO 8339]</w:t>
      </w:r>
    </w:p>
    <w:p w14:paraId="1336BB58" w14:textId="77777777" w:rsidR="004B2808" w:rsidRDefault="00000000">
      <w:pPr>
        <w:pStyle w:val="Author-eListParagraph"/>
        <w:numPr>
          <w:ilvl w:val="0"/>
          <w:numId w:val="342"/>
        </w:numPr>
      </w:pPr>
      <w:r>
        <w:rPr>
          <w:rStyle w:val="soitChar"/>
        </w:rPr>
        <w:t>Résistance à la traction : ± </w:t>
      </w:r>
      <w:r>
        <w:rPr>
          <w:rStyle w:val="optioncarChar"/>
        </w:rPr>
        <w:t>0,6 / 1 / 1,5 / ***</w:t>
      </w:r>
      <w:r>
        <w:rPr>
          <w:rStyle w:val="soitChar"/>
        </w:rPr>
        <w:t xml:space="preserve"> N/mm², selon [DIN 53504]</w:t>
      </w:r>
      <w:r>
        <w:rPr>
          <w:rStyle w:val="optioncarChar"/>
        </w:rPr>
        <w:t>S2 / ***</w:t>
      </w:r>
    </w:p>
    <w:p w14:paraId="35BDD538" w14:textId="77777777" w:rsidR="004B2808" w:rsidRDefault="00000000">
      <w:pPr>
        <w:pStyle w:val="Author-eListParagraph"/>
        <w:numPr>
          <w:ilvl w:val="0"/>
          <w:numId w:val="342"/>
        </w:numPr>
      </w:pPr>
      <w:r>
        <w:rPr>
          <w:rStyle w:val="soitChar"/>
        </w:rPr>
        <w:t>Allongement à la rupture :± </w:t>
      </w:r>
      <w:r>
        <w:rPr>
          <w:rStyle w:val="optioncarChar"/>
        </w:rPr>
        <w:t>350 / 360 / ***</w:t>
      </w:r>
      <w:r>
        <w:rPr>
          <w:rStyle w:val="soitChar"/>
        </w:rPr>
        <w:t xml:space="preserve"> %, selon [DIN 53504]</w:t>
      </w:r>
      <w:r>
        <w:rPr>
          <w:rStyle w:val="optioncarChar"/>
        </w:rPr>
        <w:t> S2 / ***</w:t>
      </w:r>
    </w:p>
    <w:p w14:paraId="4EA98C4D" w14:textId="77777777" w:rsidR="004B2808" w:rsidRDefault="00000000">
      <w:pPr>
        <w:pStyle w:val="Author-eListParagraph"/>
        <w:numPr>
          <w:ilvl w:val="0"/>
          <w:numId w:val="342"/>
        </w:numPr>
      </w:pPr>
      <w:r>
        <w:rPr>
          <w:rStyle w:val="soitChar"/>
        </w:rPr>
        <w:t>Capacité de récupération (reprise de forme) : ± </w:t>
      </w:r>
      <w:r>
        <w:rPr>
          <w:rStyle w:val="optioncarChar"/>
        </w:rPr>
        <w:t>65 / 68 / ***</w:t>
      </w:r>
      <w:r>
        <w:rPr>
          <w:rStyle w:val="soitChar"/>
        </w:rPr>
        <w:t xml:space="preserve"> %, selon [NBN EN ISO 7389]</w:t>
      </w:r>
    </w:p>
    <w:p w14:paraId="59784056" w14:textId="77777777" w:rsidR="004B2808" w:rsidRDefault="00000000">
      <w:pPr>
        <w:pStyle w:val="Author-eListParagraph"/>
        <w:numPr>
          <w:ilvl w:val="0"/>
          <w:numId w:val="342"/>
        </w:numPr>
      </w:pPr>
      <w:r>
        <w:rPr>
          <w:rStyle w:val="soitChar"/>
        </w:rPr>
        <w:t xml:space="preserve">Viscosité : </w:t>
      </w:r>
      <w:r>
        <w:rPr>
          <w:rStyle w:val="optioncarChar"/>
        </w:rPr>
        <w:t>résiste à la déformation / ne coule pas / ***</w:t>
      </w:r>
    </w:p>
    <w:p w14:paraId="7548FF53" w14:textId="77777777" w:rsidR="004B2808" w:rsidRDefault="00000000">
      <w:pPr>
        <w:pStyle w:val="Author-eListParagraph"/>
        <w:numPr>
          <w:ilvl w:val="0"/>
          <w:numId w:val="342"/>
        </w:numPr>
      </w:pPr>
      <w:r>
        <w:rPr>
          <w:rStyle w:val="soitChar"/>
        </w:rPr>
        <w:t xml:space="preserve">Plage de résistance thermique : ± </w:t>
      </w:r>
      <w:r>
        <w:rPr>
          <w:rStyle w:val="optioncarChar"/>
        </w:rPr>
        <w:t>- 40°C à + 90 °C / ***</w:t>
      </w:r>
    </w:p>
    <w:p w14:paraId="0C781C6D" w14:textId="77777777" w:rsidR="004B2808" w:rsidRDefault="00000000">
      <w:pPr>
        <w:pStyle w:val="Author-eListParagraph"/>
        <w:numPr>
          <w:ilvl w:val="0"/>
          <w:numId w:val="342"/>
        </w:numPr>
      </w:pPr>
      <w:r>
        <w:rPr>
          <w:rStyle w:val="soitChar"/>
        </w:rPr>
        <w:t xml:space="preserve">Température d'utilisation : ± </w:t>
      </w:r>
      <w:r>
        <w:rPr>
          <w:rStyle w:val="optioncarChar"/>
        </w:rPr>
        <w:t>+ 5 °C à + 40 °C / ***</w:t>
      </w:r>
    </w:p>
    <w:p w14:paraId="76E72C14" w14:textId="77777777" w:rsidR="004B2808" w:rsidRDefault="00000000">
      <w:pPr>
        <w:pStyle w:val="Author-eListParagraph"/>
        <w:numPr>
          <w:ilvl w:val="0"/>
          <w:numId w:val="342"/>
        </w:numPr>
      </w:pPr>
      <w:r>
        <w:rPr>
          <w:rStyle w:val="soitChar"/>
        </w:rPr>
        <w:t xml:space="preserve">Conditionnement : </w:t>
      </w:r>
      <w:r>
        <w:rPr>
          <w:rStyle w:val="optioncarChar"/>
        </w:rPr>
        <w:t>au choix de l'entrepreneur </w:t>
      </w:r>
      <w:r>
        <w:t>(par défaut) </w:t>
      </w:r>
      <w:r>
        <w:rPr>
          <w:rStyle w:val="optioncarChar"/>
        </w:rPr>
        <w:t>/ en cartouche / sachet tubulaire / ***</w:t>
      </w:r>
    </w:p>
    <w:p w14:paraId="1D92FB19" w14:textId="77777777" w:rsidR="004B2808" w:rsidRDefault="00000000">
      <w:pPr>
        <w:jc w:val="both"/>
      </w:pPr>
      <w:r>
        <w:rPr>
          <w:b/>
        </w:rPr>
        <w:t>(soit)</w:t>
      </w:r>
    </w:p>
    <w:p w14:paraId="2AB79D10" w14:textId="77777777" w:rsidR="004B2808" w:rsidRDefault="00000000">
      <w:pPr>
        <w:jc w:val="both"/>
      </w:pPr>
      <w:r>
        <w:rPr>
          <w:rStyle w:val="soitChar"/>
          <w:u w:val="single"/>
        </w:rPr>
        <w:t>Mousses :</w:t>
      </w:r>
    </w:p>
    <w:p w14:paraId="61114461" w14:textId="77777777" w:rsidR="004B2808" w:rsidRDefault="00000000">
      <w:pPr>
        <w:pStyle w:val="Author-eListParagraph"/>
        <w:numPr>
          <w:ilvl w:val="0"/>
          <w:numId w:val="343"/>
        </w:numPr>
        <w:jc w:val="both"/>
      </w:pPr>
      <w:r>
        <w:rPr>
          <w:rStyle w:val="soitChar"/>
        </w:rPr>
        <w:t xml:space="preserve">Matériau : </w:t>
      </w:r>
      <w:r>
        <w:rPr>
          <w:rStyle w:val="optioncarChar"/>
        </w:rPr>
        <w:t xml:space="preserve">polyuréthane monocomposant </w:t>
      </w:r>
      <w:r>
        <w:t>(par défaut)</w:t>
      </w:r>
      <w:r>
        <w:rPr>
          <w:rStyle w:val="optioncarChar"/>
        </w:rPr>
        <w:t xml:space="preserve"> / ***</w:t>
      </w:r>
    </w:p>
    <w:p w14:paraId="6E7927B5" w14:textId="77777777" w:rsidR="004B2808" w:rsidRDefault="00000000">
      <w:pPr>
        <w:pStyle w:val="Author-eListParagraph"/>
        <w:numPr>
          <w:ilvl w:val="0"/>
          <w:numId w:val="343"/>
        </w:numPr>
        <w:jc w:val="both"/>
      </w:pPr>
      <w:r>
        <w:rPr>
          <w:rStyle w:val="soitChar"/>
        </w:rPr>
        <w:t xml:space="preserve">Système de durcissement : </w:t>
      </w:r>
      <w:r>
        <w:rPr>
          <w:rStyle w:val="optioncarChar"/>
        </w:rPr>
        <w:t xml:space="preserve">polymérisation par l’humidité de l’air </w:t>
      </w:r>
      <w:r>
        <w:t>(par défaut)</w:t>
      </w:r>
      <w:r>
        <w:rPr>
          <w:rStyle w:val="optioncarChar"/>
        </w:rPr>
        <w:t xml:space="preserve"> / ***</w:t>
      </w:r>
    </w:p>
    <w:p w14:paraId="38F54F3A" w14:textId="77777777" w:rsidR="004B2808" w:rsidRDefault="00000000">
      <w:pPr>
        <w:pStyle w:val="Author-eListParagraph"/>
        <w:numPr>
          <w:ilvl w:val="0"/>
          <w:numId w:val="343"/>
        </w:numPr>
        <w:jc w:val="both"/>
      </w:pPr>
      <w:r>
        <w:rPr>
          <w:rStyle w:val="soitChar"/>
        </w:rPr>
        <w:t xml:space="preserve">Temps de pelliculation : ± </w:t>
      </w:r>
      <w:r>
        <w:rPr>
          <w:rStyle w:val="optioncarChar"/>
        </w:rPr>
        <w:t>5 / 6 / 7 / ***</w:t>
      </w:r>
      <w:r>
        <w:rPr>
          <w:rStyle w:val="soitChar"/>
        </w:rPr>
        <w:t xml:space="preserve"> minutes</w:t>
      </w:r>
    </w:p>
    <w:p w14:paraId="35ED434E" w14:textId="77777777" w:rsidR="004B2808" w:rsidRDefault="00000000">
      <w:pPr>
        <w:pStyle w:val="Author-eListParagraph"/>
        <w:numPr>
          <w:ilvl w:val="0"/>
          <w:numId w:val="343"/>
        </w:numPr>
        <w:jc w:val="both"/>
      </w:pPr>
      <w:r>
        <w:rPr>
          <w:rStyle w:val="soitChar"/>
        </w:rPr>
        <w:t xml:space="preserve">Peut être coupé après : ± </w:t>
      </w:r>
      <w:r>
        <w:rPr>
          <w:rStyle w:val="optioncarChar"/>
        </w:rPr>
        <w:t>10 / 20 / 30 / 40 / 55 / ***</w:t>
      </w:r>
      <w:r>
        <w:rPr>
          <w:rStyle w:val="soitChar"/>
        </w:rPr>
        <w:t xml:space="preserve"> minutes</w:t>
      </w:r>
    </w:p>
    <w:p w14:paraId="6A3BDC01" w14:textId="77777777" w:rsidR="004B2808" w:rsidRDefault="00000000">
      <w:pPr>
        <w:pStyle w:val="Author-eListParagraph"/>
        <w:numPr>
          <w:ilvl w:val="0"/>
          <w:numId w:val="343"/>
        </w:numPr>
        <w:jc w:val="both"/>
      </w:pPr>
      <w:r>
        <w:rPr>
          <w:rStyle w:val="soitChar"/>
        </w:rPr>
        <w:t>Densité : ± </w:t>
      </w:r>
      <w:r>
        <w:rPr>
          <w:rStyle w:val="optioncarChar"/>
        </w:rPr>
        <w:t>20 / 25 / 27 / 30 / ***</w:t>
      </w:r>
      <w:r>
        <w:rPr>
          <w:rStyle w:val="soitChar"/>
        </w:rPr>
        <w:t xml:space="preserve"> kg/m³</w:t>
      </w:r>
    </w:p>
    <w:p w14:paraId="1573F5F2" w14:textId="77777777" w:rsidR="004B2808" w:rsidRDefault="00000000">
      <w:pPr>
        <w:pStyle w:val="Author-eListParagraph"/>
        <w:numPr>
          <w:ilvl w:val="0"/>
          <w:numId w:val="343"/>
        </w:numPr>
        <w:jc w:val="both"/>
      </w:pPr>
      <w:r>
        <w:rPr>
          <w:rStyle w:val="soitChar"/>
        </w:rPr>
        <w:lastRenderedPageBreak/>
        <w:t>Couleur après séchage :</w:t>
      </w:r>
      <w:r>
        <w:rPr>
          <w:rStyle w:val="optioncarChar"/>
        </w:rPr>
        <w:t> jaune / bleu / vert / ***</w:t>
      </w:r>
    </w:p>
    <w:p w14:paraId="1CAF07C1" w14:textId="77777777" w:rsidR="004B2808" w:rsidRDefault="00000000">
      <w:pPr>
        <w:pStyle w:val="Author-eListParagraph"/>
        <w:numPr>
          <w:ilvl w:val="0"/>
          <w:numId w:val="343"/>
        </w:numPr>
        <w:jc w:val="both"/>
      </w:pPr>
      <w:r>
        <w:rPr>
          <w:rStyle w:val="soitChar"/>
        </w:rPr>
        <w:t xml:space="preserve">Perméabilité à l'air : a &lt; </w:t>
      </w:r>
      <w:r>
        <w:rPr>
          <w:rStyle w:val="optioncarChar"/>
        </w:rPr>
        <w:t>0,1 / ***</w:t>
      </w:r>
      <w:r>
        <w:rPr>
          <w:rStyle w:val="soitChar"/>
        </w:rPr>
        <w:t xml:space="preserve"> m³/[h.m.(daPa)²/³], selon </w:t>
      </w:r>
      <w:r>
        <w:rPr>
          <w:rStyle w:val="optioncarChar"/>
        </w:rPr>
        <w:t>[DIN 18542] / ***</w:t>
      </w:r>
    </w:p>
    <w:p w14:paraId="01C92B7E" w14:textId="77777777" w:rsidR="004B2808" w:rsidRDefault="00000000">
      <w:pPr>
        <w:pStyle w:val="Author-eListParagraph"/>
        <w:numPr>
          <w:ilvl w:val="0"/>
          <w:numId w:val="343"/>
        </w:numPr>
        <w:jc w:val="both"/>
      </w:pPr>
      <w:r>
        <w:rPr>
          <w:rStyle w:val="soitChar"/>
        </w:rPr>
        <w:t xml:space="preserve">Résistance à la diffusion de la vapeur d’eau (µ) : ± </w:t>
      </w:r>
      <w:r>
        <w:rPr>
          <w:rStyle w:val="optioncarChar"/>
        </w:rPr>
        <w:t>20 / 30 / ***</w:t>
      </w:r>
      <w:r>
        <w:rPr>
          <w:rStyle w:val="soitChar"/>
        </w:rPr>
        <w:t>, selon [NBN EN 12086]</w:t>
      </w:r>
    </w:p>
    <w:p w14:paraId="1D9632FA" w14:textId="77777777" w:rsidR="004B2808" w:rsidRDefault="00000000">
      <w:pPr>
        <w:pStyle w:val="Author-eListParagraph"/>
        <w:numPr>
          <w:ilvl w:val="0"/>
          <w:numId w:val="343"/>
        </w:numPr>
        <w:jc w:val="both"/>
      </w:pPr>
      <w:r>
        <w:rPr>
          <w:rStyle w:val="soitChar"/>
        </w:rPr>
        <w:t xml:space="preserve">Isolation acoustique : ± </w:t>
      </w:r>
      <w:r>
        <w:rPr>
          <w:rStyle w:val="optioncarChar"/>
        </w:rPr>
        <w:t>59 / 60 / 61 / ***</w:t>
      </w:r>
      <w:r>
        <w:rPr>
          <w:rStyle w:val="soitChar"/>
        </w:rPr>
        <w:t xml:space="preserve"> dB, selon [NBN EN ISO 717-1]</w:t>
      </w:r>
    </w:p>
    <w:p w14:paraId="262E6F20" w14:textId="77777777" w:rsidR="004B2808" w:rsidRDefault="00000000">
      <w:pPr>
        <w:pStyle w:val="Author-eListParagraph"/>
        <w:numPr>
          <w:ilvl w:val="0"/>
          <w:numId w:val="343"/>
        </w:numPr>
        <w:jc w:val="both"/>
      </w:pPr>
      <w:r>
        <w:rPr>
          <w:rStyle w:val="soitChar"/>
        </w:rPr>
        <w:t xml:space="preserve">Conductivité thermique (λ) : ≤ </w:t>
      </w:r>
      <w:r>
        <w:rPr>
          <w:rStyle w:val="optioncarChar"/>
        </w:rPr>
        <w:t>0,033 / 0,034 / 0,035 / ***</w:t>
      </w:r>
      <w:r>
        <w:rPr>
          <w:rStyle w:val="soitChar"/>
        </w:rPr>
        <w:t xml:space="preserve"> W/m.K, selon [NBN EN 12667]</w:t>
      </w:r>
    </w:p>
    <w:p w14:paraId="5E69E1FC" w14:textId="77777777" w:rsidR="004B2808" w:rsidRDefault="00000000">
      <w:pPr>
        <w:pStyle w:val="Author-eListParagraph"/>
        <w:numPr>
          <w:ilvl w:val="0"/>
          <w:numId w:val="343"/>
        </w:numPr>
        <w:jc w:val="both"/>
      </w:pPr>
      <w:r>
        <w:rPr>
          <w:rStyle w:val="soitChar"/>
        </w:rPr>
        <w:t xml:space="preserve">Retrait après durcissement : &lt; </w:t>
      </w:r>
      <w:r>
        <w:rPr>
          <w:rStyle w:val="optioncarChar"/>
        </w:rPr>
        <w:t>5 / 8 / ***</w:t>
      </w:r>
      <w:r>
        <w:rPr>
          <w:rStyle w:val="soitChar"/>
        </w:rPr>
        <w:t xml:space="preserve"> %, selon [NBN EN 17333-2]</w:t>
      </w:r>
    </w:p>
    <w:p w14:paraId="1F0F65B4" w14:textId="77777777" w:rsidR="004B2808" w:rsidRDefault="00000000">
      <w:pPr>
        <w:pStyle w:val="Author-eListParagraph"/>
        <w:numPr>
          <w:ilvl w:val="0"/>
          <w:numId w:val="343"/>
        </w:numPr>
        <w:jc w:val="both"/>
      </w:pPr>
      <w:r>
        <w:rPr>
          <w:rStyle w:val="soitChar"/>
        </w:rPr>
        <w:t>Expansion après durcissement : &lt; </w:t>
      </w:r>
      <w:r>
        <w:rPr>
          <w:rStyle w:val="optioncarChar"/>
        </w:rPr>
        <w:t>5 / 8 / ***</w:t>
      </w:r>
      <w:r>
        <w:rPr>
          <w:rStyle w:val="soitChar"/>
        </w:rPr>
        <w:t xml:space="preserve"> %, selon [NBN EN 17333-2]</w:t>
      </w:r>
    </w:p>
    <w:p w14:paraId="2CBD661C" w14:textId="77777777" w:rsidR="004B2808" w:rsidRDefault="00000000">
      <w:pPr>
        <w:pStyle w:val="Author-eListParagraph"/>
        <w:numPr>
          <w:ilvl w:val="0"/>
          <w:numId w:val="343"/>
        </w:numPr>
        <w:jc w:val="both"/>
      </w:pPr>
      <w:r>
        <w:rPr>
          <w:rStyle w:val="optioncarChar"/>
        </w:rPr>
        <w:t>***</w:t>
      </w:r>
    </w:p>
    <w:p w14:paraId="79031117" w14:textId="77777777" w:rsidR="004B2808" w:rsidRDefault="00000000">
      <w:pPr>
        <w:pStyle w:val="pheading"/>
      </w:pPr>
      <w:r>
        <w:t>MESURAGE</w:t>
      </w:r>
    </w:p>
    <w:p w14:paraId="05B3A628" w14:textId="77777777" w:rsidR="004B2808" w:rsidRDefault="00000000">
      <w:pPr>
        <w:pStyle w:val="pheading"/>
      </w:pPr>
      <w:r>
        <w:t>- unité de mesure:</w:t>
      </w:r>
    </w:p>
    <w:p w14:paraId="57F9F750" w14:textId="77777777" w:rsidR="004B2808" w:rsidRDefault="00000000">
      <w:r>
        <w:rPr>
          <w:rStyle w:val="optioncarChar"/>
        </w:rPr>
        <w:t xml:space="preserve">m </w:t>
      </w:r>
      <w:r>
        <w:t xml:space="preserve">(par défaut) </w:t>
      </w:r>
      <w:r>
        <w:rPr>
          <w:rStyle w:val="optioncarChar"/>
        </w:rPr>
        <w:t>/ fft / -</w:t>
      </w:r>
    </w:p>
    <w:p w14:paraId="2B91AD67" w14:textId="77777777" w:rsidR="004B2808" w:rsidRDefault="00000000">
      <w:r>
        <w:rPr>
          <w:b/>
        </w:rPr>
        <w:t>(soit par défaut)</w:t>
      </w:r>
      <w:r>
        <w:br/>
      </w:r>
      <w:r>
        <w:rPr>
          <w:rStyle w:val="soitChar"/>
        </w:rPr>
        <w:t>1. 2. m</w:t>
      </w:r>
      <w:r>
        <w:br/>
      </w:r>
      <w:r>
        <w:rPr>
          <w:b/>
        </w:rPr>
        <w:t>(soit)</w:t>
      </w:r>
      <w:r>
        <w:br/>
      </w:r>
      <w:r>
        <w:rPr>
          <w:rStyle w:val="soitChar"/>
        </w:rPr>
        <w:t>3. fft</w:t>
      </w:r>
      <w:r>
        <w:br/>
      </w:r>
      <w:r>
        <w:rPr>
          <w:b/>
        </w:rPr>
        <w:t>(soit)</w:t>
      </w:r>
      <w:r>
        <w:br/>
      </w:r>
      <w:r>
        <w:rPr>
          <w:rStyle w:val="soitChar"/>
        </w:rPr>
        <w:t>4. -</w:t>
      </w:r>
    </w:p>
    <w:p w14:paraId="0EB60D21" w14:textId="77777777" w:rsidR="004B2808" w:rsidRDefault="00000000">
      <w:pPr>
        <w:pStyle w:val="pheading"/>
      </w:pPr>
      <w:r>
        <w:t>- code de mesurage:</w:t>
      </w:r>
    </w:p>
    <w:p w14:paraId="7922741D" w14:textId="77777777" w:rsidR="004B2808" w:rsidRDefault="00000000">
      <w:pPr>
        <w:jc w:val="both"/>
      </w:pPr>
      <w:r>
        <w:rPr>
          <w:rStyle w:val="optioncarChar"/>
        </w:rPr>
        <w:t>Longueur nette</w:t>
      </w:r>
      <w:r>
        <w:t xml:space="preserve"> (par défaut)</w:t>
      </w:r>
      <w:r>
        <w:rPr>
          <w:rStyle w:val="optioncarChar"/>
        </w:rPr>
        <w:t xml:space="preserve"> / Pour l'ensemble des prestations à réaliser / Compris</w:t>
      </w:r>
    </w:p>
    <w:p w14:paraId="39CD8787" w14:textId="77777777" w:rsidR="004B2808" w:rsidRDefault="00000000">
      <w:pPr>
        <w:jc w:val="both"/>
      </w:pPr>
      <w:r>
        <w:rPr>
          <w:b/>
        </w:rPr>
        <w:t>(soit par défaut)</w:t>
      </w:r>
    </w:p>
    <w:p w14:paraId="1CD51DC9" w14:textId="77777777" w:rsidR="004B2808" w:rsidRDefault="00000000">
      <w:pPr>
        <w:jc w:val="both"/>
      </w:pPr>
      <w:r>
        <w:rPr>
          <w:rStyle w:val="soitChar"/>
        </w:rPr>
        <w:t>1. 2. </w:t>
      </w:r>
      <w:r>
        <w:rPr>
          <w:rStyle w:val="soitChar"/>
          <w:u w:val="single"/>
        </w:rPr>
        <w:t>Longueur nette :</w:t>
      </w:r>
    </w:p>
    <w:p w14:paraId="36E47665" w14:textId="77777777" w:rsidR="004B2808" w:rsidRDefault="00000000">
      <w:pPr>
        <w:jc w:val="both"/>
      </w:pPr>
      <w:r>
        <w:rPr>
          <w:rStyle w:val="soitChar"/>
        </w:rPr>
        <w:t xml:space="preserve">Selon les dimensions : </w:t>
      </w:r>
      <w:r>
        <w:rPr>
          <w:rStyle w:val="optioncarChar"/>
        </w:rPr>
        <w:t>indiquées aux plans</w:t>
      </w:r>
      <w:r>
        <w:t xml:space="preserve"> (par défaut) </w:t>
      </w:r>
      <w:r>
        <w:rPr>
          <w:rStyle w:val="optioncarChar"/>
        </w:rPr>
        <w:t>/ ***.</w:t>
      </w:r>
    </w:p>
    <w:p w14:paraId="759EDA61" w14:textId="77777777" w:rsidR="004B2808" w:rsidRDefault="00000000">
      <w:pPr>
        <w:jc w:val="both"/>
      </w:pPr>
      <w:r>
        <w:rPr>
          <w:rStyle w:val="soitChar"/>
        </w:rPr>
        <w:t>Eventuellement scindée dans différents postes selon le type de traitement, la localisation, …</w:t>
      </w:r>
    </w:p>
    <w:p w14:paraId="6A2CA556" w14:textId="77777777" w:rsidR="004B2808" w:rsidRDefault="00000000">
      <w:pPr>
        <w:jc w:val="both"/>
      </w:pPr>
      <w:r>
        <w:rPr>
          <w:b/>
        </w:rPr>
        <w:t>(soit)</w:t>
      </w:r>
    </w:p>
    <w:p w14:paraId="4DCFB5E0" w14:textId="77777777" w:rsidR="004B2808" w:rsidRDefault="00000000">
      <w:pPr>
        <w:jc w:val="both"/>
      </w:pPr>
      <w:r>
        <w:rPr>
          <w:rStyle w:val="soitChar"/>
        </w:rPr>
        <w:t xml:space="preserve">3. </w:t>
      </w:r>
      <w:r>
        <w:rPr>
          <w:rStyle w:val="soitChar"/>
          <w:u w:val="single"/>
        </w:rPr>
        <w:t>Pour l’ensemble des prestations à réaliser :</w:t>
      </w:r>
    </w:p>
    <w:p w14:paraId="34811FDA" w14:textId="77777777" w:rsidR="004B2808" w:rsidRDefault="00000000">
      <w:pPr>
        <w:jc w:val="both"/>
      </w:pPr>
      <w:r>
        <w:rPr>
          <w:rStyle w:val="soitChar"/>
        </w:rPr>
        <w:t>Le prix unitaire comprend toutes les prestations nécessaires pour l’exécution de l’ensemble.</w:t>
      </w:r>
    </w:p>
    <w:p w14:paraId="58AFC0FD" w14:textId="77777777" w:rsidR="004B2808" w:rsidRDefault="00000000">
      <w:pPr>
        <w:jc w:val="both"/>
      </w:pPr>
      <w:r>
        <w:rPr>
          <w:rStyle w:val="soitChar"/>
        </w:rPr>
        <w:t>Eventuellement scindé dans différents postes selon le type de traitement, la localisation, …</w:t>
      </w:r>
    </w:p>
    <w:p w14:paraId="698B9F19" w14:textId="77777777" w:rsidR="004B2808" w:rsidRDefault="00000000">
      <w:pPr>
        <w:jc w:val="both"/>
      </w:pPr>
      <w:r>
        <w:rPr>
          <w:b/>
        </w:rPr>
        <w:t>(soit)</w:t>
      </w:r>
    </w:p>
    <w:p w14:paraId="2C635F38" w14:textId="77777777" w:rsidR="004B2808" w:rsidRDefault="00000000">
      <w:pPr>
        <w:jc w:val="both"/>
      </w:pPr>
      <w:r>
        <w:rPr>
          <w:rStyle w:val="soitChar"/>
        </w:rPr>
        <w:t>4. Compris :</w:t>
      </w:r>
    </w:p>
    <w:p w14:paraId="7B48B8B6" w14:textId="77777777" w:rsidR="004B2808" w:rsidRDefault="00000000">
      <w:pPr>
        <w:jc w:val="both"/>
      </w:pPr>
      <w:r>
        <w:rPr>
          <w:rStyle w:val="soitChar"/>
        </w:rPr>
        <w:t xml:space="preserve">Tous les frais liés à ces prestations sont </w:t>
      </w:r>
      <w:r>
        <w:rPr>
          <w:rStyle w:val="optioncarChar"/>
        </w:rPr>
        <w:t>compris et répartis dans la totalité de l'entreprise</w:t>
      </w:r>
      <w:r>
        <w:t xml:space="preserve"> (par défaut)</w:t>
      </w:r>
      <w:r>
        <w:rPr>
          <w:rStyle w:val="optioncarChar"/>
        </w:rPr>
        <w:t xml:space="preserve"> / compris dans le prix des articles ***.</w:t>
      </w:r>
    </w:p>
    <w:p w14:paraId="2FE3285C" w14:textId="77777777" w:rsidR="004B2808" w:rsidRDefault="00000000">
      <w:pPr>
        <w:pStyle w:val="pheading"/>
      </w:pPr>
      <w:r>
        <w:t>- nature du marché:</w:t>
      </w:r>
    </w:p>
    <w:p w14:paraId="38903035" w14:textId="77777777" w:rsidR="004B2808" w:rsidRDefault="00000000">
      <w:r>
        <w:rPr>
          <w:rStyle w:val="optioncarChar"/>
        </w:rPr>
        <w:t xml:space="preserve">QF </w:t>
      </w:r>
      <w:r>
        <w:t xml:space="preserve">(par défaut) </w:t>
      </w:r>
      <w:r>
        <w:rPr>
          <w:rStyle w:val="optioncarChar"/>
        </w:rPr>
        <w:t>/ QP / PG / PM</w:t>
      </w:r>
    </w:p>
    <w:p w14:paraId="0E96327B" w14:textId="77777777" w:rsidR="004B2808" w:rsidRDefault="00000000">
      <w:r>
        <w:rPr>
          <w:b/>
        </w:rPr>
        <w:t>(soit par défaut)</w:t>
      </w:r>
      <w:r>
        <w:br/>
      </w:r>
      <w:r>
        <w:rPr>
          <w:rStyle w:val="soitChar"/>
        </w:rPr>
        <w:t>1. QF</w:t>
      </w:r>
      <w:r>
        <w:br/>
      </w:r>
      <w:r>
        <w:rPr>
          <w:b/>
        </w:rPr>
        <w:t>(soit)</w:t>
      </w:r>
      <w:r>
        <w:br/>
      </w:r>
      <w:r>
        <w:rPr>
          <w:rStyle w:val="soitChar"/>
        </w:rPr>
        <w:t>2. QP</w:t>
      </w:r>
      <w:r>
        <w:br/>
      </w:r>
      <w:r>
        <w:rPr>
          <w:b/>
        </w:rPr>
        <w:t>(soit)</w:t>
      </w:r>
      <w:r>
        <w:br/>
      </w:r>
      <w:r>
        <w:rPr>
          <w:rStyle w:val="soitChar"/>
        </w:rPr>
        <w:t>3. PG</w:t>
      </w:r>
      <w:r>
        <w:br/>
      </w:r>
      <w:r>
        <w:rPr>
          <w:b/>
        </w:rPr>
        <w:t>(soit)</w:t>
      </w:r>
      <w:r>
        <w:br/>
      </w:r>
      <w:r>
        <w:rPr>
          <w:rStyle w:val="soitChar"/>
        </w:rPr>
        <w:t>4. PM</w:t>
      </w:r>
    </w:p>
    <w:p w14:paraId="331B4844" w14:textId="77777777" w:rsidR="004B2808" w:rsidRDefault="00000000">
      <w:pPr>
        <w:pStyle w:val="Author-eSectionHeading4Numberless"/>
      </w:pPr>
      <w:bookmarkStart w:id="363" w:name="_Toc220490543"/>
      <w:r>
        <w:t>52.23 Manchons et autres éléments de raccord pour l'étanchéité à l'air CCTB 01.11</w:t>
      </w:r>
      <w:bookmarkEnd w:id="363"/>
    </w:p>
    <w:p w14:paraId="38B0194B" w14:textId="77777777" w:rsidR="004B2808" w:rsidRDefault="00000000">
      <w:pPr>
        <w:pStyle w:val="pheading"/>
      </w:pPr>
      <w:r>
        <w:t>DESCRIPTION</w:t>
      </w:r>
    </w:p>
    <w:p w14:paraId="56C71BC0" w14:textId="77777777" w:rsidR="004B2808" w:rsidRDefault="00000000">
      <w:pPr>
        <w:pStyle w:val="pheading"/>
      </w:pPr>
      <w:r>
        <w:lastRenderedPageBreak/>
        <w:t>- Définition / Comprend</w:t>
      </w:r>
    </w:p>
    <w:p w14:paraId="2F8075DC" w14:textId="77777777" w:rsidR="004B2808" w:rsidRDefault="00000000">
      <w:pPr>
        <w:jc w:val="both"/>
      </w:pPr>
      <w:r>
        <w:t>Ce poste comprend :</w:t>
      </w:r>
    </w:p>
    <w:p w14:paraId="6E363BFB" w14:textId="77777777" w:rsidR="004B2808" w:rsidRDefault="00000000">
      <w:pPr>
        <w:pStyle w:val="Author-eListParagraph"/>
        <w:numPr>
          <w:ilvl w:val="0"/>
          <w:numId w:val="344"/>
        </w:numPr>
      </w:pPr>
      <w:r>
        <w:t>la préparation des travaux et l'installation des échafaudages,</w:t>
      </w:r>
    </w:p>
    <w:p w14:paraId="31A7FBD4" w14:textId="77777777" w:rsidR="004B2808" w:rsidRDefault="00000000">
      <w:pPr>
        <w:pStyle w:val="Author-eListParagraph"/>
        <w:numPr>
          <w:ilvl w:val="0"/>
          <w:numId w:val="344"/>
        </w:numPr>
      </w:pPr>
      <w:r>
        <w:t>la préparation, le nettoyage et le contrôle de l'aire de pose;</w:t>
      </w:r>
    </w:p>
    <w:p w14:paraId="1474C05F" w14:textId="77777777" w:rsidR="004B2808" w:rsidRDefault="00000000">
      <w:pPr>
        <w:pStyle w:val="Author-eListParagraph"/>
        <w:numPr>
          <w:ilvl w:val="0"/>
          <w:numId w:val="344"/>
        </w:numPr>
      </w:pPr>
      <w:r>
        <w:t>la fourniture et la mise en œuvre des manchons et/ou autres éléments de raccord;</w:t>
      </w:r>
    </w:p>
    <w:p w14:paraId="5E04B382" w14:textId="77777777" w:rsidR="004B2808" w:rsidRDefault="00000000">
      <w:pPr>
        <w:pStyle w:val="Author-eListParagraph"/>
        <w:numPr>
          <w:ilvl w:val="0"/>
          <w:numId w:val="344"/>
        </w:numPr>
      </w:pPr>
      <w:r>
        <w:t>la fourniture et la pose des adhésifs et/ou colles nécessaires à la réalisation d’une parfaite étanchéité à l’air ;</w:t>
      </w:r>
    </w:p>
    <w:p w14:paraId="75676880" w14:textId="77777777" w:rsidR="004B2808" w:rsidRDefault="00000000">
      <w:pPr>
        <w:pStyle w:val="Author-eListParagraph"/>
        <w:numPr>
          <w:ilvl w:val="0"/>
          <w:numId w:val="344"/>
        </w:numPr>
      </w:pPr>
      <w:r>
        <w:t>le nettoyage immédiat des taches à l’aide de produits adéquats ;</w:t>
      </w:r>
    </w:p>
    <w:p w14:paraId="1B20F462" w14:textId="77777777" w:rsidR="004B2808" w:rsidRDefault="00000000">
      <w:pPr>
        <w:pStyle w:val="Author-eListParagraph"/>
        <w:numPr>
          <w:ilvl w:val="0"/>
          <w:numId w:val="344"/>
        </w:numPr>
      </w:pPr>
      <w:r>
        <w:t>les éventuelles mesures de protection provisoires ;</w:t>
      </w:r>
    </w:p>
    <w:p w14:paraId="5A4C0D12" w14:textId="77777777" w:rsidR="004B2808" w:rsidRDefault="00000000">
      <w:pPr>
        <w:pStyle w:val="Author-eListParagraph"/>
        <w:numPr>
          <w:ilvl w:val="0"/>
          <w:numId w:val="344"/>
        </w:numPr>
      </w:pPr>
      <w:r>
        <w:t>l’enlèvement des protections et des échafaudages ;</w:t>
      </w:r>
    </w:p>
    <w:p w14:paraId="329E5198" w14:textId="77777777" w:rsidR="004B2808" w:rsidRDefault="00000000">
      <w:pPr>
        <w:pStyle w:val="Author-eListParagraph"/>
        <w:numPr>
          <w:ilvl w:val="0"/>
          <w:numId w:val="344"/>
        </w:numPr>
      </w:pPr>
      <w:r>
        <w:t>l’évacuation des déchets et le nettoyage du chantier.</w:t>
      </w:r>
    </w:p>
    <w:p w14:paraId="7EACF6D4" w14:textId="77777777" w:rsidR="004B2808" w:rsidRDefault="00000000">
      <w:pPr>
        <w:jc w:val="both"/>
      </w:pPr>
      <w:r>
        <w:t>Voir également le titre 32.2 Etanchéisation aux matières gazeuses et à l'ensemble des éléments qui en découlent.</w:t>
      </w:r>
    </w:p>
    <w:p w14:paraId="4C860F36" w14:textId="77777777" w:rsidR="004B2808" w:rsidRDefault="00000000">
      <w:pPr>
        <w:pStyle w:val="pheading"/>
      </w:pPr>
      <w:r>
        <w:t>- Remarques importantes</w:t>
      </w:r>
    </w:p>
    <w:p w14:paraId="4E026F8C" w14:textId="77777777" w:rsidR="004B2808" w:rsidRDefault="00000000">
      <w:pPr>
        <w:jc w:val="both"/>
      </w:pPr>
      <w:r>
        <w:rPr>
          <w:b/>
        </w:rPr>
        <w:t>Prescriptions en matière de précautions et de sécurité</w:t>
      </w:r>
    </w:p>
    <w:p w14:paraId="4E7E1B09" w14:textId="77777777" w:rsidR="004B2808" w:rsidRDefault="00000000">
      <w:pPr>
        <w:pStyle w:val="Author-eListParagraph"/>
        <w:numPr>
          <w:ilvl w:val="0"/>
          <w:numId w:val="345"/>
        </w:numPr>
      </w:pPr>
      <w:r>
        <w:t>Conformément à l'élément 04.4 Mesures de protection, établie par le coordinateur-projet et annexée au cahier spécial des charges, toutes les directives en la matière et les indications concrètes données par le coordinateur-réalisation sont scrupuleusement respectées.</w:t>
      </w:r>
    </w:p>
    <w:p w14:paraId="56E0058E" w14:textId="77777777" w:rsidR="004B2808" w:rsidRDefault="00000000">
      <w:pPr>
        <w:pStyle w:val="Author-eListParagraph"/>
        <w:numPr>
          <w:ilvl w:val="0"/>
          <w:numId w:val="345"/>
        </w:numPr>
      </w:pPr>
      <w:r>
        <w:t>À défaut d'un plan de sécurité et de santé joint au dossier d'adjudication, l'entrepreneur suit les instructions qui lui sont données par le maître de l’ouvrage et/ou le coordinateur-réalisation.  </w:t>
      </w:r>
    </w:p>
    <w:p w14:paraId="6B41F7E4" w14:textId="77777777" w:rsidR="004B2808" w:rsidRDefault="00000000">
      <w:pPr>
        <w:jc w:val="both"/>
      </w:pPr>
      <w:r>
        <w:rPr>
          <w:b/>
        </w:rPr>
        <w:t>Prescriptions en matière de protection incendie</w:t>
      </w:r>
    </w:p>
    <w:p w14:paraId="5CCFE7D4" w14:textId="77777777" w:rsidR="004B2808" w:rsidRDefault="00000000">
      <w:pPr>
        <w:pStyle w:val="Author-eListParagraph"/>
        <w:numPr>
          <w:ilvl w:val="0"/>
          <w:numId w:val="346"/>
        </w:numPr>
      </w:pPr>
      <w:r>
        <w:t>Toutes  les  conduites qui traversent un élément de construction (sol, mur ou plafond)  devant répondre à la fois aux exigences d’étanchéité à l’air et aux exigences de résistance au feu doivent être posées de façon à ne pas altérer la résistance au feu de l’élément de construction traversé. Dans ce cas, des manchons résistants au feu (RF) ou tous autres systèmes doivent être prévus en plus des manchons d’étanchéité à l’air. Voir également [NIT 254].</w:t>
      </w:r>
    </w:p>
    <w:p w14:paraId="2EFD8F8D" w14:textId="77777777" w:rsidR="004B2808" w:rsidRDefault="00000000">
      <w:pPr>
        <w:pStyle w:val="Author-eListParagraph"/>
        <w:numPr>
          <w:ilvl w:val="0"/>
          <w:numId w:val="346"/>
        </w:numPr>
      </w:pPr>
      <w:r>
        <w:t>Ces systèmes RF ne sont pas prévus dans le présent article. Voir les articles concernés pour les parois devant présenter une résistance au feu.</w:t>
      </w:r>
    </w:p>
    <w:p w14:paraId="5078DE67" w14:textId="77777777" w:rsidR="004B2808" w:rsidRDefault="00000000">
      <w:pPr>
        <w:pStyle w:val="pheading"/>
      </w:pPr>
      <w:r>
        <w:t>MATÉRIAUX</w:t>
      </w:r>
    </w:p>
    <w:p w14:paraId="47F8E883" w14:textId="77777777" w:rsidR="004B2808" w:rsidRDefault="00000000">
      <w:pPr>
        <w:jc w:val="both"/>
      </w:pPr>
      <w:r>
        <w:rPr>
          <w:b/>
        </w:rPr>
        <w:t>Manchons</w:t>
      </w:r>
    </w:p>
    <w:p w14:paraId="32FCD44A" w14:textId="77777777" w:rsidR="004B2808" w:rsidRDefault="00000000">
      <w:pPr>
        <w:jc w:val="both"/>
      </w:pPr>
      <w:r>
        <w:rPr>
          <w:i/>
        </w:rPr>
        <w:t>Caractéristiques :</w:t>
      </w:r>
    </w:p>
    <w:p w14:paraId="2868E789" w14:textId="77777777" w:rsidR="004B2808" w:rsidRDefault="00000000">
      <w:pPr>
        <w:pStyle w:val="Author-eListParagraph"/>
        <w:numPr>
          <w:ilvl w:val="0"/>
          <w:numId w:val="347"/>
        </w:numPr>
      </w:pPr>
      <w:r>
        <w:t xml:space="preserve">Matériau : </w:t>
      </w:r>
      <w:r>
        <w:rPr>
          <w:rStyle w:val="optioncarChar"/>
        </w:rPr>
        <w:t>EPDM</w:t>
      </w:r>
      <w:r>
        <w:t xml:space="preserve"> (par défaut) </w:t>
      </w:r>
      <w:r>
        <w:rPr>
          <w:rStyle w:val="optioncarChar"/>
        </w:rPr>
        <w:t>/ ***.</w:t>
      </w:r>
    </w:p>
    <w:p w14:paraId="5B8745A4" w14:textId="77777777" w:rsidR="004B2808" w:rsidRDefault="00000000">
      <w:pPr>
        <w:pStyle w:val="Author-eListParagraph"/>
        <w:numPr>
          <w:ilvl w:val="0"/>
          <w:numId w:val="347"/>
        </w:numPr>
      </w:pPr>
      <w:r>
        <w:t xml:space="preserve">Résistance à la température à long terme : </w:t>
      </w:r>
      <w:r>
        <w:rPr>
          <w:rStyle w:val="optioncarChar"/>
        </w:rPr>
        <w:t>-40°C à +120°C</w:t>
      </w:r>
      <w:r>
        <w:t xml:space="preserve"> (par défaut) </w:t>
      </w:r>
      <w:r>
        <w:rPr>
          <w:rStyle w:val="optioncarChar"/>
        </w:rPr>
        <w:t>/ ***.</w:t>
      </w:r>
    </w:p>
    <w:p w14:paraId="6F877A5E" w14:textId="77777777" w:rsidR="004B2808" w:rsidRDefault="00000000">
      <w:pPr>
        <w:jc w:val="both"/>
      </w:pPr>
      <w:r>
        <w:t>Voir également chapitre 32.24.1 Manchons et articles qui en découlent.</w:t>
      </w:r>
    </w:p>
    <w:p w14:paraId="3B6E6787" w14:textId="77777777" w:rsidR="004B2808" w:rsidRDefault="00000000">
      <w:pPr>
        <w:jc w:val="both"/>
      </w:pPr>
      <w:r>
        <w:rPr>
          <w:b/>
        </w:rPr>
        <w:t>Bandes et rubans</w:t>
      </w:r>
    </w:p>
    <w:p w14:paraId="158677CB" w14:textId="77777777" w:rsidR="004B2808" w:rsidRDefault="00000000">
      <w:pPr>
        <w:jc w:val="both"/>
      </w:pPr>
      <w:r>
        <w:t>Voir chapitre 32.23.1 Bandes et rubans et articles qui en découlent.</w:t>
      </w:r>
    </w:p>
    <w:p w14:paraId="62AE60BD" w14:textId="77777777" w:rsidR="004B2808" w:rsidRDefault="00000000">
      <w:pPr>
        <w:jc w:val="both"/>
      </w:pPr>
      <w:r>
        <w:rPr>
          <w:b/>
        </w:rPr>
        <w:t>Fond pour boitier</w:t>
      </w:r>
    </w:p>
    <w:p w14:paraId="56C22320" w14:textId="77777777" w:rsidR="004B2808" w:rsidRDefault="00000000">
      <w:pPr>
        <w:jc w:val="both"/>
      </w:pPr>
      <w:r>
        <w:rPr>
          <w:i/>
        </w:rPr>
        <w:t>Caractéristiques :</w:t>
      </w:r>
    </w:p>
    <w:p w14:paraId="70CA751D" w14:textId="77777777" w:rsidR="004B2808" w:rsidRDefault="00000000">
      <w:pPr>
        <w:pStyle w:val="Author-eListParagraph"/>
        <w:numPr>
          <w:ilvl w:val="0"/>
          <w:numId w:val="348"/>
        </w:numPr>
      </w:pPr>
      <w:r>
        <w:t>Matériau :</w:t>
      </w:r>
      <w:r>
        <w:rPr>
          <w:rStyle w:val="optioncarChar"/>
        </w:rPr>
        <w:t xml:space="preserve"> polyéthylène flexible et extensible</w:t>
      </w:r>
      <w:r>
        <w:t xml:space="preserve"> (par défaut) </w:t>
      </w:r>
      <w:r>
        <w:rPr>
          <w:rStyle w:val="optioncarChar"/>
        </w:rPr>
        <w:t>/ ***</w:t>
      </w:r>
      <w:r>
        <w:t>.</w:t>
      </w:r>
    </w:p>
    <w:p w14:paraId="21FBC85B" w14:textId="77777777" w:rsidR="004B2808" w:rsidRDefault="00000000">
      <w:pPr>
        <w:pStyle w:val="Author-eListParagraph"/>
        <w:numPr>
          <w:ilvl w:val="0"/>
          <w:numId w:val="348"/>
        </w:numPr>
      </w:pPr>
      <w:r>
        <w:t xml:space="preserve">Classe au feu : minimum </w:t>
      </w:r>
      <w:r>
        <w:rPr>
          <w:rStyle w:val="optioncarChar"/>
        </w:rPr>
        <w:t>B2</w:t>
      </w:r>
      <w:r>
        <w:t xml:space="preserve"> (par défaut) </w:t>
      </w:r>
      <w:r>
        <w:rPr>
          <w:rStyle w:val="optioncarChar"/>
        </w:rPr>
        <w:t>/ ***</w:t>
      </w:r>
      <w:r>
        <w:t>.</w:t>
      </w:r>
    </w:p>
    <w:p w14:paraId="53421769" w14:textId="77777777" w:rsidR="004B2808" w:rsidRDefault="00000000">
      <w:pPr>
        <w:pStyle w:val="Author-eListParagraph"/>
        <w:numPr>
          <w:ilvl w:val="0"/>
          <w:numId w:val="348"/>
        </w:numPr>
      </w:pPr>
      <w:r>
        <w:t xml:space="preserve">Résistance à la température: </w:t>
      </w:r>
      <w:r>
        <w:rPr>
          <w:rStyle w:val="optioncarChar"/>
        </w:rPr>
        <w:t>-10°C à +80°C</w:t>
      </w:r>
      <w:r>
        <w:t xml:space="preserve"> (par défaut)</w:t>
      </w:r>
      <w:r>
        <w:rPr>
          <w:rStyle w:val="optioncarChar"/>
        </w:rPr>
        <w:t xml:space="preserve"> / ***.</w:t>
      </w:r>
    </w:p>
    <w:p w14:paraId="2988F482" w14:textId="77777777" w:rsidR="004B2808" w:rsidRDefault="00000000">
      <w:pPr>
        <w:pStyle w:val="pheading"/>
      </w:pPr>
      <w:r>
        <w:t>EXÉCUTION / MISE EN ŒUVRE</w:t>
      </w:r>
    </w:p>
    <w:p w14:paraId="0618DF25" w14:textId="77777777" w:rsidR="004B2808" w:rsidRDefault="00000000">
      <w:pPr>
        <w:jc w:val="both"/>
      </w:pPr>
      <w:r>
        <w:t>Le terme « manchon » utilisé ci-après est générique et couvre également le cas des boitiers et autres éléments de raccord.</w:t>
      </w:r>
    </w:p>
    <w:p w14:paraId="03353F99" w14:textId="77777777" w:rsidR="004B2808" w:rsidRDefault="00000000">
      <w:pPr>
        <w:jc w:val="both"/>
      </w:pPr>
      <w:r>
        <w:lastRenderedPageBreak/>
        <w:t>L’entrepreneur choisit les manchons d’étanchement aux mesures adéquates pour le passage des câbles et/ou des conduits. </w:t>
      </w:r>
    </w:p>
    <w:p w14:paraId="2CD58A0E" w14:textId="77777777" w:rsidR="004B2808" w:rsidRDefault="00000000">
      <w:pPr>
        <w:jc w:val="both"/>
      </w:pPr>
      <w:r>
        <w:t>Tous les supports doivent être secs et libres de poussière, de graisses et de silicones.</w:t>
      </w:r>
    </w:p>
    <w:p w14:paraId="171DFAC8" w14:textId="77777777" w:rsidR="004B2808" w:rsidRDefault="00000000">
      <w:pPr>
        <w:jc w:val="both"/>
      </w:pPr>
      <w:r>
        <w:t>Type de pose des manchons :  </w:t>
      </w:r>
      <w:r>
        <w:rPr>
          <w:rStyle w:val="optioncarChar"/>
        </w:rPr>
        <w:t>collés sur une membrane étanche à l’air / intégrés à une paroi plâtrée</w:t>
      </w:r>
      <w:r>
        <w:t>.</w:t>
      </w:r>
    </w:p>
    <w:p w14:paraId="742A7DE8" w14:textId="77777777" w:rsidR="004B2808" w:rsidRDefault="00000000">
      <w:pPr>
        <w:pStyle w:val="Author-eListParagraph"/>
        <w:numPr>
          <w:ilvl w:val="0"/>
          <w:numId w:val="349"/>
        </w:numPr>
      </w:pPr>
      <w:r>
        <w:t xml:space="preserve">Pour les manchons collés sur les membranes étanche à l'air: manchons </w:t>
      </w:r>
      <w:r>
        <w:rPr>
          <w:rStyle w:val="optioncarChar"/>
        </w:rPr>
        <w:t>à ruban adhésif intégré / à ruban adhésif appliqués</w:t>
      </w:r>
      <w:r>
        <w:t xml:space="preserve"> (par défaut) </w:t>
      </w:r>
      <w:r>
        <w:rPr>
          <w:rStyle w:val="optioncarChar"/>
        </w:rPr>
        <w:t>/ collés</w:t>
      </w:r>
      <w:r>
        <w:t>.</w:t>
      </w:r>
    </w:p>
    <w:p w14:paraId="1D2D106A" w14:textId="77777777" w:rsidR="004B2808" w:rsidRDefault="00000000">
      <w:pPr>
        <w:pStyle w:val="Author-eListParagraph"/>
        <w:numPr>
          <w:ilvl w:val="0"/>
          <w:numId w:val="349"/>
        </w:numPr>
      </w:pPr>
      <w:r>
        <w:t xml:space="preserve">Pour les manchons intégrés à une paroi plâtrée, connexion au plafonnage : </w:t>
      </w:r>
      <w:r>
        <w:rPr>
          <w:rStyle w:val="optioncarChar"/>
        </w:rPr>
        <w:t>plâtré</w:t>
      </w:r>
      <w:r>
        <w:t xml:space="preserve"> (par défaut) </w:t>
      </w:r>
      <w:r>
        <w:rPr>
          <w:rStyle w:val="optioncarChar"/>
        </w:rPr>
        <w:t>/ collé sur le plafonnage</w:t>
      </w:r>
      <w:r>
        <w:t>.</w:t>
      </w:r>
    </w:p>
    <w:p w14:paraId="64DB71F8" w14:textId="77777777" w:rsidR="004B2808" w:rsidRDefault="00000000">
      <w:pPr>
        <w:jc w:val="both"/>
      </w:pPr>
      <w:r>
        <w:rPr>
          <w:b/>
          <w:u w:val="single"/>
        </w:rPr>
        <w:t>Manchons collés sur une membrane étanche à l’air</w:t>
      </w:r>
    </w:p>
    <w:p w14:paraId="51B03187" w14:textId="77777777" w:rsidR="004B2808" w:rsidRDefault="00000000">
      <w:pPr>
        <w:jc w:val="both"/>
      </w:pPr>
      <w:r>
        <w:t>Pour les manchons devant être collés sur des membrane d’étanchéité à l’air ou pare-vapeur ou parois brutes. </w:t>
      </w:r>
    </w:p>
    <w:p w14:paraId="6F68DA3D" w14:textId="77777777" w:rsidR="004B2808" w:rsidRDefault="00000000">
      <w:pPr>
        <w:ind w:left="567"/>
        <w:jc w:val="both"/>
      </w:pPr>
      <w:r>
        <w:rPr>
          <w:b/>
        </w:rPr>
        <w:t>(Soit par défaut)</w:t>
      </w:r>
    </w:p>
    <w:p w14:paraId="248939F7" w14:textId="77777777" w:rsidR="004B2808" w:rsidRDefault="00000000">
      <w:pPr>
        <w:ind w:left="567"/>
        <w:jc w:val="both"/>
      </w:pPr>
      <w:r>
        <w:rPr>
          <w:rStyle w:val="soitChar"/>
          <w:u w:val="single"/>
        </w:rPr>
        <w:t>Manchons à ruban adhésif appliqué:</w:t>
      </w:r>
    </w:p>
    <w:p w14:paraId="3F819079" w14:textId="77777777" w:rsidR="004B2808" w:rsidRDefault="00000000">
      <w:pPr>
        <w:ind w:left="567"/>
        <w:jc w:val="both"/>
      </w:pPr>
      <w:r>
        <w:rPr>
          <w:rStyle w:val="soitChar"/>
        </w:rPr>
        <w:t>Le manchon est passé sur le câble ou le conduit. Le manchon est collé de manière étanche à l’aide de ruban adhésif universel (application extérieure ou intérieure) ou de ruban adhésif en papier kraft (uniquement application intérieure)  sur la couche étanche à l’air à l’endroit du passage du câble ou du conduit. Les rubans adhésifs utilisés sont compatibles avec le support et spécialement prévus pour assurer l’étanchéité à l’air.</w:t>
      </w:r>
    </w:p>
    <w:p w14:paraId="68904054" w14:textId="77777777" w:rsidR="004B2808" w:rsidRDefault="00000000">
      <w:pPr>
        <w:ind w:left="567"/>
        <w:jc w:val="both"/>
      </w:pPr>
      <w:r>
        <w:rPr>
          <w:rStyle w:val="soitChar"/>
        </w:rPr>
        <w:t>Les rubans adhésifs doivent être bien pressés sur la couche étanche à l’air et doivent présenter au moins 2 cm de bande adhésive de chaque côté du joint.</w:t>
      </w:r>
    </w:p>
    <w:p w14:paraId="0100D692" w14:textId="77777777" w:rsidR="004B2808" w:rsidRDefault="00000000">
      <w:pPr>
        <w:ind w:left="567"/>
        <w:jc w:val="both"/>
      </w:pPr>
      <w:r>
        <w:rPr>
          <w:b/>
        </w:rPr>
        <w:t>(Soit)</w:t>
      </w:r>
    </w:p>
    <w:p w14:paraId="183462C7" w14:textId="77777777" w:rsidR="004B2808" w:rsidRDefault="00000000">
      <w:pPr>
        <w:ind w:left="567"/>
        <w:jc w:val="both"/>
      </w:pPr>
      <w:r>
        <w:rPr>
          <w:rStyle w:val="soitChar"/>
          <w:u w:val="single"/>
        </w:rPr>
        <w:t>Manchons à ruban adhésif intégré :</w:t>
      </w:r>
    </w:p>
    <w:p w14:paraId="2CBE2790" w14:textId="77777777" w:rsidR="004B2808" w:rsidRDefault="00000000">
      <w:pPr>
        <w:ind w:left="567"/>
        <w:jc w:val="both"/>
      </w:pPr>
      <w:r>
        <w:rPr>
          <w:rStyle w:val="soitChar"/>
        </w:rPr>
        <w:t>Le manchon est passé sur le câble ou le conduit. Le papier transfert qui protège le ruban adhésif est ensuite enlevé. Ce dernier est alors collé sur la couche étanche à l’air à l’endroit où le câble ou le conduit est placé.</w:t>
      </w:r>
    </w:p>
    <w:p w14:paraId="1600984B" w14:textId="77777777" w:rsidR="004B2808" w:rsidRDefault="00000000">
      <w:pPr>
        <w:ind w:left="567"/>
        <w:jc w:val="both"/>
      </w:pPr>
      <w:r>
        <w:rPr>
          <w:b/>
        </w:rPr>
        <w:t>(Soit)</w:t>
      </w:r>
    </w:p>
    <w:p w14:paraId="2FDF3054" w14:textId="77777777" w:rsidR="004B2808" w:rsidRDefault="00000000">
      <w:pPr>
        <w:ind w:left="567"/>
        <w:jc w:val="both"/>
      </w:pPr>
      <w:r>
        <w:rPr>
          <w:rStyle w:val="soitChar"/>
          <w:u w:val="single"/>
        </w:rPr>
        <w:t>Manchons collés:</w:t>
      </w:r>
    </w:p>
    <w:p w14:paraId="204DD5C1" w14:textId="77777777" w:rsidR="004B2808" w:rsidRDefault="00000000">
      <w:pPr>
        <w:ind w:left="567"/>
        <w:jc w:val="both"/>
      </w:pPr>
      <w:r>
        <w:rPr>
          <w:rStyle w:val="soitChar"/>
        </w:rPr>
        <w:t>Le manchon est passé sur le câble ou le conduit. Le manchon est collé de manière étanche à l’aide de colle adaptée au support. Cette colle doit être appliquée en un fil ininterrompu.</w:t>
      </w:r>
    </w:p>
    <w:p w14:paraId="650E1707" w14:textId="77777777" w:rsidR="004B2808" w:rsidRDefault="00000000">
      <w:pPr>
        <w:jc w:val="both"/>
      </w:pPr>
      <w:r>
        <w:t> </w:t>
      </w:r>
    </w:p>
    <w:p w14:paraId="68965BCB" w14:textId="77777777" w:rsidR="004B2808" w:rsidRDefault="00000000">
      <w:pPr>
        <w:jc w:val="both"/>
      </w:pPr>
      <w:r>
        <w:rPr>
          <w:b/>
          <w:u w:val="single"/>
        </w:rPr>
        <w:t>Manchons intégrés à une paroi plâtrée</w:t>
      </w:r>
    </w:p>
    <w:p w14:paraId="6B4C60A5" w14:textId="77777777" w:rsidR="004B2808" w:rsidRDefault="00000000">
      <w:pPr>
        <w:jc w:val="both"/>
      </w:pPr>
      <w:r>
        <w:t>Si un câble ou un conduit doit être posé de façon étanche à l’air dans une paroi dont le plafonnage fait la couche d’étanchéité à l’air, l’entrepreneur utilise un manchon sans ruban adhésif. Ce dernier est passé sur le câble ou le conduit. Il est ensuite connecté de manière étanche à l’air au plafonnage.</w:t>
      </w:r>
    </w:p>
    <w:p w14:paraId="6C249B57" w14:textId="77777777" w:rsidR="004B2808" w:rsidRDefault="00000000">
      <w:pPr>
        <w:ind w:left="567"/>
        <w:jc w:val="both"/>
      </w:pPr>
      <w:r>
        <w:rPr>
          <w:b/>
        </w:rPr>
        <w:t>(Soit par défaut)</w:t>
      </w:r>
    </w:p>
    <w:p w14:paraId="53684D1E" w14:textId="77777777" w:rsidR="004B2808" w:rsidRDefault="00000000">
      <w:pPr>
        <w:ind w:left="567"/>
        <w:jc w:val="both"/>
      </w:pPr>
      <w:r>
        <w:rPr>
          <w:rStyle w:val="soitChar"/>
          <w:u w:val="single"/>
        </w:rPr>
        <w:t>Plâtré:</w:t>
      </w:r>
    </w:p>
    <w:p w14:paraId="6363631E" w14:textId="77777777" w:rsidR="004B2808" w:rsidRDefault="00000000">
      <w:pPr>
        <w:ind w:left="567"/>
        <w:jc w:val="both"/>
      </w:pPr>
      <w:r>
        <w:rPr>
          <w:rStyle w:val="soitChar"/>
        </w:rPr>
        <w:t>Le manchon est plâtré. Il est alors d’abord collé sur le support avec une colle adaptée. Ensuite, lors du plafonnage du manchon, un métal déployé  ou un treillis de fibre de verre est placé autour du manchon pour éviter les fissures.</w:t>
      </w:r>
    </w:p>
    <w:p w14:paraId="76DE7353" w14:textId="77777777" w:rsidR="004B2808" w:rsidRDefault="00000000">
      <w:pPr>
        <w:ind w:left="567"/>
        <w:jc w:val="both"/>
      </w:pPr>
      <w:r>
        <w:rPr>
          <w:b/>
        </w:rPr>
        <w:t>(Soit)</w:t>
      </w:r>
    </w:p>
    <w:p w14:paraId="4EFB39E7" w14:textId="77777777" w:rsidR="004B2808" w:rsidRDefault="00000000">
      <w:pPr>
        <w:ind w:left="567"/>
        <w:jc w:val="both"/>
      </w:pPr>
      <w:r>
        <w:rPr>
          <w:rStyle w:val="soitChar"/>
          <w:u w:val="single"/>
        </w:rPr>
        <w:t>Collé sur le plafonnage:</w:t>
      </w:r>
    </w:p>
    <w:p w14:paraId="16E92B69" w14:textId="77777777" w:rsidR="004B2808" w:rsidRDefault="00000000">
      <w:pPr>
        <w:ind w:left="567"/>
        <w:jc w:val="both"/>
      </w:pPr>
      <w:r>
        <w:rPr>
          <w:rStyle w:val="soitChar"/>
        </w:rPr>
        <w:t>La paroi est d’abord plafonnée. Quand le plâtrage est suffisamment sec (attendre au moins deux semaines) le manchon est collé de manière étanche sur le plafonnage à l’aide de colle adaptée. Cette colle est appliquée en un fil ininterrompu.</w:t>
      </w:r>
    </w:p>
    <w:p w14:paraId="0A33227B" w14:textId="77777777" w:rsidR="004B2808" w:rsidRDefault="00000000">
      <w:pPr>
        <w:pStyle w:val="pheading"/>
      </w:pPr>
      <w:r>
        <w:t>CONTRÔLES</w:t>
      </w:r>
    </w:p>
    <w:p w14:paraId="66BE7929" w14:textId="77777777" w:rsidR="004B2808" w:rsidRDefault="00000000">
      <w:pPr>
        <w:jc w:val="both"/>
      </w:pPr>
      <w:r>
        <w:lastRenderedPageBreak/>
        <w:t>La parfaite exécution de la pose des manchons est vérifiée par un test d’étanchéité à l’air conformément à l’article 03.41.3b Mesures de l'étanchéité à l'air d'un bâtiment.</w:t>
      </w:r>
    </w:p>
    <w:p w14:paraId="343B07BE" w14:textId="77777777" w:rsidR="004B2808" w:rsidRDefault="00000000">
      <w:pPr>
        <w:jc w:val="both"/>
      </w:pPr>
      <w:r>
        <w:t>La recherche des principales fuites d’air dans le bâtiment est réalisée au moyen d’un petit fumigène, d'une caméra infrarouge ou de tout autre moyen approprié.</w:t>
      </w:r>
    </w:p>
    <w:p w14:paraId="57A4C270" w14:textId="77777777" w:rsidR="004B2808" w:rsidRDefault="00000000">
      <w:pPr>
        <w:pStyle w:val="pheading"/>
      </w:pPr>
      <w:r>
        <w:t>DOCUMENTS DE RÉFÉRENCE</w:t>
      </w:r>
    </w:p>
    <w:p w14:paraId="66C4284A" w14:textId="77777777" w:rsidR="004B2808" w:rsidRDefault="00000000">
      <w:pPr>
        <w:pStyle w:val="pheading"/>
      </w:pPr>
      <w:r>
        <w:t>- Matériau</w:t>
      </w:r>
    </w:p>
    <w:p w14:paraId="0E4A846A" w14:textId="77777777" w:rsidR="004B2808" w:rsidRDefault="00000000">
      <w:r>
        <w:t>Prescriptions du fabricant.</w:t>
      </w:r>
      <w:r>
        <w:br/>
      </w:r>
      <w:r>
        <w:br/>
        <w:t>[NIT 255, L'étanchéité à l'air des bâtiments]</w:t>
      </w:r>
    </w:p>
    <w:p w14:paraId="5BC68EB4" w14:textId="77777777" w:rsidR="004B2808" w:rsidRDefault="00000000">
      <w:pPr>
        <w:pStyle w:val="pheading"/>
      </w:pPr>
      <w:r>
        <w:t>- Exécution</w:t>
      </w:r>
    </w:p>
    <w:p w14:paraId="6B5D7212" w14:textId="77777777" w:rsidR="004B2808" w:rsidRDefault="00000000">
      <w:r>
        <w:t>Prescriptions du fabricant</w:t>
      </w:r>
      <w:r>
        <w:br/>
      </w:r>
      <w:r>
        <w:br/>
        <w:t>[NIT 255, L'étanchéité à l'air des bâtiments]</w:t>
      </w:r>
    </w:p>
    <w:p w14:paraId="7AEDFED7" w14:textId="77777777" w:rsidR="004B2808" w:rsidRDefault="00000000">
      <w:pPr>
        <w:pStyle w:val="Author-eSectionHeading4Numberless"/>
      </w:pPr>
      <w:bookmarkStart w:id="364" w:name="_Toc220490544"/>
      <w:r>
        <w:t>52.24 Traitement d'étanchéité aux matières gazeuses CCTB 01.02</w:t>
      </w:r>
      <w:bookmarkEnd w:id="364"/>
    </w:p>
    <w:p w14:paraId="17568A4D" w14:textId="77777777" w:rsidR="004B2808" w:rsidRDefault="00000000">
      <w:pPr>
        <w:pStyle w:val="Author-eSectionHeading5Numberless"/>
      </w:pPr>
      <w:bookmarkStart w:id="365" w:name="_Toc220490545"/>
      <w:r>
        <w:t>52.24.1 Traitement d'étanchéité aux matières gazeuses par injection CCTB 01.02</w:t>
      </w:r>
      <w:bookmarkEnd w:id="365"/>
    </w:p>
    <w:p w14:paraId="6E0459C0" w14:textId="77777777" w:rsidR="004B2808" w:rsidRDefault="00000000">
      <w:pPr>
        <w:pStyle w:val="Author-eSectionHeading6Numberless"/>
      </w:pPr>
      <w:bookmarkStart w:id="366" w:name="_Toc220490546"/>
      <w:r>
        <w:t>52.24.1a Traitement d'étanchéité aux matières gazeuses par injection CCTB 01.02</w:t>
      </w:r>
      <w:bookmarkEnd w:id="366"/>
    </w:p>
    <w:p w14:paraId="37F41A47" w14:textId="77777777" w:rsidR="004B2808" w:rsidRDefault="00000000">
      <w:pPr>
        <w:pStyle w:val="Author-eSectionHeading3Numberless"/>
      </w:pPr>
      <w:bookmarkStart w:id="367" w:name="_Toc220490547"/>
      <w:r>
        <w:t>52.3 Etanchéisations particulières CCTB 01.02</w:t>
      </w:r>
      <w:bookmarkEnd w:id="367"/>
    </w:p>
    <w:p w14:paraId="2AA0F5A1" w14:textId="77777777" w:rsidR="004B2808" w:rsidRDefault="00000000">
      <w:pPr>
        <w:pStyle w:val="Author-eSectionHeading4Numberless"/>
      </w:pPr>
      <w:bookmarkStart w:id="368" w:name="1181"/>
      <w:bookmarkStart w:id="369" w:name="_Toc220490548"/>
      <w:bookmarkEnd w:id="368"/>
      <w:r>
        <w:t>52.31 Etanchéisations particulières - Etanchéisation de joints CCTB 01.02</w:t>
      </w:r>
      <w:bookmarkEnd w:id="369"/>
    </w:p>
    <w:p w14:paraId="7BFBE12D" w14:textId="77777777" w:rsidR="004B2808" w:rsidRDefault="00000000">
      <w:pPr>
        <w:pStyle w:val="Author-eSectionHeading5Numberless"/>
      </w:pPr>
      <w:bookmarkStart w:id="370" w:name="_Toc220490549"/>
      <w:r>
        <w:t>52.31.1 Etanchéisation de joints CCTB 01.11</w:t>
      </w:r>
      <w:bookmarkEnd w:id="370"/>
    </w:p>
    <w:p w14:paraId="08FA6453" w14:textId="77777777" w:rsidR="004B2808" w:rsidRDefault="00000000">
      <w:pPr>
        <w:pStyle w:val="pheading"/>
      </w:pPr>
      <w:r>
        <w:t>DESCRIPTION</w:t>
      </w:r>
    </w:p>
    <w:p w14:paraId="08E78A10" w14:textId="77777777" w:rsidR="004B2808" w:rsidRDefault="00000000">
      <w:pPr>
        <w:pStyle w:val="pheading"/>
      </w:pPr>
      <w:r>
        <w:t>- Définition / Comprend</w:t>
      </w:r>
    </w:p>
    <w:p w14:paraId="35A84D59" w14:textId="77777777" w:rsidR="004B2808" w:rsidRDefault="00000000">
      <w:pPr>
        <w:jc w:val="both"/>
      </w:pPr>
      <w:r>
        <w:t>Le travail comprend notamment :</w:t>
      </w:r>
    </w:p>
    <w:p w14:paraId="14AC1864" w14:textId="77777777" w:rsidR="004B2808" w:rsidRDefault="00000000">
      <w:pPr>
        <w:pStyle w:val="Author-eListParagraph"/>
        <w:numPr>
          <w:ilvl w:val="0"/>
          <w:numId w:val="350"/>
        </w:numPr>
        <w:jc w:val="both"/>
      </w:pPr>
      <w:r>
        <w:t>les éventuelles mesures de protection provisoires et leur enlèvement en fin de travaux ;</w:t>
      </w:r>
    </w:p>
    <w:p w14:paraId="29306BA0" w14:textId="77777777" w:rsidR="004B2808" w:rsidRDefault="00000000">
      <w:pPr>
        <w:pStyle w:val="Author-eListParagraph"/>
        <w:numPr>
          <w:ilvl w:val="0"/>
          <w:numId w:val="350"/>
        </w:numPr>
        <w:jc w:val="both"/>
      </w:pPr>
      <w:r>
        <w:t>la préparation, le nettoyage et le contrôle de l'aire de pose et du support ;</w:t>
      </w:r>
    </w:p>
    <w:p w14:paraId="419DB4EA" w14:textId="77777777" w:rsidR="004B2808" w:rsidRDefault="00000000">
      <w:pPr>
        <w:pStyle w:val="Author-eListParagraph"/>
        <w:numPr>
          <w:ilvl w:val="0"/>
          <w:numId w:val="350"/>
        </w:numPr>
        <w:jc w:val="both"/>
      </w:pPr>
      <w:r>
        <w:t>la protection des matériaux adjacents ;</w:t>
      </w:r>
    </w:p>
    <w:p w14:paraId="5A323C0A" w14:textId="77777777" w:rsidR="004B2808" w:rsidRDefault="00000000">
      <w:pPr>
        <w:pStyle w:val="Author-eListParagraph"/>
        <w:numPr>
          <w:ilvl w:val="0"/>
          <w:numId w:val="350"/>
        </w:numPr>
        <w:jc w:val="both"/>
      </w:pPr>
      <w:r>
        <w:t>la fourniture et la mise en œuvre des éléments ;</w:t>
      </w:r>
    </w:p>
    <w:p w14:paraId="54362CF7" w14:textId="77777777" w:rsidR="004B2808" w:rsidRDefault="00000000">
      <w:pPr>
        <w:pStyle w:val="Author-eListParagraph"/>
        <w:numPr>
          <w:ilvl w:val="0"/>
          <w:numId w:val="350"/>
        </w:numPr>
        <w:jc w:val="both"/>
      </w:pPr>
      <w:r>
        <w:t>toutes les précautions à prendre lors de la mise en œuvre conformément à la fiche de données de sécurité ;</w:t>
      </w:r>
    </w:p>
    <w:p w14:paraId="3D67D7B2" w14:textId="77777777" w:rsidR="004B2808" w:rsidRDefault="00000000">
      <w:pPr>
        <w:pStyle w:val="Author-eListParagraph"/>
        <w:numPr>
          <w:ilvl w:val="0"/>
          <w:numId w:val="350"/>
        </w:numPr>
        <w:jc w:val="both"/>
      </w:pPr>
      <w:r>
        <w:t>le nettoyage immédiat des taches éventuelles à l’aide de produits adéquats ;</w:t>
      </w:r>
    </w:p>
    <w:p w14:paraId="53CAAAF1" w14:textId="77777777" w:rsidR="004B2808" w:rsidRDefault="00000000">
      <w:pPr>
        <w:pStyle w:val="Author-eListParagraph"/>
        <w:numPr>
          <w:ilvl w:val="0"/>
          <w:numId w:val="350"/>
        </w:numPr>
        <w:jc w:val="both"/>
      </w:pPr>
      <w:r>
        <w:t>l'évacuation et la gestion des déchets générés par les travaux conformément à la section 07 Déchets, matériaux et éléments réemployables fait partie du prix unitaire des articles suivants ;</w:t>
      </w:r>
    </w:p>
    <w:p w14:paraId="210CD33E" w14:textId="77777777" w:rsidR="004B2808" w:rsidRDefault="00000000">
      <w:pPr>
        <w:pStyle w:val="Author-eListParagraph"/>
        <w:numPr>
          <w:ilvl w:val="0"/>
          <w:numId w:val="350"/>
        </w:numPr>
        <w:jc w:val="both"/>
      </w:pPr>
      <w:r>
        <w:t>le nettoyage du chantier.</w:t>
      </w:r>
    </w:p>
    <w:p w14:paraId="0410B663" w14:textId="77777777" w:rsidR="004B2808" w:rsidRDefault="00000000">
      <w:pPr>
        <w:pStyle w:val="Author-eSectionHeading6Numberless"/>
      </w:pPr>
      <w:bookmarkStart w:id="371" w:name="_Toc220490550"/>
      <w:r>
        <w:t>52.31.1a Etanchéisation de joints CCTB 01.12</w:t>
      </w:r>
      <w:bookmarkEnd w:id="371"/>
    </w:p>
    <w:p w14:paraId="1031A4AC" w14:textId="77777777" w:rsidR="004B2808" w:rsidRDefault="00000000">
      <w:pPr>
        <w:pStyle w:val="pheading"/>
      </w:pPr>
      <w:r>
        <w:t>DESCRIPTION</w:t>
      </w:r>
    </w:p>
    <w:p w14:paraId="5B871082" w14:textId="77777777" w:rsidR="004B2808" w:rsidRDefault="00000000">
      <w:pPr>
        <w:pStyle w:val="pheading"/>
      </w:pPr>
      <w:r>
        <w:t>- Définition / Comprend</w:t>
      </w:r>
    </w:p>
    <w:p w14:paraId="679123A4" w14:textId="77777777" w:rsidR="004B2808" w:rsidRDefault="00000000">
      <w:pPr>
        <w:jc w:val="both"/>
      </w:pPr>
      <w:r>
        <w:t>Il s’agit de la fourniture et de la pose d’une bande d’étanchéité utilisée sous un carrelage, pour colmater les pénétrations et les joints, tant horizontaux que verticaux, sur des jonctions de raccordement et de construction, pour obtenir une étanchéité à l’eau.</w:t>
      </w:r>
    </w:p>
    <w:p w14:paraId="4611314E" w14:textId="77777777" w:rsidR="004B2808" w:rsidRDefault="00000000">
      <w:pPr>
        <w:pStyle w:val="pheading"/>
      </w:pPr>
      <w:r>
        <w:lastRenderedPageBreak/>
        <w:t>- Localisation</w:t>
      </w:r>
    </w:p>
    <w:p w14:paraId="1C9D584D" w14:textId="77777777" w:rsidR="004B2808" w:rsidRDefault="00000000">
      <w:r>
        <w:t xml:space="preserve">Les travaux sont localisés : </w:t>
      </w:r>
      <w:r>
        <w:rPr>
          <w:rStyle w:val="optioncarChar"/>
        </w:rPr>
        <w:t>***.</w:t>
      </w:r>
    </w:p>
    <w:p w14:paraId="5B514914" w14:textId="77777777" w:rsidR="004B2808" w:rsidRDefault="00000000">
      <w:r>
        <w:t>Voir plans et métrés détaillés.</w:t>
      </w:r>
    </w:p>
    <w:p w14:paraId="586D6C91" w14:textId="77777777" w:rsidR="004B2808" w:rsidRDefault="00000000">
      <w:pPr>
        <w:pStyle w:val="pheading"/>
      </w:pPr>
      <w:r>
        <w:t>MATÉRIAUX</w:t>
      </w:r>
    </w:p>
    <w:p w14:paraId="78EACA84" w14:textId="77777777" w:rsidR="004B2808" w:rsidRDefault="00000000">
      <w:pPr>
        <w:pStyle w:val="pheading"/>
      </w:pPr>
      <w:r>
        <w:t>- Caractéristiques générales</w:t>
      </w:r>
    </w:p>
    <w:p w14:paraId="626833F8" w14:textId="77777777" w:rsidR="004B2808" w:rsidRDefault="00000000">
      <w:r>
        <w:t>Les produits contenant des solvants sont proscrits.</w:t>
      </w:r>
    </w:p>
    <w:p w14:paraId="529EA169" w14:textId="77777777" w:rsidR="004B2808" w:rsidRDefault="00000000">
      <w:r>
        <w:rPr>
          <w:b/>
        </w:rPr>
        <w:t>Bande d’étanchéité :</w:t>
      </w:r>
      <w:r>
        <w:br/>
        <w:t>Bande d’étanchéité est constituée d’une section centrale à expansion élastique et de bords de liaison cousus de chaque côté.</w:t>
      </w:r>
    </w:p>
    <w:p w14:paraId="2AA31DB3" w14:textId="77777777" w:rsidR="004B2808" w:rsidRDefault="00000000">
      <w:r>
        <w:rPr>
          <w:i/>
        </w:rPr>
        <w:t>Caractéristiques :</w:t>
      </w:r>
    </w:p>
    <w:p w14:paraId="4EB72CB9" w14:textId="77777777" w:rsidR="004B2808" w:rsidRDefault="00000000">
      <w:pPr>
        <w:pStyle w:val="Author-eListParagraph"/>
        <w:numPr>
          <w:ilvl w:val="0"/>
          <w:numId w:val="351"/>
        </w:numPr>
      </w:pPr>
      <w:r>
        <w:t xml:space="preserve">Bande centrale: </w:t>
      </w:r>
      <w:r>
        <w:rPr>
          <w:rStyle w:val="optioncarChar"/>
        </w:rPr>
        <w:t>élastomère thermoplastique</w:t>
      </w:r>
      <w:r>
        <w:t xml:space="preserve"> (par défaut) </w:t>
      </w:r>
      <w:r>
        <w:rPr>
          <w:rStyle w:val="optioncarChar"/>
        </w:rPr>
        <w:t>/ ***</w:t>
      </w:r>
      <w:r>
        <w:t>.</w:t>
      </w:r>
    </w:p>
    <w:p w14:paraId="643BA719" w14:textId="77777777" w:rsidR="004B2808" w:rsidRDefault="00000000">
      <w:pPr>
        <w:pStyle w:val="Author-eListParagraph"/>
        <w:numPr>
          <w:ilvl w:val="0"/>
          <w:numId w:val="351"/>
        </w:numPr>
      </w:pPr>
      <w:r>
        <w:t xml:space="preserve">Bords de liaison: </w:t>
      </w:r>
      <w:r>
        <w:rPr>
          <w:rStyle w:val="optioncarChar"/>
        </w:rPr>
        <w:t>tissu cousu en polyester</w:t>
      </w:r>
      <w:r>
        <w:t xml:space="preserve"> (par défaut) </w:t>
      </w:r>
      <w:r>
        <w:rPr>
          <w:rStyle w:val="optioncarChar"/>
        </w:rPr>
        <w:t>/ ***</w:t>
      </w:r>
      <w:r>
        <w:t>.</w:t>
      </w:r>
    </w:p>
    <w:p w14:paraId="5F864784" w14:textId="77777777" w:rsidR="004B2808" w:rsidRDefault="00000000">
      <w:pPr>
        <w:pStyle w:val="Author-eListParagraph"/>
        <w:numPr>
          <w:ilvl w:val="0"/>
          <w:numId w:val="351"/>
        </w:numPr>
      </w:pPr>
      <w:r>
        <w:t>Étanchéité à l’eau [NBN EN 1928] (Procédure B) : ≥  </w:t>
      </w:r>
      <w:r>
        <w:rPr>
          <w:rStyle w:val="optioncarChar"/>
        </w:rPr>
        <w:t>1,5 bars</w:t>
      </w:r>
      <w:r>
        <w:t xml:space="preserve"> (par défaut) </w:t>
      </w:r>
      <w:r>
        <w:rPr>
          <w:rStyle w:val="optioncarChar"/>
        </w:rPr>
        <w:t>/ ***.</w:t>
      </w:r>
    </w:p>
    <w:p w14:paraId="3D728033" w14:textId="77777777" w:rsidR="004B2808" w:rsidRDefault="00000000">
      <w:pPr>
        <w:pStyle w:val="Author-eListParagraph"/>
        <w:numPr>
          <w:ilvl w:val="0"/>
          <w:numId w:val="351"/>
        </w:numPr>
      </w:pPr>
      <w:r>
        <w:t xml:space="preserve">Résistance à la traction transversale [NBN EN 12311-1] et [NBN EN 12311-2] : ≥ </w:t>
      </w:r>
      <w:r>
        <w:rPr>
          <w:rStyle w:val="optioncarChar"/>
        </w:rPr>
        <w:t>2 N/mm²</w:t>
      </w:r>
      <w:r>
        <w:t xml:space="preserve"> (par défaut) </w:t>
      </w:r>
      <w:r>
        <w:rPr>
          <w:rStyle w:val="optioncarChar"/>
        </w:rPr>
        <w:t>/ ***</w:t>
      </w:r>
      <w:r>
        <w:t>.</w:t>
      </w:r>
    </w:p>
    <w:p w14:paraId="6CACF7EC" w14:textId="77777777" w:rsidR="004B2808" w:rsidRDefault="00000000">
      <w:pPr>
        <w:pStyle w:val="Author-eListParagraph"/>
        <w:numPr>
          <w:ilvl w:val="0"/>
          <w:numId w:val="351"/>
        </w:numPr>
      </w:pPr>
      <w:r>
        <w:t xml:space="preserve">Résistance à la rupture (transversale) [NBN EN 12311-1] et [NBN EN 12311-2] : ≥ </w:t>
      </w:r>
      <w:r>
        <w:rPr>
          <w:rStyle w:val="optioncarChar"/>
        </w:rPr>
        <w:t>200%</w:t>
      </w:r>
      <w:r>
        <w:t xml:space="preserve"> (par défaut) </w:t>
      </w:r>
      <w:r>
        <w:rPr>
          <w:rStyle w:val="optioncarChar"/>
        </w:rPr>
        <w:t>/ ***</w:t>
      </w:r>
      <w:r>
        <w:t>.</w:t>
      </w:r>
    </w:p>
    <w:p w14:paraId="42AFF8F1" w14:textId="77777777" w:rsidR="004B2808" w:rsidRDefault="00000000">
      <w:pPr>
        <w:pStyle w:val="Author-eListParagraph"/>
        <w:numPr>
          <w:ilvl w:val="0"/>
          <w:numId w:val="351"/>
        </w:numPr>
      </w:pPr>
      <w:r>
        <w:t xml:space="preserve">Résistance à la déchirure [NBN EN 12310-1] :  ≥ </w:t>
      </w:r>
      <w:r>
        <w:rPr>
          <w:rStyle w:val="optioncarChar"/>
        </w:rPr>
        <w:t>100 N/mm</w:t>
      </w:r>
      <w:r>
        <w:t xml:space="preserve"> (par défaut) </w:t>
      </w:r>
      <w:r>
        <w:rPr>
          <w:rStyle w:val="optioncarChar"/>
        </w:rPr>
        <w:t>/ ***</w:t>
      </w:r>
      <w:r>
        <w:t>.</w:t>
      </w:r>
    </w:p>
    <w:p w14:paraId="73EE1814" w14:textId="77777777" w:rsidR="004B2808" w:rsidRDefault="00000000">
      <w:pPr>
        <w:pStyle w:val="Author-eListParagraph"/>
        <w:numPr>
          <w:ilvl w:val="0"/>
          <w:numId w:val="351"/>
        </w:numPr>
      </w:pPr>
      <w:r>
        <w:t>Résistance thermique :</w:t>
      </w:r>
      <w:r>
        <w:rPr>
          <w:rStyle w:val="optioncarChar"/>
        </w:rPr>
        <w:t xml:space="preserve"> -25°C à +60°C</w:t>
      </w:r>
      <w:r>
        <w:t xml:space="preserve"> (par défaut) </w:t>
      </w:r>
      <w:r>
        <w:rPr>
          <w:rStyle w:val="optioncarChar"/>
        </w:rPr>
        <w:t>/ ***.</w:t>
      </w:r>
    </w:p>
    <w:p w14:paraId="101EB200" w14:textId="77777777" w:rsidR="004B2808" w:rsidRDefault="00000000">
      <w:pPr>
        <w:pStyle w:val="Author-eListParagraph"/>
        <w:numPr>
          <w:ilvl w:val="0"/>
          <w:numId w:val="351"/>
        </w:numPr>
      </w:pPr>
      <w:r>
        <w:t xml:space="preserve">Résistance aux UV [NBN EN 1297] :  ≥ </w:t>
      </w:r>
      <w:r>
        <w:rPr>
          <w:rStyle w:val="optioncarChar"/>
        </w:rPr>
        <w:t>500 h</w:t>
      </w:r>
      <w:r>
        <w:t xml:space="preserve"> (par défaut) </w:t>
      </w:r>
      <w:r>
        <w:rPr>
          <w:rStyle w:val="optioncarChar"/>
        </w:rPr>
        <w:t>/ ***.</w:t>
      </w:r>
    </w:p>
    <w:p w14:paraId="049F71DC" w14:textId="77777777" w:rsidR="004B2808" w:rsidRDefault="00000000">
      <w:pPr>
        <w:pStyle w:val="Author-eListParagraph"/>
        <w:numPr>
          <w:ilvl w:val="0"/>
          <w:numId w:val="351"/>
        </w:numPr>
      </w:pPr>
      <w:r>
        <w:t>Résistance chimique : résistant à l’eau salée, à l’eau calcaire (alcaline).</w:t>
      </w:r>
    </w:p>
    <w:p w14:paraId="73DFBFD0" w14:textId="77777777" w:rsidR="004B2808" w:rsidRDefault="00000000">
      <w:r>
        <w:rPr>
          <w:b/>
        </w:rPr>
        <w:t>Colle :</w:t>
      </w:r>
      <w:r>
        <w:br/>
        <w:t>Liquide mono composant exempt de solvant et prêt à l’emploi, formant une membrane étanche, souple et résistante à la fissuration sous une protection dure finale de type carrelage ou pierre naturelle.</w:t>
      </w:r>
    </w:p>
    <w:p w14:paraId="69CE85EC" w14:textId="77777777" w:rsidR="004B2808" w:rsidRDefault="00000000">
      <w:r>
        <w:rPr>
          <w:i/>
        </w:rPr>
        <w:t>Caractéristiques :</w:t>
      </w:r>
    </w:p>
    <w:p w14:paraId="32F49636" w14:textId="77777777" w:rsidR="004B2808" w:rsidRDefault="00000000">
      <w:pPr>
        <w:pStyle w:val="Author-eListParagraph"/>
        <w:numPr>
          <w:ilvl w:val="0"/>
          <w:numId w:val="352"/>
        </w:numPr>
      </w:pPr>
      <w:r>
        <w:t>Exempt de solvant.</w:t>
      </w:r>
    </w:p>
    <w:p w14:paraId="6C336989" w14:textId="77777777" w:rsidR="004B2808" w:rsidRDefault="00000000">
      <w:pPr>
        <w:pStyle w:val="Author-eListParagraph"/>
        <w:numPr>
          <w:ilvl w:val="0"/>
          <w:numId w:val="352"/>
        </w:numPr>
      </w:pPr>
      <w:r>
        <w:t>Bonne adhérence sur la plupart des matériaux de construction.</w:t>
      </w:r>
    </w:p>
    <w:p w14:paraId="0B649765" w14:textId="77777777" w:rsidR="004B2808" w:rsidRDefault="00000000">
      <w:pPr>
        <w:pStyle w:val="Author-eListParagraph"/>
        <w:numPr>
          <w:ilvl w:val="0"/>
          <w:numId w:val="352"/>
        </w:numPr>
      </w:pPr>
      <w:r>
        <w:t xml:space="preserve">Température de service : </w:t>
      </w:r>
      <w:r>
        <w:rPr>
          <w:rStyle w:val="optioncarChar"/>
        </w:rPr>
        <w:t>minimum -5°C à maximum +35°C</w:t>
      </w:r>
      <w:r>
        <w:t xml:space="preserve"> (par défaut) </w:t>
      </w:r>
      <w:r>
        <w:rPr>
          <w:rStyle w:val="optioncarChar"/>
        </w:rPr>
        <w:t>/ *** .</w:t>
      </w:r>
    </w:p>
    <w:p w14:paraId="2D10C373" w14:textId="77777777" w:rsidR="004B2808" w:rsidRDefault="00000000">
      <w:pPr>
        <w:pStyle w:val="Author-eListParagraph"/>
        <w:numPr>
          <w:ilvl w:val="0"/>
          <w:numId w:val="352"/>
        </w:numPr>
      </w:pPr>
      <w:r>
        <w:t xml:space="preserve">Élongation à la rupture [NBN EN 12311-1] et [NBN EN 12311-2]:  ≥ </w:t>
      </w:r>
      <w:r>
        <w:rPr>
          <w:rStyle w:val="optioncarChar"/>
        </w:rPr>
        <w:t>200%</w:t>
      </w:r>
      <w:r>
        <w:t xml:space="preserve"> (par défaut) </w:t>
      </w:r>
      <w:r>
        <w:rPr>
          <w:rStyle w:val="optioncarChar"/>
        </w:rPr>
        <w:t>/ ***.</w:t>
      </w:r>
    </w:p>
    <w:p w14:paraId="7726F0BC" w14:textId="77777777" w:rsidR="004B2808" w:rsidRDefault="00000000">
      <w:pPr>
        <w:pStyle w:val="Author-eListParagraph"/>
        <w:numPr>
          <w:ilvl w:val="0"/>
          <w:numId w:val="352"/>
        </w:numPr>
      </w:pPr>
      <w:r>
        <w:t>Résistance à la pression d’eau : Pas d’écoulement d’eau à une pression de 0,06 MPa.</w:t>
      </w:r>
    </w:p>
    <w:p w14:paraId="2BEE53F5" w14:textId="77777777" w:rsidR="004B2808" w:rsidRDefault="00000000">
      <w:pPr>
        <w:pStyle w:val="Author-eListParagraph"/>
        <w:numPr>
          <w:ilvl w:val="0"/>
          <w:numId w:val="352"/>
        </w:numPr>
      </w:pPr>
      <w:r>
        <w:t>Pas de cloquage, pas d’altération.</w:t>
      </w:r>
    </w:p>
    <w:p w14:paraId="7117BAFD" w14:textId="77777777" w:rsidR="004B2808" w:rsidRDefault="00000000">
      <w:pPr>
        <w:pStyle w:val="pheading"/>
      </w:pPr>
      <w:r>
        <w:t>- Finitions</w:t>
      </w:r>
    </w:p>
    <w:p w14:paraId="366D65B6" w14:textId="77777777" w:rsidR="004B2808" w:rsidRDefault="00000000">
      <w:pPr>
        <w:jc w:val="both"/>
      </w:pPr>
      <w:r>
        <w:t>Pas de finition; destiné à être placé sous des carreaux collés à l’aide de colle à carreaux étanche.</w:t>
      </w:r>
    </w:p>
    <w:p w14:paraId="1DE3BCE1" w14:textId="77777777" w:rsidR="004B2808" w:rsidRDefault="00000000">
      <w:pPr>
        <w:pStyle w:val="pheading"/>
      </w:pPr>
      <w:r>
        <w:t>EXÉCUTION / MISE EN ŒUVRE</w:t>
      </w:r>
    </w:p>
    <w:p w14:paraId="44D1BB56" w14:textId="77777777" w:rsidR="004B2808" w:rsidRDefault="00000000">
      <w:pPr>
        <w:pStyle w:val="pheading"/>
      </w:pPr>
      <w:r>
        <w:t>- Prescriptions générales</w:t>
      </w:r>
    </w:p>
    <w:p w14:paraId="3D0CA38A" w14:textId="77777777" w:rsidR="004B2808" w:rsidRDefault="00000000">
      <w:pPr>
        <w:jc w:val="both"/>
      </w:pPr>
      <w:r>
        <w:rPr>
          <w:b/>
        </w:rPr>
        <w:t>Préparation du support :</w:t>
      </w:r>
    </w:p>
    <w:p w14:paraId="28EAC20C" w14:textId="77777777" w:rsidR="004B2808" w:rsidRDefault="00000000">
      <w:pPr>
        <w:jc w:val="both"/>
      </w:pPr>
      <w:r>
        <w:t>Le support doit être sec, propre, exempt d’huile et de graisse ou de tout autre contaminant, de laitance de ciment, de particules friables ou de poussière.</w:t>
      </w:r>
    </w:p>
    <w:p w14:paraId="512302D3" w14:textId="77777777" w:rsidR="004B2808" w:rsidRDefault="00000000">
      <w:pPr>
        <w:jc w:val="both"/>
      </w:pPr>
      <w:r>
        <w:rPr>
          <w:b/>
        </w:rPr>
        <w:t>Mise en œuvre :</w:t>
      </w:r>
    </w:p>
    <w:p w14:paraId="473048E5" w14:textId="77777777" w:rsidR="004B2808" w:rsidRDefault="00000000">
      <w:pPr>
        <w:jc w:val="both"/>
      </w:pPr>
      <w:r>
        <w:t>La colle est appliquée des deux côtés du joint/bord.</w:t>
      </w:r>
    </w:p>
    <w:p w14:paraId="226956C7" w14:textId="77777777" w:rsidR="004B2808" w:rsidRDefault="00000000">
      <w:pPr>
        <w:jc w:val="both"/>
      </w:pPr>
      <w:r>
        <w:t>La bande d’étanchéité est appliquée et noyée dans le produit de collage encore frais.</w:t>
      </w:r>
    </w:p>
    <w:p w14:paraId="3E32E51D" w14:textId="77777777" w:rsidR="004B2808" w:rsidRDefault="00000000">
      <w:pPr>
        <w:jc w:val="both"/>
      </w:pPr>
      <w:r>
        <w:t>Si besoin, une boucle est formée avec la bande pour pouvoir absorber les mouvements.</w:t>
      </w:r>
    </w:p>
    <w:p w14:paraId="418C54B0" w14:textId="77777777" w:rsidR="004B2808" w:rsidRDefault="00000000">
      <w:pPr>
        <w:jc w:val="both"/>
      </w:pPr>
      <w:r>
        <w:t>Les raccordements entre bandes doivent respecter un chevauchement d’au moins 5 cm et sont également collés à l’aide d’une colle adaptée provenant du même fabricant.</w:t>
      </w:r>
    </w:p>
    <w:p w14:paraId="3F99C4E5" w14:textId="77777777" w:rsidR="004B2808" w:rsidRDefault="00000000">
      <w:pPr>
        <w:jc w:val="both"/>
      </w:pPr>
      <w:r>
        <w:lastRenderedPageBreak/>
        <w:t>La bande d’étanchéité est ensuite entièrement recouverte avec une deuxième couche du produit de collage, après séchage de la première couche.</w:t>
      </w:r>
    </w:p>
    <w:p w14:paraId="092360AF" w14:textId="77777777" w:rsidR="004B2808" w:rsidRDefault="00000000">
      <w:pPr>
        <w:jc w:val="both"/>
      </w:pPr>
      <w:r>
        <w:t>La bande d’étanchéité est protégée temporairement afin d’éviter son endommagement en attendant l’application de la protection dure finale de type carrelage ou pierre naturelle.</w:t>
      </w:r>
    </w:p>
    <w:p w14:paraId="2D40C4BC" w14:textId="77777777" w:rsidR="004B2808" w:rsidRDefault="00000000">
      <w:pPr>
        <w:jc w:val="both"/>
      </w:pPr>
      <w:r>
        <w:t xml:space="preserve">Cette protection finale est non comprise dans ce poste. Renvoi aux titres </w:t>
      </w:r>
      <w:hyperlink w:anchor="61" w:history="1">
        <w:r w:rsidR="004B2808">
          <w:rPr>
            <w:color w:val="0000EE"/>
          </w:rPr>
          <w:t>51.6 Autres revêtements intérieurs (collés, scellés ou fixés mécaniquement)</w:t>
        </w:r>
      </w:hyperlink>
      <w:r>
        <w:t xml:space="preserve"> et </w:t>
      </w:r>
      <w:hyperlink w:anchor="1130" w:history="1">
        <w:r w:rsidR="004B2808">
          <w:rPr>
            <w:color w:val="0000EE"/>
          </w:rPr>
          <w:t>53.5 Revêtements de sols intérieurs</w:t>
        </w:r>
      </w:hyperlink>
      <w:r>
        <w:t xml:space="preserve"> et aux articles qui en découlent.</w:t>
      </w:r>
    </w:p>
    <w:p w14:paraId="28C82BC0" w14:textId="77777777" w:rsidR="004B2808" w:rsidRDefault="00000000">
      <w:pPr>
        <w:pStyle w:val="pheading"/>
      </w:pPr>
      <w:r>
        <w:t>- Notes d’exécution complémentaires</w:t>
      </w:r>
    </w:p>
    <w:p w14:paraId="22433B38" w14:textId="77777777" w:rsidR="004B2808" w:rsidRDefault="00000000">
      <w:pPr>
        <w:jc w:val="both"/>
      </w:pPr>
      <w:r>
        <w:rPr>
          <w:rStyle w:val="facultChar"/>
        </w:rPr>
        <w:t>Pour le colmatage dans des coins, autour de robinets et autres tuyaux, des profilés spécialement conçus à cet effet seront utilisés.</w:t>
      </w:r>
    </w:p>
    <w:p w14:paraId="08439E5A" w14:textId="77777777" w:rsidR="004B2808" w:rsidRDefault="00000000">
      <w:pPr>
        <w:pStyle w:val="pheading"/>
      </w:pPr>
      <w:r>
        <w:t>DOCUMENTS DE RÉFÉRENCE COMPLÉMENTAIRES</w:t>
      </w:r>
    </w:p>
    <w:p w14:paraId="251E8F5B" w14:textId="77777777" w:rsidR="004B2808" w:rsidRDefault="00000000">
      <w:pPr>
        <w:pStyle w:val="pheading"/>
      </w:pPr>
      <w:r>
        <w:t>- Matériau</w:t>
      </w:r>
    </w:p>
    <w:p w14:paraId="206E536D" w14:textId="77777777" w:rsidR="004B2808" w:rsidRDefault="00000000">
      <w:pPr>
        <w:pStyle w:val="Author-eListParagraph"/>
        <w:numPr>
          <w:ilvl w:val="0"/>
          <w:numId w:val="353"/>
        </w:numPr>
      </w:pPr>
      <w:r>
        <w:t>Guide [ETAG 022-1, Watertight Covering Kits for Wet Room floors and or walls Part 1: Liquid Applied Coverings with or without wearing surface]</w:t>
      </w:r>
    </w:p>
    <w:p w14:paraId="43834D5F" w14:textId="77777777" w:rsidR="004B2808" w:rsidRDefault="00000000">
      <w:pPr>
        <w:pStyle w:val="Author-eListParagraph"/>
        <w:numPr>
          <w:ilvl w:val="0"/>
          <w:numId w:val="353"/>
        </w:numPr>
      </w:pPr>
      <w:r>
        <w:t>Guide [ETAG 022-2, Watertight Covering Kits for Wet Room floors and or walls Part 2: Kits based on flexible Sheets]</w:t>
      </w:r>
    </w:p>
    <w:p w14:paraId="1F3C0803" w14:textId="77777777" w:rsidR="004B2808" w:rsidRDefault="00000000">
      <w:pPr>
        <w:pStyle w:val="Author-eListParagraph"/>
        <w:numPr>
          <w:ilvl w:val="0"/>
          <w:numId w:val="353"/>
        </w:numPr>
      </w:pPr>
      <w:r>
        <w:t>Guide [ETAG 022-3, Watertight Covering Kits for Wet Room floors and or walls Part 3: Kits based on inherently watertight Boards]</w:t>
      </w:r>
    </w:p>
    <w:p w14:paraId="5D0C0E0A" w14:textId="77777777" w:rsidR="004B2808" w:rsidRDefault="00000000">
      <w:pPr>
        <w:pStyle w:val="Author-eListParagraph"/>
        <w:numPr>
          <w:ilvl w:val="0"/>
          <w:numId w:val="353"/>
        </w:numPr>
      </w:pPr>
      <w:r>
        <w:t>[NBN EN 1928, Feuilles souples d'étanchéité - Feuilles d'étanchéité de toiture bitumineuses, plastiques et élastomères - Détermination de l'étanchéité à l'eau]</w:t>
      </w:r>
    </w:p>
    <w:p w14:paraId="32838341" w14:textId="77777777" w:rsidR="004B2808" w:rsidRDefault="00000000">
      <w:pPr>
        <w:pStyle w:val="Author-eListParagraph"/>
        <w:numPr>
          <w:ilvl w:val="0"/>
          <w:numId w:val="353"/>
        </w:numPr>
      </w:pPr>
      <w:r>
        <w:t>[NBN EN 12311-1, Feuilles souples d'étanchéité - Partie 1: Feuilles d'étanchéité de toiture bitumineuses - Détermination des propriétés en traction]</w:t>
      </w:r>
    </w:p>
    <w:p w14:paraId="7A4F247C" w14:textId="77777777" w:rsidR="004B2808" w:rsidRDefault="00000000">
      <w:pPr>
        <w:pStyle w:val="Author-eListParagraph"/>
        <w:numPr>
          <w:ilvl w:val="0"/>
          <w:numId w:val="353"/>
        </w:numPr>
      </w:pPr>
      <w:r>
        <w:t>[NBN EN 12311-2, Feuilles souples d'étanchéité - Détermination des propriétés en traction - Partie 2 : Feuilles d'étanchéité de toiture plastiques et élastomères]</w:t>
      </w:r>
    </w:p>
    <w:p w14:paraId="49379B03" w14:textId="77777777" w:rsidR="004B2808" w:rsidRDefault="00000000">
      <w:pPr>
        <w:pStyle w:val="Author-eListParagraph"/>
        <w:numPr>
          <w:ilvl w:val="0"/>
          <w:numId w:val="353"/>
        </w:numPr>
      </w:pPr>
      <w:r>
        <w:t>[NBN EN 12310-1, Feuilles souples d'étanchéité - Partie 1: Feuilles d'étanchéité de toiture bitumineuses - Détermination de la résistance à la déchirure (au clou)]</w:t>
      </w:r>
    </w:p>
    <w:p w14:paraId="7542A691" w14:textId="77777777" w:rsidR="004B2808" w:rsidRDefault="00000000">
      <w:pPr>
        <w:pStyle w:val="Author-eListParagraph"/>
        <w:numPr>
          <w:ilvl w:val="0"/>
          <w:numId w:val="353"/>
        </w:numPr>
      </w:pPr>
      <w:r>
        <w:t>[NBN EN 1297, Feuilles souples d'étanchéité - Feuilles d'étanchéité de toiture bitumineuses, plastiques et élastomères - Méthode de vieillissement artificiel par exposition combinée de longue durée aux rayonnements UV, à la température élevée et à l'eau]</w:t>
      </w:r>
    </w:p>
    <w:p w14:paraId="18FCF8C5" w14:textId="77777777" w:rsidR="004B2808" w:rsidRDefault="00000000">
      <w:pPr>
        <w:pStyle w:val="Author-eListParagraph"/>
        <w:numPr>
          <w:ilvl w:val="0"/>
          <w:numId w:val="353"/>
        </w:numPr>
      </w:pPr>
      <w:r>
        <w:t>Prescriptions du fabricant.</w:t>
      </w:r>
    </w:p>
    <w:p w14:paraId="3BE06D37" w14:textId="77777777" w:rsidR="004B2808" w:rsidRDefault="00000000">
      <w:pPr>
        <w:pStyle w:val="pheading"/>
      </w:pPr>
      <w:r>
        <w:t>- Exécution</w:t>
      </w:r>
    </w:p>
    <w:p w14:paraId="2BCAB40B" w14:textId="77777777" w:rsidR="004B2808" w:rsidRDefault="00000000">
      <w:pPr>
        <w:pStyle w:val="Author-eListParagraph"/>
        <w:numPr>
          <w:ilvl w:val="0"/>
          <w:numId w:val="354"/>
        </w:numPr>
      </w:pPr>
      <w:r>
        <w:t>Guide [ETAG 022-1, Watertight Covering Kits for Wet Room floors and or walls Part 1: Liquid Applied Coverings with or without wearing surface]</w:t>
      </w:r>
    </w:p>
    <w:p w14:paraId="1A69D467" w14:textId="77777777" w:rsidR="004B2808" w:rsidRDefault="00000000">
      <w:pPr>
        <w:pStyle w:val="Author-eListParagraph"/>
        <w:numPr>
          <w:ilvl w:val="0"/>
          <w:numId w:val="354"/>
        </w:numPr>
      </w:pPr>
      <w:r>
        <w:t>Guide [ETAG 022-2, Watertight Covering Kits for Wet Room floors and or walls Part 2: Kits based on flexible Sheets]</w:t>
      </w:r>
    </w:p>
    <w:p w14:paraId="6906350E" w14:textId="77777777" w:rsidR="004B2808" w:rsidRDefault="00000000">
      <w:pPr>
        <w:pStyle w:val="Author-eListParagraph"/>
        <w:numPr>
          <w:ilvl w:val="0"/>
          <w:numId w:val="354"/>
        </w:numPr>
      </w:pPr>
      <w:r>
        <w:t>Guide [ETAG 022-3, Watertight Covering Kits for Wet Room floors and or walls Part 3: Kits based on inherently watertight Boards]</w:t>
      </w:r>
    </w:p>
    <w:p w14:paraId="2E2E386C" w14:textId="77777777" w:rsidR="004B2808" w:rsidRDefault="00000000">
      <w:pPr>
        <w:pStyle w:val="Author-eListParagraph"/>
        <w:numPr>
          <w:ilvl w:val="0"/>
          <w:numId w:val="354"/>
        </w:numPr>
      </w:pPr>
      <w:r>
        <w:t>Prescriptions du fabricant.</w:t>
      </w:r>
    </w:p>
    <w:p w14:paraId="3E375503" w14:textId="77777777" w:rsidR="004B2808" w:rsidRDefault="00000000">
      <w:pPr>
        <w:pStyle w:val="pheading"/>
      </w:pPr>
      <w:r>
        <w:t>MESURAGE</w:t>
      </w:r>
    </w:p>
    <w:p w14:paraId="6BC51C65" w14:textId="77777777" w:rsidR="004B2808" w:rsidRDefault="00000000">
      <w:pPr>
        <w:pStyle w:val="pheading"/>
      </w:pPr>
      <w:r>
        <w:t>- unité de mesure:</w:t>
      </w:r>
    </w:p>
    <w:p w14:paraId="03DF3366" w14:textId="77777777" w:rsidR="004B2808" w:rsidRDefault="00000000">
      <w:r>
        <w:rPr>
          <w:rStyle w:val="optioncarChar"/>
        </w:rPr>
        <w:t>-</w:t>
      </w:r>
      <w:r>
        <w:t xml:space="preserve"> (par défaut) </w:t>
      </w:r>
      <w:r>
        <w:rPr>
          <w:rStyle w:val="optioncarChar"/>
        </w:rPr>
        <w:t>/ m</w:t>
      </w:r>
    </w:p>
    <w:p w14:paraId="24C38854" w14:textId="77777777" w:rsidR="004B2808" w:rsidRDefault="00000000">
      <w:r>
        <w:rPr>
          <w:b/>
        </w:rPr>
        <w:t>(Soit par défaut)</w:t>
      </w:r>
    </w:p>
    <w:p w14:paraId="7C51C1CC" w14:textId="77777777" w:rsidR="004B2808" w:rsidRDefault="00000000">
      <w:r>
        <w:rPr>
          <w:rStyle w:val="soitChar"/>
        </w:rPr>
        <w:t>1.     -</w:t>
      </w:r>
    </w:p>
    <w:p w14:paraId="6784B3A8" w14:textId="77777777" w:rsidR="004B2808" w:rsidRDefault="00000000">
      <w:r>
        <w:rPr>
          <w:b/>
        </w:rPr>
        <w:t>(Soit)</w:t>
      </w:r>
    </w:p>
    <w:p w14:paraId="68ED1A4E" w14:textId="77777777" w:rsidR="004B2808" w:rsidRDefault="00000000">
      <w:r>
        <w:rPr>
          <w:rStyle w:val="soitChar"/>
        </w:rPr>
        <w:t>2.     m</w:t>
      </w:r>
    </w:p>
    <w:p w14:paraId="6B172037" w14:textId="77777777" w:rsidR="004B2808" w:rsidRDefault="00000000">
      <w:pPr>
        <w:pStyle w:val="pheading"/>
      </w:pPr>
      <w:r>
        <w:t>- code de mesurage:</w:t>
      </w:r>
    </w:p>
    <w:p w14:paraId="713BBDD0" w14:textId="77777777" w:rsidR="004B2808" w:rsidRDefault="00000000">
      <w:r>
        <w:rPr>
          <w:rStyle w:val="optioncarChar"/>
        </w:rPr>
        <w:lastRenderedPageBreak/>
        <w:t>pour mémoire</w:t>
      </w:r>
      <w:r>
        <w:t xml:space="preserve"> (par défaut) </w:t>
      </w:r>
      <w:r>
        <w:rPr>
          <w:rStyle w:val="optioncarChar"/>
        </w:rPr>
        <w:t>/ longueur nette</w:t>
      </w:r>
    </w:p>
    <w:p w14:paraId="1BEDBAB1" w14:textId="77777777" w:rsidR="004B2808" w:rsidRDefault="00000000">
      <w:r>
        <w:t> </w:t>
      </w:r>
      <w:r>
        <w:rPr>
          <w:b/>
        </w:rPr>
        <w:t>(Soit par défaut)</w:t>
      </w:r>
    </w:p>
    <w:p w14:paraId="0A1FE1F5" w14:textId="77777777" w:rsidR="004B2808" w:rsidRDefault="00000000">
      <w:r>
        <w:rPr>
          <w:rStyle w:val="soitChar"/>
        </w:rPr>
        <w:t>1.    </w:t>
      </w:r>
      <w:r>
        <w:rPr>
          <w:rStyle w:val="soitChar"/>
          <w:u w:val="single"/>
        </w:rPr>
        <w:t xml:space="preserve"> pour mémoire</w:t>
      </w:r>
      <w:r>
        <w:rPr>
          <w:rStyle w:val="soitChar"/>
        </w:rPr>
        <w:t>, compris dans les postes des plafonnages ou cimentages dans lequel les joints s’insèrent.</w:t>
      </w:r>
    </w:p>
    <w:p w14:paraId="042C3CB0" w14:textId="77777777" w:rsidR="004B2808" w:rsidRDefault="00000000">
      <w:r>
        <w:rPr>
          <w:b/>
        </w:rPr>
        <w:t>(Soit)</w:t>
      </w:r>
    </w:p>
    <w:p w14:paraId="3020E6C2" w14:textId="77777777" w:rsidR="004B2808" w:rsidRDefault="00000000">
      <w:r>
        <w:rPr>
          <w:rStyle w:val="soitChar"/>
        </w:rPr>
        <w:t>2.    </w:t>
      </w:r>
      <w:r>
        <w:rPr>
          <w:rStyle w:val="soitChar"/>
          <w:u w:val="single"/>
        </w:rPr>
        <w:t xml:space="preserve"> longueur nette</w:t>
      </w:r>
      <w:r>
        <w:rPr>
          <w:rStyle w:val="soitChar"/>
        </w:rPr>
        <w:t xml:space="preserve"> à mettre en œuvre, distinction faite suivant le type.</w:t>
      </w:r>
    </w:p>
    <w:p w14:paraId="79416A81" w14:textId="77777777" w:rsidR="004B2808" w:rsidRDefault="00000000">
      <w:pPr>
        <w:pStyle w:val="pheading"/>
      </w:pPr>
      <w:r>
        <w:t>- nature du marché:</w:t>
      </w:r>
    </w:p>
    <w:p w14:paraId="5D9FC262" w14:textId="77777777" w:rsidR="004B2808" w:rsidRDefault="00000000">
      <w:r>
        <w:rPr>
          <w:rStyle w:val="optioncarChar"/>
        </w:rPr>
        <w:t>PM</w:t>
      </w:r>
      <w:r>
        <w:t xml:space="preserve"> (par défaut) </w:t>
      </w:r>
      <w:r>
        <w:rPr>
          <w:rStyle w:val="optioncarChar"/>
        </w:rPr>
        <w:t>/ QF</w:t>
      </w:r>
    </w:p>
    <w:p w14:paraId="54F11C9E" w14:textId="77777777" w:rsidR="004B2808" w:rsidRDefault="00000000">
      <w:r>
        <w:rPr>
          <w:b/>
        </w:rPr>
        <w:t>(Soit par défaut)</w:t>
      </w:r>
    </w:p>
    <w:p w14:paraId="40E3AC45" w14:textId="77777777" w:rsidR="004B2808" w:rsidRDefault="00000000">
      <w:r>
        <w:rPr>
          <w:rStyle w:val="soitChar"/>
        </w:rPr>
        <w:t>1.     PM</w:t>
      </w:r>
    </w:p>
    <w:p w14:paraId="7954A8DB" w14:textId="77777777" w:rsidR="004B2808" w:rsidRDefault="00000000">
      <w:r>
        <w:rPr>
          <w:b/>
        </w:rPr>
        <w:t>(Soit)</w:t>
      </w:r>
    </w:p>
    <w:p w14:paraId="3FDED8F0" w14:textId="77777777" w:rsidR="004B2808" w:rsidRDefault="00000000">
      <w:r>
        <w:rPr>
          <w:rStyle w:val="soitChar"/>
        </w:rPr>
        <w:t>2.     QF</w:t>
      </w:r>
    </w:p>
    <w:p w14:paraId="633540EF" w14:textId="77777777" w:rsidR="004B2808" w:rsidRDefault="00000000">
      <w:pPr>
        <w:pStyle w:val="Author-eSectionHeading6Numberless"/>
      </w:pPr>
      <w:bookmarkStart w:id="372" w:name="_Toc220490551"/>
      <w:r>
        <w:t>52.31.1b Mastics résistants au feu CCTB 01.11</w:t>
      </w:r>
      <w:bookmarkEnd w:id="372"/>
    </w:p>
    <w:p w14:paraId="0D08F12F" w14:textId="77777777" w:rsidR="004B2808" w:rsidRDefault="00000000">
      <w:pPr>
        <w:pStyle w:val="pheading"/>
      </w:pPr>
      <w:r>
        <w:t>DESCRIPTION</w:t>
      </w:r>
    </w:p>
    <w:p w14:paraId="2B19622E" w14:textId="77777777" w:rsidR="004B2808" w:rsidRDefault="00000000">
      <w:pPr>
        <w:pStyle w:val="pheading"/>
      </w:pPr>
      <w:r>
        <w:t>- Définition / Comprend</w:t>
      </w:r>
    </w:p>
    <w:p w14:paraId="07D84AD8" w14:textId="77777777" w:rsidR="004B2808" w:rsidRDefault="00000000">
      <w:r>
        <w:t>Il s’agit de la fourniture et la pose de mastics résistants au feu.</w:t>
      </w:r>
    </w:p>
    <w:p w14:paraId="0FBBE290" w14:textId="77777777" w:rsidR="004B2808" w:rsidRDefault="00000000">
      <w:pPr>
        <w:pStyle w:val="pheading"/>
      </w:pPr>
      <w:r>
        <w:t>MATÉRIAUX</w:t>
      </w:r>
    </w:p>
    <w:p w14:paraId="35EF7A97" w14:textId="77777777" w:rsidR="004B2808" w:rsidRDefault="00000000">
      <w:pPr>
        <w:pStyle w:val="pheading"/>
      </w:pPr>
      <w:r>
        <w:t>- Caractéristiques générales</w:t>
      </w:r>
    </w:p>
    <w:p w14:paraId="3F3EC940" w14:textId="77777777" w:rsidR="004B2808" w:rsidRDefault="00000000">
      <w:pPr>
        <w:jc w:val="both"/>
      </w:pPr>
      <w:r>
        <w:t>Résistance au feu à atteindre :</w:t>
      </w:r>
      <w:r>
        <w:rPr>
          <w:rStyle w:val="optioncarChar"/>
        </w:rPr>
        <w:t xml:space="preserve"> EI30 / EI60 / EI120 / EI240</w:t>
      </w:r>
    </w:p>
    <w:p w14:paraId="66BB6048" w14:textId="77777777" w:rsidR="004B2808" w:rsidRDefault="00000000">
      <w:pPr>
        <w:jc w:val="both"/>
      </w:pPr>
      <w:r>
        <w:t>Le mastic et le fond de joint font partie d’un système complet conforme au rapport de classification suivant la [NBN EN 13501-2].</w:t>
      </w:r>
    </w:p>
    <w:p w14:paraId="3D69A7A9" w14:textId="77777777" w:rsidR="004B2808" w:rsidRDefault="004B2808">
      <w:pPr>
        <w:jc w:val="both"/>
      </w:pPr>
    </w:p>
    <w:p w14:paraId="1951E1C1" w14:textId="77777777" w:rsidR="004B2808" w:rsidRDefault="00000000">
      <w:pPr>
        <w:jc w:val="both"/>
      </w:pPr>
      <w:r>
        <w:t xml:space="preserve">Mastic résistant au feu à base de : </w:t>
      </w:r>
      <w:r>
        <w:rPr>
          <w:rStyle w:val="optioncarChar"/>
        </w:rPr>
        <w:t>MS-polymère / silicone mono-composant / acrylique</w:t>
      </w:r>
    </w:p>
    <w:p w14:paraId="754E570B" w14:textId="77777777" w:rsidR="004B2808" w:rsidRDefault="00000000">
      <w:pPr>
        <w:spacing w:line="256" w:lineRule="auto"/>
        <w:jc w:val="both"/>
      </w:pPr>
      <w:r>
        <w:rPr>
          <w:b/>
        </w:rPr>
        <w:t>(soit)</w:t>
      </w:r>
    </w:p>
    <w:p w14:paraId="596E2819" w14:textId="77777777" w:rsidR="004B2808" w:rsidRDefault="00000000">
      <w:pPr>
        <w:spacing w:line="256" w:lineRule="auto"/>
        <w:jc w:val="both"/>
      </w:pPr>
      <w:r>
        <w:rPr>
          <w:rStyle w:val="soitChar"/>
          <w:u w:val="single"/>
        </w:rPr>
        <w:t>MS-polymère :</w:t>
      </w:r>
    </w:p>
    <w:p w14:paraId="72051E85" w14:textId="77777777" w:rsidR="004B2808" w:rsidRDefault="00000000">
      <w:pPr>
        <w:pStyle w:val="Author-eListParagraph"/>
        <w:numPr>
          <w:ilvl w:val="0"/>
          <w:numId w:val="355"/>
        </w:numPr>
      </w:pPr>
      <w:r>
        <w:rPr>
          <w:rStyle w:val="soitChar"/>
        </w:rPr>
        <w:t xml:space="preserve">Classe F : </w:t>
      </w:r>
      <w:r>
        <w:rPr>
          <w:rStyle w:val="optioncarChar"/>
        </w:rPr>
        <w:t xml:space="preserve">25LM </w:t>
      </w:r>
      <w:r>
        <w:t>(par défaut)</w:t>
      </w:r>
      <w:r>
        <w:rPr>
          <w:rStyle w:val="optioncarChar"/>
        </w:rPr>
        <w:t xml:space="preserve"> / ***</w:t>
      </w:r>
    </w:p>
    <w:p w14:paraId="4970D38B" w14:textId="77777777" w:rsidR="004B2808" w:rsidRDefault="00000000">
      <w:pPr>
        <w:pStyle w:val="Author-eListParagraph"/>
        <w:numPr>
          <w:ilvl w:val="0"/>
          <w:numId w:val="355"/>
        </w:numPr>
      </w:pPr>
      <w:r>
        <w:rPr>
          <w:rStyle w:val="soitChar"/>
        </w:rPr>
        <w:t xml:space="preserve">Réaction au feu : </w:t>
      </w:r>
      <w:r>
        <w:rPr>
          <w:rStyle w:val="optioncarChar"/>
        </w:rPr>
        <w:t>E</w:t>
      </w:r>
      <w:r>
        <w:t xml:space="preserve"> (par défaut)</w:t>
      </w:r>
      <w:r>
        <w:rPr>
          <w:rStyle w:val="optioncarChar"/>
        </w:rPr>
        <w:t xml:space="preserve"> / ***</w:t>
      </w:r>
    </w:p>
    <w:p w14:paraId="087065D3" w14:textId="77777777" w:rsidR="004B2808" w:rsidRDefault="00000000">
      <w:pPr>
        <w:pStyle w:val="Author-eListParagraph"/>
        <w:numPr>
          <w:ilvl w:val="0"/>
          <w:numId w:val="355"/>
        </w:numPr>
      </w:pPr>
      <w:r>
        <w:rPr>
          <w:rStyle w:val="soitChar"/>
        </w:rPr>
        <w:t xml:space="preserve">Support : </w:t>
      </w:r>
      <w:r>
        <w:rPr>
          <w:rStyle w:val="optioncarChar"/>
        </w:rPr>
        <w:t>béton / brique / fibro-ciment / carrelage / pierre naturelle / enduit de ciment / aluminium / acier / PVC</w:t>
      </w:r>
    </w:p>
    <w:p w14:paraId="5AFEF976" w14:textId="77777777" w:rsidR="004B2808" w:rsidRDefault="00000000">
      <w:pPr>
        <w:pStyle w:val="Author-eListParagraph"/>
        <w:numPr>
          <w:ilvl w:val="0"/>
          <w:numId w:val="355"/>
        </w:numPr>
      </w:pPr>
      <w:r>
        <w:rPr>
          <w:rStyle w:val="soitChar"/>
        </w:rPr>
        <w:t xml:space="preserve">Finition : </w:t>
      </w:r>
      <w:r>
        <w:rPr>
          <w:rStyle w:val="optioncarChar"/>
        </w:rPr>
        <w:t>aucune / peinture.</w:t>
      </w:r>
    </w:p>
    <w:p w14:paraId="02B50B59" w14:textId="77777777" w:rsidR="004B2808" w:rsidRDefault="00000000">
      <w:pPr>
        <w:spacing w:line="256" w:lineRule="auto"/>
        <w:jc w:val="both"/>
      </w:pPr>
      <w:r>
        <w:rPr>
          <w:b/>
        </w:rPr>
        <w:t>(soit)</w:t>
      </w:r>
    </w:p>
    <w:p w14:paraId="768102E3" w14:textId="77777777" w:rsidR="004B2808" w:rsidRDefault="00000000">
      <w:pPr>
        <w:spacing w:line="256" w:lineRule="auto"/>
        <w:jc w:val="both"/>
      </w:pPr>
      <w:r>
        <w:rPr>
          <w:rStyle w:val="soitChar"/>
          <w:u w:val="single"/>
        </w:rPr>
        <w:t>Silicone mono-composant :</w:t>
      </w:r>
    </w:p>
    <w:p w14:paraId="4E58A917" w14:textId="77777777" w:rsidR="004B2808" w:rsidRDefault="00000000">
      <w:pPr>
        <w:pStyle w:val="Author-eListParagraph"/>
        <w:numPr>
          <w:ilvl w:val="0"/>
          <w:numId w:val="356"/>
        </w:numPr>
      </w:pPr>
      <w:r>
        <w:rPr>
          <w:rStyle w:val="soitChar"/>
        </w:rPr>
        <w:t xml:space="preserve">Classe F : </w:t>
      </w:r>
      <w:r>
        <w:rPr>
          <w:rStyle w:val="optioncarChar"/>
        </w:rPr>
        <w:t>12,5P</w:t>
      </w:r>
      <w:r>
        <w:t xml:space="preserve"> (par défaut)</w:t>
      </w:r>
      <w:r>
        <w:rPr>
          <w:rStyle w:val="optioncarChar"/>
        </w:rPr>
        <w:t xml:space="preserve"> / 25LM / ***</w:t>
      </w:r>
    </w:p>
    <w:p w14:paraId="3A5BB40B" w14:textId="77777777" w:rsidR="004B2808" w:rsidRDefault="00000000">
      <w:pPr>
        <w:pStyle w:val="Author-eListParagraph"/>
        <w:numPr>
          <w:ilvl w:val="0"/>
          <w:numId w:val="356"/>
        </w:numPr>
      </w:pPr>
      <w:r>
        <w:rPr>
          <w:rStyle w:val="soitChar"/>
        </w:rPr>
        <w:t xml:space="preserve">Réaction au feu : </w:t>
      </w:r>
      <w:r>
        <w:rPr>
          <w:rStyle w:val="optioncarChar"/>
        </w:rPr>
        <w:t xml:space="preserve">B-s2,d0 </w:t>
      </w:r>
      <w:r>
        <w:t>(par défaut)</w:t>
      </w:r>
      <w:r>
        <w:rPr>
          <w:rStyle w:val="optioncarChar"/>
        </w:rPr>
        <w:t xml:space="preserve"> / F / ***</w:t>
      </w:r>
    </w:p>
    <w:p w14:paraId="6B16D7EB" w14:textId="77777777" w:rsidR="004B2808" w:rsidRDefault="00000000">
      <w:pPr>
        <w:pStyle w:val="Author-eListParagraph"/>
        <w:numPr>
          <w:ilvl w:val="0"/>
          <w:numId w:val="356"/>
        </w:numPr>
      </w:pPr>
      <w:r>
        <w:rPr>
          <w:rStyle w:val="soitChar"/>
        </w:rPr>
        <w:t xml:space="preserve">Support : </w:t>
      </w:r>
      <w:r>
        <w:rPr>
          <w:rStyle w:val="optioncarChar"/>
        </w:rPr>
        <w:t>béton / brique / fibro-ciment / carrelage / pierre naturelle / enduit de ciment / aluminium / acier / PVC</w:t>
      </w:r>
    </w:p>
    <w:p w14:paraId="66664EFA" w14:textId="77777777" w:rsidR="004B2808" w:rsidRDefault="00000000">
      <w:pPr>
        <w:pStyle w:val="Author-eListParagraph"/>
        <w:numPr>
          <w:ilvl w:val="0"/>
          <w:numId w:val="356"/>
        </w:numPr>
      </w:pPr>
      <w:r>
        <w:rPr>
          <w:rStyle w:val="soitChar"/>
        </w:rPr>
        <w:t xml:space="preserve">Finition : aucune </w:t>
      </w:r>
    </w:p>
    <w:p w14:paraId="7DF0A95A" w14:textId="77777777" w:rsidR="004B2808" w:rsidRDefault="00000000">
      <w:pPr>
        <w:pStyle w:val="Author-eListParagraph"/>
        <w:numPr>
          <w:ilvl w:val="0"/>
          <w:numId w:val="356"/>
        </w:numPr>
      </w:pPr>
      <w:r>
        <w:rPr>
          <w:rStyle w:val="soitChar"/>
        </w:rPr>
        <w:t xml:space="preserve">Teinte : </w:t>
      </w:r>
      <w:r>
        <w:rPr>
          <w:rStyle w:val="optioncarChar"/>
        </w:rPr>
        <w:t xml:space="preserve">gris </w:t>
      </w:r>
      <w:r>
        <w:t>(par défaut)</w:t>
      </w:r>
      <w:r>
        <w:rPr>
          <w:rStyle w:val="optioncarChar"/>
        </w:rPr>
        <w:t xml:space="preserve"> / blanc / noir</w:t>
      </w:r>
    </w:p>
    <w:p w14:paraId="149DEE6A" w14:textId="77777777" w:rsidR="004B2808" w:rsidRDefault="00000000">
      <w:pPr>
        <w:spacing w:line="256" w:lineRule="auto"/>
        <w:jc w:val="both"/>
      </w:pPr>
      <w:r>
        <w:rPr>
          <w:b/>
        </w:rPr>
        <w:t>(soit)</w:t>
      </w:r>
    </w:p>
    <w:p w14:paraId="09D010C8" w14:textId="77777777" w:rsidR="004B2808" w:rsidRDefault="00000000">
      <w:pPr>
        <w:spacing w:line="256" w:lineRule="auto"/>
        <w:jc w:val="both"/>
      </w:pPr>
      <w:r>
        <w:rPr>
          <w:rStyle w:val="soitChar"/>
          <w:u w:val="single"/>
        </w:rPr>
        <w:t>Acrylique :</w:t>
      </w:r>
    </w:p>
    <w:p w14:paraId="0E208BF2" w14:textId="77777777" w:rsidR="004B2808" w:rsidRDefault="00000000">
      <w:pPr>
        <w:pStyle w:val="Author-eListParagraph"/>
        <w:numPr>
          <w:ilvl w:val="0"/>
          <w:numId w:val="357"/>
        </w:numPr>
      </w:pPr>
      <w:r>
        <w:rPr>
          <w:rStyle w:val="soitChar"/>
        </w:rPr>
        <w:t xml:space="preserve">Classe F : </w:t>
      </w:r>
      <w:r>
        <w:rPr>
          <w:rStyle w:val="optioncarChar"/>
        </w:rPr>
        <w:t>12,5P</w:t>
      </w:r>
      <w:r>
        <w:t xml:space="preserve"> (par défaut)</w:t>
      </w:r>
      <w:r>
        <w:rPr>
          <w:rStyle w:val="optioncarChar"/>
        </w:rPr>
        <w:t xml:space="preserve"> / ***</w:t>
      </w:r>
    </w:p>
    <w:p w14:paraId="11A57ABD" w14:textId="77777777" w:rsidR="004B2808" w:rsidRDefault="00000000">
      <w:pPr>
        <w:pStyle w:val="Author-eListParagraph"/>
        <w:numPr>
          <w:ilvl w:val="0"/>
          <w:numId w:val="357"/>
        </w:numPr>
      </w:pPr>
      <w:r>
        <w:rPr>
          <w:rStyle w:val="soitChar"/>
        </w:rPr>
        <w:t xml:space="preserve">Réaction au feu : </w:t>
      </w:r>
      <w:r>
        <w:rPr>
          <w:rStyle w:val="optioncarChar"/>
        </w:rPr>
        <w:t>E</w:t>
      </w:r>
      <w:r>
        <w:t xml:space="preserve"> (par défaut)</w:t>
      </w:r>
      <w:r>
        <w:rPr>
          <w:rStyle w:val="optioncarChar"/>
        </w:rPr>
        <w:t xml:space="preserve"> / B-s2,d0 / ***</w:t>
      </w:r>
    </w:p>
    <w:p w14:paraId="14626481" w14:textId="77777777" w:rsidR="004B2808" w:rsidRDefault="00000000">
      <w:pPr>
        <w:pStyle w:val="Author-eListParagraph"/>
        <w:numPr>
          <w:ilvl w:val="0"/>
          <w:numId w:val="357"/>
        </w:numPr>
      </w:pPr>
      <w:r>
        <w:rPr>
          <w:rStyle w:val="soitChar"/>
        </w:rPr>
        <w:lastRenderedPageBreak/>
        <w:t xml:space="preserve">Support : </w:t>
      </w:r>
      <w:r>
        <w:rPr>
          <w:rStyle w:val="optioncarChar"/>
        </w:rPr>
        <w:t>béton / brique / plaques de plâtre / PVC</w:t>
      </w:r>
    </w:p>
    <w:p w14:paraId="1DB6530D" w14:textId="77777777" w:rsidR="004B2808" w:rsidRDefault="00000000">
      <w:pPr>
        <w:pStyle w:val="Author-eListParagraph"/>
        <w:numPr>
          <w:ilvl w:val="0"/>
          <w:numId w:val="357"/>
        </w:numPr>
      </w:pPr>
      <w:r>
        <w:rPr>
          <w:rStyle w:val="soitChar"/>
        </w:rPr>
        <w:t xml:space="preserve">Finition : </w:t>
      </w:r>
      <w:r>
        <w:rPr>
          <w:rStyle w:val="optioncarChar"/>
        </w:rPr>
        <w:t>aucune / peinture.</w:t>
      </w:r>
    </w:p>
    <w:p w14:paraId="769CD750" w14:textId="77777777" w:rsidR="004B2808" w:rsidRDefault="004B2808"/>
    <w:p w14:paraId="79FCFDBD" w14:textId="77777777" w:rsidR="004B2808" w:rsidRDefault="00000000">
      <w:pPr>
        <w:spacing w:line="256" w:lineRule="auto"/>
        <w:jc w:val="both"/>
      </w:pPr>
      <w:r>
        <w:t xml:space="preserve">Fond de joint : </w:t>
      </w:r>
      <w:r>
        <w:rPr>
          <w:rStyle w:val="optioncarChar"/>
        </w:rPr>
        <w:t>cordon de polyéthylène / laine minérale A1 / cordon de polyuréthane / mousse de polyuréthane injectée</w:t>
      </w:r>
    </w:p>
    <w:p w14:paraId="799F283A" w14:textId="77777777" w:rsidR="004B2808" w:rsidRDefault="00000000">
      <w:pPr>
        <w:spacing w:line="256" w:lineRule="auto"/>
        <w:jc w:val="both"/>
      </w:pPr>
      <w:r>
        <w:rPr>
          <w:b/>
        </w:rPr>
        <w:t>(soit)</w:t>
      </w:r>
    </w:p>
    <w:p w14:paraId="69D740EA" w14:textId="77777777" w:rsidR="004B2808" w:rsidRDefault="00000000">
      <w:pPr>
        <w:spacing w:line="256" w:lineRule="auto"/>
        <w:jc w:val="both"/>
      </w:pPr>
      <w:r>
        <w:rPr>
          <w:rStyle w:val="soitChar"/>
          <w:u w:val="single"/>
        </w:rPr>
        <w:t>Profil rond de polyéthylène :</w:t>
      </w:r>
    </w:p>
    <w:p w14:paraId="01E236FD" w14:textId="77777777" w:rsidR="004B2808" w:rsidRDefault="00000000">
      <w:pPr>
        <w:pStyle w:val="Author-eListParagraph"/>
        <w:numPr>
          <w:ilvl w:val="0"/>
          <w:numId w:val="358"/>
        </w:numPr>
      </w:pPr>
      <w:r>
        <w:rPr>
          <w:rStyle w:val="soitChar"/>
        </w:rPr>
        <w:t xml:space="preserve">Diamètre : </w:t>
      </w:r>
      <w:r>
        <w:rPr>
          <w:rStyle w:val="optioncarChar"/>
        </w:rPr>
        <w:t>10 / 25 / ***</w:t>
      </w:r>
      <w:r>
        <w:rPr>
          <w:rStyle w:val="soitChar"/>
        </w:rPr>
        <w:t xml:space="preserve"> mm</w:t>
      </w:r>
    </w:p>
    <w:p w14:paraId="5E64438D" w14:textId="77777777" w:rsidR="004B2808" w:rsidRDefault="00000000">
      <w:pPr>
        <w:pStyle w:val="Author-eListParagraph"/>
        <w:numPr>
          <w:ilvl w:val="0"/>
          <w:numId w:val="358"/>
        </w:numPr>
      </w:pPr>
      <w:r>
        <w:rPr>
          <w:rStyle w:val="soitChar"/>
        </w:rPr>
        <w:t>Structure cellulaire fermée</w:t>
      </w:r>
    </w:p>
    <w:p w14:paraId="4780688B" w14:textId="77777777" w:rsidR="004B2808" w:rsidRDefault="00000000">
      <w:pPr>
        <w:spacing w:line="256" w:lineRule="auto"/>
        <w:jc w:val="both"/>
      </w:pPr>
      <w:r>
        <w:rPr>
          <w:b/>
        </w:rPr>
        <w:t> (soit)</w:t>
      </w:r>
    </w:p>
    <w:p w14:paraId="243771B1" w14:textId="77777777" w:rsidR="004B2808" w:rsidRDefault="00000000">
      <w:pPr>
        <w:spacing w:line="256" w:lineRule="auto"/>
        <w:jc w:val="both"/>
      </w:pPr>
      <w:r>
        <w:rPr>
          <w:rStyle w:val="soitChar"/>
          <w:u w:val="single"/>
        </w:rPr>
        <w:t>Laine minérale A1 :</w:t>
      </w:r>
    </w:p>
    <w:p w14:paraId="7E115AEE" w14:textId="77777777" w:rsidR="004B2808" w:rsidRDefault="00000000">
      <w:pPr>
        <w:pStyle w:val="Author-eListParagraph"/>
        <w:numPr>
          <w:ilvl w:val="0"/>
          <w:numId w:val="359"/>
        </w:numPr>
      </w:pPr>
      <w:r>
        <w:rPr>
          <w:rStyle w:val="soitChar"/>
        </w:rPr>
        <w:t>Réaction au feu : A1</w:t>
      </w:r>
    </w:p>
    <w:p w14:paraId="7ADA4F2C" w14:textId="77777777" w:rsidR="004B2808" w:rsidRDefault="00000000">
      <w:pPr>
        <w:pStyle w:val="Author-eListParagraph"/>
        <w:numPr>
          <w:ilvl w:val="0"/>
          <w:numId w:val="359"/>
        </w:numPr>
      </w:pPr>
      <w:r>
        <w:rPr>
          <w:rStyle w:val="soitChar"/>
        </w:rPr>
        <w:t xml:space="preserve">Masse volumique : </w:t>
      </w:r>
      <w:r>
        <w:rPr>
          <w:rStyle w:val="optioncarChar"/>
        </w:rPr>
        <w:t xml:space="preserve">35 </w:t>
      </w:r>
      <w:r>
        <w:t>(par défaut)</w:t>
      </w:r>
      <w:r>
        <w:rPr>
          <w:rStyle w:val="optioncarChar"/>
        </w:rPr>
        <w:t xml:space="preserve"> / 75 / 90 / ***</w:t>
      </w:r>
      <w:r>
        <w:rPr>
          <w:rStyle w:val="soitChar"/>
        </w:rPr>
        <w:t xml:space="preserve"> kg/m³</w:t>
      </w:r>
    </w:p>
    <w:p w14:paraId="241C4EC9" w14:textId="77777777" w:rsidR="004B2808" w:rsidRDefault="00000000">
      <w:pPr>
        <w:spacing w:line="256" w:lineRule="auto"/>
        <w:jc w:val="both"/>
      </w:pPr>
      <w:r>
        <w:rPr>
          <w:b/>
        </w:rPr>
        <w:t>(soit)</w:t>
      </w:r>
    </w:p>
    <w:p w14:paraId="6D073BF9" w14:textId="77777777" w:rsidR="004B2808" w:rsidRDefault="00000000">
      <w:pPr>
        <w:spacing w:line="256" w:lineRule="auto"/>
        <w:jc w:val="both"/>
      </w:pPr>
      <w:r>
        <w:rPr>
          <w:rStyle w:val="soitChar"/>
          <w:u w:val="single"/>
        </w:rPr>
        <w:t>Profil rond de polyuréthane :</w:t>
      </w:r>
    </w:p>
    <w:p w14:paraId="4994C02F" w14:textId="77777777" w:rsidR="004B2808" w:rsidRDefault="00000000">
      <w:pPr>
        <w:pStyle w:val="Author-eListParagraph"/>
        <w:numPr>
          <w:ilvl w:val="0"/>
          <w:numId w:val="360"/>
        </w:numPr>
      </w:pPr>
      <w:r>
        <w:rPr>
          <w:rStyle w:val="soitChar"/>
        </w:rPr>
        <w:t xml:space="preserve">Diamètre : </w:t>
      </w:r>
      <w:r>
        <w:rPr>
          <w:rStyle w:val="optioncarChar"/>
        </w:rPr>
        <w:t>10 / 25 / 50 / ***</w:t>
      </w:r>
      <w:r>
        <w:rPr>
          <w:rStyle w:val="soitChar"/>
        </w:rPr>
        <w:t xml:space="preserve"> mm</w:t>
      </w:r>
    </w:p>
    <w:p w14:paraId="6A9DA74F" w14:textId="77777777" w:rsidR="004B2808" w:rsidRDefault="00000000">
      <w:pPr>
        <w:pStyle w:val="Author-eListParagraph"/>
        <w:numPr>
          <w:ilvl w:val="0"/>
          <w:numId w:val="360"/>
        </w:numPr>
      </w:pPr>
      <w:r>
        <w:rPr>
          <w:rStyle w:val="soitChar"/>
        </w:rPr>
        <w:t>Structure cellulaire ouverte</w:t>
      </w:r>
    </w:p>
    <w:p w14:paraId="3D28728B" w14:textId="77777777" w:rsidR="004B2808" w:rsidRDefault="00000000">
      <w:pPr>
        <w:spacing w:line="256" w:lineRule="auto"/>
        <w:jc w:val="both"/>
      </w:pPr>
      <w:r>
        <w:rPr>
          <w:b/>
        </w:rPr>
        <w:t> (soit)</w:t>
      </w:r>
    </w:p>
    <w:p w14:paraId="53BF071A" w14:textId="77777777" w:rsidR="004B2808" w:rsidRDefault="00000000">
      <w:pPr>
        <w:spacing w:line="256" w:lineRule="auto"/>
        <w:jc w:val="both"/>
      </w:pPr>
      <w:r>
        <w:rPr>
          <w:rStyle w:val="soitChar"/>
          <w:u w:val="single"/>
        </w:rPr>
        <w:t>Mousse de polyuréthane injectée :</w:t>
      </w:r>
    </w:p>
    <w:p w14:paraId="62804AA8" w14:textId="77777777" w:rsidR="004B2808" w:rsidRDefault="00000000">
      <w:pPr>
        <w:pStyle w:val="Author-eListParagraph"/>
        <w:numPr>
          <w:ilvl w:val="0"/>
          <w:numId w:val="361"/>
        </w:numPr>
        <w:jc w:val="both"/>
      </w:pPr>
      <w:r>
        <w:rPr>
          <w:rStyle w:val="soitChar"/>
        </w:rPr>
        <w:t xml:space="preserve">Réaction au feu : </w:t>
      </w:r>
      <w:r>
        <w:rPr>
          <w:rStyle w:val="optioncarChar"/>
        </w:rPr>
        <w:t xml:space="preserve">E </w:t>
      </w:r>
      <w:r>
        <w:t xml:space="preserve">(par défaut) </w:t>
      </w:r>
      <w:r>
        <w:rPr>
          <w:rStyle w:val="optioncarChar"/>
        </w:rPr>
        <w:t>/ ***</w:t>
      </w:r>
    </w:p>
    <w:p w14:paraId="6EBD038B" w14:textId="77777777" w:rsidR="004B2808" w:rsidRDefault="00000000">
      <w:pPr>
        <w:pStyle w:val="Author-eListParagraph"/>
        <w:numPr>
          <w:ilvl w:val="0"/>
          <w:numId w:val="361"/>
        </w:numPr>
        <w:jc w:val="both"/>
      </w:pPr>
      <w:r>
        <w:rPr>
          <w:rStyle w:val="soitChar"/>
        </w:rPr>
        <w:t>Largeur du joint ≤ 50mm</w:t>
      </w:r>
    </w:p>
    <w:p w14:paraId="643DD6A4" w14:textId="77777777" w:rsidR="004B2808" w:rsidRDefault="00000000">
      <w:pPr>
        <w:pStyle w:val="pheading"/>
      </w:pPr>
      <w:r>
        <w:t>- Finitions</w:t>
      </w:r>
    </w:p>
    <w:p w14:paraId="33604831" w14:textId="77777777" w:rsidR="004B2808" w:rsidRDefault="00000000">
      <w:r>
        <w:t> Finition du joint : adaptée au type de joint</w:t>
      </w:r>
      <w:r>
        <w:br/>
        <w:t>Un échantillon est placé pour approbation par la direction des travaux</w:t>
      </w:r>
    </w:p>
    <w:p w14:paraId="0FBE47E3" w14:textId="77777777" w:rsidR="004B2808" w:rsidRDefault="00000000">
      <w:pPr>
        <w:pStyle w:val="pheading"/>
      </w:pPr>
      <w:r>
        <w:t>EXÉCUTION / MISE EN ŒUVRE</w:t>
      </w:r>
    </w:p>
    <w:p w14:paraId="11D878E7" w14:textId="77777777" w:rsidR="004B2808" w:rsidRDefault="00000000">
      <w:pPr>
        <w:pStyle w:val="pheading"/>
      </w:pPr>
      <w:r>
        <w:t>- Prescriptions générales</w:t>
      </w:r>
    </w:p>
    <w:p w14:paraId="38A2FA8E" w14:textId="77777777" w:rsidR="004B2808" w:rsidRDefault="00000000">
      <w:r>
        <w:t>La mise en œuvre est conforme aux prescriptions du rapport de classification des matériaux. </w:t>
      </w:r>
      <w:r>
        <w:br/>
        <w:t xml:space="preserve">Situation du joint : </w:t>
      </w:r>
      <w:r>
        <w:rPr>
          <w:rStyle w:val="optioncarChar"/>
        </w:rPr>
        <w:t>dans une paroi verticale / dans une dalle</w:t>
      </w:r>
    </w:p>
    <w:p w14:paraId="5F72DBBF" w14:textId="77777777" w:rsidR="004B2808" w:rsidRDefault="00000000">
      <w:r>
        <w:rPr>
          <w:b/>
        </w:rPr>
        <w:t>(soit)</w:t>
      </w:r>
      <w:r>
        <w:br/>
      </w:r>
      <w:r>
        <w:rPr>
          <w:rStyle w:val="soitChar"/>
          <w:u w:val="single"/>
        </w:rPr>
        <w:t>Dans une paroi verticale :</w:t>
      </w:r>
    </w:p>
    <w:p w14:paraId="54651723" w14:textId="77777777" w:rsidR="004B2808" w:rsidRDefault="00000000">
      <w:pPr>
        <w:pStyle w:val="Author-eListParagraph"/>
        <w:numPr>
          <w:ilvl w:val="0"/>
          <w:numId w:val="362"/>
        </w:numPr>
      </w:pPr>
      <w:r>
        <w:rPr>
          <w:rStyle w:val="soitChar"/>
        </w:rPr>
        <w:t xml:space="preserve">Disposition : </w:t>
      </w:r>
      <w:r>
        <w:rPr>
          <w:rStyle w:val="optioncarChar"/>
        </w:rPr>
        <w:t>verticale / horizontale</w:t>
      </w:r>
    </w:p>
    <w:p w14:paraId="45357102" w14:textId="77777777" w:rsidR="004B2808" w:rsidRDefault="00000000">
      <w:pPr>
        <w:pStyle w:val="Author-eListParagraph"/>
        <w:numPr>
          <w:ilvl w:val="0"/>
          <w:numId w:val="362"/>
        </w:numPr>
      </w:pPr>
      <w:r>
        <w:rPr>
          <w:rStyle w:val="soitChar"/>
        </w:rPr>
        <w:t xml:space="preserve">Type de paroi : </w:t>
      </w:r>
      <w:r>
        <w:rPr>
          <w:rStyle w:val="optioncarChar"/>
        </w:rPr>
        <w:t xml:space="preserve">massive </w:t>
      </w:r>
      <w:r>
        <w:t>(par défaut)</w:t>
      </w:r>
      <w:r>
        <w:rPr>
          <w:rStyle w:val="optioncarChar"/>
        </w:rPr>
        <w:t xml:space="preserve"> / légère</w:t>
      </w:r>
    </w:p>
    <w:p w14:paraId="2E3D24A8" w14:textId="77777777" w:rsidR="004B2808" w:rsidRDefault="00000000">
      <w:r>
        <w:rPr>
          <w:b/>
        </w:rPr>
        <w:t>(soit)</w:t>
      </w:r>
      <w:r>
        <w:br/>
      </w:r>
      <w:r>
        <w:rPr>
          <w:rStyle w:val="soitChar"/>
          <w:u w:val="single"/>
        </w:rPr>
        <w:t>Dans une dalle :</w:t>
      </w:r>
    </w:p>
    <w:p w14:paraId="7AB40D15" w14:textId="77777777" w:rsidR="004B2808" w:rsidRDefault="00000000">
      <w:pPr>
        <w:pStyle w:val="Author-eListParagraph"/>
        <w:numPr>
          <w:ilvl w:val="0"/>
          <w:numId w:val="363"/>
        </w:numPr>
        <w:jc w:val="both"/>
      </w:pPr>
      <w:r>
        <w:rPr>
          <w:rStyle w:val="soitChar"/>
        </w:rPr>
        <w:t xml:space="preserve">Épaisseur minimale : </w:t>
      </w:r>
      <w:r>
        <w:rPr>
          <w:rStyle w:val="optioncarChar"/>
        </w:rPr>
        <w:t>150</w:t>
      </w:r>
      <w:r>
        <w:t xml:space="preserve"> (par défaut)</w:t>
      </w:r>
      <w:r>
        <w:rPr>
          <w:rStyle w:val="optioncarChar"/>
        </w:rPr>
        <w:t xml:space="preserve"> / ***</w:t>
      </w:r>
      <w:r>
        <w:rPr>
          <w:rStyle w:val="soitChar"/>
        </w:rPr>
        <w:t xml:space="preserve"> mm</w:t>
      </w:r>
    </w:p>
    <w:p w14:paraId="6866C67A" w14:textId="77777777" w:rsidR="004B2808" w:rsidRDefault="00000000">
      <w:pPr>
        <w:pStyle w:val="Author-eListParagraph"/>
        <w:numPr>
          <w:ilvl w:val="0"/>
          <w:numId w:val="363"/>
        </w:numPr>
      </w:pPr>
      <w:r>
        <w:rPr>
          <w:rStyle w:val="soitChar"/>
        </w:rPr>
        <w:t xml:space="preserve">Densité  ≥ : </w:t>
      </w:r>
      <w:r>
        <w:rPr>
          <w:rStyle w:val="optioncarChar"/>
        </w:rPr>
        <w:t xml:space="preserve">600 </w:t>
      </w:r>
      <w:r>
        <w:t>(par défaut)</w:t>
      </w:r>
      <w:r>
        <w:rPr>
          <w:rStyle w:val="optioncarChar"/>
        </w:rPr>
        <w:t xml:space="preserve"> / ***</w:t>
      </w:r>
      <w:r>
        <w:rPr>
          <w:rStyle w:val="soitChar"/>
        </w:rPr>
        <w:t xml:space="preserve"> kg/m³</w:t>
      </w:r>
      <w:r>
        <w:br/>
      </w:r>
    </w:p>
    <w:p w14:paraId="49D92D3B" w14:textId="77777777" w:rsidR="004B2808" w:rsidRDefault="00000000">
      <w:r>
        <w:t>Préparation du support :</w:t>
      </w:r>
    </w:p>
    <w:p w14:paraId="2BA91464" w14:textId="77777777" w:rsidR="004B2808" w:rsidRDefault="00000000">
      <w:pPr>
        <w:pStyle w:val="Author-eListParagraph"/>
        <w:numPr>
          <w:ilvl w:val="0"/>
          <w:numId w:val="364"/>
        </w:numPr>
      </w:pPr>
      <w:r>
        <w:t>propre et sec</w:t>
      </w:r>
    </w:p>
    <w:p w14:paraId="107FFFA5" w14:textId="77777777" w:rsidR="004B2808" w:rsidRDefault="00000000">
      <w:pPr>
        <w:pStyle w:val="Author-eListParagraph"/>
        <w:numPr>
          <w:ilvl w:val="0"/>
          <w:numId w:val="364"/>
        </w:numPr>
      </w:pPr>
      <w:r>
        <w:t>débarrassé de toute poussière, particules non adhérentes, traces de graisse, d’huile, etc…</w:t>
      </w:r>
    </w:p>
    <w:p w14:paraId="197F2314" w14:textId="77777777" w:rsidR="004B2808" w:rsidRDefault="00000000">
      <w:pPr>
        <w:pStyle w:val="Author-eListParagraph"/>
        <w:numPr>
          <w:ilvl w:val="0"/>
          <w:numId w:val="364"/>
        </w:numPr>
      </w:pPr>
      <w:r>
        <w:t>application du primaire décrit dans la documentation technique jointe aux matériaux</w:t>
      </w:r>
    </w:p>
    <w:p w14:paraId="3D716A57" w14:textId="77777777" w:rsidR="004B2808" w:rsidRDefault="00000000">
      <w:r>
        <w:t xml:space="preserve">Application du joint : </w:t>
      </w:r>
      <w:r>
        <w:rPr>
          <w:rStyle w:val="optioncarChar"/>
        </w:rPr>
        <w:t xml:space="preserve">des 2 côtés </w:t>
      </w:r>
      <w:r>
        <w:t>(par défaut)</w:t>
      </w:r>
      <w:r>
        <w:rPr>
          <w:rStyle w:val="optioncarChar"/>
        </w:rPr>
        <w:t xml:space="preserve"> / côté feu</w:t>
      </w:r>
    </w:p>
    <w:p w14:paraId="43096EA9" w14:textId="77777777" w:rsidR="004B2808" w:rsidRDefault="00000000">
      <w:r>
        <w:lastRenderedPageBreak/>
        <w:t>Mise en place du fond de joint adapté à la largeur du joint.</w:t>
      </w:r>
      <w:r>
        <w:br/>
        <w:t>Application du mastic résistant au feu</w:t>
      </w:r>
    </w:p>
    <w:p w14:paraId="5BE7282D" w14:textId="77777777" w:rsidR="004B2808" w:rsidRDefault="00000000">
      <w:pPr>
        <w:pStyle w:val="pheading"/>
      </w:pPr>
      <w:r>
        <w:t>DOCUMENTS DE RÉFÉRENCE COMPLÉMENTAIRES</w:t>
      </w:r>
    </w:p>
    <w:p w14:paraId="4DFD3DEF" w14:textId="77777777" w:rsidR="004B2808" w:rsidRDefault="00000000">
      <w:pPr>
        <w:pStyle w:val="pheading"/>
      </w:pPr>
      <w:r>
        <w:t>- Matériau</w:t>
      </w:r>
    </w:p>
    <w:p w14:paraId="073DCFC5" w14:textId="77777777" w:rsidR="004B2808" w:rsidRDefault="00000000">
      <w:r>
        <w:t>[AR 1994-07-07, Arrêté royal fixant les normes de base en matière de prévention contre l'incendie et l'explosion, auxquelles les bâtiments nouveaux doivent satisfaire]  </w:t>
      </w:r>
    </w:p>
    <w:p w14:paraId="69587927" w14:textId="77777777" w:rsidR="004B2808" w:rsidRDefault="00000000">
      <w:r>
        <w:t>[STS 56.1, Mastics d’étanchéité des façades]  </w:t>
      </w:r>
    </w:p>
    <w:p w14:paraId="022CBD0A" w14:textId="77777777" w:rsidR="004B2808" w:rsidRDefault="00000000">
      <w:r>
        <w:t>[NBN EN 1366-4, Essais de résistance au feu des installations techniques - Partie 4 : Calfeutrements de joints linéaires]</w:t>
      </w:r>
    </w:p>
    <w:p w14:paraId="095CE361" w14:textId="77777777" w:rsidR="004B2808" w:rsidRDefault="00000000">
      <w:r>
        <w:t>[NBN EN 13501-1, Classement au feu des produits et éléments de construction - Partie 1: Classement à partir des données d'essais de réaction au feu]</w:t>
      </w:r>
    </w:p>
    <w:p w14:paraId="4B8BC34D" w14:textId="77777777" w:rsidR="004B280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4BD0413F" w14:textId="77777777" w:rsidR="004B2808" w:rsidRDefault="00000000">
      <w:r>
        <w:t>[NBN EN ISO 11600, Construction immobilière - Produits pour joints - Classification et exigences pour les mastics (ISO 11600:2002)]</w:t>
      </w:r>
    </w:p>
    <w:p w14:paraId="0F63E81B" w14:textId="77777777" w:rsidR="004B2808" w:rsidRDefault="00000000">
      <w:pPr>
        <w:pStyle w:val="pheading"/>
      </w:pPr>
      <w:r>
        <w:t>MESURAGE</w:t>
      </w:r>
    </w:p>
    <w:p w14:paraId="06CBFB99" w14:textId="77777777" w:rsidR="004B2808" w:rsidRDefault="00000000">
      <w:pPr>
        <w:pStyle w:val="pheading"/>
      </w:pPr>
      <w:r>
        <w:t>- unité de mesure:</w:t>
      </w:r>
    </w:p>
    <w:p w14:paraId="5A7FE15D" w14:textId="77777777" w:rsidR="004B2808" w:rsidRDefault="00000000">
      <w:r>
        <w:rPr>
          <w:rStyle w:val="optioncarChar"/>
        </w:rPr>
        <w:t xml:space="preserve">- </w:t>
      </w:r>
      <w:r>
        <w:t>(par défaut)</w:t>
      </w:r>
      <w:r>
        <w:rPr>
          <w:rStyle w:val="optioncarChar"/>
        </w:rPr>
        <w:t xml:space="preserve"> / m</w:t>
      </w:r>
    </w:p>
    <w:p w14:paraId="76F5A33E" w14:textId="77777777" w:rsidR="004B2808" w:rsidRDefault="00000000">
      <w:r>
        <w:rPr>
          <w:b/>
        </w:rPr>
        <w:t>(soit par défaut)</w:t>
      </w:r>
      <w:r>
        <w:br/>
      </w:r>
      <w:r>
        <w:rPr>
          <w:rStyle w:val="soitChar"/>
        </w:rPr>
        <w:t>1. -</w:t>
      </w:r>
      <w:r>
        <w:br/>
      </w:r>
      <w:r>
        <w:rPr>
          <w:b/>
        </w:rPr>
        <w:t>(soit)</w:t>
      </w:r>
      <w:r>
        <w:br/>
      </w:r>
      <w:r>
        <w:rPr>
          <w:rStyle w:val="soitChar"/>
        </w:rPr>
        <w:t>2. m</w:t>
      </w:r>
    </w:p>
    <w:p w14:paraId="48848865" w14:textId="77777777" w:rsidR="004B2808" w:rsidRDefault="00000000">
      <w:pPr>
        <w:pStyle w:val="pheading"/>
      </w:pPr>
      <w:r>
        <w:t>- code de mesurage:</w:t>
      </w:r>
    </w:p>
    <w:p w14:paraId="1F7162BC" w14:textId="77777777" w:rsidR="004B2808" w:rsidRDefault="00000000">
      <w:r>
        <w:rPr>
          <w:rStyle w:val="optioncarChar"/>
        </w:rPr>
        <w:t>Compris </w:t>
      </w:r>
      <w:r>
        <w:t xml:space="preserve">(par défaut) </w:t>
      </w:r>
      <w:r>
        <w:rPr>
          <w:rStyle w:val="optioncarChar"/>
        </w:rPr>
        <w:t>/ Longueur nette</w:t>
      </w:r>
    </w:p>
    <w:p w14:paraId="5BE58A2E" w14:textId="77777777" w:rsidR="004B2808" w:rsidRDefault="00000000">
      <w:r>
        <w:rPr>
          <w:b/>
        </w:rPr>
        <w:t>(soit par défaut)</w:t>
      </w:r>
      <w:r>
        <w:br/>
      </w:r>
      <w:r>
        <w:rPr>
          <w:rStyle w:val="soitChar"/>
        </w:rPr>
        <w:t xml:space="preserve">1. </w:t>
      </w:r>
      <w:r>
        <w:rPr>
          <w:rStyle w:val="soitChar"/>
          <w:u w:val="single"/>
        </w:rPr>
        <w:t>Compris</w:t>
      </w:r>
      <w:r>
        <w:rPr>
          <w:rStyle w:val="soitChar"/>
        </w:rPr>
        <w:t xml:space="preserve"> dans le prix de la paroi dans lequel il est inséré</w:t>
      </w:r>
      <w:r>
        <w:br/>
      </w:r>
      <w:r>
        <w:rPr>
          <w:b/>
        </w:rPr>
        <w:t>(soit)</w:t>
      </w:r>
      <w:r>
        <w:br/>
      </w:r>
      <w:r>
        <w:rPr>
          <w:rStyle w:val="soitChar"/>
        </w:rPr>
        <w:t xml:space="preserve">2. </w:t>
      </w:r>
      <w:r>
        <w:rPr>
          <w:rStyle w:val="soitChar"/>
          <w:u w:val="single"/>
        </w:rPr>
        <w:t>Longueur nette</w:t>
      </w:r>
      <w:r>
        <w:rPr>
          <w:rStyle w:val="soitChar"/>
        </w:rPr>
        <w:t xml:space="preserve"> à mettre en œuvre, distinction faite suivant le type</w:t>
      </w:r>
    </w:p>
    <w:p w14:paraId="0FF2F648" w14:textId="77777777" w:rsidR="004B2808" w:rsidRDefault="00000000">
      <w:pPr>
        <w:pStyle w:val="pheading"/>
      </w:pPr>
      <w:r>
        <w:t>- nature du marché:</w:t>
      </w:r>
    </w:p>
    <w:p w14:paraId="76DEED63" w14:textId="77777777" w:rsidR="004B2808" w:rsidRDefault="00000000">
      <w:r>
        <w:rPr>
          <w:rStyle w:val="optioncarChar"/>
        </w:rPr>
        <w:t>PM</w:t>
      </w:r>
      <w:r>
        <w:t xml:space="preserve"> (par défaut)</w:t>
      </w:r>
      <w:r>
        <w:rPr>
          <w:rStyle w:val="optioncarChar"/>
        </w:rPr>
        <w:t xml:space="preserve"> / QF</w:t>
      </w:r>
    </w:p>
    <w:p w14:paraId="6145E8DF" w14:textId="77777777" w:rsidR="004B2808" w:rsidRDefault="00000000">
      <w:r>
        <w:rPr>
          <w:b/>
        </w:rPr>
        <w:t>(soit par défaut)</w:t>
      </w:r>
      <w:r>
        <w:br/>
      </w:r>
      <w:r>
        <w:rPr>
          <w:rStyle w:val="soitChar"/>
        </w:rPr>
        <w:t>1.  PM</w:t>
      </w:r>
      <w:r>
        <w:br/>
      </w:r>
      <w:r>
        <w:rPr>
          <w:b/>
        </w:rPr>
        <w:t>(soit)</w:t>
      </w:r>
      <w:r>
        <w:br/>
      </w:r>
      <w:r>
        <w:rPr>
          <w:rStyle w:val="soitChar"/>
        </w:rPr>
        <w:t>2.  QF</w:t>
      </w:r>
    </w:p>
    <w:p w14:paraId="5203A13B" w14:textId="77777777" w:rsidR="004B2808" w:rsidRDefault="00000000">
      <w:pPr>
        <w:pStyle w:val="pheading"/>
      </w:pPr>
      <w:r>
        <w:t>AIDE</w:t>
      </w:r>
    </w:p>
    <w:p w14:paraId="704D35B0" w14:textId="77777777" w:rsidR="004B2808" w:rsidRDefault="00000000">
      <w:pPr>
        <w:jc w:val="both"/>
      </w:pPr>
      <w:r>
        <w:t>Le système de mastic résistant au feu comprend le type de mastic et de fond de joint et est déterminé en fonction :</w:t>
      </w:r>
    </w:p>
    <w:p w14:paraId="5D11984C" w14:textId="77777777" w:rsidR="004B2808" w:rsidRDefault="00000000">
      <w:pPr>
        <w:pStyle w:val="Author-eListParagraph"/>
        <w:numPr>
          <w:ilvl w:val="0"/>
          <w:numId w:val="365"/>
        </w:numPr>
        <w:jc w:val="both"/>
      </w:pPr>
      <w:r>
        <w:t>de sa compatibilité avec les matériaux adjacents</w:t>
      </w:r>
    </w:p>
    <w:p w14:paraId="070C8317" w14:textId="77777777" w:rsidR="004B2808" w:rsidRDefault="00000000">
      <w:pPr>
        <w:pStyle w:val="Author-eListParagraph"/>
        <w:numPr>
          <w:ilvl w:val="0"/>
          <w:numId w:val="365"/>
        </w:numPr>
        <w:jc w:val="both"/>
      </w:pPr>
      <w:r>
        <w:t>de la situation du joint dans une paroi verticale ou horizontale</w:t>
      </w:r>
    </w:p>
    <w:p w14:paraId="060DB6EA" w14:textId="77777777" w:rsidR="004B2808" w:rsidRDefault="00000000">
      <w:pPr>
        <w:pStyle w:val="Author-eListParagraph"/>
        <w:numPr>
          <w:ilvl w:val="0"/>
          <w:numId w:val="365"/>
        </w:numPr>
        <w:jc w:val="both"/>
      </w:pPr>
      <w:r>
        <w:t>de la composition de la paroi</w:t>
      </w:r>
    </w:p>
    <w:p w14:paraId="572EF344" w14:textId="77777777" w:rsidR="004B2808" w:rsidRDefault="00000000">
      <w:pPr>
        <w:pStyle w:val="Author-eListParagraph"/>
        <w:numPr>
          <w:ilvl w:val="0"/>
          <w:numId w:val="365"/>
        </w:numPr>
        <w:jc w:val="both"/>
      </w:pPr>
      <w:r>
        <w:t>de l’accessibilité aux faces du joint (une face / 2 faces)</w:t>
      </w:r>
    </w:p>
    <w:p w14:paraId="3F3763C0" w14:textId="77777777" w:rsidR="004B2808" w:rsidRDefault="00000000">
      <w:pPr>
        <w:pStyle w:val="Author-eListParagraph"/>
        <w:numPr>
          <w:ilvl w:val="0"/>
          <w:numId w:val="365"/>
        </w:numPr>
        <w:jc w:val="both"/>
      </w:pPr>
      <w:r>
        <w:t>des dimensions du joint (rapport largeur et profondeur conforme au rapport de classification)</w:t>
      </w:r>
    </w:p>
    <w:p w14:paraId="4AFA93BE" w14:textId="77777777" w:rsidR="004B2808" w:rsidRDefault="00000000">
      <w:pPr>
        <w:pStyle w:val="Author-eListParagraph"/>
        <w:numPr>
          <w:ilvl w:val="0"/>
          <w:numId w:val="365"/>
        </w:numPr>
        <w:jc w:val="both"/>
      </w:pPr>
      <w:r>
        <w:t>de la finition des matériaux adjacents et de l’aspect attendu du joint</w:t>
      </w:r>
    </w:p>
    <w:p w14:paraId="0A02B572" w14:textId="77777777" w:rsidR="004B2808" w:rsidRDefault="00000000">
      <w:pPr>
        <w:pStyle w:val="Author-eSectionHeading3Numberless"/>
      </w:pPr>
      <w:bookmarkStart w:id="373" w:name="_Toc220490552"/>
      <w:r>
        <w:lastRenderedPageBreak/>
        <w:t>52.4 Isolation CCTB 01.08</w:t>
      </w:r>
      <w:bookmarkEnd w:id="373"/>
    </w:p>
    <w:p w14:paraId="24F78C97" w14:textId="77777777" w:rsidR="004B2808" w:rsidRDefault="00000000">
      <w:pPr>
        <w:pStyle w:val="pheading"/>
      </w:pPr>
      <w:bookmarkStart w:id="374" w:name="73"/>
      <w:bookmarkEnd w:id="374"/>
      <w:r>
        <w:t>DESCRIPTION</w:t>
      </w:r>
    </w:p>
    <w:p w14:paraId="47D93CD8" w14:textId="77777777" w:rsidR="004B2808" w:rsidRDefault="00000000">
      <w:pPr>
        <w:pStyle w:val="pheading"/>
      </w:pPr>
      <w:r>
        <w:t>- Définition / Comprend</w:t>
      </w:r>
    </w:p>
    <w:p w14:paraId="740008F3" w14:textId="77777777" w:rsidR="004B2808" w:rsidRDefault="00000000">
      <w:r>
        <w:t xml:space="preserve">Cet élément et sa descendance concernent la fourniture et la pose d'isolations tant pour des raisons </w:t>
      </w:r>
      <w:r>
        <w:rPr>
          <w:b/>
        </w:rPr>
        <w:t>thermique</w:t>
      </w:r>
      <w:r>
        <w:t xml:space="preserve"> qu'</w:t>
      </w:r>
      <w:r>
        <w:rPr>
          <w:b/>
        </w:rPr>
        <w:t>acoustique</w:t>
      </w:r>
      <w:r>
        <w:t>.  Ces isolations peuvent faire partie d’un ensemble et avoir d’autres caractéristiques (comportement au feu, …) telles que le précise la sous-rubrique « remarques importantes », ci-dessous.</w:t>
      </w:r>
    </w:p>
    <w:p w14:paraId="4064545A" w14:textId="77777777" w:rsidR="004B2808" w:rsidRDefault="00000000">
      <w:r>
        <w:t>Les travaux d'isolation sont prescrits au sein de tomes spécifiques suivant leur application.  Le présent titre concerne les isolants à l'intérieur par rapport à la structure portante et qui ne sont pas repris dans les tomes 1 à 3 (sous chape, isolation par l'intérieur, isolation dans l'épaisseur de la toiture, en cloisons, en faux-plafonds...)</w:t>
      </w:r>
    </w:p>
    <w:p w14:paraId="6404E71F" w14:textId="77777777" w:rsidR="004B2808" w:rsidRDefault="00000000">
      <w:r>
        <w:t>Dès lors, pour les isolants rendus inaccessibles par les travaux prescrits dans un autre tome, il y a lieu de consulter le tome concerné, à savoir :</w:t>
      </w:r>
    </w:p>
    <w:p w14:paraId="2B2375B7" w14:textId="77777777" w:rsidR="004B2808" w:rsidRDefault="00000000">
      <w:pPr>
        <w:pStyle w:val="Author-eListParagraph"/>
        <w:numPr>
          <w:ilvl w:val="0"/>
          <w:numId w:val="366"/>
        </w:numPr>
      </w:pPr>
      <w:r>
        <w:rPr>
          <w:u w:val="single"/>
        </w:rPr>
        <w:t>1 T1 Terrassements / fondations (15.4 Isolation)</w:t>
      </w:r>
      <w:r>
        <w:t xml:space="preserve"> : les isolants sous dalles de sol ainsi que les isolants sous fondation ou latéralement entre fondation et terre.</w:t>
      </w:r>
    </w:p>
    <w:p w14:paraId="0A67C513" w14:textId="77777777" w:rsidR="004B2808" w:rsidRDefault="00000000">
      <w:pPr>
        <w:pStyle w:val="Author-eListParagraph"/>
        <w:numPr>
          <w:ilvl w:val="0"/>
          <w:numId w:val="366"/>
        </w:numPr>
      </w:pPr>
      <w:r>
        <w:rPr>
          <w:u w:val="single"/>
        </w:rPr>
        <w:t>2 T2 Superstructures (26.4 Isolation)</w:t>
      </w:r>
      <w:r>
        <w:t xml:space="preserve"> : les isolants qui sont rendus inaccessibles par des travaux prescrits dans le 2 T2 Superstructures (entre 2 dalles, derrière un parement maçonné...) ainsi que les isolants entre les éléments de structure et la terre.</w:t>
      </w:r>
    </w:p>
    <w:p w14:paraId="4A002A57" w14:textId="77777777" w:rsidR="004B2808" w:rsidRDefault="00000000">
      <w:pPr>
        <w:pStyle w:val="Author-eListParagraph"/>
        <w:numPr>
          <w:ilvl w:val="0"/>
          <w:numId w:val="366"/>
        </w:numPr>
      </w:pPr>
      <w:r>
        <w:rPr>
          <w:u w:val="single"/>
        </w:rPr>
        <w:t>3 T3 Travaux de toiture (32.4 Isolation)</w:t>
      </w:r>
      <w:r>
        <w:t xml:space="preserve"> : les isolants qui sont rendus inaccessibles par des travaux prescrits dans le 3 T3 Travaux de toiture (entre structure et étanchéité de toiture...)</w:t>
      </w:r>
    </w:p>
    <w:p w14:paraId="03652D8A" w14:textId="77777777" w:rsidR="004B2808" w:rsidRDefault="00000000">
      <w:pPr>
        <w:pStyle w:val="Author-eListParagraph"/>
        <w:numPr>
          <w:ilvl w:val="0"/>
          <w:numId w:val="366"/>
        </w:numPr>
      </w:pPr>
      <w:r>
        <w:rPr>
          <w:u w:val="single"/>
        </w:rPr>
        <w:t>4 T4 Fermetures / Finitions extérieures (44.4 Isolation)</w:t>
      </w:r>
      <w:r>
        <w:t xml:space="preserve"> : les isolants à l'extérieur par rapport à la structure portante et qui ne sont pas repris dans les tomes 1 à 3 (derrière bardage, en faux-plafond extérieur...)</w:t>
      </w:r>
    </w:p>
    <w:p w14:paraId="5B90CA1E" w14:textId="77777777" w:rsidR="004B2808" w:rsidRDefault="00000000">
      <w:r>
        <w:t>Les prescriptions des isolants sont structurées dans le CCTB comme suit :</w:t>
      </w:r>
    </w:p>
    <w:p w14:paraId="5CA6C992" w14:textId="77777777" w:rsidR="004B2808" w:rsidRDefault="00000000">
      <w:pPr>
        <w:pStyle w:val="Author-eListParagraph"/>
        <w:numPr>
          <w:ilvl w:val="0"/>
          <w:numId w:val="367"/>
        </w:numPr>
      </w:pPr>
      <w:r>
        <w:rPr>
          <w:u w:val="single"/>
        </w:rPr>
        <w:t>XX.41. Isolation en panneaux</w:t>
      </w:r>
      <w:r>
        <w:t xml:space="preserve"> &gt; matériau se présentant sous forme de panneaux</w:t>
      </w:r>
    </w:p>
    <w:p w14:paraId="058FDCBB" w14:textId="77777777" w:rsidR="004B2808" w:rsidRDefault="00000000">
      <w:pPr>
        <w:pStyle w:val="Author-eListParagraph"/>
        <w:numPr>
          <w:ilvl w:val="0"/>
          <w:numId w:val="367"/>
        </w:numPr>
      </w:pPr>
      <w:r>
        <w:rPr>
          <w:u w:val="single"/>
        </w:rPr>
        <w:t>XX.42 Isolation en rouleaux/matelas</w:t>
      </w:r>
      <w:r>
        <w:t xml:space="preserve"> &gt; matériau se présentant sous forme de rouleaux ou matelas présentant plus de souplesse que des panneaux rigides</w:t>
      </w:r>
    </w:p>
    <w:p w14:paraId="7B139A9E" w14:textId="77777777" w:rsidR="004B2808" w:rsidRDefault="00000000">
      <w:pPr>
        <w:pStyle w:val="Author-eListParagraph"/>
        <w:numPr>
          <w:ilvl w:val="0"/>
          <w:numId w:val="367"/>
        </w:numPr>
      </w:pPr>
      <w:r>
        <w:rPr>
          <w:u w:val="single"/>
        </w:rPr>
        <w:t>XX.43 Isolation à projeter</w:t>
      </w:r>
      <w:r>
        <w:t xml:space="preserve"> &gt; isolant projeté sous forme de liquide collant (ou particules amalgamées à l’aide d’un agent liquide/colle) sur des parois ou dans des caissons (verticaux également) ouverts</w:t>
      </w:r>
    </w:p>
    <w:p w14:paraId="3A1F9171" w14:textId="77777777" w:rsidR="004B2808" w:rsidRDefault="00000000">
      <w:pPr>
        <w:pStyle w:val="Author-eListParagraph"/>
        <w:numPr>
          <w:ilvl w:val="0"/>
          <w:numId w:val="367"/>
        </w:numPr>
      </w:pPr>
      <w:r>
        <w:rPr>
          <w:u w:val="single"/>
        </w:rPr>
        <w:t>XX.44 Isolation à souffler</w:t>
      </w:r>
      <w:r>
        <w:t xml:space="preserve"> &gt; isolant sous forme de particules principalement, insufflé dans des caissons fermés (parois de caissons rigides ou souples pour certaines (cas des membranes freine-vapeur))</w:t>
      </w:r>
    </w:p>
    <w:p w14:paraId="681B6135" w14:textId="77777777" w:rsidR="004B2808" w:rsidRDefault="00000000">
      <w:pPr>
        <w:pStyle w:val="Author-eListParagraph"/>
        <w:numPr>
          <w:ilvl w:val="0"/>
          <w:numId w:val="367"/>
        </w:numPr>
      </w:pPr>
      <w:r>
        <w:rPr>
          <w:u w:val="single"/>
        </w:rPr>
        <w:t>XX.45 Isolation à injecter</w:t>
      </w:r>
      <w:r>
        <w:t>  &gt; isolant injecté dans une lame d’air assez étroite (isolant injectés sous pression dans les lames d’air de murs creux)</w:t>
      </w:r>
    </w:p>
    <w:p w14:paraId="7D6D2131" w14:textId="77777777" w:rsidR="004B2808" w:rsidRDefault="00000000">
      <w:pPr>
        <w:pStyle w:val="Author-eListParagraph"/>
        <w:numPr>
          <w:ilvl w:val="0"/>
          <w:numId w:val="367"/>
        </w:numPr>
      </w:pPr>
      <w:r>
        <w:rPr>
          <w:u w:val="single"/>
        </w:rPr>
        <w:t>XX.46 Isolation à verser en vrac</w:t>
      </w:r>
      <w:r>
        <w:t>  &gt; isolants placés sans mise sous pression dans des caissons ouverts ou directement sur une surface plane, indistinctement qu’ils soient déversés sur place à partir de sacs de transport ou par soufflage.</w:t>
      </w:r>
    </w:p>
    <w:p w14:paraId="5E9F4711" w14:textId="77777777" w:rsidR="004B2808" w:rsidRDefault="00000000">
      <w:pPr>
        <w:pStyle w:val="Author-eListParagraph"/>
        <w:numPr>
          <w:ilvl w:val="0"/>
          <w:numId w:val="367"/>
        </w:numPr>
      </w:pPr>
      <w:r>
        <w:rPr>
          <w:u w:val="single"/>
        </w:rPr>
        <w:t>XX.47 Isolation en blocs</w:t>
      </w:r>
      <w:r>
        <w:t xml:space="preserve"> &gt; cas particuliers des isolants en blocs non-porteurs assemblés à joints secs ou maçonnés.</w:t>
      </w:r>
    </w:p>
    <w:p w14:paraId="1F76312B" w14:textId="77777777" w:rsidR="004B2808" w:rsidRDefault="004B2808"/>
    <w:p w14:paraId="1448F7DF" w14:textId="77777777" w:rsidR="004B2808" w:rsidRDefault="00000000">
      <w:pPr>
        <w:pStyle w:val="pheading"/>
      </w:pPr>
      <w:r>
        <w:t>- Remarques importantes</w:t>
      </w:r>
    </w:p>
    <w:p w14:paraId="4E59D0CC" w14:textId="77777777" w:rsidR="004B2808" w:rsidRDefault="00000000">
      <w:r>
        <w:rPr>
          <w:b/>
        </w:rPr>
        <w:t>Hygrothermie</w:t>
      </w:r>
      <w:r>
        <w:t xml:space="preserve"> :  La composition des parois constituant l’enveloppe du bâtiment doit se faire en tenant compte des caractéristiques globales des différents matériaux les composant, notamment, du point de vue hygrothermique, la résistance à la diffusion de vapeur d’eau (valeur Sd) de l’écran à l’air et à la vapeur placé du côté chaud de l’isolant ainsi que celle des matériaux constituant la structure ou ossature portante, l’éventuel pare-pluie ainsi que le parement, le bardage ou enduit extérieur.</w:t>
      </w:r>
    </w:p>
    <w:p w14:paraId="66ABF115" w14:textId="77777777" w:rsidR="004B2808" w:rsidRDefault="00000000">
      <w:r>
        <w:rPr>
          <w:b/>
        </w:rPr>
        <w:t>Performance thermique</w:t>
      </w:r>
      <w:r>
        <w:t xml:space="preserve"> :  Une fois les matériaux mis en œuvre, la résistance thermique globale des parois concernées doit satisfaire aux exigences de la réglementation PEB – voir § 00.5 Terminologie.</w:t>
      </w:r>
    </w:p>
    <w:p w14:paraId="6D4C9DB3" w14:textId="77777777" w:rsidR="004B2808" w:rsidRDefault="00000000">
      <w:pPr>
        <w:pStyle w:val="pheading"/>
      </w:pPr>
      <w:r>
        <w:lastRenderedPageBreak/>
        <w:t>MATÉRIAUX</w:t>
      </w:r>
    </w:p>
    <w:p w14:paraId="2F4ACB86" w14:textId="77777777" w:rsidR="004B2808" w:rsidRDefault="00000000">
      <w:r>
        <w:t>Les matériaux d'isolation sont non capillaires. Ils n'attaquent pas les autres éléments de construction.</w:t>
      </w:r>
    </w:p>
    <w:p w14:paraId="636E91F1" w14:textId="77777777" w:rsidR="004B2808" w:rsidRDefault="00000000">
      <w:r>
        <w:t>Si le matériau d'isolation est endommagé, il ne peut être utilisé.</w:t>
      </w:r>
    </w:p>
    <w:p w14:paraId="23E1C895" w14:textId="77777777" w:rsidR="004B2808" w:rsidRDefault="00000000">
      <w:pPr>
        <w:pStyle w:val="pheading"/>
      </w:pPr>
      <w:r>
        <w:t>DOCUMENTS DE RÉFÉRENCE</w:t>
      </w:r>
    </w:p>
    <w:p w14:paraId="27D8C38A" w14:textId="77777777" w:rsidR="004B2808" w:rsidRDefault="00000000">
      <w:pPr>
        <w:pStyle w:val="pheading"/>
      </w:pPr>
      <w:r>
        <w:t>- Matériau</w:t>
      </w:r>
    </w:p>
    <w:p w14:paraId="41D23C94" w14:textId="77777777" w:rsidR="004B2808" w:rsidRDefault="00000000">
      <w:r>
        <w:t>32.4 Isolation</w:t>
      </w:r>
    </w:p>
    <w:p w14:paraId="396AE37D" w14:textId="77777777" w:rsidR="004B2808" w:rsidRDefault="00000000">
      <w:pPr>
        <w:pStyle w:val="pheading"/>
      </w:pPr>
      <w:r>
        <w:t>- Exécution</w:t>
      </w:r>
    </w:p>
    <w:p w14:paraId="54A61790" w14:textId="77777777" w:rsidR="004B2808" w:rsidRDefault="00000000">
      <w:r>
        <w:t>32.4 Isolation</w:t>
      </w:r>
    </w:p>
    <w:p w14:paraId="02E2D166" w14:textId="77777777" w:rsidR="004B2808" w:rsidRDefault="00000000">
      <w:pPr>
        <w:pStyle w:val="Author-eSectionHeading4Numberless"/>
      </w:pPr>
      <w:bookmarkStart w:id="375" w:name="_Toc220490553"/>
      <w:r>
        <w:t>52.41 Isolation en panneaux CCTB 01.12</w:t>
      </w:r>
      <w:bookmarkEnd w:id="375"/>
    </w:p>
    <w:p w14:paraId="5287E09D" w14:textId="77777777" w:rsidR="004B2808" w:rsidRDefault="00000000">
      <w:pPr>
        <w:pStyle w:val="pheading"/>
      </w:pPr>
      <w:bookmarkStart w:id="376" w:name="1190"/>
      <w:bookmarkEnd w:id="376"/>
      <w:r>
        <w:t>DESCRIPTION</w:t>
      </w:r>
    </w:p>
    <w:p w14:paraId="41C0C778" w14:textId="77777777" w:rsidR="004B2808" w:rsidRDefault="00000000">
      <w:pPr>
        <w:pStyle w:val="pheading"/>
      </w:pPr>
      <w:r>
        <w:t>- Définition / Comprend</w:t>
      </w:r>
    </w:p>
    <w:p w14:paraId="1BB12EAC" w14:textId="77777777" w:rsidR="004B2808" w:rsidRDefault="00000000">
      <w:pPr>
        <w:jc w:val="both"/>
      </w:pPr>
      <w:r>
        <w:t>Il s’agit des fournitures et de la mise en œuvre des panneaux d’isolation rigides et semi rigides pour application en cloisons, plancher faux plafonds et autres applications intérieures.</w:t>
      </w:r>
    </w:p>
    <w:p w14:paraId="77583B6C" w14:textId="77777777" w:rsidR="004B2808" w:rsidRDefault="00000000">
      <w:pPr>
        <w:jc w:val="both"/>
      </w:pPr>
      <w:r>
        <w:t>Ces travaux sont réalisés suivant les prescriptions de l'élément 32.41 Isolation en panneaux.</w:t>
      </w:r>
    </w:p>
    <w:p w14:paraId="0EEC8E41" w14:textId="77777777" w:rsidR="004B2808" w:rsidRDefault="00000000">
      <w:pPr>
        <w:jc w:val="both"/>
      </w:pPr>
      <w:r>
        <w:t>Les travaux comprennent :</w:t>
      </w:r>
    </w:p>
    <w:p w14:paraId="241A1C5F" w14:textId="77777777" w:rsidR="004B2808" w:rsidRDefault="00000000">
      <w:pPr>
        <w:pStyle w:val="Author-eListParagraph"/>
        <w:numPr>
          <w:ilvl w:val="0"/>
          <w:numId w:val="368"/>
        </w:numPr>
        <w:jc w:val="both"/>
      </w:pPr>
      <w:r>
        <w:t>la préparation et le contrôle de l'aire de pose ;</w:t>
      </w:r>
    </w:p>
    <w:p w14:paraId="18BF2A4D" w14:textId="77777777" w:rsidR="004B2808" w:rsidRDefault="00000000">
      <w:pPr>
        <w:pStyle w:val="Author-eListParagraph"/>
        <w:numPr>
          <w:ilvl w:val="0"/>
          <w:numId w:val="368"/>
        </w:numPr>
        <w:jc w:val="both"/>
      </w:pPr>
      <w:r>
        <w:t>la fourniture et la mise en œuvre du matériau d'isolation, y compris les éventuelles couches de désolidarisation et l'isolation périphérique ; </w:t>
      </w:r>
    </w:p>
    <w:p w14:paraId="78C691E1" w14:textId="77777777" w:rsidR="004B2808" w:rsidRDefault="00000000">
      <w:pPr>
        <w:pStyle w:val="Author-eListParagraph"/>
        <w:numPr>
          <w:ilvl w:val="0"/>
          <w:numId w:val="368"/>
        </w:numPr>
        <w:jc w:val="both"/>
      </w:pPr>
      <w:r>
        <w:t>la fourniture et la pose des accessoires pour la pose et la fixation ; </w:t>
      </w:r>
    </w:p>
    <w:p w14:paraId="74D750A2" w14:textId="77777777" w:rsidR="004B2808" w:rsidRDefault="00000000">
      <w:pPr>
        <w:pStyle w:val="Author-eListParagraph"/>
        <w:numPr>
          <w:ilvl w:val="0"/>
          <w:numId w:val="368"/>
        </w:numPr>
        <w:jc w:val="both"/>
      </w:pPr>
      <w:r>
        <w:t>les éventuelles mesures de protection provisoires ; </w:t>
      </w:r>
    </w:p>
    <w:p w14:paraId="033D4646" w14:textId="77777777" w:rsidR="004B2808" w:rsidRDefault="00000000">
      <w:pPr>
        <w:pStyle w:val="Author-eListParagraph"/>
        <w:numPr>
          <w:ilvl w:val="0"/>
          <w:numId w:val="368"/>
        </w:numPr>
        <w:jc w:val="both"/>
      </w:pPr>
      <w:r>
        <w:t>la découpe des isolants ;</w:t>
      </w:r>
    </w:p>
    <w:p w14:paraId="60BDA2CD" w14:textId="77777777" w:rsidR="004B2808" w:rsidRDefault="00000000">
      <w:pPr>
        <w:pStyle w:val="Author-eListParagraph"/>
        <w:numPr>
          <w:ilvl w:val="0"/>
          <w:numId w:val="368"/>
        </w:numPr>
        <w:jc w:val="both"/>
      </w:pPr>
      <w:r>
        <w:t>la préparation éventuelle des supports pour les fixations par collage ;</w:t>
      </w:r>
    </w:p>
    <w:p w14:paraId="661B753A" w14:textId="77777777" w:rsidR="004B2808" w:rsidRDefault="00000000">
      <w:pPr>
        <w:pStyle w:val="Author-eListParagraph"/>
        <w:numPr>
          <w:ilvl w:val="0"/>
          <w:numId w:val="368"/>
        </w:numPr>
        <w:jc w:val="both"/>
      </w:pPr>
      <w:r>
        <w:t>la fixation des panneaux d'isolation sur le support ;</w:t>
      </w:r>
    </w:p>
    <w:p w14:paraId="466D3259" w14:textId="77777777" w:rsidR="004B2808" w:rsidRDefault="00000000">
      <w:pPr>
        <w:pStyle w:val="Author-eListParagraph"/>
        <w:numPr>
          <w:ilvl w:val="0"/>
          <w:numId w:val="368"/>
        </w:numPr>
        <w:jc w:val="both"/>
      </w:pPr>
      <w:r>
        <w:t>le remplissage des cavités et autres continuités des isolants ;</w:t>
      </w:r>
    </w:p>
    <w:p w14:paraId="663158F8" w14:textId="77777777" w:rsidR="004B2808" w:rsidRDefault="00000000">
      <w:pPr>
        <w:pStyle w:val="Author-eListParagraph"/>
        <w:numPr>
          <w:ilvl w:val="0"/>
          <w:numId w:val="368"/>
        </w:numPr>
        <w:jc w:val="both"/>
      </w:pPr>
      <w:r>
        <w:t>le nettoyage de la zone de travail, le tri, l’évacuation et le recyclage des différents déchets de mise en œuvre (emballages, découpes, chutes, …) suivant les législations en cours et suivant 07.2 Gestion des déchets, matériaux et éléments réemployables</w:t>
      </w:r>
    </w:p>
    <w:p w14:paraId="0E2F1DBB" w14:textId="77777777" w:rsidR="004B2808" w:rsidRDefault="00000000">
      <w:r>
        <w:t>Pour les applications spécifiques, les travaux comprennent :</w:t>
      </w:r>
    </w:p>
    <w:p w14:paraId="4094372C" w14:textId="77777777" w:rsidR="004B2808" w:rsidRDefault="00000000">
      <w:pPr>
        <w:pStyle w:val="Author-eListParagraph"/>
        <w:numPr>
          <w:ilvl w:val="0"/>
          <w:numId w:val="369"/>
        </w:numPr>
        <w:jc w:val="both"/>
      </w:pPr>
      <w:r>
        <w:rPr>
          <w:u w:val="single"/>
        </w:rPr>
        <w:t>Pour l'isolation des parois verticales</w:t>
      </w:r>
    </w:p>
    <w:p w14:paraId="11155B38" w14:textId="77777777" w:rsidR="004B2808" w:rsidRDefault="00000000">
      <w:pPr>
        <w:pStyle w:val="Author-eListParagraph"/>
        <w:numPr>
          <w:ilvl w:val="1"/>
          <w:numId w:val="370"/>
        </w:numPr>
        <w:jc w:val="both"/>
      </w:pPr>
      <w:r>
        <w:t> la protection en pied de parois</w:t>
      </w:r>
    </w:p>
    <w:p w14:paraId="7B592AB6" w14:textId="77777777" w:rsidR="004B2808" w:rsidRDefault="00000000">
      <w:pPr>
        <w:pStyle w:val="Author-eListParagraph"/>
        <w:numPr>
          <w:ilvl w:val="1"/>
          <w:numId w:val="370"/>
        </w:numPr>
        <w:jc w:val="both"/>
      </w:pPr>
      <w:r>
        <w:t>....</w:t>
      </w:r>
    </w:p>
    <w:p w14:paraId="26C8913D" w14:textId="77777777" w:rsidR="004B2808" w:rsidRDefault="00000000">
      <w:pPr>
        <w:pStyle w:val="Author-eListParagraph"/>
        <w:numPr>
          <w:ilvl w:val="0"/>
          <w:numId w:val="369"/>
        </w:numPr>
        <w:jc w:val="both"/>
      </w:pPr>
      <w:r>
        <w:rPr>
          <w:u w:val="single"/>
        </w:rPr>
        <w:t>Pour l'isolation des planchers (isolation sous chape)</w:t>
      </w:r>
    </w:p>
    <w:p w14:paraId="77789438" w14:textId="77777777" w:rsidR="004B2808" w:rsidRDefault="00000000">
      <w:pPr>
        <w:pStyle w:val="Author-eListParagraph"/>
        <w:numPr>
          <w:ilvl w:val="1"/>
          <w:numId w:val="371"/>
        </w:numPr>
        <w:jc w:val="both"/>
      </w:pPr>
      <w:r>
        <w:t>la pose d'une feuille d'étanchéité sous l'isolation.</w:t>
      </w:r>
    </w:p>
    <w:p w14:paraId="67DB17FC" w14:textId="77777777" w:rsidR="004B2808" w:rsidRDefault="00000000">
      <w:pPr>
        <w:pStyle w:val="pheading"/>
      </w:pPr>
      <w:r>
        <w:t>- Remarques importantes</w:t>
      </w:r>
    </w:p>
    <w:p w14:paraId="5B341143" w14:textId="77777777" w:rsidR="004B2808" w:rsidRDefault="00000000">
      <w:r>
        <w:t>Voir 32.41 Isolation en panneaux</w:t>
      </w:r>
    </w:p>
    <w:p w14:paraId="778714B3" w14:textId="77777777" w:rsidR="004B2808" w:rsidRDefault="00000000">
      <w:pPr>
        <w:pStyle w:val="pheading"/>
      </w:pPr>
      <w:r>
        <w:t>MATÉRIAUX</w:t>
      </w:r>
    </w:p>
    <w:p w14:paraId="1431FD4F" w14:textId="77777777" w:rsidR="004B2808" w:rsidRDefault="00000000">
      <w:pPr>
        <w:jc w:val="both"/>
      </w:pPr>
      <w:r>
        <w:t>Voir 32.41 Isolation en panneaux</w:t>
      </w:r>
    </w:p>
    <w:p w14:paraId="5CCF70ED" w14:textId="77777777" w:rsidR="004B2808" w:rsidRDefault="00000000">
      <w:pPr>
        <w:jc w:val="both"/>
      </w:pPr>
      <w:r>
        <w:rPr>
          <w:b/>
        </w:rPr>
        <w:t>Isolation des cloisons</w:t>
      </w:r>
    </w:p>
    <w:p w14:paraId="1D2C1AE7" w14:textId="77777777" w:rsidR="004B2808" w:rsidRDefault="00000000">
      <w:pPr>
        <w:jc w:val="both"/>
      </w:pPr>
      <w:r>
        <w:t>Le matériau d'isolation satisfait aux dispositions de la [NIT 233]. Afin de prévenir la discontinuité de l’isolation thermique et acoustique et la perte de résistance thermique de paroi, un matériau d'isolation stable dimensionnellement est utilisé.</w:t>
      </w:r>
    </w:p>
    <w:p w14:paraId="4010CB7C" w14:textId="77777777" w:rsidR="004B2808" w:rsidRDefault="00000000">
      <w:pPr>
        <w:jc w:val="both"/>
      </w:pPr>
      <w:r>
        <w:rPr>
          <w:b/>
        </w:rPr>
        <w:t>Isolation collée sur support</w:t>
      </w:r>
    </w:p>
    <w:p w14:paraId="5F5B3D65" w14:textId="77777777" w:rsidR="004B2808" w:rsidRDefault="00000000">
      <w:pPr>
        <w:jc w:val="both"/>
      </w:pPr>
      <w:r>
        <w:lastRenderedPageBreak/>
        <w:t>Le matériau d'isolation satisfait aux exigences complémentaires relatives à son comportement capillaire (absorption d’eau par capillarité ≤ 1 kg/m² après 24 h) et à son comportement mécanique en cisaillement en cas de système collé (résistance au cisaillement fτκ ≥ 0,02 N/mm² et module d’élasticité en cisaillement G ≥ 1 N/mm²), ainsi que la déclaration de la perméabilité à la vapeur d’eau (valeur μ) et des résistances à la traction à l’état sec et à l’état humide</w:t>
      </w:r>
    </w:p>
    <w:p w14:paraId="4A4F345E" w14:textId="77777777" w:rsidR="004B2808" w:rsidRDefault="00000000">
      <w:pPr>
        <w:jc w:val="both"/>
      </w:pPr>
      <w:r>
        <w:rPr>
          <w:b/>
        </w:rPr>
        <w:t>Isolation des planchers (isolation sous chape)</w:t>
      </w:r>
    </w:p>
    <w:p w14:paraId="5B98CA78" w14:textId="77777777" w:rsidR="004B2808" w:rsidRDefault="00000000">
      <w:pPr>
        <w:jc w:val="both"/>
      </w:pPr>
      <w:r>
        <w:t>Le matériau d'isolation satisfait aux dispositions du §8.2 de la [NIT 189]. Afin de prévenir la formation de fissures dans la chape ou dans le carrelage, un matériau d'isolation suffisamment résistant à la compression et rigide est utilisé selon la [NBN EN 12430].  Les performances nécessaires pour l’application sous chape sont les suivantes :</w:t>
      </w:r>
    </w:p>
    <w:p w14:paraId="0F9C5302" w14:textId="77777777" w:rsidR="004B2808" w:rsidRDefault="00000000">
      <w:pPr>
        <w:pStyle w:val="Author-eListParagraph"/>
        <w:numPr>
          <w:ilvl w:val="0"/>
          <w:numId w:val="372"/>
        </w:numPr>
        <w:jc w:val="both"/>
      </w:pPr>
      <w:r>
        <w:t>Niveau de compressibilité : déterminé selon la [NBN EN 12431] en fonction de la déformation entre deux états de charge. Pour des charges d’exploitation ≤ 200 kg/m² le niveau CP5 satisfait aux exigences. Pour des charges d’exploitation jusque 500 Kg/m², le niveau CP2 satisfait aux exigences.</w:t>
      </w:r>
    </w:p>
    <w:p w14:paraId="7B293F67" w14:textId="77777777" w:rsidR="004B2808" w:rsidRDefault="00000000">
      <w:pPr>
        <w:pStyle w:val="Author-eListParagraph"/>
        <w:numPr>
          <w:ilvl w:val="0"/>
          <w:numId w:val="372"/>
        </w:numPr>
        <w:jc w:val="both"/>
      </w:pPr>
      <w:r>
        <w:t>Résistance au fluage en compression selon [NBN EN ISO 16534] dont le code CC(i1 /i2 /y) σc ( fluage en compression « i2 » (déformation relative en % mesurée après la période de mise en charge) et la réduction d’épaisseur « i1 » correspondant à l’extrapolation sur y années sous une contrainte en compression σc). Pour des charges d’exploitation ≤ 200 kg/m², la réduction totale d’épaisseur « i2 » à 10 ans (sous une contrainte σc de 5 kPa) est ≤ 2 mm. Pour des charges d’exploitation jusque 500 Kg/m², la réduction totale d’épaisseur « i2 » à 10 ans (sous une contrainte σc de 10 kPa) est ≤ 2 mm.</w:t>
      </w:r>
    </w:p>
    <w:p w14:paraId="78723DC9" w14:textId="77777777" w:rsidR="004B2808" w:rsidRDefault="00000000">
      <w:pPr>
        <w:pStyle w:val="Author-eListParagraph"/>
        <w:numPr>
          <w:ilvl w:val="0"/>
          <w:numId w:val="372"/>
        </w:numPr>
        <w:jc w:val="both"/>
      </w:pPr>
      <w:r>
        <w:t>Comportement sous l’effet combiné de la charge et de la t° selon [NBN EN 1605] DLT(X)Y (déformation Y dans des conditions X (de 1 à 3) de charge et de température spécifiées). Pour des charges d’exploitation ≤ 200 kg/m², le niveau DLT(2)5 (soit une déformation maximale de 5 % pour les conditions de type 2) satisfait aux exigences. Pour des charges d’exploitation jusque 500 Kg/m², le niveau DLT(2)5 (soit une déformation maximale de 5 % pour les conditions de type 2) satisfait aux exigences.</w:t>
      </w:r>
    </w:p>
    <w:p w14:paraId="51B95376" w14:textId="77777777" w:rsidR="004B2808" w:rsidRDefault="00000000">
      <w:pPr>
        <w:pStyle w:val="pheading"/>
      </w:pPr>
      <w:r>
        <w:t>EXÉCUTION / MISE EN ŒUVRE</w:t>
      </w:r>
    </w:p>
    <w:p w14:paraId="4DC3B10E" w14:textId="77777777" w:rsidR="004B2808" w:rsidRDefault="00000000">
      <w:pPr>
        <w:jc w:val="both"/>
      </w:pPr>
      <w:r>
        <w:rPr>
          <w:b/>
        </w:rPr>
        <w:t>Isolation des contre-cloisons</w:t>
      </w:r>
    </w:p>
    <w:p w14:paraId="676C4219" w14:textId="77777777" w:rsidR="004B2808" w:rsidRDefault="00000000">
      <w:pPr>
        <w:jc w:val="both"/>
      </w:pPr>
      <w:r>
        <w:t>Les panneaux sont ajustés contre la paroi, la rainure étant orientée vers le bas. L’espace éventuel entre les panneaux et la paroi est rempli par de l’isolation de même nature et au besoin entre les panneaux et la paroi. Aucun vide ou coulisse n’est maintenu entre un isolant et une paroi extérieure.</w:t>
      </w:r>
    </w:p>
    <w:p w14:paraId="3F309505" w14:textId="77777777" w:rsidR="004B2808" w:rsidRDefault="00000000">
      <w:pPr>
        <w:jc w:val="both"/>
      </w:pPr>
      <w:r>
        <w:rPr>
          <w:b/>
        </w:rPr>
        <w:t>Isolation des parois légères</w:t>
      </w:r>
    </w:p>
    <w:p w14:paraId="45D1B5C9" w14:textId="77777777" w:rsidR="004B2808" w:rsidRDefault="00000000">
      <w:pPr>
        <w:jc w:val="both"/>
      </w:pPr>
      <w:r>
        <w:t>Les panneaux sont posés conformément à la [NIT 233].</w:t>
      </w:r>
    </w:p>
    <w:p w14:paraId="1937B91D" w14:textId="77777777" w:rsidR="004B2808" w:rsidRDefault="00000000">
      <w:pPr>
        <w:jc w:val="both"/>
      </w:pPr>
      <w:r>
        <w:rPr>
          <w:b/>
        </w:rPr>
        <w:t>Isolation des faux-plafonds</w:t>
      </w:r>
    </w:p>
    <w:p w14:paraId="09C53FE4" w14:textId="77777777" w:rsidR="004B2808" w:rsidRDefault="00000000">
      <w:pPr>
        <w:jc w:val="both"/>
      </w:pPr>
      <w:r>
        <w:t>Pour les applications de faux-plafonds suspendus l’isolation est placée conformément à la [NIT 232].</w:t>
      </w:r>
    </w:p>
    <w:p w14:paraId="6F30C3B3" w14:textId="77777777" w:rsidR="004B2808" w:rsidRDefault="00000000">
      <w:pPr>
        <w:jc w:val="both"/>
      </w:pPr>
      <w:r>
        <w:t>Pour les applications de faux plafonds à enduire, les isolants sont placés entre la structure portante des isolants à enduire.</w:t>
      </w:r>
    </w:p>
    <w:p w14:paraId="3CD09ADF" w14:textId="77777777" w:rsidR="004B2808" w:rsidRDefault="00000000">
      <w:pPr>
        <w:jc w:val="both"/>
      </w:pPr>
      <w:r>
        <w:rPr>
          <w:b/>
        </w:rPr>
        <w:t> Isolation collée sur support</w:t>
      </w:r>
    </w:p>
    <w:p w14:paraId="29D225C5" w14:textId="77777777" w:rsidR="004B2808" w:rsidRDefault="00000000">
      <w:pPr>
        <w:jc w:val="both"/>
      </w:pPr>
      <w:r>
        <w:t xml:space="preserve">Avant de poser l'isolation, l'entrepreneur vérifie si le support correspond aux plans, aux prescriptions ou à l’état des lieux au moment de l’offre (en cas de rénovation) et peut assurer l'adhésion des panneaux et l’exécution parfaite des travaux. Si tel n'est pas le cas, il en informe l'auteur de projet en temps utile afin que celui-ci prenne les mesures qui s'imposent pour ne pas devoir effectuer des adaptations par la suite.  </w:t>
      </w:r>
    </w:p>
    <w:p w14:paraId="7DFFB85A" w14:textId="77777777" w:rsidR="004B2808" w:rsidRDefault="00000000">
      <w:pPr>
        <w:jc w:val="both"/>
      </w:pPr>
      <w:r>
        <w:t xml:space="preserve"> Avant l'exécution, en réunion de chantier, les intervenants sont invités sur place afin de déterminer le traitement complémentaire pour permettre l’adhésion des panneaux d’isolation.</w:t>
      </w:r>
    </w:p>
    <w:p w14:paraId="565040F7" w14:textId="77777777" w:rsidR="004B2808" w:rsidRDefault="00000000">
      <w:pPr>
        <w:jc w:val="both"/>
      </w:pPr>
      <w:r>
        <w:t>La surface de pose est préalablement nettoyée, elle est séchée et exempte de poussière et de graisse, elle ne présente pas d'irrégularités supérieure à la couche de collage.</w:t>
      </w:r>
    </w:p>
    <w:p w14:paraId="5FD92FB3" w14:textId="77777777" w:rsidR="004B2808" w:rsidRDefault="00000000">
      <w:pPr>
        <w:jc w:val="both"/>
      </w:pPr>
      <w:r>
        <w:lastRenderedPageBreak/>
        <w:t>Les plaques sont posées parfaitement jointivement et en alternance, dans les plus grandes dimensions possibles. Lorsque l'isolation est posée en plusieurs couches, les joints s'alternent.</w:t>
      </w:r>
    </w:p>
    <w:p w14:paraId="2A07DC6A" w14:textId="77777777" w:rsidR="004B2808" w:rsidRDefault="00000000">
      <w:pPr>
        <w:jc w:val="both"/>
      </w:pPr>
      <w:r>
        <w:t xml:space="preserve"> En fonction de la nature des plaques, elles sont posées à froid l'une contre l'autre ou assemblées à rainure et languette. Les bords et les joints sont bouchés à l'aide d'une mousse de remplissage à pouvoir isolant.</w:t>
      </w:r>
    </w:p>
    <w:p w14:paraId="0A9FA80D" w14:textId="77777777" w:rsidR="004B2808" w:rsidRDefault="00000000">
      <w:pPr>
        <w:jc w:val="both"/>
      </w:pPr>
      <w:r>
        <w:t xml:space="preserve"> Après l'exécution des travaux, les mesures de protection nécessaires sont prises et tous les dispositifs de fixation sont mis en œuvre pour maintenir les plaques en place.</w:t>
      </w:r>
    </w:p>
    <w:p w14:paraId="29FEB086" w14:textId="77777777" w:rsidR="004B2808" w:rsidRDefault="00000000">
      <w:pPr>
        <w:jc w:val="both"/>
      </w:pPr>
      <w:r>
        <w:rPr>
          <w:b/>
        </w:rPr>
        <w:t>Isolation des planchers (isolation sous chape)</w:t>
      </w:r>
    </w:p>
    <w:p w14:paraId="2AC6C831" w14:textId="77777777" w:rsidR="004B2808" w:rsidRDefault="00000000">
      <w:pPr>
        <w:jc w:val="both"/>
      </w:pPr>
      <w:r>
        <w:t>Les plaques sont posées en indépendance sur l'aire de pose ou la couche de remplissage.</w:t>
      </w:r>
    </w:p>
    <w:p w14:paraId="26FACC87" w14:textId="77777777" w:rsidR="004B2808" w:rsidRDefault="00000000">
      <w:pPr>
        <w:jc w:val="both"/>
      </w:pPr>
      <w:r>
        <w:t>Avant de poser l'isolation, l'entrepreneur vérifie si le support correspond aux plans et aux prescriptions ou à l’état des lieux au moment de l’offre (en cas de rénovation) et peut assurer l'exécution parfaite des travaux. Si tel n'est pas le cas, il en informe l'auteur de projet en temps utile afin que celui-ci prenne les mesures qui s'imposent pour ne pas devoir effectuer des adaptations par la suite.</w:t>
      </w:r>
    </w:p>
    <w:p w14:paraId="7E8530E1" w14:textId="77777777" w:rsidR="004B2808" w:rsidRDefault="00000000">
      <w:pPr>
        <w:jc w:val="both"/>
      </w:pPr>
      <w:r>
        <w:t xml:space="preserve"> Avant l'exécution, l'auteur de projet est informé et invité à contrôler les travaux . </w:t>
      </w:r>
    </w:p>
    <w:p w14:paraId="56B11FC6" w14:textId="77777777" w:rsidR="004B2808" w:rsidRDefault="00000000">
      <w:pPr>
        <w:jc w:val="both"/>
      </w:pPr>
      <w:r>
        <w:t>La surface de pose est préalablement nettoyée, elle est sèche et exempte de poussière et de graisse, elle ne présente pas d'irrégularités (&gt; 5 mm/m). Une couche d'égalisation peut quelquefois s'avérer indispensable.  </w:t>
      </w:r>
    </w:p>
    <w:p w14:paraId="641CC878" w14:textId="77777777" w:rsidR="004B2808" w:rsidRDefault="00000000">
      <w:pPr>
        <w:jc w:val="both"/>
      </w:pPr>
      <w:r>
        <w:t>Les plaques portent pleinement sur l'aire de pose et les déformations majeures de la couche d'isolation sont évitées. Au besoin, elles sont posées sur une mince couche de sable de rivière, béton maigre ou couche d’égaline, avant mise en œuvre, l'auteur de projet est informé de la solution mise en œuvre.</w:t>
      </w:r>
    </w:p>
    <w:p w14:paraId="3F437FC2" w14:textId="77777777" w:rsidR="004B2808" w:rsidRDefault="00000000">
      <w:pPr>
        <w:jc w:val="both"/>
      </w:pPr>
      <w:r>
        <w:t xml:space="preserve"> Les plaques sont posées parfaitement jointivement et en alternance, dans les plus grandes dimensions possibles. Lorsque l'isolation est posée en plusieurs couches, les joints s'alternent.</w:t>
      </w:r>
    </w:p>
    <w:p w14:paraId="1B88F8FD" w14:textId="77777777" w:rsidR="004B2808" w:rsidRDefault="00000000">
      <w:pPr>
        <w:jc w:val="both"/>
      </w:pPr>
      <w:r>
        <w:t xml:space="preserve"> En fonction de la nature des plaques, elles sont posées à froid l'une contre l'autre ou assemblées à rainure et languette. Les bords et les joints sont bouchés à l'aide d'une mousse de remplissage à pouvoir isolant.</w:t>
      </w:r>
    </w:p>
    <w:p w14:paraId="70C4CEA2" w14:textId="77777777" w:rsidR="004B2808" w:rsidRDefault="00000000">
      <w:pPr>
        <w:jc w:val="both"/>
      </w:pPr>
      <w:r>
        <w:t xml:space="preserve"> Après l'exécution des travaux, les mesures de protection nécessaires sont prises et tous les dispositifs de fixation sont mis en œuvre pour maintenir les plaques en place.</w:t>
      </w:r>
    </w:p>
    <w:p w14:paraId="49381D0E" w14:textId="77777777" w:rsidR="004B2808" w:rsidRDefault="00000000">
      <w:pPr>
        <w:jc w:val="both"/>
      </w:pPr>
      <w:r>
        <w:t xml:space="preserve"> Les plaques sont séparées du support par une feuille en matière synthétique posée à joints soudés ou collés avec un recouvrement suffisant (&gt; 20 cm). Les bords contre les murs, colonnes, etc. sont relevés jusqu'au-dessus du niveau de l'isolation thermique.</w:t>
      </w:r>
    </w:p>
    <w:p w14:paraId="08BF73D6" w14:textId="77777777" w:rsidR="004B2808" w:rsidRDefault="00000000">
      <w:pPr>
        <w:jc w:val="both"/>
      </w:pPr>
      <w:r>
        <w:t xml:space="preserve"> Avant de couler la chape, les panneaux d'isolation sont recouverts d'une membrane d'étanchéité.</w:t>
      </w:r>
    </w:p>
    <w:p w14:paraId="33CB92BD" w14:textId="77777777" w:rsidR="004B2808" w:rsidRDefault="00000000">
      <w:pPr>
        <w:jc w:val="both"/>
      </w:pPr>
      <w:r>
        <w:t xml:space="preserve">L'étanchéité au-dessus de l'isolation est placée avant la réalisation de la chape et est décrite conformément au </w:t>
      </w:r>
      <w:hyperlink w:anchor="1204" w:history="1">
        <w:r w:rsidR="004B2808">
          <w:rPr>
            <w:color w:val="0000EE"/>
          </w:rPr>
          <w:t>52.11.1 Feuilles et membranes d'étanchéité à l'eau - Membranes souples</w:t>
        </w:r>
      </w:hyperlink>
      <w:r>
        <w:t>.</w:t>
      </w:r>
    </w:p>
    <w:p w14:paraId="23C926C4" w14:textId="77777777" w:rsidR="004B2808" w:rsidRDefault="00000000">
      <w:pPr>
        <w:pStyle w:val="Author-eListParagraph"/>
        <w:numPr>
          <w:ilvl w:val="0"/>
          <w:numId w:val="373"/>
        </w:numPr>
      </w:pPr>
      <w:r>
        <w:t>Matériau :  feuille de PE</w:t>
      </w:r>
    </w:p>
    <w:p w14:paraId="76E0F954" w14:textId="77777777" w:rsidR="004B2808" w:rsidRDefault="00000000">
      <w:pPr>
        <w:pStyle w:val="Author-eListParagraph"/>
        <w:numPr>
          <w:ilvl w:val="0"/>
          <w:numId w:val="373"/>
        </w:numPr>
      </w:pPr>
      <w:r>
        <w:t>Epaisseur de l'isolation périphérique : minimum </w:t>
      </w:r>
      <w:r>
        <w:rPr>
          <w:rStyle w:val="optioncarChar"/>
        </w:rPr>
        <w:t>*** / 0.2</w:t>
      </w:r>
      <w:r>
        <w:t> mm.</w:t>
      </w:r>
    </w:p>
    <w:p w14:paraId="2FC9FA56" w14:textId="77777777" w:rsidR="004B2808" w:rsidRDefault="00000000">
      <w:pPr>
        <w:jc w:val="both"/>
      </w:pPr>
      <w:r>
        <w:t>Les isolants pours sols chauffés sont appliqués conformément aux [NIT 179] et [NIT 189].</w:t>
      </w:r>
    </w:p>
    <w:p w14:paraId="72958197" w14:textId="77777777" w:rsidR="004B2808" w:rsidRDefault="00000000">
      <w:pPr>
        <w:jc w:val="both"/>
      </w:pPr>
      <w:r>
        <w:rPr>
          <w:b/>
        </w:rPr>
        <w:t>Isolation acoustique des planchers : précisions</w:t>
      </w:r>
    </w:p>
    <w:p w14:paraId="6C998194" w14:textId="77777777" w:rsidR="004B2808" w:rsidRDefault="00000000">
      <w:pPr>
        <w:jc w:val="both"/>
      </w:pPr>
      <w:r>
        <w:t>Lorsque des conduites sont posées sur le sol, elles sont enrobées dans une couche de remplissage (par ex. du béton de remplissage maigre). Après l'enrobage des conduites dans la couche de remplissage, les matelas ou les plaques d'isolation sont posés.</w:t>
      </w:r>
    </w:p>
    <w:p w14:paraId="580CF131" w14:textId="77777777" w:rsidR="004B2808" w:rsidRDefault="00000000">
      <w:pPr>
        <w:jc w:val="both"/>
      </w:pPr>
      <w:r>
        <w:t xml:space="preserve"> Les joints sont posés jointivement ou avec un recouvrement, car les joints ouverts provoquent des ponts acoustique Les éventuelles ouvertures sont colmatées avec une mousse appropriée d'isolation acoustique.</w:t>
      </w:r>
    </w:p>
    <w:p w14:paraId="038DCA55" w14:textId="77777777" w:rsidR="004B2808" w:rsidRDefault="00000000">
      <w:pPr>
        <w:jc w:val="both"/>
      </w:pPr>
      <w:r>
        <w:t>Lorsqu'elle est combinée avec des plaques d'isolation thermique dures, l'isolation acoustique est posée sous l'isolation thermique.</w:t>
      </w:r>
    </w:p>
    <w:p w14:paraId="7197D713" w14:textId="77777777" w:rsidR="004B2808" w:rsidRDefault="00000000">
      <w:pPr>
        <w:jc w:val="both"/>
      </w:pPr>
      <w:r>
        <w:lastRenderedPageBreak/>
        <w:t>Tous les ponts acoustiques sont évités, c'est-à-dire que les chapes flottantes ne sont jamais en contact avec un élément de construction. A cet effet, les bandes périphériques nécessaires, les coquilles d'isolation, les plinthes isolantes, etc. sont posées contre tous les éléments de gros-œuvre en élévation. Ces dispositifs de désolidarisation sont remontés jusqu'à 2 cm au-dessus du niveau du sol fini. Après la pose des revêtements, ces bandes sont découpées. Les bandes d'isolation périphériques ou en plinthe présentent les mêmes propriétés acoustiques que l'isolation acoustique horizontale.</w:t>
      </w:r>
    </w:p>
    <w:p w14:paraId="6922D695" w14:textId="77777777" w:rsidR="004B2808" w:rsidRDefault="00000000">
      <w:pPr>
        <w:pStyle w:val="pheading"/>
      </w:pPr>
      <w:r>
        <w:t>CONTRÔLES</w:t>
      </w:r>
    </w:p>
    <w:p w14:paraId="788EF482" w14:textId="77777777" w:rsidR="004B2808" w:rsidRDefault="00000000">
      <w:pPr>
        <w:jc w:val="both"/>
      </w:pPr>
      <w:r>
        <w:t>L'auteur de projet contrôle la mise en œuvre de l'isolation et vérifie la bonne exécution des détails de raccordement et des recouvrements. L'entrepreneur soumet le certificat de conformité attestant que les plaques d'isolation posées satisfont aux exigences.</w:t>
      </w:r>
    </w:p>
    <w:p w14:paraId="1F470C06" w14:textId="77777777" w:rsidR="004B2808" w:rsidRDefault="00000000">
      <w:pPr>
        <w:pStyle w:val="pheading"/>
      </w:pPr>
      <w:r>
        <w:t>DOCUMENTS DE RÉFÉRENCE</w:t>
      </w:r>
    </w:p>
    <w:p w14:paraId="03A51222" w14:textId="77777777" w:rsidR="004B2808" w:rsidRDefault="00000000">
      <w:pPr>
        <w:pStyle w:val="pheading"/>
      </w:pPr>
      <w:r>
        <w:t>- Matériau</w:t>
      </w:r>
    </w:p>
    <w:p w14:paraId="6EB54E8F" w14:textId="77777777" w:rsidR="004B2808" w:rsidRDefault="00000000">
      <w:r>
        <w:t>[NBN EN 1504-2, Produits et systèmes pour la protection et la réparation de structures en béton - Définitions, prescriptions, maîtrise de la qualité et évaluation de la conformité - Partie 2: Systèmes de protection de surface pour béton]</w:t>
      </w:r>
    </w:p>
    <w:p w14:paraId="3C93A43C" w14:textId="77777777" w:rsidR="004B2808" w:rsidRDefault="00000000">
      <w:r>
        <w:t>[PTV BB 562, Prescriptions techniques pour systèmes de protection, d'étanchéité ou d'imperméabilisation de surface pour le béton.]</w:t>
      </w:r>
    </w:p>
    <w:p w14:paraId="07105503" w14:textId="77777777" w:rsidR="004B2808" w:rsidRDefault="00000000">
      <w:r>
        <w:t>[NBN EN 12430, Produits isolants thermiques destinés aux applications du bâtiment - Détermination du comportement sous charge ponctuelle]</w:t>
      </w:r>
    </w:p>
    <w:p w14:paraId="189A04F2" w14:textId="77777777" w:rsidR="004B2808" w:rsidRDefault="00000000">
      <w:r>
        <w:t>[NBN EN 12431, Produits isolants thermiques destinés aux applications du bâtiment - Détermination de l'épaisseur des produits d'isolation pour sol flottant]</w:t>
      </w:r>
    </w:p>
    <w:p w14:paraId="67BC7BDF" w14:textId="77777777" w:rsidR="004B2808" w:rsidRDefault="00000000">
      <w:r>
        <w:t>[NBN EN ISO 16534, Produits isolants thermiques destinés aux applications du bâtiment - Détermination du fluage en compression (ISO 16534:2020)]</w:t>
      </w:r>
    </w:p>
    <w:p w14:paraId="44E9108C" w14:textId="77777777" w:rsidR="004B2808" w:rsidRDefault="00000000">
      <w:r>
        <w:t>[NBN EN 1605, Produits isolants thermiques destinés aux applications du bâtiment - Détermination de la déformation sous charge en compression et conditions de température spécifiées]</w:t>
      </w:r>
    </w:p>
    <w:p w14:paraId="3C2CB256" w14:textId="77777777" w:rsidR="004B2808" w:rsidRDefault="00000000">
      <w:r>
        <w:t>[NBN EN 826, Produits isolants thermiques destinés aux applications du bâtiment - Détermination du comportement en compression]</w:t>
      </w:r>
    </w:p>
    <w:p w14:paraId="19C2612A" w14:textId="77777777" w:rsidR="004B2808" w:rsidRDefault="00000000">
      <w:pPr>
        <w:pStyle w:val="pheading"/>
      </w:pPr>
      <w:r>
        <w:t>- Exécution</w:t>
      </w:r>
    </w:p>
    <w:p w14:paraId="51164C84" w14:textId="77777777" w:rsidR="004B2808" w:rsidRDefault="00000000">
      <w:r>
        <w:t>[NIT 179, Les revêtements durs sur sols chauffés.]</w:t>
      </w:r>
      <w:r>
        <w:br/>
      </w:r>
      <w:r>
        <w:br/>
        <w:t>[NIT 189, Les chapes pour couvre-sols. 1ère partie : Matériaux - Performances - Réception.]</w:t>
      </w:r>
      <w:r>
        <w:br/>
      </w:r>
      <w:r>
        <w:br/>
        <w:t>[NIT 233, Les cloisons légères.]</w:t>
      </w:r>
      <w:r>
        <w:br/>
      </w:r>
      <w:r>
        <w:br/>
        <w:t>[NIT 232, Les plafonds suspendus.]</w:t>
      </w:r>
    </w:p>
    <w:p w14:paraId="5F825000" w14:textId="77777777" w:rsidR="004B2808" w:rsidRDefault="00000000">
      <w:pPr>
        <w:pStyle w:val="Author-eSectionHeading5Numberless"/>
      </w:pPr>
      <w:bookmarkStart w:id="377" w:name="_Toc220490554"/>
      <w:r>
        <w:t>52.41.1 Isolation en panneaux - matières synthétiques CCTB 01.02</w:t>
      </w:r>
      <w:bookmarkEnd w:id="377"/>
    </w:p>
    <w:p w14:paraId="2543E6FE" w14:textId="77777777" w:rsidR="004B2808" w:rsidRDefault="00000000">
      <w:pPr>
        <w:pStyle w:val="Author-eSectionHeading6Numberless"/>
      </w:pPr>
      <w:bookmarkStart w:id="378" w:name="1122"/>
      <w:bookmarkStart w:id="379" w:name="_Toc220490555"/>
      <w:bookmarkEnd w:id="378"/>
      <w:r>
        <w:t>52.41.1a Isolation en panneaux - polystyrène extrudé (XPS) CCTB 01.02</w:t>
      </w:r>
      <w:bookmarkEnd w:id="379"/>
    </w:p>
    <w:p w14:paraId="390173B1" w14:textId="77777777" w:rsidR="004B2808" w:rsidRDefault="00000000">
      <w:pPr>
        <w:pStyle w:val="pheading"/>
      </w:pPr>
      <w:r>
        <w:t>DESCRIPTION</w:t>
      </w:r>
    </w:p>
    <w:p w14:paraId="07C029D7" w14:textId="77777777" w:rsidR="004B2808" w:rsidRDefault="00000000">
      <w:pPr>
        <w:pStyle w:val="pheading"/>
      </w:pPr>
      <w:r>
        <w:t>- Définition / Comprend</w:t>
      </w:r>
    </w:p>
    <w:p w14:paraId="7211DD17" w14:textId="77777777" w:rsidR="004B2808" w:rsidRDefault="00000000">
      <w:r>
        <w:t xml:space="preserve">Ce poste concerne l’isolation thermique des parois et éléments de construction décrits au </w:t>
      </w:r>
      <w:hyperlink w:anchor="73" w:history="1">
        <w:r w:rsidR="004B2808">
          <w:rPr>
            <w:color w:val="0000EE"/>
          </w:rPr>
          <w:t>52.4 Isolation</w:t>
        </w:r>
      </w:hyperlink>
    </w:p>
    <w:p w14:paraId="325BC034" w14:textId="77777777" w:rsidR="004B2808" w:rsidRDefault="00000000">
      <w:pPr>
        <w:pStyle w:val="pheading"/>
      </w:pPr>
      <w:r>
        <w:t>MATÉRIAUX</w:t>
      </w:r>
    </w:p>
    <w:p w14:paraId="04E966AF" w14:textId="77777777" w:rsidR="004B2808" w:rsidRDefault="00000000">
      <w:pPr>
        <w:pStyle w:val="pheading"/>
      </w:pPr>
      <w:r>
        <w:t>- Caractéristiques générales</w:t>
      </w:r>
    </w:p>
    <w:p w14:paraId="0914E83F" w14:textId="77777777" w:rsidR="004B2808" w:rsidRDefault="00000000">
      <w:r>
        <w:lastRenderedPageBreak/>
        <w:t>Les caractéristiques générales sont conformes à celles décrites dans l'article 32.41.1a Isolation en panneaux - polystyrène extrudé (XPS)</w:t>
      </w:r>
    </w:p>
    <w:p w14:paraId="021E73DC" w14:textId="77777777" w:rsidR="004B2808" w:rsidRDefault="00000000">
      <w:pPr>
        <w:pStyle w:val="pheading"/>
      </w:pPr>
      <w:r>
        <w:t>- Finitions</w:t>
      </w:r>
    </w:p>
    <w:p w14:paraId="654F7086" w14:textId="77777777" w:rsidR="004B2808" w:rsidRDefault="00000000">
      <w:r>
        <w:t>Finitions telles que décrites au 32.41.1a Isolation en panneaux - polystyrène extrudé (XPS)</w:t>
      </w:r>
    </w:p>
    <w:p w14:paraId="339CA7F7" w14:textId="77777777" w:rsidR="004B2808" w:rsidRDefault="00000000">
      <w:pPr>
        <w:pStyle w:val="pheading"/>
      </w:pPr>
      <w:r>
        <w:t>- Prescriptions complémentaires</w:t>
      </w:r>
    </w:p>
    <w:p w14:paraId="1BE46CB3" w14:textId="77777777" w:rsidR="004B2808" w:rsidRDefault="00000000">
      <w:r>
        <w:t>Options telles que proposées au  32.41.1a Isolation en panneaux - polystyrène extrudé (XPS)</w:t>
      </w:r>
    </w:p>
    <w:p w14:paraId="252ACAD2" w14:textId="77777777" w:rsidR="004B2808" w:rsidRDefault="00000000">
      <w:pPr>
        <w:pStyle w:val="pheading"/>
      </w:pPr>
      <w:r>
        <w:t>MESURAGE</w:t>
      </w:r>
    </w:p>
    <w:p w14:paraId="75B3B22D" w14:textId="77777777" w:rsidR="004B2808" w:rsidRDefault="00000000">
      <w:pPr>
        <w:pStyle w:val="pheading"/>
      </w:pPr>
      <w:r>
        <w:t>- unité de mesure:</w:t>
      </w:r>
    </w:p>
    <w:p w14:paraId="09C76B07" w14:textId="77777777" w:rsidR="004B2808" w:rsidRDefault="00000000">
      <w:r>
        <w:t>m²</w:t>
      </w:r>
    </w:p>
    <w:p w14:paraId="426196A0" w14:textId="77777777" w:rsidR="004B2808" w:rsidRDefault="00000000">
      <w:pPr>
        <w:pStyle w:val="pheading"/>
      </w:pPr>
      <w:r>
        <w:t>- code de mesurage:</w:t>
      </w:r>
    </w:p>
    <w:p w14:paraId="34DC62F9" w14:textId="77777777" w:rsidR="004B2808" w:rsidRDefault="00000000">
      <w:r>
        <w:t>Distinction faite suivant l'épaisseur.</w:t>
      </w:r>
    </w:p>
    <w:p w14:paraId="05CDC50D" w14:textId="77777777" w:rsidR="004B2808" w:rsidRDefault="00000000">
      <w:pPr>
        <w:pStyle w:val="Author-eListParagraph"/>
        <w:numPr>
          <w:ilvl w:val="0"/>
          <w:numId w:val="374"/>
        </w:numPr>
      </w:pPr>
      <w:r>
        <w:t>Isolation des parois verticales : Surface nette. Les ouvertures supérieures à 0,50 m² sont déduites</w:t>
      </w:r>
    </w:p>
    <w:p w14:paraId="420D27FD" w14:textId="77777777" w:rsidR="004B2808" w:rsidRDefault="00000000">
      <w:pPr>
        <w:pStyle w:val="Author-eListParagraph"/>
        <w:numPr>
          <w:ilvl w:val="0"/>
          <w:numId w:val="374"/>
        </w:numPr>
      </w:pPr>
      <w:r>
        <w:t>Isolation des parois horizontales : Surface nette du sol, mesurée entre le nu des murs. Les ouvertures supérieures à 0,5 m² sont déduites. L'isolation périphérique ne doit pas être portée en compte séparément</w:t>
      </w:r>
    </w:p>
    <w:p w14:paraId="0DC3EB75" w14:textId="77777777" w:rsidR="004B2808" w:rsidRDefault="00000000">
      <w:pPr>
        <w:pStyle w:val="pheading"/>
      </w:pPr>
      <w:r>
        <w:t>- nature du marché:</w:t>
      </w:r>
    </w:p>
    <w:p w14:paraId="302C931D" w14:textId="77777777" w:rsidR="004B2808" w:rsidRDefault="00000000">
      <w:r>
        <w:t>QF</w:t>
      </w:r>
    </w:p>
    <w:p w14:paraId="39148E6F" w14:textId="77777777" w:rsidR="004B2808" w:rsidRDefault="00000000">
      <w:pPr>
        <w:pStyle w:val="Author-eSectionHeading6Numberless"/>
      </w:pPr>
      <w:bookmarkStart w:id="380" w:name="_Toc220490556"/>
      <w:r>
        <w:t>52.41.1b Isolation en panneaux - polystyrène expansé (EPS / EPS HD) CCTB 01.07</w:t>
      </w:r>
      <w:bookmarkEnd w:id="380"/>
    </w:p>
    <w:p w14:paraId="64A91C6D" w14:textId="77777777" w:rsidR="004B2808" w:rsidRDefault="00000000">
      <w:pPr>
        <w:pStyle w:val="pheading"/>
      </w:pPr>
      <w:r>
        <w:t>DESCRIPTION</w:t>
      </w:r>
    </w:p>
    <w:p w14:paraId="46B47536" w14:textId="77777777" w:rsidR="004B2808" w:rsidRDefault="00000000">
      <w:pPr>
        <w:pStyle w:val="pheading"/>
      </w:pPr>
      <w:r>
        <w:t>- Définition / Comprend</w:t>
      </w:r>
    </w:p>
    <w:p w14:paraId="14017CE0" w14:textId="77777777" w:rsidR="004B2808" w:rsidRDefault="00000000">
      <w:r>
        <w:t xml:space="preserve">Ce poste concerne l’isolation thermique des parois et éléments de construction décrits au </w:t>
      </w:r>
      <w:hyperlink w:anchor="73" w:history="1">
        <w:r w:rsidR="004B2808">
          <w:rPr>
            <w:color w:val="0000EE"/>
          </w:rPr>
          <w:t>52.4 Isolation</w:t>
        </w:r>
      </w:hyperlink>
    </w:p>
    <w:p w14:paraId="18205234" w14:textId="77777777" w:rsidR="004B2808" w:rsidRDefault="00000000">
      <w:pPr>
        <w:pStyle w:val="pheading"/>
      </w:pPr>
      <w:r>
        <w:t>MATÉRIAUX</w:t>
      </w:r>
    </w:p>
    <w:p w14:paraId="2AFE4A8A" w14:textId="77777777" w:rsidR="004B2808" w:rsidRDefault="00000000">
      <w:pPr>
        <w:pStyle w:val="pheading"/>
      </w:pPr>
      <w:r>
        <w:t>- Caractéristiques générales</w:t>
      </w:r>
    </w:p>
    <w:p w14:paraId="787E6C11" w14:textId="77777777" w:rsidR="004B2808" w:rsidRDefault="00000000">
      <w:r>
        <w:t>Les caractéristiques générales sont conformes à celles décrites dans l'article 32.41.1b Isolation en panneaux - polystyrène expansé (EPS)</w:t>
      </w:r>
    </w:p>
    <w:p w14:paraId="2504C382" w14:textId="77777777" w:rsidR="004B2808" w:rsidRDefault="00000000">
      <w:pPr>
        <w:pStyle w:val="pheading"/>
      </w:pPr>
      <w:r>
        <w:t>- Finitions</w:t>
      </w:r>
    </w:p>
    <w:p w14:paraId="42CD2B77" w14:textId="77777777" w:rsidR="004B2808" w:rsidRDefault="00000000">
      <w:r>
        <w:t>Finitions telles que décrites au 32.41.1b Isolation en panneaux - polystyrène expansé (EPS)</w:t>
      </w:r>
    </w:p>
    <w:p w14:paraId="54095AE2" w14:textId="77777777" w:rsidR="004B2808" w:rsidRDefault="00000000">
      <w:pPr>
        <w:pStyle w:val="pheading"/>
      </w:pPr>
      <w:r>
        <w:t>- Prescriptions complémentaires</w:t>
      </w:r>
    </w:p>
    <w:p w14:paraId="05F0641A" w14:textId="77777777" w:rsidR="004B2808" w:rsidRDefault="00000000">
      <w:r>
        <w:t>Options telles que proposées au 32.41.1b Isolation en panneaux - polystyrène expansé (EPS)</w:t>
      </w:r>
    </w:p>
    <w:p w14:paraId="723CDE4F" w14:textId="77777777" w:rsidR="004B2808" w:rsidRDefault="00000000">
      <w:pPr>
        <w:pStyle w:val="pheading"/>
      </w:pPr>
      <w:r>
        <w:t>MESURAGE</w:t>
      </w:r>
    </w:p>
    <w:p w14:paraId="242964A0" w14:textId="77777777" w:rsidR="004B2808" w:rsidRDefault="00000000">
      <w:pPr>
        <w:pStyle w:val="pheading"/>
      </w:pPr>
      <w:r>
        <w:t>- unité de mesure:</w:t>
      </w:r>
    </w:p>
    <w:p w14:paraId="63062591" w14:textId="77777777" w:rsidR="004B2808" w:rsidRDefault="00000000">
      <w:r>
        <w:t>m²</w:t>
      </w:r>
    </w:p>
    <w:p w14:paraId="7DDC048A" w14:textId="77777777" w:rsidR="004B2808" w:rsidRDefault="00000000">
      <w:pPr>
        <w:pStyle w:val="pheading"/>
      </w:pPr>
      <w:r>
        <w:t>- code de mesurage:</w:t>
      </w:r>
    </w:p>
    <w:p w14:paraId="7CA70C4E" w14:textId="77777777" w:rsidR="004B2808" w:rsidRDefault="00000000">
      <w:r>
        <w:t>Distinction faite suivant l'épaisseur.</w:t>
      </w:r>
    </w:p>
    <w:p w14:paraId="2F8FF503" w14:textId="77777777" w:rsidR="004B2808" w:rsidRDefault="00000000">
      <w:pPr>
        <w:pStyle w:val="Author-eListParagraph"/>
        <w:numPr>
          <w:ilvl w:val="0"/>
          <w:numId w:val="375"/>
        </w:numPr>
      </w:pPr>
      <w:r>
        <w:t>Isolation des parois verticales : Surface nette. Les ouvertures supérieures à 0,50 m² sont déduites</w:t>
      </w:r>
    </w:p>
    <w:p w14:paraId="40B7447D" w14:textId="77777777" w:rsidR="004B2808" w:rsidRDefault="00000000">
      <w:pPr>
        <w:pStyle w:val="Author-eListParagraph"/>
        <w:numPr>
          <w:ilvl w:val="0"/>
          <w:numId w:val="375"/>
        </w:numPr>
      </w:pPr>
      <w:r>
        <w:t>Isolation des parois horizontales : Surface nette du sol, mesurée entre le nu des murs. Les ouvertures supérieures à 0,5 m² sont déduites. L'isolation périphérique ne doit pas être portée en compte séparément</w:t>
      </w:r>
    </w:p>
    <w:p w14:paraId="51CB456D" w14:textId="77777777" w:rsidR="004B2808" w:rsidRDefault="00000000">
      <w:pPr>
        <w:pStyle w:val="pheading"/>
      </w:pPr>
      <w:r>
        <w:lastRenderedPageBreak/>
        <w:t>- nature du marché:</w:t>
      </w:r>
    </w:p>
    <w:p w14:paraId="7E335484" w14:textId="77777777" w:rsidR="004B2808" w:rsidRDefault="00000000">
      <w:r>
        <w:t>QF</w:t>
      </w:r>
    </w:p>
    <w:p w14:paraId="123E37B4" w14:textId="77777777" w:rsidR="004B2808" w:rsidRDefault="00000000">
      <w:pPr>
        <w:pStyle w:val="Author-eSectionHeading6Numberless"/>
      </w:pPr>
      <w:bookmarkStart w:id="381" w:name="_Toc220490557"/>
      <w:r>
        <w:t>52.41.1c (titre réservé) CCTB 01.02</w:t>
      </w:r>
      <w:bookmarkEnd w:id="381"/>
    </w:p>
    <w:p w14:paraId="77EBAFA8" w14:textId="77777777" w:rsidR="004B2808" w:rsidRDefault="00000000">
      <w:pPr>
        <w:pStyle w:val="Author-eSectionHeading6Numberless"/>
      </w:pPr>
      <w:bookmarkStart w:id="382" w:name="_Toc220490558"/>
      <w:r>
        <w:t>52.41.1d Isolation en panneaux - polyuréthane (PUR) CCTB 01.12</w:t>
      </w:r>
      <w:bookmarkEnd w:id="382"/>
    </w:p>
    <w:p w14:paraId="27BEB3DF" w14:textId="77777777" w:rsidR="004B2808" w:rsidRDefault="00000000">
      <w:pPr>
        <w:pStyle w:val="pheading"/>
      </w:pPr>
      <w:r>
        <w:t>DESCRIPTION</w:t>
      </w:r>
    </w:p>
    <w:p w14:paraId="5A0744F5" w14:textId="77777777" w:rsidR="004B2808" w:rsidRDefault="00000000">
      <w:pPr>
        <w:pStyle w:val="pheading"/>
      </w:pPr>
      <w:r>
        <w:t>- Définition / Comprend</w:t>
      </w:r>
    </w:p>
    <w:p w14:paraId="63ED47C3" w14:textId="77777777" w:rsidR="004B2808" w:rsidRDefault="00000000">
      <w:pPr>
        <w:jc w:val="both"/>
      </w:pPr>
      <w:r>
        <w:t>Il s’agit de la fourniture et la pose d’une isolation thermique au moyen de panneaux de polyuréthane en application horizontale ou verticale d’isolation intérieure.</w:t>
      </w:r>
    </w:p>
    <w:p w14:paraId="20E6FF19" w14:textId="77777777" w:rsidR="004B2808" w:rsidRDefault="00000000">
      <w:pPr>
        <w:jc w:val="both"/>
      </w:pPr>
      <w:r>
        <w:t xml:space="preserve">L’étendue des travaux est décrite sous </w:t>
      </w:r>
      <w:hyperlink w:anchor="1190" w:history="1">
        <w:r w:rsidR="004B2808">
          <w:rPr>
            <w:color w:val="0000EE"/>
          </w:rPr>
          <w:t>52.41 Isolation en panneaux</w:t>
        </w:r>
      </w:hyperlink>
      <w:r>
        <w:t>.</w:t>
      </w:r>
    </w:p>
    <w:p w14:paraId="58D53434" w14:textId="77777777" w:rsidR="004B2808" w:rsidRDefault="00000000">
      <w:pPr>
        <w:jc w:val="both"/>
      </w:pPr>
      <w:r>
        <w:t>L’enduisage du support en vue d’obtenir une surface suffisamment plane pour l’application des panneaux fait partie du présent article.</w:t>
      </w:r>
    </w:p>
    <w:p w14:paraId="06408BBB" w14:textId="77777777" w:rsidR="004B2808" w:rsidRDefault="00000000">
      <w:pPr>
        <w:pStyle w:val="pheading"/>
      </w:pPr>
      <w:r>
        <w:t>MATÉRIAUX</w:t>
      </w:r>
    </w:p>
    <w:p w14:paraId="753D3A6E" w14:textId="77777777" w:rsidR="004B2808" w:rsidRDefault="00000000">
      <w:pPr>
        <w:pStyle w:val="pheading"/>
      </w:pPr>
      <w:r>
        <w:t>- Caractéristiques générales</w:t>
      </w:r>
    </w:p>
    <w:p w14:paraId="48F78253" w14:textId="77777777" w:rsidR="004B2808" w:rsidRDefault="00000000">
      <w:pPr>
        <w:jc w:val="both"/>
      </w:pPr>
      <w:r>
        <w:t>L’isolation de type polyuréthane (PUR) est conforme aux spécifications de la norme [NBN EN 13165:2012+A2].</w:t>
      </w:r>
    </w:p>
    <w:p w14:paraId="5A4F8770" w14:textId="77777777" w:rsidR="004B2808" w:rsidRDefault="00000000">
      <w:pPr>
        <w:jc w:val="both"/>
      </w:pPr>
      <w:r>
        <w:rPr>
          <w:b/>
        </w:rPr>
        <w:t>Caractéristiques des panneaux :</w:t>
      </w:r>
    </w:p>
    <w:p w14:paraId="380BB2FF" w14:textId="77777777" w:rsidR="004B2808" w:rsidRDefault="00000000">
      <w:pPr>
        <w:pStyle w:val="Author-eListParagraph"/>
        <w:numPr>
          <w:ilvl w:val="0"/>
          <w:numId w:val="376"/>
        </w:numPr>
      </w:pPr>
      <w:r>
        <w:t>Conductivité thermique déclarée selon [NBN EN 13165:2012+A2] valeur λ</w:t>
      </w:r>
      <w:r>
        <w:rPr>
          <w:vertAlign w:val="subscript"/>
        </w:rPr>
        <w:t>d</w:t>
      </w:r>
      <w:r>
        <w:t xml:space="preserve"> ≤ : </w:t>
      </w:r>
      <w:r>
        <w:rPr>
          <w:rStyle w:val="optioncarChar"/>
        </w:rPr>
        <w:t>0,0215 / 0,025</w:t>
      </w:r>
      <w:r>
        <w:t xml:space="preserve"> (par défaut) </w:t>
      </w:r>
      <w:r>
        <w:rPr>
          <w:rStyle w:val="optioncarChar"/>
        </w:rPr>
        <w:t>/ 0,023 / 0,024 / *** </w:t>
      </w:r>
      <w:r>
        <w:t>W/mK</w:t>
      </w:r>
    </w:p>
    <w:p w14:paraId="33DEBC46" w14:textId="77777777" w:rsidR="004B2808" w:rsidRDefault="00000000">
      <w:pPr>
        <w:pStyle w:val="Author-eListParagraph"/>
        <w:numPr>
          <w:ilvl w:val="0"/>
          <w:numId w:val="376"/>
        </w:numPr>
      </w:pPr>
      <w:r>
        <w:t xml:space="preserve">Réaction au feu selon [NBN EN 13501-1] : </w:t>
      </w:r>
      <w:r>
        <w:rPr>
          <w:rStyle w:val="optioncarChar"/>
        </w:rPr>
        <w:t xml:space="preserve">F </w:t>
      </w:r>
      <w:r>
        <w:t xml:space="preserve">(par défaut) </w:t>
      </w:r>
      <w:r>
        <w:rPr>
          <w:rStyle w:val="optioncarChar"/>
        </w:rPr>
        <w:t>/ E / ***</w:t>
      </w:r>
    </w:p>
    <w:p w14:paraId="02E9A8E4" w14:textId="77777777" w:rsidR="004B2808" w:rsidRDefault="00000000">
      <w:pPr>
        <w:pStyle w:val="Author-eListParagraph"/>
        <w:numPr>
          <w:ilvl w:val="0"/>
          <w:numId w:val="376"/>
        </w:numPr>
      </w:pPr>
      <w:r>
        <w:t xml:space="preserve">Classement complémentaire pour les gouttelettes/particules enflammées selon [NBN EN 13501-1] : </w:t>
      </w:r>
      <w:r>
        <w:rPr>
          <w:rStyle w:val="optioncarChar"/>
        </w:rPr>
        <w:t>d0 / d1 / d2</w:t>
      </w:r>
    </w:p>
    <w:p w14:paraId="5900F60A" w14:textId="77777777" w:rsidR="004B2808" w:rsidRDefault="00000000">
      <w:pPr>
        <w:pStyle w:val="Author-eListParagraph"/>
        <w:numPr>
          <w:ilvl w:val="0"/>
          <w:numId w:val="376"/>
        </w:numPr>
      </w:pPr>
      <w:r>
        <w:t xml:space="preserve">Classement complémentaire pour la production de fumée selon [NBN EN 13501-1] : </w:t>
      </w:r>
      <w:r>
        <w:rPr>
          <w:rStyle w:val="optioncarChar"/>
        </w:rPr>
        <w:t>S1 / S2 / S3</w:t>
      </w:r>
    </w:p>
    <w:p w14:paraId="14EBB4DB" w14:textId="77777777" w:rsidR="004B2808" w:rsidRDefault="00000000">
      <w:pPr>
        <w:pStyle w:val="Author-eListParagraph"/>
        <w:numPr>
          <w:ilvl w:val="0"/>
          <w:numId w:val="376"/>
        </w:numPr>
      </w:pPr>
      <w:r>
        <w:t xml:space="preserve">Classement en cas de pose au sol sans finition : </w:t>
      </w:r>
      <w:r>
        <w:rPr>
          <w:rStyle w:val="optioncarChar"/>
        </w:rPr>
        <w:t>BFL / CFL / DFL</w:t>
      </w:r>
    </w:p>
    <w:p w14:paraId="3185EA29" w14:textId="77777777" w:rsidR="004B2808" w:rsidRDefault="00000000">
      <w:pPr>
        <w:pStyle w:val="Author-eListParagraph"/>
        <w:numPr>
          <w:ilvl w:val="0"/>
          <w:numId w:val="376"/>
        </w:numPr>
      </w:pPr>
      <w:r>
        <w:t xml:space="preserve">Dimensions : </w:t>
      </w:r>
      <w:r>
        <w:rPr>
          <w:rStyle w:val="optioncarChar"/>
        </w:rPr>
        <w:t xml:space="preserve">600 x 1200 </w:t>
      </w:r>
      <w:r>
        <w:t>(par défaut)</w:t>
      </w:r>
      <w:r>
        <w:rPr>
          <w:rStyle w:val="optioncarChar"/>
        </w:rPr>
        <w:t xml:space="preserve"> / 1000 x 1200 / 1200 x 2400 / 1200 x 1000 / 2500 x 1200 / ***</w:t>
      </w:r>
      <w:r>
        <w:t xml:space="preserve"> mm</w:t>
      </w:r>
    </w:p>
    <w:p w14:paraId="7974EE00" w14:textId="77777777" w:rsidR="004B2808" w:rsidRDefault="00000000">
      <w:pPr>
        <w:pStyle w:val="Author-eListParagraph"/>
        <w:numPr>
          <w:ilvl w:val="0"/>
          <w:numId w:val="376"/>
        </w:numPr>
      </w:pPr>
      <w:r>
        <w:t xml:space="preserve">Épaisseur : </w:t>
      </w:r>
      <w:r>
        <w:rPr>
          <w:rStyle w:val="optioncarChar"/>
        </w:rPr>
        <w:t xml:space="preserve">60 / 80 / 100 / 120 / 140 </w:t>
      </w:r>
      <w:r>
        <w:t>(par défaut)</w:t>
      </w:r>
      <w:r>
        <w:rPr>
          <w:rStyle w:val="optioncarChar"/>
        </w:rPr>
        <w:t xml:space="preserve"> / 160 / 180 / 200 / ***</w:t>
      </w:r>
      <w:r>
        <w:t xml:space="preserve"> mm</w:t>
      </w:r>
    </w:p>
    <w:p w14:paraId="15DB5E4E" w14:textId="77777777" w:rsidR="004B2808" w:rsidRDefault="00000000">
      <w:pPr>
        <w:pStyle w:val="Author-eListParagraph"/>
        <w:numPr>
          <w:ilvl w:val="0"/>
          <w:numId w:val="376"/>
        </w:numPr>
      </w:pPr>
      <w:r>
        <w:t xml:space="preserve">Type de bord : </w:t>
      </w:r>
      <w:r>
        <w:rPr>
          <w:rStyle w:val="optioncarChar"/>
        </w:rPr>
        <w:t xml:space="preserve">droit </w:t>
      </w:r>
      <w:r>
        <w:t xml:space="preserve">(par défaut) </w:t>
      </w:r>
      <w:r>
        <w:rPr>
          <w:rStyle w:val="optioncarChar"/>
        </w:rPr>
        <w:t>/ rainure-languette / à épaulement</w:t>
      </w:r>
    </w:p>
    <w:p w14:paraId="1BBD83D2" w14:textId="77777777" w:rsidR="004B2808" w:rsidRDefault="00000000">
      <w:pPr>
        <w:pStyle w:val="Author-eListParagraph"/>
        <w:numPr>
          <w:ilvl w:val="0"/>
          <w:numId w:val="376"/>
        </w:numPr>
      </w:pPr>
      <w:r>
        <w:t xml:space="preserve">Revêtement de surface : </w:t>
      </w:r>
      <w:r>
        <w:rPr>
          <w:rStyle w:val="optioncarChar"/>
        </w:rPr>
        <w:t xml:space="preserve">film multicouche étanche à la diffusion de gaz sur les 2 faces </w:t>
      </w:r>
      <w:r>
        <w:t xml:space="preserve">(par défaut) </w:t>
      </w:r>
      <w:r>
        <w:rPr>
          <w:rStyle w:val="optioncarChar"/>
        </w:rPr>
        <w:t>/ ***</w:t>
      </w:r>
    </w:p>
    <w:p w14:paraId="5076CC94" w14:textId="77777777" w:rsidR="004B2808" w:rsidRDefault="00000000">
      <w:pPr>
        <w:pStyle w:val="Author-eListParagraph"/>
        <w:numPr>
          <w:ilvl w:val="0"/>
          <w:numId w:val="376"/>
        </w:numPr>
      </w:pPr>
      <w:r>
        <w:t xml:space="preserve">Tolérances : </w:t>
      </w:r>
    </w:p>
    <w:p w14:paraId="789339EE" w14:textId="77777777" w:rsidR="004B2808" w:rsidRDefault="00000000">
      <w:pPr>
        <w:pStyle w:val="Author-eListParagraph"/>
        <w:numPr>
          <w:ilvl w:val="1"/>
          <w:numId w:val="377"/>
        </w:numPr>
      </w:pPr>
      <w:r>
        <w:t xml:space="preserve">Épaisseur selon [NBN EN 823] : </w:t>
      </w:r>
      <w:r>
        <w:rPr>
          <w:rStyle w:val="optioncarChar"/>
        </w:rPr>
        <w:t>T2</w:t>
      </w:r>
      <w:r>
        <w:t xml:space="preserve"> (par défaut)</w:t>
      </w:r>
      <w:r>
        <w:rPr>
          <w:rStyle w:val="optioncarChar"/>
        </w:rPr>
        <w:t xml:space="preserve"> / T1 / T3.</w:t>
      </w:r>
    </w:p>
    <w:p w14:paraId="43225C71" w14:textId="77777777" w:rsidR="004B2808" w:rsidRDefault="00000000">
      <w:pPr>
        <w:pStyle w:val="Author-eListParagraph"/>
        <w:numPr>
          <w:ilvl w:val="1"/>
          <w:numId w:val="377"/>
        </w:numPr>
      </w:pPr>
      <w:r>
        <w:t>Équerrage selon [NBN EN 824] ≤ 5 mm/m.</w:t>
      </w:r>
    </w:p>
    <w:p w14:paraId="184133FE" w14:textId="77777777" w:rsidR="004B2808" w:rsidRDefault="00000000">
      <w:pPr>
        <w:pStyle w:val="Author-eListParagraph"/>
        <w:numPr>
          <w:ilvl w:val="1"/>
          <w:numId w:val="377"/>
        </w:numPr>
      </w:pPr>
      <w:r>
        <w:t>Écart de planéité selon [NBN EN 825] ≤ 6 mm.</w:t>
      </w:r>
    </w:p>
    <w:p w14:paraId="1874620E" w14:textId="77777777" w:rsidR="004B2808" w:rsidRDefault="00000000">
      <w:pPr>
        <w:pStyle w:val="Author-eListParagraph"/>
        <w:numPr>
          <w:ilvl w:val="0"/>
          <w:numId w:val="376"/>
        </w:numPr>
      </w:pPr>
      <w:r>
        <w:t xml:space="preserve">Densité ± : </w:t>
      </w:r>
      <w:r>
        <w:rPr>
          <w:rStyle w:val="optioncarChar"/>
        </w:rPr>
        <w:t>30</w:t>
      </w:r>
      <w:r>
        <w:t xml:space="preserve"> (par défaut)</w:t>
      </w:r>
      <w:r>
        <w:rPr>
          <w:rStyle w:val="optioncarChar"/>
        </w:rPr>
        <w:t xml:space="preserve"> / ***</w:t>
      </w:r>
      <w:r>
        <w:t xml:space="preserve"> kg/m3</w:t>
      </w:r>
    </w:p>
    <w:p w14:paraId="43E27134" w14:textId="77777777" w:rsidR="004B2808" w:rsidRDefault="00000000">
      <w:pPr>
        <w:pStyle w:val="Author-eListParagraph"/>
        <w:numPr>
          <w:ilvl w:val="0"/>
          <w:numId w:val="376"/>
        </w:numPr>
      </w:pPr>
      <w:r>
        <w:t xml:space="preserve">Résistance à la compression à 10 % de déformation selon [NBN EN 826] : niveau CS(10\Y) ≥ : </w:t>
      </w:r>
      <w:r>
        <w:rPr>
          <w:rStyle w:val="optioncarChar"/>
        </w:rPr>
        <w:t>120</w:t>
      </w:r>
      <w:r>
        <w:t xml:space="preserve"> (par défaut)</w:t>
      </w:r>
      <w:r>
        <w:rPr>
          <w:rStyle w:val="optioncarChar"/>
        </w:rPr>
        <w:t xml:space="preserve"> / 150 / ***</w:t>
      </w:r>
      <w:r>
        <w:t xml:space="preserve"> kPa</w:t>
      </w:r>
    </w:p>
    <w:p w14:paraId="611DA19E" w14:textId="77777777" w:rsidR="004B2808" w:rsidRDefault="00000000">
      <w:pPr>
        <w:pStyle w:val="Author-eListParagraph"/>
        <w:numPr>
          <w:ilvl w:val="0"/>
          <w:numId w:val="376"/>
        </w:numPr>
      </w:pPr>
      <w:r>
        <w:t xml:space="preserve">Résistance à la traction perpendiculaire aux faces selon [NBN EN 1607] ≥ : </w:t>
      </w:r>
      <w:r>
        <w:rPr>
          <w:rStyle w:val="optioncarChar"/>
        </w:rPr>
        <w:t xml:space="preserve">80 </w:t>
      </w:r>
      <w:r>
        <w:t xml:space="preserve">(par défaut) </w:t>
      </w:r>
      <w:r>
        <w:rPr>
          <w:rStyle w:val="optioncarChar"/>
        </w:rPr>
        <w:t>/ *** </w:t>
      </w:r>
      <w:r>
        <w:t>kPa</w:t>
      </w:r>
    </w:p>
    <w:p w14:paraId="48CE2069" w14:textId="77777777" w:rsidR="004B2808" w:rsidRDefault="00000000">
      <w:pPr>
        <w:pStyle w:val="Author-eListParagraph"/>
        <w:numPr>
          <w:ilvl w:val="0"/>
          <w:numId w:val="376"/>
        </w:numPr>
      </w:pPr>
      <w:r>
        <w:t xml:space="preserve">Module d’élasticité : ≥ </w:t>
      </w:r>
      <w:r>
        <w:rPr>
          <w:rStyle w:val="optioncarChar"/>
        </w:rPr>
        <w:t>3,82 / 4,5 / 5,54 / ***</w:t>
      </w:r>
      <w:r>
        <w:t xml:space="preserve"> MPa</w:t>
      </w:r>
    </w:p>
    <w:p w14:paraId="26BE3935" w14:textId="77777777" w:rsidR="004B2808" w:rsidRDefault="00000000">
      <w:pPr>
        <w:pStyle w:val="Author-eListParagraph"/>
        <w:numPr>
          <w:ilvl w:val="0"/>
          <w:numId w:val="376"/>
        </w:numPr>
      </w:pPr>
      <w:r>
        <w:t xml:space="preserve">Coefficient diffusion de vapeur d’eau μ : </w:t>
      </w:r>
      <w:r>
        <w:rPr>
          <w:rStyle w:val="optioncarChar"/>
        </w:rPr>
        <w:t>50-100 / ***</w:t>
      </w:r>
    </w:p>
    <w:p w14:paraId="6AA570A8" w14:textId="77777777" w:rsidR="004B2808" w:rsidRDefault="00000000">
      <w:pPr>
        <w:pStyle w:val="Author-eListParagraph"/>
        <w:numPr>
          <w:ilvl w:val="0"/>
          <w:numId w:val="376"/>
        </w:numPr>
      </w:pPr>
      <w:r>
        <w:t xml:space="preserve">Absorption d’eau à long terme selon [NBN EN ISO 16535] WL(T) ≤ : </w:t>
      </w:r>
      <w:r>
        <w:rPr>
          <w:rStyle w:val="optioncarChar"/>
        </w:rPr>
        <w:t>2</w:t>
      </w:r>
      <w:r>
        <w:t xml:space="preserve"> (par défaut)</w:t>
      </w:r>
      <w:r>
        <w:rPr>
          <w:rStyle w:val="optioncarChar"/>
        </w:rPr>
        <w:t xml:space="preserve"> / ***</w:t>
      </w:r>
      <w:r>
        <w:t xml:space="preserve"> % vol</w:t>
      </w:r>
    </w:p>
    <w:p w14:paraId="67DFC508" w14:textId="77777777" w:rsidR="004B2808" w:rsidRDefault="00000000">
      <w:pPr>
        <w:jc w:val="both"/>
      </w:pPr>
      <w:r>
        <w:t>Le produit d’isolation ainsi que sa mise en œuvre respectent les prescriptions prévues par la déclaration d’aptitude à l’utilisation tels que définis au 02.42.1 Critères d'acceptabilité.</w:t>
      </w:r>
    </w:p>
    <w:p w14:paraId="0E96A23F" w14:textId="77777777" w:rsidR="004B2808" w:rsidRDefault="00000000">
      <w:pPr>
        <w:jc w:val="both"/>
      </w:pPr>
      <w:r>
        <w:rPr>
          <w:b/>
        </w:rPr>
        <w:t>Aspects environnementaux :</w:t>
      </w:r>
    </w:p>
    <w:p w14:paraId="43DAF24D" w14:textId="77777777" w:rsidR="004B2808" w:rsidRDefault="00000000">
      <w:pPr>
        <w:jc w:val="both"/>
      </w:pPr>
      <w:r>
        <w:t xml:space="preserve">Le produit comporte un pourcentage de matériau recyclé : </w:t>
      </w:r>
      <w:r>
        <w:rPr>
          <w:rStyle w:val="optioncarChar"/>
        </w:rPr>
        <w:t xml:space="preserve">25 </w:t>
      </w:r>
      <w:r>
        <w:t xml:space="preserve">(par défaut) </w:t>
      </w:r>
      <w:r>
        <w:rPr>
          <w:rStyle w:val="optioncarChar"/>
        </w:rPr>
        <w:t>/ ***</w:t>
      </w:r>
      <w:r>
        <w:t xml:space="preserve"> %</w:t>
      </w:r>
    </w:p>
    <w:p w14:paraId="418E3C47" w14:textId="77777777" w:rsidR="004B2808" w:rsidRDefault="00000000">
      <w:pPr>
        <w:jc w:val="both"/>
      </w:pPr>
      <w:r>
        <w:lastRenderedPageBreak/>
        <w:t xml:space="preserve">Classe d’émissions de COV [NBN ISO 16000 série] : </w:t>
      </w:r>
      <w:r>
        <w:rPr>
          <w:rStyle w:val="optioncarChar"/>
        </w:rPr>
        <w:t>A+ / ***</w:t>
      </w:r>
    </w:p>
    <w:p w14:paraId="08AB5480" w14:textId="77777777" w:rsidR="004B2808" w:rsidRDefault="00000000">
      <w:pPr>
        <w:jc w:val="both"/>
      </w:pPr>
      <w:r>
        <w:t>Classe d’émission de formaldéhyde :</w:t>
      </w:r>
      <w:r>
        <w:rPr>
          <w:rStyle w:val="optioncarChar"/>
        </w:rPr>
        <w:t xml:space="preserve"> A / ***</w:t>
      </w:r>
    </w:p>
    <w:p w14:paraId="2FD56AC6" w14:textId="77777777" w:rsidR="004B2808" w:rsidRDefault="00000000">
      <w:pPr>
        <w:pStyle w:val="pheading"/>
      </w:pPr>
      <w:r>
        <w:t>EXÉCUTION / MISE EN ŒUVRE</w:t>
      </w:r>
    </w:p>
    <w:p w14:paraId="296DF138" w14:textId="77777777" w:rsidR="004B2808" w:rsidRDefault="00000000">
      <w:pPr>
        <w:pStyle w:val="pheading"/>
      </w:pPr>
      <w:r>
        <w:t>- Prescriptions générales</w:t>
      </w:r>
    </w:p>
    <w:p w14:paraId="79CBA92A" w14:textId="77777777" w:rsidR="004B2808" w:rsidRDefault="00000000">
      <w:r>
        <w:t>Les panneaux sont posés de façon jointive.</w:t>
      </w:r>
    </w:p>
    <w:p w14:paraId="15259677" w14:textId="77777777" w:rsidR="004B2808" w:rsidRDefault="00000000">
      <w:r>
        <w:rPr>
          <w:u w:val="single"/>
        </w:rPr>
        <w:t>Pour une application sous chape :</w:t>
      </w:r>
      <w:r>
        <w:br/>
        <w:t>Les spécifications de mise en œuvre sont reprises dans la [NIT 193].</w:t>
      </w:r>
      <w:r>
        <w:br/>
        <w:t xml:space="preserve">Les panneaux sont posés de manière continue sur une surface rendue suffisamment plane par la réalisation d’une sous-couche suivant </w:t>
      </w:r>
      <w:hyperlink w:anchor="1191" w:history="1">
        <w:r w:rsidR="004B2808">
          <w:rPr>
            <w:color w:val="0000EE"/>
          </w:rPr>
          <w:t>53.11 Sous-couches de remplissage ou d'égalisation</w:t>
        </w:r>
      </w:hyperlink>
      <w:r>
        <w:t>.</w:t>
      </w:r>
    </w:p>
    <w:p w14:paraId="5E09FD6A" w14:textId="77777777" w:rsidR="004B2808" w:rsidRDefault="00000000">
      <w:pPr>
        <w:jc w:val="both"/>
      </w:pPr>
      <w:r>
        <w:rPr>
          <w:u w:val="single"/>
        </w:rPr>
        <w:t>Pour une application en parois de séparation ou contre-cloison thermique :</w:t>
      </w:r>
    </w:p>
    <w:p w14:paraId="404BAF76" w14:textId="77777777" w:rsidR="004B2808" w:rsidRDefault="00000000">
      <w:pPr>
        <w:jc w:val="both"/>
      </w:pPr>
      <w:r>
        <w:t>Les spécifications de mise en œuvre sont reprises dans la [NIT 233].</w:t>
      </w:r>
    </w:p>
    <w:p w14:paraId="3297278C" w14:textId="77777777" w:rsidR="004B2808" w:rsidRDefault="00000000">
      <w:pPr>
        <w:jc w:val="both"/>
      </w:pPr>
      <w:r>
        <w:t xml:space="preserve">Les panneaux sont protégés côté chaud par un pare-vapeur suivant </w:t>
      </w:r>
      <w:hyperlink w:anchor="1192" w:history="1">
        <w:r w:rsidR="004B2808">
          <w:rPr>
            <w:color w:val="0000EE"/>
          </w:rPr>
          <w:t>52.21 Pare-vapeur</w:t>
        </w:r>
      </w:hyperlink>
      <w:r>
        <w:t xml:space="preserve"> couvrant l’entièreté de la surface et raccordé aux matériaux adjacents. </w:t>
      </w:r>
    </w:p>
    <w:p w14:paraId="6BD4EBFD" w14:textId="77777777" w:rsidR="004B2808" w:rsidRDefault="00000000">
      <w:pPr>
        <w:jc w:val="both"/>
      </w:pPr>
      <w:r>
        <w:t>Préparation du support : en cas d’irrégularités trop importantes de la paroi, application d’une couche d’égalisation.</w:t>
      </w:r>
    </w:p>
    <w:p w14:paraId="626E49B6" w14:textId="77777777" w:rsidR="004B2808" w:rsidRDefault="00000000">
      <w:pPr>
        <w:jc w:val="both"/>
      </w:pPr>
      <w:r>
        <w:t xml:space="preserve">Les panneaux sont fixés par </w:t>
      </w:r>
      <w:r>
        <w:rPr>
          <w:rStyle w:val="optioncarChar"/>
        </w:rPr>
        <w:t xml:space="preserve">serrage entre éléments d’ossature de la paroi </w:t>
      </w:r>
      <w:r>
        <w:t>(par défaut)</w:t>
      </w:r>
      <w:r>
        <w:rPr>
          <w:rStyle w:val="optioncarChar"/>
        </w:rPr>
        <w:t xml:space="preserve"> / collage / fixation mécanique</w:t>
      </w:r>
    </w:p>
    <w:p w14:paraId="3C0EAE3F" w14:textId="77777777" w:rsidR="004B2808" w:rsidRDefault="00000000">
      <w:pPr>
        <w:jc w:val="both"/>
      </w:pPr>
      <w:r>
        <w:rPr>
          <w:b/>
        </w:rPr>
        <w:t>(soit par défaut)</w:t>
      </w:r>
    </w:p>
    <w:p w14:paraId="1A3F8CA4" w14:textId="77777777" w:rsidR="004B2808" w:rsidRDefault="00000000">
      <w:pPr>
        <w:jc w:val="both"/>
      </w:pPr>
      <w:r>
        <w:rPr>
          <w:rStyle w:val="soitChar"/>
          <w:u w:val="single"/>
        </w:rPr>
        <w:t>Serrage entre éléments d’ossature de la paroi :</w:t>
      </w:r>
    </w:p>
    <w:p w14:paraId="13033CAF" w14:textId="77777777" w:rsidR="004B2808" w:rsidRDefault="00000000">
      <w:pPr>
        <w:pStyle w:val="Author-eListParagraph"/>
        <w:numPr>
          <w:ilvl w:val="0"/>
          <w:numId w:val="378"/>
        </w:numPr>
      </w:pPr>
      <w:r>
        <w:rPr>
          <w:rStyle w:val="soitChar"/>
        </w:rPr>
        <w:t>Les panneaux sont découpés à mesure et serrés entièrement.</w:t>
      </w:r>
    </w:p>
    <w:p w14:paraId="7E3BB586" w14:textId="77777777" w:rsidR="004B2808" w:rsidRDefault="00000000">
      <w:pPr>
        <w:pStyle w:val="Author-eListParagraph"/>
        <w:numPr>
          <w:ilvl w:val="0"/>
          <w:numId w:val="378"/>
        </w:numPr>
      </w:pPr>
      <w:r>
        <w:rPr>
          <w:rStyle w:val="soitChar"/>
        </w:rPr>
        <w:t>La fixation par serrage fait l’objet d’un contrôle visuel après pose.</w:t>
      </w:r>
    </w:p>
    <w:p w14:paraId="53AFDF79" w14:textId="77777777" w:rsidR="004B2808" w:rsidRDefault="00000000">
      <w:pPr>
        <w:jc w:val="both"/>
      </w:pPr>
      <w:r>
        <w:rPr>
          <w:b/>
        </w:rPr>
        <w:t>(soit)</w:t>
      </w:r>
    </w:p>
    <w:p w14:paraId="1D1D004C" w14:textId="77777777" w:rsidR="004B2808" w:rsidRDefault="00000000">
      <w:pPr>
        <w:jc w:val="both"/>
      </w:pPr>
      <w:r>
        <w:rPr>
          <w:rStyle w:val="soitChar"/>
          <w:u w:val="single"/>
        </w:rPr>
        <w:t>Collage :</w:t>
      </w:r>
    </w:p>
    <w:p w14:paraId="7CA12731" w14:textId="77777777" w:rsidR="004B2808" w:rsidRDefault="00000000">
      <w:pPr>
        <w:pStyle w:val="Author-eListParagraph"/>
        <w:numPr>
          <w:ilvl w:val="0"/>
          <w:numId w:val="379"/>
        </w:numPr>
      </w:pPr>
      <w:r>
        <w:rPr>
          <w:rStyle w:val="soitChar"/>
        </w:rPr>
        <w:t xml:space="preserve">Les panneaux sont fixés à l’aide de colle : </w:t>
      </w:r>
      <w:r>
        <w:rPr>
          <w:rStyle w:val="optioncarChar"/>
        </w:rPr>
        <w:t>PU</w:t>
      </w:r>
      <w:r>
        <w:t xml:space="preserve"> (par défaut) </w:t>
      </w:r>
      <w:r>
        <w:rPr>
          <w:rStyle w:val="optioncarChar"/>
        </w:rPr>
        <w:t>/ ***</w:t>
      </w:r>
    </w:p>
    <w:p w14:paraId="4D697CDC" w14:textId="77777777" w:rsidR="004B2808" w:rsidRDefault="00000000">
      <w:pPr>
        <w:pStyle w:val="Author-eListParagraph"/>
        <w:numPr>
          <w:ilvl w:val="0"/>
          <w:numId w:val="379"/>
        </w:numPr>
      </w:pPr>
      <w:r>
        <w:rPr>
          <w:rStyle w:val="soitChar"/>
        </w:rPr>
        <w:t xml:space="preserve">La colle est appliquée en collage partiel à </w:t>
      </w:r>
      <w:r>
        <w:rPr>
          <w:rStyle w:val="optioncarChar"/>
        </w:rPr>
        <w:t>50</w:t>
      </w:r>
      <w:r>
        <w:t xml:space="preserve"> (par défaut) </w:t>
      </w:r>
      <w:r>
        <w:rPr>
          <w:rStyle w:val="optioncarChar"/>
        </w:rPr>
        <w:t>/ ***</w:t>
      </w:r>
      <w:r>
        <w:rPr>
          <w:rStyle w:val="soitChar"/>
        </w:rPr>
        <w:t xml:space="preserve"> %</w:t>
      </w:r>
    </w:p>
    <w:p w14:paraId="62E7D9B7" w14:textId="77777777" w:rsidR="004B2808" w:rsidRDefault="00000000">
      <w:pPr>
        <w:jc w:val="both"/>
      </w:pPr>
      <w:r>
        <w:rPr>
          <w:b/>
        </w:rPr>
        <w:t>(soit)</w:t>
      </w:r>
    </w:p>
    <w:p w14:paraId="73981A7E" w14:textId="77777777" w:rsidR="004B2808" w:rsidRDefault="00000000">
      <w:pPr>
        <w:jc w:val="both"/>
      </w:pPr>
      <w:r>
        <w:rPr>
          <w:rStyle w:val="soitChar"/>
          <w:u w:val="single"/>
        </w:rPr>
        <w:t>Fixation mécanique :</w:t>
      </w:r>
    </w:p>
    <w:p w14:paraId="2D3D4BE3" w14:textId="77777777" w:rsidR="004B2808" w:rsidRDefault="00000000">
      <w:pPr>
        <w:pStyle w:val="Author-eListParagraph"/>
        <w:numPr>
          <w:ilvl w:val="0"/>
          <w:numId w:val="380"/>
        </w:numPr>
      </w:pPr>
      <w:r>
        <w:rPr>
          <w:rStyle w:val="soitChar"/>
        </w:rPr>
        <w:t xml:space="preserve">Les fixations sont au nombre de : </w:t>
      </w:r>
      <w:r>
        <w:rPr>
          <w:rStyle w:val="optioncarChar"/>
        </w:rPr>
        <w:t>3 par panneau / 5 par m²</w:t>
      </w:r>
      <w:r>
        <w:t xml:space="preserve"> (par défaut) </w:t>
      </w:r>
      <w:r>
        <w:rPr>
          <w:rStyle w:val="optioncarChar"/>
        </w:rPr>
        <w:t>/ ***</w:t>
      </w:r>
    </w:p>
    <w:p w14:paraId="2394FD89" w14:textId="77777777" w:rsidR="004B2808" w:rsidRDefault="00000000">
      <w:pPr>
        <w:pStyle w:val="Author-eListParagraph"/>
        <w:numPr>
          <w:ilvl w:val="0"/>
          <w:numId w:val="380"/>
        </w:numPr>
      </w:pPr>
      <w:r>
        <w:rPr>
          <w:rStyle w:val="soitChar"/>
        </w:rPr>
        <w:t>Les fixations sont munies de :</w:t>
      </w:r>
      <w:r>
        <w:rPr>
          <w:rStyle w:val="optioncarChar"/>
        </w:rPr>
        <w:t xml:space="preserve">rosace synthétique </w:t>
      </w:r>
      <w:r>
        <w:t>(par défaut)</w:t>
      </w:r>
      <w:r>
        <w:rPr>
          <w:rStyle w:val="optioncarChar"/>
        </w:rPr>
        <w:t xml:space="preserve"> / ***</w:t>
      </w:r>
    </w:p>
    <w:p w14:paraId="25CF41D8" w14:textId="77777777" w:rsidR="004B2808" w:rsidRDefault="00000000">
      <w:pPr>
        <w:pStyle w:val="Author-eListParagraph"/>
        <w:numPr>
          <w:ilvl w:val="0"/>
          <w:numId w:val="380"/>
        </w:numPr>
      </w:pPr>
      <w:r>
        <w:rPr>
          <w:rStyle w:val="soitChar"/>
        </w:rPr>
        <w:t xml:space="preserve">L’ancrage dans la paroi porteuse est : </w:t>
      </w:r>
      <w:r>
        <w:rPr>
          <w:rStyle w:val="optioncarChar"/>
        </w:rPr>
        <w:t xml:space="preserve">synthétique </w:t>
      </w:r>
      <w:r>
        <w:t>(par défaut)</w:t>
      </w:r>
      <w:r>
        <w:rPr>
          <w:rStyle w:val="optioncarChar"/>
        </w:rPr>
        <w:t xml:space="preserve"> / ***</w:t>
      </w:r>
    </w:p>
    <w:p w14:paraId="1B1DC37A" w14:textId="77777777" w:rsidR="004B2808" w:rsidRDefault="00000000">
      <w:pPr>
        <w:pStyle w:val="Author-eListParagraph"/>
        <w:numPr>
          <w:ilvl w:val="0"/>
          <w:numId w:val="380"/>
        </w:numPr>
      </w:pPr>
      <w:r>
        <w:rPr>
          <w:rStyle w:val="soitChar"/>
        </w:rPr>
        <w:t xml:space="preserve">Les ancrages sont adaptés au support : </w:t>
      </w:r>
      <w:r>
        <w:rPr>
          <w:rStyle w:val="optioncarChar"/>
        </w:rPr>
        <w:t xml:space="preserve">à visser </w:t>
      </w:r>
      <w:r>
        <w:t xml:space="preserve">(par défaut) </w:t>
      </w:r>
      <w:r>
        <w:rPr>
          <w:rStyle w:val="optioncarChar"/>
        </w:rPr>
        <w:t>/ ***</w:t>
      </w:r>
    </w:p>
    <w:p w14:paraId="5FE0E826" w14:textId="77777777" w:rsidR="004B2808" w:rsidRDefault="00000000">
      <w:pPr>
        <w:jc w:val="both"/>
      </w:pPr>
      <w:r>
        <w:rPr>
          <w:rStyle w:val="soitChar"/>
        </w:rPr>
        <w:t>Le resserrage périphérique est réalisé de manière à offrir les mêmes valeurs thermiques et acoustiques que les surfaces générales.</w:t>
      </w:r>
    </w:p>
    <w:p w14:paraId="5236E8EC" w14:textId="77777777" w:rsidR="004B2808" w:rsidRDefault="00000000">
      <w:pPr>
        <w:jc w:val="both"/>
      </w:pPr>
      <w:r>
        <w:rPr>
          <w:u w:val="single"/>
        </w:rPr>
        <w:t>Pour une application en plafond :</w:t>
      </w:r>
    </w:p>
    <w:p w14:paraId="1F928DE3" w14:textId="77777777" w:rsidR="004B2808" w:rsidRDefault="00000000">
      <w:pPr>
        <w:jc w:val="both"/>
      </w:pPr>
      <w:r>
        <w:t>Les spécifications de mise en œuvre sont reprises dans la [NIT 232].</w:t>
      </w:r>
    </w:p>
    <w:p w14:paraId="545A035F" w14:textId="77777777" w:rsidR="004B2808" w:rsidRDefault="00000000">
      <w:pPr>
        <w:jc w:val="both"/>
      </w:pPr>
      <w:r>
        <w:t xml:space="preserve">Le placement de l’isolation est assuré par : </w:t>
      </w:r>
      <w:r>
        <w:rPr>
          <w:rStyle w:val="optioncarChar"/>
        </w:rPr>
        <w:t xml:space="preserve">pose sur la structure de faux-plafond </w:t>
      </w:r>
      <w:r>
        <w:t>(par défaut)</w:t>
      </w:r>
      <w:r>
        <w:rPr>
          <w:rStyle w:val="optioncarChar"/>
        </w:rPr>
        <w:t xml:space="preserve"> / fixation au moyen d’un lattage / ***</w:t>
      </w:r>
    </w:p>
    <w:p w14:paraId="1C403F69" w14:textId="77777777" w:rsidR="004B2808" w:rsidRDefault="00000000">
      <w:pPr>
        <w:jc w:val="both"/>
      </w:pPr>
      <w:r>
        <w:rPr>
          <w:u w:val="single"/>
        </w:rPr>
        <w:t>Pour une application en plancher :</w:t>
      </w:r>
    </w:p>
    <w:p w14:paraId="67CD6833" w14:textId="77777777" w:rsidR="004B2808" w:rsidRDefault="00000000">
      <w:pPr>
        <w:jc w:val="both"/>
      </w:pPr>
      <w:r>
        <w:t>Les panneaux sont disposés entre les lambourdes, chevrons ou poutres.</w:t>
      </w:r>
    </w:p>
    <w:p w14:paraId="4E234A30" w14:textId="77777777" w:rsidR="004B2808" w:rsidRDefault="00000000">
      <w:pPr>
        <w:jc w:val="both"/>
      </w:pPr>
      <w:r>
        <w:t xml:space="preserve">L’isolation est posée par le : </w:t>
      </w:r>
      <w:r>
        <w:rPr>
          <w:rStyle w:val="optioncarChar"/>
        </w:rPr>
        <w:t xml:space="preserve">dessus </w:t>
      </w:r>
      <w:r>
        <w:t xml:space="preserve">(par défaut) </w:t>
      </w:r>
      <w:r>
        <w:rPr>
          <w:rStyle w:val="optioncarChar"/>
        </w:rPr>
        <w:t>/ dessous</w:t>
      </w:r>
      <w:r>
        <w:t xml:space="preserve"> des planchers</w:t>
      </w:r>
    </w:p>
    <w:p w14:paraId="3AE1EF3A" w14:textId="77777777" w:rsidR="004B2808" w:rsidRDefault="00000000">
      <w:pPr>
        <w:jc w:val="both"/>
      </w:pPr>
      <w:r>
        <w:rPr>
          <w:b/>
        </w:rPr>
        <w:t>(soit par défaut)</w:t>
      </w:r>
    </w:p>
    <w:p w14:paraId="08A34B1B" w14:textId="77777777" w:rsidR="004B2808" w:rsidRDefault="00000000">
      <w:pPr>
        <w:jc w:val="both"/>
      </w:pPr>
      <w:r>
        <w:rPr>
          <w:rStyle w:val="soitChar"/>
          <w:u w:val="single"/>
        </w:rPr>
        <w:t>Par le dessus des planchers :</w:t>
      </w:r>
    </w:p>
    <w:p w14:paraId="7B8505C6" w14:textId="77777777" w:rsidR="004B2808" w:rsidRDefault="00000000">
      <w:pPr>
        <w:pStyle w:val="Author-eListParagraph"/>
        <w:numPr>
          <w:ilvl w:val="0"/>
          <w:numId w:val="381"/>
        </w:numPr>
      </w:pPr>
      <w:r>
        <w:rPr>
          <w:rStyle w:val="soitChar"/>
        </w:rPr>
        <w:t xml:space="preserve">Le placement de l’isolation est assuré par : </w:t>
      </w:r>
      <w:r>
        <w:rPr>
          <w:rStyle w:val="optioncarChar"/>
        </w:rPr>
        <w:t>pose simple</w:t>
      </w:r>
      <w:r>
        <w:t xml:space="preserve"> (par défaut) </w:t>
      </w:r>
      <w:r>
        <w:rPr>
          <w:rStyle w:val="optioncarChar"/>
        </w:rPr>
        <w:t>/ ***</w:t>
      </w:r>
    </w:p>
    <w:p w14:paraId="393B7B42" w14:textId="77777777" w:rsidR="004B2808" w:rsidRDefault="00000000">
      <w:pPr>
        <w:jc w:val="both"/>
      </w:pPr>
      <w:r>
        <w:rPr>
          <w:b/>
        </w:rPr>
        <w:lastRenderedPageBreak/>
        <w:t>(soit) </w:t>
      </w:r>
    </w:p>
    <w:p w14:paraId="39F47668" w14:textId="77777777" w:rsidR="004B2808" w:rsidRDefault="00000000">
      <w:pPr>
        <w:jc w:val="both"/>
      </w:pPr>
      <w:r>
        <w:rPr>
          <w:rStyle w:val="soitChar"/>
          <w:u w:val="single"/>
        </w:rPr>
        <w:t>Par le dessous des planchers :</w:t>
      </w:r>
    </w:p>
    <w:p w14:paraId="726F4F0B" w14:textId="77777777" w:rsidR="004B2808" w:rsidRDefault="00000000">
      <w:pPr>
        <w:pStyle w:val="Author-eListParagraph"/>
        <w:numPr>
          <w:ilvl w:val="0"/>
          <w:numId w:val="382"/>
        </w:numPr>
        <w:jc w:val="both"/>
      </w:pPr>
      <w:r>
        <w:rPr>
          <w:rStyle w:val="soitChar"/>
        </w:rPr>
        <w:t xml:space="preserve">Le placement de l’isolation est assuré par fixation : </w:t>
      </w:r>
      <w:r>
        <w:rPr>
          <w:rStyle w:val="optioncarChar"/>
        </w:rPr>
        <w:t xml:space="preserve">à rosace à raison de 3 par m² </w:t>
      </w:r>
      <w:r>
        <w:t>(par défaut)</w:t>
      </w:r>
      <w:r>
        <w:rPr>
          <w:rStyle w:val="optioncarChar"/>
        </w:rPr>
        <w:t xml:space="preserve"> / au moyen d’un lattage / ***</w:t>
      </w:r>
    </w:p>
    <w:p w14:paraId="33383BFA" w14:textId="77777777" w:rsidR="004B2808" w:rsidRDefault="00000000">
      <w:pPr>
        <w:pStyle w:val="pheading"/>
      </w:pPr>
      <w:r>
        <w:t>DOCUMENTS DE RÉFÉRENCE COMPLÉMENTAIRES</w:t>
      </w:r>
    </w:p>
    <w:p w14:paraId="0F61BDB7" w14:textId="77777777" w:rsidR="004B2808" w:rsidRDefault="00000000">
      <w:pPr>
        <w:pStyle w:val="pheading"/>
      </w:pPr>
      <w:r>
        <w:t>- Matériau</w:t>
      </w:r>
    </w:p>
    <w:p w14:paraId="33B7CB6E" w14:textId="77777777" w:rsidR="004B2808" w:rsidRDefault="00000000">
      <w:r>
        <w:t>[NBN EN 823, Produits isolants thermiques destinés aux applications du bâtiment - Détermination de l'épaisseur]</w:t>
      </w:r>
    </w:p>
    <w:p w14:paraId="2D040C69" w14:textId="77777777" w:rsidR="004B2808" w:rsidRDefault="00000000">
      <w:r>
        <w:t>[NBN EN 824, Produits isolants thermiques destinés aux applications du bâtiment - Détermination de l'équerrage]</w:t>
      </w:r>
    </w:p>
    <w:p w14:paraId="0F5CDCA2" w14:textId="77777777" w:rsidR="004B2808" w:rsidRDefault="00000000">
      <w:r>
        <w:t>[NBN EN 825, Produits isolants thermiques destinés aux applications du bâtiment - Détermination de la planéité]</w:t>
      </w:r>
    </w:p>
    <w:p w14:paraId="7888E713" w14:textId="77777777" w:rsidR="004B2808" w:rsidRDefault="00000000">
      <w:r>
        <w:t>[NBN EN 826, Produits isolants thermiques destinés aux applications du bâtiment - Détermination du comportement en compression]</w:t>
      </w:r>
    </w:p>
    <w:p w14:paraId="3715B4E5" w14:textId="77777777" w:rsidR="004B2808" w:rsidRDefault="00000000">
      <w:r>
        <w:t>[NBN EN 1607, Produits isolants thermiques destinés aux applications du bâtiment - Détermination de la résistance à la traction perpendiculairement aux faces]</w:t>
      </w:r>
    </w:p>
    <w:p w14:paraId="56C98BBC" w14:textId="77777777" w:rsidR="004B2808" w:rsidRDefault="00000000">
      <w:r>
        <w:t>[NBN ISO 16000 série, Air intérieur]</w:t>
      </w:r>
    </w:p>
    <w:p w14:paraId="0D027D46" w14:textId="77777777" w:rsidR="004B2808" w:rsidRDefault="00000000">
      <w:r>
        <w:t>[NBN EN ISO 16535, Produits isolants thermiques destinés aux applications du bâtiment - Détermination de l'absorption d'eau à long terme par immersion (ISO 16535:2019)]</w:t>
      </w:r>
    </w:p>
    <w:p w14:paraId="338C8EF8" w14:textId="77777777" w:rsidR="004B2808" w:rsidRDefault="00000000">
      <w:r>
        <w:t>[NBN EN 13165:2012+A2, Produits isolants thermiques pour le bâtiment - Produits manufacturés en mousse rigide de polyuréthane (PU) - Spécification]</w:t>
      </w:r>
    </w:p>
    <w:p w14:paraId="32557DD6" w14:textId="77777777" w:rsidR="004B2808" w:rsidRDefault="00000000">
      <w:r>
        <w:t>[NBN EN 13501-1, Classement au feu des produits et éléments de construction - Partie 1: Classement à partir des données d'essais de réaction au feu]</w:t>
      </w:r>
    </w:p>
    <w:p w14:paraId="14C947FF" w14:textId="77777777" w:rsidR="004B2808" w:rsidRDefault="00000000">
      <w:pPr>
        <w:pStyle w:val="pheading"/>
      </w:pPr>
      <w:r>
        <w:t>- Exécution</w:t>
      </w:r>
    </w:p>
    <w:p w14:paraId="08DBBF88" w14:textId="77777777" w:rsidR="004B2808" w:rsidRDefault="00000000">
      <w:r>
        <w:t>[NIT 193, Les chapes. 2e partie: Mise en oeuvre.]</w:t>
      </w:r>
    </w:p>
    <w:p w14:paraId="714F793A" w14:textId="77777777" w:rsidR="004B2808" w:rsidRDefault="00000000">
      <w:r>
        <w:t>[NIT 232, Les plafonds suspendus.]</w:t>
      </w:r>
    </w:p>
    <w:p w14:paraId="10EAA873" w14:textId="77777777" w:rsidR="004B2808" w:rsidRDefault="00000000">
      <w:r>
        <w:t>[NIT 233, Les cloisons légères.]</w:t>
      </w:r>
    </w:p>
    <w:p w14:paraId="154CF95B" w14:textId="77777777" w:rsidR="004B2808" w:rsidRDefault="00000000">
      <w:pPr>
        <w:pStyle w:val="pheading"/>
      </w:pPr>
      <w:r>
        <w:t>MESURAGE</w:t>
      </w:r>
    </w:p>
    <w:p w14:paraId="4506C6AA" w14:textId="77777777" w:rsidR="004B2808" w:rsidRDefault="00000000">
      <w:pPr>
        <w:pStyle w:val="pheading"/>
      </w:pPr>
      <w:r>
        <w:t>- unité de mesure:</w:t>
      </w:r>
    </w:p>
    <w:p w14:paraId="300040D9" w14:textId="77777777" w:rsidR="004B2808" w:rsidRDefault="00000000">
      <w:r>
        <w:t>m²</w:t>
      </w:r>
    </w:p>
    <w:p w14:paraId="14C49D8D" w14:textId="77777777" w:rsidR="004B2808" w:rsidRDefault="00000000">
      <w:pPr>
        <w:pStyle w:val="pheading"/>
      </w:pPr>
      <w:r>
        <w:t>- code de mesurage:</w:t>
      </w:r>
    </w:p>
    <w:p w14:paraId="55DCE018" w14:textId="77777777" w:rsidR="004B2808" w:rsidRDefault="00000000">
      <w:pPr>
        <w:jc w:val="both"/>
      </w:pPr>
      <w:r>
        <w:t>Distinction faite suivant l'épaisseur.</w:t>
      </w:r>
    </w:p>
    <w:p w14:paraId="158DE990" w14:textId="77777777" w:rsidR="004B2808" w:rsidRDefault="00000000">
      <w:pPr>
        <w:pStyle w:val="Author-eListParagraph"/>
        <w:numPr>
          <w:ilvl w:val="0"/>
          <w:numId w:val="383"/>
        </w:numPr>
        <w:jc w:val="both"/>
      </w:pPr>
      <w:r>
        <w:t>Isolation des parois verticales : Surface nette. Les ouvertures ˃ 0,50 m² sont déduites</w:t>
      </w:r>
    </w:p>
    <w:p w14:paraId="004601EC" w14:textId="77777777" w:rsidR="004B2808" w:rsidRDefault="00000000">
      <w:pPr>
        <w:pStyle w:val="Author-eListParagraph"/>
        <w:numPr>
          <w:ilvl w:val="0"/>
          <w:numId w:val="383"/>
        </w:numPr>
        <w:jc w:val="both"/>
      </w:pPr>
      <w:r>
        <w:t>Isolation des parois horizontales : Surface nette du sol, mesurée entre le nu des murs. Les ouvertures ˃ 0,5 m² sont déduites. L'isolation périphérique n’est pas portée en compte séparément</w:t>
      </w:r>
    </w:p>
    <w:p w14:paraId="18C46E96" w14:textId="77777777" w:rsidR="004B2808" w:rsidRDefault="00000000">
      <w:pPr>
        <w:pStyle w:val="pheading"/>
      </w:pPr>
      <w:r>
        <w:t>- nature du marché:</w:t>
      </w:r>
    </w:p>
    <w:p w14:paraId="42D33EA5" w14:textId="77777777" w:rsidR="004B2808" w:rsidRDefault="00000000">
      <w:r>
        <w:t>QF</w:t>
      </w:r>
    </w:p>
    <w:p w14:paraId="3D171318" w14:textId="77777777" w:rsidR="004B2808" w:rsidRDefault="00000000">
      <w:pPr>
        <w:pStyle w:val="pheading"/>
      </w:pPr>
      <w:r>
        <w:t>AIDE</w:t>
      </w:r>
    </w:p>
    <w:p w14:paraId="394452E4" w14:textId="77777777" w:rsidR="004B2808" w:rsidRDefault="00000000">
      <w:pPr>
        <w:jc w:val="both"/>
      </w:pPr>
      <w:r>
        <w:t>La documentation technique des produits n’indique pas toujours s’il s’agit de PUR ou de PIR.  Il y a lieu de vérifier dans l’ATG quelle est la nature exacte du produit concerné.</w:t>
      </w:r>
    </w:p>
    <w:p w14:paraId="0D2CC022" w14:textId="77777777" w:rsidR="004B2808" w:rsidRDefault="00000000">
      <w:pPr>
        <w:pStyle w:val="Author-eSectionHeading6Numberless"/>
      </w:pPr>
      <w:bookmarkStart w:id="383" w:name="_Toc220490559"/>
      <w:r>
        <w:t>52.41.1e Isolation en panneaux - polyisocyanurate (PIR) CCTB 01.02</w:t>
      </w:r>
      <w:bookmarkEnd w:id="383"/>
    </w:p>
    <w:p w14:paraId="08D3A0E3" w14:textId="77777777" w:rsidR="004B2808" w:rsidRDefault="00000000">
      <w:pPr>
        <w:pStyle w:val="Author-eSectionHeading6Numberless"/>
      </w:pPr>
      <w:bookmarkStart w:id="384" w:name="_Toc220490560"/>
      <w:r>
        <w:lastRenderedPageBreak/>
        <w:t>52.41.1f (titre réservé) CCTB 01.02</w:t>
      </w:r>
      <w:bookmarkEnd w:id="384"/>
    </w:p>
    <w:p w14:paraId="39CFD159" w14:textId="77777777" w:rsidR="004B2808" w:rsidRDefault="00000000">
      <w:pPr>
        <w:pStyle w:val="Author-eSectionHeading6Numberless"/>
      </w:pPr>
      <w:bookmarkStart w:id="385" w:name="_Toc220490561"/>
      <w:r>
        <w:t>52.41.1g (titre réservé) CCTB 01.02</w:t>
      </w:r>
      <w:bookmarkEnd w:id="385"/>
    </w:p>
    <w:p w14:paraId="749F159A" w14:textId="77777777" w:rsidR="004B2808" w:rsidRDefault="00000000">
      <w:pPr>
        <w:pStyle w:val="Author-eSectionHeading5Numberless"/>
      </w:pPr>
      <w:bookmarkStart w:id="386" w:name="_Toc220490562"/>
      <w:r>
        <w:t>52.41.2 Isolation en panneaux - matières minérales CCTB 01.02</w:t>
      </w:r>
      <w:bookmarkEnd w:id="386"/>
    </w:p>
    <w:p w14:paraId="160C9FB9" w14:textId="77777777" w:rsidR="004B2808" w:rsidRDefault="00000000">
      <w:pPr>
        <w:pStyle w:val="Author-eSectionHeading6Numberless"/>
      </w:pPr>
      <w:bookmarkStart w:id="387" w:name="_Toc220490563"/>
      <w:r>
        <w:t>52.41.2a Isolation en panneaux - laine minérale (MW) CCTB 01.12</w:t>
      </w:r>
      <w:bookmarkEnd w:id="387"/>
    </w:p>
    <w:p w14:paraId="7D582989" w14:textId="77777777" w:rsidR="004B2808" w:rsidRDefault="00000000">
      <w:pPr>
        <w:pStyle w:val="pheading"/>
      </w:pPr>
      <w:r>
        <w:t>DESCRIPTION</w:t>
      </w:r>
    </w:p>
    <w:p w14:paraId="3A3E68DA" w14:textId="77777777" w:rsidR="004B2808" w:rsidRDefault="00000000">
      <w:pPr>
        <w:pStyle w:val="pheading"/>
      </w:pPr>
      <w:r>
        <w:t>- Définition / Comprend</w:t>
      </w:r>
    </w:p>
    <w:p w14:paraId="0749453F" w14:textId="77777777" w:rsidR="004B2808" w:rsidRDefault="00000000">
      <w:pPr>
        <w:jc w:val="both"/>
      </w:pPr>
      <w:r>
        <w:t>Il s’agit de la fourniture et de la pose d’une isolation thermique au moyen de panneaux de laine minérale en application horizontale ou verticale d’isolation intérieure.</w:t>
      </w:r>
    </w:p>
    <w:p w14:paraId="20F23165" w14:textId="77777777" w:rsidR="004B2808" w:rsidRDefault="00000000">
      <w:pPr>
        <w:pStyle w:val="pheading"/>
      </w:pPr>
      <w:r>
        <w:t>- Localisation</w:t>
      </w:r>
    </w:p>
    <w:p w14:paraId="065DA951" w14:textId="77777777" w:rsidR="004B2808" w:rsidRDefault="00000000">
      <w:r>
        <w:t xml:space="preserve">Localisation des travaux : </w:t>
      </w:r>
      <w:r>
        <w:rPr>
          <w:rStyle w:val="optioncarChar"/>
        </w:rPr>
        <w:t>***</w:t>
      </w:r>
      <w:r>
        <w:t>.</w:t>
      </w:r>
    </w:p>
    <w:p w14:paraId="52352FB0" w14:textId="77777777" w:rsidR="004B2808" w:rsidRDefault="00000000">
      <w:r>
        <w:t>Voir plans et métrés détaillés.</w:t>
      </w:r>
    </w:p>
    <w:p w14:paraId="5D7353AB" w14:textId="77777777" w:rsidR="004B2808" w:rsidRDefault="00000000">
      <w:pPr>
        <w:pStyle w:val="pheading"/>
      </w:pPr>
      <w:r>
        <w:t>MATÉRIAUX</w:t>
      </w:r>
    </w:p>
    <w:p w14:paraId="2C5DB411" w14:textId="77777777" w:rsidR="004B2808" w:rsidRDefault="00000000">
      <w:pPr>
        <w:pStyle w:val="pheading"/>
      </w:pPr>
      <w:r>
        <w:t>- Caractéristiques générales</w:t>
      </w:r>
    </w:p>
    <w:p w14:paraId="21D1CE10" w14:textId="77777777" w:rsidR="004B2808" w:rsidRDefault="00000000">
      <w:pPr>
        <w:jc w:val="both"/>
      </w:pPr>
      <w:r>
        <w:t>Voir 32.41.2a Isolation en panneaux - laine minérale (MW)</w:t>
      </w:r>
    </w:p>
    <w:p w14:paraId="08DB0625" w14:textId="77777777" w:rsidR="004B2808" w:rsidRDefault="00000000">
      <w:pPr>
        <w:jc w:val="both"/>
      </w:pPr>
      <w:r>
        <w:t xml:space="preserve">Dimension des panneaux : </w:t>
      </w:r>
      <w:r>
        <w:rPr>
          <w:rStyle w:val="optioncarChar"/>
        </w:rPr>
        <w:t xml:space="preserve">600 x 1200 </w:t>
      </w:r>
      <w:r>
        <w:t>(par défaut)</w:t>
      </w:r>
      <w:r>
        <w:rPr>
          <w:rStyle w:val="optioncarChar"/>
        </w:rPr>
        <w:t xml:space="preserve"> / 1200 x 1000 / 600 x 2000 / ***</w:t>
      </w:r>
      <w:r>
        <w:t> mm</w:t>
      </w:r>
    </w:p>
    <w:p w14:paraId="5587741C" w14:textId="77777777" w:rsidR="004B2808" w:rsidRDefault="00000000">
      <w:pPr>
        <w:jc w:val="both"/>
      </w:pPr>
      <w:r>
        <w:t xml:space="preserve">Epaisseur totale de l’isolation: </w:t>
      </w:r>
      <w:r>
        <w:rPr>
          <w:rStyle w:val="optioncarChar"/>
        </w:rPr>
        <w:t>***</w:t>
      </w:r>
      <w:r>
        <w:t> mm</w:t>
      </w:r>
    </w:p>
    <w:p w14:paraId="487E38A1" w14:textId="77777777" w:rsidR="004B2808" w:rsidRDefault="00000000">
      <w:pPr>
        <w:jc w:val="both"/>
      </w:pPr>
      <w:r>
        <w:t xml:space="preserve">Les panneaux sont disposés en </w:t>
      </w:r>
      <w:r>
        <w:rPr>
          <w:rStyle w:val="optioncarChar"/>
        </w:rPr>
        <w:t xml:space="preserve">1 </w:t>
      </w:r>
      <w:r>
        <w:t>(par défaut)</w:t>
      </w:r>
      <w:r>
        <w:rPr>
          <w:rStyle w:val="optioncarChar"/>
        </w:rPr>
        <w:t xml:space="preserve"> / ***</w:t>
      </w:r>
      <w:r>
        <w:t> couches</w:t>
      </w:r>
    </w:p>
    <w:p w14:paraId="2D4F45E4" w14:textId="77777777" w:rsidR="004B2808" w:rsidRDefault="00000000">
      <w:pPr>
        <w:jc w:val="both"/>
      </w:pPr>
      <w:r>
        <w:t xml:space="preserve">Conductivité thermique (selon [NBN EN 12667] ou selon [NBN EN 12939] pour les produits épais) : valeur λ = max.  </w:t>
      </w:r>
      <w:r>
        <w:rPr>
          <w:rStyle w:val="optioncarChar"/>
        </w:rPr>
        <w:t xml:space="preserve">0.04 </w:t>
      </w:r>
      <w:r>
        <w:t>(par défaut)</w:t>
      </w:r>
      <w:r>
        <w:rPr>
          <w:rStyle w:val="optioncarChar"/>
        </w:rPr>
        <w:t xml:space="preserve"> / ***</w:t>
      </w:r>
      <w:r>
        <w:t> W/mK</w:t>
      </w:r>
    </w:p>
    <w:p w14:paraId="553907A8" w14:textId="77777777" w:rsidR="004B2808" w:rsidRDefault="00000000">
      <w:pPr>
        <w:jc w:val="both"/>
      </w:pPr>
      <w:r>
        <w:t xml:space="preserve">Masse volumique nominale (selon [NBN EN ISO 29470]) : min.  </w:t>
      </w:r>
      <w:r>
        <w:rPr>
          <w:rStyle w:val="optioncarChar"/>
        </w:rPr>
        <w:t xml:space="preserve">45 </w:t>
      </w:r>
      <w:r>
        <w:t>(par défaut)</w:t>
      </w:r>
      <w:r>
        <w:rPr>
          <w:rStyle w:val="optioncarChar"/>
        </w:rPr>
        <w:t xml:space="preserve"> / ***</w:t>
      </w:r>
      <w:r>
        <w:t> kg/m³</w:t>
      </w:r>
    </w:p>
    <w:p w14:paraId="07E78AFB" w14:textId="77777777" w:rsidR="004B2808" w:rsidRDefault="00000000">
      <w:pPr>
        <w:jc w:val="both"/>
      </w:pPr>
      <w:r>
        <w:t>Le produit d’isolation en panneaux de laine de roche ainsi que sa mise en œuvre  respectent les prescriptions prévues par la déclaration d’aptitude à l’utilisation tels que définis au chapitre 02.42.1 Critères d'acceptabilité.</w:t>
      </w:r>
    </w:p>
    <w:p w14:paraId="58CB7595" w14:textId="77777777" w:rsidR="004B2808" w:rsidRDefault="00000000">
      <w:pPr>
        <w:pStyle w:val="pheading"/>
      </w:pPr>
      <w:r>
        <w:t>- Finitions</w:t>
      </w:r>
    </w:p>
    <w:p w14:paraId="106AAA07" w14:textId="77777777" w:rsidR="004B2808" w:rsidRDefault="00000000">
      <w:pPr>
        <w:jc w:val="both"/>
      </w:pPr>
      <w:r>
        <w:t>Le surfaçage des panneaux est de type : </w:t>
      </w:r>
      <w:r>
        <w:rPr>
          <w:rStyle w:val="optioncarChar"/>
        </w:rPr>
        <w:t xml:space="preserve">nu </w:t>
      </w:r>
      <w:r>
        <w:t xml:space="preserve">(par défaut) </w:t>
      </w:r>
      <w:r>
        <w:rPr>
          <w:rStyle w:val="optioncarChar"/>
        </w:rPr>
        <w:t>/ bitumineux / fibres de verre / armature synthétique / feuille d’aluminium / ***</w:t>
      </w:r>
      <w:r>
        <w:t xml:space="preserve"> et est présent sur </w:t>
      </w:r>
      <w:r>
        <w:rPr>
          <w:rStyle w:val="optioncarChar"/>
        </w:rPr>
        <w:t xml:space="preserve">aucun côté </w:t>
      </w:r>
      <w:r>
        <w:t>(par défaut)</w:t>
      </w:r>
      <w:r>
        <w:rPr>
          <w:rStyle w:val="optioncarChar"/>
        </w:rPr>
        <w:t xml:space="preserve"> / un côté / les deux côtés</w:t>
      </w:r>
      <w:r>
        <w:t xml:space="preserve"> du panneau.</w:t>
      </w:r>
    </w:p>
    <w:p w14:paraId="67097A4D" w14:textId="77777777" w:rsidR="004B2808" w:rsidRDefault="00000000">
      <w:pPr>
        <w:pStyle w:val="pheading"/>
      </w:pPr>
      <w:r>
        <w:t>- Prescriptions complémentaires</w:t>
      </w:r>
    </w:p>
    <w:p w14:paraId="71A5B8CE" w14:textId="77777777" w:rsidR="004B2808" w:rsidRDefault="00000000">
      <w:pPr>
        <w:jc w:val="both"/>
      </w:pPr>
      <w:r>
        <w:rPr>
          <w:rStyle w:val="facultChar"/>
        </w:rPr>
        <w:t xml:space="preserve">Les panneaux sont disposés en </w:t>
      </w:r>
      <w:r>
        <w:rPr>
          <w:rStyle w:val="optioncarChar"/>
        </w:rPr>
        <w:t xml:space="preserve">1 </w:t>
      </w:r>
      <w:r>
        <w:t>(par défaut</w:t>
      </w:r>
      <w:r>
        <w:rPr>
          <w:rStyle w:val="optioncarChar"/>
        </w:rPr>
        <w:t>) / ***</w:t>
      </w:r>
      <w:r>
        <w:rPr>
          <w:rStyle w:val="facultChar"/>
        </w:rPr>
        <w:t> couches.</w:t>
      </w:r>
    </w:p>
    <w:p w14:paraId="7DAFB90F" w14:textId="77777777" w:rsidR="004B2808" w:rsidRDefault="00000000">
      <w:pPr>
        <w:jc w:val="both"/>
      </w:pPr>
      <w:r>
        <w:rPr>
          <w:rStyle w:val="facultChar"/>
        </w:rPr>
        <w:t>L’équerrage de la longueur et de la largeur selon [NBN EN 824] est de max 5 mm/m.</w:t>
      </w:r>
    </w:p>
    <w:p w14:paraId="595B68F6" w14:textId="77777777" w:rsidR="004B2808" w:rsidRDefault="00000000">
      <w:pPr>
        <w:jc w:val="both"/>
      </w:pPr>
      <w:r>
        <w:rPr>
          <w:rStyle w:val="facultChar"/>
        </w:rPr>
        <w:t>L’écart de planéité des panneaux et plaques selon [NBN EN 825] est de max 6 mm.</w:t>
      </w:r>
    </w:p>
    <w:p w14:paraId="22D69097" w14:textId="77777777" w:rsidR="004B2808" w:rsidRDefault="00000000">
      <w:pPr>
        <w:jc w:val="both"/>
      </w:pPr>
      <w:r>
        <w:rPr>
          <w:rStyle w:val="facultChar"/>
        </w:rPr>
        <w:t xml:space="preserve">Réaction au feu selon [NBN EN 13501-1] : </w:t>
      </w:r>
      <w:r>
        <w:rPr>
          <w:rStyle w:val="optioncarChar"/>
        </w:rPr>
        <w:t>A1 </w:t>
      </w:r>
      <w:r>
        <w:t>(par défaut)</w:t>
      </w:r>
      <w:r>
        <w:rPr>
          <w:rStyle w:val="optioncarChar"/>
        </w:rPr>
        <w:t xml:space="preserve"> / A2 / B / C / D / E / F</w:t>
      </w:r>
      <w:r>
        <w:rPr>
          <w:rStyle w:val="facultChar"/>
        </w:rPr>
        <w:t> complétée, le cas échéant par les aspects </w:t>
      </w:r>
      <w:r>
        <w:rPr>
          <w:rStyle w:val="optioncarChar"/>
        </w:rPr>
        <w:t xml:space="preserve">s1 </w:t>
      </w:r>
      <w:r>
        <w:t>(par défaut)</w:t>
      </w:r>
      <w:r>
        <w:rPr>
          <w:rStyle w:val="optioncarChar"/>
        </w:rPr>
        <w:t xml:space="preserve"> / s2 / s3</w:t>
      </w:r>
      <w:r>
        <w:rPr>
          <w:rStyle w:val="facultChar"/>
        </w:rPr>
        <w:t> et </w:t>
      </w:r>
      <w:r>
        <w:rPr>
          <w:rStyle w:val="optioncarChar"/>
        </w:rPr>
        <w:t xml:space="preserve">d0 </w:t>
      </w:r>
      <w:r>
        <w:t>(par défaut)</w:t>
      </w:r>
      <w:r>
        <w:rPr>
          <w:rStyle w:val="optioncarChar"/>
        </w:rPr>
        <w:t xml:space="preserve"> / d1 / d2. </w:t>
      </w:r>
      <w:r>
        <w:rPr>
          <w:rStyle w:val="facultChar"/>
        </w:rPr>
        <w:t> </w:t>
      </w:r>
    </w:p>
    <w:p w14:paraId="1C75C7ED" w14:textId="77777777" w:rsidR="004B2808" w:rsidRDefault="00000000">
      <w:pPr>
        <w:jc w:val="both"/>
      </w:pPr>
      <w:r>
        <w:rPr>
          <w:rStyle w:val="facultChar"/>
        </w:rPr>
        <w:t xml:space="preserve">La stabilité dimensionnelle suivant [NBN EN 1604] : Longueur-Largeur-Epaisseur : </w:t>
      </w:r>
      <w:r>
        <w:rPr>
          <w:rStyle w:val="optioncarChar"/>
        </w:rPr>
        <w:t xml:space="preserve">≤ 1 </w:t>
      </w:r>
      <w:r>
        <w:t>(par défaut)</w:t>
      </w:r>
      <w:r>
        <w:rPr>
          <w:rStyle w:val="optioncarChar"/>
        </w:rPr>
        <w:t xml:space="preserve"> / ***</w:t>
      </w:r>
      <w:r>
        <w:rPr>
          <w:rStyle w:val="facultChar"/>
        </w:rPr>
        <w:t xml:space="preserve"> %.</w:t>
      </w:r>
    </w:p>
    <w:p w14:paraId="6D83851E" w14:textId="77777777" w:rsidR="004B2808" w:rsidRDefault="00000000">
      <w:pPr>
        <w:jc w:val="both"/>
      </w:pPr>
      <w:r>
        <w:rPr>
          <w:rStyle w:val="facultChar"/>
        </w:rPr>
        <w:t xml:space="preserve">Compressibilité du matériau (selon [NBN EN 13162+A1]) : niveau  </w:t>
      </w:r>
      <w:r>
        <w:rPr>
          <w:rStyle w:val="optioncarChar"/>
        </w:rPr>
        <w:t xml:space="preserve"> CP1 / CP2 / CP3 / CP4 / CP5 </w:t>
      </w:r>
      <w:r>
        <w:t>(par défaut)</w:t>
      </w:r>
      <w:r>
        <w:rPr>
          <w:rStyle w:val="optioncarChar"/>
        </w:rPr>
        <w:t xml:space="preserve"> / ***.</w:t>
      </w:r>
    </w:p>
    <w:p w14:paraId="6996CEAD" w14:textId="77777777" w:rsidR="004B2808" w:rsidRDefault="00000000">
      <w:pPr>
        <w:jc w:val="both"/>
      </w:pPr>
      <w:r>
        <w:rPr>
          <w:rStyle w:val="facultChar"/>
        </w:rPr>
        <w:t xml:space="preserve"> Résistance à la contrainte en compression à 10 % de déformation (selon [NBN EN 826]) : niveau CS(10\Y)  </w:t>
      </w:r>
      <w:r>
        <w:rPr>
          <w:rStyle w:val="optioncarChar"/>
        </w:rPr>
        <w:t xml:space="preserve">0,5 / 5 / 10 / 15 / 20 / 25 / 30 / 40 </w:t>
      </w:r>
      <w:r>
        <w:t>(par défaut)</w:t>
      </w:r>
      <w:r>
        <w:rPr>
          <w:rStyle w:val="optioncarChar"/>
        </w:rPr>
        <w:t xml:space="preserve"> / 50 / 60 / 70 / 80 / 90 / 100 / 110 / 120 / 130 / 140 / 150 / 175 / 200 / 225 / 250 / 300 / 350 / 400 / 450 / 500</w:t>
      </w:r>
      <w:r>
        <w:rPr>
          <w:rStyle w:val="facultChar"/>
        </w:rPr>
        <w:t>  kPa.</w:t>
      </w:r>
    </w:p>
    <w:p w14:paraId="5983A993" w14:textId="77777777" w:rsidR="004B2808" w:rsidRDefault="00000000">
      <w:pPr>
        <w:jc w:val="both"/>
      </w:pPr>
      <w:r>
        <w:rPr>
          <w:rStyle w:val="facultChar"/>
        </w:rPr>
        <w:lastRenderedPageBreak/>
        <w:t xml:space="preserve">Résistance à la traction perpendiculaire (selon [NBN EN 1607]) : niveau TR </w:t>
      </w:r>
      <w:r>
        <w:rPr>
          <w:rStyle w:val="optioncarChar"/>
        </w:rPr>
        <w:t xml:space="preserve">1 / 2,5 / 5 / 7,5 / 10 </w:t>
      </w:r>
      <w:r>
        <w:t xml:space="preserve">(par défaut) </w:t>
      </w:r>
      <w:r>
        <w:rPr>
          <w:rStyle w:val="optioncarChar"/>
        </w:rPr>
        <w:t>/  15 / 20 / 25 / 30 / 40 / 50 / 60 / 70 / 80 / 90 / 100 / 125 / 150 / 175 / 200 / 250 / 300 / 400 / 500 / 600 / 700.</w:t>
      </w:r>
    </w:p>
    <w:p w14:paraId="2B0D475E" w14:textId="77777777" w:rsidR="004B2808" w:rsidRDefault="00000000">
      <w:pPr>
        <w:jc w:val="both"/>
      </w:pPr>
      <w:r>
        <w:rPr>
          <w:rStyle w:val="facultChar"/>
        </w:rPr>
        <w:t>Résistance à la compression ponctuelle (selon [NBN EN 12430]) : &gt;</w:t>
      </w:r>
      <w:r>
        <w:rPr>
          <w:rStyle w:val="optioncarChar"/>
        </w:rPr>
        <w:t> ***</w:t>
      </w:r>
      <w:r>
        <w:rPr>
          <w:rStyle w:val="facultChar"/>
        </w:rPr>
        <w:t> N (1000 pour une isolation sous chape).</w:t>
      </w:r>
    </w:p>
    <w:p w14:paraId="3777A842" w14:textId="77777777" w:rsidR="004B2808" w:rsidRDefault="00000000">
      <w:pPr>
        <w:jc w:val="both"/>
      </w:pPr>
      <w:r>
        <w:rPr>
          <w:rStyle w:val="facultChar"/>
        </w:rPr>
        <w:t>Résistance au fluage en compression (selon [NBN EN ISO 16534]) sous forme  CC (réduction de l’épaisseur en %/déformation relative après vieillissement/ nombre d’années – contrainte en compression : / </w:t>
      </w:r>
      <w:r>
        <w:rPr>
          <w:rStyle w:val="optioncarChar"/>
        </w:rPr>
        <w:t xml:space="preserve">C(5%/12%/30) 10N/mm² </w:t>
      </w:r>
      <w:r>
        <w:t>(par défaut)</w:t>
      </w:r>
      <w:r>
        <w:rPr>
          <w:rStyle w:val="optioncarChar"/>
        </w:rPr>
        <w:t xml:space="preserve"> / ***.</w:t>
      </w:r>
      <w:r>
        <w:rPr>
          <w:rStyle w:val="facultChar"/>
        </w:rPr>
        <w:t xml:space="preserve">  Absorption d’eau à court terme (selon [NBN EN ISO 29767]): &lt; </w:t>
      </w:r>
      <w:r>
        <w:rPr>
          <w:rStyle w:val="optioncarChar"/>
        </w:rPr>
        <w:t xml:space="preserve">1kg/m² </w:t>
      </w:r>
      <w:r>
        <w:t xml:space="preserve">(par défaut) </w:t>
      </w:r>
      <w:r>
        <w:rPr>
          <w:rStyle w:val="optioncarChar"/>
        </w:rPr>
        <w:t>/ ***. </w:t>
      </w:r>
      <w:r>
        <w:rPr>
          <w:rStyle w:val="facultChar"/>
        </w:rPr>
        <w:t>  </w:t>
      </w:r>
    </w:p>
    <w:p w14:paraId="047EADEB" w14:textId="77777777" w:rsidR="004B2808" w:rsidRDefault="00000000">
      <w:pPr>
        <w:jc w:val="both"/>
      </w:pPr>
      <w:r>
        <w:rPr>
          <w:rStyle w:val="facultChar"/>
        </w:rPr>
        <w:t xml:space="preserve">Absorption d’eau à court terme (selon [NBN EN ISO 29767]): &lt; </w:t>
      </w:r>
      <w:r>
        <w:rPr>
          <w:rStyle w:val="optioncarChar"/>
        </w:rPr>
        <w:t xml:space="preserve">1kg/m² </w:t>
      </w:r>
      <w:r>
        <w:t>(par défaut)</w:t>
      </w:r>
      <w:r>
        <w:rPr>
          <w:rStyle w:val="optioncarChar"/>
        </w:rPr>
        <w:t xml:space="preserve"> / ***</w:t>
      </w:r>
      <w:r>
        <w:rPr>
          <w:rStyle w:val="facultChar"/>
        </w:rPr>
        <w:t>  </w:t>
      </w:r>
    </w:p>
    <w:p w14:paraId="0AE2BDDB" w14:textId="77777777" w:rsidR="004B2808" w:rsidRDefault="00000000">
      <w:pPr>
        <w:jc w:val="both"/>
      </w:pPr>
      <w:r>
        <w:rPr>
          <w:rStyle w:val="facultChar"/>
        </w:rPr>
        <w:t>Absorption d’eau à long terme (selon [NBN EN ISO 16535]): &lt;</w:t>
      </w:r>
      <w:r>
        <w:rPr>
          <w:rStyle w:val="optioncarChar"/>
        </w:rPr>
        <w:t xml:space="preserve"> 3kg/m² </w:t>
      </w:r>
      <w:r>
        <w:t>(par défaut)</w:t>
      </w:r>
      <w:r>
        <w:rPr>
          <w:rStyle w:val="optioncarChar"/>
        </w:rPr>
        <w:t xml:space="preserve"> / ***  </w:t>
      </w:r>
    </w:p>
    <w:p w14:paraId="379A37DA" w14:textId="77777777" w:rsidR="004B2808" w:rsidRDefault="00000000">
      <w:pPr>
        <w:jc w:val="both"/>
      </w:pPr>
      <w:r>
        <w:rPr>
          <w:rStyle w:val="facultChar"/>
        </w:rPr>
        <w:t xml:space="preserve">Coefficient de résistance à la diffusion de vapeur d’eau – valeur μ (selon [NBN EN 12086]): </w:t>
      </w:r>
      <w:r>
        <w:rPr>
          <w:rStyle w:val="optioncarChar"/>
        </w:rPr>
        <w:t>***</w:t>
      </w:r>
    </w:p>
    <w:p w14:paraId="325D7000" w14:textId="77777777" w:rsidR="004B2808" w:rsidRDefault="00000000">
      <w:pPr>
        <w:jc w:val="both"/>
      </w:pPr>
      <w:r>
        <w:rPr>
          <w:rStyle w:val="facultChar"/>
        </w:rPr>
        <w:t>Absorption acoustique (déterminée selon[NBN EN ISO 354]  et [NBN EN ISO 11654]) : </w:t>
      </w:r>
      <w:r>
        <w:rPr>
          <w:rStyle w:val="optioncarChar"/>
        </w:rPr>
        <w:t>***</w:t>
      </w:r>
      <w:r>
        <w:rPr>
          <w:rStyle w:val="facultChar"/>
        </w:rPr>
        <w:t> </w:t>
      </w:r>
    </w:p>
    <w:p w14:paraId="459E869E" w14:textId="77777777" w:rsidR="004B2808" w:rsidRDefault="00000000">
      <w:pPr>
        <w:jc w:val="both"/>
      </w:pPr>
      <w:r>
        <w:rPr>
          <w:rStyle w:val="facultChar"/>
        </w:rPr>
        <w:t> </w:t>
      </w:r>
    </w:p>
    <w:p w14:paraId="6D9F3456" w14:textId="77777777" w:rsidR="004B2808" w:rsidRDefault="00000000">
      <w:pPr>
        <w:jc w:val="both"/>
      </w:pPr>
      <w:r>
        <w:rPr>
          <w:rStyle w:val="facultChar"/>
        </w:rPr>
        <w:t xml:space="preserve">Les liants des panneaux et d’adhésion du revêtement de surface ne contiennent pas de formaldéhyde. Le dégagement mesuré selon la [NBN EN 717-1] est inférieur à  </w:t>
      </w:r>
      <w:r>
        <w:rPr>
          <w:rStyle w:val="optioncarChar"/>
        </w:rPr>
        <w:t xml:space="preserve">0.124 mg/m³ </w:t>
      </w:r>
      <w:r>
        <w:t>(par défaut)</w:t>
      </w:r>
      <w:r>
        <w:rPr>
          <w:rStyle w:val="optioncarChar"/>
        </w:rPr>
        <w:t xml:space="preserve"> / ***.  </w:t>
      </w:r>
    </w:p>
    <w:p w14:paraId="0FA7B863" w14:textId="77777777" w:rsidR="004B2808" w:rsidRDefault="00000000">
      <w:pPr>
        <w:jc w:val="both"/>
      </w:pPr>
      <w:r>
        <w:rPr>
          <w:rStyle w:val="facultChar"/>
        </w:rPr>
        <w:t xml:space="preserve">La concentration de pentachlorophénol mesurée selon la [CEN/TR 14823] est inférieure à </w:t>
      </w:r>
      <w:r>
        <w:rPr>
          <w:rStyle w:val="optioncarChar"/>
        </w:rPr>
        <w:t xml:space="preserve">5 PPM </w:t>
      </w:r>
      <w:r>
        <w:t>(par défaut)</w:t>
      </w:r>
      <w:r>
        <w:rPr>
          <w:rStyle w:val="optioncarChar"/>
        </w:rPr>
        <w:t xml:space="preserve"> / ***.  </w:t>
      </w:r>
    </w:p>
    <w:p w14:paraId="30596C3B" w14:textId="77777777" w:rsidR="004B2808" w:rsidRDefault="00000000">
      <w:pPr>
        <w:jc w:val="both"/>
      </w:pPr>
      <w:r>
        <w:rPr>
          <w:rStyle w:val="facultChar"/>
        </w:rPr>
        <w:t xml:space="preserve">Les liants des panneaux sont issus de </w:t>
      </w:r>
      <w:r>
        <w:rPr>
          <w:rStyle w:val="optioncarChar"/>
        </w:rPr>
        <w:t xml:space="preserve">matières premières végétales </w:t>
      </w:r>
      <w:r>
        <w:t>(par défaut)</w:t>
      </w:r>
      <w:r>
        <w:rPr>
          <w:rStyle w:val="optioncarChar"/>
        </w:rPr>
        <w:t xml:space="preserve"> / dérivés pétrochimiques / ***.</w:t>
      </w:r>
    </w:p>
    <w:p w14:paraId="7199EB19" w14:textId="77777777" w:rsidR="004B2808" w:rsidRDefault="00000000">
      <w:pPr>
        <w:jc w:val="both"/>
      </w:pPr>
      <w:r>
        <w:rPr>
          <w:rStyle w:val="facultChar"/>
        </w:rPr>
        <w:t>La laine minérale produite contient au moins</w:t>
      </w:r>
      <w:r>
        <w:rPr>
          <w:rStyle w:val="optioncarChar"/>
        </w:rPr>
        <w:t xml:space="preserve"> ***</w:t>
      </w:r>
      <w:r>
        <w:rPr>
          <w:rStyle w:val="facultChar"/>
        </w:rPr>
        <w:t xml:space="preserve"> % de matière recyclée.</w:t>
      </w:r>
    </w:p>
    <w:p w14:paraId="38DD0BDA" w14:textId="77777777" w:rsidR="004B2808" w:rsidRDefault="00000000">
      <w:pPr>
        <w:pStyle w:val="pheading"/>
      </w:pPr>
      <w:r>
        <w:t>EXÉCUTION / MISE EN ŒUVRE</w:t>
      </w:r>
    </w:p>
    <w:p w14:paraId="131C8815" w14:textId="77777777" w:rsidR="004B2808" w:rsidRDefault="00000000">
      <w:pPr>
        <w:pStyle w:val="pheading"/>
      </w:pPr>
      <w:r>
        <w:t>- Prescriptions générales</w:t>
      </w:r>
    </w:p>
    <w:p w14:paraId="489D57F5" w14:textId="77777777" w:rsidR="004B2808" w:rsidRDefault="00000000">
      <w:pPr>
        <w:jc w:val="both"/>
      </w:pPr>
      <w:r>
        <w:t>Les panneaux sont contigus. Les espaces éventuels entre panneaux ou de liaison avec les parois sont comblés avec un isolant de même type.</w:t>
      </w:r>
    </w:p>
    <w:p w14:paraId="57443309" w14:textId="77777777" w:rsidR="004B2808" w:rsidRDefault="00000000">
      <w:pPr>
        <w:jc w:val="both"/>
      </w:pPr>
      <w:r>
        <w:rPr>
          <w:b/>
        </w:rPr>
        <w:t>Pour une application sous chape</w:t>
      </w:r>
    </w:p>
    <w:p w14:paraId="6E66C2B9" w14:textId="77777777" w:rsidR="004B2808" w:rsidRDefault="00000000">
      <w:pPr>
        <w:jc w:val="both"/>
      </w:pPr>
      <w:r>
        <w:t xml:space="preserve">Les spécifications de mise en œuvre sont reprises dans la [NIT 193]. Les panneaux sont </w:t>
      </w:r>
      <w:r>
        <w:rPr>
          <w:rStyle w:val="optioncarChar"/>
        </w:rPr>
        <w:t xml:space="preserve">posés de manière continue </w:t>
      </w:r>
      <w:r>
        <w:t>(par défaut)</w:t>
      </w:r>
      <w:r>
        <w:rPr>
          <w:rStyle w:val="optioncarChar"/>
        </w:rPr>
        <w:t xml:space="preserve"> / par collage / par fixation mécanique (3 par panneau) / ***</w:t>
      </w:r>
    </w:p>
    <w:p w14:paraId="774926F8" w14:textId="77777777" w:rsidR="004B2808" w:rsidRDefault="00000000">
      <w:pPr>
        <w:jc w:val="both"/>
      </w:pPr>
      <w:r>
        <w:rPr>
          <w:b/>
        </w:rPr>
        <w:t>Pour une application en parois de séparation</w:t>
      </w:r>
    </w:p>
    <w:p w14:paraId="4C68EA5C" w14:textId="77777777" w:rsidR="004B2808" w:rsidRDefault="00000000">
      <w:pPr>
        <w:jc w:val="both"/>
      </w:pPr>
      <w:r>
        <w:t>Les panneaux sont fixés par</w:t>
      </w:r>
      <w:r>
        <w:rPr>
          <w:rStyle w:val="optioncarChar"/>
        </w:rPr>
        <w:t xml:space="preserve"> serrage entre éléments </w:t>
      </w:r>
      <w:r>
        <w:t xml:space="preserve">(par défaut) </w:t>
      </w:r>
      <w:r>
        <w:rPr>
          <w:rStyle w:val="optioncarChar"/>
        </w:rPr>
        <w:t>/ collage / fixation mécanique / ***</w:t>
      </w:r>
    </w:p>
    <w:p w14:paraId="6FF3A568" w14:textId="77777777" w:rsidR="004B2808" w:rsidRDefault="00000000">
      <w:pPr>
        <w:ind w:left="567"/>
        <w:jc w:val="both"/>
      </w:pPr>
      <w:r>
        <w:rPr>
          <w:b/>
          <w:i/>
        </w:rPr>
        <w:t>(Soit par défaut) </w:t>
      </w:r>
    </w:p>
    <w:p w14:paraId="711D8CC0" w14:textId="77777777" w:rsidR="004B2808" w:rsidRDefault="00000000">
      <w:pPr>
        <w:ind w:left="567"/>
        <w:jc w:val="both"/>
      </w:pPr>
      <w:r>
        <w:rPr>
          <w:rStyle w:val="soitChar"/>
          <w:b/>
          <w:u w:val="single"/>
        </w:rPr>
        <w:t>Par serrage entre éléments :</w:t>
      </w:r>
    </w:p>
    <w:p w14:paraId="15AD9943" w14:textId="77777777" w:rsidR="004B2808" w:rsidRDefault="00000000">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3FDD6E64" w14:textId="77777777" w:rsidR="004B2808" w:rsidRDefault="00000000">
      <w:pPr>
        <w:ind w:left="567"/>
        <w:jc w:val="both"/>
      </w:pPr>
      <w:r>
        <w:rPr>
          <w:b/>
          <w:i/>
        </w:rPr>
        <w:t>(Soit) </w:t>
      </w:r>
    </w:p>
    <w:p w14:paraId="2CE0BE02" w14:textId="77777777" w:rsidR="004B2808" w:rsidRDefault="00000000">
      <w:pPr>
        <w:ind w:left="567"/>
        <w:jc w:val="both"/>
      </w:pPr>
      <w:r>
        <w:rPr>
          <w:rStyle w:val="soitChar"/>
          <w:b/>
          <w:u w:val="single"/>
        </w:rPr>
        <w:t>Par collage :</w:t>
      </w:r>
    </w:p>
    <w:p w14:paraId="44E617BC" w14:textId="77777777" w:rsidR="004B2808" w:rsidRDefault="00000000">
      <w:pPr>
        <w:ind w:left="567"/>
        <w:jc w:val="both"/>
      </w:pPr>
      <w:r>
        <w:rPr>
          <w:rStyle w:val="soitChar"/>
        </w:rPr>
        <w:t xml:space="preserve"> Les panneaux sont fixés à l’aide de colle </w:t>
      </w:r>
      <w:r>
        <w:rPr>
          <w:rStyle w:val="optioncarChar"/>
        </w:rPr>
        <w:t xml:space="preserve">PU </w:t>
      </w:r>
      <w:r>
        <w:t>(par défaut)</w:t>
      </w:r>
      <w:r>
        <w:rPr>
          <w:rStyle w:val="optioncarChar"/>
        </w:rPr>
        <w:t xml:space="preserve"> / ***</w:t>
      </w:r>
      <w:r>
        <w:rPr>
          <w:rStyle w:val="soitChar"/>
        </w:rPr>
        <w:t xml:space="preserve">. La colle est appliquée en collage </w:t>
      </w:r>
      <w:r>
        <w:rPr>
          <w:rStyle w:val="optioncarChar"/>
        </w:rPr>
        <w:t xml:space="preserve">partiel à 50% </w:t>
      </w:r>
      <w:r>
        <w:t>(par défaut)</w:t>
      </w:r>
      <w:r>
        <w:rPr>
          <w:rStyle w:val="optioncarChar"/>
        </w:rPr>
        <w:t xml:space="preserve"> / total / ***</w:t>
      </w:r>
      <w:r>
        <w:rPr>
          <w:rStyle w:val="soitChar"/>
        </w:rPr>
        <w:t>. La colle répond aux mêmes exigences que le panneau en termes de formaldéhyde et  de pentachlorophénol.</w:t>
      </w:r>
    </w:p>
    <w:p w14:paraId="4A296C4D" w14:textId="77777777" w:rsidR="004B2808" w:rsidRDefault="00000000">
      <w:pPr>
        <w:ind w:left="567"/>
        <w:jc w:val="both"/>
      </w:pPr>
      <w:r>
        <w:rPr>
          <w:b/>
          <w:i/>
        </w:rPr>
        <w:t>(Soit) </w:t>
      </w:r>
    </w:p>
    <w:p w14:paraId="322C9A1E" w14:textId="77777777" w:rsidR="004B2808" w:rsidRDefault="00000000">
      <w:pPr>
        <w:ind w:left="567"/>
        <w:jc w:val="both"/>
      </w:pPr>
      <w:r>
        <w:rPr>
          <w:rStyle w:val="soitChar"/>
          <w:b/>
          <w:u w:val="single"/>
        </w:rPr>
        <w:t>Par fixation mécanique :</w:t>
      </w:r>
    </w:p>
    <w:p w14:paraId="74214A0F" w14:textId="77777777" w:rsidR="004B2808" w:rsidRDefault="00000000">
      <w:pPr>
        <w:ind w:left="567"/>
        <w:jc w:val="both"/>
      </w:pPr>
      <w:r>
        <w:rPr>
          <w:rStyle w:val="soitChar"/>
        </w:rPr>
        <w:lastRenderedPageBreak/>
        <w:t xml:space="preserve"> Les fixations sont au nombre de </w:t>
      </w:r>
      <w:r>
        <w:rPr>
          <w:rStyle w:val="optioncarChar"/>
        </w:rPr>
        <w:t xml:space="preserve">3 par panneau / 5 par m² </w:t>
      </w:r>
      <w:r>
        <w:t xml:space="preserve">(par défaut) </w:t>
      </w:r>
      <w:r>
        <w:rPr>
          <w:rStyle w:val="optioncarChar"/>
        </w:rPr>
        <w:t> / ***</w:t>
      </w:r>
      <w:r>
        <w:rPr>
          <w:rStyle w:val="soitChar"/>
        </w:rPr>
        <w:t xml:space="preserve">. Elles sont munies de </w:t>
      </w:r>
      <w:r>
        <w:rPr>
          <w:rStyle w:val="optioncarChar"/>
        </w:rPr>
        <w:t>rosace (cheville) métallique / rosace (cheville) synthétique</w:t>
      </w:r>
      <w:r>
        <w:t xml:space="preserve"> (par défaut) </w:t>
      </w:r>
      <w:r>
        <w:rPr>
          <w:rStyle w:val="optioncarChar"/>
        </w:rPr>
        <w:t> / ***</w:t>
      </w:r>
      <w:r>
        <w:rPr>
          <w:rStyle w:val="soitChar"/>
        </w:rPr>
        <w:t xml:space="preserve">. L’ancrage dans la paroi porteuse est </w:t>
      </w:r>
      <w:r>
        <w:rPr>
          <w:rStyle w:val="optioncarChar"/>
        </w:rPr>
        <w:t xml:space="preserve">métallique / synthétique </w:t>
      </w:r>
      <w:r>
        <w:t xml:space="preserve">(par défaut) </w:t>
      </w:r>
      <w:r>
        <w:rPr>
          <w:rStyle w:val="soitChar"/>
        </w:rPr>
        <w:t xml:space="preserve">.  Les ancrages sont à </w:t>
      </w:r>
      <w:r>
        <w:rPr>
          <w:rStyle w:val="optioncarChar"/>
        </w:rPr>
        <w:t>visser / frapper</w:t>
      </w:r>
      <w:r>
        <w:t xml:space="preserve">  (par défaut)</w:t>
      </w:r>
      <w:r>
        <w:rPr>
          <w:rStyle w:val="soitChar"/>
        </w:rPr>
        <w:t xml:space="preserve"> et sont adaptés au support.</w:t>
      </w:r>
    </w:p>
    <w:p w14:paraId="3C23277F" w14:textId="77777777" w:rsidR="004B2808" w:rsidRDefault="004B2808">
      <w:pPr>
        <w:ind w:left="567"/>
        <w:jc w:val="both"/>
      </w:pPr>
    </w:p>
    <w:p w14:paraId="2BAF0B54" w14:textId="77777777" w:rsidR="004B2808" w:rsidRDefault="004B2808">
      <w:pPr>
        <w:ind w:left="567"/>
        <w:jc w:val="both"/>
      </w:pPr>
    </w:p>
    <w:p w14:paraId="75526756" w14:textId="77777777" w:rsidR="004B2808" w:rsidRDefault="00000000">
      <w:pPr>
        <w:jc w:val="both"/>
      </w:pPr>
      <w:r>
        <w:t>L’application est conforme à la [NIT 233].</w:t>
      </w:r>
    </w:p>
    <w:p w14:paraId="75533591" w14:textId="77777777" w:rsidR="004B2808" w:rsidRDefault="00000000">
      <w:pPr>
        <w:jc w:val="both"/>
      </w:pPr>
      <w:r>
        <w:t>Les bouchons d’isolation agissant comme séparation de niveau comblent l’entièreté de l’épaisseur de l’espace.</w:t>
      </w:r>
    </w:p>
    <w:p w14:paraId="143AE81A" w14:textId="77777777" w:rsidR="004B2808" w:rsidRDefault="00000000">
      <w:pPr>
        <w:jc w:val="both"/>
      </w:pPr>
      <w:r>
        <w:rPr>
          <w:b/>
        </w:rPr>
        <w:t>Pour une application en plafond</w:t>
      </w:r>
    </w:p>
    <w:p w14:paraId="32E6DAA1" w14:textId="77777777" w:rsidR="004B2808" w:rsidRDefault="00000000">
      <w:pPr>
        <w:jc w:val="both"/>
      </w:pPr>
      <w:r>
        <w:t>Les panneaux sont disposés entre les suspends. L’application est conforme à la [NIT 232].</w:t>
      </w:r>
    </w:p>
    <w:p w14:paraId="5D5E1A45" w14:textId="77777777" w:rsidR="004B2808" w:rsidRDefault="00000000">
      <w:pPr>
        <w:jc w:val="both"/>
      </w:pPr>
      <w:r>
        <w:t xml:space="preserve">Le placement de l’isolation est assuré par </w:t>
      </w:r>
      <w:r>
        <w:rPr>
          <w:rStyle w:val="optioncarChar"/>
        </w:rPr>
        <w:t xml:space="preserve">pose sur la structure de faux-plafond </w:t>
      </w:r>
      <w:r>
        <w:t>(par défaut)</w:t>
      </w:r>
      <w:r>
        <w:rPr>
          <w:rStyle w:val="optioncarChar"/>
        </w:rPr>
        <w:t xml:space="preserve"> / par lattage (latte de minimum 15x23mm espacées de 30 cm dont la taille est adaptée en fonction des fixations) / ***</w:t>
      </w:r>
      <w:r>
        <w:t xml:space="preserve">. Le parement est disposé en </w:t>
      </w:r>
      <w:r>
        <w:rPr>
          <w:rStyle w:val="optioncarChar"/>
        </w:rPr>
        <w:t>partie supérieure</w:t>
      </w:r>
      <w:r>
        <w:t xml:space="preserve"> (par défaut) </w:t>
      </w:r>
      <w:r>
        <w:rPr>
          <w:rStyle w:val="optioncarChar"/>
        </w:rPr>
        <w:t>/ partie inférieure / ***</w:t>
      </w:r>
      <w:r>
        <w:t>.</w:t>
      </w:r>
    </w:p>
    <w:p w14:paraId="7E22A35A" w14:textId="77777777" w:rsidR="004B2808" w:rsidRDefault="00000000">
      <w:pPr>
        <w:jc w:val="both"/>
      </w:pPr>
      <w:r>
        <w:rPr>
          <w:b/>
        </w:rPr>
        <w:t>Pour une application en plancher</w:t>
      </w:r>
    </w:p>
    <w:p w14:paraId="11E1AF2E" w14:textId="77777777" w:rsidR="004B2808" w:rsidRDefault="00000000">
      <w:pPr>
        <w:jc w:val="both"/>
      </w:pPr>
      <w:r>
        <w:t xml:space="preserve">Les panneaux sont disposés entre les lambourdes, chevrons ou poutres. L’isolation est posée par </w:t>
      </w:r>
      <w:r>
        <w:rPr>
          <w:rStyle w:val="optioncarChar"/>
        </w:rPr>
        <w:t xml:space="preserve">le dessus </w:t>
      </w:r>
      <w:r>
        <w:t xml:space="preserve">(par défaut) </w:t>
      </w:r>
      <w:r>
        <w:rPr>
          <w:rStyle w:val="optioncarChar"/>
        </w:rPr>
        <w:t>/ le dessous des planchers</w:t>
      </w:r>
    </w:p>
    <w:p w14:paraId="1A0A3860" w14:textId="77777777" w:rsidR="004B2808" w:rsidRDefault="00000000">
      <w:pPr>
        <w:ind w:left="567"/>
        <w:jc w:val="both"/>
      </w:pPr>
      <w:r>
        <w:rPr>
          <w:b/>
          <w:i/>
        </w:rPr>
        <w:t>(Soit par défaut) </w:t>
      </w:r>
    </w:p>
    <w:p w14:paraId="15218B5A" w14:textId="77777777" w:rsidR="004B2808" w:rsidRDefault="00000000">
      <w:pPr>
        <w:ind w:left="567"/>
        <w:jc w:val="both"/>
      </w:pPr>
      <w:r>
        <w:rPr>
          <w:rStyle w:val="soitChar"/>
          <w:b/>
          <w:u w:val="single"/>
        </w:rPr>
        <w:t>Par le dessus des planchers :</w:t>
      </w:r>
    </w:p>
    <w:p w14:paraId="42EBB251" w14:textId="77777777" w:rsidR="004B2808" w:rsidRDefault="00000000">
      <w:pPr>
        <w:ind w:left="567"/>
        <w:jc w:val="both"/>
      </w:pPr>
      <w:r>
        <w:rPr>
          <w:rStyle w:val="soitChar"/>
        </w:rPr>
        <w:t xml:space="preserve"> Le placement de l’isolation est assuré par </w:t>
      </w:r>
      <w:r>
        <w:rPr>
          <w:rStyle w:val="optioncarChar"/>
        </w:rPr>
        <w:t xml:space="preserve">pose simple </w:t>
      </w:r>
      <w:r>
        <w:t>(par défaut)</w:t>
      </w:r>
      <w:r>
        <w:rPr>
          <w:rStyle w:val="optioncarChar"/>
        </w:rPr>
        <w:t xml:space="preserve"> / ***</w:t>
      </w:r>
      <w:r>
        <w:rPr>
          <w:rStyle w:val="soitChar"/>
        </w:rPr>
        <w:t xml:space="preserve">. Le parement est disposé en </w:t>
      </w:r>
      <w:r>
        <w:rPr>
          <w:rStyle w:val="optioncarChar"/>
        </w:rPr>
        <w:t xml:space="preserve">partie supérieure </w:t>
      </w:r>
      <w:r>
        <w:t>(par défaut)</w:t>
      </w:r>
      <w:r>
        <w:rPr>
          <w:rStyle w:val="optioncarChar"/>
        </w:rPr>
        <w:t xml:space="preserve"> / partie inférieure / ***</w:t>
      </w:r>
      <w:r>
        <w:rPr>
          <w:rStyle w:val="soitChar"/>
        </w:rPr>
        <w:t>.</w:t>
      </w:r>
    </w:p>
    <w:p w14:paraId="6724B739" w14:textId="77777777" w:rsidR="004B2808" w:rsidRDefault="00000000">
      <w:pPr>
        <w:ind w:left="567"/>
        <w:jc w:val="both"/>
      </w:pPr>
      <w:r>
        <w:rPr>
          <w:b/>
          <w:i/>
        </w:rPr>
        <w:t>(Soit) </w:t>
      </w:r>
    </w:p>
    <w:p w14:paraId="0695F1D5" w14:textId="77777777" w:rsidR="004B2808" w:rsidRDefault="00000000">
      <w:pPr>
        <w:ind w:left="567"/>
        <w:jc w:val="both"/>
      </w:pPr>
      <w:r>
        <w:rPr>
          <w:rStyle w:val="soitChar"/>
          <w:b/>
          <w:u w:val="single"/>
        </w:rPr>
        <w:t>Par le dessous des planchers :</w:t>
      </w:r>
    </w:p>
    <w:p w14:paraId="416B2FFA" w14:textId="77777777" w:rsidR="004B2808" w:rsidRDefault="00000000">
      <w:pPr>
        <w:ind w:left="567"/>
        <w:jc w:val="both"/>
      </w:pPr>
      <w:r>
        <w:rPr>
          <w:rStyle w:val="soitChar"/>
        </w:rPr>
        <w:t xml:space="preserve"> Le placement de l’isolation est assuré par </w:t>
      </w:r>
      <w:r>
        <w:rPr>
          <w:rStyle w:val="optioncarChar"/>
        </w:rPr>
        <w:t xml:space="preserve">fixation à rosace à raison de 3 par m² </w:t>
      </w:r>
      <w:r>
        <w:t>(par défaut)</w:t>
      </w:r>
      <w:r>
        <w:rPr>
          <w:rStyle w:val="optioncarChar"/>
        </w:rPr>
        <w:t xml:space="preserve"> / par lattage (latte de minimum 15x23mm espacées de 30 cm dont la taille est adaptée en fonction des fixations) / ***</w:t>
      </w:r>
      <w:r>
        <w:rPr>
          <w:rStyle w:val="soitChar"/>
        </w:rPr>
        <w:t xml:space="preserve">. Le parement est disposé en </w:t>
      </w:r>
      <w:r>
        <w:rPr>
          <w:rStyle w:val="optioncarChar"/>
        </w:rPr>
        <w:t xml:space="preserve">partie supérieure </w:t>
      </w:r>
      <w:r>
        <w:t>(par défaut)</w:t>
      </w:r>
      <w:r>
        <w:rPr>
          <w:rStyle w:val="optioncarChar"/>
        </w:rPr>
        <w:t xml:space="preserve"> / partie inférieure / ***</w:t>
      </w:r>
      <w:r>
        <w:rPr>
          <w:rStyle w:val="soitChar"/>
        </w:rPr>
        <w:t>.</w:t>
      </w:r>
    </w:p>
    <w:p w14:paraId="481C5B1E" w14:textId="77777777" w:rsidR="004B2808" w:rsidRDefault="00000000">
      <w:pPr>
        <w:jc w:val="both"/>
      </w:pPr>
      <w:r>
        <w:t>Les fixations sont disposées afin de ne pas réduire les performances acoustiques</w:t>
      </w:r>
    </w:p>
    <w:p w14:paraId="02E06AD0" w14:textId="77777777" w:rsidR="004B2808" w:rsidRDefault="00000000">
      <w:pPr>
        <w:jc w:val="both"/>
      </w:pPr>
      <w:r>
        <w:t>Les mesures de protection lors de la mise en œuvre de la laine minérale incluent de porter les équipements de protection individuelle EPI tels que des lunettes, un masque et des gants de protection. La préparation du chantier inclue également les séparations et l’isolement afin d’éviter la propagation des fibres minérales dans les autres zones accessibles de la construction.</w:t>
      </w:r>
    </w:p>
    <w:p w14:paraId="766E6A07" w14:textId="77777777" w:rsidR="004B2808" w:rsidRDefault="004B2808"/>
    <w:p w14:paraId="04E67ECB" w14:textId="77777777" w:rsidR="004B2808" w:rsidRDefault="00000000">
      <w:pPr>
        <w:pStyle w:val="pheading"/>
      </w:pPr>
      <w:r>
        <w:t>DOCUMENTS DE RÉFÉRENCE COMPLÉMENTAIRES</w:t>
      </w:r>
    </w:p>
    <w:p w14:paraId="199AD9B0" w14:textId="77777777" w:rsidR="004B2808" w:rsidRDefault="00000000">
      <w:pPr>
        <w:pStyle w:val="pheading"/>
      </w:pPr>
      <w:r>
        <w:t>- Matériau</w:t>
      </w:r>
    </w:p>
    <w:p w14:paraId="649DE14B" w14:textId="77777777" w:rsidR="004B2808"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17D8E878" w14:textId="77777777" w:rsidR="004B2808"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775AFE7C" w14:textId="77777777" w:rsidR="004B2808" w:rsidRDefault="00000000">
      <w:r>
        <w:t>[NBN EN 824, Produits isolants thermiques destinés aux applications du bâtiment - Détermination de l'équerrage]</w:t>
      </w:r>
    </w:p>
    <w:p w14:paraId="78E1D268" w14:textId="77777777" w:rsidR="004B2808" w:rsidRDefault="00000000">
      <w:r>
        <w:t>[NBN EN 825, Produits isolants thermiques destinés aux applications du bâtiment - Détermination de la planéité]</w:t>
      </w:r>
    </w:p>
    <w:p w14:paraId="0A51C743" w14:textId="77777777" w:rsidR="004B2808" w:rsidRDefault="00000000">
      <w:r>
        <w:lastRenderedPageBreak/>
        <w:t>[NBN EN 13501-1, Classement au feu des produits et éléments de construction - Partie 1: Classement à partir des données d'essais de réaction au feu]</w:t>
      </w:r>
    </w:p>
    <w:p w14:paraId="7E5602F8" w14:textId="77777777" w:rsidR="004B2808" w:rsidRDefault="00000000">
      <w:r>
        <w:t>[NBN EN 1604, Produits isolants thermiques destinés aux applications du bâtiment - Détermination de la stabilité dimensionnelle dans des conditions de température et d'humidité spécifiées]</w:t>
      </w:r>
    </w:p>
    <w:p w14:paraId="44BCD5AF" w14:textId="77777777" w:rsidR="004B2808" w:rsidRDefault="00000000">
      <w:r>
        <w:t>[NBN EN 13162+A1, Produits isolants thermiques pour le bâtiment - Produits manufacturés en laine minérale (MW) - Spécification]</w:t>
      </w:r>
    </w:p>
    <w:p w14:paraId="1B5E8281" w14:textId="77777777" w:rsidR="004B2808" w:rsidRDefault="00000000">
      <w:r>
        <w:t>[NBN EN 826, Produits isolants thermiques destinés aux applications du bâtiment - Détermination du comportement en compression]</w:t>
      </w:r>
    </w:p>
    <w:p w14:paraId="13C13FDF" w14:textId="77777777" w:rsidR="004B2808" w:rsidRDefault="00000000">
      <w:r>
        <w:t>[NBN EN 1607, Produits isolants thermiques destinés aux applications du bâtiment - Détermination de la résistance à la traction perpendiculairement aux faces]</w:t>
      </w:r>
    </w:p>
    <w:p w14:paraId="77BBF98B" w14:textId="77777777" w:rsidR="004B2808" w:rsidRDefault="00000000">
      <w:r>
        <w:t>[NBN EN 12430, Produits isolants thermiques destinés aux applications du bâtiment - Détermination du comportement sous charge ponctuelle]</w:t>
      </w:r>
    </w:p>
    <w:p w14:paraId="016137CB" w14:textId="77777777" w:rsidR="004B2808" w:rsidRDefault="00000000">
      <w:r>
        <w:t>[NBN EN ISO 16534, Produits isolants thermiques destinés aux applications du bâtiment - Détermination du fluage en compression (ISO 16534:2020)]</w:t>
      </w:r>
    </w:p>
    <w:p w14:paraId="09A6289D" w14:textId="77777777" w:rsidR="004B2808" w:rsidRDefault="00000000">
      <w:r>
        <w:t>[NBN EN ISO 29767, Produits isolants thermiques destinés aux applications du bâtiment - Détermination de l'absorption d'eau à court terme par immersion partielle (ISO 29767:2019)]</w:t>
      </w:r>
    </w:p>
    <w:p w14:paraId="4670B58D" w14:textId="77777777" w:rsidR="004B2808" w:rsidRDefault="00000000">
      <w:r>
        <w:t>[NBN EN ISO 16535, Produits isolants thermiques destinés aux applications du bâtiment - Détermination de l'absorption d'eau à long terme par immersion (ISO 16535:2019)]</w:t>
      </w:r>
    </w:p>
    <w:p w14:paraId="6CF1AF22" w14:textId="77777777" w:rsidR="004B2808" w:rsidRDefault="00000000">
      <w:r>
        <w:t>[NBN EN 12086, Produits isolants thermiques destinés aux applications du bâtiment - Détermination des propriétés de transmission de la vapeur d'eau]</w:t>
      </w:r>
    </w:p>
    <w:p w14:paraId="0ED8A9D5" w14:textId="77777777" w:rsidR="004B2808" w:rsidRDefault="00000000">
      <w:r>
        <w:t>[NBN EN ISO 354, Acoustique - Mesurage de l'absorption acoustique en salle réverbérante (ISO 354:2003)]</w:t>
      </w:r>
    </w:p>
    <w:p w14:paraId="28F81B3C" w14:textId="77777777" w:rsidR="004B2808" w:rsidRDefault="00000000">
      <w:r>
        <w:t>[NBN EN ISO 11654, Acoustique - Absorbants pour l'utilisation dans les bâtiments - Evaluation de l'absorption acoustique (ISO 11654:1997)]</w:t>
      </w:r>
    </w:p>
    <w:p w14:paraId="513991E1" w14:textId="77777777" w:rsidR="004B2808" w:rsidRDefault="00000000">
      <w:pPr>
        <w:pStyle w:val="pheading"/>
      </w:pPr>
      <w:r>
        <w:t>- Exécution</w:t>
      </w:r>
    </w:p>
    <w:p w14:paraId="289E50B6" w14:textId="77777777" w:rsidR="004B2808" w:rsidRDefault="00000000">
      <w:r>
        <w:t>[NIT 193, Les chapes. 2e partie: Mise en oeuvre.]</w:t>
      </w:r>
      <w:r>
        <w:br/>
      </w:r>
      <w:r>
        <w:br/>
        <w:t>[NIT 233, Les cloisons légères.]</w:t>
      </w:r>
    </w:p>
    <w:p w14:paraId="5C8B2624" w14:textId="77777777" w:rsidR="004B2808" w:rsidRDefault="00000000">
      <w:r>
        <w:t>[NIT 232, Les plafonds suspendus.]</w:t>
      </w:r>
    </w:p>
    <w:p w14:paraId="61430C9E" w14:textId="77777777" w:rsidR="004B2808" w:rsidRDefault="00000000">
      <w:pPr>
        <w:pStyle w:val="pheading"/>
      </w:pPr>
      <w:r>
        <w:t>MESURAGE</w:t>
      </w:r>
    </w:p>
    <w:p w14:paraId="6447E58F" w14:textId="77777777" w:rsidR="004B2808" w:rsidRDefault="00000000">
      <w:pPr>
        <w:pStyle w:val="pheading"/>
      </w:pPr>
      <w:r>
        <w:t>- unité de mesure:</w:t>
      </w:r>
    </w:p>
    <w:p w14:paraId="353E88D3" w14:textId="77777777" w:rsidR="004B2808" w:rsidRDefault="00000000">
      <w:r>
        <w:t>m²</w:t>
      </w:r>
    </w:p>
    <w:p w14:paraId="3B13D361" w14:textId="77777777" w:rsidR="004B2808" w:rsidRDefault="00000000">
      <w:pPr>
        <w:pStyle w:val="pheading"/>
      </w:pPr>
      <w:r>
        <w:t>- code de mesurage:</w:t>
      </w:r>
    </w:p>
    <w:p w14:paraId="02A10A15" w14:textId="77777777" w:rsidR="004B2808" w:rsidRDefault="00000000">
      <w:pPr>
        <w:jc w:val="both"/>
      </w:pPr>
      <w:r>
        <w:rPr>
          <w:u w:val="single"/>
        </w:rPr>
        <w:t>Isolation des parois verticales</w:t>
      </w:r>
      <w:r>
        <w:t xml:space="preserve"> : </w:t>
      </w:r>
      <w:r>
        <w:rPr>
          <w:b/>
        </w:rPr>
        <w:t>Surface nette</w:t>
      </w:r>
      <w:r>
        <w:t>. Les ouvertures supérieures à 0,50 m² sont déduites</w:t>
      </w:r>
    </w:p>
    <w:p w14:paraId="770C72EF" w14:textId="77777777" w:rsidR="004B2808" w:rsidRDefault="00000000">
      <w:pPr>
        <w:jc w:val="both"/>
      </w:pPr>
      <w:r>
        <w:rPr>
          <w:u w:val="single"/>
        </w:rPr>
        <w:t>Isolation des parois horizontales</w:t>
      </w:r>
      <w:r>
        <w:t xml:space="preserve"> : </w:t>
      </w:r>
      <w:r>
        <w:rPr>
          <w:b/>
        </w:rPr>
        <w:t>Surface nette</w:t>
      </w:r>
      <w:r>
        <w:t xml:space="preserve"> du sol, mesurée entre le nu des murs. Les ouvertures supérieures à 0,5 m² sont déduites. L'isolation périphérique ne doit pas être portée en compte séparément.</w:t>
      </w:r>
    </w:p>
    <w:p w14:paraId="33A23A95" w14:textId="77777777" w:rsidR="004B2808" w:rsidRDefault="00000000">
      <w:pPr>
        <w:jc w:val="both"/>
      </w:pPr>
      <w:r>
        <w:t>Distinction faite suivant l'épaisseur.</w:t>
      </w:r>
    </w:p>
    <w:p w14:paraId="71AE24FE" w14:textId="77777777" w:rsidR="004B2808" w:rsidRDefault="00000000">
      <w:pPr>
        <w:pStyle w:val="pheading"/>
      </w:pPr>
      <w:r>
        <w:t>- nature du marché:</w:t>
      </w:r>
    </w:p>
    <w:p w14:paraId="40CE0D53" w14:textId="77777777" w:rsidR="004B2808" w:rsidRDefault="00000000">
      <w:r>
        <w:t>QF</w:t>
      </w:r>
    </w:p>
    <w:p w14:paraId="3BE1F61B" w14:textId="77777777" w:rsidR="004B2808" w:rsidRDefault="00000000">
      <w:pPr>
        <w:pStyle w:val="Author-eSectionHeading6Numberless"/>
      </w:pPr>
      <w:bookmarkStart w:id="388" w:name="_Toc220490564"/>
      <w:r>
        <w:t>52.41.2b Isolation en panneaux - verre cellulaire (CG) CCTB 01.10</w:t>
      </w:r>
      <w:bookmarkEnd w:id="388"/>
    </w:p>
    <w:p w14:paraId="66AB3230" w14:textId="77777777" w:rsidR="004B2808" w:rsidRDefault="00000000">
      <w:pPr>
        <w:pStyle w:val="pheading"/>
      </w:pPr>
      <w:r>
        <w:t>MATÉRIAUX</w:t>
      </w:r>
    </w:p>
    <w:p w14:paraId="50B1471C" w14:textId="77777777" w:rsidR="004B2808" w:rsidRDefault="00000000">
      <w:pPr>
        <w:pStyle w:val="pheading"/>
      </w:pPr>
      <w:r>
        <w:t>- Caractéristiques générales</w:t>
      </w:r>
    </w:p>
    <w:p w14:paraId="3C01D7B0" w14:textId="77777777" w:rsidR="004B2808" w:rsidRDefault="00000000">
      <w:r>
        <w:lastRenderedPageBreak/>
        <w:t>Suivant prescriptions de l'article mentionné en références.</w:t>
      </w:r>
    </w:p>
    <w:p w14:paraId="2DBC3E99" w14:textId="77777777" w:rsidR="004B2808" w:rsidRDefault="00000000">
      <w:pPr>
        <w:pStyle w:val="heading"/>
      </w:pPr>
      <w:r>
        <w:t>Spécifications </w:t>
      </w:r>
    </w:p>
    <w:p w14:paraId="29BA4E3F" w14:textId="77777777" w:rsidR="004B2808" w:rsidRDefault="00000000">
      <w:r>
        <w:t>L’épaisseur d’isolation est créée :</w:t>
      </w:r>
      <w:r>
        <w:br/>
      </w:r>
      <w:r>
        <w:rPr>
          <w:b/>
        </w:rPr>
        <w:t>OPTION 1 </w:t>
      </w:r>
      <w:r>
        <w:t xml:space="preserve">:  d’une couche de panneaux d’une épaisseur de </w:t>
      </w:r>
      <w:r>
        <w:rPr>
          <w:rStyle w:val="optioncarChar"/>
        </w:rPr>
        <w:t>40 </w:t>
      </w:r>
      <w:r>
        <w:t xml:space="preserve">(par défaut) </w:t>
      </w:r>
      <w:r>
        <w:rPr>
          <w:rStyle w:val="optioncarChar"/>
        </w:rPr>
        <w:t>/ 50 / 60 / 70 / 80 / 90 / 100 / 110 / 120</w:t>
      </w:r>
      <w:r>
        <w:t xml:space="preserve"> mm</w:t>
      </w:r>
      <w:r>
        <w:br/>
      </w:r>
      <w:r>
        <w:rPr>
          <w:b/>
        </w:rPr>
        <w:t>OPTION 2</w:t>
      </w:r>
      <w:r>
        <w:t xml:space="preserve"> : de plusieurs couches de panneaux d’épaisseurs respectives </w:t>
      </w:r>
      <w:r>
        <w:rPr>
          <w:rStyle w:val="optioncarChar"/>
        </w:rPr>
        <w:t>*** / *** / ***</w:t>
      </w:r>
      <w:r>
        <w:t> mm </w:t>
      </w:r>
      <w:r>
        <w:br/>
      </w:r>
      <w:r>
        <w:rPr>
          <w:b/>
        </w:rPr>
        <w:t>Choix opéré</w:t>
      </w:r>
      <w:r>
        <w:t xml:space="preserve"> : </w:t>
      </w:r>
      <w:r>
        <w:rPr>
          <w:rStyle w:val="optioncarChar"/>
        </w:rPr>
        <w:t>OPTION 1 (une couche) / OPTION 2 (plusieurs couches) </w:t>
      </w:r>
    </w:p>
    <w:p w14:paraId="6B58987B" w14:textId="77777777" w:rsidR="004B2808" w:rsidRDefault="00000000">
      <w:r>
        <w:t xml:space="preserve">Dimension des panneaux : </w:t>
      </w:r>
      <w:r>
        <w:rPr>
          <w:rStyle w:val="optioncarChar"/>
        </w:rPr>
        <w:t>300x450</w:t>
      </w:r>
      <w:r>
        <w:t> (par défaut)</w:t>
      </w:r>
      <w:r>
        <w:rPr>
          <w:rStyle w:val="optioncarChar"/>
        </w:rPr>
        <w:t xml:space="preserve"> / 600x450 / ***x*** </w:t>
      </w:r>
      <w:r>
        <w:t>mm </w:t>
      </w:r>
    </w:p>
    <w:p w14:paraId="40DE9F78" w14:textId="77777777" w:rsidR="004B2808" w:rsidRDefault="00000000">
      <w:r>
        <w:rPr>
          <w:u w:val="single"/>
        </w:rPr>
        <w:t>Caractéristiques de base :</w:t>
      </w:r>
    </w:p>
    <w:p w14:paraId="379890F1" w14:textId="77777777" w:rsidR="004B2808" w:rsidRDefault="00000000">
      <w:pPr>
        <w:pStyle w:val="Author-eListParagraph"/>
        <w:numPr>
          <w:ilvl w:val="0"/>
          <w:numId w:val="384"/>
        </w:numPr>
      </w:pPr>
      <w:r>
        <w:t>Conductivité thermique : valeur lambda déclarée :  max.</w:t>
      </w:r>
      <w:r>
        <w:rPr>
          <w:rStyle w:val="optioncarChar"/>
        </w:rPr>
        <w:t> 0.05</w:t>
      </w:r>
      <w:r>
        <w:t> (par défaut)</w:t>
      </w:r>
      <w:r>
        <w:rPr>
          <w:rStyle w:val="optioncarChar"/>
        </w:rPr>
        <w:t> / *** </w:t>
      </w:r>
      <w:r>
        <w:t>W/mK</w:t>
      </w:r>
    </w:p>
    <w:p w14:paraId="72FD38ED" w14:textId="77777777" w:rsidR="004B2808" w:rsidRDefault="00000000">
      <w:pPr>
        <w:pStyle w:val="Author-eListParagraph"/>
        <w:numPr>
          <w:ilvl w:val="0"/>
          <w:numId w:val="384"/>
        </w:numPr>
      </w:pPr>
      <w:r>
        <w:t>Masse volumique nominale : min. </w:t>
      </w:r>
      <w:r>
        <w:rPr>
          <w:rStyle w:val="optioncarChar"/>
        </w:rPr>
        <w:t>120</w:t>
      </w:r>
      <w:r>
        <w:t> (par défaut) </w:t>
      </w:r>
      <w:r>
        <w:rPr>
          <w:rStyle w:val="optioncarChar"/>
        </w:rPr>
        <w:t>/ ***</w:t>
      </w:r>
      <w:r>
        <w:t xml:space="preserve"> kg/m³</w:t>
      </w:r>
    </w:p>
    <w:p w14:paraId="777DD1F5" w14:textId="77777777" w:rsidR="004B2808" w:rsidRDefault="00000000">
      <w:pPr>
        <w:pStyle w:val="Author-eListParagraph"/>
        <w:numPr>
          <w:ilvl w:val="0"/>
          <w:numId w:val="384"/>
        </w:numPr>
      </w:pPr>
      <w:r>
        <w:t xml:space="preserve">Réaction au feu </w:t>
      </w:r>
    </w:p>
    <w:p w14:paraId="30EC9991" w14:textId="77777777" w:rsidR="004B2808" w:rsidRDefault="00000000">
      <w:pPr>
        <w:pStyle w:val="Author-eListParagraph"/>
        <w:numPr>
          <w:ilvl w:val="1"/>
          <w:numId w:val="385"/>
        </w:numPr>
      </w:pPr>
      <w:r>
        <w:t>Spécifique (CG nu) – application générale : classe  </w:t>
      </w:r>
      <w:r>
        <w:rPr>
          <w:rStyle w:val="optioncarChar"/>
        </w:rPr>
        <w:t>A1</w:t>
      </w:r>
      <w:r>
        <w:t> (par défaut)</w:t>
      </w:r>
      <w:r>
        <w:rPr>
          <w:rStyle w:val="optioncarChar"/>
        </w:rPr>
        <w:t> / ***</w:t>
      </w:r>
    </w:p>
    <w:p w14:paraId="7FCC295D" w14:textId="77777777" w:rsidR="004B2808" w:rsidRDefault="00000000">
      <w:pPr>
        <w:pStyle w:val="Author-eListParagraph"/>
        <w:numPr>
          <w:ilvl w:val="1"/>
          <w:numId w:val="385"/>
        </w:numPr>
      </w:pPr>
      <w:r>
        <w:t xml:space="preserve">CG revêtu – « end-use »: classe </w:t>
      </w:r>
      <w:r>
        <w:rPr>
          <w:rStyle w:val="optioncarChar"/>
        </w:rPr>
        <w:t>A1</w:t>
      </w:r>
      <w:r>
        <w:t xml:space="preserve"> (par défaut) </w:t>
      </w:r>
      <w:r>
        <w:rPr>
          <w:rStyle w:val="optioncarChar"/>
        </w:rPr>
        <w:t>/ A2 / B / C / D / E / F / ***</w:t>
      </w:r>
      <w:r>
        <w:t xml:space="preserve"> complétée, le cas échéant par les aspects </w:t>
      </w:r>
      <w:r>
        <w:rPr>
          <w:rStyle w:val="optioncarChar"/>
        </w:rPr>
        <w:t>s1 </w:t>
      </w:r>
      <w:r>
        <w:t>(par défaut)</w:t>
      </w:r>
      <w:r>
        <w:rPr>
          <w:rStyle w:val="optioncarChar"/>
        </w:rPr>
        <w:t xml:space="preserve"> / s2 / s3 / ***</w:t>
      </w:r>
      <w:r>
        <w:t xml:space="preserve"> et </w:t>
      </w:r>
      <w:r>
        <w:rPr>
          <w:rStyle w:val="optioncarChar"/>
        </w:rPr>
        <w:t>d0 </w:t>
      </w:r>
      <w:r>
        <w:t>(par défaut)</w:t>
      </w:r>
      <w:r>
        <w:rPr>
          <w:rStyle w:val="optioncarChar"/>
        </w:rPr>
        <w:t xml:space="preserve"> / d1 / d2 / ***</w:t>
      </w:r>
      <w:r>
        <w:t>  selon dépendant du type de revêtement.</w:t>
      </w:r>
    </w:p>
    <w:p w14:paraId="565BBEE2" w14:textId="77777777" w:rsidR="004B2808" w:rsidRDefault="00000000">
      <w:r>
        <w:br/>
      </w:r>
      <w:r>
        <w:rPr>
          <w:u w:val="single"/>
        </w:rPr>
        <w:t>Résistance à la déformation sous charge :</w:t>
      </w:r>
    </w:p>
    <w:p w14:paraId="18B6C5BC" w14:textId="77777777" w:rsidR="004B2808" w:rsidRDefault="00000000">
      <w:pPr>
        <w:pStyle w:val="Author-eListParagraph"/>
        <w:numPr>
          <w:ilvl w:val="0"/>
          <w:numId w:val="386"/>
        </w:numPr>
      </w:pPr>
      <w:r>
        <w:t xml:space="preserve">Résistance à la contrainte en compression à 10 % de déformation  : niveau CS(10\Y) </w:t>
      </w:r>
      <w:r>
        <w:rPr>
          <w:rStyle w:val="optioncarChar"/>
        </w:rPr>
        <w:t>400 </w:t>
      </w:r>
      <w:r>
        <w:t>(par défaut)</w:t>
      </w:r>
      <w:r>
        <w:rPr>
          <w:rStyle w:val="optioncarChar"/>
        </w:rPr>
        <w:t xml:space="preserve"> / 700 / 900 / 1200 / 1600</w:t>
      </w:r>
      <w:r>
        <w:t>.</w:t>
      </w:r>
    </w:p>
    <w:p w14:paraId="36CC8AC6" w14:textId="77777777" w:rsidR="004B2808" w:rsidRDefault="00000000">
      <w:pPr>
        <w:pStyle w:val="Author-eListParagraph"/>
        <w:numPr>
          <w:ilvl w:val="0"/>
          <w:numId w:val="386"/>
        </w:numPr>
      </w:pPr>
      <w:r>
        <w:t xml:space="preserve">Déformation sous charge ponctuelle : niveau </w:t>
      </w:r>
      <w:r>
        <w:rPr>
          <w:rStyle w:val="optioncarChar"/>
        </w:rPr>
        <w:t xml:space="preserve">PL(P)0.5 </w:t>
      </w:r>
      <w:r>
        <w:t>(par défaut) </w:t>
      </w:r>
      <w:r>
        <w:rPr>
          <w:rStyle w:val="optioncarChar"/>
        </w:rPr>
        <w:t>/ PL(P)1/ PL(P)1.5/ PL(P)2</w:t>
      </w:r>
    </w:p>
    <w:p w14:paraId="5FF4A0B9" w14:textId="77777777" w:rsidR="004B2808" w:rsidRDefault="00000000">
      <w:pPr>
        <w:pStyle w:val="Author-eListParagraph"/>
        <w:numPr>
          <w:ilvl w:val="0"/>
          <w:numId w:val="386"/>
        </w:numPr>
      </w:pPr>
      <w:r>
        <w:t>Résistance au fluage en compression : CC(</w:t>
      </w:r>
      <w:r>
        <w:rPr>
          <w:rStyle w:val="optioncarChar"/>
        </w:rPr>
        <w:t xml:space="preserve">i1 </w:t>
      </w:r>
      <w:r>
        <w:t>(par défaut) </w:t>
      </w:r>
      <w:r>
        <w:rPr>
          <w:rStyle w:val="optioncarChar"/>
        </w:rPr>
        <w:t>/i2/ ***</w:t>
      </w:r>
      <w:r>
        <w:t xml:space="preserve"> )</w:t>
      </w:r>
    </w:p>
    <w:p w14:paraId="46C6CE65" w14:textId="77777777" w:rsidR="004B2808" w:rsidRDefault="00000000">
      <w:r>
        <w:br/>
      </w:r>
      <w:r>
        <w:rPr>
          <w:u w:val="single"/>
        </w:rPr>
        <w:t>Autres caractéristiques spécifiques suivant les sollicitations du projet : </w:t>
      </w:r>
    </w:p>
    <w:p w14:paraId="53E8D5D4" w14:textId="77777777" w:rsidR="004B2808" w:rsidRDefault="00000000">
      <w:pPr>
        <w:pStyle w:val="Author-eListParagraph"/>
        <w:numPr>
          <w:ilvl w:val="0"/>
          <w:numId w:val="387"/>
        </w:numPr>
      </w:pPr>
      <w:r>
        <w:t xml:space="preserve">Résistance à la flexion  : </w:t>
      </w:r>
      <w:r>
        <w:rPr>
          <w:rStyle w:val="optioncarChar"/>
        </w:rPr>
        <w:t xml:space="preserve">BS200 </w:t>
      </w:r>
      <w:r>
        <w:t>(par défaut) </w:t>
      </w:r>
      <w:r>
        <w:rPr>
          <w:rStyle w:val="optioncarChar"/>
        </w:rPr>
        <w:t>/ BS400/ BS450/ BS500/ BS550 / ***</w:t>
      </w:r>
    </w:p>
    <w:p w14:paraId="265FF764" w14:textId="77777777" w:rsidR="004B2808" w:rsidRDefault="00000000">
      <w:pPr>
        <w:pStyle w:val="Author-eListParagraph"/>
        <w:numPr>
          <w:ilvl w:val="0"/>
          <w:numId w:val="387"/>
        </w:numPr>
      </w:pPr>
      <w:r>
        <w:t xml:space="preserve">Résistance à la traction parallèlement aux faces :  niveau TP &gt; </w:t>
      </w:r>
      <w:r>
        <w:rPr>
          <w:rStyle w:val="optioncarChar"/>
        </w:rPr>
        <w:t>***</w:t>
      </w:r>
      <w:r>
        <w:t xml:space="preserve"> kPa</w:t>
      </w:r>
    </w:p>
    <w:p w14:paraId="4AA274D8" w14:textId="77777777" w:rsidR="004B2808" w:rsidRDefault="00000000">
      <w:pPr>
        <w:pStyle w:val="Author-eListParagraph"/>
        <w:numPr>
          <w:ilvl w:val="0"/>
          <w:numId w:val="387"/>
        </w:numPr>
      </w:pPr>
      <w:r>
        <w:t xml:space="preserve">Résistance à la traction perpendiculaire : niveau TR </w:t>
      </w:r>
      <w:r>
        <w:rPr>
          <w:rStyle w:val="optioncarChar"/>
        </w:rPr>
        <w:t>100 </w:t>
      </w:r>
      <w:r>
        <w:t>(par défaut)</w:t>
      </w:r>
      <w:r>
        <w:rPr>
          <w:rStyle w:val="optioncarChar"/>
        </w:rPr>
        <w:t xml:space="preserve"> / 150 / 200 / 250 / 300 / 350 / 400 / 500 / ***</w:t>
      </w:r>
    </w:p>
    <w:p w14:paraId="5569612D" w14:textId="77777777" w:rsidR="004B2808" w:rsidRDefault="00000000">
      <w:pPr>
        <w:pStyle w:val="Author-eListParagraph"/>
        <w:numPr>
          <w:ilvl w:val="0"/>
          <w:numId w:val="387"/>
        </w:numPr>
      </w:pPr>
      <w:r>
        <w:t>Absorption d’eau à long terme W</w:t>
      </w:r>
      <w:r>
        <w:rPr>
          <w:vertAlign w:val="subscript"/>
        </w:rPr>
        <w:t>lp</w:t>
      </w:r>
      <w:r>
        <w:t xml:space="preserve">  : </w:t>
      </w:r>
      <w:r>
        <w:rPr>
          <w:rStyle w:val="optioncarChar"/>
        </w:rPr>
        <w:t xml:space="preserve">*** </w:t>
      </w:r>
    </w:p>
    <w:p w14:paraId="46C1EBF7" w14:textId="77777777" w:rsidR="004B2808" w:rsidRDefault="00000000">
      <w:pPr>
        <w:pStyle w:val="Author-eListParagraph"/>
        <w:numPr>
          <w:ilvl w:val="0"/>
          <w:numId w:val="387"/>
        </w:numPr>
      </w:pPr>
      <w:r>
        <w:t xml:space="preserve">Absorption acoustique : </w:t>
      </w:r>
      <w:r>
        <w:rPr>
          <w:rStyle w:val="optioncarChar"/>
        </w:rPr>
        <w:t xml:space="preserve">*** </w:t>
      </w:r>
    </w:p>
    <w:p w14:paraId="18863CCC" w14:textId="77777777" w:rsidR="004B2808" w:rsidRDefault="00000000">
      <w:pPr>
        <w:pStyle w:val="Author-eListParagraph"/>
        <w:numPr>
          <w:ilvl w:val="0"/>
          <w:numId w:val="387"/>
        </w:numPr>
      </w:pPr>
      <w:r>
        <w:t>Coefficient de résistance à la diffusion de vapeur d’eau – valeur μ :  </w:t>
      </w:r>
      <w:r>
        <w:rPr>
          <w:rStyle w:val="optioncarChar"/>
        </w:rPr>
        <w:t>***  </w:t>
      </w:r>
    </w:p>
    <w:p w14:paraId="70D71E52" w14:textId="77777777" w:rsidR="004B2808" w:rsidRDefault="00000000">
      <w:pPr>
        <w:pStyle w:val="pheading"/>
      </w:pPr>
      <w:r>
        <w:t>- Finitions</w:t>
      </w:r>
    </w:p>
    <w:p w14:paraId="07B3232F" w14:textId="77777777" w:rsidR="004B2808" w:rsidRDefault="00000000">
      <w:pPr>
        <w:pStyle w:val="Author-eListParagraph"/>
        <w:numPr>
          <w:ilvl w:val="0"/>
          <w:numId w:val="388"/>
        </w:numPr>
      </w:pPr>
      <w:r>
        <w:t>Le surfaçage des panneaux est de type : </w:t>
      </w:r>
      <w:r>
        <w:rPr>
          <w:rStyle w:val="optioncarChar"/>
        </w:rPr>
        <w:t> bitumineux </w:t>
      </w:r>
      <w:r>
        <w:t>(par défaut)</w:t>
      </w:r>
      <w:r>
        <w:rPr>
          <w:rStyle w:val="optioncarChar"/>
        </w:rPr>
        <w:t xml:space="preserve"> / fibres de verre / armature synthétique / *** </w:t>
      </w:r>
      <w:r>
        <w:t>.</w:t>
      </w:r>
    </w:p>
    <w:p w14:paraId="7E596B0E" w14:textId="77777777" w:rsidR="004B2808" w:rsidRDefault="00000000">
      <w:pPr>
        <w:pStyle w:val="Author-eListParagraph"/>
        <w:numPr>
          <w:ilvl w:val="0"/>
          <w:numId w:val="388"/>
        </w:numPr>
      </w:pPr>
      <w:r>
        <w:t xml:space="preserve">Il est présent : </w:t>
      </w:r>
      <w:r>
        <w:rPr>
          <w:rStyle w:val="optioncarChar"/>
        </w:rPr>
        <w:t>d’un côté</w:t>
      </w:r>
      <w:r>
        <w:t> (par défaut)</w:t>
      </w:r>
      <w:r>
        <w:rPr>
          <w:rStyle w:val="optioncarChar"/>
        </w:rPr>
        <w:t xml:space="preserve"> / des deux côtés / ***</w:t>
      </w:r>
      <w:r>
        <w:t xml:space="preserve"> du panneau.</w:t>
      </w:r>
    </w:p>
    <w:p w14:paraId="476D0600" w14:textId="77777777" w:rsidR="004B2808" w:rsidRDefault="00000000">
      <w:pPr>
        <w:pStyle w:val="pheading"/>
      </w:pPr>
      <w:r>
        <w:t>EXÉCUTION / MISE EN ŒUVRE</w:t>
      </w:r>
    </w:p>
    <w:p w14:paraId="3C8C090A" w14:textId="77777777" w:rsidR="004B2808" w:rsidRDefault="00000000">
      <w:pPr>
        <w:pStyle w:val="pheading"/>
      </w:pPr>
      <w:r>
        <w:t>- Prescriptions générales</w:t>
      </w:r>
    </w:p>
    <w:p w14:paraId="634392B5" w14:textId="77777777" w:rsidR="004B2808" w:rsidRDefault="00000000">
      <w:r>
        <w:t>Suivant prescriptions de l'article en références.</w:t>
      </w:r>
    </w:p>
    <w:p w14:paraId="32600DEF" w14:textId="77777777" w:rsidR="004B2808" w:rsidRDefault="00000000">
      <w:r>
        <w:t xml:space="preserve">Mode de pose : </w:t>
      </w:r>
      <w:r>
        <w:rPr>
          <w:rStyle w:val="optioncarChar"/>
        </w:rPr>
        <w:t>OPTION 1 (support monolithe) / OPTION 2 (support préfabriqué) / OPTION 3 (support bois) / OPTION 4 (plaques profilées)</w:t>
      </w:r>
    </w:p>
    <w:p w14:paraId="2A035E0C" w14:textId="77777777" w:rsidR="004B2808" w:rsidRDefault="00000000">
      <w:pPr>
        <w:pStyle w:val="pheading"/>
      </w:pPr>
      <w:r>
        <w:t>DOCUMENTS DE RÉFÉRENCE COMPLÉMENTAIRES</w:t>
      </w:r>
    </w:p>
    <w:p w14:paraId="5E3BAC21" w14:textId="77777777" w:rsidR="004B2808" w:rsidRDefault="00000000">
      <w:pPr>
        <w:pStyle w:val="pheading"/>
      </w:pPr>
      <w:r>
        <w:t>- Matériau</w:t>
      </w:r>
    </w:p>
    <w:p w14:paraId="3247498D" w14:textId="77777777" w:rsidR="004B2808" w:rsidRDefault="00000000">
      <w:r>
        <w:t>32.41.2b Isolation en panneaux - verre cellulaire (CG)</w:t>
      </w:r>
    </w:p>
    <w:p w14:paraId="73DD7EB6" w14:textId="77777777" w:rsidR="004B2808" w:rsidRDefault="00000000">
      <w:pPr>
        <w:pStyle w:val="pheading"/>
      </w:pPr>
      <w:r>
        <w:t>- Exécution</w:t>
      </w:r>
    </w:p>
    <w:p w14:paraId="1352F9D1" w14:textId="77777777" w:rsidR="004B2808" w:rsidRDefault="00000000">
      <w:r>
        <w:lastRenderedPageBreak/>
        <w:t>32.41.2b Isolation en panneaux - verre cellulaire (CG)</w:t>
      </w:r>
    </w:p>
    <w:p w14:paraId="71467767" w14:textId="77777777" w:rsidR="004B2808" w:rsidRDefault="00000000">
      <w:pPr>
        <w:pStyle w:val="pheading"/>
      </w:pPr>
      <w:r>
        <w:t>MESURAGE</w:t>
      </w:r>
    </w:p>
    <w:p w14:paraId="375F9844" w14:textId="77777777" w:rsidR="004B2808" w:rsidRDefault="00000000">
      <w:pPr>
        <w:pStyle w:val="pheading"/>
      </w:pPr>
      <w:r>
        <w:t>- unité de mesure:</w:t>
      </w:r>
    </w:p>
    <w:p w14:paraId="69612744" w14:textId="77777777" w:rsidR="004B2808" w:rsidRDefault="00000000">
      <w:r>
        <w:t>m²</w:t>
      </w:r>
    </w:p>
    <w:p w14:paraId="4F2C4F3E" w14:textId="77777777" w:rsidR="004B2808" w:rsidRDefault="00000000">
      <w:pPr>
        <w:pStyle w:val="pheading"/>
      </w:pPr>
      <w:r>
        <w:t>- code de mesurage:</w:t>
      </w:r>
    </w:p>
    <w:p w14:paraId="71E8DACE" w14:textId="77777777" w:rsidR="004B2808" w:rsidRDefault="00000000">
      <w:pPr>
        <w:pStyle w:val="Author-eListParagraph"/>
        <w:numPr>
          <w:ilvl w:val="0"/>
          <w:numId w:val="389"/>
        </w:numPr>
      </w:pPr>
      <w:r>
        <w:t>Isolation des parois verticales : Surface nette. Les ouvertures supérieures à 0,50 m² sont déduites</w:t>
      </w:r>
    </w:p>
    <w:p w14:paraId="0D1F1683" w14:textId="77777777" w:rsidR="004B2808" w:rsidRDefault="00000000">
      <w:pPr>
        <w:pStyle w:val="Author-eListParagraph"/>
        <w:numPr>
          <w:ilvl w:val="0"/>
          <w:numId w:val="389"/>
        </w:numPr>
      </w:pPr>
      <w:r>
        <w:t>Isolation des parois horizontales : Surface nette du sol / plafond, mesurée entre le nu des murs. Les ouvertures supérieures à 0,5 m² sont déduites. L'isolation périphérique ne doit pas être portée en compte séparément</w:t>
      </w:r>
    </w:p>
    <w:p w14:paraId="7CAF54DC" w14:textId="77777777" w:rsidR="004B2808" w:rsidRDefault="00000000">
      <w:r>
        <w:t>Distinction faite suivant le type et l'épaisseur.</w:t>
      </w:r>
    </w:p>
    <w:p w14:paraId="6D5781BE" w14:textId="77777777" w:rsidR="004B2808" w:rsidRDefault="00000000">
      <w:pPr>
        <w:pStyle w:val="pheading"/>
      </w:pPr>
      <w:r>
        <w:t>- nature du marché:</w:t>
      </w:r>
    </w:p>
    <w:p w14:paraId="51193FBF" w14:textId="77777777" w:rsidR="004B2808" w:rsidRDefault="00000000">
      <w:r>
        <w:t>QF</w:t>
      </w:r>
    </w:p>
    <w:p w14:paraId="50AF679D" w14:textId="77777777" w:rsidR="004B2808" w:rsidRDefault="00000000">
      <w:pPr>
        <w:pStyle w:val="Author-eSectionHeading6Numberless"/>
      </w:pPr>
      <w:bookmarkStart w:id="389" w:name="_Toc220490565"/>
      <w:r>
        <w:t>52.41.2c Isolation en panneaux - perlite expansée (EPB) CCTB 01.07</w:t>
      </w:r>
      <w:bookmarkEnd w:id="389"/>
    </w:p>
    <w:p w14:paraId="7426DB15" w14:textId="77777777" w:rsidR="004B2808" w:rsidRDefault="00000000">
      <w:pPr>
        <w:pStyle w:val="pheading"/>
      </w:pPr>
      <w:r>
        <w:t>MATÉRIAUX</w:t>
      </w:r>
    </w:p>
    <w:p w14:paraId="11AFA7CC" w14:textId="77777777" w:rsidR="004B2808" w:rsidRDefault="00000000">
      <w:pPr>
        <w:pStyle w:val="pheading"/>
      </w:pPr>
      <w:r>
        <w:t>- Caractéristiques générales</w:t>
      </w:r>
    </w:p>
    <w:p w14:paraId="1AC4F7A2" w14:textId="77777777" w:rsidR="004B2808" w:rsidRDefault="00000000">
      <w:r>
        <w:t>Caract. telles que décrites au 32.41.2c Isolation en panneaux - perlite expansée (EPB)</w:t>
      </w:r>
    </w:p>
    <w:p w14:paraId="115CB003" w14:textId="77777777" w:rsidR="004B2808" w:rsidRDefault="00000000">
      <w:pPr>
        <w:pStyle w:val="pheading"/>
      </w:pPr>
      <w:r>
        <w:t>- Finitions</w:t>
      </w:r>
    </w:p>
    <w:p w14:paraId="2BD9125F" w14:textId="77777777" w:rsidR="004B2808" w:rsidRDefault="00000000">
      <w:r>
        <w:t>Finitions telles que décrites au 32.41.2c Isolation en panneaux - perlite expansée (EPB)</w:t>
      </w:r>
    </w:p>
    <w:p w14:paraId="41A29197" w14:textId="77777777" w:rsidR="004B2808" w:rsidRDefault="00000000">
      <w:pPr>
        <w:pStyle w:val="pheading"/>
      </w:pPr>
      <w:r>
        <w:t>- Prescriptions complémentaires</w:t>
      </w:r>
    </w:p>
    <w:p w14:paraId="14B827D9" w14:textId="77777777" w:rsidR="004B2808" w:rsidRDefault="00000000">
      <w:r>
        <w:t>Options telles que proposées au 32.41.2c Isolation en panneaux - perlite expansée (EPB)</w:t>
      </w:r>
    </w:p>
    <w:p w14:paraId="77DD6913" w14:textId="77777777" w:rsidR="004B2808" w:rsidRDefault="00000000">
      <w:pPr>
        <w:pStyle w:val="pheading"/>
      </w:pPr>
      <w:r>
        <w:t>MESURAGE</w:t>
      </w:r>
    </w:p>
    <w:p w14:paraId="0414F56B" w14:textId="77777777" w:rsidR="004B2808" w:rsidRDefault="00000000">
      <w:pPr>
        <w:pStyle w:val="pheading"/>
      </w:pPr>
      <w:r>
        <w:t>- unité de mesure:</w:t>
      </w:r>
    </w:p>
    <w:p w14:paraId="3317B28F" w14:textId="77777777" w:rsidR="004B2808" w:rsidRDefault="00000000">
      <w:r>
        <w:t>m²</w:t>
      </w:r>
    </w:p>
    <w:p w14:paraId="2F29E3A1" w14:textId="77777777" w:rsidR="004B2808" w:rsidRDefault="00000000">
      <w:pPr>
        <w:pStyle w:val="pheading"/>
      </w:pPr>
      <w:r>
        <w:t>- code de mesurage:</w:t>
      </w:r>
    </w:p>
    <w:p w14:paraId="750E5C7F" w14:textId="77777777" w:rsidR="004B2808" w:rsidRDefault="00000000">
      <w:r>
        <w:t>Distinction faite suivant l'épaisseur.</w:t>
      </w:r>
    </w:p>
    <w:p w14:paraId="42FF5924" w14:textId="77777777" w:rsidR="004B2808" w:rsidRDefault="00000000">
      <w:pPr>
        <w:pStyle w:val="Author-eListParagraph"/>
        <w:numPr>
          <w:ilvl w:val="0"/>
          <w:numId w:val="390"/>
        </w:numPr>
      </w:pPr>
      <w:r>
        <w:t>Isolation des parois verticales : Surface nette. Les ouvertures supérieures à 0,50 m² sont déduites</w:t>
      </w:r>
    </w:p>
    <w:p w14:paraId="590B8E39" w14:textId="77777777" w:rsidR="004B2808" w:rsidRDefault="00000000">
      <w:pPr>
        <w:pStyle w:val="Author-eListParagraph"/>
        <w:numPr>
          <w:ilvl w:val="0"/>
          <w:numId w:val="390"/>
        </w:numPr>
      </w:pPr>
      <w:r>
        <w:t>Isolation des parois horizontales : Surface nette du sol, mesurée entre le nu des murs. Les ouvertures supérieures à 0,5 m² sont déduites. L'isolation périphérique ne doit pas être portée en compte séparément</w:t>
      </w:r>
    </w:p>
    <w:p w14:paraId="2B5BF9E0" w14:textId="77777777" w:rsidR="004B2808" w:rsidRDefault="00000000">
      <w:pPr>
        <w:pStyle w:val="pheading"/>
      </w:pPr>
      <w:r>
        <w:t>- nature du marché:</w:t>
      </w:r>
    </w:p>
    <w:p w14:paraId="028DBFB3" w14:textId="77777777" w:rsidR="004B2808" w:rsidRDefault="00000000">
      <w:r>
        <w:t>QF</w:t>
      </w:r>
    </w:p>
    <w:p w14:paraId="12FFE7C8" w14:textId="77777777" w:rsidR="004B2808" w:rsidRDefault="00000000">
      <w:pPr>
        <w:pStyle w:val="Author-eSectionHeading6Numberless"/>
      </w:pPr>
      <w:bookmarkStart w:id="390" w:name="_Toc220490566"/>
      <w:r>
        <w:t>52.41.2d (titre réservé) CCTB 01.02</w:t>
      </w:r>
      <w:bookmarkEnd w:id="390"/>
    </w:p>
    <w:p w14:paraId="7E6BAE82" w14:textId="77777777" w:rsidR="004B2808" w:rsidRDefault="00000000">
      <w:pPr>
        <w:pStyle w:val="Author-eSectionHeading6Numberless"/>
      </w:pPr>
      <w:bookmarkStart w:id="391" w:name="_Toc220490567"/>
      <w:r>
        <w:t>52.41.2e Isolation en panneaux - plâtre armé de fibres de verre CCTB 01.02</w:t>
      </w:r>
      <w:bookmarkEnd w:id="391"/>
    </w:p>
    <w:p w14:paraId="0412B3AE" w14:textId="77777777" w:rsidR="004B2808" w:rsidRDefault="00000000">
      <w:pPr>
        <w:pStyle w:val="Author-eSectionHeading6Numberless"/>
      </w:pPr>
      <w:bookmarkStart w:id="392" w:name="_Toc220490568"/>
      <w:r>
        <w:t>52.41.2f Isolation en panneaux - à base de plâtre CCTB 01.02</w:t>
      </w:r>
      <w:bookmarkEnd w:id="392"/>
    </w:p>
    <w:p w14:paraId="5C83D6D4" w14:textId="77777777" w:rsidR="004B2808" w:rsidRDefault="00000000">
      <w:pPr>
        <w:pStyle w:val="Author-eSectionHeading6Numberless"/>
      </w:pPr>
      <w:bookmarkStart w:id="393" w:name="_Toc220490569"/>
      <w:r>
        <w:t>52.41.2g Isolation en panneaux - à base de silico-calcaire CCTB 01.02</w:t>
      </w:r>
      <w:bookmarkEnd w:id="393"/>
    </w:p>
    <w:p w14:paraId="48D55AD5" w14:textId="77777777" w:rsidR="004B2808" w:rsidRDefault="00000000">
      <w:pPr>
        <w:pStyle w:val="Author-eSectionHeading6Numberless"/>
      </w:pPr>
      <w:bookmarkStart w:id="394" w:name="_Toc220490570"/>
      <w:r>
        <w:t>52.41.2h Isolation en panneaux - barrière acoustique - matières minérales CCTB 01.12</w:t>
      </w:r>
      <w:bookmarkEnd w:id="394"/>
    </w:p>
    <w:p w14:paraId="3C0A72B9" w14:textId="77777777" w:rsidR="004B2808" w:rsidRDefault="00000000">
      <w:pPr>
        <w:pStyle w:val="pheading"/>
      </w:pPr>
      <w:r>
        <w:lastRenderedPageBreak/>
        <w:t>DESCRIPTION</w:t>
      </w:r>
    </w:p>
    <w:p w14:paraId="77DFF8C6" w14:textId="77777777" w:rsidR="004B2808" w:rsidRDefault="00000000">
      <w:pPr>
        <w:pStyle w:val="pheading"/>
      </w:pPr>
      <w:r>
        <w:t>- Définition / Comprend</w:t>
      </w:r>
    </w:p>
    <w:p w14:paraId="6657AE67" w14:textId="77777777" w:rsidR="004B2808" w:rsidRDefault="00000000">
      <w:pPr>
        <w:jc w:val="both"/>
      </w:pPr>
      <w:r>
        <w:t>Il s’agit de la fourniture et la pose de barrières acoustiques en panneaux de matières minérales.</w:t>
      </w:r>
    </w:p>
    <w:p w14:paraId="4CCA839A" w14:textId="77777777" w:rsidR="004B2808" w:rsidRDefault="00000000">
      <w:pPr>
        <w:jc w:val="both"/>
      </w:pPr>
      <w:r>
        <w:t>Le travail comprend notamment :</w:t>
      </w:r>
    </w:p>
    <w:p w14:paraId="10279127" w14:textId="77777777" w:rsidR="004B2808" w:rsidRDefault="00000000">
      <w:pPr>
        <w:pStyle w:val="Author-eListParagraph"/>
        <w:numPr>
          <w:ilvl w:val="0"/>
          <w:numId w:val="391"/>
        </w:numPr>
        <w:jc w:val="both"/>
      </w:pPr>
      <w:r>
        <w:t xml:space="preserve">L'étude acoustique est réalisée par un bureau d’étude spécialisé désigné par : </w:t>
      </w:r>
      <w:r>
        <w:rPr>
          <w:rStyle w:val="optioncarChar"/>
        </w:rPr>
        <w:t xml:space="preserve">le maître de l’ouvrage </w:t>
      </w:r>
      <w:r>
        <w:t>(par défaut)</w:t>
      </w:r>
      <w:r>
        <w:rPr>
          <w:rStyle w:val="optioncarChar"/>
        </w:rPr>
        <w:t xml:space="preserve"> / l’entreprise</w:t>
      </w:r>
    </w:p>
    <w:p w14:paraId="58F82F5A" w14:textId="77777777" w:rsidR="004B2808" w:rsidRDefault="00000000">
      <w:pPr>
        <w:pStyle w:val="Author-eListParagraph"/>
        <w:numPr>
          <w:ilvl w:val="0"/>
          <w:numId w:val="391"/>
        </w:numPr>
        <w:jc w:val="both"/>
      </w:pPr>
      <w:r>
        <w:t>La fourniture et pose des barrières acoustiques conformément aux rapports d’essai acoustique, y compris tous accessoires ;</w:t>
      </w:r>
    </w:p>
    <w:p w14:paraId="443D73A6" w14:textId="77777777" w:rsidR="004B2808" w:rsidRDefault="00000000">
      <w:pPr>
        <w:pStyle w:val="Author-eListParagraph"/>
        <w:numPr>
          <w:ilvl w:val="0"/>
          <w:numId w:val="391"/>
        </w:numPr>
        <w:jc w:val="both"/>
      </w:pPr>
      <w:r>
        <w:t xml:space="preserve">La fourniture et pose des barrières acoustiques avec fonction EI, conformément aux rapports d’essai : </w:t>
      </w:r>
      <w:r>
        <w:rPr>
          <w:rStyle w:val="optioncarChar"/>
        </w:rPr>
        <w:t>oui / non</w:t>
      </w:r>
      <w:r>
        <w:t> ;</w:t>
      </w:r>
    </w:p>
    <w:p w14:paraId="048A8CFD" w14:textId="77777777" w:rsidR="004B2808" w:rsidRDefault="00000000">
      <w:pPr>
        <w:pStyle w:val="Author-eListParagraph"/>
        <w:numPr>
          <w:ilvl w:val="0"/>
          <w:numId w:val="391"/>
        </w:numPr>
        <w:jc w:val="both"/>
      </w:pPr>
      <w:r>
        <w:t>Toutes les découpes nécessaires aux raccords aux matériaux adjacents ;</w:t>
      </w:r>
    </w:p>
    <w:p w14:paraId="524F65AE" w14:textId="77777777" w:rsidR="004B2808" w:rsidRDefault="00000000">
      <w:pPr>
        <w:pStyle w:val="Author-eListParagraph"/>
        <w:numPr>
          <w:ilvl w:val="0"/>
          <w:numId w:val="391"/>
        </w:numPr>
        <w:jc w:val="both"/>
      </w:pPr>
      <w:r>
        <w:t>Toutes les découpes et resserrages au droit des percements conformément au rapport d’essai ;</w:t>
      </w:r>
    </w:p>
    <w:p w14:paraId="4AFC9EA6" w14:textId="77777777" w:rsidR="004B2808" w:rsidRDefault="00000000">
      <w:pPr>
        <w:pStyle w:val="Author-eListParagraph"/>
        <w:numPr>
          <w:ilvl w:val="0"/>
          <w:numId w:val="391"/>
        </w:numPr>
        <w:jc w:val="both"/>
      </w:pPr>
      <w:r>
        <w:t>Dans les barrières EI, les panneaux spécifiques au droit des percements font partie du présent article.</w:t>
      </w:r>
    </w:p>
    <w:p w14:paraId="585F295C" w14:textId="77777777" w:rsidR="004B2808" w:rsidRDefault="00000000">
      <w:pPr>
        <w:pStyle w:val="pheading"/>
      </w:pPr>
      <w:r>
        <w:t>MATÉRIAUX</w:t>
      </w:r>
    </w:p>
    <w:p w14:paraId="55C28D35" w14:textId="77777777" w:rsidR="004B2808" w:rsidRDefault="00000000">
      <w:pPr>
        <w:pStyle w:val="pheading"/>
      </w:pPr>
      <w:r>
        <w:t>- Caractéristiques générales</w:t>
      </w:r>
    </w:p>
    <w:p w14:paraId="23AFFB7A" w14:textId="77777777" w:rsidR="004B2808" w:rsidRDefault="00000000">
      <w:pPr>
        <w:jc w:val="both"/>
      </w:pPr>
      <w:r>
        <w:t>Barrières acoustiques :</w:t>
      </w:r>
    </w:p>
    <w:p w14:paraId="314F4D44" w14:textId="77777777" w:rsidR="004B2808" w:rsidRDefault="00000000">
      <w:pPr>
        <w:pStyle w:val="Author-eListParagraph"/>
        <w:numPr>
          <w:ilvl w:val="0"/>
          <w:numId w:val="392"/>
        </w:numPr>
        <w:jc w:val="both"/>
      </w:pPr>
      <w:r>
        <w:t xml:space="preserve">Âme : </w:t>
      </w:r>
      <w:r>
        <w:rPr>
          <w:rStyle w:val="optioncarChar"/>
        </w:rPr>
        <w:t>laine de roche</w:t>
      </w:r>
      <w:r>
        <w:t xml:space="preserve"> (par défaut)</w:t>
      </w:r>
      <w:r>
        <w:rPr>
          <w:rStyle w:val="optioncarChar"/>
        </w:rPr>
        <w:t xml:space="preserve"> / laine de roche avec insert laine de verre ± 23 kg/m³ / ***</w:t>
      </w:r>
    </w:p>
    <w:p w14:paraId="4A53EA4A" w14:textId="77777777" w:rsidR="004B2808" w:rsidRDefault="00000000">
      <w:pPr>
        <w:pStyle w:val="Author-eListParagraph"/>
        <w:numPr>
          <w:ilvl w:val="0"/>
          <w:numId w:val="392"/>
        </w:numPr>
        <w:jc w:val="both"/>
      </w:pPr>
      <w:r>
        <w:t xml:space="preserve">Sur une face : </w:t>
      </w:r>
      <w:r>
        <w:rPr>
          <w:rStyle w:val="optioncarChar"/>
        </w:rPr>
        <w:t xml:space="preserve">un complexe d’aluminium </w:t>
      </w:r>
      <w:r>
        <w:t>(par défaut)</w:t>
      </w:r>
      <w:r>
        <w:rPr>
          <w:rStyle w:val="optioncarChar"/>
        </w:rPr>
        <w:t xml:space="preserve"> / une feuille d’aluminium renforcé / ***</w:t>
      </w:r>
    </w:p>
    <w:p w14:paraId="105008C1" w14:textId="77777777" w:rsidR="004B2808" w:rsidRDefault="00000000">
      <w:pPr>
        <w:pStyle w:val="Author-eListParagraph"/>
        <w:numPr>
          <w:ilvl w:val="0"/>
          <w:numId w:val="392"/>
        </w:numPr>
        <w:jc w:val="both"/>
      </w:pPr>
      <w:r>
        <w:t xml:space="preserve">Sur l’autre face : </w:t>
      </w:r>
      <w:r>
        <w:rPr>
          <w:rStyle w:val="optioncarChar"/>
        </w:rPr>
        <w:t xml:space="preserve">un voile de fibre de verre </w:t>
      </w:r>
      <w:r>
        <w:t>(par défaut)</w:t>
      </w:r>
      <w:r>
        <w:rPr>
          <w:rStyle w:val="optioncarChar"/>
        </w:rPr>
        <w:t xml:space="preserve"> / une feuille d’aluminium renforcé / ***  </w:t>
      </w:r>
    </w:p>
    <w:p w14:paraId="696C8EDB" w14:textId="77777777" w:rsidR="004B2808" w:rsidRDefault="00000000">
      <w:pPr>
        <w:pStyle w:val="Author-eListParagraph"/>
        <w:numPr>
          <w:ilvl w:val="0"/>
          <w:numId w:val="392"/>
        </w:numPr>
        <w:jc w:val="both"/>
      </w:pPr>
      <w:r>
        <w:t xml:space="preserve">Dimensions : </w:t>
      </w:r>
      <w:r>
        <w:rPr>
          <w:rStyle w:val="optioncarChar"/>
        </w:rPr>
        <w:t xml:space="preserve">1200 x 600 </w:t>
      </w:r>
      <w:r>
        <w:t>(par défaut)</w:t>
      </w:r>
      <w:r>
        <w:rPr>
          <w:rStyle w:val="optioncarChar"/>
        </w:rPr>
        <w:t xml:space="preserve"> / 1200 x 900 / 1000 x 1200</w:t>
      </w:r>
    </w:p>
    <w:p w14:paraId="04B150FD" w14:textId="77777777" w:rsidR="004B2808" w:rsidRDefault="00000000">
      <w:pPr>
        <w:pStyle w:val="Author-eListParagraph"/>
        <w:numPr>
          <w:ilvl w:val="0"/>
          <w:numId w:val="392"/>
        </w:numPr>
        <w:jc w:val="both"/>
      </w:pPr>
      <w:r>
        <w:t>Epaisseur :  </w:t>
      </w:r>
      <w:r>
        <w:rPr>
          <w:rStyle w:val="optioncarChar"/>
        </w:rPr>
        <w:t xml:space="preserve">60 </w:t>
      </w:r>
      <w:r>
        <w:t>(par défaut)</w:t>
      </w:r>
      <w:r>
        <w:rPr>
          <w:rStyle w:val="optioncarChar"/>
        </w:rPr>
        <w:t xml:space="preserve"> / 65 / ***</w:t>
      </w:r>
      <w:r>
        <w:t xml:space="preserve"> mm</w:t>
      </w:r>
    </w:p>
    <w:p w14:paraId="217C9CD4" w14:textId="77777777" w:rsidR="004B2808" w:rsidRDefault="00000000">
      <w:pPr>
        <w:pStyle w:val="Author-eListParagraph"/>
        <w:numPr>
          <w:ilvl w:val="0"/>
          <w:numId w:val="392"/>
        </w:numPr>
        <w:jc w:val="both"/>
      </w:pPr>
      <w:r>
        <w:t xml:space="preserve">Densité laine de roche : ± </w:t>
      </w:r>
      <w:r>
        <w:rPr>
          <w:rStyle w:val="optioncarChar"/>
        </w:rPr>
        <w:t xml:space="preserve">110 </w:t>
      </w:r>
      <w:r>
        <w:t>(par défaut)</w:t>
      </w:r>
      <w:r>
        <w:rPr>
          <w:rStyle w:val="optioncarChar"/>
        </w:rPr>
        <w:t xml:space="preserve"> / 140 / ***</w:t>
      </w:r>
      <w:r>
        <w:t xml:space="preserve"> kg/m³</w:t>
      </w:r>
    </w:p>
    <w:p w14:paraId="44993D38" w14:textId="77777777" w:rsidR="004B2808" w:rsidRDefault="00000000">
      <w:pPr>
        <w:pStyle w:val="Author-eListParagraph"/>
        <w:numPr>
          <w:ilvl w:val="0"/>
          <w:numId w:val="392"/>
        </w:numPr>
        <w:jc w:val="both"/>
      </w:pPr>
      <w:r>
        <w:t>Réaction au feu :</w:t>
      </w:r>
      <w:r>
        <w:rPr>
          <w:rStyle w:val="optioncarChar"/>
        </w:rPr>
        <w:t xml:space="preserve"> A1 / A2-s1,d0</w:t>
      </w:r>
    </w:p>
    <w:p w14:paraId="45CE5CC5" w14:textId="77777777" w:rsidR="004B2808" w:rsidRDefault="00000000">
      <w:pPr>
        <w:pStyle w:val="Author-eListParagraph"/>
        <w:numPr>
          <w:ilvl w:val="0"/>
          <w:numId w:val="392"/>
        </w:numPr>
        <w:jc w:val="both"/>
      </w:pPr>
      <w:r>
        <w:t xml:space="preserve">Résistance au feu suivant [NBN EN 13501-2] : </w:t>
      </w:r>
      <w:r>
        <w:rPr>
          <w:rStyle w:val="optioncarChar"/>
        </w:rPr>
        <w:t>EI30</w:t>
      </w:r>
      <w:r>
        <w:t xml:space="preserve"> (par défaut)</w:t>
      </w:r>
      <w:r>
        <w:rPr>
          <w:rStyle w:val="optioncarChar"/>
        </w:rPr>
        <w:t xml:space="preserve"> / EI60 / EI0</w:t>
      </w:r>
    </w:p>
    <w:p w14:paraId="18C9B9BA" w14:textId="77777777" w:rsidR="004B2808" w:rsidRDefault="00000000">
      <w:pPr>
        <w:pStyle w:val="Author-eListParagraph"/>
        <w:numPr>
          <w:ilvl w:val="0"/>
          <w:numId w:val="392"/>
        </w:numPr>
        <w:jc w:val="both"/>
      </w:pPr>
      <w:r>
        <w:t xml:space="preserve">Isolation acoustique directe Rw de l’ensemble suivant [NBN EN ISO 10140 série] : </w:t>
      </w:r>
      <w:r>
        <w:rPr>
          <w:rStyle w:val="optioncarChar"/>
        </w:rPr>
        <w:t xml:space="preserve">30 </w:t>
      </w:r>
      <w:r>
        <w:t>(par défaut</w:t>
      </w:r>
      <w:r>
        <w:rPr>
          <w:rStyle w:val="optioncarChar"/>
        </w:rPr>
        <w:t>) / 40 / 45 / 48 / ***</w:t>
      </w:r>
      <w:r>
        <w:t xml:space="preserve"> dB</w:t>
      </w:r>
    </w:p>
    <w:p w14:paraId="0DE6C4FA" w14:textId="77777777" w:rsidR="004B2808" w:rsidRDefault="00000000">
      <w:pPr>
        <w:pStyle w:val="pheading"/>
      </w:pPr>
      <w:r>
        <w:t>EXÉCUTION / MISE EN ŒUVRE</w:t>
      </w:r>
    </w:p>
    <w:p w14:paraId="691F6B55" w14:textId="77777777" w:rsidR="004B2808" w:rsidRDefault="00000000">
      <w:pPr>
        <w:pStyle w:val="pheading"/>
      </w:pPr>
      <w:r>
        <w:t>- Prescriptions générales</w:t>
      </w:r>
    </w:p>
    <w:p w14:paraId="756584C7" w14:textId="77777777" w:rsidR="004B2808" w:rsidRDefault="00000000">
      <w:pPr>
        <w:jc w:val="both"/>
      </w:pPr>
      <w:r>
        <w:rPr>
          <w:u w:val="single"/>
        </w:rPr>
        <w:t>En cas de mise en œuvre au-dessus d’un plafond avec fonction acoustique et EI0 :</w:t>
      </w:r>
    </w:p>
    <w:p w14:paraId="52A3AB85" w14:textId="77777777" w:rsidR="004B2808" w:rsidRDefault="00000000">
      <w:pPr>
        <w:pStyle w:val="Author-eListParagraph"/>
        <w:numPr>
          <w:ilvl w:val="0"/>
          <w:numId w:val="393"/>
        </w:numPr>
      </w:pPr>
      <w:r>
        <w:t xml:space="preserve">Les panneaux sont posés en : </w:t>
      </w:r>
      <w:r>
        <w:rPr>
          <w:rStyle w:val="optioncarChar"/>
        </w:rPr>
        <w:t>2 couches croisées à joints alternés</w:t>
      </w:r>
      <w:r>
        <w:t xml:space="preserve"> (par défaut)</w:t>
      </w:r>
      <w:r>
        <w:rPr>
          <w:rStyle w:val="optioncarChar"/>
        </w:rPr>
        <w:t xml:space="preserve"> / 1 couche</w:t>
      </w:r>
    </w:p>
    <w:p w14:paraId="6BF7F670" w14:textId="77777777" w:rsidR="004B2808" w:rsidRDefault="00000000">
      <w:pPr>
        <w:ind w:left="567"/>
        <w:jc w:val="both"/>
      </w:pPr>
      <w:r>
        <w:rPr>
          <w:b/>
        </w:rPr>
        <w:t>(soit par défaut)</w:t>
      </w:r>
    </w:p>
    <w:p w14:paraId="22B620D3" w14:textId="77777777" w:rsidR="004B2808" w:rsidRDefault="00000000">
      <w:pPr>
        <w:ind w:left="567"/>
        <w:jc w:val="both"/>
      </w:pPr>
      <w:r>
        <w:rPr>
          <w:rStyle w:val="soitChar"/>
          <w:u w:val="single"/>
        </w:rPr>
        <w:t>2 couches croisées à joints alternés :</w:t>
      </w:r>
    </w:p>
    <w:p w14:paraId="4015F520" w14:textId="77777777" w:rsidR="004B2808" w:rsidRDefault="00000000">
      <w:pPr>
        <w:pStyle w:val="Author-eListParagraph"/>
        <w:numPr>
          <w:ilvl w:val="0"/>
          <w:numId w:val="394"/>
        </w:numPr>
      </w:pPr>
      <w:r>
        <w:rPr>
          <w:rStyle w:val="soitChar"/>
        </w:rPr>
        <w:t>placées de part et d’autre des suspentes des profilés de plafond ;</w:t>
      </w:r>
    </w:p>
    <w:p w14:paraId="2569A87D" w14:textId="77777777" w:rsidR="004B2808" w:rsidRDefault="00000000">
      <w:pPr>
        <w:pStyle w:val="Author-eListParagraph"/>
        <w:numPr>
          <w:ilvl w:val="0"/>
          <w:numId w:val="394"/>
        </w:numPr>
      </w:pPr>
      <w:r>
        <w:rPr>
          <w:rStyle w:val="soitChar"/>
        </w:rPr>
        <w:t>face à revêtement aluminium vers l’extérieur.</w:t>
      </w:r>
    </w:p>
    <w:p w14:paraId="61719169" w14:textId="77777777" w:rsidR="004B2808" w:rsidRDefault="00000000">
      <w:pPr>
        <w:ind w:left="567"/>
        <w:jc w:val="both"/>
      </w:pPr>
      <w:r>
        <w:rPr>
          <w:b/>
        </w:rPr>
        <w:t>(soit)</w:t>
      </w:r>
    </w:p>
    <w:p w14:paraId="5CE4465B" w14:textId="77777777" w:rsidR="004B2808" w:rsidRDefault="00000000">
      <w:pPr>
        <w:ind w:left="567"/>
        <w:jc w:val="both"/>
      </w:pPr>
      <w:r>
        <w:rPr>
          <w:rStyle w:val="soitChar"/>
          <w:u w:val="single"/>
        </w:rPr>
        <w:t>1 couche :</w:t>
      </w:r>
    </w:p>
    <w:p w14:paraId="3C6BE966" w14:textId="77777777" w:rsidR="004B2808" w:rsidRDefault="00000000">
      <w:pPr>
        <w:pStyle w:val="Author-eListParagraph"/>
        <w:numPr>
          <w:ilvl w:val="0"/>
          <w:numId w:val="395"/>
        </w:numPr>
      </w:pPr>
      <w:r>
        <w:rPr>
          <w:rStyle w:val="soitChar"/>
        </w:rPr>
        <w:t>placée de façon parfaitement jointive ;</w:t>
      </w:r>
    </w:p>
    <w:p w14:paraId="12E5CDD1" w14:textId="77777777" w:rsidR="004B2808" w:rsidRDefault="00000000">
      <w:pPr>
        <w:pStyle w:val="Author-eListParagraph"/>
        <w:numPr>
          <w:ilvl w:val="0"/>
          <w:numId w:val="395"/>
        </w:numPr>
      </w:pPr>
      <w:r>
        <w:rPr>
          <w:rStyle w:val="soitChar"/>
        </w:rPr>
        <w:t>tous les interstices sont remplis au moyen de laine de calage faisant partie du système.</w:t>
      </w:r>
    </w:p>
    <w:p w14:paraId="151583A6" w14:textId="77777777" w:rsidR="004B2808" w:rsidRDefault="00000000">
      <w:pPr>
        <w:pStyle w:val="Author-eListParagraph"/>
        <w:numPr>
          <w:ilvl w:val="0"/>
          <w:numId w:val="396"/>
        </w:numPr>
      </w:pPr>
      <w:r>
        <w:t xml:space="preserve">Le ruban adhésif aluminium est placé sur : </w:t>
      </w:r>
      <w:r>
        <w:rPr>
          <w:rStyle w:val="optioncarChar"/>
        </w:rPr>
        <w:t xml:space="preserve">1 </w:t>
      </w:r>
      <w:r>
        <w:t>(par défaut)</w:t>
      </w:r>
      <w:r>
        <w:rPr>
          <w:rStyle w:val="optioncarChar"/>
        </w:rPr>
        <w:t xml:space="preserve"> / 2 face(s)</w:t>
      </w:r>
    </w:p>
    <w:p w14:paraId="75683E09" w14:textId="77777777" w:rsidR="004B2808" w:rsidRDefault="00000000">
      <w:pPr>
        <w:pStyle w:val="Author-eListParagraph"/>
        <w:numPr>
          <w:ilvl w:val="1"/>
          <w:numId w:val="397"/>
        </w:numPr>
        <w:jc w:val="both"/>
      </w:pPr>
      <w:r>
        <w:t>au droit des raccords entre panneaux</w:t>
      </w:r>
    </w:p>
    <w:p w14:paraId="3B20CB18" w14:textId="77777777" w:rsidR="004B2808" w:rsidRDefault="00000000">
      <w:pPr>
        <w:pStyle w:val="Author-eListParagraph"/>
        <w:numPr>
          <w:ilvl w:val="1"/>
          <w:numId w:val="397"/>
        </w:numPr>
        <w:jc w:val="both"/>
      </w:pPr>
      <w:r>
        <w:t>au droit des traversées et percements</w:t>
      </w:r>
    </w:p>
    <w:p w14:paraId="741C19E1" w14:textId="77777777" w:rsidR="004B2808" w:rsidRDefault="00000000">
      <w:pPr>
        <w:pStyle w:val="Author-eListParagraph"/>
        <w:numPr>
          <w:ilvl w:val="1"/>
          <w:numId w:val="397"/>
        </w:numPr>
        <w:jc w:val="both"/>
      </w:pPr>
      <w:r>
        <w:t>au raccord avec les matériaux adjacents</w:t>
      </w:r>
    </w:p>
    <w:p w14:paraId="7519B57C" w14:textId="77777777" w:rsidR="004B2808" w:rsidRDefault="00000000">
      <w:pPr>
        <w:pStyle w:val="Author-eListParagraph"/>
        <w:numPr>
          <w:ilvl w:val="0"/>
          <w:numId w:val="396"/>
        </w:numPr>
        <w:jc w:val="both"/>
      </w:pPr>
      <w:r>
        <w:t xml:space="preserve">Réalisation de traversées : </w:t>
      </w:r>
    </w:p>
    <w:p w14:paraId="765453D9" w14:textId="77777777" w:rsidR="004B2808" w:rsidRDefault="00000000">
      <w:pPr>
        <w:pStyle w:val="Author-eListParagraph"/>
        <w:numPr>
          <w:ilvl w:val="1"/>
          <w:numId w:val="398"/>
        </w:numPr>
        <w:jc w:val="both"/>
      </w:pPr>
      <w:r>
        <w:lastRenderedPageBreak/>
        <w:t>Espace entre canalisation/câble et panneau au droit de la traversée ≤ 1cm, à combler au moyen de laine de calage faisant partie du système.</w:t>
      </w:r>
    </w:p>
    <w:p w14:paraId="1C21AB23" w14:textId="77777777" w:rsidR="004B2808" w:rsidRDefault="00000000">
      <w:pPr>
        <w:pStyle w:val="Author-eListParagraph"/>
        <w:numPr>
          <w:ilvl w:val="1"/>
          <w:numId w:val="398"/>
        </w:numPr>
        <w:jc w:val="both"/>
      </w:pPr>
      <w:r>
        <w:t>Application de l’adhésif fourni par le fabricant de la barrière acoustique sur toutes les traversées.</w:t>
      </w:r>
    </w:p>
    <w:p w14:paraId="52AF2891" w14:textId="77777777" w:rsidR="004B2808" w:rsidRDefault="00000000">
      <w:pPr>
        <w:pStyle w:val="Author-eListParagraph"/>
        <w:numPr>
          <w:ilvl w:val="1"/>
          <w:numId w:val="398"/>
        </w:numPr>
        <w:jc w:val="both"/>
      </w:pPr>
      <w:r>
        <w:t>Conformité des traversées suivant [NIT 254].</w:t>
      </w:r>
    </w:p>
    <w:p w14:paraId="24B42E20" w14:textId="77777777" w:rsidR="004B2808" w:rsidRDefault="00000000">
      <w:pPr>
        <w:jc w:val="both"/>
      </w:pPr>
      <w:r>
        <w:rPr>
          <w:u w:val="single"/>
        </w:rPr>
        <w:t>En cas de mise en œuvre avec fonction acoustique et EI au-dessus d’une cloison :</w:t>
      </w:r>
    </w:p>
    <w:p w14:paraId="2F5A473C" w14:textId="77777777" w:rsidR="004B2808" w:rsidRDefault="00000000">
      <w:pPr>
        <w:pStyle w:val="Author-eListParagraph"/>
        <w:numPr>
          <w:ilvl w:val="0"/>
          <w:numId w:val="399"/>
        </w:numPr>
      </w:pPr>
      <w:r>
        <w:t xml:space="preserve">La mise en œuvre est conforme aux prescriptions de l’essai ou d’une analyse de résultats d’essai par un laboratoire agréé : </w:t>
      </w:r>
      <w:r>
        <w:rPr>
          <w:rStyle w:val="optioncarChar"/>
        </w:rPr>
        <w:t>EI30 / EI60</w:t>
      </w:r>
    </w:p>
    <w:p w14:paraId="356B98D2" w14:textId="77777777" w:rsidR="004B2808" w:rsidRDefault="00000000">
      <w:pPr>
        <w:pStyle w:val="Author-eListParagraph"/>
        <w:numPr>
          <w:ilvl w:val="0"/>
          <w:numId w:val="399"/>
        </w:numPr>
      </w:pPr>
      <w:r>
        <w:t xml:space="preserve">La cloison sous le panneau est réalisée </w:t>
      </w:r>
      <w:r>
        <w:rPr>
          <w:rStyle w:val="optioncarChar"/>
        </w:rPr>
        <w:t xml:space="preserve">en paroi légère </w:t>
      </w:r>
      <w:r>
        <w:t>(par défaut)</w:t>
      </w:r>
      <w:r>
        <w:rPr>
          <w:rStyle w:val="optioncarChar"/>
        </w:rPr>
        <w:t xml:space="preserve"> / en maçonnerie</w:t>
      </w:r>
    </w:p>
    <w:p w14:paraId="7BD289D3" w14:textId="77777777" w:rsidR="004B2808" w:rsidRDefault="00000000">
      <w:pPr>
        <w:ind w:left="567"/>
        <w:jc w:val="both"/>
      </w:pPr>
      <w:r>
        <w:rPr>
          <w:b/>
        </w:rPr>
        <w:t>(soit par défaut)</w:t>
      </w:r>
    </w:p>
    <w:p w14:paraId="56FE662D" w14:textId="77777777" w:rsidR="004B2808" w:rsidRDefault="00000000">
      <w:pPr>
        <w:ind w:left="567"/>
        <w:jc w:val="both"/>
      </w:pPr>
      <w:r>
        <w:rPr>
          <w:rStyle w:val="soitChar"/>
          <w:u w:val="single"/>
        </w:rPr>
        <w:t>En paroi légère :</w:t>
      </w:r>
    </w:p>
    <w:p w14:paraId="78A2B65E" w14:textId="77777777" w:rsidR="004B2808" w:rsidRDefault="00000000">
      <w:pPr>
        <w:pStyle w:val="Author-eListParagraph"/>
        <w:numPr>
          <w:ilvl w:val="0"/>
          <w:numId w:val="400"/>
        </w:numPr>
      </w:pPr>
      <w:r>
        <w:rPr>
          <w:rStyle w:val="soitChar"/>
        </w:rPr>
        <w:t xml:space="preserve">Suivant </w:t>
      </w:r>
      <w:hyperlink w:anchor="1132" w:history="1">
        <w:r w:rsidR="004B2808">
          <w:rPr>
            <w:rStyle w:val="soitChar"/>
            <w:color w:val="0000EE"/>
          </w:rPr>
          <w:t>51.1 Cloisons fixes légères de séparation (Rem.: le type d'ossature est explicité à l'article)</w:t>
        </w:r>
      </w:hyperlink>
    </w:p>
    <w:p w14:paraId="153B352E" w14:textId="77777777" w:rsidR="004B2808" w:rsidRDefault="00000000">
      <w:pPr>
        <w:pStyle w:val="Author-eListParagraph"/>
        <w:numPr>
          <w:ilvl w:val="0"/>
          <w:numId w:val="400"/>
        </w:numPr>
      </w:pPr>
      <w:r>
        <w:rPr>
          <w:rStyle w:val="soitChar"/>
        </w:rPr>
        <w:t>Paroi EI 60 réalisée conformément au rapport d’essai</w:t>
      </w:r>
    </w:p>
    <w:p w14:paraId="1B73D119" w14:textId="77777777" w:rsidR="004B2808" w:rsidRDefault="00000000">
      <w:pPr>
        <w:ind w:left="567"/>
        <w:jc w:val="both"/>
      </w:pPr>
      <w:r>
        <w:rPr>
          <w:b/>
        </w:rPr>
        <w:t>(soit)</w:t>
      </w:r>
    </w:p>
    <w:p w14:paraId="45296614" w14:textId="77777777" w:rsidR="004B2808" w:rsidRDefault="00000000">
      <w:pPr>
        <w:ind w:left="567"/>
        <w:jc w:val="both"/>
      </w:pPr>
      <w:r>
        <w:rPr>
          <w:rStyle w:val="soitChar"/>
          <w:u w:val="single"/>
        </w:rPr>
        <w:t>En maçonnerie :</w:t>
      </w:r>
    </w:p>
    <w:p w14:paraId="603DD75E" w14:textId="77777777" w:rsidR="004B2808" w:rsidRDefault="00000000">
      <w:pPr>
        <w:pStyle w:val="Author-eListParagraph"/>
        <w:numPr>
          <w:ilvl w:val="0"/>
          <w:numId w:val="401"/>
        </w:numPr>
      </w:pPr>
      <w:r>
        <w:rPr>
          <w:rStyle w:val="soitChar"/>
        </w:rPr>
        <w:t>Suivant 21.2 Maçonneries non portantes</w:t>
      </w:r>
    </w:p>
    <w:p w14:paraId="3F7C23A4" w14:textId="77777777" w:rsidR="004B2808" w:rsidRDefault="00000000">
      <w:pPr>
        <w:pStyle w:val="Author-eListParagraph"/>
        <w:numPr>
          <w:ilvl w:val="0"/>
          <w:numId w:val="401"/>
        </w:numPr>
      </w:pPr>
      <w:r>
        <w:rPr>
          <w:rStyle w:val="soitChar"/>
        </w:rPr>
        <w:t>Paroi en maçonnerie de minimum 100mm d’épaisseur</w:t>
      </w:r>
    </w:p>
    <w:p w14:paraId="18701309" w14:textId="77777777" w:rsidR="004B2808" w:rsidRDefault="00000000">
      <w:pPr>
        <w:pStyle w:val="Author-eListParagraph"/>
        <w:numPr>
          <w:ilvl w:val="0"/>
          <w:numId w:val="401"/>
        </w:numPr>
      </w:pPr>
      <w:r>
        <w:rPr>
          <w:rStyle w:val="soitChar"/>
        </w:rPr>
        <w:t>Profilés porteurs de la barrière acoustique fixés tous les 400 mm dans le côté supérieur du mur</w:t>
      </w:r>
    </w:p>
    <w:p w14:paraId="1E970C8D" w14:textId="77777777" w:rsidR="004B2808" w:rsidRDefault="00000000">
      <w:pPr>
        <w:pStyle w:val="Author-eListParagraph"/>
        <w:numPr>
          <w:ilvl w:val="0"/>
          <w:numId w:val="402"/>
        </w:numPr>
        <w:jc w:val="both"/>
      </w:pPr>
      <w:r>
        <w:t xml:space="preserve">La hauteur de la barrière acoustique est ≤ : </w:t>
      </w:r>
      <w:r>
        <w:rPr>
          <w:rStyle w:val="optioncarChar"/>
        </w:rPr>
        <w:t xml:space="preserve">650 </w:t>
      </w:r>
      <w:r>
        <w:t>(par défaut)</w:t>
      </w:r>
      <w:r>
        <w:rPr>
          <w:rStyle w:val="optioncarChar"/>
        </w:rPr>
        <w:t xml:space="preserve"> / 900 / ***</w:t>
      </w:r>
      <w:r>
        <w:t xml:space="preserve"> mm</w:t>
      </w:r>
    </w:p>
    <w:p w14:paraId="23C92D41" w14:textId="77777777" w:rsidR="004B2808" w:rsidRDefault="00000000">
      <w:pPr>
        <w:pStyle w:val="Author-eListParagraph"/>
        <w:numPr>
          <w:ilvl w:val="0"/>
          <w:numId w:val="402"/>
        </w:numPr>
        <w:jc w:val="both"/>
      </w:pPr>
      <w:r>
        <w:t xml:space="preserve">En complément aux prescriptions de mise en œuvre pour la barrière acoustique EI0 : </w:t>
      </w:r>
    </w:p>
    <w:p w14:paraId="77D9DAA5" w14:textId="77777777" w:rsidR="004B2808" w:rsidRDefault="00000000">
      <w:pPr>
        <w:pStyle w:val="Author-eListParagraph"/>
        <w:numPr>
          <w:ilvl w:val="1"/>
          <w:numId w:val="403"/>
        </w:numPr>
        <w:jc w:val="both"/>
      </w:pPr>
      <w:r>
        <w:t xml:space="preserve">Fixation de </w:t>
      </w:r>
      <w:r>
        <w:rPr>
          <w:rStyle w:val="optioncarChar"/>
        </w:rPr>
        <w:t xml:space="preserve">1 </w:t>
      </w:r>
      <w:r>
        <w:t xml:space="preserve">(par défaut) </w:t>
      </w:r>
      <w:r>
        <w:rPr>
          <w:rStyle w:val="optioncarChar"/>
        </w:rPr>
        <w:t>/ 2</w:t>
      </w:r>
      <w:r>
        <w:t xml:space="preserve"> plaque(s) de plâtre dans le profilé de plafond : </w:t>
      </w:r>
      <w:r>
        <w:rPr>
          <w:rStyle w:val="optioncarChar"/>
        </w:rPr>
        <w:t xml:space="preserve">oui </w:t>
      </w:r>
      <w:r>
        <w:t>(par défaut)</w:t>
      </w:r>
      <w:r>
        <w:rPr>
          <w:rStyle w:val="optioncarChar"/>
        </w:rPr>
        <w:t xml:space="preserve"> / non</w:t>
      </w:r>
    </w:p>
    <w:p w14:paraId="7BA5E971" w14:textId="77777777" w:rsidR="004B2808" w:rsidRDefault="00000000">
      <w:pPr>
        <w:pStyle w:val="Author-eListParagraph"/>
        <w:numPr>
          <w:ilvl w:val="1"/>
          <w:numId w:val="403"/>
        </w:numPr>
        <w:jc w:val="both"/>
      </w:pPr>
      <w:r>
        <w:t xml:space="preserve">Fixation de la lisse de faux-plafond tous les 1200 mm dans la dalle de plafond et aux extrémités dans les parois latérales : </w:t>
      </w:r>
      <w:r>
        <w:rPr>
          <w:rStyle w:val="optioncarChar"/>
        </w:rPr>
        <w:t>oui</w:t>
      </w:r>
      <w:r>
        <w:t xml:space="preserve"> (par défaut) </w:t>
      </w:r>
      <w:r>
        <w:rPr>
          <w:rStyle w:val="optioncarChar"/>
        </w:rPr>
        <w:t>/ non</w:t>
      </w:r>
    </w:p>
    <w:p w14:paraId="26F99DD9" w14:textId="77777777" w:rsidR="004B2808" w:rsidRDefault="00000000">
      <w:pPr>
        <w:pStyle w:val="Author-eListParagraph"/>
        <w:numPr>
          <w:ilvl w:val="1"/>
          <w:numId w:val="403"/>
        </w:numPr>
        <w:jc w:val="both"/>
      </w:pPr>
      <w:r>
        <w:t>Au raccord de la barrière EI avec tout autre élément : mise en place du joint ignifuge faisant partie du système.</w:t>
      </w:r>
    </w:p>
    <w:p w14:paraId="512942CE" w14:textId="77777777" w:rsidR="004B2808" w:rsidRDefault="00000000">
      <w:pPr>
        <w:pStyle w:val="Author-eListParagraph"/>
        <w:numPr>
          <w:ilvl w:val="1"/>
          <w:numId w:val="403"/>
        </w:numPr>
        <w:jc w:val="both"/>
      </w:pPr>
      <w:r>
        <w:t>Application d’une bande aluminium autocollante sur chaque joint entre 2 panneaux, sur les 2 faces</w:t>
      </w:r>
    </w:p>
    <w:p w14:paraId="36F4C2C9" w14:textId="77777777" w:rsidR="004B2808" w:rsidRDefault="00000000">
      <w:pPr>
        <w:pStyle w:val="Author-eListParagraph"/>
        <w:numPr>
          <w:ilvl w:val="1"/>
          <w:numId w:val="403"/>
        </w:numPr>
        <w:jc w:val="both"/>
      </w:pPr>
      <w:r>
        <w:t>Les raccords périphériques (latéraux et haut) sont réalisés au moyen de profilés de rive L fixés au moyen de vis en acier et terminés au moyen d’une bande aluminium autocollante.</w:t>
      </w:r>
    </w:p>
    <w:p w14:paraId="66E16CB6" w14:textId="77777777" w:rsidR="004B2808" w:rsidRDefault="00000000">
      <w:pPr>
        <w:pStyle w:val="Author-eListParagraph"/>
        <w:numPr>
          <w:ilvl w:val="1"/>
          <w:numId w:val="403"/>
        </w:numPr>
        <w:jc w:val="both"/>
      </w:pPr>
      <w:r>
        <w:t>Réalisation de traversées : les traversées ne sont pas autorisées dans les barrières acoustiques à fonction EI. Au droit des passages de techniques de tous types, les panneaux sont remplacés par un panneau de resserrage testé pour la finition EI des traversées.</w:t>
      </w:r>
    </w:p>
    <w:p w14:paraId="71147E32" w14:textId="77777777" w:rsidR="004B2808" w:rsidRDefault="00000000">
      <w:pPr>
        <w:pStyle w:val="pheading"/>
      </w:pPr>
      <w:r>
        <w:t>DOCUMENTS DE RÉFÉRENCE COMPLÉMENTAIRES</w:t>
      </w:r>
    </w:p>
    <w:p w14:paraId="3A3A3C93" w14:textId="77777777" w:rsidR="004B2808" w:rsidRDefault="00000000">
      <w:pPr>
        <w:pStyle w:val="pheading"/>
      </w:pPr>
      <w:r>
        <w:t>- Matériau</w:t>
      </w:r>
    </w:p>
    <w:p w14:paraId="6732A958" w14:textId="77777777" w:rsidR="004B2808" w:rsidRDefault="00000000">
      <w:r>
        <w:t>[AR 1994-07-07, Arrêté royal fixant les normes de base en matière de prévention contre l'incendie et l'explosion, auxquelles les bâtiments nouveaux doivent satisfaire]</w:t>
      </w:r>
    </w:p>
    <w:p w14:paraId="1D977BEC" w14:textId="77777777" w:rsidR="004B280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5779D63D" w14:textId="77777777" w:rsidR="004B2808" w:rsidRDefault="00000000">
      <w:r>
        <w:t>[NBN EN ISO 10140 série, Acoustique - Mesurage en laboratoire de l'isolation acoustique des éléments de construction]</w:t>
      </w:r>
    </w:p>
    <w:p w14:paraId="781CC344" w14:textId="77777777" w:rsidR="004B2808" w:rsidRDefault="00000000">
      <w:pPr>
        <w:pStyle w:val="pheading"/>
      </w:pPr>
      <w:r>
        <w:t>- Exécution</w:t>
      </w:r>
    </w:p>
    <w:p w14:paraId="027BF122" w14:textId="77777777" w:rsidR="004B2808" w:rsidRDefault="00000000">
      <w:r>
        <w:lastRenderedPageBreak/>
        <w:t>Pour les traversées : [NIT 254, Obturation résistant au feu des traversées de parois résistant au feu. Prescriptions et mise en œuvre (remplace la série Pathologies n° 39)]</w:t>
      </w:r>
    </w:p>
    <w:p w14:paraId="67DE4857" w14:textId="77777777" w:rsidR="004B2808" w:rsidRDefault="00000000">
      <w:pPr>
        <w:pStyle w:val="pheading"/>
      </w:pPr>
      <w:r>
        <w:t>MESURAGE</w:t>
      </w:r>
    </w:p>
    <w:p w14:paraId="558A2B24" w14:textId="77777777" w:rsidR="004B2808" w:rsidRDefault="00000000">
      <w:pPr>
        <w:pStyle w:val="pheading"/>
      </w:pPr>
      <w:r>
        <w:t>- unité de mesure:</w:t>
      </w:r>
    </w:p>
    <w:p w14:paraId="30A5E663" w14:textId="77777777" w:rsidR="004B2808" w:rsidRDefault="00000000">
      <w:r>
        <w:t>m²</w:t>
      </w:r>
    </w:p>
    <w:p w14:paraId="6784236D" w14:textId="77777777" w:rsidR="004B2808" w:rsidRDefault="00000000">
      <w:pPr>
        <w:pStyle w:val="pheading"/>
      </w:pPr>
      <w:r>
        <w:t>- code de mesurage:</w:t>
      </w:r>
    </w:p>
    <w:p w14:paraId="53500708" w14:textId="77777777" w:rsidR="004B2808" w:rsidRDefault="00000000">
      <w:pPr>
        <w:jc w:val="both"/>
      </w:pPr>
      <w:r>
        <w:t>Surface nette. Les ouvertures ˃ 0,50 m² sont déduites. Distinction faite suivant les caractéristiques : épaisseur, acoustique, EI.</w:t>
      </w:r>
    </w:p>
    <w:p w14:paraId="402A901A" w14:textId="77777777" w:rsidR="004B2808" w:rsidRDefault="00000000">
      <w:pPr>
        <w:pStyle w:val="pheading"/>
      </w:pPr>
      <w:r>
        <w:t>- nature du marché:</w:t>
      </w:r>
    </w:p>
    <w:p w14:paraId="3BE71940" w14:textId="77777777" w:rsidR="004B2808" w:rsidRDefault="00000000">
      <w:r>
        <w:t>QF</w:t>
      </w:r>
    </w:p>
    <w:p w14:paraId="2BC083FE" w14:textId="77777777" w:rsidR="004B2808" w:rsidRDefault="00000000">
      <w:pPr>
        <w:pStyle w:val="pheading"/>
      </w:pPr>
      <w:r>
        <w:t>AIDE</w:t>
      </w:r>
    </w:p>
    <w:p w14:paraId="139475A7" w14:textId="77777777" w:rsidR="004B2808" w:rsidRDefault="00000000">
      <w:pPr>
        <w:jc w:val="both"/>
      </w:pPr>
      <w:r>
        <w:t>[AR 1994-07-07, Arrêté royal fixant les normes de base en matière de prévention contre l'incendie et l'explosion, auxquelles les bâtiments nouveaux doivent satisfaire], mise à jour de 2022, 3.4.2 : la pose de barrières EI au-dessus de plafonds avec cloisons EI amovibles n’est autorisée que sous condition de disposer d’un rapport d’essai de l’ensemble du système : cloison + plafond + barrière EI.</w:t>
      </w:r>
    </w:p>
    <w:p w14:paraId="41723AFE" w14:textId="77777777" w:rsidR="004B2808" w:rsidRDefault="00000000">
      <w:pPr>
        <w:jc w:val="both"/>
      </w:pPr>
      <w:r>
        <w:t>[AR 1994-07-07, Arrêté royal fixant les normes de base en matière de prévention contre l'incendie et l'explosion, auxquelles les bâtiments nouveaux doivent satisfaire] 3.4.2 : l’espace entre plafond et faux-plafond non équipé d’une installation d’extinction automatique est obligatoirement divisé en volumes dont la surface en plan s’inscrit dans un carré ne dépassant pas 25 m de côté.</w:t>
      </w:r>
    </w:p>
    <w:p w14:paraId="564E0C5F" w14:textId="77777777" w:rsidR="004B2808" w:rsidRDefault="00000000">
      <w:pPr>
        <w:pStyle w:val="Author-eSectionHeading5Numberless"/>
      </w:pPr>
      <w:bookmarkStart w:id="395" w:name="_Toc220490571"/>
      <w:r>
        <w:t>52.41.3 Isolation en panneaux - matières végétales CCTB 01.07</w:t>
      </w:r>
      <w:bookmarkEnd w:id="395"/>
    </w:p>
    <w:p w14:paraId="0B3D7A26" w14:textId="77777777" w:rsidR="004B2808" w:rsidRDefault="00000000">
      <w:pPr>
        <w:pStyle w:val="pheading"/>
      </w:pPr>
      <w:r>
        <w:t>DESCRIPTION</w:t>
      </w:r>
    </w:p>
    <w:p w14:paraId="5083AAEB" w14:textId="77777777" w:rsidR="004B2808" w:rsidRDefault="00000000">
      <w:pPr>
        <w:pStyle w:val="pheading"/>
      </w:pPr>
      <w:r>
        <w:t>- Définition / Comprend</w:t>
      </w:r>
    </w:p>
    <w:p w14:paraId="6640CC2A" w14:textId="77777777" w:rsidR="004B2808" w:rsidRDefault="00000000">
      <w:r>
        <w:t xml:space="preserve">Ce poste concerne l’isolation thermique des parois et éléments de construction décrits au chap. </w:t>
      </w:r>
      <w:hyperlink w:anchor="73" w:history="1">
        <w:r w:rsidR="004B2808">
          <w:rPr>
            <w:color w:val="0000EE"/>
          </w:rPr>
          <w:t>52.4 Isolation</w:t>
        </w:r>
      </w:hyperlink>
      <w:r>
        <w:t>, suivant les prescriptions de l'élément 32.41.3 Isolation en panneaux - matières végétales.</w:t>
      </w:r>
    </w:p>
    <w:p w14:paraId="5EE55C72" w14:textId="77777777" w:rsidR="004B2808" w:rsidRDefault="00000000">
      <w:pPr>
        <w:pStyle w:val="pheading"/>
      </w:pPr>
      <w:r>
        <w:t>DOCUMENTS DE RÉFÉRENCE</w:t>
      </w:r>
    </w:p>
    <w:p w14:paraId="20185E8D" w14:textId="77777777" w:rsidR="004B2808" w:rsidRDefault="00000000">
      <w:pPr>
        <w:pStyle w:val="pheading"/>
      </w:pPr>
      <w:r>
        <w:t>- Matériau</w:t>
      </w:r>
    </w:p>
    <w:p w14:paraId="61F01898" w14:textId="77777777" w:rsidR="004B2808" w:rsidRDefault="00000000">
      <w:r>
        <w:t>32.41.3 Isolation en panneaux - matières végétales</w:t>
      </w:r>
    </w:p>
    <w:p w14:paraId="52EC6319" w14:textId="77777777" w:rsidR="004B2808" w:rsidRDefault="00000000">
      <w:pPr>
        <w:pStyle w:val="pheading"/>
      </w:pPr>
      <w:r>
        <w:t>- Exécution</w:t>
      </w:r>
    </w:p>
    <w:p w14:paraId="51A294CA" w14:textId="77777777" w:rsidR="004B2808" w:rsidRDefault="00000000">
      <w:r>
        <w:t>32.41.3 Isolation en panneaux - matières végétales</w:t>
      </w:r>
    </w:p>
    <w:p w14:paraId="6532FA00" w14:textId="77777777" w:rsidR="004B2808" w:rsidRDefault="00000000">
      <w:pPr>
        <w:pStyle w:val="Author-eSectionHeading6Numberless"/>
      </w:pPr>
      <w:bookmarkStart w:id="396" w:name="_Toc220490572"/>
      <w:r>
        <w:t>52.41.3a Isolation en panneaux - liège expansé (ICB) CCTB 01.07</w:t>
      </w:r>
      <w:bookmarkEnd w:id="396"/>
    </w:p>
    <w:p w14:paraId="6FADAC10" w14:textId="77777777" w:rsidR="004B2808" w:rsidRDefault="00000000">
      <w:pPr>
        <w:pStyle w:val="pheading"/>
      </w:pPr>
      <w:r>
        <w:t>DESCRIPTION</w:t>
      </w:r>
    </w:p>
    <w:p w14:paraId="74AEC863" w14:textId="77777777" w:rsidR="004B2808" w:rsidRDefault="00000000">
      <w:pPr>
        <w:pStyle w:val="pheading"/>
      </w:pPr>
      <w:r>
        <w:t>- Définition / Comprend</w:t>
      </w:r>
    </w:p>
    <w:p w14:paraId="704A716D" w14:textId="77777777" w:rsidR="004B2808" w:rsidRDefault="00000000">
      <w:r>
        <w:t>Il s'agit de la réalisation d'une isolation suivant les prescriptions de l'article 32.41.3a Isolation en panneaux - liège expansé (ICB).</w:t>
      </w:r>
    </w:p>
    <w:p w14:paraId="72EE5F5A" w14:textId="77777777" w:rsidR="004B2808" w:rsidRDefault="00000000">
      <w:pPr>
        <w:pStyle w:val="pheading"/>
      </w:pPr>
      <w:r>
        <w:t>MATÉRIAUX</w:t>
      </w:r>
    </w:p>
    <w:p w14:paraId="3DCCEA2B" w14:textId="77777777" w:rsidR="004B2808" w:rsidRDefault="00000000">
      <w:pPr>
        <w:pStyle w:val="pheading"/>
      </w:pPr>
      <w:r>
        <w:t>- Caractéristiques générales</w:t>
      </w:r>
    </w:p>
    <w:p w14:paraId="794051CE" w14:textId="77777777" w:rsidR="004B2808" w:rsidRDefault="00000000">
      <w:r>
        <w:t>Les caractéristiques générales sont conformes à celles décrites dans l’article 32.41.3a Isolation en panneaux - liège expansé (ICB)</w:t>
      </w:r>
    </w:p>
    <w:p w14:paraId="338F320A" w14:textId="77777777" w:rsidR="004B2808" w:rsidRDefault="00000000">
      <w:pPr>
        <w:pStyle w:val="pheading"/>
      </w:pPr>
      <w:r>
        <w:t>- Finitions</w:t>
      </w:r>
    </w:p>
    <w:p w14:paraId="177F7A2F" w14:textId="77777777" w:rsidR="004B2808" w:rsidRDefault="00000000">
      <w:r>
        <w:t>Finitions telles que décrites au 32.41.3a Isolation en panneaux - liège expansé (ICB)</w:t>
      </w:r>
    </w:p>
    <w:p w14:paraId="107F1AAB" w14:textId="77777777" w:rsidR="004B2808" w:rsidRDefault="00000000">
      <w:pPr>
        <w:pStyle w:val="pheading"/>
      </w:pPr>
      <w:r>
        <w:lastRenderedPageBreak/>
        <w:t>- Prescriptions complémentaires</w:t>
      </w:r>
    </w:p>
    <w:p w14:paraId="772ED16F" w14:textId="77777777" w:rsidR="004B2808" w:rsidRDefault="00000000">
      <w:r>
        <w:t>Options telles que proposées au 32.41.3a Isolation en panneaux - liège expansé (ICB)</w:t>
      </w:r>
    </w:p>
    <w:p w14:paraId="5A257BD2" w14:textId="77777777" w:rsidR="004B2808" w:rsidRDefault="00000000">
      <w:pPr>
        <w:pStyle w:val="pheading"/>
      </w:pPr>
      <w:r>
        <w:t>DOCUMENTS DE RÉFÉRENCE COMPLÉMENTAIRES</w:t>
      </w:r>
    </w:p>
    <w:p w14:paraId="6B0C01BA" w14:textId="77777777" w:rsidR="004B2808" w:rsidRDefault="00000000">
      <w:pPr>
        <w:pStyle w:val="pheading"/>
      </w:pPr>
      <w:r>
        <w:t>- Matériau</w:t>
      </w:r>
    </w:p>
    <w:p w14:paraId="46AB1FA0" w14:textId="77777777" w:rsidR="004B2808" w:rsidRDefault="00000000">
      <w:r>
        <w:t>32.41.3a Isolation en panneaux - liège expansé (ICB)</w:t>
      </w:r>
    </w:p>
    <w:p w14:paraId="2DE91C10" w14:textId="77777777" w:rsidR="004B2808" w:rsidRDefault="00000000">
      <w:pPr>
        <w:pStyle w:val="pheading"/>
      </w:pPr>
      <w:r>
        <w:t>- Exécution</w:t>
      </w:r>
    </w:p>
    <w:p w14:paraId="62E64A9B" w14:textId="77777777" w:rsidR="004B2808" w:rsidRDefault="00000000">
      <w:r>
        <w:t>32.41.3a Isolation en panneaux - liège expansé (ICB)</w:t>
      </w:r>
    </w:p>
    <w:p w14:paraId="37C91060" w14:textId="77777777" w:rsidR="004B2808" w:rsidRDefault="00000000">
      <w:pPr>
        <w:pStyle w:val="pheading"/>
      </w:pPr>
      <w:r>
        <w:t>MESURAGE</w:t>
      </w:r>
    </w:p>
    <w:p w14:paraId="3785F437" w14:textId="77777777" w:rsidR="004B2808" w:rsidRDefault="00000000">
      <w:pPr>
        <w:pStyle w:val="pheading"/>
      </w:pPr>
      <w:r>
        <w:t>- unité de mesure:</w:t>
      </w:r>
    </w:p>
    <w:p w14:paraId="28F6A472" w14:textId="77777777" w:rsidR="004B2808" w:rsidRDefault="00000000">
      <w:r>
        <w:t>m²</w:t>
      </w:r>
    </w:p>
    <w:p w14:paraId="190F6150" w14:textId="77777777" w:rsidR="004B2808" w:rsidRDefault="00000000">
      <w:pPr>
        <w:pStyle w:val="pheading"/>
      </w:pPr>
      <w:r>
        <w:t>- code de mesurage:</w:t>
      </w:r>
    </w:p>
    <w:p w14:paraId="7E1500DE" w14:textId="77777777" w:rsidR="004B2808" w:rsidRDefault="00000000">
      <w:r>
        <w:t>Distinction faite suivant l'épaisseur.</w:t>
      </w:r>
    </w:p>
    <w:p w14:paraId="06CF3771" w14:textId="77777777" w:rsidR="004B2808" w:rsidRDefault="00000000">
      <w:pPr>
        <w:pStyle w:val="Author-eListParagraph"/>
        <w:numPr>
          <w:ilvl w:val="0"/>
          <w:numId w:val="404"/>
        </w:numPr>
      </w:pPr>
      <w:r>
        <w:t>Isolation des parois verticales : Surface nette. Les ouvertures supérieures à 0,50 m² sont déduites</w:t>
      </w:r>
    </w:p>
    <w:p w14:paraId="568EA804" w14:textId="77777777" w:rsidR="004B2808" w:rsidRDefault="00000000">
      <w:pPr>
        <w:pStyle w:val="Author-eListParagraph"/>
        <w:numPr>
          <w:ilvl w:val="0"/>
          <w:numId w:val="404"/>
        </w:numPr>
      </w:pPr>
      <w:r>
        <w:t>Isolation des parois horizontales : Surface nette du sol, mesurée entre le nu des murs. Les ouvertures supérieures à 0,5 m² sont déduites. L'isolation périphérique ne doit pas être portée en compte séparément</w:t>
      </w:r>
    </w:p>
    <w:p w14:paraId="39D0839C" w14:textId="77777777" w:rsidR="004B2808" w:rsidRDefault="00000000">
      <w:pPr>
        <w:pStyle w:val="pheading"/>
      </w:pPr>
      <w:r>
        <w:t>- nature du marché:</w:t>
      </w:r>
    </w:p>
    <w:p w14:paraId="0F55CF91" w14:textId="77777777" w:rsidR="004B2808" w:rsidRDefault="00000000">
      <w:r>
        <w:t>QF</w:t>
      </w:r>
    </w:p>
    <w:p w14:paraId="6A08A39F" w14:textId="77777777" w:rsidR="004B2808" w:rsidRDefault="00000000">
      <w:pPr>
        <w:pStyle w:val="Author-eSectionHeading6Numberless"/>
      </w:pPr>
      <w:bookmarkStart w:id="397" w:name="_Toc220490573"/>
      <w:r>
        <w:t>52.41.3b Isolation en panneaux - laine de bois (WW) CCTB 01.12</w:t>
      </w:r>
      <w:bookmarkEnd w:id="397"/>
    </w:p>
    <w:p w14:paraId="687A0292" w14:textId="77777777" w:rsidR="004B2808" w:rsidRDefault="00000000">
      <w:pPr>
        <w:pStyle w:val="pheading"/>
      </w:pPr>
      <w:r>
        <w:t>MATÉRIAUX</w:t>
      </w:r>
    </w:p>
    <w:p w14:paraId="2BC185E3" w14:textId="77777777" w:rsidR="004B2808" w:rsidRDefault="00000000">
      <w:pPr>
        <w:pStyle w:val="pheading"/>
      </w:pPr>
      <w:r>
        <w:t>- Caractéristiques générales</w:t>
      </w:r>
    </w:p>
    <w:p w14:paraId="3A3A300E" w14:textId="77777777" w:rsidR="004B2808" w:rsidRDefault="00000000">
      <w:r>
        <w:t>Voir 32.41.3b Isolation en panneaux - laine de bois (WW)</w:t>
      </w:r>
    </w:p>
    <w:p w14:paraId="655253B6" w14:textId="77777777" w:rsidR="004B2808" w:rsidRDefault="00000000">
      <w:pPr>
        <w:pStyle w:val="pheading"/>
      </w:pPr>
      <w:r>
        <w:t>EXÉCUTION / MISE EN ŒUVRE</w:t>
      </w:r>
    </w:p>
    <w:p w14:paraId="22626A06" w14:textId="77777777" w:rsidR="004B2808" w:rsidRDefault="00000000">
      <w:pPr>
        <w:pStyle w:val="pheading"/>
      </w:pPr>
      <w:r>
        <w:t>- Prescriptions générales</w:t>
      </w:r>
    </w:p>
    <w:p w14:paraId="348A3A27" w14:textId="77777777" w:rsidR="004B2808" w:rsidRDefault="00000000">
      <w:r>
        <w:t>Voir 32.41.3b Isolation en panneaux - laine de bois (WW)</w:t>
      </w:r>
    </w:p>
    <w:p w14:paraId="35E5B912" w14:textId="77777777" w:rsidR="004B2808" w:rsidRDefault="00000000">
      <w:pPr>
        <w:pStyle w:val="pheading"/>
      </w:pPr>
      <w:r>
        <w:t>DOCUMENTS DE RÉFÉRENCE COMPLÉMENTAIRES</w:t>
      </w:r>
    </w:p>
    <w:p w14:paraId="48F9A548" w14:textId="77777777" w:rsidR="004B2808" w:rsidRDefault="00000000">
      <w:pPr>
        <w:pStyle w:val="pheading"/>
      </w:pPr>
      <w:r>
        <w:t>- Matériau</w:t>
      </w:r>
    </w:p>
    <w:p w14:paraId="2C468869" w14:textId="77777777" w:rsidR="004B2808" w:rsidRDefault="00000000">
      <w:r>
        <w:t>Voir 32.41.3b Isolation en panneaux - laine de bois (WW)</w:t>
      </w:r>
    </w:p>
    <w:p w14:paraId="28EBE209" w14:textId="77777777" w:rsidR="004B2808" w:rsidRDefault="00000000">
      <w:pPr>
        <w:pStyle w:val="pheading"/>
      </w:pPr>
      <w:r>
        <w:t>- Exécution</w:t>
      </w:r>
    </w:p>
    <w:p w14:paraId="7C4B4E74" w14:textId="77777777" w:rsidR="004B2808" w:rsidRDefault="00000000">
      <w:r>
        <w:t>Voir 32.41.3b Isolation en panneaux - laine de bois (WW)</w:t>
      </w:r>
    </w:p>
    <w:p w14:paraId="700DBA83" w14:textId="77777777" w:rsidR="004B2808" w:rsidRDefault="00000000">
      <w:pPr>
        <w:pStyle w:val="pheading"/>
      </w:pPr>
      <w:r>
        <w:t>MESURAGE</w:t>
      </w:r>
    </w:p>
    <w:p w14:paraId="59B935E4" w14:textId="77777777" w:rsidR="004B2808" w:rsidRDefault="00000000">
      <w:r>
        <w:t>m²</w:t>
      </w:r>
    </w:p>
    <w:p w14:paraId="315540DF" w14:textId="77777777" w:rsidR="004B2808" w:rsidRDefault="00000000">
      <w:pPr>
        <w:pStyle w:val="pheading"/>
      </w:pPr>
      <w:r>
        <w:t>- code de mesurage:</w:t>
      </w:r>
    </w:p>
    <w:p w14:paraId="2EA68B12" w14:textId="77777777" w:rsidR="004B2808" w:rsidRDefault="00000000">
      <w:r>
        <w:t>Distinction faite suivant l'épaisseur.</w:t>
      </w:r>
    </w:p>
    <w:p w14:paraId="46320622" w14:textId="77777777" w:rsidR="004B2808" w:rsidRDefault="00000000">
      <w:pPr>
        <w:pStyle w:val="Author-eListParagraph"/>
        <w:numPr>
          <w:ilvl w:val="0"/>
          <w:numId w:val="405"/>
        </w:numPr>
      </w:pPr>
      <w:r>
        <w:t>Isolation des parois verticales : Surface nette. Les ouvertures ˃ 0,50 m² sont déduites.</w:t>
      </w:r>
    </w:p>
    <w:p w14:paraId="082222F7" w14:textId="77777777" w:rsidR="004B2808" w:rsidRDefault="00000000">
      <w:pPr>
        <w:pStyle w:val="Author-eListParagraph"/>
        <w:numPr>
          <w:ilvl w:val="0"/>
          <w:numId w:val="405"/>
        </w:numPr>
      </w:pPr>
      <w:r>
        <w:t>Isolation des parois horizontales : Surface nette du sol, mesurée entre le nu des murs. Les ouvertures ˃ 0,5 m² sont déduites. L'isolation périphérique n’est pas portée en compte séparément.</w:t>
      </w:r>
    </w:p>
    <w:p w14:paraId="20A424B1" w14:textId="77777777" w:rsidR="004B2808" w:rsidRDefault="00000000">
      <w:pPr>
        <w:pStyle w:val="pheading"/>
      </w:pPr>
      <w:r>
        <w:lastRenderedPageBreak/>
        <w:t>- nature du marché:</w:t>
      </w:r>
    </w:p>
    <w:p w14:paraId="54204E4D" w14:textId="77777777" w:rsidR="004B2808" w:rsidRDefault="00000000">
      <w:r>
        <w:t>QF</w:t>
      </w:r>
    </w:p>
    <w:p w14:paraId="7668BC0E" w14:textId="77777777" w:rsidR="004B2808" w:rsidRDefault="00000000">
      <w:pPr>
        <w:pStyle w:val="Author-eSectionHeading6Numberless"/>
      </w:pPr>
      <w:bookmarkStart w:id="398" w:name="_Toc220490574"/>
      <w:r>
        <w:t>52.41.3c Isolation en panneaux - fibres de bois (WF) CCTB 01.10</w:t>
      </w:r>
      <w:bookmarkEnd w:id="398"/>
    </w:p>
    <w:p w14:paraId="2B036E5B" w14:textId="77777777" w:rsidR="004B2808" w:rsidRDefault="00000000">
      <w:pPr>
        <w:pStyle w:val="pheading"/>
      </w:pPr>
      <w:r>
        <w:t>DESCRIPTION</w:t>
      </w:r>
    </w:p>
    <w:p w14:paraId="3DAD69E8" w14:textId="77777777" w:rsidR="004B2808" w:rsidRDefault="00000000">
      <w:pPr>
        <w:pStyle w:val="pheading"/>
      </w:pPr>
      <w:r>
        <w:t>- Définition / Comprend</w:t>
      </w:r>
    </w:p>
    <w:p w14:paraId="40C4C2BF" w14:textId="77777777" w:rsidR="004B2808" w:rsidRDefault="00000000">
      <w:r>
        <w:t>Il s'agit de la réalisation d'une isolation suivant les prescriptions de l'article 32.41.3c Isolation en panneaux - fibres de bois (WF).</w:t>
      </w:r>
    </w:p>
    <w:p w14:paraId="576FEE94" w14:textId="77777777" w:rsidR="004B2808" w:rsidRDefault="00000000">
      <w:pPr>
        <w:pStyle w:val="pheading"/>
      </w:pPr>
      <w:r>
        <w:t>MATÉRIAUX</w:t>
      </w:r>
    </w:p>
    <w:p w14:paraId="7C2091C2" w14:textId="77777777" w:rsidR="004B2808" w:rsidRDefault="00000000">
      <w:pPr>
        <w:pStyle w:val="pheading"/>
      </w:pPr>
      <w:r>
        <w:t>- Caractéristiques générales</w:t>
      </w:r>
    </w:p>
    <w:p w14:paraId="0884B232" w14:textId="77777777" w:rsidR="004B2808" w:rsidRDefault="00000000">
      <w:r>
        <w:t>Voir article 32.41.3c Isolation en panneaux - fibres de bois (WF)</w:t>
      </w:r>
    </w:p>
    <w:p w14:paraId="65B4DF3C" w14:textId="77777777" w:rsidR="004B2808" w:rsidRDefault="00000000">
      <w:pPr>
        <w:pStyle w:val="pheading"/>
      </w:pPr>
      <w:r>
        <w:t>- Finitions</w:t>
      </w:r>
    </w:p>
    <w:p w14:paraId="66E4EE0A" w14:textId="77777777" w:rsidR="004B2808" w:rsidRDefault="00000000">
      <w:r>
        <w:t>Voir article  32.41.3c Isolation en panneaux - fibres de bois (WF)</w:t>
      </w:r>
    </w:p>
    <w:p w14:paraId="778CEF63" w14:textId="77777777" w:rsidR="004B2808" w:rsidRDefault="00000000">
      <w:pPr>
        <w:pStyle w:val="pheading"/>
      </w:pPr>
      <w:r>
        <w:t>- Prescriptions complémentaires</w:t>
      </w:r>
    </w:p>
    <w:p w14:paraId="74C8AF88" w14:textId="77777777" w:rsidR="004B2808" w:rsidRDefault="00000000">
      <w:r>
        <w:t>Voir article  32.41.3c Isolation en panneaux - fibres de bois (WF)</w:t>
      </w:r>
    </w:p>
    <w:p w14:paraId="5202FD4D" w14:textId="77777777" w:rsidR="004B2808" w:rsidRDefault="00000000">
      <w:pPr>
        <w:pStyle w:val="pheading"/>
      </w:pPr>
      <w:r>
        <w:t>DOCUMENTS DE RÉFÉRENCE COMPLÉMENTAIRES</w:t>
      </w:r>
    </w:p>
    <w:p w14:paraId="57BC476A" w14:textId="77777777" w:rsidR="004B2808" w:rsidRDefault="00000000">
      <w:pPr>
        <w:pStyle w:val="pheading"/>
      </w:pPr>
      <w:r>
        <w:t>- Matériau</w:t>
      </w:r>
    </w:p>
    <w:p w14:paraId="6D0CA28B" w14:textId="77777777" w:rsidR="004B2808" w:rsidRDefault="00000000">
      <w:r>
        <w:t> 32.41.3c Isolation en panneaux - fibres de bois (WF)</w:t>
      </w:r>
    </w:p>
    <w:p w14:paraId="18C4A410" w14:textId="77777777" w:rsidR="004B2808" w:rsidRDefault="00000000">
      <w:pPr>
        <w:pStyle w:val="pheading"/>
      </w:pPr>
      <w:r>
        <w:t>- Exécution</w:t>
      </w:r>
    </w:p>
    <w:p w14:paraId="4AD6AD23" w14:textId="77777777" w:rsidR="004B2808" w:rsidRDefault="00000000">
      <w:r>
        <w:t> 32.41.3c Isolation en panneaux - fibres de bois (WF)</w:t>
      </w:r>
    </w:p>
    <w:p w14:paraId="28BD01D1" w14:textId="77777777" w:rsidR="004B2808" w:rsidRDefault="00000000">
      <w:pPr>
        <w:pStyle w:val="pheading"/>
      </w:pPr>
      <w:r>
        <w:t>MESURAGE</w:t>
      </w:r>
    </w:p>
    <w:p w14:paraId="75FB6A31" w14:textId="77777777" w:rsidR="004B2808" w:rsidRDefault="00000000">
      <w:pPr>
        <w:pStyle w:val="pheading"/>
      </w:pPr>
      <w:r>
        <w:t>- unité de mesure:</w:t>
      </w:r>
    </w:p>
    <w:p w14:paraId="4925CDA4" w14:textId="77777777" w:rsidR="004B2808" w:rsidRDefault="00000000">
      <w:r>
        <w:t>m²</w:t>
      </w:r>
    </w:p>
    <w:p w14:paraId="4A4EDF86" w14:textId="77777777" w:rsidR="004B2808" w:rsidRDefault="00000000">
      <w:pPr>
        <w:pStyle w:val="pheading"/>
      </w:pPr>
      <w:r>
        <w:t>- code de mesurage:</w:t>
      </w:r>
    </w:p>
    <w:p w14:paraId="4EE1F471" w14:textId="77777777" w:rsidR="004B2808" w:rsidRDefault="004B2808"/>
    <w:p w14:paraId="4D6B67F2" w14:textId="77777777" w:rsidR="004B2808" w:rsidRDefault="00000000">
      <w:r>
        <w:t>Distinction faite suivant le type et l'épaisseur.</w:t>
      </w:r>
    </w:p>
    <w:p w14:paraId="2C7F8109" w14:textId="77777777" w:rsidR="004B2808" w:rsidRDefault="00000000">
      <w:pPr>
        <w:pStyle w:val="Author-eListParagraph"/>
        <w:numPr>
          <w:ilvl w:val="0"/>
          <w:numId w:val="406"/>
        </w:numPr>
      </w:pPr>
      <w:r>
        <w:t xml:space="preserve">Isolation des </w:t>
      </w:r>
      <w:r>
        <w:rPr>
          <w:b/>
        </w:rPr>
        <w:t>parois verticales : Surface nette.</w:t>
      </w:r>
      <w:r>
        <w:t xml:space="preserve"> Les ouvertures supérieures à 0,50 m² sont déduites</w:t>
      </w:r>
    </w:p>
    <w:p w14:paraId="3286131B" w14:textId="77777777" w:rsidR="004B2808" w:rsidRDefault="00000000">
      <w:pPr>
        <w:pStyle w:val="Author-eListParagraph"/>
        <w:numPr>
          <w:ilvl w:val="0"/>
          <w:numId w:val="406"/>
        </w:numPr>
      </w:pPr>
      <w:r>
        <w:t xml:space="preserve">Isolation des </w:t>
      </w:r>
      <w:r>
        <w:rPr>
          <w:b/>
        </w:rPr>
        <w:t>parois horizontales : Surface nette du sol</w:t>
      </w:r>
      <w:r>
        <w:t>, mesurée entre le nu des murs. Les ouvertures supérieures à 0,5 m² sont déduites. L'isolation périphérique ne doit pas être portée en compte séparément</w:t>
      </w:r>
    </w:p>
    <w:p w14:paraId="5C97CEAB" w14:textId="77777777" w:rsidR="004B2808" w:rsidRDefault="00000000">
      <w:pPr>
        <w:pStyle w:val="pheading"/>
      </w:pPr>
      <w:r>
        <w:t>- nature du marché:</w:t>
      </w:r>
    </w:p>
    <w:p w14:paraId="46E06A7C" w14:textId="77777777" w:rsidR="004B2808" w:rsidRDefault="00000000">
      <w:r>
        <w:t>QF</w:t>
      </w:r>
    </w:p>
    <w:p w14:paraId="2A61F442" w14:textId="77777777" w:rsidR="004B2808" w:rsidRDefault="00000000">
      <w:pPr>
        <w:pStyle w:val="Author-eSectionHeading6Numberless"/>
      </w:pPr>
      <w:bookmarkStart w:id="399" w:name="_Toc220490575"/>
      <w:r>
        <w:t>52.41.3d Isolation en panneaux - cellulose CCTB 01.07</w:t>
      </w:r>
      <w:bookmarkEnd w:id="399"/>
    </w:p>
    <w:p w14:paraId="0AE46052" w14:textId="77777777" w:rsidR="004B2808" w:rsidRDefault="00000000">
      <w:pPr>
        <w:pStyle w:val="pheading"/>
      </w:pPr>
      <w:r>
        <w:t>MATÉRIAUX</w:t>
      </w:r>
    </w:p>
    <w:p w14:paraId="764FE32E" w14:textId="77777777" w:rsidR="004B2808" w:rsidRDefault="00000000">
      <w:pPr>
        <w:pStyle w:val="pheading"/>
      </w:pPr>
      <w:r>
        <w:t>- Caractéristiques générales</w:t>
      </w:r>
    </w:p>
    <w:p w14:paraId="71CB6128" w14:textId="77777777" w:rsidR="004B2808" w:rsidRDefault="00000000">
      <w:r>
        <w:t>Voir article 32.41.3d Isolation en panneaux - cellulose</w:t>
      </w:r>
    </w:p>
    <w:p w14:paraId="225B28B4" w14:textId="77777777" w:rsidR="004B2808" w:rsidRDefault="00000000">
      <w:pPr>
        <w:pStyle w:val="pheading"/>
      </w:pPr>
      <w:r>
        <w:t>- Prescriptions complémentaires</w:t>
      </w:r>
    </w:p>
    <w:p w14:paraId="1E354DE5" w14:textId="77777777" w:rsidR="004B2808" w:rsidRDefault="00000000">
      <w:r>
        <w:t>Voir article 32.41.3d Isolation en panneaux - cellulose</w:t>
      </w:r>
    </w:p>
    <w:p w14:paraId="7DFA0F1F" w14:textId="77777777" w:rsidR="004B2808" w:rsidRDefault="00000000">
      <w:pPr>
        <w:pStyle w:val="pheading"/>
      </w:pPr>
      <w:r>
        <w:lastRenderedPageBreak/>
        <w:t>EXÉCUTION / MISE EN ŒUVRE</w:t>
      </w:r>
    </w:p>
    <w:p w14:paraId="7D231CA8" w14:textId="77777777" w:rsidR="004B2808" w:rsidRDefault="00000000">
      <w:pPr>
        <w:pStyle w:val="pheading"/>
      </w:pPr>
      <w:r>
        <w:t>- Prescriptions générales</w:t>
      </w:r>
    </w:p>
    <w:p w14:paraId="470F57BC" w14:textId="77777777" w:rsidR="004B2808" w:rsidRDefault="00000000">
      <w:r>
        <w:t>Voir article 32.41.3d Isolation en panneaux - cellulose</w:t>
      </w:r>
    </w:p>
    <w:p w14:paraId="32A5A722" w14:textId="77777777" w:rsidR="004B2808" w:rsidRDefault="00000000">
      <w:pPr>
        <w:pStyle w:val="pheading"/>
      </w:pPr>
      <w:r>
        <w:t>DOCUMENTS DE RÉFÉRENCE COMPLÉMENTAIRES</w:t>
      </w:r>
    </w:p>
    <w:p w14:paraId="1809830B" w14:textId="77777777" w:rsidR="004B2808" w:rsidRDefault="00000000">
      <w:pPr>
        <w:pStyle w:val="pheading"/>
      </w:pPr>
      <w:r>
        <w:t>- Matériau</w:t>
      </w:r>
    </w:p>
    <w:p w14:paraId="3FF4FF9C" w14:textId="77777777" w:rsidR="004B2808" w:rsidRDefault="00000000">
      <w:r>
        <w:t>32.41.3d Isolation en panneaux - cellulose</w:t>
      </w:r>
    </w:p>
    <w:p w14:paraId="34FEC982" w14:textId="77777777" w:rsidR="004B2808" w:rsidRDefault="00000000">
      <w:pPr>
        <w:pStyle w:val="pheading"/>
      </w:pPr>
      <w:r>
        <w:t>- Exécution</w:t>
      </w:r>
    </w:p>
    <w:p w14:paraId="2D853ECB" w14:textId="77777777" w:rsidR="004B2808" w:rsidRDefault="00000000">
      <w:r>
        <w:t>32.41.3d Isolation en panneaux - cellulose</w:t>
      </w:r>
    </w:p>
    <w:p w14:paraId="6BC6BEEB" w14:textId="77777777" w:rsidR="004B2808" w:rsidRDefault="00000000">
      <w:pPr>
        <w:pStyle w:val="pheading"/>
      </w:pPr>
      <w:r>
        <w:t>MESURAGE</w:t>
      </w:r>
    </w:p>
    <w:p w14:paraId="42974105" w14:textId="77777777" w:rsidR="004B2808" w:rsidRDefault="00000000">
      <w:pPr>
        <w:pStyle w:val="pheading"/>
      </w:pPr>
      <w:r>
        <w:t>- unité de mesure:</w:t>
      </w:r>
    </w:p>
    <w:p w14:paraId="3FA63C33" w14:textId="77777777" w:rsidR="004B2808" w:rsidRDefault="00000000">
      <w:r>
        <w:rPr>
          <w:b/>
        </w:rPr>
        <w:t>m²</w:t>
      </w:r>
    </w:p>
    <w:p w14:paraId="67605322" w14:textId="77777777" w:rsidR="004B2808" w:rsidRDefault="00000000">
      <w:pPr>
        <w:pStyle w:val="pheading"/>
      </w:pPr>
      <w:r>
        <w:t>- code de mesurage:</w:t>
      </w:r>
    </w:p>
    <w:p w14:paraId="75621AB0" w14:textId="77777777" w:rsidR="004B2808" w:rsidRDefault="00000000">
      <w:r>
        <w:t>Distinction faite suivant l'épaisseur.</w:t>
      </w:r>
    </w:p>
    <w:p w14:paraId="4FA6BBE3" w14:textId="77777777" w:rsidR="004B2808" w:rsidRDefault="00000000">
      <w:pPr>
        <w:pStyle w:val="Author-eListParagraph"/>
        <w:numPr>
          <w:ilvl w:val="0"/>
          <w:numId w:val="407"/>
        </w:numPr>
      </w:pPr>
      <w:r>
        <w:t>Isolation des parois verticales : Surface nette. Les ouvertures supérieures à 0,50 m² sont déduites</w:t>
      </w:r>
    </w:p>
    <w:p w14:paraId="4A82C74F" w14:textId="77777777" w:rsidR="004B2808" w:rsidRDefault="00000000">
      <w:pPr>
        <w:pStyle w:val="Author-eListParagraph"/>
        <w:numPr>
          <w:ilvl w:val="0"/>
          <w:numId w:val="407"/>
        </w:numPr>
      </w:pPr>
      <w:r>
        <w:t>Isolation des parois horizontales : Surface nette du sol, mesurée entre le nu des murs. Les ouvertures supérieures à 0,5 m² sont déduites. L'isolation périphérique ne doit pas être portée en compte séparément</w:t>
      </w:r>
    </w:p>
    <w:p w14:paraId="1625055B" w14:textId="77777777" w:rsidR="004B2808" w:rsidRDefault="00000000">
      <w:pPr>
        <w:pStyle w:val="pheading"/>
      </w:pPr>
      <w:r>
        <w:t>- nature du marché:</w:t>
      </w:r>
    </w:p>
    <w:p w14:paraId="254B3DDD" w14:textId="77777777" w:rsidR="004B2808" w:rsidRDefault="00000000">
      <w:r>
        <w:rPr>
          <w:b/>
        </w:rPr>
        <w:t xml:space="preserve">QF </w:t>
      </w:r>
    </w:p>
    <w:p w14:paraId="52911DE7" w14:textId="77777777" w:rsidR="004B2808" w:rsidRDefault="00000000">
      <w:pPr>
        <w:pStyle w:val="Author-eSectionHeading6Numberless"/>
      </w:pPr>
      <w:bookmarkStart w:id="400" w:name="_Toc220490576"/>
      <w:r>
        <w:t>52.41.3e Isolation en panneaux - laine de chanvre CCTB 01.12</w:t>
      </w:r>
      <w:bookmarkEnd w:id="400"/>
    </w:p>
    <w:p w14:paraId="2434FFDC" w14:textId="77777777" w:rsidR="004B2808" w:rsidRDefault="00000000">
      <w:pPr>
        <w:pStyle w:val="pheading"/>
      </w:pPr>
      <w:r>
        <w:t>DESCRIPTION</w:t>
      </w:r>
    </w:p>
    <w:p w14:paraId="204865B4" w14:textId="77777777" w:rsidR="004B2808" w:rsidRDefault="00000000">
      <w:pPr>
        <w:pStyle w:val="pheading"/>
      </w:pPr>
      <w:r>
        <w:t>- Définition / Comprend</w:t>
      </w:r>
    </w:p>
    <w:p w14:paraId="14726882" w14:textId="77777777" w:rsidR="004B2808" w:rsidRDefault="00000000">
      <w:pPr>
        <w:jc w:val="both"/>
      </w:pPr>
      <w:r>
        <w:t>Il s’agit de la fourniture et la pose d’une isolation thermique au moyen de panneaux de laine de chanvre en application horizontale ou verticale d’isolation intérieure.</w:t>
      </w:r>
    </w:p>
    <w:p w14:paraId="04200CF6" w14:textId="77777777" w:rsidR="004B2808" w:rsidRDefault="00000000">
      <w:pPr>
        <w:jc w:val="both"/>
      </w:pPr>
      <w:r>
        <w:t xml:space="preserve">L’étendue des travaux est décrite sous </w:t>
      </w:r>
      <w:hyperlink w:anchor="1190" w:history="1">
        <w:r w:rsidR="004B2808">
          <w:rPr>
            <w:color w:val="0000EE"/>
          </w:rPr>
          <w:t>52.41 Isolation en panneaux</w:t>
        </w:r>
      </w:hyperlink>
      <w:r>
        <w:t>L’enduisage du support en vue d’obtenir une surface suffisamment plane pour l’application des panneaux fait partie du présent article.</w:t>
      </w:r>
    </w:p>
    <w:p w14:paraId="5C9DE2A7" w14:textId="77777777" w:rsidR="004B2808" w:rsidRDefault="00000000">
      <w:pPr>
        <w:pStyle w:val="pheading"/>
      </w:pPr>
      <w:r>
        <w:t>MATÉRIAUX</w:t>
      </w:r>
    </w:p>
    <w:p w14:paraId="300CFDBB" w14:textId="77777777" w:rsidR="004B2808" w:rsidRDefault="00000000">
      <w:pPr>
        <w:pStyle w:val="pheading"/>
      </w:pPr>
      <w:r>
        <w:t>- Caractéristiques générales</w:t>
      </w:r>
    </w:p>
    <w:p w14:paraId="7D6EB955" w14:textId="77777777" w:rsidR="004B2808" w:rsidRDefault="00000000">
      <w:pPr>
        <w:jc w:val="both"/>
      </w:pPr>
      <w:r>
        <w:rPr>
          <w:b/>
        </w:rPr>
        <w:t>Composition des panneaux d’isolation :</w:t>
      </w:r>
    </w:p>
    <w:p w14:paraId="1BC9003F" w14:textId="77777777" w:rsidR="004B2808" w:rsidRDefault="00000000">
      <w:pPr>
        <w:pStyle w:val="Author-eListParagraph"/>
        <w:numPr>
          <w:ilvl w:val="0"/>
          <w:numId w:val="408"/>
        </w:numPr>
      </w:pPr>
      <w:r>
        <w:t>85 à 90 % de fibres de chanvre, liant, additif fongicide </w:t>
      </w:r>
    </w:p>
    <w:p w14:paraId="091B28DD" w14:textId="77777777" w:rsidR="004B2808" w:rsidRDefault="00000000">
      <w:pPr>
        <w:pStyle w:val="Author-eListParagraph"/>
        <w:numPr>
          <w:ilvl w:val="0"/>
          <w:numId w:val="408"/>
        </w:numPr>
      </w:pPr>
      <w:r>
        <w:t xml:space="preserve">Additif ignifuge : </w:t>
      </w:r>
      <w:r>
        <w:rPr>
          <w:rStyle w:val="optioncarChar"/>
        </w:rPr>
        <w:t>oui</w:t>
      </w:r>
      <w:r>
        <w:t xml:space="preserve"> (par défaut) </w:t>
      </w:r>
      <w:r>
        <w:rPr>
          <w:rStyle w:val="optioncarChar"/>
        </w:rPr>
        <w:t>/ non</w:t>
      </w:r>
    </w:p>
    <w:p w14:paraId="71FB4DB2" w14:textId="77777777" w:rsidR="004B2808" w:rsidRDefault="00000000">
      <w:pPr>
        <w:jc w:val="both"/>
      </w:pPr>
      <w:r>
        <w:rPr>
          <w:b/>
        </w:rPr>
        <w:t>Caractéristiques des panneaux :</w:t>
      </w:r>
    </w:p>
    <w:p w14:paraId="50E09455" w14:textId="77777777" w:rsidR="004B2808" w:rsidRDefault="00000000">
      <w:pPr>
        <w:pStyle w:val="Author-eListParagraph"/>
        <w:numPr>
          <w:ilvl w:val="0"/>
          <w:numId w:val="409"/>
        </w:numPr>
      </w:pPr>
      <w:r>
        <w:t>Conductivité thermique déclarée selon [NBN EN 12667] λ</w:t>
      </w:r>
      <w:r>
        <w:rPr>
          <w:vertAlign w:val="subscript"/>
        </w:rPr>
        <w:t>d</w:t>
      </w:r>
      <w:r>
        <w:t xml:space="preserve"> ≤ : </w:t>
      </w:r>
      <w:r>
        <w:rPr>
          <w:rStyle w:val="optioncarChar"/>
        </w:rPr>
        <w:t xml:space="preserve">0,040 </w:t>
      </w:r>
      <w:r>
        <w:t>(par défaut)</w:t>
      </w:r>
      <w:r>
        <w:rPr>
          <w:rStyle w:val="optioncarChar"/>
        </w:rPr>
        <w:t xml:space="preserve"> / 0,041 / ***</w:t>
      </w:r>
      <w:r>
        <w:t xml:space="preserve"> W/mK</w:t>
      </w:r>
    </w:p>
    <w:p w14:paraId="52A765A8" w14:textId="77777777" w:rsidR="004B2808" w:rsidRDefault="00000000">
      <w:pPr>
        <w:pStyle w:val="Author-eListParagraph"/>
        <w:numPr>
          <w:ilvl w:val="0"/>
          <w:numId w:val="409"/>
        </w:numPr>
      </w:pPr>
      <w:r>
        <w:t xml:space="preserve">Réaction au feu selon [NBN EN 13501-1] : </w:t>
      </w:r>
      <w:r>
        <w:rPr>
          <w:rStyle w:val="optioncarChar"/>
        </w:rPr>
        <w:t>E</w:t>
      </w:r>
      <w:r>
        <w:t xml:space="preserve"> (par défaut) </w:t>
      </w:r>
      <w:r>
        <w:rPr>
          <w:rStyle w:val="optioncarChar"/>
        </w:rPr>
        <w:t>/ F / ***</w:t>
      </w:r>
    </w:p>
    <w:p w14:paraId="7AF3C3A1" w14:textId="77777777" w:rsidR="004B2808" w:rsidRDefault="00000000">
      <w:pPr>
        <w:pStyle w:val="Author-eListParagraph"/>
        <w:numPr>
          <w:ilvl w:val="0"/>
          <w:numId w:val="409"/>
        </w:numPr>
      </w:pPr>
      <w:r>
        <w:t xml:space="preserve">Classement complémentaire pour les gouttelettes / particules enflammées selon [NBN EN 13501-1] : </w:t>
      </w:r>
      <w:r>
        <w:rPr>
          <w:rStyle w:val="optioncarChar"/>
        </w:rPr>
        <w:t>d0 / d1 / d2</w:t>
      </w:r>
    </w:p>
    <w:p w14:paraId="74A50360" w14:textId="77777777" w:rsidR="004B2808" w:rsidRDefault="00000000">
      <w:pPr>
        <w:pStyle w:val="Author-eListParagraph"/>
        <w:numPr>
          <w:ilvl w:val="0"/>
          <w:numId w:val="409"/>
        </w:numPr>
      </w:pPr>
      <w:r>
        <w:t xml:space="preserve">Classement complémentaire pour la production de fumée selon [NBN EN 13501-1] : </w:t>
      </w:r>
      <w:r>
        <w:rPr>
          <w:rStyle w:val="optioncarChar"/>
        </w:rPr>
        <w:t>s1 / s2 / s3</w:t>
      </w:r>
    </w:p>
    <w:p w14:paraId="797F7EDF" w14:textId="77777777" w:rsidR="004B2808" w:rsidRDefault="00000000">
      <w:pPr>
        <w:pStyle w:val="Author-eListParagraph"/>
        <w:numPr>
          <w:ilvl w:val="0"/>
          <w:numId w:val="409"/>
        </w:numPr>
      </w:pPr>
      <w:r>
        <w:t xml:space="preserve">Classement pour revêtement de sol : </w:t>
      </w:r>
      <w:r>
        <w:rPr>
          <w:rStyle w:val="optioncarChar"/>
        </w:rPr>
        <w:t>BFL / CFL / DFL</w:t>
      </w:r>
    </w:p>
    <w:p w14:paraId="2B331ABD" w14:textId="77777777" w:rsidR="004B2808" w:rsidRDefault="00000000">
      <w:pPr>
        <w:pStyle w:val="Author-eListParagraph"/>
        <w:numPr>
          <w:ilvl w:val="0"/>
          <w:numId w:val="409"/>
        </w:numPr>
      </w:pPr>
      <w:r>
        <w:lastRenderedPageBreak/>
        <w:t xml:space="preserve">Dimensions : </w:t>
      </w:r>
      <w:r>
        <w:rPr>
          <w:rStyle w:val="optioncarChar"/>
        </w:rPr>
        <w:t xml:space="preserve">625 x 1200 </w:t>
      </w:r>
      <w:r>
        <w:t xml:space="preserve">(par défaut) </w:t>
      </w:r>
      <w:r>
        <w:rPr>
          <w:rStyle w:val="optioncarChar"/>
        </w:rPr>
        <w:t>580 x 1200 / 580 x 1250 / 600 x 1200 / 650 x 1200 / 600 x 1250 / 1000 x 2400 / ***</w:t>
      </w:r>
      <w:r>
        <w:t xml:space="preserve"> mm</w:t>
      </w:r>
    </w:p>
    <w:p w14:paraId="62958386" w14:textId="77777777" w:rsidR="004B2808" w:rsidRDefault="00000000">
      <w:pPr>
        <w:pStyle w:val="Author-eListParagraph"/>
        <w:numPr>
          <w:ilvl w:val="0"/>
          <w:numId w:val="409"/>
        </w:numPr>
      </w:pPr>
      <w:r>
        <w:t xml:space="preserve">Épaisseur : </w:t>
      </w:r>
      <w:r>
        <w:rPr>
          <w:rStyle w:val="optioncarChar"/>
        </w:rPr>
        <w:t xml:space="preserve">60 / 80 / 100 / 120 / 140 / 160 / 180 </w:t>
      </w:r>
      <w:r>
        <w:t>(par défaut)</w:t>
      </w:r>
      <w:r>
        <w:rPr>
          <w:rStyle w:val="optioncarChar"/>
        </w:rPr>
        <w:t xml:space="preserve"> / 200 / ***</w:t>
      </w:r>
      <w:r>
        <w:t xml:space="preserve"> mm</w:t>
      </w:r>
    </w:p>
    <w:p w14:paraId="1CE394BB" w14:textId="77777777" w:rsidR="004B2808" w:rsidRDefault="00000000">
      <w:pPr>
        <w:pStyle w:val="Author-eListParagraph"/>
        <w:numPr>
          <w:ilvl w:val="0"/>
          <w:numId w:val="409"/>
        </w:numPr>
      </w:pPr>
      <w:r>
        <w:t xml:space="preserve">Tolérances : </w:t>
      </w:r>
    </w:p>
    <w:p w14:paraId="61CD96BC" w14:textId="77777777" w:rsidR="004B2808" w:rsidRDefault="00000000">
      <w:pPr>
        <w:pStyle w:val="Author-eListParagraph"/>
        <w:numPr>
          <w:ilvl w:val="1"/>
          <w:numId w:val="410"/>
        </w:numPr>
      </w:pPr>
      <w:r>
        <w:t xml:space="preserve">Épaisseur selon [NBN EN 823] classe : </w:t>
      </w:r>
      <w:r>
        <w:rPr>
          <w:rStyle w:val="optioncarChar"/>
        </w:rPr>
        <w:t>T2</w:t>
      </w:r>
      <w:r>
        <w:t xml:space="preserve"> (par défaut)</w:t>
      </w:r>
      <w:r>
        <w:rPr>
          <w:rStyle w:val="optioncarChar"/>
        </w:rPr>
        <w:t xml:space="preserve"> / T3 / ***</w:t>
      </w:r>
    </w:p>
    <w:p w14:paraId="271C8B1B" w14:textId="77777777" w:rsidR="004B2808" w:rsidRDefault="00000000">
      <w:pPr>
        <w:pStyle w:val="Author-eListParagraph"/>
        <w:numPr>
          <w:ilvl w:val="1"/>
          <w:numId w:val="410"/>
        </w:numPr>
      </w:pPr>
      <w:r>
        <w:t>Longueur selon [NBN EN 822] :  ± 2 %</w:t>
      </w:r>
    </w:p>
    <w:p w14:paraId="0D11585D" w14:textId="77777777" w:rsidR="004B2808" w:rsidRDefault="00000000">
      <w:pPr>
        <w:pStyle w:val="Author-eListParagraph"/>
        <w:numPr>
          <w:ilvl w:val="1"/>
          <w:numId w:val="410"/>
        </w:numPr>
      </w:pPr>
      <w:r>
        <w:t>Largeur selon [NBN EN 822] :  ± 1,5 %</w:t>
      </w:r>
    </w:p>
    <w:p w14:paraId="6D779B2F" w14:textId="77777777" w:rsidR="004B2808" w:rsidRDefault="00000000">
      <w:pPr>
        <w:pStyle w:val="Author-eListParagraph"/>
        <w:numPr>
          <w:ilvl w:val="0"/>
          <w:numId w:val="409"/>
        </w:numPr>
      </w:pPr>
      <w:r>
        <w:t xml:space="preserve">Densité [NBN EN ISO 29470] : </w:t>
      </w:r>
      <w:r>
        <w:rPr>
          <w:rStyle w:val="optioncarChar"/>
        </w:rPr>
        <w:t xml:space="preserve">35 à 48 </w:t>
      </w:r>
      <w:r>
        <w:t xml:space="preserve">(par défaut) </w:t>
      </w:r>
      <w:r>
        <w:rPr>
          <w:rStyle w:val="optioncarChar"/>
        </w:rPr>
        <w:t>/ 34 à 46 / ± 40 / ***</w:t>
      </w:r>
      <w:r>
        <w:t xml:space="preserve"> kg/m3</w:t>
      </w:r>
    </w:p>
    <w:p w14:paraId="20894B25" w14:textId="77777777" w:rsidR="004B2808" w:rsidRDefault="00000000">
      <w:pPr>
        <w:pStyle w:val="Author-eListParagraph"/>
        <w:numPr>
          <w:ilvl w:val="0"/>
          <w:numId w:val="409"/>
        </w:numPr>
      </w:pPr>
      <w:r>
        <w:t xml:space="preserve">Résistance à la traction parallèle aux faces selon [NBN EN 1608] ≥ : </w:t>
      </w:r>
      <w:r>
        <w:rPr>
          <w:rStyle w:val="optioncarChar"/>
        </w:rPr>
        <w:t>30</w:t>
      </w:r>
      <w:r>
        <w:t xml:space="preserve"> (par défaut) </w:t>
      </w:r>
      <w:r>
        <w:rPr>
          <w:rStyle w:val="optioncarChar"/>
        </w:rPr>
        <w:t>/ ***</w:t>
      </w:r>
      <w:r>
        <w:t xml:space="preserve"> kPa</w:t>
      </w:r>
    </w:p>
    <w:p w14:paraId="4E1481AA" w14:textId="77777777" w:rsidR="004B2808" w:rsidRDefault="00000000">
      <w:pPr>
        <w:pStyle w:val="Author-eListParagraph"/>
        <w:numPr>
          <w:ilvl w:val="0"/>
          <w:numId w:val="409"/>
        </w:numPr>
      </w:pPr>
      <w:r>
        <w:t>Coefficient diffusion de vapeur d’eau selon [NBN EN 12086] : 1 ≤ μ ≤ 2</w:t>
      </w:r>
    </w:p>
    <w:p w14:paraId="03BF2B95" w14:textId="77777777" w:rsidR="004B2808" w:rsidRDefault="00000000">
      <w:pPr>
        <w:pStyle w:val="Author-eListParagraph"/>
        <w:numPr>
          <w:ilvl w:val="0"/>
          <w:numId w:val="409"/>
        </w:numPr>
      </w:pPr>
      <w:r>
        <w:t>Absorption d’eau suivant [NBN EN ISO 29767] ≤ : 4,2 Kg/m²</w:t>
      </w:r>
    </w:p>
    <w:p w14:paraId="57F797EB" w14:textId="77777777" w:rsidR="004B2808" w:rsidRDefault="00000000">
      <w:pPr>
        <w:pStyle w:val="Author-eListParagraph"/>
        <w:numPr>
          <w:ilvl w:val="0"/>
          <w:numId w:val="409"/>
        </w:numPr>
      </w:pPr>
      <w:r>
        <w:t xml:space="preserve">Capacité thermique : </w:t>
      </w:r>
      <w:r>
        <w:rPr>
          <w:rStyle w:val="optioncarChar"/>
        </w:rPr>
        <w:t>***</w:t>
      </w:r>
      <w:r>
        <w:t xml:space="preserve"> j/kg.K</w:t>
      </w:r>
    </w:p>
    <w:p w14:paraId="508BF354" w14:textId="77777777" w:rsidR="004B2808" w:rsidRDefault="00000000">
      <w:pPr>
        <w:pStyle w:val="Author-eListParagraph"/>
        <w:numPr>
          <w:ilvl w:val="0"/>
          <w:numId w:val="409"/>
        </w:numPr>
      </w:pPr>
      <w:r>
        <w:t xml:space="preserve">Déphasage thermique : ≥ </w:t>
      </w:r>
      <w:r>
        <w:rPr>
          <w:rStyle w:val="optioncarChar"/>
        </w:rPr>
        <w:t xml:space="preserve">4 heures </w:t>
      </w:r>
      <w:r>
        <w:t>(par défaut)</w:t>
      </w:r>
      <w:r>
        <w:rPr>
          <w:rStyle w:val="optioncarChar"/>
        </w:rPr>
        <w:t xml:space="preserve"> / ***</w:t>
      </w:r>
      <w:r>
        <w:t xml:space="preserve"> (pour une épaisseur de </w:t>
      </w:r>
      <w:r>
        <w:rPr>
          <w:rStyle w:val="optioncarChar"/>
        </w:rPr>
        <w:t>20 / ***</w:t>
      </w:r>
      <w:r>
        <w:t xml:space="preserve"> cm)</w:t>
      </w:r>
    </w:p>
    <w:p w14:paraId="2402B901" w14:textId="77777777" w:rsidR="004B2808" w:rsidRDefault="00000000">
      <w:pPr>
        <w:jc w:val="both"/>
      </w:pPr>
      <w:r>
        <w:rPr>
          <w:b/>
        </w:rPr>
        <w:t>Aspects environnementaux :</w:t>
      </w:r>
    </w:p>
    <w:p w14:paraId="17802CE3" w14:textId="77777777" w:rsidR="004B2808" w:rsidRDefault="00000000">
      <w:pPr>
        <w:pStyle w:val="Author-eListParagraph"/>
        <w:numPr>
          <w:ilvl w:val="0"/>
          <w:numId w:val="411"/>
        </w:numPr>
      </w:pPr>
      <w:r>
        <w:t xml:space="preserve">Émission de COV [NBN ISO 16000 série] : </w:t>
      </w:r>
      <w:r>
        <w:rPr>
          <w:rStyle w:val="optioncarChar"/>
        </w:rPr>
        <w:t>A+ / ***</w:t>
      </w:r>
    </w:p>
    <w:p w14:paraId="2B46CBEB" w14:textId="77777777" w:rsidR="004B2808" w:rsidRDefault="00000000">
      <w:pPr>
        <w:pStyle w:val="Author-eListParagraph"/>
        <w:numPr>
          <w:ilvl w:val="0"/>
          <w:numId w:val="411"/>
        </w:numPr>
      </w:pPr>
      <w:r>
        <w:t xml:space="preserve">Emission de formaldéhyde : </w:t>
      </w:r>
      <w:r>
        <w:rPr>
          <w:rStyle w:val="optioncarChar"/>
        </w:rPr>
        <w:t>A+ / ***</w:t>
      </w:r>
    </w:p>
    <w:p w14:paraId="5609CCD6" w14:textId="77777777" w:rsidR="004B2808" w:rsidRDefault="00000000">
      <w:pPr>
        <w:pStyle w:val="Author-eListParagraph"/>
        <w:numPr>
          <w:ilvl w:val="0"/>
          <w:numId w:val="411"/>
        </w:numPr>
      </w:pPr>
      <w:r>
        <w:t>La production de fibres de chanvre permet de séquestrer du CO</w:t>
      </w:r>
      <w:r>
        <w:rPr>
          <w:vertAlign w:val="subscript"/>
        </w:rPr>
        <w:t>2</w:t>
      </w:r>
      <w:r>
        <w:t xml:space="preserve"> à condition de provenir d’un circuit court.</w:t>
      </w:r>
    </w:p>
    <w:p w14:paraId="51041F1C" w14:textId="77777777" w:rsidR="004B2808" w:rsidRDefault="00000000">
      <w:pPr>
        <w:pStyle w:val="Author-eListParagraph"/>
        <w:numPr>
          <w:ilvl w:val="0"/>
          <w:numId w:val="411"/>
        </w:numPr>
      </w:pPr>
      <w:r>
        <w:t xml:space="preserve">Les chutes sont recyclées lors de la production : </w:t>
      </w:r>
      <w:r>
        <w:rPr>
          <w:rStyle w:val="optioncarChar"/>
        </w:rPr>
        <w:t xml:space="preserve">oui </w:t>
      </w:r>
      <w:r>
        <w:t>(par défaut)</w:t>
      </w:r>
      <w:r>
        <w:rPr>
          <w:rStyle w:val="optioncarChar"/>
        </w:rPr>
        <w:t xml:space="preserve"> / non</w:t>
      </w:r>
    </w:p>
    <w:p w14:paraId="262A4832" w14:textId="77777777" w:rsidR="004B2808" w:rsidRDefault="00000000">
      <w:pPr>
        <w:pStyle w:val="Author-eListParagraph"/>
        <w:numPr>
          <w:ilvl w:val="0"/>
          <w:numId w:val="411"/>
        </w:numPr>
      </w:pPr>
      <w:r>
        <w:t>Le produit dispose du label produit biosourcé.</w:t>
      </w:r>
    </w:p>
    <w:p w14:paraId="3F206388" w14:textId="77777777" w:rsidR="004B2808" w:rsidRDefault="00000000">
      <w:pPr>
        <w:pStyle w:val="pheading"/>
      </w:pPr>
      <w:r>
        <w:t>EXÉCUTION / MISE EN ŒUVRE</w:t>
      </w:r>
    </w:p>
    <w:p w14:paraId="5897292E" w14:textId="77777777" w:rsidR="004B2808" w:rsidRDefault="00000000">
      <w:pPr>
        <w:pStyle w:val="pheading"/>
      </w:pPr>
      <w:r>
        <w:t>- Prescriptions générales</w:t>
      </w:r>
    </w:p>
    <w:p w14:paraId="3A139C35" w14:textId="77777777" w:rsidR="004B2808" w:rsidRDefault="00000000">
      <w:pPr>
        <w:jc w:val="both"/>
      </w:pPr>
      <w:r>
        <w:t>Les panneaux sont posés de façon jointive. Les espaces éventuels entre panneaux et de liaison avec les parois sont comblés avec un isolant de même type.</w:t>
      </w:r>
    </w:p>
    <w:p w14:paraId="1D5C7692" w14:textId="77777777" w:rsidR="004B2808" w:rsidRDefault="00000000">
      <w:pPr>
        <w:jc w:val="both"/>
      </w:pPr>
      <w:r>
        <w:t xml:space="preserve">Les panneaux sont posés en : </w:t>
      </w:r>
      <w:r>
        <w:rPr>
          <w:rStyle w:val="optioncarChar"/>
        </w:rPr>
        <w:t xml:space="preserve">1 </w:t>
      </w:r>
      <w:r>
        <w:t>(par défaut)</w:t>
      </w:r>
      <w:r>
        <w:rPr>
          <w:rStyle w:val="optioncarChar"/>
        </w:rPr>
        <w:t xml:space="preserve"> / ***</w:t>
      </w:r>
      <w:r>
        <w:t xml:space="preserve"> couche(s)</w:t>
      </w:r>
    </w:p>
    <w:p w14:paraId="7F3D864B" w14:textId="77777777" w:rsidR="004B2808" w:rsidRDefault="00000000">
      <w:pPr>
        <w:jc w:val="both"/>
      </w:pPr>
      <w:r>
        <w:rPr>
          <w:b/>
        </w:rPr>
        <w:t>Pour une application en parois de séparation ou contre-cloison thermique :</w:t>
      </w:r>
    </w:p>
    <w:p w14:paraId="7655E17B" w14:textId="77777777" w:rsidR="004B2808" w:rsidRDefault="00000000">
      <w:pPr>
        <w:jc w:val="both"/>
      </w:pPr>
      <w:r>
        <w:t>Les spécifications de mise en œuvre sont reprises dans la [NIT 233].</w:t>
      </w:r>
    </w:p>
    <w:p w14:paraId="57B81DCC" w14:textId="77777777" w:rsidR="004B2808" w:rsidRDefault="00000000">
      <w:pPr>
        <w:jc w:val="both"/>
      </w:pPr>
      <w:r>
        <w:t xml:space="preserve">Les panneaux sont protégés du côté chaud par un pare-vapeur suivant </w:t>
      </w:r>
      <w:hyperlink w:anchor="1192" w:history="1">
        <w:r w:rsidR="004B2808">
          <w:rPr>
            <w:color w:val="0000EE"/>
          </w:rPr>
          <w:t>52.21 Pare-vapeur</w:t>
        </w:r>
      </w:hyperlink>
      <w:r>
        <w:t xml:space="preserve"> couvrant l’entièreté de la surface et raccordé aux matériaux adjacents de type : </w:t>
      </w:r>
      <w:r>
        <w:rPr>
          <w:rStyle w:val="optioncarChar"/>
        </w:rPr>
        <w:t>hygrovariable</w:t>
      </w:r>
      <w:r>
        <w:t xml:space="preserve"> (par défaut) </w:t>
      </w:r>
      <w:r>
        <w:rPr>
          <w:rStyle w:val="optioncarChar"/>
        </w:rPr>
        <w:t>/ PE / ***</w:t>
      </w:r>
    </w:p>
    <w:p w14:paraId="4D5C0D86" w14:textId="77777777" w:rsidR="004B2808" w:rsidRDefault="00000000">
      <w:pPr>
        <w:jc w:val="both"/>
      </w:pPr>
      <w:r>
        <w:t>Les panneaux sont protégés contre toute remontée d’humidité.</w:t>
      </w:r>
    </w:p>
    <w:p w14:paraId="5F7FB587" w14:textId="77777777" w:rsidR="004B2808" w:rsidRDefault="00000000">
      <w:pPr>
        <w:jc w:val="both"/>
      </w:pPr>
      <w:r>
        <w:t xml:space="preserve">Les panneaux sont fixés par </w:t>
      </w:r>
      <w:r>
        <w:rPr>
          <w:rStyle w:val="optioncarChar"/>
        </w:rPr>
        <w:t xml:space="preserve">serrage entre éléments d’ossature de la paroi </w:t>
      </w:r>
      <w:r>
        <w:t>(par défaut)</w:t>
      </w:r>
      <w:r>
        <w:rPr>
          <w:rStyle w:val="optioncarChar"/>
        </w:rPr>
        <w:t xml:space="preserve"> / fixation mécanique</w:t>
      </w:r>
    </w:p>
    <w:p w14:paraId="4163F2CE" w14:textId="77777777" w:rsidR="004B2808" w:rsidRDefault="00000000">
      <w:pPr>
        <w:jc w:val="both"/>
      </w:pPr>
      <w:r>
        <w:rPr>
          <w:b/>
        </w:rPr>
        <w:t>(soit par défaut)</w:t>
      </w:r>
    </w:p>
    <w:p w14:paraId="32669EDB" w14:textId="77777777" w:rsidR="004B2808" w:rsidRDefault="00000000">
      <w:pPr>
        <w:jc w:val="both"/>
      </w:pPr>
      <w:r>
        <w:rPr>
          <w:rStyle w:val="soitChar"/>
          <w:u w:val="single"/>
        </w:rPr>
        <w:t>Serrage entre éléments d’ossature de la paroi :</w:t>
      </w:r>
    </w:p>
    <w:p w14:paraId="25E8FF1E" w14:textId="77777777" w:rsidR="004B2808" w:rsidRDefault="00000000">
      <w:pPr>
        <w:pStyle w:val="Author-eListParagraph"/>
        <w:numPr>
          <w:ilvl w:val="0"/>
          <w:numId w:val="412"/>
        </w:numPr>
      </w:pPr>
      <w:r>
        <w:rPr>
          <w:rStyle w:val="soitChar"/>
        </w:rPr>
        <w:t>Les panneaux sont découpés avec un surdimensionnement de 10 à 30 mm et serrés entièrement.</w:t>
      </w:r>
    </w:p>
    <w:p w14:paraId="768FE747" w14:textId="77777777" w:rsidR="004B2808" w:rsidRDefault="00000000">
      <w:pPr>
        <w:pStyle w:val="Author-eListParagraph"/>
        <w:numPr>
          <w:ilvl w:val="0"/>
          <w:numId w:val="412"/>
        </w:numPr>
      </w:pPr>
      <w:r>
        <w:rPr>
          <w:rStyle w:val="soitChar"/>
        </w:rPr>
        <w:t>La fixation par serrage fait l’objet d’un contrôle visuel après pose.</w:t>
      </w:r>
    </w:p>
    <w:p w14:paraId="09A896A4" w14:textId="77777777" w:rsidR="004B2808" w:rsidRDefault="00000000">
      <w:pPr>
        <w:jc w:val="both"/>
      </w:pPr>
      <w:r>
        <w:rPr>
          <w:b/>
        </w:rPr>
        <w:t>(soit)</w:t>
      </w:r>
    </w:p>
    <w:p w14:paraId="23A7D132" w14:textId="77777777" w:rsidR="004B2808" w:rsidRDefault="00000000">
      <w:pPr>
        <w:jc w:val="both"/>
      </w:pPr>
      <w:r>
        <w:rPr>
          <w:rStyle w:val="soitChar"/>
          <w:u w:val="single"/>
        </w:rPr>
        <w:t>Fixation mécanique :</w:t>
      </w:r>
    </w:p>
    <w:p w14:paraId="781126CE" w14:textId="77777777" w:rsidR="004B2808" w:rsidRDefault="00000000">
      <w:pPr>
        <w:pStyle w:val="Author-eListParagraph"/>
        <w:numPr>
          <w:ilvl w:val="0"/>
          <w:numId w:val="413"/>
        </w:numPr>
      </w:pPr>
      <w:r>
        <w:rPr>
          <w:rStyle w:val="soitChar"/>
        </w:rPr>
        <w:t xml:space="preserve">Les fixations sont au nombre de : </w:t>
      </w:r>
      <w:r>
        <w:rPr>
          <w:rStyle w:val="optioncarChar"/>
        </w:rPr>
        <w:t xml:space="preserve">3 par panneau / 5 par m² </w:t>
      </w:r>
      <w:r>
        <w:t>(par défaut)</w:t>
      </w:r>
      <w:r>
        <w:rPr>
          <w:rStyle w:val="optioncarChar"/>
        </w:rPr>
        <w:t xml:space="preserve"> / ***</w:t>
      </w:r>
    </w:p>
    <w:p w14:paraId="450A9D27" w14:textId="77777777" w:rsidR="004B2808" w:rsidRDefault="00000000">
      <w:pPr>
        <w:pStyle w:val="Author-eListParagraph"/>
        <w:numPr>
          <w:ilvl w:val="0"/>
          <w:numId w:val="413"/>
        </w:numPr>
      </w:pPr>
      <w:r>
        <w:rPr>
          <w:rStyle w:val="soitChar"/>
        </w:rPr>
        <w:t xml:space="preserve">Elles sont munies de : </w:t>
      </w:r>
      <w:r>
        <w:rPr>
          <w:rStyle w:val="optioncarChar"/>
        </w:rPr>
        <w:t xml:space="preserve">rosace synthétique </w:t>
      </w:r>
      <w:r>
        <w:t>(par défaut)</w:t>
      </w:r>
      <w:r>
        <w:rPr>
          <w:rStyle w:val="optioncarChar"/>
        </w:rPr>
        <w:t xml:space="preserve"> / ***</w:t>
      </w:r>
    </w:p>
    <w:p w14:paraId="433BC5CC" w14:textId="77777777" w:rsidR="004B2808" w:rsidRDefault="00000000">
      <w:pPr>
        <w:pStyle w:val="Author-eListParagraph"/>
        <w:numPr>
          <w:ilvl w:val="0"/>
          <w:numId w:val="413"/>
        </w:numPr>
      </w:pPr>
      <w:r>
        <w:rPr>
          <w:rStyle w:val="soitChar"/>
        </w:rPr>
        <w:t xml:space="preserve">L’ancrage dans la paroi porteuse est </w:t>
      </w:r>
      <w:r>
        <w:rPr>
          <w:rStyle w:val="optioncarChar"/>
        </w:rPr>
        <w:t xml:space="preserve">synthétique </w:t>
      </w:r>
      <w:r>
        <w:t>(par défaut)</w:t>
      </w:r>
      <w:r>
        <w:rPr>
          <w:rStyle w:val="optioncarChar"/>
        </w:rPr>
        <w:t xml:space="preserve"> / métallique </w:t>
      </w:r>
    </w:p>
    <w:p w14:paraId="671FFAC6" w14:textId="77777777" w:rsidR="004B2808" w:rsidRDefault="00000000">
      <w:pPr>
        <w:pStyle w:val="Author-eListParagraph"/>
        <w:numPr>
          <w:ilvl w:val="0"/>
          <w:numId w:val="413"/>
        </w:numPr>
      </w:pPr>
      <w:r>
        <w:rPr>
          <w:rStyle w:val="soitChar"/>
        </w:rPr>
        <w:t xml:space="preserve">Les ancrages sont adaptés au support : </w:t>
      </w:r>
      <w:r>
        <w:rPr>
          <w:rStyle w:val="optioncarChar"/>
        </w:rPr>
        <w:t>à visser</w:t>
      </w:r>
      <w:r>
        <w:t xml:space="preserve"> (par défaut)</w:t>
      </w:r>
      <w:r>
        <w:rPr>
          <w:rStyle w:val="optioncarChar"/>
        </w:rPr>
        <w:t xml:space="preserve"> / ***</w:t>
      </w:r>
    </w:p>
    <w:p w14:paraId="50E46BB3" w14:textId="77777777" w:rsidR="004B2808" w:rsidRDefault="00000000">
      <w:pPr>
        <w:jc w:val="both"/>
      </w:pPr>
      <w:r>
        <w:rPr>
          <w:b/>
        </w:rPr>
        <w:t>Pour une application en plafond :</w:t>
      </w:r>
    </w:p>
    <w:p w14:paraId="66048FD6" w14:textId="77777777" w:rsidR="004B2808" w:rsidRDefault="00000000">
      <w:pPr>
        <w:jc w:val="both"/>
      </w:pPr>
      <w:r>
        <w:t>Les spécifications de mise en œuvre sont reprises dans la [NIT 232].</w:t>
      </w:r>
    </w:p>
    <w:p w14:paraId="580EEE77" w14:textId="77777777" w:rsidR="004B2808" w:rsidRDefault="00000000">
      <w:pPr>
        <w:jc w:val="both"/>
      </w:pPr>
      <w:r>
        <w:lastRenderedPageBreak/>
        <w:t>Aucun équipement électrique susceptible de créer une source de chaleur (spots, etc…) n’est mis en contact avec l’isolation en chanvre et un espace libre est garder en fonction des recommandations du fournisseur de l’appareil et/ou pose avec accessoires adaptés.</w:t>
      </w:r>
    </w:p>
    <w:p w14:paraId="4FDF3062" w14:textId="77777777" w:rsidR="004B2808" w:rsidRDefault="004B2808">
      <w:pPr>
        <w:jc w:val="both"/>
      </w:pPr>
    </w:p>
    <w:p w14:paraId="405001AF" w14:textId="77777777" w:rsidR="004B2808" w:rsidRDefault="00000000">
      <w:pPr>
        <w:jc w:val="both"/>
      </w:pPr>
      <w:r>
        <w:t xml:space="preserve">Le placement de l’isolation est assuré par : </w:t>
      </w:r>
      <w:r>
        <w:rPr>
          <w:rStyle w:val="optioncarChar"/>
        </w:rPr>
        <w:t xml:space="preserve">pose sur la structure de faux-plafond </w:t>
      </w:r>
      <w:r>
        <w:t>(par défaut)</w:t>
      </w:r>
      <w:r>
        <w:rPr>
          <w:rStyle w:val="optioncarChar"/>
        </w:rPr>
        <w:t xml:space="preserve"> / fixation au moyen d’un lattage / ***</w:t>
      </w:r>
    </w:p>
    <w:p w14:paraId="585D677F" w14:textId="77777777" w:rsidR="004B2808" w:rsidRDefault="00000000">
      <w:pPr>
        <w:jc w:val="both"/>
      </w:pPr>
      <w:r>
        <w:rPr>
          <w:b/>
        </w:rPr>
        <w:t>Pour une application en plancher :</w:t>
      </w:r>
    </w:p>
    <w:p w14:paraId="12585393" w14:textId="77777777" w:rsidR="004B2808" w:rsidRDefault="00000000">
      <w:pPr>
        <w:jc w:val="both"/>
      </w:pPr>
      <w:r>
        <w:t>Les panneaux sont disposés entre les lambourdes, chevrons ou poutres.</w:t>
      </w:r>
    </w:p>
    <w:p w14:paraId="618AD91C" w14:textId="77777777" w:rsidR="004B2808" w:rsidRDefault="004B2808">
      <w:pPr>
        <w:jc w:val="both"/>
      </w:pPr>
    </w:p>
    <w:p w14:paraId="26B7F58B" w14:textId="77777777" w:rsidR="004B2808" w:rsidRDefault="00000000">
      <w:pPr>
        <w:jc w:val="both"/>
      </w:pPr>
      <w:r>
        <w:t>L’isolation est posée par le :  </w:t>
      </w:r>
      <w:r>
        <w:rPr>
          <w:rStyle w:val="optioncarChar"/>
        </w:rPr>
        <w:t xml:space="preserve">dessus </w:t>
      </w:r>
      <w:r>
        <w:t>(par défaut)</w:t>
      </w:r>
      <w:r>
        <w:rPr>
          <w:rStyle w:val="optioncarChar"/>
        </w:rPr>
        <w:t xml:space="preserve"> / dessous des planchers</w:t>
      </w:r>
    </w:p>
    <w:p w14:paraId="7A539E53" w14:textId="77777777" w:rsidR="004B2808" w:rsidRDefault="00000000">
      <w:pPr>
        <w:jc w:val="both"/>
      </w:pPr>
      <w:r>
        <w:rPr>
          <w:b/>
        </w:rPr>
        <w:t>(soit par défaut)</w:t>
      </w:r>
    </w:p>
    <w:p w14:paraId="74EDC545" w14:textId="77777777" w:rsidR="004B2808" w:rsidRDefault="00000000">
      <w:pPr>
        <w:jc w:val="both"/>
      </w:pPr>
      <w:r>
        <w:rPr>
          <w:rStyle w:val="soitChar"/>
          <w:u w:val="single"/>
        </w:rPr>
        <w:t>Dessus des planchers :</w:t>
      </w:r>
    </w:p>
    <w:p w14:paraId="60B5D04A" w14:textId="77777777" w:rsidR="004B2808" w:rsidRDefault="00000000">
      <w:pPr>
        <w:jc w:val="both"/>
      </w:pPr>
      <w:r>
        <w:rPr>
          <w:rStyle w:val="soitChar"/>
        </w:rPr>
        <w:t xml:space="preserve">Le placement de l’isolation est assuré par : </w:t>
      </w:r>
      <w:r>
        <w:rPr>
          <w:rStyle w:val="optioncarChar"/>
        </w:rPr>
        <w:t>pose simple</w:t>
      </w:r>
      <w:r>
        <w:t xml:space="preserve"> (par défaut) </w:t>
      </w:r>
      <w:r>
        <w:rPr>
          <w:rStyle w:val="optioncarChar"/>
        </w:rPr>
        <w:t>/ ***.</w:t>
      </w:r>
    </w:p>
    <w:p w14:paraId="3A049A33" w14:textId="77777777" w:rsidR="004B2808" w:rsidRDefault="00000000">
      <w:pPr>
        <w:jc w:val="both"/>
      </w:pPr>
      <w:r>
        <w:rPr>
          <w:b/>
        </w:rPr>
        <w:t>(soit)</w:t>
      </w:r>
    </w:p>
    <w:p w14:paraId="5D9C5EE8" w14:textId="77777777" w:rsidR="004B2808" w:rsidRDefault="00000000">
      <w:pPr>
        <w:jc w:val="both"/>
      </w:pPr>
      <w:r>
        <w:rPr>
          <w:rStyle w:val="soitChar"/>
          <w:u w:val="single"/>
        </w:rPr>
        <w:t>Dessous des planchers :</w:t>
      </w:r>
    </w:p>
    <w:p w14:paraId="52F1D5F4" w14:textId="77777777" w:rsidR="004B2808" w:rsidRDefault="00000000">
      <w:pPr>
        <w:jc w:val="both"/>
      </w:pPr>
      <w:r>
        <w:rPr>
          <w:rStyle w:val="soitChar"/>
        </w:rPr>
        <w:t xml:space="preserve">Le placement de l’isolation est assuré par fixation : </w:t>
      </w:r>
      <w:r>
        <w:rPr>
          <w:rStyle w:val="optioncarChar"/>
        </w:rPr>
        <w:t xml:space="preserve">avec rosace à raison de 3 par m² </w:t>
      </w:r>
      <w:r>
        <w:t>(par défaut)</w:t>
      </w:r>
      <w:r>
        <w:rPr>
          <w:rStyle w:val="optioncarChar"/>
        </w:rPr>
        <w:t xml:space="preserve"> / au moyen d’un lattage / ***</w:t>
      </w:r>
    </w:p>
    <w:p w14:paraId="22A9CC28" w14:textId="77777777" w:rsidR="004B2808" w:rsidRDefault="00000000">
      <w:pPr>
        <w:pStyle w:val="pheading"/>
      </w:pPr>
      <w:r>
        <w:t>DOCUMENTS DE RÉFÉRENCE COMPLÉMENTAIRES</w:t>
      </w:r>
    </w:p>
    <w:p w14:paraId="6709DE30" w14:textId="77777777" w:rsidR="004B2808" w:rsidRDefault="00000000">
      <w:pPr>
        <w:pStyle w:val="pheading"/>
      </w:pPr>
      <w:r>
        <w:t>- Matériau</w:t>
      </w:r>
    </w:p>
    <w:p w14:paraId="009DD878" w14:textId="77777777" w:rsidR="004B2808" w:rsidRDefault="00000000">
      <w:r>
        <w:t>[NBN EN 822, Produits isolants thermiques destinés aux applications du bâtiment - Détermination de la longueur et de la largeur]</w:t>
      </w:r>
    </w:p>
    <w:p w14:paraId="42861ED4" w14:textId="77777777" w:rsidR="004B2808" w:rsidRDefault="00000000">
      <w:r>
        <w:t>[NBN EN 823, Produits isolants thermiques destinés aux applications du bâtiment - Détermination de l'épaisseur]</w:t>
      </w:r>
    </w:p>
    <w:p w14:paraId="2E597D70" w14:textId="77777777" w:rsidR="004B2808" w:rsidRDefault="00000000">
      <w:r>
        <w:t>[NBN EN ISO 29470, Produits isolants thermiques destinés aux applications du bâtiment - Détermination de la masse volumique apparente (ISO 29470:2020)]</w:t>
      </w:r>
    </w:p>
    <w:p w14:paraId="3A2E0F80" w14:textId="77777777" w:rsidR="004B2808" w:rsidRDefault="00000000">
      <w:r>
        <w:t>[NBN EN 1608, Produits isolants thermiques destinés aux applications du bâtiment - Détermination de la résistance à la traction parallèlement aux faces]</w:t>
      </w:r>
    </w:p>
    <w:p w14:paraId="141564DD" w14:textId="77777777" w:rsidR="004B2808" w:rsidRDefault="00000000">
      <w:r>
        <w:t>[NBN EN 12086, Produits isolants thermiques destinés aux applications du bâtiment - Détermination des propriétés de transmission de la vapeur d'eau]</w:t>
      </w:r>
    </w:p>
    <w:p w14:paraId="13CB3114" w14:textId="77777777" w:rsidR="004B2808"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752687FB" w14:textId="77777777" w:rsidR="004B2808" w:rsidRDefault="00000000">
      <w:r>
        <w:t>[NBN EN 13501-1, Classement au feu des produits et éléments de construction - Partie 1: Classement à partir des données d'essais de réaction au feu]</w:t>
      </w:r>
    </w:p>
    <w:p w14:paraId="623B9F78" w14:textId="77777777" w:rsidR="004B2808" w:rsidRDefault="00000000">
      <w:r>
        <w:t>[NBN ISO 16000 série, Air intérieur]</w:t>
      </w:r>
    </w:p>
    <w:p w14:paraId="24619F07" w14:textId="77777777" w:rsidR="004B2808" w:rsidRDefault="00000000">
      <w:pPr>
        <w:pStyle w:val="pheading"/>
      </w:pPr>
      <w:r>
        <w:t>- Exécution</w:t>
      </w:r>
    </w:p>
    <w:p w14:paraId="501EA09D" w14:textId="77777777" w:rsidR="004B2808" w:rsidRDefault="00000000">
      <w:r>
        <w:t>[NIT 232, Les plafonds suspendus.]</w:t>
      </w:r>
    </w:p>
    <w:p w14:paraId="42049568" w14:textId="77777777" w:rsidR="004B2808" w:rsidRDefault="00000000">
      <w:r>
        <w:t>[NIT 233, Les cloisons légères.]</w:t>
      </w:r>
    </w:p>
    <w:p w14:paraId="44E47F9D" w14:textId="77777777" w:rsidR="004B2808" w:rsidRDefault="00000000">
      <w:pPr>
        <w:pStyle w:val="pheading"/>
      </w:pPr>
      <w:r>
        <w:t>MESURAGE</w:t>
      </w:r>
    </w:p>
    <w:p w14:paraId="0D0072CB" w14:textId="77777777" w:rsidR="004B2808" w:rsidRDefault="00000000">
      <w:pPr>
        <w:pStyle w:val="pheading"/>
      </w:pPr>
      <w:r>
        <w:t>- unité de mesure:</w:t>
      </w:r>
    </w:p>
    <w:p w14:paraId="65409788" w14:textId="77777777" w:rsidR="004B2808" w:rsidRDefault="00000000">
      <w:r>
        <w:t>m²</w:t>
      </w:r>
    </w:p>
    <w:p w14:paraId="7A0228AD" w14:textId="77777777" w:rsidR="004B2808" w:rsidRDefault="00000000">
      <w:pPr>
        <w:pStyle w:val="pheading"/>
      </w:pPr>
      <w:r>
        <w:t>- code de mesurage:</w:t>
      </w:r>
    </w:p>
    <w:p w14:paraId="3FDF60BF" w14:textId="77777777" w:rsidR="004B2808" w:rsidRDefault="00000000">
      <w:pPr>
        <w:jc w:val="both"/>
      </w:pPr>
      <w:r>
        <w:lastRenderedPageBreak/>
        <w:t>Distinction faite suivant l'épaisseur.</w:t>
      </w:r>
    </w:p>
    <w:p w14:paraId="778F4870" w14:textId="77777777" w:rsidR="004B2808" w:rsidRDefault="00000000">
      <w:pPr>
        <w:pStyle w:val="Author-eListParagraph"/>
        <w:numPr>
          <w:ilvl w:val="0"/>
          <w:numId w:val="414"/>
        </w:numPr>
        <w:jc w:val="both"/>
      </w:pPr>
      <w:r>
        <w:t>Isolation des parois verticales : Surface nette. Les ouvertures ˃ 0,50 m² sont déduites.</w:t>
      </w:r>
    </w:p>
    <w:p w14:paraId="4EDAF4B6" w14:textId="77777777" w:rsidR="004B2808" w:rsidRDefault="00000000">
      <w:pPr>
        <w:pStyle w:val="Author-eListParagraph"/>
        <w:numPr>
          <w:ilvl w:val="0"/>
          <w:numId w:val="414"/>
        </w:numPr>
        <w:jc w:val="both"/>
      </w:pPr>
      <w:r>
        <w:t>Isolation des parois horizontales : Surface nette du sol, mesurée entre le nu des murs. Les ouvertures ˃ 0,5 m² sont déduites. L'isolation périphérique n’est pas portée en compte séparément.</w:t>
      </w:r>
    </w:p>
    <w:p w14:paraId="40EAC60E" w14:textId="77777777" w:rsidR="004B2808" w:rsidRDefault="00000000">
      <w:pPr>
        <w:pStyle w:val="pheading"/>
      </w:pPr>
      <w:r>
        <w:t>- nature du marché:</w:t>
      </w:r>
    </w:p>
    <w:p w14:paraId="09BCDC0F" w14:textId="77777777" w:rsidR="004B2808" w:rsidRDefault="00000000">
      <w:r>
        <w:t>QF</w:t>
      </w:r>
    </w:p>
    <w:p w14:paraId="2D52DE2D" w14:textId="77777777" w:rsidR="004B2808" w:rsidRDefault="00000000">
      <w:pPr>
        <w:pStyle w:val="Author-eSectionHeading6Numberless"/>
      </w:pPr>
      <w:bookmarkStart w:id="401" w:name="_Toc220490577"/>
      <w:r>
        <w:t>52.41.3f Isolation en panneaux - laine de lin CCTB 01.12</w:t>
      </w:r>
      <w:bookmarkEnd w:id="401"/>
    </w:p>
    <w:p w14:paraId="5F223D10" w14:textId="77777777" w:rsidR="004B2808" w:rsidRDefault="00000000">
      <w:pPr>
        <w:pStyle w:val="pheading"/>
      </w:pPr>
      <w:r>
        <w:t>DESCRIPTION</w:t>
      </w:r>
    </w:p>
    <w:p w14:paraId="3F8D6B0D" w14:textId="77777777" w:rsidR="004B2808" w:rsidRDefault="00000000">
      <w:pPr>
        <w:pStyle w:val="pheading"/>
      </w:pPr>
      <w:r>
        <w:t>- Définition / Comprend</w:t>
      </w:r>
    </w:p>
    <w:p w14:paraId="2F509C34" w14:textId="77777777" w:rsidR="004B2808" w:rsidRDefault="00000000">
      <w:pPr>
        <w:jc w:val="both"/>
      </w:pPr>
      <w:r>
        <w:t xml:space="preserve">Il s’agit de la fourniture et la pose d’une isolation thermique au moyen de panneaux de laine de lin des parois et éléments de construction décrits au titre </w:t>
      </w:r>
      <w:hyperlink w:anchor="73" w:history="1">
        <w:r w:rsidR="004B2808">
          <w:rPr>
            <w:color w:val="0000EE"/>
          </w:rPr>
          <w:t>52.4 Isolation</w:t>
        </w:r>
      </w:hyperlink>
      <w:r>
        <w:t>.</w:t>
      </w:r>
    </w:p>
    <w:p w14:paraId="42853F7F" w14:textId="77777777" w:rsidR="004B2808" w:rsidRDefault="00000000">
      <w:pPr>
        <w:pStyle w:val="pheading"/>
      </w:pPr>
      <w:r>
        <w:t>- Localisation</w:t>
      </w:r>
    </w:p>
    <w:p w14:paraId="0CE1C55B" w14:textId="77777777" w:rsidR="004B2808" w:rsidRDefault="00000000">
      <w:r>
        <w:t>Localisation des travaux :</w:t>
      </w:r>
      <w:r>
        <w:rPr>
          <w:rStyle w:val="optioncarChar"/>
        </w:rPr>
        <w:t xml:space="preserve"> ***</w:t>
      </w:r>
      <w:r>
        <w:t>.</w:t>
      </w:r>
    </w:p>
    <w:p w14:paraId="4C5CDBD8" w14:textId="77777777" w:rsidR="004B2808" w:rsidRDefault="00000000">
      <w:r>
        <w:t>Voir plans et métrés détaillés.</w:t>
      </w:r>
    </w:p>
    <w:p w14:paraId="216AD89E" w14:textId="77777777" w:rsidR="004B2808" w:rsidRDefault="00000000">
      <w:pPr>
        <w:pStyle w:val="pheading"/>
      </w:pPr>
      <w:r>
        <w:t>MATÉRIAUX</w:t>
      </w:r>
    </w:p>
    <w:p w14:paraId="1B04F580" w14:textId="77777777" w:rsidR="004B2808" w:rsidRDefault="00000000">
      <w:pPr>
        <w:pStyle w:val="pheading"/>
      </w:pPr>
      <w:r>
        <w:t>- Caractéristiques générales</w:t>
      </w:r>
    </w:p>
    <w:p w14:paraId="284AE9A5" w14:textId="77777777" w:rsidR="004B2808" w:rsidRDefault="00000000">
      <w:pPr>
        <w:jc w:val="both"/>
      </w:pPr>
      <w:r>
        <w:t>Le produit est constitué de fibres naturelles liées entre elles par des fibres polyester thermo fusibles afin de former un matelas isolant. Le produit est ensuite conditionné sous forme de panneaux.</w:t>
      </w:r>
    </w:p>
    <w:p w14:paraId="5CF236FB" w14:textId="77777777" w:rsidR="004B2808" w:rsidRDefault="00000000">
      <w:pPr>
        <w:jc w:val="both"/>
      </w:pPr>
      <w:r>
        <w:t>Le surfaçage des panneaux est de type : </w:t>
      </w:r>
      <w:r>
        <w:rPr>
          <w:rStyle w:val="optioncarChar"/>
        </w:rPr>
        <w:t>nu</w:t>
      </w:r>
      <w:r>
        <w:t xml:space="preserve"> (par défaut)</w:t>
      </w:r>
      <w:r>
        <w:rPr>
          <w:rStyle w:val="optioncarChar"/>
        </w:rPr>
        <w:t xml:space="preserve"> / ***</w:t>
      </w:r>
      <w:r>
        <w:t>.</w:t>
      </w:r>
    </w:p>
    <w:p w14:paraId="5334256E" w14:textId="77777777" w:rsidR="004B2808" w:rsidRDefault="00000000">
      <w:pPr>
        <w:jc w:val="both"/>
      </w:pPr>
      <w:r>
        <w:t xml:space="preserve">Épaisseur totale de l’isolation : </w:t>
      </w:r>
      <w:r>
        <w:rPr>
          <w:rStyle w:val="optioncarChar"/>
        </w:rPr>
        <w:t>***</w:t>
      </w:r>
      <w:r>
        <w:t> mm.</w:t>
      </w:r>
    </w:p>
    <w:p w14:paraId="128CDC88" w14:textId="77777777" w:rsidR="004B2808" w:rsidRDefault="00000000">
      <w:pPr>
        <w:jc w:val="both"/>
      </w:pPr>
      <w:r>
        <w:t xml:space="preserve">Épaisseur (selon [NBN EN 823]) : </w:t>
      </w:r>
      <w:r>
        <w:rPr>
          <w:rStyle w:val="optioncarChar"/>
        </w:rPr>
        <w:t>40 / 60 / 80 / 100 / 120 / 140 / 160 / 200 / 220 / 250</w:t>
      </w:r>
      <w:r>
        <w:t xml:space="preserve"> mm en panneau de dimensions </w:t>
      </w:r>
      <w:r>
        <w:rPr>
          <w:rStyle w:val="optioncarChar"/>
        </w:rPr>
        <w:t>1250 x 600</w:t>
      </w:r>
      <w:r>
        <w:t xml:space="preserve"> (par défaut)</w:t>
      </w:r>
      <w:r>
        <w:rPr>
          <w:rStyle w:val="optioncarChar"/>
        </w:rPr>
        <w:t xml:space="preserve"> / selon choix de l’entreprise / ***</w:t>
      </w:r>
      <w:r>
        <w:t xml:space="preserve"> mm</w:t>
      </w:r>
    </w:p>
    <w:p w14:paraId="40F512A4" w14:textId="77777777" w:rsidR="004B2808" w:rsidRDefault="00000000">
      <w:pPr>
        <w:jc w:val="both"/>
      </w:pPr>
      <w:r>
        <w:t xml:space="preserve">Les panneaux sont disposés en </w:t>
      </w:r>
      <w:r>
        <w:rPr>
          <w:rStyle w:val="optioncarChar"/>
        </w:rPr>
        <w:t>1</w:t>
      </w:r>
      <w:r>
        <w:t xml:space="preserve"> (par défaut) </w:t>
      </w:r>
      <w:r>
        <w:rPr>
          <w:rStyle w:val="optioncarChar"/>
        </w:rPr>
        <w:t>/ ***</w:t>
      </w:r>
      <w:r>
        <w:t> couche(s).</w:t>
      </w:r>
    </w:p>
    <w:p w14:paraId="14D8F120" w14:textId="77777777" w:rsidR="004B2808" w:rsidRDefault="00000000">
      <w:pPr>
        <w:jc w:val="both"/>
      </w:pPr>
      <w:r>
        <w:t xml:space="preserve">Densité (selon [NBN EN ISO 29470]) : </w:t>
      </w:r>
      <w:r>
        <w:rPr>
          <w:rStyle w:val="optioncarChar"/>
        </w:rPr>
        <w:t>30 (variations de plus à moins 10%)</w:t>
      </w:r>
      <w:r>
        <w:t xml:space="preserve"> (par défaut)</w:t>
      </w:r>
      <w:r>
        <w:rPr>
          <w:rStyle w:val="optioncarChar"/>
        </w:rPr>
        <w:t xml:space="preserve"> / ***</w:t>
      </w:r>
      <w:r>
        <w:t xml:space="preserve"> kg/m³.</w:t>
      </w:r>
    </w:p>
    <w:p w14:paraId="61A72068" w14:textId="77777777" w:rsidR="004B2808" w:rsidRDefault="00000000">
      <w:pPr>
        <w:jc w:val="both"/>
      </w:pPr>
      <w:r>
        <w:t xml:space="preserve">Conductivité thermique (selon [NBN EN 12667]) : </w:t>
      </w:r>
      <w:r>
        <w:rPr>
          <w:rStyle w:val="optioncarChar"/>
        </w:rPr>
        <w:t xml:space="preserve">0,038 </w:t>
      </w:r>
      <w:r>
        <w:t>(par défaut)</w:t>
      </w:r>
      <w:r>
        <w:rPr>
          <w:rStyle w:val="optioncarChar"/>
        </w:rPr>
        <w:t xml:space="preserve"> / ***</w:t>
      </w:r>
      <w:r>
        <w:t xml:space="preserve"> W/mK.</w:t>
      </w:r>
    </w:p>
    <w:p w14:paraId="63931011" w14:textId="77777777" w:rsidR="004B2808" w:rsidRDefault="00000000">
      <w:pPr>
        <w:jc w:val="both"/>
      </w:pPr>
      <w:r>
        <w:t xml:space="preserve">Les liants des panneaux et d’adhésion du revêtement de surface ne contiennent pas de formaldéhyde. Le dégagement mesuré selon la [NBN EN 717-1] est inférieur à </w:t>
      </w:r>
      <w:r>
        <w:rPr>
          <w:rStyle w:val="optioncarChar"/>
        </w:rPr>
        <w:t xml:space="preserve">0.124 </w:t>
      </w:r>
      <w:r>
        <w:t>(par défaut)</w:t>
      </w:r>
      <w:r>
        <w:rPr>
          <w:rStyle w:val="optioncarChar"/>
        </w:rPr>
        <w:t xml:space="preserve"> / ***</w:t>
      </w:r>
      <w:r>
        <w:t xml:space="preserve"> mg/m³.</w:t>
      </w:r>
    </w:p>
    <w:p w14:paraId="1BDC57A9" w14:textId="77777777" w:rsidR="004B2808" w:rsidRDefault="00000000">
      <w:pPr>
        <w:jc w:val="both"/>
      </w:pPr>
      <w:r>
        <w:t xml:space="preserve">La concentration de pentachlorophénol mesurée selon la [CEN/TR 14823] est inférieure à </w:t>
      </w:r>
      <w:r>
        <w:rPr>
          <w:rStyle w:val="optioncarChar"/>
        </w:rPr>
        <w:t xml:space="preserve">5 </w:t>
      </w:r>
      <w:r>
        <w:t>(par défaut)</w:t>
      </w:r>
      <w:r>
        <w:rPr>
          <w:rStyle w:val="optioncarChar"/>
        </w:rPr>
        <w:t xml:space="preserve"> / ***</w:t>
      </w:r>
      <w:r>
        <w:t xml:space="preserve"> PPM.</w:t>
      </w:r>
    </w:p>
    <w:p w14:paraId="6F1BAF0E" w14:textId="77777777" w:rsidR="004B2808" w:rsidRDefault="00000000">
      <w:pPr>
        <w:jc w:val="both"/>
      </w:pPr>
      <w:r>
        <w:t xml:space="preserve">Les liants des panneaux sont issus de </w:t>
      </w:r>
      <w:r>
        <w:rPr>
          <w:rStyle w:val="optioncarChar"/>
        </w:rPr>
        <w:t xml:space="preserve">matières premières végétales </w:t>
      </w:r>
      <w:r>
        <w:t>(par défaut)</w:t>
      </w:r>
      <w:r>
        <w:rPr>
          <w:rStyle w:val="optioncarChar"/>
        </w:rPr>
        <w:t xml:space="preserve"> / dérivés pétrochimiques / ***</w:t>
      </w:r>
      <w:r>
        <w:t>.</w:t>
      </w:r>
    </w:p>
    <w:p w14:paraId="1417A2ED" w14:textId="77777777" w:rsidR="004B2808" w:rsidRDefault="00000000">
      <w:pPr>
        <w:jc w:val="both"/>
      </w:pPr>
      <w:r>
        <w:t xml:space="preserve">Les adjuvants ignifuges et biocides sont de type : </w:t>
      </w:r>
      <w:r>
        <w:rPr>
          <w:rStyle w:val="optioncarChar"/>
        </w:rPr>
        <w:t xml:space="preserve">pas d’adjuvant </w:t>
      </w:r>
      <w:r>
        <w:t xml:space="preserve">(par défaut) </w:t>
      </w:r>
      <w:r>
        <w:rPr>
          <w:rStyle w:val="optioncarChar"/>
        </w:rPr>
        <w:t>/ sels de Bore / sels d’ammonium / ***</w:t>
      </w:r>
      <w:r>
        <w:t xml:space="preserve">. Les adjuvants respectent le [Règlement 1907/2006/CE]. La concentration maximum des adjuvants est de </w:t>
      </w:r>
      <w:r>
        <w:rPr>
          <w:rStyle w:val="optioncarChar"/>
        </w:rPr>
        <w:t xml:space="preserve">4% </w:t>
      </w:r>
      <w:r>
        <w:t>(par défaut)</w:t>
      </w:r>
      <w:r>
        <w:rPr>
          <w:rStyle w:val="optioncarChar"/>
        </w:rPr>
        <w:t xml:space="preserve"> / ***</w:t>
      </w:r>
      <w:r>
        <w:t>.</w:t>
      </w:r>
    </w:p>
    <w:p w14:paraId="69D214DE" w14:textId="77777777" w:rsidR="004B2808" w:rsidRDefault="00000000">
      <w:pPr>
        <w:ind w:left="750"/>
      </w:pPr>
      <w:r>
        <w:t> </w:t>
      </w:r>
    </w:p>
    <w:p w14:paraId="3B778062" w14:textId="77777777" w:rsidR="004B2808" w:rsidRDefault="00000000">
      <w:pPr>
        <w:pStyle w:val="pheading"/>
      </w:pPr>
      <w:r>
        <w:t>- Prescriptions complémentaires</w:t>
      </w:r>
    </w:p>
    <w:p w14:paraId="7285137A" w14:textId="77777777" w:rsidR="004B2808" w:rsidRDefault="00000000">
      <w:pPr>
        <w:jc w:val="both"/>
      </w:pPr>
      <w:r>
        <w:rPr>
          <w:rStyle w:val="facultChar"/>
        </w:rPr>
        <w:t xml:space="preserve">Coefficient de résistance à la diffusion de vapeur d’eau – valeur μ (selon [NBN EN 12086]): </w:t>
      </w:r>
      <w:r>
        <w:rPr>
          <w:rStyle w:val="optioncarChar"/>
        </w:rPr>
        <w:t xml:space="preserve">1 </w:t>
      </w:r>
      <w:r>
        <w:t xml:space="preserve">(par défaut) </w:t>
      </w:r>
      <w:r>
        <w:rPr>
          <w:rStyle w:val="optioncarChar"/>
        </w:rPr>
        <w:t>/ ***</w:t>
      </w:r>
      <w:r>
        <w:rPr>
          <w:rStyle w:val="facultChar"/>
        </w:rPr>
        <w:t>.</w:t>
      </w:r>
    </w:p>
    <w:p w14:paraId="76493464" w14:textId="77777777" w:rsidR="004B2808" w:rsidRDefault="00000000">
      <w:pPr>
        <w:jc w:val="both"/>
      </w:pPr>
      <w:r>
        <w:rPr>
          <w:rStyle w:val="facultChar"/>
        </w:rPr>
        <w:t xml:space="preserve">Absorption d’eau à court terme par immersion partielle Wp (selon [NBN EN ISO 29767]) : inférieure à </w:t>
      </w:r>
      <w:r>
        <w:rPr>
          <w:rStyle w:val="optioncarChar"/>
        </w:rPr>
        <w:t xml:space="preserve">5,00 </w:t>
      </w:r>
      <w:r>
        <w:t>(par défaut)</w:t>
      </w:r>
      <w:r>
        <w:rPr>
          <w:rStyle w:val="optioncarChar"/>
        </w:rPr>
        <w:t xml:space="preserve"> / ***</w:t>
      </w:r>
      <w:r>
        <w:rPr>
          <w:rStyle w:val="facultChar"/>
        </w:rPr>
        <w:t xml:space="preserve"> kg/m².</w:t>
      </w:r>
    </w:p>
    <w:p w14:paraId="716BD0F1" w14:textId="77777777" w:rsidR="004B2808" w:rsidRDefault="00000000">
      <w:pPr>
        <w:jc w:val="both"/>
      </w:pPr>
      <w:r>
        <w:rPr>
          <w:rStyle w:val="facultChar"/>
        </w:rPr>
        <w:t xml:space="preserve">La résistance au passage de l’air (selon [NBN EN ISO 9053-1]):  &gt; </w:t>
      </w:r>
      <w:r>
        <w:rPr>
          <w:rStyle w:val="optioncarChar"/>
        </w:rPr>
        <w:t xml:space="preserve">6,2 </w:t>
      </w:r>
      <w:r>
        <w:t>(par défaut)</w:t>
      </w:r>
      <w:r>
        <w:rPr>
          <w:rStyle w:val="optioncarChar"/>
        </w:rPr>
        <w:t xml:space="preserve"> / ***</w:t>
      </w:r>
      <w:r>
        <w:rPr>
          <w:rStyle w:val="facultChar"/>
        </w:rPr>
        <w:t xml:space="preserve"> kPa.s/m².</w:t>
      </w:r>
    </w:p>
    <w:p w14:paraId="503BAE0D" w14:textId="77777777" w:rsidR="004B2808" w:rsidRDefault="00000000">
      <w:pPr>
        <w:jc w:val="both"/>
      </w:pPr>
      <w:r>
        <w:rPr>
          <w:rStyle w:val="facultChar"/>
        </w:rPr>
        <w:lastRenderedPageBreak/>
        <w:t xml:space="preserve">Résistance fongique (selon [NBN EN ISO 846]) : </w:t>
      </w:r>
      <w:r>
        <w:rPr>
          <w:rStyle w:val="optioncarChar"/>
        </w:rPr>
        <w:t xml:space="preserve">classe 0 (inerte) </w:t>
      </w:r>
      <w:r>
        <w:t>(par défaut)</w:t>
      </w:r>
      <w:r>
        <w:rPr>
          <w:rStyle w:val="optioncarChar"/>
        </w:rPr>
        <w:t xml:space="preserve"> / ***</w:t>
      </w:r>
      <w:r>
        <w:rPr>
          <w:rStyle w:val="facultChar"/>
        </w:rPr>
        <w:t>.</w:t>
      </w:r>
    </w:p>
    <w:p w14:paraId="1C911658" w14:textId="77777777" w:rsidR="004B2808" w:rsidRDefault="00000000">
      <w:pPr>
        <w:jc w:val="both"/>
      </w:pPr>
      <w:r>
        <w:rPr>
          <w:rStyle w:val="facultChar"/>
        </w:rPr>
        <w:t xml:space="preserve">Capacité thermique : </w:t>
      </w:r>
      <w:r>
        <w:rPr>
          <w:rStyle w:val="optioncarChar"/>
        </w:rPr>
        <w:t>1,8</w:t>
      </w:r>
      <w:r>
        <w:t xml:space="preserve"> (par défaut)</w:t>
      </w:r>
      <w:r>
        <w:rPr>
          <w:rStyle w:val="optioncarChar"/>
        </w:rPr>
        <w:t xml:space="preserve"> / ***</w:t>
      </w:r>
      <w:r>
        <w:rPr>
          <w:rStyle w:val="facultChar"/>
        </w:rPr>
        <w:t>kJ/kg.K.</w:t>
      </w:r>
    </w:p>
    <w:p w14:paraId="0512FDD9" w14:textId="77777777" w:rsidR="004B2808" w:rsidRDefault="00000000">
      <w:pPr>
        <w:jc w:val="both"/>
      </w:pPr>
      <w:r>
        <w:rPr>
          <w:rStyle w:val="facultChar"/>
        </w:rPr>
        <w:t xml:space="preserve">Classement de la réaction au feu (selon [NBN EN 13501-1]) : </w:t>
      </w:r>
      <w:r>
        <w:rPr>
          <w:rStyle w:val="optioncarChar"/>
        </w:rPr>
        <w:t>E</w:t>
      </w:r>
      <w:r>
        <w:t xml:space="preserve"> (par défaut) </w:t>
      </w:r>
      <w:r>
        <w:rPr>
          <w:rStyle w:val="optioncarChar"/>
        </w:rPr>
        <w:t>/ ***</w:t>
      </w:r>
      <w:r>
        <w:rPr>
          <w:rStyle w:val="facultChar"/>
        </w:rPr>
        <w:t>.</w:t>
      </w:r>
    </w:p>
    <w:p w14:paraId="44A11312" w14:textId="77777777" w:rsidR="004B2808" w:rsidRDefault="00000000">
      <w:pPr>
        <w:jc w:val="both"/>
      </w:pPr>
      <w:r>
        <w:rPr>
          <w:rStyle w:val="facultChar"/>
        </w:rPr>
        <w:t xml:space="preserve">Taux de liant synthétique (polyester) : </w:t>
      </w:r>
      <w:r>
        <w:rPr>
          <w:rStyle w:val="optioncarChar"/>
        </w:rPr>
        <w:t xml:space="preserve">10% (+/- 2%) </w:t>
      </w:r>
      <w:r>
        <w:t>(par défaut)</w:t>
      </w:r>
      <w:r>
        <w:rPr>
          <w:rStyle w:val="optioncarChar"/>
        </w:rPr>
        <w:t xml:space="preserve"> / ***</w:t>
      </w:r>
      <w:r>
        <w:rPr>
          <w:rStyle w:val="facultChar"/>
        </w:rPr>
        <w:t>.</w:t>
      </w:r>
    </w:p>
    <w:p w14:paraId="72657DF1" w14:textId="77777777" w:rsidR="004B2808" w:rsidRDefault="00000000">
      <w:pPr>
        <w:pStyle w:val="pheading"/>
      </w:pPr>
      <w:r>
        <w:t>EXÉCUTION / MISE EN ŒUVRE</w:t>
      </w:r>
    </w:p>
    <w:p w14:paraId="3A9D6FAD" w14:textId="77777777" w:rsidR="004B2808" w:rsidRDefault="00000000">
      <w:pPr>
        <w:pStyle w:val="pheading"/>
      </w:pPr>
      <w:r>
        <w:t>- Prescriptions générales</w:t>
      </w:r>
    </w:p>
    <w:p w14:paraId="44D213B1" w14:textId="77777777" w:rsidR="004B2808" w:rsidRDefault="00000000">
      <w:pPr>
        <w:jc w:val="both"/>
      </w:pPr>
      <w:r>
        <w:t>L’isolant est découpé sur chantier avec un couteau à lame lisse ou ondulée, ou à l’aide d’un disque de fer lisse monté sur une disqueuse. Une règle de maçon et un support rigide (planche de bois ou plaque de plâtre) doivent également être utilisés.</w:t>
      </w:r>
    </w:p>
    <w:p w14:paraId="4A4A50F5" w14:textId="77777777" w:rsidR="004B2808" w:rsidRDefault="00000000">
      <w:pPr>
        <w:jc w:val="both"/>
      </w:pPr>
      <w:r>
        <w:t>Les panneaux sont contigus. Les espaces éventuels entre panneaux ou de liaison avec les parois sont comblés avec un isolant de même type.</w:t>
      </w:r>
    </w:p>
    <w:p w14:paraId="201090D0" w14:textId="77777777" w:rsidR="004B2808" w:rsidRDefault="00000000">
      <w:pPr>
        <w:jc w:val="both"/>
      </w:pPr>
      <w:r>
        <w:t>Les fixations sont disposées afin de ne pas réduire les performances acoustiques.</w:t>
      </w:r>
    </w:p>
    <w:p w14:paraId="36902BD1" w14:textId="77777777" w:rsidR="004B2808" w:rsidRDefault="00000000">
      <w:pPr>
        <w:jc w:val="both"/>
      </w:pPr>
      <w:r>
        <w:t>Il n’est pas permis d’installer dans l’épaisseur de l’isolation à réaliser tout matériel électrique non protégé susceptible de créer une source de chaleur continue (spots, transformateurs).</w:t>
      </w:r>
    </w:p>
    <w:p w14:paraId="53EDC9DD" w14:textId="77777777" w:rsidR="004B2808" w:rsidRDefault="00000000">
      <w:pPr>
        <w:jc w:val="both"/>
      </w:pPr>
      <w:r>
        <w:rPr>
          <w:b/>
        </w:rPr>
        <w:t>Pour une application en plafond</w:t>
      </w:r>
    </w:p>
    <w:p w14:paraId="6466146D" w14:textId="77777777" w:rsidR="004B2808" w:rsidRDefault="00000000">
      <w:pPr>
        <w:jc w:val="both"/>
      </w:pPr>
      <w:r>
        <w:t>Les panneaux sont disposés entre les suspends. L’application est conforme à la [NIT 232].</w:t>
      </w:r>
    </w:p>
    <w:p w14:paraId="3B2A7E14" w14:textId="77777777" w:rsidR="004B2808" w:rsidRDefault="00000000">
      <w:pPr>
        <w:jc w:val="both"/>
      </w:pPr>
      <w:r>
        <w:t xml:space="preserve">Le placement de l’isolation est assuré par </w:t>
      </w:r>
      <w:r>
        <w:rPr>
          <w:rStyle w:val="optioncarChar"/>
        </w:rPr>
        <w:t>pose sur la structure de faux-plafond</w:t>
      </w:r>
      <w:r>
        <w:t xml:space="preserve"> (par défaut) </w:t>
      </w:r>
      <w:r>
        <w:rPr>
          <w:rStyle w:val="optioncarChar"/>
        </w:rPr>
        <w:t>/ agrafage à raison de 5 par m et par côté / par lattage (latte de minimum 15x23mm espacées de 30 cm dont les dimensions sont adaptées en fonction des fixations) / ***</w:t>
      </w:r>
      <w:r>
        <w:t>. </w:t>
      </w:r>
    </w:p>
    <w:p w14:paraId="68338EFE" w14:textId="77777777" w:rsidR="004B2808" w:rsidRDefault="00000000">
      <w:pPr>
        <w:jc w:val="both"/>
      </w:pPr>
      <w:r>
        <w:rPr>
          <w:b/>
        </w:rPr>
        <w:t>Pour une application verticale</w:t>
      </w:r>
    </w:p>
    <w:p w14:paraId="1D019C4A" w14:textId="77777777" w:rsidR="004B2808" w:rsidRDefault="00000000">
      <w:pPr>
        <w:jc w:val="both"/>
      </w:pPr>
      <w:r>
        <w:t>Les panneaux sont disposés entre montants, chevrons ou poutres. L’application est conforme à la [NIT 233].</w:t>
      </w:r>
    </w:p>
    <w:p w14:paraId="61D57994" w14:textId="77777777" w:rsidR="004B2808" w:rsidRDefault="00000000">
      <w:pPr>
        <w:jc w:val="both"/>
      </w:pPr>
      <w:r>
        <w:t xml:space="preserve">Les panneaux sont fixés par </w:t>
      </w:r>
      <w:r>
        <w:rPr>
          <w:rStyle w:val="optioncarChar"/>
        </w:rPr>
        <w:t xml:space="preserve">fixation mécanique </w:t>
      </w:r>
      <w:r>
        <w:t>(par défaut)</w:t>
      </w:r>
      <w:r>
        <w:rPr>
          <w:rStyle w:val="optioncarChar"/>
        </w:rPr>
        <w:t xml:space="preserve"> / serrage et agrafage entre éléments / ***</w:t>
      </w:r>
    </w:p>
    <w:p w14:paraId="55A61388" w14:textId="77777777" w:rsidR="004B2808" w:rsidRDefault="00000000">
      <w:pPr>
        <w:ind w:left="567"/>
        <w:jc w:val="both"/>
      </w:pPr>
      <w:r>
        <w:rPr>
          <w:b/>
          <w:i/>
        </w:rPr>
        <w:t>(Soit par défaut) </w:t>
      </w:r>
    </w:p>
    <w:p w14:paraId="5F483068" w14:textId="77777777" w:rsidR="004B2808" w:rsidRDefault="00000000">
      <w:pPr>
        <w:ind w:left="567"/>
        <w:jc w:val="both"/>
      </w:pPr>
      <w:r>
        <w:rPr>
          <w:rStyle w:val="soitChar"/>
          <w:b/>
          <w:u w:val="single"/>
        </w:rPr>
        <w:t>Par fixation mécanique</w:t>
      </w:r>
    </w:p>
    <w:p w14:paraId="6F75E41D" w14:textId="77777777" w:rsidR="004B2808" w:rsidRDefault="00000000">
      <w:pPr>
        <w:ind w:left="567"/>
        <w:jc w:val="both"/>
      </w:pPr>
      <w:r>
        <w:rPr>
          <w:rStyle w:val="soitChar"/>
        </w:rPr>
        <w:t xml:space="preserve">Les fixations sont au nombre de </w:t>
      </w:r>
      <w:r>
        <w:rPr>
          <w:rStyle w:val="optioncarChar"/>
        </w:rPr>
        <w:t xml:space="preserve">5 par m² </w:t>
      </w:r>
      <w:r>
        <w:t>(par défaut)</w:t>
      </w:r>
      <w:r>
        <w:rPr>
          <w:rStyle w:val="optioncarChar"/>
        </w:rPr>
        <w:t xml:space="preserve"> / 8 par m² / ***</w:t>
      </w:r>
      <w:r>
        <w:rPr>
          <w:rStyle w:val="soitChar"/>
        </w:rPr>
        <w:t xml:space="preserve">. Elles sont munies de </w:t>
      </w:r>
      <w:r>
        <w:rPr>
          <w:rStyle w:val="optioncarChar"/>
        </w:rPr>
        <w:t xml:space="preserve">rosace métallique </w:t>
      </w:r>
      <w:r>
        <w:t>(par défaut) </w:t>
      </w:r>
      <w:r>
        <w:rPr>
          <w:rStyle w:val="optioncarChar"/>
        </w:rPr>
        <w:t>/ rosace synthétique / ***</w:t>
      </w:r>
      <w:r>
        <w:rPr>
          <w:rStyle w:val="soitChar"/>
        </w:rPr>
        <w:t xml:space="preserve">. L’ancrage dans la paroi porteuse est </w:t>
      </w:r>
      <w:r>
        <w:rPr>
          <w:rStyle w:val="optioncarChar"/>
        </w:rPr>
        <w:t>métallique / synthétique</w:t>
      </w:r>
      <w:r>
        <w:rPr>
          <w:rStyle w:val="soitChar"/>
        </w:rPr>
        <w:t xml:space="preserve">.  Les ancrages sont à </w:t>
      </w:r>
      <w:r>
        <w:rPr>
          <w:rStyle w:val="optioncarChar"/>
        </w:rPr>
        <w:t>visser </w:t>
      </w:r>
      <w:r>
        <w:t>(par défaut)</w:t>
      </w:r>
      <w:r>
        <w:rPr>
          <w:rStyle w:val="optioncarChar"/>
        </w:rPr>
        <w:t xml:space="preserve"> / frapper</w:t>
      </w:r>
      <w:r>
        <w:rPr>
          <w:rStyle w:val="soitChar"/>
        </w:rPr>
        <w:t xml:space="preserve"> et sont adaptés au support.</w:t>
      </w:r>
    </w:p>
    <w:p w14:paraId="18BD20AD" w14:textId="77777777" w:rsidR="004B2808" w:rsidRDefault="00000000">
      <w:pPr>
        <w:ind w:left="567"/>
        <w:jc w:val="both"/>
      </w:pPr>
      <w:r>
        <w:rPr>
          <w:b/>
          <w:i/>
        </w:rPr>
        <w:t>(Soit) </w:t>
      </w:r>
    </w:p>
    <w:p w14:paraId="2A9B554E" w14:textId="77777777" w:rsidR="004B2808" w:rsidRDefault="00000000">
      <w:pPr>
        <w:ind w:left="567"/>
        <w:jc w:val="both"/>
      </w:pPr>
      <w:r>
        <w:rPr>
          <w:rStyle w:val="soitChar"/>
          <w:b/>
          <w:u w:val="single"/>
        </w:rPr>
        <w:t>Par serrage et agrafage entre éléments</w:t>
      </w:r>
    </w:p>
    <w:p w14:paraId="24245D9D" w14:textId="77777777" w:rsidR="004B2808" w:rsidRDefault="00000000">
      <w:pPr>
        <w:ind w:left="567"/>
        <w:jc w:val="both"/>
      </w:pPr>
      <w:r>
        <w:rPr>
          <w:rStyle w:val="soitChar"/>
        </w:rPr>
        <w:t xml:space="preserve">Les panneaux sont serrés entièrement et découpés à mesure (+ 2 cm) le serrage est accompagné d’un </w:t>
      </w:r>
      <w:r>
        <w:rPr>
          <w:rStyle w:val="optioncarChar"/>
        </w:rPr>
        <w:t>agrafage à raison de 5 par m et par côté</w:t>
      </w:r>
      <w:r>
        <w:t xml:space="preserve"> (par défaut) </w:t>
      </w:r>
      <w:r>
        <w:rPr>
          <w:rStyle w:val="optioncarChar"/>
        </w:rPr>
        <w:t>/ ***</w:t>
      </w:r>
      <w:r>
        <w:rPr>
          <w:rStyle w:val="soitChar"/>
        </w:rPr>
        <w:t>.</w:t>
      </w:r>
    </w:p>
    <w:p w14:paraId="2228266E" w14:textId="77777777" w:rsidR="004B2808" w:rsidRDefault="004B2808">
      <w:pPr>
        <w:ind w:left="567"/>
        <w:jc w:val="both"/>
      </w:pPr>
    </w:p>
    <w:p w14:paraId="79570DFE" w14:textId="77777777" w:rsidR="004B2808" w:rsidRDefault="00000000">
      <w:pPr>
        <w:ind w:left="567"/>
        <w:jc w:val="both"/>
      </w:pPr>
      <w:r>
        <w:rPr>
          <w:b/>
          <w:i/>
        </w:rPr>
        <w:t>(Soit) </w:t>
      </w:r>
    </w:p>
    <w:p w14:paraId="1BC0C6C8" w14:textId="77777777" w:rsidR="004B2808" w:rsidRDefault="00000000">
      <w:pPr>
        <w:ind w:left="567"/>
        <w:jc w:val="both"/>
      </w:pPr>
      <w:r>
        <w:rPr>
          <w:rStyle w:val="optioncarChar"/>
        </w:rPr>
        <w:t>***</w:t>
      </w:r>
    </w:p>
    <w:p w14:paraId="4D96A3B9" w14:textId="77777777" w:rsidR="004B2808" w:rsidRDefault="00000000">
      <w:pPr>
        <w:jc w:val="both"/>
      </w:pPr>
      <w:r>
        <w:rPr>
          <w:b/>
        </w:rPr>
        <w:t>Pour une application en plancher</w:t>
      </w:r>
    </w:p>
    <w:p w14:paraId="2713CB79" w14:textId="77777777" w:rsidR="004B2808" w:rsidRDefault="00000000">
      <w:pPr>
        <w:jc w:val="both"/>
      </w:pPr>
      <w:r>
        <w:t xml:space="preserve">L’isolation est posée par </w:t>
      </w:r>
      <w:r>
        <w:rPr>
          <w:rStyle w:val="optioncarChar"/>
        </w:rPr>
        <w:t xml:space="preserve">le dessus </w:t>
      </w:r>
      <w:r>
        <w:t>(par défaut)</w:t>
      </w:r>
      <w:r>
        <w:rPr>
          <w:rStyle w:val="optioncarChar"/>
        </w:rPr>
        <w:t xml:space="preserve"> / le dessous</w:t>
      </w:r>
      <w:r>
        <w:t xml:space="preserve"> des planchers.</w:t>
      </w:r>
    </w:p>
    <w:p w14:paraId="3D719D93" w14:textId="77777777" w:rsidR="004B2808" w:rsidRDefault="00000000">
      <w:pPr>
        <w:ind w:left="567"/>
        <w:jc w:val="both"/>
      </w:pPr>
      <w:r>
        <w:rPr>
          <w:b/>
          <w:i/>
        </w:rPr>
        <w:t>(Soit par défaut) </w:t>
      </w:r>
    </w:p>
    <w:p w14:paraId="4AB6E838" w14:textId="77777777" w:rsidR="004B2808" w:rsidRDefault="00000000">
      <w:pPr>
        <w:ind w:left="567"/>
        <w:jc w:val="both"/>
      </w:pPr>
      <w:r>
        <w:rPr>
          <w:rStyle w:val="soitChar"/>
          <w:b/>
          <w:u w:val="single"/>
        </w:rPr>
        <w:t>Par le dessus des planchers</w:t>
      </w:r>
    </w:p>
    <w:p w14:paraId="65F781AF" w14:textId="77777777" w:rsidR="004B2808" w:rsidRDefault="00000000">
      <w:pPr>
        <w:ind w:left="567"/>
        <w:jc w:val="both"/>
      </w:pPr>
      <w:r>
        <w:rPr>
          <w:rStyle w:val="soitChar"/>
        </w:rPr>
        <w:t xml:space="preserve"> Le placement de l’isolation est assuré par </w:t>
      </w:r>
      <w:r>
        <w:rPr>
          <w:rStyle w:val="optioncarChar"/>
        </w:rPr>
        <w:t xml:space="preserve">pose simple </w:t>
      </w:r>
      <w:r>
        <w:t>(par défaut)</w:t>
      </w:r>
      <w:r>
        <w:rPr>
          <w:rStyle w:val="optioncarChar"/>
        </w:rPr>
        <w:t xml:space="preserve"> / ***</w:t>
      </w:r>
      <w:r>
        <w:rPr>
          <w:rStyle w:val="soitChar"/>
        </w:rPr>
        <w:t xml:space="preserve">. Le parement est disposé en </w:t>
      </w:r>
      <w:r>
        <w:rPr>
          <w:rStyle w:val="optioncarChar"/>
        </w:rPr>
        <w:t xml:space="preserve">partie supérieure </w:t>
      </w:r>
      <w:r>
        <w:t>(par défaut)</w:t>
      </w:r>
      <w:r>
        <w:rPr>
          <w:rStyle w:val="optioncarChar"/>
        </w:rPr>
        <w:t xml:space="preserve"> / partie inférieure / ***</w:t>
      </w:r>
      <w:r>
        <w:rPr>
          <w:rStyle w:val="soitChar"/>
        </w:rPr>
        <w:t>.</w:t>
      </w:r>
    </w:p>
    <w:p w14:paraId="63371281" w14:textId="77777777" w:rsidR="004B2808" w:rsidRDefault="00000000">
      <w:pPr>
        <w:ind w:left="567"/>
        <w:jc w:val="both"/>
      </w:pPr>
      <w:r>
        <w:rPr>
          <w:b/>
          <w:i/>
        </w:rPr>
        <w:t>(Soit) </w:t>
      </w:r>
    </w:p>
    <w:p w14:paraId="52CDC956" w14:textId="77777777" w:rsidR="004B2808" w:rsidRDefault="00000000">
      <w:pPr>
        <w:ind w:left="567"/>
        <w:jc w:val="both"/>
      </w:pPr>
      <w:r>
        <w:rPr>
          <w:rStyle w:val="soitChar"/>
          <w:b/>
          <w:u w:val="single"/>
        </w:rPr>
        <w:lastRenderedPageBreak/>
        <w:t>Par le dessous des planchers</w:t>
      </w:r>
    </w:p>
    <w:p w14:paraId="3BB1C65A" w14:textId="77777777" w:rsidR="004B2808" w:rsidRDefault="00000000">
      <w:pPr>
        <w:ind w:left="567"/>
        <w:jc w:val="both"/>
      </w:pPr>
      <w:r>
        <w:rPr>
          <w:rStyle w:val="soitChar"/>
        </w:rPr>
        <w:t xml:space="preserve"> Le placement de l’isolation est assuré par </w:t>
      </w:r>
      <w:r>
        <w:rPr>
          <w:rStyle w:val="optioncarChar"/>
        </w:rPr>
        <w:t>fixation à rosace à raison de 3 par m²</w:t>
      </w:r>
      <w:r>
        <w:t xml:space="preserve"> (par défaut)</w:t>
      </w:r>
      <w:r>
        <w:rPr>
          <w:rStyle w:val="optioncarChar"/>
        </w:rPr>
        <w:t xml:space="preserve"> / par lattage (latte de minimum 15x23mm espacées de 30 cm dont la taille est adaptée en fonction des fixations) / ***.</w:t>
      </w:r>
      <w:r>
        <w:rPr>
          <w:rStyle w:val="soitChar"/>
        </w:rPr>
        <w:t xml:space="preserve"> Le parement est disposé en </w:t>
      </w:r>
      <w:r>
        <w:rPr>
          <w:rStyle w:val="optioncarChar"/>
        </w:rPr>
        <w:t>partie supérieure</w:t>
      </w:r>
      <w:r>
        <w:t xml:space="preserve"> (par défaut)</w:t>
      </w:r>
      <w:r>
        <w:rPr>
          <w:rStyle w:val="optioncarChar"/>
        </w:rPr>
        <w:t xml:space="preserve"> / partie inférieure / ***</w:t>
      </w:r>
      <w:r>
        <w:rPr>
          <w:rStyle w:val="soitChar"/>
        </w:rPr>
        <w:t>.</w:t>
      </w:r>
    </w:p>
    <w:p w14:paraId="2E1349EE" w14:textId="77777777" w:rsidR="004B2808" w:rsidRDefault="00000000">
      <w:pPr>
        <w:pStyle w:val="pheading"/>
      </w:pPr>
      <w:r>
        <w:t>DOCUMENTS DE RÉFÉRENCE COMPLÉMENTAIRES</w:t>
      </w:r>
    </w:p>
    <w:p w14:paraId="35080422" w14:textId="77777777" w:rsidR="004B2808" w:rsidRDefault="00000000">
      <w:pPr>
        <w:pStyle w:val="pheading"/>
      </w:pPr>
      <w:r>
        <w:t>- Matériau</w:t>
      </w:r>
    </w:p>
    <w:p w14:paraId="0F934992" w14:textId="77777777" w:rsidR="004B2808"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207A28E1" w14:textId="77777777" w:rsidR="004B2808" w:rsidRDefault="00000000">
      <w:r>
        <w:t>[NBN EN 13501-1, Classement au feu des produits et éléments de construction - Partie 1: Classement à partir des données d'essais de réaction au feu]</w:t>
      </w:r>
    </w:p>
    <w:p w14:paraId="097EF41E" w14:textId="77777777" w:rsidR="004B2808" w:rsidRDefault="00000000">
      <w:r>
        <w:t>[NBN EN 823, Produits isolants thermiques destinés aux applications du bâtiment - Détermination de l'épaisseur]</w:t>
      </w:r>
    </w:p>
    <w:p w14:paraId="6667D519" w14:textId="77777777" w:rsidR="004B2808" w:rsidRDefault="00000000">
      <w:r>
        <w:t>[NBN EN ISO 29470, Produits isolants thermiques destinés aux applications du bâtiment - Détermination de la masse volumique apparente (ISO 29470:2020)]</w:t>
      </w:r>
    </w:p>
    <w:p w14:paraId="386714BF" w14:textId="77777777" w:rsidR="004B2808" w:rsidRDefault="00000000">
      <w:r>
        <w:t>[NBN EN ISO 29767, Produits isolants thermiques destinés aux applications du bâtiment - Détermination de l'absorption d'eau à court terme par immersion partielle (ISO 29767:2019)] </w:t>
      </w:r>
    </w:p>
    <w:p w14:paraId="6593B61B" w14:textId="77777777" w:rsidR="004B2808" w:rsidRDefault="00000000">
      <w:r>
        <w:t>[NBN EN 12086, Produits isolants thermiques destinés aux applications du bâtiment - Détermination des propriétés de transmission de la vapeur d'eau] </w:t>
      </w:r>
    </w:p>
    <w:p w14:paraId="6EBE1807" w14:textId="77777777" w:rsidR="004B2808" w:rsidRDefault="00000000">
      <w:r>
        <w:t>[NBN EN ISO 9053-1, Acoustique - Détermination de la résistance à l'écoulement de l'air - Partie 1: Méthode statique (ISO 9053-1:2018)]</w:t>
      </w:r>
    </w:p>
    <w:p w14:paraId="0DACA5CE" w14:textId="77777777" w:rsidR="004B2808" w:rsidRDefault="00000000">
      <w:r>
        <w:t>[NBN EN ISO 846, Plastiques - Évaluation de l'action des micro-organismes (ISO 846:2019)]</w:t>
      </w:r>
    </w:p>
    <w:p w14:paraId="33617A9F" w14:textId="77777777" w:rsidR="004B2808" w:rsidRDefault="00000000">
      <w:r>
        <w:t>[NBN EN 717-1, Panneaux à base de bois - Détermination du dégagement de formaldéhyde - Partie 1 : Emission de formaldéhyde par la méthode à la chambre]</w:t>
      </w:r>
    </w:p>
    <w:p w14:paraId="3DA9F4BD" w14:textId="77777777" w:rsidR="004B2808" w:rsidRDefault="00000000">
      <w:r>
        <w:t>[CEN/TR 14823, Durabilité du bois et des matériaux dérivés du bois - Analyse quantitative du pentachlorophénol dans le bois - Méthode par chromatographie en phase gazeuse]</w:t>
      </w:r>
    </w:p>
    <w:p w14:paraId="3C1EBB5F" w14:textId="77777777" w:rsidR="004B2808" w:rsidRDefault="00000000">
      <w:pPr>
        <w:pStyle w:val="pheading"/>
      </w:pPr>
      <w:r>
        <w:t>- Exécution</w:t>
      </w:r>
    </w:p>
    <w:p w14:paraId="0206F4A5" w14:textId="77777777" w:rsidR="004B2808" w:rsidRDefault="00000000">
      <w:r>
        <w:t>[NIT 233, Les cloisons légères.]</w:t>
      </w:r>
    </w:p>
    <w:p w14:paraId="5FE41C35" w14:textId="77777777" w:rsidR="004B2808" w:rsidRDefault="00000000">
      <w:r>
        <w:t>[NIT 232, Les plafonds suspendus.]</w:t>
      </w:r>
    </w:p>
    <w:p w14:paraId="4D1AF4EC" w14:textId="77777777" w:rsidR="004B2808" w:rsidRDefault="00000000">
      <w:r>
        <w:t>[NBN EN 13501-1, Classement au feu des produits et éléments de construction - Partie 1: Classement à partir des données d'essais de réaction au feu]</w:t>
      </w:r>
    </w:p>
    <w:p w14:paraId="1E32E025" w14:textId="77777777" w:rsidR="004B2808" w:rsidRDefault="00000000">
      <w:pPr>
        <w:pStyle w:val="pheading"/>
      </w:pPr>
      <w:r>
        <w:t>MESURAGE</w:t>
      </w:r>
    </w:p>
    <w:p w14:paraId="20CDC030" w14:textId="77777777" w:rsidR="004B2808" w:rsidRDefault="00000000">
      <w:pPr>
        <w:pStyle w:val="pheading"/>
      </w:pPr>
      <w:r>
        <w:t>- unité de mesure:</w:t>
      </w:r>
    </w:p>
    <w:p w14:paraId="1052B5A0" w14:textId="77777777" w:rsidR="004B2808" w:rsidRDefault="00000000">
      <w:r>
        <w:t>m²</w:t>
      </w:r>
    </w:p>
    <w:p w14:paraId="500E79D7" w14:textId="77777777" w:rsidR="004B2808" w:rsidRDefault="00000000">
      <w:pPr>
        <w:pStyle w:val="pheading"/>
      </w:pPr>
      <w:r>
        <w:t>- code de mesurage:</w:t>
      </w:r>
    </w:p>
    <w:p w14:paraId="56650838" w14:textId="77777777" w:rsidR="004B2808" w:rsidRDefault="00000000">
      <w:pPr>
        <w:jc w:val="both"/>
      </w:pPr>
      <w:r>
        <w:t>Distinction faite suivant le type et l'épaisseur.</w:t>
      </w:r>
    </w:p>
    <w:p w14:paraId="7CF92162" w14:textId="77777777" w:rsidR="004B2808" w:rsidRDefault="00000000">
      <w:pPr>
        <w:jc w:val="both"/>
      </w:pPr>
      <w:r>
        <w:rPr>
          <w:u w:val="single"/>
        </w:rPr>
        <w:t>Isolation des parois verticales :</w:t>
      </w:r>
      <w:r>
        <w:rPr>
          <w:b/>
        </w:rPr>
        <w:t>Surface nette</w:t>
      </w:r>
      <w:r>
        <w:t>. Les ouvertures supérieures à 0,50 m² sont déduites</w:t>
      </w:r>
    </w:p>
    <w:p w14:paraId="7C82B305" w14:textId="77777777" w:rsidR="004B2808" w:rsidRDefault="004B2808">
      <w:pPr>
        <w:jc w:val="both"/>
      </w:pPr>
    </w:p>
    <w:p w14:paraId="3D1AC1ED" w14:textId="77777777" w:rsidR="004B2808" w:rsidRDefault="00000000">
      <w:pPr>
        <w:jc w:val="both"/>
      </w:pPr>
      <w:r>
        <w:rPr>
          <w:u w:val="single"/>
        </w:rPr>
        <w:t>Isolation des parois horizontales :</w:t>
      </w:r>
      <w:r>
        <w:rPr>
          <w:b/>
        </w:rPr>
        <w:t>Surface nette</w:t>
      </w:r>
      <w:r>
        <w:t xml:space="preserve"> du sol, mesurée entre le nu des murs. Les ouvertures supérieures à 0,5 m² sont déduites. L'isolation périphérique ne doit pas être portée en compte séparément.</w:t>
      </w:r>
    </w:p>
    <w:p w14:paraId="468E655B" w14:textId="77777777" w:rsidR="004B2808" w:rsidRDefault="00000000">
      <w:pPr>
        <w:pStyle w:val="pheading"/>
      </w:pPr>
      <w:r>
        <w:t>- nature du marché:</w:t>
      </w:r>
    </w:p>
    <w:p w14:paraId="5FD3401B" w14:textId="77777777" w:rsidR="004B2808" w:rsidRDefault="00000000">
      <w:r>
        <w:lastRenderedPageBreak/>
        <w:t>QF</w:t>
      </w:r>
    </w:p>
    <w:p w14:paraId="464F22CD" w14:textId="77777777" w:rsidR="004B2808" w:rsidRDefault="00000000">
      <w:pPr>
        <w:pStyle w:val="pheading"/>
      </w:pPr>
      <w:r>
        <w:t>AIDE</w:t>
      </w:r>
    </w:p>
    <w:p w14:paraId="64F6E7E4" w14:textId="77777777" w:rsidR="004B2808" w:rsidRDefault="00000000">
      <w:pPr>
        <w:jc w:val="both"/>
      </w:pPr>
      <w:r>
        <w:t>Les panneaux isolants en lin ne s’appliquent pas aux bâtiments à forte hygrométrie ni aux bâtiments industriels, agricoles, agroalimentaires.</w:t>
      </w:r>
    </w:p>
    <w:p w14:paraId="6F2AF25D" w14:textId="77777777" w:rsidR="004B2808" w:rsidRDefault="00000000">
      <w:pPr>
        <w:pStyle w:val="Author-eSectionHeading6Numberless"/>
      </w:pPr>
      <w:bookmarkStart w:id="402" w:name="_Toc220490578"/>
      <w:r>
        <w:t>52.41.3g Isolation en panneaux - coton CCTB 01.12</w:t>
      </w:r>
      <w:bookmarkEnd w:id="402"/>
    </w:p>
    <w:p w14:paraId="5DA0C023" w14:textId="77777777" w:rsidR="004B2808" w:rsidRDefault="00000000">
      <w:pPr>
        <w:pStyle w:val="pheading"/>
      </w:pPr>
      <w:r>
        <w:t>DESCRIPTION</w:t>
      </w:r>
    </w:p>
    <w:p w14:paraId="7AF7DD59" w14:textId="77777777" w:rsidR="004B2808" w:rsidRDefault="00000000">
      <w:pPr>
        <w:pStyle w:val="pheading"/>
      </w:pPr>
      <w:r>
        <w:t>- Définition / Comprend</w:t>
      </w:r>
    </w:p>
    <w:p w14:paraId="11F388FC" w14:textId="77777777" w:rsidR="004B2808" w:rsidRDefault="00000000">
      <w:pPr>
        <w:jc w:val="both"/>
      </w:pPr>
      <w:r>
        <w:t xml:space="preserve">Il s’agit de la fourniture et la pose d’une isolation thermique au moyen de panneaux de coton des parois et éléments de construction décrits au titre </w:t>
      </w:r>
      <w:hyperlink w:anchor="73" w:history="1">
        <w:r w:rsidR="004B2808">
          <w:rPr>
            <w:color w:val="0000EE"/>
          </w:rPr>
          <w:t>52.4 Isolation</w:t>
        </w:r>
      </w:hyperlink>
      <w:r>
        <w:t>.</w:t>
      </w:r>
    </w:p>
    <w:p w14:paraId="46DAE385" w14:textId="77777777" w:rsidR="004B2808" w:rsidRDefault="00000000">
      <w:pPr>
        <w:pStyle w:val="pheading"/>
      </w:pPr>
      <w:r>
        <w:t>- Localisation</w:t>
      </w:r>
    </w:p>
    <w:p w14:paraId="56573317" w14:textId="77777777" w:rsidR="004B2808" w:rsidRDefault="00000000">
      <w:r>
        <w:t xml:space="preserve">Localisation des travaux : </w:t>
      </w:r>
      <w:r>
        <w:rPr>
          <w:rStyle w:val="optioncarChar"/>
        </w:rPr>
        <w:t>***</w:t>
      </w:r>
      <w:r>
        <w:t>.</w:t>
      </w:r>
    </w:p>
    <w:p w14:paraId="6A4FE806" w14:textId="77777777" w:rsidR="004B2808" w:rsidRDefault="00000000">
      <w:r>
        <w:t>Voir plans et métrés détaillés.</w:t>
      </w:r>
    </w:p>
    <w:p w14:paraId="168512E3" w14:textId="77777777" w:rsidR="004B2808" w:rsidRDefault="00000000">
      <w:pPr>
        <w:pStyle w:val="pheading"/>
      </w:pPr>
      <w:r>
        <w:t>MATÉRIAUX</w:t>
      </w:r>
    </w:p>
    <w:p w14:paraId="0A3246BD" w14:textId="77777777" w:rsidR="004B2808" w:rsidRDefault="00000000">
      <w:pPr>
        <w:pStyle w:val="pheading"/>
      </w:pPr>
      <w:r>
        <w:t>- Caractéristiques générales</w:t>
      </w:r>
    </w:p>
    <w:p w14:paraId="45D083F2" w14:textId="77777777" w:rsidR="004B2808" w:rsidRDefault="00000000">
      <w:pPr>
        <w:jc w:val="both"/>
      </w:pPr>
      <w:r>
        <w:t>Le produit est constitué de fibres textiles recyclées et liées entre elles par des fibres polyester thermo fusibles afin de former un matelas isolant. Le produit est ensuite conditionné sous forme de panneaux.</w:t>
      </w:r>
    </w:p>
    <w:p w14:paraId="6B62B919" w14:textId="77777777" w:rsidR="004B2808" w:rsidRDefault="00000000">
      <w:pPr>
        <w:jc w:val="both"/>
      </w:pPr>
      <w:r>
        <w:t>Le produit reçoit un traitement antibactérien et anticryptogamique ainsi qu’un traitement ignifuge.</w:t>
      </w:r>
    </w:p>
    <w:p w14:paraId="4563DA49" w14:textId="77777777" w:rsidR="004B2808" w:rsidRDefault="00000000">
      <w:pPr>
        <w:jc w:val="both"/>
      </w:pPr>
      <w:r>
        <w:t>Le surfaçage des panneaux est de type : </w:t>
      </w:r>
      <w:r>
        <w:rPr>
          <w:rStyle w:val="optioncarChar"/>
        </w:rPr>
        <w:t>nu</w:t>
      </w:r>
      <w:r>
        <w:t xml:space="preserve"> (par défaut)</w:t>
      </w:r>
      <w:r>
        <w:rPr>
          <w:rStyle w:val="optioncarChar"/>
        </w:rPr>
        <w:t xml:space="preserve"> / ***</w:t>
      </w:r>
    </w:p>
    <w:p w14:paraId="22B9F312" w14:textId="77777777" w:rsidR="004B2808" w:rsidRDefault="00000000">
      <w:pPr>
        <w:jc w:val="both"/>
      </w:pPr>
      <w:r>
        <w:t xml:space="preserve">Épaisseur totale de l’isolation : </w:t>
      </w:r>
      <w:r>
        <w:rPr>
          <w:rStyle w:val="optioncarChar"/>
        </w:rPr>
        <w:t>***</w:t>
      </w:r>
      <w:r>
        <w:t> mm</w:t>
      </w:r>
    </w:p>
    <w:p w14:paraId="52AEB721" w14:textId="77777777" w:rsidR="004B2808" w:rsidRDefault="00000000">
      <w:pPr>
        <w:jc w:val="both"/>
      </w:pPr>
      <w:r>
        <w:t xml:space="preserve">Les panneaux sont disposés en </w:t>
      </w:r>
      <w:r>
        <w:rPr>
          <w:rStyle w:val="optioncarChar"/>
        </w:rPr>
        <w:t xml:space="preserve">1 </w:t>
      </w:r>
      <w:r>
        <w:t xml:space="preserve">(par défaut) </w:t>
      </w:r>
      <w:r>
        <w:rPr>
          <w:rStyle w:val="optioncarChar"/>
        </w:rPr>
        <w:t>/ ***</w:t>
      </w:r>
      <w:r>
        <w:t> couche(s).</w:t>
      </w:r>
    </w:p>
    <w:p w14:paraId="13B452AB" w14:textId="77777777" w:rsidR="004B2808" w:rsidRDefault="00000000">
      <w:pPr>
        <w:pStyle w:val="pheading"/>
      </w:pPr>
      <w:r>
        <w:t>- Prescriptions complémentaires</w:t>
      </w:r>
    </w:p>
    <w:p w14:paraId="07D43042" w14:textId="77777777" w:rsidR="004B2808" w:rsidRDefault="00000000">
      <w:pPr>
        <w:jc w:val="both"/>
      </w:pPr>
      <w:r>
        <w:rPr>
          <w:rStyle w:val="facultChar"/>
        </w:rPr>
        <w:t xml:space="preserve">Épaisseur (selon [NBN EN 823]) : </w:t>
      </w:r>
      <w:r>
        <w:rPr>
          <w:rStyle w:val="optioncarChar"/>
        </w:rPr>
        <w:t>50 </w:t>
      </w:r>
      <w:r>
        <w:t>(par défaut)</w:t>
      </w:r>
      <w:r>
        <w:rPr>
          <w:rStyle w:val="optioncarChar"/>
        </w:rPr>
        <w:t xml:space="preserve"> / 80 / 100 / 120 / 145 / 200 / ***</w:t>
      </w:r>
      <w:r>
        <w:rPr>
          <w:rStyle w:val="facultChar"/>
        </w:rPr>
        <w:t xml:space="preserve"> mm en panneau de dimensions </w:t>
      </w:r>
      <w:r>
        <w:rPr>
          <w:rStyle w:val="optioncarChar"/>
        </w:rPr>
        <w:t xml:space="preserve">1200 x 600 </w:t>
      </w:r>
      <w:r>
        <w:t xml:space="preserve">(par défaut) </w:t>
      </w:r>
      <w:r>
        <w:rPr>
          <w:rStyle w:val="optioncarChar"/>
        </w:rPr>
        <w:t>/ ***</w:t>
      </w:r>
      <w:r>
        <w:rPr>
          <w:rStyle w:val="facultChar"/>
        </w:rPr>
        <w:t xml:space="preserve"> mm</w:t>
      </w:r>
    </w:p>
    <w:p w14:paraId="724C080D" w14:textId="77777777" w:rsidR="004B2808" w:rsidRDefault="00000000">
      <w:pPr>
        <w:jc w:val="both"/>
      </w:pPr>
      <w:r>
        <w:rPr>
          <w:rStyle w:val="facultChar"/>
        </w:rPr>
        <w:t xml:space="preserve">Densité (selon [NBN EN ISO 29470]) : </w:t>
      </w:r>
      <w:r>
        <w:rPr>
          <w:rStyle w:val="optioncarChar"/>
        </w:rPr>
        <w:t xml:space="preserve">20 (variations de plus à moins 10%) </w:t>
      </w:r>
      <w:r>
        <w:t xml:space="preserve">(par défaut) </w:t>
      </w:r>
      <w:r>
        <w:rPr>
          <w:rStyle w:val="optioncarChar"/>
        </w:rPr>
        <w:t>/ ***</w:t>
      </w:r>
      <w:r>
        <w:rPr>
          <w:rStyle w:val="facultChar"/>
        </w:rPr>
        <w:t xml:space="preserve"> kg/m³</w:t>
      </w:r>
    </w:p>
    <w:p w14:paraId="69DDBDC7" w14:textId="77777777" w:rsidR="004B2808" w:rsidRDefault="00000000">
      <w:pPr>
        <w:jc w:val="both"/>
      </w:pPr>
      <w:r>
        <w:rPr>
          <w:rStyle w:val="facultChar"/>
        </w:rPr>
        <w:t xml:space="preserve">Conductivité thermique (selon [NBN EN 12667]) : </w:t>
      </w:r>
      <w:r>
        <w:rPr>
          <w:rStyle w:val="optioncarChar"/>
        </w:rPr>
        <w:t xml:space="preserve">0,039 </w:t>
      </w:r>
      <w:r>
        <w:t>(par défaut)</w:t>
      </w:r>
      <w:r>
        <w:rPr>
          <w:rStyle w:val="optioncarChar"/>
        </w:rPr>
        <w:t xml:space="preserve"> / ***</w:t>
      </w:r>
      <w:r>
        <w:rPr>
          <w:rStyle w:val="facultChar"/>
        </w:rPr>
        <w:t xml:space="preserve"> W/mK</w:t>
      </w:r>
    </w:p>
    <w:p w14:paraId="7AC65A39" w14:textId="77777777" w:rsidR="004B2808" w:rsidRDefault="00000000">
      <w:pPr>
        <w:jc w:val="both"/>
      </w:pPr>
      <w:r>
        <w:rPr>
          <w:rStyle w:val="facultChar"/>
        </w:rPr>
        <w:t xml:space="preserve">Perméabilité à la vapeur d’eau Sd (m) (selon [NBN EN 12086]) : </w:t>
      </w:r>
      <w:r>
        <w:rPr>
          <w:rStyle w:val="optioncarChar"/>
        </w:rPr>
        <w:t>0,05 (50mm) </w:t>
      </w:r>
      <w:r>
        <w:t>(par défaut)</w:t>
      </w:r>
      <w:r>
        <w:rPr>
          <w:rStyle w:val="optioncarChar"/>
        </w:rPr>
        <w:t xml:space="preserve"> / 0,1 (100mm) / 0,08 (80mm) / 0,12 (120mm) / 0,15 (145mm) / 0,20 (200mm) / ***</w:t>
      </w:r>
    </w:p>
    <w:p w14:paraId="2680423B" w14:textId="77777777" w:rsidR="004B2808" w:rsidRDefault="00000000">
      <w:pPr>
        <w:jc w:val="both"/>
      </w:pPr>
      <w:r>
        <w:rPr>
          <w:rStyle w:val="facultChar"/>
        </w:rPr>
        <w:t>Coefficient de résistance à la diffusion de vapeur d’eau – valeur μ (selon [NBN EN 12086]) :  </w:t>
      </w:r>
      <w:r>
        <w:rPr>
          <w:rStyle w:val="optioncarChar"/>
        </w:rPr>
        <w:t>***</w:t>
      </w:r>
    </w:p>
    <w:p w14:paraId="21799F49" w14:textId="77777777" w:rsidR="004B2808" w:rsidRDefault="00000000">
      <w:pPr>
        <w:jc w:val="both"/>
      </w:pPr>
      <w:r>
        <w:rPr>
          <w:rStyle w:val="facultChar"/>
        </w:rPr>
        <w:t xml:space="preserve">Absorption d’eau à court terme par immersion partielle Wp (selon [NBN EN ISO 29767]) : </w:t>
      </w:r>
      <w:r>
        <w:rPr>
          <w:rStyle w:val="optioncarChar"/>
        </w:rPr>
        <w:t xml:space="preserve">inférieure à 7,04 </w:t>
      </w:r>
      <w:r>
        <w:t>(par défaut)</w:t>
      </w:r>
      <w:r>
        <w:rPr>
          <w:rStyle w:val="optioncarChar"/>
        </w:rPr>
        <w:t xml:space="preserve"> / ***</w:t>
      </w:r>
      <w:r>
        <w:rPr>
          <w:rStyle w:val="facultChar"/>
        </w:rPr>
        <w:t xml:space="preserve"> kg/m²</w:t>
      </w:r>
    </w:p>
    <w:p w14:paraId="51E082CB" w14:textId="77777777" w:rsidR="004B2808" w:rsidRDefault="00000000">
      <w:pPr>
        <w:jc w:val="both"/>
      </w:pPr>
      <w:r>
        <w:rPr>
          <w:rStyle w:val="facultChar"/>
        </w:rPr>
        <w:t xml:space="preserve">Résistance fongique (selon [NBN EN ISO 846]) : </w:t>
      </w:r>
      <w:r>
        <w:rPr>
          <w:rStyle w:val="optioncarChar"/>
        </w:rPr>
        <w:t xml:space="preserve">classe 0 (inerte) </w:t>
      </w:r>
      <w:r>
        <w:t>(par défaut)</w:t>
      </w:r>
      <w:r>
        <w:rPr>
          <w:rStyle w:val="optioncarChar"/>
        </w:rPr>
        <w:t xml:space="preserve"> / ***</w:t>
      </w:r>
    </w:p>
    <w:p w14:paraId="2D068655" w14:textId="77777777" w:rsidR="004B2808" w:rsidRDefault="00000000">
      <w:pPr>
        <w:jc w:val="both"/>
      </w:pPr>
      <w:r>
        <w:rPr>
          <w:rStyle w:val="facultChar"/>
        </w:rPr>
        <w:t xml:space="preserve">Capacité thermique : </w:t>
      </w:r>
      <w:r>
        <w:rPr>
          <w:rStyle w:val="optioncarChar"/>
        </w:rPr>
        <w:t>1,6</w:t>
      </w:r>
      <w:r>
        <w:t xml:space="preserve"> (par défaut) </w:t>
      </w:r>
      <w:r>
        <w:rPr>
          <w:rStyle w:val="optioncarChar"/>
        </w:rPr>
        <w:t>/ ***</w:t>
      </w:r>
      <w:r>
        <w:rPr>
          <w:rStyle w:val="facultChar"/>
        </w:rPr>
        <w:t xml:space="preserve"> kJ/kg.K</w:t>
      </w:r>
    </w:p>
    <w:p w14:paraId="6E5C2386" w14:textId="77777777" w:rsidR="004B2808" w:rsidRDefault="00000000">
      <w:pPr>
        <w:jc w:val="both"/>
      </w:pPr>
      <w:r>
        <w:rPr>
          <w:rStyle w:val="facultChar"/>
        </w:rPr>
        <w:t xml:space="preserve">Classement de la réaction au feu (selon [NBN EN 13501-1]) : </w:t>
      </w:r>
      <w:r>
        <w:rPr>
          <w:rStyle w:val="optioncarChar"/>
        </w:rPr>
        <w:t xml:space="preserve">E </w:t>
      </w:r>
      <w:r>
        <w:t>(par défaut)</w:t>
      </w:r>
      <w:r>
        <w:rPr>
          <w:rStyle w:val="optioncarChar"/>
        </w:rPr>
        <w:t xml:space="preserve"> / ***</w:t>
      </w:r>
    </w:p>
    <w:p w14:paraId="5FCBB1CE" w14:textId="77777777" w:rsidR="004B2808" w:rsidRDefault="00000000">
      <w:pPr>
        <w:jc w:val="both"/>
      </w:pPr>
      <w:r>
        <w:rPr>
          <w:rStyle w:val="facultChar"/>
        </w:rPr>
        <w:t xml:space="preserve">Taux de liant synthétique (polyester) : </w:t>
      </w:r>
      <w:r>
        <w:rPr>
          <w:rStyle w:val="optioncarChar"/>
        </w:rPr>
        <w:t xml:space="preserve">15 (+/- 2%) </w:t>
      </w:r>
      <w:r>
        <w:t>(par défaut)</w:t>
      </w:r>
      <w:r>
        <w:rPr>
          <w:rStyle w:val="optioncarChar"/>
        </w:rPr>
        <w:t xml:space="preserve"> / ***</w:t>
      </w:r>
      <w:r>
        <w:rPr>
          <w:rStyle w:val="facultChar"/>
        </w:rPr>
        <w:t xml:space="preserve"> %</w:t>
      </w:r>
    </w:p>
    <w:p w14:paraId="24711BDB" w14:textId="77777777" w:rsidR="004B2808" w:rsidRDefault="00000000">
      <w:pPr>
        <w:jc w:val="both"/>
      </w:pPr>
      <w:r>
        <w:rPr>
          <w:rStyle w:val="facultChar"/>
        </w:rPr>
        <w:t xml:space="preserve">Les liants des panneaux et d’adhésion du revêtement de surface ne contiennent pas de formaldéhyde. Le dégagement mesuré selon la [NBN EN 717-1] est inférieur à </w:t>
      </w:r>
      <w:r>
        <w:rPr>
          <w:rStyle w:val="optioncarChar"/>
        </w:rPr>
        <w:t xml:space="preserve">0.124 </w:t>
      </w:r>
      <w:r>
        <w:t>(par défaut)</w:t>
      </w:r>
      <w:r>
        <w:rPr>
          <w:rStyle w:val="optioncarChar"/>
        </w:rPr>
        <w:t xml:space="preserve"> / ***</w:t>
      </w:r>
      <w:r>
        <w:rPr>
          <w:rStyle w:val="facultChar"/>
        </w:rPr>
        <w:t> mg/m³.</w:t>
      </w:r>
    </w:p>
    <w:p w14:paraId="2246693E" w14:textId="77777777" w:rsidR="004B2808" w:rsidRDefault="00000000">
      <w:pPr>
        <w:jc w:val="both"/>
      </w:pPr>
      <w:r>
        <w:rPr>
          <w:rStyle w:val="facultChar"/>
        </w:rPr>
        <w:t xml:space="preserve">Concentration de pentachlorophénol mesurée selon le [CEN/TR 14823] : inférieure à </w:t>
      </w:r>
      <w:r>
        <w:rPr>
          <w:rStyle w:val="optioncarChar"/>
        </w:rPr>
        <w:t xml:space="preserve">5 </w:t>
      </w:r>
      <w:r>
        <w:t xml:space="preserve">(par défaut) </w:t>
      </w:r>
      <w:r>
        <w:rPr>
          <w:rStyle w:val="optioncarChar"/>
        </w:rPr>
        <w:t>/ *** </w:t>
      </w:r>
      <w:r>
        <w:rPr>
          <w:rStyle w:val="facultChar"/>
        </w:rPr>
        <w:t>PPM.</w:t>
      </w:r>
    </w:p>
    <w:p w14:paraId="02402A59" w14:textId="77777777" w:rsidR="004B2808" w:rsidRDefault="00000000">
      <w:pPr>
        <w:jc w:val="both"/>
      </w:pPr>
      <w:r>
        <w:rPr>
          <w:rStyle w:val="facultChar"/>
        </w:rPr>
        <w:t xml:space="preserve">Les liants des panneaux sont issus de </w:t>
      </w:r>
      <w:r>
        <w:rPr>
          <w:rStyle w:val="optioncarChar"/>
        </w:rPr>
        <w:t xml:space="preserve">matières premières végétales </w:t>
      </w:r>
      <w:r>
        <w:t>(par défaut)</w:t>
      </w:r>
      <w:r>
        <w:rPr>
          <w:rStyle w:val="optioncarChar"/>
        </w:rPr>
        <w:t xml:space="preserve"> / dérivés pétrochimiques / ***.</w:t>
      </w:r>
    </w:p>
    <w:p w14:paraId="72A53BFF" w14:textId="77777777" w:rsidR="004B2808" w:rsidRDefault="00000000">
      <w:pPr>
        <w:jc w:val="both"/>
      </w:pPr>
      <w:r>
        <w:rPr>
          <w:rStyle w:val="facultChar"/>
        </w:rPr>
        <w:lastRenderedPageBreak/>
        <w:t xml:space="preserve">Les adjuvants ignifuges et biocides sont de type : </w:t>
      </w:r>
      <w:r>
        <w:rPr>
          <w:rStyle w:val="optioncarChar"/>
        </w:rPr>
        <w:t xml:space="preserve">pas d’adjuvant </w:t>
      </w:r>
      <w:r>
        <w:t>(par défaut)</w:t>
      </w:r>
      <w:r>
        <w:rPr>
          <w:rStyle w:val="optioncarChar"/>
        </w:rPr>
        <w:t xml:space="preserve"> / sels de Bore / sels d’ammonium / ***</w:t>
      </w:r>
      <w:r>
        <w:rPr>
          <w:rStyle w:val="facultChar"/>
        </w:rPr>
        <w:t xml:space="preserve">. Les adjuvants respectent le [Règlement 1907/2006/CE]. La concentration maximum des adjuvants est de </w:t>
      </w:r>
      <w:r>
        <w:rPr>
          <w:rStyle w:val="optioncarChar"/>
        </w:rPr>
        <w:t xml:space="preserve">4 </w:t>
      </w:r>
      <w:r>
        <w:t>(par défaut)</w:t>
      </w:r>
      <w:r>
        <w:rPr>
          <w:rStyle w:val="optioncarChar"/>
        </w:rPr>
        <w:t xml:space="preserve"> / ***</w:t>
      </w:r>
      <w:r>
        <w:rPr>
          <w:rStyle w:val="facultChar"/>
        </w:rPr>
        <w:t xml:space="preserve"> %.</w:t>
      </w:r>
    </w:p>
    <w:p w14:paraId="47FB9129" w14:textId="77777777" w:rsidR="004B2808" w:rsidRDefault="004B2808">
      <w:pPr>
        <w:jc w:val="both"/>
      </w:pPr>
    </w:p>
    <w:p w14:paraId="18FCB57A" w14:textId="77777777" w:rsidR="004B2808" w:rsidRDefault="00000000">
      <w:pPr>
        <w:jc w:val="both"/>
      </w:pPr>
      <w:r>
        <w:rPr>
          <w:rStyle w:val="facultChar"/>
        </w:rPr>
        <w:t>Le matériau/produit dispose d'une déclaration d'aptitude à l'utilisation suivant les prescriptions de l'élément 02.42.1 Critères d'acceptabilité.</w:t>
      </w:r>
    </w:p>
    <w:p w14:paraId="31CACC28" w14:textId="77777777" w:rsidR="004B2808" w:rsidRDefault="00000000">
      <w:pPr>
        <w:ind w:left="750"/>
      </w:pPr>
      <w:r>
        <w:t> </w:t>
      </w:r>
    </w:p>
    <w:p w14:paraId="4C06F545" w14:textId="77777777" w:rsidR="004B2808" w:rsidRDefault="00000000">
      <w:pPr>
        <w:pStyle w:val="pheading"/>
      </w:pPr>
      <w:r>
        <w:t>EXÉCUTION / MISE EN ŒUVRE</w:t>
      </w:r>
    </w:p>
    <w:p w14:paraId="41FC30A2" w14:textId="77777777" w:rsidR="004B2808" w:rsidRDefault="00000000">
      <w:pPr>
        <w:pStyle w:val="pheading"/>
      </w:pPr>
      <w:r>
        <w:t>- Prescriptions générales</w:t>
      </w:r>
    </w:p>
    <w:p w14:paraId="02E28528" w14:textId="77777777" w:rsidR="004B2808" w:rsidRDefault="00000000">
      <w:pPr>
        <w:jc w:val="both"/>
      </w:pPr>
      <w:r>
        <w:t>L’isolant est découpé sur chantier avec un couteau à lame lisse ou ondulée, ou à l’aide d’un disque de fer lisse monté sur une disqueuse. Une règle de maçon et un support rigide (planche de bois ou plaque de plâtre) doivent également être utilisés.</w:t>
      </w:r>
    </w:p>
    <w:p w14:paraId="471AFBE4" w14:textId="77777777" w:rsidR="004B2808" w:rsidRDefault="00000000">
      <w:pPr>
        <w:jc w:val="both"/>
      </w:pPr>
      <w:r>
        <w:t>Les panneaux sont contigus. Les espaces éventuels entre panneaux ou de liaison avec les parois sont comblés avec un isolant de même type.</w:t>
      </w:r>
    </w:p>
    <w:p w14:paraId="713E21AF" w14:textId="77777777" w:rsidR="004B2808" w:rsidRDefault="00000000">
      <w:pPr>
        <w:jc w:val="both"/>
      </w:pPr>
      <w:r>
        <w:t>Les fixations sont disposées afin de ne pas réduire les performances acoustiques.</w:t>
      </w:r>
    </w:p>
    <w:p w14:paraId="779F2ED5" w14:textId="77777777" w:rsidR="004B2808" w:rsidRDefault="00000000">
      <w:pPr>
        <w:jc w:val="both"/>
      </w:pPr>
      <w:r>
        <w:rPr>
          <w:b/>
        </w:rPr>
        <w:t>Pour une application en plafond</w:t>
      </w:r>
    </w:p>
    <w:p w14:paraId="30D48FC0" w14:textId="77777777" w:rsidR="004B2808" w:rsidRDefault="00000000">
      <w:pPr>
        <w:jc w:val="both"/>
      </w:pPr>
      <w:r>
        <w:t>Les panneaux sont disposés entre les suspends. L’application est conforme à la [NIT 232].</w:t>
      </w:r>
    </w:p>
    <w:p w14:paraId="659B81A7" w14:textId="77777777" w:rsidR="004B2808" w:rsidRDefault="00000000">
      <w:pPr>
        <w:jc w:val="both"/>
      </w:pPr>
      <w:r>
        <w:t xml:space="preserve">Le placement de l’isolation est assuré par </w:t>
      </w:r>
      <w:r>
        <w:rPr>
          <w:rStyle w:val="optioncarChar"/>
        </w:rPr>
        <w:t>pose sur la structure de faux-plafond</w:t>
      </w:r>
      <w:r>
        <w:t xml:space="preserve"> (par défaut)</w:t>
      </w:r>
      <w:r>
        <w:rPr>
          <w:rStyle w:val="optioncarChar"/>
        </w:rPr>
        <w:t xml:space="preserve"> / agrafage à raison de 5 par m et par côté / lattage (latte de minimum 15x23mm espacées de 30 cm dont les dimensions sont adaptées en fonction des fixations) / ***</w:t>
      </w:r>
      <w:r>
        <w:t xml:space="preserve">. Le parement est disposé en </w:t>
      </w:r>
      <w:r>
        <w:rPr>
          <w:rStyle w:val="optioncarChar"/>
        </w:rPr>
        <w:t xml:space="preserve">partie supérieure </w:t>
      </w:r>
      <w:r>
        <w:t>(par défaut)</w:t>
      </w:r>
      <w:r>
        <w:rPr>
          <w:rStyle w:val="optioncarChar"/>
        </w:rPr>
        <w:t xml:space="preserve"> / partie inférieure / ***</w:t>
      </w:r>
      <w:r>
        <w:t>.</w:t>
      </w:r>
    </w:p>
    <w:p w14:paraId="19C9D9C2" w14:textId="77777777" w:rsidR="004B2808" w:rsidRDefault="00000000">
      <w:pPr>
        <w:jc w:val="both"/>
      </w:pPr>
      <w:r>
        <w:rPr>
          <w:b/>
        </w:rPr>
        <w:t>Pour une application verticale</w:t>
      </w:r>
    </w:p>
    <w:p w14:paraId="6FB3A524" w14:textId="77777777" w:rsidR="004B2808" w:rsidRDefault="00000000">
      <w:pPr>
        <w:jc w:val="both"/>
      </w:pPr>
      <w:r>
        <w:t>Les panneaux sont disposés entre montants, chevrons ou poutres. L’application est conforme à la [NIT 233].</w:t>
      </w:r>
    </w:p>
    <w:p w14:paraId="59D342B9" w14:textId="77777777" w:rsidR="004B2808" w:rsidRDefault="00000000">
      <w:pPr>
        <w:jc w:val="both"/>
      </w:pPr>
      <w:r>
        <w:t xml:space="preserve">Le parement est disposé en </w:t>
      </w:r>
      <w:r>
        <w:rPr>
          <w:rStyle w:val="optioncarChar"/>
        </w:rPr>
        <w:t xml:space="preserve">partie extérieure </w:t>
      </w:r>
      <w:r>
        <w:t>(par défaut)</w:t>
      </w:r>
      <w:r>
        <w:rPr>
          <w:rStyle w:val="optioncarChar"/>
        </w:rPr>
        <w:t xml:space="preserve"> / partie intérieure / ***</w:t>
      </w:r>
      <w:r>
        <w:t>.</w:t>
      </w:r>
    </w:p>
    <w:p w14:paraId="18B39BBC" w14:textId="77777777" w:rsidR="004B2808" w:rsidRDefault="00000000">
      <w:pPr>
        <w:jc w:val="both"/>
      </w:pPr>
      <w:r>
        <w:t xml:space="preserve">Les panneaux sont fixés par </w:t>
      </w:r>
      <w:r>
        <w:rPr>
          <w:rStyle w:val="optioncarChar"/>
        </w:rPr>
        <w:t>fixation mécanique</w:t>
      </w:r>
      <w:r>
        <w:t xml:space="preserve"> (par défaut)</w:t>
      </w:r>
      <w:r>
        <w:rPr>
          <w:rStyle w:val="optioncarChar"/>
        </w:rPr>
        <w:t xml:space="preserve"> / serrage et agrafage entre éléments / ***.</w:t>
      </w:r>
    </w:p>
    <w:p w14:paraId="3D6A3DAF" w14:textId="77777777" w:rsidR="004B2808" w:rsidRDefault="00000000">
      <w:pPr>
        <w:ind w:left="567"/>
        <w:jc w:val="both"/>
      </w:pPr>
      <w:r>
        <w:rPr>
          <w:b/>
          <w:i/>
        </w:rPr>
        <w:t>(Soit par défaut) </w:t>
      </w:r>
    </w:p>
    <w:p w14:paraId="2FCD39DE" w14:textId="77777777" w:rsidR="004B2808" w:rsidRDefault="00000000">
      <w:pPr>
        <w:ind w:left="567"/>
        <w:jc w:val="both"/>
      </w:pPr>
      <w:r>
        <w:rPr>
          <w:rStyle w:val="soitChar"/>
          <w:b/>
          <w:u w:val="single"/>
        </w:rPr>
        <w:t>Par fixation mécanique</w:t>
      </w:r>
    </w:p>
    <w:p w14:paraId="6F31C493" w14:textId="77777777" w:rsidR="004B2808" w:rsidRDefault="00000000">
      <w:pPr>
        <w:ind w:left="567"/>
        <w:jc w:val="both"/>
      </w:pPr>
      <w:r>
        <w:rPr>
          <w:rStyle w:val="soitChar"/>
        </w:rPr>
        <w:t xml:space="preserve"> Les fixations sont au nombre de </w:t>
      </w:r>
      <w:r>
        <w:rPr>
          <w:rStyle w:val="optioncarChar"/>
        </w:rPr>
        <w:t>5 par m²</w:t>
      </w:r>
      <w:r>
        <w:t xml:space="preserve"> (par défaut)</w:t>
      </w:r>
      <w:r>
        <w:rPr>
          <w:rStyle w:val="optioncarChar"/>
        </w:rPr>
        <w:t xml:space="preserve"> / 8 par m² / ***</w:t>
      </w:r>
      <w:r>
        <w:rPr>
          <w:rStyle w:val="soitChar"/>
        </w:rPr>
        <w:t xml:space="preserve">. Elles sont munies de </w:t>
      </w:r>
      <w:r>
        <w:rPr>
          <w:rStyle w:val="optioncarChar"/>
        </w:rPr>
        <w:t>rosace métallique</w:t>
      </w:r>
      <w:r>
        <w:t> (par défaut)</w:t>
      </w:r>
      <w:r>
        <w:rPr>
          <w:rStyle w:val="optioncarChar"/>
        </w:rPr>
        <w:t xml:space="preserve"> / rosace synthétique / ***</w:t>
      </w:r>
      <w:r>
        <w:rPr>
          <w:rStyle w:val="soitChar"/>
        </w:rPr>
        <w:t>. L’ancrage dans la paroi porteuse est</w:t>
      </w:r>
      <w:r>
        <w:rPr>
          <w:rStyle w:val="optioncarChar"/>
        </w:rPr>
        <w:t xml:space="preserve"> métallique / synthétique</w:t>
      </w:r>
      <w:r>
        <w:rPr>
          <w:rStyle w:val="soitChar"/>
        </w:rPr>
        <w:t xml:space="preserve">.  Les ancrages sont à </w:t>
      </w:r>
      <w:r>
        <w:rPr>
          <w:rStyle w:val="optioncarChar"/>
        </w:rPr>
        <w:t>visser</w:t>
      </w:r>
      <w:r>
        <w:t> (par défaut)</w:t>
      </w:r>
      <w:r>
        <w:rPr>
          <w:rStyle w:val="optioncarChar"/>
        </w:rPr>
        <w:t xml:space="preserve"> / frapper</w:t>
      </w:r>
      <w:r>
        <w:rPr>
          <w:rStyle w:val="soitChar"/>
        </w:rPr>
        <w:t xml:space="preserve"> et sont adaptés au support.</w:t>
      </w:r>
    </w:p>
    <w:p w14:paraId="634F2DD1" w14:textId="77777777" w:rsidR="004B2808" w:rsidRDefault="00000000">
      <w:pPr>
        <w:ind w:left="567"/>
        <w:jc w:val="both"/>
      </w:pPr>
      <w:r>
        <w:rPr>
          <w:b/>
          <w:i/>
        </w:rPr>
        <w:t>(Soit)</w:t>
      </w:r>
      <w:r>
        <w:t> </w:t>
      </w:r>
    </w:p>
    <w:p w14:paraId="6F9D92D9" w14:textId="77777777" w:rsidR="004B2808" w:rsidRDefault="00000000">
      <w:pPr>
        <w:ind w:left="567"/>
        <w:jc w:val="both"/>
      </w:pPr>
      <w:r>
        <w:rPr>
          <w:rStyle w:val="soitChar"/>
          <w:b/>
          <w:u w:val="single"/>
        </w:rPr>
        <w:t>Par serrage et agrafage entre éléments</w:t>
      </w:r>
    </w:p>
    <w:p w14:paraId="0B178C91" w14:textId="77777777" w:rsidR="004B2808" w:rsidRDefault="00000000">
      <w:pPr>
        <w:ind w:left="567"/>
        <w:jc w:val="both"/>
      </w:pPr>
      <w:r>
        <w:rPr>
          <w:rStyle w:val="soitChar"/>
        </w:rPr>
        <w:t xml:space="preserve">Les panneaux sont serrés entièrement et découpés à mesure (+ 2 cm) le serrage est accompagné d’un </w:t>
      </w:r>
      <w:r>
        <w:rPr>
          <w:rStyle w:val="optioncarChar"/>
        </w:rPr>
        <w:t>agrafage à raison de 5 par m et par côté</w:t>
      </w:r>
      <w:r>
        <w:t xml:space="preserve"> (par défaut)</w:t>
      </w:r>
      <w:r>
        <w:rPr>
          <w:rStyle w:val="optioncarChar"/>
        </w:rPr>
        <w:t xml:space="preserve"> / ***</w:t>
      </w:r>
      <w:r>
        <w:rPr>
          <w:rStyle w:val="soitChar"/>
        </w:rPr>
        <w:t>.</w:t>
      </w:r>
    </w:p>
    <w:p w14:paraId="2178425C" w14:textId="77777777" w:rsidR="004B2808" w:rsidRDefault="00000000">
      <w:pPr>
        <w:ind w:left="567"/>
        <w:jc w:val="both"/>
      </w:pPr>
      <w:r>
        <w:rPr>
          <w:b/>
          <w:i/>
        </w:rPr>
        <w:t> (Soit) </w:t>
      </w:r>
    </w:p>
    <w:p w14:paraId="1D96994B" w14:textId="77777777" w:rsidR="004B2808" w:rsidRDefault="00000000">
      <w:pPr>
        <w:ind w:left="567"/>
        <w:jc w:val="both"/>
      </w:pPr>
      <w:r>
        <w:rPr>
          <w:rStyle w:val="optioncarChar"/>
        </w:rPr>
        <w:t> ***</w:t>
      </w:r>
    </w:p>
    <w:p w14:paraId="35838BDE" w14:textId="77777777" w:rsidR="004B2808" w:rsidRDefault="00000000">
      <w:pPr>
        <w:jc w:val="both"/>
      </w:pPr>
      <w:r>
        <w:rPr>
          <w:b/>
        </w:rPr>
        <w:t>Pour une application en plancher</w:t>
      </w:r>
    </w:p>
    <w:p w14:paraId="12999147" w14:textId="77777777" w:rsidR="004B2808" w:rsidRDefault="00000000">
      <w:pPr>
        <w:jc w:val="both"/>
      </w:pPr>
      <w:r>
        <w:t xml:space="preserve">L’isolation est posée par </w:t>
      </w:r>
      <w:r>
        <w:rPr>
          <w:rStyle w:val="optioncarChar"/>
        </w:rPr>
        <w:t>le dessus</w:t>
      </w:r>
      <w:r>
        <w:t xml:space="preserve"> (par défaut) </w:t>
      </w:r>
      <w:r>
        <w:rPr>
          <w:rStyle w:val="optioncarChar"/>
        </w:rPr>
        <w:t>/ le dessous</w:t>
      </w:r>
      <w:r>
        <w:t xml:space="preserve"> des planchers.</w:t>
      </w:r>
    </w:p>
    <w:p w14:paraId="28670B2A" w14:textId="77777777" w:rsidR="004B2808" w:rsidRDefault="00000000">
      <w:pPr>
        <w:ind w:left="567"/>
        <w:jc w:val="both"/>
      </w:pPr>
      <w:r>
        <w:rPr>
          <w:b/>
          <w:i/>
        </w:rPr>
        <w:t>(Soit par défaut) </w:t>
      </w:r>
    </w:p>
    <w:p w14:paraId="142410D8" w14:textId="77777777" w:rsidR="004B2808" w:rsidRDefault="00000000">
      <w:pPr>
        <w:ind w:left="567"/>
        <w:jc w:val="both"/>
      </w:pPr>
      <w:r>
        <w:rPr>
          <w:rStyle w:val="soitChar"/>
          <w:b/>
          <w:u w:val="single"/>
        </w:rPr>
        <w:t>Par le dessus des planchers</w:t>
      </w:r>
    </w:p>
    <w:p w14:paraId="46A6E5FE" w14:textId="77777777" w:rsidR="004B2808" w:rsidRDefault="00000000">
      <w:pPr>
        <w:ind w:left="567"/>
        <w:jc w:val="both"/>
      </w:pPr>
      <w:r>
        <w:rPr>
          <w:rStyle w:val="soitChar"/>
        </w:rPr>
        <w:lastRenderedPageBreak/>
        <w:t xml:space="preserve"> Le placement de l’isolation est assuré par </w:t>
      </w:r>
      <w:r>
        <w:rPr>
          <w:rStyle w:val="optioncarChar"/>
        </w:rPr>
        <w:t xml:space="preserve">pose simple </w:t>
      </w:r>
      <w:r>
        <w:t>(par défaut)</w:t>
      </w:r>
      <w:r>
        <w:rPr>
          <w:rStyle w:val="optioncarChar"/>
        </w:rPr>
        <w:t xml:space="preserve"> / ***</w:t>
      </w:r>
      <w:r>
        <w:rPr>
          <w:rStyle w:val="soitChar"/>
        </w:rPr>
        <w:t xml:space="preserve">. Le parement est disposé en </w:t>
      </w:r>
      <w:r>
        <w:rPr>
          <w:rStyle w:val="optioncarChar"/>
        </w:rPr>
        <w:t xml:space="preserve">partie supérieure </w:t>
      </w:r>
      <w:r>
        <w:t>(par défaut)</w:t>
      </w:r>
      <w:r>
        <w:rPr>
          <w:rStyle w:val="optioncarChar"/>
        </w:rPr>
        <w:t xml:space="preserve"> / partie inférieure / ***</w:t>
      </w:r>
      <w:r>
        <w:rPr>
          <w:rStyle w:val="soitChar"/>
        </w:rPr>
        <w:t>.</w:t>
      </w:r>
    </w:p>
    <w:p w14:paraId="0BD20B9B" w14:textId="77777777" w:rsidR="004B2808" w:rsidRDefault="00000000">
      <w:pPr>
        <w:ind w:left="567"/>
        <w:jc w:val="both"/>
      </w:pPr>
      <w:r>
        <w:rPr>
          <w:b/>
          <w:i/>
        </w:rPr>
        <w:t>(Soit) </w:t>
      </w:r>
    </w:p>
    <w:p w14:paraId="1413F3FB" w14:textId="77777777" w:rsidR="004B2808" w:rsidRDefault="00000000">
      <w:pPr>
        <w:ind w:left="567"/>
        <w:jc w:val="both"/>
      </w:pPr>
      <w:r>
        <w:rPr>
          <w:rStyle w:val="soitChar"/>
          <w:b/>
          <w:u w:val="single"/>
        </w:rPr>
        <w:t>Par le dessous des planchers</w:t>
      </w:r>
    </w:p>
    <w:p w14:paraId="5C83A046" w14:textId="77777777" w:rsidR="004B2808" w:rsidRDefault="00000000">
      <w:pPr>
        <w:ind w:left="567"/>
        <w:jc w:val="both"/>
      </w:pPr>
      <w:r>
        <w:rPr>
          <w:rStyle w:val="soitChar"/>
        </w:rPr>
        <w:t xml:space="preserve"> Le placement de l’isolation est assuré par</w:t>
      </w:r>
      <w:r>
        <w:rPr>
          <w:rStyle w:val="optioncarChar"/>
        </w:rPr>
        <w:t xml:space="preserve"> fixation à rosace à raison de 3 par m²</w:t>
      </w:r>
      <w:r>
        <w:t xml:space="preserve"> (par défaut)</w:t>
      </w:r>
      <w:r>
        <w:rPr>
          <w:rStyle w:val="optioncarChar"/>
        </w:rPr>
        <w:t xml:space="preserve"> /  lattage (latte de minimum 15x23mm espacées de 30 cm dont la taille est adaptée en fonction des fixations) / ***</w:t>
      </w:r>
      <w:r>
        <w:rPr>
          <w:rStyle w:val="soitChar"/>
        </w:rPr>
        <w:t xml:space="preserve">. Le parement est disposé en </w:t>
      </w:r>
      <w:r>
        <w:rPr>
          <w:rStyle w:val="optioncarChar"/>
        </w:rPr>
        <w:t xml:space="preserve">partie supérieure </w:t>
      </w:r>
      <w:r>
        <w:t>(par défaut)</w:t>
      </w:r>
      <w:r>
        <w:rPr>
          <w:rStyle w:val="optioncarChar"/>
        </w:rPr>
        <w:t xml:space="preserve"> / partie inférieure / ***</w:t>
      </w:r>
      <w:r>
        <w:rPr>
          <w:rStyle w:val="soitChar"/>
        </w:rPr>
        <w:t>.</w:t>
      </w:r>
    </w:p>
    <w:p w14:paraId="40A89132" w14:textId="77777777" w:rsidR="004B2808" w:rsidRDefault="00000000">
      <w:pPr>
        <w:pStyle w:val="pheading"/>
      </w:pPr>
      <w:r>
        <w:t>- Notes d’exécution complémentaires</w:t>
      </w:r>
    </w:p>
    <w:p w14:paraId="1DD6F6FE" w14:textId="77777777" w:rsidR="004B2808" w:rsidRDefault="00000000">
      <w:pPr>
        <w:jc w:val="both"/>
      </w:pPr>
      <w:r>
        <w:rPr>
          <w:rStyle w:val="facultChar"/>
        </w:rPr>
        <w:t>Il n’est pas permis d’installer dans l’épaisseur de l’isolation à réaliser tout matériel électrique non protégé susceptible de créer une source de chaleur continue (spots, transformateurs).</w:t>
      </w:r>
    </w:p>
    <w:p w14:paraId="5ACE4138" w14:textId="77777777" w:rsidR="004B2808" w:rsidRDefault="00000000">
      <w:pPr>
        <w:jc w:val="both"/>
      </w:pPr>
      <w:r>
        <w:rPr>
          <w:rStyle w:val="facultChar"/>
        </w:rPr>
        <w:t>L’absence de lame d’air entre l’isolant et la paroi doit être validé par une étude des conditions hygrothermiques.</w:t>
      </w:r>
    </w:p>
    <w:p w14:paraId="35A8DE1B" w14:textId="77777777" w:rsidR="004B2808" w:rsidRDefault="00000000">
      <w:pPr>
        <w:jc w:val="both"/>
      </w:pPr>
      <w:r>
        <w:rPr>
          <w:rStyle w:val="facultChar"/>
        </w:rPr>
        <w:t>Il est conseillé d’aménager une lame d’air d’environ 2 cm entre l’isolant et la paroi extérieure, notamment à l’aide de tasseaux bois ou de fourrures métalliques fixés sur la paroi et sur lesquels vient se poser l’ossature.</w:t>
      </w:r>
    </w:p>
    <w:p w14:paraId="2A5D86B4" w14:textId="77777777" w:rsidR="004B2808" w:rsidRDefault="00000000">
      <w:pPr>
        <w:jc w:val="both"/>
      </w:pPr>
      <w:r>
        <w:rPr>
          <w:rStyle w:val="facultChar"/>
        </w:rPr>
        <w:t>L’emploi des panneaux isolants en coton ne s’applique pas aux bâtiments à forte hygrométrie ni aux bâtiments industriels, agricoles, agroalimentaires.</w:t>
      </w:r>
    </w:p>
    <w:p w14:paraId="61057983" w14:textId="77777777" w:rsidR="004B2808" w:rsidRDefault="00000000">
      <w:pPr>
        <w:pStyle w:val="pheading"/>
      </w:pPr>
      <w:r>
        <w:t>DOCUMENTS DE RÉFÉRENCE COMPLÉMENTAIRES</w:t>
      </w:r>
    </w:p>
    <w:p w14:paraId="2A13736D" w14:textId="77777777" w:rsidR="004B2808" w:rsidRDefault="00000000">
      <w:pPr>
        <w:pStyle w:val="pheading"/>
      </w:pPr>
      <w:r>
        <w:t>- Matériau</w:t>
      </w:r>
    </w:p>
    <w:p w14:paraId="473FF876" w14:textId="77777777" w:rsidR="004B2808"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7C2B94DD" w14:textId="77777777" w:rsidR="004B2808" w:rsidRDefault="00000000">
      <w:r>
        <w:t>[NBN EN 13501-1, Classement au feu des produits et éléments de construction - Partie 1: Classement à partir des données d'essais de réaction au feu]</w:t>
      </w:r>
    </w:p>
    <w:p w14:paraId="2EFAE5DC" w14:textId="77777777" w:rsidR="004B2808" w:rsidRDefault="00000000">
      <w:r>
        <w:t>[NBN EN 823, Produits isolants thermiques destinés aux applications du bâtiment - Détermination de l'épaisseur]</w:t>
      </w:r>
    </w:p>
    <w:p w14:paraId="6A510143" w14:textId="77777777" w:rsidR="004B2808" w:rsidRDefault="00000000">
      <w:r>
        <w:t>[NBN EN ISO 29470, Produits isolants thermiques destinés aux applications du bâtiment - Détermination de la masse volumique apparente (ISO 29470:2020)]</w:t>
      </w:r>
    </w:p>
    <w:p w14:paraId="40AA4719" w14:textId="77777777" w:rsidR="004B2808" w:rsidRDefault="00000000">
      <w:r>
        <w:t>[NBN EN ISO 29767, Produits isolants thermiques destinés aux applications du bâtiment - Détermination de l'absorption d'eau à court terme par immersion partielle (ISO 29767:2019)]</w:t>
      </w:r>
    </w:p>
    <w:p w14:paraId="5F76692A" w14:textId="77777777" w:rsidR="004B2808" w:rsidRDefault="00000000">
      <w:r>
        <w:t>[NBN EN 12086, Produits isolants thermiques destinés aux applications du bâtiment - Détermination des propriétés de transmission de la vapeur d'eau]</w:t>
      </w:r>
    </w:p>
    <w:p w14:paraId="5CAD5D5A" w14:textId="77777777" w:rsidR="004B2808" w:rsidRDefault="00000000">
      <w:r>
        <w:t>[NBN EN ISO 846, Plastiques - Évaluation de l'action des micro-organismes (ISO 846:2019)]</w:t>
      </w:r>
    </w:p>
    <w:p w14:paraId="01E33185" w14:textId="77777777" w:rsidR="004B2808" w:rsidRDefault="00000000">
      <w:r>
        <w:t>[NBN EN 717-1, Panneaux à base de bois - Détermination du dégagement de formaldéhyde - Partie 1 : Emission de formaldéhyde par la méthode à la chambre]</w:t>
      </w:r>
    </w:p>
    <w:p w14:paraId="03EF7D68" w14:textId="77777777" w:rsidR="004B2808" w:rsidRDefault="00000000">
      <w:r>
        <w:t>[CEN/TR 14823, Durabilité du bois et des matériaux dérivés du bois - Analyse quantitative du pentachlorophénol dans le bois - Méthode par chromatographie en phase gazeuse]</w:t>
      </w:r>
    </w:p>
    <w:p w14:paraId="15AABA34" w14:textId="77777777" w:rsidR="004B2808" w:rsidRDefault="00000000">
      <w:pPr>
        <w:pStyle w:val="pheading"/>
      </w:pPr>
      <w:r>
        <w:t>- Exécution</w:t>
      </w:r>
    </w:p>
    <w:p w14:paraId="51B628EF" w14:textId="77777777" w:rsidR="004B2808" w:rsidRDefault="00000000">
      <w:r>
        <w:t>[NIT 233, Les cloisons légères.]</w:t>
      </w:r>
    </w:p>
    <w:p w14:paraId="544D316D" w14:textId="77777777" w:rsidR="004B2808" w:rsidRDefault="00000000">
      <w:r>
        <w:t>[NIT 232, Les plafonds suspendus.]</w:t>
      </w:r>
    </w:p>
    <w:p w14:paraId="306E079A" w14:textId="77777777" w:rsidR="004B2808" w:rsidRDefault="00000000">
      <w:r>
        <w:t>[NBN EN 13501-1, Classement au feu des produits et éléments de construction - Partie 1: Classement à partir des données d'essais de réaction au feu]</w:t>
      </w:r>
    </w:p>
    <w:p w14:paraId="08267318" w14:textId="77777777" w:rsidR="004B2808" w:rsidRDefault="00000000">
      <w:pPr>
        <w:pStyle w:val="pheading"/>
      </w:pPr>
      <w:r>
        <w:t>MESURAGE</w:t>
      </w:r>
    </w:p>
    <w:p w14:paraId="461A1285" w14:textId="77777777" w:rsidR="004B2808" w:rsidRDefault="00000000">
      <w:pPr>
        <w:pStyle w:val="pheading"/>
      </w:pPr>
      <w:r>
        <w:lastRenderedPageBreak/>
        <w:t>- unité de mesure:</w:t>
      </w:r>
    </w:p>
    <w:p w14:paraId="714557FF" w14:textId="77777777" w:rsidR="004B2808" w:rsidRDefault="00000000">
      <w:r>
        <w:t>m²</w:t>
      </w:r>
    </w:p>
    <w:p w14:paraId="0C4DD01F" w14:textId="77777777" w:rsidR="004B2808" w:rsidRDefault="00000000">
      <w:pPr>
        <w:pStyle w:val="pheading"/>
      </w:pPr>
      <w:r>
        <w:t>- code de mesurage:</w:t>
      </w:r>
    </w:p>
    <w:p w14:paraId="2035D9C1" w14:textId="77777777" w:rsidR="004B2808" w:rsidRDefault="00000000">
      <w:pPr>
        <w:jc w:val="both"/>
      </w:pPr>
      <w:r>
        <w:t>Distinction faite suivant le type et l'épaisseur.</w:t>
      </w:r>
    </w:p>
    <w:p w14:paraId="4CEF8632" w14:textId="77777777" w:rsidR="004B2808" w:rsidRDefault="00000000">
      <w:pPr>
        <w:pStyle w:val="Author-eListParagraph"/>
        <w:numPr>
          <w:ilvl w:val="0"/>
          <w:numId w:val="415"/>
        </w:numPr>
        <w:jc w:val="both"/>
      </w:pPr>
      <w:r>
        <w:rPr>
          <w:u w:val="single"/>
        </w:rPr>
        <w:t>Isolation des parois verticales</w:t>
      </w:r>
      <w:r>
        <w:t xml:space="preserve"> : </w:t>
      </w:r>
      <w:r>
        <w:rPr>
          <w:b/>
        </w:rPr>
        <w:t>Surface nette</w:t>
      </w:r>
      <w:r>
        <w:t>. Les ouvertures supérieures à 0,50 m² sont déduites.</w:t>
      </w:r>
    </w:p>
    <w:p w14:paraId="1BFC1823" w14:textId="77777777" w:rsidR="004B2808" w:rsidRDefault="004B2808">
      <w:pPr>
        <w:pStyle w:val="Author-eListParagraph"/>
        <w:numPr>
          <w:ilvl w:val="0"/>
          <w:numId w:val="415"/>
        </w:numPr>
        <w:jc w:val="both"/>
      </w:pPr>
    </w:p>
    <w:p w14:paraId="3136C6BD" w14:textId="77777777" w:rsidR="004B2808" w:rsidRDefault="00000000">
      <w:pPr>
        <w:pStyle w:val="Author-eListParagraph"/>
        <w:numPr>
          <w:ilvl w:val="0"/>
          <w:numId w:val="415"/>
        </w:numPr>
        <w:jc w:val="both"/>
      </w:pPr>
      <w:r>
        <w:rPr>
          <w:u w:val="single"/>
        </w:rPr>
        <w:t>Isolation des parois horizontales</w:t>
      </w:r>
      <w:r>
        <w:t xml:space="preserve"> : </w:t>
      </w:r>
      <w:r>
        <w:rPr>
          <w:b/>
        </w:rPr>
        <w:t>Surface nette</w:t>
      </w:r>
      <w:r>
        <w:t xml:space="preserve"> du sol, mesurée entre le nu des murs. Les ouvertures supérieures à 0,5 m² sont déduites. L'isolation périphérique ne doit pas être portée en compte séparément.</w:t>
      </w:r>
    </w:p>
    <w:p w14:paraId="1D731A34" w14:textId="77777777" w:rsidR="004B2808" w:rsidRDefault="00000000">
      <w:pPr>
        <w:pStyle w:val="pheading"/>
      </w:pPr>
      <w:r>
        <w:t>- nature du marché:</w:t>
      </w:r>
    </w:p>
    <w:p w14:paraId="63C0F2B0" w14:textId="77777777" w:rsidR="004B2808" w:rsidRDefault="00000000">
      <w:r>
        <w:t>QF</w:t>
      </w:r>
    </w:p>
    <w:p w14:paraId="7C2B33CF" w14:textId="77777777" w:rsidR="004B2808" w:rsidRDefault="00000000">
      <w:pPr>
        <w:pStyle w:val="Author-eSectionHeading6Numberless"/>
      </w:pPr>
      <w:bookmarkStart w:id="403" w:name="_Toc220490579"/>
      <w:r>
        <w:t>52.41.3h Isolation en panneaux - herbe CCTB 01.02</w:t>
      </w:r>
      <w:bookmarkEnd w:id="403"/>
    </w:p>
    <w:p w14:paraId="206F7F4B" w14:textId="77777777" w:rsidR="004B2808" w:rsidRDefault="00000000">
      <w:pPr>
        <w:pStyle w:val="Author-eSectionHeading6Numberless"/>
      </w:pPr>
      <w:bookmarkStart w:id="404" w:name="_Toc220490580"/>
      <w:r>
        <w:t>52.41.3i (titre réservé)</w:t>
      </w:r>
      <w:bookmarkEnd w:id="404"/>
    </w:p>
    <w:p w14:paraId="707313B8" w14:textId="77777777" w:rsidR="004B2808" w:rsidRDefault="00000000">
      <w:pPr>
        <w:pStyle w:val="Author-eSectionHeading6Numberless"/>
      </w:pPr>
      <w:bookmarkStart w:id="405" w:name="_Toc220490581"/>
      <w:r>
        <w:t>52.41.3j Isolation en panneaux - paille CCTB 01.10</w:t>
      </w:r>
      <w:bookmarkEnd w:id="405"/>
    </w:p>
    <w:p w14:paraId="09C871E2" w14:textId="77777777" w:rsidR="004B2808" w:rsidRDefault="00000000">
      <w:pPr>
        <w:pStyle w:val="pheading"/>
      </w:pPr>
      <w:r>
        <w:t>DESCRIPTION</w:t>
      </w:r>
    </w:p>
    <w:p w14:paraId="69C59E46" w14:textId="77777777" w:rsidR="004B2808" w:rsidRDefault="00000000">
      <w:pPr>
        <w:pStyle w:val="pheading"/>
      </w:pPr>
      <w:r>
        <w:t>- Définition / Comprend</w:t>
      </w:r>
    </w:p>
    <w:p w14:paraId="5D55E5F4" w14:textId="77777777" w:rsidR="004B2808" w:rsidRDefault="00000000">
      <w:pPr>
        <w:jc w:val="both"/>
      </w:pPr>
      <w:r>
        <w:t>Il s’agit de la fourniture et de la pose d’une isolation thermique au moyen de panneaux paille en application horizontale ou verticale d’isolation intérieure.</w:t>
      </w:r>
    </w:p>
    <w:p w14:paraId="4363AB84" w14:textId="77777777" w:rsidR="004B2808" w:rsidRDefault="00000000">
      <w:pPr>
        <w:pStyle w:val="pheading"/>
      </w:pPr>
      <w:r>
        <w:t>- Localisation</w:t>
      </w:r>
    </w:p>
    <w:p w14:paraId="61B7B3AE" w14:textId="77777777" w:rsidR="004B2808" w:rsidRDefault="00000000">
      <w:r>
        <w:t xml:space="preserve">Localisation des travaux : </w:t>
      </w:r>
      <w:r>
        <w:rPr>
          <w:rStyle w:val="optioncarChar"/>
        </w:rPr>
        <w:t>***</w:t>
      </w:r>
      <w:r>
        <w:t>.</w:t>
      </w:r>
    </w:p>
    <w:p w14:paraId="5F74F40C" w14:textId="77777777" w:rsidR="004B2808" w:rsidRDefault="00000000">
      <w:r>
        <w:t>Voir plans et métrés détaillés.</w:t>
      </w:r>
    </w:p>
    <w:p w14:paraId="24C36865" w14:textId="77777777" w:rsidR="004B2808" w:rsidRDefault="00000000">
      <w:pPr>
        <w:pStyle w:val="pheading"/>
      </w:pPr>
      <w:r>
        <w:t>MATÉRIAUX</w:t>
      </w:r>
    </w:p>
    <w:p w14:paraId="7788C414" w14:textId="77777777" w:rsidR="004B2808" w:rsidRDefault="00000000">
      <w:pPr>
        <w:pStyle w:val="pheading"/>
      </w:pPr>
      <w:r>
        <w:t>- Caractéristiques générales</w:t>
      </w:r>
    </w:p>
    <w:p w14:paraId="54D727DA" w14:textId="77777777" w:rsidR="004B2808" w:rsidRDefault="00000000">
      <w:pPr>
        <w:jc w:val="both"/>
      </w:pPr>
      <w:r>
        <w:t xml:space="preserve">Le panneau paille est assemblé par </w:t>
      </w:r>
      <w:r>
        <w:rPr>
          <w:rStyle w:val="optioncarChar"/>
        </w:rPr>
        <w:t>tissage</w:t>
      </w:r>
      <w:r>
        <w:t xml:space="preserve"> (par défaut)</w:t>
      </w:r>
      <w:r>
        <w:rPr>
          <w:rStyle w:val="optioncarChar"/>
        </w:rPr>
        <w:t xml:space="preserve"> / liant / compression à chaud / ***</w:t>
      </w:r>
      <w:r>
        <w:t>.</w:t>
      </w:r>
    </w:p>
    <w:p w14:paraId="5D20C84F" w14:textId="77777777" w:rsidR="004B2808" w:rsidRDefault="00000000">
      <w:pPr>
        <w:jc w:val="both"/>
      </w:pPr>
      <w:r>
        <w:t>Le parement des panneaux est de type : </w:t>
      </w:r>
      <w:r>
        <w:rPr>
          <w:rStyle w:val="optioncarChar"/>
        </w:rPr>
        <w:t xml:space="preserve">nu </w:t>
      </w:r>
      <w:r>
        <w:t>(par défaut)</w:t>
      </w:r>
      <w:r>
        <w:rPr>
          <w:rStyle w:val="optioncarChar"/>
        </w:rPr>
        <w:t xml:space="preserve"> / feuille cartonnée / fibres de verre / armature synthétique / feuille d’aluminium / plaque de plâtre / ***</w:t>
      </w:r>
      <w:r>
        <w:t>.</w:t>
      </w:r>
    </w:p>
    <w:p w14:paraId="4DB1710A" w14:textId="77777777" w:rsidR="004B2808" w:rsidRDefault="00000000">
      <w:pPr>
        <w:jc w:val="both"/>
      </w:pPr>
      <w:r>
        <w:t xml:space="preserve">Le parement des panneaux est appliqué sur </w:t>
      </w:r>
      <w:r>
        <w:rPr>
          <w:rStyle w:val="optioncarChar"/>
        </w:rPr>
        <w:t>toutes les faces</w:t>
      </w:r>
      <w:r>
        <w:t xml:space="preserve"> (par défaut)</w:t>
      </w:r>
      <w:r>
        <w:rPr>
          <w:rStyle w:val="optioncarChar"/>
        </w:rPr>
        <w:t xml:space="preserve"> / l’une des faces / ***</w:t>
      </w:r>
      <w:r>
        <w:t>.</w:t>
      </w:r>
    </w:p>
    <w:p w14:paraId="2B4A6D84" w14:textId="77777777" w:rsidR="004B2808" w:rsidRDefault="00000000">
      <w:pPr>
        <w:jc w:val="both"/>
      </w:pPr>
      <w:r>
        <w:t>Dimension des panneaux : </w:t>
      </w:r>
      <w:r>
        <w:rPr>
          <w:rStyle w:val="optioncarChar"/>
        </w:rPr>
        <w:t>1200 x 2500</w:t>
      </w:r>
      <w:r>
        <w:t xml:space="preserve"> (par défaut) </w:t>
      </w:r>
      <w:r>
        <w:rPr>
          <w:rStyle w:val="optioncarChar"/>
        </w:rPr>
        <w:t>/ 600 x 1200 / 1200 x 1000 / 600 x 2000 / ***</w:t>
      </w:r>
      <w:r>
        <w:t> mm.</w:t>
      </w:r>
    </w:p>
    <w:p w14:paraId="61583578" w14:textId="77777777" w:rsidR="004B2808" w:rsidRDefault="00000000">
      <w:pPr>
        <w:jc w:val="both"/>
      </w:pPr>
      <w:r>
        <w:t xml:space="preserve">Epaisseur totale de l’isolation : </w:t>
      </w:r>
      <w:r>
        <w:rPr>
          <w:rStyle w:val="optioncarChar"/>
        </w:rPr>
        <w:t>***</w:t>
      </w:r>
      <w:r>
        <w:t> mm.</w:t>
      </w:r>
    </w:p>
    <w:p w14:paraId="1008389A" w14:textId="77777777" w:rsidR="004B2808" w:rsidRDefault="00000000">
      <w:pPr>
        <w:jc w:val="both"/>
      </w:pPr>
      <w:r>
        <w:t xml:space="preserve">Les panneaux sont disposés en </w:t>
      </w:r>
      <w:r>
        <w:rPr>
          <w:rStyle w:val="optioncarChar"/>
        </w:rPr>
        <w:t>1</w:t>
      </w:r>
      <w:r>
        <w:t xml:space="preserve"> (par défaut)</w:t>
      </w:r>
      <w:r>
        <w:rPr>
          <w:rStyle w:val="optioncarChar"/>
        </w:rPr>
        <w:t xml:space="preserve"> / ***</w:t>
      </w:r>
      <w:r>
        <w:t> couche(s).</w:t>
      </w:r>
    </w:p>
    <w:p w14:paraId="26703706" w14:textId="77777777" w:rsidR="004B2808" w:rsidRDefault="00000000">
      <w:pPr>
        <w:jc w:val="both"/>
      </w:pPr>
      <w:r>
        <w:t>Conductivité thermique (selon [NBN EN 12667] ou selon [NBN EN 12939] pour les produits épais) : valeur λ</w:t>
      </w:r>
      <w:r>
        <w:rPr>
          <w:vertAlign w:val="subscript"/>
        </w:rPr>
        <w:t>D</w:t>
      </w:r>
      <w:r>
        <w:t xml:space="preserve"> ≤ </w:t>
      </w:r>
      <w:r>
        <w:rPr>
          <w:rStyle w:val="optioncarChar"/>
        </w:rPr>
        <w:t>0.10</w:t>
      </w:r>
      <w:r>
        <w:t xml:space="preserve"> (par défaut)</w:t>
      </w:r>
      <w:r>
        <w:rPr>
          <w:rStyle w:val="optioncarChar"/>
        </w:rPr>
        <w:t xml:space="preserve"> / ***</w:t>
      </w:r>
      <w:r>
        <w:t> W/mK.</w:t>
      </w:r>
    </w:p>
    <w:p w14:paraId="39FBBB2B" w14:textId="77777777" w:rsidR="004B2808" w:rsidRDefault="00000000">
      <w:pPr>
        <w:jc w:val="both"/>
      </w:pPr>
      <w:r>
        <w:t xml:space="preserve">Masse volumique nominale (selon [NBN EN ISO 29470]) : ≤ </w:t>
      </w:r>
      <w:r>
        <w:rPr>
          <w:rStyle w:val="optioncarChar"/>
        </w:rPr>
        <w:t xml:space="preserve">400 </w:t>
      </w:r>
      <w:r>
        <w:t>(par défaut)</w:t>
      </w:r>
      <w:r>
        <w:rPr>
          <w:rStyle w:val="optioncarChar"/>
        </w:rPr>
        <w:t xml:space="preserve"> / ***</w:t>
      </w:r>
      <w:r>
        <w:t> kg/m³.</w:t>
      </w:r>
    </w:p>
    <w:p w14:paraId="0948403C" w14:textId="77777777" w:rsidR="004B2808" w:rsidRDefault="00000000">
      <w:pPr>
        <w:pStyle w:val="pheading"/>
      </w:pPr>
      <w:r>
        <w:t>- Prescriptions complémentaires</w:t>
      </w:r>
    </w:p>
    <w:p w14:paraId="33D4E895" w14:textId="77777777" w:rsidR="004B2808" w:rsidRDefault="00000000">
      <w:pPr>
        <w:jc w:val="both"/>
      </w:pPr>
      <w:r>
        <w:rPr>
          <w:rStyle w:val="facultChar"/>
        </w:rPr>
        <w:t>Equerrage de la longueur et de la largeur selon [NBN EN 824] : max 5 mm/m.</w:t>
      </w:r>
    </w:p>
    <w:p w14:paraId="09EB6B1B" w14:textId="77777777" w:rsidR="004B2808" w:rsidRDefault="00000000">
      <w:pPr>
        <w:jc w:val="both"/>
      </w:pPr>
      <w:r>
        <w:rPr>
          <w:rStyle w:val="facultChar"/>
        </w:rPr>
        <w:t>Ecart de planéité des panneaux et plaques selon [NBN EN 825] : max 6 mm.</w:t>
      </w:r>
    </w:p>
    <w:p w14:paraId="2778AF85" w14:textId="77777777" w:rsidR="004B2808" w:rsidRDefault="00000000">
      <w:pPr>
        <w:jc w:val="both"/>
      </w:pPr>
      <w:r>
        <w:rPr>
          <w:rStyle w:val="facultChar"/>
        </w:rPr>
        <w:t xml:space="preserve">Réaction au feu selon [NBN EN 13501-1] : </w:t>
      </w:r>
      <w:r>
        <w:rPr>
          <w:rStyle w:val="optioncarChar"/>
        </w:rPr>
        <w:t>E</w:t>
      </w:r>
      <w:r>
        <w:t> (par défaut)</w:t>
      </w:r>
      <w:r>
        <w:rPr>
          <w:rStyle w:val="optioncarChar"/>
        </w:rPr>
        <w:t xml:space="preserve"> / C / D / F</w:t>
      </w:r>
      <w:r>
        <w:rPr>
          <w:rStyle w:val="facultChar"/>
        </w:rPr>
        <w:t> complétée, le cas échéant par les aspects </w:t>
      </w:r>
      <w:r>
        <w:rPr>
          <w:rStyle w:val="optioncarChar"/>
        </w:rPr>
        <w:t xml:space="preserve">s1 </w:t>
      </w:r>
      <w:r>
        <w:t xml:space="preserve">(par défaut) </w:t>
      </w:r>
      <w:r>
        <w:rPr>
          <w:rStyle w:val="optioncarChar"/>
        </w:rPr>
        <w:t>/ s2 / s3</w:t>
      </w:r>
      <w:r>
        <w:rPr>
          <w:rStyle w:val="facultChar"/>
        </w:rPr>
        <w:t xml:space="preserve"> et </w:t>
      </w:r>
      <w:r>
        <w:rPr>
          <w:rStyle w:val="optioncarChar"/>
        </w:rPr>
        <w:t xml:space="preserve">d0 </w:t>
      </w:r>
      <w:r>
        <w:t>(par défaut)</w:t>
      </w:r>
      <w:r>
        <w:rPr>
          <w:rStyle w:val="optioncarChar"/>
        </w:rPr>
        <w:t xml:space="preserve"> / d1 / d2</w:t>
      </w:r>
      <w:r>
        <w:rPr>
          <w:rStyle w:val="facultChar"/>
        </w:rPr>
        <w:t>  </w:t>
      </w:r>
    </w:p>
    <w:p w14:paraId="5BF24A72" w14:textId="77777777" w:rsidR="004B2808" w:rsidRDefault="00000000">
      <w:pPr>
        <w:jc w:val="both"/>
      </w:pPr>
      <w:r>
        <w:rPr>
          <w:rStyle w:val="facultChar"/>
        </w:rPr>
        <w:lastRenderedPageBreak/>
        <w:t>Résistance à la contrainte en compression à 10 % de déformation (selon [NBN EN 826]) : niveau CS(10\Y) </w:t>
      </w:r>
      <w:r>
        <w:rPr>
          <w:rStyle w:val="optioncarChar"/>
        </w:rPr>
        <w:t xml:space="preserve"> 0,5 / 5 / 10 / 15 / 20 / 25 / 30 / 40 </w:t>
      </w:r>
      <w:r>
        <w:t xml:space="preserve">(par défaut) </w:t>
      </w:r>
      <w:r>
        <w:rPr>
          <w:rStyle w:val="optioncarChar"/>
        </w:rPr>
        <w:t>/ 50 / 60 / 70 / 80 / 90 / 110 / 120 / 130 / 140 / 150 / 175 / 200 / 225 / 250 / 300 / 350 / 400 / 450 / 500</w:t>
      </w:r>
      <w:r>
        <w:rPr>
          <w:rStyle w:val="facultChar"/>
        </w:rPr>
        <w:t> kPa.</w:t>
      </w:r>
    </w:p>
    <w:p w14:paraId="791EDC0A" w14:textId="77777777" w:rsidR="004B2808" w:rsidRDefault="00000000">
      <w:pPr>
        <w:jc w:val="both"/>
      </w:pPr>
      <w:r>
        <w:rPr>
          <w:rStyle w:val="facultChar"/>
        </w:rPr>
        <w:t xml:space="preserve">Absorption d’eau à court terme (selon [NBN EN ISO 29767]) : ≤ </w:t>
      </w:r>
      <w:r>
        <w:rPr>
          <w:rStyle w:val="optioncarChar"/>
        </w:rPr>
        <w:t xml:space="preserve">1kg/m² </w:t>
      </w:r>
      <w:r>
        <w:t>(par défaut)</w:t>
      </w:r>
      <w:r>
        <w:rPr>
          <w:rStyle w:val="optioncarChar"/>
        </w:rPr>
        <w:t xml:space="preserve"> / ***  </w:t>
      </w:r>
    </w:p>
    <w:p w14:paraId="2FEC69AA" w14:textId="77777777" w:rsidR="004B2808" w:rsidRDefault="00000000">
      <w:pPr>
        <w:jc w:val="both"/>
      </w:pPr>
      <w:r>
        <w:rPr>
          <w:rStyle w:val="facultChar"/>
        </w:rPr>
        <w:t xml:space="preserve">Absorption d’eau à long terme (selon [NBN EN ISO 16535]) : ≤ </w:t>
      </w:r>
      <w:r>
        <w:rPr>
          <w:rStyle w:val="optioncarChar"/>
        </w:rPr>
        <w:t>3kg/m²</w:t>
      </w:r>
      <w:r>
        <w:t xml:space="preserve"> (par défaut) </w:t>
      </w:r>
      <w:r>
        <w:rPr>
          <w:rStyle w:val="optioncarChar"/>
        </w:rPr>
        <w:t>/ ***</w:t>
      </w:r>
    </w:p>
    <w:p w14:paraId="1B9E6651" w14:textId="77777777" w:rsidR="004B2808" w:rsidRDefault="00000000">
      <w:pPr>
        <w:jc w:val="both"/>
      </w:pPr>
      <w:r>
        <w:rPr>
          <w:rStyle w:val="facultChar"/>
        </w:rPr>
        <w:t>Coefficient de résistance à la diffusion de vapeur d’eau – valeur s</w:t>
      </w:r>
      <w:r>
        <w:rPr>
          <w:rStyle w:val="facultChar"/>
          <w:vertAlign w:val="subscript"/>
        </w:rPr>
        <w:t>d</w:t>
      </w:r>
      <w:r>
        <w:rPr>
          <w:rStyle w:val="facultChar"/>
        </w:rPr>
        <w:t xml:space="preserve"> du panneau + parement (selon [NBN EN 12086]) :  </w:t>
      </w:r>
      <w:r>
        <w:rPr>
          <w:rStyle w:val="optioncarChar"/>
        </w:rPr>
        <w:t>***</w:t>
      </w:r>
    </w:p>
    <w:p w14:paraId="26C7F6D0" w14:textId="77777777" w:rsidR="004B2808" w:rsidRDefault="00000000">
      <w:pPr>
        <w:jc w:val="both"/>
      </w:pPr>
      <w:r>
        <w:rPr>
          <w:rStyle w:val="facultChar"/>
        </w:rPr>
        <w:t>Absorption acoustique (déterminée selon [NBN EN ISO 354] et [NBN EN ISO 11654]) : </w:t>
      </w:r>
      <w:r>
        <w:rPr>
          <w:rStyle w:val="optioncarChar"/>
        </w:rPr>
        <w:t>*** </w:t>
      </w:r>
    </w:p>
    <w:p w14:paraId="605444AE" w14:textId="77777777" w:rsidR="004B2808" w:rsidRDefault="00000000">
      <w:pPr>
        <w:jc w:val="both"/>
      </w:pPr>
      <w:r>
        <w:rPr>
          <w:rStyle w:val="facultChar"/>
        </w:rPr>
        <w:t xml:space="preserve">Les liants des panneaux et d’adhésion du revêtement de surface ne contiennent pas de formaldéhyde. Le dégagement mesuré selon la [NBN EN 717-1] est &lt; </w:t>
      </w:r>
      <w:r>
        <w:rPr>
          <w:rStyle w:val="optioncarChar"/>
        </w:rPr>
        <w:t xml:space="preserve">0.124 </w:t>
      </w:r>
      <w:r>
        <w:t>(par défaut)</w:t>
      </w:r>
      <w:r>
        <w:rPr>
          <w:rStyle w:val="optioncarChar"/>
        </w:rPr>
        <w:t xml:space="preserve"> / ***</w:t>
      </w:r>
      <w:r>
        <w:rPr>
          <w:rStyle w:val="facultChar"/>
        </w:rPr>
        <w:t> mg/m³</w:t>
      </w:r>
    </w:p>
    <w:p w14:paraId="1BDBAD1E" w14:textId="77777777" w:rsidR="004B2808" w:rsidRDefault="00000000">
      <w:pPr>
        <w:jc w:val="both"/>
      </w:pPr>
      <w:r>
        <w:rPr>
          <w:rStyle w:val="facultChar"/>
        </w:rPr>
        <w:t xml:space="preserve">Concentration de pentachlorophénol mesurée selon la [CEN/TR 14823] : &lt; </w:t>
      </w:r>
      <w:r>
        <w:rPr>
          <w:rStyle w:val="optioncarChar"/>
        </w:rPr>
        <w:t xml:space="preserve">5 </w:t>
      </w:r>
      <w:r>
        <w:t xml:space="preserve">(par défaut) </w:t>
      </w:r>
      <w:r>
        <w:rPr>
          <w:rStyle w:val="optioncarChar"/>
        </w:rPr>
        <w:t>/ *** </w:t>
      </w:r>
      <w:r>
        <w:rPr>
          <w:rStyle w:val="facultChar"/>
        </w:rPr>
        <w:t>  PPM</w:t>
      </w:r>
    </w:p>
    <w:p w14:paraId="558D0C92" w14:textId="77777777" w:rsidR="004B2808" w:rsidRDefault="00000000">
      <w:pPr>
        <w:jc w:val="both"/>
      </w:pPr>
      <w:r>
        <w:rPr>
          <w:rStyle w:val="facultChar"/>
        </w:rPr>
        <w:t xml:space="preserve">Les liants des panneaux sont issus de </w:t>
      </w:r>
      <w:r>
        <w:rPr>
          <w:rStyle w:val="optioncarChar"/>
        </w:rPr>
        <w:t xml:space="preserve">matières premières végétales </w:t>
      </w:r>
      <w:r>
        <w:t>(par défaut)</w:t>
      </w:r>
      <w:r>
        <w:rPr>
          <w:rStyle w:val="optioncarChar"/>
        </w:rPr>
        <w:t xml:space="preserve"> / dérivés synthétiques / ***.</w:t>
      </w:r>
    </w:p>
    <w:p w14:paraId="1F28317B" w14:textId="77777777" w:rsidR="004B2808" w:rsidRDefault="00000000">
      <w:pPr>
        <w:pStyle w:val="pheading"/>
      </w:pPr>
      <w:r>
        <w:t>EXÉCUTION / MISE EN ŒUVRE</w:t>
      </w:r>
    </w:p>
    <w:p w14:paraId="63FEF97F" w14:textId="77777777" w:rsidR="004B2808" w:rsidRDefault="00000000">
      <w:pPr>
        <w:pStyle w:val="pheading"/>
      </w:pPr>
      <w:r>
        <w:t>- Prescriptions générales</w:t>
      </w:r>
    </w:p>
    <w:p w14:paraId="47B677B8" w14:textId="77777777" w:rsidR="004B2808" w:rsidRDefault="00000000">
      <w:pPr>
        <w:jc w:val="both"/>
      </w:pPr>
      <w:r>
        <w:t>Les panneaux sont contigus. Les espaces éventuels entre panneaux ou de liaison avec les parois sont comblés avec un isolant de même type.</w:t>
      </w:r>
    </w:p>
    <w:p w14:paraId="3E1BADFA" w14:textId="77777777" w:rsidR="004B2808" w:rsidRDefault="00000000">
      <w:pPr>
        <w:jc w:val="both"/>
      </w:pPr>
      <w:r>
        <w:rPr>
          <w:b/>
        </w:rPr>
        <w:t>Pour une application sous chape</w:t>
      </w:r>
    </w:p>
    <w:p w14:paraId="46EE2B62" w14:textId="77777777" w:rsidR="004B2808" w:rsidRDefault="00000000">
      <w:pPr>
        <w:jc w:val="both"/>
      </w:pPr>
      <w:r>
        <w:t xml:space="preserve">Les spécifications de mise en œuvre sont reprises dans la [NIT 193]. Les panneaux sont </w:t>
      </w:r>
      <w:r>
        <w:rPr>
          <w:rStyle w:val="optioncarChar"/>
        </w:rPr>
        <w:t>posés de manière continue</w:t>
      </w:r>
      <w:r>
        <w:t xml:space="preserve"> (par défaut)</w:t>
      </w:r>
      <w:r>
        <w:rPr>
          <w:rStyle w:val="optioncarChar"/>
        </w:rPr>
        <w:t xml:space="preserve"> / fixés par collage / fixés par fixation mécanique (3 par panneau) / ***</w:t>
      </w:r>
      <w:r>
        <w:t>.</w:t>
      </w:r>
    </w:p>
    <w:p w14:paraId="3A032718" w14:textId="77777777" w:rsidR="004B2808" w:rsidRDefault="00000000">
      <w:pPr>
        <w:jc w:val="both"/>
      </w:pPr>
      <w:r>
        <w:rPr>
          <w:b/>
        </w:rPr>
        <w:t>Pour une application verticale</w:t>
      </w:r>
    </w:p>
    <w:p w14:paraId="25FF8B0D" w14:textId="77777777" w:rsidR="004B2808" w:rsidRDefault="00000000">
      <w:pPr>
        <w:jc w:val="both"/>
      </w:pPr>
      <w:r>
        <w:t xml:space="preserve">Les panneaux sont fixés par </w:t>
      </w:r>
      <w:r>
        <w:rPr>
          <w:rStyle w:val="optioncarChar"/>
        </w:rPr>
        <w:t xml:space="preserve">serrage entre éléments </w:t>
      </w:r>
      <w:r>
        <w:t xml:space="preserve">(par défaut) </w:t>
      </w:r>
      <w:r>
        <w:rPr>
          <w:rStyle w:val="optioncarChar"/>
        </w:rPr>
        <w:t>/ collage / fixation mécanique / ***</w:t>
      </w:r>
    </w:p>
    <w:p w14:paraId="57864890" w14:textId="77777777" w:rsidR="004B2808" w:rsidRDefault="00000000">
      <w:pPr>
        <w:ind w:left="567"/>
        <w:jc w:val="both"/>
      </w:pPr>
      <w:r>
        <w:rPr>
          <w:b/>
          <w:i/>
        </w:rPr>
        <w:t>(Soit par défaut) </w:t>
      </w:r>
    </w:p>
    <w:p w14:paraId="559AAA28" w14:textId="77777777" w:rsidR="004B2808" w:rsidRDefault="00000000">
      <w:pPr>
        <w:ind w:left="567"/>
        <w:jc w:val="both"/>
      </w:pPr>
      <w:r>
        <w:rPr>
          <w:rStyle w:val="soitChar"/>
          <w:b/>
          <w:u w:val="single"/>
        </w:rPr>
        <w:t xml:space="preserve"> Par serrage entre éléments</w:t>
      </w:r>
    </w:p>
    <w:p w14:paraId="297EA550" w14:textId="77777777" w:rsidR="004B2808" w:rsidRDefault="00000000">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7A98AD4C" w14:textId="77777777" w:rsidR="004B2808" w:rsidRDefault="00000000">
      <w:pPr>
        <w:ind w:left="567"/>
        <w:jc w:val="both"/>
      </w:pPr>
      <w:r>
        <w:rPr>
          <w:b/>
          <w:i/>
        </w:rPr>
        <w:t>(Soit) </w:t>
      </w:r>
    </w:p>
    <w:p w14:paraId="4E3D4880" w14:textId="77777777" w:rsidR="004B2808" w:rsidRDefault="00000000">
      <w:pPr>
        <w:ind w:left="567"/>
        <w:jc w:val="both"/>
      </w:pPr>
      <w:r>
        <w:rPr>
          <w:rStyle w:val="soitChar"/>
          <w:b/>
          <w:u w:val="single"/>
        </w:rPr>
        <w:t>Par collage</w:t>
      </w:r>
    </w:p>
    <w:p w14:paraId="20133523" w14:textId="77777777" w:rsidR="004B2808" w:rsidRDefault="00000000">
      <w:pPr>
        <w:ind w:left="567"/>
        <w:jc w:val="both"/>
      </w:pPr>
      <w:r>
        <w:rPr>
          <w:rStyle w:val="soitChar"/>
        </w:rPr>
        <w:t xml:space="preserve"> Les panneaux sont fixés à l’aide de colle </w:t>
      </w:r>
      <w:r>
        <w:rPr>
          <w:rStyle w:val="optioncarChar"/>
        </w:rPr>
        <w:t xml:space="preserve">PU </w:t>
      </w:r>
      <w:r>
        <w:t>(par défaut)</w:t>
      </w:r>
      <w:r>
        <w:rPr>
          <w:rStyle w:val="optioncarChar"/>
        </w:rPr>
        <w:t xml:space="preserve"> / ***</w:t>
      </w:r>
      <w:r>
        <w:rPr>
          <w:rStyle w:val="soitChar"/>
        </w:rPr>
        <w:t xml:space="preserve">. La colle est appliquée en collage </w:t>
      </w:r>
      <w:r>
        <w:rPr>
          <w:rStyle w:val="optioncarChar"/>
        </w:rPr>
        <w:t xml:space="preserve">partiel à 50% </w:t>
      </w:r>
      <w:r>
        <w:t>(par défaut)</w:t>
      </w:r>
      <w:r>
        <w:rPr>
          <w:rStyle w:val="optioncarChar"/>
        </w:rPr>
        <w:t xml:space="preserve"> / total / ***</w:t>
      </w:r>
      <w:r>
        <w:rPr>
          <w:rStyle w:val="soitChar"/>
        </w:rPr>
        <w:t xml:space="preserve">. La concentration de pentachlorophénol de la colle mesurée selon la [CEN/TR 14823] est inférieure à </w:t>
      </w:r>
      <w:r>
        <w:rPr>
          <w:rStyle w:val="optioncarChar"/>
        </w:rPr>
        <w:t xml:space="preserve">5 PPM </w:t>
      </w:r>
      <w:r>
        <w:t>(par défaut)</w:t>
      </w:r>
      <w:r>
        <w:rPr>
          <w:rStyle w:val="optioncarChar"/>
        </w:rPr>
        <w:t xml:space="preserve"> / ***</w:t>
      </w:r>
      <w:r>
        <w:rPr>
          <w:rStyle w:val="soitChar"/>
        </w:rPr>
        <w:t>.</w:t>
      </w:r>
    </w:p>
    <w:p w14:paraId="1BEA4301" w14:textId="77777777" w:rsidR="004B2808" w:rsidRDefault="00000000">
      <w:pPr>
        <w:ind w:left="567"/>
        <w:jc w:val="both"/>
      </w:pPr>
      <w:r>
        <w:rPr>
          <w:b/>
          <w:i/>
        </w:rPr>
        <w:t>(Soit) </w:t>
      </w:r>
    </w:p>
    <w:p w14:paraId="05193530" w14:textId="77777777" w:rsidR="004B2808" w:rsidRDefault="00000000">
      <w:pPr>
        <w:ind w:left="567"/>
        <w:jc w:val="both"/>
      </w:pPr>
      <w:r>
        <w:rPr>
          <w:rStyle w:val="soitChar"/>
          <w:b/>
          <w:u w:val="single"/>
        </w:rPr>
        <w:t>Par fixation mécanique</w:t>
      </w:r>
    </w:p>
    <w:p w14:paraId="331A3247" w14:textId="77777777" w:rsidR="004B2808" w:rsidRDefault="00000000">
      <w:pPr>
        <w:ind w:left="567"/>
        <w:jc w:val="both"/>
      </w:pPr>
      <w:r>
        <w:rPr>
          <w:rStyle w:val="soitChar"/>
        </w:rPr>
        <w:t xml:space="preserve"> Les fixations sont au nombre de </w:t>
      </w:r>
      <w:r>
        <w:rPr>
          <w:rStyle w:val="optioncarChar"/>
        </w:rPr>
        <w:t xml:space="preserve">3 par panneau / 5 par m² </w:t>
      </w:r>
      <w:r>
        <w:t xml:space="preserve">(par défaut) </w:t>
      </w:r>
      <w:r>
        <w:rPr>
          <w:rStyle w:val="optioncarChar"/>
        </w:rPr>
        <w:t>/ ***</w:t>
      </w:r>
      <w:r>
        <w:rPr>
          <w:rStyle w:val="soitChar"/>
        </w:rPr>
        <w:t xml:space="preserve">. Elles sont munies de </w:t>
      </w:r>
      <w:r>
        <w:rPr>
          <w:rStyle w:val="optioncarChar"/>
        </w:rPr>
        <w:t xml:space="preserve">rosace (cheville) métallique / rosace (cheville) synthétique </w:t>
      </w:r>
      <w:r>
        <w:t>(par défaut)</w:t>
      </w:r>
      <w:r>
        <w:rPr>
          <w:rStyle w:val="optioncarChar"/>
        </w:rPr>
        <w:t xml:space="preserve"> / ***</w:t>
      </w:r>
      <w:r>
        <w:rPr>
          <w:rStyle w:val="soitChar"/>
        </w:rPr>
        <w:t xml:space="preserve">. L’ancrage dans la paroi porteuse est </w:t>
      </w:r>
      <w:r>
        <w:rPr>
          <w:rStyle w:val="optioncarChar"/>
        </w:rPr>
        <w:t xml:space="preserve">métallique / synthétique </w:t>
      </w:r>
      <w:r>
        <w:t>(par défaut)</w:t>
      </w:r>
      <w:r>
        <w:rPr>
          <w:rStyle w:val="soitChar"/>
        </w:rPr>
        <w:t xml:space="preserve">. Les ancrages sont à </w:t>
      </w:r>
      <w:r>
        <w:rPr>
          <w:rStyle w:val="optioncarChar"/>
        </w:rPr>
        <w:t xml:space="preserve">visser / frapper </w:t>
      </w:r>
      <w:r>
        <w:t xml:space="preserve">(par défaut) </w:t>
      </w:r>
      <w:r>
        <w:rPr>
          <w:rStyle w:val="soitChar"/>
        </w:rPr>
        <w:t>et sont adaptés au support.</w:t>
      </w:r>
    </w:p>
    <w:p w14:paraId="0F079E58" w14:textId="77777777" w:rsidR="004B2808" w:rsidRDefault="00000000">
      <w:pPr>
        <w:ind w:left="567"/>
        <w:jc w:val="both"/>
      </w:pPr>
      <w:r>
        <w:rPr>
          <w:b/>
          <w:i/>
        </w:rPr>
        <w:t>(Soit)</w:t>
      </w:r>
    </w:p>
    <w:p w14:paraId="32525390" w14:textId="77777777" w:rsidR="004B2808" w:rsidRDefault="00000000">
      <w:pPr>
        <w:ind w:left="567"/>
        <w:jc w:val="both"/>
      </w:pPr>
      <w:r>
        <w:rPr>
          <w:rStyle w:val="optioncarChar"/>
        </w:rPr>
        <w:t>***</w:t>
      </w:r>
    </w:p>
    <w:p w14:paraId="1B5C7AA1" w14:textId="77777777" w:rsidR="004B2808" w:rsidRDefault="00000000">
      <w:pPr>
        <w:jc w:val="both"/>
      </w:pPr>
      <w:r>
        <w:t>L’application est conforme à la [NIT 233].</w:t>
      </w:r>
    </w:p>
    <w:p w14:paraId="45D9389F" w14:textId="77777777" w:rsidR="004B2808" w:rsidRDefault="00000000">
      <w:pPr>
        <w:jc w:val="both"/>
      </w:pPr>
      <w:r>
        <w:t>Les bouchons d’isolation agissant comme séparation de niveau comblent l’entièreté de l’épaisseur de l’espace.</w:t>
      </w:r>
    </w:p>
    <w:p w14:paraId="395E0633" w14:textId="77777777" w:rsidR="004B2808" w:rsidRDefault="00000000">
      <w:pPr>
        <w:jc w:val="both"/>
      </w:pPr>
      <w:r>
        <w:rPr>
          <w:b/>
        </w:rPr>
        <w:t>Pour une application en plafond</w:t>
      </w:r>
    </w:p>
    <w:p w14:paraId="6720B595" w14:textId="77777777" w:rsidR="004B2808" w:rsidRDefault="00000000">
      <w:pPr>
        <w:jc w:val="both"/>
      </w:pPr>
      <w:r>
        <w:lastRenderedPageBreak/>
        <w:t>Les panneaux sont disposés entre les suspends. L’application est conforme à la [NIT 232].</w:t>
      </w:r>
    </w:p>
    <w:p w14:paraId="6CE2F3E9" w14:textId="77777777" w:rsidR="004B2808" w:rsidRDefault="00000000">
      <w:pPr>
        <w:jc w:val="both"/>
      </w:pPr>
      <w:r>
        <w:t xml:space="preserve">Le placement de l’isolation est assuré par </w:t>
      </w:r>
      <w:r>
        <w:rPr>
          <w:rStyle w:val="optioncarChar"/>
        </w:rPr>
        <w:t>pose sur la structure de faux-plafond</w:t>
      </w:r>
      <w:r>
        <w:t xml:space="preserve"> (par défaut)</w:t>
      </w:r>
      <w:r>
        <w:rPr>
          <w:rStyle w:val="optioncarChar"/>
        </w:rPr>
        <w:t xml:space="preserve"> / par lattage (latte de minimum 15x23mm espacées de 30 cm dont la taille est adaptée en fonction des fixations) / ***.</w:t>
      </w:r>
      <w:r>
        <w:t xml:space="preserve"> Le parement est disposé en</w:t>
      </w:r>
      <w:r>
        <w:rPr>
          <w:rStyle w:val="optioncarChar"/>
        </w:rPr>
        <w:t xml:space="preserve"> partie supérieure </w:t>
      </w:r>
      <w:r>
        <w:t xml:space="preserve">(par défaut) </w:t>
      </w:r>
      <w:r>
        <w:rPr>
          <w:rStyle w:val="optioncarChar"/>
        </w:rPr>
        <w:t>/ partie inférieure / ***</w:t>
      </w:r>
      <w:r>
        <w:t>.</w:t>
      </w:r>
    </w:p>
    <w:p w14:paraId="59B4293B" w14:textId="77777777" w:rsidR="004B2808" w:rsidRDefault="00000000">
      <w:pPr>
        <w:jc w:val="both"/>
      </w:pPr>
      <w:r>
        <w:rPr>
          <w:b/>
        </w:rPr>
        <w:t>Pour une application en plancher</w:t>
      </w:r>
    </w:p>
    <w:p w14:paraId="6F9E9260" w14:textId="77777777" w:rsidR="004B2808" w:rsidRDefault="00000000">
      <w:pPr>
        <w:jc w:val="both"/>
      </w:pPr>
      <w:r>
        <w:t xml:space="preserve">Les panneaux sont disposés entre les lambourdes, chevrons ou poutres. L’isolation est posée par </w:t>
      </w:r>
      <w:r>
        <w:rPr>
          <w:rStyle w:val="optioncarChar"/>
        </w:rPr>
        <w:t xml:space="preserve">le dessus </w:t>
      </w:r>
      <w:r>
        <w:t>(par défaut)</w:t>
      </w:r>
      <w:r>
        <w:rPr>
          <w:rStyle w:val="optioncarChar"/>
        </w:rPr>
        <w:t xml:space="preserve"> / le dessous</w:t>
      </w:r>
      <w:r>
        <w:t xml:space="preserve"> des planchers</w:t>
      </w:r>
    </w:p>
    <w:p w14:paraId="316253D4" w14:textId="77777777" w:rsidR="004B2808" w:rsidRDefault="00000000">
      <w:pPr>
        <w:ind w:left="567"/>
        <w:jc w:val="both"/>
      </w:pPr>
      <w:r>
        <w:rPr>
          <w:b/>
          <w:i/>
        </w:rPr>
        <w:t>(Soit par défaut)</w:t>
      </w:r>
      <w:r>
        <w:t> </w:t>
      </w:r>
    </w:p>
    <w:p w14:paraId="2436B5AC" w14:textId="77777777" w:rsidR="004B2808" w:rsidRDefault="00000000">
      <w:pPr>
        <w:ind w:left="567"/>
        <w:jc w:val="both"/>
      </w:pPr>
      <w:r>
        <w:rPr>
          <w:rStyle w:val="soitChar"/>
          <w:b/>
          <w:u w:val="single"/>
        </w:rPr>
        <w:t>Par le dessus des planchers</w:t>
      </w:r>
    </w:p>
    <w:p w14:paraId="61E4502A" w14:textId="77777777" w:rsidR="004B2808" w:rsidRDefault="00000000">
      <w:pPr>
        <w:ind w:left="567"/>
        <w:jc w:val="both"/>
      </w:pPr>
      <w:r>
        <w:rPr>
          <w:rStyle w:val="soitChar"/>
        </w:rPr>
        <w:t xml:space="preserve"> Le placement de l’isolation est assuré par </w:t>
      </w:r>
      <w:r>
        <w:rPr>
          <w:rStyle w:val="optioncarChar"/>
        </w:rPr>
        <w:t xml:space="preserve">pose simple </w:t>
      </w:r>
      <w:r>
        <w:t xml:space="preserve">(par défaut) </w:t>
      </w:r>
      <w:r>
        <w:rPr>
          <w:rStyle w:val="optioncarChar"/>
        </w:rPr>
        <w:t>/ ***</w:t>
      </w:r>
      <w:r>
        <w:rPr>
          <w:rStyle w:val="soitChar"/>
        </w:rPr>
        <w:t xml:space="preserve">. Le parement est disposé en </w:t>
      </w:r>
      <w:r>
        <w:rPr>
          <w:rStyle w:val="optioncarChar"/>
        </w:rPr>
        <w:t>partie supérieure</w:t>
      </w:r>
      <w:r>
        <w:t xml:space="preserve"> (par défaut)</w:t>
      </w:r>
      <w:r>
        <w:rPr>
          <w:rStyle w:val="optioncarChar"/>
        </w:rPr>
        <w:t xml:space="preserve"> / partie inférieure / ***</w:t>
      </w:r>
      <w:r>
        <w:rPr>
          <w:rStyle w:val="soitChar"/>
        </w:rPr>
        <w:t>.</w:t>
      </w:r>
    </w:p>
    <w:p w14:paraId="0EE43C71" w14:textId="77777777" w:rsidR="004B2808" w:rsidRDefault="00000000">
      <w:pPr>
        <w:ind w:left="567"/>
        <w:jc w:val="both"/>
      </w:pPr>
      <w:r>
        <w:rPr>
          <w:b/>
          <w:i/>
        </w:rPr>
        <w:t>(Soit) </w:t>
      </w:r>
    </w:p>
    <w:p w14:paraId="64EF8514" w14:textId="77777777" w:rsidR="004B2808" w:rsidRDefault="00000000">
      <w:pPr>
        <w:ind w:left="567"/>
        <w:jc w:val="both"/>
      </w:pPr>
      <w:r>
        <w:rPr>
          <w:rStyle w:val="soitChar"/>
          <w:b/>
          <w:u w:val="single"/>
        </w:rPr>
        <w:t>Par le dessous des planchers</w:t>
      </w:r>
    </w:p>
    <w:p w14:paraId="53D13BC9" w14:textId="77777777" w:rsidR="004B2808" w:rsidRDefault="00000000">
      <w:pPr>
        <w:ind w:left="567"/>
        <w:jc w:val="both"/>
      </w:pPr>
      <w:r>
        <w:rPr>
          <w:rStyle w:val="soitChar"/>
        </w:rPr>
        <w:t xml:space="preserve"> Le placement de l’isolation est assuré par </w:t>
      </w:r>
      <w:r>
        <w:rPr>
          <w:rStyle w:val="optioncarChar"/>
        </w:rPr>
        <w:t xml:space="preserve">fixation à rosace à raison de 3 par m² </w:t>
      </w:r>
      <w:r>
        <w:t>(par défaut)</w:t>
      </w:r>
      <w:r>
        <w:rPr>
          <w:rStyle w:val="optioncarChar"/>
        </w:rPr>
        <w:t xml:space="preserve"> / lattage (latte de minimum 15x23mm espacées de 30 cm dont la taille est adaptée en fonction des fixations) / ***.</w:t>
      </w:r>
      <w:r>
        <w:rPr>
          <w:rStyle w:val="soitChar"/>
        </w:rPr>
        <w:t xml:space="preserve"> Le parement est disposé en </w:t>
      </w:r>
      <w:r>
        <w:rPr>
          <w:rStyle w:val="optioncarChar"/>
        </w:rPr>
        <w:t xml:space="preserve">partie supérieure </w:t>
      </w:r>
      <w:r>
        <w:t xml:space="preserve">(par défaut) </w:t>
      </w:r>
      <w:r>
        <w:rPr>
          <w:rStyle w:val="optioncarChar"/>
        </w:rPr>
        <w:t>/ partie inférieure / ***.</w:t>
      </w:r>
    </w:p>
    <w:p w14:paraId="1CEF80F6" w14:textId="77777777" w:rsidR="004B2808" w:rsidRDefault="00000000">
      <w:pPr>
        <w:jc w:val="both"/>
      </w:pPr>
      <w:r>
        <w:t>Les fixations sont disposées afin de ne pas réduire les performances acoustiques</w:t>
      </w:r>
    </w:p>
    <w:p w14:paraId="2B332945" w14:textId="77777777" w:rsidR="004B2808" w:rsidRDefault="00000000">
      <w:pPr>
        <w:pStyle w:val="pheading"/>
      </w:pPr>
      <w:r>
        <w:t>DOCUMENTS DE RÉFÉRENCE COMPLÉMENTAIRES</w:t>
      </w:r>
    </w:p>
    <w:p w14:paraId="64C315FA" w14:textId="77777777" w:rsidR="004B2808" w:rsidRDefault="00000000">
      <w:pPr>
        <w:pStyle w:val="pheading"/>
      </w:pPr>
      <w:r>
        <w:t>- Matériau</w:t>
      </w:r>
    </w:p>
    <w:p w14:paraId="2B2F16D3" w14:textId="77777777" w:rsidR="004B2808"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488B71EC" w14:textId="77777777" w:rsidR="004B2808"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289E3956" w14:textId="77777777" w:rsidR="004B2808" w:rsidRDefault="00000000">
      <w:r>
        <w:t>[NBN EN 824, Produits isolants thermiques destinés aux applications du bâtiment - Détermination de l'équerrage]</w:t>
      </w:r>
    </w:p>
    <w:p w14:paraId="590A6079" w14:textId="77777777" w:rsidR="004B2808" w:rsidRDefault="00000000">
      <w:r>
        <w:t>[NBN EN 825, Produits isolants thermiques destinés aux applications du bâtiment - Détermination de la planéité]</w:t>
      </w:r>
    </w:p>
    <w:p w14:paraId="7E23DFB0" w14:textId="77777777" w:rsidR="004B2808" w:rsidRDefault="00000000">
      <w:r>
        <w:t>[NBN EN 13501-1, Classement au feu des produits et éléments de construction - Partie 1: Classement à partir des données d'essais de réaction au feu]</w:t>
      </w:r>
    </w:p>
    <w:p w14:paraId="41496C0E" w14:textId="77777777" w:rsidR="004B2808" w:rsidRDefault="00000000">
      <w:r>
        <w:t>[NBN EN 1604, Produits isolants thermiques destinés aux applications du bâtiment - Détermination de la stabilité dimensionnelle dans des conditions de température et d'humidité spécifiées]</w:t>
      </w:r>
    </w:p>
    <w:p w14:paraId="38C33E83" w14:textId="77777777" w:rsidR="004B2808" w:rsidRDefault="00000000">
      <w:r>
        <w:t>[NBN EN 826, Produits isolants thermiques destinés aux applications du bâtiment - Détermination du comportement en compression] </w:t>
      </w:r>
    </w:p>
    <w:p w14:paraId="3541F0DF" w14:textId="77777777" w:rsidR="004B2808" w:rsidRDefault="00000000">
      <w:r>
        <w:t>[NBN EN 1607, Produits isolants thermiques destinés aux applications du bâtiment - Détermination de la résistance à la traction perpendiculairement aux faces]</w:t>
      </w:r>
    </w:p>
    <w:p w14:paraId="3DC26737" w14:textId="77777777" w:rsidR="004B2808" w:rsidRDefault="00000000">
      <w:r>
        <w:t>[NBN EN 12430, Produits isolants thermiques destinés aux applications du bâtiment - Détermination du comportement sous charge ponctuelle]</w:t>
      </w:r>
    </w:p>
    <w:p w14:paraId="65FE7867" w14:textId="77777777" w:rsidR="004B2808" w:rsidRDefault="00000000">
      <w:r>
        <w:t>[NBN EN ISO 16534, Produits isolants thermiques destinés aux applications du bâtiment - Détermination du fluage en compression (ISO 16534:2020)]</w:t>
      </w:r>
    </w:p>
    <w:p w14:paraId="6E5DF5EF" w14:textId="77777777" w:rsidR="004B2808" w:rsidRDefault="00000000">
      <w:r>
        <w:t>[NBN EN ISO 29767, Produits isolants thermiques destinés aux applications du bâtiment - Détermination de l'absorption d'eau à court terme par immersion partielle (ISO 29767:2019)]</w:t>
      </w:r>
    </w:p>
    <w:p w14:paraId="25B0CEF5" w14:textId="77777777" w:rsidR="004B2808" w:rsidRDefault="00000000">
      <w:r>
        <w:t>[NBN EN ISO 16535, Produits isolants thermiques destinés aux applications du bâtiment - Détermination de l'absorption d'eau à long terme par immersion (ISO 16535:2019)]</w:t>
      </w:r>
    </w:p>
    <w:p w14:paraId="0B004DAC" w14:textId="77777777" w:rsidR="004B2808" w:rsidRDefault="00000000">
      <w:r>
        <w:lastRenderedPageBreak/>
        <w:t>[NBN EN 12086, Produits isolants thermiques destinés aux applications du bâtiment - Détermination des propriétés de transmission de la vapeur d'eau]</w:t>
      </w:r>
    </w:p>
    <w:p w14:paraId="25B06999" w14:textId="77777777" w:rsidR="004B2808" w:rsidRDefault="00000000">
      <w:r>
        <w:t>[NBN EN ISO 354, Acoustique - Mesurage de l'absorption acoustique en salle réverbérante (ISO 354:2003)]</w:t>
      </w:r>
    </w:p>
    <w:p w14:paraId="7BCFC934" w14:textId="77777777" w:rsidR="004B2808" w:rsidRDefault="00000000">
      <w:r>
        <w:t>[NBN EN ISO 11654, Acoustique - Absorbants pour l'utilisation dans les bâtiments - Evaluation de l'absorption acoustique (ISO 11654:1997)]</w:t>
      </w:r>
    </w:p>
    <w:p w14:paraId="6D66B9B0" w14:textId="77777777" w:rsidR="004B2808" w:rsidRDefault="00000000">
      <w:pPr>
        <w:pStyle w:val="pheading"/>
      </w:pPr>
      <w:r>
        <w:t>- Exécution</w:t>
      </w:r>
    </w:p>
    <w:p w14:paraId="18EE8110" w14:textId="77777777" w:rsidR="004B2808" w:rsidRDefault="00000000">
      <w:r>
        <w:t>[NIT 193, Les chapes. 2e partie: Mise en oeuvre.]</w:t>
      </w:r>
      <w:r>
        <w:br/>
      </w:r>
      <w:r>
        <w:br/>
        <w:t>[NIT 233, Les cloisons légères.]</w:t>
      </w:r>
    </w:p>
    <w:p w14:paraId="10D9FA7D" w14:textId="77777777" w:rsidR="004B2808" w:rsidRDefault="00000000">
      <w:r>
        <w:t>[NIT 232, Les plafonds suspendus.]</w:t>
      </w:r>
    </w:p>
    <w:p w14:paraId="156B3F51" w14:textId="77777777" w:rsidR="004B2808" w:rsidRDefault="00000000">
      <w:pPr>
        <w:pStyle w:val="pheading"/>
      </w:pPr>
      <w:r>
        <w:t>MESURAGE</w:t>
      </w:r>
    </w:p>
    <w:p w14:paraId="4E68B8DA" w14:textId="77777777" w:rsidR="004B2808" w:rsidRDefault="00000000">
      <w:pPr>
        <w:pStyle w:val="pheading"/>
      </w:pPr>
      <w:r>
        <w:t>- unité de mesure:</w:t>
      </w:r>
    </w:p>
    <w:p w14:paraId="22886667" w14:textId="77777777" w:rsidR="004B2808" w:rsidRDefault="00000000">
      <w:r>
        <w:t>m²</w:t>
      </w:r>
    </w:p>
    <w:p w14:paraId="65CD43C6" w14:textId="77777777" w:rsidR="004B2808" w:rsidRDefault="00000000">
      <w:pPr>
        <w:pStyle w:val="pheading"/>
      </w:pPr>
      <w:r>
        <w:t>- code de mesurage:</w:t>
      </w:r>
    </w:p>
    <w:p w14:paraId="0EADF247" w14:textId="77777777" w:rsidR="004B2808" w:rsidRDefault="00000000">
      <w:pPr>
        <w:jc w:val="both"/>
      </w:pPr>
      <w:r>
        <w:rPr>
          <w:b/>
        </w:rPr>
        <w:t>Surface nette</w:t>
      </w:r>
      <w:r>
        <w:t xml:space="preserve"> de l’élément à isoler, sans déduction des éléments de structure interposés (chevrons, fermes). Les réservations inférieures à 1 m² ne sont pas déduites. Distinction faite suivant le type et l'épaisseur.</w:t>
      </w:r>
    </w:p>
    <w:p w14:paraId="42343E1F" w14:textId="77777777" w:rsidR="004B2808" w:rsidRDefault="00000000">
      <w:pPr>
        <w:pStyle w:val="pheading"/>
      </w:pPr>
      <w:r>
        <w:t>- nature du marché:</w:t>
      </w:r>
    </w:p>
    <w:p w14:paraId="69400B2B" w14:textId="77777777" w:rsidR="004B2808" w:rsidRDefault="00000000">
      <w:r>
        <w:t>QF</w:t>
      </w:r>
    </w:p>
    <w:p w14:paraId="58F95DA4" w14:textId="77777777" w:rsidR="004B2808" w:rsidRDefault="00000000">
      <w:pPr>
        <w:pStyle w:val="Author-eSectionHeading6Numberless"/>
      </w:pPr>
      <w:bookmarkStart w:id="406" w:name="_Toc220490582"/>
      <w:r>
        <w:t>52.41.3k Isolation en panneaux - roseau CCTB 01.10</w:t>
      </w:r>
      <w:bookmarkEnd w:id="406"/>
    </w:p>
    <w:p w14:paraId="718A416E" w14:textId="77777777" w:rsidR="004B2808" w:rsidRDefault="00000000">
      <w:pPr>
        <w:pStyle w:val="pheading"/>
      </w:pPr>
      <w:r>
        <w:t>DESCRIPTION</w:t>
      </w:r>
    </w:p>
    <w:p w14:paraId="5FFD0588" w14:textId="77777777" w:rsidR="004B2808" w:rsidRDefault="00000000">
      <w:pPr>
        <w:pStyle w:val="pheading"/>
      </w:pPr>
      <w:r>
        <w:t>- Définition / Comprend</w:t>
      </w:r>
    </w:p>
    <w:p w14:paraId="08CA13E4" w14:textId="77777777" w:rsidR="004B2808" w:rsidRDefault="00000000">
      <w:pPr>
        <w:jc w:val="both"/>
      </w:pPr>
      <w:r>
        <w:t>Il s’agit de la fourniture et de la pose d’une isolation thermique au moyen de panneaux de roseaux. Ces panneaux sont placés à l’intérieur sur ou entre support. Ces panneaux sont surtout destinés à recevoir un enduit d’argile.</w:t>
      </w:r>
    </w:p>
    <w:p w14:paraId="4B69D15E" w14:textId="77777777" w:rsidR="004B2808" w:rsidRDefault="00000000">
      <w:pPr>
        <w:pStyle w:val="pheading"/>
      </w:pPr>
      <w:r>
        <w:t>- Localisation</w:t>
      </w:r>
    </w:p>
    <w:p w14:paraId="3591DE30" w14:textId="77777777" w:rsidR="004B2808" w:rsidRDefault="00000000">
      <w:r>
        <w:t xml:space="preserve">Localisation des travaux : </w:t>
      </w:r>
      <w:r>
        <w:rPr>
          <w:rStyle w:val="optioncarChar"/>
        </w:rPr>
        <w:t>***</w:t>
      </w:r>
      <w:r>
        <w:t>.</w:t>
      </w:r>
    </w:p>
    <w:p w14:paraId="3805A583" w14:textId="77777777" w:rsidR="004B2808" w:rsidRDefault="00000000">
      <w:r>
        <w:t>Voir plans et métrés détaillés.</w:t>
      </w:r>
    </w:p>
    <w:p w14:paraId="4BAB76C5" w14:textId="77777777" w:rsidR="004B2808" w:rsidRDefault="00000000">
      <w:pPr>
        <w:pStyle w:val="pheading"/>
      </w:pPr>
      <w:r>
        <w:t>MATÉRIAUX</w:t>
      </w:r>
    </w:p>
    <w:p w14:paraId="0BF837CA" w14:textId="77777777" w:rsidR="004B2808" w:rsidRDefault="00000000">
      <w:pPr>
        <w:pStyle w:val="pheading"/>
      </w:pPr>
      <w:r>
        <w:t>- Caractéristiques générales</w:t>
      </w:r>
    </w:p>
    <w:p w14:paraId="4C80FA27" w14:textId="77777777" w:rsidR="004B2808" w:rsidRDefault="00000000">
      <w:pPr>
        <w:jc w:val="both"/>
      </w:pPr>
      <w:r>
        <w:t>Le panneau est composé de tiges de roseaux naturels non-transformées et assemblées en panneaux isolants. Ces panneaux sont liés avec des fils de fer galvanisés.</w:t>
      </w:r>
    </w:p>
    <w:p w14:paraId="0B0985BC" w14:textId="77777777" w:rsidR="004B2808" w:rsidRDefault="00000000">
      <w:pPr>
        <w:jc w:val="both"/>
      </w:pPr>
      <w:r>
        <w:t xml:space="preserve">Épaisseur (selon [NBN EN 823]) : </w:t>
      </w:r>
      <w:r>
        <w:rPr>
          <w:rStyle w:val="optioncarChar"/>
        </w:rPr>
        <w:t xml:space="preserve">20 / 50 </w:t>
      </w:r>
      <w:r>
        <w:t>(par défaut)</w:t>
      </w:r>
      <w:r>
        <w:rPr>
          <w:rStyle w:val="optioncarChar"/>
        </w:rPr>
        <w:t xml:space="preserve"> / ***</w:t>
      </w:r>
      <w:r>
        <w:t xml:space="preserve"> mm en panneau de dimensions </w:t>
      </w:r>
      <w:r>
        <w:rPr>
          <w:rStyle w:val="optioncarChar"/>
        </w:rPr>
        <w:t xml:space="preserve">100 x 200 </w:t>
      </w:r>
      <w:r>
        <w:t>(par défaut)</w:t>
      </w:r>
      <w:r>
        <w:rPr>
          <w:rStyle w:val="optioncarChar"/>
        </w:rPr>
        <w:t xml:space="preserve"> / 150 x 200 / 200 x 200 / ***</w:t>
      </w:r>
      <w:r>
        <w:t xml:space="preserve"> cm</w:t>
      </w:r>
    </w:p>
    <w:p w14:paraId="075C2F6D" w14:textId="77777777" w:rsidR="004B2808" w:rsidRDefault="00000000">
      <w:pPr>
        <w:jc w:val="both"/>
      </w:pPr>
      <w:r>
        <w:t xml:space="preserve">Les panneaux sont disposés en </w:t>
      </w:r>
      <w:r>
        <w:rPr>
          <w:rStyle w:val="optioncarChar"/>
        </w:rPr>
        <w:t>1</w:t>
      </w:r>
      <w:r>
        <w:t xml:space="preserve"> (par défaut)</w:t>
      </w:r>
      <w:r>
        <w:rPr>
          <w:rStyle w:val="optioncarChar"/>
        </w:rPr>
        <w:t xml:space="preserve"> / 2 / ***</w:t>
      </w:r>
      <w:r>
        <w:t> couches</w:t>
      </w:r>
    </w:p>
    <w:p w14:paraId="76942FED" w14:textId="77777777" w:rsidR="004B2808" w:rsidRDefault="00000000">
      <w:pPr>
        <w:jc w:val="both"/>
      </w:pPr>
      <w:r>
        <w:t>Réaction au feu selon [NBN EN 13501-1] : E </w:t>
      </w:r>
    </w:p>
    <w:p w14:paraId="2DFF944E" w14:textId="77777777" w:rsidR="004B2808" w:rsidRDefault="00000000">
      <w:pPr>
        <w:pStyle w:val="pheading"/>
      </w:pPr>
      <w:r>
        <w:t>- Finitions</w:t>
      </w:r>
    </w:p>
    <w:p w14:paraId="40E93BE5" w14:textId="77777777" w:rsidR="004B2808" w:rsidRDefault="00000000">
      <w:pPr>
        <w:jc w:val="both"/>
      </w:pPr>
      <w:r>
        <w:t>Le parement des panneaux est de type : nu</w:t>
      </w:r>
    </w:p>
    <w:p w14:paraId="4EAB8593" w14:textId="77777777" w:rsidR="004B2808" w:rsidRDefault="00000000">
      <w:pPr>
        <w:jc w:val="both"/>
      </w:pPr>
      <w:r>
        <w:t>Le panneau est </w:t>
      </w:r>
      <w:r>
        <w:rPr>
          <w:rStyle w:val="optioncarChar"/>
        </w:rPr>
        <w:t xml:space="preserve">enduit </w:t>
      </w:r>
      <w:r>
        <w:t>(par défaut)</w:t>
      </w:r>
      <w:r>
        <w:rPr>
          <w:rStyle w:val="optioncarChar"/>
        </w:rPr>
        <w:t xml:space="preserve"> / laissé apparent</w:t>
      </w:r>
    </w:p>
    <w:p w14:paraId="253039E3" w14:textId="77777777" w:rsidR="004B2808" w:rsidRDefault="00000000">
      <w:pPr>
        <w:pStyle w:val="pheading"/>
      </w:pPr>
      <w:r>
        <w:t>- Prescriptions complémentaires</w:t>
      </w:r>
    </w:p>
    <w:p w14:paraId="46297901" w14:textId="77777777" w:rsidR="004B2808" w:rsidRDefault="00000000">
      <w:pPr>
        <w:jc w:val="both"/>
      </w:pPr>
      <w:r>
        <w:rPr>
          <w:rStyle w:val="facultChar"/>
        </w:rPr>
        <w:lastRenderedPageBreak/>
        <w:t xml:space="preserve">Conductivité thermique (selon [NBN EN 12667] ou selon [NBN EN 12939] pour les produits épais) : valeur λ = ≤  </w:t>
      </w:r>
      <w:r>
        <w:rPr>
          <w:rStyle w:val="optioncarChar"/>
        </w:rPr>
        <w:t xml:space="preserve">0.10 </w:t>
      </w:r>
      <w:r>
        <w:t xml:space="preserve">(par défaut) </w:t>
      </w:r>
      <w:r>
        <w:rPr>
          <w:rStyle w:val="optioncarChar"/>
        </w:rPr>
        <w:t>/ ***</w:t>
      </w:r>
      <w:r>
        <w:rPr>
          <w:rStyle w:val="facultChar"/>
        </w:rPr>
        <w:t> W/mK.</w:t>
      </w:r>
    </w:p>
    <w:p w14:paraId="4013F667" w14:textId="77777777" w:rsidR="004B2808" w:rsidRDefault="00000000">
      <w:pPr>
        <w:jc w:val="both"/>
      </w:pPr>
      <w:r>
        <w:rPr>
          <w:rStyle w:val="facultChar"/>
        </w:rPr>
        <w:t xml:space="preserve">Masse volumique nominale (selon [NBN EN ISO 29470]) :≤ </w:t>
      </w:r>
      <w:r>
        <w:rPr>
          <w:rStyle w:val="optioncarChar"/>
        </w:rPr>
        <w:t xml:space="preserve">300 </w:t>
      </w:r>
      <w:r>
        <w:t>(par défaut)</w:t>
      </w:r>
      <w:r>
        <w:rPr>
          <w:rStyle w:val="optioncarChar"/>
        </w:rPr>
        <w:t xml:space="preserve"> / ***</w:t>
      </w:r>
      <w:r>
        <w:rPr>
          <w:rStyle w:val="facultChar"/>
        </w:rPr>
        <w:t> kg/m³</w:t>
      </w:r>
    </w:p>
    <w:p w14:paraId="58E09B7E" w14:textId="77777777" w:rsidR="004B2808" w:rsidRDefault="00000000">
      <w:pPr>
        <w:jc w:val="both"/>
      </w:pPr>
      <w:r>
        <w:rPr>
          <w:rStyle w:val="facultChar"/>
        </w:rPr>
        <w:t>L’équerrage de la longueur et de la largeur selon [NBN EN 824] est de max 5 mm/m.</w:t>
      </w:r>
    </w:p>
    <w:p w14:paraId="3BBA14F4" w14:textId="77777777" w:rsidR="004B2808" w:rsidRDefault="00000000">
      <w:pPr>
        <w:jc w:val="both"/>
      </w:pPr>
      <w:r>
        <w:rPr>
          <w:rStyle w:val="facultChar"/>
        </w:rPr>
        <w:t>L’écart de planéité des panneaux et plaques selon [NBN EN 825] est de max 6 mm.</w:t>
      </w:r>
    </w:p>
    <w:p w14:paraId="6CC2A8DC" w14:textId="77777777" w:rsidR="004B2808" w:rsidRDefault="00000000">
      <w:pPr>
        <w:jc w:val="both"/>
      </w:pPr>
      <w:r>
        <w:rPr>
          <w:rStyle w:val="facultChar"/>
        </w:rPr>
        <w:t>Résistance à la contrainte en compression à 10 % de déformation (selon [NBN EN 826]) : niveau CS(10\Y) </w:t>
      </w:r>
      <w:r>
        <w:rPr>
          <w:rStyle w:val="optioncarChar"/>
        </w:rPr>
        <w:t>20 /40</w:t>
      </w:r>
      <w:r>
        <w:t xml:space="preserve"> (par défaut) </w:t>
      </w:r>
      <w:r>
        <w:rPr>
          <w:rStyle w:val="optioncarChar"/>
        </w:rPr>
        <w:t>60 / ***</w:t>
      </w:r>
      <w:r>
        <w:rPr>
          <w:rStyle w:val="facultChar"/>
        </w:rPr>
        <w:t xml:space="preserve">  kPa.</w:t>
      </w:r>
    </w:p>
    <w:p w14:paraId="02D4E00F" w14:textId="77777777" w:rsidR="004B2808" w:rsidRDefault="00000000">
      <w:pPr>
        <w:jc w:val="both"/>
      </w:pPr>
      <w:r>
        <w:rPr>
          <w:rStyle w:val="facultChar"/>
        </w:rPr>
        <w:t xml:space="preserve">Absorption d’eau à court terme (selon [NBN EN ISO 29767]): &lt; </w:t>
      </w:r>
      <w:r>
        <w:rPr>
          <w:rStyle w:val="optioncarChar"/>
        </w:rPr>
        <w:t xml:space="preserve">1kg/m² </w:t>
      </w:r>
      <w:r>
        <w:t>(par défaut)</w:t>
      </w:r>
      <w:r>
        <w:rPr>
          <w:rStyle w:val="optioncarChar"/>
        </w:rPr>
        <w:t xml:space="preserve"> / ***  </w:t>
      </w:r>
    </w:p>
    <w:p w14:paraId="3BA454B9" w14:textId="77777777" w:rsidR="004B2808" w:rsidRDefault="00000000">
      <w:pPr>
        <w:jc w:val="both"/>
      </w:pPr>
      <w:r>
        <w:rPr>
          <w:rStyle w:val="facultChar"/>
        </w:rPr>
        <w:t xml:space="preserve">Absorption d’eau à long terme (selon [NBN EN ISO 16535]): &lt; </w:t>
      </w:r>
      <w:r>
        <w:rPr>
          <w:rStyle w:val="optioncarChar"/>
        </w:rPr>
        <w:t xml:space="preserve">3kg/m² </w:t>
      </w:r>
      <w:r>
        <w:t>(par défaut)</w:t>
      </w:r>
      <w:r>
        <w:rPr>
          <w:rStyle w:val="optioncarChar"/>
        </w:rPr>
        <w:t xml:space="preserve"> / ***</w:t>
      </w:r>
    </w:p>
    <w:p w14:paraId="2A531CAB" w14:textId="77777777" w:rsidR="004B2808" w:rsidRDefault="00000000">
      <w:pPr>
        <w:jc w:val="both"/>
      </w:pPr>
      <w:r>
        <w:rPr>
          <w:rStyle w:val="facultChar"/>
        </w:rPr>
        <w:t xml:space="preserve">Coefficient de résistance à la diffusion de vapeur d’eau – valeur µ [NBN EN 12086]): µ </w:t>
      </w:r>
      <w:r>
        <w:rPr>
          <w:rStyle w:val="optioncarChar"/>
        </w:rPr>
        <w:t>compris entre 3 et 5</w:t>
      </w:r>
      <w:r>
        <w:t xml:space="preserve"> (par défaut)  </w:t>
      </w:r>
      <w:r>
        <w:rPr>
          <w:rStyle w:val="optioncarChar"/>
        </w:rPr>
        <w:t>/ ***</w:t>
      </w:r>
    </w:p>
    <w:p w14:paraId="517FA656" w14:textId="77777777" w:rsidR="004B2808" w:rsidRDefault="00000000">
      <w:pPr>
        <w:jc w:val="both"/>
      </w:pPr>
      <w:r>
        <w:rPr>
          <w:rStyle w:val="facultChar"/>
        </w:rPr>
        <w:t>Absorption acoustique (déterminée selon [NBN EN ISO 354] et [NBN EN ISO 11654]) : </w:t>
      </w:r>
      <w:r>
        <w:rPr>
          <w:rStyle w:val="optioncarChar"/>
        </w:rPr>
        <w:t>*** </w:t>
      </w:r>
    </w:p>
    <w:p w14:paraId="291CFF65" w14:textId="77777777" w:rsidR="004B2808" w:rsidRDefault="00000000">
      <w:pPr>
        <w:pStyle w:val="pheading"/>
      </w:pPr>
      <w:r>
        <w:t>EXÉCUTION / MISE EN ŒUVRE</w:t>
      </w:r>
    </w:p>
    <w:p w14:paraId="587E8A79" w14:textId="77777777" w:rsidR="004B2808" w:rsidRDefault="00000000">
      <w:pPr>
        <w:pStyle w:val="pheading"/>
      </w:pPr>
      <w:r>
        <w:t>- Prescriptions générales</w:t>
      </w:r>
    </w:p>
    <w:p w14:paraId="09933A6C" w14:textId="77777777" w:rsidR="004B2808" w:rsidRDefault="00000000">
      <w:pPr>
        <w:jc w:val="both"/>
      </w:pPr>
      <w:r>
        <w:t>Les panneaux sont contigus. Les espaces éventuels entre panneaux ou de liaison avec les parois sont comblés avec un isolant de même type ou naturel compatible avec la destination de l’isolant.</w:t>
      </w:r>
    </w:p>
    <w:p w14:paraId="7034FB60" w14:textId="77777777" w:rsidR="004B2808" w:rsidRDefault="00000000">
      <w:pPr>
        <w:jc w:val="both"/>
      </w:pPr>
      <w:r>
        <w:t>Les fixations sont disposées afin de ne pas réduire les performances acoustiques</w:t>
      </w:r>
    </w:p>
    <w:p w14:paraId="3B9C9048" w14:textId="77777777" w:rsidR="004B2808" w:rsidRDefault="00000000">
      <w:pPr>
        <w:jc w:val="both"/>
      </w:pPr>
      <w:r>
        <w:t xml:space="preserve">Les panneaux sont fixés par </w:t>
      </w:r>
      <w:r>
        <w:rPr>
          <w:rStyle w:val="optioncarChar"/>
        </w:rPr>
        <w:t xml:space="preserve">fixation mécanique </w:t>
      </w:r>
      <w:r>
        <w:t>(par défaut)</w:t>
      </w:r>
      <w:r>
        <w:rPr>
          <w:rStyle w:val="optioncarChar"/>
        </w:rPr>
        <w:t xml:space="preserve"> / serrage entre éléments / ***</w:t>
      </w:r>
      <w:r>
        <w:t>.</w:t>
      </w:r>
    </w:p>
    <w:p w14:paraId="0057DE1F" w14:textId="77777777" w:rsidR="004B2808" w:rsidRDefault="00000000">
      <w:pPr>
        <w:ind w:left="567"/>
        <w:jc w:val="both"/>
      </w:pPr>
      <w:r>
        <w:rPr>
          <w:b/>
          <w:i/>
        </w:rPr>
        <w:t>(Soit par défaut) </w:t>
      </w:r>
    </w:p>
    <w:p w14:paraId="45F0F512" w14:textId="77777777" w:rsidR="004B2808" w:rsidRDefault="00000000">
      <w:pPr>
        <w:ind w:left="567"/>
        <w:jc w:val="both"/>
      </w:pPr>
      <w:r>
        <w:rPr>
          <w:rStyle w:val="soitChar"/>
          <w:u w:val="single"/>
        </w:rPr>
        <w:t>Par fixation mécanique</w:t>
      </w:r>
    </w:p>
    <w:p w14:paraId="47F69B04" w14:textId="77777777" w:rsidR="004B2808" w:rsidRDefault="00000000">
      <w:pPr>
        <w:ind w:left="567"/>
        <w:jc w:val="both"/>
      </w:pPr>
      <w:r>
        <w:rPr>
          <w:rStyle w:val="soitChar"/>
        </w:rPr>
        <w:t xml:space="preserve"> Les fixations sont au nombre de </w:t>
      </w:r>
      <w:r>
        <w:rPr>
          <w:rStyle w:val="optioncarChar"/>
        </w:rPr>
        <w:t>5 par panneau / 5 par m²</w:t>
      </w:r>
      <w:r>
        <w:t xml:space="preserve"> (par défaut) </w:t>
      </w:r>
      <w:r>
        <w:rPr>
          <w:rStyle w:val="optioncarChar"/>
        </w:rPr>
        <w:t>/ ***</w:t>
      </w:r>
      <w:r>
        <w:rPr>
          <w:rStyle w:val="soitChar"/>
        </w:rPr>
        <w:t>. Elles sont munies  </w:t>
      </w:r>
      <w:r>
        <w:rPr>
          <w:rStyle w:val="optioncarChar"/>
        </w:rPr>
        <w:t>d’une rondelle / de rosace métallique / de rosace synthétique / ***</w:t>
      </w:r>
      <w:r>
        <w:rPr>
          <w:rStyle w:val="soitChar"/>
        </w:rPr>
        <w:t xml:space="preserve">. L’ancrage dans la paroi porteuse est </w:t>
      </w:r>
      <w:r>
        <w:rPr>
          <w:rStyle w:val="optioncarChar"/>
        </w:rPr>
        <w:t>métallique  / synthétique</w:t>
      </w:r>
      <w:r>
        <w:rPr>
          <w:rStyle w:val="soitChar"/>
        </w:rPr>
        <w:t>.  Les ancrages sont à</w:t>
      </w:r>
      <w:r>
        <w:rPr>
          <w:rStyle w:val="optioncarChar"/>
        </w:rPr>
        <w:t xml:space="preserve"> visser / frapper</w:t>
      </w:r>
      <w:r>
        <w:rPr>
          <w:rStyle w:val="soitChar"/>
        </w:rPr>
        <w:t xml:space="preserve"> et sont adaptés au support. Les joints des panneaux doivent se trouver sur la structure portante.</w:t>
      </w:r>
    </w:p>
    <w:p w14:paraId="5AA5CAC2" w14:textId="77777777" w:rsidR="004B2808" w:rsidRDefault="00000000">
      <w:pPr>
        <w:ind w:left="567"/>
        <w:jc w:val="both"/>
      </w:pPr>
      <w:r>
        <w:rPr>
          <w:b/>
          <w:i/>
        </w:rPr>
        <w:t>(Soit) </w:t>
      </w:r>
    </w:p>
    <w:p w14:paraId="25605A4E" w14:textId="77777777" w:rsidR="004B2808" w:rsidRDefault="00000000">
      <w:pPr>
        <w:ind w:left="567"/>
        <w:jc w:val="both"/>
      </w:pPr>
      <w:r>
        <w:rPr>
          <w:rStyle w:val="soitChar"/>
          <w:u w:val="single"/>
        </w:rPr>
        <w:t>Par serrage entre éléments</w:t>
      </w:r>
    </w:p>
    <w:p w14:paraId="7C753667" w14:textId="77777777" w:rsidR="004B2808" w:rsidRDefault="00000000">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37B505FA" w14:textId="77777777" w:rsidR="004B2808" w:rsidRDefault="00000000">
      <w:pPr>
        <w:ind w:left="567"/>
        <w:jc w:val="both"/>
      </w:pPr>
      <w:r>
        <w:rPr>
          <w:b/>
          <w:i/>
        </w:rPr>
        <w:t>(Soit)</w:t>
      </w:r>
    </w:p>
    <w:p w14:paraId="36B32BB3" w14:textId="77777777" w:rsidR="004B2808" w:rsidRDefault="00000000">
      <w:pPr>
        <w:ind w:left="567"/>
        <w:jc w:val="both"/>
      </w:pPr>
      <w:r>
        <w:rPr>
          <w:rStyle w:val="optioncarChar"/>
        </w:rPr>
        <w:t>***</w:t>
      </w:r>
    </w:p>
    <w:p w14:paraId="12A050BD" w14:textId="77777777" w:rsidR="004B2808" w:rsidRDefault="00000000">
      <w:pPr>
        <w:jc w:val="both"/>
      </w:pPr>
      <w:r>
        <w:t>Les panneaux sont posés du côté intérieur des parois, du côté chaud.</w:t>
      </w:r>
    </w:p>
    <w:p w14:paraId="2B462CEA" w14:textId="77777777" w:rsidR="004B2808" w:rsidRDefault="00000000">
      <w:pPr>
        <w:pStyle w:val="pheading"/>
      </w:pPr>
      <w:r>
        <w:t>DOCUMENTS DE RÉFÉRENCE COMPLÉMENTAIRES</w:t>
      </w:r>
    </w:p>
    <w:p w14:paraId="3E35E712" w14:textId="77777777" w:rsidR="004B2808" w:rsidRDefault="00000000">
      <w:pPr>
        <w:pStyle w:val="pheading"/>
      </w:pPr>
      <w:r>
        <w:t>- Matériau</w:t>
      </w:r>
    </w:p>
    <w:p w14:paraId="34EE841E" w14:textId="77777777" w:rsidR="004B2808"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3D4F3FED" w14:textId="77777777" w:rsidR="004B2808"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24543673" w14:textId="77777777" w:rsidR="004B2808" w:rsidRDefault="00000000">
      <w:r>
        <w:t>[NBN EN 823, Produits isolants thermiques destinés aux applications du bâtiment - Détermination de l'épaisseur]</w:t>
      </w:r>
    </w:p>
    <w:p w14:paraId="4DB99AF7" w14:textId="77777777" w:rsidR="004B2808" w:rsidRDefault="00000000">
      <w:r>
        <w:t>[NBN EN 824, Produits isolants thermiques destinés aux applications du bâtiment - Détermination de l'équerrage]</w:t>
      </w:r>
    </w:p>
    <w:p w14:paraId="647AD09E" w14:textId="77777777" w:rsidR="004B2808" w:rsidRDefault="00000000">
      <w:r>
        <w:lastRenderedPageBreak/>
        <w:t>[NBN EN 825, Produits isolants thermiques destinés aux applications du bâtiment - Détermination de la planéité]</w:t>
      </w:r>
    </w:p>
    <w:p w14:paraId="56A223E6" w14:textId="77777777" w:rsidR="004B2808" w:rsidRDefault="00000000">
      <w:r>
        <w:t>[NBN EN 826, Produits isolants thermiques destinés aux applications du bâtiment - Détermination du comportement en compression]</w:t>
      </w:r>
    </w:p>
    <w:p w14:paraId="25481AFA" w14:textId="77777777" w:rsidR="004B2808" w:rsidRDefault="00000000">
      <w:r>
        <w:t>[NBN EN 13501-1, Classement au feu des produits et éléments de construction - Partie 1: Classement à partir des données d'essais de réaction au feu]</w:t>
      </w:r>
    </w:p>
    <w:p w14:paraId="5A3FBC4A" w14:textId="77777777" w:rsidR="004B2808" w:rsidRDefault="00000000">
      <w:r>
        <w:t>[NBN EN ISO 29767, Produits isolants thermiques destinés aux applications du bâtiment - Détermination de l'absorption d'eau à court terme par immersion partielle (ISO 29767:2019)]</w:t>
      </w:r>
    </w:p>
    <w:p w14:paraId="5A274A0F" w14:textId="77777777" w:rsidR="004B2808" w:rsidRDefault="00000000">
      <w:r>
        <w:t>[NBN EN ISO 16535, Produits isolants thermiques destinés aux applications du bâtiment - Détermination de l'absorption d'eau à long terme par immersion (ISO 16535:2019)]</w:t>
      </w:r>
    </w:p>
    <w:p w14:paraId="3050FFDC" w14:textId="77777777" w:rsidR="004B2808" w:rsidRDefault="00000000">
      <w:r>
        <w:t>[NBN EN 12086, Produits isolants thermiques destinés aux applications du bâtiment - Détermination des propriétés de transmission de la vapeur d'eau]</w:t>
      </w:r>
    </w:p>
    <w:p w14:paraId="2E746FAB" w14:textId="77777777" w:rsidR="004B2808" w:rsidRDefault="00000000">
      <w:r>
        <w:t>[NBN EN ISO 354, Acoustique - Mesurage de l'absorption acoustique en salle réverbérante (ISO 354:2003)]</w:t>
      </w:r>
    </w:p>
    <w:p w14:paraId="43ECB74E" w14:textId="77777777" w:rsidR="004B2808" w:rsidRDefault="00000000">
      <w:r>
        <w:t>[NBN EN ISO 11654, Acoustique - Absorbants pour l'utilisation dans les bâtiments - Evaluation de l'absorption acoustique (ISO 11654:1997)]</w:t>
      </w:r>
    </w:p>
    <w:p w14:paraId="6B411069" w14:textId="77777777" w:rsidR="004B2808" w:rsidRDefault="00000000">
      <w:pPr>
        <w:pStyle w:val="pheading"/>
      </w:pPr>
      <w:r>
        <w:t>MESURAGE</w:t>
      </w:r>
    </w:p>
    <w:p w14:paraId="3A1F8D9F" w14:textId="77777777" w:rsidR="004B2808" w:rsidRDefault="00000000">
      <w:pPr>
        <w:pStyle w:val="pheading"/>
      </w:pPr>
      <w:r>
        <w:t>- unité de mesure:</w:t>
      </w:r>
    </w:p>
    <w:p w14:paraId="6788E1CE" w14:textId="77777777" w:rsidR="004B2808" w:rsidRDefault="00000000">
      <w:r>
        <w:t>m²</w:t>
      </w:r>
    </w:p>
    <w:p w14:paraId="094B7BE6" w14:textId="77777777" w:rsidR="004B2808" w:rsidRDefault="00000000">
      <w:pPr>
        <w:pStyle w:val="pheading"/>
      </w:pPr>
      <w:r>
        <w:t>- code de mesurage:</w:t>
      </w:r>
    </w:p>
    <w:p w14:paraId="2FDCD4C9" w14:textId="77777777" w:rsidR="004B2808" w:rsidRDefault="00000000">
      <w:pPr>
        <w:jc w:val="both"/>
      </w:pPr>
      <w:r>
        <w:rPr>
          <w:b/>
        </w:rPr>
        <w:t>Surface nette</w:t>
      </w:r>
      <w:r>
        <w:t xml:space="preserve"> de la paroi à isoler, sans déduction des éléments de structure interposés (chevrons, fermes). Les réservations inférieures à 1 m² ne sont pas déduites. </w:t>
      </w:r>
    </w:p>
    <w:p w14:paraId="45DBFFA2" w14:textId="77777777" w:rsidR="004B2808" w:rsidRDefault="00000000">
      <w:pPr>
        <w:jc w:val="both"/>
      </w:pPr>
      <w:r>
        <w:t>Distinction faite suivant le type et l'épaisseur.</w:t>
      </w:r>
    </w:p>
    <w:p w14:paraId="23EAB0D0" w14:textId="77777777" w:rsidR="004B2808" w:rsidRDefault="00000000">
      <w:pPr>
        <w:pStyle w:val="pheading"/>
      </w:pPr>
      <w:r>
        <w:t>- nature du marché:</w:t>
      </w:r>
    </w:p>
    <w:p w14:paraId="7D8DCF8F" w14:textId="77777777" w:rsidR="004B2808" w:rsidRDefault="00000000">
      <w:r>
        <w:t>QF</w:t>
      </w:r>
    </w:p>
    <w:p w14:paraId="4460A366" w14:textId="77777777" w:rsidR="004B2808" w:rsidRDefault="00000000">
      <w:pPr>
        <w:pStyle w:val="Author-eSectionHeading6Numberless"/>
      </w:pPr>
      <w:bookmarkStart w:id="407" w:name="_Toc220490583"/>
      <w:r>
        <w:t>52.41.3l Isolation en panneaux - biopolymères CCTB 01.12</w:t>
      </w:r>
      <w:bookmarkEnd w:id="407"/>
    </w:p>
    <w:p w14:paraId="4A696309" w14:textId="77777777" w:rsidR="004B2808" w:rsidRDefault="00000000">
      <w:pPr>
        <w:pStyle w:val="pheading"/>
      </w:pPr>
      <w:r>
        <w:t>DESCRIPTION</w:t>
      </w:r>
    </w:p>
    <w:p w14:paraId="48092816" w14:textId="77777777" w:rsidR="004B2808" w:rsidRDefault="00000000">
      <w:pPr>
        <w:pStyle w:val="pheading"/>
      </w:pPr>
      <w:r>
        <w:t>- Définition / Comprend</w:t>
      </w:r>
    </w:p>
    <w:p w14:paraId="2253A956" w14:textId="77777777" w:rsidR="004B2808" w:rsidRDefault="00000000">
      <w:pPr>
        <w:jc w:val="both"/>
      </w:pPr>
      <w:r>
        <w:t>Il s’agit de la fourniture et la pose d’une isolation acoustique au moyen de panneaux de biopolymères pour une application intérieure.</w:t>
      </w:r>
    </w:p>
    <w:p w14:paraId="7E941DCF" w14:textId="77777777" w:rsidR="004B2808" w:rsidRDefault="00000000">
      <w:pPr>
        <w:pStyle w:val="pheading"/>
      </w:pPr>
      <w:r>
        <w:t>- Localisation</w:t>
      </w:r>
    </w:p>
    <w:p w14:paraId="134878AD" w14:textId="77777777" w:rsidR="004B2808" w:rsidRDefault="00000000">
      <w:r>
        <w:t>Localisation des travaux :</w:t>
      </w:r>
      <w:r>
        <w:rPr>
          <w:rStyle w:val="optioncarChar"/>
        </w:rPr>
        <w:t xml:space="preserve"> ***</w:t>
      </w:r>
      <w:r>
        <w:t>.</w:t>
      </w:r>
    </w:p>
    <w:p w14:paraId="5E4A3CAB" w14:textId="77777777" w:rsidR="004B2808" w:rsidRDefault="00000000">
      <w:r>
        <w:t>Voir plans et métrés détaillés.</w:t>
      </w:r>
    </w:p>
    <w:p w14:paraId="61065252" w14:textId="77777777" w:rsidR="004B2808" w:rsidRDefault="00000000">
      <w:pPr>
        <w:pStyle w:val="pheading"/>
      </w:pPr>
      <w:r>
        <w:t>MATÉRIAUX</w:t>
      </w:r>
    </w:p>
    <w:p w14:paraId="4A910AB3" w14:textId="77777777" w:rsidR="004B2808" w:rsidRDefault="00000000">
      <w:pPr>
        <w:pStyle w:val="pheading"/>
      </w:pPr>
      <w:r>
        <w:t>- Caractéristiques générales</w:t>
      </w:r>
    </w:p>
    <w:p w14:paraId="395458FB" w14:textId="77777777" w:rsidR="004B2808" w:rsidRDefault="00000000">
      <w:pPr>
        <w:jc w:val="both"/>
      </w:pPr>
      <w:r>
        <w:t>Le produit biosourcé est constitué d’une membrane en biopolymères viscoélastique, produite à base de matériaux organiques renouvelables et recyclables, résidus des filières agricoles et alimentaires.</w:t>
      </w:r>
    </w:p>
    <w:p w14:paraId="73E67ADC" w14:textId="77777777" w:rsidR="004B2808" w:rsidRDefault="00000000">
      <w:pPr>
        <w:jc w:val="both"/>
      </w:pPr>
      <w:r>
        <w:t xml:space="preserve">Épaisseur (selon [NBN EN 823]) : </w:t>
      </w:r>
      <w:r>
        <w:rPr>
          <w:rStyle w:val="optioncarChar"/>
        </w:rPr>
        <w:t xml:space="preserve">2 </w:t>
      </w:r>
      <w:r>
        <w:t>(par défaut)</w:t>
      </w:r>
      <w:r>
        <w:rPr>
          <w:rStyle w:val="optioncarChar"/>
        </w:rPr>
        <w:t xml:space="preserve"> / 4 / 8 / ***</w:t>
      </w:r>
      <w:r>
        <w:t xml:space="preserve"> mm</w:t>
      </w:r>
    </w:p>
    <w:p w14:paraId="6C04366A" w14:textId="77777777" w:rsidR="004B2808" w:rsidRDefault="00000000">
      <w:pPr>
        <w:jc w:val="both"/>
      </w:pPr>
      <w:r>
        <w:t xml:space="preserve">Les panneaux sont disposés en </w:t>
      </w:r>
      <w:r>
        <w:rPr>
          <w:rStyle w:val="optioncarChar"/>
        </w:rPr>
        <w:t xml:space="preserve">1 </w:t>
      </w:r>
      <w:r>
        <w:t>(par défaut)</w:t>
      </w:r>
      <w:r>
        <w:rPr>
          <w:rStyle w:val="optioncarChar"/>
        </w:rPr>
        <w:t xml:space="preserve"> / ***</w:t>
      </w:r>
      <w:r>
        <w:t> couche(s).</w:t>
      </w:r>
    </w:p>
    <w:p w14:paraId="78A8814E" w14:textId="77777777" w:rsidR="004B2808" w:rsidRDefault="00000000">
      <w:pPr>
        <w:jc w:val="both"/>
      </w:pPr>
      <w:r>
        <w:t xml:space="preserve">Densité (selon [NBN EN ISO 29470]) : </w:t>
      </w:r>
      <w:r>
        <w:rPr>
          <w:rStyle w:val="optioncarChar"/>
        </w:rPr>
        <w:t>2,5</w:t>
      </w:r>
      <w:r>
        <w:t xml:space="preserve"> (par défaut) </w:t>
      </w:r>
      <w:r>
        <w:rPr>
          <w:rStyle w:val="optioncarChar"/>
        </w:rPr>
        <w:t>/ 4 / 6 / ***</w:t>
      </w:r>
      <w:r>
        <w:t xml:space="preserve"> kg/m³.</w:t>
      </w:r>
    </w:p>
    <w:p w14:paraId="737596D4" w14:textId="77777777" w:rsidR="004B2808" w:rsidRDefault="00000000">
      <w:pPr>
        <w:jc w:val="both"/>
      </w:pPr>
      <w:r>
        <w:t xml:space="preserve">Indice d’affaiblissement acoustique Rw (selon [NBN EN ISO 717-1]) : </w:t>
      </w:r>
      <w:r>
        <w:rPr>
          <w:rStyle w:val="optioncarChar"/>
        </w:rPr>
        <w:t xml:space="preserve">52 </w:t>
      </w:r>
      <w:r>
        <w:t>(par défaut)</w:t>
      </w:r>
      <w:r>
        <w:rPr>
          <w:rStyle w:val="optioncarChar"/>
        </w:rPr>
        <w:t xml:space="preserve"> / 53 / 56 / 59 / 64 / ***</w:t>
      </w:r>
      <w:r>
        <w:t xml:space="preserve"> db</w:t>
      </w:r>
    </w:p>
    <w:p w14:paraId="012828D9" w14:textId="77777777" w:rsidR="004B2808" w:rsidRDefault="00000000">
      <w:pPr>
        <w:jc w:val="both"/>
      </w:pPr>
      <w:r>
        <w:lastRenderedPageBreak/>
        <w:t xml:space="preserve">Niveau de pression pondéré du bruit de choc standardisé (selon [NBN S 01-400-1] : </w:t>
      </w:r>
      <w:r>
        <w:rPr>
          <w:rStyle w:val="optioncarChar"/>
        </w:rPr>
        <w:t>35</w:t>
      </w:r>
      <w:r>
        <w:t xml:space="preserve"> (par défaut) </w:t>
      </w:r>
      <w:r>
        <w:rPr>
          <w:rStyle w:val="optioncarChar"/>
        </w:rPr>
        <w:t>/ 45 / 51 / 55 / ***</w:t>
      </w:r>
      <w:r>
        <w:t xml:space="preserve"> db</w:t>
      </w:r>
    </w:p>
    <w:p w14:paraId="7CB3BA9C" w14:textId="77777777" w:rsidR="004B2808" w:rsidRDefault="00000000">
      <w:pPr>
        <w:jc w:val="both"/>
      </w:pPr>
      <w:r>
        <w:t xml:space="preserve">Les liants des panneaux et d’adhésion du revêtement de surface ne contiennent pas de formaldéhyde. Le dégagement mesuré selon la [NBN EN 717-1] est inférieur à </w:t>
      </w:r>
      <w:r>
        <w:rPr>
          <w:rStyle w:val="optioncarChar"/>
        </w:rPr>
        <w:t>0.124</w:t>
      </w:r>
      <w:r>
        <w:t xml:space="preserve"> (par défaut)</w:t>
      </w:r>
      <w:r>
        <w:rPr>
          <w:rStyle w:val="optioncarChar"/>
        </w:rPr>
        <w:t xml:space="preserve"> / ***</w:t>
      </w:r>
      <w:r>
        <w:t xml:space="preserve"> mg/m³.</w:t>
      </w:r>
    </w:p>
    <w:p w14:paraId="160AF234" w14:textId="77777777" w:rsidR="004B2808" w:rsidRDefault="00000000">
      <w:pPr>
        <w:jc w:val="both"/>
      </w:pPr>
      <w:r>
        <w:t xml:space="preserve">La concentration de pentachlorophénol mesurée selon la [CEN/TR 14823] est inférieure à </w:t>
      </w:r>
      <w:r>
        <w:rPr>
          <w:rStyle w:val="optioncarChar"/>
        </w:rPr>
        <w:t>5</w:t>
      </w:r>
      <w:r>
        <w:t xml:space="preserve"> (par défaut) </w:t>
      </w:r>
      <w:r>
        <w:rPr>
          <w:rStyle w:val="optioncarChar"/>
        </w:rPr>
        <w:t>/ ***</w:t>
      </w:r>
      <w:r>
        <w:t xml:space="preserve"> PPM.</w:t>
      </w:r>
    </w:p>
    <w:p w14:paraId="3CFA79C0" w14:textId="77777777" w:rsidR="004B2808" w:rsidRDefault="00000000">
      <w:pPr>
        <w:jc w:val="both"/>
      </w:pPr>
      <w:r>
        <w:t xml:space="preserve">Les liants des panneaux sont issus de </w:t>
      </w:r>
      <w:r>
        <w:rPr>
          <w:rStyle w:val="optioncarChar"/>
        </w:rPr>
        <w:t xml:space="preserve">matières premières végétales </w:t>
      </w:r>
      <w:r>
        <w:t>(par défaut)</w:t>
      </w:r>
      <w:r>
        <w:rPr>
          <w:rStyle w:val="optioncarChar"/>
        </w:rPr>
        <w:t xml:space="preserve"> / ***.</w:t>
      </w:r>
    </w:p>
    <w:p w14:paraId="701D91D0" w14:textId="77777777" w:rsidR="004B2808" w:rsidRDefault="00000000">
      <w:pPr>
        <w:jc w:val="both"/>
      </w:pPr>
      <w:r>
        <w:t xml:space="preserve">Les adjuvants ignifuges et biocides sont de type : </w:t>
      </w:r>
      <w:r>
        <w:rPr>
          <w:rStyle w:val="optioncarChar"/>
        </w:rPr>
        <w:t xml:space="preserve">pas d’adjuvant </w:t>
      </w:r>
      <w:r>
        <w:t xml:space="preserve">(par défaut) </w:t>
      </w:r>
      <w:r>
        <w:rPr>
          <w:rStyle w:val="optioncarChar"/>
        </w:rPr>
        <w:t>/ sels de bore / sels d’ammonium / ***</w:t>
      </w:r>
      <w:r>
        <w:t xml:space="preserve">. Les adjuvants respectent le [Règlement 1907/2006/CE]. La concentration maximum des adjuvants est de </w:t>
      </w:r>
      <w:r>
        <w:rPr>
          <w:rStyle w:val="optioncarChar"/>
        </w:rPr>
        <w:t xml:space="preserve">4% </w:t>
      </w:r>
      <w:r>
        <w:t>(par défaut)</w:t>
      </w:r>
      <w:r>
        <w:rPr>
          <w:rStyle w:val="optioncarChar"/>
        </w:rPr>
        <w:t xml:space="preserve"> / ***</w:t>
      </w:r>
      <w:r>
        <w:t>.</w:t>
      </w:r>
    </w:p>
    <w:p w14:paraId="396FDB50" w14:textId="77777777" w:rsidR="004B2808" w:rsidRDefault="00000000">
      <w:pPr>
        <w:ind w:left="750"/>
      </w:pPr>
      <w:r>
        <w:t> </w:t>
      </w:r>
    </w:p>
    <w:p w14:paraId="133D648E" w14:textId="77777777" w:rsidR="004B2808" w:rsidRDefault="00000000">
      <w:pPr>
        <w:pStyle w:val="pheading"/>
      </w:pPr>
      <w:r>
        <w:t>- Prescriptions complémentaires</w:t>
      </w:r>
    </w:p>
    <w:p w14:paraId="354762EB" w14:textId="77777777" w:rsidR="004B2808" w:rsidRDefault="00000000">
      <w:r>
        <w:rPr>
          <w:rStyle w:val="facultChar"/>
        </w:rPr>
        <w:t>Classement de la réaction au feu (selon [NBN EN 13501-1]) :</w:t>
      </w:r>
      <w:r>
        <w:rPr>
          <w:rStyle w:val="optioncarChar"/>
        </w:rPr>
        <w:t>E</w:t>
      </w:r>
      <w:r>
        <w:t xml:space="preserve"> (par défaut)</w:t>
      </w:r>
      <w:r>
        <w:rPr>
          <w:rStyle w:val="optioncarChar"/>
        </w:rPr>
        <w:t xml:space="preserve"> / ***</w:t>
      </w:r>
      <w:r>
        <w:t>.</w:t>
      </w:r>
    </w:p>
    <w:p w14:paraId="0EAAA837" w14:textId="77777777" w:rsidR="004B2808" w:rsidRDefault="00000000">
      <w:pPr>
        <w:pStyle w:val="pheading"/>
      </w:pPr>
      <w:r>
        <w:t>EXÉCUTION / MISE EN ŒUVRE</w:t>
      </w:r>
    </w:p>
    <w:p w14:paraId="44040D76" w14:textId="77777777" w:rsidR="004B2808" w:rsidRDefault="00000000">
      <w:pPr>
        <w:pStyle w:val="pheading"/>
      </w:pPr>
      <w:r>
        <w:t>- Prescriptions générales</w:t>
      </w:r>
    </w:p>
    <w:p w14:paraId="6A854CA5" w14:textId="77777777" w:rsidR="004B2808" w:rsidRDefault="00000000">
      <w:pPr>
        <w:jc w:val="both"/>
      </w:pPr>
      <w:r>
        <w:t>Le stockage des membranes isolants acoustiques ainsi que de leurs accessoires doit impérativement faire preuve de soin. Les isolants doivent être entreposés horizontalement et ne peuvent pas être exposés aux intempéries ni à la lumière directe du soleil. Le stockage des isolant et de leurs accessoires doit être réalisé de façon à annuler le risque de trous ou de tout dégât.</w:t>
      </w:r>
    </w:p>
    <w:p w14:paraId="16DA3B8C" w14:textId="77777777" w:rsidR="004B2808" w:rsidRDefault="00000000">
      <w:pPr>
        <w:jc w:val="both"/>
      </w:pPr>
      <w:r>
        <w:t>Les points de contact entre le système isolant prescrit et les éléments de structure du bâtiment sont découplés avec une bande résiliente de désolidarisation. Un joint viscoélastique résilient est appliqué en périphérie du système isolant.</w:t>
      </w:r>
    </w:p>
    <w:p w14:paraId="4D2B2906" w14:textId="77777777" w:rsidR="004B2808" w:rsidRDefault="00000000">
      <w:pPr>
        <w:jc w:val="both"/>
      </w:pPr>
      <w:r>
        <w:t> </w:t>
      </w:r>
    </w:p>
    <w:p w14:paraId="0BD1A9BE" w14:textId="77777777" w:rsidR="004B2808" w:rsidRDefault="00000000">
      <w:pPr>
        <w:jc w:val="both"/>
      </w:pPr>
      <w:r>
        <w:rPr>
          <w:b/>
          <w:i/>
        </w:rPr>
        <w:t>Pour une application verticale</w:t>
      </w:r>
    </w:p>
    <w:p w14:paraId="05699A58" w14:textId="77777777" w:rsidR="004B2808" w:rsidRDefault="00000000">
      <w:pPr>
        <w:jc w:val="both"/>
      </w:pPr>
      <w:r>
        <w:t xml:space="preserve">Les lés de membrane acoustique sont fixés sur la paroi à l’aide </w:t>
      </w:r>
      <w:r>
        <w:rPr>
          <w:rStyle w:val="optioncarChar"/>
        </w:rPr>
        <w:t>d’agrafes</w:t>
      </w:r>
      <w:r>
        <w:t xml:space="preserve"> (par défaut)</w:t>
      </w:r>
      <w:r>
        <w:rPr>
          <w:rStyle w:val="optioncarChar"/>
        </w:rPr>
        <w:t xml:space="preserve"> / d’adhésif double face / ***</w:t>
      </w:r>
      <w:r>
        <w:t xml:space="preserve"> en superposant les bords amincis pour amener le matériau viscoélastique des lés adjacents en contact.</w:t>
      </w:r>
    </w:p>
    <w:p w14:paraId="3F52DDE9" w14:textId="77777777" w:rsidR="004B2808" w:rsidRDefault="00000000">
      <w:pPr>
        <w:jc w:val="both"/>
      </w:pPr>
      <w:r>
        <w:t>Les percements sont limités aux agrafes ou aux vis de fixation.</w:t>
      </w:r>
    </w:p>
    <w:p w14:paraId="69181978" w14:textId="77777777" w:rsidR="004B2808" w:rsidRDefault="00000000">
      <w:pPr>
        <w:jc w:val="both"/>
      </w:pPr>
      <w:r>
        <w:t> </w:t>
      </w:r>
    </w:p>
    <w:p w14:paraId="5C960B06" w14:textId="77777777" w:rsidR="004B2808" w:rsidRDefault="00000000">
      <w:pPr>
        <w:jc w:val="both"/>
      </w:pPr>
      <w:r>
        <w:rPr>
          <w:b/>
          <w:i/>
        </w:rPr>
        <w:t>Pour une application horizontale</w:t>
      </w:r>
    </w:p>
    <w:p w14:paraId="0331DDBE" w14:textId="77777777" w:rsidR="004B2808" w:rsidRDefault="00000000">
      <w:pPr>
        <w:jc w:val="both"/>
      </w:pPr>
      <w:r>
        <w:t>La sous-couche d’isolation acoustique est placée entre le complexe plancher et la chape flottante.</w:t>
      </w:r>
    </w:p>
    <w:p w14:paraId="2B147F77" w14:textId="77777777" w:rsidR="004B2808" w:rsidRDefault="00000000">
      <w:pPr>
        <w:jc w:val="both"/>
      </w:pPr>
      <w:r>
        <w:t>Les percements sont limités aux agrafes ou aux vis de fixation.</w:t>
      </w:r>
    </w:p>
    <w:p w14:paraId="4C6ACFF9" w14:textId="77777777" w:rsidR="004B2808" w:rsidRDefault="00000000">
      <w:pPr>
        <w:ind w:left="567"/>
        <w:jc w:val="both"/>
      </w:pPr>
      <w:r>
        <w:rPr>
          <w:b/>
          <w:i/>
        </w:rPr>
        <w:t>Au sol</w:t>
      </w:r>
    </w:p>
    <w:p w14:paraId="38B968D6" w14:textId="77777777" w:rsidR="004B2808" w:rsidRDefault="00000000">
      <w:pPr>
        <w:ind w:left="567"/>
        <w:jc w:val="both"/>
      </w:pPr>
      <w:r>
        <w:t>Une bande résiliente d’étanchéité d’une hauteur équivalente à l’ensemble du revêtement fini est posée en périphérie de la chape.</w:t>
      </w:r>
    </w:p>
    <w:p w14:paraId="3BF7AA5E" w14:textId="77777777" w:rsidR="004B2808" w:rsidRDefault="00000000">
      <w:pPr>
        <w:ind w:left="567"/>
        <w:jc w:val="both"/>
      </w:pPr>
      <w:r>
        <w:t>Les panneaux d’isolant acoustique sont posés bords à bords.</w:t>
      </w:r>
    </w:p>
    <w:p w14:paraId="274F9CB6" w14:textId="77777777" w:rsidR="004B2808" w:rsidRDefault="00000000">
      <w:pPr>
        <w:ind w:left="567"/>
        <w:jc w:val="both"/>
      </w:pPr>
      <w:r>
        <w:t>La chape est coulée.</w:t>
      </w:r>
    </w:p>
    <w:p w14:paraId="343BAD50" w14:textId="77777777" w:rsidR="004B2808" w:rsidRDefault="00000000">
      <w:pPr>
        <w:ind w:left="567"/>
        <w:jc w:val="both"/>
      </w:pPr>
      <w:r>
        <w:t>Le revêtement de finition est posé.</w:t>
      </w:r>
    </w:p>
    <w:p w14:paraId="70749C91" w14:textId="77777777" w:rsidR="004B2808" w:rsidRDefault="00000000">
      <w:pPr>
        <w:ind w:left="567"/>
        <w:jc w:val="both"/>
      </w:pPr>
      <w:r>
        <w:t>Les percements sont exclus.</w:t>
      </w:r>
    </w:p>
    <w:p w14:paraId="44A763F5" w14:textId="77777777" w:rsidR="004B2808" w:rsidRDefault="00000000">
      <w:pPr>
        <w:ind w:left="567"/>
        <w:jc w:val="both"/>
      </w:pPr>
      <w:r>
        <w:t> </w:t>
      </w:r>
    </w:p>
    <w:p w14:paraId="64B27C74" w14:textId="77777777" w:rsidR="004B2808" w:rsidRDefault="00000000">
      <w:pPr>
        <w:ind w:left="567"/>
        <w:jc w:val="both"/>
      </w:pPr>
      <w:r>
        <w:rPr>
          <w:b/>
          <w:i/>
        </w:rPr>
        <w:t>En plafond</w:t>
      </w:r>
    </w:p>
    <w:p w14:paraId="2E5D4ECD" w14:textId="77777777" w:rsidR="004B2808" w:rsidRDefault="00000000">
      <w:pPr>
        <w:ind w:left="567"/>
        <w:jc w:val="both"/>
      </w:pPr>
      <w:r>
        <w:t>Une bande résiliente est placée sur les lisses de l’ossature autoportante en contact avec les murs périphériques.</w:t>
      </w:r>
    </w:p>
    <w:p w14:paraId="4CA4CE16" w14:textId="77777777" w:rsidR="004B2808" w:rsidRDefault="00000000">
      <w:pPr>
        <w:ind w:left="567"/>
        <w:jc w:val="both"/>
      </w:pPr>
      <w:r>
        <w:lastRenderedPageBreak/>
        <w:t>L’isolant acoustique est agrafé sur la plaque de plâtre.</w:t>
      </w:r>
    </w:p>
    <w:p w14:paraId="698303FF" w14:textId="77777777" w:rsidR="004B2808" w:rsidRDefault="00000000">
      <w:pPr>
        <w:ind w:left="567"/>
        <w:jc w:val="both"/>
      </w:pPr>
      <w:r>
        <w:t>Les jonctions à bords amincis sont enduites.</w:t>
      </w:r>
    </w:p>
    <w:p w14:paraId="623D3DF4" w14:textId="77777777" w:rsidR="004B2808" w:rsidRDefault="00000000">
      <w:pPr>
        <w:pStyle w:val="pheading"/>
      </w:pPr>
      <w:r>
        <w:t>DOCUMENTS DE RÉFÉRENCE COMPLÉMENTAIRES</w:t>
      </w:r>
    </w:p>
    <w:p w14:paraId="627E9E31" w14:textId="77777777" w:rsidR="004B2808" w:rsidRDefault="00000000">
      <w:pPr>
        <w:pStyle w:val="pheading"/>
      </w:pPr>
      <w:r>
        <w:t>- Matériau</w:t>
      </w:r>
    </w:p>
    <w:p w14:paraId="2E87B4DD" w14:textId="77777777" w:rsidR="004B2808" w:rsidRDefault="00000000">
      <w:r>
        <w:t>[NBN EN 823, Produits isolants thermiques destinés aux applications du bâtiment - Détermination de l'épaisseur]</w:t>
      </w:r>
    </w:p>
    <w:p w14:paraId="27324DD1" w14:textId="77777777" w:rsidR="004B2808" w:rsidRDefault="00000000">
      <w:r>
        <w:t>[NBN EN ISO 29470, Produits isolants thermiques destinés aux applications du bâtiment - Détermination de la masse volumique apparente (ISO 29470:2020)] </w:t>
      </w:r>
    </w:p>
    <w:p w14:paraId="4FE001FF" w14:textId="77777777" w:rsidR="004B2808" w:rsidRDefault="00000000">
      <w:r>
        <w:t>[NBN EN ISO 717-1, Acoustique - Évaluation de l'isolement acoustique des immeubles et des éléments de construction - Partie 1: Isolement aux bruits aériens (ISO 717-1:2020)]</w:t>
      </w:r>
    </w:p>
    <w:p w14:paraId="5FB980E1" w14:textId="77777777" w:rsidR="004B2808" w:rsidRDefault="00000000">
      <w:r>
        <w:t>[NBN S 01-400-1, Critères acoustiques pour les immeubles d'habitation]</w:t>
      </w:r>
    </w:p>
    <w:p w14:paraId="6A92317F" w14:textId="77777777" w:rsidR="004B2808" w:rsidRDefault="00000000">
      <w:r>
        <w:t>[NBN EN 717-1, Panneaux à base de bois - Détermination du dégagement de formaldéhyde - Partie 1 : Emission de formaldéhyde par la méthode à la chambre]</w:t>
      </w:r>
    </w:p>
    <w:p w14:paraId="0581B559" w14:textId="77777777" w:rsidR="004B2808" w:rsidRDefault="00000000">
      <w:r>
        <w:t>[CEN/TR 14823, Durabilité du bois et des matériaux dérivés du bois - Analyse quantitative du pentachlorophénol dans le bois - Méthode par chromatographie en phase gazeuse]</w:t>
      </w:r>
    </w:p>
    <w:p w14:paraId="5C16D380" w14:textId="77777777" w:rsidR="004B2808" w:rsidRDefault="00000000">
      <w:r>
        <w:t>[NBN EN 13501-1, Classement au feu des produits et éléments de construction - Partie 1: Classement à partir des données d'essais de réaction au feu]</w:t>
      </w:r>
    </w:p>
    <w:p w14:paraId="72BCA9DE" w14:textId="77777777" w:rsidR="004B2808" w:rsidRDefault="00000000">
      <w:r>
        <w:t>[Règlement 1907/2006/CE, Règlement du Parlement européen et du Conseil concernant l'enregistrement, l'évaluation et l'autorisation des substances chimiques, ainsi que les restrictions applicables à ces substances (REACH), instituant une agence européenne des produits chimiques, modifiant la directive 1999/45/CE et abrogeant le règlement (CEE) n° 793/93 du Conseil et le règlement (CE) n° 1488/94 de la Commission ainsi que la directive 76/769/CEE du Conseil et les directives 91/155/CEE, 93/67/CEE, 93/105/CE et 2000/21/CE de la Commission]</w:t>
      </w:r>
    </w:p>
    <w:p w14:paraId="4ACD97B8" w14:textId="77777777" w:rsidR="004B2808" w:rsidRDefault="00000000">
      <w:pPr>
        <w:pStyle w:val="pheading"/>
      </w:pPr>
      <w:r>
        <w:t>MESURAGE</w:t>
      </w:r>
    </w:p>
    <w:p w14:paraId="4C42413D" w14:textId="77777777" w:rsidR="004B2808" w:rsidRDefault="00000000">
      <w:pPr>
        <w:pStyle w:val="pheading"/>
      </w:pPr>
      <w:r>
        <w:t>- unité de mesure:</w:t>
      </w:r>
    </w:p>
    <w:p w14:paraId="24CDA15F" w14:textId="77777777" w:rsidR="004B2808" w:rsidRDefault="00000000">
      <w:r>
        <w:t>m²</w:t>
      </w:r>
    </w:p>
    <w:p w14:paraId="7FB475AD" w14:textId="77777777" w:rsidR="004B2808" w:rsidRDefault="00000000">
      <w:pPr>
        <w:pStyle w:val="pheading"/>
      </w:pPr>
      <w:r>
        <w:t>- code de mesurage:</w:t>
      </w:r>
    </w:p>
    <w:p w14:paraId="49136894" w14:textId="77777777" w:rsidR="004B2808" w:rsidRDefault="00000000">
      <w:pPr>
        <w:jc w:val="both"/>
      </w:pPr>
      <w:r>
        <w:t>Distinction faite suivant le type et l'épaisseur.</w:t>
      </w:r>
    </w:p>
    <w:p w14:paraId="089FE3FD" w14:textId="77777777" w:rsidR="004B2808" w:rsidRDefault="00000000">
      <w:pPr>
        <w:pStyle w:val="Author-eListParagraph"/>
        <w:numPr>
          <w:ilvl w:val="0"/>
          <w:numId w:val="416"/>
        </w:numPr>
        <w:jc w:val="both"/>
      </w:pPr>
      <w:r>
        <w:rPr>
          <w:u w:val="single"/>
        </w:rPr>
        <w:t>Isolation des parois verticales </w:t>
      </w:r>
      <w:r>
        <w:t xml:space="preserve">: </w:t>
      </w:r>
      <w:r>
        <w:rPr>
          <w:b/>
        </w:rPr>
        <w:t>Surface nette</w:t>
      </w:r>
      <w:r>
        <w:t>. Les ouvertures supérieures à 0,50 m² sont déduites</w:t>
      </w:r>
    </w:p>
    <w:p w14:paraId="78FA1BCD" w14:textId="77777777" w:rsidR="004B2808" w:rsidRDefault="00000000">
      <w:pPr>
        <w:pStyle w:val="Author-eListParagraph"/>
        <w:numPr>
          <w:ilvl w:val="0"/>
          <w:numId w:val="416"/>
        </w:numPr>
        <w:jc w:val="both"/>
      </w:pPr>
      <w:r>
        <w:rPr>
          <w:u w:val="single"/>
        </w:rPr>
        <w:t>Isolation des parois horizontales</w:t>
      </w:r>
      <w:r>
        <w:t xml:space="preserve"> : </w:t>
      </w:r>
    </w:p>
    <w:p w14:paraId="2E097ED6" w14:textId="77777777" w:rsidR="004B2808" w:rsidRDefault="00000000">
      <w:pPr>
        <w:pStyle w:val="Author-eListParagraph"/>
        <w:numPr>
          <w:ilvl w:val="0"/>
          <w:numId w:val="416"/>
        </w:numPr>
        <w:jc w:val="both"/>
      </w:pPr>
      <w:r>
        <w:rPr>
          <w:b/>
        </w:rPr>
        <w:t>Surface nette</w:t>
      </w:r>
      <w:r>
        <w:t xml:space="preserve"> du sol, mesurée entre le nu des murs. Les ouvertures supérieures à 0,5 m² sont déduites. L'isolation périphérique ne doit pas être portée en compte séparément. </w:t>
      </w:r>
    </w:p>
    <w:p w14:paraId="3D5398DB" w14:textId="77777777" w:rsidR="004B2808" w:rsidRDefault="00000000">
      <w:pPr>
        <w:pStyle w:val="Author-eListParagraph"/>
        <w:numPr>
          <w:ilvl w:val="0"/>
          <w:numId w:val="416"/>
        </w:numPr>
        <w:jc w:val="both"/>
      </w:pPr>
      <w:r>
        <w:rPr>
          <w:b/>
        </w:rPr>
        <w:t>Surface nette</w:t>
      </w:r>
      <w:r>
        <w:t xml:space="preserve"> du plafond, mesurée entre le nu des murs. Les ouvertures supérieures à 0,5 m² sont déduites. L'isolation périphérique ne doit pas être portée en compte séparément.</w:t>
      </w:r>
    </w:p>
    <w:p w14:paraId="4B1BDD7A" w14:textId="77777777" w:rsidR="004B2808" w:rsidRDefault="00000000">
      <w:pPr>
        <w:pStyle w:val="pheading"/>
      </w:pPr>
      <w:r>
        <w:t>- nature du marché:</w:t>
      </w:r>
    </w:p>
    <w:p w14:paraId="070C7BF2" w14:textId="77777777" w:rsidR="004B2808" w:rsidRDefault="00000000">
      <w:r>
        <w:t>QF</w:t>
      </w:r>
    </w:p>
    <w:p w14:paraId="04FBB89A" w14:textId="77777777" w:rsidR="004B2808" w:rsidRDefault="00000000">
      <w:pPr>
        <w:pStyle w:val="Author-eSectionHeading5Numberless"/>
      </w:pPr>
      <w:bookmarkStart w:id="408" w:name="_Toc220490584"/>
      <w:r>
        <w:t>52.41.4 Isolation en panneaux - matières animales CCTB 01.02</w:t>
      </w:r>
      <w:bookmarkEnd w:id="408"/>
    </w:p>
    <w:p w14:paraId="47E59C93" w14:textId="77777777" w:rsidR="004B2808" w:rsidRDefault="00000000">
      <w:pPr>
        <w:pStyle w:val="Author-eSectionHeading6Numberless"/>
      </w:pPr>
      <w:bookmarkStart w:id="409" w:name="_Toc220490585"/>
      <w:r>
        <w:t>52.41.4a Isolation en panneaux - laine de mouton CCTB 01.07</w:t>
      </w:r>
      <w:bookmarkEnd w:id="409"/>
    </w:p>
    <w:p w14:paraId="4EB488D2" w14:textId="77777777" w:rsidR="004B2808" w:rsidRDefault="00000000">
      <w:pPr>
        <w:pStyle w:val="pheading"/>
      </w:pPr>
      <w:r>
        <w:t>DESCRIPTION</w:t>
      </w:r>
    </w:p>
    <w:p w14:paraId="7EF1BCD2" w14:textId="77777777" w:rsidR="004B2808" w:rsidRDefault="00000000">
      <w:pPr>
        <w:pStyle w:val="pheading"/>
      </w:pPr>
      <w:r>
        <w:t>- Définition / Comprend</w:t>
      </w:r>
    </w:p>
    <w:p w14:paraId="1AE5D102" w14:textId="77777777" w:rsidR="004B2808" w:rsidRDefault="00000000">
      <w:r>
        <w:t>Il s'agit de la réalisation d'une isolation en panneaux de laine de mouton suivant les prescriptions de l'article 32.41.4a Isolation en panneaux - laine de mouton.</w:t>
      </w:r>
    </w:p>
    <w:p w14:paraId="7D8FF1FF" w14:textId="77777777" w:rsidR="004B2808" w:rsidRDefault="00000000">
      <w:pPr>
        <w:pStyle w:val="pheading"/>
      </w:pPr>
      <w:r>
        <w:lastRenderedPageBreak/>
        <w:t>MATÉRIAUX</w:t>
      </w:r>
    </w:p>
    <w:p w14:paraId="1643AD4A" w14:textId="77777777" w:rsidR="004B2808" w:rsidRDefault="00000000">
      <w:pPr>
        <w:pStyle w:val="pheading"/>
      </w:pPr>
      <w:r>
        <w:t>- Caractéristiques générales</w:t>
      </w:r>
    </w:p>
    <w:p w14:paraId="3D5BA7DB" w14:textId="77777777" w:rsidR="004B2808" w:rsidRDefault="00000000">
      <w:r>
        <w:t>Voir 32.41.4a Isolation en panneaux - laine de mouton</w:t>
      </w:r>
    </w:p>
    <w:p w14:paraId="00434A57" w14:textId="77777777" w:rsidR="004B2808" w:rsidRDefault="00000000">
      <w:pPr>
        <w:pStyle w:val="pheading"/>
      </w:pPr>
      <w:r>
        <w:t>DOCUMENTS DE RÉFÉRENCE COMPLÉMENTAIRES</w:t>
      </w:r>
    </w:p>
    <w:p w14:paraId="30878D8D" w14:textId="77777777" w:rsidR="004B2808" w:rsidRDefault="00000000">
      <w:pPr>
        <w:pStyle w:val="pheading"/>
      </w:pPr>
      <w:r>
        <w:t>- Matériau</w:t>
      </w:r>
    </w:p>
    <w:p w14:paraId="5B4E1890" w14:textId="77777777" w:rsidR="004B2808" w:rsidRDefault="00000000">
      <w:r>
        <w:t>32.41.4a Isolation en panneaux - laine de mouton</w:t>
      </w:r>
    </w:p>
    <w:p w14:paraId="5E113955" w14:textId="77777777" w:rsidR="004B2808" w:rsidRDefault="00000000">
      <w:pPr>
        <w:pStyle w:val="pheading"/>
      </w:pPr>
      <w:r>
        <w:t>- Exécution</w:t>
      </w:r>
    </w:p>
    <w:p w14:paraId="55D156BB" w14:textId="77777777" w:rsidR="004B2808" w:rsidRDefault="00000000">
      <w:r>
        <w:t>32.41.4a Isolation en panneaux - laine de mouton</w:t>
      </w:r>
    </w:p>
    <w:p w14:paraId="5AF93081" w14:textId="77777777" w:rsidR="004B2808" w:rsidRDefault="00000000">
      <w:pPr>
        <w:pStyle w:val="pheading"/>
      </w:pPr>
      <w:r>
        <w:t>MESURAGE</w:t>
      </w:r>
    </w:p>
    <w:p w14:paraId="24C6A646" w14:textId="77777777" w:rsidR="004B2808" w:rsidRDefault="00000000">
      <w:pPr>
        <w:pStyle w:val="pheading"/>
      </w:pPr>
      <w:r>
        <w:t>- unité de mesure:</w:t>
      </w:r>
    </w:p>
    <w:p w14:paraId="73E583FF" w14:textId="77777777" w:rsidR="004B2808" w:rsidRDefault="00000000">
      <w:r>
        <w:t>m²</w:t>
      </w:r>
    </w:p>
    <w:p w14:paraId="4705D329" w14:textId="77777777" w:rsidR="004B2808" w:rsidRDefault="00000000">
      <w:pPr>
        <w:pStyle w:val="pheading"/>
      </w:pPr>
      <w:r>
        <w:t>- code de mesurage:</w:t>
      </w:r>
    </w:p>
    <w:p w14:paraId="458299BF" w14:textId="77777777" w:rsidR="004B2808" w:rsidRDefault="00000000">
      <w:r>
        <w:t>Distinction faite suivant l'épaisseur.</w:t>
      </w:r>
    </w:p>
    <w:p w14:paraId="3E5103A9" w14:textId="77777777" w:rsidR="004B2808" w:rsidRDefault="00000000">
      <w:pPr>
        <w:pStyle w:val="Author-eListParagraph"/>
        <w:numPr>
          <w:ilvl w:val="0"/>
          <w:numId w:val="417"/>
        </w:numPr>
      </w:pPr>
      <w:r>
        <w:t>Isolation des parois verticales : Surface nette. Les ouvertures supérieures à 0,50 m² sont déduites</w:t>
      </w:r>
    </w:p>
    <w:p w14:paraId="45064AFA" w14:textId="77777777" w:rsidR="004B2808" w:rsidRDefault="00000000">
      <w:pPr>
        <w:pStyle w:val="Author-eListParagraph"/>
        <w:numPr>
          <w:ilvl w:val="0"/>
          <w:numId w:val="417"/>
        </w:numPr>
      </w:pPr>
      <w:r>
        <w:t>Isolation des parois horizontales : Surface nette du sol, mesurée entre le nu des murs. Les ouvertures supérieures à 0,5 m² sont déduites. L'isolation périphérique ne doit pas être portée en compte séparément</w:t>
      </w:r>
    </w:p>
    <w:p w14:paraId="1D7737D5" w14:textId="77777777" w:rsidR="004B2808" w:rsidRDefault="00000000">
      <w:pPr>
        <w:pStyle w:val="pheading"/>
      </w:pPr>
      <w:r>
        <w:t>- nature du marché:</w:t>
      </w:r>
    </w:p>
    <w:p w14:paraId="01A5A626" w14:textId="77777777" w:rsidR="004B2808" w:rsidRDefault="00000000">
      <w:r>
        <w:t>QF</w:t>
      </w:r>
    </w:p>
    <w:p w14:paraId="4AE3A305" w14:textId="77777777" w:rsidR="004B2808" w:rsidRDefault="00000000">
      <w:pPr>
        <w:pStyle w:val="Author-eSectionHeading6Numberless"/>
      </w:pPr>
      <w:bookmarkStart w:id="410" w:name="_Toc220490586"/>
      <w:r>
        <w:t>52.41.4b Isolation en panneaux - plumes de canard CCTB 01.02</w:t>
      </w:r>
      <w:bookmarkEnd w:id="410"/>
    </w:p>
    <w:p w14:paraId="19F1DEE5" w14:textId="77777777" w:rsidR="004B2808" w:rsidRDefault="00000000">
      <w:pPr>
        <w:pStyle w:val="Author-eSectionHeading5Numberless"/>
      </w:pPr>
      <w:bookmarkStart w:id="411" w:name="_Toc220490587"/>
      <w:r>
        <w:t>52.41.5 Isolation en panneaux - matières composites CCTB 01.02</w:t>
      </w:r>
      <w:bookmarkEnd w:id="411"/>
    </w:p>
    <w:p w14:paraId="6F00C198" w14:textId="77777777" w:rsidR="004B2808" w:rsidRDefault="00000000">
      <w:pPr>
        <w:pStyle w:val="Author-eSectionHeading6Numberless"/>
      </w:pPr>
      <w:bookmarkStart w:id="412" w:name="_Toc220490588"/>
      <w:r>
        <w:t>52.41.5a Isolation en panneaux - fibres de bois - ciment CCTB 01.02</w:t>
      </w:r>
      <w:bookmarkEnd w:id="412"/>
    </w:p>
    <w:p w14:paraId="0B0FCC39" w14:textId="77777777" w:rsidR="004B2808" w:rsidRDefault="00000000">
      <w:pPr>
        <w:pStyle w:val="Author-eSectionHeading6Numberless"/>
      </w:pPr>
      <w:bookmarkStart w:id="413" w:name="_Toc220490589"/>
      <w:r>
        <w:t>52.41.5b Isolation en panneaux - fibres de cellulose - plâtre CCTB 01.02</w:t>
      </w:r>
      <w:bookmarkEnd w:id="413"/>
    </w:p>
    <w:p w14:paraId="781A5EAD" w14:textId="77777777" w:rsidR="004B2808" w:rsidRDefault="00000000">
      <w:pPr>
        <w:pStyle w:val="Author-eSectionHeading6Numberless"/>
      </w:pPr>
      <w:bookmarkStart w:id="414" w:name="_Toc220490590"/>
      <w:r>
        <w:t>52.41.5c Isolation en panneaux - polystyrène expansé (EPS) - ciment CCTB 01.02</w:t>
      </w:r>
      <w:bookmarkEnd w:id="414"/>
    </w:p>
    <w:p w14:paraId="26AF06FD" w14:textId="77777777" w:rsidR="004B2808" w:rsidRDefault="00000000">
      <w:pPr>
        <w:pStyle w:val="Author-eSectionHeading6Numberless"/>
      </w:pPr>
      <w:bookmarkStart w:id="415" w:name="_Toc220490591"/>
      <w:r>
        <w:t>52.41.5d Isolation en panneaux - métalliques à âme isolante CCTB 01.10</w:t>
      </w:r>
      <w:bookmarkEnd w:id="415"/>
    </w:p>
    <w:p w14:paraId="23ABE05E" w14:textId="77777777" w:rsidR="004B2808" w:rsidRDefault="00000000">
      <w:pPr>
        <w:pStyle w:val="pheading"/>
      </w:pPr>
      <w:r>
        <w:t>MATÉRIAUX</w:t>
      </w:r>
    </w:p>
    <w:p w14:paraId="13CB426E" w14:textId="77777777" w:rsidR="004B2808" w:rsidRDefault="00000000">
      <w:pPr>
        <w:pStyle w:val="pheading"/>
      </w:pPr>
      <w:r>
        <w:t>- Caractéristiques générales</w:t>
      </w:r>
    </w:p>
    <w:p w14:paraId="77C025FD" w14:textId="77777777" w:rsidR="004B2808" w:rsidRDefault="00000000">
      <w:r>
        <w:t>Les spécifications du produit sont définies dans la norme [NBN EN 14509].</w:t>
      </w:r>
    </w:p>
    <w:p w14:paraId="217E454F" w14:textId="77777777" w:rsidR="004B2808" w:rsidRDefault="00000000">
      <w:pPr>
        <w:pStyle w:val="Author-eSectionHeading6Numberless"/>
      </w:pPr>
      <w:bookmarkStart w:id="416" w:name="_Toc220490592"/>
      <w:r>
        <w:t>52.41.5e Isolation en panneaux - gypse et polymères viscoélastiques CCTB 01.02</w:t>
      </w:r>
      <w:bookmarkEnd w:id="416"/>
    </w:p>
    <w:p w14:paraId="0435BED8" w14:textId="77777777" w:rsidR="004B2808" w:rsidRDefault="00000000">
      <w:pPr>
        <w:pStyle w:val="Author-eSectionHeading5Numberless"/>
      </w:pPr>
      <w:bookmarkStart w:id="417" w:name="_Toc220490593"/>
      <w:r>
        <w:t>52.41.6 Isolation en panneaux sandwich (autoportant et isolant) CCTB 01.02</w:t>
      </w:r>
      <w:bookmarkEnd w:id="417"/>
    </w:p>
    <w:p w14:paraId="1CE72176" w14:textId="77777777" w:rsidR="004B2808" w:rsidRDefault="00000000">
      <w:pPr>
        <w:pStyle w:val="Author-eSectionHeading6Numberless"/>
      </w:pPr>
      <w:bookmarkStart w:id="418" w:name="_Toc220490594"/>
      <w:r>
        <w:t>52.41.6a Isolation en panneaux sandwich - polystyrène extrudé (XPS) + plâtre CCTB 01.02</w:t>
      </w:r>
      <w:bookmarkEnd w:id="418"/>
    </w:p>
    <w:p w14:paraId="69FB8029" w14:textId="77777777" w:rsidR="004B2808" w:rsidRDefault="00000000">
      <w:pPr>
        <w:pStyle w:val="Author-eSectionHeading6Numberless"/>
      </w:pPr>
      <w:bookmarkStart w:id="419" w:name="_Toc220490595"/>
      <w:r>
        <w:t>52.41.6b Isolation en panneaux sandwich - polystyrène expansé (EPS) + plâtre CCTB 01.02</w:t>
      </w:r>
      <w:bookmarkEnd w:id="419"/>
    </w:p>
    <w:p w14:paraId="70708BFE" w14:textId="77777777" w:rsidR="004B2808" w:rsidRDefault="00000000">
      <w:pPr>
        <w:pStyle w:val="Author-eSectionHeading6Numberless"/>
      </w:pPr>
      <w:bookmarkStart w:id="420" w:name="_Toc220490596"/>
      <w:r>
        <w:t>52.41.6c Isolation en panneaux sandwich - polystyrène expansé additionné de graphite/carbone + plâtre CCTB 01.02</w:t>
      </w:r>
      <w:bookmarkEnd w:id="420"/>
    </w:p>
    <w:p w14:paraId="28B78D14" w14:textId="77777777" w:rsidR="004B2808" w:rsidRDefault="00000000">
      <w:pPr>
        <w:pStyle w:val="Author-eSectionHeading6Numberless"/>
      </w:pPr>
      <w:bookmarkStart w:id="421" w:name="_Toc220490597"/>
      <w:r>
        <w:lastRenderedPageBreak/>
        <w:t>52.41.6d Isolation en panneaux sandwich - additifs légers - ciment + plâtre CCTB 01.02</w:t>
      </w:r>
      <w:bookmarkEnd w:id="421"/>
    </w:p>
    <w:p w14:paraId="24AC1135" w14:textId="77777777" w:rsidR="004B2808" w:rsidRDefault="00000000">
      <w:pPr>
        <w:pStyle w:val="Author-eSectionHeading6Numberless"/>
      </w:pPr>
      <w:bookmarkStart w:id="422" w:name="_Toc220490598"/>
      <w:r>
        <w:t>52.41.6e Isolation en panneaux sandwich - polystyrène extrudé (XPS) + fibres de bois - ciment CCTB 01.02</w:t>
      </w:r>
      <w:bookmarkEnd w:id="422"/>
    </w:p>
    <w:p w14:paraId="781CE907" w14:textId="77777777" w:rsidR="004B2808" w:rsidRDefault="00000000">
      <w:pPr>
        <w:pStyle w:val="Author-eSectionHeading6Numberless"/>
      </w:pPr>
      <w:bookmarkStart w:id="423" w:name="_Toc220490599"/>
      <w:r>
        <w:t>52.41.6f Isolation en panneaux sandwich - polystyrène expansé (EPS) + fibres de bois - ciment CCTB 01.02</w:t>
      </w:r>
      <w:bookmarkEnd w:id="423"/>
    </w:p>
    <w:p w14:paraId="0824BC64" w14:textId="77777777" w:rsidR="004B2808" w:rsidRDefault="00000000">
      <w:pPr>
        <w:pStyle w:val="Author-eSectionHeading6Numberless"/>
      </w:pPr>
      <w:bookmarkStart w:id="424" w:name="_Toc220490600"/>
      <w:r>
        <w:t>52.41.6g Isolation en panneaux sandwich - laine de roche (MW) + fibres de bois - ciment CCTB 01.02</w:t>
      </w:r>
      <w:bookmarkEnd w:id="424"/>
    </w:p>
    <w:p w14:paraId="045BEBC6" w14:textId="77777777" w:rsidR="004B2808" w:rsidRDefault="00000000">
      <w:pPr>
        <w:pStyle w:val="Author-eSectionHeading4Numberless"/>
      </w:pPr>
      <w:bookmarkStart w:id="425" w:name="_Toc220490601"/>
      <w:r>
        <w:t>52.42 Isolation en rouleaux/matelas CCTB 01.11</w:t>
      </w:r>
      <w:bookmarkEnd w:id="425"/>
    </w:p>
    <w:p w14:paraId="5570BB2F" w14:textId="77777777" w:rsidR="004B2808" w:rsidRDefault="00000000">
      <w:pPr>
        <w:pStyle w:val="pheading"/>
      </w:pPr>
      <w:bookmarkStart w:id="426" w:name="1123"/>
      <w:bookmarkEnd w:id="426"/>
      <w:r>
        <w:t>DESCRIPTION</w:t>
      </w:r>
    </w:p>
    <w:p w14:paraId="60C9D303" w14:textId="77777777" w:rsidR="004B2808" w:rsidRDefault="00000000">
      <w:pPr>
        <w:pStyle w:val="pheading"/>
      </w:pPr>
      <w:r>
        <w:t>- Définition / Comprend</w:t>
      </w:r>
    </w:p>
    <w:p w14:paraId="39B10B3B" w14:textId="77777777" w:rsidR="004B2808" w:rsidRDefault="00000000">
      <w:pPr>
        <w:jc w:val="both"/>
      </w:pPr>
      <w:r>
        <w:t>Il s’agit des fournitures et de la mise en œuvre d’isolation en rouleaux et matelas pour application en cloisons, plancher entre chevron, faux plafonds et autres applications intérieures.</w:t>
      </w:r>
    </w:p>
    <w:p w14:paraId="5808BAE9" w14:textId="77777777" w:rsidR="004B2808" w:rsidRDefault="00000000">
      <w:pPr>
        <w:jc w:val="both"/>
      </w:pPr>
      <w:r>
        <w:t>Ces travaux sont réalisés suivant les prescriptions de l'élément 32.42 Isolation en rouleaux/matelas.</w:t>
      </w:r>
    </w:p>
    <w:p w14:paraId="61F76CBC" w14:textId="77777777" w:rsidR="004B2808" w:rsidRDefault="00000000">
      <w:pPr>
        <w:jc w:val="both"/>
      </w:pPr>
      <w:r>
        <w:t>Les travaux comprennent notamment :</w:t>
      </w:r>
    </w:p>
    <w:p w14:paraId="6C135E4E" w14:textId="77777777" w:rsidR="004B2808" w:rsidRDefault="00000000">
      <w:pPr>
        <w:pStyle w:val="Author-eListParagraph"/>
        <w:numPr>
          <w:ilvl w:val="0"/>
          <w:numId w:val="418"/>
        </w:numPr>
      </w:pPr>
      <w:r>
        <w:t>la préparation et le contrôle de l'aire de pose ;</w:t>
      </w:r>
    </w:p>
    <w:p w14:paraId="3E15D9C3" w14:textId="77777777" w:rsidR="004B2808" w:rsidRDefault="00000000">
      <w:pPr>
        <w:pStyle w:val="Author-eListParagraph"/>
        <w:numPr>
          <w:ilvl w:val="0"/>
          <w:numId w:val="418"/>
        </w:numPr>
      </w:pPr>
      <w:r>
        <w:t>la fourniture et la mise en œuvre du matériau d'isolation ;</w:t>
      </w:r>
    </w:p>
    <w:p w14:paraId="674FD864" w14:textId="77777777" w:rsidR="004B2808" w:rsidRDefault="00000000">
      <w:pPr>
        <w:pStyle w:val="Author-eListParagraph"/>
        <w:numPr>
          <w:ilvl w:val="0"/>
          <w:numId w:val="418"/>
        </w:numPr>
      </w:pPr>
      <w:r>
        <w:t>la fourniture et la pose des accessoires pour la pose et la fixation ; </w:t>
      </w:r>
    </w:p>
    <w:p w14:paraId="7D2D6A43" w14:textId="77777777" w:rsidR="004B2808" w:rsidRDefault="00000000">
      <w:pPr>
        <w:pStyle w:val="Author-eListParagraph"/>
        <w:numPr>
          <w:ilvl w:val="0"/>
          <w:numId w:val="418"/>
        </w:numPr>
      </w:pPr>
      <w:r>
        <w:t>les éventuelles mesures de protection provisoires ; </w:t>
      </w:r>
    </w:p>
    <w:p w14:paraId="525288CC" w14:textId="77777777" w:rsidR="004B2808" w:rsidRDefault="00000000">
      <w:pPr>
        <w:pStyle w:val="Author-eListParagraph"/>
        <w:numPr>
          <w:ilvl w:val="0"/>
          <w:numId w:val="418"/>
        </w:numPr>
      </w:pPr>
      <w:r>
        <w:t>la découpe des isolants ;</w:t>
      </w:r>
    </w:p>
    <w:p w14:paraId="4356C8B6" w14:textId="77777777" w:rsidR="004B2808" w:rsidRDefault="00000000">
      <w:pPr>
        <w:pStyle w:val="Author-eListParagraph"/>
        <w:numPr>
          <w:ilvl w:val="0"/>
          <w:numId w:val="418"/>
        </w:numPr>
      </w:pPr>
      <w:r>
        <w:t>la préparation éventuelle des supports pour les fixations par collage ;</w:t>
      </w:r>
    </w:p>
    <w:p w14:paraId="735EB658" w14:textId="77777777" w:rsidR="004B2808" w:rsidRDefault="00000000">
      <w:pPr>
        <w:pStyle w:val="Author-eListParagraph"/>
        <w:numPr>
          <w:ilvl w:val="0"/>
          <w:numId w:val="418"/>
        </w:numPr>
      </w:pPr>
      <w:r>
        <w:t>la fixation des panneaux d'isolation sur le support ;</w:t>
      </w:r>
    </w:p>
    <w:p w14:paraId="13865212" w14:textId="77777777" w:rsidR="004B2808" w:rsidRDefault="00000000">
      <w:pPr>
        <w:pStyle w:val="Author-eListParagraph"/>
        <w:numPr>
          <w:ilvl w:val="0"/>
          <w:numId w:val="418"/>
        </w:numPr>
      </w:pPr>
      <w:r>
        <w:t>le remplissage des cavités et autres continuités des isolants ;</w:t>
      </w:r>
    </w:p>
    <w:p w14:paraId="23073902" w14:textId="77777777" w:rsidR="004B2808" w:rsidRDefault="00000000">
      <w:pPr>
        <w:pStyle w:val="Author-eListParagraph"/>
        <w:numPr>
          <w:ilvl w:val="0"/>
          <w:numId w:val="418"/>
        </w:numPr>
      </w:pPr>
      <w:r>
        <w:t>le nettoyage de la zone de travail, le tri, l’évacuation et le recyclage des différents déchets de mise en œuvre (emballages, découpes, chutes, …) suivant les législations en cours et suivant 07.2 Gestion des déchets, matériaux et éléments réemployables</w:t>
      </w:r>
    </w:p>
    <w:p w14:paraId="6722CB9B" w14:textId="77777777" w:rsidR="004B2808" w:rsidRDefault="00000000">
      <w:pPr>
        <w:jc w:val="both"/>
      </w:pPr>
      <w:r>
        <w:t>Pour les applications spécifiques, les travaux comprennent :</w:t>
      </w:r>
    </w:p>
    <w:p w14:paraId="3CE9D6E5" w14:textId="77777777" w:rsidR="004B2808" w:rsidRDefault="00000000">
      <w:pPr>
        <w:pStyle w:val="Author-eListParagraph"/>
        <w:numPr>
          <w:ilvl w:val="0"/>
          <w:numId w:val="419"/>
        </w:numPr>
      </w:pPr>
      <w:r>
        <w:t xml:space="preserve">Pour l'isolation des parois verticales </w:t>
      </w:r>
    </w:p>
    <w:p w14:paraId="71E5E402" w14:textId="77777777" w:rsidR="004B2808" w:rsidRDefault="00000000">
      <w:pPr>
        <w:pStyle w:val="Author-eListParagraph"/>
        <w:numPr>
          <w:ilvl w:val="1"/>
          <w:numId w:val="420"/>
        </w:numPr>
        <w:jc w:val="both"/>
      </w:pPr>
      <w:r>
        <w:t>la protection en pied de parois</w:t>
      </w:r>
    </w:p>
    <w:p w14:paraId="1B69123F" w14:textId="77777777" w:rsidR="004B2808" w:rsidRDefault="00000000">
      <w:pPr>
        <w:pStyle w:val="Author-eListParagraph"/>
        <w:numPr>
          <w:ilvl w:val="1"/>
          <w:numId w:val="420"/>
        </w:numPr>
        <w:jc w:val="both"/>
      </w:pPr>
      <w:r>
        <w:t>....</w:t>
      </w:r>
    </w:p>
    <w:p w14:paraId="28EDB58F" w14:textId="77777777" w:rsidR="004B2808" w:rsidRDefault="00000000">
      <w:pPr>
        <w:pStyle w:val="pheading"/>
      </w:pPr>
      <w:r>
        <w:t>- Remarques importantes</w:t>
      </w:r>
    </w:p>
    <w:p w14:paraId="425AEB0B" w14:textId="77777777" w:rsidR="004B2808" w:rsidRDefault="00000000">
      <w:r>
        <w:t>Voir 32.42 Isolation en rouleaux/matelas</w:t>
      </w:r>
    </w:p>
    <w:p w14:paraId="34F7D266" w14:textId="77777777" w:rsidR="004B2808" w:rsidRDefault="00000000">
      <w:pPr>
        <w:pStyle w:val="pheading"/>
      </w:pPr>
      <w:r>
        <w:t>MATÉRIAUX</w:t>
      </w:r>
    </w:p>
    <w:p w14:paraId="224F5EE2" w14:textId="77777777" w:rsidR="004B2808" w:rsidRDefault="00000000">
      <w:r>
        <w:t>Voir 32.42 Isolation en rouleaux/matelas</w:t>
      </w:r>
    </w:p>
    <w:p w14:paraId="59F7D70C" w14:textId="77777777" w:rsidR="004B2808" w:rsidRDefault="00000000">
      <w:r>
        <w:rPr>
          <w:b/>
        </w:rPr>
        <w:t>Isolation des cloisons</w:t>
      </w:r>
      <w:r>
        <w:br/>
        <w:t>Le matériau d'isolation satisfait aux dispositions de la [NIT 233].</w:t>
      </w:r>
    </w:p>
    <w:p w14:paraId="1401C420" w14:textId="77777777" w:rsidR="004B2808" w:rsidRDefault="00000000">
      <w:pPr>
        <w:pStyle w:val="pheading"/>
      </w:pPr>
      <w:r>
        <w:t>EXÉCUTION / MISE EN ŒUVRE</w:t>
      </w:r>
    </w:p>
    <w:p w14:paraId="22CDAE28" w14:textId="77777777" w:rsidR="004B2808" w:rsidRDefault="00000000">
      <w:pPr>
        <w:jc w:val="both"/>
      </w:pPr>
      <w:r>
        <w:rPr>
          <w:b/>
        </w:rPr>
        <w:t>Isolation des contre-cloisons</w:t>
      </w:r>
    </w:p>
    <w:p w14:paraId="479F06A7" w14:textId="77777777" w:rsidR="004B2808" w:rsidRDefault="00000000">
      <w:pPr>
        <w:jc w:val="both"/>
      </w:pPr>
      <w:r>
        <w:t>Les rouleaux/matelas sont ajustées contre la paroi, La couche de surface ayant une fonction pare ou frein-vapeur éventuel est disposé du côté chaud de la paroi. L’espace éventuel entre les rouleaux/matelas et la paroi est rempli par de l’isolation de même nature et au besoin de mousse expansive. Aucun vide ou coulisse n’est maintenu entre un isolant et une paroi extérieure.</w:t>
      </w:r>
    </w:p>
    <w:p w14:paraId="3ACF1181" w14:textId="77777777" w:rsidR="004B2808" w:rsidRDefault="00000000">
      <w:pPr>
        <w:jc w:val="both"/>
      </w:pPr>
      <w:r>
        <w:rPr>
          <w:b/>
        </w:rPr>
        <w:t>Isolation des parois légères</w:t>
      </w:r>
    </w:p>
    <w:p w14:paraId="34DF5DBA" w14:textId="77777777" w:rsidR="004B2808" w:rsidRDefault="00000000">
      <w:pPr>
        <w:jc w:val="both"/>
      </w:pPr>
      <w:r>
        <w:lastRenderedPageBreak/>
        <w:t>Les panneaux sont posés conformément à la [NIT 233].</w:t>
      </w:r>
    </w:p>
    <w:p w14:paraId="781B7691" w14:textId="77777777" w:rsidR="004B2808" w:rsidRDefault="00000000">
      <w:pPr>
        <w:jc w:val="both"/>
      </w:pPr>
      <w:r>
        <w:rPr>
          <w:b/>
        </w:rPr>
        <w:t>Isolation des faux-plafonds</w:t>
      </w:r>
    </w:p>
    <w:p w14:paraId="50A09C40" w14:textId="77777777" w:rsidR="004B2808" w:rsidRDefault="00000000">
      <w:pPr>
        <w:jc w:val="both"/>
      </w:pPr>
      <w:r>
        <w:t>Pour les applications de faux-plafonds suspendus, l’isolation est placée conformément à la [NIT 232]. Le parement pare vapeur éventuel est disposé du côté chaud de la paroi.</w:t>
      </w:r>
    </w:p>
    <w:p w14:paraId="3C971B97" w14:textId="77777777" w:rsidR="004B2808" w:rsidRDefault="00000000">
      <w:pPr>
        <w:jc w:val="both"/>
      </w:pPr>
      <w:r>
        <w:t>Pour les applications de faux plafonds à enduire, les isolants sont placés entre la structure portante des panneaux à enduire.  </w:t>
      </w:r>
    </w:p>
    <w:p w14:paraId="0C0A4F9E" w14:textId="77777777" w:rsidR="004B2808" w:rsidRDefault="00000000">
      <w:pPr>
        <w:pStyle w:val="pheading"/>
      </w:pPr>
      <w:r>
        <w:t>CONTRÔLES</w:t>
      </w:r>
    </w:p>
    <w:p w14:paraId="029D1920" w14:textId="77777777" w:rsidR="004B2808" w:rsidRDefault="00000000">
      <w:pPr>
        <w:jc w:val="both"/>
      </w:pPr>
      <w:r>
        <w:t>L'auteur de projet contrôle la mise en œuvre de l'isolation et vérifie la bonne exécution des détails de raccordement et des recouvrements. L'entrepreneur soumet le certificat de conformité attestant que les plaques d'isolation posées satisfont aux exigences.</w:t>
      </w:r>
    </w:p>
    <w:p w14:paraId="5FD980FE" w14:textId="77777777" w:rsidR="004B2808" w:rsidRDefault="00000000">
      <w:pPr>
        <w:pStyle w:val="pheading"/>
      </w:pPr>
      <w:r>
        <w:t>DOCUMENTS DE RÉFÉRENCE</w:t>
      </w:r>
    </w:p>
    <w:p w14:paraId="36367C19" w14:textId="77777777" w:rsidR="004B2808" w:rsidRDefault="00000000">
      <w:pPr>
        <w:pStyle w:val="pheading"/>
      </w:pPr>
      <w:r>
        <w:t>- Exécution</w:t>
      </w:r>
    </w:p>
    <w:p w14:paraId="6343A42C" w14:textId="77777777" w:rsidR="004B2808" w:rsidRDefault="00000000">
      <w:r>
        <w:t>[NIT 233, Les cloisons légères.]</w:t>
      </w:r>
    </w:p>
    <w:p w14:paraId="34FE04B3" w14:textId="77777777" w:rsidR="004B2808" w:rsidRDefault="00000000">
      <w:r>
        <w:t>[NIT 232, Les plafonds suspendus.]</w:t>
      </w:r>
    </w:p>
    <w:p w14:paraId="10072344" w14:textId="77777777" w:rsidR="004B2808" w:rsidRDefault="00000000">
      <w:pPr>
        <w:pStyle w:val="Author-eSectionHeading5Numberless"/>
      </w:pPr>
      <w:bookmarkStart w:id="427" w:name="_Toc220490602"/>
      <w:r>
        <w:t>52.42.1 Isolation en rouleaux/matelas - matières synthétiques CCTB 01.07</w:t>
      </w:r>
      <w:bookmarkEnd w:id="427"/>
    </w:p>
    <w:p w14:paraId="7CE0B22E" w14:textId="77777777" w:rsidR="004B2808" w:rsidRDefault="00000000">
      <w:pPr>
        <w:pStyle w:val="pheading"/>
      </w:pPr>
      <w:r>
        <w:t>DESCRIPTION</w:t>
      </w:r>
    </w:p>
    <w:p w14:paraId="53207DAE" w14:textId="77777777" w:rsidR="004B2808" w:rsidRDefault="00000000">
      <w:pPr>
        <w:pStyle w:val="pheading"/>
      </w:pPr>
      <w:r>
        <w:t>- Définition / Comprend</w:t>
      </w:r>
    </w:p>
    <w:p w14:paraId="20825680" w14:textId="77777777" w:rsidR="004B2808" w:rsidRDefault="00000000">
      <w:r>
        <w:t>Il s'agit de la réalisation d'une isolation en matière synthétique au moyen de rouleaux / matelas suivant prescriptions de l'élément 32.42.1 Isolation en rouleaux/matelas - matières synthétiques.</w:t>
      </w:r>
    </w:p>
    <w:p w14:paraId="433D419E" w14:textId="77777777" w:rsidR="004B2808" w:rsidRDefault="00000000">
      <w:pPr>
        <w:pStyle w:val="pheading"/>
      </w:pPr>
      <w:r>
        <w:t>DOCUMENTS DE RÉFÉRENCE</w:t>
      </w:r>
    </w:p>
    <w:p w14:paraId="200B316D" w14:textId="77777777" w:rsidR="004B2808" w:rsidRDefault="00000000">
      <w:pPr>
        <w:pStyle w:val="pheading"/>
      </w:pPr>
      <w:r>
        <w:t>- Matériau</w:t>
      </w:r>
    </w:p>
    <w:p w14:paraId="6873F312" w14:textId="77777777" w:rsidR="004B2808" w:rsidRDefault="00000000">
      <w:r>
        <w:t>32.42.1 Isolation en rouleaux/matelas - matières synthétiques</w:t>
      </w:r>
    </w:p>
    <w:p w14:paraId="4340D686" w14:textId="77777777" w:rsidR="004B2808" w:rsidRDefault="00000000">
      <w:pPr>
        <w:pStyle w:val="pheading"/>
      </w:pPr>
      <w:r>
        <w:t>- Exécution</w:t>
      </w:r>
    </w:p>
    <w:p w14:paraId="2972BC7B" w14:textId="77777777" w:rsidR="004B2808" w:rsidRDefault="00000000">
      <w:r>
        <w:t>32.42.1 Isolation en rouleaux/matelas - matières synthétiques</w:t>
      </w:r>
    </w:p>
    <w:p w14:paraId="31B58071" w14:textId="77777777" w:rsidR="004B2808" w:rsidRDefault="00000000">
      <w:pPr>
        <w:pStyle w:val="Author-eSectionHeading6Numberless"/>
      </w:pPr>
      <w:bookmarkStart w:id="428" w:name="_Toc220490603"/>
      <w:r>
        <w:t>52.42.1a Isolation en rouleaux/matelas - polyéthylène extrudé à structure cellulaire fermée CCTB 01.10</w:t>
      </w:r>
      <w:bookmarkEnd w:id="428"/>
    </w:p>
    <w:p w14:paraId="1B0D4D03" w14:textId="77777777" w:rsidR="004B2808" w:rsidRDefault="00000000">
      <w:pPr>
        <w:pStyle w:val="pheading"/>
      </w:pPr>
      <w:r>
        <w:t>DESCRIPTION</w:t>
      </w:r>
    </w:p>
    <w:p w14:paraId="68503D63" w14:textId="77777777" w:rsidR="004B2808" w:rsidRDefault="00000000">
      <w:pPr>
        <w:pStyle w:val="pheading"/>
      </w:pPr>
      <w:r>
        <w:t>- Localisation</w:t>
      </w:r>
    </w:p>
    <w:p w14:paraId="694FDBE0" w14:textId="77777777" w:rsidR="004B2808" w:rsidRDefault="00000000">
      <w:r>
        <w:t>isolation acoustique du sol</w:t>
      </w:r>
    </w:p>
    <w:p w14:paraId="37B30335" w14:textId="77777777" w:rsidR="004B2808" w:rsidRDefault="00000000">
      <w:pPr>
        <w:pStyle w:val="pheading"/>
      </w:pPr>
      <w:r>
        <w:t>MATÉRIAUX</w:t>
      </w:r>
    </w:p>
    <w:p w14:paraId="698ED222" w14:textId="77777777" w:rsidR="004B2808" w:rsidRDefault="00000000">
      <w:pPr>
        <w:pStyle w:val="pheading"/>
      </w:pPr>
      <w:r>
        <w:t>- Caractéristiques générales</w:t>
      </w:r>
    </w:p>
    <w:p w14:paraId="27203FF0" w14:textId="77777777" w:rsidR="004B2808" w:rsidRDefault="00000000">
      <w:r>
        <w:t>L'isolation se compose de matelas en mousse de polyéthylène extrudé à structure cellulaire fermée.</w:t>
      </w:r>
    </w:p>
    <w:p w14:paraId="1B41AF02" w14:textId="77777777" w:rsidR="004B2808" w:rsidRDefault="00000000">
      <w:pPr>
        <w:pStyle w:val="heading"/>
      </w:pPr>
      <w:r>
        <w:t>Spécifications PE extrudé</w:t>
      </w:r>
    </w:p>
    <w:p w14:paraId="41E3AAE1" w14:textId="77777777" w:rsidR="004B2808" w:rsidRDefault="00000000">
      <w:pPr>
        <w:pStyle w:val="Author-eListParagraph"/>
        <w:numPr>
          <w:ilvl w:val="0"/>
          <w:numId w:val="421"/>
        </w:numPr>
      </w:pPr>
      <w:r>
        <w:t xml:space="preserve">Rigidité dynamique : maximum </w:t>
      </w:r>
      <w:r>
        <w:rPr>
          <w:rStyle w:val="optioncarChar"/>
        </w:rPr>
        <w:t>30</w:t>
      </w:r>
      <w:r>
        <w:t> (par défaut)</w:t>
      </w:r>
      <w:r>
        <w:rPr>
          <w:rStyle w:val="optioncarChar"/>
        </w:rPr>
        <w:t> / *** </w:t>
      </w:r>
      <w:r>
        <w:t>MN/m³</w:t>
      </w:r>
    </w:p>
    <w:p w14:paraId="561F5AB2" w14:textId="77777777" w:rsidR="004B2808" w:rsidRDefault="00000000">
      <w:pPr>
        <w:pStyle w:val="Author-eListParagraph"/>
        <w:numPr>
          <w:ilvl w:val="0"/>
          <w:numId w:val="421"/>
        </w:numPr>
      </w:pPr>
      <w:r>
        <w:t xml:space="preserve">Masse volumique : environ </w:t>
      </w:r>
      <w:r>
        <w:rPr>
          <w:rStyle w:val="optioncarChar"/>
        </w:rPr>
        <w:t>35</w:t>
      </w:r>
      <w:r>
        <w:t> (par défaut)</w:t>
      </w:r>
      <w:r>
        <w:rPr>
          <w:rStyle w:val="optioncarChar"/>
        </w:rPr>
        <w:t> / *** </w:t>
      </w:r>
      <w:r>
        <w:t>kg/m³</w:t>
      </w:r>
    </w:p>
    <w:p w14:paraId="0BE73A28" w14:textId="77777777" w:rsidR="004B2808" w:rsidRDefault="00000000">
      <w:pPr>
        <w:pStyle w:val="Author-eListParagraph"/>
        <w:numPr>
          <w:ilvl w:val="0"/>
          <w:numId w:val="421"/>
        </w:numPr>
      </w:pPr>
      <w:r>
        <w:t xml:space="preserve">Epaisseur nominale : minimum </w:t>
      </w:r>
      <w:r>
        <w:rPr>
          <w:rStyle w:val="optioncarChar"/>
        </w:rPr>
        <w:t>5</w:t>
      </w:r>
      <w:r>
        <w:t> (par défaut) </w:t>
      </w:r>
      <w:r>
        <w:rPr>
          <w:rStyle w:val="optioncarChar"/>
        </w:rPr>
        <w:t>/ ***</w:t>
      </w:r>
      <w:r>
        <w:t xml:space="preserve"> mm.</w:t>
      </w:r>
    </w:p>
    <w:p w14:paraId="40AEBBB1" w14:textId="77777777" w:rsidR="004B2808" w:rsidRDefault="00000000">
      <w:pPr>
        <w:pStyle w:val="pheading"/>
      </w:pPr>
      <w:r>
        <w:t>- Prescriptions complémentaires</w:t>
      </w:r>
    </w:p>
    <w:p w14:paraId="0A6340C2" w14:textId="77777777" w:rsidR="004B2808" w:rsidRDefault="00000000">
      <w:r>
        <w:lastRenderedPageBreak/>
        <w:t>Les plaques d'isolation disposent de critères d'acceptabilité du produit (tels que définis dans l'article 02.42.1 Critères d'acceptabilité)</w:t>
      </w:r>
      <w:r>
        <w:br/>
        <w:t xml:space="preserve">Les matériaux sont peu combustibles (classes </w:t>
      </w:r>
      <w:r>
        <w:rPr>
          <w:rStyle w:val="optioncarChar"/>
        </w:rPr>
        <w:t>A1 </w:t>
      </w:r>
      <w:r>
        <w:t>(par défaut)</w:t>
      </w:r>
      <w:r>
        <w:rPr>
          <w:rStyle w:val="optioncarChar"/>
        </w:rPr>
        <w:t xml:space="preserve"> / A2 / ***</w:t>
      </w:r>
      <w:r>
        <w:t xml:space="preserve"> selon la [NBN EN 13501-1])</w:t>
      </w:r>
    </w:p>
    <w:p w14:paraId="1CB80295" w14:textId="77777777" w:rsidR="004B2808" w:rsidRDefault="00000000">
      <w:pPr>
        <w:pStyle w:val="pheading"/>
      </w:pPr>
      <w:r>
        <w:t>EXÉCUTION / MISE EN ŒUVRE</w:t>
      </w:r>
    </w:p>
    <w:p w14:paraId="5A47D921" w14:textId="77777777" w:rsidR="004B2808" w:rsidRDefault="00000000">
      <w:pPr>
        <w:pStyle w:val="pheading"/>
      </w:pPr>
      <w:r>
        <w:t>- Prescriptions générales</w:t>
      </w:r>
    </w:p>
    <w:p w14:paraId="1161C060" w14:textId="77777777" w:rsidR="004B2808" w:rsidRDefault="00000000">
      <w:r>
        <w:t xml:space="preserve">L'isolation acoustique des sols est exécutée selon les directives du fabricant; les plaques sont posées en indépendance sur l'aire de pose en évitant les ponts acoustiques. La couche est relevée sur une hauteur d'au moins 3 cm au-dessus de la couche de finition et ensuite découpée à ras du revêtement. </w:t>
      </w:r>
      <w:r>
        <w:br/>
        <w:t>Les joints entre les matelas extrudés sont collés. </w:t>
      </w:r>
    </w:p>
    <w:p w14:paraId="6E1DE03D" w14:textId="77777777" w:rsidR="004B2808" w:rsidRDefault="00000000">
      <w:pPr>
        <w:pStyle w:val="pheading"/>
      </w:pPr>
      <w:r>
        <w:t>- Notes d’exécution complémentaires</w:t>
      </w:r>
    </w:p>
    <w:p w14:paraId="0B307B4D" w14:textId="77777777" w:rsidR="004B2808" w:rsidRDefault="00000000">
      <w:r>
        <w:t>Les matelas d'isolation sont posés conformément aux critères d'acceptabilité du produit.</w:t>
      </w:r>
    </w:p>
    <w:p w14:paraId="5DF6E541" w14:textId="77777777" w:rsidR="004B2808" w:rsidRDefault="00000000">
      <w:pPr>
        <w:pStyle w:val="pheading"/>
      </w:pPr>
      <w:r>
        <w:t>MESURAGE</w:t>
      </w:r>
    </w:p>
    <w:p w14:paraId="63C5D5DD" w14:textId="77777777" w:rsidR="004B2808" w:rsidRDefault="00000000">
      <w:pPr>
        <w:pStyle w:val="pheading"/>
      </w:pPr>
      <w:r>
        <w:t>- unité de mesure:</w:t>
      </w:r>
    </w:p>
    <w:p w14:paraId="37AA64AA" w14:textId="77777777" w:rsidR="004B2808" w:rsidRDefault="00000000">
      <w:r>
        <w:t>m²</w:t>
      </w:r>
    </w:p>
    <w:p w14:paraId="1EE49E62" w14:textId="77777777" w:rsidR="004B2808" w:rsidRDefault="00000000">
      <w:pPr>
        <w:pStyle w:val="pheading"/>
      </w:pPr>
      <w:r>
        <w:t>- code de mesurage:</w:t>
      </w:r>
    </w:p>
    <w:p w14:paraId="439CDA29" w14:textId="77777777" w:rsidR="004B2808" w:rsidRDefault="00000000">
      <w:r>
        <w:t>Distinction faite suivant l'épaisseur.</w:t>
      </w:r>
    </w:p>
    <w:p w14:paraId="736A3873" w14:textId="77777777" w:rsidR="004B2808" w:rsidRDefault="00000000">
      <w:pPr>
        <w:pStyle w:val="Author-eListParagraph"/>
        <w:numPr>
          <w:ilvl w:val="0"/>
          <w:numId w:val="422"/>
        </w:numPr>
      </w:pPr>
      <w:r>
        <w:t>Isolation des parois verticales : Surface nette. Les ouvertures supérieures à 0,50 m² sont déduites</w:t>
      </w:r>
    </w:p>
    <w:p w14:paraId="4D0480A6" w14:textId="77777777" w:rsidR="004B2808" w:rsidRDefault="00000000">
      <w:pPr>
        <w:pStyle w:val="Author-eListParagraph"/>
        <w:numPr>
          <w:ilvl w:val="0"/>
          <w:numId w:val="422"/>
        </w:numPr>
      </w:pPr>
      <w:r>
        <w:t>Isolation des parois horizontales : Surface nette du sol, mesurée entre le nu des murs. Les ouvertures supérieures à 0,5 m² sont déduites. L'isolation périphérique ne doit pas être portée en compte séparément</w:t>
      </w:r>
    </w:p>
    <w:p w14:paraId="40C8374C" w14:textId="77777777" w:rsidR="004B2808" w:rsidRDefault="00000000">
      <w:pPr>
        <w:pStyle w:val="pheading"/>
      </w:pPr>
      <w:r>
        <w:t>- nature du marché:</w:t>
      </w:r>
    </w:p>
    <w:p w14:paraId="5BFE3407" w14:textId="77777777" w:rsidR="004B2808" w:rsidRDefault="00000000">
      <w:r>
        <w:t>QF</w:t>
      </w:r>
    </w:p>
    <w:p w14:paraId="421ECD14" w14:textId="77777777" w:rsidR="004B2808" w:rsidRDefault="00000000">
      <w:pPr>
        <w:pStyle w:val="Author-eSectionHeading6Numberless"/>
      </w:pPr>
      <w:bookmarkStart w:id="429" w:name="_Toc220490604"/>
      <w:r>
        <w:t>52.42.1b Isolation en rouleaux/matelas - polyéthylène expansé à structure cellulaire fermée CCTB 01.10</w:t>
      </w:r>
      <w:bookmarkEnd w:id="429"/>
    </w:p>
    <w:p w14:paraId="32AE5E9E" w14:textId="77777777" w:rsidR="004B2808" w:rsidRDefault="00000000">
      <w:pPr>
        <w:pStyle w:val="pheading"/>
      </w:pPr>
      <w:r>
        <w:t>DESCRIPTION</w:t>
      </w:r>
    </w:p>
    <w:p w14:paraId="6670B1E2" w14:textId="77777777" w:rsidR="004B2808" w:rsidRDefault="00000000">
      <w:pPr>
        <w:pStyle w:val="pheading"/>
      </w:pPr>
      <w:r>
        <w:t>- Localisation</w:t>
      </w:r>
    </w:p>
    <w:p w14:paraId="0C6506D1" w14:textId="77777777" w:rsidR="004B2808" w:rsidRDefault="00000000">
      <w:r>
        <w:t>isolation acoustique du sol</w:t>
      </w:r>
    </w:p>
    <w:p w14:paraId="1AC33FFE" w14:textId="77777777" w:rsidR="004B2808" w:rsidRDefault="00000000">
      <w:pPr>
        <w:pStyle w:val="pheading"/>
      </w:pPr>
      <w:r>
        <w:t>MATÉRIAUX</w:t>
      </w:r>
    </w:p>
    <w:p w14:paraId="4F7AB25D" w14:textId="77777777" w:rsidR="004B2808" w:rsidRDefault="00000000">
      <w:pPr>
        <w:pStyle w:val="pheading"/>
      </w:pPr>
      <w:r>
        <w:t>- Caractéristiques générales</w:t>
      </w:r>
    </w:p>
    <w:p w14:paraId="31197161" w14:textId="77777777" w:rsidR="004B2808" w:rsidRDefault="00000000">
      <w:r>
        <w:t>L'isolation se compose de mousse de polyéthylène expansée à structure cellulaire fermée sans ajout de produits chimiques.</w:t>
      </w:r>
    </w:p>
    <w:p w14:paraId="381F56AD" w14:textId="77777777" w:rsidR="004B2808" w:rsidRDefault="00000000">
      <w:pPr>
        <w:pStyle w:val="heading"/>
      </w:pPr>
      <w:r>
        <w:t>Spécifications PE expansé</w:t>
      </w:r>
    </w:p>
    <w:p w14:paraId="254D0CC8" w14:textId="77777777" w:rsidR="004B2808" w:rsidRDefault="00000000">
      <w:pPr>
        <w:pStyle w:val="Author-eListParagraph"/>
        <w:numPr>
          <w:ilvl w:val="0"/>
          <w:numId w:val="423"/>
        </w:numPr>
      </w:pPr>
      <w:r>
        <w:t>Masse volumique : environ</w:t>
      </w:r>
      <w:r>
        <w:rPr>
          <w:rStyle w:val="optioncarChar"/>
        </w:rPr>
        <w:t> 35</w:t>
      </w:r>
      <w:r>
        <w:t> (par défaut)</w:t>
      </w:r>
      <w:r>
        <w:rPr>
          <w:rStyle w:val="optioncarChar"/>
        </w:rPr>
        <w:t xml:space="preserve"> / ***</w:t>
      </w:r>
      <w:r>
        <w:t> kg/m³</w:t>
      </w:r>
    </w:p>
    <w:p w14:paraId="17F017A5" w14:textId="77777777" w:rsidR="004B2808" w:rsidRDefault="00000000">
      <w:pPr>
        <w:pStyle w:val="Author-eListParagraph"/>
        <w:numPr>
          <w:ilvl w:val="0"/>
          <w:numId w:val="423"/>
        </w:numPr>
      </w:pPr>
      <w:r>
        <w:t xml:space="preserve">Epaisseur nominale : minimum </w:t>
      </w:r>
      <w:r>
        <w:rPr>
          <w:rStyle w:val="optioncarChar"/>
        </w:rPr>
        <w:t>5</w:t>
      </w:r>
      <w:r>
        <w:t xml:space="preserve"> (par défaut)</w:t>
      </w:r>
      <w:r>
        <w:rPr>
          <w:rStyle w:val="optioncarChar"/>
        </w:rPr>
        <w:t xml:space="preserve"> / 7 / *** </w:t>
      </w:r>
      <w:r>
        <w:t>mm (matelas de 2 mm pour les parquets).</w:t>
      </w:r>
    </w:p>
    <w:p w14:paraId="70C7D740" w14:textId="77777777" w:rsidR="004B2808" w:rsidRDefault="00000000">
      <w:pPr>
        <w:pStyle w:val="Author-eListParagraph"/>
        <w:numPr>
          <w:ilvl w:val="0"/>
          <w:numId w:val="423"/>
        </w:numPr>
      </w:pPr>
      <w:r>
        <w:t>Masse volumique : 25 à 45 kg/m³</w:t>
      </w:r>
    </w:p>
    <w:p w14:paraId="3D99A8F0" w14:textId="77777777" w:rsidR="004B2808" w:rsidRDefault="00000000">
      <w:pPr>
        <w:pStyle w:val="Author-eListParagraph"/>
        <w:numPr>
          <w:ilvl w:val="0"/>
          <w:numId w:val="423"/>
        </w:numPr>
      </w:pPr>
      <w:r>
        <w:t>Rigidité dynamique S : 7 à 95 MN/m³</w:t>
      </w:r>
    </w:p>
    <w:p w14:paraId="4AF2CE3D" w14:textId="77777777" w:rsidR="004B2808" w:rsidRDefault="00000000">
      <w:pPr>
        <w:pStyle w:val="Author-eListParagraph"/>
        <w:numPr>
          <w:ilvl w:val="0"/>
          <w:numId w:val="423"/>
        </w:numPr>
      </w:pPr>
      <w:r>
        <w:t>Module d'élasticité dynamique E : 0,12 à 1,40 MN/m² (E/d=S (d=épaisseur en mètres).</w:t>
      </w:r>
    </w:p>
    <w:p w14:paraId="5FDEC5D6" w14:textId="77777777" w:rsidR="004B2808" w:rsidRDefault="00000000">
      <w:pPr>
        <w:pStyle w:val="Author-eListParagraph"/>
        <w:numPr>
          <w:ilvl w:val="0"/>
          <w:numId w:val="423"/>
        </w:numPr>
      </w:pPr>
      <w:r>
        <w:t>Catégorie : Ib-IIa (selon la [NBN S 01-400])</w:t>
      </w:r>
    </w:p>
    <w:p w14:paraId="00588E1E" w14:textId="77777777" w:rsidR="004B2808" w:rsidRDefault="00000000">
      <w:pPr>
        <w:pStyle w:val="Author-eListParagraph"/>
        <w:numPr>
          <w:ilvl w:val="0"/>
          <w:numId w:val="423"/>
        </w:numPr>
      </w:pPr>
      <w:r>
        <w:t>Amélioration acoustique 5 à 14 dB</w:t>
      </w:r>
    </w:p>
    <w:p w14:paraId="6050D389" w14:textId="77777777" w:rsidR="004B2808" w:rsidRDefault="00000000">
      <w:pPr>
        <w:pStyle w:val="pheading"/>
      </w:pPr>
      <w:r>
        <w:t>- Prescriptions complémentaires</w:t>
      </w:r>
    </w:p>
    <w:p w14:paraId="17D02948" w14:textId="77777777" w:rsidR="004B2808" w:rsidRDefault="00000000">
      <w:r>
        <w:lastRenderedPageBreak/>
        <w:t>Les plaques d'isolation disposent de critères d'acceptabilité du matériau tels que définis dans l'article 02.42.1 Critères d'acceptabilité</w:t>
      </w:r>
      <w:r>
        <w:br/>
        <w:t xml:space="preserve">Les matériaux sont peu combustibles (classes </w:t>
      </w:r>
      <w:r>
        <w:rPr>
          <w:rStyle w:val="optioncarChar"/>
        </w:rPr>
        <w:t>A1</w:t>
      </w:r>
      <w:r>
        <w:t> (par défaut</w:t>
      </w:r>
      <w:r>
        <w:rPr>
          <w:rStyle w:val="optioncarChar"/>
        </w:rPr>
        <w:t>) / A2 / *** </w:t>
      </w:r>
      <w:r>
        <w:t>selon la [NBN EN 13501-1])</w:t>
      </w:r>
    </w:p>
    <w:p w14:paraId="27CC7058" w14:textId="77777777" w:rsidR="004B2808" w:rsidRDefault="00000000">
      <w:pPr>
        <w:pStyle w:val="pheading"/>
      </w:pPr>
      <w:r>
        <w:t>EXÉCUTION / MISE EN ŒUVRE</w:t>
      </w:r>
    </w:p>
    <w:p w14:paraId="68FEBADB" w14:textId="77777777" w:rsidR="004B2808" w:rsidRDefault="00000000">
      <w:pPr>
        <w:pStyle w:val="pheading"/>
      </w:pPr>
      <w:r>
        <w:t>- Prescriptions générales</w:t>
      </w:r>
    </w:p>
    <w:p w14:paraId="0F534A10" w14:textId="77777777" w:rsidR="004B2808" w:rsidRDefault="00000000">
      <w:r>
        <w:t xml:space="preserve">L'isolation acoustique des sols est exécutée selon les directives du fabricant; les plaques sont posées en indépendance sur l'aire de pose en évitant les ponts acoustiques. La couche est relevée sur une hauteur d'au moins 3 cm au-dessus de la couche de finition et ensuite découpée à ras du revêtement. </w:t>
      </w:r>
      <w:r>
        <w:br/>
        <w:t>Les lés expansés sont posés avec un recouvrement de 10 cm .</w:t>
      </w:r>
    </w:p>
    <w:p w14:paraId="094D0DE0" w14:textId="77777777" w:rsidR="004B2808" w:rsidRDefault="00000000">
      <w:pPr>
        <w:pStyle w:val="pheading"/>
      </w:pPr>
      <w:r>
        <w:t>- Notes d’exécution complémentaires</w:t>
      </w:r>
    </w:p>
    <w:p w14:paraId="6C19F77B" w14:textId="77777777" w:rsidR="004B2808" w:rsidRDefault="00000000">
      <w:r>
        <w:t>Les matelas d'isolation sont posés conformément aux critères d'acceptabilité du matériau définis dans l'article 02.42.1 Critères d'acceptabilité</w:t>
      </w:r>
    </w:p>
    <w:p w14:paraId="3B3810DC" w14:textId="77777777" w:rsidR="004B2808" w:rsidRDefault="00000000">
      <w:pPr>
        <w:pStyle w:val="pheading"/>
      </w:pPr>
      <w:r>
        <w:t>MESURAGE</w:t>
      </w:r>
    </w:p>
    <w:p w14:paraId="70EBA667" w14:textId="77777777" w:rsidR="004B2808" w:rsidRDefault="00000000">
      <w:pPr>
        <w:pStyle w:val="pheading"/>
      </w:pPr>
      <w:r>
        <w:t>- unité de mesure:</w:t>
      </w:r>
    </w:p>
    <w:p w14:paraId="1B5BBF7F" w14:textId="77777777" w:rsidR="004B2808" w:rsidRDefault="00000000">
      <w:r>
        <w:t>m²</w:t>
      </w:r>
    </w:p>
    <w:p w14:paraId="29CE2B34" w14:textId="77777777" w:rsidR="004B2808" w:rsidRDefault="00000000">
      <w:pPr>
        <w:pStyle w:val="pheading"/>
      </w:pPr>
      <w:r>
        <w:t>- code de mesurage:</w:t>
      </w:r>
    </w:p>
    <w:p w14:paraId="655C28FA" w14:textId="77777777" w:rsidR="004B2808" w:rsidRDefault="00000000">
      <w:r>
        <w:t>Distinction faite suivant l'épaisseur.</w:t>
      </w:r>
    </w:p>
    <w:p w14:paraId="1B9CFCC7" w14:textId="77777777" w:rsidR="004B2808" w:rsidRDefault="00000000">
      <w:pPr>
        <w:pStyle w:val="Author-eListParagraph"/>
        <w:numPr>
          <w:ilvl w:val="0"/>
          <w:numId w:val="424"/>
        </w:numPr>
      </w:pPr>
      <w:r>
        <w:t>Isolation des parois verticales : Surface nette. Les ouvertures supérieures à 0,50 m² sont déduites</w:t>
      </w:r>
    </w:p>
    <w:p w14:paraId="709A1EBB" w14:textId="77777777" w:rsidR="004B2808" w:rsidRDefault="00000000">
      <w:pPr>
        <w:pStyle w:val="Author-eListParagraph"/>
        <w:numPr>
          <w:ilvl w:val="0"/>
          <w:numId w:val="424"/>
        </w:numPr>
      </w:pPr>
      <w:r>
        <w:t>Isolation des parois horizontales : Surface nette du sol, mesurée entre le nu des murs. Les ouvertures supérieures à 0,5 m² sont déduites. L'isolation périphérique ne doit pas être portée en compte séparément</w:t>
      </w:r>
    </w:p>
    <w:p w14:paraId="6399CDDD" w14:textId="77777777" w:rsidR="004B2808" w:rsidRDefault="00000000">
      <w:pPr>
        <w:pStyle w:val="pheading"/>
      </w:pPr>
      <w:r>
        <w:t>- nature du marché:</w:t>
      </w:r>
    </w:p>
    <w:p w14:paraId="1E7B80B6" w14:textId="77777777" w:rsidR="004B2808" w:rsidRDefault="00000000">
      <w:r>
        <w:t>QF</w:t>
      </w:r>
    </w:p>
    <w:p w14:paraId="03058F67" w14:textId="77777777" w:rsidR="004B2808" w:rsidRDefault="00000000">
      <w:pPr>
        <w:pStyle w:val="Author-eSectionHeading6Numberless"/>
      </w:pPr>
      <w:bookmarkStart w:id="430" w:name="_Toc220490605"/>
      <w:r>
        <w:t>52.42.1c Isolation en rouleaux/matelas - polyuréthane (PUR) CCTB 01.02</w:t>
      </w:r>
      <w:bookmarkEnd w:id="430"/>
    </w:p>
    <w:p w14:paraId="075B0843" w14:textId="77777777" w:rsidR="004B2808" w:rsidRDefault="00000000">
      <w:pPr>
        <w:pStyle w:val="Author-eSectionHeading6Numberless"/>
      </w:pPr>
      <w:bookmarkStart w:id="431" w:name="_Toc220490606"/>
      <w:r>
        <w:t>52.42.1d Isolation en rouleaux/matelas - isolant multicouches à cellules fermées CCTB 01.12</w:t>
      </w:r>
      <w:bookmarkEnd w:id="431"/>
    </w:p>
    <w:p w14:paraId="4A589B67" w14:textId="77777777" w:rsidR="004B2808" w:rsidRDefault="00000000">
      <w:pPr>
        <w:pStyle w:val="pheading"/>
      </w:pPr>
      <w:r>
        <w:t>DESCRIPTION</w:t>
      </w:r>
    </w:p>
    <w:p w14:paraId="444E9D91" w14:textId="77777777" w:rsidR="004B2808" w:rsidRDefault="00000000">
      <w:pPr>
        <w:pStyle w:val="pheading"/>
      </w:pPr>
      <w:r>
        <w:t>- Définition / Comprend</w:t>
      </w:r>
    </w:p>
    <w:p w14:paraId="16FFA875" w14:textId="77777777" w:rsidR="004B2808" w:rsidRDefault="00000000">
      <w:r>
        <w:t>Il s'agit de produits minces réfléchissants (PMR) utilisés comme écran isolant et réfléchissant du rayonnement thermique à l'arrière de corps de chauffe (radiateurs par exemple).</w:t>
      </w:r>
    </w:p>
    <w:p w14:paraId="68EE4FBE" w14:textId="77777777" w:rsidR="004B2808" w:rsidRDefault="00000000">
      <w:r>
        <w:t>Le travail comprend notamment :</w:t>
      </w:r>
    </w:p>
    <w:p w14:paraId="1976118E" w14:textId="77777777" w:rsidR="004B2808" w:rsidRDefault="00000000">
      <w:pPr>
        <w:pStyle w:val="Author-eListParagraph"/>
        <w:numPr>
          <w:ilvl w:val="0"/>
          <w:numId w:val="425"/>
        </w:numPr>
      </w:pPr>
      <w:r>
        <w:t>s'ils sont prescrits, le démontage et le remontage du corps de chauffe ;</w:t>
      </w:r>
    </w:p>
    <w:p w14:paraId="618C2CC8" w14:textId="77777777" w:rsidR="004B2808" w:rsidRDefault="00000000">
      <w:pPr>
        <w:pStyle w:val="Author-eListParagraph"/>
        <w:numPr>
          <w:ilvl w:val="0"/>
          <w:numId w:val="425"/>
        </w:numPr>
      </w:pPr>
      <w:r>
        <w:t>la fixation du PMR ;</w:t>
      </w:r>
    </w:p>
    <w:p w14:paraId="599ED756" w14:textId="77777777" w:rsidR="004B2808" w:rsidRDefault="00000000">
      <w:pPr>
        <w:pStyle w:val="Author-eListParagraph"/>
        <w:numPr>
          <w:ilvl w:val="0"/>
          <w:numId w:val="425"/>
        </w:numPr>
      </w:pPr>
      <w:r>
        <w:t>la finition périphérique du PMR.</w:t>
      </w:r>
    </w:p>
    <w:p w14:paraId="3DB7E08C" w14:textId="77777777" w:rsidR="004B2808" w:rsidRDefault="00000000">
      <w:pPr>
        <w:pStyle w:val="pheading"/>
      </w:pPr>
      <w:r>
        <w:t>MATÉRIAUX</w:t>
      </w:r>
    </w:p>
    <w:p w14:paraId="522E40B0" w14:textId="77777777" w:rsidR="004B2808" w:rsidRDefault="00000000">
      <w:pPr>
        <w:pStyle w:val="pheading"/>
      </w:pPr>
      <w:r>
        <w:t>- Caractéristiques générales</w:t>
      </w:r>
    </w:p>
    <w:p w14:paraId="53747402" w14:textId="77777777" w:rsidR="004B2808" w:rsidRDefault="00000000">
      <w:r>
        <w:t>Matériau multicouches se présentant sous la forme de rouleaux / matelas.</w:t>
      </w:r>
    </w:p>
    <w:p w14:paraId="359342ED" w14:textId="77777777" w:rsidR="004B2808" w:rsidRDefault="00000000">
      <w:r>
        <w:t xml:space="preserve">Epaisseur totale : </w:t>
      </w:r>
      <w:r>
        <w:rPr>
          <w:rStyle w:val="optioncarChar"/>
        </w:rPr>
        <w:t>5 </w:t>
      </w:r>
      <w:r>
        <w:t>(par défaut)</w:t>
      </w:r>
      <w:r>
        <w:rPr>
          <w:rStyle w:val="optioncarChar"/>
        </w:rPr>
        <w:t xml:space="preserve"> / 6  / 7 / 8 / 10 / 15 / 20 / 25 / 30 / 35 / 40 / 45 / 50 / *** </w:t>
      </w:r>
      <w:r>
        <w:t xml:space="preserve">mm +/- </w:t>
      </w:r>
      <w:r>
        <w:rPr>
          <w:rStyle w:val="optioncarChar"/>
        </w:rPr>
        <w:t>10 / 20</w:t>
      </w:r>
      <w:r>
        <w:t xml:space="preserve"> %</w:t>
      </w:r>
    </w:p>
    <w:p w14:paraId="6D7B3B89" w14:textId="77777777" w:rsidR="004B2808" w:rsidRDefault="00000000">
      <w:r>
        <w:lastRenderedPageBreak/>
        <w:t xml:space="preserve">Faces externes recouvertes d'un film réflecteur : </w:t>
      </w:r>
      <w:r>
        <w:rPr>
          <w:rStyle w:val="optioncarChar"/>
        </w:rPr>
        <w:t>0 </w:t>
      </w:r>
      <w:r>
        <w:t>(par défaut)</w:t>
      </w:r>
      <w:r>
        <w:rPr>
          <w:rStyle w:val="optioncarChar"/>
        </w:rPr>
        <w:t xml:space="preserve"> / 1 / 2 / 3 / 4 / ***</w:t>
      </w:r>
      <w:r>
        <w:t>.</w:t>
      </w:r>
      <w:r>
        <w:br/>
        <w:t xml:space="preserve">Nombre de couches intermédiaires constituées d'un film réflecteur : </w:t>
      </w:r>
      <w:r>
        <w:rPr>
          <w:rStyle w:val="optioncarChar"/>
        </w:rPr>
        <w:t>0 </w:t>
      </w:r>
      <w:r>
        <w:t>(par défaut)</w:t>
      </w:r>
      <w:r>
        <w:rPr>
          <w:rStyle w:val="optioncarChar"/>
        </w:rPr>
        <w:t xml:space="preserve"> / 1 / 2 / *** </w:t>
      </w:r>
      <w:r>
        <w:t>.</w:t>
      </w:r>
      <w:r>
        <w:br/>
        <w:t>Emissivité des films réflecteurs :</w:t>
      </w:r>
      <w:r>
        <w:rPr>
          <w:rStyle w:val="optioncarChar"/>
        </w:rPr>
        <w:t xml:space="preserve"> *** </w:t>
      </w:r>
      <w:r>
        <w:t>maximum.</w:t>
      </w:r>
    </w:p>
    <w:p w14:paraId="2BA7F4E0" w14:textId="77777777" w:rsidR="004B2808" w:rsidRDefault="00000000">
      <w:r>
        <w:t>Compositions des autres couches constituant le matériau :</w:t>
      </w:r>
      <w:r>
        <w:rPr>
          <w:rStyle w:val="optioncarChar"/>
        </w:rPr>
        <w:t xml:space="preserve"> mousse synthétique </w:t>
      </w:r>
      <w:r>
        <w:t>(par défaut)</w:t>
      </w:r>
      <w:r>
        <w:rPr>
          <w:rStyle w:val="optioncarChar"/>
        </w:rPr>
        <w:t xml:space="preserve"> / feutre d'origine animale / feutre d'origine végétale / feutre synthétique / feutre minéral / bulles d'air enfermées dans un film polyéthylène.</w:t>
      </w:r>
    </w:p>
    <w:p w14:paraId="656A03D3" w14:textId="77777777" w:rsidR="004B2808" w:rsidRDefault="00000000">
      <w:r>
        <w:t xml:space="preserve">Réaction au feu : Euroclasse </w:t>
      </w:r>
      <w:r>
        <w:rPr>
          <w:rStyle w:val="optioncarChar"/>
        </w:rPr>
        <w:t>A1</w:t>
      </w:r>
      <w:r>
        <w:t xml:space="preserve"> (par défaut)</w:t>
      </w:r>
      <w:r>
        <w:rPr>
          <w:rStyle w:val="optioncarChar"/>
        </w:rPr>
        <w:t> / F / ***</w:t>
      </w:r>
      <w:r>
        <w:t>.</w:t>
      </w:r>
    </w:p>
    <w:p w14:paraId="2F219650" w14:textId="77777777" w:rsidR="004B2808" w:rsidRDefault="00000000">
      <w:pPr>
        <w:pStyle w:val="pheading"/>
      </w:pPr>
      <w:r>
        <w:t>EXÉCUTION / MISE EN ŒUVRE</w:t>
      </w:r>
    </w:p>
    <w:p w14:paraId="36903AAD" w14:textId="77777777" w:rsidR="004B2808" w:rsidRDefault="00000000">
      <w:pPr>
        <w:pStyle w:val="pheading"/>
      </w:pPr>
      <w:r>
        <w:t>- Prescriptions générales</w:t>
      </w:r>
    </w:p>
    <w:p w14:paraId="5627E0DA" w14:textId="77777777" w:rsidR="004B2808" w:rsidRDefault="00000000">
      <w:r>
        <w:t>Le matériau est découpé à dimensions (5 cm plus court que les dimensions du corps de chauffe derrière lequel il est placé).</w:t>
      </w:r>
    </w:p>
    <w:p w14:paraId="52E9FB83" w14:textId="77777777" w:rsidR="004B2808" w:rsidRDefault="00000000">
      <w:r>
        <w:t>La tranche du matériau est étanchéifiée au moyen d'un adhésif ayant la même finition que la face avant du PMR.</w:t>
      </w:r>
    </w:p>
    <w:p w14:paraId="7562B524" w14:textId="77777777" w:rsidR="004B2808" w:rsidRDefault="00000000">
      <w:r>
        <w:t xml:space="preserve">Le matériau est fixé au support par </w:t>
      </w:r>
      <w:r>
        <w:rPr>
          <w:rStyle w:val="optioncarChar"/>
        </w:rPr>
        <w:t>collage / fixation mécanique</w:t>
      </w:r>
      <w:r>
        <w:t>.</w:t>
      </w:r>
    </w:p>
    <w:p w14:paraId="66CC1D23" w14:textId="77777777" w:rsidR="004B2808" w:rsidRDefault="00000000">
      <w:pPr>
        <w:pStyle w:val="pheading"/>
      </w:pPr>
      <w:r>
        <w:t>- Notes d’exécution complémentaires</w:t>
      </w:r>
    </w:p>
    <w:p w14:paraId="3F86B9AE" w14:textId="77777777" w:rsidR="004B2808" w:rsidRDefault="00000000">
      <w:r>
        <w:rPr>
          <w:rStyle w:val="facultChar"/>
        </w:rPr>
        <w:t>Travaux préalable de démontage des corps de chauffe, remontage en finale et remise en service de l'installation à comprendre dans le présent travail.</w:t>
      </w:r>
    </w:p>
    <w:p w14:paraId="2E8E2C9E" w14:textId="77777777" w:rsidR="004B2808" w:rsidRDefault="00000000">
      <w:r>
        <w:rPr>
          <w:rStyle w:val="facultChar"/>
        </w:rPr>
        <w:t>En cas de fixation mécanique, la finition visible de la tête de fixation :</w:t>
      </w:r>
      <w:r>
        <w:rPr>
          <w:rStyle w:val="optioncarChar"/>
        </w:rPr>
        <w:t xml:space="preserve"> ***</w:t>
      </w:r>
      <w:r>
        <w:rPr>
          <w:rStyle w:val="facultChar"/>
        </w:rPr>
        <w:t>.</w:t>
      </w:r>
    </w:p>
    <w:p w14:paraId="1F526C29" w14:textId="77777777" w:rsidR="004B2808" w:rsidRDefault="00000000">
      <w:pPr>
        <w:pStyle w:val="pheading"/>
      </w:pPr>
      <w:r>
        <w:t>MESURAGE</w:t>
      </w:r>
    </w:p>
    <w:p w14:paraId="380C34AA" w14:textId="77777777" w:rsidR="004B2808" w:rsidRDefault="00000000">
      <w:pPr>
        <w:pStyle w:val="pheading"/>
      </w:pPr>
      <w:r>
        <w:t>- unité de mesure:</w:t>
      </w:r>
    </w:p>
    <w:p w14:paraId="474D3A72" w14:textId="77777777" w:rsidR="004B2808" w:rsidRDefault="00000000">
      <w:r>
        <w:rPr>
          <w:rStyle w:val="optioncarChar"/>
        </w:rPr>
        <w:t>- / m²</w:t>
      </w:r>
    </w:p>
    <w:p w14:paraId="78C7F556" w14:textId="77777777" w:rsidR="004B2808" w:rsidRDefault="00000000">
      <w:r>
        <w:rPr>
          <w:b/>
        </w:rPr>
        <w:t xml:space="preserve">(soit par défaut) </w:t>
      </w:r>
      <w:r>
        <w:br/>
      </w:r>
      <w:r>
        <w:rPr>
          <w:rStyle w:val="soitChar"/>
        </w:rPr>
        <w:t>1. -</w:t>
      </w:r>
    </w:p>
    <w:p w14:paraId="2A1BE0D9" w14:textId="77777777" w:rsidR="004B2808" w:rsidRDefault="00000000">
      <w:r>
        <w:rPr>
          <w:b/>
        </w:rPr>
        <w:t xml:space="preserve">(soit) </w:t>
      </w:r>
      <w:r>
        <w:br/>
      </w:r>
      <w:r>
        <w:rPr>
          <w:rStyle w:val="soitChar"/>
        </w:rPr>
        <w:t>2. m²</w:t>
      </w:r>
    </w:p>
    <w:p w14:paraId="0A8DC15F" w14:textId="77777777" w:rsidR="004B2808" w:rsidRDefault="00000000">
      <w:pPr>
        <w:pStyle w:val="pheading"/>
      </w:pPr>
      <w:r>
        <w:t>- code de mesurage:</w:t>
      </w:r>
    </w:p>
    <w:p w14:paraId="7B40197F" w14:textId="77777777" w:rsidR="004B2808" w:rsidRDefault="00000000">
      <w:r>
        <w:rPr>
          <w:b/>
        </w:rPr>
        <w:t>Choix Opéré:</w:t>
      </w:r>
      <w:r>
        <w:t>  </w:t>
      </w:r>
      <w:r>
        <w:rPr>
          <w:rStyle w:val="optioncarChar"/>
        </w:rPr>
        <w:t>OPTION 1 (compris) / OPTION 2 (surface nette)</w:t>
      </w:r>
    </w:p>
    <w:p w14:paraId="651F21FC" w14:textId="77777777" w:rsidR="004B2808" w:rsidRDefault="00000000">
      <w:r>
        <w:rPr>
          <w:b/>
        </w:rPr>
        <w:t>(soit par défaut)</w:t>
      </w:r>
      <w:r>
        <w:br/>
      </w:r>
      <w:r>
        <w:rPr>
          <w:rStyle w:val="soitChar"/>
        </w:rPr>
        <w:t xml:space="preserve">1. </w:t>
      </w:r>
      <w:r>
        <w:rPr>
          <w:rStyle w:val="soitChar"/>
          <w:u w:val="single"/>
        </w:rPr>
        <w:t>Compris</w:t>
      </w:r>
      <w:r>
        <w:rPr>
          <w:rStyle w:val="soitChar"/>
        </w:rPr>
        <w:t xml:space="preserve"> dans le prix unitaire du corps de chauffe.</w:t>
      </w:r>
    </w:p>
    <w:p w14:paraId="76679C55" w14:textId="77777777" w:rsidR="004B2808" w:rsidRDefault="00000000">
      <w:r>
        <w:rPr>
          <w:b/>
        </w:rPr>
        <w:t>(soit)</w:t>
      </w:r>
      <w:r>
        <w:br/>
      </w:r>
      <w:r>
        <w:rPr>
          <w:rStyle w:val="soitChar"/>
        </w:rPr>
        <w:t xml:space="preserve">2. </w:t>
      </w:r>
      <w:r>
        <w:rPr>
          <w:rStyle w:val="soitChar"/>
          <w:u w:val="single"/>
        </w:rPr>
        <w:t>Surface nette</w:t>
      </w:r>
      <w:r>
        <w:rPr>
          <w:rStyle w:val="soitChar"/>
        </w:rPr>
        <w:t xml:space="preserve"> mise en œuvre.</w:t>
      </w:r>
    </w:p>
    <w:p w14:paraId="7FE55645" w14:textId="77777777" w:rsidR="004B2808" w:rsidRDefault="00000000">
      <w:pPr>
        <w:pStyle w:val="pheading"/>
      </w:pPr>
      <w:r>
        <w:t>- nature du marché:</w:t>
      </w:r>
    </w:p>
    <w:p w14:paraId="1C2B9CC4" w14:textId="77777777" w:rsidR="004B2808" w:rsidRDefault="00000000">
      <w:pPr>
        <w:pStyle w:val="optioncar"/>
      </w:pPr>
      <w:r>
        <w:t>PM / QP</w:t>
      </w:r>
    </w:p>
    <w:p w14:paraId="5029BCE1" w14:textId="77777777" w:rsidR="004B2808" w:rsidRDefault="00000000">
      <w:r>
        <w:rPr>
          <w:b/>
        </w:rPr>
        <w:t>(soit par défaut)</w:t>
      </w:r>
      <w:r>
        <w:br/>
      </w:r>
      <w:r>
        <w:rPr>
          <w:rStyle w:val="soitChar"/>
        </w:rPr>
        <w:t>1. PM</w:t>
      </w:r>
    </w:p>
    <w:p w14:paraId="6C3FEDFC" w14:textId="77777777" w:rsidR="004B2808" w:rsidRDefault="00000000">
      <w:r>
        <w:rPr>
          <w:b/>
        </w:rPr>
        <w:t>(soit)</w:t>
      </w:r>
      <w:r>
        <w:br/>
      </w:r>
      <w:r>
        <w:rPr>
          <w:rStyle w:val="soitChar"/>
        </w:rPr>
        <w:t>2. QP</w:t>
      </w:r>
    </w:p>
    <w:p w14:paraId="6B99CC1D" w14:textId="77777777" w:rsidR="004B2808" w:rsidRDefault="00000000">
      <w:pPr>
        <w:pStyle w:val="pheading"/>
      </w:pPr>
      <w:r>
        <w:t>AIDE</w:t>
      </w:r>
    </w:p>
    <w:p w14:paraId="06386036" w14:textId="77777777" w:rsidR="004B2808" w:rsidRDefault="00000000">
      <w:r>
        <w:t>Se référer à [Buildwise Méthode de dimensionnement Rapport 09] concernant les performances thermiques des produits minces réfléchissants.</w:t>
      </w:r>
    </w:p>
    <w:p w14:paraId="3BCFABD8" w14:textId="77777777" w:rsidR="004B2808" w:rsidRDefault="00000000">
      <w:pPr>
        <w:pStyle w:val="Author-eSectionHeading6Numberless"/>
      </w:pPr>
      <w:bookmarkStart w:id="432" w:name="_Toc220490607"/>
      <w:r>
        <w:t>52.42.1e Isolation en rouleaux/matelas - polystyrène expansé CCTB 01.02</w:t>
      </w:r>
      <w:bookmarkEnd w:id="432"/>
    </w:p>
    <w:p w14:paraId="29004819" w14:textId="77777777" w:rsidR="004B2808" w:rsidRDefault="00000000">
      <w:pPr>
        <w:pStyle w:val="pheading"/>
      </w:pPr>
      <w:r>
        <w:t>MESURAGE</w:t>
      </w:r>
    </w:p>
    <w:p w14:paraId="0ADABDA1" w14:textId="77777777" w:rsidR="004B2808" w:rsidRDefault="00000000">
      <w:pPr>
        <w:pStyle w:val="pheading"/>
      </w:pPr>
      <w:r>
        <w:lastRenderedPageBreak/>
        <w:t>- unité de mesure:</w:t>
      </w:r>
    </w:p>
    <w:p w14:paraId="04A9751A" w14:textId="77777777" w:rsidR="004B2808" w:rsidRDefault="00000000">
      <w:r>
        <w:t>m²</w:t>
      </w:r>
    </w:p>
    <w:p w14:paraId="73FE0EFB" w14:textId="77777777" w:rsidR="004B2808" w:rsidRDefault="00000000">
      <w:pPr>
        <w:pStyle w:val="pheading"/>
      </w:pPr>
      <w:r>
        <w:t>- code de mesurage:</w:t>
      </w:r>
    </w:p>
    <w:p w14:paraId="74919749" w14:textId="77777777" w:rsidR="004B2808" w:rsidRDefault="00000000">
      <w:r>
        <w:t>Distinction faite suivant l'épaisseur.</w:t>
      </w:r>
    </w:p>
    <w:p w14:paraId="1065BF23" w14:textId="77777777" w:rsidR="004B2808" w:rsidRDefault="00000000">
      <w:pPr>
        <w:pStyle w:val="Author-eListParagraph"/>
        <w:numPr>
          <w:ilvl w:val="0"/>
          <w:numId w:val="426"/>
        </w:numPr>
      </w:pPr>
      <w:r>
        <w:t>Isolation des parois verticales : Surface nette. Les ouvertures supérieures à 0,50 m² sont déduites</w:t>
      </w:r>
    </w:p>
    <w:p w14:paraId="2A625FAF" w14:textId="77777777" w:rsidR="004B2808" w:rsidRDefault="00000000">
      <w:pPr>
        <w:pStyle w:val="Author-eListParagraph"/>
        <w:numPr>
          <w:ilvl w:val="0"/>
          <w:numId w:val="426"/>
        </w:numPr>
      </w:pPr>
      <w:r>
        <w:t>Isolation des parois horizontales : Surface nette du sol, mesurée entre le nu des murs. Les ouvertures supérieures à 0,5 m² sont déduites. L'isolation périphérique ne doit pas être portée en compte séparément</w:t>
      </w:r>
    </w:p>
    <w:p w14:paraId="1AFD785F" w14:textId="77777777" w:rsidR="004B2808" w:rsidRDefault="00000000">
      <w:pPr>
        <w:pStyle w:val="pheading"/>
      </w:pPr>
      <w:r>
        <w:t>- nature du marché:</w:t>
      </w:r>
    </w:p>
    <w:p w14:paraId="08FF860B" w14:textId="77777777" w:rsidR="004B2808" w:rsidRDefault="00000000">
      <w:r>
        <w:t>QF</w:t>
      </w:r>
    </w:p>
    <w:p w14:paraId="4DC609F2" w14:textId="77777777" w:rsidR="004B2808" w:rsidRDefault="00000000">
      <w:pPr>
        <w:pStyle w:val="Author-eSectionHeading5Numberless"/>
      </w:pPr>
      <w:bookmarkStart w:id="433" w:name="_Toc220490608"/>
      <w:r>
        <w:t>52.42.2 Isolation en rouleaux/matelas - matières minérales CCTB 01.02</w:t>
      </w:r>
      <w:bookmarkEnd w:id="433"/>
    </w:p>
    <w:p w14:paraId="41785A5D" w14:textId="77777777" w:rsidR="004B2808" w:rsidRDefault="00000000">
      <w:pPr>
        <w:pStyle w:val="Author-eSectionHeading6Numberless"/>
      </w:pPr>
      <w:bookmarkStart w:id="434" w:name="_Toc220490609"/>
      <w:r>
        <w:t>52.42.2a Isolation en rouleaux/matelas - laine minérale (MW) CCTB 01.12</w:t>
      </w:r>
      <w:bookmarkEnd w:id="434"/>
    </w:p>
    <w:p w14:paraId="412F6645" w14:textId="77777777" w:rsidR="004B2808" w:rsidRDefault="00000000">
      <w:pPr>
        <w:pStyle w:val="pheading"/>
      </w:pPr>
      <w:r>
        <w:t>DESCRIPTION</w:t>
      </w:r>
    </w:p>
    <w:p w14:paraId="52733FA7" w14:textId="77777777" w:rsidR="004B2808" w:rsidRDefault="00000000">
      <w:pPr>
        <w:pStyle w:val="pheading"/>
      </w:pPr>
      <w:r>
        <w:t>- Définition / Comprend</w:t>
      </w:r>
    </w:p>
    <w:p w14:paraId="2A5DDAA9" w14:textId="77777777" w:rsidR="004B2808" w:rsidRDefault="00000000">
      <w:pPr>
        <w:jc w:val="both"/>
      </w:pPr>
      <w:r>
        <w:t>Il s’agit de la fourniture et de la pose d’une isolation thermique au moyen de rouleaux ou matelas de laine minérale en application horizontale et verticale d’isolation par l’intérieur.</w:t>
      </w:r>
    </w:p>
    <w:p w14:paraId="6D9A5BEF" w14:textId="77777777" w:rsidR="004B2808" w:rsidRDefault="00000000">
      <w:pPr>
        <w:pStyle w:val="pheading"/>
      </w:pPr>
      <w:r>
        <w:t>- Localisation</w:t>
      </w:r>
    </w:p>
    <w:p w14:paraId="55C5D828" w14:textId="77777777" w:rsidR="004B2808" w:rsidRDefault="00000000">
      <w:r>
        <w:t xml:space="preserve">Localisation des travaux : </w:t>
      </w:r>
      <w:r>
        <w:rPr>
          <w:rStyle w:val="optioncarChar"/>
        </w:rPr>
        <w:t>***</w:t>
      </w:r>
      <w:r>
        <w:t>.</w:t>
      </w:r>
    </w:p>
    <w:p w14:paraId="22026BF2" w14:textId="77777777" w:rsidR="004B2808" w:rsidRDefault="00000000">
      <w:r>
        <w:t>Voir plans et métrés détaillés.</w:t>
      </w:r>
    </w:p>
    <w:p w14:paraId="51F3EE97" w14:textId="77777777" w:rsidR="004B2808" w:rsidRDefault="00000000">
      <w:pPr>
        <w:pStyle w:val="pheading"/>
      </w:pPr>
      <w:r>
        <w:t>MATÉRIAUX</w:t>
      </w:r>
    </w:p>
    <w:p w14:paraId="1615023B" w14:textId="77777777" w:rsidR="004B2808" w:rsidRDefault="00000000">
      <w:pPr>
        <w:pStyle w:val="pheading"/>
      </w:pPr>
      <w:r>
        <w:t>- Caractéristiques générales</w:t>
      </w:r>
    </w:p>
    <w:p w14:paraId="3F035013" w14:textId="77777777" w:rsidR="004B2808" w:rsidRDefault="00000000">
      <w:pPr>
        <w:jc w:val="both"/>
      </w:pPr>
      <w:r>
        <w:t>Voir 32.42.2a Isolation en rouleaux/matelas - laine minérale (MW)</w:t>
      </w:r>
    </w:p>
    <w:p w14:paraId="7D23BD0B" w14:textId="77777777" w:rsidR="004B2808" w:rsidRDefault="00000000">
      <w:pPr>
        <w:jc w:val="both"/>
      </w:pPr>
      <w:r>
        <w:t xml:space="preserve">Largeur des rouleaux:  </w:t>
      </w:r>
      <w:r>
        <w:rPr>
          <w:rStyle w:val="optioncarChar"/>
        </w:rPr>
        <w:t xml:space="preserve">400/ 600 </w:t>
      </w:r>
      <w:r>
        <w:t xml:space="preserve">(par défaut) </w:t>
      </w:r>
      <w:r>
        <w:rPr>
          <w:rStyle w:val="optioncarChar"/>
        </w:rPr>
        <w:t>/ 1200 / ***</w:t>
      </w:r>
      <w:r>
        <w:t> mm</w:t>
      </w:r>
    </w:p>
    <w:p w14:paraId="5F184E86" w14:textId="77777777" w:rsidR="004B2808" w:rsidRDefault="00000000">
      <w:pPr>
        <w:jc w:val="both"/>
      </w:pPr>
      <w:r>
        <w:t>Epaisseur totale de l’isolation:</w:t>
      </w:r>
      <w:r>
        <w:rPr>
          <w:rStyle w:val="optioncarChar"/>
        </w:rPr>
        <w:t xml:space="preserve"> *** </w:t>
      </w:r>
      <w:r>
        <w:t>mm</w:t>
      </w:r>
    </w:p>
    <w:p w14:paraId="42894A83" w14:textId="77777777" w:rsidR="004B2808" w:rsidRDefault="00000000">
      <w:pPr>
        <w:jc w:val="both"/>
      </w:pPr>
      <w:r>
        <w:t xml:space="preserve">Conductivité thermique (selon [NBN EN 12667] ou selon [NBN EN 12939] pour les produits épais) : valeur λ = max.  </w:t>
      </w:r>
      <w:r>
        <w:rPr>
          <w:rStyle w:val="optioncarChar"/>
        </w:rPr>
        <w:t xml:space="preserve">0.035 </w:t>
      </w:r>
      <w:r>
        <w:t>(par défaut)</w:t>
      </w:r>
      <w:r>
        <w:rPr>
          <w:rStyle w:val="optioncarChar"/>
        </w:rPr>
        <w:t xml:space="preserve"> / *** </w:t>
      </w:r>
      <w:r>
        <w:t>W/mK</w:t>
      </w:r>
    </w:p>
    <w:p w14:paraId="27FC69A5" w14:textId="77777777" w:rsidR="004B2808" w:rsidRDefault="00000000">
      <w:pPr>
        <w:jc w:val="both"/>
      </w:pPr>
      <w:r>
        <w:t>L’isolant de rouleau/matelas de laine de roche dispose d’une déclaration d’aptitude à l’utilisation tels que définis au chapitre 02.42.1 Critères d'acceptabilité.</w:t>
      </w:r>
    </w:p>
    <w:p w14:paraId="196DA18E" w14:textId="77777777" w:rsidR="004B2808" w:rsidRDefault="00000000">
      <w:pPr>
        <w:pStyle w:val="pheading"/>
      </w:pPr>
      <w:r>
        <w:t>- Finitions</w:t>
      </w:r>
    </w:p>
    <w:p w14:paraId="1DDB8A6C" w14:textId="77777777" w:rsidR="004B2808" w:rsidRDefault="00000000">
      <w:pPr>
        <w:jc w:val="both"/>
      </w:pPr>
      <w:r>
        <w:t>Le surfaçage des rouleaux est de type : </w:t>
      </w:r>
      <w:r>
        <w:rPr>
          <w:rStyle w:val="optioncarChar"/>
        </w:rPr>
        <w:t xml:space="preserve">nu </w:t>
      </w:r>
      <w:r>
        <w:t>(par défaut)</w:t>
      </w:r>
      <w:r>
        <w:rPr>
          <w:rStyle w:val="optioncarChar"/>
        </w:rPr>
        <w:t xml:space="preserve"> / fibres de verre / armature synthétique / feuille d’aluminium / *** </w:t>
      </w:r>
      <w:r>
        <w:t xml:space="preserve">et est présent </w:t>
      </w:r>
      <w:r>
        <w:rPr>
          <w:rStyle w:val="optioncarChar"/>
        </w:rPr>
        <w:t>sur un côté </w:t>
      </w:r>
      <w:r>
        <w:t>(par défaut)</w:t>
      </w:r>
      <w:r>
        <w:rPr>
          <w:rStyle w:val="optioncarChar"/>
        </w:rPr>
        <w:t xml:space="preserve"> / des deux côtés / sur aucun côté </w:t>
      </w:r>
      <w:r>
        <w:t>du rouleau.</w:t>
      </w:r>
    </w:p>
    <w:p w14:paraId="0A5A0FCE" w14:textId="77777777" w:rsidR="004B2808" w:rsidRDefault="00000000">
      <w:pPr>
        <w:pStyle w:val="pheading"/>
      </w:pPr>
      <w:r>
        <w:t>- Prescriptions complémentaires</w:t>
      </w:r>
    </w:p>
    <w:p w14:paraId="3C1CF8A6" w14:textId="77777777" w:rsidR="004B2808" w:rsidRDefault="00000000">
      <w:pPr>
        <w:jc w:val="both"/>
      </w:pPr>
      <w:r>
        <w:rPr>
          <w:rStyle w:val="facultChar"/>
        </w:rPr>
        <w:t xml:space="preserve">Les rouleaux sont disposés en </w:t>
      </w:r>
      <w:r>
        <w:rPr>
          <w:rStyle w:val="optioncarChar"/>
        </w:rPr>
        <w:t xml:space="preserve">1 </w:t>
      </w:r>
      <w:r>
        <w:t>(par défaut)</w:t>
      </w:r>
      <w:r>
        <w:rPr>
          <w:rStyle w:val="optioncarChar"/>
        </w:rPr>
        <w:t xml:space="preserve"> / ***</w:t>
      </w:r>
      <w:r>
        <w:rPr>
          <w:rStyle w:val="facultChar"/>
        </w:rPr>
        <w:t> couches</w:t>
      </w:r>
    </w:p>
    <w:p w14:paraId="3E7BD597" w14:textId="77777777" w:rsidR="004B2808" w:rsidRDefault="00000000">
      <w:pPr>
        <w:jc w:val="both"/>
      </w:pPr>
      <w:r>
        <w:rPr>
          <w:rStyle w:val="facultChar"/>
        </w:rPr>
        <w:t xml:space="preserve">Réaction au feu selon [NBN EN 13501-1] : </w:t>
      </w:r>
      <w:r>
        <w:rPr>
          <w:rStyle w:val="optioncarChar"/>
        </w:rPr>
        <w:t>A1 </w:t>
      </w:r>
      <w:r>
        <w:t>(par défaut)</w:t>
      </w:r>
      <w:r>
        <w:rPr>
          <w:rStyle w:val="optioncarChar"/>
        </w:rPr>
        <w:t xml:space="preserve"> / A2 / B / C / D / E / F</w:t>
      </w:r>
      <w:r>
        <w:rPr>
          <w:rStyle w:val="facultChar"/>
        </w:rPr>
        <w:t> complétée, le cas échéant par les aspects </w:t>
      </w:r>
      <w:r>
        <w:rPr>
          <w:rStyle w:val="optioncarChar"/>
        </w:rPr>
        <w:t xml:space="preserve">s1 </w:t>
      </w:r>
      <w:r>
        <w:t xml:space="preserve">(par défaut) </w:t>
      </w:r>
      <w:r>
        <w:rPr>
          <w:rStyle w:val="optioncarChar"/>
        </w:rPr>
        <w:t>/ s2 / s3 </w:t>
      </w:r>
      <w:r>
        <w:rPr>
          <w:rStyle w:val="facultChar"/>
        </w:rPr>
        <w:t xml:space="preserve">et </w:t>
      </w:r>
      <w:r>
        <w:rPr>
          <w:rStyle w:val="optioncarChar"/>
        </w:rPr>
        <w:t xml:space="preserve">d0 </w:t>
      </w:r>
      <w:r>
        <w:t>(par défaut)</w:t>
      </w:r>
      <w:r>
        <w:rPr>
          <w:rStyle w:val="optioncarChar"/>
        </w:rPr>
        <w:t xml:space="preserve"> / d1 / d2  </w:t>
      </w:r>
    </w:p>
    <w:p w14:paraId="2FBDE12A" w14:textId="77777777" w:rsidR="004B2808" w:rsidRDefault="00000000">
      <w:pPr>
        <w:jc w:val="both"/>
      </w:pPr>
      <w:r>
        <w:rPr>
          <w:rStyle w:val="facultChar"/>
        </w:rPr>
        <w:t xml:space="preserve">La résistance à la diffusion de la vapeur d’eau (μ) suivant [NBN EN 12086] : </w:t>
      </w:r>
      <w:r>
        <w:rPr>
          <w:rStyle w:val="optioncarChar"/>
        </w:rPr>
        <w:t xml:space="preserve">1 </w:t>
      </w:r>
      <w:r>
        <w:t>(par défaut)</w:t>
      </w:r>
      <w:r>
        <w:rPr>
          <w:rStyle w:val="optioncarChar"/>
        </w:rPr>
        <w:t xml:space="preserve"> / ***</w:t>
      </w:r>
    </w:p>
    <w:p w14:paraId="2273E3E6" w14:textId="77777777" w:rsidR="004B2808" w:rsidRDefault="00000000">
      <w:pPr>
        <w:jc w:val="both"/>
      </w:pPr>
      <w:r>
        <w:rPr>
          <w:rStyle w:val="facultChar"/>
        </w:rPr>
        <w:t xml:space="preserve">La résistance au passage de l’air (selon [NBN EN ISO 9053-1]):  &gt; </w:t>
      </w:r>
      <w:r>
        <w:rPr>
          <w:rStyle w:val="optioncarChar"/>
        </w:rPr>
        <w:t xml:space="preserve">55 </w:t>
      </w:r>
      <w:r>
        <w:t xml:space="preserve">(par défaut) </w:t>
      </w:r>
      <w:r>
        <w:rPr>
          <w:rStyle w:val="optioncarChar"/>
        </w:rPr>
        <w:t>/ ***</w:t>
      </w:r>
      <w:r>
        <w:rPr>
          <w:rStyle w:val="facultChar"/>
        </w:rPr>
        <w:t xml:space="preserve"> kPa.s/m²</w:t>
      </w:r>
    </w:p>
    <w:p w14:paraId="52FAA7A6" w14:textId="77777777" w:rsidR="004B2808" w:rsidRDefault="00000000">
      <w:pPr>
        <w:jc w:val="both"/>
      </w:pPr>
      <w:r>
        <w:rPr>
          <w:rStyle w:val="facultChar"/>
        </w:rPr>
        <w:t xml:space="preserve">Absorption d’eau à court terme (selon [NBN EN ISO 29767]): &lt; </w:t>
      </w:r>
      <w:r>
        <w:rPr>
          <w:rStyle w:val="optioncarChar"/>
        </w:rPr>
        <w:t xml:space="preserve">1kg/m² </w:t>
      </w:r>
      <w:r>
        <w:t>(par défaut)</w:t>
      </w:r>
      <w:r>
        <w:rPr>
          <w:rStyle w:val="optioncarChar"/>
        </w:rPr>
        <w:t xml:space="preserve"> / ***  </w:t>
      </w:r>
    </w:p>
    <w:p w14:paraId="74FE74E0" w14:textId="77777777" w:rsidR="004B2808" w:rsidRDefault="00000000">
      <w:pPr>
        <w:jc w:val="both"/>
      </w:pPr>
      <w:r>
        <w:rPr>
          <w:rStyle w:val="facultChar"/>
        </w:rPr>
        <w:t xml:space="preserve">Absorption d’eau à long terme (selon [NBN EN ISO 16535]): &lt; </w:t>
      </w:r>
      <w:r>
        <w:rPr>
          <w:rStyle w:val="optioncarChar"/>
        </w:rPr>
        <w:t xml:space="preserve">3kg/m² </w:t>
      </w:r>
      <w:r>
        <w:t>(par défaut)</w:t>
      </w:r>
      <w:r>
        <w:rPr>
          <w:rStyle w:val="optioncarChar"/>
        </w:rPr>
        <w:t xml:space="preserve"> / *** </w:t>
      </w:r>
      <w:r>
        <w:rPr>
          <w:rStyle w:val="facultChar"/>
        </w:rPr>
        <w:t> </w:t>
      </w:r>
    </w:p>
    <w:p w14:paraId="60D6B2F4" w14:textId="77777777" w:rsidR="004B2808" w:rsidRDefault="00000000">
      <w:pPr>
        <w:jc w:val="both"/>
      </w:pPr>
      <w:r>
        <w:rPr>
          <w:rStyle w:val="facultChar"/>
        </w:rPr>
        <w:lastRenderedPageBreak/>
        <w:t xml:space="preserve">Coefficient de résistance à la diffusion de vapeur d’eau – valeur μ (selon [NBN EN 12086]): </w:t>
      </w:r>
      <w:r>
        <w:rPr>
          <w:rStyle w:val="optioncarChar"/>
        </w:rPr>
        <w:t>***</w:t>
      </w:r>
    </w:p>
    <w:p w14:paraId="279C24F7" w14:textId="77777777" w:rsidR="004B2808" w:rsidRDefault="00000000">
      <w:pPr>
        <w:jc w:val="both"/>
      </w:pPr>
      <w:r>
        <w:rPr>
          <w:rStyle w:val="facultChar"/>
        </w:rPr>
        <w:t>Absorption acoustique (déterminée selon [NBN EN ISO 354] et [NBN EN ISO 11654]) : </w:t>
      </w:r>
      <w:r>
        <w:rPr>
          <w:rStyle w:val="optioncarChar"/>
        </w:rPr>
        <w:t>*** </w:t>
      </w:r>
    </w:p>
    <w:p w14:paraId="2C42E7E8" w14:textId="77777777" w:rsidR="004B2808" w:rsidRDefault="00000000">
      <w:pPr>
        <w:jc w:val="both"/>
      </w:pPr>
      <w:r>
        <w:rPr>
          <w:rStyle w:val="facultChar"/>
        </w:rPr>
        <w:t> </w:t>
      </w:r>
    </w:p>
    <w:p w14:paraId="1DC77065" w14:textId="77777777" w:rsidR="004B2808" w:rsidRDefault="00000000">
      <w:pPr>
        <w:jc w:val="both"/>
      </w:pPr>
      <w:r>
        <w:rPr>
          <w:rStyle w:val="facultChar"/>
        </w:rPr>
        <w:t xml:space="preserve">Les liants des rouleaux et d’adhésion du revêtement de surface ne contiennent pas de formaldéhyde. Le dégagement mesuré selon la [NBN EN 717-1] est inférieur à </w:t>
      </w:r>
      <w:r>
        <w:rPr>
          <w:rStyle w:val="optioncarChar"/>
        </w:rPr>
        <w:t xml:space="preserve">0.124 mg/m³ </w:t>
      </w:r>
      <w:r>
        <w:t>(par défaut)</w:t>
      </w:r>
      <w:r>
        <w:rPr>
          <w:rStyle w:val="optioncarChar"/>
        </w:rPr>
        <w:t xml:space="preserve"> / *** </w:t>
      </w:r>
      <w:r>
        <w:rPr>
          <w:rStyle w:val="facultChar"/>
        </w:rPr>
        <w:t> </w:t>
      </w:r>
    </w:p>
    <w:p w14:paraId="072FA69D" w14:textId="77777777" w:rsidR="004B2808" w:rsidRDefault="00000000">
      <w:pPr>
        <w:jc w:val="both"/>
      </w:pPr>
      <w:r>
        <w:rPr>
          <w:rStyle w:val="facultChar"/>
        </w:rPr>
        <w:t>La concentration de pentachlorophénol mesurée selon la [CEN/TR 14823] est inférieure à</w:t>
      </w:r>
      <w:r>
        <w:rPr>
          <w:rStyle w:val="optioncarChar"/>
        </w:rPr>
        <w:t xml:space="preserve"> 5 PPM </w:t>
      </w:r>
      <w:r>
        <w:t>(par défaut)</w:t>
      </w:r>
      <w:r>
        <w:rPr>
          <w:rStyle w:val="optioncarChar"/>
        </w:rPr>
        <w:t xml:space="preserve"> / ***  </w:t>
      </w:r>
    </w:p>
    <w:p w14:paraId="4A17994B" w14:textId="77777777" w:rsidR="004B2808" w:rsidRDefault="00000000">
      <w:pPr>
        <w:jc w:val="both"/>
      </w:pPr>
      <w:r>
        <w:rPr>
          <w:rStyle w:val="facultChar"/>
        </w:rPr>
        <w:t xml:space="preserve">Les liants des rouleaux sont issus de </w:t>
      </w:r>
      <w:r>
        <w:rPr>
          <w:rStyle w:val="optioncarChar"/>
        </w:rPr>
        <w:t xml:space="preserve">matières premières végétales </w:t>
      </w:r>
      <w:r>
        <w:t>(par défaut)</w:t>
      </w:r>
      <w:r>
        <w:rPr>
          <w:rStyle w:val="optioncarChar"/>
        </w:rPr>
        <w:t xml:space="preserve"> / dérivés pétrochimiques / ***.</w:t>
      </w:r>
    </w:p>
    <w:p w14:paraId="0660BE4C" w14:textId="77777777" w:rsidR="004B2808" w:rsidRDefault="00000000">
      <w:pPr>
        <w:jc w:val="both"/>
      </w:pPr>
      <w:r>
        <w:rPr>
          <w:rStyle w:val="facultChar"/>
        </w:rPr>
        <w:t>La laine minérale produite contient au moins</w:t>
      </w:r>
      <w:r>
        <w:rPr>
          <w:rStyle w:val="optioncarChar"/>
        </w:rPr>
        <w:t xml:space="preserve"> ***</w:t>
      </w:r>
      <w:r>
        <w:rPr>
          <w:rStyle w:val="facultChar"/>
        </w:rPr>
        <w:t xml:space="preserve"> % de matière recyclée.</w:t>
      </w:r>
    </w:p>
    <w:p w14:paraId="48711A3D" w14:textId="77777777" w:rsidR="004B2808" w:rsidRDefault="00000000">
      <w:r>
        <w:t> </w:t>
      </w:r>
    </w:p>
    <w:p w14:paraId="36086B94" w14:textId="77777777" w:rsidR="004B2808" w:rsidRDefault="00000000">
      <w:pPr>
        <w:pStyle w:val="pheading"/>
      </w:pPr>
      <w:r>
        <w:t>EXÉCUTION / MISE EN ŒUVRE</w:t>
      </w:r>
    </w:p>
    <w:p w14:paraId="7C13E94C" w14:textId="77777777" w:rsidR="004B2808" w:rsidRDefault="00000000">
      <w:pPr>
        <w:pStyle w:val="pheading"/>
      </w:pPr>
      <w:r>
        <w:t>- Prescriptions générales</w:t>
      </w:r>
    </w:p>
    <w:p w14:paraId="22EA1554" w14:textId="77777777" w:rsidR="004B2808" w:rsidRDefault="00000000">
      <w:pPr>
        <w:jc w:val="both"/>
      </w:pPr>
      <w:r>
        <w:t>Les rouleaux sont contigus. Les espaces éventuels entre rouleaux ou de liaison avec les parois sont comblés avec un isolant de même type.</w:t>
      </w:r>
    </w:p>
    <w:p w14:paraId="0940EFCA" w14:textId="77777777" w:rsidR="004B2808" w:rsidRDefault="00000000">
      <w:pPr>
        <w:jc w:val="both"/>
      </w:pPr>
      <w:r>
        <w:rPr>
          <w:b/>
        </w:rPr>
        <w:t>Pour une application en sol</w:t>
      </w:r>
    </w:p>
    <w:p w14:paraId="1B3BDBAC" w14:textId="77777777" w:rsidR="004B2808" w:rsidRDefault="00000000">
      <w:pPr>
        <w:jc w:val="both"/>
      </w:pPr>
      <w:r>
        <w:t xml:space="preserve">Les rouleaux sont disposés entre les lambourdes, chevrons ou poutres. La largeur des rouleaux est au moins supérieure à la largeur libre entre chevrons plus 2cm. L’isolation est posée par </w:t>
      </w:r>
      <w:r>
        <w:rPr>
          <w:rStyle w:val="optioncarChar"/>
        </w:rPr>
        <w:t xml:space="preserve">le dessus </w:t>
      </w:r>
      <w:r>
        <w:t>(par défaut)</w:t>
      </w:r>
      <w:r>
        <w:rPr>
          <w:rStyle w:val="optioncarChar"/>
        </w:rPr>
        <w:t xml:space="preserve"> / le dessous des planchers.</w:t>
      </w:r>
    </w:p>
    <w:p w14:paraId="62670D4E" w14:textId="77777777" w:rsidR="004B2808" w:rsidRDefault="00000000">
      <w:pPr>
        <w:ind w:left="567"/>
        <w:jc w:val="both"/>
      </w:pPr>
      <w:r>
        <w:rPr>
          <w:b/>
          <w:i/>
        </w:rPr>
        <w:t>(Soit par défaut) </w:t>
      </w:r>
    </w:p>
    <w:p w14:paraId="26764F8A" w14:textId="77777777" w:rsidR="004B2808" w:rsidRDefault="00000000">
      <w:pPr>
        <w:ind w:left="567"/>
        <w:jc w:val="both"/>
      </w:pPr>
      <w:r>
        <w:rPr>
          <w:rStyle w:val="soitChar"/>
          <w:b/>
          <w:u w:val="single"/>
        </w:rPr>
        <w:t>Par le dessus des planchers :</w:t>
      </w:r>
    </w:p>
    <w:p w14:paraId="23D631AF" w14:textId="77777777" w:rsidR="004B2808" w:rsidRDefault="00000000">
      <w:pPr>
        <w:ind w:left="567"/>
        <w:jc w:val="both"/>
      </w:pPr>
      <w:r>
        <w:rPr>
          <w:rStyle w:val="soitChar"/>
        </w:rPr>
        <w:t xml:space="preserve"> Le placement de l’isolation est assuré par </w:t>
      </w:r>
      <w:r>
        <w:rPr>
          <w:rStyle w:val="optioncarChar"/>
        </w:rPr>
        <w:t xml:space="preserve">pose simple </w:t>
      </w:r>
      <w:r>
        <w:t>(par défaut)</w:t>
      </w:r>
      <w:r>
        <w:rPr>
          <w:rStyle w:val="optioncarChar"/>
        </w:rPr>
        <w:t xml:space="preserve"> / agrafage à raison de 5 par m et par côté / ***.</w:t>
      </w:r>
      <w:r>
        <w:rPr>
          <w:rStyle w:val="soitChar"/>
        </w:rPr>
        <w:t xml:space="preserve"> Le parement est disposé en </w:t>
      </w:r>
      <w:r>
        <w:rPr>
          <w:rStyle w:val="optioncarChar"/>
        </w:rPr>
        <w:t xml:space="preserve">partie supérieure </w:t>
      </w:r>
      <w:r>
        <w:t xml:space="preserve">(par défaut) </w:t>
      </w:r>
      <w:r>
        <w:rPr>
          <w:rStyle w:val="optioncarChar"/>
        </w:rPr>
        <w:t xml:space="preserve">/ partie inférieure / ***. </w:t>
      </w:r>
    </w:p>
    <w:p w14:paraId="6B3CC42A" w14:textId="77777777" w:rsidR="004B2808" w:rsidRDefault="00000000">
      <w:pPr>
        <w:ind w:left="567"/>
        <w:jc w:val="both"/>
      </w:pPr>
      <w:r>
        <w:rPr>
          <w:b/>
          <w:i/>
        </w:rPr>
        <w:t>(Soit) </w:t>
      </w:r>
    </w:p>
    <w:p w14:paraId="153E64F0" w14:textId="77777777" w:rsidR="004B2808" w:rsidRDefault="00000000">
      <w:pPr>
        <w:ind w:left="567"/>
        <w:jc w:val="both"/>
      </w:pPr>
      <w:r>
        <w:rPr>
          <w:rStyle w:val="soitChar"/>
          <w:b/>
          <w:u w:val="single"/>
        </w:rPr>
        <w:t>Par le dessous des planchers : </w:t>
      </w:r>
    </w:p>
    <w:p w14:paraId="15B31166" w14:textId="77777777" w:rsidR="004B2808" w:rsidRDefault="00000000">
      <w:pPr>
        <w:ind w:left="567"/>
        <w:jc w:val="both"/>
      </w:pPr>
      <w:r>
        <w:rPr>
          <w:rStyle w:val="soitChar"/>
        </w:rPr>
        <w:t xml:space="preserve"> Le placement de l’isolation est assuré par </w:t>
      </w:r>
      <w:r>
        <w:rPr>
          <w:rStyle w:val="optioncarChar"/>
        </w:rPr>
        <w:t xml:space="preserve"> agrafage à raison de 5 par m et par côté </w:t>
      </w:r>
      <w:r>
        <w:t xml:space="preserve">(par défaut) </w:t>
      </w:r>
      <w:r>
        <w:rPr>
          <w:rStyle w:val="optioncarChar"/>
        </w:rPr>
        <w:t>/ par lattage (latte de minimum 15x23mm espacées de 30 cm dont les dimensions sont adaptées en fonction des fixations) / ***.</w:t>
      </w:r>
      <w:r>
        <w:rPr>
          <w:rStyle w:val="soitChar"/>
        </w:rPr>
        <w:t xml:space="preserve"> Le parement est disposé en </w:t>
      </w:r>
      <w:r>
        <w:rPr>
          <w:rStyle w:val="optioncarChar"/>
        </w:rPr>
        <w:t xml:space="preserve">partie supérieure </w:t>
      </w:r>
      <w:r>
        <w:t>(par défaut)</w:t>
      </w:r>
      <w:r>
        <w:rPr>
          <w:rStyle w:val="optioncarChar"/>
        </w:rPr>
        <w:t xml:space="preserve"> / partie inférieure / ***.</w:t>
      </w:r>
    </w:p>
    <w:p w14:paraId="11AF311A" w14:textId="77777777" w:rsidR="004B2808" w:rsidRDefault="00000000">
      <w:pPr>
        <w:jc w:val="both"/>
      </w:pPr>
      <w:r>
        <w:rPr>
          <w:b/>
        </w:rPr>
        <w:t>Pour une application en plafond</w:t>
      </w:r>
    </w:p>
    <w:p w14:paraId="08FB6B05" w14:textId="77777777" w:rsidR="004B2808" w:rsidRDefault="00000000">
      <w:pPr>
        <w:jc w:val="both"/>
      </w:pPr>
      <w:r>
        <w:t>Les rouleaux sont disposés entre les suspends. La largeur des rouleaux est au moins supérieure à la largeur libre entre chevrons plus 2cm. L’application est conforme à la [NIT 232].</w:t>
      </w:r>
    </w:p>
    <w:p w14:paraId="3045579D" w14:textId="77777777" w:rsidR="004B2808" w:rsidRDefault="00000000">
      <w:pPr>
        <w:jc w:val="both"/>
      </w:pPr>
      <w:r>
        <w:t xml:space="preserve">Le placement de l’isolation est assuré par </w:t>
      </w:r>
      <w:r>
        <w:rPr>
          <w:rStyle w:val="optioncarChar"/>
        </w:rPr>
        <w:t>pose sur la structure de faux-plafond</w:t>
      </w:r>
      <w:r>
        <w:t xml:space="preserve"> (par défaut)</w:t>
      </w:r>
      <w:r>
        <w:rPr>
          <w:rStyle w:val="optioncarChar"/>
        </w:rPr>
        <w:t xml:space="preserve"> / agrafage à raison de 5 par m et par côté / par lattage (latte de minimum 15x23mm espacées de 30 cm dont les dimensions sont adaptées en fonction des fixations) / ***</w:t>
      </w:r>
      <w:r>
        <w:t xml:space="preserve">. Le parement est disposé en </w:t>
      </w:r>
      <w:r>
        <w:rPr>
          <w:rStyle w:val="optioncarChar"/>
        </w:rPr>
        <w:t xml:space="preserve">partie supérieure </w:t>
      </w:r>
      <w:r>
        <w:t>(par défaut)</w:t>
      </w:r>
      <w:r>
        <w:rPr>
          <w:rStyle w:val="optioncarChar"/>
        </w:rPr>
        <w:t xml:space="preserve"> / partie inférieure / ***.</w:t>
      </w:r>
    </w:p>
    <w:p w14:paraId="6F3EEFBC" w14:textId="77777777" w:rsidR="004B2808" w:rsidRDefault="00000000">
      <w:pPr>
        <w:jc w:val="both"/>
      </w:pPr>
      <w:r>
        <w:rPr>
          <w:b/>
        </w:rPr>
        <w:t>Pour une application verticale</w:t>
      </w:r>
    </w:p>
    <w:p w14:paraId="5C7FE6FF" w14:textId="77777777" w:rsidR="004B2808" w:rsidRDefault="00000000">
      <w:pPr>
        <w:jc w:val="both"/>
      </w:pPr>
      <w:r>
        <w:t>Les rouleaux sont disposés entre montants, chevrons ou poutres. La largeur des rouleaux est au moins supérieure à la largeur libre entre montants plus 2cm. L’application est conforme à la [NIT 233].</w:t>
      </w:r>
    </w:p>
    <w:p w14:paraId="31CDAD76" w14:textId="77777777" w:rsidR="004B2808" w:rsidRDefault="00000000">
      <w:pPr>
        <w:jc w:val="both"/>
      </w:pPr>
      <w:r>
        <w:t xml:space="preserve">Le parement est disposé en partie </w:t>
      </w:r>
      <w:r>
        <w:rPr>
          <w:rStyle w:val="optioncarChar"/>
        </w:rPr>
        <w:t>extérieure</w:t>
      </w:r>
      <w:r>
        <w:t xml:space="preserve"> (par défaut) </w:t>
      </w:r>
      <w:r>
        <w:rPr>
          <w:rStyle w:val="optioncarChar"/>
        </w:rPr>
        <w:t>/ intérieure / ***</w:t>
      </w:r>
      <w:r>
        <w:t>.</w:t>
      </w:r>
    </w:p>
    <w:p w14:paraId="3A846621" w14:textId="77777777" w:rsidR="004B2808" w:rsidRDefault="00000000">
      <w:pPr>
        <w:jc w:val="both"/>
      </w:pPr>
      <w:r>
        <w:t xml:space="preserve">Les rouleaux sont fixés par </w:t>
      </w:r>
      <w:r>
        <w:rPr>
          <w:rStyle w:val="optioncarChar"/>
        </w:rPr>
        <w:t xml:space="preserve">fixation mécanique </w:t>
      </w:r>
      <w:r>
        <w:t>(par défaut)</w:t>
      </w:r>
      <w:r>
        <w:rPr>
          <w:rStyle w:val="optioncarChar"/>
        </w:rPr>
        <w:t xml:space="preserve"> / serrage entre éléments et agrafage / collage / ***.</w:t>
      </w:r>
    </w:p>
    <w:p w14:paraId="044EC6CD" w14:textId="77777777" w:rsidR="004B2808" w:rsidRDefault="00000000">
      <w:pPr>
        <w:ind w:left="567"/>
        <w:jc w:val="both"/>
      </w:pPr>
      <w:r>
        <w:rPr>
          <w:b/>
          <w:i/>
        </w:rPr>
        <w:t>(Soit par défaut) </w:t>
      </w:r>
    </w:p>
    <w:p w14:paraId="5D2D4C89" w14:textId="77777777" w:rsidR="004B2808" w:rsidRDefault="00000000">
      <w:pPr>
        <w:ind w:left="567"/>
        <w:jc w:val="both"/>
      </w:pPr>
      <w:r>
        <w:rPr>
          <w:rStyle w:val="soitChar"/>
          <w:b/>
          <w:u w:val="single"/>
        </w:rPr>
        <w:lastRenderedPageBreak/>
        <w:t>Par fixation mécanique : </w:t>
      </w:r>
    </w:p>
    <w:p w14:paraId="2DDE081A" w14:textId="77777777" w:rsidR="004B2808" w:rsidRDefault="00000000">
      <w:pPr>
        <w:ind w:left="567"/>
        <w:jc w:val="both"/>
      </w:pPr>
      <w:r>
        <w:rPr>
          <w:rStyle w:val="soitChar"/>
        </w:rPr>
        <w:t xml:space="preserve"> Les fixations sont au nombre de </w:t>
      </w:r>
      <w:r>
        <w:rPr>
          <w:rStyle w:val="optioncarChar"/>
        </w:rPr>
        <w:t xml:space="preserve">5 par m² </w:t>
      </w:r>
      <w:r>
        <w:t xml:space="preserve">(par défaut) </w:t>
      </w:r>
      <w:r>
        <w:rPr>
          <w:rStyle w:val="optioncarChar"/>
        </w:rPr>
        <w:t>/ 8 par m² / ***</w:t>
      </w:r>
      <w:r>
        <w:rPr>
          <w:rStyle w:val="soitChar"/>
        </w:rPr>
        <w:t xml:space="preserve">. Elles sont munies de </w:t>
      </w:r>
      <w:r>
        <w:rPr>
          <w:rStyle w:val="optioncarChar"/>
        </w:rPr>
        <w:t xml:space="preserve">rosace (cheville) métallique / rosace (cheville) synthétique </w:t>
      </w:r>
      <w:r>
        <w:t>(par défaut)</w:t>
      </w:r>
      <w:r>
        <w:rPr>
          <w:rStyle w:val="optioncarChar"/>
        </w:rPr>
        <w:t xml:space="preserve"> / ***</w:t>
      </w:r>
      <w:r>
        <w:rPr>
          <w:rStyle w:val="soitChar"/>
        </w:rPr>
        <w:t xml:space="preserve">. L’ancrage dans la paroi porteuse est </w:t>
      </w:r>
      <w:r>
        <w:rPr>
          <w:rStyle w:val="optioncarChar"/>
        </w:rPr>
        <w:t>métallique / synthétique</w:t>
      </w:r>
      <w:r>
        <w:t xml:space="preserve"> (par défaut)</w:t>
      </w:r>
      <w:r>
        <w:rPr>
          <w:rStyle w:val="soitChar"/>
        </w:rPr>
        <w:t xml:space="preserve">.  Les ancrages sont à </w:t>
      </w:r>
      <w:r>
        <w:rPr>
          <w:rStyle w:val="optioncarChar"/>
        </w:rPr>
        <w:t>visser / frapper</w:t>
      </w:r>
      <w:r>
        <w:t> (par défaut)</w:t>
      </w:r>
      <w:r>
        <w:rPr>
          <w:rStyle w:val="soitChar"/>
        </w:rPr>
        <w:t xml:space="preserve"> et sont adaptés au support.</w:t>
      </w:r>
    </w:p>
    <w:p w14:paraId="39E9893D" w14:textId="77777777" w:rsidR="004B2808" w:rsidRDefault="00000000">
      <w:pPr>
        <w:ind w:left="567"/>
        <w:jc w:val="both"/>
      </w:pPr>
      <w:r>
        <w:rPr>
          <w:b/>
          <w:i/>
        </w:rPr>
        <w:t>(Soit) </w:t>
      </w:r>
    </w:p>
    <w:p w14:paraId="4F42C10D" w14:textId="77777777" w:rsidR="004B2808" w:rsidRDefault="00000000">
      <w:pPr>
        <w:ind w:left="567"/>
        <w:jc w:val="both"/>
      </w:pPr>
      <w:r>
        <w:rPr>
          <w:rStyle w:val="soitChar"/>
          <w:b/>
          <w:u w:val="single"/>
        </w:rPr>
        <w:t>Par serrage et agrafage entre éléments : </w:t>
      </w:r>
    </w:p>
    <w:p w14:paraId="4EF4EC09" w14:textId="77777777" w:rsidR="004B2808" w:rsidRDefault="00000000">
      <w:pPr>
        <w:ind w:left="567"/>
        <w:jc w:val="both"/>
      </w:pPr>
      <w:r>
        <w:rPr>
          <w:rStyle w:val="soitChar"/>
        </w:rPr>
        <w:t xml:space="preserve">Les rouleaux sont serrés entièrement et découpés à mesure (+ 2 mm) le serrage est accompagné d’un </w:t>
      </w:r>
      <w:r>
        <w:rPr>
          <w:rStyle w:val="optioncarChar"/>
        </w:rPr>
        <w:t xml:space="preserve">agrafage à raison de 5 par m et par côté </w:t>
      </w:r>
      <w:r>
        <w:t>(par défaut)</w:t>
      </w:r>
      <w:r>
        <w:rPr>
          <w:rStyle w:val="optioncarChar"/>
        </w:rPr>
        <w:t xml:space="preserve"> / ***.</w:t>
      </w:r>
    </w:p>
    <w:p w14:paraId="250FE6B8" w14:textId="77777777" w:rsidR="004B2808" w:rsidRDefault="00000000">
      <w:pPr>
        <w:ind w:left="567"/>
        <w:jc w:val="both"/>
      </w:pPr>
      <w:r>
        <w:rPr>
          <w:b/>
          <w:i/>
        </w:rPr>
        <w:t>(Soit) </w:t>
      </w:r>
    </w:p>
    <w:p w14:paraId="6E12E553" w14:textId="77777777" w:rsidR="004B2808" w:rsidRDefault="00000000">
      <w:pPr>
        <w:ind w:left="567"/>
        <w:jc w:val="both"/>
      </w:pPr>
      <w:r>
        <w:rPr>
          <w:rStyle w:val="soitChar"/>
          <w:b/>
          <w:u w:val="single"/>
        </w:rPr>
        <w:t>Par collage : </w:t>
      </w:r>
    </w:p>
    <w:p w14:paraId="65F4A21A" w14:textId="77777777" w:rsidR="004B2808" w:rsidRDefault="00000000">
      <w:pPr>
        <w:ind w:left="567"/>
        <w:jc w:val="both"/>
      </w:pPr>
      <w:r>
        <w:rPr>
          <w:rStyle w:val="soitChar"/>
        </w:rPr>
        <w:t xml:space="preserve"> Les rouleaux sont fixés à l’aide de colle </w:t>
      </w:r>
      <w:r>
        <w:rPr>
          <w:rStyle w:val="optioncarChar"/>
        </w:rPr>
        <w:t xml:space="preserve">PU </w:t>
      </w:r>
      <w:r>
        <w:t xml:space="preserve">(par défaut) </w:t>
      </w:r>
      <w:r>
        <w:rPr>
          <w:rStyle w:val="optioncarChar"/>
        </w:rPr>
        <w:t>/ ***</w:t>
      </w:r>
      <w:r>
        <w:rPr>
          <w:rStyle w:val="soitChar"/>
        </w:rPr>
        <w:t xml:space="preserve">. La colle est appliquée en collage </w:t>
      </w:r>
      <w:r>
        <w:rPr>
          <w:rStyle w:val="optioncarChar"/>
        </w:rPr>
        <w:t xml:space="preserve">partiel à 50% </w:t>
      </w:r>
      <w:r>
        <w:t>(par défaut)</w:t>
      </w:r>
      <w:r>
        <w:rPr>
          <w:rStyle w:val="optioncarChar"/>
        </w:rPr>
        <w:t xml:space="preserve"> / total / ***</w:t>
      </w:r>
      <w:r>
        <w:rPr>
          <w:rStyle w:val="soitChar"/>
        </w:rPr>
        <w:t>. La colle répond aux mêmes exigences que le panneau en termes de formaldéhyde et  de pentachlorophénol.</w:t>
      </w:r>
    </w:p>
    <w:p w14:paraId="74FBB082" w14:textId="77777777" w:rsidR="004B2808" w:rsidRDefault="00000000">
      <w:pPr>
        <w:ind w:left="567"/>
        <w:jc w:val="both"/>
      </w:pPr>
      <w:r>
        <w:rPr>
          <w:b/>
          <w:i/>
        </w:rPr>
        <w:t>(Soit) </w:t>
      </w:r>
    </w:p>
    <w:p w14:paraId="76AF6F19" w14:textId="77777777" w:rsidR="004B2808" w:rsidRDefault="00000000">
      <w:pPr>
        <w:ind w:left="567"/>
        <w:jc w:val="both"/>
      </w:pPr>
      <w:r>
        <w:rPr>
          <w:rStyle w:val="optioncarChar"/>
        </w:rPr>
        <w:t>***</w:t>
      </w:r>
    </w:p>
    <w:p w14:paraId="4346064C" w14:textId="77777777" w:rsidR="004B2808" w:rsidRDefault="00000000">
      <w:pPr>
        <w:jc w:val="both"/>
      </w:pPr>
      <w:r>
        <w:t>Les fixations sont conçues et disposées afin de ne pas réduire les performances acoustiques</w:t>
      </w:r>
    </w:p>
    <w:p w14:paraId="706C60F5" w14:textId="77777777" w:rsidR="004B2808" w:rsidRDefault="00000000">
      <w:pPr>
        <w:jc w:val="both"/>
      </w:pPr>
      <w:r>
        <w:t>Les mesures de protection lors de la mise en œuvre de la laine minérale incluent de porter les équipements de protection individuelle EPI tels que des lunettes, un masque et des gants de protection. La préparation du chantier inclue également les séparations et l’isolement afin d’éviter la propagation des fibres minérales dans les autres zones accessibles de la construction.</w:t>
      </w:r>
    </w:p>
    <w:p w14:paraId="08D07E8F" w14:textId="77777777" w:rsidR="004B2808" w:rsidRDefault="00000000">
      <w:pPr>
        <w:pStyle w:val="pheading"/>
      </w:pPr>
      <w:r>
        <w:t>DOCUMENTS DE RÉFÉRENCE COMPLÉMENTAIRES</w:t>
      </w:r>
    </w:p>
    <w:p w14:paraId="4193E8A0" w14:textId="77777777" w:rsidR="004B2808" w:rsidRDefault="00000000">
      <w:pPr>
        <w:pStyle w:val="pheading"/>
      </w:pPr>
      <w:r>
        <w:t>- Matériau</w:t>
      </w:r>
    </w:p>
    <w:p w14:paraId="62501033" w14:textId="77777777" w:rsidR="004B2808"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348A58B5" w14:textId="77777777" w:rsidR="004B2808"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3A79EBF9" w14:textId="77777777" w:rsidR="004B2808" w:rsidRDefault="00000000">
      <w:r>
        <w:t>[NBN EN 824, Produits isolants thermiques destinés aux applications du bâtiment - Détermination de l'équerrage]</w:t>
      </w:r>
    </w:p>
    <w:p w14:paraId="725E8F96" w14:textId="77777777" w:rsidR="004B2808" w:rsidRDefault="00000000">
      <w:r>
        <w:t>[NBN EN 825, Produits isolants thermiques destinés aux applications du bâtiment - Détermination de la planéité]</w:t>
      </w:r>
    </w:p>
    <w:p w14:paraId="30B76F6B" w14:textId="77777777" w:rsidR="004B2808" w:rsidRDefault="00000000">
      <w:r>
        <w:t>[NBN EN 13501-1, Classement au feu des produits et éléments de construction - Partie 1: Classement à partir des données d'essais de réaction au feu]</w:t>
      </w:r>
    </w:p>
    <w:p w14:paraId="083A3484" w14:textId="77777777" w:rsidR="004B2808" w:rsidRDefault="00000000">
      <w:r>
        <w:t>[NBN EN 1604, Produits isolants thermiques destinés aux applications du bâtiment - Détermination de la stabilité dimensionnelle dans des conditions de température et d'humidité spécifiées]</w:t>
      </w:r>
    </w:p>
    <w:p w14:paraId="3BFD5ADC" w14:textId="77777777" w:rsidR="004B2808" w:rsidRDefault="00000000">
      <w:r>
        <w:t>[NBN EN 13162+A1, Produits isolants thermiques pour le bâtiment - Produits manufacturés en laine minérale (MW) - Spécification]</w:t>
      </w:r>
    </w:p>
    <w:p w14:paraId="01937887" w14:textId="77777777" w:rsidR="004B2808" w:rsidRDefault="00000000">
      <w:r>
        <w:t>[NBN EN 826, Produits isolants thermiques destinés aux applications du bâtiment - Détermination du comportement en compression]</w:t>
      </w:r>
    </w:p>
    <w:p w14:paraId="118374EA" w14:textId="77777777" w:rsidR="004B2808" w:rsidRDefault="00000000">
      <w:r>
        <w:t>[NBN EN 1607, Produits isolants thermiques destinés aux applications du bâtiment - Détermination de la résistance à la traction perpendiculairement aux faces]</w:t>
      </w:r>
    </w:p>
    <w:p w14:paraId="7B28EC61" w14:textId="77777777" w:rsidR="004B2808" w:rsidRDefault="00000000">
      <w:r>
        <w:t>[NBN EN 12430, Produits isolants thermiques destinés aux applications du bâtiment - Détermination du comportement sous charge ponctuelle]</w:t>
      </w:r>
    </w:p>
    <w:p w14:paraId="6C01337E" w14:textId="77777777" w:rsidR="004B2808" w:rsidRDefault="00000000">
      <w:r>
        <w:lastRenderedPageBreak/>
        <w:t>[NBN EN ISO 16534, Produits isolants thermiques destinés aux applications du bâtiment - Détermination du fluage en compression (ISO 16534:2020)]</w:t>
      </w:r>
    </w:p>
    <w:p w14:paraId="052160BD" w14:textId="77777777" w:rsidR="004B2808" w:rsidRDefault="00000000">
      <w:r>
        <w:t>[NBN EN ISO 29767, Produits isolants thermiques destinés aux applications du bâtiment - Détermination de l'absorption d'eau à court terme par immersion partielle (ISO 29767:2019)] </w:t>
      </w:r>
    </w:p>
    <w:p w14:paraId="6C88DECA" w14:textId="77777777" w:rsidR="004B2808" w:rsidRDefault="00000000">
      <w:r>
        <w:t>[NBN EN ISO 16535, Produits isolants thermiques destinés aux applications du bâtiment - Détermination de l'absorption d'eau à long terme par immersion (ISO 16535:2019)]</w:t>
      </w:r>
    </w:p>
    <w:p w14:paraId="59D7EB0F" w14:textId="77777777" w:rsidR="004B2808" w:rsidRDefault="00000000">
      <w:r>
        <w:t>[NBN EN 12086, Produits isolants thermiques destinés aux applications du bâtiment - Détermination des propriétés de transmission de la vapeur d'eau]</w:t>
      </w:r>
    </w:p>
    <w:p w14:paraId="4B618C12" w14:textId="77777777" w:rsidR="004B2808" w:rsidRDefault="00000000">
      <w:r>
        <w:t>[NBN EN ISO 354, Acoustique - Mesurage de l'absorption acoustique en salle réverbérante (ISO 354:2003)]</w:t>
      </w:r>
    </w:p>
    <w:p w14:paraId="78475E69" w14:textId="77777777" w:rsidR="004B2808" w:rsidRDefault="00000000">
      <w:r>
        <w:t>[NBN EN ISO 11654, Acoustique - Absorbants pour l'utilisation dans les bâtiments - Evaluation de l'absorption acoustique (ISO 11654:1997)]</w:t>
      </w:r>
    </w:p>
    <w:p w14:paraId="64FDD41C" w14:textId="77777777" w:rsidR="004B2808" w:rsidRDefault="00000000">
      <w:pPr>
        <w:pStyle w:val="pheading"/>
      </w:pPr>
      <w:r>
        <w:t>- Exécution</w:t>
      </w:r>
    </w:p>
    <w:p w14:paraId="78BF1AA6" w14:textId="77777777" w:rsidR="004B2808" w:rsidRDefault="00000000">
      <w:r>
        <w:t>[NIT 233, Les cloisons légères.]</w:t>
      </w:r>
    </w:p>
    <w:p w14:paraId="566E4265" w14:textId="77777777" w:rsidR="004B2808" w:rsidRDefault="00000000">
      <w:r>
        <w:t>[NIT 232, Les plafonds suspendus.]</w:t>
      </w:r>
    </w:p>
    <w:p w14:paraId="5EF612B4" w14:textId="77777777" w:rsidR="004B2808" w:rsidRDefault="00000000">
      <w:pPr>
        <w:pStyle w:val="pheading"/>
      </w:pPr>
      <w:r>
        <w:t>MESURAGE</w:t>
      </w:r>
    </w:p>
    <w:p w14:paraId="21386074" w14:textId="77777777" w:rsidR="004B2808" w:rsidRDefault="00000000">
      <w:pPr>
        <w:pStyle w:val="pheading"/>
      </w:pPr>
      <w:r>
        <w:t>- unité de mesure:</w:t>
      </w:r>
    </w:p>
    <w:p w14:paraId="0AD90C8C" w14:textId="77777777" w:rsidR="004B2808" w:rsidRDefault="00000000">
      <w:r>
        <w:t>m²</w:t>
      </w:r>
    </w:p>
    <w:p w14:paraId="43C3187F" w14:textId="77777777" w:rsidR="004B2808" w:rsidRDefault="00000000">
      <w:pPr>
        <w:pStyle w:val="pheading"/>
      </w:pPr>
      <w:r>
        <w:t>- code de mesurage:</w:t>
      </w:r>
    </w:p>
    <w:p w14:paraId="2E8F9E79" w14:textId="77777777" w:rsidR="004B2808" w:rsidRDefault="00000000">
      <w:pPr>
        <w:jc w:val="both"/>
      </w:pPr>
      <w:r>
        <w:rPr>
          <w:u w:val="single"/>
        </w:rPr>
        <w:t>Isolation des parois verticales</w:t>
      </w:r>
      <w:r>
        <w:t xml:space="preserve"> : </w:t>
      </w:r>
      <w:r>
        <w:rPr>
          <w:b/>
        </w:rPr>
        <w:t>Surface nette</w:t>
      </w:r>
      <w:r>
        <w:t>. Les ouvertures supérieures à 0,50 m² sont déduites</w:t>
      </w:r>
    </w:p>
    <w:p w14:paraId="56BF55BB" w14:textId="77777777" w:rsidR="004B2808" w:rsidRDefault="00000000">
      <w:pPr>
        <w:jc w:val="both"/>
      </w:pPr>
      <w:r>
        <w:rPr>
          <w:u w:val="single"/>
        </w:rPr>
        <w:t>Isolation des parois horizontales</w:t>
      </w:r>
      <w:r>
        <w:t xml:space="preserve"> : </w:t>
      </w:r>
      <w:r>
        <w:rPr>
          <w:b/>
        </w:rPr>
        <w:t xml:space="preserve"> Surface nette</w:t>
      </w:r>
      <w:r>
        <w:t xml:space="preserve"> du sol, mesurée entre le nu des murs. Les ouvertures supérieures à 0,5 m² sont déduites. L'isolation périphérique ne doit pas être portée en compte séparément.</w:t>
      </w:r>
    </w:p>
    <w:p w14:paraId="0548D59B" w14:textId="77777777" w:rsidR="004B2808" w:rsidRDefault="00000000">
      <w:pPr>
        <w:jc w:val="both"/>
      </w:pPr>
      <w:r>
        <w:t>Distinction faite suivant l'épaisseur.</w:t>
      </w:r>
    </w:p>
    <w:p w14:paraId="563759A6" w14:textId="77777777" w:rsidR="004B2808" w:rsidRDefault="00000000">
      <w:pPr>
        <w:pStyle w:val="pheading"/>
      </w:pPr>
      <w:r>
        <w:t>- nature du marché:</w:t>
      </w:r>
    </w:p>
    <w:p w14:paraId="247713F1" w14:textId="77777777" w:rsidR="004B2808" w:rsidRDefault="00000000">
      <w:r>
        <w:t>QF</w:t>
      </w:r>
    </w:p>
    <w:p w14:paraId="0744C7D7" w14:textId="77777777" w:rsidR="004B2808" w:rsidRDefault="00000000">
      <w:pPr>
        <w:pStyle w:val="Author-eSectionHeading5Numberless"/>
      </w:pPr>
      <w:bookmarkStart w:id="435" w:name="_Toc220490610"/>
      <w:r>
        <w:t>52.42.3 Isolation en rouleaux/matelas - matières végétales CCTB 01.07</w:t>
      </w:r>
      <w:bookmarkEnd w:id="435"/>
    </w:p>
    <w:p w14:paraId="74B33AED" w14:textId="77777777" w:rsidR="004B2808" w:rsidRDefault="00000000">
      <w:pPr>
        <w:pStyle w:val="pheading"/>
      </w:pPr>
      <w:r>
        <w:t>DOCUMENTS DE RÉFÉRENCE</w:t>
      </w:r>
    </w:p>
    <w:p w14:paraId="1AE87C4D" w14:textId="77777777" w:rsidR="004B2808" w:rsidRDefault="00000000">
      <w:pPr>
        <w:pStyle w:val="pheading"/>
      </w:pPr>
      <w:r>
        <w:t>- Matériau</w:t>
      </w:r>
    </w:p>
    <w:p w14:paraId="63F56685" w14:textId="77777777" w:rsidR="004B2808" w:rsidRDefault="00000000">
      <w:r>
        <w:t>32.42.3 Isolation en rouleaux/matelas - matières végétales</w:t>
      </w:r>
    </w:p>
    <w:p w14:paraId="586AE045" w14:textId="77777777" w:rsidR="004B2808" w:rsidRDefault="00000000">
      <w:pPr>
        <w:pStyle w:val="pheading"/>
      </w:pPr>
      <w:r>
        <w:t>- Exécution</w:t>
      </w:r>
    </w:p>
    <w:p w14:paraId="172A9CBF" w14:textId="77777777" w:rsidR="004B2808" w:rsidRDefault="00000000">
      <w:r>
        <w:t>32.42.3 Isolation en rouleaux/matelas - matières végétales</w:t>
      </w:r>
    </w:p>
    <w:p w14:paraId="58CC1185" w14:textId="77777777" w:rsidR="004B2808" w:rsidRDefault="00000000">
      <w:pPr>
        <w:pStyle w:val="Author-eSectionHeading6Numberless"/>
      </w:pPr>
      <w:bookmarkStart w:id="436" w:name="_Toc220490611"/>
      <w:r>
        <w:t>52.42.3a Isolation en rouleaux/matelas - liège (ICB) CCTB 01.07</w:t>
      </w:r>
      <w:bookmarkEnd w:id="436"/>
    </w:p>
    <w:p w14:paraId="27C8F5C2" w14:textId="77777777" w:rsidR="004B2808" w:rsidRDefault="00000000">
      <w:pPr>
        <w:pStyle w:val="pheading"/>
      </w:pPr>
      <w:r>
        <w:t>DESCRIPTION</w:t>
      </w:r>
    </w:p>
    <w:p w14:paraId="6388D02B" w14:textId="77777777" w:rsidR="004B2808" w:rsidRDefault="00000000">
      <w:pPr>
        <w:pStyle w:val="pheading"/>
      </w:pPr>
      <w:r>
        <w:t>- Définition / Comprend</w:t>
      </w:r>
    </w:p>
    <w:p w14:paraId="12A6E069" w14:textId="77777777" w:rsidR="004B2808" w:rsidRDefault="00000000">
      <w:r>
        <w:t>Il s'agit de la réalisation d'une isolation en rouleaux/matelas de liège suivant les prescriptions de l'article 32.42.3a Isolation en rouleaux/matelas - liège (ICB).</w:t>
      </w:r>
    </w:p>
    <w:p w14:paraId="26FBC701" w14:textId="77777777" w:rsidR="004B2808" w:rsidRDefault="00000000">
      <w:pPr>
        <w:pStyle w:val="pheading"/>
      </w:pPr>
      <w:r>
        <w:t>MATÉRIAUX</w:t>
      </w:r>
    </w:p>
    <w:p w14:paraId="240E474F" w14:textId="77777777" w:rsidR="004B2808" w:rsidRDefault="00000000">
      <w:pPr>
        <w:pStyle w:val="pheading"/>
      </w:pPr>
      <w:r>
        <w:t>- Caractéristiques générales</w:t>
      </w:r>
    </w:p>
    <w:p w14:paraId="52D26249" w14:textId="77777777" w:rsidR="004B2808" w:rsidRDefault="00000000">
      <w:r>
        <w:t>Les caractéristiques générales sont conformes à celles décrites dans l'article 32.41.3a Isolation en panneaux - liège expansé (ICB)32.42.3a Isolation en rouleaux/matelas - liège (ICB)</w:t>
      </w:r>
    </w:p>
    <w:p w14:paraId="6C117A63" w14:textId="77777777" w:rsidR="004B2808" w:rsidRDefault="00000000">
      <w:pPr>
        <w:pStyle w:val="pheading"/>
      </w:pPr>
      <w:r>
        <w:lastRenderedPageBreak/>
        <w:t>- Finitions</w:t>
      </w:r>
    </w:p>
    <w:p w14:paraId="75910912" w14:textId="77777777" w:rsidR="004B2808" w:rsidRDefault="00000000">
      <w:r>
        <w:t>Finitions telles que décrites au 32.41.3a Isolation en panneaux - liège expansé (ICB)32.42.3a Isolation en rouleaux/matelas - liège (ICB)</w:t>
      </w:r>
    </w:p>
    <w:p w14:paraId="5815E0F6" w14:textId="77777777" w:rsidR="004B2808" w:rsidRDefault="00000000">
      <w:pPr>
        <w:pStyle w:val="pheading"/>
      </w:pPr>
      <w:r>
        <w:t>- Prescriptions complémentaires</w:t>
      </w:r>
    </w:p>
    <w:p w14:paraId="5A642D15" w14:textId="77777777" w:rsidR="004B2808" w:rsidRDefault="00000000">
      <w:r>
        <w:t>Options telle que proposées au 32.41.3a Isolation en panneaux - liège expansé (ICB)32.42.3a Isolation en rouleaux/matelas - liège (ICB)</w:t>
      </w:r>
    </w:p>
    <w:p w14:paraId="50227829" w14:textId="77777777" w:rsidR="004B2808" w:rsidRDefault="00000000">
      <w:pPr>
        <w:pStyle w:val="pheading"/>
      </w:pPr>
      <w:r>
        <w:t>DOCUMENTS DE RÉFÉRENCE COMPLÉMENTAIRES</w:t>
      </w:r>
    </w:p>
    <w:p w14:paraId="5568AE8F" w14:textId="77777777" w:rsidR="004B2808" w:rsidRDefault="00000000">
      <w:pPr>
        <w:pStyle w:val="pheading"/>
      </w:pPr>
      <w:r>
        <w:t>- Matériau</w:t>
      </w:r>
    </w:p>
    <w:p w14:paraId="2BFD92D8" w14:textId="77777777" w:rsidR="004B2808" w:rsidRDefault="00000000">
      <w:r>
        <w:t>32.42.3a Isolation en rouleaux/matelas - liège (ICB)</w:t>
      </w:r>
    </w:p>
    <w:p w14:paraId="39F73BB7" w14:textId="77777777" w:rsidR="004B2808" w:rsidRDefault="00000000">
      <w:pPr>
        <w:pStyle w:val="pheading"/>
      </w:pPr>
      <w:r>
        <w:t>- Exécution</w:t>
      </w:r>
    </w:p>
    <w:p w14:paraId="5CBAADC0" w14:textId="77777777" w:rsidR="004B2808" w:rsidRDefault="00000000">
      <w:r>
        <w:t>32.42.3a Isolation en rouleaux/matelas - liège (ICB)</w:t>
      </w:r>
    </w:p>
    <w:p w14:paraId="00A88987" w14:textId="77777777" w:rsidR="004B2808" w:rsidRDefault="00000000">
      <w:pPr>
        <w:pStyle w:val="pheading"/>
      </w:pPr>
      <w:r>
        <w:t>MESURAGE</w:t>
      </w:r>
    </w:p>
    <w:p w14:paraId="5CB0AD4C" w14:textId="77777777" w:rsidR="004B2808" w:rsidRDefault="00000000">
      <w:pPr>
        <w:pStyle w:val="pheading"/>
      </w:pPr>
      <w:r>
        <w:t>- unité de mesure:</w:t>
      </w:r>
    </w:p>
    <w:p w14:paraId="00F531BA" w14:textId="77777777" w:rsidR="004B2808" w:rsidRDefault="00000000">
      <w:r>
        <w:t>m²</w:t>
      </w:r>
    </w:p>
    <w:p w14:paraId="598167D6" w14:textId="77777777" w:rsidR="004B2808" w:rsidRDefault="00000000">
      <w:pPr>
        <w:pStyle w:val="pheading"/>
      </w:pPr>
      <w:r>
        <w:t>- code de mesurage:</w:t>
      </w:r>
    </w:p>
    <w:p w14:paraId="54797095" w14:textId="77777777" w:rsidR="004B2808" w:rsidRDefault="00000000">
      <w:r>
        <w:t>Distinction faite suivant l'épaisseur.</w:t>
      </w:r>
    </w:p>
    <w:p w14:paraId="51E0E263" w14:textId="77777777" w:rsidR="004B2808" w:rsidRDefault="00000000">
      <w:pPr>
        <w:pStyle w:val="Author-eListParagraph"/>
        <w:numPr>
          <w:ilvl w:val="0"/>
          <w:numId w:val="427"/>
        </w:numPr>
      </w:pPr>
      <w:r>
        <w:t>Isolation des parois verticales : Surface nette. Les ouvertures supérieures à 0,50 m² sont déduites</w:t>
      </w:r>
    </w:p>
    <w:p w14:paraId="3B59DD23" w14:textId="77777777" w:rsidR="004B2808" w:rsidRDefault="00000000">
      <w:pPr>
        <w:pStyle w:val="Author-eListParagraph"/>
        <w:numPr>
          <w:ilvl w:val="0"/>
          <w:numId w:val="427"/>
        </w:numPr>
      </w:pPr>
      <w:r>
        <w:t>Isolation des parois horizontales : Surface nette du sol, mesurée entre le nu des murs. Les ouvertures supérieures à 0,5 m² sont déduites. L'isolation périphérique ne doit pas être portée en compte séparément</w:t>
      </w:r>
    </w:p>
    <w:p w14:paraId="01855425" w14:textId="77777777" w:rsidR="004B2808" w:rsidRDefault="00000000">
      <w:pPr>
        <w:pStyle w:val="pheading"/>
      </w:pPr>
      <w:r>
        <w:t>- nature du marché:</w:t>
      </w:r>
    </w:p>
    <w:p w14:paraId="72F9CD68" w14:textId="77777777" w:rsidR="004B2808" w:rsidRDefault="00000000">
      <w:r>
        <w:t>QF</w:t>
      </w:r>
    </w:p>
    <w:p w14:paraId="7449F0F0" w14:textId="77777777" w:rsidR="004B2808" w:rsidRDefault="00000000">
      <w:pPr>
        <w:pStyle w:val="Author-eSectionHeading6Numberless"/>
      </w:pPr>
      <w:bookmarkStart w:id="437" w:name="_Toc220490612"/>
      <w:r>
        <w:t>52.42.3b Isolation en rouleaux/matelas - laine de chanvre CCTB 01.12</w:t>
      </w:r>
      <w:bookmarkEnd w:id="437"/>
    </w:p>
    <w:p w14:paraId="53AD0A9E" w14:textId="77777777" w:rsidR="004B2808" w:rsidRDefault="00000000">
      <w:pPr>
        <w:pStyle w:val="pheading"/>
      </w:pPr>
      <w:r>
        <w:t>DESCRIPTION</w:t>
      </w:r>
    </w:p>
    <w:p w14:paraId="307D2ABD" w14:textId="77777777" w:rsidR="004B2808" w:rsidRDefault="00000000">
      <w:pPr>
        <w:pStyle w:val="pheading"/>
      </w:pPr>
      <w:r>
        <w:t>- Définition / Comprend</w:t>
      </w:r>
    </w:p>
    <w:p w14:paraId="4CDD583F" w14:textId="77777777" w:rsidR="004B2808" w:rsidRDefault="00000000">
      <w:pPr>
        <w:jc w:val="both"/>
      </w:pPr>
      <w:r>
        <w:t>Il s’agit de la fourniture et la pose d’une isolation thermique au moyen de rouleaux/matelas de laine de chanvre en application horizontale ou verticale d’isolation intérieure.</w:t>
      </w:r>
    </w:p>
    <w:p w14:paraId="628F3C94" w14:textId="77777777" w:rsidR="004B2808" w:rsidRDefault="00000000">
      <w:pPr>
        <w:jc w:val="both"/>
      </w:pPr>
      <w:r>
        <w:t xml:space="preserve">L’étendue des travaux est décrite sous </w:t>
      </w:r>
      <w:hyperlink w:anchor="1123" w:history="1">
        <w:r w:rsidR="004B2808">
          <w:rPr>
            <w:color w:val="0000EE"/>
          </w:rPr>
          <w:t>52.42 Isolation en rouleaux/matelas.</w:t>
        </w:r>
        <w:r w:rsidR="004B2808">
          <w:rPr>
            <w:color w:val="0000EE"/>
          </w:rPr>
          <w:br/>
        </w:r>
      </w:hyperlink>
      <w:r>
        <w:t>L’enduisage du support en vue d’obtenir une surface suffisamment place pour l’application des matelas d’isolation fait partie du présent article.</w:t>
      </w:r>
    </w:p>
    <w:p w14:paraId="2C13F5D9" w14:textId="77777777" w:rsidR="004B2808" w:rsidRDefault="00000000">
      <w:pPr>
        <w:pStyle w:val="pheading"/>
      </w:pPr>
      <w:r>
        <w:t>MATÉRIAUX</w:t>
      </w:r>
    </w:p>
    <w:p w14:paraId="14CB57E2" w14:textId="77777777" w:rsidR="004B2808" w:rsidRDefault="00000000">
      <w:pPr>
        <w:pStyle w:val="pheading"/>
      </w:pPr>
      <w:r>
        <w:t>- Caractéristiques générales</w:t>
      </w:r>
    </w:p>
    <w:p w14:paraId="57F7289B" w14:textId="77777777" w:rsidR="004B2808" w:rsidRDefault="00000000">
      <w:pPr>
        <w:jc w:val="both"/>
      </w:pPr>
      <w:r>
        <w:rPr>
          <w:b/>
        </w:rPr>
        <w:t>Composition des rouleaux d’isolation :</w:t>
      </w:r>
    </w:p>
    <w:p w14:paraId="3FDDA24B" w14:textId="77777777" w:rsidR="004B2808" w:rsidRDefault="00000000">
      <w:pPr>
        <w:pStyle w:val="Author-eListParagraph"/>
        <w:numPr>
          <w:ilvl w:val="0"/>
          <w:numId w:val="428"/>
        </w:numPr>
      </w:pPr>
      <w:r>
        <w:t>85 à 90% de fibres de chanvre, liant, additif fongicide.</w:t>
      </w:r>
    </w:p>
    <w:p w14:paraId="34A7E4DF" w14:textId="77777777" w:rsidR="004B2808" w:rsidRDefault="00000000">
      <w:pPr>
        <w:pStyle w:val="Author-eListParagraph"/>
        <w:numPr>
          <w:ilvl w:val="0"/>
          <w:numId w:val="428"/>
        </w:numPr>
      </w:pPr>
      <w:r>
        <w:t xml:space="preserve">Additif ignifuge : </w:t>
      </w:r>
      <w:r>
        <w:rPr>
          <w:rStyle w:val="optioncarChar"/>
        </w:rPr>
        <w:t xml:space="preserve">oui </w:t>
      </w:r>
      <w:r>
        <w:t>(par défaut)</w:t>
      </w:r>
      <w:r>
        <w:rPr>
          <w:rStyle w:val="optioncarChar"/>
        </w:rPr>
        <w:t xml:space="preserve"> / non</w:t>
      </w:r>
    </w:p>
    <w:p w14:paraId="28041FBF" w14:textId="77777777" w:rsidR="004B2808" w:rsidRDefault="00000000">
      <w:pPr>
        <w:jc w:val="both"/>
      </w:pPr>
      <w:r>
        <w:t> </w:t>
      </w:r>
      <w:r>
        <w:rPr>
          <w:b/>
        </w:rPr>
        <w:t>Caractéristiques des rouleaux :</w:t>
      </w:r>
    </w:p>
    <w:p w14:paraId="4142A8F8" w14:textId="77777777" w:rsidR="004B2808" w:rsidRDefault="00000000">
      <w:pPr>
        <w:pStyle w:val="Author-eListParagraph"/>
        <w:numPr>
          <w:ilvl w:val="0"/>
          <w:numId w:val="429"/>
        </w:numPr>
      </w:pPr>
      <w:r>
        <w:t>Conductivité thermique déclarée selon [NBN EN 12667] λ</w:t>
      </w:r>
      <w:r>
        <w:rPr>
          <w:vertAlign w:val="subscript"/>
        </w:rPr>
        <w:t>d</w:t>
      </w:r>
      <w:r>
        <w:t xml:space="preserve"> ≤ : </w:t>
      </w:r>
      <w:r>
        <w:rPr>
          <w:rStyle w:val="optioncarChar"/>
        </w:rPr>
        <w:t xml:space="preserve">0,040 </w:t>
      </w:r>
      <w:r>
        <w:t>(par défaut)</w:t>
      </w:r>
      <w:r>
        <w:rPr>
          <w:rStyle w:val="optioncarChar"/>
        </w:rPr>
        <w:t xml:space="preserve"> / 0,041 / ***</w:t>
      </w:r>
      <w:r>
        <w:t xml:space="preserve"> W/mK</w:t>
      </w:r>
    </w:p>
    <w:p w14:paraId="35590FFB" w14:textId="77777777" w:rsidR="004B2808" w:rsidRDefault="00000000">
      <w:pPr>
        <w:pStyle w:val="Author-eListParagraph"/>
        <w:numPr>
          <w:ilvl w:val="0"/>
          <w:numId w:val="429"/>
        </w:numPr>
      </w:pPr>
      <w:r>
        <w:t xml:space="preserve">Réaction au feu selon [NBN EN 13501-1] : </w:t>
      </w:r>
      <w:r>
        <w:rPr>
          <w:rStyle w:val="optioncarChar"/>
        </w:rPr>
        <w:t xml:space="preserve">F </w:t>
      </w:r>
      <w:r>
        <w:t xml:space="preserve">(par défaut) </w:t>
      </w:r>
      <w:r>
        <w:rPr>
          <w:rStyle w:val="optioncarChar"/>
        </w:rPr>
        <w:t>/ E / ***</w:t>
      </w:r>
    </w:p>
    <w:p w14:paraId="34C6DA83" w14:textId="77777777" w:rsidR="004B2808" w:rsidRDefault="00000000">
      <w:pPr>
        <w:pStyle w:val="Author-eListParagraph"/>
        <w:numPr>
          <w:ilvl w:val="0"/>
          <w:numId w:val="429"/>
        </w:numPr>
      </w:pPr>
      <w:r>
        <w:t xml:space="preserve">Classement complémentaire pour les gouttelettes/particules enflammées selon [NBN EN 13501-1] : </w:t>
      </w:r>
      <w:r>
        <w:rPr>
          <w:rStyle w:val="optioncarChar"/>
        </w:rPr>
        <w:t>néant /</w:t>
      </w:r>
      <w:r>
        <w:t> </w:t>
      </w:r>
      <w:r>
        <w:rPr>
          <w:rStyle w:val="optioncarChar"/>
        </w:rPr>
        <w:t>d0 / d1 / d2</w:t>
      </w:r>
    </w:p>
    <w:p w14:paraId="4BB9B49F" w14:textId="77777777" w:rsidR="004B2808" w:rsidRDefault="00000000">
      <w:pPr>
        <w:pStyle w:val="Author-eListParagraph"/>
        <w:numPr>
          <w:ilvl w:val="0"/>
          <w:numId w:val="429"/>
        </w:numPr>
      </w:pPr>
      <w:r>
        <w:lastRenderedPageBreak/>
        <w:t xml:space="preserve">Classement complémentaire pour la production de fumée selon [NBN EN 13501-1] : </w:t>
      </w:r>
      <w:r>
        <w:rPr>
          <w:rStyle w:val="optioncarChar"/>
        </w:rPr>
        <w:t>s1 / s2 / s3</w:t>
      </w:r>
    </w:p>
    <w:p w14:paraId="2E531A38" w14:textId="77777777" w:rsidR="004B2808" w:rsidRDefault="00000000">
      <w:pPr>
        <w:pStyle w:val="Author-eListParagraph"/>
        <w:numPr>
          <w:ilvl w:val="0"/>
          <w:numId w:val="429"/>
        </w:numPr>
      </w:pPr>
      <w:r>
        <w:t xml:space="preserve"> Largeur ± : </w:t>
      </w:r>
      <w:r>
        <w:rPr>
          <w:rStyle w:val="optioncarChar"/>
        </w:rPr>
        <w:t>600</w:t>
      </w:r>
      <w:r>
        <w:t xml:space="preserve"> (par défaut) </w:t>
      </w:r>
      <w:r>
        <w:rPr>
          <w:rStyle w:val="optioncarChar"/>
        </w:rPr>
        <w:t>/ 625 / *** mm  /  néant</w:t>
      </w:r>
    </w:p>
    <w:p w14:paraId="4521A3BF" w14:textId="77777777" w:rsidR="004B2808" w:rsidRDefault="00000000">
      <w:pPr>
        <w:pStyle w:val="Author-eListParagraph"/>
        <w:numPr>
          <w:ilvl w:val="0"/>
          <w:numId w:val="429"/>
        </w:numPr>
      </w:pPr>
      <w:r>
        <w:t xml:space="preserve">Épaisseur : </w:t>
      </w:r>
      <w:r>
        <w:rPr>
          <w:rStyle w:val="optioncarChar"/>
        </w:rPr>
        <w:t xml:space="preserve">60 / 80 / 100 </w:t>
      </w:r>
      <w:r>
        <w:t xml:space="preserve">(par défaut) </w:t>
      </w:r>
      <w:r>
        <w:rPr>
          <w:rStyle w:val="optioncarChar"/>
        </w:rPr>
        <w:t>/ 120 / ***</w:t>
      </w:r>
      <w:r>
        <w:t xml:space="preserve"> mm</w:t>
      </w:r>
    </w:p>
    <w:p w14:paraId="3693A237" w14:textId="77777777" w:rsidR="004B2808" w:rsidRDefault="00000000">
      <w:pPr>
        <w:pStyle w:val="Author-eListParagraph"/>
        <w:numPr>
          <w:ilvl w:val="0"/>
          <w:numId w:val="429"/>
        </w:numPr>
      </w:pPr>
      <w:r>
        <w:t xml:space="preserve">Tolérances : </w:t>
      </w:r>
    </w:p>
    <w:p w14:paraId="58C2EAED" w14:textId="77777777" w:rsidR="004B2808" w:rsidRDefault="00000000">
      <w:pPr>
        <w:pStyle w:val="Author-eListParagraph"/>
        <w:numPr>
          <w:ilvl w:val="1"/>
          <w:numId w:val="430"/>
        </w:numPr>
      </w:pPr>
      <w:r>
        <w:t xml:space="preserve">Épaisseur selon [NBN EN 823] : </w:t>
      </w:r>
      <w:r>
        <w:rPr>
          <w:rStyle w:val="optioncarChar"/>
        </w:rPr>
        <w:t xml:space="preserve">T2 </w:t>
      </w:r>
      <w:r>
        <w:t xml:space="preserve">(par défaut) </w:t>
      </w:r>
      <w:r>
        <w:rPr>
          <w:rStyle w:val="optioncarChar"/>
        </w:rPr>
        <w:t>/ T3 / ***</w:t>
      </w:r>
    </w:p>
    <w:p w14:paraId="48BB62DC" w14:textId="77777777" w:rsidR="004B2808" w:rsidRDefault="00000000">
      <w:pPr>
        <w:pStyle w:val="Author-eListParagraph"/>
        <w:numPr>
          <w:ilvl w:val="1"/>
          <w:numId w:val="430"/>
        </w:numPr>
      </w:pPr>
      <w:r>
        <w:t>Largeur selon [NBN EN 822] :  ± 1,5%</w:t>
      </w:r>
    </w:p>
    <w:p w14:paraId="57CC66D1" w14:textId="77777777" w:rsidR="004B2808" w:rsidRDefault="00000000">
      <w:pPr>
        <w:pStyle w:val="Author-eListParagraph"/>
        <w:numPr>
          <w:ilvl w:val="0"/>
          <w:numId w:val="429"/>
        </w:numPr>
      </w:pPr>
      <w:r>
        <w:t xml:space="preserve">Densité [NBN EN ISO 29470] : </w:t>
      </w:r>
      <w:r>
        <w:rPr>
          <w:rStyle w:val="optioncarChar"/>
        </w:rPr>
        <w:t>30 à 40</w:t>
      </w:r>
      <w:r>
        <w:t xml:space="preserve"> (par défaut)</w:t>
      </w:r>
      <w:r>
        <w:rPr>
          <w:rStyle w:val="optioncarChar"/>
        </w:rPr>
        <w:t xml:space="preserve"> / ± 25 / ***</w:t>
      </w:r>
      <w:r>
        <w:t xml:space="preserve"> kg/m3</w:t>
      </w:r>
    </w:p>
    <w:p w14:paraId="5791320C" w14:textId="77777777" w:rsidR="004B2808" w:rsidRDefault="00000000">
      <w:pPr>
        <w:pStyle w:val="Author-eListParagraph"/>
        <w:numPr>
          <w:ilvl w:val="0"/>
          <w:numId w:val="429"/>
        </w:numPr>
      </w:pPr>
      <w:r>
        <w:t xml:space="preserve">Résistance à la traction parallèle aux faces selon [NBN EN 1608] ≥ : </w:t>
      </w:r>
      <w:r>
        <w:rPr>
          <w:rStyle w:val="optioncarChar"/>
        </w:rPr>
        <w:t>30</w:t>
      </w:r>
      <w:r>
        <w:t xml:space="preserve"> (par défaut)</w:t>
      </w:r>
      <w:r>
        <w:rPr>
          <w:rStyle w:val="optioncarChar"/>
        </w:rPr>
        <w:t xml:space="preserve"> / ***</w:t>
      </w:r>
      <w:r>
        <w:t xml:space="preserve"> kPa</w:t>
      </w:r>
    </w:p>
    <w:p w14:paraId="7839D331" w14:textId="77777777" w:rsidR="004B2808" w:rsidRDefault="00000000">
      <w:pPr>
        <w:pStyle w:val="Author-eListParagraph"/>
        <w:numPr>
          <w:ilvl w:val="0"/>
          <w:numId w:val="429"/>
        </w:numPr>
      </w:pPr>
      <w:r>
        <w:t>Coefficient diffusion de vapeur d’eau selon [NBN EN 12086] : 1 ≤ μ ≤ 2</w:t>
      </w:r>
    </w:p>
    <w:p w14:paraId="5D680106" w14:textId="77777777" w:rsidR="004B2808" w:rsidRDefault="00000000">
      <w:pPr>
        <w:pStyle w:val="Author-eListParagraph"/>
        <w:numPr>
          <w:ilvl w:val="0"/>
          <w:numId w:val="429"/>
        </w:numPr>
      </w:pPr>
      <w:r>
        <w:t xml:space="preserve">Absorption d’eau suivant [NBN EN ISO 29767] ≤ : </w:t>
      </w:r>
      <w:r>
        <w:rPr>
          <w:rStyle w:val="optioncarChar"/>
        </w:rPr>
        <w:t>4,2</w:t>
      </w:r>
      <w:r>
        <w:t xml:space="preserve"> Kg/m2</w:t>
      </w:r>
    </w:p>
    <w:p w14:paraId="79FC37B1" w14:textId="77777777" w:rsidR="004B2808" w:rsidRDefault="00000000">
      <w:pPr>
        <w:pStyle w:val="Author-eListParagraph"/>
        <w:numPr>
          <w:ilvl w:val="0"/>
          <w:numId w:val="429"/>
        </w:numPr>
      </w:pPr>
      <w:r>
        <w:t xml:space="preserve">Capacité thermique : </w:t>
      </w:r>
      <w:r>
        <w:rPr>
          <w:rStyle w:val="optioncarChar"/>
        </w:rPr>
        <w:t>1800 / ***</w:t>
      </w:r>
      <w:r>
        <w:t>  j/kg.K</w:t>
      </w:r>
    </w:p>
    <w:p w14:paraId="5BF16C72" w14:textId="77777777" w:rsidR="004B2808" w:rsidRDefault="00000000">
      <w:pPr>
        <w:pStyle w:val="Author-eListParagraph"/>
        <w:numPr>
          <w:ilvl w:val="0"/>
          <w:numId w:val="429"/>
        </w:numPr>
      </w:pPr>
      <w:r>
        <w:t xml:space="preserve">Déphasage thermique : ≥ </w:t>
      </w:r>
      <w:r>
        <w:rPr>
          <w:rStyle w:val="optioncarChar"/>
        </w:rPr>
        <w:t>4 heures (par défaut) / ***</w:t>
      </w:r>
      <w:r>
        <w:t xml:space="preserve"> (pour une épaisseur de </w:t>
      </w:r>
      <w:r>
        <w:rPr>
          <w:rStyle w:val="optioncarChar"/>
        </w:rPr>
        <w:t>20 / ***</w:t>
      </w:r>
      <w:r>
        <w:t xml:space="preserve"> cm)</w:t>
      </w:r>
    </w:p>
    <w:p w14:paraId="57DA4806" w14:textId="77777777" w:rsidR="004B2808" w:rsidRDefault="00000000">
      <w:pPr>
        <w:jc w:val="both"/>
      </w:pPr>
      <w:r>
        <w:rPr>
          <w:b/>
        </w:rPr>
        <w:t> Aspects environnementaux :</w:t>
      </w:r>
    </w:p>
    <w:p w14:paraId="6C09FC9F" w14:textId="77777777" w:rsidR="004B2808" w:rsidRDefault="00000000">
      <w:pPr>
        <w:pStyle w:val="Author-eListParagraph"/>
        <w:numPr>
          <w:ilvl w:val="0"/>
          <w:numId w:val="431"/>
        </w:numPr>
        <w:jc w:val="both"/>
      </w:pPr>
      <w:r>
        <w:t xml:space="preserve">Émission de COV [NBN ISO 16000 série] : </w:t>
      </w:r>
      <w:r>
        <w:rPr>
          <w:rStyle w:val="optioncarChar"/>
        </w:rPr>
        <w:t>A+ / ***</w:t>
      </w:r>
    </w:p>
    <w:p w14:paraId="562D55EC" w14:textId="77777777" w:rsidR="004B2808" w:rsidRDefault="00000000">
      <w:pPr>
        <w:pStyle w:val="Author-eListParagraph"/>
        <w:numPr>
          <w:ilvl w:val="0"/>
          <w:numId w:val="431"/>
        </w:numPr>
        <w:jc w:val="both"/>
      </w:pPr>
      <w:r>
        <w:t xml:space="preserve">Emission de formaldéhyde : </w:t>
      </w:r>
      <w:r>
        <w:rPr>
          <w:rStyle w:val="optioncarChar"/>
        </w:rPr>
        <w:t>A+ / ***</w:t>
      </w:r>
    </w:p>
    <w:p w14:paraId="244629CF" w14:textId="77777777" w:rsidR="004B2808" w:rsidRDefault="00000000">
      <w:pPr>
        <w:pStyle w:val="Author-eListParagraph"/>
        <w:numPr>
          <w:ilvl w:val="0"/>
          <w:numId w:val="431"/>
        </w:numPr>
        <w:jc w:val="both"/>
      </w:pPr>
      <w:r>
        <w:t>La production de fibres de chanvre permet de séquestrer du CO</w:t>
      </w:r>
      <w:r>
        <w:rPr>
          <w:vertAlign w:val="subscript"/>
        </w:rPr>
        <w:t>2</w:t>
      </w:r>
      <w:r>
        <w:t xml:space="preserve"> à condition de provenir d’un circuit court.</w:t>
      </w:r>
    </w:p>
    <w:p w14:paraId="32BEB355" w14:textId="77777777" w:rsidR="004B2808" w:rsidRDefault="00000000">
      <w:pPr>
        <w:pStyle w:val="Author-eListParagraph"/>
        <w:numPr>
          <w:ilvl w:val="0"/>
          <w:numId w:val="431"/>
        </w:numPr>
        <w:jc w:val="both"/>
      </w:pPr>
      <w:r>
        <w:t xml:space="preserve">Les chutes sont recyclées lors de la production : </w:t>
      </w:r>
      <w:r>
        <w:rPr>
          <w:rStyle w:val="optioncarChar"/>
        </w:rPr>
        <w:t xml:space="preserve">oui </w:t>
      </w:r>
      <w:r>
        <w:t>(par défaut)</w:t>
      </w:r>
      <w:r>
        <w:rPr>
          <w:rStyle w:val="optioncarChar"/>
        </w:rPr>
        <w:t xml:space="preserve"> / non</w:t>
      </w:r>
    </w:p>
    <w:p w14:paraId="58F28225" w14:textId="77777777" w:rsidR="004B2808" w:rsidRDefault="00000000">
      <w:pPr>
        <w:pStyle w:val="Author-eListParagraph"/>
        <w:numPr>
          <w:ilvl w:val="0"/>
          <w:numId w:val="431"/>
        </w:numPr>
        <w:jc w:val="both"/>
      </w:pPr>
      <w:r>
        <w:t>Le produit dispose du label produit biosourcé</w:t>
      </w:r>
    </w:p>
    <w:p w14:paraId="6A779D1B" w14:textId="77777777" w:rsidR="004B2808" w:rsidRDefault="00000000">
      <w:pPr>
        <w:pStyle w:val="pheading"/>
      </w:pPr>
      <w:r>
        <w:t>EXÉCUTION / MISE EN ŒUVRE</w:t>
      </w:r>
    </w:p>
    <w:p w14:paraId="09D30295" w14:textId="77777777" w:rsidR="004B2808" w:rsidRDefault="00000000">
      <w:pPr>
        <w:pStyle w:val="pheading"/>
      </w:pPr>
      <w:r>
        <w:t>- Prescriptions générales</w:t>
      </w:r>
    </w:p>
    <w:p w14:paraId="7F16C593" w14:textId="77777777" w:rsidR="004B2808" w:rsidRDefault="00000000">
      <w:pPr>
        <w:jc w:val="both"/>
      </w:pPr>
      <w:r>
        <w:t>Les rouleaux sont posés de façon jointive. Les espaces éventuels entre les panneaux et de liaison avec les parois sont comblés avec un isolant de même type.</w:t>
      </w:r>
    </w:p>
    <w:p w14:paraId="27A68221" w14:textId="77777777" w:rsidR="004B2808" w:rsidRDefault="00000000">
      <w:pPr>
        <w:jc w:val="both"/>
      </w:pPr>
      <w:r>
        <w:t xml:space="preserve">Les rouleaux sont posés en : </w:t>
      </w:r>
      <w:r>
        <w:rPr>
          <w:rStyle w:val="optioncarChar"/>
        </w:rPr>
        <w:t>1</w:t>
      </w:r>
      <w:r>
        <w:t xml:space="preserve"> (par défaut)</w:t>
      </w:r>
      <w:r>
        <w:rPr>
          <w:rStyle w:val="optioncarChar"/>
        </w:rPr>
        <w:t xml:space="preserve"> / ***</w:t>
      </w:r>
      <w:r>
        <w:t xml:space="preserve"> couche(s)</w:t>
      </w:r>
    </w:p>
    <w:p w14:paraId="39DAEADB" w14:textId="77777777" w:rsidR="004B2808" w:rsidRDefault="00000000">
      <w:pPr>
        <w:jc w:val="both"/>
      </w:pPr>
      <w:r>
        <w:rPr>
          <w:b/>
        </w:rPr>
        <w:t>Pour une application en parois de séparation ou contre-cloison thermique :</w:t>
      </w:r>
    </w:p>
    <w:p w14:paraId="1E70963F" w14:textId="77777777" w:rsidR="004B2808" w:rsidRDefault="00000000">
      <w:pPr>
        <w:jc w:val="both"/>
      </w:pPr>
      <w:r>
        <w:t>Les spécifications de mise en œuvre sont reprises dans la [NIT 233].</w:t>
      </w:r>
    </w:p>
    <w:p w14:paraId="6040BBB0" w14:textId="77777777" w:rsidR="004B2808" w:rsidRDefault="00000000">
      <w:pPr>
        <w:jc w:val="both"/>
      </w:pPr>
      <w:r>
        <w:t xml:space="preserve">Les panneaux sont protégés côté chaud par un pare-vapeur suivant </w:t>
      </w:r>
      <w:hyperlink w:anchor="1192" w:history="1">
        <w:r w:rsidR="004B2808">
          <w:rPr>
            <w:color w:val="0000EE"/>
          </w:rPr>
          <w:t>52.21 Pare-vapeur</w:t>
        </w:r>
      </w:hyperlink>
      <w:r>
        <w:t xml:space="preserve">, couvrant l’entièreté de la surface et raccordé aux matériaux adjacents : </w:t>
      </w:r>
      <w:r>
        <w:rPr>
          <w:rStyle w:val="optioncarChar"/>
        </w:rPr>
        <w:t>hygrovariable</w:t>
      </w:r>
      <w:r>
        <w:t xml:space="preserve"> (par défaut)</w:t>
      </w:r>
      <w:r>
        <w:rPr>
          <w:rStyle w:val="optioncarChar"/>
        </w:rPr>
        <w:t xml:space="preserve"> / PE / ***</w:t>
      </w:r>
    </w:p>
    <w:p w14:paraId="2E6D2FBF" w14:textId="77777777" w:rsidR="004B2808" w:rsidRDefault="00000000">
      <w:pPr>
        <w:jc w:val="both"/>
      </w:pPr>
      <w:r>
        <w:t>Les panneaux sont protégés contre toute remontée d’humidité.</w:t>
      </w:r>
    </w:p>
    <w:p w14:paraId="2DCD7FF0" w14:textId="77777777" w:rsidR="004B2808" w:rsidRDefault="00000000">
      <w:pPr>
        <w:jc w:val="both"/>
      </w:pPr>
      <w:r>
        <w:t xml:space="preserve">Les panneaux sont fixés par </w:t>
      </w:r>
      <w:r>
        <w:rPr>
          <w:rStyle w:val="optioncarChar"/>
        </w:rPr>
        <w:t xml:space="preserve">serrage entre éléments d’ossature de la paroi </w:t>
      </w:r>
      <w:r>
        <w:t xml:space="preserve">(par défaut) </w:t>
      </w:r>
      <w:r>
        <w:rPr>
          <w:rStyle w:val="optioncarChar"/>
        </w:rPr>
        <w:t>/ fixation mécanique</w:t>
      </w:r>
    </w:p>
    <w:p w14:paraId="3FB1F3F4" w14:textId="77777777" w:rsidR="004B2808" w:rsidRDefault="00000000">
      <w:pPr>
        <w:jc w:val="both"/>
      </w:pPr>
      <w:r>
        <w:rPr>
          <w:b/>
        </w:rPr>
        <w:t>(soit par défaut)</w:t>
      </w:r>
    </w:p>
    <w:p w14:paraId="28E8A259" w14:textId="77777777" w:rsidR="004B2808" w:rsidRDefault="00000000">
      <w:pPr>
        <w:jc w:val="both"/>
      </w:pPr>
      <w:r>
        <w:rPr>
          <w:rStyle w:val="soitChar"/>
          <w:u w:val="single"/>
        </w:rPr>
        <w:t>Serrage entre éléments d’ossature de la paroi :</w:t>
      </w:r>
    </w:p>
    <w:p w14:paraId="7FA8E77A" w14:textId="77777777" w:rsidR="004B2808" w:rsidRDefault="00000000">
      <w:pPr>
        <w:pStyle w:val="Author-eListParagraph"/>
        <w:numPr>
          <w:ilvl w:val="0"/>
          <w:numId w:val="432"/>
        </w:numPr>
      </w:pPr>
      <w:r>
        <w:rPr>
          <w:rStyle w:val="soitChar"/>
        </w:rPr>
        <w:t>Les panneaux sont découpés avec un surdimensionnement de 10 à 30 mm et serrés entièrement.</w:t>
      </w:r>
    </w:p>
    <w:p w14:paraId="0DC5278A" w14:textId="77777777" w:rsidR="004B2808" w:rsidRDefault="00000000">
      <w:pPr>
        <w:pStyle w:val="Author-eListParagraph"/>
        <w:numPr>
          <w:ilvl w:val="0"/>
          <w:numId w:val="432"/>
        </w:numPr>
      </w:pPr>
      <w:r>
        <w:rPr>
          <w:rStyle w:val="soitChar"/>
        </w:rPr>
        <w:t>La fixation par serrage fait l’objet d’un contrôle visuel après pose.</w:t>
      </w:r>
    </w:p>
    <w:p w14:paraId="5F8A821E" w14:textId="77777777" w:rsidR="004B2808" w:rsidRDefault="00000000">
      <w:pPr>
        <w:jc w:val="both"/>
      </w:pPr>
      <w:r>
        <w:rPr>
          <w:b/>
        </w:rPr>
        <w:t>(soit)</w:t>
      </w:r>
    </w:p>
    <w:p w14:paraId="5FAEA073" w14:textId="77777777" w:rsidR="004B2808" w:rsidRDefault="00000000">
      <w:pPr>
        <w:jc w:val="both"/>
      </w:pPr>
      <w:r>
        <w:rPr>
          <w:rStyle w:val="soitChar"/>
          <w:u w:val="single"/>
        </w:rPr>
        <w:t>Fixation mécanique :</w:t>
      </w:r>
    </w:p>
    <w:p w14:paraId="494E36AA" w14:textId="77777777" w:rsidR="004B2808" w:rsidRDefault="00000000">
      <w:pPr>
        <w:pStyle w:val="Author-eListParagraph"/>
        <w:numPr>
          <w:ilvl w:val="0"/>
          <w:numId w:val="433"/>
        </w:numPr>
      </w:pPr>
      <w:r>
        <w:rPr>
          <w:rStyle w:val="soitChar"/>
        </w:rPr>
        <w:t xml:space="preserve">Les fixations sont au nombre de : </w:t>
      </w:r>
      <w:r>
        <w:rPr>
          <w:rStyle w:val="optioncarChar"/>
        </w:rPr>
        <w:t xml:space="preserve">5 par m² </w:t>
      </w:r>
      <w:r>
        <w:t>(par défaut)</w:t>
      </w:r>
      <w:r>
        <w:rPr>
          <w:rStyle w:val="optioncarChar"/>
        </w:rPr>
        <w:t xml:space="preserve"> / ***</w:t>
      </w:r>
    </w:p>
    <w:p w14:paraId="5893FE42" w14:textId="77777777" w:rsidR="004B2808" w:rsidRDefault="00000000">
      <w:pPr>
        <w:pStyle w:val="Author-eListParagraph"/>
        <w:numPr>
          <w:ilvl w:val="0"/>
          <w:numId w:val="433"/>
        </w:numPr>
      </w:pPr>
      <w:r>
        <w:rPr>
          <w:rStyle w:val="soitChar"/>
        </w:rPr>
        <w:t xml:space="preserve">Elles sont munies de </w:t>
      </w:r>
      <w:r>
        <w:rPr>
          <w:rStyle w:val="optioncarChar"/>
        </w:rPr>
        <w:t xml:space="preserve">rosace (cheville) synthétique </w:t>
      </w:r>
      <w:r>
        <w:t>(par défaut)</w:t>
      </w:r>
      <w:r>
        <w:rPr>
          <w:rStyle w:val="optioncarChar"/>
        </w:rPr>
        <w:t xml:space="preserve"> / rosace (cheville) métallique / ***</w:t>
      </w:r>
    </w:p>
    <w:p w14:paraId="408E1666" w14:textId="77777777" w:rsidR="004B2808" w:rsidRDefault="00000000">
      <w:pPr>
        <w:pStyle w:val="Author-eListParagraph"/>
        <w:numPr>
          <w:ilvl w:val="0"/>
          <w:numId w:val="433"/>
        </w:numPr>
      </w:pPr>
      <w:r>
        <w:rPr>
          <w:rStyle w:val="soitChar"/>
        </w:rPr>
        <w:t xml:space="preserve">L’ancrage dans la paroi porteuse est : </w:t>
      </w:r>
      <w:r>
        <w:rPr>
          <w:rStyle w:val="optioncarChar"/>
        </w:rPr>
        <w:t xml:space="preserve">synthétique </w:t>
      </w:r>
      <w:r>
        <w:t>(par défaut)</w:t>
      </w:r>
      <w:r>
        <w:rPr>
          <w:rStyle w:val="optioncarChar"/>
        </w:rPr>
        <w:t xml:space="preserve"> / métallique</w:t>
      </w:r>
    </w:p>
    <w:p w14:paraId="25FE1A87" w14:textId="77777777" w:rsidR="004B2808" w:rsidRDefault="00000000">
      <w:pPr>
        <w:pStyle w:val="Author-eListParagraph"/>
        <w:numPr>
          <w:ilvl w:val="0"/>
          <w:numId w:val="433"/>
        </w:numPr>
      </w:pPr>
      <w:r>
        <w:rPr>
          <w:rStyle w:val="soitChar"/>
        </w:rPr>
        <w:t xml:space="preserve">Les ancrages sont adaptés au support : </w:t>
      </w:r>
      <w:r>
        <w:rPr>
          <w:rStyle w:val="optioncarChar"/>
        </w:rPr>
        <w:t xml:space="preserve">à visser </w:t>
      </w:r>
      <w:r>
        <w:t>(par défaut)</w:t>
      </w:r>
      <w:r>
        <w:rPr>
          <w:rStyle w:val="optioncarChar"/>
        </w:rPr>
        <w:t xml:space="preserve"> / ***</w:t>
      </w:r>
    </w:p>
    <w:p w14:paraId="204C6DDC" w14:textId="77777777" w:rsidR="004B2808" w:rsidRDefault="00000000">
      <w:pPr>
        <w:jc w:val="both"/>
      </w:pPr>
      <w:r>
        <w:rPr>
          <w:b/>
        </w:rPr>
        <w:t>Pour une application en plafond :</w:t>
      </w:r>
    </w:p>
    <w:p w14:paraId="2F1F48F8" w14:textId="77777777" w:rsidR="004B2808" w:rsidRDefault="00000000">
      <w:pPr>
        <w:jc w:val="both"/>
      </w:pPr>
      <w:r>
        <w:t>Les spécifications de mise en œuvre sont reprises dans la [NIT 232].</w:t>
      </w:r>
    </w:p>
    <w:p w14:paraId="5E3F26D6" w14:textId="77777777" w:rsidR="004B2808" w:rsidRDefault="00000000">
      <w:pPr>
        <w:jc w:val="both"/>
      </w:pPr>
      <w:r>
        <w:lastRenderedPageBreak/>
        <w:t>Aucun équipement électrique susceptible de créer une source de chaleur (spots, etc…) n’est mis en contact avec l’isolation en chanvre et un espace libre est garder en fonction des recommandations du fournisseur de l’appareil et/ou pose avec accessoires adaptés.</w:t>
      </w:r>
    </w:p>
    <w:p w14:paraId="37C1CA4B" w14:textId="77777777" w:rsidR="004B2808" w:rsidRDefault="00000000">
      <w:pPr>
        <w:jc w:val="both"/>
      </w:pPr>
      <w:r>
        <w:t xml:space="preserve">Le placement de l’isolation est assuré par : </w:t>
      </w:r>
      <w:r>
        <w:rPr>
          <w:rStyle w:val="optioncarChar"/>
        </w:rPr>
        <w:t xml:space="preserve">pose sur la structure de faux-plafond </w:t>
      </w:r>
      <w:r>
        <w:t>(par défaut)</w:t>
      </w:r>
      <w:r>
        <w:rPr>
          <w:rStyle w:val="optioncarChar"/>
        </w:rPr>
        <w:t xml:space="preserve"> / fixation au moyen d’un lattage / ***</w:t>
      </w:r>
    </w:p>
    <w:p w14:paraId="207A5DF7" w14:textId="77777777" w:rsidR="004B2808" w:rsidRDefault="00000000">
      <w:pPr>
        <w:jc w:val="both"/>
      </w:pPr>
      <w:r>
        <w:rPr>
          <w:b/>
        </w:rPr>
        <w:t>Pour une application en plancher :</w:t>
      </w:r>
    </w:p>
    <w:p w14:paraId="1173817C" w14:textId="77777777" w:rsidR="004B2808" w:rsidRDefault="00000000">
      <w:pPr>
        <w:jc w:val="both"/>
      </w:pPr>
      <w:r>
        <w:t>Les panneaux sont disposés entre les lambourdes, chevrons ou poutres.</w:t>
      </w:r>
    </w:p>
    <w:p w14:paraId="173B20BB" w14:textId="77777777" w:rsidR="004B2808" w:rsidRDefault="00000000">
      <w:pPr>
        <w:jc w:val="both"/>
      </w:pPr>
      <w:r>
        <w:t xml:space="preserve">L’isolation est posée par le : </w:t>
      </w:r>
      <w:r>
        <w:rPr>
          <w:rStyle w:val="optioncarChar"/>
        </w:rPr>
        <w:t>dessus</w:t>
      </w:r>
      <w:r>
        <w:t xml:space="preserve"> (par défaut) </w:t>
      </w:r>
      <w:r>
        <w:rPr>
          <w:rStyle w:val="optioncarChar"/>
        </w:rPr>
        <w:t>/ dessous des planchers</w:t>
      </w:r>
    </w:p>
    <w:p w14:paraId="52635FA1" w14:textId="77777777" w:rsidR="004B2808" w:rsidRDefault="00000000">
      <w:pPr>
        <w:jc w:val="both"/>
      </w:pPr>
      <w:r>
        <w:rPr>
          <w:b/>
        </w:rPr>
        <w:t>(soit par défaut) </w:t>
      </w:r>
    </w:p>
    <w:p w14:paraId="49587815" w14:textId="77777777" w:rsidR="004B2808" w:rsidRDefault="00000000">
      <w:pPr>
        <w:jc w:val="both"/>
      </w:pPr>
      <w:r>
        <w:rPr>
          <w:rStyle w:val="soitChar"/>
          <w:u w:val="single"/>
        </w:rPr>
        <w:t>Dessus des planchers :</w:t>
      </w:r>
    </w:p>
    <w:p w14:paraId="62039A3D" w14:textId="77777777" w:rsidR="004B2808" w:rsidRDefault="00000000">
      <w:pPr>
        <w:jc w:val="both"/>
      </w:pPr>
      <w:r>
        <w:rPr>
          <w:rStyle w:val="soitChar"/>
        </w:rPr>
        <w:t>Le placement de l’isolation est assuré par :</w:t>
      </w:r>
      <w:r>
        <w:rPr>
          <w:rStyle w:val="optioncarChar"/>
        </w:rPr>
        <w:t xml:space="preserve"> pose simple </w:t>
      </w:r>
      <w:r>
        <w:t xml:space="preserve">(par défaut) </w:t>
      </w:r>
      <w:r>
        <w:rPr>
          <w:rStyle w:val="optioncarChar"/>
        </w:rPr>
        <w:t>/ ***.</w:t>
      </w:r>
    </w:p>
    <w:p w14:paraId="3F41037B" w14:textId="77777777" w:rsidR="004B2808" w:rsidRDefault="00000000">
      <w:pPr>
        <w:jc w:val="both"/>
      </w:pPr>
      <w:r>
        <w:rPr>
          <w:b/>
        </w:rPr>
        <w:t>(soit) </w:t>
      </w:r>
    </w:p>
    <w:p w14:paraId="3C2F600C" w14:textId="77777777" w:rsidR="004B2808" w:rsidRDefault="00000000">
      <w:pPr>
        <w:jc w:val="both"/>
      </w:pPr>
      <w:r>
        <w:rPr>
          <w:rStyle w:val="soitChar"/>
          <w:u w:val="single"/>
        </w:rPr>
        <w:t>Dessous des planchers :</w:t>
      </w:r>
    </w:p>
    <w:p w14:paraId="00848873" w14:textId="77777777" w:rsidR="004B2808" w:rsidRDefault="00000000">
      <w:pPr>
        <w:jc w:val="both"/>
      </w:pPr>
      <w:r>
        <w:rPr>
          <w:rStyle w:val="soitChar"/>
        </w:rPr>
        <w:t xml:space="preserve">Le placement de l’isolation est assuré par fixation : </w:t>
      </w:r>
      <w:r>
        <w:rPr>
          <w:rStyle w:val="optioncarChar"/>
        </w:rPr>
        <w:t>à rosace à raison de 3 par m²</w:t>
      </w:r>
      <w:r>
        <w:t xml:space="preserve"> (par défaut)</w:t>
      </w:r>
      <w:r>
        <w:rPr>
          <w:rStyle w:val="optioncarChar"/>
        </w:rPr>
        <w:t xml:space="preserve"> / au moyen d’un lattage / ***.</w:t>
      </w:r>
    </w:p>
    <w:p w14:paraId="77736051" w14:textId="77777777" w:rsidR="004B2808" w:rsidRDefault="00000000">
      <w:pPr>
        <w:pStyle w:val="pheading"/>
      </w:pPr>
      <w:r>
        <w:t>DOCUMENTS DE RÉFÉRENCE COMPLÉMENTAIRES</w:t>
      </w:r>
    </w:p>
    <w:p w14:paraId="2042FAA4" w14:textId="77777777" w:rsidR="004B2808" w:rsidRDefault="00000000">
      <w:pPr>
        <w:pStyle w:val="pheading"/>
      </w:pPr>
      <w:r>
        <w:t>- Matériau</w:t>
      </w:r>
    </w:p>
    <w:p w14:paraId="4496244B" w14:textId="77777777" w:rsidR="004B2808" w:rsidRDefault="00000000">
      <w:r>
        <w:t>[NBN EN 822, Produits isolants thermiques destinés aux applications du bâtiment - Détermination de la longueur et de la largeur]</w:t>
      </w:r>
    </w:p>
    <w:p w14:paraId="4EFB2C5C" w14:textId="77777777" w:rsidR="004B2808" w:rsidRDefault="00000000">
      <w:r>
        <w:t>[NBN EN 823, Produits isolants thermiques destinés aux applications du bâtiment - Détermination de l'épaisseur]</w:t>
      </w:r>
    </w:p>
    <w:p w14:paraId="14E19A78" w14:textId="77777777" w:rsidR="004B2808" w:rsidRDefault="00000000">
      <w:r>
        <w:t>[NBN EN ISO 29470, Produits isolants thermiques destinés aux applications du bâtiment - Détermination de la masse volumique apparente (ISO 29470:2020)]</w:t>
      </w:r>
    </w:p>
    <w:p w14:paraId="2DEFA74A" w14:textId="77777777" w:rsidR="004B2808" w:rsidRDefault="00000000">
      <w:r>
        <w:t>[NBN EN 1608, Produits isolants thermiques destinés aux applications du bâtiment - Détermination de la résistance à la traction parallèlement aux faces]</w:t>
      </w:r>
    </w:p>
    <w:p w14:paraId="5DF1967A" w14:textId="77777777" w:rsidR="004B2808" w:rsidRDefault="00000000">
      <w:r>
        <w:t>[NBN EN 12086, Produits isolants thermiques destinés aux applications du bâtiment - Détermination des propriétés de transmission de la vapeur d'eau]</w:t>
      </w:r>
    </w:p>
    <w:p w14:paraId="1826A2EF" w14:textId="77777777" w:rsidR="004B2808"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1D4571C9" w14:textId="77777777" w:rsidR="004B2808" w:rsidRDefault="00000000">
      <w:r>
        <w:t>[NBN EN 13501-1, Classement au feu des produits et éléments de construction - Partie 1: Classement à partir des données d'essais de réaction au feu]</w:t>
      </w:r>
    </w:p>
    <w:p w14:paraId="0C2AE006" w14:textId="77777777" w:rsidR="004B2808" w:rsidRDefault="00000000">
      <w:pPr>
        <w:pStyle w:val="pheading"/>
      </w:pPr>
      <w:r>
        <w:t>- Exécution</w:t>
      </w:r>
    </w:p>
    <w:p w14:paraId="63E0FBE7" w14:textId="77777777" w:rsidR="004B2808" w:rsidRDefault="00000000">
      <w:r>
        <w:t>[NIT 232, Les plafonds suspendus.]</w:t>
      </w:r>
    </w:p>
    <w:p w14:paraId="492CAFD3" w14:textId="77777777" w:rsidR="004B2808" w:rsidRDefault="00000000">
      <w:r>
        <w:t>[NIT 233, Les cloisons légères.]</w:t>
      </w:r>
    </w:p>
    <w:p w14:paraId="52620280" w14:textId="77777777" w:rsidR="004B2808" w:rsidRDefault="00000000">
      <w:pPr>
        <w:pStyle w:val="pheading"/>
      </w:pPr>
      <w:r>
        <w:t>MESURAGE</w:t>
      </w:r>
    </w:p>
    <w:p w14:paraId="1506C1F8" w14:textId="77777777" w:rsidR="004B2808" w:rsidRDefault="00000000">
      <w:pPr>
        <w:pStyle w:val="pheading"/>
      </w:pPr>
      <w:r>
        <w:t>- unité de mesure:</w:t>
      </w:r>
    </w:p>
    <w:p w14:paraId="3F4BF5ED" w14:textId="77777777" w:rsidR="004B2808" w:rsidRDefault="00000000">
      <w:r>
        <w:t>m²</w:t>
      </w:r>
    </w:p>
    <w:p w14:paraId="60264CBA" w14:textId="77777777" w:rsidR="004B2808" w:rsidRDefault="00000000">
      <w:pPr>
        <w:pStyle w:val="pheading"/>
      </w:pPr>
      <w:r>
        <w:t>- code de mesurage:</w:t>
      </w:r>
    </w:p>
    <w:p w14:paraId="385A6E49" w14:textId="77777777" w:rsidR="004B2808" w:rsidRDefault="00000000">
      <w:pPr>
        <w:jc w:val="both"/>
      </w:pPr>
      <w:r>
        <w:t>Distinction faite suivant l'épaisseur.</w:t>
      </w:r>
    </w:p>
    <w:p w14:paraId="0045C3E2" w14:textId="77777777" w:rsidR="004B2808" w:rsidRDefault="00000000">
      <w:pPr>
        <w:pStyle w:val="Author-eListParagraph"/>
        <w:numPr>
          <w:ilvl w:val="0"/>
          <w:numId w:val="434"/>
        </w:numPr>
        <w:jc w:val="both"/>
      </w:pPr>
      <w:r>
        <w:t>Isolation des parois verticales : Surface nette. Les ouvertures ˃ 0,50 m² sont déduites.</w:t>
      </w:r>
    </w:p>
    <w:p w14:paraId="0F787505" w14:textId="77777777" w:rsidR="004B2808" w:rsidRDefault="00000000">
      <w:pPr>
        <w:pStyle w:val="Author-eListParagraph"/>
        <w:numPr>
          <w:ilvl w:val="0"/>
          <w:numId w:val="434"/>
        </w:numPr>
        <w:jc w:val="both"/>
      </w:pPr>
      <w:r>
        <w:lastRenderedPageBreak/>
        <w:t>Isolation des parois horizontales : Surface nette du sol, mesurée entre le nu des murs. Les ouvertures ˃ 0,5 m² sont déduites. L'isolation périphérique n’est pas portée en compte séparément.</w:t>
      </w:r>
    </w:p>
    <w:p w14:paraId="1B2DF1F9" w14:textId="77777777" w:rsidR="004B2808" w:rsidRDefault="00000000">
      <w:pPr>
        <w:pStyle w:val="pheading"/>
      </w:pPr>
      <w:r>
        <w:t>- nature du marché:</w:t>
      </w:r>
    </w:p>
    <w:p w14:paraId="4CA8A54B" w14:textId="77777777" w:rsidR="004B2808" w:rsidRDefault="00000000">
      <w:r>
        <w:t>QF</w:t>
      </w:r>
    </w:p>
    <w:p w14:paraId="7CDA175E" w14:textId="77777777" w:rsidR="004B2808" w:rsidRDefault="00000000">
      <w:pPr>
        <w:pStyle w:val="Author-eSectionHeading6Numberless"/>
      </w:pPr>
      <w:bookmarkStart w:id="438" w:name="_Toc220490613"/>
      <w:r>
        <w:t>52.42.3c Isolation en rouleaux/matelas - feutre de bois CCTB 01.02</w:t>
      </w:r>
      <w:bookmarkEnd w:id="438"/>
    </w:p>
    <w:p w14:paraId="55BF6B48" w14:textId="77777777" w:rsidR="004B2808" w:rsidRDefault="00000000">
      <w:pPr>
        <w:pStyle w:val="pheading"/>
      </w:pPr>
      <w:r>
        <w:t>DESCRIPTION</w:t>
      </w:r>
    </w:p>
    <w:p w14:paraId="2B8385FE" w14:textId="77777777" w:rsidR="004B2808" w:rsidRDefault="00000000">
      <w:pPr>
        <w:pStyle w:val="pheading"/>
      </w:pPr>
      <w:r>
        <w:t>- Localisation</w:t>
      </w:r>
    </w:p>
    <w:p w14:paraId="6FB83D22" w14:textId="77777777" w:rsidR="004B2808" w:rsidRDefault="00000000">
      <w:r>
        <w:t>isolation acoustique du sol</w:t>
      </w:r>
    </w:p>
    <w:p w14:paraId="0A0E35B8" w14:textId="77777777" w:rsidR="004B2808" w:rsidRDefault="00000000">
      <w:pPr>
        <w:pStyle w:val="pheading"/>
      </w:pPr>
      <w:r>
        <w:t>MATÉRIAUX</w:t>
      </w:r>
    </w:p>
    <w:p w14:paraId="5E2F8AC4" w14:textId="77777777" w:rsidR="004B2808" w:rsidRDefault="00000000">
      <w:pPr>
        <w:pStyle w:val="pheading"/>
      </w:pPr>
      <w:r>
        <w:t>- Caractéristiques générales</w:t>
      </w:r>
    </w:p>
    <w:p w14:paraId="60EB6083" w14:textId="77777777" w:rsidR="004B2808" w:rsidRDefault="00000000">
      <w:r>
        <w:t>Les caractéristiques générales sont conformes à celles décrites dans les articles 32.41.3b Isolation en panneaux - laine de bois (WW) et 32.41.3c Isolation en panneaux - fibres de bois (WF)</w:t>
      </w:r>
    </w:p>
    <w:p w14:paraId="40E25D3A" w14:textId="77777777" w:rsidR="004B2808" w:rsidRDefault="00000000">
      <w:pPr>
        <w:pStyle w:val="pheading"/>
      </w:pPr>
      <w:r>
        <w:t>- Finitions</w:t>
      </w:r>
    </w:p>
    <w:p w14:paraId="471F5987" w14:textId="77777777" w:rsidR="004B2808" w:rsidRDefault="00000000">
      <w:r>
        <w:t>Finitions telles que décrites aux articles 32.41.3b Isolation en panneaux - laine de bois (WW) et 32.41.3c Isolation en panneaux - fibres de bois (WF)</w:t>
      </w:r>
    </w:p>
    <w:p w14:paraId="18BA799F" w14:textId="77777777" w:rsidR="004B2808" w:rsidRDefault="00000000">
      <w:pPr>
        <w:pStyle w:val="pheading"/>
      </w:pPr>
      <w:r>
        <w:t>- Prescriptions complémentaires</w:t>
      </w:r>
    </w:p>
    <w:p w14:paraId="44D8799D" w14:textId="77777777" w:rsidR="004B2808" w:rsidRDefault="00000000">
      <w:r>
        <w:t>Options telles que proposées aux 32.41.3b Isolation en panneaux - laine de bois (WW) et 32.41.3c Isolation en panneaux - fibres de bois (WF)</w:t>
      </w:r>
    </w:p>
    <w:p w14:paraId="3FBE665C" w14:textId="77777777" w:rsidR="004B2808" w:rsidRDefault="00000000">
      <w:pPr>
        <w:pStyle w:val="pheading"/>
      </w:pPr>
      <w:r>
        <w:t>EXÉCUTION / MISE EN ŒUVRE</w:t>
      </w:r>
    </w:p>
    <w:p w14:paraId="0669A799" w14:textId="77777777" w:rsidR="004B2808" w:rsidRDefault="00000000">
      <w:pPr>
        <w:pStyle w:val="pheading"/>
      </w:pPr>
      <w:r>
        <w:t>- Prescriptions générales</w:t>
      </w:r>
    </w:p>
    <w:p w14:paraId="1E4F59B2" w14:textId="77777777" w:rsidR="004B2808" w:rsidRDefault="00000000">
      <w:r>
        <w:t>Voir aussi</w:t>
      </w:r>
      <w:hyperlink w:anchor="1123" w:history="1">
        <w:r w:rsidR="004B2808">
          <w:rPr>
            <w:color w:val="0000EE"/>
          </w:rPr>
          <w:t>52.42 Isolation en rouleaux/matelas</w:t>
        </w:r>
      </w:hyperlink>
      <w:r>
        <w:t> </w:t>
      </w:r>
      <w:r>
        <w:rPr>
          <w:b/>
        </w:rPr>
        <w:t> </w:t>
      </w:r>
    </w:p>
    <w:p w14:paraId="6530D595" w14:textId="77777777" w:rsidR="004B2808" w:rsidRDefault="00000000">
      <w:pPr>
        <w:pStyle w:val="pheading"/>
      </w:pPr>
      <w:r>
        <w:t>MESURAGE</w:t>
      </w:r>
    </w:p>
    <w:p w14:paraId="1D7E9FC1" w14:textId="77777777" w:rsidR="004B2808" w:rsidRDefault="00000000">
      <w:pPr>
        <w:pStyle w:val="pheading"/>
      </w:pPr>
      <w:r>
        <w:t>- unité de mesure:</w:t>
      </w:r>
    </w:p>
    <w:p w14:paraId="1DC374CD" w14:textId="77777777" w:rsidR="004B2808" w:rsidRDefault="00000000">
      <w:r>
        <w:t>m²</w:t>
      </w:r>
    </w:p>
    <w:p w14:paraId="6E648D19" w14:textId="77777777" w:rsidR="004B2808" w:rsidRDefault="00000000">
      <w:pPr>
        <w:pStyle w:val="pheading"/>
      </w:pPr>
      <w:r>
        <w:t>- code de mesurage:</w:t>
      </w:r>
    </w:p>
    <w:p w14:paraId="2285F3DE" w14:textId="77777777" w:rsidR="004B2808" w:rsidRDefault="00000000">
      <w:r>
        <w:t>Distinction faite suivant l'épaisseur.</w:t>
      </w:r>
    </w:p>
    <w:p w14:paraId="07E941D3" w14:textId="77777777" w:rsidR="004B2808" w:rsidRDefault="00000000">
      <w:pPr>
        <w:pStyle w:val="Author-eListParagraph"/>
        <w:numPr>
          <w:ilvl w:val="0"/>
          <w:numId w:val="435"/>
        </w:numPr>
      </w:pPr>
      <w:r>
        <w:t>Isolation des parois verticales : Surface nette. Les ouvertures supérieures à 0,50 m² sont déduites</w:t>
      </w:r>
    </w:p>
    <w:p w14:paraId="1A8EFBA5" w14:textId="77777777" w:rsidR="004B2808" w:rsidRDefault="00000000">
      <w:pPr>
        <w:pStyle w:val="Author-eListParagraph"/>
        <w:numPr>
          <w:ilvl w:val="0"/>
          <w:numId w:val="435"/>
        </w:numPr>
      </w:pPr>
      <w:r>
        <w:t>Isolation des parois horizontales : Surface nette du sol, mesurée entre le nu des murs. Les ouvertures supérieures à 0,5 m² sont déduites. L'isolation périphérique ne doit pas être portée en compte séparément</w:t>
      </w:r>
    </w:p>
    <w:p w14:paraId="7A58A10F" w14:textId="77777777" w:rsidR="004B2808" w:rsidRDefault="00000000">
      <w:pPr>
        <w:pStyle w:val="pheading"/>
      </w:pPr>
      <w:r>
        <w:t>- nature du marché:</w:t>
      </w:r>
    </w:p>
    <w:p w14:paraId="3527BE87" w14:textId="77777777" w:rsidR="004B2808" w:rsidRDefault="00000000">
      <w:r>
        <w:t>QF</w:t>
      </w:r>
    </w:p>
    <w:p w14:paraId="50C5011B" w14:textId="77777777" w:rsidR="004B2808" w:rsidRDefault="00000000">
      <w:pPr>
        <w:pStyle w:val="Author-eSectionHeading6Numberless"/>
      </w:pPr>
      <w:bookmarkStart w:id="439" w:name="_Toc220490614"/>
      <w:r>
        <w:t>52.42.3d Isolation en rouleaux/matelas - fibres de coco CCTB 01.10</w:t>
      </w:r>
      <w:bookmarkEnd w:id="439"/>
    </w:p>
    <w:p w14:paraId="30C84E43" w14:textId="77777777" w:rsidR="004B2808" w:rsidRDefault="00000000">
      <w:pPr>
        <w:pStyle w:val="pheading"/>
      </w:pPr>
      <w:r>
        <w:t>DESCRIPTION</w:t>
      </w:r>
    </w:p>
    <w:p w14:paraId="0F6F37EF" w14:textId="77777777" w:rsidR="004B2808" w:rsidRDefault="00000000">
      <w:pPr>
        <w:pStyle w:val="pheading"/>
      </w:pPr>
      <w:r>
        <w:t>- Définition / Comprend</w:t>
      </w:r>
    </w:p>
    <w:p w14:paraId="38C18C43" w14:textId="77777777" w:rsidR="004B2808" w:rsidRDefault="00000000">
      <w:r>
        <w:t>Il s'agit de la réalisation d'une isolation en fibres de coco suivant les prescriptions de l'article 32.42.3d Isolation en rouleaux/matelas - fibres de coco.</w:t>
      </w:r>
    </w:p>
    <w:p w14:paraId="742EC845" w14:textId="77777777" w:rsidR="004B2808" w:rsidRDefault="00000000">
      <w:pPr>
        <w:pStyle w:val="pheading"/>
      </w:pPr>
      <w:r>
        <w:t>MATÉRIAUX</w:t>
      </w:r>
    </w:p>
    <w:p w14:paraId="41C5E86A" w14:textId="77777777" w:rsidR="004B2808" w:rsidRDefault="00000000">
      <w:pPr>
        <w:pStyle w:val="pheading"/>
      </w:pPr>
      <w:r>
        <w:lastRenderedPageBreak/>
        <w:t>- Caractéristiques générales</w:t>
      </w:r>
    </w:p>
    <w:p w14:paraId="60721355" w14:textId="77777777" w:rsidR="004B2808" w:rsidRDefault="00000000">
      <w:r>
        <w:t>Voir 32.42.3d Isolation en rouleaux/matelas - fibres de coco</w:t>
      </w:r>
    </w:p>
    <w:p w14:paraId="135C8224" w14:textId="77777777" w:rsidR="004B2808" w:rsidRDefault="00000000">
      <w:pPr>
        <w:pStyle w:val="pheading"/>
      </w:pPr>
      <w:r>
        <w:t>EXÉCUTION / MISE EN ŒUVRE</w:t>
      </w:r>
    </w:p>
    <w:p w14:paraId="5EF965E2" w14:textId="77777777" w:rsidR="004B2808" w:rsidRDefault="00000000">
      <w:pPr>
        <w:pStyle w:val="pheading"/>
      </w:pPr>
      <w:r>
        <w:t>- Prescriptions générales</w:t>
      </w:r>
    </w:p>
    <w:p w14:paraId="20C681E5" w14:textId="77777777" w:rsidR="004B2808" w:rsidRDefault="00000000">
      <w:r>
        <w:t>Voir 32.42.3d Isolation en rouleaux/matelas - fibres de coco</w:t>
      </w:r>
    </w:p>
    <w:p w14:paraId="7A71EC27" w14:textId="77777777" w:rsidR="004B2808" w:rsidRDefault="00000000">
      <w:pPr>
        <w:pStyle w:val="pheading"/>
      </w:pPr>
      <w:r>
        <w:t>DOCUMENTS DE RÉFÉRENCE COMPLÉMENTAIRES</w:t>
      </w:r>
    </w:p>
    <w:p w14:paraId="7F7D9CAF" w14:textId="77777777" w:rsidR="004B2808" w:rsidRDefault="00000000">
      <w:pPr>
        <w:pStyle w:val="pheading"/>
      </w:pPr>
      <w:r>
        <w:t>- Matériau</w:t>
      </w:r>
    </w:p>
    <w:p w14:paraId="10F0E3FB" w14:textId="77777777" w:rsidR="004B2808" w:rsidRDefault="00000000">
      <w:r>
        <w:t>32.42.3d Isolation en rouleaux/matelas - fibres de coco</w:t>
      </w:r>
    </w:p>
    <w:p w14:paraId="0466D826" w14:textId="77777777" w:rsidR="004B2808" w:rsidRDefault="00000000">
      <w:pPr>
        <w:pStyle w:val="pheading"/>
      </w:pPr>
      <w:r>
        <w:t>- Exécution</w:t>
      </w:r>
    </w:p>
    <w:p w14:paraId="787ED39D" w14:textId="77777777" w:rsidR="004B2808" w:rsidRDefault="00000000">
      <w:r>
        <w:t>32.42.3d Isolation en rouleaux/matelas - fibres de coco</w:t>
      </w:r>
    </w:p>
    <w:p w14:paraId="34891583" w14:textId="77777777" w:rsidR="004B2808" w:rsidRDefault="00000000">
      <w:pPr>
        <w:pStyle w:val="pheading"/>
      </w:pPr>
      <w:r>
        <w:t>MESURAGE</w:t>
      </w:r>
    </w:p>
    <w:p w14:paraId="0A0B1697" w14:textId="77777777" w:rsidR="004B2808" w:rsidRDefault="00000000">
      <w:pPr>
        <w:pStyle w:val="pheading"/>
      </w:pPr>
      <w:r>
        <w:t>- unité de mesure:</w:t>
      </w:r>
    </w:p>
    <w:p w14:paraId="666E43B8" w14:textId="77777777" w:rsidR="004B2808" w:rsidRDefault="00000000">
      <w:r>
        <w:t>m²</w:t>
      </w:r>
    </w:p>
    <w:p w14:paraId="2F28D1C5" w14:textId="77777777" w:rsidR="004B2808" w:rsidRDefault="00000000">
      <w:pPr>
        <w:pStyle w:val="pheading"/>
      </w:pPr>
      <w:r>
        <w:t>- code de mesurage:</w:t>
      </w:r>
    </w:p>
    <w:p w14:paraId="4C0449EF" w14:textId="77777777" w:rsidR="004B2808" w:rsidRDefault="00000000">
      <w:r>
        <w:t>Distinction faite suivant l'épaisseur.</w:t>
      </w:r>
    </w:p>
    <w:p w14:paraId="5B9527B8" w14:textId="77777777" w:rsidR="004B2808" w:rsidRDefault="00000000">
      <w:pPr>
        <w:pStyle w:val="Author-eListParagraph"/>
        <w:numPr>
          <w:ilvl w:val="0"/>
          <w:numId w:val="436"/>
        </w:numPr>
      </w:pPr>
      <w:r>
        <w:t>Isolation des parois verticales : Surface nette. Les ouvertures supérieures à 0,50 m² sont déduites</w:t>
      </w:r>
    </w:p>
    <w:p w14:paraId="0421AC24" w14:textId="77777777" w:rsidR="004B2808" w:rsidRDefault="00000000">
      <w:pPr>
        <w:pStyle w:val="Author-eListParagraph"/>
        <w:numPr>
          <w:ilvl w:val="0"/>
          <w:numId w:val="436"/>
        </w:numPr>
      </w:pPr>
      <w:r>
        <w:t>Isolation des parois horizontales : Surface nette du sol, mesurée entre le nu des murs. Les ouvertures supérieures à 0,5 m² sont déduites. L'isolation périphérique ne doit pas être portée en compte séparément</w:t>
      </w:r>
    </w:p>
    <w:p w14:paraId="1AD5A2F1" w14:textId="77777777" w:rsidR="004B2808" w:rsidRDefault="00000000">
      <w:pPr>
        <w:pStyle w:val="pheading"/>
      </w:pPr>
      <w:r>
        <w:t>- nature du marché:</w:t>
      </w:r>
    </w:p>
    <w:p w14:paraId="10D8C46E" w14:textId="77777777" w:rsidR="004B2808" w:rsidRDefault="00000000">
      <w:r>
        <w:t>QF</w:t>
      </w:r>
    </w:p>
    <w:p w14:paraId="66F4715F" w14:textId="77777777" w:rsidR="004B2808" w:rsidRDefault="00000000">
      <w:pPr>
        <w:pStyle w:val="Author-eSectionHeading6Numberless"/>
      </w:pPr>
      <w:bookmarkStart w:id="440" w:name="_Toc220490615"/>
      <w:r>
        <w:t>52.42.3e Isolation en rouleaux/matelas - fibres de lin CCTB 01.07</w:t>
      </w:r>
      <w:bookmarkEnd w:id="440"/>
    </w:p>
    <w:p w14:paraId="4AAE394E" w14:textId="77777777" w:rsidR="004B2808" w:rsidRDefault="00000000">
      <w:pPr>
        <w:pStyle w:val="pheading"/>
      </w:pPr>
      <w:r>
        <w:t>DESCRIPTION</w:t>
      </w:r>
    </w:p>
    <w:p w14:paraId="18D93F7A" w14:textId="77777777" w:rsidR="004B2808" w:rsidRDefault="00000000">
      <w:pPr>
        <w:pStyle w:val="pheading"/>
      </w:pPr>
      <w:r>
        <w:t>- Définition / Comprend</w:t>
      </w:r>
    </w:p>
    <w:p w14:paraId="6164F280" w14:textId="77777777" w:rsidR="004B2808" w:rsidRDefault="00000000">
      <w:r>
        <w:t>Il s'agit de la réalisation d'une isolation en rouleaux/matelas de lin suivant les prescriptions de l'article 32.42.3e Isolation en rouleaux/matelas - fibres de lin.</w:t>
      </w:r>
    </w:p>
    <w:p w14:paraId="78B807C4" w14:textId="77777777" w:rsidR="004B2808" w:rsidRDefault="00000000">
      <w:pPr>
        <w:pStyle w:val="pheading"/>
      </w:pPr>
      <w:r>
        <w:t>MATÉRIAUX</w:t>
      </w:r>
    </w:p>
    <w:p w14:paraId="470EE04A" w14:textId="77777777" w:rsidR="004B2808" w:rsidRDefault="00000000">
      <w:pPr>
        <w:pStyle w:val="pheading"/>
      </w:pPr>
      <w:r>
        <w:t>- Caractéristiques générales</w:t>
      </w:r>
    </w:p>
    <w:p w14:paraId="20BF5AEA" w14:textId="77777777" w:rsidR="004B2808" w:rsidRDefault="00000000">
      <w:r>
        <w:t>Voir 32.42.3e Isolation en rouleaux/matelas - fibres de lin</w:t>
      </w:r>
    </w:p>
    <w:p w14:paraId="680F894A" w14:textId="77777777" w:rsidR="004B2808" w:rsidRDefault="00000000">
      <w:pPr>
        <w:pStyle w:val="pheading"/>
      </w:pPr>
      <w:r>
        <w:t>- Finitions</w:t>
      </w:r>
    </w:p>
    <w:p w14:paraId="3712C442" w14:textId="77777777" w:rsidR="004B2808" w:rsidRDefault="00000000">
      <w:r>
        <w:t>Voir 32.42.3e Isolation en rouleaux/matelas - fibres de lin</w:t>
      </w:r>
    </w:p>
    <w:p w14:paraId="65FFF2CA" w14:textId="77777777" w:rsidR="004B2808" w:rsidRDefault="00000000">
      <w:pPr>
        <w:pStyle w:val="pheading"/>
      </w:pPr>
      <w:r>
        <w:t>- Prescriptions complémentaires</w:t>
      </w:r>
    </w:p>
    <w:p w14:paraId="27120EEB" w14:textId="77777777" w:rsidR="004B2808" w:rsidRDefault="00000000">
      <w:r>
        <w:t>Voir 32.42.3e Isolation en rouleaux/matelas - fibres de lin</w:t>
      </w:r>
    </w:p>
    <w:p w14:paraId="7AD3178C" w14:textId="77777777" w:rsidR="004B2808" w:rsidRDefault="00000000">
      <w:pPr>
        <w:pStyle w:val="pheading"/>
      </w:pPr>
      <w:r>
        <w:t>EXÉCUTION / MISE EN ŒUVRE</w:t>
      </w:r>
    </w:p>
    <w:p w14:paraId="0F3B4F52" w14:textId="77777777" w:rsidR="004B2808" w:rsidRDefault="00000000">
      <w:pPr>
        <w:pStyle w:val="pheading"/>
      </w:pPr>
      <w:r>
        <w:t>- Prescriptions générales</w:t>
      </w:r>
    </w:p>
    <w:p w14:paraId="715EC132" w14:textId="77777777" w:rsidR="004B2808" w:rsidRDefault="00000000">
      <w:r>
        <w:t>Voir 32.42.3e Isolation en rouleaux/matelas - fibres de lin</w:t>
      </w:r>
    </w:p>
    <w:p w14:paraId="5B269525" w14:textId="77777777" w:rsidR="004B2808" w:rsidRDefault="00000000">
      <w:pPr>
        <w:pStyle w:val="pheading"/>
      </w:pPr>
      <w:r>
        <w:t>DOCUMENTS DE RÉFÉRENCE COMPLÉMENTAIRES</w:t>
      </w:r>
    </w:p>
    <w:p w14:paraId="7234A18D" w14:textId="77777777" w:rsidR="004B2808" w:rsidRDefault="00000000">
      <w:pPr>
        <w:pStyle w:val="pheading"/>
      </w:pPr>
      <w:r>
        <w:lastRenderedPageBreak/>
        <w:t>- Matériau</w:t>
      </w:r>
    </w:p>
    <w:p w14:paraId="68269AC0" w14:textId="77777777" w:rsidR="004B2808" w:rsidRDefault="00000000">
      <w:r>
        <w:t>32.42.3e Isolation en rouleaux/matelas - fibres de lin</w:t>
      </w:r>
    </w:p>
    <w:p w14:paraId="2C0BB3C2" w14:textId="77777777" w:rsidR="004B2808" w:rsidRDefault="00000000">
      <w:pPr>
        <w:pStyle w:val="pheading"/>
      </w:pPr>
      <w:r>
        <w:t>- Exécution</w:t>
      </w:r>
    </w:p>
    <w:p w14:paraId="57FBE48E" w14:textId="77777777" w:rsidR="004B2808" w:rsidRDefault="00000000">
      <w:r>
        <w:t>32.42.3e Isolation en rouleaux/matelas - fibres de lin</w:t>
      </w:r>
    </w:p>
    <w:p w14:paraId="757BF592" w14:textId="77777777" w:rsidR="004B2808" w:rsidRDefault="00000000">
      <w:pPr>
        <w:pStyle w:val="pheading"/>
      </w:pPr>
      <w:r>
        <w:t>MESURAGE</w:t>
      </w:r>
    </w:p>
    <w:p w14:paraId="2F88E803" w14:textId="77777777" w:rsidR="004B2808" w:rsidRDefault="00000000">
      <w:pPr>
        <w:pStyle w:val="pheading"/>
      </w:pPr>
      <w:r>
        <w:t>- unité de mesure:</w:t>
      </w:r>
    </w:p>
    <w:p w14:paraId="32398C3D" w14:textId="77777777" w:rsidR="004B2808" w:rsidRDefault="00000000">
      <w:r>
        <w:t>m²</w:t>
      </w:r>
    </w:p>
    <w:p w14:paraId="64C5CF22" w14:textId="77777777" w:rsidR="004B2808" w:rsidRDefault="00000000">
      <w:pPr>
        <w:pStyle w:val="pheading"/>
      </w:pPr>
      <w:r>
        <w:t>- code de mesurage:</w:t>
      </w:r>
    </w:p>
    <w:p w14:paraId="13A8366D" w14:textId="77777777" w:rsidR="004B2808" w:rsidRDefault="00000000">
      <w:r>
        <w:t>Distinction faite suivant l'épaisseur.</w:t>
      </w:r>
    </w:p>
    <w:p w14:paraId="373CBCBB" w14:textId="77777777" w:rsidR="004B2808" w:rsidRDefault="00000000">
      <w:pPr>
        <w:pStyle w:val="Author-eListParagraph"/>
        <w:numPr>
          <w:ilvl w:val="0"/>
          <w:numId w:val="437"/>
        </w:numPr>
      </w:pPr>
      <w:r>
        <w:t>Isolation des parois verticales : Surface nette. Les ouvertures supérieures à 0,50 m² sont déduites</w:t>
      </w:r>
    </w:p>
    <w:p w14:paraId="30211033" w14:textId="77777777" w:rsidR="004B2808" w:rsidRDefault="00000000">
      <w:pPr>
        <w:pStyle w:val="Author-eListParagraph"/>
        <w:numPr>
          <w:ilvl w:val="0"/>
          <w:numId w:val="437"/>
        </w:numPr>
      </w:pPr>
      <w:r>
        <w:t>Isolation des parois horizontales : Surface nette du sol, mesurée entre le nu des murs. Les ouvertures supérieures à 0,5 m² sont déduites. L'isolation périphérique ne doit pas être portée en compte séparément</w:t>
      </w:r>
    </w:p>
    <w:p w14:paraId="7F774C31" w14:textId="77777777" w:rsidR="004B2808" w:rsidRDefault="00000000">
      <w:pPr>
        <w:pStyle w:val="pheading"/>
      </w:pPr>
      <w:r>
        <w:t>- nature du marché:</w:t>
      </w:r>
    </w:p>
    <w:p w14:paraId="1EB2E193" w14:textId="77777777" w:rsidR="004B2808" w:rsidRDefault="00000000">
      <w:r>
        <w:t>QF</w:t>
      </w:r>
    </w:p>
    <w:p w14:paraId="4F847BEC" w14:textId="77777777" w:rsidR="004B2808" w:rsidRDefault="00000000">
      <w:pPr>
        <w:pStyle w:val="Author-eSectionHeading6Numberless"/>
      </w:pPr>
      <w:bookmarkStart w:id="441" w:name="_Toc220490616"/>
      <w:r>
        <w:t>52.42.3f Isolation en rouleaux/matelas - paille  CCTB 01.10</w:t>
      </w:r>
      <w:bookmarkEnd w:id="441"/>
    </w:p>
    <w:p w14:paraId="2892FD6E" w14:textId="77777777" w:rsidR="004B2808" w:rsidRDefault="00000000">
      <w:pPr>
        <w:pStyle w:val="pheading"/>
      </w:pPr>
      <w:r>
        <w:t>DESCRIPTION</w:t>
      </w:r>
    </w:p>
    <w:p w14:paraId="2A111FA2" w14:textId="77777777" w:rsidR="004B2808" w:rsidRDefault="00000000">
      <w:pPr>
        <w:pStyle w:val="pheading"/>
      </w:pPr>
      <w:r>
        <w:t>- Définition / Comprend</w:t>
      </w:r>
    </w:p>
    <w:p w14:paraId="6DF745F1" w14:textId="77777777" w:rsidR="004B2808" w:rsidRDefault="00000000">
      <w:pPr>
        <w:jc w:val="both"/>
      </w:pPr>
      <w:r>
        <w:t>Il s’agit de la fourniture et de la pose d’une isolation thermique au moyen de rouleaux (matelas) en paille en application horizontale ou verticale d’isolation intérieure.</w:t>
      </w:r>
    </w:p>
    <w:p w14:paraId="42432251" w14:textId="77777777" w:rsidR="004B2808" w:rsidRDefault="00000000">
      <w:pPr>
        <w:pStyle w:val="pheading"/>
      </w:pPr>
      <w:r>
        <w:t>- Localisation</w:t>
      </w:r>
    </w:p>
    <w:p w14:paraId="24884955" w14:textId="77777777" w:rsidR="004B2808" w:rsidRDefault="00000000">
      <w:r>
        <w:t xml:space="preserve">Localisation des travaux : </w:t>
      </w:r>
      <w:r>
        <w:rPr>
          <w:rStyle w:val="optioncarChar"/>
        </w:rPr>
        <w:t>***</w:t>
      </w:r>
      <w:r>
        <w:t>.</w:t>
      </w:r>
    </w:p>
    <w:p w14:paraId="1B71F56F" w14:textId="77777777" w:rsidR="004B2808" w:rsidRDefault="00000000">
      <w:r>
        <w:t>Voir plans et métrés détaillés.</w:t>
      </w:r>
    </w:p>
    <w:p w14:paraId="7DE15599" w14:textId="77777777" w:rsidR="004B2808" w:rsidRDefault="00000000">
      <w:pPr>
        <w:pStyle w:val="pheading"/>
      </w:pPr>
      <w:r>
        <w:t>MATÉRIAUX</w:t>
      </w:r>
    </w:p>
    <w:p w14:paraId="489DCA37" w14:textId="77777777" w:rsidR="004B2808" w:rsidRDefault="00000000">
      <w:pPr>
        <w:pStyle w:val="pheading"/>
      </w:pPr>
      <w:r>
        <w:t>- Caractéristiques générales</w:t>
      </w:r>
    </w:p>
    <w:p w14:paraId="68636EBA" w14:textId="77777777" w:rsidR="004B2808" w:rsidRDefault="00000000">
      <w:pPr>
        <w:jc w:val="both"/>
      </w:pPr>
      <w:r>
        <w:t xml:space="preserve">Le rouleau (matelas) en paille est assemblé par </w:t>
      </w:r>
      <w:r>
        <w:rPr>
          <w:rStyle w:val="optioncarChar"/>
        </w:rPr>
        <w:t>tissage</w:t>
      </w:r>
      <w:r>
        <w:t xml:space="preserve"> (par défaut)</w:t>
      </w:r>
      <w:r>
        <w:rPr>
          <w:rStyle w:val="optioncarChar"/>
        </w:rPr>
        <w:t xml:space="preserve"> / collage sur membrane / ***</w:t>
      </w:r>
      <w:r>
        <w:t>.</w:t>
      </w:r>
    </w:p>
    <w:p w14:paraId="499BD21A" w14:textId="77777777" w:rsidR="004B2808" w:rsidRDefault="00000000">
      <w:pPr>
        <w:jc w:val="both"/>
      </w:pPr>
      <w:r>
        <w:t>Le parement des rouleaux/matelas est de type : </w:t>
      </w:r>
      <w:r>
        <w:rPr>
          <w:rStyle w:val="optioncarChar"/>
        </w:rPr>
        <w:t xml:space="preserve">nu </w:t>
      </w:r>
      <w:r>
        <w:t>(par défaut)</w:t>
      </w:r>
      <w:r>
        <w:rPr>
          <w:rStyle w:val="optioncarChar"/>
        </w:rPr>
        <w:t xml:space="preserve"> / feuille cartonnée / fibres de verre / armature synthétique / feuille d’aluminium / ***</w:t>
      </w:r>
      <w:r>
        <w:t>.</w:t>
      </w:r>
    </w:p>
    <w:p w14:paraId="79D804EF" w14:textId="77777777" w:rsidR="004B2808" w:rsidRDefault="00000000">
      <w:pPr>
        <w:jc w:val="both"/>
      </w:pPr>
      <w:r>
        <w:t xml:space="preserve">Le parement des rouleaux/matelas est appliqué sur </w:t>
      </w:r>
      <w:r>
        <w:rPr>
          <w:rStyle w:val="optioncarChar"/>
        </w:rPr>
        <w:t xml:space="preserve">toutes les faces </w:t>
      </w:r>
      <w:r>
        <w:t>(par défaut)</w:t>
      </w:r>
      <w:r>
        <w:rPr>
          <w:rStyle w:val="optioncarChar"/>
        </w:rPr>
        <w:t xml:space="preserve"> / l’une des faces / ***.</w:t>
      </w:r>
    </w:p>
    <w:p w14:paraId="6F424EB1" w14:textId="77777777" w:rsidR="004B2808" w:rsidRDefault="00000000">
      <w:pPr>
        <w:jc w:val="both"/>
      </w:pPr>
      <w:r>
        <w:t>Largeur des rouleaux : </w:t>
      </w:r>
      <w:r>
        <w:rPr>
          <w:rStyle w:val="optioncarChar"/>
        </w:rPr>
        <w:t xml:space="preserve">400 / 600 </w:t>
      </w:r>
      <w:r>
        <w:t>(par défaut)</w:t>
      </w:r>
      <w:r>
        <w:rPr>
          <w:rStyle w:val="optioncarChar"/>
        </w:rPr>
        <w:t xml:space="preserve"> / 1000 / *** </w:t>
      </w:r>
      <w:r>
        <w:t>mm</w:t>
      </w:r>
    </w:p>
    <w:p w14:paraId="5DD1BE88" w14:textId="77777777" w:rsidR="004B2808" w:rsidRDefault="00000000">
      <w:pPr>
        <w:jc w:val="both"/>
      </w:pPr>
      <w:r>
        <w:t xml:space="preserve">Epaisseur totale de l’isolation : </w:t>
      </w:r>
      <w:r>
        <w:rPr>
          <w:rStyle w:val="optioncarChar"/>
        </w:rPr>
        <w:t>***</w:t>
      </w:r>
      <w:r>
        <w:t> mm</w:t>
      </w:r>
    </w:p>
    <w:p w14:paraId="52874657" w14:textId="77777777" w:rsidR="004B2808" w:rsidRDefault="00000000">
      <w:pPr>
        <w:jc w:val="both"/>
      </w:pPr>
      <w:r>
        <w:t xml:space="preserve">Les rouleaux sont disposés en </w:t>
      </w:r>
      <w:r>
        <w:rPr>
          <w:rStyle w:val="optioncarChar"/>
        </w:rPr>
        <w:t xml:space="preserve">1 </w:t>
      </w:r>
      <w:r>
        <w:t>(par défaut)</w:t>
      </w:r>
      <w:r>
        <w:rPr>
          <w:rStyle w:val="optioncarChar"/>
        </w:rPr>
        <w:t xml:space="preserve"> / *** </w:t>
      </w:r>
      <w:r>
        <w:t>couche(s)</w:t>
      </w:r>
    </w:p>
    <w:p w14:paraId="2AA256C4" w14:textId="77777777" w:rsidR="004B2808" w:rsidRDefault="00000000">
      <w:pPr>
        <w:jc w:val="both"/>
      </w:pPr>
      <w:r>
        <w:t>Conductivité thermique (selon [NBN EN 12667] ou selon [NBN EN 12939] pour les produits épais) : valeur λ</w:t>
      </w:r>
      <w:r>
        <w:rPr>
          <w:vertAlign w:val="subscript"/>
        </w:rPr>
        <w:t>D</w:t>
      </w:r>
      <w:r>
        <w:t xml:space="preserve"> ≤ </w:t>
      </w:r>
      <w:r>
        <w:rPr>
          <w:rStyle w:val="optioncarChar"/>
        </w:rPr>
        <w:t>0.10</w:t>
      </w:r>
      <w:r>
        <w:t xml:space="preserve"> (par défaut)</w:t>
      </w:r>
      <w:r>
        <w:rPr>
          <w:rStyle w:val="optioncarChar"/>
        </w:rPr>
        <w:t xml:space="preserve"> / ***</w:t>
      </w:r>
      <w:r>
        <w:t> W/mK.</w:t>
      </w:r>
    </w:p>
    <w:p w14:paraId="30E76AE8" w14:textId="77777777" w:rsidR="004B2808" w:rsidRDefault="00000000">
      <w:pPr>
        <w:jc w:val="both"/>
      </w:pPr>
      <w:r>
        <w:t xml:space="preserve">Masse volumique nominale (selon [NBN EN ISO 29470]) : ≤ </w:t>
      </w:r>
      <w:r>
        <w:rPr>
          <w:rStyle w:val="optioncarChar"/>
        </w:rPr>
        <w:t xml:space="preserve">300 </w:t>
      </w:r>
      <w:r>
        <w:t>(par défaut)</w:t>
      </w:r>
      <w:r>
        <w:rPr>
          <w:rStyle w:val="optioncarChar"/>
        </w:rPr>
        <w:t xml:space="preserve"> / ***</w:t>
      </w:r>
      <w:r>
        <w:t> kg/m³.</w:t>
      </w:r>
    </w:p>
    <w:p w14:paraId="38FD079F" w14:textId="77777777" w:rsidR="004B2808" w:rsidRDefault="00000000">
      <w:pPr>
        <w:pStyle w:val="pheading"/>
      </w:pPr>
      <w:r>
        <w:t>- Prescriptions complémentaires</w:t>
      </w:r>
    </w:p>
    <w:p w14:paraId="5E1A2139" w14:textId="77777777" w:rsidR="004B2808" w:rsidRDefault="00000000">
      <w:pPr>
        <w:jc w:val="both"/>
      </w:pPr>
      <w:r>
        <w:rPr>
          <w:rStyle w:val="facultChar"/>
        </w:rPr>
        <w:t xml:space="preserve">Réaction au feu selon [NBN EN 13501-1] : </w:t>
      </w:r>
      <w:r>
        <w:rPr>
          <w:rStyle w:val="optioncarChar"/>
        </w:rPr>
        <w:t>E </w:t>
      </w:r>
      <w:r>
        <w:t>(par défaut)</w:t>
      </w:r>
      <w:r>
        <w:rPr>
          <w:rStyle w:val="optioncarChar"/>
        </w:rPr>
        <w:t xml:space="preserve"> / C / D / F </w:t>
      </w:r>
      <w:r>
        <w:rPr>
          <w:rStyle w:val="facultChar"/>
        </w:rPr>
        <w:t>complétée, le cas échéant par les aspects </w:t>
      </w:r>
      <w:r>
        <w:rPr>
          <w:rStyle w:val="optioncarChar"/>
        </w:rPr>
        <w:t xml:space="preserve">s1 </w:t>
      </w:r>
      <w:r>
        <w:t>(par défaut)</w:t>
      </w:r>
      <w:r>
        <w:rPr>
          <w:rStyle w:val="optioncarChar"/>
        </w:rPr>
        <w:t xml:space="preserve"> / s2 / s3 </w:t>
      </w:r>
      <w:r>
        <w:rPr>
          <w:rStyle w:val="facultChar"/>
        </w:rPr>
        <w:t xml:space="preserve">et </w:t>
      </w:r>
      <w:r>
        <w:rPr>
          <w:rStyle w:val="optioncarChar"/>
        </w:rPr>
        <w:t xml:space="preserve">d0 </w:t>
      </w:r>
      <w:r>
        <w:t>(par défaut)</w:t>
      </w:r>
      <w:r>
        <w:rPr>
          <w:rStyle w:val="optioncarChar"/>
        </w:rPr>
        <w:t xml:space="preserve"> / d1 / d2</w:t>
      </w:r>
      <w:r>
        <w:rPr>
          <w:rStyle w:val="facultChar"/>
        </w:rPr>
        <w:t>.  </w:t>
      </w:r>
    </w:p>
    <w:p w14:paraId="2B7965F8" w14:textId="77777777" w:rsidR="004B2808" w:rsidRDefault="00000000">
      <w:pPr>
        <w:jc w:val="both"/>
      </w:pPr>
      <w:r>
        <w:rPr>
          <w:rStyle w:val="facultChar"/>
        </w:rPr>
        <w:lastRenderedPageBreak/>
        <w:t xml:space="preserve">Résistance à la contrainte en compression à 10 % de déformation (selon [NBN EN 826]) : niveau CS(10\Y)  </w:t>
      </w:r>
      <w:r>
        <w:rPr>
          <w:rStyle w:val="optioncarChar"/>
        </w:rPr>
        <w:t>0,5 / 5 / 10 / 15 / 20 / 25 / 30 / 40</w:t>
      </w:r>
      <w:r>
        <w:t xml:space="preserve"> (par défaut)</w:t>
      </w:r>
      <w:r>
        <w:rPr>
          <w:rStyle w:val="optioncarChar"/>
        </w:rPr>
        <w:t xml:space="preserve"> / 50 / 60 / 70 / 80 / 90 / 110 / 120 / 130 / 140 / 150 / 175 / 200 / 225 / 250 / 300 / 350 / 400 / 450 / 500</w:t>
      </w:r>
      <w:r>
        <w:rPr>
          <w:rStyle w:val="facultChar"/>
        </w:rPr>
        <w:t> kPa.</w:t>
      </w:r>
    </w:p>
    <w:p w14:paraId="6B49A1E6" w14:textId="77777777" w:rsidR="004B2808" w:rsidRDefault="00000000">
      <w:pPr>
        <w:jc w:val="both"/>
      </w:pPr>
      <w:r>
        <w:rPr>
          <w:rStyle w:val="facultChar"/>
        </w:rPr>
        <w:t xml:space="preserve">Absorption d’eau à court terme (selon [NBN EN ISO 29767]) : ≤ </w:t>
      </w:r>
      <w:r>
        <w:rPr>
          <w:rStyle w:val="optioncarChar"/>
        </w:rPr>
        <w:t xml:space="preserve">1kg/m² </w:t>
      </w:r>
      <w:r>
        <w:t xml:space="preserve">(par défaut) </w:t>
      </w:r>
      <w:r>
        <w:rPr>
          <w:rStyle w:val="optioncarChar"/>
        </w:rPr>
        <w:t>/ ***</w:t>
      </w:r>
      <w:r>
        <w:rPr>
          <w:rStyle w:val="facultChar"/>
        </w:rPr>
        <w:t>.  </w:t>
      </w:r>
    </w:p>
    <w:p w14:paraId="02D4E759" w14:textId="77777777" w:rsidR="004B2808" w:rsidRDefault="00000000">
      <w:pPr>
        <w:jc w:val="both"/>
      </w:pPr>
      <w:r>
        <w:rPr>
          <w:rStyle w:val="facultChar"/>
        </w:rPr>
        <w:t xml:space="preserve">Absorption d’eau à long terme (selon [NBN EN ISO 16535]) : ≤ </w:t>
      </w:r>
      <w:r>
        <w:rPr>
          <w:rStyle w:val="optioncarChar"/>
        </w:rPr>
        <w:t xml:space="preserve">3kg/m² </w:t>
      </w:r>
      <w:r>
        <w:t xml:space="preserve">(par défaut) </w:t>
      </w:r>
      <w:r>
        <w:rPr>
          <w:rStyle w:val="optioncarChar"/>
        </w:rPr>
        <w:t>/ ***</w:t>
      </w:r>
      <w:r>
        <w:rPr>
          <w:rStyle w:val="facultChar"/>
        </w:rPr>
        <w:t>.</w:t>
      </w:r>
    </w:p>
    <w:p w14:paraId="3CBBFF4C" w14:textId="77777777" w:rsidR="004B2808" w:rsidRDefault="00000000">
      <w:pPr>
        <w:jc w:val="both"/>
      </w:pPr>
      <w:r>
        <w:rPr>
          <w:rStyle w:val="facultChar"/>
        </w:rPr>
        <w:t>Coefficient de résistance à la diffusion de vapeur d’eau – valeur s</w:t>
      </w:r>
      <w:r>
        <w:rPr>
          <w:rStyle w:val="facultChar"/>
          <w:vertAlign w:val="subscript"/>
        </w:rPr>
        <w:t>d</w:t>
      </w:r>
      <w:r>
        <w:rPr>
          <w:rStyle w:val="facultChar"/>
        </w:rPr>
        <w:t xml:space="preserve"> du rouleau + parement (selon [NBN EN 12086]) :  </w:t>
      </w:r>
      <w:r>
        <w:rPr>
          <w:rStyle w:val="optioncarChar"/>
        </w:rPr>
        <w:t>***</w:t>
      </w:r>
      <w:r>
        <w:rPr>
          <w:rStyle w:val="facultChar"/>
        </w:rPr>
        <w:t>.</w:t>
      </w:r>
    </w:p>
    <w:p w14:paraId="133DE8C5" w14:textId="77777777" w:rsidR="004B2808" w:rsidRDefault="00000000">
      <w:pPr>
        <w:jc w:val="both"/>
      </w:pPr>
      <w:r>
        <w:rPr>
          <w:rStyle w:val="facultChar"/>
        </w:rPr>
        <w:t>Absorption acoustique (déterminée selon [NBN EN ISO 354] et [NBN EN ISO 11654]) : </w:t>
      </w:r>
      <w:r>
        <w:rPr>
          <w:rStyle w:val="optioncarChar"/>
        </w:rPr>
        <w:t>***</w:t>
      </w:r>
      <w:r>
        <w:rPr>
          <w:rStyle w:val="facultChar"/>
        </w:rPr>
        <w:t>. </w:t>
      </w:r>
    </w:p>
    <w:p w14:paraId="49179619" w14:textId="77777777" w:rsidR="004B2808" w:rsidRDefault="00000000">
      <w:pPr>
        <w:pStyle w:val="pheading"/>
      </w:pPr>
      <w:r>
        <w:t>EXÉCUTION / MISE EN ŒUVRE</w:t>
      </w:r>
    </w:p>
    <w:p w14:paraId="28E61054" w14:textId="77777777" w:rsidR="004B2808" w:rsidRDefault="00000000">
      <w:pPr>
        <w:pStyle w:val="pheading"/>
      </w:pPr>
      <w:r>
        <w:t>- Prescriptions générales</w:t>
      </w:r>
    </w:p>
    <w:p w14:paraId="1D0D38CA" w14:textId="77777777" w:rsidR="004B2808" w:rsidRDefault="00000000">
      <w:pPr>
        <w:jc w:val="both"/>
      </w:pPr>
      <w:r>
        <w:t>Les rouleaux sont contigus. Les espaces éventuels entre rouleaux ou de liaison avec les parois sont comblés avec un isolant de même type.</w:t>
      </w:r>
    </w:p>
    <w:p w14:paraId="1F4861CB" w14:textId="77777777" w:rsidR="004B2808" w:rsidRDefault="00000000">
      <w:pPr>
        <w:jc w:val="both"/>
      </w:pPr>
      <w:r>
        <w:rPr>
          <w:b/>
        </w:rPr>
        <w:t>Pour une application en sol</w:t>
      </w:r>
    </w:p>
    <w:p w14:paraId="36DC7C5E" w14:textId="77777777" w:rsidR="004B2808" w:rsidRDefault="00000000">
      <w:pPr>
        <w:jc w:val="both"/>
      </w:pPr>
      <w:r>
        <w:t xml:space="preserve">Les rouleaux sont disposés entre les lambourdes, chevrons ou poutres. La largeur des rouleaux est au moins supérieure à la largeur libre entre chevrons plus 2 cm. L’isolation est posée par </w:t>
      </w:r>
      <w:r>
        <w:rPr>
          <w:rStyle w:val="optioncarChar"/>
        </w:rPr>
        <w:t xml:space="preserve">le dessus </w:t>
      </w:r>
      <w:r>
        <w:t>(par défaut)</w:t>
      </w:r>
      <w:r>
        <w:rPr>
          <w:rStyle w:val="optioncarChar"/>
        </w:rPr>
        <w:t xml:space="preserve"> / le dessous</w:t>
      </w:r>
      <w:r>
        <w:t xml:space="preserve"> des planchers</w:t>
      </w:r>
    </w:p>
    <w:p w14:paraId="439BF0E6" w14:textId="77777777" w:rsidR="004B2808" w:rsidRDefault="00000000">
      <w:pPr>
        <w:ind w:left="567"/>
        <w:jc w:val="both"/>
      </w:pPr>
      <w:r>
        <w:rPr>
          <w:b/>
          <w:i/>
        </w:rPr>
        <w:t>(Soit par défaut)</w:t>
      </w:r>
    </w:p>
    <w:p w14:paraId="50757DB9" w14:textId="77777777" w:rsidR="004B2808" w:rsidRDefault="00000000">
      <w:pPr>
        <w:ind w:left="567"/>
        <w:jc w:val="both"/>
      </w:pPr>
      <w:r>
        <w:rPr>
          <w:rStyle w:val="soitChar"/>
          <w:b/>
          <w:u w:val="single"/>
        </w:rPr>
        <w:t>Par le dessus des planchers</w:t>
      </w:r>
    </w:p>
    <w:p w14:paraId="4664F7B3" w14:textId="77777777" w:rsidR="004B2808" w:rsidRDefault="00000000">
      <w:pPr>
        <w:ind w:left="567"/>
        <w:jc w:val="both"/>
      </w:pPr>
      <w:r>
        <w:rPr>
          <w:rStyle w:val="soitChar"/>
        </w:rPr>
        <w:t xml:space="preserve"> Le placement de l’isolation est assuré par </w:t>
      </w:r>
      <w:r>
        <w:rPr>
          <w:rStyle w:val="optioncarChar"/>
        </w:rPr>
        <w:t>pose simple</w:t>
      </w:r>
      <w:r>
        <w:t xml:space="preserve"> (par défaut)</w:t>
      </w:r>
      <w:r>
        <w:rPr>
          <w:rStyle w:val="optioncarChar"/>
        </w:rPr>
        <w:t xml:space="preserve"> / agrafage à raison de 5 par m et par côté / ***</w:t>
      </w:r>
      <w:r>
        <w:rPr>
          <w:rStyle w:val="soitChar"/>
        </w:rPr>
        <w:t xml:space="preserve">. Le parement est disposé en </w:t>
      </w:r>
      <w:r>
        <w:rPr>
          <w:rStyle w:val="optioncarChar"/>
        </w:rPr>
        <w:t xml:space="preserve">partie supérieure </w:t>
      </w:r>
      <w:r>
        <w:t xml:space="preserve">(par défaut) </w:t>
      </w:r>
      <w:r>
        <w:rPr>
          <w:rStyle w:val="optioncarChar"/>
        </w:rPr>
        <w:t>/ partie inférieure / ***.</w:t>
      </w:r>
    </w:p>
    <w:p w14:paraId="2A7F7189" w14:textId="77777777" w:rsidR="004B2808" w:rsidRDefault="00000000">
      <w:pPr>
        <w:ind w:left="567"/>
        <w:jc w:val="both"/>
      </w:pPr>
      <w:r>
        <w:rPr>
          <w:b/>
          <w:i/>
        </w:rPr>
        <w:t>(Soit) </w:t>
      </w:r>
    </w:p>
    <w:p w14:paraId="763350A2" w14:textId="77777777" w:rsidR="004B2808" w:rsidRDefault="00000000">
      <w:pPr>
        <w:ind w:left="567"/>
        <w:jc w:val="both"/>
      </w:pPr>
      <w:r>
        <w:rPr>
          <w:rStyle w:val="soitChar"/>
          <w:b/>
          <w:u w:val="single"/>
        </w:rPr>
        <w:t>Par le dessous des planchers</w:t>
      </w:r>
    </w:p>
    <w:p w14:paraId="29A95C13" w14:textId="77777777" w:rsidR="004B2808" w:rsidRDefault="00000000">
      <w:pPr>
        <w:ind w:left="567"/>
        <w:jc w:val="both"/>
      </w:pPr>
      <w:r>
        <w:rPr>
          <w:rStyle w:val="soitChar"/>
        </w:rPr>
        <w:t xml:space="preserve"> Le placement de l’isolation est assuré par </w:t>
      </w:r>
      <w:r>
        <w:rPr>
          <w:rStyle w:val="optioncarChar"/>
        </w:rPr>
        <w:t>agrafage à raison de 5 par m et par côté</w:t>
      </w:r>
      <w:r>
        <w:t xml:space="preserve"> (par défaut) </w:t>
      </w:r>
      <w:r>
        <w:rPr>
          <w:rStyle w:val="optioncarChar"/>
        </w:rPr>
        <w:t>/ lattage (latte de minimum 15x23mm espacées de 30 cm dont les dimensions sont adaptées en fonction des fixations) / ***.</w:t>
      </w:r>
      <w:r>
        <w:rPr>
          <w:rStyle w:val="soitChar"/>
        </w:rPr>
        <w:t xml:space="preserve"> Le parement est disposé en </w:t>
      </w:r>
      <w:r>
        <w:rPr>
          <w:rStyle w:val="optioncarChar"/>
        </w:rPr>
        <w:t>partie supérieure</w:t>
      </w:r>
      <w:r>
        <w:t xml:space="preserve"> (par défaut)</w:t>
      </w:r>
      <w:r>
        <w:rPr>
          <w:rStyle w:val="optioncarChar"/>
        </w:rPr>
        <w:t xml:space="preserve"> / partie inférieure / ***</w:t>
      </w:r>
      <w:r>
        <w:rPr>
          <w:rStyle w:val="soitChar"/>
        </w:rPr>
        <w:t>.</w:t>
      </w:r>
    </w:p>
    <w:p w14:paraId="613E1D3E" w14:textId="77777777" w:rsidR="004B2808" w:rsidRDefault="00000000">
      <w:pPr>
        <w:jc w:val="both"/>
      </w:pPr>
      <w:r>
        <w:rPr>
          <w:b/>
        </w:rPr>
        <w:t>Pour une application en plafond</w:t>
      </w:r>
    </w:p>
    <w:p w14:paraId="26F4B349" w14:textId="77777777" w:rsidR="004B2808" w:rsidRDefault="00000000">
      <w:pPr>
        <w:jc w:val="both"/>
      </w:pPr>
      <w:r>
        <w:t>Les rouleaux sont disposés entre les suspends. La largeur des rouleaux est au moins supérieure à la largeur libre entre chevrons plus 2cm. L’application est conforme à la [NIT 232].</w:t>
      </w:r>
    </w:p>
    <w:p w14:paraId="148EB03E" w14:textId="77777777" w:rsidR="004B2808" w:rsidRDefault="00000000">
      <w:pPr>
        <w:jc w:val="both"/>
      </w:pPr>
      <w:r>
        <w:t xml:space="preserve">Le placement de l’isolation est assuré par </w:t>
      </w:r>
      <w:r>
        <w:rPr>
          <w:rStyle w:val="optioncarChar"/>
        </w:rPr>
        <w:t xml:space="preserve">pose sur la structure de faux-plafond </w:t>
      </w:r>
      <w:r>
        <w:t>(par défaut)</w:t>
      </w:r>
      <w:r>
        <w:rPr>
          <w:rStyle w:val="optioncarChar"/>
        </w:rPr>
        <w:t xml:space="preserve"> / agrafage à raison de 5 par m et par côté / lattage (latte de minimum 15x23mm espacées de 30 cm dont les dimensions sont adaptées en fonction des fixations) / ***.</w:t>
      </w:r>
      <w:r>
        <w:t xml:space="preserve"> Le parement est disposé en </w:t>
      </w:r>
      <w:r>
        <w:rPr>
          <w:rStyle w:val="optioncarChar"/>
        </w:rPr>
        <w:t>partie supérieure</w:t>
      </w:r>
      <w:r>
        <w:t xml:space="preserve"> (par défaut) </w:t>
      </w:r>
      <w:r>
        <w:rPr>
          <w:rStyle w:val="optioncarChar"/>
        </w:rPr>
        <w:t>/ partie inférieure / ***</w:t>
      </w:r>
      <w:r>
        <w:t>.</w:t>
      </w:r>
    </w:p>
    <w:p w14:paraId="410C0142" w14:textId="77777777" w:rsidR="004B2808" w:rsidRDefault="00000000">
      <w:pPr>
        <w:jc w:val="both"/>
      </w:pPr>
      <w:r>
        <w:rPr>
          <w:b/>
        </w:rPr>
        <w:t>Pour une application verticale</w:t>
      </w:r>
    </w:p>
    <w:p w14:paraId="04990670" w14:textId="77777777" w:rsidR="004B2808" w:rsidRDefault="00000000">
      <w:pPr>
        <w:jc w:val="both"/>
      </w:pPr>
      <w:r>
        <w:t>Les rouleaux sont disposés entre montants, chevrons ou poutres. La largeur des rouleaux est au moins supérieure à la largeur libre entre montants plus 2cm. L’application est conforme à la [NIT 233].</w:t>
      </w:r>
    </w:p>
    <w:p w14:paraId="7D98B8C5" w14:textId="77777777" w:rsidR="004B2808" w:rsidRDefault="00000000">
      <w:pPr>
        <w:jc w:val="both"/>
      </w:pPr>
      <w:r>
        <w:t xml:space="preserve">Le parement est disposé en partie </w:t>
      </w:r>
      <w:r>
        <w:rPr>
          <w:rStyle w:val="optioncarChar"/>
        </w:rPr>
        <w:t>extérieure</w:t>
      </w:r>
      <w:r>
        <w:t xml:space="preserve"> (par défaut)</w:t>
      </w:r>
      <w:r>
        <w:rPr>
          <w:rStyle w:val="optioncarChar"/>
        </w:rPr>
        <w:t xml:space="preserve"> / intérieure / ***.</w:t>
      </w:r>
    </w:p>
    <w:p w14:paraId="66F565B6" w14:textId="77777777" w:rsidR="004B2808" w:rsidRDefault="00000000">
      <w:pPr>
        <w:jc w:val="both"/>
      </w:pPr>
      <w:r>
        <w:t xml:space="preserve">Les rouleaux sont fixés par </w:t>
      </w:r>
      <w:r>
        <w:rPr>
          <w:rStyle w:val="optioncarChar"/>
        </w:rPr>
        <w:t xml:space="preserve">fixation mécanique </w:t>
      </w:r>
      <w:r>
        <w:t>(par défaut)</w:t>
      </w:r>
      <w:r>
        <w:rPr>
          <w:rStyle w:val="optioncarChar"/>
        </w:rPr>
        <w:t xml:space="preserve"> / serrage entre éléments et agrafage / collage / ***.</w:t>
      </w:r>
    </w:p>
    <w:p w14:paraId="6F4BD29A" w14:textId="77777777" w:rsidR="004B2808" w:rsidRDefault="00000000">
      <w:pPr>
        <w:ind w:left="567"/>
        <w:jc w:val="both"/>
      </w:pPr>
      <w:r>
        <w:rPr>
          <w:b/>
          <w:i/>
        </w:rPr>
        <w:t>(Soit par défaut)</w:t>
      </w:r>
    </w:p>
    <w:p w14:paraId="4ADB55D5" w14:textId="77777777" w:rsidR="004B2808" w:rsidRDefault="004B2808">
      <w:pPr>
        <w:ind w:left="567"/>
        <w:jc w:val="both"/>
      </w:pPr>
    </w:p>
    <w:p w14:paraId="5B7897D5" w14:textId="77777777" w:rsidR="004B2808" w:rsidRDefault="00000000">
      <w:pPr>
        <w:ind w:left="567"/>
        <w:jc w:val="both"/>
      </w:pPr>
      <w:r>
        <w:rPr>
          <w:rStyle w:val="soitChar"/>
          <w:b/>
          <w:u w:val="single"/>
        </w:rPr>
        <w:t>Par fixation mécanique</w:t>
      </w:r>
    </w:p>
    <w:p w14:paraId="3C659CD9" w14:textId="77777777" w:rsidR="004B2808" w:rsidRDefault="00000000">
      <w:pPr>
        <w:ind w:left="567"/>
        <w:jc w:val="both"/>
      </w:pPr>
      <w:r>
        <w:rPr>
          <w:rStyle w:val="soitChar"/>
        </w:rPr>
        <w:t xml:space="preserve"> Les fixations sont au nombre de </w:t>
      </w:r>
      <w:r>
        <w:rPr>
          <w:rStyle w:val="optioncarChar"/>
        </w:rPr>
        <w:t xml:space="preserve">5 par m² </w:t>
      </w:r>
      <w:r>
        <w:t xml:space="preserve">(par défaut) </w:t>
      </w:r>
      <w:r>
        <w:rPr>
          <w:rStyle w:val="optioncarChar"/>
        </w:rPr>
        <w:t>/ 8 par m² / ***</w:t>
      </w:r>
      <w:r>
        <w:rPr>
          <w:rStyle w:val="soitChar"/>
        </w:rPr>
        <w:t xml:space="preserve">. Elles sont munies de </w:t>
      </w:r>
      <w:r>
        <w:rPr>
          <w:rStyle w:val="optioncarChar"/>
        </w:rPr>
        <w:t xml:space="preserve">rosace (cheville) métallique / rosace (cheville) synthétique </w:t>
      </w:r>
      <w:r>
        <w:t xml:space="preserve">(par défaut) </w:t>
      </w:r>
      <w:r>
        <w:rPr>
          <w:rStyle w:val="optioncarChar"/>
        </w:rPr>
        <w:t>/ ***</w:t>
      </w:r>
      <w:r>
        <w:rPr>
          <w:rStyle w:val="soitChar"/>
        </w:rPr>
        <w:t xml:space="preserve">. L’ancrage dans la </w:t>
      </w:r>
      <w:r>
        <w:rPr>
          <w:rStyle w:val="soitChar"/>
        </w:rPr>
        <w:lastRenderedPageBreak/>
        <w:t>paroi porteuse est</w:t>
      </w:r>
      <w:r>
        <w:rPr>
          <w:rStyle w:val="optioncarChar"/>
        </w:rPr>
        <w:t xml:space="preserve"> métallique / synthétique</w:t>
      </w:r>
      <w:r>
        <w:t xml:space="preserve"> (par défaut)</w:t>
      </w:r>
      <w:r>
        <w:rPr>
          <w:rStyle w:val="optioncarChar"/>
        </w:rPr>
        <w:t>.</w:t>
      </w:r>
      <w:r>
        <w:rPr>
          <w:rStyle w:val="soitChar"/>
        </w:rPr>
        <w:t xml:space="preserve">  Les ancrages sont à </w:t>
      </w:r>
      <w:r>
        <w:rPr>
          <w:rStyle w:val="optioncarChar"/>
        </w:rPr>
        <w:t xml:space="preserve">visser / frapper </w:t>
      </w:r>
      <w:r>
        <w:t xml:space="preserve">(par défaut) </w:t>
      </w:r>
      <w:r>
        <w:rPr>
          <w:rStyle w:val="soitChar"/>
        </w:rPr>
        <w:t>et sont adaptés au support.</w:t>
      </w:r>
    </w:p>
    <w:p w14:paraId="213EFBD6" w14:textId="77777777" w:rsidR="004B2808" w:rsidRDefault="00000000">
      <w:pPr>
        <w:ind w:left="567"/>
        <w:jc w:val="both"/>
      </w:pPr>
      <w:r>
        <w:rPr>
          <w:b/>
          <w:i/>
        </w:rPr>
        <w:t>(Soit) </w:t>
      </w:r>
    </w:p>
    <w:p w14:paraId="085013C4" w14:textId="77777777" w:rsidR="004B2808" w:rsidRDefault="00000000">
      <w:pPr>
        <w:ind w:left="567"/>
        <w:jc w:val="both"/>
      </w:pPr>
      <w:r>
        <w:rPr>
          <w:rStyle w:val="soitChar"/>
          <w:b/>
          <w:u w:val="single"/>
        </w:rPr>
        <w:t>Par serrage et agrafage entre éléments</w:t>
      </w:r>
    </w:p>
    <w:p w14:paraId="03130393" w14:textId="77777777" w:rsidR="004B2808" w:rsidRDefault="00000000">
      <w:pPr>
        <w:ind w:left="567"/>
        <w:jc w:val="both"/>
      </w:pPr>
      <w:r>
        <w:rPr>
          <w:rStyle w:val="soitChar"/>
        </w:rPr>
        <w:t xml:space="preserve">Les rouleaux sont serrés entièrement et découpés à mesure (+ 2 mm) le serrage est accompagné d’un </w:t>
      </w:r>
      <w:r>
        <w:rPr>
          <w:rStyle w:val="optioncarChar"/>
        </w:rPr>
        <w:t>agrafage à raison de 5 par m et par côté</w:t>
      </w:r>
      <w:r>
        <w:t xml:space="preserve"> (par défaut)</w:t>
      </w:r>
      <w:r>
        <w:rPr>
          <w:rStyle w:val="optioncarChar"/>
        </w:rPr>
        <w:t xml:space="preserve"> / ***</w:t>
      </w:r>
      <w:r>
        <w:rPr>
          <w:rStyle w:val="soitChar"/>
        </w:rPr>
        <w:t>.</w:t>
      </w:r>
    </w:p>
    <w:p w14:paraId="0B7CC8D1" w14:textId="77777777" w:rsidR="004B2808" w:rsidRDefault="00000000">
      <w:pPr>
        <w:ind w:left="567"/>
        <w:jc w:val="both"/>
      </w:pPr>
      <w:r>
        <w:rPr>
          <w:b/>
          <w:i/>
        </w:rPr>
        <w:t>(Soit) </w:t>
      </w:r>
    </w:p>
    <w:p w14:paraId="4D30A60F" w14:textId="77777777" w:rsidR="004B2808" w:rsidRDefault="00000000">
      <w:pPr>
        <w:ind w:left="567"/>
        <w:jc w:val="both"/>
      </w:pPr>
      <w:r>
        <w:rPr>
          <w:rStyle w:val="soitChar"/>
          <w:b/>
          <w:u w:val="single"/>
        </w:rPr>
        <w:t>Par collage</w:t>
      </w:r>
    </w:p>
    <w:p w14:paraId="5E5F7DC1" w14:textId="77777777" w:rsidR="004B2808" w:rsidRDefault="00000000">
      <w:pPr>
        <w:ind w:left="567"/>
        <w:jc w:val="both"/>
      </w:pPr>
      <w:r>
        <w:rPr>
          <w:rStyle w:val="soitChar"/>
        </w:rPr>
        <w:t xml:space="preserve"> Les rouleaux sont fixés à l’aide de colle </w:t>
      </w:r>
      <w:r>
        <w:rPr>
          <w:rStyle w:val="optioncarChar"/>
        </w:rPr>
        <w:t xml:space="preserve">PU </w:t>
      </w:r>
      <w:r>
        <w:t>(par défaut)</w:t>
      </w:r>
      <w:r>
        <w:rPr>
          <w:rStyle w:val="optioncarChar"/>
        </w:rPr>
        <w:t xml:space="preserve"> / ***</w:t>
      </w:r>
      <w:r>
        <w:rPr>
          <w:rStyle w:val="soitChar"/>
        </w:rPr>
        <w:t xml:space="preserve">. La colle est appliquée en collage </w:t>
      </w:r>
      <w:r>
        <w:rPr>
          <w:rStyle w:val="optioncarChar"/>
        </w:rPr>
        <w:t>partiel à 50%</w:t>
      </w:r>
      <w:r>
        <w:t xml:space="preserve"> (par défaut) </w:t>
      </w:r>
      <w:r>
        <w:rPr>
          <w:rStyle w:val="optioncarChar"/>
        </w:rPr>
        <w:t>/ total / ***</w:t>
      </w:r>
      <w:r>
        <w:rPr>
          <w:rStyle w:val="soitChar"/>
        </w:rPr>
        <w:t xml:space="preserve">. La concentration de pentachlorophénol de la colle mesurée selon la [CEN/TR 14823] est inférieure à </w:t>
      </w:r>
      <w:r>
        <w:rPr>
          <w:rStyle w:val="optioncarChar"/>
        </w:rPr>
        <w:t xml:space="preserve">5 PPM </w:t>
      </w:r>
      <w:r>
        <w:t>(par défaut)</w:t>
      </w:r>
      <w:r>
        <w:rPr>
          <w:rStyle w:val="optioncarChar"/>
        </w:rPr>
        <w:t xml:space="preserve"> / ***</w:t>
      </w:r>
      <w:r>
        <w:rPr>
          <w:rStyle w:val="soitChar"/>
        </w:rPr>
        <w:t>.</w:t>
      </w:r>
    </w:p>
    <w:p w14:paraId="106850C0" w14:textId="77777777" w:rsidR="004B2808" w:rsidRDefault="00000000">
      <w:pPr>
        <w:ind w:left="567"/>
        <w:jc w:val="both"/>
      </w:pPr>
      <w:r>
        <w:rPr>
          <w:b/>
          <w:i/>
        </w:rPr>
        <w:t>(Soit) </w:t>
      </w:r>
    </w:p>
    <w:p w14:paraId="0CEE7DFD" w14:textId="77777777" w:rsidR="004B2808" w:rsidRDefault="00000000">
      <w:pPr>
        <w:ind w:left="567"/>
        <w:jc w:val="both"/>
      </w:pPr>
      <w:r>
        <w:rPr>
          <w:rStyle w:val="optioncarChar"/>
        </w:rPr>
        <w:t>***       </w:t>
      </w:r>
    </w:p>
    <w:p w14:paraId="34641B24" w14:textId="77777777" w:rsidR="004B2808" w:rsidRDefault="00000000">
      <w:pPr>
        <w:jc w:val="both"/>
      </w:pPr>
      <w:r>
        <w:t>Les fixations sont conçues et disposées afin de ne pas réduire les performances acoustiques.</w:t>
      </w:r>
    </w:p>
    <w:p w14:paraId="7F7211CF" w14:textId="77777777" w:rsidR="004B2808" w:rsidRDefault="00000000">
      <w:pPr>
        <w:pStyle w:val="pheading"/>
      </w:pPr>
      <w:r>
        <w:t>DOCUMENTS DE RÉFÉRENCE COMPLÉMENTAIRES</w:t>
      </w:r>
    </w:p>
    <w:p w14:paraId="56223B51" w14:textId="77777777" w:rsidR="004B2808" w:rsidRDefault="00000000">
      <w:pPr>
        <w:pStyle w:val="pheading"/>
      </w:pPr>
      <w:r>
        <w:t>- Matériau</w:t>
      </w:r>
    </w:p>
    <w:p w14:paraId="7A4A7BD9" w14:textId="77777777" w:rsidR="004B2808"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167E237A" w14:textId="77777777" w:rsidR="004B2808"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 </w:t>
      </w:r>
    </w:p>
    <w:p w14:paraId="0023CBAD" w14:textId="77777777" w:rsidR="004B2808" w:rsidRDefault="00000000">
      <w:r>
        <w:t>[NBN EN 824, Produits isolants thermiques destinés aux applications du bâtiment - Détermination de l'équerrage]</w:t>
      </w:r>
    </w:p>
    <w:p w14:paraId="784962D8" w14:textId="77777777" w:rsidR="004B2808" w:rsidRDefault="00000000">
      <w:r>
        <w:t>[NBN EN 825, Produits isolants thermiques destinés aux applications du bâtiment - Détermination de la planéité]</w:t>
      </w:r>
    </w:p>
    <w:p w14:paraId="3261DEC0" w14:textId="77777777" w:rsidR="004B2808" w:rsidRDefault="00000000">
      <w:r>
        <w:t>[NBN EN 13501-1, Classement au feu des produits et éléments de construction - Partie 1: Classement à partir des données d'essais de réaction au feu]</w:t>
      </w:r>
    </w:p>
    <w:p w14:paraId="6FAB2B5D" w14:textId="77777777" w:rsidR="004B2808" w:rsidRDefault="00000000">
      <w:r>
        <w:t>[NBN EN 1604, Produits isolants thermiques destinés aux applications du bâtiment - Détermination de la stabilité dimensionnelle dans des conditions de température et d'humidité spécifiées]</w:t>
      </w:r>
    </w:p>
    <w:p w14:paraId="14AB70CB" w14:textId="77777777" w:rsidR="004B2808" w:rsidRDefault="00000000">
      <w:r>
        <w:t>[NBN EN 826, Produits isolants thermiques destinés aux applications du bâtiment - Détermination du comportement en compression]</w:t>
      </w:r>
    </w:p>
    <w:p w14:paraId="1012E5B4" w14:textId="77777777" w:rsidR="004B2808" w:rsidRDefault="00000000">
      <w:r>
        <w:t>[NBN EN 1607, Produits isolants thermiques destinés aux applications du bâtiment - Détermination de la résistance à la traction perpendiculairement aux faces]</w:t>
      </w:r>
    </w:p>
    <w:p w14:paraId="4002E895" w14:textId="77777777" w:rsidR="004B2808" w:rsidRDefault="00000000">
      <w:r>
        <w:t>[NBN EN 12430, Produits isolants thermiques destinés aux applications du bâtiment - Détermination du comportement sous charge ponctuelle]</w:t>
      </w:r>
    </w:p>
    <w:p w14:paraId="4AA16CD4" w14:textId="77777777" w:rsidR="004B2808" w:rsidRDefault="00000000">
      <w:r>
        <w:t>[NBN EN ISO 16534, Produits isolants thermiques destinés aux applications du bâtiment - Détermination du fluage en compression (ISO 16534:2020)]</w:t>
      </w:r>
    </w:p>
    <w:p w14:paraId="2DD8CC8B" w14:textId="77777777" w:rsidR="004B2808" w:rsidRDefault="00000000">
      <w:r>
        <w:t>[NBN EN ISO 29767, Produits isolants thermiques destinés aux applications du bâtiment - Détermination de l'absorption d'eau à court terme par immersion partielle (ISO 29767:2019)]</w:t>
      </w:r>
    </w:p>
    <w:p w14:paraId="712BCDEE" w14:textId="77777777" w:rsidR="004B2808" w:rsidRDefault="00000000">
      <w:r>
        <w:t>[NBN EN ISO 16535, Produits isolants thermiques destinés aux applications du bâtiment - Détermination de l'absorption d'eau à long terme par immersion (ISO 16535:2019)]</w:t>
      </w:r>
    </w:p>
    <w:p w14:paraId="388810B5" w14:textId="77777777" w:rsidR="004B2808" w:rsidRDefault="00000000">
      <w:r>
        <w:t>[NBN EN 12086, Produits isolants thermiques destinés aux applications du bâtiment - Détermination des propriétés de transmission de la vapeur d'eau]</w:t>
      </w:r>
    </w:p>
    <w:p w14:paraId="56F5C34C" w14:textId="77777777" w:rsidR="004B2808" w:rsidRDefault="00000000">
      <w:r>
        <w:lastRenderedPageBreak/>
        <w:t>[NBN EN ISO 354, Acoustique - Mesurage de l'absorption acoustique en salle réverbérante (ISO 354:2003)]</w:t>
      </w:r>
    </w:p>
    <w:p w14:paraId="2D5228C1" w14:textId="77777777" w:rsidR="004B2808" w:rsidRDefault="00000000">
      <w:r>
        <w:t>[NBN EN ISO 11654, Acoustique - Absorbants pour l'utilisation dans les bâtiments - Evaluation de l'absorption acoustique (ISO 11654:1997)]</w:t>
      </w:r>
    </w:p>
    <w:p w14:paraId="43F24E67" w14:textId="77777777" w:rsidR="004B2808" w:rsidRDefault="00000000">
      <w:pPr>
        <w:pStyle w:val="pheading"/>
      </w:pPr>
      <w:r>
        <w:t>- Exécution</w:t>
      </w:r>
    </w:p>
    <w:p w14:paraId="41B69A89" w14:textId="77777777" w:rsidR="004B2808" w:rsidRDefault="00000000">
      <w:r>
        <w:t>[NIT 233, Les cloisons légères.]</w:t>
      </w:r>
    </w:p>
    <w:p w14:paraId="155360CD" w14:textId="77777777" w:rsidR="004B2808" w:rsidRDefault="00000000">
      <w:r>
        <w:t>[NIT 232, Les plafonds suspendus.]</w:t>
      </w:r>
    </w:p>
    <w:p w14:paraId="3AB54295" w14:textId="77777777" w:rsidR="004B2808" w:rsidRDefault="00000000">
      <w:pPr>
        <w:pStyle w:val="pheading"/>
      </w:pPr>
      <w:r>
        <w:t>MESURAGE</w:t>
      </w:r>
    </w:p>
    <w:p w14:paraId="56C82B1D" w14:textId="77777777" w:rsidR="004B2808" w:rsidRDefault="00000000">
      <w:pPr>
        <w:pStyle w:val="pheading"/>
      </w:pPr>
      <w:r>
        <w:t>- unité de mesure:</w:t>
      </w:r>
    </w:p>
    <w:p w14:paraId="582AE155" w14:textId="77777777" w:rsidR="004B2808" w:rsidRDefault="00000000">
      <w:r>
        <w:t>m²</w:t>
      </w:r>
    </w:p>
    <w:p w14:paraId="00136601" w14:textId="77777777" w:rsidR="004B2808" w:rsidRDefault="00000000">
      <w:pPr>
        <w:pStyle w:val="pheading"/>
      </w:pPr>
      <w:r>
        <w:t>- code de mesurage:</w:t>
      </w:r>
    </w:p>
    <w:p w14:paraId="033CEBF7" w14:textId="77777777" w:rsidR="004B2808" w:rsidRDefault="00000000">
      <w:pPr>
        <w:jc w:val="both"/>
      </w:pPr>
      <w:r>
        <w:rPr>
          <w:b/>
        </w:rPr>
        <w:t>Surface nette</w:t>
      </w:r>
      <w:r>
        <w:t xml:space="preserve"> de l’élément à isoler, sans déduction des éléments de structure interposés (chevrons, fermes). Les réservations inférieures à 1 m² ne sont pas déduites. Distinction faite suivant le type et l'épaisseur.</w:t>
      </w:r>
    </w:p>
    <w:p w14:paraId="53350DAA" w14:textId="77777777" w:rsidR="004B2808" w:rsidRDefault="00000000">
      <w:pPr>
        <w:pStyle w:val="pheading"/>
      </w:pPr>
      <w:r>
        <w:t>- nature du marché:</w:t>
      </w:r>
    </w:p>
    <w:p w14:paraId="355A1D53" w14:textId="77777777" w:rsidR="004B2808" w:rsidRDefault="00000000">
      <w:r>
        <w:t>QF</w:t>
      </w:r>
    </w:p>
    <w:p w14:paraId="5D23D65D" w14:textId="77777777" w:rsidR="004B2808" w:rsidRDefault="00000000">
      <w:pPr>
        <w:pStyle w:val="Author-eSectionHeading6Numberless"/>
      </w:pPr>
      <w:bookmarkStart w:id="442" w:name="_Toc220490617"/>
      <w:r>
        <w:t>52.42.3g Isolation en rouleaux/matelas - biopolymères CCTB 01.12</w:t>
      </w:r>
      <w:bookmarkEnd w:id="442"/>
    </w:p>
    <w:p w14:paraId="42E38620" w14:textId="77777777" w:rsidR="004B2808" w:rsidRDefault="00000000">
      <w:pPr>
        <w:pStyle w:val="pheading"/>
      </w:pPr>
      <w:r>
        <w:t>DESCRIPTION</w:t>
      </w:r>
    </w:p>
    <w:p w14:paraId="2D9D5963" w14:textId="77777777" w:rsidR="004B2808" w:rsidRDefault="00000000">
      <w:pPr>
        <w:pStyle w:val="pheading"/>
      </w:pPr>
      <w:r>
        <w:t>- Définition / Comprend</w:t>
      </w:r>
    </w:p>
    <w:p w14:paraId="087AE3B0" w14:textId="77777777" w:rsidR="004B2808" w:rsidRDefault="00000000">
      <w:pPr>
        <w:jc w:val="both"/>
      </w:pPr>
      <w:r>
        <w:t>Il s’agit de la fourniture et la pose d’une isolation acoustique au moyen de rouleaux de biopolymères pour une application intérieure.</w:t>
      </w:r>
    </w:p>
    <w:p w14:paraId="6D7D9DAB" w14:textId="77777777" w:rsidR="004B2808" w:rsidRDefault="00000000">
      <w:pPr>
        <w:pStyle w:val="pheading"/>
      </w:pPr>
      <w:r>
        <w:t>- Localisation</w:t>
      </w:r>
    </w:p>
    <w:p w14:paraId="071694F2" w14:textId="77777777" w:rsidR="004B2808" w:rsidRDefault="00000000">
      <w:r>
        <w:t xml:space="preserve">Localisation des travaux : </w:t>
      </w:r>
      <w:r>
        <w:rPr>
          <w:rStyle w:val="optioncarChar"/>
        </w:rPr>
        <w:t>***</w:t>
      </w:r>
      <w:r>
        <w:t>.</w:t>
      </w:r>
    </w:p>
    <w:p w14:paraId="085CCA14" w14:textId="77777777" w:rsidR="004B2808" w:rsidRDefault="00000000">
      <w:r>
        <w:t>Voir plans et métrés détaillés.</w:t>
      </w:r>
    </w:p>
    <w:p w14:paraId="6AC123A6" w14:textId="77777777" w:rsidR="004B2808" w:rsidRDefault="00000000">
      <w:pPr>
        <w:pStyle w:val="pheading"/>
      </w:pPr>
      <w:r>
        <w:t>MATÉRIAUX</w:t>
      </w:r>
    </w:p>
    <w:p w14:paraId="0E8194F6" w14:textId="77777777" w:rsidR="004B2808" w:rsidRDefault="00000000">
      <w:pPr>
        <w:pStyle w:val="pheading"/>
      </w:pPr>
      <w:r>
        <w:t>- Caractéristiques générales</w:t>
      </w:r>
    </w:p>
    <w:p w14:paraId="1C3C6C4C" w14:textId="77777777" w:rsidR="004B2808" w:rsidRDefault="00000000">
      <w:pPr>
        <w:jc w:val="both"/>
      </w:pPr>
      <w:r>
        <w:t>Le produit biosourcé est constitué d’une membrane en biopolymères viscoélastique, produite à base de matériaux organiques renouvelables et recyclables, résidus des filières agricoles et alimentaires.</w:t>
      </w:r>
    </w:p>
    <w:p w14:paraId="55136BA9" w14:textId="77777777" w:rsidR="004B2808" w:rsidRDefault="00000000">
      <w:pPr>
        <w:jc w:val="both"/>
      </w:pPr>
      <w:r>
        <w:t xml:space="preserve">Épaisseur (selon [NBN EN 823]) : </w:t>
      </w:r>
      <w:r>
        <w:rPr>
          <w:rStyle w:val="optioncarChar"/>
        </w:rPr>
        <w:t xml:space="preserve">2 </w:t>
      </w:r>
      <w:r>
        <w:t>(par défaut)</w:t>
      </w:r>
      <w:r>
        <w:rPr>
          <w:rStyle w:val="optioncarChar"/>
        </w:rPr>
        <w:t xml:space="preserve"> / 4 / 8 / ***</w:t>
      </w:r>
      <w:r>
        <w:t xml:space="preserve"> mm</w:t>
      </w:r>
    </w:p>
    <w:p w14:paraId="65161A3E" w14:textId="77777777" w:rsidR="004B2808" w:rsidRDefault="00000000">
      <w:pPr>
        <w:jc w:val="both"/>
      </w:pPr>
      <w:r>
        <w:t xml:space="preserve">Densité (selon [NBN EN ISO 29470]) : </w:t>
      </w:r>
      <w:r>
        <w:rPr>
          <w:rStyle w:val="optioncarChar"/>
        </w:rPr>
        <w:t>2,5</w:t>
      </w:r>
      <w:r>
        <w:t xml:space="preserve"> (par défaut)</w:t>
      </w:r>
      <w:r>
        <w:rPr>
          <w:rStyle w:val="optioncarChar"/>
        </w:rPr>
        <w:t xml:space="preserve"> / 4 / 6 / ***</w:t>
      </w:r>
      <w:r>
        <w:t xml:space="preserve"> kg/m³.</w:t>
      </w:r>
    </w:p>
    <w:p w14:paraId="1BF9B34A" w14:textId="77777777" w:rsidR="004B2808" w:rsidRDefault="00000000">
      <w:pPr>
        <w:jc w:val="both"/>
      </w:pPr>
      <w:r>
        <w:t xml:space="preserve">Indice d’affaiblissement acoustique Rw (selon [NBN EN ISO 717-1]) : </w:t>
      </w:r>
      <w:r>
        <w:rPr>
          <w:rStyle w:val="optioncarChar"/>
        </w:rPr>
        <w:t xml:space="preserve">52 </w:t>
      </w:r>
      <w:r>
        <w:t xml:space="preserve">(par défaut) </w:t>
      </w:r>
      <w:r>
        <w:rPr>
          <w:rStyle w:val="optioncarChar"/>
        </w:rPr>
        <w:t>/ 53 / 56 / 59 / 64 / ***</w:t>
      </w:r>
      <w:r>
        <w:t xml:space="preserve"> dB</w:t>
      </w:r>
    </w:p>
    <w:p w14:paraId="555FCD89" w14:textId="77777777" w:rsidR="004B2808" w:rsidRDefault="00000000">
      <w:pPr>
        <w:jc w:val="both"/>
      </w:pPr>
      <w:r>
        <w:t xml:space="preserve">Niveau de pression pondéré du bruit de choc standardisé L’nT,w (selon [NBN S 01-400-1] : </w:t>
      </w:r>
      <w:r>
        <w:rPr>
          <w:rStyle w:val="optioncarChar"/>
        </w:rPr>
        <w:t xml:space="preserve">35 </w:t>
      </w:r>
      <w:r>
        <w:t xml:space="preserve">(par défaut) </w:t>
      </w:r>
      <w:r>
        <w:rPr>
          <w:rStyle w:val="optioncarChar"/>
        </w:rPr>
        <w:t>/ 45 / 51 / 55 / ***</w:t>
      </w:r>
      <w:r>
        <w:t xml:space="preserve"> dB</w:t>
      </w:r>
    </w:p>
    <w:p w14:paraId="575CEEB0" w14:textId="77777777" w:rsidR="004B2808" w:rsidRDefault="00000000">
      <w:pPr>
        <w:jc w:val="both"/>
      </w:pPr>
      <w:r>
        <w:t xml:space="preserve">Les liants des matelas et d’adhésion du revêtement de surface ne contiennent pas de formaldéhyde. Le dégagement mesuré selon la [NBN EN 717-1] est inférieur à </w:t>
      </w:r>
      <w:r>
        <w:rPr>
          <w:rStyle w:val="optioncarChar"/>
        </w:rPr>
        <w:t xml:space="preserve">0.124 </w:t>
      </w:r>
      <w:r>
        <w:t>(par défaut)</w:t>
      </w:r>
      <w:r>
        <w:rPr>
          <w:rStyle w:val="optioncarChar"/>
        </w:rPr>
        <w:t xml:space="preserve"> / ***</w:t>
      </w:r>
      <w:r>
        <w:t xml:space="preserve"> mg/m³.</w:t>
      </w:r>
    </w:p>
    <w:p w14:paraId="233DC1B0" w14:textId="77777777" w:rsidR="004B2808" w:rsidRDefault="00000000">
      <w:pPr>
        <w:jc w:val="both"/>
      </w:pPr>
      <w:r>
        <w:t xml:space="preserve">La concentration de pentachlorophénol mesurée selon la [CEN/TR 14823] est inférieure à </w:t>
      </w:r>
      <w:r>
        <w:rPr>
          <w:rStyle w:val="optioncarChar"/>
        </w:rPr>
        <w:t xml:space="preserve">5 </w:t>
      </w:r>
      <w:r>
        <w:t>(par défaut)</w:t>
      </w:r>
      <w:r>
        <w:rPr>
          <w:rStyle w:val="optioncarChar"/>
        </w:rPr>
        <w:t xml:space="preserve"> / ***</w:t>
      </w:r>
      <w:r>
        <w:t xml:space="preserve"> PPM.</w:t>
      </w:r>
    </w:p>
    <w:p w14:paraId="133C380F" w14:textId="77777777" w:rsidR="004B2808" w:rsidRDefault="00000000">
      <w:pPr>
        <w:jc w:val="both"/>
      </w:pPr>
      <w:r>
        <w:t xml:space="preserve">Les liants des matelas sont issus de </w:t>
      </w:r>
      <w:r>
        <w:rPr>
          <w:rStyle w:val="optioncarChar"/>
        </w:rPr>
        <w:t xml:space="preserve">matières premières d’origine végétales </w:t>
      </w:r>
      <w:r>
        <w:t>(par défaut)</w:t>
      </w:r>
      <w:r>
        <w:rPr>
          <w:rStyle w:val="optioncarChar"/>
        </w:rPr>
        <w:t xml:space="preserve"> / ***</w:t>
      </w:r>
      <w:r>
        <w:t>.</w:t>
      </w:r>
    </w:p>
    <w:p w14:paraId="083F56FE" w14:textId="77777777" w:rsidR="004B2808" w:rsidRDefault="00000000">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le [Règlement 1907/2006/CE]. La concentration maximum des adjuvants est de </w:t>
      </w:r>
      <w:r>
        <w:rPr>
          <w:rStyle w:val="optioncarChar"/>
        </w:rPr>
        <w:t xml:space="preserve">4% </w:t>
      </w:r>
      <w:r>
        <w:t>(par défaut)</w:t>
      </w:r>
      <w:r>
        <w:rPr>
          <w:rStyle w:val="optioncarChar"/>
        </w:rPr>
        <w:t xml:space="preserve"> / ***</w:t>
      </w:r>
      <w:r>
        <w:t>.</w:t>
      </w:r>
    </w:p>
    <w:p w14:paraId="00F902F4" w14:textId="77777777" w:rsidR="004B2808" w:rsidRDefault="00000000">
      <w:pPr>
        <w:ind w:left="750"/>
      </w:pPr>
      <w:r>
        <w:lastRenderedPageBreak/>
        <w:t> </w:t>
      </w:r>
    </w:p>
    <w:p w14:paraId="6BF2F25A" w14:textId="77777777" w:rsidR="004B2808" w:rsidRDefault="00000000">
      <w:pPr>
        <w:pStyle w:val="pheading"/>
      </w:pPr>
      <w:r>
        <w:t>- Prescriptions complémentaires</w:t>
      </w:r>
    </w:p>
    <w:p w14:paraId="62484AE0" w14:textId="77777777" w:rsidR="004B2808" w:rsidRDefault="00000000">
      <w:r>
        <w:rPr>
          <w:rStyle w:val="facultChar"/>
        </w:rPr>
        <w:t>Classement de la réaction au feu (selon [NBN EN 13501-1]) :</w:t>
      </w:r>
      <w:r>
        <w:rPr>
          <w:rStyle w:val="optioncarChar"/>
        </w:rPr>
        <w:t>D</w:t>
      </w:r>
      <w:r>
        <w:t xml:space="preserve"> (par défaut)</w:t>
      </w:r>
      <w:r>
        <w:rPr>
          <w:rStyle w:val="optioncarChar"/>
        </w:rPr>
        <w:t xml:space="preserve"> / ***</w:t>
      </w:r>
      <w:r>
        <w:t>.</w:t>
      </w:r>
    </w:p>
    <w:p w14:paraId="0A6D5336" w14:textId="77777777" w:rsidR="004B2808" w:rsidRDefault="00000000">
      <w:pPr>
        <w:pStyle w:val="pheading"/>
      </w:pPr>
      <w:r>
        <w:t>EXÉCUTION / MISE EN ŒUVRE</w:t>
      </w:r>
    </w:p>
    <w:p w14:paraId="1F1DFE4F" w14:textId="77777777" w:rsidR="004B2808" w:rsidRDefault="00000000">
      <w:pPr>
        <w:pStyle w:val="pheading"/>
      </w:pPr>
      <w:r>
        <w:t>- Prescriptions générales</w:t>
      </w:r>
    </w:p>
    <w:p w14:paraId="5CB1DF4F" w14:textId="77777777" w:rsidR="004B2808" w:rsidRDefault="00000000">
      <w:pPr>
        <w:jc w:val="both"/>
      </w:pPr>
      <w:r>
        <w:t>Le stockage des membranes isolants acoustiques ainsi que de leurs accessoires doit impérativement faire preuve de soin. Les isolants doivent être entreposés horizontalement et ne peuvent pas être exposés aux intempéries ni à la lumière directe du soleil. Le stockage des isolant et de leurs accessoires doit être réalisé de façon à annuler le risque de trous ou de tout dégât.</w:t>
      </w:r>
    </w:p>
    <w:p w14:paraId="2ED0C5E6" w14:textId="77777777" w:rsidR="004B2808" w:rsidRDefault="00000000">
      <w:pPr>
        <w:jc w:val="both"/>
      </w:pPr>
      <w:r>
        <w:t>Les points de contact entre le système isolant prescrit et les éléments de structure du bâtiment sont découplés avec une bande résiliente de désolidarisation. Un joint viscoélastique résilient est appliqué en périphérie du système isolant.</w:t>
      </w:r>
    </w:p>
    <w:p w14:paraId="1A44C71F" w14:textId="77777777" w:rsidR="004B2808" w:rsidRDefault="00000000">
      <w:pPr>
        <w:jc w:val="both"/>
      </w:pPr>
      <w:r>
        <w:rPr>
          <w:b/>
          <w:i/>
        </w:rPr>
        <w:t>Pour une application verticale</w:t>
      </w:r>
    </w:p>
    <w:p w14:paraId="5B97BD70" w14:textId="77777777" w:rsidR="004B2808" w:rsidRDefault="00000000">
      <w:pPr>
        <w:jc w:val="both"/>
      </w:pPr>
      <w:r>
        <w:t xml:space="preserve">Le complexe d’isolation est formé d’une membrane en biopolymères placée entre deux plaques de plâtre vissées sur les deux faces d’une ossature en profilés métalliques ou bois Les lés de membrane acoustique sont fixés sur la première plaque de la paroi à l’aide </w:t>
      </w:r>
      <w:r>
        <w:rPr>
          <w:rStyle w:val="optioncarChar"/>
        </w:rPr>
        <w:t xml:space="preserve">d’agrafes </w:t>
      </w:r>
      <w:r>
        <w:t xml:space="preserve">(par défaut) </w:t>
      </w:r>
      <w:r>
        <w:rPr>
          <w:rStyle w:val="optioncarChar"/>
        </w:rPr>
        <w:t>/ d’adhésif double face / ***</w:t>
      </w:r>
      <w:r>
        <w:t xml:space="preserve"> en superposant les bords amincis pour amener le matériau viscoélastique des lés adjacents en contact. La deuxième plaque est ensuite vissée sur la première en décalant les plaques pour éviter une superposition des joints à bords amincis. Un joint périphérique de 1 à 2 mm en mastic résilient est placé en périphérie des plaques de plâtre au contact des murs, du sol et du plafond.</w:t>
      </w:r>
    </w:p>
    <w:p w14:paraId="674B4EF9" w14:textId="77777777" w:rsidR="004B2808" w:rsidRDefault="00000000">
      <w:pPr>
        <w:jc w:val="both"/>
      </w:pPr>
      <w:r>
        <w:t>Les jonctions à bords amincis sont enduites.</w:t>
      </w:r>
    </w:p>
    <w:p w14:paraId="4F2185C4" w14:textId="77777777" w:rsidR="004B2808" w:rsidRDefault="00000000">
      <w:pPr>
        <w:jc w:val="both"/>
      </w:pPr>
      <w:r>
        <w:t>Les percements sont limités aux agrafes ou aux vis de fixation.</w:t>
      </w:r>
    </w:p>
    <w:p w14:paraId="54158BD7" w14:textId="77777777" w:rsidR="004B2808" w:rsidRDefault="00000000">
      <w:pPr>
        <w:jc w:val="both"/>
      </w:pPr>
      <w:r>
        <w:rPr>
          <w:b/>
          <w:i/>
        </w:rPr>
        <w:t>Pour une application horizontale</w:t>
      </w:r>
    </w:p>
    <w:p w14:paraId="59A29690" w14:textId="77777777" w:rsidR="004B2808" w:rsidRDefault="00000000">
      <w:pPr>
        <w:jc w:val="both"/>
      </w:pPr>
      <w:r>
        <w:t>La sous-couche d’isolation acoustique est placée entre le complexe plancher et la chape flottante. La sous couche forme un complexe de découplage continu et est en pose flottante sans fixations. Aucun percement n’est autorisé.</w:t>
      </w:r>
    </w:p>
    <w:p w14:paraId="4D76FBE3" w14:textId="77777777" w:rsidR="004B2808" w:rsidRDefault="00000000">
      <w:pPr>
        <w:ind w:left="567"/>
        <w:jc w:val="both"/>
      </w:pPr>
      <w:r>
        <w:rPr>
          <w:b/>
          <w:i/>
        </w:rPr>
        <w:t>Au sol</w:t>
      </w:r>
    </w:p>
    <w:p w14:paraId="68AA0AAE" w14:textId="77777777" w:rsidR="004B2808" w:rsidRDefault="00000000">
      <w:pPr>
        <w:ind w:left="567"/>
        <w:jc w:val="both"/>
      </w:pPr>
      <w:r>
        <w:t>Une bande résiliente d’étanchéité d’une hauteur équivalente à l’ensemble du revêtement fini est posée en périphérie de la chape.</w:t>
      </w:r>
    </w:p>
    <w:p w14:paraId="5E689F88" w14:textId="77777777" w:rsidR="004B2808" w:rsidRDefault="00000000">
      <w:pPr>
        <w:ind w:left="567"/>
        <w:jc w:val="both"/>
      </w:pPr>
      <w:r>
        <w:t>Les panneaux d’isolant acoustique sont posés bords à bords.</w:t>
      </w:r>
    </w:p>
    <w:p w14:paraId="6EBD1AF1" w14:textId="77777777" w:rsidR="004B2808" w:rsidRDefault="00000000">
      <w:pPr>
        <w:ind w:left="567"/>
        <w:jc w:val="both"/>
      </w:pPr>
      <w:r>
        <w:t>La chape est coulée.</w:t>
      </w:r>
    </w:p>
    <w:p w14:paraId="67BF7706" w14:textId="77777777" w:rsidR="004B2808" w:rsidRDefault="00000000">
      <w:pPr>
        <w:ind w:left="567"/>
        <w:jc w:val="both"/>
      </w:pPr>
      <w:r>
        <w:t>Le revêtement de finition est posé.</w:t>
      </w:r>
    </w:p>
    <w:p w14:paraId="37461B8A" w14:textId="77777777" w:rsidR="004B2808" w:rsidRDefault="00000000">
      <w:pPr>
        <w:ind w:left="567"/>
        <w:jc w:val="both"/>
      </w:pPr>
      <w:r>
        <w:t>Les percements sont exclus.</w:t>
      </w:r>
    </w:p>
    <w:p w14:paraId="179B485D" w14:textId="77777777" w:rsidR="004B2808" w:rsidRDefault="00000000">
      <w:pPr>
        <w:ind w:left="567"/>
        <w:jc w:val="both"/>
      </w:pPr>
      <w:r>
        <w:rPr>
          <w:b/>
          <w:i/>
        </w:rPr>
        <w:t>En faux plafond ou plafond suspendu</w:t>
      </w:r>
    </w:p>
    <w:p w14:paraId="3B33D959" w14:textId="77777777" w:rsidR="004B2808" w:rsidRDefault="00000000">
      <w:pPr>
        <w:ind w:left="567"/>
        <w:jc w:val="both"/>
      </w:pPr>
      <w:r>
        <w:t>Une bande résiliente est placée sur les lisses de l’ossature autoportante en contact avec les murs périphériques.</w:t>
      </w:r>
    </w:p>
    <w:p w14:paraId="4F2602B3" w14:textId="77777777" w:rsidR="004B2808" w:rsidRDefault="00000000">
      <w:pPr>
        <w:ind w:left="567"/>
        <w:jc w:val="both"/>
      </w:pPr>
      <w:r>
        <w:t>L’ossature autoportante est formée de profilés métalliques fixés sur les lisses périphériques.</w:t>
      </w:r>
    </w:p>
    <w:p w14:paraId="00425EEE" w14:textId="77777777" w:rsidR="004B2808" w:rsidRDefault="00000000">
      <w:pPr>
        <w:ind w:left="567"/>
        <w:jc w:val="both"/>
      </w:pPr>
      <w:r>
        <w:t>Le plafond est formé d’une membrane d’isolation posée entre deux plaques de plâtre standard fixées sur l’ossature.</w:t>
      </w:r>
    </w:p>
    <w:p w14:paraId="0D407208" w14:textId="77777777" w:rsidR="004B2808" w:rsidRDefault="00000000">
      <w:pPr>
        <w:ind w:left="567"/>
        <w:jc w:val="both"/>
      </w:pPr>
      <w:r>
        <w:t>Après avoir vissé la première plaque de plâtre à l’ossature, l’isolant acoustique est découpé à dimension et agrafé sur la deuxième plaque de plâtre avant de lever celle-ci pour la visser sur la première.</w:t>
      </w:r>
    </w:p>
    <w:p w14:paraId="7C635EC4" w14:textId="77777777" w:rsidR="004B2808" w:rsidRDefault="00000000">
      <w:pPr>
        <w:ind w:left="567"/>
        <w:jc w:val="both"/>
      </w:pPr>
      <w:r>
        <w:t>Un joint périphérique de 1 à 2 mm en mastic résilient et résistant au feu est posé en périphérie des plaques de plâtre du faux plafond.</w:t>
      </w:r>
    </w:p>
    <w:p w14:paraId="0B3786D3" w14:textId="77777777" w:rsidR="004B2808" w:rsidRDefault="00000000">
      <w:pPr>
        <w:ind w:left="567"/>
        <w:jc w:val="both"/>
      </w:pPr>
      <w:r>
        <w:t>Les jonctions à bords amincis sont enduites.</w:t>
      </w:r>
    </w:p>
    <w:p w14:paraId="6C3BFA22" w14:textId="77777777" w:rsidR="004B2808" w:rsidRDefault="00000000">
      <w:pPr>
        <w:pStyle w:val="pheading"/>
      </w:pPr>
      <w:r>
        <w:lastRenderedPageBreak/>
        <w:t>DOCUMENTS DE RÉFÉRENCE COMPLÉMENTAIRES</w:t>
      </w:r>
    </w:p>
    <w:p w14:paraId="53F7CE01" w14:textId="77777777" w:rsidR="004B2808" w:rsidRDefault="00000000">
      <w:pPr>
        <w:pStyle w:val="pheading"/>
      </w:pPr>
      <w:r>
        <w:t>- Matériau</w:t>
      </w:r>
    </w:p>
    <w:p w14:paraId="64A6ECAE" w14:textId="77777777" w:rsidR="004B2808" w:rsidRDefault="00000000">
      <w:r>
        <w:t>[NBN EN 823, Produits isolants thermiques destinés aux applications du bâtiment - Détermination de l'épaisseur]</w:t>
      </w:r>
    </w:p>
    <w:p w14:paraId="72D2B3C3" w14:textId="77777777" w:rsidR="004B2808" w:rsidRDefault="00000000">
      <w:r>
        <w:t>[NBN EN ISO 29470, Produits isolants thermiques destinés aux applications du bâtiment - Détermination de la masse volumique apparente (ISO 29470:2020)] </w:t>
      </w:r>
    </w:p>
    <w:p w14:paraId="184736E7" w14:textId="77777777" w:rsidR="004B2808" w:rsidRDefault="00000000">
      <w:r>
        <w:t>[NBN EN ISO 717-1, Acoustique - Évaluation de l'isolement acoustique des immeubles et des éléments de construction - Partie 1: Isolement aux bruits aériens (ISO 717-1:2020)]</w:t>
      </w:r>
    </w:p>
    <w:p w14:paraId="7F120784" w14:textId="77777777" w:rsidR="004B2808" w:rsidRDefault="00000000">
      <w:r>
        <w:t>[NBN S 01-400-1, Critères acoustiques pour les immeubles d'habitation]</w:t>
      </w:r>
    </w:p>
    <w:p w14:paraId="71B75DB8" w14:textId="77777777" w:rsidR="004B2808" w:rsidRDefault="00000000">
      <w:r>
        <w:t>[NBN EN 717-1, Panneaux à base de bois - Détermination du dégagement de formaldéhyde - Partie 1 : Emission de formaldéhyde par la méthode à la chambre]</w:t>
      </w:r>
    </w:p>
    <w:p w14:paraId="229344F8" w14:textId="77777777" w:rsidR="004B2808" w:rsidRDefault="00000000">
      <w:r>
        <w:t>[CEN/TR 14823, Durabilité du bois et des matériaux dérivés du bois - Analyse quantitative du pentachlorophénol dans le bois - Méthode par chromatographie en phase gazeuse]</w:t>
      </w:r>
    </w:p>
    <w:p w14:paraId="06C9B1F1" w14:textId="77777777" w:rsidR="004B2808" w:rsidRDefault="00000000">
      <w:r>
        <w:t>[NBN EN 13501-1, Classement au feu des produits et éléments de construction - Partie 1: Classement à partir des données d'essais de réaction au feu]</w:t>
      </w:r>
    </w:p>
    <w:p w14:paraId="02BC27D9" w14:textId="77777777" w:rsidR="004B2808" w:rsidRDefault="00000000">
      <w:r>
        <w:t>[Règlement 1907/2006/CE, Règlement du Parlement européen et du Conseil concernant l'enregistrement, l'évaluation et l'autorisation des substances chimiques, ainsi que les restrictions applicables à ces substances (REACH), instituant une agence européenne des produits chimiques, modifiant la directive 1999/45/CE et abrogeant le règlement (CEE) n° 793/93 du Conseil et le règlement (CE) n° 1488/94 de la Commission ainsi que la directive 76/769/CEE du Conseil et les directives 91/155/CEE, 93/67/CEE, 93/105/CE et 2000/21/CE de la Commission]</w:t>
      </w:r>
    </w:p>
    <w:p w14:paraId="07515347" w14:textId="77777777" w:rsidR="004B2808" w:rsidRDefault="00000000">
      <w:pPr>
        <w:pStyle w:val="pheading"/>
      </w:pPr>
      <w:r>
        <w:t>MESURAGE</w:t>
      </w:r>
    </w:p>
    <w:p w14:paraId="55F47B0C" w14:textId="77777777" w:rsidR="004B2808" w:rsidRDefault="00000000">
      <w:pPr>
        <w:pStyle w:val="pheading"/>
      </w:pPr>
      <w:r>
        <w:t>- unité de mesure:</w:t>
      </w:r>
    </w:p>
    <w:p w14:paraId="1F216B4C" w14:textId="77777777" w:rsidR="004B2808" w:rsidRDefault="00000000">
      <w:r>
        <w:t>m²</w:t>
      </w:r>
    </w:p>
    <w:p w14:paraId="601DF509" w14:textId="77777777" w:rsidR="004B2808" w:rsidRDefault="00000000">
      <w:pPr>
        <w:pStyle w:val="pheading"/>
      </w:pPr>
      <w:r>
        <w:t>- code de mesurage:</w:t>
      </w:r>
    </w:p>
    <w:p w14:paraId="784E3D79" w14:textId="77777777" w:rsidR="004B2808" w:rsidRDefault="00000000">
      <w:r>
        <w:t>Distinction faite suivant le type et l'épaisseur.</w:t>
      </w:r>
    </w:p>
    <w:p w14:paraId="6C9937AD" w14:textId="77777777" w:rsidR="004B2808" w:rsidRDefault="00000000">
      <w:pPr>
        <w:pStyle w:val="Author-eListParagraph"/>
        <w:numPr>
          <w:ilvl w:val="0"/>
          <w:numId w:val="438"/>
        </w:numPr>
      </w:pPr>
      <w:r>
        <w:rPr>
          <w:u w:val="single"/>
        </w:rPr>
        <w:t>Isolation des parois verticales </w:t>
      </w:r>
      <w:r>
        <w:t xml:space="preserve">: </w:t>
      </w:r>
      <w:r>
        <w:rPr>
          <w:b/>
        </w:rPr>
        <w:t>Surface nette</w:t>
      </w:r>
      <w:r>
        <w:t>. Les ouvertures supérieures à 0,50 m² sont déduites.</w:t>
      </w:r>
    </w:p>
    <w:p w14:paraId="4CF9D744" w14:textId="77777777" w:rsidR="004B2808" w:rsidRDefault="00000000">
      <w:pPr>
        <w:pStyle w:val="Author-eListParagraph"/>
        <w:numPr>
          <w:ilvl w:val="0"/>
          <w:numId w:val="438"/>
        </w:numPr>
      </w:pPr>
      <w:r>
        <w:rPr>
          <w:u w:val="single"/>
        </w:rPr>
        <w:t>Isolation des parois horizontales</w:t>
      </w:r>
      <w:r>
        <w:t xml:space="preserve"> : </w:t>
      </w:r>
      <w:r>
        <w:br/>
      </w:r>
      <w:r>
        <w:rPr>
          <w:b/>
        </w:rPr>
        <w:t>Surface nette</w:t>
      </w:r>
      <w:r>
        <w:t xml:space="preserve"> du sol, mesurée entre le nu des murs. Les ouvertures supérieures à 0,5 m² sont déduites. L'isolation périphérique ne doit pas être portée en compte séparément.</w:t>
      </w:r>
      <w:r>
        <w:br/>
      </w:r>
      <w:r>
        <w:rPr>
          <w:b/>
        </w:rPr>
        <w:t>Surface nette</w:t>
      </w:r>
      <w:r>
        <w:t xml:space="preserve"> du plafond, mesurée entre le nu des murs. Les ouvertures supérieures à 0,5 m² sont déduites. L'isolation périphérique ne doit pas être portée en compte séparément.</w:t>
      </w:r>
    </w:p>
    <w:p w14:paraId="27C42971" w14:textId="77777777" w:rsidR="004B2808" w:rsidRDefault="00000000">
      <w:pPr>
        <w:pStyle w:val="pheading"/>
      </w:pPr>
      <w:r>
        <w:t>- nature du marché:</w:t>
      </w:r>
    </w:p>
    <w:p w14:paraId="2B769072" w14:textId="77777777" w:rsidR="004B2808" w:rsidRDefault="00000000">
      <w:r>
        <w:t>QF</w:t>
      </w:r>
    </w:p>
    <w:p w14:paraId="7E902852" w14:textId="77777777" w:rsidR="004B2808" w:rsidRDefault="00000000">
      <w:pPr>
        <w:pStyle w:val="Author-eSectionHeading5Numberless"/>
      </w:pPr>
      <w:bookmarkStart w:id="443" w:name="_Toc220490618"/>
      <w:r>
        <w:t>52.42.4 Isolation en rouleaux/matelas - matières animales CCTB 01.02</w:t>
      </w:r>
      <w:bookmarkEnd w:id="443"/>
    </w:p>
    <w:p w14:paraId="7B67D9DB" w14:textId="77777777" w:rsidR="004B2808" w:rsidRDefault="00000000">
      <w:pPr>
        <w:pStyle w:val="Author-eSectionHeading6Numberless"/>
      </w:pPr>
      <w:bookmarkStart w:id="444" w:name="_Toc220490619"/>
      <w:r>
        <w:t>52.42.4a Isolation en rouleaux/matelas - laine de mouton CCTB 01.07</w:t>
      </w:r>
      <w:bookmarkEnd w:id="444"/>
    </w:p>
    <w:p w14:paraId="5A1DA15D" w14:textId="77777777" w:rsidR="004B2808" w:rsidRDefault="00000000">
      <w:pPr>
        <w:pStyle w:val="pheading"/>
      </w:pPr>
      <w:r>
        <w:t>DESCRIPTION</w:t>
      </w:r>
    </w:p>
    <w:p w14:paraId="3DC461E6" w14:textId="77777777" w:rsidR="004B2808" w:rsidRDefault="00000000">
      <w:pPr>
        <w:pStyle w:val="pheading"/>
      </w:pPr>
      <w:r>
        <w:t>- Définition / Comprend</w:t>
      </w:r>
    </w:p>
    <w:p w14:paraId="31EC8AB9" w14:textId="77777777" w:rsidR="004B2808" w:rsidRDefault="00000000">
      <w:r>
        <w:t>Il s'agit de la réalisation d'une isolation en rouleaux/matelas de laine de mouton suivant les prescriptions de l'article 32.42.4a Isolation en rouleaux/matelas - laine de mouton.</w:t>
      </w:r>
    </w:p>
    <w:p w14:paraId="5A92B0B3" w14:textId="77777777" w:rsidR="004B2808" w:rsidRDefault="00000000">
      <w:pPr>
        <w:pStyle w:val="pheading"/>
      </w:pPr>
      <w:r>
        <w:t>MATÉRIAUX</w:t>
      </w:r>
    </w:p>
    <w:p w14:paraId="4891A688" w14:textId="77777777" w:rsidR="004B2808" w:rsidRDefault="00000000">
      <w:pPr>
        <w:pStyle w:val="pheading"/>
      </w:pPr>
      <w:r>
        <w:t>- Caractéristiques générales</w:t>
      </w:r>
    </w:p>
    <w:p w14:paraId="16AE91A4" w14:textId="77777777" w:rsidR="004B2808" w:rsidRDefault="00000000">
      <w:r>
        <w:lastRenderedPageBreak/>
        <w:t>Voir 32.42.4a Isolation en rouleaux/matelas - laine de mouton</w:t>
      </w:r>
    </w:p>
    <w:p w14:paraId="4215F913" w14:textId="77777777" w:rsidR="004B2808" w:rsidRDefault="00000000">
      <w:pPr>
        <w:pStyle w:val="pheading"/>
      </w:pPr>
      <w:r>
        <w:t>EXÉCUTION / MISE EN ŒUVRE</w:t>
      </w:r>
    </w:p>
    <w:p w14:paraId="60012617" w14:textId="77777777" w:rsidR="004B2808" w:rsidRDefault="00000000">
      <w:pPr>
        <w:pStyle w:val="pheading"/>
      </w:pPr>
      <w:r>
        <w:t>- Prescriptions générales</w:t>
      </w:r>
    </w:p>
    <w:p w14:paraId="271F388B" w14:textId="77777777" w:rsidR="004B2808" w:rsidRDefault="00000000">
      <w:r>
        <w:t>Voir 32.42.4a Isolation en rouleaux/matelas - laine de mouton</w:t>
      </w:r>
    </w:p>
    <w:p w14:paraId="73C8ED75" w14:textId="77777777" w:rsidR="004B2808" w:rsidRDefault="00000000">
      <w:pPr>
        <w:pStyle w:val="pheading"/>
      </w:pPr>
      <w:r>
        <w:t>DOCUMENTS DE RÉFÉRENCE COMPLÉMENTAIRES</w:t>
      </w:r>
    </w:p>
    <w:p w14:paraId="7E4A8DD9" w14:textId="77777777" w:rsidR="004B2808" w:rsidRDefault="00000000">
      <w:pPr>
        <w:pStyle w:val="pheading"/>
      </w:pPr>
      <w:r>
        <w:t>- Matériau</w:t>
      </w:r>
    </w:p>
    <w:p w14:paraId="0D30B0DA" w14:textId="77777777" w:rsidR="004B2808" w:rsidRDefault="00000000">
      <w:r>
        <w:t>32.42.4a Isolation en rouleaux/matelas - laine de mouton</w:t>
      </w:r>
    </w:p>
    <w:p w14:paraId="1FFD47C8" w14:textId="77777777" w:rsidR="004B2808" w:rsidRDefault="00000000">
      <w:pPr>
        <w:pStyle w:val="pheading"/>
      </w:pPr>
      <w:r>
        <w:t>- Exécution</w:t>
      </w:r>
    </w:p>
    <w:p w14:paraId="52B77A0E" w14:textId="77777777" w:rsidR="004B2808" w:rsidRDefault="00000000">
      <w:r>
        <w:t>32.42.4a Isolation en rouleaux/matelas - laine de mouton</w:t>
      </w:r>
    </w:p>
    <w:p w14:paraId="63D23FFA" w14:textId="77777777" w:rsidR="004B2808" w:rsidRDefault="00000000">
      <w:pPr>
        <w:pStyle w:val="pheading"/>
      </w:pPr>
      <w:r>
        <w:t>MESURAGE</w:t>
      </w:r>
    </w:p>
    <w:p w14:paraId="13ED524F" w14:textId="77777777" w:rsidR="004B2808" w:rsidRDefault="00000000">
      <w:pPr>
        <w:pStyle w:val="pheading"/>
      </w:pPr>
      <w:r>
        <w:t>- unité de mesure:</w:t>
      </w:r>
    </w:p>
    <w:p w14:paraId="127B572D" w14:textId="77777777" w:rsidR="004B2808" w:rsidRDefault="00000000">
      <w:r>
        <w:t>m²</w:t>
      </w:r>
    </w:p>
    <w:p w14:paraId="20CC0ED9" w14:textId="77777777" w:rsidR="004B2808" w:rsidRDefault="00000000">
      <w:pPr>
        <w:pStyle w:val="pheading"/>
      </w:pPr>
      <w:r>
        <w:t>- code de mesurage:</w:t>
      </w:r>
    </w:p>
    <w:p w14:paraId="4F6268D5" w14:textId="77777777" w:rsidR="004B2808" w:rsidRDefault="00000000">
      <w:r>
        <w:t>Distinction faite suivant l'épaisseur.</w:t>
      </w:r>
    </w:p>
    <w:p w14:paraId="0D5C9098" w14:textId="77777777" w:rsidR="004B2808" w:rsidRDefault="00000000">
      <w:pPr>
        <w:pStyle w:val="Author-eListParagraph"/>
        <w:numPr>
          <w:ilvl w:val="0"/>
          <w:numId w:val="439"/>
        </w:numPr>
      </w:pPr>
      <w:r>
        <w:t>Isolation des parois verticales : Surface nette. Les ouvertures supérieures à 0,50 m² sont déduites</w:t>
      </w:r>
    </w:p>
    <w:p w14:paraId="3323C932" w14:textId="77777777" w:rsidR="004B2808" w:rsidRDefault="00000000">
      <w:pPr>
        <w:pStyle w:val="Author-eListParagraph"/>
        <w:numPr>
          <w:ilvl w:val="0"/>
          <w:numId w:val="439"/>
        </w:numPr>
      </w:pPr>
      <w:r>
        <w:t>Isolation des parois horizontales : Surface nette du sol, mesurée entre le nu des murs. Les ouvertures supérieures à 0,5 m² sont déduites. L'isolation périphérique ne doit pas être portée en compte séparément</w:t>
      </w:r>
    </w:p>
    <w:p w14:paraId="7EEA62EB" w14:textId="77777777" w:rsidR="004B2808" w:rsidRDefault="00000000">
      <w:pPr>
        <w:pStyle w:val="pheading"/>
      </w:pPr>
      <w:r>
        <w:t>- nature du marché:</w:t>
      </w:r>
    </w:p>
    <w:p w14:paraId="00E1D6D3" w14:textId="77777777" w:rsidR="004B2808" w:rsidRDefault="00000000">
      <w:r>
        <w:t>QF</w:t>
      </w:r>
    </w:p>
    <w:p w14:paraId="72FAFD18" w14:textId="77777777" w:rsidR="004B2808" w:rsidRDefault="00000000">
      <w:pPr>
        <w:pStyle w:val="Author-eSectionHeading6Numberless"/>
      </w:pPr>
      <w:bookmarkStart w:id="445" w:name="_Toc220490620"/>
      <w:r>
        <w:t>52.42.4b Isolation en rouleaux/matelas - plumes de canard CCTB 01.02</w:t>
      </w:r>
      <w:bookmarkEnd w:id="445"/>
    </w:p>
    <w:p w14:paraId="21CC7483" w14:textId="77777777" w:rsidR="004B2808" w:rsidRDefault="00000000">
      <w:pPr>
        <w:pStyle w:val="Author-eSectionHeading5Numberless"/>
      </w:pPr>
      <w:bookmarkStart w:id="446" w:name="_Toc220490621"/>
      <w:r>
        <w:t>52.42.5 Isolation en rouleaux/matelas - matières composites CCTB 01.02</w:t>
      </w:r>
      <w:bookmarkEnd w:id="446"/>
    </w:p>
    <w:p w14:paraId="3B9E8F18" w14:textId="77777777" w:rsidR="004B2808" w:rsidRDefault="00000000">
      <w:pPr>
        <w:pStyle w:val="Author-eSectionHeading6Numberless"/>
      </w:pPr>
      <w:bookmarkStart w:id="447" w:name="_Toc220490622"/>
      <w:r>
        <w:t>52.42.5a Isolation en rouleaux/matelas - matières composites CCTB 01.02</w:t>
      </w:r>
      <w:bookmarkEnd w:id="447"/>
    </w:p>
    <w:p w14:paraId="4CE46CD3" w14:textId="77777777" w:rsidR="004B2808" w:rsidRDefault="00000000">
      <w:pPr>
        <w:pStyle w:val="Author-eSectionHeading4Numberless"/>
      </w:pPr>
      <w:bookmarkStart w:id="448" w:name="_Toc220490623"/>
      <w:r>
        <w:t>52.43 Isolation à projeter CCTB 01.12</w:t>
      </w:r>
      <w:bookmarkEnd w:id="448"/>
    </w:p>
    <w:p w14:paraId="722FC413" w14:textId="77777777" w:rsidR="004B2808" w:rsidRDefault="00000000">
      <w:pPr>
        <w:pStyle w:val="pheading"/>
      </w:pPr>
      <w:r>
        <w:t>DESCRIPTION</w:t>
      </w:r>
    </w:p>
    <w:p w14:paraId="2D81FC8C" w14:textId="77777777" w:rsidR="004B2808" w:rsidRDefault="00000000">
      <w:pPr>
        <w:pStyle w:val="pheading"/>
      </w:pPr>
      <w:r>
        <w:t>- Définition / Comprend</w:t>
      </w:r>
    </w:p>
    <w:p w14:paraId="6EC25335" w14:textId="77777777" w:rsidR="004B2808" w:rsidRDefault="00000000">
      <w:pPr>
        <w:jc w:val="both"/>
      </w:pPr>
      <w:r>
        <w:t>Il s’agit des fournitures et de la mise en œuvre  d’isolation projetée in situ pour application sur murs, cloisons, plancher entre chevrons ou sous chape, plafonds et autres applications intérieures.</w:t>
      </w:r>
    </w:p>
    <w:p w14:paraId="2FFF1BFB" w14:textId="77777777" w:rsidR="004B2808" w:rsidRDefault="00000000">
      <w:pPr>
        <w:jc w:val="both"/>
      </w:pPr>
      <w:r>
        <w:t>Ces travaux sont réalisés suivant les prescriptions de l'élément 32.43 Isolation à projeter.</w:t>
      </w:r>
    </w:p>
    <w:p w14:paraId="68E12C3F" w14:textId="77777777" w:rsidR="004B2808" w:rsidRDefault="004B2808">
      <w:pPr>
        <w:jc w:val="both"/>
      </w:pPr>
    </w:p>
    <w:p w14:paraId="216B5258" w14:textId="77777777" w:rsidR="004B2808" w:rsidRDefault="00000000">
      <w:pPr>
        <w:jc w:val="both"/>
      </w:pPr>
      <w:r>
        <w:t>Les travaux comprennent notamment :</w:t>
      </w:r>
    </w:p>
    <w:p w14:paraId="2D42AB33" w14:textId="77777777" w:rsidR="004B2808" w:rsidRDefault="00000000">
      <w:pPr>
        <w:pStyle w:val="Author-eListParagraph"/>
        <w:numPr>
          <w:ilvl w:val="0"/>
          <w:numId w:val="440"/>
        </w:numPr>
      </w:pPr>
      <w:r>
        <w:t>la préparation et le contrôle du support de projection ;</w:t>
      </w:r>
    </w:p>
    <w:p w14:paraId="71AE83F7" w14:textId="77777777" w:rsidR="004B2808" w:rsidRDefault="00000000">
      <w:pPr>
        <w:pStyle w:val="Author-eListParagraph"/>
        <w:numPr>
          <w:ilvl w:val="0"/>
          <w:numId w:val="440"/>
        </w:numPr>
      </w:pPr>
      <w:r>
        <w:t>les éventuelles mesures de protection provisoires ; </w:t>
      </w:r>
    </w:p>
    <w:p w14:paraId="4F097CA9" w14:textId="77777777" w:rsidR="004B2808" w:rsidRDefault="00000000">
      <w:pPr>
        <w:pStyle w:val="Author-eListParagraph"/>
        <w:numPr>
          <w:ilvl w:val="0"/>
          <w:numId w:val="440"/>
        </w:numPr>
      </w:pPr>
      <w:r>
        <w:t>la fourniture et la mise en œuvre du matériau d'isolation ;</w:t>
      </w:r>
    </w:p>
    <w:p w14:paraId="3A0048D2" w14:textId="77777777" w:rsidR="004B2808" w:rsidRDefault="00000000">
      <w:pPr>
        <w:pStyle w:val="Author-eListParagraph"/>
        <w:numPr>
          <w:ilvl w:val="0"/>
          <w:numId w:val="440"/>
        </w:numPr>
      </w:pPr>
      <w:r>
        <w:t>la fourniture et la pose des accessoires et guides pour la pose et rectification ; </w:t>
      </w:r>
    </w:p>
    <w:p w14:paraId="37F66992" w14:textId="77777777" w:rsidR="004B2808" w:rsidRDefault="00000000">
      <w:pPr>
        <w:pStyle w:val="Author-eListParagraph"/>
        <w:numPr>
          <w:ilvl w:val="0"/>
          <w:numId w:val="440"/>
        </w:numPr>
      </w:pPr>
      <w:r>
        <w:t>la découpe, talochage ou rectification des isolants projetés ;</w:t>
      </w:r>
    </w:p>
    <w:p w14:paraId="033CD23F" w14:textId="77777777" w:rsidR="004B2808" w:rsidRDefault="00000000">
      <w:pPr>
        <w:pStyle w:val="Author-eListParagraph"/>
        <w:numPr>
          <w:ilvl w:val="0"/>
          <w:numId w:val="440"/>
        </w:numPr>
      </w:pPr>
      <w:r>
        <w:t>la préparation éventuelle des supports pour accrochage ;</w:t>
      </w:r>
    </w:p>
    <w:p w14:paraId="4F5A63F2" w14:textId="77777777" w:rsidR="004B2808" w:rsidRDefault="00000000">
      <w:pPr>
        <w:pStyle w:val="Author-eListParagraph"/>
        <w:numPr>
          <w:ilvl w:val="0"/>
          <w:numId w:val="440"/>
        </w:numPr>
      </w:pPr>
      <w:r>
        <w:lastRenderedPageBreak/>
        <w:t>le nettoyage de la zone de travail, le tri, l’évacuation et le recyclage des différents déchets de mise en œuvre (emballages, découpes, chutes, …) suivant les législations en cours et suivant le 07.2 Gestion des déchets, matériaux et éléments réemployables.</w:t>
      </w:r>
    </w:p>
    <w:p w14:paraId="59B9296F" w14:textId="77777777" w:rsidR="004B2808" w:rsidRDefault="00000000">
      <w:pPr>
        <w:jc w:val="both"/>
      </w:pPr>
      <w:r>
        <w:t>Voir 32.43 Isolation à projeter.</w:t>
      </w:r>
    </w:p>
    <w:p w14:paraId="2F777518" w14:textId="77777777" w:rsidR="004B2808" w:rsidRDefault="00000000">
      <w:pPr>
        <w:pStyle w:val="pheading"/>
      </w:pPr>
      <w:r>
        <w:t>MATÉRIAUX</w:t>
      </w:r>
    </w:p>
    <w:p w14:paraId="14D3F788" w14:textId="77777777" w:rsidR="004B2808" w:rsidRDefault="00000000">
      <w:pPr>
        <w:jc w:val="both"/>
      </w:pPr>
      <w:r>
        <w:t>Le système d’isolation est compatible avec la nature du support. L’entrepreneur confirme le délai pour la pose de finition, Après ce délai, l’isolation projetée dispose d’une stabilité dimensionnelle suffisante. Le retrait éventuel durant ce délai avant pose de finition n’entraine pas de fissuration.</w:t>
      </w:r>
    </w:p>
    <w:p w14:paraId="22CBDFC5" w14:textId="77777777" w:rsidR="004B2808" w:rsidRDefault="004B2808">
      <w:pPr>
        <w:jc w:val="both"/>
      </w:pPr>
    </w:p>
    <w:p w14:paraId="0254475C" w14:textId="77777777" w:rsidR="004B2808" w:rsidRDefault="00000000">
      <w:pPr>
        <w:jc w:val="both"/>
      </w:pPr>
      <w:r>
        <w:t>L’isolant projeté est compatible pour le climat et l’humidité et température dans lequel il est stabilisé.</w:t>
      </w:r>
    </w:p>
    <w:p w14:paraId="76425023" w14:textId="77777777" w:rsidR="004B2808" w:rsidRDefault="004B2808">
      <w:pPr>
        <w:jc w:val="both"/>
      </w:pPr>
    </w:p>
    <w:p w14:paraId="69094600" w14:textId="77777777" w:rsidR="004B2808" w:rsidRDefault="00000000">
      <w:pPr>
        <w:jc w:val="both"/>
      </w:pPr>
      <w:r>
        <w:t>Le matériau/produit dispose d'une déclaration d'aptitude à l'utilisation suivant les prescriptions de l'élément 02.42.1 Critères d'acceptabilité.</w:t>
      </w:r>
    </w:p>
    <w:p w14:paraId="23CF6583" w14:textId="77777777" w:rsidR="004B2808" w:rsidRDefault="004B2808">
      <w:pPr>
        <w:jc w:val="both"/>
      </w:pPr>
    </w:p>
    <w:p w14:paraId="66762190" w14:textId="77777777" w:rsidR="004B2808" w:rsidRDefault="00000000">
      <w:pPr>
        <w:jc w:val="both"/>
      </w:pPr>
      <w:r>
        <w:t>La composition de l’isolant à projeter est adapté à la saison. L’entrepreneur informe le maitre d’œuvre de l’adaptation de la composition.</w:t>
      </w:r>
    </w:p>
    <w:p w14:paraId="5CF27C62" w14:textId="77777777" w:rsidR="004B2808" w:rsidRDefault="00000000">
      <w:pPr>
        <w:pStyle w:val="pheading"/>
      </w:pPr>
      <w:r>
        <w:t>EXÉCUTION / MISE EN ŒUVRE</w:t>
      </w:r>
    </w:p>
    <w:p w14:paraId="5D9AAB18" w14:textId="77777777" w:rsidR="004B2808" w:rsidRDefault="00000000">
      <w:pPr>
        <w:jc w:val="both"/>
      </w:pPr>
      <w:r>
        <w:rPr>
          <w:b/>
        </w:rPr>
        <w:t>Vérification des conditions de mise en œuvre</w:t>
      </w:r>
    </w:p>
    <w:p w14:paraId="11A29C5A" w14:textId="77777777" w:rsidR="004B2808" w:rsidRDefault="00000000">
      <w:pPr>
        <w:jc w:val="both"/>
      </w:pPr>
      <w:r>
        <w:t>L’entrepreneur mesure la température et l’humidité relative dans les locaux de mise en œuvre, au centre de chaque local (sauf spécifications complémentaires du maitre d’œuvre). Si les mesures ne correspondent pas aux spécifications de la déclaration d’aptitude (02.42.1 Critères d'acceptabilité) ou de pose traditionnelle, l’entrepreneur en informe le maitre d’œuvre.</w:t>
      </w:r>
    </w:p>
    <w:p w14:paraId="2654DA00" w14:textId="77777777" w:rsidR="004B2808" w:rsidRDefault="00000000">
      <w:pPr>
        <w:jc w:val="both"/>
      </w:pPr>
      <w:r>
        <w:t>Avant le début des travaux, l’entrepreneur vérifie l’accessibilité des lieux et notamment : les possibilités de stationnement des véhicules, la distance entre stationnement et zone des travaux, la configuration des baies d’accès, etc. Il tient compte des différentes contraintes dans sa remise de prix.</w:t>
      </w:r>
    </w:p>
    <w:p w14:paraId="203BF969" w14:textId="77777777" w:rsidR="004B2808" w:rsidRDefault="00000000">
      <w:pPr>
        <w:jc w:val="both"/>
      </w:pPr>
      <w:r>
        <w:rPr>
          <w:b/>
        </w:rPr>
        <w:t>Préparation de surface</w:t>
      </w:r>
    </w:p>
    <w:p w14:paraId="37DBE898" w14:textId="77777777" w:rsidR="004B2808" w:rsidRDefault="00000000">
      <w:pPr>
        <w:jc w:val="both"/>
      </w:pPr>
      <w:r>
        <w:t>L’entrepreneur informe le maitre d’œuvre si les travaux permettant de réduire les apports d’humidité dans le support (remontée capillaire, protection contre la pluie battante, risque de condensation et autres sources accidentelles) sont suffisantes.</w:t>
      </w:r>
    </w:p>
    <w:p w14:paraId="0A76D295" w14:textId="77777777" w:rsidR="004B2808" w:rsidRDefault="004B2808">
      <w:pPr>
        <w:jc w:val="both"/>
      </w:pPr>
    </w:p>
    <w:p w14:paraId="0B795CEC" w14:textId="77777777" w:rsidR="004B2808" w:rsidRDefault="00000000">
      <w:pPr>
        <w:jc w:val="both"/>
      </w:pPr>
      <w:r>
        <w:t>La base à isoler est saine, propre et exempte de poussières, d’humidité, d’huiles ou de graisses pouvant empêcher l’adhésion. Le cas échéant, les supports sont nettoyés par brossage, grattage, ponçage ou tout autre moyen permettant d’éliminer les particules limitant l’adhérence.</w:t>
      </w:r>
    </w:p>
    <w:p w14:paraId="49EE8574" w14:textId="77777777" w:rsidR="004B2808" w:rsidRDefault="00000000">
      <w:pPr>
        <w:jc w:val="both"/>
      </w:pPr>
      <w:r>
        <w:t>Les surfaces qui ne sont pas projetées sont protégées. L’entrepreneur place toutes les protections nécessaires (film plastique agrafé ou collé, …) contre le nuage dû à la vaporisation et ce sur toutes les surfaces susceptibles d’être en contact avec ce dernier. Les fenêtres et les châssis sont totalement recouverts. Les surfaces plafonnées, en plaques, équipements (radiateurs, …) sont entièrement protégés.</w:t>
      </w:r>
    </w:p>
    <w:p w14:paraId="5E828410" w14:textId="77777777" w:rsidR="004B2808" w:rsidRDefault="00000000">
      <w:pPr>
        <w:jc w:val="both"/>
      </w:pPr>
      <w:r>
        <w:t>L’entrepreneur vérifie le support de projection et au besoin réalise un traitement d’adhérence compatible avec l’isolant projeté.</w:t>
      </w:r>
    </w:p>
    <w:p w14:paraId="50113A3F" w14:textId="77777777" w:rsidR="004B2808" w:rsidRDefault="00000000">
      <w:pPr>
        <w:jc w:val="both"/>
      </w:pPr>
      <w:r>
        <w:t>La continuité de la surface est indispensable avant projection.</w:t>
      </w:r>
    </w:p>
    <w:p w14:paraId="3FF453F6" w14:textId="77777777" w:rsidR="004B2808" w:rsidRDefault="00000000">
      <w:pPr>
        <w:pStyle w:val="Author-eListParagraph"/>
        <w:numPr>
          <w:ilvl w:val="0"/>
          <w:numId w:val="441"/>
        </w:numPr>
        <w:jc w:val="both"/>
      </w:pPr>
      <w:r>
        <w:t>Pour des éléments de parois verticales ou inclinées, la continuité de parois est réalisée par panneaux non sensibles à l’humidité, fixés de manière rigide dans le support existant. L’entrepreneur informe le maitre d’œuvre des rectifications de support effectuées ;</w:t>
      </w:r>
    </w:p>
    <w:p w14:paraId="1B45CC60" w14:textId="77777777" w:rsidR="004B2808" w:rsidRDefault="00000000">
      <w:pPr>
        <w:pStyle w:val="Author-eListParagraph"/>
        <w:numPr>
          <w:ilvl w:val="0"/>
          <w:numId w:val="441"/>
        </w:numPr>
        <w:jc w:val="both"/>
      </w:pPr>
      <w:r>
        <w:t xml:space="preserve">Pour les éléments de sols, l’absence de support ≥ 250 cm² donne lieu à la mise en place d’un panneaux rigides de plus de 2 cm d’épaisseur, non sensible à l’humidité et ancré dans le </w:t>
      </w:r>
      <w:r>
        <w:lastRenderedPageBreak/>
        <w:t>support existant. Pour l’absence de support ≥ 250 cm², l’entrepreneur présente une solution au maitre d’œuvre avant toute mise en œuvre.</w:t>
      </w:r>
    </w:p>
    <w:p w14:paraId="5FBE47B4" w14:textId="77777777" w:rsidR="004B2808" w:rsidRDefault="00000000">
      <w:pPr>
        <w:jc w:val="both"/>
      </w:pPr>
      <w:r>
        <w:t>Tous les éléments métalliques, susceptibles d’être en contact avec l’isolant projeté, sont efficacement protégés contre la corrosion.</w:t>
      </w:r>
    </w:p>
    <w:p w14:paraId="21D1B383" w14:textId="77777777" w:rsidR="004B2808" w:rsidRDefault="00000000">
      <w:pPr>
        <w:jc w:val="both"/>
      </w:pPr>
      <w:r>
        <w:t>L’entrepreneur vérifie la bonne fixation des conduites, canalisations, équipements afin qu’aucun déplacement ne se produise lors de la projection. Il informe l’entreprise concernée ainsi que la direction de chantier des éventuelles corrections à apporter avant son intervention.</w:t>
      </w:r>
    </w:p>
    <w:p w14:paraId="04E06A61" w14:textId="77777777" w:rsidR="004B2808" w:rsidRDefault="00000000">
      <w:pPr>
        <w:jc w:val="both"/>
      </w:pPr>
      <w:r>
        <w:rPr>
          <w:b/>
        </w:rPr>
        <w:t>Mise en œuvre de l’isolation</w:t>
      </w:r>
    </w:p>
    <w:p w14:paraId="305DD126" w14:textId="77777777" w:rsidR="004B2808" w:rsidRDefault="00000000">
      <w:pPr>
        <w:jc w:val="both"/>
      </w:pPr>
      <w:r>
        <w:t>L'isolation est projetée directement sur l'aire de pose en plusieurs couches si nécessaire en fonction des épaisseurs préconisées. Elle est appliquée en adhérence totale. Si nécessaire afin d'assurer cette adhérence totale au support, un primaire d'interposition est appliqué sur celui-ci.</w:t>
      </w:r>
    </w:p>
    <w:p w14:paraId="1A2D6457" w14:textId="77777777" w:rsidR="004B2808" w:rsidRDefault="00000000">
      <w:pPr>
        <w:jc w:val="both"/>
      </w:pPr>
      <w:r>
        <w:t>Les irrégularités sont écrêtées dans les endroits où cela s'avère nécessaire.</w:t>
      </w:r>
    </w:p>
    <w:p w14:paraId="5A6F26A9" w14:textId="77777777" w:rsidR="004B2808" w:rsidRDefault="00000000">
      <w:pPr>
        <w:jc w:val="both"/>
      </w:pPr>
      <w:r>
        <w:t>La projection est effectuée par couche. La couche suivante est effectuée après expansion ou séchage suffisant.</w:t>
      </w:r>
    </w:p>
    <w:p w14:paraId="752AFF0D" w14:textId="77777777" w:rsidR="004B2808" w:rsidRDefault="00000000">
      <w:pPr>
        <w:jc w:val="both"/>
      </w:pPr>
      <w:r>
        <w:t>Les guides éventuels sont disposés sur supports stable ou stabilisés.</w:t>
      </w:r>
    </w:p>
    <w:p w14:paraId="0D8797E0" w14:textId="77777777" w:rsidR="004B2808" w:rsidRDefault="00000000">
      <w:pPr>
        <w:jc w:val="both"/>
      </w:pPr>
      <w:r>
        <w:t>Après projection de l’isolant et avant l'exécution des finitions, l'auteur de projet est invité sur le chantier afin de contrôler la pose de l'isolation ainsi que l'exécution des détails.</w:t>
      </w:r>
    </w:p>
    <w:p w14:paraId="25DA337C" w14:textId="77777777" w:rsidR="004B2808" w:rsidRDefault="00000000">
      <w:pPr>
        <w:jc w:val="both"/>
      </w:pPr>
      <w:r>
        <w:t>Le rapport des mesures d’épaisseur reprend la position dans le plan de mise en œuvre.</w:t>
      </w:r>
    </w:p>
    <w:p w14:paraId="3EF5DDFC" w14:textId="77777777" w:rsidR="004B2808" w:rsidRDefault="00000000">
      <w:pPr>
        <w:jc w:val="both"/>
      </w:pPr>
      <w:r>
        <w:t>La protection de l'isolant projeté contre toute dégradation de même que la ventilation appropriée des locaux est assurée durant toute la durée de prise / du séchage.</w:t>
      </w:r>
    </w:p>
    <w:p w14:paraId="7951E063" w14:textId="77777777" w:rsidR="004B2808" w:rsidRDefault="00000000">
      <w:pPr>
        <w:jc w:val="both"/>
      </w:pPr>
      <w:r>
        <w:rPr>
          <w:b/>
        </w:rPr>
        <w:t>Rectification après projection</w:t>
      </w:r>
    </w:p>
    <w:p w14:paraId="551A3FFB" w14:textId="77777777" w:rsidR="004B2808" w:rsidRDefault="00000000">
      <w:pPr>
        <w:jc w:val="both"/>
      </w:pPr>
      <w:r>
        <w:t>Si la surface finale de projection ne correspond pas aux exigences du plan, l’isolation projetée est rectifiée, rabotée, coupée ou dressée en fonction de sa nature. La rectification apportée est mentionnée dans le rapport d’exécution, fourni au maitre d’œuvre.</w:t>
      </w:r>
    </w:p>
    <w:p w14:paraId="6B157080" w14:textId="77777777" w:rsidR="004B2808" w:rsidRDefault="00000000">
      <w:pPr>
        <w:jc w:val="both"/>
      </w:pPr>
      <w:r>
        <w:t>Pour des éléments de sols avec chauffage par le sol, le plan de rainurage est confirmé par le maitre d’œuvre.</w:t>
      </w:r>
    </w:p>
    <w:p w14:paraId="3089C30E" w14:textId="77777777" w:rsidR="004B2808" w:rsidRDefault="00000000">
      <w:pPr>
        <w:pStyle w:val="pheading"/>
      </w:pPr>
      <w:r>
        <w:t>CONTRÔLES</w:t>
      </w:r>
    </w:p>
    <w:p w14:paraId="300CC0EF" w14:textId="77777777" w:rsidR="004B2808" w:rsidRDefault="00000000">
      <w:pPr>
        <w:jc w:val="both"/>
      </w:pPr>
      <w:r>
        <w:t>L'auteur de projet ou le cas échéant le maître d’œuvre contrôle la mise en œuvre de l'isolation et vérifie la bonne exécution des détails de raccordement et des recouvrements (pour les éléments de raccords qui ne sont pas accessibles durant la pose, le détail est documenté dans le rapport d’exécution).</w:t>
      </w:r>
    </w:p>
    <w:p w14:paraId="74526A49" w14:textId="77777777" w:rsidR="004B2808" w:rsidRDefault="00000000">
      <w:pPr>
        <w:pStyle w:val="Author-eSectionHeading5Numberless"/>
      </w:pPr>
      <w:bookmarkStart w:id="449" w:name="_Toc220490624"/>
      <w:r>
        <w:t>52.43.1 Isolation à projeter - matières synthétiques CCTB 01.12</w:t>
      </w:r>
      <w:bookmarkEnd w:id="449"/>
    </w:p>
    <w:p w14:paraId="18C46E14" w14:textId="77777777" w:rsidR="004B2808" w:rsidRDefault="00000000">
      <w:pPr>
        <w:pStyle w:val="pheading"/>
      </w:pPr>
      <w:r>
        <w:t>DESCRIPTION</w:t>
      </w:r>
    </w:p>
    <w:p w14:paraId="42BFBCF9" w14:textId="77777777" w:rsidR="004B2808" w:rsidRDefault="00000000">
      <w:pPr>
        <w:pStyle w:val="pheading"/>
      </w:pPr>
      <w:r>
        <w:t>- Définition / Comprend</w:t>
      </w:r>
    </w:p>
    <w:p w14:paraId="50C16FC7" w14:textId="77777777" w:rsidR="004B2808" w:rsidRDefault="00000000">
      <w:r>
        <w:t>Il s’agit de la fourniture et la pose de « baffles » ou dalles acoustiques en plafond.</w:t>
      </w:r>
    </w:p>
    <w:p w14:paraId="27E9FE89" w14:textId="77777777" w:rsidR="004B2808" w:rsidRDefault="00000000">
      <w:r>
        <w:t>Le travail comprend notamment :</w:t>
      </w:r>
    </w:p>
    <w:p w14:paraId="56D68E0F" w14:textId="77777777" w:rsidR="004B2808" w:rsidRDefault="00000000">
      <w:r>
        <w:t>-        L’étude acoustique est réalisée par : le bureau d’étude acoustique (par défaut) / l’entrepreneur ;</w:t>
      </w:r>
    </w:p>
    <w:p w14:paraId="0014A973" w14:textId="77777777" w:rsidR="004B2808" w:rsidRDefault="00000000">
      <w:r>
        <w:t>-        L’établissement des plans d’implantation des baffles ou dalles acoustiques est réalisée par : l’auteur de projet (par défaut) / l’entrepreneur ;</w:t>
      </w:r>
    </w:p>
    <w:p w14:paraId="33B545A5" w14:textId="77777777" w:rsidR="004B2808" w:rsidRDefault="00000000">
      <w:r>
        <w:t>-        La mise au point des détails d’exécution ;</w:t>
      </w:r>
    </w:p>
    <w:p w14:paraId="4C3D8C81" w14:textId="77777777" w:rsidR="004B2808" w:rsidRDefault="00000000">
      <w:r>
        <w:t>-        La coordination des implantations avec les équipements techniques tels qu’appareils d’éclairage, détecteurs incendie, détecteurs de présence, gaines de ventilation, canalisations de tous types, etc... ;</w:t>
      </w:r>
    </w:p>
    <w:p w14:paraId="704415DD" w14:textId="77777777" w:rsidR="004B2808" w:rsidRDefault="00000000">
      <w:r>
        <w:t>-        La fourniture et pose des baffles ou dalles acoustiques, y compris tous accessoires nécessaires à la mise en œuvre ;</w:t>
      </w:r>
    </w:p>
    <w:p w14:paraId="7F07B9CA" w14:textId="77777777" w:rsidR="004B2808" w:rsidRDefault="00000000">
      <w:r>
        <w:lastRenderedPageBreak/>
        <w:t>-        Toutes précautions en matière de sécurité conformément au 01.04 Plans de sécurité santé ;</w:t>
      </w:r>
    </w:p>
    <w:p w14:paraId="666F79FC" w14:textId="77777777" w:rsidR="004B2808" w:rsidRDefault="00000000">
      <w:r>
        <w:t>-        L’évacuation des déchets tel que décrit au 07 - Déchets : Préventions, tris sélectifs sur chantier, stockages, transports et traitements des déchets ;</w:t>
      </w:r>
    </w:p>
    <w:p w14:paraId="5DA79F46" w14:textId="77777777" w:rsidR="004B2808" w:rsidRDefault="00000000">
      <w:pPr>
        <w:pStyle w:val="pheading"/>
      </w:pPr>
      <w:r>
        <w:t>MATÉRIAUX</w:t>
      </w:r>
    </w:p>
    <w:p w14:paraId="02961B66" w14:textId="77777777" w:rsidR="004B2808" w:rsidRDefault="00000000">
      <w:r>
        <w:t>La réverbération dans les locaux est limitée par les normes :</w:t>
      </w:r>
    </w:p>
    <w:p w14:paraId="53A5B8CC" w14:textId="77777777" w:rsidR="004B2808" w:rsidRDefault="00000000">
      <w:r>
        <w:t>Exigences en vigueur dans les immeubles de logements suivant [NBN S01-400-1] :</w:t>
      </w:r>
    </w:p>
    <w:p w14:paraId="17AF526A" w14:textId="77777777" w:rsidR="004B2808" w:rsidRDefault="00000000">
      <w:r>
        <w:t>·        Aire d’absorption acoustique équivalente totale pondérée (Aw) dans les couloirs, escaliers, halls d’entrée : Aw ≥ 0,3 x surface horizontale projetée (Sh)</w:t>
      </w:r>
    </w:p>
    <w:p w14:paraId="3BF970FE" w14:textId="77777777" w:rsidR="004B2808" w:rsidRDefault="00000000">
      <w:r>
        <w:t>·        Accès sous forme d’atrium : durée de réverbération nominale Tnom &lt; la valeur la plus élevée entre 1,5s et log(V/50)s</w:t>
      </w:r>
    </w:p>
    <w:p w14:paraId="6B709ADC" w14:textId="77777777" w:rsidR="004B2808" w:rsidRDefault="00000000">
      <w:r>
        <w:t>Exigences en vigueur dans les établissements scolaires [NBN S01-400-2], exigences : normales (par défaut) / supérieures</w:t>
      </w:r>
    </w:p>
    <w:p w14:paraId="59F1DAEA" w14:textId="77777777" w:rsidR="004B2808" w:rsidRDefault="00000000">
      <w:r>
        <w:t>Exigences en vigueur dans les salles de cours, sport, gymnastique, récréation intérieure, atrium, réfectoire, exigences : normales (par défaut) / supérieures</w:t>
      </w:r>
    </w:p>
    <w:p w14:paraId="2E68198D" w14:textId="77777777" w:rsidR="004B2808" w:rsidRDefault="00000000">
      <w:r>
        <w:t>Aspects environnementaux</w:t>
      </w:r>
    </w:p>
    <w:p w14:paraId="6AA90831" w14:textId="77777777" w:rsidR="004B2808" w:rsidRDefault="00000000">
      <w:r>
        <w:t>La mise en place de baffles ou dalles acoustiques suspendus est compatible avec l’activation du béton.</w:t>
      </w:r>
    </w:p>
    <w:p w14:paraId="71AC3510" w14:textId="77777777" w:rsidR="004B2808" w:rsidRDefault="00000000">
      <w:pPr>
        <w:pStyle w:val="pheading"/>
      </w:pPr>
      <w:r>
        <w:t>DOCUMENTS DE RÉFÉRENCE</w:t>
      </w:r>
    </w:p>
    <w:p w14:paraId="767C8AEA" w14:textId="77777777" w:rsidR="004B2808" w:rsidRDefault="00000000">
      <w:pPr>
        <w:pStyle w:val="pheading"/>
      </w:pPr>
      <w:r>
        <w:t>- Matériau</w:t>
      </w:r>
    </w:p>
    <w:p w14:paraId="22EA26A0" w14:textId="77777777" w:rsidR="004B2808" w:rsidRDefault="00000000">
      <w:r>
        <w:t>32.43.1 Isolation à projeter - matières synthétiques</w:t>
      </w:r>
    </w:p>
    <w:p w14:paraId="0BD88618" w14:textId="77777777" w:rsidR="004B2808" w:rsidRDefault="00000000">
      <w:pPr>
        <w:pStyle w:val="pheading"/>
      </w:pPr>
      <w:r>
        <w:t>- Exécution</w:t>
      </w:r>
    </w:p>
    <w:p w14:paraId="0C9D0284" w14:textId="77777777" w:rsidR="004B2808" w:rsidRDefault="00000000">
      <w:r>
        <w:t>32.43.1 Isolation à projeter - matières synthétiques</w:t>
      </w:r>
    </w:p>
    <w:p w14:paraId="7E76337A" w14:textId="77777777" w:rsidR="004B2808" w:rsidRDefault="00000000">
      <w:pPr>
        <w:pStyle w:val="Author-eSectionHeading6Numberless"/>
      </w:pPr>
      <w:bookmarkStart w:id="450" w:name="_Toc220490625"/>
      <w:r>
        <w:t>52.43.1a Isolation à projeter - polyuréthane (PUR) CCTB 01.07</w:t>
      </w:r>
      <w:bookmarkEnd w:id="450"/>
    </w:p>
    <w:p w14:paraId="17A1D1FF" w14:textId="77777777" w:rsidR="004B2808" w:rsidRDefault="00000000">
      <w:pPr>
        <w:pStyle w:val="pheading"/>
      </w:pPr>
      <w:r>
        <w:t>DESCRIPTION</w:t>
      </w:r>
    </w:p>
    <w:p w14:paraId="3601F516" w14:textId="77777777" w:rsidR="004B2808" w:rsidRDefault="00000000">
      <w:pPr>
        <w:pStyle w:val="pheading"/>
      </w:pPr>
      <w:r>
        <w:t>- Définition / Comprend</w:t>
      </w:r>
    </w:p>
    <w:p w14:paraId="0424117B" w14:textId="77777777" w:rsidR="004B2808" w:rsidRDefault="00000000">
      <w:r>
        <w:t>Il s'agit de la réalisation d'une isolation projetée en polyuréthane suivant les prescriptions de l'article 32.43.1a Isolation à projeter - polyuréthane (PUR).</w:t>
      </w:r>
    </w:p>
    <w:p w14:paraId="76BF4FE8" w14:textId="77777777" w:rsidR="004B2808" w:rsidRDefault="00000000">
      <w:pPr>
        <w:pStyle w:val="pheading"/>
      </w:pPr>
      <w:r>
        <w:t>MATÉRIAUX</w:t>
      </w:r>
    </w:p>
    <w:p w14:paraId="24696846" w14:textId="77777777" w:rsidR="004B2808" w:rsidRDefault="00000000">
      <w:pPr>
        <w:pStyle w:val="pheading"/>
      </w:pPr>
      <w:r>
        <w:t>- Caractéristiques générales</w:t>
      </w:r>
    </w:p>
    <w:p w14:paraId="7AD21BF8" w14:textId="77777777" w:rsidR="004B2808" w:rsidRDefault="00000000">
      <w:r>
        <w:t>Voir 32.43.1a Isolation à projeter - polyuréthane (PUR)</w:t>
      </w:r>
    </w:p>
    <w:p w14:paraId="6987F16D" w14:textId="77777777" w:rsidR="004B2808" w:rsidRDefault="00000000">
      <w:pPr>
        <w:pStyle w:val="pheading"/>
      </w:pPr>
      <w:r>
        <w:t>- Finitions</w:t>
      </w:r>
    </w:p>
    <w:p w14:paraId="1F45D803" w14:textId="77777777" w:rsidR="004B2808" w:rsidRDefault="00000000">
      <w:r>
        <w:t>Voir 32.43.1a Isolation à projeter - polyuréthane (PUR)</w:t>
      </w:r>
    </w:p>
    <w:p w14:paraId="557CB6C4" w14:textId="77777777" w:rsidR="004B2808" w:rsidRDefault="00000000">
      <w:pPr>
        <w:pStyle w:val="pheading"/>
      </w:pPr>
      <w:r>
        <w:t>EXÉCUTION / MISE EN ŒUVRE</w:t>
      </w:r>
    </w:p>
    <w:p w14:paraId="2C7C6894" w14:textId="77777777" w:rsidR="004B2808" w:rsidRDefault="00000000">
      <w:pPr>
        <w:pStyle w:val="pheading"/>
      </w:pPr>
      <w:r>
        <w:t>- Prescriptions générales</w:t>
      </w:r>
    </w:p>
    <w:p w14:paraId="3BC4B468" w14:textId="77777777" w:rsidR="004B2808" w:rsidRDefault="00000000">
      <w:r>
        <w:t>Voir 32.43.1a Isolation à projeter - polyuréthane (PUR)</w:t>
      </w:r>
    </w:p>
    <w:p w14:paraId="0449CDEE" w14:textId="77777777" w:rsidR="004B2808" w:rsidRDefault="00000000">
      <w:r>
        <w:t xml:space="preserve">La température d'exécution est d'au moins 5°C. On ne travaille que dans un bâtiment étanche à la pluie et au vent. L'isolation est projetée directement sur l'aire de pose nettoyée et sèche, exempte de poussière et de graisse. La couche de mousse est appliquée en adhérence totale et en plusieurs couches jusqu'à l'obtention, sur toute la surface, d'une couche d'épaisseur uniforme. L'isolation doit suivre les irrégularités de l'aire de pose, et au-dessus des éventuelles conduites intégrées, les rehaussements peuvent être arasés. Les endroits où le niveau s'avère critique doivent être </w:t>
      </w:r>
      <w:r>
        <w:lastRenderedPageBreak/>
        <w:t>solutionnés en concertation avec le maître de l'ouvrage. L'épaisseur peut éventuellement être adaptée.</w:t>
      </w:r>
    </w:p>
    <w:p w14:paraId="1E6DD644" w14:textId="77777777" w:rsidR="004B2808" w:rsidRDefault="00000000">
      <w:pPr>
        <w:pStyle w:val="pheading"/>
      </w:pPr>
      <w:r>
        <w:t>- Notes d’exécution complémentaires</w:t>
      </w:r>
    </w:p>
    <w:p w14:paraId="76C1A805" w14:textId="77777777" w:rsidR="004B2808" w:rsidRDefault="00000000">
      <w:r>
        <w:t>Voir 32.43.1a Isolation à projeter - polyuréthane (PUR)</w:t>
      </w:r>
    </w:p>
    <w:p w14:paraId="7E57C64B" w14:textId="77777777" w:rsidR="004B2808" w:rsidRDefault="00000000">
      <w:pPr>
        <w:pStyle w:val="facult"/>
      </w:pPr>
      <w:r>
        <w:t>Toutes les conduites métalliques encastrées sont efficacement protégées contre la corrosion.</w:t>
      </w:r>
    </w:p>
    <w:p w14:paraId="085F1C77" w14:textId="77777777" w:rsidR="004B2808" w:rsidRDefault="00000000">
      <w:pPr>
        <w:pStyle w:val="pheading"/>
      </w:pPr>
      <w:r>
        <w:t>DOCUMENTS DE RÉFÉRENCE COMPLÉMENTAIRES</w:t>
      </w:r>
    </w:p>
    <w:p w14:paraId="43D3C664" w14:textId="77777777" w:rsidR="004B2808" w:rsidRDefault="00000000">
      <w:pPr>
        <w:pStyle w:val="pheading"/>
      </w:pPr>
      <w:r>
        <w:t>- Matériau</w:t>
      </w:r>
    </w:p>
    <w:p w14:paraId="2E6EB6E8" w14:textId="77777777" w:rsidR="004B2808" w:rsidRDefault="00000000">
      <w:r>
        <w:t>32.43.1a Isolation à projeter - polyuréthane (PUR)</w:t>
      </w:r>
    </w:p>
    <w:p w14:paraId="686BAE2E" w14:textId="77777777" w:rsidR="004B2808" w:rsidRDefault="00000000">
      <w:pPr>
        <w:pStyle w:val="pheading"/>
      </w:pPr>
      <w:r>
        <w:t>- Exécution</w:t>
      </w:r>
    </w:p>
    <w:p w14:paraId="06061AFE" w14:textId="77777777" w:rsidR="004B2808" w:rsidRDefault="00000000">
      <w:r>
        <w:t>32.43.1a Isolation à projeter - polyuréthane (PUR)</w:t>
      </w:r>
    </w:p>
    <w:p w14:paraId="3346348D" w14:textId="77777777" w:rsidR="004B2808" w:rsidRDefault="00000000">
      <w:pPr>
        <w:pStyle w:val="pheading"/>
      </w:pPr>
      <w:r>
        <w:t>MESURAGE</w:t>
      </w:r>
    </w:p>
    <w:p w14:paraId="275ADA7E" w14:textId="77777777" w:rsidR="004B2808" w:rsidRDefault="00000000">
      <w:pPr>
        <w:pStyle w:val="pheading"/>
      </w:pPr>
      <w:r>
        <w:t>- unité de mesure:</w:t>
      </w:r>
    </w:p>
    <w:p w14:paraId="637CE25F" w14:textId="77777777" w:rsidR="004B2808" w:rsidRDefault="00000000">
      <w:r>
        <w:t>m²</w:t>
      </w:r>
    </w:p>
    <w:p w14:paraId="4905451B" w14:textId="77777777" w:rsidR="004B2808" w:rsidRDefault="00000000">
      <w:pPr>
        <w:pStyle w:val="pheading"/>
      </w:pPr>
      <w:r>
        <w:t>- code de mesurage:</w:t>
      </w:r>
    </w:p>
    <w:p w14:paraId="6A38FA8B" w14:textId="77777777" w:rsidR="004B2808" w:rsidRDefault="00000000">
      <w:r>
        <w:t>Distinction faite suivant l'épaisseur.</w:t>
      </w:r>
    </w:p>
    <w:p w14:paraId="26F08941" w14:textId="77777777" w:rsidR="004B2808" w:rsidRDefault="00000000">
      <w:pPr>
        <w:pStyle w:val="Author-eListParagraph"/>
        <w:numPr>
          <w:ilvl w:val="0"/>
          <w:numId w:val="442"/>
        </w:numPr>
      </w:pPr>
      <w:r>
        <w:t>Isolation des parois verticales : Surface nette. Les ouvertures supérieures à 0,50 m² sont déduites</w:t>
      </w:r>
    </w:p>
    <w:p w14:paraId="74CE4585" w14:textId="77777777" w:rsidR="004B2808" w:rsidRDefault="00000000">
      <w:pPr>
        <w:pStyle w:val="Author-eListParagraph"/>
        <w:numPr>
          <w:ilvl w:val="0"/>
          <w:numId w:val="442"/>
        </w:numPr>
      </w:pPr>
      <w:r>
        <w:t>Isolation des parois horizontales : Surface nette du sol, mesurée entre le nu des murs. Les ouvertures supérieures à 0,5 m² sont déduites. L'isolation périphérique ne doit pas être portée en compte séparément</w:t>
      </w:r>
    </w:p>
    <w:p w14:paraId="284E0763" w14:textId="77777777" w:rsidR="004B2808" w:rsidRDefault="00000000">
      <w:pPr>
        <w:pStyle w:val="pheading"/>
      </w:pPr>
      <w:r>
        <w:t>- nature du marché:</w:t>
      </w:r>
    </w:p>
    <w:p w14:paraId="547E3568" w14:textId="77777777" w:rsidR="004B2808" w:rsidRDefault="00000000">
      <w:r>
        <w:t>QF</w:t>
      </w:r>
    </w:p>
    <w:p w14:paraId="08D3CBD3" w14:textId="77777777" w:rsidR="004B2808" w:rsidRDefault="00000000">
      <w:pPr>
        <w:pStyle w:val="Author-eSectionHeading6Numberless"/>
      </w:pPr>
      <w:bookmarkStart w:id="451" w:name="_Toc220490626"/>
      <w:r>
        <w:t>52.43.1b Isolation à projeter - polyisocyanurate (PIR) CCTB 01.02</w:t>
      </w:r>
      <w:bookmarkEnd w:id="451"/>
    </w:p>
    <w:p w14:paraId="403F067D" w14:textId="77777777" w:rsidR="004B2808" w:rsidRDefault="00000000">
      <w:pPr>
        <w:pStyle w:val="Author-eSectionHeading6Numberless"/>
      </w:pPr>
      <w:bookmarkStart w:id="452" w:name="_Toc220490627"/>
      <w:r>
        <w:t>52.43.1c Isolation à projeter - mousse phénolique (PF) CCTB 01.02</w:t>
      </w:r>
      <w:bookmarkEnd w:id="452"/>
    </w:p>
    <w:p w14:paraId="4CE8C306" w14:textId="77777777" w:rsidR="004B2808" w:rsidRDefault="00000000">
      <w:pPr>
        <w:pStyle w:val="pheading"/>
      </w:pPr>
      <w:r>
        <w:t>MATÉRIAUX</w:t>
      </w:r>
    </w:p>
    <w:p w14:paraId="188EA050" w14:textId="77777777" w:rsidR="004B2808" w:rsidRDefault="00000000">
      <w:pPr>
        <w:pStyle w:val="pheading"/>
      </w:pPr>
      <w:r>
        <w:t>- Caractéristiques générales</w:t>
      </w:r>
    </w:p>
    <w:p w14:paraId="32A8DC74" w14:textId="77777777" w:rsidR="004B2808" w:rsidRDefault="00000000">
      <w:r>
        <w:t>Les caractéristiques générales sont conformes à celles décrites dans l'article 32.41.1f Isolation en panneaux - mousse phénolique (PF)</w:t>
      </w:r>
    </w:p>
    <w:p w14:paraId="131E1B3F" w14:textId="77777777" w:rsidR="004B2808" w:rsidRDefault="00000000">
      <w:pPr>
        <w:pStyle w:val="Author-eSectionHeading6Numberless"/>
      </w:pPr>
      <w:bookmarkStart w:id="453" w:name="_Toc220490628"/>
      <w:r>
        <w:t>52.43.1d Isolation à projeter - icynène CCTB 01.12</w:t>
      </w:r>
      <w:bookmarkEnd w:id="453"/>
    </w:p>
    <w:p w14:paraId="0507EFD8" w14:textId="77777777" w:rsidR="004B2808" w:rsidRDefault="00000000">
      <w:pPr>
        <w:pStyle w:val="Author-eSectionHeading5Numberless"/>
      </w:pPr>
      <w:bookmarkStart w:id="454" w:name="_Toc220490629"/>
      <w:r>
        <w:t>52.43.2 Isolation à projeter - matières minérales CCTB 01.07</w:t>
      </w:r>
      <w:bookmarkEnd w:id="454"/>
    </w:p>
    <w:p w14:paraId="1C88EE8A" w14:textId="77777777" w:rsidR="004B2808" w:rsidRDefault="00000000">
      <w:pPr>
        <w:pStyle w:val="pheading"/>
      </w:pPr>
      <w:r>
        <w:t>DESCRIPTION</w:t>
      </w:r>
    </w:p>
    <w:p w14:paraId="4C33D908" w14:textId="77777777" w:rsidR="004B2808" w:rsidRDefault="00000000">
      <w:pPr>
        <w:pStyle w:val="pheading"/>
      </w:pPr>
      <w:r>
        <w:t>- Définition / Comprend</w:t>
      </w:r>
    </w:p>
    <w:p w14:paraId="7C19EAE2" w14:textId="77777777" w:rsidR="004B2808" w:rsidRDefault="00000000">
      <w:r>
        <w:t>Il s'agit de la réalisation d'une isolation en matière minérale par projection humide suivant prescriptions de l'élément 32.43.2 Isolation à projeter - matières minérales.</w:t>
      </w:r>
    </w:p>
    <w:p w14:paraId="0954DE49" w14:textId="77777777" w:rsidR="004B2808" w:rsidRDefault="00000000">
      <w:pPr>
        <w:pStyle w:val="pheading"/>
      </w:pPr>
      <w:r>
        <w:t>DOCUMENTS DE RÉFÉRENCE</w:t>
      </w:r>
    </w:p>
    <w:p w14:paraId="17E04581" w14:textId="77777777" w:rsidR="004B2808" w:rsidRDefault="00000000">
      <w:pPr>
        <w:pStyle w:val="pheading"/>
      </w:pPr>
      <w:r>
        <w:t>- Matériau</w:t>
      </w:r>
    </w:p>
    <w:p w14:paraId="11D71512" w14:textId="77777777" w:rsidR="004B2808" w:rsidRDefault="00000000">
      <w:r>
        <w:t>32.43.2 Isolation à projeter - matières minérales</w:t>
      </w:r>
    </w:p>
    <w:p w14:paraId="035017A7" w14:textId="77777777" w:rsidR="004B2808" w:rsidRDefault="00000000">
      <w:pPr>
        <w:pStyle w:val="pheading"/>
      </w:pPr>
      <w:r>
        <w:t>- Exécution</w:t>
      </w:r>
    </w:p>
    <w:p w14:paraId="32A8196A" w14:textId="77777777" w:rsidR="004B2808" w:rsidRDefault="00000000">
      <w:r>
        <w:t>32.43.2 Isolation à projeter - matières minérales</w:t>
      </w:r>
    </w:p>
    <w:p w14:paraId="75E3D6BE" w14:textId="77777777" w:rsidR="004B2808" w:rsidRDefault="00000000">
      <w:pPr>
        <w:pStyle w:val="Author-eSectionHeading6Numberless"/>
      </w:pPr>
      <w:bookmarkStart w:id="455" w:name="_Toc220490630"/>
      <w:r>
        <w:lastRenderedPageBreak/>
        <w:t>52.43.2a Isolation à projeter - laine de roche (MW) CCTB 01.10</w:t>
      </w:r>
      <w:bookmarkEnd w:id="455"/>
    </w:p>
    <w:p w14:paraId="40B222B2" w14:textId="77777777" w:rsidR="004B2808" w:rsidRDefault="00000000">
      <w:pPr>
        <w:pStyle w:val="pheading"/>
      </w:pPr>
      <w:r>
        <w:t>DESCRIPTION</w:t>
      </w:r>
    </w:p>
    <w:p w14:paraId="0CE9E141" w14:textId="77777777" w:rsidR="004B2808" w:rsidRDefault="00000000">
      <w:pPr>
        <w:pStyle w:val="pheading"/>
      </w:pPr>
      <w:r>
        <w:t>- Définition / Comprend</w:t>
      </w:r>
    </w:p>
    <w:p w14:paraId="0373453F" w14:textId="77777777" w:rsidR="004B2808" w:rsidRDefault="00000000">
      <w:r>
        <w:t>Il s’agit de la réalisation d’une isolation de type laine minérale (MW - laine de verre / de roche), projetée en adhérence sur un support suivant prescriptions de l'article 32.43.2a Isolation à projeter - laine de roche (MW). Cet isolant est utilisé en tant qu'</w:t>
      </w:r>
      <w:r>
        <w:rPr>
          <w:rStyle w:val="optioncarChar"/>
        </w:rPr>
        <w:t>isolant thermique / protection incendie / correcteur acoustique.</w:t>
      </w:r>
    </w:p>
    <w:p w14:paraId="78343210" w14:textId="77777777" w:rsidR="004B2808" w:rsidRDefault="00000000">
      <w:pPr>
        <w:pStyle w:val="pheading"/>
      </w:pPr>
      <w:r>
        <w:t>MATÉRIAUX</w:t>
      </w:r>
    </w:p>
    <w:p w14:paraId="05718827" w14:textId="77777777" w:rsidR="004B2808" w:rsidRDefault="00000000">
      <w:pPr>
        <w:pStyle w:val="pheading"/>
      </w:pPr>
      <w:r>
        <w:t>- Caractéristiques générales</w:t>
      </w:r>
    </w:p>
    <w:p w14:paraId="6F80E8DA" w14:textId="77777777" w:rsidR="004B2808" w:rsidRDefault="00000000">
      <w:r>
        <w:t>Voir 32.43.2a Isolation à projeter - laine de roche (MW).</w:t>
      </w:r>
    </w:p>
    <w:p w14:paraId="3F71E53D" w14:textId="77777777" w:rsidR="004B2808" w:rsidRDefault="00000000">
      <w:r>
        <w:rPr>
          <w:u w:val="single"/>
        </w:rPr>
        <w:t>Spécifications</w:t>
      </w:r>
    </w:p>
    <w:p w14:paraId="0F741A52" w14:textId="77777777" w:rsidR="004B2808" w:rsidRDefault="00000000">
      <w:pPr>
        <w:pStyle w:val="Author-eListParagraph"/>
        <w:numPr>
          <w:ilvl w:val="0"/>
          <w:numId w:val="443"/>
        </w:numPr>
      </w:pPr>
      <w:r>
        <w:t xml:space="preserve">Epaisseur : </w:t>
      </w:r>
      <w:r>
        <w:rPr>
          <w:rStyle w:val="optioncarChar"/>
        </w:rPr>
        <w:t>1  / 2 / *** / 15</w:t>
      </w:r>
      <w:r>
        <w:t xml:space="preserve"> (par défaut) </w:t>
      </w:r>
      <w:r>
        <w:rPr>
          <w:rStyle w:val="optioncarChar"/>
        </w:rPr>
        <w:t>/ 16</w:t>
      </w:r>
      <w:r>
        <w:t xml:space="preserve"> cm _ Tolérance +/- </w:t>
      </w:r>
      <w:r>
        <w:rPr>
          <w:rStyle w:val="optioncarChar"/>
        </w:rPr>
        <w:t>10 / 20</w:t>
      </w:r>
      <w:r>
        <w:t xml:space="preserve"> %</w:t>
      </w:r>
    </w:p>
    <w:p w14:paraId="7422885D" w14:textId="77777777" w:rsidR="004B2808" w:rsidRDefault="00000000">
      <w:pPr>
        <w:pStyle w:val="Author-eListParagraph"/>
        <w:numPr>
          <w:ilvl w:val="0"/>
          <w:numId w:val="443"/>
        </w:numPr>
      </w:pPr>
      <w:r>
        <w:t xml:space="preserve">Masse volumique :  environ </w:t>
      </w:r>
      <w:r>
        <w:rPr>
          <w:rStyle w:val="optioncarChar"/>
        </w:rPr>
        <w:t>140</w:t>
      </w:r>
      <w:r>
        <w:t xml:space="preserve"> (par défaut)</w:t>
      </w:r>
      <w:r>
        <w:rPr>
          <w:rStyle w:val="optioncarChar"/>
        </w:rPr>
        <w:t xml:space="preserve"> / 150 / 160 / 170 / 180 / *** </w:t>
      </w:r>
      <w:r>
        <w:t>kg/m³.</w:t>
      </w:r>
    </w:p>
    <w:p w14:paraId="6BD64A0C" w14:textId="77777777" w:rsidR="004B2808" w:rsidRDefault="00000000">
      <w:pPr>
        <w:pStyle w:val="Author-eListParagraph"/>
        <w:numPr>
          <w:ilvl w:val="0"/>
          <w:numId w:val="443"/>
        </w:numPr>
      </w:pPr>
      <w:r>
        <w:t>Valeur lambda déclaré: maximum </w:t>
      </w:r>
      <w:r>
        <w:rPr>
          <w:rStyle w:val="optioncarChar"/>
        </w:rPr>
        <w:t>0,004 </w:t>
      </w:r>
      <w:r>
        <w:t>(par défaut)</w:t>
      </w:r>
      <w:r>
        <w:rPr>
          <w:rStyle w:val="optioncarChar"/>
        </w:rPr>
        <w:t xml:space="preserve"> / 0,045 / 0.050 / *** </w:t>
      </w:r>
      <w:r>
        <w:t>W/mK.</w:t>
      </w:r>
    </w:p>
    <w:p w14:paraId="16E3AEB7" w14:textId="77777777" w:rsidR="004B2808" w:rsidRDefault="00000000">
      <w:pPr>
        <w:pStyle w:val="Author-eListParagraph"/>
        <w:numPr>
          <w:ilvl w:val="0"/>
          <w:numId w:val="443"/>
        </w:numPr>
      </w:pPr>
      <w:r>
        <w:t xml:space="preserve">Réaction au feu : </w:t>
      </w:r>
      <w:r>
        <w:rPr>
          <w:rStyle w:val="optioncarChar"/>
        </w:rPr>
        <w:t>A1 </w:t>
      </w:r>
      <w:r>
        <w:t>(par défaut)</w:t>
      </w:r>
      <w:r>
        <w:rPr>
          <w:rStyle w:val="optioncarChar"/>
        </w:rPr>
        <w:t xml:space="preserve"> / ***</w:t>
      </w:r>
    </w:p>
    <w:p w14:paraId="37B25BCD" w14:textId="77777777" w:rsidR="004B2808" w:rsidRDefault="00000000">
      <w:pPr>
        <w:pStyle w:val="Author-eListParagraph"/>
        <w:numPr>
          <w:ilvl w:val="0"/>
          <w:numId w:val="443"/>
        </w:numPr>
      </w:pPr>
      <w:r>
        <w:t xml:space="preserve">Absorption acoustique (coefficient de Sabine alpha) : </w:t>
      </w:r>
      <w:r>
        <w:rPr>
          <w:rStyle w:val="optioncarChar"/>
        </w:rPr>
        <w:t>0,90</w:t>
      </w:r>
      <w:r>
        <w:t xml:space="preserve"> (par défaut) </w:t>
      </w:r>
      <w:r>
        <w:rPr>
          <w:rStyle w:val="optioncarChar"/>
        </w:rPr>
        <w:t>/ ***</w:t>
      </w:r>
    </w:p>
    <w:p w14:paraId="50789F96" w14:textId="77777777" w:rsidR="004B2808" w:rsidRDefault="00000000">
      <w:pPr>
        <w:pStyle w:val="Author-eListParagraph"/>
        <w:numPr>
          <w:ilvl w:val="0"/>
          <w:numId w:val="443"/>
        </w:numPr>
      </w:pPr>
      <w:r>
        <w:t xml:space="preserve">Stabilité au feu : </w:t>
      </w:r>
      <w:r>
        <w:rPr>
          <w:rStyle w:val="optioncarChar"/>
        </w:rPr>
        <w:t xml:space="preserve">1 </w:t>
      </w:r>
      <w:r>
        <w:t>(par défaut) </w:t>
      </w:r>
      <w:r>
        <w:rPr>
          <w:rStyle w:val="optioncarChar"/>
        </w:rPr>
        <w:t>/ 6 / ***</w:t>
      </w:r>
      <w:r>
        <w:t xml:space="preserve"> h.</w:t>
      </w:r>
    </w:p>
    <w:p w14:paraId="3E8F2EB6" w14:textId="77777777" w:rsidR="004B2808" w:rsidRDefault="00000000">
      <w:pPr>
        <w:pStyle w:val="Author-eListParagraph"/>
        <w:numPr>
          <w:ilvl w:val="0"/>
          <w:numId w:val="443"/>
        </w:numPr>
      </w:pPr>
      <w:r>
        <w:t xml:space="preserve">Résistance au feu : </w:t>
      </w:r>
      <w:r>
        <w:rPr>
          <w:rStyle w:val="optioncarChar"/>
        </w:rPr>
        <w:t xml:space="preserve">1 </w:t>
      </w:r>
      <w:r>
        <w:t>(par défaut) </w:t>
      </w:r>
      <w:r>
        <w:rPr>
          <w:rStyle w:val="optioncarChar"/>
        </w:rPr>
        <w:t>/ 6 / ***</w:t>
      </w:r>
      <w:r>
        <w:t xml:space="preserve"> h.</w:t>
      </w:r>
    </w:p>
    <w:p w14:paraId="15FFC134" w14:textId="77777777" w:rsidR="004B2808" w:rsidRDefault="00000000">
      <w:pPr>
        <w:pStyle w:val="pheading"/>
      </w:pPr>
      <w:r>
        <w:t>- Finitions</w:t>
      </w:r>
    </w:p>
    <w:p w14:paraId="0FA3AD81" w14:textId="77777777" w:rsidR="004B2808" w:rsidRDefault="00000000">
      <w:r>
        <w:t>Voir 32.43.2a Isolation à projeter - laine de roche (MW)</w:t>
      </w:r>
    </w:p>
    <w:p w14:paraId="1543D787" w14:textId="77777777" w:rsidR="004B2808" w:rsidRDefault="00000000">
      <w:r>
        <w:t xml:space="preserve">Teinte finale : </w:t>
      </w:r>
      <w:r>
        <w:rPr>
          <w:rStyle w:val="optioncarChar"/>
        </w:rPr>
        <w:t>blanc cassé </w:t>
      </w:r>
      <w:r>
        <w:t>(par défaut)</w:t>
      </w:r>
      <w:r>
        <w:rPr>
          <w:rStyle w:val="optioncarChar"/>
        </w:rPr>
        <w:t xml:space="preserve"> / gris / ***</w:t>
      </w:r>
      <w:r>
        <w:t xml:space="preserve"> .</w:t>
      </w:r>
    </w:p>
    <w:p w14:paraId="66B00938" w14:textId="77777777" w:rsidR="004B2808" w:rsidRDefault="00000000">
      <w:r>
        <w:t xml:space="preserve">Finition : </w:t>
      </w:r>
      <w:r>
        <w:rPr>
          <w:rStyle w:val="optioncarChar"/>
        </w:rPr>
        <w:t>roulée / compressée</w:t>
      </w:r>
      <w:r>
        <w:t>.</w:t>
      </w:r>
    </w:p>
    <w:p w14:paraId="0A5E8582" w14:textId="77777777" w:rsidR="004B2808" w:rsidRDefault="00000000">
      <w:pPr>
        <w:pStyle w:val="pheading"/>
      </w:pPr>
      <w:r>
        <w:t>- Prescriptions complémentaires</w:t>
      </w:r>
    </w:p>
    <w:p w14:paraId="67348FBC" w14:textId="77777777" w:rsidR="004B2808" w:rsidRDefault="00000000">
      <w:r>
        <w:t>Voir 32.43.2a Isolation à projeter - laine de roche (MW)</w:t>
      </w:r>
    </w:p>
    <w:p w14:paraId="667B1262" w14:textId="77777777" w:rsidR="004B2808" w:rsidRDefault="00000000">
      <w:r>
        <w:rPr>
          <w:rStyle w:val="facultChar"/>
        </w:rPr>
        <w:t xml:space="preserve">L'isolant est ultérieurement traité par </w:t>
      </w:r>
      <w:r>
        <w:rPr>
          <w:rStyle w:val="optioncarChar"/>
        </w:rPr>
        <w:t xml:space="preserve">imprégnation de surface / peinture </w:t>
      </w:r>
      <w:r>
        <w:rPr>
          <w:rStyle w:val="facultChar"/>
        </w:rPr>
        <w:t xml:space="preserve">(prescrite et comptabilisée dans le cadre du tome </w:t>
      </w:r>
      <w:r>
        <w:t>8 T8 Travaux de peinture / Traitements de surface</w:t>
      </w:r>
      <w:r>
        <w:rPr>
          <w:rStyle w:val="facultChar"/>
        </w:rPr>
        <w:t>).</w:t>
      </w:r>
    </w:p>
    <w:p w14:paraId="1A7D39CE" w14:textId="77777777" w:rsidR="004B2808" w:rsidRDefault="00000000">
      <w:pPr>
        <w:pStyle w:val="pheading"/>
      </w:pPr>
      <w:r>
        <w:t>EXÉCUTION / MISE EN ŒUVRE</w:t>
      </w:r>
    </w:p>
    <w:p w14:paraId="511F6582" w14:textId="77777777" w:rsidR="004B2808" w:rsidRDefault="00000000">
      <w:pPr>
        <w:pStyle w:val="pheading"/>
      </w:pPr>
      <w:r>
        <w:t>- Prescriptions générales</w:t>
      </w:r>
    </w:p>
    <w:p w14:paraId="3C86059E" w14:textId="77777777" w:rsidR="004B2808" w:rsidRDefault="00000000">
      <w:r>
        <w:t>Voir 32.43.2a Isolation à projeter - laine de roche (MW)</w:t>
      </w:r>
    </w:p>
    <w:p w14:paraId="7C924C9F" w14:textId="77777777" w:rsidR="004B2808" w:rsidRDefault="00000000">
      <w:pPr>
        <w:pStyle w:val="pheading"/>
      </w:pPr>
      <w:r>
        <w:t>- Notes d’exécution complémentaires</w:t>
      </w:r>
    </w:p>
    <w:p w14:paraId="139261E1" w14:textId="77777777" w:rsidR="004B2808" w:rsidRDefault="00000000">
      <w:r>
        <w:t>Voir 32.43.2a Isolation à projeter - laine de roche (MW)</w:t>
      </w:r>
    </w:p>
    <w:p w14:paraId="71C1C0CA" w14:textId="77777777" w:rsidR="004B2808" w:rsidRDefault="00000000">
      <w:r>
        <w:rPr>
          <w:rStyle w:val="facultChar"/>
        </w:rPr>
        <w:t>Réglé à épaisseur par raclage.</w:t>
      </w:r>
      <w:r>
        <w:br/>
      </w:r>
    </w:p>
    <w:p w14:paraId="310DED3C" w14:textId="77777777" w:rsidR="004B2808" w:rsidRDefault="00000000">
      <w:pPr>
        <w:pStyle w:val="pheading"/>
      </w:pPr>
      <w:r>
        <w:t>DOCUMENTS DE RÉFÉRENCE COMPLÉMENTAIRES</w:t>
      </w:r>
    </w:p>
    <w:p w14:paraId="7E52E757" w14:textId="77777777" w:rsidR="004B2808" w:rsidRDefault="00000000">
      <w:pPr>
        <w:pStyle w:val="pheading"/>
      </w:pPr>
      <w:r>
        <w:t>- Matériau</w:t>
      </w:r>
    </w:p>
    <w:p w14:paraId="4D81FEEC" w14:textId="77777777" w:rsidR="004B2808" w:rsidRDefault="00000000">
      <w:r>
        <w:t>32.43.2a Isolation à projeter - laine de roche (MW)</w:t>
      </w:r>
    </w:p>
    <w:p w14:paraId="0F1D8991" w14:textId="77777777" w:rsidR="004B2808" w:rsidRDefault="00000000">
      <w:pPr>
        <w:pStyle w:val="pheading"/>
      </w:pPr>
      <w:r>
        <w:t>- Exécution</w:t>
      </w:r>
    </w:p>
    <w:p w14:paraId="7B332D61" w14:textId="77777777" w:rsidR="004B2808" w:rsidRDefault="00000000">
      <w:r>
        <w:t>32.43.2a Isolation à projeter - laine de roche (MW)</w:t>
      </w:r>
    </w:p>
    <w:p w14:paraId="7560DACC" w14:textId="77777777" w:rsidR="004B2808" w:rsidRDefault="00000000">
      <w:pPr>
        <w:pStyle w:val="pheading"/>
      </w:pPr>
      <w:r>
        <w:t>MESURAGE</w:t>
      </w:r>
    </w:p>
    <w:p w14:paraId="1FB6A7FE" w14:textId="77777777" w:rsidR="004B2808" w:rsidRDefault="00000000">
      <w:pPr>
        <w:pStyle w:val="pheading"/>
      </w:pPr>
      <w:r>
        <w:t>- unité de mesure:</w:t>
      </w:r>
    </w:p>
    <w:p w14:paraId="3D5773B2" w14:textId="77777777" w:rsidR="004B2808" w:rsidRDefault="00000000">
      <w:r>
        <w:t>m²</w:t>
      </w:r>
    </w:p>
    <w:p w14:paraId="5EFE44E3" w14:textId="77777777" w:rsidR="004B2808" w:rsidRDefault="00000000">
      <w:pPr>
        <w:pStyle w:val="pheading"/>
      </w:pPr>
      <w:r>
        <w:lastRenderedPageBreak/>
        <w:t>- code de mesurage:</w:t>
      </w:r>
    </w:p>
    <w:p w14:paraId="5BA58E68" w14:textId="77777777" w:rsidR="004B2808" w:rsidRDefault="00000000">
      <w:r>
        <w:t>Distinction faite suivant l'épaisseur.</w:t>
      </w:r>
    </w:p>
    <w:p w14:paraId="795512BB" w14:textId="77777777" w:rsidR="004B2808" w:rsidRDefault="00000000">
      <w:pPr>
        <w:pStyle w:val="Author-eListParagraph"/>
        <w:numPr>
          <w:ilvl w:val="0"/>
          <w:numId w:val="444"/>
        </w:numPr>
      </w:pPr>
      <w:r>
        <w:t>Isolation des parois verticales : Surface nette. Les ouvertures supérieures à 0,50 m² sont déduites</w:t>
      </w:r>
    </w:p>
    <w:p w14:paraId="4FBC7FCD" w14:textId="77777777" w:rsidR="004B2808" w:rsidRDefault="00000000">
      <w:pPr>
        <w:pStyle w:val="Author-eListParagraph"/>
        <w:numPr>
          <w:ilvl w:val="0"/>
          <w:numId w:val="444"/>
        </w:numPr>
      </w:pPr>
      <w:r>
        <w:t>Isolation des parois horizontales : Surface nette du sol, mesurée entre le nu des murs. Les ouvertures supérieures à 0,5 m² sont déduites. L'isolation périphérique ne doit pas être portée en compte séparément</w:t>
      </w:r>
    </w:p>
    <w:p w14:paraId="0D7FBCA8" w14:textId="77777777" w:rsidR="004B2808" w:rsidRDefault="00000000">
      <w:pPr>
        <w:pStyle w:val="pheading"/>
      </w:pPr>
      <w:r>
        <w:t>- nature du marché:</w:t>
      </w:r>
    </w:p>
    <w:p w14:paraId="7875430F" w14:textId="77777777" w:rsidR="004B2808" w:rsidRDefault="00000000">
      <w:r>
        <w:t>QF</w:t>
      </w:r>
    </w:p>
    <w:p w14:paraId="459A81F9" w14:textId="77777777" w:rsidR="004B2808" w:rsidRDefault="00000000">
      <w:pPr>
        <w:pStyle w:val="Author-eSectionHeading6Numberless"/>
      </w:pPr>
      <w:bookmarkStart w:id="456" w:name="_Toc220490631"/>
      <w:r>
        <w:t>52.43.2b Isolation à projeter - laine de verre (MW) CCTB 01.12</w:t>
      </w:r>
      <w:bookmarkEnd w:id="456"/>
    </w:p>
    <w:p w14:paraId="5378FA1C" w14:textId="77777777" w:rsidR="004B2808" w:rsidRDefault="00000000">
      <w:pPr>
        <w:pStyle w:val="pheading"/>
      </w:pPr>
      <w:r>
        <w:t>DESCRIPTION</w:t>
      </w:r>
    </w:p>
    <w:p w14:paraId="631FD70A" w14:textId="77777777" w:rsidR="004B2808" w:rsidRDefault="00000000">
      <w:pPr>
        <w:pStyle w:val="pheading"/>
      </w:pPr>
      <w:r>
        <w:t>- Définition / Comprend</w:t>
      </w:r>
    </w:p>
    <w:p w14:paraId="578996CA" w14:textId="77777777" w:rsidR="004B2808" w:rsidRDefault="00000000">
      <w:pPr>
        <w:jc w:val="both"/>
      </w:pPr>
      <w:r>
        <w:t>Il s’agit de la fourniture et de la pose d’une isolation thermique projeté en laine de verre pour une application horizontale ou verticale d’isolation intérieure.</w:t>
      </w:r>
    </w:p>
    <w:p w14:paraId="546A9C66" w14:textId="77777777" w:rsidR="004B2808" w:rsidRDefault="00000000">
      <w:pPr>
        <w:pStyle w:val="pheading"/>
      </w:pPr>
      <w:r>
        <w:t>- Localisation</w:t>
      </w:r>
    </w:p>
    <w:p w14:paraId="18FEC6CE" w14:textId="77777777" w:rsidR="004B2808" w:rsidRDefault="00000000">
      <w:r>
        <w:t xml:space="preserve">Localisation des travaux : </w:t>
      </w:r>
      <w:r>
        <w:rPr>
          <w:rStyle w:val="optioncarChar"/>
        </w:rPr>
        <w:t>***</w:t>
      </w:r>
      <w:r>
        <w:t>.</w:t>
      </w:r>
    </w:p>
    <w:p w14:paraId="011D86D6" w14:textId="77777777" w:rsidR="004B2808" w:rsidRDefault="00000000">
      <w:r>
        <w:t>Voir plans et métrés détaillés.</w:t>
      </w:r>
    </w:p>
    <w:p w14:paraId="64CA637B" w14:textId="77777777" w:rsidR="004B2808" w:rsidRDefault="00000000">
      <w:pPr>
        <w:pStyle w:val="pheading"/>
      </w:pPr>
      <w:r>
        <w:t>MATÉRIAUX</w:t>
      </w:r>
    </w:p>
    <w:p w14:paraId="4357582D" w14:textId="77777777" w:rsidR="004B2808" w:rsidRDefault="00000000">
      <w:pPr>
        <w:pStyle w:val="pheading"/>
      </w:pPr>
      <w:r>
        <w:t>- Caractéristiques générales</w:t>
      </w:r>
    </w:p>
    <w:p w14:paraId="08DE8A45" w14:textId="77777777" w:rsidR="004B2808" w:rsidRDefault="00000000">
      <w:pPr>
        <w:jc w:val="both"/>
      </w:pPr>
      <w:r>
        <w:t>Le produit est constitué de laine de verre.</w:t>
      </w:r>
    </w:p>
    <w:p w14:paraId="5C6B3D53" w14:textId="77777777" w:rsidR="004B2808" w:rsidRDefault="00000000">
      <w:pPr>
        <w:jc w:val="both"/>
      </w:pPr>
      <w:r>
        <w:t xml:space="preserve">Épaisseur après projection : </w:t>
      </w:r>
      <w:r>
        <w:rPr>
          <w:rStyle w:val="optioncarChar"/>
        </w:rPr>
        <w:t>***</w:t>
      </w:r>
      <w:r>
        <w:t xml:space="preserve"> cm. La tolérance sur l’épaisseur est de </w:t>
      </w:r>
      <w:r>
        <w:rPr>
          <w:rStyle w:val="optioncarChar"/>
        </w:rPr>
        <w:t xml:space="preserve">± 2.5 cm </w:t>
      </w:r>
      <w:r>
        <w:t>(par défaut)</w:t>
      </w:r>
      <w:r>
        <w:rPr>
          <w:rStyle w:val="optioncarChar"/>
        </w:rPr>
        <w:t xml:space="preserve"> / 10 % / 20 / ***</w:t>
      </w:r>
      <w:r>
        <w:t xml:space="preserve"> %.</w:t>
      </w:r>
    </w:p>
    <w:p w14:paraId="191C8534" w14:textId="77777777" w:rsidR="004B2808" w:rsidRDefault="00000000">
      <w:pPr>
        <w:jc w:val="both"/>
      </w:pPr>
      <w:r>
        <w:t xml:space="preserve">Masse volumique nominale après projection: ≤ </w:t>
      </w:r>
      <w:r>
        <w:rPr>
          <w:rStyle w:val="optioncarChar"/>
        </w:rPr>
        <w:t xml:space="preserve">55 </w:t>
      </w:r>
      <w:r>
        <w:t>(par défaut)</w:t>
      </w:r>
      <w:r>
        <w:rPr>
          <w:rStyle w:val="optioncarChar"/>
        </w:rPr>
        <w:t xml:space="preserve"> / ***</w:t>
      </w:r>
      <w:r>
        <w:t xml:space="preserve"> kg/m³.</w:t>
      </w:r>
    </w:p>
    <w:p w14:paraId="762ECC84" w14:textId="77777777" w:rsidR="004B2808" w:rsidRDefault="00000000">
      <w:pPr>
        <w:jc w:val="both"/>
      </w:pPr>
      <w:r>
        <w:t>Conductivité thermique (selon [NBN EN 12667] ou selon [NBN EN 12939] pour les produits épais) : valeur λ</w:t>
      </w:r>
      <w:r>
        <w:rPr>
          <w:vertAlign w:val="subscript"/>
        </w:rPr>
        <w:t>D</w:t>
      </w:r>
      <w:r>
        <w:t xml:space="preserve"> ≤ </w:t>
      </w:r>
      <w:r>
        <w:rPr>
          <w:rStyle w:val="optioncarChar"/>
        </w:rPr>
        <w:t xml:space="preserve">0.036 </w:t>
      </w:r>
      <w:r>
        <w:t xml:space="preserve">(par défaut) </w:t>
      </w:r>
      <w:r>
        <w:rPr>
          <w:rStyle w:val="optioncarChar"/>
        </w:rPr>
        <w:t>/ ***</w:t>
      </w:r>
      <w:r>
        <w:t> W/mK.</w:t>
      </w:r>
    </w:p>
    <w:p w14:paraId="7C68DFBB" w14:textId="77777777" w:rsidR="004B2808" w:rsidRDefault="00000000">
      <w:pPr>
        <w:jc w:val="both"/>
      </w:pPr>
      <w:r>
        <w:t xml:space="preserve">Réaction au feu selon [NBN EN 13501-1] : </w:t>
      </w:r>
      <w:r>
        <w:rPr>
          <w:rStyle w:val="optioncarChar"/>
        </w:rPr>
        <w:t>A1</w:t>
      </w:r>
      <w:r>
        <w:t> (par défaut)</w:t>
      </w:r>
      <w:r>
        <w:rPr>
          <w:rStyle w:val="optioncarChar"/>
        </w:rPr>
        <w:t xml:space="preserve"> / A2 / B / C / D / E / F</w:t>
      </w:r>
      <w:r>
        <w:t> complétée, le cas échéant par les aspects </w:t>
      </w:r>
      <w:r>
        <w:rPr>
          <w:rStyle w:val="optioncarChar"/>
        </w:rPr>
        <w:t xml:space="preserve">s1 </w:t>
      </w:r>
      <w:r>
        <w:t>(par défaut)</w:t>
      </w:r>
      <w:r>
        <w:rPr>
          <w:rStyle w:val="optioncarChar"/>
        </w:rPr>
        <w:t xml:space="preserve"> / s2 / s3</w:t>
      </w:r>
      <w:r>
        <w:t xml:space="preserve"> et </w:t>
      </w:r>
      <w:r>
        <w:rPr>
          <w:rStyle w:val="optioncarChar"/>
        </w:rPr>
        <w:t>d0</w:t>
      </w:r>
      <w:r>
        <w:t xml:space="preserve"> (par défaut)</w:t>
      </w:r>
      <w:r>
        <w:rPr>
          <w:rStyle w:val="optioncarChar"/>
        </w:rPr>
        <w:t xml:space="preserve"> / d1 / d2.</w:t>
      </w:r>
      <w:r>
        <w:t>  </w:t>
      </w:r>
    </w:p>
    <w:p w14:paraId="5E5C0BD5" w14:textId="77777777" w:rsidR="004B2808" w:rsidRDefault="00000000">
      <w:pPr>
        <w:jc w:val="both"/>
      </w:pPr>
      <w:r>
        <w:t xml:space="preserve">Les liants ne contiennent pas de formaldéhyde. Le dégagement mesuré selon la [NBN EN 717-1] est inférieur à </w:t>
      </w:r>
      <w:r>
        <w:rPr>
          <w:rStyle w:val="optioncarChar"/>
        </w:rPr>
        <w:t>0.124 mg/m³ </w:t>
      </w:r>
      <w:r>
        <w:t xml:space="preserve"> (par défaut)</w:t>
      </w:r>
      <w:r>
        <w:rPr>
          <w:rStyle w:val="optioncarChar"/>
        </w:rPr>
        <w:t xml:space="preserve"> / ***.  </w:t>
      </w:r>
    </w:p>
    <w:p w14:paraId="0C3ED0CF" w14:textId="77777777" w:rsidR="004B2808" w:rsidRDefault="00000000">
      <w:pPr>
        <w:jc w:val="both"/>
      </w:pPr>
      <w:r>
        <w:t xml:space="preserve">La concentration de pentachlorophénol mesurée selon la [CEN/TR 14823] est inférieure à </w:t>
      </w:r>
      <w:r>
        <w:rPr>
          <w:rStyle w:val="optioncarChar"/>
        </w:rPr>
        <w:t>5 PPM</w:t>
      </w:r>
      <w:r>
        <w:t xml:space="preserve"> (par défaut) </w:t>
      </w:r>
      <w:r>
        <w:rPr>
          <w:rStyle w:val="optioncarChar"/>
        </w:rPr>
        <w:t>/ ***</w:t>
      </w:r>
      <w:r>
        <w:t>.  </w:t>
      </w:r>
    </w:p>
    <w:p w14:paraId="60DD544A" w14:textId="77777777" w:rsidR="004B2808" w:rsidRDefault="00000000">
      <w:pPr>
        <w:jc w:val="both"/>
      </w:pPr>
      <w:r>
        <w:t xml:space="preserve">Les liants sont issus de </w:t>
      </w:r>
      <w:r>
        <w:rPr>
          <w:rStyle w:val="optioncarChar"/>
        </w:rPr>
        <w:t>matières premières organiques </w:t>
      </w:r>
      <w:r>
        <w:t xml:space="preserve">(par défaut) </w:t>
      </w:r>
      <w:r>
        <w:rPr>
          <w:rStyle w:val="optioncarChar"/>
        </w:rPr>
        <w:t>/ végétales / dérivés pétrochimiques / ***</w:t>
      </w:r>
      <w:r>
        <w:t>.</w:t>
      </w:r>
    </w:p>
    <w:p w14:paraId="25F7727A" w14:textId="77777777" w:rsidR="004B2808" w:rsidRDefault="00000000">
      <w:pPr>
        <w:pStyle w:val="pheading"/>
      </w:pPr>
      <w:r>
        <w:t>- Finitions</w:t>
      </w:r>
    </w:p>
    <w:p w14:paraId="20EF72C3" w14:textId="77777777" w:rsidR="004B2808" w:rsidRDefault="00000000">
      <w:r>
        <w:t>Teinte finale : </w:t>
      </w:r>
      <w:r>
        <w:rPr>
          <w:rStyle w:val="optioncarChar"/>
        </w:rPr>
        <w:t xml:space="preserve">non spécifiée </w:t>
      </w:r>
      <w:r>
        <w:t>(par défaut)</w:t>
      </w:r>
      <w:r>
        <w:rPr>
          <w:rStyle w:val="optioncarChar"/>
        </w:rPr>
        <w:t xml:space="preserve"> / blanc cassé / gris / ***</w:t>
      </w:r>
    </w:p>
    <w:p w14:paraId="1D125E69" w14:textId="77777777" w:rsidR="004B2808" w:rsidRDefault="00000000">
      <w:pPr>
        <w:pStyle w:val="pheading"/>
      </w:pPr>
      <w:r>
        <w:t>- Prescriptions complémentaires</w:t>
      </w:r>
    </w:p>
    <w:p w14:paraId="64BCA521" w14:textId="77777777" w:rsidR="004B2808" w:rsidRDefault="00000000">
      <w:pPr>
        <w:jc w:val="both"/>
      </w:pPr>
      <w:r>
        <w:rPr>
          <w:rStyle w:val="facultChar"/>
        </w:rPr>
        <w:t>Applications spécifiques: le matériau doit répondre aux critères d’acceptabilité des produits tels que définis au chapitre 02.42.1 Critères d'acceptabilité.</w:t>
      </w:r>
    </w:p>
    <w:p w14:paraId="3417CBAA" w14:textId="77777777" w:rsidR="004B2808" w:rsidRDefault="00000000">
      <w:pPr>
        <w:jc w:val="both"/>
      </w:pPr>
      <w:r>
        <w:rPr>
          <w:rStyle w:val="facultChar"/>
        </w:rPr>
        <w:t xml:space="preserve">Absorption d’eau à court terme (selon [NBN EN ISO 29767]): ≤ </w:t>
      </w:r>
      <w:r>
        <w:rPr>
          <w:rStyle w:val="optioncarChar"/>
        </w:rPr>
        <w:t>1kg/m²</w:t>
      </w:r>
      <w:r>
        <w:t xml:space="preserve"> (par défaut)</w:t>
      </w:r>
      <w:r>
        <w:rPr>
          <w:rStyle w:val="optioncarChar"/>
        </w:rPr>
        <w:t xml:space="preserve"> / ***  </w:t>
      </w:r>
    </w:p>
    <w:p w14:paraId="0FED0916" w14:textId="77777777" w:rsidR="004B2808" w:rsidRDefault="00000000">
      <w:pPr>
        <w:jc w:val="both"/>
      </w:pPr>
      <w:r>
        <w:rPr>
          <w:rStyle w:val="facultChar"/>
        </w:rPr>
        <w:t xml:space="preserve">Absorption d’eau à long terme (selon [NBN EN ISO 16535]): ≤ </w:t>
      </w:r>
      <w:r>
        <w:rPr>
          <w:rStyle w:val="optioncarChar"/>
        </w:rPr>
        <w:t xml:space="preserve">3kg/m² </w:t>
      </w:r>
      <w:r>
        <w:t>(par défaut)</w:t>
      </w:r>
      <w:r>
        <w:rPr>
          <w:rStyle w:val="optioncarChar"/>
        </w:rPr>
        <w:t xml:space="preserve"> / ***  </w:t>
      </w:r>
    </w:p>
    <w:p w14:paraId="138239AE" w14:textId="77777777" w:rsidR="004B2808" w:rsidRDefault="00000000">
      <w:pPr>
        <w:jc w:val="both"/>
      </w:pPr>
      <w:r>
        <w:rPr>
          <w:rStyle w:val="facultChar"/>
        </w:rPr>
        <w:t>Coefficient de résistance à la diffusion de vapeur d’eau – valeur μ (selon [NBN EN 12086]) : </w:t>
      </w:r>
      <w:r>
        <w:rPr>
          <w:rStyle w:val="optioncarChar"/>
        </w:rPr>
        <w:t xml:space="preserve">1 </w:t>
      </w:r>
      <w:r>
        <w:t xml:space="preserve">(par défaut) </w:t>
      </w:r>
      <w:r>
        <w:rPr>
          <w:rStyle w:val="optioncarChar"/>
        </w:rPr>
        <w:t>/ ***</w:t>
      </w:r>
    </w:p>
    <w:p w14:paraId="05EB93E4" w14:textId="77777777" w:rsidR="004B2808" w:rsidRDefault="00000000">
      <w:pPr>
        <w:jc w:val="both"/>
      </w:pPr>
      <w:r>
        <w:rPr>
          <w:rStyle w:val="facultChar"/>
        </w:rPr>
        <w:lastRenderedPageBreak/>
        <w:t>Absorption acoustique (déterminée selon [NBN EN ISO 354] et [NBN EN ISO 11654]) : </w:t>
      </w:r>
      <w:r>
        <w:rPr>
          <w:rStyle w:val="optioncarChar"/>
        </w:rPr>
        <w:t>*** </w:t>
      </w:r>
    </w:p>
    <w:p w14:paraId="399556D6" w14:textId="77777777" w:rsidR="004B2808" w:rsidRDefault="00000000">
      <w:pPr>
        <w:jc w:val="both"/>
      </w:pPr>
      <w:r>
        <w:rPr>
          <w:rStyle w:val="facultChar"/>
        </w:rPr>
        <w:t xml:space="preserve">La laine de verre produite contient au moins </w:t>
      </w:r>
      <w:r>
        <w:rPr>
          <w:rStyle w:val="optioncarChar"/>
        </w:rPr>
        <w:t>***</w:t>
      </w:r>
      <w:r>
        <w:rPr>
          <w:rStyle w:val="facultChar"/>
        </w:rPr>
        <w:t xml:space="preserve"> % de matière recyclée.</w:t>
      </w:r>
    </w:p>
    <w:p w14:paraId="313134BF" w14:textId="77777777" w:rsidR="004B2808" w:rsidRDefault="00000000">
      <w:pPr>
        <w:pStyle w:val="pheading"/>
      </w:pPr>
      <w:r>
        <w:t>EXÉCUTION / MISE EN ŒUVRE</w:t>
      </w:r>
    </w:p>
    <w:p w14:paraId="47C15788" w14:textId="77777777" w:rsidR="004B2808" w:rsidRDefault="00000000">
      <w:pPr>
        <w:pStyle w:val="pheading"/>
      </w:pPr>
      <w:r>
        <w:t>- Prescriptions générales</w:t>
      </w:r>
    </w:p>
    <w:p w14:paraId="5F47D592" w14:textId="77777777" w:rsidR="004B2808" w:rsidRDefault="00000000">
      <w:pPr>
        <w:jc w:val="both"/>
      </w:pPr>
      <w:r>
        <w:t>La projection est réalisée par machine permettant le broyage, le mélange avec le liant et la projection sous pression de la laine de verre.</w:t>
      </w:r>
    </w:p>
    <w:p w14:paraId="61D921B9" w14:textId="77777777" w:rsidR="004B2808" w:rsidRDefault="00000000">
      <w:pPr>
        <w:jc w:val="both"/>
      </w:pPr>
      <w:r>
        <w:t>La matière première est livrée sur chantier au plus près de la date d’application (maximum 3 jours). Elle est stockée à l'abri des intempéries et dans un local sec.</w:t>
      </w:r>
    </w:p>
    <w:p w14:paraId="61EF8E52" w14:textId="77777777" w:rsidR="004B2808" w:rsidRDefault="00000000">
      <w:pPr>
        <w:jc w:val="both"/>
      </w:pPr>
      <w:r>
        <w:t xml:space="preserve">La surface sur laquelle la laine de verre est projetée est nettoyée. Un primaire d’accrochage est appliqué </w:t>
      </w:r>
      <w:r>
        <w:rPr>
          <w:rStyle w:val="optioncarChar"/>
        </w:rPr>
        <w:t>sur l’entièreté de la surface</w:t>
      </w:r>
      <w:r>
        <w:t xml:space="preserve"> (par défaut) </w:t>
      </w:r>
      <w:r>
        <w:rPr>
          <w:rStyle w:val="optioncarChar"/>
        </w:rPr>
        <w:t>/ sur les zones dégradées / ***.</w:t>
      </w:r>
    </w:p>
    <w:p w14:paraId="3E33D102" w14:textId="77777777" w:rsidR="004B2808" w:rsidRDefault="00000000">
      <w:pPr>
        <w:jc w:val="both"/>
      </w:pPr>
      <w:r>
        <w:t xml:space="preserve">La laine de verre projetée est </w:t>
      </w:r>
      <w:r>
        <w:rPr>
          <w:rStyle w:val="optioncarChar"/>
        </w:rPr>
        <w:t xml:space="preserve">rectifiée </w:t>
      </w:r>
      <w:r>
        <w:t>(par défaut)</w:t>
      </w:r>
      <w:r>
        <w:rPr>
          <w:rStyle w:val="optioncarChar"/>
        </w:rPr>
        <w:t xml:space="preserve"> / talochée / laissée sans modification / ***</w:t>
      </w:r>
      <w:r>
        <w:t>. Les zones ne recevant pas d’isolant projeté sont protégées.</w:t>
      </w:r>
    </w:p>
    <w:p w14:paraId="64E5FECF" w14:textId="77777777" w:rsidR="004B2808" w:rsidRDefault="00000000">
      <w:pPr>
        <w:jc w:val="both"/>
      </w:pPr>
      <w:r>
        <w:t>L’isolant ne doit jamais être mis en contact direct avec les dispositifs d’éclairage encastrés.</w:t>
      </w:r>
    </w:p>
    <w:p w14:paraId="666D372B" w14:textId="77777777" w:rsidR="004B2808" w:rsidRDefault="00000000">
      <w:pPr>
        <w:jc w:val="both"/>
      </w:pPr>
      <w:r>
        <w:t>Les mesures de protection lors de la mise en œuvre de la laine de verre incluent de porter les équipements de protection individuelle EPI tels que des lunettes, un masque et des gants de protection. La préparation du chantier inclut également les séparations et l’isolement afin d’éviter la propagation des laines minérales dans les autres zones accessibles de la construction.</w:t>
      </w:r>
    </w:p>
    <w:p w14:paraId="06EA6303" w14:textId="77777777" w:rsidR="004B2808" w:rsidRDefault="00000000">
      <w:pPr>
        <w:pStyle w:val="pheading"/>
      </w:pPr>
      <w:r>
        <w:t>DOCUMENTS DE RÉFÉRENCE COMPLÉMENTAIRES</w:t>
      </w:r>
    </w:p>
    <w:p w14:paraId="68E51D44" w14:textId="77777777" w:rsidR="004B2808" w:rsidRDefault="00000000">
      <w:pPr>
        <w:pStyle w:val="pheading"/>
      </w:pPr>
      <w:r>
        <w:t>- Matériau</w:t>
      </w:r>
    </w:p>
    <w:p w14:paraId="38A095DE" w14:textId="77777777" w:rsidR="004B2808"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03A2292A" w14:textId="77777777" w:rsidR="004B2808"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7F11D69E" w14:textId="77777777" w:rsidR="004B2808" w:rsidRDefault="00000000">
      <w:r>
        <w:t>[NBN EN 1097-3, Essais pour déterminer les caractéristiques mécaniques et physiques des granulats - Partie 3: Méthode pour la détermination de la masse volumique en vrac et de la porosité intergranulaire]</w:t>
      </w:r>
    </w:p>
    <w:p w14:paraId="6A636B99" w14:textId="77777777" w:rsidR="004B2808" w:rsidRDefault="00000000">
      <w:r>
        <w:t>[NBN EN 933-5, Essais pour déterminer les caractéristiques géométriques des granulats - Partie 5 : Détermination du pourcentage de surfaces cassées dans les gravillons et graves naturelles]</w:t>
      </w:r>
    </w:p>
    <w:p w14:paraId="0323C4B2" w14:textId="77777777" w:rsidR="004B2808" w:rsidRDefault="00000000">
      <w:r>
        <w:t>[NBN EN 933-1, Essais pour déterminer les caractéristiques géométriques des granulats - Partie 1 : Détermination de la granularité - Analyse granulométrique par tamisage]</w:t>
      </w:r>
    </w:p>
    <w:p w14:paraId="0E3D9AA9" w14:textId="77777777" w:rsidR="004B2808" w:rsidRDefault="00000000">
      <w:r>
        <w:t>[NBN EN 1097-6, Essais pour déterminer les caractéristiques mécaniques et physiques des granulats - Partie 6 : Détermination de la masse volumique et du coefficient d'absorption d'eau]</w:t>
      </w:r>
    </w:p>
    <w:p w14:paraId="6C630F80" w14:textId="77777777" w:rsidR="004B2808" w:rsidRDefault="00000000">
      <w:r>
        <w:t>[NBN EN 1097-10, Essais pour déterminer les caractéristiques mécaniques et physiques des granulats - Partie 10: Hauteur de succion d'eau]</w:t>
      </w:r>
    </w:p>
    <w:p w14:paraId="2F5684A2" w14:textId="77777777" w:rsidR="004B2808" w:rsidRDefault="00000000">
      <w:r>
        <w:t>[NBN EN ISO 354, Acoustique - Mesurage de l'absorption acoustique en salle réverbérante (ISO 354:2003)]</w:t>
      </w:r>
    </w:p>
    <w:p w14:paraId="252AFA51" w14:textId="77777777" w:rsidR="004B2808" w:rsidRDefault="00000000">
      <w:r>
        <w:t>[NBN EN ISO 11654, Acoustique - Absorbants pour l'utilisation dans les bâtiments - Evaluation de l'absorption acoustique (ISO 11654:1997)]</w:t>
      </w:r>
    </w:p>
    <w:p w14:paraId="7CD1C97E" w14:textId="77777777" w:rsidR="004B2808" w:rsidRDefault="00000000">
      <w:r>
        <w:t>[NBN EN 13501-1, Classement au feu des produits et éléments de construction - Partie 1: Classement à partir des données d'essais de réaction au feu] </w:t>
      </w:r>
    </w:p>
    <w:p w14:paraId="172BDF56" w14:textId="77777777" w:rsidR="004B2808" w:rsidRDefault="00000000">
      <w:pPr>
        <w:pStyle w:val="pheading"/>
      </w:pPr>
      <w:r>
        <w:t>MESURAGE</w:t>
      </w:r>
    </w:p>
    <w:p w14:paraId="0923A3C3" w14:textId="77777777" w:rsidR="004B2808" w:rsidRDefault="00000000">
      <w:pPr>
        <w:pStyle w:val="pheading"/>
      </w:pPr>
      <w:r>
        <w:t>- unité de mesure:</w:t>
      </w:r>
    </w:p>
    <w:p w14:paraId="374E2830" w14:textId="77777777" w:rsidR="004B2808" w:rsidRDefault="00000000">
      <w:r>
        <w:rPr>
          <w:rStyle w:val="optioncarChar"/>
        </w:rPr>
        <w:t xml:space="preserve">m² </w:t>
      </w:r>
      <w:r>
        <w:t xml:space="preserve">(par défaut) </w:t>
      </w:r>
      <w:r>
        <w:rPr>
          <w:rStyle w:val="optioncarChar"/>
        </w:rPr>
        <w:t>/ m³</w:t>
      </w:r>
    </w:p>
    <w:p w14:paraId="4C6883B1" w14:textId="77777777" w:rsidR="004B2808" w:rsidRDefault="00000000">
      <w:r>
        <w:rPr>
          <w:b/>
          <w:i/>
        </w:rPr>
        <w:lastRenderedPageBreak/>
        <w:t>(Soit par défaut)</w:t>
      </w:r>
    </w:p>
    <w:p w14:paraId="6090F75D" w14:textId="77777777" w:rsidR="004B2808" w:rsidRDefault="00000000">
      <w:r>
        <w:rPr>
          <w:rStyle w:val="soitChar"/>
        </w:rPr>
        <w:t>1. m²</w:t>
      </w:r>
    </w:p>
    <w:p w14:paraId="346E915D" w14:textId="77777777" w:rsidR="004B2808" w:rsidRDefault="00000000">
      <w:r>
        <w:rPr>
          <w:b/>
          <w:i/>
        </w:rPr>
        <w:t>(Soit)</w:t>
      </w:r>
    </w:p>
    <w:p w14:paraId="10CB69D1" w14:textId="77777777" w:rsidR="004B2808" w:rsidRDefault="00000000">
      <w:r>
        <w:rPr>
          <w:rStyle w:val="soitChar"/>
        </w:rPr>
        <w:t>2.  m³</w:t>
      </w:r>
    </w:p>
    <w:p w14:paraId="66A71FE9" w14:textId="77777777" w:rsidR="004B2808" w:rsidRDefault="00000000">
      <w:pPr>
        <w:pStyle w:val="pheading"/>
      </w:pPr>
      <w:r>
        <w:t>- code de mesurage:</w:t>
      </w:r>
    </w:p>
    <w:p w14:paraId="34801532" w14:textId="77777777" w:rsidR="004B2808" w:rsidRDefault="00000000">
      <w:pPr>
        <w:jc w:val="both"/>
      </w:pPr>
      <w:r>
        <w:rPr>
          <w:rStyle w:val="optioncarChar"/>
        </w:rPr>
        <w:t>Surface nette</w:t>
      </w:r>
      <w:r>
        <w:t xml:space="preserve"> (par défaut)</w:t>
      </w:r>
      <w:r>
        <w:rPr>
          <w:rStyle w:val="optioncarChar"/>
        </w:rPr>
        <w:t xml:space="preserve"> / Volume net</w:t>
      </w:r>
    </w:p>
    <w:p w14:paraId="30B9FA0E" w14:textId="77777777" w:rsidR="004B2808" w:rsidRDefault="00000000">
      <w:pPr>
        <w:jc w:val="both"/>
      </w:pPr>
      <w:r>
        <w:rPr>
          <w:b/>
          <w:i/>
        </w:rPr>
        <w:t>(Soit par défaut)</w:t>
      </w:r>
    </w:p>
    <w:p w14:paraId="69BAAB39" w14:textId="77777777" w:rsidR="004B2808" w:rsidRDefault="00000000">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inférieures à 0.5 m² ne sont pas déduites. Distinction faite suivant l'épaisseur.</w:t>
      </w:r>
    </w:p>
    <w:p w14:paraId="39479621" w14:textId="77777777" w:rsidR="004B2808" w:rsidRDefault="00000000">
      <w:pPr>
        <w:jc w:val="both"/>
      </w:pPr>
      <w:r>
        <w:rPr>
          <w:b/>
          <w:i/>
        </w:rPr>
        <w:t>(Soit)</w:t>
      </w:r>
    </w:p>
    <w:p w14:paraId="0A574376" w14:textId="77777777" w:rsidR="004B2808" w:rsidRDefault="00000000">
      <w:pPr>
        <w:jc w:val="both"/>
      </w:pPr>
      <w:r>
        <w:rPr>
          <w:rStyle w:val="soitChar"/>
        </w:rPr>
        <w:t xml:space="preserve"> 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w:t>
      </w:r>
    </w:p>
    <w:p w14:paraId="50C3C6AE" w14:textId="77777777" w:rsidR="004B2808" w:rsidRDefault="00000000">
      <w:pPr>
        <w:pStyle w:val="pheading"/>
      </w:pPr>
      <w:r>
        <w:t>- nature du marché:</w:t>
      </w:r>
    </w:p>
    <w:p w14:paraId="01A9DFA0" w14:textId="77777777" w:rsidR="004B2808" w:rsidRDefault="00000000">
      <w:r>
        <w:t>QF</w:t>
      </w:r>
    </w:p>
    <w:p w14:paraId="6CF4AB81" w14:textId="77777777" w:rsidR="004B2808" w:rsidRDefault="00000000">
      <w:pPr>
        <w:pStyle w:val="Author-eSectionHeading5Numberless"/>
      </w:pPr>
      <w:bookmarkStart w:id="457" w:name="_Toc220490632"/>
      <w:r>
        <w:t>52.43.3 Isolation à projeter - matières végétales CCTB 01.02</w:t>
      </w:r>
      <w:bookmarkEnd w:id="457"/>
    </w:p>
    <w:p w14:paraId="01645E6B" w14:textId="77777777" w:rsidR="004B2808" w:rsidRDefault="00000000">
      <w:pPr>
        <w:pStyle w:val="Author-eSectionHeading6Numberless"/>
      </w:pPr>
      <w:bookmarkStart w:id="458" w:name="_Toc220490633"/>
      <w:r>
        <w:t>52.43.3a Isolation à projeter - ouate de cellulose CCTB 01.10</w:t>
      </w:r>
      <w:bookmarkEnd w:id="458"/>
    </w:p>
    <w:p w14:paraId="0286D2C4" w14:textId="77777777" w:rsidR="004B2808" w:rsidRDefault="00000000">
      <w:pPr>
        <w:pStyle w:val="pheading"/>
      </w:pPr>
      <w:r>
        <w:t>DESCRIPTION</w:t>
      </w:r>
    </w:p>
    <w:p w14:paraId="09505CE9" w14:textId="77777777" w:rsidR="004B2808" w:rsidRDefault="00000000">
      <w:pPr>
        <w:pStyle w:val="pheading"/>
      </w:pPr>
      <w:r>
        <w:t>- Définition / Comprend</w:t>
      </w:r>
    </w:p>
    <w:p w14:paraId="6B08FBFE" w14:textId="77777777" w:rsidR="004B2808" w:rsidRDefault="00000000">
      <w:r>
        <w:t>Il s’agit de la réalisation d’une isolation de type flocage d'ouate de cellulose, projetée en adhérence sur un support suivant prescriptions de l'article 32.43.3a Isolation à projeter - ouate de cellulose.</w:t>
      </w:r>
    </w:p>
    <w:p w14:paraId="52B82A51" w14:textId="77777777" w:rsidR="004B2808" w:rsidRDefault="00000000">
      <w:pPr>
        <w:pStyle w:val="pheading"/>
      </w:pPr>
      <w:r>
        <w:t>MATÉRIAUX</w:t>
      </w:r>
    </w:p>
    <w:p w14:paraId="7E3C4DA6" w14:textId="77777777" w:rsidR="004B2808" w:rsidRDefault="00000000">
      <w:pPr>
        <w:pStyle w:val="pheading"/>
      </w:pPr>
      <w:r>
        <w:t>- Caractéristiques générales</w:t>
      </w:r>
    </w:p>
    <w:p w14:paraId="6A7BCC8B" w14:textId="77777777" w:rsidR="004B2808" w:rsidRDefault="00000000">
      <w:r>
        <w:t>Voir 32.43.3a Isolation à projeter - ouate de cellulose</w:t>
      </w:r>
    </w:p>
    <w:p w14:paraId="2A62D86C" w14:textId="77777777" w:rsidR="004B2808" w:rsidRDefault="00000000">
      <w:r>
        <w:t xml:space="preserve">La ouate de cellulose provient de </w:t>
      </w:r>
      <w:r>
        <w:rPr>
          <w:rStyle w:val="optioncarChar"/>
        </w:rPr>
        <w:t>papier imprimés recyclé / chutes de papiers neufs non imprimés</w:t>
      </w:r>
      <w:r>
        <w:t>. </w:t>
      </w:r>
    </w:p>
    <w:p w14:paraId="2D157E9A" w14:textId="77777777" w:rsidR="004B2808" w:rsidRDefault="00000000">
      <w:r>
        <w:rPr>
          <w:u w:val="single"/>
        </w:rPr>
        <w:t>Spécifications</w:t>
      </w:r>
    </w:p>
    <w:p w14:paraId="2CA6ABD8" w14:textId="77777777" w:rsidR="004B2808" w:rsidRDefault="00000000">
      <w:pPr>
        <w:pStyle w:val="Author-eListParagraph"/>
        <w:numPr>
          <w:ilvl w:val="0"/>
          <w:numId w:val="445"/>
        </w:numPr>
      </w:pPr>
      <w:r>
        <w:t xml:space="preserve">Epaisseur : </w:t>
      </w:r>
      <w:r>
        <w:rPr>
          <w:rStyle w:val="optioncarChar"/>
        </w:rPr>
        <w:t xml:space="preserve">1 </w:t>
      </w:r>
      <w:r>
        <w:t>(par défaut) </w:t>
      </w:r>
      <w:r>
        <w:rPr>
          <w:rStyle w:val="optioncarChar"/>
        </w:rPr>
        <w:t>/ 2 / ***</w:t>
      </w:r>
      <w:r>
        <w:t xml:space="preserve"> cm Tolérance +/- </w:t>
      </w:r>
      <w:r>
        <w:rPr>
          <w:rStyle w:val="optioncarChar"/>
        </w:rPr>
        <w:t>10 / 20</w:t>
      </w:r>
      <w:r>
        <w:t xml:space="preserve"> %</w:t>
      </w:r>
    </w:p>
    <w:p w14:paraId="111B4567" w14:textId="77777777" w:rsidR="004B2808" w:rsidRDefault="00000000">
      <w:pPr>
        <w:pStyle w:val="Author-eListParagraph"/>
        <w:numPr>
          <w:ilvl w:val="0"/>
          <w:numId w:val="445"/>
        </w:numPr>
      </w:pPr>
      <w:r>
        <w:t xml:space="preserve">Masse volumique, en kg/m3 :  </w:t>
      </w:r>
      <w:r>
        <w:rPr>
          <w:rStyle w:val="optioncarChar"/>
        </w:rPr>
        <w:t xml:space="preserve">30 </w:t>
      </w:r>
      <w:r>
        <w:t xml:space="preserve">(par défaut) </w:t>
      </w:r>
      <w:r>
        <w:rPr>
          <w:rStyle w:val="optioncarChar"/>
        </w:rPr>
        <w:t xml:space="preserve">/ *** </w:t>
      </w:r>
      <w:r>
        <w:t xml:space="preserve">kg/m³ minimum - </w:t>
      </w:r>
      <w:r>
        <w:rPr>
          <w:rStyle w:val="optioncarChar"/>
        </w:rPr>
        <w:t xml:space="preserve">60 </w:t>
      </w:r>
      <w:r>
        <w:t>(par défaut)</w:t>
      </w:r>
      <w:r>
        <w:rPr>
          <w:rStyle w:val="optioncarChar"/>
        </w:rPr>
        <w:t xml:space="preserve"> / ***</w:t>
      </w:r>
      <w:r>
        <w:t xml:space="preserve"> kg/m³.</w:t>
      </w:r>
    </w:p>
    <w:p w14:paraId="5E424247" w14:textId="77777777" w:rsidR="004B2808" w:rsidRDefault="00000000">
      <w:pPr>
        <w:pStyle w:val="Author-eListParagraph"/>
        <w:numPr>
          <w:ilvl w:val="0"/>
          <w:numId w:val="445"/>
        </w:numPr>
      </w:pPr>
      <w:r>
        <w:t>Valeur lambda déclaré: maximum </w:t>
      </w:r>
      <w:r>
        <w:rPr>
          <w:rStyle w:val="optioncarChar"/>
        </w:rPr>
        <w:t xml:space="preserve">0,040 </w:t>
      </w:r>
      <w:r>
        <w:t xml:space="preserve">(par défaut) </w:t>
      </w:r>
      <w:r>
        <w:rPr>
          <w:rStyle w:val="optioncarChar"/>
        </w:rPr>
        <w:t>/ *** </w:t>
      </w:r>
      <w:r>
        <w:t>W/mK.</w:t>
      </w:r>
    </w:p>
    <w:p w14:paraId="2EF59109" w14:textId="77777777" w:rsidR="004B2808" w:rsidRDefault="00000000">
      <w:pPr>
        <w:pStyle w:val="Author-eListParagraph"/>
        <w:numPr>
          <w:ilvl w:val="0"/>
          <w:numId w:val="445"/>
        </w:numPr>
      </w:pPr>
      <w:r>
        <w:t xml:space="preserve">Réaction au feu : classe </w:t>
      </w:r>
      <w:r>
        <w:rPr>
          <w:rStyle w:val="optioncarChar"/>
        </w:rPr>
        <w:t>E </w:t>
      </w:r>
      <w:r>
        <w:t>(par défaut) </w:t>
      </w:r>
      <w:r>
        <w:rPr>
          <w:rStyle w:val="optioncarChar"/>
        </w:rPr>
        <w:t>/ ***</w:t>
      </w:r>
    </w:p>
    <w:p w14:paraId="1DC9C7AF" w14:textId="77777777" w:rsidR="004B2808" w:rsidRDefault="00000000">
      <w:pPr>
        <w:pStyle w:val="Author-eListParagraph"/>
        <w:numPr>
          <w:ilvl w:val="0"/>
          <w:numId w:val="445"/>
        </w:numPr>
      </w:pPr>
      <w:r>
        <w:t xml:space="preserve">Perméabilité à la vapeur d'eau µ : </w:t>
      </w:r>
      <w:r>
        <w:rPr>
          <w:rStyle w:val="optioncarChar"/>
        </w:rPr>
        <w:t>1</w:t>
      </w:r>
      <w:r>
        <w:t> (par défaut)</w:t>
      </w:r>
      <w:r>
        <w:rPr>
          <w:rStyle w:val="optioncarChar"/>
        </w:rPr>
        <w:t xml:space="preserve"> / *** / 2</w:t>
      </w:r>
      <w:r>
        <w:t>.</w:t>
      </w:r>
    </w:p>
    <w:p w14:paraId="60FE4E01" w14:textId="77777777" w:rsidR="004B2808" w:rsidRDefault="00000000">
      <w:pPr>
        <w:pStyle w:val="pheading"/>
      </w:pPr>
      <w:r>
        <w:t>EXÉCUTION / MISE EN ŒUVRE</w:t>
      </w:r>
    </w:p>
    <w:p w14:paraId="17035681" w14:textId="77777777" w:rsidR="004B2808" w:rsidRDefault="00000000">
      <w:pPr>
        <w:pStyle w:val="pheading"/>
      </w:pPr>
      <w:r>
        <w:t>- Prescriptions générales</w:t>
      </w:r>
    </w:p>
    <w:p w14:paraId="761A5A0B" w14:textId="77777777" w:rsidR="004B2808" w:rsidRDefault="00000000">
      <w:r>
        <w:t>Voir 32.43.3a Isolation à projeter - ouate de cellulose</w:t>
      </w:r>
    </w:p>
    <w:p w14:paraId="6BFD4743" w14:textId="77777777" w:rsidR="004B2808" w:rsidRDefault="00000000">
      <w:pPr>
        <w:pStyle w:val="pheading"/>
      </w:pPr>
      <w:r>
        <w:t>- Notes d’exécution complémentaires</w:t>
      </w:r>
    </w:p>
    <w:p w14:paraId="6EA3CB80" w14:textId="77777777" w:rsidR="004B2808" w:rsidRDefault="00000000">
      <w:r>
        <w:t>Voir 32.43.3a Isolation à projeter - ouate de cellulose</w:t>
      </w:r>
    </w:p>
    <w:p w14:paraId="1CC2D893" w14:textId="77777777" w:rsidR="004B2808" w:rsidRDefault="00000000">
      <w:r>
        <w:rPr>
          <w:rStyle w:val="facultChar"/>
        </w:rPr>
        <w:t>Réglé à épaisseur par raclage.</w:t>
      </w:r>
    </w:p>
    <w:p w14:paraId="79FB489B" w14:textId="77777777" w:rsidR="004B2808" w:rsidRDefault="00000000">
      <w:pPr>
        <w:pStyle w:val="pheading"/>
      </w:pPr>
      <w:r>
        <w:t>DOCUMENTS DE RÉFÉRENCE COMPLÉMENTAIRES</w:t>
      </w:r>
    </w:p>
    <w:p w14:paraId="381D4DE8" w14:textId="77777777" w:rsidR="004B2808" w:rsidRDefault="00000000">
      <w:pPr>
        <w:pStyle w:val="pheading"/>
      </w:pPr>
      <w:r>
        <w:t>- Matériau</w:t>
      </w:r>
    </w:p>
    <w:p w14:paraId="574290D3" w14:textId="77777777" w:rsidR="004B2808" w:rsidRDefault="00000000">
      <w:r>
        <w:lastRenderedPageBreak/>
        <w:t>32.43.3a Isolation à projeter - ouate de cellulose</w:t>
      </w:r>
    </w:p>
    <w:p w14:paraId="2FBADCCC" w14:textId="77777777" w:rsidR="004B2808" w:rsidRDefault="00000000">
      <w:pPr>
        <w:pStyle w:val="pheading"/>
      </w:pPr>
      <w:r>
        <w:t>- Exécution</w:t>
      </w:r>
    </w:p>
    <w:p w14:paraId="2EB55866" w14:textId="77777777" w:rsidR="004B2808" w:rsidRDefault="00000000">
      <w:r>
        <w:t>32.43.3a Isolation à projeter - ouate de cellulose</w:t>
      </w:r>
    </w:p>
    <w:p w14:paraId="7E0D162B" w14:textId="77777777" w:rsidR="004B2808" w:rsidRDefault="00000000">
      <w:pPr>
        <w:pStyle w:val="pheading"/>
      </w:pPr>
      <w:r>
        <w:t>MESURAGE</w:t>
      </w:r>
    </w:p>
    <w:p w14:paraId="57187D02" w14:textId="77777777" w:rsidR="004B2808" w:rsidRDefault="00000000">
      <w:pPr>
        <w:pStyle w:val="pheading"/>
      </w:pPr>
      <w:r>
        <w:t>- unité de mesure:</w:t>
      </w:r>
    </w:p>
    <w:p w14:paraId="6180ACA3" w14:textId="77777777" w:rsidR="004B2808" w:rsidRDefault="00000000">
      <w:r>
        <w:t>m²</w:t>
      </w:r>
    </w:p>
    <w:p w14:paraId="206BCD2C" w14:textId="77777777" w:rsidR="004B2808" w:rsidRDefault="00000000">
      <w:pPr>
        <w:pStyle w:val="pheading"/>
      </w:pPr>
      <w:r>
        <w:t>- code de mesurage:</w:t>
      </w:r>
    </w:p>
    <w:p w14:paraId="62AAD04C" w14:textId="77777777" w:rsidR="004B2808" w:rsidRDefault="00000000">
      <w:r>
        <w:t>Distinction faite suivant l'épaisseur.</w:t>
      </w:r>
    </w:p>
    <w:p w14:paraId="4E05E01B" w14:textId="77777777" w:rsidR="004B2808" w:rsidRDefault="00000000">
      <w:pPr>
        <w:pStyle w:val="Author-eListParagraph"/>
        <w:numPr>
          <w:ilvl w:val="0"/>
          <w:numId w:val="446"/>
        </w:numPr>
      </w:pPr>
      <w:r>
        <w:t>Isolation des parois verticales : Surface nette. Les ouvertures supérieures à 0,50 m² sont déduites</w:t>
      </w:r>
    </w:p>
    <w:p w14:paraId="5273463F" w14:textId="77777777" w:rsidR="004B2808" w:rsidRDefault="00000000">
      <w:pPr>
        <w:pStyle w:val="Author-eListParagraph"/>
        <w:numPr>
          <w:ilvl w:val="0"/>
          <w:numId w:val="446"/>
        </w:numPr>
      </w:pPr>
      <w:r>
        <w:t>Isolation des parois horizontales : Surface nette du sol, mesurée entre le nu des murs. Les ouvertures supérieures à 0,5 m² sont déduites. L'isolation périphérique ne doit pas être portée en compte séparément</w:t>
      </w:r>
    </w:p>
    <w:p w14:paraId="2B5AC1F2" w14:textId="77777777" w:rsidR="004B2808" w:rsidRDefault="00000000">
      <w:pPr>
        <w:pStyle w:val="pheading"/>
      </w:pPr>
      <w:r>
        <w:t>- nature du marché:</w:t>
      </w:r>
    </w:p>
    <w:p w14:paraId="53CF1956" w14:textId="77777777" w:rsidR="004B2808" w:rsidRDefault="00000000">
      <w:r>
        <w:t>QF</w:t>
      </w:r>
    </w:p>
    <w:p w14:paraId="4B0BC977" w14:textId="77777777" w:rsidR="004B2808" w:rsidRDefault="00000000">
      <w:pPr>
        <w:pStyle w:val="Author-eSectionHeading6Numberless"/>
      </w:pPr>
      <w:bookmarkStart w:id="459" w:name="_Toc220490634"/>
      <w:r>
        <w:t>52.43.3b Isolation à projeter - chanvre CCTB 01.12</w:t>
      </w:r>
      <w:bookmarkEnd w:id="459"/>
    </w:p>
    <w:p w14:paraId="1E3CB02D" w14:textId="77777777" w:rsidR="004B2808" w:rsidRDefault="00000000">
      <w:pPr>
        <w:pStyle w:val="pheading"/>
      </w:pPr>
      <w:r>
        <w:t>DESCRIPTION</w:t>
      </w:r>
    </w:p>
    <w:p w14:paraId="193F6EF0" w14:textId="77777777" w:rsidR="004B2808" w:rsidRDefault="00000000">
      <w:pPr>
        <w:pStyle w:val="pheading"/>
      </w:pPr>
      <w:r>
        <w:t>- Définition / Comprend</w:t>
      </w:r>
    </w:p>
    <w:p w14:paraId="318FB6B2" w14:textId="77777777" w:rsidR="004B2808" w:rsidRDefault="00000000">
      <w:pPr>
        <w:jc w:val="both"/>
      </w:pPr>
      <w:r>
        <w:t>Il s’agit de la fourniture et de la pose d’une isolation thermique au moyen de chanvre posé par projection pour une application intérieure.</w:t>
      </w:r>
    </w:p>
    <w:p w14:paraId="71608568" w14:textId="77777777" w:rsidR="004B2808" w:rsidRDefault="00000000">
      <w:pPr>
        <w:pStyle w:val="pheading"/>
      </w:pPr>
      <w:r>
        <w:t>- Localisation</w:t>
      </w:r>
    </w:p>
    <w:p w14:paraId="1EEAD035" w14:textId="77777777" w:rsidR="004B2808" w:rsidRDefault="00000000">
      <w:r>
        <w:t xml:space="preserve">Localisation des travaux : </w:t>
      </w:r>
      <w:r>
        <w:rPr>
          <w:rStyle w:val="optioncarChar"/>
        </w:rPr>
        <w:t>***</w:t>
      </w:r>
      <w:r>
        <w:t>.</w:t>
      </w:r>
    </w:p>
    <w:p w14:paraId="31424A9C" w14:textId="77777777" w:rsidR="004B2808" w:rsidRDefault="00000000">
      <w:r>
        <w:t>Voir plans et métrés détaillés.</w:t>
      </w:r>
    </w:p>
    <w:p w14:paraId="573515D7" w14:textId="77777777" w:rsidR="004B2808" w:rsidRDefault="00000000">
      <w:pPr>
        <w:pStyle w:val="pheading"/>
      </w:pPr>
      <w:r>
        <w:t>MATÉRIAUX</w:t>
      </w:r>
    </w:p>
    <w:p w14:paraId="2A93CAC6" w14:textId="77777777" w:rsidR="004B2808" w:rsidRDefault="00000000">
      <w:pPr>
        <w:pStyle w:val="pheading"/>
      </w:pPr>
      <w:r>
        <w:t>- Caractéristiques générales</w:t>
      </w:r>
    </w:p>
    <w:p w14:paraId="02D6D677" w14:textId="77777777" w:rsidR="004B2808" w:rsidRDefault="00000000">
      <w:pPr>
        <w:jc w:val="both"/>
      </w:pPr>
      <w:r>
        <w:t xml:space="preserve">Le produit est constitué de chanvre (chènevotte) et d’un liant </w:t>
      </w:r>
      <w:r>
        <w:rPr>
          <w:rStyle w:val="optioncarChar"/>
        </w:rPr>
        <w:t>à base de chaux adapté au béton de chanvre</w:t>
      </w:r>
      <w:r>
        <w:t xml:space="preserve"> (par défaut)</w:t>
      </w:r>
      <w:r>
        <w:rPr>
          <w:rStyle w:val="optioncarChar"/>
        </w:rPr>
        <w:t xml:space="preserve"> / ***.</w:t>
      </w:r>
    </w:p>
    <w:p w14:paraId="06EE401E" w14:textId="77777777" w:rsidR="004B2808" w:rsidRDefault="00000000">
      <w:pPr>
        <w:jc w:val="both"/>
      </w:pPr>
      <w:r>
        <w:t>Granulométrie de la chènevotte : longueur de</w:t>
      </w:r>
      <w:r>
        <w:rPr>
          <w:rStyle w:val="optioncarChar"/>
        </w:rPr>
        <w:t xml:space="preserve"> 5 / 10 / 20 / 30</w:t>
      </w:r>
      <w:r>
        <w:t xml:space="preserve"> (par défaut)</w:t>
      </w:r>
      <w:r>
        <w:rPr>
          <w:rStyle w:val="optioncarChar"/>
        </w:rPr>
        <w:t xml:space="preserve"> / ***</w:t>
      </w:r>
      <w:r>
        <w:t xml:space="preserve"> mm.</w:t>
      </w:r>
    </w:p>
    <w:p w14:paraId="7D1E6ACE" w14:textId="77777777" w:rsidR="004B2808" w:rsidRDefault="00000000">
      <w:pPr>
        <w:jc w:val="both"/>
      </w:pPr>
      <w:r>
        <w:t xml:space="preserve">Le liant est composé de </w:t>
      </w:r>
      <w:r>
        <w:rPr>
          <w:rStyle w:val="optioncarChar"/>
        </w:rPr>
        <w:t xml:space="preserve">mélange chaux aérienne pure 70% et chaux hydraulique naturelle 30% </w:t>
      </w:r>
      <w:r>
        <w:t>(par défaut)</w:t>
      </w:r>
      <w:r>
        <w:rPr>
          <w:rStyle w:val="optioncarChar"/>
        </w:rPr>
        <w:t xml:space="preserve"> / ***</w:t>
      </w:r>
      <w:r>
        <w:t>.  Des pouzzolanes peuvent être ajoutées dans le mélange.</w:t>
      </w:r>
    </w:p>
    <w:p w14:paraId="12F4629B" w14:textId="77777777" w:rsidR="004B2808" w:rsidRDefault="00000000">
      <w:pPr>
        <w:jc w:val="both"/>
      </w:pPr>
      <w:r>
        <w:t>Le mélange utilisé pour l’isolation est de min</w:t>
      </w:r>
      <w:r>
        <w:rPr>
          <w:rStyle w:val="optioncarChar"/>
        </w:rPr>
        <w:t xml:space="preserve"> 100 / 200 </w:t>
      </w:r>
      <w:r>
        <w:t>(par défaut)</w:t>
      </w:r>
      <w:r>
        <w:rPr>
          <w:rStyle w:val="optioncarChar"/>
        </w:rPr>
        <w:t xml:space="preserve"> / 300 / 350 / *** kg</w:t>
      </w:r>
      <w:r>
        <w:t xml:space="preserve"> de liant par m³.</w:t>
      </w:r>
    </w:p>
    <w:p w14:paraId="44778FBA" w14:textId="77777777" w:rsidR="004B2808" w:rsidRDefault="00000000">
      <w:pPr>
        <w:jc w:val="both"/>
      </w:pPr>
      <w:r>
        <w:t xml:space="preserve">Masse volumique nominale après mise en œuvre mesurée conformément à la [NBN EN 992] : minimum </w:t>
      </w:r>
      <w:r>
        <w:rPr>
          <w:rStyle w:val="optioncarChar"/>
        </w:rPr>
        <w:t>270</w:t>
      </w:r>
      <w:r>
        <w:t xml:space="preserve"> (par défaut)</w:t>
      </w:r>
      <w:r>
        <w:rPr>
          <w:rStyle w:val="optioncarChar"/>
        </w:rPr>
        <w:t xml:space="preserve"> / ***</w:t>
      </w:r>
      <w:r>
        <w:t xml:space="preserve"> kg/m³ sec.</w:t>
      </w:r>
    </w:p>
    <w:p w14:paraId="39D1ADFC" w14:textId="77777777" w:rsidR="004B2808" w:rsidRDefault="00000000">
      <w:pPr>
        <w:jc w:val="both"/>
      </w:pPr>
      <w:r>
        <w:t xml:space="preserve">Conductivité thermique déclarée (selon [NBN EN 12667]) : inférieure à </w:t>
      </w:r>
      <w:r>
        <w:rPr>
          <w:rStyle w:val="optioncarChar"/>
        </w:rPr>
        <w:t>0,08</w:t>
      </w:r>
      <w:r>
        <w:t xml:space="preserve"> (par défaut)</w:t>
      </w:r>
      <w:r>
        <w:rPr>
          <w:rStyle w:val="optioncarChar"/>
        </w:rPr>
        <w:t xml:space="preserve"> / 0,065 / ***</w:t>
      </w:r>
      <w:r>
        <w:t xml:space="preserve"> W/mK.</w:t>
      </w:r>
    </w:p>
    <w:p w14:paraId="3C0C671A" w14:textId="77777777" w:rsidR="004B2808" w:rsidRDefault="00000000">
      <w:pPr>
        <w:jc w:val="both"/>
      </w:pPr>
      <w:r>
        <w:t>Épaisseur après mise en œuvre:</w:t>
      </w:r>
      <w:r>
        <w:rPr>
          <w:rStyle w:val="optioncarChar"/>
        </w:rPr>
        <w:t xml:space="preserve"> ***</w:t>
      </w:r>
      <w:r>
        <w:t xml:space="preserve"> cm.</w:t>
      </w:r>
    </w:p>
    <w:p w14:paraId="42DC2005" w14:textId="77777777" w:rsidR="004B2808" w:rsidRDefault="00000000">
      <w:pPr>
        <w:pStyle w:val="pheading"/>
      </w:pPr>
      <w:r>
        <w:t>- Prescriptions complémentaires</w:t>
      </w:r>
    </w:p>
    <w:p w14:paraId="11C535EA" w14:textId="77777777" w:rsidR="004B2808" w:rsidRDefault="00000000">
      <w:pPr>
        <w:jc w:val="both"/>
      </w:pPr>
      <w:r>
        <w:rPr>
          <w:rStyle w:val="facultChar"/>
        </w:rPr>
        <w:t>Résistance à la compression : supérieure ou égale à</w:t>
      </w:r>
      <w:r>
        <w:rPr>
          <w:rStyle w:val="optioncarChar"/>
        </w:rPr>
        <w:t xml:space="preserve"> 0.7 </w:t>
      </w:r>
      <w:r>
        <w:t>(par défaut)</w:t>
      </w:r>
      <w:r>
        <w:rPr>
          <w:rStyle w:val="optioncarChar"/>
        </w:rPr>
        <w:t xml:space="preserve"> / 1</w:t>
      </w:r>
      <w:r>
        <w:t> </w:t>
      </w:r>
      <w:r>
        <w:rPr>
          <w:rStyle w:val="facultChar"/>
        </w:rPr>
        <w:t>MPa</w:t>
      </w:r>
    </w:p>
    <w:p w14:paraId="55B1FA2B" w14:textId="77777777" w:rsidR="004B2808" w:rsidRDefault="00000000">
      <w:pPr>
        <w:jc w:val="both"/>
      </w:pPr>
      <w:r>
        <w:rPr>
          <w:rStyle w:val="facultChar"/>
        </w:rPr>
        <w:t>Coefficient de résistance à la diffusion de vapeur d’eau – valeur μ (selon [NBN EN 12086]) : inférieure à</w:t>
      </w:r>
      <w:r>
        <w:rPr>
          <w:rStyle w:val="optioncarChar"/>
        </w:rPr>
        <w:t xml:space="preserve"> 2 </w:t>
      </w:r>
      <w:r>
        <w:t>(par défaut)</w:t>
      </w:r>
      <w:r>
        <w:rPr>
          <w:rStyle w:val="optioncarChar"/>
        </w:rPr>
        <w:t xml:space="preserve"> / ***</w:t>
      </w:r>
    </w:p>
    <w:p w14:paraId="27D72B40" w14:textId="77777777" w:rsidR="004B2808" w:rsidRDefault="00000000">
      <w:pPr>
        <w:jc w:val="both"/>
      </w:pPr>
      <w:r>
        <w:rPr>
          <w:rStyle w:val="facultChar"/>
        </w:rPr>
        <w:t xml:space="preserve">Capacité thermique : </w:t>
      </w:r>
      <w:r>
        <w:rPr>
          <w:rStyle w:val="optioncarChar"/>
        </w:rPr>
        <w:t>supérieure à 2</w:t>
      </w:r>
      <w:r>
        <w:t xml:space="preserve"> (par défaut) </w:t>
      </w:r>
      <w:r>
        <w:rPr>
          <w:rStyle w:val="optioncarChar"/>
        </w:rPr>
        <w:t>/ ***</w:t>
      </w:r>
      <w:r>
        <w:rPr>
          <w:rStyle w:val="facultChar"/>
        </w:rPr>
        <w:t xml:space="preserve"> kJ/kg.K</w:t>
      </w:r>
    </w:p>
    <w:p w14:paraId="04A2F1BF" w14:textId="77777777" w:rsidR="004B2808" w:rsidRDefault="00000000">
      <w:pPr>
        <w:jc w:val="both"/>
      </w:pPr>
      <w:r>
        <w:rPr>
          <w:rStyle w:val="facultChar"/>
        </w:rPr>
        <w:lastRenderedPageBreak/>
        <w:t xml:space="preserve">Classement de la réaction au feu (selon [NBN EN 13501-1]) : </w:t>
      </w:r>
      <w:r>
        <w:rPr>
          <w:rStyle w:val="optioncarChar"/>
        </w:rPr>
        <w:t>B-s1; d0</w:t>
      </w:r>
      <w:r>
        <w:t xml:space="preserve"> (par défaut)</w:t>
      </w:r>
      <w:r>
        <w:rPr>
          <w:rStyle w:val="optioncarChar"/>
        </w:rPr>
        <w:t xml:space="preserve"> / ***</w:t>
      </w:r>
    </w:p>
    <w:p w14:paraId="7A20E867" w14:textId="77777777" w:rsidR="004B2808" w:rsidRDefault="004B2808">
      <w:pPr>
        <w:jc w:val="both"/>
      </w:pPr>
    </w:p>
    <w:p w14:paraId="5B80A436" w14:textId="77777777" w:rsidR="004B2808" w:rsidRDefault="00000000">
      <w:pPr>
        <w:jc w:val="both"/>
      </w:pPr>
      <w:r>
        <w:rPr>
          <w:rStyle w:val="facultChar"/>
        </w:rPr>
        <w:t>Le matériau doit répondre aux critères d’acceptabilité des produits tels que définis dans le chapitre 02.42.1 Critères d'acceptabilité.</w:t>
      </w:r>
    </w:p>
    <w:p w14:paraId="7128A1ED" w14:textId="77777777" w:rsidR="004B2808" w:rsidRDefault="00000000">
      <w:pPr>
        <w:jc w:val="both"/>
      </w:pPr>
      <w:r>
        <w:rPr>
          <w:rStyle w:val="facultChar"/>
        </w:rPr>
        <w:t>Conformément au chapitre 02.42.4 Bois provenant de forêts gérées durablement, le chanvre utilisé dispose de documents prouvant qu’il provient de cultures gérées durablement.</w:t>
      </w:r>
    </w:p>
    <w:p w14:paraId="3ED8FA08" w14:textId="77777777" w:rsidR="004B2808" w:rsidRDefault="00000000">
      <w:pPr>
        <w:jc w:val="both"/>
      </w:pPr>
      <w:r>
        <w:rPr>
          <w:rStyle w:val="facultChar"/>
        </w:rPr>
        <w:t>L’isolant mis en œuvre est apte à recevoir une finition de type enduite directement appliquée sur l’isolant (enduit comptabilisé dans un article séparé).</w:t>
      </w:r>
    </w:p>
    <w:p w14:paraId="24FCE557" w14:textId="77777777" w:rsidR="004B2808" w:rsidRDefault="00000000">
      <w:pPr>
        <w:pStyle w:val="pheading"/>
      </w:pPr>
      <w:r>
        <w:t>EXÉCUTION / MISE EN ŒUVRE</w:t>
      </w:r>
    </w:p>
    <w:p w14:paraId="14F70BAE" w14:textId="77777777" w:rsidR="004B2808" w:rsidRDefault="00000000">
      <w:pPr>
        <w:pStyle w:val="pheading"/>
      </w:pPr>
      <w:r>
        <w:t>- Prescriptions générales</w:t>
      </w:r>
    </w:p>
    <w:p w14:paraId="6487DA37" w14:textId="77777777" w:rsidR="004B2808" w:rsidRDefault="00000000">
      <w:pPr>
        <w:jc w:val="both"/>
      </w:pPr>
      <w:r>
        <w:t>La matière première est livrée sur chantier au plus près de la date d’application. Elle est stockée à l'abri des intempéries et dans un local sec.</w:t>
      </w:r>
    </w:p>
    <w:p w14:paraId="4ACB5F2C" w14:textId="77777777" w:rsidR="004B2808" w:rsidRDefault="00000000">
      <w:pPr>
        <w:jc w:val="both"/>
      </w:pPr>
      <w:r>
        <w:t>La température ambiante lors de la pose est supérieure à 5°C.</w:t>
      </w:r>
    </w:p>
    <w:p w14:paraId="770F0A1A" w14:textId="77777777" w:rsidR="004B2808" w:rsidRDefault="00000000">
      <w:pPr>
        <w:jc w:val="both"/>
      </w:pPr>
      <w:r>
        <w:t xml:space="preserve">Le mélange est projeté </w:t>
      </w:r>
      <w:r>
        <w:rPr>
          <w:rStyle w:val="optioncarChar"/>
        </w:rPr>
        <w:t>en remplissage</w:t>
      </w:r>
      <w:r>
        <w:t xml:space="preserve"> (par défaut) </w:t>
      </w:r>
      <w:r>
        <w:rPr>
          <w:rStyle w:val="optioncarChar"/>
        </w:rPr>
        <w:t>/ en application sur parois</w:t>
      </w:r>
      <w:r>
        <w:t>.</w:t>
      </w:r>
    </w:p>
    <w:p w14:paraId="17036F99" w14:textId="77777777" w:rsidR="004B2808" w:rsidRDefault="00000000">
      <w:pPr>
        <w:ind w:left="567"/>
        <w:jc w:val="both"/>
      </w:pPr>
      <w:r>
        <w:rPr>
          <w:b/>
          <w:i/>
        </w:rPr>
        <w:t>(Soit par défaut) </w:t>
      </w:r>
    </w:p>
    <w:p w14:paraId="79DD06A3" w14:textId="77777777" w:rsidR="004B2808" w:rsidRDefault="00000000">
      <w:pPr>
        <w:ind w:left="567"/>
        <w:jc w:val="both"/>
      </w:pPr>
      <w:r>
        <w:rPr>
          <w:rStyle w:val="soitChar"/>
          <w:b/>
          <w:u w:val="single"/>
        </w:rPr>
        <w:t>En remplissage</w:t>
      </w:r>
    </w:p>
    <w:p w14:paraId="2F54950D" w14:textId="77777777" w:rsidR="004B2808" w:rsidRDefault="00000000">
      <w:pPr>
        <w:ind w:left="567"/>
        <w:jc w:val="both"/>
      </w:pPr>
      <w:r>
        <w:rPr>
          <w:rStyle w:val="soitChar"/>
        </w:rPr>
        <w:t xml:space="preserve"> Le remplissage est effectué sur les caissons. Si le support de projection ne peut reprendre la projection, un support de projection est fixé </w:t>
      </w:r>
      <w:r>
        <w:rPr>
          <w:rStyle w:val="optioncarChar"/>
        </w:rPr>
        <w:t xml:space="preserve">min 10 fixations par m² </w:t>
      </w:r>
      <w:r>
        <w:t xml:space="preserve">(par défaut) </w:t>
      </w:r>
      <w:r>
        <w:rPr>
          <w:rStyle w:val="optioncarChar"/>
        </w:rPr>
        <w:t>/ ***</w:t>
      </w:r>
      <w:r>
        <w:rPr>
          <w:rStyle w:val="soitChar"/>
        </w:rPr>
        <w:t xml:space="preserve">. Le support est composé </w:t>
      </w:r>
      <w:r>
        <w:rPr>
          <w:rStyle w:val="optioncarChar"/>
        </w:rPr>
        <w:t xml:space="preserve">d’une membrane tendue de fibre naturelle tressée (type natte de bambou fendu / chanvre) </w:t>
      </w:r>
      <w:r>
        <w:t>(par défaut)</w:t>
      </w:r>
      <w:r>
        <w:rPr>
          <w:rStyle w:val="optioncarChar"/>
        </w:rPr>
        <w:t xml:space="preserve"> / d'un treillis métallique de maille inférieure à 20 mm / d’un panneau de fibre / ***. </w:t>
      </w:r>
    </w:p>
    <w:p w14:paraId="5AE6D4AF" w14:textId="77777777" w:rsidR="004B2808" w:rsidRDefault="00000000">
      <w:pPr>
        <w:ind w:left="567"/>
        <w:jc w:val="both"/>
      </w:pPr>
      <w:r>
        <w:rPr>
          <w:rStyle w:val="soitChar"/>
        </w:rPr>
        <w:t>Le chanvre et la chaux sont mélangés à sec avant la projection, pour un bon enrobage de chaux autour des particules de chanvre.</w:t>
      </w:r>
    </w:p>
    <w:p w14:paraId="647A29EB" w14:textId="77777777" w:rsidR="004B2808" w:rsidRDefault="00000000">
      <w:pPr>
        <w:ind w:left="567"/>
        <w:jc w:val="both"/>
      </w:pPr>
      <w:r>
        <w:rPr>
          <w:b/>
          <w:i/>
        </w:rPr>
        <w:t>(Soit) </w:t>
      </w:r>
    </w:p>
    <w:p w14:paraId="3DA70F3D" w14:textId="77777777" w:rsidR="004B2808" w:rsidRDefault="00000000">
      <w:pPr>
        <w:ind w:left="567"/>
        <w:jc w:val="both"/>
      </w:pPr>
      <w:r>
        <w:rPr>
          <w:rStyle w:val="soitChar"/>
          <w:b/>
          <w:u w:val="single"/>
        </w:rPr>
        <w:t>En application sur parois</w:t>
      </w:r>
    </w:p>
    <w:p w14:paraId="4D005C18" w14:textId="77777777" w:rsidR="004B2808" w:rsidRDefault="00000000">
      <w:pPr>
        <w:ind w:left="567"/>
        <w:jc w:val="both"/>
      </w:pPr>
      <w:r>
        <w:rPr>
          <w:rStyle w:val="soitChar"/>
        </w:rPr>
        <w:t xml:space="preserve"> Avant projection, le support est nettoyé, débarrassé des vieux enduits.</w:t>
      </w:r>
    </w:p>
    <w:p w14:paraId="21D9E2C2" w14:textId="77777777" w:rsidR="004B2808" w:rsidRDefault="00000000">
      <w:pPr>
        <w:ind w:left="567"/>
        <w:jc w:val="both"/>
      </w:pPr>
      <w:r>
        <w:rPr>
          <w:rStyle w:val="soitChar"/>
        </w:rPr>
        <w:t xml:space="preserve"> Le support est humidifié : </w:t>
      </w:r>
      <w:r>
        <w:rPr>
          <w:rStyle w:val="optioncarChar"/>
        </w:rPr>
        <w:t xml:space="preserve">non </w:t>
      </w:r>
      <w:r>
        <w:t>(par défaut)</w:t>
      </w:r>
      <w:r>
        <w:rPr>
          <w:rStyle w:val="optioncarChar"/>
        </w:rPr>
        <w:t xml:space="preserve"> / oui.</w:t>
      </w:r>
    </w:p>
    <w:p w14:paraId="3EDCDE61" w14:textId="77777777" w:rsidR="004B2808" w:rsidRDefault="00000000">
      <w:pPr>
        <w:ind w:left="567"/>
        <w:jc w:val="both"/>
      </w:pPr>
      <w:r>
        <w:rPr>
          <w:rStyle w:val="soitChar"/>
        </w:rPr>
        <w:t xml:space="preserve"> Le support est </w:t>
      </w:r>
      <w:r>
        <w:rPr>
          <w:rStyle w:val="optioncarChar"/>
        </w:rPr>
        <w:t xml:space="preserve">simplement nettoyé </w:t>
      </w:r>
      <w:r>
        <w:t>(par défaut)</w:t>
      </w:r>
      <w:r>
        <w:rPr>
          <w:rStyle w:val="optioncarChar"/>
        </w:rPr>
        <w:t>  / muni d’un accrochage (gobetis) composé d’un mélange 7-10 chaux hydraulique et de sable (0-5mm) / ***.</w:t>
      </w:r>
    </w:p>
    <w:p w14:paraId="3A4C0807" w14:textId="77777777" w:rsidR="004B2808" w:rsidRDefault="00000000">
      <w:pPr>
        <w:ind w:left="567"/>
        <w:jc w:val="both"/>
      </w:pPr>
      <w:r>
        <w:rPr>
          <w:rStyle w:val="soitChar"/>
        </w:rPr>
        <w:t>Le chanvre et la chaux sont mélangés à sec avant la projection, pour un bon enrobage de chaux autour des particules de chanvre.</w:t>
      </w:r>
    </w:p>
    <w:p w14:paraId="11DCD7C0" w14:textId="77777777" w:rsidR="004B2808" w:rsidRDefault="00000000">
      <w:pPr>
        <w:jc w:val="both"/>
      </w:pPr>
      <w:r>
        <w:t xml:space="preserve">La projection de chanvre est réalisée </w:t>
      </w:r>
      <w:r>
        <w:rPr>
          <w:rStyle w:val="optioncarChar"/>
        </w:rPr>
        <w:t>en une couche</w:t>
      </w:r>
      <w:r>
        <w:t xml:space="preserve"> (par défaut)</w:t>
      </w:r>
      <w:r>
        <w:rPr>
          <w:rStyle w:val="optioncarChar"/>
        </w:rPr>
        <w:t xml:space="preserve"> / par couche de 10 / ***</w:t>
      </w:r>
      <w:r>
        <w:t xml:space="preserve"> cm. La couche est rectifiée à l’aide d’une latte de plafonnage.</w:t>
      </w:r>
    </w:p>
    <w:p w14:paraId="604DA71B" w14:textId="77777777" w:rsidR="004B2808" w:rsidRDefault="00000000">
      <w:pPr>
        <w:jc w:val="both"/>
      </w:pPr>
      <w:r>
        <w:t>Les parties visibles sont rectifiées et talochées.</w:t>
      </w:r>
    </w:p>
    <w:p w14:paraId="1E10A628" w14:textId="77777777" w:rsidR="004B2808" w:rsidRDefault="00000000">
      <w:pPr>
        <w:jc w:val="both"/>
      </w:pPr>
      <w:r>
        <w:t>La mise en œuvre de l’isolation est conforme à la [NIT 233] pour les cloisons et parois de séparation et à la [NIT 232] pour les plafonds.</w:t>
      </w:r>
    </w:p>
    <w:p w14:paraId="7FC2FCDB" w14:textId="77777777" w:rsidR="004B2808" w:rsidRDefault="00000000">
      <w:pPr>
        <w:jc w:val="both"/>
      </w:pPr>
      <w:r>
        <w:t>L’élément caisson destiné à être rempli est réalisé sous forme de module fermé.</w:t>
      </w:r>
    </w:p>
    <w:p w14:paraId="766B63D4" w14:textId="77777777" w:rsidR="004B2808" w:rsidRDefault="00000000">
      <w:pPr>
        <w:jc w:val="both"/>
      </w:pPr>
      <w:r>
        <w:t>Il y a lieu de ne pas mettre le matériau en contact avec des conduits de fumée. Il convient de respecter la distance de sécurité minimale prévue dans les normes [NBN EN 15287-1] et [NBN EN 15287-2].</w:t>
      </w:r>
    </w:p>
    <w:p w14:paraId="10E1A90A" w14:textId="77777777" w:rsidR="004B2808" w:rsidRDefault="00000000">
      <w:pPr>
        <w:jc w:val="both"/>
      </w:pPr>
      <w:r>
        <w:t>L’applicateur doit s’assurer que les canalisations électriques posées dans les vides de construction sont placées sous conduit non propagateur de la flamme.</w:t>
      </w:r>
    </w:p>
    <w:p w14:paraId="3C1EA333" w14:textId="77777777" w:rsidR="004B2808" w:rsidRDefault="00000000">
      <w:pPr>
        <w:jc w:val="both"/>
      </w:pPr>
      <w:r>
        <w:t>L’isolant ne doit jamais être mis en contact direct avec les dispositifs d’éclairage encastrés.</w:t>
      </w:r>
    </w:p>
    <w:p w14:paraId="7E67A8B3" w14:textId="77777777" w:rsidR="004B2808" w:rsidRDefault="00000000">
      <w:pPr>
        <w:jc w:val="both"/>
      </w:pPr>
      <w:r>
        <w:lastRenderedPageBreak/>
        <w:t>Ce matériau ne peut être mis en œuvre au-dessus de locaux à forte hygrométrie (classe de climat intérieur 4 voire 3).</w:t>
      </w:r>
    </w:p>
    <w:p w14:paraId="69BFDEAD" w14:textId="77777777" w:rsidR="004B2808" w:rsidRDefault="00000000">
      <w:pPr>
        <w:pStyle w:val="pheading"/>
      </w:pPr>
      <w:r>
        <w:t>DOCUMENTS DE RÉFÉRENCE COMPLÉMENTAIRES</w:t>
      </w:r>
    </w:p>
    <w:p w14:paraId="00CE723C" w14:textId="77777777" w:rsidR="004B2808" w:rsidRDefault="00000000">
      <w:pPr>
        <w:pStyle w:val="pheading"/>
      </w:pPr>
      <w:r>
        <w:t>- Matériau</w:t>
      </w:r>
    </w:p>
    <w:p w14:paraId="0B01240B" w14:textId="77777777" w:rsidR="004B2808" w:rsidRDefault="00000000">
      <w:r>
        <w:t>[NBN EN 992, Détermination de la masse volumique sèche d'un béton de granulats légers à structure ouverte]</w:t>
      </w:r>
    </w:p>
    <w:p w14:paraId="45D06EF9" w14:textId="77777777" w:rsidR="004B2808"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683E158B" w14:textId="77777777" w:rsidR="004B2808" w:rsidRDefault="00000000">
      <w:r>
        <w:t>[NBN EN 12086, Produits isolants thermiques destinés aux applications du bâtiment - Détermination des propriétés de transmission de la vapeur d'eau]</w:t>
      </w:r>
    </w:p>
    <w:p w14:paraId="30CD57CE" w14:textId="77777777" w:rsidR="004B2808" w:rsidRDefault="00000000">
      <w:r>
        <w:t>[NBN EN ISO 846, Plastiques - Évaluation de l'action des micro-organismes (ISO 846:2019)]</w:t>
      </w:r>
    </w:p>
    <w:p w14:paraId="50AE394D" w14:textId="77777777" w:rsidR="004B2808" w:rsidRDefault="00000000">
      <w:r>
        <w:t>[NBN EN 13501-1, Classement au feu des produits et éléments de construction - Partie 1: Classement à partir des données d'essais de réaction au feu]</w:t>
      </w:r>
    </w:p>
    <w:p w14:paraId="46D9130B" w14:textId="77777777" w:rsidR="004B2808" w:rsidRDefault="00000000">
      <w:pPr>
        <w:pStyle w:val="pheading"/>
      </w:pPr>
      <w:r>
        <w:t>- Exécution</w:t>
      </w:r>
    </w:p>
    <w:p w14:paraId="10BC5F32" w14:textId="77777777" w:rsidR="004B2808" w:rsidRDefault="00000000">
      <w:r>
        <w:t>[NIT 233, Les cloisons légères.]</w:t>
      </w:r>
    </w:p>
    <w:p w14:paraId="259CBE9B" w14:textId="77777777" w:rsidR="004B2808" w:rsidRDefault="00000000">
      <w:r>
        <w:t>[NIT 232, Les plafonds suspendus.]</w:t>
      </w:r>
    </w:p>
    <w:p w14:paraId="0949180E" w14:textId="77777777" w:rsidR="004B2808" w:rsidRDefault="00000000">
      <w:r>
        <w:t>[NBN EN 13501-1, Classement au feu des produits et éléments de construction - Partie 1: Classement à partir des données d'essais de réaction au feu]</w:t>
      </w:r>
    </w:p>
    <w:p w14:paraId="542C7919" w14:textId="77777777" w:rsidR="004B2808" w:rsidRDefault="00000000">
      <w:r>
        <w:t>[NBN EN 15287-1, Conduits de fumée - Conception, installation et mise en service - Partie 1: Conduits de fumée et conduits de raccordement pour appareils de combustion qui prélèvent l’air comburant dans la pièce]</w:t>
      </w:r>
    </w:p>
    <w:p w14:paraId="492E8DC5" w14:textId="77777777" w:rsidR="004B2808" w:rsidRDefault="00000000">
      <w:r>
        <w:t>[NBN EN 15287-2, Conduits de fumée - Conception, installation et mise en service - Partie 2 : Conduits de fumée et conduits de raccordement pour appareils de combustion à circuit étanche]</w:t>
      </w:r>
    </w:p>
    <w:p w14:paraId="1A01A8AB" w14:textId="77777777" w:rsidR="004B2808" w:rsidRDefault="00000000">
      <w:pPr>
        <w:pStyle w:val="pheading"/>
      </w:pPr>
      <w:r>
        <w:t>MESURAGE</w:t>
      </w:r>
    </w:p>
    <w:p w14:paraId="4CB06364" w14:textId="77777777" w:rsidR="004B2808" w:rsidRDefault="00000000">
      <w:pPr>
        <w:pStyle w:val="pheading"/>
      </w:pPr>
      <w:r>
        <w:t>- unité de mesure:</w:t>
      </w:r>
    </w:p>
    <w:p w14:paraId="25E1C0CE" w14:textId="77777777" w:rsidR="004B2808" w:rsidRDefault="00000000">
      <w:r>
        <w:rPr>
          <w:rStyle w:val="optioncarChar"/>
        </w:rPr>
        <w:t xml:space="preserve">m² </w:t>
      </w:r>
      <w:r>
        <w:t>(par défaut)</w:t>
      </w:r>
      <w:r>
        <w:rPr>
          <w:rStyle w:val="optioncarChar"/>
        </w:rPr>
        <w:t xml:space="preserve"> / m³</w:t>
      </w:r>
    </w:p>
    <w:p w14:paraId="60AE71A1" w14:textId="77777777" w:rsidR="004B2808" w:rsidRDefault="00000000">
      <w:r>
        <w:rPr>
          <w:b/>
          <w:i/>
        </w:rPr>
        <w:t>(Soit par défaut)</w:t>
      </w:r>
    </w:p>
    <w:p w14:paraId="1F4A22AE" w14:textId="77777777" w:rsidR="004B2808" w:rsidRDefault="00000000">
      <w:r>
        <w:rPr>
          <w:rStyle w:val="soitChar"/>
        </w:rPr>
        <w:t>1.   m²</w:t>
      </w:r>
    </w:p>
    <w:p w14:paraId="7A2123FB" w14:textId="77777777" w:rsidR="004B2808" w:rsidRDefault="00000000">
      <w:r>
        <w:rPr>
          <w:b/>
          <w:i/>
        </w:rPr>
        <w:t>(Soit)</w:t>
      </w:r>
    </w:p>
    <w:p w14:paraId="646E4BEB" w14:textId="77777777" w:rsidR="004B2808" w:rsidRDefault="00000000">
      <w:r>
        <w:rPr>
          <w:rStyle w:val="soitChar"/>
        </w:rPr>
        <w:t>2.   m³</w:t>
      </w:r>
    </w:p>
    <w:p w14:paraId="76635A66" w14:textId="77777777" w:rsidR="004B2808" w:rsidRDefault="00000000">
      <w:pPr>
        <w:pStyle w:val="pheading"/>
      </w:pPr>
      <w:r>
        <w:t>- code de mesurage:</w:t>
      </w:r>
    </w:p>
    <w:p w14:paraId="5C8FE7B3" w14:textId="77777777" w:rsidR="004B2808" w:rsidRDefault="00000000">
      <w:pPr>
        <w:jc w:val="both"/>
      </w:pPr>
      <w:r>
        <w:rPr>
          <w:rStyle w:val="optioncarChar"/>
        </w:rPr>
        <w:t>Surface nette</w:t>
      </w:r>
      <w:r>
        <w:t xml:space="preserve"> (par défaut) </w:t>
      </w:r>
      <w:r>
        <w:rPr>
          <w:rStyle w:val="optioncarChar"/>
        </w:rPr>
        <w:t>/ Volume net</w:t>
      </w:r>
    </w:p>
    <w:p w14:paraId="17B8A68E" w14:textId="77777777" w:rsidR="004B2808" w:rsidRDefault="00000000">
      <w:pPr>
        <w:jc w:val="both"/>
      </w:pPr>
      <w:r>
        <w:rPr>
          <w:b/>
          <w:i/>
        </w:rPr>
        <w:t>(Soit par défaut)</w:t>
      </w:r>
    </w:p>
    <w:p w14:paraId="21DA57F9" w14:textId="77777777" w:rsidR="004B2808" w:rsidRDefault="00000000">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inférieures à 0.5 m² ne sont pas déduites. Distinction faite suivant l'épaisseur.</w:t>
      </w:r>
    </w:p>
    <w:p w14:paraId="506DC2BF" w14:textId="77777777" w:rsidR="004B2808" w:rsidRDefault="00000000">
      <w:pPr>
        <w:jc w:val="both"/>
      </w:pPr>
      <w:r>
        <w:rPr>
          <w:b/>
          <w:i/>
        </w:rPr>
        <w:t>(Soit)</w:t>
      </w:r>
    </w:p>
    <w:p w14:paraId="1DD50AAE" w14:textId="77777777" w:rsidR="004B2808" w:rsidRDefault="00000000">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 prescrite.</w:t>
      </w:r>
    </w:p>
    <w:p w14:paraId="11078144" w14:textId="77777777" w:rsidR="004B2808" w:rsidRDefault="004B2808"/>
    <w:p w14:paraId="67F6CF30" w14:textId="77777777" w:rsidR="004B2808" w:rsidRDefault="00000000">
      <w:pPr>
        <w:pStyle w:val="pheading"/>
      </w:pPr>
      <w:r>
        <w:t>- nature du marché:</w:t>
      </w:r>
    </w:p>
    <w:p w14:paraId="02775B34" w14:textId="77777777" w:rsidR="004B2808" w:rsidRDefault="00000000">
      <w:r>
        <w:lastRenderedPageBreak/>
        <w:t>QF</w:t>
      </w:r>
    </w:p>
    <w:p w14:paraId="37F2898C" w14:textId="77777777" w:rsidR="004B2808" w:rsidRDefault="00000000">
      <w:pPr>
        <w:pStyle w:val="Author-eSectionHeading4Numberless"/>
      </w:pPr>
      <w:bookmarkStart w:id="460" w:name="_Toc220490635"/>
      <w:r>
        <w:t>52.44 Isolation à souffler CCTB 01.11</w:t>
      </w:r>
      <w:bookmarkEnd w:id="460"/>
    </w:p>
    <w:p w14:paraId="6E93876A" w14:textId="77777777" w:rsidR="004B2808" w:rsidRDefault="00000000">
      <w:pPr>
        <w:pStyle w:val="pheading"/>
      </w:pPr>
      <w:r>
        <w:t>DESCRIPTION</w:t>
      </w:r>
    </w:p>
    <w:p w14:paraId="2CBEF042" w14:textId="77777777" w:rsidR="004B2808" w:rsidRDefault="00000000">
      <w:pPr>
        <w:pStyle w:val="pheading"/>
      </w:pPr>
      <w:r>
        <w:t>- Définition / Comprend</w:t>
      </w:r>
    </w:p>
    <w:p w14:paraId="3413EC78" w14:textId="77777777" w:rsidR="004B2808" w:rsidRDefault="00000000">
      <w:pPr>
        <w:jc w:val="both"/>
      </w:pPr>
      <w:r>
        <w:t>Il s’agit de toutes les fournitures et travaux en vue de la réalisation, in situ, d’une isolation sans joint, par insufflation mécanique dans des espaces fermés pour applications intérieures. Elle est réalisée en construction neuve ou en rénovation.</w:t>
      </w:r>
    </w:p>
    <w:p w14:paraId="7B637EEC" w14:textId="77777777" w:rsidR="004B2808" w:rsidRDefault="00000000">
      <w:pPr>
        <w:jc w:val="both"/>
      </w:pPr>
      <w:r>
        <w:t>Ces travaux sont réalisés suivant les prescriptions de l'élément 32.44 Isolation à souffler</w:t>
      </w:r>
    </w:p>
    <w:p w14:paraId="330920F1" w14:textId="77777777" w:rsidR="004B2808" w:rsidRDefault="00000000">
      <w:pPr>
        <w:jc w:val="both"/>
      </w:pPr>
      <w:r>
        <w:t>Les travaux comprennent notamment :</w:t>
      </w:r>
    </w:p>
    <w:p w14:paraId="0041851D" w14:textId="77777777" w:rsidR="004B2808" w:rsidRDefault="00000000">
      <w:pPr>
        <w:pStyle w:val="Author-eListParagraph"/>
        <w:numPr>
          <w:ilvl w:val="0"/>
          <w:numId w:val="447"/>
        </w:numPr>
      </w:pPr>
      <w:r>
        <w:t>la préparation et le contrôle des volumes à souffler ;</w:t>
      </w:r>
    </w:p>
    <w:p w14:paraId="6C9C488E" w14:textId="77777777" w:rsidR="004B2808" w:rsidRDefault="00000000">
      <w:pPr>
        <w:pStyle w:val="Author-eListParagraph"/>
        <w:numPr>
          <w:ilvl w:val="0"/>
          <w:numId w:val="447"/>
        </w:numPr>
      </w:pPr>
      <w:r>
        <w:t>les éventuelles mesures de protection provisoires ; </w:t>
      </w:r>
    </w:p>
    <w:p w14:paraId="42985112" w14:textId="77777777" w:rsidR="004B2808" w:rsidRDefault="00000000">
      <w:pPr>
        <w:pStyle w:val="Author-eListParagraph"/>
        <w:numPr>
          <w:ilvl w:val="0"/>
          <w:numId w:val="447"/>
        </w:numPr>
      </w:pPr>
      <w:r>
        <w:t>le compartimentage éventuel du bâtiment pour éviter la propagation des poussières et limiter la zone d’utilisation des équipements de protection individuel ;</w:t>
      </w:r>
    </w:p>
    <w:p w14:paraId="686AED8A" w14:textId="77777777" w:rsidR="004B2808" w:rsidRDefault="00000000">
      <w:pPr>
        <w:pStyle w:val="Author-eListParagraph"/>
        <w:numPr>
          <w:ilvl w:val="0"/>
          <w:numId w:val="447"/>
        </w:numPr>
      </w:pPr>
      <w:r>
        <w:t>la fourniture et la mise en œuvre du matériau d'isolation ;</w:t>
      </w:r>
    </w:p>
    <w:p w14:paraId="6927A457" w14:textId="77777777" w:rsidR="004B2808" w:rsidRDefault="00000000">
      <w:pPr>
        <w:pStyle w:val="Author-eListParagraph"/>
        <w:numPr>
          <w:ilvl w:val="0"/>
          <w:numId w:val="447"/>
        </w:numPr>
      </w:pPr>
      <w:r>
        <w:t>la réalisation des ouvertures provisoires d’insufflation ;</w:t>
      </w:r>
    </w:p>
    <w:p w14:paraId="30D89C4F" w14:textId="77777777" w:rsidR="004B2808" w:rsidRDefault="00000000">
      <w:pPr>
        <w:pStyle w:val="Author-eListParagraph"/>
        <w:numPr>
          <w:ilvl w:val="0"/>
          <w:numId w:val="447"/>
        </w:numPr>
      </w:pPr>
      <w:r>
        <w:t>la vérification des densités mise en œuvre ;</w:t>
      </w:r>
    </w:p>
    <w:p w14:paraId="00F16276" w14:textId="77777777" w:rsidR="004B2808" w:rsidRDefault="00000000">
      <w:pPr>
        <w:pStyle w:val="Author-eListParagraph"/>
        <w:numPr>
          <w:ilvl w:val="0"/>
          <w:numId w:val="447"/>
        </w:numPr>
      </w:pPr>
      <w:r>
        <w:t>la fermeture des orifices d’insufflation ;</w:t>
      </w:r>
    </w:p>
    <w:p w14:paraId="475B0196" w14:textId="77777777" w:rsidR="004B2808" w:rsidRDefault="00000000">
      <w:pPr>
        <w:pStyle w:val="Author-eListParagraph"/>
        <w:numPr>
          <w:ilvl w:val="0"/>
          <w:numId w:val="447"/>
        </w:numPr>
      </w:pPr>
      <w:r>
        <w:t>le nettoyage de la zone de travail, le tri, l’évacuation et le recyclage des différents déchets de mise en œuvre (emballages, découpes, chutes, …) suivant les législations en cours et suivant le 07.2 Gestion des déchets, matériaux et éléments réemployables.</w:t>
      </w:r>
    </w:p>
    <w:p w14:paraId="0958C498" w14:textId="77777777" w:rsidR="004B2808" w:rsidRDefault="00000000">
      <w:pPr>
        <w:jc w:val="both"/>
      </w:pPr>
      <w:r>
        <w:t>Voir 32.44 Isolation à souffler.</w:t>
      </w:r>
    </w:p>
    <w:p w14:paraId="2D7AA5C8" w14:textId="77777777" w:rsidR="004B2808" w:rsidRDefault="00000000">
      <w:pPr>
        <w:pStyle w:val="pheading"/>
      </w:pPr>
      <w:r>
        <w:t>MATÉRIAUX</w:t>
      </w:r>
    </w:p>
    <w:p w14:paraId="5536A3BA" w14:textId="77777777" w:rsidR="004B2808" w:rsidRDefault="00000000">
      <w:pPr>
        <w:jc w:val="both"/>
      </w:pPr>
      <w:r>
        <w:t>Le système d’isolation est adapté aux conditions et modèle de fonctionnement hygrothermique des parois. L’entrepreneur confirme le délai pour la pose de finition. Le tassement éventuel durant ce délai est comblé sur chantier avant pose de finition.</w:t>
      </w:r>
    </w:p>
    <w:p w14:paraId="2C33E7A5" w14:textId="77777777" w:rsidR="004B2808" w:rsidRDefault="004B2808">
      <w:pPr>
        <w:jc w:val="both"/>
      </w:pPr>
    </w:p>
    <w:p w14:paraId="5E4A6CF2" w14:textId="77777777" w:rsidR="004B2808" w:rsidRDefault="00000000">
      <w:pPr>
        <w:jc w:val="both"/>
      </w:pPr>
      <w:r>
        <w:t>Le matériau/produit dispose d'une déclaration d'aptitude à l'utilisation suivant les prescriptions de l'élément 02.42.1 Critères d'acceptabilité.</w:t>
      </w:r>
    </w:p>
    <w:p w14:paraId="68426F1B" w14:textId="77777777" w:rsidR="004B2808" w:rsidRDefault="00000000">
      <w:pPr>
        <w:pStyle w:val="pheading"/>
      </w:pPr>
      <w:r>
        <w:t>EXÉCUTION / MISE EN ŒUVRE</w:t>
      </w:r>
    </w:p>
    <w:p w14:paraId="57AD4DED" w14:textId="77777777" w:rsidR="004B2808" w:rsidRDefault="00000000">
      <w:pPr>
        <w:jc w:val="both"/>
      </w:pPr>
      <w:r>
        <w:rPr>
          <w:b/>
        </w:rPr>
        <w:t>Vérification des conditions de mise en œuvre</w:t>
      </w:r>
    </w:p>
    <w:p w14:paraId="2E936540" w14:textId="77777777" w:rsidR="004B2808" w:rsidRDefault="00000000">
      <w:pPr>
        <w:jc w:val="both"/>
      </w:pPr>
      <w:r>
        <w:t>Avant le début des travaux, l’entrepreneur vérifie l’accessibilité des lieux et notamment : les possibilités de stationnement des véhicules, la distance entre stationnement et zone des travaux, la configuration des baies d’accès, etc. Il tient compte des différentes contraintes dans sa remise de prix.</w:t>
      </w:r>
    </w:p>
    <w:p w14:paraId="67A00E28" w14:textId="77777777" w:rsidR="004B2808" w:rsidRDefault="00000000">
      <w:pPr>
        <w:jc w:val="both"/>
      </w:pPr>
      <w:r>
        <w:rPr>
          <w:b/>
        </w:rPr>
        <w:t>Préparation de volume à souffler</w:t>
      </w:r>
    </w:p>
    <w:p w14:paraId="024C006F" w14:textId="77777777" w:rsidR="004B2808" w:rsidRDefault="00000000">
      <w:pPr>
        <w:jc w:val="both"/>
      </w:pPr>
      <w:r>
        <w:t>L’entrepreneur informe le maitre d’œuvre si les travaux permettant de réduire les apports d’humidité dans le support (remontée capillaire, protection contre la pluie battante, risque de condensation et autres sources accidentelles) sont suffisantes.</w:t>
      </w:r>
    </w:p>
    <w:p w14:paraId="38B94504" w14:textId="77777777" w:rsidR="004B2808" w:rsidRDefault="004B2808">
      <w:pPr>
        <w:jc w:val="both"/>
      </w:pPr>
    </w:p>
    <w:p w14:paraId="3699881E" w14:textId="77777777" w:rsidR="004B2808" w:rsidRDefault="00000000">
      <w:pPr>
        <w:jc w:val="both"/>
      </w:pPr>
      <w:r>
        <w:t>Les volumes à souffler sont fermés et suffisamment étanches pour permettre l’insufflation. Les parois des caissons à souffler sont résistantes face à la pression d’insufflation (la déformation de ces parois ≤ 1,5 cm). Les parois réalisées par membranes sont renforcées par lattage ou panneautage. Les agrafes, pointes ou autres éléments de fixation des parois des caissons sont suffisamment protégées et renforcées afin d’éviter tout poinçonnement ou percement.</w:t>
      </w:r>
    </w:p>
    <w:p w14:paraId="3B07B353" w14:textId="77777777" w:rsidR="004B2808" w:rsidRDefault="00000000">
      <w:pPr>
        <w:jc w:val="both"/>
      </w:pPr>
      <w:r>
        <w:t xml:space="preserve">L’épaisseur des caissons est uniforme. Le produit et la méthode d’insufflation sont adaptés au dimensions des caissons.                                                                              </w:t>
      </w:r>
    </w:p>
    <w:p w14:paraId="31775B7C" w14:textId="77777777" w:rsidR="004B2808" w:rsidRDefault="00000000">
      <w:pPr>
        <w:jc w:val="both"/>
      </w:pPr>
      <w:r>
        <w:lastRenderedPageBreak/>
        <w:t>L’insufflation ne peut être faite qu’après l’exécution complète des caissons.</w:t>
      </w:r>
    </w:p>
    <w:p w14:paraId="4AFD5FD7" w14:textId="77777777" w:rsidR="004B2808" w:rsidRDefault="00000000">
      <w:pPr>
        <w:jc w:val="both"/>
      </w:pPr>
      <w:r>
        <w:t>L’étanchéité des caissons est conforme à la [NIT 255].</w:t>
      </w:r>
    </w:p>
    <w:p w14:paraId="755292FE" w14:textId="77777777" w:rsidR="004B2808" w:rsidRDefault="00000000">
      <w:pPr>
        <w:jc w:val="both"/>
      </w:pPr>
      <w:r>
        <w:t> Sont notamment réalisés suivant instructions du fournisseur :</w:t>
      </w:r>
    </w:p>
    <w:p w14:paraId="7BDE1CF2" w14:textId="77777777" w:rsidR="004B2808" w:rsidRDefault="00000000">
      <w:pPr>
        <w:pStyle w:val="Author-eListParagraph"/>
        <w:numPr>
          <w:ilvl w:val="0"/>
          <w:numId w:val="448"/>
        </w:numPr>
      </w:pPr>
      <w:r>
        <w:t>le lattage (entre-axe, sections, …) soutenant les membranes souples (freine-vapeur ou autres) ;</w:t>
      </w:r>
    </w:p>
    <w:p w14:paraId="130967BA" w14:textId="77777777" w:rsidR="004B2808" w:rsidRDefault="00000000">
      <w:pPr>
        <w:pStyle w:val="Author-eListParagraph"/>
        <w:numPr>
          <w:ilvl w:val="0"/>
          <w:numId w:val="448"/>
        </w:numPr>
      </w:pPr>
      <w:r>
        <w:t>les trous pour insuffler l’isolant (diamètre, distance par rapport à d’autres parois, entre-axes, espace et encombrement autour des percements, ….) ;</w:t>
      </w:r>
    </w:p>
    <w:p w14:paraId="6ADD0F21" w14:textId="77777777" w:rsidR="004B2808" w:rsidRDefault="00000000">
      <w:pPr>
        <w:jc w:val="both"/>
      </w:pPr>
      <w:r>
        <w:t>L’entrepreneur effectue les travaux suivant les mesures de sécurité préconisées, notamment pour les travaux en hauteur : voir 01.1 Mission de coordination de sécurité et de santé</w:t>
      </w:r>
    </w:p>
    <w:p w14:paraId="3D9A468C" w14:textId="77777777" w:rsidR="004B2808" w:rsidRDefault="00000000">
      <w:pPr>
        <w:jc w:val="both"/>
      </w:pPr>
      <w:r>
        <w:t>Les endroits où il est impossible d’insuffler l’isolation dans les alvéoles sont déjà comblés avec un isolant équivalent au cours de l’édification.</w:t>
      </w:r>
    </w:p>
    <w:p w14:paraId="62912F84" w14:textId="77777777" w:rsidR="004B2808" w:rsidRDefault="00000000">
      <w:pPr>
        <w:jc w:val="both"/>
      </w:pPr>
      <w:r>
        <w:rPr>
          <w:b/>
        </w:rPr>
        <w:t>Mise en œuvre de l’Isolation</w:t>
      </w:r>
    </w:p>
    <w:p w14:paraId="76D8BFCE" w14:textId="77777777" w:rsidR="004B2808" w:rsidRDefault="00000000">
      <w:pPr>
        <w:jc w:val="both"/>
      </w:pPr>
      <w:r>
        <w:rPr>
          <w:u w:val="single"/>
        </w:rPr>
        <w:t>Emballage, transport et stockage :</w:t>
      </w:r>
    </w:p>
    <w:p w14:paraId="74432E67" w14:textId="77777777" w:rsidR="004B2808" w:rsidRDefault="00000000">
      <w:pPr>
        <w:jc w:val="both"/>
      </w:pPr>
      <w:r>
        <w:t>L'emballage du produit est réalisé de telle sorte que l'isolant thermique est protégé de l'humidité durant le transport et le stockage, à moins que le fabricant n’ait prévu d'autres mesures à cet effet.</w:t>
      </w:r>
    </w:p>
    <w:p w14:paraId="50582D43" w14:textId="77777777" w:rsidR="004B2808" w:rsidRDefault="00000000">
      <w:pPr>
        <w:jc w:val="both"/>
      </w:pPr>
      <w:r>
        <w:t>Le stockage s’effectue à l’abri des intempéries.</w:t>
      </w:r>
    </w:p>
    <w:p w14:paraId="61CD4951" w14:textId="77777777" w:rsidR="004B2808" w:rsidRDefault="00000000">
      <w:pPr>
        <w:jc w:val="both"/>
      </w:pPr>
      <w:r>
        <w:t>Les dispositifs d‘insufflation, les longueurs des tuyaux sont conformes aux spécifications des fabricants d’isolation.</w:t>
      </w:r>
    </w:p>
    <w:p w14:paraId="1B828A6F" w14:textId="77777777" w:rsidR="004B2808" w:rsidRDefault="00000000">
      <w:pPr>
        <w:jc w:val="both"/>
      </w:pPr>
      <w:r>
        <w:t>Les matériaux d’isolation ne sont pas mis en contact avec des conduits de fumée ou d’autres sources de chaleur (spots, transformateurs, ventilateurs, canalisations chaudes, ….).</w:t>
      </w:r>
    </w:p>
    <w:p w14:paraId="7A058E46" w14:textId="77777777" w:rsidR="004B2808" w:rsidRDefault="004B2808">
      <w:pPr>
        <w:jc w:val="both"/>
      </w:pPr>
    </w:p>
    <w:p w14:paraId="42301E59" w14:textId="77777777" w:rsidR="004B2808" w:rsidRDefault="00000000">
      <w:pPr>
        <w:jc w:val="both"/>
      </w:pPr>
      <w:r>
        <w:t>L'isolation est insufflée directement dans les volumes à isoler.</w:t>
      </w:r>
    </w:p>
    <w:p w14:paraId="4B090D2E" w14:textId="77777777" w:rsidR="004B2808" w:rsidRDefault="00000000">
      <w:pPr>
        <w:jc w:val="both"/>
      </w:pPr>
      <w:r>
        <w:t>Après l’insufflation, l’entrepreneur ferme les ouvertures soit avec un freine-vapeur et la colle adaptée, soit avec un ruban adhésif ou patch parfaitement compatible. Le choix des matériaux d’étanchéité à l’air se fait toujours suivant les consignes du fabricant. les parois des zones insufflées sont vérifiées et tout poinçonnement est rectifiée par adhésif approprié.</w:t>
      </w:r>
    </w:p>
    <w:p w14:paraId="354B772D" w14:textId="77777777" w:rsidR="004B2808" w:rsidRDefault="00000000">
      <w:pPr>
        <w:jc w:val="both"/>
      </w:pPr>
      <w:r>
        <w:t>Le contrôle de densité est effectué après projection. Le rapport des contrôles de densité reprend la position des mesures dans le plan de mise en œuvre.</w:t>
      </w:r>
    </w:p>
    <w:p w14:paraId="2B27CE8B" w14:textId="77777777" w:rsidR="004B2808" w:rsidRDefault="00000000">
      <w:pPr>
        <w:pStyle w:val="pheading"/>
      </w:pPr>
      <w:r>
        <w:t>CONTRÔLES</w:t>
      </w:r>
    </w:p>
    <w:p w14:paraId="312B7221" w14:textId="77777777" w:rsidR="004B2808" w:rsidRDefault="00000000">
      <w:pPr>
        <w:jc w:val="both"/>
      </w:pPr>
      <w:r>
        <w:t>Pour les isolants compressibles, des tests de densité sont réalisés en cours de réalisation sur les volumes insufflés suivant le protocole repris dans la déclaration d'aptitude (02.42.1 Critères d'acceptabilité) à l'utilisation du matériau.</w:t>
      </w:r>
    </w:p>
    <w:p w14:paraId="6AC62857" w14:textId="77777777" w:rsidR="004B2808" w:rsidRDefault="00000000">
      <w:pPr>
        <w:jc w:val="both"/>
      </w:pPr>
      <w:r>
        <w:t xml:space="preserve"> En outre, des tests de densité sont également réalisés en présence de la direction de chantier sur un minimum de 5% des caissons avec un minimum de 3 volumes testés par phase d'insufflation.</w:t>
      </w:r>
    </w:p>
    <w:p w14:paraId="4F066EF7" w14:textId="77777777" w:rsidR="004B2808" w:rsidRDefault="00000000">
      <w:pPr>
        <w:pStyle w:val="Author-eSectionHeading5Numberless"/>
      </w:pPr>
      <w:bookmarkStart w:id="461" w:name="_Toc220490636"/>
      <w:r>
        <w:t>52.44.1 Isolation à souffler - matières synthétiques CCTB 01.07</w:t>
      </w:r>
      <w:bookmarkEnd w:id="461"/>
    </w:p>
    <w:p w14:paraId="44DBE028" w14:textId="77777777" w:rsidR="004B2808" w:rsidRDefault="00000000">
      <w:pPr>
        <w:pStyle w:val="pheading"/>
      </w:pPr>
      <w:r>
        <w:t>EXÉCUTION / MISE EN ŒUVRE</w:t>
      </w:r>
    </w:p>
    <w:p w14:paraId="423343FC" w14:textId="77777777" w:rsidR="004B2808" w:rsidRDefault="00000000">
      <w:r>
        <w:t>Voir 32.44.1 Isolation à souffler - matières synthétiques.</w:t>
      </w:r>
    </w:p>
    <w:p w14:paraId="43C3F223" w14:textId="77777777" w:rsidR="004B2808" w:rsidRDefault="00000000">
      <w:pPr>
        <w:pStyle w:val="pheading"/>
      </w:pPr>
      <w:r>
        <w:t>DOCUMENTS DE RÉFÉRENCE</w:t>
      </w:r>
    </w:p>
    <w:p w14:paraId="4F2D0F84" w14:textId="77777777" w:rsidR="004B2808" w:rsidRDefault="00000000">
      <w:pPr>
        <w:pStyle w:val="pheading"/>
      </w:pPr>
      <w:r>
        <w:t>- Matériau</w:t>
      </w:r>
    </w:p>
    <w:p w14:paraId="0EB91CE3" w14:textId="77777777" w:rsidR="004B2808" w:rsidRDefault="00000000">
      <w:r>
        <w:t>32.44.1 Isolation à souffler - matières synthétiques</w:t>
      </w:r>
    </w:p>
    <w:p w14:paraId="6E95F373" w14:textId="77777777" w:rsidR="004B2808" w:rsidRDefault="00000000">
      <w:pPr>
        <w:pStyle w:val="pheading"/>
      </w:pPr>
      <w:r>
        <w:t>- Exécution</w:t>
      </w:r>
    </w:p>
    <w:p w14:paraId="09A96B75" w14:textId="77777777" w:rsidR="004B2808" w:rsidRDefault="00000000">
      <w:r>
        <w:t>32.44.1 Isolation à souffler - matières synthétiques</w:t>
      </w:r>
    </w:p>
    <w:p w14:paraId="438C118A" w14:textId="77777777" w:rsidR="004B2808" w:rsidRDefault="00000000">
      <w:pPr>
        <w:pStyle w:val="Author-eSectionHeading6Numberless"/>
      </w:pPr>
      <w:bookmarkStart w:id="462" w:name="_Toc220490637"/>
      <w:r>
        <w:t>52.44.1a Isolation à souffler - polystyrène expansé (EPS) CCTB 01.07</w:t>
      </w:r>
      <w:bookmarkEnd w:id="462"/>
    </w:p>
    <w:p w14:paraId="6F89B126" w14:textId="77777777" w:rsidR="004B2808" w:rsidRDefault="00000000">
      <w:pPr>
        <w:pStyle w:val="pheading"/>
      </w:pPr>
      <w:r>
        <w:lastRenderedPageBreak/>
        <w:t>DESCRIPTION</w:t>
      </w:r>
    </w:p>
    <w:p w14:paraId="105DECBA" w14:textId="77777777" w:rsidR="004B2808" w:rsidRDefault="00000000">
      <w:pPr>
        <w:pStyle w:val="pheading"/>
      </w:pPr>
      <w:r>
        <w:t>- Définition / Comprend</w:t>
      </w:r>
    </w:p>
    <w:p w14:paraId="7E4F6106" w14:textId="77777777" w:rsidR="004B2808" w:rsidRDefault="00000000">
      <w:r>
        <w:t>Il s'agit de la réalisation d'une isolation insufflée en billes de polystyrène expansé suivant les prescriptions de l'article 32.44.1a Isolation à souffler - polystyrène expansé (EPS).</w:t>
      </w:r>
    </w:p>
    <w:p w14:paraId="464A31FE" w14:textId="77777777" w:rsidR="004B2808" w:rsidRDefault="00000000">
      <w:pPr>
        <w:pStyle w:val="pheading"/>
      </w:pPr>
      <w:r>
        <w:t>MATÉRIAUX</w:t>
      </w:r>
    </w:p>
    <w:p w14:paraId="276CBF35" w14:textId="77777777" w:rsidR="004B2808" w:rsidRDefault="00000000">
      <w:pPr>
        <w:pStyle w:val="pheading"/>
      </w:pPr>
      <w:r>
        <w:t>- Caractéristiques générales</w:t>
      </w:r>
    </w:p>
    <w:p w14:paraId="11F0173E" w14:textId="77777777" w:rsidR="004B2808" w:rsidRDefault="00000000">
      <w:r>
        <w:t>Voir 32.44.1a Isolation à souffler - polystyrène expansé (EPS)</w:t>
      </w:r>
    </w:p>
    <w:p w14:paraId="42B867D6" w14:textId="77777777" w:rsidR="004B2808" w:rsidRDefault="00000000">
      <w:pPr>
        <w:pStyle w:val="pheading"/>
      </w:pPr>
      <w:r>
        <w:t>DOCUMENTS DE RÉFÉRENCE COMPLÉMENTAIRES</w:t>
      </w:r>
    </w:p>
    <w:p w14:paraId="37744D11" w14:textId="77777777" w:rsidR="004B2808" w:rsidRDefault="00000000">
      <w:pPr>
        <w:pStyle w:val="pheading"/>
      </w:pPr>
      <w:r>
        <w:t>- Matériau</w:t>
      </w:r>
    </w:p>
    <w:p w14:paraId="03BD543B" w14:textId="77777777" w:rsidR="004B2808" w:rsidRDefault="00000000">
      <w:r>
        <w:t>32.44.1a Isolation à souffler - polystyrène expansé (EPS)</w:t>
      </w:r>
    </w:p>
    <w:p w14:paraId="115500C0" w14:textId="77777777" w:rsidR="004B2808" w:rsidRDefault="00000000">
      <w:pPr>
        <w:pStyle w:val="pheading"/>
      </w:pPr>
      <w:r>
        <w:t>- Exécution</w:t>
      </w:r>
    </w:p>
    <w:p w14:paraId="050A8AC3" w14:textId="77777777" w:rsidR="004B2808" w:rsidRDefault="00000000">
      <w:r>
        <w:t>32.44.1a Isolation à souffler - polystyrène expansé (EPS)</w:t>
      </w:r>
    </w:p>
    <w:p w14:paraId="007A197C" w14:textId="77777777" w:rsidR="004B2808" w:rsidRDefault="00000000">
      <w:pPr>
        <w:pStyle w:val="pheading"/>
      </w:pPr>
      <w:r>
        <w:t>MESURAGE</w:t>
      </w:r>
    </w:p>
    <w:p w14:paraId="673057D3" w14:textId="77777777" w:rsidR="004B2808" w:rsidRDefault="00000000">
      <w:pPr>
        <w:pStyle w:val="pheading"/>
      </w:pPr>
      <w:r>
        <w:t>- unité de mesure:</w:t>
      </w:r>
    </w:p>
    <w:p w14:paraId="44A6392E" w14:textId="77777777" w:rsidR="004B2808" w:rsidRDefault="00000000">
      <w:r>
        <w:t>m³</w:t>
      </w:r>
    </w:p>
    <w:p w14:paraId="37EC84DC" w14:textId="77777777" w:rsidR="004B2808" w:rsidRDefault="00000000">
      <w:pPr>
        <w:pStyle w:val="pheading"/>
      </w:pPr>
      <w:r>
        <w:t>- code de mesurage:</w:t>
      </w:r>
    </w:p>
    <w:p w14:paraId="07B1BC06" w14:textId="77777777" w:rsidR="004B2808" w:rsidRDefault="00000000">
      <w:r>
        <w:t>Volume net de la construction à isoler, sans déduction des éléments de structure interposés.</w:t>
      </w:r>
      <w:r>
        <w:br/>
        <w:t>Suivant la densité prescrite.</w:t>
      </w:r>
      <w:r>
        <w:br/>
        <w:t>Les ouvertures supérieures à 0,5 m² multipliées par l’épaisseur à réaliser sont déduites.</w:t>
      </w:r>
    </w:p>
    <w:p w14:paraId="4886EC53" w14:textId="77777777" w:rsidR="004B2808" w:rsidRDefault="00000000">
      <w:pPr>
        <w:pStyle w:val="pheading"/>
      </w:pPr>
      <w:r>
        <w:t>- nature du marché:</w:t>
      </w:r>
    </w:p>
    <w:p w14:paraId="7B250431" w14:textId="77777777" w:rsidR="004B2808" w:rsidRDefault="00000000">
      <w:r>
        <w:t>QF</w:t>
      </w:r>
    </w:p>
    <w:p w14:paraId="561EB60C" w14:textId="77777777" w:rsidR="004B2808" w:rsidRDefault="00000000">
      <w:pPr>
        <w:pStyle w:val="Author-eSectionHeading5Numberless"/>
      </w:pPr>
      <w:bookmarkStart w:id="463" w:name="_Toc220490638"/>
      <w:r>
        <w:t>52.44.2 Isolation à souffler - matières minérales CCTB 01.07</w:t>
      </w:r>
      <w:bookmarkEnd w:id="463"/>
    </w:p>
    <w:p w14:paraId="733ADA13" w14:textId="77777777" w:rsidR="004B2808" w:rsidRDefault="00000000">
      <w:pPr>
        <w:pStyle w:val="pheading"/>
      </w:pPr>
      <w:r>
        <w:t>DOCUMENTS DE RÉFÉRENCE</w:t>
      </w:r>
    </w:p>
    <w:p w14:paraId="33CD0470" w14:textId="77777777" w:rsidR="004B2808" w:rsidRDefault="00000000">
      <w:pPr>
        <w:pStyle w:val="pheading"/>
      </w:pPr>
      <w:r>
        <w:t>- Matériau</w:t>
      </w:r>
    </w:p>
    <w:p w14:paraId="5B300824" w14:textId="77777777" w:rsidR="004B2808" w:rsidRDefault="00000000">
      <w:r>
        <w:t>32.44.2 Isolation à souffler - matières minérales</w:t>
      </w:r>
    </w:p>
    <w:p w14:paraId="5CB5238B" w14:textId="77777777" w:rsidR="004B2808" w:rsidRDefault="00000000">
      <w:pPr>
        <w:pStyle w:val="pheading"/>
      </w:pPr>
      <w:r>
        <w:t>- Exécution</w:t>
      </w:r>
    </w:p>
    <w:p w14:paraId="2C217CDD" w14:textId="77777777" w:rsidR="004B2808" w:rsidRDefault="00000000">
      <w:r>
        <w:t>32.44.2 Isolation à souffler - matières minérales</w:t>
      </w:r>
    </w:p>
    <w:p w14:paraId="1BBFFD4F" w14:textId="77777777" w:rsidR="004B2808" w:rsidRDefault="00000000">
      <w:pPr>
        <w:pStyle w:val="Author-eSectionHeading6Numberless"/>
      </w:pPr>
      <w:bookmarkStart w:id="464" w:name="_Toc220490639"/>
      <w:r>
        <w:t>52.44.2a Isolation à souffler - laine de verre CCTB 01.07</w:t>
      </w:r>
      <w:bookmarkEnd w:id="464"/>
    </w:p>
    <w:p w14:paraId="2F657D11" w14:textId="77777777" w:rsidR="004B2808" w:rsidRDefault="00000000">
      <w:pPr>
        <w:pStyle w:val="pheading"/>
      </w:pPr>
      <w:r>
        <w:t>DESCRIPTION</w:t>
      </w:r>
    </w:p>
    <w:p w14:paraId="637BC5F2" w14:textId="77777777" w:rsidR="004B2808" w:rsidRDefault="00000000">
      <w:pPr>
        <w:pStyle w:val="pheading"/>
      </w:pPr>
      <w:r>
        <w:t>- Définition / Comprend</w:t>
      </w:r>
    </w:p>
    <w:p w14:paraId="1E65CDC7" w14:textId="77777777" w:rsidR="004B2808" w:rsidRDefault="00000000">
      <w:r>
        <w:t>Il s'agit de la réalisation d'une isolation en laine de verre insufflée suivant les prescriptions de l'article 32.44.2a Isolation à souffler - laine de verre.</w:t>
      </w:r>
    </w:p>
    <w:p w14:paraId="4293FE3F" w14:textId="77777777" w:rsidR="004B2808" w:rsidRDefault="00000000">
      <w:pPr>
        <w:pStyle w:val="pheading"/>
      </w:pPr>
      <w:r>
        <w:t>MATÉRIAUX</w:t>
      </w:r>
    </w:p>
    <w:p w14:paraId="428D7E25" w14:textId="77777777" w:rsidR="004B2808" w:rsidRDefault="00000000">
      <w:pPr>
        <w:pStyle w:val="pheading"/>
      </w:pPr>
      <w:r>
        <w:t>- Caractéristiques générales</w:t>
      </w:r>
    </w:p>
    <w:p w14:paraId="492D2151" w14:textId="77777777" w:rsidR="004B2808" w:rsidRDefault="00000000">
      <w:r>
        <w:t>Voir 32.44.2a Isolation à souffler - laine de verre</w:t>
      </w:r>
    </w:p>
    <w:p w14:paraId="6363EC07" w14:textId="77777777" w:rsidR="004B2808" w:rsidRDefault="00000000">
      <w:pPr>
        <w:pStyle w:val="pheading"/>
      </w:pPr>
      <w:r>
        <w:t>DOCUMENTS DE RÉFÉRENCE COMPLÉMENTAIRES</w:t>
      </w:r>
    </w:p>
    <w:p w14:paraId="0B62ACF3" w14:textId="77777777" w:rsidR="004B2808" w:rsidRDefault="00000000">
      <w:pPr>
        <w:pStyle w:val="pheading"/>
      </w:pPr>
      <w:r>
        <w:t>- Matériau</w:t>
      </w:r>
    </w:p>
    <w:p w14:paraId="6391A909" w14:textId="77777777" w:rsidR="004B2808" w:rsidRDefault="00000000">
      <w:r>
        <w:t>32.44.2a Isolation à souffler - laine de verre</w:t>
      </w:r>
    </w:p>
    <w:p w14:paraId="660EB867" w14:textId="77777777" w:rsidR="004B2808" w:rsidRDefault="00000000">
      <w:pPr>
        <w:pStyle w:val="pheading"/>
      </w:pPr>
      <w:r>
        <w:lastRenderedPageBreak/>
        <w:t>- Exécution</w:t>
      </w:r>
    </w:p>
    <w:p w14:paraId="5DC5241A" w14:textId="77777777" w:rsidR="004B2808" w:rsidRDefault="00000000">
      <w:r>
        <w:t>32.44.2a Isolation à souffler - laine de verre</w:t>
      </w:r>
    </w:p>
    <w:p w14:paraId="6F06EDBB" w14:textId="77777777" w:rsidR="004B2808" w:rsidRDefault="00000000">
      <w:pPr>
        <w:pStyle w:val="pheading"/>
      </w:pPr>
      <w:r>
        <w:t>MESURAGE</w:t>
      </w:r>
    </w:p>
    <w:p w14:paraId="77DB1B89" w14:textId="77777777" w:rsidR="004B2808" w:rsidRDefault="00000000">
      <w:pPr>
        <w:pStyle w:val="pheading"/>
      </w:pPr>
      <w:r>
        <w:t>- unité de mesure:</w:t>
      </w:r>
    </w:p>
    <w:p w14:paraId="2BBC59AC" w14:textId="77777777" w:rsidR="004B2808" w:rsidRDefault="00000000">
      <w:r>
        <w:t>m³</w:t>
      </w:r>
    </w:p>
    <w:p w14:paraId="73C8DB8C" w14:textId="77777777" w:rsidR="004B2808" w:rsidRDefault="00000000">
      <w:pPr>
        <w:pStyle w:val="pheading"/>
      </w:pPr>
      <w:r>
        <w:t>- code de mesurage:</w:t>
      </w:r>
    </w:p>
    <w:p w14:paraId="7B9B6F4F" w14:textId="77777777" w:rsidR="004B2808" w:rsidRDefault="00000000">
      <w:r>
        <w:t>Volume net de la construction à isoler, sans déduction des éléments de structure interposés.</w:t>
      </w:r>
      <w:r>
        <w:br/>
        <w:t>Suivant la densité prescrite.</w:t>
      </w:r>
      <w:r>
        <w:br/>
        <w:t>Les ouvertures supérieures à 0,5 m² multipliées par l’épaisseur à réaliser sont déduites.</w:t>
      </w:r>
    </w:p>
    <w:p w14:paraId="150A27CE" w14:textId="77777777" w:rsidR="004B2808" w:rsidRDefault="00000000">
      <w:pPr>
        <w:pStyle w:val="pheading"/>
      </w:pPr>
      <w:r>
        <w:t>- nature du marché:</w:t>
      </w:r>
    </w:p>
    <w:p w14:paraId="41A5D849" w14:textId="77777777" w:rsidR="004B2808" w:rsidRDefault="00000000">
      <w:r>
        <w:t>QF</w:t>
      </w:r>
    </w:p>
    <w:p w14:paraId="1267492E" w14:textId="77777777" w:rsidR="004B2808" w:rsidRDefault="00000000">
      <w:pPr>
        <w:pStyle w:val="Author-eSectionHeading6Numberless"/>
      </w:pPr>
      <w:bookmarkStart w:id="465" w:name="_Toc220490640"/>
      <w:r>
        <w:t>52.44.2b Isolation à souffler - laine de roche CCTB 01.07</w:t>
      </w:r>
      <w:bookmarkEnd w:id="465"/>
    </w:p>
    <w:p w14:paraId="1F6F2954" w14:textId="77777777" w:rsidR="004B2808" w:rsidRDefault="00000000">
      <w:pPr>
        <w:pStyle w:val="pheading"/>
      </w:pPr>
      <w:r>
        <w:t>DESCRIPTION</w:t>
      </w:r>
    </w:p>
    <w:p w14:paraId="0691372A" w14:textId="77777777" w:rsidR="004B2808" w:rsidRDefault="00000000">
      <w:pPr>
        <w:pStyle w:val="pheading"/>
      </w:pPr>
      <w:r>
        <w:t>- Définition / Comprend</w:t>
      </w:r>
    </w:p>
    <w:p w14:paraId="0BFDE9DA" w14:textId="77777777" w:rsidR="004B2808" w:rsidRDefault="00000000">
      <w:r>
        <w:t>Il s'agit de la réalisation d'une isolation en laine de roche insufflée suivant prescriptions de l'article 32.44.2b Isolation à souffler - laine de roche.</w:t>
      </w:r>
    </w:p>
    <w:p w14:paraId="27010E63" w14:textId="77777777" w:rsidR="004B2808" w:rsidRDefault="00000000">
      <w:pPr>
        <w:pStyle w:val="pheading"/>
      </w:pPr>
      <w:r>
        <w:t>MATÉRIAUX</w:t>
      </w:r>
    </w:p>
    <w:p w14:paraId="6E91BCA9" w14:textId="77777777" w:rsidR="004B2808" w:rsidRDefault="00000000">
      <w:pPr>
        <w:pStyle w:val="pheading"/>
      </w:pPr>
      <w:r>
        <w:t>- Caractéristiques générales</w:t>
      </w:r>
    </w:p>
    <w:p w14:paraId="67FF9149" w14:textId="77777777" w:rsidR="004B2808" w:rsidRDefault="00000000">
      <w:r>
        <w:t>Voir 32.44.2b Isolation à souffler - laine de roche</w:t>
      </w:r>
    </w:p>
    <w:p w14:paraId="52757AF4" w14:textId="77777777" w:rsidR="004B2808" w:rsidRDefault="00000000">
      <w:pPr>
        <w:pStyle w:val="pheading"/>
      </w:pPr>
      <w:r>
        <w:t>DOCUMENTS DE RÉFÉRENCE COMPLÉMENTAIRES</w:t>
      </w:r>
    </w:p>
    <w:p w14:paraId="7FFACFE2" w14:textId="77777777" w:rsidR="004B2808" w:rsidRDefault="00000000">
      <w:pPr>
        <w:pStyle w:val="pheading"/>
      </w:pPr>
      <w:r>
        <w:t>- Matériau</w:t>
      </w:r>
    </w:p>
    <w:p w14:paraId="54060ADC" w14:textId="77777777" w:rsidR="004B2808" w:rsidRDefault="00000000">
      <w:r>
        <w:t>32.44.2b Isolation à souffler - laine de roche</w:t>
      </w:r>
    </w:p>
    <w:p w14:paraId="06DB7A35" w14:textId="77777777" w:rsidR="004B2808" w:rsidRDefault="00000000">
      <w:pPr>
        <w:pStyle w:val="pheading"/>
      </w:pPr>
      <w:r>
        <w:t>- Exécution</w:t>
      </w:r>
    </w:p>
    <w:p w14:paraId="2CEC0664" w14:textId="77777777" w:rsidR="004B2808" w:rsidRDefault="00000000">
      <w:r>
        <w:t>32.44.2b Isolation à souffler - laine de roche</w:t>
      </w:r>
    </w:p>
    <w:p w14:paraId="75BDFA93" w14:textId="77777777" w:rsidR="004B2808" w:rsidRDefault="00000000">
      <w:pPr>
        <w:pStyle w:val="pheading"/>
      </w:pPr>
      <w:r>
        <w:t>MESURAGE</w:t>
      </w:r>
    </w:p>
    <w:p w14:paraId="1442C7DA" w14:textId="77777777" w:rsidR="004B2808" w:rsidRDefault="00000000">
      <w:pPr>
        <w:pStyle w:val="pheading"/>
      </w:pPr>
      <w:r>
        <w:t>- unité de mesure:</w:t>
      </w:r>
    </w:p>
    <w:p w14:paraId="60F99FC7" w14:textId="77777777" w:rsidR="004B2808" w:rsidRDefault="00000000">
      <w:r>
        <w:t>m³</w:t>
      </w:r>
    </w:p>
    <w:p w14:paraId="63738E3A" w14:textId="77777777" w:rsidR="004B2808" w:rsidRDefault="00000000">
      <w:pPr>
        <w:pStyle w:val="pheading"/>
      </w:pPr>
      <w:r>
        <w:t>- code de mesurage:</w:t>
      </w:r>
    </w:p>
    <w:p w14:paraId="6324275A" w14:textId="77777777" w:rsidR="004B2808" w:rsidRDefault="00000000">
      <w:r>
        <w:t>Volume net de la construction à isoler, sans déduction des éléments de structure interposés.</w:t>
      </w:r>
      <w:r>
        <w:br/>
        <w:t>Suivant la densité prescrite.</w:t>
      </w:r>
      <w:r>
        <w:br/>
        <w:t>Les ouvertures supérieures à 0,5 m² multipliées par l’épaisseur à réaliser sont déduites.</w:t>
      </w:r>
    </w:p>
    <w:p w14:paraId="7D069131" w14:textId="77777777" w:rsidR="004B2808" w:rsidRDefault="00000000">
      <w:pPr>
        <w:pStyle w:val="pheading"/>
      </w:pPr>
      <w:r>
        <w:t>- nature du marché:</w:t>
      </w:r>
    </w:p>
    <w:p w14:paraId="7FFCFB69" w14:textId="77777777" w:rsidR="004B2808" w:rsidRDefault="00000000">
      <w:r>
        <w:t>QF</w:t>
      </w:r>
    </w:p>
    <w:p w14:paraId="2745D9AA" w14:textId="77777777" w:rsidR="004B2808" w:rsidRDefault="00000000">
      <w:pPr>
        <w:pStyle w:val="Author-eSectionHeading6Numberless"/>
      </w:pPr>
      <w:bookmarkStart w:id="466" w:name="_Toc220490641"/>
      <w:r>
        <w:t>52.44.2c Isolation à souffler - fibres de verre CCTB 01.07</w:t>
      </w:r>
      <w:bookmarkEnd w:id="466"/>
    </w:p>
    <w:p w14:paraId="3DBC259A" w14:textId="77777777" w:rsidR="004B2808" w:rsidRDefault="00000000">
      <w:pPr>
        <w:pStyle w:val="pheading"/>
      </w:pPr>
      <w:r>
        <w:t>DESCRIPTION</w:t>
      </w:r>
    </w:p>
    <w:p w14:paraId="75FB4C6D" w14:textId="77777777" w:rsidR="004B2808" w:rsidRDefault="00000000">
      <w:pPr>
        <w:pStyle w:val="pheading"/>
      </w:pPr>
      <w:r>
        <w:t>- Définition / Comprend</w:t>
      </w:r>
    </w:p>
    <w:p w14:paraId="44AFD660" w14:textId="77777777" w:rsidR="004B2808" w:rsidRDefault="00000000">
      <w:r>
        <w:t>Il s'agit de la réalisation d'une isolation en fibres de verre insufflées suivant les prescriptions de l'article 32.44.2c Isolation à souffler - fibres de verre.</w:t>
      </w:r>
    </w:p>
    <w:p w14:paraId="28C0068E" w14:textId="77777777" w:rsidR="004B2808" w:rsidRDefault="00000000">
      <w:pPr>
        <w:pStyle w:val="pheading"/>
      </w:pPr>
      <w:r>
        <w:t>MATÉRIAUX</w:t>
      </w:r>
    </w:p>
    <w:p w14:paraId="69C83BB7" w14:textId="77777777" w:rsidR="004B2808" w:rsidRDefault="00000000">
      <w:pPr>
        <w:pStyle w:val="pheading"/>
      </w:pPr>
      <w:r>
        <w:lastRenderedPageBreak/>
        <w:t>- Caractéristiques générales</w:t>
      </w:r>
    </w:p>
    <w:p w14:paraId="41A7DC48" w14:textId="77777777" w:rsidR="004B2808" w:rsidRDefault="00000000">
      <w:r>
        <w:t>Voir 32.44.2c Isolation à souffler - fibres de verre.</w:t>
      </w:r>
    </w:p>
    <w:p w14:paraId="5FBA9936" w14:textId="77777777" w:rsidR="004B2808" w:rsidRDefault="00000000">
      <w:pPr>
        <w:pStyle w:val="pheading"/>
      </w:pPr>
      <w:r>
        <w:t>- Prescriptions complémentaires</w:t>
      </w:r>
    </w:p>
    <w:p w14:paraId="14948B68" w14:textId="77777777" w:rsidR="004B2808" w:rsidRDefault="00000000">
      <w:r>
        <w:t>Voir 32.44.2c Isolation à souffler - fibres de verre.</w:t>
      </w:r>
    </w:p>
    <w:p w14:paraId="21B4BFA4" w14:textId="77777777" w:rsidR="004B2808" w:rsidRDefault="00000000">
      <w:pPr>
        <w:pStyle w:val="pheading"/>
      </w:pPr>
      <w:r>
        <w:t>DOCUMENTS DE RÉFÉRENCE COMPLÉMENTAIRES</w:t>
      </w:r>
    </w:p>
    <w:p w14:paraId="2E28CC86" w14:textId="77777777" w:rsidR="004B2808" w:rsidRDefault="00000000">
      <w:pPr>
        <w:pStyle w:val="pheading"/>
      </w:pPr>
      <w:r>
        <w:t>- Matériau</w:t>
      </w:r>
    </w:p>
    <w:p w14:paraId="6E3AF144" w14:textId="77777777" w:rsidR="004B2808" w:rsidRDefault="00000000">
      <w:r>
        <w:t>32.44.2c Isolation à souffler - fibres de verre</w:t>
      </w:r>
    </w:p>
    <w:p w14:paraId="6646AD92" w14:textId="77777777" w:rsidR="004B2808" w:rsidRDefault="00000000">
      <w:pPr>
        <w:pStyle w:val="pheading"/>
      </w:pPr>
      <w:r>
        <w:t>- Exécution</w:t>
      </w:r>
    </w:p>
    <w:p w14:paraId="407D9B39" w14:textId="77777777" w:rsidR="004B2808" w:rsidRDefault="00000000">
      <w:r>
        <w:t>32.44.2c Isolation à souffler - fibres de verre</w:t>
      </w:r>
    </w:p>
    <w:p w14:paraId="2DB8A3BD" w14:textId="77777777" w:rsidR="004B2808" w:rsidRDefault="00000000">
      <w:pPr>
        <w:pStyle w:val="pheading"/>
      </w:pPr>
      <w:r>
        <w:t>MESURAGE</w:t>
      </w:r>
    </w:p>
    <w:p w14:paraId="1F6E4ED2" w14:textId="77777777" w:rsidR="004B2808" w:rsidRDefault="00000000">
      <w:pPr>
        <w:pStyle w:val="pheading"/>
      </w:pPr>
      <w:r>
        <w:t>- unité de mesure:</w:t>
      </w:r>
    </w:p>
    <w:p w14:paraId="65D29ADD" w14:textId="77777777" w:rsidR="004B2808" w:rsidRDefault="00000000">
      <w:r>
        <w:t>m³</w:t>
      </w:r>
    </w:p>
    <w:p w14:paraId="5B8C028D" w14:textId="77777777" w:rsidR="004B2808" w:rsidRDefault="00000000">
      <w:pPr>
        <w:pStyle w:val="pheading"/>
      </w:pPr>
      <w:r>
        <w:t>- code de mesurage:</w:t>
      </w:r>
    </w:p>
    <w:p w14:paraId="254AB523" w14:textId="77777777" w:rsidR="004B2808" w:rsidRDefault="00000000">
      <w:r>
        <w:t>Volume net de la construction à isoler, sans déduction des éléments de structure interposés.</w:t>
      </w:r>
      <w:r>
        <w:br/>
        <w:t>Suivant la densité prescrite.</w:t>
      </w:r>
      <w:r>
        <w:br/>
        <w:t>Les ouvertures supérieures à 0,5 m² multipliées par l’épaisseur à réaliser sont déduites.</w:t>
      </w:r>
    </w:p>
    <w:p w14:paraId="3E13D85B" w14:textId="77777777" w:rsidR="004B2808" w:rsidRDefault="00000000">
      <w:pPr>
        <w:pStyle w:val="pheading"/>
      </w:pPr>
      <w:r>
        <w:t>- nature du marché:</w:t>
      </w:r>
    </w:p>
    <w:p w14:paraId="1A5FF054" w14:textId="77777777" w:rsidR="004B2808" w:rsidRDefault="00000000">
      <w:r>
        <w:t>QF</w:t>
      </w:r>
    </w:p>
    <w:p w14:paraId="6D93951D" w14:textId="77777777" w:rsidR="004B2808" w:rsidRDefault="00000000">
      <w:pPr>
        <w:pStyle w:val="Author-eSectionHeading6Numberless"/>
      </w:pPr>
      <w:bookmarkStart w:id="467" w:name="_Toc220490642"/>
      <w:r>
        <w:t>52.44.2d Isolation à souffler - vermiculite expansée CCTB 01.07</w:t>
      </w:r>
      <w:bookmarkEnd w:id="467"/>
    </w:p>
    <w:p w14:paraId="51CC6821" w14:textId="77777777" w:rsidR="004B2808" w:rsidRDefault="00000000">
      <w:pPr>
        <w:pStyle w:val="pheading"/>
      </w:pPr>
      <w:r>
        <w:t>DESCRIPTION</w:t>
      </w:r>
    </w:p>
    <w:p w14:paraId="29C397BA" w14:textId="77777777" w:rsidR="004B2808" w:rsidRDefault="00000000">
      <w:pPr>
        <w:pStyle w:val="pheading"/>
      </w:pPr>
      <w:r>
        <w:t>- Définition / Comprend</w:t>
      </w:r>
    </w:p>
    <w:p w14:paraId="4FA076F6" w14:textId="77777777" w:rsidR="004B2808" w:rsidRDefault="00000000">
      <w:r>
        <w:t>Il s'agit de la réalisation d'une isolation en vermiculite expansée suivant les prescriptions de l'article 32.44.2d Isolation à souffler - vermiculite expansée.</w:t>
      </w:r>
    </w:p>
    <w:p w14:paraId="5A00A4A4" w14:textId="77777777" w:rsidR="004B2808" w:rsidRDefault="00000000">
      <w:pPr>
        <w:pStyle w:val="pheading"/>
      </w:pPr>
      <w:r>
        <w:t>MATÉRIAUX</w:t>
      </w:r>
    </w:p>
    <w:p w14:paraId="65B90948" w14:textId="77777777" w:rsidR="004B2808" w:rsidRDefault="00000000">
      <w:pPr>
        <w:pStyle w:val="pheading"/>
      </w:pPr>
      <w:r>
        <w:t>- Caractéristiques générales</w:t>
      </w:r>
    </w:p>
    <w:p w14:paraId="06A609F8" w14:textId="77777777" w:rsidR="004B2808" w:rsidRDefault="00000000">
      <w:r>
        <w:t>Voir 32.44.2d Isolation à souffler - vermiculite expansée</w:t>
      </w:r>
    </w:p>
    <w:p w14:paraId="2AD91768" w14:textId="77777777" w:rsidR="004B2808" w:rsidRDefault="00000000">
      <w:pPr>
        <w:pStyle w:val="pheading"/>
      </w:pPr>
      <w:r>
        <w:t>DOCUMENTS DE RÉFÉRENCE COMPLÉMENTAIRES</w:t>
      </w:r>
    </w:p>
    <w:p w14:paraId="6563BFFA" w14:textId="77777777" w:rsidR="004B2808" w:rsidRDefault="00000000">
      <w:pPr>
        <w:pStyle w:val="pheading"/>
      </w:pPr>
      <w:r>
        <w:t>- Matériau</w:t>
      </w:r>
    </w:p>
    <w:p w14:paraId="3EC8D9CC" w14:textId="77777777" w:rsidR="004B2808" w:rsidRDefault="00000000">
      <w:r>
        <w:t>32.44.2d Isolation à souffler - vermiculite expansée</w:t>
      </w:r>
    </w:p>
    <w:p w14:paraId="3A584A3D" w14:textId="77777777" w:rsidR="004B2808" w:rsidRDefault="00000000">
      <w:pPr>
        <w:pStyle w:val="pheading"/>
      </w:pPr>
      <w:r>
        <w:t>- Exécution</w:t>
      </w:r>
    </w:p>
    <w:p w14:paraId="6824EBE9" w14:textId="77777777" w:rsidR="004B2808" w:rsidRDefault="00000000">
      <w:r>
        <w:t>32.44.2d Isolation à souffler - vermiculite expansée</w:t>
      </w:r>
    </w:p>
    <w:p w14:paraId="6B7B3D1B" w14:textId="77777777" w:rsidR="004B2808" w:rsidRDefault="00000000">
      <w:pPr>
        <w:pStyle w:val="pheading"/>
      </w:pPr>
      <w:r>
        <w:t>MESURAGE</w:t>
      </w:r>
    </w:p>
    <w:p w14:paraId="71E4317D" w14:textId="77777777" w:rsidR="004B2808" w:rsidRDefault="00000000">
      <w:pPr>
        <w:pStyle w:val="pheading"/>
      </w:pPr>
      <w:r>
        <w:t>- unité de mesure:</w:t>
      </w:r>
    </w:p>
    <w:p w14:paraId="5A4B6BD7" w14:textId="77777777" w:rsidR="004B2808" w:rsidRDefault="00000000">
      <w:r>
        <w:t>m³</w:t>
      </w:r>
    </w:p>
    <w:p w14:paraId="1A74F272" w14:textId="77777777" w:rsidR="004B2808" w:rsidRDefault="00000000">
      <w:pPr>
        <w:pStyle w:val="pheading"/>
      </w:pPr>
      <w:r>
        <w:t>- code de mesurage:</w:t>
      </w:r>
    </w:p>
    <w:p w14:paraId="1385C301" w14:textId="77777777" w:rsidR="004B2808" w:rsidRDefault="00000000">
      <w:r>
        <w:t>Volume net de la construction à isoler, sans déduction des éléments de structure interposés.</w:t>
      </w:r>
      <w:r>
        <w:br/>
        <w:t>Suivant la densité prescrite.</w:t>
      </w:r>
      <w:r>
        <w:br/>
        <w:t>Les ouvertures supérieures à 0,5 m² multipliées par l’épaisseur à réaliser sont déduites.</w:t>
      </w:r>
    </w:p>
    <w:p w14:paraId="0D96AAB3" w14:textId="77777777" w:rsidR="004B2808" w:rsidRDefault="00000000">
      <w:pPr>
        <w:pStyle w:val="pheading"/>
      </w:pPr>
      <w:r>
        <w:lastRenderedPageBreak/>
        <w:t>- nature du marché:</w:t>
      </w:r>
    </w:p>
    <w:p w14:paraId="681F4461" w14:textId="77777777" w:rsidR="004B2808" w:rsidRDefault="00000000">
      <w:r>
        <w:t>QF</w:t>
      </w:r>
    </w:p>
    <w:p w14:paraId="128F35A7" w14:textId="77777777" w:rsidR="004B2808" w:rsidRDefault="00000000">
      <w:pPr>
        <w:pStyle w:val="Author-eSectionHeading6Numberless"/>
      </w:pPr>
      <w:bookmarkStart w:id="468" w:name="_Toc220490643"/>
      <w:r>
        <w:t>52.44.2e Isolation à souffler - perlite expansée CCTB 01.07</w:t>
      </w:r>
      <w:bookmarkEnd w:id="468"/>
    </w:p>
    <w:p w14:paraId="1B09F72D" w14:textId="77777777" w:rsidR="004B2808" w:rsidRDefault="00000000">
      <w:pPr>
        <w:pStyle w:val="pheading"/>
      </w:pPr>
      <w:r>
        <w:t>DESCRIPTION</w:t>
      </w:r>
    </w:p>
    <w:p w14:paraId="685C32F7" w14:textId="77777777" w:rsidR="004B2808" w:rsidRDefault="00000000">
      <w:pPr>
        <w:pStyle w:val="pheading"/>
      </w:pPr>
      <w:r>
        <w:t>- Définition / Comprend</w:t>
      </w:r>
    </w:p>
    <w:p w14:paraId="341C21B8" w14:textId="77777777" w:rsidR="004B2808" w:rsidRDefault="00000000">
      <w:r>
        <w:t>Il s'agit de la réalisation d'une isolation en perlite expansée suivant les prescriptions de l'article 32.44.2e Isolation à souffler - perlite expansée.</w:t>
      </w:r>
    </w:p>
    <w:p w14:paraId="36467094" w14:textId="77777777" w:rsidR="004B2808" w:rsidRDefault="00000000">
      <w:pPr>
        <w:pStyle w:val="pheading"/>
      </w:pPr>
      <w:r>
        <w:t>MATÉRIAUX</w:t>
      </w:r>
    </w:p>
    <w:p w14:paraId="4759A459" w14:textId="77777777" w:rsidR="004B2808" w:rsidRDefault="00000000">
      <w:pPr>
        <w:pStyle w:val="pheading"/>
      </w:pPr>
      <w:r>
        <w:t>- Caractéristiques générales</w:t>
      </w:r>
    </w:p>
    <w:p w14:paraId="5502C837" w14:textId="77777777" w:rsidR="004B2808" w:rsidRDefault="00000000">
      <w:r>
        <w:t>Voir 32.44.2e Isolation à souffler - perlite expansée</w:t>
      </w:r>
    </w:p>
    <w:p w14:paraId="66C7D6AC" w14:textId="77777777" w:rsidR="004B2808" w:rsidRDefault="00000000">
      <w:pPr>
        <w:pStyle w:val="pheading"/>
      </w:pPr>
      <w:r>
        <w:t>DOCUMENTS DE RÉFÉRENCE COMPLÉMENTAIRES</w:t>
      </w:r>
    </w:p>
    <w:p w14:paraId="1B836585" w14:textId="77777777" w:rsidR="004B2808" w:rsidRDefault="00000000">
      <w:pPr>
        <w:pStyle w:val="pheading"/>
      </w:pPr>
      <w:r>
        <w:t>- Matériau</w:t>
      </w:r>
    </w:p>
    <w:p w14:paraId="1ADA5B69" w14:textId="77777777" w:rsidR="004B2808" w:rsidRDefault="00000000">
      <w:r>
        <w:t>32.44.2e Isolation à souffler - perlite expansée</w:t>
      </w:r>
    </w:p>
    <w:p w14:paraId="45F1988C" w14:textId="77777777" w:rsidR="004B2808" w:rsidRDefault="00000000">
      <w:pPr>
        <w:pStyle w:val="pheading"/>
      </w:pPr>
      <w:r>
        <w:t>- Exécution</w:t>
      </w:r>
    </w:p>
    <w:p w14:paraId="6075FEAF" w14:textId="77777777" w:rsidR="004B2808" w:rsidRDefault="00000000">
      <w:r>
        <w:t>32.44.2e Isolation à souffler - perlite expansée</w:t>
      </w:r>
    </w:p>
    <w:p w14:paraId="29B878E3" w14:textId="77777777" w:rsidR="004B2808" w:rsidRDefault="00000000">
      <w:pPr>
        <w:pStyle w:val="pheading"/>
      </w:pPr>
      <w:r>
        <w:t>MESURAGE</w:t>
      </w:r>
    </w:p>
    <w:p w14:paraId="250252DD" w14:textId="77777777" w:rsidR="004B2808" w:rsidRDefault="00000000">
      <w:pPr>
        <w:pStyle w:val="pheading"/>
      </w:pPr>
      <w:r>
        <w:t>- unité de mesure:</w:t>
      </w:r>
    </w:p>
    <w:p w14:paraId="6531BD2D" w14:textId="77777777" w:rsidR="004B2808" w:rsidRDefault="00000000">
      <w:r>
        <w:t>m³</w:t>
      </w:r>
    </w:p>
    <w:p w14:paraId="40335FD5" w14:textId="77777777" w:rsidR="004B2808" w:rsidRDefault="00000000">
      <w:pPr>
        <w:pStyle w:val="pheading"/>
      </w:pPr>
      <w:r>
        <w:t>- code de mesurage:</w:t>
      </w:r>
    </w:p>
    <w:p w14:paraId="0DF04B38" w14:textId="77777777" w:rsidR="004B2808" w:rsidRDefault="00000000">
      <w:r>
        <w:t>Volume net de la construction à isoler, sans déduction des éléments de structure interposés.</w:t>
      </w:r>
      <w:r>
        <w:br/>
        <w:t>Suivant la densité prescrite.</w:t>
      </w:r>
      <w:r>
        <w:br/>
        <w:t>Les ouvertures supérieures à 0,5 m² multipliées par l’épaisseur à réaliser sont déduites.</w:t>
      </w:r>
    </w:p>
    <w:p w14:paraId="568258D7" w14:textId="77777777" w:rsidR="004B2808" w:rsidRDefault="00000000">
      <w:pPr>
        <w:pStyle w:val="pheading"/>
      </w:pPr>
      <w:r>
        <w:t>- nature du marché:</w:t>
      </w:r>
    </w:p>
    <w:p w14:paraId="61972478" w14:textId="77777777" w:rsidR="004B2808" w:rsidRDefault="00000000">
      <w:r>
        <w:t>QF</w:t>
      </w:r>
    </w:p>
    <w:p w14:paraId="7E5EECCD" w14:textId="77777777" w:rsidR="004B2808" w:rsidRDefault="00000000">
      <w:pPr>
        <w:pStyle w:val="Author-eSectionHeading5Numberless"/>
      </w:pPr>
      <w:bookmarkStart w:id="469" w:name="_Toc220490644"/>
      <w:r>
        <w:t>52.44.3 Isolation à souffler - matières végétales CCTB 01.07</w:t>
      </w:r>
      <w:bookmarkEnd w:id="469"/>
    </w:p>
    <w:p w14:paraId="1AAF732E" w14:textId="77777777" w:rsidR="004B2808" w:rsidRDefault="00000000">
      <w:pPr>
        <w:pStyle w:val="pheading"/>
      </w:pPr>
      <w:r>
        <w:t>EXÉCUTION / MISE EN ŒUVRE</w:t>
      </w:r>
    </w:p>
    <w:p w14:paraId="57E2652E" w14:textId="77777777" w:rsidR="004B2808" w:rsidRDefault="00000000">
      <w:r>
        <w:t>Voir 32.44.3 Isolation à souffler - matières végétales.</w:t>
      </w:r>
    </w:p>
    <w:p w14:paraId="23507BC4" w14:textId="77777777" w:rsidR="004B2808" w:rsidRDefault="00000000">
      <w:pPr>
        <w:pStyle w:val="pheading"/>
      </w:pPr>
      <w:r>
        <w:t>DOCUMENTS DE RÉFÉRENCE</w:t>
      </w:r>
    </w:p>
    <w:p w14:paraId="61A8D0D0" w14:textId="77777777" w:rsidR="004B2808" w:rsidRDefault="00000000">
      <w:pPr>
        <w:pStyle w:val="pheading"/>
      </w:pPr>
      <w:r>
        <w:t>- Matériau</w:t>
      </w:r>
    </w:p>
    <w:p w14:paraId="245FA7C3" w14:textId="77777777" w:rsidR="004B2808" w:rsidRDefault="00000000">
      <w:r>
        <w:t>32.44.3 Isolation à souffler - matières végétales</w:t>
      </w:r>
    </w:p>
    <w:p w14:paraId="04B3A269" w14:textId="77777777" w:rsidR="004B2808" w:rsidRDefault="00000000">
      <w:pPr>
        <w:pStyle w:val="pheading"/>
      </w:pPr>
      <w:r>
        <w:t>- Exécution</w:t>
      </w:r>
    </w:p>
    <w:p w14:paraId="7A6A3CF4" w14:textId="77777777" w:rsidR="004B2808" w:rsidRDefault="00000000">
      <w:r>
        <w:t>32.44.3 Isolation à souffler - matières végétales</w:t>
      </w:r>
    </w:p>
    <w:p w14:paraId="58B1604A" w14:textId="77777777" w:rsidR="004B2808" w:rsidRDefault="00000000">
      <w:pPr>
        <w:pStyle w:val="Author-eSectionHeading6Numberless"/>
      </w:pPr>
      <w:bookmarkStart w:id="470" w:name="_Toc220490645"/>
      <w:r>
        <w:t>52.44.3a Isolation à souffler - fibres cellulosiques CCTB 01.12</w:t>
      </w:r>
      <w:bookmarkEnd w:id="470"/>
    </w:p>
    <w:p w14:paraId="27C7D645" w14:textId="77777777" w:rsidR="004B2808" w:rsidRDefault="00000000">
      <w:pPr>
        <w:pStyle w:val="pheading"/>
      </w:pPr>
      <w:r>
        <w:t>DESCRIPTION</w:t>
      </w:r>
    </w:p>
    <w:p w14:paraId="3873D14F" w14:textId="77777777" w:rsidR="004B2808" w:rsidRDefault="00000000">
      <w:pPr>
        <w:pStyle w:val="pheading"/>
      </w:pPr>
      <w:r>
        <w:t>- Définition / Comprend</w:t>
      </w:r>
    </w:p>
    <w:p w14:paraId="4E319F09" w14:textId="77777777" w:rsidR="004B2808" w:rsidRDefault="00000000">
      <w:pPr>
        <w:jc w:val="both"/>
      </w:pPr>
      <w:r>
        <w:t>Il s’agit de la fourniture et la pose d’une isolation thermique à souffler (insuffler) de fibres cellulosiques pour une application intérieure en caisson fermé.</w:t>
      </w:r>
    </w:p>
    <w:p w14:paraId="60AF0637" w14:textId="77777777" w:rsidR="004B2808" w:rsidRDefault="00000000">
      <w:pPr>
        <w:pStyle w:val="pheading"/>
      </w:pPr>
      <w:r>
        <w:t>- Localisation</w:t>
      </w:r>
    </w:p>
    <w:p w14:paraId="358E660A" w14:textId="77777777" w:rsidR="004B2808" w:rsidRDefault="00000000">
      <w:r>
        <w:lastRenderedPageBreak/>
        <w:t xml:space="preserve">Localisation des travaux : </w:t>
      </w:r>
      <w:r>
        <w:rPr>
          <w:rStyle w:val="optioncarChar"/>
        </w:rPr>
        <w:t>***</w:t>
      </w:r>
      <w:r>
        <w:t>.</w:t>
      </w:r>
    </w:p>
    <w:p w14:paraId="32ED635A" w14:textId="77777777" w:rsidR="004B2808" w:rsidRDefault="00000000">
      <w:r>
        <w:t>Voir plans et métrés détaillés.</w:t>
      </w:r>
    </w:p>
    <w:p w14:paraId="580945BE" w14:textId="77777777" w:rsidR="004B2808" w:rsidRDefault="00000000">
      <w:pPr>
        <w:pStyle w:val="pheading"/>
      </w:pPr>
      <w:r>
        <w:t>MATÉRIAUX</w:t>
      </w:r>
    </w:p>
    <w:p w14:paraId="76C55FE3" w14:textId="77777777" w:rsidR="004B2808" w:rsidRDefault="00000000">
      <w:pPr>
        <w:pStyle w:val="pheading"/>
      </w:pPr>
      <w:r>
        <w:t>- Caractéristiques générales</w:t>
      </w:r>
    </w:p>
    <w:p w14:paraId="0CFC8DD1" w14:textId="77777777" w:rsidR="004B2808" w:rsidRDefault="00000000">
      <w:pPr>
        <w:jc w:val="both"/>
      </w:pPr>
      <w:r>
        <w:t>L’isolation de fibres cellulosiques avant la mise en œuvre est conforme aux exigences et à la description de la [NBN EN 15101-1:2013+A1].</w:t>
      </w:r>
    </w:p>
    <w:p w14:paraId="4FD93243" w14:textId="77777777" w:rsidR="004B2808" w:rsidRDefault="00000000">
      <w:pPr>
        <w:jc w:val="both"/>
      </w:pPr>
      <w:r>
        <w:t>Le produit est constitué de fibres cellulosiques (LFCI). Le produit est conditionné en sacs.</w:t>
      </w:r>
    </w:p>
    <w:p w14:paraId="5A6A1C0A" w14:textId="77777777" w:rsidR="004B2808" w:rsidRDefault="00000000">
      <w:pPr>
        <w:jc w:val="both"/>
      </w:pPr>
      <w:r>
        <w:t>Épaisseur après insufflation (selon [NBN EN 15101-2]) :</w:t>
      </w:r>
      <w:r>
        <w:rPr>
          <w:rStyle w:val="optioncarChar"/>
        </w:rPr>
        <w:t xml:space="preserve"> ***</w:t>
      </w:r>
      <w:r>
        <w:t xml:space="preserve"> cm.</w:t>
      </w:r>
    </w:p>
    <w:p w14:paraId="33C29475" w14:textId="77777777" w:rsidR="004B2808" w:rsidRDefault="00000000">
      <w:pPr>
        <w:jc w:val="both"/>
      </w:pPr>
      <w:r>
        <w:t xml:space="preserve">Masse volumique nominale après mise en œuvre (selon [NBN EN 15101-2]) : </w:t>
      </w:r>
      <w:r>
        <w:rPr>
          <w:rStyle w:val="optioncarChar"/>
        </w:rPr>
        <w:t xml:space="preserve">minimum 45 </w:t>
      </w:r>
      <w:r>
        <w:t xml:space="preserve">(par défaut) </w:t>
      </w:r>
      <w:r>
        <w:rPr>
          <w:rStyle w:val="optioncarChar"/>
        </w:rPr>
        <w:t>/ 50 / 55 / 60 / ***</w:t>
      </w:r>
      <w:r>
        <w:t xml:space="preserve"> kg/m³.</w:t>
      </w:r>
    </w:p>
    <w:p w14:paraId="4AC62AC3" w14:textId="77777777" w:rsidR="004B2808" w:rsidRDefault="00000000">
      <w:pPr>
        <w:jc w:val="both"/>
      </w:pPr>
      <w:r>
        <w:t>Conductivité thermique déclarée (selon [NBN EN 12667]) : ≤</w:t>
      </w:r>
      <w:r>
        <w:rPr>
          <w:rStyle w:val="optioncarChar"/>
        </w:rPr>
        <w:t xml:space="preserve"> 0,04</w:t>
      </w:r>
      <w:r>
        <w:t xml:space="preserve"> (par défaut) </w:t>
      </w:r>
      <w:r>
        <w:rPr>
          <w:rStyle w:val="optioncarChar"/>
        </w:rPr>
        <w:t>/ ***</w:t>
      </w:r>
      <w:r>
        <w:t xml:space="preserve"> W/mK.</w:t>
      </w:r>
    </w:p>
    <w:p w14:paraId="2F636803" w14:textId="77777777" w:rsidR="004B2808" w:rsidRDefault="00000000">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le [Règlement 1907/2006/CE]. La concentration maximum des adjuvants est de </w:t>
      </w:r>
      <w:r>
        <w:rPr>
          <w:rStyle w:val="optioncarChar"/>
        </w:rPr>
        <w:t>4%</w:t>
      </w:r>
      <w:r>
        <w:t xml:space="preserve"> (par défaut)</w:t>
      </w:r>
      <w:r>
        <w:rPr>
          <w:rStyle w:val="optioncarChar"/>
        </w:rPr>
        <w:t xml:space="preserve"> / ***.</w:t>
      </w:r>
    </w:p>
    <w:p w14:paraId="139A0785" w14:textId="77777777" w:rsidR="004B2808" w:rsidRDefault="00000000">
      <w:pPr>
        <w:jc w:val="both"/>
      </w:pPr>
      <w:r>
        <w:t>Conformément au chapitre 02.42.4 Bois provenant de forêts gérées durablement, les fibres de bois utilisées disposent de documents prouvant qu’elles proviennent de forêts gérées durablement.</w:t>
      </w:r>
    </w:p>
    <w:p w14:paraId="171F3749" w14:textId="77777777" w:rsidR="004B2808" w:rsidRDefault="00000000">
      <w:pPr>
        <w:ind w:left="750"/>
      </w:pPr>
      <w:r>
        <w:t> </w:t>
      </w:r>
    </w:p>
    <w:p w14:paraId="2398A750" w14:textId="77777777" w:rsidR="004B2808" w:rsidRDefault="00000000">
      <w:pPr>
        <w:pStyle w:val="pheading"/>
      </w:pPr>
      <w:r>
        <w:t>- Prescriptions complémentaires</w:t>
      </w:r>
    </w:p>
    <w:p w14:paraId="32577FF4" w14:textId="77777777" w:rsidR="004B2808" w:rsidRDefault="00000000">
      <w:pPr>
        <w:jc w:val="both"/>
      </w:pPr>
      <w:r>
        <w:rPr>
          <w:rStyle w:val="facultChar"/>
        </w:rPr>
        <w:t>Coefficient de résistance à la diffusion de vapeur d’eau – valeur μ (selon [NBN EN 12086]) : ≤</w:t>
      </w:r>
      <w:r>
        <w:t xml:space="preserve">  </w:t>
      </w:r>
      <w:r>
        <w:rPr>
          <w:rStyle w:val="optioncarChar"/>
        </w:rPr>
        <w:t>2 / ***</w:t>
      </w:r>
    </w:p>
    <w:p w14:paraId="61D48FF3" w14:textId="77777777" w:rsidR="004B2808" w:rsidRDefault="00000000">
      <w:pPr>
        <w:jc w:val="both"/>
      </w:pPr>
      <w:r>
        <w:rPr>
          <w:rStyle w:val="facultChar"/>
        </w:rPr>
        <w:t>L’absorption d’eau à court terme déterminée conformément à la [NBN EN ISO 29767] est ≤</w:t>
      </w:r>
      <w:r>
        <w:t xml:space="preserve">  </w:t>
      </w:r>
      <w:r>
        <w:rPr>
          <w:rStyle w:val="optioncarChar"/>
        </w:rPr>
        <w:t xml:space="preserve">1kg/m³ - classe WS1 </w:t>
      </w:r>
      <w:r>
        <w:t>(par défaut)</w:t>
      </w:r>
      <w:r>
        <w:rPr>
          <w:rStyle w:val="optioncarChar"/>
        </w:rPr>
        <w:t xml:space="preserve"> / 2kg/m³ - WS2 / ***</w:t>
      </w:r>
      <w:r>
        <w:t>.</w:t>
      </w:r>
    </w:p>
    <w:p w14:paraId="32A35517" w14:textId="77777777" w:rsidR="004B2808" w:rsidRDefault="00000000">
      <w:pPr>
        <w:jc w:val="both"/>
      </w:pPr>
      <w:r>
        <w:rPr>
          <w:rStyle w:val="facultChar"/>
        </w:rPr>
        <w:t>La résistance au tassement déterminée conformément  à la [NBN EN 15101-1:2013+A1] est ≤</w:t>
      </w:r>
      <w:r>
        <w:rPr>
          <w:rStyle w:val="optioncarChar"/>
        </w:rPr>
        <w:t xml:space="preserve">15% - classe SH15 </w:t>
      </w:r>
      <w:r>
        <w:t xml:space="preserve">(par défaut) </w:t>
      </w:r>
      <w:r>
        <w:rPr>
          <w:rStyle w:val="optioncarChar"/>
        </w:rPr>
        <w:t>/ 1% - SH0 / 5% - SH5 / 10% - SH10 / 20% - SH20 / 25% - SH25 / ***.</w:t>
      </w:r>
    </w:p>
    <w:p w14:paraId="3F0417D7" w14:textId="77777777" w:rsidR="004B2808" w:rsidRDefault="00000000">
      <w:pPr>
        <w:jc w:val="both"/>
      </w:pPr>
      <w:r>
        <w:rPr>
          <w:rStyle w:val="facultChar"/>
        </w:rPr>
        <w:t>La résistance au moisissures déterminée conformément à la [NBN EN 15101-1:2013+A1] est de classe</w:t>
      </w:r>
      <w:r>
        <w:t xml:space="preserve">  </w:t>
      </w:r>
      <w:r>
        <w:rPr>
          <w:rStyle w:val="optioncarChar"/>
        </w:rPr>
        <w:t xml:space="preserve">BA 0 (aucune moisissure) / BA 1 </w:t>
      </w:r>
      <w:r>
        <w:t>(par défaut)</w:t>
      </w:r>
      <w:r>
        <w:rPr>
          <w:rStyle w:val="optioncarChar"/>
        </w:rPr>
        <w:t xml:space="preserve"> / BA 2 / BA 3</w:t>
      </w:r>
      <w:r>
        <w:t>.</w:t>
      </w:r>
    </w:p>
    <w:p w14:paraId="1B136DB2" w14:textId="77777777" w:rsidR="004B2808" w:rsidRDefault="00000000">
      <w:pPr>
        <w:jc w:val="both"/>
      </w:pPr>
      <w:r>
        <w:rPr>
          <w:rStyle w:val="facultChar"/>
        </w:rPr>
        <w:t>Classement de la réaction au feu (selon [NBN EN 13501-1]) :</w:t>
      </w:r>
      <w:r>
        <w:rPr>
          <w:rStyle w:val="optioncarChar"/>
        </w:rPr>
        <w:t xml:space="preserve">B-s2,d0 </w:t>
      </w:r>
      <w:r>
        <w:t xml:space="preserve">(par défaut) </w:t>
      </w:r>
      <w:r>
        <w:rPr>
          <w:rStyle w:val="optioncarChar"/>
        </w:rPr>
        <w:t>/ ***</w:t>
      </w:r>
      <w:r>
        <w:t>.</w:t>
      </w:r>
    </w:p>
    <w:p w14:paraId="5364104B" w14:textId="77777777" w:rsidR="004B2808" w:rsidRDefault="00000000">
      <w:pPr>
        <w:jc w:val="both"/>
      </w:pPr>
      <w:r>
        <w:rPr>
          <w:rStyle w:val="facultChar"/>
        </w:rPr>
        <w:t>La teneur en humidité est ≤</w:t>
      </w:r>
      <w:r>
        <w:t xml:space="preserve">  </w:t>
      </w:r>
      <w:r>
        <w:rPr>
          <w:rStyle w:val="optioncarChar"/>
        </w:rPr>
        <w:t>8</w:t>
      </w:r>
      <w:r>
        <w:t xml:space="preserve"> (par défaut)</w:t>
      </w:r>
      <w:r>
        <w:rPr>
          <w:rStyle w:val="optioncarChar"/>
        </w:rPr>
        <w:t xml:space="preserve"> / 10 / ***</w:t>
      </w:r>
      <w:r>
        <w:rPr>
          <w:rStyle w:val="facultChar"/>
        </w:rPr>
        <w:t>%</w:t>
      </w:r>
      <w:r>
        <w:t>.</w:t>
      </w:r>
    </w:p>
    <w:p w14:paraId="40D1E3CA" w14:textId="77777777" w:rsidR="004B2808" w:rsidRDefault="00000000">
      <w:pPr>
        <w:jc w:val="both"/>
      </w:pPr>
      <w:r>
        <w:rPr>
          <w:rStyle w:val="facultChar"/>
        </w:rPr>
        <w:t>Le matériau doit répondre aux critères d’acceptabilité des produits tels que définis dans le chapitre 02.42.1 Critères d'acceptabilité.</w:t>
      </w:r>
    </w:p>
    <w:p w14:paraId="4F1C8E5B" w14:textId="77777777" w:rsidR="004B2808" w:rsidRDefault="00000000">
      <w:pPr>
        <w:pStyle w:val="pheading"/>
      </w:pPr>
      <w:r>
        <w:t>EXÉCUTION / MISE EN ŒUVRE</w:t>
      </w:r>
    </w:p>
    <w:p w14:paraId="158E07F6" w14:textId="77777777" w:rsidR="004B2808" w:rsidRDefault="00000000">
      <w:pPr>
        <w:pStyle w:val="pheading"/>
      </w:pPr>
      <w:r>
        <w:t>- Prescriptions générales</w:t>
      </w:r>
    </w:p>
    <w:p w14:paraId="04D4261D" w14:textId="77777777" w:rsidR="004B2808" w:rsidRDefault="00000000">
      <w:pPr>
        <w:jc w:val="both"/>
      </w:pPr>
      <w:r>
        <w:t>La mise en œuvre par soufflage des fibres cellulosiques ainsi que les contrôles des épaisseurs et de la densité sont conformes à la [NBN EN 15101-2]. La matière première est livrée sur chantier au plus près de la date d’application(maximum 3 jours). Elle est stockée à l'abri des intempéries et dans un local sec. Si la durée de stockage est plus longue, un contrôle du taux d’humidité est effectué conformément à l'article 03.41.1b Mesures du taux d'humidité dans le bois.</w:t>
      </w:r>
    </w:p>
    <w:p w14:paraId="59C6CD6C" w14:textId="77777777" w:rsidR="004B2808" w:rsidRDefault="00000000">
      <w:pPr>
        <w:jc w:val="both"/>
      </w:pPr>
      <w:r>
        <w:t>Le soufflage est réalisé par machine permettant le broyage et le soufflage sous pression de la fibre  cellulosique.</w:t>
      </w:r>
    </w:p>
    <w:p w14:paraId="3AC38C7D" w14:textId="77777777" w:rsidR="004B2808" w:rsidRDefault="00000000">
      <w:pPr>
        <w:jc w:val="both"/>
      </w:pPr>
      <w:r>
        <w:t>La mise en œuvre de l’isolation est conforme à la [NIT 233] pour les cloisons et parois de séparation et à la [NIT 232] pour les plafonds.</w:t>
      </w:r>
    </w:p>
    <w:p w14:paraId="7AF17298" w14:textId="77777777" w:rsidR="004B2808" w:rsidRDefault="00000000">
      <w:pPr>
        <w:jc w:val="both"/>
      </w:pPr>
      <w:r>
        <w:t>L’élément caisson destiné à être insufflé est réalisé sous forme de module fermé suffisamment étanche pour permettre une mise en œuvre sous pression sans perte d’isolation. Il y a lieu de ne pas mettre le matériau en contact avec des conduits de fumée. Il convient de respecter la distance de sécurité minimale prévue dans les normes [NBN EN 15287-1] et [NBN EN 15287-2].</w:t>
      </w:r>
    </w:p>
    <w:p w14:paraId="1BC63399" w14:textId="77777777" w:rsidR="004B2808" w:rsidRDefault="00000000">
      <w:pPr>
        <w:jc w:val="both"/>
      </w:pPr>
      <w:r>
        <w:lastRenderedPageBreak/>
        <w:t>L’applicateur doit s’assurer que les canalisations électriques posées dans les vides de construction sont placées sous conduit non propagateur de la flamme.</w:t>
      </w:r>
    </w:p>
    <w:p w14:paraId="1DB62A28" w14:textId="77777777" w:rsidR="004B2808" w:rsidRDefault="00000000">
      <w:pPr>
        <w:jc w:val="both"/>
      </w:pPr>
      <w:r>
        <w:t>L’isolant ne doit jamais être mis en contact direct avec les dispositifs d’éclairage encastrés.</w:t>
      </w:r>
    </w:p>
    <w:p w14:paraId="707C157F" w14:textId="77777777" w:rsidR="004B2808" w:rsidRDefault="00000000">
      <w:pPr>
        <w:jc w:val="both"/>
      </w:pPr>
      <w:r>
        <w:t>Cet isolant est protégé de l’humidité durant les phases de chantier et de vie du bâtiment. Son utilisation se limite à des locaux de classe de climat intérieur 1 ou 2.</w:t>
      </w:r>
    </w:p>
    <w:p w14:paraId="6351A897" w14:textId="77777777" w:rsidR="004B2808" w:rsidRDefault="00000000">
      <w:pPr>
        <w:pStyle w:val="pheading"/>
      </w:pPr>
      <w:r>
        <w:t>DOCUMENTS DE RÉFÉRENCE COMPLÉMENTAIRES</w:t>
      </w:r>
    </w:p>
    <w:p w14:paraId="4EBD81A5" w14:textId="77777777" w:rsidR="004B2808" w:rsidRDefault="00000000">
      <w:pPr>
        <w:pStyle w:val="pheading"/>
      </w:pPr>
      <w:r>
        <w:t>- Matériau</w:t>
      </w:r>
    </w:p>
    <w:p w14:paraId="57237A25" w14:textId="77777777" w:rsidR="004B2808" w:rsidRDefault="00000000">
      <w:r>
        <w:t>[NBN EN 15101-1:2013+A1, Produits isolants thermiques destinés aux applications du bâtiment - Isolation thermique formée en place à base de cellulose (LFCI) - Partie 1 : Spécification des produits en vrac avant la mise en œuvre]</w:t>
      </w:r>
    </w:p>
    <w:p w14:paraId="0711CA2B" w14:textId="77777777" w:rsidR="004B2808" w:rsidRDefault="00000000">
      <w:r>
        <w:t>[NBN EN 15101-2, Produits isolants thermiques destinés aux applications du bâtiment - Isolation thermique formée en place à base de cellulose (LFCI) - Partie 2: Spécifications des produits mis en œuvre] </w:t>
      </w:r>
    </w:p>
    <w:p w14:paraId="5085763D" w14:textId="77777777" w:rsidR="004B2808"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2B15D8DB" w14:textId="77777777" w:rsidR="004B2808" w:rsidRDefault="00000000">
      <w:r>
        <w:t>[NBN EN 12086, Produits isolants thermiques destinés aux applications du bâtiment - Détermination des propriétés de transmission de la vapeur d'eau] </w:t>
      </w:r>
    </w:p>
    <w:p w14:paraId="002D031C" w14:textId="77777777" w:rsidR="004B2808" w:rsidRDefault="00000000">
      <w:r>
        <w:t>[NBN EN ISO 846, Plastiques - Évaluation de l'action des micro-organismes (ISO 846:2019)]</w:t>
      </w:r>
    </w:p>
    <w:p w14:paraId="59DCE977" w14:textId="77777777" w:rsidR="004B2808" w:rsidRDefault="00000000">
      <w:r>
        <w:t>[NBN EN 13501-1, Classement au feu des produits et éléments de construction - Partie 1: Classement à partir des données d'essais de réaction au feu]</w:t>
      </w:r>
    </w:p>
    <w:p w14:paraId="0AF55F17" w14:textId="77777777" w:rsidR="004B2808" w:rsidRDefault="00000000">
      <w:pPr>
        <w:pStyle w:val="pheading"/>
      </w:pPr>
      <w:r>
        <w:t>- Exécution</w:t>
      </w:r>
    </w:p>
    <w:p w14:paraId="024DA397" w14:textId="77777777" w:rsidR="004B2808" w:rsidRDefault="00000000">
      <w:r>
        <w:t>[NBN EN 13501-1, Classement au feu des produits et éléments de construction - Partie 1: Classement à partir des données d'essais de réaction au feu]</w:t>
      </w:r>
    </w:p>
    <w:p w14:paraId="77898E1A" w14:textId="77777777" w:rsidR="004B2808" w:rsidRDefault="00000000">
      <w:r>
        <w:t>[NBN EN 15287-1, Conduits de fumée - Conception, installation et mise en service - Partie 1: Conduits de fumée et conduits de raccordement pour appareils de combustion qui prélèvent l’air comburant dans la pièce]</w:t>
      </w:r>
    </w:p>
    <w:p w14:paraId="731D68C4" w14:textId="77777777" w:rsidR="004B2808" w:rsidRDefault="00000000">
      <w:r>
        <w:t>[NBN EN 15287-2, Conduits de fumée - Conception, installation et mise en service - Partie 2 : Conduits de fumée et conduits de raccordement pour appareils de combustion à circuit étanche]</w:t>
      </w:r>
    </w:p>
    <w:p w14:paraId="4A491892" w14:textId="77777777" w:rsidR="004B2808" w:rsidRDefault="00000000">
      <w:r>
        <w:t>[NIT 251, L'isolation thermique des toitures à versants]</w:t>
      </w:r>
    </w:p>
    <w:p w14:paraId="71406C22" w14:textId="77777777" w:rsidR="004B2808" w:rsidRDefault="00000000">
      <w:pPr>
        <w:pStyle w:val="pheading"/>
      </w:pPr>
      <w:r>
        <w:t>MESURAGE</w:t>
      </w:r>
    </w:p>
    <w:p w14:paraId="4F813F0C" w14:textId="77777777" w:rsidR="004B2808" w:rsidRDefault="00000000">
      <w:pPr>
        <w:pStyle w:val="pheading"/>
      </w:pPr>
      <w:r>
        <w:t>- unité de mesure:</w:t>
      </w:r>
    </w:p>
    <w:p w14:paraId="2C5CA260" w14:textId="77777777" w:rsidR="004B2808" w:rsidRDefault="00000000">
      <w:r>
        <w:rPr>
          <w:rStyle w:val="optioncarChar"/>
        </w:rPr>
        <w:t xml:space="preserve">m² </w:t>
      </w:r>
      <w:r>
        <w:t xml:space="preserve">(par défaut) </w:t>
      </w:r>
      <w:r>
        <w:rPr>
          <w:rStyle w:val="optioncarChar"/>
        </w:rPr>
        <w:t>/ m³</w:t>
      </w:r>
    </w:p>
    <w:p w14:paraId="78CE0FBE" w14:textId="77777777" w:rsidR="004B2808" w:rsidRDefault="00000000">
      <w:r>
        <w:rPr>
          <w:b/>
          <w:i/>
        </w:rPr>
        <w:t>(Soit par défaut)</w:t>
      </w:r>
    </w:p>
    <w:p w14:paraId="143EE82F" w14:textId="77777777" w:rsidR="004B2808" w:rsidRDefault="00000000">
      <w:r>
        <w:rPr>
          <w:rStyle w:val="soitChar"/>
        </w:rPr>
        <w:t>1.  m²</w:t>
      </w:r>
      <w:r>
        <w:br/>
      </w:r>
    </w:p>
    <w:p w14:paraId="4C5E05CD" w14:textId="77777777" w:rsidR="004B2808" w:rsidRDefault="00000000">
      <w:r>
        <w:rPr>
          <w:b/>
          <w:i/>
        </w:rPr>
        <w:t>(Soit)</w:t>
      </w:r>
    </w:p>
    <w:p w14:paraId="4E116230" w14:textId="77777777" w:rsidR="004B2808" w:rsidRDefault="00000000">
      <w:r>
        <w:rPr>
          <w:rStyle w:val="soitChar"/>
        </w:rPr>
        <w:t>2.  m³</w:t>
      </w:r>
    </w:p>
    <w:p w14:paraId="0BF0A7AD" w14:textId="77777777" w:rsidR="004B2808" w:rsidRDefault="00000000">
      <w:pPr>
        <w:pStyle w:val="pheading"/>
      </w:pPr>
      <w:r>
        <w:t>- code de mesurage:</w:t>
      </w:r>
    </w:p>
    <w:p w14:paraId="2A5D6254" w14:textId="77777777" w:rsidR="004B2808" w:rsidRDefault="00000000">
      <w:pPr>
        <w:jc w:val="both"/>
      </w:pPr>
      <w:r>
        <w:rPr>
          <w:rStyle w:val="optioncarChar"/>
        </w:rPr>
        <w:t>Surface nette</w:t>
      </w:r>
      <w:r>
        <w:t xml:space="preserve"> (par défaut)</w:t>
      </w:r>
      <w:r>
        <w:rPr>
          <w:rStyle w:val="optioncarChar"/>
        </w:rPr>
        <w:t xml:space="preserve"> / Volume net</w:t>
      </w:r>
    </w:p>
    <w:p w14:paraId="5B91F91F" w14:textId="77777777" w:rsidR="004B2808" w:rsidRDefault="00000000">
      <w:pPr>
        <w:jc w:val="both"/>
      </w:pPr>
      <w:r>
        <w:rPr>
          <w:b/>
          <w:i/>
        </w:rPr>
        <w:t>(Soit par défaut)</w:t>
      </w:r>
    </w:p>
    <w:p w14:paraId="0A0EF47B" w14:textId="77777777" w:rsidR="004B2808" w:rsidRDefault="00000000">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inférieures à 0.5 m² ne sont pas déduites. Distinction faite suivant l'épaisseur.$</w:t>
      </w:r>
    </w:p>
    <w:p w14:paraId="7AC5BA78" w14:textId="77777777" w:rsidR="004B2808" w:rsidRDefault="00000000">
      <w:pPr>
        <w:jc w:val="both"/>
      </w:pPr>
      <w:r>
        <w:rPr>
          <w:b/>
          <w:i/>
        </w:rPr>
        <w:lastRenderedPageBreak/>
        <w:t>(Soit)</w:t>
      </w:r>
    </w:p>
    <w:p w14:paraId="0E8F78BF" w14:textId="77777777" w:rsidR="004B2808" w:rsidRDefault="00000000">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w:t>
      </w:r>
    </w:p>
    <w:p w14:paraId="3117E146" w14:textId="77777777" w:rsidR="004B2808" w:rsidRDefault="00000000">
      <w:pPr>
        <w:pStyle w:val="pheading"/>
      </w:pPr>
      <w:r>
        <w:t>- nature du marché:</w:t>
      </w:r>
    </w:p>
    <w:p w14:paraId="7C2A0282" w14:textId="77777777" w:rsidR="004B2808" w:rsidRDefault="00000000">
      <w:r>
        <w:t>QF</w:t>
      </w:r>
    </w:p>
    <w:p w14:paraId="72AF2B63" w14:textId="77777777" w:rsidR="004B2808" w:rsidRDefault="00000000">
      <w:pPr>
        <w:pStyle w:val="Author-eSectionHeading6Numberless"/>
      </w:pPr>
      <w:bookmarkStart w:id="471" w:name="_Toc220490646"/>
      <w:r>
        <w:t>52.44.3b Isolation à souffler - granulés d'argile expansée CCTB 01.10</w:t>
      </w:r>
      <w:bookmarkEnd w:id="471"/>
    </w:p>
    <w:p w14:paraId="4520600A" w14:textId="77777777" w:rsidR="004B2808" w:rsidRDefault="00000000">
      <w:pPr>
        <w:pStyle w:val="pheading"/>
      </w:pPr>
      <w:r>
        <w:t>DESCRIPTION</w:t>
      </w:r>
    </w:p>
    <w:p w14:paraId="061128D7" w14:textId="77777777" w:rsidR="004B2808" w:rsidRDefault="00000000">
      <w:pPr>
        <w:pStyle w:val="pheading"/>
      </w:pPr>
      <w:r>
        <w:t>- Définition / Comprend</w:t>
      </w:r>
    </w:p>
    <w:p w14:paraId="5B588556" w14:textId="77777777" w:rsidR="004B2808" w:rsidRDefault="00000000">
      <w:r>
        <w:t>Il s'agit de la réalisation d'une isolation en granulés d'argile expansée suivant les prescriptions de l'article 32.44.3b Isolation à souffler - granulés d'argile expansée.</w:t>
      </w:r>
    </w:p>
    <w:p w14:paraId="6E002E26" w14:textId="77777777" w:rsidR="004B2808" w:rsidRDefault="00000000">
      <w:pPr>
        <w:pStyle w:val="pheading"/>
      </w:pPr>
      <w:r>
        <w:t>MATÉRIAUX</w:t>
      </w:r>
    </w:p>
    <w:p w14:paraId="17F755F4" w14:textId="77777777" w:rsidR="004B2808" w:rsidRDefault="00000000">
      <w:pPr>
        <w:pStyle w:val="pheading"/>
      </w:pPr>
      <w:r>
        <w:t>- Caractéristiques générales</w:t>
      </w:r>
    </w:p>
    <w:p w14:paraId="06A925B8" w14:textId="77777777" w:rsidR="004B2808" w:rsidRDefault="00000000">
      <w:r>
        <w:t>Voir 32.44.3b Isolation à souffler - granulés d'argile expansée.</w:t>
      </w:r>
    </w:p>
    <w:p w14:paraId="2218C08A" w14:textId="77777777" w:rsidR="004B2808" w:rsidRDefault="00000000">
      <w:pPr>
        <w:pStyle w:val="heading"/>
      </w:pPr>
      <w:r>
        <w:t>Spécifications</w:t>
      </w:r>
    </w:p>
    <w:p w14:paraId="2A9F268E" w14:textId="77777777" w:rsidR="004B2808" w:rsidRDefault="00000000">
      <w:r>
        <w:t xml:space="preserve">L’épaisseur d’isolation créée : </w:t>
      </w:r>
      <w:r>
        <w:rPr>
          <w:rStyle w:val="optioncarChar"/>
        </w:rPr>
        <w:t>***</w:t>
      </w:r>
      <w:r>
        <w:t xml:space="preserve"> cm</w:t>
      </w:r>
    </w:p>
    <w:p w14:paraId="3696E6CF" w14:textId="77777777" w:rsidR="004B2808" w:rsidRDefault="00000000">
      <w:r>
        <w:rPr>
          <w:u w:val="single"/>
        </w:rPr>
        <w:t>Caractéristiques de base :</w:t>
      </w:r>
    </w:p>
    <w:p w14:paraId="56216924" w14:textId="77777777" w:rsidR="004B2808" w:rsidRDefault="00000000">
      <w:pPr>
        <w:pStyle w:val="Author-eListParagraph"/>
        <w:numPr>
          <w:ilvl w:val="0"/>
          <w:numId w:val="449"/>
        </w:numPr>
      </w:pPr>
      <w:r>
        <w:t xml:space="preserve">Conductivité thermique, valeur lambda déclarée : max. </w:t>
      </w:r>
      <w:r>
        <w:rPr>
          <w:rStyle w:val="optioncarChar"/>
        </w:rPr>
        <w:t>0.15</w:t>
      </w:r>
      <w:r>
        <w:t> (par défaut)</w:t>
      </w:r>
      <w:r>
        <w:rPr>
          <w:rStyle w:val="optioncarChar"/>
        </w:rPr>
        <w:t> / ***</w:t>
      </w:r>
      <w:r>
        <w:t xml:space="preserve"> W/mK</w:t>
      </w:r>
    </w:p>
    <w:p w14:paraId="5ACB7107" w14:textId="77777777" w:rsidR="004B2808" w:rsidRDefault="00000000">
      <w:pPr>
        <w:pStyle w:val="Author-eListParagraph"/>
        <w:numPr>
          <w:ilvl w:val="0"/>
          <w:numId w:val="449"/>
        </w:numPr>
      </w:pPr>
      <w:r>
        <w:t>Masse volumique nominale : minimum </w:t>
      </w:r>
      <w:r>
        <w:rPr>
          <w:rStyle w:val="optioncarChar"/>
        </w:rPr>
        <w:t xml:space="preserve">*** </w:t>
      </w:r>
      <w:r>
        <w:t>kg/m³</w:t>
      </w:r>
    </w:p>
    <w:p w14:paraId="49BC0969" w14:textId="77777777" w:rsidR="004B2808" w:rsidRDefault="00000000">
      <w:pPr>
        <w:pStyle w:val="Author-eListParagraph"/>
        <w:numPr>
          <w:ilvl w:val="0"/>
          <w:numId w:val="449"/>
        </w:numPr>
      </w:pPr>
      <w:r>
        <w:t xml:space="preserve">Réaction au feu : classe </w:t>
      </w:r>
      <w:r>
        <w:rPr>
          <w:rStyle w:val="optioncarChar"/>
        </w:rPr>
        <w:t>F </w:t>
      </w:r>
      <w:r>
        <w:t>(par défaut)</w:t>
      </w:r>
      <w:r>
        <w:rPr>
          <w:rStyle w:val="optioncarChar"/>
        </w:rPr>
        <w:t xml:space="preserve"> / E / D / C / B / A2 / A1</w:t>
      </w:r>
    </w:p>
    <w:p w14:paraId="4DC1E240" w14:textId="77777777" w:rsidR="004B2808" w:rsidRDefault="00000000">
      <w:r>
        <w:t>Les caractéristiques mécaniques complémentaires sont :</w:t>
      </w:r>
    </w:p>
    <w:p w14:paraId="22119AAD" w14:textId="77777777" w:rsidR="004B2808" w:rsidRDefault="00000000">
      <w:pPr>
        <w:pStyle w:val="Author-eListParagraph"/>
        <w:numPr>
          <w:ilvl w:val="0"/>
          <w:numId w:val="450"/>
        </w:numPr>
      </w:pPr>
      <w:r>
        <w:t xml:space="preserve">La résistance à l’écrasement est supérieure à </w:t>
      </w:r>
      <w:r>
        <w:rPr>
          <w:rStyle w:val="optioncarChar"/>
        </w:rPr>
        <w:t>***</w:t>
      </w:r>
      <w:r>
        <w:t xml:space="preserve"> N/mm²</w:t>
      </w:r>
    </w:p>
    <w:p w14:paraId="1867A821" w14:textId="77777777" w:rsidR="004B2808" w:rsidRDefault="00000000">
      <w:pPr>
        <w:pStyle w:val="Author-eListParagraph"/>
        <w:numPr>
          <w:ilvl w:val="0"/>
          <w:numId w:val="450"/>
        </w:numPr>
      </w:pPr>
      <w:r>
        <w:t xml:space="preserve">Le classement en réaction au feu : </w:t>
      </w:r>
      <w:r>
        <w:rPr>
          <w:rStyle w:val="optioncarChar"/>
        </w:rPr>
        <w:t>***</w:t>
      </w:r>
      <w:r>
        <w:t> </w:t>
      </w:r>
    </w:p>
    <w:p w14:paraId="5BA9C630" w14:textId="77777777" w:rsidR="004B2808" w:rsidRDefault="00000000">
      <w:pPr>
        <w:pStyle w:val="Author-eListParagraph"/>
        <w:numPr>
          <w:ilvl w:val="0"/>
          <w:numId w:val="450"/>
        </w:numPr>
      </w:pPr>
      <w:r>
        <w:t xml:space="preserve">La hauteur de succion d’eau est </w:t>
      </w:r>
      <w:r>
        <w:rPr>
          <w:rStyle w:val="optioncarChar"/>
        </w:rPr>
        <w:t>***</w:t>
      </w:r>
      <w:r>
        <w:t xml:space="preserve"> mm </w:t>
      </w:r>
    </w:p>
    <w:p w14:paraId="1B25153A" w14:textId="77777777" w:rsidR="004B2808" w:rsidRDefault="00000000">
      <w:pPr>
        <w:pStyle w:val="pheading"/>
      </w:pPr>
      <w:r>
        <w:t>EXÉCUTION / MISE EN ŒUVRE</w:t>
      </w:r>
    </w:p>
    <w:p w14:paraId="78AC1A39" w14:textId="77777777" w:rsidR="004B2808" w:rsidRDefault="00000000">
      <w:pPr>
        <w:pStyle w:val="pheading"/>
      </w:pPr>
      <w:r>
        <w:t>- Prescriptions générales</w:t>
      </w:r>
    </w:p>
    <w:p w14:paraId="7D76F9D5" w14:textId="77777777" w:rsidR="004B2808" w:rsidRDefault="00000000">
      <w:r>
        <w:t>Voir 32.44.3b Isolation à souffler - granulés d'argile expansée</w:t>
      </w:r>
    </w:p>
    <w:p w14:paraId="585B6DC4" w14:textId="77777777" w:rsidR="004B2808" w:rsidRDefault="00000000">
      <w:pPr>
        <w:pStyle w:val="pheading"/>
      </w:pPr>
      <w:r>
        <w:t>DOCUMENTS DE RÉFÉRENCE COMPLÉMENTAIRES</w:t>
      </w:r>
    </w:p>
    <w:p w14:paraId="468EEF1D" w14:textId="77777777" w:rsidR="004B2808" w:rsidRDefault="00000000">
      <w:pPr>
        <w:pStyle w:val="pheading"/>
      </w:pPr>
      <w:r>
        <w:t>- Matériau</w:t>
      </w:r>
    </w:p>
    <w:p w14:paraId="74780F7D" w14:textId="77777777" w:rsidR="004B2808" w:rsidRDefault="00000000">
      <w:r>
        <w:t>32.44.3b Isolation à souffler - granulés d'argile expansée</w:t>
      </w:r>
    </w:p>
    <w:p w14:paraId="3CF71417" w14:textId="77777777" w:rsidR="004B2808" w:rsidRDefault="00000000">
      <w:pPr>
        <w:pStyle w:val="pheading"/>
      </w:pPr>
      <w:r>
        <w:t>- Exécution</w:t>
      </w:r>
    </w:p>
    <w:p w14:paraId="6DCA7C90" w14:textId="77777777" w:rsidR="004B2808" w:rsidRDefault="00000000">
      <w:r>
        <w:t>32.44.3b Isolation à souffler - granulés d'argile expansée</w:t>
      </w:r>
    </w:p>
    <w:p w14:paraId="0C1981B9" w14:textId="77777777" w:rsidR="004B2808" w:rsidRDefault="00000000">
      <w:pPr>
        <w:pStyle w:val="pheading"/>
      </w:pPr>
      <w:r>
        <w:t>MESURAGE</w:t>
      </w:r>
    </w:p>
    <w:p w14:paraId="49924EC7" w14:textId="77777777" w:rsidR="004B2808" w:rsidRDefault="00000000">
      <w:pPr>
        <w:pStyle w:val="pheading"/>
      </w:pPr>
      <w:r>
        <w:t>- unité de mesure:</w:t>
      </w:r>
    </w:p>
    <w:p w14:paraId="0CE50775" w14:textId="77777777" w:rsidR="004B2808" w:rsidRDefault="00000000">
      <w:r>
        <w:t>m³</w:t>
      </w:r>
    </w:p>
    <w:p w14:paraId="495BBAD7" w14:textId="77777777" w:rsidR="004B2808" w:rsidRDefault="00000000">
      <w:pPr>
        <w:pStyle w:val="pheading"/>
      </w:pPr>
      <w:r>
        <w:t>- code de mesurage:</w:t>
      </w:r>
    </w:p>
    <w:p w14:paraId="5F1BB1CE" w14:textId="77777777" w:rsidR="004B2808"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448114A9" w14:textId="77777777" w:rsidR="004B2808" w:rsidRDefault="00000000">
      <w:pPr>
        <w:pStyle w:val="pheading"/>
      </w:pPr>
      <w:r>
        <w:lastRenderedPageBreak/>
        <w:t>- nature du marché:</w:t>
      </w:r>
    </w:p>
    <w:p w14:paraId="270275A8" w14:textId="77777777" w:rsidR="004B2808" w:rsidRDefault="00000000">
      <w:r>
        <w:t>QF</w:t>
      </w:r>
    </w:p>
    <w:p w14:paraId="246874D7" w14:textId="77777777" w:rsidR="004B2808" w:rsidRDefault="00000000">
      <w:pPr>
        <w:pStyle w:val="Author-eSectionHeading6Numberless"/>
      </w:pPr>
      <w:bookmarkStart w:id="472" w:name="_Toc220490647"/>
      <w:r>
        <w:t>52.44.3c Isolation à souffler - fibres de lin CCTB 01.10</w:t>
      </w:r>
      <w:bookmarkEnd w:id="472"/>
    </w:p>
    <w:p w14:paraId="56572888" w14:textId="77777777" w:rsidR="004B2808" w:rsidRDefault="00000000">
      <w:pPr>
        <w:pStyle w:val="pheading"/>
      </w:pPr>
      <w:r>
        <w:t>DESCRIPTION</w:t>
      </w:r>
    </w:p>
    <w:p w14:paraId="68BACDBC" w14:textId="77777777" w:rsidR="004B2808" w:rsidRDefault="00000000">
      <w:pPr>
        <w:pStyle w:val="pheading"/>
      </w:pPr>
      <w:r>
        <w:t>- Définition / Comprend</w:t>
      </w:r>
    </w:p>
    <w:p w14:paraId="61738774" w14:textId="77777777" w:rsidR="004B2808" w:rsidRDefault="00000000">
      <w:r>
        <w:t>L’isolation est réalisée à l’aide de fibres courtes de lin suivant prescriptions de l'article 32.44.3c Isolation à souffler - fibres de lin.</w:t>
      </w:r>
    </w:p>
    <w:p w14:paraId="28204509" w14:textId="77777777" w:rsidR="004B2808" w:rsidRDefault="00000000">
      <w:pPr>
        <w:pStyle w:val="pheading"/>
      </w:pPr>
      <w:r>
        <w:t>MATÉRIAUX</w:t>
      </w:r>
    </w:p>
    <w:p w14:paraId="79052037" w14:textId="77777777" w:rsidR="004B2808" w:rsidRDefault="00000000">
      <w:pPr>
        <w:pStyle w:val="pheading"/>
      </w:pPr>
      <w:r>
        <w:t>- Caractéristiques générales</w:t>
      </w:r>
    </w:p>
    <w:p w14:paraId="54B1D5CA" w14:textId="77777777" w:rsidR="004B2808" w:rsidRDefault="00000000">
      <w:r>
        <w:t>Voir 32.44.3c Isolation à souffler - fibres de lin.</w:t>
      </w:r>
    </w:p>
    <w:p w14:paraId="4563914E" w14:textId="77777777" w:rsidR="004B2808" w:rsidRDefault="00000000">
      <w:pPr>
        <w:pStyle w:val="Author-eListParagraph"/>
        <w:numPr>
          <w:ilvl w:val="0"/>
          <w:numId w:val="451"/>
        </w:numPr>
      </w:pPr>
      <w:r>
        <w:t xml:space="preserve">Epaisseur : </w:t>
      </w:r>
      <w:r>
        <w:rPr>
          <w:rStyle w:val="optioncarChar"/>
        </w:rPr>
        <w:t>***</w:t>
      </w:r>
      <w:r>
        <w:t xml:space="preserve"> mm</w:t>
      </w:r>
    </w:p>
    <w:p w14:paraId="17CA3EE5" w14:textId="77777777" w:rsidR="004B2808" w:rsidRDefault="00000000">
      <w:pPr>
        <w:pStyle w:val="Author-eListParagraph"/>
        <w:numPr>
          <w:ilvl w:val="0"/>
          <w:numId w:val="451"/>
        </w:numPr>
      </w:pPr>
      <w:r>
        <w:t>Taux de fibres naturelles : 88 % minimum.</w:t>
      </w:r>
    </w:p>
    <w:p w14:paraId="44DB9DB3" w14:textId="77777777" w:rsidR="004B2808" w:rsidRDefault="00000000">
      <w:pPr>
        <w:pStyle w:val="Author-eListParagraph"/>
        <w:numPr>
          <w:ilvl w:val="0"/>
          <w:numId w:val="451"/>
        </w:numPr>
      </w:pPr>
      <w:r>
        <w:t xml:space="preserve">Densité après insufflation : </w:t>
      </w:r>
      <w:r>
        <w:rPr>
          <w:rStyle w:val="optioncarChar"/>
        </w:rPr>
        <w:t xml:space="preserve">18 </w:t>
      </w:r>
      <w:r>
        <w:t>(par défaut)</w:t>
      </w:r>
      <w:r>
        <w:rPr>
          <w:rStyle w:val="optioncarChar"/>
        </w:rPr>
        <w:t xml:space="preserve"> / ***</w:t>
      </w:r>
      <w:r>
        <w:t xml:space="preserve"> kg/m3 +/- </w:t>
      </w:r>
      <w:r>
        <w:rPr>
          <w:rStyle w:val="optioncarChar"/>
        </w:rPr>
        <w:t>5</w:t>
      </w:r>
      <w:r>
        <w:t xml:space="preserve"> (par défaut)</w:t>
      </w:r>
      <w:r>
        <w:rPr>
          <w:rStyle w:val="optioncarChar"/>
        </w:rPr>
        <w:t xml:space="preserve"> / ***</w:t>
      </w:r>
      <w:r>
        <w:t xml:space="preserve"> %</w:t>
      </w:r>
    </w:p>
    <w:p w14:paraId="383DB2F2" w14:textId="77777777" w:rsidR="004B2808" w:rsidRDefault="00000000">
      <w:pPr>
        <w:pStyle w:val="Author-eListParagraph"/>
        <w:numPr>
          <w:ilvl w:val="0"/>
          <w:numId w:val="451"/>
        </w:numPr>
      </w:pPr>
      <w:r>
        <w:t xml:space="preserve">Conductibilité thermique : </w:t>
      </w:r>
      <w:r>
        <w:rPr>
          <w:rStyle w:val="optioncarChar"/>
        </w:rPr>
        <w:t>0,037 </w:t>
      </w:r>
      <w:r>
        <w:t>(par défaut)</w:t>
      </w:r>
      <w:r>
        <w:rPr>
          <w:rStyle w:val="optioncarChar"/>
        </w:rPr>
        <w:t xml:space="preserve"> / *** </w:t>
      </w:r>
      <w:r>
        <w:t>W/mK</w:t>
      </w:r>
    </w:p>
    <w:p w14:paraId="3206BC5D" w14:textId="77777777" w:rsidR="004B2808" w:rsidRDefault="00000000">
      <w:pPr>
        <w:pStyle w:val="Author-eListParagraph"/>
        <w:numPr>
          <w:ilvl w:val="0"/>
          <w:numId w:val="451"/>
        </w:numPr>
      </w:pPr>
      <w:r>
        <w:t xml:space="preserve">Perméabilité à la vapeur d’eau μ : </w:t>
      </w:r>
      <w:r>
        <w:rPr>
          <w:rStyle w:val="optioncarChar"/>
        </w:rPr>
        <w:t>1</w:t>
      </w:r>
      <w:r>
        <w:t xml:space="preserve"> (par défaut) </w:t>
      </w:r>
      <w:r>
        <w:rPr>
          <w:rStyle w:val="optioncarChar"/>
        </w:rPr>
        <w:t xml:space="preserve">/ *** / 2 </w:t>
      </w:r>
    </w:p>
    <w:p w14:paraId="47751C71" w14:textId="77777777" w:rsidR="004B2808" w:rsidRDefault="00000000">
      <w:pPr>
        <w:pStyle w:val="Author-eListParagraph"/>
        <w:numPr>
          <w:ilvl w:val="0"/>
          <w:numId w:val="451"/>
        </w:numPr>
      </w:pPr>
      <w:r>
        <w:t>Réaction au feu :</w:t>
      </w:r>
      <w:r>
        <w:rPr>
          <w:rStyle w:val="optioncarChar"/>
        </w:rPr>
        <w:t xml:space="preserve"> ***</w:t>
      </w:r>
      <w:r>
        <w:t xml:space="preserve"> .</w:t>
      </w:r>
    </w:p>
    <w:p w14:paraId="72D10107" w14:textId="77777777" w:rsidR="004B2808" w:rsidRDefault="00000000">
      <w:pPr>
        <w:pStyle w:val="Author-eListParagraph"/>
        <w:numPr>
          <w:ilvl w:val="0"/>
          <w:numId w:val="451"/>
        </w:numPr>
      </w:pPr>
      <w:r>
        <w:t>Atténuation acoustique :</w:t>
      </w:r>
      <w:r>
        <w:rPr>
          <w:rStyle w:val="optioncarChar"/>
        </w:rPr>
        <w:t xml:space="preserve"> *** </w:t>
      </w:r>
      <w:r>
        <w:t>.</w:t>
      </w:r>
    </w:p>
    <w:p w14:paraId="57214B8C" w14:textId="77777777" w:rsidR="004B2808" w:rsidRDefault="00000000">
      <w:pPr>
        <w:pStyle w:val="pheading"/>
      </w:pPr>
      <w:r>
        <w:t>EXÉCUTION / MISE EN ŒUVRE</w:t>
      </w:r>
    </w:p>
    <w:p w14:paraId="335C2A2E" w14:textId="77777777" w:rsidR="004B2808" w:rsidRDefault="00000000">
      <w:pPr>
        <w:pStyle w:val="pheading"/>
      </w:pPr>
      <w:r>
        <w:t>- Prescriptions générales</w:t>
      </w:r>
    </w:p>
    <w:p w14:paraId="71CAE4E6" w14:textId="77777777" w:rsidR="004B2808" w:rsidRDefault="00000000">
      <w:r>
        <w:t>Voir 32.44.3c Isolation à souffler - fibres de lin</w:t>
      </w:r>
    </w:p>
    <w:p w14:paraId="0FBC429E" w14:textId="77777777" w:rsidR="004B2808" w:rsidRDefault="00000000">
      <w:pPr>
        <w:pStyle w:val="pheading"/>
      </w:pPr>
      <w:r>
        <w:t>DOCUMENTS DE RÉFÉRENCE COMPLÉMENTAIRES</w:t>
      </w:r>
    </w:p>
    <w:p w14:paraId="44547300" w14:textId="77777777" w:rsidR="004B2808" w:rsidRDefault="00000000">
      <w:pPr>
        <w:pStyle w:val="pheading"/>
      </w:pPr>
      <w:r>
        <w:t>- Matériau</w:t>
      </w:r>
    </w:p>
    <w:p w14:paraId="76CCAB67" w14:textId="77777777" w:rsidR="004B2808" w:rsidRDefault="00000000">
      <w:r>
        <w:t>32.44.3c Isolation à souffler - fibres de lin</w:t>
      </w:r>
    </w:p>
    <w:p w14:paraId="24D8778B" w14:textId="77777777" w:rsidR="004B2808" w:rsidRDefault="00000000">
      <w:pPr>
        <w:pStyle w:val="pheading"/>
      </w:pPr>
      <w:r>
        <w:t>- Exécution</w:t>
      </w:r>
    </w:p>
    <w:p w14:paraId="1F6EE358" w14:textId="77777777" w:rsidR="004B2808" w:rsidRDefault="00000000">
      <w:r>
        <w:t>32.44.3c Isolation à souffler - fibres de lin</w:t>
      </w:r>
    </w:p>
    <w:p w14:paraId="7C146442" w14:textId="77777777" w:rsidR="004B2808" w:rsidRDefault="00000000">
      <w:pPr>
        <w:pStyle w:val="pheading"/>
      </w:pPr>
      <w:r>
        <w:t>MESURAGE</w:t>
      </w:r>
    </w:p>
    <w:p w14:paraId="35572825" w14:textId="77777777" w:rsidR="004B2808" w:rsidRDefault="00000000">
      <w:pPr>
        <w:pStyle w:val="pheading"/>
      </w:pPr>
      <w:r>
        <w:t>- unité de mesure:</w:t>
      </w:r>
    </w:p>
    <w:p w14:paraId="6BABEA22" w14:textId="77777777" w:rsidR="004B2808" w:rsidRDefault="00000000">
      <w:r>
        <w:t>m³</w:t>
      </w:r>
    </w:p>
    <w:p w14:paraId="3D41FA43" w14:textId="77777777" w:rsidR="004B2808" w:rsidRDefault="00000000">
      <w:pPr>
        <w:pStyle w:val="pheading"/>
      </w:pPr>
      <w:r>
        <w:t>- code de mesurage:</w:t>
      </w:r>
    </w:p>
    <w:p w14:paraId="272AA300" w14:textId="77777777" w:rsidR="004B2808"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29BBF57E" w14:textId="77777777" w:rsidR="004B2808" w:rsidRDefault="00000000">
      <w:pPr>
        <w:pStyle w:val="pheading"/>
      </w:pPr>
      <w:r>
        <w:t>- nature du marché:</w:t>
      </w:r>
    </w:p>
    <w:p w14:paraId="2AC5A8FC" w14:textId="77777777" w:rsidR="004B2808" w:rsidRDefault="00000000">
      <w:r>
        <w:t>QF</w:t>
      </w:r>
    </w:p>
    <w:p w14:paraId="7BF08696" w14:textId="77777777" w:rsidR="004B2808" w:rsidRDefault="00000000">
      <w:pPr>
        <w:pStyle w:val="Author-eSectionHeading6Numberless"/>
      </w:pPr>
      <w:bookmarkStart w:id="473" w:name="_Toc220490648"/>
      <w:r>
        <w:t>52.44.3d Isolation à souffler - fibres de coco CCTB 01.12</w:t>
      </w:r>
      <w:bookmarkEnd w:id="473"/>
    </w:p>
    <w:p w14:paraId="55682DCA" w14:textId="77777777" w:rsidR="004B2808" w:rsidRDefault="00000000">
      <w:pPr>
        <w:pStyle w:val="pheading"/>
      </w:pPr>
      <w:r>
        <w:t>DESCRIPTION</w:t>
      </w:r>
    </w:p>
    <w:p w14:paraId="18B17D9F" w14:textId="77777777" w:rsidR="004B2808" w:rsidRDefault="00000000">
      <w:pPr>
        <w:pStyle w:val="pheading"/>
      </w:pPr>
      <w:r>
        <w:t>- Définition / Comprend</w:t>
      </w:r>
    </w:p>
    <w:p w14:paraId="6C2CEB11" w14:textId="77777777" w:rsidR="004B2808" w:rsidRDefault="00000000">
      <w:r>
        <w:t>L’isolation est réalisée à l’aide de fibres de coco suivant prescriptions de l'article 32.44.3d Isolation à souffler - fibres de coco.</w:t>
      </w:r>
    </w:p>
    <w:p w14:paraId="1242CEC2" w14:textId="77777777" w:rsidR="004B2808" w:rsidRDefault="00000000">
      <w:pPr>
        <w:pStyle w:val="pheading"/>
      </w:pPr>
      <w:r>
        <w:lastRenderedPageBreak/>
        <w:t>MATÉRIAUX</w:t>
      </w:r>
    </w:p>
    <w:p w14:paraId="2802AB64" w14:textId="77777777" w:rsidR="004B2808" w:rsidRDefault="00000000">
      <w:pPr>
        <w:pStyle w:val="pheading"/>
      </w:pPr>
      <w:r>
        <w:t>- Caractéristiques générales</w:t>
      </w:r>
    </w:p>
    <w:p w14:paraId="0975D6AD" w14:textId="77777777" w:rsidR="004B2808" w:rsidRDefault="00000000">
      <w:r>
        <w:t>Voir 32.44.3d Isolation à souffler - fibres de coco.</w:t>
      </w:r>
    </w:p>
    <w:p w14:paraId="08B958EF" w14:textId="77777777" w:rsidR="004B2808" w:rsidRDefault="00000000">
      <w:pPr>
        <w:pStyle w:val="Author-eListParagraph"/>
        <w:numPr>
          <w:ilvl w:val="0"/>
          <w:numId w:val="452"/>
        </w:numPr>
      </w:pPr>
      <w:r>
        <w:t>Epaisseur mise en œuvre :</w:t>
      </w:r>
      <w:r>
        <w:rPr>
          <w:rStyle w:val="optioncarChar"/>
        </w:rPr>
        <w:t xml:space="preserve"> ***</w:t>
      </w:r>
      <w:r>
        <w:t xml:space="preserve"> mm</w:t>
      </w:r>
    </w:p>
    <w:p w14:paraId="49957123" w14:textId="77777777" w:rsidR="004B2808" w:rsidRDefault="00000000">
      <w:pPr>
        <w:pStyle w:val="Author-eListParagraph"/>
        <w:numPr>
          <w:ilvl w:val="0"/>
          <w:numId w:val="452"/>
        </w:numPr>
      </w:pPr>
      <w:r>
        <w:t xml:space="preserve">Densité après insufflation : </w:t>
      </w:r>
      <w:r>
        <w:rPr>
          <w:rStyle w:val="optioncarChar"/>
        </w:rPr>
        <w:t>***</w:t>
      </w:r>
      <w:r>
        <w:t xml:space="preserve"> kg/m3 +/- </w:t>
      </w:r>
      <w:r>
        <w:rPr>
          <w:rStyle w:val="optioncarChar"/>
        </w:rPr>
        <w:t>5</w:t>
      </w:r>
      <w:r>
        <w:t xml:space="preserve"> (par défaut)</w:t>
      </w:r>
      <w:r>
        <w:rPr>
          <w:rStyle w:val="optioncarChar"/>
        </w:rPr>
        <w:t xml:space="preserve"> / ***</w:t>
      </w:r>
      <w:r>
        <w:t xml:space="preserve"> %</w:t>
      </w:r>
    </w:p>
    <w:p w14:paraId="05221AEB" w14:textId="77777777" w:rsidR="004B2808" w:rsidRDefault="00000000">
      <w:pPr>
        <w:pStyle w:val="Author-eListParagraph"/>
        <w:numPr>
          <w:ilvl w:val="0"/>
          <w:numId w:val="452"/>
        </w:numPr>
      </w:pPr>
      <w:r>
        <w:t xml:space="preserve">Conductibilité thermique lambda déclarée : </w:t>
      </w:r>
      <w:r>
        <w:rPr>
          <w:rStyle w:val="optioncarChar"/>
        </w:rPr>
        <w:t>0,050 </w:t>
      </w:r>
      <w:r>
        <w:t>(par défaut)</w:t>
      </w:r>
      <w:r>
        <w:rPr>
          <w:rStyle w:val="optioncarChar"/>
        </w:rPr>
        <w:t xml:space="preserve"> / *** </w:t>
      </w:r>
      <w:r>
        <w:t>W/mK</w:t>
      </w:r>
    </w:p>
    <w:p w14:paraId="086F5CA0" w14:textId="77777777" w:rsidR="004B2808" w:rsidRDefault="00000000">
      <w:pPr>
        <w:pStyle w:val="Author-eListParagraph"/>
        <w:numPr>
          <w:ilvl w:val="0"/>
          <w:numId w:val="452"/>
        </w:numPr>
      </w:pPr>
      <w:r>
        <w:t xml:space="preserve">Perméabilité à la vapeur d’eau μ : </w:t>
      </w:r>
      <w:r>
        <w:rPr>
          <w:rStyle w:val="optioncarChar"/>
        </w:rPr>
        <w:t>1</w:t>
      </w:r>
      <w:r>
        <w:t xml:space="preserve"> (par défaut) </w:t>
      </w:r>
      <w:r>
        <w:rPr>
          <w:rStyle w:val="optioncarChar"/>
        </w:rPr>
        <w:t xml:space="preserve">/ *** / 2 </w:t>
      </w:r>
    </w:p>
    <w:p w14:paraId="334122E5" w14:textId="77777777" w:rsidR="004B2808" w:rsidRDefault="00000000">
      <w:pPr>
        <w:pStyle w:val="Author-eListParagraph"/>
        <w:numPr>
          <w:ilvl w:val="0"/>
          <w:numId w:val="452"/>
        </w:numPr>
      </w:pPr>
      <w:r>
        <w:t>Réaction au feu :</w:t>
      </w:r>
      <w:r>
        <w:rPr>
          <w:rStyle w:val="optioncarChar"/>
        </w:rPr>
        <w:t xml:space="preserve"> ***</w:t>
      </w:r>
      <w:r>
        <w:t xml:space="preserve"> .</w:t>
      </w:r>
    </w:p>
    <w:p w14:paraId="64E46A94" w14:textId="77777777" w:rsidR="004B2808" w:rsidRDefault="00000000">
      <w:pPr>
        <w:pStyle w:val="Author-eListParagraph"/>
        <w:numPr>
          <w:ilvl w:val="0"/>
          <w:numId w:val="452"/>
        </w:numPr>
      </w:pPr>
      <w:r>
        <w:t>Atténuation acoustique :</w:t>
      </w:r>
      <w:r>
        <w:rPr>
          <w:rStyle w:val="optioncarChar"/>
        </w:rPr>
        <w:t xml:space="preserve"> *** </w:t>
      </w:r>
      <w:r>
        <w:t>.</w:t>
      </w:r>
    </w:p>
    <w:p w14:paraId="29D9A33B" w14:textId="77777777" w:rsidR="004B2808" w:rsidRDefault="00000000">
      <w:pPr>
        <w:pStyle w:val="pheading"/>
      </w:pPr>
      <w:r>
        <w:t>EXÉCUTION / MISE EN ŒUVRE</w:t>
      </w:r>
    </w:p>
    <w:p w14:paraId="1D57E4C1" w14:textId="77777777" w:rsidR="004B2808" w:rsidRDefault="00000000">
      <w:pPr>
        <w:pStyle w:val="pheading"/>
      </w:pPr>
      <w:r>
        <w:t>- Prescriptions générales</w:t>
      </w:r>
    </w:p>
    <w:p w14:paraId="4FEF7D2E" w14:textId="77777777" w:rsidR="004B2808" w:rsidRDefault="00000000">
      <w:r>
        <w:t>Voir 32.44.3d Isolation à souffler - fibres de coco</w:t>
      </w:r>
    </w:p>
    <w:p w14:paraId="31A228FA" w14:textId="77777777" w:rsidR="004B2808" w:rsidRDefault="00000000">
      <w:pPr>
        <w:pStyle w:val="pheading"/>
      </w:pPr>
      <w:r>
        <w:t>DOCUMENTS DE RÉFÉRENCE COMPLÉMENTAIRES</w:t>
      </w:r>
    </w:p>
    <w:p w14:paraId="350ABB70" w14:textId="77777777" w:rsidR="004B2808" w:rsidRDefault="00000000">
      <w:pPr>
        <w:pStyle w:val="pheading"/>
      </w:pPr>
      <w:r>
        <w:t>- Matériau</w:t>
      </w:r>
    </w:p>
    <w:p w14:paraId="77C58F80" w14:textId="77777777" w:rsidR="004B2808" w:rsidRDefault="00000000">
      <w:r>
        <w:t>32.44.3d Isolation à souffler - fibres de coco</w:t>
      </w:r>
    </w:p>
    <w:p w14:paraId="711F1D34" w14:textId="77777777" w:rsidR="004B2808" w:rsidRDefault="00000000">
      <w:pPr>
        <w:pStyle w:val="pheading"/>
      </w:pPr>
      <w:r>
        <w:t>- Exécution</w:t>
      </w:r>
    </w:p>
    <w:p w14:paraId="51B04FE5" w14:textId="77777777" w:rsidR="004B2808" w:rsidRDefault="00000000">
      <w:r>
        <w:t>32.44.3d Isolation à souffler - fibres de coco</w:t>
      </w:r>
    </w:p>
    <w:p w14:paraId="73F5F5B4" w14:textId="77777777" w:rsidR="004B2808" w:rsidRDefault="00000000">
      <w:pPr>
        <w:pStyle w:val="pheading"/>
      </w:pPr>
      <w:r>
        <w:t>MESURAGE</w:t>
      </w:r>
    </w:p>
    <w:p w14:paraId="3DE001B6" w14:textId="77777777" w:rsidR="004B2808" w:rsidRDefault="00000000">
      <w:pPr>
        <w:pStyle w:val="pheading"/>
      </w:pPr>
      <w:r>
        <w:t>- unité de mesure:</w:t>
      </w:r>
    </w:p>
    <w:p w14:paraId="55AE7EC1" w14:textId="77777777" w:rsidR="004B2808" w:rsidRDefault="00000000">
      <w:r>
        <w:t>m³</w:t>
      </w:r>
    </w:p>
    <w:p w14:paraId="22419193" w14:textId="77777777" w:rsidR="004B2808" w:rsidRDefault="00000000">
      <w:pPr>
        <w:pStyle w:val="pheading"/>
      </w:pPr>
      <w:r>
        <w:t>- code de mesurage:</w:t>
      </w:r>
    </w:p>
    <w:p w14:paraId="487A779D" w14:textId="77777777" w:rsidR="004B2808"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1D4B9941" w14:textId="77777777" w:rsidR="004B2808" w:rsidRDefault="00000000">
      <w:pPr>
        <w:pStyle w:val="pheading"/>
      </w:pPr>
      <w:r>
        <w:t>- nature du marché:</w:t>
      </w:r>
    </w:p>
    <w:p w14:paraId="78431692" w14:textId="77777777" w:rsidR="004B2808" w:rsidRDefault="00000000">
      <w:r>
        <w:t>QF</w:t>
      </w:r>
    </w:p>
    <w:p w14:paraId="40C5D593" w14:textId="77777777" w:rsidR="004B2808" w:rsidRDefault="00000000">
      <w:pPr>
        <w:pStyle w:val="Author-eSectionHeading6Numberless"/>
      </w:pPr>
      <w:bookmarkStart w:id="474" w:name="_Toc220490649"/>
      <w:r>
        <w:t>52.44.3e Isolation à souffler - granulés de liège expansé CCTB 01.12</w:t>
      </w:r>
      <w:bookmarkEnd w:id="474"/>
    </w:p>
    <w:p w14:paraId="009F5008" w14:textId="77777777" w:rsidR="004B2808" w:rsidRDefault="00000000">
      <w:pPr>
        <w:pStyle w:val="pheading"/>
      </w:pPr>
      <w:r>
        <w:t>DESCRIPTION</w:t>
      </w:r>
    </w:p>
    <w:p w14:paraId="7ACDFE65" w14:textId="77777777" w:rsidR="004B2808" w:rsidRDefault="00000000">
      <w:pPr>
        <w:pStyle w:val="pheading"/>
      </w:pPr>
      <w:r>
        <w:t>- Définition / Comprend</w:t>
      </w:r>
    </w:p>
    <w:p w14:paraId="4BA57170" w14:textId="77777777" w:rsidR="004B2808" w:rsidRDefault="00000000">
      <w:r>
        <w:t>L’isolation est réalisée à l’aide de granulés de liège expansé suivant prescriptions de l'article 32.44.3e Isolation à souffler - granulés de liège expansé.</w:t>
      </w:r>
    </w:p>
    <w:p w14:paraId="24FDA7BC" w14:textId="77777777" w:rsidR="004B2808" w:rsidRDefault="00000000">
      <w:pPr>
        <w:pStyle w:val="pheading"/>
      </w:pPr>
      <w:r>
        <w:t>MATÉRIAUX</w:t>
      </w:r>
    </w:p>
    <w:p w14:paraId="3218AD2A" w14:textId="77777777" w:rsidR="004B2808" w:rsidRDefault="00000000">
      <w:pPr>
        <w:pStyle w:val="pheading"/>
      </w:pPr>
      <w:r>
        <w:t>- Caractéristiques générales</w:t>
      </w:r>
    </w:p>
    <w:p w14:paraId="77B8043D" w14:textId="77777777" w:rsidR="004B2808" w:rsidRDefault="00000000">
      <w:r>
        <w:t>Voir 32.44.3e Isolation à souffler - granulés de liège expansé.</w:t>
      </w:r>
    </w:p>
    <w:p w14:paraId="69878C26" w14:textId="77777777" w:rsidR="004B2808" w:rsidRDefault="00000000">
      <w:r>
        <w:t xml:space="preserve">Proportion de granulés de liège expansé issus des filières de recyclage de bouchons et d'isolants en liège expansé dans le matériau mis en œuvre : </w:t>
      </w:r>
      <w:r>
        <w:rPr>
          <w:rStyle w:val="optioncarChar"/>
        </w:rPr>
        <w:t>0 % / *** % minimum / *** % maximum / 100 % </w:t>
      </w:r>
      <w:r>
        <w:t>(par défaut).</w:t>
      </w:r>
    </w:p>
    <w:p w14:paraId="10186E8A" w14:textId="77777777" w:rsidR="004B2808" w:rsidRDefault="00000000">
      <w:pPr>
        <w:pStyle w:val="heading"/>
      </w:pPr>
      <w:r>
        <w:t>Spécifications </w:t>
      </w:r>
    </w:p>
    <w:p w14:paraId="14556AB8" w14:textId="77777777" w:rsidR="004B2808" w:rsidRDefault="00000000">
      <w:r>
        <w:t>Epaisseur d’isolation :</w:t>
      </w:r>
      <w:r>
        <w:rPr>
          <w:rStyle w:val="optioncarChar"/>
        </w:rPr>
        <w:t xml:space="preserve"> *** </w:t>
      </w:r>
      <w:r>
        <w:t>mm.</w:t>
      </w:r>
    </w:p>
    <w:p w14:paraId="2BEBCC5E" w14:textId="77777777" w:rsidR="004B2808" w:rsidRDefault="00000000">
      <w:r>
        <w:rPr>
          <w:u w:val="single"/>
        </w:rPr>
        <w:lastRenderedPageBreak/>
        <w:t>Caractéristiques de base :</w:t>
      </w:r>
    </w:p>
    <w:p w14:paraId="100BFC7B" w14:textId="77777777" w:rsidR="004B2808" w:rsidRDefault="00000000">
      <w:pPr>
        <w:pStyle w:val="Author-eListParagraph"/>
        <w:numPr>
          <w:ilvl w:val="0"/>
          <w:numId w:val="453"/>
        </w:numPr>
      </w:pPr>
      <w:r>
        <w:t xml:space="preserve">Conductivité thermique valeur lambda déclarée : max. </w:t>
      </w:r>
      <w:r>
        <w:rPr>
          <w:rStyle w:val="optioncarChar"/>
        </w:rPr>
        <w:t>0.045</w:t>
      </w:r>
      <w:r>
        <w:t> (par défaut)</w:t>
      </w:r>
      <w:r>
        <w:rPr>
          <w:rStyle w:val="optioncarChar"/>
        </w:rPr>
        <w:t> / ***</w:t>
      </w:r>
      <w:r>
        <w:t xml:space="preserve"> W/mK</w:t>
      </w:r>
    </w:p>
    <w:p w14:paraId="36E1B55A" w14:textId="77777777" w:rsidR="004B2808" w:rsidRDefault="00000000">
      <w:pPr>
        <w:pStyle w:val="Author-eListParagraph"/>
        <w:numPr>
          <w:ilvl w:val="0"/>
          <w:numId w:val="453"/>
        </w:numPr>
      </w:pPr>
      <w:r>
        <w:t xml:space="preserve">Masse volumique nominale après insufflation : environ  </w:t>
      </w:r>
      <w:r>
        <w:rPr>
          <w:rStyle w:val="optioncarChar"/>
        </w:rPr>
        <w:t xml:space="preserve">*** </w:t>
      </w:r>
      <w:r>
        <w:t>kg/m³</w:t>
      </w:r>
    </w:p>
    <w:p w14:paraId="0BF72028" w14:textId="77777777" w:rsidR="004B2808" w:rsidRDefault="00000000">
      <w:pPr>
        <w:pStyle w:val="Author-eListParagraph"/>
        <w:numPr>
          <w:ilvl w:val="0"/>
          <w:numId w:val="453"/>
        </w:numPr>
      </w:pPr>
      <w:r>
        <w:t xml:space="preserve">Réaction au feu  </w:t>
      </w:r>
    </w:p>
    <w:p w14:paraId="22994592" w14:textId="77777777" w:rsidR="004B2808" w:rsidRDefault="00000000">
      <w:pPr>
        <w:pStyle w:val="Author-eListParagraph"/>
        <w:numPr>
          <w:ilvl w:val="1"/>
          <w:numId w:val="454"/>
        </w:numPr>
      </w:pPr>
      <w:r>
        <w:t xml:space="preserve">Spécifique (ICB nu) – application générale: classe </w:t>
      </w:r>
      <w:r>
        <w:rPr>
          <w:rStyle w:val="optioncarChar"/>
        </w:rPr>
        <w:t>E</w:t>
      </w:r>
      <w:r>
        <w:t xml:space="preserve"> (par défaut) </w:t>
      </w:r>
      <w:r>
        <w:rPr>
          <w:rStyle w:val="optioncarChar"/>
        </w:rPr>
        <w:t>/ F / ***</w:t>
      </w:r>
      <w:r>
        <w:t xml:space="preserve"> ou avec additif retardateur au feu : classe </w:t>
      </w:r>
      <w:r>
        <w:rPr>
          <w:rStyle w:val="optioncarChar"/>
        </w:rPr>
        <w:t>B</w:t>
      </w:r>
      <w:r>
        <w:t xml:space="preserve"> (par défaut) </w:t>
      </w:r>
      <w:r>
        <w:rPr>
          <w:rStyle w:val="optioncarChar"/>
        </w:rPr>
        <w:t>/ C / D / E / F / ***</w:t>
      </w:r>
      <w:r>
        <w:t xml:space="preserve"> complétée, le cas échéant par les aspects  </w:t>
      </w:r>
      <w:r>
        <w:rPr>
          <w:rStyle w:val="optioncarChar"/>
        </w:rPr>
        <w:t>s1 </w:t>
      </w:r>
      <w:r>
        <w:t>(par défaut) </w:t>
      </w:r>
      <w:r>
        <w:rPr>
          <w:rStyle w:val="optioncarChar"/>
        </w:rPr>
        <w:t xml:space="preserve"> / s2 / s3 / ***</w:t>
      </w:r>
      <w:r>
        <w:t xml:space="preserve"> et </w:t>
      </w:r>
      <w:r>
        <w:rPr>
          <w:rStyle w:val="optioncarChar"/>
        </w:rPr>
        <w:t>d0 </w:t>
      </w:r>
      <w:r>
        <w:t>(par défaut) </w:t>
      </w:r>
      <w:r>
        <w:rPr>
          <w:rStyle w:val="optioncarChar"/>
        </w:rPr>
        <w:t>/ d1 / d2 / ***</w:t>
      </w:r>
    </w:p>
    <w:p w14:paraId="6D0EBDDD" w14:textId="77777777" w:rsidR="004B2808" w:rsidRDefault="00000000">
      <w:pPr>
        <w:pStyle w:val="Author-eListParagraph"/>
        <w:numPr>
          <w:ilvl w:val="1"/>
          <w:numId w:val="454"/>
        </w:numPr>
      </w:pPr>
      <w:r>
        <w:t xml:space="preserve">ICB revêtu - « end-use »: classe </w:t>
      </w:r>
      <w:r>
        <w:rPr>
          <w:rStyle w:val="optioncarChar"/>
        </w:rPr>
        <w:t>A1 </w:t>
      </w:r>
      <w:r>
        <w:t xml:space="preserve">(par défaut) </w:t>
      </w:r>
      <w:r>
        <w:rPr>
          <w:rStyle w:val="optioncarChar"/>
        </w:rPr>
        <w:t xml:space="preserve">/ A2 / B / C / D </w:t>
      </w:r>
      <w:r>
        <w:t>/ E / F / *** complétée, le cas échéant, par les aspects s1 (par défaut) / s2 / s3 / *** et d0 (par défaut)</w:t>
      </w:r>
      <w:r>
        <w:rPr>
          <w:rStyle w:val="optioncarChar"/>
        </w:rPr>
        <w:t xml:space="preserve"> / d1 / d2 / ***</w:t>
      </w:r>
    </w:p>
    <w:p w14:paraId="6996C098" w14:textId="77777777" w:rsidR="004B2808" w:rsidRDefault="00000000">
      <w:pPr>
        <w:pStyle w:val="Author-eListParagraph"/>
        <w:numPr>
          <w:ilvl w:val="0"/>
          <w:numId w:val="453"/>
        </w:numPr>
      </w:pPr>
      <w:r>
        <w:t xml:space="preserve">Teneur en eau : &lt; </w:t>
      </w:r>
      <w:r>
        <w:rPr>
          <w:rStyle w:val="optioncarChar"/>
        </w:rPr>
        <w:t>***</w:t>
      </w:r>
      <w:r>
        <w:t xml:space="preserve"> %</w:t>
      </w:r>
    </w:p>
    <w:p w14:paraId="5767640E" w14:textId="77777777" w:rsidR="004B2808" w:rsidRDefault="00000000">
      <w:r>
        <w:t> </w:t>
      </w:r>
      <w:r>
        <w:rPr>
          <w:u w:val="single"/>
        </w:rPr>
        <w:t>Autres caractéristiques spécifiques suivant les sollicitations du projet : </w:t>
      </w:r>
    </w:p>
    <w:p w14:paraId="347648F3" w14:textId="77777777" w:rsidR="004B2808" w:rsidRDefault="00000000">
      <w:pPr>
        <w:pStyle w:val="Author-eListParagraph"/>
        <w:numPr>
          <w:ilvl w:val="0"/>
          <w:numId w:val="455"/>
        </w:numPr>
      </w:pPr>
      <w:r>
        <w:t xml:space="preserve">Atténuation acoustique : </w:t>
      </w:r>
      <w:r>
        <w:rPr>
          <w:rStyle w:val="optioncarChar"/>
        </w:rPr>
        <w:t xml:space="preserve">*** </w:t>
      </w:r>
      <w:r>
        <w:t>.</w:t>
      </w:r>
    </w:p>
    <w:p w14:paraId="38D96047" w14:textId="77777777" w:rsidR="004B2808" w:rsidRDefault="00000000">
      <w:pPr>
        <w:pStyle w:val="pheading"/>
      </w:pPr>
      <w:r>
        <w:t>EXÉCUTION / MISE EN ŒUVRE</w:t>
      </w:r>
    </w:p>
    <w:p w14:paraId="064F6102" w14:textId="77777777" w:rsidR="004B2808" w:rsidRDefault="00000000">
      <w:pPr>
        <w:pStyle w:val="pheading"/>
      </w:pPr>
      <w:r>
        <w:t>- Prescriptions générales</w:t>
      </w:r>
    </w:p>
    <w:p w14:paraId="2E493BB5" w14:textId="77777777" w:rsidR="004B2808" w:rsidRDefault="00000000">
      <w:r>
        <w:t>Voir 32.44.3e Isolation à souffler - granulés de liège expansé</w:t>
      </w:r>
    </w:p>
    <w:p w14:paraId="4A844826" w14:textId="77777777" w:rsidR="004B2808" w:rsidRDefault="00000000">
      <w:pPr>
        <w:pStyle w:val="pheading"/>
      </w:pPr>
      <w:r>
        <w:t>DOCUMENTS DE RÉFÉRENCE COMPLÉMENTAIRES</w:t>
      </w:r>
    </w:p>
    <w:p w14:paraId="4FD0B8E3" w14:textId="77777777" w:rsidR="004B2808" w:rsidRDefault="00000000">
      <w:pPr>
        <w:pStyle w:val="pheading"/>
      </w:pPr>
      <w:r>
        <w:t>- Matériau</w:t>
      </w:r>
    </w:p>
    <w:p w14:paraId="1551C990" w14:textId="77777777" w:rsidR="004B2808" w:rsidRDefault="00000000">
      <w:r>
        <w:t>32.44.3e Isolation à souffler - granulés de liège expansé</w:t>
      </w:r>
    </w:p>
    <w:p w14:paraId="7DAE5EC5" w14:textId="77777777" w:rsidR="004B2808" w:rsidRDefault="00000000">
      <w:pPr>
        <w:pStyle w:val="pheading"/>
      </w:pPr>
      <w:r>
        <w:t>- Exécution</w:t>
      </w:r>
    </w:p>
    <w:p w14:paraId="25769405" w14:textId="77777777" w:rsidR="004B2808" w:rsidRDefault="00000000">
      <w:r>
        <w:t>32.44.3e Isolation à souffler - granulés de liège expansé</w:t>
      </w:r>
    </w:p>
    <w:p w14:paraId="51193F62" w14:textId="77777777" w:rsidR="004B2808" w:rsidRDefault="00000000">
      <w:pPr>
        <w:pStyle w:val="pheading"/>
      </w:pPr>
      <w:r>
        <w:t>MESURAGE</w:t>
      </w:r>
    </w:p>
    <w:p w14:paraId="50A17BF3" w14:textId="77777777" w:rsidR="004B2808" w:rsidRDefault="00000000">
      <w:pPr>
        <w:pStyle w:val="pheading"/>
      </w:pPr>
      <w:r>
        <w:t>- unité de mesure:</w:t>
      </w:r>
    </w:p>
    <w:p w14:paraId="5E1D01F3" w14:textId="77777777" w:rsidR="004B2808" w:rsidRDefault="00000000">
      <w:r>
        <w:t>m³</w:t>
      </w:r>
    </w:p>
    <w:p w14:paraId="19E0BDF7" w14:textId="77777777" w:rsidR="004B2808" w:rsidRDefault="00000000">
      <w:pPr>
        <w:pStyle w:val="pheading"/>
      </w:pPr>
      <w:r>
        <w:t>- code de mesurage:</w:t>
      </w:r>
    </w:p>
    <w:p w14:paraId="5DE47BC7" w14:textId="77777777" w:rsidR="004B2808"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216D7356" w14:textId="77777777" w:rsidR="004B2808" w:rsidRDefault="00000000">
      <w:pPr>
        <w:pStyle w:val="pheading"/>
      </w:pPr>
      <w:r>
        <w:t>- nature du marché:</w:t>
      </w:r>
    </w:p>
    <w:p w14:paraId="7EEE6F3F" w14:textId="77777777" w:rsidR="004B2808" w:rsidRDefault="00000000">
      <w:r>
        <w:t>QF</w:t>
      </w:r>
    </w:p>
    <w:p w14:paraId="1C2ECF41" w14:textId="77777777" w:rsidR="004B2808" w:rsidRDefault="00000000">
      <w:pPr>
        <w:pStyle w:val="Author-eSectionHeading6Numberless"/>
      </w:pPr>
      <w:bookmarkStart w:id="475" w:name="_Toc220490650"/>
      <w:r>
        <w:t>52.44.3f Isolation à souffler - coton CCTB 01.12</w:t>
      </w:r>
      <w:bookmarkEnd w:id="475"/>
    </w:p>
    <w:p w14:paraId="4AD1C4C2" w14:textId="77777777" w:rsidR="004B2808" w:rsidRDefault="00000000">
      <w:pPr>
        <w:pStyle w:val="pheading"/>
      </w:pPr>
      <w:r>
        <w:t>DESCRIPTION</w:t>
      </w:r>
    </w:p>
    <w:p w14:paraId="6C761FA4" w14:textId="77777777" w:rsidR="004B2808" w:rsidRDefault="00000000">
      <w:pPr>
        <w:pStyle w:val="pheading"/>
      </w:pPr>
      <w:r>
        <w:t>- Définition / Comprend</w:t>
      </w:r>
    </w:p>
    <w:p w14:paraId="0AA8B644" w14:textId="77777777" w:rsidR="004B2808" w:rsidRDefault="00000000">
      <w:pPr>
        <w:jc w:val="both"/>
      </w:pPr>
      <w:r>
        <w:t>Il s’agit de la fourniture et la pose d’une isolation thermique au moyen de fibres de cotons effilochées traitées, issues du recyclage de tissus à majorité coton.</w:t>
      </w:r>
    </w:p>
    <w:p w14:paraId="05650089" w14:textId="77777777" w:rsidR="004B2808" w:rsidRDefault="00000000">
      <w:pPr>
        <w:jc w:val="both"/>
      </w:pPr>
      <w:r>
        <w:t>Ces isolants sont utilisés en pose horizontale au niveau des parois et planchers.</w:t>
      </w:r>
    </w:p>
    <w:p w14:paraId="0ED2333B" w14:textId="77777777" w:rsidR="004B2808" w:rsidRDefault="00000000">
      <w:pPr>
        <w:pStyle w:val="pheading"/>
      </w:pPr>
      <w:r>
        <w:t>- Localisation</w:t>
      </w:r>
    </w:p>
    <w:p w14:paraId="31041F66" w14:textId="77777777" w:rsidR="004B2808" w:rsidRDefault="00000000">
      <w:r>
        <w:t xml:space="preserve">Localisation des travaux : </w:t>
      </w:r>
      <w:r>
        <w:rPr>
          <w:rStyle w:val="optioncarChar"/>
        </w:rPr>
        <w:t>***</w:t>
      </w:r>
      <w:r>
        <w:t>.</w:t>
      </w:r>
    </w:p>
    <w:p w14:paraId="0635520B" w14:textId="77777777" w:rsidR="004B2808" w:rsidRDefault="00000000">
      <w:r>
        <w:t>Voir plans et métrés détaillés.</w:t>
      </w:r>
    </w:p>
    <w:p w14:paraId="46991622" w14:textId="77777777" w:rsidR="004B2808" w:rsidRDefault="00000000">
      <w:pPr>
        <w:pStyle w:val="pheading"/>
      </w:pPr>
      <w:r>
        <w:t>MATÉRIAUX</w:t>
      </w:r>
    </w:p>
    <w:p w14:paraId="79F301A5" w14:textId="77777777" w:rsidR="004B2808" w:rsidRDefault="00000000">
      <w:pPr>
        <w:pStyle w:val="pheading"/>
      </w:pPr>
      <w:r>
        <w:lastRenderedPageBreak/>
        <w:t>- Caractéristiques générales</w:t>
      </w:r>
    </w:p>
    <w:p w14:paraId="7A931B56" w14:textId="77777777" w:rsidR="004B2808" w:rsidRDefault="00000000">
      <w:pPr>
        <w:jc w:val="both"/>
      </w:pPr>
      <w:r>
        <w:t>Le produit est constitué de fibres textiles recyclées et effilochées. Le produit est ensuite conditionné en sacs.</w:t>
      </w:r>
    </w:p>
    <w:p w14:paraId="788CB0F1" w14:textId="77777777" w:rsidR="004B2808" w:rsidRDefault="00000000">
      <w:pPr>
        <w:jc w:val="both"/>
      </w:pPr>
      <w:r>
        <w:t xml:space="preserve">Épaisseur après insufflation (selon [NBN EN 15101-2]) : </w:t>
      </w:r>
      <w:r>
        <w:rPr>
          <w:rStyle w:val="optioncarChar"/>
        </w:rPr>
        <w:t>***</w:t>
      </w:r>
      <w:r>
        <w:t xml:space="preserve"> cm.</w:t>
      </w:r>
    </w:p>
    <w:p w14:paraId="486D13BF" w14:textId="77777777" w:rsidR="004B2808" w:rsidRDefault="00000000">
      <w:pPr>
        <w:jc w:val="both"/>
      </w:pPr>
      <w:r>
        <w:t xml:space="preserve">Masse volumique nominale après insufflation (selon [NBN EN 15101-2]) : </w:t>
      </w:r>
      <w:r>
        <w:rPr>
          <w:rStyle w:val="optioncarChar"/>
        </w:rPr>
        <w:t xml:space="preserve">minimum 15 </w:t>
      </w:r>
      <w:r>
        <w:t>(par défaut)</w:t>
      </w:r>
      <w:r>
        <w:rPr>
          <w:rStyle w:val="optioncarChar"/>
        </w:rPr>
        <w:t xml:space="preserve"> / ***</w:t>
      </w:r>
      <w:r>
        <w:t xml:space="preserve"> kg/m³.</w:t>
      </w:r>
    </w:p>
    <w:p w14:paraId="1B9B6C84" w14:textId="77777777" w:rsidR="004B2808" w:rsidRDefault="00000000">
      <w:pPr>
        <w:pStyle w:val="pheading"/>
      </w:pPr>
      <w:r>
        <w:t>- Prescriptions complémentaires</w:t>
      </w:r>
    </w:p>
    <w:p w14:paraId="349ECD89" w14:textId="77777777" w:rsidR="004B2808" w:rsidRDefault="00000000">
      <w:pPr>
        <w:jc w:val="both"/>
      </w:pPr>
      <w:r>
        <w:rPr>
          <w:rStyle w:val="facultChar"/>
        </w:rPr>
        <w:t xml:space="preserve">Conductivité thermique déclarée (selon [NBN EN 12667]) : </w:t>
      </w:r>
      <w:r>
        <w:rPr>
          <w:rStyle w:val="optioncarChar"/>
        </w:rPr>
        <w:t xml:space="preserve">0,047 </w:t>
      </w:r>
      <w:r>
        <w:t xml:space="preserve">(par défaut) </w:t>
      </w:r>
      <w:r>
        <w:rPr>
          <w:rStyle w:val="optioncarChar"/>
        </w:rPr>
        <w:t>/ ***</w:t>
      </w:r>
      <w:r>
        <w:rPr>
          <w:rStyle w:val="facultChar"/>
        </w:rPr>
        <w:t xml:space="preserve"> W/mK</w:t>
      </w:r>
    </w:p>
    <w:p w14:paraId="4B3FC27B" w14:textId="77777777" w:rsidR="004B2808" w:rsidRDefault="00000000">
      <w:pPr>
        <w:jc w:val="both"/>
      </w:pPr>
      <w:r>
        <w:rPr>
          <w:rStyle w:val="facultChar"/>
        </w:rPr>
        <w:t xml:space="preserve">Classe de tassement : </w:t>
      </w:r>
      <w:r>
        <w:rPr>
          <w:rStyle w:val="optioncarChar"/>
        </w:rPr>
        <w:t>25 (épaisseurs de 150 à 500mm)</w:t>
      </w:r>
      <w:r>
        <w:t> (par défaut)</w:t>
      </w:r>
      <w:r>
        <w:rPr>
          <w:rStyle w:val="optioncarChar"/>
        </w:rPr>
        <w:t xml:space="preserve"> / 30 (épaisseurs de 500 à 750mm) / ***</w:t>
      </w:r>
      <w:r>
        <w:rPr>
          <w:rStyle w:val="facultChar"/>
        </w:rPr>
        <w:t xml:space="preserve"> %</w:t>
      </w:r>
    </w:p>
    <w:p w14:paraId="6814CDFC" w14:textId="77777777" w:rsidR="004B2808" w:rsidRDefault="00000000">
      <w:pPr>
        <w:jc w:val="both"/>
      </w:pPr>
      <w:r>
        <w:rPr>
          <w:rStyle w:val="facultChar"/>
        </w:rPr>
        <w:t xml:space="preserve">Coefficient de résistance à la diffusion de vapeur d’eau – valeur μ (selon [NBN EN 12086]) : </w:t>
      </w:r>
      <w:r>
        <w:rPr>
          <w:rStyle w:val="optioncarChar"/>
        </w:rPr>
        <w:t>1</w:t>
      </w:r>
      <w:r>
        <w:t> (par défaut)</w:t>
      </w:r>
      <w:r>
        <w:rPr>
          <w:rStyle w:val="optioncarChar"/>
        </w:rPr>
        <w:t xml:space="preserve"> / *** / 2</w:t>
      </w:r>
    </w:p>
    <w:p w14:paraId="012F2C92" w14:textId="77777777" w:rsidR="004B2808" w:rsidRDefault="00000000">
      <w:pPr>
        <w:jc w:val="both"/>
      </w:pPr>
      <w:r>
        <w:rPr>
          <w:rStyle w:val="facultChar"/>
        </w:rPr>
        <w:t xml:space="preserve">Capacité thermique : </w:t>
      </w:r>
      <w:r>
        <w:rPr>
          <w:rStyle w:val="optioncarChar"/>
        </w:rPr>
        <w:t xml:space="preserve">1,6 </w:t>
      </w:r>
      <w:r>
        <w:t>(par défaut)</w:t>
      </w:r>
      <w:r>
        <w:rPr>
          <w:rStyle w:val="optioncarChar"/>
        </w:rPr>
        <w:t xml:space="preserve"> / ***</w:t>
      </w:r>
      <w:r>
        <w:rPr>
          <w:rStyle w:val="facultChar"/>
        </w:rPr>
        <w:t xml:space="preserve"> kJ/kg.K</w:t>
      </w:r>
    </w:p>
    <w:p w14:paraId="09CD7F5C" w14:textId="77777777" w:rsidR="004B2808" w:rsidRDefault="00000000">
      <w:pPr>
        <w:jc w:val="both"/>
      </w:pPr>
      <w:r>
        <w:rPr>
          <w:rStyle w:val="facultChar"/>
        </w:rPr>
        <w:t xml:space="preserve">Résistance fongique (selon [NBN EN ISO 846]) : </w:t>
      </w:r>
      <w:r>
        <w:rPr>
          <w:rStyle w:val="optioncarChar"/>
        </w:rPr>
        <w:t>classe 0 (inerte)</w:t>
      </w:r>
      <w:r>
        <w:t xml:space="preserve"> (par défaut)</w:t>
      </w:r>
      <w:r>
        <w:rPr>
          <w:rStyle w:val="optioncarChar"/>
        </w:rPr>
        <w:t xml:space="preserve"> / ***</w:t>
      </w:r>
    </w:p>
    <w:p w14:paraId="2B9BA73E" w14:textId="77777777" w:rsidR="004B2808" w:rsidRDefault="00000000">
      <w:pPr>
        <w:jc w:val="both"/>
      </w:pPr>
      <w:r>
        <w:rPr>
          <w:rStyle w:val="facultChar"/>
        </w:rPr>
        <w:t xml:space="preserve">Classement de la réaction au feu (selon [NBN EN 13501-1]) : </w:t>
      </w:r>
      <w:r>
        <w:rPr>
          <w:rStyle w:val="optioncarChar"/>
        </w:rPr>
        <w:t xml:space="preserve">E </w:t>
      </w:r>
      <w:r>
        <w:t xml:space="preserve">(par défaut) </w:t>
      </w:r>
      <w:r>
        <w:rPr>
          <w:rStyle w:val="optioncarChar"/>
        </w:rPr>
        <w:t>/ ***</w:t>
      </w:r>
    </w:p>
    <w:p w14:paraId="0D6BCB0F" w14:textId="77777777" w:rsidR="004B2808" w:rsidRDefault="00000000">
      <w:pPr>
        <w:jc w:val="both"/>
      </w:pPr>
      <w:r>
        <w:rPr>
          <w:rStyle w:val="facultChar"/>
        </w:rPr>
        <w:t xml:space="preserve">Taux de fibres textiles : </w:t>
      </w:r>
      <w:r>
        <w:rPr>
          <w:rStyle w:val="optioncarChar"/>
        </w:rPr>
        <w:t>89,0 (+/- 2,2%)</w:t>
      </w:r>
      <w:r>
        <w:t xml:space="preserve"> (par défaut) </w:t>
      </w:r>
      <w:r>
        <w:rPr>
          <w:rStyle w:val="optioncarChar"/>
        </w:rPr>
        <w:t>/ ***</w:t>
      </w:r>
      <w:r>
        <w:rPr>
          <w:rStyle w:val="facultChar"/>
        </w:rPr>
        <w:t>%</w:t>
      </w:r>
    </w:p>
    <w:p w14:paraId="7B59ABE4" w14:textId="77777777" w:rsidR="004B2808" w:rsidRDefault="00000000">
      <w:pPr>
        <w:jc w:val="both"/>
      </w:pPr>
      <w:r>
        <w:rPr>
          <w:rStyle w:val="facultChar"/>
        </w:rPr>
        <w:t xml:space="preserve">Taux minimal de fibres de coton : </w:t>
      </w:r>
      <w:r>
        <w:rPr>
          <w:rStyle w:val="optioncarChar"/>
        </w:rPr>
        <w:t>70</w:t>
      </w:r>
      <w:r>
        <w:t xml:space="preserve"> (par défaut) </w:t>
      </w:r>
      <w:r>
        <w:rPr>
          <w:rStyle w:val="optioncarChar"/>
        </w:rPr>
        <w:t>/ ***</w:t>
      </w:r>
      <w:r>
        <w:rPr>
          <w:rStyle w:val="facultChar"/>
        </w:rPr>
        <w:t xml:space="preserve"> %</w:t>
      </w:r>
    </w:p>
    <w:p w14:paraId="3A243D2E" w14:textId="77777777" w:rsidR="004B2808" w:rsidRDefault="00000000">
      <w:pPr>
        <w:jc w:val="both"/>
      </w:pPr>
      <w:r>
        <w:rPr>
          <w:rStyle w:val="facultChar"/>
        </w:rPr>
        <w:t xml:space="preserve">Les adjuvants ignifuges et biocides sont de type : </w:t>
      </w:r>
      <w:r>
        <w:rPr>
          <w:rStyle w:val="optioncarChar"/>
        </w:rPr>
        <w:t>pas d’adjuvant</w:t>
      </w:r>
      <w:r>
        <w:t xml:space="preserve"> (par défaut) </w:t>
      </w:r>
      <w:r>
        <w:rPr>
          <w:rStyle w:val="optioncarChar"/>
        </w:rPr>
        <w:t>/ sels de Bore / Sels d’ammonium / ***</w:t>
      </w:r>
      <w:r>
        <w:rPr>
          <w:rStyle w:val="facultChar"/>
        </w:rPr>
        <w:t xml:space="preserve">. Les adjuvants respectent le[Règlement 1907/2006/CE]. La concentration maximum des adjuvants est de </w:t>
      </w:r>
      <w:r>
        <w:rPr>
          <w:rStyle w:val="optioncarChar"/>
        </w:rPr>
        <w:t>4</w:t>
      </w:r>
      <w:r>
        <w:t xml:space="preserve"> (par défaut) </w:t>
      </w:r>
      <w:r>
        <w:rPr>
          <w:rStyle w:val="optioncarChar"/>
        </w:rPr>
        <w:t>/ ***</w:t>
      </w:r>
      <w:r>
        <w:rPr>
          <w:rStyle w:val="facultChar"/>
        </w:rPr>
        <w:t xml:space="preserve"> %</w:t>
      </w:r>
    </w:p>
    <w:p w14:paraId="1B4BECCC" w14:textId="77777777" w:rsidR="004B2808" w:rsidRDefault="004B2808">
      <w:pPr>
        <w:jc w:val="both"/>
      </w:pPr>
    </w:p>
    <w:p w14:paraId="4AC814D7" w14:textId="77777777" w:rsidR="004B2808" w:rsidRDefault="00000000">
      <w:pPr>
        <w:jc w:val="both"/>
      </w:pPr>
      <w:r>
        <w:rPr>
          <w:rStyle w:val="facultChar"/>
        </w:rPr>
        <w:t>Le matériau doit répondre aux critères d’acceptabilité des produits tels que définis au chapitre 02.42.1 Critères d'acceptabilité.</w:t>
      </w:r>
    </w:p>
    <w:p w14:paraId="78D467ED" w14:textId="77777777" w:rsidR="004B2808" w:rsidRDefault="00000000">
      <w:pPr>
        <w:ind w:left="750"/>
      </w:pPr>
      <w:r>
        <w:t> </w:t>
      </w:r>
    </w:p>
    <w:p w14:paraId="07A3D78D" w14:textId="77777777" w:rsidR="004B2808" w:rsidRDefault="00000000">
      <w:pPr>
        <w:pStyle w:val="pheading"/>
      </w:pPr>
      <w:r>
        <w:t>EXÉCUTION / MISE EN ŒUVRE</w:t>
      </w:r>
    </w:p>
    <w:p w14:paraId="3390F7CB" w14:textId="77777777" w:rsidR="004B2808" w:rsidRDefault="00000000">
      <w:pPr>
        <w:pStyle w:val="pheading"/>
      </w:pPr>
      <w:r>
        <w:t>- Prescriptions générales</w:t>
      </w:r>
    </w:p>
    <w:p w14:paraId="5B7EE9BB" w14:textId="77777777" w:rsidR="004B2808" w:rsidRDefault="00000000">
      <w:pPr>
        <w:jc w:val="both"/>
      </w:pPr>
      <w:r>
        <w:t>La matière première est achalandée sur chantier au plus près de la date d'application. Elle est stockée à l'abri des intempéries et dans un local sec.</w:t>
      </w:r>
    </w:p>
    <w:p w14:paraId="2ED9939C" w14:textId="77777777" w:rsidR="004B2808" w:rsidRDefault="00000000">
      <w:pPr>
        <w:jc w:val="both"/>
      </w:pPr>
      <w:r>
        <w:t>Le soufflage est réalisé par machine pneumatique qui carde et aère le matériau.</w:t>
      </w:r>
    </w:p>
    <w:p w14:paraId="6C0097FE" w14:textId="77777777" w:rsidR="004B2808" w:rsidRDefault="00000000">
      <w:pPr>
        <w:pStyle w:val="pheading"/>
      </w:pPr>
      <w:r>
        <w:t>- Notes d’exécution complémentaires</w:t>
      </w:r>
    </w:p>
    <w:p w14:paraId="6DD3E0AF" w14:textId="77777777" w:rsidR="004B2808" w:rsidRDefault="00000000">
      <w:pPr>
        <w:jc w:val="both"/>
      </w:pPr>
      <w:r>
        <w:rPr>
          <w:rStyle w:val="facultChar"/>
        </w:rPr>
        <w:t>Le plancher support destiné est réalisé sous forme de module fermé suffisamment étanche pour permettre une mise en œuvre sous pression sans perte d’isolation.</w:t>
      </w:r>
    </w:p>
    <w:p w14:paraId="745F8BB0" w14:textId="77777777" w:rsidR="004B2808" w:rsidRDefault="00000000">
      <w:pPr>
        <w:jc w:val="both"/>
      </w:pPr>
      <w:r>
        <w:rPr>
          <w:rStyle w:val="facultChar"/>
        </w:rPr>
        <w:t>Il y a lieu de ne pas mettre le matériau en contact avec des conduits de fumée. Il convient de respecter la distance de sécurité minimale prévue dans les normes [NBN EN 15287-1] et [NBN EN 15287-2].</w:t>
      </w:r>
    </w:p>
    <w:p w14:paraId="107ED15B" w14:textId="77777777" w:rsidR="004B2808" w:rsidRDefault="004B2808">
      <w:pPr>
        <w:jc w:val="both"/>
      </w:pPr>
    </w:p>
    <w:p w14:paraId="6C32519E" w14:textId="77777777" w:rsidR="004B2808" w:rsidRDefault="00000000">
      <w:pPr>
        <w:jc w:val="both"/>
      </w:pPr>
      <w:r>
        <w:rPr>
          <w:rStyle w:val="facultChar"/>
        </w:rPr>
        <w:t>L’applicateur doit s’assurer que les canalisations électriques posées dans les vides de construction sont placées sous conduit non propagateur de la flamme.</w:t>
      </w:r>
    </w:p>
    <w:p w14:paraId="61721820" w14:textId="77777777" w:rsidR="004B2808" w:rsidRDefault="00000000">
      <w:pPr>
        <w:jc w:val="both"/>
      </w:pPr>
      <w:r>
        <w:rPr>
          <w:rStyle w:val="facultChar"/>
        </w:rPr>
        <w:t>L’isolant ne doit jamais être mis en contact direct avec les dispositifs d’éclairage encastrés.</w:t>
      </w:r>
    </w:p>
    <w:p w14:paraId="71147C08" w14:textId="77777777" w:rsidR="004B2808" w:rsidRDefault="00000000">
      <w:pPr>
        <w:jc w:val="both"/>
      </w:pPr>
      <w:r>
        <w:rPr>
          <w:rStyle w:val="facultChar"/>
        </w:rPr>
        <w:t>Ce matériau ne peut être mis en œuvre au-dessus de locaux à forte hygrométrie (classe de climat intérieur 4 voire 3).</w:t>
      </w:r>
    </w:p>
    <w:p w14:paraId="39E73B23" w14:textId="77777777" w:rsidR="004B2808" w:rsidRDefault="00000000">
      <w:pPr>
        <w:pStyle w:val="pheading"/>
      </w:pPr>
      <w:r>
        <w:t>DOCUMENTS DE RÉFÉRENCE COMPLÉMENTAIRES</w:t>
      </w:r>
    </w:p>
    <w:p w14:paraId="76D48DD8" w14:textId="77777777" w:rsidR="004B2808" w:rsidRDefault="00000000">
      <w:pPr>
        <w:pStyle w:val="pheading"/>
      </w:pPr>
      <w:r>
        <w:t>- Matériau</w:t>
      </w:r>
    </w:p>
    <w:p w14:paraId="53529965" w14:textId="77777777" w:rsidR="004B2808" w:rsidRDefault="00000000">
      <w:r>
        <w:lastRenderedPageBreak/>
        <w:t>[NBN EN 15101-2, Produits isolants thermiques destinés aux applications du bâtiment - Isolation thermique formée en place à base de cellulose (LFCI) - Partie 2: Spécifications des produits mis en œuvre]</w:t>
      </w:r>
    </w:p>
    <w:p w14:paraId="22D39055" w14:textId="77777777" w:rsidR="004B2808"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2954E226" w14:textId="77777777" w:rsidR="004B2808" w:rsidRDefault="00000000">
      <w:r>
        <w:t>[NBN EN 12086, Produits isolants thermiques destinés aux applications du bâtiment - Détermination des propriétés de transmission de la vapeur d'eau]</w:t>
      </w:r>
    </w:p>
    <w:p w14:paraId="38749A68" w14:textId="77777777" w:rsidR="004B2808" w:rsidRDefault="00000000">
      <w:r>
        <w:t>[NBN EN ISO 846, Plastiques - Évaluation de l'action des micro-organismes (ISO 846:2019)]</w:t>
      </w:r>
    </w:p>
    <w:p w14:paraId="6C545002" w14:textId="77777777" w:rsidR="004B2808" w:rsidRDefault="00000000">
      <w:r>
        <w:t>[NBN EN 13501-1, Classement au feu des produits et éléments de construction - Partie 1: Classement à partir des données d'essais de réaction au feu]</w:t>
      </w:r>
    </w:p>
    <w:p w14:paraId="798E60D2" w14:textId="77777777" w:rsidR="004B2808" w:rsidRDefault="00000000">
      <w:pPr>
        <w:pStyle w:val="pheading"/>
      </w:pPr>
      <w:r>
        <w:t>- Exécution</w:t>
      </w:r>
    </w:p>
    <w:p w14:paraId="6625617B" w14:textId="77777777" w:rsidR="004B2808" w:rsidRDefault="00000000">
      <w:r>
        <w:t>[NBN EN 13501-1, Classement au feu des produits et éléments de construction - Partie 1: Classement à partir des données d'essais de réaction au feu]</w:t>
      </w:r>
    </w:p>
    <w:p w14:paraId="43199C00" w14:textId="77777777" w:rsidR="004B2808" w:rsidRDefault="00000000">
      <w:r>
        <w:t>[NBN EN 15287-1, Conduits de fumée - Conception, installation et mise en service - Partie 1: Conduits de fumée et conduits de raccordement pour appareils de combustion qui prélèvent l’air comburant dans la pièce]</w:t>
      </w:r>
    </w:p>
    <w:p w14:paraId="4882908E" w14:textId="77777777" w:rsidR="004B2808" w:rsidRDefault="00000000">
      <w:r>
        <w:t>[NBN EN 15287-2, Conduits de fumée - Conception, installation et mise en service - Partie 2 : Conduits de fumée et conduits de raccordement pour appareils de combustion à circuit étanche]</w:t>
      </w:r>
    </w:p>
    <w:p w14:paraId="53F06848" w14:textId="77777777" w:rsidR="004B2808" w:rsidRDefault="00000000">
      <w:pPr>
        <w:pStyle w:val="pheading"/>
      </w:pPr>
      <w:r>
        <w:t>MESURAGE</w:t>
      </w:r>
    </w:p>
    <w:p w14:paraId="48DD840C" w14:textId="77777777" w:rsidR="004B2808" w:rsidRDefault="00000000">
      <w:pPr>
        <w:pStyle w:val="pheading"/>
      </w:pPr>
      <w:r>
        <w:t>- unité de mesure:</w:t>
      </w:r>
    </w:p>
    <w:p w14:paraId="751F9DCB" w14:textId="77777777" w:rsidR="004B2808" w:rsidRDefault="00000000">
      <w:r>
        <w:t>m³</w:t>
      </w:r>
    </w:p>
    <w:p w14:paraId="58F561FE" w14:textId="77777777" w:rsidR="004B2808" w:rsidRDefault="00000000">
      <w:pPr>
        <w:pStyle w:val="pheading"/>
      </w:pPr>
      <w:r>
        <w:t>- code de mesurage:</w:t>
      </w:r>
    </w:p>
    <w:p w14:paraId="58BD20D1" w14:textId="77777777" w:rsidR="004B2808" w:rsidRDefault="00000000">
      <w:pPr>
        <w:jc w:val="both"/>
      </w:pPr>
      <w:r>
        <w:rPr>
          <w:b/>
        </w:rPr>
        <w:t>Volume net</w:t>
      </w:r>
      <w:r>
        <w:t xml:space="preserve"> de la construction à isoler, sans déduction des éléments de structure interposés (chevrons / fermes / solives / …).</w:t>
      </w:r>
    </w:p>
    <w:p w14:paraId="6AA0E011" w14:textId="77777777" w:rsidR="004B2808" w:rsidRDefault="00000000">
      <w:pPr>
        <w:jc w:val="both"/>
      </w:pPr>
      <w:r>
        <w:t xml:space="preserve"> Suivant la densité prescrite.</w:t>
      </w:r>
    </w:p>
    <w:p w14:paraId="38C0ECD4" w14:textId="77777777" w:rsidR="004B2808" w:rsidRDefault="00000000">
      <w:pPr>
        <w:jc w:val="both"/>
      </w:pPr>
      <w:r>
        <w:t xml:space="preserve"> Les ouvertures supérieures à 0,5 m² multipliées par l’épaisseur à réaliser sont déduites.</w:t>
      </w:r>
    </w:p>
    <w:p w14:paraId="5C4A5622" w14:textId="77777777" w:rsidR="004B2808" w:rsidRDefault="00000000">
      <w:pPr>
        <w:pStyle w:val="pheading"/>
      </w:pPr>
      <w:r>
        <w:t>- nature du marché:</w:t>
      </w:r>
    </w:p>
    <w:p w14:paraId="2AD73D61" w14:textId="77777777" w:rsidR="004B2808" w:rsidRDefault="00000000">
      <w:r>
        <w:t>QF</w:t>
      </w:r>
    </w:p>
    <w:p w14:paraId="1E5A82B7" w14:textId="77777777" w:rsidR="004B2808" w:rsidRDefault="00000000">
      <w:pPr>
        <w:pStyle w:val="Author-eSectionHeading6Numberless"/>
      </w:pPr>
      <w:bookmarkStart w:id="476" w:name="_Toc220490651"/>
      <w:r>
        <w:t>52.44.3g Isolation à souffler - fibres de bois CCTB 01.12</w:t>
      </w:r>
      <w:bookmarkEnd w:id="476"/>
    </w:p>
    <w:p w14:paraId="11555D1B" w14:textId="77777777" w:rsidR="004B2808" w:rsidRDefault="00000000">
      <w:pPr>
        <w:pStyle w:val="pheading"/>
      </w:pPr>
      <w:r>
        <w:t>DESCRIPTION</w:t>
      </w:r>
    </w:p>
    <w:p w14:paraId="12E1983F" w14:textId="77777777" w:rsidR="004B2808" w:rsidRDefault="00000000">
      <w:pPr>
        <w:pStyle w:val="pheading"/>
      </w:pPr>
      <w:r>
        <w:t>- Définition / Comprend</w:t>
      </w:r>
    </w:p>
    <w:p w14:paraId="739A6EA4" w14:textId="77777777" w:rsidR="004B2808" w:rsidRDefault="00000000">
      <w:pPr>
        <w:jc w:val="both"/>
      </w:pPr>
      <w:r>
        <w:t>Il s’agit de la fourniture et la pose d’une isolation thermique par soufflage de fibres de bois pour une application intérieure.</w:t>
      </w:r>
    </w:p>
    <w:p w14:paraId="06938DE8" w14:textId="77777777" w:rsidR="004B2808" w:rsidRDefault="00000000">
      <w:pPr>
        <w:pStyle w:val="pheading"/>
      </w:pPr>
      <w:r>
        <w:t>- Localisation</w:t>
      </w:r>
    </w:p>
    <w:p w14:paraId="65B7A85D" w14:textId="77777777" w:rsidR="004B2808" w:rsidRDefault="00000000">
      <w:r>
        <w:t>Localisation des travaux :</w:t>
      </w:r>
      <w:r>
        <w:rPr>
          <w:rStyle w:val="optioncarChar"/>
        </w:rPr>
        <w:t xml:space="preserve"> ***</w:t>
      </w:r>
      <w:r>
        <w:t>.</w:t>
      </w:r>
    </w:p>
    <w:p w14:paraId="51C2E2A2" w14:textId="77777777" w:rsidR="004B2808" w:rsidRDefault="00000000">
      <w:r>
        <w:t>Voir plans et métrés détaillés.</w:t>
      </w:r>
    </w:p>
    <w:p w14:paraId="3C7D3B71" w14:textId="77777777" w:rsidR="004B2808" w:rsidRDefault="00000000">
      <w:pPr>
        <w:pStyle w:val="pheading"/>
      </w:pPr>
      <w:r>
        <w:t>MATÉRIAUX</w:t>
      </w:r>
    </w:p>
    <w:p w14:paraId="2B5E28AE" w14:textId="77777777" w:rsidR="004B2808" w:rsidRDefault="00000000">
      <w:pPr>
        <w:pStyle w:val="pheading"/>
      </w:pPr>
      <w:r>
        <w:t>- Caractéristiques générales</w:t>
      </w:r>
    </w:p>
    <w:p w14:paraId="564B71C1" w14:textId="77777777" w:rsidR="004B2808" w:rsidRDefault="00000000">
      <w:pPr>
        <w:jc w:val="both"/>
      </w:pPr>
      <w:r>
        <w:t>Le produit est constitué de fibres de bois. Le produit est conditionné en sacs.</w:t>
      </w:r>
    </w:p>
    <w:p w14:paraId="2757CB16" w14:textId="77777777" w:rsidR="004B2808" w:rsidRDefault="00000000">
      <w:pPr>
        <w:jc w:val="both"/>
      </w:pPr>
      <w:r>
        <w:t xml:space="preserve">Épaisseur après insufflation (selon [NBN EN 15101-2]) : </w:t>
      </w:r>
      <w:r>
        <w:rPr>
          <w:rStyle w:val="optioncarChar"/>
        </w:rPr>
        <w:t>***</w:t>
      </w:r>
      <w:r>
        <w:t xml:space="preserve"> cm.</w:t>
      </w:r>
    </w:p>
    <w:p w14:paraId="6E16D9E4" w14:textId="77777777" w:rsidR="004B2808" w:rsidRDefault="00000000">
      <w:pPr>
        <w:jc w:val="both"/>
      </w:pPr>
      <w:r>
        <w:t>Masse volumique nominale après insufflation (selon [NBN EN 15101-2]) : ≥ </w:t>
      </w:r>
      <w:r>
        <w:rPr>
          <w:rStyle w:val="optioncarChar"/>
        </w:rPr>
        <w:t xml:space="preserve">40 </w:t>
      </w:r>
      <w:r>
        <w:t>(par défaut)</w:t>
      </w:r>
      <w:r>
        <w:rPr>
          <w:rStyle w:val="optioncarChar"/>
        </w:rPr>
        <w:t xml:space="preserve"> / ***</w:t>
      </w:r>
      <w:r>
        <w:t xml:space="preserve"> kg/m³</w:t>
      </w:r>
    </w:p>
    <w:p w14:paraId="7DB1E3EE" w14:textId="77777777" w:rsidR="004B2808" w:rsidRDefault="00000000">
      <w:pPr>
        <w:jc w:val="both"/>
      </w:pPr>
      <w:r>
        <w:lastRenderedPageBreak/>
        <w:t xml:space="preserve">Conductivité thermique déclarée (selon [NBN EN 12667]) : &lt; </w:t>
      </w:r>
      <w:r>
        <w:rPr>
          <w:rStyle w:val="optioncarChar"/>
        </w:rPr>
        <w:t xml:space="preserve">0,04 </w:t>
      </w:r>
      <w:r>
        <w:t>(par défaut)</w:t>
      </w:r>
      <w:r>
        <w:rPr>
          <w:rStyle w:val="optioncarChar"/>
        </w:rPr>
        <w:t xml:space="preserve"> / ***</w:t>
      </w:r>
      <w:r>
        <w:t xml:space="preserve"> W/mK</w:t>
      </w:r>
    </w:p>
    <w:p w14:paraId="2C821514" w14:textId="77777777" w:rsidR="004B2808" w:rsidRDefault="00000000">
      <w:pPr>
        <w:jc w:val="both"/>
      </w:pPr>
      <w:r>
        <w:t xml:space="preserve">Taux minimal de fibres de bois: </w:t>
      </w:r>
      <w:r>
        <w:rPr>
          <w:rStyle w:val="optioncarChar"/>
        </w:rPr>
        <w:t xml:space="preserve">95% </w:t>
      </w:r>
      <w:r>
        <w:t>(par défaut)</w:t>
      </w:r>
      <w:r>
        <w:rPr>
          <w:rStyle w:val="optioncarChar"/>
        </w:rPr>
        <w:t xml:space="preserve"> / ***</w:t>
      </w:r>
    </w:p>
    <w:p w14:paraId="156F5E3C" w14:textId="77777777" w:rsidR="004B2808" w:rsidRDefault="00000000">
      <w:pPr>
        <w:jc w:val="both"/>
      </w:pPr>
      <w:r>
        <w:t xml:space="preserve">Les adjuvants ignifuges et biocides sont de type : </w:t>
      </w:r>
      <w:r>
        <w:rPr>
          <w:rStyle w:val="optioncarChar"/>
        </w:rPr>
        <w:t xml:space="preserve">pas d’adjuvant </w:t>
      </w:r>
      <w:r>
        <w:t xml:space="preserve">(par défaut) </w:t>
      </w:r>
      <w:r>
        <w:rPr>
          <w:rStyle w:val="optioncarChar"/>
        </w:rPr>
        <w:t>/ sels de Bore / sels d’ammonium / ***</w:t>
      </w:r>
      <w:r>
        <w:t xml:space="preserve">. Les adjuvants respectent le [Règlement 1907/2006/CE]. La concentration maximum des adjuvants est de </w:t>
      </w:r>
      <w:r>
        <w:rPr>
          <w:rStyle w:val="optioncarChar"/>
        </w:rPr>
        <w:t xml:space="preserve">4% </w:t>
      </w:r>
      <w:r>
        <w:t xml:space="preserve">(par défaut) </w:t>
      </w:r>
      <w:r>
        <w:rPr>
          <w:rStyle w:val="optioncarChar"/>
        </w:rPr>
        <w:t>/ ***.</w:t>
      </w:r>
    </w:p>
    <w:p w14:paraId="6C7EDF96" w14:textId="77777777" w:rsidR="004B2808" w:rsidRDefault="00000000">
      <w:pPr>
        <w:jc w:val="both"/>
      </w:pPr>
      <w:r>
        <w:t>Conformément au chapitre 02.42.4 Bois provenant de forêts gérées durablement, les fibres de bois utilisées disposent de documents prouvant qu’elles proviennent de forêts gérées durablement.</w:t>
      </w:r>
    </w:p>
    <w:p w14:paraId="5A547BBF" w14:textId="77777777" w:rsidR="004B2808" w:rsidRDefault="00000000">
      <w:pPr>
        <w:ind w:left="750"/>
      </w:pPr>
      <w:r>
        <w:t> </w:t>
      </w:r>
    </w:p>
    <w:p w14:paraId="761C2AC5" w14:textId="77777777" w:rsidR="004B2808" w:rsidRDefault="00000000">
      <w:pPr>
        <w:pStyle w:val="pheading"/>
      </w:pPr>
      <w:r>
        <w:t>- Prescriptions complémentaires</w:t>
      </w:r>
    </w:p>
    <w:p w14:paraId="31A1C659" w14:textId="77777777" w:rsidR="004B2808" w:rsidRDefault="00000000">
      <w:pPr>
        <w:jc w:val="both"/>
      </w:pPr>
      <w:r>
        <w:rPr>
          <w:rStyle w:val="facultChar"/>
        </w:rPr>
        <w:t xml:space="preserve">Coefficient de résistance à la diffusion de vapeur d’eau – valeur μ (selon [NBN EN 12086]) : inférieure à </w:t>
      </w:r>
      <w:r>
        <w:rPr>
          <w:rStyle w:val="optioncarChar"/>
        </w:rPr>
        <w:t xml:space="preserve">2 </w:t>
      </w:r>
      <w:r>
        <w:t>(par défaut)</w:t>
      </w:r>
      <w:r>
        <w:rPr>
          <w:rStyle w:val="optioncarChar"/>
        </w:rPr>
        <w:t xml:space="preserve"> / ***</w:t>
      </w:r>
      <w:r>
        <w:rPr>
          <w:rStyle w:val="facultChar"/>
        </w:rPr>
        <w:t>.</w:t>
      </w:r>
    </w:p>
    <w:p w14:paraId="264304B3" w14:textId="77777777" w:rsidR="004B2808" w:rsidRDefault="00000000">
      <w:pPr>
        <w:jc w:val="both"/>
      </w:pPr>
      <w:r>
        <w:rPr>
          <w:rStyle w:val="facultChar"/>
        </w:rPr>
        <w:t xml:space="preserve">Capacité thermique : ≥ </w:t>
      </w:r>
      <w:r>
        <w:rPr>
          <w:rStyle w:val="optioncarChar"/>
        </w:rPr>
        <w:t xml:space="preserve">2 </w:t>
      </w:r>
      <w:r>
        <w:t>(par défaut)</w:t>
      </w:r>
      <w:r>
        <w:rPr>
          <w:rStyle w:val="optioncarChar"/>
        </w:rPr>
        <w:t xml:space="preserve"> / ***</w:t>
      </w:r>
      <w:r>
        <w:rPr>
          <w:rStyle w:val="facultChar"/>
        </w:rPr>
        <w:t xml:space="preserve"> kJ/kg.K</w:t>
      </w:r>
    </w:p>
    <w:p w14:paraId="7417FBA0" w14:textId="77777777" w:rsidR="004B2808" w:rsidRDefault="00000000">
      <w:pPr>
        <w:jc w:val="both"/>
      </w:pPr>
      <w:r>
        <w:rPr>
          <w:rStyle w:val="facultChar"/>
        </w:rPr>
        <w:t xml:space="preserve">Résistance fongique (selon [NBN EN ISO 846]) : </w:t>
      </w:r>
      <w:r>
        <w:rPr>
          <w:rStyle w:val="optioncarChar"/>
        </w:rPr>
        <w:t xml:space="preserve">classe 0 (inerte) </w:t>
      </w:r>
      <w:r>
        <w:t xml:space="preserve">(par défaut) </w:t>
      </w:r>
      <w:r>
        <w:rPr>
          <w:rStyle w:val="optioncarChar"/>
        </w:rPr>
        <w:t>/ ***</w:t>
      </w:r>
    </w:p>
    <w:p w14:paraId="571D1698" w14:textId="77777777" w:rsidR="004B2808" w:rsidRDefault="00000000">
      <w:pPr>
        <w:jc w:val="both"/>
      </w:pPr>
      <w:r>
        <w:rPr>
          <w:rStyle w:val="facultChar"/>
        </w:rPr>
        <w:t xml:space="preserve">Classement de la réaction au feu (selon [NBN EN 13501-1]) : </w:t>
      </w:r>
      <w:r>
        <w:rPr>
          <w:rStyle w:val="optioncarChar"/>
        </w:rPr>
        <w:t xml:space="preserve">E </w:t>
      </w:r>
      <w:r>
        <w:t>(par défaut)</w:t>
      </w:r>
      <w:r>
        <w:rPr>
          <w:rStyle w:val="optioncarChar"/>
        </w:rPr>
        <w:t xml:space="preserve"> / ***</w:t>
      </w:r>
    </w:p>
    <w:p w14:paraId="11F8AD99" w14:textId="77777777" w:rsidR="004B2808" w:rsidRDefault="00000000">
      <w:pPr>
        <w:jc w:val="both"/>
      </w:pPr>
      <w:r>
        <w:rPr>
          <w:rStyle w:val="facultChar"/>
        </w:rPr>
        <w:t>Le matériau doit répondre aux critères d’acceptabilité des produits tels que définis dans le chapitre 02.42.1 Critères d'acceptabilité.</w:t>
      </w:r>
    </w:p>
    <w:p w14:paraId="0C287B09" w14:textId="77777777" w:rsidR="004B2808" w:rsidRDefault="00000000">
      <w:pPr>
        <w:pStyle w:val="pheading"/>
      </w:pPr>
      <w:r>
        <w:t>EXÉCUTION / MISE EN ŒUVRE</w:t>
      </w:r>
    </w:p>
    <w:p w14:paraId="0804C172" w14:textId="77777777" w:rsidR="004B2808" w:rsidRDefault="00000000">
      <w:pPr>
        <w:pStyle w:val="pheading"/>
      </w:pPr>
      <w:r>
        <w:t>- Prescriptions générales</w:t>
      </w:r>
    </w:p>
    <w:p w14:paraId="397DD63B" w14:textId="77777777" w:rsidR="004B2808" w:rsidRDefault="00000000">
      <w:pPr>
        <w:jc w:val="both"/>
      </w:pPr>
      <w:r>
        <w:t>La matière première est livrée sur chantier au plus près de la date d'insufflation (maximum 3 jours). Elle est stockée à l'abri des intempéries et dans un local sec. Si la durée de stockage est plus longue, un contrôle du taux d’humidité est effectué conformément à l'article 03.41.1b Mesures du taux d'humidité dans le bois.</w:t>
      </w:r>
    </w:p>
    <w:p w14:paraId="2B906888" w14:textId="77777777" w:rsidR="004B2808" w:rsidRDefault="00000000">
      <w:pPr>
        <w:jc w:val="both"/>
      </w:pPr>
      <w:r>
        <w:t>Le soufflage est réalisé par machine permettant le broyage et le soufflage sous pression de la fibre de bois.</w:t>
      </w:r>
    </w:p>
    <w:p w14:paraId="5E06EDBD" w14:textId="77777777" w:rsidR="004B2808" w:rsidRDefault="00000000">
      <w:pPr>
        <w:jc w:val="both"/>
      </w:pPr>
      <w:r>
        <w:t>La mise en œuvre de l’isolation est conforme à la [NIT 233] pour les cloisons et parois de séparation et à la [NIT 232] pour les plafonds.</w:t>
      </w:r>
    </w:p>
    <w:p w14:paraId="4ADB5EAD" w14:textId="77777777" w:rsidR="004B2808" w:rsidRDefault="00000000">
      <w:pPr>
        <w:jc w:val="both"/>
      </w:pPr>
      <w:r>
        <w:t>L’élément caisson destiné à être insufflé est réalisé sous forme de module fermé suffisamment étanche pour permettre une mise en œuvre sous pression sans perte d’isolation.</w:t>
      </w:r>
    </w:p>
    <w:p w14:paraId="5CCBE5B8" w14:textId="77777777" w:rsidR="004B2808" w:rsidRDefault="00000000">
      <w:pPr>
        <w:jc w:val="both"/>
      </w:pPr>
      <w:r>
        <w:t>Il y a lieu de ne pas mettre le matériau en contact avec des conduits de fumée. Il convient de respecter la distance de sécurité minimale prévue dans les normes [NBN EN 15287-1] et [NBN EN 15287-2].</w:t>
      </w:r>
    </w:p>
    <w:p w14:paraId="153899A4" w14:textId="77777777" w:rsidR="004B2808" w:rsidRDefault="00000000">
      <w:pPr>
        <w:jc w:val="both"/>
      </w:pPr>
      <w:r>
        <w:t>L’applicateur doit s’assurer que les canalisations électriques posées dans les vides de construction sont placées sous conduit non propagateur de la flamme.</w:t>
      </w:r>
    </w:p>
    <w:p w14:paraId="376ADB3B" w14:textId="77777777" w:rsidR="004B2808" w:rsidRDefault="00000000">
      <w:pPr>
        <w:jc w:val="both"/>
      </w:pPr>
      <w:r>
        <w:t>L’isolant ne doit jamais être mis en contact direct avec les dispositifs d’éclairage encastrés.</w:t>
      </w:r>
    </w:p>
    <w:p w14:paraId="1969382F" w14:textId="77777777" w:rsidR="004B2808" w:rsidRDefault="00000000">
      <w:pPr>
        <w:jc w:val="both"/>
      </w:pPr>
      <w:r>
        <w:t>Cet isolant est protégé de l’humidité durant les phases de chantier et de vie du bâtiment. Son utilisation se limite à des locaux de classe de climat intérieur 1 ou 2.</w:t>
      </w:r>
    </w:p>
    <w:p w14:paraId="749D1D11" w14:textId="77777777" w:rsidR="004B2808" w:rsidRDefault="00000000">
      <w:pPr>
        <w:pStyle w:val="pheading"/>
      </w:pPr>
      <w:r>
        <w:t>DOCUMENTS DE RÉFÉRENCE COMPLÉMENTAIRES</w:t>
      </w:r>
    </w:p>
    <w:p w14:paraId="4A7105A5" w14:textId="77777777" w:rsidR="004B2808" w:rsidRDefault="00000000">
      <w:pPr>
        <w:pStyle w:val="pheading"/>
      </w:pPr>
      <w:r>
        <w:t>- Matériau</w:t>
      </w:r>
    </w:p>
    <w:p w14:paraId="6CF25724" w14:textId="77777777" w:rsidR="004B2808" w:rsidRDefault="00000000">
      <w:r>
        <w:t>[NBN EN 15101-2, Produits isolants thermiques destinés aux applications du bâtiment - Isolation thermique formée en place à base de cellulose (LFCI) - Partie 2: Spécifications des produits mis en œuvre]</w:t>
      </w:r>
    </w:p>
    <w:p w14:paraId="2805F5DE" w14:textId="77777777" w:rsidR="004B2808"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07B60DCF" w14:textId="77777777" w:rsidR="004B2808" w:rsidRDefault="00000000">
      <w:r>
        <w:lastRenderedPageBreak/>
        <w:t>[NBN EN 12086, Produits isolants thermiques destinés aux applications du bâtiment - Détermination des propriétés de transmission de la vapeur d'eau]</w:t>
      </w:r>
    </w:p>
    <w:p w14:paraId="6E3C6E9A" w14:textId="77777777" w:rsidR="004B2808" w:rsidRDefault="00000000">
      <w:r>
        <w:t>[NBN EN ISO 846, Plastiques - Évaluation de l'action des micro-organismes (ISO 846:2019)]</w:t>
      </w:r>
    </w:p>
    <w:p w14:paraId="1F6BF0D3" w14:textId="77777777" w:rsidR="004B2808" w:rsidRDefault="00000000">
      <w:r>
        <w:t>[NBN EN 13501-1, Classement au feu des produits et éléments de construction - Partie 1: Classement à partir des données d'essais de réaction au feu]</w:t>
      </w:r>
    </w:p>
    <w:p w14:paraId="0B029144" w14:textId="77777777" w:rsidR="004B2808" w:rsidRDefault="00000000">
      <w:pPr>
        <w:pStyle w:val="pheading"/>
      </w:pPr>
      <w:r>
        <w:t>- Exécution</w:t>
      </w:r>
    </w:p>
    <w:p w14:paraId="7C8BA388" w14:textId="77777777" w:rsidR="004B2808" w:rsidRDefault="00000000">
      <w:r>
        <w:t>[NIT 233, Les cloisons légères.]</w:t>
      </w:r>
    </w:p>
    <w:p w14:paraId="140DA3B3" w14:textId="77777777" w:rsidR="004B2808" w:rsidRDefault="00000000">
      <w:r>
        <w:t>[NIT 232, Les plafonds suspendus.]</w:t>
      </w:r>
    </w:p>
    <w:p w14:paraId="6A4DD747" w14:textId="77777777" w:rsidR="004B2808" w:rsidRDefault="00000000">
      <w:r>
        <w:t>[NBN EN 13501-1, Classement au feu des produits et éléments de construction - Partie 1: Classement à partir des données d'essais de réaction au feu]</w:t>
      </w:r>
    </w:p>
    <w:p w14:paraId="4748A30C" w14:textId="77777777" w:rsidR="004B2808" w:rsidRDefault="00000000">
      <w:r>
        <w:t>[NBN EN 15287-1, Conduits de fumée - Conception, installation et mise en service - Partie 1: Conduits de fumée et conduits de raccordement pour appareils de combustion qui prélèvent l’air comburant dans la pièce]</w:t>
      </w:r>
    </w:p>
    <w:p w14:paraId="48A3DE8C" w14:textId="77777777" w:rsidR="004B2808" w:rsidRDefault="00000000">
      <w:r>
        <w:t>[NBN EN 15287-2, Conduits de fumée - Conception, installation et mise en service - Partie 2 : Conduits de fumée et conduits de raccordement pour appareils de combustion à circuit étanche]</w:t>
      </w:r>
    </w:p>
    <w:p w14:paraId="519D7CDF" w14:textId="77777777" w:rsidR="004B2808" w:rsidRDefault="00000000">
      <w:pPr>
        <w:pStyle w:val="pheading"/>
      </w:pPr>
      <w:r>
        <w:t>MESURAGE</w:t>
      </w:r>
    </w:p>
    <w:p w14:paraId="21CC52F3" w14:textId="77777777" w:rsidR="004B2808" w:rsidRDefault="00000000">
      <w:pPr>
        <w:pStyle w:val="pheading"/>
      </w:pPr>
      <w:r>
        <w:t>- unité de mesure:</w:t>
      </w:r>
    </w:p>
    <w:p w14:paraId="3697093F" w14:textId="77777777" w:rsidR="004B2808" w:rsidRDefault="00000000">
      <w:r>
        <w:rPr>
          <w:rStyle w:val="optioncarChar"/>
        </w:rPr>
        <w:t xml:space="preserve">m² </w:t>
      </w:r>
      <w:r>
        <w:t>(par défaut)</w:t>
      </w:r>
      <w:r>
        <w:rPr>
          <w:rStyle w:val="optioncarChar"/>
        </w:rPr>
        <w:t xml:space="preserve"> / m³</w:t>
      </w:r>
    </w:p>
    <w:p w14:paraId="5B4A8EFA" w14:textId="77777777" w:rsidR="004B2808" w:rsidRDefault="00000000">
      <w:r>
        <w:rPr>
          <w:b/>
          <w:i/>
        </w:rPr>
        <w:t>(Soit par défaut)</w:t>
      </w:r>
    </w:p>
    <w:p w14:paraId="565BE589" w14:textId="77777777" w:rsidR="004B2808" w:rsidRDefault="00000000">
      <w:r>
        <w:rPr>
          <w:rStyle w:val="soitChar"/>
        </w:rPr>
        <w:t>1.  m²</w:t>
      </w:r>
    </w:p>
    <w:p w14:paraId="1E819502" w14:textId="77777777" w:rsidR="004B2808" w:rsidRDefault="00000000">
      <w:r>
        <w:rPr>
          <w:b/>
          <w:i/>
        </w:rPr>
        <w:t>(Soit)</w:t>
      </w:r>
    </w:p>
    <w:p w14:paraId="6C3E3834" w14:textId="77777777" w:rsidR="004B2808" w:rsidRDefault="00000000">
      <w:r>
        <w:rPr>
          <w:rStyle w:val="soitChar"/>
        </w:rPr>
        <w:t>2.  m³</w:t>
      </w:r>
    </w:p>
    <w:p w14:paraId="29FF11DC" w14:textId="77777777" w:rsidR="004B2808" w:rsidRDefault="00000000">
      <w:pPr>
        <w:pStyle w:val="pheading"/>
      </w:pPr>
      <w:r>
        <w:t>- code de mesurage:</w:t>
      </w:r>
    </w:p>
    <w:p w14:paraId="395CFF36" w14:textId="77777777" w:rsidR="004B2808" w:rsidRDefault="00000000">
      <w:pPr>
        <w:jc w:val="both"/>
      </w:pPr>
      <w:r>
        <w:rPr>
          <w:rStyle w:val="optioncarChar"/>
        </w:rPr>
        <w:t xml:space="preserve">Surface nette </w:t>
      </w:r>
      <w:r>
        <w:t xml:space="preserve">(par défaut) </w:t>
      </w:r>
      <w:r>
        <w:rPr>
          <w:rStyle w:val="optioncarChar"/>
        </w:rPr>
        <w:t>/ Volume net</w:t>
      </w:r>
    </w:p>
    <w:p w14:paraId="3FB78FBC" w14:textId="77777777" w:rsidR="004B2808" w:rsidRDefault="00000000">
      <w:pPr>
        <w:jc w:val="both"/>
      </w:pPr>
      <w:r>
        <w:rPr>
          <w:b/>
          <w:i/>
        </w:rPr>
        <w:t>(Soit par défaut)</w:t>
      </w:r>
    </w:p>
    <w:p w14:paraId="00120654" w14:textId="77777777" w:rsidR="004B2808" w:rsidRDefault="00000000">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inférieures à 0.5 m² ne sont pas déduites. Distinction faite suivant l'épaisseur.</w:t>
      </w:r>
    </w:p>
    <w:p w14:paraId="4E896EA0" w14:textId="77777777" w:rsidR="004B2808" w:rsidRDefault="00000000">
      <w:pPr>
        <w:jc w:val="both"/>
      </w:pPr>
      <w:r>
        <w:rPr>
          <w:b/>
          <w:i/>
        </w:rPr>
        <w:t>(Soit)</w:t>
      </w:r>
    </w:p>
    <w:p w14:paraId="0965CD1E" w14:textId="77777777" w:rsidR="004B2808" w:rsidRDefault="00000000">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w:t>
      </w:r>
    </w:p>
    <w:p w14:paraId="217AA29C" w14:textId="77777777" w:rsidR="004B2808" w:rsidRDefault="00000000">
      <w:pPr>
        <w:pStyle w:val="pheading"/>
      </w:pPr>
      <w:r>
        <w:t>- nature du marché:</w:t>
      </w:r>
    </w:p>
    <w:p w14:paraId="78BD02AD" w14:textId="77777777" w:rsidR="004B2808" w:rsidRDefault="00000000">
      <w:r>
        <w:t>QF</w:t>
      </w:r>
    </w:p>
    <w:p w14:paraId="061C960C" w14:textId="77777777" w:rsidR="004B2808" w:rsidRDefault="00000000">
      <w:pPr>
        <w:pStyle w:val="Author-eSectionHeading5Numberless"/>
      </w:pPr>
      <w:bookmarkStart w:id="477" w:name="_Toc220490652"/>
      <w:r>
        <w:t>52.44.4 Isolation à souffler - matières animales CCTB 01.07</w:t>
      </w:r>
      <w:bookmarkEnd w:id="477"/>
    </w:p>
    <w:p w14:paraId="11B4ECC1" w14:textId="77777777" w:rsidR="004B2808" w:rsidRDefault="00000000">
      <w:pPr>
        <w:pStyle w:val="pheading"/>
      </w:pPr>
      <w:r>
        <w:t>DESCRIPTION</w:t>
      </w:r>
    </w:p>
    <w:p w14:paraId="64EB69E6" w14:textId="77777777" w:rsidR="004B2808" w:rsidRDefault="00000000">
      <w:pPr>
        <w:pStyle w:val="pheading"/>
      </w:pPr>
      <w:r>
        <w:t>- Définition / Comprend</w:t>
      </w:r>
    </w:p>
    <w:p w14:paraId="364A88D4" w14:textId="77777777" w:rsidR="004B2808" w:rsidRDefault="00000000">
      <w:r>
        <w:t>Il s'agit de la réalisation d'une isolation constituée de poils de mammifères ou de duvets d'oiseaux suivant prescriptions de l'élément 32.44.4 Isolation à souffler - matières animales.</w:t>
      </w:r>
    </w:p>
    <w:p w14:paraId="646FF28C" w14:textId="77777777" w:rsidR="004B2808" w:rsidRDefault="00000000">
      <w:pPr>
        <w:pStyle w:val="pheading"/>
      </w:pPr>
      <w:r>
        <w:t>DOCUMENTS DE RÉFÉRENCE</w:t>
      </w:r>
    </w:p>
    <w:p w14:paraId="35B8D447" w14:textId="77777777" w:rsidR="004B2808" w:rsidRDefault="00000000">
      <w:pPr>
        <w:pStyle w:val="pheading"/>
      </w:pPr>
      <w:r>
        <w:t>- Matériau</w:t>
      </w:r>
    </w:p>
    <w:p w14:paraId="0EB48575" w14:textId="77777777" w:rsidR="004B2808" w:rsidRDefault="00000000">
      <w:r>
        <w:lastRenderedPageBreak/>
        <w:t>32.44.4 Isolation à souffler - matières animales</w:t>
      </w:r>
    </w:p>
    <w:p w14:paraId="3E708EEE" w14:textId="77777777" w:rsidR="004B2808" w:rsidRDefault="00000000">
      <w:pPr>
        <w:pStyle w:val="pheading"/>
      </w:pPr>
      <w:r>
        <w:t>- Exécution</w:t>
      </w:r>
    </w:p>
    <w:p w14:paraId="7F28077D" w14:textId="77777777" w:rsidR="004B2808" w:rsidRDefault="00000000">
      <w:r>
        <w:t>32.44.4 Isolation à souffler - matières animales</w:t>
      </w:r>
    </w:p>
    <w:p w14:paraId="3DB44E1B" w14:textId="77777777" w:rsidR="004B2808" w:rsidRDefault="00000000">
      <w:pPr>
        <w:pStyle w:val="Author-eSectionHeading6Numberless"/>
      </w:pPr>
      <w:bookmarkStart w:id="478" w:name="_Toc220490653"/>
      <w:r>
        <w:t>52.44.4a Isolation à souffler - laine de mouton CCTB 01.12</w:t>
      </w:r>
      <w:bookmarkEnd w:id="478"/>
    </w:p>
    <w:p w14:paraId="492539D9" w14:textId="77777777" w:rsidR="004B2808" w:rsidRDefault="00000000">
      <w:pPr>
        <w:pStyle w:val="pheading"/>
      </w:pPr>
      <w:r>
        <w:t>DESCRIPTION</w:t>
      </w:r>
    </w:p>
    <w:p w14:paraId="34292415" w14:textId="77777777" w:rsidR="004B2808" w:rsidRDefault="00000000">
      <w:pPr>
        <w:pStyle w:val="pheading"/>
      </w:pPr>
      <w:r>
        <w:t>- Définition / Comprend</w:t>
      </w:r>
    </w:p>
    <w:p w14:paraId="295A02D6" w14:textId="77777777" w:rsidR="004B2808" w:rsidRDefault="00000000">
      <w:r>
        <w:t>Il s'agit de la réalisation d'une isolation en laine issue de la tonte de mouton suivant prescriptions de l'article 32.44.4a Isolation à souffler - laine de mouton.</w:t>
      </w:r>
    </w:p>
    <w:p w14:paraId="7D2B90F9" w14:textId="77777777" w:rsidR="004B2808" w:rsidRDefault="00000000">
      <w:pPr>
        <w:pStyle w:val="pheading"/>
      </w:pPr>
      <w:r>
        <w:t>MATÉRIAUX</w:t>
      </w:r>
    </w:p>
    <w:p w14:paraId="0B659A5E" w14:textId="77777777" w:rsidR="004B2808" w:rsidRDefault="00000000">
      <w:pPr>
        <w:pStyle w:val="pheading"/>
      </w:pPr>
      <w:r>
        <w:t>- Caractéristiques générales</w:t>
      </w:r>
    </w:p>
    <w:p w14:paraId="53DFD001" w14:textId="77777777" w:rsidR="004B2808" w:rsidRDefault="00000000">
      <w:r>
        <w:t>Voir 32.44.4a Isolation à souffler - laine de mouton.</w:t>
      </w:r>
    </w:p>
    <w:p w14:paraId="4C3B979F" w14:textId="77777777" w:rsidR="004B2808" w:rsidRDefault="00000000">
      <w:r>
        <w:t xml:space="preserve">Proportion de laine de mouton issue des filières de recyclage de textiles dans le matériau mis en œuvre : </w:t>
      </w:r>
      <w:r>
        <w:rPr>
          <w:rStyle w:val="optioncarChar"/>
        </w:rPr>
        <w:t>0 % / *** % minimum / *** % maximum / 100 %</w:t>
      </w:r>
      <w:r>
        <w:t> (par défaut).</w:t>
      </w:r>
    </w:p>
    <w:p w14:paraId="25347FC3" w14:textId="77777777" w:rsidR="004B2808" w:rsidRDefault="00000000">
      <w:pPr>
        <w:pStyle w:val="heading"/>
      </w:pPr>
      <w:r>
        <w:t>Spécifications </w:t>
      </w:r>
    </w:p>
    <w:p w14:paraId="6A161CE0" w14:textId="77777777" w:rsidR="004B2808" w:rsidRDefault="00000000">
      <w:r>
        <w:t>Epaisseur d’isolation :</w:t>
      </w:r>
      <w:r>
        <w:rPr>
          <w:rStyle w:val="optioncarChar"/>
        </w:rPr>
        <w:t xml:space="preserve"> *** </w:t>
      </w:r>
      <w:r>
        <w:t>mm.</w:t>
      </w:r>
    </w:p>
    <w:p w14:paraId="6D5EB0B0" w14:textId="77777777" w:rsidR="004B2808" w:rsidRDefault="00000000">
      <w:r>
        <w:rPr>
          <w:u w:val="single"/>
        </w:rPr>
        <w:t>Caractéristiques de base :</w:t>
      </w:r>
    </w:p>
    <w:p w14:paraId="64AD3EAE" w14:textId="77777777" w:rsidR="004B2808" w:rsidRDefault="00000000">
      <w:pPr>
        <w:pStyle w:val="Author-eListParagraph"/>
        <w:numPr>
          <w:ilvl w:val="0"/>
          <w:numId w:val="456"/>
        </w:numPr>
      </w:pPr>
      <w:r>
        <w:t>Conductivité thermique valeur lambda déclarée : max.</w:t>
      </w:r>
      <w:r>
        <w:rPr>
          <w:rStyle w:val="optioncarChar"/>
        </w:rPr>
        <w:t xml:space="preserve"> 0.035</w:t>
      </w:r>
      <w:r>
        <w:t> (par défaut)</w:t>
      </w:r>
      <w:r>
        <w:rPr>
          <w:rStyle w:val="optioncarChar"/>
        </w:rPr>
        <w:t xml:space="preserve"> / 0.045 / ***</w:t>
      </w:r>
      <w:r>
        <w:t xml:space="preserve"> W/mK</w:t>
      </w:r>
    </w:p>
    <w:p w14:paraId="654A8508" w14:textId="77777777" w:rsidR="004B2808" w:rsidRDefault="00000000">
      <w:pPr>
        <w:pStyle w:val="Author-eListParagraph"/>
        <w:numPr>
          <w:ilvl w:val="0"/>
          <w:numId w:val="456"/>
        </w:numPr>
      </w:pPr>
      <w:r>
        <w:t xml:space="preserve">Masse volumique nominale après insufflation : environ  </w:t>
      </w:r>
      <w:r>
        <w:rPr>
          <w:rStyle w:val="optioncarChar"/>
        </w:rPr>
        <w:t>10</w:t>
      </w:r>
      <w:r>
        <w:t xml:space="preserve"> (par défaut) </w:t>
      </w:r>
      <w:r>
        <w:rPr>
          <w:rStyle w:val="optioncarChar"/>
        </w:rPr>
        <w:t xml:space="preserve">/ 30 / *** </w:t>
      </w:r>
      <w:r>
        <w:t>kg/m³</w:t>
      </w:r>
    </w:p>
    <w:p w14:paraId="76DE6C5A" w14:textId="77777777" w:rsidR="004B2808" w:rsidRDefault="00000000">
      <w:pPr>
        <w:pStyle w:val="Author-eListParagraph"/>
        <w:numPr>
          <w:ilvl w:val="0"/>
          <w:numId w:val="456"/>
        </w:numPr>
      </w:pPr>
      <w:r>
        <w:t xml:space="preserve">Réaction au feu  </w:t>
      </w:r>
    </w:p>
    <w:p w14:paraId="4DEFC0D7" w14:textId="77777777" w:rsidR="004B2808" w:rsidRDefault="00000000">
      <w:pPr>
        <w:pStyle w:val="Author-eListParagraph"/>
        <w:numPr>
          <w:ilvl w:val="1"/>
          <w:numId w:val="457"/>
        </w:numPr>
      </w:pPr>
      <w:r>
        <w:t xml:space="preserve">Spécifique (matériau nu) – application générale: classe </w:t>
      </w:r>
      <w:r>
        <w:rPr>
          <w:rStyle w:val="optioncarChar"/>
        </w:rPr>
        <w:t>E</w:t>
      </w:r>
      <w:r>
        <w:t xml:space="preserve"> (par défaut)</w:t>
      </w:r>
      <w:r>
        <w:rPr>
          <w:rStyle w:val="optioncarChar"/>
        </w:rPr>
        <w:t> / F / ***</w:t>
      </w:r>
      <w:r>
        <w:t xml:space="preserve"> ou avec additif retardateur au feu : classe </w:t>
      </w:r>
      <w:r>
        <w:rPr>
          <w:rStyle w:val="optioncarChar"/>
        </w:rPr>
        <w:t>B </w:t>
      </w:r>
      <w:r>
        <w:t xml:space="preserve">(par défaut) </w:t>
      </w:r>
      <w:r>
        <w:rPr>
          <w:rStyle w:val="optioncarChar"/>
        </w:rPr>
        <w:t>/ C / D / E / F / ***</w:t>
      </w:r>
      <w:r>
        <w:t xml:space="preserve"> complétée, le cas échéant par les aspects </w:t>
      </w:r>
      <w:r>
        <w:rPr>
          <w:rStyle w:val="optioncarChar"/>
        </w:rPr>
        <w:t xml:space="preserve">s1 </w:t>
      </w:r>
      <w:r>
        <w:t>(par défaut) </w:t>
      </w:r>
      <w:r>
        <w:rPr>
          <w:rStyle w:val="optioncarChar"/>
        </w:rPr>
        <w:t>/ s2 / s3 / ***</w:t>
      </w:r>
      <w:r>
        <w:t xml:space="preserve"> et </w:t>
      </w:r>
      <w:r>
        <w:rPr>
          <w:rStyle w:val="optioncarChar"/>
        </w:rPr>
        <w:t>d0 </w:t>
      </w:r>
      <w:r>
        <w:t>(par défaut)</w:t>
      </w:r>
      <w:r>
        <w:rPr>
          <w:rStyle w:val="optioncarChar"/>
        </w:rPr>
        <w:t xml:space="preserve"> / d1 / d2/ ***</w:t>
      </w:r>
      <w:r>
        <w:t> </w:t>
      </w:r>
    </w:p>
    <w:p w14:paraId="01C5D399" w14:textId="77777777" w:rsidR="004B2808" w:rsidRDefault="00000000">
      <w:pPr>
        <w:pStyle w:val="Author-eListParagraph"/>
        <w:numPr>
          <w:ilvl w:val="1"/>
          <w:numId w:val="457"/>
        </w:numPr>
      </w:pPr>
      <w:r>
        <w:t xml:space="preserve">Matériau revêtu - « end-use »: classe </w:t>
      </w:r>
      <w:r>
        <w:rPr>
          <w:rStyle w:val="optioncarChar"/>
        </w:rPr>
        <w:t>A1</w:t>
      </w:r>
      <w:r>
        <w:t> (par défaut)</w:t>
      </w:r>
      <w:r>
        <w:rPr>
          <w:rStyle w:val="optioncarChar"/>
        </w:rPr>
        <w:t xml:space="preserve"> / A2 / B / C / D / E / F / ***</w:t>
      </w:r>
      <w:r>
        <w:t xml:space="preserve"> complétée, le cas échéant, par les aspects </w:t>
      </w:r>
      <w:r>
        <w:rPr>
          <w:rStyle w:val="optioncarChar"/>
        </w:rPr>
        <w:t>s1</w:t>
      </w:r>
      <w:r>
        <w:t xml:space="preserve"> (par défaut) </w:t>
      </w:r>
      <w:r>
        <w:rPr>
          <w:rStyle w:val="optioncarChar"/>
        </w:rPr>
        <w:t xml:space="preserve">/ s2 / s3 </w:t>
      </w:r>
      <w:r>
        <w:t xml:space="preserve">et </w:t>
      </w:r>
      <w:r>
        <w:rPr>
          <w:rStyle w:val="optioncarChar"/>
        </w:rPr>
        <w:t>d0 </w:t>
      </w:r>
      <w:r>
        <w:t>(par défaut)</w:t>
      </w:r>
      <w:r>
        <w:rPr>
          <w:rStyle w:val="optioncarChar"/>
        </w:rPr>
        <w:t xml:space="preserve"> / d1 / d2 / ***</w:t>
      </w:r>
    </w:p>
    <w:p w14:paraId="1D533FBE" w14:textId="77777777" w:rsidR="004B2808" w:rsidRDefault="00000000">
      <w:pPr>
        <w:pStyle w:val="Author-eListParagraph"/>
        <w:numPr>
          <w:ilvl w:val="0"/>
          <w:numId w:val="456"/>
        </w:numPr>
      </w:pPr>
      <w:r>
        <w:t xml:space="preserve">Teneur en eau  : &lt; </w:t>
      </w:r>
      <w:r>
        <w:rPr>
          <w:rStyle w:val="optioncarChar"/>
        </w:rPr>
        <w:t>***</w:t>
      </w:r>
      <w:r>
        <w:t xml:space="preserve"> %</w:t>
      </w:r>
    </w:p>
    <w:p w14:paraId="1DC1277B" w14:textId="77777777" w:rsidR="004B2808" w:rsidRDefault="00000000">
      <w:pPr>
        <w:pStyle w:val="Author-eListParagraph"/>
        <w:numPr>
          <w:ilvl w:val="0"/>
          <w:numId w:val="456"/>
        </w:numPr>
      </w:pPr>
      <w:r>
        <w:t xml:space="preserve">Perméabilité à la vapeur d'eau µ : </w:t>
      </w:r>
      <w:r>
        <w:rPr>
          <w:rStyle w:val="optioncarChar"/>
        </w:rPr>
        <w:t>1</w:t>
      </w:r>
      <w:r>
        <w:t> (par défaut)</w:t>
      </w:r>
      <w:r>
        <w:rPr>
          <w:rStyle w:val="optioncarChar"/>
        </w:rPr>
        <w:t xml:space="preserve"> / *** / 2</w:t>
      </w:r>
    </w:p>
    <w:p w14:paraId="161460CB" w14:textId="77777777" w:rsidR="004B2808" w:rsidRDefault="00000000">
      <w:r>
        <w:rPr>
          <w:u w:val="single"/>
        </w:rPr>
        <w:t>Autres caractéristiques spécifiques suivant les sollicitations du projet : </w:t>
      </w:r>
    </w:p>
    <w:p w14:paraId="26D20DAF" w14:textId="77777777" w:rsidR="004B2808" w:rsidRDefault="00000000">
      <w:pPr>
        <w:pStyle w:val="Author-eListParagraph"/>
        <w:numPr>
          <w:ilvl w:val="0"/>
          <w:numId w:val="458"/>
        </w:numPr>
      </w:pPr>
      <w:r>
        <w:t xml:space="preserve">Atténuation acoustique : </w:t>
      </w:r>
      <w:r>
        <w:rPr>
          <w:rStyle w:val="optioncarChar"/>
        </w:rPr>
        <w:t xml:space="preserve">*** </w:t>
      </w:r>
      <w:r>
        <w:t>.</w:t>
      </w:r>
    </w:p>
    <w:p w14:paraId="6363C66B" w14:textId="77777777" w:rsidR="004B2808" w:rsidRDefault="00000000">
      <w:pPr>
        <w:pStyle w:val="pheading"/>
      </w:pPr>
      <w:r>
        <w:t>EXÉCUTION / MISE EN ŒUVRE</w:t>
      </w:r>
    </w:p>
    <w:p w14:paraId="05BFDA88" w14:textId="77777777" w:rsidR="004B2808" w:rsidRDefault="00000000">
      <w:pPr>
        <w:pStyle w:val="pheading"/>
      </w:pPr>
      <w:r>
        <w:t>- Prescriptions générales</w:t>
      </w:r>
    </w:p>
    <w:p w14:paraId="2C2F36D9" w14:textId="77777777" w:rsidR="004B2808" w:rsidRDefault="00000000">
      <w:r>
        <w:t>Voir 32.44.4a Isolation à souffler - laine de mouton</w:t>
      </w:r>
    </w:p>
    <w:p w14:paraId="2A57F973" w14:textId="77777777" w:rsidR="004B2808" w:rsidRDefault="00000000">
      <w:pPr>
        <w:pStyle w:val="pheading"/>
      </w:pPr>
      <w:r>
        <w:t>DOCUMENTS DE RÉFÉRENCE COMPLÉMENTAIRES</w:t>
      </w:r>
    </w:p>
    <w:p w14:paraId="0C0989B9" w14:textId="77777777" w:rsidR="004B2808" w:rsidRDefault="00000000">
      <w:pPr>
        <w:pStyle w:val="pheading"/>
      </w:pPr>
      <w:r>
        <w:t>- Matériau</w:t>
      </w:r>
    </w:p>
    <w:p w14:paraId="64F5229F" w14:textId="77777777" w:rsidR="004B2808" w:rsidRDefault="00000000">
      <w:r>
        <w:t>32.44.4a Isolation à souffler - laine de mouton</w:t>
      </w:r>
    </w:p>
    <w:p w14:paraId="2B3E123E" w14:textId="77777777" w:rsidR="004B2808" w:rsidRDefault="00000000">
      <w:pPr>
        <w:pStyle w:val="pheading"/>
      </w:pPr>
      <w:r>
        <w:t>- Exécution</w:t>
      </w:r>
    </w:p>
    <w:p w14:paraId="074E9E42" w14:textId="77777777" w:rsidR="004B2808" w:rsidRDefault="00000000">
      <w:r>
        <w:t>32.44.4a Isolation à souffler - laine de mouton</w:t>
      </w:r>
    </w:p>
    <w:p w14:paraId="6E19F342" w14:textId="77777777" w:rsidR="004B2808" w:rsidRDefault="00000000">
      <w:pPr>
        <w:pStyle w:val="pheading"/>
      </w:pPr>
      <w:r>
        <w:t>MESURAGE</w:t>
      </w:r>
    </w:p>
    <w:p w14:paraId="74962E66" w14:textId="77777777" w:rsidR="004B2808" w:rsidRDefault="00000000">
      <w:pPr>
        <w:pStyle w:val="pheading"/>
      </w:pPr>
      <w:r>
        <w:t>- unité de mesure:</w:t>
      </w:r>
    </w:p>
    <w:p w14:paraId="407EEFF9" w14:textId="77777777" w:rsidR="004B2808" w:rsidRDefault="00000000">
      <w:r>
        <w:t>m³</w:t>
      </w:r>
    </w:p>
    <w:p w14:paraId="60C8F31B" w14:textId="77777777" w:rsidR="004B2808" w:rsidRDefault="00000000">
      <w:pPr>
        <w:pStyle w:val="pheading"/>
      </w:pPr>
      <w:r>
        <w:lastRenderedPageBreak/>
        <w:t>- code de mesurage:</w:t>
      </w:r>
    </w:p>
    <w:p w14:paraId="18232FDF" w14:textId="77777777" w:rsidR="004B2808"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18F0486B" w14:textId="77777777" w:rsidR="004B2808" w:rsidRDefault="00000000">
      <w:pPr>
        <w:pStyle w:val="pheading"/>
      </w:pPr>
      <w:r>
        <w:t>- nature du marché:</w:t>
      </w:r>
    </w:p>
    <w:p w14:paraId="5516F282" w14:textId="77777777" w:rsidR="004B2808" w:rsidRDefault="00000000">
      <w:r>
        <w:t>QF</w:t>
      </w:r>
    </w:p>
    <w:p w14:paraId="6C62438F" w14:textId="77777777" w:rsidR="004B2808" w:rsidRDefault="00000000">
      <w:pPr>
        <w:pStyle w:val="Author-eSectionHeading6Numberless"/>
      </w:pPr>
      <w:bookmarkStart w:id="479" w:name="_Toc220490654"/>
      <w:r>
        <w:t>52.44.4b Isolation à souffler - plumes CCTB 01.02</w:t>
      </w:r>
      <w:bookmarkEnd w:id="479"/>
    </w:p>
    <w:p w14:paraId="10C6B917" w14:textId="77777777" w:rsidR="004B2808" w:rsidRDefault="00000000">
      <w:pPr>
        <w:pStyle w:val="Author-eSectionHeading4Numberless"/>
      </w:pPr>
      <w:bookmarkStart w:id="480" w:name="_Toc220490655"/>
      <w:r>
        <w:t>52.45 Isolation à injecter CCTB 01.12</w:t>
      </w:r>
      <w:bookmarkEnd w:id="480"/>
    </w:p>
    <w:p w14:paraId="32B76FD0" w14:textId="77777777" w:rsidR="004B2808" w:rsidRDefault="00000000">
      <w:pPr>
        <w:pStyle w:val="pheading"/>
      </w:pPr>
      <w:r>
        <w:t>DESCRIPTION</w:t>
      </w:r>
    </w:p>
    <w:p w14:paraId="42494AD7" w14:textId="77777777" w:rsidR="004B2808" w:rsidRDefault="00000000">
      <w:pPr>
        <w:pStyle w:val="pheading"/>
      </w:pPr>
      <w:r>
        <w:t>- Définition / Comprend</w:t>
      </w:r>
    </w:p>
    <w:p w14:paraId="10C8F080" w14:textId="77777777" w:rsidR="004B2808" w:rsidRDefault="00000000">
      <w:pPr>
        <w:jc w:val="both"/>
      </w:pPr>
      <w:r>
        <w:t>Il s’agit de toutes les fournitures et travaux en vue de la réalisation, in situ, d’une isolation sans joint, par injection de liquides/pâtes poly-composants dans des espaces fermés pour applications intérieures.  Après injection, le produit subit un séchage et un durcissement lui conférant ses caractéristiques finales.</w:t>
      </w:r>
    </w:p>
    <w:p w14:paraId="07BF228A" w14:textId="77777777" w:rsidR="004B2808" w:rsidRDefault="00000000">
      <w:pPr>
        <w:jc w:val="both"/>
      </w:pPr>
      <w:r>
        <w:t>Ces travaux sont réalisés suivant les prescriptions de l'élément 32.45 Isolation à injecter.</w:t>
      </w:r>
    </w:p>
    <w:p w14:paraId="4A9CB8E9" w14:textId="77777777" w:rsidR="004B2808" w:rsidRDefault="00000000">
      <w:pPr>
        <w:jc w:val="both"/>
      </w:pPr>
      <w:r>
        <w:t>Les travaux comprennent notamment :</w:t>
      </w:r>
    </w:p>
    <w:p w14:paraId="796EA5FF" w14:textId="77777777" w:rsidR="004B2808" w:rsidRDefault="00000000">
      <w:pPr>
        <w:pStyle w:val="Author-eListParagraph"/>
        <w:numPr>
          <w:ilvl w:val="0"/>
          <w:numId w:val="459"/>
        </w:numPr>
      </w:pPr>
      <w:r>
        <w:t>la préparation et le contrôle des volumes à injecter ;</w:t>
      </w:r>
    </w:p>
    <w:p w14:paraId="24E3224C" w14:textId="77777777" w:rsidR="004B2808" w:rsidRDefault="00000000">
      <w:pPr>
        <w:pStyle w:val="Author-eListParagraph"/>
        <w:numPr>
          <w:ilvl w:val="0"/>
          <w:numId w:val="459"/>
        </w:numPr>
      </w:pPr>
      <w:r>
        <w:t>les éventuelles mesures de protection provisoires ; </w:t>
      </w:r>
    </w:p>
    <w:p w14:paraId="38A77E6C" w14:textId="77777777" w:rsidR="004B2808" w:rsidRDefault="00000000">
      <w:pPr>
        <w:pStyle w:val="Author-eListParagraph"/>
        <w:numPr>
          <w:ilvl w:val="0"/>
          <w:numId w:val="459"/>
        </w:numPr>
      </w:pPr>
      <w:r>
        <w:t>la fourniture et la mise en œuvre du matériau d'isolation ;</w:t>
      </w:r>
    </w:p>
    <w:p w14:paraId="0CA9D3A6" w14:textId="77777777" w:rsidR="004B2808" w:rsidRDefault="00000000">
      <w:pPr>
        <w:pStyle w:val="Author-eListParagraph"/>
        <w:numPr>
          <w:ilvl w:val="0"/>
          <w:numId w:val="459"/>
        </w:numPr>
      </w:pPr>
      <w:r>
        <w:t>la réalisation des ouvertures provisoires d’injection ;</w:t>
      </w:r>
    </w:p>
    <w:p w14:paraId="6A2935AF" w14:textId="77777777" w:rsidR="004B2808" w:rsidRDefault="00000000">
      <w:pPr>
        <w:pStyle w:val="Author-eListParagraph"/>
        <w:numPr>
          <w:ilvl w:val="0"/>
          <w:numId w:val="459"/>
        </w:numPr>
      </w:pPr>
      <w:r>
        <w:t>la vérification des volumes mis en œuvre ;</w:t>
      </w:r>
    </w:p>
    <w:p w14:paraId="49FD651F" w14:textId="77777777" w:rsidR="004B2808" w:rsidRDefault="00000000">
      <w:pPr>
        <w:pStyle w:val="Author-eListParagraph"/>
        <w:numPr>
          <w:ilvl w:val="0"/>
          <w:numId w:val="459"/>
        </w:numPr>
      </w:pPr>
      <w:r>
        <w:t>la fermeture des orifices d’injection ;</w:t>
      </w:r>
    </w:p>
    <w:p w14:paraId="191D3B58" w14:textId="77777777" w:rsidR="004B2808" w:rsidRDefault="00000000">
      <w:pPr>
        <w:pStyle w:val="Author-eListParagraph"/>
        <w:numPr>
          <w:ilvl w:val="0"/>
          <w:numId w:val="459"/>
        </w:numPr>
      </w:pPr>
      <w:r>
        <w:t>le nettoyage de la zone de travail, le tri, l’évacuation et le recyclage des différents déchets de mise en œuvre (emballages, découpes, chutes, …) suivant les législations en cours et suivant 07.2 Gestion des déchets, matériaux et éléments réemployables.</w:t>
      </w:r>
    </w:p>
    <w:p w14:paraId="117A53B9" w14:textId="77777777" w:rsidR="004B2808" w:rsidRDefault="00000000">
      <w:pPr>
        <w:jc w:val="both"/>
      </w:pPr>
      <w:r>
        <w:t>Voir 32.45 Isolation à injecter.</w:t>
      </w:r>
    </w:p>
    <w:p w14:paraId="1CEA8EE4" w14:textId="77777777" w:rsidR="004B2808" w:rsidRDefault="00000000">
      <w:pPr>
        <w:pStyle w:val="pheading"/>
      </w:pPr>
      <w:r>
        <w:t>MATÉRIAUX</w:t>
      </w:r>
    </w:p>
    <w:p w14:paraId="6D787A85" w14:textId="77777777" w:rsidR="004B2808" w:rsidRDefault="00000000">
      <w:pPr>
        <w:jc w:val="both"/>
      </w:pPr>
      <w:r>
        <w:t>Le système d’isolation est adapté aux conditions et modèle de fonctionnement hygrothermique des parois. L’entrepreneur confirme le délai pour la pose de finition, Après ce délai, l’isolation injectée dispose d’une stabilité dimensionnelle suffisante. Le tassement éventuel durant ce délai est comblé sur chantier avant pose de finition.</w:t>
      </w:r>
    </w:p>
    <w:p w14:paraId="42013B46" w14:textId="77777777" w:rsidR="004B2808" w:rsidRDefault="004B2808">
      <w:pPr>
        <w:jc w:val="both"/>
      </w:pPr>
    </w:p>
    <w:p w14:paraId="444BC91E" w14:textId="77777777" w:rsidR="004B2808" w:rsidRDefault="00000000">
      <w:pPr>
        <w:jc w:val="both"/>
      </w:pPr>
      <w:r>
        <w:t>Le matériau/produit dispose d'une déclaration d'aptitude à l'utilisation suivant les prescriptions de l'élément 02.42.1 Critères d'acceptabilité.</w:t>
      </w:r>
    </w:p>
    <w:p w14:paraId="2A6F51D3" w14:textId="77777777" w:rsidR="004B2808" w:rsidRDefault="00000000">
      <w:pPr>
        <w:pStyle w:val="pheading"/>
      </w:pPr>
      <w:r>
        <w:t>EXÉCUTION / MISE EN ŒUVRE</w:t>
      </w:r>
    </w:p>
    <w:p w14:paraId="0BA2E1E6" w14:textId="77777777" w:rsidR="004B2808" w:rsidRDefault="00000000">
      <w:pPr>
        <w:jc w:val="both"/>
      </w:pPr>
      <w:r>
        <w:rPr>
          <w:b/>
        </w:rPr>
        <w:t>Vérification des conditions de mise en œuvre</w:t>
      </w:r>
    </w:p>
    <w:p w14:paraId="02C0EAA8" w14:textId="77777777" w:rsidR="004B2808" w:rsidRDefault="00000000">
      <w:pPr>
        <w:jc w:val="both"/>
      </w:pPr>
      <w:r>
        <w:t>Avant le début des travaux, l’entrepreneur vérifie l’accessibilité des lieux et notamment : les possibilités de stationnement des véhicules, la distance entre stationnement et zone des travaux, la configuration des baies d’accès, etc. Il tient compte des différentes contraintes dans sa remise de prix.</w:t>
      </w:r>
    </w:p>
    <w:p w14:paraId="3DF6E80D" w14:textId="77777777" w:rsidR="004B2808" w:rsidRDefault="00000000">
      <w:pPr>
        <w:jc w:val="both"/>
      </w:pPr>
      <w:r>
        <w:rPr>
          <w:b/>
        </w:rPr>
        <w:t>Préparation de volume à injecter</w:t>
      </w:r>
    </w:p>
    <w:p w14:paraId="44311D55" w14:textId="77777777" w:rsidR="004B2808" w:rsidRDefault="00000000">
      <w:pPr>
        <w:jc w:val="both"/>
      </w:pPr>
      <w:r>
        <w:t>L’entrepreneur informe le maitre d’œuvre si les travaux permettant de réduire les apports d’humidité dans le support (remontée capillaire, protection contre la pluie battante, risque de condensation et autres sources accidentelles) sont suffisantes.</w:t>
      </w:r>
    </w:p>
    <w:p w14:paraId="2B3F11DC" w14:textId="77777777" w:rsidR="004B2808" w:rsidRDefault="00000000">
      <w:pPr>
        <w:jc w:val="both"/>
      </w:pPr>
      <w:r>
        <w:lastRenderedPageBreak/>
        <w:t>Les volumes à injecter sont suffisamment rigides et fermés pour éviter les déformations des volume du à la pression d’injection ainsi que les fuites éventuelles. Tous les compartiments sont fermés pour empêcher que l’isolant ne s’échappe vers des cavités conjointes. Les matériaux utilisés pour délimiter les parois des volumes à injecter sont stables à l’humidité durant les phases de séchage de l’isolant.</w:t>
      </w:r>
    </w:p>
    <w:p w14:paraId="2D9CDF71" w14:textId="77777777" w:rsidR="004B2808" w:rsidRDefault="00000000">
      <w:pPr>
        <w:jc w:val="both"/>
      </w:pPr>
      <w:r>
        <w:t>Les épaisseurs des volumes sont suffisamment larges pour l'injection uniforme du produit.</w:t>
      </w:r>
    </w:p>
    <w:p w14:paraId="7634C691" w14:textId="77777777" w:rsidR="004B2808" w:rsidRDefault="00000000">
      <w:pPr>
        <w:jc w:val="both"/>
      </w:pPr>
      <w:r>
        <w:t>L’injection n’est faite qu’après l’exécution complète zones à injecter.</w:t>
      </w:r>
    </w:p>
    <w:p w14:paraId="61B2A4AE" w14:textId="77777777" w:rsidR="004B2808" w:rsidRDefault="00000000">
      <w:pPr>
        <w:jc w:val="both"/>
      </w:pPr>
      <w:r>
        <w:t>L’entrepreneur effectue les travaux suivant les mesures de sécurité préconisées, notamment pour les travaux en hauteur voir 01.1 Mission de coordination de sécurité et de santé.</w:t>
      </w:r>
    </w:p>
    <w:p w14:paraId="1D6498BB" w14:textId="77777777" w:rsidR="004B2808" w:rsidRDefault="00000000">
      <w:pPr>
        <w:jc w:val="both"/>
      </w:pPr>
      <w:r>
        <w:t>Les endroits où il est impossible d’injecter l’isolation dans les alvéoles sont déjà comblés avec un isolant équivalent au cours de l’édification.</w:t>
      </w:r>
    </w:p>
    <w:p w14:paraId="3743F887" w14:textId="77777777" w:rsidR="004B2808" w:rsidRDefault="00000000">
      <w:pPr>
        <w:jc w:val="both"/>
      </w:pPr>
      <w:r>
        <w:rPr>
          <w:b/>
        </w:rPr>
        <w:t>Mise en œuvre de l’Isolation</w:t>
      </w:r>
    </w:p>
    <w:p w14:paraId="45A22E88" w14:textId="77777777" w:rsidR="004B2808" w:rsidRDefault="00000000">
      <w:pPr>
        <w:jc w:val="both"/>
      </w:pPr>
      <w:r>
        <w:rPr>
          <w:u w:val="single"/>
        </w:rPr>
        <w:t>Emballage, transport et stockage :</w:t>
      </w:r>
    </w:p>
    <w:p w14:paraId="79DFE8ED" w14:textId="77777777" w:rsidR="004B2808" w:rsidRDefault="00000000">
      <w:pPr>
        <w:jc w:val="both"/>
      </w:pPr>
      <w:r>
        <w:t>L'emballage du produit est réalisé de telle sorte que l'isolant thermique est protégé de l'humidité durant le transport et le stockage, à moins que le fabricant n’ait prévu d'autres mesures à cet effet. Les emballages comportent une inscription lisible et indélébile précisant la nature et l’origine des produits. Il convient par ailleurs d’éviter toute dégradation des emballages pendant le transport et le stockage.</w:t>
      </w:r>
    </w:p>
    <w:p w14:paraId="1DF7BDEB" w14:textId="77777777" w:rsidR="004B2808" w:rsidRDefault="00000000">
      <w:pPr>
        <w:jc w:val="both"/>
      </w:pPr>
      <w:r>
        <w:t>Les matériaux isolants sont acheminés sur le chantier de préférence dans leur emballage d’origine hermétiquement fermé, de manière à exclure tout risque de contamination.</w:t>
      </w:r>
    </w:p>
    <w:p w14:paraId="443D908D" w14:textId="77777777" w:rsidR="004B2808" w:rsidRDefault="00000000">
      <w:pPr>
        <w:jc w:val="both"/>
      </w:pPr>
      <w:r>
        <w:t>Le stockage s’effectue à l’abri des intempéries.</w:t>
      </w:r>
    </w:p>
    <w:p w14:paraId="08DF4333" w14:textId="77777777" w:rsidR="004B2808" w:rsidRDefault="00000000">
      <w:pPr>
        <w:jc w:val="both"/>
      </w:pPr>
      <w:r>
        <w:t>Les composants liquides à base d’eau sont stockés à l’abri du gel. Les matières synthétiques qui nécessitent des températures de stockage plus élevées sont néanmoins  tenues à bonne distance de toute source de chaleur.</w:t>
      </w:r>
    </w:p>
    <w:p w14:paraId="7821A40F" w14:textId="77777777" w:rsidR="004B2808" w:rsidRDefault="00000000">
      <w:pPr>
        <w:jc w:val="both"/>
      </w:pPr>
      <w:r>
        <w:t>L’entreprise fournit au maître d’œuvre, au moins 15 jours avant livraison, les spécifications pour les produits qui nécessitent des conditions de stockage particulière.</w:t>
      </w:r>
    </w:p>
    <w:p w14:paraId="3D9FDDEB" w14:textId="77777777" w:rsidR="004B2808" w:rsidRDefault="004B2808">
      <w:pPr>
        <w:jc w:val="both"/>
      </w:pPr>
    </w:p>
    <w:p w14:paraId="39114D9F" w14:textId="77777777" w:rsidR="004B2808" w:rsidRDefault="00000000">
      <w:pPr>
        <w:jc w:val="both"/>
      </w:pPr>
      <w:r>
        <w:t>Les dispositifs d‘injection, les longueurs des tuyaux sont conformes aux spécifications des fabricants d’isolation.</w:t>
      </w:r>
    </w:p>
    <w:p w14:paraId="67DBB103" w14:textId="77777777" w:rsidR="004B2808" w:rsidRDefault="00000000">
      <w:pPr>
        <w:jc w:val="both"/>
      </w:pPr>
      <w:r>
        <w:t>L'isolation est injectée directement dans les volumes à isoler.</w:t>
      </w:r>
    </w:p>
    <w:p w14:paraId="7222C1A3" w14:textId="77777777" w:rsidR="004B2808" w:rsidRDefault="00000000">
      <w:pPr>
        <w:jc w:val="both"/>
      </w:pPr>
      <w:r>
        <w:t>L’isolant est injecté à travers les ouvertures d’injection sous une pression au moins égale à celle prescrite par le fabricant, de façon à remplir les cavités.  Les proportions entre les composants sont conformes aux prescriptions du fabricant.</w:t>
      </w:r>
    </w:p>
    <w:p w14:paraId="3A6B8C97" w14:textId="77777777" w:rsidR="004B2808" w:rsidRDefault="00000000">
      <w:pPr>
        <w:jc w:val="both"/>
      </w:pPr>
      <w:r>
        <w:t>Le remplissage est uniforme.</w:t>
      </w:r>
    </w:p>
    <w:p w14:paraId="4AFD58CB" w14:textId="77777777" w:rsidR="004B2808" w:rsidRDefault="00000000">
      <w:pPr>
        <w:jc w:val="both"/>
      </w:pPr>
      <w:r>
        <w:t>Le matériau d’isolation n’est pas mis en contact avec des conduits de fumée ou d’autres sources de chaleur (spots, transformateurs, ventilateurs, canalisations chaudes, ….) sauf justification fournie au maitre d’œuvre.</w:t>
      </w:r>
    </w:p>
    <w:p w14:paraId="744438B6" w14:textId="77777777" w:rsidR="004B2808" w:rsidRDefault="00000000">
      <w:pPr>
        <w:jc w:val="both"/>
      </w:pPr>
      <w:r>
        <w:t>Il convient de s'assurer par des mesures adaptées (par ex. des perçages de contrôle, endoscopie, thermographie, …) que l'isolant thermique remplit entièrement la cavité.</w:t>
      </w:r>
    </w:p>
    <w:p w14:paraId="78409D91" w14:textId="77777777" w:rsidR="004B2808" w:rsidRDefault="00000000">
      <w:pPr>
        <w:jc w:val="both"/>
      </w:pPr>
      <w:r>
        <w:t>Après l’injection, l’entrepreneur ferme les ouvertures avec un matériau compatible avec le matériau de la paroi percée.  Dans le cas où celle-ci est apparente en finale, le matériau d'obturation est identique au matériau de la paroi percée.</w:t>
      </w:r>
    </w:p>
    <w:p w14:paraId="61E9C2D4" w14:textId="77777777" w:rsidR="004B2808" w:rsidRDefault="00000000">
      <w:pPr>
        <w:jc w:val="both"/>
      </w:pPr>
      <w:r>
        <w:t>Une fois le travail terminé et conformément aux prescriptions du fabricant, l’entrepreneur fournit une déclaration de conformité et conserve la totalité des étiquettes de l’ensemble des contenants qui sont utilisés pour réaliser l’isolation et les joints au certificat.</w:t>
      </w:r>
    </w:p>
    <w:p w14:paraId="5FE4224B" w14:textId="77777777" w:rsidR="004B2808" w:rsidRDefault="00000000">
      <w:pPr>
        <w:jc w:val="both"/>
      </w:pPr>
      <w:r>
        <w:t>Après mise en œuvre, l’isolation n’est soumise à aucune charge, ni sollicitation.</w:t>
      </w:r>
    </w:p>
    <w:p w14:paraId="4E048AEF" w14:textId="77777777" w:rsidR="004B2808" w:rsidRDefault="00000000">
      <w:pPr>
        <w:pStyle w:val="pheading"/>
      </w:pPr>
      <w:r>
        <w:t>CONTRÔLES</w:t>
      </w:r>
    </w:p>
    <w:p w14:paraId="1F52DE0D" w14:textId="77777777" w:rsidR="004B2808" w:rsidRDefault="00000000">
      <w:pPr>
        <w:jc w:val="both"/>
      </w:pPr>
      <w:r>
        <w:lastRenderedPageBreak/>
        <w:t>Il est vérifié que tous les systèmes en contact avec (ou intégrés à) la paroi isolée sont bien fonctionnels.  De même, la non-obturation par de l'isolant des conduites et gainages traversant la paroi est également vérifiée.  L'entrepreneur fournit une attestation de contrôle de ces différents points à la direction de chantier.</w:t>
      </w:r>
    </w:p>
    <w:p w14:paraId="491D496D" w14:textId="77777777" w:rsidR="004B2808" w:rsidRDefault="00000000">
      <w:pPr>
        <w:pStyle w:val="Author-eSectionHeading5Numberless"/>
      </w:pPr>
      <w:bookmarkStart w:id="481" w:name="_Toc220490656"/>
      <w:r>
        <w:t>52.45.1 Isolation à injecter - matières synthétiques CCTB 01.02</w:t>
      </w:r>
      <w:bookmarkEnd w:id="481"/>
    </w:p>
    <w:p w14:paraId="0396B6FD" w14:textId="77777777" w:rsidR="004B2808" w:rsidRDefault="00000000">
      <w:pPr>
        <w:pStyle w:val="Author-eSectionHeading6Numberless"/>
      </w:pPr>
      <w:bookmarkStart w:id="482" w:name="_Toc220490657"/>
      <w:r>
        <w:t>52.45.1a Isolation à injecter - mousse de polystyrène (EPS) CCTB 01.07</w:t>
      </w:r>
      <w:bookmarkEnd w:id="482"/>
    </w:p>
    <w:p w14:paraId="47F6B9F6" w14:textId="77777777" w:rsidR="004B2808" w:rsidRDefault="00000000">
      <w:pPr>
        <w:pStyle w:val="pheading"/>
      </w:pPr>
      <w:r>
        <w:t>DESCRIPTION</w:t>
      </w:r>
    </w:p>
    <w:p w14:paraId="5F48F918" w14:textId="77777777" w:rsidR="004B2808" w:rsidRDefault="00000000">
      <w:pPr>
        <w:pStyle w:val="pheading"/>
      </w:pPr>
      <w:r>
        <w:t>- Définition / Comprend</w:t>
      </w:r>
    </w:p>
    <w:p w14:paraId="0D88E8AF" w14:textId="77777777" w:rsidR="004B2808" w:rsidRDefault="00000000">
      <w:r>
        <w:t>Il s'agit de la réalisation d'une isolation en mousse de polystyrène expansé (EPS)  suivant les prescriptions de l'article 32.45.1a Isolation à injecter - mousse de polystyrène (EPS).</w:t>
      </w:r>
    </w:p>
    <w:p w14:paraId="585348AE" w14:textId="77777777" w:rsidR="004B2808" w:rsidRDefault="00000000">
      <w:pPr>
        <w:pStyle w:val="pheading"/>
      </w:pPr>
      <w:r>
        <w:t>MATÉRIAUX</w:t>
      </w:r>
    </w:p>
    <w:p w14:paraId="0E182384" w14:textId="77777777" w:rsidR="004B2808" w:rsidRDefault="00000000">
      <w:pPr>
        <w:pStyle w:val="pheading"/>
      </w:pPr>
      <w:r>
        <w:t>- Caractéristiques générales</w:t>
      </w:r>
    </w:p>
    <w:p w14:paraId="4F172C6F" w14:textId="77777777" w:rsidR="004B2808" w:rsidRDefault="00000000">
      <w:r>
        <w:t>Voir 32.45.1a Isolation à injecter - mousse de polystyrène (EPS)</w:t>
      </w:r>
    </w:p>
    <w:p w14:paraId="471081FB" w14:textId="77777777" w:rsidR="004B2808" w:rsidRDefault="00000000">
      <w:pPr>
        <w:pStyle w:val="pheading"/>
      </w:pPr>
      <w:r>
        <w:t>CONTRÔLES PARTICULIERS</w:t>
      </w:r>
    </w:p>
    <w:p w14:paraId="5F5743FD" w14:textId="77777777" w:rsidR="004B2808" w:rsidRDefault="00000000">
      <w:r>
        <w:t>Voir 32.45.1a Isolation à injecter - mousse de polystyrène (EPS)</w:t>
      </w:r>
    </w:p>
    <w:p w14:paraId="31D81787" w14:textId="77777777" w:rsidR="004B2808" w:rsidRDefault="00000000">
      <w:pPr>
        <w:pStyle w:val="pheading"/>
      </w:pPr>
      <w:r>
        <w:t>DOCUMENTS DE RÉFÉRENCE COMPLÉMENTAIRES</w:t>
      </w:r>
    </w:p>
    <w:p w14:paraId="4A0B6EFC" w14:textId="77777777" w:rsidR="004B2808" w:rsidRDefault="00000000">
      <w:pPr>
        <w:pStyle w:val="pheading"/>
      </w:pPr>
      <w:r>
        <w:t>- Matériau</w:t>
      </w:r>
    </w:p>
    <w:p w14:paraId="33AD8454" w14:textId="77777777" w:rsidR="004B2808" w:rsidRDefault="00000000">
      <w:r>
        <w:t>32.45.1a Isolation à injecter - mousse de polystyrène (EPS)</w:t>
      </w:r>
    </w:p>
    <w:p w14:paraId="22BA48A2" w14:textId="77777777" w:rsidR="004B2808" w:rsidRDefault="00000000">
      <w:pPr>
        <w:pStyle w:val="pheading"/>
      </w:pPr>
      <w:r>
        <w:t>- Exécution</w:t>
      </w:r>
    </w:p>
    <w:p w14:paraId="5F813894" w14:textId="77777777" w:rsidR="004B2808" w:rsidRDefault="00000000">
      <w:r>
        <w:t>32.45.1a Isolation à injecter - mousse de polystyrène (EPS)</w:t>
      </w:r>
    </w:p>
    <w:p w14:paraId="7B647BC6" w14:textId="77777777" w:rsidR="004B2808" w:rsidRDefault="00000000">
      <w:pPr>
        <w:pStyle w:val="pheading"/>
      </w:pPr>
      <w:r>
        <w:t>MESURAGE</w:t>
      </w:r>
    </w:p>
    <w:p w14:paraId="58ED5E5A" w14:textId="77777777" w:rsidR="004B2808" w:rsidRDefault="00000000">
      <w:pPr>
        <w:pStyle w:val="pheading"/>
      </w:pPr>
      <w:r>
        <w:t>- unité de mesure:</w:t>
      </w:r>
    </w:p>
    <w:p w14:paraId="2549939D" w14:textId="77777777" w:rsidR="004B2808" w:rsidRDefault="00000000">
      <w:r>
        <w:t>m³</w:t>
      </w:r>
    </w:p>
    <w:p w14:paraId="12B0BD9D" w14:textId="77777777" w:rsidR="004B2808" w:rsidRDefault="00000000">
      <w:pPr>
        <w:pStyle w:val="pheading"/>
      </w:pPr>
      <w:r>
        <w:t>- code de mesurage:</w:t>
      </w:r>
    </w:p>
    <w:p w14:paraId="2166DFC4" w14:textId="77777777" w:rsidR="004B2808" w:rsidRDefault="00000000">
      <w:r>
        <w:t>Volume net de la construction à isoler, sans déduction des éléments de structure interposés.</w:t>
      </w:r>
      <w:r>
        <w:br/>
        <w:t>Les ouvertures supérieures à 0,5 m² multipliées par l’épaisseur à réaliser sont déduites.</w:t>
      </w:r>
    </w:p>
    <w:p w14:paraId="02A330BB" w14:textId="77777777" w:rsidR="004B2808" w:rsidRDefault="00000000">
      <w:pPr>
        <w:pStyle w:val="pheading"/>
      </w:pPr>
      <w:r>
        <w:t>- nature du marché:</w:t>
      </w:r>
    </w:p>
    <w:p w14:paraId="49913732" w14:textId="77777777" w:rsidR="004B2808" w:rsidRDefault="00000000">
      <w:r>
        <w:t>QF</w:t>
      </w:r>
    </w:p>
    <w:p w14:paraId="62FF5B05" w14:textId="77777777" w:rsidR="004B2808" w:rsidRDefault="00000000">
      <w:pPr>
        <w:pStyle w:val="Author-eSectionHeading6Numberless"/>
      </w:pPr>
      <w:bookmarkStart w:id="483" w:name="_Toc220490658"/>
      <w:r>
        <w:t>52.45.1b Isolation à injecter - mousse de polyuréthane (PUR) CCTB 01.07</w:t>
      </w:r>
      <w:bookmarkEnd w:id="483"/>
    </w:p>
    <w:p w14:paraId="7953C832" w14:textId="77777777" w:rsidR="004B2808" w:rsidRDefault="00000000">
      <w:pPr>
        <w:pStyle w:val="pheading"/>
      </w:pPr>
      <w:r>
        <w:t>DESCRIPTION</w:t>
      </w:r>
    </w:p>
    <w:p w14:paraId="1E343042" w14:textId="77777777" w:rsidR="004B2808" w:rsidRDefault="00000000">
      <w:pPr>
        <w:pStyle w:val="pheading"/>
      </w:pPr>
      <w:r>
        <w:t>- Définition / Comprend</w:t>
      </w:r>
    </w:p>
    <w:p w14:paraId="532C24D3" w14:textId="77777777" w:rsidR="004B2808" w:rsidRDefault="00000000">
      <w:r>
        <w:t>Il s'agit de la réalisation d'une isolation en mousse de polyuréthane (PUR) suivant les prescriptions de l'article 32.45.1b Isolation à injecter - mousse de polyuréthane (PUR).</w:t>
      </w:r>
    </w:p>
    <w:p w14:paraId="5F8D8C1D" w14:textId="77777777" w:rsidR="004B2808" w:rsidRDefault="00000000">
      <w:pPr>
        <w:pStyle w:val="pheading"/>
      </w:pPr>
      <w:r>
        <w:t>MATÉRIAUX</w:t>
      </w:r>
    </w:p>
    <w:p w14:paraId="54453017" w14:textId="77777777" w:rsidR="004B2808" w:rsidRDefault="00000000">
      <w:pPr>
        <w:pStyle w:val="pheading"/>
      </w:pPr>
      <w:r>
        <w:t>- Caractéristiques générales</w:t>
      </w:r>
    </w:p>
    <w:p w14:paraId="7D52D059" w14:textId="77777777" w:rsidR="004B2808" w:rsidRDefault="00000000">
      <w:r>
        <w:t>Voir 32.45.1b Isolation à injecter - mousse de polyuréthane (PUR)</w:t>
      </w:r>
    </w:p>
    <w:p w14:paraId="6D0FD90B" w14:textId="77777777" w:rsidR="004B2808" w:rsidRDefault="00000000">
      <w:pPr>
        <w:pStyle w:val="pheading"/>
      </w:pPr>
      <w:r>
        <w:t>CONTRÔLES PARTICULIERS</w:t>
      </w:r>
    </w:p>
    <w:p w14:paraId="14067ECC" w14:textId="77777777" w:rsidR="004B2808" w:rsidRDefault="00000000">
      <w:r>
        <w:t>Voir 32.45.1b Isolation à injecter - mousse de polyuréthane (PUR)</w:t>
      </w:r>
    </w:p>
    <w:p w14:paraId="583B1F11" w14:textId="77777777" w:rsidR="004B2808" w:rsidRDefault="00000000">
      <w:pPr>
        <w:pStyle w:val="pheading"/>
      </w:pPr>
      <w:r>
        <w:lastRenderedPageBreak/>
        <w:t>DOCUMENTS DE RÉFÉRENCE COMPLÉMENTAIRES</w:t>
      </w:r>
    </w:p>
    <w:p w14:paraId="6F23A989" w14:textId="77777777" w:rsidR="004B2808" w:rsidRDefault="00000000">
      <w:pPr>
        <w:pStyle w:val="pheading"/>
      </w:pPr>
      <w:r>
        <w:t>- Matériau</w:t>
      </w:r>
    </w:p>
    <w:p w14:paraId="462BEF38" w14:textId="77777777" w:rsidR="004B2808" w:rsidRDefault="00000000">
      <w:r>
        <w:t>32.45.1b Isolation à injecter - mousse de polyuréthane (PUR)</w:t>
      </w:r>
    </w:p>
    <w:p w14:paraId="1E851A54" w14:textId="77777777" w:rsidR="004B2808" w:rsidRDefault="00000000">
      <w:pPr>
        <w:pStyle w:val="pheading"/>
      </w:pPr>
      <w:r>
        <w:t>- Exécution</w:t>
      </w:r>
    </w:p>
    <w:p w14:paraId="734FB9F7" w14:textId="77777777" w:rsidR="004B2808" w:rsidRDefault="00000000">
      <w:r>
        <w:t>32.45.1b Isolation à injecter - mousse de polyuréthane (PUR)</w:t>
      </w:r>
    </w:p>
    <w:p w14:paraId="549E3470" w14:textId="77777777" w:rsidR="004B2808" w:rsidRDefault="00000000">
      <w:pPr>
        <w:pStyle w:val="pheading"/>
      </w:pPr>
      <w:r>
        <w:t>MESURAGE</w:t>
      </w:r>
    </w:p>
    <w:p w14:paraId="544E8254" w14:textId="77777777" w:rsidR="004B2808" w:rsidRDefault="00000000">
      <w:pPr>
        <w:pStyle w:val="pheading"/>
      </w:pPr>
      <w:r>
        <w:t>- unité de mesure:</w:t>
      </w:r>
    </w:p>
    <w:p w14:paraId="62EAC1F5" w14:textId="77777777" w:rsidR="004B2808" w:rsidRDefault="00000000">
      <w:r>
        <w:t>m³</w:t>
      </w:r>
    </w:p>
    <w:p w14:paraId="631FADFE" w14:textId="77777777" w:rsidR="004B2808" w:rsidRDefault="00000000">
      <w:pPr>
        <w:pStyle w:val="pheading"/>
      </w:pPr>
      <w:r>
        <w:t>- code de mesurage:</w:t>
      </w:r>
    </w:p>
    <w:p w14:paraId="5162C8E2" w14:textId="77777777" w:rsidR="004B2808" w:rsidRDefault="00000000">
      <w:r>
        <w:t>Volume net de la construction à isoler, sans déduction des éléments de structure interposés.</w:t>
      </w:r>
      <w:r>
        <w:br/>
        <w:t>Les ouvertures supérieures à 0,5 m² multipliées par l’épaisseur à réaliser sont déduites.</w:t>
      </w:r>
    </w:p>
    <w:p w14:paraId="55C1573F" w14:textId="77777777" w:rsidR="004B2808" w:rsidRDefault="00000000">
      <w:pPr>
        <w:pStyle w:val="pheading"/>
      </w:pPr>
      <w:r>
        <w:t>- nature du marché:</w:t>
      </w:r>
    </w:p>
    <w:p w14:paraId="753D0139" w14:textId="77777777" w:rsidR="004B2808" w:rsidRDefault="00000000">
      <w:r>
        <w:t>QF</w:t>
      </w:r>
    </w:p>
    <w:p w14:paraId="4064D2C8" w14:textId="77777777" w:rsidR="004B2808" w:rsidRDefault="00000000">
      <w:pPr>
        <w:pStyle w:val="Author-eSectionHeading6Numberless"/>
      </w:pPr>
      <w:bookmarkStart w:id="484" w:name="_Toc220490659"/>
      <w:r>
        <w:t>52.45.1c Isolation à injecter - mousse de polyisocyanurate (PIR) CCTB 01.02</w:t>
      </w:r>
      <w:bookmarkEnd w:id="484"/>
    </w:p>
    <w:p w14:paraId="76F70BDC" w14:textId="77777777" w:rsidR="004B2808" w:rsidRDefault="00000000">
      <w:pPr>
        <w:pStyle w:val="Author-eSectionHeading6Numberless"/>
      </w:pPr>
      <w:bookmarkStart w:id="485" w:name="_Toc220490660"/>
      <w:r>
        <w:t>52.45.1d Isolation à injecter - mousse phénolique (PF) CCTB 01.02</w:t>
      </w:r>
      <w:bookmarkEnd w:id="485"/>
    </w:p>
    <w:p w14:paraId="7E8EE284" w14:textId="77777777" w:rsidR="004B2808" w:rsidRDefault="00000000">
      <w:pPr>
        <w:pStyle w:val="Author-eSectionHeading4Numberless"/>
      </w:pPr>
      <w:bookmarkStart w:id="486" w:name="_Toc220490661"/>
      <w:r>
        <w:t>52.46 Isolation à verser en vrac CCTB 01.02</w:t>
      </w:r>
      <w:bookmarkEnd w:id="486"/>
    </w:p>
    <w:p w14:paraId="4A94DBDC" w14:textId="77777777" w:rsidR="004B2808" w:rsidRDefault="00000000">
      <w:pPr>
        <w:pStyle w:val="Author-eSectionHeading5Numberless"/>
      </w:pPr>
      <w:bookmarkStart w:id="487" w:name="_Toc220490662"/>
      <w:r>
        <w:t>52.46.1 Isolation à verser en vrac - matières synthétiques CCTB 01.02</w:t>
      </w:r>
      <w:bookmarkEnd w:id="487"/>
    </w:p>
    <w:p w14:paraId="4BC37524" w14:textId="77777777" w:rsidR="004B2808" w:rsidRDefault="00000000">
      <w:pPr>
        <w:pStyle w:val="Author-eSectionHeading6Numberless"/>
      </w:pPr>
      <w:bookmarkStart w:id="488" w:name="_Toc220490663"/>
      <w:r>
        <w:t>52.46.1a Isolation à verser en vrac - billes de polystyrène expansé (EPS) CCTB 01.11</w:t>
      </w:r>
      <w:bookmarkEnd w:id="488"/>
    </w:p>
    <w:p w14:paraId="2471C756" w14:textId="77777777" w:rsidR="004B2808" w:rsidRDefault="00000000">
      <w:pPr>
        <w:pStyle w:val="pheading"/>
      </w:pPr>
      <w:r>
        <w:t>DESCRIPTION</w:t>
      </w:r>
    </w:p>
    <w:p w14:paraId="3BF8FF3E" w14:textId="77777777" w:rsidR="004B2808" w:rsidRDefault="00000000">
      <w:pPr>
        <w:pStyle w:val="pheading"/>
      </w:pPr>
      <w:r>
        <w:t>- Définition / Comprend</w:t>
      </w:r>
    </w:p>
    <w:p w14:paraId="5A64AE8F" w14:textId="77777777" w:rsidR="004B2808" w:rsidRDefault="00000000">
      <w:pPr>
        <w:jc w:val="both"/>
      </w:pPr>
      <w:r>
        <w:t>Il s’agit de la fourniture et la pose d’une isolation thermique de billes de polystyrène expansé posées en vrac  pour une application intérieure.</w:t>
      </w:r>
    </w:p>
    <w:p w14:paraId="63899743" w14:textId="77777777" w:rsidR="004B2808" w:rsidRDefault="00000000">
      <w:pPr>
        <w:pStyle w:val="pheading"/>
      </w:pPr>
      <w:r>
        <w:t>- Localisation</w:t>
      </w:r>
    </w:p>
    <w:p w14:paraId="307CD416" w14:textId="77777777" w:rsidR="004B2808" w:rsidRDefault="00000000">
      <w:r>
        <w:t>Localisation des travaux :</w:t>
      </w:r>
      <w:r>
        <w:rPr>
          <w:rStyle w:val="optioncarChar"/>
        </w:rPr>
        <w:t xml:space="preserve"> ***</w:t>
      </w:r>
      <w:r>
        <w:t>.</w:t>
      </w:r>
    </w:p>
    <w:p w14:paraId="3FE1154D" w14:textId="77777777" w:rsidR="004B2808" w:rsidRDefault="00000000">
      <w:r>
        <w:t>Voir plans et métrés détaillés.</w:t>
      </w:r>
    </w:p>
    <w:p w14:paraId="38FB057D" w14:textId="77777777" w:rsidR="004B2808" w:rsidRDefault="00000000">
      <w:pPr>
        <w:pStyle w:val="pheading"/>
      </w:pPr>
      <w:r>
        <w:t>MATÉRIAUX</w:t>
      </w:r>
    </w:p>
    <w:p w14:paraId="110E5013" w14:textId="77777777" w:rsidR="004B2808" w:rsidRDefault="00000000">
      <w:pPr>
        <w:pStyle w:val="pheading"/>
      </w:pPr>
      <w:r>
        <w:t>- Caractéristiques générales</w:t>
      </w:r>
    </w:p>
    <w:p w14:paraId="6D229D33" w14:textId="77777777" w:rsidR="004B2808" w:rsidRDefault="00000000">
      <w:pPr>
        <w:jc w:val="both"/>
      </w:pPr>
      <w:r>
        <w:t>Le produit est constitué de granulats (billes) de polystyrène expansé à structure fermée, obtenu par polymérisation du monomère styrène.</w:t>
      </w:r>
    </w:p>
    <w:p w14:paraId="63F5A57C" w14:textId="77777777" w:rsidR="004B2808" w:rsidRDefault="00000000">
      <w:pPr>
        <w:jc w:val="both"/>
      </w:pPr>
      <w:r>
        <w:t xml:space="preserve">La conductivité thermique déclarée (selon [NBN EN 12667] et conforme à l’annexe A de la [NBN EN 14063-1]) : ≤ </w:t>
      </w:r>
      <w:r>
        <w:rPr>
          <w:rStyle w:val="optioncarChar"/>
        </w:rPr>
        <w:t xml:space="preserve">0.04 </w:t>
      </w:r>
      <w:r>
        <w:t>(par défaut)</w:t>
      </w:r>
      <w:r>
        <w:rPr>
          <w:rStyle w:val="optioncarChar"/>
        </w:rPr>
        <w:t xml:space="preserve"> / ***</w:t>
      </w:r>
      <w:r>
        <w:t xml:space="preserve"> W/mK.</w:t>
      </w:r>
    </w:p>
    <w:p w14:paraId="61DA7EE8" w14:textId="77777777" w:rsidR="004B2808" w:rsidRDefault="00000000">
      <w:pPr>
        <w:jc w:val="both"/>
      </w:pPr>
      <w:r>
        <w:t xml:space="preserve">L’épaisseur totale de la couche de bille de polystyrene expansé est  supérieure à </w:t>
      </w:r>
      <w:r>
        <w:rPr>
          <w:rStyle w:val="optioncarChar"/>
        </w:rPr>
        <w:t>***</w:t>
      </w:r>
      <w:r>
        <w:t xml:space="preserve"> mm.</w:t>
      </w:r>
    </w:p>
    <w:p w14:paraId="16436399" w14:textId="77777777" w:rsidR="004B2808" w:rsidRDefault="00000000">
      <w:pPr>
        <w:jc w:val="both"/>
      </w:pPr>
      <w:r>
        <w:t xml:space="preserve">La résistance à l’écrasement (mesurée conformément à la [NBN EN 13055] est ≥ </w:t>
      </w:r>
      <w:r>
        <w:rPr>
          <w:rStyle w:val="optioncarChar"/>
        </w:rPr>
        <w:t>0.8</w:t>
      </w:r>
      <w:r>
        <w:t xml:space="preserve"> (par défaut) </w:t>
      </w:r>
      <w:r>
        <w:rPr>
          <w:rStyle w:val="optioncarChar"/>
        </w:rPr>
        <w:t>/ ***</w:t>
      </w:r>
      <w:r>
        <w:t xml:space="preserve"> N/mm².</w:t>
      </w:r>
    </w:p>
    <w:p w14:paraId="3250ABD7" w14:textId="77777777" w:rsidR="004B2808" w:rsidRDefault="00000000">
      <w:pPr>
        <w:jc w:val="both"/>
      </w:pPr>
      <w:r>
        <w:t xml:space="preserve">La masse volumique en vrac est ≤ </w:t>
      </w:r>
      <w:r>
        <w:rPr>
          <w:rStyle w:val="optioncarChar"/>
        </w:rPr>
        <w:t>25</w:t>
      </w:r>
      <w:r>
        <w:t xml:space="preserve"> (par défaut)</w:t>
      </w:r>
      <w:r>
        <w:rPr>
          <w:rStyle w:val="optioncarChar"/>
        </w:rPr>
        <w:t xml:space="preserve"> / ***</w:t>
      </w:r>
      <w:r>
        <w:t xml:space="preserve"> kg/m³.</w:t>
      </w:r>
    </w:p>
    <w:p w14:paraId="5BDD26FA" w14:textId="77777777" w:rsidR="004B2808" w:rsidRDefault="00000000">
      <w:pPr>
        <w:jc w:val="both"/>
      </w:pPr>
      <w:r>
        <w:t xml:space="preserve">Classement de la réaction au feu (selon [NBN EN 13501-1]) : </w:t>
      </w:r>
      <w:r>
        <w:rPr>
          <w:rStyle w:val="optioncarChar"/>
        </w:rPr>
        <w:t xml:space="preserve">E </w:t>
      </w:r>
      <w:r>
        <w:t>(par défaut)</w:t>
      </w:r>
      <w:r>
        <w:rPr>
          <w:rStyle w:val="optioncarChar"/>
        </w:rPr>
        <w:t xml:space="preserve"> / ***</w:t>
      </w:r>
      <w:r>
        <w:t>.</w:t>
      </w:r>
    </w:p>
    <w:p w14:paraId="4E2D36C9" w14:textId="77777777" w:rsidR="004B2808" w:rsidRDefault="00000000">
      <w:pPr>
        <w:pStyle w:val="pheading"/>
      </w:pPr>
      <w:r>
        <w:t>- Prescriptions complémentaires</w:t>
      </w:r>
    </w:p>
    <w:p w14:paraId="379BA16D" w14:textId="77777777" w:rsidR="004B2808" w:rsidRDefault="00000000">
      <w:pPr>
        <w:jc w:val="both"/>
      </w:pPr>
      <w:r>
        <w:rPr>
          <w:rStyle w:val="facultChar"/>
        </w:rPr>
        <w:lastRenderedPageBreak/>
        <w:t>La taille des granulats est inférieure à</w:t>
      </w:r>
      <w:r>
        <w:t xml:space="preserve">  </w:t>
      </w:r>
      <w:r>
        <w:rPr>
          <w:rStyle w:val="optioncarChar"/>
        </w:rPr>
        <w:t xml:space="preserve"> 6 </w:t>
      </w:r>
      <w:r>
        <w:t>(par défaut)</w:t>
      </w:r>
      <w:r>
        <w:rPr>
          <w:rStyle w:val="optioncarChar"/>
        </w:rPr>
        <w:t xml:space="preserve"> / ***</w:t>
      </w:r>
      <w:r>
        <w:t>.</w:t>
      </w:r>
    </w:p>
    <w:p w14:paraId="688C955B" w14:textId="77777777" w:rsidR="004B2808" w:rsidRDefault="00000000">
      <w:pPr>
        <w:jc w:val="both"/>
      </w:pPr>
      <w:r>
        <w:rPr>
          <w:rStyle w:val="facultChar"/>
        </w:rPr>
        <w:t>Coefficient de résistance à la diffusion de vapeur d’eau – valeur μ (selon [NBN EN ISO 10456]) : inférieure à</w:t>
      </w:r>
      <w:r>
        <w:t xml:space="preserve">  </w:t>
      </w:r>
      <w:r>
        <w:rPr>
          <w:rStyle w:val="optioncarChar"/>
        </w:rPr>
        <w:t>2 / ***</w:t>
      </w:r>
      <w:r>
        <w:t>.</w:t>
      </w:r>
    </w:p>
    <w:p w14:paraId="744ABE30" w14:textId="77777777" w:rsidR="004B2808" w:rsidRDefault="00000000">
      <w:pPr>
        <w:jc w:val="both"/>
      </w:pPr>
      <w:r>
        <w:rPr>
          <w:rStyle w:val="facultChar"/>
        </w:rPr>
        <w:t>Capacité thermique  ≥</w:t>
      </w:r>
      <w:r>
        <w:t xml:space="preserve">  </w:t>
      </w:r>
      <w:r>
        <w:rPr>
          <w:rStyle w:val="optioncarChar"/>
        </w:rPr>
        <w:t xml:space="preserve">300 </w:t>
      </w:r>
      <w:r>
        <w:t>(par défaut)</w:t>
      </w:r>
      <w:r>
        <w:rPr>
          <w:rStyle w:val="optioncarChar"/>
        </w:rPr>
        <w:t xml:space="preserve"> / ***</w:t>
      </w:r>
      <w:r>
        <w:rPr>
          <w:rStyle w:val="facultChar"/>
        </w:rPr>
        <w:t xml:space="preserve"> kJ/m³K.</w:t>
      </w:r>
    </w:p>
    <w:p w14:paraId="726F3A7C" w14:textId="77777777" w:rsidR="004B2808" w:rsidRDefault="00000000">
      <w:pPr>
        <w:jc w:val="both"/>
      </w:pPr>
      <w:r>
        <w:rPr>
          <w:rStyle w:val="facultChar"/>
        </w:rPr>
        <w:t>Le tassement est ≤</w:t>
      </w:r>
      <w:r>
        <w:t xml:space="preserve">  </w:t>
      </w:r>
      <w:r>
        <w:rPr>
          <w:rStyle w:val="optioncarChar"/>
        </w:rPr>
        <w:t>5</w:t>
      </w:r>
      <w:r>
        <w:t xml:space="preserve"> (par défaut)</w:t>
      </w:r>
      <w:r>
        <w:rPr>
          <w:rStyle w:val="optioncarChar"/>
        </w:rPr>
        <w:t xml:space="preserve"> / ***</w:t>
      </w:r>
      <w:r>
        <w:rPr>
          <w:rStyle w:val="facultChar"/>
        </w:rPr>
        <w:t>%.</w:t>
      </w:r>
    </w:p>
    <w:p w14:paraId="30239B69" w14:textId="77777777" w:rsidR="004B2808" w:rsidRDefault="00000000">
      <w:pPr>
        <w:jc w:val="both"/>
      </w:pPr>
      <w:r>
        <w:rPr>
          <w:rStyle w:val="facultChar"/>
        </w:rPr>
        <w:t>La hauteur de succion d’eau (selon [NBN EN 1097-10]) ≤</w:t>
      </w:r>
      <w:r>
        <w:t xml:space="preserve">  </w:t>
      </w:r>
      <w:r>
        <w:rPr>
          <w:rStyle w:val="optioncarChar"/>
        </w:rPr>
        <w:t xml:space="preserve">50 </w:t>
      </w:r>
      <w:r>
        <w:t>(par défaut)</w:t>
      </w:r>
      <w:r>
        <w:rPr>
          <w:rStyle w:val="optioncarChar"/>
        </w:rPr>
        <w:t xml:space="preserve"> / ***</w:t>
      </w:r>
      <w:r>
        <w:rPr>
          <w:rStyle w:val="facultChar"/>
        </w:rPr>
        <w:t xml:space="preserve"> mm.</w:t>
      </w:r>
    </w:p>
    <w:p w14:paraId="610DE86E" w14:textId="77777777" w:rsidR="004B2808" w:rsidRDefault="00000000">
      <w:pPr>
        <w:jc w:val="both"/>
      </w:pPr>
      <w:r>
        <w:rPr>
          <w:rStyle w:val="facultChar"/>
        </w:rPr>
        <w:t>Le matériau doit répondre aux critères d’acceptabilité des produits tels que définis dans le chapitre 02.42.1 Critères d'acceptabilité.</w:t>
      </w:r>
    </w:p>
    <w:p w14:paraId="6D9AA344" w14:textId="77777777" w:rsidR="004B2808" w:rsidRDefault="00000000">
      <w:pPr>
        <w:pStyle w:val="pheading"/>
      </w:pPr>
      <w:r>
        <w:t>EXÉCUTION / MISE EN ŒUVRE</w:t>
      </w:r>
    </w:p>
    <w:p w14:paraId="607669B4" w14:textId="77777777" w:rsidR="004B2808" w:rsidRDefault="00000000">
      <w:pPr>
        <w:pStyle w:val="pheading"/>
      </w:pPr>
      <w:r>
        <w:t>- Prescriptions générales</w:t>
      </w:r>
    </w:p>
    <w:p w14:paraId="39C1FDED" w14:textId="77777777" w:rsidR="004B2808" w:rsidRDefault="00000000">
      <w:pPr>
        <w:jc w:val="both"/>
      </w:pPr>
      <w:r>
        <w:t>Les billes de polystyrene expanse sont mis en œuvre </w:t>
      </w:r>
      <w:r>
        <w:rPr>
          <w:rStyle w:val="optioncarChar"/>
        </w:rPr>
        <w:t xml:space="preserve">sans compaction </w:t>
      </w:r>
      <w:r>
        <w:t>(par défaut)</w:t>
      </w:r>
      <w:r>
        <w:rPr>
          <w:rStyle w:val="optioncarChar"/>
        </w:rPr>
        <w:t xml:space="preserve"> / à l’aide d’une plaque vibrante / ***</w:t>
      </w:r>
      <w:r>
        <w:t>.</w:t>
      </w:r>
    </w:p>
    <w:p w14:paraId="62373746" w14:textId="77777777" w:rsidR="004B2808" w:rsidRDefault="00000000">
      <w:pPr>
        <w:jc w:val="both"/>
      </w:pPr>
      <w:r>
        <w:t xml:space="preserve">Le compactage est effectué par couche de </w:t>
      </w:r>
      <w:r>
        <w:rPr>
          <w:rStyle w:val="optioncarChar"/>
        </w:rPr>
        <w:t>300</w:t>
      </w:r>
      <w:r>
        <w:t xml:space="preserve"> (par défaut) </w:t>
      </w:r>
      <w:r>
        <w:rPr>
          <w:rStyle w:val="optioncarChar"/>
        </w:rPr>
        <w:t>/ ***</w:t>
      </w:r>
      <w:r>
        <w:t xml:space="preserve"> mm.</w:t>
      </w:r>
    </w:p>
    <w:p w14:paraId="7B5071E3" w14:textId="77777777" w:rsidR="004B2808" w:rsidRDefault="00000000">
      <w:pPr>
        <w:jc w:val="both"/>
      </w:pPr>
      <w:r>
        <w:t>La couche mise en œuvre est nivelée.</w:t>
      </w:r>
    </w:p>
    <w:p w14:paraId="582DFC29" w14:textId="77777777" w:rsidR="004B2808" w:rsidRDefault="00000000">
      <w:pPr>
        <w:jc w:val="both"/>
      </w:pPr>
      <w:r>
        <w:t>L’applicateur doit s’assurer que les canalisations électriques posées dans les vides de construction sont placées sous conduit non propagateur de la flamme.</w:t>
      </w:r>
    </w:p>
    <w:p w14:paraId="772FA3E8" w14:textId="77777777" w:rsidR="004B2808" w:rsidRDefault="00000000">
      <w:pPr>
        <w:pStyle w:val="pheading"/>
      </w:pPr>
      <w:r>
        <w:t>DOCUMENTS DE RÉFÉRENCE COMPLÉMENTAIRES</w:t>
      </w:r>
    </w:p>
    <w:p w14:paraId="79AFF483" w14:textId="77777777" w:rsidR="004B2808" w:rsidRDefault="00000000">
      <w:pPr>
        <w:pStyle w:val="pheading"/>
      </w:pPr>
      <w:r>
        <w:t>- Matériau</w:t>
      </w:r>
    </w:p>
    <w:p w14:paraId="6E4441E5" w14:textId="77777777" w:rsidR="004B2808" w:rsidRDefault="00000000">
      <w:r>
        <w:t>[NBN EN 932-1, Essais pour déterminer les propriétés générales des granulats - Partie 1: Méthodes d'échantillonnage]</w:t>
      </w:r>
    </w:p>
    <w:p w14:paraId="4BA0D538" w14:textId="77777777" w:rsidR="004B2808" w:rsidRDefault="00000000">
      <w:r>
        <w:t>[NBN EN 932-2, Essais pour déterminer les propriétés générales des granulats - Partie 2: Méthodes de réduction d'un échantillon de laboratoire]</w:t>
      </w:r>
    </w:p>
    <w:p w14:paraId="742095E4" w14:textId="77777777" w:rsidR="004B2808" w:rsidRDefault="00000000">
      <w:r>
        <w:t>[NBN EN 933-1, Essais pour déterminer les caractéristiques géométriques des granulats - Partie 1 : Détermination de la granularité - Analyse granulométrique par tamisage]</w:t>
      </w:r>
    </w:p>
    <w:p w14:paraId="21232FC9" w14:textId="77777777" w:rsidR="004B2808" w:rsidRDefault="00000000">
      <w:r>
        <w:t>[NBN EN 1097-10, Essais pour déterminer les caractéristiques mécaniques et physiques des granulats - Partie 10: Hauteur de succion d'eau]</w:t>
      </w:r>
    </w:p>
    <w:p w14:paraId="5DECF17B" w14:textId="77777777" w:rsidR="004B2808"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65F8F61D" w14:textId="77777777" w:rsidR="004B2808" w:rsidRDefault="00000000">
      <w:r>
        <w:t>[NBN EN 13172, Produits isolants thermiques - Évaluation de la conformité]  </w:t>
      </w:r>
    </w:p>
    <w:p w14:paraId="1B06AF19" w14:textId="77777777" w:rsidR="004B2808" w:rsidRDefault="00000000">
      <w:r>
        <w:t>[NBN EN 13501-1, Classement au feu des produits et éléments de construction - Partie 1: Classement à partir des données d'essais de réaction au feu]</w:t>
      </w:r>
    </w:p>
    <w:p w14:paraId="6A780F85" w14:textId="77777777" w:rsidR="004B2808" w:rsidRDefault="00000000">
      <w:r>
        <w:t>[NBN EN 13820, Produits isolants thermiques destinés aux applications du bâtiment - Détermination du contenu organique]</w:t>
      </w:r>
    </w:p>
    <w:p w14:paraId="1AF85F6C" w14:textId="77777777" w:rsidR="004B2808" w:rsidRDefault="00000000">
      <w:r>
        <w:t>[NBN EN 14063-1, Produits isolants thermiques pour le bâtiment - Isolation thermique formée en place à base de granulats légers d'argile expansée - Partie 1: Spécification des produits en vrac avant la mise en place (+AC:2006)]</w:t>
      </w:r>
    </w:p>
    <w:p w14:paraId="4571809C" w14:textId="77777777" w:rsidR="004B2808" w:rsidRDefault="00000000">
      <w:pPr>
        <w:pStyle w:val="pheading"/>
      </w:pPr>
      <w:r>
        <w:t>- Exécution</w:t>
      </w:r>
    </w:p>
    <w:p w14:paraId="2E5FBA5D" w14:textId="77777777" w:rsidR="004B2808" w:rsidRDefault="00000000">
      <w:r>
        <w:t>[NBN EN 13501-1, Classement au feu des produits et éléments de construction - Partie 1: Classement à partir des données d'essais de réaction au feu]</w:t>
      </w:r>
    </w:p>
    <w:p w14:paraId="297D4586" w14:textId="77777777" w:rsidR="004B2808" w:rsidRDefault="00000000">
      <w:pPr>
        <w:pStyle w:val="pheading"/>
      </w:pPr>
      <w:r>
        <w:t>MESURAGE</w:t>
      </w:r>
    </w:p>
    <w:p w14:paraId="45E0E0F3" w14:textId="77777777" w:rsidR="004B2808" w:rsidRDefault="00000000">
      <w:pPr>
        <w:pStyle w:val="pheading"/>
      </w:pPr>
      <w:r>
        <w:t>- unité de mesure:</w:t>
      </w:r>
    </w:p>
    <w:p w14:paraId="5F2297C0" w14:textId="77777777" w:rsidR="004B2808" w:rsidRDefault="00000000">
      <w:r>
        <w:rPr>
          <w:rStyle w:val="optioncarChar"/>
        </w:rPr>
        <w:t xml:space="preserve">m² </w:t>
      </w:r>
      <w:r>
        <w:t>(par défaut)</w:t>
      </w:r>
      <w:r>
        <w:rPr>
          <w:rStyle w:val="optioncarChar"/>
        </w:rPr>
        <w:t xml:space="preserve"> / m³</w:t>
      </w:r>
    </w:p>
    <w:p w14:paraId="4D2499E9" w14:textId="77777777" w:rsidR="004B2808" w:rsidRDefault="00000000">
      <w:r>
        <w:rPr>
          <w:b/>
          <w:i/>
        </w:rPr>
        <w:lastRenderedPageBreak/>
        <w:t>(Soit par défaut)</w:t>
      </w:r>
    </w:p>
    <w:p w14:paraId="10314E79" w14:textId="77777777" w:rsidR="004B2808" w:rsidRDefault="00000000">
      <w:r>
        <w:rPr>
          <w:rStyle w:val="soitChar"/>
        </w:rPr>
        <w:t>1.  m²</w:t>
      </w:r>
    </w:p>
    <w:p w14:paraId="4E9C2EBB" w14:textId="77777777" w:rsidR="004B2808" w:rsidRDefault="00000000">
      <w:r>
        <w:rPr>
          <w:b/>
          <w:i/>
        </w:rPr>
        <w:t>(Soit)</w:t>
      </w:r>
    </w:p>
    <w:p w14:paraId="58B98D4E" w14:textId="77777777" w:rsidR="004B2808" w:rsidRDefault="00000000">
      <w:r>
        <w:rPr>
          <w:rStyle w:val="soitChar"/>
        </w:rPr>
        <w:t>2.  m³</w:t>
      </w:r>
    </w:p>
    <w:p w14:paraId="616ECD37" w14:textId="77777777" w:rsidR="004B2808" w:rsidRDefault="00000000">
      <w:pPr>
        <w:pStyle w:val="pheading"/>
      </w:pPr>
      <w:r>
        <w:t>- code de mesurage:</w:t>
      </w:r>
    </w:p>
    <w:p w14:paraId="72C395B0" w14:textId="77777777" w:rsidR="004B2808" w:rsidRDefault="00000000">
      <w:pPr>
        <w:jc w:val="both"/>
      </w:pPr>
      <w:r>
        <w:rPr>
          <w:rStyle w:val="optioncarChar"/>
        </w:rPr>
        <w:t xml:space="preserve">Surface nette </w:t>
      </w:r>
      <w:r>
        <w:t xml:space="preserve">(par défaut) </w:t>
      </w:r>
      <w:r>
        <w:rPr>
          <w:rStyle w:val="optioncarChar"/>
        </w:rPr>
        <w:t>/ Volume net</w:t>
      </w:r>
    </w:p>
    <w:p w14:paraId="5452718E" w14:textId="77777777" w:rsidR="004B2808" w:rsidRDefault="00000000">
      <w:pPr>
        <w:jc w:val="both"/>
      </w:pPr>
      <w:r>
        <w:rPr>
          <w:b/>
          <w:i/>
        </w:rPr>
        <w:t>(Soit par défaut)</w:t>
      </w:r>
    </w:p>
    <w:p w14:paraId="79DB2EB9" w14:textId="77777777" w:rsidR="004B2808" w:rsidRDefault="00000000">
      <w:pPr>
        <w:jc w:val="both"/>
      </w:pPr>
      <w:r>
        <w:rPr>
          <w:rStyle w:val="soitChar"/>
          <w:b/>
        </w:rPr>
        <w:t>1. Surface nette</w:t>
      </w:r>
      <w:r>
        <w:rPr>
          <w:rStyle w:val="soitChar"/>
        </w:rPr>
        <w:t xml:space="preserve"> à mettre en œuvre, sans déduction des éléments de structure interposés. Les réservations inférieures à 0.5 m² ne sont pas déduites. Distinction faite suivant l'épaisseur.</w:t>
      </w:r>
    </w:p>
    <w:p w14:paraId="689C5CC0" w14:textId="77777777" w:rsidR="004B2808" w:rsidRDefault="004B2808">
      <w:pPr>
        <w:jc w:val="both"/>
      </w:pPr>
    </w:p>
    <w:p w14:paraId="519F212B" w14:textId="77777777" w:rsidR="004B2808" w:rsidRDefault="00000000">
      <w:pPr>
        <w:jc w:val="both"/>
      </w:pPr>
      <w:r>
        <w:rPr>
          <w:b/>
          <w:i/>
        </w:rPr>
        <w:t>(Soit)</w:t>
      </w:r>
    </w:p>
    <w:p w14:paraId="60C84C48" w14:textId="77777777" w:rsidR="004B2808" w:rsidRDefault="00000000">
      <w:pPr>
        <w:jc w:val="both"/>
      </w:pPr>
      <w:r>
        <w:rPr>
          <w:rStyle w:val="soitChar"/>
          <w:b/>
        </w:rPr>
        <w:t>2. Volume net</w:t>
      </w:r>
      <w:r>
        <w:rPr>
          <w:rStyle w:val="soitChar"/>
        </w:rPr>
        <w:t xml:space="preserve"> à mettre en œuvre, sans déduction des éléments de structure interposés. Les ouvertures supérieures à 0,5 m² multipliées par l’épaisseur à réaliser sont déduites. Distinction faite suivant l’épaisseur.</w:t>
      </w:r>
    </w:p>
    <w:p w14:paraId="7F2341F1" w14:textId="77777777" w:rsidR="004B2808" w:rsidRDefault="00000000">
      <w:pPr>
        <w:pStyle w:val="pheading"/>
      </w:pPr>
      <w:r>
        <w:t>- nature du marché:</w:t>
      </w:r>
    </w:p>
    <w:p w14:paraId="06A5A7F3" w14:textId="77777777" w:rsidR="004B2808" w:rsidRDefault="00000000">
      <w:r>
        <w:t>QF</w:t>
      </w:r>
    </w:p>
    <w:p w14:paraId="1C28D040" w14:textId="77777777" w:rsidR="004B2808" w:rsidRDefault="00000000">
      <w:pPr>
        <w:pStyle w:val="Author-eSectionHeading6Numberless"/>
      </w:pPr>
      <w:bookmarkStart w:id="489" w:name="_Toc220490664"/>
      <w:r>
        <w:t>52.46.1b Isolation à verser en vrac - billes de polystyrène expansé additionné de graphite/carbone CCTB 01.02</w:t>
      </w:r>
      <w:bookmarkEnd w:id="489"/>
    </w:p>
    <w:p w14:paraId="64C9D8DA" w14:textId="77777777" w:rsidR="004B2808" w:rsidRDefault="00000000">
      <w:pPr>
        <w:pStyle w:val="Author-eSectionHeading5Numberless"/>
      </w:pPr>
      <w:bookmarkStart w:id="490" w:name="_Toc220490665"/>
      <w:r>
        <w:t>52.46.2 Isolation à verser en vrac - matières minérales CCTB 01.02</w:t>
      </w:r>
      <w:bookmarkEnd w:id="490"/>
    </w:p>
    <w:p w14:paraId="2E91067A" w14:textId="77777777" w:rsidR="004B2808" w:rsidRDefault="00000000">
      <w:pPr>
        <w:pStyle w:val="Author-eSectionHeading6Numberless"/>
      </w:pPr>
      <w:bookmarkStart w:id="491" w:name="_Toc220490666"/>
      <w:r>
        <w:t>52.46.2a Isolation à verser en vrac - laine de verre CCTB 01.02</w:t>
      </w:r>
      <w:bookmarkEnd w:id="491"/>
    </w:p>
    <w:p w14:paraId="0CB243A6" w14:textId="77777777" w:rsidR="004B2808" w:rsidRDefault="00000000">
      <w:pPr>
        <w:pStyle w:val="Author-eSectionHeading6Numberless"/>
      </w:pPr>
      <w:bookmarkStart w:id="492" w:name="_Toc220490667"/>
      <w:r>
        <w:t>52.46.2b Isolation à verser en vrac - laine de roche CCTB 01.02</w:t>
      </w:r>
      <w:bookmarkEnd w:id="492"/>
    </w:p>
    <w:p w14:paraId="2DD9FC2A" w14:textId="77777777" w:rsidR="004B2808" w:rsidRDefault="00000000">
      <w:pPr>
        <w:pStyle w:val="Author-eSectionHeading6Numberless"/>
      </w:pPr>
      <w:bookmarkStart w:id="493" w:name="_Toc220490668"/>
      <w:r>
        <w:t>52.46.2c Isolation à verser en vrac - fibres de verre CCTB 01.02</w:t>
      </w:r>
      <w:bookmarkEnd w:id="493"/>
    </w:p>
    <w:p w14:paraId="1EABAE54" w14:textId="77777777" w:rsidR="004B2808" w:rsidRDefault="00000000">
      <w:pPr>
        <w:pStyle w:val="Author-eSectionHeading6Numberless"/>
      </w:pPr>
      <w:bookmarkStart w:id="494" w:name="_Toc220490669"/>
      <w:r>
        <w:t>52.46.2d Isolation à verser en vrac - vermiculite expansée (EV) CCTB 01.02</w:t>
      </w:r>
      <w:bookmarkEnd w:id="494"/>
    </w:p>
    <w:p w14:paraId="3B4B828A" w14:textId="77777777" w:rsidR="004B2808" w:rsidRDefault="00000000">
      <w:pPr>
        <w:pStyle w:val="Author-eSectionHeading6Numberless"/>
      </w:pPr>
      <w:bookmarkStart w:id="495" w:name="_Toc220490670"/>
      <w:r>
        <w:t>52.46.2e Isolation à verser en vrac - perlite expansée (EPB) CCTB 01.02</w:t>
      </w:r>
      <w:bookmarkEnd w:id="495"/>
    </w:p>
    <w:p w14:paraId="5ADBC08C" w14:textId="77777777" w:rsidR="004B2808" w:rsidRDefault="00000000">
      <w:pPr>
        <w:pStyle w:val="Author-eSectionHeading6Numberless"/>
      </w:pPr>
      <w:bookmarkStart w:id="496" w:name="_Toc220490671"/>
      <w:r>
        <w:t>52.46.2f (titre réservé)</w:t>
      </w:r>
      <w:bookmarkEnd w:id="496"/>
    </w:p>
    <w:p w14:paraId="3B76A196" w14:textId="77777777" w:rsidR="004B2808" w:rsidRDefault="00000000">
      <w:pPr>
        <w:pStyle w:val="Author-eSectionHeading5Numberless"/>
      </w:pPr>
      <w:bookmarkStart w:id="497" w:name="_Toc220490672"/>
      <w:r>
        <w:t>52.46.3 Isolation à verser en vrac - matières végétales CCTB 01.02</w:t>
      </w:r>
      <w:bookmarkEnd w:id="497"/>
    </w:p>
    <w:p w14:paraId="5121D274" w14:textId="77777777" w:rsidR="004B2808" w:rsidRDefault="00000000">
      <w:pPr>
        <w:pStyle w:val="Author-eSectionHeading6Numberless"/>
      </w:pPr>
      <w:bookmarkStart w:id="498" w:name="_Toc220490673"/>
      <w:r>
        <w:t>52.46.3a Isolation à verser en vrac - fibres cellulosiques CCTB 01.12</w:t>
      </w:r>
      <w:bookmarkEnd w:id="498"/>
    </w:p>
    <w:p w14:paraId="1993999D" w14:textId="77777777" w:rsidR="004B2808" w:rsidRDefault="00000000">
      <w:pPr>
        <w:pStyle w:val="pheading"/>
      </w:pPr>
      <w:r>
        <w:t>DESCRIPTION</w:t>
      </w:r>
    </w:p>
    <w:p w14:paraId="4E78DDF9" w14:textId="77777777" w:rsidR="004B2808" w:rsidRDefault="00000000">
      <w:pPr>
        <w:pStyle w:val="pheading"/>
      </w:pPr>
      <w:r>
        <w:t>- Définition / Comprend</w:t>
      </w:r>
    </w:p>
    <w:p w14:paraId="0DE86D4E" w14:textId="77777777" w:rsidR="004B2808" w:rsidRDefault="00000000">
      <w:pPr>
        <w:jc w:val="both"/>
      </w:pPr>
      <w:r>
        <w:t>Il s’agit de la fourniture et la pose d’une isolation thermique à verser en vrac de fibres cellulosiques pour une application intérieure.</w:t>
      </w:r>
    </w:p>
    <w:p w14:paraId="28B606A1" w14:textId="77777777" w:rsidR="004B2808" w:rsidRDefault="00000000">
      <w:pPr>
        <w:pStyle w:val="pheading"/>
      </w:pPr>
      <w:r>
        <w:t>- Localisation</w:t>
      </w:r>
    </w:p>
    <w:p w14:paraId="6A29184A" w14:textId="77777777" w:rsidR="004B2808" w:rsidRDefault="00000000">
      <w:r>
        <w:t xml:space="preserve">Localisation des travaux : </w:t>
      </w:r>
      <w:r>
        <w:rPr>
          <w:rStyle w:val="optioncarChar"/>
        </w:rPr>
        <w:t>***</w:t>
      </w:r>
      <w:r>
        <w:t>.</w:t>
      </w:r>
    </w:p>
    <w:p w14:paraId="4595CBDD" w14:textId="77777777" w:rsidR="004B2808" w:rsidRDefault="00000000">
      <w:r>
        <w:t>Voir plans et métrés détaillés.</w:t>
      </w:r>
    </w:p>
    <w:p w14:paraId="1EBAB63A" w14:textId="77777777" w:rsidR="004B2808" w:rsidRDefault="00000000">
      <w:pPr>
        <w:pStyle w:val="pheading"/>
      </w:pPr>
      <w:r>
        <w:t>MATÉRIAUX</w:t>
      </w:r>
    </w:p>
    <w:p w14:paraId="7BED99D8" w14:textId="77777777" w:rsidR="004B2808" w:rsidRDefault="00000000">
      <w:pPr>
        <w:pStyle w:val="pheading"/>
      </w:pPr>
      <w:r>
        <w:t>- Caractéristiques générales</w:t>
      </w:r>
    </w:p>
    <w:p w14:paraId="6533FE4F" w14:textId="77777777" w:rsidR="004B2808" w:rsidRDefault="00000000">
      <w:pPr>
        <w:jc w:val="both"/>
      </w:pPr>
      <w:r>
        <w:t>L’isolation de fibres cellulosiques avant la mise en œuvre est conforme aux exigences et à la description de la [NBN EN 15101-1:2013+A1].</w:t>
      </w:r>
    </w:p>
    <w:p w14:paraId="16B00CDF" w14:textId="77777777" w:rsidR="004B2808" w:rsidRDefault="00000000">
      <w:pPr>
        <w:jc w:val="both"/>
      </w:pPr>
      <w:r>
        <w:t>Le produit est constitué de fibres cellulosiques (LFCI). Le produit est conditionné en sacs.</w:t>
      </w:r>
    </w:p>
    <w:p w14:paraId="7AEA7743" w14:textId="77777777" w:rsidR="004B2808" w:rsidRDefault="00000000">
      <w:pPr>
        <w:jc w:val="both"/>
      </w:pPr>
      <w:r>
        <w:lastRenderedPageBreak/>
        <w:t xml:space="preserve">Épaisseur après mise en œuvre (selon [NBN EN 15101-2]) : </w:t>
      </w:r>
      <w:r>
        <w:rPr>
          <w:rStyle w:val="optioncarChar"/>
        </w:rPr>
        <w:t>***</w:t>
      </w:r>
      <w:r>
        <w:t xml:space="preserve"> cm.</w:t>
      </w:r>
    </w:p>
    <w:p w14:paraId="0FEE44A5" w14:textId="77777777" w:rsidR="004B2808" w:rsidRDefault="00000000">
      <w:pPr>
        <w:jc w:val="both"/>
      </w:pPr>
      <w:r>
        <w:t>Masse volumique nominale après mise en œuvre (selon [NBN EN 15101-2]) : ≥ </w:t>
      </w:r>
      <w:r>
        <w:rPr>
          <w:rStyle w:val="optioncarChar"/>
        </w:rPr>
        <w:t xml:space="preserve">25 </w:t>
      </w:r>
      <w:r>
        <w:t>(par défaut)</w:t>
      </w:r>
      <w:r>
        <w:rPr>
          <w:rStyle w:val="optioncarChar"/>
        </w:rPr>
        <w:t xml:space="preserve"> / ***</w:t>
      </w:r>
      <w:r>
        <w:t xml:space="preserve"> kg/m³.</w:t>
      </w:r>
    </w:p>
    <w:p w14:paraId="42CC38CC" w14:textId="77777777" w:rsidR="004B2808" w:rsidRDefault="00000000">
      <w:pPr>
        <w:jc w:val="both"/>
      </w:pPr>
      <w:r>
        <w:t xml:space="preserve">Conductivité thermique déclarée (selon [NBN EN 12667]) : ≤ </w:t>
      </w:r>
      <w:r>
        <w:rPr>
          <w:rStyle w:val="optioncarChar"/>
        </w:rPr>
        <w:t>0,04</w:t>
      </w:r>
      <w:r>
        <w:t xml:space="preserve"> (par défaut)</w:t>
      </w:r>
      <w:r>
        <w:rPr>
          <w:rStyle w:val="optioncarChar"/>
        </w:rPr>
        <w:t xml:space="preserve"> / ***</w:t>
      </w:r>
      <w:r>
        <w:t xml:space="preserve"> W/mK.</w:t>
      </w:r>
    </w:p>
    <w:p w14:paraId="2FABAF32" w14:textId="77777777" w:rsidR="004B2808" w:rsidRDefault="00000000">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le [Règlement 1907/2006/CE]. La concentration maximum des adjuvants est de </w:t>
      </w:r>
      <w:r>
        <w:rPr>
          <w:rStyle w:val="optioncarChar"/>
        </w:rPr>
        <w:t xml:space="preserve">4% </w:t>
      </w:r>
      <w:r>
        <w:t xml:space="preserve">(par défaut) </w:t>
      </w:r>
      <w:r>
        <w:rPr>
          <w:rStyle w:val="optioncarChar"/>
        </w:rPr>
        <w:t>/ ***</w:t>
      </w:r>
      <w:r>
        <w:t>.</w:t>
      </w:r>
    </w:p>
    <w:p w14:paraId="686CD6C5" w14:textId="77777777" w:rsidR="004B2808" w:rsidRDefault="00000000">
      <w:pPr>
        <w:jc w:val="both"/>
      </w:pPr>
      <w:r>
        <w:t>Conformément au chapitre 02.42.4 Bois provenant de forêts gérées durablement les fibres de bois utilisées disposent de documents prouvant qu’elles proviennent de forêts gérées durablement.</w:t>
      </w:r>
    </w:p>
    <w:p w14:paraId="327839F4" w14:textId="77777777" w:rsidR="004B2808" w:rsidRDefault="00000000">
      <w:pPr>
        <w:ind w:left="750"/>
      </w:pPr>
      <w:r>
        <w:t> </w:t>
      </w:r>
    </w:p>
    <w:p w14:paraId="49541F2E" w14:textId="77777777" w:rsidR="004B2808" w:rsidRDefault="00000000">
      <w:pPr>
        <w:pStyle w:val="pheading"/>
      </w:pPr>
      <w:r>
        <w:t>- Prescriptions complémentaires</w:t>
      </w:r>
    </w:p>
    <w:p w14:paraId="3B3D03E0" w14:textId="77777777" w:rsidR="004B2808" w:rsidRDefault="00000000">
      <w:pPr>
        <w:jc w:val="both"/>
      </w:pPr>
      <w:r>
        <w:rPr>
          <w:rStyle w:val="facultChar"/>
        </w:rPr>
        <w:t>Coefficient de résistance à la diffusion de vapeur d’eau – valeur μ (selon [NBN EN 12086]) : inférieure à</w:t>
      </w:r>
      <w:r>
        <w:rPr>
          <w:rStyle w:val="optioncarChar"/>
        </w:rPr>
        <w:t xml:space="preserve"> 2 </w:t>
      </w:r>
      <w:r>
        <w:t>(par défaut)</w:t>
      </w:r>
      <w:r>
        <w:rPr>
          <w:rStyle w:val="optioncarChar"/>
        </w:rPr>
        <w:t xml:space="preserve"> / ***.</w:t>
      </w:r>
    </w:p>
    <w:p w14:paraId="2ECA6BE3" w14:textId="77777777" w:rsidR="004B2808" w:rsidRDefault="00000000">
      <w:pPr>
        <w:jc w:val="both"/>
      </w:pPr>
      <w:r>
        <w:rPr>
          <w:rStyle w:val="facultChar"/>
        </w:rPr>
        <w:t xml:space="preserve">Absorption d’eau à court terme déterminée conformément à la [NBN EN ISO 29767] est ≤ </w:t>
      </w:r>
      <w:r>
        <w:rPr>
          <w:rStyle w:val="optioncarChar"/>
        </w:rPr>
        <w:t xml:space="preserve">1kg/m³ - classe WS1 </w:t>
      </w:r>
      <w:r>
        <w:t xml:space="preserve">(par défaut) </w:t>
      </w:r>
      <w:r>
        <w:rPr>
          <w:rStyle w:val="optioncarChar"/>
        </w:rPr>
        <w:t>/ 2kg/m³ - WS2 / ***.</w:t>
      </w:r>
    </w:p>
    <w:p w14:paraId="2699B031" w14:textId="77777777" w:rsidR="004B2808" w:rsidRDefault="00000000">
      <w:pPr>
        <w:jc w:val="both"/>
      </w:pPr>
      <w:r>
        <w:rPr>
          <w:rStyle w:val="facultChar"/>
        </w:rPr>
        <w:t xml:space="preserve">Résistance au tassement déterminée conformément à la [NBN EN 15101-1:2013+A1] est ≤ </w:t>
      </w:r>
      <w:r>
        <w:rPr>
          <w:rStyle w:val="optioncarChar"/>
        </w:rPr>
        <w:t xml:space="preserve">15% - classe SH15 </w:t>
      </w:r>
      <w:r>
        <w:t>(par défaut)</w:t>
      </w:r>
      <w:r>
        <w:rPr>
          <w:rStyle w:val="optioncarChar"/>
        </w:rPr>
        <w:t xml:space="preserve"> / 1% - SH0 / 5% - SH5 / 10% - SH10 / 20% - SH20 / 25% - SH25 / ***.</w:t>
      </w:r>
    </w:p>
    <w:p w14:paraId="710921A3" w14:textId="77777777" w:rsidR="004B2808" w:rsidRDefault="00000000">
      <w:pPr>
        <w:jc w:val="both"/>
      </w:pPr>
      <w:r>
        <w:rPr>
          <w:rStyle w:val="facultChar"/>
        </w:rPr>
        <w:t xml:space="preserve">La résistance au moisissures déterminée conformément à la [NBN EN 15101-1:2013+A1] est de classe </w:t>
      </w:r>
      <w:r>
        <w:rPr>
          <w:rStyle w:val="optioncarChar"/>
        </w:rPr>
        <w:t>BA 0 (aucune moisissure) / BA 1</w:t>
      </w:r>
      <w:r>
        <w:t xml:space="preserve"> (par défaut)</w:t>
      </w:r>
      <w:r>
        <w:rPr>
          <w:rStyle w:val="optioncarChar"/>
        </w:rPr>
        <w:t xml:space="preserve"> / BA 2 / BA 3</w:t>
      </w:r>
      <w:r>
        <w:rPr>
          <w:rStyle w:val="facultChar"/>
        </w:rPr>
        <w:t>.</w:t>
      </w:r>
    </w:p>
    <w:p w14:paraId="065C6241" w14:textId="77777777" w:rsidR="004B2808" w:rsidRDefault="00000000">
      <w:pPr>
        <w:jc w:val="both"/>
      </w:pPr>
      <w:r>
        <w:rPr>
          <w:rStyle w:val="facultChar"/>
        </w:rPr>
        <w:t xml:space="preserve">Classement de la réaction au feu (selon [NBN EN 13501-1]) : </w:t>
      </w:r>
      <w:r>
        <w:rPr>
          <w:rStyle w:val="optioncarChar"/>
        </w:rPr>
        <w:t>E</w:t>
      </w:r>
      <w:r>
        <w:t xml:space="preserve"> (par défaut)</w:t>
      </w:r>
      <w:r>
        <w:rPr>
          <w:rStyle w:val="optioncarChar"/>
        </w:rPr>
        <w:t xml:space="preserve"> / ***</w:t>
      </w:r>
    </w:p>
    <w:p w14:paraId="21320ACB" w14:textId="77777777" w:rsidR="004B2808" w:rsidRDefault="00000000">
      <w:pPr>
        <w:jc w:val="both"/>
      </w:pPr>
      <w:r>
        <w:rPr>
          <w:rStyle w:val="facultChar"/>
        </w:rPr>
        <w:t>Le matériau doit répondre aux critères d’acceptabilité des produits tels que définis dans le chapitre 02.42.1 Critères d'acceptabilité.</w:t>
      </w:r>
    </w:p>
    <w:p w14:paraId="17D4C38C" w14:textId="77777777" w:rsidR="004B2808" w:rsidRDefault="00000000">
      <w:pPr>
        <w:pStyle w:val="pheading"/>
      </w:pPr>
      <w:r>
        <w:t>EXÉCUTION / MISE EN ŒUVRE</w:t>
      </w:r>
    </w:p>
    <w:p w14:paraId="585E955E" w14:textId="77777777" w:rsidR="004B2808" w:rsidRDefault="00000000">
      <w:pPr>
        <w:pStyle w:val="pheading"/>
      </w:pPr>
      <w:r>
        <w:t>- Prescriptions générales</w:t>
      </w:r>
    </w:p>
    <w:p w14:paraId="3F952A3D" w14:textId="77777777" w:rsidR="004B2808" w:rsidRDefault="00000000">
      <w:pPr>
        <w:jc w:val="both"/>
      </w:pPr>
      <w:r>
        <w:t>La mise en œuvre en vrac des fibres cellulosiques est conforme à la [NBN EN 15101-2]. La matière première est livrée sur chantier au plus près de la date d’application. (maximum 3 jours). Elle est stockée à l'abri des intempéries et dans un local sec. Si la durée de stockage est plus longue, un contrôle du taux d’humidité est effectué conformément à l'article 03.41.1b Mesures du taux d'humidité dans le bois.</w:t>
      </w:r>
    </w:p>
    <w:p w14:paraId="58823FFF" w14:textId="77777777" w:rsidR="004B2808" w:rsidRDefault="00000000">
      <w:pPr>
        <w:jc w:val="both"/>
      </w:pPr>
      <w:r>
        <w:t xml:space="preserve">Le versement de fibres cellulosiques est réalisé directement sur l’élément à isoler par couche de </w:t>
      </w:r>
      <w:r>
        <w:rPr>
          <w:rStyle w:val="optioncarChar"/>
        </w:rPr>
        <w:t xml:space="preserve">20 </w:t>
      </w:r>
      <w:r>
        <w:t xml:space="preserve">(par défaut) </w:t>
      </w:r>
      <w:r>
        <w:rPr>
          <w:rStyle w:val="optioncarChar"/>
        </w:rPr>
        <w:t>/ ***</w:t>
      </w:r>
      <w:r>
        <w:t xml:space="preserve"> cm. La couche est obtenue</w:t>
      </w:r>
      <w:r>
        <w:rPr>
          <w:rStyle w:val="optioncarChar"/>
        </w:rPr>
        <w:t xml:space="preserve"> sans tassement</w:t>
      </w:r>
      <w:r>
        <w:t xml:space="preserve"> (par défaut) </w:t>
      </w:r>
      <w:r>
        <w:rPr>
          <w:rStyle w:val="optioncarChar"/>
        </w:rPr>
        <w:t>/ par tassement manuel / ***.</w:t>
      </w:r>
    </w:p>
    <w:p w14:paraId="17DE11AD" w14:textId="77777777" w:rsidR="004B2808" w:rsidRDefault="00000000">
      <w:pPr>
        <w:jc w:val="both"/>
      </w:pPr>
      <w:r>
        <w:t>La mise en œuvre de l’isolation est conforme à la [NIT 233] pour les cloisons et parois de séparation et à la [NIT 232] pour les plafonds.</w:t>
      </w:r>
    </w:p>
    <w:p w14:paraId="3D58CCE0" w14:textId="77777777" w:rsidR="004B2808" w:rsidRDefault="00000000">
      <w:pPr>
        <w:jc w:val="both"/>
      </w:pPr>
      <w:r>
        <w:t>Il y a lieu de ne pas mettre le matériau en contact avec des conduits de fumée. Il convient de respecter la distance de sécurité minimale prévue dans les normes [NBN EN 15287-1] et [NBN EN 15287-2].</w:t>
      </w:r>
    </w:p>
    <w:p w14:paraId="12B87B9A" w14:textId="77777777" w:rsidR="004B2808" w:rsidRDefault="00000000">
      <w:pPr>
        <w:jc w:val="both"/>
      </w:pPr>
      <w:r>
        <w:t>L’applicateur doit s’assurer que les canalisations électriques posées dans les vides de construction sont placées sous conduit non propagateur de la flamme.</w:t>
      </w:r>
    </w:p>
    <w:p w14:paraId="4A6A8EB3" w14:textId="77777777" w:rsidR="004B2808" w:rsidRDefault="00000000">
      <w:pPr>
        <w:jc w:val="both"/>
      </w:pPr>
      <w:r>
        <w:t>L’isolant ne doit jamais être mis en contact direct avec les dispositifs d’éclairage encastrés.</w:t>
      </w:r>
    </w:p>
    <w:p w14:paraId="74F13500" w14:textId="77777777" w:rsidR="004B2808" w:rsidRDefault="00000000">
      <w:pPr>
        <w:jc w:val="both"/>
      </w:pPr>
      <w:r>
        <w:t>Cet isolant est protégé de l’humidité durant les phases de chantier et de vie du bâtiment. Son utilisation se limite à des locaux de classe de climat intérieur 1 ou 2.</w:t>
      </w:r>
    </w:p>
    <w:p w14:paraId="648B483E" w14:textId="77777777" w:rsidR="004B2808" w:rsidRDefault="00000000">
      <w:pPr>
        <w:pStyle w:val="pheading"/>
      </w:pPr>
      <w:r>
        <w:t>DOCUMENTS DE RÉFÉRENCE COMPLÉMENTAIRES</w:t>
      </w:r>
    </w:p>
    <w:p w14:paraId="4E5F6D7B" w14:textId="77777777" w:rsidR="004B2808" w:rsidRDefault="00000000">
      <w:pPr>
        <w:pStyle w:val="pheading"/>
      </w:pPr>
      <w:r>
        <w:t>- Matériau</w:t>
      </w:r>
    </w:p>
    <w:p w14:paraId="3DF7E44C" w14:textId="77777777" w:rsidR="004B2808" w:rsidRDefault="00000000">
      <w:r>
        <w:lastRenderedPageBreak/>
        <w:t>[NBN EN 15101-1:2013+A1, Produits isolants thermiques destinés aux applications du bâtiment - Isolation thermique formée en place à base de cellulose (LFCI) - Partie 1 : Spécification des produits en vrac avant la mise en œuvre]</w:t>
      </w:r>
    </w:p>
    <w:p w14:paraId="69FDFE90" w14:textId="77777777" w:rsidR="004B2808" w:rsidRDefault="00000000">
      <w:r>
        <w:t>[NBN EN 15101-2, Produits isolants thermiques destinés aux applications du bâtiment - Isolation thermique formée en place à base de cellulose (LFCI) - Partie 2: Spécifications des produits mis en œuvre]  </w:t>
      </w:r>
    </w:p>
    <w:p w14:paraId="501BDB0A" w14:textId="77777777" w:rsidR="004B2808"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57AEEAB8" w14:textId="77777777" w:rsidR="004B2808" w:rsidRDefault="00000000">
      <w:r>
        <w:t>[NBN EN 12086, Produits isolants thermiques destinés aux applications du bâtiment - Détermination des propriétés de transmission de la vapeur d'eau]</w:t>
      </w:r>
    </w:p>
    <w:p w14:paraId="6C6F77BF" w14:textId="77777777" w:rsidR="004B2808" w:rsidRDefault="00000000">
      <w:r>
        <w:t>[NBN EN ISO 846, Plastiques - Évaluation de l'action des micro-organismes (ISO 846:2019)]</w:t>
      </w:r>
    </w:p>
    <w:p w14:paraId="0B51D19A" w14:textId="77777777" w:rsidR="004B2808" w:rsidRDefault="00000000">
      <w:r>
        <w:t>[NBN EN 13501-1, Classement au feu des produits et éléments de construction - Partie 1: Classement à partir des données d'essais de réaction au feu]</w:t>
      </w:r>
    </w:p>
    <w:p w14:paraId="5CE2B41F" w14:textId="77777777" w:rsidR="004B2808" w:rsidRDefault="00000000">
      <w:pPr>
        <w:pStyle w:val="pheading"/>
      </w:pPr>
      <w:r>
        <w:t>- Exécution</w:t>
      </w:r>
    </w:p>
    <w:p w14:paraId="0024E56E" w14:textId="77777777" w:rsidR="004B2808" w:rsidRDefault="00000000">
      <w:r>
        <w:t>[NBN EN 13501-1, Classement au feu des produits et éléments de construction - Partie 1: Classement à partir des données d'essais de réaction au feu]</w:t>
      </w:r>
    </w:p>
    <w:p w14:paraId="22824A1C" w14:textId="77777777" w:rsidR="004B2808" w:rsidRDefault="00000000">
      <w:r>
        <w:t>[NBN EN 15287-1, Conduits de fumée - Conception, installation et mise en service - Partie 1: Conduits de fumée et conduits de raccordement pour appareils de combustion qui prélèvent l’air comburant dans la pièce]</w:t>
      </w:r>
    </w:p>
    <w:p w14:paraId="7B61E0E6" w14:textId="77777777" w:rsidR="004B2808" w:rsidRDefault="00000000">
      <w:r>
        <w:t>[NBN EN 15287-2, Conduits de fumée - Conception, installation et mise en service - Partie 2 : Conduits de fumée et conduits de raccordement pour appareils de combustion à circuit étanche]</w:t>
      </w:r>
    </w:p>
    <w:p w14:paraId="74FDBFC7" w14:textId="77777777" w:rsidR="004B2808" w:rsidRDefault="00000000">
      <w:r>
        <w:t>[NIT 251, L'isolation thermique des toitures à versants]</w:t>
      </w:r>
    </w:p>
    <w:p w14:paraId="45B3289C" w14:textId="77777777" w:rsidR="004B2808" w:rsidRDefault="00000000">
      <w:pPr>
        <w:pStyle w:val="pheading"/>
      </w:pPr>
      <w:r>
        <w:t>MESURAGE</w:t>
      </w:r>
    </w:p>
    <w:p w14:paraId="0529B122" w14:textId="77777777" w:rsidR="004B2808" w:rsidRDefault="00000000">
      <w:pPr>
        <w:pStyle w:val="pheading"/>
      </w:pPr>
      <w:r>
        <w:t>- unité de mesure:</w:t>
      </w:r>
    </w:p>
    <w:p w14:paraId="2B7D0B44" w14:textId="77777777" w:rsidR="004B2808" w:rsidRDefault="00000000">
      <w:r>
        <w:rPr>
          <w:rStyle w:val="optioncarChar"/>
        </w:rPr>
        <w:t xml:space="preserve">m² </w:t>
      </w:r>
      <w:r>
        <w:t>(par défaut)</w:t>
      </w:r>
      <w:r>
        <w:rPr>
          <w:rStyle w:val="optioncarChar"/>
        </w:rPr>
        <w:t xml:space="preserve"> / m³</w:t>
      </w:r>
    </w:p>
    <w:p w14:paraId="77260618" w14:textId="77777777" w:rsidR="004B2808" w:rsidRDefault="00000000">
      <w:r>
        <w:rPr>
          <w:b/>
          <w:i/>
        </w:rPr>
        <w:t>(Soit par défaut)</w:t>
      </w:r>
    </w:p>
    <w:p w14:paraId="08C4B11F" w14:textId="77777777" w:rsidR="004B2808" w:rsidRDefault="00000000">
      <w:r>
        <w:rPr>
          <w:rStyle w:val="soitChar"/>
        </w:rPr>
        <w:t>1.   m²</w:t>
      </w:r>
    </w:p>
    <w:p w14:paraId="7CCBA309" w14:textId="77777777" w:rsidR="004B2808" w:rsidRDefault="00000000">
      <w:r>
        <w:rPr>
          <w:b/>
          <w:i/>
        </w:rPr>
        <w:t>(Soit)</w:t>
      </w:r>
    </w:p>
    <w:p w14:paraId="2B3A99FD" w14:textId="77777777" w:rsidR="004B2808" w:rsidRDefault="00000000">
      <w:r>
        <w:rPr>
          <w:rStyle w:val="soitChar"/>
        </w:rPr>
        <w:t>2.  m³</w:t>
      </w:r>
    </w:p>
    <w:p w14:paraId="0232535C" w14:textId="77777777" w:rsidR="004B2808" w:rsidRDefault="00000000">
      <w:pPr>
        <w:pStyle w:val="pheading"/>
      </w:pPr>
      <w:r>
        <w:t>- code de mesurage:</w:t>
      </w:r>
    </w:p>
    <w:p w14:paraId="5FB498BB" w14:textId="77777777" w:rsidR="004B2808" w:rsidRDefault="00000000">
      <w:pPr>
        <w:jc w:val="both"/>
      </w:pPr>
      <w:r>
        <w:rPr>
          <w:rStyle w:val="optioncarChar"/>
        </w:rPr>
        <w:t xml:space="preserve">Surface nette </w:t>
      </w:r>
      <w:r>
        <w:t>(par défaut)</w:t>
      </w:r>
      <w:r>
        <w:rPr>
          <w:rStyle w:val="optioncarChar"/>
        </w:rPr>
        <w:t xml:space="preserve"> / Volume net</w:t>
      </w:r>
    </w:p>
    <w:p w14:paraId="2E543380" w14:textId="77777777" w:rsidR="004B2808" w:rsidRDefault="00000000">
      <w:pPr>
        <w:jc w:val="both"/>
      </w:pPr>
      <w:r>
        <w:rPr>
          <w:b/>
          <w:i/>
        </w:rPr>
        <w:t>(Soit par défaut)</w:t>
      </w:r>
    </w:p>
    <w:p w14:paraId="6F487FC0" w14:textId="77777777" w:rsidR="004B2808" w:rsidRDefault="00000000">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inférieures à 0.5 m² ne sont pas déduites. Distinction faite suivant l'épaisseur.</w:t>
      </w:r>
    </w:p>
    <w:p w14:paraId="4B59E92D" w14:textId="77777777" w:rsidR="004B2808" w:rsidRDefault="00000000">
      <w:pPr>
        <w:jc w:val="both"/>
      </w:pPr>
      <w:r>
        <w:rPr>
          <w:b/>
          <w:i/>
        </w:rPr>
        <w:t>(Soit)</w:t>
      </w:r>
    </w:p>
    <w:p w14:paraId="53534A13" w14:textId="77777777" w:rsidR="004B2808" w:rsidRDefault="00000000">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w:t>
      </w:r>
    </w:p>
    <w:p w14:paraId="3D4D95DE" w14:textId="77777777" w:rsidR="004B2808" w:rsidRDefault="00000000">
      <w:pPr>
        <w:pStyle w:val="pheading"/>
      </w:pPr>
      <w:r>
        <w:t>- nature du marché:</w:t>
      </w:r>
    </w:p>
    <w:p w14:paraId="647B2CC1" w14:textId="77777777" w:rsidR="004B2808" w:rsidRDefault="00000000">
      <w:r>
        <w:t>QF</w:t>
      </w:r>
    </w:p>
    <w:p w14:paraId="6470D069" w14:textId="77777777" w:rsidR="004B2808" w:rsidRDefault="00000000">
      <w:pPr>
        <w:pStyle w:val="Author-eSectionHeading6Numberless"/>
      </w:pPr>
      <w:bookmarkStart w:id="499" w:name="_Toc220490674"/>
      <w:r>
        <w:t>52.46.3b Isolation à verser en vrac - granulés d'argile expansée (LWA) CCTB 01.10</w:t>
      </w:r>
      <w:bookmarkEnd w:id="499"/>
    </w:p>
    <w:p w14:paraId="56F8465A" w14:textId="77777777" w:rsidR="004B2808" w:rsidRDefault="00000000">
      <w:pPr>
        <w:pStyle w:val="pheading"/>
      </w:pPr>
      <w:r>
        <w:lastRenderedPageBreak/>
        <w:t>DESCRIPTION</w:t>
      </w:r>
    </w:p>
    <w:p w14:paraId="0DAFCE5A" w14:textId="77777777" w:rsidR="004B2808" w:rsidRDefault="00000000">
      <w:pPr>
        <w:pStyle w:val="pheading"/>
      </w:pPr>
      <w:r>
        <w:t>- Définition / Comprend</w:t>
      </w:r>
    </w:p>
    <w:p w14:paraId="2C8C1C80" w14:textId="77777777" w:rsidR="004B2808" w:rsidRDefault="00000000">
      <w:pPr>
        <w:jc w:val="both"/>
      </w:pPr>
      <w:r>
        <w:t>Il s’agit de la fourniture et la pose d’une isolation thermique de granules d’argile expansée fournie et posée en vrac (LWA - (Lightweight Aggregate)) pour une application intérieure.</w:t>
      </w:r>
    </w:p>
    <w:p w14:paraId="162E311F" w14:textId="77777777" w:rsidR="004B2808" w:rsidRDefault="00000000">
      <w:pPr>
        <w:pStyle w:val="pheading"/>
      </w:pPr>
      <w:r>
        <w:t>- Localisation</w:t>
      </w:r>
    </w:p>
    <w:p w14:paraId="051F24D8" w14:textId="77777777" w:rsidR="004B2808" w:rsidRDefault="00000000">
      <w:r>
        <w:t xml:space="preserve">Localisation des travaux : </w:t>
      </w:r>
      <w:r>
        <w:rPr>
          <w:rStyle w:val="optioncarChar"/>
        </w:rPr>
        <w:t>***</w:t>
      </w:r>
      <w:r>
        <w:t>.</w:t>
      </w:r>
    </w:p>
    <w:p w14:paraId="16D516E3" w14:textId="77777777" w:rsidR="004B2808" w:rsidRDefault="00000000">
      <w:r>
        <w:t>Voir plans et métrés détaillés.</w:t>
      </w:r>
    </w:p>
    <w:p w14:paraId="07DBC096" w14:textId="77777777" w:rsidR="004B2808" w:rsidRDefault="00000000">
      <w:pPr>
        <w:pStyle w:val="pheading"/>
      </w:pPr>
      <w:r>
        <w:t>MATÉRIAUX</w:t>
      </w:r>
    </w:p>
    <w:p w14:paraId="1477DDDD" w14:textId="77777777" w:rsidR="004B2808" w:rsidRDefault="00000000">
      <w:pPr>
        <w:pStyle w:val="pheading"/>
      </w:pPr>
      <w:r>
        <w:t>- Caractéristiques générales</w:t>
      </w:r>
    </w:p>
    <w:p w14:paraId="55871092" w14:textId="77777777" w:rsidR="004B2808" w:rsidRDefault="00000000">
      <w:pPr>
        <w:jc w:val="both"/>
      </w:pPr>
      <w:r>
        <w:t>Le produit est constitué de granulats poreux à structure alvéolaire, obtenu par expansion à chaud d’un minéral argileux conformes à la [NBN EN 14063-1].</w:t>
      </w:r>
    </w:p>
    <w:p w14:paraId="39938E1A" w14:textId="77777777" w:rsidR="004B2808" w:rsidRDefault="00000000">
      <w:pPr>
        <w:jc w:val="both"/>
      </w:pPr>
      <w:r>
        <w:t xml:space="preserve">La conductivité thermique déclarée (selon [NBN EN 12667] et conforme à l’annexe A de [NBN EN 14063-1]) : ≤ </w:t>
      </w:r>
      <w:r>
        <w:rPr>
          <w:rStyle w:val="optioncarChar"/>
        </w:rPr>
        <w:t>0.11</w:t>
      </w:r>
      <w:r>
        <w:t xml:space="preserve"> (par défaut) </w:t>
      </w:r>
      <w:r>
        <w:rPr>
          <w:rStyle w:val="optioncarChar"/>
        </w:rPr>
        <w:t>/ ***</w:t>
      </w:r>
      <w:r>
        <w:t xml:space="preserve"> W/mK.</w:t>
      </w:r>
    </w:p>
    <w:p w14:paraId="6CBF45D9" w14:textId="77777777" w:rsidR="004B2808" w:rsidRDefault="00000000">
      <w:pPr>
        <w:jc w:val="both"/>
      </w:pPr>
      <w:r>
        <w:t xml:space="preserve">L’épaisseur de la couche totale de granulés d’argile expansé est supérieure à </w:t>
      </w:r>
      <w:r>
        <w:rPr>
          <w:rStyle w:val="optioncarChar"/>
        </w:rPr>
        <w:t>***</w:t>
      </w:r>
      <w:r>
        <w:t xml:space="preserve"> mm.</w:t>
      </w:r>
    </w:p>
    <w:p w14:paraId="00E77DD6" w14:textId="77777777" w:rsidR="004B2808" w:rsidRDefault="00000000">
      <w:pPr>
        <w:jc w:val="both"/>
      </w:pPr>
      <w:r>
        <w:t xml:space="preserve">La forme du produit , conforme à la [NBN EN 13055] : </w:t>
      </w:r>
      <w:r>
        <w:rPr>
          <w:rStyle w:val="optioncarChar"/>
        </w:rPr>
        <w:t xml:space="preserve">ronde </w:t>
      </w:r>
      <w:r>
        <w:t>(par défaut)</w:t>
      </w:r>
      <w:r>
        <w:rPr>
          <w:rStyle w:val="optioncarChar"/>
        </w:rPr>
        <w:t xml:space="preserve"> / concassée / ***</w:t>
      </w:r>
      <w:r>
        <w:t>.</w:t>
      </w:r>
    </w:p>
    <w:p w14:paraId="4BD332B7" w14:textId="77777777" w:rsidR="004B2808" w:rsidRDefault="00000000">
      <w:pPr>
        <w:jc w:val="both"/>
      </w:pPr>
      <w:r>
        <w:t xml:space="preserve">La résistance à l’écrasement (mesurée conformément à la [NBN EN 13055] est ≥ </w:t>
      </w:r>
      <w:r>
        <w:rPr>
          <w:rStyle w:val="optioncarChar"/>
        </w:rPr>
        <w:t xml:space="preserve">0.8 </w:t>
      </w:r>
      <w:r>
        <w:t xml:space="preserve">(par défaut) </w:t>
      </w:r>
      <w:r>
        <w:rPr>
          <w:rStyle w:val="optioncarChar"/>
        </w:rPr>
        <w:t>/ ***</w:t>
      </w:r>
      <w:r>
        <w:t xml:space="preserve"> N/mm².</w:t>
      </w:r>
    </w:p>
    <w:p w14:paraId="004D6443" w14:textId="77777777" w:rsidR="004B2808" w:rsidRDefault="00000000">
      <w:pPr>
        <w:jc w:val="both"/>
      </w:pPr>
      <w:r>
        <w:t xml:space="preserve">La masse volumique en vrac mesurée conformément à la [NBN EN 1097-3] est ≤ </w:t>
      </w:r>
      <w:r>
        <w:rPr>
          <w:rStyle w:val="optioncarChar"/>
        </w:rPr>
        <w:t xml:space="preserve">400 </w:t>
      </w:r>
      <w:r>
        <w:t xml:space="preserve">(par défaut) </w:t>
      </w:r>
      <w:r>
        <w:rPr>
          <w:rStyle w:val="optioncarChar"/>
        </w:rPr>
        <w:t> / ***</w:t>
      </w:r>
      <w:r>
        <w:t xml:space="preserve"> kg/m³.</w:t>
      </w:r>
    </w:p>
    <w:p w14:paraId="340C0BBF" w14:textId="77777777" w:rsidR="004B2808" w:rsidRDefault="00000000">
      <w:pPr>
        <w:jc w:val="both"/>
      </w:pPr>
      <w:r>
        <w:t xml:space="preserve">Classement de la réaction au feu (selon [NBN EN 13501-1]) : </w:t>
      </w:r>
      <w:r>
        <w:rPr>
          <w:rStyle w:val="optioncarChar"/>
        </w:rPr>
        <w:t xml:space="preserve">A1-s0; d0 </w:t>
      </w:r>
      <w:r>
        <w:t xml:space="preserve">(par défaut) </w:t>
      </w:r>
      <w:r>
        <w:rPr>
          <w:rStyle w:val="optioncarChar"/>
        </w:rPr>
        <w:t>/ ***</w:t>
      </w:r>
      <w:r>
        <w:t>.</w:t>
      </w:r>
    </w:p>
    <w:p w14:paraId="4D2B7B13" w14:textId="77777777" w:rsidR="004B2808" w:rsidRDefault="00000000">
      <w:pPr>
        <w:pStyle w:val="pheading"/>
      </w:pPr>
      <w:r>
        <w:t>- Prescriptions complémentaires</w:t>
      </w:r>
    </w:p>
    <w:p w14:paraId="181D6437" w14:textId="77777777" w:rsidR="004B2808" w:rsidRDefault="00000000">
      <w:pPr>
        <w:jc w:val="both"/>
      </w:pPr>
      <w:r>
        <w:rPr>
          <w:rStyle w:val="facultChar"/>
        </w:rPr>
        <w:t xml:space="preserve">La distribution de la taille des granulats mesurée conformément à la [NBN EN 933-1] est </w:t>
      </w:r>
      <w:r>
        <w:rPr>
          <w:rStyle w:val="optioncarChar"/>
        </w:rPr>
        <w:t xml:space="preserve">4-10 </w:t>
      </w:r>
      <w:r>
        <w:t> (par défaut)</w:t>
      </w:r>
      <w:r>
        <w:rPr>
          <w:rStyle w:val="optioncarChar"/>
        </w:rPr>
        <w:t xml:space="preserve"> / 8-16 / *** (mm)</w:t>
      </w:r>
      <w:r>
        <w:rPr>
          <w:rStyle w:val="facultChar"/>
        </w:rPr>
        <w:t>. La proportion de matériau de taille inférieure à la limite basse ne doit pas dépasser 15 % en masse. La proportion de matériau de taille supérieure à la limite haute ne doit pas dépasser 10 % en masse.</w:t>
      </w:r>
    </w:p>
    <w:p w14:paraId="3A9A636E" w14:textId="77777777" w:rsidR="004B2808" w:rsidRDefault="00000000">
      <w:pPr>
        <w:jc w:val="both"/>
      </w:pPr>
      <w:r>
        <w:rPr>
          <w:rStyle w:val="facultChar"/>
        </w:rPr>
        <w:t xml:space="preserve">Coefficient de résistance à la diffusion de vapeur d’eau – valeur μ (selon [NBN EN ISO 10456]) : inférieure à </w:t>
      </w:r>
      <w:r>
        <w:rPr>
          <w:rStyle w:val="optioncarChar"/>
        </w:rPr>
        <w:t xml:space="preserve">2 </w:t>
      </w:r>
      <w:r>
        <w:t>(par défaut) </w:t>
      </w:r>
      <w:r>
        <w:rPr>
          <w:rStyle w:val="optioncarChar"/>
        </w:rPr>
        <w:t>/ ***</w:t>
      </w:r>
      <w:r>
        <w:rPr>
          <w:rStyle w:val="facultChar"/>
        </w:rPr>
        <w:t>.</w:t>
      </w:r>
    </w:p>
    <w:p w14:paraId="4FE53772" w14:textId="77777777" w:rsidR="004B2808" w:rsidRDefault="00000000">
      <w:pPr>
        <w:jc w:val="both"/>
      </w:pPr>
      <w:r>
        <w:rPr>
          <w:rStyle w:val="facultChar"/>
        </w:rPr>
        <w:t xml:space="preserve">Capacité thermique  ≥ : </w:t>
      </w:r>
      <w:r>
        <w:rPr>
          <w:rStyle w:val="optioncarChar"/>
        </w:rPr>
        <w:t>300</w:t>
      </w:r>
      <w:r>
        <w:t xml:space="preserve"> (par défaut)</w:t>
      </w:r>
      <w:r>
        <w:rPr>
          <w:rStyle w:val="optioncarChar"/>
        </w:rPr>
        <w:t xml:space="preserve"> / ***</w:t>
      </w:r>
      <w:r>
        <w:rPr>
          <w:rStyle w:val="facultChar"/>
        </w:rPr>
        <w:t> kJ/m³K.</w:t>
      </w:r>
    </w:p>
    <w:p w14:paraId="278CEB01" w14:textId="77777777" w:rsidR="004B2808" w:rsidRDefault="00000000">
      <w:pPr>
        <w:jc w:val="both"/>
      </w:pPr>
      <w:r>
        <w:rPr>
          <w:rStyle w:val="facultChar"/>
        </w:rPr>
        <w:t xml:space="preserve">La hauteur de succion d’eau (selon [NBN EN 1097-10]) ≤ </w:t>
      </w:r>
      <w:r>
        <w:rPr>
          <w:rStyle w:val="optioncarChar"/>
        </w:rPr>
        <w:t>50</w:t>
      </w:r>
      <w:r>
        <w:t xml:space="preserve"> (par défaut) </w:t>
      </w:r>
      <w:r>
        <w:rPr>
          <w:rStyle w:val="optioncarChar"/>
        </w:rPr>
        <w:t>/ ***</w:t>
      </w:r>
      <w:r>
        <w:rPr>
          <w:rStyle w:val="facultChar"/>
        </w:rPr>
        <w:t xml:space="preserve"> mm.</w:t>
      </w:r>
    </w:p>
    <w:p w14:paraId="64204FFD" w14:textId="77777777" w:rsidR="004B2808" w:rsidRDefault="00000000">
      <w:pPr>
        <w:jc w:val="both"/>
      </w:pPr>
      <w:r>
        <w:rPr>
          <w:rStyle w:val="facultChar"/>
        </w:rPr>
        <w:t>Le matériau doit répondre aux critères d’acceptabilité des produits tels que définis dans le chapitre 02.42.1 Critères d'acceptabilité.</w:t>
      </w:r>
    </w:p>
    <w:p w14:paraId="46A999D1" w14:textId="77777777" w:rsidR="004B2808" w:rsidRDefault="00000000">
      <w:pPr>
        <w:pStyle w:val="pheading"/>
      </w:pPr>
      <w:r>
        <w:t>EXÉCUTION / MISE EN ŒUVRE</w:t>
      </w:r>
    </w:p>
    <w:p w14:paraId="737EB8E5" w14:textId="77777777" w:rsidR="004B2808" w:rsidRDefault="00000000">
      <w:pPr>
        <w:pStyle w:val="pheading"/>
      </w:pPr>
      <w:r>
        <w:t>- Prescriptions générales</w:t>
      </w:r>
    </w:p>
    <w:p w14:paraId="5F881E74" w14:textId="77777777" w:rsidR="004B2808" w:rsidRDefault="00000000">
      <w:pPr>
        <w:jc w:val="both"/>
      </w:pPr>
      <w:r>
        <w:t xml:space="preserve">Le compactage est effectué par couche de </w:t>
      </w:r>
      <w:r>
        <w:rPr>
          <w:rStyle w:val="optioncarChar"/>
        </w:rPr>
        <w:t xml:space="preserve">300 </w:t>
      </w:r>
      <w:r>
        <w:t>(par défaut)</w:t>
      </w:r>
      <w:r>
        <w:rPr>
          <w:rStyle w:val="optioncarChar"/>
        </w:rPr>
        <w:t xml:space="preserve"> / ***</w:t>
      </w:r>
      <w:r>
        <w:t xml:space="preserve"> mm à  l’aide </w:t>
      </w:r>
      <w:r>
        <w:rPr>
          <w:rStyle w:val="optioncarChar"/>
        </w:rPr>
        <w:t xml:space="preserve">d’une plaque vibrante </w:t>
      </w:r>
      <w:r>
        <w:t>(par défaut)</w:t>
      </w:r>
      <w:r>
        <w:rPr>
          <w:rStyle w:val="optioncarChar"/>
        </w:rPr>
        <w:t xml:space="preserve"> / ***</w:t>
      </w:r>
      <w:r>
        <w:t>.</w:t>
      </w:r>
    </w:p>
    <w:p w14:paraId="04052C53" w14:textId="77777777" w:rsidR="004B2808" w:rsidRDefault="00000000">
      <w:pPr>
        <w:jc w:val="both"/>
      </w:pPr>
      <w:r>
        <w:t>La couche complète est nivelée.</w:t>
      </w:r>
    </w:p>
    <w:p w14:paraId="55821A02" w14:textId="77777777" w:rsidR="004B2808" w:rsidRDefault="00000000">
      <w:pPr>
        <w:jc w:val="both"/>
      </w:pPr>
      <w:r>
        <w:t>Pour une utilisation sous chape humide (coulée), la mise en œuvre de la chape ne détériore pas l’épaisseur de la couche.</w:t>
      </w:r>
    </w:p>
    <w:p w14:paraId="7B2C9EDB" w14:textId="77777777" w:rsidR="004B2808" w:rsidRDefault="00000000">
      <w:pPr>
        <w:jc w:val="both"/>
      </w:pPr>
      <w:r>
        <w:t xml:space="preserve">Pour une application en chape sèche, une couche d’égalisation </w:t>
      </w:r>
      <w:r>
        <w:rPr>
          <w:rStyle w:val="optioncarChar"/>
        </w:rPr>
        <w:t>n’est pas</w:t>
      </w:r>
      <w:r>
        <w:t xml:space="preserve"> (par défaut)</w:t>
      </w:r>
      <w:r>
        <w:rPr>
          <w:rStyle w:val="optioncarChar"/>
        </w:rPr>
        <w:t xml:space="preserve"> / est</w:t>
      </w:r>
      <w:r>
        <w:t xml:space="preserve">  appliquée. Une désolidarisation acoustique est placée sur la couche d’argile expansée et participe à l’isolation acoustique du plancher. </w:t>
      </w:r>
    </w:p>
    <w:p w14:paraId="79D7397B" w14:textId="77777777" w:rsidR="004B2808" w:rsidRDefault="00000000">
      <w:pPr>
        <w:jc w:val="both"/>
      </w:pPr>
      <w:r>
        <w:t>Pour une application entre lambourdes, les granulats sont posés secs.</w:t>
      </w:r>
    </w:p>
    <w:p w14:paraId="50C522B0" w14:textId="77777777" w:rsidR="004B2808" w:rsidRDefault="00000000">
      <w:pPr>
        <w:jc w:val="both"/>
      </w:pPr>
      <w:r>
        <w:lastRenderedPageBreak/>
        <w:t>L’applicateur doit s’assurer que les canalisations électriques posées dans les vides de construction sont placées sous conduit non propagateur de la flamme.</w:t>
      </w:r>
    </w:p>
    <w:p w14:paraId="35D08F48" w14:textId="77777777" w:rsidR="004B2808" w:rsidRDefault="00000000">
      <w:pPr>
        <w:pStyle w:val="pheading"/>
      </w:pPr>
      <w:r>
        <w:t>DOCUMENTS DE RÉFÉRENCE COMPLÉMENTAIRES</w:t>
      </w:r>
    </w:p>
    <w:p w14:paraId="1D1592BA" w14:textId="77777777" w:rsidR="004B2808" w:rsidRDefault="00000000">
      <w:pPr>
        <w:pStyle w:val="pheading"/>
      </w:pPr>
      <w:r>
        <w:t>- Matériau</w:t>
      </w:r>
    </w:p>
    <w:p w14:paraId="5FAAADAE" w14:textId="77777777" w:rsidR="004B2808" w:rsidRDefault="00000000">
      <w:r>
        <w:t>[NBN EN 932-1, Essais pour déterminer les propriétés générales des granulats - Partie 1: Méthodes d'échantillonnage]</w:t>
      </w:r>
    </w:p>
    <w:p w14:paraId="31D5CA52" w14:textId="77777777" w:rsidR="004B2808" w:rsidRDefault="00000000">
      <w:r>
        <w:t>[NBN EN 932-2, Essais pour déterminer les propriétés générales des granulats - Partie 2: Méthodes de réduction d'un échantillon de laboratoire]</w:t>
      </w:r>
    </w:p>
    <w:p w14:paraId="71BF8B05" w14:textId="77777777" w:rsidR="004B2808" w:rsidRDefault="00000000">
      <w:r>
        <w:t>[NBN EN 933-1, Essais pour déterminer les caractéristiques géométriques des granulats - Partie 1 : Détermination de la granularité - Analyse granulométrique par tamisage]</w:t>
      </w:r>
    </w:p>
    <w:p w14:paraId="5C4539D9" w14:textId="77777777" w:rsidR="004B2808" w:rsidRDefault="00000000">
      <w:r>
        <w:t>[NBN EN 1097-3, Essais pour déterminer les caractéristiques mécaniques et physiques des granulats - Partie 3: Méthode pour la détermination de la masse volumique en vrac et de la porosité intergranulaire]</w:t>
      </w:r>
    </w:p>
    <w:p w14:paraId="66C91D8F" w14:textId="77777777" w:rsidR="004B2808" w:rsidRDefault="00000000">
      <w:r>
        <w:t>[NBN EN 1097-5, Essais pour déterminer les caractéristiques mécaniques et physiques des granulats - Partie 5: Détermination de la teneur en eau par séchage en étuve ventilée]</w:t>
      </w:r>
    </w:p>
    <w:p w14:paraId="4C7FEE16" w14:textId="77777777" w:rsidR="004B2808" w:rsidRDefault="00000000">
      <w:r>
        <w:t>[NBN EN 1097-10, Essais pour déterminer les caractéristiques mécaniques et physiques des granulats - Partie 10: Hauteur de succion d'eau]</w:t>
      </w:r>
    </w:p>
    <w:p w14:paraId="62DD947D" w14:textId="77777777" w:rsidR="004B2808"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699658B9" w14:textId="77777777" w:rsidR="004B2808" w:rsidRDefault="00000000">
      <w:r>
        <w:t>[NBN EN 13055, Granulats légers]</w:t>
      </w:r>
    </w:p>
    <w:p w14:paraId="47D69ED4" w14:textId="77777777" w:rsidR="004B2808" w:rsidRDefault="00000000">
      <w:r>
        <w:t>[NBN EN 13172, Produits isolants thermiques - Évaluation de la conformité]</w:t>
      </w:r>
    </w:p>
    <w:p w14:paraId="0F97FAE4" w14:textId="77777777" w:rsidR="004B2808" w:rsidRDefault="00000000">
      <w:r>
        <w:t>[NBN EN 13501-1, Classement au feu des produits et éléments de construction - Partie 1: Classement à partir des données d'essais de réaction au feu]</w:t>
      </w:r>
    </w:p>
    <w:p w14:paraId="5480C86E" w14:textId="77777777" w:rsidR="004B2808" w:rsidRDefault="00000000">
      <w:r>
        <w:t>[NBN EN 13820, Produits isolants thermiques destinés aux applications du bâtiment - Détermination du contenu organique]</w:t>
      </w:r>
    </w:p>
    <w:p w14:paraId="6B96085D" w14:textId="77777777" w:rsidR="004B2808" w:rsidRDefault="00000000">
      <w:r>
        <w:t>[NBN EN 14063-1, Produits isolants thermiques pour le bâtiment - Isolation thermique formée en place à base de granulats légers d'argile expansée - Partie 1: Spécification des produits en vrac avant la mise en place (+AC:2006)]</w:t>
      </w:r>
    </w:p>
    <w:p w14:paraId="75CBC0E8" w14:textId="77777777" w:rsidR="004B2808" w:rsidRDefault="00000000">
      <w:pPr>
        <w:pStyle w:val="pheading"/>
      </w:pPr>
      <w:r>
        <w:t>- Exécution</w:t>
      </w:r>
    </w:p>
    <w:p w14:paraId="24B47E7E" w14:textId="77777777" w:rsidR="004B2808" w:rsidRDefault="00000000">
      <w:r>
        <w:t>[NBN EN 13501-1, Classement au feu des produits et éléments de construction - Partie 1: Classement à partir des données d'essais de réaction au feu]</w:t>
      </w:r>
    </w:p>
    <w:p w14:paraId="3B656524" w14:textId="77777777" w:rsidR="004B2808" w:rsidRDefault="00000000">
      <w:pPr>
        <w:pStyle w:val="pheading"/>
      </w:pPr>
      <w:r>
        <w:t>MESURAGE</w:t>
      </w:r>
    </w:p>
    <w:p w14:paraId="3BE5E6DA" w14:textId="77777777" w:rsidR="004B2808" w:rsidRDefault="00000000">
      <w:pPr>
        <w:pStyle w:val="pheading"/>
      </w:pPr>
      <w:r>
        <w:t>- unité de mesure:</w:t>
      </w:r>
    </w:p>
    <w:p w14:paraId="7DD60BB0" w14:textId="77777777" w:rsidR="004B2808" w:rsidRDefault="00000000">
      <w:r>
        <w:rPr>
          <w:rStyle w:val="optioncarChar"/>
        </w:rPr>
        <w:t>m²</w:t>
      </w:r>
      <w:r>
        <w:t xml:space="preserve"> (par défaut)</w:t>
      </w:r>
      <w:r>
        <w:rPr>
          <w:rStyle w:val="optioncarChar"/>
        </w:rPr>
        <w:t xml:space="preserve"> / m³</w:t>
      </w:r>
    </w:p>
    <w:p w14:paraId="178B5E9E" w14:textId="77777777" w:rsidR="004B2808" w:rsidRDefault="00000000">
      <w:r>
        <w:rPr>
          <w:b/>
          <w:i/>
        </w:rPr>
        <w:t>(Soit par défaut)</w:t>
      </w:r>
    </w:p>
    <w:p w14:paraId="58B99AA7" w14:textId="77777777" w:rsidR="004B2808" w:rsidRDefault="00000000">
      <w:r>
        <w:rPr>
          <w:rStyle w:val="soitChar"/>
        </w:rPr>
        <w:t>1.  m²</w:t>
      </w:r>
    </w:p>
    <w:p w14:paraId="636EEEE7" w14:textId="77777777" w:rsidR="004B2808" w:rsidRDefault="00000000">
      <w:r>
        <w:rPr>
          <w:b/>
          <w:i/>
        </w:rPr>
        <w:t>(Soit)</w:t>
      </w:r>
    </w:p>
    <w:p w14:paraId="31D005E3" w14:textId="77777777" w:rsidR="004B2808" w:rsidRDefault="00000000">
      <w:r>
        <w:rPr>
          <w:rStyle w:val="soitChar"/>
        </w:rPr>
        <w:t>2.  m³</w:t>
      </w:r>
    </w:p>
    <w:p w14:paraId="147E9382" w14:textId="77777777" w:rsidR="004B2808" w:rsidRDefault="00000000">
      <w:pPr>
        <w:pStyle w:val="pheading"/>
      </w:pPr>
      <w:r>
        <w:t>- code de mesurage:</w:t>
      </w:r>
    </w:p>
    <w:p w14:paraId="56EDA4FD" w14:textId="77777777" w:rsidR="004B2808" w:rsidRDefault="00000000">
      <w:pPr>
        <w:jc w:val="both"/>
      </w:pPr>
      <w:r>
        <w:rPr>
          <w:rStyle w:val="optioncarChar"/>
        </w:rPr>
        <w:t>Surface nette</w:t>
      </w:r>
      <w:r>
        <w:t xml:space="preserve"> (par défaut) </w:t>
      </w:r>
      <w:r>
        <w:rPr>
          <w:rStyle w:val="optioncarChar"/>
        </w:rPr>
        <w:t>/ Volume net</w:t>
      </w:r>
    </w:p>
    <w:p w14:paraId="75DF51AD" w14:textId="77777777" w:rsidR="004B2808" w:rsidRDefault="00000000">
      <w:pPr>
        <w:jc w:val="both"/>
      </w:pPr>
      <w:r>
        <w:rPr>
          <w:b/>
          <w:i/>
        </w:rPr>
        <w:t>(Soit par défaut)</w:t>
      </w:r>
    </w:p>
    <w:p w14:paraId="134D5CE6" w14:textId="77777777" w:rsidR="004B2808" w:rsidRDefault="00000000">
      <w:pPr>
        <w:jc w:val="both"/>
      </w:pPr>
      <w:r>
        <w:rPr>
          <w:rStyle w:val="soitChar"/>
          <w:b/>
        </w:rPr>
        <w:t>1. Surface nette</w:t>
      </w:r>
      <w:r>
        <w:rPr>
          <w:rStyle w:val="soitChar"/>
        </w:rPr>
        <w:t xml:space="preserve"> à mettre en œuvre, sans déduction des éléments de structure interposés. Les réservations inférieures à 0.5 m² ne sont pas déduites. Distinction faite suivant l'épaisseur.</w:t>
      </w:r>
    </w:p>
    <w:p w14:paraId="19F1B18F" w14:textId="77777777" w:rsidR="004B2808" w:rsidRDefault="004B2808">
      <w:pPr>
        <w:jc w:val="both"/>
      </w:pPr>
    </w:p>
    <w:p w14:paraId="683571CB" w14:textId="77777777" w:rsidR="004B2808" w:rsidRDefault="00000000">
      <w:pPr>
        <w:jc w:val="both"/>
      </w:pPr>
      <w:r>
        <w:rPr>
          <w:b/>
          <w:i/>
        </w:rPr>
        <w:t>(Soit)</w:t>
      </w:r>
    </w:p>
    <w:p w14:paraId="655B7773" w14:textId="77777777" w:rsidR="004B2808" w:rsidRDefault="00000000">
      <w:pPr>
        <w:jc w:val="both"/>
      </w:pPr>
      <w:r>
        <w:rPr>
          <w:rStyle w:val="soitChar"/>
          <w:b/>
        </w:rPr>
        <w:t>2. Volume net</w:t>
      </w:r>
      <w:r>
        <w:rPr>
          <w:rStyle w:val="soitChar"/>
        </w:rPr>
        <w:t xml:space="preserve"> à mettre en œuvre, sans déduction des éléments de structure interposés. Les ouvertures supérieures à 0,5 m² multipliées par l’épaisseur à réaliser sont déduites. Distinction faite suivant l’épaisseur.</w:t>
      </w:r>
    </w:p>
    <w:p w14:paraId="0102568A" w14:textId="77777777" w:rsidR="004B2808" w:rsidRDefault="00000000">
      <w:pPr>
        <w:pStyle w:val="pheading"/>
      </w:pPr>
      <w:r>
        <w:t>- nature du marché:</w:t>
      </w:r>
    </w:p>
    <w:p w14:paraId="51BEA4DA" w14:textId="77777777" w:rsidR="004B2808" w:rsidRDefault="00000000">
      <w:r>
        <w:t>QF</w:t>
      </w:r>
    </w:p>
    <w:p w14:paraId="19C72C4B" w14:textId="77777777" w:rsidR="004B2808" w:rsidRDefault="00000000">
      <w:pPr>
        <w:pStyle w:val="Author-eSectionHeading6Numberless"/>
      </w:pPr>
      <w:bookmarkStart w:id="500" w:name="_Toc220490675"/>
      <w:r>
        <w:t>52.46.3c Isolation à verser en vrac - fibres de lin CCTB 01.12</w:t>
      </w:r>
      <w:bookmarkEnd w:id="500"/>
    </w:p>
    <w:p w14:paraId="08FB0A2C" w14:textId="77777777" w:rsidR="004B2808" w:rsidRDefault="00000000">
      <w:pPr>
        <w:pStyle w:val="pheading"/>
      </w:pPr>
      <w:r>
        <w:t>DESCRIPTION</w:t>
      </w:r>
    </w:p>
    <w:p w14:paraId="21C1F40E" w14:textId="77777777" w:rsidR="004B2808" w:rsidRDefault="00000000">
      <w:pPr>
        <w:pStyle w:val="pheading"/>
      </w:pPr>
      <w:r>
        <w:t>- Définition / Comprend</w:t>
      </w:r>
    </w:p>
    <w:p w14:paraId="28BC8E29" w14:textId="77777777" w:rsidR="004B2808" w:rsidRDefault="00000000">
      <w:pPr>
        <w:jc w:val="both"/>
      </w:pPr>
      <w:r>
        <w:t>Il s’agit de la fourniture et la pose d’une isolation thermique à verser en vrac de fibres de lin pour une application intérieure.</w:t>
      </w:r>
    </w:p>
    <w:p w14:paraId="64A682E6" w14:textId="77777777" w:rsidR="004B2808" w:rsidRDefault="00000000">
      <w:pPr>
        <w:pStyle w:val="pheading"/>
      </w:pPr>
      <w:r>
        <w:t>- Localisation</w:t>
      </w:r>
    </w:p>
    <w:p w14:paraId="62F8A0BF" w14:textId="77777777" w:rsidR="004B2808" w:rsidRDefault="00000000">
      <w:r>
        <w:t xml:space="preserve">Localisation des travaux : </w:t>
      </w:r>
      <w:r>
        <w:rPr>
          <w:rStyle w:val="optioncarChar"/>
        </w:rPr>
        <w:t>***</w:t>
      </w:r>
      <w:r>
        <w:t>.</w:t>
      </w:r>
    </w:p>
    <w:p w14:paraId="773BAE81" w14:textId="77777777" w:rsidR="004B2808" w:rsidRDefault="00000000">
      <w:r>
        <w:t>Voir plans et métrés détaillés.</w:t>
      </w:r>
    </w:p>
    <w:p w14:paraId="47A27303" w14:textId="77777777" w:rsidR="004B2808" w:rsidRDefault="00000000">
      <w:pPr>
        <w:pStyle w:val="pheading"/>
      </w:pPr>
      <w:r>
        <w:t>MATÉRIAUX</w:t>
      </w:r>
    </w:p>
    <w:p w14:paraId="3E232683" w14:textId="77777777" w:rsidR="004B2808" w:rsidRDefault="00000000">
      <w:pPr>
        <w:pStyle w:val="pheading"/>
      </w:pPr>
      <w:r>
        <w:t>- Caractéristiques générales</w:t>
      </w:r>
    </w:p>
    <w:p w14:paraId="6589430F" w14:textId="77777777" w:rsidR="004B2808" w:rsidRDefault="00000000">
      <w:pPr>
        <w:jc w:val="both"/>
      </w:pPr>
      <w:r>
        <w:t>Le produit est constitué de fibres de lin. Le produit est conditionné en sacs.</w:t>
      </w:r>
    </w:p>
    <w:p w14:paraId="5DDE7DA0" w14:textId="77777777" w:rsidR="004B2808" w:rsidRDefault="00000000">
      <w:pPr>
        <w:jc w:val="both"/>
      </w:pPr>
      <w:r>
        <w:t xml:space="preserve">Épaisseur après mise en œuvre (selon [NBN EN 15101-2]) : </w:t>
      </w:r>
      <w:r>
        <w:rPr>
          <w:rStyle w:val="optioncarChar"/>
        </w:rPr>
        <w:t>***</w:t>
      </w:r>
      <w:r>
        <w:t xml:space="preserve"> cm.</w:t>
      </w:r>
    </w:p>
    <w:p w14:paraId="3B864189" w14:textId="77777777" w:rsidR="004B2808" w:rsidRDefault="00000000">
      <w:pPr>
        <w:jc w:val="both"/>
      </w:pPr>
      <w:r>
        <w:t xml:space="preserve">Masse volumique nominale après insufflation (selon [NBN EN 15101-2]) : </w:t>
      </w:r>
      <w:r>
        <w:rPr>
          <w:rStyle w:val="optioncarChar"/>
        </w:rPr>
        <w:t xml:space="preserve">20 </w:t>
      </w:r>
      <w:r>
        <w:t>(par défaut)</w:t>
      </w:r>
      <w:r>
        <w:rPr>
          <w:rStyle w:val="optioncarChar"/>
        </w:rPr>
        <w:t xml:space="preserve"> / ***</w:t>
      </w:r>
      <w:r>
        <w:t xml:space="preserve"> kg/m³.</w:t>
      </w:r>
    </w:p>
    <w:p w14:paraId="288CF984" w14:textId="77777777" w:rsidR="004B2808" w:rsidRDefault="00000000">
      <w:pPr>
        <w:jc w:val="both"/>
      </w:pPr>
      <w:r>
        <w:t xml:space="preserve">Conductivité thermique déclarée (selon [NBN EN 12667]) : </w:t>
      </w:r>
      <w:r>
        <w:rPr>
          <w:rStyle w:val="optioncarChar"/>
        </w:rPr>
        <w:t xml:space="preserve">0,04 </w:t>
      </w:r>
      <w:r>
        <w:t>(par défaut)</w:t>
      </w:r>
      <w:r>
        <w:rPr>
          <w:rStyle w:val="optioncarChar"/>
        </w:rPr>
        <w:t xml:space="preserve"> / ***</w:t>
      </w:r>
      <w:r>
        <w:t xml:space="preserve"> W/mK.</w:t>
      </w:r>
    </w:p>
    <w:p w14:paraId="434D0123" w14:textId="77777777" w:rsidR="004B2808" w:rsidRDefault="00000000">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le [Règlement 1907/2006/CE]. La concentration maximum des adjuvants est de </w:t>
      </w:r>
      <w:r>
        <w:rPr>
          <w:rStyle w:val="optioncarChar"/>
        </w:rPr>
        <w:t>4%</w:t>
      </w:r>
      <w:r>
        <w:t xml:space="preserve"> (par défaut)</w:t>
      </w:r>
      <w:r>
        <w:rPr>
          <w:rStyle w:val="optioncarChar"/>
        </w:rPr>
        <w:t xml:space="preserve"> / ***</w:t>
      </w:r>
      <w:r>
        <w:t>.</w:t>
      </w:r>
    </w:p>
    <w:p w14:paraId="7C3180CA" w14:textId="77777777" w:rsidR="004B2808" w:rsidRDefault="00000000">
      <w:pPr>
        <w:ind w:left="750"/>
      </w:pPr>
      <w:r>
        <w:t> </w:t>
      </w:r>
    </w:p>
    <w:p w14:paraId="1226C6DD" w14:textId="77777777" w:rsidR="004B2808" w:rsidRDefault="00000000">
      <w:pPr>
        <w:pStyle w:val="pheading"/>
      </w:pPr>
      <w:r>
        <w:t>- Prescriptions complémentaires</w:t>
      </w:r>
    </w:p>
    <w:p w14:paraId="74A7BAF6" w14:textId="77777777" w:rsidR="004B2808" w:rsidRDefault="00000000">
      <w:pPr>
        <w:jc w:val="both"/>
      </w:pPr>
      <w:r>
        <w:rPr>
          <w:rStyle w:val="facultChar"/>
        </w:rPr>
        <w:t xml:space="preserve">Coefficient de résistance à la diffusion de vapeur d’eau – valeur μ (selon [NBN EN 12086]) : </w:t>
      </w:r>
      <w:r>
        <w:rPr>
          <w:rStyle w:val="optioncarChar"/>
        </w:rPr>
        <w:t>1 / 2</w:t>
      </w:r>
      <w:r>
        <w:rPr>
          <w:rStyle w:val="facultChar"/>
        </w:rPr>
        <w:t>.</w:t>
      </w:r>
    </w:p>
    <w:p w14:paraId="61BC75C9" w14:textId="77777777" w:rsidR="004B2808" w:rsidRDefault="00000000">
      <w:pPr>
        <w:jc w:val="both"/>
      </w:pPr>
      <w:r>
        <w:rPr>
          <w:rStyle w:val="facultChar"/>
        </w:rPr>
        <w:t xml:space="preserve">Résistance fongique (selon [NBN EN ISO 846]) : </w:t>
      </w:r>
      <w:r>
        <w:rPr>
          <w:rStyle w:val="optioncarChar"/>
        </w:rPr>
        <w:t xml:space="preserve">classe 0 (inerte) </w:t>
      </w:r>
      <w:r>
        <w:t xml:space="preserve">(par défaut) </w:t>
      </w:r>
      <w:r>
        <w:rPr>
          <w:rStyle w:val="optioncarChar"/>
        </w:rPr>
        <w:t>/ ***</w:t>
      </w:r>
      <w:r>
        <w:rPr>
          <w:rStyle w:val="facultChar"/>
        </w:rPr>
        <w:t>.</w:t>
      </w:r>
    </w:p>
    <w:p w14:paraId="15FF9B21" w14:textId="77777777" w:rsidR="004B2808" w:rsidRDefault="00000000">
      <w:pPr>
        <w:jc w:val="both"/>
      </w:pPr>
      <w:r>
        <w:rPr>
          <w:rStyle w:val="facultChar"/>
        </w:rPr>
        <w:t xml:space="preserve">Classement de la réaction au feu (selon [NBN EN 13501-1]) : </w:t>
      </w:r>
      <w:r>
        <w:rPr>
          <w:rStyle w:val="optioncarChar"/>
        </w:rPr>
        <w:t>E</w:t>
      </w:r>
      <w:r>
        <w:t xml:space="preserve"> (par défaut) </w:t>
      </w:r>
      <w:r>
        <w:rPr>
          <w:rStyle w:val="optioncarChar"/>
        </w:rPr>
        <w:t>/ ***</w:t>
      </w:r>
      <w:r>
        <w:rPr>
          <w:rStyle w:val="facultChar"/>
        </w:rPr>
        <w:t>.</w:t>
      </w:r>
    </w:p>
    <w:p w14:paraId="09EF052D" w14:textId="77777777" w:rsidR="004B2808" w:rsidRDefault="00000000">
      <w:pPr>
        <w:pStyle w:val="pheading"/>
      </w:pPr>
      <w:r>
        <w:t>EXÉCUTION / MISE EN ŒUVRE</w:t>
      </w:r>
    </w:p>
    <w:p w14:paraId="31A64E10" w14:textId="77777777" w:rsidR="004B2808" w:rsidRDefault="00000000">
      <w:pPr>
        <w:pStyle w:val="pheading"/>
      </w:pPr>
      <w:r>
        <w:t>- Prescriptions générales</w:t>
      </w:r>
    </w:p>
    <w:p w14:paraId="540D96ED" w14:textId="77777777" w:rsidR="004B2808" w:rsidRDefault="00000000">
      <w:pPr>
        <w:jc w:val="both"/>
      </w:pPr>
      <w:r>
        <w:t>Les fibres de lin en vrac sont utilisées en parois et plancher.</w:t>
      </w:r>
    </w:p>
    <w:p w14:paraId="2863D725" w14:textId="77777777" w:rsidR="004B2808" w:rsidRDefault="00000000">
      <w:pPr>
        <w:jc w:val="both"/>
      </w:pPr>
      <w:r>
        <w:t xml:space="preserve">Lors de la mise en œuvre, les fibres de lin sont appliquées </w:t>
      </w:r>
      <w:r>
        <w:rPr>
          <w:rStyle w:val="optioncarChar"/>
        </w:rPr>
        <w:t>sans compaction</w:t>
      </w:r>
      <w:r>
        <w:t xml:space="preserve"> (par défaut)</w:t>
      </w:r>
      <w:r>
        <w:rPr>
          <w:rStyle w:val="optioncarChar"/>
        </w:rPr>
        <w:t xml:space="preserve"> / en compaction manuelle / par compaction par vibration (aiguille vibrante) / ***</w:t>
      </w:r>
      <w:r>
        <w:t>.</w:t>
      </w:r>
    </w:p>
    <w:p w14:paraId="19416024" w14:textId="77777777" w:rsidR="004B2808" w:rsidRDefault="00000000">
      <w:pPr>
        <w:jc w:val="both"/>
      </w:pPr>
      <w:r>
        <w:t>L’application en parois ou en plancher pour des performances acoustiques nécessite l’interposition de blochets ou de bandes résilientes acoustiques entre les parois. </w:t>
      </w:r>
    </w:p>
    <w:p w14:paraId="7C11F34E" w14:textId="77777777" w:rsidR="004B2808" w:rsidRDefault="00000000">
      <w:pPr>
        <w:pStyle w:val="pheading"/>
      </w:pPr>
      <w:r>
        <w:t>DOCUMENTS DE RÉFÉRENCE COMPLÉMENTAIRES</w:t>
      </w:r>
    </w:p>
    <w:p w14:paraId="57AFFA4F" w14:textId="77777777" w:rsidR="004B2808" w:rsidRDefault="00000000">
      <w:pPr>
        <w:pStyle w:val="pheading"/>
      </w:pPr>
      <w:r>
        <w:t>- Matériau</w:t>
      </w:r>
    </w:p>
    <w:p w14:paraId="15229606" w14:textId="77777777" w:rsidR="004B2808" w:rsidRDefault="00000000">
      <w:r>
        <w:t>[NBN EN 15101-2, Produits isolants thermiques destinés aux applications du bâtiment - Isolation thermique formée en place à base de cellulose (LFCI) - Partie 2: Spécifications des produits mis en œuvre]</w:t>
      </w:r>
    </w:p>
    <w:p w14:paraId="6AE2182D" w14:textId="77777777" w:rsidR="004B2808" w:rsidRDefault="00000000">
      <w:r>
        <w:lastRenderedPageBreak/>
        <w:t>[NBN EN 12667, Performance thermique des matériaux et produits pour le bâtiment - Détermination de la résistance thermique par la méthode de la plaque chaude gardée et la méthode fluxmétrique - Produits de haute et moyenne résistance thermique]</w:t>
      </w:r>
    </w:p>
    <w:p w14:paraId="7EC678CB" w14:textId="77777777" w:rsidR="004B2808" w:rsidRDefault="00000000">
      <w:r>
        <w:t>[NBN EN 12086, Produits isolants thermiques destinés aux applications du bâtiment - Détermination des propriétés de transmission de la vapeur d'eau]</w:t>
      </w:r>
    </w:p>
    <w:p w14:paraId="1F150D18" w14:textId="77777777" w:rsidR="004B2808" w:rsidRDefault="00000000">
      <w:r>
        <w:t>[NBN EN ISO 846, Plastiques - Évaluation de l'action des micro-organismes (ISO 846:2019)]</w:t>
      </w:r>
    </w:p>
    <w:p w14:paraId="05A40340" w14:textId="77777777" w:rsidR="004B2808" w:rsidRDefault="00000000">
      <w:r>
        <w:t>[NBN EN 13501-1, Classement au feu des produits et éléments de construction - Partie 1: Classement à partir des données d'essais de réaction au feu]</w:t>
      </w:r>
    </w:p>
    <w:p w14:paraId="001D6434" w14:textId="77777777" w:rsidR="004B2808" w:rsidRDefault="00000000">
      <w:pPr>
        <w:pStyle w:val="pheading"/>
      </w:pPr>
      <w:r>
        <w:t>- Exécution</w:t>
      </w:r>
    </w:p>
    <w:p w14:paraId="0299C9FA" w14:textId="77777777" w:rsidR="004B2808" w:rsidRDefault="00000000">
      <w:r>
        <w:t>[NBN EN 13501-1, Classement au feu des produits et éléments de construction - Partie 1: Classement à partir des données d'essais de réaction au feu]</w:t>
      </w:r>
    </w:p>
    <w:p w14:paraId="60E6404E" w14:textId="77777777" w:rsidR="004B2808" w:rsidRDefault="00000000">
      <w:pPr>
        <w:pStyle w:val="pheading"/>
      </w:pPr>
      <w:r>
        <w:t>MESURAGE</w:t>
      </w:r>
    </w:p>
    <w:p w14:paraId="7C3DD94C" w14:textId="77777777" w:rsidR="004B2808" w:rsidRDefault="00000000">
      <w:pPr>
        <w:pStyle w:val="pheading"/>
      </w:pPr>
      <w:r>
        <w:t>- unité de mesure:</w:t>
      </w:r>
    </w:p>
    <w:p w14:paraId="6BC624E1" w14:textId="77777777" w:rsidR="004B2808" w:rsidRDefault="00000000">
      <w:r>
        <w:rPr>
          <w:rStyle w:val="optioncarChar"/>
        </w:rPr>
        <w:t>m²</w:t>
      </w:r>
      <w:r>
        <w:t xml:space="preserve"> (par défaut) /</w:t>
      </w:r>
      <w:r>
        <w:rPr>
          <w:rStyle w:val="optioncarChar"/>
        </w:rPr>
        <w:t xml:space="preserve"> m³</w:t>
      </w:r>
    </w:p>
    <w:p w14:paraId="2B81B7B6" w14:textId="77777777" w:rsidR="004B2808" w:rsidRDefault="00000000">
      <w:r>
        <w:rPr>
          <w:b/>
          <w:i/>
        </w:rPr>
        <w:t>(Soit par défaut)</w:t>
      </w:r>
    </w:p>
    <w:p w14:paraId="2A719138" w14:textId="77777777" w:rsidR="004B2808" w:rsidRDefault="00000000">
      <w:r>
        <w:rPr>
          <w:rStyle w:val="soitChar"/>
        </w:rPr>
        <w:t>1. m²</w:t>
      </w:r>
    </w:p>
    <w:p w14:paraId="61DCCB7D" w14:textId="77777777" w:rsidR="004B2808" w:rsidRDefault="00000000">
      <w:r>
        <w:rPr>
          <w:b/>
          <w:i/>
        </w:rPr>
        <w:t>(Soit)</w:t>
      </w:r>
    </w:p>
    <w:p w14:paraId="6E775273" w14:textId="77777777" w:rsidR="004B2808" w:rsidRDefault="00000000">
      <w:r>
        <w:rPr>
          <w:rStyle w:val="soitChar"/>
        </w:rPr>
        <w:t>2. m³</w:t>
      </w:r>
    </w:p>
    <w:p w14:paraId="72A2F006" w14:textId="77777777" w:rsidR="004B2808" w:rsidRDefault="00000000">
      <w:pPr>
        <w:pStyle w:val="pheading"/>
      </w:pPr>
      <w:r>
        <w:t>- code de mesurage:</w:t>
      </w:r>
    </w:p>
    <w:p w14:paraId="6FDF05E5" w14:textId="77777777" w:rsidR="004B2808" w:rsidRDefault="00000000">
      <w:pPr>
        <w:jc w:val="both"/>
      </w:pPr>
      <w:r>
        <w:rPr>
          <w:rStyle w:val="optioncarChar"/>
        </w:rPr>
        <w:t xml:space="preserve">Surface nette </w:t>
      </w:r>
      <w:r>
        <w:t xml:space="preserve">(par défaut) </w:t>
      </w:r>
      <w:r>
        <w:rPr>
          <w:rStyle w:val="optioncarChar"/>
        </w:rPr>
        <w:t>/ Volume net</w:t>
      </w:r>
    </w:p>
    <w:p w14:paraId="59F21BCC" w14:textId="77777777" w:rsidR="004B2808" w:rsidRDefault="00000000">
      <w:pPr>
        <w:jc w:val="both"/>
      </w:pPr>
      <w:r>
        <w:rPr>
          <w:b/>
          <w:i/>
        </w:rPr>
        <w:t>(Soit par défaut)</w:t>
      </w:r>
    </w:p>
    <w:p w14:paraId="382159D2" w14:textId="77777777" w:rsidR="004B2808" w:rsidRDefault="00000000">
      <w:pPr>
        <w:jc w:val="both"/>
      </w:pPr>
      <w:r>
        <w:rPr>
          <w:rStyle w:val="soitChar"/>
        </w:rPr>
        <w:t>1.</w:t>
      </w:r>
      <w:r>
        <w:rPr>
          <w:rStyle w:val="soitChar"/>
          <w:b/>
        </w:rPr>
        <w:t xml:space="preserve"> Surface nette</w:t>
      </w:r>
      <w:r>
        <w:rPr>
          <w:rStyle w:val="soitChar"/>
        </w:rPr>
        <w:t xml:space="preserve"> de la toiture, sans déduction des éléments de structure interposés (chevrons, fermes). Les réservations inférieures à 0.5 m² ne sont pas déduites. Distinction faite suivant l'épaisseur.</w:t>
      </w:r>
    </w:p>
    <w:p w14:paraId="727F98AA" w14:textId="77777777" w:rsidR="004B2808" w:rsidRDefault="00000000">
      <w:pPr>
        <w:jc w:val="both"/>
      </w:pPr>
      <w:r>
        <w:rPr>
          <w:b/>
          <w:i/>
        </w:rPr>
        <w:t>(Soit)</w:t>
      </w:r>
    </w:p>
    <w:p w14:paraId="2410A79F" w14:textId="77777777" w:rsidR="004B2808" w:rsidRDefault="00000000">
      <w:pPr>
        <w:jc w:val="both"/>
      </w:pPr>
      <w:r>
        <w:rPr>
          <w:rStyle w:val="soitChar"/>
        </w:rPr>
        <w:t>2. V</w:t>
      </w:r>
      <w:r>
        <w:rPr>
          <w:rStyle w:val="soitChar"/>
          <w:b/>
        </w:rPr>
        <w:t>olume net</w:t>
      </w:r>
      <w:r>
        <w:rPr>
          <w:rStyle w:val="soitChar"/>
        </w:rPr>
        <w:t xml:space="preserve"> de la toiture à isoler, sans déduction des éléments de structure interposés (chevrons / fermes / solives / …). Les ouvertures supérieures à 0,5 m² multipliées par l’épaisseur à réaliser sont déduites. Distinction faite suivant la densité prescrite.</w:t>
      </w:r>
    </w:p>
    <w:p w14:paraId="2DFB4DF6" w14:textId="77777777" w:rsidR="004B2808" w:rsidRDefault="00000000">
      <w:pPr>
        <w:pStyle w:val="pheading"/>
      </w:pPr>
      <w:r>
        <w:t>- nature du marché:</w:t>
      </w:r>
    </w:p>
    <w:p w14:paraId="1CEAAFFC" w14:textId="77777777" w:rsidR="004B2808" w:rsidRDefault="00000000">
      <w:r>
        <w:t>QF</w:t>
      </w:r>
    </w:p>
    <w:p w14:paraId="726E1350" w14:textId="77777777" w:rsidR="004B2808" w:rsidRDefault="00000000">
      <w:pPr>
        <w:pStyle w:val="Author-eSectionHeading6Numberless"/>
      </w:pPr>
      <w:bookmarkStart w:id="501" w:name="_Toc220490676"/>
      <w:r>
        <w:t>52.46.3d Isolation à verser en vrac - chaume CCTB 01.12</w:t>
      </w:r>
      <w:bookmarkEnd w:id="501"/>
    </w:p>
    <w:p w14:paraId="03E7C9D2" w14:textId="77777777" w:rsidR="004B2808" w:rsidRDefault="00000000">
      <w:pPr>
        <w:pStyle w:val="pheading"/>
      </w:pPr>
      <w:r>
        <w:t>DESCRIPTION</w:t>
      </w:r>
    </w:p>
    <w:p w14:paraId="6E36242D" w14:textId="77777777" w:rsidR="004B2808" w:rsidRDefault="00000000">
      <w:pPr>
        <w:pStyle w:val="pheading"/>
      </w:pPr>
      <w:r>
        <w:t>- Définition / Comprend</w:t>
      </w:r>
    </w:p>
    <w:p w14:paraId="2E16B69A" w14:textId="77777777" w:rsidR="004B2808" w:rsidRDefault="00000000">
      <w:pPr>
        <w:jc w:val="both"/>
      </w:pPr>
      <w:r>
        <w:t>Il s’agit de la fourniture et de la pose d’une isolation thermique au moyen de chaume fourni et posé en vrac pour une application intérieure.</w:t>
      </w:r>
    </w:p>
    <w:p w14:paraId="38680D49" w14:textId="77777777" w:rsidR="004B2808" w:rsidRDefault="00000000">
      <w:pPr>
        <w:pStyle w:val="pheading"/>
      </w:pPr>
      <w:r>
        <w:t>- Localisation</w:t>
      </w:r>
    </w:p>
    <w:p w14:paraId="0AD26D1C" w14:textId="77777777" w:rsidR="004B2808" w:rsidRDefault="00000000">
      <w:r>
        <w:t xml:space="preserve">Localisation des travaux : </w:t>
      </w:r>
      <w:r>
        <w:rPr>
          <w:rStyle w:val="optioncarChar"/>
        </w:rPr>
        <w:t>***</w:t>
      </w:r>
      <w:r>
        <w:t>.</w:t>
      </w:r>
    </w:p>
    <w:p w14:paraId="45B07881" w14:textId="77777777" w:rsidR="004B2808" w:rsidRDefault="00000000">
      <w:r>
        <w:t>Voir plans et métrés détaillés.</w:t>
      </w:r>
    </w:p>
    <w:p w14:paraId="1E0BC295" w14:textId="77777777" w:rsidR="004B2808" w:rsidRDefault="00000000">
      <w:pPr>
        <w:pStyle w:val="pheading"/>
      </w:pPr>
      <w:r>
        <w:t>MATÉRIAUX</w:t>
      </w:r>
    </w:p>
    <w:p w14:paraId="4434A02D" w14:textId="77777777" w:rsidR="004B2808" w:rsidRDefault="00000000">
      <w:pPr>
        <w:pStyle w:val="pheading"/>
      </w:pPr>
      <w:r>
        <w:t>- Caractéristiques générales</w:t>
      </w:r>
    </w:p>
    <w:p w14:paraId="31F1B437" w14:textId="77777777" w:rsidR="004B2808" w:rsidRDefault="00000000">
      <w:pPr>
        <w:jc w:val="both"/>
      </w:pPr>
      <w:r>
        <w:lastRenderedPageBreak/>
        <w:t xml:space="preserve">Le produit est constitué de chaume ou roseau. Le produit est constitué de tiges longues de min </w:t>
      </w:r>
      <w:r>
        <w:rPr>
          <w:rStyle w:val="optioncarChar"/>
        </w:rPr>
        <w:t xml:space="preserve">20 cm </w:t>
      </w:r>
      <w:r>
        <w:t>(par défaut)</w:t>
      </w:r>
      <w:r>
        <w:rPr>
          <w:rStyle w:val="optioncarChar"/>
        </w:rPr>
        <w:t xml:space="preserve"> / de tiges concassées / ***</w:t>
      </w:r>
      <w:r>
        <w:t>.  Il est conditionné en sacs ou en ballots.</w:t>
      </w:r>
    </w:p>
    <w:p w14:paraId="209B81F7" w14:textId="77777777" w:rsidR="004B2808" w:rsidRDefault="00000000">
      <w:pPr>
        <w:jc w:val="both"/>
      </w:pPr>
      <w:r>
        <w:t xml:space="preserve">Épaisseur après mise en œuvre (selon [NBN EN 15101-2]) : </w:t>
      </w:r>
      <w:r>
        <w:rPr>
          <w:rStyle w:val="optioncarChar"/>
        </w:rPr>
        <w:t>***</w:t>
      </w:r>
      <w:r>
        <w:t xml:space="preserve"> cm.</w:t>
      </w:r>
    </w:p>
    <w:p w14:paraId="08D5AE5C" w14:textId="77777777" w:rsidR="004B2808" w:rsidRDefault="00000000">
      <w:pPr>
        <w:jc w:val="both"/>
      </w:pPr>
      <w:r>
        <w:t>Masse volumique nominale après mise en œuvre (selon [NBN EN 15101-2]) :</w:t>
      </w:r>
      <w:r>
        <w:rPr>
          <w:rStyle w:val="optioncarChar"/>
        </w:rPr>
        <w:t xml:space="preserve"> minimum 45 </w:t>
      </w:r>
      <w:r>
        <w:t>(par défaut)</w:t>
      </w:r>
      <w:r>
        <w:rPr>
          <w:rStyle w:val="optioncarChar"/>
        </w:rPr>
        <w:t xml:space="preserve"> / ***</w:t>
      </w:r>
      <w:r>
        <w:t xml:space="preserve"> kg/m³.</w:t>
      </w:r>
    </w:p>
    <w:p w14:paraId="088EB9CB" w14:textId="77777777" w:rsidR="004B2808" w:rsidRDefault="00000000">
      <w:pPr>
        <w:jc w:val="both"/>
      </w:pPr>
      <w:r>
        <w:t xml:space="preserve">Conductivité thermique déclarée (selon [NBN EN 12667]) : inférieure à </w:t>
      </w:r>
      <w:r>
        <w:rPr>
          <w:rStyle w:val="optioncarChar"/>
        </w:rPr>
        <w:t>0,055</w:t>
      </w:r>
      <w:r>
        <w:t xml:space="preserve"> (par défaut)</w:t>
      </w:r>
      <w:r>
        <w:rPr>
          <w:rStyle w:val="optioncarChar"/>
        </w:rPr>
        <w:t xml:space="preserve"> / ***</w:t>
      </w:r>
      <w:r>
        <w:t xml:space="preserve"> W/mK</w:t>
      </w:r>
    </w:p>
    <w:p w14:paraId="667A6754" w14:textId="77777777" w:rsidR="004B2808" w:rsidRDefault="00000000">
      <w:pPr>
        <w:jc w:val="both"/>
      </w:pPr>
      <w:r>
        <w:t xml:space="preserve">Les adjuvants ignifuges et biocides sont de type : </w:t>
      </w:r>
      <w:r>
        <w:rPr>
          <w:rStyle w:val="optioncarChar"/>
        </w:rPr>
        <w:t>pas d’adjuvant</w:t>
      </w:r>
      <w:r>
        <w:t xml:space="preserve"> (par défaut)</w:t>
      </w:r>
      <w:r>
        <w:rPr>
          <w:rStyle w:val="optioncarChar"/>
        </w:rPr>
        <w:t xml:space="preserve"> / sels de bore / sels d’ammonium / ***</w:t>
      </w:r>
      <w:r>
        <w:t xml:space="preserve">. Les adjuvants respectent le [Règlement 1907/2006/CE]. La concentration maximum des adjuvants est de </w:t>
      </w:r>
      <w:r>
        <w:rPr>
          <w:rStyle w:val="optioncarChar"/>
        </w:rPr>
        <w:t>4%</w:t>
      </w:r>
      <w:r>
        <w:t xml:space="preserve"> (par défaut)</w:t>
      </w:r>
      <w:r>
        <w:rPr>
          <w:rStyle w:val="optioncarChar"/>
        </w:rPr>
        <w:t xml:space="preserve"> / ***</w:t>
      </w:r>
      <w:r>
        <w:t>.</w:t>
      </w:r>
    </w:p>
    <w:p w14:paraId="00DADF68" w14:textId="77777777" w:rsidR="004B2808" w:rsidRDefault="00000000">
      <w:pPr>
        <w:ind w:left="750"/>
      </w:pPr>
      <w:r>
        <w:t> </w:t>
      </w:r>
    </w:p>
    <w:p w14:paraId="67B93CBF" w14:textId="77777777" w:rsidR="004B2808" w:rsidRDefault="00000000">
      <w:pPr>
        <w:pStyle w:val="pheading"/>
      </w:pPr>
      <w:r>
        <w:t>- Prescriptions complémentaires</w:t>
      </w:r>
    </w:p>
    <w:p w14:paraId="485C4C6B" w14:textId="77777777" w:rsidR="004B2808" w:rsidRDefault="00000000">
      <w:pPr>
        <w:jc w:val="both"/>
      </w:pPr>
      <w:r>
        <w:rPr>
          <w:rStyle w:val="facultChar"/>
        </w:rPr>
        <w:t xml:space="preserve">Coefficient de résistance à la diffusion de vapeur d’eau – valeur μ (selon [NBN EN 12086]) : inférieure à </w:t>
      </w:r>
      <w:r>
        <w:rPr>
          <w:rStyle w:val="optioncarChar"/>
        </w:rPr>
        <w:t>2 / ***.</w:t>
      </w:r>
    </w:p>
    <w:p w14:paraId="17EC92CB" w14:textId="77777777" w:rsidR="004B2808" w:rsidRDefault="00000000">
      <w:pPr>
        <w:jc w:val="both"/>
      </w:pPr>
      <w:r>
        <w:rPr>
          <w:rStyle w:val="facultChar"/>
        </w:rPr>
        <w:t xml:space="preserve">Capacité thermique : supérieure à </w:t>
      </w:r>
      <w:r>
        <w:rPr>
          <w:rStyle w:val="optioncarChar"/>
        </w:rPr>
        <w:t xml:space="preserve">2 </w:t>
      </w:r>
      <w:r>
        <w:t>(par défaut)</w:t>
      </w:r>
      <w:r>
        <w:rPr>
          <w:rStyle w:val="optioncarChar"/>
        </w:rPr>
        <w:t xml:space="preserve"> / ***</w:t>
      </w:r>
      <w:r>
        <w:rPr>
          <w:rStyle w:val="facultChar"/>
        </w:rPr>
        <w:t>kJ/kg.K</w:t>
      </w:r>
    </w:p>
    <w:p w14:paraId="69C83B21" w14:textId="77777777" w:rsidR="004B2808" w:rsidRDefault="00000000">
      <w:pPr>
        <w:jc w:val="both"/>
      </w:pPr>
      <w:r>
        <w:rPr>
          <w:rStyle w:val="facultChar"/>
        </w:rPr>
        <w:t xml:space="preserve">Résistance fongique (selon [NBN EN ISO 846]) : </w:t>
      </w:r>
      <w:r>
        <w:rPr>
          <w:rStyle w:val="optioncarChar"/>
        </w:rPr>
        <w:t xml:space="preserve">classe 0 (inerte) </w:t>
      </w:r>
      <w:r>
        <w:t>(par défaut)</w:t>
      </w:r>
      <w:r>
        <w:rPr>
          <w:rStyle w:val="optioncarChar"/>
        </w:rPr>
        <w:t xml:space="preserve"> / ***</w:t>
      </w:r>
    </w:p>
    <w:p w14:paraId="41914278" w14:textId="77777777" w:rsidR="004B2808" w:rsidRDefault="00000000">
      <w:pPr>
        <w:jc w:val="both"/>
      </w:pPr>
      <w:r>
        <w:rPr>
          <w:rStyle w:val="facultChar"/>
        </w:rPr>
        <w:t xml:space="preserve">Classement de la réaction au feu (selon [NBN EN 13501-1]) : </w:t>
      </w:r>
      <w:r>
        <w:rPr>
          <w:rStyle w:val="optioncarChar"/>
        </w:rPr>
        <w:t>E</w:t>
      </w:r>
      <w:r>
        <w:t xml:space="preserve"> (par défaut) </w:t>
      </w:r>
      <w:r>
        <w:rPr>
          <w:rStyle w:val="optioncarChar"/>
        </w:rPr>
        <w:t>/ ***</w:t>
      </w:r>
    </w:p>
    <w:p w14:paraId="7CAFDB7E" w14:textId="77777777" w:rsidR="004B2808" w:rsidRDefault="004B2808">
      <w:pPr>
        <w:jc w:val="both"/>
      </w:pPr>
    </w:p>
    <w:p w14:paraId="0184722E" w14:textId="77777777" w:rsidR="004B2808" w:rsidRDefault="00000000">
      <w:pPr>
        <w:jc w:val="both"/>
      </w:pPr>
      <w:r>
        <w:rPr>
          <w:rStyle w:val="facultChar"/>
        </w:rPr>
        <w:t>Conformément au chapitre 02.42.4 Bois provenant de forêts gérées durablement, les tiges de chaumes utilisées disposent de documents prouvant qu’elles proviennent de cultures gérées durablement.</w:t>
      </w:r>
    </w:p>
    <w:p w14:paraId="511CF67F" w14:textId="77777777" w:rsidR="004B2808" w:rsidRDefault="00000000">
      <w:pPr>
        <w:pStyle w:val="pheading"/>
      </w:pPr>
      <w:r>
        <w:t>EXÉCUTION / MISE EN ŒUVRE</w:t>
      </w:r>
    </w:p>
    <w:p w14:paraId="5F295149" w14:textId="77777777" w:rsidR="004B2808" w:rsidRDefault="00000000">
      <w:pPr>
        <w:pStyle w:val="pheading"/>
      </w:pPr>
      <w:r>
        <w:t>- Prescriptions générales</w:t>
      </w:r>
    </w:p>
    <w:p w14:paraId="4F203915" w14:textId="77777777" w:rsidR="004B2808" w:rsidRDefault="00000000">
      <w:pPr>
        <w:jc w:val="both"/>
      </w:pPr>
      <w:r>
        <w:t>La matière première est livrée sur chantier au plus près de la date d’application. Elle est stockée à l'abri des intempéries et dans un local sec.</w:t>
      </w:r>
    </w:p>
    <w:p w14:paraId="223AB31F" w14:textId="77777777" w:rsidR="004B2808" w:rsidRDefault="00000000">
      <w:pPr>
        <w:jc w:val="both"/>
      </w:pPr>
      <w:r>
        <w:t xml:space="preserve">Le versement de chaume est réalisé directement sur l’élément à isoler par couche de </w:t>
      </w:r>
      <w:r>
        <w:rPr>
          <w:rStyle w:val="optioncarChar"/>
        </w:rPr>
        <w:t>20</w:t>
      </w:r>
      <w:r>
        <w:t xml:space="preserve"> (par défaut)</w:t>
      </w:r>
      <w:r>
        <w:rPr>
          <w:rStyle w:val="optioncarChar"/>
        </w:rPr>
        <w:t xml:space="preserve"> / ***</w:t>
      </w:r>
      <w:r>
        <w:t xml:space="preserve"> cm. La couche est obtenue </w:t>
      </w:r>
      <w:r>
        <w:rPr>
          <w:rStyle w:val="optioncarChar"/>
        </w:rPr>
        <w:t xml:space="preserve">sans tassement </w:t>
      </w:r>
      <w:r>
        <w:t xml:space="preserve">(par défaut) </w:t>
      </w:r>
      <w:r>
        <w:rPr>
          <w:rStyle w:val="optioncarChar"/>
        </w:rPr>
        <w:t>/ par tassement manuel / ***</w:t>
      </w:r>
      <w:r>
        <w:t>.</w:t>
      </w:r>
    </w:p>
    <w:p w14:paraId="40F67398" w14:textId="77777777" w:rsidR="004B2808" w:rsidRDefault="00000000">
      <w:pPr>
        <w:jc w:val="both"/>
      </w:pPr>
      <w:r>
        <w:t>La mise en œuvre de l’isolation est conforme à la [NIT 233] pour les cloisons et parois de séparation et à la [NIT 232] pour les plafonds.</w:t>
      </w:r>
    </w:p>
    <w:p w14:paraId="49BD650F" w14:textId="77777777" w:rsidR="004B2808" w:rsidRDefault="00000000">
      <w:pPr>
        <w:jc w:val="both"/>
      </w:pPr>
      <w:r>
        <w:t>L’élément caisson destiné à être rempli est réalisé sous forme de module fermé.</w:t>
      </w:r>
    </w:p>
    <w:p w14:paraId="01DADE4C" w14:textId="77777777" w:rsidR="004B2808" w:rsidRDefault="00000000">
      <w:pPr>
        <w:jc w:val="both"/>
      </w:pPr>
      <w:r>
        <w:t>L’applicateur doit s’assurer que les canalisations électriques posées dans les vides de construction sont placées sous conduit non propagateur de la flamme.</w:t>
      </w:r>
    </w:p>
    <w:p w14:paraId="448EC806" w14:textId="77777777" w:rsidR="004B2808" w:rsidRDefault="00000000">
      <w:pPr>
        <w:jc w:val="both"/>
      </w:pPr>
      <w:r>
        <w:t>L’isolant ne doit jamais être mis en contact direct avec les dispositifs d’éclairage encastrés.</w:t>
      </w:r>
    </w:p>
    <w:p w14:paraId="349C73C9" w14:textId="77777777" w:rsidR="004B2808" w:rsidRDefault="00000000">
      <w:pPr>
        <w:jc w:val="both"/>
      </w:pPr>
      <w:r>
        <w:t>Ce matériau ne peut être mis en œuvre au-dessus de locaux à forte hygrométrie (classe de climat intérieur 4 voire 3).</w:t>
      </w:r>
    </w:p>
    <w:p w14:paraId="7112BC2F" w14:textId="77777777" w:rsidR="004B2808" w:rsidRDefault="00000000">
      <w:pPr>
        <w:pStyle w:val="pheading"/>
      </w:pPr>
      <w:r>
        <w:t>DOCUMENTS DE RÉFÉRENCE COMPLÉMENTAIRES</w:t>
      </w:r>
    </w:p>
    <w:p w14:paraId="76CA52ED" w14:textId="77777777" w:rsidR="004B2808" w:rsidRDefault="00000000">
      <w:pPr>
        <w:pStyle w:val="pheading"/>
      </w:pPr>
      <w:r>
        <w:t>- Matériau</w:t>
      </w:r>
    </w:p>
    <w:p w14:paraId="4ADC580A" w14:textId="77777777" w:rsidR="004B2808" w:rsidRDefault="00000000">
      <w:r>
        <w:t>[NBN EN 15101-2, Produits isolants thermiques destinés aux applications du bâtiment - Isolation thermique formée en place à base de cellulose (LFCI) - Partie 2: Spécifications des produits mis en œuvre]</w:t>
      </w:r>
    </w:p>
    <w:p w14:paraId="022A60E9" w14:textId="77777777" w:rsidR="004B2808"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2ED485FD" w14:textId="77777777" w:rsidR="004B2808" w:rsidRDefault="00000000">
      <w:r>
        <w:t>[NBN EN 12086, Produits isolants thermiques destinés aux applications du bâtiment - Détermination des propriétés de transmission de la vapeur d'eau]</w:t>
      </w:r>
    </w:p>
    <w:p w14:paraId="2A250F5C" w14:textId="77777777" w:rsidR="004B2808" w:rsidRDefault="00000000">
      <w:r>
        <w:lastRenderedPageBreak/>
        <w:t>[NBN EN ISO 846, Plastiques - Évaluation de l'action des micro-organismes (ISO 846:2019)]</w:t>
      </w:r>
    </w:p>
    <w:p w14:paraId="6ACAFBBC" w14:textId="77777777" w:rsidR="004B2808" w:rsidRDefault="00000000">
      <w:r>
        <w:t>[NBN EN 13501-1, Classement au feu des produits et éléments de construction - Partie 1: Classement à partir des données d'essais de réaction au feu]</w:t>
      </w:r>
    </w:p>
    <w:p w14:paraId="082847CC" w14:textId="77777777" w:rsidR="004B2808" w:rsidRDefault="00000000">
      <w:pPr>
        <w:pStyle w:val="pheading"/>
      </w:pPr>
      <w:r>
        <w:t>- Exécution</w:t>
      </w:r>
    </w:p>
    <w:p w14:paraId="0C571130" w14:textId="77777777" w:rsidR="004B2808" w:rsidRDefault="00000000">
      <w:r>
        <w:t>[NIT 233, Les cloisons légères.]</w:t>
      </w:r>
    </w:p>
    <w:p w14:paraId="033B1B22" w14:textId="77777777" w:rsidR="004B2808" w:rsidRDefault="00000000">
      <w:r>
        <w:t>[NIT 232, Les plafonds suspendus.]</w:t>
      </w:r>
    </w:p>
    <w:p w14:paraId="0D8C9FC7" w14:textId="77777777" w:rsidR="004B2808" w:rsidRDefault="00000000">
      <w:r>
        <w:t>[NBN EN 13501-1, Classement au feu des produits et éléments de construction - Partie 1: Classement à partir des données d'essais de réaction au feu]</w:t>
      </w:r>
    </w:p>
    <w:p w14:paraId="66DA4027" w14:textId="77777777" w:rsidR="004B2808" w:rsidRDefault="00000000">
      <w:r>
        <w:t>[NBN EN 15287-1, Conduits de fumée - Conception, installation et mise en service - Partie 1: Conduits de fumée et conduits de raccordement pour appareils de combustion qui prélèvent l’air comburant dans la pièce]</w:t>
      </w:r>
    </w:p>
    <w:p w14:paraId="5DDC051D" w14:textId="77777777" w:rsidR="004B2808" w:rsidRDefault="00000000">
      <w:r>
        <w:t>[NBN EN 15287-2, Conduits de fumée - Conception, installation et mise en service - Partie 2 : Conduits de fumée et conduits de raccordement pour appareils de combustion à circuit étanche]</w:t>
      </w:r>
    </w:p>
    <w:p w14:paraId="5CBD076B" w14:textId="77777777" w:rsidR="004B2808" w:rsidRDefault="00000000">
      <w:pPr>
        <w:pStyle w:val="pheading"/>
      </w:pPr>
      <w:r>
        <w:t>MESURAGE</w:t>
      </w:r>
    </w:p>
    <w:p w14:paraId="5AD28490" w14:textId="77777777" w:rsidR="004B2808" w:rsidRDefault="00000000">
      <w:pPr>
        <w:pStyle w:val="pheading"/>
      </w:pPr>
      <w:r>
        <w:t>- unité de mesure:</w:t>
      </w:r>
    </w:p>
    <w:p w14:paraId="59346958" w14:textId="77777777" w:rsidR="004B2808" w:rsidRDefault="00000000">
      <w:r>
        <w:rPr>
          <w:rStyle w:val="optioncarChar"/>
        </w:rPr>
        <w:t xml:space="preserve">m² </w:t>
      </w:r>
      <w:r>
        <w:t xml:space="preserve">(par défaut) </w:t>
      </w:r>
      <w:r>
        <w:rPr>
          <w:rStyle w:val="optioncarChar"/>
        </w:rPr>
        <w:t>/ m³</w:t>
      </w:r>
    </w:p>
    <w:p w14:paraId="4ABA376D" w14:textId="77777777" w:rsidR="004B2808" w:rsidRDefault="00000000">
      <w:r>
        <w:rPr>
          <w:b/>
          <w:i/>
        </w:rPr>
        <w:t>(Soit par défaut)</w:t>
      </w:r>
    </w:p>
    <w:p w14:paraId="64ED1DFF" w14:textId="77777777" w:rsidR="004B2808" w:rsidRDefault="00000000">
      <w:r>
        <w:rPr>
          <w:rStyle w:val="soitChar"/>
        </w:rPr>
        <w:t>1.  m²</w:t>
      </w:r>
    </w:p>
    <w:p w14:paraId="77A4B1D3" w14:textId="77777777" w:rsidR="004B2808" w:rsidRDefault="00000000">
      <w:r>
        <w:rPr>
          <w:b/>
          <w:i/>
        </w:rPr>
        <w:t>(Soit)</w:t>
      </w:r>
    </w:p>
    <w:p w14:paraId="0446E4F7" w14:textId="77777777" w:rsidR="004B2808" w:rsidRDefault="00000000">
      <w:r>
        <w:rPr>
          <w:rStyle w:val="soitChar"/>
        </w:rPr>
        <w:t>2.  m³</w:t>
      </w:r>
    </w:p>
    <w:p w14:paraId="2ECA8E34" w14:textId="77777777" w:rsidR="004B2808" w:rsidRDefault="00000000">
      <w:pPr>
        <w:pStyle w:val="pheading"/>
      </w:pPr>
      <w:r>
        <w:t>- code de mesurage:</w:t>
      </w:r>
    </w:p>
    <w:p w14:paraId="2BBE3CC1" w14:textId="77777777" w:rsidR="004B2808" w:rsidRDefault="00000000">
      <w:r>
        <w:rPr>
          <w:rStyle w:val="optioncarChar"/>
        </w:rPr>
        <w:t xml:space="preserve">Surface nette </w:t>
      </w:r>
      <w:r>
        <w:t xml:space="preserve">(par défaut) </w:t>
      </w:r>
      <w:r>
        <w:rPr>
          <w:rStyle w:val="optioncarChar"/>
        </w:rPr>
        <w:t>/ Volume net</w:t>
      </w:r>
    </w:p>
    <w:p w14:paraId="3C2D861D" w14:textId="77777777" w:rsidR="004B2808" w:rsidRDefault="00000000">
      <w:pPr>
        <w:jc w:val="both"/>
      </w:pPr>
      <w:r>
        <w:rPr>
          <w:b/>
          <w:i/>
        </w:rPr>
        <w:t>(Soit par défaut)</w:t>
      </w:r>
    </w:p>
    <w:p w14:paraId="397EE3BF" w14:textId="77777777" w:rsidR="004B2808" w:rsidRDefault="00000000">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inférieures à 0.5 m² ne sont pas déduites. Distinction faite suivant l'épaisseur.</w:t>
      </w:r>
    </w:p>
    <w:p w14:paraId="53F3EEBA" w14:textId="77777777" w:rsidR="004B2808" w:rsidRDefault="00000000">
      <w:pPr>
        <w:jc w:val="both"/>
      </w:pPr>
      <w:r>
        <w:rPr>
          <w:b/>
          <w:i/>
        </w:rPr>
        <w:t>(Soit)</w:t>
      </w:r>
    </w:p>
    <w:p w14:paraId="501A3554" w14:textId="77777777" w:rsidR="004B2808" w:rsidRDefault="00000000">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 prescrite.</w:t>
      </w:r>
    </w:p>
    <w:p w14:paraId="187CB69A" w14:textId="77777777" w:rsidR="004B2808" w:rsidRDefault="00000000">
      <w:pPr>
        <w:pStyle w:val="pheading"/>
      </w:pPr>
      <w:r>
        <w:t>- nature du marché:</w:t>
      </w:r>
    </w:p>
    <w:p w14:paraId="0375F8AF" w14:textId="77777777" w:rsidR="004B2808" w:rsidRDefault="00000000">
      <w:r>
        <w:t>QF</w:t>
      </w:r>
    </w:p>
    <w:p w14:paraId="5FD1F0AB" w14:textId="77777777" w:rsidR="004B2808" w:rsidRDefault="00000000">
      <w:pPr>
        <w:pStyle w:val="Author-eSectionHeading6Numberless"/>
      </w:pPr>
      <w:bookmarkStart w:id="502" w:name="_Toc220490677"/>
      <w:r>
        <w:t>52.46.3e Isolation à verser en vrac - chanvre CCTB 01.12</w:t>
      </w:r>
      <w:bookmarkEnd w:id="502"/>
    </w:p>
    <w:p w14:paraId="140AB893" w14:textId="77777777" w:rsidR="004B2808" w:rsidRDefault="00000000">
      <w:pPr>
        <w:pStyle w:val="pheading"/>
      </w:pPr>
      <w:r>
        <w:t>DESCRIPTION</w:t>
      </w:r>
    </w:p>
    <w:p w14:paraId="7A579AD1" w14:textId="77777777" w:rsidR="004B2808" w:rsidRDefault="00000000">
      <w:pPr>
        <w:pStyle w:val="pheading"/>
      </w:pPr>
      <w:r>
        <w:t>- Définition / Comprend</w:t>
      </w:r>
    </w:p>
    <w:p w14:paraId="0DDB45B4" w14:textId="77777777" w:rsidR="004B2808" w:rsidRDefault="00000000">
      <w:pPr>
        <w:jc w:val="both"/>
      </w:pPr>
      <w:r>
        <w:t>Il s’agit de la fourniture et de la pose d’une isolation thermique au moyen de chanvre fourni et posé en vrac pour une application intérieure.</w:t>
      </w:r>
    </w:p>
    <w:p w14:paraId="300DD4F2" w14:textId="77777777" w:rsidR="004B2808" w:rsidRDefault="00000000">
      <w:pPr>
        <w:pStyle w:val="pheading"/>
      </w:pPr>
      <w:r>
        <w:t>- Localisation</w:t>
      </w:r>
    </w:p>
    <w:p w14:paraId="1DAF177E" w14:textId="77777777" w:rsidR="004B2808" w:rsidRDefault="00000000">
      <w:r>
        <w:t xml:space="preserve">Localisation des travaux : </w:t>
      </w:r>
      <w:r>
        <w:rPr>
          <w:rStyle w:val="optioncarChar"/>
        </w:rPr>
        <w:t>***</w:t>
      </w:r>
      <w:r>
        <w:t>.</w:t>
      </w:r>
    </w:p>
    <w:p w14:paraId="6124EC80" w14:textId="77777777" w:rsidR="004B2808" w:rsidRDefault="00000000">
      <w:r>
        <w:t>Voir plans et métrés détaillés.</w:t>
      </w:r>
    </w:p>
    <w:p w14:paraId="6091DF63" w14:textId="77777777" w:rsidR="004B2808" w:rsidRDefault="00000000">
      <w:pPr>
        <w:pStyle w:val="pheading"/>
      </w:pPr>
      <w:r>
        <w:t>MATÉRIAUX</w:t>
      </w:r>
    </w:p>
    <w:p w14:paraId="5733C097" w14:textId="77777777" w:rsidR="004B2808" w:rsidRDefault="00000000">
      <w:pPr>
        <w:pStyle w:val="pheading"/>
      </w:pPr>
      <w:r>
        <w:lastRenderedPageBreak/>
        <w:t>- Caractéristiques générales</w:t>
      </w:r>
    </w:p>
    <w:p w14:paraId="777042B5" w14:textId="77777777" w:rsidR="004B2808" w:rsidRDefault="00000000">
      <w:pPr>
        <w:jc w:val="both"/>
      </w:pPr>
      <w:r>
        <w:t xml:space="preserve">Le produit est constitué de chanvre : </w:t>
      </w:r>
      <w:r>
        <w:rPr>
          <w:rStyle w:val="optioncarChar"/>
        </w:rPr>
        <w:t>chènevotte</w:t>
      </w:r>
      <w:r>
        <w:t xml:space="preserve"> (par défaut) </w:t>
      </w:r>
      <w:r>
        <w:rPr>
          <w:rStyle w:val="optioncarChar"/>
        </w:rPr>
        <w:t>/ fibre de chanvre</w:t>
      </w:r>
      <w:r>
        <w:t xml:space="preserve"> conditionné en sacs.</w:t>
      </w:r>
    </w:p>
    <w:p w14:paraId="28BC2280" w14:textId="77777777" w:rsidR="004B2808" w:rsidRDefault="00000000">
      <w:pPr>
        <w:ind w:left="567"/>
        <w:jc w:val="both"/>
      </w:pPr>
      <w:r>
        <w:rPr>
          <w:b/>
          <w:i/>
        </w:rPr>
        <w:t>(Soit par défaut)</w:t>
      </w:r>
    </w:p>
    <w:p w14:paraId="54844F02" w14:textId="77777777" w:rsidR="004B2808" w:rsidRDefault="00000000">
      <w:pPr>
        <w:ind w:left="567"/>
        <w:jc w:val="both"/>
      </w:pPr>
      <w:r>
        <w:rPr>
          <w:rStyle w:val="soitChar"/>
          <w:b/>
          <w:u w:val="single"/>
        </w:rPr>
        <w:t>Chènevotte :</w:t>
      </w:r>
    </w:p>
    <w:p w14:paraId="72D7D6A4" w14:textId="77777777" w:rsidR="004B2808" w:rsidRDefault="00000000">
      <w:pPr>
        <w:ind w:left="567"/>
        <w:jc w:val="both"/>
      </w:pPr>
      <w:r>
        <w:rPr>
          <w:rStyle w:val="soitChar"/>
        </w:rPr>
        <w:t xml:space="preserve">Masse volumique nominale après mise en œuvre (selon [NBN EN 15101-2]) : supérieure ou égale à </w:t>
      </w:r>
      <w:r>
        <w:rPr>
          <w:rStyle w:val="optioncarChar"/>
        </w:rPr>
        <w:t xml:space="preserve">100 </w:t>
      </w:r>
      <w:r>
        <w:t xml:space="preserve">(par défaut) </w:t>
      </w:r>
      <w:r>
        <w:rPr>
          <w:rStyle w:val="optioncarChar"/>
        </w:rPr>
        <w:t>/ ***</w:t>
      </w:r>
      <w:r>
        <w:rPr>
          <w:rStyle w:val="soitChar"/>
        </w:rPr>
        <w:t xml:space="preserve"> kg/m³.</w:t>
      </w:r>
    </w:p>
    <w:p w14:paraId="5D524664" w14:textId="77777777" w:rsidR="004B2808" w:rsidRDefault="00000000">
      <w:pPr>
        <w:ind w:left="567"/>
        <w:jc w:val="both"/>
      </w:pPr>
      <w:r>
        <w:rPr>
          <w:rStyle w:val="soitChar"/>
        </w:rPr>
        <w:t xml:space="preserve">Conductivité thermique déclarée (selon [NBN EN 12667]) : inférieure ou égale à </w:t>
      </w:r>
      <w:r>
        <w:rPr>
          <w:rStyle w:val="optioncarChar"/>
        </w:rPr>
        <w:t xml:space="preserve">0,048 </w:t>
      </w:r>
      <w:r>
        <w:t>(par défaut)</w:t>
      </w:r>
      <w:r>
        <w:rPr>
          <w:rStyle w:val="optioncarChar"/>
        </w:rPr>
        <w:t xml:space="preserve"> / ***</w:t>
      </w:r>
      <w:r>
        <w:rPr>
          <w:rStyle w:val="soitChar"/>
        </w:rPr>
        <w:t xml:space="preserve"> W/mK.</w:t>
      </w:r>
    </w:p>
    <w:p w14:paraId="38634B10" w14:textId="77777777" w:rsidR="004B2808" w:rsidRDefault="00000000">
      <w:pPr>
        <w:ind w:left="567"/>
        <w:jc w:val="both"/>
      </w:pPr>
      <w:r>
        <w:rPr>
          <w:b/>
          <w:i/>
        </w:rPr>
        <w:t>(Soit)</w:t>
      </w:r>
    </w:p>
    <w:p w14:paraId="54436B65" w14:textId="77777777" w:rsidR="004B2808" w:rsidRDefault="00000000">
      <w:pPr>
        <w:ind w:left="567"/>
        <w:jc w:val="both"/>
      </w:pPr>
      <w:r>
        <w:rPr>
          <w:rStyle w:val="soitChar"/>
          <w:b/>
          <w:u w:val="single"/>
        </w:rPr>
        <w:t>Fibre de chanvre :</w:t>
      </w:r>
    </w:p>
    <w:p w14:paraId="397BDF94" w14:textId="77777777" w:rsidR="004B2808" w:rsidRDefault="00000000">
      <w:pPr>
        <w:ind w:left="567"/>
        <w:jc w:val="both"/>
      </w:pPr>
      <w:r>
        <w:rPr>
          <w:rStyle w:val="soitChar"/>
        </w:rPr>
        <w:t xml:space="preserve"> Masse volumique nominale après mise en œuvre (selon [NBN EN 15101-2]) : supérieure ou égale à </w:t>
      </w:r>
      <w:r>
        <w:rPr>
          <w:rStyle w:val="optioncarChar"/>
        </w:rPr>
        <w:t xml:space="preserve">50 </w:t>
      </w:r>
      <w:r>
        <w:t xml:space="preserve">(par défaut) </w:t>
      </w:r>
      <w:r>
        <w:rPr>
          <w:rStyle w:val="optioncarChar"/>
        </w:rPr>
        <w:t>/ ***</w:t>
      </w:r>
      <w:r>
        <w:rPr>
          <w:rStyle w:val="soitChar"/>
        </w:rPr>
        <w:t>kg/m³.</w:t>
      </w:r>
    </w:p>
    <w:p w14:paraId="603CFB18" w14:textId="77777777" w:rsidR="004B2808" w:rsidRDefault="00000000">
      <w:pPr>
        <w:ind w:left="567"/>
        <w:jc w:val="both"/>
      </w:pPr>
      <w:r>
        <w:rPr>
          <w:rStyle w:val="soitChar"/>
        </w:rPr>
        <w:t xml:space="preserve">Conductivité thermique déclarée (selon [NBN EN 12667]) : inférieure ou égale à </w:t>
      </w:r>
      <w:r>
        <w:rPr>
          <w:rStyle w:val="optioncarChar"/>
        </w:rPr>
        <w:t xml:space="preserve">0,040 </w:t>
      </w:r>
      <w:r>
        <w:t>(par défaut)</w:t>
      </w:r>
      <w:r>
        <w:rPr>
          <w:rStyle w:val="optioncarChar"/>
        </w:rPr>
        <w:t xml:space="preserve"> / ***</w:t>
      </w:r>
      <w:r>
        <w:rPr>
          <w:rStyle w:val="soitChar"/>
        </w:rPr>
        <w:t xml:space="preserve"> W/mK.</w:t>
      </w:r>
    </w:p>
    <w:p w14:paraId="1E79A8C1" w14:textId="77777777" w:rsidR="004B2808" w:rsidRDefault="00000000">
      <w:pPr>
        <w:jc w:val="both"/>
      </w:pPr>
      <w:r>
        <w:t xml:space="preserve">Épaisseur après mise en œuvre (selon [NBN EN 15101-2]) : </w:t>
      </w:r>
      <w:r>
        <w:rPr>
          <w:rStyle w:val="optioncarChar"/>
        </w:rPr>
        <w:t>***</w:t>
      </w:r>
      <w:r>
        <w:t xml:space="preserve"> cm.</w:t>
      </w:r>
    </w:p>
    <w:p w14:paraId="3C4BB035" w14:textId="77777777" w:rsidR="004B2808" w:rsidRDefault="00000000">
      <w:pPr>
        <w:jc w:val="both"/>
      </w:pPr>
      <w:r>
        <w:t xml:space="preserve">Les adjuvants ignifuges et biocides sont de type : </w:t>
      </w:r>
      <w:r>
        <w:rPr>
          <w:rStyle w:val="optioncarChar"/>
        </w:rPr>
        <w:t>pas d’adjuvant</w:t>
      </w:r>
      <w:r>
        <w:t xml:space="preserve"> (par défaut)</w:t>
      </w:r>
      <w:r>
        <w:rPr>
          <w:rStyle w:val="optioncarChar"/>
        </w:rPr>
        <w:t xml:space="preserve"> / sels de bore / sels d’ammonium / ***</w:t>
      </w:r>
      <w:r>
        <w:t xml:space="preserve">. Les adjuvants respectent le [Règlement 1907/2006/CE]. La concentration maximum des adjuvants est de </w:t>
      </w:r>
      <w:r>
        <w:rPr>
          <w:rStyle w:val="optioncarChar"/>
        </w:rPr>
        <w:t>4%</w:t>
      </w:r>
      <w:r>
        <w:t xml:space="preserve"> (par défaut) </w:t>
      </w:r>
      <w:r>
        <w:rPr>
          <w:rStyle w:val="optioncarChar"/>
        </w:rPr>
        <w:t>/ ***</w:t>
      </w:r>
      <w:r>
        <w:t>.</w:t>
      </w:r>
    </w:p>
    <w:p w14:paraId="3EB3AEA8" w14:textId="77777777" w:rsidR="004B2808" w:rsidRDefault="00000000">
      <w:pPr>
        <w:ind w:left="750"/>
      </w:pPr>
      <w:r>
        <w:t> </w:t>
      </w:r>
    </w:p>
    <w:p w14:paraId="0E402EDD" w14:textId="77777777" w:rsidR="004B2808" w:rsidRDefault="00000000">
      <w:pPr>
        <w:pStyle w:val="pheading"/>
      </w:pPr>
      <w:r>
        <w:t>- Prescriptions complémentaires</w:t>
      </w:r>
    </w:p>
    <w:p w14:paraId="4F5280DE" w14:textId="77777777" w:rsidR="004B2808" w:rsidRDefault="00000000">
      <w:pPr>
        <w:jc w:val="both"/>
      </w:pPr>
      <w:r>
        <w:rPr>
          <w:rStyle w:val="facultChar"/>
        </w:rPr>
        <w:t xml:space="preserve">Coefficient de résistance à la diffusion de vapeur d’eau – valeur μ (selon [NBN EN 12086]) : inférieure à </w:t>
      </w:r>
      <w:r>
        <w:rPr>
          <w:rStyle w:val="optioncarChar"/>
        </w:rPr>
        <w:t>2 / ***</w:t>
      </w:r>
      <w:r>
        <w:rPr>
          <w:rStyle w:val="facultChar"/>
        </w:rPr>
        <w:t>.</w:t>
      </w:r>
    </w:p>
    <w:p w14:paraId="2B26A169" w14:textId="77777777" w:rsidR="004B2808" w:rsidRDefault="00000000">
      <w:pPr>
        <w:jc w:val="both"/>
      </w:pPr>
      <w:r>
        <w:rPr>
          <w:rStyle w:val="facultChar"/>
        </w:rPr>
        <w:t xml:space="preserve">Capacité thermique : supérieure à </w:t>
      </w:r>
      <w:r>
        <w:rPr>
          <w:rStyle w:val="optioncarChar"/>
        </w:rPr>
        <w:t xml:space="preserve">2 </w:t>
      </w:r>
      <w:r>
        <w:t xml:space="preserve">(par défaut) </w:t>
      </w:r>
      <w:r>
        <w:rPr>
          <w:rStyle w:val="optioncarChar"/>
        </w:rPr>
        <w:t>/ ***</w:t>
      </w:r>
      <w:r>
        <w:rPr>
          <w:rStyle w:val="facultChar"/>
        </w:rPr>
        <w:t xml:space="preserve"> kJ/kg.K</w:t>
      </w:r>
    </w:p>
    <w:p w14:paraId="040B0E0B" w14:textId="77777777" w:rsidR="004B2808" w:rsidRDefault="00000000">
      <w:pPr>
        <w:jc w:val="both"/>
      </w:pPr>
      <w:r>
        <w:rPr>
          <w:rStyle w:val="facultChar"/>
        </w:rPr>
        <w:t xml:space="preserve">Résistance fongique (selon [NBN EN ISO 846]) : </w:t>
      </w:r>
      <w:r>
        <w:rPr>
          <w:rStyle w:val="optioncarChar"/>
        </w:rPr>
        <w:t>classe 0 (inerte)</w:t>
      </w:r>
      <w:r>
        <w:t xml:space="preserve"> (par défaut) </w:t>
      </w:r>
      <w:r>
        <w:rPr>
          <w:rStyle w:val="optioncarChar"/>
        </w:rPr>
        <w:t>/ ***</w:t>
      </w:r>
    </w:p>
    <w:p w14:paraId="372667C1" w14:textId="77777777" w:rsidR="004B2808" w:rsidRDefault="00000000">
      <w:pPr>
        <w:jc w:val="both"/>
      </w:pPr>
      <w:r>
        <w:rPr>
          <w:rStyle w:val="facultChar"/>
        </w:rPr>
        <w:t xml:space="preserve">Classement de la réaction au feu (selon [NBN EN 13501-1]) : </w:t>
      </w:r>
      <w:r>
        <w:rPr>
          <w:rStyle w:val="optioncarChar"/>
        </w:rPr>
        <w:t xml:space="preserve">C-s2; d0 </w:t>
      </w:r>
      <w:r>
        <w:t>(par défaut)</w:t>
      </w:r>
      <w:r>
        <w:rPr>
          <w:rStyle w:val="optioncarChar"/>
        </w:rPr>
        <w:t xml:space="preserve"> / ***</w:t>
      </w:r>
    </w:p>
    <w:p w14:paraId="576733F3" w14:textId="77777777" w:rsidR="004B2808" w:rsidRDefault="00000000">
      <w:pPr>
        <w:jc w:val="both"/>
      </w:pPr>
      <w:r>
        <w:rPr>
          <w:rStyle w:val="facultChar"/>
        </w:rPr>
        <w:t>Conformément au chapitre 02.42.4 Bois provenant de forêts gérées durablement, les tiges de chaumes utilisées disposent de documents prouvant qu’elles proviennent de cultures gérées durablement.</w:t>
      </w:r>
    </w:p>
    <w:p w14:paraId="2D40CD24" w14:textId="77777777" w:rsidR="004B2808" w:rsidRDefault="00000000">
      <w:pPr>
        <w:jc w:val="both"/>
      </w:pPr>
      <w:r>
        <w:rPr>
          <w:rStyle w:val="facultChar"/>
        </w:rPr>
        <w:t>Le matériau doit répondre aux critères d’acceptabilité des produits tels que définis dans le chapitre 02.42.1 Critères d'acceptabilité.</w:t>
      </w:r>
    </w:p>
    <w:p w14:paraId="2A0AAC15" w14:textId="77777777" w:rsidR="004B2808" w:rsidRDefault="00000000">
      <w:pPr>
        <w:pStyle w:val="pheading"/>
      </w:pPr>
      <w:r>
        <w:t>EXÉCUTION / MISE EN ŒUVRE</w:t>
      </w:r>
    </w:p>
    <w:p w14:paraId="76785879" w14:textId="77777777" w:rsidR="004B2808" w:rsidRDefault="00000000">
      <w:pPr>
        <w:pStyle w:val="pheading"/>
      </w:pPr>
      <w:r>
        <w:t>- Prescriptions générales</w:t>
      </w:r>
    </w:p>
    <w:p w14:paraId="01E718AA" w14:textId="77777777" w:rsidR="004B2808" w:rsidRDefault="00000000">
      <w:pPr>
        <w:jc w:val="both"/>
      </w:pPr>
      <w:r>
        <w:t>La matière première est livrée sur chantier au plus près de la date d’application. Elle est stockée à l'abri des intempéries et dans un local sec.</w:t>
      </w:r>
    </w:p>
    <w:p w14:paraId="19A9EB3B" w14:textId="77777777" w:rsidR="004B2808" w:rsidRDefault="00000000">
      <w:pPr>
        <w:jc w:val="both"/>
      </w:pPr>
      <w:r>
        <w:t xml:space="preserve">Le versement de chanvre est réalisé directement sur l’élément à isoler </w:t>
      </w:r>
      <w:r>
        <w:rPr>
          <w:rStyle w:val="optioncarChar"/>
        </w:rPr>
        <w:t xml:space="preserve">en une couche unique </w:t>
      </w:r>
      <w:r>
        <w:t> (par défaut)</w:t>
      </w:r>
      <w:r>
        <w:rPr>
          <w:rStyle w:val="optioncarChar"/>
        </w:rPr>
        <w:t xml:space="preserve"> / par couche de 20 / ***</w:t>
      </w:r>
      <w:r>
        <w:t xml:space="preserve"> cm. La couche est obtenue </w:t>
      </w:r>
      <w:r>
        <w:rPr>
          <w:rStyle w:val="optioncarChar"/>
        </w:rPr>
        <w:t xml:space="preserve">sans tassement </w:t>
      </w:r>
      <w:r>
        <w:t>(par défaut)</w:t>
      </w:r>
      <w:r>
        <w:rPr>
          <w:rStyle w:val="optioncarChar"/>
        </w:rPr>
        <w:t xml:space="preserve"> / par tassement manuel / ***.</w:t>
      </w:r>
    </w:p>
    <w:p w14:paraId="26B1F620" w14:textId="77777777" w:rsidR="004B2808" w:rsidRDefault="00000000">
      <w:pPr>
        <w:jc w:val="both"/>
      </w:pPr>
      <w:r>
        <w:t>La mise en œuvre de l’isolation est conforme à la [NIT 233] pour les cloisons et parois de séparation et à la [NIT 232] pour les plafonds.</w:t>
      </w:r>
    </w:p>
    <w:p w14:paraId="143C033E" w14:textId="77777777" w:rsidR="004B2808" w:rsidRDefault="00000000">
      <w:pPr>
        <w:jc w:val="both"/>
      </w:pPr>
      <w:r>
        <w:t>L’élément caisson destiné à être rempli est réalisé sous forme de module fermé.</w:t>
      </w:r>
    </w:p>
    <w:p w14:paraId="5D551E4A" w14:textId="77777777" w:rsidR="004B2808" w:rsidRDefault="00000000">
      <w:pPr>
        <w:jc w:val="both"/>
      </w:pPr>
      <w:r>
        <w:t>L’applicateur doit s’assurer que les canalisations électriques posées dans les vides de construction sont placées sous conduit non propagateur de la flamme.</w:t>
      </w:r>
    </w:p>
    <w:p w14:paraId="2577E2A3" w14:textId="77777777" w:rsidR="004B2808" w:rsidRDefault="00000000">
      <w:pPr>
        <w:jc w:val="both"/>
      </w:pPr>
      <w:r>
        <w:t>L’isolant ne doit jamais être mis en contact direct avec les dispositifs d’éclairage encastrés.</w:t>
      </w:r>
    </w:p>
    <w:p w14:paraId="033E5452" w14:textId="77777777" w:rsidR="004B2808" w:rsidRDefault="00000000">
      <w:pPr>
        <w:jc w:val="both"/>
      </w:pPr>
      <w:r>
        <w:lastRenderedPageBreak/>
        <w:t>Ce matériau ne peut être mis en œuvre au-dessus de locaux à forte hygrométrie (classe de climat intérieur 4 voire 3).</w:t>
      </w:r>
    </w:p>
    <w:p w14:paraId="09357DBF" w14:textId="77777777" w:rsidR="004B2808" w:rsidRDefault="00000000">
      <w:pPr>
        <w:pStyle w:val="pheading"/>
      </w:pPr>
      <w:r>
        <w:t>DOCUMENTS DE RÉFÉRENCE COMPLÉMENTAIRES</w:t>
      </w:r>
    </w:p>
    <w:p w14:paraId="6425C574" w14:textId="77777777" w:rsidR="004B2808" w:rsidRDefault="00000000">
      <w:pPr>
        <w:pStyle w:val="pheading"/>
      </w:pPr>
      <w:r>
        <w:t>- Matériau</w:t>
      </w:r>
    </w:p>
    <w:p w14:paraId="1814E566" w14:textId="77777777" w:rsidR="004B2808" w:rsidRDefault="00000000">
      <w:r>
        <w:t>[NBN EN 15101-2, Produits isolants thermiques destinés aux applications du bâtiment - Isolation thermique formée en place à base de cellulose (LFCI) - Partie 2: Spécifications des produits mis en œuvre] </w:t>
      </w:r>
    </w:p>
    <w:p w14:paraId="74B144AE" w14:textId="77777777" w:rsidR="004B2808"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4FA4C41E" w14:textId="77777777" w:rsidR="004B2808" w:rsidRDefault="00000000">
      <w:r>
        <w:t>[NBN EN 12086, Produits isolants thermiques destinés aux applications du bâtiment - Détermination des propriétés de transmission de la vapeur d'eau]</w:t>
      </w:r>
    </w:p>
    <w:p w14:paraId="7F0484F1" w14:textId="77777777" w:rsidR="004B2808" w:rsidRDefault="00000000">
      <w:r>
        <w:t>[NBN EN ISO 846, Plastiques - Évaluation de l'action des micro-organismes (ISO 846:2019)]</w:t>
      </w:r>
    </w:p>
    <w:p w14:paraId="6B6D0DC8" w14:textId="77777777" w:rsidR="004B2808" w:rsidRDefault="00000000">
      <w:r>
        <w:t>[NBN EN 13501-1, Classement au feu des produits et éléments de construction - Partie 1: Classement à partir des données d'essais de réaction au feu]</w:t>
      </w:r>
    </w:p>
    <w:p w14:paraId="51B691CA" w14:textId="77777777" w:rsidR="004B2808" w:rsidRDefault="00000000">
      <w:pPr>
        <w:pStyle w:val="pheading"/>
      </w:pPr>
      <w:r>
        <w:t>- Exécution</w:t>
      </w:r>
    </w:p>
    <w:p w14:paraId="6403CE05" w14:textId="77777777" w:rsidR="004B2808" w:rsidRDefault="00000000">
      <w:r>
        <w:t>[NIT 233, Les cloisons légères.]</w:t>
      </w:r>
    </w:p>
    <w:p w14:paraId="01037547" w14:textId="77777777" w:rsidR="004B2808" w:rsidRDefault="00000000">
      <w:r>
        <w:t>[NIT 232, Les plafonds suspendus.]</w:t>
      </w:r>
    </w:p>
    <w:p w14:paraId="7CB6E800" w14:textId="77777777" w:rsidR="004B2808" w:rsidRDefault="00000000">
      <w:r>
        <w:t>[NBN EN 13501-1, Classement au feu des produits et éléments de construction - Partie 1: Classement à partir des données d'essais de réaction au feu]</w:t>
      </w:r>
    </w:p>
    <w:p w14:paraId="0FEF4596" w14:textId="77777777" w:rsidR="004B2808" w:rsidRDefault="00000000">
      <w:r>
        <w:t>[NBN EN 15287-1, Conduits de fumée - Conception, installation et mise en service - Partie 1: Conduits de fumée et conduits de raccordement pour appareils de combustion qui prélèvent l’air comburant dans la pièce]</w:t>
      </w:r>
    </w:p>
    <w:p w14:paraId="694D34A0" w14:textId="77777777" w:rsidR="004B2808" w:rsidRDefault="00000000">
      <w:r>
        <w:t>[NBN EN 15287-2, Conduits de fumée - Conception, installation et mise en service - Partie 2 : Conduits de fumée et conduits de raccordement pour appareils de combustion à circuit étanche]</w:t>
      </w:r>
    </w:p>
    <w:p w14:paraId="51E8D39D" w14:textId="77777777" w:rsidR="004B2808" w:rsidRDefault="00000000">
      <w:pPr>
        <w:pStyle w:val="pheading"/>
      </w:pPr>
      <w:r>
        <w:t>MESURAGE</w:t>
      </w:r>
    </w:p>
    <w:p w14:paraId="6C0B00AE" w14:textId="77777777" w:rsidR="004B2808" w:rsidRDefault="00000000">
      <w:pPr>
        <w:pStyle w:val="pheading"/>
      </w:pPr>
      <w:r>
        <w:t>- unité de mesure:</w:t>
      </w:r>
    </w:p>
    <w:p w14:paraId="7D25FA75" w14:textId="77777777" w:rsidR="004B2808" w:rsidRDefault="00000000">
      <w:r>
        <w:rPr>
          <w:rStyle w:val="optioncarChar"/>
        </w:rPr>
        <w:t>m²</w:t>
      </w:r>
      <w:r>
        <w:t xml:space="preserve"> (par défaut) </w:t>
      </w:r>
      <w:r>
        <w:rPr>
          <w:rStyle w:val="optioncarChar"/>
        </w:rPr>
        <w:t>/ m³</w:t>
      </w:r>
    </w:p>
    <w:p w14:paraId="35066665" w14:textId="77777777" w:rsidR="004B2808" w:rsidRDefault="00000000">
      <w:r>
        <w:rPr>
          <w:b/>
          <w:i/>
        </w:rPr>
        <w:t>(Soit par défaut)</w:t>
      </w:r>
    </w:p>
    <w:p w14:paraId="51930F53" w14:textId="77777777" w:rsidR="004B2808" w:rsidRDefault="00000000">
      <w:r>
        <w:rPr>
          <w:rStyle w:val="soitChar"/>
        </w:rPr>
        <w:t>1.  m²</w:t>
      </w:r>
    </w:p>
    <w:p w14:paraId="11BFCCCE" w14:textId="77777777" w:rsidR="004B2808" w:rsidRDefault="00000000">
      <w:r>
        <w:rPr>
          <w:b/>
          <w:i/>
        </w:rPr>
        <w:t>(Soit)</w:t>
      </w:r>
    </w:p>
    <w:p w14:paraId="0620B2A9" w14:textId="77777777" w:rsidR="004B2808" w:rsidRDefault="00000000">
      <w:r>
        <w:rPr>
          <w:rStyle w:val="soitChar"/>
        </w:rPr>
        <w:t>2.   m³</w:t>
      </w:r>
    </w:p>
    <w:p w14:paraId="2F72BD3C" w14:textId="77777777" w:rsidR="004B2808" w:rsidRDefault="00000000">
      <w:pPr>
        <w:pStyle w:val="pheading"/>
      </w:pPr>
      <w:r>
        <w:t>- code de mesurage:</w:t>
      </w:r>
    </w:p>
    <w:p w14:paraId="5FD27758" w14:textId="77777777" w:rsidR="004B2808" w:rsidRDefault="00000000">
      <w:pPr>
        <w:jc w:val="both"/>
      </w:pPr>
      <w:r>
        <w:rPr>
          <w:rStyle w:val="optioncarChar"/>
        </w:rPr>
        <w:t>Surface nette</w:t>
      </w:r>
      <w:r>
        <w:t xml:space="preserve"> (par défaut) </w:t>
      </w:r>
      <w:r>
        <w:rPr>
          <w:rStyle w:val="optioncarChar"/>
        </w:rPr>
        <w:t>/ Volume net</w:t>
      </w:r>
    </w:p>
    <w:p w14:paraId="28394EED" w14:textId="77777777" w:rsidR="004B2808" w:rsidRDefault="00000000">
      <w:pPr>
        <w:jc w:val="both"/>
      </w:pPr>
      <w:r>
        <w:rPr>
          <w:b/>
          <w:i/>
        </w:rPr>
        <w:t>(Soit par défaut)</w:t>
      </w:r>
    </w:p>
    <w:p w14:paraId="3995996A" w14:textId="77777777" w:rsidR="004B2808" w:rsidRDefault="00000000">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inférieures à 0.5 m² ne sont pas déduites. Distinction faite suivant l'épaisseur.</w:t>
      </w:r>
    </w:p>
    <w:p w14:paraId="3B2B3DA4" w14:textId="77777777" w:rsidR="004B2808" w:rsidRDefault="00000000">
      <w:pPr>
        <w:jc w:val="both"/>
      </w:pPr>
      <w:r>
        <w:rPr>
          <w:b/>
          <w:i/>
        </w:rPr>
        <w:t>(Soit)</w:t>
      </w:r>
    </w:p>
    <w:p w14:paraId="04E89705" w14:textId="77777777" w:rsidR="004B2808" w:rsidRDefault="00000000">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 prescrite.</w:t>
      </w:r>
    </w:p>
    <w:p w14:paraId="69F65782" w14:textId="77777777" w:rsidR="004B2808" w:rsidRDefault="00000000">
      <w:pPr>
        <w:pStyle w:val="pheading"/>
      </w:pPr>
      <w:r>
        <w:t>- nature du marché:</w:t>
      </w:r>
    </w:p>
    <w:p w14:paraId="2A87F503" w14:textId="77777777" w:rsidR="004B2808" w:rsidRDefault="00000000">
      <w:r>
        <w:lastRenderedPageBreak/>
        <w:t>QF</w:t>
      </w:r>
    </w:p>
    <w:p w14:paraId="3CCF4550" w14:textId="77777777" w:rsidR="004B2808" w:rsidRDefault="00000000">
      <w:pPr>
        <w:pStyle w:val="Author-eSectionHeading6Numberless"/>
      </w:pPr>
      <w:bookmarkStart w:id="503" w:name="_Toc220490678"/>
      <w:r>
        <w:t>52.46.3f Isolation à verser en vrac - fibres de coco CCTB 01.12</w:t>
      </w:r>
      <w:bookmarkEnd w:id="503"/>
    </w:p>
    <w:p w14:paraId="76A2E401" w14:textId="77777777" w:rsidR="004B2808" w:rsidRDefault="00000000">
      <w:pPr>
        <w:pStyle w:val="pheading"/>
      </w:pPr>
      <w:r>
        <w:t>DESCRIPTION</w:t>
      </w:r>
    </w:p>
    <w:p w14:paraId="6211E150" w14:textId="77777777" w:rsidR="004B2808" w:rsidRDefault="00000000">
      <w:pPr>
        <w:pStyle w:val="pheading"/>
      </w:pPr>
      <w:r>
        <w:t>- Définition / Comprend</w:t>
      </w:r>
    </w:p>
    <w:p w14:paraId="62FDAA14" w14:textId="77777777" w:rsidR="004B2808" w:rsidRDefault="00000000">
      <w:pPr>
        <w:jc w:val="both"/>
      </w:pPr>
      <w:r>
        <w:t>Il s’agit de la fourniture et la pose d’une isolation thermique à verser en vrac de fibres de coco pour une application intérieure.</w:t>
      </w:r>
    </w:p>
    <w:p w14:paraId="3872B04F" w14:textId="77777777" w:rsidR="004B2808" w:rsidRDefault="00000000">
      <w:pPr>
        <w:pStyle w:val="pheading"/>
      </w:pPr>
      <w:r>
        <w:t>- Localisation</w:t>
      </w:r>
    </w:p>
    <w:p w14:paraId="22E2A7E2" w14:textId="77777777" w:rsidR="004B2808" w:rsidRDefault="00000000">
      <w:r>
        <w:t xml:space="preserve">Localisation des travaux : </w:t>
      </w:r>
      <w:r>
        <w:rPr>
          <w:rStyle w:val="optioncarChar"/>
        </w:rPr>
        <w:t>***</w:t>
      </w:r>
      <w:r>
        <w:t>.</w:t>
      </w:r>
    </w:p>
    <w:p w14:paraId="6C4F5321" w14:textId="77777777" w:rsidR="004B2808" w:rsidRDefault="00000000">
      <w:r>
        <w:t>Voir plans et métrés détaillés.</w:t>
      </w:r>
    </w:p>
    <w:p w14:paraId="3A350483" w14:textId="77777777" w:rsidR="004B2808" w:rsidRDefault="00000000">
      <w:pPr>
        <w:pStyle w:val="pheading"/>
      </w:pPr>
      <w:r>
        <w:t>MATÉRIAUX</w:t>
      </w:r>
    </w:p>
    <w:p w14:paraId="1EFAE23E" w14:textId="77777777" w:rsidR="004B2808" w:rsidRDefault="00000000">
      <w:pPr>
        <w:pStyle w:val="pheading"/>
      </w:pPr>
      <w:r>
        <w:t>- Caractéristiques générales</w:t>
      </w:r>
    </w:p>
    <w:p w14:paraId="19C63766" w14:textId="77777777" w:rsidR="004B2808" w:rsidRDefault="00000000">
      <w:pPr>
        <w:jc w:val="both"/>
      </w:pPr>
      <w:r>
        <w:t>Le produit est constitué de fibres de coco. Le produit est conditionné en sacs.</w:t>
      </w:r>
    </w:p>
    <w:p w14:paraId="6447F37B" w14:textId="77777777" w:rsidR="004B2808" w:rsidRDefault="00000000">
      <w:pPr>
        <w:jc w:val="both"/>
      </w:pPr>
      <w:r>
        <w:t xml:space="preserve">Épaisseur après mise en œuvre (selon [NBN EN 15101-2]) : </w:t>
      </w:r>
      <w:r>
        <w:rPr>
          <w:rStyle w:val="optioncarChar"/>
        </w:rPr>
        <w:t>***</w:t>
      </w:r>
      <w:r>
        <w:t xml:space="preserve"> cm.</w:t>
      </w:r>
    </w:p>
    <w:p w14:paraId="3754B510" w14:textId="77777777" w:rsidR="004B2808" w:rsidRDefault="00000000">
      <w:pPr>
        <w:jc w:val="both"/>
      </w:pPr>
      <w:r>
        <w:t xml:space="preserve">Masse volumique nominale après mise en œuvre (selon [NBN EN 15101-2]) : </w:t>
      </w:r>
      <w:r>
        <w:rPr>
          <w:rStyle w:val="optioncarChar"/>
        </w:rPr>
        <w:t>40</w:t>
      </w:r>
      <w:r>
        <w:t xml:space="preserve"> (par défaut)</w:t>
      </w:r>
      <w:r>
        <w:rPr>
          <w:rStyle w:val="optioncarChar"/>
        </w:rPr>
        <w:t xml:space="preserve"> / ***</w:t>
      </w:r>
      <w:r>
        <w:t xml:space="preserve"> kg/m³.</w:t>
      </w:r>
    </w:p>
    <w:p w14:paraId="47B2F88F" w14:textId="77777777" w:rsidR="004B2808" w:rsidRDefault="00000000">
      <w:pPr>
        <w:jc w:val="both"/>
      </w:pPr>
      <w:r>
        <w:t xml:space="preserve">Conductivité thermique déclarée (selon [NBN EN 12667]) : </w:t>
      </w:r>
      <w:r>
        <w:rPr>
          <w:rStyle w:val="optioncarChar"/>
        </w:rPr>
        <w:t>0,05</w:t>
      </w:r>
      <w:r>
        <w:t xml:space="preserve"> (par défaut)</w:t>
      </w:r>
      <w:r>
        <w:rPr>
          <w:rStyle w:val="optioncarChar"/>
        </w:rPr>
        <w:t xml:space="preserve"> / ***</w:t>
      </w:r>
      <w:r>
        <w:t xml:space="preserve"> W/mK.</w:t>
      </w:r>
    </w:p>
    <w:p w14:paraId="37F6664F" w14:textId="77777777" w:rsidR="004B2808" w:rsidRDefault="00000000">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le [Règlement 1907/2006/CE]. La concentration maximum des adjuvants est de </w:t>
      </w:r>
      <w:r>
        <w:rPr>
          <w:rStyle w:val="optioncarChar"/>
        </w:rPr>
        <w:t xml:space="preserve">4% </w:t>
      </w:r>
      <w:r>
        <w:t>(par défaut)</w:t>
      </w:r>
      <w:r>
        <w:rPr>
          <w:rStyle w:val="optioncarChar"/>
        </w:rPr>
        <w:t xml:space="preserve"> / ***</w:t>
      </w:r>
      <w:r>
        <w:t>.</w:t>
      </w:r>
    </w:p>
    <w:p w14:paraId="02BFAECF" w14:textId="77777777" w:rsidR="004B2808" w:rsidRDefault="00000000">
      <w:pPr>
        <w:ind w:left="750"/>
      </w:pPr>
      <w:r>
        <w:t> </w:t>
      </w:r>
    </w:p>
    <w:p w14:paraId="0EA1E0F7" w14:textId="77777777" w:rsidR="004B2808" w:rsidRDefault="00000000">
      <w:pPr>
        <w:pStyle w:val="pheading"/>
      </w:pPr>
      <w:r>
        <w:t>- Prescriptions complémentaires</w:t>
      </w:r>
    </w:p>
    <w:p w14:paraId="73402C30" w14:textId="77777777" w:rsidR="004B2808" w:rsidRDefault="00000000">
      <w:pPr>
        <w:jc w:val="both"/>
      </w:pPr>
      <w:r>
        <w:rPr>
          <w:rStyle w:val="facultChar"/>
        </w:rPr>
        <w:t xml:space="preserve">Coefficient de résistance à la diffusion de vapeur d’eau – valeur μ (selon [NBN EN 12086]) : </w:t>
      </w:r>
      <w:r>
        <w:rPr>
          <w:rStyle w:val="optioncarChar"/>
        </w:rPr>
        <w:t xml:space="preserve">&lt; 2 </w:t>
      </w:r>
      <w:r>
        <w:t>(par défaut)</w:t>
      </w:r>
      <w:r>
        <w:rPr>
          <w:rStyle w:val="optioncarChar"/>
        </w:rPr>
        <w:t xml:space="preserve"> / ***</w:t>
      </w:r>
      <w:r>
        <w:rPr>
          <w:rStyle w:val="facultChar"/>
        </w:rPr>
        <w:t>.</w:t>
      </w:r>
    </w:p>
    <w:p w14:paraId="7FEC10B7" w14:textId="77777777" w:rsidR="004B2808" w:rsidRDefault="00000000">
      <w:pPr>
        <w:jc w:val="both"/>
      </w:pPr>
      <w:r>
        <w:rPr>
          <w:rStyle w:val="facultChar"/>
        </w:rPr>
        <w:t xml:space="preserve">Résistance fongique (selon [NBN EN ISO 846]) : </w:t>
      </w:r>
      <w:r>
        <w:rPr>
          <w:rStyle w:val="optioncarChar"/>
        </w:rPr>
        <w:t>classe 0 (inerte)</w:t>
      </w:r>
      <w:r>
        <w:t xml:space="preserve"> (par défaut) </w:t>
      </w:r>
      <w:r>
        <w:rPr>
          <w:rStyle w:val="optioncarChar"/>
        </w:rPr>
        <w:t>/ ***.</w:t>
      </w:r>
    </w:p>
    <w:p w14:paraId="1E4A303F" w14:textId="77777777" w:rsidR="004B2808" w:rsidRDefault="00000000">
      <w:pPr>
        <w:jc w:val="both"/>
      </w:pPr>
      <w:r>
        <w:rPr>
          <w:rStyle w:val="facultChar"/>
        </w:rPr>
        <w:t>Classement de la réaction au feu (selon [NBN EN 13501-1]) :</w:t>
      </w:r>
      <w:r>
        <w:rPr>
          <w:rStyle w:val="optioncarChar"/>
        </w:rPr>
        <w:t xml:space="preserve"> E</w:t>
      </w:r>
      <w:r>
        <w:t xml:space="preserve"> (par défaut) </w:t>
      </w:r>
      <w:r>
        <w:rPr>
          <w:rStyle w:val="optioncarChar"/>
        </w:rPr>
        <w:t>/ ***.</w:t>
      </w:r>
    </w:p>
    <w:p w14:paraId="1F29ACCB" w14:textId="77777777" w:rsidR="004B2808" w:rsidRDefault="00000000">
      <w:pPr>
        <w:pStyle w:val="pheading"/>
      </w:pPr>
      <w:r>
        <w:t>EXÉCUTION / MISE EN ŒUVRE</w:t>
      </w:r>
    </w:p>
    <w:p w14:paraId="1CD69B4D" w14:textId="77777777" w:rsidR="004B2808" w:rsidRDefault="00000000">
      <w:pPr>
        <w:pStyle w:val="pheading"/>
      </w:pPr>
      <w:r>
        <w:t>- Prescriptions générales</w:t>
      </w:r>
    </w:p>
    <w:p w14:paraId="70108B3F" w14:textId="77777777" w:rsidR="004B2808" w:rsidRDefault="00000000">
      <w:pPr>
        <w:jc w:val="both"/>
      </w:pPr>
      <w:r>
        <w:t>Les fibres de coco en vrac sont utilisées en parois et plancher.</w:t>
      </w:r>
    </w:p>
    <w:p w14:paraId="45BAEB85" w14:textId="77777777" w:rsidR="004B2808" w:rsidRDefault="00000000">
      <w:pPr>
        <w:jc w:val="both"/>
      </w:pPr>
      <w:r>
        <w:t xml:space="preserve">Lors de la mise en œuvre, les fibres de coco sont appliquées </w:t>
      </w:r>
      <w:r>
        <w:rPr>
          <w:rStyle w:val="optioncarChar"/>
        </w:rPr>
        <w:t xml:space="preserve">sans compaction </w:t>
      </w:r>
      <w:r>
        <w:t>(par défaut)</w:t>
      </w:r>
      <w:r>
        <w:rPr>
          <w:rStyle w:val="optioncarChar"/>
        </w:rPr>
        <w:t xml:space="preserve"> / en compaction manuelle / par vibration (aiguille vibrante) / ***</w:t>
      </w:r>
      <w:r>
        <w:t>.</w:t>
      </w:r>
    </w:p>
    <w:p w14:paraId="2EEA1C11" w14:textId="77777777" w:rsidR="004B2808" w:rsidRDefault="00000000">
      <w:pPr>
        <w:pStyle w:val="pheading"/>
      </w:pPr>
      <w:r>
        <w:t>DOCUMENTS DE RÉFÉRENCE COMPLÉMENTAIRES</w:t>
      </w:r>
    </w:p>
    <w:p w14:paraId="66438E57" w14:textId="77777777" w:rsidR="004B2808" w:rsidRDefault="00000000">
      <w:pPr>
        <w:pStyle w:val="pheading"/>
      </w:pPr>
      <w:r>
        <w:t>- Matériau</w:t>
      </w:r>
    </w:p>
    <w:p w14:paraId="48B89B76" w14:textId="77777777" w:rsidR="004B2808" w:rsidRDefault="00000000">
      <w:r>
        <w:t>[NBN EN 15101-2, Produits isolants thermiques destinés aux applications du bâtiment - Isolation thermique formée en place à base de cellulose (LFCI) - Partie 2: Spécifications des produits mis en œuvre]</w:t>
      </w:r>
    </w:p>
    <w:p w14:paraId="6D30E15F" w14:textId="77777777" w:rsidR="004B2808"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0742DBBF" w14:textId="77777777" w:rsidR="004B2808" w:rsidRDefault="00000000">
      <w:r>
        <w:t>[NBN EN 12086, Produits isolants thermiques destinés aux applications du bâtiment - Détermination des propriétés de transmission de la vapeur d'eau] </w:t>
      </w:r>
    </w:p>
    <w:p w14:paraId="2AF4E6F6" w14:textId="77777777" w:rsidR="004B2808" w:rsidRDefault="00000000">
      <w:r>
        <w:t>[NBN EN ISO 846, Plastiques - Évaluation de l'action des micro-organismes (ISO 846:2019)] </w:t>
      </w:r>
    </w:p>
    <w:p w14:paraId="104D242B" w14:textId="77777777" w:rsidR="004B2808" w:rsidRDefault="00000000">
      <w:r>
        <w:lastRenderedPageBreak/>
        <w:t>[NBN EN 13501-1, Classement au feu des produits et éléments de construction - Partie 1: Classement à partir des données d'essais de réaction au feu]</w:t>
      </w:r>
    </w:p>
    <w:p w14:paraId="7A712CF5" w14:textId="77777777" w:rsidR="004B2808" w:rsidRDefault="00000000">
      <w:pPr>
        <w:pStyle w:val="pheading"/>
      </w:pPr>
      <w:r>
        <w:t>- Exécution</w:t>
      </w:r>
    </w:p>
    <w:p w14:paraId="62D69AB4" w14:textId="77777777" w:rsidR="004B2808" w:rsidRDefault="00000000">
      <w:r>
        <w:t>[NBN EN 13501-1, Classement au feu des produits et éléments de construction - Partie 1: Classement à partir des données d'essais de réaction au feu]</w:t>
      </w:r>
    </w:p>
    <w:p w14:paraId="5DF9D437" w14:textId="77777777" w:rsidR="004B2808" w:rsidRDefault="00000000">
      <w:pPr>
        <w:pStyle w:val="pheading"/>
      </w:pPr>
      <w:r>
        <w:t>MESURAGE</w:t>
      </w:r>
    </w:p>
    <w:p w14:paraId="544F203D" w14:textId="77777777" w:rsidR="004B2808" w:rsidRDefault="00000000">
      <w:pPr>
        <w:pStyle w:val="pheading"/>
      </w:pPr>
      <w:r>
        <w:t>- unité de mesure:</w:t>
      </w:r>
    </w:p>
    <w:p w14:paraId="7A94B154" w14:textId="77777777" w:rsidR="004B2808" w:rsidRDefault="00000000">
      <w:r>
        <w:rPr>
          <w:rStyle w:val="optioncarChar"/>
        </w:rPr>
        <w:t xml:space="preserve">m² </w:t>
      </w:r>
      <w:r>
        <w:t xml:space="preserve">(par défaut) </w:t>
      </w:r>
      <w:r>
        <w:rPr>
          <w:rStyle w:val="optioncarChar"/>
        </w:rPr>
        <w:t>/ m³</w:t>
      </w:r>
    </w:p>
    <w:p w14:paraId="3563D64F" w14:textId="77777777" w:rsidR="004B2808" w:rsidRDefault="00000000">
      <w:r>
        <w:rPr>
          <w:b/>
          <w:i/>
        </w:rPr>
        <w:t>(Soit par défaut)</w:t>
      </w:r>
    </w:p>
    <w:p w14:paraId="522152AA" w14:textId="77777777" w:rsidR="004B2808" w:rsidRDefault="00000000">
      <w:r>
        <w:rPr>
          <w:rStyle w:val="soitChar"/>
        </w:rPr>
        <w:t>1.  m²</w:t>
      </w:r>
    </w:p>
    <w:p w14:paraId="636D25E9" w14:textId="77777777" w:rsidR="004B2808" w:rsidRDefault="00000000">
      <w:r>
        <w:rPr>
          <w:b/>
          <w:i/>
        </w:rPr>
        <w:t>(Soit)</w:t>
      </w:r>
    </w:p>
    <w:p w14:paraId="6D5459E5" w14:textId="77777777" w:rsidR="004B2808" w:rsidRDefault="00000000">
      <w:r>
        <w:rPr>
          <w:rStyle w:val="soitChar"/>
        </w:rPr>
        <w:t>2.  m³</w:t>
      </w:r>
    </w:p>
    <w:p w14:paraId="5809A8DD" w14:textId="77777777" w:rsidR="004B2808" w:rsidRDefault="00000000">
      <w:pPr>
        <w:pStyle w:val="pheading"/>
      </w:pPr>
      <w:r>
        <w:t>- code de mesurage:</w:t>
      </w:r>
    </w:p>
    <w:p w14:paraId="05A01E19" w14:textId="77777777" w:rsidR="004B2808" w:rsidRDefault="00000000">
      <w:pPr>
        <w:jc w:val="both"/>
      </w:pPr>
      <w:r>
        <w:rPr>
          <w:rStyle w:val="optioncarChar"/>
        </w:rPr>
        <w:t xml:space="preserve">Surface nette </w:t>
      </w:r>
      <w:r>
        <w:t xml:space="preserve">(par défaut) </w:t>
      </w:r>
      <w:r>
        <w:rPr>
          <w:rStyle w:val="optioncarChar"/>
        </w:rPr>
        <w:t>/ Volume net</w:t>
      </w:r>
    </w:p>
    <w:p w14:paraId="6AAF6990" w14:textId="77777777" w:rsidR="004B2808" w:rsidRDefault="00000000">
      <w:pPr>
        <w:jc w:val="both"/>
      </w:pPr>
      <w:r>
        <w:rPr>
          <w:b/>
          <w:i/>
        </w:rPr>
        <w:t>(Soit par défaut)</w:t>
      </w:r>
    </w:p>
    <w:p w14:paraId="6671BA43" w14:textId="77777777" w:rsidR="004B2808" w:rsidRDefault="00000000">
      <w:pPr>
        <w:jc w:val="both"/>
      </w:pPr>
      <w:r>
        <w:rPr>
          <w:rStyle w:val="soitChar"/>
        </w:rPr>
        <w:t xml:space="preserve">1. </w:t>
      </w:r>
      <w:r>
        <w:rPr>
          <w:rStyle w:val="soitChar"/>
          <w:b/>
        </w:rPr>
        <w:t>Surface nette</w:t>
      </w:r>
      <w:r>
        <w:rPr>
          <w:rStyle w:val="soitChar"/>
        </w:rPr>
        <w:t xml:space="preserve"> de la toiture, sans déduction des éléments de structure interposés (chevrons, fermes). Les réservations inférieures à 0.5 m² ne sont pas déduites. Distinction faite suivant l’épaisseur et la densité prescrites.</w:t>
      </w:r>
    </w:p>
    <w:p w14:paraId="34038D55" w14:textId="77777777" w:rsidR="004B2808" w:rsidRDefault="004B2808">
      <w:pPr>
        <w:jc w:val="both"/>
      </w:pPr>
    </w:p>
    <w:p w14:paraId="0751CC6D" w14:textId="77777777" w:rsidR="004B2808" w:rsidRDefault="00000000">
      <w:pPr>
        <w:jc w:val="both"/>
      </w:pPr>
      <w:r>
        <w:rPr>
          <w:b/>
          <w:i/>
        </w:rPr>
        <w:t>(Soit)</w:t>
      </w:r>
    </w:p>
    <w:p w14:paraId="681C1D34" w14:textId="77777777" w:rsidR="004B2808" w:rsidRDefault="00000000">
      <w:pPr>
        <w:jc w:val="both"/>
      </w:pPr>
      <w:r>
        <w:rPr>
          <w:rStyle w:val="soitChar"/>
        </w:rPr>
        <w:t xml:space="preserve">2. </w:t>
      </w:r>
      <w:r>
        <w:rPr>
          <w:rStyle w:val="soitChar"/>
          <w:b/>
        </w:rPr>
        <w:t>Volume net</w:t>
      </w:r>
      <w:r>
        <w:rPr>
          <w:rStyle w:val="soitChar"/>
        </w:rPr>
        <w:t xml:space="preserve"> de la toiture à isoler, sans déduction des éléments de structure interposés (chevrons / fermes / solives / …). Les ouvertures supérieures à 0,5 m² multipliées par l’épaisseur à réaliser sont déduites. Distinction faite suivant l’épaisseur et la densité prescrites.</w:t>
      </w:r>
    </w:p>
    <w:p w14:paraId="19994928" w14:textId="77777777" w:rsidR="004B2808" w:rsidRDefault="00000000">
      <w:pPr>
        <w:pStyle w:val="pheading"/>
      </w:pPr>
      <w:r>
        <w:t>- nature du marché:</w:t>
      </w:r>
    </w:p>
    <w:p w14:paraId="28984146" w14:textId="77777777" w:rsidR="004B2808" w:rsidRDefault="00000000">
      <w:r>
        <w:t>QF</w:t>
      </w:r>
    </w:p>
    <w:p w14:paraId="740CE7AE" w14:textId="77777777" w:rsidR="004B2808" w:rsidRDefault="00000000">
      <w:pPr>
        <w:pStyle w:val="Author-eSectionHeading6Numberless"/>
      </w:pPr>
      <w:bookmarkStart w:id="504" w:name="_Toc220490679"/>
      <w:r>
        <w:t>52.46.3g Isolation à verser en vrac - granulés de liège expansé CCTB 01.12</w:t>
      </w:r>
      <w:bookmarkEnd w:id="504"/>
    </w:p>
    <w:p w14:paraId="2E20E277" w14:textId="77777777" w:rsidR="004B2808" w:rsidRDefault="00000000">
      <w:pPr>
        <w:pStyle w:val="pheading"/>
      </w:pPr>
      <w:r>
        <w:t>DESCRIPTION</w:t>
      </w:r>
    </w:p>
    <w:p w14:paraId="3E9CCA92" w14:textId="77777777" w:rsidR="004B2808" w:rsidRDefault="00000000">
      <w:pPr>
        <w:pStyle w:val="pheading"/>
      </w:pPr>
      <w:r>
        <w:t>- Définition / Comprend</w:t>
      </w:r>
    </w:p>
    <w:p w14:paraId="201406A0" w14:textId="77777777" w:rsidR="004B2808" w:rsidRDefault="00000000">
      <w:pPr>
        <w:jc w:val="both"/>
      </w:pPr>
      <w:r>
        <w:t>Il s’agit de la fourniture et de la pose d’une isolation thermique au moyen de granulés de liège expansé fournis en vrac. Ces isolants sont utilisés en pose horizontale au niveau des parois et planchers.</w:t>
      </w:r>
    </w:p>
    <w:p w14:paraId="3B4EFBD2" w14:textId="77777777" w:rsidR="004B2808" w:rsidRDefault="00000000">
      <w:pPr>
        <w:pStyle w:val="pheading"/>
      </w:pPr>
      <w:r>
        <w:t>- Localisation</w:t>
      </w:r>
    </w:p>
    <w:p w14:paraId="601F7D01" w14:textId="77777777" w:rsidR="004B2808" w:rsidRDefault="00000000">
      <w:r>
        <w:t xml:space="preserve">Localisation des travaux : </w:t>
      </w:r>
      <w:r>
        <w:rPr>
          <w:rStyle w:val="optioncarChar"/>
        </w:rPr>
        <w:t>***</w:t>
      </w:r>
      <w:r>
        <w:t>.</w:t>
      </w:r>
    </w:p>
    <w:p w14:paraId="330B87C6" w14:textId="77777777" w:rsidR="004B2808" w:rsidRDefault="00000000">
      <w:r>
        <w:t>Voir plans et métrés détaillés.</w:t>
      </w:r>
    </w:p>
    <w:p w14:paraId="5C648CCC" w14:textId="77777777" w:rsidR="004B2808" w:rsidRDefault="00000000">
      <w:pPr>
        <w:pStyle w:val="pheading"/>
      </w:pPr>
      <w:r>
        <w:t>MATÉRIAUX</w:t>
      </w:r>
    </w:p>
    <w:p w14:paraId="187A4E18" w14:textId="77777777" w:rsidR="004B2808" w:rsidRDefault="00000000">
      <w:pPr>
        <w:pStyle w:val="pheading"/>
      </w:pPr>
      <w:r>
        <w:t>- Caractéristiques générales</w:t>
      </w:r>
    </w:p>
    <w:p w14:paraId="2712BC59" w14:textId="77777777" w:rsidR="004B2808" w:rsidRDefault="00000000">
      <w:pPr>
        <w:jc w:val="both"/>
      </w:pPr>
      <w:r>
        <w:t xml:space="preserve">Épaisseur après mise en œuvre : </w:t>
      </w:r>
      <w:r>
        <w:rPr>
          <w:rStyle w:val="optioncarChar"/>
        </w:rPr>
        <w:t>***</w:t>
      </w:r>
      <w:r>
        <w:t xml:space="preserve"> cm.</w:t>
      </w:r>
    </w:p>
    <w:p w14:paraId="14D05CB4" w14:textId="77777777" w:rsidR="004B2808" w:rsidRDefault="00000000">
      <w:pPr>
        <w:jc w:val="both"/>
      </w:pPr>
      <w:r>
        <w:t xml:space="preserve">La densité de produit en vrac déterminée suivant la [NBN EN 1097-3] est inférieure à </w:t>
      </w:r>
      <w:r>
        <w:rPr>
          <w:rStyle w:val="optioncarChar"/>
        </w:rPr>
        <w:t>100</w:t>
      </w:r>
      <w:r>
        <w:t xml:space="preserve"> (par défaut)</w:t>
      </w:r>
      <w:r>
        <w:rPr>
          <w:rStyle w:val="optioncarChar"/>
        </w:rPr>
        <w:t xml:space="preserve"> / ***</w:t>
      </w:r>
      <w:r>
        <w:t xml:space="preserve"> kg/m³.</w:t>
      </w:r>
    </w:p>
    <w:p w14:paraId="18812BFA" w14:textId="77777777" w:rsidR="004B2808" w:rsidRDefault="00000000">
      <w:pPr>
        <w:jc w:val="both"/>
      </w:pPr>
      <w:r>
        <w:t xml:space="preserve">L’absorption d’eau mesurée suivant la [NBN EN 1097-6] est inférieure à </w:t>
      </w:r>
      <w:r>
        <w:rPr>
          <w:rStyle w:val="optioncarChar"/>
        </w:rPr>
        <w:t>15</w:t>
      </w:r>
      <w:r>
        <w:t xml:space="preserve"> (par défaut) </w:t>
      </w:r>
      <w:r>
        <w:rPr>
          <w:rStyle w:val="optioncarChar"/>
        </w:rPr>
        <w:t>/ ***</w:t>
      </w:r>
      <w:r>
        <w:t xml:space="preserve"> %.</w:t>
      </w:r>
    </w:p>
    <w:p w14:paraId="2E80CD58" w14:textId="77777777" w:rsidR="004B2808" w:rsidRDefault="00000000">
      <w:pPr>
        <w:jc w:val="both"/>
      </w:pPr>
      <w:r>
        <w:t xml:space="preserve">La hauteur d’absorption d’eau suivant la [NBN EN 1097-10] est inférieure à </w:t>
      </w:r>
      <w:r>
        <w:rPr>
          <w:rStyle w:val="optioncarChar"/>
        </w:rPr>
        <w:t xml:space="preserve">60 </w:t>
      </w:r>
      <w:r>
        <w:t>(par défaut)</w:t>
      </w:r>
      <w:r>
        <w:rPr>
          <w:rStyle w:val="optioncarChar"/>
        </w:rPr>
        <w:t xml:space="preserve"> / ***</w:t>
      </w:r>
      <w:r>
        <w:t xml:space="preserve"> mm.</w:t>
      </w:r>
    </w:p>
    <w:p w14:paraId="1E52734D" w14:textId="77777777" w:rsidR="004B2808" w:rsidRDefault="00000000">
      <w:pPr>
        <w:jc w:val="both"/>
      </w:pPr>
      <w:r>
        <w:lastRenderedPageBreak/>
        <w:t xml:space="preserve">La Résistance à la compression avec 10% de déformation déterminée suivant la [NBN EN 826] est supérieure à </w:t>
      </w:r>
      <w:r>
        <w:rPr>
          <w:rStyle w:val="optioncarChar"/>
        </w:rPr>
        <w:t xml:space="preserve">80 </w:t>
      </w:r>
      <w:r>
        <w:t>(par défaut)</w:t>
      </w:r>
      <w:r>
        <w:rPr>
          <w:rStyle w:val="optioncarChar"/>
        </w:rPr>
        <w:t xml:space="preserve"> / ***</w:t>
      </w:r>
      <w:r>
        <w:t xml:space="preserve"> kPa.</w:t>
      </w:r>
    </w:p>
    <w:p w14:paraId="5C1E0BA4" w14:textId="77777777" w:rsidR="004B2808" w:rsidRDefault="00000000">
      <w:pPr>
        <w:jc w:val="both"/>
      </w:pPr>
      <w:r>
        <w:t>Conductivité thermique (selon [NBN EN 12667] ou selon [NBN EN 12939] pour les produits épais) : valeur λ = max. </w:t>
      </w:r>
      <w:r>
        <w:rPr>
          <w:rStyle w:val="optioncarChar"/>
        </w:rPr>
        <w:t xml:space="preserve">0.050 </w:t>
      </w:r>
      <w:r>
        <w:t xml:space="preserve">(par défaut) </w:t>
      </w:r>
      <w:r>
        <w:rPr>
          <w:rStyle w:val="optioncarChar"/>
        </w:rPr>
        <w:t>/ ***</w:t>
      </w:r>
      <w:r>
        <w:t> W/mK</w:t>
      </w:r>
    </w:p>
    <w:p w14:paraId="07B1750A" w14:textId="77777777" w:rsidR="004B2808" w:rsidRDefault="00000000">
      <w:pPr>
        <w:jc w:val="both"/>
      </w:pPr>
      <w:r>
        <w:t xml:space="preserve">Réaction au feu selon [NBN EN 13501-1] : </w:t>
      </w:r>
      <w:r>
        <w:rPr>
          <w:rStyle w:val="optioncarChar"/>
        </w:rPr>
        <w:t>E </w:t>
      </w:r>
      <w:r>
        <w:t>(par défaut)</w:t>
      </w:r>
      <w:r>
        <w:rPr>
          <w:rStyle w:val="optioncarChar"/>
        </w:rPr>
        <w:t xml:space="preserve"> / D / F</w:t>
      </w:r>
      <w:r>
        <w:t> complétée, le cas échéant par les aspects </w:t>
      </w:r>
      <w:r>
        <w:rPr>
          <w:rStyle w:val="optioncarChar"/>
        </w:rPr>
        <w:t xml:space="preserve">s1 </w:t>
      </w:r>
      <w:r>
        <w:t xml:space="preserve">(par défaut) </w:t>
      </w:r>
      <w:r>
        <w:rPr>
          <w:rStyle w:val="optioncarChar"/>
        </w:rPr>
        <w:t>/ s2 / s3</w:t>
      </w:r>
      <w:r>
        <w:t> et</w:t>
      </w:r>
      <w:r>
        <w:rPr>
          <w:rStyle w:val="optioncarChar"/>
        </w:rPr>
        <w:t xml:space="preserve"> d0 </w:t>
      </w:r>
      <w:r>
        <w:t>(par défaut)</w:t>
      </w:r>
      <w:r>
        <w:rPr>
          <w:rStyle w:val="optioncarChar"/>
        </w:rPr>
        <w:t xml:space="preserve"> / d1 / d2.  </w:t>
      </w:r>
    </w:p>
    <w:p w14:paraId="3DE3A7AC" w14:textId="77777777" w:rsidR="004B2808" w:rsidRDefault="00000000">
      <w:pPr>
        <w:jc w:val="both"/>
      </w:pPr>
      <w:r>
        <w:t>Absorption acoustique (déterminée selon [NBN EN ISO 354] et [NBN EN ISO 11654]) : </w:t>
      </w:r>
      <w:r>
        <w:rPr>
          <w:rStyle w:val="optioncarChar"/>
        </w:rPr>
        <w:t>*** </w:t>
      </w:r>
    </w:p>
    <w:p w14:paraId="61A43D4F" w14:textId="77777777" w:rsidR="004B2808" w:rsidRDefault="00000000">
      <w:pPr>
        <w:jc w:val="both"/>
      </w:pPr>
      <w:r>
        <w:t>Les granulés de liège expansé en vrac ne contiennent pas de liant complémentaire.</w:t>
      </w:r>
    </w:p>
    <w:p w14:paraId="74D0F901" w14:textId="77777777" w:rsidR="004B2808" w:rsidRDefault="00000000">
      <w:pPr>
        <w:jc w:val="both"/>
      </w:pPr>
      <w:r>
        <w:t xml:space="preserve">Résistance fongique selon [NBN EN ISO 846] : </w:t>
      </w:r>
      <w:r>
        <w:rPr>
          <w:rStyle w:val="optioncarChar"/>
        </w:rPr>
        <w:t xml:space="preserve">classe 0 -inerte </w:t>
      </w:r>
      <w:r>
        <w:t xml:space="preserve">(par défaut) </w:t>
      </w:r>
      <w:r>
        <w:rPr>
          <w:rStyle w:val="optioncarChar"/>
        </w:rPr>
        <w:t>/ ***</w:t>
      </w:r>
    </w:p>
    <w:p w14:paraId="0FED9E7E" w14:textId="77777777" w:rsidR="004B2808" w:rsidRDefault="00000000">
      <w:pPr>
        <w:jc w:val="both"/>
      </w:pPr>
      <w:r>
        <w:t>Les adjuvants ignifuges et biocides sont de type : pas d’adjuvant</w:t>
      </w:r>
    </w:p>
    <w:p w14:paraId="29E5F675" w14:textId="77777777" w:rsidR="004B2808" w:rsidRDefault="00000000">
      <w:pPr>
        <w:pStyle w:val="pheading"/>
      </w:pPr>
      <w:r>
        <w:t>- Prescriptions complémentaires</w:t>
      </w:r>
    </w:p>
    <w:p w14:paraId="762CA032" w14:textId="77777777" w:rsidR="004B2808" w:rsidRDefault="00000000">
      <w:pPr>
        <w:jc w:val="both"/>
      </w:pPr>
      <w:r>
        <w:rPr>
          <w:rStyle w:val="facultChar"/>
        </w:rPr>
        <w:t>Applications spécifiques: le matériau doit répondre aux critères d’acceptabilité des produits tels que définis au chapitre 02.42.1 Critères d'acceptabilité.</w:t>
      </w:r>
    </w:p>
    <w:p w14:paraId="290A9920" w14:textId="77777777" w:rsidR="004B2808" w:rsidRDefault="00000000">
      <w:pPr>
        <w:pStyle w:val="pheading"/>
      </w:pPr>
      <w:r>
        <w:t>EXÉCUTION / MISE EN ŒUVRE</w:t>
      </w:r>
    </w:p>
    <w:p w14:paraId="16A116F3" w14:textId="77777777" w:rsidR="004B2808" w:rsidRDefault="00000000">
      <w:pPr>
        <w:pStyle w:val="pheading"/>
      </w:pPr>
      <w:r>
        <w:t>- Prescriptions générales</w:t>
      </w:r>
    </w:p>
    <w:p w14:paraId="3CFA3634" w14:textId="77777777" w:rsidR="004B2808" w:rsidRDefault="00000000">
      <w:pPr>
        <w:jc w:val="both"/>
      </w:pPr>
      <w:r>
        <w:t>Les granulés de liège expansé en vrac sont utilisés en parois et plancher.</w:t>
      </w:r>
    </w:p>
    <w:p w14:paraId="65FE3F22" w14:textId="77777777" w:rsidR="004B2808" w:rsidRDefault="00000000">
      <w:pPr>
        <w:jc w:val="both"/>
      </w:pPr>
      <w:r>
        <w:t xml:space="preserve">Lors de la mise en œuvre, les granulés de liège expansé sont appliqués </w:t>
      </w:r>
      <w:r>
        <w:rPr>
          <w:rStyle w:val="optioncarChar"/>
        </w:rPr>
        <w:t>sans compaction</w:t>
      </w:r>
      <w:r>
        <w:t xml:space="preserve"> (par défaut) </w:t>
      </w:r>
      <w:r>
        <w:rPr>
          <w:rStyle w:val="optioncarChar"/>
        </w:rPr>
        <w:t>/ en compaction manuelle / par vibration (aiguille vibrante) / ***</w:t>
      </w:r>
      <w:r>
        <w:t>.</w:t>
      </w:r>
    </w:p>
    <w:p w14:paraId="65C8D7D0" w14:textId="77777777" w:rsidR="004B2808" w:rsidRDefault="00000000">
      <w:pPr>
        <w:pStyle w:val="pheading"/>
      </w:pPr>
      <w:r>
        <w:t>- Notes d’exécution complémentaires</w:t>
      </w:r>
    </w:p>
    <w:p w14:paraId="650C25F2" w14:textId="77777777" w:rsidR="004B2808" w:rsidRDefault="00000000">
      <w:pPr>
        <w:jc w:val="both"/>
      </w:pPr>
      <w:r>
        <w:rPr>
          <w:rStyle w:val="facultChar"/>
        </w:rPr>
        <w:t>L’application en parois ou en plancher pour des performances acoustiques nécessite l’interposition de blochets ou de bandes résilientes acoustiques entre les parois. </w:t>
      </w:r>
    </w:p>
    <w:p w14:paraId="1E189786" w14:textId="77777777" w:rsidR="004B2808" w:rsidRDefault="00000000">
      <w:pPr>
        <w:pStyle w:val="pheading"/>
      </w:pPr>
      <w:r>
        <w:t>DOCUMENTS DE RÉFÉRENCE COMPLÉMENTAIRES</w:t>
      </w:r>
    </w:p>
    <w:p w14:paraId="3079A4A8" w14:textId="77777777" w:rsidR="004B2808" w:rsidRDefault="00000000">
      <w:pPr>
        <w:pStyle w:val="pheading"/>
      </w:pPr>
      <w:r>
        <w:t>- Matériau</w:t>
      </w:r>
    </w:p>
    <w:p w14:paraId="45AE849E" w14:textId="77777777" w:rsidR="004B2808" w:rsidRDefault="00000000">
      <w:pPr>
        <w:spacing w:after="0" w:line="0" w:lineRule="atLeast"/>
      </w:pPr>
      <w:r>
        <w:rPr>
          <w:color w:val="2A233E"/>
        </w:rPr>
        <w:t>[NBN EN 12667, Performance thermique des matériaux et produits pour le bâtiment - Détermination de la résistance thermique par la méthode de la plaque chaude gardée et la méthode fluxmétrique - Produits de haute et moyenne résistance thermique]</w:t>
      </w:r>
    </w:p>
    <w:p w14:paraId="53227518" w14:textId="77777777" w:rsidR="004B2808" w:rsidRDefault="00000000">
      <w:pPr>
        <w:spacing w:line="0" w:lineRule="atLeast"/>
      </w:pPr>
      <w:r>
        <w:rPr>
          <w:color w:val="2A233E"/>
        </w:rP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6BF2EF6F" w14:textId="77777777" w:rsidR="004B2808" w:rsidRDefault="00000000">
      <w:r>
        <w:t>[NBN EN 13055, Granulats légers]</w:t>
      </w:r>
    </w:p>
    <w:p w14:paraId="61D86DBB" w14:textId="77777777" w:rsidR="004B2808" w:rsidRDefault="00000000">
      <w:r>
        <w:t>[NBN EN 1097-3, Essais pour déterminer les caractéristiques mécaniques et physiques des granulats - Partie 3: Méthode pour la détermination de la masse volumique en vrac et de la porosité intergranulaire]</w:t>
      </w:r>
    </w:p>
    <w:p w14:paraId="46F69B3D" w14:textId="77777777" w:rsidR="004B2808" w:rsidRDefault="00000000">
      <w:r>
        <w:t>[NBN EN 933-5, Essais pour déterminer les caractéristiques géométriques des granulats - Partie 5 : Détermination du pourcentage de surfaces cassées dans les gravillons et graves naturelles]</w:t>
      </w:r>
    </w:p>
    <w:p w14:paraId="7DAE5A1C" w14:textId="77777777" w:rsidR="004B2808" w:rsidRDefault="00000000">
      <w:r>
        <w:t>[NBN EN 933-1, Essais pour déterminer les caractéristiques géométriques des granulats - Partie 1 : Détermination de la granularité - Analyse granulométrique par tamisage]</w:t>
      </w:r>
    </w:p>
    <w:p w14:paraId="24C3D40B" w14:textId="77777777" w:rsidR="004B2808" w:rsidRDefault="00000000">
      <w:r>
        <w:t>[NBN EN 1097-6, Essais pour déterminer les caractéristiques mécaniques et physiques des granulats - Partie 6 : Détermination de la masse volumique et du coefficient d'absorption d'eau]</w:t>
      </w:r>
    </w:p>
    <w:p w14:paraId="07AA64D2" w14:textId="77777777" w:rsidR="004B2808" w:rsidRDefault="00000000">
      <w:r>
        <w:t>[NBN EN 1097-10, Essais pour déterminer les caractéristiques mécaniques et physiques des granulats - Partie 10: Hauteur de succion d'eau]</w:t>
      </w:r>
    </w:p>
    <w:p w14:paraId="2EEA6FF5" w14:textId="77777777" w:rsidR="004B2808" w:rsidRDefault="00000000">
      <w:r>
        <w:t>[NBN EN ISO 354, Acoustique - Mesurage de l'absorption acoustique en salle réverbérante (ISO 354:2003)]</w:t>
      </w:r>
    </w:p>
    <w:p w14:paraId="72D5CF29" w14:textId="77777777" w:rsidR="004B2808" w:rsidRDefault="00000000">
      <w:r>
        <w:rPr>
          <w:color w:val="2A233E"/>
        </w:rPr>
        <w:lastRenderedPageBreak/>
        <w:t>[NBN EN ISO 11654, Acoustique - Absorbants pour l'utilisation dans les bâtiments - Evaluation de l'absorption acoustique (ISO 11654:1997)]</w:t>
      </w:r>
    </w:p>
    <w:p w14:paraId="0F794AD6" w14:textId="77777777" w:rsidR="004B2808" w:rsidRDefault="00000000">
      <w:pPr>
        <w:spacing w:line="0" w:lineRule="atLeast"/>
      </w:pPr>
      <w:r>
        <w:rPr>
          <w:color w:val="2A233E"/>
        </w:rPr>
        <w:t>[NBN EN 13501-1, Classement au feu des produits et éléments de construction - Partie 1: Classement à partir des données d'essais de réaction au feu]</w:t>
      </w:r>
    </w:p>
    <w:p w14:paraId="3B38BFCC" w14:textId="77777777" w:rsidR="004B2808" w:rsidRDefault="00000000">
      <w:pPr>
        <w:pStyle w:val="pheading"/>
      </w:pPr>
      <w:r>
        <w:t>MESURAGE</w:t>
      </w:r>
    </w:p>
    <w:p w14:paraId="0B22B69A" w14:textId="77777777" w:rsidR="004B2808" w:rsidRDefault="00000000">
      <w:pPr>
        <w:pStyle w:val="pheading"/>
      </w:pPr>
      <w:r>
        <w:t>- unité de mesure:</w:t>
      </w:r>
    </w:p>
    <w:p w14:paraId="4DC3DBFB" w14:textId="77777777" w:rsidR="004B2808" w:rsidRDefault="00000000">
      <w:r>
        <w:rPr>
          <w:rStyle w:val="optioncarChar"/>
        </w:rPr>
        <w:t xml:space="preserve">m² </w:t>
      </w:r>
      <w:r>
        <w:t xml:space="preserve">(par défaut) </w:t>
      </w:r>
      <w:r>
        <w:rPr>
          <w:rStyle w:val="optioncarChar"/>
        </w:rPr>
        <w:t>/ m³</w:t>
      </w:r>
    </w:p>
    <w:p w14:paraId="6DDB0233" w14:textId="77777777" w:rsidR="004B2808" w:rsidRDefault="00000000">
      <w:r>
        <w:rPr>
          <w:b/>
          <w:i/>
        </w:rPr>
        <w:t>(Soit par défaut)</w:t>
      </w:r>
    </w:p>
    <w:p w14:paraId="05F04C73" w14:textId="77777777" w:rsidR="004B2808" w:rsidRDefault="00000000">
      <w:r>
        <w:rPr>
          <w:rStyle w:val="soitChar"/>
        </w:rPr>
        <w:t>1.  m²</w:t>
      </w:r>
    </w:p>
    <w:p w14:paraId="6EB19D3C" w14:textId="77777777" w:rsidR="004B2808" w:rsidRDefault="00000000">
      <w:r>
        <w:rPr>
          <w:b/>
          <w:i/>
        </w:rPr>
        <w:t>(Soit)</w:t>
      </w:r>
    </w:p>
    <w:p w14:paraId="2EE9EF40" w14:textId="77777777" w:rsidR="004B2808" w:rsidRDefault="00000000">
      <w:r>
        <w:rPr>
          <w:rStyle w:val="soitChar"/>
        </w:rPr>
        <w:t>2.  m³</w:t>
      </w:r>
    </w:p>
    <w:p w14:paraId="5F8C25D1" w14:textId="77777777" w:rsidR="004B2808" w:rsidRDefault="00000000">
      <w:pPr>
        <w:pStyle w:val="pheading"/>
      </w:pPr>
      <w:r>
        <w:t>- code de mesurage:</w:t>
      </w:r>
    </w:p>
    <w:p w14:paraId="1E93AC47" w14:textId="77777777" w:rsidR="004B2808" w:rsidRDefault="00000000">
      <w:pPr>
        <w:jc w:val="both"/>
      </w:pPr>
      <w:r>
        <w:rPr>
          <w:rStyle w:val="optioncarChar"/>
        </w:rPr>
        <w:t>Surface nette</w:t>
      </w:r>
      <w:r>
        <w:t xml:space="preserve"> (par défaut) </w:t>
      </w:r>
      <w:r>
        <w:rPr>
          <w:rStyle w:val="optioncarChar"/>
        </w:rPr>
        <w:t>/ Volume net</w:t>
      </w:r>
    </w:p>
    <w:p w14:paraId="2244E21B" w14:textId="77777777" w:rsidR="004B2808" w:rsidRDefault="00000000">
      <w:pPr>
        <w:jc w:val="both"/>
      </w:pPr>
      <w:r>
        <w:rPr>
          <w:b/>
          <w:i/>
        </w:rPr>
        <w:t>(Soit par défaut)</w:t>
      </w:r>
    </w:p>
    <w:p w14:paraId="47A2F622" w14:textId="77777777" w:rsidR="004B2808" w:rsidRDefault="00000000">
      <w:pPr>
        <w:jc w:val="both"/>
      </w:pPr>
      <w:r>
        <w:rPr>
          <w:rStyle w:val="soitChar"/>
        </w:rPr>
        <w:t xml:space="preserve">1. </w:t>
      </w:r>
      <w:r>
        <w:rPr>
          <w:rStyle w:val="soitChar"/>
          <w:b/>
        </w:rPr>
        <w:t>Surface nette</w:t>
      </w:r>
      <w:r>
        <w:rPr>
          <w:rStyle w:val="soitChar"/>
        </w:rPr>
        <w:t xml:space="preserve"> de la paroi ou du plancher à isoler, sans déduction des éléments de structure interposés (chevrons, fermes). Les réservations inférieures à 0.5 m² ne sont pas déduites. Distinction faite suivant l'épaisseur.</w:t>
      </w:r>
    </w:p>
    <w:p w14:paraId="51C94566" w14:textId="77777777" w:rsidR="004B2808" w:rsidRDefault="00000000">
      <w:pPr>
        <w:jc w:val="both"/>
      </w:pPr>
      <w:r>
        <w:rPr>
          <w:b/>
          <w:i/>
        </w:rPr>
        <w:t>(Soit)</w:t>
      </w:r>
    </w:p>
    <w:p w14:paraId="31784C19" w14:textId="77777777" w:rsidR="004B2808" w:rsidRDefault="00000000">
      <w:pPr>
        <w:jc w:val="both"/>
      </w:pPr>
      <w:r>
        <w:rPr>
          <w:rStyle w:val="soitChar"/>
        </w:rPr>
        <w:t xml:space="preserve">2. </w:t>
      </w:r>
      <w:r>
        <w:rPr>
          <w:rStyle w:val="soitChar"/>
          <w:b/>
        </w:rPr>
        <w:t>Volume net</w:t>
      </w:r>
      <w:r>
        <w:rPr>
          <w:rStyle w:val="soitChar"/>
        </w:rPr>
        <w:t xml:space="preserve"> de la construction à isoler, sans déduction des éléments de structure interposés (chevrons / fermes / solives / …). Les ouvertures supérieures à 0,5 m² multipliées par l’épaisseur à réaliser sont déduites. Suivant la densité prescrite.</w:t>
      </w:r>
    </w:p>
    <w:p w14:paraId="6F0C2017" w14:textId="77777777" w:rsidR="004B2808" w:rsidRDefault="00000000">
      <w:pPr>
        <w:pStyle w:val="pheading"/>
      </w:pPr>
      <w:r>
        <w:t>- nature du marché:</w:t>
      </w:r>
    </w:p>
    <w:p w14:paraId="3F37F75C" w14:textId="77777777" w:rsidR="004B2808" w:rsidRDefault="00000000">
      <w:r>
        <w:t>QF</w:t>
      </w:r>
    </w:p>
    <w:p w14:paraId="61195891" w14:textId="77777777" w:rsidR="004B2808" w:rsidRDefault="00000000">
      <w:pPr>
        <w:pStyle w:val="Author-eSectionHeading6Numberless"/>
      </w:pPr>
      <w:bookmarkStart w:id="505" w:name="_Toc220490680"/>
      <w:r>
        <w:t>52.46.3h Isolation à verser en vrac - fibres de bois CCTB 01.12</w:t>
      </w:r>
      <w:bookmarkEnd w:id="505"/>
    </w:p>
    <w:p w14:paraId="24678BD8" w14:textId="77777777" w:rsidR="004B2808" w:rsidRDefault="00000000">
      <w:pPr>
        <w:pStyle w:val="pheading"/>
      </w:pPr>
      <w:r>
        <w:t>DESCRIPTION</w:t>
      </w:r>
    </w:p>
    <w:p w14:paraId="336C96CA" w14:textId="77777777" w:rsidR="004B2808" w:rsidRDefault="00000000">
      <w:pPr>
        <w:pStyle w:val="pheading"/>
      </w:pPr>
      <w:r>
        <w:t>- Définition / Comprend</w:t>
      </w:r>
    </w:p>
    <w:p w14:paraId="67E19B7F" w14:textId="77777777" w:rsidR="004B2808" w:rsidRDefault="00000000">
      <w:pPr>
        <w:jc w:val="both"/>
      </w:pPr>
      <w:r>
        <w:t>Il s’agit de la fourniture et la pose d’une isolation thermique à verser en vrac de fibres de bois pour une application intérieure.</w:t>
      </w:r>
    </w:p>
    <w:p w14:paraId="5517485A" w14:textId="77777777" w:rsidR="004B2808" w:rsidRDefault="00000000">
      <w:pPr>
        <w:pStyle w:val="pheading"/>
      </w:pPr>
      <w:r>
        <w:t>- Localisation</w:t>
      </w:r>
    </w:p>
    <w:p w14:paraId="793F9024" w14:textId="77777777" w:rsidR="004B2808" w:rsidRDefault="00000000">
      <w:r>
        <w:t xml:space="preserve">Localisation des travaux : </w:t>
      </w:r>
      <w:r>
        <w:rPr>
          <w:rStyle w:val="optioncarChar"/>
        </w:rPr>
        <w:t>***</w:t>
      </w:r>
      <w:r>
        <w:t>.</w:t>
      </w:r>
    </w:p>
    <w:p w14:paraId="1689A10D" w14:textId="77777777" w:rsidR="004B2808" w:rsidRDefault="00000000">
      <w:r>
        <w:t>Voir plans et métrés détaillés.</w:t>
      </w:r>
    </w:p>
    <w:p w14:paraId="38F43FD2" w14:textId="77777777" w:rsidR="004B2808" w:rsidRDefault="00000000">
      <w:pPr>
        <w:pStyle w:val="pheading"/>
      </w:pPr>
      <w:r>
        <w:t>MATÉRIAUX</w:t>
      </w:r>
    </w:p>
    <w:p w14:paraId="0D413BCD" w14:textId="77777777" w:rsidR="004B2808" w:rsidRDefault="00000000">
      <w:pPr>
        <w:pStyle w:val="pheading"/>
      </w:pPr>
      <w:r>
        <w:t>- Caractéristiques générales</w:t>
      </w:r>
    </w:p>
    <w:p w14:paraId="1A9FD927" w14:textId="77777777" w:rsidR="004B2808" w:rsidRDefault="00000000">
      <w:pPr>
        <w:jc w:val="both"/>
      </w:pPr>
      <w:r>
        <w:t>Le produit est constitué de fibres de bois. Le produit est conditionné en sacs.</w:t>
      </w:r>
    </w:p>
    <w:p w14:paraId="015A710F" w14:textId="77777777" w:rsidR="004B2808" w:rsidRDefault="00000000">
      <w:pPr>
        <w:jc w:val="both"/>
      </w:pPr>
      <w:r>
        <w:t xml:space="preserve">Épaisseur après mise en œuvre (selon [NBN EN 15101-2]) : </w:t>
      </w:r>
      <w:r>
        <w:rPr>
          <w:rStyle w:val="optioncarChar"/>
        </w:rPr>
        <w:t>***</w:t>
      </w:r>
      <w:r>
        <w:t xml:space="preserve"> cm.</w:t>
      </w:r>
    </w:p>
    <w:p w14:paraId="05AFEF4B" w14:textId="77777777" w:rsidR="004B2808" w:rsidRDefault="00000000">
      <w:pPr>
        <w:jc w:val="both"/>
      </w:pPr>
      <w:r>
        <w:t>Masse volumique nominale après mise en œuvre (selon [NBN EN 15101-2]) : ≥ </w:t>
      </w:r>
      <w:r>
        <w:rPr>
          <w:rStyle w:val="optioncarChar"/>
        </w:rPr>
        <w:t xml:space="preserve">30 </w:t>
      </w:r>
      <w:r>
        <w:t>(par défaut)</w:t>
      </w:r>
      <w:r>
        <w:rPr>
          <w:rStyle w:val="optioncarChar"/>
        </w:rPr>
        <w:t xml:space="preserve"> / ***</w:t>
      </w:r>
      <w:r>
        <w:t xml:space="preserve"> kg/m³</w:t>
      </w:r>
    </w:p>
    <w:p w14:paraId="497BD57B" w14:textId="77777777" w:rsidR="004B2808" w:rsidRDefault="00000000">
      <w:pPr>
        <w:jc w:val="both"/>
      </w:pPr>
      <w:r>
        <w:t xml:space="preserve">Conductivité thermique déclarée (selon [NBN EN 12667]) : &lt; </w:t>
      </w:r>
      <w:r>
        <w:rPr>
          <w:rStyle w:val="optioncarChar"/>
        </w:rPr>
        <w:t>0,04</w:t>
      </w:r>
      <w:r>
        <w:t xml:space="preserve"> (par défaut)</w:t>
      </w:r>
      <w:r>
        <w:rPr>
          <w:rStyle w:val="optioncarChar"/>
        </w:rPr>
        <w:t xml:space="preserve"> / ***</w:t>
      </w:r>
      <w:r>
        <w:t xml:space="preserve"> W/mK</w:t>
      </w:r>
    </w:p>
    <w:p w14:paraId="2EB9AEBA" w14:textId="77777777" w:rsidR="004B2808" w:rsidRDefault="00000000">
      <w:pPr>
        <w:jc w:val="both"/>
      </w:pPr>
      <w:r>
        <w:t xml:space="preserve">Taux minimal de fibres de bois: </w:t>
      </w:r>
      <w:r>
        <w:rPr>
          <w:rStyle w:val="optioncarChar"/>
        </w:rPr>
        <w:t xml:space="preserve">95% </w:t>
      </w:r>
      <w:r>
        <w:t>(par défaut)</w:t>
      </w:r>
      <w:r>
        <w:rPr>
          <w:rStyle w:val="optioncarChar"/>
        </w:rPr>
        <w:t xml:space="preserve"> / ***</w:t>
      </w:r>
    </w:p>
    <w:p w14:paraId="2470E466" w14:textId="77777777" w:rsidR="004B2808" w:rsidRDefault="00000000">
      <w:pPr>
        <w:jc w:val="both"/>
      </w:pPr>
      <w:r>
        <w:lastRenderedPageBreak/>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le [Règlement 1907/2006/CE]. La concentration maximum des adjuvants est de </w:t>
      </w:r>
      <w:r>
        <w:rPr>
          <w:rStyle w:val="optioncarChar"/>
        </w:rPr>
        <w:t xml:space="preserve">4% </w:t>
      </w:r>
      <w:r>
        <w:t xml:space="preserve">(par défaut) </w:t>
      </w:r>
      <w:r>
        <w:rPr>
          <w:rStyle w:val="optioncarChar"/>
        </w:rPr>
        <w:t>/ ***.</w:t>
      </w:r>
    </w:p>
    <w:p w14:paraId="19F6D3D4" w14:textId="77777777" w:rsidR="004B2808" w:rsidRDefault="00000000">
      <w:pPr>
        <w:jc w:val="both"/>
      </w:pPr>
      <w:r>
        <w:t>Conformément au chapitre 02.42.4 Bois provenant de forêts gérées durablement, les fibres de bois utilisées disposent de documents prouvant qu’elles proviennent de forêts gérées durablement.</w:t>
      </w:r>
    </w:p>
    <w:p w14:paraId="2D293D64" w14:textId="77777777" w:rsidR="004B2808" w:rsidRDefault="00000000">
      <w:pPr>
        <w:ind w:left="750"/>
      </w:pPr>
      <w:r>
        <w:t> </w:t>
      </w:r>
    </w:p>
    <w:p w14:paraId="2224E2D9" w14:textId="77777777" w:rsidR="004B2808" w:rsidRDefault="00000000">
      <w:pPr>
        <w:pStyle w:val="pheading"/>
      </w:pPr>
      <w:r>
        <w:t>- Prescriptions complémentaires</w:t>
      </w:r>
    </w:p>
    <w:p w14:paraId="7C1F572D" w14:textId="77777777" w:rsidR="004B2808" w:rsidRDefault="00000000">
      <w:pPr>
        <w:jc w:val="both"/>
      </w:pPr>
      <w:r>
        <w:rPr>
          <w:rStyle w:val="facultChar"/>
        </w:rPr>
        <w:t xml:space="preserve">Coefficient de résistance à la diffusion de vapeur d’eau – valeur μ (selon [NBN EN 12086]) : inférieure à </w:t>
      </w:r>
      <w:r>
        <w:rPr>
          <w:rStyle w:val="optioncarChar"/>
        </w:rPr>
        <w:t>2 / ***</w:t>
      </w:r>
      <w:r>
        <w:rPr>
          <w:rStyle w:val="facultChar"/>
        </w:rPr>
        <w:t>.</w:t>
      </w:r>
    </w:p>
    <w:p w14:paraId="596049F7" w14:textId="77777777" w:rsidR="004B2808" w:rsidRDefault="00000000">
      <w:pPr>
        <w:jc w:val="both"/>
      </w:pPr>
      <w:r>
        <w:rPr>
          <w:rStyle w:val="facultChar"/>
        </w:rPr>
        <w:t xml:space="preserve">Capacité thermique : ≥ </w:t>
      </w:r>
      <w:r>
        <w:rPr>
          <w:rStyle w:val="optioncarChar"/>
        </w:rPr>
        <w:t xml:space="preserve">2 </w:t>
      </w:r>
      <w:r>
        <w:t>(par défaut)</w:t>
      </w:r>
      <w:r>
        <w:rPr>
          <w:rStyle w:val="optioncarChar"/>
        </w:rPr>
        <w:t xml:space="preserve"> / ***</w:t>
      </w:r>
      <w:r>
        <w:rPr>
          <w:rStyle w:val="facultChar"/>
        </w:rPr>
        <w:t>kJ/kg.K</w:t>
      </w:r>
    </w:p>
    <w:p w14:paraId="5E0262DE" w14:textId="77777777" w:rsidR="004B2808" w:rsidRDefault="00000000">
      <w:pPr>
        <w:jc w:val="both"/>
      </w:pPr>
      <w:r>
        <w:rPr>
          <w:rStyle w:val="facultChar"/>
        </w:rPr>
        <w:t xml:space="preserve">Résistance fongique (selon [NBN EN ISO 846]) : </w:t>
      </w:r>
      <w:r>
        <w:rPr>
          <w:rStyle w:val="optioncarChar"/>
        </w:rPr>
        <w:t>classe 0 (inerte)</w:t>
      </w:r>
      <w:r>
        <w:t xml:space="preserve"> (par défaut)</w:t>
      </w:r>
      <w:r>
        <w:rPr>
          <w:rStyle w:val="optioncarChar"/>
        </w:rPr>
        <w:t xml:space="preserve"> / ***</w:t>
      </w:r>
    </w:p>
    <w:p w14:paraId="1C97CC32" w14:textId="77777777" w:rsidR="004B2808" w:rsidRDefault="00000000">
      <w:pPr>
        <w:jc w:val="both"/>
      </w:pPr>
      <w:r>
        <w:rPr>
          <w:rStyle w:val="facultChar"/>
        </w:rPr>
        <w:t>Classement de la réaction au feu (selon [NBN EN 13501-1]) :</w:t>
      </w:r>
      <w:r>
        <w:rPr>
          <w:rStyle w:val="optioncarChar"/>
        </w:rPr>
        <w:t xml:space="preserve">E </w:t>
      </w:r>
      <w:r>
        <w:t>(par défaut)</w:t>
      </w:r>
      <w:r>
        <w:rPr>
          <w:rStyle w:val="optioncarChar"/>
        </w:rPr>
        <w:t xml:space="preserve"> / ***)</w:t>
      </w:r>
    </w:p>
    <w:p w14:paraId="06816313" w14:textId="77777777" w:rsidR="004B2808" w:rsidRDefault="00000000">
      <w:pPr>
        <w:jc w:val="both"/>
      </w:pPr>
      <w:r>
        <w:rPr>
          <w:rStyle w:val="facultChar"/>
        </w:rPr>
        <w:t>Le matériau doit répondre aux critères d’acceptabilité des produits tels que définis dans le chapitre 02.42.1 Critères d'acceptabilité.</w:t>
      </w:r>
    </w:p>
    <w:p w14:paraId="2CC27944" w14:textId="77777777" w:rsidR="004B2808" w:rsidRDefault="00000000">
      <w:pPr>
        <w:pStyle w:val="pheading"/>
      </w:pPr>
      <w:r>
        <w:t>EXÉCUTION / MISE EN ŒUVRE</w:t>
      </w:r>
    </w:p>
    <w:p w14:paraId="3BB2E35F" w14:textId="77777777" w:rsidR="004B2808" w:rsidRDefault="00000000">
      <w:pPr>
        <w:pStyle w:val="pheading"/>
      </w:pPr>
      <w:r>
        <w:t>- Prescriptions générales</w:t>
      </w:r>
    </w:p>
    <w:p w14:paraId="58C979CB" w14:textId="77777777" w:rsidR="004B2808" w:rsidRDefault="00000000">
      <w:pPr>
        <w:jc w:val="both"/>
      </w:pPr>
      <w:r>
        <w:t>La matière première est livrée sur chantier au plus près de la date d’application (maximum 3 jours). Elle est stockée à l'abri des intempéries et dans un local sec. Si la durée de stockage est plus longue, un contrôle du taux d’humidité est effectué conformément à l'article 03.41.1b Mesures du taux d'humidité dans le bois.</w:t>
      </w:r>
    </w:p>
    <w:p w14:paraId="4452491F" w14:textId="77777777" w:rsidR="004B2808" w:rsidRDefault="00000000">
      <w:pPr>
        <w:jc w:val="both"/>
      </w:pPr>
      <w:r>
        <w:t xml:space="preserve">Le versement de fibre de bois est réalisé directement sur l’élément à isoler par couche de </w:t>
      </w:r>
      <w:r>
        <w:rPr>
          <w:rStyle w:val="optioncarChar"/>
        </w:rPr>
        <w:t xml:space="preserve">20 </w:t>
      </w:r>
      <w:r>
        <w:t>(par défaut)</w:t>
      </w:r>
      <w:r>
        <w:rPr>
          <w:rStyle w:val="optioncarChar"/>
        </w:rPr>
        <w:t xml:space="preserve"> / ***</w:t>
      </w:r>
      <w:r>
        <w:t xml:space="preserve"> cm. La couche est obtenue </w:t>
      </w:r>
      <w:r>
        <w:rPr>
          <w:rStyle w:val="optioncarChar"/>
        </w:rPr>
        <w:t>sans tassement</w:t>
      </w:r>
      <w:r>
        <w:t xml:space="preserve"> (par défaut)</w:t>
      </w:r>
      <w:r>
        <w:rPr>
          <w:rStyle w:val="optioncarChar"/>
        </w:rPr>
        <w:t xml:space="preserve"> / par tassement manuel / ***</w:t>
      </w:r>
    </w:p>
    <w:p w14:paraId="23CC0514" w14:textId="77777777" w:rsidR="004B2808" w:rsidRDefault="00000000">
      <w:pPr>
        <w:jc w:val="both"/>
      </w:pPr>
      <w:r>
        <w:t>La mise en œuvre de l’isolation est conforme à la [NIT 233] pour les cloisons et parois de séparation et à la [NIT 232] pour les plafonds.</w:t>
      </w:r>
    </w:p>
    <w:p w14:paraId="64EB896F" w14:textId="77777777" w:rsidR="004B2808" w:rsidRDefault="00000000">
      <w:pPr>
        <w:jc w:val="both"/>
      </w:pPr>
      <w:r>
        <w:t>Il y a lieu de ne pas mettre le matériau en contact avec des conduits de fumée. Il convient de respecter la distance de sécurité minimale prévue dans les normes [NBN EN 15287-1] et [NBN EN 15287-2].</w:t>
      </w:r>
    </w:p>
    <w:p w14:paraId="3B0457DE" w14:textId="77777777" w:rsidR="004B2808" w:rsidRDefault="00000000">
      <w:pPr>
        <w:jc w:val="both"/>
      </w:pPr>
      <w:r>
        <w:t>L’applicateur doit s’assurer que les canalisations électriques posées dans les vides de construction sont placées sous conduit non propagateur de la flamme.</w:t>
      </w:r>
    </w:p>
    <w:p w14:paraId="30ABB2BF" w14:textId="77777777" w:rsidR="004B2808" w:rsidRDefault="00000000">
      <w:pPr>
        <w:jc w:val="both"/>
      </w:pPr>
      <w:r>
        <w:t>L’isolant ne doit jamais être mis en contact direct avec les dispositifs d’éclairage encastrés.</w:t>
      </w:r>
    </w:p>
    <w:p w14:paraId="45F50DB9" w14:textId="77777777" w:rsidR="004B2808" w:rsidRDefault="00000000">
      <w:pPr>
        <w:jc w:val="both"/>
      </w:pPr>
      <w:r>
        <w:t>Cet isolant est protégé de l’humidité durant les phases de chantier et de vie du bâtiment. Son utilisation se limite à des locaux de classe de climat intérieur 1 ou 2.</w:t>
      </w:r>
    </w:p>
    <w:p w14:paraId="651C3EDB" w14:textId="77777777" w:rsidR="004B2808" w:rsidRDefault="00000000">
      <w:pPr>
        <w:pStyle w:val="pheading"/>
      </w:pPr>
      <w:r>
        <w:t>DOCUMENTS DE RÉFÉRENCE COMPLÉMENTAIRES</w:t>
      </w:r>
    </w:p>
    <w:p w14:paraId="07A450CC" w14:textId="77777777" w:rsidR="004B2808" w:rsidRDefault="00000000">
      <w:pPr>
        <w:pStyle w:val="pheading"/>
      </w:pPr>
      <w:r>
        <w:t>- Matériau</w:t>
      </w:r>
    </w:p>
    <w:p w14:paraId="45BC518A" w14:textId="77777777" w:rsidR="004B2808" w:rsidRDefault="00000000">
      <w:r>
        <w:t>[NBN EN 15101-2, Produits isolants thermiques destinés aux applications du bâtiment - Isolation thermique formée en place à base de cellulose (LFCI) - Partie 2: Spécifications des produits mis en œuvre]</w:t>
      </w:r>
    </w:p>
    <w:p w14:paraId="6490F425" w14:textId="77777777" w:rsidR="004B2808"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27F3278E" w14:textId="77777777" w:rsidR="004B2808" w:rsidRDefault="00000000">
      <w:r>
        <w:t>[NBN EN 12086, Produits isolants thermiques destinés aux applications du bâtiment - Détermination des propriétés de transmission de la vapeur d'eau] </w:t>
      </w:r>
    </w:p>
    <w:p w14:paraId="36412C95" w14:textId="77777777" w:rsidR="004B2808" w:rsidRDefault="00000000">
      <w:r>
        <w:t>[NBN EN ISO 846, Plastiques - Évaluation de l'action des micro-organismes (ISO 846:2019)]</w:t>
      </w:r>
    </w:p>
    <w:p w14:paraId="7D581A3B" w14:textId="77777777" w:rsidR="004B2808" w:rsidRDefault="00000000">
      <w:r>
        <w:t>[NBN EN 13501-1, Classement au feu des produits et éléments de construction - Partie 1: Classement à partir des données d'essais de réaction au feu]</w:t>
      </w:r>
    </w:p>
    <w:p w14:paraId="37F33BED" w14:textId="77777777" w:rsidR="004B2808" w:rsidRDefault="00000000">
      <w:pPr>
        <w:pStyle w:val="pheading"/>
      </w:pPr>
      <w:r>
        <w:lastRenderedPageBreak/>
        <w:t>- Exécution</w:t>
      </w:r>
    </w:p>
    <w:p w14:paraId="094EBB8F" w14:textId="77777777" w:rsidR="004B2808" w:rsidRDefault="00000000">
      <w:r>
        <w:t>[NIT 233, Les cloisons légères.]</w:t>
      </w:r>
    </w:p>
    <w:p w14:paraId="2C7E02DD" w14:textId="77777777" w:rsidR="004B2808" w:rsidRDefault="00000000">
      <w:r>
        <w:t>[NIT 232, Les plafonds suspendus.]</w:t>
      </w:r>
    </w:p>
    <w:p w14:paraId="7940AEAD" w14:textId="77777777" w:rsidR="004B2808" w:rsidRDefault="00000000">
      <w:r>
        <w:t>[NBN EN 13501-1, Classement au feu des produits et éléments de construction - Partie 1: Classement à partir des données d'essais de réaction au feu]</w:t>
      </w:r>
    </w:p>
    <w:p w14:paraId="417A0D3F" w14:textId="77777777" w:rsidR="004B2808" w:rsidRDefault="00000000">
      <w:r>
        <w:t>[NBN EN 15287-1, Conduits de fumée - Conception, installation et mise en service - Partie 1: Conduits de fumée et conduits de raccordement pour appareils de combustion qui prélèvent l’air comburant dans la pièce]</w:t>
      </w:r>
    </w:p>
    <w:p w14:paraId="025B0108" w14:textId="77777777" w:rsidR="004B2808" w:rsidRDefault="00000000">
      <w:r>
        <w:t>[NBN EN 15287-2, Conduits de fumée - Conception, installation et mise en service - Partie 2 : Conduits de fumée et conduits de raccordement pour appareils de combustion à circuit étanche]</w:t>
      </w:r>
    </w:p>
    <w:p w14:paraId="78434CE5" w14:textId="77777777" w:rsidR="004B2808" w:rsidRDefault="00000000">
      <w:pPr>
        <w:pStyle w:val="pheading"/>
      </w:pPr>
      <w:r>
        <w:t>MESURAGE</w:t>
      </w:r>
    </w:p>
    <w:p w14:paraId="48E9E7DA" w14:textId="77777777" w:rsidR="004B2808" w:rsidRDefault="00000000">
      <w:pPr>
        <w:pStyle w:val="pheading"/>
      </w:pPr>
      <w:r>
        <w:t>- unité de mesure:</w:t>
      </w:r>
    </w:p>
    <w:p w14:paraId="50706DF0" w14:textId="77777777" w:rsidR="004B2808" w:rsidRDefault="00000000">
      <w:r>
        <w:rPr>
          <w:rStyle w:val="optioncarChar"/>
        </w:rPr>
        <w:t>m²</w:t>
      </w:r>
      <w:r>
        <w:t xml:space="preserve"> (par défaut) </w:t>
      </w:r>
      <w:r>
        <w:rPr>
          <w:rStyle w:val="optioncarChar"/>
        </w:rPr>
        <w:t>/ m³</w:t>
      </w:r>
    </w:p>
    <w:p w14:paraId="04365E91" w14:textId="77777777" w:rsidR="004B2808" w:rsidRDefault="00000000">
      <w:r>
        <w:rPr>
          <w:b/>
          <w:i/>
        </w:rPr>
        <w:t>(Soit par défaut)</w:t>
      </w:r>
    </w:p>
    <w:p w14:paraId="34D69401" w14:textId="77777777" w:rsidR="004B2808" w:rsidRDefault="00000000">
      <w:r>
        <w:rPr>
          <w:rStyle w:val="soitChar"/>
        </w:rPr>
        <w:t>1.  m²</w:t>
      </w:r>
    </w:p>
    <w:p w14:paraId="26F8AE1A" w14:textId="77777777" w:rsidR="004B2808" w:rsidRDefault="00000000">
      <w:r>
        <w:rPr>
          <w:b/>
          <w:i/>
        </w:rPr>
        <w:t>(Soit)</w:t>
      </w:r>
    </w:p>
    <w:p w14:paraId="2D3BD6B7" w14:textId="77777777" w:rsidR="004B2808" w:rsidRDefault="00000000">
      <w:r>
        <w:rPr>
          <w:rStyle w:val="soitChar"/>
        </w:rPr>
        <w:t>2.  m³</w:t>
      </w:r>
    </w:p>
    <w:p w14:paraId="6BA8F7F4" w14:textId="77777777" w:rsidR="004B2808" w:rsidRDefault="00000000">
      <w:pPr>
        <w:pStyle w:val="pheading"/>
      </w:pPr>
      <w:r>
        <w:t>- code de mesurage:</w:t>
      </w:r>
    </w:p>
    <w:p w14:paraId="4C3D44CD" w14:textId="77777777" w:rsidR="004B2808" w:rsidRDefault="00000000">
      <w:pPr>
        <w:jc w:val="both"/>
      </w:pPr>
      <w:r>
        <w:rPr>
          <w:rStyle w:val="optioncarChar"/>
        </w:rPr>
        <w:t xml:space="preserve">Surface nette </w:t>
      </w:r>
      <w:r>
        <w:t xml:space="preserve">(par défaut) </w:t>
      </w:r>
      <w:r>
        <w:rPr>
          <w:rStyle w:val="optioncarChar"/>
        </w:rPr>
        <w:t>/ Volume net</w:t>
      </w:r>
    </w:p>
    <w:p w14:paraId="65853B5F" w14:textId="77777777" w:rsidR="004B2808" w:rsidRDefault="00000000">
      <w:pPr>
        <w:jc w:val="both"/>
      </w:pPr>
      <w:r>
        <w:rPr>
          <w:b/>
          <w:i/>
        </w:rPr>
        <w:t>(Soit par défaut)</w:t>
      </w:r>
    </w:p>
    <w:p w14:paraId="43438F9E" w14:textId="77777777" w:rsidR="004B2808" w:rsidRDefault="00000000">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inférieures à 0.5 m² ne sont pas déduites. Distinction faite suivant l'épaisseur.</w:t>
      </w:r>
    </w:p>
    <w:p w14:paraId="11E96DA7" w14:textId="77777777" w:rsidR="004B2808" w:rsidRDefault="00000000">
      <w:pPr>
        <w:jc w:val="both"/>
      </w:pPr>
      <w:r>
        <w:rPr>
          <w:b/>
          <w:i/>
        </w:rPr>
        <w:t>(Soit)</w:t>
      </w:r>
    </w:p>
    <w:p w14:paraId="43205D8F" w14:textId="77777777" w:rsidR="004B2808" w:rsidRDefault="00000000">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w:t>
      </w:r>
    </w:p>
    <w:p w14:paraId="4BB21223" w14:textId="77777777" w:rsidR="004B2808" w:rsidRDefault="00000000">
      <w:pPr>
        <w:pStyle w:val="pheading"/>
      </w:pPr>
      <w:r>
        <w:t>- nature du marché:</w:t>
      </w:r>
    </w:p>
    <w:p w14:paraId="096EA4BB" w14:textId="77777777" w:rsidR="004B2808" w:rsidRDefault="00000000">
      <w:r>
        <w:t>QF</w:t>
      </w:r>
    </w:p>
    <w:p w14:paraId="74B24F81" w14:textId="77777777" w:rsidR="004B2808" w:rsidRDefault="00000000">
      <w:pPr>
        <w:pStyle w:val="Author-eSectionHeading5Numberless"/>
      </w:pPr>
      <w:bookmarkStart w:id="506" w:name="_Toc220490681"/>
      <w:r>
        <w:t>52.46.4 Isolation à verser en vrac - matières animales CCTB 01.02</w:t>
      </w:r>
      <w:bookmarkEnd w:id="506"/>
    </w:p>
    <w:p w14:paraId="77A10331" w14:textId="77777777" w:rsidR="004B2808" w:rsidRDefault="00000000">
      <w:pPr>
        <w:pStyle w:val="Author-eSectionHeading6Numberless"/>
      </w:pPr>
      <w:bookmarkStart w:id="507" w:name="_Toc220490682"/>
      <w:r>
        <w:t>52.46.4a Isolation à verser en vrac - laine de mouton CCTB 01.12</w:t>
      </w:r>
      <w:bookmarkEnd w:id="507"/>
    </w:p>
    <w:p w14:paraId="77046E67" w14:textId="77777777" w:rsidR="004B2808" w:rsidRDefault="00000000">
      <w:pPr>
        <w:pStyle w:val="pheading"/>
      </w:pPr>
      <w:r>
        <w:t>DESCRIPTION</w:t>
      </w:r>
    </w:p>
    <w:p w14:paraId="000C4C26" w14:textId="77777777" w:rsidR="004B2808" w:rsidRDefault="00000000">
      <w:pPr>
        <w:pStyle w:val="pheading"/>
      </w:pPr>
      <w:r>
        <w:t>- Définition / Comprend</w:t>
      </w:r>
    </w:p>
    <w:p w14:paraId="72D2027A" w14:textId="77777777" w:rsidR="004B2808" w:rsidRDefault="00000000">
      <w:pPr>
        <w:jc w:val="both"/>
      </w:pPr>
      <w:r>
        <w:t>Il s’agit de la fourniture et la pose d’une isolation thermique à verser en vrac de laine de mouton pour une application intérieure.</w:t>
      </w:r>
    </w:p>
    <w:p w14:paraId="7DB5F6C2" w14:textId="77777777" w:rsidR="004B2808" w:rsidRDefault="00000000">
      <w:pPr>
        <w:pStyle w:val="pheading"/>
      </w:pPr>
      <w:r>
        <w:t>- Localisation</w:t>
      </w:r>
    </w:p>
    <w:p w14:paraId="48C86271" w14:textId="77777777" w:rsidR="004B2808" w:rsidRDefault="00000000">
      <w:r>
        <w:t xml:space="preserve">Localisation des travaux : </w:t>
      </w:r>
      <w:r>
        <w:rPr>
          <w:rStyle w:val="optioncarChar"/>
        </w:rPr>
        <w:t>***</w:t>
      </w:r>
      <w:r>
        <w:t>.</w:t>
      </w:r>
    </w:p>
    <w:p w14:paraId="4A756D88" w14:textId="77777777" w:rsidR="004B2808" w:rsidRDefault="00000000">
      <w:r>
        <w:t>Voir plans et métrés détaillés.</w:t>
      </w:r>
    </w:p>
    <w:p w14:paraId="15F7C423" w14:textId="77777777" w:rsidR="004B2808" w:rsidRDefault="00000000">
      <w:pPr>
        <w:pStyle w:val="pheading"/>
      </w:pPr>
      <w:r>
        <w:t>MATÉRIAUX</w:t>
      </w:r>
    </w:p>
    <w:p w14:paraId="5D2C425D" w14:textId="77777777" w:rsidR="004B2808" w:rsidRDefault="00000000">
      <w:pPr>
        <w:pStyle w:val="pheading"/>
      </w:pPr>
      <w:r>
        <w:t>- Caractéristiques générales</w:t>
      </w:r>
    </w:p>
    <w:p w14:paraId="05FAC6DA" w14:textId="77777777" w:rsidR="004B2808" w:rsidRDefault="00000000">
      <w:pPr>
        <w:jc w:val="both"/>
      </w:pPr>
      <w:r>
        <w:t>Le produit est constitué de laine de mouton. Le produit est conditionné en sacs.</w:t>
      </w:r>
    </w:p>
    <w:p w14:paraId="00AB3D3D" w14:textId="77777777" w:rsidR="004B2808" w:rsidRDefault="00000000">
      <w:pPr>
        <w:jc w:val="both"/>
      </w:pPr>
      <w:r>
        <w:lastRenderedPageBreak/>
        <w:t xml:space="preserve">Épaisseur après mise en œuvre (selon [NBN EN 15101-2]) : </w:t>
      </w:r>
      <w:r>
        <w:rPr>
          <w:rStyle w:val="optioncarChar"/>
        </w:rPr>
        <w:t>***</w:t>
      </w:r>
      <w:r>
        <w:t xml:space="preserve"> cm.</w:t>
      </w:r>
    </w:p>
    <w:p w14:paraId="44590ECC" w14:textId="77777777" w:rsidR="004B2808" w:rsidRDefault="00000000">
      <w:pPr>
        <w:jc w:val="both"/>
      </w:pPr>
      <w:r>
        <w:t xml:space="preserve">Masse volumique nominale après mise en œuvre (selon [NBN EN 15101-2]) : </w:t>
      </w:r>
      <w:r>
        <w:rPr>
          <w:rStyle w:val="optioncarChar"/>
        </w:rPr>
        <w:t>10</w:t>
      </w:r>
      <w:r>
        <w:t xml:space="preserve"> (par défaut)</w:t>
      </w:r>
      <w:r>
        <w:rPr>
          <w:rStyle w:val="optioncarChar"/>
        </w:rPr>
        <w:t xml:space="preserve"> / ***</w:t>
      </w:r>
      <w:r>
        <w:t xml:space="preserve"> kg/m³.</w:t>
      </w:r>
    </w:p>
    <w:p w14:paraId="27998672" w14:textId="77777777" w:rsidR="004B2808" w:rsidRDefault="00000000">
      <w:pPr>
        <w:jc w:val="both"/>
      </w:pPr>
      <w:r>
        <w:t xml:space="preserve">Conductivité thermique déclarée (selon [NBN EN 12667]) : </w:t>
      </w:r>
      <w:r>
        <w:rPr>
          <w:rStyle w:val="optioncarChar"/>
        </w:rPr>
        <w:t xml:space="preserve">0,045 </w:t>
      </w:r>
      <w:r>
        <w:t>(par défaut)</w:t>
      </w:r>
      <w:r>
        <w:rPr>
          <w:rStyle w:val="optioncarChar"/>
        </w:rPr>
        <w:t xml:space="preserve"> / ***</w:t>
      </w:r>
      <w:r>
        <w:t xml:space="preserve"> W/mK.</w:t>
      </w:r>
    </w:p>
    <w:p w14:paraId="47C79CA7" w14:textId="77777777" w:rsidR="004B2808" w:rsidRDefault="00000000">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p>
    <w:p w14:paraId="4FD19952" w14:textId="77777777" w:rsidR="004B2808" w:rsidRDefault="00000000">
      <w:pPr>
        <w:jc w:val="both"/>
      </w:pPr>
      <w:r>
        <w:t>L’isolant est obligatoirement traité contre les insectes. Les adjuvants respectent le [Règlement 1907/2006/CE] et le cahier des charges [Woolmark CP-4]. La concentration des adjuvants respecte au minimum le « Level 1 » du [Woolmark CP-4].</w:t>
      </w:r>
    </w:p>
    <w:p w14:paraId="36F3B2C9" w14:textId="77777777" w:rsidR="004B2808" w:rsidRDefault="00000000">
      <w:pPr>
        <w:jc w:val="both"/>
      </w:pPr>
      <w:r>
        <w:t>Les traitements au sel de bore se font par imprégnation.</w:t>
      </w:r>
    </w:p>
    <w:p w14:paraId="3E1E943F" w14:textId="77777777" w:rsidR="004B2808" w:rsidRDefault="00000000">
      <w:pPr>
        <w:ind w:left="750"/>
      </w:pPr>
      <w:r>
        <w:t> </w:t>
      </w:r>
    </w:p>
    <w:p w14:paraId="362A1CD0" w14:textId="77777777" w:rsidR="004B2808" w:rsidRDefault="00000000">
      <w:pPr>
        <w:pStyle w:val="pheading"/>
      </w:pPr>
      <w:r>
        <w:t>- Prescriptions complémentaires</w:t>
      </w:r>
    </w:p>
    <w:p w14:paraId="08A02EEF" w14:textId="77777777" w:rsidR="004B2808" w:rsidRDefault="00000000">
      <w:pPr>
        <w:jc w:val="both"/>
      </w:pPr>
      <w:r>
        <w:rPr>
          <w:rStyle w:val="facultChar"/>
        </w:rPr>
        <w:t xml:space="preserve">Coefficient de résistance à la diffusion de vapeur d’eau – valeur μ (selon [NBN EN 12086]) : </w:t>
      </w:r>
      <w:r>
        <w:rPr>
          <w:rStyle w:val="optioncarChar"/>
        </w:rPr>
        <w:t xml:space="preserve">≤ 2 </w:t>
      </w:r>
      <w:r>
        <w:t xml:space="preserve">(par défaut) </w:t>
      </w:r>
      <w:r>
        <w:rPr>
          <w:rStyle w:val="optioncarChar"/>
        </w:rPr>
        <w:t>/ ***.</w:t>
      </w:r>
    </w:p>
    <w:p w14:paraId="0435325D" w14:textId="77777777" w:rsidR="004B2808" w:rsidRDefault="00000000">
      <w:pPr>
        <w:jc w:val="both"/>
      </w:pPr>
      <w:r>
        <w:rPr>
          <w:rStyle w:val="facultChar"/>
        </w:rPr>
        <w:t xml:space="preserve">Résistance fongique (selon [NBN EN ISO 846]) : </w:t>
      </w:r>
      <w:r>
        <w:rPr>
          <w:rStyle w:val="optioncarChar"/>
        </w:rPr>
        <w:t xml:space="preserve">vulnérable </w:t>
      </w:r>
      <w:r>
        <w:t>(par défaut)</w:t>
      </w:r>
      <w:r>
        <w:rPr>
          <w:rStyle w:val="optioncarChar"/>
        </w:rPr>
        <w:t xml:space="preserve"> / ***.</w:t>
      </w:r>
    </w:p>
    <w:p w14:paraId="07D9BB5B" w14:textId="77777777" w:rsidR="004B2808" w:rsidRDefault="00000000">
      <w:pPr>
        <w:jc w:val="both"/>
      </w:pPr>
      <w:r>
        <w:rPr>
          <w:rStyle w:val="facultChar"/>
        </w:rPr>
        <w:t xml:space="preserve">Classement de la réaction au feu (selon [NBN EN 13501-1]) : </w:t>
      </w:r>
      <w:r>
        <w:rPr>
          <w:rStyle w:val="optioncarChar"/>
        </w:rPr>
        <w:t>E</w:t>
      </w:r>
      <w:r>
        <w:t xml:space="preserve"> (par défaut) </w:t>
      </w:r>
      <w:r>
        <w:rPr>
          <w:rStyle w:val="optioncarChar"/>
        </w:rPr>
        <w:t>/ ***</w:t>
      </w:r>
      <w:r>
        <w:rPr>
          <w:rStyle w:val="facultChar"/>
        </w:rPr>
        <w:t>.</w:t>
      </w:r>
    </w:p>
    <w:p w14:paraId="46F553EC" w14:textId="77777777" w:rsidR="004B2808" w:rsidRDefault="00000000">
      <w:pPr>
        <w:pStyle w:val="pheading"/>
      </w:pPr>
      <w:r>
        <w:t>EXÉCUTION / MISE EN ŒUVRE</w:t>
      </w:r>
    </w:p>
    <w:p w14:paraId="4CA1519C" w14:textId="77777777" w:rsidR="004B2808" w:rsidRDefault="00000000">
      <w:pPr>
        <w:pStyle w:val="pheading"/>
      </w:pPr>
      <w:r>
        <w:t>- Prescriptions générales</w:t>
      </w:r>
    </w:p>
    <w:p w14:paraId="63C4B572" w14:textId="77777777" w:rsidR="004B2808" w:rsidRDefault="00000000">
      <w:pPr>
        <w:jc w:val="both"/>
      </w:pPr>
      <w:r>
        <w:t>La laine de mouton en vrac est utilisée en parois et planchers.</w:t>
      </w:r>
    </w:p>
    <w:p w14:paraId="0C71C636" w14:textId="77777777" w:rsidR="004B2808" w:rsidRDefault="00000000">
      <w:pPr>
        <w:jc w:val="both"/>
      </w:pPr>
      <w:r>
        <w:t xml:space="preserve">Lors de la mise en œuvre, la laine de mouton est appliquée </w:t>
      </w:r>
      <w:r>
        <w:rPr>
          <w:rStyle w:val="optioncarChar"/>
        </w:rPr>
        <w:t>sans compaction</w:t>
      </w:r>
      <w:r>
        <w:t xml:space="preserve"> (par défaut)</w:t>
      </w:r>
      <w:r>
        <w:rPr>
          <w:rStyle w:val="optioncarChar"/>
        </w:rPr>
        <w:t xml:space="preserve"> / en compaction manuelle / en compaction par vibration (aiguille vibrante) / ***</w:t>
      </w:r>
      <w:r>
        <w:t>.</w:t>
      </w:r>
    </w:p>
    <w:p w14:paraId="03CDB966" w14:textId="77777777" w:rsidR="004B2808" w:rsidRDefault="00000000">
      <w:pPr>
        <w:jc w:val="both"/>
      </w:pPr>
      <w:r>
        <w:t>L’application en parois ou en plancher pour des performances acoustiques nécessite l’interposition de blochets ou de bandes résilientes acoustiques entre les parois. </w:t>
      </w:r>
    </w:p>
    <w:p w14:paraId="064E1EE1" w14:textId="77777777" w:rsidR="004B2808" w:rsidRDefault="00000000">
      <w:pPr>
        <w:pStyle w:val="pheading"/>
      </w:pPr>
      <w:r>
        <w:t>DOCUMENTS DE RÉFÉRENCE COMPLÉMENTAIRES</w:t>
      </w:r>
    </w:p>
    <w:p w14:paraId="7E034047" w14:textId="77777777" w:rsidR="004B2808" w:rsidRDefault="00000000">
      <w:pPr>
        <w:pStyle w:val="pheading"/>
      </w:pPr>
      <w:r>
        <w:t>- Matériau</w:t>
      </w:r>
    </w:p>
    <w:p w14:paraId="5DC5D9E1" w14:textId="77777777" w:rsidR="004B2808" w:rsidRDefault="00000000">
      <w:r>
        <w:t>[NBN EN 15101-2, Produits isolants thermiques destinés aux applications du bâtiment - Isolation thermique formée en place à base de cellulose (LFCI) - Partie 2: Spécifications des produits mis en œuvre]</w:t>
      </w:r>
    </w:p>
    <w:p w14:paraId="0A4470C5" w14:textId="77777777" w:rsidR="004B2808"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7EA6FBD8" w14:textId="77777777" w:rsidR="004B2808" w:rsidRDefault="00000000">
      <w:r>
        <w:t>[NBN EN 12086, Produits isolants thermiques destinés aux applications du bâtiment - Détermination des propriétés de transmission de la vapeur d'eau]</w:t>
      </w:r>
    </w:p>
    <w:p w14:paraId="67189C35" w14:textId="77777777" w:rsidR="004B2808" w:rsidRDefault="00000000">
      <w:r>
        <w:t>[NBN EN ISO 846, Plastiques - Évaluation de l'action des micro-organismes (ISO 846:2019)]</w:t>
      </w:r>
    </w:p>
    <w:p w14:paraId="362D7825" w14:textId="77777777" w:rsidR="004B2808" w:rsidRDefault="00000000">
      <w:r>
        <w:t>[NBN EN 13501-1, Classement au feu des produits et éléments de construction - Partie 1: Classement à partir des données d'essais de réaction au feu]</w:t>
      </w:r>
    </w:p>
    <w:p w14:paraId="0966E395" w14:textId="77777777" w:rsidR="004B2808" w:rsidRDefault="00000000">
      <w:r>
        <w:t>[Woolmark CP-4, Produits destinés au traitement de la laine contre les insectes]</w:t>
      </w:r>
    </w:p>
    <w:p w14:paraId="4B359130" w14:textId="77777777" w:rsidR="004B2808" w:rsidRDefault="00000000">
      <w:pPr>
        <w:pStyle w:val="pheading"/>
      </w:pPr>
      <w:r>
        <w:t>- Exécution</w:t>
      </w:r>
    </w:p>
    <w:p w14:paraId="610FB1E8" w14:textId="77777777" w:rsidR="004B2808" w:rsidRDefault="00000000">
      <w:r>
        <w:t>[NBN EN 13501-1, Classement au feu des produits et éléments de construction - Partie 1: Classement à partir des données d'essais de réaction au feu]</w:t>
      </w:r>
    </w:p>
    <w:p w14:paraId="3228F875" w14:textId="77777777" w:rsidR="004B2808" w:rsidRDefault="00000000">
      <w:pPr>
        <w:pStyle w:val="pheading"/>
      </w:pPr>
      <w:r>
        <w:t>MESURAGE</w:t>
      </w:r>
    </w:p>
    <w:p w14:paraId="68D07EE9" w14:textId="77777777" w:rsidR="004B2808" w:rsidRDefault="00000000">
      <w:pPr>
        <w:pStyle w:val="pheading"/>
      </w:pPr>
      <w:r>
        <w:t>- unité de mesure:</w:t>
      </w:r>
    </w:p>
    <w:p w14:paraId="21A1ABC1" w14:textId="77777777" w:rsidR="004B2808" w:rsidRDefault="00000000">
      <w:r>
        <w:rPr>
          <w:rStyle w:val="optioncarChar"/>
        </w:rPr>
        <w:t xml:space="preserve">m² </w:t>
      </w:r>
      <w:r>
        <w:t xml:space="preserve">(par défaut) </w:t>
      </w:r>
      <w:r>
        <w:rPr>
          <w:rStyle w:val="optioncarChar"/>
        </w:rPr>
        <w:t>/ m³</w:t>
      </w:r>
    </w:p>
    <w:p w14:paraId="5246CF4C" w14:textId="77777777" w:rsidR="004B2808" w:rsidRDefault="00000000">
      <w:r>
        <w:rPr>
          <w:b/>
          <w:i/>
        </w:rPr>
        <w:lastRenderedPageBreak/>
        <w:t>(Soit par défaut)</w:t>
      </w:r>
    </w:p>
    <w:p w14:paraId="018B7BB1" w14:textId="77777777" w:rsidR="004B2808" w:rsidRDefault="00000000">
      <w:r>
        <w:rPr>
          <w:rStyle w:val="soitChar"/>
        </w:rPr>
        <w:t>1.  m²</w:t>
      </w:r>
    </w:p>
    <w:p w14:paraId="5F14EA0C" w14:textId="77777777" w:rsidR="004B2808" w:rsidRDefault="00000000">
      <w:r>
        <w:rPr>
          <w:b/>
          <w:i/>
        </w:rPr>
        <w:t>(Soit)</w:t>
      </w:r>
    </w:p>
    <w:p w14:paraId="4063C9C5" w14:textId="77777777" w:rsidR="004B2808" w:rsidRDefault="00000000">
      <w:r>
        <w:rPr>
          <w:rStyle w:val="soitChar"/>
        </w:rPr>
        <w:t>2.  m³</w:t>
      </w:r>
    </w:p>
    <w:p w14:paraId="4F404FBA" w14:textId="77777777" w:rsidR="004B2808" w:rsidRDefault="00000000">
      <w:pPr>
        <w:pStyle w:val="pheading"/>
      </w:pPr>
      <w:r>
        <w:t>- code de mesurage:</w:t>
      </w:r>
    </w:p>
    <w:p w14:paraId="713F5F25" w14:textId="77777777" w:rsidR="004B2808" w:rsidRDefault="00000000">
      <w:pPr>
        <w:jc w:val="both"/>
      </w:pPr>
      <w:r>
        <w:rPr>
          <w:rStyle w:val="optioncarChar"/>
        </w:rPr>
        <w:t xml:space="preserve">Surface nette </w:t>
      </w:r>
      <w:r>
        <w:t>(par défaut)</w:t>
      </w:r>
      <w:r>
        <w:rPr>
          <w:rStyle w:val="optioncarChar"/>
        </w:rPr>
        <w:t xml:space="preserve"> / Volume net</w:t>
      </w:r>
    </w:p>
    <w:p w14:paraId="273200B5" w14:textId="77777777" w:rsidR="004B2808" w:rsidRDefault="00000000">
      <w:pPr>
        <w:jc w:val="both"/>
      </w:pPr>
      <w:r>
        <w:rPr>
          <w:b/>
          <w:i/>
        </w:rPr>
        <w:t>(Soit par défaut)</w:t>
      </w:r>
    </w:p>
    <w:p w14:paraId="4451F9BE" w14:textId="77777777" w:rsidR="004B2808" w:rsidRDefault="00000000">
      <w:pPr>
        <w:jc w:val="both"/>
      </w:pPr>
      <w:r>
        <w:rPr>
          <w:rStyle w:val="soitChar"/>
        </w:rPr>
        <w:t xml:space="preserve">1. </w:t>
      </w:r>
      <w:r>
        <w:rPr>
          <w:rStyle w:val="soitChar"/>
          <w:b/>
        </w:rPr>
        <w:t>Surface nette</w:t>
      </w:r>
      <w:r>
        <w:rPr>
          <w:rStyle w:val="soitChar"/>
        </w:rPr>
        <w:t xml:space="preserve"> de la toiture, sans déduction des éléments de structure interposés (chevrons, fermes). Les réservations inférieures à 0.5 m² ne sont pas déduites. Distinction faite suivant l’épaisseur et la densité prescrites.</w:t>
      </w:r>
    </w:p>
    <w:p w14:paraId="17E6CDA2" w14:textId="77777777" w:rsidR="004B2808" w:rsidRDefault="00000000">
      <w:pPr>
        <w:jc w:val="both"/>
      </w:pPr>
      <w:r>
        <w:rPr>
          <w:b/>
          <w:i/>
        </w:rPr>
        <w:t>(Soit)</w:t>
      </w:r>
    </w:p>
    <w:p w14:paraId="0C6B9101" w14:textId="77777777" w:rsidR="004B2808" w:rsidRDefault="00000000">
      <w:pPr>
        <w:jc w:val="both"/>
      </w:pPr>
      <w:r>
        <w:rPr>
          <w:rStyle w:val="soitChar"/>
        </w:rPr>
        <w:t xml:space="preserve">2. </w:t>
      </w:r>
      <w:r>
        <w:rPr>
          <w:rStyle w:val="soitChar"/>
          <w:b/>
        </w:rPr>
        <w:t>Volume net</w:t>
      </w:r>
      <w:r>
        <w:rPr>
          <w:rStyle w:val="soitChar"/>
        </w:rPr>
        <w:t xml:space="preserve"> de la toiture à isoler, sans déduction des éléments de structure interposés (chevrons / fermes / solives / …). Les ouvertures supérieures à 0,5 m² multipliées par l’épaisseur à réaliser sont déduites. Distinction faite suivant l’épaisseur et la densité prescrites.</w:t>
      </w:r>
    </w:p>
    <w:p w14:paraId="15A67BFA" w14:textId="77777777" w:rsidR="004B2808" w:rsidRDefault="00000000">
      <w:pPr>
        <w:pStyle w:val="pheading"/>
      </w:pPr>
      <w:r>
        <w:t>- nature du marché:</w:t>
      </w:r>
    </w:p>
    <w:p w14:paraId="2EEEEA88" w14:textId="77777777" w:rsidR="004B2808" w:rsidRDefault="00000000">
      <w:r>
        <w:t>QF</w:t>
      </w:r>
    </w:p>
    <w:p w14:paraId="1EA82C8A" w14:textId="77777777" w:rsidR="004B2808" w:rsidRDefault="00000000">
      <w:pPr>
        <w:pStyle w:val="Author-eSectionHeading6Numberless"/>
      </w:pPr>
      <w:bookmarkStart w:id="508" w:name="_Toc220490683"/>
      <w:r>
        <w:t>52.46.4b Isolation à verser en vrac - plumes de canard CCTB 01.02</w:t>
      </w:r>
      <w:bookmarkEnd w:id="508"/>
    </w:p>
    <w:p w14:paraId="34C16866" w14:textId="77777777" w:rsidR="004B2808" w:rsidRDefault="00000000">
      <w:pPr>
        <w:pStyle w:val="Author-eSectionHeading4Numberless"/>
      </w:pPr>
      <w:bookmarkStart w:id="509" w:name="_Toc220490684"/>
      <w:r>
        <w:t>52.47 (titre réservé) CCTB 01.02</w:t>
      </w:r>
      <w:bookmarkEnd w:id="509"/>
    </w:p>
    <w:p w14:paraId="7ACEE8B8" w14:textId="77777777" w:rsidR="004B2808" w:rsidRDefault="00000000">
      <w:pPr>
        <w:pStyle w:val="Author-eSectionHeading3Numberless"/>
      </w:pPr>
      <w:bookmarkStart w:id="510" w:name="_Toc220490685"/>
      <w:r>
        <w:t>52.5 Isolations à usages spécifiques CCTB 01.02</w:t>
      </w:r>
      <w:bookmarkEnd w:id="510"/>
    </w:p>
    <w:p w14:paraId="6EC2C89C" w14:textId="77777777" w:rsidR="004B2808" w:rsidRDefault="00000000">
      <w:pPr>
        <w:pStyle w:val="Author-eSectionHeading3Numberless"/>
      </w:pPr>
      <w:bookmarkStart w:id="511" w:name="_Toc220490686"/>
      <w:r>
        <w:t>52.6 - CCTB 01.02</w:t>
      </w:r>
      <w:bookmarkEnd w:id="511"/>
    </w:p>
    <w:p w14:paraId="41970CEC" w14:textId="77777777" w:rsidR="004B2808" w:rsidRDefault="00000000">
      <w:pPr>
        <w:pStyle w:val="Author-eSectionHeading3Numberless"/>
      </w:pPr>
      <w:bookmarkStart w:id="512" w:name="_Toc220490687"/>
      <w:r>
        <w:t>52.7 -</w:t>
      </w:r>
      <w:bookmarkEnd w:id="512"/>
    </w:p>
    <w:p w14:paraId="5AD78423" w14:textId="77777777" w:rsidR="004B2808" w:rsidRDefault="00000000">
      <w:pPr>
        <w:pStyle w:val="Author-eSectionHeading3Numberless"/>
      </w:pPr>
      <w:bookmarkStart w:id="513" w:name="_Toc220490688"/>
      <w:r>
        <w:t>52.8 Etanchéisation et isolation - Rénovation CCTB 01.02</w:t>
      </w:r>
      <w:bookmarkEnd w:id="513"/>
    </w:p>
    <w:p w14:paraId="18F51AB8" w14:textId="77777777" w:rsidR="004B2808" w:rsidRDefault="00000000">
      <w:pPr>
        <w:pStyle w:val="Author-eSectionHeading2Numberless"/>
      </w:pPr>
      <w:bookmarkStart w:id="514" w:name="_Toc220490689"/>
      <w:r>
        <w:t>53 Chapes et revêtements de sols intérieurs CCTB 01.12</w:t>
      </w:r>
      <w:bookmarkEnd w:id="514"/>
    </w:p>
    <w:p w14:paraId="0E0EBCD2" w14:textId="77777777" w:rsidR="004B2808" w:rsidRDefault="00000000">
      <w:pPr>
        <w:pStyle w:val="pheading"/>
      </w:pPr>
      <w:bookmarkStart w:id="515" w:name="220"/>
      <w:bookmarkEnd w:id="515"/>
      <w:r>
        <w:t>DESCRIPTION</w:t>
      </w:r>
    </w:p>
    <w:p w14:paraId="666E6BB3" w14:textId="77777777" w:rsidR="004B2808" w:rsidRDefault="00000000">
      <w:pPr>
        <w:pStyle w:val="pheading"/>
      </w:pPr>
      <w:r>
        <w:t>- Définition / Comprend</w:t>
      </w:r>
    </w:p>
    <w:p w14:paraId="3526A0B3" w14:textId="77777777" w:rsidR="004B2808" w:rsidRDefault="00000000">
      <w:r>
        <w:t xml:space="preserve">Le plancher est généralement composé d'une dalle support ou d'une dalle de sol à base de </w:t>
      </w:r>
      <w:r>
        <w:rPr>
          <w:b/>
        </w:rPr>
        <w:t xml:space="preserve">béton </w:t>
      </w:r>
      <w:r>
        <w:rPr>
          <w:b/>
          <w:color w:val="969696"/>
        </w:rPr>
        <w:t>(voir le sous-titre 22.15 Planchers en béton  ou le sous-titre 12.4 Dalles de sol)</w:t>
      </w:r>
      <w:r>
        <w:t xml:space="preserve"> et d'une ou plusieurs couches intermédiaires entre la dalle support et la finition de la surface. Ces couches intermédiaires doivent servir pour la mise à niveau générale, l'amélioration des caractéristiques thermiques ou acoustiques des dalles de sol/chapes et l'obtention d'une base stable et égale pour l'application du revêtement de sol proprement dit. Dans la section </w:t>
      </w:r>
      <w:hyperlink w:anchor="220" w:history="1">
        <w:r w:rsidR="004B2808">
          <w:rPr>
            <w:color w:val="0000EE"/>
          </w:rPr>
          <w:t>53 Chapes et revêtements de sols intérieurs</w:t>
        </w:r>
      </w:hyperlink>
      <w:r>
        <w:t>, les différentes couches sont traitées dans l'ordre suivant :  </w:t>
      </w:r>
    </w:p>
    <w:p w14:paraId="25EFB15F" w14:textId="77777777" w:rsidR="004B2808" w:rsidRDefault="004B2808">
      <w:pPr>
        <w:pStyle w:val="Author-eListParagraph"/>
        <w:numPr>
          <w:ilvl w:val="0"/>
          <w:numId w:val="460"/>
        </w:numPr>
      </w:pPr>
      <w:hyperlink w:anchor="1257" w:history="1">
        <w:r>
          <w:rPr>
            <w:color w:val="0000EE"/>
          </w:rPr>
          <w:t>53.1 Sous-couches</w:t>
        </w:r>
      </w:hyperlink>
    </w:p>
    <w:p w14:paraId="777441C8" w14:textId="77777777" w:rsidR="004B2808" w:rsidRDefault="004B2808">
      <w:pPr>
        <w:pStyle w:val="Author-eListParagraph"/>
        <w:numPr>
          <w:ilvl w:val="0"/>
          <w:numId w:val="460"/>
        </w:numPr>
      </w:pPr>
      <w:hyperlink w:anchor="108" w:history="1">
        <w:r>
          <w:rPr>
            <w:color w:val="0000EE"/>
          </w:rPr>
          <w:t>53.2 Chapes</w:t>
        </w:r>
      </w:hyperlink>
    </w:p>
    <w:p w14:paraId="420C7F4E" w14:textId="77777777" w:rsidR="004B2808" w:rsidRDefault="004B2808">
      <w:pPr>
        <w:pStyle w:val="Author-eListParagraph"/>
        <w:numPr>
          <w:ilvl w:val="0"/>
          <w:numId w:val="460"/>
        </w:numPr>
      </w:pPr>
      <w:hyperlink w:anchor="1129" w:history="1">
        <w:r>
          <w:rPr>
            <w:color w:val="0000EE"/>
          </w:rPr>
          <w:t>53.3 Sols de type industriel</w:t>
        </w:r>
      </w:hyperlink>
    </w:p>
    <w:p w14:paraId="747CB1AB" w14:textId="77777777" w:rsidR="004B2808" w:rsidRDefault="004B2808">
      <w:pPr>
        <w:pStyle w:val="Author-eListParagraph"/>
        <w:numPr>
          <w:ilvl w:val="0"/>
          <w:numId w:val="460"/>
        </w:numPr>
      </w:pPr>
      <w:hyperlink w:anchor="1260" w:history="1">
        <w:r>
          <w:rPr>
            <w:color w:val="0000EE"/>
          </w:rPr>
          <w:t>53.4 Planchers surélevés</w:t>
        </w:r>
      </w:hyperlink>
    </w:p>
    <w:p w14:paraId="6EB8E142" w14:textId="77777777" w:rsidR="004B2808" w:rsidRDefault="004B2808">
      <w:pPr>
        <w:pStyle w:val="Author-eListParagraph"/>
        <w:numPr>
          <w:ilvl w:val="0"/>
          <w:numId w:val="460"/>
        </w:numPr>
      </w:pPr>
      <w:hyperlink w:anchor="1130" w:history="1">
        <w:r>
          <w:rPr>
            <w:color w:val="0000EE"/>
          </w:rPr>
          <w:t>53.5 Revêtements de sols intérieurs</w:t>
        </w:r>
      </w:hyperlink>
    </w:p>
    <w:p w14:paraId="45A68FCC" w14:textId="77777777" w:rsidR="004B2808" w:rsidRDefault="004B2808">
      <w:pPr>
        <w:pStyle w:val="Author-eListParagraph"/>
        <w:numPr>
          <w:ilvl w:val="0"/>
          <w:numId w:val="460"/>
        </w:numPr>
      </w:pPr>
      <w:hyperlink w:anchor="1261" w:history="1">
        <w:r>
          <w:rPr>
            <w:color w:val="0000EE"/>
          </w:rPr>
          <w:t>53.6 Eléments particuliers et finitions</w:t>
        </w:r>
      </w:hyperlink>
    </w:p>
    <w:p w14:paraId="21E75177" w14:textId="77777777" w:rsidR="004B2808" w:rsidRDefault="004B2808">
      <w:pPr>
        <w:pStyle w:val="Author-eListParagraph"/>
        <w:numPr>
          <w:ilvl w:val="0"/>
          <w:numId w:val="460"/>
        </w:numPr>
      </w:pPr>
      <w:hyperlink w:anchor="1262" w:history="1">
        <w:r>
          <w:rPr>
            <w:color w:val="0000EE"/>
          </w:rPr>
          <w:t>53.8 Chapes et revêtements de sols intérieurs - Rénovation</w:t>
        </w:r>
      </w:hyperlink>
    </w:p>
    <w:p w14:paraId="422CF93A" w14:textId="77777777" w:rsidR="004B2808" w:rsidRDefault="00000000">
      <w:r>
        <w:lastRenderedPageBreak/>
        <w:t>Le poste "chapes" comprend toutes les fournitures et travaux en vue de la réalisation des couches intermédiaires prévues dans le cahier spécial des charges entre la dalle portante et la finition du sol (c'est-à-dire les couches d'égalisation, les membranes d'étanchéité, les couches d'isolation thermique et/ou acoustique, les chapes et les sol industriels). Conformément aux dispositions générales et/ou spécifiques du cahier spécial des charges, les prix unitaires compris dans ces postes doivent toujours comprendre, soit selon la ventilation dans le métré récapitulatif, soit dans leur totalité :</w:t>
      </w:r>
    </w:p>
    <w:p w14:paraId="52620C59" w14:textId="77777777" w:rsidR="004B2808" w:rsidRDefault="00000000">
      <w:pPr>
        <w:pStyle w:val="Author-eListParagraph"/>
        <w:numPr>
          <w:ilvl w:val="0"/>
          <w:numId w:val="461"/>
        </w:numPr>
      </w:pPr>
      <w:r>
        <w:t>le contrôle préalable du support et le dépoussiérage;</w:t>
      </w:r>
    </w:p>
    <w:p w14:paraId="168089DA" w14:textId="77777777" w:rsidR="004B2808" w:rsidRDefault="00000000">
      <w:pPr>
        <w:pStyle w:val="Author-eListParagraph"/>
        <w:numPr>
          <w:ilvl w:val="0"/>
          <w:numId w:val="461"/>
        </w:numPr>
      </w:pPr>
      <w:r>
        <w:t>le contrôle des niveaux, des températures et, éventuellement, le chauffage du chantier pour obtenir la température minimale pour la mise en œuvre;</w:t>
      </w:r>
    </w:p>
    <w:p w14:paraId="5C3529AA" w14:textId="77777777" w:rsidR="004B2808" w:rsidRDefault="00000000">
      <w:pPr>
        <w:pStyle w:val="Author-eListParagraph"/>
        <w:numPr>
          <w:ilvl w:val="0"/>
          <w:numId w:val="461"/>
        </w:numPr>
      </w:pPr>
      <w:r>
        <w:t>la fourniture et la pose des coffrages et/ou des réservations nécessaires;</w:t>
      </w:r>
    </w:p>
    <w:p w14:paraId="7E8C44CF" w14:textId="77777777" w:rsidR="004B2808" w:rsidRDefault="00000000">
      <w:pPr>
        <w:pStyle w:val="Author-eListParagraph"/>
        <w:numPr>
          <w:ilvl w:val="0"/>
          <w:numId w:val="461"/>
        </w:numPr>
      </w:pPr>
      <w:r>
        <w:t>le traitement préalable de la face de pose du support béton en cas de chape adhérente;</w:t>
      </w:r>
    </w:p>
    <w:p w14:paraId="6638A22C" w14:textId="77777777" w:rsidR="004B2808" w:rsidRDefault="00000000">
      <w:pPr>
        <w:pStyle w:val="Author-eListParagraph"/>
        <w:numPr>
          <w:ilvl w:val="0"/>
          <w:numId w:val="461"/>
        </w:numPr>
      </w:pPr>
      <w:r>
        <w:t>l'application, le cas échéant, des couches de remplissage;</w:t>
      </w:r>
    </w:p>
    <w:p w14:paraId="25B25E42" w14:textId="77777777" w:rsidR="004B2808" w:rsidRDefault="00000000">
      <w:pPr>
        <w:pStyle w:val="Author-eListParagraph"/>
        <w:numPr>
          <w:ilvl w:val="0"/>
          <w:numId w:val="461"/>
        </w:numPr>
      </w:pPr>
      <w:r>
        <w:t>la pose des membranes d'étanchéité prescrites;</w:t>
      </w:r>
    </w:p>
    <w:p w14:paraId="46D6CF83" w14:textId="77777777" w:rsidR="004B2808" w:rsidRDefault="00000000">
      <w:pPr>
        <w:pStyle w:val="Author-eListParagraph"/>
        <w:numPr>
          <w:ilvl w:val="0"/>
          <w:numId w:val="461"/>
        </w:numPr>
      </w:pPr>
      <w:r>
        <w:t>la fourniture et la pose d'une couche de désolidarisation, d'isolation thermique ou acoustique, si prescrit dans le cahier spécial des charges;</w:t>
      </w:r>
    </w:p>
    <w:p w14:paraId="39E39DA5" w14:textId="77777777" w:rsidR="004B2808" w:rsidRDefault="00000000">
      <w:pPr>
        <w:pStyle w:val="Author-eListParagraph"/>
        <w:numPr>
          <w:ilvl w:val="0"/>
          <w:numId w:val="461"/>
        </w:numPr>
      </w:pPr>
      <w:r>
        <w:t>la fourniture et la pose de tous les matériaux, produits et pièces nécessaires à l'exécution de la chape selon sa classe, son indication et les performances particulières prescrites;</w:t>
      </w:r>
    </w:p>
    <w:p w14:paraId="6C23A099" w14:textId="77777777" w:rsidR="004B2808" w:rsidRDefault="00000000">
      <w:pPr>
        <w:pStyle w:val="Author-eListParagraph"/>
        <w:numPr>
          <w:ilvl w:val="0"/>
          <w:numId w:val="461"/>
        </w:numPr>
      </w:pPr>
      <w:r>
        <w:t>la préparation du mortier et le coulage de la chape ou du sol industriel (y compris les éventuelles armatures);</w:t>
      </w:r>
    </w:p>
    <w:p w14:paraId="2DD50FBC" w14:textId="77777777" w:rsidR="004B2808" w:rsidRDefault="00000000">
      <w:pPr>
        <w:pStyle w:val="Author-eListParagraph"/>
        <w:numPr>
          <w:ilvl w:val="0"/>
          <w:numId w:val="461"/>
        </w:numPr>
      </w:pPr>
      <w:r>
        <w:t>la mise en œuvre des joints périphériques nécessaires et/ou des joints de dilatation selon prescription et la prolongation des joints de structure avec profilés selon les prescriptions du cahier spécial des charges;</w:t>
      </w:r>
    </w:p>
    <w:p w14:paraId="61C96667" w14:textId="77777777" w:rsidR="004B2808" w:rsidRDefault="00000000">
      <w:pPr>
        <w:pStyle w:val="Author-eListParagraph"/>
        <w:numPr>
          <w:ilvl w:val="0"/>
          <w:numId w:val="461"/>
        </w:numPr>
      </w:pPr>
      <w:r>
        <w:t>la finition de la surface de la chape selon les prescriptions du cahier spécial des charges ou du sol industriel;</w:t>
      </w:r>
    </w:p>
    <w:p w14:paraId="066A65B9" w14:textId="77777777" w:rsidR="004B2808" w:rsidRDefault="00000000">
      <w:pPr>
        <w:pStyle w:val="Author-eListParagraph"/>
        <w:numPr>
          <w:ilvl w:val="0"/>
          <w:numId w:val="461"/>
        </w:numPr>
      </w:pPr>
      <w:r>
        <w:t>l'évacuation et le déversement de tous les matériaux et déchets et la fermeture à l'accès pendant le délai de mise en service.</w:t>
      </w:r>
    </w:p>
    <w:p w14:paraId="3ACD17B0" w14:textId="77777777" w:rsidR="004B2808" w:rsidRDefault="00000000">
      <w:pPr>
        <w:pStyle w:val="pheading"/>
      </w:pPr>
      <w:r>
        <w:t>MATÉRIAUX</w:t>
      </w:r>
    </w:p>
    <w:p w14:paraId="69129E97" w14:textId="77777777" w:rsidR="004B2808" w:rsidRDefault="00000000">
      <w:pPr>
        <w:pStyle w:val="heading"/>
      </w:pPr>
      <w:r>
        <w:t>Composition</w:t>
      </w:r>
    </w:p>
    <w:p w14:paraId="0A5AF707" w14:textId="77777777" w:rsidR="004B2808" w:rsidRDefault="00000000">
      <w:r>
        <w:t>La composition du mortier et la nature des composantes sont adaptées à la nature et à l'application de la chape, ainsi qu'aux revêtements prévus. Ces derniers sont conformes à la [NBN EN 13813] et mentionnés à titre indicatif (lorsque des prestations sont requises) ou indiqués explicitement dans le cahier des charges. </w:t>
      </w:r>
    </w:p>
    <w:p w14:paraId="5EC377CC" w14:textId="77777777" w:rsidR="004B2808" w:rsidRDefault="00000000">
      <w:pPr>
        <w:pStyle w:val="heading"/>
      </w:pPr>
      <w:r>
        <w:t>Liants</w:t>
      </w:r>
    </w:p>
    <w:p w14:paraId="0BD7A60E" w14:textId="77777777" w:rsidR="004B2808" w:rsidRDefault="00000000">
      <w:r>
        <w:t>(voir aussi [NIT 189] § 3.1)</w:t>
      </w:r>
    </w:p>
    <w:p w14:paraId="6B0A0B80" w14:textId="77777777" w:rsidR="004B2808" w:rsidRDefault="00000000">
      <w:r>
        <w:t>Pour les chapes liées au ciment, on utilise du ciment qui satisfait à la [NBN EN 197-1] (2011). Pour le choix du ciment, on tient compte des exigences suivantes pour la classe de résistance :</w:t>
      </w:r>
    </w:p>
    <w:tbl>
      <w:tblPr>
        <w:tblStyle w:val="Author-eTableGrid"/>
        <w:tblW w:w="5000" w:type="pct"/>
        <w:tblLayout w:type="fixed"/>
        <w:tblLook w:val="04A0" w:firstRow="1" w:lastRow="0" w:firstColumn="1" w:lastColumn="0" w:noHBand="0" w:noVBand="1"/>
      </w:tblPr>
      <w:tblGrid>
        <w:gridCol w:w="2274"/>
        <w:gridCol w:w="2274"/>
        <w:gridCol w:w="2275"/>
        <w:gridCol w:w="2275"/>
      </w:tblGrid>
      <w:tr w:rsidR="004B2808" w14:paraId="5FE8279A" w14:textId="77777777">
        <w:tc>
          <w:tcPr>
            <w:tcW w:w="2250" w:type="dxa"/>
            <w:noWrap/>
          </w:tcPr>
          <w:p w14:paraId="7B6811FA" w14:textId="77777777" w:rsidR="004B2808" w:rsidRDefault="00000000">
            <w:r>
              <w:rPr>
                <w:b/>
              </w:rPr>
              <w:t xml:space="preserve">Classes de résistance </w:t>
            </w:r>
          </w:p>
        </w:tc>
        <w:tc>
          <w:tcPr>
            <w:tcW w:w="6750" w:type="dxa"/>
            <w:gridSpan w:val="3"/>
            <w:noWrap/>
          </w:tcPr>
          <w:p w14:paraId="628693FC" w14:textId="77777777" w:rsidR="004B2808" w:rsidRDefault="00000000">
            <w:pPr>
              <w:pStyle w:val="heading"/>
            </w:pPr>
            <w:r>
              <w:t>Température de l'aire de pose et/ou de l'air ambiant</w:t>
            </w:r>
          </w:p>
        </w:tc>
      </w:tr>
      <w:tr w:rsidR="004B2808" w14:paraId="14698EB0" w14:textId="77777777">
        <w:tc>
          <w:tcPr>
            <w:tcW w:w="2250" w:type="dxa"/>
            <w:noWrap/>
          </w:tcPr>
          <w:p w14:paraId="68441EDA" w14:textId="77777777" w:rsidR="004B2808" w:rsidRDefault="00000000">
            <w:r>
              <w:t>Durcissement</w:t>
            </w:r>
          </w:p>
        </w:tc>
        <w:tc>
          <w:tcPr>
            <w:tcW w:w="2250" w:type="dxa"/>
            <w:noWrap/>
          </w:tcPr>
          <w:p w14:paraId="18607E38" w14:textId="77777777" w:rsidR="004B2808" w:rsidRDefault="00000000">
            <w:r>
              <w:t>T &lt; 10° C</w:t>
            </w:r>
          </w:p>
        </w:tc>
        <w:tc>
          <w:tcPr>
            <w:tcW w:w="2250" w:type="dxa"/>
            <w:noWrap/>
          </w:tcPr>
          <w:p w14:paraId="48D6E8D5" w14:textId="77777777" w:rsidR="004B2808" w:rsidRDefault="00000000">
            <w:r>
              <w:t>10° C &lt; T &lt; 25° C</w:t>
            </w:r>
          </w:p>
        </w:tc>
        <w:tc>
          <w:tcPr>
            <w:tcW w:w="2250" w:type="dxa"/>
            <w:noWrap/>
          </w:tcPr>
          <w:p w14:paraId="77AF1FF2" w14:textId="77777777" w:rsidR="004B2808" w:rsidRDefault="00000000">
            <w:r>
              <w:t>T &gt; 25° C</w:t>
            </w:r>
          </w:p>
        </w:tc>
      </w:tr>
      <w:tr w:rsidR="004B2808" w14:paraId="47047954" w14:textId="77777777">
        <w:tc>
          <w:tcPr>
            <w:tcW w:w="2250" w:type="dxa"/>
            <w:noWrap/>
          </w:tcPr>
          <w:p w14:paraId="3093AE82" w14:textId="77777777" w:rsidR="004B2808" w:rsidRDefault="00000000">
            <w:r>
              <w:t>Normal</w:t>
            </w:r>
          </w:p>
        </w:tc>
        <w:tc>
          <w:tcPr>
            <w:tcW w:w="2250" w:type="dxa"/>
            <w:noWrap/>
          </w:tcPr>
          <w:p w14:paraId="2C9A9063" w14:textId="77777777" w:rsidR="004B2808" w:rsidRDefault="00000000">
            <w:r>
              <w:t>Classe de résistance 42,5</w:t>
            </w:r>
          </w:p>
        </w:tc>
        <w:tc>
          <w:tcPr>
            <w:tcW w:w="2250" w:type="dxa"/>
            <w:noWrap/>
          </w:tcPr>
          <w:p w14:paraId="40A1F3AA" w14:textId="77777777" w:rsidR="004B2808" w:rsidRDefault="00000000">
            <w:r>
              <w:t>Classe de résistance 32,5</w:t>
            </w:r>
          </w:p>
        </w:tc>
        <w:tc>
          <w:tcPr>
            <w:tcW w:w="2250" w:type="dxa"/>
            <w:noWrap/>
          </w:tcPr>
          <w:p w14:paraId="200DA876" w14:textId="77777777" w:rsidR="004B2808" w:rsidRDefault="00000000">
            <w:r>
              <w:t>Classe de résistance 32,5</w:t>
            </w:r>
          </w:p>
        </w:tc>
      </w:tr>
      <w:tr w:rsidR="004B2808" w14:paraId="0A3F4DC4" w14:textId="77777777">
        <w:tc>
          <w:tcPr>
            <w:tcW w:w="2250" w:type="dxa"/>
            <w:noWrap/>
          </w:tcPr>
          <w:p w14:paraId="11AF69C7" w14:textId="77777777" w:rsidR="004B2808" w:rsidRDefault="00000000">
            <w:r>
              <w:t>Accéléré</w:t>
            </w:r>
          </w:p>
        </w:tc>
        <w:tc>
          <w:tcPr>
            <w:tcW w:w="2250" w:type="dxa"/>
            <w:noWrap/>
          </w:tcPr>
          <w:p w14:paraId="1179BE1A" w14:textId="77777777" w:rsidR="004B2808" w:rsidRDefault="00000000">
            <w:r>
              <w:t>Classe de résistance 42,5 R</w:t>
            </w:r>
          </w:p>
        </w:tc>
        <w:tc>
          <w:tcPr>
            <w:tcW w:w="2250" w:type="dxa"/>
            <w:noWrap/>
          </w:tcPr>
          <w:p w14:paraId="067EB7E0" w14:textId="77777777" w:rsidR="004B2808" w:rsidRDefault="00000000">
            <w:r>
              <w:t>Classe de résistance 42,5 ou 32,5 R</w:t>
            </w:r>
          </w:p>
        </w:tc>
        <w:tc>
          <w:tcPr>
            <w:tcW w:w="2250" w:type="dxa"/>
            <w:noWrap/>
          </w:tcPr>
          <w:p w14:paraId="4660CA57" w14:textId="77777777" w:rsidR="004B2808" w:rsidRDefault="00000000">
            <w:r>
              <w:t> </w:t>
            </w:r>
          </w:p>
        </w:tc>
      </w:tr>
    </w:tbl>
    <w:p w14:paraId="399709BB" w14:textId="77777777" w:rsidR="004B2808" w:rsidRDefault="00000000">
      <w:r>
        <w:rPr>
          <w:i/>
        </w:rPr>
        <w:t>Pour des températures basses ou élevées, les types de ciment suivants sont respectivement recommandés :</w:t>
      </w:r>
    </w:p>
    <w:p w14:paraId="725D273E" w14:textId="77777777" w:rsidR="004B2808" w:rsidRDefault="00000000">
      <w:r>
        <w:rPr>
          <w:i/>
        </w:rPr>
        <w:t>T &lt;10°C : types de ciment avec un taux élevé de clinker : CEM I, CEM II, CEM IIIA.</w:t>
      </w:r>
    </w:p>
    <w:p w14:paraId="7AB76D55" w14:textId="77777777" w:rsidR="004B2808" w:rsidRDefault="00000000">
      <w:r>
        <w:rPr>
          <w:i/>
        </w:rPr>
        <w:t>T &gt; 25°C : types de ciment avec un faible taux de clinker : CEM II, CEM IIIB. </w:t>
      </w:r>
      <w:r>
        <w:t> </w:t>
      </w:r>
    </w:p>
    <w:p w14:paraId="69EA40CD" w14:textId="77777777" w:rsidR="004B2808" w:rsidRDefault="00000000">
      <w:pPr>
        <w:pStyle w:val="heading"/>
      </w:pPr>
      <w:r>
        <w:t>Matières de charge</w:t>
      </w:r>
    </w:p>
    <w:p w14:paraId="5AC4DA1A" w14:textId="77777777" w:rsidR="004B2808" w:rsidRDefault="00000000">
      <w:r>
        <w:t>(voir aussi [NIT 189] § 3.2)</w:t>
      </w:r>
    </w:p>
    <w:p w14:paraId="4CF00B49" w14:textId="77777777" w:rsidR="004B2808" w:rsidRDefault="00000000">
      <w:r>
        <w:lastRenderedPageBreak/>
        <w:t>Les granulats doivent être propres et ne contiennent pas de matières dont la nature et le taux risquent de nuire à leur utilisation, tels que grumeaux d'argile, matières organiques (taux max. 0,5 %), sels solubles. </w:t>
      </w:r>
    </w:p>
    <w:p w14:paraId="2FEDC251" w14:textId="77777777" w:rsidR="004B2808" w:rsidRDefault="00000000">
      <w:pPr>
        <w:pStyle w:val="heading"/>
      </w:pPr>
      <w:r>
        <w:t>Eau de gâchage</w:t>
      </w:r>
    </w:p>
    <w:p w14:paraId="4F446C40" w14:textId="77777777" w:rsidR="004B2808" w:rsidRDefault="00000000">
      <w:r>
        <w:t>(voir aussi [NIT 189] § 3.3)</w:t>
      </w:r>
    </w:p>
    <w:p w14:paraId="0EF9B064" w14:textId="77777777" w:rsidR="004B2808" w:rsidRDefault="00000000">
      <w:r>
        <w:t>L'eau utilisée est propre et exempte d'agents nocifs, Conformément à la norme [NBN EN 1008] (2002). </w:t>
      </w:r>
    </w:p>
    <w:p w14:paraId="1BF09757" w14:textId="77777777" w:rsidR="004B2808" w:rsidRDefault="00000000">
      <w:pPr>
        <w:pStyle w:val="heading"/>
      </w:pPr>
      <w:r>
        <w:t>Adjuvants </w:t>
      </w:r>
    </w:p>
    <w:p w14:paraId="77EAA21E" w14:textId="77777777" w:rsidR="004B2808" w:rsidRDefault="00000000">
      <w:r>
        <w:t>(voir aussi [NIT 189] § 3.4)</w:t>
      </w:r>
    </w:p>
    <w:p w14:paraId="7F5A5DF8" w14:textId="77777777" w:rsidR="004B2808" w:rsidRDefault="00000000">
      <w:r>
        <w:t>L'utilisation des adjuvants est soumise aux prescriptions de la [NBN EN 934-1] (2008). L'utilisation des adjuvants se fait avec la plus grande attention en ce qui concerne la compatibilité avec le liant, les matières de charge et les autres composantes de la chape et également en ce qui concerne la compatibilité du support et les revêtements de sol prévus, afin qu'il ne puisse se produire de conséquences néfastes si ces adjuvants sont utilisés. En tout cas, les prescriptions du fabricant des adjuvants sont strictement respectées. </w:t>
      </w:r>
    </w:p>
    <w:p w14:paraId="48D3E3B6" w14:textId="77777777" w:rsidR="004B2808" w:rsidRDefault="00000000">
      <w:pPr>
        <w:pStyle w:val="heading"/>
      </w:pPr>
      <w:r>
        <w:t>Treillis d'armature</w:t>
      </w:r>
    </w:p>
    <w:p w14:paraId="03D39743" w14:textId="77777777" w:rsidR="004B2808" w:rsidRDefault="00000000">
      <w:pPr>
        <w:pStyle w:val="heading"/>
      </w:pPr>
      <w:r>
        <w:rPr>
          <w:color w:val="969696"/>
        </w:rPr>
        <w:t>(</w:t>
      </w:r>
      <w:r>
        <w:t>voir aussi [NIT 189] § 3.5)</w:t>
      </w:r>
    </w:p>
    <w:p w14:paraId="675E8628" w14:textId="77777777" w:rsidR="004B2808" w:rsidRDefault="00000000">
      <w:r>
        <w:t xml:space="preserve">Pour les chapes flottantes, on utilise généralement des treillis soudés </w:t>
      </w:r>
      <w:r>
        <w:rPr>
          <w:rStyle w:val="optioncarChar"/>
        </w:rPr>
        <w:t xml:space="preserve">100 x 100 x 3 mm </w:t>
      </w:r>
      <w:r>
        <w:t>(par défaut) </w:t>
      </w:r>
      <w:r>
        <w:rPr>
          <w:rStyle w:val="optioncarChar"/>
        </w:rPr>
        <w:t>/ 50 x 50 x 2 mm / ***</w:t>
      </w:r>
      <w:r>
        <w:t>. Le cas échéant, on peut faire usage de fibres d'armature, sauf prescription contraire dans le cahier spécial des charges.</w:t>
      </w:r>
    </w:p>
    <w:p w14:paraId="304D9BCD" w14:textId="77777777" w:rsidR="004B2808" w:rsidRDefault="00000000">
      <w:pPr>
        <w:pStyle w:val="pheading"/>
      </w:pPr>
      <w:r>
        <w:t>EXÉCUTION / MISE EN ŒUVRE</w:t>
      </w:r>
    </w:p>
    <w:p w14:paraId="2C5ED733" w14:textId="77777777" w:rsidR="004B2808" w:rsidRDefault="00000000">
      <w:pPr>
        <w:pStyle w:val="heading"/>
      </w:pPr>
      <w:r>
        <w:t>Timing - Influences atmosphériques</w:t>
      </w:r>
    </w:p>
    <w:p w14:paraId="4D727D31" w14:textId="77777777" w:rsidR="004B2808" w:rsidRDefault="00000000">
      <w:pPr>
        <w:pStyle w:val="Author-eListParagraph"/>
        <w:numPr>
          <w:ilvl w:val="0"/>
          <w:numId w:val="462"/>
        </w:numPr>
      </w:pPr>
      <w:r>
        <w:t>Les chapes / sols industriels ne sont exécutés que lorsque les travaux suivants ont été terminés :</w:t>
      </w:r>
    </w:p>
    <w:p w14:paraId="3C39AD73" w14:textId="77777777" w:rsidR="004B2808" w:rsidRDefault="00000000">
      <w:pPr>
        <w:pStyle w:val="Author-eListParagraph"/>
        <w:numPr>
          <w:ilvl w:val="0"/>
          <w:numId w:val="462"/>
        </w:numPr>
      </w:pPr>
      <w:r>
        <w:t xml:space="preserve">Les travaux de gros-œuvre, </w:t>
      </w:r>
    </w:p>
    <w:p w14:paraId="0BBFD6CB" w14:textId="77777777" w:rsidR="004B2808" w:rsidRDefault="00000000">
      <w:pPr>
        <w:pStyle w:val="Author-eListParagraph"/>
        <w:numPr>
          <w:ilvl w:val="1"/>
          <w:numId w:val="463"/>
        </w:numPr>
      </w:pPr>
      <w:r>
        <w:t>la pose de la menuiserie extérieure et du vitrage et/ou la fermeture des ouvertures de façade,</w:t>
      </w:r>
    </w:p>
    <w:p w14:paraId="599FDE32" w14:textId="77777777" w:rsidR="004B2808" w:rsidRDefault="00000000">
      <w:pPr>
        <w:pStyle w:val="Author-eListParagraph"/>
        <w:numPr>
          <w:ilvl w:val="1"/>
          <w:numId w:val="463"/>
        </w:numPr>
      </w:pPr>
      <w:r>
        <w:t>l'installation des conduites pour le chauffage, les sanitaires, l'électricité, l'informatique, la domotique et le téléphone,</w:t>
      </w:r>
    </w:p>
    <w:p w14:paraId="651C03B2" w14:textId="77777777" w:rsidR="004B2808" w:rsidRDefault="00000000">
      <w:pPr>
        <w:pStyle w:val="Author-eListParagraph"/>
        <w:numPr>
          <w:ilvl w:val="1"/>
          <w:numId w:val="463"/>
        </w:numPr>
      </w:pPr>
      <w:r>
        <w:t>l'installation des éléments de chauffage encastrés, …</w:t>
      </w:r>
    </w:p>
    <w:p w14:paraId="7EC6B434" w14:textId="77777777" w:rsidR="004B2808" w:rsidRDefault="00000000">
      <w:pPr>
        <w:pStyle w:val="Author-eListParagraph"/>
        <w:numPr>
          <w:ilvl w:val="1"/>
          <w:numId w:val="463"/>
        </w:numPr>
      </w:pPr>
      <w:r>
        <w:t>l'exécution des plafonnages intérieurs et des éventuelles sous-couches;</w:t>
      </w:r>
    </w:p>
    <w:p w14:paraId="27FC285A" w14:textId="77777777" w:rsidR="004B2808" w:rsidRDefault="00000000">
      <w:pPr>
        <w:pStyle w:val="Author-eListParagraph"/>
        <w:numPr>
          <w:ilvl w:val="1"/>
          <w:numId w:val="463"/>
        </w:numPr>
      </w:pPr>
      <w:r>
        <w:t>l'exécution des socles en maçonnerie et en béton.</w:t>
      </w:r>
    </w:p>
    <w:p w14:paraId="0FA4C91C" w14:textId="77777777" w:rsidR="004B2808" w:rsidRDefault="00000000">
      <w:pPr>
        <w:pStyle w:val="Author-eListParagraph"/>
        <w:numPr>
          <w:ilvl w:val="0"/>
          <w:numId w:val="462"/>
        </w:numPr>
      </w:pPr>
      <w:r>
        <w:t>Les chapes ne peuvent pas être posées lorsque la température du support et/ou ambiante est inférieure à 5 °C . La température ne dépasse pas 35 °C . Lorsque la température dépasse le maximum autorisé, les travaux sont suspendus ou postposés car le refroidissement artificiel est interdit. Toutefois, lorsque la température est inférieure à la température minimale, celle-ci est éventuellement atteinte par un système de chauffage approprié. Dans ce cas, il faut veiller à ce que la température soit homogène et constante. Si le cahier spécial des charges le prescrit, les canons à air chaud sont utilisés pour porter la température à un minimum acceptable mais le flux d'air ne peut en aucun cas être dirigé vers la chape. Les gaz de combustion sont directement évacués vers l'extérieur.</w:t>
      </w:r>
    </w:p>
    <w:p w14:paraId="3FC3E46E" w14:textId="77777777" w:rsidR="004B2808" w:rsidRDefault="00000000">
      <w:pPr>
        <w:pStyle w:val="heading"/>
      </w:pPr>
      <w:r>
        <w:t>Mesures de protection</w:t>
      </w:r>
    </w:p>
    <w:p w14:paraId="591F1EB6" w14:textId="77777777" w:rsidR="004B2808" w:rsidRDefault="00000000">
      <w:r>
        <w:t>Afin de se rendre compte des éléments à protéger, l'entrepreneur fait au préalable le tour du bâtiment. Il prend toutes les mesures qui s'imposent pour protéger efficacement toutes les finitions, les châssis et les portes contre toute dégradation et salissure. Si le danger existe que le plafond sous-jacent ne soit endommagé, le cahier spécial des charges prescrit de prévoir, entre la dalle de sol et la chape, une couche d'étanchéité composée d'une feuille de polyéthylène. Cette feuille est relevée d'équerre et ce, sur environ 2 cm au-dessus de la surface de la chape.    </w:t>
      </w:r>
    </w:p>
    <w:p w14:paraId="19EA024A" w14:textId="77777777" w:rsidR="004B2808" w:rsidRDefault="00000000">
      <w:pPr>
        <w:pStyle w:val="heading"/>
      </w:pPr>
      <w:r>
        <w:lastRenderedPageBreak/>
        <w:t>Contrôle du support</w:t>
      </w:r>
    </w:p>
    <w:p w14:paraId="41668003" w14:textId="77777777" w:rsidR="004B2808" w:rsidRDefault="00000000">
      <w:r>
        <w:t>L'entrepreneur vérifie si la surface de pose satisfait aux exigences posées dans la [NIT 193]. Avant le commencement des travaux, l'entrepreneur informe l'auteur de projet et le maître de l'ouvrage des éventuels défauts qu'il a constatés, des erreurs d'exécution ou des dépassements des tolérances ainsi que de la présence éventuelle de déchets (sable, ciment, mortier, plâtre, chaux, etc.). La surface de pose est soigneusement nettoyée et humidifiée avant le commencement des travaux et également en cours d'exécution, si cela s'avère nécessaire. Avant le commencement des travaux, l'entrepreneur effectue un contrôle complet du support en vérifiant si :</w:t>
      </w:r>
    </w:p>
    <w:p w14:paraId="1449D699" w14:textId="77777777" w:rsidR="004B2808" w:rsidRDefault="00000000">
      <w:pPr>
        <w:pStyle w:val="Author-eListParagraph"/>
        <w:numPr>
          <w:ilvl w:val="0"/>
          <w:numId w:val="464"/>
        </w:numPr>
      </w:pPr>
      <w:r>
        <w:t>le support est suffisamment sec et durci;</w:t>
      </w:r>
    </w:p>
    <w:p w14:paraId="6FBA6772" w14:textId="77777777" w:rsidR="004B2808" w:rsidRDefault="00000000">
      <w:pPr>
        <w:pStyle w:val="Author-eListParagraph"/>
        <w:numPr>
          <w:ilvl w:val="0"/>
          <w:numId w:val="464"/>
        </w:numPr>
      </w:pPr>
      <w:r>
        <w:t>la situation de la surface, c'est-à-dire sa planéité et les niveaux, correspondent aux critères de la [NIT 189] - chapitre 6</w:t>
      </w:r>
    </w:p>
    <w:p w14:paraId="5D1F85A3" w14:textId="77777777" w:rsidR="004B2808" w:rsidRDefault="00000000">
      <w:pPr>
        <w:pStyle w:val="Author-eListParagraph"/>
        <w:numPr>
          <w:ilvl w:val="0"/>
          <w:numId w:val="464"/>
        </w:numPr>
      </w:pPr>
      <w:r>
        <w:t>le support ne présente pas de fissures ou de déchirures;</w:t>
      </w:r>
    </w:p>
    <w:p w14:paraId="1D56968F" w14:textId="77777777" w:rsidR="004B2808" w:rsidRDefault="00000000">
      <w:pPr>
        <w:pStyle w:val="Author-eListParagraph"/>
        <w:numPr>
          <w:ilvl w:val="0"/>
          <w:numId w:val="464"/>
        </w:numPr>
      </w:pPr>
      <w:r>
        <w:t>les repères de niveau ont été appliqués en un nombre suffisant d'endroits.</w:t>
      </w:r>
    </w:p>
    <w:p w14:paraId="1DDAA559" w14:textId="77777777" w:rsidR="004B2808" w:rsidRDefault="00000000">
      <w:pPr>
        <w:pStyle w:val="heading"/>
      </w:pPr>
      <w:r>
        <w:t>Conduites encastrées et accessoires</w:t>
      </w:r>
    </w:p>
    <w:p w14:paraId="6806000D" w14:textId="77777777" w:rsidR="004B2808" w:rsidRDefault="00000000">
      <w:r>
        <w:t>(voir aussi [NIT 189] § 6.3.2 - 6.3.3)</w:t>
      </w:r>
    </w:p>
    <w:p w14:paraId="493CDFD1" w14:textId="77777777" w:rsidR="004B2808" w:rsidRDefault="00000000">
      <w:r>
        <w:t>Les conduites intégrées dans la chape doivent être solidement fixées au support. Si ce n'est pas le cas l'entrepreneur informe le maître d'ouvrage. Le cahier spécial des charges spécifie si certaines conduites doivent être libres de dilatation. Au-dessus des conduits, entre la sous-couche et la couche de finition, une armature en treillis doit être appliquée. Les conduites encastrées sont enrobées sur toute leur longueur d'une épaisseur minimale de</w:t>
      </w:r>
      <w:r>
        <w:rPr>
          <w:rStyle w:val="normalChar"/>
        </w:rPr>
        <w:t xml:space="preserve"> 3</w:t>
      </w:r>
      <w:r>
        <w:t xml:space="preserve"> cm. Au préalable, toutes les spécifications, les pentes, les cadres pour paillassons, grilles, puisards, … doivent avoir été indiqués sur le chantier afin de permettre une exécution sans équivoque.  </w:t>
      </w:r>
    </w:p>
    <w:p w14:paraId="3F6340BF" w14:textId="77777777" w:rsidR="004B2808" w:rsidRDefault="00000000">
      <w:pPr>
        <w:pStyle w:val="heading"/>
      </w:pPr>
      <w:r>
        <w:t>Épaisseur  recommandée - cotes de niveau</w:t>
      </w:r>
    </w:p>
    <w:p w14:paraId="5DB7C7D6" w14:textId="77777777" w:rsidR="004B2808" w:rsidRDefault="00000000">
      <w:r>
        <w:t>(voir aussi [NIT 189] §4.2.1)</w:t>
      </w:r>
    </w:p>
    <w:p w14:paraId="6E7A3E85" w14:textId="77777777" w:rsidR="004B2808" w:rsidRDefault="00000000">
      <w:pPr>
        <w:pStyle w:val="Author-eListParagraph"/>
        <w:numPr>
          <w:ilvl w:val="0"/>
          <w:numId w:val="465"/>
        </w:numPr>
      </w:pPr>
      <w:r>
        <w:t>Dans les différents locaux, le niveau fini des chapes doit tenir compte des revêtements qui y sont respectivement prévus (carrelages, revêtements souples, …). La réservation nécessaire pour ceux-ci est précisée dans la cahier spécial des charges.</w:t>
      </w:r>
    </w:p>
    <w:p w14:paraId="62BD7617" w14:textId="77777777" w:rsidR="004B2808" w:rsidRDefault="00000000">
      <w:pPr>
        <w:pStyle w:val="Author-eListParagraph"/>
        <w:numPr>
          <w:ilvl w:val="0"/>
          <w:numId w:val="465"/>
        </w:numPr>
      </w:pPr>
      <w:r>
        <w:t>La face supérieure de tous les revêtements doivent se situer au même niveau (carrelages, revêtements souples, …).</w:t>
      </w:r>
    </w:p>
    <w:p w14:paraId="19684146" w14:textId="77777777" w:rsidR="004B2808" w:rsidRDefault="00000000">
      <w:pPr>
        <w:pStyle w:val="Author-eListParagraph"/>
        <w:numPr>
          <w:ilvl w:val="0"/>
          <w:numId w:val="465"/>
        </w:numPr>
      </w:pPr>
      <w:r>
        <w:t>L'épaisseur de la chape est déterminée en fonction du niveau à atteindre, même si elle est différente des indications sur les plans de détail.    </w:t>
      </w:r>
    </w:p>
    <w:p w14:paraId="4F9CEA01" w14:textId="77777777" w:rsidR="004B2808" w:rsidRDefault="00000000">
      <w:pPr>
        <w:pStyle w:val="heading"/>
      </w:pPr>
      <w:r>
        <w:t>Isolation - Chapes flottantes</w:t>
      </w:r>
    </w:p>
    <w:p w14:paraId="51C9FE75" w14:textId="77777777" w:rsidR="004B2808" w:rsidRDefault="00000000">
      <w:r>
        <w:t>(voir aussi [NIT 189] §8.2 &amp; §8.3)</w:t>
      </w:r>
    </w:p>
    <w:p w14:paraId="4D339D07" w14:textId="77777777" w:rsidR="004B2808" w:rsidRDefault="00000000">
      <w:pPr>
        <w:pStyle w:val="Author-eListParagraph"/>
        <w:numPr>
          <w:ilvl w:val="0"/>
          <w:numId w:val="466"/>
        </w:numPr>
      </w:pPr>
      <w:r>
        <w:t>La réservation totale pour le système isolant + chape permet d'obtenir l'épaisseur minimale de chape conformément à la [NIT 189].</w:t>
      </w:r>
    </w:p>
    <w:p w14:paraId="501BFD2B" w14:textId="77777777" w:rsidR="004B2808" w:rsidRDefault="00000000">
      <w:pPr>
        <w:pStyle w:val="Author-eListParagraph"/>
        <w:numPr>
          <w:ilvl w:val="0"/>
          <w:numId w:val="466"/>
        </w:numPr>
      </w:pPr>
      <w:r>
        <w:t>L'entrepreneur pose l'isolation conformément aux indications de composition du sol. Avant de poser l'isolation, l'entrepreneur doit vérifier si le support permet d'assurer une exécution parfaite des travaux. Dans la négative, il en avertit immédiatement l'auteur de projet afin qu'il puisse prendre les mesures qui s'imposent et qu'on ne doive pas, par la suite, effectuer des adaptations.</w:t>
      </w:r>
    </w:p>
    <w:p w14:paraId="5CCC3C7A" w14:textId="77777777" w:rsidR="004B2808" w:rsidRDefault="00000000">
      <w:pPr>
        <w:pStyle w:val="Author-eListParagraph"/>
        <w:numPr>
          <w:ilvl w:val="0"/>
          <w:numId w:val="466"/>
        </w:numPr>
      </w:pPr>
      <w:r>
        <w:t>Avant l'exécution de la chape, l'auteur de projet est invité sur le chantier afin de contrôler la pose de l'isolation ainsi que l'exécution des détails de raccordement et les recouvrements.</w:t>
      </w:r>
    </w:p>
    <w:p w14:paraId="2238F6B4" w14:textId="77777777" w:rsidR="004B2808" w:rsidRDefault="00000000">
      <w:pPr>
        <w:pStyle w:val="Author-eListParagraph"/>
        <w:numPr>
          <w:ilvl w:val="0"/>
          <w:numId w:val="466"/>
        </w:numPr>
      </w:pPr>
      <w:r>
        <w:t>Dans le cas de revêtements de sol pare-vapeur ou sensibles à l'humidité, de chapes sensibles à l'humidité (par ex. anhydrite), … il est nécessaire de placer un pare-vapeur sous l'isolation, sauf si cette dernière est suffisamment étanche à la vapeur. Avant de couler la chape, les panneaux d'isolation sont protégés par une membrane d'étanchéité.</w:t>
      </w:r>
    </w:p>
    <w:p w14:paraId="7E5D1DD2" w14:textId="77777777" w:rsidR="004B2808" w:rsidRDefault="00000000">
      <w:pPr>
        <w:pStyle w:val="Author-eListParagraph"/>
        <w:numPr>
          <w:ilvl w:val="0"/>
          <w:numId w:val="466"/>
        </w:numPr>
      </w:pPr>
      <w:r>
        <w:t xml:space="preserve">Les chapes coulées sur les panneaux d'isolation sont toujours suffisamment armées. Après l'exécution des travaux, les mesures de protection nécessaires sont mises en place, ainsi que les fixations nécessaires pour tenir les panneaux d'isolation en place. L'exécutant soumet un </w:t>
      </w:r>
      <w:r>
        <w:lastRenderedPageBreak/>
        <w:t>certificat de conformité attestant que les panneaux d'isolation posés satisfont aux conditions prescrites.  </w:t>
      </w:r>
    </w:p>
    <w:p w14:paraId="554DF79A" w14:textId="77777777" w:rsidR="004B2808" w:rsidRDefault="00000000">
      <w:pPr>
        <w:pStyle w:val="heading"/>
      </w:pPr>
      <w:r>
        <w:t>Joints de dilation - Isolation périphérique</w:t>
      </w:r>
    </w:p>
    <w:p w14:paraId="2B20A198" w14:textId="77777777" w:rsidR="004B2808" w:rsidRDefault="00000000">
      <w:pPr>
        <w:pStyle w:val="Author-eListParagraph"/>
        <w:numPr>
          <w:ilvl w:val="0"/>
          <w:numId w:val="467"/>
        </w:numPr>
      </w:pPr>
      <w:r>
        <w:t>Tous les joints de construction du gros-œuvre (joints de tassement et joints de dilatation) sont prolongés dans toute la structure du sol à l'aide des profils et matériaux appropriés, sauf lorsqu'ils sont situés en périphérie.</w:t>
      </w:r>
    </w:p>
    <w:p w14:paraId="1DE4051C" w14:textId="77777777" w:rsidR="004B2808" w:rsidRDefault="00000000">
      <w:pPr>
        <w:pStyle w:val="Author-eListParagraph"/>
        <w:numPr>
          <w:ilvl w:val="0"/>
          <w:numId w:val="467"/>
        </w:numPr>
      </w:pPr>
      <w:r>
        <w:t>Sur les bords, une isolation périphérique est appliquée avec des bandes de polystyrène d'une épaisseur d'au moins 5 mm. Au droit des baies de porte, les joints périphériques ne sont pas interrompus.</w:t>
      </w:r>
    </w:p>
    <w:p w14:paraId="4FA4C230" w14:textId="77777777" w:rsidR="004B2808" w:rsidRDefault="00000000">
      <w:pPr>
        <w:pStyle w:val="Author-eListParagraph"/>
        <w:numPr>
          <w:ilvl w:val="0"/>
          <w:numId w:val="467"/>
        </w:numPr>
      </w:pPr>
      <w:r>
        <w:t>Les chapes adhérentes sont pourvues de joints périphériques lorsqu'il y a danger d'absorption d'eau (par ex. des murs). Les chapes non-adhérentes sont pourvues de joints périphériques et de dilatation. Au moins tous les 15 m, un joint de retrait est prévu. Pour la post-contrainte, des joints aveugles sont découpés tous les 5 m dans les deux directions de la chape.</w:t>
      </w:r>
    </w:p>
    <w:p w14:paraId="7EBA7C0F" w14:textId="77777777" w:rsidR="004B2808" w:rsidRDefault="00000000">
      <w:pPr>
        <w:pStyle w:val="Author-eListParagraph"/>
        <w:numPr>
          <w:ilvl w:val="0"/>
          <w:numId w:val="467"/>
        </w:numPr>
      </w:pPr>
      <w:r>
        <w:t>Le dessin des joints et leur exécution sont soumis pour approbation à l'auteur de projet à défaut d'un plan des joints. Si l'auteur de projet prévoit des implantations précises de joints, celle-ci sont définies au cahier spécial des charges. L'entrepreneur joint à son offre les éventuelles propositions d'adaptation qui ne peuvent être exécutées qu'après l'accord de l'auteur de projet et/ou du maître d'ouvrage.</w:t>
      </w:r>
    </w:p>
    <w:p w14:paraId="5336365F" w14:textId="77777777" w:rsidR="004B2808" w:rsidRDefault="00000000">
      <w:pPr>
        <w:pStyle w:val="Author-eListParagraph"/>
        <w:numPr>
          <w:ilvl w:val="0"/>
          <w:numId w:val="467"/>
        </w:numPr>
      </w:pPr>
      <w:r>
        <w:t>L'exécution des bandes périphériques, des joints de retrait et de mouvement est toujours comprise dans le prix unitaire de l'article.</w:t>
      </w:r>
    </w:p>
    <w:p w14:paraId="61D0BC24" w14:textId="77777777" w:rsidR="004B2808" w:rsidRDefault="00000000">
      <w:pPr>
        <w:pStyle w:val="Author-eListParagraph"/>
        <w:numPr>
          <w:ilvl w:val="0"/>
          <w:numId w:val="467"/>
        </w:numPr>
      </w:pPr>
      <w:r>
        <w:t>Au droit de leur passage dans la dalle de sol et la chape, les conduites verticales sont désolidarisées et isolées (si nécessaire) au moyen d'une technique adéquate.</w:t>
      </w:r>
    </w:p>
    <w:p w14:paraId="1FCEA4EB" w14:textId="77777777" w:rsidR="004B2808" w:rsidRDefault="00000000">
      <w:pPr>
        <w:pStyle w:val="heading"/>
      </w:pPr>
      <w:r>
        <w:t>Couches d'étanchéité</w:t>
      </w:r>
    </w:p>
    <w:p w14:paraId="55999E2A" w14:textId="77777777" w:rsidR="004B2808" w:rsidRDefault="00000000">
      <w:r>
        <w:t>(Voir aussi membranes)</w:t>
      </w:r>
    </w:p>
    <w:p w14:paraId="0155A673" w14:textId="77777777" w:rsidR="004B2808" w:rsidRDefault="00000000">
      <w:pPr>
        <w:pStyle w:val="Author-eListParagraph"/>
        <w:numPr>
          <w:ilvl w:val="0"/>
          <w:numId w:val="468"/>
        </w:numPr>
      </w:pPr>
      <w:r>
        <w:t>Lorsque l'aire de pose n'est pas suffisamment égale ou qu'elle présente des aspérités qui risquent d'endommager la couche de désolidarisation ou d'empêcher localement le déplacement horizontal de la chape, on pose une sous-couche selon les prescriptions des articles concernés du cahier spécial des charges.</w:t>
      </w:r>
    </w:p>
    <w:p w14:paraId="4DDF408D" w14:textId="77777777" w:rsidR="004B2808" w:rsidRDefault="00000000">
      <w:pPr>
        <w:pStyle w:val="Author-eListParagraph"/>
        <w:numPr>
          <w:ilvl w:val="0"/>
          <w:numId w:val="468"/>
        </w:numPr>
      </w:pPr>
      <w:r>
        <w:t>Dans les locaux où le sol est régulièrement et abondamment mouillé (par ex. dans les piscines, lavoirs, cuisines, …), on applique une étanchéité appropriée selon les prescriptions des articles concernés du cahier spécial des charges.</w:t>
      </w:r>
      <w:r>
        <w:rPr>
          <w:rStyle w:val="optioncarChar"/>
        </w:rPr>
        <w:t xml:space="preserve">   </w:t>
      </w:r>
    </w:p>
    <w:p w14:paraId="08BC329A" w14:textId="77777777" w:rsidR="004B2808" w:rsidRDefault="00000000">
      <w:pPr>
        <w:pStyle w:val="heading"/>
      </w:pPr>
      <w:r>
        <w:t>Modalités la mise en œuvre</w:t>
      </w:r>
    </w:p>
    <w:p w14:paraId="36EDE090" w14:textId="77777777" w:rsidR="004B2808" w:rsidRDefault="00000000">
      <w:pPr>
        <w:pStyle w:val="Author-eListParagraph"/>
        <w:numPr>
          <w:ilvl w:val="0"/>
          <w:numId w:val="469"/>
        </w:numPr>
      </w:pPr>
      <w:r>
        <w:t>La chape est appliquée en tenant compte du type et de la nature du revêtement prévu, des pentes et classes de tolérance, des cadres de sol à intégrer, des grilles de sol, …, du schéma des joints et de l'épaisseur ou du niveau de la chape à mettre en œuvre. Le mortier est régulièrement épandu, aplani à la règle le plus rapidement possible au niveau prescrit et bien compacté par tapage, damage ou compactage mécanique afin d'obtenir une parfaite compacité. Une attention particulière est accordée au remplissage des angles entre le support et le relevé. Au droit des joints de reprise suite aux interruptions de travail, les bords sont travaillés en forme de gradins et de peigne et pourvus d'un treillis d'armature. </w:t>
      </w:r>
    </w:p>
    <w:p w14:paraId="5ECCCB01" w14:textId="77777777" w:rsidR="004B2808" w:rsidRDefault="00000000">
      <w:pPr>
        <w:pStyle w:val="Author-eListParagraph"/>
        <w:numPr>
          <w:ilvl w:val="0"/>
          <w:numId w:val="469"/>
        </w:numPr>
      </w:pPr>
      <w:r>
        <w:t>La surface est égalisée manuellement à la taloche (dimensions : +- 20 cm x 30 cm) puis parachevée manuellement à la longue plâtresse de fer (dimensions : 10 cm x 40 cm) ou mécaniquement avec la polisseuse munie d'un disque rotatif plein. Lors de la finition mécanique, ces deux opérations s'effectuent en une phase avec le disque rotatif plein. Les angles et autres endroits difficiles d'accès sont généralement finis manuellement.</w:t>
      </w:r>
    </w:p>
    <w:p w14:paraId="7194C545" w14:textId="77777777" w:rsidR="004B2808" w:rsidRDefault="00000000">
      <w:pPr>
        <w:pStyle w:val="heading"/>
      </w:pPr>
      <w:r>
        <w:t>Durcissement - Temps de séchage</w:t>
      </w:r>
    </w:p>
    <w:p w14:paraId="7360D516" w14:textId="77777777" w:rsidR="004B2808" w:rsidRDefault="00000000">
      <w:pPr>
        <w:pStyle w:val="Author-eListParagraph"/>
        <w:numPr>
          <w:ilvl w:val="0"/>
          <w:numId w:val="470"/>
        </w:numPr>
      </w:pPr>
      <w:r>
        <w:t xml:space="preserve">Les chapes sont protégées contre une dessiccation trop rapide. Les courants d'air et le rayonnement intense sont à proscrire. Les chapes doivent également être protégées contre le gel et toutes sortes d'influences nuisibles. Afin de permettre un durcissement homogène de la chape ou des sols industriels, les différences de températures trop élevées entre l'air ambiant </w:t>
      </w:r>
      <w:r>
        <w:lastRenderedPageBreak/>
        <w:t>et le support, ou entre les différentes zones du support, ainsi que toute forme de courant d'air ou d'ensoleillement direct doivent toujours être évitées. Les délais avant l'occupation partielle ou complète, et particulièrement dans les cas de compositions spéciales, sont déterminés dans les §7.2 et §7.3 de la [NIT 189].</w:t>
      </w:r>
    </w:p>
    <w:p w14:paraId="64DB91EB" w14:textId="77777777" w:rsidR="004B2808" w:rsidRDefault="00000000">
      <w:pPr>
        <w:pStyle w:val="Author-eListParagraph"/>
        <w:numPr>
          <w:ilvl w:val="0"/>
          <w:numId w:val="470"/>
        </w:numPr>
      </w:pPr>
      <w:r>
        <w:t xml:space="preserve">Sauf spécification contraire dans le cahier spécial des charges, les temps d'attente sont conformes aux prescriptions suivantes. La chape ne peut être foulée qu'après trois jours par les ouvriers affectés au chantier. Elle est considérée comme sèche lorsque la teneur en eau déterminée au moyen de la bouteille au carbure de calcium ou de tout autre appareil approprié est égale ou inférieure à 1 %. Les délais suivants pour la prise, le durcissement et la mise en service sont scrupuleusement respectés : </w:t>
      </w:r>
    </w:p>
    <w:p w14:paraId="5679D7FC" w14:textId="77777777" w:rsidR="004B2808" w:rsidRDefault="00000000">
      <w:pPr>
        <w:pStyle w:val="Author-eListParagraph"/>
        <w:numPr>
          <w:ilvl w:val="1"/>
          <w:numId w:val="471"/>
        </w:numPr>
      </w:pPr>
      <w:r>
        <w:t>pendant au moins 3 jours après la pose, l'ambiance doit rester humide et non ventilée.</w:t>
      </w:r>
    </w:p>
    <w:p w14:paraId="1B5FC2CE" w14:textId="77777777" w:rsidR="004B2808" w:rsidRDefault="00000000">
      <w:pPr>
        <w:pStyle w:val="Author-eListParagraph"/>
        <w:numPr>
          <w:ilvl w:val="1"/>
          <w:numId w:val="471"/>
        </w:numPr>
      </w:pPr>
      <w:r>
        <w:t>pendant au moins 7 jours après la pose, la chape doit être protégée des courants d'air.</w:t>
      </w:r>
    </w:p>
    <w:p w14:paraId="43C10DA9" w14:textId="77777777" w:rsidR="004B2808" w:rsidRDefault="00000000">
      <w:pPr>
        <w:pStyle w:val="Author-eListParagraph"/>
        <w:numPr>
          <w:ilvl w:val="1"/>
          <w:numId w:val="471"/>
        </w:numPr>
      </w:pPr>
      <w:r>
        <w:t>la chape peut être prudemment foulée sans surcharges supplémentaires, à partir d'au moins 7 jours après la pose.</w:t>
      </w:r>
    </w:p>
    <w:p w14:paraId="6035E868" w14:textId="77777777" w:rsidR="004B2808" w:rsidRDefault="00000000">
      <w:pPr>
        <w:pStyle w:val="Author-eListParagraph"/>
        <w:numPr>
          <w:ilvl w:val="1"/>
          <w:numId w:val="471"/>
        </w:numPr>
      </w:pPr>
      <w:r>
        <w:t>les premières surcharges normales ne peuvent être appliquées qu'après au moins 15 jours.</w:t>
      </w:r>
    </w:p>
    <w:p w14:paraId="0F21B9B9" w14:textId="77777777" w:rsidR="004B2808" w:rsidRDefault="00000000">
      <w:pPr>
        <w:pStyle w:val="Author-eListParagraph"/>
        <w:numPr>
          <w:ilvl w:val="1"/>
          <w:numId w:val="471"/>
        </w:numPr>
      </w:pPr>
      <w:r>
        <w:t>mise en service complète à partir d' au moins 28 jours après le coulage de la chape.</w:t>
      </w:r>
    </w:p>
    <w:p w14:paraId="1BDE9CD1" w14:textId="77777777" w:rsidR="004B2808" w:rsidRDefault="00000000">
      <w:r>
        <w:rPr>
          <w:b/>
          <w:sz w:val="24"/>
        </w:rPr>
        <w:t>Sécurité</w:t>
      </w:r>
    </w:p>
    <w:p w14:paraId="4632B0A7" w14:textId="77777777" w:rsidR="004B2808" w:rsidRDefault="00000000">
      <w:r>
        <w:t>Conformément à la rubrique 01.45 PSS travaux de parachèvement intérieur, établie par le coordinateur-projet et annexée au présent cahier des charges. Toutes les directives en la matière et les indications concrètes du coordinateur-réalisation sont scrupuleusement respectées.  </w:t>
      </w:r>
    </w:p>
    <w:p w14:paraId="21AFCF63" w14:textId="77777777" w:rsidR="004B2808" w:rsidRDefault="00000000">
      <w:pPr>
        <w:pStyle w:val="pheading"/>
      </w:pPr>
      <w:r>
        <w:t>CONTRÔLES</w:t>
      </w:r>
    </w:p>
    <w:p w14:paraId="70B3BED6" w14:textId="77777777" w:rsidR="004B2808" w:rsidRDefault="00000000">
      <w:r>
        <w:t>Du fait de leur soumission, les soumissionnaires acceptent explicitement d'assumer l'entière responsabilité en ce qui concerne la bonne qualité des chapes prescrites. Le contrôle sert à vérifier si le poste d'exécution concerné répond aux exigences du cahier général des charges, aux documents de référence et au cahier spécial des charges. Les performances soumises au contrôle et exigées des chapes sont les suivantes :</w:t>
      </w:r>
    </w:p>
    <w:p w14:paraId="3AAD0896" w14:textId="77777777" w:rsidR="004B2808" w:rsidRDefault="00000000">
      <w:pPr>
        <w:pStyle w:val="heading"/>
      </w:pPr>
      <w:r>
        <w:t>Contrôle de l'état de la surface (égalité et planéité)</w:t>
      </w:r>
    </w:p>
    <w:p w14:paraId="1B2F2B40" w14:textId="77777777" w:rsidR="004B2808" w:rsidRDefault="00000000">
      <w:r>
        <w:t>La chape est entièrement plane et se situe au niveau prescrit. La surface ne présente aucune irrégularité. Elle doit être lisse, propre et régulière. Si après l'exécution, la chape ne devait pas répondre à ces critères d'égalité et de planéité, l'entrepreneur pose à ses frais une couche d'égalisation autonivelante. Lorsque la chape est sèche, l'égalité est contrôlée à l'aide d'une série de lattes en métal. Les écarts ne sont pas supérieurs à :</w:t>
      </w:r>
    </w:p>
    <w:tbl>
      <w:tblPr>
        <w:tblStyle w:val="Author-eTableGrid"/>
        <w:tblW w:w="5000" w:type="pct"/>
        <w:tblLayout w:type="fixed"/>
        <w:tblLook w:val="04A0" w:firstRow="1" w:lastRow="0" w:firstColumn="1" w:lastColumn="0" w:noHBand="0" w:noVBand="1"/>
      </w:tblPr>
      <w:tblGrid>
        <w:gridCol w:w="2274"/>
        <w:gridCol w:w="2274"/>
        <w:gridCol w:w="2275"/>
        <w:gridCol w:w="2275"/>
      </w:tblGrid>
      <w:tr w:rsidR="004B2808" w14:paraId="425E25E9" w14:textId="77777777">
        <w:tc>
          <w:tcPr>
            <w:tcW w:w="2250" w:type="dxa"/>
            <w:noWrap/>
          </w:tcPr>
          <w:p w14:paraId="7B9AF809" w14:textId="77777777" w:rsidR="004B2808" w:rsidRDefault="00000000">
            <w:r>
              <w:rPr>
                <w:b/>
              </w:rPr>
              <w:t>Classe de planéité [NIT 189]</w:t>
            </w:r>
          </w:p>
        </w:tc>
        <w:tc>
          <w:tcPr>
            <w:tcW w:w="2250" w:type="dxa"/>
            <w:noWrap/>
          </w:tcPr>
          <w:p w14:paraId="032A5D8C" w14:textId="77777777" w:rsidR="004B2808" w:rsidRDefault="00000000">
            <w:pPr>
              <w:jc w:val="center"/>
            </w:pPr>
            <w:r>
              <w:rPr>
                <w:b/>
              </w:rPr>
              <w:t xml:space="preserve">1 (tolérances sévères) </w:t>
            </w:r>
          </w:p>
        </w:tc>
        <w:tc>
          <w:tcPr>
            <w:tcW w:w="2250" w:type="dxa"/>
            <w:noWrap/>
          </w:tcPr>
          <w:p w14:paraId="0B53631C" w14:textId="77777777" w:rsidR="004B2808" w:rsidRDefault="00000000">
            <w:pPr>
              <w:jc w:val="center"/>
            </w:pPr>
            <w:r>
              <w:rPr>
                <w:b/>
              </w:rPr>
              <w:t>2 (tolérances normales</w:t>
            </w:r>
            <w:r>
              <w:t>)</w:t>
            </w:r>
          </w:p>
        </w:tc>
        <w:tc>
          <w:tcPr>
            <w:tcW w:w="2250" w:type="dxa"/>
            <w:noWrap/>
          </w:tcPr>
          <w:p w14:paraId="190DD2D6" w14:textId="77777777" w:rsidR="004B2808" w:rsidRDefault="00000000">
            <w:pPr>
              <w:jc w:val="center"/>
            </w:pPr>
            <w:r>
              <w:rPr>
                <w:b/>
              </w:rPr>
              <w:t>3 (tolérances larges)</w:t>
            </w:r>
          </w:p>
        </w:tc>
      </w:tr>
      <w:tr w:rsidR="004B2808" w14:paraId="18D786F6" w14:textId="77777777">
        <w:tc>
          <w:tcPr>
            <w:tcW w:w="2250" w:type="dxa"/>
            <w:noWrap/>
          </w:tcPr>
          <w:p w14:paraId="30E145DB" w14:textId="77777777" w:rsidR="004B2808" w:rsidRDefault="00000000">
            <w:r>
              <w:t>sous une latte rigide de 1 m</w:t>
            </w:r>
          </w:p>
        </w:tc>
        <w:tc>
          <w:tcPr>
            <w:tcW w:w="2250" w:type="dxa"/>
            <w:noWrap/>
          </w:tcPr>
          <w:p w14:paraId="4D41BB6C" w14:textId="77777777" w:rsidR="004B2808" w:rsidRDefault="00000000">
            <w:pPr>
              <w:jc w:val="center"/>
            </w:pPr>
            <w:r>
              <w:t>&lt; 2 mm</w:t>
            </w:r>
          </w:p>
        </w:tc>
        <w:tc>
          <w:tcPr>
            <w:tcW w:w="2250" w:type="dxa"/>
            <w:noWrap/>
          </w:tcPr>
          <w:p w14:paraId="6DC00868" w14:textId="77777777" w:rsidR="004B2808" w:rsidRDefault="00000000">
            <w:pPr>
              <w:jc w:val="center"/>
            </w:pPr>
            <w:r>
              <w:t>&lt; 3 mm</w:t>
            </w:r>
          </w:p>
        </w:tc>
        <w:tc>
          <w:tcPr>
            <w:tcW w:w="2250" w:type="dxa"/>
            <w:noWrap/>
          </w:tcPr>
          <w:p w14:paraId="7B0F6661" w14:textId="77777777" w:rsidR="004B2808" w:rsidRDefault="00000000">
            <w:pPr>
              <w:jc w:val="center"/>
            </w:pPr>
            <w:r>
              <w:t>&lt; 5 mm</w:t>
            </w:r>
          </w:p>
        </w:tc>
      </w:tr>
      <w:tr w:rsidR="004B2808" w14:paraId="1EBA5C85" w14:textId="77777777">
        <w:tc>
          <w:tcPr>
            <w:tcW w:w="2250" w:type="dxa"/>
            <w:noWrap/>
          </w:tcPr>
          <w:p w14:paraId="1F613840" w14:textId="77777777" w:rsidR="004B2808" w:rsidRDefault="00000000">
            <w:r>
              <w:t>sous une latte rigide de 2 m</w:t>
            </w:r>
          </w:p>
        </w:tc>
        <w:tc>
          <w:tcPr>
            <w:tcW w:w="2250" w:type="dxa"/>
            <w:noWrap/>
          </w:tcPr>
          <w:p w14:paraId="6FB7C185" w14:textId="77777777" w:rsidR="004B2808" w:rsidRDefault="00000000">
            <w:pPr>
              <w:jc w:val="center"/>
            </w:pPr>
            <w:r>
              <w:t>&lt; 3 mm</w:t>
            </w:r>
          </w:p>
        </w:tc>
        <w:tc>
          <w:tcPr>
            <w:tcW w:w="2250" w:type="dxa"/>
            <w:noWrap/>
          </w:tcPr>
          <w:p w14:paraId="7787F616" w14:textId="77777777" w:rsidR="004B2808" w:rsidRDefault="00000000">
            <w:pPr>
              <w:jc w:val="center"/>
            </w:pPr>
            <w:r>
              <w:t>&lt; 4 mm</w:t>
            </w:r>
          </w:p>
        </w:tc>
        <w:tc>
          <w:tcPr>
            <w:tcW w:w="2250" w:type="dxa"/>
            <w:noWrap/>
          </w:tcPr>
          <w:p w14:paraId="35F8A40D" w14:textId="77777777" w:rsidR="004B2808" w:rsidRDefault="00000000">
            <w:pPr>
              <w:jc w:val="center"/>
            </w:pPr>
            <w:r>
              <w:t>&lt; 6 mm</w:t>
            </w:r>
          </w:p>
        </w:tc>
      </w:tr>
    </w:tbl>
    <w:p w14:paraId="6E7C0CF7" w14:textId="77777777" w:rsidR="004B2808" w:rsidRDefault="00000000">
      <w:r>
        <w:t>Sauf prescriptions spécifiques dans le cahier spécial des charges, la classe 2 est toujours requise (le cas échéant, une distinction peut être faite entre les chapes destinées à recevoir un carrelage et celles pour les revêtements de sol souples). La pose collée d'éléments de grands formats nécessite une classe 1 (cf. [NIT 237] § 6.1.3.3).</w:t>
      </w:r>
    </w:p>
    <w:p w14:paraId="280A57D8" w14:textId="77777777" w:rsidR="004B2808" w:rsidRDefault="00000000">
      <w:r>
        <w:t> </w:t>
      </w:r>
    </w:p>
    <w:p w14:paraId="2FD8B38A" w14:textId="77777777" w:rsidR="004B2808" w:rsidRDefault="00000000">
      <w:pPr>
        <w:pStyle w:val="heading"/>
      </w:pPr>
      <w:r>
        <w:t>Contrôle des performances dimensionnelles (cote de niveau)</w:t>
      </w:r>
    </w:p>
    <w:p w14:paraId="276C8635" w14:textId="77777777" w:rsidR="004B2808" w:rsidRDefault="00000000">
      <w:r>
        <w:t>Ecart maximal en mm d'un point de l'aire de pose située à une distance d (en m) de la cote de niveau la plus proche.</w:t>
      </w:r>
    </w:p>
    <w:p w14:paraId="09656743" w14:textId="77777777" w:rsidR="004B2808" w:rsidRDefault="00000000">
      <w:pPr>
        <w:pStyle w:val="Author-eListParagraph"/>
        <w:numPr>
          <w:ilvl w:val="0"/>
          <w:numId w:val="472"/>
        </w:numPr>
      </w:pPr>
      <w:r>
        <w:lastRenderedPageBreak/>
        <w:t>± 10 mm pour d ≤ 3 m.</w:t>
      </w:r>
    </w:p>
    <w:p w14:paraId="12373E2C" w14:textId="77777777" w:rsidR="004B2808" w:rsidRDefault="00000000">
      <w:pPr>
        <w:pStyle w:val="Author-eListParagraph"/>
        <w:numPr>
          <w:ilvl w:val="0"/>
          <w:numId w:val="472"/>
        </w:numPr>
      </w:pPr>
      <w:r>
        <w:t>± 15 mm pour 3 m &lt; d ≤ 6 m.</w:t>
      </w:r>
    </w:p>
    <w:p w14:paraId="6C58E6BD" w14:textId="77777777" w:rsidR="004B2808" w:rsidRDefault="00000000">
      <w:pPr>
        <w:pStyle w:val="Author-eListParagraph"/>
        <w:numPr>
          <w:ilvl w:val="0"/>
          <w:numId w:val="472"/>
        </w:numPr>
      </w:pPr>
      <w:r>
        <w:t>± 20 mm pour 6 m &lt; d ≤ 15m</w:t>
      </w:r>
    </w:p>
    <w:p w14:paraId="2998C8D0" w14:textId="77777777" w:rsidR="004B2808" w:rsidRDefault="00000000">
      <w:r>
        <w:t>Si la hauteur de la chape elle-même est supérieure à 8 cm , cette différence de hauteur doit être compensée par une couche d'égalisation appliquée avant la pose de la chape (composition selon la [NIT 193] ).</w:t>
      </w:r>
    </w:p>
    <w:p w14:paraId="655C999E" w14:textId="77777777" w:rsidR="004B2808" w:rsidRDefault="00000000">
      <w:pPr>
        <w:pStyle w:val="heading"/>
      </w:pPr>
      <w:r>
        <w:t>Contrôle des performances mécaniques (résistance à la compression et résistance au poinçon dynamique)</w:t>
      </w:r>
    </w:p>
    <w:p w14:paraId="2C7E3C3C" w14:textId="77777777" w:rsidR="004B2808" w:rsidRDefault="00000000">
      <w:r>
        <w:t>Conformément aux prescriptions de la [NIT 189] (1993).</w:t>
      </w:r>
    </w:p>
    <w:p w14:paraId="01D98A9D" w14:textId="77777777" w:rsidR="004B2808" w:rsidRDefault="00000000">
      <w:pPr>
        <w:pStyle w:val="Author-eListParagraph"/>
        <w:numPr>
          <w:ilvl w:val="0"/>
          <w:numId w:val="473"/>
        </w:numPr>
      </w:pPr>
      <w:r>
        <w:t xml:space="preserve">Carreaux d'essai à fabriquer : </w:t>
      </w:r>
      <w:r>
        <w:rPr>
          <w:rStyle w:val="optioncarChar"/>
        </w:rPr>
        <w:t>2</w:t>
      </w:r>
      <w:r>
        <w:t> (par défaut) </w:t>
      </w:r>
      <w:r>
        <w:rPr>
          <w:rStyle w:val="optioncarChar"/>
        </w:rPr>
        <w:t>/ ***</w:t>
      </w:r>
      <w:r>
        <w:t>  par 1000 m²  de chape à exécuter et par semaine de travail.</w:t>
      </w:r>
    </w:p>
    <w:p w14:paraId="11A76116" w14:textId="77777777" w:rsidR="004B2808" w:rsidRDefault="00000000">
      <w:pPr>
        <w:pStyle w:val="Author-eListParagraph"/>
        <w:numPr>
          <w:ilvl w:val="0"/>
          <w:numId w:val="473"/>
        </w:numPr>
      </w:pPr>
      <w:r>
        <w:t>Résistance à la compression requise : min. 8 N/mm²</w:t>
      </w:r>
    </w:p>
    <w:p w14:paraId="5D443760" w14:textId="77777777" w:rsidR="004B2808" w:rsidRDefault="00000000">
      <w:pPr>
        <w:pStyle w:val="Author-eListParagraph"/>
        <w:numPr>
          <w:ilvl w:val="0"/>
          <w:numId w:val="473"/>
        </w:numPr>
      </w:pPr>
      <w:r>
        <w:t>Résistance au poinçon dynamique : profondeur moyenne de poinçonnage après 4 chocs &lt;= 3 mm . Profondeur maximale du poinçonnage après 4 chocs &lt;= 5 mm .</w:t>
      </w:r>
    </w:p>
    <w:p w14:paraId="1D0D3911" w14:textId="77777777" w:rsidR="004B2808" w:rsidRDefault="00000000">
      <w:r>
        <w:t>Lorsque les performances mécaniques sont imposées, les méthodes d'essai prévues et le moment du contrôle doivent également être indiqués, ainsi que le responsable de la préparation des échantillons, de la commande dans un laboratoire agréé ainsi que du paiement des frais (en principe, aux frais du perdant).</w:t>
      </w:r>
    </w:p>
    <w:p w14:paraId="1F52F6D4" w14:textId="77777777" w:rsidR="004B2808" w:rsidRDefault="00000000">
      <w:pPr>
        <w:pStyle w:val="pheading"/>
      </w:pPr>
      <w:r>
        <w:t>DOCUMENTS DE RÉFÉRENCE</w:t>
      </w:r>
    </w:p>
    <w:p w14:paraId="4CD3D897" w14:textId="77777777" w:rsidR="004B2808" w:rsidRDefault="00000000">
      <w:pPr>
        <w:pStyle w:val="pheading"/>
      </w:pPr>
      <w:r>
        <w:t>- Matériau</w:t>
      </w:r>
    </w:p>
    <w:p w14:paraId="7628EDD2" w14:textId="77777777" w:rsidR="004B2808" w:rsidRDefault="00000000">
      <w:r>
        <w:t>[NIT 177, Vocabulaire des chapes.]</w:t>
      </w:r>
    </w:p>
    <w:p w14:paraId="1B3890BF" w14:textId="77777777" w:rsidR="004B2808" w:rsidRDefault="00000000">
      <w:r>
        <w:t>[NIT 189, Les chapes pour couvre-sols. 1ère partie : Matériaux - Performances - Réception.]</w:t>
      </w:r>
    </w:p>
    <w:p w14:paraId="6415A1D0" w14:textId="77777777" w:rsidR="004B2808" w:rsidRDefault="00000000">
      <w:r>
        <w:t>[NIT 193, Les chapes. 2e partie: Mise en oeuvre.]</w:t>
      </w:r>
    </w:p>
    <w:p w14:paraId="2CED8BC5" w14:textId="77777777" w:rsidR="004B2808" w:rsidRDefault="00000000">
      <w:r>
        <w:t>[NIT 267, Sols intérieurs en béton (révision de la NIT 204)]</w:t>
      </w:r>
    </w:p>
    <w:p w14:paraId="3017CAED" w14:textId="77777777" w:rsidR="004B2808" w:rsidRDefault="00000000">
      <w:r>
        <w:t>[NIT 277, Code de bonne pratique pour la mise en oeuvre des revêtements de sol à base de résine réactive.]</w:t>
      </w:r>
    </w:p>
    <w:p w14:paraId="1BD0AF15" w14:textId="77777777" w:rsidR="004B2808" w:rsidRDefault="00000000">
      <w:r>
        <w:t>[NBN EN 13318, Matériau pour chape et chapes - Terminologie]</w:t>
      </w:r>
    </w:p>
    <w:p w14:paraId="2FD968F5" w14:textId="77777777" w:rsidR="004B2808" w:rsidRDefault="00000000">
      <w:r>
        <w:t>[NBN EN 1937, Méthode d'essai pour les mortiers de lissage et/ou de nivellement à prise hydraulique - Préparation des mélanges]</w:t>
      </w:r>
    </w:p>
    <w:p w14:paraId="429C5EEA" w14:textId="77777777" w:rsidR="004B2808" w:rsidRDefault="00000000">
      <w:r>
        <w:t>[NBN EN 13813, Matériaux de chapes et chapes - Matériaux de chapes - Propriétés et exigences]</w:t>
      </w:r>
    </w:p>
    <w:p w14:paraId="03F1FDAB" w14:textId="77777777" w:rsidR="004B2808" w:rsidRDefault="00000000">
      <w:pPr>
        <w:ind w:left="750"/>
      </w:pPr>
      <w:r>
        <w:t> </w:t>
      </w:r>
    </w:p>
    <w:p w14:paraId="759D479C" w14:textId="77777777" w:rsidR="004B2808" w:rsidRDefault="00000000">
      <w:pPr>
        <w:pStyle w:val="pheading"/>
      </w:pPr>
      <w:r>
        <w:t>- Exécution</w:t>
      </w:r>
    </w:p>
    <w:p w14:paraId="2DD1183F" w14:textId="77777777" w:rsidR="004B2808" w:rsidRDefault="00000000">
      <w:r>
        <w:t>Caractéristiques mécaniques et contrôle des chapes ([Buildwise Article Revue (1989/3-4.6), Caractéristiques mécaniques et contrôle des chapes.] )</w:t>
      </w:r>
      <w:r>
        <w:br/>
        <w:t>Teneur en humidité des chapes ([Buildwise Article Dossier (2010/3.13), Teneur en humidité des chapes et réduction du temps de séchage.] )</w:t>
      </w:r>
      <w:r>
        <w:br/>
        <w:t>Chapes : avec ou sans joints de mouvement ([Buildwise Article Dossier (2010/3.13), Teneur en humidité des chapes et réduction du temps de séchage.] )</w:t>
      </w:r>
      <w:r>
        <w:br/>
        <w:t>Chapes fluides à base de ciment ([Buildwise Article Dossier (2005/3.09), Chapes fluides à base de ciment.] )</w:t>
      </w:r>
      <w:r>
        <w:br/>
        <w:t xml:space="preserve">Chapes et mortiers de chapes : propriétés et exigences ([Buildwise Article Dossier (2006/4.02), Chapes et mortiers de chapes : propriétés et exigences.] ) </w:t>
      </w:r>
      <w:r>
        <w:br/>
        <w:t>Isolation pour chapes flottantes : critères de déformabilité ([Buildwise Magazine Contact n°28 (2010/4), CSTC Contact n°28 (2010/4)] )</w:t>
      </w:r>
    </w:p>
    <w:p w14:paraId="499BE401" w14:textId="77777777" w:rsidR="004B2808" w:rsidRDefault="00000000">
      <w:pPr>
        <w:ind w:left="750"/>
      </w:pPr>
      <w:r>
        <w:t> </w:t>
      </w:r>
    </w:p>
    <w:p w14:paraId="7C86E043" w14:textId="77777777" w:rsidR="004B2808" w:rsidRDefault="00000000">
      <w:pPr>
        <w:pStyle w:val="pheading"/>
      </w:pPr>
      <w:r>
        <w:t>AIDE</w:t>
      </w:r>
    </w:p>
    <w:p w14:paraId="5D566BBD" w14:textId="77777777" w:rsidR="004B2808" w:rsidRDefault="00000000">
      <w:r>
        <w:rPr>
          <w:i/>
          <w:u w:val="single"/>
        </w:rPr>
        <w:lastRenderedPageBreak/>
        <w:t xml:space="preserve">Note à l'attention de l'auteur de projet </w:t>
      </w:r>
    </w:p>
    <w:p w14:paraId="5770262C" w14:textId="77777777" w:rsidR="004B2808" w:rsidRDefault="00000000">
      <w:pPr>
        <w:pStyle w:val="Author-eListParagraph"/>
        <w:numPr>
          <w:ilvl w:val="0"/>
          <w:numId w:val="474"/>
        </w:numPr>
      </w:pPr>
      <w:r>
        <w:t xml:space="preserve">Comme les couches de compression en béton font partie des dalles portantes, elles ne sont pas comptées comme une chape et sont traitées au 22.15.5 Couches de compression. </w:t>
      </w:r>
    </w:p>
    <w:p w14:paraId="04755123" w14:textId="77777777" w:rsidR="004B2808" w:rsidRDefault="00000000">
      <w:pPr>
        <w:pStyle w:val="Author-eListParagraph"/>
        <w:numPr>
          <w:ilvl w:val="0"/>
          <w:numId w:val="474"/>
        </w:numPr>
      </w:pPr>
      <w:r>
        <w:t xml:space="preserve">Quelquefois, les sols d'entreprise monolithiques peuvent toutefois servir de dalle de sol. </w:t>
      </w:r>
    </w:p>
    <w:p w14:paraId="23B65574" w14:textId="77777777" w:rsidR="004B2808" w:rsidRDefault="00000000">
      <w:r>
        <w:br/>
      </w:r>
      <w:r>
        <w:rPr>
          <w:i/>
          <w:u w:val="single"/>
        </w:rPr>
        <w:t xml:space="preserve">Note à l'attention de l'auteur de projet </w:t>
      </w:r>
    </w:p>
    <w:p w14:paraId="24F8FD49" w14:textId="77777777" w:rsidR="004B2808" w:rsidRDefault="00000000">
      <w:pPr>
        <w:pStyle w:val="Author-eListParagraph"/>
        <w:numPr>
          <w:ilvl w:val="0"/>
          <w:numId w:val="475"/>
        </w:numPr>
      </w:pPr>
      <w:r>
        <w:t> chapes adhérentes : en général, l'application d'une armature n'est pas indispensable</w:t>
      </w:r>
    </w:p>
    <w:p w14:paraId="7F19B18F" w14:textId="77777777" w:rsidR="004B2808" w:rsidRDefault="00000000">
      <w:pPr>
        <w:pStyle w:val="Author-eListParagraph"/>
        <w:numPr>
          <w:ilvl w:val="0"/>
          <w:numId w:val="475"/>
        </w:numPr>
      </w:pPr>
      <w:r>
        <w:t> chapes non adhérentes : l'application d'une armature est recommandée pour limiter le risque de fissuration</w:t>
      </w:r>
    </w:p>
    <w:p w14:paraId="17BDA533" w14:textId="77777777" w:rsidR="004B2808" w:rsidRDefault="00000000">
      <w:pPr>
        <w:pStyle w:val="Author-eListParagraph"/>
        <w:numPr>
          <w:ilvl w:val="0"/>
          <w:numId w:val="475"/>
        </w:numPr>
      </w:pPr>
      <w:r>
        <w:t> chapes flottantes : il est indispensable d'appliquer une armature et de la prévoir au bon endroit</w:t>
      </w:r>
    </w:p>
    <w:p w14:paraId="61775EE1" w14:textId="77777777" w:rsidR="004B2808" w:rsidRDefault="00000000">
      <w:pPr>
        <w:pStyle w:val="Author-eListParagraph"/>
        <w:numPr>
          <w:ilvl w:val="0"/>
          <w:numId w:val="475"/>
        </w:numPr>
      </w:pPr>
      <w:r>
        <w:t>dans le cas de l'utilisation de revêtements durs (céramique, pierre naturelle) et de sols faiblement sollicités, une chape adhérente avec une résistance inférieure à 8 N/mm² peut se comporter de façon satisfaisante.</w:t>
      </w:r>
    </w:p>
    <w:p w14:paraId="3B7FD746" w14:textId="77777777" w:rsidR="004B2808" w:rsidRDefault="00000000">
      <w:pPr>
        <w:pStyle w:val="Author-eSectionHeading3Numberless"/>
      </w:pPr>
      <w:bookmarkStart w:id="516" w:name="_Toc220490690"/>
      <w:r>
        <w:t>53.1 Sous-couches CCTB 01.02</w:t>
      </w:r>
      <w:bookmarkEnd w:id="516"/>
    </w:p>
    <w:p w14:paraId="327263BC" w14:textId="77777777" w:rsidR="004B2808" w:rsidRDefault="00000000">
      <w:pPr>
        <w:pStyle w:val="pheading"/>
      </w:pPr>
      <w:bookmarkStart w:id="517" w:name="1257"/>
      <w:bookmarkEnd w:id="517"/>
      <w:r>
        <w:t>DESCRIPTION</w:t>
      </w:r>
    </w:p>
    <w:p w14:paraId="6968EBD3" w14:textId="77777777" w:rsidR="004B2808" w:rsidRDefault="00000000">
      <w:pPr>
        <w:pStyle w:val="pheading"/>
      </w:pPr>
      <w:r>
        <w:t>- Définition / Comprend</w:t>
      </w:r>
    </w:p>
    <w:p w14:paraId="792BF742" w14:textId="77777777" w:rsidR="004B2808" w:rsidRDefault="00000000">
      <w:r>
        <w:t>Les couches de remplissage absorbent toutes les irrégularités, les brusques différences de niveau, et recouvrent toutes les conduites, boîtes, gaines, tuyaux, etc. posées sur le support, de façon telle que la chape puisse être posée sur une épaisseur constante. Les équipements nécessaires à la réalisation des joints périphériques et de tassement sont compris.</w:t>
      </w:r>
    </w:p>
    <w:p w14:paraId="26B9979D" w14:textId="77777777" w:rsidR="004B2808" w:rsidRDefault="00000000">
      <w:pPr>
        <w:pStyle w:val="pheading"/>
      </w:pPr>
      <w:r>
        <w:t>MATÉRIAUX</w:t>
      </w:r>
    </w:p>
    <w:p w14:paraId="38FA2698" w14:textId="77777777" w:rsidR="004B2808" w:rsidRDefault="00000000">
      <w:pPr>
        <w:pStyle w:val="Author-eListParagraph"/>
        <w:numPr>
          <w:ilvl w:val="0"/>
          <w:numId w:val="476"/>
        </w:numPr>
      </w:pPr>
      <w:r>
        <w:t>ne subissent pas de retrait (stabilité dimensionnelle) après la pose.</w:t>
      </w:r>
    </w:p>
    <w:p w14:paraId="6FA776C6" w14:textId="77777777" w:rsidR="004B2808" w:rsidRDefault="00000000">
      <w:pPr>
        <w:pStyle w:val="Author-eListParagraph"/>
        <w:numPr>
          <w:ilvl w:val="0"/>
          <w:numId w:val="476"/>
        </w:numPr>
      </w:pPr>
      <w:r>
        <w:t>sont imputrescibles et ne constituent pas un bouillon de culture pour la vermine, les bactéries ou les moisissures.</w:t>
      </w:r>
    </w:p>
    <w:p w14:paraId="068476CE" w14:textId="77777777" w:rsidR="004B2808" w:rsidRDefault="00000000">
      <w:pPr>
        <w:pStyle w:val="Author-eListParagraph"/>
        <w:numPr>
          <w:ilvl w:val="0"/>
          <w:numId w:val="476"/>
        </w:numPr>
      </w:pPr>
      <w:r>
        <w:t>présentent une résistance mécanique suffisante.</w:t>
      </w:r>
    </w:p>
    <w:p w14:paraId="22CE6D77" w14:textId="77777777" w:rsidR="004B2808" w:rsidRDefault="00000000">
      <w:pPr>
        <w:pStyle w:val="pheading"/>
      </w:pPr>
      <w:r>
        <w:t>EXÉCUTION / MISE EN ŒUVRE</w:t>
      </w:r>
    </w:p>
    <w:p w14:paraId="644A43A6" w14:textId="77777777" w:rsidR="004B2808" w:rsidRDefault="00000000">
      <w:r>
        <w:t>Les couches de remplissage sont régies par les dispositions de la [NIT 193] § 3. Les niveaux des couches de remplissage satisferont aux exigences de la [NIT 189] §4.2.1.3. Le niveau fini devra toujours tenir compte de l'épaisseur de la chape et du revêtement de sol. Les couches de remplissage seront appliquées sur une aire de pose nettoyée et seront lissées. Elles seront toujours désolidarisées des murs et des autres interruptions en interposant des bandes d'au moins 5 mm d'épaisseur en mousse de polyéthylène ou d'une autre matière synthétique. Les joints de tassement des constructions seront toujours prolongés dans la couche de remplissage.</w:t>
      </w:r>
    </w:p>
    <w:p w14:paraId="101213D8" w14:textId="77777777" w:rsidR="004B2808" w:rsidRDefault="00000000">
      <w:pPr>
        <w:pStyle w:val="Author-eSectionHeading4Numberless"/>
      </w:pPr>
      <w:bookmarkStart w:id="518" w:name="_Toc220490691"/>
      <w:r>
        <w:t>53.11 Sous-couches de remplissage ou d'égalisation CCTB 01.11</w:t>
      </w:r>
      <w:bookmarkEnd w:id="518"/>
    </w:p>
    <w:p w14:paraId="20900576" w14:textId="77777777" w:rsidR="004B2808" w:rsidRDefault="00000000">
      <w:pPr>
        <w:pStyle w:val="pheading"/>
      </w:pPr>
      <w:bookmarkStart w:id="519" w:name="1191"/>
      <w:bookmarkEnd w:id="519"/>
      <w:r>
        <w:t>EXÉCUTION / MISE EN ŒUVRE</w:t>
      </w:r>
    </w:p>
    <w:p w14:paraId="502E37FD" w14:textId="77777777" w:rsidR="004B2808" w:rsidRDefault="00000000">
      <w:pPr>
        <w:jc w:val="both"/>
      </w:pPr>
      <w:r>
        <w:t xml:space="preserve">Avant exécution, l’entrepreneur contrôle les niveaux existants et à réaliser. </w:t>
      </w:r>
    </w:p>
    <w:p w14:paraId="1826C0A0" w14:textId="77777777" w:rsidR="004B2808" w:rsidRDefault="00000000">
      <w:pPr>
        <w:jc w:val="both"/>
      </w:pPr>
      <w:r>
        <w:t xml:space="preserve"> Il vérifie que les différents éléments (isolations, chapes, membranes, revêtements de sol, …) qui composent le plancher peuvent être mis en œuvre dans les épaisseurs prévues.</w:t>
      </w:r>
    </w:p>
    <w:p w14:paraId="21B87A31" w14:textId="77777777" w:rsidR="004B2808" w:rsidRDefault="00000000">
      <w:pPr>
        <w:jc w:val="both"/>
      </w:pPr>
      <w:r>
        <w:t xml:space="preserve"> Le cas échéant, il en informe la direction des travaux afin de déterminer les mesures nécessaires pour permettre la réalisation.</w:t>
      </w:r>
    </w:p>
    <w:p w14:paraId="3D3468E4" w14:textId="77777777" w:rsidR="004B2808" w:rsidRDefault="00000000">
      <w:pPr>
        <w:pStyle w:val="Author-eSectionHeading5Numberless"/>
      </w:pPr>
      <w:bookmarkStart w:id="520" w:name="_Toc220490692"/>
      <w:r>
        <w:t>53.11.1 Sous-couches de remplissage ou d'égalisation à base de granulats liés CCTB 01.10</w:t>
      </w:r>
      <w:bookmarkEnd w:id="520"/>
    </w:p>
    <w:p w14:paraId="1EA8CA6C" w14:textId="77777777" w:rsidR="004B2808" w:rsidRDefault="00000000">
      <w:pPr>
        <w:pStyle w:val="pheading"/>
      </w:pPr>
      <w:r>
        <w:t>DESCRIPTION</w:t>
      </w:r>
    </w:p>
    <w:p w14:paraId="4C6A51AC" w14:textId="77777777" w:rsidR="004B2808" w:rsidRDefault="00000000">
      <w:pPr>
        <w:pStyle w:val="pheading"/>
      </w:pPr>
      <w:r>
        <w:lastRenderedPageBreak/>
        <w:t>- Définition / Comprend</w:t>
      </w:r>
    </w:p>
    <w:p w14:paraId="25CC156B" w14:textId="77777777" w:rsidR="004B2808" w:rsidRDefault="00000000">
      <w:r>
        <w:t>Les couches de remplissage absorbent toutes les irrégularités, les brusques différences de niveau, et recouvrent toutes les conduites, boîtes, gaines, tuyaux, etc. posées sur le support, de façon telle que la chape puisse être posée sur une épaisseur constante. Les équipements nécessaires à la réalisation des joints périphériques et de tassement sont compris.</w:t>
      </w:r>
    </w:p>
    <w:p w14:paraId="215E6CDC" w14:textId="77777777" w:rsidR="004B2808" w:rsidRDefault="00000000">
      <w:pPr>
        <w:pStyle w:val="pheading"/>
      </w:pPr>
      <w:r>
        <w:t>MATÉRIAUX</w:t>
      </w:r>
    </w:p>
    <w:p w14:paraId="3E82F63C" w14:textId="77777777" w:rsidR="004B2808" w:rsidRDefault="00000000">
      <w:r>
        <w:t>Les matériaux :</w:t>
      </w:r>
    </w:p>
    <w:p w14:paraId="412D2C1F" w14:textId="77777777" w:rsidR="004B2808" w:rsidRDefault="00000000">
      <w:pPr>
        <w:pStyle w:val="Author-eListParagraph"/>
        <w:numPr>
          <w:ilvl w:val="0"/>
          <w:numId w:val="477"/>
        </w:numPr>
      </w:pPr>
      <w:r>
        <w:t>ne subissent pas de retrait (stabilité dimensionnelle) après la pose.</w:t>
      </w:r>
    </w:p>
    <w:p w14:paraId="7D02704F" w14:textId="77777777" w:rsidR="004B2808" w:rsidRDefault="00000000">
      <w:pPr>
        <w:pStyle w:val="Author-eListParagraph"/>
        <w:numPr>
          <w:ilvl w:val="0"/>
          <w:numId w:val="477"/>
        </w:numPr>
      </w:pPr>
      <w:r>
        <w:t>sont imputrescibles et ne constituent pas un bouillon de culture pour la vermine, les bactéries ou les moisissures.</w:t>
      </w:r>
    </w:p>
    <w:p w14:paraId="619B78BD" w14:textId="77777777" w:rsidR="004B2808" w:rsidRDefault="00000000">
      <w:pPr>
        <w:pStyle w:val="Author-eListParagraph"/>
        <w:numPr>
          <w:ilvl w:val="0"/>
          <w:numId w:val="477"/>
        </w:numPr>
      </w:pPr>
      <w:r>
        <w:t>présentent une résistance mécanique suffisante.</w:t>
      </w:r>
    </w:p>
    <w:p w14:paraId="2473D62F" w14:textId="77777777" w:rsidR="004B2808" w:rsidRDefault="00000000">
      <w:pPr>
        <w:pStyle w:val="pheading"/>
      </w:pPr>
      <w:r>
        <w:t>EXÉCUTION / MISE EN ŒUVRE</w:t>
      </w:r>
    </w:p>
    <w:p w14:paraId="0AEC95A8" w14:textId="77777777" w:rsidR="004B2808" w:rsidRDefault="00000000">
      <w:r>
        <w:t>Les couches de remplissage sont régies par les dispositions de la [NIT 193] §3. Les niveaux des couches de remplissage satisfont aux exigences de la [NIT 189] §4.2.1.3. Le niveau fini doit toujours tenir compte de l'épaisseur de la chape et du revêtement de sol. Les couches de remplissage sont appliquées sur une aire de pose nettoyée et sont lissées. Elles sont toujours désolidarisées des murs et des autres interruptions en interposant des bandes d'au moins 5 mm d'épaisseur en mousse de polyéthylène ou d'une autre matière synthétique. Les joints de tassement des constructions sont toujours prolongés dans la couche de remplissage.</w:t>
      </w:r>
    </w:p>
    <w:p w14:paraId="3135F392" w14:textId="77777777" w:rsidR="004B2808" w:rsidRDefault="00000000">
      <w:pPr>
        <w:pStyle w:val="Author-eSectionHeading6Numberless"/>
      </w:pPr>
      <w:bookmarkStart w:id="521" w:name="_Toc220490693"/>
      <w:r>
        <w:t>53.11.1a Sous couches de remplissage ou d'égalisation, au ciment et sable de rivière. CCTB 01.02</w:t>
      </w:r>
      <w:bookmarkEnd w:id="521"/>
    </w:p>
    <w:p w14:paraId="7DCE01F3" w14:textId="77777777" w:rsidR="004B2808" w:rsidRDefault="00000000">
      <w:pPr>
        <w:pStyle w:val="Author-eSectionHeading6Numberless"/>
      </w:pPr>
      <w:bookmarkStart w:id="522" w:name="_Toc220490694"/>
      <w:r>
        <w:t>53.11.1b Sous couches de remplissage ou d'égalisation, au ciment, gravier ou pierraille et sable. CCTB 01.11</w:t>
      </w:r>
      <w:bookmarkEnd w:id="522"/>
    </w:p>
    <w:p w14:paraId="632DC647" w14:textId="77777777" w:rsidR="004B2808" w:rsidRDefault="00000000">
      <w:pPr>
        <w:pStyle w:val="pheading"/>
      </w:pPr>
      <w:r>
        <w:t>DESCRIPTION</w:t>
      </w:r>
    </w:p>
    <w:p w14:paraId="6E1C8D7F" w14:textId="77777777" w:rsidR="004B2808" w:rsidRDefault="00000000">
      <w:pPr>
        <w:pStyle w:val="pheading"/>
      </w:pPr>
      <w:r>
        <w:t>- Définition / Comprend</w:t>
      </w:r>
    </w:p>
    <w:p w14:paraId="586D3D11" w14:textId="77777777" w:rsidR="004B2808" w:rsidRDefault="00000000">
      <w:pPr>
        <w:jc w:val="both"/>
      </w:pPr>
      <w:r>
        <w:t>Il s’agit de la fourniture et de la pose de sous-couches de remplissage ou d’égalisation, composés d’un mélange de ciment, gravier ou pierrailles et de sable (exemple : béton maigre).</w:t>
      </w:r>
    </w:p>
    <w:p w14:paraId="71CC9FCC" w14:textId="77777777" w:rsidR="004B2808" w:rsidRDefault="00000000">
      <w:pPr>
        <w:pStyle w:val="pheading"/>
      </w:pPr>
      <w:r>
        <w:t>MATÉRIAUX</w:t>
      </w:r>
    </w:p>
    <w:p w14:paraId="521B4128" w14:textId="77777777" w:rsidR="004B2808" w:rsidRDefault="00000000">
      <w:pPr>
        <w:pStyle w:val="pheading"/>
      </w:pPr>
      <w:r>
        <w:t>- Caractéristiques générales</w:t>
      </w:r>
    </w:p>
    <w:p w14:paraId="7A9F72AB" w14:textId="77777777" w:rsidR="004B2808" w:rsidRDefault="00000000">
      <w:pPr>
        <w:pStyle w:val="Author-eListParagraph"/>
        <w:numPr>
          <w:ilvl w:val="0"/>
          <w:numId w:val="478"/>
        </w:numPr>
        <w:jc w:val="both"/>
      </w:pPr>
      <w:r>
        <w:t xml:space="preserve">Epaisseur nominale : ≥ </w:t>
      </w:r>
      <w:r>
        <w:rPr>
          <w:rStyle w:val="optioncarChar"/>
        </w:rPr>
        <w:t xml:space="preserve">5 </w:t>
      </w:r>
      <w:r>
        <w:t xml:space="preserve">(par défaut) </w:t>
      </w:r>
      <w:r>
        <w:rPr>
          <w:rStyle w:val="optioncarChar"/>
        </w:rPr>
        <w:t>/ 6 / 7 / 8 / ***</w:t>
      </w:r>
      <w:r>
        <w:t> cm</w:t>
      </w:r>
    </w:p>
    <w:p w14:paraId="51FF13D7" w14:textId="77777777" w:rsidR="004B2808" w:rsidRDefault="00000000">
      <w:pPr>
        <w:pStyle w:val="Author-eListParagraph"/>
        <w:numPr>
          <w:ilvl w:val="0"/>
          <w:numId w:val="478"/>
        </w:numPr>
        <w:jc w:val="both"/>
      </w:pPr>
      <w:r>
        <w:t>Conductibilité thermique λ</w:t>
      </w:r>
      <w:r>
        <w:rPr>
          <w:vertAlign w:val="subscript"/>
        </w:rPr>
        <w:t>Ui</w:t>
      </w:r>
      <w:r>
        <w:t xml:space="preserve">  : ≤ </w:t>
      </w:r>
      <w:r>
        <w:rPr>
          <w:rStyle w:val="optioncarChar"/>
        </w:rPr>
        <w:t>1.3 </w:t>
      </w:r>
      <w:r>
        <w:t>(par défaut) </w:t>
      </w:r>
      <w:r>
        <w:rPr>
          <w:rStyle w:val="optioncarChar"/>
        </w:rPr>
        <w:t>/ ***</w:t>
      </w:r>
      <w:r>
        <w:t> W/mK</w:t>
      </w:r>
    </w:p>
    <w:p w14:paraId="41A8F38D" w14:textId="77777777" w:rsidR="004B2808" w:rsidRDefault="00000000">
      <w:pPr>
        <w:pStyle w:val="Author-eListParagraph"/>
        <w:numPr>
          <w:ilvl w:val="0"/>
          <w:numId w:val="478"/>
        </w:numPr>
        <w:jc w:val="both"/>
      </w:pPr>
      <w:r>
        <w:t xml:space="preserve">Masse volumique sèche ± : </w:t>
      </w:r>
      <w:r>
        <w:rPr>
          <w:rStyle w:val="optioncarChar"/>
        </w:rPr>
        <w:t>2000</w:t>
      </w:r>
      <w:r>
        <w:t xml:space="preserve"> (par défaut) </w:t>
      </w:r>
      <w:r>
        <w:rPr>
          <w:rStyle w:val="optioncarChar"/>
        </w:rPr>
        <w:t>/ 2200 / 2400 / ***</w:t>
      </w:r>
      <w:r>
        <w:t xml:space="preserve"> kg/m³</w:t>
      </w:r>
    </w:p>
    <w:p w14:paraId="099436E7" w14:textId="77777777" w:rsidR="004B2808" w:rsidRDefault="00000000">
      <w:pPr>
        <w:pStyle w:val="Author-eListParagraph"/>
        <w:numPr>
          <w:ilvl w:val="0"/>
          <w:numId w:val="478"/>
        </w:numPr>
        <w:jc w:val="both"/>
      </w:pPr>
      <w:r>
        <w:t xml:space="preserve">Classe de résistance minimale : </w:t>
      </w:r>
      <w:r>
        <w:rPr>
          <w:rStyle w:val="optioncarChar"/>
        </w:rPr>
        <w:t xml:space="preserve">C12/15 </w:t>
      </w:r>
      <w:r>
        <w:t xml:space="preserve">(par défaut) </w:t>
      </w:r>
      <w:r>
        <w:rPr>
          <w:rStyle w:val="optioncarChar"/>
        </w:rPr>
        <w:t>/ C8/10 / C16/20 / ***</w:t>
      </w:r>
    </w:p>
    <w:p w14:paraId="160AE4C2" w14:textId="77777777" w:rsidR="004B2808" w:rsidRDefault="00000000">
      <w:pPr>
        <w:pStyle w:val="Author-eListParagraph"/>
        <w:numPr>
          <w:ilvl w:val="0"/>
          <w:numId w:val="478"/>
        </w:numPr>
        <w:jc w:val="both"/>
      </w:pPr>
      <w:r>
        <w:t xml:space="preserve">Domaine d’utilisation : </w:t>
      </w:r>
      <w:r>
        <w:rPr>
          <w:rStyle w:val="optioncarChar"/>
        </w:rPr>
        <w:t>BNA</w:t>
      </w:r>
      <w:r>
        <w:t xml:space="preserve"> (par défaut) </w:t>
      </w:r>
      <w:r>
        <w:rPr>
          <w:rStyle w:val="optioncarChar"/>
        </w:rPr>
        <w:t>/ ***</w:t>
      </w:r>
    </w:p>
    <w:p w14:paraId="3AF699BA" w14:textId="77777777" w:rsidR="004B2808" w:rsidRDefault="00000000">
      <w:pPr>
        <w:pStyle w:val="Author-eListParagraph"/>
        <w:numPr>
          <w:ilvl w:val="0"/>
          <w:numId w:val="478"/>
        </w:numPr>
        <w:jc w:val="both"/>
      </w:pPr>
      <w:r>
        <w:t xml:space="preserve">Classe d’environnement : </w:t>
      </w:r>
      <w:r>
        <w:rPr>
          <w:rStyle w:val="optioncarChar"/>
        </w:rPr>
        <w:t>EI</w:t>
      </w:r>
      <w:r>
        <w:t xml:space="preserve"> (par défaut)</w:t>
      </w:r>
      <w:r>
        <w:rPr>
          <w:rStyle w:val="optioncarChar"/>
        </w:rPr>
        <w:t xml:space="preserve"> / ***</w:t>
      </w:r>
    </w:p>
    <w:p w14:paraId="217457B4" w14:textId="77777777" w:rsidR="004B2808" w:rsidRDefault="00000000">
      <w:pPr>
        <w:pStyle w:val="Author-eListParagraph"/>
        <w:numPr>
          <w:ilvl w:val="0"/>
          <w:numId w:val="478"/>
        </w:numPr>
        <w:jc w:val="both"/>
      </w:pPr>
      <w:r>
        <w:t xml:space="preserve">Classe de consistance : </w:t>
      </w:r>
      <w:r>
        <w:rPr>
          <w:rStyle w:val="optioncarChar"/>
        </w:rPr>
        <w:t xml:space="preserve">S4 </w:t>
      </w:r>
      <w:r>
        <w:t>(par défaut)</w:t>
      </w:r>
      <w:r>
        <w:rPr>
          <w:rStyle w:val="optioncarChar"/>
        </w:rPr>
        <w:t xml:space="preserve"> / S5 / au choix de l’entrepreneur / ***</w:t>
      </w:r>
    </w:p>
    <w:p w14:paraId="075553C9" w14:textId="77777777" w:rsidR="004B2808" w:rsidRDefault="00000000">
      <w:pPr>
        <w:pStyle w:val="Author-eListParagraph"/>
        <w:numPr>
          <w:ilvl w:val="0"/>
          <w:numId w:val="478"/>
        </w:numPr>
        <w:jc w:val="both"/>
      </w:pPr>
      <w:r>
        <w:t xml:space="preserve">Dimension nominale maximale des granulats Dmax : </w:t>
      </w:r>
      <w:r>
        <w:rPr>
          <w:rStyle w:val="optioncarChar"/>
        </w:rPr>
        <w:t xml:space="preserve">6 </w:t>
      </w:r>
      <w:r>
        <w:t>(par défaut)</w:t>
      </w:r>
      <w:r>
        <w:rPr>
          <w:rStyle w:val="optioncarChar"/>
        </w:rPr>
        <w:t xml:space="preserve"> / 8 / ***</w:t>
      </w:r>
      <w:r>
        <w:t xml:space="preserve"> mm</w:t>
      </w:r>
    </w:p>
    <w:p w14:paraId="6F7BECC1" w14:textId="77777777" w:rsidR="004B2808" w:rsidRDefault="00000000">
      <w:pPr>
        <w:pStyle w:val="pheading"/>
      </w:pPr>
      <w:r>
        <w:t>EXÉCUTION / MISE EN ŒUVRE</w:t>
      </w:r>
    </w:p>
    <w:p w14:paraId="0036A4CC" w14:textId="77777777" w:rsidR="004B2808" w:rsidRDefault="00000000">
      <w:pPr>
        <w:pStyle w:val="pheading"/>
      </w:pPr>
      <w:r>
        <w:t>- Prescriptions générales</w:t>
      </w:r>
    </w:p>
    <w:p w14:paraId="4B5CE32D" w14:textId="77777777" w:rsidR="004B2808" w:rsidRDefault="00000000">
      <w:pPr>
        <w:jc w:val="both"/>
      </w:pPr>
      <w:r>
        <w:rPr>
          <w:b/>
        </w:rPr>
        <w:t>Exigences dimensionnelles :</w:t>
      </w:r>
    </w:p>
    <w:p w14:paraId="4584109D" w14:textId="77777777" w:rsidR="004B2808" w:rsidRDefault="00000000">
      <w:pPr>
        <w:pStyle w:val="Author-eListParagraph"/>
        <w:numPr>
          <w:ilvl w:val="0"/>
          <w:numId w:val="479"/>
        </w:numPr>
        <w:jc w:val="both"/>
      </w:pPr>
      <w:r>
        <w:t xml:space="preserve">Tolérances sur le niveau du support : </w:t>
      </w:r>
      <w:r>
        <w:rPr>
          <w:rStyle w:val="optioncarChar"/>
        </w:rPr>
        <w:t>selon [NIT 189] </w:t>
      </w:r>
      <w:r>
        <w:t>(par défaut)</w:t>
      </w:r>
      <w:r>
        <w:rPr>
          <w:rStyle w:val="optioncarChar"/>
        </w:rPr>
        <w:t xml:space="preserve"> / *** </w:t>
      </w:r>
    </w:p>
    <w:p w14:paraId="767E2209" w14:textId="77777777" w:rsidR="004B2808" w:rsidRDefault="00000000">
      <w:pPr>
        <w:pStyle w:val="Author-eListParagraph"/>
        <w:numPr>
          <w:ilvl w:val="0"/>
          <w:numId w:val="479"/>
        </w:numPr>
        <w:jc w:val="both"/>
      </w:pPr>
      <w:r>
        <w:t xml:space="preserve">Niveau fini de la sous-couche : </w:t>
      </w:r>
      <w:r>
        <w:rPr>
          <w:rStyle w:val="optioncarChar"/>
        </w:rPr>
        <w:t>selon les indications aux plans</w:t>
      </w:r>
      <w:r>
        <w:t xml:space="preserve"> (par défaut) </w:t>
      </w:r>
      <w:r>
        <w:rPr>
          <w:rStyle w:val="optioncarChar"/>
        </w:rPr>
        <w:t>/ ***</w:t>
      </w:r>
    </w:p>
    <w:p w14:paraId="5FECACA7" w14:textId="77777777" w:rsidR="004B2808" w:rsidRDefault="00000000">
      <w:pPr>
        <w:pStyle w:val="Author-eListParagraph"/>
        <w:numPr>
          <w:ilvl w:val="0"/>
          <w:numId w:val="479"/>
        </w:numPr>
        <w:jc w:val="both"/>
      </w:pPr>
      <w:r>
        <w:t xml:space="preserve">Tolérances sur le niveau fini de la sous-couche : </w:t>
      </w:r>
      <w:r>
        <w:rPr>
          <w:rStyle w:val="optioncarChar"/>
        </w:rPr>
        <w:t>classe 2 (normales) selon [NIT 189] </w:t>
      </w:r>
      <w:r>
        <w:t>(par défaut)</w:t>
      </w:r>
      <w:r>
        <w:rPr>
          <w:rStyle w:val="optioncarChar"/>
        </w:rPr>
        <w:t xml:space="preserve"> / ***</w:t>
      </w:r>
    </w:p>
    <w:p w14:paraId="15A86667" w14:textId="77777777" w:rsidR="004B2808" w:rsidRDefault="00000000">
      <w:pPr>
        <w:pStyle w:val="Author-eListParagraph"/>
        <w:numPr>
          <w:ilvl w:val="0"/>
          <w:numId w:val="479"/>
        </w:numPr>
        <w:jc w:val="both"/>
      </w:pPr>
      <w:r>
        <w:t xml:space="preserve">Tolérances de planéité du support : </w:t>
      </w:r>
      <w:r>
        <w:rPr>
          <w:rStyle w:val="optioncarChar"/>
        </w:rPr>
        <w:t>classe 2 (larges) selon [NIT 189]</w:t>
      </w:r>
      <w:r>
        <w:t xml:space="preserve"> (par défaut) </w:t>
      </w:r>
      <w:r>
        <w:rPr>
          <w:rStyle w:val="optioncarChar"/>
        </w:rPr>
        <w:t>/ ***</w:t>
      </w:r>
    </w:p>
    <w:p w14:paraId="786D27D3" w14:textId="77777777" w:rsidR="004B2808" w:rsidRDefault="00000000">
      <w:pPr>
        <w:pStyle w:val="Author-eListParagraph"/>
        <w:numPr>
          <w:ilvl w:val="0"/>
          <w:numId w:val="479"/>
        </w:numPr>
        <w:jc w:val="both"/>
      </w:pPr>
      <w:r>
        <w:lastRenderedPageBreak/>
        <w:t xml:space="preserve">Tolérances de planéité de la sous-couche : </w:t>
      </w:r>
      <w:r>
        <w:rPr>
          <w:rStyle w:val="optioncarChar"/>
        </w:rPr>
        <w:t>classe 3 (larges) selon [NIT 189] </w:t>
      </w:r>
      <w:r>
        <w:t>(par défaut)</w:t>
      </w:r>
      <w:r>
        <w:rPr>
          <w:rStyle w:val="optioncarChar"/>
        </w:rPr>
        <w:t xml:space="preserve"> / ***</w:t>
      </w:r>
    </w:p>
    <w:p w14:paraId="0E9DC284" w14:textId="77777777" w:rsidR="004B2808" w:rsidRDefault="00000000">
      <w:pPr>
        <w:pStyle w:val="pheading"/>
      </w:pPr>
      <w:r>
        <w:t>DOCUMENTS DE RÉFÉRENCE COMPLÉMENTAIRES</w:t>
      </w:r>
    </w:p>
    <w:p w14:paraId="553BF4FA" w14:textId="77777777" w:rsidR="004B2808" w:rsidRDefault="00000000">
      <w:pPr>
        <w:pStyle w:val="pheading"/>
      </w:pPr>
      <w:r>
        <w:t>- Matériau</w:t>
      </w:r>
    </w:p>
    <w:p w14:paraId="78320F68" w14:textId="77777777" w:rsidR="004B2808" w:rsidRDefault="00000000">
      <w:r>
        <w:t>[NBN EN 206:2013+A2, Béton - Spécification, performances, production et conformité]</w:t>
      </w:r>
    </w:p>
    <w:p w14:paraId="3385FAE6" w14:textId="77777777" w:rsidR="004B2808" w:rsidRDefault="00000000">
      <w:r>
        <w:t>[NBN B 15-001, Béton - Spécification, performances, production et conformité - Complément national à la NBN EN 206:2013+A2:2021]</w:t>
      </w:r>
    </w:p>
    <w:p w14:paraId="35F7159C" w14:textId="77777777" w:rsidR="004B2808" w:rsidRDefault="00000000">
      <w:r>
        <w:t>[NIT 189, Les chapes pour couvre-sols. 1ère partie : Matériaux - Performances - Réception.]</w:t>
      </w:r>
    </w:p>
    <w:p w14:paraId="6304C328" w14:textId="77777777" w:rsidR="004B2808" w:rsidRDefault="00000000">
      <w:pPr>
        <w:pStyle w:val="pheading"/>
      </w:pPr>
      <w:r>
        <w:t>- Exécution</w:t>
      </w:r>
    </w:p>
    <w:p w14:paraId="48BFCC4B" w14:textId="77777777" w:rsidR="004B2808" w:rsidRDefault="00000000">
      <w:r>
        <w:t>[NIT 193, Les chapes. 2e partie: Mise en oeuvre.]</w:t>
      </w:r>
    </w:p>
    <w:p w14:paraId="010D2F45" w14:textId="77777777" w:rsidR="004B2808" w:rsidRDefault="00000000">
      <w:pPr>
        <w:pStyle w:val="pheading"/>
      </w:pPr>
      <w:r>
        <w:t>MESURAGE</w:t>
      </w:r>
    </w:p>
    <w:p w14:paraId="71DB0B42" w14:textId="77777777" w:rsidR="004B2808" w:rsidRDefault="00000000">
      <w:pPr>
        <w:pStyle w:val="pheading"/>
      </w:pPr>
      <w:r>
        <w:t>- unité de mesure:</w:t>
      </w:r>
    </w:p>
    <w:p w14:paraId="7B4BCEB9" w14:textId="77777777" w:rsidR="004B2808" w:rsidRDefault="00000000">
      <w:r>
        <w:rPr>
          <w:rStyle w:val="optioncarChar"/>
        </w:rPr>
        <w:t xml:space="preserve">m² </w:t>
      </w:r>
      <w:r>
        <w:t>(par défaut)</w:t>
      </w:r>
      <w:r>
        <w:rPr>
          <w:rStyle w:val="optioncarChar"/>
        </w:rPr>
        <w:t xml:space="preserve"> / fft / -</w:t>
      </w:r>
    </w:p>
    <w:p w14:paraId="26467C3B" w14:textId="77777777" w:rsidR="004B2808" w:rsidRDefault="00000000">
      <w:r>
        <w:rPr>
          <w:b/>
        </w:rPr>
        <w:t>(soit par défaut)</w:t>
      </w:r>
      <w:r>
        <w:br/>
      </w:r>
      <w:r>
        <w:rPr>
          <w:rStyle w:val="soitChar"/>
        </w:rPr>
        <w:t>1.  m²</w:t>
      </w:r>
      <w:r>
        <w:br/>
      </w:r>
      <w:r>
        <w:rPr>
          <w:b/>
        </w:rPr>
        <w:t>(soit)</w:t>
      </w:r>
      <w:r>
        <w:br/>
      </w:r>
      <w:r>
        <w:rPr>
          <w:rStyle w:val="soitChar"/>
        </w:rPr>
        <w:t>2.  fft</w:t>
      </w:r>
      <w:r>
        <w:br/>
      </w:r>
      <w:r>
        <w:rPr>
          <w:b/>
        </w:rPr>
        <w:t>(soit)</w:t>
      </w:r>
      <w:r>
        <w:br/>
      </w:r>
      <w:r>
        <w:rPr>
          <w:rStyle w:val="soitChar"/>
        </w:rPr>
        <w:t>3.   –</w:t>
      </w:r>
    </w:p>
    <w:p w14:paraId="7918A1FF" w14:textId="77777777" w:rsidR="004B2808" w:rsidRDefault="00000000">
      <w:pPr>
        <w:pStyle w:val="pheading"/>
      </w:pPr>
      <w:r>
        <w:t>- code de mesurage:</w:t>
      </w:r>
    </w:p>
    <w:p w14:paraId="410BA72D" w14:textId="77777777" w:rsidR="004B2808" w:rsidRDefault="00000000">
      <w:pPr>
        <w:jc w:val="both"/>
      </w:pPr>
      <w:r>
        <w:rPr>
          <w:rStyle w:val="optioncarChar"/>
        </w:rPr>
        <w:t>Surface nette</w:t>
      </w:r>
      <w:r>
        <w:t xml:space="preserve"> (par défaut) </w:t>
      </w:r>
      <w:r>
        <w:rPr>
          <w:rStyle w:val="optioncarChar"/>
        </w:rPr>
        <w:t>/ Pour l'ensemble des prestations à réaliser / Compris</w:t>
      </w:r>
    </w:p>
    <w:p w14:paraId="771946C8" w14:textId="77777777" w:rsidR="004B2808" w:rsidRDefault="00000000">
      <w:pPr>
        <w:jc w:val="both"/>
      </w:pPr>
      <w:r>
        <w:rPr>
          <w:b/>
        </w:rPr>
        <w:t>(soit par défaut)</w:t>
      </w:r>
    </w:p>
    <w:p w14:paraId="1FBD53E7" w14:textId="77777777" w:rsidR="004B2808" w:rsidRDefault="00000000">
      <w:pPr>
        <w:jc w:val="both"/>
      </w:pPr>
      <w:r>
        <w:rPr>
          <w:rStyle w:val="soitChar"/>
        </w:rPr>
        <w:t xml:space="preserve">1.  </w:t>
      </w:r>
      <w:r>
        <w:rPr>
          <w:rStyle w:val="soitChar"/>
          <w:u w:val="single"/>
        </w:rPr>
        <w:t>Surface nette :</w:t>
      </w:r>
    </w:p>
    <w:p w14:paraId="3D489877" w14:textId="77777777" w:rsidR="004B2808" w:rsidRDefault="00000000">
      <w:pPr>
        <w:jc w:val="both"/>
      </w:pPr>
      <w:r>
        <w:rPr>
          <w:rStyle w:val="soitChar"/>
        </w:rPr>
        <w:t>Mesurée entre le nu des murs et calculée sur la base des dimensions nominales en cm.</w:t>
      </w:r>
    </w:p>
    <w:p w14:paraId="250DD504" w14:textId="77777777" w:rsidR="004B2808" w:rsidRDefault="00000000">
      <w:pPr>
        <w:jc w:val="both"/>
      </w:pPr>
      <w:r>
        <w:rPr>
          <w:rStyle w:val="soitChar"/>
        </w:rPr>
        <w:t xml:space="preserve"> Les baies de porte sont comptées.</w:t>
      </w:r>
    </w:p>
    <w:p w14:paraId="1EB1AE61" w14:textId="77777777" w:rsidR="004B2808" w:rsidRDefault="00000000">
      <w:pPr>
        <w:jc w:val="both"/>
      </w:pPr>
      <w:r>
        <w:rPr>
          <w:rStyle w:val="soitChar"/>
        </w:rPr>
        <w:t xml:space="preserve"> Les réservations &gt; à 0,5 m² sont déduites.</w:t>
      </w:r>
    </w:p>
    <w:p w14:paraId="217B945C" w14:textId="77777777" w:rsidR="004B2808" w:rsidRDefault="00000000">
      <w:pPr>
        <w:jc w:val="both"/>
      </w:pPr>
      <w:r>
        <w:rPr>
          <w:rStyle w:val="soitChar"/>
        </w:rPr>
        <w:t xml:space="preserve"> Le total est arrondi à la première décimale.</w:t>
      </w:r>
    </w:p>
    <w:p w14:paraId="1CF74E16" w14:textId="77777777" w:rsidR="004B2808" w:rsidRDefault="00000000">
      <w:pPr>
        <w:jc w:val="both"/>
      </w:pPr>
      <w:r>
        <w:rPr>
          <w:b/>
        </w:rPr>
        <w:t>(soit)</w:t>
      </w:r>
    </w:p>
    <w:p w14:paraId="567B7277" w14:textId="77777777" w:rsidR="004B2808" w:rsidRDefault="00000000">
      <w:pPr>
        <w:jc w:val="both"/>
      </w:pPr>
      <w:r>
        <w:rPr>
          <w:rStyle w:val="soitChar"/>
        </w:rPr>
        <w:t xml:space="preserve">2.  </w:t>
      </w:r>
      <w:r>
        <w:rPr>
          <w:rStyle w:val="soitChar"/>
          <w:u w:val="single"/>
        </w:rPr>
        <w:t>Pour l’ensemble des prestations à réaliser :</w:t>
      </w:r>
    </w:p>
    <w:p w14:paraId="58E31C37" w14:textId="77777777" w:rsidR="004B2808" w:rsidRDefault="00000000">
      <w:pPr>
        <w:jc w:val="both"/>
      </w:pPr>
      <w:r>
        <w:rPr>
          <w:rStyle w:val="soitChar"/>
        </w:rPr>
        <w:t>Le prix unitaire comprend toutes les prestations nécessaires pour l’exécution de l’ensemble.</w:t>
      </w:r>
    </w:p>
    <w:p w14:paraId="1BBE53C8" w14:textId="77777777" w:rsidR="004B2808" w:rsidRDefault="00000000">
      <w:pPr>
        <w:jc w:val="both"/>
      </w:pPr>
      <w:r>
        <w:rPr>
          <w:b/>
        </w:rPr>
        <w:t>(soit)</w:t>
      </w:r>
    </w:p>
    <w:p w14:paraId="6FA0E569" w14:textId="77777777" w:rsidR="004B2808" w:rsidRDefault="00000000">
      <w:pPr>
        <w:jc w:val="both"/>
      </w:pPr>
      <w:r>
        <w:rPr>
          <w:rStyle w:val="soitChar"/>
        </w:rPr>
        <w:t xml:space="preserve">3.  </w:t>
      </w:r>
      <w:r>
        <w:rPr>
          <w:rStyle w:val="soitChar"/>
          <w:u w:val="single"/>
        </w:rPr>
        <w:t>Compris :</w:t>
      </w:r>
    </w:p>
    <w:p w14:paraId="0A8DF179" w14:textId="77777777" w:rsidR="004B2808" w:rsidRDefault="00000000">
      <w:pPr>
        <w:jc w:val="both"/>
      </w:pPr>
      <w:r>
        <w:rPr>
          <w:rStyle w:val="soitChar"/>
        </w:rPr>
        <w:t>Tous les frais liés à ces prestations sont</w:t>
      </w:r>
      <w:r>
        <w:t xml:space="preserve">  </w:t>
      </w:r>
      <w:r>
        <w:rPr>
          <w:rStyle w:val="optioncarChar"/>
        </w:rPr>
        <w:t xml:space="preserve">compris et répartis dans la totalité de l'entreprise </w:t>
      </w:r>
      <w:r>
        <w:t>(par défaut)</w:t>
      </w:r>
      <w:r>
        <w:rPr>
          <w:rStyle w:val="optioncarChar"/>
        </w:rPr>
        <w:t xml:space="preserve"> / compris dans le prix de l’article ***</w:t>
      </w:r>
    </w:p>
    <w:p w14:paraId="02755A0B" w14:textId="77777777" w:rsidR="004B2808" w:rsidRDefault="00000000">
      <w:pPr>
        <w:pStyle w:val="pheading"/>
      </w:pPr>
      <w:r>
        <w:t>- nature du marché:</w:t>
      </w:r>
    </w:p>
    <w:p w14:paraId="6B0C1C7A" w14:textId="77777777" w:rsidR="004B2808" w:rsidRDefault="00000000">
      <w:r>
        <w:rPr>
          <w:rStyle w:val="optioncarChar"/>
        </w:rPr>
        <w:t xml:space="preserve">QF </w:t>
      </w:r>
      <w:r>
        <w:t xml:space="preserve">(par défaut) </w:t>
      </w:r>
      <w:r>
        <w:rPr>
          <w:rStyle w:val="optioncarChar"/>
        </w:rPr>
        <w:t>/ PG / PM</w:t>
      </w:r>
    </w:p>
    <w:p w14:paraId="4AAD7546" w14:textId="77777777" w:rsidR="004B2808" w:rsidRDefault="00000000">
      <w:r>
        <w:rPr>
          <w:b/>
        </w:rPr>
        <w:t>(soit par défaut)</w:t>
      </w:r>
      <w:r>
        <w:br/>
      </w:r>
      <w:r>
        <w:rPr>
          <w:rStyle w:val="soitChar"/>
        </w:rPr>
        <w:t>1.  QF</w:t>
      </w:r>
      <w:r>
        <w:br/>
      </w:r>
      <w:r>
        <w:rPr>
          <w:b/>
        </w:rPr>
        <w:t>(soit)</w:t>
      </w:r>
      <w:r>
        <w:br/>
      </w:r>
      <w:r>
        <w:rPr>
          <w:rStyle w:val="soitChar"/>
        </w:rPr>
        <w:t>2.  PG</w:t>
      </w:r>
      <w:r>
        <w:br/>
      </w:r>
      <w:r>
        <w:rPr>
          <w:b/>
        </w:rPr>
        <w:t>(soit)</w:t>
      </w:r>
      <w:r>
        <w:br/>
      </w:r>
      <w:r>
        <w:rPr>
          <w:rStyle w:val="soitChar"/>
        </w:rPr>
        <w:t>3.  PM</w:t>
      </w:r>
    </w:p>
    <w:p w14:paraId="7B78E00F" w14:textId="77777777" w:rsidR="004B2808" w:rsidRDefault="00000000">
      <w:pPr>
        <w:pStyle w:val="Author-eSectionHeading6Numberless"/>
      </w:pPr>
      <w:bookmarkStart w:id="523" w:name="_Toc220490695"/>
      <w:r>
        <w:lastRenderedPageBreak/>
        <w:t>53.11.1c Sous couches de remplissage ou d'égalisation, au ciment, matières de charge, adjuvants et fibres CCTB 01.11</w:t>
      </w:r>
      <w:bookmarkEnd w:id="523"/>
    </w:p>
    <w:p w14:paraId="67389349" w14:textId="77777777" w:rsidR="004B2808" w:rsidRDefault="00000000">
      <w:pPr>
        <w:pStyle w:val="pheading"/>
      </w:pPr>
      <w:r>
        <w:t>DESCRIPTION</w:t>
      </w:r>
    </w:p>
    <w:p w14:paraId="007750D5" w14:textId="77777777" w:rsidR="004B2808" w:rsidRDefault="00000000">
      <w:pPr>
        <w:pStyle w:val="pheading"/>
      </w:pPr>
      <w:r>
        <w:t>- Définition / Comprend</w:t>
      </w:r>
    </w:p>
    <w:p w14:paraId="7C64B1C6" w14:textId="77777777" w:rsidR="004B2808" w:rsidRDefault="00000000">
      <w:pPr>
        <w:jc w:val="both"/>
      </w:pPr>
      <w:r>
        <w:t>Il s’agit de la fourniture et de la pose de sous couches de remplissage ou d’égalisation, composée d’un mélange de ciment, matières de charge, adjuvants et fibres.</w:t>
      </w:r>
    </w:p>
    <w:p w14:paraId="3E04F430" w14:textId="77777777" w:rsidR="004B2808" w:rsidRDefault="00000000">
      <w:pPr>
        <w:jc w:val="both"/>
      </w:pPr>
      <w:r>
        <w:t>La fourniture et la mise en œuvre des adjuvants et fibres sont conformes à la documentation technique qui accompagne ces produits.</w:t>
      </w:r>
    </w:p>
    <w:p w14:paraId="5F18B32C" w14:textId="77777777" w:rsidR="004B2808" w:rsidRDefault="00000000">
      <w:pPr>
        <w:pStyle w:val="pheading"/>
      </w:pPr>
      <w:r>
        <w:t>MATÉRIAUX</w:t>
      </w:r>
    </w:p>
    <w:p w14:paraId="519E81BD" w14:textId="77777777" w:rsidR="004B2808" w:rsidRDefault="00000000">
      <w:pPr>
        <w:pStyle w:val="pheading"/>
      </w:pPr>
      <w:r>
        <w:t>- Caractéristiques générales</w:t>
      </w:r>
    </w:p>
    <w:p w14:paraId="48E418EF" w14:textId="77777777" w:rsidR="004B2808" w:rsidRDefault="00000000">
      <w:pPr>
        <w:pStyle w:val="Author-eListParagraph"/>
        <w:numPr>
          <w:ilvl w:val="0"/>
          <w:numId w:val="480"/>
        </w:numPr>
        <w:jc w:val="both"/>
      </w:pPr>
      <w:r>
        <w:t xml:space="preserve">Epaisseur nominale : ≥ </w:t>
      </w:r>
      <w:r>
        <w:rPr>
          <w:rStyle w:val="optioncarChar"/>
        </w:rPr>
        <w:t xml:space="preserve">5 </w:t>
      </w:r>
      <w:r>
        <w:t xml:space="preserve">(par défaut) </w:t>
      </w:r>
      <w:r>
        <w:rPr>
          <w:rStyle w:val="optioncarChar"/>
        </w:rPr>
        <w:t>/ 6 / 7 / 8 / ***</w:t>
      </w:r>
      <w:r>
        <w:t> cm.</w:t>
      </w:r>
    </w:p>
    <w:p w14:paraId="719D6A87" w14:textId="77777777" w:rsidR="004B2808" w:rsidRDefault="00000000">
      <w:pPr>
        <w:pStyle w:val="Author-eListParagraph"/>
        <w:numPr>
          <w:ilvl w:val="0"/>
          <w:numId w:val="480"/>
        </w:numPr>
        <w:jc w:val="both"/>
      </w:pPr>
      <w:r>
        <w:t>Conductibilité thermique λ</w:t>
      </w:r>
      <w:r>
        <w:rPr>
          <w:vertAlign w:val="subscript"/>
        </w:rPr>
        <w:t>Ui</w:t>
      </w:r>
      <w:r>
        <w:t xml:space="preserve">  : ≤ </w:t>
      </w:r>
      <w:r>
        <w:rPr>
          <w:rStyle w:val="optioncarChar"/>
        </w:rPr>
        <w:t>1.3 </w:t>
      </w:r>
      <w:r>
        <w:t>(par défaut) </w:t>
      </w:r>
      <w:r>
        <w:rPr>
          <w:rStyle w:val="optioncarChar"/>
        </w:rPr>
        <w:t>/ ***</w:t>
      </w:r>
      <w:r>
        <w:t> W/mK</w:t>
      </w:r>
    </w:p>
    <w:p w14:paraId="3F0CB7DA" w14:textId="77777777" w:rsidR="004B2808" w:rsidRDefault="00000000">
      <w:pPr>
        <w:pStyle w:val="Author-eListParagraph"/>
        <w:numPr>
          <w:ilvl w:val="0"/>
          <w:numId w:val="480"/>
        </w:numPr>
        <w:jc w:val="both"/>
      </w:pPr>
      <w:r>
        <w:t xml:space="preserve">Masse volumique sèche (sous-couche durcie) ± : </w:t>
      </w:r>
      <w:r>
        <w:rPr>
          <w:rStyle w:val="optioncarChar"/>
        </w:rPr>
        <w:t xml:space="preserve">1650 </w:t>
      </w:r>
      <w:r>
        <w:t xml:space="preserve">(par défaut) </w:t>
      </w:r>
      <w:r>
        <w:rPr>
          <w:rStyle w:val="optioncarChar"/>
        </w:rPr>
        <w:t>/ 1750 / ***</w:t>
      </w:r>
      <w:r>
        <w:t xml:space="preserve"> kg/m³</w:t>
      </w:r>
    </w:p>
    <w:p w14:paraId="65F5F4F1" w14:textId="77777777" w:rsidR="004B2808" w:rsidRDefault="00000000">
      <w:pPr>
        <w:pStyle w:val="Author-eListParagraph"/>
        <w:numPr>
          <w:ilvl w:val="0"/>
          <w:numId w:val="480"/>
        </w:numPr>
        <w:jc w:val="both"/>
      </w:pPr>
      <w:r>
        <w:t xml:space="preserve">Résistance à la compression sur 2 échantillons : ≥ </w:t>
      </w:r>
      <w:r>
        <w:rPr>
          <w:rStyle w:val="optioncarChar"/>
        </w:rPr>
        <w:t>5</w:t>
      </w:r>
      <w:r>
        <w:t xml:space="preserve"> (par défaut)</w:t>
      </w:r>
      <w:r>
        <w:rPr>
          <w:rStyle w:val="optioncarChar"/>
        </w:rPr>
        <w:t xml:space="preserve"> / 8 / 10 / 12 / 20 / ***</w:t>
      </w:r>
      <w:r>
        <w:t xml:space="preserve"> N/mm²</w:t>
      </w:r>
    </w:p>
    <w:p w14:paraId="27C2BE15" w14:textId="77777777" w:rsidR="004B2808" w:rsidRDefault="00000000">
      <w:pPr>
        <w:pStyle w:val="Author-eListParagraph"/>
        <w:numPr>
          <w:ilvl w:val="0"/>
          <w:numId w:val="480"/>
        </w:numPr>
        <w:jc w:val="both"/>
      </w:pPr>
      <w:r>
        <w:t>Liant : ciment Portland selon [NBN EN 197-1]</w:t>
      </w:r>
    </w:p>
    <w:p w14:paraId="7503011F" w14:textId="77777777" w:rsidR="004B2808" w:rsidRDefault="00000000">
      <w:pPr>
        <w:pStyle w:val="Author-eListParagraph"/>
        <w:numPr>
          <w:ilvl w:val="0"/>
          <w:numId w:val="480"/>
        </w:numPr>
        <w:jc w:val="both"/>
      </w:pPr>
      <w:r>
        <w:t xml:space="preserve">Teneur en liant : </w:t>
      </w:r>
      <w:r>
        <w:rPr>
          <w:rStyle w:val="optioncarChar"/>
        </w:rPr>
        <w:t>250</w:t>
      </w:r>
      <w:r>
        <w:t xml:space="preserve"> (par défaut) </w:t>
      </w:r>
      <w:r>
        <w:rPr>
          <w:rStyle w:val="optioncarChar"/>
        </w:rPr>
        <w:t>/ 300 / 320 / ***</w:t>
      </w:r>
      <w:r>
        <w:t xml:space="preserve"> kg de ciment par m³ de charges.</w:t>
      </w:r>
    </w:p>
    <w:p w14:paraId="0F4EE5C5" w14:textId="77777777" w:rsidR="004B2808" w:rsidRDefault="00000000">
      <w:pPr>
        <w:pStyle w:val="Author-eListParagraph"/>
        <w:numPr>
          <w:ilvl w:val="0"/>
          <w:numId w:val="480"/>
        </w:numPr>
        <w:jc w:val="both"/>
      </w:pPr>
      <w:r>
        <w:t xml:space="preserve">Charges : </w:t>
      </w:r>
      <w:r>
        <w:rPr>
          <w:rStyle w:val="optioncarChar"/>
        </w:rPr>
        <w:t xml:space="preserve">sable de rivière calibré et recomposé </w:t>
      </w:r>
      <w:r>
        <w:t>(par défaut)</w:t>
      </w:r>
      <w:r>
        <w:rPr>
          <w:rStyle w:val="optioncarChar"/>
        </w:rPr>
        <w:t xml:space="preserve"> / ***</w:t>
      </w:r>
      <w:r>
        <w:t xml:space="preserve"> selon [NBN EN 13139]</w:t>
      </w:r>
    </w:p>
    <w:p w14:paraId="60D1726F" w14:textId="77777777" w:rsidR="004B2808" w:rsidRDefault="00000000">
      <w:pPr>
        <w:pStyle w:val="Author-eListParagraph"/>
        <w:numPr>
          <w:ilvl w:val="0"/>
          <w:numId w:val="480"/>
        </w:numPr>
        <w:jc w:val="both"/>
      </w:pPr>
      <w:r>
        <w:t xml:space="preserve">Granulométrie : </w:t>
      </w:r>
      <w:r>
        <w:rPr>
          <w:rStyle w:val="optioncarChar"/>
        </w:rPr>
        <w:t xml:space="preserve">0/4 </w:t>
      </w:r>
      <w:r>
        <w:t>(par défaut)</w:t>
      </w:r>
      <w:r>
        <w:rPr>
          <w:rStyle w:val="optioncarChar"/>
        </w:rPr>
        <w:t xml:space="preserve"> / 0/7 / ***</w:t>
      </w:r>
      <w:r>
        <w:t xml:space="preserve"> mm</w:t>
      </w:r>
    </w:p>
    <w:p w14:paraId="5E1FEB2F" w14:textId="77777777" w:rsidR="004B2808" w:rsidRDefault="00000000">
      <w:pPr>
        <w:pStyle w:val="Author-eListParagraph"/>
        <w:numPr>
          <w:ilvl w:val="0"/>
          <w:numId w:val="480"/>
        </w:numPr>
        <w:jc w:val="both"/>
      </w:pPr>
      <w:r>
        <w:t xml:space="preserve">Adjuvants : </w:t>
      </w:r>
    </w:p>
    <w:p w14:paraId="098E4245" w14:textId="77777777" w:rsidR="004B2808" w:rsidRDefault="00000000">
      <w:pPr>
        <w:pStyle w:val="Author-eListParagraph"/>
        <w:numPr>
          <w:ilvl w:val="1"/>
          <w:numId w:val="481"/>
        </w:numPr>
      </w:pPr>
      <w:r>
        <w:t xml:space="preserve">Additifs spécifiques pour améliorer la mise en œuvre du mortier : </w:t>
      </w:r>
      <w:r>
        <w:rPr>
          <w:rStyle w:val="optioncarChar"/>
        </w:rPr>
        <w:t>selon indications du fabricant</w:t>
      </w:r>
      <w:r>
        <w:t xml:space="preserve"> (par défaut)</w:t>
      </w:r>
      <w:r>
        <w:rPr>
          <w:rStyle w:val="optioncarChar"/>
        </w:rPr>
        <w:t xml:space="preserve"> / ***</w:t>
      </w:r>
    </w:p>
    <w:p w14:paraId="3190FC87" w14:textId="77777777" w:rsidR="004B2808" w:rsidRDefault="00000000">
      <w:pPr>
        <w:pStyle w:val="Author-eListParagraph"/>
        <w:numPr>
          <w:ilvl w:val="1"/>
          <w:numId w:val="481"/>
        </w:numPr>
      </w:pPr>
      <w:r>
        <w:rPr>
          <w:rStyle w:val="optioncarChar"/>
        </w:rPr>
        <w:t>***</w:t>
      </w:r>
    </w:p>
    <w:p w14:paraId="22348802" w14:textId="77777777" w:rsidR="004B2808" w:rsidRDefault="00000000">
      <w:pPr>
        <w:pStyle w:val="Author-eListParagraph"/>
        <w:numPr>
          <w:ilvl w:val="0"/>
          <w:numId w:val="480"/>
        </w:numPr>
        <w:jc w:val="both"/>
      </w:pPr>
      <w:r>
        <w:t xml:space="preserve">Fibres : </w:t>
      </w:r>
    </w:p>
    <w:p w14:paraId="54527AB5" w14:textId="77777777" w:rsidR="004B2808" w:rsidRDefault="00000000">
      <w:pPr>
        <w:pStyle w:val="Author-eListParagraph"/>
        <w:numPr>
          <w:ilvl w:val="1"/>
          <w:numId w:val="482"/>
        </w:numPr>
        <w:jc w:val="both"/>
      </w:pPr>
      <w:r>
        <w:t xml:space="preserve">Matériau : </w:t>
      </w:r>
      <w:r>
        <w:rPr>
          <w:rStyle w:val="optioncarChar"/>
        </w:rPr>
        <w:t xml:space="preserve">polypropylène </w:t>
      </w:r>
      <w:r>
        <w:t>(par défaut)</w:t>
      </w:r>
      <w:r>
        <w:rPr>
          <w:rStyle w:val="optioncarChar"/>
        </w:rPr>
        <w:t xml:space="preserve"> / ***</w:t>
      </w:r>
    </w:p>
    <w:p w14:paraId="7B3A649E" w14:textId="77777777" w:rsidR="004B2808" w:rsidRDefault="00000000">
      <w:pPr>
        <w:pStyle w:val="Author-eListParagraph"/>
        <w:numPr>
          <w:ilvl w:val="1"/>
          <w:numId w:val="482"/>
        </w:numPr>
        <w:jc w:val="both"/>
      </w:pPr>
      <w:r>
        <w:t xml:space="preserve">Densité : ± </w:t>
      </w:r>
      <w:r>
        <w:rPr>
          <w:rStyle w:val="optioncarChar"/>
        </w:rPr>
        <w:t xml:space="preserve">800 / 900 </w:t>
      </w:r>
      <w:r>
        <w:t>(par défaut)</w:t>
      </w:r>
      <w:r>
        <w:rPr>
          <w:rStyle w:val="optioncarChar"/>
        </w:rPr>
        <w:t xml:space="preserve"> / ***</w:t>
      </w:r>
      <w:r>
        <w:t xml:space="preserve"> kg/m³</w:t>
      </w:r>
    </w:p>
    <w:p w14:paraId="0A32ECB3" w14:textId="77777777" w:rsidR="004B2808" w:rsidRDefault="00000000">
      <w:pPr>
        <w:pStyle w:val="Author-eListParagraph"/>
        <w:numPr>
          <w:ilvl w:val="1"/>
          <w:numId w:val="482"/>
        </w:numPr>
        <w:jc w:val="both"/>
      </w:pPr>
      <w:r>
        <w:t xml:space="preserve">Longueur des fibres : ± </w:t>
      </w:r>
      <w:r>
        <w:rPr>
          <w:rStyle w:val="optioncarChar"/>
        </w:rPr>
        <w:t xml:space="preserve">12 / 18 </w:t>
      </w:r>
      <w:r>
        <w:t>(par défaut)</w:t>
      </w:r>
      <w:r>
        <w:rPr>
          <w:rStyle w:val="optioncarChar"/>
        </w:rPr>
        <w:t xml:space="preserve"> / 20 / ***</w:t>
      </w:r>
      <w:r>
        <w:t xml:space="preserve"> mm</w:t>
      </w:r>
    </w:p>
    <w:p w14:paraId="5EAF46B3" w14:textId="77777777" w:rsidR="004B2808" w:rsidRDefault="00000000">
      <w:pPr>
        <w:pStyle w:val="Author-eListParagraph"/>
        <w:numPr>
          <w:ilvl w:val="1"/>
          <w:numId w:val="482"/>
        </w:numPr>
        <w:jc w:val="both"/>
      </w:pPr>
      <w:r>
        <w:t>Apparence - Couleur  :</w:t>
      </w:r>
      <w:r>
        <w:rPr>
          <w:rStyle w:val="optioncarChar"/>
        </w:rPr>
        <w:t xml:space="preserve"> transparente </w:t>
      </w:r>
      <w:r>
        <w:t>(par défaut)</w:t>
      </w:r>
      <w:r>
        <w:rPr>
          <w:rStyle w:val="optioncarChar"/>
        </w:rPr>
        <w:t xml:space="preserve"> / blanc / ***</w:t>
      </w:r>
    </w:p>
    <w:p w14:paraId="0538194C" w14:textId="77777777" w:rsidR="004B2808" w:rsidRDefault="00000000">
      <w:pPr>
        <w:pStyle w:val="Author-eListParagraph"/>
        <w:numPr>
          <w:ilvl w:val="1"/>
          <w:numId w:val="482"/>
        </w:numPr>
        <w:jc w:val="both"/>
      </w:pPr>
      <w:r>
        <w:t xml:space="preserve">Résistance à la rupture : ≥ </w:t>
      </w:r>
      <w:r>
        <w:rPr>
          <w:rStyle w:val="optioncarChar"/>
        </w:rPr>
        <w:t xml:space="preserve">300 </w:t>
      </w:r>
      <w:r>
        <w:t>(par défaut)</w:t>
      </w:r>
      <w:r>
        <w:rPr>
          <w:rStyle w:val="optioncarChar"/>
        </w:rPr>
        <w:t xml:space="preserve"> / ***</w:t>
      </w:r>
      <w:r>
        <w:t xml:space="preserve"> MPa</w:t>
      </w:r>
    </w:p>
    <w:p w14:paraId="542F2B09" w14:textId="77777777" w:rsidR="004B2808" w:rsidRDefault="00000000">
      <w:pPr>
        <w:pStyle w:val="Author-eListParagraph"/>
        <w:numPr>
          <w:ilvl w:val="1"/>
          <w:numId w:val="482"/>
        </w:numPr>
        <w:jc w:val="both"/>
      </w:pPr>
      <w:r>
        <w:t xml:space="preserve">Allongement : ± </w:t>
      </w:r>
      <w:r>
        <w:rPr>
          <w:rStyle w:val="optioncarChar"/>
        </w:rPr>
        <w:t>10</w:t>
      </w:r>
      <w:r>
        <w:t xml:space="preserve"> (par défaut)</w:t>
      </w:r>
      <w:r>
        <w:rPr>
          <w:rStyle w:val="optioncarChar"/>
        </w:rPr>
        <w:t xml:space="preserve"> / ***</w:t>
      </w:r>
      <w:r>
        <w:t xml:space="preserve"> %</w:t>
      </w:r>
    </w:p>
    <w:p w14:paraId="3092DB7A" w14:textId="77777777" w:rsidR="004B2808" w:rsidRDefault="00000000">
      <w:pPr>
        <w:pStyle w:val="Author-eListParagraph"/>
        <w:numPr>
          <w:ilvl w:val="1"/>
          <w:numId w:val="482"/>
        </w:numPr>
        <w:jc w:val="both"/>
      </w:pPr>
      <w:r>
        <w:t xml:space="preserve">Dosage : </w:t>
      </w:r>
      <w:r>
        <w:rPr>
          <w:rStyle w:val="optioncarChar"/>
        </w:rPr>
        <w:t>600</w:t>
      </w:r>
      <w:r>
        <w:t xml:space="preserve"> (par défaut) </w:t>
      </w:r>
      <w:r>
        <w:rPr>
          <w:rStyle w:val="optioncarChar"/>
        </w:rPr>
        <w:t>/ 700 / 800 / 900 / 1000 / ***</w:t>
      </w:r>
      <w:r>
        <w:t xml:space="preserve"> g/m³</w:t>
      </w:r>
    </w:p>
    <w:p w14:paraId="0CFA9DAE" w14:textId="77777777" w:rsidR="004B2808" w:rsidRDefault="00000000">
      <w:pPr>
        <w:pStyle w:val="pheading"/>
      </w:pPr>
      <w:r>
        <w:t>EXÉCUTION / MISE EN ŒUVRE</w:t>
      </w:r>
    </w:p>
    <w:p w14:paraId="057FE532" w14:textId="77777777" w:rsidR="004B2808" w:rsidRDefault="00000000">
      <w:pPr>
        <w:pStyle w:val="pheading"/>
      </w:pPr>
      <w:r>
        <w:t>- Prescriptions générales</w:t>
      </w:r>
    </w:p>
    <w:p w14:paraId="16885F7F" w14:textId="77777777" w:rsidR="004B2808" w:rsidRDefault="00000000">
      <w:pPr>
        <w:jc w:val="both"/>
      </w:pPr>
      <w:r>
        <w:rPr>
          <w:b/>
        </w:rPr>
        <w:t>Exigences dimensionnelles :</w:t>
      </w:r>
    </w:p>
    <w:p w14:paraId="08C444AF" w14:textId="77777777" w:rsidR="004B2808" w:rsidRDefault="00000000">
      <w:pPr>
        <w:pStyle w:val="Author-eListParagraph"/>
        <w:numPr>
          <w:ilvl w:val="0"/>
          <w:numId w:val="483"/>
        </w:numPr>
        <w:jc w:val="both"/>
      </w:pPr>
      <w:r>
        <w:t xml:space="preserve">Tolérances sur le niveau du support : </w:t>
      </w:r>
      <w:r>
        <w:rPr>
          <w:rStyle w:val="optioncarChar"/>
        </w:rPr>
        <w:t>selon [NIT 189] </w:t>
      </w:r>
      <w:r>
        <w:t>(par défaut)</w:t>
      </w:r>
      <w:r>
        <w:rPr>
          <w:rStyle w:val="optioncarChar"/>
        </w:rPr>
        <w:t xml:space="preserve"> / ***</w:t>
      </w:r>
    </w:p>
    <w:p w14:paraId="6C8BB43B" w14:textId="77777777" w:rsidR="004B2808" w:rsidRDefault="00000000">
      <w:pPr>
        <w:pStyle w:val="Author-eListParagraph"/>
        <w:numPr>
          <w:ilvl w:val="0"/>
          <w:numId w:val="483"/>
        </w:numPr>
        <w:jc w:val="both"/>
      </w:pPr>
      <w:r>
        <w:t xml:space="preserve">Niveau fini de la sous-couche : </w:t>
      </w:r>
      <w:r>
        <w:rPr>
          <w:rStyle w:val="optioncarChar"/>
        </w:rPr>
        <w:t xml:space="preserve">selon les indications aux plans </w:t>
      </w:r>
      <w:r>
        <w:t>(par défaut)</w:t>
      </w:r>
      <w:r>
        <w:rPr>
          <w:rStyle w:val="optioncarChar"/>
        </w:rPr>
        <w:t xml:space="preserve"> / ***</w:t>
      </w:r>
    </w:p>
    <w:p w14:paraId="468E2049" w14:textId="77777777" w:rsidR="004B2808" w:rsidRDefault="00000000">
      <w:pPr>
        <w:pStyle w:val="Author-eListParagraph"/>
        <w:numPr>
          <w:ilvl w:val="0"/>
          <w:numId w:val="483"/>
        </w:numPr>
        <w:jc w:val="both"/>
      </w:pPr>
      <w:r>
        <w:t xml:space="preserve">Tolérances sur le niveau fini de la sous-couche : </w:t>
      </w:r>
      <w:r>
        <w:rPr>
          <w:rStyle w:val="optioncarChar"/>
        </w:rPr>
        <w:t>classe 2 (normales) selon [NIT 189] </w:t>
      </w:r>
      <w:r>
        <w:t>(par défaut)</w:t>
      </w:r>
      <w:r>
        <w:rPr>
          <w:rStyle w:val="optioncarChar"/>
        </w:rPr>
        <w:t xml:space="preserve"> / ***</w:t>
      </w:r>
    </w:p>
    <w:p w14:paraId="55797D3D" w14:textId="77777777" w:rsidR="004B2808" w:rsidRDefault="00000000">
      <w:pPr>
        <w:pStyle w:val="Author-eListParagraph"/>
        <w:numPr>
          <w:ilvl w:val="0"/>
          <w:numId w:val="483"/>
        </w:numPr>
        <w:jc w:val="both"/>
      </w:pPr>
      <w:r>
        <w:t xml:space="preserve">Tolérances de planéité du support : </w:t>
      </w:r>
      <w:r>
        <w:rPr>
          <w:rStyle w:val="optioncarChar"/>
        </w:rPr>
        <w:t>classe 2 (larges) selon [NIT 189] </w:t>
      </w:r>
      <w:r>
        <w:t xml:space="preserve">(par défaut) </w:t>
      </w:r>
      <w:r>
        <w:rPr>
          <w:rStyle w:val="optioncarChar"/>
        </w:rPr>
        <w:t>/ ***</w:t>
      </w:r>
    </w:p>
    <w:p w14:paraId="30C67C81" w14:textId="77777777" w:rsidR="004B2808" w:rsidRDefault="00000000">
      <w:pPr>
        <w:pStyle w:val="Author-eListParagraph"/>
        <w:numPr>
          <w:ilvl w:val="0"/>
          <w:numId w:val="483"/>
        </w:numPr>
        <w:jc w:val="both"/>
      </w:pPr>
      <w:r>
        <w:t xml:space="preserve">Tolérances de planéité de la sous-couche : </w:t>
      </w:r>
      <w:r>
        <w:rPr>
          <w:rStyle w:val="optioncarChar"/>
        </w:rPr>
        <w:t>classe 3 (larges) selon [NIT 189] </w:t>
      </w:r>
      <w:r>
        <w:t>(par défaut)</w:t>
      </w:r>
      <w:r>
        <w:rPr>
          <w:rStyle w:val="optioncarChar"/>
        </w:rPr>
        <w:t xml:space="preserve"> / ***</w:t>
      </w:r>
    </w:p>
    <w:p w14:paraId="49A3378E" w14:textId="77777777" w:rsidR="004B2808" w:rsidRDefault="00000000">
      <w:pPr>
        <w:pStyle w:val="pheading"/>
      </w:pPr>
      <w:r>
        <w:t>DOCUMENTS DE RÉFÉRENCE COMPLÉMENTAIRES</w:t>
      </w:r>
    </w:p>
    <w:p w14:paraId="1597227F" w14:textId="77777777" w:rsidR="004B2808" w:rsidRDefault="00000000">
      <w:pPr>
        <w:pStyle w:val="pheading"/>
      </w:pPr>
      <w:r>
        <w:t>- Matériau</w:t>
      </w:r>
    </w:p>
    <w:p w14:paraId="621328CB" w14:textId="77777777" w:rsidR="004B2808" w:rsidRDefault="00000000">
      <w:r>
        <w:t>[NIT 189, Les chapes pour couvre-sols. 1ère partie : Matériaux - Performances - Réception.]</w:t>
      </w:r>
    </w:p>
    <w:p w14:paraId="1410D89A" w14:textId="77777777" w:rsidR="004B2808" w:rsidRDefault="00000000">
      <w:r>
        <w:t>[NBN EN 14889-2, Fibres pour béton - Partie 2 : Fibres polymère - Définition, spécifications et conformité]</w:t>
      </w:r>
    </w:p>
    <w:p w14:paraId="65525227" w14:textId="77777777" w:rsidR="004B2808" w:rsidRDefault="00000000">
      <w:r>
        <w:t>[NBN EN 13318, Matériau pour chape et chapes - Terminologie]</w:t>
      </w:r>
    </w:p>
    <w:p w14:paraId="22268394" w14:textId="77777777" w:rsidR="004B2808" w:rsidRDefault="00000000">
      <w:r>
        <w:lastRenderedPageBreak/>
        <w:t>[NBN EN 13813, Matériaux de chapes et chapes - Matériaux de chapes - Propriétés et exigences]</w:t>
      </w:r>
    </w:p>
    <w:p w14:paraId="3A927D56" w14:textId="77777777" w:rsidR="004B2808" w:rsidRDefault="00000000">
      <w:r>
        <w:t>[NBN EN 13892 série, Méthodes d'essai des matériaux pour chapes]</w:t>
      </w:r>
    </w:p>
    <w:p w14:paraId="20DF2B67" w14:textId="77777777" w:rsidR="004B2808" w:rsidRDefault="00000000">
      <w:pPr>
        <w:pStyle w:val="pheading"/>
      </w:pPr>
      <w:r>
        <w:t>- Exécution</w:t>
      </w:r>
    </w:p>
    <w:p w14:paraId="2C90DC1F" w14:textId="77777777" w:rsidR="004B2808" w:rsidRDefault="00000000">
      <w:r>
        <w:t>[NIT 193, Les chapes. 2e partie: Mise en oeuvre.]</w:t>
      </w:r>
    </w:p>
    <w:p w14:paraId="4C595299" w14:textId="77777777" w:rsidR="004B2808" w:rsidRDefault="00000000">
      <w:pPr>
        <w:pStyle w:val="pheading"/>
      </w:pPr>
      <w:r>
        <w:t>MESURAGE</w:t>
      </w:r>
    </w:p>
    <w:p w14:paraId="19C2A069" w14:textId="77777777" w:rsidR="004B2808" w:rsidRDefault="00000000">
      <w:pPr>
        <w:pStyle w:val="pheading"/>
      </w:pPr>
      <w:r>
        <w:t>- unité de mesure:</w:t>
      </w:r>
    </w:p>
    <w:p w14:paraId="5A90940A" w14:textId="77777777" w:rsidR="004B2808" w:rsidRDefault="00000000">
      <w:r>
        <w:rPr>
          <w:rStyle w:val="optioncarChar"/>
        </w:rPr>
        <w:t xml:space="preserve">m² </w:t>
      </w:r>
      <w:r>
        <w:t xml:space="preserve">(par défaut) </w:t>
      </w:r>
      <w:r>
        <w:rPr>
          <w:rStyle w:val="optioncarChar"/>
        </w:rPr>
        <w:t>/ fft / -</w:t>
      </w:r>
    </w:p>
    <w:p w14:paraId="778C30CD" w14:textId="77777777" w:rsidR="004B2808" w:rsidRDefault="00000000">
      <w:r>
        <w:rPr>
          <w:b/>
        </w:rPr>
        <w:t>(soit par défaut)</w:t>
      </w:r>
      <w:r>
        <w:br/>
      </w:r>
      <w:r>
        <w:rPr>
          <w:rStyle w:val="soitChar"/>
        </w:rPr>
        <w:t>1. m²</w:t>
      </w:r>
      <w:r>
        <w:br/>
      </w:r>
      <w:r>
        <w:rPr>
          <w:b/>
        </w:rPr>
        <w:t>(soit)</w:t>
      </w:r>
      <w:r>
        <w:br/>
      </w:r>
      <w:r>
        <w:rPr>
          <w:rStyle w:val="soitChar"/>
        </w:rPr>
        <w:t>2. fft</w:t>
      </w:r>
      <w:r>
        <w:br/>
      </w:r>
      <w:r>
        <w:rPr>
          <w:b/>
        </w:rPr>
        <w:t>(soit)</w:t>
      </w:r>
      <w:r>
        <w:br/>
      </w:r>
      <w:r>
        <w:rPr>
          <w:rStyle w:val="soitChar"/>
        </w:rPr>
        <w:t>3.  –</w:t>
      </w:r>
    </w:p>
    <w:p w14:paraId="58391B43" w14:textId="77777777" w:rsidR="004B2808" w:rsidRDefault="00000000">
      <w:pPr>
        <w:pStyle w:val="pheading"/>
      </w:pPr>
      <w:r>
        <w:t>- code de mesurage:</w:t>
      </w:r>
    </w:p>
    <w:p w14:paraId="21D7BDAC" w14:textId="77777777" w:rsidR="004B2808" w:rsidRDefault="00000000">
      <w:pPr>
        <w:jc w:val="both"/>
      </w:pPr>
      <w:r>
        <w:rPr>
          <w:rStyle w:val="optioncarChar"/>
        </w:rPr>
        <w:t xml:space="preserve">Surface nette </w:t>
      </w:r>
      <w:r>
        <w:t>(par défaut)</w:t>
      </w:r>
      <w:r>
        <w:rPr>
          <w:rStyle w:val="optioncarChar"/>
        </w:rPr>
        <w:t xml:space="preserve"> / Pour l'ensemble des prestations à réaliser / Compris</w:t>
      </w:r>
    </w:p>
    <w:p w14:paraId="6C942B46" w14:textId="77777777" w:rsidR="004B2808" w:rsidRDefault="00000000">
      <w:pPr>
        <w:jc w:val="both"/>
      </w:pPr>
      <w:r>
        <w:rPr>
          <w:b/>
        </w:rPr>
        <w:t>(soit par défaut)</w:t>
      </w:r>
    </w:p>
    <w:p w14:paraId="0B4D1AB0" w14:textId="77777777" w:rsidR="004B2808" w:rsidRDefault="00000000">
      <w:pPr>
        <w:jc w:val="both"/>
      </w:pPr>
      <w:r>
        <w:rPr>
          <w:rStyle w:val="soitChar"/>
        </w:rPr>
        <w:t xml:space="preserve">1.  </w:t>
      </w:r>
      <w:r>
        <w:rPr>
          <w:rStyle w:val="soitChar"/>
          <w:u w:val="single"/>
        </w:rPr>
        <w:t>Surface nette :</w:t>
      </w:r>
    </w:p>
    <w:p w14:paraId="280587F6" w14:textId="77777777" w:rsidR="004B2808" w:rsidRDefault="00000000">
      <w:pPr>
        <w:jc w:val="both"/>
      </w:pPr>
      <w:r>
        <w:rPr>
          <w:rStyle w:val="soitChar"/>
        </w:rPr>
        <w:t>Mesurée entre le nu des murs et calculée sur la base des dimensions nominales en cm.</w:t>
      </w:r>
    </w:p>
    <w:p w14:paraId="773DC0C8" w14:textId="77777777" w:rsidR="004B2808" w:rsidRDefault="00000000">
      <w:pPr>
        <w:jc w:val="both"/>
      </w:pPr>
      <w:r>
        <w:rPr>
          <w:rStyle w:val="soitChar"/>
        </w:rPr>
        <w:t xml:space="preserve"> Les baies de porte sont comptées.</w:t>
      </w:r>
    </w:p>
    <w:p w14:paraId="17199F63" w14:textId="77777777" w:rsidR="004B2808" w:rsidRDefault="00000000">
      <w:pPr>
        <w:jc w:val="both"/>
      </w:pPr>
      <w:r>
        <w:rPr>
          <w:rStyle w:val="soitChar"/>
        </w:rPr>
        <w:t xml:space="preserve"> Les réservations &gt; à 0,5 m² sont déduites.</w:t>
      </w:r>
    </w:p>
    <w:p w14:paraId="4D044DA4" w14:textId="77777777" w:rsidR="004B2808" w:rsidRDefault="00000000">
      <w:pPr>
        <w:jc w:val="both"/>
      </w:pPr>
      <w:r>
        <w:rPr>
          <w:rStyle w:val="soitChar"/>
        </w:rPr>
        <w:t xml:space="preserve"> Le total est arrondi à la première décimale.</w:t>
      </w:r>
    </w:p>
    <w:p w14:paraId="39235AA7" w14:textId="77777777" w:rsidR="004B2808" w:rsidRDefault="00000000">
      <w:pPr>
        <w:jc w:val="both"/>
      </w:pPr>
      <w:r>
        <w:rPr>
          <w:b/>
        </w:rPr>
        <w:t>(soit)</w:t>
      </w:r>
    </w:p>
    <w:p w14:paraId="1C599CD9" w14:textId="77777777" w:rsidR="004B2808" w:rsidRDefault="00000000">
      <w:pPr>
        <w:jc w:val="both"/>
      </w:pPr>
      <w:r>
        <w:rPr>
          <w:rStyle w:val="soitChar"/>
        </w:rPr>
        <w:t xml:space="preserve">2.  </w:t>
      </w:r>
      <w:r>
        <w:rPr>
          <w:rStyle w:val="soitChar"/>
          <w:u w:val="single"/>
        </w:rPr>
        <w:t>Pour l’ensemble des prestations à réaliser :</w:t>
      </w:r>
    </w:p>
    <w:p w14:paraId="34E3050D" w14:textId="77777777" w:rsidR="004B2808" w:rsidRDefault="00000000">
      <w:pPr>
        <w:jc w:val="both"/>
      </w:pPr>
      <w:r>
        <w:rPr>
          <w:rStyle w:val="soitChar"/>
        </w:rPr>
        <w:t>Le prix unitaire comprend toutes les prestations nécessaires pour l’exécution de l’ensemble.</w:t>
      </w:r>
    </w:p>
    <w:p w14:paraId="0445A3DC" w14:textId="77777777" w:rsidR="004B2808" w:rsidRDefault="00000000">
      <w:pPr>
        <w:jc w:val="both"/>
      </w:pPr>
      <w:r>
        <w:rPr>
          <w:b/>
        </w:rPr>
        <w:t>(soit)</w:t>
      </w:r>
    </w:p>
    <w:p w14:paraId="7EABE41E" w14:textId="77777777" w:rsidR="004B2808" w:rsidRDefault="00000000">
      <w:pPr>
        <w:jc w:val="both"/>
      </w:pPr>
      <w:r>
        <w:rPr>
          <w:rStyle w:val="soitChar"/>
        </w:rPr>
        <w:t xml:space="preserve">3.  </w:t>
      </w:r>
      <w:r>
        <w:rPr>
          <w:rStyle w:val="soitChar"/>
          <w:u w:val="single"/>
        </w:rPr>
        <w:t>Compris :</w:t>
      </w:r>
    </w:p>
    <w:p w14:paraId="235B51C1" w14:textId="77777777" w:rsidR="004B2808" w:rsidRDefault="00000000">
      <w:pPr>
        <w:jc w:val="both"/>
      </w:pPr>
      <w:r>
        <w:rPr>
          <w:rStyle w:val="soitChar"/>
        </w:rPr>
        <w:t>Tous les frais liés à ces prestations sont</w:t>
      </w:r>
      <w:r>
        <w:t xml:space="preserve">  </w:t>
      </w:r>
      <w:r>
        <w:rPr>
          <w:rStyle w:val="optioncarChar"/>
        </w:rPr>
        <w:t xml:space="preserve">compris et répartis dans la totalité de l'entreprise </w:t>
      </w:r>
      <w:r>
        <w:t>(par défaut)</w:t>
      </w:r>
      <w:r>
        <w:rPr>
          <w:rStyle w:val="optioncarChar"/>
        </w:rPr>
        <w:t xml:space="preserve"> / compris dans le prix de l’article ***</w:t>
      </w:r>
    </w:p>
    <w:p w14:paraId="015C2086" w14:textId="77777777" w:rsidR="004B2808" w:rsidRDefault="00000000">
      <w:pPr>
        <w:pStyle w:val="pheading"/>
      </w:pPr>
      <w:r>
        <w:t>- nature du marché:</w:t>
      </w:r>
    </w:p>
    <w:p w14:paraId="46586C20" w14:textId="77777777" w:rsidR="004B2808" w:rsidRDefault="00000000">
      <w:r>
        <w:rPr>
          <w:rStyle w:val="optioncarChar"/>
        </w:rPr>
        <w:t xml:space="preserve">QF </w:t>
      </w:r>
      <w:r>
        <w:t>(par défaut)</w:t>
      </w:r>
      <w:r>
        <w:rPr>
          <w:rStyle w:val="optioncarChar"/>
        </w:rPr>
        <w:t xml:space="preserve"> / PG / PM</w:t>
      </w:r>
    </w:p>
    <w:p w14:paraId="4938F15A" w14:textId="77777777" w:rsidR="004B2808" w:rsidRDefault="00000000">
      <w:r>
        <w:rPr>
          <w:b/>
        </w:rPr>
        <w:t>(soit par défaut)</w:t>
      </w:r>
      <w:r>
        <w:br/>
      </w:r>
      <w:r>
        <w:rPr>
          <w:rStyle w:val="soitChar"/>
        </w:rPr>
        <w:t>1.  QF</w:t>
      </w:r>
      <w:r>
        <w:br/>
      </w:r>
      <w:r>
        <w:rPr>
          <w:b/>
        </w:rPr>
        <w:t>(soit)</w:t>
      </w:r>
      <w:r>
        <w:br/>
      </w:r>
      <w:r>
        <w:rPr>
          <w:rStyle w:val="soitChar"/>
        </w:rPr>
        <w:t>2.  PG</w:t>
      </w:r>
      <w:r>
        <w:br/>
      </w:r>
      <w:r>
        <w:rPr>
          <w:b/>
        </w:rPr>
        <w:t>(soit)</w:t>
      </w:r>
      <w:r>
        <w:br/>
      </w:r>
      <w:r>
        <w:rPr>
          <w:rStyle w:val="soitChar"/>
        </w:rPr>
        <w:t>3.  PM</w:t>
      </w:r>
    </w:p>
    <w:p w14:paraId="288FD3F3" w14:textId="77777777" w:rsidR="004B2808" w:rsidRDefault="00000000">
      <w:pPr>
        <w:pStyle w:val="Author-eSectionHeading6Numberless"/>
      </w:pPr>
      <w:bookmarkStart w:id="524" w:name="_Toc220490696"/>
      <w:r>
        <w:t>53.11.1d Sous couches de remplissage ou d'égalisation, aux billes de mousse de polystyrène expansé, ciment et adjuvants (béton de polystyrène expansé) CCTB 01.11</w:t>
      </w:r>
      <w:bookmarkEnd w:id="524"/>
    </w:p>
    <w:p w14:paraId="30C2EB58" w14:textId="77777777" w:rsidR="004B2808" w:rsidRDefault="00000000">
      <w:pPr>
        <w:pStyle w:val="pheading"/>
      </w:pPr>
      <w:r>
        <w:t>MATÉRIAUX</w:t>
      </w:r>
    </w:p>
    <w:p w14:paraId="40CB4F2F" w14:textId="77777777" w:rsidR="004B2808" w:rsidRDefault="00000000">
      <w:pPr>
        <w:pStyle w:val="pheading"/>
      </w:pPr>
      <w:r>
        <w:t>- Caractéristiques générales</w:t>
      </w:r>
    </w:p>
    <w:p w14:paraId="52A98B1A" w14:textId="77777777" w:rsidR="004B2808" w:rsidRDefault="00000000">
      <w:r>
        <w:lastRenderedPageBreak/>
        <w:t xml:space="preserve">La couche de remplissage isolante se compose principalement de granulés de polystyrène expansé d'un diamètre maximal de </w:t>
      </w:r>
      <w:r>
        <w:rPr>
          <w:rStyle w:val="optioncarChar"/>
        </w:rPr>
        <w:t>4</w:t>
      </w:r>
      <w:r>
        <w:t> (par défaut)</w:t>
      </w:r>
      <w:r>
        <w:rPr>
          <w:rStyle w:val="optioncarChar"/>
        </w:rPr>
        <w:t> / ***</w:t>
      </w:r>
      <w:r>
        <w:t>  mm, mélangés avec du ciment et de l'eau. D'autres adjuvants (granulés de perlite, caoutchouc broyé, ...) ou liants (émulsion de bitume, ...) sont préalablement soumis pour approbation à l'auteur de projet.</w:t>
      </w:r>
    </w:p>
    <w:p w14:paraId="4D4A33CB" w14:textId="77777777" w:rsidR="004B2808" w:rsidRDefault="00000000">
      <w:pPr>
        <w:pStyle w:val="heading"/>
      </w:pPr>
      <w:r>
        <w:t>Spécifications</w:t>
      </w:r>
    </w:p>
    <w:p w14:paraId="32B1DA4C" w14:textId="77777777" w:rsidR="004B2808" w:rsidRDefault="00000000">
      <w:pPr>
        <w:pStyle w:val="Author-eListParagraph"/>
        <w:numPr>
          <w:ilvl w:val="0"/>
          <w:numId w:val="484"/>
        </w:numPr>
      </w:pPr>
      <w:r>
        <w:t xml:space="preserve">Epaisseur de la couche : minimum </w:t>
      </w:r>
      <w:r>
        <w:rPr>
          <w:rStyle w:val="optioncarChar"/>
        </w:rPr>
        <w:t>4 </w:t>
      </w:r>
      <w:r>
        <w:t xml:space="preserve">(par défaut) </w:t>
      </w:r>
      <w:r>
        <w:rPr>
          <w:rStyle w:val="optioncarChar"/>
        </w:rPr>
        <w:t>/ 5 / 6 / ***</w:t>
      </w:r>
      <w:r>
        <w:t> cm</w:t>
      </w:r>
    </w:p>
    <w:p w14:paraId="6C10707F" w14:textId="77777777" w:rsidR="004B2808" w:rsidRDefault="00000000">
      <w:pPr>
        <w:pStyle w:val="Author-eListParagraph"/>
        <w:numPr>
          <w:ilvl w:val="0"/>
          <w:numId w:val="484"/>
        </w:numPr>
      </w:pPr>
      <w:r>
        <w:t xml:space="preserve">Masse volumique : maximum </w:t>
      </w:r>
      <w:r>
        <w:rPr>
          <w:rStyle w:val="optioncarChar"/>
        </w:rPr>
        <w:t>360</w:t>
      </w:r>
      <w:r>
        <w:t xml:space="preserve"> (par défaut) </w:t>
      </w:r>
      <w:r>
        <w:rPr>
          <w:rStyle w:val="optioncarChar"/>
        </w:rPr>
        <w:t>/ 550 / 650 / ***</w:t>
      </w:r>
      <w:r>
        <w:t> kg/m³</w:t>
      </w:r>
    </w:p>
    <w:p w14:paraId="4DB89EA3" w14:textId="77777777" w:rsidR="004B2808" w:rsidRDefault="00000000">
      <w:pPr>
        <w:pStyle w:val="Author-eListParagraph"/>
        <w:numPr>
          <w:ilvl w:val="0"/>
          <w:numId w:val="484"/>
        </w:numPr>
      </w:pPr>
      <w:r>
        <w:t>La composition du mélange sera déterminée par l'entrepreneur et satisfera aux exigences suivantes :</w:t>
      </w:r>
    </w:p>
    <w:tbl>
      <w:tblPr>
        <w:tblStyle w:val="Author-eTableGrid"/>
        <w:tblW w:w="5000" w:type="pct"/>
        <w:tblLayout w:type="fixed"/>
        <w:tblLook w:val="04A0" w:firstRow="1" w:lastRow="0" w:firstColumn="1" w:lastColumn="0" w:noHBand="0" w:noVBand="1"/>
      </w:tblPr>
      <w:tblGrid>
        <w:gridCol w:w="3032"/>
        <w:gridCol w:w="3033"/>
        <w:gridCol w:w="3033"/>
      </w:tblGrid>
      <w:tr w:rsidR="004B2808" w14:paraId="632D3F28" w14:textId="77777777">
        <w:tc>
          <w:tcPr>
            <w:tcW w:w="3000" w:type="dxa"/>
            <w:noWrap/>
          </w:tcPr>
          <w:p w14:paraId="3EAABFA3" w14:textId="77777777" w:rsidR="004B2808" w:rsidRDefault="00000000">
            <w:pPr>
              <w:jc w:val="center"/>
            </w:pPr>
            <w:r>
              <w:rPr>
                <w:b/>
              </w:rPr>
              <w:t xml:space="preserve">Masse volumique (kg/m³) </w:t>
            </w:r>
          </w:p>
        </w:tc>
        <w:tc>
          <w:tcPr>
            <w:tcW w:w="3000" w:type="dxa"/>
            <w:noWrap/>
          </w:tcPr>
          <w:p w14:paraId="3786A3B0" w14:textId="77777777" w:rsidR="004B2808" w:rsidRDefault="00000000">
            <w:pPr>
              <w:jc w:val="center"/>
            </w:pPr>
            <w:r>
              <w:rPr>
                <w:b/>
              </w:rPr>
              <w:t xml:space="preserve">Résistance à la compression (N/mm²) </w:t>
            </w:r>
          </w:p>
        </w:tc>
        <w:tc>
          <w:tcPr>
            <w:tcW w:w="3000" w:type="dxa"/>
            <w:noWrap/>
          </w:tcPr>
          <w:p w14:paraId="434257C0" w14:textId="77777777" w:rsidR="004B2808" w:rsidRDefault="00000000">
            <w:pPr>
              <w:jc w:val="center"/>
            </w:pPr>
            <w:r>
              <w:rPr>
                <w:b/>
              </w:rPr>
              <w:t xml:space="preserve">l (W/mK) </w:t>
            </w:r>
          </w:p>
        </w:tc>
      </w:tr>
      <w:tr w:rsidR="004B2808" w14:paraId="2587367C" w14:textId="77777777">
        <w:tc>
          <w:tcPr>
            <w:tcW w:w="3000" w:type="dxa"/>
            <w:noWrap/>
          </w:tcPr>
          <w:p w14:paraId="59DCDCA3" w14:textId="77777777" w:rsidR="004B2808" w:rsidRDefault="00000000">
            <w:pPr>
              <w:jc w:val="center"/>
            </w:pPr>
            <w:r>
              <w:t>360</w:t>
            </w:r>
          </w:p>
        </w:tc>
        <w:tc>
          <w:tcPr>
            <w:tcW w:w="3000" w:type="dxa"/>
            <w:noWrap/>
          </w:tcPr>
          <w:p w14:paraId="090943C4" w14:textId="77777777" w:rsidR="004B2808" w:rsidRDefault="00000000">
            <w:pPr>
              <w:jc w:val="center"/>
            </w:pPr>
            <w:r>
              <w:t>minimum 0,60</w:t>
            </w:r>
          </w:p>
        </w:tc>
        <w:tc>
          <w:tcPr>
            <w:tcW w:w="3000" w:type="dxa"/>
            <w:noWrap/>
          </w:tcPr>
          <w:p w14:paraId="437974EB" w14:textId="77777777" w:rsidR="004B2808" w:rsidRDefault="00000000">
            <w:pPr>
              <w:jc w:val="center"/>
            </w:pPr>
            <w:r>
              <w:t>maximum 0,10</w:t>
            </w:r>
          </w:p>
        </w:tc>
      </w:tr>
      <w:tr w:rsidR="004B2808" w14:paraId="6C8DC70E" w14:textId="77777777">
        <w:tc>
          <w:tcPr>
            <w:tcW w:w="3000" w:type="dxa"/>
            <w:noWrap/>
          </w:tcPr>
          <w:p w14:paraId="4F420817" w14:textId="77777777" w:rsidR="004B2808" w:rsidRDefault="00000000">
            <w:pPr>
              <w:jc w:val="center"/>
            </w:pPr>
            <w:r>
              <w:t>550</w:t>
            </w:r>
          </w:p>
        </w:tc>
        <w:tc>
          <w:tcPr>
            <w:tcW w:w="3000" w:type="dxa"/>
            <w:noWrap/>
          </w:tcPr>
          <w:p w14:paraId="333D3A6A" w14:textId="77777777" w:rsidR="004B2808" w:rsidRDefault="00000000">
            <w:pPr>
              <w:jc w:val="center"/>
            </w:pPr>
            <w:r>
              <w:t>minimum 1,7</w:t>
            </w:r>
          </w:p>
        </w:tc>
        <w:tc>
          <w:tcPr>
            <w:tcW w:w="3000" w:type="dxa"/>
            <w:noWrap/>
          </w:tcPr>
          <w:p w14:paraId="4EF6C91A" w14:textId="77777777" w:rsidR="004B2808" w:rsidRDefault="00000000">
            <w:pPr>
              <w:jc w:val="center"/>
            </w:pPr>
            <w:r>
              <w:t>maximum 0,15</w:t>
            </w:r>
          </w:p>
        </w:tc>
      </w:tr>
      <w:tr w:rsidR="004B2808" w14:paraId="333077D7" w14:textId="77777777">
        <w:tc>
          <w:tcPr>
            <w:tcW w:w="3000" w:type="dxa"/>
            <w:noWrap/>
          </w:tcPr>
          <w:p w14:paraId="161A5169" w14:textId="77777777" w:rsidR="004B2808" w:rsidRDefault="00000000">
            <w:pPr>
              <w:jc w:val="center"/>
            </w:pPr>
            <w:r>
              <w:t>650</w:t>
            </w:r>
          </w:p>
        </w:tc>
        <w:tc>
          <w:tcPr>
            <w:tcW w:w="3000" w:type="dxa"/>
            <w:noWrap/>
          </w:tcPr>
          <w:p w14:paraId="0AB1DD39" w14:textId="77777777" w:rsidR="004B2808" w:rsidRDefault="00000000">
            <w:pPr>
              <w:jc w:val="center"/>
            </w:pPr>
            <w:r>
              <w:t>minimum 2,6</w:t>
            </w:r>
          </w:p>
        </w:tc>
        <w:tc>
          <w:tcPr>
            <w:tcW w:w="3000" w:type="dxa"/>
            <w:noWrap/>
          </w:tcPr>
          <w:p w14:paraId="64809066" w14:textId="77777777" w:rsidR="004B2808" w:rsidRDefault="00000000">
            <w:pPr>
              <w:jc w:val="center"/>
            </w:pPr>
            <w:r>
              <w:t>maximum 0,20</w:t>
            </w:r>
          </w:p>
        </w:tc>
      </w:tr>
    </w:tbl>
    <w:p w14:paraId="65724453" w14:textId="77777777" w:rsidR="004B2808" w:rsidRDefault="00000000">
      <w:pPr>
        <w:pStyle w:val="pheading"/>
      </w:pPr>
      <w:r>
        <w:t>- Prescriptions complémentaires</w:t>
      </w:r>
    </w:p>
    <w:p w14:paraId="6BB42075" w14:textId="77777777" w:rsidR="004B2808" w:rsidRDefault="00000000">
      <w:r>
        <w:t>Les matériaux sont peu combustibles (classes A1/A2 selon la [NBN EN 13501-1].</w:t>
      </w:r>
    </w:p>
    <w:p w14:paraId="784E0F74" w14:textId="77777777" w:rsidR="004B2808" w:rsidRDefault="00000000">
      <w:pPr>
        <w:pStyle w:val="pheading"/>
      </w:pPr>
      <w:r>
        <w:t>EXÉCUTION / MISE EN ŒUVRE</w:t>
      </w:r>
    </w:p>
    <w:p w14:paraId="65B3C528" w14:textId="77777777" w:rsidR="004B2808" w:rsidRDefault="00000000">
      <w:pPr>
        <w:pStyle w:val="pheading"/>
      </w:pPr>
      <w:r>
        <w:t>- Prescriptions générales</w:t>
      </w:r>
    </w:p>
    <w:p w14:paraId="3C9F7EA7" w14:textId="77777777" w:rsidR="004B2808" w:rsidRDefault="00000000">
      <w:r>
        <w:t>Le mortier est préparé dans une bétonneuse, pompé et coulé. Lorsque le mortier est pompé à l'air comprimé, on utilise des tuyaux flexibles d'un diamètre suffisant et sans resserrements afin de prévenir toute ségrégation du mélange.  </w:t>
      </w:r>
    </w:p>
    <w:p w14:paraId="4DCA8E74" w14:textId="77777777" w:rsidR="004B2808" w:rsidRDefault="00000000">
      <w:pPr>
        <w:pStyle w:val="pheading"/>
      </w:pPr>
      <w:r>
        <w:t>- Notes d’exécution complémentaires</w:t>
      </w:r>
    </w:p>
    <w:p w14:paraId="6EC7E469" w14:textId="77777777" w:rsidR="004B2808" w:rsidRDefault="00000000">
      <w:r>
        <w:t>L'aire de pose nettoyée et les conduites sont préalablement enduites d'un primer spécial.  Lors du nettoyage de l'aire de production, l'évacuation des produits doit respecter les règles relatives à l'environnement et aux fonctions du réseau d'égouttage.</w:t>
      </w:r>
    </w:p>
    <w:p w14:paraId="05927C0C" w14:textId="77777777" w:rsidR="004B2808" w:rsidRDefault="00000000">
      <w:pPr>
        <w:pStyle w:val="pheading"/>
      </w:pPr>
      <w:r>
        <w:t>MESURAGE</w:t>
      </w:r>
    </w:p>
    <w:p w14:paraId="5FAD7B0D" w14:textId="77777777" w:rsidR="004B2808" w:rsidRDefault="00000000">
      <w:r>
        <w:t>Conformément aux indications spécifiques dans le cahier spécial des charges et/ou le métré récapitulatif, le mesurage doit être conçu comme suit :</w:t>
      </w:r>
    </w:p>
    <w:p w14:paraId="1D567F63" w14:textId="77777777" w:rsidR="004B2808" w:rsidRDefault="00000000">
      <w:pPr>
        <w:pStyle w:val="pheading"/>
      </w:pPr>
      <w:r>
        <w:t>- unité de mesure:</w:t>
      </w:r>
    </w:p>
    <w:p w14:paraId="1A61AE64" w14:textId="77777777" w:rsidR="004B2808" w:rsidRDefault="00000000">
      <w:r>
        <w:rPr>
          <w:rStyle w:val="optioncarChar"/>
        </w:rPr>
        <w:t>m²</w:t>
      </w:r>
      <w:r>
        <w:t> (par défaut)</w:t>
      </w:r>
      <w:r>
        <w:rPr>
          <w:rStyle w:val="optioncarChar"/>
        </w:rPr>
        <w:t xml:space="preserve"> / m³ / ***</w:t>
      </w:r>
    </w:p>
    <w:p w14:paraId="306BF95D" w14:textId="77777777" w:rsidR="004B2808" w:rsidRDefault="00000000">
      <w:pPr>
        <w:pStyle w:val="pheading"/>
      </w:pPr>
      <w:r>
        <w:t>- code de mesurage:</w:t>
      </w:r>
    </w:p>
    <w:p w14:paraId="394A1FC1" w14:textId="77777777" w:rsidR="004B2808" w:rsidRDefault="00000000">
      <w:r>
        <w:t>En fonction de la composition et de l'épaisseur, surface nette à exécuter au niveau prescrit, surface nette mesurée entre le nu des murs, calculée sur la base des dimensions nominales en cm. Les baies de porte seront comptées, les ouvertures supérieures à 0,5 m² sont déduites. Le total est arrondi à la première décimale.</w:t>
      </w:r>
    </w:p>
    <w:p w14:paraId="6BB10714" w14:textId="77777777" w:rsidR="004B2808" w:rsidRDefault="00000000">
      <w:r>
        <w:t>Le prix est toujours indiqué au m² pour tous les ouvrages et fournitures, y compris les surépaisseurs éventuelles.</w:t>
      </w:r>
    </w:p>
    <w:p w14:paraId="01696D8D" w14:textId="77777777" w:rsidR="004B2808" w:rsidRDefault="00000000">
      <w:pPr>
        <w:pStyle w:val="pheading"/>
      </w:pPr>
      <w:r>
        <w:t>- nature du marché:</w:t>
      </w:r>
    </w:p>
    <w:p w14:paraId="449C6143" w14:textId="77777777" w:rsidR="004B2808" w:rsidRDefault="00000000">
      <w:r>
        <w:t>QF</w:t>
      </w:r>
    </w:p>
    <w:p w14:paraId="3E4C132B" w14:textId="77777777" w:rsidR="004B2808" w:rsidRDefault="00000000">
      <w:pPr>
        <w:pStyle w:val="pheading"/>
      </w:pPr>
      <w:r>
        <w:t>AIDE</w:t>
      </w:r>
    </w:p>
    <w:p w14:paraId="07883709" w14:textId="77777777" w:rsidR="004B2808" w:rsidRDefault="00000000">
      <w:r>
        <w:rPr>
          <w:i/>
          <w:u w:val="single"/>
        </w:rPr>
        <w:t>Note pour l'auteur de projet</w:t>
      </w:r>
      <w:r>
        <w:rPr>
          <w:u w:val="single"/>
        </w:rPr>
        <w:t xml:space="preserve">: </w:t>
      </w:r>
      <w:r>
        <w:br/>
        <w:t>La compatibilité entre les liants additionnels tels un bitume et les billes de mousse de polystyrène expansé pose souvent problème.  La compatibilité doit être confirmée par l'entrepreneur.</w:t>
      </w:r>
    </w:p>
    <w:p w14:paraId="0FB402A7" w14:textId="77777777" w:rsidR="004B2808" w:rsidRDefault="00000000">
      <w:pPr>
        <w:pStyle w:val="Author-eSectionHeading6Numberless"/>
      </w:pPr>
      <w:bookmarkStart w:id="525" w:name="_Toc220490697"/>
      <w:r>
        <w:lastRenderedPageBreak/>
        <w:t>53.11.1e Sous couches de remplissage ou d'égalisation, vermiculite expansée et ciment ( béton de vermiculite expansée) CCTB 01.10</w:t>
      </w:r>
      <w:bookmarkEnd w:id="525"/>
    </w:p>
    <w:p w14:paraId="07D684DB" w14:textId="77777777" w:rsidR="004B2808" w:rsidRDefault="00000000">
      <w:pPr>
        <w:pStyle w:val="pheading"/>
      </w:pPr>
      <w:r>
        <w:t>MATÉRIAUX</w:t>
      </w:r>
    </w:p>
    <w:p w14:paraId="4BB38446" w14:textId="77777777" w:rsidR="004B2808" w:rsidRDefault="00000000">
      <w:pPr>
        <w:pStyle w:val="pheading"/>
      </w:pPr>
      <w:r>
        <w:t>- Prescriptions complémentaires</w:t>
      </w:r>
    </w:p>
    <w:p w14:paraId="40E64C8B" w14:textId="77777777" w:rsidR="004B2808" w:rsidRDefault="00000000">
      <w:r>
        <w:t>Les matériaux sont peu combustibles (classes A1/A2 selon la [NBN EN 13501-1].</w:t>
      </w:r>
    </w:p>
    <w:p w14:paraId="5E13458A" w14:textId="77777777" w:rsidR="004B2808" w:rsidRDefault="00000000">
      <w:pPr>
        <w:pStyle w:val="pheading"/>
      </w:pPr>
      <w:r>
        <w:t>MESURAGE</w:t>
      </w:r>
    </w:p>
    <w:p w14:paraId="245F9F31" w14:textId="77777777" w:rsidR="004B2808" w:rsidRDefault="00000000">
      <w:r>
        <w:t>Conformément aux indications spécifiques dans le cahier spécial des charges et/ou le métré récapitulatif, le mesurage doit être conçu comme suit :</w:t>
      </w:r>
    </w:p>
    <w:p w14:paraId="036AEF66" w14:textId="77777777" w:rsidR="004B2808" w:rsidRDefault="00000000">
      <w:pPr>
        <w:pStyle w:val="pheading"/>
      </w:pPr>
      <w:r>
        <w:t>- unité de mesure:</w:t>
      </w:r>
    </w:p>
    <w:p w14:paraId="386ED24E" w14:textId="77777777" w:rsidR="004B2808" w:rsidRDefault="00000000">
      <w:r>
        <w:rPr>
          <w:rStyle w:val="optioncarChar"/>
        </w:rPr>
        <w:t>m²</w:t>
      </w:r>
      <w:r>
        <w:t> (par défaut)</w:t>
      </w:r>
      <w:r>
        <w:rPr>
          <w:rStyle w:val="optioncarChar"/>
        </w:rPr>
        <w:t xml:space="preserve"> / m³ / ***</w:t>
      </w:r>
    </w:p>
    <w:p w14:paraId="0E86C14C" w14:textId="77777777" w:rsidR="004B2808" w:rsidRDefault="00000000">
      <w:pPr>
        <w:pStyle w:val="pheading"/>
      </w:pPr>
      <w:r>
        <w:t>- code de mesurage:</w:t>
      </w:r>
    </w:p>
    <w:p w14:paraId="62B2349C" w14:textId="77777777" w:rsidR="004B2808" w:rsidRDefault="00000000">
      <w:r>
        <w:t>En fonction de la composition et de l'épaisseur, surface nette à exécuter au niveau prescrit, surface nette mesurée entre le nu des murs, calculée sur la base des dimensions nominales en cm. Les baies de porte sont comptées, les ouvertures supérieures à 0,5 m² sont déduites. Le total est arrondi à la première décimale.</w:t>
      </w:r>
    </w:p>
    <w:p w14:paraId="699920C2" w14:textId="77777777" w:rsidR="004B2808" w:rsidRDefault="00000000">
      <w:r>
        <w:t>Le prix est toujours indiqué au m² pour tous les ouvrages et fournitures, y compris les surépaisseurs éventuelles.</w:t>
      </w:r>
    </w:p>
    <w:p w14:paraId="328A9562" w14:textId="77777777" w:rsidR="004B2808" w:rsidRDefault="00000000">
      <w:pPr>
        <w:pStyle w:val="pheading"/>
      </w:pPr>
      <w:r>
        <w:t>- nature du marché:</w:t>
      </w:r>
    </w:p>
    <w:p w14:paraId="0991A174" w14:textId="77777777" w:rsidR="004B2808" w:rsidRDefault="00000000">
      <w:r>
        <w:t>QF</w:t>
      </w:r>
    </w:p>
    <w:p w14:paraId="32EB923E" w14:textId="77777777" w:rsidR="004B2808" w:rsidRDefault="00000000">
      <w:pPr>
        <w:pStyle w:val="Author-eSectionHeading6Numberless"/>
      </w:pPr>
      <w:bookmarkStart w:id="526" w:name="_Toc220490698"/>
      <w:r>
        <w:t>53.11.1f Sous couches de remplissage ou d'égalisation, en vermiculite expansée prémélangée à du bitume chaud CCTB 01.11</w:t>
      </w:r>
      <w:bookmarkEnd w:id="526"/>
    </w:p>
    <w:p w14:paraId="125629B8" w14:textId="77777777" w:rsidR="004B2808" w:rsidRDefault="00000000">
      <w:pPr>
        <w:pStyle w:val="pheading"/>
      </w:pPr>
      <w:r>
        <w:t>MATÉRIAUX</w:t>
      </w:r>
    </w:p>
    <w:p w14:paraId="0E8B3F7B" w14:textId="77777777" w:rsidR="004B2808" w:rsidRDefault="00000000">
      <w:pPr>
        <w:pStyle w:val="pheading"/>
      </w:pPr>
      <w:r>
        <w:t>- Prescriptions complémentaires</w:t>
      </w:r>
    </w:p>
    <w:p w14:paraId="0F0EF7AD" w14:textId="77777777" w:rsidR="004B2808" w:rsidRDefault="00000000">
      <w:r>
        <w:t>Les matériaux sont peu combustibles (classes A1/A2 selon la [NBN EN 13501-1].</w:t>
      </w:r>
    </w:p>
    <w:p w14:paraId="4C405ED8" w14:textId="77777777" w:rsidR="004B2808" w:rsidRDefault="00000000">
      <w:pPr>
        <w:pStyle w:val="pheading"/>
      </w:pPr>
      <w:r>
        <w:t>MESURAGE</w:t>
      </w:r>
    </w:p>
    <w:p w14:paraId="5C836ABF" w14:textId="77777777" w:rsidR="004B2808" w:rsidRDefault="00000000">
      <w:r>
        <w:t>Conformément aux indications spécifiques dans le cahier spécial des charges et/ou le métré récapitulatif, le mesurage doit être conçu comme suit :</w:t>
      </w:r>
    </w:p>
    <w:p w14:paraId="38A2F8E7" w14:textId="77777777" w:rsidR="004B2808" w:rsidRDefault="00000000">
      <w:pPr>
        <w:pStyle w:val="pheading"/>
      </w:pPr>
      <w:r>
        <w:t>- unité de mesure:</w:t>
      </w:r>
    </w:p>
    <w:p w14:paraId="5F3395C0" w14:textId="77777777" w:rsidR="004B2808" w:rsidRDefault="00000000">
      <w:r>
        <w:rPr>
          <w:rStyle w:val="optioncarChar"/>
        </w:rPr>
        <w:t>m² </w:t>
      </w:r>
      <w:r>
        <w:t xml:space="preserve">(par défaut) </w:t>
      </w:r>
      <w:r>
        <w:rPr>
          <w:rStyle w:val="optioncarChar"/>
        </w:rPr>
        <w:t>/ m³ / ***</w:t>
      </w:r>
    </w:p>
    <w:p w14:paraId="5904CCCD" w14:textId="77777777" w:rsidR="004B2808" w:rsidRDefault="00000000">
      <w:pPr>
        <w:pStyle w:val="pheading"/>
      </w:pPr>
      <w:r>
        <w:t>- code de mesurage:</w:t>
      </w:r>
    </w:p>
    <w:p w14:paraId="2831BD73" w14:textId="77777777" w:rsidR="004B2808" w:rsidRDefault="00000000">
      <w:r>
        <w:t>En fonction de la composition et de l'épaisseur, surface nette à exécuter au niveau prescrit, surface nette mesurée entre le nu des murs, calculée sur la base des dimensions nominales en cm. Les baies de porte sont comptées, les ouvertures supérieures à 0,5 m² sont déduites. Le total est arrondi à la première décimale.</w:t>
      </w:r>
    </w:p>
    <w:p w14:paraId="173DAA9D" w14:textId="77777777" w:rsidR="004B2808" w:rsidRDefault="00000000">
      <w:r>
        <w:t>Le prix est toujours indiqué au m² pour tous les ouvrages et fournitures, y compris les surépaisseurs éventuelles.</w:t>
      </w:r>
    </w:p>
    <w:p w14:paraId="33C7079A" w14:textId="77777777" w:rsidR="004B2808" w:rsidRDefault="00000000">
      <w:pPr>
        <w:pStyle w:val="pheading"/>
      </w:pPr>
      <w:r>
        <w:t>- nature du marché:</w:t>
      </w:r>
    </w:p>
    <w:p w14:paraId="757B6C1E" w14:textId="77777777" w:rsidR="004B2808" w:rsidRDefault="00000000">
      <w:r>
        <w:t>QF</w:t>
      </w:r>
    </w:p>
    <w:p w14:paraId="1AEFBE8D" w14:textId="77777777" w:rsidR="004B2808" w:rsidRDefault="00000000">
      <w:pPr>
        <w:pStyle w:val="Author-eSectionHeading6Numberless"/>
      </w:pPr>
      <w:bookmarkStart w:id="527" w:name="_Toc220490699"/>
      <w:r>
        <w:t>53.11.1g Sous couches de remplissage ou d'égalisation, en perlite expansée, ciment, et sable fin éventuel (béton de perlite expansée) CCTB 01.10</w:t>
      </w:r>
      <w:bookmarkEnd w:id="527"/>
    </w:p>
    <w:p w14:paraId="7A6DE03D" w14:textId="77777777" w:rsidR="004B2808" w:rsidRDefault="00000000">
      <w:pPr>
        <w:pStyle w:val="pheading"/>
      </w:pPr>
      <w:r>
        <w:t>MATÉRIAUX</w:t>
      </w:r>
    </w:p>
    <w:p w14:paraId="64408D21" w14:textId="77777777" w:rsidR="004B2808" w:rsidRDefault="00000000">
      <w:pPr>
        <w:pStyle w:val="pheading"/>
      </w:pPr>
      <w:r>
        <w:lastRenderedPageBreak/>
        <w:t>- Prescriptions complémentaires</w:t>
      </w:r>
    </w:p>
    <w:p w14:paraId="1B730654" w14:textId="77777777" w:rsidR="004B2808" w:rsidRDefault="00000000">
      <w:r>
        <w:t>Les matériaux sont peu combustibles (classes A1/A2 selon la [NBN EN 13501-1].</w:t>
      </w:r>
    </w:p>
    <w:p w14:paraId="26C6881A" w14:textId="77777777" w:rsidR="004B2808" w:rsidRDefault="00000000">
      <w:pPr>
        <w:pStyle w:val="pheading"/>
      </w:pPr>
      <w:r>
        <w:t>MESURAGE</w:t>
      </w:r>
    </w:p>
    <w:p w14:paraId="29602124" w14:textId="77777777" w:rsidR="004B2808" w:rsidRDefault="00000000">
      <w:r>
        <w:t>Conformément aux indications spécifiques dans le cahier spécial des charges et/ou le métré récapitulatif, le mesurage doit être conçu comme suit :</w:t>
      </w:r>
    </w:p>
    <w:p w14:paraId="67E437CB" w14:textId="77777777" w:rsidR="004B2808" w:rsidRDefault="00000000">
      <w:pPr>
        <w:pStyle w:val="pheading"/>
      </w:pPr>
      <w:r>
        <w:t>- unité de mesure:</w:t>
      </w:r>
    </w:p>
    <w:p w14:paraId="393D5F28" w14:textId="77777777" w:rsidR="004B2808" w:rsidRDefault="00000000">
      <w:r>
        <w:rPr>
          <w:rStyle w:val="optioncarChar"/>
        </w:rPr>
        <w:t>m² </w:t>
      </w:r>
      <w:r>
        <w:t>(par défaut) </w:t>
      </w:r>
      <w:r>
        <w:rPr>
          <w:rStyle w:val="optioncarChar"/>
        </w:rPr>
        <w:t>/ m³ / ***</w:t>
      </w:r>
    </w:p>
    <w:p w14:paraId="02785767" w14:textId="77777777" w:rsidR="004B2808" w:rsidRDefault="00000000">
      <w:pPr>
        <w:pStyle w:val="pheading"/>
      </w:pPr>
      <w:r>
        <w:t>- code de mesurage:</w:t>
      </w:r>
    </w:p>
    <w:p w14:paraId="5DBDC409" w14:textId="77777777" w:rsidR="004B2808" w:rsidRDefault="00000000">
      <w:r>
        <w:t>En fonction de la composition et de l'épaisseur, surface nette à exécuter au niveau prescrit, surface nette mesurée entre le nu des murs, calculée sur la base des dimensions nominales en cm. Les baies de porte sont comptées, les ouvertures supérieures à 0,5 m² sont déduites. Le total est arrondi à la première décimale.</w:t>
      </w:r>
    </w:p>
    <w:p w14:paraId="54168143" w14:textId="77777777" w:rsidR="004B2808" w:rsidRDefault="00000000">
      <w:r>
        <w:t>Le prix est toujours indiqué au m² pour tous les ouvrages et fournitures, y compris les surépaisseurs éventuelles.</w:t>
      </w:r>
    </w:p>
    <w:p w14:paraId="7E69B8B5" w14:textId="77777777" w:rsidR="004B2808" w:rsidRDefault="00000000">
      <w:pPr>
        <w:pStyle w:val="pheading"/>
      </w:pPr>
      <w:r>
        <w:t>- nature du marché:</w:t>
      </w:r>
    </w:p>
    <w:p w14:paraId="38E001FF" w14:textId="77777777" w:rsidR="004B2808" w:rsidRDefault="00000000">
      <w:r>
        <w:t>QF</w:t>
      </w:r>
    </w:p>
    <w:p w14:paraId="04B9726D" w14:textId="77777777" w:rsidR="004B2808" w:rsidRDefault="00000000">
      <w:pPr>
        <w:pStyle w:val="Author-eSectionHeading6Numberless"/>
      </w:pPr>
      <w:bookmarkStart w:id="528" w:name="_Toc220490700"/>
      <w:r>
        <w:t>53.11.1h Sous couches de remplissage ou d'égalisation, aux granulats de bims naturel (pierre ponce) et ciment (béton de bims naturel) CCTB 01.10</w:t>
      </w:r>
      <w:bookmarkEnd w:id="528"/>
    </w:p>
    <w:p w14:paraId="59676A75" w14:textId="77777777" w:rsidR="004B2808" w:rsidRDefault="00000000">
      <w:pPr>
        <w:pStyle w:val="pheading"/>
      </w:pPr>
      <w:r>
        <w:t>MATÉRIAUX</w:t>
      </w:r>
    </w:p>
    <w:p w14:paraId="6F6BE072" w14:textId="77777777" w:rsidR="004B2808" w:rsidRDefault="00000000">
      <w:pPr>
        <w:pStyle w:val="pheading"/>
      </w:pPr>
      <w:r>
        <w:t>- Prescriptions complémentaires</w:t>
      </w:r>
    </w:p>
    <w:p w14:paraId="188E5C5E" w14:textId="77777777" w:rsidR="004B2808" w:rsidRDefault="00000000">
      <w:r>
        <w:t>Les matériaux sont peu combustibles (classes A1/A2 selon la [NBN EN 13501-1].</w:t>
      </w:r>
    </w:p>
    <w:p w14:paraId="287A4BCE" w14:textId="77777777" w:rsidR="004B2808" w:rsidRDefault="00000000">
      <w:pPr>
        <w:pStyle w:val="pheading"/>
      </w:pPr>
      <w:r>
        <w:t>MESURAGE</w:t>
      </w:r>
    </w:p>
    <w:p w14:paraId="76BAE683" w14:textId="77777777" w:rsidR="004B2808" w:rsidRDefault="00000000">
      <w:r>
        <w:t>Conformément aux indications spécifiques dans le cahier spécial des charges et/ou le métré récapitulatif, le mesurage doit être conçu comme suit :</w:t>
      </w:r>
    </w:p>
    <w:p w14:paraId="7B2A3722" w14:textId="77777777" w:rsidR="004B2808" w:rsidRDefault="00000000">
      <w:pPr>
        <w:pStyle w:val="pheading"/>
      </w:pPr>
      <w:r>
        <w:t>- unité de mesure:</w:t>
      </w:r>
    </w:p>
    <w:p w14:paraId="1D9203D2" w14:textId="77777777" w:rsidR="004B2808" w:rsidRDefault="00000000">
      <w:r>
        <w:rPr>
          <w:rStyle w:val="optioncarChar"/>
        </w:rPr>
        <w:t>m² </w:t>
      </w:r>
      <w:r>
        <w:t>(par défaut) </w:t>
      </w:r>
      <w:r>
        <w:rPr>
          <w:rStyle w:val="optioncarChar"/>
        </w:rPr>
        <w:t>/ m³ / ***</w:t>
      </w:r>
    </w:p>
    <w:p w14:paraId="05A95B7F" w14:textId="77777777" w:rsidR="004B2808" w:rsidRDefault="00000000">
      <w:pPr>
        <w:pStyle w:val="pheading"/>
      </w:pPr>
      <w:r>
        <w:t>- code de mesurage:</w:t>
      </w:r>
    </w:p>
    <w:p w14:paraId="4D27C032" w14:textId="77777777" w:rsidR="004B2808" w:rsidRDefault="00000000">
      <w:r>
        <w:t>En fonction de la composition et de l'épaisseur, surface nette à exécuter au niveau prescrit, surface nette mesurée entre le nu des murs, calculée sur la base des dimensions nominales en cm. Les baies de porte sont comptées, les ouvertures supérieures à 0,5 m² sont déduites. Le total est arrondi à la première décimale.</w:t>
      </w:r>
    </w:p>
    <w:p w14:paraId="09052CB0" w14:textId="77777777" w:rsidR="004B2808" w:rsidRDefault="00000000">
      <w:r>
        <w:t>Le prix est toujours indiqué au m² pour tous les ouvrages et fournitures, y compris les surépaisseurs éventuelles.</w:t>
      </w:r>
    </w:p>
    <w:p w14:paraId="26900C58" w14:textId="77777777" w:rsidR="004B2808" w:rsidRDefault="00000000">
      <w:pPr>
        <w:pStyle w:val="pheading"/>
      </w:pPr>
      <w:r>
        <w:t>- nature du marché:</w:t>
      </w:r>
    </w:p>
    <w:p w14:paraId="7F364C7A" w14:textId="77777777" w:rsidR="004B2808" w:rsidRDefault="00000000">
      <w:r>
        <w:t>QF</w:t>
      </w:r>
    </w:p>
    <w:p w14:paraId="6120F395" w14:textId="77777777" w:rsidR="004B2808" w:rsidRDefault="00000000">
      <w:pPr>
        <w:pStyle w:val="Author-eSectionHeading6Numberless"/>
      </w:pPr>
      <w:bookmarkStart w:id="529" w:name="_Toc220490701"/>
      <w:r>
        <w:t>53.11.1i Sous couches de remplissage ou d'égalisation, aux granulats de bims artificiels (laitier de haut fourneau expansé) et ciment (béton de bims artificiel) CCTB 01.10</w:t>
      </w:r>
      <w:bookmarkEnd w:id="529"/>
    </w:p>
    <w:p w14:paraId="482D805B" w14:textId="77777777" w:rsidR="004B2808" w:rsidRDefault="00000000">
      <w:pPr>
        <w:pStyle w:val="pheading"/>
      </w:pPr>
      <w:r>
        <w:t>MATÉRIAUX</w:t>
      </w:r>
    </w:p>
    <w:p w14:paraId="14A20C1C" w14:textId="77777777" w:rsidR="004B2808" w:rsidRDefault="00000000">
      <w:pPr>
        <w:pStyle w:val="pheading"/>
      </w:pPr>
      <w:r>
        <w:t>- Prescriptions complémentaires</w:t>
      </w:r>
    </w:p>
    <w:p w14:paraId="27B75AFA" w14:textId="77777777" w:rsidR="004B2808" w:rsidRDefault="00000000">
      <w:r>
        <w:t>Les matériaux sont peu combustibles (classes A1/A2 selon la [NBN EN 13501-1].</w:t>
      </w:r>
    </w:p>
    <w:p w14:paraId="4029E344" w14:textId="77777777" w:rsidR="004B2808" w:rsidRDefault="00000000">
      <w:pPr>
        <w:pStyle w:val="pheading"/>
      </w:pPr>
      <w:r>
        <w:lastRenderedPageBreak/>
        <w:t>MESURAGE</w:t>
      </w:r>
    </w:p>
    <w:p w14:paraId="22007542" w14:textId="77777777" w:rsidR="004B2808" w:rsidRDefault="00000000">
      <w:r>
        <w:t>Conformément aux indications spécifiques dans le cahier spécial des charges et/ou le métré récapitulatif, le mesurage doit toujours être conçu comme suit :</w:t>
      </w:r>
    </w:p>
    <w:p w14:paraId="069F1862" w14:textId="77777777" w:rsidR="004B2808" w:rsidRDefault="00000000">
      <w:pPr>
        <w:pStyle w:val="pheading"/>
      </w:pPr>
      <w:r>
        <w:t>- unité de mesure:</w:t>
      </w:r>
    </w:p>
    <w:p w14:paraId="20770BF2" w14:textId="77777777" w:rsidR="004B2808" w:rsidRDefault="00000000">
      <w:r>
        <w:rPr>
          <w:rStyle w:val="optioncarChar"/>
        </w:rPr>
        <w:t>m² </w:t>
      </w:r>
      <w:r>
        <w:t>(par défaut) </w:t>
      </w:r>
      <w:r>
        <w:rPr>
          <w:rStyle w:val="optioncarChar"/>
        </w:rPr>
        <w:t>/ m³ / ***</w:t>
      </w:r>
    </w:p>
    <w:p w14:paraId="1211FA10" w14:textId="77777777" w:rsidR="004B2808" w:rsidRDefault="00000000">
      <w:pPr>
        <w:pStyle w:val="pheading"/>
      </w:pPr>
      <w:r>
        <w:t>- code de mesurage:</w:t>
      </w:r>
    </w:p>
    <w:p w14:paraId="56B305A9" w14:textId="77777777" w:rsidR="004B2808" w:rsidRDefault="00000000">
      <w:r>
        <w:t>Surface nette mesurée entre le nu des murs, calculée sur la base des dimensions nominales en cm. Les baies de porte sont comptées, les ouvertures supérieures à 0,5 m² sont déduites. Le total est arrondi à la première décimale.</w:t>
      </w:r>
    </w:p>
    <w:p w14:paraId="2CED1A09" w14:textId="77777777" w:rsidR="004B2808" w:rsidRDefault="00000000">
      <w:r>
        <w:t>Le prix est toujours indiqué au m² pour tous les ouvrages et fournitures, y compris les surépaisseurs éventuelles.</w:t>
      </w:r>
    </w:p>
    <w:p w14:paraId="1F0C857E" w14:textId="77777777" w:rsidR="004B2808" w:rsidRDefault="00000000">
      <w:pPr>
        <w:pStyle w:val="pheading"/>
      </w:pPr>
      <w:r>
        <w:t>- nature du marché:</w:t>
      </w:r>
    </w:p>
    <w:p w14:paraId="3E69EB6B" w14:textId="77777777" w:rsidR="004B2808" w:rsidRDefault="00000000">
      <w:r>
        <w:t>QF</w:t>
      </w:r>
    </w:p>
    <w:p w14:paraId="00794E01" w14:textId="77777777" w:rsidR="004B2808" w:rsidRDefault="00000000">
      <w:pPr>
        <w:pStyle w:val="Author-eSectionHeading6Numberless"/>
      </w:pPr>
      <w:bookmarkStart w:id="530" w:name="_Toc220490702"/>
      <w:r>
        <w:t>53.11.1j Sous couches de remplissage ou d'égalisation, au béton mousse, soit ciment, sable fin, autres charges fines éventuelles, agent moussant (béton mousse) CCTB 01.10</w:t>
      </w:r>
      <w:bookmarkEnd w:id="530"/>
    </w:p>
    <w:p w14:paraId="48B21F94" w14:textId="77777777" w:rsidR="004B2808" w:rsidRDefault="00000000">
      <w:pPr>
        <w:pStyle w:val="pheading"/>
      </w:pPr>
      <w:r>
        <w:t>MATÉRIAUX</w:t>
      </w:r>
    </w:p>
    <w:p w14:paraId="747258D7" w14:textId="77777777" w:rsidR="004B2808" w:rsidRDefault="00000000">
      <w:pPr>
        <w:pStyle w:val="pheading"/>
      </w:pPr>
      <w:r>
        <w:t>- Caractéristiques générales</w:t>
      </w:r>
    </w:p>
    <w:p w14:paraId="61C720DF" w14:textId="77777777" w:rsidR="004B2808" w:rsidRDefault="00000000">
      <w:r>
        <w:t>La couche de remplissage isolante se compose de béton-mousse à base de ciment fabriqué avec un agent moussant. Le béton est fabriqué avec du ciment Portland ou de haut fourneau, du sable fin et des adjuvants spéciaux (agent moussant), jusqu'à l'obtention d'une structure cellulaire fermée présentant une stabilité élevée. Il satisfait aux dispositions de §3.2.3 et de l'annexe 1 de la [NIT 193]. Les matériaux de base sont préalablement pesés minutieusement et bien mélangés afin d'obtenir un mortier homogène.</w:t>
      </w:r>
    </w:p>
    <w:p w14:paraId="2F44F317" w14:textId="77777777" w:rsidR="004B2808" w:rsidRDefault="00000000">
      <w:pPr>
        <w:pStyle w:val="heading"/>
      </w:pPr>
      <w:r>
        <w:t>Spécifications</w:t>
      </w:r>
    </w:p>
    <w:p w14:paraId="032E784D" w14:textId="77777777" w:rsidR="004B2808" w:rsidRDefault="00000000">
      <w:r>
        <w:t xml:space="preserve">Epaisseur : </w:t>
      </w:r>
      <w:r>
        <w:rPr>
          <w:rStyle w:val="optioncarChar"/>
        </w:rPr>
        <w:t>3 </w:t>
      </w:r>
      <w:r>
        <w:t xml:space="preserve">(par défaut) </w:t>
      </w:r>
      <w:r>
        <w:rPr>
          <w:rStyle w:val="optioncarChar"/>
        </w:rPr>
        <w:t>/ 4 / 5 /***</w:t>
      </w:r>
      <w:r>
        <w:t xml:space="preserve"> cm.</w:t>
      </w:r>
    </w:p>
    <w:p w14:paraId="28C9C544" w14:textId="77777777" w:rsidR="004B2808" w:rsidRDefault="00000000">
      <w:r>
        <w:t xml:space="preserve">Masse volumique : maximum </w:t>
      </w:r>
      <w:r>
        <w:rPr>
          <w:rStyle w:val="optioncarChar"/>
        </w:rPr>
        <w:t>600 </w:t>
      </w:r>
      <w:r>
        <w:t xml:space="preserve">(par défaut) </w:t>
      </w:r>
      <w:r>
        <w:rPr>
          <w:rStyle w:val="optioncarChar"/>
        </w:rPr>
        <w:t>/ 900 / 1200</w:t>
      </w:r>
      <w:r>
        <w:t xml:space="preserve"> kg/m3</w:t>
      </w:r>
    </w:p>
    <w:p w14:paraId="5FA18A62" w14:textId="77777777" w:rsidR="004B2808" w:rsidRDefault="00000000">
      <w:r>
        <w:t>La composition du mélange est déterminée par l'entrepreneur et satisfait aux conditions suivantes :</w:t>
      </w:r>
    </w:p>
    <w:p w14:paraId="5346C9C9" w14:textId="77777777" w:rsidR="004B2808" w:rsidRDefault="00000000">
      <w:r>
        <w:t> </w:t>
      </w:r>
    </w:p>
    <w:tbl>
      <w:tblPr>
        <w:tblStyle w:val="Author-eTableGrid"/>
        <w:tblW w:w="0" w:type="auto"/>
        <w:tblBorders>
          <w:top w:val="single" w:sz="1" w:space="0" w:color="auto"/>
          <w:left w:val="single" w:sz="1" w:space="0" w:color="auto"/>
          <w:bottom w:val="single" w:sz="1" w:space="0" w:color="auto"/>
          <w:right w:val="single" w:sz="1" w:space="0" w:color="auto"/>
          <w:insideH w:val="nil"/>
          <w:insideV w:val="nil"/>
        </w:tblBorders>
        <w:tblLayout w:type="fixed"/>
        <w:tblLook w:val="04A0" w:firstRow="1" w:lastRow="0" w:firstColumn="1" w:lastColumn="0" w:noHBand="0" w:noVBand="1"/>
      </w:tblPr>
      <w:tblGrid>
        <w:gridCol w:w="1800"/>
        <w:gridCol w:w="1800"/>
        <w:gridCol w:w="1800"/>
        <w:gridCol w:w="1800"/>
        <w:gridCol w:w="1800"/>
      </w:tblGrid>
      <w:tr w:rsidR="004B2808" w14:paraId="47157578" w14:textId="77777777">
        <w:tc>
          <w:tcPr>
            <w:tcW w:w="1800" w:type="dxa"/>
            <w:tcBorders>
              <w:top w:val="single" w:sz="1" w:space="0" w:color="000000"/>
              <w:left w:val="single" w:sz="1" w:space="0" w:color="000000"/>
              <w:bottom w:val="single" w:sz="1" w:space="0" w:color="auto"/>
              <w:right w:val="single" w:sz="1" w:space="0" w:color="000000"/>
            </w:tcBorders>
            <w:noWrap/>
          </w:tcPr>
          <w:p w14:paraId="5DB80B58" w14:textId="77777777" w:rsidR="004B2808" w:rsidRDefault="00000000">
            <w:r>
              <w:rPr>
                <w:b/>
              </w:rPr>
              <w:t>Masse volumique (kg/m3</w:t>
            </w:r>
          </w:p>
        </w:tc>
        <w:tc>
          <w:tcPr>
            <w:tcW w:w="3600" w:type="dxa"/>
            <w:gridSpan w:val="2"/>
            <w:tcBorders>
              <w:top w:val="single" w:sz="1" w:space="0" w:color="000000"/>
              <w:left w:val="single" w:sz="1" w:space="0" w:color="000000"/>
              <w:bottom w:val="single" w:sz="1" w:space="0" w:color="000000"/>
              <w:right w:val="single" w:sz="1" w:space="0" w:color="000000"/>
            </w:tcBorders>
            <w:noWrap/>
          </w:tcPr>
          <w:p w14:paraId="78981B50" w14:textId="77777777" w:rsidR="004B2808" w:rsidRDefault="00000000">
            <w:r>
              <w:rPr>
                <w:b/>
              </w:rPr>
              <w:t>Résistance (N/mm2)</w:t>
            </w:r>
          </w:p>
        </w:tc>
        <w:tc>
          <w:tcPr>
            <w:tcW w:w="3600" w:type="dxa"/>
            <w:gridSpan w:val="2"/>
            <w:tcBorders>
              <w:top w:val="single" w:sz="1" w:space="0" w:color="000000"/>
              <w:left w:val="single" w:sz="1" w:space="0" w:color="000000"/>
              <w:bottom w:val="single" w:sz="1" w:space="0" w:color="000000"/>
              <w:right w:val="single" w:sz="1" w:space="0" w:color="000000"/>
            </w:tcBorders>
            <w:noWrap/>
          </w:tcPr>
          <w:p w14:paraId="7E5CBEED" w14:textId="77777777" w:rsidR="004B2808" w:rsidRDefault="00000000">
            <w:r>
              <w:rPr>
                <w:b/>
              </w:rPr>
              <w:t>l (W/mK)</w:t>
            </w:r>
          </w:p>
        </w:tc>
      </w:tr>
      <w:tr w:rsidR="004B2808" w14:paraId="61712716" w14:textId="77777777">
        <w:tc>
          <w:tcPr>
            <w:tcW w:w="1800" w:type="dxa"/>
            <w:tcBorders>
              <w:top w:val="single" w:sz="1" w:space="0" w:color="auto"/>
              <w:left w:val="single" w:sz="1" w:space="0" w:color="000000"/>
              <w:bottom w:val="single" w:sz="1" w:space="0" w:color="000000"/>
              <w:right w:val="single" w:sz="1" w:space="0" w:color="000000"/>
            </w:tcBorders>
            <w:noWrap/>
          </w:tcPr>
          <w:p w14:paraId="1D4861AD" w14:textId="77777777" w:rsidR="004B2808" w:rsidRDefault="00000000">
            <w:pPr>
              <w:jc w:val="center"/>
            </w:pPr>
            <w:r>
              <w:t> </w:t>
            </w:r>
          </w:p>
        </w:tc>
        <w:tc>
          <w:tcPr>
            <w:tcW w:w="1800" w:type="dxa"/>
            <w:tcBorders>
              <w:top w:val="single" w:sz="1" w:space="0" w:color="000000"/>
              <w:left w:val="single" w:sz="1" w:space="0" w:color="000000"/>
              <w:bottom w:val="single" w:sz="1" w:space="0" w:color="000000"/>
              <w:right w:val="single" w:sz="1" w:space="0" w:color="000000"/>
            </w:tcBorders>
            <w:noWrap/>
          </w:tcPr>
          <w:p w14:paraId="7CD7DE98" w14:textId="77777777" w:rsidR="004B2808" w:rsidRDefault="00000000">
            <w:r>
              <w:rPr>
                <w:b/>
              </w:rPr>
              <w:t xml:space="preserve">Compression            </w:t>
            </w:r>
          </w:p>
        </w:tc>
        <w:tc>
          <w:tcPr>
            <w:tcW w:w="1800" w:type="dxa"/>
            <w:tcBorders>
              <w:top w:val="single" w:sz="1" w:space="0" w:color="000000"/>
              <w:left w:val="single" w:sz="1" w:space="0" w:color="000000"/>
              <w:bottom w:val="single" w:sz="1" w:space="0" w:color="000000"/>
              <w:right w:val="single" w:sz="1" w:space="0" w:color="000000"/>
            </w:tcBorders>
            <w:noWrap/>
          </w:tcPr>
          <w:p w14:paraId="008368A1" w14:textId="77777777" w:rsidR="004B2808" w:rsidRDefault="00000000">
            <w:r>
              <w:rPr>
                <w:b/>
              </w:rPr>
              <w:t xml:space="preserve">Flexion            </w:t>
            </w:r>
          </w:p>
        </w:tc>
        <w:tc>
          <w:tcPr>
            <w:tcW w:w="1800" w:type="dxa"/>
            <w:tcBorders>
              <w:top w:val="single" w:sz="1" w:space="0" w:color="000000"/>
              <w:left w:val="single" w:sz="1" w:space="0" w:color="000000"/>
              <w:bottom w:val="single" w:sz="1" w:space="0" w:color="000000"/>
              <w:right w:val="single" w:sz="1" w:space="0" w:color="000000"/>
            </w:tcBorders>
            <w:noWrap/>
          </w:tcPr>
          <w:p w14:paraId="4C51A242" w14:textId="77777777" w:rsidR="004B2808" w:rsidRDefault="00000000">
            <w:r>
              <w:rPr>
                <w:b/>
              </w:rPr>
              <w:t>Sec</w:t>
            </w:r>
          </w:p>
        </w:tc>
        <w:tc>
          <w:tcPr>
            <w:tcW w:w="1800" w:type="dxa"/>
            <w:tcBorders>
              <w:top w:val="single" w:sz="1" w:space="0" w:color="000000"/>
              <w:left w:val="single" w:sz="1" w:space="0" w:color="000000"/>
              <w:bottom w:val="single" w:sz="1" w:space="0" w:color="000000"/>
              <w:right w:val="single" w:sz="1" w:space="0" w:color="000000"/>
            </w:tcBorders>
            <w:noWrap/>
          </w:tcPr>
          <w:p w14:paraId="72CA998A" w14:textId="77777777" w:rsidR="004B2808" w:rsidRDefault="00000000">
            <w:r>
              <w:rPr>
                <w:b/>
              </w:rPr>
              <w:t>Humide</w:t>
            </w:r>
          </w:p>
        </w:tc>
      </w:tr>
      <w:tr w:rsidR="004B2808" w14:paraId="77CA711D" w14:textId="77777777">
        <w:tc>
          <w:tcPr>
            <w:tcW w:w="1800" w:type="dxa"/>
            <w:tcBorders>
              <w:top w:val="single" w:sz="1" w:space="0" w:color="000000"/>
              <w:left w:val="single" w:sz="1" w:space="0" w:color="000000"/>
              <w:bottom w:val="single" w:sz="1" w:space="0" w:color="000000"/>
              <w:right w:val="single" w:sz="1" w:space="0" w:color="000000"/>
            </w:tcBorders>
            <w:noWrap/>
          </w:tcPr>
          <w:p w14:paraId="4CF55CD2" w14:textId="77777777" w:rsidR="004B2808" w:rsidRDefault="00000000">
            <w:r>
              <w:t>600</w:t>
            </w:r>
          </w:p>
        </w:tc>
        <w:tc>
          <w:tcPr>
            <w:tcW w:w="1800" w:type="dxa"/>
            <w:tcBorders>
              <w:top w:val="single" w:sz="1" w:space="0" w:color="000000"/>
              <w:left w:val="single" w:sz="1" w:space="0" w:color="000000"/>
              <w:bottom w:val="single" w:sz="1" w:space="0" w:color="000000"/>
              <w:right w:val="single" w:sz="1" w:space="0" w:color="000000"/>
            </w:tcBorders>
            <w:noWrap/>
          </w:tcPr>
          <w:p w14:paraId="7BF6B85B" w14:textId="77777777" w:rsidR="004B2808" w:rsidRDefault="00000000">
            <w:r>
              <w:t>2</w:t>
            </w:r>
          </w:p>
        </w:tc>
        <w:tc>
          <w:tcPr>
            <w:tcW w:w="1800" w:type="dxa"/>
            <w:tcBorders>
              <w:top w:val="single" w:sz="1" w:space="0" w:color="000000"/>
              <w:left w:val="single" w:sz="1" w:space="0" w:color="000000"/>
              <w:bottom w:val="single" w:sz="1" w:space="0" w:color="000000"/>
              <w:right w:val="single" w:sz="1" w:space="0" w:color="000000"/>
            </w:tcBorders>
            <w:noWrap/>
          </w:tcPr>
          <w:p w14:paraId="430B739E" w14:textId="77777777" w:rsidR="004B2808" w:rsidRDefault="00000000">
            <w:r>
              <w:t>0,5</w:t>
            </w:r>
          </w:p>
        </w:tc>
        <w:tc>
          <w:tcPr>
            <w:tcW w:w="1800" w:type="dxa"/>
            <w:tcBorders>
              <w:top w:val="single" w:sz="1" w:space="0" w:color="000000"/>
              <w:left w:val="single" w:sz="1" w:space="0" w:color="000000"/>
              <w:bottom w:val="single" w:sz="1" w:space="0" w:color="000000"/>
              <w:right w:val="single" w:sz="1" w:space="0" w:color="000000"/>
            </w:tcBorders>
            <w:noWrap/>
          </w:tcPr>
          <w:p w14:paraId="295F5848" w14:textId="77777777" w:rsidR="004B2808" w:rsidRDefault="00000000">
            <w:r>
              <w:t>0,12</w:t>
            </w:r>
          </w:p>
        </w:tc>
        <w:tc>
          <w:tcPr>
            <w:tcW w:w="1800" w:type="dxa"/>
            <w:tcBorders>
              <w:top w:val="single" w:sz="1" w:space="0" w:color="000000"/>
              <w:left w:val="single" w:sz="1" w:space="0" w:color="000000"/>
              <w:bottom w:val="single" w:sz="1" w:space="0" w:color="000000"/>
              <w:right w:val="single" w:sz="1" w:space="0" w:color="000000"/>
            </w:tcBorders>
            <w:noWrap/>
          </w:tcPr>
          <w:p w14:paraId="49CA7A81" w14:textId="77777777" w:rsidR="004B2808" w:rsidRDefault="00000000">
            <w:r>
              <w:t>0,18</w:t>
            </w:r>
          </w:p>
        </w:tc>
      </w:tr>
      <w:tr w:rsidR="004B2808" w14:paraId="4115686F" w14:textId="77777777">
        <w:tc>
          <w:tcPr>
            <w:tcW w:w="1800" w:type="dxa"/>
            <w:tcBorders>
              <w:top w:val="single" w:sz="1" w:space="0" w:color="000000"/>
              <w:left w:val="single" w:sz="1" w:space="0" w:color="000000"/>
              <w:bottom w:val="single" w:sz="1" w:space="0" w:color="000000"/>
              <w:right w:val="single" w:sz="1" w:space="0" w:color="000000"/>
            </w:tcBorders>
            <w:noWrap/>
          </w:tcPr>
          <w:p w14:paraId="2C6265F7" w14:textId="77777777" w:rsidR="004B2808" w:rsidRDefault="00000000">
            <w:r>
              <w:t>900</w:t>
            </w:r>
          </w:p>
        </w:tc>
        <w:tc>
          <w:tcPr>
            <w:tcW w:w="1800" w:type="dxa"/>
            <w:tcBorders>
              <w:top w:val="single" w:sz="1" w:space="0" w:color="000000"/>
              <w:left w:val="single" w:sz="1" w:space="0" w:color="000000"/>
              <w:bottom w:val="single" w:sz="1" w:space="0" w:color="000000"/>
              <w:right w:val="single" w:sz="1" w:space="0" w:color="000000"/>
            </w:tcBorders>
            <w:noWrap/>
          </w:tcPr>
          <w:p w14:paraId="55EE7518" w14:textId="77777777" w:rsidR="004B2808" w:rsidRDefault="00000000">
            <w:r>
              <w:t>3,5</w:t>
            </w:r>
          </w:p>
        </w:tc>
        <w:tc>
          <w:tcPr>
            <w:tcW w:w="1800" w:type="dxa"/>
            <w:tcBorders>
              <w:top w:val="single" w:sz="1" w:space="0" w:color="000000"/>
              <w:left w:val="single" w:sz="1" w:space="0" w:color="000000"/>
              <w:bottom w:val="single" w:sz="1" w:space="0" w:color="000000"/>
              <w:right w:val="single" w:sz="1" w:space="0" w:color="000000"/>
            </w:tcBorders>
            <w:noWrap/>
          </w:tcPr>
          <w:p w14:paraId="380EF4AF" w14:textId="77777777" w:rsidR="004B2808" w:rsidRDefault="00000000">
            <w:r>
              <w:t>0,7</w:t>
            </w:r>
          </w:p>
        </w:tc>
        <w:tc>
          <w:tcPr>
            <w:tcW w:w="1800" w:type="dxa"/>
            <w:tcBorders>
              <w:top w:val="single" w:sz="1" w:space="0" w:color="000000"/>
              <w:left w:val="single" w:sz="1" w:space="0" w:color="000000"/>
              <w:bottom w:val="single" w:sz="1" w:space="0" w:color="000000"/>
              <w:right w:val="single" w:sz="1" w:space="0" w:color="000000"/>
            </w:tcBorders>
            <w:noWrap/>
          </w:tcPr>
          <w:p w14:paraId="30CDA4AF" w14:textId="77777777" w:rsidR="004B2808" w:rsidRDefault="00000000">
            <w:r>
              <w:t>0,23</w:t>
            </w:r>
          </w:p>
        </w:tc>
        <w:tc>
          <w:tcPr>
            <w:tcW w:w="1800" w:type="dxa"/>
            <w:tcBorders>
              <w:top w:val="single" w:sz="1" w:space="0" w:color="000000"/>
              <w:left w:val="single" w:sz="1" w:space="0" w:color="000000"/>
              <w:bottom w:val="single" w:sz="1" w:space="0" w:color="000000"/>
              <w:right w:val="single" w:sz="1" w:space="0" w:color="000000"/>
            </w:tcBorders>
            <w:noWrap/>
          </w:tcPr>
          <w:p w14:paraId="5C338F82" w14:textId="77777777" w:rsidR="004B2808" w:rsidRDefault="00000000">
            <w:r>
              <w:t>0,33</w:t>
            </w:r>
          </w:p>
        </w:tc>
      </w:tr>
      <w:tr w:rsidR="004B2808" w14:paraId="049A74D7" w14:textId="77777777">
        <w:tc>
          <w:tcPr>
            <w:tcW w:w="1800" w:type="dxa"/>
            <w:tcBorders>
              <w:top w:val="single" w:sz="1" w:space="0" w:color="000000"/>
              <w:left w:val="single" w:sz="1" w:space="0" w:color="000000"/>
              <w:bottom w:val="single" w:sz="1" w:space="0" w:color="000000"/>
              <w:right w:val="single" w:sz="1" w:space="0" w:color="000000"/>
            </w:tcBorders>
            <w:noWrap/>
          </w:tcPr>
          <w:p w14:paraId="6D544DFA" w14:textId="77777777" w:rsidR="004B2808" w:rsidRDefault="00000000">
            <w:r>
              <w:t>1200</w:t>
            </w:r>
          </w:p>
        </w:tc>
        <w:tc>
          <w:tcPr>
            <w:tcW w:w="1800" w:type="dxa"/>
            <w:tcBorders>
              <w:top w:val="single" w:sz="1" w:space="0" w:color="000000"/>
              <w:left w:val="single" w:sz="1" w:space="0" w:color="000000"/>
              <w:bottom w:val="single" w:sz="1" w:space="0" w:color="000000"/>
              <w:right w:val="single" w:sz="1" w:space="0" w:color="000000"/>
            </w:tcBorders>
            <w:noWrap/>
          </w:tcPr>
          <w:p w14:paraId="56405FFD" w14:textId="77777777" w:rsidR="004B2808" w:rsidRDefault="00000000">
            <w:r>
              <w:t>6</w:t>
            </w:r>
          </w:p>
        </w:tc>
        <w:tc>
          <w:tcPr>
            <w:tcW w:w="1800" w:type="dxa"/>
            <w:tcBorders>
              <w:top w:val="single" w:sz="1" w:space="0" w:color="000000"/>
              <w:left w:val="single" w:sz="1" w:space="0" w:color="000000"/>
              <w:bottom w:val="single" w:sz="1" w:space="0" w:color="000000"/>
              <w:right w:val="single" w:sz="1" w:space="0" w:color="000000"/>
            </w:tcBorders>
            <w:noWrap/>
          </w:tcPr>
          <w:p w14:paraId="7EAF4399" w14:textId="77777777" w:rsidR="004B2808" w:rsidRDefault="00000000">
            <w:r>
              <w:t>1,5</w:t>
            </w:r>
          </w:p>
        </w:tc>
        <w:tc>
          <w:tcPr>
            <w:tcW w:w="1800" w:type="dxa"/>
            <w:tcBorders>
              <w:top w:val="single" w:sz="1" w:space="0" w:color="000000"/>
              <w:left w:val="single" w:sz="1" w:space="0" w:color="000000"/>
              <w:bottom w:val="single" w:sz="1" w:space="0" w:color="000000"/>
              <w:right w:val="single" w:sz="1" w:space="0" w:color="000000"/>
            </w:tcBorders>
            <w:noWrap/>
          </w:tcPr>
          <w:p w14:paraId="24C14ADB" w14:textId="77777777" w:rsidR="004B2808" w:rsidRDefault="00000000">
            <w:r>
              <w:t>0,54</w:t>
            </w:r>
          </w:p>
        </w:tc>
        <w:tc>
          <w:tcPr>
            <w:tcW w:w="1800" w:type="dxa"/>
            <w:tcBorders>
              <w:top w:val="single" w:sz="1" w:space="0" w:color="000000"/>
              <w:left w:val="single" w:sz="1" w:space="0" w:color="000000"/>
              <w:bottom w:val="single" w:sz="1" w:space="0" w:color="000000"/>
              <w:right w:val="single" w:sz="1" w:space="0" w:color="000000"/>
            </w:tcBorders>
            <w:noWrap/>
          </w:tcPr>
          <w:p w14:paraId="26617A38" w14:textId="77777777" w:rsidR="004B2808" w:rsidRDefault="00000000">
            <w:r>
              <w:t>0,75</w:t>
            </w:r>
          </w:p>
        </w:tc>
      </w:tr>
    </w:tbl>
    <w:p w14:paraId="3480FBF3" w14:textId="77777777" w:rsidR="004B2808" w:rsidRDefault="00000000">
      <w:pPr>
        <w:pStyle w:val="pheading"/>
      </w:pPr>
      <w:r>
        <w:t>- Prescriptions complémentaires</w:t>
      </w:r>
    </w:p>
    <w:p w14:paraId="534E7AAF" w14:textId="77777777" w:rsidR="004B2808" w:rsidRDefault="00000000">
      <w:r>
        <w:t>Selon la [Décision 96/603/CE] de la Commission du 4 octobre 1996 </w:t>
      </w:r>
      <w:r>
        <w:rPr>
          <w:b/>
        </w:rPr>
        <w:t xml:space="preserve"> et les conditions qui y sont reprises</w:t>
      </w:r>
      <w:r>
        <w:t>, le béton appartient à la classe de réaction au feu A1.</w:t>
      </w:r>
    </w:p>
    <w:p w14:paraId="04C56A83" w14:textId="77777777" w:rsidR="004B2808" w:rsidRDefault="00000000">
      <w:r>
        <w:t>Les matériaux sont peu combustibles (classes A1/A2 selon la [NBN EN 13501-1].</w:t>
      </w:r>
    </w:p>
    <w:p w14:paraId="2493DC63" w14:textId="77777777" w:rsidR="004B2808" w:rsidRDefault="00000000">
      <w:pPr>
        <w:pStyle w:val="pheading"/>
      </w:pPr>
      <w:r>
        <w:t>EXÉCUTION / MISE EN ŒUVRE</w:t>
      </w:r>
    </w:p>
    <w:p w14:paraId="577A8FAA" w14:textId="77777777" w:rsidR="004B2808" w:rsidRDefault="00000000">
      <w:pPr>
        <w:pStyle w:val="pheading"/>
      </w:pPr>
      <w:r>
        <w:t>- Prescriptions générales</w:t>
      </w:r>
    </w:p>
    <w:p w14:paraId="13E65476" w14:textId="77777777" w:rsidR="004B2808" w:rsidRDefault="00000000">
      <w:r>
        <w:lastRenderedPageBreak/>
        <w:t>La couche de remplissage est appliquée par une firme spécialisée par pompage continu, épandage et aplanissement à la règle. Lorsque le mortier est pompé à l'air comprimé, on utilise des tuyaux flexibles d'un diamètre suffisant et sans resserrements afin de prévenir toute ségrégation du mélange ou la déstabilisation de la répartition de la mousse.</w:t>
      </w:r>
    </w:p>
    <w:p w14:paraId="0642F555" w14:textId="77777777" w:rsidR="004B2808" w:rsidRDefault="00000000">
      <w:pPr>
        <w:pStyle w:val="pheading"/>
      </w:pPr>
      <w:r>
        <w:t>MESURAGE</w:t>
      </w:r>
    </w:p>
    <w:p w14:paraId="51CA75C6" w14:textId="77777777" w:rsidR="004B2808" w:rsidRDefault="00000000">
      <w:r>
        <w:t>Conformément aux indications spécifiques dans le cahier spécial des charges et/ou le métré récapitulatif, le mesurage doit être conçu comme suit :</w:t>
      </w:r>
    </w:p>
    <w:p w14:paraId="5F151A19" w14:textId="77777777" w:rsidR="004B2808" w:rsidRDefault="00000000">
      <w:pPr>
        <w:pStyle w:val="pheading"/>
      </w:pPr>
      <w:r>
        <w:t>- unité de mesure:</w:t>
      </w:r>
    </w:p>
    <w:p w14:paraId="479723DF" w14:textId="77777777" w:rsidR="004B2808" w:rsidRDefault="00000000">
      <w:r>
        <w:t>m²/m³</w:t>
      </w:r>
    </w:p>
    <w:p w14:paraId="0C480658" w14:textId="77777777" w:rsidR="004B2808" w:rsidRDefault="00000000">
      <w:pPr>
        <w:pStyle w:val="pheading"/>
      </w:pPr>
      <w:r>
        <w:t>- code de mesurage:</w:t>
      </w:r>
    </w:p>
    <w:p w14:paraId="422819C3" w14:textId="77777777" w:rsidR="004B2808" w:rsidRDefault="00000000">
      <w:r>
        <w:t>en fonction de la composition et de l'épaisseur, surface nette à exécuter au niveau prescrit, surface nette mesurée entre le nu des murs, calculée sur la base des dimensions nominales en cm. Les baies de porte sont comptées, les ouvertures supérieures à 0,5 m2 sont déduites. Le total est arrondi à la première décimale.</w:t>
      </w:r>
    </w:p>
    <w:p w14:paraId="177125BC" w14:textId="77777777" w:rsidR="004B2808" w:rsidRDefault="00000000">
      <w:r>
        <w:t>Le prix est toujours indiqué au m2 pour tous les ouvrages et fournitures, y compris les surépaisseurs éventuelles.</w:t>
      </w:r>
    </w:p>
    <w:p w14:paraId="6AC1533E" w14:textId="77777777" w:rsidR="004B2808" w:rsidRDefault="00000000">
      <w:pPr>
        <w:pStyle w:val="pheading"/>
      </w:pPr>
      <w:r>
        <w:t>- nature du marché:</w:t>
      </w:r>
    </w:p>
    <w:p w14:paraId="15A36956" w14:textId="77777777" w:rsidR="004B2808" w:rsidRDefault="00000000">
      <w:r>
        <w:t>QF</w:t>
      </w:r>
    </w:p>
    <w:p w14:paraId="390CCCBA" w14:textId="77777777" w:rsidR="004B2808" w:rsidRDefault="00000000">
      <w:pPr>
        <w:pStyle w:val="Author-eSectionHeading4Numberless"/>
      </w:pPr>
      <w:bookmarkStart w:id="531" w:name="_Toc220490703"/>
      <w:r>
        <w:t>53.12 Support de planchers en lambourdes CCTB 01.02</w:t>
      </w:r>
      <w:bookmarkEnd w:id="531"/>
    </w:p>
    <w:p w14:paraId="3B16D629" w14:textId="77777777" w:rsidR="004B2808" w:rsidRDefault="00000000">
      <w:pPr>
        <w:pStyle w:val="Author-eSectionHeading5Numberless"/>
      </w:pPr>
      <w:bookmarkStart w:id="532" w:name="_Toc220490704"/>
      <w:r>
        <w:t>53.12.1 Support de planchers en lambourdes CCTB 01.02</w:t>
      </w:r>
      <w:bookmarkEnd w:id="532"/>
    </w:p>
    <w:p w14:paraId="7622AD85" w14:textId="77777777" w:rsidR="004B2808" w:rsidRDefault="00000000">
      <w:pPr>
        <w:pStyle w:val="Author-eSectionHeading6Numberless"/>
      </w:pPr>
      <w:bookmarkStart w:id="533" w:name="_Toc220490705"/>
      <w:r>
        <w:t>53.12.1a Support de planchers en lambourdes CCTB 01.10</w:t>
      </w:r>
      <w:bookmarkEnd w:id="533"/>
    </w:p>
    <w:p w14:paraId="2B67C439" w14:textId="77777777" w:rsidR="004B2808" w:rsidRDefault="00000000">
      <w:pPr>
        <w:pStyle w:val="pheading"/>
      </w:pPr>
      <w:r>
        <w:t>MATÉRIAUX</w:t>
      </w:r>
    </w:p>
    <w:p w14:paraId="46DF90C1" w14:textId="77777777" w:rsidR="004B2808" w:rsidRDefault="00000000">
      <w:pPr>
        <w:pStyle w:val="pheading"/>
      </w:pPr>
      <w:r>
        <w:t>- Caractéristiques générales</w:t>
      </w:r>
    </w:p>
    <w:p w14:paraId="09C111FC" w14:textId="77777777" w:rsidR="004B2808" w:rsidRDefault="00000000">
      <w:r>
        <w:t>Les lambourdes sont conformes à la description faite dans la [NIT 269]</w:t>
      </w:r>
    </w:p>
    <w:p w14:paraId="4EDBAA2B" w14:textId="77777777" w:rsidR="004B2808" w:rsidRDefault="00000000">
      <w:pPr>
        <w:ind w:left="750"/>
      </w:pPr>
      <w:r>
        <w:t> </w:t>
      </w:r>
    </w:p>
    <w:p w14:paraId="5C1C013F" w14:textId="77777777" w:rsidR="004B2808" w:rsidRDefault="00000000">
      <w:pPr>
        <w:pStyle w:val="pheading"/>
      </w:pPr>
      <w:r>
        <w:t>- Finitions</w:t>
      </w:r>
    </w:p>
    <w:p w14:paraId="3968AE9F" w14:textId="77777777" w:rsidR="004B2808" w:rsidRDefault="00000000">
      <w:r>
        <w:t>Les lambourdes ont reçu un traitement de préservation de type A1 ou disposent de classe de durabilité naturelle.</w:t>
      </w:r>
    </w:p>
    <w:p w14:paraId="7FFFD057" w14:textId="77777777" w:rsidR="004B2808" w:rsidRDefault="00000000">
      <w:pPr>
        <w:pStyle w:val="pheading"/>
      </w:pPr>
      <w:r>
        <w:t>EXÉCUTION / MISE EN ŒUVRE</w:t>
      </w:r>
    </w:p>
    <w:p w14:paraId="13E89DDB" w14:textId="77777777" w:rsidR="004B2808" w:rsidRDefault="00000000">
      <w:pPr>
        <w:pStyle w:val="pheading"/>
      </w:pPr>
      <w:r>
        <w:t>- Prescriptions générales</w:t>
      </w:r>
    </w:p>
    <w:p w14:paraId="5DFCA4F6" w14:textId="77777777" w:rsidR="004B2808" w:rsidRDefault="00000000">
      <w:r>
        <w:t>La mise en œuvre respecte les critères définis dans la [NIT 269].</w:t>
      </w:r>
    </w:p>
    <w:p w14:paraId="4051595E" w14:textId="77777777" w:rsidR="004B2808" w:rsidRDefault="00000000">
      <w:pPr>
        <w:ind w:left="750"/>
      </w:pPr>
      <w:r>
        <w:t> </w:t>
      </w:r>
    </w:p>
    <w:p w14:paraId="0BDE497D" w14:textId="77777777" w:rsidR="004B2808" w:rsidRDefault="00000000">
      <w:pPr>
        <w:pStyle w:val="pheading"/>
      </w:pPr>
      <w:r>
        <w:t>MESURAGE</w:t>
      </w:r>
    </w:p>
    <w:p w14:paraId="69B5E7D2" w14:textId="77777777" w:rsidR="004B2808" w:rsidRDefault="00000000">
      <w:r>
        <w:t>Conformément aux indications spécifiques dans le cahier spécial des charges et/ou le métré récapitulatif, le mesurage doit toujours être conçu comme suit :</w:t>
      </w:r>
    </w:p>
    <w:p w14:paraId="028B51F6" w14:textId="77777777" w:rsidR="004B2808" w:rsidRDefault="00000000">
      <w:pPr>
        <w:pStyle w:val="pheading"/>
      </w:pPr>
      <w:r>
        <w:t>- unité de mesure:</w:t>
      </w:r>
    </w:p>
    <w:p w14:paraId="35D408B5" w14:textId="77777777" w:rsidR="004B2808" w:rsidRDefault="00000000">
      <w:r>
        <w:t>m²</w:t>
      </w:r>
    </w:p>
    <w:p w14:paraId="225EE665" w14:textId="77777777" w:rsidR="004B2808" w:rsidRDefault="00000000">
      <w:pPr>
        <w:pStyle w:val="pheading"/>
      </w:pPr>
      <w:r>
        <w:t>- code de mesurage:</w:t>
      </w:r>
    </w:p>
    <w:p w14:paraId="2DB9649E" w14:textId="77777777" w:rsidR="004B2808" w:rsidRDefault="00000000">
      <w:r>
        <w:t>Surface nette mesurée entre le nu des murs, calculée sur la base des dimensions nominales en cm. Les baies de porte sont comptées, les ouvertures supérieures à 0,5 m² sont déduites. Le total est arrondi à la première décimale.</w:t>
      </w:r>
    </w:p>
    <w:p w14:paraId="3C55D684" w14:textId="77777777" w:rsidR="004B2808" w:rsidRDefault="00000000">
      <w:r>
        <w:lastRenderedPageBreak/>
        <w:t>Le prix est toujours indiqué au m² pour tous les ouvrages et fournitures, y compris les surépaisseurs éventuelles.</w:t>
      </w:r>
    </w:p>
    <w:p w14:paraId="44136CFB" w14:textId="77777777" w:rsidR="004B2808" w:rsidRDefault="00000000">
      <w:pPr>
        <w:pStyle w:val="pheading"/>
      </w:pPr>
      <w:r>
        <w:t>- nature du marché:</w:t>
      </w:r>
    </w:p>
    <w:p w14:paraId="3848A9A8" w14:textId="77777777" w:rsidR="004B2808" w:rsidRDefault="00000000">
      <w:r>
        <w:t>QF</w:t>
      </w:r>
    </w:p>
    <w:p w14:paraId="56A16F04" w14:textId="77777777" w:rsidR="004B2808" w:rsidRDefault="00000000">
      <w:pPr>
        <w:pStyle w:val="Author-eSectionHeading3Numberless"/>
      </w:pPr>
      <w:bookmarkStart w:id="534" w:name="_Toc220490706"/>
      <w:r>
        <w:t>53.2 Chapes CCTB 01.11</w:t>
      </w:r>
      <w:bookmarkEnd w:id="534"/>
    </w:p>
    <w:p w14:paraId="0A2CD641" w14:textId="77777777" w:rsidR="004B2808" w:rsidRDefault="00000000">
      <w:pPr>
        <w:pStyle w:val="pheading"/>
      </w:pPr>
      <w:bookmarkStart w:id="535" w:name="108"/>
      <w:bookmarkEnd w:id="535"/>
      <w:r>
        <w:t>DESCRIPTION</w:t>
      </w:r>
    </w:p>
    <w:p w14:paraId="7524415E" w14:textId="77777777" w:rsidR="004B2808" w:rsidRDefault="00000000">
      <w:pPr>
        <w:pStyle w:val="pheading"/>
      </w:pPr>
      <w:r>
        <w:t>- Définition / Comprend</w:t>
      </w:r>
    </w:p>
    <w:p w14:paraId="0AECB77A" w14:textId="77777777" w:rsidR="004B2808" w:rsidRDefault="00000000">
      <w:r>
        <w:t xml:space="preserve">Le plancher est généralement composé d'une dalle support ou d'une dalle de sol à base de </w:t>
      </w:r>
      <w:r>
        <w:rPr>
          <w:b/>
        </w:rPr>
        <w:t xml:space="preserve">béton </w:t>
      </w:r>
      <w:r>
        <w:rPr>
          <w:b/>
          <w:color w:val="969696"/>
        </w:rPr>
        <w:t>(voir le sous-titre 22.15 Planchers en béton ou le sous-titre 12.4 Dalles de sol)</w:t>
      </w:r>
      <w:r>
        <w:t xml:space="preserve"> et d'une ou plusieurs couches intermédiaires entre la dalle support et la finition de la surface. Ces couches intermédiaires doivent servir pour la mise à niveau générale, l'amélioration des caractéristiques thermiques ou acoustiques des dalles de sol/chapes et l'obtention d'une base stable et égale pour l'application du revêtement de sol proprement dit. Dans la section </w:t>
      </w:r>
      <w:hyperlink w:anchor="220" w:history="1">
        <w:r w:rsidR="004B2808">
          <w:rPr>
            <w:color w:val="0000EE"/>
          </w:rPr>
          <w:t>53 Chapes et revêtements de sols intérieurs</w:t>
        </w:r>
      </w:hyperlink>
      <w:r>
        <w:t>, les différentes couches sont traitées dans l'ordre suivant :  </w:t>
      </w:r>
    </w:p>
    <w:p w14:paraId="36476E68" w14:textId="77777777" w:rsidR="004B2808" w:rsidRDefault="004B2808">
      <w:pPr>
        <w:pStyle w:val="Author-eListParagraph"/>
        <w:numPr>
          <w:ilvl w:val="0"/>
          <w:numId w:val="485"/>
        </w:numPr>
      </w:pPr>
      <w:hyperlink w:anchor="1257" w:history="1">
        <w:r>
          <w:rPr>
            <w:color w:val="0000EE"/>
          </w:rPr>
          <w:t>53.1 Sous-couches</w:t>
        </w:r>
      </w:hyperlink>
    </w:p>
    <w:p w14:paraId="6D635043" w14:textId="77777777" w:rsidR="004B2808" w:rsidRDefault="004B2808">
      <w:pPr>
        <w:pStyle w:val="Author-eListParagraph"/>
        <w:numPr>
          <w:ilvl w:val="0"/>
          <w:numId w:val="485"/>
        </w:numPr>
      </w:pPr>
      <w:hyperlink w:anchor="108" w:history="1">
        <w:r>
          <w:rPr>
            <w:color w:val="0000EE"/>
          </w:rPr>
          <w:t>53.2 Chapes</w:t>
        </w:r>
      </w:hyperlink>
    </w:p>
    <w:p w14:paraId="160B1B4B" w14:textId="77777777" w:rsidR="004B2808" w:rsidRDefault="004B2808">
      <w:pPr>
        <w:pStyle w:val="Author-eListParagraph"/>
        <w:numPr>
          <w:ilvl w:val="0"/>
          <w:numId w:val="485"/>
        </w:numPr>
      </w:pPr>
      <w:hyperlink w:anchor="1129" w:history="1">
        <w:r>
          <w:rPr>
            <w:color w:val="0000EE"/>
          </w:rPr>
          <w:t>53.3 Sols de type industriel</w:t>
        </w:r>
      </w:hyperlink>
    </w:p>
    <w:p w14:paraId="4322D6F3" w14:textId="77777777" w:rsidR="004B2808" w:rsidRDefault="004B2808">
      <w:pPr>
        <w:pStyle w:val="Author-eListParagraph"/>
        <w:numPr>
          <w:ilvl w:val="0"/>
          <w:numId w:val="485"/>
        </w:numPr>
      </w:pPr>
      <w:hyperlink w:anchor="1260" w:history="1">
        <w:r>
          <w:rPr>
            <w:color w:val="0000EE"/>
          </w:rPr>
          <w:t>53.4 Planchers surélevés</w:t>
        </w:r>
      </w:hyperlink>
    </w:p>
    <w:p w14:paraId="2A9D05CA" w14:textId="77777777" w:rsidR="004B2808" w:rsidRDefault="004B2808">
      <w:pPr>
        <w:pStyle w:val="Author-eListParagraph"/>
        <w:numPr>
          <w:ilvl w:val="0"/>
          <w:numId w:val="485"/>
        </w:numPr>
      </w:pPr>
      <w:hyperlink w:anchor="1130" w:history="1">
        <w:r>
          <w:rPr>
            <w:color w:val="0000EE"/>
          </w:rPr>
          <w:t>53.5 Revêtements de sols intérieurs</w:t>
        </w:r>
      </w:hyperlink>
    </w:p>
    <w:p w14:paraId="64F3E43B" w14:textId="77777777" w:rsidR="004B2808" w:rsidRDefault="004B2808">
      <w:pPr>
        <w:pStyle w:val="Author-eListParagraph"/>
        <w:numPr>
          <w:ilvl w:val="0"/>
          <w:numId w:val="485"/>
        </w:numPr>
      </w:pPr>
      <w:hyperlink w:anchor="1261" w:history="1">
        <w:r>
          <w:rPr>
            <w:color w:val="0000EE"/>
          </w:rPr>
          <w:t>53.6 Eléments particuliers et finitions</w:t>
        </w:r>
      </w:hyperlink>
    </w:p>
    <w:p w14:paraId="7B87A111" w14:textId="77777777" w:rsidR="004B2808" w:rsidRDefault="004B2808">
      <w:pPr>
        <w:pStyle w:val="Author-eListParagraph"/>
        <w:numPr>
          <w:ilvl w:val="0"/>
          <w:numId w:val="485"/>
        </w:numPr>
      </w:pPr>
      <w:hyperlink w:anchor="1262" w:history="1">
        <w:r>
          <w:rPr>
            <w:color w:val="0000EE"/>
          </w:rPr>
          <w:t>53.8 Chapes et revêtements de sols intérieurs - Rénovation</w:t>
        </w:r>
      </w:hyperlink>
    </w:p>
    <w:p w14:paraId="1D3B1020" w14:textId="77777777" w:rsidR="004B2808" w:rsidRDefault="00000000">
      <w:pPr>
        <w:pStyle w:val="Author-eListParagraph"/>
        <w:numPr>
          <w:ilvl w:val="0"/>
          <w:numId w:val="485"/>
        </w:numPr>
      </w:pPr>
      <w:r>
        <w:t>53.9 Chapes et revêtements de sols intérieurs - Divers </w:t>
      </w:r>
    </w:p>
    <w:p w14:paraId="7DE65458" w14:textId="77777777" w:rsidR="004B2808" w:rsidRDefault="00000000">
      <w:r>
        <w:t>Le poste "chapes" comprend toutes les fournitures et travaux en vue de la réalisation des couches intermédiaires prévues dans le cahier spécial des charges entre la dalle portante et la finition du sol (c'est-à-dire les couches d'égalisation, les membranes d'étanchéité, les couches d'isolation thermique et/ou acoustique, les chapes et les sol industriels). Conformément aux dispositions générales et/ou spécifiques du cahier spécial des charges, les prix unitaires compris dans ces postes doivent toujours comprendre, soit selon la ventilation dans le métré récapitulatif, soit dans leur totalité :</w:t>
      </w:r>
    </w:p>
    <w:p w14:paraId="083EA111" w14:textId="77777777" w:rsidR="004B2808" w:rsidRDefault="00000000">
      <w:pPr>
        <w:pStyle w:val="Author-eListParagraph"/>
        <w:numPr>
          <w:ilvl w:val="0"/>
          <w:numId w:val="486"/>
        </w:numPr>
      </w:pPr>
      <w:r>
        <w:t>le contrôle préalable du support et le dépoussiérage;</w:t>
      </w:r>
    </w:p>
    <w:p w14:paraId="65B5CEA2" w14:textId="77777777" w:rsidR="004B2808" w:rsidRDefault="00000000">
      <w:pPr>
        <w:pStyle w:val="Author-eListParagraph"/>
        <w:numPr>
          <w:ilvl w:val="0"/>
          <w:numId w:val="486"/>
        </w:numPr>
      </w:pPr>
      <w:r>
        <w:t>le contrôle des niveaux, des températures et, éventuellement, le chauffage du chantier pour obtenir la température minimale pour la mise en œuvre;</w:t>
      </w:r>
    </w:p>
    <w:p w14:paraId="0AC5054E" w14:textId="77777777" w:rsidR="004B2808" w:rsidRDefault="00000000">
      <w:pPr>
        <w:pStyle w:val="Author-eListParagraph"/>
        <w:numPr>
          <w:ilvl w:val="0"/>
          <w:numId w:val="486"/>
        </w:numPr>
      </w:pPr>
      <w:r>
        <w:t>la fourniture et la pose des coffrages et/ou des réservations nécessaires;</w:t>
      </w:r>
    </w:p>
    <w:p w14:paraId="43693CC1" w14:textId="77777777" w:rsidR="004B2808" w:rsidRDefault="00000000">
      <w:pPr>
        <w:pStyle w:val="Author-eListParagraph"/>
        <w:numPr>
          <w:ilvl w:val="0"/>
          <w:numId w:val="486"/>
        </w:numPr>
      </w:pPr>
      <w:r>
        <w:t>le traitement préalable de la face de pose du support béton en cas de chape adhérente;</w:t>
      </w:r>
    </w:p>
    <w:p w14:paraId="374C9387" w14:textId="77777777" w:rsidR="004B2808" w:rsidRDefault="00000000">
      <w:pPr>
        <w:pStyle w:val="Author-eListParagraph"/>
        <w:numPr>
          <w:ilvl w:val="0"/>
          <w:numId w:val="486"/>
        </w:numPr>
      </w:pPr>
      <w:r>
        <w:t>l'application, le cas échéant, des couches de remplissage;</w:t>
      </w:r>
    </w:p>
    <w:p w14:paraId="0FC46C9A" w14:textId="77777777" w:rsidR="004B2808" w:rsidRDefault="00000000">
      <w:pPr>
        <w:pStyle w:val="Author-eListParagraph"/>
        <w:numPr>
          <w:ilvl w:val="0"/>
          <w:numId w:val="486"/>
        </w:numPr>
      </w:pPr>
      <w:r>
        <w:t>la pose des membranes d'étanchéité prescrites;</w:t>
      </w:r>
    </w:p>
    <w:p w14:paraId="7D86F927" w14:textId="77777777" w:rsidR="004B2808" w:rsidRDefault="00000000">
      <w:pPr>
        <w:pStyle w:val="Author-eListParagraph"/>
        <w:numPr>
          <w:ilvl w:val="0"/>
          <w:numId w:val="486"/>
        </w:numPr>
      </w:pPr>
      <w:r>
        <w:t>la fourniture et la pose d'une couche de désolidarisation, d'isolation thermique ou acoustique, si prescrit dans le cahier spécial des charges;</w:t>
      </w:r>
    </w:p>
    <w:p w14:paraId="3E1149A0" w14:textId="77777777" w:rsidR="004B2808" w:rsidRDefault="00000000">
      <w:pPr>
        <w:pStyle w:val="Author-eListParagraph"/>
        <w:numPr>
          <w:ilvl w:val="0"/>
          <w:numId w:val="486"/>
        </w:numPr>
      </w:pPr>
      <w:r>
        <w:t>la fourniture et la pose de tous les matériaux, produits et pièces nécessaires à l'exécution de la chape selon sa classe, son indication et les performances particulières prescrites;</w:t>
      </w:r>
    </w:p>
    <w:p w14:paraId="38424DBA" w14:textId="77777777" w:rsidR="004B2808" w:rsidRDefault="00000000">
      <w:pPr>
        <w:pStyle w:val="Author-eListParagraph"/>
        <w:numPr>
          <w:ilvl w:val="0"/>
          <w:numId w:val="486"/>
        </w:numPr>
      </w:pPr>
      <w:r>
        <w:t>la préparation du mortier et le coulage de la chape ou du sol industriel (y compris les éventuelles armatures);</w:t>
      </w:r>
    </w:p>
    <w:p w14:paraId="62ACA0CD" w14:textId="77777777" w:rsidR="004B2808" w:rsidRDefault="00000000">
      <w:pPr>
        <w:pStyle w:val="Author-eListParagraph"/>
        <w:numPr>
          <w:ilvl w:val="0"/>
          <w:numId w:val="486"/>
        </w:numPr>
      </w:pPr>
      <w:r>
        <w:t>la mise en œuvre des joints périphériques nécessaires et/ou des joints de dilatation selon prescription et la prolongation des joints de structure avec profilés selon les prescriptions du cahier spécial des charges;</w:t>
      </w:r>
    </w:p>
    <w:p w14:paraId="13A1B636" w14:textId="77777777" w:rsidR="004B2808" w:rsidRDefault="00000000">
      <w:pPr>
        <w:pStyle w:val="Author-eListParagraph"/>
        <w:numPr>
          <w:ilvl w:val="0"/>
          <w:numId w:val="486"/>
        </w:numPr>
      </w:pPr>
      <w:r>
        <w:t>la finition de la surface de la chape selon les prescriptions du cahier spécial des charges ou du sol industriel;</w:t>
      </w:r>
    </w:p>
    <w:p w14:paraId="3DD7F203" w14:textId="77777777" w:rsidR="004B2808" w:rsidRDefault="00000000">
      <w:pPr>
        <w:pStyle w:val="Author-eListParagraph"/>
        <w:numPr>
          <w:ilvl w:val="0"/>
          <w:numId w:val="486"/>
        </w:numPr>
      </w:pPr>
      <w:r>
        <w:t>l'évacuation et le déversement de tous les matériaux et déchets et la fermeture à l'accès pendant le délai de mise en service.</w:t>
      </w:r>
    </w:p>
    <w:p w14:paraId="206C2001" w14:textId="77777777" w:rsidR="004B2808" w:rsidRDefault="00000000">
      <w:pPr>
        <w:pStyle w:val="pheading"/>
      </w:pPr>
      <w:r>
        <w:t>MATÉRIAUX</w:t>
      </w:r>
    </w:p>
    <w:p w14:paraId="6F1481B4" w14:textId="77777777" w:rsidR="004B2808" w:rsidRDefault="00000000">
      <w:r>
        <w:lastRenderedPageBreak/>
        <w:t>Les chapes à base de ciment sont régies par les dispositions de la [NIT 189], complétées par la [NBN EN 1937].</w:t>
      </w:r>
    </w:p>
    <w:p w14:paraId="00C0D134" w14:textId="77777777" w:rsidR="004B2808" w:rsidRDefault="00000000">
      <w:pPr>
        <w:ind w:left="750"/>
      </w:pPr>
      <w:r>
        <w:t> </w:t>
      </w:r>
    </w:p>
    <w:p w14:paraId="00266048" w14:textId="77777777" w:rsidR="004B2808" w:rsidRDefault="00000000">
      <w:pPr>
        <w:pStyle w:val="pheading"/>
      </w:pPr>
      <w:r>
        <w:t>EXÉCUTION / MISE EN ŒUVRE</w:t>
      </w:r>
    </w:p>
    <w:p w14:paraId="5B4859F6" w14:textId="77777777" w:rsidR="004B2808" w:rsidRDefault="00000000">
      <w:r>
        <w:t>L'exécution s'effectue conformément à la [NIT 193].</w:t>
      </w:r>
    </w:p>
    <w:p w14:paraId="01B0135D" w14:textId="77777777" w:rsidR="004B2808" w:rsidRDefault="00000000">
      <w:pPr>
        <w:pStyle w:val="Author-eListParagraph"/>
        <w:numPr>
          <w:ilvl w:val="0"/>
          <w:numId w:val="487"/>
        </w:numPr>
      </w:pPr>
      <w:r>
        <w:t>Les chapes sont mises en œuvre après les plafonnages, les socles en maçonnerie et en béton et après la pose des menuiseries extérieures et des vitrages. Les chapes ne peuvent pas être mises en œuvre lorsque la température du support et/ou la température ambiante est inférieure à 5°C . Les chapes sont protégées contre une dessiccation trop rapide. Les courants d'air et le rayonnement intense sont à proscrire.</w:t>
      </w:r>
    </w:p>
    <w:p w14:paraId="5AE38E75" w14:textId="77777777" w:rsidR="004B2808" w:rsidRDefault="00000000">
      <w:pPr>
        <w:pStyle w:val="Author-eListParagraph"/>
        <w:numPr>
          <w:ilvl w:val="0"/>
          <w:numId w:val="487"/>
        </w:numPr>
      </w:pPr>
      <w:r>
        <w:t>L'entrepreneur vérifie si l'aire de pose répond aux exigences de la [NIT 193] et, si nécessaire, prend les dispositions afin qu'elle soit conforme. L'exécution des bandes périphériques, des joints de retrait et de mouvement est comprise dans le présent article. Le dessin des joints et leur mode d'exécution sont soumis pour approbation à l'auteur de projet. Au droit des baies de portes, les bords périphériques sont prolongés. Le niveau fini de la chape tient compte du revêtement de sol.</w:t>
      </w:r>
    </w:p>
    <w:p w14:paraId="66DCF6C5" w14:textId="77777777" w:rsidR="004B2808" w:rsidRDefault="00000000">
      <w:pPr>
        <w:ind w:left="750"/>
      </w:pPr>
      <w:r>
        <w:t> </w:t>
      </w:r>
    </w:p>
    <w:p w14:paraId="45F3D35C" w14:textId="77777777" w:rsidR="004B2808" w:rsidRDefault="00000000">
      <w:pPr>
        <w:pStyle w:val="pheading"/>
      </w:pPr>
      <w:r>
        <w:t>CONTRÔLES</w:t>
      </w:r>
    </w:p>
    <w:p w14:paraId="36004A90" w14:textId="77777777" w:rsidR="004B2808" w:rsidRDefault="00000000">
      <w:r>
        <w:t xml:space="preserve">Conformément à la section </w:t>
      </w:r>
      <w:hyperlink w:anchor="220" w:history="1">
        <w:r w:rsidR="004B2808">
          <w:rPr>
            <w:color w:val="0000EE"/>
          </w:rPr>
          <w:t>53 Chapes et revêtements de sols intérieurs</w:t>
        </w:r>
      </w:hyperlink>
      <w:r>
        <w:t>  . Les tolérances d'écarts vers le haut ou vers le bas entre les cotes de niveau éloignées de 20 m ne dépassent pas 3 mm . </w:t>
      </w:r>
    </w:p>
    <w:p w14:paraId="44393D7F" w14:textId="77777777" w:rsidR="004B2808" w:rsidRDefault="00000000">
      <w:pPr>
        <w:pStyle w:val="Author-eSectionHeading4Numberless"/>
      </w:pPr>
      <w:bookmarkStart w:id="536" w:name="_Toc220490707"/>
      <w:r>
        <w:t>53.21 Chapes adhérentes CCTB 01.08</w:t>
      </w:r>
      <w:bookmarkEnd w:id="536"/>
    </w:p>
    <w:p w14:paraId="62F8FA0A" w14:textId="77777777" w:rsidR="004B2808" w:rsidRDefault="00000000">
      <w:pPr>
        <w:pStyle w:val="pheading"/>
      </w:pPr>
      <w:bookmarkStart w:id="537" w:name="1124"/>
      <w:bookmarkEnd w:id="537"/>
      <w:r>
        <w:t>DESCRIPTION</w:t>
      </w:r>
    </w:p>
    <w:p w14:paraId="049D47B9" w14:textId="77777777" w:rsidR="004B2808" w:rsidRDefault="00000000">
      <w:pPr>
        <w:pStyle w:val="pheading"/>
      </w:pPr>
      <w:r>
        <w:t>- Définition / Comprend</w:t>
      </w:r>
    </w:p>
    <w:p w14:paraId="20D541E0" w14:textId="77777777" w:rsidR="004B2808" w:rsidRDefault="00000000">
      <w:r>
        <w:t>Chape qui, de par sa constitution et son exécution, est (et reste) adhérente au plancher porteur.</w:t>
      </w:r>
    </w:p>
    <w:p w14:paraId="304CF4A9" w14:textId="77777777" w:rsidR="004B2808" w:rsidRDefault="00000000">
      <w:r>
        <w:t>Le travail comprend notamment :</w:t>
      </w:r>
    </w:p>
    <w:p w14:paraId="1352B969" w14:textId="77777777" w:rsidR="004B2808" w:rsidRDefault="00000000">
      <w:pPr>
        <w:pStyle w:val="Author-eListParagraph"/>
        <w:numPr>
          <w:ilvl w:val="0"/>
          <w:numId w:val="488"/>
        </w:numPr>
      </w:pPr>
      <w:r>
        <w:t>La préparation et nettoyage du sol.</w:t>
      </w:r>
    </w:p>
    <w:p w14:paraId="679FA598" w14:textId="77777777" w:rsidR="004B2808" w:rsidRDefault="00000000">
      <w:pPr>
        <w:pStyle w:val="Author-eListParagraph"/>
        <w:numPr>
          <w:ilvl w:val="0"/>
          <w:numId w:val="488"/>
        </w:numPr>
      </w:pPr>
      <w:r>
        <w:t> Les réservations prévues sur les plans.</w:t>
      </w:r>
    </w:p>
    <w:p w14:paraId="72A097C0" w14:textId="77777777" w:rsidR="004B2808" w:rsidRDefault="00000000">
      <w:pPr>
        <w:pStyle w:val="Author-eListParagraph"/>
        <w:numPr>
          <w:ilvl w:val="0"/>
          <w:numId w:val="488"/>
        </w:numPr>
      </w:pPr>
      <w:r>
        <w:t>La réalisation de coffrage d’arrêt.</w:t>
      </w:r>
    </w:p>
    <w:p w14:paraId="15EA914C" w14:textId="77777777" w:rsidR="004B2808" w:rsidRDefault="00000000">
      <w:pPr>
        <w:pStyle w:val="Author-eListParagraph"/>
        <w:numPr>
          <w:ilvl w:val="0"/>
          <w:numId w:val="488"/>
        </w:numPr>
      </w:pPr>
      <w:r>
        <w:t>La finition des bords et travaux de réparation en cas d’endommagement.</w:t>
      </w:r>
    </w:p>
    <w:p w14:paraId="62D4BD7D" w14:textId="77777777" w:rsidR="004B2808" w:rsidRDefault="00000000">
      <w:pPr>
        <w:pStyle w:val="Author-eListParagraph"/>
        <w:numPr>
          <w:ilvl w:val="0"/>
          <w:numId w:val="488"/>
        </w:numPr>
      </w:pPr>
      <w:r>
        <w:t>La réalisation des joints de dilatation selon les règles de l’art.</w:t>
      </w:r>
    </w:p>
    <w:p w14:paraId="16765D0C" w14:textId="77777777" w:rsidR="004B2808" w:rsidRDefault="00000000">
      <w:pPr>
        <w:pStyle w:val="Author-eListParagraph"/>
        <w:numPr>
          <w:ilvl w:val="0"/>
          <w:numId w:val="488"/>
        </w:numPr>
      </w:pPr>
      <w:r>
        <w:t>Tous les treillis armés, armatures additionnelles éventuels.</w:t>
      </w:r>
    </w:p>
    <w:p w14:paraId="55DC59C5" w14:textId="77777777" w:rsidR="004B2808" w:rsidRDefault="00000000">
      <w:pPr>
        <w:pStyle w:val="Author-eListParagraph"/>
        <w:numPr>
          <w:ilvl w:val="0"/>
          <w:numId w:val="488"/>
        </w:numPr>
      </w:pPr>
      <w:r>
        <w:t>L’enlèvement de tous les accessoires, éléments de coffrage, supports, étais et le nettoyage des faces visibles.</w:t>
      </w:r>
    </w:p>
    <w:p w14:paraId="016CAE31" w14:textId="77777777" w:rsidR="004B2808" w:rsidRDefault="00000000">
      <w:pPr>
        <w:pStyle w:val="Author-eSectionHeading5Numberless"/>
      </w:pPr>
      <w:bookmarkStart w:id="538" w:name="_Toc220490708"/>
      <w:r>
        <w:t>53.21.1 Chapes adhérentes à base de ciment CCTB 01.02</w:t>
      </w:r>
      <w:bookmarkEnd w:id="538"/>
    </w:p>
    <w:p w14:paraId="41633630" w14:textId="77777777" w:rsidR="004B2808" w:rsidRDefault="00000000">
      <w:pPr>
        <w:pStyle w:val="Author-eSectionHeading6Numberless"/>
      </w:pPr>
      <w:bookmarkStart w:id="539" w:name="_Toc220490709"/>
      <w:r>
        <w:t>53.21.1a Chapes adhérentes à base de ciment CCTB 01.10</w:t>
      </w:r>
      <w:bookmarkEnd w:id="539"/>
    </w:p>
    <w:p w14:paraId="1622A59C" w14:textId="77777777" w:rsidR="004B2808" w:rsidRDefault="00000000">
      <w:pPr>
        <w:pStyle w:val="pheading"/>
      </w:pPr>
      <w:r>
        <w:t>DESCRIPTION</w:t>
      </w:r>
    </w:p>
    <w:p w14:paraId="4A380C44" w14:textId="77777777" w:rsidR="004B2808" w:rsidRDefault="00000000">
      <w:pPr>
        <w:pStyle w:val="pheading"/>
      </w:pPr>
      <w:r>
        <w:t>- Localisation</w:t>
      </w:r>
    </w:p>
    <w:p w14:paraId="633B6830" w14:textId="77777777" w:rsidR="004B2808" w:rsidRDefault="00000000">
      <w:r>
        <w:t>Par exemple :</w:t>
      </w:r>
    </w:p>
    <w:p w14:paraId="7918F152" w14:textId="77777777" w:rsidR="004B2808" w:rsidRDefault="00000000">
      <w:r>
        <w:t>53.21.1a.01 chapes ordinaires - adhérentes / non armées / 6 cm (carrelages)</w:t>
      </w:r>
    </w:p>
    <w:p w14:paraId="4CEEC89B" w14:textId="77777777" w:rsidR="004B2808" w:rsidRDefault="00000000">
      <w:r>
        <w:t>53.21.1a.02 chapes ordinaires - adhérentes / non armées / 8 cm (revêtements en linoléum)</w:t>
      </w:r>
    </w:p>
    <w:p w14:paraId="7F92B8D9" w14:textId="77777777" w:rsidR="004B2808" w:rsidRDefault="004B2808"/>
    <w:p w14:paraId="3ACA552B" w14:textId="77777777" w:rsidR="004B2808" w:rsidRDefault="00000000">
      <w:r>
        <w:rPr>
          <w:u w:val="single"/>
        </w:rPr>
        <w:t>Note à l'attention de l'auteur de projet</w:t>
      </w:r>
    </w:p>
    <w:p w14:paraId="7F3221AB" w14:textId="77777777" w:rsidR="004B2808" w:rsidRDefault="00000000">
      <w:r>
        <w:t>La chape est posée en adhérence sur l'aire de pose lorsque celle-ci est stable et solide (sans fissures actives) et exempte d'humidité qui risque d'être nuisible à la chape ou au revêtement du sol.</w:t>
      </w:r>
    </w:p>
    <w:p w14:paraId="41428F2A" w14:textId="77777777" w:rsidR="004B2808" w:rsidRDefault="00000000">
      <w:pPr>
        <w:pStyle w:val="pheading"/>
      </w:pPr>
      <w:r>
        <w:lastRenderedPageBreak/>
        <w:t>MATÉRIAUX</w:t>
      </w:r>
    </w:p>
    <w:p w14:paraId="317B036B" w14:textId="77777777" w:rsidR="004B2808" w:rsidRDefault="00000000">
      <w:pPr>
        <w:pStyle w:val="pheading"/>
      </w:pPr>
      <w:r>
        <w:t>- Caractéristiques générales</w:t>
      </w:r>
    </w:p>
    <w:p w14:paraId="573EEC72" w14:textId="77777777" w:rsidR="004B2808" w:rsidRDefault="00000000">
      <w:r>
        <w:t>Les chapes adhérentes non armées ou légèrement armées, à base de ciment satisfont aux dispositions de la [NIT 189] §5. La composition est déterminée par l'entrepreneur en fonction des directives du §5.4 de la [NIT 189] et du §4.1.2 de la [NIT 193].</w:t>
      </w:r>
    </w:p>
    <w:p w14:paraId="2401C3AF" w14:textId="77777777" w:rsidR="004B2808" w:rsidRDefault="00000000">
      <w:pPr>
        <w:pStyle w:val="heading"/>
      </w:pPr>
      <w:r>
        <w:t>Spécifications</w:t>
      </w:r>
    </w:p>
    <w:p w14:paraId="72BCC41F" w14:textId="77777777" w:rsidR="004B2808" w:rsidRDefault="00000000">
      <w:pPr>
        <w:pStyle w:val="Author-eListParagraph"/>
        <w:numPr>
          <w:ilvl w:val="0"/>
          <w:numId w:val="489"/>
        </w:numPr>
      </w:pPr>
      <w:r>
        <w:t>Résistance à la compression sur 2 échantillons : minimum 8N/mm² (méthode d'essai selon la [NIT 189] §4.3.2).</w:t>
      </w:r>
    </w:p>
    <w:p w14:paraId="4EBCD844" w14:textId="77777777" w:rsidR="004B2808" w:rsidRDefault="00000000">
      <w:pPr>
        <w:pStyle w:val="Author-eListParagraph"/>
        <w:numPr>
          <w:ilvl w:val="0"/>
          <w:numId w:val="489"/>
        </w:numPr>
      </w:pPr>
      <w:r>
        <w:t xml:space="preserve">Classe de planéité : </w:t>
      </w:r>
      <w:r>
        <w:rPr>
          <w:rStyle w:val="optioncarChar"/>
        </w:rPr>
        <w:t>2 </w:t>
      </w:r>
      <w:r>
        <w:t>(par défaut)</w:t>
      </w:r>
      <w:r>
        <w:rPr>
          <w:rStyle w:val="optioncarChar"/>
        </w:rPr>
        <w:t> / ***</w:t>
      </w:r>
      <w:r>
        <w:t>  ([NIT 189] §4.2.3).</w:t>
      </w:r>
    </w:p>
    <w:p w14:paraId="3DC17E0C" w14:textId="77777777" w:rsidR="004B2808" w:rsidRDefault="00000000">
      <w:pPr>
        <w:pStyle w:val="Author-eListParagraph"/>
        <w:numPr>
          <w:ilvl w:val="0"/>
          <w:numId w:val="489"/>
        </w:numPr>
      </w:pPr>
      <w:r>
        <w:t xml:space="preserve">Epaisseur chape non armée : minimum </w:t>
      </w:r>
      <w:r>
        <w:rPr>
          <w:rStyle w:val="optioncarChar"/>
        </w:rPr>
        <w:t>3 </w:t>
      </w:r>
      <w:r>
        <w:t xml:space="preserve">(par défaut) </w:t>
      </w:r>
      <w:r>
        <w:rPr>
          <w:rStyle w:val="optioncarChar"/>
        </w:rPr>
        <w:t xml:space="preserve">/ 4 / *** </w:t>
      </w:r>
      <w:r>
        <w:t>cm.</w:t>
      </w:r>
    </w:p>
    <w:p w14:paraId="430D67ED" w14:textId="77777777" w:rsidR="004B2808" w:rsidRDefault="00000000">
      <w:pPr>
        <w:pStyle w:val="Author-eListParagraph"/>
        <w:numPr>
          <w:ilvl w:val="0"/>
          <w:numId w:val="489"/>
        </w:numPr>
      </w:pPr>
      <w:r>
        <w:t xml:space="preserve">Epaisseur chape légèrement armée : </w:t>
      </w:r>
      <w:r>
        <w:rPr>
          <w:rStyle w:val="optioncarChar"/>
        </w:rPr>
        <w:t>5 </w:t>
      </w:r>
      <w:r>
        <w:t>(par défaut) </w:t>
      </w:r>
      <w:r>
        <w:rPr>
          <w:rStyle w:val="optioncarChar"/>
        </w:rPr>
        <w:t xml:space="preserve">/ 6 / 7 / *** </w:t>
      </w:r>
      <w:r>
        <w:t>cm.</w:t>
      </w:r>
    </w:p>
    <w:p w14:paraId="7458D991" w14:textId="77777777" w:rsidR="004B2808" w:rsidRDefault="00000000">
      <w:pPr>
        <w:pStyle w:val="pheading"/>
      </w:pPr>
      <w:r>
        <w:t>EXÉCUTION / MISE EN ŒUVRE</w:t>
      </w:r>
    </w:p>
    <w:p w14:paraId="0F9F9427" w14:textId="77777777" w:rsidR="004B2808" w:rsidRDefault="00000000">
      <w:pPr>
        <w:pStyle w:val="pheading"/>
      </w:pPr>
      <w:r>
        <w:t>- Prescriptions générales</w:t>
      </w:r>
    </w:p>
    <w:p w14:paraId="78035509" w14:textId="77777777" w:rsidR="004B2808" w:rsidRDefault="00000000">
      <w:r>
        <w:t>Les chapes sont mises en œuvre selon le §4.1 de la [NIT 193]. L'aire de pose est préalablement humidifiée et enduite à la brosse d'une couche d'adhérence composée d'un mélange liquide de ciment, de sable et d'additifs. On ne prévoit pas de joints de retrait dans la chape</w:t>
      </w:r>
    </w:p>
    <w:p w14:paraId="32E2354E" w14:textId="77777777" w:rsidR="004B2808" w:rsidRDefault="00000000">
      <w:r>
        <w:rPr>
          <w:b/>
          <w:sz w:val="24"/>
        </w:rPr>
        <w:t>Chapes ordinaires - adhérentes / non armées</w:t>
      </w:r>
    </w:p>
    <w:p w14:paraId="2B23AEB4" w14:textId="77777777" w:rsidR="004B2808" w:rsidRDefault="00000000">
      <w:pPr>
        <w:pStyle w:val="Author-eListParagraph"/>
        <w:numPr>
          <w:ilvl w:val="0"/>
          <w:numId w:val="490"/>
        </w:numPr>
      </w:pPr>
      <w:r>
        <w:t>On ne peut intégrer des conduites et/ou des gaines dans les chapes.</w:t>
      </w:r>
    </w:p>
    <w:p w14:paraId="12F2002B" w14:textId="77777777" w:rsidR="004B2808" w:rsidRDefault="00000000">
      <w:pPr>
        <w:pStyle w:val="Author-eListParagraph"/>
        <w:numPr>
          <w:ilvl w:val="0"/>
          <w:numId w:val="490"/>
        </w:numPr>
      </w:pPr>
      <w:r>
        <w:t>Une isolation périphérique est appliquée sur tous les murs. Celle-ci se compose de bandes de polystyrène ou similaire et dépasse de quelques cm au-dessus du niveau du sol fini. Après l'exécution des revêtements de sol, elles sont coupées à ras.</w:t>
      </w:r>
    </w:p>
    <w:p w14:paraId="68FD1DC0" w14:textId="77777777" w:rsidR="004B2808" w:rsidRDefault="00000000">
      <w:r>
        <w:rPr>
          <w:b/>
          <w:sz w:val="24"/>
        </w:rPr>
        <w:t>Chapes ordinaires - adhérentes / légèrement armées</w:t>
      </w:r>
    </w:p>
    <w:p w14:paraId="516B4E6D" w14:textId="77777777" w:rsidR="004B2808" w:rsidRDefault="00000000">
      <w:r>
        <w:t>La chape est pourvue d'un armature composée de:</w:t>
      </w:r>
    </w:p>
    <w:p w14:paraId="1CAC9938" w14:textId="77777777" w:rsidR="004B2808" w:rsidRDefault="00000000">
      <w:r>
        <w:br/>
        <w:t xml:space="preserve">Choix opéré : </w:t>
      </w:r>
      <w:r>
        <w:rPr>
          <w:rStyle w:val="optioncarChar"/>
        </w:rPr>
        <w:t>OPTION 1 (métal) </w:t>
      </w:r>
      <w:r>
        <w:t>(par défaut)</w:t>
      </w:r>
      <w:r>
        <w:rPr>
          <w:rStyle w:val="optioncarChar"/>
        </w:rPr>
        <w:t xml:space="preserve"> / OPTION 2  (polyporpylène) / ***</w:t>
      </w:r>
    </w:p>
    <w:p w14:paraId="247EC938" w14:textId="77777777" w:rsidR="004B2808" w:rsidRDefault="00000000">
      <w:r>
        <w:rPr>
          <w:b/>
        </w:rPr>
        <w:t>***OPTION 1</w:t>
      </w:r>
      <w:r>
        <w:t xml:space="preserve"> : un treillis en métal non galvanisé, aux mailles carrées </w:t>
      </w:r>
      <w:r>
        <w:rPr>
          <w:rStyle w:val="optioncarChar"/>
        </w:rPr>
        <w:t>38 x 38 x 1</w:t>
      </w:r>
      <w:r>
        <w:t> (par défaut)</w:t>
      </w:r>
      <w:r>
        <w:rPr>
          <w:rStyle w:val="optioncarChar"/>
        </w:rPr>
        <w:t> / ***</w:t>
      </w:r>
      <w:r>
        <w:t> mm.</w:t>
      </w:r>
      <w:r>
        <w:br/>
      </w:r>
      <w:r>
        <w:rPr>
          <w:b/>
        </w:rPr>
        <w:t xml:space="preserve">***OPTION 2 </w:t>
      </w:r>
      <w:r>
        <w:t xml:space="preserve">: fibres de polypropylène à raison de </w:t>
      </w:r>
      <w:r>
        <w:rPr>
          <w:rStyle w:val="optioncarChar"/>
        </w:rPr>
        <w:t>900</w:t>
      </w:r>
      <w:r>
        <w:t> (par défaut) </w:t>
      </w:r>
      <w:r>
        <w:rPr>
          <w:rStyle w:val="optioncarChar"/>
        </w:rPr>
        <w:t>/ *** </w:t>
      </w:r>
      <w:r>
        <w:t>gr/m³. Le mélange des fibres dans le mortier s'effectue selon les directives du fabricant. Le mortier est ensuite mis en œuvre au moyen d'une pompe rotative (sans pression d'air). Un procès-verbal d’essai relatif à l’emploi et à la fonction des fibres peut être demandé auprès du fabricant.</w:t>
      </w:r>
    </w:p>
    <w:p w14:paraId="2EFA34F3" w14:textId="77777777" w:rsidR="004B2808" w:rsidRDefault="00000000">
      <w:pPr>
        <w:pStyle w:val="pheading"/>
      </w:pPr>
      <w:r>
        <w:t>MESURAGE</w:t>
      </w:r>
    </w:p>
    <w:p w14:paraId="4FCE0C51" w14:textId="77777777" w:rsidR="004B2808" w:rsidRDefault="00000000">
      <w:r>
        <w:t>Conformément aux indications spécifiques dans le cahier spécial des charges et/ou le métré récapitulatif, le mesurage doit toujours être conçu comme suit :</w:t>
      </w:r>
    </w:p>
    <w:p w14:paraId="2EBB688D" w14:textId="77777777" w:rsidR="004B2808" w:rsidRDefault="00000000">
      <w:pPr>
        <w:pStyle w:val="pheading"/>
      </w:pPr>
      <w:r>
        <w:t>- unité de mesure:</w:t>
      </w:r>
    </w:p>
    <w:p w14:paraId="66A6BCFE" w14:textId="77777777" w:rsidR="004B2808" w:rsidRDefault="00000000">
      <w:r>
        <w:t>m²</w:t>
      </w:r>
    </w:p>
    <w:p w14:paraId="25AD38F6" w14:textId="77777777" w:rsidR="004B2808" w:rsidRDefault="00000000">
      <w:pPr>
        <w:pStyle w:val="pheading"/>
      </w:pPr>
      <w:r>
        <w:t>- code de mesurage:</w:t>
      </w:r>
    </w:p>
    <w:p w14:paraId="016F034C" w14:textId="77777777" w:rsidR="004B2808" w:rsidRDefault="00000000">
      <w:r>
        <w:t>surface nette mesurée entre le nu des murs, calculée sur la base des dimensions nominales en cm. Les baies de porte sont comptées, les ouvertures supérieures à 0,5 m² sont déduites. Le total est arrondi à la première décimale.</w:t>
      </w:r>
    </w:p>
    <w:p w14:paraId="1ADE2A7E" w14:textId="77777777" w:rsidR="004B2808" w:rsidRDefault="00000000">
      <w:r>
        <w:t>Le prix est toujours indiqué au m² pour tous les ouvrages et fournitures, y compris les surépaisseurs éventuelles.</w:t>
      </w:r>
    </w:p>
    <w:p w14:paraId="5810D9DF" w14:textId="77777777" w:rsidR="004B2808" w:rsidRDefault="00000000">
      <w:pPr>
        <w:pStyle w:val="pheading"/>
      </w:pPr>
      <w:r>
        <w:t>- nature du marché:</w:t>
      </w:r>
    </w:p>
    <w:p w14:paraId="19832AE6" w14:textId="77777777" w:rsidR="004B2808" w:rsidRDefault="00000000">
      <w:r>
        <w:t>QF</w:t>
      </w:r>
    </w:p>
    <w:p w14:paraId="5811847B" w14:textId="77777777" w:rsidR="004B2808" w:rsidRDefault="00000000">
      <w:pPr>
        <w:pStyle w:val="Author-eSectionHeading5Numberless"/>
      </w:pPr>
      <w:bookmarkStart w:id="540" w:name="_Toc220490710"/>
      <w:r>
        <w:lastRenderedPageBreak/>
        <w:t>53.21.2 Chapes adhérentes à base de liant anhydrite (sulfate de calcium) CCTB 01.02</w:t>
      </w:r>
      <w:bookmarkEnd w:id="540"/>
    </w:p>
    <w:p w14:paraId="3314551A" w14:textId="77777777" w:rsidR="004B2808" w:rsidRDefault="00000000">
      <w:pPr>
        <w:pStyle w:val="Author-eSectionHeading6Numberless"/>
      </w:pPr>
      <w:bookmarkStart w:id="541" w:name="_Toc220490711"/>
      <w:r>
        <w:t>53.21.2a Chapes adhérentes à base de liant anhydrite (sulfate de calcium) CCTB 01.02</w:t>
      </w:r>
      <w:bookmarkEnd w:id="541"/>
    </w:p>
    <w:p w14:paraId="2E1187EF" w14:textId="77777777" w:rsidR="004B2808" w:rsidRDefault="00000000">
      <w:pPr>
        <w:pStyle w:val="pheading"/>
      </w:pPr>
      <w:r>
        <w:t>DESCRIPTION</w:t>
      </w:r>
    </w:p>
    <w:p w14:paraId="7198AC38" w14:textId="77777777" w:rsidR="004B2808" w:rsidRDefault="00000000">
      <w:pPr>
        <w:pStyle w:val="pheading"/>
      </w:pPr>
      <w:r>
        <w:t>- Définition / Comprend</w:t>
      </w:r>
    </w:p>
    <w:p w14:paraId="0913DCBA" w14:textId="77777777" w:rsidR="004B2808" w:rsidRDefault="00000000">
      <w:r>
        <w:t>Contrairement aux chapes à base de ciment, les 'chapes spéciales' sont fabriquées à partir d'un liant autre que le ciment, telle que l'anhydrite synthétique. Les chapes dites 'autonivelantes' sont généralement composées à base d'anhydrite synthétique telle que l'AB 20.</w:t>
      </w:r>
    </w:p>
    <w:p w14:paraId="5A079320" w14:textId="77777777" w:rsidR="004B2808" w:rsidRDefault="00000000">
      <w:pPr>
        <w:pStyle w:val="pheading"/>
      </w:pPr>
      <w:r>
        <w:t>MESURAGE</w:t>
      </w:r>
    </w:p>
    <w:p w14:paraId="6FA41E5F" w14:textId="77777777" w:rsidR="004B2808" w:rsidRDefault="00000000">
      <w:r>
        <w:t>Conformément aux indications spécifiques dans le cahier spécial des charges et/ou le métré récapitulatif, le mesurage doit toujours être conçu comme suit :</w:t>
      </w:r>
    </w:p>
    <w:p w14:paraId="062E03FF" w14:textId="77777777" w:rsidR="004B2808" w:rsidRDefault="00000000">
      <w:pPr>
        <w:pStyle w:val="pheading"/>
      </w:pPr>
      <w:r>
        <w:t>- unité de mesure:</w:t>
      </w:r>
    </w:p>
    <w:p w14:paraId="2E5C0D41" w14:textId="77777777" w:rsidR="004B2808" w:rsidRDefault="00000000">
      <w:r>
        <w:t>m²</w:t>
      </w:r>
    </w:p>
    <w:p w14:paraId="1C753242" w14:textId="77777777" w:rsidR="004B2808" w:rsidRDefault="00000000">
      <w:pPr>
        <w:pStyle w:val="pheading"/>
      </w:pPr>
      <w:r>
        <w:t>- code de mesurage:</w:t>
      </w:r>
    </w:p>
    <w:p w14:paraId="5715D7EE" w14:textId="77777777" w:rsidR="004B2808" w:rsidRDefault="00000000">
      <w:r>
        <w:t>surface nette mesurée entre le nu des murs, calculée sur la base des dimensions nominales en cm. Les baies de porte sont comptées, les ouvertures supérieures à 0,5 m² sont déduites. Le total est arrondi à la première décimale.</w:t>
      </w:r>
    </w:p>
    <w:p w14:paraId="7C09AA03" w14:textId="77777777" w:rsidR="004B2808" w:rsidRDefault="00000000">
      <w:r>
        <w:t>Le prix est toujours indiqué au m² pour tous les ouvrages et fournitures, y compris les surépaisseurs éventuelles.</w:t>
      </w:r>
    </w:p>
    <w:p w14:paraId="19CC2C27" w14:textId="77777777" w:rsidR="004B2808" w:rsidRDefault="00000000">
      <w:pPr>
        <w:pStyle w:val="pheading"/>
      </w:pPr>
      <w:r>
        <w:t>- nature du marché:</w:t>
      </w:r>
    </w:p>
    <w:p w14:paraId="48C69FC5" w14:textId="77777777" w:rsidR="004B2808" w:rsidRDefault="00000000">
      <w:r>
        <w:t>QF</w:t>
      </w:r>
    </w:p>
    <w:p w14:paraId="06EC2CF9" w14:textId="77777777" w:rsidR="004B2808" w:rsidRDefault="00000000">
      <w:pPr>
        <w:pStyle w:val="Author-eSectionHeading5Numberless"/>
      </w:pPr>
      <w:bookmarkStart w:id="542" w:name="_Toc220490712"/>
      <w:r>
        <w:t>53.21.3 Chapes adhérentes à base de magnésite CCTB 01.02</w:t>
      </w:r>
      <w:bookmarkEnd w:id="542"/>
    </w:p>
    <w:p w14:paraId="2D860F38" w14:textId="77777777" w:rsidR="004B2808" w:rsidRDefault="00000000">
      <w:pPr>
        <w:pStyle w:val="Author-eSectionHeading6Numberless"/>
      </w:pPr>
      <w:bookmarkStart w:id="543" w:name="_Toc220490713"/>
      <w:r>
        <w:t>53.21.3a Chapes adhérentes à base de magnésite CCTB 01.02</w:t>
      </w:r>
      <w:bookmarkEnd w:id="543"/>
    </w:p>
    <w:p w14:paraId="0B02AB1E" w14:textId="77777777" w:rsidR="004B2808" w:rsidRDefault="00000000">
      <w:pPr>
        <w:pStyle w:val="Author-eSectionHeading5Numberless"/>
      </w:pPr>
      <w:bookmarkStart w:id="544" w:name="_Toc220490714"/>
      <w:r>
        <w:t>53.21.4 Chapes adhérentes à base de chaux</w:t>
      </w:r>
      <w:bookmarkEnd w:id="544"/>
    </w:p>
    <w:p w14:paraId="006B543A" w14:textId="77777777" w:rsidR="004B2808" w:rsidRDefault="00000000">
      <w:pPr>
        <w:pStyle w:val="Author-eSectionHeading6Numberless"/>
      </w:pPr>
      <w:bookmarkStart w:id="545" w:name="_Toc220490715"/>
      <w:r>
        <w:t>53.21.4a Chapes adhérentes à base de chaux CCTB 01.10</w:t>
      </w:r>
      <w:bookmarkEnd w:id="545"/>
    </w:p>
    <w:p w14:paraId="308ADCA2" w14:textId="77777777" w:rsidR="004B2808" w:rsidRDefault="00000000">
      <w:pPr>
        <w:pStyle w:val="pheading"/>
      </w:pPr>
      <w:r>
        <w:t>DESCRIPTION</w:t>
      </w:r>
    </w:p>
    <w:p w14:paraId="5A3F0918" w14:textId="77777777" w:rsidR="004B2808" w:rsidRDefault="00000000">
      <w:pPr>
        <w:pStyle w:val="pheading"/>
      </w:pPr>
      <w:r>
        <w:t>- Définition / Comprend</w:t>
      </w:r>
    </w:p>
    <w:p w14:paraId="3F4CC5AF" w14:textId="77777777" w:rsidR="004B2808" w:rsidRDefault="00000000">
      <w:pPr>
        <w:jc w:val="both"/>
      </w:pPr>
      <w:r>
        <w:t>Il s'agit de la fourniture et de la pose d’une chape adhérente à base de chaux.</w:t>
      </w:r>
    </w:p>
    <w:p w14:paraId="7F489234" w14:textId="77777777" w:rsidR="004B2808" w:rsidRDefault="00000000">
      <w:pPr>
        <w:pStyle w:val="pheading"/>
      </w:pPr>
      <w:r>
        <w:t>- Localisation</w:t>
      </w:r>
    </w:p>
    <w:p w14:paraId="1E1DC79C" w14:textId="77777777" w:rsidR="004B2808" w:rsidRDefault="00000000">
      <w:r>
        <w:t xml:space="preserve">Localisation des travaux : </w:t>
      </w:r>
      <w:r>
        <w:rPr>
          <w:rStyle w:val="optioncarChar"/>
        </w:rPr>
        <w:t>***</w:t>
      </w:r>
      <w:r>
        <w:t>.</w:t>
      </w:r>
    </w:p>
    <w:p w14:paraId="777F62BE" w14:textId="77777777" w:rsidR="004B2808" w:rsidRDefault="00000000">
      <w:r>
        <w:t>Voir plans et métrés détaillés.</w:t>
      </w:r>
    </w:p>
    <w:p w14:paraId="6CFC0044" w14:textId="77777777" w:rsidR="004B2808" w:rsidRDefault="00000000">
      <w:pPr>
        <w:pStyle w:val="pheading"/>
      </w:pPr>
      <w:r>
        <w:t>MATÉRIAUX</w:t>
      </w:r>
    </w:p>
    <w:p w14:paraId="1AA32A9D" w14:textId="77777777" w:rsidR="004B2808" w:rsidRDefault="00000000">
      <w:pPr>
        <w:pStyle w:val="pheading"/>
      </w:pPr>
      <w:r>
        <w:t>- Caractéristiques générales</w:t>
      </w:r>
    </w:p>
    <w:p w14:paraId="00A690E5" w14:textId="77777777" w:rsidR="004B2808" w:rsidRDefault="00000000">
      <w:pPr>
        <w:jc w:val="both"/>
      </w:pPr>
      <w:r>
        <w:t>La chaux doit être conforme à la [NBN EN 459-1]. </w:t>
      </w:r>
    </w:p>
    <w:p w14:paraId="11115C17" w14:textId="77777777" w:rsidR="004B2808" w:rsidRDefault="00000000">
      <w:pPr>
        <w:jc w:val="both"/>
      </w:pPr>
      <w:r>
        <w:t>Les chapes adhérentes non armées ou légèrement armées, à base de chaux satisfont aux dispositions de la [NIT 189] §5.</w:t>
      </w:r>
    </w:p>
    <w:p w14:paraId="620688FD" w14:textId="77777777" w:rsidR="004B2808" w:rsidRDefault="00000000">
      <w:pPr>
        <w:jc w:val="both"/>
      </w:pPr>
      <w:r>
        <w:t>La chape est composée de chaux</w:t>
      </w:r>
      <w:r>
        <w:rPr>
          <w:rStyle w:val="optioncarChar"/>
        </w:rPr>
        <w:t xml:space="preserve"> NHL</w:t>
      </w:r>
      <w:r>
        <w:t xml:space="preserve"> (par défaut)</w:t>
      </w:r>
      <w:r>
        <w:rPr>
          <w:rStyle w:val="optioncarChar"/>
        </w:rPr>
        <w:t xml:space="preserve"> / HL</w:t>
      </w:r>
      <w:r>
        <w:t xml:space="preserve"> et d’une charge de sable de rivière.</w:t>
      </w:r>
    </w:p>
    <w:p w14:paraId="2FC244D0" w14:textId="77777777" w:rsidR="004B2808" w:rsidRDefault="00000000">
      <w:pPr>
        <w:jc w:val="both"/>
      </w:pPr>
      <w:r>
        <w:lastRenderedPageBreak/>
        <w:t xml:space="preserve">La composition de la chape </w:t>
      </w:r>
      <w:r>
        <w:rPr>
          <w:rStyle w:val="optioncarChar"/>
        </w:rPr>
        <w:t>est de 1 part de chaux pour 3 part de sable de rivière / suit les prescriptions du fabricant.</w:t>
      </w:r>
    </w:p>
    <w:p w14:paraId="4AD6BB20" w14:textId="77777777" w:rsidR="004B2808" w:rsidRDefault="00000000">
      <w:pPr>
        <w:jc w:val="both"/>
      </w:pPr>
      <w:r>
        <w:t xml:space="preserve">La résistance à la compression de la chaux est de </w:t>
      </w:r>
      <w:r>
        <w:rPr>
          <w:rStyle w:val="optioncarChar"/>
        </w:rPr>
        <w:t>3.5  / 5</w:t>
      </w:r>
      <w:r>
        <w:t xml:space="preserve"> (par défaut) MPa</w:t>
      </w:r>
    </w:p>
    <w:p w14:paraId="2AD5931E" w14:textId="77777777" w:rsidR="004B2808" w:rsidRDefault="00000000">
      <w:pPr>
        <w:jc w:val="both"/>
      </w:pPr>
      <w:r>
        <w:t xml:space="preserve">Classe de planéité : </w:t>
      </w:r>
      <w:r>
        <w:rPr>
          <w:rStyle w:val="optioncarChar"/>
        </w:rPr>
        <w:t xml:space="preserve">1 / 2 </w:t>
      </w:r>
      <w:r>
        <w:t xml:space="preserve">(par défaut) </w:t>
      </w:r>
      <w:r>
        <w:rPr>
          <w:rStyle w:val="optioncarChar"/>
        </w:rPr>
        <w:t>/ 3 </w:t>
      </w:r>
      <w:r>
        <w:t xml:space="preserve"> ([NIT 189] §4.2.3).</w:t>
      </w:r>
    </w:p>
    <w:p w14:paraId="5E79AD3B" w14:textId="77777777" w:rsidR="004B2808" w:rsidRDefault="00000000">
      <w:pPr>
        <w:jc w:val="both"/>
      </w:pPr>
      <w:r>
        <w:t xml:space="preserve">Epaisseur chape non armée : minimum </w:t>
      </w:r>
      <w:r>
        <w:rPr>
          <w:rStyle w:val="optioncarChar"/>
        </w:rPr>
        <w:t>5 </w:t>
      </w:r>
      <w:r>
        <w:t>(par défaut)</w:t>
      </w:r>
      <w:r>
        <w:rPr>
          <w:rStyle w:val="optioncarChar"/>
        </w:rPr>
        <w:t xml:space="preserve"> / 6 / ***</w:t>
      </w:r>
      <w:r>
        <w:t xml:space="preserve"> cm.</w:t>
      </w:r>
    </w:p>
    <w:p w14:paraId="7CF78746" w14:textId="77777777" w:rsidR="004B2808" w:rsidRDefault="00000000">
      <w:pPr>
        <w:jc w:val="both"/>
      </w:pPr>
      <w:r>
        <w:t xml:space="preserve">Epaisseur chape légèrement armée : minimum </w:t>
      </w:r>
      <w:r>
        <w:rPr>
          <w:rStyle w:val="optioncarChar"/>
        </w:rPr>
        <w:t>6</w:t>
      </w:r>
      <w:r>
        <w:t> (par défaut)</w:t>
      </w:r>
      <w:r>
        <w:rPr>
          <w:rStyle w:val="optioncarChar"/>
        </w:rPr>
        <w:t xml:space="preserve"> / 7 / ***</w:t>
      </w:r>
      <w:r>
        <w:t xml:space="preserve"> cm.</w:t>
      </w:r>
    </w:p>
    <w:p w14:paraId="3F0D7646" w14:textId="77777777" w:rsidR="004B2808" w:rsidRDefault="00000000">
      <w:pPr>
        <w:pStyle w:val="pheading"/>
      </w:pPr>
      <w:r>
        <w:t>- Prescriptions complémentaires</w:t>
      </w:r>
    </w:p>
    <w:p w14:paraId="027F405D" w14:textId="77777777" w:rsidR="004B2808" w:rsidRDefault="00000000">
      <w:pPr>
        <w:jc w:val="both"/>
      </w:pPr>
      <w:r>
        <w:rPr>
          <w:rStyle w:val="facultChar"/>
        </w:rPr>
        <w:t>Résistance à la compression sur 2 échantillons : minimum 8N/mm² (méthode d'essai selon la [NIT 189] §4.3.2).</w:t>
      </w:r>
    </w:p>
    <w:p w14:paraId="66D4D699" w14:textId="77777777" w:rsidR="004B2808" w:rsidRDefault="00000000">
      <w:pPr>
        <w:pStyle w:val="pheading"/>
      </w:pPr>
      <w:r>
        <w:t>EXÉCUTION / MISE EN ŒUVRE</w:t>
      </w:r>
    </w:p>
    <w:p w14:paraId="0E3988E0" w14:textId="77777777" w:rsidR="004B2808" w:rsidRDefault="00000000">
      <w:pPr>
        <w:pStyle w:val="pheading"/>
      </w:pPr>
      <w:r>
        <w:t>- Prescriptions générales</w:t>
      </w:r>
    </w:p>
    <w:p w14:paraId="5044A2F6" w14:textId="77777777" w:rsidR="004B2808" w:rsidRDefault="00000000">
      <w:pPr>
        <w:jc w:val="both"/>
      </w:pPr>
      <w:r>
        <w:t>Les chapes sont mises en œuvre selon le §4.1 de la [NIT 193]. L'aire de pose est préalablement humidifiée et enduite à la brosse d'une couche d'adhérence composée d'un mélange liquide de ciment, de sable et d'additifs. On ne prévoit pas de joints de retrait dans la chape</w:t>
      </w:r>
    </w:p>
    <w:p w14:paraId="742C89EF" w14:textId="77777777" w:rsidR="004B2808" w:rsidRDefault="00000000">
      <w:pPr>
        <w:jc w:val="both"/>
      </w:pPr>
      <w:r>
        <w:rPr>
          <w:b/>
        </w:rPr>
        <w:t>Chapes ordinaires - adhérentes / non armées</w:t>
      </w:r>
    </w:p>
    <w:p w14:paraId="6BB49C78" w14:textId="77777777" w:rsidR="004B2808" w:rsidRDefault="00000000">
      <w:pPr>
        <w:pStyle w:val="Author-eListParagraph"/>
        <w:numPr>
          <w:ilvl w:val="0"/>
          <w:numId w:val="491"/>
        </w:numPr>
        <w:jc w:val="both"/>
      </w:pPr>
      <w:r>
        <w:t>On ne peut intégrer des conduites et/ou des gaines dans les chapes.</w:t>
      </w:r>
    </w:p>
    <w:p w14:paraId="0AE3912C" w14:textId="77777777" w:rsidR="004B2808" w:rsidRDefault="00000000">
      <w:pPr>
        <w:pStyle w:val="Author-eListParagraph"/>
        <w:numPr>
          <w:ilvl w:val="0"/>
          <w:numId w:val="491"/>
        </w:numPr>
        <w:jc w:val="both"/>
      </w:pPr>
      <w:r>
        <w:t>Une isolation périphérique est appliquée sur tous les murs. Celle-ci se compose de bandes de polystyrène ou similaire et dépasse de quelques cm au-dessus du niveau du sol fini. Après l'exécution des revêtements de sol, elles sont coupées à ras.</w:t>
      </w:r>
    </w:p>
    <w:p w14:paraId="5744F5E9" w14:textId="77777777" w:rsidR="004B2808" w:rsidRDefault="00000000">
      <w:pPr>
        <w:jc w:val="both"/>
      </w:pPr>
      <w:r>
        <w:rPr>
          <w:b/>
        </w:rPr>
        <w:t>Chapes ordinaires - adhérentes / légèrement armées</w:t>
      </w:r>
    </w:p>
    <w:p w14:paraId="0B9ADCF1" w14:textId="77777777" w:rsidR="004B2808" w:rsidRDefault="00000000">
      <w:pPr>
        <w:jc w:val="both"/>
      </w:pPr>
      <w:r>
        <w:t xml:space="preserve">La chape est pourvue d'une armature composée </w:t>
      </w:r>
      <w:r>
        <w:rPr>
          <w:rStyle w:val="optioncarChar"/>
        </w:rPr>
        <w:t xml:space="preserve">d’un treillis en métal galvanisé </w:t>
      </w:r>
      <w:r>
        <w:t>(par défaut)</w:t>
      </w:r>
      <w:r>
        <w:rPr>
          <w:rStyle w:val="optioncarChar"/>
        </w:rPr>
        <w:t xml:space="preserve"> / de fibres de polypropylène.</w:t>
      </w:r>
    </w:p>
    <w:p w14:paraId="4F1AAF3D" w14:textId="77777777" w:rsidR="004B2808" w:rsidRDefault="00000000">
      <w:pPr>
        <w:ind w:left="567"/>
        <w:jc w:val="both"/>
      </w:pPr>
      <w:r>
        <w:rPr>
          <w:b/>
          <w:i/>
        </w:rPr>
        <w:t>(Soit par défaut)</w:t>
      </w:r>
    </w:p>
    <w:p w14:paraId="4DC19F03" w14:textId="77777777" w:rsidR="004B2808" w:rsidRDefault="00000000">
      <w:pPr>
        <w:ind w:left="567"/>
        <w:jc w:val="both"/>
      </w:pPr>
      <w:r>
        <w:rPr>
          <w:rStyle w:val="soitChar"/>
          <w:b/>
          <w:u w:val="single"/>
        </w:rPr>
        <w:t>Treillis en métal galvanisé</w:t>
      </w:r>
      <w:r>
        <w:rPr>
          <w:rStyle w:val="soitChar"/>
        </w:rPr>
        <w:t>, aux mailles carrées</w:t>
      </w:r>
      <w:r>
        <w:t xml:space="preserve">  </w:t>
      </w:r>
      <w:r>
        <w:rPr>
          <w:rStyle w:val="optioncarChar"/>
        </w:rPr>
        <w:t>38 x 38 x 1 </w:t>
      </w:r>
      <w:r>
        <w:t>(par défaut) </w:t>
      </w:r>
      <w:r>
        <w:rPr>
          <w:rStyle w:val="optioncarChar"/>
        </w:rPr>
        <w:t>/ ***</w:t>
      </w:r>
      <w:r>
        <w:t> </w:t>
      </w:r>
      <w:r>
        <w:rPr>
          <w:rStyle w:val="soitChar"/>
        </w:rPr>
        <w:t>mm.</w:t>
      </w:r>
    </w:p>
    <w:p w14:paraId="17FE067E" w14:textId="77777777" w:rsidR="004B2808" w:rsidRDefault="00000000">
      <w:pPr>
        <w:ind w:left="567"/>
        <w:jc w:val="both"/>
      </w:pPr>
      <w:r>
        <w:rPr>
          <w:b/>
          <w:i/>
        </w:rPr>
        <w:t>(Soit)</w:t>
      </w:r>
    </w:p>
    <w:p w14:paraId="074BBF6E" w14:textId="77777777" w:rsidR="004B2808" w:rsidRDefault="00000000">
      <w:pPr>
        <w:ind w:left="567"/>
        <w:jc w:val="both"/>
      </w:pPr>
      <w:r>
        <w:rPr>
          <w:rStyle w:val="soitChar"/>
          <w:b/>
          <w:u w:val="single"/>
        </w:rPr>
        <w:t>Fibres de polypropylène</w:t>
      </w:r>
      <w:r>
        <w:rPr>
          <w:rStyle w:val="soitChar"/>
        </w:rPr>
        <w:t xml:space="preserve"> à raison de </w:t>
      </w:r>
      <w:r>
        <w:rPr>
          <w:rStyle w:val="optioncarChar"/>
        </w:rPr>
        <w:t>900</w:t>
      </w:r>
      <w:r>
        <w:t> (par défaut)</w:t>
      </w:r>
      <w:r>
        <w:rPr>
          <w:rStyle w:val="optioncarChar"/>
        </w:rPr>
        <w:t> / ***</w:t>
      </w:r>
      <w:r>
        <w:rPr>
          <w:rStyle w:val="soitChar"/>
        </w:rPr>
        <w:t> gr/m³. Le mélange des fibres dans le mortier s'effectue selon les directives du fabricant. Le mortier est ensuite mis en œuvre au moyen d'une pompe rotative (sans pression d'air). Un procès-verbal d’essai relatif à l’emploi et à la fonction des fibres peut être demandé auprès du fabricant.</w:t>
      </w:r>
    </w:p>
    <w:p w14:paraId="7FFBA684" w14:textId="77777777" w:rsidR="004B2808" w:rsidRDefault="00000000">
      <w:pPr>
        <w:pStyle w:val="pheading"/>
      </w:pPr>
      <w:r>
        <w:t>DOCUMENTS DE RÉFÉRENCE COMPLÉMENTAIRES</w:t>
      </w:r>
    </w:p>
    <w:p w14:paraId="743001B2" w14:textId="77777777" w:rsidR="004B2808" w:rsidRDefault="00000000">
      <w:pPr>
        <w:pStyle w:val="pheading"/>
      </w:pPr>
      <w:r>
        <w:t>- Matériau</w:t>
      </w:r>
    </w:p>
    <w:p w14:paraId="70BE11A8" w14:textId="77777777" w:rsidR="004B2808" w:rsidRDefault="00000000">
      <w:r>
        <w:t>[NBN EN 459-1, Chaux de construction - Partie 1: Définitions, spécifications et critères de conformité]</w:t>
      </w:r>
    </w:p>
    <w:p w14:paraId="46B84DF2" w14:textId="77777777" w:rsidR="004B2808" w:rsidRDefault="00000000">
      <w:r>
        <w:t>[NBN EN 459-2, Chaux de construction - Partie 2: Méthodes d’essai]</w:t>
      </w:r>
    </w:p>
    <w:p w14:paraId="279316C1" w14:textId="77777777" w:rsidR="004B2808" w:rsidRDefault="00000000">
      <w:r>
        <w:t>[NIT 189, Les chapes pour couvre-sols. 1ère partie : Matériaux - Performances - Réception.]</w:t>
      </w:r>
    </w:p>
    <w:p w14:paraId="50DCBBC9" w14:textId="77777777" w:rsidR="004B2808" w:rsidRDefault="00000000">
      <w:pPr>
        <w:pStyle w:val="pheading"/>
      </w:pPr>
      <w:r>
        <w:t>- Exécution</w:t>
      </w:r>
    </w:p>
    <w:p w14:paraId="3F1CE769" w14:textId="77777777" w:rsidR="004B2808" w:rsidRDefault="00000000">
      <w:r>
        <w:t>[NIT 193, Les chapes. 2e partie: Mise en oeuvre.]</w:t>
      </w:r>
    </w:p>
    <w:p w14:paraId="52E6755E" w14:textId="77777777" w:rsidR="004B2808" w:rsidRDefault="00000000">
      <w:r>
        <w:t>[Eyrolles Chaux, Ecole d'Avignon - Techniques et pratique de la chaux]</w:t>
      </w:r>
    </w:p>
    <w:p w14:paraId="6E318943" w14:textId="77777777" w:rsidR="004B2808" w:rsidRDefault="00000000">
      <w:r>
        <w:t>[AWAP Chaux, Van Baelen et al. - Le livre de la chaux - L'utilisation de la chaux comme liant pour mortiers de construction et de jointoiement de l'origine à nos jours]</w:t>
      </w:r>
    </w:p>
    <w:p w14:paraId="7D6BC1AD" w14:textId="77777777" w:rsidR="004B2808" w:rsidRDefault="00000000">
      <w:pPr>
        <w:pStyle w:val="pheading"/>
      </w:pPr>
      <w:r>
        <w:t>MESURAGE</w:t>
      </w:r>
    </w:p>
    <w:p w14:paraId="29F2113F" w14:textId="77777777" w:rsidR="004B2808" w:rsidRDefault="00000000">
      <w:pPr>
        <w:pStyle w:val="pheading"/>
      </w:pPr>
      <w:r>
        <w:t>- unité de mesure:</w:t>
      </w:r>
    </w:p>
    <w:p w14:paraId="468C5A0E" w14:textId="77777777" w:rsidR="004B2808" w:rsidRDefault="00000000">
      <w:r>
        <w:t>m²</w:t>
      </w:r>
    </w:p>
    <w:p w14:paraId="11679F75" w14:textId="77777777" w:rsidR="004B2808" w:rsidRDefault="00000000">
      <w:pPr>
        <w:pStyle w:val="pheading"/>
      </w:pPr>
      <w:r>
        <w:lastRenderedPageBreak/>
        <w:t>- code de mesurage:</w:t>
      </w:r>
    </w:p>
    <w:p w14:paraId="4F5D1336" w14:textId="77777777" w:rsidR="004B2808" w:rsidRDefault="00000000">
      <w:pPr>
        <w:jc w:val="both"/>
      </w:pPr>
      <w:r>
        <w:rPr>
          <w:color w:val="000000"/>
        </w:rPr>
        <w:t xml:space="preserve">La </w:t>
      </w:r>
      <w:r>
        <w:rPr>
          <w:b/>
          <w:color w:val="000000"/>
        </w:rPr>
        <w:t>surface nette</w:t>
      </w:r>
      <w:r>
        <w:rPr>
          <w:color w:val="000000"/>
        </w:rPr>
        <w:t xml:space="preserve"> apparente des éléments.</w:t>
      </w:r>
    </w:p>
    <w:p w14:paraId="40B6D1F0" w14:textId="77777777" w:rsidR="004B2808" w:rsidRDefault="00000000">
      <w:pPr>
        <w:pStyle w:val="pheading"/>
      </w:pPr>
      <w:r>
        <w:t>- nature du marché:</w:t>
      </w:r>
    </w:p>
    <w:p w14:paraId="40A0BD6D" w14:textId="77777777" w:rsidR="004B2808" w:rsidRDefault="00000000">
      <w:r>
        <w:rPr>
          <w:rStyle w:val="optioncarChar"/>
        </w:rPr>
        <w:t>QF</w:t>
      </w:r>
      <w:r>
        <w:t xml:space="preserve"> (par défaut) </w:t>
      </w:r>
      <w:r>
        <w:rPr>
          <w:rStyle w:val="optioncarChar"/>
        </w:rPr>
        <w:t>/ QP</w:t>
      </w:r>
    </w:p>
    <w:p w14:paraId="718FE53F" w14:textId="77777777" w:rsidR="004B2808" w:rsidRDefault="00000000">
      <w:pPr>
        <w:pStyle w:val="pheading"/>
      </w:pPr>
      <w:r>
        <w:t>AIDE</w:t>
      </w:r>
    </w:p>
    <w:p w14:paraId="385A9C3F" w14:textId="77777777" w:rsidR="004B2808" w:rsidRDefault="00000000">
      <w:pPr>
        <w:jc w:val="both"/>
      </w:pPr>
      <w:r>
        <w:t>La chape est posée en adhérence sur l'aire de pose lorsque celle-ci est stable et solide (sans fissures actives) et exempte d'humidité qui risque d'être nuisible à la chape ou au revêtement du sol.</w:t>
      </w:r>
    </w:p>
    <w:p w14:paraId="0728E832" w14:textId="77777777" w:rsidR="004B2808" w:rsidRDefault="00000000">
      <w:pPr>
        <w:pStyle w:val="Author-eSectionHeading4Numberless"/>
      </w:pPr>
      <w:bookmarkStart w:id="546" w:name="_Toc220490716"/>
      <w:r>
        <w:t>53.22 Chapes non adhérentes CCTB 01.02</w:t>
      </w:r>
      <w:bookmarkEnd w:id="546"/>
    </w:p>
    <w:p w14:paraId="47606855" w14:textId="77777777" w:rsidR="004B2808" w:rsidRDefault="00000000">
      <w:pPr>
        <w:pStyle w:val="pheading"/>
      </w:pPr>
      <w:bookmarkStart w:id="547" w:name="1125"/>
      <w:bookmarkEnd w:id="547"/>
      <w:r>
        <w:t>DESCRIPTION</w:t>
      </w:r>
    </w:p>
    <w:p w14:paraId="588F5820" w14:textId="77777777" w:rsidR="004B2808" w:rsidRDefault="00000000">
      <w:pPr>
        <w:pStyle w:val="pheading"/>
      </w:pPr>
      <w:r>
        <w:t>- Définition / Comprend</w:t>
      </w:r>
    </w:p>
    <w:p w14:paraId="0E3495E6" w14:textId="77777777" w:rsidR="004B2808" w:rsidRDefault="00000000">
      <w:r>
        <w:t>Chape isolée du plancher porteur par une membrane de désolidarisation. Elle n'adhère en aucun point de support, qui doit être plan, sans obstacles, et, si nécessaire, préalablement pourvu d'une couche de remplissage (enrobage des tuyauteries, ...)</w:t>
      </w:r>
    </w:p>
    <w:p w14:paraId="12675CF8" w14:textId="77777777" w:rsidR="004B2808" w:rsidRDefault="00000000">
      <w:pPr>
        <w:pStyle w:val="Author-eSectionHeading5Numberless"/>
      </w:pPr>
      <w:bookmarkStart w:id="548" w:name="_Toc220490717"/>
      <w:r>
        <w:t>53.22.1 Chapes non adhérentes à base de ciment CCTB 01.02</w:t>
      </w:r>
      <w:bookmarkEnd w:id="548"/>
    </w:p>
    <w:p w14:paraId="2266435A" w14:textId="77777777" w:rsidR="004B2808" w:rsidRDefault="00000000">
      <w:pPr>
        <w:pStyle w:val="Author-eSectionHeading6Numberless"/>
      </w:pPr>
      <w:bookmarkStart w:id="549" w:name="_Toc220490718"/>
      <w:r>
        <w:t>53.22.1a Chapes non adhérentes à base de ciment CCTB 01.10</w:t>
      </w:r>
      <w:bookmarkEnd w:id="549"/>
    </w:p>
    <w:p w14:paraId="4832A272" w14:textId="77777777" w:rsidR="004B2808" w:rsidRDefault="00000000">
      <w:pPr>
        <w:pStyle w:val="pheading"/>
      </w:pPr>
      <w:r>
        <w:t>DESCRIPTION</w:t>
      </w:r>
    </w:p>
    <w:p w14:paraId="598EC595" w14:textId="77777777" w:rsidR="004B2808" w:rsidRDefault="00000000">
      <w:pPr>
        <w:pStyle w:val="pheading"/>
      </w:pPr>
      <w:r>
        <w:t>- Localisation</w:t>
      </w:r>
    </w:p>
    <w:p w14:paraId="553EBA9F" w14:textId="77777777" w:rsidR="004B2808" w:rsidRDefault="00000000">
      <w:r>
        <w:rPr>
          <w:u w:val="single"/>
        </w:rPr>
        <w:t xml:space="preserve">Note à l' attention de l'auteur de projet </w:t>
      </w:r>
    </w:p>
    <w:p w14:paraId="628A4944" w14:textId="77777777" w:rsidR="004B2808" w:rsidRDefault="00000000">
      <w:r>
        <w:t>Les chapes sont mises en œuvre de manière non adhérente lorsque l'aire de pose n'offre pas la cohérence nécessaire ou est très poreuse (par ex. un support en béton-mousse), Lorsqu'elle se compose d'éléments fractionnaires (par exemple, un ancien carrelage) ou lorsqu'elle est soumise à d'importantes déformations et/ou fissurations actives ou lorsqu'il y a risque d'humidité ascensionnelle et lorsque le revêtement de sol et/ou sa technique de mise en œuvre sont sensibles à l'humidité.</w:t>
      </w:r>
    </w:p>
    <w:p w14:paraId="6E2997EE" w14:textId="77777777" w:rsidR="004B2808" w:rsidRDefault="00000000">
      <w:pPr>
        <w:pStyle w:val="pheading"/>
      </w:pPr>
      <w:r>
        <w:t>MATÉRIAUX</w:t>
      </w:r>
    </w:p>
    <w:p w14:paraId="4CB68AAF" w14:textId="77777777" w:rsidR="004B2808" w:rsidRDefault="00000000">
      <w:pPr>
        <w:pStyle w:val="pheading"/>
      </w:pPr>
      <w:r>
        <w:t>- Caractéristiques générales</w:t>
      </w:r>
    </w:p>
    <w:p w14:paraId="11F333EB" w14:textId="77777777" w:rsidR="004B2808" w:rsidRDefault="00000000">
      <w:r>
        <w:t>Les chapes à base de ciment doivent satisfaire aux dispositions de la [NIT 189] §5. La composition est déterminée par l'entrepreneur, compte tenu des directives du §5.4 de la [NIT 189] et §4.1.2 de la [NIT 193] .</w:t>
      </w:r>
    </w:p>
    <w:p w14:paraId="3A1B77C4" w14:textId="77777777" w:rsidR="004B2808" w:rsidRDefault="00000000">
      <w:pPr>
        <w:pStyle w:val="heading"/>
      </w:pPr>
      <w:r>
        <w:t>Spécifications</w:t>
      </w:r>
    </w:p>
    <w:p w14:paraId="4ACE7949" w14:textId="77777777" w:rsidR="004B2808" w:rsidRDefault="00000000">
      <w:pPr>
        <w:pStyle w:val="Author-eListParagraph"/>
        <w:numPr>
          <w:ilvl w:val="0"/>
          <w:numId w:val="492"/>
        </w:numPr>
      </w:pPr>
      <w:r>
        <w:t>Résistance à la compression sur 2 échantillons : minimum 8N/mm² (méthode d'essai selon la [NIT 189] §4.3.2).</w:t>
      </w:r>
    </w:p>
    <w:p w14:paraId="6E0FD29D" w14:textId="77777777" w:rsidR="004B2808" w:rsidRDefault="00000000">
      <w:pPr>
        <w:pStyle w:val="Author-eListParagraph"/>
        <w:numPr>
          <w:ilvl w:val="0"/>
          <w:numId w:val="492"/>
        </w:numPr>
      </w:pPr>
      <w:r>
        <w:t xml:space="preserve">Classe de planéité : </w:t>
      </w:r>
      <w:r>
        <w:rPr>
          <w:rStyle w:val="optioncarChar"/>
        </w:rPr>
        <w:t>2 </w:t>
      </w:r>
      <w:r>
        <w:t>(par défaut)</w:t>
      </w:r>
      <w:r>
        <w:rPr>
          <w:rStyle w:val="optioncarChar"/>
        </w:rPr>
        <w:t xml:space="preserve"> / ***  </w:t>
      </w:r>
      <w:r>
        <w:t>([NIT 189] § 4.2.3).</w:t>
      </w:r>
    </w:p>
    <w:p w14:paraId="700FBCDB" w14:textId="77777777" w:rsidR="004B2808" w:rsidRDefault="00000000">
      <w:pPr>
        <w:pStyle w:val="Author-eListParagraph"/>
        <w:numPr>
          <w:ilvl w:val="0"/>
          <w:numId w:val="492"/>
        </w:numPr>
      </w:pPr>
      <w:r>
        <w:t xml:space="preserve">Epaisseur : </w:t>
      </w:r>
      <w:r>
        <w:rPr>
          <w:rStyle w:val="optioncarChar"/>
        </w:rPr>
        <w:t xml:space="preserve">5 </w:t>
      </w:r>
      <w:r>
        <w:t>(par défaut) </w:t>
      </w:r>
      <w:r>
        <w:rPr>
          <w:rStyle w:val="optioncarChar"/>
        </w:rPr>
        <w:t xml:space="preserve">/ 6 / 7 / *** </w:t>
      </w:r>
      <w:r>
        <w:t>cm.</w:t>
      </w:r>
    </w:p>
    <w:p w14:paraId="26CD0616" w14:textId="77777777" w:rsidR="004B2808" w:rsidRDefault="00000000">
      <w:pPr>
        <w:pStyle w:val="pheading"/>
      </w:pPr>
      <w:r>
        <w:t>EXÉCUTION / MISE EN ŒUVRE</w:t>
      </w:r>
    </w:p>
    <w:p w14:paraId="226F3C75" w14:textId="77777777" w:rsidR="004B2808" w:rsidRDefault="00000000">
      <w:pPr>
        <w:pStyle w:val="pheading"/>
      </w:pPr>
      <w:r>
        <w:t>- Prescriptions générales</w:t>
      </w:r>
    </w:p>
    <w:p w14:paraId="206F0C67" w14:textId="77777777" w:rsidR="004B2808" w:rsidRDefault="00000000">
      <w:r>
        <w:t>Les chapes sont mises en œuvre selon le §4.2 de la [NIT 193] et sont équipées de:</w:t>
      </w:r>
    </w:p>
    <w:p w14:paraId="5F3B9239" w14:textId="77777777" w:rsidR="004B2808" w:rsidRDefault="00000000">
      <w:r>
        <w:t xml:space="preserve">Choix opéré : </w:t>
      </w:r>
      <w:r>
        <w:rPr>
          <w:rStyle w:val="optioncarChar"/>
        </w:rPr>
        <w:t>*** / OPTION 1 (métal) </w:t>
      </w:r>
      <w:r>
        <w:t>(par défaut)</w:t>
      </w:r>
      <w:r>
        <w:rPr>
          <w:rStyle w:val="optioncarChar"/>
        </w:rPr>
        <w:t xml:space="preserve"> / OPTION 2 (polypropylène)</w:t>
      </w:r>
    </w:p>
    <w:p w14:paraId="0B658780" w14:textId="77777777" w:rsidR="004B2808" w:rsidRDefault="00000000">
      <w:r>
        <w:rPr>
          <w:b/>
        </w:rPr>
        <w:t>***OPTION 1 (par défaut)</w:t>
      </w:r>
      <w:r>
        <w:t xml:space="preserve"> : un treillis </w:t>
      </w:r>
      <w:r>
        <w:rPr>
          <w:rStyle w:val="optioncarChar"/>
        </w:rPr>
        <w:t>38 x 38 x 1</w:t>
      </w:r>
      <w:r>
        <w:t> (par défaut)</w:t>
      </w:r>
      <w:r>
        <w:rPr>
          <w:rStyle w:val="optioncarChar"/>
        </w:rPr>
        <w:t> / *** </w:t>
      </w:r>
      <w:r>
        <w:t>mm.</w:t>
      </w:r>
      <w:r>
        <w:br/>
      </w:r>
      <w:r>
        <w:rPr>
          <w:b/>
        </w:rPr>
        <w:t>***OPTION 2</w:t>
      </w:r>
      <w:r>
        <w:t xml:space="preserve"> : fibres de polypropylène à raison de </w:t>
      </w:r>
      <w:r>
        <w:rPr>
          <w:rStyle w:val="optioncarChar"/>
        </w:rPr>
        <w:t>900</w:t>
      </w:r>
      <w:r>
        <w:t> (par défaut)</w:t>
      </w:r>
      <w:r>
        <w:rPr>
          <w:rStyle w:val="optioncarChar"/>
        </w:rPr>
        <w:t> / ***</w:t>
      </w:r>
      <w:r>
        <w:t> gr/m³. Le mélange des fibres dans le mortier s'effectue selon les directives du fabricant . Le mortier est ensuite mis en œuvre au moyen d'une pompe rotative (sans pression d'air). Un procès-verbal d’essai relatif à l’emploi et à la fonction des fibres peut être demandé auprès du fabricant.</w:t>
      </w:r>
    </w:p>
    <w:p w14:paraId="510BF777" w14:textId="77777777" w:rsidR="004B2808" w:rsidRDefault="00000000">
      <w:r>
        <w:lastRenderedPageBreak/>
        <w:t>Des joints de dilatation sont mis en œuvre afin de limiter les surfaces à 50m² et la longueur à 8 m . Les joints de dilatation des chapes coïncident avec ceux du revêtement de sol et sont terminés selon le §6.1.2.1 de la [NIT 193] . Les chapes armées non adhérentes sont séparées de l'aire de pose par une feuille de désolidarisation prévue sous le chapitre </w:t>
      </w:r>
      <w:hyperlink w:anchor="801" w:history="1">
        <w:r w:rsidR="004B2808">
          <w:rPr>
            <w:shd w:val="clear" w:color="auto" w:fill="FFFFFF"/>
          </w:rPr>
          <w:t>52.11.</w:t>
        </w:r>
      </w:hyperlink>
    </w:p>
    <w:p w14:paraId="53217263" w14:textId="77777777" w:rsidR="004B2808" w:rsidRDefault="00000000">
      <w:pPr>
        <w:pStyle w:val="pheading"/>
      </w:pPr>
      <w:r>
        <w:t>MESURAGE</w:t>
      </w:r>
    </w:p>
    <w:p w14:paraId="452E17DB" w14:textId="77777777" w:rsidR="004B2808" w:rsidRDefault="00000000">
      <w:r>
        <w:t>Conformément aux indications spécifiques dans le cahier spécial des charges et/ou le métré récapitulatif, le mesurage doit toujours être conçu comme suit :</w:t>
      </w:r>
    </w:p>
    <w:p w14:paraId="145608E0" w14:textId="77777777" w:rsidR="004B2808" w:rsidRDefault="00000000">
      <w:pPr>
        <w:pStyle w:val="pheading"/>
      </w:pPr>
      <w:r>
        <w:t>- unité de mesure:</w:t>
      </w:r>
    </w:p>
    <w:p w14:paraId="439F2475" w14:textId="77777777" w:rsidR="004B2808" w:rsidRDefault="00000000">
      <w:r>
        <w:t>m²</w:t>
      </w:r>
    </w:p>
    <w:p w14:paraId="4B46875A" w14:textId="77777777" w:rsidR="004B2808" w:rsidRDefault="00000000">
      <w:pPr>
        <w:pStyle w:val="pheading"/>
      </w:pPr>
      <w:r>
        <w:t>- code de mesurage:</w:t>
      </w:r>
    </w:p>
    <w:p w14:paraId="6BC36248" w14:textId="77777777" w:rsidR="004B2808" w:rsidRDefault="00000000">
      <w:r>
        <w:t>surface nette mesurée entre le nu des murs, calculée sur la base des dimensions nominales en cm. Les baies de porte sont comptées, les ouvertures supérieures à 0,5 m² sont déduites. Le total est arrondi à la première décimale.</w:t>
      </w:r>
    </w:p>
    <w:p w14:paraId="419E5526" w14:textId="77777777" w:rsidR="004B2808" w:rsidRDefault="00000000">
      <w:r>
        <w:t>Le prix est toujours indiqué au m² pour tous les ouvrages et fournitures, y compris les surépaisseurs éventuelles.</w:t>
      </w:r>
    </w:p>
    <w:p w14:paraId="72356958" w14:textId="77777777" w:rsidR="004B2808" w:rsidRDefault="00000000">
      <w:pPr>
        <w:pStyle w:val="pheading"/>
      </w:pPr>
      <w:r>
        <w:t>- nature du marché:</w:t>
      </w:r>
    </w:p>
    <w:p w14:paraId="06174D4F" w14:textId="77777777" w:rsidR="004B2808" w:rsidRDefault="00000000">
      <w:r>
        <w:t>QF</w:t>
      </w:r>
    </w:p>
    <w:p w14:paraId="46FD7863" w14:textId="77777777" w:rsidR="004B2808" w:rsidRDefault="00000000">
      <w:pPr>
        <w:pStyle w:val="Author-eSectionHeading5Numberless"/>
      </w:pPr>
      <w:bookmarkStart w:id="550" w:name="_Toc220490719"/>
      <w:r>
        <w:t>53.22.2 Chapes non adhérentes à base de liant anhydrite (sulfate de calcium) CCTB 01.02</w:t>
      </w:r>
      <w:bookmarkEnd w:id="550"/>
    </w:p>
    <w:p w14:paraId="050039A5" w14:textId="77777777" w:rsidR="004B2808" w:rsidRDefault="00000000">
      <w:pPr>
        <w:pStyle w:val="Author-eSectionHeading6Numberless"/>
      </w:pPr>
      <w:bookmarkStart w:id="551" w:name="_Toc220490720"/>
      <w:r>
        <w:t>53.22.2a Chapes non adhérentes à base de liant anhydrite (sulfate de calcium) CCTB 01.10</w:t>
      </w:r>
      <w:bookmarkEnd w:id="551"/>
    </w:p>
    <w:p w14:paraId="74B033F3" w14:textId="77777777" w:rsidR="004B2808" w:rsidRDefault="00000000">
      <w:pPr>
        <w:pStyle w:val="pheading"/>
      </w:pPr>
      <w:r>
        <w:t>DESCRIPTION</w:t>
      </w:r>
    </w:p>
    <w:p w14:paraId="26C5D648" w14:textId="77777777" w:rsidR="004B2808" w:rsidRDefault="00000000">
      <w:pPr>
        <w:pStyle w:val="pheading"/>
      </w:pPr>
      <w:r>
        <w:t>- Définition / Comprend</w:t>
      </w:r>
    </w:p>
    <w:p w14:paraId="0EBA5C4E" w14:textId="77777777" w:rsidR="004B2808" w:rsidRDefault="00000000">
      <w:r>
        <w:t>Contrairement aux chapes à base de ciment, les 'chapes spéciales' sont fabriquées à partir d'un liant autre que le ciment, telle que l'anhydrite synthétique. Les chapes dites 'autonivelantes' sont généralement composées à base d'anhydrite synthétique telle que l'AB 20.</w:t>
      </w:r>
    </w:p>
    <w:p w14:paraId="1E73CF24" w14:textId="77777777" w:rsidR="004B2808" w:rsidRDefault="00000000">
      <w:pPr>
        <w:pStyle w:val="pheading"/>
      </w:pPr>
      <w:r>
        <w:t>- Localisation</w:t>
      </w:r>
    </w:p>
    <w:p w14:paraId="5BDE5166" w14:textId="77777777" w:rsidR="004B2808" w:rsidRDefault="00000000">
      <w:r>
        <w:t>L'exécution de bandes périphériques et de joints de mouvement est comprise dans cet article.</w:t>
      </w:r>
    </w:p>
    <w:p w14:paraId="7AE58E2B" w14:textId="77777777" w:rsidR="004B2808" w:rsidRDefault="00000000">
      <w:pPr>
        <w:pStyle w:val="pheading"/>
      </w:pPr>
      <w:r>
        <w:t>MATÉRIAUX</w:t>
      </w:r>
    </w:p>
    <w:p w14:paraId="538BF8D6" w14:textId="77777777" w:rsidR="004B2808" w:rsidRDefault="00000000">
      <w:pPr>
        <w:pStyle w:val="pheading"/>
      </w:pPr>
      <w:r>
        <w:t>- Caractéristiques générales</w:t>
      </w:r>
    </w:p>
    <w:p w14:paraId="3BD61544" w14:textId="77777777" w:rsidR="004B2808" w:rsidRDefault="00000000">
      <w:r>
        <w:t>Les chapes non adhérentes à base d'anhydrite synthétique doivent satisfaire aux dispositions du §5 de la [NIT 189]. Le liant de la chape est l'anhydrite synthétique, qui doit répondre au §3.1.2. de la [NIT 189], classe AB20. La composition exacte est déterminée par l'entrepreneur en tenant compte des dispositions du § 5.4 de la [NIT 189] et § 4.1.3 de la [NIT 193].</w:t>
      </w:r>
    </w:p>
    <w:p w14:paraId="1EFA9E48" w14:textId="77777777" w:rsidR="004B2808" w:rsidRDefault="00000000">
      <w:pPr>
        <w:pStyle w:val="heading"/>
      </w:pPr>
      <w:r>
        <w:t>Spécifications</w:t>
      </w:r>
    </w:p>
    <w:p w14:paraId="0F96FC10" w14:textId="77777777" w:rsidR="004B2808" w:rsidRDefault="00000000">
      <w:pPr>
        <w:pStyle w:val="Author-eListParagraph"/>
        <w:numPr>
          <w:ilvl w:val="0"/>
          <w:numId w:val="493"/>
        </w:numPr>
      </w:pPr>
      <w:r>
        <w:t xml:space="preserve">Epaisseur : minimum </w:t>
      </w:r>
      <w:r>
        <w:rPr>
          <w:rStyle w:val="optioncarChar"/>
        </w:rPr>
        <w:t>4</w:t>
      </w:r>
      <w:r>
        <w:t> (par défaut)</w:t>
      </w:r>
      <w:r>
        <w:rPr>
          <w:rStyle w:val="optioncarChar"/>
        </w:rPr>
        <w:t> / ***</w:t>
      </w:r>
      <w:r>
        <w:t> cm</w:t>
      </w:r>
    </w:p>
    <w:p w14:paraId="2E50A55D" w14:textId="77777777" w:rsidR="004B2808" w:rsidRDefault="00000000">
      <w:pPr>
        <w:pStyle w:val="Author-eListParagraph"/>
        <w:numPr>
          <w:ilvl w:val="0"/>
          <w:numId w:val="493"/>
        </w:numPr>
      </w:pPr>
      <w:r>
        <w:t xml:space="preserve">Résistance à la compression sur deux échantillons : minimum </w:t>
      </w:r>
      <w:r>
        <w:rPr>
          <w:rStyle w:val="optioncarChar"/>
        </w:rPr>
        <w:t>8 </w:t>
      </w:r>
      <w:r>
        <w:t>(par défaut)</w:t>
      </w:r>
      <w:r>
        <w:rPr>
          <w:rStyle w:val="optioncarChar"/>
        </w:rPr>
        <w:t xml:space="preserve"> / *** </w:t>
      </w:r>
      <w:r>
        <w:t>N/mm² (méthode d'essai selon la [NIT 189] § 4.3.2)</w:t>
      </w:r>
    </w:p>
    <w:p w14:paraId="66E4B96C" w14:textId="77777777" w:rsidR="004B2808" w:rsidRDefault="00000000">
      <w:pPr>
        <w:pStyle w:val="Author-eListParagraph"/>
        <w:numPr>
          <w:ilvl w:val="0"/>
          <w:numId w:val="493"/>
        </w:numPr>
      </w:pPr>
      <w:r>
        <w:t xml:space="preserve">Classe de planéité : </w:t>
      </w:r>
      <w:r>
        <w:rPr>
          <w:rStyle w:val="optioncarChar"/>
        </w:rPr>
        <w:t>2</w:t>
      </w:r>
      <w:r>
        <w:t> (par défaut)</w:t>
      </w:r>
      <w:r>
        <w:rPr>
          <w:rStyle w:val="optioncarChar"/>
        </w:rPr>
        <w:t> / ***</w:t>
      </w:r>
      <w:r>
        <w:t>  (selon la [NIT 189] § 4.2.3)</w:t>
      </w:r>
    </w:p>
    <w:p w14:paraId="6FAA5FDD" w14:textId="77777777" w:rsidR="004B2808" w:rsidRDefault="00000000">
      <w:pPr>
        <w:pStyle w:val="pheading"/>
      </w:pPr>
      <w:r>
        <w:t>EXÉCUTION / MISE EN ŒUVRE</w:t>
      </w:r>
    </w:p>
    <w:p w14:paraId="762C963F" w14:textId="77777777" w:rsidR="004B2808" w:rsidRDefault="00000000">
      <w:pPr>
        <w:pStyle w:val="pheading"/>
      </w:pPr>
      <w:r>
        <w:t>- Prescriptions générales</w:t>
      </w:r>
    </w:p>
    <w:p w14:paraId="278CDD8F" w14:textId="77777777" w:rsidR="004B2808" w:rsidRDefault="00000000">
      <w:r>
        <w:lastRenderedPageBreak/>
        <w:t>La chape non adhérente à base d'anhydrite synthétique est exécutée conformément aux dispositions du § 4.2 de la [NIT 193]. Il appartient à l'entrepreneur de s'assurer si l'aire de pose satisfait aux exigences de la [NIT 193] et de la mettre, si nécessaire, en condition. La couche de désolidarisation hydrofuge sous la chape est *** / une feuille de PE-feuille (minimum 0,2 mm ) / ***. Elle est posée avec un recouvrement suffisant, les joints sont éventuellement soudés ou collés.</w:t>
      </w:r>
    </w:p>
    <w:p w14:paraId="621C755D" w14:textId="77777777" w:rsidR="004B2808" w:rsidRDefault="00000000">
      <w:r>
        <w:t>Le mortier de chape est fabriqué au malaxeur et est immédiatement mis en œuvre. Les raccords consécutifs aux interruptions de travail dans la pose de la chape sont exécutés en gradins et en crêtes. Le joint est rembourré avec un mélange d’accélérateur de prise et d’anhydrite. Lorsqu'un treillis d'armature est prévu, la chape est exécutée en deux couches fraîches-à-fraîches. Les chapes sont protégées contre la dessiccation trop rapide. Les courants d’air et un rayonnement intense sont à éviter. La chape ne peut être ouverte à la circulation de chantier avant 3 jours.</w:t>
      </w:r>
    </w:p>
    <w:p w14:paraId="78CF5663" w14:textId="77777777" w:rsidR="004B2808" w:rsidRDefault="00000000">
      <w:r>
        <w:rPr>
          <w:b/>
        </w:rPr>
        <w:t>Choix opéré</w:t>
      </w:r>
      <w:r>
        <w:t xml:space="preserve"> : </w:t>
      </w:r>
      <w:r>
        <w:rPr>
          <w:rStyle w:val="optioncarChar"/>
        </w:rPr>
        <w:t>OPTION 1</w:t>
      </w:r>
      <w:r>
        <w:t xml:space="preserve"> (par défaut) </w:t>
      </w:r>
      <w:r>
        <w:rPr>
          <w:rStyle w:val="optioncarChar"/>
        </w:rPr>
        <w:t>/ OPTION 2 / ***</w:t>
      </w:r>
    </w:p>
    <w:p w14:paraId="4531F97E" w14:textId="77777777" w:rsidR="004B2808" w:rsidRDefault="00000000">
      <w:r>
        <w:rPr>
          <w:b/>
        </w:rPr>
        <w:t>***OPTION 1</w:t>
      </w:r>
      <w:r>
        <w:t> </w:t>
      </w:r>
      <w:r>
        <w:rPr>
          <w:b/>
        </w:rPr>
        <w:t>(par défaut)</w:t>
      </w:r>
      <w:r>
        <w:t xml:space="preserve"> : Uniquement aux endroits où l'épaisseur est réduite, la chape est armée d'un </w:t>
      </w:r>
      <w:r>
        <w:rPr>
          <w:rStyle w:val="optioncarChar"/>
        </w:rPr>
        <w:t>*** / treillis galvanisé / treillis en matière synthétique</w:t>
      </w:r>
      <w:r>
        <w:t>.</w:t>
      </w:r>
      <w:r>
        <w:br/>
      </w:r>
      <w:r>
        <w:rPr>
          <w:b/>
        </w:rPr>
        <w:t xml:space="preserve">***OPTION 2 </w:t>
      </w:r>
      <w:r>
        <w:t xml:space="preserve">: Toute la chape est armée d'un </w:t>
      </w:r>
      <w:r>
        <w:rPr>
          <w:rStyle w:val="optioncarChar"/>
        </w:rPr>
        <w:t>*** / treillis galvanisé / treillis en matière synthétique</w:t>
      </w:r>
      <w:r>
        <w:t>.</w:t>
      </w:r>
    </w:p>
    <w:p w14:paraId="293D3569" w14:textId="77777777" w:rsidR="004B2808" w:rsidRDefault="00000000">
      <w:pPr>
        <w:pStyle w:val="pheading"/>
      </w:pPr>
      <w:r>
        <w:t>CONTRÔLES PARTICULIERS</w:t>
      </w:r>
    </w:p>
    <w:p w14:paraId="2C36C06F" w14:textId="77777777" w:rsidR="004B2808" w:rsidRDefault="00000000">
      <w:r>
        <w:t>La tolérance sur les écarts en plus ou en moins entre les niveaux-repères distants de 20 m est de 3 mm au maximum.</w:t>
      </w:r>
    </w:p>
    <w:p w14:paraId="4B811A25" w14:textId="77777777" w:rsidR="004B2808" w:rsidRDefault="00000000">
      <w:pPr>
        <w:pStyle w:val="pheading"/>
      </w:pPr>
      <w:r>
        <w:t>MESURAGE</w:t>
      </w:r>
    </w:p>
    <w:p w14:paraId="32D4E3A5" w14:textId="77777777" w:rsidR="004B2808" w:rsidRDefault="00000000">
      <w:r>
        <w:t>Conformément aux indications spécifiques dans le cahier spécial des charges et/ou le métré récapitulatif, le mesurage doit toujours être conçu comme suit :</w:t>
      </w:r>
    </w:p>
    <w:p w14:paraId="2C2E017E" w14:textId="77777777" w:rsidR="004B2808" w:rsidRDefault="00000000">
      <w:pPr>
        <w:pStyle w:val="pheading"/>
      </w:pPr>
      <w:r>
        <w:t>- unité de mesure:</w:t>
      </w:r>
    </w:p>
    <w:p w14:paraId="7BFBFC5C" w14:textId="77777777" w:rsidR="004B2808" w:rsidRDefault="00000000">
      <w:r>
        <w:t>m²</w:t>
      </w:r>
    </w:p>
    <w:p w14:paraId="0D0D6177" w14:textId="77777777" w:rsidR="004B2808" w:rsidRDefault="00000000">
      <w:pPr>
        <w:pStyle w:val="pheading"/>
      </w:pPr>
      <w:r>
        <w:t>- code de mesurage:</w:t>
      </w:r>
    </w:p>
    <w:p w14:paraId="5560D870" w14:textId="77777777" w:rsidR="004B2808" w:rsidRDefault="00000000">
      <w:r>
        <w:t>surface nette mesurée entre le nu des murs, calculée sur la base des dimensions nominales en cm. Les baies de porte sont comptées, les ouvertures supérieures à 0,5 m² sont déduites. Le total est arrondi à la première décimale.</w:t>
      </w:r>
    </w:p>
    <w:p w14:paraId="7F5C2217" w14:textId="77777777" w:rsidR="004B2808" w:rsidRDefault="00000000">
      <w:r>
        <w:t>Le prix est toujours indiqué au m² pour tous les ouvrages et fournitures, y compris les surépaisseurs éventuelles.</w:t>
      </w:r>
    </w:p>
    <w:p w14:paraId="0C94D1A8" w14:textId="77777777" w:rsidR="004B2808" w:rsidRDefault="00000000">
      <w:pPr>
        <w:pStyle w:val="pheading"/>
      </w:pPr>
      <w:r>
        <w:t>- nature du marché:</w:t>
      </w:r>
    </w:p>
    <w:p w14:paraId="443BD2E7" w14:textId="77777777" w:rsidR="004B2808" w:rsidRDefault="00000000">
      <w:r>
        <w:t>QF</w:t>
      </w:r>
    </w:p>
    <w:p w14:paraId="4616BC96" w14:textId="77777777" w:rsidR="004B2808" w:rsidRDefault="00000000">
      <w:pPr>
        <w:pStyle w:val="pheading"/>
      </w:pPr>
      <w:r>
        <w:t>AIDE</w:t>
      </w:r>
    </w:p>
    <w:p w14:paraId="714DAA12" w14:textId="77777777" w:rsidR="004B2808" w:rsidRDefault="00000000">
      <w:r>
        <w:rPr>
          <w:i/>
          <w:u w:val="single"/>
        </w:rPr>
        <w:t xml:space="preserve">Note à l'attention de l'auteur de projet </w:t>
      </w:r>
      <w:r>
        <w:br/>
        <w:t>Les chapes à base d'anhydrite peuvent être utilisées à condition qu'elles puissent sécher normalement et que, après le séchage, elles ne nécessitent pas une humidification prolongée ou répétée. Il n'est pas habituel d'armer les chapes à base d'anhydrite mais cela peut s'avérer nécessaire pour les grandes surfaces et pour les chapes soumises à de fréquents mouvements de déformation. Il est tenu compte du risque de formation de rouille sur les treillis en métal dans les chapes qui restent longtemps humides.</w:t>
      </w:r>
    </w:p>
    <w:p w14:paraId="4B825DBD" w14:textId="77777777" w:rsidR="004B2808" w:rsidRDefault="00000000">
      <w:pPr>
        <w:pStyle w:val="Author-eSectionHeading5Numberless"/>
      </w:pPr>
      <w:bookmarkStart w:id="552" w:name="_Toc220490721"/>
      <w:r>
        <w:t>53.22.3 Chapes non adhérentes à base de magnésite CCTB 01.02</w:t>
      </w:r>
      <w:bookmarkEnd w:id="552"/>
    </w:p>
    <w:p w14:paraId="6352F666" w14:textId="77777777" w:rsidR="004B2808" w:rsidRDefault="00000000">
      <w:pPr>
        <w:pStyle w:val="Author-eSectionHeading6Numberless"/>
      </w:pPr>
      <w:bookmarkStart w:id="553" w:name="_Toc220490722"/>
      <w:r>
        <w:t>53.22.3a Chapes non adhérentes à base de magnésite CCTB 01.02</w:t>
      </w:r>
      <w:bookmarkEnd w:id="553"/>
    </w:p>
    <w:p w14:paraId="00C37FA0" w14:textId="77777777" w:rsidR="004B2808" w:rsidRDefault="00000000">
      <w:pPr>
        <w:pStyle w:val="Author-eSectionHeading5Numberless"/>
      </w:pPr>
      <w:bookmarkStart w:id="554" w:name="_Toc220490723"/>
      <w:r>
        <w:t>53.22.4 Chapes non adhérentes, sèches à panneaux/plaques en bois CCTB 01.02</w:t>
      </w:r>
      <w:bookmarkEnd w:id="554"/>
    </w:p>
    <w:p w14:paraId="6703C50F" w14:textId="77777777" w:rsidR="004B2808" w:rsidRDefault="00000000">
      <w:pPr>
        <w:pStyle w:val="Author-eSectionHeading6Numberless"/>
      </w:pPr>
      <w:bookmarkStart w:id="555" w:name="_Toc220490724"/>
      <w:r>
        <w:t>53.22.4a Chapes non adhérentes, sèches, en panneaux en agglomérés traités CCTB 01.02</w:t>
      </w:r>
      <w:bookmarkEnd w:id="555"/>
    </w:p>
    <w:p w14:paraId="16ABC98A" w14:textId="77777777" w:rsidR="004B2808" w:rsidRDefault="00000000">
      <w:pPr>
        <w:pStyle w:val="Author-eSectionHeading6Numberless"/>
      </w:pPr>
      <w:bookmarkStart w:id="556" w:name="_Toc220490725"/>
      <w:r>
        <w:lastRenderedPageBreak/>
        <w:t>53.22.4b Chapes non adhérentes, sèches, en panneaux multiplex CCTB 01.10</w:t>
      </w:r>
      <w:bookmarkEnd w:id="556"/>
    </w:p>
    <w:p w14:paraId="575F6017" w14:textId="77777777" w:rsidR="004B2808" w:rsidRDefault="00000000">
      <w:pPr>
        <w:pStyle w:val="pheading"/>
      </w:pPr>
      <w:bookmarkStart w:id="557" w:name="1252"/>
      <w:bookmarkEnd w:id="557"/>
      <w:r>
        <w:t>MATÉRIAUX</w:t>
      </w:r>
    </w:p>
    <w:p w14:paraId="00F62B99" w14:textId="77777777" w:rsidR="004B2808" w:rsidRDefault="00000000">
      <w:pPr>
        <w:pStyle w:val="pheading"/>
      </w:pPr>
      <w:r>
        <w:t>- Caractéristiques générales</w:t>
      </w:r>
    </w:p>
    <w:p w14:paraId="7EF34CDE" w14:textId="77777777" w:rsidR="004B2808" w:rsidRDefault="00000000">
      <w:r>
        <w:t>Les panneaux de contreplaqué répondent aux spécifications de la norme [NBN EN 636+A1] pour l'application sans risque d'humidité et [NBN EN 636+A1] pour l'application avec risque d'humidité.</w:t>
      </w:r>
    </w:p>
    <w:p w14:paraId="56D8DB02" w14:textId="77777777" w:rsidR="004B2808" w:rsidRDefault="00000000">
      <w:pPr>
        <w:pStyle w:val="pheading"/>
      </w:pPr>
      <w:r>
        <w:t>- Prescriptions complémentaires</w:t>
      </w:r>
    </w:p>
    <w:p w14:paraId="5856B291" w14:textId="77777777" w:rsidR="004B2808" w:rsidRDefault="00000000">
      <w:r>
        <w:t>Epaisseur: </w:t>
      </w:r>
      <w:r>
        <w:rPr>
          <w:rStyle w:val="optioncarChar"/>
        </w:rPr>
        <w:t>12</w:t>
      </w:r>
      <w:r>
        <w:t xml:space="preserve"> (par défaut) </w:t>
      </w:r>
      <w:r>
        <w:rPr>
          <w:rStyle w:val="optioncarChar"/>
        </w:rPr>
        <w:t xml:space="preserve">/ 15 / 18 / 22 / *** </w:t>
      </w:r>
      <w:r>
        <w:t>mm</w:t>
      </w:r>
    </w:p>
    <w:p w14:paraId="110D5286" w14:textId="77777777" w:rsidR="004B2808" w:rsidRDefault="00000000">
      <w:pPr>
        <w:pStyle w:val="pheading"/>
      </w:pPr>
      <w:r>
        <w:t>MESURAGE</w:t>
      </w:r>
    </w:p>
    <w:p w14:paraId="47239D18" w14:textId="77777777" w:rsidR="004B2808" w:rsidRDefault="00000000">
      <w:r>
        <w:t>Conformément aux indications spécifiques dans le cahier spécial des charges et/ou le métré récapitulatif, le mesurage doit toujours être conçu comme suit :</w:t>
      </w:r>
    </w:p>
    <w:p w14:paraId="3C4E8752" w14:textId="77777777" w:rsidR="004B2808" w:rsidRDefault="00000000">
      <w:pPr>
        <w:pStyle w:val="pheading"/>
      </w:pPr>
      <w:r>
        <w:t>- unité de mesure:</w:t>
      </w:r>
    </w:p>
    <w:p w14:paraId="2BAA3A52" w14:textId="77777777" w:rsidR="004B2808" w:rsidRDefault="00000000">
      <w:r>
        <w:t>m²</w:t>
      </w:r>
    </w:p>
    <w:p w14:paraId="3C8C13FC" w14:textId="77777777" w:rsidR="004B2808" w:rsidRDefault="00000000">
      <w:pPr>
        <w:pStyle w:val="pheading"/>
      </w:pPr>
      <w:r>
        <w:t>- code de mesurage:</w:t>
      </w:r>
    </w:p>
    <w:p w14:paraId="64E78D3A" w14:textId="77777777" w:rsidR="004B2808" w:rsidRDefault="00000000">
      <w:r>
        <w:t>Surface nette mesurée entre le nu des murs, calculée sur la base des dimensions nominales en cm. Les baies de porte sont comptées, les ouvertures supérieures à 0,5 m² sont déduites. Le total est arrondi à la première décimale.</w:t>
      </w:r>
    </w:p>
    <w:p w14:paraId="2221CC61" w14:textId="77777777" w:rsidR="004B2808" w:rsidRDefault="00000000">
      <w:r>
        <w:t>Le prix est toujours indiqué au m² pour tous les ouvrages et fournitures, y compris les surépaisseurs éventuelles.</w:t>
      </w:r>
    </w:p>
    <w:p w14:paraId="05AA64B5" w14:textId="77777777" w:rsidR="004B2808" w:rsidRDefault="00000000">
      <w:pPr>
        <w:pStyle w:val="pheading"/>
      </w:pPr>
      <w:r>
        <w:t>- nature du marché:</w:t>
      </w:r>
    </w:p>
    <w:p w14:paraId="74E62175" w14:textId="77777777" w:rsidR="004B2808" w:rsidRDefault="00000000">
      <w:r>
        <w:t>QF</w:t>
      </w:r>
    </w:p>
    <w:p w14:paraId="3B9E7E10" w14:textId="77777777" w:rsidR="004B2808" w:rsidRDefault="00000000">
      <w:pPr>
        <w:pStyle w:val="Author-eSectionHeading6Numberless"/>
      </w:pPr>
      <w:bookmarkStart w:id="558" w:name="_Toc220490726"/>
      <w:r>
        <w:t>53.22.4c Chapes non adhérentes, sèches, en panneaux en contreplaqué marin CCTB 01.02</w:t>
      </w:r>
      <w:bookmarkEnd w:id="558"/>
    </w:p>
    <w:p w14:paraId="4A570FB1" w14:textId="77777777" w:rsidR="004B2808" w:rsidRDefault="00000000">
      <w:pPr>
        <w:pStyle w:val="pheading"/>
      </w:pPr>
      <w:r>
        <w:t>MATÉRIAUX</w:t>
      </w:r>
    </w:p>
    <w:p w14:paraId="0901D804" w14:textId="77777777" w:rsidR="004B2808" w:rsidRDefault="00000000">
      <w:pPr>
        <w:pStyle w:val="pheading"/>
      </w:pPr>
      <w:r>
        <w:t>- Prescriptions complémentaires</w:t>
      </w:r>
    </w:p>
    <w:p w14:paraId="26C8B558" w14:textId="77777777" w:rsidR="004B2808" w:rsidRDefault="00000000">
      <w:r>
        <w:rPr>
          <w:i/>
          <w:u w:val="single"/>
        </w:rPr>
        <w:t>Note pour l'auteur de projet</w:t>
      </w:r>
      <w:r>
        <w:rPr>
          <w:u w:val="single"/>
        </w:rPr>
        <w:t>:</w:t>
      </w:r>
    </w:p>
    <w:p w14:paraId="7CE1CB07" w14:textId="77777777" w:rsidR="004B2808" w:rsidRDefault="00000000">
      <w:r>
        <w:t xml:space="preserve">le panneau en contreplaqué marin correspond au panneau en contreplaqué défini dans l'article </w:t>
      </w:r>
      <w:hyperlink w:anchor="1252" w:history="1">
        <w:r w:rsidR="004B2808">
          <w:rPr>
            <w:color w:val="0000EE"/>
          </w:rPr>
          <w:t>53.22.4b Chapes non adhérentes, sèches, en panneaux multiplex</w:t>
        </w:r>
      </w:hyperlink>
    </w:p>
    <w:p w14:paraId="7D36D87B" w14:textId="77777777" w:rsidR="004B2808" w:rsidRDefault="00000000">
      <w:pPr>
        <w:pStyle w:val="pheading"/>
      </w:pPr>
      <w:r>
        <w:t>MESURAGE</w:t>
      </w:r>
    </w:p>
    <w:p w14:paraId="3C1BDA26" w14:textId="77777777" w:rsidR="004B2808" w:rsidRDefault="00000000">
      <w:r>
        <w:t>Conformément aux indications spécifiques dans le cahier spécial des charges et/ou le métré récapitulatif, le mesurage doit toujours être conçu comme suit :</w:t>
      </w:r>
    </w:p>
    <w:p w14:paraId="138CBA33" w14:textId="77777777" w:rsidR="004B2808" w:rsidRDefault="00000000">
      <w:pPr>
        <w:pStyle w:val="pheading"/>
      </w:pPr>
      <w:r>
        <w:t>- unité de mesure:</w:t>
      </w:r>
    </w:p>
    <w:p w14:paraId="18CFFA91" w14:textId="77777777" w:rsidR="004B2808" w:rsidRDefault="00000000">
      <w:r>
        <w:t>m²</w:t>
      </w:r>
    </w:p>
    <w:p w14:paraId="7DCC3D73" w14:textId="77777777" w:rsidR="004B2808" w:rsidRDefault="00000000">
      <w:pPr>
        <w:pStyle w:val="pheading"/>
      </w:pPr>
      <w:r>
        <w:t>- code de mesurage:</w:t>
      </w:r>
    </w:p>
    <w:p w14:paraId="1F5E6E7F" w14:textId="77777777" w:rsidR="004B2808" w:rsidRDefault="00000000">
      <w:r>
        <w:t>Surface nette mesurée entre le nu des murs, calculée sur la base des dimensions nominales en cm. Les baies de porte sont comptées, les ouvertures supérieures à 0,5 m² sont déduites. Le total est arrondi à la première décimale.</w:t>
      </w:r>
    </w:p>
    <w:p w14:paraId="04C1D296" w14:textId="77777777" w:rsidR="004B2808" w:rsidRDefault="00000000">
      <w:r>
        <w:t>Le prix est toujours indiqué au m² pour tous les ouvrages et fournitures, y compris les surépaisseurs éventuelles.</w:t>
      </w:r>
    </w:p>
    <w:p w14:paraId="1AB86CCE" w14:textId="77777777" w:rsidR="004B2808" w:rsidRDefault="00000000">
      <w:pPr>
        <w:pStyle w:val="pheading"/>
      </w:pPr>
      <w:r>
        <w:t>- nature du marché:</w:t>
      </w:r>
    </w:p>
    <w:p w14:paraId="3032EA09" w14:textId="77777777" w:rsidR="004B2808" w:rsidRDefault="00000000">
      <w:r>
        <w:t>QF</w:t>
      </w:r>
    </w:p>
    <w:p w14:paraId="2C4934E3" w14:textId="77777777" w:rsidR="004B2808" w:rsidRDefault="00000000">
      <w:pPr>
        <w:pStyle w:val="Author-eSectionHeading6Numberless"/>
      </w:pPr>
      <w:bookmarkStart w:id="559" w:name="_Toc220490727"/>
      <w:r>
        <w:t>53.22.4d Chapes non adhérentes, sèches, en panneaux en OSB CCTB 01.10</w:t>
      </w:r>
      <w:bookmarkEnd w:id="559"/>
    </w:p>
    <w:p w14:paraId="0F7EA53C" w14:textId="77777777" w:rsidR="004B2808" w:rsidRDefault="00000000">
      <w:pPr>
        <w:pStyle w:val="pheading"/>
      </w:pPr>
      <w:r>
        <w:lastRenderedPageBreak/>
        <w:t>MATÉRIAUX</w:t>
      </w:r>
    </w:p>
    <w:p w14:paraId="0895AE31" w14:textId="77777777" w:rsidR="004B2808" w:rsidRDefault="00000000">
      <w:pPr>
        <w:pStyle w:val="pheading"/>
      </w:pPr>
      <w:r>
        <w:t>- Caractéristiques générales</w:t>
      </w:r>
    </w:p>
    <w:p w14:paraId="71483489" w14:textId="77777777" w:rsidR="004B2808" w:rsidRDefault="00000000">
      <w:r>
        <w:t>Les panneaux OSB répondent aux spécifications de la norme [NBN EN 300]; ils sont classés OSB1 (OSB2) dans des applications sans risque d'humidité et OSB3 (ou OSB4) dans des applications avec risque d'humidité.</w:t>
      </w:r>
    </w:p>
    <w:p w14:paraId="7A146872" w14:textId="77777777" w:rsidR="004B2808" w:rsidRDefault="00000000">
      <w:pPr>
        <w:pStyle w:val="pheading"/>
      </w:pPr>
      <w:r>
        <w:t>- Prescriptions complémentaires</w:t>
      </w:r>
    </w:p>
    <w:p w14:paraId="7BF7E734" w14:textId="77777777" w:rsidR="004B2808" w:rsidRDefault="00000000">
      <w:r>
        <w:t>Epaisseur :</w:t>
      </w:r>
      <w:r>
        <w:rPr>
          <w:rStyle w:val="optioncarChar"/>
        </w:rPr>
        <w:t> 12</w:t>
      </w:r>
      <w:r>
        <w:t> (par défaut)</w:t>
      </w:r>
      <w:r>
        <w:rPr>
          <w:rStyle w:val="optioncarChar"/>
        </w:rPr>
        <w:t xml:space="preserve"> / 15 / 18 / 22 / ***</w:t>
      </w:r>
      <w:r>
        <w:t xml:space="preserve"> mm </w:t>
      </w:r>
    </w:p>
    <w:p w14:paraId="706DB797" w14:textId="77777777" w:rsidR="004B2808" w:rsidRDefault="00000000">
      <w:pPr>
        <w:pStyle w:val="pheading"/>
      </w:pPr>
      <w:r>
        <w:t>MESURAGE</w:t>
      </w:r>
    </w:p>
    <w:p w14:paraId="3C2905E1" w14:textId="77777777" w:rsidR="004B2808" w:rsidRDefault="00000000">
      <w:r>
        <w:t>Conformément aux indications spécifiques dans le cahier spécial des charges et/ou le métré récapitulatif, le mesurage doit toujours être conçu comme suit :</w:t>
      </w:r>
    </w:p>
    <w:p w14:paraId="0CD3637B" w14:textId="77777777" w:rsidR="004B2808" w:rsidRDefault="00000000">
      <w:pPr>
        <w:pStyle w:val="pheading"/>
      </w:pPr>
      <w:r>
        <w:t>- unité de mesure:</w:t>
      </w:r>
    </w:p>
    <w:p w14:paraId="249C17E3" w14:textId="77777777" w:rsidR="004B2808" w:rsidRDefault="00000000">
      <w:r>
        <w:t>m²</w:t>
      </w:r>
    </w:p>
    <w:p w14:paraId="134D2DC5" w14:textId="77777777" w:rsidR="004B2808" w:rsidRDefault="00000000">
      <w:pPr>
        <w:pStyle w:val="pheading"/>
      </w:pPr>
      <w:r>
        <w:t>- code de mesurage:</w:t>
      </w:r>
    </w:p>
    <w:p w14:paraId="12E18AED" w14:textId="77777777" w:rsidR="004B2808" w:rsidRDefault="00000000">
      <w:r>
        <w:t>Surface nette mesurée entre le nu des murs, calculée sur la base des dimensions nominales en cm. Les baies de porte sont comptées, les ouvertures supérieures à 0,5 m² sont déduites. Le total est arrondi à la première décimale.</w:t>
      </w:r>
    </w:p>
    <w:p w14:paraId="719B6DF4" w14:textId="77777777" w:rsidR="004B2808" w:rsidRDefault="00000000">
      <w:r>
        <w:t>Le prix est toujours indiqué au m² pour tous les ouvrages et fournitures, y compris les surépaisseurs éventuelles.</w:t>
      </w:r>
    </w:p>
    <w:p w14:paraId="72D60AE5" w14:textId="77777777" w:rsidR="004B2808" w:rsidRDefault="00000000">
      <w:pPr>
        <w:pStyle w:val="pheading"/>
      </w:pPr>
      <w:r>
        <w:t>- nature du marché:</w:t>
      </w:r>
    </w:p>
    <w:p w14:paraId="186CEAB4" w14:textId="77777777" w:rsidR="004B2808" w:rsidRDefault="00000000">
      <w:r>
        <w:t>QF</w:t>
      </w:r>
    </w:p>
    <w:p w14:paraId="2574CA71" w14:textId="77777777" w:rsidR="004B2808" w:rsidRDefault="00000000">
      <w:pPr>
        <w:pStyle w:val="Author-eSectionHeading5Numberless"/>
      </w:pPr>
      <w:bookmarkStart w:id="560" w:name="_Toc220490728"/>
      <w:r>
        <w:t>53.22.5 Chapes non adhérentes, sèches à panneaux/plaques à base de fibro-plâtre CCTB 01.02</w:t>
      </w:r>
      <w:bookmarkEnd w:id="560"/>
    </w:p>
    <w:p w14:paraId="0C871CBB" w14:textId="77777777" w:rsidR="004B2808" w:rsidRDefault="00000000">
      <w:pPr>
        <w:pStyle w:val="Author-eSectionHeading6Numberless"/>
      </w:pPr>
      <w:bookmarkStart w:id="561" w:name="_Toc220490729"/>
      <w:r>
        <w:t>53.22.5a Chapes non adhérentes, sèches à panneaux/plaques à base de fibro-plâtre CCTB 01.11</w:t>
      </w:r>
      <w:bookmarkEnd w:id="561"/>
    </w:p>
    <w:p w14:paraId="3665F6F2" w14:textId="77777777" w:rsidR="004B2808" w:rsidRDefault="00000000">
      <w:pPr>
        <w:pStyle w:val="pheading"/>
      </w:pPr>
      <w:r>
        <w:t>DESCRIPTION</w:t>
      </w:r>
    </w:p>
    <w:p w14:paraId="00BF608F" w14:textId="77777777" w:rsidR="004B2808" w:rsidRDefault="00000000">
      <w:pPr>
        <w:pStyle w:val="pheading"/>
      </w:pPr>
      <w:r>
        <w:t>- Définition / Comprend</w:t>
      </w:r>
    </w:p>
    <w:p w14:paraId="48E7FBBB" w14:textId="77777777" w:rsidR="004B2808" w:rsidRDefault="00000000">
      <w:pPr>
        <w:jc w:val="both"/>
      </w:pPr>
      <w:r>
        <w:t>Il s’agit de la fourniture et la pose de chapes sèches à panneaux/plaques à base de fibro-plâtre.</w:t>
      </w:r>
    </w:p>
    <w:p w14:paraId="06B10E1A" w14:textId="77777777" w:rsidR="004B2808" w:rsidRDefault="00000000">
      <w:pPr>
        <w:jc w:val="both"/>
      </w:pPr>
      <w:r>
        <w:t>Le travail comprend notamment :</w:t>
      </w:r>
    </w:p>
    <w:p w14:paraId="5176C03B" w14:textId="77777777" w:rsidR="004B2808" w:rsidRDefault="00000000">
      <w:pPr>
        <w:pStyle w:val="Author-eListParagraph"/>
        <w:numPr>
          <w:ilvl w:val="0"/>
          <w:numId w:val="494"/>
        </w:numPr>
        <w:jc w:val="both"/>
      </w:pPr>
      <w:r>
        <w:t>Nettoyage du support ;</w:t>
      </w:r>
    </w:p>
    <w:p w14:paraId="53B96788" w14:textId="77777777" w:rsidR="004B2808" w:rsidRDefault="00000000">
      <w:pPr>
        <w:pStyle w:val="Author-eListParagraph"/>
        <w:numPr>
          <w:ilvl w:val="0"/>
          <w:numId w:val="494"/>
        </w:numPr>
        <w:jc w:val="both"/>
      </w:pPr>
      <w:r>
        <w:t>Égalisation du support ;</w:t>
      </w:r>
    </w:p>
    <w:p w14:paraId="0AC5ACEB" w14:textId="77777777" w:rsidR="004B2808" w:rsidRDefault="00000000">
      <w:pPr>
        <w:pStyle w:val="Author-eListParagraph"/>
        <w:numPr>
          <w:ilvl w:val="0"/>
          <w:numId w:val="494"/>
        </w:numPr>
        <w:jc w:val="both"/>
      </w:pPr>
      <w:r>
        <w:t xml:space="preserve">Couche d’étanchéité en cas de risque d’humidité ascensionnelle tel que décrit au </w:t>
      </w:r>
      <w:hyperlink w:anchor="801" w:history="1">
        <w:r w:rsidR="004B2808">
          <w:rPr>
            <w:color w:val="0000EE"/>
          </w:rPr>
          <w:t>52.11 Feuilles et membranes d'étanchéité à l'eau</w:t>
        </w:r>
      </w:hyperlink>
      <w:r>
        <w:t> ;</w:t>
      </w:r>
    </w:p>
    <w:p w14:paraId="5C87650C" w14:textId="77777777" w:rsidR="004B2808" w:rsidRDefault="00000000">
      <w:pPr>
        <w:pStyle w:val="Author-eListParagraph"/>
        <w:numPr>
          <w:ilvl w:val="0"/>
          <w:numId w:val="494"/>
        </w:numPr>
        <w:jc w:val="both"/>
      </w:pPr>
      <w:r>
        <w:t>Réalisation de tous percements pour traversées d’équipements techniques et pose de fourreaux autour de ces traversées techniques ;</w:t>
      </w:r>
    </w:p>
    <w:p w14:paraId="513C679B" w14:textId="77777777" w:rsidR="004B2808" w:rsidRDefault="00000000">
      <w:pPr>
        <w:pStyle w:val="Author-eListParagraph"/>
        <w:numPr>
          <w:ilvl w:val="0"/>
          <w:numId w:val="494"/>
        </w:numPr>
        <w:jc w:val="both"/>
      </w:pPr>
      <w:r>
        <w:t>L'évacuation et la gestion des déchets générés par les travaux de pose   conformément à la section 07 Déchets, matériaux et éléments réemployables fait partie du prix unitaire du présent article.</w:t>
      </w:r>
    </w:p>
    <w:p w14:paraId="155F94E1" w14:textId="77777777" w:rsidR="004B2808" w:rsidRDefault="00000000">
      <w:pPr>
        <w:pStyle w:val="pheading"/>
      </w:pPr>
      <w:r>
        <w:t>MATÉRIAUX</w:t>
      </w:r>
    </w:p>
    <w:p w14:paraId="0EDF40FA" w14:textId="77777777" w:rsidR="004B2808" w:rsidRDefault="00000000">
      <w:pPr>
        <w:pStyle w:val="pheading"/>
      </w:pPr>
      <w:r>
        <w:t>- Caractéristiques générales</w:t>
      </w:r>
    </w:p>
    <w:p w14:paraId="25CC6401" w14:textId="77777777" w:rsidR="004B2808" w:rsidRDefault="00000000">
      <w:r>
        <w:t xml:space="preserve">Réaction au feu : </w:t>
      </w:r>
      <w:r>
        <w:rPr>
          <w:rStyle w:val="optioncarChar"/>
        </w:rPr>
        <w:t>A1 / A2fl-s1 / Bfl-s1</w:t>
      </w:r>
      <w:r>
        <w:br/>
        <w:t xml:space="preserve">Catégorie de charge selon [NBN EN 1991-1-1] : </w:t>
      </w:r>
      <w:r>
        <w:rPr>
          <w:rStyle w:val="optioncarChar"/>
        </w:rPr>
        <w:t>A / B / C</w:t>
      </w:r>
      <w:r>
        <w:br/>
        <w:t xml:space="preserve">Affaiblissement acoustique ∆L </w:t>
      </w:r>
      <w:r>
        <w:rPr>
          <w:vertAlign w:val="subscript"/>
        </w:rPr>
        <w:t>w,r</w:t>
      </w:r>
      <w:r>
        <w:t xml:space="preserve">: </w:t>
      </w:r>
      <w:r>
        <w:rPr>
          <w:rStyle w:val="optioncarChar"/>
        </w:rPr>
        <w:t>***</w:t>
      </w:r>
      <w:r>
        <w:t xml:space="preserve"> dB</w:t>
      </w:r>
      <w:r>
        <w:br/>
        <w:t xml:space="preserve">Panneaux en fibro-plâtre armé : </w:t>
      </w:r>
      <w:r>
        <w:rPr>
          <w:rStyle w:val="optioncarChar"/>
        </w:rPr>
        <w:t xml:space="preserve">fibres de celluloses </w:t>
      </w:r>
      <w:r>
        <w:t xml:space="preserve">(par défaut) </w:t>
      </w:r>
      <w:r>
        <w:rPr>
          <w:rStyle w:val="optioncarChar"/>
        </w:rPr>
        <w:t>/ fibres de verre / ***</w:t>
      </w:r>
      <w:r>
        <w:br/>
      </w:r>
      <w:r>
        <w:lastRenderedPageBreak/>
        <w:t xml:space="preserve">Panneaux composés de : </w:t>
      </w:r>
      <w:r>
        <w:rPr>
          <w:rStyle w:val="optioncarChar"/>
        </w:rPr>
        <w:t>2 plaques contrecollées décalées de 5cm / 1 plaque avec feuillure sur les 4</w:t>
      </w:r>
      <w:r>
        <w:br/>
      </w:r>
      <w:r>
        <w:rPr>
          <w:rStyle w:val="optioncarChar"/>
        </w:rPr>
        <w:t>faces</w:t>
      </w:r>
      <w:r>
        <w:br/>
        <w:t>Densité : ±</w:t>
      </w:r>
      <w:r>
        <w:rPr>
          <w:rStyle w:val="optioncarChar"/>
        </w:rPr>
        <w:t xml:space="preserve"> 1150 / ***</w:t>
      </w:r>
      <w:r>
        <w:t xml:space="preserve"> kg/m3</w:t>
      </w:r>
      <w:r>
        <w:br/>
        <w:t xml:space="preserve">Épaisseur : </w:t>
      </w:r>
      <w:r>
        <w:rPr>
          <w:rStyle w:val="optioncarChar"/>
        </w:rPr>
        <w:t>18 / 20 / 23 / 25 / ***</w:t>
      </w:r>
      <w:r>
        <w:t xml:space="preserve"> mm</w:t>
      </w:r>
    </w:p>
    <w:p w14:paraId="2D254225" w14:textId="77777777" w:rsidR="004B2808" w:rsidRDefault="00000000">
      <w:r>
        <w:t xml:space="preserve">Panneaux revêtus en face inférieure : </w:t>
      </w:r>
      <w:r>
        <w:rPr>
          <w:rStyle w:val="optioncarChar"/>
        </w:rPr>
        <w:t>non / laine minérale / polystyrène / fibres de bois / feutre textile non tissé</w:t>
      </w:r>
    </w:p>
    <w:p w14:paraId="09675FBC" w14:textId="77777777" w:rsidR="004B2808" w:rsidRDefault="00000000">
      <w:r>
        <w:rPr>
          <w:b/>
        </w:rPr>
        <w:t>(soit)</w:t>
      </w:r>
      <w:r>
        <w:br/>
      </w:r>
      <w:r>
        <w:rPr>
          <w:rStyle w:val="soitChar"/>
          <w:u w:val="single"/>
        </w:rPr>
        <w:t>Non :</w:t>
      </w:r>
      <w:r>
        <w:rPr>
          <w:rStyle w:val="soitChar"/>
        </w:rPr>
        <w:t xml:space="preserve"> pas d’application</w:t>
      </w:r>
      <w:r>
        <w:br/>
      </w:r>
      <w:r>
        <w:rPr>
          <w:b/>
        </w:rPr>
        <w:t>(soit)</w:t>
      </w:r>
      <w:r>
        <w:br/>
      </w:r>
      <w:r>
        <w:rPr>
          <w:rStyle w:val="soitChar"/>
          <w:u w:val="single"/>
        </w:rPr>
        <w:t>Laine minérale :</w:t>
      </w:r>
    </w:p>
    <w:p w14:paraId="5DD05E0D" w14:textId="77777777" w:rsidR="004B2808" w:rsidRDefault="00000000">
      <w:pPr>
        <w:pStyle w:val="Author-eListParagraph"/>
        <w:numPr>
          <w:ilvl w:val="0"/>
          <w:numId w:val="495"/>
        </w:numPr>
      </w:pPr>
      <w:r>
        <w:rPr>
          <w:rStyle w:val="soitChar"/>
        </w:rPr>
        <w:t>Épaisseur :</w:t>
      </w:r>
      <w:r>
        <w:t xml:space="preserve">  </w:t>
      </w:r>
      <w:r>
        <w:rPr>
          <w:rStyle w:val="optioncarChar"/>
        </w:rPr>
        <w:t>10</w:t>
      </w:r>
      <w:r>
        <w:t xml:space="preserve"> (par défaut) </w:t>
      </w:r>
      <w:r>
        <w:rPr>
          <w:rStyle w:val="optioncarChar"/>
        </w:rPr>
        <w:t>/ 20 / ***</w:t>
      </w:r>
      <w:r>
        <w:t>  </w:t>
      </w:r>
      <w:r>
        <w:rPr>
          <w:rStyle w:val="soitChar"/>
        </w:rPr>
        <w:t>mm</w:t>
      </w:r>
    </w:p>
    <w:p w14:paraId="1DB4FFC0" w14:textId="77777777" w:rsidR="004B2808" w:rsidRDefault="00000000">
      <w:pPr>
        <w:pStyle w:val="Author-eListParagraph"/>
        <w:numPr>
          <w:ilvl w:val="0"/>
          <w:numId w:val="495"/>
        </w:numPr>
      </w:pPr>
      <w:r>
        <w:rPr>
          <w:rStyle w:val="soitChar"/>
        </w:rPr>
        <w:t>Densité : ≥</w:t>
      </w:r>
      <w:r>
        <w:t>  </w:t>
      </w:r>
      <w:r>
        <w:rPr>
          <w:rStyle w:val="optioncarChar"/>
        </w:rPr>
        <w:t xml:space="preserve">150 </w:t>
      </w:r>
      <w:r>
        <w:t>(par défaut)</w:t>
      </w:r>
      <w:r>
        <w:rPr>
          <w:rStyle w:val="optioncarChar"/>
        </w:rPr>
        <w:t xml:space="preserve"> / ***</w:t>
      </w:r>
      <w:r>
        <w:t>  </w:t>
      </w:r>
      <w:r>
        <w:rPr>
          <w:rStyle w:val="soitChar"/>
        </w:rPr>
        <w:t>kg/m³</w:t>
      </w:r>
    </w:p>
    <w:p w14:paraId="43C43939" w14:textId="77777777" w:rsidR="004B2808" w:rsidRDefault="00000000">
      <w:r>
        <w:rPr>
          <w:b/>
        </w:rPr>
        <w:t>(soit)</w:t>
      </w:r>
      <w:r>
        <w:br/>
      </w:r>
      <w:r>
        <w:rPr>
          <w:rStyle w:val="soitChar"/>
          <w:u w:val="single"/>
        </w:rPr>
        <w:t>Polystyrène :</w:t>
      </w:r>
    </w:p>
    <w:p w14:paraId="59D41CB1" w14:textId="77777777" w:rsidR="004B2808" w:rsidRDefault="00000000">
      <w:pPr>
        <w:pStyle w:val="Author-eListParagraph"/>
        <w:numPr>
          <w:ilvl w:val="0"/>
          <w:numId w:val="496"/>
        </w:numPr>
      </w:pPr>
      <w:r>
        <w:rPr>
          <w:rStyle w:val="soitChar"/>
        </w:rPr>
        <w:t>Épaisseur :</w:t>
      </w:r>
      <w:r>
        <w:t>  </w:t>
      </w:r>
      <w:r>
        <w:rPr>
          <w:rStyle w:val="optioncarChar"/>
        </w:rPr>
        <w:t>20</w:t>
      </w:r>
      <w:r>
        <w:t xml:space="preserve"> (par défaut)</w:t>
      </w:r>
      <w:r>
        <w:rPr>
          <w:rStyle w:val="optioncarChar"/>
        </w:rPr>
        <w:t xml:space="preserve"> / 30 / ***</w:t>
      </w:r>
      <w:r>
        <w:t>  </w:t>
      </w:r>
      <w:r>
        <w:rPr>
          <w:rStyle w:val="soitChar"/>
        </w:rPr>
        <w:t>mm</w:t>
      </w:r>
    </w:p>
    <w:p w14:paraId="395D9C1A" w14:textId="77777777" w:rsidR="004B2808" w:rsidRDefault="00000000">
      <w:r>
        <w:rPr>
          <w:b/>
        </w:rPr>
        <w:t>(soit)</w:t>
      </w:r>
      <w:r>
        <w:br/>
      </w:r>
      <w:r>
        <w:rPr>
          <w:rStyle w:val="soitChar"/>
          <w:u w:val="single"/>
        </w:rPr>
        <w:t>Fibres de bois :</w:t>
      </w:r>
    </w:p>
    <w:p w14:paraId="573A5734" w14:textId="77777777" w:rsidR="004B2808" w:rsidRDefault="00000000">
      <w:pPr>
        <w:pStyle w:val="Author-eListParagraph"/>
        <w:numPr>
          <w:ilvl w:val="0"/>
          <w:numId w:val="497"/>
        </w:numPr>
      </w:pPr>
      <w:r>
        <w:rPr>
          <w:rStyle w:val="soitChar"/>
        </w:rPr>
        <w:t>Épaisseur :</w:t>
      </w:r>
      <w:r>
        <w:t>  </w:t>
      </w:r>
      <w:r>
        <w:rPr>
          <w:rStyle w:val="optioncarChar"/>
        </w:rPr>
        <w:t>10</w:t>
      </w:r>
      <w:r>
        <w:t xml:space="preserve"> (par défaut)</w:t>
      </w:r>
      <w:r>
        <w:rPr>
          <w:rStyle w:val="optioncarChar"/>
        </w:rPr>
        <w:t xml:space="preserve"> / *** </w:t>
      </w:r>
      <w:r>
        <w:rPr>
          <w:rStyle w:val="soitChar"/>
        </w:rPr>
        <w:t>mm</w:t>
      </w:r>
    </w:p>
    <w:p w14:paraId="743043D9" w14:textId="77777777" w:rsidR="004B2808" w:rsidRDefault="00000000">
      <w:pPr>
        <w:pStyle w:val="Author-eListParagraph"/>
        <w:numPr>
          <w:ilvl w:val="0"/>
          <w:numId w:val="497"/>
        </w:numPr>
      </w:pPr>
      <w:r>
        <w:rPr>
          <w:rStyle w:val="soitChar"/>
        </w:rPr>
        <w:t>Densité : ≥</w:t>
      </w:r>
      <w:r>
        <w:t xml:space="preserve">  </w:t>
      </w:r>
      <w:r>
        <w:rPr>
          <w:rStyle w:val="optioncarChar"/>
        </w:rPr>
        <w:t xml:space="preserve">150 </w:t>
      </w:r>
      <w:r>
        <w:t>(par défaut)</w:t>
      </w:r>
      <w:r>
        <w:rPr>
          <w:rStyle w:val="optioncarChar"/>
        </w:rPr>
        <w:t xml:space="preserve"> /  200 / ***</w:t>
      </w:r>
      <w:r>
        <w:t>  </w:t>
      </w:r>
      <w:r>
        <w:rPr>
          <w:rStyle w:val="soitChar"/>
        </w:rPr>
        <w:t>kg/m³</w:t>
      </w:r>
    </w:p>
    <w:p w14:paraId="7AA7D37D" w14:textId="77777777" w:rsidR="004B2808" w:rsidRDefault="00000000">
      <w:r>
        <w:rPr>
          <w:b/>
        </w:rPr>
        <w:t>(soit)</w:t>
      </w:r>
      <w:r>
        <w:br/>
      </w:r>
      <w:r>
        <w:rPr>
          <w:rStyle w:val="soitChar"/>
          <w:u w:val="single"/>
        </w:rPr>
        <w:t>Feutre textile non tissé :</w:t>
      </w:r>
    </w:p>
    <w:p w14:paraId="136965C3" w14:textId="77777777" w:rsidR="004B2808" w:rsidRDefault="00000000">
      <w:pPr>
        <w:pStyle w:val="Author-eListParagraph"/>
        <w:numPr>
          <w:ilvl w:val="0"/>
          <w:numId w:val="498"/>
        </w:numPr>
      </w:pPr>
      <w:r>
        <w:rPr>
          <w:rStyle w:val="soitChar"/>
        </w:rPr>
        <w:t>Épaisseur :</w:t>
      </w:r>
      <w:r>
        <w:t xml:space="preserve">  </w:t>
      </w:r>
      <w:r>
        <w:rPr>
          <w:rStyle w:val="optioncarChar"/>
        </w:rPr>
        <w:t xml:space="preserve">9 </w:t>
      </w:r>
      <w:r>
        <w:t xml:space="preserve">(par défaut) </w:t>
      </w:r>
      <w:r>
        <w:rPr>
          <w:rStyle w:val="optioncarChar"/>
        </w:rPr>
        <w:t>/ ***</w:t>
      </w:r>
      <w:r>
        <w:t>  </w:t>
      </w:r>
      <w:r>
        <w:rPr>
          <w:rStyle w:val="soitChar"/>
        </w:rPr>
        <w:t>mm</w:t>
      </w:r>
    </w:p>
    <w:p w14:paraId="4D71AD5A" w14:textId="77777777" w:rsidR="004B2808" w:rsidRDefault="004B2808"/>
    <w:p w14:paraId="1D14226D" w14:textId="77777777" w:rsidR="004B2808" w:rsidRDefault="00000000">
      <w:r>
        <w:rPr>
          <w:b/>
        </w:rPr>
        <w:t>Aspects environnementaux :</w:t>
      </w:r>
    </w:p>
    <w:p w14:paraId="28796313" w14:textId="77777777" w:rsidR="004B2808" w:rsidRDefault="00000000">
      <w:pPr>
        <w:pStyle w:val="Author-eListParagraph"/>
        <w:numPr>
          <w:ilvl w:val="0"/>
          <w:numId w:val="499"/>
        </w:numPr>
      </w:pPr>
      <w:r>
        <w:t>Matériau disposant d’un EPD :</w:t>
      </w:r>
      <w:r>
        <w:rPr>
          <w:rStyle w:val="optioncarChar"/>
        </w:rPr>
        <w:t xml:space="preserve"> oui / non</w:t>
      </w:r>
    </w:p>
    <w:p w14:paraId="53DAA193" w14:textId="77777777" w:rsidR="004B2808" w:rsidRDefault="00000000">
      <w:pPr>
        <w:pStyle w:val="Author-eListParagraph"/>
        <w:numPr>
          <w:ilvl w:val="0"/>
          <w:numId w:val="499"/>
        </w:numPr>
      </w:pPr>
      <w:r>
        <w:t xml:space="preserve">Émissions dans l’air intérieur : </w:t>
      </w:r>
      <w:r>
        <w:rPr>
          <w:rStyle w:val="optioncarChar"/>
        </w:rPr>
        <w:t xml:space="preserve">A+ </w:t>
      </w:r>
      <w:r>
        <w:t>(par défaut)</w:t>
      </w:r>
      <w:r>
        <w:rPr>
          <w:rStyle w:val="optioncarChar"/>
        </w:rPr>
        <w:t xml:space="preserve"> / ***</w:t>
      </w:r>
    </w:p>
    <w:p w14:paraId="05755DCC" w14:textId="77777777" w:rsidR="004B2808" w:rsidRDefault="00000000">
      <w:pPr>
        <w:pStyle w:val="pheading"/>
      </w:pPr>
      <w:r>
        <w:t>EXÉCUTION / MISE EN ŒUVRE</w:t>
      </w:r>
    </w:p>
    <w:p w14:paraId="029C02FA" w14:textId="77777777" w:rsidR="004B2808" w:rsidRDefault="00000000">
      <w:pPr>
        <w:pStyle w:val="pheading"/>
      </w:pPr>
      <w:r>
        <w:t>- Prescriptions générales</w:t>
      </w:r>
    </w:p>
    <w:p w14:paraId="362AD636" w14:textId="77777777" w:rsidR="004B2808" w:rsidRDefault="00000000">
      <w:pPr>
        <w:jc w:val="both"/>
      </w:pPr>
      <w:r>
        <w:t>La mise en œuvre est exécutée conformément à la documentation technique accompagnant les produits.</w:t>
      </w:r>
    </w:p>
    <w:p w14:paraId="2468A199" w14:textId="77777777" w:rsidR="004B2808" w:rsidRDefault="00000000">
      <w:pPr>
        <w:jc w:val="both"/>
      </w:pPr>
      <w:r>
        <w:t xml:space="preserve">Tolérance de planéité de la chape sèche : </w:t>
      </w:r>
      <w:r>
        <w:rPr>
          <w:rStyle w:val="optioncarChar"/>
        </w:rPr>
        <w:t xml:space="preserve">normale </w:t>
      </w:r>
      <w:r>
        <w:t xml:space="preserve">(par défaut) </w:t>
      </w:r>
      <w:r>
        <w:rPr>
          <w:rStyle w:val="optioncarChar"/>
        </w:rPr>
        <w:t>/ sévère / faible</w:t>
      </w:r>
    </w:p>
    <w:p w14:paraId="5D0C3C1A" w14:textId="77777777" w:rsidR="004B2808" w:rsidRDefault="00000000">
      <w:pPr>
        <w:jc w:val="both"/>
      </w:pPr>
      <w:r>
        <w:t>Bande périphérique en :</w:t>
      </w:r>
      <w:r>
        <w:rPr>
          <w:rStyle w:val="optioncarChar"/>
        </w:rPr>
        <w:t xml:space="preserve"> laine de roche </w:t>
      </w:r>
      <w:r>
        <w:t>(par défaut)</w:t>
      </w:r>
      <w:r>
        <w:rPr>
          <w:rStyle w:val="optioncarChar"/>
        </w:rPr>
        <w:t xml:space="preserve"> / polyéthylène extrudé / ***</w:t>
      </w:r>
    </w:p>
    <w:p w14:paraId="396AA343" w14:textId="77777777" w:rsidR="004B2808" w:rsidRDefault="00000000">
      <w:pPr>
        <w:jc w:val="both"/>
      </w:pPr>
      <w:r>
        <w:t>Égalisation du support :</w:t>
      </w:r>
    </w:p>
    <w:p w14:paraId="4B0617CF" w14:textId="77777777" w:rsidR="004B2808" w:rsidRDefault="00000000">
      <w:pPr>
        <w:pStyle w:val="Author-eListParagraph"/>
        <w:numPr>
          <w:ilvl w:val="0"/>
          <w:numId w:val="500"/>
        </w:numPr>
      </w:pPr>
      <w:r>
        <w:t xml:space="preserve">en cas d’inégalités de 5 à 20 mm : </w:t>
      </w:r>
      <w:r>
        <w:rPr>
          <w:rStyle w:val="optioncarChar"/>
        </w:rPr>
        <w:t>enduit d’égalisation (par défaut) / couche anhydrite / ***</w:t>
      </w:r>
    </w:p>
    <w:p w14:paraId="43CC2B34" w14:textId="77777777" w:rsidR="004B2808" w:rsidRDefault="00000000">
      <w:pPr>
        <w:pStyle w:val="Author-eListParagraph"/>
        <w:numPr>
          <w:ilvl w:val="0"/>
          <w:numId w:val="500"/>
        </w:numPr>
      </w:pPr>
      <w:r>
        <w:t xml:space="preserve">en cas d’inégalités &gt; 20 mm : couche d’égalisation à l’aide de : </w:t>
      </w:r>
      <w:r>
        <w:rPr>
          <w:rStyle w:val="optioncarChar"/>
        </w:rPr>
        <w:t xml:space="preserve">granules d’égalisation anhydrite </w:t>
      </w:r>
      <w:r>
        <w:t> (par défaut)</w:t>
      </w:r>
      <w:r>
        <w:rPr>
          <w:rStyle w:val="optioncarChar"/>
        </w:rPr>
        <w:t xml:space="preserve"> / granules mousse de polystyrène recyclé amalgamées au ciment / ***</w:t>
      </w:r>
    </w:p>
    <w:p w14:paraId="0AA23CEA" w14:textId="77777777" w:rsidR="004B2808" w:rsidRDefault="00000000">
      <w:pPr>
        <w:jc w:val="both"/>
      </w:pPr>
      <w:r>
        <w:t>Joint de dilatation tous les :  </w:t>
      </w:r>
      <w:r>
        <w:rPr>
          <w:rStyle w:val="optioncarChar"/>
        </w:rPr>
        <w:t>20</w:t>
      </w:r>
      <w:r>
        <w:t xml:space="preserve"> (par défaut)</w:t>
      </w:r>
      <w:r>
        <w:rPr>
          <w:rStyle w:val="optioncarChar"/>
        </w:rPr>
        <w:t xml:space="preserve"> / 15 / ***</w:t>
      </w:r>
      <w:r>
        <w:t xml:space="preserve"> m</w:t>
      </w:r>
    </w:p>
    <w:p w14:paraId="0D079A61" w14:textId="77777777" w:rsidR="004B2808" w:rsidRDefault="00000000">
      <w:pPr>
        <w:pStyle w:val="Author-eListParagraph"/>
        <w:numPr>
          <w:ilvl w:val="0"/>
          <w:numId w:val="501"/>
        </w:numPr>
      </w:pPr>
      <w:r>
        <w:t xml:space="preserve">Remplis au moyen de : </w:t>
      </w:r>
      <w:r>
        <w:rPr>
          <w:rStyle w:val="optioncarChar"/>
        </w:rPr>
        <w:t>laine minérale</w:t>
      </w:r>
      <w:r>
        <w:t xml:space="preserve"> (par défaut)</w:t>
      </w:r>
      <w:r>
        <w:rPr>
          <w:rStyle w:val="optioncarChar"/>
        </w:rPr>
        <w:t xml:space="preserve"> / EPS / polyéthylène extrudé / ***</w:t>
      </w:r>
    </w:p>
    <w:p w14:paraId="77BA25A5" w14:textId="77777777" w:rsidR="004B2808" w:rsidRDefault="00000000">
      <w:pPr>
        <w:pStyle w:val="Author-eListParagraph"/>
        <w:numPr>
          <w:ilvl w:val="0"/>
          <w:numId w:val="501"/>
        </w:numPr>
      </w:pPr>
      <w:r>
        <w:t xml:space="preserve">Finition au moyen de : </w:t>
      </w:r>
      <w:r>
        <w:rPr>
          <w:rStyle w:val="optioncarChar"/>
        </w:rPr>
        <w:t>un joint mastic souple</w:t>
      </w:r>
      <w:r>
        <w:t xml:space="preserve"> (par défaut) </w:t>
      </w:r>
      <w:r>
        <w:rPr>
          <w:rStyle w:val="optioncarChar"/>
        </w:rPr>
        <w:t>/ une bande d’étanchéité / ***</w:t>
      </w:r>
    </w:p>
    <w:p w14:paraId="3B4323CD" w14:textId="77777777" w:rsidR="004B2808" w:rsidRDefault="00000000">
      <w:pPr>
        <w:jc w:val="both"/>
      </w:pPr>
      <w:r>
        <w:t xml:space="preserve">Pose de la couche d’étanchéité tel que décrit au </w:t>
      </w:r>
      <w:hyperlink w:anchor="801" w:history="1">
        <w:r w:rsidR="004B2808">
          <w:rPr>
            <w:color w:val="0000EE"/>
          </w:rPr>
          <w:t>52.11 Feuilles et membranes d'étanchéité à l'eau</w:t>
        </w:r>
      </w:hyperlink>
      <w:r>
        <w:t xml:space="preserve">  : </w:t>
      </w:r>
      <w:r>
        <w:rPr>
          <w:rStyle w:val="optioncarChar"/>
        </w:rPr>
        <w:t>non / oui</w:t>
      </w:r>
    </w:p>
    <w:p w14:paraId="19C148DD" w14:textId="77777777" w:rsidR="004B2808" w:rsidRDefault="00000000">
      <w:pPr>
        <w:jc w:val="both"/>
      </w:pPr>
      <w:r>
        <w:t>Pose des panneaux :</w:t>
      </w:r>
    </w:p>
    <w:p w14:paraId="27151483" w14:textId="77777777" w:rsidR="004B2808" w:rsidRDefault="00000000">
      <w:pPr>
        <w:pStyle w:val="Author-eListParagraph"/>
        <w:numPr>
          <w:ilvl w:val="0"/>
          <w:numId w:val="502"/>
        </w:numPr>
        <w:jc w:val="both"/>
      </w:pPr>
      <w:r>
        <w:t>en quinconce ;</w:t>
      </w:r>
    </w:p>
    <w:p w14:paraId="6EC0B157" w14:textId="77777777" w:rsidR="004B2808" w:rsidRDefault="00000000">
      <w:pPr>
        <w:pStyle w:val="Author-eListParagraph"/>
        <w:numPr>
          <w:ilvl w:val="0"/>
          <w:numId w:val="502"/>
        </w:numPr>
        <w:jc w:val="both"/>
      </w:pPr>
      <w:r>
        <w:t xml:space="preserve">collés au droit de la feuillure + vissés à  entre-distance : </w:t>
      </w:r>
      <w:r>
        <w:rPr>
          <w:rStyle w:val="optioncarChar"/>
        </w:rPr>
        <w:t>250</w:t>
      </w:r>
      <w:r>
        <w:t xml:space="preserve"> (par défaut) </w:t>
      </w:r>
      <w:r>
        <w:rPr>
          <w:rStyle w:val="optioncarChar"/>
        </w:rPr>
        <w:t>/ 300 / ***</w:t>
      </w:r>
      <w:r>
        <w:t xml:space="preserve"> mm ;</w:t>
      </w:r>
    </w:p>
    <w:p w14:paraId="716048F2" w14:textId="77777777" w:rsidR="004B2808" w:rsidRDefault="00000000">
      <w:pPr>
        <w:pStyle w:val="Author-eListParagraph"/>
        <w:numPr>
          <w:ilvl w:val="0"/>
          <w:numId w:val="502"/>
        </w:numPr>
        <w:jc w:val="both"/>
      </w:pPr>
      <w:r>
        <w:lastRenderedPageBreak/>
        <w:t>finition des joints et têtes de vis au moyen de l’enduit recommandé dans la documentation technique du matériau.</w:t>
      </w:r>
    </w:p>
    <w:p w14:paraId="15DB4CF3" w14:textId="77777777" w:rsidR="004B2808" w:rsidRDefault="00000000">
      <w:pPr>
        <w:pStyle w:val="pheading"/>
      </w:pPr>
      <w:r>
        <w:t>DOCUMENTS DE RÉFÉRENCE COMPLÉMENTAIRES</w:t>
      </w:r>
    </w:p>
    <w:p w14:paraId="1923C273" w14:textId="77777777" w:rsidR="004B2808" w:rsidRDefault="00000000">
      <w:pPr>
        <w:pStyle w:val="pheading"/>
      </w:pPr>
      <w:r>
        <w:t>- Exécution</w:t>
      </w:r>
    </w:p>
    <w:p w14:paraId="0BE763C9" w14:textId="77777777" w:rsidR="004B2808" w:rsidRDefault="00000000">
      <w:r>
        <w:t>[NIT 193, Les chapes. 2e partie: Mise en oeuvre.]</w:t>
      </w:r>
    </w:p>
    <w:p w14:paraId="46EBDDBA" w14:textId="77777777" w:rsidR="004B2808" w:rsidRDefault="00000000">
      <w:r>
        <w:t>[NBN EN 622-4, Panneaux de fibres - Exigences - Partie 4 : Exigences pour panneaux isolants]</w:t>
      </w:r>
    </w:p>
    <w:p w14:paraId="61A5FBE4" w14:textId="77777777" w:rsidR="004B2808" w:rsidRDefault="00000000">
      <w:r>
        <w:t>[NBN EN 1991-1-1, Eurocode 1: Actions sur les structures - Partie 1-1: Actions générales - Poids volumiques, poids propres, charges d'exploitation bâtiments (+ AC:2009)]</w:t>
      </w:r>
    </w:p>
    <w:p w14:paraId="37BD3312" w14:textId="77777777" w:rsidR="004B2808" w:rsidRDefault="00000000">
      <w:r>
        <w:t>[NBN EN 13162+A1, Produits isolants thermiques pour le bâtiment - Produits manufacturés en laine minérale (MW) - Spécification]</w:t>
      </w:r>
    </w:p>
    <w:p w14:paraId="705CF9D3" w14:textId="77777777" w:rsidR="004B2808" w:rsidRDefault="00000000">
      <w:r>
        <w:t>[NBN EN 13171+A1, Produits isolants thermiques pour le bâtiment - Produits manufacturés en fibres de bois (WF) - Spécification]</w:t>
      </w:r>
    </w:p>
    <w:p w14:paraId="39E90E03" w14:textId="77777777" w:rsidR="004B2808" w:rsidRDefault="00000000">
      <w:r>
        <w:t>[NBN EN 13950, Complexes d'isolation thermique/acoustique en plaques de plâtre et isolant - Définitions, spécifications et méthodes d'essai]</w:t>
      </w:r>
    </w:p>
    <w:p w14:paraId="3CCB5465" w14:textId="77777777" w:rsidR="004B2808" w:rsidRDefault="00000000">
      <w:r>
        <w:t>[NBN EN 13501-1, Classement au feu des produits et éléments de construction - Partie 1: Classement à partir des données d'essais de réaction au feu]</w:t>
      </w:r>
    </w:p>
    <w:p w14:paraId="5F716F38" w14:textId="77777777" w:rsidR="004B2808" w:rsidRDefault="00000000">
      <w:pPr>
        <w:pStyle w:val="pheading"/>
      </w:pPr>
      <w:r>
        <w:t>MESURAGE</w:t>
      </w:r>
    </w:p>
    <w:p w14:paraId="1DC4B0F4" w14:textId="77777777" w:rsidR="004B2808" w:rsidRDefault="00000000">
      <w:pPr>
        <w:pStyle w:val="pheading"/>
      </w:pPr>
      <w:r>
        <w:t>- unité de mesure:</w:t>
      </w:r>
    </w:p>
    <w:p w14:paraId="1DC552EA" w14:textId="77777777" w:rsidR="004B2808" w:rsidRDefault="00000000">
      <w:r>
        <w:t>m²</w:t>
      </w:r>
    </w:p>
    <w:p w14:paraId="360A9F6B" w14:textId="77777777" w:rsidR="004B2808" w:rsidRDefault="00000000">
      <w:pPr>
        <w:pStyle w:val="pheading"/>
      </w:pPr>
      <w:r>
        <w:t>- code de mesurage:</w:t>
      </w:r>
    </w:p>
    <w:p w14:paraId="50929F7E" w14:textId="77777777" w:rsidR="004B2808" w:rsidRDefault="00000000">
      <w:pPr>
        <w:jc w:val="both"/>
      </w:pPr>
      <w:r>
        <w:t xml:space="preserve">Surface nette à exécuter mesurée entre le nu des murs, calculée sur la base des dimensions nominales.  </w:t>
      </w:r>
    </w:p>
    <w:p w14:paraId="23FD7386" w14:textId="77777777" w:rsidR="004B2808" w:rsidRDefault="00000000">
      <w:pPr>
        <w:jc w:val="both"/>
      </w:pPr>
      <w:r>
        <w:t xml:space="preserve"> Les baies de portes sont comptées.</w:t>
      </w:r>
    </w:p>
    <w:p w14:paraId="4D45B1D9" w14:textId="77777777" w:rsidR="004B2808" w:rsidRDefault="00000000">
      <w:pPr>
        <w:jc w:val="both"/>
      </w:pPr>
      <w:r>
        <w:t>Les ouvertures ˃ 0,5 m2 sont déduites.</w:t>
      </w:r>
    </w:p>
    <w:p w14:paraId="05C4A754" w14:textId="77777777" w:rsidR="004B2808" w:rsidRDefault="00000000">
      <w:pPr>
        <w:pStyle w:val="pheading"/>
      </w:pPr>
      <w:r>
        <w:t>- nature du marché:</w:t>
      </w:r>
    </w:p>
    <w:p w14:paraId="6453FEA8" w14:textId="77777777" w:rsidR="004B2808" w:rsidRDefault="00000000">
      <w:r>
        <w:t>QF</w:t>
      </w:r>
    </w:p>
    <w:p w14:paraId="055D5544" w14:textId="77777777" w:rsidR="004B2808" w:rsidRDefault="00000000">
      <w:pPr>
        <w:pStyle w:val="Author-eSectionHeading5Numberless"/>
      </w:pPr>
      <w:bookmarkStart w:id="562" w:name="_Toc220490730"/>
      <w:r>
        <w:t>53.22.6 Chapes non adhérentes, sèches à panneaux/plaques à base de fibro-ciment CCTB 01.02</w:t>
      </w:r>
      <w:bookmarkEnd w:id="562"/>
    </w:p>
    <w:p w14:paraId="689CCA32" w14:textId="77777777" w:rsidR="004B2808" w:rsidRDefault="00000000">
      <w:pPr>
        <w:pStyle w:val="Author-eSectionHeading6Numberless"/>
      </w:pPr>
      <w:bookmarkStart w:id="563" w:name="_Toc220490731"/>
      <w:r>
        <w:t>53.22.6a Chapes non adhérentes, sèches à panneaux/plaques à base de fibro-ciment CCTB 01.02</w:t>
      </w:r>
      <w:bookmarkEnd w:id="563"/>
    </w:p>
    <w:p w14:paraId="6205DEB7" w14:textId="77777777" w:rsidR="004B2808" w:rsidRDefault="00000000">
      <w:pPr>
        <w:pStyle w:val="Author-eSectionHeading4Numberless"/>
      </w:pPr>
      <w:bookmarkStart w:id="564" w:name="_Toc220490732"/>
      <w:r>
        <w:t>53.23 Chapes flottantes CCTB 01.13</w:t>
      </w:r>
      <w:bookmarkEnd w:id="564"/>
    </w:p>
    <w:p w14:paraId="163E0AAB" w14:textId="77777777" w:rsidR="004B2808" w:rsidRDefault="00000000">
      <w:pPr>
        <w:pStyle w:val="pheading"/>
      </w:pPr>
      <w:bookmarkStart w:id="565" w:name="1126"/>
      <w:bookmarkEnd w:id="565"/>
      <w:r>
        <w:t>DESCRIPTION</w:t>
      </w:r>
    </w:p>
    <w:p w14:paraId="652C0315" w14:textId="77777777" w:rsidR="004B2808" w:rsidRDefault="00000000">
      <w:pPr>
        <w:pStyle w:val="pheading"/>
      </w:pPr>
      <w:r>
        <w:t>- Définition / Comprend</w:t>
      </w:r>
    </w:p>
    <w:p w14:paraId="647F28F9" w14:textId="77777777" w:rsidR="004B2808" w:rsidRDefault="00000000">
      <w:r>
        <w:t>Chape posée sur une couche d'isolation (acoustique et/ou thermique) plus ou moins compressible, qui, de ce fait, peut subir certains mouvements. Elle n'a pas de liaison rigide avec les éléments de construction adjacents ou sous-jacents.</w:t>
      </w:r>
    </w:p>
    <w:p w14:paraId="7D53CB52" w14:textId="77777777" w:rsidR="004B2808" w:rsidRDefault="00000000">
      <w:pPr>
        <w:pStyle w:val="pheading"/>
      </w:pPr>
      <w:r>
        <w:t>EXÉCUTION / MISE EN ŒUVRE</w:t>
      </w:r>
    </w:p>
    <w:p w14:paraId="12ABF417" w14:textId="77777777" w:rsidR="004B2808" w:rsidRDefault="00000000">
      <w:r>
        <w:t>Pour les chapes flottantes intégrant un réseau de chauffage sol, composé de conduites d'eau en serpentin, il est recommandé de suivre les instructions du thème 6 de la [NIT 281] dans le but d'assurer la qualité d'isolation acoustique.</w:t>
      </w:r>
    </w:p>
    <w:p w14:paraId="69BFCE06" w14:textId="77777777" w:rsidR="004B2808" w:rsidRDefault="00000000">
      <w:r>
        <w:lastRenderedPageBreak/>
        <w:t>Le complexe plancher posé sur le plancher porteur se compose généralement, de bas en haut :</w:t>
      </w:r>
      <w:r>
        <w:br/>
        <w:t>d’une couche de nivellement, thermiquement isolante ou non ;</w:t>
      </w:r>
      <w:r>
        <w:br/>
        <w:t>d’une sous-couche résiliente ;</w:t>
      </w:r>
      <w:r>
        <w:br/>
        <w:t>d’une chape à base de ciment.</w:t>
      </w:r>
    </w:p>
    <w:p w14:paraId="7E4FBACE" w14:textId="77777777" w:rsidR="004B2808" w:rsidRDefault="00000000">
      <w:pPr>
        <w:pStyle w:val="Author-eSectionHeading5Numberless"/>
      </w:pPr>
      <w:bookmarkStart w:id="566" w:name="_Toc220490733"/>
      <w:r>
        <w:t>53.23.1 Chapes flottantes à base de ciment CCTB 01.02</w:t>
      </w:r>
      <w:bookmarkEnd w:id="566"/>
    </w:p>
    <w:p w14:paraId="53BE6FFD" w14:textId="77777777" w:rsidR="004B2808" w:rsidRDefault="00000000">
      <w:pPr>
        <w:pStyle w:val="Author-eSectionHeading6Numberless"/>
      </w:pPr>
      <w:bookmarkStart w:id="567" w:name="_Toc220490734"/>
      <w:r>
        <w:t>53.23.1a Chapes flottantes à base de ciment CCTB 01.13</w:t>
      </w:r>
      <w:bookmarkEnd w:id="567"/>
    </w:p>
    <w:p w14:paraId="4BDB2031" w14:textId="77777777" w:rsidR="004B2808" w:rsidRDefault="00000000">
      <w:pPr>
        <w:pStyle w:val="pheading"/>
      </w:pPr>
      <w:r>
        <w:t>DESCRIPTION</w:t>
      </w:r>
    </w:p>
    <w:p w14:paraId="306EC521" w14:textId="77777777" w:rsidR="004B2808" w:rsidRDefault="00000000">
      <w:pPr>
        <w:pStyle w:val="pheading"/>
      </w:pPr>
      <w:r>
        <w:t>- Définition / Comprend</w:t>
      </w:r>
    </w:p>
    <w:p w14:paraId="248D47D9" w14:textId="77777777" w:rsidR="004B2808" w:rsidRDefault="00000000">
      <w:r>
        <w:t>La technique des chapes flottantes est appliquée lorsqu'une isolation thermique et/ou acoustique est prévue sous la chape. Les chapes flottantes sont toujours pourvues d'une armature.</w:t>
      </w:r>
    </w:p>
    <w:p w14:paraId="5B0A26E6" w14:textId="77777777" w:rsidR="004B2808" w:rsidRDefault="00000000">
      <w:pPr>
        <w:pStyle w:val="pheading"/>
      </w:pPr>
      <w:r>
        <w:t>MATÉRIAUX</w:t>
      </w:r>
    </w:p>
    <w:p w14:paraId="2F8321F1" w14:textId="77777777" w:rsidR="004B2808" w:rsidRDefault="00000000">
      <w:pPr>
        <w:pStyle w:val="pheading"/>
      </w:pPr>
      <w:r>
        <w:t>- Caractéristiques générales</w:t>
      </w:r>
    </w:p>
    <w:p w14:paraId="54B9F2F7" w14:textId="77777777" w:rsidR="004B2808" w:rsidRDefault="00000000">
      <w:r>
        <w:t>Les chapes flottantes à base de ciment doivent satisfaire aux dispositions du §5 de la [NIT 189]. La composition est déterminée par l'entrepreneur, compte tenu des directives du §5.4 de la [NIT 189] et du §4.1.2 de la [NIT 193].</w:t>
      </w:r>
    </w:p>
    <w:p w14:paraId="7CAAD474" w14:textId="77777777" w:rsidR="004B2808" w:rsidRDefault="00000000">
      <w:pPr>
        <w:pStyle w:val="heading"/>
      </w:pPr>
      <w:r>
        <w:t>Spécifications</w:t>
      </w:r>
    </w:p>
    <w:p w14:paraId="40A56778" w14:textId="77777777" w:rsidR="004B2808" w:rsidRDefault="00000000">
      <w:pPr>
        <w:pStyle w:val="Author-eListParagraph"/>
        <w:numPr>
          <w:ilvl w:val="0"/>
          <w:numId w:val="503"/>
        </w:numPr>
      </w:pPr>
      <w:r>
        <w:t>Résistance à la compression sur deux échantillons :≥ 8N/mm² (méthode d'essai selon la [NIT 189] §4.3.2).</w:t>
      </w:r>
    </w:p>
    <w:p w14:paraId="247F2DDA" w14:textId="77777777" w:rsidR="004B2808" w:rsidRDefault="00000000">
      <w:pPr>
        <w:pStyle w:val="Author-eListParagraph"/>
        <w:numPr>
          <w:ilvl w:val="0"/>
          <w:numId w:val="503"/>
        </w:numPr>
      </w:pPr>
      <w:r>
        <w:t>Classe de planéité : </w:t>
      </w:r>
      <w:r>
        <w:rPr>
          <w:rStyle w:val="optioncarChar"/>
        </w:rPr>
        <w:t>2</w:t>
      </w:r>
      <w:r>
        <w:t> (par défaut)</w:t>
      </w:r>
      <w:r>
        <w:rPr>
          <w:rStyle w:val="optioncarChar"/>
        </w:rPr>
        <w:t> / ***</w:t>
      </w:r>
      <w:r>
        <w:t>  (voir la [NIT 189] §4.2.3).</w:t>
      </w:r>
    </w:p>
    <w:p w14:paraId="3E0ED412" w14:textId="77777777" w:rsidR="004B2808" w:rsidRDefault="00000000">
      <w:pPr>
        <w:pStyle w:val="Author-eListParagraph"/>
        <w:numPr>
          <w:ilvl w:val="0"/>
          <w:numId w:val="503"/>
        </w:numPr>
      </w:pPr>
      <w:r>
        <w:t xml:space="preserve">Epaisseur : ≥ </w:t>
      </w:r>
      <w:r>
        <w:rPr>
          <w:rStyle w:val="optioncarChar"/>
        </w:rPr>
        <w:t>5</w:t>
      </w:r>
      <w:r>
        <w:t> (par défaut)</w:t>
      </w:r>
      <w:r>
        <w:rPr>
          <w:rStyle w:val="optioncarChar"/>
        </w:rPr>
        <w:t xml:space="preserve"> / 6 / 7 / ***</w:t>
      </w:r>
      <w:r>
        <w:t xml:space="preserve"> cm (voir la [NIT 189] § 5.3.2.3)</w:t>
      </w:r>
    </w:p>
    <w:p w14:paraId="59EA8224" w14:textId="77777777" w:rsidR="004B2808" w:rsidRDefault="00000000">
      <w:pPr>
        <w:pStyle w:val="pheading"/>
      </w:pPr>
      <w:r>
        <w:t>EXÉCUTION / MISE EN ŒUVRE</w:t>
      </w:r>
    </w:p>
    <w:p w14:paraId="148F837C" w14:textId="77777777" w:rsidR="004B2808" w:rsidRDefault="00000000">
      <w:pPr>
        <w:pStyle w:val="pheading"/>
      </w:pPr>
      <w:r>
        <w:t>- Prescriptions générales</w:t>
      </w:r>
    </w:p>
    <w:p w14:paraId="60B3EECE" w14:textId="77777777" w:rsidR="004B2808" w:rsidRDefault="00000000">
      <w:r>
        <w:t>Les chapes sont mises en œuvre selon le §4.3 de la [NIT 193] et sont pourvues d'une armature composée de</w:t>
      </w:r>
      <w:r>
        <w:br/>
        <w:t xml:space="preserve">Choix opéré : </w:t>
      </w:r>
      <w:r>
        <w:rPr>
          <w:rStyle w:val="optioncarChar"/>
        </w:rPr>
        <w:t>métal </w:t>
      </w:r>
      <w:r>
        <w:t>(par défaut)</w:t>
      </w:r>
      <w:r>
        <w:rPr>
          <w:rStyle w:val="optioncarChar"/>
        </w:rPr>
        <w:t xml:space="preserve"> / polypropylène / ***</w:t>
      </w:r>
    </w:p>
    <w:p w14:paraId="71DD4EF7" w14:textId="77777777" w:rsidR="004B2808" w:rsidRDefault="00000000">
      <w:r>
        <w:rPr>
          <w:b/>
        </w:rPr>
        <w:t>(soit par défaut)</w:t>
      </w:r>
      <w:r>
        <w:t xml:space="preserve"> : un treillis en métal non galvanisé, aux mailles carrées </w:t>
      </w:r>
      <w:r>
        <w:rPr>
          <w:rStyle w:val="optioncarChar"/>
        </w:rPr>
        <w:t xml:space="preserve">38 x 38 x 1 </w:t>
      </w:r>
      <w:r>
        <w:t>(par défaut) </w:t>
      </w:r>
      <w:r>
        <w:rPr>
          <w:rStyle w:val="optioncarChar"/>
        </w:rPr>
        <w:t>/ 50 x 50 x 2 / ***</w:t>
      </w:r>
      <w:r>
        <w:t xml:space="preserve"> mm. Les recouvrements sont ≥ 15 cm. (les mailles hexagonales ou octogonales seront refusées).</w:t>
      </w:r>
      <w:r>
        <w:br/>
      </w:r>
      <w:r>
        <w:rPr>
          <w:b/>
        </w:rPr>
        <w:t>(soit)</w:t>
      </w:r>
      <w:r>
        <w:t xml:space="preserve"> : fibres de polypropylène a raison de </w:t>
      </w:r>
      <w:r>
        <w:rPr>
          <w:rStyle w:val="optioncarChar"/>
        </w:rPr>
        <w:t>900 </w:t>
      </w:r>
      <w:r>
        <w:t>(par défaut)</w:t>
      </w:r>
      <w:r>
        <w:rPr>
          <w:rStyle w:val="optioncarChar"/>
        </w:rPr>
        <w:t> / *** </w:t>
      </w:r>
      <w:r>
        <w:t xml:space="preserve"> gr/m³. Le mélange des fibres dans le mortier s'effectue selon les directives du fabricant. Le mortier est ensuite mis en œuvre au moyen d'une pompe rotative (sans pression d'air). Un procès-verbal d’essai relatif à l’emploi et à la fonction des fibres peut être demandé auprès du fabricant.</w:t>
      </w:r>
    </w:p>
    <w:p w14:paraId="522B5CC7" w14:textId="77777777" w:rsidR="004B2808" w:rsidRDefault="00000000">
      <w:r>
        <w:t>Une isolation périphérique est appliquée contre tous les murs. Celle-ci se compose de bandes de polystyrène ou d'un matériau similaire qui isole au moins aussi bien et dépasse de quelques cm au-dessus du sol fini; après l'exécution des revêtements de sol, elles sont coupées à ras. Les joints de dilatation sont mis en œuvre afin de limiter les surfaces à 50 m² et la longueur à 8 m .</w:t>
      </w:r>
    </w:p>
    <w:p w14:paraId="649332A8" w14:textId="77777777" w:rsidR="004B2808" w:rsidRDefault="00000000">
      <w:pPr>
        <w:pStyle w:val="pheading"/>
      </w:pPr>
      <w:r>
        <w:t>- Notes d’exécution complémentaires</w:t>
      </w:r>
    </w:p>
    <w:p w14:paraId="7E0B343D" w14:textId="77777777" w:rsidR="004B2808" w:rsidRDefault="00000000">
      <w:r>
        <w:t>Les joints de dilatation de la chape doivent coïncider avec ceux du revêtement de sol et sont finis conformément au point §6.1.2.1 de la [NIT 193].  </w:t>
      </w:r>
    </w:p>
    <w:p w14:paraId="0EE006DE" w14:textId="77777777" w:rsidR="004B2808" w:rsidRDefault="00000000">
      <w:pPr>
        <w:pStyle w:val="pheading"/>
      </w:pPr>
      <w:r>
        <w:t>MESURAGE</w:t>
      </w:r>
    </w:p>
    <w:p w14:paraId="43742C1E" w14:textId="77777777" w:rsidR="004B2808" w:rsidRDefault="00000000">
      <w:r>
        <w:t>Conformément aux indications spécifiques dans le cahier spécial des charges et/ou le métré récapitulatif, le mesurage doit toujours être conçu comme suit :</w:t>
      </w:r>
    </w:p>
    <w:p w14:paraId="5ACD60F3" w14:textId="77777777" w:rsidR="004B2808" w:rsidRDefault="00000000">
      <w:pPr>
        <w:pStyle w:val="pheading"/>
      </w:pPr>
      <w:r>
        <w:t>- unité de mesure:</w:t>
      </w:r>
    </w:p>
    <w:p w14:paraId="140D3341" w14:textId="77777777" w:rsidR="004B2808" w:rsidRDefault="00000000">
      <w:r>
        <w:t>m²</w:t>
      </w:r>
    </w:p>
    <w:p w14:paraId="59740A72" w14:textId="77777777" w:rsidR="004B2808" w:rsidRDefault="00000000">
      <w:pPr>
        <w:pStyle w:val="pheading"/>
      </w:pPr>
      <w:r>
        <w:lastRenderedPageBreak/>
        <w:t>- code de mesurage:</w:t>
      </w:r>
    </w:p>
    <w:p w14:paraId="53C19C57" w14:textId="77777777" w:rsidR="004B2808" w:rsidRDefault="00000000">
      <w:r>
        <w:t>surface nette mesurée entre le nu des murs, calculée sur la base des dimensions nominales en cm. Les baies de porte sont comptées, les ouvertures supérieures à 0,5 m²  sont déduites. Le total est arrondi à la première décimale.</w:t>
      </w:r>
    </w:p>
    <w:p w14:paraId="4597A925" w14:textId="77777777" w:rsidR="004B2808" w:rsidRDefault="00000000">
      <w:r>
        <w:t>Le prix est toujours indiqué au m² pour tous les ouvrages et fournitures, y compris les surépaisseurs éventuelles.</w:t>
      </w:r>
    </w:p>
    <w:p w14:paraId="6640CDBA" w14:textId="77777777" w:rsidR="004B2808" w:rsidRDefault="00000000">
      <w:pPr>
        <w:pStyle w:val="pheading"/>
      </w:pPr>
      <w:r>
        <w:t>- nature du marché:</w:t>
      </w:r>
    </w:p>
    <w:p w14:paraId="5F2137E1" w14:textId="77777777" w:rsidR="004B2808" w:rsidRDefault="00000000">
      <w:r>
        <w:t>QF</w:t>
      </w:r>
    </w:p>
    <w:p w14:paraId="18698E61" w14:textId="77777777" w:rsidR="004B2808" w:rsidRDefault="00000000">
      <w:pPr>
        <w:pStyle w:val="Author-eSectionHeading5Numberless"/>
      </w:pPr>
      <w:bookmarkStart w:id="568" w:name="_Toc220490735"/>
      <w:r>
        <w:t>53.23.2 Chapes flottantes à base de liant anhydrite (sulfate de calcium) CCTB 01.02</w:t>
      </w:r>
      <w:bookmarkEnd w:id="568"/>
    </w:p>
    <w:p w14:paraId="2487D856" w14:textId="77777777" w:rsidR="004B2808" w:rsidRDefault="00000000">
      <w:pPr>
        <w:pStyle w:val="Author-eSectionHeading6Numberless"/>
      </w:pPr>
      <w:bookmarkStart w:id="569" w:name="_Toc220490736"/>
      <w:r>
        <w:t>53.23.2a Chapes flottantes à base de liant anhydrite (sulfate de calcium) CCTB 01.10</w:t>
      </w:r>
      <w:bookmarkEnd w:id="569"/>
    </w:p>
    <w:p w14:paraId="0A831E75" w14:textId="77777777" w:rsidR="004B2808" w:rsidRDefault="00000000">
      <w:pPr>
        <w:pStyle w:val="pheading"/>
      </w:pPr>
      <w:r>
        <w:t>DESCRIPTION</w:t>
      </w:r>
    </w:p>
    <w:p w14:paraId="63341F5B" w14:textId="77777777" w:rsidR="004B2808" w:rsidRDefault="00000000">
      <w:pPr>
        <w:pStyle w:val="pheading"/>
      </w:pPr>
      <w:r>
        <w:t>- Définition / Comprend</w:t>
      </w:r>
    </w:p>
    <w:p w14:paraId="61A3D061" w14:textId="77777777" w:rsidR="004B2808" w:rsidRDefault="00000000">
      <w:r>
        <w:t>Les chapes flottantes sont appliquées lorsqu'une isolation thermique et/ou acoustique est prévue sous la chape.</w:t>
      </w:r>
    </w:p>
    <w:p w14:paraId="647E0FC6" w14:textId="77777777" w:rsidR="004B2808" w:rsidRDefault="00000000">
      <w:r>
        <w:t>Contrairement aux chapes à base de ciment, les 'chapes spéciales' sont fabriquées à partir d'un liant autre que le ciment, telle que l'anhydrite synthétique. Les chapes dites 'autonivelantes' sont généralement composées à base d'anhydrite synthétique telle que l'AB 20.</w:t>
      </w:r>
    </w:p>
    <w:p w14:paraId="53300668" w14:textId="77777777" w:rsidR="004B2808" w:rsidRDefault="00000000">
      <w:pPr>
        <w:pStyle w:val="pheading"/>
      </w:pPr>
      <w:r>
        <w:t>- Localisation</w:t>
      </w:r>
    </w:p>
    <w:p w14:paraId="747297B3" w14:textId="77777777" w:rsidR="004B2808" w:rsidRDefault="00000000">
      <w:r>
        <w:t>L'exécution de bandes périphériques et de joints de mouvement est comprise dans cet article.</w:t>
      </w:r>
    </w:p>
    <w:p w14:paraId="6B3298A6" w14:textId="77777777" w:rsidR="004B2808" w:rsidRDefault="00000000">
      <w:pPr>
        <w:pStyle w:val="pheading"/>
      </w:pPr>
      <w:r>
        <w:t>MATÉRIAUX</w:t>
      </w:r>
    </w:p>
    <w:p w14:paraId="0F17046E" w14:textId="77777777" w:rsidR="004B2808" w:rsidRDefault="00000000">
      <w:pPr>
        <w:pStyle w:val="pheading"/>
      </w:pPr>
      <w:r>
        <w:t>- Caractéristiques générales</w:t>
      </w:r>
    </w:p>
    <w:p w14:paraId="0111A7A3" w14:textId="77777777" w:rsidR="004B2808" w:rsidRDefault="00000000">
      <w:r>
        <w:t>Les chapes flottantes doivent satisfaire aux dispositions du §5 de la [NIT 189]. Le liant de la chape est l'anhydrite synthétique qui doit répondre au §3.1.2. de la [NIT 189] classe AB20. La composition exacte est déterminée par l'entrepreneur, compte tenu des directives du § 5.4 de la [NIT 189] et §4.1.3 de la [NIT 193].</w:t>
      </w:r>
    </w:p>
    <w:p w14:paraId="1D58CA1F" w14:textId="77777777" w:rsidR="004B2808" w:rsidRDefault="00000000">
      <w:pPr>
        <w:pStyle w:val="heading"/>
      </w:pPr>
      <w:r>
        <w:t>Spécifications</w:t>
      </w:r>
    </w:p>
    <w:p w14:paraId="724EB9B0" w14:textId="77777777" w:rsidR="004B2808" w:rsidRDefault="00000000">
      <w:pPr>
        <w:pStyle w:val="Author-eListParagraph"/>
        <w:numPr>
          <w:ilvl w:val="0"/>
          <w:numId w:val="504"/>
        </w:numPr>
      </w:pPr>
      <w:r>
        <w:t xml:space="preserve">Epaisseur : minimum </w:t>
      </w:r>
      <w:r>
        <w:rPr>
          <w:rStyle w:val="optioncarChar"/>
        </w:rPr>
        <w:t>5</w:t>
      </w:r>
      <w:r>
        <w:t> (par défaut)</w:t>
      </w:r>
      <w:r>
        <w:rPr>
          <w:rStyle w:val="optioncarChar"/>
        </w:rPr>
        <w:t> / ***</w:t>
      </w:r>
      <w:r>
        <w:t>  cm.</w:t>
      </w:r>
    </w:p>
    <w:p w14:paraId="513683A5" w14:textId="77777777" w:rsidR="004B2808" w:rsidRDefault="00000000">
      <w:pPr>
        <w:pStyle w:val="Author-eListParagraph"/>
        <w:numPr>
          <w:ilvl w:val="0"/>
          <w:numId w:val="504"/>
        </w:numPr>
      </w:pPr>
      <w:r>
        <w:t>Résistance à la compression sur deux échantillons : minimum 8N/mm² (méthode d'essai selon la [NIT 189] § 4.3.2).</w:t>
      </w:r>
    </w:p>
    <w:p w14:paraId="336525FC" w14:textId="77777777" w:rsidR="004B2808" w:rsidRDefault="00000000">
      <w:pPr>
        <w:pStyle w:val="Author-eListParagraph"/>
        <w:numPr>
          <w:ilvl w:val="0"/>
          <w:numId w:val="504"/>
        </w:numPr>
      </w:pPr>
      <w:r>
        <w:t xml:space="preserve">Classe de planéité : </w:t>
      </w:r>
      <w:r>
        <w:rPr>
          <w:rStyle w:val="optioncarChar"/>
        </w:rPr>
        <w:t>2</w:t>
      </w:r>
      <w:r>
        <w:t> (par défaut)</w:t>
      </w:r>
      <w:r>
        <w:rPr>
          <w:rStyle w:val="optioncarChar"/>
        </w:rPr>
        <w:t> / ***</w:t>
      </w:r>
      <w:r>
        <w:t>  ([NIT 189] § 4.2.3) .</w:t>
      </w:r>
    </w:p>
    <w:p w14:paraId="4A6F149B" w14:textId="77777777" w:rsidR="004B2808" w:rsidRDefault="00000000">
      <w:pPr>
        <w:pStyle w:val="pheading"/>
      </w:pPr>
      <w:r>
        <w:t>EXÉCUTION / MISE EN ŒUVRE</w:t>
      </w:r>
    </w:p>
    <w:p w14:paraId="227652E8" w14:textId="77777777" w:rsidR="004B2808" w:rsidRDefault="00000000">
      <w:pPr>
        <w:pStyle w:val="pheading"/>
      </w:pPr>
      <w:r>
        <w:t>- Prescriptions générales</w:t>
      </w:r>
    </w:p>
    <w:p w14:paraId="30574488" w14:textId="77777777" w:rsidR="004B2808" w:rsidRDefault="00000000">
      <w:r>
        <w:t>Les chapes flottantes à base d'anhydrite synthétique sont exécutées selon les dispositions du § 4.3.4 de la [NIT 193]. Le mortier de chape est fabriqué au malaxeur à circulation forcée et est immédiatement mis en œuvre. Les chapes ne peuvent pas être exécutées lorsque la température de l’aire de pose et/ou de l’environnement est inférieure à 5° C. Les raccords consécutifs aux interruptions de travail dans la pose de la chape sont exécutés en gradins et en crêtes. Les chapes sont armées à l'aide d'un treillis galvanisé 50x50x2mm, avec des recouvrements d'au moins 15 cm . Les chapes sont protégées contre la dessiccation trop rapide. Les courants d’air et un rayonnement intense sont à éviter. La chape ne peut être ouverte à la circulation de chantier avant 3 jours.</w:t>
      </w:r>
    </w:p>
    <w:p w14:paraId="1EECDC5E" w14:textId="77777777" w:rsidR="004B2808" w:rsidRDefault="00000000">
      <w:pPr>
        <w:pStyle w:val="pheading"/>
      </w:pPr>
      <w:r>
        <w:t>CONTRÔLES PARTICULIERS</w:t>
      </w:r>
    </w:p>
    <w:p w14:paraId="7FCEB625" w14:textId="77777777" w:rsidR="004B2808" w:rsidRDefault="00000000">
      <w:r>
        <w:lastRenderedPageBreak/>
        <w:t>La tolérance sur les écarts en plus ou en moins entre les niveaux-repères distants de 20 m est de 3 mm au maximum.</w:t>
      </w:r>
    </w:p>
    <w:p w14:paraId="382EABE4" w14:textId="77777777" w:rsidR="004B2808" w:rsidRDefault="00000000">
      <w:pPr>
        <w:pStyle w:val="pheading"/>
      </w:pPr>
      <w:r>
        <w:t>MESURAGE</w:t>
      </w:r>
    </w:p>
    <w:p w14:paraId="71852CCE" w14:textId="77777777" w:rsidR="004B2808" w:rsidRDefault="00000000">
      <w:r>
        <w:t>Conformément aux indications spécifiques dans le cahier spécial des charges et/ou le métré récapitulatif, le mesurage doit toujours être conçu comme suit :</w:t>
      </w:r>
    </w:p>
    <w:p w14:paraId="1D14D905" w14:textId="77777777" w:rsidR="004B2808" w:rsidRDefault="00000000">
      <w:pPr>
        <w:pStyle w:val="pheading"/>
      </w:pPr>
      <w:r>
        <w:t>- unité de mesure:</w:t>
      </w:r>
    </w:p>
    <w:p w14:paraId="43D643CC" w14:textId="77777777" w:rsidR="004B2808" w:rsidRDefault="00000000">
      <w:r>
        <w:t>m²</w:t>
      </w:r>
    </w:p>
    <w:p w14:paraId="0DF3BEAE" w14:textId="77777777" w:rsidR="004B2808" w:rsidRDefault="00000000">
      <w:pPr>
        <w:pStyle w:val="pheading"/>
      </w:pPr>
      <w:r>
        <w:t>- code de mesurage:</w:t>
      </w:r>
    </w:p>
    <w:p w14:paraId="5AE6DD52" w14:textId="77777777" w:rsidR="004B2808" w:rsidRDefault="00000000">
      <w:r>
        <w:t>surface nette mesurée entre le nu des murs, calculée sur la base des dimensions nominales en cm. Les baies de porte sont comptées, les ouvertures supérieures à 0,5 m² sont déduites. Le total est arrondi à la première décimale.</w:t>
      </w:r>
    </w:p>
    <w:p w14:paraId="65C570E6" w14:textId="77777777" w:rsidR="004B2808" w:rsidRDefault="00000000">
      <w:r>
        <w:t>Le prix est toujours indiqué au m² pour tous les ouvrages et fournitures, y compris les surépaisseurs éventuelles.</w:t>
      </w:r>
    </w:p>
    <w:p w14:paraId="628906C9" w14:textId="77777777" w:rsidR="004B2808" w:rsidRDefault="00000000">
      <w:pPr>
        <w:pStyle w:val="pheading"/>
      </w:pPr>
      <w:r>
        <w:t>- nature du marché:</w:t>
      </w:r>
    </w:p>
    <w:p w14:paraId="3DD6480D" w14:textId="77777777" w:rsidR="004B2808" w:rsidRDefault="00000000">
      <w:r>
        <w:t>QF</w:t>
      </w:r>
    </w:p>
    <w:p w14:paraId="6096FE4D" w14:textId="77777777" w:rsidR="004B2808" w:rsidRDefault="00000000">
      <w:pPr>
        <w:pStyle w:val="pheading"/>
      </w:pPr>
      <w:r>
        <w:t>AIDE</w:t>
      </w:r>
    </w:p>
    <w:p w14:paraId="1BA6B92D" w14:textId="77777777" w:rsidR="004B2808" w:rsidRDefault="00000000">
      <w:r>
        <w:rPr>
          <w:i/>
          <w:u w:val="single"/>
        </w:rPr>
        <w:t xml:space="preserve">Note à l'attention de l'auteur de projet </w:t>
      </w:r>
      <w:r>
        <w:br/>
        <w:t>Les chapes à base d'anhydrite peuvent être utilisées à condition qu'elles puissent sécher normalement et que, après le séchage, elles ne nécessitent pas une humidification prolongée ou répétée. Il n'est pas habituel d'armer les chapes à base d'anhydrite mais cela peut s'avérer nécessaire pour les grandes surfaces et pour les chapes soumises à de fréquents mouvements de déformation. Il est tenu compte du risque de formation de rouille sur les treillis en métal dans les chapes qui restent longtemps humides.</w:t>
      </w:r>
    </w:p>
    <w:p w14:paraId="661AA7B8" w14:textId="77777777" w:rsidR="004B2808" w:rsidRDefault="00000000">
      <w:pPr>
        <w:pStyle w:val="Author-eSectionHeading5Numberless"/>
      </w:pPr>
      <w:bookmarkStart w:id="570" w:name="_Toc220490737"/>
      <w:r>
        <w:t>53.23.3 Chapes flottantes à base de magnésite CCTB 01.02</w:t>
      </w:r>
      <w:bookmarkEnd w:id="570"/>
    </w:p>
    <w:p w14:paraId="27A13CC6" w14:textId="77777777" w:rsidR="004B2808" w:rsidRDefault="00000000">
      <w:pPr>
        <w:pStyle w:val="Author-eSectionHeading6Numberless"/>
      </w:pPr>
      <w:bookmarkStart w:id="571" w:name="_Toc220490738"/>
      <w:r>
        <w:t>53.23.3a Chapes flottantes à base de magnésite CCTB 01.02</w:t>
      </w:r>
      <w:bookmarkEnd w:id="571"/>
    </w:p>
    <w:p w14:paraId="6FA5463A" w14:textId="77777777" w:rsidR="004B2808" w:rsidRDefault="00000000">
      <w:pPr>
        <w:pStyle w:val="Author-eSectionHeading5Numberless"/>
      </w:pPr>
      <w:bookmarkStart w:id="572" w:name="_Toc220490739"/>
      <w:r>
        <w:t>53.23.4 Chapes flottantes, sèches à panneaux/plaques en bois CCTB 01.02</w:t>
      </w:r>
      <w:bookmarkEnd w:id="572"/>
    </w:p>
    <w:p w14:paraId="32841828" w14:textId="77777777" w:rsidR="004B2808" w:rsidRDefault="00000000">
      <w:pPr>
        <w:pStyle w:val="Author-eSectionHeading6Numberless"/>
      </w:pPr>
      <w:bookmarkStart w:id="573" w:name="_Toc220490740"/>
      <w:r>
        <w:t>53.23.4a Chapes flottantes, sèches à panneaux/plaques en bois, à panneaux en agglomérés traités CCTB 01.02</w:t>
      </w:r>
      <w:bookmarkEnd w:id="573"/>
    </w:p>
    <w:p w14:paraId="109F7E64" w14:textId="77777777" w:rsidR="004B2808" w:rsidRDefault="00000000">
      <w:pPr>
        <w:pStyle w:val="Author-eSectionHeading6Numberless"/>
      </w:pPr>
      <w:bookmarkStart w:id="574" w:name="_Toc220490741"/>
      <w:r>
        <w:t>53.23.4b Chapes flottantes, sèches à panneaux/plaques en bois, à panneaux multiplex CCTB 01.10</w:t>
      </w:r>
      <w:bookmarkEnd w:id="574"/>
    </w:p>
    <w:p w14:paraId="51C07D39" w14:textId="77777777" w:rsidR="004B2808" w:rsidRDefault="00000000">
      <w:pPr>
        <w:pStyle w:val="pheading"/>
      </w:pPr>
      <w:bookmarkStart w:id="575" w:name="1253"/>
      <w:bookmarkEnd w:id="575"/>
      <w:r>
        <w:t>MATÉRIAUX</w:t>
      </w:r>
    </w:p>
    <w:p w14:paraId="6090C4B4" w14:textId="77777777" w:rsidR="004B2808" w:rsidRDefault="00000000">
      <w:pPr>
        <w:pStyle w:val="pheading"/>
      </w:pPr>
      <w:r>
        <w:t>- Caractéristiques générales</w:t>
      </w:r>
    </w:p>
    <w:p w14:paraId="2CD714CB" w14:textId="77777777" w:rsidR="004B2808" w:rsidRDefault="00000000">
      <w:r>
        <w:t>Les panneaux de contreplaqué répondent aux spécifications de la norme [NBN EN 636+A1] pour l'application sans risque d'humidité et [NBN EN 636+A1] pour l'application avec risque d'humidité.</w:t>
      </w:r>
    </w:p>
    <w:p w14:paraId="52457CB2" w14:textId="77777777" w:rsidR="004B2808" w:rsidRDefault="00000000">
      <w:pPr>
        <w:pStyle w:val="pheading"/>
      </w:pPr>
      <w:r>
        <w:t>- Prescriptions complémentaires</w:t>
      </w:r>
    </w:p>
    <w:p w14:paraId="4ECDA768" w14:textId="77777777" w:rsidR="004B2808" w:rsidRDefault="00000000">
      <w:r>
        <w:t xml:space="preserve">Epaisseur : </w:t>
      </w:r>
      <w:r>
        <w:rPr>
          <w:rStyle w:val="optioncarChar"/>
        </w:rPr>
        <w:t>12 </w:t>
      </w:r>
      <w:r>
        <w:t xml:space="preserve">(par défaut) </w:t>
      </w:r>
      <w:r>
        <w:rPr>
          <w:rStyle w:val="optioncarChar"/>
        </w:rPr>
        <w:t>/ 15 / 18 / 22 / ***</w:t>
      </w:r>
      <w:r>
        <w:t xml:space="preserve"> mm</w:t>
      </w:r>
    </w:p>
    <w:p w14:paraId="429C2C74" w14:textId="77777777" w:rsidR="004B2808" w:rsidRDefault="00000000">
      <w:pPr>
        <w:pStyle w:val="pheading"/>
      </w:pPr>
      <w:r>
        <w:t>MESURAGE</w:t>
      </w:r>
    </w:p>
    <w:p w14:paraId="7C6238A7" w14:textId="77777777" w:rsidR="004B2808" w:rsidRDefault="00000000">
      <w:r>
        <w:t>Conformément aux indications spécifiques dans le cahier spécial des charges et/ou le métré récapitulatif, le mesurage doit toujours être conçu comme suit :</w:t>
      </w:r>
    </w:p>
    <w:p w14:paraId="5F2448B1" w14:textId="77777777" w:rsidR="004B2808" w:rsidRDefault="00000000">
      <w:pPr>
        <w:pStyle w:val="pheading"/>
      </w:pPr>
      <w:r>
        <w:t>- unité de mesure:</w:t>
      </w:r>
    </w:p>
    <w:p w14:paraId="0E05890B" w14:textId="77777777" w:rsidR="004B2808" w:rsidRDefault="00000000">
      <w:r>
        <w:lastRenderedPageBreak/>
        <w:t>m²</w:t>
      </w:r>
    </w:p>
    <w:p w14:paraId="05671D34" w14:textId="77777777" w:rsidR="004B2808" w:rsidRDefault="00000000">
      <w:pPr>
        <w:pStyle w:val="pheading"/>
      </w:pPr>
      <w:r>
        <w:t>- code de mesurage:</w:t>
      </w:r>
    </w:p>
    <w:p w14:paraId="5FD7FBD3" w14:textId="77777777" w:rsidR="004B2808" w:rsidRDefault="00000000">
      <w:r>
        <w:t>Surface nette mesurée entre le nu des murs, calculée sur la base des dimensions nominales en cm. Les baies de porte sont comptées, les ouvertures supérieures à 0,5 m² sont déduites. Le total est arrondi à la première décimale.</w:t>
      </w:r>
    </w:p>
    <w:p w14:paraId="7BE4C6BC" w14:textId="77777777" w:rsidR="004B2808" w:rsidRDefault="00000000">
      <w:r>
        <w:t>Le prix est toujours indiqué au m² pour tous les ouvrages et fournitures, y compris les surépaisseurs éventuelles.</w:t>
      </w:r>
    </w:p>
    <w:p w14:paraId="12A90885" w14:textId="77777777" w:rsidR="004B2808" w:rsidRDefault="00000000">
      <w:pPr>
        <w:pStyle w:val="pheading"/>
      </w:pPr>
      <w:r>
        <w:t>- nature du marché:</w:t>
      </w:r>
    </w:p>
    <w:p w14:paraId="79B89148" w14:textId="77777777" w:rsidR="004B2808" w:rsidRDefault="00000000">
      <w:r>
        <w:t>QF</w:t>
      </w:r>
    </w:p>
    <w:p w14:paraId="38AA757C" w14:textId="77777777" w:rsidR="004B2808" w:rsidRDefault="00000000">
      <w:pPr>
        <w:pStyle w:val="Author-eSectionHeading6Numberless"/>
      </w:pPr>
      <w:bookmarkStart w:id="576" w:name="_Toc220490742"/>
      <w:r>
        <w:t>53.23.4c Chapes flottantes, sèches à panneaux/plaques en bois, à panneaux en contreplaqué marin CCTB 01.02</w:t>
      </w:r>
      <w:bookmarkEnd w:id="576"/>
    </w:p>
    <w:p w14:paraId="7E69F979" w14:textId="77777777" w:rsidR="004B2808" w:rsidRDefault="00000000">
      <w:pPr>
        <w:pStyle w:val="pheading"/>
      </w:pPr>
      <w:r>
        <w:t>MATÉRIAUX</w:t>
      </w:r>
    </w:p>
    <w:p w14:paraId="42949895" w14:textId="77777777" w:rsidR="004B2808" w:rsidRDefault="00000000">
      <w:pPr>
        <w:pStyle w:val="pheading"/>
      </w:pPr>
      <w:r>
        <w:t>- Prescriptions complémentaires</w:t>
      </w:r>
    </w:p>
    <w:p w14:paraId="59AE6F42" w14:textId="77777777" w:rsidR="004B2808" w:rsidRDefault="00000000">
      <w:r>
        <w:rPr>
          <w:i/>
        </w:rPr>
        <w:t>Note pour l'auteur de projet</w:t>
      </w:r>
      <w:r>
        <w:t xml:space="preserve">: le panneau en contreplaqué marin correspond au panneau en contreplaqué défini dans l'article </w:t>
      </w:r>
      <w:hyperlink w:anchor="1253" w:history="1">
        <w:r w:rsidR="004B2808">
          <w:rPr>
            <w:color w:val="0000EE"/>
          </w:rPr>
          <w:t>53.23.4b Chapes flottantes, sèches à panneaux/plaques en bois, à panneaux multiplex</w:t>
        </w:r>
      </w:hyperlink>
      <w:r>
        <w:t>.</w:t>
      </w:r>
    </w:p>
    <w:p w14:paraId="13EF1CBB" w14:textId="77777777" w:rsidR="004B2808" w:rsidRDefault="00000000">
      <w:pPr>
        <w:pStyle w:val="pheading"/>
      </w:pPr>
      <w:r>
        <w:t>MESURAGE</w:t>
      </w:r>
    </w:p>
    <w:p w14:paraId="572DFF09" w14:textId="77777777" w:rsidR="004B2808" w:rsidRDefault="00000000">
      <w:r>
        <w:t>Conformément aux indications spécifiques dans le cahier spécial des charges et/ou le métré récapitulatif, le mesurage doit toujours être conçu comme suit :</w:t>
      </w:r>
    </w:p>
    <w:p w14:paraId="1A9DD297" w14:textId="77777777" w:rsidR="004B2808" w:rsidRDefault="00000000">
      <w:pPr>
        <w:pStyle w:val="pheading"/>
      </w:pPr>
      <w:r>
        <w:t>- unité de mesure:</w:t>
      </w:r>
    </w:p>
    <w:p w14:paraId="33A4A7EC" w14:textId="77777777" w:rsidR="004B2808" w:rsidRDefault="00000000">
      <w:r>
        <w:t>m²</w:t>
      </w:r>
    </w:p>
    <w:p w14:paraId="4ECAE3FF" w14:textId="77777777" w:rsidR="004B2808" w:rsidRDefault="00000000">
      <w:pPr>
        <w:pStyle w:val="pheading"/>
      </w:pPr>
      <w:r>
        <w:t>- code de mesurage:</w:t>
      </w:r>
    </w:p>
    <w:p w14:paraId="5899909E" w14:textId="77777777" w:rsidR="004B2808" w:rsidRDefault="00000000">
      <w:r>
        <w:t>Surface nette mesurée entre le nu des murs, calculée sur la base des dimensions nominales en cm. Les baies de porte sont comptées, les ouvertures supérieures à 0,5 m² sont déduites. Le total est arrondi à la première décimale.</w:t>
      </w:r>
    </w:p>
    <w:p w14:paraId="164DD538" w14:textId="77777777" w:rsidR="004B2808" w:rsidRDefault="00000000">
      <w:r>
        <w:t>Le prix est toujours indiqué au m² pour tous les ouvrages et fournitures, y compris les surépaisseurs éventuelles.</w:t>
      </w:r>
    </w:p>
    <w:p w14:paraId="42F97453" w14:textId="77777777" w:rsidR="004B2808" w:rsidRDefault="00000000">
      <w:pPr>
        <w:pStyle w:val="pheading"/>
      </w:pPr>
      <w:r>
        <w:t>- nature du marché:</w:t>
      </w:r>
    </w:p>
    <w:p w14:paraId="76F069B8" w14:textId="77777777" w:rsidR="004B2808" w:rsidRDefault="00000000">
      <w:r>
        <w:t>QF</w:t>
      </w:r>
    </w:p>
    <w:p w14:paraId="0014A252" w14:textId="77777777" w:rsidR="004B2808" w:rsidRDefault="00000000">
      <w:pPr>
        <w:pStyle w:val="Author-eSectionHeading6Numberless"/>
      </w:pPr>
      <w:bookmarkStart w:id="577" w:name="_Toc220490743"/>
      <w:r>
        <w:t>53.23.4d Chapes flottantes, sèches à panneaux/plaques en bois, à panneaux en OSB CCTB 01.10</w:t>
      </w:r>
      <w:bookmarkEnd w:id="577"/>
    </w:p>
    <w:p w14:paraId="32A3DB9D" w14:textId="77777777" w:rsidR="004B2808" w:rsidRDefault="00000000">
      <w:pPr>
        <w:pStyle w:val="pheading"/>
      </w:pPr>
      <w:r>
        <w:t>MATÉRIAUX</w:t>
      </w:r>
    </w:p>
    <w:p w14:paraId="532CD5E0" w14:textId="77777777" w:rsidR="004B2808" w:rsidRDefault="00000000">
      <w:pPr>
        <w:pStyle w:val="pheading"/>
      </w:pPr>
      <w:r>
        <w:t>- Caractéristiques générales</w:t>
      </w:r>
    </w:p>
    <w:p w14:paraId="7A15D08F" w14:textId="77777777" w:rsidR="004B2808" w:rsidRDefault="00000000">
      <w:r>
        <w:t>Les panneaux OSB répondent aux spécifications de la norme [NBN EN 300]; ils sont classés OSB1 (ou OSB2) dans des applications sans risque d'humidité et OSB3 (ou OSB4) dans des applications avec risque d'humidité.</w:t>
      </w:r>
    </w:p>
    <w:p w14:paraId="31EEE427" w14:textId="77777777" w:rsidR="004B2808" w:rsidRDefault="00000000">
      <w:pPr>
        <w:pStyle w:val="pheading"/>
      </w:pPr>
      <w:r>
        <w:t>- Prescriptions complémentaires</w:t>
      </w:r>
    </w:p>
    <w:p w14:paraId="34B37CB8" w14:textId="77777777" w:rsidR="004B2808" w:rsidRDefault="00000000">
      <w:r>
        <w:t>Epaisseur:</w:t>
      </w:r>
      <w:r>
        <w:rPr>
          <w:rStyle w:val="optioncarChar"/>
        </w:rPr>
        <w:t> 12 </w:t>
      </w:r>
      <w:r>
        <w:t xml:space="preserve">(par défaut) </w:t>
      </w:r>
      <w:r>
        <w:rPr>
          <w:rStyle w:val="optioncarChar"/>
        </w:rPr>
        <w:t>/ 15 / 18 / 22 / ***</w:t>
      </w:r>
      <w:r>
        <w:t xml:space="preserve"> mm</w:t>
      </w:r>
    </w:p>
    <w:p w14:paraId="64C45C6F" w14:textId="77777777" w:rsidR="004B2808" w:rsidRDefault="00000000">
      <w:pPr>
        <w:pStyle w:val="pheading"/>
      </w:pPr>
      <w:r>
        <w:t>MESURAGE</w:t>
      </w:r>
    </w:p>
    <w:p w14:paraId="5C1AF400" w14:textId="77777777" w:rsidR="004B2808" w:rsidRDefault="00000000">
      <w:r>
        <w:t>Conformément aux indications spécifiques dans le cahier spécial des charges et/ou le métré récapitulatif, le mesurage doit toujours être conçu comme suit :</w:t>
      </w:r>
    </w:p>
    <w:p w14:paraId="110F9080" w14:textId="77777777" w:rsidR="004B2808" w:rsidRDefault="00000000">
      <w:pPr>
        <w:pStyle w:val="pheading"/>
      </w:pPr>
      <w:r>
        <w:lastRenderedPageBreak/>
        <w:t>- unité de mesure:</w:t>
      </w:r>
    </w:p>
    <w:p w14:paraId="1D273294" w14:textId="77777777" w:rsidR="004B2808" w:rsidRDefault="00000000">
      <w:r>
        <w:t>m²</w:t>
      </w:r>
    </w:p>
    <w:p w14:paraId="03CC1476" w14:textId="77777777" w:rsidR="004B2808" w:rsidRDefault="00000000">
      <w:pPr>
        <w:pStyle w:val="pheading"/>
      </w:pPr>
      <w:r>
        <w:t>- code de mesurage:</w:t>
      </w:r>
    </w:p>
    <w:p w14:paraId="4739AB4A" w14:textId="77777777" w:rsidR="004B2808" w:rsidRDefault="00000000">
      <w:r>
        <w:t>Surface nette mesurée entre le nu des murs, calculée sur la base des dimensions nominales en cm. Les baies de porte sont comptées, les ouvertures supérieures à 0,5 m² sont déduites. Le total est arrondi à la première décimale.</w:t>
      </w:r>
    </w:p>
    <w:p w14:paraId="0A6D071C" w14:textId="77777777" w:rsidR="004B2808" w:rsidRDefault="00000000">
      <w:r>
        <w:t>Le prix est toujours indiqué au m² pour tous les ouvrages et fournitures, y compris les surépaisseurs éventuelles.</w:t>
      </w:r>
    </w:p>
    <w:p w14:paraId="13B66CC1" w14:textId="77777777" w:rsidR="004B2808" w:rsidRDefault="00000000">
      <w:pPr>
        <w:pStyle w:val="pheading"/>
      </w:pPr>
      <w:r>
        <w:t>- nature du marché:</w:t>
      </w:r>
    </w:p>
    <w:p w14:paraId="5876E8B3" w14:textId="77777777" w:rsidR="004B2808" w:rsidRDefault="00000000">
      <w:r>
        <w:t>QF</w:t>
      </w:r>
    </w:p>
    <w:p w14:paraId="64CA0AE5" w14:textId="77777777" w:rsidR="004B2808" w:rsidRDefault="00000000">
      <w:pPr>
        <w:pStyle w:val="Author-eSectionHeading5Numberless"/>
      </w:pPr>
      <w:bookmarkStart w:id="578" w:name="_Toc220490744"/>
      <w:r>
        <w:t>53.23.5 Chapes flottantes, sèches à panneaux/plaques à base de fibro-plâtre CCTB 01.02</w:t>
      </w:r>
      <w:bookmarkEnd w:id="578"/>
    </w:p>
    <w:p w14:paraId="3610D44D" w14:textId="77777777" w:rsidR="004B2808" w:rsidRDefault="00000000">
      <w:pPr>
        <w:pStyle w:val="Author-eSectionHeading6Numberless"/>
      </w:pPr>
      <w:bookmarkStart w:id="579" w:name="_Toc220490745"/>
      <w:r>
        <w:t>53.23.5a Chapes flottantes, sèches à panneaux/plaques à base de fibro-plâtre CCTB 01.02</w:t>
      </w:r>
      <w:bookmarkEnd w:id="579"/>
    </w:p>
    <w:p w14:paraId="3EAD5109" w14:textId="77777777" w:rsidR="004B2808" w:rsidRDefault="00000000">
      <w:pPr>
        <w:pStyle w:val="Author-eSectionHeading5Numberless"/>
      </w:pPr>
      <w:bookmarkStart w:id="580" w:name="_Toc220490746"/>
      <w:r>
        <w:t>53.23.6 Chapes flottantes, sèches à panneaux/plaques à base de fibro-ciment CCTB 01.02</w:t>
      </w:r>
      <w:bookmarkEnd w:id="580"/>
    </w:p>
    <w:p w14:paraId="1A0A8F8D" w14:textId="77777777" w:rsidR="004B2808" w:rsidRDefault="00000000">
      <w:pPr>
        <w:pStyle w:val="Author-eSectionHeading6Numberless"/>
      </w:pPr>
      <w:bookmarkStart w:id="581" w:name="_Toc220490747"/>
      <w:r>
        <w:t>53.23.6a Chapes flottantes, sèches à panneaux/plaques à base de fibro-ciment CCTB 01.11</w:t>
      </w:r>
      <w:bookmarkEnd w:id="581"/>
    </w:p>
    <w:p w14:paraId="2231E06D" w14:textId="77777777" w:rsidR="004B2808" w:rsidRDefault="00000000">
      <w:pPr>
        <w:pStyle w:val="pheading"/>
      </w:pPr>
      <w:r>
        <w:t>DESCRIPTION</w:t>
      </w:r>
    </w:p>
    <w:p w14:paraId="6E7B8505" w14:textId="77777777" w:rsidR="004B2808" w:rsidRDefault="00000000">
      <w:pPr>
        <w:pStyle w:val="pheading"/>
      </w:pPr>
      <w:r>
        <w:t>- Définition / Comprend</w:t>
      </w:r>
    </w:p>
    <w:p w14:paraId="13AAFF57" w14:textId="77777777" w:rsidR="004B2808" w:rsidRDefault="00000000">
      <w:pPr>
        <w:jc w:val="both"/>
      </w:pPr>
      <w:r>
        <w:t>Il s’agit de la fourniture et la pose de chapes flottantes, sèches à panneaux/plaques à base de fibro-ciment.</w:t>
      </w:r>
    </w:p>
    <w:p w14:paraId="22125D16" w14:textId="77777777" w:rsidR="004B2808" w:rsidRDefault="00000000">
      <w:pPr>
        <w:jc w:val="both"/>
      </w:pPr>
      <w:r>
        <w:t>Le travail comprend notamment :</w:t>
      </w:r>
    </w:p>
    <w:p w14:paraId="3589DC7A" w14:textId="77777777" w:rsidR="004B2808" w:rsidRDefault="00000000">
      <w:pPr>
        <w:pStyle w:val="Author-eListParagraph"/>
        <w:numPr>
          <w:ilvl w:val="0"/>
          <w:numId w:val="505"/>
        </w:numPr>
      </w:pPr>
      <w:r>
        <w:t>Nettoyage du support ;</w:t>
      </w:r>
    </w:p>
    <w:p w14:paraId="04DBF2BD" w14:textId="77777777" w:rsidR="004B2808" w:rsidRDefault="00000000">
      <w:pPr>
        <w:pStyle w:val="Author-eListParagraph"/>
        <w:numPr>
          <w:ilvl w:val="0"/>
          <w:numId w:val="505"/>
        </w:numPr>
      </w:pPr>
      <w:r>
        <w:t>Égalisation du support ;</w:t>
      </w:r>
    </w:p>
    <w:p w14:paraId="04FBFBE7" w14:textId="77777777" w:rsidR="004B2808" w:rsidRDefault="00000000">
      <w:pPr>
        <w:pStyle w:val="Author-eListParagraph"/>
        <w:numPr>
          <w:ilvl w:val="0"/>
          <w:numId w:val="505"/>
        </w:numPr>
      </w:pPr>
      <w:r>
        <w:t>Réalisation de tous percements pour traversées d’équipements techniques et pose de fourreaux autour de ces traversées techniques ;</w:t>
      </w:r>
    </w:p>
    <w:p w14:paraId="51FB8C15" w14:textId="77777777" w:rsidR="004B2808" w:rsidRDefault="00000000">
      <w:pPr>
        <w:pStyle w:val="Author-eListParagraph"/>
        <w:numPr>
          <w:ilvl w:val="0"/>
          <w:numId w:val="505"/>
        </w:numPr>
      </w:pPr>
      <w:r>
        <w:t>L'évacuation et la gestion des déchets générés par les travaux de pose  conformément à la section 07 Déchets, matériaux et éléments réemployables fait partie du prix unitaire du présent article.</w:t>
      </w:r>
    </w:p>
    <w:p w14:paraId="3A39E030" w14:textId="77777777" w:rsidR="004B2808" w:rsidRDefault="00000000">
      <w:pPr>
        <w:jc w:val="both"/>
      </w:pPr>
      <w:r>
        <w:t xml:space="preserve">L’isolation thermique est décrite et métrée au </w:t>
      </w:r>
      <w:hyperlink w:anchor="73" w:history="1">
        <w:r w:rsidR="004B2808">
          <w:rPr>
            <w:color w:val="0000EE"/>
          </w:rPr>
          <w:t>52.4 Isolation</w:t>
        </w:r>
      </w:hyperlink>
      <w:r>
        <w:t>.</w:t>
      </w:r>
    </w:p>
    <w:p w14:paraId="595A741E" w14:textId="77777777" w:rsidR="004B2808" w:rsidRDefault="00000000">
      <w:pPr>
        <w:pStyle w:val="pheading"/>
      </w:pPr>
      <w:r>
        <w:t>MATÉRIAUX</w:t>
      </w:r>
    </w:p>
    <w:p w14:paraId="7E258533" w14:textId="77777777" w:rsidR="004B2808" w:rsidRDefault="00000000">
      <w:pPr>
        <w:pStyle w:val="pheading"/>
      </w:pPr>
      <w:r>
        <w:t>- Caractéristiques générales</w:t>
      </w:r>
    </w:p>
    <w:p w14:paraId="007401B9" w14:textId="77777777" w:rsidR="004B2808" w:rsidRDefault="00000000">
      <w:r>
        <w:t xml:space="preserve">Réaction au feu des panneaux : </w:t>
      </w:r>
      <w:r>
        <w:rPr>
          <w:rStyle w:val="optioncarChar"/>
        </w:rPr>
        <w:t>A1 / A2-s1,d0</w:t>
      </w:r>
      <w:r>
        <w:br/>
        <w:t xml:space="preserve">Catégorie de charge selon [NBN EN 1991-1-1] : </w:t>
      </w:r>
      <w:r>
        <w:rPr>
          <w:rStyle w:val="optioncarChar"/>
        </w:rPr>
        <w:t>A / B / C</w:t>
      </w:r>
      <w:r>
        <w:br/>
        <w:t xml:space="preserve">Affaiblissement acoustique ∆L </w:t>
      </w:r>
      <w:r>
        <w:rPr>
          <w:vertAlign w:val="subscript"/>
        </w:rPr>
        <w:t>w,r</w:t>
      </w:r>
      <w:r>
        <w:t xml:space="preserve"> :</w:t>
      </w:r>
      <w:r>
        <w:rPr>
          <w:rStyle w:val="optioncarChar"/>
        </w:rPr>
        <w:t xml:space="preserve"> ***</w:t>
      </w:r>
      <w:r>
        <w:t xml:space="preserve"> dB</w:t>
      </w:r>
      <w:r>
        <w:br/>
        <w:t>Panneaux en fibro-ciment armé :</w:t>
      </w:r>
      <w:r>
        <w:rPr>
          <w:rStyle w:val="optioncarChar"/>
        </w:rPr>
        <w:t xml:space="preserve"> fibres de bois </w:t>
      </w:r>
      <w:r>
        <w:t>(par défaut)</w:t>
      </w:r>
      <w:r>
        <w:rPr>
          <w:rStyle w:val="optioncarChar"/>
        </w:rPr>
        <w:t xml:space="preserve"> / fibres de verre / fibres de cellulose / ***</w:t>
      </w:r>
      <w:r>
        <w:br/>
        <w:t xml:space="preserve">Panneaux composés de : </w:t>
      </w:r>
      <w:r>
        <w:rPr>
          <w:rStyle w:val="optioncarChar"/>
        </w:rPr>
        <w:t>1 plaque avec tenon et mortaise</w:t>
      </w:r>
      <w:r>
        <w:t> (par défaut)</w:t>
      </w:r>
      <w:r>
        <w:rPr>
          <w:rStyle w:val="optioncarChar"/>
        </w:rPr>
        <w:t xml:space="preserve"> / 2 plaques contrecollées décalées de 50mm / 1 plaque avec feuillure sur les 4 faces</w:t>
      </w:r>
    </w:p>
    <w:p w14:paraId="7D72C3FC" w14:textId="77777777" w:rsidR="004B2808" w:rsidRDefault="00000000">
      <w:pPr>
        <w:pStyle w:val="Author-eListParagraph"/>
        <w:numPr>
          <w:ilvl w:val="0"/>
          <w:numId w:val="506"/>
        </w:numPr>
      </w:pPr>
      <w:r>
        <w:t xml:space="preserve">Densité : ± </w:t>
      </w:r>
      <w:r>
        <w:rPr>
          <w:rStyle w:val="optioncarChar"/>
        </w:rPr>
        <w:t>1200</w:t>
      </w:r>
      <w:r>
        <w:t xml:space="preserve"> (par défaut) </w:t>
      </w:r>
      <w:r>
        <w:rPr>
          <w:rStyle w:val="optioncarChar"/>
        </w:rPr>
        <w:t>/ 1350 / 1500 / ***</w:t>
      </w:r>
      <w:r>
        <w:t xml:space="preserve"> kg/m3</w:t>
      </w:r>
    </w:p>
    <w:p w14:paraId="36D59A14" w14:textId="77777777" w:rsidR="004B2808" w:rsidRDefault="00000000">
      <w:pPr>
        <w:pStyle w:val="Author-eListParagraph"/>
        <w:numPr>
          <w:ilvl w:val="0"/>
          <w:numId w:val="506"/>
        </w:numPr>
      </w:pPr>
      <w:r>
        <w:t xml:space="preserve">Épaisseur : </w:t>
      </w:r>
      <w:r>
        <w:rPr>
          <w:rStyle w:val="optioncarChar"/>
        </w:rPr>
        <w:t>18 / 20 / 22 / 24 / 25 / 26 / ***</w:t>
      </w:r>
      <w:r>
        <w:t xml:space="preserve"> mm</w:t>
      </w:r>
    </w:p>
    <w:p w14:paraId="3B84B620" w14:textId="77777777" w:rsidR="004B2808" w:rsidRDefault="00000000">
      <w:r>
        <w:rPr>
          <w:b/>
        </w:rPr>
        <w:t>Aspects environnementaux :</w:t>
      </w:r>
    </w:p>
    <w:p w14:paraId="6D4BC0B0" w14:textId="77777777" w:rsidR="004B2808" w:rsidRDefault="00000000">
      <w:pPr>
        <w:pStyle w:val="Author-eListParagraph"/>
        <w:numPr>
          <w:ilvl w:val="0"/>
          <w:numId w:val="507"/>
        </w:numPr>
      </w:pPr>
      <w:r>
        <w:t xml:space="preserve">Émissions dans l’air intérieur : </w:t>
      </w:r>
      <w:r>
        <w:rPr>
          <w:rStyle w:val="optioncarChar"/>
        </w:rPr>
        <w:t>A+</w:t>
      </w:r>
      <w:r>
        <w:t xml:space="preserve"> (par défaut)</w:t>
      </w:r>
      <w:r>
        <w:rPr>
          <w:rStyle w:val="optioncarChar"/>
        </w:rPr>
        <w:t xml:space="preserve"> / ***</w:t>
      </w:r>
    </w:p>
    <w:p w14:paraId="0E2C22B1" w14:textId="77777777" w:rsidR="004B2808" w:rsidRDefault="00000000">
      <w:pPr>
        <w:pStyle w:val="Author-eListParagraph"/>
        <w:numPr>
          <w:ilvl w:val="0"/>
          <w:numId w:val="507"/>
        </w:numPr>
      </w:pPr>
      <w:r>
        <w:lastRenderedPageBreak/>
        <w:t>La fixation mécanique des panneaux permet le démontage et la réutilisation éventuelle.</w:t>
      </w:r>
    </w:p>
    <w:p w14:paraId="4E3B926D" w14:textId="77777777" w:rsidR="004B2808" w:rsidRDefault="00000000">
      <w:pPr>
        <w:pStyle w:val="pheading"/>
      </w:pPr>
      <w:r>
        <w:t>EXÉCUTION / MISE EN ŒUVRE</w:t>
      </w:r>
    </w:p>
    <w:p w14:paraId="5E6D4D4B" w14:textId="77777777" w:rsidR="004B2808" w:rsidRDefault="00000000">
      <w:pPr>
        <w:pStyle w:val="pheading"/>
      </w:pPr>
      <w:r>
        <w:t>- Prescriptions générales</w:t>
      </w:r>
    </w:p>
    <w:p w14:paraId="223B0D17" w14:textId="77777777" w:rsidR="004B2808" w:rsidRDefault="00000000">
      <w:r>
        <w:t>La mise en œuvre est exécutée conformément à la documentation technique accompagnant les produits.</w:t>
      </w:r>
      <w:r>
        <w:br/>
        <w:t xml:space="preserve">Tolérance de planéité de la chape sèche : </w:t>
      </w:r>
      <w:r>
        <w:rPr>
          <w:rStyle w:val="optioncarChar"/>
        </w:rPr>
        <w:t>normale</w:t>
      </w:r>
      <w:r>
        <w:t xml:space="preserve"> (par défaut)</w:t>
      </w:r>
      <w:r>
        <w:rPr>
          <w:rStyle w:val="optioncarChar"/>
        </w:rPr>
        <w:t xml:space="preserve"> / sévère / faible</w:t>
      </w:r>
      <w:r>
        <w:br/>
        <w:t xml:space="preserve">Bande périphérique en : </w:t>
      </w:r>
      <w:r>
        <w:rPr>
          <w:rStyle w:val="optioncarChar"/>
        </w:rPr>
        <w:t>laine de roche</w:t>
      </w:r>
      <w:r>
        <w:t xml:space="preserve"> (par défaut) </w:t>
      </w:r>
      <w:r>
        <w:rPr>
          <w:rStyle w:val="optioncarChar"/>
        </w:rPr>
        <w:t>/ polyéthylène extrudé / ***</w:t>
      </w:r>
    </w:p>
    <w:p w14:paraId="4E71F2D6" w14:textId="77777777" w:rsidR="004B2808" w:rsidRDefault="00000000">
      <w:r>
        <w:t>Égalisation du support :</w:t>
      </w:r>
    </w:p>
    <w:p w14:paraId="047DE086" w14:textId="77777777" w:rsidR="004B2808" w:rsidRDefault="00000000">
      <w:pPr>
        <w:pStyle w:val="Author-eListParagraph"/>
        <w:numPr>
          <w:ilvl w:val="0"/>
          <w:numId w:val="508"/>
        </w:numPr>
      </w:pPr>
      <w:r>
        <w:t xml:space="preserve">en cas d’inégalités de 5 à 20 mm : </w:t>
      </w:r>
      <w:r>
        <w:rPr>
          <w:rStyle w:val="optioncarChar"/>
        </w:rPr>
        <w:t xml:space="preserve">enduit d’égalisation </w:t>
      </w:r>
      <w:r>
        <w:t>(par défaut)</w:t>
      </w:r>
      <w:r>
        <w:rPr>
          <w:rStyle w:val="optioncarChar"/>
        </w:rPr>
        <w:t xml:space="preserve"> / couche anhydrite / ***</w:t>
      </w:r>
    </w:p>
    <w:p w14:paraId="6C1B33EB" w14:textId="77777777" w:rsidR="004B2808" w:rsidRDefault="00000000">
      <w:pPr>
        <w:pStyle w:val="Author-eListParagraph"/>
        <w:numPr>
          <w:ilvl w:val="0"/>
          <w:numId w:val="508"/>
        </w:numPr>
      </w:pPr>
      <w:r>
        <w:t>en cas d’inégalités &gt; 20mm : couche d’égalisation à l’aide de :  </w:t>
      </w:r>
      <w:r>
        <w:rPr>
          <w:rStyle w:val="optioncarChar"/>
        </w:rPr>
        <w:t xml:space="preserve">granules d’égalisation anhydrite </w:t>
      </w:r>
      <w:r>
        <w:t>(par défaut)</w:t>
      </w:r>
      <w:r>
        <w:rPr>
          <w:rStyle w:val="optioncarChar"/>
        </w:rPr>
        <w:t xml:space="preserve"> / granules mousse de polystyrène recyclé amalgamées au ciment / ***</w:t>
      </w:r>
    </w:p>
    <w:p w14:paraId="6AA3A3E6" w14:textId="77777777" w:rsidR="004B2808" w:rsidRDefault="00000000">
      <w:r>
        <w:t>En cas de risque de remontée capillaire : pose d’une feuille PE 0,3 mm avec chevauchement de 150 mm.</w:t>
      </w:r>
      <w:r>
        <w:br/>
        <w:t xml:space="preserve">Pose de la couche d’isolation thermique tel que décrit au </w:t>
      </w:r>
      <w:hyperlink w:anchor="73" w:history="1">
        <w:r w:rsidR="004B2808">
          <w:rPr>
            <w:color w:val="0000EE"/>
          </w:rPr>
          <w:t>52.4 Isolation</w:t>
        </w:r>
      </w:hyperlink>
    </w:p>
    <w:p w14:paraId="22D38D31" w14:textId="77777777" w:rsidR="004B2808" w:rsidRDefault="00000000">
      <w:r>
        <w:t xml:space="preserve">Pose de panneaux à base de fibro-ciment : </w:t>
      </w:r>
      <w:r>
        <w:rPr>
          <w:rStyle w:val="optioncarChar"/>
        </w:rPr>
        <w:t>1 couche</w:t>
      </w:r>
      <w:r>
        <w:t xml:space="preserve"> (par défaut)</w:t>
      </w:r>
      <w:r>
        <w:rPr>
          <w:rStyle w:val="optioncarChar"/>
        </w:rPr>
        <w:t xml:space="preserve"> / 2 couches</w:t>
      </w:r>
    </w:p>
    <w:p w14:paraId="28DC5417" w14:textId="77777777" w:rsidR="004B2808" w:rsidRDefault="00000000">
      <w:r>
        <w:rPr>
          <w:b/>
        </w:rPr>
        <w:t>(soit par défaut)</w:t>
      </w:r>
      <w:r>
        <w:br/>
      </w:r>
      <w:r>
        <w:rPr>
          <w:rStyle w:val="soitChar"/>
          <w:u w:val="single"/>
        </w:rPr>
        <w:t>1 couche</w:t>
      </w:r>
      <w:r>
        <w:br/>
      </w:r>
      <w:r>
        <w:rPr>
          <w:b/>
        </w:rPr>
        <w:t>(soit)</w:t>
      </w:r>
      <w:r>
        <w:br/>
      </w:r>
      <w:r>
        <w:rPr>
          <w:rStyle w:val="soitChar"/>
          <w:u w:val="single"/>
        </w:rPr>
        <w:t>2 couches :</w:t>
      </w:r>
      <w:r>
        <w:rPr>
          <w:rStyle w:val="soitChar"/>
        </w:rPr>
        <w:t xml:space="preserve"> recouvrement à joints décalés de :</w:t>
      </w:r>
      <w:r>
        <w:t xml:space="preserve">  </w:t>
      </w:r>
      <w:r>
        <w:rPr>
          <w:rStyle w:val="optioncarChar"/>
        </w:rPr>
        <w:t>± 35</w:t>
      </w:r>
      <w:r>
        <w:t xml:space="preserve"> (par défaut)</w:t>
      </w:r>
      <w:r>
        <w:rPr>
          <w:rStyle w:val="optioncarChar"/>
        </w:rPr>
        <w:t xml:space="preserve"> / ***</w:t>
      </w:r>
      <w:r>
        <w:t>  </w:t>
      </w:r>
      <w:r>
        <w:rPr>
          <w:rStyle w:val="soitChar"/>
        </w:rPr>
        <w:t>cm</w:t>
      </w:r>
    </w:p>
    <w:p w14:paraId="2792AE2E" w14:textId="77777777" w:rsidR="004B2808" w:rsidRDefault="00000000">
      <w:r>
        <w:t xml:space="preserve">Joint de dilatation tous les : </w:t>
      </w:r>
      <w:r>
        <w:rPr>
          <w:rStyle w:val="optioncarChar"/>
        </w:rPr>
        <w:t xml:space="preserve">20 </w:t>
      </w:r>
      <w:r>
        <w:t>(par défaut)</w:t>
      </w:r>
      <w:r>
        <w:rPr>
          <w:rStyle w:val="optioncarChar"/>
        </w:rPr>
        <w:t xml:space="preserve"> / 15 / ***</w:t>
      </w:r>
      <w:r>
        <w:t xml:space="preserve"> m</w:t>
      </w:r>
    </w:p>
    <w:p w14:paraId="4130DA8D" w14:textId="77777777" w:rsidR="004B2808" w:rsidRDefault="00000000">
      <w:pPr>
        <w:pStyle w:val="Author-eListParagraph"/>
        <w:numPr>
          <w:ilvl w:val="0"/>
          <w:numId w:val="509"/>
        </w:numPr>
      </w:pPr>
      <w:r>
        <w:t>remplis au moyen de :</w:t>
      </w:r>
      <w:r>
        <w:rPr>
          <w:rStyle w:val="optioncarChar"/>
        </w:rPr>
        <w:t xml:space="preserve"> laine minérale</w:t>
      </w:r>
      <w:r>
        <w:t xml:space="preserve"> (par défaut)</w:t>
      </w:r>
      <w:r>
        <w:rPr>
          <w:rStyle w:val="optioncarChar"/>
        </w:rPr>
        <w:t xml:space="preserve"> / EPS / polyéthylène extrudé / ***</w:t>
      </w:r>
    </w:p>
    <w:p w14:paraId="0A3D23C6" w14:textId="77777777" w:rsidR="004B2808" w:rsidRDefault="00000000">
      <w:pPr>
        <w:pStyle w:val="Author-eListParagraph"/>
        <w:numPr>
          <w:ilvl w:val="0"/>
          <w:numId w:val="509"/>
        </w:numPr>
      </w:pPr>
      <w:r>
        <w:t>finition au moyen de :</w:t>
      </w:r>
      <w:r>
        <w:rPr>
          <w:rStyle w:val="optioncarChar"/>
        </w:rPr>
        <w:t xml:space="preserve"> un joint mastic souple </w:t>
      </w:r>
      <w:r>
        <w:t xml:space="preserve">(par défaut) </w:t>
      </w:r>
      <w:r>
        <w:rPr>
          <w:rStyle w:val="optioncarChar"/>
        </w:rPr>
        <w:t>/ une bande d’étanchéité / ***</w:t>
      </w:r>
    </w:p>
    <w:p w14:paraId="66922085" w14:textId="77777777" w:rsidR="004B2808" w:rsidRDefault="00000000">
      <w:r>
        <w:t>Pose des panneaux :</w:t>
      </w:r>
    </w:p>
    <w:p w14:paraId="0EF673FF" w14:textId="77777777" w:rsidR="004B2808" w:rsidRDefault="00000000">
      <w:pPr>
        <w:pStyle w:val="Author-eListParagraph"/>
        <w:numPr>
          <w:ilvl w:val="0"/>
          <w:numId w:val="510"/>
        </w:numPr>
      </w:pPr>
      <w:r>
        <w:t>en quinconce</w:t>
      </w:r>
    </w:p>
    <w:p w14:paraId="1FCCC3C6" w14:textId="77777777" w:rsidR="004B2808" w:rsidRDefault="00000000">
      <w:pPr>
        <w:pStyle w:val="Author-eListParagraph"/>
        <w:numPr>
          <w:ilvl w:val="0"/>
          <w:numId w:val="510"/>
        </w:numPr>
      </w:pPr>
      <w:r>
        <w:t xml:space="preserve">collés au droit de la feuillure + vissés à entre-distance : </w:t>
      </w:r>
      <w:r>
        <w:rPr>
          <w:rStyle w:val="optioncarChar"/>
        </w:rPr>
        <w:t xml:space="preserve">250 </w:t>
      </w:r>
      <w:r>
        <w:t xml:space="preserve">(par défaut) </w:t>
      </w:r>
      <w:r>
        <w:rPr>
          <w:rStyle w:val="optioncarChar"/>
        </w:rPr>
        <w:t>/ 300 / ***</w:t>
      </w:r>
      <w:r>
        <w:t xml:space="preserve"> mm</w:t>
      </w:r>
    </w:p>
    <w:p w14:paraId="0D7F3702" w14:textId="77777777" w:rsidR="004B2808" w:rsidRDefault="00000000">
      <w:pPr>
        <w:pStyle w:val="Author-eListParagraph"/>
        <w:numPr>
          <w:ilvl w:val="0"/>
          <w:numId w:val="510"/>
        </w:numPr>
      </w:pPr>
      <w:r>
        <w:t>finition des joints et têtes de vis au moyen de l’enduit recommandé dans la documentation technique du matériau</w:t>
      </w:r>
    </w:p>
    <w:p w14:paraId="646E046B" w14:textId="77777777" w:rsidR="004B2808" w:rsidRDefault="00000000">
      <w:pPr>
        <w:pStyle w:val="Author-eListParagraph"/>
        <w:numPr>
          <w:ilvl w:val="0"/>
          <w:numId w:val="510"/>
        </w:numPr>
      </w:pPr>
      <w:r>
        <w:t xml:space="preserve">application d’une couche de lissage générale : </w:t>
      </w:r>
      <w:r>
        <w:rPr>
          <w:rStyle w:val="optioncarChar"/>
        </w:rPr>
        <w:t>oui / non</w:t>
      </w:r>
    </w:p>
    <w:p w14:paraId="6BAC5BA7" w14:textId="77777777" w:rsidR="004B2808" w:rsidRDefault="00000000">
      <w:pPr>
        <w:pStyle w:val="pheading"/>
      </w:pPr>
      <w:r>
        <w:t>DOCUMENTS DE RÉFÉRENCE COMPLÉMENTAIRES</w:t>
      </w:r>
    </w:p>
    <w:p w14:paraId="4E450D41" w14:textId="77777777" w:rsidR="004B2808" w:rsidRDefault="00000000">
      <w:pPr>
        <w:pStyle w:val="pheading"/>
      </w:pPr>
      <w:r>
        <w:t>- Matériau</w:t>
      </w:r>
    </w:p>
    <w:p w14:paraId="4A1A4C8E" w14:textId="77777777" w:rsidR="004B2808" w:rsidRDefault="00000000">
      <w:r>
        <w:t>[NIT 193, Les chapes. 2e partie: Mise en oeuvre.]</w:t>
      </w:r>
    </w:p>
    <w:p w14:paraId="6DF7CA89" w14:textId="77777777" w:rsidR="004B2808" w:rsidRDefault="00000000">
      <w:r>
        <w:t>[NBN EN 335, Durabilité du bois et des matériaux à base de bois - Classes d'emploi: définitions, application au bois massif et aux matériaux à base de bois]</w:t>
      </w:r>
    </w:p>
    <w:p w14:paraId="5621D9A3" w14:textId="77777777" w:rsidR="004B2808" w:rsidRDefault="00000000">
      <w:r>
        <w:t>[NBN EN 633, Panneaux de particules liées au ciment - Définition et classification]</w:t>
      </w:r>
    </w:p>
    <w:p w14:paraId="6BA72365" w14:textId="77777777" w:rsidR="004B2808" w:rsidRDefault="00000000">
      <w:r>
        <w:t>[NBN EN 634-2, Panneaux de particules liées au ciment - Exigences - Partie 2 : Exigences pour les panneaux de particules liées au ciment Portland ordinaire utilisés en milieux sec, humide et extérieur]</w:t>
      </w:r>
    </w:p>
    <w:p w14:paraId="0605CA16" w14:textId="77777777" w:rsidR="004B2808" w:rsidRDefault="00000000">
      <w:r>
        <w:t>[NBN S 01-400-1, Critères acoustiques pour les immeubles d'habitation]</w:t>
      </w:r>
    </w:p>
    <w:p w14:paraId="27267327" w14:textId="77777777" w:rsidR="004B2808" w:rsidRDefault="00000000">
      <w:r>
        <w:t>[NBN EN 1991-1-1, Eurocode 1: Actions sur les structures - Partie 1-1: Actions générales - Poids volumiques, poids propres, charges d'exploitation bâtiments (+ AC:2009)]</w:t>
      </w:r>
    </w:p>
    <w:p w14:paraId="091C6BC0" w14:textId="77777777" w:rsidR="004B2808" w:rsidRDefault="00000000">
      <w:r>
        <w:t>[NBN EN 13810-1, Panneaux à base de bois - Planchers flottants - Partie 1: Exigences et spécifications fonctionnelles]</w:t>
      </w:r>
    </w:p>
    <w:p w14:paraId="225E4A4B" w14:textId="77777777" w:rsidR="004B2808" w:rsidRDefault="00000000">
      <w:r>
        <w:t>[NBN EN 13501-1, Classement au feu des produits et éléments de construction - Partie 1: Classement à partir des données d'essais de réaction au feu]</w:t>
      </w:r>
    </w:p>
    <w:p w14:paraId="1654D2CD" w14:textId="77777777" w:rsidR="004B2808" w:rsidRDefault="00000000">
      <w:pPr>
        <w:pStyle w:val="pheading"/>
      </w:pPr>
      <w:r>
        <w:t>MESURAGE</w:t>
      </w:r>
    </w:p>
    <w:p w14:paraId="4F27B4C0" w14:textId="77777777" w:rsidR="004B2808" w:rsidRDefault="00000000">
      <w:pPr>
        <w:pStyle w:val="pheading"/>
      </w:pPr>
      <w:r>
        <w:lastRenderedPageBreak/>
        <w:t>- unité de mesure:</w:t>
      </w:r>
    </w:p>
    <w:p w14:paraId="414DFF05" w14:textId="77777777" w:rsidR="004B2808" w:rsidRDefault="00000000">
      <w:r>
        <w:t>m²</w:t>
      </w:r>
    </w:p>
    <w:p w14:paraId="683D316A" w14:textId="77777777" w:rsidR="004B2808" w:rsidRDefault="00000000">
      <w:pPr>
        <w:pStyle w:val="pheading"/>
      </w:pPr>
      <w:r>
        <w:t>- code de mesurage:</w:t>
      </w:r>
    </w:p>
    <w:p w14:paraId="0E9D9E1B" w14:textId="77777777" w:rsidR="004B2808" w:rsidRDefault="00000000">
      <w:pPr>
        <w:jc w:val="both"/>
      </w:pPr>
      <w:r>
        <w:t xml:space="preserve">Surface nette à exécuter mesurée entre le nu des murs, calculée sur la base des dimensions nominales.  </w:t>
      </w:r>
    </w:p>
    <w:p w14:paraId="4FC7292E" w14:textId="77777777" w:rsidR="004B2808" w:rsidRDefault="00000000">
      <w:pPr>
        <w:jc w:val="both"/>
      </w:pPr>
      <w:r>
        <w:t xml:space="preserve"> Les baies de portes sont comptées.</w:t>
      </w:r>
    </w:p>
    <w:p w14:paraId="2683AC78" w14:textId="77777777" w:rsidR="004B2808" w:rsidRDefault="00000000">
      <w:pPr>
        <w:jc w:val="both"/>
      </w:pPr>
      <w:r>
        <w:t>Les ouvertures ˃ 0,5 m2 sont déduites.</w:t>
      </w:r>
    </w:p>
    <w:p w14:paraId="247C3A82" w14:textId="77777777" w:rsidR="004B2808" w:rsidRDefault="00000000">
      <w:pPr>
        <w:pStyle w:val="pheading"/>
      </w:pPr>
      <w:r>
        <w:t>- nature du marché:</w:t>
      </w:r>
    </w:p>
    <w:p w14:paraId="4CDD4892" w14:textId="77777777" w:rsidR="004B2808" w:rsidRDefault="00000000">
      <w:r>
        <w:t>QF</w:t>
      </w:r>
    </w:p>
    <w:p w14:paraId="6035DD7B" w14:textId="77777777" w:rsidR="004B2808" w:rsidRDefault="00000000">
      <w:pPr>
        <w:pStyle w:val="pheading"/>
      </w:pPr>
      <w:r>
        <w:t>AIDE</w:t>
      </w:r>
    </w:p>
    <w:p w14:paraId="0D7EACBA" w14:textId="77777777" w:rsidR="004B2808" w:rsidRDefault="00000000">
      <w:pPr>
        <w:jc w:val="both"/>
      </w:pPr>
      <w:r>
        <w:t>La résistance à la diffusion « s » du pare-vapeur est :</w:t>
      </w:r>
    </w:p>
    <w:p w14:paraId="4FB50468" w14:textId="77777777" w:rsidR="004B2808" w:rsidRDefault="00000000">
      <w:pPr>
        <w:pStyle w:val="Author-eListParagraph"/>
        <w:numPr>
          <w:ilvl w:val="0"/>
          <w:numId w:val="511"/>
        </w:numPr>
        <w:jc w:val="both"/>
      </w:pPr>
      <w:r>
        <w:t>&gt; 40 m</w:t>
      </w:r>
    </w:p>
    <w:p w14:paraId="6E76E365" w14:textId="77777777" w:rsidR="004B2808" w:rsidRDefault="00000000">
      <w:pPr>
        <w:pStyle w:val="Author-eListParagraph"/>
        <w:numPr>
          <w:ilvl w:val="0"/>
          <w:numId w:val="511"/>
        </w:numPr>
        <w:jc w:val="both"/>
      </w:pPr>
      <w:r>
        <w:t>&gt; à la résistance à la diffusion des matériaux de revêtement de sol.</w:t>
      </w:r>
    </w:p>
    <w:p w14:paraId="61FE7CD2" w14:textId="77777777" w:rsidR="004B2808" w:rsidRDefault="00000000">
      <w:pPr>
        <w:pStyle w:val="Author-eSectionHeading3Numberless"/>
      </w:pPr>
      <w:bookmarkStart w:id="582" w:name="_Toc220490748"/>
      <w:r>
        <w:t>53.3 Sols de type industriel CCTB 01.02</w:t>
      </w:r>
      <w:bookmarkEnd w:id="582"/>
    </w:p>
    <w:p w14:paraId="7B076A1D" w14:textId="77777777" w:rsidR="004B2808" w:rsidRDefault="00000000">
      <w:pPr>
        <w:pStyle w:val="Author-eSectionHeading4Numberless"/>
      </w:pPr>
      <w:bookmarkStart w:id="583" w:name="1129"/>
      <w:bookmarkStart w:id="584" w:name="_Toc220490749"/>
      <w:bookmarkEnd w:id="583"/>
      <w:r>
        <w:t>53.31 Sols de type industriel à base de ciment CCTB 01.12</w:t>
      </w:r>
      <w:bookmarkEnd w:id="584"/>
    </w:p>
    <w:p w14:paraId="667ED4F7" w14:textId="77777777" w:rsidR="004B2808" w:rsidRDefault="00000000">
      <w:pPr>
        <w:pStyle w:val="pheading"/>
      </w:pPr>
      <w:bookmarkStart w:id="585" w:name="1127"/>
      <w:bookmarkEnd w:id="585"/>
      <w:r>
        <w:t>DESCRIPTION</w:t>
      </w:r>
    </w:p>
    <w:p w14:paraId="2ABD0071" w14:textId="77777777" w:rsidR="004B2808" w:rsidRDefault="00000000">
      <w:pPr>
        <w:pStyle w:val="pheading"/>
      </w:pPr>
      <w:r>
        <w:t>- Définition / Comprend</w:t>
      </w:r>
    </w:p>
    <w:p w14:paraId="2FC6BA6E" w14:textId="77777777" w:rsidR="004B2808" w:rsidRDefault="00000000">
      <w:pPr>
        <w:jc w:val="both"/>
      </w:pPr>
      <w:r>
        <w:t>Les sols en béton coulés et parachevés sur place  sont mis en œuvre en une ou plusieurs opérations sur une aire de pose dure afin de constituer en soi un sol achevé. Un revêtement ultérieur est, par conséquent, superflu. Après leur mise en œuvre, les sols industriels sont talochés et polis.  Une couche d'usure spéciale qui satisfait aux exigences spécifiques en matière d'aspect et de résistance peut être incorporée durant le talochage.</w:t>
      </w:r>
    </w:p>
    <w:p w14:paraId="75EADD75" w14:textId="77777777" w:rsidR="004B2808" w:rsidRDefault="00000000">
      <w:pPr>
        <w:jc w:val="both"/>
      </w:pPr>
      <w:r>
        <w:t>Le travail comprend :</w:t>
      </w:r>
    </w:p>
    <w:p w14:paraId="4E3EC6FE" w14:textId="77777777" w:rsidR="004B2808" w:rsidRDefault="00000000">
      <w:pPr>
        <w:pStyle w:val="Author-eListParagraph"/>
        <w:numPr>
          <w:ilvl w:val="0"/>
          <w:numId w:val="512"/>
        </w:numPr>
        <w:jc w:val="both"/>
      </w:pPr>
      <w:r>
        <w:t>la mise en place d’une couche de désolidarisation ;</w:t>
      </w:r>
    </w:p>
    <w:p w14:paraId="5964D0EB" w14:textId="77777777" w:rsidR="004B2808" w:rsidRDefault="00000000">
      <w:pPr>
        <w:pStyle w:val="Author-eListParagraph"/>
        <w:numPr>
          <w:ilvl w:val="0"/>
          <w:numId w:val="512"/>
        </w:numPr>
        <w:jc w:val="both"/>
      </w:pPr>
      <w:r>
        <w:t>le coffrage si besoin ;</w:t>
      </w:r>
    </w:p>
    <w:p w14:paraId="0BAFAEA0" w14:textId="77777777" w:rsidR="004B2808" w:rsidRDefault="00000000">
      <w:pPr>
        <w:pStyle w:val="Author-eListParagraph"/>
        <w:numPr>
          <w:ilvl w:val="0"/>
          <w:numId w:val="512"/>
        </w:numPr>
        <w:jc w:val="both"/>
      </w:pPr>
      <w:r>
        <w:t>la détermination du renforcement nécessaire ;</w:t>
      </w:r>
    </w:p>
    <w:p w14:paraId="6DCAEF23" w14:textId="77777777" w:rsidR="004B2808" w:rsidRDefault="00000000">
      <w:pPr>
        <w:pStyle w:val="Author-eListParagraph"/>
        <w:numPr>
          <w:ilvl w:val="0"/>
          <w:numId w:val="512"/>
        </w:numPr>
        <w:jc w:val="both"/>
      </w:pPr>
      <w:r>
        <w:t>la mise en place du renforcement (fibres, armature) ;</w:t>
      </w:r>
    </w:p>
    <w:p w14:paraId="1D4508B4" w14:textId="77777777" w:rsidR="004B2808" w:rsidRDefault="00000000">
      <w:pPr>
        <w:pStyle w:val="Author-eListParagraph"/>
        <w:numPr>
          <w:ilvl w:val="0"/>
          <w:numId w:val="512"/>
        </w:numPr>
        <w:jc w:val="both"/>
      </w:pPr>
      <w:r>
        <w:t>le coulage du béton et son serrage ;</w:t>
      </w:r>
    </w:p>
    <w:p w14:paraId="7C6BA5F2" w14:textId="77777777" w:rsidR="004B2808" w:rsidRDefault="00000000">
      <w:pPr>
        <w:pStyle w:val="Author-eListParagraph"/>
        <w:numPr>
          <w:ilvl w:val="0"/>
          <w:numId w:val="512"/>
        </w:numPr>
        <w:jc w:val="both"/>
      </w:pPr>
      <w:r>
        <w:t>sa finition ;</w:t>
      </w:r>
    </w:p>
    <w:p w14:paraId="48CA3CD5" w14:textId="77777777" w:rsidR="004B2808" w:rsidRDefault="00000000">
      <w:pPr>
        <w:pStyle w:val="Author-eListParagraph"/>
        <w:numPr>
          <w:ilvl w:val="0"/>
          <w:numId w:val="512"/>
        </w:numPr>
        <w:jc w:val="both"/>
      </w:pPr>
      <w:r>
        <w:t>la cure du béton ;</w:t>
      </w:r>
    </w:p>
    <w:p w14:paraId="118CA467" w14:textId="77777777" w:rsidR="004B2808" w:rsidRDefault="00000000">
      <w:pPr>
        <w:pStyle w:val="Author-eListParagraph"/>
        <w:numPr>
          <w:ilvl w:val="0"/>
          <w:numId w:val="512"/>
        </w:numPr>
        <w:jc w:val="both"/>
      </w:pPr>
      <w:r>
        <w:t xml:space="preserve">les déchets traités conformément à l’élément 07 Déchets, matériaux et éléments réemployables. </w:t>
      </w:r>
    </w:p>
    <w:p w14:paraId="5B8BC1E8" w14:textId="77777777" w:rsidR="004B2808" w:rsidRDefault="00000000">
      <w:pPr>
        <w:pStyle w:val="pheading"/>
      </w:pPr>
      <w:r>
        <w:t>- Remarques importantes</w:t>
      </w:r>
    </w:p>
    <w:p w14:paraId="1B9ACDDB" w14:textId="77777777" w:rsidR="004B2808" w:rsidRDefault="00000000">
      <w:pPr>
        <w:jc w:val="both"/>
      </w:pPr>
      <w:r>
        <w:t>En matière de sécurité incendie, les sols industriels répondent à certaines exigences en fonction du type de bâtiment et de la destination du local dont ils font partie.</w:t>
      </w:r>
    </w:p>
    <w:p w14:paraId="1CD8059B" w14:textId="77777777" w:rsidR="004B2808" w:rsidRDefault="00000000">
      <w:pPr>
        <w:pStyle w:val="pheading"/>
      </w:pPr>
      <w:r>
        <w:t>MATÉRIAUX</w:t>
      </w:r>
    </w:p>
    <w:p w14:paraId="265BC3E2" w14:textId="77777777" w:rsidR="004B2808" w:rsidRDefault="00000000">
      <w:pPr>
        <w:jc w:val="both"/>
      </w:pPr>
      <w:r>
        <w:t>Sauf spécifications particulières dans le cahier spécial des charges, les sols industriels à base de ciment, sont conformes à la [NIT 267].</w:t>
      </w:r>
    </w:p>
    <w:p w14:paraId="29766DE6" w14:textId="77777777" w:rsidR="004B2808" w:rsidRDefault="00000000">
      <w:pPr>
        <w:jc w:val="both"/>
      </w:pPr>
      <w:r>
        <w:t>Le béton est spécifié selon les informations reprises dans la [NIT 267] conformément aux normes [NBN EN 206:2013+A2] et [NBN B 15-001].</w:t>
      </w:r>
    </w:p>
    <w:p w14:paraId="3F62DE41" w14:textId="77777777" w:rsidR="004B2808" w:rsidRDefault="00000000">
      <w:pPr>
        <w:jc w:val="both"/>
      </w:pPr>
      <w:r>
        <w:t>Le diamètre (ø) des granulats est ≤ 1/5 de l’épaisseur du sol rapporté.</w:t>
      </w:r>
    </w:p>
    <w:p w14:paraId="4EF54B50" w14:textId="77777777" w:rsidR="004B2808" w:rsidRDefault="00000000">
      <w:pPr>
        <w:jc w:val="both"/>
      </w:pPr>
      <w:r>
        <w:t>Le béton est spécifié sur base des informations reprises dans [Buildwise Innovation paper 42].</w:t>
      </w:r>
    </w:p>
    <w:p w14:paraId="335724E3" w14:textId="77777777" w:rsidR="004B2808" w:rsidRDefault="00000000">
      <w:pPr>
        <w:ind w:left="750"/>
      </w:pPr>
      <w:r>
        <w:lastRenderedPageBreak/>
        <w:t> </w:t>
      </w:r>
    </w:p>
    <w:p w14:paraId="312EF6BA" w14:textId="77777777" w:rsidR="004B2808" w:rsidRDefault="00000000">
      <w:pPr>
        <w:pStyle w:val="pheading"/>
      </w:pPr>
      <w:r>
        <w:t>EXÉCUTION / MISE EN ŒUVRE</w:t>
      </w:r>
    </w:p>
    <w:p w14:paraId="71BC0460" w14:textId="77777777" w:rsidR="004B2808" w:rsidRDefault="00000000">
      <w:pPr>
        <w:jc w:val="both"/>
      </w:pPr>
      <w:r>
        <w:t>Les sols sont exécutés selon la [NIT 267]. Les courants d'air et le rayonnement intense sont proscrits. Dès que le sol est mis en œuvre, il est traité avec un produit de cure afin de prévenir une dessiccation trop rapide. Lorsque le polissage est effectué en dehors des heures de travail normales, une autorisation est préalablement demandée à la police communale afin d'éviter les problèmes de nuisance acoustique dans le voisinage.</w:t>
      </w:r>
    </w:p>
    <w:p w14:paraId="5500C9AA" w14:textId="77777777" w:rsidR="004B2808" w:rsidRDefault="00000000">
      <w:pPr>
        <w:ind w:left="750"/>
      </w:pPr>
      <w:r>
        <w:t> </w:t>
      </w:r>
    </w:p>
    <w:p w14:paraId="1A456317" w14:textId="77777777" w:rsidR="004B2808" w:rsidRDefault="00000000">
      <w:pPr>
        <w:pStyle w:val="pheading"/>
      </w:pPr>
      <w:r>
        <w:t>CONTRÔLES</w:t>
      </w:r>
    </w:p>
    <w:p w14:paraId="72F72525" w14:textId="77777777" w:rsidR="004B2808" w:rsidRDefault="00000000">
      <w:pPr>
        <w:jc w:val="both"/>
      </w:pPr>
      <w:r>
        <w:t>Le niveau, l'horizontalité ou la pente, la planéité et les tolérances répondent aux critères énoncés dans la [NIT 267].</w:t>
      </w:r>
    </w:p>
    <w:p w14:paraId="0E58FAB3" w14:textId="77777777" w:rsidR="004B2808" w:rsidRDefault="00000000">
      <w:pPr>
        <w:jc w:val="both"/>
      </w:pPr>
      <w:r>
        <w:t>En cas de suspicion, l’épaisseur est vérifiée. La détermination est réalisée au moyen d’au moins cinq carottes. Dans le cas de surfaces &gt; 100 m², une carotte supplémentaire est prélevée par 20 m² avec une limite de 12 carottes.</w:t>
      </w:r>
    </w:p>
    <w:p w14:paraId="06965B0E" w14:textId="77777777" w:rsidR="004B2808" w:rsidRDefault="00000000">
      <w:pPr>
        <w:ind w:left="750"/>
      </w:pPr>
      <w:r>
        <w:t> </w:t>
      </w:r>
    </w:p>
    <w:p w14:paraId="512FDA23" w14:textId="77777777" w:rsidR="004B2808" w:rsidRDefault="00000000">
      <w:pPr>
        <w:pStyle w:val="pheading"/>
      </w:pPr>
      <w:r>
        <w:t>DOCUMENTS DE RÉFÉRENCE</w:t>
      </w:r>
    </w:p>
    <w:p w14:paraId="33D05771" w14:textId="77777777" w:rsidR="004B2808" w:rsidRDefault="00000000">
      <w:pPr>
        <w:pStyle w:val="pheading"/>
      </w:pPr>
      <w:r>
        <w:t>- Matériau</w:t>
      </w:r>
    </w:p>
    <w:p w14:paraId="5AB76503" w14:textId="77777777" w:rsidR="004B2808" w:rsidRDefault="00000000">
      <w:r>
        <w:t>[NIT 267, Sols intérieurs en béton (révision de la NIT 204)]</w:t>
      </w:r>
    </w:p>
    <w:p w14:paraId="48AB118F" w14:textId="77777777" w:rsidR="004B2808" w:rsidRDefault="00000000">
      <w:r>
        <w:t>[Buildwise Innovation paper 42, Guide pratique pour la spécification des bétons.]</w:t>
      </w:r>
    </w:p>
    <w:p w14:paraId="65CD833F" w14:textId="77777777" w:rsidR="004B2808" w:rsidRDefault="00000000">
      <w:pPr>
        <w:ind w:left="750"/>
      </w:pPr>
      <w:r>
        <w:t> </w:t>
      </w:r>
    </w:p>
    <w:p w14:paraId="18310219" w14:textId="77777777" w:rsidR="004B2808" w:rsidRDefault="00000000">
      <w:pPr>
        <w:pStyle w:val="pheading"/>
      </w:pPr>
      <w:r>
        <w:t>- Exécution</w:t>
      </w:r>
    </w:p>
    <w:p w14:paraId="2B2A3660" w14:textId="77777777" w:rsidR="004B2808" w:rsidRDefault="00000000">
      <w:r>
        <w:t>[NIT 267, Sols intérieurs en béton (révision de la NIT 204)]</w:t>
      </w:r>
    </w:p>
    <w:p w14:paraId="0D74CAAF" w14:textId="77777777" w:rsidR="004B2808" w:rsidRDefault="00000000">
      <w:pPr>
        <w:ind w:left="750"/>
      </w:pPr>
      <w:r>
        <w:t> </w:t>
      </w:r>
    </w:p>
    <w:p w14:paraId="54904BD4" w14:textId="77777777" w:rsidR="004B2808" w:rsidRDefault="00000000">
      <w:pPr>
        <w:pStyle w:val="pheading"/>
      </w:pPr>
      <w:r>
        <w:t>AIDE</w:t>
      </w:r>
    </w:p>
    <w:p w14:paraId="3EB9DCF5" w14:textId="77777777" w:rsidR="004B2808" w:rsidRDefault="00000000">
      <w:r>
        <w:t>[SWL GSI/T1/B, Guides sécurité incendie - Tome 1 Prévention passive - Guide B Réaction au feu] de la prévention passive référencé dans le 0 T0 Entreprise / Chantier</w:t>
      </w:r>
    </w:p>
    <w:p w14:paraId="7B5E6DC7" w14:textId="77777777" w:rsidR="004B2808" w:rsidRDefault="00000000">
      <w:pPr>
        <w:pStyle w:val="Author-eSectionHeading5Numberless"/>
      </w:pPr>
      <w:bookmarkStart w:id="586" w:name="_Toc220490750"/>
      <w:r>
        <w:t>53.31.1 Sols de type industriel à base de ciment, monolithes polis CCTB 01.02</w:t>
      </w:r>
      <w:bookmarkEnd w:id="586"/>
    </w:p>
    <w:p w14:paraId="70A67622" w14:textId="77777777" w:rsidR="004B2808" w:rsidRDefault="00000000">
      <w:pPr>
        <w:pStyle w:val="Author-eSectionHeading6Numberless"/>
      </w:pPr>
      <w:bookmarkStart w:id="587" w:name="_Toc220490751"/>
      <w:r>
        <w:t>53.31.1a Sols de type industriel à base de ciment, monolithes polis CCTB 01.13</w:t>
      </w:r>
      <w:bookmarkEnd w:id="587"/>
    </w:p>
    <w:p w14:paraId="3D0EE685" w14:textId="77777777" w:rsidR="004B2808" w:rsidRDefault="00000000">
      <w:pPr>
        <w:pStyle w:val="pheading"/>
      </w:pPr>
      <w:r>
        <w:t>MATÉRIAUX</w:t>
      </w:r>
    </w:p>
    <w:p w14:paraId="7FAE5301" w14:textId="77777777" w:rsidR="004B2808" w:rsidRDefault="00000000">
      <w:pPr>
        <w:pStyle w:val="pheading"/>
      </w:pPr>
      <w:r>
        <w:t>- Caractéristiques générales</w:t>
      </w:r>
    </w:p>
    <w:p w14:paraId="5DB353A2" w14:textId="77777777" w:rsidR="004B2808" w:rsidRDefault="00000000">
      <w:r>
        <w:t>Le béton est spécifié sur base des informations reprises dans l'article "Spécification des bétons pour sols industriels" - Dossier [Buildwise Article Dossier (2009/3.03)].</w:t>
      </w:r>
    </w:p>
    <w:p w14:paraId="439C5ADF" w14:textId="77777777" w:rsidR="004B2808" w:rsidRDefault="00000000">
      <w:pPr>
        <w:pStyle w:val="heading"/>
      </w:pPr>
      <w:r>
        <w:t>Spécifications</w:t>
      </w:r>
    </w:p>
    <w:p w14:paraId="605701DD" w14:textId="77777777" w:rsidR="004B2808" w:rsidRDefault="00000000">
      <w:r>
        <w:t xml:space="preserve">Qualité du béton : </w:t>
      </w:r>
      <w:r>
        <w:rPr>
          <w:rStyle w:val="optioncarChar"/>
        </w:rPr>
        <w:t>***</w:t>
      </w:r>
      <w:r>
        <w:t xml:space="preserve"> (voir article) </w:t>
      </w:r>
    </w:p>
    <w:p w14:paraId="04EF67DC" w14:textId="77777777" w:rsidR="004B2808" w:rsidRDefault="00000000">
      <w:r>
        <w:t xml:space="preserve">Armature : </w:t>
      </w:r>
      <w:r>
        <w:rPr>
          <w:rStyle w:val="optioncarChar"/>
        </w:rPr>
        <w:t>***</w:t>
      </w:r>
      <w:r>
        <w:t xml:space="preserve"> , qualité de l'acier :</w:t>
      </w:r>
      <w:r>
        <w:rPr>
          <w:rStyle w:val="optioncarChar"/>
        </w:rPr>
        <w:t xml:space="preserve"> ***</w:t>
      </w:r>
    </w:p>
    <w:p w14:paraId="6F701DF6" w14:textId="77777777" w:rsidR="004B2808" w:rsidRDefault="00000000">
      <w:r>
        <w:t xml:space="preserve">Epaisseur de la chape monolithe : </w:t>
      </w:r>
      <w:r>
        <w:rPr>
          <w:rStyle w:val="optioncarChar"/>
        </w:rPr>
        <w:t>15 </w:t>
      </w:r>
      <w:r>
        <w:t>(par défaut)</w:t>
      </w:r>
      <w:r>
        <w:rPr>
          <w:rStyle w:val="optioncarChar"/>
        </w:rPr>
        <w:t xml:space="preserve"> / 20 / ***</w:t>
      </w:r>
      <w:r>
        <w:t xml:space="preserve"> cm.</w:t>
      </w:r>
    </w:p>
    <w:p w14:paraId="3B3A6BAA" w14:textId="77777777" w:rsidR="004B2808" w:rsidRDefault="00000000">
      <w:r>
        <w:t xml:space="preserve">Sollicitations à prévoir : &gt; </w:t>
      </w:r>
      <w:r>
        <w:rPr>
          <w:rStyle w:val="optioncarChar"/>
        </w:rPr>
        <w:t>***</w:t>
      </w:r>
      <w:r>
        <w:t xml:space="preserve"> daN/cm²</w:t>
      </w:r>
    </w:p>
    <w:p w14:paraId="4B4137FE" w14:textId="77777777" w:rsidR="004B2808" w:rsidRDefault="00000000">
      <w:r>
        <w:t xml:space="preserve">Classe de planéité : </w:t>
      </w:r>
      <w:r>
        <w:rPr>
          <w:rStyle w:val="optioncarChar"/>
        </w:rPr>
        <w:t>1</w:t>
      </w:r>
      <w:r>
        <w:t xml:space="preserve"> (par défaut) </w:t>
      </w:r>
      <w:r>
        <w:rPr>
          <w:rStyle w:val="optioncarChar"/>
        </w:rPr>
        <w:t>/ ***</w:t>
      </w:r>
    </w:p>
    <w:p w14:paraId="200DDFF2" w14:textId="77777777" w:rsidR="004B2808" w:rsidRDefault="00000000">
      <w:r>
        <w:t xml:space="preserve">Selon la [Décision 96/603/CE] de la Commission du 4 octobre 1996  </w:t>
      </w:r>
      <w:r>
        <w:rPr>
          <w:b/>
        </w:rPr>
        <w:t>et les conditions qui y sont reprises</w:t>
      </w:r>
      <w:r>
        <w:t>, le béton appartient à la classe de réaction au feu A1</w:t>
      </w:r>
      <w:r>
        <w:rPr>
          <w:vertAlign w:val="subscript"/>
        </w:rPr>
        <w:t>FL</w:t>
      </w:r>
      <w:r>
        <w:t>.</w:t>
      </w:r>
    </w:p>
    <w:p w14:paraId="4F550421" w14:textId="77777777" w:rsidR="004B2808" w:rsidRDefault="00000000">
      <w:pPr>
        <w:pStyle w:val="pheading"/>
      </w:pPr>
      <w:r>
        <w:lastRenderedPageBreak/>
        <w:t>EXÉCUTION / MISE EN ŒUVRE</w:t>
      </w:r>
    </w:p>
    <w:p w14:paraId="0B8C4F31" w14:textId="77777777" w:rsidR="004B2808" w:rsidRDefault="00000000">
      <w:pPr>
        <w:pStyle w:val="pheading"/>
      </w:pPr>
      <w:r>
        <w:t>- Prescriptions générales</w:t>
      </w:r>
    </w:p>
    <w:p w14:paraId="20C6BF2E" w14:textId="77777777" w:rsidR="004B2808" w:rsidRDefault="00000000">
      <w:r>
        <w:t>Voir [NIT 267] §6. Le plan des joints est soumis pour approbation.</w:t>
      </w:r>
    </w:p>
    <w:p w14:paraId="03A0F9EB" w14:textId="77777777" w:rsidR="004B2808" w:rsidRDefault="00000000">
      <w:pPr>
        <w:pStyle w:val="pheading"/>
      </w:pPr>
      <w:r>
        <w:t>- Notes d’exécution complémentaires</w:t>
      </w:r>
    </w:p>
    <w:p w14:paraId="51A0544F" w14:textId="77777777" w:rsidR="004B2808" w:rsidRDefault="00000000">
      <w:r>
        <w:t xml:space="preserve">Le sol industriel est posé avec une pente de </w:t>
      </w:r>
      <w:r>
        <w:rPr>
          <w:rStyle w:val="optioncarChar"/>
        </w:rPr>
        <w:t>***</w:t>
      </w:r>
      <w:r>
        <w:t xml:space="preserve"> mm/m en direction des caniveaux.</w:t>
      </w:r>
    </w:p>
    <w:p w14:paraId="0ECF2D6C" w14:textId="77777777" w:rsidR="004B2808" w:rsidRDefault="00000000">
      <w:r>
        <w:t xml:space="preserve">L'intégration des grilles à cloche (sterfput) de l'article </w:t>
      </w:r>
      <w:r>
        <w:rPr>
          <w:rStyle w:val="optioncarChar"/>
        </w:rPr>
        <w:t>***</w:t>
      </w:r>
      <w:r>
        <w:t xml:space="preserve"> est comprise dans le prix de cet article. La face supérieure des grilles se situe à 2 mm du niveau fini du sol. Elles sont intégrées de manière étanche.</w:t>
      </w:r>
    </w:p>
    <w:p w14:paraId="3D0E5017" w14:textId="77777777" w:rsidR="004B2808" w:rsidRDefault="00000000">
      <w:pPr>
        <w:pStyle w:val="pheading"/>
      </w:pPr>
      <w:r>
        <w:t>CONTRÔLES PARTICULIERS</w:t>
      </w:r>
    </w:p>
    <w:p w14:paraId="6923639C" w14:textId="77777777" w:rsidR="004B2808" w:rsidRDefault="00000000">
      <w:r>
        <w:t>Les essais de résistance à l’usure au moyen de la machine Amsler donnent une usure de 5 mm au maximum après 3000 tours.</w:t>
      </w:r>
    </w:p>
    <w:p w14:paraId="0DB14F09" w14:textId="77777777" w:rsidR="004B2808" w:rsidRDefault="00000000">
      <w:pPr>
        <w:pStyle w:val="pheading"/>
      </w:pPr>
      <w:r>
        <w:t>MESURAGE</w:t>
      </w:r>
    </w:p>
    <w:p w14:paraId="6631CD4E" w14:textId="77777777" w:rsidR="004B2808" w:rsidRDefault="00000000">
      <w:r>
        <w:t>Conformément aux indications spécifiques dans le cahier spécial des charges et/ou le métré récapitulatif, le mesurage doit être conçu comme suit :</w:t>
      </w:r>
    </w:p>
    <w:p w14:paraId="1F9E1CA7" w14:textId="77777777" w:rsidR="004B2808" w:rsidRDefault="00000000">
      <w:pPr>
        <w:pStyle w:val="pheading"/>
      </w:pPr>
      <w:r>
        <w:t>- unité de mesure:</w:t>
      </w:r>
    </w:p>
    <w:p w14:paraId="0FBDFB0D" w14:textId="77777777" w:rsidR="004B2808" w:rsidRDefault="00000000">
      <w:r>
        <w:t>m²</w:t>
      </w:r>
    </w:p>
    <w:p w14:paraId="0654E709" w14:textId="77777777" w:rsidR="004B2808" w:rsidRDefault="00000000">
      <w:pPr>
        <w:pStyle w:val="pheading"/>
      </w:pPr>
      <w:r>
        <w:t>- code de mesurage:</w:t>
      </w:r>
    </w:p>
    <w:p w14:paraId="022FF86C" w14:textId="77777777" w:rsidR="004B2808" w:rsidRDefault="00000000">
      <w:r>
        <w:t>Surface nette mesurée entre le nu des murs, calculée en arrondissant les dimensions vers le bas, au multiple de 5 cm. Les baies de portes sont ajoutées. Les ouvertures supérieures à 0,5 m2 sont déduites. La superficie totale ainsi obtenue est arrondie à la première décimale. Le prix unitaire comprend tous les travaux et fournitures en vue d'obtenir un sol industriel parfaitement fini, y compris les membranes d'étanchéité, les armatures, les joints périphériques et de dilatation, etc.</w:t>
      </w:r>
    </w:p>
    <w:p w14:paraId="055A0AE6" w14:textId="77777777" w:rsidR="004B2808" w:rsidRDefault="00000000">
      <w:pPr>
        <w:pStyle w:val="pheading"/>
      </w:pPr>
      <w:r>
        <w:t>- nature du marché:</w:t>
      </w:r>
    </w:p>
    <w:p w14:paraId="6A60CDDB" w14:textId="77777777" w:rsidR="004B2808" w:rsidRDefault="00000000">
      <w:r>
        <w:t>QF</w:t>
      </w:r>
    </w:p>
    <w:p w14:paraId="1EC63327" w14:textId="77777777" w:rsidR="004B2808" w:rsidRDefault="00000000">
      <w:pPr>
        <w:pStyle w:val="Author-eSectionHeading5Numberless"/>
      </w:pPr>
      <w:bookmarkStart w:id="588" w:name="_Toc220490752"/>
      <w:r>
        <w:t>53.31.2 Sols de type industriel à base de ciment, monolithes avec couche d'usure CCTB 01.02</w:t>
      </w:r>
      <w:bookmarkEnd w:id="588"/>
    </w:p>
    <w:p w14:paraId="34A5193D" w14:textId="77777777" w:rsidR="004B2808" w:rsidRDefault="00000000">
      <w:pPr>
        <w:pStyle w:val="Author-eSectionHeading6Numberless"/>
      </w:pPr>
      <w:bookmarkStart w:id="589" w:name="_Toc220490753"/>
      <w:r>
        <w:t>53.31.2a Sols de type industriel à base de ciment, monolithes avec couche d'usure CCTB 01.11</w:t>
      </w:r>
      <w:bookmarkEnd w:id="589"/>
    </w:p>
    <w:p w14:paraId="3CC60A3C" w14:textId="77777777" w:rsidR="004B2808" w:rsidRDefault="00000000">
      <w:pPr>
        <w:pStyle w:val="pheading"/>
      </w:pPr>
      <w:r>
        <w:t>DESCRIPTION</w:t>
      </w:r>
    </w:p>
    <w:p w14:paraId="148367CE" w14:textId="77777777" w:rsidR="004B2808" w:rsidRDefault="00000000">
      <w:pPr>
        <w:pStyle w:val="pheading"/>
      </w:pPr>
      <w:r>
        <w:t>- Définition / Comprend</w:t>
      </w:r>
    </w:p>
    <w:p w14:paraId="103212AB" w14:textId="77777777" w:rsidR="004B2808" w:rsidRDefault="00000000">
      <w:pPr>
        <w:jc w:val="both"/>
      </w:pPr>
      <w:r>
        <w:t>Il s’agit de la fourniture et la pose d’un sol de type industriel à base de ciment avec couche d’usure conforme à la [NIT 267].</w:t>
      </w:r>
    </w:p>
    <w:p w14:paraId="6C02F2E0" w14:textId="77777777" w:rsidR="004B2808" w:rsidRDefault="00000000">
      <w:pPr>
        <w:jc w:val="both"/>
      </w:pPr>
      <w:r>
        <w:t>Le travail comprend notamment :           </w:t>
      </w:r>
    </w:p>
    <w:p w14:paraId="482C6386" w14:textId="77777777" w:rsidR="004B2808" w:rsidRDefault="00000000">
      <w:pPr>
        <w:pStyle w:val="Author-eListParagraph"/>
        <w:numPr>
          <w:ilvl w:val="0"/>
          <w:numId w:val="513"/>
        </w:numPr>
        <w:jc w:val="both"/>
      </w:pPr>
      <w:r>
        <w:t>la pose de la couche de désolidarisation dans le cas des dalles sur terre-plein et des dalles non adhérentes sur support existant ;</w:t>
      </w:r>
    </w:p>
    <w:p w14:paraId="69F2F819" w14:textId="77777777" w:rsidR="004B2808" w:rsidRDefault="00000000">
      <w:pPr>
        <w:pStyle w:val="Author-eListParagraph"/>
        <w:numPr>
          <w:ilvl w:val="0"/>
          <w:numId w:val="513"/>
        </w:numPr>
        <w:jc w:val="both"/>
      </w:pPr>
      <w:r>
        <w:t>la mise en place des treillis d’armatures dans le cas d’un béton armé ;</w:t>
      </w:r>
    </w:p>
    <w:p w14:paraId="2924D0EB" w14:textId="77777777" w:rsidR="004B2808" w:rsidRDefault="00000000">
      <w:pPr>
        <w:pStyle w:val="Author-eListParagraph"/>
        <w:numPr>
          <w:ilvl w:val="0"/>
          <w:numId w:val="513"/>
        </w:numPr>
        <w:jc w:val="both"/>
      </w:pPr>
      <w:r>
        <w:t>la mise en œuvre du béton armé ou fibré ;</w:t>
      </w:r>
    </w:p>
    <w:p w14:paraId="046F8830" w14:textId="77777777" w:rsidR="004B2808" w:rsidRDefault="00000000">
      <w:pPr>
        <w:pStyle w:val="Author-eListParagraph"/>
        <w:numPr>
          <w:ilvl w:val="0"/>
          <w:numId w:val="513"/>
        </w:numPr>
        <w:jc w:val="both"/>
      </w:pPr>
      <w:r>
        <w:t>le finition (talochage et polissage) du sol avec incorporation d’une couche d’usure ou mise en œuvre d’une couche d’usure liquide « topping » ;</w:t>
      </w:r>
    </w:p>
    <w:p w14:paraId="45C8517C" w14:textId="77777777" w:rsidR="004B2808" w:rsidRDefault="00000000">
      <w:pPr>
        <w:pStyle w:val="Author-eListParagraph"/>
        <w:numPr>
          <w:ilvl w:val="0"/>
          <w:numId w:val="513"/>
        </w:numPr>
        <w:jc w:val="both"/>
      </w:pPr>
      <w:r>
        <w:t>l’application d’un produit de cure.</w:t>
      </w:r>
    </w:p>
    <w:p w14:paraId="30EAD6CB" w14:textId="77777777" w:rsidR="004B2808" w:rsidRDefault="00000000">
      <w:pPr>
        <w:pStyle w:val="pheading"/>
      </w:pPr>
      <w:r>
        <w:t>MATÉRIAUX</w:t>
      </w:r>
    </w:p>
    <w:p w14:paraId="3C3EEDEE" w14:textId="77777777" w:rsidR="004B2808" w:rsidRDefault="00000000">
      <w:pPr>
        <w:pStyle w:val="pheading"/>
      </w:pPr>
      <w:r>
        <w:t>- Caractéristiques générales</w:t>
      </w:r>
    </w:p>
    <w:p w14:paraId="553AA88A" w14:textId="77777777" w:rsidR="004B2808" w:rsidRDefault="00000000">
      <w:pPr>
        <w:jc w:val="both"/>
      </w:pPr>
      <w:r>
        <w:lastRenderedPageBreak/>
        <w:t>Le béton est spécifié sur base des informations reprises dans [Buildwise Innovation paper 42]. Le produit de cure est conforme au [PTV 501].</w:t>
      </w:r>
    </w:p>
    <w:p w14:paraId="4660913F" w14:textId="77777777" w:rsidR="004B2808" w:rsidRDefault="00000000">
      <w:pPr>
        <w:jc w:val="both"/>
      </w:pPr>
      <w:r>
        <w:t xml:space="preserve">Exposition à des acides : </w:t>
      </w:r>
      <w:r>
        <w:rPr>
          <w:rStyle w:val="optioncarChar"/>
        </w:rPr>
        <w:t>oui / non</w:t>
      </w:r>
    </w:p>
    <w:p w14:paraId="01B0F2EF" w14:textId="77777777" w:rsidR="004B2808" w:rsidRDefault="00000000">
      <w:pPr>
        <w:jc w:val="both"/>
      </w:pPr>
      <w:r>
        <w:t xml:space="preserve">Coloris : </w:t>
      </w:r>
      <w:r>
        <w:rPr>
          <w:rStyle w:val="optioncarChar"/>
        </w:rPr>
        <w:t>gris sans adjonction de colorants / rouge / vert.</w:t>
      </w:r>
    </w:p>
    <w:p w14:paraId="7C647484" w14:textId="77777777" w:rsidR="004B2808" w:rsidRDefault="00000000">
      <w:pPr>
        <w:jc w:val="both"/>
      </w:pPr>
      <w:r>
        <w:t xml:space="preserve">Renforcement : </w:t>
      </w:r>
      <w:r>
        <w:rPr>
          <w:rStyle w:val="optioncarChar"/>
        </w:rPr>
        <w:t>béton armé d’un treillis / béton armé de fibres</w:t>
      </w:r>
    </w:p>
    <w:p w14:paraId="34D6E6EA" w14:textId="77777777" w:rsidR="004B2808" w:rsidRDefault="00000000">
      <w:pPr>
        <w:jc w:val="both"/>
      </w:pPr>
      <w:r>
        <w:t xml:space="preserve">En cas de béton armé de fibres, quantité de fibres : </w:t>
      </w:r>
      <w:r>
        <w:rPr>
          <w:rStyle w:val="optioncarChar"/>
        </w:rPr>
        <w:t>***</w:t>
      </w:r>
      <w:r>
        <w:t xml:space="preserve"> kg/m³</w:t>
      </w:r>
    </w:p>
    <w:p w14:paraId="33656C43" w14:textId="77777777" w:rsidR="004B2808" w:rsidRDefault="00000000">
      <w:pPr>
        <w:jc w:val="both"/>
      </w:pPr>
      <w:r>
        <w:t>En cas de béton armé de treillis :</w:t>
      </w:r>
    </w:p>
    <w:p w14:paraId="54F7043B" w14:textId="77777777" w:rsidR="004B2808" w:rsidRDefault="00000000">
      <w:pPr>
        <w:pStyle w:val="Author-eListParagraph"/>
        <w:numPr>
          <w:ilvl w:val="0"/>
          <w:numId w:val="514"/>
        </w:numPr>
      </w:pPr>
      <w:r>
        <w:t xml:space="preserve">Nombre de treillis : </w:t>
      </w:r>
      <w:r>
        <w:rPr>
          <w:rStyle w:val="optioncarChar"/>
        </w:rPr>
        <w:t>1 / 2</w:t>
      </w:r>
    </w:p>
    <w:p w14:paraId="236A26A0" w14:textId="77777777" w:rsidR="004B2808" w:rsidRDefault="00000000">
      <w:pPr>
        <w:pStyle w:val="Author-eListParagraph"/>
        <w:numPr>
          <w:ilvl w:val="0"/>
          <w:numId w:val="514"/>
        </w:numPr>
      </w:pPr>
      <w:r>
        <w:t xml:space="preserve">Diamètre des armatures : </w:t>
      </w:r>
      <w:r>
        <w:rPr>
          <w:rStyle w:val="optioncarChar"/>
        </w:rPr>
        <w:t>6 / 8</w:t>
      </w:r>
      <w:r>
        <w:t xml:space="preserve"> (par défaut) </w:t>
      </w:r>
      <w:r>
        <w:rPr>
          <w:rStyle w:val="optioncarChar"/>
        </w:rPr>
        <w:t>/ 10</w:t>
      </w:r>
      <w:r>
        <w:t xml:space="preserve"> mm</w:t>
      </w:r>
    </w:p>
    <w:p w14:paraId="3A587DC6" w14:textId="77777777" w:rsidR="004B2808" w:rsidRDefault="00000000">
      <w:pPr>
        <w:pStyle w:val="Author-eListParagraph"/>
        <w:numPr>
          <w:ilvl w:val="0"/>
          <w:numId w:val="514"/>
        </w:numPr>
      </w:pPr>
      <w:r>
        <w:t xml:space="preserve">Maille du treillis : </w:t>
      </w:r>
      <w:r>
        <w:rPr>
          <w:rStyle w:val="optioncarChar"/>
        </w:rPr>
        <w:t>100x100 / 150x150 / ***</w:t>
      </w:r>
    </w:p>
    <w:p w14:paraId="6FDDF0DD" w14:textId="77777777" w:rsidR="004B2808" w:rsidRDefault="00000000">
      <w:pPr>
        <w:jc w:val="both"/>
      </w:pPr>
      <w:r>
        <w:t xml:space="preserve">Epaisseur du sol industriel monolithe : </w:t>
      </w:r>
      <w:r>
        <w:rPr>
          <w:rStyle w:val="optioncarChar"/>
        </w:rPr>
        <w:t>12 / 15</w:t>
      </w:r>
      <w:r>
        <w:t xml:space="preserve"> (par défaut)</w:t>
      </w:r>
      <w:r>
        <w:rPr>
          <w:rStyle w:val="optioncarChar"/>
        </w:rPr>
        <w:t xml:space="preserve"> / 20 / ***</w:t>
      </w:r>
      <w:r>
        <w:t xml:space="preserve"> cm.</w:t>
      </w:r>
    </w:p>
    <w:p w14:paraId="306E499E" w14:textId="77777777" w:rsidR="004B2808" w:rsidRDefault="00000000">
      <w:pPr>
        <w:jc w:val="both"/>
      </w:pPr>
      <w:r>
        <w:t>Classe de sollicitation selon [NIT 267] :</w:t>
      </w:r>
      <w:r>
        <w:rPr>
          <w:rStyle w:val="optioncarChar"/>
        </w:rPr>
        <w:t xml:space="preserve"> A / B / C / D</w:t>
      </w:r>
    </w:p>
    <w:p w14:paraId="120B0BA4" w14:textId="77777777" w:rsidR="004B2808" w:rsidRDefault="00000000">
      <w:pPr>
        <w:jc w:val="both"/>
      </w:pPr>
      <w:r>
        <w:t xml:space="preserve">Classe de résistance à l’usure selon [NIT 267] : </w:t>
      </w:r>
      <w:r>
        <w:rPr>
          <w:rStyle w:val="optioncarChar"/>
        </w:rPr>
        <w:t>légère / moyenne / lourde / extrême</w:t>
      </w:r>
    </w:p>
    <w:p w14:paraId="4CCA52DE" w14:textId="77777777" w:rsidR="004B2808" w:rsidRDefault="00000000">
      <w:pPr>
        <w:jc w:val="both"/>
      </w:pPr>
      <w:r>
        <w:t xml:space="preserve">Couche d’usure: </w:t>
      </w:r>
      <w:r>
        <w:rPr>
          <w:rStyle w:val="optioncarChar"/>
        </w:rPr>
        <w:t>sèche / liquide (topping)</w:t>
      </w:r>
    </w:p>
    <w:p w14:paraId="08D9E2A6" w14:textId="77777777" w:rsidR="004B2808" w:rsidRDefault="00000000">
      <w:pPr>
        <w:jc w:val="both"/>
      </w:pPr>
      <w:r>
        <w:t xml:space="preserve">Classe de planéité : </w:t>
      </w:r>
      <w:r>
        <w:rPr>
          <w:rStyle w:val="optioncarChar"/>
        </w:rPr>
        <w:t>I / II / III / IV</w:t>
      </w:r>
    </w:p>
    <w:p w14:paraId="29D89F2C" w14:textId="77777777" w:rsidR="004B2808" w:rsidRDefault="00000000">
      <w:pPr>
        <w:jc w:val="both"/>
      </w:pPr>
      <w:r>
        <w:t>Selon la [Décision 96/603/CE] de la Commission du 4 octobre 1996 et les conditions qui y sont reprises, le béton appartient à la classe de réaction au feu A1FL(voir article 20).</w:t>
      </w:r>
    </w:p>
    <w:p w14:paraId="765F1C8B" w14:textId="77777777" w:rsidR="004B2808" w:rsidRDefault="00000000">
      <w:pPr>
        <w:pStyle w:val="pheading"/>
      </w:pPr>
      <w:r>
        <w:t>EXÉCUTION / MISE EN ŒUVRE</w:t>
      </w:r>
    </w:p>
    <w:p w14:paraId="39D6FE3A" w14:textId="77777777" w:rsidR="004B2808" w:rsidRDefault="00000000">
      <w:pPr>
        <w:pStyle w:val="pheading"/>
      </w:pPr>
      <w:r>
        <w:t>- Prescriptions générales</w:t>
      </w:r>
    </w:p>
    <w:p w14:paraId="07E3C91F" w14:textId="77777777" w:rsidR="004B2808" w:rsidRDefault="00000000">
      <w:pPr>
        <w:jc w:val="both"/>
      </w:pPr>
      <w:r>
        <w:t>La mise en œuvre est conforme à la [NIT 267]. Le plan de répartition des joints est soumis pour approbation.</w:t>
      </w:r>
    </w:p>
    <w:p w14:paraId="48A759C4" w14:textId="77777777" w:rsidR="004B2808" w:rsidRDefault="00000000">
      <w:pPr>
        <w:jc w:val="both"/>
      </w:pPr>
      <w:r>
        <w:t xml:space="preserve">Le sol industriel est posé avec une pente ≥ </w:t>
      </w:r>
      <w:r>
        <w:rPr>
          <w:rStyle w:val="optioncarChar"/>
        </w:rPr>
        <w:t>***</w:t>
      </w:r>
      <w:r>
        <w:t xml:space="preserve"> mm/m en direction des caniveaux.</w:t>
      </w:r>
    </w:p>
    <w:p w14:paraId="572B942F" w14:textId="77777777" w:rsidR="004B2808" w:rsidRDefault="00000000">
      <w:pPr>
        <w:jc w:val="both"/>
      </w:pPr>
      <w:r>
        <w:t xml:space="preserve">L'intégration des grilles à cloche (sterfput) de l'article </w:t>
      </w:r>
      <w:r>
        <w:rPr>
          <w:rStyle w:val="optioncarChar"/>
        </w:rPr>
        <w:t>***</w:t>
      </w:r>
      <w:r>
        <w:t xml:space="preserve"> est comprise dans le prix de l’article précité. La face supérieure des grilles se situe à 2 mm du niveau fini du sol. Elles sont intégrées de manière étanche.</w:t>
      </w:r>
    </w:p>
    <w:p w14:paraId="3DE0C310" w14:textId="77777777" w:rsidR="004B2808" w:rsidRDefault="00000000">
      <w:pPr>
        <w:pStyle w:val="pheading"/>
      </w:pPr>
      <w:r>
        <w:t>CONTRÔLES PARTICULIERS</w:t>
      </w:r>
    </w:p>
    <w:p w14:paraId="72A81D8B" w14:textId="77777777" w:rsidR="004B2808" w:rsidRDefault="00000000">
      <w:pPr>
        <w:jc w:val="both"/>
      </w:pPr>
      <w:r>
        <w:t>Les essais de résistance à l’usure au moyen Bohme [NBN EN 13892-3] fournissent des résultats conformes à la classe de résistance à l’usure sélectionnée.</w:t>
      </w:r>
    </w:p>
    <w:p w14:paraId="36824A71" w14:textId="77777777" w:rsidR="004B2808" w:rsidRDefault="00000000">
      <w:pPr>
        <w:pStyle w:val="pheading"/>
      </w:pPr>
      <w:r>
        <w:t>MESURAGE</w:t>
      </w:r>
    </w:p>
    <w:p w14:paraId="3F6EAF16" w14:textId="77777777" w:rsidR="004B2808" w:rsidRDefault="00000000">
      <w:pPr>
        <w:pStyle w:val="pheading"/>
      </w:pPr>
      <w:r>
        <w:t>- unité de mesure:</w:t>
      </w:r>
    </w:p>
    <w:p w14:paraId="143FB743" w14:textId="77777777" w:rsidR="004B2808" w:rsidRDefault="00000000">
      <w:r>
        <w:t>m²</w:t>
      </w:r>
    </w:p>
    <w:p w14:paraId="6B6637C4" w14:textId="77777777" w:rsidR="004B2808" w:rsidRDefault="00000000">
      <w:pPr>
        <w:pStyle w:val="pheading"/>
      </w:pPr>
      <w:r>
        <w:t>- code de mesurage:</w:t>
      </w:r>
    </w:p>
    <w:p w14:paraId="4B763D68" w14:textId="77777777" w:rsidR="004B2808" w:rsidRDefault="00000000">
      <w:pPr>
        <w:jc w:val="both"/>
      </w:pPr>
      <w:r>
        <w:t>Surface nette mesurée entre le nu des murs, calculée en arrondissant les dimensions vers le bas, au multiple de 5 cm. Les baies de portes sont ajoutées. Les ouvertures ˃ à 0,5 m² sont déduites. La superficie totale ainsi obtenue est arrondie à la première décimale. Le prix unitaire comprend tous les travaux et fournitures en vue d'obtenir un sol industriel parfaitement fini, y compris les membranes d'étanchéité, les armatures, les joints périphériques et de dilatation, etc.</w:t>
      </w:r>
    </w:p>
    <w:p w14:paraId="121EAB81" w14:textId="77777777" w:rsidR="004B2808" w:rsidRDefault="00000000">
      <w:pPr>
        <w:pStyle w:val="pheading"/>
      </w:pPr>
      <w:r>
        <w:t>- nature du marché:</w:t>
      </w:r>
    </w:p>
    <w:p w14:paraId="3DA63CD8" w14:textId="77777777" w:rsidR="004B2808" w:rsidRDefault="00000000">
      <w:r>
        <w:t>QF</w:t>
      </w:r>
    </w:p>
    <w:p w14:paraId="2D79012A" w14:textId="77777777" w:rsidR="004B2808" w:rsidRDefault="00000000">
      <w:pPr>
        <w:pStyle w:val="Author-eSectionHeading5Numberless"/>
      </w:pPr>
      <w:bookmarkStart w:id="590" w:name="_Toc220490754"/>
      <w:r>
        <w:t>53.31.3 Sols de type industriel à base de ciment, rapportés polis CCTB 01.02</w:t>
      </w:r>
      <w:bookmarkEnd w:id="590"/>
    </w:p>
    <w:p w14:paraId="162E61CE" w14:textId="77777777" w:rsidR="004B2808" w:rsidRDefault="00000000">
      <w:pPr>
        <w:pStyle w:val="Author-eSectionHeading6Numberless"/>
      </w:pPr>
      <w:bookmarkStart w:id="591" w:name="_Toc220490755"/>
      <w:r>
        <w:t>53.31.3a Sols de type industriel à base de ciment, rapportés polis CCTB 01.12</w:t>
      </w:r>
      <w:bookmarkEnd w:id="591"/>
    </w:p>
    <w:p w14:paraId="0C6AE27F" w14:textId="77777777" w:rsidR="004B2808" w:rsidRDefault="00000000">
      <w:pPr>
        <w:pStyle w:val="pheading"/>
      </w:pPr>
      <w:r>
        <w:lastRenderedPageBreak/>
        <w:t>DESCRIPTION</w:t>
      </w:r>
    </w:p>
    <w:p w14:paraId="7B7FE0A0" w14:textId="77777777" w:rsidR="004B2808" w:rsidRDefault="00000000">
      <w:pPr>
        <w:pStyle w:val="pheading"/>
      </w:pPr>
      <w:r>
        <w:t>- Définition / Comprend</w:t>
      </w:r>
    </w:p>
    <w:p w14:paraId="73D946B1" w14:textId="77777777" w:rsidR="004B2808" w:rsidRDefault="00000000">
      <w:r>
        <w:t>Il s'agit de la fourniture et de la pose d'un sol rapporté à base de ciment qui est ensuite poli.</w:t>
      </w:r>
    </w:p>
    <w:p w14:paraId="7179FC25" w14:textId="77777777" w:rsidR="004B2808" w:rsidRDefault="00000000">
      <w:pPr>
        <w:pStyle w:val="pheading"/>
      </w:pPr>
      <w:r>
        <w:t>MATÉRIAUX</w:t>
      </w:r>
    </w:p>
    <w:p w14:paraId="6FCAFD6B" w14:textId="77777777" w:rsidR="004B2808" w:rsidRDefault="00000000">
      <w:pPr>
        <w:pStyle w:val="pheading"/>
      </w:pPr>
      <w:r>
        <w:t>- Caractéristiques générales</w:t>
      </w:r>
    </w:p>
    <w:p w14:paraId="5968D3F3" w14:textId="77777777" w:rsidR="004B2808" w:rsidRDefault="00000000">
      <w:pPr>
        <w:jc w:val="both"/>
      </w:pPr>
      <w:r>
        <w:t>Le béton est conforme aux normes [NBN EN 206:2013+A2] et [NBN B 15-001] avec des exigences complémentaires liées à la [NIT 267].</w:t>
      </w:r>
    </w:p>
    <w:p w14:paraId="259808A4" w14:textId="77777777" w:rsidR="004B2808" w:rsidRDefault="00000000">
      <w:pPr>
        <w:jc w:val="both"/>
      </w:pPr>
      <w:r>
        <w:t>Vu que le béton est poli, les exigences complémentaires à la spécification du béton pour éviter la délamination du béton sont les suivantes :</w:t>
      </w:r>
    </w:p>
    <w:p w14:paraId="54903C9D" w14:textId="77777777" w:rsidR="004B2808" w:rsidRDefault="00000000">
      <w:pPr>
        <w:pStyle w:val="Author-eListParagraph"/>
        <w:numPr>
          <w:ilvl w:val="0"/>
          <w:numId w:val="515"/>
        </w:numPr>
      </w:pPr>
      <w:r>
        <w:t>Teneur en air  &lt; 3.0 %</w:t>
      </w:r>
    </w:p>
    <w:p w14:paraId="3C72465A" w14:textId="77777777" w:rsidR="004B2808" w:rsidRDefault="00000000">
      <w:pPr>
        <w:pStyle w:val="Author-eListParagraph"/>
        <w:numPr>
          <w:ilvl w:val="0"/>
          <w:numId w:val="515"/>
        </w:numPr>
      </w:pPr>
      <w:r>
        <w:t>Teneur en eau  &gt; 180 l/m³</w:t>
      </w:r>
    </w:p>
    <w:p w14:paraId="0701B314" w14:textId="77777777" w:rsidR="004B2808" w:rsidRDefault="00000000">
      <w:pPr>
        <w:pStyle w:val="Author-eListParagraph"/>
        <w:numPr>
          <w:ilvl w:val="0"/>
          <w:numId w:val="515"/>
        </w:numPr>
      </w:pPr>
      <w:r>
        <w:t>Dosage en ciment  &gt; 320 kg/m³</w:t>
      </w:r>
    </w:p>
    <w:p w14:paraId="673FCB92" w14:textId="77777777" w:rsidR="004B2808" w:rsidRDefault="00000000">
      <w:pPr>
        <w:pStyle w:val="Author-eListParagraph"/>
        <w:numPr>
          <w:ilvl w:val="0"/>
          <w:numId w:val="515"/>
        </w:numPr>
      </w:pPr>
      <w:r>
        <w:t>Granulométrie conforme à la [NIT 267]</w:t>
      </w:r>
    </w:p>
    <w:p w14:paraId="1571A0EB" w14:textId="77777777" w:rsidR="004B2808" w:rsidRDefault="00000000">
      <w:pPr>
        <w:jc w:val="both"/>
      </w:pPr>
      <w:r>
        <w:t>Epaisseur du sol : ≥  6 cm</w:t>
      </w:r>
    </w:p>
    <w:p w14:paraId="43371B08" w14:textId="77777777" w:rsidR="004B2808" w:rsidRDefault="00000000">
      <w:pPr>
        <w:jc w:val="both"/>
      </w:pPr>
      <w:r>
        <w:rPr>
          <w:b/>
        </w:rPr>
        <w:t>Béton :</w:t>
      </w:r>
    </w:p>
    <w:p w14:paraId="3414DC92" w14:textId="77777777" w:rsidR="004B2808" w:rsidRDefault="00000000">
      <w:pPr>
        <w:pStyle w:val="Author-eListParagraph"/>
        <w:numPr>
          <w:ilvl w:val="0"/>
          <w:numId w:val="516"/>
        </w:numPr>
        <w:jc w:val="both"/>
      </w:pPr>
      <w:r>
        <w:t xml:space="preserve">Classe de résistance : </w:t>
      </w:r>
      <w:r>
        <w:rPr>
          <w:rStyle w:val="optioncarChar"/>
        </w:rPr>
        <w:t>C25/30 / C30/37 / C35/45</w:t>
      </w:r>
    </w:p>
    <w:p w14:paraId="1F5E9EA3" w14:textId="77777777" w:rsidR="004B2808" w:rsidRDefault="00000000">
      <w:pPr>
        <w:pStyle w:val="Author-eListParagraph"/>
        <w:numPr>
          <w:ilvl w:val="0"/>
          <w:numId w:val="516"/>
        </w:numPr>
        <w:jc w:val="both"/>
      </w:pPr>
      <w:r>
        <w:t>Classe d’environnement :</w:t>
      </w:r>
      <w:r>
        <w:rPr>
          <w:rStyle w:val="optioncarChar"/>
        </w:rPr>
        <w:t xml:space="preserve"> EE1 / EE2 </w:t>
      </w:r>
    </w:p>
    <w:p w14:paraId="0BF8A5A4" w14:textId="77777777" w:rsidR="004B2808" w:rsidRDefault="00000000">
      <w:pPr>
        <w:pStyle w:val="Author-eListParagraph"/>
        <w:numPr>
          <w:ilvl w:val="0"/>
          <w:numId w:val="516"/>
        </w:numPr>
        <w:jc w:val="both"/>
      </w:pPr>
      <w:r>
        <w:t xml:space="preserve">Agression chimique : </w:t>
      </w:r>
      <w:r>
        <w:rPr>
          <w:rStyle w:val="optioncarChar"/>
        </w:rPr>
        <w:t>pas d’agression chimique / EA1 / EA2 / EA3</w:t>
      </w:r>
    </w:p>
    <w:p w14:paraId="5CF7308F" w14:textId="77777777" w:rsidR="004B2808" w:rsidRDefault="00000000">
      <w:pPr>
        <w:pStyle w:val="Author-eListParagraph"/>
        <w:numPr>
          <w:ilvl w:val="0"/>
          <w:numId w:val="516"/>
        </w:numPr>
        <w:jc w:val="both"/>
      </w:pPr>
      <w:r>
        <w:t>Dmax :</w:t>
      </w:r>
      <w:r>
        <w:rPr>
          <w:rStyle w:val="optioncarChar"/>
        </w:rPr>
        <w:t xml:space="preserve"> 8 / 10 / 12 / 16 / 20</w:t>
      </w:r>
      <w:r>
        <w:t xml:space="preserve"> mm</w:t>
      </w:r>
    </w:p>
    <w:p w14:paraId="120ECFB2" w14:textId="77777777" w:rsidR="004B2808" w:rsidRDefault="00000000">
      <w:pPr>
        <w:pStyle w:val="Author-eListParagraph"/>
        <w:numPr>
          <w:ilvl w:val="0"/>
          <w:numId w:val="516"/>
        </w:numPr>
        <w:jc w:val="both"/>
      </w:pPr>
      <w:r>
        <w:t xml:space="preserve">Consistance si pas de pente : </w:t>
      </w:r>
      <w:r>
        <w:rPr>
          <w:rStyle w:val="optioncarChar"/>
        </w:rPr>
        <w:t>S4 / S5</w:t>
      </w:r>
    </w:p>
    <w:p w14:paraId="5D4288CC" w14:textId="77777777" w:rsidR="004B2808" w:rsidRDefault="00000000">
      <w:pPr>
        <w:pStyle w:val="Author-eListParagraph"/>
        <w:numPr>
          <w:ilvl w:val="0"/>
          <w:numId w:val="516"/>
        </w:numPr>
        <w:jc w:val="both"/>
      </w:pPr>
      <w:r>
        <w:t>Consistance si pente : S2</w:t>
      </w:r>
    </w:p>
    <w:p w14:paraId="5C86EF98" w14:textId="77777777" w:rsidR="004B2808" w:rsidRDefault="00000000">
      <w:pPr>
        <w:pStyle w:val="Author-eListParagraph"/>
        <w:numPr>
          <w:ilvl w:val="0"/>
          <w:numId w:val="516"/>
        </w:numPr>
        <w:jc w:val="both"/>
      </w:pPr>
      <w:r>
        <w:t xml:space="preserve">Classe de prévention alcali-silice : </w:t>
      </w:r>
      <w:r>
        <w:rPr>
          <w:rStyle w:val="optioncarChar"/>
        </w:rPr>
        <w:t>PREV1 / PREV2 / PREV3</w:t>
      </w:r>
    </w:p>
    <w:p w14:paraId="3FA2933A" w14:textId="77777777" w:rsidR="004B2808" w:rsidRDefault="00000000">
      <w:pPr>
        <w:pStyle w:val="Author-eListParagraph"/>
        <w:numPr>
          <w:ilvl w:val="0"/>
          <w:numId w:val="516"/>
        </w:numPr>
        <w:jc w:val="both"/>
      </w:pPr>
      <w:r>
        <w:t xml:space="preserve">Coloris : </w:t>
      </w:r>
      <w:r>
        <w:rPr>
          <w:rStyle w:val="optioncarChar"/>
        </w:rPr>
        <w:t>gris sans adjonction de colorants / rouge / vert</w:t>
      </w:r>
      <w:r>
        <w:t>.</w:t>
      </w:r>
    </w:p>
    <w:p w14:paraId="5AF6FF52" w14:textId="77777777" w:rsidR="004B2808" w:rsidRDefault="00000000">
      <w:pPr>
        <w:jc w:val="both"/>
      </w:pPr>
      <w:r>
        <w:rPr>
          <w:b/>
        </w:rPr>
        <w:t>Support  :</w:t>
      </w:r>
    </w:p>
    <w:p w14:paraId="50ADD22B" w14:textId="77777777" w:rsidR="004B2808" w:rsidRDefault="00000000">
      <w:pPr>
        <w:pStyle w:val="Author-eListParagraph"/>
        <w:numPr>
          <w:ilvl w:val="0"/>
          <w:numId w:val="517"/>
        </w:numPr>
        <w:jc w:val="both"/>
      </w:pPr>
      <w:r>
        <w:t xml:space="preserve">Classe de sollicitations à prévoir (cfr [NIT 267]) : </w:t>
      </w:r>
      <w:r>
        <w:rPr>
          <w:rStyle w:val="optioncarChar"/>
        </w:rPr>
        <w:t>A / B / C1 / C2 / C3 / C4 / C5 / D1 / D2</w:t>
      </w:r>
    </w:p>
    <w:p w14:paraId="37648C3F" w14:textId="77777777" w:rsidR="004B2808" w:rsidRDefault="00000000">
      <w:pPr>
        <w:pStyle w:val="Author-eListParagraph"/>
        <w:numPr>
          <w:ilvl w:val="0"/>
          <w:numId w:val="517"/>
        </w:numPr>
        <w:jc w:val="both"/>
      </w:pPr>
      <w:r>
        <w:t xml:space="preserve">Pente : </w:t>
      </w:r>
      <w:r>
        <w:rPr>
          <w:rStyle w:val="optioncarChar"/>
        </w:rPr>
        <w:t>***</w:t>
      </w:r>
    </w:p>
    <w:p w14:paraId="27651173" w14:textId="77777777" w:rsidR="004B2808" w:rsidRDefault="00000000">
      <w:pPr>
        <w:pStyle w:val="Author-eListParagraph"/>
        <w:numPr>
          <w:ilvl w:val="0"/>
          <w:numId w:val="517"/>
        </w:numPr>
        <w:jc w:val="both"/>
      </w:pPr>
      <w:r>
        <w:t>Renforcement : armature métallique / fibres métalliques (cfr [NIT 267])</w:t>
      </w:r>
    </w:p>
    <w:p w14:paraId="6B5B23F8" w14:textId="77777777" w:rsidR="004B2808" w:rsidRDefault="00000000">
      <w:pPr>
        <w:pStyle w:val="Author-eListParagraph"/>
        <w:numPr>
          <w:ilvl w:val="0"/>
          <w:numId w:val="517"/>
        </w:numPr>
        <w:jc w:val="both"/>
      </w:pPr>
      <w:r>
        <w:t xml:space="preserve">Epaisseur du sol industriel rapporté : </w:t>
      </w:r>
      <w:r>
        <w:rPr>
          <w:rStyle w:val="optioncarChar"/>
        </w:rPr>
        <w:t>***</w:t>
      </w:r>
      <w:r>
        <w:t xml:space="preserve"> cm.</w:t>
      </w:r>
    </w:p>
    <w:p w14:paraId="227FCDF7" w14:textId="77777777" w:rsidR="004B2808" w:rsidRDefault="00000000">
      <w:pPr>
        <w:pStyle w:val="Author-eListParagraph"/>
        <w:numPr>
          <w:ilvl w:val="0"/>
          <w:numId w:val="517"/>
        </w:numPr>
        <w:jc w:val="both"/>
      </w:pPr>
      <w:r>
        <w:t xml:space="preserve">Classe de planéité (cf. [NIT 267]) : </w:t>
      </w:r>
      <w:r>
        <w:rPr>
          <w:rStyle w:val="optioncarChar"/>
        </w:rPr>
        <w:t>IV / III / II / I</w:t>
      </w:r>
    </w:p>
    <w:p w14:paraId="1C0D53BA" w14:textId="77777777" w:rsidR="004B2808" w:rsidRDefault="00000000">
      <w:pPr>
        <w:pStyle w:val="Author-eListParagraph"/>
        <w:numPr>
          <w:ilvl w:val="0"/>
          <w:numId w:val="517"/>
        </w:numPr>
        <w:jc w:val="both"/>
      </w:pPr>
      <w:r>
        <w:t>Selon la [Décision 96/603/CE] de la Commission du 4 octobre 1996 et les conditions qui y sont reprises, le béton appartient à la classe de réaction au feu A1</w:t>
      </w:r>
      <w:r>
        <w:rPr>
          <w:vertAlign w:val="subscript"/>
        </w:rPr>
        <w:t>FL</w:t>
      </w:r>
      <w:r>
        <w:t>. </w:t>
      </w:r>
    </w:p>
    <w:p w14:paraId="4651B5A0" w14:textId="77777777" w:rsidR="004B2808" w:rsidRDefault="00000000">
      <w:pPr>
        <w:ind w:left="750"/>
      </w:pPr>
      <w:r>
        <w:t> </w:t>
      </w:r>
    </w:p>
    <w:p w14:paraId="47B197A9" w14:textId="77777777" w:rsidR="004B2808" w:rsidRDefault="00000000">
      <w:pPr>
        <w:pStyle w:val="pheading"/>
      </w:pPr>
      <w:r>
        <w:t>EXÉCUTION / MISE EN ŒUVRE</w:t>
      </w:r>
    </w:p>
    <w:p w14:paraId="031414C0" w14:textId="77777777" w:rsidR="004B2808" w:rsidRDefault="00000000">
      <w:pPr>
        <w:pStyle w:val="pheading"/>
      </w:pPr>
      <w:r>
        <w:t>- Prescriptions générales</w:t>
      </w:r>
    </w:p>
    <w:p w14:paraId="346CC1DF" w14:textId="77777777" w:rsidR="004B2808" w:rsidRDefault="00000000">
      <w:r>
        <w:t>L’exécution est conforme à la [NIT 267]. Un produit de cure est appliqué après le polissage.</w:t>
      </w:r>
    </w:p>
    <w:p w14:paraId="4B5663BA" w14:textId="77777777" w:rsidR="004B2808" w:rsidRDefault="00000000">
      <w:pPr>
        <w:ind w:left="750"/>
      </w:pPr>
      <w:r>
        <w:t> </w:t>
      </w:r>
    </w:p>
    <w:p w14:paraId="4C3CADA3" w14:textId="77777777" w:rsidR="004B2808" w:rsidRDefault="00000000">
      <w:pPr>
        <w:pStyle w:val="pheading"/>
      </w:pPr>
      <w:r>
        <w:t>CONTRÔLES PARTICULIERS</w:t>
      </w:r>
    </w:p>
    <w:p w14:paraId="4EDE229A" w14:textId="77777777" w:rsidR="004B2808" w:rsidRDefault="00000000">
      <w:r>
        <w:t xml:space="preserve">Voir élément </w:t>
      </w:r>
      <w:hyperlink w:anchor="1127" w:history="1">
        <w:r w:rsidR="004B2808">
          <w:rPr>
            <w:color w:val="0000EE"/>
          </w:rPr>
          <w:t>53.31 Sols de type industriel à base de ciment</w:t>
        </w:r>
      </w:hyperlink>
    </w:p>
    <w:p w14:paraId="3AE2465D" w14:textId="77777777" w:rsidR="004B2808" w:rsidRDefault="00000000">
      <w:pPr>
        <w:pStyle w:val="pheading"/>
      </w:pPr>
      <w:r>
        <w:t>MESURAGE</w:t>
      </w:r>
    </w:p>
    <w:p w14:paraId="15B21E27" w14:textId="77777777" w:rsidR="004B2808" w:rsidRDefault="00000000">
      <w:pPr>
        <w:pStyle w:val="pheading"/>
      </w:pPr>
      <w:r>
        <w:t>- unité de mesure:</w:t>
      </w:r>
    </w:p>
    <w:p w14:paraId="6D3B72C4" w14:textId="77777777" w:rsidR="004B2808" w:rsidRDefault="00000000">
      <w:r>
        <w:t>m²</w:t>
      </w:r>
    </w:p>
    <w:p w14:paraId="1CAEB6AD" w14:textId="77777777" w:rsidR="004B2808" w:rsidRDefault="00000000">
      <w:pPr>
        <w:pStyle w:val="pheading"/>
      </w:pPr>
      <w:r>
        <w:t>- code de mesurage:</w:t>
      </w:r>
    </w:p>
    <w:p w14:paraId="75A2CCDB" w14:textId="77777777" w:rsidR="004B2808" w:rsidRDefault="00000000">
      <w:r>
        <w:rPr>
          <w:u w:val="single"/>
        </w:rPr>
        <w:t>Surface nette</w:t>
      </w:r>
      <w:r>
        <w:t xml:space="preserve"> mesurée entre le nu des murs, calculée sur la base des dimensions nominales en cm.</w:t>
      </w:r>
    </w:p>
    <w:p w14:paraId="0199EEBD" w14:textId="77777777" w:rsidR="004B2808" w:rsidRDefault="00000000">
      <w:pPr>
        <w:pStyle w:val="pheading"/>
      </w:pPr>
      <w:r>
        <w:lastRenderedPageBreak/>
        <w:t>- nature du marché:</w:t>
      </w:r>
    </w:p>
    <w:p w14:paraId="096881D6" w14:textId="77777777" w:rsidR="004B2808" w:rsidRDefault="00000000">
      <w:r>
        <w:t>QF</w:t>
      </w:r>
    </w:p>
    <w:p w14:paraId="09499290" w14:textId="77777777" w:rsidR="004B2808" w:rsidRDefault="00000000">
      <w:pPr>
        <w:pStyle w:val="pheading"/>
      </w:pPr>
      <w:r>
        <w:t>AIDE</w:t>
      </w:r>
    </w:p>
    <w:p w14:paraId="6688568B" w14:textId="77777777" w:rsidR="004B2808" w:rsidRDefault="00000000">
      <w:r>
        <w:t>La classe de planéité dans le secteur résidentiel est la classe II.</w:t>
      </w:r>
    </w:p>
    <w:p w14:paraId="176D0BD8" w14:textId="77777777" w:rsidR="004B2808" w:rsidRDefault="00000000">
      <w:pPr>
        <w:pStyle w:val="Author-eSectionHeading5Numberless"/>
      </w:pPr>
      <w:bookmarkStart w:id="592" w:name="_Toc220490756"/>
      <w:r>
        <w:t>53.31.4 Sols de type industriel à base de ciment, rapportés avec couche d'usure CCTB 01.02</w:t>
      </w:r>
      <w:bookmarkEnd w:id="592"/>
    </w:p>
    <w:p w14:paraId="4D6C2A7F" w14:textId="77777777" w:rsidR="004B2808" w:rsidRDefault="00000000">
      <w:pPr>
        <w:pStyle w:val="Author-eSectionHeading6Numberless"/>
      </w:pPr>
      <w:bookmarkStart w:id="593" w:name="_Toc220490757"/>
      <w:r>
        <w:t>53.31.4a Sols de type industriel à base de ciment, rapportés avec couche d'usure CCTB 01.02</w:t>
      </w:r>
      <w:bookmarkEnd w:id="593"/>
    </w:p>
    <w:p w14:paraId="49A7197C" w14:textId="77777777" w:rsidR="004B2808" w:rsidRDefault="00000000">
      <w:pPr>
        <w:pStyle w:val="Author-eSectionHeading4Numberless"/>
      </w:pPr>
      <w:bookmarkStart w:id="594" w:name="_Toc220490758"/>
      <w:r>
        <w:t>53.32 Sols de type industriel à base de résines CCTB 01.12</w:t>
      </w:r>
      <w:bookmarkEnd w:id="594"/>
    </w:p>
    <w:p w14:paraId="2A899199" w14:textId="77777777" w:rsidR="004B2808" w:rsidRDefault="00000000">
      <w:pPr>
        <w:pStyle w:val="pheading"/>
      </w:pPr>
      <w:bookmarkStart w:id="595" w:name="1266"/>
      <w:bookmarkEnd w:id="595"/>
      <w:r>
        <w:t>DESCRIPTION</w:t>
      </w:r>
    </w:p>
    <w:p w14:paraId="7AA37577" w14:textId="77777777" w:rsidR="004B2808" w:rsidRDefault="00000000">
      <w:pPr>
        <w:pStyle w:val="pheading"/>
      </w:pPr>
      <w:r>
        <w:t>- Définition / Comprend</w:t>
      </w:r>
    </w:p>
    <w:p w14:paraId="6BDE6318" w14:textId="77777777" w:rsidR="004B2808" w:rsidRDefault="00000000">
      <w:pPr>
        <w:jc w:val="both"/>
      </w:pPr>
      <w:r>
        <w:t>Il s'agit de la fourniture et de la pose d'une finition de sol industriel à base de résines.</w:t>
      </w:r>
    </w:p>
    <w:p w14:paraId="4D8C7C24" w14:textId="77777777" w:rsidR="004B2808" w:rsidRDefault="00000000">
      <w:pPr>
        <w:jc w:val="both"/>
      </w:pPr>
      <w:r>
        <w:t>Le travail comprend notamment :</w:t>
      </w:r>
    </w:p>
    <w:p w14:paraId="218344A0" w14:textId="77777777" w:rsidR="004B2808" w:rsidRDefault="00000000">
      <w:pPr>
        <w:pStyle w:val="Author-eListParagraph"/>
        <w:numPr>
          <w:ilvl w:val="0"/>
          <w:numId w:val="518"/>
        </w:numPr>
      </w:pPr>
      <w:r>
        <w:t>Les mesures de température de l’air et d’humidité du support et leur vérification ;</w:t>
      </w:r>
    </w:p>
    <w:p w14:paraId="43EC75E8" w14:textId="77777777" w:rsidR="004B2808" w:rsidRDefault="00000000">
      <w:pPr>
        <w:pStyle w:val="Author-eListParagraph"/>
        <w:numPr>
          <w:ilvl w:val="0"/>
          <w:numId w:val="518"/>
        </w:numPr>
      </w:pPr>
      <w:r>
        <w:t>La réalisation des opérations de préparation du support, par exemple, le décapage mécanique de certains supports (chape, béton, résine, carrelage), le dépoussiérage, le rebouchage de trous,... ;</w:t>
      </w:r>
    </w:p>
    <w:p w14:paraId="61741F91" w14:textId="77777777" w:rsidR="004B2808" w:rsidRDefault="00000000">
      <w:pPr>
        <w:pStyle w:val="Author-eListParagraph"/>
        <w:numPr>
          <w:ilvl w:val="0"/>
          <w:numId w:val="518"/>
        </w:numPr>
      </w:pPr>
      <w:r>
        <w:t>L'application d’une couche d’égalisation éventuelle, du coating pare-vapeur éventuel, d’un primaire et des finitions prescrites dans le cahier spécial des charges ;</w:t>
      </w:r>
    </w:p>
    <w:p w14:paraId="3EEBF928" w14:textId="77777777" w:rsidR="004B2808" w:rsidRDefault="00000000">
      <w:pPr>
        <w:pStyle w:val="Author-eListParagraph"/>
        <w:numPr>
          <w:ilvl w:val="0"/>
          <w:numId w:val="518"/>
        </w:numPr>
      </w:pPr>
      <w:r>
        <w:t>La protection des ouvrages revêtus jusqu'à la réception provisoire ;</w:t>
      </w:r>
    </w:p>
    <w:p w14:paraId="7DC25A8E" w14:textId="77777777" w:rsidR="004B2808" w:rsidRDefault="00000000">
      <w:pPr>
        <w:pStyle w:val="Author-eListParagraph"/>
        <w:numPr>
          <w:ilvl w:val="0"/>
          <w:numId w:val="518"/>
        </w:numPr>
      </w:pPr>
      <w:r>
        <w:t>La mise en œuvre éventuelle des plinthes ;</w:t>
      </w:r>
    </w:p>
    <w:p w14:paraId="2418F06D" w14:textId="77777777" w:rsidR="004B2808" w:rsidRDefault="00000000">
      <w:pPr>
        <w:pStyle w:val="Author-eListParagraph"/>
        <w:numPr>
          <w:ilvl w:val="0"/>
          <w:numId w:val="518"/>
        </w:numPr>
      </w:pPr>
      <w:r>
        <w:t>La mise en œuvre éventuelle des caniveaux. L'intégration des grilles à cloche (sterfput) est comprise dans le prix des articles découlant de cet élément. La face supérieure des grilles se situe à 2 mm du niveau fini du sol. Elles sont intégrées de manière étanche conformément aux prescriptions de la [NIT 277] ;</w:t>
      </w:r>
    </w:p>
    <w:p w14:paraId="6BCC3C5E" w14:textId="77777777" w:rsidR="004B2808" w:rsidRDefault="00000000">
      <w:pPr>
        <w:pStyle w:val="Author-eListParagraph"/>
        <w:numPr>
          <w:ilvl w:val="0"/>
          <w:numId w:val="518"/>
        </w:numPr>
      </w:pPr>
      <w:r>
        <w:t>La mise en œuvre des joints conformément au plan d’implantation faisant partie du travail de conception transmis par le maitre d’ouvrage.</w:t>
      </w:r>
    </w:p>
    <w:p w14:paraId="1534D9E3" w14:textId="77777777" w:rsidR="004B2808" w:rsidRDefault="00000000">
      <w:pPr>
        <w:jc w:val="both"/>
      </w:pPr>
      <w:r>
        <w:t>La gestion et l’évacuation des déchets de chantier est décrite et comptabilisée au « 07 Déchets, matériaux et éléments réemployables ».</w:t>
      </w:r>
    </w:p>
    <w:p w14:paraId="27979722" w14:textId="77777777" w:rsidR="004B2808" w:rsidRDefault="00000000">
      <w:pPr>
        <w:pStyle w:val="pheading"/>
      </w:pPr>
      <w:r>
        <w:t>MATÉRIAUX</w:t>
      </w:r>
    </w:p>
    <w:p w14:paraId="7D8DB9A2" w14:textId="77777777" w:rsidR="004B2808" w:rsidRDefault="00000000">
      <w:pPr>
        <w:jc w:val="both"/>
      </w:pPr>
      <w:r>
        <w:t>Tous les matériaux et produits utilisés conviennent pour l'application à laquelle ils sont destinés et sont compatibles entre eux et avec l'état du support.</w:t>
      </w:r>
    </w:p>
    <w:p w14:paraId="4117643A" w14:textId="77777777" w:rsidR="004B2808" w:rsidRDefault="00000000">
      <w:pPr>
        <w:jc w:val="both"/>
      </w:pPr>
      <w:r>
        <w:t>Pour différentes applications (supports), plusieurs systèmes de résines sont possibles. La [NIT 277] donne un aperçu des types de résines disponibles pour les applications les plus courantes.</w:t>
      </w:r>
    </w:p>
    <w:p w14:paraId="396CDFF6" w14:textId="77777777" w:rsidR="004B2808" w:rsidRDefault="00000000">
      <w:pPr>
        <w:jc w:val="both"/>
      </w:pPr>
      <w:r>
        <w:t>Ces résines sont conformes à l’[AR 2014-05-08] fixant des limites pour les émissions des COV dans le cas de revêtements de sol destinés à un espace intérieur à usage résidentiel, tertiaire, quaternaire, sportif, commercial ou public ainsi qu’aux bureaux.</w:t>
      </w:r>
    </w:p>
    <w:p w14:paraId="20D8A082" w14:textId="77777777" w:rsidR="004B2808" w:rsidRDefault="00000000">
      <w:pPr>
        <w:jc w:val="both"/>
      </w:pPr>
      <w:r>
        <w:t>Les mortiers de réparation utilisés satisfont aux exigences de la [NBN EN 1504-3] et au [PTV BB 563].</w:t>
      </w:r>
    </w:p>
    <w:p w14:paraId="31926149" w14:textId="77777777" w:rsidR="004B2808" w:rsidRDefault="00000000">
      <w:pPr>
        <w:jc w:val="both"/>
      </w:pPr>
      <w:r>
        <w:t>Le primaire est compatible avec les couches de finition.</w:t>
      </w:r>
    </w:p>
    <w:p w14:paraId="57AB00FD" w14:textId="77777777" w:rsidR="004B2808" w:rsidRDefault="00000000">
      <w:pPr>
        <w:jc w:val="both"/>
      </w:pPr>
      <w:r>
        <w:t>L’auteur de projet a le droit de faire contrôler à tout moment la qualité des matériaux utilisés.</w:t>
      </w:r>
    </w:p>
    <w:p w14:paraId="5651D116" w14:textId="77777777" w:rsidR="004B2808" w:rsidRDefault="004B2808">
      <w:pPr>
        <w:jc w:val="both"/>
      </w:pPr>
    </w:p>
    <w:p w14:paraId="1BCF1768" w14:textId="77777777" w:rsidR="004B2808" w:rsidRDefault="00000000">
      <w:pPr>
        <w:jc w:val="both"/>
      </w:pPr>
      <w:r>
        <w:t xml:space="preserve">Réaction au feu du revêtement: classe </w:t>
      </w:r>
      <w:r>
        <w:rPr>
          <w:rStyle w:val="optioncarChar"/>
        </w:rPr>
        <w:t>A1FL / A2FL / BFL / CFL / DFL / EFL / FFL</w:t>
      </w:r>
      <w:r>
        <w:t xml:space="preserve"> selon la [NBN EN 13501-1].</w:t>
      </w:r>
    </w:p>
    <w:p w14:paraId="72C19F29" w14:textId="77777777" w:rsidR="004B2808" w:rsidRDefault="00000000">
      <w:pPr>
        <w:jc w:val="both"/>
      </w:pPr>
      <w:r>
        <w:lastRenderedPageBreak/>
        <w:t xml:space="preserve">Classe additionnelle : </w:t>
      </w:r>
      <w:r>
        <w:rPr>
          <w:rStyle w:val="optioncarChar"/>
        </w:rPr>
        <w:t>***</w:t>
      </w:r>
    </w:p>
    <w:p w14:paraId="0903D272" w14:textId="77777777" w:rsidR="004B2808" w:rsidRDefault="00000000">
      <w:pPr>
        <w:jc w:val="both"/>
      </w:pPr>
      <w:r>
        <w:t xml:space="preserve">Production de fumée : exigence </w:t>
      </w:r>
      <w:r>
        <w:rPr>
          <w:rStyle w:val="optioncarChar"/>
        </w:rPr>
        <w:t>s1 / s2</w:t>
      </w:r>
    </w:p>
    <w:p w14:paraId="72AD1E47" w14:textId="77777777" w:rsidR="004B2808" w:rsidRDefault="00000000">
      <w:pPr>
        <w:jc w:val="both"/>
      </w:pPr>
      <w:r>
        <w:rPr>
          <w:b/>
        </w:rPr>
        <w:t>Fourniture - entreposage</w:t>
      </w:r>
    </w:p>
    <w:p w14:paraId="766F72D7" w14:textId="77777777" w:rsidR="004B2808" w:rsidRDefault="00000000">
      <w:pPr>
        <w:jc w:val="both"/>
      </w:pPr>
      <w:r>
        <w:t>Tous les produits de résine et les durcisseurs sont amenés dans des bidons originaux et fermés, pourvus des étiquettes originales du fabricant conformes à la législation. L’entrepreneur fournit toutes les fiches techniques des produits pour approbation avant mise en œuvre.</w:t>
      </w:r>
    </w:p>
    <w:p w14:paraId="2C95956C" w14:textId="77777777" w:rsidR="004B2808" w:rsidRDefault="00000000">
      <w:pPr>
        <w:jc w:val="both"/>
      </w:pPr>
      <w:r>
        <w:t>En concertation avec le maître d’ouvrage, les produits sont entreposés dans un local ou un container entre 15°C et 20°C (sauf si le fournisseur de produits définit d’autres conditions de stockage) fermé à clé, sous la responsabilité de l'entrepreneur. Les charges et les granulats sont conservés à une température comprise entre 15 et 20°C pour éviter que le mélange qui en sera fait ne durcisse trop rapidement ou trop lentement.</w:t>
      </w:r>
    </w:p>
    <w:p w14:paraId="019218B2" w14:textId="77777777" w:rsidR="004B2808" w:rsidRDefault="00000000">
      <w:pPr>
        <w:jc w:val="both"/>
      </w:pPr>
      <w:r>
        <w:rPr>
          <w:b/>
        </w:rPr>
        <w:t>Couleurs - Echantillons</w:t>
      </w:r>
    </w:p>
    <w:p w14:paraId="5CCA0A94" w14:textId="77777777" w:rsidR="004B2808" w:rsidRDefault="00000000">
      <w:pPr>
        <w:jc w:val="both"/>
      </w:pPr>
      <w:r>
        <w:t>Sauf dispositions contraires, les couleurs des couches de finition sont déterminées par l’auteur de projet et/ou le maître de l'ouvrage sur présentation des cartes de couleur NCS, RAL ou autre, sans exclusion d'une ou de plusieurs couleurs.</w:t>
      </w:r>
    </w:p>
    <w:p w14:paraId="4E04A629" w14:textId="77777777" w:rsidR="004B2808" w:rsidRDefault="00000000">
      <w:pPr>
        <w:pStyle w:val="pheading"/>
      </w:pPr>
      <w:r>
        <w:t>EXÉCUTION / MISE EN ŒUVRE</w:t>
      </w:r>
    </w:p>
    <w:p w14:paraId="23674265" w14:textId="77777777" w:rsidR="004B2808" w:rsidRDefault="00000000">
      <w:pPr>
        <w:jc w:val="both"/>
      </w:pPr>
      <w:r>
        <w:rPr>
          <w:b/>
        </w:rPr>
        <w:t>Généralités</w:t>
      </w:r>
    </w:p>
    <w:p w14:paraId="4B6AEBD1" w14:textId="77777777" w:rsidR="004B2808" w:rsidRDefault="00000000">
      <w:pPr>
        <w:jc w:val="both"/>
      </w:pPr>
      <w:r>
        <w:t>La préparation du support et la mise en œuvre des sols en résine sont exécutées par des ouvriers qualifiés. L'entrepreneur respecte les mesures de précaution indiquées par le fabricant, le PPSS et les législations en vigueur.</w:t>
      </w:r>
    </w:p>
    <w:p w14:paraId="5FE58392" w14:textId="77777777" w:rsidR="004B2808" w:rsidRDefault="00000000">
      <w:pPr>
        <w:jc w:val="both"/>
      </w:pPr>
      <w:r>
        <w:t>En fonction de la nature du support et de la finition prescrite, l’entrepreneur tient également compte des directives données dans la documentation technique accompagnant le produit en ce qui concerne les conditions d'application, l'épaisseur recommandée des couches, les temps de séchage, le pot life des résines bi-composants, l'outillage à utiliser pour la mise en œuvre,...</w:t>
      </w:r>
    </w:p>
    <w:p w14:paraId="02F55F4B" w14:textId="77777777" w:rsidR="004B2808" w:rsidRDefault="00000000">
      <w:pPr>
        <w:jc w:val="both"/>
      </w:pPr>
      <w:r>
        <w:rPr>
          <w:b/>
        </w:rPr>
        <w:t>Etude préparatoire - Etat du support</w:t>
      </w:r>
    </w:p>
    <w:p w14:paraId="1A557F43" w14:textId="77777777" w:rsidR="004B2808" w:rsidRDefault="00000000">
      <w:pPr>
        <w:jc w:val="both"/>
      </w:pPr>
      <w:r>
        <w:t>Le support est à niveau et présente la planéité exigée pour ce support dans le cahier des charges. Cette vérification est réalisée par le maitre d’ouvrage ou par son architecte.</w:t>
      </w:r>
    </w:p>
    <w:p w14:paraId="5CFFFDF7" w14:textId="77777777" w:rsidR="004B2808" w:rsidRDefault="00000000">
      <w:pPr>
        <w:jc w:val="both"/>
      </w:pPr>
      <w:r>
        <w:t>Il est suffisamment sec et répond aux exigences fournies dans la fiche technique de la résine et dans le cas des bétons et des chapes aux exigences de la [NIT 277] (voir tableau ci-dessous). Cette vérification est réalisée par l’applicateur de résine.</w:t>
      </w:r>
    </w:p>
    <w:tbl>
      <w:tblPr>
        <w:tblStyle w:val="Author-eTableGrid"/>
        <w:tblW w:w="9060" w:type="dxa"/>
        <w:tblLayout w:type="fixed"/>
        <w:tblLook w:val="04A0" w:firstRow="1" w:lastRow="0" w:firstColumn="1" w:lastColumn="0" w:noHBand="0" w:noVBand="1"/>
      </w:tblPr>
      <w:tblGrid>
        <w:gridCol w:w="2265"/>
        <w:gridCol w:w="2265"/>
        <w:gridCol w:w="2265"/>
        <w:gridCol w:w="2265"/>
      </w:tblGrid>
      <w:tr w:rsidR="004B2808" w14:paraId="34AC8362" w14:textId="77777777">
        <w:tc>
          <w:tcPr>
            <w:tcW w:w="2250" w:type="dxa"/>
            <w:noWrap/>
          </w:tcPr>
          <w:p w14:paraId="63BEC84A" w14:textId="77777777" w:rsidR="004B2808" w:rsidRDefault="00000000">
            <w:r>
              <w:t>Type de support</w:t>
            </w:r>
          </w:p>
        </w:tc>
        <w:tc>
          <w:tcPr>
            <w:tcW w:w="2250" w:type="dxa"/>
            <w:noWrap/>
          </w:tcPr>
          <w:p w14:paraId="2916BDBD" w14:textId="77777777" w:rsidR="004B2808" w:rsidRDefault="00000000">
            <w:r>
              <w:t>Profondeur de prélèvement minimal pour la mesure à la bombe à carbure</w:t>
            </w:r>
          </w:p>
        </w:tc>
        <w:tc>
          <w:tcPr>
            <w:tcW w:w="2250" w:type="dxa"/>
            <w:noWrap/>
          </w:tcPr>
          <w:p w14:paraId="6879C2FD" w14:textId="77777777" w:rsidR="004B2808" w:rsidRDefault="00000000">
            <w:r>
              <w:t>Taux d’humidité maximum (sans chauffage par le sol)</w:t>
            </w:r>
          </w:p>
        </w:tc>
        <w:tc>
          <w:tcPr>
            <w:tcW w:w="2250" w:type="dxa"/>
            <w:noWrap/>
          </w:tcPr>
          <w:p w14:paraId="223A611E" w14:textId="77777777" w:rsidR="004B2808" w:rsidRDefault="00000000">
            <w:r>
              <w:t>Taux d’humidité maximum (avec chauffage par le sol)</w:t>
            </w:r>
          </w:p>
        </w:tc>
      </w:tr>
      <w:tr w:rsidR="004B2808" w14:paraId="58B438C5" w14:textId="77777777">
        <w:tc>
          <w:tcPr>
            <w:tcW w:w="2250" w:type="dxa"/>
            <w:noWrap/>
          </w:tcPr>
          <w:p w14:paraId="59390504" w14:textId="77777777" w:rsidR="004B2808" w:rsidRDefault="00000000">
            <w:r>
              <w:t>Sol en béton</w:t>
            </w:r>
          </w:p>
        </w:tc>
        <w:tc>
          <w:tcPr>
            <w:tcW w:w="2250" w:type="dxa"/>
            <w:noWrap/>
          </w:tcPr>
          <w:p w14:paraId="7B82500D" w14:textId="77777777" w:rsidR="004B2808" w:rsidRDefault="00000000">
            <w:r>
              <w:t>4 cm</w:t>
            </w:r>
          </w:p>
        </w:tc>
        <w:tc>
          <w:tcPr>
            <w:tcW w:w="2250" w:type="dxa"/>
            <w:noWrap/>
          </w:tcPr>
          <w:p w14:paraId="51460E9D" w14:textId="77777777" w:rsidR="004B2808" w:rsidRDefault="00000000">
            <w:r>
              <w:t>4,0 %</w:t>
            </w:r>
          </w:p>
        </w:tc>
        <w:tc>
          <w:tcPr>
            <w:tcW w:w="2250" w:type="dxa"/>
            <w:noWrap/>
          </w:tcPr>
          <w:p w14:paraId="07AB7BAC" w14:textId="77777777" w:rsidR="004B2808" w:rsidRDefault="00000000">
            <w:r>
              <w:t>4,0 %</w:t>
            </w:r>
          </w:p>
        </w:tc>
      </w:tr>
      <w:tr w:rsidR="004B2808" w14:paraId="43B7AE02" w14:textId="77777777">
        <w:tc>
          <w:tcPr>
            <w:tcW w:w="2250" w:type="dxa"/>
            <w:noWrap/>
          </w:tcPr>
          <w:p w14:paraId="14F2BBC1" w14:textId="77777777" w:rsidR="004B2808" w:rsidRDefault="00000000">
            <w:r>
              <w:t>Chape à base de ciment</w:t>
            </w:r>
          </w:p>
        </w:tc>
        <w:tc>
          <w:tcPr>
            <w:tcW w:w="2250" w:type="dxa"/>
            <w:noWrap/>
          </w:tcPr>
          <w:p w14:paraId="3F199AF4" w14:textId="77777777" w:rsidR="004B2808" w:rsidRDefault="00000000">
            <w:r>
              <w:t>À mi-épaisseur de la chape</w:t>
            </w:r>
          </w:p>
        </w:tc>
        <w:tc>
          <w:tcPr>
            <w:tcW w:w="2250" w:type="dxa"/>
            <w:noWrap/>
          </w:tcPr>
          <w:p w14:paraId="545A5330" w14:textId="77777777" w:rsidR="004B2808" w:rsidRDefault="00000000">
            <w:r>
              <w:t>4,0 %</w:t>
            </w:r>
          </w:p>
        </w:tc>
        <w:tc>
          <w:tcPr>
            <w:tcW w:w="2250" w:type="dxa"/>
            <w:noWrap/>
          </w:tcPr>
          <w:p w14:paraId="28363C65" w14:textId="77777777" w:rsidR="004B2808" w:rsidRDefault="00000000">
            <w:r>
              <w:t>2,5 %</w:t>
            </w:r>
          </w:p>
        </w:tc>
      </w:tr>
      <w:tr w:rsidR="004B2808" w14:paraId="2B153FCB" w14:textId="77777777">
        <w:tc>
          <w:tcPr>
            <w:tcW w:w="2250" w:type="dxa"/>
            <w:noWrap/>
          </w:tcPr>
          <w:p w14:paraId="789B48DB" w14:textId="77777777" w:rsidR="004B2808" w:rsidRDefault="00000000">
            <w:r>
              <w:t>Chape à l’anhydrite</w:t>
            </w:r>
          </w:p>
        </w:tc>
        <w:tc>
          <w:tcPr>
            <w:tcW w:w="2250" w:type="dxa"/>
            <w:noWrap/>
          </w:tcPr>
          <w:p w14:paraId="7846FA5B" w14:textId="77777777" w:rsidR="004B2808" w:rsidRDefault="00000000">
            <w:r>
              <w:t>Sur toute l’épaisseur de la chape</w:t>
            </w:r>
          </w:p>
        </w:tc>
        <w:tc>
          <w:tcPr>
            <w:tcW w:w="2250" w:type="dxa"/>
            <w:noWrap/>
          </w:tcPr>
          <w:p w14:paraId="55FF7E8D" w14:textId="77777777" w:rsidR="004B2808" w:rsidRDefault="00000000">
            <w:r>
              <w:t>0,5 %</w:t>
            </w:r>
          </w:p>
        </w:tc>
        <w:tc>
          <w:tcPr>
            <w:tcW w:w="2250" w:type="dxa"/>
            <w:noWrap/>
          </w:tcPr>
          <w:p w14:paraId="45A6CD0D" w14:textId="77777777" w:rsidR="004B2808" w:rsidRDefault="00000000">
            <w:r>
              <w:t>0,3 %</w:t>
            </w:r>
          </w:p>
        </w:tc>
      </w:tr>
    </w:tbl>
    <w:p w14:paraId="693D20F1" w14:textId="77777777" w:rsidR="004B2808" w:rsidRDefault="004B2808"/>
    <w:p w14:paraId="6925A15A" w14:textId="77777777" w:rsidR="004B2808" w:rsidRDefault="00000000">
      <w:pPr>
        <w:jc w:val="both"/>
      </w:pPr>
      <w:r>
        <w:t>La résistance mécanique des chapes et des bétons satisfait aux exigences de la [NIT 277] (voir tableau ci-dessous).</w:t>
      </w:r>
    </w:p>
    <w:tbl>
      <w:tblPr>
        <w:tblStyle w:val="Author-eTableGrid"/>
        <w:tblW w:w="9060" w:type="dxa"/>
        <w:tblLayout w:type="fixed"/>
        <w:tblLook w:val="04A0" w:firstRow="1" w:lastRow="0" w:firstColumn="1" w:lastColumn="0" w:noHBand="0" w:noVBand="1"/>
      </w:tblPr>
      <w:tblGrid>
        <w:gridCol w:w="4514"/>
        <w:gridCol w:w="2273"/>
        <w:gridCol w:w="2273"/>
      </w:tblGrid>
      <w:tr w:rsidR="004B2808" w14:paraId="443BE58E" w14:textId="77777777">
        <w:tc>
          <w:tcPr>
            <w:tcW w:w="4500" w:type="dxa"/>
            <w:noWrap/>
          </w:tcPr>
          <w:p w14:paraId="63ABF7CC" w14:textId="77777777" w:rsidR="004B2808" w:rsidRDefault="004B2808"/>
          <w:p w14:paraId="574E41D9" w14:textId="77777777" w:rsidR="004B2808" w:rsidRDefault="00000000">
            <w:r>
              <w:t>Classe d’emploi</w:t>
            </w:r>
          </w:p>
        </w:tc>
        <w:tc>
          <w:tcPr>
            <w:tcW w:w="2265" w:type="dxa"/>
            <w:noWrap/>
          </w:tcPr>
          <w:p w14:paraId="7040FB85" w14:textId="77777777" w:rsidR="004B2808" w:rsidRDefault="004B2808"/>
          <w:p w14:paraId="07FE076B" w14:textId="77777777" w:rsidR="004B2808" w:rsidRDefault="00000000">
            <w:r>
              <w:t>Adhérence</w:t>
            </w:r>
          </w:p>
        </w:tc>
        <w:tc>
          <w:tcPr>
            <w:tcW w:w="2265" w:type="dxa"/>
            <w:noWrap/>
          </w:tcPr>
          <w:p w14:paraId="376F4F24" w14:textId="77777777" w:rsidR="004B2808" w:rsidRDefault="00000000">
            <w:r>
              <w:t>Résistance en compression correspondante</w:t>
            </w:r>
          </w:p>
        </w:tc>
      </w:tr>
      <w:tr w:rsidR="004B2808" w14:paraId="68CF8CAB" w14:textId="77777777">
        <w:tc>
          <w:tcPr>
            <w:tcW w:w="4500" w:type="dxa"/>
            <w:noWrap/>
          </w:tcPr>
          <w:p w14:paraId="48E24B62" w14:textId="77777777" w:rsidR="004B2808" w:rsidRDefault="00000000">
            <w:r>
              <w:t>1. Locaux non industriels destinés au logement, soumis à un trafic pédestre et à une usure légère par des roulettes</w:t>
            </w:r>
          </w:p>
        </w:tc>
        <w:tc>
          <w:tcPr>
            <w:tcW w:w="2265" w:type="dxa"/>
            <w:noWrap/>
          </w:tcPr>
          <w:p w14:paraId="2C72BD6D" w14:textId="77777777" w:rsidR="004B2808" w:rsidRDefault="00000000">
            <w:r>
              <w:t>&gt;1.5 N/mm²</w:t>
            </w:r>
          </w:p>
        </w:tc>
        <w:tc>
          <w:tcPr>
            <w:tcW w:w="2265" w:type="dxa"/>
            <w:noWrap/>
          </w:tcPr>
          <w:p w14:paraId="48D9DBBC" w14:textId="77777777" w:rsidR="004B2808" w:rsidRDefault="00000000">
            <w:r>
              <w:t>&gt; 16 N/mm²</w:t>
            </w:r>
          </w:p>
        </w:tc>
      </w:tr>
      <w:tr w:rsidR="004B2808" w14:paraId="47AF1493" w14:textId="77777777">
        <w:tc>
          <w:tcPr>
            <w:tcW w:w="4500" w:type="dxa"/>
            <w:noWrap/>
          </w:tcPr>
          <w:p w14:paraId="7D545FFF" w14:textId="77777777" w:rsidR="004B2808" w:rsidRDefault="00000000">
            <w:r>
              <w:lastRenderedPageBreak/>
              <w:t>2. Locaux industriels et non industriels soumis à des charges lourdes et à un trafic roulant important</w:t>
            </w:r>
          </w:p>
        </w:tc>
        <w:tc>
          <w:tcPr>
            <w:tcW w:w="2265" w:type="dxa"/>
            <w:noWrap/>
          </w:tcPr>
          <w:p w14:paraId="28F3BEB6" w14:textId="77777777" w:rsidR="004B2808" w:rsidRDefault="00000000">
            <w:r>
              <w:t>&gt; 2 N/mm²</w:t>
            </w:r>
          </w:p>
        </w:tc>
        <w:tc>
          <w:tcPr>
            <w:tcW w:w="2265" w:type="dxa"/>
            <w:noWrap/>
          </w:tcPr>
          <w:p w14:paraId="29E8165F" w14:textId="77777777" w:rsidR="004B2808" w:rsidRDefault="00000000">
            <w:r>
              <w:t>&gt; 20 N/mm²</w:t>
            </w:r>
          </w:p>
        </w:tc>
      </w:tr>
    </w:tbl>
    <w:p w14:paraId="22B531FB" w14:textId="77777777" w:rsidR="004B2808" w:rsidRDefault="004B2808"/>
    <w:p w14:paraId="1C4B3736" w14:textId="77777777" w:rsidR="004B2808" w:rsidRDefault="00000000">
      <w:pPr>
        <w:jc w:val="both"/>
      </w:pPr>
      <w:r>
        <w:t xml:space="preserve"> Les supports tels que les bétons, chapes, carrelages et résineux (peints ou autolissants) sont décapés mécaniquement. Les taches d’huile et de graisse, les poussières, etc. sont éliminées.</w:t>
      </w:r>
    </w:p>
    <w:p w14:paraId="0C91E1F8" w14:textId="77777777" w:rsidR="004B2808" w:rsidRDefault="00000000">
      <w:pPr>
        <w:jc w:val="both"/>
      </w:pPr>
      <w:r>
        <w:t>Tous les supports sont débarrassés des poussières et des éléments disloqués.</w:t>
      </w:r>
    </w:p>
    <w:p w14:paraId="5396A848" w14:textId="77777777" w:rsidR="004B2808" w:rsidRDefault="00000000">
      <w:pPr>
        <w:jc w:val="both"/>
      </w:pPr>
      <w:r>
        <w:t>Les planchers panneautés s’ils sont pourvus d’un système d’assemblage ad hoc (rainures et languettes par exemple) et suffisamment épais conviennent à la mise en œuvre des revêtements de sol à base de résine dans les bâtiments non industriels.</w:t>
      </w:r>
    </w:p>
    <w:p w14:paraId="55C2AD0B" w14:textId="77777777" w:rsidR="004B2808" w:rsidRDefault="00000000">
      <w:pPr>
        <w:jc w:val="both"/>
      </w:pPr>
      <w:r>
        <w:t>Les trous de vis présents dans ces supports constitués de panneaux sont colmatés lors de la préparation.</w:t>
      </w:r>
    </w:p>
    <w:p w14:paraId="28756580" w14:textId="77777777" w:rsidR="004B2808" w:rsidRDefault="00000000">
      <w:pPr>
        <w:jc w:val="both"/>
      </w:pPr>
      <w:r>
        <w:t>Dans le cas d’un support déjà peint, les revêtements minces de moins d’1 mm sont enlevés. Les revêtements de sol résineux plus épais, tels que les revêtements autolissants, présentant des boursouflures ou des signes d’humidification sont également totalement décapés. Un décapage mécanique est réalisé dans tous les cas comme décrit dans la [NIT 277].</w:t>
      </w:r>
    </w:p>
    <w:p w14:paraId="3AC3A58F" w14:textId="77777777" w:rsidR="004B2808" w:rsidRDefault="00000000">
      <w:pPr>
        <w:jc w:val="both"/>
      </w:pPr>
      <w:r>
        <w:t>La présence de produit de cure, les fissures, les trous et les fibres sont traités comme prévu dans la [NIT 277].</w:t>
      </w:r>
    </w:p>
    <w:p w14:paraId="7EB3326A" w14:textId="77777777" w:rsidR="004B2808" w:rsidRDefault="00000000">
      <w:pPr>
        <w:jc w:val="both"/>
      </w:pPr>
      <w:r>
        <w:rPr>
          <w:b/>
        </w:rPr>
        <w:t>Mise en œuvre</w:t>
      </w:r>
    </w:p>
    <w:p w14:paraId="3BA21A0C" w14:textId="77777777" w:rsidR="004B2808" w:rsidRDefault="00000000">
      <w:pPr>
        <w:jc w:val="both"/>
      </w:pPr>
      <w:r>
        <w:t>Le température et l’humidité de l’air sont mesurées et conformes aux exigences de la [NIT 277] sauf spécifications contraires dans la documentation technique accompagnant le produit de résines. </w:t>
      </w:r>
    </w:p>
    <w:p w14:paraId="54CE1CD8" w14:textId="77777777" w:rsidR="004B2808" w:rsidRDefault="00000000">
      <w:pPr>
        <w:jc w:val="both"/>
      </w:pPr>
      <w:r>
        <w:t>Dans le local auquel est destiné le revêtement de sol à base de résine, la température est comprise entre 15 et 28 °C (sauf indications contraires documentées du fournisseur de résine) et l’humidité de l’air ne dépasse pas 75 %. Ces conditions sont maintenues après la mise en œuvre de la finition, et ce, jusqu’à ce que la résine ait complètement durci.</w:t>
      </w:r>
    </w:p>
    <w:p w14:paraId="0235662F" w14:textId="77777777" w:rsidR="004B2808" w:rsidRDefault="00000000">
      <w:pPr>
        <w:jc w:val="both"/>
      </w:pPr>
      <w:r>
        <w:t>La température du support est d’au moins 12 °C et au moins 3 °C supérieure au point de rosée de l’air.</w:t>
      </w:r>
    </w:p>
    <w:p w14:paraId="559DD923" w14:textId="77777777" w:rsidR="004B2808" w:rsidRDefault="00000000">
      <w:pPr>
        <w:jc w:val="both"/>
      </w:pPr>
      <w:r>
        <w:t>La durée de recouvrement entre couches figurant sur la fiche technique des produits est respectée.</w:t>
      </w:r>
    </w:p>
    <w:p w14:paraId="239FF92C" w14:textId="77777777" w:rsidR="004B2808" w:rsidRDefault="00000000">
      <w:pPr>
        <w:jc w:val="both"/>
      </w:pPr>
      <w:r>
        <w:t>Si la planéité du support ne répond pas aux exigences du maitre d’ouvrage et que l’on applique un mortier résineux, une correction de maximum une classe est possible. Dans le cas des autres revêtements, une couche d’égalisation est appliquée pour améliorer la classe de planéité.</w:t>
      </w:r>
    </w:p>
    <w:p w14:paraId="4B26D537" w14:textId="77777777" w:rsidR="004B2808" w:rsidRDefault="00000000">
      <w:pPr>
        <w:jc w:val="both"/>
      </w:pPr>
      <w:r>
        <w:t>En cas d’absence de membrane pare vapeur, un revêtement résineux perméables à la vapeur ou un revêtement pare-vapeur liquide adapté à l’humidité mesurée est appliqué sur le support au préalable. </w:t>
      </w:r>
    </w:p>
    <w:p w14:paraId="2BCE7CB8" w14:textId="77777777" w:rsidR="004B2808" w:rsidRDefault="00000000">
      <w:pPr>
        <w:jc w:val="both"/>
      </w:pPr>
      <w:r>
        <w:t xml:space="preserve">Le sol industriel est posé avec une pente de </w:t>
      </w:r>
      <w:r>
        <w:rPr>
          <w:rStyle w:val="optioncarChar"/>
        </w:rPr>
        <w:t>***</w:t>
      </w:r>
      <w:r>
        <w:t xml:space="preserve"> mm/m en direction des caniveaux.</w:t>
      </w:r>
    </w:p>
    <w:p w14:paraId="2B935B3D" w14:textId="77777777" w:rsidR="004B2808" w:rsidRDefault="00000000">
      <w:pPr>
        <w:jc w:val="both"/>
      </w:pPr>
      <w:r>
        <w:t xml:space="preserve">Les plinthes sont : </w:t>
      </w:r>
      <w:r>
        <w:rPr>
          <w:rStyle w:val="optioncarChar"/>
        </w:rPr>
        <w:t>façonnées / préformées en bois / préformées synthétiques / pas de plinthe</w:t>
      </w:r>
      <w:r>
        <w:t xml:space="preserve">. Elles ont une hauteur de </w:t>
      </w:r>
      <w:r>
        <w:rPr>
          <w:rStyle w:val="optioncarChar"/>
        </w:rPr>
        <w:t>6 / 7 / 8 / 10 / 12</w:t>
      </w:r>
      <w:r>
        <w:t xml:space="preserve"> cm. Elles sont réalisées conformément à la [NIT 277].</w:t>
      </w:r>
    </w:p>
    <w:p w14:paraId="4F1FF612" w14:textId="77777777" w:rsidR="004B2808" w:rsidRDefault="00000000">
      <w:pPr>
        <w:pStyle w:val="pheading"/>
      </w:pPr>
      <w:r>
        <w:t>CONTRÔLES</w:t>
      </w:r>
    </w:p>
    <w:p w14:paraId="182FF240" w14:textId="77777777" w:rsidR="004B2808" w:rsidRDefault="00000000">
      <w:pPr>
        <w:jc w:val="both"/>
      </w:pPr>
      <w:r>
        <w:t>L’aspect d’un revêtement de sol résineux ainsi que ses imperfections éventuelles sont toujours évalués à l’œil nu, sous un éclairage normal (diffus), plus ou moins perpendiculairement à la surface observée et à hauteur d’homme, c’est-à-dire à une distance d’environ 1,5 mètres. Cette vérification ne peut en aucun cas se faire à contre-jour ou sous un éclairage rasant. Les imperfections et les différences de teinte ou de brillance qui ne sont pas visibles dans les conditions précitées, mais qui peuvent être observées sous un éclairage rasant ou à très faible distance, ne sont donc pas prises en compte.</w:t>
      </w:r>
    </w:p>
    <w:p w14:paraId="026D2F56" w14:textId="77777777" w:rsidR="004B2808" w:rsidRDefault="00000000">
      <w:pPr>
        <w:jc w:val="both"/>
      </w:pPr>
      <w:r>
        <w:t>En cas de suspicion, l’adhérence des revêtements à base de résine sur leur support est mesurée par traction directe [NIT 277].</w:t>
      </w:r>
    </w:p>
    <w:p w14:paraId="31BD9E8E" w14:textId="77777777" w:rsidR="004B2808" w:rsidRDefault="00000000">
      <w:pPr>
        <w:jc w:val="both"/>
      </w:pPr>
      <w:r>
        <w:lastRenderedPageBreak/>
        <w:t>En cas de suspicion également, l’épaisseur est vérifiée. La détermination est réalisée au moyen d’au moins cinq carottes. Dans le cas de surfaces supérieures à 100m², une carotte supplémentaire est prélevée par 20m². </w:t>
      </w:r>
    </w:p>
    <w:p w14:paraId="52787CC9" w14:textId="77777777" w:rsidR="004B2808" w:rsidRDefault="00000000">
      <w:pPr>
        <w:pStyle w:val="pheading"/>
      </w:pPr>
      <w:r>
        <w:t>DOCUMENTS DE RÉFÉRENCE</w:t>
      </w:r>
    </w:p>
    <w:p w14:paraId="73581BA2" w14:textId="77777777" w:rsidR="004B2808" w:rsidRDefault="00000000">
      <w:pPr>
        <w:pStyle w:val="pheading"/>
      </w:pPr>
      <w:r>
        <w:t>- Matériau</w:t>
      </w:r>
    </w:p>
    <w:p w14:paraId="16291648" w14:textId="77777777" w:rsidR="004B2808" w:rsidRDefault="00000000">
      <w:r>
        <w:t>[NIT 277, Code de bonne pratique pour la mise en oeuvre des revêtements de sol à base de résine réactive.] </w:t>
      </w:r>
    </w:p>
    <w:p w14:paraId="41488885" w14:textId="77777777" w:rsidR="004B2808" w:rsidRDefault="00000000">
      <w:r>
        <w:t>[AR 2014-05-08, Arrêté royal établissant les niveaux seuils pour les émissions dans l'environnement intérieur de produits de construction pour certains usages prévus]</w:t>
      </w:r>
    </w:p>
    <w:p w14:paraId="16AA3148" w14:textId="77777777" w:rsidR="004B2808" w:rsidRDefault="00000000">
      <w:r>
        <w:t>[AR 2005-10-07, Arrêté royal relatif à la réduction de la teneur en composés organiques volatils dans certains vernis et peintures et dans les produits de retouche de véhicules] (M.B. 19.10.2005)</w:t>
      </w:r>
    </w:p>
    <w:p w14:paraId="1A315E44" w14:textId="77777777" w:rsidR="004B2808"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72FA18A3" w14:textId="77777777" w:rsidR="004B2808" w:rsidRDefault="00000000">
      <w:r>
        <w:t>[NBN EN 1504-3, Produits et systèmes pour la protection et la réparation des structures en béton - Définitions, exigences, maîtrise de la qualité et évaluation de la conformité - Partie 3 : Réparation structurale et réparation non structurale]</w:t>
      </w:r>
    </w:p>
    <w:p w14:paraId="7F901F6B" w14:textId="77777777" w:rsidR="004B2808" w:rsidRDefault="00000000">
      <w:r>
        <w:t>[PTV BB 563, Prescriptions techniques pour mortiers de réparation du béton.]</w:t>
      </w:r>
    </w:p>
    <w:p w14:paraId="571255F6" w14:textId="77777777" w:rsidR="004B2808" w:rsidRDefault="00000000">
      <w:r>
        <w:t>[NBN EN 1504-2, Produits et systèmes pour la protection et la réparation de structures en béton - Définitions, prescriptions, maîtrise de la qualité et évaluation de la conformité - Partie 2: Systèmes de protection de surface pour béton]</w:t>
      </w:r>
    </w:p>
    <w:p w14:paraId="7578B593" w14:textId="77777777" w:rsidR="004B2808" w:rsidRDefault="00000000">
      <w:pPr>
        <w:pStyle w:val="pheading"/>
      </w:pPr>
      <w:r>
        <w:t>- Exécution</w:t>
      </w:r>
    </w:p>
    <w:p w14:paraId="32DAC83B" w14:textId="77777777" w:rsidR="004B2808" w:rsidRDefault="00000000">
      <w:r>
        <w:t>[NIT 277, Code de bonne pratique pour la mise en oeuvre des revêtements de sol à base de résine réactive.]</w:t>
      </w:r>
    </w:p>
    <w:p w14:paraId="0E4054C8" w14:textId="77777777" w:rsidR="004B2808" w:rsidRDefault="00000000">
      <w:pPr>
        <w:pStyle w:val="Author-eSectionHeading5Numberless"/>
      </w:pPr>
      <w:bookmarkStart w:id="596" w:name="_Toc220490759"/>
      <w:r>
        <w:t>53.32.1 Sols de type industriel à base de résines, systèmes à couche mince (époxydiques ou polyuréthanes) (120 à 180 µ sec) &gt; REPORT 81.15.1 CCTB 01.02</w:t>
      </w:r>
      <w:bookmarkEnd w:id="596"/>
    </w:p>
    <w:p w14:paraId="55012BDC" w14:textId="77777777" w:rsidR="004B2808" w:rsidRDefault="00000000">
      <w:pPr>
        <w:pStyle w:val="Author-eSectionHeading6Numberless"/>
      </w:pPr>
      <w:bookmarkStart w:id="597" w:name="_Toc220490760"/>
      <w:r>
        <w:t>53.32.1a Sols de type industriel à base de résines, systèmes à couche mince (époxydiques ou polyuréthanes) (120 à 180 µ sec)  CCTB 01.07</w:t>
      </w:r>
      <w:bookmarkEnd w:id="597"/>
    </w:p>
    <w:p w14:paraId="28FC8166" w14:textId="77777777" w:rsidR="004B2808" w:rsidRDefault="00000000">
      <w:pPr>
        <w:pStyle w:val="pheading"/>
      </w:pPr>
      <w:r>
        <w:t>DESCRIPTION</w:t>
      </w:r>
    </w:p>
    <w:p w14:paraId="79FCDDCC" w14:textId="77777777" w:rsidR="004B2808" w:rsidRDefault="00000000">
      <w:pPr>
        <w:pStyle w:val="pheading"/>
      </w:pPr>
      <w:r>
        <w:t>- Définition / Comprend</w:t>
      </w:r>
    </w:p>
    <w:p w14:paraId="74D5E0B4" w14:textId="77777777" w:rsidR="004B2808" w:rsidRDefault="00000000">
      <w:r>
        <w:t>Renvoi au §81.15.1 Peintures en phase aqueuse</w:t>
      </w:r>
    </w:p>
    <w:p w14:paraId="4C1A547F" w14:textId="77777777" w:rsidR="004B2808" w:rsidRDefault="00000000">
      <w:pPr>
        <w:pStyle w:val="Author-eSectionHeading5Numberless"/>
      </w:pPr>
      <w:bookmarkStart w:id="598" w:name="_Toc220490761"/>
      <w:r>
        <w:t>53.32.2 Sols de type industriel à base de résines, systèmes à couche épaisse (époxydiques ou polyuréthanes) (&gt; à 180 µ sec) &gt; REPORT 81.15.2 CCTB 01.02</w:t>
      </w:r>
      <w:bookmarkEnd w:id="598"/>
    </w:p>
    <w:p w14:paraId="292876C3" w14:textId="77777777" w:rsidR="004B2808" w:rsidRDefault="00000000">
      <w:pPr>
        <w:pStyle w:val="Author-eSectionHeading6Numberless"/>
      </w:pPr>
      <w:bookmarkStart w:id="599" w:name="_Toc220490762"/>
      <w:r>
        <w:t>53.32.2a Sols de type industriel à base de résines, systèmes à couche épaisse (époxydiques ou polyuréthanes) (&gt; à 180 µ sec)  CCTB 01.07</w:t>
      </w:r>
      <w:bookmarkEnd w:id="599"/>
    </w:p>
    <w:p w14:paraId="1060DC87" w14:textId="77777777" w:rsidR="004B2808" w:rsidRDefault="00000000">
      <w:pPr>
        <w:pStyle w:val="pheading"/>
      </w:pPr>
      <w:r>
        <w:t>DESCRIPTION</w:t>
      </w:r>
    </w:p>
    <w:p w14:paraId="6EF8D7AB" w14:textId="77777777" w:rsidR="004B2808" w:rsidRDefault="00000000">
      <w:pPr>
        <w:pStyle w:val="pheading"/>
      </w:pPr>
      <w:r>
        <w:t>- Définition / Comprend</w:t>
      </w:r>
    </w:p>
    <w:p w14:paraId="5B76B6E7" w14:textId="77777777" w:rsidR="004B2808" w:rsidRDefault="00000000">
      <w:r>
        <w:t>Renvoi au § 81.15.2 Peintures en phase solvantée</w:t>
      </w:r>
    </w:p>
    <w:p w14:paraId="74539874" w14:textId="77777777" w:rsidR="004B2808" w:rsidRDefault="00000000">
      <w:pPr>
        <w:pStyle w:val="Author-eSectionHeading5Numberless"/>
      </w:pPr>
      <w:bookmarkStart w:id="600" w:name="_Toc220490763"/>
      <w:r>
        <w:lastRenderedPageBreak/>
        <w:t>53.32.3 Sols de type industriel à base de résines, revêtements auto lissants CCTB 01.02</w:t>
      </w:r>
      <w:bookmarkEnd w:id="600"/>
    </w:p>
    <w:p w14:paraId="460C807E" w14:textId="77777777" w:rsidR="004B2808" w:rsidRDefault="00000000">
      <w:pPr>
        <w:pStyle w:val="Author-eSectionHeading6Numberless"/>
      </w:pPr>
      <w:bookmarkStart w:id="601" w:name="_Toc220490764"/>
      <w:r>
        <w:t>53.32.3a Sols de type industriel à base de résines, revêtements auto lissants CCTB 01.10</w:t>
      </w:r>
      <w:bookmarkEnd w:id="601"/>
    </w:p>
    <w:p w14:paraId="68AA4068" w14:textId="77777777" w:rsidR="004B2808" w:rsidRDefault="00000000">
      <w:pPr>
        <w:pStyle w:val="pheading"/>
      </w:pPr>
      <w:r>
        <w:t>DESCRIPTION</w:t>
      </w:r>
    </w:p>
    <w:p w14:paraId="6675BF6E" w14:textId="77777777" w:rsidR="004B2808" w:rsidRDefault="00000000">
      <w:pPr>
        <w:pStyle w:val="pheading"/>
      </w:pPr>
      <w:r>
        <w:t>- Définition / Comprend</w:t>
      </w:r>
    </w:p>
    <w:p w14:paraId="4E3DBD25" w14:textId="77777777" w:rsidR="004B2808" w:rsidRDefault="00000000">
      <w:pPr>
        <w:jc w:val="both"/>
      </w:pPr>
      <w:r>
        <w:t>Il s’agit de toutes les fournitures et travaux indispensables en vue d’un revêtement autolissant ayant une épaisseur de 2 à 5 mm.</w:t>
      </w:r>
    </w:p>
    <w:p w14:paraId="318E1AA5" w14:textId="77777777" w:rsidR="004B2808" w:rsidRDefault="00000000">
      <w:pPr>
        <w:pStyle w:val="pheading"/>
      </w:pPr>
      <w:r>
        <w:t>MATÉRIAUX</w:t>
      </w:r>
    </w:p>
    <w:p w14:paraId="33A0FC7E" w14:textId="77777777" w:rsidR="004B2808" w:rsidRDefault="00000000">
      <w:pPr>
        <w:pStyle w:val="pheading"/>
      </w:pPr>
      <w:r>
        <w:t>- Caractéristiques générales</w:t>
      </w:r>
    </w:p>
    <w:p w14:paraId="42032B5D" w14:textId="77777777" w:rsidR="004B2808" w:rsidRDefault="00000000">
      <w:pPr>
        <w:pStyle w:val="Author-eListParagraph"/>
        <w:numPr>
          <w:ilvl w:val="0"/>
          <w:numId w:val="519"/>
        </w:numPr>
        <w:jc w:val="both"/>
      </w:pPr>
      <w:r>
        <w:t>Résine conforme aux normes [NBN EN 13813] ou [NBN EN 1504-2]</w:t>
      </w:r>
    </w:p>
    <w:p w14:paraId="0EA37477" w14:textId="77777777" w:rsidR="004B2808" w:rsidRDefault="00000000">
      <w:pPr>
        <w:pStyle w:val="Author-eListParagraph"/>
        <w:numPr>
          <w:ilvl w:val="0"/>
          <w:numId w:val="519"/>
        </w:numPr>
        <w:jc w:val="both"/>
      </w:pPr>
      <w:r>
        <w:t xml:space="preserve">Référence support : </w:t>
      </w:r>
      <w:r>
        <w:rPr>
          <w:rStyle w:val="optioncarChar"/>
        </w:rPr>
        <w:t>***</w:t>
      </w:r>
    </w:p>
    <w:p w14:paraId="2FB7BF5D" w14:textId="77777777" w:rsidR="004B2808" w:rsidRDefault="00000000">
      <w:pPr>
        <w:pStyle w:val="Author-eListParagraph"/>
        <w:numPr>
          <w:ilvl w:val="0"/>
          <w:numId w:val="519"/>
        </w:numPr>
        <w:jc w:val="both"/>
      </w:pPr>
      <w:r>
        <w:t xml:space="preserve">Destination future du sol : </w:t>
      </w:r>
      <w:r>
        <w:rPr>
          <w:rStyle w:val="optioncarChar"/>
        </w:rPr>
        <w:t>***</w:t>
      </w:r>
    </w:p>
    <w:p w14:paraId="37352D39" w14:textId="77777777" w:rsidR="004B2808" w:rsidRDefault="00000000">
      <w:pPr>
        <w:pStyle w:val="Author-eListParagraph"/>
        <w:numPr>
          <w:ilvl w:val="0"/>
          <w:numId w:val="519"/>
        </w:numPr>
        <w:jc w:val="both"/>
      </w:pPr>
      <w:r>
        <w:t xml:space="preserve">Type de résine : </w:t>
      </w:r>
      <w:r>
        <w:rPr>
          <w:rStyle w:val="optioncarChar"/>
        </w:rPr>
        <w:t>***</w:t>
      </w:r>
    </w:p>
    <w:p w14:paraId="0E14C6C4" w14:textId="77777777" w:rsidR="004B2808" w:rsidRDefault="00000000">
      <w:pPr>
        <w:pStyle w:val="Author-eListParagraph"/>
        <w:numPr>
          <w:ilvl w:val="0"/>
          <w:numId w:val="519"/>
        </w:numPr>
        <w:jc w:val="both"/>
      </w:pPr>
      <w:r>
        <w:t xml:space="preserve">Dureté shore D : </w:t>
      </w:r>
      <w:r>
        <w:rPr>
          <w:rStyle w:val="optioncarChar"/>
        </w:rPr>
        <w:t>≤ 60 / &gt; 60</w:t>
      </w:r>
    </w:p>
    <w:p w14:paraId="4E1A05A0" w14:textId="77777777" w:rsidR="004B2808" w:rsidRDefault="00000000">
      <w:pPr>
        <w:pStyle w:val="Author-eListParagraph"/>
        <w:numPr>
          <w:ilvl w:val="0"/>
          <w:numId w:val="519"/>
        </w:numPr>
        <w:jc w:val="both"/>
      </w:pPr>
      <w:r>
        <w:t>Teinte RAL :</w:t>
      </w:r>
      <w:r>
        <w:rPr>
          <w:rStyle w:val="optioncarChar"/>
        </w:rPr>
        <w:t xml:space="preserve"> ***</w:t>
      </w:r>
    </w:p>
    <w:p w14:paraId="57569C59" w14:textId="77777777" w:rsidR="004B2808" w:rsidRDefault="00000000">
      <w:pPr>
        <w:pStyle w:val="Author-eListParagraph"/>
        <w:numPr>
          <w:ilvl w:val="0"/>
          <w:numId w:val="519"/>
        </w:numPr>
        <w:jc w:val="both"/>
      </w:pPr>
      <w:r>
        <w:t xml:space="preserve">Epaisseur : </w:t>
      </w:r>
      <w:r>
        <w:rPr>
          <w:rStyle w:val="optioncarChar"/>
        </w:rPr>
        <w:t>2 / 3 / 4 / 5</w:t>
      </w:r>
      <w:r>
        <w:t xml:space="preserve"> mm</w:t>
      </w:r>
    </w:p>
    <w:p w14:paraId="30B8D847" w14:textId="77777777" w:rsidR="004B2808" w:rsidRDefault="00000000">
      <w:pPr>
        <w:pStyle w:val="Author-eListParagraph"/>
        <w:numPr>
          <w:ilvl w:val="0"/>
          <w:numId w:val="519"/>
        </w:numPr>
        <w:jc w:val="both"/>
      </w:pPr>
      <w:r>
        <w:t xml:space="preserve">Résistance à l’usure BCA : </w:t>
      </w:r>
      <w:r>
        <w:rPr>
          <w:rStyle w:val="optioncarChar"/>
        </w:rPr>
        <w:t>AR4 / AR2 /AR1 / AR0.5</w:t>
      </w:r>
    </w:p>
    <w:p w14:paraId="3E4DDC62" w14:textId="77777777" w:rsidR="004B2808" w:rsidRDefault="00000000">
      <w:pPr>
        <w:pStyle w:val="Author-eListParagraph"/>
        <w:numPr>
          <w:ilvl w:val="0"/>
          <w:numId w:val="519"/>
        </w:numPr>
        <w:jc w:val="both"/>
      </w:pPr>
      <w:r>
        <w:t xml:space="preserve">Résistance à l’usure Taber H22 (taber H22 pendant 1000 cycles et sous une charge de 1000 g) imposée par la norme [NBN EN 1504-2] : </w:t>
      </w:r>
      <w:r>
        <w:rPr>
          <w:rStyle w:val="optioncarChar"/>
        </w:rPr>
        <w:t>&lt; 3000 mg</w:t>
      </w:r>
    </w:p>
    <w:p w14:paraId="4C0C651B" w14:textId="77777777" w:rsidR="004B2808" w:rsidRDefault="00000000">
      <w:pPr>
        <w:pStyle w:val="Author-eListParagraph"/>
        <w:numPr>
          <w:ilvl w:val="0"/>
          <w:numId w:val="519"/>
        </w:numPr>
        <w:jc w:val="both"/>
      </w:pPr>
      <w:r>
        <w:t xml:space="preserve">Résistance chimique : </w:t>
      </w:r>
      <w:r>
        <w:rPr>
          <w:rStyle w:val="optioncarChar"/>
        </w:rPr>
        <w:t>huile / hydrocarbures / produits acides (vin, vinaigre,..) / produits basiques</w:t>
      </w:r>
    </w:p>
    <w:p w14:paraId="128F9DEB" w14:textId="77777777" w:rsidR="004B2808" w:rsidRDefault="00000000">
      <w:pPr>
        <w:pStyle w:val="Author-eListParagraph"/>
        <w:numPr>
          <w:ilvl w:val="0"/>
          <w:numId w:val="519"/>
        </w:numPr>
        <w:jc w:val="both"/>
      </w:pPr>
      <w:r>
        <w:t xml:space="preserve">Perméabilité à l’eau [NIT 277] : </w:t>
      </w:r>
      <w:r>
        <w:rPr>
          <w:rStyle w:val="optioncarChar"/>
        </w:rPr>
        <w:t>W0 / W1 / W2 / W3</w:t>
      </w:r>
    </w:p>
    <w:p w14:paraId="2AAA036F" w14:textId="77777777" w:rsidR="004B2808" w:rsidRDefault="00000000">
      <w:pPr>
        <w:pStyle w:val="Author-eListParagraph"/>
        <w:numPr>
          <w:ilvl w:val="0"/>
          <w:numId w:val="519"/>
        </w:numPr>
        <w:jc w:val="both"/>
      </w:pPr>
      <w:r>
        <w:t xml:space="preserve">Perméabilité à la vapeur d’eau [NIT 277] : </w:t>
      </w:r>
      <w:r>
        <w:rPr>
          <w:rStyle w:val="optioncarChar"/>
        </w:rPr>
        <w:t>classe I / classe II / classe III</w:t>
      </w:r>
    </w:p>
    <w:p w14:paraId="5752829A" w14:textId="77777777" w:rsidR="004B2808" w:rsidRDefault="00000000">
      <w:pPr>
        <w:pStyle w:val="Author-eListParagraph"/>
        <w:numPr>
          <w:ilvl w:val="0"/>
          <w:numId w:val="519"/>
        </w:numPr>
        <w:jc w:val="both"/>
      </w:pPr>
      <w:r>
        <w:t xml:space="preserve">Résistivité électrique : </w:t>
      </w:r>
      <w:r>
        <w:rPr>
          <w:rStyle w:val="optioncarChar"/>
        </w:rPr>
        <w:t>ESD / ATEX</w:t>
      </w:r>
    </w:p>
    <w:p w14:paraId="13694084" w14:textId="77777777" w:rsidR="004B2808" w:rsidRDefault="00000000">
      <w:pPr>
        <w:pStyle w:val="Author-eListParagraph"/>
        <w:numPr>
          <w:ilvl w:val="0"/>
          <w:numId w:val="519"/>
        </w:numPr>
        <w:jc w:val="both"/>
      </w:pPr>
      <w:r>
        <w:t xml:space="preserve">Glissance [NBN EN 1504-2] : </w:t>
      </w:r>
      <w:r>
        <w:rPr>
          <w:rStyle w:val="optioncarChar"/>
        </w:rPr>
        <w:t>classe I / classe II / classe III</w:t>
      </w:r>
    </w:p>
    <w:p w14:paraId="47DCB104" w14:textId="77777777" w:rsidR="004B2808" w:rsidRDefault="00000000">
      <w:pPr>
        <w:pStyle w:val="pheading"/>
      </w:pPr>
      <w:r>
        <w:t>- Finitions</w:t>
      </w:r>
    </w:p>
    <w:p w14:paraId="787FAE9B" w14:textId="77777777" w:rsidR="004B2808" w:rsidRDefault="00000000">
      <w:pPr>
        <w:jc w:val="both"/>
      </w:pPr>
      <w:r>
        <w:t>L’effet plus mat ou résistant aux UV est obtenu avec une ou deux couches de finition ultérieure de polyuréthane aliphatique.</w:t>
      </w:r>
    </w:p>
    <w:p w14:paraId="555A6D70" w14:textId="77777777" w:rsidR="004B2808" w:rsidRDefault="00000000">
      <w:pPr>
        <w:jc w:val="both"/>
      </w:pPr>
      <w:r>
        <w:t xml:space="preserve">Finition :  </w:t>
      </w:r>
      <w:r>
        <w:rPr>
          <w:rStyle w:val="optioncarChar"/>
        </w:rPr>
        <w:t>couche polyuréthane aliphatique / pas de couche polyuréthane aliphatique / ***</w:t>
      </w:r>
    </w:p>
    <w:p w14:paraId="092548B8" w14:textId="77777777" w:rsidR="004B2808" w:rsidRDefault="00000000">
      <w:pPr>
        <w:jc w:val="both"/>
      </w:pPr>
      <w:r>
        <w:t xml:space="preserve">Résistance à l’usure de la finition : </w:t>
      </w:r>
      <w:r>
        <w:rPr>
          <w:rStyle w:val="optioncarChar"/>
        </w:rPr>
        <w:t xml:space="preserve">élevée </w:t>
      </w:r>
      <w:r>
        <w:t>(par défaut)</w:t>
      </w:r>
      <w:r>
        <w:rPr>
          <w:rStyle w:val="optioncarChar"/>
        </w:rPr>
        <w:t xml:space="preserve"> / moyenne</w:t>
      </w:r>
    </w:p>
    <w:p w14:paraId="766364F3" w14:textId="77777777" w:rsidR="004B2808" w:rsidRDefault="00000000">
      <w:pPr>
        <w:jc w:val="both"/>
      </w:pPr>
      <w:r>
        <w:rPr>
          <w:b/>
        </w:rPr>
        <w:t>(soit par défaut)</w:t>
      </w:r>
    </w:p>
    <w:p w14:paraId="5E24C1A0" w14:textId="77777777" w:rsidR="004B2808" w:rsidRDefault="00000000">
      <w:pPr>
        <w:jc w:val="both"/>
      </w:pPr>
      <w:r>
        <w:rPr>
          <w:rStyle w:val="soitChar"/>
          <w:u w:val="single"/>
        </w:rPr>
        <w:t>Elevée</w:t>
      </w:r>
      <w:r>
        <w:rPr>
          <w:rStyle w:val="soitChar"/>
        </w:rPr>
        <w:t xml:space="preserve"> : taber roue H22 pendant 1000 cycles et sous une charge de 1000 g : &lt; 3000 mg</w:t>
      </w:r>
    </w:p>
    <w:p w14:paraId="43250100" w14:textId="77777777" w:rsidR="004B2808" w:rsidRDefault="00000000">
      <w:pPr>
        <w:jc w:val="both"/>
      </w:pPr>
      <w:r>
        <w:rPr>
          <w:b/>
        </w:rPr>
        <w:t>(soit)</w:t>
      </w:r>
    </w:p>
    <w:p w14:paraId="7DA429B9" w14:textId="77777777" w:rsidR="004B2808" w:rsidRDefault="00000000">
      <w:pPr>
        <w:jc w:val="both"/>
      </w:pPr>
      <w:r>
        <w:rPr>
          <w:rStyle w:val="soitChar"/>
          <w:u w:val="single"/>
        </w:rPr>
        <w:t>Moyenne :</w:t>
      </w:r>
      <w:r>
        <w:rPr>
          <w:rStyle w:val="soitChar"/>
        </w:rPr>
        <w:t>  taber roue CS10 pendant 1000 cycles et sous une charge de 1000 g : &lt; 70 mg</w:t>
      </w:r>
    </w:p>
    <w:p w14:paraId="1DE19E69" w14:textId="77777777" w:rsidR="004B2808" w:rsidRDefault="00000000">
      <w:pPr>
        <w:pStyle w:val="pheading"/>
      </w:pPr>
      <w:r>
        <w:t>EXÉCUTION / MISE EN ŒUVRE</w:t>
      </w:r>
    </w:p>
    <w:p w14:paraId="7386F3E3" w14:textId="77777777" w:rsidR="004B2808" w:rsidRDefault="00000000">
      <w:pPr>
        <w:pStyle w:val="pheading"/>
      </w:pPr>
      <w:r>
        <w:t>- Prescriptions générales</w:t>
      </w:r>
    </w:p>
    <w:p w14:paraId="1B475230" w14:textId="77777777" w:rsidR="004B2808" w:rsidRDefault="00000000">
      <w:pPr>
        <w:jc w:val="both"/>
      </w:pPr>
      <w:r>
        <w:t>La mise en œuvre est effectuée conformément aux règles de la [NIT 277].</w:t>
      </w:r>
    </w:p>
    <w:p w14:paraId="1A28C5B2" w14:textId="77777777" w:rsidR="004B2808" w:rsidRDefault="00000000">
      <w:pPr>
        <w:jc w:val="both"/>
      </w:pPr>
      <w:r>
        <w:t xml:space="preserve">L’humidité du support est vérifiée (voir l’élément </w:t>
      </w:r>
      <w:hyperlink w:anchor="1266" w:history="1">
        <w:r w:rsidR="004B2808">
          <w:rPr>
            <w:color w:val="0000EE"/>
          </w:rPr>
          <w:t>53.32 Sols de type industriel à base de résines</w:t>
        </w:r>
      </w:hyperlink>
      <w:r>
        <w:t>).</w:t>
      </w:r>
    </w:p>
    <w:p w14:paraId="2934F15E" w14:textId="77777777" w:rsidR="004B2808" w:rsidRDefault="00000000">
      <w:pPr>
        <w:jc w:val="both"/>
      </w:pPr>
      <w:r>
        <w:t xml:space="preserve">Rectification de la planéité nécessaire : </w:t>
      </w:r>
      <w:r>
        <w:rPr>
          <w:rStyle w:val="optioncarChar"/>
        </w:rPr>
        <w:t xml:space="preserve">pas de rectification de la planéité </w:t>
      </w:r>
      <w:r>
        <w:t>(par défaut)</w:t>
      </w:r>
      <w:r>
        <w:rPr>
          <w:rStyle w:val="optioncarChar"/>
        </w:rPr>
        <w:t xml:space="preserve"> / rectification de la planéité</w:t>
      </w:r>
    </w:p>
    <w:p w14:paraId="6F1C635C" w14:textId="77777777" w:rsidR="004B2808" w:rsidRDefault="00000000">
      <w:pPr>
        <w:pStyle w:val="pheading"/>
      </w:pPr>
      <w:r>
        <w:t>MESURAGE</w:t>
      </w:r>
    </w:p>
    <w:p w14:paraId="2F1CB3D0" w14:textId="77777777" w:rsidR="004B2808" w:rsidRDefault="00000000">
      <w:pPr>
        <w:pStyle w:val="pheading"/>
      </w:pPr>
      <w:r>
        <w:t>- unité de mesure:</w:t>
      </w:r>
    </w:p>
    <w:p w14:paraId="7B2B01E9" w14:textId="77777777" w:rsidR="004B2808" w:rsidRDefault="00000000">
      <w:r>
        <w:rPr>
          <w:rStyle w:val="optioncarChar"/>
        </w:rPr>
        <w:lastRenderedPageBreak/>
        <w:t>m²</w:t>
      </w:r>
      <w:r>
        <w:t xml:space="preserve"> (par défaut)</w:t>
      </w:r>
      <w:r>
        <w:rPr>
          <w:rStyle w:val="optioncarChar"/>
        </w:rPr>
        <w:t xml:space="preserve"> / m² ; m ; pc</w:t>
      </w:r>
    </w:p>
    <w:p w14:paraId="3BF52F32" w14:textId="77777777" w:rsidR="004B2808" w:rsidRDefault="00000000">
      <w:r>
        <w:rPr>
          <w:b/>
        </w:rPr>
        <w:t xml:space="preserve">(soit par défaut) </w:t>
      </w:r>
      <w:r>
        <w:br/>
      </w:r>
      <w:r>
        <w:rPr>
          <w:rStyle w:val="soitChar"/>
        </w:rPr>
        <w:t xml:space="preserve">1. m² </w:t>
      </w:r>
      <w:r>
        <w:br/>
      </w:r>
      <w:r>
        <w:rPr>
          <w:b/>
        </w:rPr>
        <w:t xml:space="preserve">(soit) </w:t>
      </w:r>
      <w:r>
        <w:br/>
      </w:r>
      <w:r>
        <w:rPr>
          <w:rStyle w:val="soitChar"/>
        </w:rPr>
        <w:t>2. m² ; m ; pc</w:t>
      </w:r>
    </w:p>
    <w:p w14:paraId="48206C34" w14:textId="77777777" w:rsidR="004B2808" w:rsidRDefault="00000000">
      <w:pPr>
        <w:pStyle w:val="pheading"/>
      </w:pPr>
      <w:r>
        <w:t>- code de mesurage:</w:t>
      </w:r>
    </w:p>
    <w:p w14:paraId="1EE3D4F8" w14:textId="77777777" w:rsidR="004B2808" w:rsidRDefault="00000000">
      <w:r>
        <w:rPr>
          <w:rStyle w:val="optioncarChar"/>
        </w:rPr>
        <w:t xml:space="preserve"> Surface nette </w:t>
      </w:r>
      <w:r>
        <w:t>(par défaut)</w:t>
      </w:r>
      <w:r>
        <w:rPr>
          <w:rStyle w:val="optioncarChar"/>
        </w:rPr>
        <w:t xml:space="preserve"> / Globalité</w:t>
      </w:r>
    </w:p>
    <w:p w14:paraId="256DEBE9" w14:textId="77777777" w:rsidR="004B2808" w:rsidRDefault="00000000">
      <w:r>
        <w:rPr>
          <w:b/>
        </w:rPr>
        <w:t>(soit par défaut)</w:t>
      </w:r>
      <w:r>
        <w:br/>
      </w:r>
      <w:r>
        <w:rPr>
          <w:rStyle w:val="soitChar"/>
        </w:rPr>
        <w:t xml:space="preserve">1.  </w:t>
      </w:r>
      <w:r>
        <w:rPr>
          <w:rStyle w:val="soitChar"/>
          <w:u w:val="single"/>
        </w:rPr>
        <w:t>Surface nette</w:t>
      </w:r>
      <w:r>
        <w:rPr>
          <w:rStyle w:val="soitChar"/>
        </w:rPr>
        <w:t xml:space="preserve"> à revêtir pour les sols uniquement (plinthes, caniveaux et sterfputs non prévus).</w:t>
      </w:r>
      <w:r>
        <w:br/>
      </w:r>
      <w:r>
        <w:rPr>
          <w:b/>
        </w:rPr>
        <w:t xml:space="preserve">(soit) </w:t>
      </w:r>
      <w:r>
        <w:br/>
      </w:r>
      <w:r>
        <w:rPr>
          <w:rStyle w:val="soitChar"/>
        </w:rPr>
        <w:t xml:space="preserve">2. </w:t>
      </w:r>
      <w:r>
        <w:rPr>
          <w:rStyle w:val="soitChar"/>
          <w:u w:val="single"/>
        </w:rPr>
        <w:t>Globalité</w:t>
      </w:r>
      <w:r>
        <w:rPr>
          <w:rStyle w:val="soitChar"/>
        </w:rPr>
        <w:t> : surface nette à revêtir pour les sols et longueur nette des plinthes, caniveaux et quantités de sterfputs ventilés suivant leur nature et leurs dimensions et nombre de sterfputs.</w:t>
      </w:r>
    </w:p>
    <w:p w14:paraId="05001DDE" w14:textId="77777777" w:rsidR="004B2808" w:rsidRDefault="00000000">
      <w:pPr>
        <w:pStyle w:val="pheading"/>
      </w:pPr>
      <w:r>
        <w:t>- nature du marché:</w:t>
      </w:r>
    </w:p>
    <w:p w14:paraId="7086876A" w14:textId="77777777" w:rsidR="004B2808" w:rsidRDefault="00000000">
      <w:r>
        <w:t>1.2. QF</w:t>
      </w:r>
    </w:p>
    <w:p w14:paraId="7405EF6E" w14:textId="77777777" w:rsidR="004B2808" w:rsidRDefault="00000000">
      <w:pPr>
        <w:pStyle w:val="Author-eSectionHeading5Numberless"/>
      </w:pPr>
      <w:bookmarkStart w:id="602" w:name="_Toc220490765"/>
      <w:r>
        <w:t>53.32.4 Sols de type industriel à base de résines, mortiers de résines CCTB 01.02</w:t>
      </w:r>
      <w:bookmarkEnd w:id="602"/>
    </w:p>
    <w:p w14:paraId="22BF4DF7" w14:textId="77777777" w:rsidR="004B2808" w:rsidRDefault="00000000">
      <w:pPr>
        <w:pStyle w:val="Author-eSectionHeading6Numberless"/>
      </w:pPr>
      <w:bookmarkStart w:id="603" w:name="_Toc220490766"/>
      <w:r>
        <w:t>53.32.4a Sols de type industriel à base de résines, mortiers de résines CCTB 01.11</w:t>
      </w:r>
      <w:bookmarkEnd w:id="603"/>
    </w:p>
    <w:p w14:paraId="201ED213" w14:textId="77777777" w:rsidR="004B2808" w:rsidRDefault="00000000">
      <w:pPr>
        <w:pStyle w:val="pheading"/>
      </w:pPr>
      <w:r>
        <w:t>DESCRIPTION</w:t>
      </w:r>
    </w:p>
    <w:p w14:paraId="596DF878" w14:textId="77777777" w:rsidR="004B2808" w:rsidRDefault="00000000">
      <w:pPr>
        <w:pStyle w:val="pheading"/>
      </w:pPr>
      <w:r>
        <w:t>- Définition / Comprend</w:t>
      </w:r>
    </w:p>
    <w:p w14:paraId="6AE1FE11" w14:textId="77777777" w:rsidR="004B2808" w:rsidRDefault="00000000">
      <w:pPr>
        <w:jc w:val="both"/>
      </w:pPr>
      <w:r>
        <w:t>Il s’agit de toutes les fournitures et travaux indispensables en vue d’un mortier de résine ayant une épaisseur de 4 à 12 mm.</w:t>
      </w:r>
    </w:p>
    <w:p w14:paraId="7ADCB048" w14:textId="77777777" w:rsidR="004B2808" w:rsidRDefault="00000000">
      <w:pPr>
        <w:pStyle w:val="pheading"/>
      </w:pPr>
      <w:r>
        <w:t>MATÉRIAUX</w:t>
      </w:r>
    </w:p>
    <w:p w14:paraId="7F63BFC0" w14:textId="77777777" w:rsidR="004B2808" w:rsidRDefault="00000000">
      <w:pPr>
        <w:pStyle w:val="pheading"/>
      </w:pPr>
      <w:r>
        <w:t>- Caractéristiques générales</w:t>
      </w:r>
    </w:p>
    <w:p w14:paraId="30C023DC" w14:textId="77777777" w:rsidR="004B2808" w:rsidRDefault="00000000">
      <w:pPr>
        <w:pStyle w:val="Author-eListParagraph"/>
        <w:numPr>
          <w:ilvl w:val="0"/>
          <w:numId w:val="520"/>
        </w:numPr>
        <w:jc w:val="both"/>
      </w:pPr>
      <w:r>
        <w:t>Mortier conforme à la norme [NBN EN 13813]</w:t>
      </w:r>
    </w:p>
    <w:p w14:paraId="562C732E" w14:textId="77777777" w:rsidR="004B2808" w:rsidRDefault="00000000">
      <w:pPr>
        <w:pStyle w:val="Author-eListParagraph"/>
        <w:numPr>
          <w:ilvl w:val="0"/>
          <w:numId w:val="520"/>
        </w:numPr>
        <w:jc w:val="both"/>
      </w:pPr>
      <w:r>
        <w:t xml:space="preserve">Référence support : </w:t>
      </w:r>
      <w:r>
        <w:rPr>
          <w:rStyle w:val="optioncarChar"/>
        </w:rPr>
        <w:t>***</w:t>
      </w:r>
    </w:p>
    <w:p w14:paraId="024B97C3" w14:textId="77777777" w:rsidR="004B2808" w:rsidRDefault="00000000">
      <w:pPr>
        <w:pStyle w:val="Author-eListParagraph"/>
        <w:numPr>
          <w:ilvl w:val="0"/>
          <w:numId w:val="520"/>
        </w:numPr>
        <w:jc w:val="both"/>
      </w:pPr>
      <w:r>
        <w:t xml:space="preserve">Destination future du sol : </w:t>
      </w:r>
      <w:r>
        <w:rPr>
          <w:rStyle w:val="optioncarChar"/>
        </w:rPr>
        <w:t>***</w:t>
      </w:r>
    </w:p>
    <w:p w14:paraId="2909C478" w14:textId="77777777" w:rsidR="004B2808" w:rsidRDefault="00000000">
      <w:pPr>
        <w:pStyle w:val="Author-eListParagraph"/>
        <w:numPr>
          <w:ilvl w:val="0"/>
          <w:numId w:val="520"/>
        </w:numPr>
        <w:jc w:val="both"/>
      </w:pPr>
      <w:r>
        <w:t xml:space="preserve">Type de résine : </w:t>
      </w:r>
      <w:r>
        <w:rPr>
          <w:rStyle w:val="optioncarChar"/>
        </w:rPr>
        <w:t>***</w:t>
      </w:r>
    </w:p>
    <w:p w14:paraId="76C30503" w14:textId="77777777" w:rsidR="004B2808" w:rsidRDefault="00000000">
      <w:pPr>
        <w:pStyle w:val="Author-eListParagraph"/>
        <w:numPr>
          <w:ilvl w:val="0"/>
          <w:numId w:val="520"/>
        </w:numPr>
        <w:jc w:val="both"/>
      </w:pPr>
      <w:r>
        <w:t xml:space="preserve">Dureté shore D de la résine : </w:t>
      </w:r>
      <w:r>
        <w:rPr>
          <w:rStyle w:val="optioncarChar"/>
        </w:rPr>
        <w:t>≤ 60 / &gt; 60</w:t>
      </w:r>
    </w:p>
    <w:p w14:paraId="32A437A1" w14:textId="77777777" w:rsidR="004B2808" w:rsidRDefault="00000000">
      <w:pPr>
        <w:pStyle w:val="Author-eListParagraph"/>
        <w:numPr>
          <w:ilvl w:val="0"/>
          <w:numId w:val="520"/>
        </w:numPr>
        <w:jc w:val="both"/>
      </w:pPr>
      <w:r>
        <w:t xml:space="preserve">Teinte RAL : </w:t>
      </w:r>
      <w:r>
        <w:rPr>
          <w:rStyle w:val="optioncarChar"/>
        </w:rPr>
        <w:t>***</w:t>
      </w:r>
    </w:p>
    <w:p w14:paraId="60F6F8EC" w14:textId="77777777" w:rsidR="004B2808" w:rsidRDefault="00000000">
      <w:pPr>
        <w:pStyle w:val="Author-eListParagraph"/>
        <w:numPr>
          <w:ilvl w:val="0"/>
          <w:numId w:val="520"/>
        </w:numPr>
        <w:jc w:val="both"/>
      </w:pPr>
      <w:r>
        <w:t xml:space="preserve">Epaisseur : </w:t>
      </w:r>
      <w:r>
        <w:rPr>
          <w:rStyle w:val="optioncarChar"/>
        </w:rPr>
        <w:t>4 / 5 / 6 / 7 / 8 / 9 / 10 / 11 / 12</w:t>
      </w:r>
      <w:r>
        <w:t xml:space="preserve"> mm</w:t>
      </w:r>
    </w:p>
    <w:p w14:paraId="7DB862FA" w14:textId="77777777" w:rsidR="004B2808" w:rsidRDefault="00000000">
      <w:pPr>
        <w:pStyle w:val="Author-eListParagraph"/>
        <w:numPr>
          <w:ilvl w:val="0"/>
          <w:numId w:val="520"/>
        </w:numPr>
        <w:jc w:val="both"/>
      </w:pPr>
      <w:r>
        <w:t xml:space="preserve">Résistance à l’usure BCA : </w:t>
      </w:r>
      <w:r>
        <w:rPr>
          <w:rStyle w:val="optioncarChar"/>
        </w:rPr>
        <w:t>AR4 / AR2 / AR1 / AR0.5</w:t>
      </w:r>
    </w:p>
    <w:p w14:paraId="25BA0A95" w14:textId="77777777" w:rsidR="004B2808" w:rsidRDefault="00000000">
      <w:pPr>
        <w:pStyle w:val="Author-eListParagraph"/>
        <w:numPr>
          <w:ilvl w:val="0"/>
          <w:numId w:val="520"/>
        </w:numPr>
        <w:jc w:val="both"/>
      </w:pPr>
      <w:r>
        <w:t xml:space="preserve">Résistance chimique : </w:t>
      </w:r>
      <w:r>
        <w:rPr>
          <w:rStyle w:val="optioncarChar"/>
        </w:rPr>
        <w:t>huile / hydrocarbures / produits acides (vin, vinaigre,..) / produits basiques</w:t>
      </w:r>
    </w:p>
    <w:p w14:paraId="6D34B00C" w14:textId="77777777" w:rsidR="004B2808" w:rsidRDefault="00000000">
      <w:pPr>
        <w:pStyle w:val="Author-eListParagraph"/>
        <w:numPr>
          <w:ilvl w:val="0"/>
          <w:numId w:val="520"/>
        </w:numPr>
        <w:jc w:val="both"/>
      </w:pPr>
      <w:r>
        <w:t xml:space="preserve">Perméabilité à l’eau [NIT 277] : </w:t>
      </w:r>
      <w:r>
        <w:rPr>
          <w:rStyle w:val="optioncarChar"/>
        </w:rPr>
        <w:t>W0 / W1 / W2 / W3</w:t>
      </w:r>
    </w:p>
    <w:p w14:paraId="1952A5DC" w14:textId="77777777" w:rsidR="004B2808" w:rsidRDefault="00000000">
      <w:pPr>
        <w:pStyle w:val="Author-eListParagraph"/>
        <w:numPr>
          <w:ilvl w:val="0"/>
          <w:numId w:val="520"/>
        </w:numPr>
        <w:jc w:val="both"/>
      </w:pPr>
      <w:r>
        <w:t xml:space="preserve">Perméabilité à la vapeur d’eau [NIT 277] : </w:t>
      </w:r>
      <w:r>
        <w:rPr>
          <w:rStyle w:val="optioncarChar"/>
        </w:rPr>
        <w:t>classe I / classe II / classe III</w:t>
      </w:r>
    </w:p>
    <w:p w14:paraId="12B1B92C" w14:textId="77777777" w:rsidR="004B2808" w:rsidRDefault="00000000">
      <w:pPr>
        <w:pStyle w:val="Author-eListParagraph"/>
        <w:numPr>
          <w:ilvl w:val="0"/>
          <w:numId w:val="520"/>
        </w:numPr>
        <w:jc w:val="both"/>
      </w:pPr>
      <w:r>
        <w:t xml:space="preserve">Résistivité électrique : </w:t>
      </w:r>
      <w:r>
        <w:rPr>
          <w:rStyle w:val="optioncarChar"/>
        </w:rPr>
        <w:t>ESD / ATEX</w:t>
      </w:r>
    </w:p>
    <w:p w14:paraId="47199511" w14:textId="77777777" w:rsidR="004B2808" w:rsidRDefault="00000000">
      <w:pPr>
        <w:pStyle w:val="Author-eListParagraph"/>
        <w:numPr>
          <w:ilvl w:val="0"/>
          <w:numId w:val="520"/>
        </w:numPr>
        <w:jc w:val="both"/>
      </w:pPr>
      <w:r>
        <w:t xml:space="preserve">Glissance [NBN EN 1504-2] : </w:t>
      </w:r>
      <w:r>
        <w:rPr>
          <w:rStyle w:val="optioncarChar"/>
        </w:rPr>
        <w:t>classe I / classe II / classe III</w:t>
      </w:r>
    </w:p>
    <w:p w14:paraId="3B787CFA" w14:textId="77777777" w:rsidR="004B2808" w:rsidRDefault="00000000">
      <w:pPr>
        <w:pStyle w:val="pheading"/>
      </w:pPr>
      <w:r>
        <w:t>- Finitions</w:t>
      </w:r>
    </w:p>
    <w:p w14:paraId="185F4775" w14:textId="77777777" w:rsidR="004B2808" w:rsidRDefault="00000000">
      <w:pPr>
        <w:jc w:val="both"/>
      </w:pPr>
      <w:r>
        <w:t>L’effet plus mat ou résistant aux UV est obtenu avec une ou deux couches de finition ultérieure de polyuréthane aliphatique.</w:t>
      </w:r>
    </w:p>
    <w:p w14:paraId="1A4515AB" w14:textId="77777777" w:rsidR="004B2808" w:rsidRDefault="00000000">
      <w:pPr>
        <w:jc w:val="both"/>
      </w:pPr>
      <w:r>
        <w:t xml:space="preserve">Finition : </w:t>
      </w:r>
      <w:r>
        <w:rPr>
          <w:rStyle w:val="optioncarChar"/>
        </w:rPr>
        <w:t>couche polyuréthane aliphatique / pas de couche de finition / ***</w:t>
      </w:r>
    </w:p>
    <w:p w14:paraId="675D0381" w14:textId="77777777" w:rsidR="004B2808" w:rsidRDefault="00000000">
      <w:pPr>
        <w:jc w:val="both"/>
      </w:pPr>
      <w:r>
        <w:t xml:space="preserve">Résistance à l’usure de la finition : </w:t>
      </w:r>
      <w:r>
        <w:rPr>
          <w:rStyle w:val="optioncarChar"/>
        </w:rPr>
        <w:t xml:space="preserve">élevée </w:t>
      </w:r>
      <w:r>
        <w:t>(par défaut)</w:t>
      </w:r>
      <w:r>
        <w:rPr>
          <w:rStyle w:val="optioncarChar"/>
        </w:rPr>
        <w:t xml:space="preserve"> / moyenne</w:t>
      </w:r>
    </w:p>
    <w:p w14:paraId="765C6984" w14:textId="77777777" w:rsidR="004B2808" w:rsidRDefault="00000000">
      <w:pPr>
        <w:jc w:val="both"/>
      </w:pPr>
      <w:r>
        <w:rPr>
          <w:b/>
        </w:rPr>
        <w:t>(soit par défaut)</w:t>
      </w:r>
    </w:p>
    <w:p w14:paraId="5248DE3E" w14:textId="77777777" w:rsidR="004B2808" w:rsidRDefault="00000000">
      <w:pPr>
        <w:jc w:val="both"/>
      </w:pPr>
      <w:r>
        <w:rPr>
          <w:rStyle w:val="soitChar"/>
          <w:u w:val="single"/>
        </w:rPr>
        <w:t>Elevée :</w:t>
      </w:r>
      <w:r>
        <w:rPr>
          <w:rStyle w:val="soitChar"/>
        </w:rPr>
        <w:t xml:space="preserve"> taber roue H22 pendant 1000 cycles et sous une charge de 1000 g : &lt; 3000 mg</w:t>
      </w:r>
    </w:p>
    <w:p w14:paraId="5082E2F0" w14:textId="77777777" w:rsidR="004B2808" w:rsidRDefault="00000000">
      <w:pPr>
        <w:jc w:val="both"/>
      </w:pPr>
      <w:r>
        <w:rPr>
          <w:b/>
        </w:rPr>
        <w:lastRenderedPageBreak/>
        <w:t>(soit)</w:t>
      </w:r>
    </w:p>
    <w:p w14:paraId="4848F90A" w14:textId="77777777" w:rsidR="004B2808" w:rsidRDefault="00000000">
      <w:pPr>
        <w:jc w:val="both"/>
      </w:pPr>
      <w:r>
        <w:rPr>
          <w:rStyle w:val="soitChar"/>
          <w:u w:val="single"/>
        </w:rPr>
        <w:t>Moyenne :</w:t>
      </w:r>
      <w:r>
        <w:rPr>
          <w:rStyle w:val="soitChar"/>
        </w:rPr>
        <w:t>  taber roue CS10 pendant 1000 cycles et sous une charge de 1000 g : &lt; 70 mg</w:t>
      </w:r>
    </w:p>
    <w:p w14:paraId="3286C508" w14:textId="77777777" w:rsidR="004B2808" w:rsidRDefault="00000000">
      <w:pPr>
        <w:pStyle w:val="pheading"/>
      </w:pPr>
      <w:r>
        <w:t>EXÉCUTION / MISE EN ŒUVRE</w:t>
      </w:r>
    </w:p>
    <w:p w14:paraId="774199EC" w14:textId="77777777" w:rsidR="004B2808" w:rsidRDefault="00000000">
      <w:pPr>
        <w:pStyle w:val="pheading"/>
      </w:pPr>
      <w:r>
        <w:t>- Prescriptions générales</w:t>
      </w:r>
    </w:p>
    <w:p w14:paraId="2ABAE0A8" w14:textId="77777777" w:rsidR="004B2808" w:rsidRDefault="00000000">
      <w:r>
        <w:t xml:space="preserve">L’humidité du support est vérifiée (voir l’élément </w:t>
      </w:r>
      <w:hyperlink w:anchor="1266" w:history="1">
        <w:r w:rsidR="004B2808">
          <w:rPr>
            <w:color w:val="0000EE"/>
          </w:rPr>
          <w:t>53.32 Sols de type industriel à base de résines</w:t>
        </w:r>
      </w:hyperlink>
      <w:r>
        <w:t>).</w:t>
      </w:r>
    </w:p>
    <w:p w14:paraId="5E49527D" w14:textId="77777777" w:rsidR="004B2808" w:rsidRDefault="00000000">
      <w:pPr>
        <w:pStyle w:val="pheading"/>
      </w:pPr>
      <w:r>
        <w:t>MESURAGE</w:t>
      </w:r>
    </w:p>
    <w:p w14:paraId="3DEE6DDC" w14:textId="77777777" w:rsidR="004B2808" w:rsidRDefault="00000000">
      <w:pPr>
        <w:pStyle w:val="pheading"/>
      </w:pPr>
      <w:r>
        <w:t>- unité de mesure:</w:t>
      </w:r>
    </w:p>
    <w:p w14:paraId="7EF972B3" w14:textId="77777777" w:rsidR="004B2808" w:rsidRDefault="00000000">
      <w:r>
        <w:rPr>
          <w:rStyle w:val="optioncarChar"/>
        </w:rPr>
        <w:t xml:space="preserve">m² </w:t>
      </w:r>
      <w:r>
        <w:t>(par défaut)</w:t>
      </w:r>
      <w:r>
        <w:rPr>
          <w:rStyle w:val="optioncarChar"/>
        </w:rPr>
        <w:t xml:space="preserve"> / m² ; m ; pc</w:t>
      </w:r>
    </w:p>
    <w:p w14:paraId="42B23ECE" w14:textId="77777777" w:rsidR="004B2808" w:rsidRDefault="00000000">
      <w:r>
        <w:rPr>
          <w:b/>
        </w:rPr>
        <w:t xml:space="preserve">(soit par défaut) </w:t>
      </w:r>
      <w:r>
        <w:br/>
      </w:r>
      <w:r>
        <w:rPr>
          <w:rStyle w:val="soitChar"/>
        </w:rPr>
        <w:t xml:space="preserve">1. m² </w:t>
      </w:r>
      <w:r>
        <w:br/>
      </w:r>
      <w:r>
        <w:rPr>
          <w:b/>
        </w:rPr>
        <w:t xml:space="preserve">(soit) </w:t>
      </w:r>
      <w:r>
        <w:br/>
      </w:r>
      <w:r>
        <w:rPr>
          <w:rStyle w:val="soitChar"/>
        </w:rPr>
        <w:t>2. m² ; m ; pc</w:t>
      </w:r>
    </w:p>
    <w:p w14:paraId="4B202F64" w14:textId="77777777" w:rsidR="004B2808" w:rsidRDefault="00000000">
      <w:pPr>
        <w:pStyle w:val="pheading"/>
      </w:pPr>
      <w:r>
        <w:t>- code de mesurage:</w:t>
      </w:r>
    </w:p>
    <w:p w14:paraId="2CC6DEE7" w14:textId="77777777" w:rsidR="004B2808" w:rsidRDefault="00000000">
      <w:pPr>
        <w:jc w:val="both"/>
      </w:pPr>
      <w:r>
        <w:rPr>
          <w:rStyle w:val="optioncarChar"/>
        </w:rPr>
        <w:t>Surface nette</w:t>
      </w:r>
      <w:r>
        <w:t xml:space="preserve"> (par défaut)</w:t>
      </w:r>
      <w:r>
        <w:rPr>
          <w:rStyle w:val="optioncarChar"/>
        </w:rPr>
        <w:t xml:space="preserve"> / Globalité</w:t>
      </w:r>
    </w:p>
    <w:p w14:paraId="64621A02" w14:textId="77777777" w:rsidR="004B2808" w:rsidRDefault="00000000">
      <w:pPr>
        <w:jc w:val="both"/>
      </w:pPr>
      <w:r>
        <w:rPr>
          <w:b/>
        </w:rPr>
        <w:t xml:space="preserve">(soit par défaut) </w:t>
      </w:r>
    </w:p>
    <w:p w14:paraId="228CB39E" w14:textId="77777777" w:rsidR="004B2808" w:rsidRDefault="00000000">
      <w:pPr>
        <w:jc w:val="both"/>
      </w:pPr>
      <w:r>
        <w:rPr>
          <w:rStyle w:val="soitChar"/>
        </w:rPr>
        <w:t xml:space="preserve">1.  </w:t>
      </w:r>
      <w:r>
        <w:rPr>
          <w:rStyle w:val="soitChar"/>
          <w:u w:val="single"/>
        </w:rPr>
        <w:t>Surface nette</w:t>
      </w:r>
      <w:r>
        <w:rPr>
          <w:rStyle w:val="soitChar"/>
        </w:rPr>
        <w:t xml:space="preserve"> à revêtir pour les sols uniquement (plinthes, caniveaux et sterfputs non prévus).</w:t>
      </w:r>
    </w:p>
    <w:p w14:paraId="0AD375AA" w14:textId="77777777" w:rsidR="004B2808" w:rsidRDefault="00000000">
      <w:pPr>
        <w:jc w:val="both"/>
      </w:pPr>
      <w:r>
        <w:rPr>
          <w:b/>
        </w:rPr>
        <w:t xml:space="preserve">(soit) </w:t>
      </w:r>
    </w:p>
    <w:p w14:paraId="6D55B640" w14:textId="77777777" w:rsidR="004B2808" w:rsidRDefault="00000000">
      <w:pPr>
        <w:jc w:val="both"/>
      </w:pPr>
      <w:r>
        <w:rPr>
          <w:rStyle w:val="soitChar"/>
        </w:rPr>
        <w:t xml:space="preserve">2 </w:t>
      </w:r>
      <w:r>
        <w:rPr>
          <w:rStyle w:val="soitChar"/>
          <w:u w:val="single"/>
        </w:rPr>
        <w:t>Globalité</w:t>
      </w:r>
      <w:r>
        <w:rPr>
          <w:rStyle w:val="soitChar"/>
        </w:rPr>
        <w:t> : surface nette à revêtir pour les sols et longueur nette des plinthes, caniveaux et quantités de sterfputs ventilés suivant leur nature et leurs dimensions et nombre de sterfputs.</w:t>
      </w:r>
    </w:p>
    <w:p w14:paraId="0C3D97A2" w14:textId="77777777" w:rsidR="004B2808" w:rsidRDefault="00000000">
      <w:pPr>
        <w:pStyle w:val="pheading"/>
      </w:pPr>
      <w:r>
        <w:t>- nature du marché:</w:t>
      </w:r>
    </w:p>
    <w:p w14:paraId="31EEE85C" w14:textId="77777777" w:rsidR="004B2808" w:rsidRDefault="00000000">
      <w:r>
        <w:t>1.2. QF</w:t>
      </w:r>
    </w:p>
    <w:p w14:paraId="3554E857" w14:textId="77777777" w:rsidR="004B2808" w:rsidRDefault="00000000">
      <w:pPr>
        <w:pStyle w:val="Author-eSectionHeading5Numberless"/>
      </w:pPr>
      <w:bookmarkStart w:id="604" w:name="_Toc220490767"/>
      <w:r>
        <w:t>53.32.5 Sols de type industriel à base de résines, tapis de pierre CCTB 01.02</w:t>
      </w:r>
      <w:bookmarkEnd w:id="604"/>
    </w:p>
    <w:p w14:paraId="1562200F" w14:textId="77777777" w:rsidR="004B2808" w:rsidRDefault="00000000">
      <w:pPr>
        <w:pStyle w:val="Author-eSectionHeading6Numberless"/>
      </w:pPr>
      <w:bookmarkStart w:id="605" w:name="_Toc220490768"/>
      <w:r>
        <w:t>53.32.5a Sols de type industriel à base de résines, tapis de pierre à résine époxydique en surface ouverte CCTB 01.02</w:t>
      </w:r>
      <w:bookmarkEnd w:id="605"/>
    </w:p>
    <w:p w14:paraId="707499BE" w14:textId="77777777" w:rsidR="004B2808" w:rsidRDefault="00000000">
      <w:pPr>
        <w:pStyle w:val="Author-eSectionHeading6Numberless"/>
      </w:pPr>
      <w:bookmarkStart w:id="606" w:name="_Toc220490769"/>
      <w:r>
        <w:t>53.32.5b Sols de type industriel à base de résines, tapis de pierre à résine époxydique en surface fermée CCTB 01.11</w:t>
      </w:r>
      <w:bookmarkEnd w:id="606"/>
    </w:p>
    <w:p w14:paraId="443AF400" w14:textId="77777777" w:rsidR="004B2808" w:rsidRDefault="00000000">
      <w:pPr>
        <w:pStyle w:val="pheading"/>
      </w:pPr>
      <w:r>
        <w:t>DESCRIPTION</w:t>
      </w:r>
    </w:p>
    <w:p w14:paraId="24AF8615" w14:textId="77777777" w:rsidR="004B2808" w:rsidRDefault="00000000">
      <w:pPr>
        <w:pStyle w:val="pheading"/>
      </w:pPr>
      <w:r>
        <w:t>- Définition / Comprend</w:t>
      </w:r>
    </w:p>
    <w:p w14:paraId="7CB7A48C" w14:textId="77777777" w:rsidR="004B2808" w:rsidRDefault="00000000">
      <w:pPr>
        <w:jc w:val="both"/>
      </w:pPr>
      <w:r>
        <w:t>Il s’agit de toutes les fournitures et travaux indispensables en vue d’un tapis de pierre époxy ou polyuréthane fermé au moyen d’une résine polyuréthane aliphatique transparente résistante aux UV. Un primaire est appliqué au préalable.</w:t>
      </w:r>
    </w:p>
    <w:p w14:paraId="2C3095A8" w14:textId="77777777" w:rsidR="004B2808" w:rsidRDefault="00000000">
      <w:pPr>
        <w:pStyle w:val="pheading"/>
      </w:pPr>
      <w:r>
        <w:t>MATÉRIAUX</w:t>
      </w:r>
    </w:p>
    <w:p w14:paraId="5EEA1F2D" w14:textId="77777777" w:rsidR="004B2808" w:rsidRDefault="00000000">
      <w:pPr>
        <w:pStyle w:val="pheading"/>
      </w:pPr>
      <w:r>
        <w:t>- Caractéristiques générales</w:t>
      </w:r>
    </w:p>
    <w:p w14:paraId="56BAF6AF" w14:textId="77777777" w:rsidR="004B2808" w:rsidRDefault="00000000">
      <w:pPr>
        <w:pStyle w:val="Author-eListParagraph"/>
        <w:numPr>
          <w:ilvl w:val="0"/>
          <w:numId w:val="521"/>
        </w:numPr>
      </w:pPr>
      <w:r>
        <w:t>Résine conforme à la norme [NBN EN 13813] ou [NBN EN 1504-2]</w:t>
      </w:r>
    </w:p>
    <w:p w14:paraId="5D9682A5" w14:textId="77777777" w:rsidR="004B2808" w:rsidRDefault="00000000">
      <w:pPr>
        <w:pStyle w:val="Author-eListParagraph"/>
        <w:numPr>
          <w:ilvl w:val="0"/>
          <w:numId w:val="521"/>
        </w:numPr>
      </w:pPr>
      <w:r>
        <w:t xml:space="preserve">Référence support : </w:t>
      </w:r>
      <w:r>
        <w:rPr>
          <w:rStyle w:val="optioncarChar"/>
        </w:rPr>
        <w:t>***</w:t>
      </w:r>
    </w:p>
    <w:p w14:paraId="721EE36F" w14:textId="77777777" w:rsidR="004B2808" w:rsidRDefault="00000000">
      <w:pPr>
        <w:pStyle w:val="Author-eListParagraph"/>
        <w:numPr>
          <w:ilvl w:val="0"/>
          <w:numId w:val="521"/>
        </w:numPr>
      </w:pPr>
      <w:r>
        <w:t xml:space="preserve">Destination future du sol : </w:t>
      </w:r>
      <w:r>
        <w:rPr>
          <w:rStyle w:val="optioncarChar"/>
        </w:rPr>
        <w:t>***</w:t>
      </w:r>
    </w:p>
    <w:p w14:paraId="2607FDF4" w14:textId="77777777" w:rsidR="004B2808" w:rsidRDefault="00000000">
      <w:pPr>
        <w:pStyle w:val="Author-eListParagraph"/>
        <w:numPr>
          <w:ilvl w:val="0"/>
          <w:numId w:val="521"/>
        </w:numPr>
      </w:pPr>
      <w:r>
        <w:t xml:space="preserve">Teinte (échantillons à présenter au préalable par l’applicateur au maitre d’ouvrage) : </w:t>
      </w:r>
      <w:r>
        <w:rPr>
          <w:rStyle w:val="optioncarChar"/>
        </w:rPr>
        <w:t>***</w:t>
      </w:r>
    </w:p>
    <w:p w14:paraId="1BA65162" w14:textId="77777777" w:rsidR="004B2808" w:rsidRDefault="00000000">
      <w:pPr>
        <w:pStyle w:val="Author-eListParagraph"/>
        <w:numPr>
          <w:ilvl w:val="0"/>
          <w:numId w:val="521"/>
        </w:numPr>
      </w:pPr>
      <w:r>
        <w:t xml:space="preserve">Résine : </w:t>
      </w:r>
      <w:r>
        <w:rPr>
          <w:rStyle w:val="optioncarChar"/>
        </w:rPr>
        <w:t>époxy / polyuréthane</w:t>
      </w:r>
    </w:p>
    <w:p w14:paraId="568CEAFA" w14:textId="77777777" w:rsidR="004B2808" w:rsidRDefault="00000000">
      <w:pPr>
        <w:pStyle w:val="Author-eListParagraph"/>
        <w:numPr>
          <w:ilvl w:val="0"/>
          <w:numId w:val="521"/>
        </w:numPr>
      </w:pPr>
      <w:r>
        <w:t xml:space="preserve">Granulat : </w:t>
      </w:r>
      <w:r>
        <w:rPr>
          <w:rStyle w:val="optioncarChar"/>
        </w:rPr>
        <w:t>naturel (gravier) / naturel (marbre) / pigmenté</w:t>
      </w:r>
    </w:p>
    <w:p w14:paraId="771F5282" w14:textId="77777777" w:rsidR="004B2808" w:rsidRDefault="00000000">
      <w:pPr>
        <w:pStyle w:val="Author-eListParagraph"/>
        <w:numPr>
          <w:ilvl w:val="0"/>
          <w:numId w:val="521"/>
        </w:numPr>
      </w:pPr>
      <w:r>
        <w:t xml:space="preserve">Epaisseur : </w:t>
      </w:r>
      <w:r>
        <w:rPr>
          <w:rStyle w:val="optioncarChar"/>
        </w:rPr>
        <w:t>3 / 5 / 7 / 9 / 11 / 25</w:t>
      </w:r>
      <w:r>
        <w:t xml:space="preserve"> mm</w:t>
      </w:r>
    </w:p>
    <w:p w14:paraId="07AD2F54" w14:textId="77777777" w:rsidR="004B2808" w:rsidRDefault="00000000">
      <w:pPr>
        <w:pStyle w:val="Author-eListParagraph"/>
        <w:numPr>
          <w:ilvl w:val="0"/>
          <w:numId w:val="521"/>
        </w:numPr>
      </w:pPr>
      <w:r>
        <w:t xml:space="preserve">Résistance à l’usure BCA : </w:t>
      </w:r>
      <w:r>
        <w:rPr>
          <w:rStyle w:val="optioncarChar"/>
        </w:rPr>
        <w:t>AR4 / AR2 / AR1 / AR0.5</w:t>
      </w:r>
    </w:p>
    <w:p w14:paraId="19FD64C9" w14:textId="77777777" w:rsidR="004B2808" w:rsidRDefault="00000000">
      <w:pPr>
        <w:pStyle w:val="Author-eListParagraph"/>
        <w:numPr>
          <w:ilvl w:val="0"/>
          <w:numId w:val="521"/>
        </w:numPr>
      </w:pPr>
      <w:r>
        <w:lastRenderedPageBreak/>
        <w:t xml:space="preserve">Résistance chimique : </w:t>
      </w:r>
      <w:r>
        <w:rPr>
          <w:rStyle w:val="optioncarChar"/>
        </w:rPr>
        <w:t>huile / hydrocarbures / produits acides (vin, vinaigre,..) / produits basiques</w:t>
      </w:r>
    </w:p>
    <w:p w14:paraId="2910407F" w14:textId="77777777" w:rsidR="004B2808" w:rsidRDefault="00000000">
      <w:pPr>
        <w:pStyle w:val="Author-eListParagraph"/>
        <w:numPr>
          <w:ilvl w:val="0"/>
          <w:numId w:val="521"/>
        </w:numPr>
      </w:pPr>
      <w:r>
        <w:t xml:space="preserve">Perméabilité à l’eau [NIT 277] : </w:t>
      </w:r>
      <w:r>
        <w:rPr>
          <w:rStyle w:val="optioncarChar"/>
        </w:rPr>
        <w:t>W0 / W1 / W2 / W3</w:t>
      </w:r>
    </w:p>
    <w:p w14:paraId="6F871AEE" w14:textId="77777777" w:rsidR="004B2808" w:rsidRDefault="00000000">
      <w:pPr>
        <w:pStyle w:val="Author-eListParagraph"/>
        <w:numPr>
          <w:ilvl w:val="0"/>
          <w:numId w:val="521"/>
        </w:numPr>
      </w:pPr>
      <w:r>
        <w:t xml:space="preserve">Glissance [NBN EN 1504-2] : </w:t>
      </w:r>
      <w:r>
        <w:rPr>
          <w:rStyle w:val="optioncarChar"/>
        </w:rPr>
        <w:t>classe I / classe II / classe III</w:t>
      </w:r>
    </w:p>
    <w:p w14:paraId="2D2111A6" w14:textId="77777777" w:rsidR="004B2808" w:rsidRDefault="00000000">
      <w:pPr>
        <w:pStyle w:val="pheading"/>
      </w:pPr>
      <w:r>
        <w:t>- Finitions</w:t>
      </w:r>
    </w:p>
    <w:p w14:paraId="68AEEA70" w14:textId="77777777" w:rsidR="004B2808" w:rsidRDefault="00000000">
      <w:pPr>
        <w:jc w:val="both"/>
      </w:pPr>
      <w:r>
        <w:t>Finition avec une ou plusieurs couches de polyuréthane aliphatique</w:t>
      </w:r>
    </w:p>
    <w:p w14:paraId="1964C26D" w14:textId="77777777" w:rsidR="004B2808" w:rsidRDefault="00000000">
      <w:pPr>
        <w:jc w:val="both"/>
      </w:pPr>
      <w:r>
        <w:t xml:space="preserve">Résistance à l’usure de la finition : </w:t>
      </w:r>
      <w:r>
        <w:rPr>
          <w:rStyle w:val="optioncarChar"/>
        </w:rPr>
        <w:t xml:space="preserve">élevée </w:t>
      </w:r>
      <w:r>
        <w:t>(par défaut)</w:t>
      </w:r>
      <w:r>
        <w:rPr>
          <w:rStyle w:val="optioncarChar"/>
        </w:rPr>
        <w:t xml:space="preserve"> / moyenne</w:t>
      </w:r>
    </w:p>
    <w:p w14:paraId="49838D1D" w14:textId="77777777" w:rsidR="004B2808" w:rsidRDefault="00000000">
      <w:pPr>
        <w:jc w:val="both"/>
      </w:pPr>
      <w:r>
        <w:rPr>
          <w:b/>
        </w:rPr>
        <w:t>(soit par défaut)</w:t>
      </w:r>
    </w:p>
    <w:p w14:paraId="56C9703E" w14:textId="77777777" w:rsidR="004B2808" w:rsidRDefault="00000000">
      <w:pPr>
        <w:jc w:val="both"/>
      </w:pPr>
      <w:r>
        <w:rPr>
          <w:rStyle w:val="soitChar"/>
          <w:u w:val="single"/>
        </w:rPr>
        <w:t>Elevée :</w:t>
      </w:r>
      <w:r>
        <w:rPr>
          <w:rStyle w:val="soitChar"/>
        </w:rPr>
        <w:t xml:space="preserve"> taber roue H22 pendant 1000 cycles et sous une charge de 1000 g : &lt; 3000 mg</w:t>
      </w:r>
    </w:p>
    <w:p w14:paraId="08E3EB25" w14:textId="77777777" w:rsidR="004B2808" w:rsidRDefault="00000000">
      <w:pPr>
        <w:jc w:val="both"/>
      </w:pPr>
      <w:r>
        <w:rPr>
          <w:b/>
        </w:rPr>
        <w:t>(soit)</w:t>
      </w:r>
    </w:p>
    <w:p w14:paraId="2AC09E25" w14:textId="77777777" w:rsidR="004B2808" w:rsidRDefault="00000000">
      <w:pPr>
        <w:jc w:val="both"/>
      </w:pPr>
      <w:r>
        <w:rPr>
          <w:rStyle w:val="soitChar"/>
          <w:u w:val="single"/>
        </w:rPr>
        <w:t>Moyenne :</w:t>
      </w:r>
      <w:r>
        <w:rPr>
          <w:rStyle w:val="soitChar"/>
        </w:rPr>
        <w:t>  taber roue CS10 pendant 1000 cycles et sous une charge de 1000 g : &lt; 70 mg</w:t>
      </w:r>
    </w:p>
    <w:p w14:paraId="3A7FB1A8" w14:textId="77777777" w:rsidR="004B2808" w:rsidRDefault="00000000">
      <w:pPr>
        <w:pStyle w:val="pheading"/>
      </w:pPr>
      <w:r>
        <w:t>EXÉCUTION / MISE EN ŒUVRE</w:t>
      </w:r>
    </w:p>
    <w:p w14:paraId="4FCF470F" w14:textId="77777777" w:rsidR="004B2808" w:rsidRDefault="00000000">
      <w:pPr>
        <w:pStyle w:val="pheading"/>
      </w:pPr>
      <w:r>
        <w:t>- Prescriptions générales</w:t>
      </w:r>
    </w:p>
    <w:p w14:paraId="5DE5D9CC" w14:textId="77777777" w:rsidR="004B2808" w:rsidRDefault="00000000">
      <w:r>
        <w:t xml:space="preserve">L’humidité du support est vérifiée (voir l’élément </w:t>
      </w:r>
      <w:hyperlink w:anchor="1266" w:history="1">
        <w:r w:rsidR="004B2808">
          <w:rPr>
            <w:color w:val="0000EE"/>
          </w:rPr>
          <w:t>53.32 Sols de type industriel à base de résines</w:t>
        </w:r>
      </w:hyperlink>
      <w:r>
        <w:t>).</w:t>
      </w:r>
    </w:p>
    <w:p w14:paraId="55E14EA9" w14:textId="77777777" w:rsidR="004B2808" w:rsidRDefault="00000000">
      <w:pPr>
        <w:pStyle w:val="pheading"/>
      </w:pPr>
      <w:r>
        <w:t>MESURAGE</w:t>
      </w:r>
    </w:p>
    <w:p w14:paraId="3F938448" w14:textId="77777777" w:rsidR="004B2808" w:rsidRDefault="00000000">
      <w:pPr>
        <w:pStyle w:val="pheading"/>
      </w:pPr>
      <w:r>
        <w:t>- unité de mesure:</w:t>
      </w:r>
    </w:p>
    <w:p w14:paraId="1946A4A9" w14:textId="77777777" w:rsidR="004B2808" w:rsidRDefault="00000000">
      <w:r>
        <w:rPr>
          <w:rStyle w:val="optioncarChar"/>
        </w:rPr>
        <w:t xml:space="preserve">m² </w:t>
      </w:r>
      <w:r>
        <w:t>(par défaut)</w:t>
      </w:r>
      <w:r>
        <w:rPr>
          <w:rStyle w:val="optioncarChar"/>
        </w:rPr>
        <w:t xml:space="preserve"> / m² ; m ; pc</w:t>
      </w:r>
    </w:p>
    <w:p w14:paraId="4627AD74" w14:textId="77777777" w:rsidR="004B2808" w:rsidRDefault="00000000">
      <w:r>
        <w:rPr>
          <w:b/>
        </w:rPr>
        <w:t xml:space="preserve">(soit par défaut) </w:t>
      </w:r>
      <w:r>
        <w:br/>
      </w:r>
      <w:r>
        <w:rPr>
          <w:rStyle w:val="soitChar"/>
        </w:rPr>
        <w:t xml:space="preserve">1. m² </w:t>
      </w:r>
      <w:r>
        <w:br/>
      </w:r>
      <w:r>
        <w:rPr>
          <w:b/>
        </w:rPr>
        <w:t xml:space="preserve">(soit) </w:t>
      </w:r>
      <w:r>
        <w:br/>
      </w:r>
      <w:r>
        <w:rPr>
          <w:rStyle w:val="soitChar"/>
        </w:rPr>
        <w:t>2. m² ; m ; pc</w:t>
      </w:r>
    </w:p>
    <w:p w14:paraId="7B360E9C" w14:textId="77777777" w:rsidR="004B2808" w:rsidRDefault="00000000">
      <w:pPr>
        <w:pStyle w:val="pheading"/>
      </w:pPr>
      <w:r>
        <w:t>- code de mesurage:</w:t>
      </w:r>
    </w:p>
    <w:p w14:paraId="63DB5DD9" w14:textId="77777777" w:rsidR="004B2808" w:rsidRDefault="00000000">
      <w:pPr>
        <w:jc w:val="both"/>
      </w:pPr>
      <w:r>
        <w:rPr>
          <w:rStyle w:val="optioncarChar"/>
        </w:rPr>
        <w:t xml:space="preserve">Surface nette </w:t>
      </w:r>
      <w:r>
        <w:t xml:space="preserve">(par défaut) </w:t>
      </w:r>
      <w:r>
        <w:rPr>
          <w:rStyle w:val="optioncarChar"/>
        </w:rPr>
        <w:t xml:space="preserve">/ Globalité </w:t>
      </w:r>
    </w:p>
    <w:p w14:paraId="71AC2C50" w14:textId="77777777" w:rsidR="004B2808" w:rsidRDefault="004B2808">
      <w:pPr>
        <w:jc w:val="both"/>
      </w:pPr>
    </w:p>
    <w:p w14:paraId="752CFB23" w14:textId="77777777" w:rsidR="004B2808" w:rsidRDefault="00000000">
      <w:pPr>
        <w:jc w:val="both"/>
      </w:pPr>
      <w:r>
        <w:rPr>
          <w:b/>
        </w:rPr>
        <w:t xml:space="preserve">(soit par défaut) </w:t>
      </w:r>
    </w:p>
    <w:p w14:paraId="59AB5424" w14:textId="77777777" w:rsidR="004B2808" w:rsidRDefault="00000000">
      <w:pPr>
        <w:jc w:val="both"/>
      </w:pPr>
      <w:r>
        <w:rPr>
          <w:rStyle w:val="soitChar"/>
        </w:rPr>
        <w:t xml:space="preserve">1.  </w:t>
      </w:r>
      <w:r>
        <w:rPr>
          <w:rStyle w:val="soitChar"/>
          <w:u w:val="single"/>
        </w:rPr>
        <w:t>Surface nette</w:t>
      </w:r>
      <w:r>
        <w:rPr>
          <w:rStyle w:val="soitChar"/>
        </w:rPr>
        <w:t xml:space="preserve"> à revêtir pour les sols uniquement (plinthes, caniveaux et sterfputs non prévus).</w:t>
      </w:r>
    </w:p>
    <w:p w14:paraId="1CC7CE9C" w14:textId="77777777" w:rsidR="004B2808" w:rsidRDefault="00000000">
      <w:pPr>
        <w:jc w:val="both"/>
      </w:pPr>
      <w:r>
        <w:rPr>
          <w:b/>
        </w:rPr>
        <w:t xml:space="preserve">(soit) </w:t>
      </w:r>
    </w:p>
    <w:p w14:paraId="384DEEDE" w14:textId="77777777" w:rsidR="004B2808" w:rsidRDefault="00000000">
      <w:pPr>
        <w:jc w:val="both"/>
      </w:pPr>
      <w:r>
        <w:rPr>
          <w:rStyle w:val="soitChar"/>
        </w:rPr>
        <w:t xml:space="preserve">2. </w:t>
      </w:r>
      <w:r>
        <w:rPr>
          <w:rStyle w:val="soitChar"/>
          <w:u w:val="single"/>
        </w:rPr>
        <w:t>Globalité :</w:t>
      </w:r>
      <w:r>
        <w:rPr>
          <w:rStyle w:val="soitChar"/>
        </w:rPr>
        <w:t xml:space="preserve"> surface nette à revêtir pour les sols et longueur nette des plinthes, caniveaux et quantités de sterfputs ventilés suivant leur nature et leurs dimensions et nombre de sterfputs.</w:t>
      </w:r>
    </w:p>
    <w:p w14:paraId="20D19D55" w14:textId="77777777" w:rsidR="004B2808" w:rsidRDefault="00000000">
      <w:pPr>
        <w:pStyle w:val="pheading"/>
      </w:pPr>
      <w:r>
        <w:t>- nature du marché:</w:t>
      </w:r>
    </w:p>
    <w:p w14:paraId="248D81D3" w14:textId="77777777" w:rsidR="004B2808" w:rsidRDefault="00000000">
      <w:r>
        <w:t>1.2. QF</w:t>
      </w:r>
    </w:p>
    <w:p w14:paraId="63BA3B1D" w14:textId="77777777" w:rsidR="004B2808" w:rsidRDefault="00000000">
      <w:pPr>
        <w:pStyle w:val="Author-eSectionHeading5Numberless"/>
      </w:pPr>
      <w:bookmarkStart w:id="607" w:name="_Toc220490770"/>
      <w:r>
        <w:t>53.32.6 Sols de type industriel à base de résines - Système multicouche : système à couche mince avec projection de quartz CCTB 01.02</w:t>
      </w:r>
      <w:bookmarkEnd w:id="607"/>
    </w:p>
    <w:p w14:paraId="7A7AC1F7" w14:textId="77777777" w:rsidR="004B2808" w:rsidRDefault="00000000">
      <w:pPr>
        <w:pStyle w:val="Author-eSectionHeading6Numberless"/>
      </w:pPr>
      <w:bookmarkStart w:id="608" w:name="_Toc220490771"/>
      <w:r>
        <w:t>53.32.6a Sols de type industriel à base de résines - Système multicouche : système à couche mince avec projection de quartz CCTB 01.10</w:t>
      </w:r>
      <w:bookmarkEnd w:id="608"/>
    </w:p>
    <w:p w14:paraId="5270194A" w14:textId="77777777" w:rsidR="004B2808" w:rsidRDefault="00000000">
      <w:pPr>
        <w:pStyle w:val="pheading"/>
      </w:pPr>
      <w:r>
        <w:t>DESCRIPTION</w:t>
      </w:r>
    </w:p>
    <w:p w14:paraId="31870FC3" w14:textId="77777777" w:rsidR="004B2808" w:rsidRDefault="00000000">
      <w:pPr>
        <w:pStyle w:val="pheading"/>
      </w:pPr>
      <w:r>
        <w:t>- Définition / Comprend</w:t>
      </w:r>
    </w:p>
    <w:p w14:paraId="25748A8D" w14:textId="77777777" w:rsidR="004B2808" w:rsidRDefault="00000000">
      <w:pPr>
        <w:jc w:val="both"/>
      </w:pPr>
      <w:r>
        <w:t>Il s’agit de toutes les fournitures et travaux indispensables en vue d’un revêtement à couche mince avec projection de quartz. Après la mise en œuvre de la première couche de résine et le saupoudrage, la surface est scellée par une couche de résine supplémentaire mince.</w:t>
      </w:r>
    </w:p>
    <w:p w14:paraId="02F40D7B" w14:textId="77777777" w:rsidR="004B2808" w:rsidRDefault="00000000">
      <w:pPr>
        <w:pStyle w:val="pheading"/>
      </w:pPr>
      <w:r>
        <w:t>MATÉRIAUX</w:t>
      </w:r>
    </w:p>
    <w:p w14:paraId="67B5DB62" w14:textId="77777777" w:rsidR="004B2808" w:rsidRDefault="00000000">
      <w:pPr>
        <w:pStyle w:val="pheading"/>
      </w:pPr>
      <w:r>
        <w:lastRenderedPageBreak/>
        <w:t>- Caractéristiques générales</w:t>
      </w:r>
    </w:p>
    <w:p w14:paraId="46AE252E" w14:textId="77777777" w:rsidR="004B2808" w:rsidRDefault="00000000">
      <w:pPr>
        <w:pStyle w:val="Author-eListParagraph"/>
        <w:numPr>
          <w:ilvl w:val="0"/>
          <w:numId w:val="522"/>
        </w:numPr>
        <w:jc w:val="both"/>
      </w:pPr>
      <w:r>
        <w:t>Résine conforme aux normes [NBN EN 13813] ou [NBN EN 1504-2]</w:t>
      </w:r>
    </w:p>
    <w:p w14:paraId="21D539BE" w14:textId="77777777" w:rsidR="004B2808" w:rsidRDefault="00000000">
      <w:pPr>
        <w:pStyle w:val="Author-eListParagraph"/>
        <w:numPr>
          <w:ilvl w:val="0"/>
          <w:numId w:val="522"/>
        </w:numPr>
        <w:jc w:val="both"/>
      </w:pPr>
      <w:r>
        <w:t xml:space="preserve">Référence support : </w:t>
      </w:r>
      <w:r>
        <w:rPr>
          <w:rStyle w:val="optioncarChar"/>
        </w:rPr>
        <w:t>***</w:t>
      </w:r>
    </w:p>
    <w:p w14:paraId="0C14F44F" w14:textId="77777777" w:rsidR="004B2808" w:rsidRDefault="00000000">
      <w:pPr>
        <w:pStyle w:val="Author-eListParagraph"/>
        <w:numPr>
          <w:ilvl w:val="0"/>
          <w:numId w:val="522"/>
        </w:numPr>
        <w:jc w:val="both"/>
      </w:pPr>
      <w:r>
        <w:t xml:space="preserve">Destination future du sol : </w:t>
      </w:r>
      <w:r>
        <w:rPr>
          <w:rStyle w:val="optioncarChar"/>
        </w:rPr>
        <w:t>***</w:t>
      </w:r>
    </w:p>
    <w:p w14:paraId="1AED3CB7" w14:textId="77777777" w:rsidR="004B2808" w:rsidRDefault="00000000">
      <w:pPr>
        <w:pStyle w:val="Author-eListParagraph"/>
        <w:numPr>
          <w:ilvl w:val="0"/>
          <w:numId w:val="522"/>
        </w:numPr>
        <w:jc w:val="both"/>
      </w:pPr>
      <w:r>
        <w:t xml:space="preserve">Type de résine : </w:t>
      </w:r>
      <w:r>
        <w:rPr>
          <w:rStyle w:val="optioncarChar"/>
        </w:rPr>
        <w:t>***</w:t>
      </w:r>
    </w:p>
    <w:p w14:paraId="1A3EECEF" w14:textId="77777777" w:rsidR="004B2808" w:rsidRDefault="00000000">
      <w:pPr>
        <w:pStyle w:val="Author-eListParagraph"/>
        <w:numPr>
          <w:ilvl w:val="0"/>
          <w:numId w:val="522"/>
        </w:numPr>
        <w:jc w:val="both"/>
      </w:pPr>
      <w:r>
        <w:t xml:space="preserve">Type de résine couche de scellement : </w:t>
      </w:r>
      <w:r>
        <w:rPr>
          <w:rStyle w:val="optioncarChar"/>
        </w:rPr>
        <w:t>***</w:t>
      </w:r>
    </w:p>
    <w:p w14:paraId="7B1445FE" w14:textId="77777777" w:rsidR="004B2808" w:rsidRDefault="00000000">
      <w:pPr>
        <w:pStyle w:val="Author-eListParagraph"/>
        <w:numPr>
          <w:ilvl w:val="0"/>
          <w:numId w:val="522"/>
        </w:numPr>
        <w:jc w:val="both"/>
      </w:pPr>
      <w:r>
        <w:t xml:space="preserve">Dureté shore D couche filmogène : </w:t>
      </w:r>
      <w:r>
        <w:rPr>
          <w:rStyle w:val="optioncarChar"/>
        </w:rPr>
        <w:t>≤ 60 / &gt; 60</w:t>
      </w:r>
    </w:p>
    <w:p w14:paraId="53CE11D1" w14:textId="77777777" w:rsidR="004B2808" w:rsidRDefault="00000000">
      <w:pPr>
        <w:pStyle w:val="Author-eListParagraph"/>
        <w:numPr>
          <w:ilvl w:val="0"/>
          <w:numId w:val="522"/>
        </w:numPr>
        <w:jc w:val="both"/>
      </w:pPr>
      <w:r>
        <w:t xml:space="preserve">Teinte RAL : </w:t>
      </w:r>
      <w:r>
        <w:rPr>
          <w:rStyle w:val="optioncarChar"/>
        </w:rPr>
        <w:t>***</w:t>
      </w:r>
    </w:p>
    <w:p w14:paraId="238E522C" w14:textId="77777777" w:rsidR="004B2808" w:rsidRDefault="00000000">
      <w:pPr>
        <w:pStyle w:val="Author-eListParagraph"/>
        <w:numPr>
          <w:ilvl w:val="0"/>
          <w:numId w:val="522"/>
        </w:numPr>
        <w:jc w:val="both"/>
      </w:pPr>
      <w:r>
        <w:t xml:space="preserve">Epaisseur : </w:t>
      </w:r>
      <w:r>
        <w:rPr>
          <w:rStyle w:val="optioncarChar"/>
        </w:rPr>
        <w:t>50 μm / *** / 1mm</w:t>
      </w:r>
    </w:p>
    <w:p w14:paraId="25F33442" w14:textId="77777777" w:rsidR="004B2808" w:rsidRDefault="00000000">
      <w:pPr>
        <w:pStyle w:val="Author-eListParagraph"/>
        <w:numPr>
          <w:ilvl w:val="0"/>
          <w:numId w:val="522"/>
        </w:numPr>
        <w:jc w:val="both"/>
      </w:pPr>
      <w:r>
        <w:t>Résistance à l’usure Taber H22 (taber H22 pendant 1000 cycles et sous une charge de 1000 g) imposée par la norme [NBN EN 1504-2] : &lt; 3000 mg</w:t>
      </w:r>
    </w:p>
    <w:p w14:paraId="7E288C62" w14:textId="77777777" w:rsidR="004B2808" w:rsidRDefault="00000000">
      <w:pPr>
        <w:pStyle w:val="Author-eListParagraph"/>
        <w:numPr>
          <w:ilvl w:val="0"/>
          <w:numId w:val="522"/>
        </w:numPr>
        <w:jc w:val="both"/>
      </w:pPr>
      <w:r>
        <w:t xml:space="preserve">Résistance chimique : </w:t>
      </w:r>
      <w:r>
        <w:rPr>
          <w:rStyle w:val="optioncarChar"/>
        </w:rPr>
        <w:t>huile / hydrocarbures / produits acides (vin, vinaigre,..) / produits basiques</w:t>
      </w:r>
    </w:p>
    <w:p w14:paraId="749E8595" w14:textId="77777777" w:rsidR="004B2808" w:rsidRDefault="00000000">
      <w:pPr>
        <w:pStyle w:val="Author-eListParagraph"/>
        <w:numPr>
          <w:ilvl w:val="0"/>
          <w:numId w:val="522"/>
        </w:numPr>
        <w:jc w:val="both"/>
      </w:pPr>
      <w:r>
        <w:t xml:space="preserve">Perméabilité à l’eau [NIT 277] : </w:t>
      </w:r>
      <w:r>
        <w:rPr>
          <w:rStyle w:val="optioncarChar"/>
        </w:rPr>
        <w:t>W0 / W1 / W2 / W3</w:t>
      </w:r>
    </w:p>
    <w:p w14:paraId="00779A3F" w14:textId="77777777" w:rsidR="004B2808" w:rsidRDefault="00000000">
      <w:pPr>
        <w:pStyle w:val="Author-eListParagraph"/>
        <w:numPr>
          <w:ilvl w:val="0"/>
          <w:numId w:val="522"/>
        </w:numPr>
        <w:jc w:val="both"/>
      </w:pPr>
      <w:r>
        <w:t xml:space="preserve">Perméabilité à la vapeur d’eau [NIT 277] : </w:t>
      </w:r>
      <w:r>
        <w:rPr>
          <w:rStyle w:val="optioncarChar"/>
        </w:rPr>
        <w:t>classe I / classe II / classe III</w:t>
      </w:r>
    </w:p>
    <w:p w14:paraId="076512C5" w14:textId="77777777" w:rsidR="004B2808" w:rsidRDefault="00000000">
      <w:pPr>
        <w:pStyle w:val="Author-eListParagraph"/>
        <w:numPr>
          <w:ilvl w:val="0"/>
          <w:numId w:val="522"/>
        </w:numPr>
        <w:jc w:val="both"/>
      </w:pPr>
      <w:r>
        <w:t xml:space="preserve">Résistivité électrique : </w:t>
      </w:r>
      <w:r>
        <w:rPr>
          <w:rStyle w:val="optioncarChar"/>
        </w:rPr>
        <w:t>ESD / ATEX</w:t>
      </w:r>
    </w:p>
    <w:p w14:paraId="4B8DC5AA" w14:textId="77777777" w:rsidR="004B2808" w:rsidRDefault="00000000">
      <w:pPr>
        <w:pStyle w:val="Author-eListParagraph"/>
        <w:numPr>
          <w:ilvl w:val="0"/>
          <w:numId w:val="522"/>
        </w:numPr>
        <w:jc w:val="both"/>
      </w:pPr>
      <w:r>
        <w:t xml:space="preserve">Glissance [NBN EN 1504-2] : </w:t>
      </w:r>
      <w:r>
        <w:rPr>
          <w:rStyle w:val="optioncarChar"/>
        </w:rPr>
        <w:t>classe I / classe II / classe III</w:t>
      </w:r>
    </w:p>
    <w:p w14:paraId="18E4F5A5" w14:textId="77777777" w:rsidR="004B2808" w:rsidRDefault="00000000">
      <w:pPr>
        <w:pStyle w:val="Author-eListParagraph"/>
        <w:numPr>
          <w:ilvl w:val="0"/>
          <w:numId w:val="522"/>
        </w:numPr>
        <w:jc w:val="both"/>
      </w:pPr>
      <w:r>
        <w:t>Quartz :</w:t>
      </w:r>
      <w:r>
        <w:rPr>
          <w:rStyle w:val="optioncarChar"/>
        </w:rPr>
        <w:t xml:space="preserve"> coloré / non pigmenté</w:t>
      </w:r>
    </w:p>
    <w:p w14:paraId="22B085DF" w14:textId="77777777" w:rsidR="004B2808" w:rsidRDefault="00000000">
      <w:pPr>
        <w:pStyle w:val="Author-eListParagraph"/>
        <w:numPr>
          <w:ilvl w:val="0"/>
          <w:numId w:val="522"/>
        </w:numPr>
        <w:jc w:val="both"/>
      </w:pPr>
      <w:r>
        <w:t>Calibre du quartz :</w:t>
      </w:r>
      <w:r>
        <w:rPr>
          <w:rStyle w:val="optioncarChar"/>
        </w:rPr>
        <w:t xml:space="preserve"> ***</w:t>
      </w:r>
    </w:p>
    <w:p w14:paraId="690C8810" w14:textId="77777777" w:rsidR="004B2808" w:rsidRDefault="00000000">
      <w:pPr>
        <w:pStyle w:val="pheading"/>
      </w:pPr>
      <w:r>
        <w:t>- Finitions</w:t>
      </w:r>
    </w:p>
    <w:p w14:paraId="20CCB5AA" w14:textId="77777777" w:rsidR="004B2808" w:rsidRDefault="00000000">
      <w:r>
        <w:t xml:space="preserve">Finition : </w:t>
      </w:r>
      <w:r>
        <w:rPr>
          <w:rStyle w:val="optioncarChar"/>
        </w:rPr>
        <w:t>mate / satiné / brillant / lisse / rugueux / ***</w:t>
      </w:r>
    </w:p>
    <w:p w14:paraId="68620B27" w14:textId="77777777" w:rsidR="004B2808" w:rsidRDefault="00000000">
      <w:pPr>
        <w:pStyle w:val="pheading"/>
      </w:pPr>
      <w:r>
        <w:t>EXÉCUTION / MISE EN ŒUVRE</w:t>
      </w:r>
    </w:p>
    <w:p w14:paraId="1452D38D" w14:textId="77777777" w:rsidR="004B2808" w:rsidRDefault="00000000">
      <w:pPr>
        <w:pStyle w:val="pheading"/>
      </w:pPr>
      <w:r>
        <w:t>- Prescriptions générales</w:t>
      </w:r>
    </w:p>
    <w:p w14:paraId="488A8FC7" w14:textId="77777777" w:rsidR="004B2808" w:rsidRDefault="00000000">
      <w:pPr>
        <w:jc w:val="both"/>
      </w:pPr>
      <w:r>
        <w:t xml:space="preserve">L’humidité du support est vérifiée (voir l’élément </w:t>
      </w:r>
      <w:hyperlink w:anchor="1266" w:history="1">
        <w:r w:rsidR="004B2808">
          <w:rPr>
            <w:color w:val="0000EE"/>
          </w:rPr>
          <w:t>53.32 Sols de type industriel à base de résines</w:t>
        </w:r>
      </w:hyperlink>
      <w:r>
        <w:t>).</w:t>
      </w:r>
    </w:p>
    <w:p w14:paraId="06BAB10B" w14:textId="77777777" w:rsidR="004B2808" w:rsidRDefault="004B2808">
      <w:pPr>
        <w:jc w:val="both"/>
      </w:pPr>
    </w:p>
    <w:p w14:paraId="4326AE1D" w14:textId="77777777" w:rsidR="004B2808" w:rsidRDefault="00000000">
      <w:pPr>
        <w:jc w:val="both"/>
      </w:pPr>
      <w:r>
        <w:t xml:space="preserve">Rectification de la planéité nécessaire : </w:t>
      </w:r>
      <w:r>
        <w:rPr>
          <w:rStyle w:val="optioncarChar"/>
        </w:rPr>
        <w:t xml:space="preserve">pas de rectification de la planéité </w:t>
      </w:r>
      <w:r>
        <w:t>(par défaut)</w:t>
      </w:r>
      <w:r>
        <w:rPr>
          <w:rStyle w:val="optioncarChar"/>
        </w:rPr>
        <w:t xml:space="preserve"> / rectification de la planéité.</w:t>
      </w:r>
    </w:p>
    <w:p w14:paraId="3DF27470" w14:textId="77777777" w:rsidR="004B2808" w:rsidRDefault="00000000">
      <w:pPr>
        <w:pStyle w:val="pheading"/>
      </w:pPr>
      <w:r>
        <w:t>- Échantillons</w:t>
      </w:r>
    </w:p>
    <w:p w14:paraId="1969C7BA" w14:textId="77777777" w:rsidR="004B2808" w:rsidRDefault="00000000">
      <w:r>
        <w:t>Un échantillon est fourni au préalable au maitre d’ouvrage par l’entrepreneur pour accord.</w:t>
      </w:r>
    </w:p>
    <w:p w14:paraId="0A1FF8A6" w14:textId="77777777" w:rsidR="004B2808" w:rsidRDefault="00000000">
      <w:pPr>
        <w:pStyle w:val="pheading"/>
      </w:pPr>
      <w:r>
        <w:t>MESURAGE</w:t>
      </w:r>
    </w:p>
    <w:p w14:paraId="0792B620" w14:textId="77777777" w:rsidR="004B2808" w:rsidRDefault="00000000">
      <w:pPr>
        <w:pStyle w:val="pheading"/>
      </w:pPr>
      <w:r>
        <w:t>- unité de mesure:</w:t>
      </w:r>
    </w:p>
    <w:p w14:paraId="2261977C" w14:textId="77777777" w:rsidR="004B2808" w:rsidRDefault="00000000">
      <w:r>
        <w:rPr>
          <w:rStyle w:val="optioncarChar"/>
        </w:rPr>
        <w:t>m²</w:t>
      </w:r>
      <w:r>
        <w:t xml:space="preserve"> (par défaut)</w:t>
      </w:r>
      <w:r>
        <w:rPr>
          <w:rStyle w:val="optioncarChar"/>
        </w:rPr>
        <w:t xml:space="preserve"> / m² ; m ; pc</w:t>
      </w:r>
    </w:p>
    <w:p w14:paraId="14FD29D2" w14:textId="77777777" w:rsidR="004B2808" w:rsidRDefault="00000000">
      <w:r>
        <w:rPr>
          <w:b/>
        </w:rPr>
        <w:t>(soit par défaut)</w:t>
      </w:r>
      <w:r>
        <w:br/>
      </w:r>
      <w:r>
        <w:rPr>
          <w:rStyle w:val="soitChar"/>
        </w:rPr>
        <w:t>1. m²</w:t>
      </w:r>
      <w:r>
        <w:br/>
      </w:r>
      <w:r>
        <w:rPr>
          <w:b/>
        </w:rPr>
        <w:t>(soit)</w:t>
      </w:r>
      <w:r>
        <w:br/>
      </w:r>
      <w:r>
        <w:rPr>
          <w:rStyle w:val="soitChar"/>
        </w:rPr>
        <w:t>2. m² ; m ;pc</w:t>
      </w:r>
    </w:p>
    <w:p w14:paraId="4F3A127D" w14:textId="77777777" w:rsidR="004B2808" w:rsidRDefault="00000000">
      <w:pPr>
        <w:pStyle w:val="pheading"/>
      </w:pPr>
      <w:r>
        <w:t>- code de mesurage:</w:t>
      </w:r>
    </w:p>
    <w:p w14:paraId="01E41DE8" w14:textId="77777777" w:rsidR="004B2808" w:rsidRDefault="00000000">
      <w:pPr>
        <w:jc w:val="both"/>
      </w:pPr>
      <w:r>
        <w:rPr>
          <w:rStyle w:val="optioncarChar"/>
        </w:rPr>
        <w:t xml:space="preserve">Surface nette </w:t>
      </w:r>
      <w:r>
        <w:t>(par défaut)</w:t>
      </w:r>
      <w:r>
        <w:rPr>
          <w:rStyle w:val="optioncarChar"/>
        </w:rPr>
        <w:t xml:space="preserve"> / Globalité</w:t>
      </w:r>
    </w:p>
    <w:p w14:paraId="275BEE40" w14:textId="77777777" w:rsidR="004B2808" w:rsidRDefault="00000000">
      <w:pPr>
        <w:jc w:val="both"/>
      </w:pPr>
      <w:r>
        <w:rPr>
          <w:b/>
        </w:rPr>
        <w:t>(soit par défaut)</w:t>
      </w:r>
    </w:p>
    <w:p w14:paraId="0CCFE419" w14:textId="77777777" w:rsidR="004B2808" w:rsidRDefault="00000000">
      <w:pPr>
        <w:jc w:val="both"/>
      </w:pPr>
      <w:r>
        <w:rPr>
          <w:rStyle w:val="soitChar"/>
        </w:rPr>
        <w:t xml:space="preserve">1.  </w:t>
      </w:r>
      <w:r>
        <w:rPr>
          <w:rStyle w:val="soitChar"/>
          <w:u w:val="single"/>
        </w:rPr>
        <w:t>Surface nette</w:t>
      </w:r>
      <w:r>
        <w:rPr>
          <w:rStyle w:val="soitChar"/>
        </w:rPr>
        <w:t xml:space="preserve"> à revêtir pour les sols uniquement (plinthes, caniveaux et sterfputs non prévus).</w:t>
      </w:r>
    </w:p>
    <w:p w14:paraId="1E6E4B35" w14:textId="77777777" w:rsidR="004B2808" w:rsidRDefault="00000000">
      <w:pPr>
        <w:jc w:val="both"/>
      </w:pPr>
      <w:r>
        <w:rPr>
          <w:b/>
        </w:rPr>
        <w:t>(soit)</w:t>
      </w:r>
    </w:p>
    <w:p w14:paraId="0847E59B" w14:textId="77777777" w:rsidR="004B2808" w:rsidRDefault="00000000">
      <w:pPr>
        <w:jc w:val="both"/>
      </w:pPr>
      <w:r>
        <w:rPr>
          <w:rStyle w:val="soitChar"/>
        </w:rPr>
        <w:t xml:space="preserve">2. </w:t>
      </w:r>
      <w:r>
        <w:rPr>
          <w:rStyle w:val="soitChar"/>
          <w:u w:val="single"/>
        </w:rPr>
        <w:t>Globalité :</w:t>
      </w:r>
      <w:r>
        <w:rPr>
          <w:rStyle w:val="soitChar"/>
        </w:rPr>
        <w:t xml:space="preserve"> surface nette à revêtir pour les sols et longueur nette des plinthes, caniveaux et quantités de sterfputs ventilés suivant leur nature et leurs dimensions et nombre de sterfputs.</w:t>
      </w:r>
    </w:p>
    <w:p w14:paraId="49402B5F" w14:textId="77777777" w:rsidR="004B2808" w:rsidRDefault="00000000">
      <w:pPr>
        <w:pStyle w:val="pheading"/>
      </w:pPr>
      <w:r>
        <w:t>- nature du marché:</w:t>
      </w:r>
    </w:p>
    <w:p w14:paraId="3DCCC0F7" w14:textId="77777777" w:rsidR="004B2808" w:rsidRDefault="00000000">
      <w:r>
        <w:lastRenderedPageBreak/>
        <w:t>1.2. QF</w:t>
      </w:r>
    </w:p>
    <w:p w14:paraId="73139B52" w14:textId="77777777" w:rsidR="004B2808" w:rsidRDefault="00000000">
      <w:pPr>
        <w:pStyle w:val="Author-eSectionHeading5Numberless"/>
      </w:pPr>
      <w:bookmarkStart w:id="609" w:name="_Toc220490772"/>
      <w:r>
        <w:t>53.32.7 Sols de type industriel à base de résines - Système multicouche : revêtement auto lissant avec projection de quartz CCTB 01.02</w:t>
      </w:r>
      <w:bookmarkEnd w:id="609"/>
    </w:p>
    <w:p w14:paraId="523A7F97" w14:textId="77777777" w:rsidR="004B2808" w:rsidRDefault="00000000">
      <w:pPr>
        <w:pStyle w:val="Author-eSectionHeading6Numberless"/>
      </w:pPr>
      <w:bookmarkStart w:id="610" w:name="_Toc220490773"/>
      <w:r>
        <w:t>53.32.7a Sols de type industriel à base de résines - Système multicouche : revêtement auto lissant avec projection de quartz CCTB 01.12</w:t>
      </w:r>
      <w:bookmarkEnd w:id="610"/>
    </w:p>
    <w:p w14:paraId="293DA5CA" w14:textId="77777777" w:rsidR="004B2808" w:rsidRDefault="00000000">
      <w:pPr>
        <w:pStyle w:val="pheading"/>
      </w:pPr>
      <w:r>
        <w:t>DESCRIPTION</w:t>
      </w:r>
    </w:p>
    <w:p w14:paraId="3D0DF95F" w14:textId="77777777" w:rsidR="004B2808" w:rsidRDefault="00000000">
      <w:pPr>
        <w:pStyle w:val="pheading"/>
      </w:pPr>
      <w:r>
        <w:t>- Définition / Comprend</w:t>
      </w:r>
    </w:p>
    <w:p w14:paraId="5C2473D2" w14:textId="77777777" w:rsidR="004B2808" w:rsidRDefault="00000000">
      <w:pPr>
        <w:jc w:val="both"/>
      </w:pPr>
      <w:r>
        <w:t>Il s’agit de toutes les fournitures et travaux indispensables en vue d’un revêtement autolissant avec projection de quartz ou saupoudrage décoratif. Après la mise en œuvre du revêtement autolissant de résine et le saupoudrage décoratif ou la projection de quartz, la surface est scellée par une couche de résine supplémentaire mince. Cette couche supplémentaire est une couche en polyuréthane aliphatique si le revêtement est décoratif.</w:t>
      </w:r>
    </w:p>
    <w:p w14:paraId="7D7C35F9" w14:textId="77777777" w:rsidR="004B2808" w:rsidRDefault="00000000">
      <w:pPr>
        <w:pStyle w:val="pheading"/>
      </w:pPr>
      <w:r>
        <w:t>MATÉRIAUX</w:t>
      </w:r>
    </w:p>
    <w:p w14:paraId="212F86DF" w14:textId="77777777" w:rsidR="004B2808" w:rsidRDefault="00000000">
      <w:pPr>
        <w:pStyle w:val="pheading"/>
      </w:pPr>
      <w:r>
        <w:t>- Caractéristiques générales</w:t>
      </w:r>
    </w:p>
    <w:p w14:paraId="3755E4C4" w14:textId="77777777" w:rsidR="004B2808" w:rsidRDefault="00000000">
      <w:pPr>
        <w:pStyle w:val="Author-eListParagraph"/>
        <w:numPr>
          <w:ilvl w:val="0"/>
          <w:numId w:val="523"/>
        </w:numPr>
        <w:jc w:val="both"/>
      </w:pPr>
      <w:r>
        <w:t>Résine conforme aux normes [NBN EN 13813] ou [NBN EN 1504-2]</w:t>
      </w:r>
    </w:p>
    <w:p w14:paraId="7535FF2D" w14:textId="77777777" w:rsidR="004B2808" w:rsidRDefault="00000000">
      <w:pPr>
        <w:pStyle w:val="Author-eListParagraph"/>
        <w:numPr>
          <w:ilvl w:val="0"/>
          <w:numId w:val="523"/>
        </w:numPr>
        <w:jc w:val="both"/>
      </w:pPr>
      <w:r>
        <w:t xml:space="preserve">Référence support : </w:t>
      </w:r>
      <w:r>
        <w:rPr>
          <w:rStyle w:val="optioncarChar"/>
        </w:rPr>
        <w:t>***</w:t>
      </w:r>
    </w:p>
    <w:p w14:paraId="338B6898" w14:textId="77777777" w:rsidR="004B2808" w:rsidRDefault="00000000">
      <w:pPr>
        <w:pStyle w:val="Author-eListParagraph"/>
        <w:numPr>
          <w:ilvl w:val="0"/>
          <w:numId w:val="523"/>
        </w:numPr>
        <w:jc w:val="both"/>
      </w:pPr>
      <w:r>
        <w:t xml:space="preserve">Destination future du sol : </w:t>
      </w:r>
      <w:r>
        <w:rPr>
          <w:rStyle w:val="optioncarChar"/>
        </w:rPr>
        <w:t>***</w:t>
      </w:r>
    </w:p>
    <w:p w14:paraId="063863D1" w14:textId="77777777" w:rsidR="004B2808" w:rsidRDefault="00000000">
      <w:pPr>
        <w:pStyle w:val="Author-eListParagraph"/>
        <w:numPr>
          <w:ilvl w:val="0"/>
          <w:numId w:val="523"/>
        </w:numPr>
        <w:jc w:val="both"/>
      </w:pPr>
      <w:r>
        <w:t>Type de résine :</w:t>
      </w:r>
      <w:r>
        <w:rPr>
          <w:rStyle w:val="optioncarChar"/>
        </w:rPr>
        <w:t xml:space="preserve"> ***</w:t>
      </w:r>
    </w:p>
    <w:p w14:paraId="3C59FF2D" w14:textId="77777777" w:rsidR="004B2808" w:rsidRDefault="00000000">
      <w:pPr>
        <w:pStyle w:val="Author-eListParagraph"/>
        <w:numPr>
          <w:ilvl w:val="0"/>
          <w:numId w:val="523"/>
        </w:numPr>
        <w:jc w:val="both"/>
      </w:pPr>
      <w:r>
        <w:t xml:space="preserve">Type de résine couche de scellement : </w:t>
      </w:r>
      <w:r>
        <w:rPr>
          <w:rStyle w:val="optioncarChar"/>
        </w:rPr>
        <w:t>***</w:t>
      </w:r>
    </w:p>
    <w:p w14:paraId="639F284E" w14:textId="77777777" w:rsidR="004B2808" w:rsidRDefault="00000000">
      <w:pPr>
        <w:pStyle w:val="Author-eListParagraph"/>
        <w:numPr>
          <w:ilvl w:val="0"/>
          <w:numId w:val="523"/>
        </w:numPr>
        <w:jc w:val="both"/>
      </w:pPr>
      <w:r>
        <w:t xml:space="preserve">Dureté shore D : </w:t>
      </w:r>
      <w:r>
        <w:rPr>
          <w:rStyle w:val="optioncarChar"/>
        </w:rPr>
        <w:t>≤ 60 / &gt; 60</w:t>
      </w:r>
    </w:p>
    <w:p w14:paraId="6BDA12B2" w14:textId="77777777" w:rsidR="004B2808" w:rsidRDefault="00000000">
      <w:pPr>
        <w:pStyle w:val="Author-eListParagraph"/>
        <w:numPr>
          <w:ilvl w:val="0"/>
          <w:numId w:val="523"/>
        </w:numPr>
        <w:jc w:val="both"/>
      </w:pPr>
      <w:r>
        <w:t xml:space="preserve">Teinte RAL: </w:t>
      </w:r>
      <w:r>
        <w:rPr>
          <w:rStyle w:val="optioncarChar"/>
        </w:rPr>
        <w:t>***</w:t>
      </w:r>
    </w:p>
    <w:p w14:paraId="280C391E" w14:textId="77777777" w:rsidR="004B2808" w:rsidRDefault="00000000">
      <w:pPr>
        <w:pStyle w:val="Author-eListParagraph"/>
        <w:numPr>
          <w:ilvl w:val="0"/>
          <w:numId w:val="523"/>
        </w:numPr>
        <w:jc w:val="both"/>
      </w:pPr>
      <w:r>
        <w:t xml:space="preserve">Epaisseur : </w:t>
      </w:r>
      <w:r>
        <w:rPr>
          <w:rStyle w:val="optioncarChar"/>
        </w:rPr>
        <w:t>2 / 3 / 4 / 5</w:t>
      </w:r>
      <w:r>
        <w:t xml:space="preserve"> mm</w:t>
      </w:r>
    </w:p>
    <w:p w14:paraId="77F7F083" w14:textId="77777777" w:rsidR="004B2808" w:rsidRDefault="00000000">
      <w:pPr>
        <w:pStyle w:val="Author-eListParagraph"/>
        <w:numPr>
          <w:ilvl w:val="0"/>
          <w:numId w:val="523"/>
        </w:numPr>
        <w:jc w:val="both"/>
      </w:pPr>
      <w:r>
        <w:t>Résistance à l’usure BCA :</w:t>
      </w:r>
      <w:r>
        <w:rPr>
          <w:rStyle w:val="optioncarChar"/>
        </w:rPr>
        <w:t xml:space="preserve"> AR4 / AR2 / AR1 / AR0.5</w:t>
      </w:r>
    </w:p>
    <w:p w14:paraId="7DD2CFC4" w14:textId="77777777" w:rsidR="004B2808" w:rsidRDefault="00000000">
      <w:pPr>
        <w:pStyle w:val="Author-eListParagraph"/>
        <w:numPr>
          <w:ilvl w:val="0"/>
          <w:numId w:val="523"/>
        </w:numPr>
        <w:jc w:val="both"/>
      </w:pPr>
      <w:r>
        <w:t>Résistance à l’usure Taber H22 (taber H22 pendant 1000 cycles et sous une charge de 1000 g) imposée par la norme [NBN EN 1504-2] : &lt; 3000 mg</w:t>
      </w:r>
    </w:p>
    <w:p w14:paraId="1B798DEA" w14:textId="77777777" w:rsidR="004B2808" w:rsidRDefault="00000000">
      <w:pPr>
        <w:pStyle w:val="Author-eListParagraph"/>
        <w:numPr>
          <w:ilvl w:val="0"/>
          <w:numId w:val="523"/>
        </w:numPr>
        <w:jc w:val="both"/>
      </w:pPr>
      <w:r>
        <w:t xml:space="preserve">Résistance chimique : </w:t>
      </w:r>
      <w:r>
        <w:rPr>
          <w:rStyle w:val="optioncarChar"/>
        </w:rPr>
        <w:t>huile / hydrocarbures / produits acides (vin, vinaigre,..) / produits basiques</w:t>
      </w:r>
    </w:p>
    <w:p w14:paraId="2145F94A" w14:textId="77777777" w:rsidR="004B2808" w:rsidRDefault="00000000">
      <w:pPr>
        <w:pStyle w:val="Author-eListParagraph"/>
        <w:numPr>
          <w:ilvl w:val="0"/>
          <w:numId w:val="523"/>
        </w:numPr>
        <w:jc w:val="both"/>
      </w:pPr>
      <w:r>
        <w:t xml:space="preserve">Perméabilité à l’eau [NIT 277] : </w:t>
      </w:r>
      <w:r>
        <w:rPr>
          <w:rStyle w:val="optioncarChar"/>
        </w:rPr>
        <w:t>W0 / W1 / W2 / W3</w:t>
      </w:r>
    </w:p>
    <w:p w14:paraId="147956F7" w14:textId="77777777" w:rsidR="004B2808" w:rsidRDefault="00000000">
      <w:pPr>
        <w:pStyle w:val="Author-eListParagraph"/>
        <w:numPr>
          <w:ilvl w:val="0"/>
          <w:numId w:val="523"/>
        </w:numPr>
        <w:jc w:val="both"/>
      </w:pPr>
      <w:r>
        <w:t xml:space="preserve">Perméabilité à la vapeur d’eau [NIT 277] : </w:t>
      </w:r>
      <w:r>
        <w:rPr>
          <w:rStyle w:val="optioncarChar"/>
        </w:rPr>
        <w:t>classe I / classe II / classe III</w:t>
      </w:r>
    </w:p>
    <w:p w14:paraId="0E09F55C" w14:textId="77777777" w:rsidR="004B2808" w:rsidRDefault="00000000">
      <w:pPr>
        <w:pStyle w:val="Author-eListParagraph"/>
        <w:numPr>
          <w:ilvl w:val="0"/>
          <w:numId w:val="523"/>
        </w:numPr>
        <w:jc w:val="both"/>
      </w:pPr>
      <w:r>
        <w:t xml:space="preserve">Résistivité électrique : </w:t>
      </w:r>
      <w:r>
        <w:rPr>
          <w:rStyle w:val="optioncarChar"/>
        </w:rPr>
        <w:t>ESD / ATEX</w:t>
      </w:r>
    </w:p>
    <w:p w14:paraId="2F1683AB" w14:textId="77777777" w:rsidR="004B2808" w:rsidRDefault="00000000">
      <w:pPr>
        <w:pStyle w:val="Author-eListParagraph"/>
        <w:numPr>
          <w:ilvl w:val="0"/>
          <w:numId w:val="523"/>
        </w:numPr>
        <w:jc w:val="both"/>
      </w:pPr>
      <w:r>
        <w:t xml:space="preserve">Glissance [NBN EN 1504-2] : </w:t>
      </w:r>
      <w:r>
        <w:rPr>
          <w:rStyle w:val="optioncarChar"/>
        </w:rPr>
        <w:t>classe I / classe II / classe III</w:t>
      </w:r>
    </w:p>
    <w:p w14:paraId="0DC60846" w14:textId="77777777" w:rsidR="004B2808" w:rsidRDefault="00000000">
      <w:pPr>
        <w:pStyle w:val="Author-eListParagraph"/>
        <w:numPr>
          <w:ilvl w:val="0"/>
          <w:numId w:val="523"/>
        </w:numPr>
        <w:jc w:val="both"/>
      </w:pPr>
      <w:r>
        <w:t xml:space="preserve">Saupoudrage : </w:t>
      </w:r>
      <w:r>
        <w:rPr>
          <w:rStyle w:val="optioncarChar"/>
        </w:rPr>
        <w:t>marbre / quartz naturel / quartz pigmenté / paillettes</w:t>
      </w:r>
    </w:p>
    <w:p w14:paraId="01380E0C" w14:textId="77777777" w:rsidR="004B2808" w:rsidRDefault="00000000">
      <w:pPr>
        <w:pStyle w:val="Author-eListParagraph"/>
        <w:numPr>
          <w:ilvl w:val="0"/>
          <w:numId w:val="523"/>
        </w:numPr>
        <w:jc w:val="both"/>
      </w:pPr>
      <w:r>
        <w:t xml:space="preserve">Calibre du marbre ou du quartz : </w:t>
      </w:r>
      <w:r>
        <w:rPr>
          <w:rStyle w:val="optioncarChar"/>
        </w:rPr>
        <w:t>***</w:t>
      </w:r>
      <w:r>
        <w:t xml:space="preserve"> mm</w:t>
      </w:r>
    </w:p>
    <w:p w14:paraId="5E7F80B4" w14:textId="77777777" w:rsidR="004B2808" w:rsidRDefault="00000000">
      <w:pPr>
        <w:pStyle w:val="pheading"/>
      </w:pPr>
      <w:r>
        <w:t>EXÉCUTION / MISE EN ŒUVRE</w:t>
      </w:r>
    </w:p>
    <w:p w14:paraId="5C7968E2" w14:textId="77777777" w:rsidR="004B2808" w:rsidRDefault="00000000">
      <w:pPr>
        <w:pStyle w:val="pheading"/>
      </w:pPr>
      <w:r>
        <w:t>- Prescriptions générales</w:t>
      </w:r>
    </w:p>
    <w:p w14:paraId="38B99632" w14:textId="77777777" w:rsidR="004B2808" w:rsidRDefault="00000000">
      <w:pPr>
        <w:jc w:val="both"/>
      </w:pPr>
      <w:r>
        <w:t xml:space="preserve">L’humidité du support est vérifiée (voir l’élément </w:t>
      </w:r>
      <w:hyperlink w:anchor="1266" w:history="1">
        <w:r w:rsidR="004B2808">
          <w:rPr>
            <w:color w:val="0000EE"/>
          </w:rPr>
          <w:t>53.32 Sols de type industriel à base de résines</w:t>
        </w:r>
      </w:hyperlink>
      <w:r>
        <w:t>).</w:t>
      </w:r>
    </w:p>
    <w:p w14:paraId="42C3CBD0" w14:textId="77777777" w:rsidR="004B2808" w:rsidRDefault="004B2808">
      <w:pPr>
        <w:jc w:val="both"/>
      </w:pPr>
    </w:p>
    <w:p w14:paraId="6C6EC79F" w14:textId="77777777" w:rsidR="004B2808" w:rsidRDefault="00000000">
      <w:pPr>
        <w:jc w:val="both"/>
      </w:pPr>
      <w:r>
        <w:t xml:space="preserve">Rectification de la planéité nécessaire : </w:t>
      </w:r>
      <w:r>
        <w:rPr>
          <w:rStyle w:val="optioncarChar"/>
        </w:rPr>
        <w:t xml:space="preserve">pas de rectification de la planéité </w:t>
      </w:r>
      <w:r>
        <w:t xml:space="preserve">(par défaut) </w:t>
      </w:r>
      <w:r>
        <w:rPr>
          <w:rStyle w:val="optioncarChar"/>
        </w:rPr>
        <w:t>/ rectification de la planéité.</w:t>
      </w:r>
    </w:p>
    <w:p w14:paraId="70ED0F87" w14:textId="77777777" w:rsidR="004B2808" w:rsidRDefault="00000000">
      <w:pPr>
        <w:pStyle w:val="pheading"/>
      </w:pPr>
      <w:r>
        <w:t>- Échantillons</w:t>
      </w:r>
    </w:p>
    <w:p w14:paraId="5179961E" w14:textId="77777777" w:rsidR="004B2808" w:rsidRDefault="00000000">
      <w:r>
        <w:t>Un échantillon est fourni au préalable au maitre d’ouvrage par l’entrepreneur pour accord.</w:t>
      </w:r>
    </w:p>
    <w:p w14:paraId="4080E247" w14:textId="77777777" w:rsidR="004B2808" w:rsidRDefault="00000000">
      <w:pPr>
        <w:pStyle w:val="pheading"/>
      </w:pPr>
      <w:r>
        <w:t>MESURAGE</w:t>
      </w:r>
    </w:p>
    <w:p w14:paraId="2B758E6B" w14:textId="77777777" w:rsidR="004B2808" w:rsidRDefault="00000000">
      <w:pPr>
        <w:pStyle w:val="pheading"/>
      </w:pPr>
      <w:r>
        <w:t>- unité de mesure:</w:t>
      </w:r>
    </w:p>
    <w:p w14:paraId="57E5636E" w14:textId="77777777" w:rsidR="004B2808" w:rsidRDefault="00000000">
      <w:r>
        <w:rPr>
          <w:rStyle w:val="optioncarChar"/>
        </w:rPr>
        <w:t>m²</w:t>
      </w:r>
      <w:r>
        <w:t xml:space="preserve"> (par défaut)</w:t>
      </w:r>
      <w:r>
        <w:rPr>
          <w:rStyle w:val="optioncarChar"/>
        </w:rPr>
        <w:t xml:space="preserve"> / m² ; m ; pc</w:t>
      </w:r>
    </w:p>
    <w:p w14:paraId="16245485" w14:textId="77777777" w:rsidR="004B2808" w:rsidRDefault="00000000">
      <w:r>
        <w:rPr>
          <w:b/>
        </w:rPr>
        <w:lastRenderedPageBreak/>
        <w:t xml:space="preserve">(soit par défaut) </w:t>
      </w:r>
      <w:r>
        <w:br/>
      </w:r>
      <w:r>
        <w:rPr>
          <w:rStyle w:val="soitChar"/>
        </w:rPr>
        <w:t>1. m²</w:t>
      </w:r>
      <w:r>
        <w:br/>
      </w:r>
      <w:r>
        <w:rPr>
          <w:b/>
        </w:rPr>
        <w:t xml:space="preserve">(soit) </w:t>
      </w:r>
      <w:r>
        <w:br/>
      </w:r>
      <w:r>
        <w:rPr>
          <w:rStyle w:val="soitChar"/>
        </w:rPr>
        <w:t>2. m² ; m ; pc</w:t>
      </w:r>
    </w:p>
    <w:p w14:paraId="0ACB38D4" w14:textId="77777777" w:rsidR="004B2808" w:rsidRDefault="00000000">
      <w:pPr>
        <w:pStyle w:val="pheading"/>
      </w:pPr>
      <w:r>
        <w:t>- code de mesurage:</w:t>
      </w:r>
    </w:p>
    <w:p w14:paraId="314FCD92" w14:textId="77777777" w:rsidR="004B2808" w:rsidRDefault="00000000">
      <w:pPr>
        <w:jc w:val="both"/>
      </w:pPr>
      <w:r>
        <w:rPr>
          <w:rStyle w:val="optioncarChar"/>
        </w:rPr>
        <w:t>Surface nette</w:t>
      </w:r>
      <w:r>
        <w:t xml:space="preserve"> (par défaut)</w:t>
      </w:r>
      <w:r>
        <w:rPr>
          <w:rStyle w:val="optioncarChar"/>
        </w:rPr>
        <w:t xml:space="preserve"> / Globalité </w:t>
      </w:r>
    </w:p>
    <w:p w14:paraId="5D8E287D" w14:textId="77777777" w:rsidR="004B2808" w:rsidRDefault="00000000">
      <w:pPr>
        <w:jc w:val="both"/>
      </w:pPr>
      <w:r>
        <w:rPr>
          <w:b/>
        </w:rPr>
        <w:t>(soit par défaut)</w:t>
      </w:r>
    </w:p>
    <w:p w14:paraId="31B42412" w14:textId="77777777" w:rsidR="004B2808" w:rsidRDefault="00000000">
      <w:pPr>
        <w:jc w:val="both"/>
      </w:pPr>
      <w:r>
        <w:rPr>
          <w:rStyle w:val="soitChar"/>
        </w:rPr>
        <w:t xml:space="preserve">1.  </w:t>
      </w:r>
      <w:r>
        <w:rPr>
          <w:rStyle w:val="soitChar"/>
          <w:u w:val="single"/>
        </w:rPr>
        <w:t>Surface nette</w:t>
      </w:r>
      <w:r>
        <w:rPr>
          <w:rStyle w:val="soitChar"/>
        </w:rPr>
        <w:t xml:space="preserve"> à revêtir pour les sols uniquement (plinthes, caniveaux et sterfputs non prévus).</w:t>
      </w:r>
    </w:p>
    <w:p w14:paraId="66D88627" w14:textId="77777777" w:rsidR="004B2808" w:rsidRDefault="00000000">
      <w:pPr>
        <w:jc w:val="both"/>
      </w:pPr>
      <w:r>
        <w:rPr>
          <w:b/>
        </w:rPr>
        <w:t>(soit)</w:t>
      </w:r>
    </w:p>
    <w:p w14:paraId="1B9F682D" w14:textId="77777777" w:rsidR="004B2808" w:rsidRDefault="00000000">
      <w:pPr>
        <w:jc w:val="both"/>
      </w:pPr>
      <w:r>
        <w:rPr>
          <w:rStyle w:val="soitChar"/>
        </w:rPr>
        <w:t xml:space="preserve">2. </w:t>
      </w:r>
      <w:r>
        <w:rPr>
          <w:rStyle w:val="soitChar"/>
          <w:u w:val="single"/>
        </w:rPr>
        <w:t>Globalité :</w:t>
      </w:r>
      <w:r>
        <w:rPr>
          <w:rStyle w:val="soitChar"/>
        </w:rPr>
        <w:t xml:space="preserve"> surface nette à revêtir pour les sols et longueur nette des plinthes, caniveaux et quantités de sterfputs ventilés suivant leur nature et leurs dimensions et nombre de sterfputs.</w:t>
      </w:r>
    </w:p>
    <w:p w14:paraId="4D6C504D" w14:textId="77777777" w:rsidR="004B2808" w:rsidRDefault="00000000">
      <w:pPr>
        <w:pStyle w:val="pheading"/>
      </w:pPr>
      <w:r>
        <w:t>- nature du marché:</w:t>
      </w:r>
    </w:p>
    <w:p w14:paraId="4F517E87" w14:textId="77777777" w:rsidR="004B2808" w:rsidRDefault="00000000">
      <w:r>
        <w:t>1.2. QF</w:t>
      </w:r>
    </w:p>
    <w:p w14:paraId="046FD1BF" w14:textId="77777777" w:rsidR="004B2808" w:rsidRDefault="00000000">
      <w:pPr>
        <w:pStyle w:val="Author-eSectionHeading5Numberless"/>
      </w:pPr>
      <w:bookmarkStart w:id="611" w:name="_Toc220490774"/>
      <w:r>
        <w:t>53.32.8 Sols de type industriel à base de résines - Couches armées de fibres/tissus synthétiques CCTB 01.02</w:t>
      </w:r>
      <w:bookmarkEnd w:id="611"/>
    </w:p>
    <w:p w14:paraId="50CE318D" w14:textId="77777777" w:rsidR="004B2808" w:rsidRDefault="00000000">
      <w:pPr>
        <w:pStyle w:val="Author-eSectionHeading6Numberless"/>
      </w:pPr>
      <w:bookmarkStart w:id="612" w:name="_Toc220490775"/>
      <w:r>
        <w:t>53.32.8a Sols de type industriel à base de résines - Couches armées de fibres/tissus synthétiques CCTB 01.02</w:t>
      </w:r>
      <w:bookmarkEnd w:id="612"/>
    </w:p>
    <w:p w14:paraId="114FCBA9" w14:textId="77777777" w:rsidR="004B2808" w:rsidRDefault="00000000">
      <w:pPr>
        <w:pStyle w:val="Author-eSectionHeading3Numberless"/>
      </w:pPr>
      <w:bookmarkStart w:id="613" w:name="_Toc220490776"/>
      <w:r>
        <w:t>53.4 Planchers surélevés CCTB 01.11</w:t>
      </w:r>
      <w:bookmarkEnd w:id="613"/>
    </w:p>
    <w:p w14:paraId="3D44D947" w14:textId="77777777" w:rsidR="004B2808" w:rsidRDefault="00000000">
      <w:pPr>
        <w:pStyle w:val="pheading"/>
      </w:pPr>
      <w:bookmarkStart w:id="614" w:name="1260"/>
      <w:bookmarkEnd w:id="614"/>
      <w:r>
        <w:t>DESCRIPTION</w:t>
      </w:r>
    </w:p>
    <w:p w14:paraId="15504C31" w14:textId="77777777" w:rsidR="004B2808" w:rsidRDefault="00000000">
      <w:pPr>
        <w:pStyle w:val="pheading"/>
      </w:pPr>
      <w:r>
        <w:t>- Définition / Comprend</w:t>
      </w:r>
    </w:p>
    <w:p w14:paraId="4487ADA5" w14:textId="77777777" w:rsidR="004B2808" w:rsidRDefault="00000000">
      <w:pPr>
        <w:jc w:val="both"/>
      </w:pPr>
      <w:r>
        <w:t>Le travail comprend notamment :</w:t>
      </w:r>
    </w:p>
    <w:p w14:paraId="241D7579" w14:textId="77777777" w:rsidR="004B2808" w:rsidRDefault="00000000">
      <w:pPr>
        <w:pStyle w:val="Author-eListParagraph"/>
        <w:numPr>
          <w:ilvl w:val="0"/>
          <w:numId w:val="524"/>
        </w:numPr>
      </w:pPr>
      <w:r>
        <w:t>les mesures de sécurité ;</w:t>
      </w:r>
    </w:p>
    <w:p w14:paraId="19307754" w14:textId="77777777" w:rsidR="004B2808" w:rsidRDefault="00000000">
      <w:pPr>
        <w:pStyle w:val="Author-eListParagraph"/>
        <w:numPr>
          <w:ilvl w:val="0"/>
          <w:numId w:val="524"/>
        </w:numPr>
      </w:pPr>
      <w:r>
        <w:t>les moyens d’accès ;</w:t>
      </w:r>
    </w:p>
    <w:p w14:paraId="735E9938" w14:textId="77777777" w:rsidR="004B2808" w:rsidRDefault="00000000">
      <w:pPr>
        <w:pStyle w:val="Author-eListParagraph"/>
        <w:numPr>
          <w:ilvl w:val="0"/>
          <w:numId w:val="524"/>
        </w:numPr>
      </w:pPr>
      <w:r>
        <w:t>les moyens de manutention ;</w:t>
      </w:r>
    </w:p>
    <w:p w14:paraId="0F28F308" w14:textId="77777777" w:rsidR="004B2808" w:rsidRDefault="00000000">
      <w:pPr>
        <w:pStyle w:val="Author-eListParagraph"/>
        <w:numPr>
          <w:ilvl w:val="0"/>
          <w:numId w:val="524"/>
        </w:numPr>
      </w:pPr>
      <w:r>
        <w:t>les moyens de protection du bâtiment ;</w:t>
      </w:r>
    </w:p>
    <w:p w14:paraId="31002CC9" w14:textId="77777777" w:rsidR="004B2808" w:rsidRDefault="00000000">
      <w:pPr>
        <w:pStyle w:val="Author-eListParagraph"/>
        <w:numPr>
          <w:ilvl w:val="0"/>
          <w:numId w:val="524"/>
        </w:numPr>
      </w:pPr>
      <w:r>
        <w:t>l’entretien des moyens cités ci-avant et leur enlèvement complet en fin de chantier ;</w:t>
      </w:r>
    </w:p>
    <w:p w14:paraId="6EC2DB4E" w14:textId="77777777" w:rsidR="004B2808" w:rsidRDefault="00000000">
      <w:pPr>
        <w:pStyle w:val="Author-eListParagraph"/>
        <w:numPr>
          <w:ilvl w:val="0"/>
          <w:numId w:val="524"/>
        </w:numPr>
      </w:pPr>
      <w:r>
        <w:t>la coordination avec les différents intervenants ;</w:t>
      </w:r>
    </w:p>
    <w:p w14:paraId="446439B2" w14:textId="77777777" w:rsidR="004B2808" w:rsidRDefault="00000000">
      <w:pPr>
        <w:pStyle w:val="Author-eListParagraph"/>
        <w:numPr>
          <w:ilvl w:val="0"/>
          <w:numId w:val="524"/>
        </w:numPr>
      </w:pPr>
      <w:r>
        <w:t xml:space="preserve">les prestations et travaux préparatoires dont : </w:t>
      </w:r>
    </w:p>
    <w:p w14:paraId="54062CF7" w14:textId="77777777" w:rsidR="004B2808" w:rsidRDefault="00000000">
      <w:pPr>
        <w:pStyle w:val="Author-eListParagraph"/>
        <w:numPr>
          <w:ilvl w:val="1"/>
          <w:numId w:val="525"/>
        </w:numPr>
      </w:pPr>
      <w:r>
        <w:t>la prise et / ou la vérification des mesures in situ ;</w:t>
      </w:r>
    </w:p>
    <w:p w14:paraId="0BF7EEA1" w14:textId="77777777" w:rsidR="004B2808" w:rsidRDefault="00000000">
      <w:pPr>
        <w:pStyle w:val="Author-eListParagraph"/>
        <w:numPr>
          <w:ilvl w:val="1"/>
          <w:numId w:val="525"/>
        </w:numPr>
      </w:pPr>
      <w:r>
        <w:t>la vérification du support ;</w:t>
      </w:r>
    </w:p>
    <w:p w14:paraId="418A435F" w14:textId="77777777" w:rsidR="004B2808" w:rsidRDefault="00000000">
      <w:pPr>
        <w:pStyle w:val="Author-eListParagraph"/>
        <w:numPr>
          <w:ilvl w:val="0"/>
          <w:numId w:val="524"/>
        </w:numPr>
      </w:pPr>
      <w:r>
        <w:t>le contrôle des niveaux, de l’équerrage, … ;</w:t>
      </w:r>
    </w:p>
    <w:p w14:paraId="704765C8" w14:textId="77777777" w:rsidR="004B2808" w:rsidRDefault="00000000">
      <w:pPr>
        <w:pStyle w:val="Author-eListParagraph"/>
        <w:numPr>
          <w:ilvl w:val="0"/>
          <w:numId w:val="524"/>
        </w:numPr>
      </w:pPr>
      <w:r>
        <w:t>le contrôle de la température et de l’humidité, avant livraison, pendant la pose et jusqu’à la réception provisoire de l’ouvrage ;</w:t>
      </w:r>
    </w:p>
    <w:p w14:paraId="7E18946D" w14:textId="77777777" w:rsidR="004B2808" w:rsidRDefault="00000000">
      <w:pPr>
        <w:pStyle w:val="Author-eListParagraph"/>
        <w:numPr>
          <w:ilvl w:val="0"/>
          <w:numId w:val="524"/>
        </w:numPr>
      </w:pPr>
      <w:r>
        <w:t>le cas échéant, le chauffage du chantier pour assurer les conditions nécessaires ;</w:t>
      </w:r>
    </w:p>
    <w:p w14:paraId="100313A9" w14:textId="77777777" w:rsidR="004B2808" w:rsidRDefault="00000000">
      <w:pPr>
        <w:pStyle w:val="Author-eListParagraph"/>
        <w:numPr>
          <w:ilvl w:val="0"/>
          <w:numId w:val="524"/>
        </w:numPr>
      </w:pPr>
      <w:r>
        <w:t>la préparation des surfaces dont l’aspiration des supports ;</w:t>
      </w:r>
    </w:p>
    <w:p w14:paraId="6115E9D3" w14:textId="77777777" w:rsidR="004B2808" w:rsidRDefault="00000000">
      <w:pPr>
        <w:pStyle w:val="Author-eListParagraph"/>
        <w:numPr>
          <w:ilvl w:val="0"/>
          <w:numId w:val="524"/>
        </w:numPr>
      </w:pPr>
      <w:r>
        <w:t>la fourniture et la mise en œuvre du système de planchers et accessoires ;</w:t>
      </w:r>
    </w:p>
    <w:p w14:paraId="20B81CAB" w14:textId="77777777" w:rsidR="004B2808" w:rsidRDefault="00000000">
      <w:pPr>
        <w:pStyle w:val="Author-eListParagraph"/>
        <w:numPr>
          <w:ilvl w:val="0"/>
          <w:numId w:val="524"/>
        </w:numPr>
      </w:pPr>
      <w:r>
        <w:t>la protection des ouvrages durant et après leur exécution ;</w:t>
      </w:r>
    </w:p>
    <w:p w14:paraId="52309DDE" w14:textId="77777777" w:rsidR="004B2808" w:rsidRDefault="00000000">
      <w:pPr>
        <w:pStyle w:val="Author-eListParagraph"/>
        <w:numPr>
          <w:ilvl w:val="0"/>
          <w:numId w:val="524"/>
        </w:numPr>
      </w:pPr>
      <w:r>
        <w:t>la collecte, le tri et l’évacuation des déchets ;</w:t>
      </w:r>
    </w:p>
    <w:p w14:paraId="2E252E02" w14:textId="77777777" w:rsidR="004B2808" w:rsidRDefault="00000000">
      <w:pPr>
        <w:pStyle w:val="Author-eListParagraph"/>
        <w:numPr>
          <w:ilvl w:val="0"/>
          <w:numId w:val="524"/>
        </w:numPr>
      </w:pPr>
      <w:r>
        <w:t>le nettoyage en fin de chantier.</w:t>
      </w:r>
    </w:p>
    <w:p w14:paraId="6362CCD4" w14:textId="77777777" w:rsidR="004B2808" w:rsidRDefault="00000000">
      <w:pPr>
        <w:jc w:val="both"/>
      </w:pPr>
      <w:r>
        <w:t>Le système de planchers surélevés satisfait notamment à la [NIT 230].</w:t>
      </w:r>
    </w:p>
    <w:p w14:paraId="6058D381" w14:textId="77777777" w:rsidR="004B2808" w:rsidRDefault="00000000">
      <w:pPr>
        <w:jc w:val="both"/>
      </w:pPr>
      <w:r>
        <w:t>Livraison, stockage, manutention, fournitures et mise en œuvre sont toujours conformes à la documentation technique qui accompagne le produit. </w:t>
      </w:r>
    </w:p>
    <w:p w14:paraId="4AB6EAAF" w14:textId="77777777" w:rsidR="004B2808" w:rsidRDefault="00000000">
      <w:pPr>
        <w:jc w:val="both"/>
      </w:pPr>
      <w:r>
        <w:t>Dans le cas d’une rénovation / transformation, l’entrepreneur effectue une reconnaissance préalable des lieux conformément à l’article A2.12 Visite des lieux et séance d'information</w:t>
      </w:r>
    </w:p>
    <w:p w14:paraId="665607D9" w14:textId="77777777" w:rsidR="004B2808" w:rsidRDefault="00000000">
      <w:pPr>
        <w:jc w:val="both"/>
      </w:pPr>
      <w:r>
        <w:lastRenderedPageBreak/>
        <w:t xml:space="preserve"> Les prestations à réaliser tiennent notamment compte de l’état apparent des locaux et surfaces concernés, de tout ce qui nécessaire à leurs préparations, des conditions particulières de travail, …</w:t>
      </w:r>
    </w:p>
    <w:p w14:paraId="0D780C97" w14:textId="77777777" w:rsidR="004B2808" w:rsidRDefault="00000000">
      <w:pPr>
        <w:jc w:val="both"/>
      </w:pPr>
      <w:r>
        <w:t>L’entrepreneur traite et évacue, en dehors du chantier, les déchets issus des travaux conformément au 07 Déchets, matériaux et éléments réemployables et suivants.</w:t>
      </w:r>
    </w:p>
    <w:p w14:paraId="5187C0E4" w14:textId="77777777" w:rsidR="004B2808" w:rsidRDefault="00000000">
      <w:pPr>
        <w:jc w:val="both"/>
      </w:pPr>
      <w:r>
        <w:t>Le cas échéant, les lieux servant au stockage sont protégés avant le début des travaux. Ces mesures de protection particulières sont réalisées conformément au 04 Préparation et aménagement de chantier et suivants.</w:t>
      </w:r>
    </w:p>
    <w:p w14:paraId="5FFFC1F8" w14:textId="77777777" w:rsidR="004B2808" w:rsidRDefault="00000000">
      <w:pPr>
        <w:jc w:val="both"/>
      </w:pPr>
      <w:r>
        <w:t>Le traitement éventuel du plancher porteur contre la poussière est réalisé conformément au 8 T8 Travaux de peinture / Traitements de surface et suivants.</w:t>
      </w:r>
    </w:p>
    <w:p w14:paraId="71C12A72" w14:textId="77777777" w:rsidR="004B2808" w:rsidRDefault="00000000">
      <w:pPr>
        <w:jc w:val="both"/>
      </w:pPr>
      <w:r>
        <w:t>La mise à la terre de l’infrastructure et / ou les dispositions particulières concernant les planchers antistatiques et électroconducteurs sont réalisées conformément au 71.27 Mise à la terre et suivants. </w:t>
      </w:r>
    </w:p>
    <w:p w14:paraId="1A865213" w14:textId="77777777" w:rsidR="004B2808" w:rsidRDefault="004B2808">
      <w:pPr>
        <w:jc w:val="both"/>
      </w:pPr>
    </w:p>
    <w:p w14:paraId="2E0763B7" w14:textId="77777777" w:rsidR="004B2808" w:rsidRDefault="00000000">
      <w:pPr>
        <w:jc w:val="both"/>
      </w:pPr>
      <w:r>
        <w:rPr>
          <w:u w:val="single"/>
        </w:rPr>
        <w:t>Mesures de protection incendie :</w:t>
      </w:r>
    </w:p>
    <w:p w14:paraId="6C8941E3" w14:textId="77777777" w:rsidR="004B2808" w:rsidRDefault="00000000">
      <w:pPr>
        <w:jc w:val="both"/>
      </w:pPr>
      <w:r>
        <w:t xml:space="preserve"> Le cas échéant,</w:t>
      </w:r>
    </w:p>
    <w:p w14:paraId="68B19C92" w14:textId="77777777" w:rsidR="004B2808" w:rsidRDefault="00000000">
      <w:pPr>
        <w:pStyle w:val="Author-eListParagraph"/>
        <w:numPr>
          <w:ilvl w:val="0"/>
          <w:numId w:val="526"/>
        </w:numPr>
      </w:pPr>
      <w:r>
        <w:t xml:space="preserve">Le compartimentage du plenum (barrière résistante au feu) est compris au </w:t>
      </w:r>
      <w:hyperlink w:anchor="60" w:history="1">
        <w:r w:rsidR="004B2808">
          <w:rPr>
            <w:color w:val="0000EE"/>
          </w:rPr>
          <w:t>51 Parois légères et finitions des murs intérieurs</w:t>
        </w:r>
      </w:hyperlink>
      <w:r>
        <w:t xml:space="preserve"> et suivants.</w:t>
      </w:r>
    </w:p>
    <w:p w14:paraId="00D077AB" w14:textId="77777777" w:rsidR="004B2808" w:rsidRDefault="00000000">
      <w:pPr>
        <w:pStyle w:val="Author-eListParagraph"/>
        <w:numPr>
          <w:ilvl w:val="0"/>
          <w:numId w:val="526"/>
        </w:numPr>
      </w:pPr>
      <w:r>
        <w:t>L’installation d’un système de détection incendie dans le plenum est compris au 7 T7 Electricité et suivants.</w:t>
      </w:r>
    </w:p>
    <w:p w14:paraId="588B7A71" w14:textId="77777777" w:rsidR="004B2808" w:rsidRDefault="00000000">
      <w:pPr>
        <w:jc w:val="both"/>
      </w:pPr>
      <w:r>
        <w:t>Après sa réalisation et afin de le protéger d’éventuelles dégradations consécutives aux travaux des autres corps de métier et d’empêcher la pénétration de la poussière dans le plénum, le plancher surélevé est protégé selon les mesures décrites et comprises au 04 Préparation et aménagement de chantier et suivants.</w:t>
      </w:r>
    </w:p>
    <w:p w14:paraId="79E5180A" w14:textId="77777777" w:rsidR="004B2808" w:rsidRDefault="00000000">
      <w:pPr>
        <w:jc w:val="both"/>
      </w:pPr>
      <w:r>
        <w:t>Le nettoyage préalable à la pose du revêtement de finition est compris au 04 Préparation et aménagement de chantier et suivants.</w:t>
      </w:r>
    </w:p>
    <w:p w14:paraId="64D83EE0" w14:textId="77777777" w:rsidR="004B2808" w:rsidRDefault="00000000">
      <w:pPr>
        <w:pStyle w:val="pheading"/>
      </w:pPr>
      <w:r>
        <w:t>EXÉCUTION / MISE EN ŒUVRE</w:t>
      </w:r>
    </w:p>
    <w:p w14:paraId="56F11255" w14:textId="77777777" w:rsidR="004B2808" w:rsidRDefault="00000000">
      <w:pPr>
        <w:jc w:val="both"/>
      </w:pPr>
      <w:r>
        <w:rPr>
          <w:b/>
        </w:rPr>
        <w:t>Généralités</w:t>
      </w:r>
    </w:p>
    <w:p w14:paraId="7959237D" w14:textId="77777777" w:rsidR="004B2808" w:rsidRDefault="00000000">
      <w:pPr>
        <w:jc w:val="both"/>
      </w:pPr>
      <w:r>
        <w:t>La mise en œuvre est notamment réalisée selon la [NIT 230].</w:t>
      </w:r>
    </w:p>
    <w:p w14:paraId="6BB35FBA" w14:textId="77777777" w:rsidR="004B2808" w:rsidRDefault="00000000">
      <w:pPr>
        <w:jc w:val="both"/>
      </w:pPr>
      <w:r>
        <w:t xml:space="preserve">L’entrepreneur stocke les matériaux dans un endroit prévu à cet effet. </w:t>
      </w:r>
    </w:p>
    <w:p w14:paraId="5B6C635F" w14:textId="77777777" w:rsidR="004B2808" w:rsidRDefault="00000000">
      <w:pPr>
        <w:jc w:val="both"/>
      </w:pPr>
      <w:r>
        <w:t xml:space="preserve"> Il répartit les charges sur le plancher porteur et/ou surélevé et s’assure que leur capacité portante n’est en aucun cas dépassée.</w:t>
      </w:r>
    </w:p>
    <w:p w14:paraId="682D16A4" w14:textId="77777777" w:rsidR="004B2808" w:rsidRDefault="00000000">
      <w:pPr>
        <w:jc w:val="both"/>
      </w:pPr>
      <w:r>
        <w:t>L’entrepreneur veille au respect des conditions permettant l’entame des travaux comme indiqué dans la [NIT 230]. Cela concerne notamment : l’évacuation et le nettoyage des locaux, l’éclairage minimum des lieux, la mise en l’abri du chantier, …</w:t>
      </w:r>
    </w:p>
    <w:p w14:paraId="24CA7755" w14:textId="77777777" w:rsidR="004B2808" w:rsidRDefault="00000000">
      <w:pPr>
        <w:jc w:val="both"/>
      </w:pPr>
      <w:r>
        <w:t>Au cas où les planchers surélevés reposent directement sur le gros œuvre, l’entrepreneur s’assure de la cohésion du support et veille à ce que celui-ci présente les performances requises selon la [NIT 230].</w:t>
      </w:r>
    </w:p>
    <w:p w14:paraId="0650C4FC" w14:textId="77777777" w:rsidR="004B2808" w:rsidRDefault="00000000">
      <w:pPr>
        <w:jc w:val="both"/>
      </w:pPr>
      <w:r>
        <w:t>Si les conditions de mise en œuvre ne répondent aux règles de l’art, l’entrepreneur fait rapport à la direction des travaux. Les mesures appropriées sont définies en accord avec les différents intervenants.</w:t>
      </w:r>
    </w:p>
    <w:p w14:paraId="63A1A780" w14:textId="77777777" w:rsidR="004B2808" w:rsidRDefault="00000000">
      <w:pPr>
        <w:jc w:val="both"/>
      </w:pPr>
      <w:r>
        <w:t>Un devis séparé est soumis à la direction des travaux uniquement si l’état général des locaux le justifie et si les caractéristiques inappropriées de ceux-ci ne pouvaient pas être connues avant la remise de l’offre.</w:t>
      </w:r>
    </w:p>
    <w:p w14:paraId="4BA3BCEE" w14:textId="77777777" w:rsidR="004B2808" w:rsidRDefault="00000000">
      <w:pPr>
        <w:jc w:val="both"/>
      </w:pPr>
      <w:r>
        <w:t xml:space="preserve"> L’approbation préalable de ce devis par la direction des travaux est indispensable à une adaptation de l’offre.</w:t>
      </w:r>
    </w:p>
    <w:p w14:paraId="6393D1B9" w14:textId="77777777" w:rsidR="004B2808" w:rsidRDefault="00000000">
      <w:pPr>
        <w:jc w:val="both"/>
      </w:pPr>
      <w:r>
        <w:rPr>
          <w:u w:val="single"/>
        </w:rPr>
        <w:t>Exigences relatives au support :</w:t>
      </w:r>
    </w:p>
    <w:p w14:paraId="38E18930" w14:textId="77777777" w:rsidR="004B2808" w:rsidRDefault="00000000">
      <w:pPr>
        <w:pStyle w:val="Author-eListParagraph"/>
        <w:numPr>
          <w:ilvl w:val="0"/>
          <w:numId w:val="527"/>
        </w:numPr>
      </w:pPr>
      <w:r>
        <w:t xml:space="preserve">Planéité : </w:t>
      </w:r>
      <w:r>
        <w:rPr>
          <w:rStyle w:val="optioncarChar"/>
        </w:rPr>
        <w:t>selon la [NIT 230] </w:t>
      </w:r>
      <w:r>
        <w:t>(par défaut)</w:t>
      </w:r>
      <w:r>
        <w:rPr>
          <w:rStyle w:val="optioncarChar"/>
        </w:rPr>
        <w:t xml:space="preserve"> / ***</w:t>
      </w:r>
    </w:p>
    <w:p w14:paraId="3F58CE41" w14:textId="77777777" w:rsidR="004B2808" w:rsidRDefault="00000000">
      <w:pPr>
        <w:pStyle w:val="Author-eListParagraph"/>
        <w:numPr>
          <w:ilvl w:val="0"/>
          <w:numId w:val="527"/>
        </w:numPr>
      </w:pPr>
      <w:r>
        <w:lastRenderedPageBreak/>
        <w:t xml:space="preserve">Niveau : </w:t>
      </w:r>
      <w:r>
        <w:rPr>
          <w:rStyle w:val="optioncarChar"/>
        </w:rPr>
        <w:t>selon la [NIT 230] </w:t>
      </w:r>
      <w:r>
        <w:t>(par défaut)</w:t>
      </w:r>
      <w:r>
        <w:rPr>
          <w:rStyle w:val="optioncarChar"/>
        </w:rPr>
        <w:t xml:space="preserve"> / ***</w:t>
      </w:r>
    </w:p>
    <w:p w14:paraId="4CED68F5" w14:textId="77777777" w:rsidR="004B2808" w:rsidRDefault="00000000">
      <w:pPr>
        <w:pStyle w:val="Author-eListParagraph"/>
        <w:numPr>
          <w:ilvl w:val="0"/>
          <w:numId w:val="527"/>
        </w:numPr>
      </w:pPr>
      <w:r>
        <w:t xml:space="preserve">Adhérence : </w:t>
      </w:r>
      <w:r>
        <w:rPr>
          <w:rStyle w:val="optioncarChar"/>
        </w:rPr>
        <w:t>selon la [NIT 230] </w:t>
      </w:r>
      <w:r>
        <w:t xml:space="preserve">(par défaut) </w:t>
      </w:r>
      <w:r>
        <w:rPr>
          <w:rStyle w:val="optioncarChar"/>
        </w:rPr>
        <w:t>/ ***</w:t>
      </w:r>
    </w:p>
    <w:p w14:paraId="4AE05492" w14:textId="77777777" w:rsidR="004B2808" w:rsidRDefault="00000000">
      <w:pPr>
        <w:pStyle w:val="Author-eListParagraph"/>
        <w:numPr>
          <w:ilvl w:val="0"/>
          <w:numId w:val="527"/>
        </w:numPr>
      </w:pPr>
      <w:r>
        <w:t xml:space="preserve">Porosité : </w:t>
      </w:r>
      <w:r>
        <w:rPr>
          <w:rStyle w:val="optioncarChar"/>
        </w:rPr>
        <w:t>selon la [NIT 230]</w:t>
      </w:r>
      <w:r>
        <w:t> (par défaut)</w:t>
      </w:r>
      <w:r>
        <w:rPr>
          <w:rStyle w:val="optioncarChar"/>
        </w:rPr>
        <w:t xml:space="preserve"> / ***</w:t>
      </w:r>
    </w:p>
    <w:p w14:paraId="1B194F84" w14:textId="77777777" w:rsidR="004B2808" w:rsidRDefault="00000000">
      <w:pPr>
        <w:jc w:val="both"/>
      </w:pPr>
      <w:r>
        <w:rPr>
          <w:u w:val="single"/>
        </w:rPr>
        <w:t>Coordination des travaux :</w:t>
      </w:r>
    </w:p>
    <w:p w14:paraId="350C32B3" w14:textId="77777777" w:rsidR="004B2808" w:rsidRDefault="00000000">
      <w:pPr>
        <w:jc w:val="both"/>
      </w:pPr>
      <w:r>
        <w:t>L’entrepreneur coordonne ces travaux avec les différents intervenants (notamment en ce qui concerne les installations techniques, …) et inscrit leur mise en œuvre dans le planning général du chantier.</w:t>
      </w:r>
    </w:p>
    <w:p w14:paraId="3001DC43" w14:textId="77777777" w:rsidR="004B2808" w:rsidRDefault="00000000">
      <w:pPr>
        <w:jc w:val="both"/>
      </w:pPr>
      <w:r>
        <w:t>Avant le début des travaux, l’entrepreneur se renseigne obligatoirement sur l’emplacement et les caractéristiques des différents réseaux encastrés, …</w:t>
      </w:r>
    </w:p>
    <w:p w14:paraId="526BCB02" w14:textId="77777777" w:rsidR="004B2808" w:rsidRDefault="00000000">
      <w:pPr>
        <w:jc w:val="both"/>
      </w:pPr>
      <w:r>
        <w:t xml:space="preserve">Méthode de travail conseillée : </w:t>
      </w:r>
      <w:r>
        <w:rPr>
          <w:rStyle w:val="optioncarChar"/>
        </w:rPr>
        <w:t>selon la [NIT 230]</w:t>
      </w:r>
      <w:r>
        <w:t> (par défaut)</w:t>
      </w:r>
      <w:r>
        <w:rPr>
          <w:rStyle w:val="optioncarChar"/>
        </w:rPr>
        <w:t xml:space="preserve"> / ***</w:t>
      </w:r>
    </w:p>
    <w:p w14:paraId="0C57EF4F" w14:textId="77777777" w:rsidR="004B2808" w:rsidRDefault="00000000">
      <w:pPr>
        <w:jc w:val="both"/>
      </w:pPr>
      <w:r>
        <w:rPr>
          <w:u w:val="single"/>
        </w:rPr>
        <w:t>Pose des planchers surélevés :</w:t>
      </w:r>
    </w:p>
    <w:p w14:paraId="24846C8A" w14:textId="77777777" w:rsidR="004B2808" w:rsidRDefault="00000000">
      <w:pPr>
        <w:jc w:val="both"/>
      </w:pPr>
      <w:r>
        <w:t>Avant de débuter le travail, l’entrepreneur effectue un nettoyage minutieux de la surface d'appui à l'aide d'un aspirateur approprié.</w:t>
      </w:r>
    </w:p>
    <w:p w14:paraId="07449E83" w14:textId="77777777" w:rsidR="004B2808" w:rsidRDefault="00000000">
      <w:pPr>
        <w:jc w:val="both"/>
      </w:pPr>
      <w:r>
        <w:t>Des joints périphériques permettent de compenser les variations dimensionnelles.</w:t>
      </w:r>
    </w:p>
    <w:p w14:paraId="6E81B9CA" w14:textId="77777777" w:rsidR="004B2808" w:rsidRDefault="00000000">
      <w:pPr>
        <w:jc w:val="both"/>
      </w:pPr>
      <w:r>
        <w:t>Les joints de dilatation de la structure du bâtiment sont répercutés dans le plancher surélevé.</w:t>
      </w:r>
    </w:p>
    <w:p w14:paraId="01C16F0D" w14:textId="77777777" w:rsidR="004B2808" w:rsidRDefault="00000000">
      <w:pPr>
        <w:jc w:val="both"/>
      </w:pPr>
      <w:r>
        <w:t>L’entrepreneur évacue les chutes et déchets éventuellement présents dans le plénum. </w:t>
      </w:r>
    </w:p>
    <w:p w14:paraId="74CDF227" w14:textId="77777777" w:rsidR="004B2808" w:rsidRDefault="00000000">
      <w:pPr>
        <w:jc w:val="both"/>
      </w:pPr>
      <w:r>
        <w:rPr>
          <w:u w:val="single"/>
        </w:rPr>
        <w:t>Protection de l’ouvrage :</w:t>
      </w:r>
    </w:p>
    <w:p w14:paraId="1BCFB75C" w14:textId="77777777" w:rsidR="004B2808" w:rsidRDefault="00000000">
      <w:pPr>
        <w:jc w:val="both"/>
      </w:pPr>
      <w:r>
        <w:t xml:space="preserve">Pendant et après la réalisation du plancher surélevé (une fois la dernière protection provisoire posée), l’entrepreneur veille et donne les instructions nécessaires au respect, par les autres corps de métiers, des mesures inscrites dans la [NIT 230]. </w:t>
      </w:r>
    </w:p>
    <w:p w14:paraId="0ABA1247" w14:textId="77777777" w:rsidR="004B2808" w:rsidRDefault="00000000">
      <w:pPr>
        <w:jc w:val="both"/>
      </w:pPr>
      <w:r>
        <w:t xml:space="preserve"> Cela concerne notamment : la bonne coordination des activités, l’autorisation de circulation sur le plancher, l’ouverture du plancher (dépose / repose de dalles), le stockage sur le plancher surélevé, la protection contre les poussières et l’humidification, …</w:t>
      </w:r>
    </w:p>
    <w:p w14:paraId="1F5BD6B5" w14:textId="77777777" w:rsidR="004B2808" w:rsidRDefault="00000000">
      <w:pPr>
        <w:jc w:val="both"/>
      </w:pPr>
      <w:r>
        <w:t>Les éventuels travaux d’adaptation sont réalisés selon la [NIT 230].</w:t>
      </w:r>
    </w:p>
    <w:p w14:paraId="214897FA" w14:textId="77777777" w:rsidR="004B2808" w:rsidRDefault="00000000">
      <w:r>
        <w:rPr>
          <w:u w:val="single"/>
        </w:rPr>
        <w:t>Tolérances – Degrés de finition :</w:t>
      </w:r>
    </w:p>
    <w:p w14:paraId="78FB0A77" w14:textId="77777777" w:rsidR="004B2808" w:rsidRDefault="00000000">
      <w:pPr>
        <w:pStyle w:val="Author-eListParagraph"/>
        <w:numPr>
          <w:ilvl w:val="0"/>
          <w:numId w:val="528"/>
        </w:numPr>
        <w:jc w:val="both"/>
      </w:pPr>
      <w:r>
        <w:t xml:space="preserve">Tolérances sur le niveau du sol fini : </w:t>
      </w:r>
      <w:r>
        <w:rPr>
          <w:rStyle w:val="optioncarChar"/>
        </w:rPr>
        <w:t>selon la [NIT 230] </w:t>
      </w:r>
      <w:r>
        <w:t>(par défaut)</w:t>
      </w:r>
      <w:r>
        <w:rPr>
          <w:rStyle w:val="optioncarChar"/>
        </w:rPr>
        <w:t xml:space="preserve"> / ***</w:t>
      </w:r>
    </w:p>
    <w:p w14:paraId="51CD5D5B" w14:textId="77777777" w:rsidR="004B2808" w:rsidRDefault="00000000">
      <w:pPr>
        <w:pStyle w:val="Author-eListParagraph"/>
        <w:numPr>
          <w:ilvl w:val="0"/>
          <w:numId w:val="528"/>
        </w:numPr>
        <w:jc w:val="both"/>
      </w:pPr>
      <w:r>
        <w:t xml:space="preserve">Horizontalité : </w:t>
      </w:r>
    </w:p>
    <w:p w14:paraId="4E835C13" w14:textId="77777777" w:rsidR="004B2808" w:rsidRDefault="00000000">
      <w:pPr>
        <w:pStyle w:val="Author-eListParagraph"/>
        <w:numPr>
          <w:ilvl w:val="1"/>
          <w:numId w:val="529"/>
        </w:numPr>
        <w:jc w:val="both"/>
      </w:pPr>
      <w:r>
        <w:t>Le plancher surélevé est posé de niveau. Au besoin, l’horizontalité du plancher surélevé peut être adaptée au niveau des locaux adjacents non équipés d’un plancher surélevé.</w:t>
      </w:r>
    </w:p>
    <w:p w14:paraId="207033F3" w14:textId="77777777" w:rsidR="004B2808" w:rsidRDefault="00000000">
      <w:pPr>
        <w:pStyle w:val="Author-eListParagraph"/>
        <w:numPr>
          <w:ilvl w:val="1"/>
          <w:numId w:val="529"/>
        </w:numPr>
        <w:jc w:val="both"/>
      </w:pPr>
      <w:r>
        <w:t xml:space="preserve">Désaffleurement au droit de cette jonction : ≤ </w:t>
      </w:r>
      <w:r>
        <w:rPr>
          <w:rStyle w:val="optioncarChar"/>
        </w:rPr>
        <w:t>1</w:t>
      </w:r>
      <w:r>
        <w:t xml:space="preserve"> (par défaut)</w:t>
      </w:r>
      <w:r>
        <w:rPr>
          <w:rStyle w:val="optioncarChar"/>
        </w:rPr>
        <w:t xml:space="preserve"> / ***</w:t>
      </w:r>
      <w:r>
        <w:t xml:space="preserve"> mm (valeur à majorer de la tolérance de planéité des éléments).</w:t>
      </w:r>
    </w:p>
    <w:p w14:paraId="0B85AC19" w14:textId="77777777" w:rsidR="004B2808" w:rsidRDefault="00000000">
      <w:pPr>
        <w:pStyle w:val="Author-eListParagraph"/>
        <w:numPr>
          <w:ilvl w:val="0"/>
          <w:numId w:val="528"/>
        </w:numPr>
        <w:jc w:val="both"/>
      </w:pPr>
      <w:r>
        <w:t xml:space="preserve">Désaffleurement entre la face supérieure de 2 dalles ou de 2 panneaux jointifs : ≤ </w:t>
      </w:r>
      <w:r>
        <w:rPr>
          <w:rStyle w:val="optioncarChar"/>
        </w:rPr>
        <w:t>1</w:t>
      </w:r>
      <w:r>
        <w:t xml:space="preserve"> (par défaut)</w:t>
      </w:r>
      <w:r>
        <w:rPr>
          <w:rStyle w:val="optioncarChar"/>
        </w:rPr>
        <w:t xml:space="preserve"> / ***</w:t>
      </w:r>
      <w:r>
        <w:t xml:space="preserve"> mm (valeur à majorer de la tolérance de planéité des éléments).</w:t>
      </w:r>
    </w:p>
    <w:p w14:paraId="2228051D" w14:textId="77777777" w:rsidR="004B2808" w:rsidRDefault="00000000">
      <w:pPr>
        <w:pStyle w:val="pheading"/>
      </w:pPr>
      <w:r>
        <w:t>DOCUMENTS DE RÉFÉRENCE</w:t>
      </w:r>
    </w:p>
    <w:p w14:paraId="7458EEB1" w14:textId="77777777" w:rsidR="004B2808" w:rsidRDefault="00000000">
      <w:pPr>
        <w:pStyle w:val="pheading"/>
      </w:pPr>
      <w:r>
        <w:t>- Matériau</w:t>
      </w:r>
    </w:p>
    <w:p w14:paraId="12C9EF3E" w14:textId="77777777" w:rsidR="004B2808" w:rsidRDefault="00000000">
      <w:r>
        <w:t>[NIT 230, Les planchers surélevés]</w:t>
      </w:r>
    </w:p>
    <w:p w14:paraId="67EBE993" w14:textId="77777777" w:rsidR="004B2808" w:rsidRDefault="00000000">
      <w:r>
        <w:t>[NBN EN 13213, Planchers creux]</w:t>
      </w:r>
    </w:p>
    <w:p w14:paraId="606C9440" w14:textId="77777777" w:rsidR="004B2808" w:rsidRDefault="00000000">
      <w:pPr>
        <w:pStyle w:val="pheading"/>
      </w:pPr>
      <w:r>
        <w:t>- Exécution</w:t>
      </w:r>
    </w:p>
    <w:p w14:paraId="40805203" w14:textId="77777777" w:rsidR="004B2808" w:rsidRDefault="00000000">
      <w:r>
        <w:t>[NBN EN 1991 série, Eurocode 1 : Actions sur les structures]</w:t>
      </w:r>
    </w:p>
    <w:p w14:paraId="15D7131C" w14:textId="77777777" w:rsidR="004B2808" w:rsidRDefault="00000000">
      <w:r>
        <w:t>[NBN EN 1815, Revêtements de sol résilients et stratifiés - Évaluation à la propension à l'accumulation de charges électrostatiques]</w:t>
      </w:r>
    </w:p>
    <w:p w14:paraId="7704E0BA" w14:textId="77777777" w:rsidR="004B2808" w:rsidRDefault="00000000">
      <w:r>
        <w:t>[NBN EN 12825, Planchers surélevés]</w:t>
      </w:r>
    </w:p>
    <w:p w14:paraId="112E2B52" w14:textId="77777777" w:rsidR="004B2808" w:rsidRDefault="00000000">
      <w:r>
        <w:t>[NBN EN 13213, Planchers creux]</w:t>
      </w:r>
    </w:p>
    <w:p w14:paraId="3340A40F" w14:textId="77777777" w:rsidR="004B2808" w:rsidRDefault="00000000">
      <w:r>
        <w:t>[NBN EN 13501 série, Classement au feu des produits et éléments de construction]</w:t>
      </w:r>
    </w:p>
    <w:p w14:paraId="51E2A0ED" w14:textId="77777777" w:rsidR="004B2808" w:rsidRDefault="00000000">
      <w:r>
        <w:lastRenderedPageBreak/>
        <w:t>[NBN EN 1366-6, Essais de résistance au feu des installations de service - Planchers surélevés et planchers creux.]</w:t>
      </w:r>
    </w:p>
    <w:p w14:paraId="7E4476E4" w14:textId="77777777" w:rsidR="004B2808" w:rsidRDefault="00000000">
      <w:pPr>
        <w:pStyle w:val="pheading"/>
      </w:pPr>
      <w:r>
        <w:t>AIDE</w:t>
      </w:r>
    </w:p>
    <w:p w14:paraId="2391FE05" w14:textId="77777777" w:rsidR="004B2808" w:rsidRDefault="00000000">
      <w:pPr>
        <w:jc w:val="both"/>
      </w:pPr>
      <w:r>
        <w:t>A performances équivalentes, le choix d’un revêtement de finition souple de type dalle de moquette plombante ou non collée favorise, en étant plus facile à enlever, le réemploi ultérieur des dalles de plancher non revêtues.</w:t>
      </w:r>
    </w:p>
    <w:p w14:paraId="32CABC97" w14:textId="77777777" w:rsidR="004B2808" w:rsidRDefault="00000000">
      <w:pPr>
        <w:pStyle w:val="Author-eSectionHeading4Numberless"/>
      </w:pPr>
      <w:bookmarkStart w:id="615" w:name="_Toc220490777"/>
      <w:r>
        <w:t>53.41 Planchers surélevés amovibles CCTB 01.11</w:t>
      </w:r>
      <w:bookmarkEnd w:id="615"/>
    </w:p>
    <w:p w14:paraId="26B1BE3B" w14:textId="77777777" w:rsidR="004B2808" w:rsidRDefault="00000000">
      <w:pPr>
        <w:pStyle w:val="pheading"/>
      </w:pPr>
      <w:r>
        <w:t>EXÉCUTION / MISE EN ŒUVRE</w:t>
      </w:r>
    </w:p>
    <w:p w14:paraId="0BDB9AF4" w14:textId="77777777" w:rsidR="004B2808" w:rsidRDefault="00000000">
      <w:pPr>
        <w:jc w:val="both"/>
      </w:pPr>
      <w:r>
        <w:rPr>
          <w:u w:val="single"/>
        </w:rPr>
        <w:t>Tolérances – Degrés de finition :</w:t>
      </w:r>
    </w:p>
    <w:p w14:paraId="02D43AFE" w14:textId="77777777" w:rsidR="004B2808" w:rsidRDefault="00000000">
      <w:pPr>
        <w:pStyle w:val="Author-eListParagraph"/>
        <w:numPr>
          <w:ilvl w:val="0"/>
          <w:numId w:val="530"/>
        </w:numPr>
        <w:jc w:val="both"/>
      </w:pPr>
      <w:r>
        <w:t xml:space="preserve">Classe de planéité des planchers amovibles : </w:t>
      </w:r>
      <w:r>
        <w:rPr>
          <w:rStyle w:val="optioncarChar"/>
        </w:rPr>
        <w:t>1 (normale)</w:t>
      </w:r>
      <w:r>
        <w:t xml:space="preserve"> (par défaut)</w:t>
      </w:r>
      <w:r>
        <w:rPr>
          <w:rStyle w:val="optioncarChar"/>
        </w:rPr>
        <w:t xml:space="preserve"> / 2 (sévère)</w:t>
      </w:r>
      <w:r>
        <w:t xml:space="preserve"> selon la [NIT 230]. Cette tolérance est à majorer de l’écart sur la planéité de l’élément considéré. </w:t>
      </w:r>
    </w:p>
    <w:p w14:paraId="22E7C62B" w14:textId="77777777" w:rsidR="004B2808" w:rsidRDefault="00000000">
      <w:pPr>
        <w:pStyle w:val="Author-eListParagraph"/>
        <w:numPr>
          <w:ilvl w:val="1"/>
          <w:numId w:val="531"/>
        </w:numPr>
        <w:jc w:val="both"/>
      </w:pPr>
      <w:r>
        <w:t>Dans les zones circonscrites à l’intérieur du rayon de rotation d’une porte coupe-feu, il y a lieu d’adapter la planéité du plancher surélevé aux exigences mentionnées dans l’attestation de la porte concernée.</w:t>
      </w:r>
    </w:p>
    <w:p w14:paraId="30AA1353" w14:textId="77777777" w:rsidR="004B2808" w:rsidRDefault="00000000">
      <w:pPr>
        <w:pStyle w:val="Author-eListParagraph"/>
        <w:numPr>
          <w:ilvl w:val="1"/>
          <w:numId w:val="531"/>
        </w:numPr>
        <w:jc w:val="both"/>
      </w:pPr>
      <w:r>
        <w:t xml:space="preserve">Le contrôle de la planéité s’opère : </w:t>
      </w:r>
      <w:r>
        <w:rPr>
          <w:rStyle w:val="optioncarChar"/>
        </w:rPr>
        <w:t xml:space="preserve">local par local </w:t>
      </w:r>
      <w:r>
        <w:t>(par défaut)</w:t>
      </w:r>
      <w:r>
        <w:rPr>
          <w:rStyle w:val="optioncarChar"/>
        </w:rPr>
        <w:t xml:space="preserve"> / ***</w:t>
      </w:r>
    </w:p>
    <w:p w14:paraId="07B42E5F" w14:textId="77777777" w:rsidR="004B2808" w:rsidRDefault="00000000">
      <w:pPr>
        <w:pStyle w:val="Author-eSectionHeading5Numberless"/>
      </w:pPr>
      <w:bookmarkStart w:id="616" w:name="_Toc220490778"/>
      <w:r>
        <w:t>53.41.1 Planchers surélevés amovibles - Dalles sur vérins CCTB 01.02</w:t>
      </w:r>
      <w:bookmarkEnd w:id="616"/>
    </w:p>
    <w:p w14:paraId="2663B679" w14:textId="77777777" w:rsidR="004B2808" w:rsidRDefault="00000000">
      <w:pPr>
        <w:pStyle w:val="Author-eSectionHeading6Numberless"/>
      </w:pPr>
      <w:bookmarkStart w:id="617" w:name="_Toc220490779"/>
      <w:r>
        <w:t>53.41.1a Planchers surélevés amovibles - Dalles sur vérins CCTB 01.11</w:t>
      </w:r>
      <w:bookmarkEnd w:id="617"/>
    </w:p>
    <w:p w14:paraId="5A5C1021" w14:textId="77777777" w:rsidR="004B2808" w:rsidRDefault="00000000">
      <w:pPr>
        <w:pStyle w:val="pheading"/>
      </w:pPr>
      <w:r>
        <w:t>DESCRIPTION</w:t>
      </w:r>
    </w:p>
    <w:p w14:paraId="18E3A978" w14:textId="77777777" w:rsidR="004B2808" w:rsidRDefault="00000000">
      <w:pPr>
        <w:pStyle w:val="pheading"/>
      </w:pPr>
      <w:r>
        <w:t>- Définition / Comprend</w:t>
      </w:r>
    </w:p>
    <w:p w14:paraId="70E90E26" w14:textId="77777777" w:rsidR="004B2808" w:rsidRDefault="00000000">
      <w:pPr>
        <w:jc w:val="both"/>
      </w:pPr>
      <w:r>
        <w:t>Il s’agit de la fourniture et de la pose de planchers surélevés dont le système est constitué de dalles modulaires amovibles soutenues par des vérins.</w:t>
      </w:r>
    </w:p>
    <w:p w14:paraId="37D0B26E" w14:textId="77777777" w:rsidR="004B2808" w:rsidRDefault="00000000">
      <w:pPr>
        <w:pStyle w:val="pheading"/>
      </w:pPr>
      <w:r>
        <w:t>MATÉRIAUX</w:t>
      </w:r>
    </w:p>
    <w:p w14:paraId="5C59EBB8" w14:textId="77777777" w:rsidR="004B2808" w:rsidRDefault="00000000">
      <w:pPr>
        <w:pStyle w:val="pheading"/>
      </w:pPr>
      <w:r>
        <w:t>- Caractéristiques générales</w:t>
      </w:r>
    </w:p>
    <w:p w14:paraId="00B4CFCF" w14:textId="77777777" w:rsidR="004B2808" w:rsidRDefault="00000000">
      <w:pPr>
        <w:jc w:val="both"/>
      </w:pPr>
      <w:r>
        <w:t>Composition du système de planchers surélevés amovibles :</w:t>
      </w:r>
    </w:p>
    <w:p w14:paraId="3394E322" w14:textId="77777777" w:rsidR="004B2808" w:rsidRDefault="00000000">
      <w:pPr>
        <w:jc w:val="both"/>
      </w:pPr>
      <w:r>
        <w:rPr>
          <w:b/>
        </w:rPr>
        <w:t>A- Structure porteuse (infrastructure) :</w:t>
      </w:r>
    </w:p>
    <w:p w14:paraId="71DA6C43" w14:textId="77777777" w:rsidR="004B2808" w:rsidRDefault="00000000">
      <w:pPr>
        <w:pStyle w:val="Author-eListParagraph"/>
        <w:numPr>
          <w:ilvl w:val="0"/>
          <w:numId w:val="532"/>
        </w:numPr>
      </w:pPr>
      <w:r>
        <w:rPr>
          <w:u w:val="single"/>
        </w:rPr>
        <w:t>Matériau principal :</w:t>
      </w:r>
      <w:r>
        <w:t>  </w:t>
      </w:r>
      <w:r>
        <w:rPr>
          <w:rStyle w:val="optioncarChar"/>
        </w:rPr>
        <w:t xml:space="preserve">acier galvanisé </w:t>
      </w:r>
      <w:r>
        <w:t xml:space="preserve">(par défaut) </w:t>
      </w:r>
      <w:r>
        <w:rPr>
          <w:rStyle w:val="optioncarChar"/>
        </w:rPr>
        <w:t>/ ***</w:t>
      </w:r>
      <w:r>
        <w:br/>
        <w:t>Si l’infrastructure se compose de matériaux oxydables, ceux-ci sont protégés contre la corrosion.</w:t>
      </w:r>
    </w:p>
    <w:p w14:paraId="637834AC" w14:textId="77777777" w:rsidR="004B2808" w:rsidRDefault="00000000">
      <w:pPr>
        <w:pStyle w:val="Author-eListParagraph"/>
        <w:numPr>
          <w:ilvl w:val="0"/>
          <w:numId w:val="532"/>
        </w:numPr>
      </w:pPr>
      <w:r>
        <w:rPr>
          <w:u w:val="single"/>
        </w:rPr>
        <w:t>Système de vérins :</w:t>
      </w:r>
      <w:r>
        <w:br/>
        <w:t>Avec hauteur réglable. L’entrepreneur détermine le modèle de vérin afin de positionner de façon précise le niveau du sol fini en fonction du travail à réaliser et d’avoir une amplitude de réglage adaptée.</w:t>
      </w:r>
      <w:r>
        <w:br/>
        <w:t>Equipés d’un dispositif antivibratoire.</w:t>
      </w:r>
      <w:r>
        <w:br/>
        <w:t xml:space="preserve">Tête : </w:t>
      </w:r>
      <w:r>
        <w:rPr>
          <w:rStyle w:val="optioncarChar"/>
        </w:rPr>
        <w:t xml:space="preserve">avec ergots </w:t>
      </w:r>
      <w:r>
        <w:t xml:space="preserve">(par défaut) </w:t>
      </w:r>
      <w:r>
        <w:rPr>
          <w:rStyle w:val="optioncarChar"/>
        </w:rPr>
        <w:t>/ sans ergots / ***</w:t>
      </w:r>
      <w:r>
        <w:br/>
        <w:t xml:space="preserve">Contre-écrous : </w:t>
      </w:r>
      <w:r>
        <w:rPr>
          <w:rStyle w:val="optioncarChar"/>
        </w:rPr>
        <w:t>selon la documentation technique qui accompagne le produit</w:t>
      </w:r>
      <w:r>
        <w:t xml:space="preserve"> (par défaut)</w:t>
      </w:r>
      <w:r>
        <w:rPr>
          <w:rStyle w:val="optioncarChar"/>
        </w:rPr>
        <w:t xml:space="preserve"> / avec / sans / ***</w:t>
      </w:r>
    </w:p>
    <w:p w14:paraId="15898321" w14:textId="77777777" w:rsidR="004B2808" w:rsidRDefault="00000000">
      <w:pPr>
        <w:pStyle w:val="Author-eListParagraph"/>
        <w:numPr>
          <w:ilvl w:val="0"/>
          <w:numId w:val="532"/>
        </w:numPr>
      </w:pPr>
      <w:r>
        <w:rPr>
          <w:u w:val="single"/>
        </w:rPr>
        <w:t>Système de traverses :</w:t>
      </w:r>
      <w:r>
        <w:t xml:space="preserve">  </w:t>
      </w:r>
      <w:r>
        <w:rPr>
          <w:rStyle w:val="optioncarChar"/>
        </w:rPr>
        <w:t>lorsque la hauteur du plénum est ≥ 50</w:t>
      </w:r>
      <w:r>
        <w:t xml:space="preserve"> (par défaut)</w:t>
      </w:r>
      <w:r>
        <w:rPr>
          <w:rStyle w:val="optioncarChar"/>
        </w:rPr>
        <w:t xml:space="preserve"> / 60 / *** cm </w:t>
      </w:r>
      <w:r>
        <w:t>(par défaut) </w:t>
      </w:r>
      <w:r>
        <w:rPr>
          <w:rStyle w:val="optioncarChar"/>
        </w:rPr>
        <w:t xml:space="preserve"> /  selon la documentation technique qui accompagne le produit / ***</w:t>
      </w:r>
    </w:p>
    <w:p w14:paraId="577837E4" w14:textId="77777777" w:rsidR="004B2808" w:rsidRDefault="00000000">
      <w:pPr>
        <w:pStyle w:val="Author-eListParagraph"/>
        <w:numPr>
          <w:ilvl w:val="0"/>
          <w:numId w:val="532"/>
        </w:numPr>
      </w:pPr>
      <w:r>
        <w:rPr>
          <w:u w:val="single"/>
        </w:rPr>
        <w:t>Joint de dilatation :</w:t>
      </w:r>
      <w:r>
        <w:rPr>
          <w:rStyle w:val="optioncarChar"/>
        </w:rPr>
        <w:t>selon la documentation technique qui accompagne le produit / ***</w:t>
      </w:r>
    </w:p>
    <w:p w14:paraId="3A051ACB" w14:textId="77777777" w:rsidR="004B2808" w:rsidRDefault="00000000">
      <w:pPr>
        <w:pStyle w:val="Author-eListParagraph"/>
        <w:numPr>
          <w:ilvl w:val="0"/>
          <w:numId w:val="532"/>
        </w:numPr>
      </w:pPr>
      <w:r>
        <w:rPr>
          <w:u w:val="single"/>
        </w:rPr>
        <w:t>Renforts :</w:t>
      </w:r>
      <w:r>
        <w:rPr>
          <w:rStyle w:val="optioncarChar"/>
        </w:rPr>
        <w:t xml:space="preserve">selon la documentation technique qui accompagne le produit </w:t>
      </w:r>
      <w:r>
        <w:t>(par défaut)</w:t>
      </w:r>
      <w:r>
        <w:rPr>
          <w:rStyle w:val="optioncarChar"/>
        </w:rPr>
        <w:t xml:space="preserve"> / avec / sans / ***</w:t>
      </w:r>
    </w:p>
    <w:p w14:paraId="70E1A5F9" w14:textId="77777777" w:rsidR="004B2808" w:rsidRDefault="00000000">
      <w:pPr>
        <w:pStyle w:val="Author-eListParagraph"/>
        <w:numPr>
          <w:ilvl w:val="0"/>
          <w:numId w:val="532"/>
        </w:numPr>
      </w:pPr>
      <w:r>
        <w:rPr>
          <w:u w:val="single"/>
        </w:rPr>
        <w:t>Traverses diagonales (dans le plan du plancher) :</w:t>
      </w:r>
      <w:r>
        <w:t>  </w:t>
      </w:r>
      <w:r>
        <w:rPr>
          <w:rStyle w:val="optioncarChar"/>
        </w:rPr>
        <w:t>selon la documentation technique qui accompagne le produit</w:t>
      </w:r>
      <w:r>
        <w:t xml:space="preserve"> (par défaut) </w:t>
      </w:r>
      <w:r>
        <w:rPr>
          <w:rStyle w:val="optioncarChar"/>
        </w:rPr>
        <w:t>/ avec / sans / ***</w:t>
      </w:r>
    </w:p>
    <w:p w14:paraId="1BA9458F" w14:textId="77777777" w:rsidR="004B2808" w:rsidRDefault="00000000">
      <w:pPr>
        <w:pStyle w:val="Author-eListParagraph"/>
        <w:numPr>
          <w:ilvl w:val="0"/>
          <w:numId w:val="532"/>
        </w:numPr>
      </w:pPr>
      <w:r>
        <w:rPr>
          <w:u w:val="single"/>
        </w:rPr>
        <w:t>Traverses de franchissement ou pontage :</w:t>
      </w:r>
      <w:r>
        <w:t xml:space="preserve">  </w:t>
      </w:r>
      <w:r>
        <w:rPr>
          <w:rStyle w:val="optioncarChar"/>
        </w:rPr>
        <w:t>selon la documentation technique qui accompagne le produit</w:t>
      </w:r>
      <w:r>
        <w:t xml:space="preserve"> (par défaut)</w:t>
      </w:r>
      <w:r>
        <w:rPr>
          <w:rStyle w:val="optioncarChar"/>
        </w:rPr>
        <w:t xml:space="preserve"> / avec / sans / ***</w:t>
      </w:r>
    </w:p>
    <w:p w14:paraId="47DE3B6B" w14:textId="77777777" w:rsidR="004B2808" w:rsidRDefault="00000000">
      <w:pPr>
        <w:pStyle w:val="Author-eListParagraph"/>
        <w:numPr>
          <w:ilvl w:val="0"/>
          <w:numId w:val="532"/>
        </w:numPr>
      </w:pPr>
      <w:r>
        <w:rPr>
          <w:u w:val="single"/>
        </w:rPr>
        <w:t>Divers :</w:t>
      </w:r>
    </w:p>
    <w:p w14:paraId="339A41C0" w14:textId="77777777" w:rsidR="004B2808" w:rsidRDefault="00000000">
      <w:pPr>
        <w:pStyle w:val="Author-eListParagraph"/>
        <w:numPr>
          <w:ilvl w:val="1"/>
          <w:numId w:val="533"/>
        </w:numPr>
      </w:pPr>
      <w:r>
        <w:lastRenderedPageBreak/>
        <w:t>Tirants, étais, profilés d’about, … : à utiliser notamment à la périphérie du plancher surélevé, lorsque celui-ci est bordé par une cloison, un mur-rideau ou une paroi en verre, …</w:t>
      </w:r>
    </w:p>
    <w:p w14:paraId="3FD94056" w14:textId="77777777" w:rsidR="004B2808" w:rsidRDefault="00000000">
      <w:pPr>
        <w:pStyle w:val="Author-eListParagraph"/>
        <w:numPr>
          <w:ilvl w:val="1"/>
          <w:numId w:val="533"/>
        </w:numPr>
      </w:pPr>
      <w:r>
        <w:t>Jouées, nez de marche, contre-marches, … : à utiliser notamment lorsque le plancher n’est pas bordé par les éléments décrits ci-avant, pour fermer le plénum, ...</w:t>
      </w:r>
      <w:r>
        <w:br/>
        <w:t>L’entrepreneur détermine et comprend dans ses prix unitaires tout ce qui est nécessaire pour obtenir un travail parfaitement fini, selon la documentation technique qui accompagne le système, les indications aux plans, les instructions données par la direction des travaux, ...</w:t>
      </w:r>
    </w:p>
    <w:p w14:paraId="0C85F811" w14:textId="77777777" w:rsidR="004B2808" w:rsidRDefault="00000000">
      <w:pPr>
        <w:jc w:val="both"/>
      </w:pPr>
      <w:r>
        <w:rPr>
          <w:b/>
        </w:rPr>
        <w:t>B- Surface de circulation :</w:t>
      </w:r>
    </w:p>
    <w:p w14:paraId="0A8A48F8" w14:textId="77777777" w:rsidR="004B2808" w:rsidRDefault="00000000">
      <w:pPr>
        <w:pStyle w:val="Author-eListParagraph"/>
        <w:numPr>
          <w:ilvl w:val="0"/>
          <w:numId w:val="534"/>
        </w:numPr>
      </w:pPr>
      <w:r>
        <w:rPr>
          <w:u w:val="single"/>
        </w:rPr>
        <w:t>Dalles modulaires:</w:t>
      </w:r>
      <w:r>
        <w:br/>
        <w:t xml:space="preserve">Matériau : </w:t>
      </w:r>
      <w:r>
        <w:rPr>
          <w:rStyle w:val="optioncarChar"/>
        </w:rPr>
        <w:t xml:space="preserve">bois aggloméré à haute densité </w:t>
      </w:r>
      <w:r>
        <w:t xml:space="preserve">(par défaut) </w:t>
      </w:r>
      <w:r>
        <w:rPr>
          <w:rStyle w:val="optioncarChar"/>
        </w:rPr>
        <w:t>/ sulfate de calcium / sulfate de calcium renforcé de fibres / béton / acier et ciment / verre / aluminium / pierre / silicate de calcium / ***</w:t>
      </w:r>
      <w:r>
        <w:br/>
      </w:r>
      <w:r>
        <w:br/>
        <w:t xml:space="preserve">Encapsulée : </w:t>
      </w:r>
      <w:r>
        <w:rPr>
          <w:rStyle w:val="optioncarChar"/>
        </w:rPr>
        <w:t>partiellement</w:t>
      </w:r>
      <w:r>
        <w:t xml:space="preserve"> (par défaut)</w:t>
      </w:r>
      <w:r>
        <w:rPr>
          <w:rStyle w:val="optioncarChar"/>
        </w:rPr>
        <w:t xml:space="preserve"> / totalement / ***</w:t>
      </w:r>
    </w:p>
    <w:p w14:paraId="761E0CAF" w14:textId="77777777" w:rsidR="004B2808" w:rsidRDefault="00000000">
      <w:pPr>
        <w:ind w:left="567"/>
        <w:jc w:val="both"/>
      </w:pPr>
      <w:r>
        <w:rPr>
          <w:b/>
        </w:rPr>
        <w:t>(soit par défaut)</w:t>
      </w:r>
    </w:p>
    <w:p w14:paraId="79D9976C" w14:textId="77777777" w:rsidR="004B2808" w:rsidRDefault="00000000">
      <w:pPr>
        <w:ind w:left="567"/>
        <w:jc w:val="both"/>
      </w:pPr>
      <w:r>
        <w:rPr>
          <w:rStyle w:val="soitChar"/>
          <w:u w:val="single"/>
        </w:rPr>
        <w:t>Partiellement :</w:t>
      </w:r>
    </w:p>
    <w:p w14:paraId="2B930232" w14:textId="77777777" w:rsidR="004B2808" w:rsidRDefault="00000000">
      <w:pPr>
        <w:ind w:left="567"/>
        <w:jc w:val="both"/>
      </w:pPr>
      <w:r>
        <w:rPr>
          <w:rStyle w:val="soitChar"/>
        </w:rPr>
        <w:t>La face inférieure et au moins une partie des chants sont recouverts d’une feuille en :</w:t>
      </w:r>
      <w:r>
        <w:rPr>
          <w:rStyle w:val="optioncarChar"/>
        </w:rPr>
        <w:t xml:space="preserve">acier galvanisé </w:t>
      </w:r>
      <w:r>
        <w:t>(par défaut)</w:t>
      </w:r>
      <w:r>
        <w:rPr>
          <w:rStyle w:val="optioncarChar"/>
        </w:rPr>
        <w:t xml:space="preserve"> / aluminium / ***</w:t>
      </w:r>
    </w:p>
    <w:p w14:paraId="41C80AA9" w14:textId="77777777" w:rsidR="004B2808" w:rsidRDefault="00000000">
      <w:pPr>
        <w:ind w:left="567"/>
        <w:jc w:val="both"/>
      </w:pPr>
      <w:r>
        <w:rPr>
          <w:rStyle w:val="soitChar"/>
        </w:rPr>
        <w:t>La face supérieure est brute.</w:t>
      </w:r>
    </w:p>
    <w:p w14:paraId="324DCEB6" w14:textId="77777777" w:rsidR="004B2808" w:rsidRDefault="00000000">
      <w:pPr>
        <w:ind w:left="567"/>
        <w:jc w:val="both"/>
      </w:pPr>
      <w:r>
        <w:rPr>
          <w:b/>
        </w:rPr>
        <w:t>(soit)</w:t>
      </w:r>
    </w:p>
    <w:p w14:paraId="6DFFE35F" w14:textId="77777777" w:rsidR="004B2808" w:rsidRDefault="00000000">
      <w:pPr>
        <w:ind w:left="567"/>
        <w:jc w:val="both"/>
      </w:pPr>
      <w:r>
        <w:rPr>
          <w:rStyle w:val="soitChar"/>
          <w:u w:val="single"/>
        </w:rPr>
        <w:t>Totalement :</w:t>
      </w:r>
    </w:p>
    <w:p w14:paraId="0CC2A9C1" w14:textId="77777777" w:rsidR="004B2808" w:rsidRDefault="00000000">
      <w:pPr>
        <w:ind w:left="567"/>
        <w:jc w:val="both"/>
      </w:pPr>
      <w:r>
        <w:rPr>
          <w:rStyle w:val="soitChar"/>
        </w:rPr>
        <w:t xml:space="preserve">Toutes les faces sont recouvertes d’un habillage en : </w:t>
      </w:r>
      <w:r>
        <w:rPr>
          <w:rStyle w:val="optioncarChar"/>
        </w:rPr>
        <w:t xml:space="preserve">acier galvanisé </w:t>
      </w:r>
      <w:r>
        <w:t xml:space="preserve">(par défaut) </w:t>
      </w:r>
      <w:r>
        <w:rPr>
          <w:rStyle w:val="optioncarChar"/>
        </w:rPr>
        <w:t>/ aluminium / ***  </w:t>
      </w:r>
    </w:p>
    <w:p w14:paraId="22F6F681" w14:textId="77777777" w:rsidR="004B2808" w:rsidRDefault="00000000">
      <w:pPr>
        <w:jc w:val="both"/>
      </w:pPr>
      <w:r>
        <w:t xml:space="preserve">Dimensions nominale (L x l) : </w:t>
      </w:r>
      <w:r>
        <w:rPr>
          <w:rStyle w:val="optioncarChar"/>
        </w:rPr>
        <w:t>500 x 500 / 600 x 600</w:t>
      </w:r>
      <w:r>
        <w:t xml:space="preserve"> (par défaut)</w:t>
      </w:r>
      <w:r>
        <w:rPr>
          <w:rStyle w:val="optioncarChar"/>
        </w:rPr>
        <w:t xml:space="preserve"> / ***</w:t>
      </w:r>
    </w:p>
    <w:p w14:paraId="775B7ED6" w14:textId="77777777" w:rsidR="004B2808" w:rsidRDefault="00000000">
      <w:pPr>
        <w:jc w:val="both"/>
      </w:pPr>
      <w:r>
        <w:t xml:space="preserve">Epaisseur nominale sans revêtement de surface : </w:t>
      </w:r>
      <w:r>
        <w:rPr>
          <w:rStyle w:val="optioncarChar"/>
        </w:rPr>
        <w:t xml:space="preserve">16 / 20 / 28 / 30 / 38 </w:t>
      </w:r>
      <w:r>
        <w:t xml:space="preserve">(par défaut) </w:t>
      </w:r>
      <w:r>
        <w:rPr>
          <w:rStyle w:val="optioncarChar"/>
        </w:rPr>
        <w:t>/ 40 / 44 / ***</w:t>
      </w:r>
      <w:r>
        <w:t xml:space="preserve"> mm</w:t>
      </w:r>
    </w:p>
    <w:p w14:paraId="0C1DDEFE" w14:textId="77777777" w:rsidR="004B2808" w:rsidRDefault="00000000">
      <w:pPr>
        <w:jc w:val="both"/>
      </w:pPr>
      <w:r>
        <w:t xml:space="preserve">Masse surfacique nominale : </w:t>
      </w:r>
      <w:r>
        <w:rPr>
          <w:rStyle w:val="optioncarChar"/>
        </w:rPr>
        <w:t>30 / 34</w:t>
      </w:r>
      <w:r>
        <w:t xml:space="preserve"> (par défaut) </w:t>
      </w:r>
      <w:r>
        <w:rPr>
          <w:rStyle w:val="optioncarChar"/>
        </w:rPr>
        <w:t>/ ***</w:t>
      </w:r>
      <w:r>
        <w:t xml:space="preserve"> kg/m²</w:t>
      </w:r>
    </w:p>
    <w:p w14:paraId="71006480" w14:textId="77777777" w:rsidR="004B2808" w:rsidRDefault="00000000">
      <w:pPr>
        <w:jc w:val="both"/>
      </w:pPr>
      <w:r>
        <w:t xml:space="preserve">Bords : </w:t>
      </w:r>
      <w:r>
        <w:rPr>
          <w:rStyle w:val="optioncarChar"/>
        </w:rPr>
        <w:t xml:space="preserve">chanfreinés </w:t>
      </w:r>
      <w:r>
        <w:t>(par défaut)</w:t>
      </w:r>
      <w:r>
        <w:rPr>
          <w:rStyle w:val="optioncarChar"/>
        </w:rPr>
        <w:t xml:space="preserve"> / ***</w:t>
      </w:r>
    </w:p>
    <w:p w14:paraId="371C857A" w14:textId="77777777" w:rsidR="004B2808" w:rsidRDefault="00000000">
      <w:pPr>
        <w:jc w:val="both"/>
      </w:pPr>
      <w:r>
        <w:t xml:space="preserve">Cadre périphérique (recouvrement des chants) en : </w:t>
      </w:r>
      <w:r>
        <w:rPr>
          <w:rStyle w:val="optioncarChar"/>
        </w:rPr>
        <w:t>PVC (autoextinguibles – antistatiques) </w:t>
      </w:r>
      <w:r>
        <w:t>(par défaut)</w:t>
      </w:r>
      <w:r>
        <w:rPr>
          <w:rStyle w:val="optioncarChar"/>
        </w:rPr>
        <w:t xml:space="preserve"> / acier galvanisé / ABS / aluminium / ***</w:t>
      </w:r>
    </w:p>
    <w:p w14:paraId="5C396047" w14:textId="77777777" w:rsidR="004B2808" w:rsidRDefault="00000000">
      <w:pPr>
        <w:jc w:val="both"/>
      </w:pPr>
      <w:r>
        <w:t xml:space="preserve">Pré-perçages pour vissage aux vérins / pieds : </w:t>
      </w:r>
      <w:r>
        <w:rPr>
          <w:rStyle w:val="optioncarChar"/>
        </w:rPr>
        <w:t>selon la documentation technique qui accompagne le produit</w:t>
      </w:r>
      <w:r>
        <w:t xml:space="preserve"> (par défaut)</w:t>
      </w:r>
      <w:r>
        <w:rPr>
          <w:rStyle w:val="optioncarChar"/>
        </w:rPr>
        <w:t xml:space="preserve"> / avec / sans / ***</w:t>
      </w:r>
    </w:p>
    <w:p w14:paraId="202F5E29" w14:textId="77777777" w:rsidR="004B2808" w:rsidRDefault="00000000">
      <w:pPr>
        <w:jc w:val="both"/>
      </w:pPr>
      <w:r>
        <w:t xml:space="preserve">Indice d’isolement acoustique normalisé - Dnfw : ≥ </w:t>
      </w:r>
      <w:r>
        <w:rPr>
          <w:rStyle w:val="optioncarChar"/>
        </w:rPr>
        <w:t>40</w:t>
      </w:r>
      <w:r>
        <w:t xml:space="preserve"> (par défaut) </w:t>
      </w:r>
      <w:r>
        <w:rPr>
          <w:rStyle w:val="optioncarChar"/>
        </w:rPr>
        <w:t>/ 42 / 44 / 47 / 48 / ***</w:t>
      </w:r>
      <w:r>
        <w:t xml:space="preserve"> dB</w:t>
      </w:r>
    </w:p>
    <w:p w14:paraId="543C009E" w14:textId="77777777" w:rsidR="004B2808" w:rsidRDefault="00000000">
      <w:pPr>
        <w:jc w:val="both"/>
      </w:pPr>
      <w:r>
        <w:t xml:space="preserve">Isolation acoustique contre les chocs - Lnfw : ≤ </w:t>
      </w:r>
      <w:r>
        <w:rPr>
          <w:rStyle w:val="optioncarChar"/>
        </w:rPr>
        <w:t xml:space="preserve">68 </w:t>
      </w:r>
      <w:r>
        <w:t>(par défaut)</w:t>
      </w:r>
      <w:r>
        <w:rPr>
          <w:rStyle w:val="optioncarChar"/>
        </w:rPr>
        <w:t xml:space="preserve"> / 69 / 70 / ***</w:t>
      </w:r>
      <w:r>
        <w:t xml:space="preserve"> dB</w:t>
      </w:r>
    </w:p>
    <w:p w14:paraId="1CF0904E" w14:textId="77777777" w:rsidR="004B2808" w:rsidRDefault="00000000">
      <w:pPr>
        <w:jc w:val="both"/>
      </w:pPr>
      <w:r>
        <w:t xml:space="preserve">Système avec joints néoprène (minimisent la perte d'air à travers la surface du sol surélevée) : </w:t>
      </w:r>
      <w:r>
        <w:rPr>
          <w:rStyle w:val="optioncarChar"/>
        </w:rPr>
        <w:t xml:space="preserve">sans </w:t>
      </w:r>
      <w:r>
        <w:t>(par défaut)</w:t>
      </w:r>
      <w:r>
        <w:rPr>
          <w:rStyle w:val="optioncarChar"/>
        </w:rPr>
        <w:t xml:space="preserve"> / avec</w:t>
      </w:r>
    </w:p>
    <w:p w14:paraId="53DCD12F" w14:textId="77777777" w:rsidR="004B2808" w:rsidRDefault="00000000">
      <w:pPr>
        <w:jc w:val="both"/>
      </w:pPr>
      <w:r>
        <w:rPr>
          <w:b/>
        </w:rPr>
        <w:t>C- Accessoires :</w:t>
      </w:r>
    </w:p>
    <w:p w14:paraId="5951D18A" w14:textId="77777777" w:rsidR="004B2808" w:rsidRDefault="00000000">
      <w:pPr>
        <w:pStyle w:val="Author-eListParagraph"/>
        <w:numPr>
          <w:ilvl w:val="0"/>
          <w:numId w:val="535"/>
        </w:numPr>
      </w:pPr>
      <w:r>
        <w:t>Boitiers de connexion, passes-câbles, grilles de ventilation, rampes, …</w:t>
      </w:r>
      <w:r>
        <w:br/>
        <w:t xml:space="preserve">Ils sont notamment décrits et compris séparément au </w:t>
      </w:r>
      <w:hyperlink w:anchor="1261" w:history="1">
        <w:r w:rsidR="004B2808">
          <w:rPr>
            <w:color w:val="0000EE"/>
          </w:rPr>
          <w:t>53.6 Eléments particuliers et finitions</w:t>
        </w:r>
      </w:hyperlink>
      <w:r>
        <w:t xml:space="preserve"> / 6 T6 HVAC - sanitaires / 7 T7 Electricité / … et suivants.</w:t>
      </w:r>
      <w:r>
        <w:br/>
      </w:r>
    </w:p>
    <w:p w14:paraId="32E07054" w14:textId="77777777" w:rsidR="004B2808" w:rsidRDefault="00000000">
      <w:pPr>
        <w:jc w:val="both"/>
      </w:pPr>
      <w:r>
        <w:t>Tolérances dimensionnelles des dalles : selon la [NBN EN 12825].</w:t>
      </w:r>
    </w:p>
    <w:p w14:paraId="67420E25" w14:textId="77777777" w:rsidR="004B2808" w:rsidRDefault="00000000">
      <w:pPr>
        <w:jc w:val="both"/>
      </w:pPr>
      <w:r>
        <w:t xml:space="preserve">Réaction au feu pour l’ensemble du système de plancher surélevé : </w:t>
      </w:r>
      <w:r>
        <w:rPr>
          <w:rStyle w:val="optioncarChar"/>
        </w:rPr>
        <w:t xml:space="preserve">A1 / A2fl-s1 / Bfl-s1 </w:t>
      </w:r>
      <w:r>
        <w:t>(par défaut)</w:t>
      </w:r>
      <w:r>
        <w:rPr>
          <w:rStyle w:val="optioncarChar"/>
        </w:rPr>
        <w:t xml:space="preserve"> / ***</w:t>
      </w:r>
      <w:r>
        <w:t xml:space="preserve"> selon la [NBN EN 13501-1]</w:t>
      </w:r>
    </w:p>
    <w:p w14:paraId="6C259427" w14:textId="77777777" w:rsidR="004B2808" w:rsidRDefault="00000000">
      <w:pPr>
        <w:jc w:val="both"/>
      </w:pPr>
      <w:r>
        <w:lastRenderedPageBreak/>
        <w:t xml:space="preserve">Classe résistance au feu pour l’ensemble du système de plancher surélevé : </w:t>
      </w:r>
      <w:r>
        <w:rPr>
          <w:rStyle w:val="optioncarChar"/>
        </w:rPr>
        <w:t xml:space="preserve">R15 / R30 </w:t>
      </w:r>
      <w:r>
        <w:t>(par défaut)</w:t>
      </w:r>
      <w:r>
        <w:rPr>
          <w:rStyle w:val="optioncarChar"/>
        </w:rPr>
        <w:t xml:space="preserve"> / RE 30 / REI 30 / REI 60 / ***</w:t>
      </w:r>
      <w:r>
        <w:t xml:space="preserve"> selon [NBN EN 13501-2]</w:t>
      </w:r>
    </w:p>
    <w:p w14:paraId="78B19FE4" w14:textId="77777777" w:rsidR="004B2808" w:rsidRDefault="00000000">
      <w:pPr>
        <w:jc w:val="both"/>
      </w:pPr>
      <w:r>
        <w:t xml:space="preserve">Classe de sollicitation – Charges d’exploitation selon [NBN EN 1991-1-1] : </w:t>
      </w:r>
      <w:r>
        <w:rPr>
          <w:rStyle w:val="optioncarChar"/>
        </w:rPr>
        <w:t xml:space="preserve">A / B </w:t>
      </w:r>
      <w:r>
        <w:t>(par défaut)</w:t>
      </w:r>
      <w:r>
        <w:rPr>
          <w:rStyle w:val="optioncarChar"/>
        </w:rPr>
        <w:t xml:space="preserve"> / C1 / C2 / C3 / C4 / C5 / D1 / D2 / ***</w:t>
      </w:r>
    </w:p>
    <w:p w14:paraId="514FD441" w14:textId="77777777" w:rsidR="004B2808" w:rsidRDefault="00000000">
      <w:pPr>
        <w:jc w:val="both"/>
      </w:pPr>
      <w:r>
        <w:t xml:space="preserve">Classe de résistance ≥ : </w:t>
      </w:r>
      <w:r>
        <w:rPr>
          <w:rStyle w:val="optioncarChar"/>
        </w:rPr>
        <w:t>1 (≥ 4 kN) / 2 (≥ 6 kN)</w:t>
      </w:r>
      <w:r>
        <w:t xml:space="preserve"> (par défaut) </w:t>
      </w:r>
      <w:r>
        <w:rPr>
          <w:rStyle w:val="optioncarChar"/>
        </w:rPr>
        <w:t>/ 3 (≥ 8 kN) / 4 (≥ 9 kN) / 5 (≥ 10 kN) / 6 (≥ 12 kN)</w:t>
      </w:r>
      <w:r>
        <w:t xml:space="preserve"> selon [NBN EN 12825].</w:t>
      </w:r>
    </w:p>
    <w:p w14:paraId="7E8EA723" w14:textId="77777777" w:rsidR="004B2808" w:rsidRDefault="00000000">
      <w:pPr>
        <w:jc w:val="both"/>
      </w:pPr>
      <w:r>
        <w:t xml:space="preserve"> Coefficient de sécurité (charge de rupture) : </w:t>
      </w:r>
      <w:r>
        <w:rPr>
          <w:rStyle w:val="optioncarChar"/>
        </w:rPr>
        <w:t>2</w:t>
      </w:r>
      <w:r>
        <w:t xml:space="preserve"> (par défaut) </w:t>
      </w:r>
      <w:r>
        <w:rPr>
          <w:rStyle w:val="optioncarChar"/>
        </w:rPr>
        <w:t>/ 3</w:t>
      </w:r>
    </w:p>
    <w:p w14:paraId="41AEEEA3" w14:textId="77777777" w:rsidR="004B2808" w:rsidRDefault="00000000">
      <w:pPr>
        <w:jc w:val="both"/>
      </w:pPr>
      <w:r>
        <w:t xml:space="preserve">Déformation sous charge – Classe de flèche (déformation maximale sous charge de service) : </w:t>
      </w:r>
      <w:r>
        <w:rPr>
          <w:rStyle w:val="optioncarChar"/>
        </w:rPr>
        <w:t>A (≤ 2,5 mm)</w:t>
      </w:r>
      <w:r>
        <w:t xml:space="preserve"> (par défaut)</w:t>
      </w:r>
      <w:r>
        <w:rPr>
          <w:rStyle w:val="optioncarChar"/>
        </w:rPr>
        <w:t xml:space="preserve"> / B (≤ 3 mm) / C (≤ 4 mm)</w:t>
      </w:r>
      <w:r>
        <w:t xml:space="preserve"> selon [NBN EN 12825].</w:t>
      </w:r>
    </w:p>
    <w:p w14:paraId="6F05C60B" w14:textId="77777777" w:rsidR="004B2808" w:rsidRDefault="00000000">
      <w:pPr>
        <w:jc w:val="both"/>
      </w:pPr>
      <w:r>
        <w:t>Résistance aux charges dynamiques : selon la [NBN EN 12825] </w:t>
      </w:r>
    </w:p>
    <w:p w14:paraId="4B8B843D" w14:textId="77777777" w:rsidR="004B2808" w:rsidRDefault="00000000">
      <w:pPr>
        <w:jc w:val="both"/>
      </w:pPr>
      <w:r>
        <w:t>Antistaticité : selon la [NBN EN 1815]</w:t>
      </w:r>
    </w:p>
    <w:p w14:paraId="425CF5E5" w14:textId="77777777" w:rsidR="004B2808" w:rsidRDefault="00000000">
      <w:pPr>
        <w:jc w:val="both"/>
      </w:pPr>
      <w:r>
        <w:t>Electroconductivité : selon la [NBN EN 1081:2018+A1]</w:t>
      </w:r>
    </w:p>
    <w:p w14:paraId="035234F3" w14:textId="77777777" w:rsidR="004B2808" w:rsidRDefault="00000000">
      <w:pPr>
        <w:jc w:val="both"/>
      </w:pPr>
      <w:r>
        <w:t>Le revêtement de finition du sol répond aux exigences de réaction au feu imposées.</w:t>
      </w:r>
    </w:p>
    <w:p w14:paraId="03C61131" w14:textId="77777777" w:rsidR="004B2808" w:rsidRDefault="00000000">
      <w:pPr>
        <w:pStyle w:val="pheading"/>
      </w:pPr>
      <w:r>
        <w:t>- Finitions</w:t>
      </w:r>
    </w:p>
    <w:p w14:paraId="608E4025" w14:textId="77777777" w:rsidR="004B2808" w:rsidRDefault="00000000">
      <w:pPr>
        <w:jc w:val="both"/>
      </w:pPr>
      <w:r>
        <w:t xml:space="preserve">Les dalles sont dotées d’un revêtement de finition collé en usine : </w:t>
      </w:r>
      <w:r>
        <w:rPr>
          <w:rStyle w:val="optioncarChar"/>
        </w:rPr>
        <w:t xml:space="preserve">non </w:t>
      </w:r>
      <w:r>
        <w:t>(par défaut)</w:t>
      </w:r>
      <w:r>
        <w:rPr>
          <w:rStyle w:val="optioncarChar"/>
        </w:rPr>
        <w:t xml:space="preserve"> / oui</w:t>
      </w:r>
    </w:p>
    <w:p w14:paraId="4C3FB6E1" w14:textId="77777777" w:rsidR="004B2808" w:rsidRDefault="00000000">
      <w:pPr>
        <w:jc w:val="both"/>
      </w:pPr>
      <w:r>
        <w:rPr>
          <w:b/>
        </w:rPr>
        <w:t>(soit par défaut)</w:t>
      </w:r>
    </w:p>
    <w:p w14:paraId="4357B26D" w14:textId="77777777" w:rsidR="004B2808" w:rsidRDefault="00000000">
      <w:pPr>
        <w:jc w:val="both"/>
      </w:pPr>
      <w:r>
        <w:rPr>
          <w:rStyle w:val="soitChar"/>
          <w:u w:val="single"/>
        </w:rPr>
        <w:t>Non :</w:t>
      </w:r>
    </w:p>
    <w:p w14:paraId="1664CD87" w14:textId="77777777" w:rsidR="004B2808" w:rsidRDefault="00000000">
      <w:pPr>
        <w:jc w:val="both"/>
      </w:pPr>
      <w:r>
        <w:rPr>
          <w:rStyle w:val="soitChar"/>
        </w:rPr>
        <w:t xml:space="preserve">Les dalles brutes sont recouvertes in situ d’un revêtement décrit au </w:t>
      </w:r>
      <w:hyperlink w:anchor="1130" w:history="1">
        <w:r w:rsidR="004B2808">
          <w:rPr>
            <w:rStyle w:val="soitChar"/>
            <w:color w:val="0000EE"/>
          </w:rPr>
          <w:t>53.5 Revêtements de sols intérieurs</w:t>
        </w:r>
      </w:hyperlink>
      <w:r>
        <w:rPr>
          <w:rStyle w:val="soitChar"/>
        </w:rPr>
        <w:t xml:space="preserve"> et suivants.</w:t>
      </w:r>
    </w:p>
    <w:p w14:paraId="342D63EC" w14:textId="77777777" w:rsidR="004B2808" w:rsidRDefault="00000000">
      <w:pPr>
        <w:jc w:val="both"/>
      </w:pPr>
      <w:r>
        <w:rPr>
          <w:b/>
        </w:rPr>
        <w:t>(soit)</w:t>
      </w:r>
    </w:p>
    <w:p w14:paraId="4C5F3132" w14:textId="77777777" w:rsidR="004B2808" w:rsidRDefault="00000000">
      <w:pPr>
        <w:jc w:val="both"/>
      </w:pPr>
      <w:r>
        <w:rPr>
          <w:rStyle w:val="soitChar"/>
          <w:u w:val="single"/>
        </w:rPr>
        <w:t>Oui :</w:t>
      </w:r>
      <w:r>
        <w:t xml:space="preserve">  </w:t>
      </w:r>
      <w:r>
        <w:rPr>
          <w:rStyle w:val="optioncarChar"/>
        </w:rPr>
        <w:t>stratifié haute pression (HPL) / textile / linoléum / caoutchouc / vinyle / ***</w:t>
      </w:r>
    </w:p>
    <w:p w14:paraId="7AEF2A8B" w14:textId="77777777" w:rsidR="004B2808" w:rsidRDefault="00000000">
      <w:pPr>
        <w:jc w:val="both"/>
      </w:pPr>
      <w:r>
        <w:rPr>
          <w:rStyle w:val="soitChar"/>
        </w:rPr>
        <w:t>Coloris : </w:t>
      </w:r>
      <w:r>
        <w:rPr>
          <w:rStyle w:val="optioncarChar"/>
        </w:rPr>
        <w:t xml:space="preserve">au choix dans le nuancier standard du fabricant </w:t>
      </w:r>
      <w:r>
        <w:t xml:space="preserve">(par défaut) </w:t>
      </w:r>
      <w:r>
        <w:rPr>
          <w:rStyle w:val="optioncarChar"/>
        </w:rPr>
        <w:t>/ ***</w:t>
      </w:r>
    </w:p>
    <w:p w14:paraId="44401F77" w14:textId="77777777" w:rsidR="004B2808" w:rsidRDefault="00000000">
      <w:pPr>
        <w:jc w:val="both"/>
      </w:pPr>
      <w:r>
        <w:rPr>
          <w:rStyle w:val="soitChar"/>
        </w:rPr>
        <w:t xml:space="preserve">Dessin : </w:t>
      </w:r>
      <w:r>
        <w:rPr>
          <w:rStyle w:val="optioncarChar"/>
        </w:rPr>
        <w:t>au choix dans la gamme standard du fabricant</w:t>
      </w:r>
      <w:r>
        <w:t xml:space="preserve"> (par défaut)</w:t>
      </w:r>
      <w:r>
        <w:rPr>
          <w:rStyle w:val="optioncarChar"/>
        </w:rPr>
        <w:t xml:space="preserve"> / légèrement marbré / tacheté / uniforme / ***</w:t>
      </w:r>
    </w:p>
    <w:p w14:paraId="6B03F391" w14:textId="77777777" w:rsidR="004B2808" w:rsidRDefault="00000000">
      <w:pPr>
        <w:jc w:val="both"/>
      </w:pPr>
      <w:r>
        <w:rPr>
          <w:rStyle w:val="soitChar"/>
        </w:rPr>
        <w:t xml:space="preserve">Pour les différentes surfaces - locaux : </w:t>
      </w:r>
      <w:r>
        <w:rPr>
          <w:rStyle w:val="optioncarChar"/>
        </w:rPr>
        <w:t xml:space="preserve">des dessins et coloris différents peuvent être choisis </w:t>
      </w:r>
      <w:r>
        <w:t>(par défaut)</w:t>
      </w:r>
      <w:r>
        <w:rPr>
          <w:rStyle w:val="optioncarChar"/>
        </w:rPr>
        <w:t xml:space="preserve"> / dessins et coloris sont identiques / ***</w:t>
      </w:r>
    </w:p>
    <w:p w14:paraId="11A3EBA1" w14:textId="77777777" w:rsidR="004B2808" w:rsidRDefault="00000000">
      <w:pPr>
        <w:jc w:val="both"/>
      </w:pPr>
      <w:r>
        <w:rPr>
          <w:rStyle w:val="soitChar"/>
        </w:rPr>
        <w:t>Motifs particuliers :</w:t>
      </w:r>
      <w:r>
        <w:rPr>
          <w:rStyle w:val="optioncarChar"/>
        </w:rPr>
        <w:t> selon indications aux plans</w:t>
      </w:r>
      <w:r>
        <w:t xml:space="preserve"> (par défaut) </w:t>
      </w:r>
      <w:r>
        <w:rPr>
          <w:rStyle w:val="optioncarChar"/>
        </w:rPr>
        <w:t>/ dessin multicolore / dessin intégré / logo intégré / *** </w:t>
      </w:r>
    </w:p>
    <w:p w14:paraId="58932CF8" w14:textId="77777777" w:rsidR="004B2808" w:rsidRDefault="00000000">
      <w:pPr>
        <w:jc w:val="both"/>
      </w:pPr>
      <w:r>
        <w:t>Afin d’obtenir une uniformité et quelle que soit la finition retenue, chaque surface - zone continue est recouverte d’un revêtement faisant partie d’un même lot.</w:t>
      </w:r>
    </w:p>
    <w:p w14:paraId="213109C0" w14:textId="77777777" w:rsidR="004B2808" w:rsidRDefault="00000000">
      <w:pPr>
        <w:pStyle w:val="pheading"/>
      </w:pPr>
      <w:r>
        <w:t>EXÉCUTION / MISE EN ŒUVRE</w:t>
      </w:r>
    </w:p>
    <w:p w14:paraId="714FD48D" w14:textId="77777777" w:rsidR="004B2808" w:rsidRDefault="00000000">
      <w:pPr>
        <w:pStyle w:val="pheading"/>
      </w:pPr>
      <w:r>
        <w:t>- Prescriptions générales</w:t>
      </w:r>
    </w:p>
    <w:p w14:paraId="1E9A2235" w14:textId="77777777" w:rsidR="004B2808" w:rsidRDefault="00000000">
      <w:pPr>
        <w:jc w:val="both"/>
      </w:pPr>
      <w:r>
        <w:t xml:space="preserve">Fixation des vérins au support : </w:t>
      </w:r>
      <w:r>
        <w:rPr>
          <w:rStyle w:val="optioncarChar"/>
        </w:rPr>
        <w:t>selon la documentation technique qui accompagne le produit</w:t>
      </w:r>
      <w:r>
        <w:t> (par défaut)</w:t>
      </w:r>
      <w:r>
        <w:rPr>
          <w:rStyle w:val="optioncarChar"/>
        </w:rPr>
        <w:t xml:space="preserve"> / par collage / par fixation mécanique / ***</w:t>
      </w:r>
    </w:p>
    <w:p w14:paraId="1A1EFDD5" w14:textId="77777777" w:rsidR="004B2808" w:rsidRDefault="00000000">
      <w:pPr>
        <w:jc w:val="both"/>
      </w:pPr>
      <w:r>
        <w:t>La pose des dalles sur les têtes de vérin s’effectue par </w:t>
      </w:r>
      <w:r>
        <w:rPr>
          <w:rStyle w:val="optioncarChar"/>
        </w:rPr>
        <w:t>clipsage / vissage / ***</w:t>
      </w:r>
    </w:p>
    <w:p w14:paraId="31FC9F29" w14:textId="77777777" w:rsidR="004B2808" w:rsidRDefault="00000000">
      <w:pPr>
        <w:jc w:val="both"/>
      </w:pPr>
      <w:r>
        <w:t xml:space="preserve">Les détails de jonction du plancher surélevé avec les parois adjacentes sont réalisés : </w:t>
      </w:r>
      <w:r>
        <w:rPr>
          <w:rStyle w:val="optioncarChar"/>
        </w:rPr>
        <w:t xml:space="preserve">selon les détails joints aux plans </w:t>
      </w:r>
      <w:r>
        <w:t>(par défaut)</w:t>
      </w:r>
      <w:r>
        <w:rPr>
          <w:rStyle w:val="optioncarChar"/>
        </w:rPr>
        <w:t xml:space="preserve"> / ***</w:t>
      </w:r>
    </w:p>
    <w:p w14:paraId="4372A603" w14:textId="77777777" w:rsidR="004B2808" w:rsidRDefault="00000000">
      <w:pPr>
        <w:jc w:val="both"/>
      </w:pPr>
      <w:r>
        <w:t xml:space="preserve">Le calepinage est réalisé selon : </w:t>
      </w:r>
      <w:r>
        <w:rPr>
          <w:rStyle w:val="optioncarChar"/>
        </w:rPr>
        <w:t>selon les détails joints aux plans</w:t>
      </w:r>
      <w:r>
        <w:t xml:space="preserve"> (par défaut) </w:t>
      </w:r>
      <w:r>
        <w:rPr>
          <w:rStyle w:val="optioncarChar"/>
        </w:rPr>
        <w:t>/ ***</w:t>
      </w:r>
    </w:p>
    <w:p w14:paraId="20578AD2" w14:textId="77777777" w:rsidR="004B2808" w:rsidRDefault="004B2808">
      <w:pPr>
        <w:jc w:val="both"/>
      </w:pPr>
    </w:p>
    <w:p w14:paraId="597569F0" w14:textId="77777777" w:rsidR="004B2808" w:rsidRDefault="00000000">
      <w:pPr>
        <w:jc w:val="both"/>
      </w:pPr>
      <w:r>
        <w:t>Le cas échéant, les bords coupés des panneaux sont protégés selon la documentation technique qui accompagne le produit.</w:t>
      </w:r>
    </w:p>
    <w:p w14:paraId="086DF941" w14:textId="77777777" w:rsidR="004B2808" w:rsidRDefault="00000000">
      <w:pPr>
        <w:jc w:val="both"/>
      </w:pPr>
      <w:r>
        <w:lastRenderedPageBreak/>
        <w:t>Après réalisation, chaque panneau composant le plancher surélevé peut être retiré à l'aide d'un outil approprié (ventouse, brosses à aiguilles pour la moquette, …) . Chaque panneau, après avoir été retiré, doit pouvoir être replacé dans sa position d'origine sans forcer.</w:t>
      </w:r>
    </w:p>
    <w:p w14:paraId="7DFFD6A6" w14:textId="77777777" w:rsidR="004B2808" w:rsidRDefault="00000000">
      <w:pPr>
        <w:pStyle w:val="pheading"/>
      </w:pPr>
      <w:r>
        <w:t>- Échantillons</w:t>
      </w:r>
    </w:p>
    <w:p w14:paraId="5ADAACAB" w14:textId="77777777" w:rsidR="004B2808" w:rsidRDefault="00000000">
      <w:pPr>
        <w:jc w:val="both"/>
      </w:pPr>
      <w:r>
        <w:t>Avant commande, l’entrepreneur soumet les différents nuanciers à la direction des travaux.</w:t>
      </w:r>
    </w:p>
    <w:p w14:paraId="121EFA75" w14:textId="77777777" w:rsidR="004B2808" w:rsidRDefault="00000000">
      <w:pPr>
        <w:pStyle w:val="pheading"/>
      </w:pPr>
      <w:r>
        <w:t>MESURAGE</w:t>
      </w:r>
    </w:p>
    <w:p w14:paraId="497B2847" w14:textId="77777777" w:rsidR="004B2808" w:rsidRDefault="00000000">
      <w:pPr>
        <w:pStyle w:val="pheading"/>
      </w:pPr>
      <w:r>
        <w:t>- unité de mesure:</w:t>
      </w:r>
    </w:p>
    <w:p w14:paraId="14C51A77" w14:textId="77777777" w:rsidR="004B2808" w:rsidRDefault="00000000">
      <w:r>
        <w:rPr>
          <w:rStyle w:val="optioncarChar"/>
        </w:rPr>
        <w:t xml:space="preserve">m² </w:t>
      </w:r>
      <w:r>
        <w:t xml:space="preserve">(par défaut) </w:t>
      </w:r>
      <w:r>
        <w:rPr>
          <w:rStyle w:val="optioncarChar"/>
        </w:rPr>
        <w:t>/ fft</w:t>
      </w:r>
    </w:p>
    <w:p w14:paraId="68950592" w14:textId="77777777" w:rsidR="004B2808" w:rsidRDefault="00000000">
      <w:r>
        <w:rPr>
          <w:b/>
        </w:rPr>
        <w:t>(soit par défaut)</w:t>
      </w:r>
      <w:r>
        <w:br/>
      </w:r>
      <w:r>
        <w:rPr>
          <w:rStyle w:val="soitChar"/>
        </w:rPr>
        <w:t>1.  m²</w:t>
      </w:r>
      <w:r>
        <w:br/>
      </w:r>
      <w:r>
        <w:rPr>
          <w:b/>
        </w:rPr>
        <w:t>(soit)</w:t>
      </w:r>
      <w:r>
        <w:br/>
      </w:r>
      <w:r>
        <w:rPr>
          <w:rStyle w:val="soitChar"/>
        </w:rPr>
        <w:t>2.  fft</w:t>
      </w:r>
    </w:p>
    <w:p w14:paraId="380390AD" w14:textId="77777777" w:rsidR="004B2808" w:rsidRDefault="00000000">
      <w:pPr>
        <w:pStyle w:val="pheading"/>
      </w:pPr>
      <w:r>
        <w:t>- code de mesurage:</w:t>
      </w:r>
    </w:p>
    <w:p w14:paraId="7BD20021" w14:textId="77777777" w:rsidR="004B2808" w:rsidRDefault="00000000">
      <w:pPr>
        <w:jc w:val="both"/>
      </w:pPr>
      <w:r>
        <w:rPr>
          <w:rStyle w:val="optioncarChar"/>
        </w:rPr>
        <w:t xml:space="preserve">Surface nette </w:t>
      </w:r>
      <w:r>
        <w:t>(par défaut)</w:t>
      </w:r>
      <w:r>
        <w:rPr>
          <w:rStyle w:val="optioncarChar"/>
        </w:rPr>
        <w:t xml:space="preserve"> / Pour l'ensemble des prestations à réaliser</w:t>
      </w:r>
    </w:p>
    <w:p w14:paraId="425BF689" w14:textId="77777777" w:rsidR="004B2808" w:rsidRDefault="00000000">
      <w:pPr>
        <w:jc w:val="both"/>
      </w:pPr>
      <w:r>
        <w:rPr>
          <w:b/>
        </w:rPr>
        <w:t>(soit par défaut)</w:t>
      </w:r>
    </w:p>
    <w:p w14:paraId="5D0DCC0C" w14:textId="77777777" w:rsidR="004B2808" w:rsidRDefault="00000000">
      <w:pPr>
        <w:jc w:val="both"/>
      </w:pPr>
      <w:r>
        <w:rPr>
          <w:rStyle w:val="soitChar"/>
        </w:rPr>
        <w:t>1. </w:t>
      </w:r>
      <w:r>
        <w:rPr>
          <w:rStyle w:val="soitChar"/>
          <w:u w:val="single"/>
        </w:rPr>
        <w:t xml:space="preserve"> Surface nette :</w:t>
      </w:r>
    </w:p>
    <w:p w14:paraId="7559BFDF" w14:textId="77777777" w:rsidR="004B2808" w:rsidRDefault="00000000">
      <w:pPr>
        <w:jc w:val="both"/>
      </w:pPr>
      <w:r>
        <w:rPr>
          <w:rStyle w:val="soitChar"/>
        </w:rPr>
        <w:t>En tenant compte de la plus grande longueur et largeur de la surface à recouvrir, y compris la profondeur des niches.</w:t>
      </w:r>
    </w:p>
    <w:p w14:paraId="0F22D436" w14:textId="77777777" w:rsidR="004B2808" w:rsidRDefault="00000000">
      <w:pPr>
        <w:jc w:val="both"/>
      </w:pPr>
      <w:r>
        <w:rPr>
          <w:rStyle w:val="soitChar"/>
        </w:rPr>
        <w:t>Eventuellement scindée dans différents postes selon le type de dalle, de revêtement, ...</w:t>
      </w:r>
    </w:p>
    <w:p w14:paraId="4633DB62" w14:textId="77777777" w:rsidR="004B2808" w:rsidRDefault="00000000">
      <w:pPr>
        <w:jc w:val="both"/>
      </w:pPr>
      <w:r>
        <w:rPr>
          <w:b/>
        </w:rPr>
        <w:t>(soit)</w:t>
      </w:r>
    </w:p>
    <w:p w14:paraId="4E74082E" w14:textId="77777777" w:rsidR="004B2808" w:rsidRDefault="00000000">
      <w:pPr>
        <w:jc w:val="both"/>
      </w:pPr>
      <w:r>
        <w:rPr>
          <w:rStyle w:val="soitChar"/>
        </w:rPr>
        <w:t xml:space="preserve">2.  </w:t>
      </w:r>
      <w:r>
        <w:rPr>
          <w:rStyle w:val="soitChar"/>
          <w:u w:val="single"/>
        </w:rPr>
        <w:t>Pour l’ensemble des prestations à réaliser :</w:t>
      </w:r>
    </w:p>
    <w:p w14:paraId="546AB4C9" w14:textId="77777777" w:rsidR="004B2808" w:rsidRDefault="00000000">
      <w:pPr>
        <w:jc w:val="both"/>
      </w:pPr>
      <w:r>
        <w:rPr>
          <w:rStyle w:val="soitChar"/>
        </w:rPr>
        <w:t>Le prix unitaire comprend toutes les prestations nécessaires pour l’exécution de l’ensemble.</w:t>
      </w:r>
    </w:p>
    <w:p w14:paraId="1CA66853" w14:textId="77777777" w:rsidR="004B2808" w:rsidRDefault="00000000">
      <w:pPr>
        <w:jc w:val="both"/>
      </w:pPr>
      <w:r>
        <w:rPr>
          <w:rStyle w:val="soitChar"/>
        </w:rPr>
        <w:t>Eventuellement scindé dans différents postes selon le type de dalle, de revêtement, …</w:t>
      </w:r>
    </w:p>
    <w:p w14:paraId="36FD01CF" w14:textId="77777777" w:rsidR="004B2808" w:rsidRDefault="00000000">
      <w:pPr>
        <w:pStyle w:val="pheading"/>
      </w:pPr>
      <w:r>
        <w:t>- nature du marché:</w:t>
      </w:r>
    </w:p>
    <w:p w14:paraId="233B2AE2" w14:textId="77777777" w:rsidR="004B2808" w:rsidRDefault="00000000">
      <w:r>
        <w:rPr>
          <w:rStyle w:val="optioncarChar"/>
        </w:rPr>
        <w:t>QF</w:t>
      </w:r>
      <w:r>
        <w:t xml:space="preserve"> (par défaut)</w:t>
      </w:r>
      <w:r>
        <w:rPr>
          <w:rStyle w:val="optioncarChar"/>
        </w:rPr>
        <w:t xml:space="preserve"> / PG</w:t>
      </w:r>
    </w:p>
    <w:p w14:paraId="2FE8DAEC" w14:textId="77777777" w:rsidR="004B2808" w:rsidRDefault="00000000">
      <w:r>
        <w:rPr>
          <w:b/>
        </w:rPr>
        <w:t>(soit par défaut)</w:t>
      </w:r>
      <w:r>
        <w:br/>
      </w:r>
      <w:r>
        <w:rPr>
          <w:rStyle w:val="soitChar"/>
        </w:rPr>
        <w:t>1.  QF</w:t>
      </w:r>
      <w:r>
        <w:br/>
      </w:r>
      <w:r>
        <w:rPr>
          <w:b/>
        </w:rPr>
        <w:t>(soit)</w:t>
      </w:r>
      <w:r>
        <w:br/>
      </w:r>
      <w:r>
        <w:rPr>
          <w:rStyle w:val="soitChar"/>
        </w:rPr>
        <w:t>2.  PG</w:t>
      </w:r>
    </w:p>
    <w:p w14:paraId="132359C4" w14:textId="77777777" w:rsidR="004B2808" w:rsidRDefault="00000000">
      <w:pPr>
        <w:pStyle w:val="pheading"/>
      </w:pPr>
      <w:r>
        <w:t>AIDE</w:t>
      </w:r>
    </w:p>
    <w:p w14:paraId="4E37795D" w14:textId="77777777" w:rsidR="004B2808" w:rsidRDefault="00000000">
      <w:pPr>
        <w:jc w:val="both"/>
      </w:pPr>
      <w:r>
        <w:t>Le matériau constitutif des dalles (résistance, épaisseur) est choisi en fonction notamment des charges prévues sur le plancher. Voir [NIT 230].</w:t>
      </w:r>
    </w:p>
    <w:p w14:paraId="4137B15D" w14:textId="77777777" w:rsidR="004B2808" w:rsidRDefault="00000000">
      <w:pPr>
        <w:pStyle w:val="Author-eSectionHeading4Numberless"/>
      </w:pPr>
      <w:bookmarkStart w:id="618" w:name="_Toc220490780"/>
      <w:r>
        <w:t>53.42 Planchers surélevés creux CCTB 01.11</w:t>
      </w:r>
      <w:bookmarkEnd w:id="618"/>
    </w:p>
    <w:p w14:paraId="109C08B1" w14:textId="77777777" w:rsidR="004B2808" w:rsidRDefault="00000000">
      <w:pPr>
        <w:pStyle w:val="pheading"/>
      </w:pPr>
      <w:r>
        <w:t>DESCRIPTION</w:t>
      </w:r>
    </w:p>
    <w:p w14:paraId="4D0621DA" w14:textId="77777777" w:rsidR="004B2808" w:rsidRDefault="00000000">
      <w:pPr>
        <w:pStyle w:val="pheading"/>
      </w:pPr>
      <w:r>
        <w:t>- Définition / Comprend</w:t>
      </w:r>
    </w:p>
    <w:p w14:paraId="7F4D80D5" w14:textId="77777777" w:rsidR="004B2808" w:rsidRDefault="00000000">
      <w:pPr>
        <w:jc w:val="both"/>
      </w:pPr>
      <w:r>
        <w:t>Il s’agit de la fourniture et de la pose de planchers surélevés dits « creux » dont le système est constitué d’une structure portante et de panneaux destinés à recevoir une finition.</w:t>
      </w:r>
    </w:p>
    <w:p w14:paraId="5B546702" w14:textId="77777777" w:rsidR="004B2808" w:rsidRDefault="00000000">
      <w:pPr>
        <w:jc w:val="both"/>
      </w:pPr>
      <w:r>
        <w:t>Le travail comprend notamment :</w:t>
      </w:r>
    </w:p>
    <w:p w14:paraId="5000ACD7" w14:textId="77777777" w:rsidR="004B2808" w:rsidRDefault="00000000">
      <w:pPr>
        <w:pStyle w:val="Author-eListParagraph"/>
        <w:numPr>
          <w:ilvl w:val="0"/>
          <w:numId w:val="536"/>
        </w:numPr>
      </w:pPr>
      <w:r>
        <w:t>la structure porteuse ;</w:t>
      </w:r>
    </w:p>
    <w:p w14:paraId="44F38A46" w14:textId="77777777" w:rsidR="004B2808" w:rsidRDefault="00000000">
      <w:pPr>
        <w:pStyle w:val="Author-eListParagraph"/>
        <w:numPr>
          <w:ilvl w:val="0"/>
          <w:numId w:val="536"/>
        </w:numPr>
      </w:pPr>
      <w:r>
        <w:t>la surface de circulation ;</w:t>
      </w:r>
    </w:p>
    <w:p w14:paraId="4E0C74EC" w14:textId="77777777" w:rsidR="004B2808" w:rsidRDefault="00000000">
      <w:pPr>
        <w:pStyle w:val="Author-eListParagraph"/>
        <w:numPr>
          <w:ilvl w:val="0"/>
          <w:numId w:val="536"/>
        </w:numPr>
      </w:pPr>
      <w:r>
        <w:t>les trappes d’accès ;</w:t>
      </w:r>
    </w:p>
    <w:p w14:paraId="4EEE653D" w14:textId="77777777" w:rsidR="004B2808" w:rsidRDefault="00000000">
      <w:pPr>
        <w:pStyle w:val="Author-eListParagraph"/>
        <w:numPr>
          <w:ilvl w:val="0"/>
          <w:numId w:val="536"/>
        </w:numPr>
      </w:pPr>
      <w:r>
        <w:t>les accessoires.</w:t>
      </w:r>
    </w:p>
    <w:p w14:paraId="2AAEB765" w14:textId="77777777" w:rsidR="004B2808" w:rsidRDefault="00000000">
      <w:pPr>
        <w:pStyle w:val="pheading"/>
      </w:pPr>
      <w:r>
        <w:lastRenderedPageBreak/>
        <w:t>EXÉCUTION / MISE EN ŒUVRE</w:t>
      </w:r>
    </w:p>
    <w:p w14:paraId="0BBE5631" w14:textId="77777777" w:rsidR="004B2808" w:rsidRDefault="00000000">
      <w:pPr>
        <w:jc w:val="both"/>
      </w:pPr>
      <w:r>
        <w:t>Les panneaux se posent de façon flottante sur l’infrastructure.</w:t>
      </w:r>
    </w:p>
    <w:p w14:paraId="1FFD47A1" w14:textId="77777777" w:rsidR="004B2808" w:rsidRDefault="00000000">
      <w:pPr>
        <w:jc w:val="both"/>
      </w:pPr>
      <w:r>
        <w:t>Les panneaux sont assemblés entre eux par le collage des rainures et languettes, selon la documentation technique qui accompagne le produit et afin d’obtenir un plancher continu.</w:t>
      </w:r>
    </w:p>
    <w:p w14:paraId="52B1BD4F" w14:textId="77777777" w:rsidR="004B2808" w:rsidRDefault="00000000">
      <w:pPr>
        <w:pStyle w:val="pheading"/>
      </w:pPr>
      <w:r>
        <w:t>AIDE</w:t>
      </w:r>
    </w:p>
    <w:p w14:paraId="07B86707" w14:textId="77777777" w:rsidR="004B2808" w:rsidRDefault="00000000">
      <w:pPr>
        <w:jc w:val="both"/>
      </w:pPr>
      <w:r>
        <w:t>Par rapport à un plancher surélevé amovible, le plénum des planchers creux est plus difficilement accessible.</w:t>
      </w:r>
    </w:p>
    <w:p w14:paraId="48553D87" w14:textId="77777777" w:rsidR="004B2808" w:rsidRDefault="00000000">
      <w:pPr>
        <w:pStyle w:val="Author-eSectionHeading5Numberless"/>
      </w:pPr>
      <w:bookmarkStart w:id="619" w:name="_Toc220490781"/>
      <w:r>
        <w:t>53.42.1 Planchers surélevés creux de type sec CCTB 01.11</w:t>
      </w:r>
      <w:bookmarkEnd w:id="619"/>
    </w:p>
    <w:p w14:paraId="0926308C" w14:textId="77777777" w:rsidR="004B2808" w:rsidRDefault="00000000">
      <w:pPr>
        <w:pStyle w:val="pheading"/>
      </w:pPr>
      <w:r>
        <w:t>EXÉCUTION / MISE EN ŒUVRE</w:t>
      </w:r>
    </w:p>
    <w:p w14:paraId="19212FCC" w14:textId="77777777" w:rsidR="004B2808" w:rsidRDefault="00000000">
      <w:pPr>
        <w:jc w:val="both"/>
      </w:pPr>
      <w:r>
        <w:rPr>
          <w:u w:val="single"/>
        </w:rPr>
        <w:t>Tolérances – Degrés de finition :</w:t>
      </w:r>
    </w:p>
    <w:p w14:paraId="29335CC8" w14:textId="77777777" w:rsidR="004B2808" w:rsidRDefault="00000000">
      <w:pPr>
        <w:pStyle w:val="Author-eListParagraph"/>
        <w:numPr>
          <w:ilvl w:val="0"/>
          <w:numId w:val="537"/>
        </w:numPr>
        <w:jc w:val="both"/>
      </w:pPr>
      <w:r>
        <w:t xml:space="preserve">Classe de planéité des planchers creux de type sec : </w:t>
      </w:r>
      <w:r>
        <w:rPr>
          <w:rStyle w:val="optioncarChar"/>
        </w:rPr>
        <w:t xml:space="preserve">1 (normales) </w:t>
      </w:r>
      <w:r>
        <w:t xml:space="preserve">(par défaut) </w:t>
      </w:r>
      <w:r>
        <w:rPr>
          <w:rStyle w:val="optioncarChar"/>
        </w:rPr>
        <w:t>/ 2 (sévères)</w:t>
      </w:r>
      <w:r>
        <w:t xml:space="preserve"> selon la [NIT 230]. Cette tolérance est à majorer de l’écart sur la planéité de l’élément considéré.</w:t>
      </w:r>
    </w:p>
    <w:p w14:paraId="327B3CEC" w14:textId="77777777" w:rsidR="004B2808" w:rsidRDefault="00000000">
      <w:pPr>
        <w:pStyle w:val="Author-eListParagraph"/>
        <w:numPr>
          <w:ilvl w:val="0"/>
          <w:numId w:val="537"/>
        </w:numPr>
        <w:jc w:val="both"/>
      </w:pPr>
      <w:r>
        <w:t>Dans les zones circonscrites à l’intérieur du rayon de rotation d’une porte coupe-feu, il y a lieu d’adapter la planéité du plancher surélevé aux exigences mentionnées dans l’attestation de la porte concernée.</w:t>
      </w:r>
    </w:p>
    <w:p w14:paraId="3CDD0286" w14:textId="77777777" w:rsidR="004B2808" w:rsidRDefault="00000000">
      <w:pPr>
        <w:pStyle w:val="Author-eListParagraph"/>
        <w:numPr>
          <w:ilvl w:val="0"/>
          <w:numId w:val="537"/>
        </w:numPr>
        <w:jc w:val="both"/>
      </w:pPr>
      <w:r>
        <w:t xml:space="preserve">Le contrôle de la planéité s’opère : </w:t>
      </w:r>
      <w:r>
        <w:rPr>
          <w:rStyle w:val="optioncarChar"/>
        </w:rPr>
        <w:t>local par local</w:t>
      </w:r>
      <w:r>
        <w:t xml:space="preserve"> (par défaut)</w:t>
      </w:r>
      <w:r>
        <w:rPr>
          <w:rStyle w:val="optioncarChar"/>
        </w:rPr>
        <w:t xml:space="preserve"> / ***</w:t>
      </w:r>
    </w:p>
    <w:p w14:paraId="05B6B1E3" w14:textId="77777777" w:rsidR="004B2808" w:rsidRDefault="00000000">
      <w:pPr>
        <w:pStyle w:val="Author-eSectionHeading6Numberless"/>
      </w:pPr>
      <w:bookmarkStart w:id="620" w:name="_Toc220490782"/>
      <w:r>
        <w:t>53.42.1a Planchers surélevés creux de type sec CCTB 01.11</w:t>
      </w:r>
      <w:bookmarkEnd w:id="620"/>
    </w:p>
    <w:p w14:paraId="4CD317D2" w14:textId="77777777" w:rsidR="004B2808" w:rsidRDefault="00000000">
      <w:pPr>
        <w:pStyle w:val="pheading"/>
      </w:pPr>
      <w:r>
        <w:t>DESCRIPTION</w:t>
      </w:r>
    </w:p>
    <w:p w14:paraId="5945C2A2" w14:textId="77777777" w:rsidR="004B2808" w:rsidRDefault="00000000">
      <w:pPr>
        <w:pStyle w:val="pheading"/>
      </w:pPr>
      <w:r>
        <w:t>- Définition / Comprend</w:t>
      </w:r>
    </w:p>
    <w:p w14:paraId="6448978B" w14:textId="77777777" w:rsidR="004B2808" w:rsidRDefault="00000000">
      <w:pPr>
        <w:jc w:val="both"/>
      </w:pPr>
      <w:r>
        <w:t>Il s’agit de la fourniture et de la pose de planchers surélevés « creux » de type « sec » dont le système est constitué d’une structure portante et de panneaux mis en place à sec en 1 ou 2 couches.</w:t>
      </w:r>
    </w:p>
    <w:p w14:paraId="4FEA8F67" w14:textId="77777777" w:rsidR="004B2808" w:rsidRDefault="00000000">
      <w:pPr>
        <w:jc w:val="both"/>
      </w:pPr>
      <w:r>
        <w:t xml:space="preserve">Le revêtement de finition posé in situ est décrit et compris au </w:t>
      </w:r>
      <w:hyperlink w:anchor="1130" w:history="1">
        <w:r w:rsidR="004B2808">
          <w:rPr>
            <w:color w:val="0000EE"/>
          </w:rPr>
          <w:t>53.5 Revêtements de sols intérieurs</w:t>
        </w:r>
      </w:hyperlink>
      <w:r>
        <w:t xml:space="preserve"> et suivants.</w:t>
      </w:r>
    </w:p>
    <w:p w14:paraId="748C4F70" w14:textId="77777777" w:rsidR="004B2808" w:rsidRDefault="00000000">
      <w:pPr>
        <w:pStyle w:val="pheading"/>
      </w:pPr>
      <w:r>
        <w:t>MATÉRIAUX</w:t>
      </w:r>
    </w:p>
    <w:p w14:paraId="45D0608A" w14:textId="77777777" w:rsidR="004B2808" w:rsidRDefault="00000000">
      <w:pPr>
        <w:pStyle w:val="pheading"/>
      </w:pPr>
      <w:r>
        <w:t>- Caractéristiques générales</w:t>
      </w:r>
    </w:p>
    <w:p w14:paraId="66147ADA" w14:textId="77777777" w:rsidR="004B2808" w:rsidRDefault="00000000">
      <w:pPr>
        <w:jc w:val="both"/>
      </w:pPr>
      <w:r>
        <w:t>Composition du système de planchers surélevés creux de type sec :</w:t>
      </w:r>
    </w:p>
    <w:p w14:paraId="3AB9EC8A" w14:textId="77777777" w:rsidR="004B2808" w:rsidRDefault="00000000">
      <w:pPr>
        <w:jc w:val="both"/>
      </w:pPr>
      <w:r>
        <w:rPr>
          <w:b/>
        </w:rPr>
        <w:t>A- Structure porteuse (infrastructure) :</w:t>
      </w:r>
    </w:p>
    <w:p w14:paraId="09B440D4" w14:textId="77777777" w:rsidR="004B2808" w:rsidRDefault="00000000">
      <w:pPr>
        <w:pStyle w:val="Author-eListParagraph"/>
        <w:numPr>
          <w:ilvl w:val="0"/>
          <w:numId w:val="538"/>
        </w:numPr>
      </w:pPr>
      <w:r>
        <w:rPr>
          <w:u w:val="single"/>
        </w:rPr>
        <w:t>Matériau principal :</w:t>
      </w:r>
      <w:r>
        <w:t>  </w:t>
      </w:r>
      <w:r>
        <w:rPr>
          <w:rStyle w:val="optioncarChar"/>
        </w:rPr>
        <w:t xml:space="preserve">acier galvanisé </w:t>
      </w:r>
      <w:r>
        <w:t>(par défaut)</w:t>
      </w:r>
      <w:r>
        <w:rPr>
          <w:rStyle w:val="optioncarChar"/>
        </w:rPr>
        <w:t xml:space="preserve"> / ***</w:t>
      </w:r>
      <w:r>
        <w:br/>
        <w:t>Si l’infrastructure se compose de matériaux oxydables, ceux-ci sont protégés contre la corrosion.</w:t>
      </w:r>
    </w:p>
    <w:p w14:paraId="6327BE8F" w14:textId="77777777" w:rsidR="004B2808" w:rsidRDefault="00000000">
      <w:pPr>
        <w:pStyle w:val="Author-eListParagraph"/>
        <w:numPr>
          <w:ilvl w:val="0"/>
          <w:numId w:val="538"/>
        </w:numPr>
      </w:pPr>
      <w:r>
        <w:rPr>
          <w:u w:val="single"/>
        </w:rPr>
        <w:t>Système de vérins :</w:t>
      </w:r>
      <w:r>
        <w:br/>
        <w:t>Avec hauteur réglable. L’entrepreneur détermine le modèle de vérin afin de positionner de façon précise le niveau du sol fini en fonction du travail à réaliser et d’avoir une amplitude de réglage adaptée.</w:t>
      </w:r>
      <w:r>
        <w:br/>
        <w:t>Equipés d’un dispositif antivibratoire.</w:t>
      </w:r>
      <w:r>
        <w:br/>
        <w:t xml:space="preserve">Tête : </w:t>
      </w:r>
      <w:r>
        <w:rPr>
          <w:rStyle w:val="optioncarChar"/>
        </w:rPr>
        <w:t>selon la documentation technique qui accompagne le produit</w:t>
      </w:r>
      <w:r>
        <w:t xml:space="preserve"> (par défaut) </w:t>
      </w:r>
      <w:r>
        <w:rPr>
          <w:rStyle w:val="optioncarChar"/>
        </w:rPr>
        <w:t>/ avec ergots / sans ergots / ***</w:t>
      </w:r>
      <w:r>
        <w:br/>
        <w:t xml:space="preserve">Contre-écrous : </w:t>
      </w:r>
      <w:r>
        <w:rPr>
          <w:rStyle w:val="optioncarChar"/>
        </w:rPr>
        <w:t>selon la documentation technique qui accompagne le produit</w:t>
      </w:r>
      <w:r>
        <w:t xml:space="preserve"> (par défaut)</w:t>
      </w:r>
      <w:r>
        <w:rPr>
          <w:rStyle w:val="optioncarChar"/>
        </w:rPr>
        <w:t xml:space="preserve"> / avec / sans / ***</w:t>
      </w:r>
    </w:p>
    <w:p w14:paraId="06C660F9" w14:textId="77777777" w:rsidR="004B2808" w:rsidRDefault="00000000">
      <w:pPr>
        <w:pStyle w:val="Author-eListParagraph"/>
        <w:numPr>
          <w:ilvl w:val="0"/>
          <w:numId w:val="538"/>
        </w:numPr>
      </w:pPr>
      <w:r>
        <w:rPr>
          <w:u w:val="single"/>
        </w:rPr>
        <w:t>Système de traverses :</w:t>
      </w:r>
      <w:r>
        <w:t xml:space="preserve">  </w:t>
      </w:r>
      <w:r>
        <w:rPr>
          <w:rStyle w:val="optioncarChar"/>
        </w:rPr>
        <w:t xml:space="preserve">lorsque la hauteur du plénum est ≥ 50 </w:t>
      </w:r>
      <w:r>
        <w:t>(par défaut)</w:t>
      </w:r>
      <w:r>
        <w:rPr>
          <w:rStyle w:val="optioncarChar"/>
        </w:rPr>
        <w:t xml:space="preserve"> / 60 / *** cm </w:t>
      </w:r>
      <w:r>
        <w:t>(par défaut) </w:t>
      </w:r>
      <w:r>
        <w:rPr>
          <w:rStyle w:val="optioncarChar"/>
        </w:rPr>
        <w:t xml:space="preserve"> /  selon la documentation technique qui accompagne le produit / ***</w:t>
      </w:r>
    </w:p>
    <w:p w14:paraId="0382EEF4" w14:textId="77777777" w:rsidR="004B2808" w:rsidRDefault="00000000">
      <w:pPr>
        <w:pStyle w:val="Author-eListParagraph"/>
        <w:numPr>
          <w:ilvl w:val="0"/>
          <w:numId w:val="538"/>
        </w:numPr>
      </w:pPr>
      <w:r>
        <w:rPr>
          <w:u w:val="single"/>
        </w:rPr>
        <w:t>Joint de dilatation :</w:t>
      </w:r>
      <w:r>
        <w:t xml:space="preserve">  </w:t>
      </w:r>
      <w:r>
        <w:rPr>
          <w:rStyle w:val="optioncarChar"/>
        </w:rPr>
        <w:t>selon la documentation technique qui accompagne le produit / ***</w:t>
      </w:r>
    </w:p>
    <w:p w14:paraId="5115A67C" w14:textId="77777777" w:rsidR="004B2808" w:rsidRDefault="00000000">
      <w:pPr>
        <w:pStyle w:val="Author-eListParagraph"/>
        <w:numPr>
          <w:ilvl w:val="0"/>
          <w:numId w:val="538"/>
        </w:numPr>
      </w:pPr>
      <w:r>
        <w:rPr>
          <w:u w:val="single"/>
        </w:rPr>
        <w:t>Renforts :</w:t>
      </w:r>
      <w:r>
        <w:t>  </w:t>
      </w:r>
      <w:r>
        <w:rPr>
          <w:rStyle w:val="optioncarChar"/>
        </w:rPr>
        <w:t xml:space="preserve">selon la documentation technique qui accompagne le produit </w:t>
      </w:r>
      <w:r>
        <w:t xml:space="preserve">(par défaut) </w:t>
      </w:r>
      <w:r>
        <w:rPr>
          <w:rStyle w:val="optioncarChar"/>
        </w:rPr>
        <w:t>/ avec / sans / ***</w:t>
      </w:r>
    </w:p>
    <w:p w14:paraId="46A0C474" w14:textId="77777777" w:rsidR="004B2808" w:rsidRDefault="00000000">
      <w:pPr>
        <w:pStyle w:val="Author-eListParagraph"/>
        <w:numPr>
          <w:ilvl w:val="0"/>
          <w:numId w:val="538"/>
        </w:numPr>
      </w:pPr>
      <w:r>
        <w:rPr>
          <w:u w:val="single"/>
        </w:rPr>
        <w:lastRenderedPageBreak/>
        <w:t>Traverses diagonales (dans le plan du plancher) :</w:t>
      </w:r>
      <w:r>
        <w:rPr>
          <w:rStyle w:val="optioncarChar"/>
        </w:rPr>
        <w:t>selon la documentation technique qui accompagne le produit</w:t>
      </w:r>
      <w:r>
        <w:t xml:space="preserve"> (par défaut) </w:t>
      </w:r>
      <w:r>
        <w:rPr>
          <w:rStyle w:val="optioncarChar"/>
        </w:rPr>
        <w:t>/ avec / sans / ***</w:t>
      </w:r>
    </w:p>
    <w:p w14:paraId="209D7514" w14:textId="77777777" w:rsidR="004B2808" w:rsidRDefault="00000000">
      <w:pPr>
        <w:pStyle w:val="Author-eListParagraph"/>
        <w:numPr>
          <w:ilvl w:val="0"/>
          <w:numId w:val="538"/>
        </w:numPr>
      </w:pPr>
      <w:r>
        <w:rPr>
          <w:u w:val="single"/>
        </w:rPr>
        <w:t>Traverses de franchissement ou pontage :</w:t>
      </w:r>
      <w:r>
        <w:t xml:space="preserve">  </w:t>
      </w:r>
      <w:r>
        <w:rPr>
          <w:rStyle w:val="optioncarChar"/>
        </w:rPr>
        <w:t>selon la documentation technique qui accompagne le produit</w:t>
      </w:r>
      <w:r>
        <w:t xml:space="preserve"> (par défaut)</w:t>
      </w:r>
      <w:r>
        <w:rPr>
          <w:rStyle w:val="optioncarChar"/>
        </w:rPr>
        <w:t xml:space="preserve"> / avec / sans / ***</w:t>
      </w:r>
    </w:p>
    <w:p w14:paraId="53A1390F" w14:textId="77777777" w:rsidR="004B2808" w:rsidRDefault="00000000">
      <w:pPr>
        <w:pStyle w:val="Author-eListParagraph"/>
        <w:numPr>
          <w:ilvl w:val="0"/>
          <w:numId w:val="538"/>
        </w:numPr>
      </w:pPr>
      <w:r>
        <w:rPr>
          <w:u w:val="single"/>
        </w:rPr>
        <w:t>Divers :</w:t>
      </w:r>
    </w:p>
    <w:p w14:paraId="6B16E883" w14:textId="77777777" w:rsidR="004B2808" w:rsidRDefault="00000000">
      <w:pPr>
        <w:pStyle w:val="Author-eListParagraph"/>
        <w:numPr>
          <w:ilvl w:val="1"/>
          <w:numId w:val="539"/>
        </w:numPr>
      </w:pPr>
      <w:r>
        <w:t>Tirants, étais, profilés d’about, … : à utiliser notamment à la périphérie du plancher surélevé, lorsque celui-ci est bordé par une cloison, un mur-rideau ou une paroi en verre, …</w:t>
      </w:r>
    </w:p>
    <w:p w14:paraId="68E2D14A" w14:textId="77777777" w:rsidR="004B2808" w:rsidRDefault="00000000">
      <w:pPr>
        <w:pStyle w:val="Author-eListParagraph"/>
        <w:numPr>
          <w:ilvl w:val="1"/>
          <w:numId w:val="539"/>
        </w:numPr>
      </w:pPr>
      <w:r>
        <w:t>Jouées, nez de marche, contre-marches, … : à utiliser notamment lorsque le plancher n’est pas bordé par les éléments décrits ci-avant, pour fermer le plénum, ...</w:t>
      </w:r>
      <w:r>
        <w:br/>
        <w:t>L’entrepreneur détermine et comprend dans ses prix unitaires tout ce qui est nécessaire pour obtenir un travail parfaitement fini, selon la documentation technique qui accompagne le système, les indications aux plans, les instructions données par la direction des travaux, ...</w:t>
      </w:r>
    </w:p>
    <w:p w14:paraId="6083ECB5" w14:textId="77777777" w:rsidR="004B2808" w:rsidRDefault="00000000">
      <w:pPr>
        <w:jc w:val="both"/>
      </w:pPr>
      <w:r>
        <w:rPr>
          <w:b/>
        </w:rPr>
        <w:t>B- Surface de circulation :</w:t>
      </w:r>
    </w:p>
    <w:p w14:paraId="401CBA04" w14:textId="77777777" w:rsidR="004B2808" w:rsidRDefault="00000000">
      <w:pPr>
        <w:pStyle w:val="Author-eListParagraph"/>
        <w:numPr>
          <w:ilvl w:val="0"/>
          <w:numId w:val="540"/>
        </w:numPr>
      </w:pPr>
      <w:r>
        <w:rPr>
          <w:u w:val="single"/>
        </w:rPr>
        <w:t>Panneaux support :</w:t>
      </w:r>
      <w:r>
        <w:br/>
        <w:t>Ils sont destinés à recevoir un revêtement de finition.</w:t>
      </w:r>
      <w:r>
        <w:br/>
        <w:t>Avec rainures et languettes destinées au collage, sur les 4 bords.</w:t>
      </w:r>
      <w:r>
        <w:br/>
        <w:t xml:space="preserve">Matériau : </w:t>
      </w:r>
      <w:r>
        <w:rPr>
          <w:rStyle w:val="optioncarChar"/>
        </w:rPr>
        <w:t>à base de plâtre, fibres de cellulose et granulats minéraux</w:t>
      </w:r>
      <w:r>
        <w:t xml:space="preserve"> (par défaut)</w:t>
      </w:r>
      <w:r>
        <w:rPr>
          <w:rStyle w:val="optioncarChar"/>
        </w:rPr>
        <w:t xml:space="preserve"> / sulfate de calcium / bois aggloméré à haute densité / ***</w:t>
      </w:r>
    </w:p>
    <w:p w14:paraId="2918F243" w14:textId="77777777" w:rsidR="004B2808" w:rsidRDefault="00000000">
      <w:pPr>
        <w:ind w:left="567"/>
        <w:jc w:val="both"/>
      </w:pPr>
      <w:r>
        <w:rPr>
          <w:b/>
        </w:rPr>
        <w:t>(soit par défaut)</w:t>
      </w:r>
    </w:p>
    <w:p w14:paraId="3D12C0C4" w14:textId="77777777" w:rsidR="004B2808" w:rsidRDefault="00000000">
      <w:pPr>
        <w:ind w:left="567"/>
        <w:jc w:val="both"/>
      </w:pPr>
      <w:r>
        <w:rPr>
          <w:rStyle w:val="soitChar"/>
          <w:u w:val="single"/>
        </w:rPr>
        <w:t>A base de plâtre, fibres de cellulose et granulats minéraux :</w:t>
      </w:r>
    </w:p>
    <w:p w14:paraId="137A0389" w14:textId="77777777" w:rsidR="004B2808" w:rsidRDefault="00000000">
      <w:pPr>
        <w:ind w:left="567"/>
        <w:jc w:val="both"/>
      </w:pPr>
      <w:r>
        <w:rPr>
          <w:rStyle w:val="soitChar"/>
        </w:rPr>
        <w:t xml:space="preserve">Le système comprend : </w:t>
      </w:r>
      <w:r>
        <w:rPr>
          <w:rStyle w:val="optioncarChar"/>
        </w:rPr>
        <w:t>1</w:t>
      </w:r>
      <w:r>
        <w:t xml:space="preserve"> (par défaut)</w:t>
      </w:r>
      <w:r>
        <w:rPr>
          <w:rStyle w:val="optioncarChar"/>
        </w:rPr>
        <w:t xml:space="preserve"> / 2</w:t>
      </w:r>
      <w:r>
        <w:rPr>
          <w:rStyle w:val="soitChar"/>
        </w:rPr>
        <w:t xml:space="preserve"> couche(s) de panneaux</w:t>
      </w:r>
    </w:p>
    <w:p w14:paraId="4AE65A90" w14:textId="77777777" w:rsidR="004B2808" w:rsidRDefault="00000000">
      <w:pPr>
        <w:ind w:left="1134"/>
        <w:jc w:val="both"/>
      </w:pPr>
      <w:r>
        <w:rPr>
          <w:b/>
        </w:rPr>
        <w:t>(soit par défaut)</w:t>
      </w:r>
    </w:p>
    <w:p w14:paraId="022D1E35" w14:textId="77777777" w:rsidR="004B2808" w:rsidRDefault="00000000">
      <w:pPr>
        <w:ind w:left="1134"/>
        <w:jc w:val="both"/>
      </w:pPr>
      <w:r>
        <w:rPr>
          <w:rStyle w:val="soitChar"/>
          <w:u w:val="single"/>
        </w:rPr>
        <w:t>1 couche :</w:t>
      </w:r>
    </w:p>
    <w:p w14:paraId="17EC8D34" w14:textId="77777777" w:rsidR="004B2808" w:rsidRDefault="00000000">
      <w:pPr>
        <w:ind w:left="1134"/>
        <w:jc w:val="both"/>
      </w:pPr>
      <w:r>
        <w:rPr>
          <w:rStyle w:val="soitChar"/>
        </w:rPr>
        <w:t xml:space="preserve"> Epaisseur nominale : ≥ </w:t>
      </w:r>
      <w:r>
        <w:rPr>
          <w:rStyle w:val="optioncarChar"/>
        </w:rPr>
        <w:t xml:space="preserve">28 </w:t>
      </w:r>
      <w:r>
        <w:t>(par défaut)</w:t>
      </w:r>
      <w:r>
        <w:rPr>
          <w:rStyle w:val="optioncarChar"/>
        </w:rPr>
        <w:t xml:space="preserve"> / 32 / ***</w:t>
      </w:r>
      <w:r>
        <w:rPr>
          <w:rStyle w:val="soitChar"/>
        </w:rPr>
        <w:t xml:space="preserve"> mm</w:t>
      </w:r>
    </w:p>
    <w:p w14:paraId="68F1D556" w14:textId="77777777" w:rsidR="004B2808" w:rsidRDefault="00000000">
      <w:pPr>
        <w:ind w:left="1134"/>
        <w:jc w:val="both"/>
      </w:pPr>
      <w:r>
        <w:rPr>
          <w:b/>
        </w:rPr>
        <w:t>(soit)</w:t>
      </w:r>
    </w:p>
    <w:p w14:paraId="20924618" w14:textId="77777777" w:rsidR="004B2808" w:rsidRDefault="00000000">
      <w:pPr>
        <w:ind w:left="1134"/>
        <w:jc w:val="both"/>
      </w:pPr>
      <w:r>
        <w:rPr>
          <w:rStyle w:val="soitChar"/>
          <w:u w:val="single"/>
        </w:rPr>
        <w:t>2 couches :</w:t>
      </w:r>
    </w:p>
    <w:p w14:paraId="2697D83E" w14:textId="77777777" w:rsidR="004B2808" w:rsidRDefault="00000000">
      <w:pPr>
        <w:ind w:left="1134"/>
        <w:jc w:val="both"/>
      </w:pPr>
      <w:r>
        <w:rPr>
          <w:rStyle w:val="soitChar"/>
        </w:rPr>
        <w:t xml:space="preserve">Epaisseur nominale couche inférieure : ≥ </w:t>
      </w:r>
      <w:r>
        <w:rPr>
          <w:rStyle w:val="optioncarChar"/>
        </w:rPr>
        <w:t xml:space="preserve">25 </w:t>
      </w:r>
      <w:r>
        <w:t xml:space="preserve">(par défaut) </w:t>
      </w:r>
      <w:r>
        <w:rPr>
          <w:rStyle w:val="optioncarChar"/>
        </w:rPr>
        <w:t>/ 28 / 32 / 48 / ***</w:t>
      </w:r>
      <w:r>
        <w:rPr>
          <w:rStyle w:val="soitChar"/>
        </w:rPr>
        <w:t xml:space="preserve"> mm</w:t>
      </w:r>
    </w:p>
    <w:p w14:paraId="2A4F8DFA" w14:textId="77777777" w:rsidR="004B2808" w:rsidRDefault="00000000">
      <w:pPr>
        <w:ind w:left="1134"/>
        <w:jc w:val="both"/>
      </w:pPr>
      <w:r>
        <w:rPr>
          <w:rStyle w:val="soitChar"/>
        </w:rPr>
        <w:t xml:space="preserve">Epaisseur nominale couche supérieure : ≥ </w:t>
      </w:r>
      <w:r>
        <w:rPr>
          <w:rStyle w:val="optioncarChar"/>
        </w:rPr>
        <w:t xml:space="preserve">13 </w:t>
      </w:r>
      <w:r>
        <w:t>(par défaut)</w:t>
      </w:r>
      <w:r>
        <w:rPr>
          <w:rStyle w:val="optioncarChar"/>
        </w:rPr>
        <w:t xml:space="preserve"> / ***</w:t>
      </w:r>
      <w:r>
        <w:rPr>
          <w:rStyle w:val="soitChar"/>
        </w:rPr>
        <w:t xml:space="preserve"> mm</w:t>
      </w:r>
    </w:p>
    <w:p w14:paraId="4906864A" w14:textId="77777777" w:rsidR="004B2808" w:rsidRDefault="004B2808"/>
    <w:p w14:paraId="1A5A8FE3" w14:textId="77777777" w:rsidR="004B2808" w:rsidRDefault="00000000">
      <w:pPr>
        <w:ind w:left="567"/>
        <w:jc w:val="both"/>
      </w:pPr>
      <w:r>
        <w:rPr>
          <w:rStyle w:val="soitChar"/>
        </w:rPr>
        <w:t xml:space="preserve">Dimensions nominale (l x L) : </w:t>
      </w:r>
      <w:r>
        <w:rPr>
          <w:rStyle w:val="optioncarChar"/>
        </w:rPr>
        <w:t xml:space="preserve">600 x 600 / 600 x 1200 </w:t>
      </w:r>
      <w:r>
        <w:t>(par défaut)</w:t>
      </w:r>
      <w:r>
        <w:rPr>
          <w:rStyle w:val="optioncarChar"/>
        </w:rPr>
        <w:t xml:space="preserve"> / ***</w:t>
      </w:r>
    </w:p>
    <w:p w14:paraId="1F4ECA7D" w14:textId="77777777" w:rsidR="004B2808" w:rsidRDefault="00000000">
      <w:pPr>
        <w:ind w:left="567"/>
        <w:jc w:val="both"/>
      </w:pPr>
      <w:r>
        <w:rPr>
          <w:rStyle w:val="soitChar"/>
        </w:rPr>
        <w:t xml:space="preserve">Densité : </w:t>
      </w:r>
      <w:r>
        <w:rPr>
          <w:rStyle w:val="optioncarChar"/>
        </w:rPr>
        <w:t xml:space="preserve">selon l’épaisseur des dalles et la documentation technique qui accompagne le produit </w:t>
      </w:r>
      <w:r>
        <w:t>(par défaut) </w:t>
      </w:r>
      <w:r>
        <w:rPr>
          <w:rStyle w:val="optioncarChar"/>
        </w:rPr>
        <w:t xml:space="preserve"> /  1000 / 1100 / 1200 / 1300 / 1400 / 1500 / ***</w:t>
      </w:r>
      <w:r>
        <w:t> </w:t>
      </w:r>
      <w:r>
        <w:rPr>
          <w:rStyle w:val="optioncarChar"/>
        </w:rPr>
        <w:t>kg/m³</w:t>
      </w:r>
    </w:p>
    <w:p w14:paraId="2CBADAC7" w14:textId="77777777" w:rsidR="004B2808" w:rsidRDefault="00000000">
      <w:pPr>
        <w:ind w:left="567"/>
        <w:jc w:val="both"/>
      </w:pPr>
      <w:r>
        <w:rPr>
          <w:rStyle w:val="soitChar"/>
        </w:rPr>
        <w:t xml:space="preserve">Réaction au feu : </w:t>
      </w:r>
      <w:r>
        <w:rPr>
          <w:rStyle w:val="optioncarChar"/>
        </w:rPr>
        <w:t xml:space="preserve">A1 </w:t>
      </w:r>
      <w:r>
        <w:t xml:space="preserve">(par défaut) </w:t>
      </w:r>
      <w:r>
        <w:rPr>
          <w:rStyle w:val="optioncarChar"/>
        </w:rPr>
        <w:t>/ ***</w:t>
      </w:r>
      <w:r>
        <w:rPr>
          <w:rStyle w:val="soitChar"/>
        </w:rPr>
        <w:t xml:space="preserve"> selon la [NBN EN 13501-1]</w:t>
      </w:r>
    </w:p>
    <w:p w14:paraId="1767D512" w14:textId="77777777" w:rsidR="004B2808" w:rsidRDefault="00000000">
      <w:pPr>
        <w:ind w:left="567"/>
        <w:jc w:val="both"/>
      </w:pPr>
      <w:r>
        <w:rPr>
          <w:rStyle w:val="soitChar"/>
        </w:rPr>
        <w:t xml:space="preserve">Conductivité thermique : ≤ </w:t>
      </w:r>
      <w:r>
        <w:rPr>
          <w:rStyle w:val="optioncarChar"/>
        </w:rPr>
        <w:t xml:space="preserve">0,25 </w:t>
      </w:r>
      <w:r>
        <w:t>(par défaut)</w:t>
      </w:r>
      <w:r>
        <w:rPr>
          <w:rStyle w:val="optioncarChar"/>
        </w:rPr>
        <w:t xml:space="preserve"> / ***</w:t>
      </w:r>
      <w:r>
        <w:rPr>
          <w:rStyle w:val="soitChar"/>
        </w:rPr>
        <w:t xml:space="preserve"> W/mK</w:t>
      </w:r>
    </w:p>
    <w:p w14:paraId="0565BFAD" w14:textId="77777777" w:rsidR="004B2808" w:rsidRDefault="00000000">
      <w:pPr>
        <w:ind w:left="567"/>
        <w:jc w:val="both"/>
      </w:pPr>
      <w:r>
        <w:rPr>
          <w:rStyle w:val="soitChar"/>
        </w:rPr>
        <w:t xml:space="preserve">Indice d’isolement acoustique normalisé - Dnfw : ≥ </w:t>
      </w:r>
      <w:r>
        <w:rPr>
          <w:rStyle w:val="optioncarChar"/>
        </w:rPr>
        <w:t>40</w:t>
      </w:r>
      <w:r>
        <w:t xml:space="preserve"> (par défaut)</w:t>
      </w:r>
      <w:r>
        <w:rPr>
          <w:rStyle w:val="optioncarChar"/>
        </w:rPr>
        <w:t xml:space="preserve"> / 42 / 44 / 47 / 48 / ***</w:t>
      </w:r>
      <w:r>
        <w:rPr>
          <w:rStyle w:val="soitChar"/>
        </w:rPr>
        <w:t xml:space="preserve"> dB</w:t>
      </w:r>
    </w:p>
    <w:p w14:paraId="2B7702CD" w14:textId="77777777" w:rsidR="004B2808" w:rsidRDefault="00000000">
      <w:pPr>
        <w:ind w:left="567"/>
        <w:jc w:val="both"/>
      </w:pPr>
      <w:r>
        <w:rPr>
          <w:rStyle w:val="soitChar"/>
        </w:rPr>
        <w:t xml:space="preserve">Isolation acoustique contre les chocs - Lnfw : ≤ </w:t>
      </w:r>
      <w:r>
        <w:rPr>
          <w:rStyle w:val="optioncarChar"/>
        </w:rPr>
        <w:t xml:space="preserve">78 </w:t>
      </w:r>
      <w:r>
        <w:t xml:space="preserve">(par défaut) </w:t>
      </w:r>
      <w:r>
        <w:rPr>
          <w:rStyle w:val="optioncarChar"/>
        </w:rPr>
        <w:t>/ 80 / 82 / ***</w:t>
      </w:r>
      <w:r>
        <w:rPr>
          <w:rStyle w:val="soitChar"/>
        </w:rPr>
        <w:t xml:space="preserve"> dB</w:t>
      </w:r>
    </w:p>
    <w:p w14:paraId="0FB339BC" w14:textId="77777777" w:rsidR="004B2808" w:rsidRDefault="00000000">
      <w:pPr>
        <w:ind w:left="567"/>
        <w:jc w:val="both"/>
      </w:pPr>
      <w:r>
        <w:rPr>
          <w:b/>
        </w:rPr>
        <w:t>(soit)</w:t>
      </w:r>
    </w:p>
    <w:p w14:paraId="69BA8ACE" w14:textId="77777777" w:rsidR="004B2808" w:rsidRDefault="00000000">
      <w:pPr>
        <w:ind w:left="567"/>
        <w:jc w:val="both"/>
      </w:pPr>
      <w:r>
        <w:rPr>
          <w:rStyle w:val="soitChar"/>
          <w:u w:val="single"/>
        </w:rPr>
        <w:t>Sulfate de calcium :</w:t>
      </w:r>
    </w:p>
    <w:p w14:paraId="346BF2CE" w14:textId="77777777" w:rsidR="004B2808" w:rsidRDefault="00000000">
      <w:pPr>
        <w:ind w:left="567"/>
        <w:jc w:val="both"/>
      </w:pPr>
      <w:r>
        <w:rPr>
          <w:rStyle w:val="soitChar"/>
        </w:rPr>
        <w:t xml:space="preserve">Le système comprend : </w:t>
      </w:r>
      <w:r>
        <w:rPr>
          <w:rStyle w:val="optioncarChar"/>
        </w:rPr>
        <w:t>1</w:t>
      </w:r>
      <w:r>
        <w:t xml:space="preserve"> (par défaut)</w:t>
      </w:r>
      <w:r>
        <w:rPr>
          <w:rStyle w:val="optioncarChar"/>
        </w:rPr>
        <w:t xml:space="preserve"> / 2</w:t>
      </w:r>
      <w:r>
        <w:rPr>
          <w:rStyle w:val="soitChar"/>
        </w:rPr>
        <w:t xml:space="preserve"> couche(s) de panneaux</w:t>
      </w:r>
    </w:p>
    <w:p w14:paraId="2C4E86E1" w14:textId="77777777" w:rsidR="004B2808" w:rsidRDefault="00000000">
      <w:pPr>
        <w:ind w:left="1134"/>
        <w:jc w:val="both"/>
      </w:pPr>
      <w:r>
        <w:rPr>
          <w:b/>
        </w:rPr>
        <w:t>(soit par défaut)</w:t>
      </w:r>
    </w:p>
    <w:p w14:paraId="5B99287F" w14:textId="77777777" w:rsidR="004B2808" w:rsidRDefault="00000000">
      <w:pPr>
        <w:ind w:left="1134"/>
        <w:jc w:val="both"/>
      </w:pPr>
      <w:r>
        <w:rPr>
          <w:rStyle w:val="soitChar"/>
          <w:u w:val="single"/>
        </w:rPr>
        <w:t>1 couche :</w:t>
      </w:r>
    </w:p>
    <w:p w14:paraId="1DB38A46" w14:textId="77777777" w:rsidR="004B2808" w:rsidRDefault="00000000">
      <w:pPr>
        <w:ind w:left="1134"/>
        <w:jc w:val="both"/>
      </w:pPr>
      <w:r>
        <w:rPr>
          <w:rStyle w:val="soitChar"/>
        </w:rPr>
        <w:t xml:space="preserve"> Epaisseur nominale : ≥ </w:t>
      </w:r>
      <w:r>
        <w:rPr>
          <w:rStyle w:val="optioncarChar"/>
        </w:rPr>
        <w:t>***</w:t>
      </w:r>
      <w:r>
        <w:rPr>
          <w:rStyle w:val="soitChar"/>
        </w:rPr>
        <w:t xml:space="preserve"> mm</w:t>
      </w:r>
    </w:p>
    <w:p w14:paraId="0BCC55C2" w14:textId="77777777" w:rsidR="004B2808" w:rsidRDefault="00000000">
      <w:pPr>
        <w:ind w:left="1134"/>
        <w:jc w:val="both"/>
      </w:pPr>
      <w:r>
        <w:rPr>
          <w:b/>
        </w:rPr>
        <w:t>(soit)</w:t>
      </w:r>
    </w:p>
    <w:p w14:paraId="39029B0A" w14:textId="77777777" w:rsidR="004B2808" w:rsidRDefault="00000000">
      <w:pPr>
        <w:ind w:left="1134"/>
        <w:jc w:val="both"/>
      </w:pPr>
      <w:r>
        <w:rPr>
          <w:rStyle w:val="soitChar"/>
          <w:u w:val="single"/>
        </w:rPr>
        <w:lastRenderedPageBreak/>
        <w:t>2 couches :</w:t>
      </w:r>
    </w:p>
    <w:p w14:paraId="3402A4E0" w14:textId="77777777" w:rsidR="004B2808" w:rsidRDefault="00000000">
      <w:pPr>
        <w:ind w:left="1134"/>
        <w:jc w:val="both"/>
      </w:pPr>
      <w:r>
        <w:rPr>
          <w:rStyle w:val="soitChar"/>
        </w:rPr>
        <w:t xml:space="preserve">Epaisseur nominale couche inférieure : ≥ </w:t>
      </w:r>
      <w:r>
        <w:rPr>
          <w:rStyle w:val="optioncarChar"/>
        </w:rPr>
        <w:t>***</w:t>
      </w:r>
      <w:r>
        <w:rPr>
          <w:rStyle w:val="soitChar"/>
        </w:rPr>
        <w:t xml:space="preserve"> mm</w:t>
      </w:r>
    </w:p>
    <w:p w14:paraId="647C01D6" w14:textId="77777777" w:rsidR="004B2808" w:rsidRDefault="00000000">
      <w:pPr>
        <w:ind w:left="1134"/>
        <w:jc w:val="both"/>
      </w:pPr>
      <w:r>
        <w:rPr>
          <w:rStyle w:val="soitChar"/>
        </w:rPr>
        <w:t xml:space="preserve">Epaisseur nominale couche supérieure : ≥ </w:t>
      </w:r>
      <w:r>
        <w:rPr>
          <w:rStyle w:val="optioncarChar"/>
        </w:rPr>
        <w:t>***</w:t>
      </w:r>
      <w:r>
        <w:rPr>
          <w:rStyle w:val="soitChar"/>
        </w:rPr>
        <w:t xml:space="preserve"> mm</w:t>
      </w:r>
    </w:p>
    <w:p w14:paraId="045F4E21" w14:textId="77777777" w:rsidR="004B2808" w:rsidRDefault="004B2808"/>
    <w:p w14:paraId="5745043B" w14:textId="77777777" w:rsidR="004B2808" w:rsidRDefault="00000000">
      <w:pPr>
        <w:ind w:left="567"/>
        <w:jc w:val="both"/>
      </w:pPr>
      <w:r>
        <w:rPr>
          <w:rStyle w:val="soitChar"/>
        </w:rPr>
        <w:t xml:space="preserve">Dimensions nominale (l x L) : </w:t>
      </w:r>
      <w:r>
        <w:rPr>
          <w:rStyle w:val="optioncarChar"/>
        </w:rPr>
        <w:t>***</w:t>
      </w:r>
    </w:p>
    <w:p w14:paraId="0DC026C6" w14:textId="77777777" w:rsidR="004B2808" w:rsidRDefault="00000000">
      <w:pPr>
        <w:ind w:left="567"/>
        <w:jc w:val="both"/>
      </w:pPr>
      <w:r>
        <w:rPr>
          <w:rStyle w:val="soitChar"/>
        </w:rPr>
        <w:t>Densité :</w:t>
      </w:r>
      <w:r>
        <w:rPr>
          <w:rStyle w:val="optioncarChar"/>
        </w:rPr>
        <w:t xml:space="preserve"> selon l’épaisseur des dalles et la documentation technique qui accompagne le produit </w:t>
      </w:r>
      <w:r>
        <w:t>(par défaut) </w:t>
      </w:r>
      <w:r>
        <w:rPr>
          <w:rStyle w:val="optioncarChar"/>
        </w:rPr>
        <w:t xml:space="preserve"> /  *** kg/m³</w:t>
      </w:r>
    </w:p>
    <w:p w14:paraId="1F9C3D84" w14:textId="77777777" w:rsidR="004B2808" w:rsidRDefault="00000000">
      <w:pPr>
        <w:ind w:left="567"/>
        <w:jc w:val="both"/>
      </w:pPr>
      <w:r>
        <w:rPr>
          <w:rStyle w:val="soitChar"/>
        </w:rPr>
        <w:t xml:space="preserve">Réaction au feu : </w:t>
      </w:r>
      <w:r>
        <w:rPr>
          <w:rStyle w:val="optioncarChar"/>
        </w:rPr>
        <w:t>***</w:t>
      </w:r>
      <w:r>
        <w:rPr>
          <w:rStyle w:val="soitChar"/>
        </w:rPr>
        <w:t xml:space="preserve"> selon la [NBN EN 13501-1]</w:t>
      </w:r>
    </w:p>
    <w:p w14:paraId="47F0C4A6" w14:textId="77777777" w:rsidR="004B2808" w:rsidRDefault="00000000">
      <w:pPr>
        <w:ind w:left="567"/>
        <w:jc w:val="both"/>
      </w:pPr>
      <w:r>
        <w:rPr>
          <w:rStyle w:val="soitChar"/>
        </w:rPr>
        <w:t xml:space="preserve">Conductivité thermique : ≤ </w:t>
      </w:r>
      <w:r>
        <w:rPr>
          <w:rStyle w:val="optioncarChar"/>
        </w:rPr>
        <w:t>***</w:t>
      </w:r>
      <w:r>
        <w:rPr>
          <w:rStyle w:val="soitChar"/>
        </w:rPr>
        <w:t xml:space="preserve"> W/mK</w:t>
      </w:r>
    </w:p>
    <w:p w14:paraId="7AB4EA05" w14:textId="77777777" w:rsidR="004B2808" w:rsidRDefault="00000000">
      <w:pPr>
        <w:ind w:left="567"/>
        <w:jc w:val="both"/>
      </w:pPr>
      <w:r>
        <w:rPr>
          <w:rStyle w:val="soitChar"/>
        </w:rPr>
        <w:t xml:space="preserve">Indice d’isolement acoustique normalisé - Dnfw : ≥ </w:t>
      </w:r>
      <w:r>
        <w:rPr>
          <w:rStyle w:val="optioncarChar"/>
        </w:rPr>
        <w:t>***</w:t>
      </w:r>
      <w:r>
        <w:rPr>
          <w:rStyle w:val="soitChar"/>
        </w:rPr>
        <w:t xml:space="preserve"> dB</w:t>
      </w:r>
    </w:p>
    <w:p w14:paraId="0982BA3B" w14:textId="77777777" w:rsidR="004B2808" w:rsidRDefault="00000000">
      <w:pPr>
        <w:ind w:left="567"/>
        <w:jc w:val="both"/>
      </w:pPr>
      <w:r>
        <w:rPr>
          <w:rStyle w:val="soitChar"/>
        </w:rPr>
        <w:t xml:space="preserve">Isolation acoustique contre les chocs - Lnfw : ≤ </w:t>
      </w:r>
      <w:r>
        <w:rPr>
          <w:rStyle w:val="optioncarChar"/>
        </w:rPr>
        <w:t>***</w:t>
      </w:r>
      <w:r>
        <w:rPr>
          <w:rStyle w:val="soitChar"/>
        </w:rPr>
        <w:t xml:space="preserve"> dB</w:t>
      </w:r>
    </w:p>
    <w:p w14:paraId="772F1903" w14:textId="77777777" w:rsidR="004B2808" w:rsidRDefault="00000000">
      <w:pPr>
        <w:ind w:left="567"/>
        <w:jc w:val="both"/>
      </w:pPr>
      <w:r>
        <w:rPr>
          <w:b/>
        </w:rPr>
        <w:t>(soit)</w:t>
      </w:r>
    </w:p>
    <w:p w14:paraId="64DF6F0A" w14:textId="77777777" w:rsidR="004B2808" w:rsidRDefault="00000000">
      <w:pPr>
        <w:ind w:left="567"/>
        <w:jc w:val="both"/>
      </w:pPr>
      <w:r>
        <w:rPr>
          <w:rStyle w:val="soitChar"/>
          <w:u w:val="single"/>
        </w:rPr>
        <w:t>Bois aggloméré à haute densité :</w:t>
      </w:r>
    </w:p>
    <w:p w14:paraId="6AB3C2A6" w14:textId="77777777" w:rsidR="004B2808" w:rsidRDefault="00000000">
      <w:pPr>
        <w:ind w:left="567"/>
        <w:jc w:val="both"/>
      </w:pPr>
      <w:r>
        <w:rPr>
          <w:rStyle w:val="soitChar"/>
        </w:rPr>
        <w:t xml:space="preserve">Le système comprend : </w:t>
      </w:r>
      <w:r>
        <w:rPr>
          <w:rStyle w:val="optioncarChar"/>
        </w:rPr>
        <w:t>1</w:t>
      </w:r>
      <w:r>
        <w:t xml:space="preserve"> (par défaut)</w:t>
      </w:r>
      <w:r>
        <w:rPr>
          <w:rStyle w:val="optioncarChar"/>
        </w:rPr>
        <w:t xml:space="preserve"> / 2 </w:t>
      </w:r>
      <w:r>
        <w:rPr>
          <w:rStyle w:val="soitChar"/>
        </w:rPr>
        <w:t>couche(s) de panneaux</w:t>
      </w:r>
    </w:p>
    <w:p w14:paraId="0D3F495A" w14:textId="77777777" w:rsidR="004B2808" w:rsidRDefault="00000000">
      <w:pPr>
        <w:ind w:left="1134"/>
        <w:jc w:val="both"/>
      </w:pPr>
      <w:r>
        <w:rPr>
          <w:b/>
        </w:rPr>
        <w:t>(soit par défaut)</w:t>
      </w:r>
    </w:p>
    <w:p w14:paraId="4FEDBC83" w14:textId="77777777" w:rsidR="004B2808" w:rsidRDefault="00000000">
      <w:pPr>
        <w:ind w:left="1134"/>
        <w:jc w:val="both"/>
      </w:pPr>
      <w:r>
        <w:rPr>
          <w:rStyle w:val="soitChar"/>
          <w:u w:val="single"/>
        </w:rPr>
        <w:t>1 couche :</w:t>
      </w:r>
    </w:p>
    <w:p w14:paraId="6E65DDFB" w14:textId="77777777" w:rsidR="004B2808" w:rsidRDefault="00000000">
      <w:pPr>
        <w:ind w:left="1134"/>
        <w:jc w:val="both"/>
      </w:pPr>
      <w:r>
        <w:rPr>
          <w:rStyle w:val="soitChar"/>
        </w:rPr>
        <w:t xml:space="preserve"> Epaisseur nominale : ≥ </w:t>
      </w:r>
      <w:r>
        <w:rPr>
          <w:rStyle w:val="optioncarChar"/>
        </w:rPr>
        <w:t>***</w:t>
      </w:r>
      <w:r>
        <w:rPr>
          <w:rStyle w:val="soitChar"/>
        </w:rPr>
        <w:t xml:space="preserve"> mm</w:t>
      </w:r>
    </w:p>
    <w:p w14:paraId="5501D1B4" w14:textId="77777777" w:rsidR="004B2808" w:rsidRDefault="00000000">
      <w:pPr>
        <w:ind w:left="1134"/>
        <w:jc w:val="both"/>
      </w:pPr>
      <w:r>
        <w:rPr>
          <w:b/>
        </w:rPr>
        <w:t>(soit)</w:t>
      </w:r>
    </w:p>
    <w:p w14:paraId="41D6D968" w14:textId="77777777" w:rsidR="004B2808" w:rsidRDefault="00000000">
      <w:pPr>
        <w:ind w:left="1134"/>
        <w:jc w:val="both"/>
      </w:pPr>
      <w:r>
        <w:rPr>
          <w:rStyle w:val="soitChar"/>
          <w:u w:val="single"/>
        </w:rPr>
        <w:t>2 couches :</w:t>
      </w:r>
    </w:p>
    <w:p w14:paraId="6A5F3DA6" w14:textId="77777777" w:rsidR="004B2808" w:rsidRDefault="00000000">
      <w:pPr>
        <w:ind w:left="1134"/>
        <w:jc w:val="both"/>
      </w:pPr>
      <w:r>
        <w:rPr>
          <w:rStyle w:val="soitChar"/>
        </w:rPr>
        <w:t xml:space="preserve">Epaisseur nominale couche inférieure : ≥ </w:t>
      </w:r>
      <w:r>
        <w:rPr>
          <w:rStyle w:val="optioncarChar"/>
        </w:rPr>
        <w:t>***</w:t>
      </w:r>
      <w:r>
        <w:rPr>
          <w:rStyle w:val="soitChar"/>
        </w:rPr>
        <w:t xml:space="preserve"> mm</w:t>
      </w:r>
    </w:p>
    <w:p w14:paraId="62CD0576" w14:textId="77777777" w:rsidR="004B2808" w:rsidRDefault="00000000">
      <w:pPr>
        <w:ind w:left="1134"/>
        <w:jc w:val="both"/>
      </w:pPr>
      <w:r>
        <w:rPr>
          <w:rStyle w:val="soitChar"/>
        </w:rPr>
        <w:t xml:space="preserve">Epaisseur nominale couche supérieure : ≥ </w:t>
      </w:r>
      <w:r>
        <w:rPr>
          <w:rStyle w:val="optioncarChar"/>
        </w:rPr>
        <w:t>***</w:t>
      </w:r>
      <w:r>
        <w:rPr>
          <w:rStyle w:val="soitChar"/>
        </w:rPr>
        <w:t xml:space="preserve"> mm</w:t>
      </w:r>
    </w:p>
    <w:p w14:paraId="6E5758E1" w14:textId="77777777" w:rsidR="004B2808" w:rsidRDefault="00000000">
      <w:pPr>
        <w:ind w:left="567"/>
        <w:jc w:val="both"/>
      </w:pPr>
      <w:r>
        <w:rPr>
          <w:rStyle w:val="soitChar"/>
        </w:rPr>
        <w:t xml:space="preserve">Dimensions nominale (l x L) : </w:t>
      </w:r>
      <w:r>
        <w:rPr>
          <w:rStyle w:val="optioncarChar"/>
        </w:rPr>
        <w:t>***</w:t>
      </w:r>
    </w:p>
    <w:p w14:paraId="27F9A7DA" w14:textId="77777777" w:rsidR="004B2808" w:rsidRDefault="00000000">
      <w:pPr>
        <w:ind w:left="567"/>
        <w:jc w:val="both"/>
      </w:pPr>
      <w:r>
        <w:rPr>
          <w:rStyle w:val="soitChar"/>
        </w:rPr>
        <w:t xml:space="preserve">Densité : </w:t>
      </w:r>
      <w:r>
        <w:rPr>
          <w:rStyle w:val="optioncarChar"/>
        </w:rPr>
        <w:t xml:space="preserve">selon l’épaisseur des dalles et la documentation technique qui accompagne le produit </w:t>
      </w:r>
      <w:r>
        <w:t>(par défaut)</w:t>
      </w:r>
      <w:r>
        <w:rPr>
          <w:rStyle w:val="optioncarChar"/>
        </w:rPr>
        <w:t>  /  *** kg/m³</w:t>
      </w:r>
    </w:p>
    <w:p w14:paraId="2FA91044" w14:textId="77777777" w:rsidR="004B2808" w:rsidRDefault="00000000">
      <w:pPr>
        <w:ind w:left="567"/>
        <w:jc w:val="both"/>
      </w:pPr>
      <w:r>
        <w:rPr>
          <w:rStyle w:val="soitChar"/>
        </w:rPr>
        <w:t>Réaction au feu :</w:t>
      </w:r>
      <w:r>
        <w:rPr>
          <w:rStyle w:val="optioncarChar"/>
        </w:rPr>
        <w:t>***</w:t>
      </w:r>
      <w:r>
        <w:rPr>
          <w:rStyle w:val="soitChar"/>
        </w:rPr>
        <w:t xml:space="preserve"> selon la [NBN EN 13501-1]</w:t>
      </w:r>
    </w:p>
    <w:p w14:paraId="03E1D1C8" w14:textId="77777777" w:rsidR="004B2808" w:rsidRDefault="00000000">
      <w:pPr>
        <w:ind w:left="567"/>
        <w:jc w:val="both"/>
      </w:pPr>
      <w:r>
        <w:rPr>
          <w:rStyle w:val="soitChar"/>
        </w:rPr>
        <w:t xml:space="preserve">Conductivité thermique : ≤ </w:t>
      </w:r>
      <w:r>
        <w:rPr>
          <w:rStyle w:val="optioncarChar"/>
        </w:rPr>
        <w:t>***</w:t>
      </w:r>
      <w:r>
        <w:rPr>
          <w:rStyle w:val="soitChar"/>
        </w:rPr>
        <w:t xml:space="preserve"> W/mK</w:t>
      </w:r>
    </w:p>
    <w:p w14:paraId="0939874D" w14:textId="77777777" w:rsidR="004B2808" w:rsidRDefault="00000000">
      <w:pPr>
        <w:ind w:left="567"/>
        <w:jc w:val="both"/>
      </w:pPr>
      <w:r>
        <w:rPr>
          <w:rStyle w:val="soitChar"/>
        </w:rPr>
        <w:t xml:space="preserve">Indice d’isolement acoustique normalisé - Dnfw : ≥ </w:t>
      </w:r>
      <w:r>
        <w:rPr>
          <w:rStyle w:val="optioncarChar"/>
        </w:rPr>
        <w:t>***</w:t>
      </w:r>
      <w:r>
        <w:rPr>
          <w:rStyle w:val="soitChar"/>
        </w:rPr>
        <w:t xml:space="preserve"> dB</w:t>
      </w:r>
    </w:p>
    <w:p w14:paraId="7F085DCD" w14:textId="77777777" w:rsidR="004B2808" w:rsidRDefault="00000000">
      <w:pPr>
        <w:ind w:left="567"/>
        <w:jc w:val="both"/>
      </w:pPr>
      <w:r>
        <w:rPr>
          <w:rStyle w:val="soitChar"/>
        </w:rPr>
        <w:t xml:space="preserve">Isolation acoustique contre les chocs - Lnfw : ≤ </w:t>
      </w:r>
      <w:r>
        <w:rPr>
          <w:rStyle w:val="optioncarChar"/>
        </w:rPr>
        <w:t>***</w:t>
      </w:r>
      <w:r>
        <w:rPr>
          <w:rStyle w:val="soitChar"/>
        </w:rPr>
        <w:t xml:space="preserve"> dB</w:t>
      </w:r>
    </w:p>
    <w:p w14:paraId="7F037096" w14:textId="77777777" w:rsidR="004B2808" w:rsidRDefault="00000000">
      <w:pPr>
        <w:jc w:val="both"/>
      </w:pPr>
      <w:r>
        <w:rPr>
          <w:b/>
        </w:rPr>
        <w:t>C- Accessoires :</w:t>
      </w:r>
    </w:p>
    <w:p w14:paraId="42033915" w14:textId="77777777" w:rsidR="004B2808" w:rsidRDefault="00000000">
      <w:pPr>
        <w:pStyle w:val="Author-eListParagraph"/>
        <w:numPr>
          <w:ilvl w:val="0"/>
          <w:numId w:val="541"/>
        </w:numPr>
      </w:pPr>
      <w:r>
        <w:t>Boitiers de connexion, passes-câbles, grilles de ventilation, rampes, …</w:t>
      </w:r>
      <w:r>
        <w:br/>
        <w:t xml:space="preserve">Ils sont notamment décrits et compris séparément au </w:t>
      </w:r>
      <w:hyperlink w:anchor="1261" w:history="1">
        <w:r w:rsidR="004B2808">
          <w:rPr>
            <w:color w:val="0000EE"/>
          </w:rPr>
          <w:t>53.6 Eléments particuliers et finitions</w:t>
        </w:r>
      </w:hyperlink>
      <w:r>
        <w:t xml:space="preserve"> / 6 T6 HVAC - sanitaires / 7 T7 Electricité / … et suivants. </w:t>
      </w:r>
    </w:p>
    <w:p w14:paraId="10B1A795" w14:textId="77777777" w:rsidR="004B2808" w:rsidRDefault="00000000">
      <w:pPr>
        <w:jc w:val="both"/>
      </w:pPr>
      <w:r>
        <w:t xml:space="preserve">Réaction au feu pour l’ensemble du système de plancher surélevé : </w:t>
      </w:r>
      <w:r>
        <w:rPr>
          <w:rStyle w:val="optioncarChar"/>
        </w:rPr>
        <w:t xml:space="preserve">A1 / A2fl-s1 / Bfl-s1 </w:t>
      </w:r>
      <w:r>
        <w:t>(par défaut)</w:t>
      </w:r>
      <w:r>
        <w:rPr>
          <w:rStyle w:val="optioncarChar"/>
        </w:rPr>
        <w:t xml:space="preserve"> / ***</w:t>
      </w:r>
      <w:r>
        <w:t xml:space="preserve"> selon la [NBN EN 13501-1]</w:t>
      </w:r>
    </w:p>
    <w:p w14:paraId="0A76C783" w14:textId="77777777" w:rsidR="004B2808" w:rsidRDefault="00000000">
      <w:pPr>
        <w:jc w:val="both"/>
      </w:pPr>
      <w:r>
        <w:t xml:space="preserve">Classe résistance au feu pour l’ensemble du système de plancher surélevé : </w:t>
      </w:r>
      <w:r>
        <w:rPr>
          <w:rStyle w:val="optioncarChar"/>
        </w:rPr>
        <w:t xml:space="preserve">R15 / R30 </w:t>
      </w:r>
      <w:r>
        <w:t>(par défaut)</w:t>
      </w:r>
      <w:r>
        <w:rPr>
          <w:rStyle w:val="optioncarChar"/>
        </w:rPr>
        <w:t xml:space="preserve"> / RE 30 / REI 30 / REI 60 / ***</w:t>
      </w:r>
      <w:r>
        <w:t xml:space="preserve"> selon [NBN EN 13501-2]</w:t>
      </w:r>
    </w:p>
    <w:p w14:paraId="09D0B1E7" w14:textId="77777777" w:rsidR="004B2808" w:rsidRDefault="00000000">
      <w:pPr>
        <w:jc w:val="both"/>
      </w:pPr>
      <w:r>
        <w:t xml:space="preserve">Classe de sollicitation – Charges d’exploitation selon [NBN EN 1991-1-1] : </w:t>
      </w:r>
      <w:r>
        <w:rPr>
          <w:rStyle w:val="optioncarChar"/>
        </w:rPr>
        <w:t>A / B</w:t>
      </w:r>
      <w:r>
        <w:t xml:space="preserve"> (par défaut)</w:t>
      </w:r>
      <w:r>
        <w:rPr>
          <w:rStyle w:val="optioncarChar"/>
        </w:rPr>
        <w:t xml:space="preserve"> / C1 / C2 / C3 / C4 / C5 / D1 / D2 / ***</w:t>
      </w:r>
    </w:p>
    <w:p w14:paraId="26459F12" w14:textId="77777777" w:rsidR="004B2808" w:rsidRDefault="00000000">
      <w:pPr>
        <w:jc w:val="both"/>
      </w:pPr>
      <w:r>
        <w:t xml:space="preserve">Classe de résistance ≥ : </w:t>
      </w:r>
      <w:r>
        <w:rPr>
          <w:rStyle w:val="optioncarChar"/>
        </w:rPr>
        <w:t xml:space="preserve">1 (≥ 4 kN) / 2 (≥ 6 kN) </w:t>
      </w:r>
      <w:r>
        <w:t>(par défaut)</w:t>
      </w:r>
      <w:r>
        <w:rPr>
          <w:rStyle w:val="optioncarChar"/>
        </w:rPr>
        <w:t xml:space="preserve"> / 3 (≥ 8 kN) / 4 (≥ 9 kN) / 5 (≥ 10 kN) / 6 (≥ 12 kN)</w:t>
      </w:r>
      <w:r>
        <w:t xml:space="preserve"> selon [NBN EN 12825] </w:t>
      </w:r>
    </w:p>
    <w:p w14:paraId="57F43933" w14:textId="77777777" w:rsidR="004B2808" w:rsidRDefault="00000000">
      <w:pPr>
        <w:jc w:val="both"/>
      </w:pPr>
      <w:r>
        <w:t xml:space="preserve"> Coefficient de sécurité (charge de rupture) : </w:t>
      </w:r>
      <w:r>
        <w:rPr>
          <w:rStyle w:val="optioncarChar"/>
        </w:rPr>
        <w:t>2</w:t>
      </w:r>
      <w:r>
        <w:t xml:space="preserve"> (par défaut) </w:t>
      </w:r>
      <w:r>
        <w:rPr>
          <w:rStyle w:val="optioncarChar"/>
        </w:rPr>
        <w:t>/ 3</w:t>
      </w:r>
    </w:p>
    <w:p w14:paraId="4F433431" w14:textId="77777777" w:rsidR="004B2808" w:rsidRDefault="00000000">
      <w:pPr>
        <w:jc w:val="both"/>
      </w:pPr>
      <w:r>
        <w:lastRenderedPageBreak/>
        <w:t xml:space="preserve">Déformation sous charge – Classe de flèche (déformation maximale sous charge de service) : </w:t>
      </w:r>
      <w:r>
        <w:rPr>
          <w:rStyle w:val="optioncarChar"/>
        </w:rPr>
        <w:t>A (≤ 2,5 mm)</w:t>
      </w:r>
      <w:r>
        <w:t xml:space="preserve"> (par défaut)</w:t>
      </w:r>
      <w:r>
        <w:rPr>
          <w:rStyle w:val="optioncarChar"/>
        </w:rPr>
        <w:t xml:space="preserve"> / B (≤ 3 mm) / C (≤ 4 mm)</w:t>
      </w:r>
      <w:r>
        <w:t xml:space="preserve"> selon [NBN EN 12825]</w:t>
      </w:r>
    </w:p>
    <w:p w14:paraId="60360D65" w14:textId="77777777" w:rsidR="004B2808" w:rsidRDefault="00000000">
      <w:pPr>
        <w:jc w:val="both"/>
      </w:pPr>
      <w:r>
        <w:t>Résistance aux charges dynamiques : selon la [NBN EN 12825] </w:t>
      </w:r>
    </w:p>
    <w:p w14:paraId="14ACD47B" w14:textId="77777777" w:rsidR="004B2808" w:rsidRDefault="00000000">
      <w:pPr>
        <w:jc w:val="both"/>
      </w:pPr>
      <w:r>
        <w:t>Antistaticité : selon la [NBN EN 1815]</w:t>
      </w:r>
    </w:p>
    <w:p w14:paraId="45601EAB" w14:textId="77777777" w:rsidR="004B2808" w:rsidRDefault="00000000">
      <w:pPr>
        <w:jc w:val="both"/>
      </w:pPr>
      <w:r>
        <w:t>Electroconductivité : selon la [NBN EN 1081:2018+A1]</w:t>
      </w:r>
    </w:p>
    <w:p w14:paraId="13855181" w14:textId="77777777" w:rsidR="004B2808" w:rsidRDefault="00000000">
      <w:pPr>
        <w:jc w:val="both"/>
      </w:pPr>
      <w:r>
        <w:t>Le revêtement de finition du sol répond aux exigences de réaction au feu imposées.</w:t>
      </w:r>
    </w:p>
    <w:p w14:paraId="7C946AFF" w14:textId="77777777" w:rsidR="004B2808" w:rsidRDefault="00000000">
      <w:pPr>
        <w:pStyle w:val="pheading"/>
      </w:pPr>
      <w:r>
        <w:t>EXÉCUTION / MISE EN ŒUVRE</w:t>
      </w:r>
    </w:p>
    <w:p w14:paraId="64D9AE1F" w14:textId="77777777" w:rsidR="004B2808" w:rsidRDefault="00000000">
      <w:pPr>
        <w:pStyle w:val="pheading"/>
      </w:pPr>
      <w:r>
        <w:t>- Prescriptions générales</w:t>
      </w:r>
    </w:p>
    <w:p w14:paraId="0DF9D446" w14:textId="77777777" w:rsidR="004B2808" w:rsidRDefault="00000000">
      <w:pPr>
        <w:jc w:val="both"/>
      </w:pPr>
      <w:r>
        <w:rPr>
          <w:u w:val="single"/>
        </w:rPr>
        <w:t>Trappes d’accès au plenum :</w:t>
      </w:r>
    </w:p>
    <w:p w14:paraId="44514251" w14:textId="77777777" w:rsidR="004B2808" w:rsidRDefault="00000000">
      <w:pPr>
        <w:pStyle w:val="Author-eListParagraph"/>
        <w:numPr>
          <w:ilvl w:val="0"/>
          <w:numId w:val="542"/>
        </w:numPr>
      </w:pPr>
      <w:r>
        <w:t xml:space="preserve">Dimensions : ≥ </w:t>
      </w:r>
      <w:r>
        <w:rPr>
          <w:rStyle w:val="optioncarChar"/>
        </w:rPr>
        <w:t xml:space="preserve">60 x 60 </w:t>
      </w:r>
      <w:r>
        <w:t>(par défaut)</w:t>
      </w:r>
      <w:r>
        <w:rPr>
          <w:rStyle w:val="optioncarChar"/>
        </w:rPr>
        <w:t xml:space="preserve"> / 60 x 120 / ***</w:t>
      </w:r>
      <w:r>
        <w:t xml:space="preserve"> cm.</w:t>
      </w:r>
    </w:p>
    <w:p w14:paraId="7C6A02CD" w14:textId="77777777" w:rsidR="004B2808" w:rsidRDefault="00000000">
      <w:pPr>
        <w:pStyle w:val="Author-eListParagraph"/>
        <w:numPr>
          <w:ilvl w:val="0"/>
          <w:numId w:val="542"/>
        </w:numPr>
      </w:pPr>
      <w:r>
        <w:t xml:space="preserve">Nombre : ≥ </w:t>
      </w:r>
      <w:r>
        <w:rPr>
          <w:rStyle w:val="optioncarChar"/>
        </w:rPr>
        <w:t xml:space="preserve">1 / 2 </w:t>
      </w:r>
      <w:r>
        <w:t>(par défaut)</w:t>
      </w:r>
      <w:r>
        <w:rPr>
          <w:rStyle w:val="optioncarChar"/>
        </w:rPr>
        <w:t xml:space="preserve"> / ***</w:t>
      </w:r>
      <w:r>
        <w:t xml:space="preserve"> pour chaque local.</w:t>
      </w:r>
    </w:p>
    <w:p w14:paraId="09FA6976" w14:textId="77777777" w:rsidR="004B2808" w:rsidRDefault="00000000">
      <w:pPr>
        <w:pStyle w:val="Author-eListParagraph"/>
        <w:numPr>
          <w:ilvl w:val="0"/>
          <w:numId w:val="542"/>
        </w:numPr>
      </w:pPr>
      <w:r>
        <w:t xml:space="preserve">Emplacements : </w:t>
      </w:r>
      <w:r>
        <w:rPr>
          <w:rStyle w:val="optioncarChar"/>
        </w:rPr>
        <w:t xml:space="preserve">selon les indications aux plans </w:t>
      </w:r>
      <w:r>
        <w:t>(par défaut)</w:t>
      </w:r>
      <w:r>
        <w:rPr>
          <w:rStyle w:val="optioncarChar"/>
        </w:rPr>
        <w:t xml:space="preserve"> / définis en concertation préalable avec la direction des travaux / ***</w:t>
      </w:r>
    </w:p>
    <w:p w14:paraId="66AC986D" w14:textId="77777777" w:rsidR="004B2808" w:rsidRDefault="00000000">
      <w:pPr>
        <w:jc w:val="both"/>
      </w:pPr>
      <w:r>
        <w:rPr>
          <w:u w:val="single"/>
        </w:rPr>
        <w:t>Pose des panneaux :</w:t>
      </w:r>
    </w:p>
    <w:p w14:paraId="06606F28" w14:textId="77777777" w:rsidR="004B2808" w:rsidRDefault="00000000">
      <w:pPr>
        <w:jc w:val="both"/>
      </w:pPr>
      <w:r>
        <w:t xml:space="preserve">Les différentes rangées adjacentes sont posées en quinconce avec un décalage de : </w:t>
      </w:r>
      <w:r>
        <w:rPr>
          <w:rStyle w:val="optioncarChar"/>
        </w:rPr>
        <w:t xml:space="preserve">600 </w:t>
      </w:r>
      <w:r>
        <w:t>(par défaut)</w:t>
      </w:r>
      <w:r>
        <w:rPr>
          <w:rStyle w:val="optioncarChar"/>
        </w:rPr>
        <w:t xml:space="preserve"> / ***</w:t>
      </w:r>
      <w:r>
        <w:t xml:space="preserve"> mm.</w:t>
      </w:r>
    </w:p>
    <w:p w14:paraId="3C95180A" w14:textId="77777777" w:rsidR="004B2808" w:rsidRDefault="00000000">
      <w:pPr>
        <w:jc w:val="both"/>
      </w:pPr>
      <w:r>
        <w:rPr>
          <w:u w:val="single"/>
        </w:rPr>
        <w:t>Planchers à 2 couches :</w:t>
      </w:r>
    </w:p>
    <w:p w14:paraId="3EC80E8D" w14:textId="77777777" w:rsidR="004B2808" w:rsidRDefault="00000000">
      <w:pPr>
        <w:jc w:val="both"/>
      </w:pPr>
      <w:r>
        <w:t xml:space="preserve">Rotation de 90° de la couche supérieure par rapport à la couche inférieure : </w:t>
      </w:r>
      <w:r>
        <w:rPr>
          <w:rStyle w:val="optioncarChar"/>
        </w:rPr>
        <w:t>sans</w:t>
      </w:r>
      <w:r>
        <w:t xml:space="preserve"> (par défaut)</w:t>
      </w:r>
      <w:r>
        <w:rPr>
          <w:rStyle w:val="optioncarChar"/>
        </w:rPr>
        <w:t xml:space="preserve"> / avec</w:t>
      </w:r>
    </w:p>
    <w:p w14:paraId="1BE305AD" w14:textId="77777777" w:rsidR="004B2808" w:rsidRDefault="00000000">
      <w:pPr>
        <w:jc w:val="both"/>
      </w:pPr>
      <w:r>
        <w:t xml:space="preserve">Les panneaux de la couche supérieure sont mis en œuvre perpendiculairement à ceux de la couche inférieure, en quinconce et respectant, dans les 2 directions, un décalage ≥ </w:t>
      </w:r>
      <w:r>
        <w:rPr>
          <w:rStyle w:val="optioncarChar"/>
        </w:rPr>
        <w:t xml:space="preserve">150 </w:t>
      </w:r>
      <w:r>
        <w:t>(par défaut)</w:t>
      </w:r>
      <w:r>
        <w:rPr>
          <w:rStyle w:val="optioncarChar"/>
        </w:rPr>
        <w:t xml:space="preserve"> / ***</w:t>
      </w:r>
      <w:r>
        <w:t xml:space="preserve"> mm par rapport à la couche inférieure.  </w:t>
      </w:r>
    </w:p>
    <w:p w14:paraId="6F5D7824" w14:textId="77777777" w:rsidR="004B2808" w:rsidRDefault="00000000">
      <w:pPr>
        <w:jc w:val="both"/>
      </w:pPr>
      <w:r>
        <w:t xml:space="preserve">La couche supérieure est fixée sur la couche inférieure préalablement nettoyée par : </w:t>
      </w:r>
      <w:r>
        <w:rPr>
          <w:rStyle w:val="optioncarChar"/>
        </w:rPr>
        <w:t xml:space="preserve">collage </w:t>
      </w:r>
      <w:r>
        <w:t>(par défaut)</w:t>
      </w:r>
      <w:r>
        <w:rPr>
          <w:rStyle w:val="optioncarChar"/>
        </w:rPr>
        <w:t xml:space="preserve"> / clouage / ***</w:t>
      </w:r>
    </w:p>
    <w:p w14:paraId="6FD6E30E" w14:textId="77777777" w:rsidR="004B2808" w:rsidRDefault="00000000">
      <w:pPr>
        <w:pStyle w:val="pheading"/>
      </w:pPr>
      <w:r>
        <w:t>MESURAGE</w:t>
      </w:r>
    </w:p>
    <w:p w14:paraId="21D1722B" w14:textId="77777777" w:rsidR="004B2808" w:rsidRDefault="00000000">
      <w:pPr>
        <w:pStyle w:val="pheading"/>
      </w:pPr>
      <w:r>
        <w:t>- unité de mesure:</w:t>
      </w:r>
    </w:p>
    <w:p w14:paraId="7B15AC9E" w14:textId="77777777" w:rsidR="004B2808" w:rsidRDefault="00000000">
      <w:r>
        <w:rPr>
          <w:rStyle w:val="optioncarChar"/>
        </w:rPr>
        <w:t xml:space="preserve">m² </w:t>
      </w:r>
      <w:r>
        <w:t xml:space="preserve">(par défaut) </w:t>
      </w:r>
      <w:r>
        <w:rPr>
          <w:rStyle w:val="optioncarChar"/>
        </w:rPr>
        <w:t>/ fft</w:t>
      </w:r>
    </w:p>
    <w:p w14:paraId="098C10CE" w14:textId="77777777" w:rsidR="004B2808" w:rsidRDefault="00000000">
      <w:r>
        <w:rPr>
          <w:b/>
        </w:rPr>
        <w:t>(soit par défaut)</w:t>
      </w:r>
      <w:r>
        <w:br/>
      </w:r>
      <w:r>
        <w:rPr>
          <w:rStyle w:val="soitChar"/>
        </w:rPr>
        <w:t>1.  m²</w:t>
      </w:r>
      <w:r>
        <w:br/>
      </w:r>
      <w:r>
        <w:rPr>
          <w:b/>
        </w:rPr>
        <w:t>(soit)</w:t>
      </w:r>
      <w:r>
        <w:br/>
      </w:r>
      <w:r>
        <w:rPr>
          <w:rStyle w:val="soitChar"/>
        </w:rPr>
        <w:t>2.  fft</w:t>
      </w:r>
    </w:p>
    <w:p w14:paraId="5D6D556C" w14:textId="77777777" w:rsidR="004B2808" w:rsidRDefault="00000000">
      <w:pPr>
        <w:pStyle w:val="pheading"/>
      </w:pPr>
      <w:r>
        <w:t>- code de mesurage:</w:t>
      </w:r>
    </w:p>
    <w:p w14:paraId="4672FEFA" w14:textId="77777777" w:rsidR="004B2808" w:rsidRDefault="00000000">
      <w:pPr>
        <w:jc w:val="both"/>
      </w:pPr>
      <w:r>
        <w:rPr>
          <w:rStyle w:val="optioncarChar"/>
        </w:rPr>
        <w:t>Surface nette</w:t>
      </w:r>
      <w:r>
        <w:t xml:space="preserve"> (par défaut)</w:t>
      </w:r>
      <w:r>
        <w:rPr>
          <w:rStyle w:val="optioncarChar"/>
        </w:rPr>
        <w:t xml:space="preserve"> / Pour l'ensemble des prestations à réaliser</w:t>
      </w:r>
    </w:p>
    <w:p w14:paraId="44ACA87E" w14:textId="77777777" w:rsidR="004B2808" w:rsidRDefault="00000000">
      <w:pPr>
        <w:jc w:val="both"/>
      </w:pPr>
      <w:r>
        <w:rPr>
          <w:b/>
        </w:rPr>
        <w:t>(soit par défaut)</w:t>
      </w:r>
    </w:p>
    <w:p w14:paraId="2EC8C44A" w14:textId="77777777" w:rsidR="004B2808" w:rsidRDefault="00000000">
      <w:pPr>
        <w:jc w:val="both"/>
      </w:pPr>
      <w:r>
        <w:rPr>
          <w:rStyle w:val="soitChar"/>
        </w:rPr>
        <w:t xml:space="preserve">1.  </w:t>
      </w:r>
      <w:r>
        <w:rPr>
          <w:rStyle w:val="soitChar"/>
          <w:u w:val="single"/>
        </w:rPr>
        <w:t>Surface nette :</w:t>
      </w:r>
    </w:p>
    <w:p w14:paraId="671F0E8A" w14:textId="77777777" w:rsidR="004B2808" w:rsidRDefault="00000000">
      <w:pPr>
        <w:jc w:val="both"/>
      </w:pPr>
      <w:r>
        <w:rPr>
          <w:rStyle w:val="soitChar"/>
        </w:rPr>
        <w:t>En tenant compte de la plus grande longueur et largeur de la surface à recouvrir, y compris la profondeur des niches.</w:t>
      </w:r>
    </w:p>
    <w:p w14:paraId="2D7DC529" w14:textId="77777777" w:rsidR="004B2808" w:rsidRDefault="00000000">
      <w:pPr>
        <w:jc w:val="both"/>
      </w:pPr>
      <w:r>
        <w:rPr>
          <w:rStyle w:val="soitChar"/>
        </w:rPr>
        <w:t>Eventuellement scindée dans différents postes selon le type de dalle, de revêtement, ...</w:t>
      </w:r>
    </w:p>
    <w:p w14:paraId="4D01877E" w14:textId="77777777" w:rsidR="004B2808" w:rsidRDefault="00000000">
      <w:pPr>
        <w:jc w:val="both"/>
      </w:pPr>
      <w:r>
        <w:rPr>
          <w:b/>
        </w:rPr>
        <w:t>(soit)</w:t>
      </w:r>
    </w:p>
    <w:p w14:paraId="4EB7BF32" w14:textId="77777777" w:rsidR="004B2808" w:rsidRDefault="00000000">
      <w:pPr>
        <w:jc w:val="both"/>
      </w:pPr>
      <w:r>
        <w:rPr>
          <w:rStyle w:val="soitChar"/>
        </w:rPr>
        <w:t xml:space="preserve">2.  </w:t>
      </w:r>
      <w:r>
        <w:rPr>
          <w:rStyle w:val="soitChar"/>
          <w:u w:val="single"/>
        </w:rPr>
        <w:t>Pour l’ensemble des prestations à réaliser :</w:t>
      </w:r>
    </w:p>
    <w:p w14:paraId="7A2EB382" w14:textId="77777777" w:rsidR="004B2808" w:rsidRDefault="00000000">
      <w:pPr>
        <w:jc w:val="both"/>
      </w:pPr>
      <w:r>
        <w:rPr>
          <w:rStyle w:val="soitChar"/>
        </w:rPr>
        <w:t>Le prix unitaire comprend toutes les prestations nécessaires pour l’exécution de l’ensemble.</w:t>
      </w:r>
    </w:p>
    <w:p w14:paraId="6CA973F7" w14:textId="77777777" w:rsidR="004B2808" w:rsidRDefault="00000000">
      <w:pPr>
        <w:jc w:val="both"/>
      </w:pPr>
      <w:r>
        <w:rPr>
          <w:rStyle w:val="soitChar"/>
        </w:rPr>
        <w:t>Eventuellement scindé dans différents postes selon le type de dalle, de revêtement, …</w:t>
      </w:r>
    </w:p>
    <w:p w14:paraId="3BD2C0BE" w14:textId="77777777" w:rsidR="004B2808" w:rsidRDefault="00000000">
      <w:pPr>
        <w:pStyle w:val="pheading"/>
      </w:pPr>
      <w:r>
        <w:t>- nature du marché:</w:t>
      </w:r>
    </w:p>
    <w:p w14:paraId="1F391629" w14:textId="77777777" w:rsidR="004B2808" w:rsidRDefault="00000000">
      <w:r>
        <w:rPr>
          <w:rStyle w:val="optioncarChar"/>
        </w:rPr>
        <w:lastRenderedPageBreak/>
        <w:t>QF</w:t>
      </w:r>
      <w:r>
        <w:t xml:space="preserve"> (par défaut) </w:t>
      </w:r>
      <w:r>
        <w:rPr>
          <w:rStyle w:val="optioncarChar"/>
        </w:rPr>
        <w:t>/ PG</w:t>
      </w:r>
    </w:p>
    <w:p w14:paraId="6C13F444" w14:textId="77777777" w:rsidR="004B2808" w:rsidRDefault="00000000">
      <w:r>
        <w:rPr>
          <w:b/>
        </w:rPr>
        <w:t>(soit par défaut)</w:t>
      </w:r>
      <w:r>
        <w:br/>
      </w:r>
      <w:r>
        <w:rPr>
          <w:rStyle w:val="soitChar"/>
        </w:rPr>
        <w:t>1.  QF</w:t>
      </w:r>
      <w:r>
        <w:br/>
      </w:r>
      <w:r>
        <w:rPr>
          <w:b/>
        </w:rPr>
        <w:t>(soit)</w:t>
      </w:r>
      <w:r>
        <w:br/>
      </w:r>
      <w:r>
        <w:rPr>
          <w:rStyle w:val="soitChar"/>
        </w:rPr>
        <w:t>2.  PG</w:t>
      </w:r>
    </w:p>
    <w:p w14:paraId="548EB895" w14:textId="77777777" w:rsidR="004B2808" w:rsidRDefault="00000000">
      <w:pPr>
        <w:pStyle w:val="Author-eSectionHeading5Numberless"/>
      </w:pPr>
      <w:bookmarkStart w:id="621" w:name="_Toc220490783"/>
      <w:r>
        <w:t>53.42.2 Planchers surélevés creux de type humide CCTB 01.11</w:t>
      </w:r>
      <w:bookmarkEnd w:id="621"/>
    </w:p>
    <w:p w14:paraId="024C0AEB" w14:textId="77777777" w:rsidR="004B2808" w:rsidRDefault="00000000">
      <w:pPr>
        <w:pStyle w:val="pheading"/>
      </w:pPr>
      <w:r>
        <w:t>EXÉCUTION / MISE EN ŒUVRE</w:t>
      </w:r>
    </w:p>
    <w:p w14:paraId="3A4B843B" w14:textId="77777777" w:rsidR="004B2808" w:rsidRDefault="00000000">
      <w:pPr>
        <w:jc w:val="both"/>
      </w:pPr>
      <w:r>
        <w:rPr>
          <w:u w:val="single"/>
        </w:rPr>
        <w:t>Tolérances – Degrés de finition :</w:t>
      </w:r>
    </w:p>
    <w:p w14:paraId="7E1CA160" w14:textId="77777777" w:rsidR="004B2808" w:rsidRDefault="00000000">
      <w:pPr>
        <w:pStyle w:val="Author-eListParagraph"/>
        <w:numPr>
          <w:ilvl w:val="0"/>
          <w:numId w:val="543"/>
        </w:numPr>
        <w:jc w:val="both"/>
      </w:pPr>
      <w:r>
        <w:t xml:space="preserve">Classe de planéité des planchers creux de type humide : </w:t>
      </w:r>
      <w:r>
        <w:rPr>
          <w:rStyle w:val="optioncarChar"/>
        </w:rPr>
        <w:t>1 (larges) / 2 (normales)</w:t>
      </w:r>
      <w:r>
        <w:t xml:space="preserve"> (par défaut)</w:t>
      </w:r>
      <w:r>
        <w:rPr>
          <w:rStyle w:val="optioncarChar"/>
        </w:rPr>
        <w:t xml:space="preserve"> / 3 (sévères)</w:t>
      </w:r>
      <w:r>
        <w:t xml:space="preserve"> selon la [NIT 230].</w:t>
      </w:r>
    </w:p>
    <w:p w14:paraId="2B67DDD5" w14:textId="77777777" w:rsidR="004B2808" w:rsidRDefault="00000000">
      <w:pPr>
        <w:pStyle w:val="Author-eSectionHeading6Numberless"/>
      </w:pPr>
      <w:bookmarkStart w:id="622" w:name="_Toc220490784"/>
      <w:r>
        <w:t>53.42.2a Planchers surélevés creux de type humide CCTB 01.11</w:t>
      </w:r>
      <w:bookmarkEnd w:id="622"/>
    </w:p>
    <w:p w14:paraId="4AB5F4E4" w14:textId="77777777" w:rsidR="004B2808" w:rsidRDefault="00000000">
      <w:pPr>
        <w:pStyle w:val="pheading"/>
      </w:pPr>
      <w:r>
        <w:t>DESCRIPTION</w:t>
      </w:r>
    </w:p>
    <w:p w14:paraId="4180B7BA" w14:textId="77777777" w:rsidR="004B2808" w:rsidRDefault="00000000">
      <w:pPr>
        <w:pStyle w:val="pheading"/>
      </w:pPr>
      <w:r>
        <w:t>- Définition / Comprend</w:t>
      </w:r>
    </w:p>
    <w:p w14:paraId="02153FCD" w14:textId="77777777" w:rsidR="004B2808" w:rsidRDefault="00000000">
      <w:pPr>
        <w:jc w:val="both"/>
      </w:pPr>
      <w:r>
        <w:t>Il s’agit de la fourniture et de la pose de planchers surélevés « creux » de type « humide » dont le système est constitué d’une structure portante et de panneaux destinés à recevoir une finition de type humide.</w:t>
      </w:r>
    </w:p>
    <w:p w14:paraId="043D5E2A" w14:textId="77777777" w:rsidR="004B2808" w:rsidRDefault="00000000">
      <w:pPr>
        <w:jc w:val="both"/>
      </w:pPr>
      <w:r>
        <w:t xml:space="preserve">Les panneaux support sont recouverts d’une membrane d’étanchéité et d’une chape conformément au </w:t>
      </w:r>
      <w:hyperlink w:anchor="1269" w:history="1">
        <w:r w:rsidR="004B2808">
          <w:rPr>
            <w:color w:val="0000EE"/>
          </w:rPr>
          <w:t>52.1 Etanchéisation aux matières liquides</w:t>
        </w:r>
      </w:hyperlink>
      <w:r>
        <w:t xml:space="preserve"> et au </w:t>
      </w:r>
      <w:hyperlink w:anchor="108" w:history="1">
        <w:r w:rsidR="004B2808">
          <w:rPr>
            <w:color w:val="0000EE"/>
          </w:rPr>
          <w:t>53.2 Chapes</w:t>
        </w:r>
      </w:hyperlink>
      <w:r>
        <w:t xml:space="preserve"> et suivants.</w:t>
      </w:r>
    </w:p>
    <w:p w14:paraId="415217B3" w14:textId="77777777" w:rsidR="004B2808" w:rsidRDefault="00000000">
      <w:pPr>
        <w:pStyle w:val="pheading"/>
      </w:pPr>
      <w:r>
        <w:t>MATÉRIAUX</w:t>
      </w:r>
    </w:p>
    <w:p w14:paraId="0563FF78" w14:textId="77777777" w:rsidR="004B2808" w:rsidRDefault="00000000">
      <w:pPr>
        <w:pStyle w:val="pheading"/>
      </w:pPr>
      <w:r>
        <w:t>- Caractéristiques générales</w:t>
      </w:r>
    </w:p>
    <w:p w14:paraId="684C53CA" w14:textId="77777777" w:rsidR="004B2808" w:rsidRDefault="00000000">
      <w:pPr>
        <w:jc w:val="both"/>
      </w:pPr>
      <w:r>
        <w:t>Composition du système de planchers surélevés creux de type humide :</w:t>
      </w:r>
    </w:p>
    <w:p w14:paraId="53376B3C" w14:textId="77777777" w:rsidR="004B2808" w:rsidRDefault="00000000">
      <w:pPr>
        <w:jc w:val="both"/>
      </w:pPr>
      <w:r>
        <w:rPr>
          <w:b/>
        </w:rPr>
        <w:t>A- Structure porteuse (infrastructure) :</w:t>
      </w:r>
    </w:p>
    <w:p w14:paraId="1019CA7F" w14:textId="77777777" w:rsidR="004B2808" w:rsidRDefault="00000000">
      <w:pPr>
        <w:pStyle w:val="Author-eListParagraph"/>
        <w:numPr>
          <w:ilvl w:val="0"/>
          <w:numId w:val="544"/>
        </w:numPr>
      </w:pPr>
      <w:r>
        <w:rPr>
          <w:u w:val="single"/>
        </w:rPr>
        <w:t>Matériau principal :</w:t>
      </w:r>
      <w:r>
        <w:t>  </w:t>
      </w:r>
      <w:r>
        <w:rPr>
          <w:rStyle w:val="optioncarChar"/>
        </w:rPr>
        <w:t xml:space="preserve">acier galvanisé </w:t>
      </w:r>
      <w:r>
        <w:t>(par défaut)</w:t>
      </w:r>
      <w:r>
        <w:rPr>
          <w:rStyle w:val="optioncarChar"/>
        </w:rPr>
        <w:t xml:space="preserve"> / ***</w:t>
      </w:r>
      <w:r>
        <w:br/>
        <w:t>Si l’infrastructure se compose de matériaux oxydables, ceux-ci sont protégés contre la corrosion.</w:t>
      </w:r>
    </w:p>
    <w:p w14:paraId="487A1A9D" w14:textId="77777777" w:rsidR="004B2808" w:rsidRDefault="00000000">
      <w:pPr>
        <w:pStyle w:val="Author-eListParagraph"/>
        <w:numPr>
          <w:ilvl w:val="0"/>
          <w:numId w:val="544"/>
        </w:numPr>
      </w:pPr>
      <w:r>
        <w:rPr>
          <w:u w:val="single"/>
        </w:rPr>
        <w:t>Système de vérins :</w:t>
      </w:r>
      <w:r>
        <w:br/>
        <w:t>Avec hauteur réglable. L’entrepreneur détermine le modèle de vérin afin de positionner de façon précise le niveau du sol fini en fonction du travail à réaliser et d’avoir une amplitude de réglage adaptée.</w:t>
      </w:r>
      <w:r>
        <w:br/>
        <w:t>Equipés d’un dispositif antivibratoire.</w:t>
      </w:r>
      <w:r>
        <w:br/>
        <w:t xml:space="preserve">Tête : </w:t>
      </w:r>
      <w:r>
        <w:rPr>
          <w:rStyle w:val="optioncarChar"/>
        </w:rPr>
        <w:t xml:space="preserve">selon la documentation technique qui accompagne le produit </w:t>
      </w:r>
      <w:r>
        <w:t>(par défaut)</w:t>
      </w:r>
      <w:r>
        <w:rPr>
          <w:rStyle w:val="optioncarChar"/>
        </w:rPr>
        <w:t xml:space="preserve"> / avec ergots / sans ergots / ***</w:t>
      </w:r>
      <w:r>
        <w:br/>
        <w:t xml:space="preserve">Contre-écrous : </w:t>
      </w:r>
      <w:r>
        <w:rPr>
          <w:rStyle w:val="optioncarChar"/>
        </w:rPr>
        <w:t xml:space="preserve">selon la documentation technique qui accompagne le produit </w:t>
      </w:r>
      <w:r>
        <w:t>(par défaut)</w:t>
      </w:r>
      <w:r>
        <w:rPr>
          <w:rStyle w:val="optioncarChar"/>
        </w:rPr>
        <w:t xml:space="preserve"> / avec / sans / ***</w:t>
      </w:r>
    </w:p>
    <w:p w14:paraId="0F5BE6E2" w14:textId="77777777" w:rsidR="004B2808" w:rsidRDefault="00000000">
      <w:pPr>
        <w:pStyle w:val="Author-eListParagraph"/>
        <w:numPr>
          <w:ilvl w:val="0"/>
          <w:numId w:val="544"/>
        </w:numPr>
      </w:pPr>
      <w:r>
        <w:rPr>
          <w:u w:val="single"/>
        </w:rPr>
        <w:t>Système de traverses :</w:t>
      </w:r>
      <w:r>
        <w:t>  </w:t>
      </w:r>
      <w:r>
        <w:rPr>
          <w:rStyle w:val="optioncarChar"/>
        </w:rPr>
        <w:t>lorsque la hauteur du plénum est ≥ 50 </w:t>
      </w:r>
      <w:r>
        <w:t>(par défaut) </w:t>
      </w:r>
      <w:r>
        <w:rPr>
          <w:rStyle w:val="optioncarChar"/>
        </w:rPr>
        <w:t xml:space="preserve">/ 60 / *** cm </w:t>
      </w:r>
      <w:r>
        <w:t>(par défaut)   </w:t>
      </w:r>
      <w:r>
        <w:rPr>
          <w:rStyle w:val="optioncarChar"/>
        </w:rPr>
        <w:t xml:space="preserve"> /    selon la documentation technique qui accompagne le produit / ***</w:t>
      </w:r>
    </w:p>
    <w:p w14:paraId="53B52A84" w14:textId="77777777" w:rsidR="004B2808" w:rsidRDefault="00000000">
      <w:pPr>
        <w:pStyle w:val="Author-eListParagraph"/>
        <w:numPr>
          <w:ilvl w:val="0"/>
          <w:numId w:val="544"/>
        </w:numPr>
      </w:pPr>
      <w:r>
        <w:rPr>
          <w:u w:val="single"/>
        </w:rPr>
        <w:t>Joint de dilatation :</w:t>
      </w:r>
      <w:r>
        <w:t xml:space="preserve">  </w:t>
      </w:r>
      <w:r>
        <w:rPr>
          <w:rStyle w:val="optioncarChar"/>
        </w:rPr>
        <w:t>selon la documentation technique qui accompagne le produit / ***</w:t>
      </w:r>
    </w:p>
    <w:p w14:paraId="682CEF8E" w14:textId="77777777" w:rsidR="004B2808" w:rsidRDefault="00000000">
      <w:pPr>
        <w:pStyle w:val="Author-eListParagraph"/>
        <w:numPr>
          <w:ilvl w:val="0"/>
          <w:numId w:val="544"/>
        </w:numPr>
      </w:pPr>
      <w:r>
        <w:rPr>
          <w:u w:val="single"/>
        </w:rPr>
        <w:t>Renforts :</w:t>
      </w:r>
      <w:r>
        <w:t xml:space="preserve">  </w:t>
      </w:r>
      <w:r>
        <w:rPr>
          <w:rStyle w:val="optioncarChar"/>
        </w:rPr>
        <w:t xml:space="preserve">selon la documentation technique qui accompagne le produit </w:t>
      </w:r>
      <w:r>
        <w:t>(par défaut)</w:t>
      </w:r>
      <w:r>
        <w:rPr>
          <w:rStyle w:val="optioncarChar"/>
        </w:rPr>
        <w:t xml:space="preserve"> / avec / sans / ***</w:t>
      </w:r>
    </w:p>
    <w:p w14:paraId="1EEF001E" w14:textId="77777777" w:rsidR="004B2808" w:rsidRDefault="00000000">
      <w:pPr>
        <w:pStyle w:val="Author-eListParagraph"/>
        <w:numPr>
          <w:ilvl w:val="0"/>
          <w:numId w:val="544"/>
        </w:numPr>
      </w:pPr>
      <w:r>
        <w:rPr>
          <w:u w:val="single"/>
        </w:rPr>
        <w:t>Traverses diagonales (dans le plan du plancher) :</w:t>
      </w:r>
      <w:r>
        <w:rPr>
          <w:rStyle w:val="optioncarChar"/>
        </w:rPr>
        <w:t xml:space="preserve">selon la documentation technique qui accompagne le produit </w:t>
      </w:r>
      <w:r>
        <w:t>(par défaut)</w:t>
      </w:r>
      <w:r>
        <w:rPr>
          <w:rStyle w:val="optioncarChar"/>
        </w:rPr>
        <w:t xml:space="preserve"> / avec / sans / ***</w:t>
      </w:r>
    </w:p>
    <w:p w14:paraId="51E43718" w14:textId="77777777" w:rsidR="004B2808" w:rsidRDefault="00000000">
      <w:pPr>
        <w:pStyle w:val="Author-eListParagraph"/>
        <w:numPr>
          <w:ilvl w:val="0"/>
          <w:numId w:val="544"/>
        </w:numPr>
      </w:pPr>
      <w:r>
        <w:rPr>
          <w:u w:val="single"/>
        </w:rPr>
        <w:t>Traverses de franchissement ou pontage :</w:t>
      </w:r>
      <w:r>
        <w:t xml:space="preserve">  </w:t>
      </w:r>
      <w:r>
        <w:rPr>
          <w:rStyle w:val="optioncarChar"/>
        </w:rPr>
        <w:t>selon la documentation technique qui accompagne le produit (par défaut) / avec / sans / ***</w:t>
      </w:r>
    </w:p>
    <w:p w14:paraId="3B227666" w14:textId="77777777" w:rsidR="004B2808" w:rsidRDefault="00000000">
      <w:pPr>
        <w:pStyle w:val="Author-eListParagraph"/>
        <w:numPr>
          <w:ilvl w:val="0"/>
          <w:numId w:val="544"/>
        </w:numPr>
      </w:pPr>
      <w:r>
        <w:rPr>
          <w:u w:val="single"/>
        </w:rPr>
        <w:t>Divers :</w:t>
      </w:r>
    </w:p>
    <w:p w14:paraId="3425095D" w14:textId="77777777" w:rsidR="004B2808" w:rsidRDefault="00000000">
      <w:pPr>
        <w:pStyle w:val="Author-eListParagraph"/>
        <w:numPr>
          <w:ilvl w:val="1"/>
          <w:numId w:val="545"/>
        </w:numPr>
      </w:pPr>
      <w:r>
        <w:t>Tirants, étais, profilés d’about, … : à utiliser notamment à la périphérie du plancher surélevé, lorsque celui-ci est bordé par une cloison, un mur-rideau ou une paroi en verre, …</w:t>
      </w:r>
    </w:p>
    <w:p w14:paraId="0BE4F441" w14:textId="77777777" w:rsidR="004B2808" w:rsidRDefault="00000000">
      <w:pPr>
        <w:pStyle w:val="Author-eListParagraph"/>
        <w:numPr>
          <w:ilvl w:val="1"/>
          <w:numId w:val="545"/>
        </w:numPr>
      </w:pPr>
      <w:r>
        <w:lastRenderedPageBreak/>
        <w:t>Jouées, nez de marche, contre-marches, … : à utiliser notamment lorsque le plancher n’est pas bordé par les éléments décrits ci-avant, pour fermer le plénum, ...</w:t>
      </w:r>
      <w:r>
        <w:br/>
        <w:t>L’entrepreneur détermine et comprend dans ses prix unitaires tout ce qui est nécessaire pour obtenir un travail parfaitement fini, selon la documentation technique qui accompagne le système, les indications aux plans, les instructions données par la direction des travaux, ...</w:t>
      </w:r>
    </w:p>
    <w:p w14:paraId="697B0F51" w14:textId="77777777" w:rsidR="004B2808" w:rsidRDefault="00000000">
      <w:pPr>
        <w:jc w:val="both"/>
      </w:pPr>
      <w:r>
        <w:rPr>
          <w:b/>
        </w:rPr>
        <w:t>B- Surface de circulation :</w:t>
      </w:r>
    </w:p>
    <w:p w14:paraId="31078EFD" w14:textId="77777777" w:rsidR="004B2808" w:rsidRDefault="00000000">
      <w:pPr>
        <w:pStyle w:val="Author-eListParagraph"/>
        <w:numPr>
          <w:ilvl w:val="0"/>
          <w:numId w:val="546"/>
        </w:numPr>
      </w:pPr>
      <w:r>
        <w:rPr>
          <w:u w:val="single"/>
        </w:rPr>
        <w:t>Panneaux support :</w:t>
      </w:r>
      <w:r>
        <w:br/>
        <w:t>Ils sont destinés à recevoir une membrane d’étanchéité et une chape.</w:t>
      </w:r>
      <w:r>
        <w:br/>
        <w:t>Avec rainures et languettes destinées au collage, sur les 4 bords.</w:t>
      </w:r>
      <w:r>
        <w:br/>
        <w:t xml:space="preserve">Matériau : </w:t>
      </w:r>
      <w:r>
        <w:rPr>
          <w:rStyle w:val="optioncarChar"/>
        </w:rPr>
        <w:t xml:space="preserve">à base de plâtre, fibres de cellulose et granulats minéraux </w:t>
      </w:r>
      <w:r>
        <w:t>(par défaut)</w:t>
      </w:r>
      <w:r>
        <w:rPr>
          <w:rStyle w:val="optioncarChar"/>
        </w:rPr>
        <w:t xml:space="preserve"> / sulfate de calcium / ***</w:t>
      </w:r>
    </w:p>
    <w:p w14:paraId="0A053D5B" w14:textId="77777777" w:rsidR="004B2808" w:rsidRDefault="00000000">
      <w:pPr>
        <w:ind w:left="567"/>
        <w:jc w:val="both"/>
      </w:pPr>
      <w:r>
        <w:rPr>
          <w:b/>
        </w:rPr>
        <w:t>(soit par défaut)</w:t>
      </w:r>
    </w:p>
    <w:p w14:paraId="060F7D71" w14:textId="77777777" w:rsidR="004B2808" w:rsidRDefault="00000000">
      <w:pPr>
        <w:ind w:left="567"/>
        <w:jc w:val="both"/>
      </w:pPr>
      <w:r>
        <w:rPr>
          <w:rStyle w:val="soitChar"/>
          <w:u w:val="single"/>
        </w:rPr>
        <w:t>A base de plâtre, fibres de cellulose et granulats minéraux :</w:t>
      </w:r>
    </w:p>
    <w:p w14:paraId="1B4C0011" w14:textId="77777777" w:rsidR="004B2808" w:rsidRDefault="00000000">
      <w:pPr>
        <w:ind w:left="567"/>
        <w:jc w:val="both"/>
      </w:pPr>
      <w:r>
        <w:rPr>
          <w:rStyle w:val="soitChar"/>
        </w:rPr>
        <w:t xml:space="preserve">Epaisseur nominale : ≥ </w:t>
      </w:r>
      <w:r>
        <w:rPr>
          <w:rStyle w:val="optioncarChar"/>
        </w:rPr>
        <w:t>28</w:t>
      </w:r>
      <w:r>
        <w:t xml:space="preserve"> (par défaut)</w:t>
      </w:r>
      <w:r>
        <w:rPr>
          <w:rStyle w:val="optioncarChar"/>
        </w:rPr>
        <w:t xml:space="preserve"> / 32 / 48 / ***</w:t>
      </w:r>
      <w:r>
        <w:rPr>
          <w:rStyle w:val="soitChar"/>
        </w:rPr>
        <w:t xml:space="preserve"> mm</w:t>
      </w:r>
    </w:p>
    <w:p w14:paraId="4DAB3F80" w14:textId="77777777" w:rsidR="004B2808" w:rsidRDefault="00000000">
      <w:pPr>
        <w:ind w:left="567"/>
        <w:jc w:val="both"/>
      </w:pPr>
      <w:r>
        <w:rPr>
          <w:rStyle w:val="soitChar"/>
        </w:rPr>
        <w:t>Dimensions nominale (l x L) :</w:t>
      </w:r>
      <w:r>
        <w:rPr>
          <w:rStyle w:val="optioncarChar"/>
        </w:rPr>
        <w:t xml:space="preserve"> 600 x 600 / 600 x 1200</w:t>
      </w:r>
      <w:r>
        <w:t xml:space="preserve"> (par défaut) </w:t>
      </w:r>
      <w:r>
        <w:rPr>
          <w:rStyle w:val="optioncarChar"/>
        </w:rPr>
        <w:t>/ ***</w:t>
      </w:r>
    </w:p>
    <w:p w14:paraId="3DAFFB99" w14:textId="77777777" w:rsidR="004B2808" w:rsidRDefault="00000000">
      <w:pPr>
        <w:ind w:left="567"/>
        <w:jc w:val="both"/>
      </w:pPr>
      <w:r>
        <w:rPr>
          <w:rStyle w:val="soitChar"/>
        </w:rPr>
        <w:t xml:space="preserve">Densité : </w:t>
      </w:r>
      <w:r>
        <w:rPr>
          <w:rStyle w:val="optioncarChar"/>
        </w:rPr>
        <w:t xml:space="preserve">selon l’épaisseur des dalles et la documentation technique qui accompagne le produit </w:t>
      </w:r>
      <w:r>
        <w:t xml:space="preserve">(par défaut) </w:t>
      </w:r>
      <w:r>
        <w:rPr>
          <w:rStyle w:val="optioncarChar"/>
        </w:rPr>
        <w:t>/ 1000 / 1100 / 1200 / 1300 / 1400 / 1500 / ***</w:t>
      </w:r>
      <w:r>
        <w:rPr>
          <w:rStyle w:val="soitChar"/>
        </w:rPr>
        <w:t xml:space="preserve"> kg/m³</w:t>
      </w:r>
    </w:p>
    <w:p w14:paraId="2353FE37" w14:textId="77777777" w:rsidR="004B2808" w:rsidRDefault="00000000">
      <w:pPr>
        <w:ind w:left="567"/>
        <w:jc w:val="both"/>
      </w:pPr>
      <w:r>
        <w:rPr>
          <w:rStyle w:val="soitChar"/>
        </w:rPr>
        <w:t xml:space="preserve">Réaction au feu : </w:t>
      </w:r>
      <w:r>
        <w:rPr>
          <w:rStyle w:val="optioncarChar"/>
        </w:rPr>
        <w:t>A1</w:t>
      </w:r>
      <w:r>
        <w:t xml:space="preserve"> (par défaut)</w:t>
      </w:r>
      <w:r>
        <w:rPr>
          <w:rStyle w:val="optioncarChar"/>
        </w:rPr>
        <w:t xml:space="preserve"> / ***</w:t>
      </w:r>
      <w:r>
        <w:rPr>
          <w:rStyle w:val="soitChar"/>
        </w:rPr>
        <w:t xml:space="preserve"> selon la [NBN EN 13501-1]</w:t>
      </w:r>
    </w:p>
    <w:p w14:paraId="684C5174" w14:textId="77777777" w:rsidR="004B2808" w:rsidRDefault="00000000">
      <w:pPr>
        <w:ind w:left="567"/>
        <w:jc w:val="both"/>
      </w:pPr>
      <w:r>
        <w:rPr>
          <w:rStyle w:val="soitChar"/>
        </w:rPr>
        <w:t xml:space="preserve">Conductivité thermique : ≤ </w:t>
      </w:r>
      <w:r>
        <w:rPr>
          <w:rStyle w:val="optioncarChar"/>
        </w:rPr>
        <w:t>0,25</w:t>
      </w:r>
      <w:r>
        <w:t xml:space="preserve"> (par défaut) </w:t>
      </w:r>
      <w:r>
        <w:rPr>
          <w:rStyle w:val="optioncarChar"/>
        </w:rPr>
        <w:t>/ ***</w:t>
      </w:r>
      <w:r>
        <w:rPr>
          <w:rStyle w:val="soitChar"/>
        </w:rPr>
        <w:t xml:space="preserve"> W/mK</w:t>
      </w:r>
    </w:p>
    <w:p w14:paraId="52DDC84D" w14:textId="77777777" w:rsidR="004B2808" w:rsidRDefault="00000000">
      <w:pPr>
        <w:ind w:left="567"/>
        <w:jc w:val="both"/>
      </w:pPr>
      <w:r>
        <w:rPr>
          <w:rStyle w:val="soitChar"/>
        </w:rPr>
        <w:t xml:space="preserve">Indice d’isolement acoustique normalisé - Dnfw : ≥ </w:t>
      </w:r>
      <w:r>
        <w:rPr>
          <w:rStyle w:val="optioncarChar"/>
        </w:rPr>
        <w:t xml:space="preserve">40 </w:t>
      </w:r>
      <w:r>
        <w:t xml:space="preserve">(par défaut) </w:t>
      </w:r>
      <w:r>
        <w:rPr>
          <w:rStyle w:val="optioncarChar"/>
        </w:rPr>
        <w:t>/ 42 / 44 / 47 / 48 / ***</w:t>
      </w:r>
      <w:r>
        <w:rPr>
          <w:rStyle w:val="soitChar"/>
        </w:rPr>
        <w:t xml:space="preserve"> dB</w:t>
      </w:r>
    </w:p>
    <w:p w14:paraId="215A00CD" w14:textId="77777777" w:rsidR="004B2808" w:rsidRDefault="00000000">
      <w:pPr>
        <w:ind w:left="567"/>
        <w:jc w:val="both"/>
      </w:pPr>
      <w:r>
        <w:rPr>
          <w:rStyle w:val="soitChar"/>
        </w:rPr>
        <w:t xml:space="preserve">Isolation acoustique contre les chocs - Lnfw : ≤ </w:t>
      </w:r>
      <w:r>
        <w:rPr>
          <w:rStyle w:val="optioncarChar"/>
        </w:rPr>
        <w:t xml:space="preserve">78 </w:t>
      </w:r>
      <w:r>
        <w:t>(par défaut)</w:t>
      </w:r>
      <w:r>
        <w:rPr>
          <w:rStyle w:val="optioncarChar"/>
        </w:rPr>
        <w:t xml:space="preserve"> / 80 / 82 / ***</w:t>
      </w:r>
      <w:r>
        <w:rPr>
          <w:rStyle w:val="soitChar"/>
        </w:rPr>
        <w:t xml:space="preserve"> dB</w:t>
      </w:r>
    </w:p>
    <w:p w14:paraId="14DD6F40" w14:textId="77777777" w:rsidR="004B2808" w:rsidRDefault="00000000">
      <w:pPr>
        <w:ind w:left="567"/>
        <w:jc w:val="both"/>
      </w:pPr>
      <w:r>
        <w:rPr>
          <w:b/>
        </w:rPr>
        <w:t>(soit)</w:t>
      </w:r>
    </w:p>
    <w:p w14:paraId="0E019543" w14:textId="77777777" w:rsidR="004B2808" w:rsidRDefault="00000000">
      <w:pPr>
        <w:ind w:left="567"/>
        <w:jc w:val="both"/>
      </w:pPr>
      <w:r>
        <w:rPr>
          <w:rStyle w:val="soitChar"/>
          <w:u w:val="single"/>
        </w:rPr>
        <w:t>Sulfate de calcium :</w:t>
      </w:r>
    </w:p>
    <w:p w14:paraId="6DC7E8DA" w14:textId="77777777" w:rsidR="004B2808" w:rsidRDefault="00000000">
      <w:pPr>
        <w:ind w:left="567"/>
        <w:jc w:val="both"/>
      </w:pPr>
      <w:r>
        <w:rPr>
          <w:rStyle w:val="soitChar"/>
        </w:rPr>
        <w:t xml:space="preserve">Epaisseur nominale : ≥ </w:t>
      </w:r>
      <w:r>
        <w:rPr>
          <w:rStyle w:val="optioncarChar"/>
        </w:rPr>
        <w:t>***</w:t>
      </w:r>
      <w:r>
        <w:rPr>
          <w:rStyle w:val="soitChar"/>
        </w:rPr>
        <w:t xml:space="preserve"> mm</w:t>
      </w:r>
    </w:p>
    <w:p w14:paraId="293CF845" w14:textId="77777777" w:rsidR="004B2808" w:rsidRDefault="00000000">
      <w:pPr>
        <w:ind w:left="567"/>
        <w:jc w:val="both"/>
      </w:pPr>
      <w:r>
        <w:rPr>
          <w:rStyle w:val="soitChar"/>
        </w:rPr>
        <w:t xml:space="preserve">Dimensions nominale (l x L) : </w:t>
      </w:r>
      <w:r>
        <w:rPr>
          <w:rStyle w:val="optioncarChar"/>
        </w:rPr>
        <w:t>***</w:t>
      </w:r>
    </w:p>
    <w:p w14:paraId="230D3953" w14:textId="77777777" w:rsidR="004B2808" w:rsidRDefault="00000000">
      <w:pPr>
        <w:ind w:left="567"/>
        <w:jc w:val="both"/>
      </w:pPr>
      <w:r>
        <w:rPr>
          <w:rStyle w:val="soitChar"/>
        </w:rPr>
        <w:t xml:space="preserve">Densité : </w:t>
      </w:r>
      <w:r>
        <w:rPr>
          <w:rStyle w:val="optioncarChar"/>
        </w:rPr>
        <w:t xml:space="preserve">selon l’épaisseur des dalles et la documentation technique qui accompagne le produit </w:t>
      </w:r>
      <w:r>
        <w:t>(par défaut)</w:t>
      </w:r>
      <w:r>
        <w:rPr>
          <w:rStyle w:val="optioncarChar"/>
        </w:rPr>
        <w:t xml:space="preserve"> / ***</w:t>
      </w:r>
      <w:r>
        <w:rPr>
          <w:rStyle w:val="soitChar"/>
        </w:rPr>
        <w:t xml:space="preserve"> kg/m³</w:t>
      </w:r>
    </w:p>
    <w:p w14:paraId="4D5CD8DA" w14:textId="77777777" w:rsidR="004B2808" w:rsidRDefault="00000000">
      <w:pPr>
        <w:ind w:left="567"/>
        <w:jc w:val="both"/>
      </w:pPr>
      <w:r>
        <w:rPr>
          <w:rStyle w:val="soitChar"/>
        </w:rPr>
        <w:t xml:space="preserve">Réaction au feu : </w:t>
      </w:r>
      <w:r>
        <w:rPr>
          <w:rStyle w:val="optioncarChar"/>
        </w:rPr>
        <w:t>***</w:t>
      </w:r>
      <w:r>
        <w:rPr>
          <w:rStyle w:val="soitChar"/>
        </w:rPr>
        <w:t xml:space="preserve"> selon la [NBN EN 13501-1]</w:t>
      </w:r>
    </w:p>
    <w:p w14:paraId="7DF809C5" w14:textId="77777777" w:rsidR="004B2808" w:rsidRDefault="00000000">
      <w:pPr>
        <w:ind w:left="567"/>
        <w:jc w:val="both"/>
      </w:pPr>
      <w:r>
        <w:rPr>
          <w:rStyle w:val="soitChar"/>
        </w:rPr>
        <w:t xml:space="preserve">Conductivité thermique : ≤ </w:t>
      </w:r>
      <w:r>
        <w:rPr>
          <w:rStyle w:val="optioncarChar"/>
        </w:rPr>
        <w:t>***</w:t>
      </w:r>
      <w:r>
        <w:rPr>
          <w:rStyle w:val="soitChar"/>
        </w:rPr>
        <w:t xml:space="preserve"> W/mK</w:t>
      </w:r>
    </w:p>
    <w:p w14:paraId="2F9BBDF5" w14:textId="77777777" w:rsidR="004B2808" w:rsidRDefault="00000000">
      <w:pPr>
        <w:ind w:left="567"/>
        <w:jc w:val="both"/>
      </w:pPr>
      <w:r>
        <w:rPr>
          <w:rStyle w:val="soitChar"/>
        </w:rPr>
        <w:t xml:space="preserve">Indice d’isolement acoustique normalisé - Dnfw : ≥ </w:t>
      </w:r>
      <w:r>
        <w:rPr>
          <w:rStyle w:val="optioncarChar"/>
        </w:rPr>
        <w:t>***</w:t>
      </w:r>
      <w:r>
        <w:rPr>
          <w:rStyle w:val="soitChar"/>
        </w:rPr>
        <w:t xml:space="preserve"> dB</w:t>
      </w:r>
    </w:p>
    <w:p w14:paraId="04D32F5B" w14:textId="77777777" w:rsidR="004B2808" w:rsidRDefault="00000000">
      <w:pPr>
        <w:ind w:left="567"/>
        <w:jc w:val="both"/>
      </w:pPr>
      <w:r>
        <w:rPr>
          <w:rStyle w:val="soitChar"/>
        </w:rPr>
        <w:t xml:space="preserve">Isolation acoustique contre les chocs - Lnfw : ≤ </w:t>
      </w:r>
      <w:r>
        <w:rPr>
          <w:rStyle w:val="optioncarChar"/>
        </w:rPr>
        <w:t>***</w:t>
      </w:r>
      <w:r>
        <w:rPr>
          <w:rStyle w:val="soitChar"/>
        </w:rPr>
        <w:t xml:space="preserve"> dB</w:t>
      </w:r>
    </w:p>
    <w:p w14:paraId="34CC773F" w14:textId="77777777" w:rsidR="004B2808" w:rsidRDefault="00000000">
      <w:pPr>
        <w:jc w:val="both"/>
      </w:pPr>
      <w:r>
        <w:rPr>
          <w:b/>
        </w:rPr>
        <w:t>C- Accessoires :</w:t>
      </w:r>
    </w:p>
    <w:p w14:paraId="230786C7" w14:textId="77777777" w:rsidR="004B2808" w:rsidRDefault="00000000">
      <w:pPr>
        <w:pStyle w:val="Author-eListParagraph"/>
        <w:numPr>
          <w:ilvl w:val="0"/>
          <w:numId w:val="547"/>
        </w:numPr>
      </w:pPr>
      <w:r>
        <w:t>Boitiers de connexion, passes-câbles, grilles de ventilation, rampes, …</w:t>
      </w:r>
      <w:r>
        <w:br/>
        <w:t>Ils sont notamment décrits et compris séparément au </w:t>
      </w:r>
      <w:hyperlink w:anchor="1261" w:history="1">
        <w:r w:rsidR="004B2808">
          <w:rPr>
            <w:color w:val="0000EE"/>
          </w:rPr>
          <w:t>53.6 Eléments particuliers et finitions</w:t>
        </w:r>
      </w:hyperlink>
      <w:r>
        <w:t> / 6 T6 HVAC - sanitaires / 7 T7 Electricité / … et suivants. </w:t>
      </w:r>
    </w:p>
    <w:p w14:paraId="72CA406E" w14:textId="77777777" w:rsidR="004B2808" w:rsidRDefault="00000000">
      <w:pPr>
        <w:jc w:val="both"/>
      </w:pPr>
      <w:r>
        <w:t xml:space="preserve">Réaction au feu pour l’ensemble du système de plancher surélevé : </w:t>
      </w:r>
      <w:r>
        <w:rPr>
          <w:rStyle w:val="optioncarChar"/>
        </w:rPr>
        <w:t xml:space="preserve">A1 / A2fl-s1 / Bfl-s1 </w:t>
      </w:r>
      <w:r>
        <w:t>(par défaut)</w:t>
      </w:r>
      <w:r>
        <w:rPr>
          <w:rStyle w:val="optioncarChar"/>
        </w:rPr>
        <w:t xml:space="preserve"> / ***</w:t>
      </w:r>
      <w:r>
        <w:t xml:space="preserve"> selon la [NBN EN 13501-1]</w:t>
      </w:r>
    </w:p>
    <w:p w14:paraId="5416A862" w14:textId="77777777" w:rsidR="004B2808" w:rsidRDefault="00000000">
      <w:pPr>
        <w:jc w:val="both"/>
      </w:pPr>
      <w:r>
        <w:t xml:space="preserve">Classe résistance au feu pour l’ensemble du système de plancher surélevé : </w:t>
      </w:r>
      <w:r>
        <w:rPr>
          <w:rStyle w:val="optioncarChar"/>
        </w:rPr>
        <w:t xml:space="preserve">R15 / R30 </w:t>
      </w:r>
      <w:r>
        <w:t>(par défaut)</w:t>
      </w:r>
      <w:r>
        <w:rPr>
          <w:rStyle w:val="optioncarChar"/>
        </w:rPr>
        <w:t xml:space="preserve"> / RE 30 / REI 30 / REI 60 / ***</w:t>
      </w:r>
      <w:r>
        <w:t xml:space="preserve"> selon [NBN EN 13501-2]</w:t>
      </w:r>
    </w:p>
    <w:p w14:paraId="04468B27" w14:textId="77777777" w:rsidR="004B2808" w:rsidRDefault="00000000">
      <w:pPr>
        <w:jc w:val="both"/>
      </w:pPr>
      <w:r>
        <w:t xml:space="preserve">Classe de sollicitation – Charges d’exploitation selon [NBN EN 1991-1-1] : </w:t>
      </w:r>
      <w:r>
        <w:rPr>
          <w:rStyle w:val="optioncarChar"/>
        </w:rPr>
        <w:t xml:space="preserve">A / B </w:t>
      </w:r>
      <w:r>
        <w:t xml:space="preserve">(par défaut) </w:t>
      </w:r>
      <w:r>
        <w:rPr>
          <w:rStyle w:val="optioncarChar"/>
        </w:rPr>
        <w:t>/ C1 / C2 / C3 / C4 / C5 / D1 / D2 / ***</w:t>
      </w:r>
    </w:p>
    <w:p w14:paraId="2154F897" w14:textId="77777777" w:rsidR="004B2808" w:rsidRDefault="00000000">
      <w:pPr>
        <w:jc w:val="both"/>
      </w:pPr>
      <w:r>
        <w:t xml:space="preserve">Classe de résistance ≥ : </w:t>
      </w:r>
      <w:r>
        <w:rPr>
          <w:rStyle w:val="optioncarChar"/>
        </w:rPr>
        <w:t xml:space="preserve">1 (≥ 4 kN) / 2 (≥ 6 kN) </w:t>
      </w:r>
      <w:r>
        <w:t>(par défaut)</w:t>
      </w:r>
      <w:r>
        <w:rPr>
          <w:rStyle w:val="optioncarChar"/>
        </w:rPr>
        <w:t xml:space="preserve"> / 3 (≥ 8 kN) / 4 (≥ 9 kN) / 5 (≥ 10 kN) / 6 (≥ 12 kN)</w:t>
      </w:r>
      <w:r>
        <w:t xml:space="preserve"> selon [NBN EN 12825] </w:t>
      </w:r>
    </w:p>
    <w:p w14:paraId="53D16CC8" w14:textId="77777777" w:rsidR="004B2808" w:rsidRDefault="00000000">
      <w:pPr>
        <w:jc w:val="both"/>
      </w:pPr>
      <w:r>
        <w:t xml:space="preserve"> Coefficient de sécurité (charge de rupture) : </w:t>
      </w:r>
      <w:r>
        <w:rPr>
          <w:rStyle w:val="optioncarChar"/>
        </w:rPr>
        <w:t xml:space="preserve">2 </w:t>
      </w:r>
      <w:r>
        <w:t>(par défaut)</w:t>
      </w:r>
      <w:r>
        <w:rPr>
          <w:rStyle w:val="optioncarChar"/>
        </w:rPr>
        <w:t xml:space="preserve"> / 3</w:t>
      </w:r>
    </w:p>
    <w:p w14:paraId="244709C7" w14:textId="77777777" w:rsidR="004B2808" w:rsidRDefault="00000000">
      <w:pPr>
        <w:jc w:val="both"/>
      </w:pPr>
      <w:r>
        <w:lastRenderedPageBreak/>
        <w:t>Déformation sous charge – Classe de flèche (déformation maximale sous charge de service)  :</w:t>
      </w:r>
      <w:r>
        <w:rPr>
          <w:rStyle w:val="optioncarChar"/>
        </w:rPr>
        <w:t xml:space="preserve"> A (≤ 2,5 mm) </w:t>
      </w:r>
      <w:r>
        <w:t>(par défaut)</w:t>
      </w:r>
      <w:r>
        <w:rPr>
          <w:rStyle w:val="optioncarChar"/>
        </w:rPr>
        <w:t xml:space="preserve"> / B (≤ 3 mm) / C (≤ 4 mm)</w:t>
      </w:r>
      <w:r>
        <w:t xml:space="preserve"> selon [NBN EN 12825]</w:t>
      </w:r>
    </w:p>
    <w:p w14:paraId="544ED7F5" w14:textId="77777777" w:rsidR="004B2808" w:rsidRDefault="00000000">
      <w:pPr>
        <w:jc w:val="both"/>
      </w:pPr>
      <w:r>
        <w:t>Résistance aux charges dynamiques : selon la [NBN EN 12825] </w:t>
      </w:r>
    </w:p>
    <w:p w14:paraId="6FBFA279" w14:textId="77777777" w:rsidR="004B2808" w:rsidRDefault="00000000">
      <w:pPr>
        <w:jc w:val="both"/>
      </w:pPr>
      <w:r>
        <w:t>Antistaticité : selon la [NBN EN 1815]</w:t>
      </w:r>
    </w:p>
    <w:p w14:paraId="25C8FF4F" w14:textId="77777777" w:rsidR="004B2808" w:rsidRDefault="00000000">
      <w:pPr>
        <w:jc w:val="both"/>
      </w:pPr>
      <w:r>
        <w:t>Electroconductivité : selon la [NBN EN 1081:2018+A1]</w:t>
      </w:r>
    </w:p>
    <w:p w14:paraId="2AF73D36" w14:textId="77777777" w:rsidR="004B2808" w:rsidRDefault="00000000">
      <w:pPr>
        <w:jc w:val="both"/>
      </w:pPr>
      <w:r>
        <w:t>Le revêtement de finition du sol répond aux exigences de réaction au feu imposées.</w:t>
      </w:r>
    </w:p>
    <w:p w14:paraId="69F40D57" w14:textId="77777777" w:rsidR="004B2808" w:rsidRDefault="00000000">
      <w:pPr>
        <w:pStyle w:val="pheading"/>
      </w:pPr>
      <w:r>
        <w:t>EXÉCUTION / MISE EN ŒUVRE</w:t>
      </w:r>
    </w:p>
    <w:p w14:paraId="52B0C2CF" w14:textId="77777777" w:rsidR="004B2808" w:rsidRDefault="00000000">
      <w:pPr>
        <w:pStyle w:val="pheading"/>
      </w:pPr>
      <w:r>
        <w:t>- Prescriptions générales</w:t>
      </w:r>
    </w:p>
    <w:p w14:paraId="622E50DF" w14:textId="77777777" w:rsidR="004B2808" w:rsidRDefault="00000000">
      <w:pPr>
        <w:jc w:val="both"/>
      </w:pPr>
      <w:r>
        <w:rPr>
          <w:u w:val="single"/>
        </w:rPr>
        <w:t>Trappes d’accès au plenum :</w:t>
      </w:r>
    </w:p>
    <w:p w14:paraId="25E15467" w14:textId="77777777" w:rsidR="004B2808" w:rsidRDefault="00000000">
      <w:pPr>
        <w:pStyle w:val="Author-eListParagraph"/>
        <w:numPr>
          <w:ilvl w:val="0"/>
          <w:numId w:val="548"/>
        </w:numPr>
      </w:pPr>
      <w:r>
        <w:t xml:space="preserve">Dimensions : ≥ </w:t>
      </w:r>
      <w:r>
        <w:rPr>
          <w:rStyle w:val="optioncarChar"/>
        </w:rPr>
        <w:t>60 x 60</w:t>
      </w:r>
      <w:r>
        <w:t xml:space="preserve"> (par défaut) </w:t>
      </w:r>
      <w:r>
        <w:rPr>
          <w:rStyle w:val="optioncarChar"/>
        </w:rPr>
        <w:t>/ 60 x 120 / ***</w:t>
      </w:r>
      <w:r>
        <w:t xml:space="preserve"> cm.</w:t>
      </w:r>
    </w:p>
    <w:p w14:paraId="506FC1A4" w14:textId="77777777" w:rsidR="004B2808" w:rsidRDefault="00000000">
      <w:pPr>
        <w:pStyle w:val="Author-eListParagraph"/>
        <w:numPr>
          <w:ilvl w:val="0"/>
          <w:numId w:val="548"/>
        </w:numPr>
      </w:pPr>
      <w:r>
        <w:t xml:space="preserve">Nombre : ≥ </w:t>
      </w:r>
      <w:r>
        <w:rPr>
          <w:rStyle w:val="optioncarChar"/>
        </w:rPr>
        <w:t xml:space="preserve">1 / 2 </w:t>
      </w:r>
      <w:r>
        <w:t xml:space="preserve">(par défaut) </w:t>
      </w:r>
      <w:r>
        <w:rPr>
          <w:rStyle w:val="optioncarChar"/>
        </w:rPr>
        <w:t>/ ***</w:t>
      </w:r>
      <w:r>
        <w:t xml:space="preserve"> pour chaque local.</w:t>
      </w:r>
    </w:p>
    <w:p w14:paraId="6A64A2B1" w14:textId="77777777" w:rsidR="004B2808" w:rsidRDefault="00000000">
      <w:pPr>
        <w:pStyle w:val="Author-eListParagraph"/>
        <w:numPr>
          <w:ilvl w:val="0"/>
          <w:numId w:val="548"/>
        </w:numPr>
      </w:pPr>
      <w:r>
        <w:t xml:space="preserve">Emplacements : </w:t>
      </w:r>
      <w:r>
        <w:rPr>
          <w:rStyle w:val="optioncarChar"/>
        </w:rPr>
        <w:t xml:space="preserve">selon les indications aux plans </w:t>
      </w:r>
      <w:r>
        <w:t xml:space="preserve">(par défaut) </w:t>
      </w:r>
      <w:r>
        <w:rPr>
          <w:rStyle w:val="optioncarChar"/>
        </w:rPr>
        <w:t>/ définis en concertation préalable avec la direction des travaux / ***</w:t>
      </w:r>
    </w:p>
    <w:p w14:paraId="31C252A4" w14:textId="77777777" w:rsidR="004B2808" w:rsidRDefault="00000000">
      <w:pPr>
        <w:jc w:val="both"/>
      </w:pPr>
      <w:r>
        <w:rPr>
          <w:u w:val="single"/>
        </w:rPr>
        <w:t>Pose des panneaux :</w:t>
      </w:r>
    </w:p>
    <w:p w14:paraId="06E93E77" w14:textId="77777777" w:rsidR="004B2808" w:rsidRDefault="00000000">
      <w:pPr>
        <w:jc w:val="both"/>
      </w:pPr>
      <w:r>
        <w:t xml:space="preserve">Les différentes rangées adjacentes sont posées en quinconce avec un décalage de : </w:t>
      </w:r>
      <w:r>
        <w:rPr>
          <w:rStyle w:val="optioncarChar"/>
        </w:rPr>
        <w:t xml:space="preserve">600 </w:t>
      </w:r>
      <w:r>
        <w:t>(par défaut)</w:t>
      </w:r>
      <w:r>
        <w:rPr>
          <w:rStyle w:val="optioncarChar"/>
        </w:rPr>
        <w:t xml:space="preserve"> / ***</w:t>
      </w:r>
      <w:r>
        <w:t xml:space="preserve"> mm.</w:t>
      </w:r>
    </w:p>
    <w:p w14:paraId="3D0E0963" w14:textId="77777777" w:rsidR="004B2808" w:rsidRDefault="00000000">
      <w:pPr>
        <w:pStyle w:val="pheading"/>
      </w:pPr>
      <w:r>
        <w:t>MESURAGE</w:t>
      </w:r>
    </w:p>
    <w:p w14:paraId="5E8AF09B" w14:textId="77777777" w:rsidR="004B2808" w:rsidRDefault="00000000">
      <w:pPr>
        <w:pStyle w:val="pheading"/>
      </w:pPr>
      <w:r>
        <w:t>- unité de mesure:</w:t>
      </w:r>
    </w:p>
    <w:p w14:paraId="133D5BC1" w14:textId="77777777" w:rsidR="004B2808" w:rsidRDefault="00000000">
      <w:r>
        <w:rPr>
          <w:rStyle w:val="optioncarChar"/>
        </w:rPr>
        <w:t xml:space="preserve">m² </w:t>
      </w:r>
      <w:r>
        <w:t xml:space="preserve">(par défaut) </w:t>
      </w:r>
      <w:r>
        <w:rPr>
          <w:rStyle w:val="optioncarChar"/>
        </w:rPr>
        <w:t>/ fft</w:t>
      </w:r>
    </w:p>
    <w:p w14:paraId="33F5AEBD" w14:textId="77777777" w:rsidR="004B2808" w:rsidRDefault="00000000">
      <w:r>
        <w:rPr>
          <w:b/>
        </w:rPr>
        <w:t>(soit par défaut)</w:t>
      </w:r>
      <w:r>
        <w:br/>
      </w:r>
      <w:r>
        <w:rPr>
          <w:rStyle w:val="soitChar"/>
        </w:rPr>
        <w:t>1.  m²</w:t>
      </w:r>
      <w:r>
        <w:br/>
      </w:r>
      <w:r>
        <w:rPr>
          <w:b/>
        </w:rPr>
        <w:t>(soit)</w:t>
      </w:r>
      <w:r>
        <w:br/>
      </w:r>
      <w:r>
        <w:rPr>
          <w:rStyle w:val="soitChar"/>
        </w:rPr>
        <w:t>2.  fft</w:t>
      </w:r>
    </w:p>
    <w:p w14:paraId="733D6844" w14:textId="77777777" w:rsidR="004B2808" w:rsidRDefault="00000000">
      <w:pPr>
        <w:pStyle w:val="pheading"/>
      </w:pPr>
      <w:r>
        <w:t>- code de mesurage:</w:t>
      </w:r>
    </w:p>
    <w:p w14:paraId="15D5F037" w14:textId="77777777" w:rsidR="004B2808" w:rsidRDefault="00000000">
      <w:pPr>
        <w:jc w:val="both"/>
      </w:pPr>
      <w:r>
        <w:rPr>
          <w:rStyle w:val="optioncarChar"/>
        </w:rPr>
        <w:t xml:space="preserve">Surface nette </w:t>
      </w:r>
      <w:r>
        <w:t>(par défaut)</w:t>
      </w:r>
      <w:r>
        <w:rPr>
          <w:rStyle w:val="optioncarChar"/>
        </w:rPr>
        <w:t xml:space="preserve"> / Pour l'ensemble des prestations à réaliser</w:t>
      </w:r>
    </w:p>
    <w:p w14:paraId="4B6D3D08" w14:textId="77777777" w:rsidR="004B2808" w:rsidRDefault="00000000">
      <w:pPr>
        <w:jc w:val="both"/>
      </w:pPr>
      <w:r>
        <w:rPr>
          <w:b/>
        </w:rPr>
        <w:t>(soit par défaut)</w:t>
      </w:r>
    </w:p>
    <w:p w14:paraId="38CB2796" w14:textId="77777777" w:rsidR="004B2808" w:rsidRDefault="00000000">
      <w:pPr>
        <w:jc w:val="both"/>
      </w:pPr>
      <w:r>
        <w:rPr>
          <w:rStyle w:val="soitChar"/>
        </w:rPr>
        <w:t xml:space="preserve">1.  </w:t>
      </w:r>
      <w:r>
        <w:rPr>
          <w:rStyle w:val="soitChar"/>
          <w:u w:val="single"/>
        </w:rPr>
        <w:t>Surface nette :</w:t>
      </w:r>
    </w:p>
    <w:p w14:paraId="64BA6A80" w14:textId="77777777" w:rsidR="004B2808" w:rsidRDefault="00000000">
      <w:pPr>
        <w:jc w:val="both"/>
      </w:pPr>
      <w:r>
        <w:rPr>
          <w:rStyle w:val="soitChar"/>
        </w:rPr>
        <w:t>En tenant compte de la plus grande longueur et largeur de la surface à recouvrir, y compris la profondeur des niches.</w:t>
      </w:r>
    </w:p>
    <w:p w14:paraId="5E949580" w14:textId="77777777" w:rsidR="004B2808" w:rsidRDefault="00000000">
      <w:pPr>
        <w:jc w:val="both"/>
      </w:pPr>
      <w:r>
        <w:rPr>
          <w:rStyle w:val="soitChar"/>
        </w:rPr>
        <w:t>Eventuellement scindée dans différents postes selon le type de dalle, de revêtement, ...</w:t>
      </w:r>
    </w:p>
    <w:p w14:paraId="05384A03" w14:textId="77777777" w:rsidR="004B2808" w:rsidRDefault="00000000">
      <w:pPr>
        <w:jc w:val="both"/>
      </w:pPr>
      <w:r>
        <w:rPr>
          <w:b/>
        </w:rPr>
        <w:t>(soit)</w:t>
      </w:r>
    </w:p>
    <w:p w14:paraId="5B7C07E4" w14:textId="77777777" w:rsidR="004B2808" w:rsidRDefault="00000000">
      <w:pPr>
        <w:jc w:val="both"/>
      </w:pPr>
      <w:r>
        <w:rPr>
          <w:rStyle w:val="soitChar"/>
        </w:rPr>
        <w:t xml:space="preserve">2.  </w:t>
      </w:r>
      <w:r>
        <w:rPr>
          <w:rStyle w:val="soitChar"/>
          <w:u w:val="single"/>
        </w:rPr>
        <w:t>Pour l’ensemble des prestations à réaliser :</w:t>
      </w:r>
    </w:p>
    <w:p w14:paraId="40479583" w14:textId="77777777" w:rsidR="004B2808" w:rsidRDefault="00000000">
      <w:pPr>
        <w:jc w:val="both"/>
      </w:pPr>
      <w:r>
        <w:rPr>
          <w:rStyle w:val="soitChar"/>
        </w:rPr>
        <w:t>Le prix unitaire comprend toutes les prestations nécessaires pour l’exécution de l’ensemble.</w:t>
      </w:r>
    </w:p>
    <w:p w14:paraId="153F9AB5" w14:textId="77777777" w:rsidR="004B2808" w:rsidRDefault="00000000">
      <w:pPr>
        <w:jc w:val="both"/>
      </w:pPr>
      <w:r>
        <w:rPr>
          <w:rStyle w:val="soitChar"/>
        </w:rPr>
        <w:t>Eventuellement scindé dans différents postes selon le type de dalle, de revêtement, …</w:t>
      </w:r>
    </w:p>
    <w:p w14:paraId="441EDC9B" w14:textId="77777777" w:rsidR="004B2808" w:rsidRDefault="00000000">
      <w:pPr>
        <w:pStyle w:val="pheading"/>
      </w:pPr>
      <w:r>
        <w:t>- nature du marché:</w:t>
      </w:r>
    </w:p>
    <w:p w14:paraId="6F0211C1" w14:textId="77777777" w:rsidR="004B2808" w:rsidRDefault="00000000">
      <w:r>
        <w:rPr>
          <w:rStyle w:val="optioncarChar"/>
        </w:rPr>
        <w:t>QF</w:t>
      </w:r>
      <w:r>
        <w:t xml:space="preserve"> (par défaut)</w:t>
      </w:r>
      <w:r>
        <w:rPr>
          <w:rStyle w:val="optioncarChar"/>
        </w:rPr>
        <w:t xml:space="preserve"> / PG</w:t>
      </w:r>
    </w:p>
    <w:p w14:paraId="3D700516" w14:textId="77777777" w:rsidR="004B2808" w:rsidRDefault="00000000">
      <w:r>
        <w:rPr>
          <w:b/>
        </w:rPr>
        <w:t>(soit par défaut)</w:t>
      </w:r>
      <w:r>
        <w:br/>
      </w:r>
      <w:r>
        <w:rPr>
          <w:rStyle w:val="soitChar"/>
        </w:rPr>
        <w:t>1.  QF</w:t>
      </w:r>
      <w:r>
        <w:br/>
      </w:r>
      <w:r>
        <w:rPr>
          <w:b/>
        </w:rPr>
        <w:t>(soit)</w:t>
      </w:r>
      <w:r>
        <w:br/>
      </w:r>
      <w:r>
        <w:rPr>
          <w:rStyle w:val="soitChar"/>
        </w:rPr>
        <w:t>2.  PG</w:t>
      </w:r>
    </w:p>
    <w:p w14:paraId="0D7FED18" w14:textId="77777777" w:rsidR="004B2808" w:rsidRDefault="00000000">
      <w:pPr>
        <w:pStyle w:val="pheading"/>
      </w:pPr>
      <w:r>
        <w:t>AIDE</w:t>
      </w:r>
    </w:p>
    <w:p w14:paraId="7FB76BDC" w14:textId="77777777" w:rsidR="004B2808" w:rsidRDefault="00000000">
      <w:pPr>
        <w:jc w:val="both"/>
      </w:pPr>
      <w:r>
        <w:lastRenderedPageBreak/>
        <w:t>La chape réalisée sur les panneaux support est généralement de type fluide à base de sulfate de calcium (anhydrite).</w:t>
      </w:r>
    </w:p>
    <w:p w14:paraId="3AB1D554" w14:textId="77777777" w:rsidR="004B2808" w:rsidRDefault="00000000">
      <w:pPr>
        <w:pStyle w:val="Author-eSectionHeading4Numberless"/>
      </w:pPr>
      <w:bookmarkStart w:id="623" w:name="_Toc220490785"/>
      <w:r>
        <w:t>53.43 Planchers surélevés - Eléments particuliers CCTB 01.02</w:t>
      </w:r>
      <w:bookmarkEnd w:id="623"/>
    </w:p>
    <w:p w14:paraId="5351BB7A" w14:textId="77777777" w:rsidR="004B2808" w:rsidRDefault="00000000">
      <w:pPr>
        <w:pStyle w:val="Author-eSectionHeading5Numberless"/>
      </w:pPr>
      <w:bookmarkStart w:id="624" w:name="_Toc220490786"/>
      <w:r>
        <w:t>53.43.1 Planchers surélevés - Eléments particuliers - Trappes d'accès CCTB 01.02</w:t>
      </w:r>
      <w:bookmarkEnd w:id="624"/>
    </w:p>
    <w:p w14:paraId="0192077F" w14:textId="77777777" w:rsidR="004B2808" w:rsidRDefault="00000000">
      <w:pPr>
        <w:pStyle w:val="Author-eSectionHeading6Numberless"/>
      </w:pPr>
      <w:bookmarkStart w:id="625" w:name="_Toc220490787"/>
      <w:r>
        <w:t>53.43.1a Planchers surélevés - Eléments particuliers - Trappes d'accès CCTB 01.02</w:t>
      </w:r>
      <w:bookmarkEnd w:id="625"/>
    </w:p>
    <w:p w14:paraId="5A365440" w14:textId="77777777" w:rsidR="004B2808" w:rsidRDefault="00000000">
      <w:pPr>
        <w:pStyle w:val="Author-eSectionHeading3Numberless"/>
      </w:pPr>
      <w:bookmarkStart w:id="626" w:name="_Toc220490788"/>
      <w:r>
        <w:t>53.5 Revêtements de sols intérieurs CCTB 01.13</w:t>
      </w:r>
      <w:bookmarkEnd w:id="626"/>
    </w:p>
    <w:p w14:paraId="714AEF2B" w14:textId="77777777" w:rsidR="004B2808" w:rsidRDefault="00000000">
      <w:pPr>
        <w:pStyle w:val="pheading"/>
      </w:pPr>
      <w:bookmarkStart w:id="627" w:name="1130"/>
      <w:bookmarkEnd w:id="627"/>
      <w:r>
        <w:t>DESCRIPTION</w:t>
      </w:r>
    </w:p>
    <w:p w14:paraId="62C63AB5" w14:textId="77777777" w:rsidR="004B2808" w:rsidRDefault="00000000">
      <w:pPr>
        <w:pStyle w:val="pheading"/>
      </w:pPr>
      <w:r>
        <w:t>- Définition / Comprend</w:t>
      </w:r>
    </w:p>
    <w:p w14:paraId="69C715C8" w14:textId="77777777" w:rsidR="004B2808" w:rsidRDefault="00000000">
      <w:r>
        <w:rPr>
          <w:b/>
          <w:sz w:val="24"/>
        </w:rPr>
        <w:t>Description revêtements de sol intérieurs</w:t>
      </w:r>
    </w:p>
    <w:p w14:paraId="159B864E" w14:textId="77777777" w:rsidR="004B2808" w:rsidRDefault="00000000">
      <w:r>
        <w:t>Le poste “revêtements de sol intérieurs ” comprend toutes les fournitures et travaux en vue de la réalisation des revêtements de sol, plinthes, seuils, afin d'obtenir un ouvrage parfaitement fini, y compris tous les accessoires prescrits (cadres pour paillassons, profils de désolidarisation, arrêts de porte, ...). Sauf si précisé autrement dans le cahier spécial des charges, le support est constitué d'une chape à base de ciment prête à être revêtue.</w:t>
      </w:r>
    </w:p>
    <w:p w14:paraId="0A7C205A" w14:textId="77777777" w:rsidR="004B2808" w:rsidRDefault="00000000">
      <w:r>
        <w:t>Conformément aux dispositions générales et/ou spécifiques du cahier spécial des charges, les prix unitaires compris dans ce poste comprennent, soit selon la ventilation dans le métré récapitulatif, soit dans leur globalité :</w:t>
      </w:r>
    </w:p>
    <w:p w14:paraId="56F1D125" w14:textId="77777777" w:rsidR="004B2808" w:rsidRDefault="00000000">
      <w:pPr>
        <w:pStyle w:val="Author-eListParagraph"/>
        <w:numPr>
          <w:ilvl w:val="0"/>
          <w:numId w:val="549"/>
        </w:numPr>
      </w:pPr>
      <w:r>
        <w:t>le contrôle préalable et la préparation de l'aire de pose, c'est-à-dire la débarrasser de toutes crasses, matières étrangères, plâtre, graisse, etc.;</w:t>
      </w:r>
    </w:p>
    <w:p w14:paraId="15F157FA" w14:textId="77777777" w:rsidR="004B2808" w:rsidRDefault="00000000">
      <w:pPr>
        <w:pStyle w:val="Author-eListParagraph"/>
        <w:numPr>
          <w:ilvl w:val="0"/>
          <w:numId w:val="549"/>
        </w:numPr>
      </w:pPr>
      <w:r>
        <w:t>le relevé et le contrôle des cotes de hauteur respectives et des dimensions;</w:t>
      </w:r>
    </w:p>
    <w:p w14:paraId="66C8DBFF" w14:textId="77777777" w:rsidR="004B2808" w:rsidRDefault="00000000">
      <w:pPr>
        <w:pStyle w:val="Author-eListParagraph"/>
        <w:numPr>
          <w:ilvl w:val="0"/>
          <w:numId w:val="549"/>
        </w:numPr>
      </w:pPr>
      <w:r>
        <w:t>la fourniture et la pose des couches d'égalisation et/ou sous-couches, selon les prescriptions du cahier spécial des charges (sable stabilisé, nouvelles chapes, membranes d'étanchéité, treillis d'armature supplémentaires pour les sols isolés, …);</w:t>
      </w:r>
    </w:p>
    <w:p w14:paraId="42ACBF18" w14:textId="77777777" w:rsidR="004B2808" w:rsidRDefault="00000000">
      <w:pPr>
        <w:pStyle w:val="Author-eListParagraph"/>
        <w:numPr>
          <w:ilvl w:val="0"/>
          <w:numId w:val="549"/>
        </w:numPr>
      </w:pPr>
      <w:r>
        <w:t>le ragréage du revêtement de sol au droit des réservations et des percements, les finitions éventuelles, les angles rentrants et sortants et les rencontres où des pièces spéciales doivent être appliquées;</w:t>
      </w:r>
    </w:p>
    <w:p w14:paraId="782BE66A" w14:textId="77777777" w:rsidR="004B2808" w:rsidRDefault="00000000">
      <w:pPr>
        <w:pStyle w:val="Author-eListParagraph"/>
        <w:numPr>
          <w:ilvl w:val="0"/>
          <w:numId w:val="549"/>
        </w:numPr>
      </w:pPr>
      <w:r>
        <w:t>tous les joints périphériques, de séparation et de dilatation nécessaires;</w:t>
      </w:r>
    </w:p>
    <w:p w14:paraId="47336386" w14:textId="77777777" w:rsidR="004B2808" w:rsidRDefault="00000000">
      <w:pPr>
        <w:pStyle w:val="Author-eListParagraph"/>
        <w:numPr>
          <w:ilvl w:val="0"/>
          <w:numId w:val="549"/>
        </w:numPr>
      </w:pPr>
      <w:r>
        <w:t>l'intégration de tous les accessoires spéciaux décrits dans le cahier spécial des charges (cadres pour paillassons / arrêts de porte / profils de désolidarisation / grilles de sol / couvercles de puits / …);</w:t>
      </w:r>
    </w:p>
    <w:p w14:paraId="197DDEA1" w14:textId="77777777" w:rsidR="004B2808" w:rsidRDefault="00000000">
      <w:pPr>
        <w:pStyle w:val="Author-eListParagraph"/>
        <w:numPr>
          <w:ilvl w:val="0"/>
          <w:numId w:val="549"/>
        </w:numPr>
      </w:pPr>
      <w:r>
        <w:t>le nettoyage de fin de chantier du revêtement de sol.</w:t>
      </w:r>
    </w:p>
    <w:p w14:paraId="0CD27CE4" w14:textId="77777777" w:rsidR="004B2808" w:rsidRDefault="00000000">
      <w:r>
        <w:rPr>
          <w:b/>
          <w:sz w:val="24"/>
        </w:rPr>
        <w:t>Description revêtements de sol en carreaux</w:t>
      </w:r>
    </w:p>
    <w:p w14:paraId="020DE55D" w14:textId="77777777" w:rsidR="004B2808" w:rsidRDefault="00000000">
      <w:r>
        <w:t>Il s'agit des revêtements de sol en carreaux et en matériaux pierreux durs. Conformément aux dispositions générales et/ou spécifiques du cahier spécial des charges, les prix unitaires compris dans ce poste comprennent, soit selon la ventilation dans le métré récapitulatif, soit dans leur globalité :</w:t>
      </w:r>
    </w:p>
    <w:p w14:paraId="6A24CC8B" w14:textId="77777777" w:rsidR="004B2808" w:rsidRDefault="00000000">
      <w:pPr>
        <w:pStyle w:val="Author-eListParagraph"/>
        <w:numPr>
          <w:ilvl w:val="0"/>
          <w:numId w:val="550"/>
        </w:numPr>
      </w:pPr>
      <w:r>
        <w:t>la fourniture et la pose des carreaux et plinthes décrits dans le cahier spécial des charges, y compris le mortier et/ou la colle pour la mise en œuvre;</w:t>
      </w:r>
    </w:p>
    <w:p w14:paraId="20C7CD56" w14:textId="77777777" w:rsidR="004B2808" w:rsidRDefault="00000000">
      <w:pPr>
        <w:pStyle w:val="Author-eListParagraph"/>
        <w:numPr>
          <w:ilvl w:val="0"/>
          <w:numId w:val="550"/>
        </w:numPr>
      </w:pPr>
      <w:r>
        <w:t>le remplissage des joints ou le jointoiement du carrelage ainsi que l'obturation des joints de dilatation ;</w:t>
      </w:r>
    </w:p>
    <w:p w14:paraId="2C1D28BF" w14:textId="77777777" w:rsidR="004B2808" w:rsidRDefault="00000000">
      <w:pPr>
        <w:pStyle w:val="Author-eListParagraph"/>
        <w:numPr>
          <w:ilvl w:val="0"/>
          <w:numId w:val="550"/>
        </w:numPr>
      </w:pPr>
      <w:r>
        <w:t>le nettoyage du revêtement de sol, y compris l'enlèvement de toutes les taches de mortier de pose, de colle ou de mortier de jointoiement.</w:t>
      </w:r>
    </w:p>
    <w:p w14:paraId="75B0EC51" w14:textId="77777777" w:rsidR="004B2808" w:rsidRDefault="00000000">
      <w:pPr>
        <w:pStyle w:val="pheading"/>
      </w:pPr>
      <w:r>
        <w:t>MATÉRIAUX</w:t>
      </w:r>
    </w:p>
    <w:p w14:paraId="1F66E3D4" w14:textId="77777777" w:rsidR="004B2808" w:rsidRDefault="00000000">
      <w:r>
        <w:rPr>
          <w:b/>
          <w:sz w:val="24"/>
        </w:rPr>
        <w:t>Matériaux revêtements de sol intérieurs</w:t>
      </w:r>
    </w:p>
    <w:p w14:paraId="493EEDFE" w14:textId="77777777" w:rsidR="004B2808" w:rsidRDefault="00000000">
      <w:r>
        <w:lastRenderedPageBreak/>
        <w:t>Les conditions de livraison et la qualité des matériaux de revêtement de sol doivent satisfaire aux dispositions générales suivantes :</w:t>
      </w:r>
    </w:p>
    <w:p w14:paraId="0E3D0909" w14:textId="77777777" w:rsidR="004B2808" w:rsidRDefault="00000000">
      <w:pPr>
        <w:pStyle w:val="Author-eListParagraph"/>
        <w:numPr>
          <w:ilvl w:val="0"/>
          <w:numId w:val="551"/>
        </w:numPr>
      </w:pPr>
      <w:r>
        <w:t>La qualité des matériaux mis en œuvre doit correspondre à l'affectation respective des locaux et aux sollicitations à prévoir.</w:t>
      </w:r>
    </w:p>
    <w:p w14:paraId="569056FD" w14:textId="77777777" w:rsidR="004B2808" w:rsidRDefault="00000000">
      <w:pPr>
        <w:pStyle w:val="Author-eListParagraph"/>
        <w:numPr>
          <w:ilvl w:val="0"/>
          <w:numId w:val="551"/>
        </w:numPr>
      </w:pPr>
      <w:r>
        <w:t>Lors de l'établissement de l'offre pour les matériaux de revêtement de sol et tous les accessoires, l'entrepreneur est tenu de vérifier si ceux-ci peuvent être livrés dans les dimensions, le type, la couleur et le traitement de surface prescrits dans les documents d'adjudication. Il doit en outre vérifier si leur dimensionnement correspond à la modulation du schéma de mise en œuvre et au choix de la technique d'exécution.</w:t>
      </w:r>
    </w:p>
    <w:p w14:paraId="7A661501" w14:textId="77777777" w:rsidR="004B2808" w:rsidRDefault="00000000">
      <w:pPr>
        <w:pStyle w:val="Author-eListParagraph"/>
        <w:numPr>
          <w:ilvl w:val="0"/>
          <w:numId w:val="551"/>
        </w:numPr>
      </w:pPr>
      <w:r>
        <w:t>L'entrepreneur soumet à l'avance à l'approbation de l'auteur de projet, une carte de couleurs, les échantillons contractuellement requis et une fiche technique complète pour chaque matériau de revêtement prescrit. Les échantillons présentés représentent l'aspect, la couleur (les couleurs) et l'aspect de surface de la moyenne des carreaux qui sont livrés. En outre, une documentation technique de tous les produits de traitement préalable, des matériaux adhésifs tels que les mortiers-colle, les colles synthétiques, les mastics élastiques, etc. est soumise pour approbation à l'auteur de projet.</w:t>
      </w:r>
    </w:p>
    <w:p w14:paraId="3940B330" w14:textId="77777777" w:rsidR="004B2808" w:rsidRDefault="00000000">
      <w:pPr>
        <w:pStyle w:val="Author-eListParagraph"/>
        <w:numPr>
          <w:ilvl w:val="0"/>
          <w:numId w:val="551"/>
        </w:numPr>
      </w:pPr>
      <w:r>
        <w:t>Les matériaux livrés sur chantier sont immédiatement entreposés dans un espace fermé et ils sont efficacement protégés contre le soleil, la pluie et le vent.</w:t>
      </w:r>
    </w:p>
    <w:p w14:paraId="0226FA9A" w14:textId="77777777" w:rsidR="004B2808" w:rsidRDefault="00000000">
      <w:r>
        <w:rPr>
          <w:b/>
          <w:sz w:val="24"/>
        </w:rPr>
        <w:t>Matériaux revêtements de sol en carreaux</w:t>
      </w:r>
    </w:p>
    <w:p w14:paraId="2C68A855" w14:textId="77777777" w:rsidR="004B2808" w:rsidRDefault="00000000">
      <w:r>
        <w:t>Les matériaux utilisés sont, entre autres, des carrelages, des moyens de fixation (colles ou mortiers), les matériaux de jointoiement, les mastics.</w:t>
      </w:r>
    </w:p>
    <w:p w14:paraId="460E9C2C" w14:textId="77777777" w:rsidR="004B2808" w:rsidRDefault="00000000">
      <w:pPr>
        <w:pStyle w:val="heading"/>
      </w:pPr>
      <w:r>
        <w:t>Matériaux d'encollage - matériaux de jointoiement - mastics élastiques</w:t>
      </w:r>
    </w:p>
    <w:p w14:paraId="398A25EB" w14:textId="77777777" w:rsidR="004B2808" w:rsidRDefault="00000000">
      <w:r>
        <w:t>La composition des matériaux de pose et de jointoiement, des mastics élastiques ainsi que des joints périphériques, de séparation et de dilatation, sont choisis en fonction des conditions de mise en œuvre et du type de carreaux.</w:t>
      </w:r>
    </w:p>
    <w:p w14:paraId="03DD6B5C" w14:textId="77777777" w:rsidR="004B2808" w:rsidRDefault="00000000">
      <w:r>
        <w:t>Les caractéristiques des matériaux de pose ou d'encollage doivent satisfaire aux dispositions de la  [NIT 213] § 5.3 ou de la [NIT 237]  § 3.1, 3.2 et 3.3.</w:t>
      </w:r>
    </w:p>
    <w:p w14:paraId="606C6ABB" w14:textId="77777777" w:rsidR="004B2808" w:rsidRDefault="00000000">
      <w:r>
        <w:t>Les matériaux de jointoiement doivent satisfaire aux § 3.5 et § 3.6 de la [NIT 237] ou § 5.5.2 de la [NIT 213] . Ils doivent être compatibles avec le mortier de pose ou la colle la mise en œuvre.</w:t>
      </w:r>
    </w:p>
    <w:p w14:paraId="3A477E9F" w14:textId="77777777" w:rsidR="004B2808" w:rsidRDefault="00000000">
      <w:r>
        <w:t>Des mortiers de jointoiement industriels peuvent être utilisés.</w:t>
      </w:r>
    </w:p>
    <w:p w14:paraId="63D168CF" w14:textId="77777777" w:rsidR="004B2808" w:rsidRDefault="00000000">
      <w:r>
        <w:t>Une documentation technique des colles et mortier-colles est soumise pour approbation à l'auteur de projet.</w:t>
      </w:r>
    </w:p>
    <w:p w14:paraId="73AEBF3D" w14:textId="77777777" w:rsidR="004B2808" w:rsidRDefault="00000000">
      <w:r>
        <w:t>Sauf spécifié autrement dans le cahier spécial des charges, la couleur du joint est grise. En cas de joints colorés, autre que gris, le maître d'ouvrage accepte définitivement sur base d'échantillons. Lorsque des colorants doivent être utilisés, ceux-ci sont d'origine organique.</w:t>
      </w:r>
    </w:p>
    <w:p w14:paraId="11EB7289" w14:textId="77777777" w:rsidR="004B2808" w:rsidRDefault="00000000">
      <w:r>
        <w:t>Les caractéristiques des mastics élastiques pour les joints de dilatation doivent satisfaire au tableau 33 de la [NIT 237]. L'utilisation d'un mastic au bitume de caoutchouc est interdite. Les joints sont réalisés avec un matériau durablement plastique, de couleur comparable à celle des autres joints.</w:t>
      </w:r>
    </w:p>
    <w:p w14:paraId="1095B07D" w14:textId="77777777" w:rsidR="004B2808" w:rsidRDefault="00000000">
      <w:pPr>
        <w:pStyle w:val="pheading"/>
      </w:pPr>
      <w:r>
        <w:t>EXÉCUTION / MISE EN ŒUVRE</w:t>
      </w:r>
    </w:p>
    <w:p w14:paraId="59A06029" w14:textId="77777777" w:rsidR="004B2808" w:rsidRDefault="00000000">
      <w:r>
        <w:rPr>
          <w:b/>
          <w:sz w:val="24"/>
        </w:rPr>
        <w:t>Exécution revêtements de sol intérieurs</w:t>
      </w:r>
    </w:p>
    <w:p w14:paraId="7895D9EF" w14:textId="77777777" w:rsidR="004B2808" w:rsidRDefault="00000000">
      <w:pPr>
        <w:pStyle w:val="heading"/>
      </w:pPr>
      <w:r>
        <w:t>GÉNÉRALITÉS</w:t>
      </w:r>
    </w:p>
    <w:p w14:paraId="27D6AC3F" w14:textId="77777777" w:rsidR="004B2808" w:rsidRDefault="00000000">
      <w:r>
        <w:t>Les revêtements de sol ne peuvent être mis en œuvre que dans un bâtiment à l'abri du vent, c'est-à-dire après la finition des travaux de plafonnage, de la menuiserie extérieure, des chapes et/ou des couches d'égalisation.</w:t>
      </w:r>
    </w:p>
    <w:p w14:paraId="719AC1A1" w14:textId="77777777" w:rsidR="004B2808" w:rsidRDefault="00000000">
      <w:r>
        <w:t>Les éléments inflammables doivent rester au moins à 20 cm des parois intérieures des conduits de fumée et de ventilation et au moins à 3 cm de la paroi extérieure. Si nécessaire, des mesures sont prises pour augmenter l'épaisseur de la paroi à l'aide d'un matériau peu combustible et isolant.</w:t>
      </w:r>
    </w:p>
    <w:p w14:paraId="59032809" w14:textId="77777777" w:rsidR="004B2808" w:rsidRDefault="00000000">
      <w:r>
        <w:lastRenderedPageBreak/>
        <w:t>Pendant les travaux, les locaux sont protégés de tout foulement indésirable et maintenus aux conditions climatologiques requises en fonction du type de revêtement qui y est prévu.</w:t>
      </w:r>
    </w:p>
    <w:p w14:paraId="6923C67F" w14:textId="77777777" w:rsidR="004B2808" w:rsidRDefault="00000000">
      <w:r>
        <w:t>Le commencement des travaux signifie la réception de l'aire de pose. A cet effet, l'entrepreneur est tenu, avant de commencer ses travaux et en fonction de la nature du revêtement de sol, d'inspecter l'état de l'aire de pose (caractéristiques générales telles que la résistance aux perforations, le taux d'humidité, la planéité, l'horizontalité et l'épaisseur de la couche) et de faire part de ces constatations à l'auteur de projet.</w:t>
      </w:r>
    </w:p>
    <w:p w14:paraId="1C82DF30" w14:textId="77777777" w:rsidR="004B2808" w:rsidRDefault="00000000">
      <w:r>
        <w:t>L'entrepreneur veille à ce que les revêtements de sol, après leur mise en œuvre, soient efficacement protégés contre l'encrassement et les dégradations et ce, pendant toute la durée des autres travaux.</w:t>
      </w:r>
    </w:p>
    <w:p w14:paraId="63B9013D" w14:textId="77777777" w:rsidR="004B2808" w:rsidRDefault="00000000">
      <w:r>
        <w:rPr>
          <w:b/>
          <w:sz w:val="24"/>
        </w:rPr>
        <w:t>Sécurité revêtements de sol intérieurs</w:t>
      </w:r>
    </w:p>
    <w:p w14:paraId="4B7161F8" w14:textId="77777777" w:rsidR="004B2808" w:rsidRDefault="00000000">
      <w:r>
        <w:t>Conformément au chapitre 01.45 PSS travaux de parachèvement intérieur PSS travaux de parachèvement intérieur, établie par le coordinateur-projet et annexée au présent cahier des charges. Toutes les directives en la matière et les indications concrètes du coordinateur-réalisation sont scrupuleusement respectées.</w:t>
      </w:r>
    </w:p>
    <w:p w14:paraId="57C834A5" w14:textId="77777777" w:rsidR="004B2808" w:rsidRDefault="00000000">
      <w:r>
        <w:rPr>
          <w:b/>
          <w:sz w:val="24"/>
        </w:rPr>
        <w:t>Sécurisation incendie revêtements de sol intérieurs</w:t>
      </w:r>
    </w:p>
    <w:p w14:paraId="369877B5" w14:textId="77777777" w:rsidR="004B2808" w:rsidRDefault="00000000">
      <w:r>
        <w:t>En matière de sécurité incendie, les matériaux doivent répondre à certaines exigences en fonction de la destination du local auquel ils appartiennent.</w:t>
      </w:r>
    </w:p>
    <w:p w14:paraId="12352576" w14:textId="77777777" w:rsidR="004B2808" w:rsidRDefault="00000000">
      <w:r>
        <w:t>Support aux prescripteurs : [SWL GSI/T1/B] de la prévention passive référencé dans le tome 0 de ce cahier des charges.</w:t>
      </w:r>
    </w:p>
    <w:p w14:paraId="1BEAD704" w14:textId="77777777" w:rsidR="004B2808" w:rsidRDefault="00000000">
      <w:r>
        <w:rPr>
          <w:b/>
          <w:sz w:val="24"/>
        </w:rPr>
        <w:t>Exécution revêtements de sol en carreaux</w:t>
      </w:r>
    </w:p>
    <w:p w14:paraId="1B47824E" w14:textId="77777777" w:rsidR="004B2808" w:rsidRDefault="00000000">
      <w:pPr>
        <w:pStyle w:val="heading"/>
      </w:pPr>
      <w:r>
        <w:t>travaux préparatoires</w:t>
      </w:r>
    </w:p>
    <w:p w14:paraId="215EB99D" w14:textId="77777777" w:rsidR="004B2808" w:rsidRDefault="00000000">
      <w:r>
        <w:t>L'aire de pose (pour les sols en béton, les couches de remplissage, les chapes, …) doit au préalable être contrôlée sur toute sa superficie afin de déceler les éventuelles imperfections et irrégularités. Toutes les parties non adhérentes, les aspérités ou les bosses, le plâtre, la chaux, l'argile, les déchets et autres matériaux divers ainsi que tous les outils sont enlevés. Les creux existants ou créés sont retouchés avec un mortier approprié. </w:t>
      </w:r>
    </w:p>
    <w:p w14:paraId="4A037641" w14:textId="77777777" w:rsidR="004B2808" w:rsidRDefault="00000000">
      <w:pPr>
        <w:pStyle w:val="heading"/>
      </w:pPr>
      <w:r>
        <w:t>Calepinages - largeur des joints</w:t>
      </w:r>
    </w:p>
    <w:p w14:paraId="01DC7AA0" w14:textId="77777777" w:rsidR="004B2808" w:rsidRDefault="00000000">
      <w:r>
        <w:t>Sauf indications explicites contraires sur les plans, les dessins de détail et/ou dans le cahier spécial des charges, les dispositions du chapitre 4 de la [NIT 237] ou du chapitre 5 de la [NIT 213] sont d'application.</w:t>
      </w:r>
    </w:p>
    <w:p w14:paraId="02590BE5" w14:textId="77777777" w:rsidR="004B2808" w:rsidRDefault="00000000">
      <w:r>
        <w:t>La largeur des joints est précisée dans le cahier spécial des charges. Elle tient compte du domaine d'application, de la nature des carreaux, des dimensions modulaires et réelles des carreaux. La largeur d’un joint ne peut jamais être inférieure au double de la tolérance sur les dimensions du carreau. Les éventuelles différences dimensionnelles entre les carreaux sont absorbées par les joints. Toutefois, la largeur des joints est constante dans tous les locaux qui sont carrelés avec les mêmes carreaux §7.1.6 de la [NIT 237].</w:t>
      </w:r>
    </w:p>
    <w:p w14:paraId="2D29F369" w14:textId="77777777" w:rsidR="004B2808" w:rsidRDefault="00000000">
      <w:r>
        <w:t>Concernant l'appareillage, et sauf spécification contraire dans le cahier spécial des charges, on opte pour une pose symétrique par rapport aux axes du local et de façon à éviter les découpes de moins d'un demi-carreau. Lorsque des découpes sont nécessaires en vue de l'ajustement, les carreaux sont coupés mécaniquement. Sauf spécification contraire dans le cahier spécial des charges, les joints entre plinthes sont libres par rapport aux joints entre carreaux.</w:t>
      </w:r>
    </w:p>
    <w:p w14:paraId="3D6BDBDB" w14:textId="77777777" w:rsidR="004B2808" w:rsidRDefault="00000000">
      <w:pPr>
        <w:pStyle w:val="heading"/>
      </w:pPr>
      <w:r>
        <w:t>Joints de dilatation - joints périphériques et de désolidarisation - joints de retrait et de flexion</w:t>
      </w:r>
    </w:p>
    <w:p w14:paraId="6DDE3526" w14:textId="77777777" w:rsidR="004B2808" w:rsidRDefault="00000000">
      <w:r>
        <w:t>Tous les joints de dilatation, périphériques et de désolidarisation, les joints de flexion et de retrait doivent être compris et sont exécutés selon les directives respectives des § 6.51, 6.5.2 et 6.5.3 de la [NIT 237] ou § 5.5.1 de la [NIT 213], complétées par les principes suivants :</w:t>
      </w:r>
    </w:p>
    <w:p w14:paraId="00A9F5C9" w14:textId="77777777" w:rsidR="004B2808" w:rsidRDefault="00000000">
      <w:r>
        <w:lastRenderedPageBreak/>
        <w:t>Avant de commencer à carreler, une bande périphérique est appliquée le long de tous les murs. Celle-ci se compose de bandes de polystyrène ou d'un matériau compressible similaire d'environ 5 à 10 mm d'épaisseur qui isole au moins aussi bien. Après la finition des carrelages, elles sont coupées à ras du sol et cachées derrière les plinthes ou recouvertes d'un produit de jointoiement souple.</w:t>
      </w:r>
    </w:p>
    <w:p w14:paraId="1346C09E" w14:textId="77777777" w:rsidR="004B2808" w:rsidRDefault="00000000">
      <w:r>
        <w:t> </w:t>
      </w:r>
    </w:p>
    <w:p w14:paraId="1C582167" w14:textId="77777777" w:rsidR="004B2808" w:rsidRDefault="00000000">
      <w:pPr>
        <w:pStyle w:val="heading"/>
      </w:pPr>
      <w:r>
        <w:t>MISE EN ŒUVRE - adhérence</w:t>
      </w:r>
    </w:p>
    <w:p w14:paraId="7C062DA4" w14:textId="77777777" w:rsidR="004B2808" w:rsidRDefault="00000000">
      <w:r>
        <w:t>Les techniques de mise en œuvre, telles qu'elles sont décrites dans le chapitre 6 de la [NIT 237] et le chapitre 5 de la [NIT 213] sont d'application. Les carrelages sont posés selon le mode d'exécution concret décrit dans le cahier spécial des charges. Il s'agit des poses suivantes :</w:t>
      </w:r>
    </w:p>
    <w:p w14:paraId="1411DE23" w14:textId="77777777" w:rsidR="004B2808" w:rsidRDefault="00000000">
      <w:r>
        <w:t>[NIT 237]</w:t>
      </w:r>
    </w:p>
    <w:p w14:paraId="0C838FA7" w14:textId="77777777" w:rsidR="004B2808" w:rsidRDefault="00000000">
      <w:r>
        <w:t>§ 6.1 Pose au mortier-colle sur chape durcie</w:t>
      </w:r>
    </w:p>
    <w:p w14:paraId="2E2AB038" w14:textId="77777777" w:rsidR="004B2808" w:rsidRDefault="00000000">
      <w:r>
        <w:t>§ 6.2 Pose en chape fraîche</w:t>
      </w:r>
    </w:p>
    <w:p w14:paraId="36B710D0" w14:textId="77777777" w:rsidR="004B2808" w:rsidRDefault="00000000">
      <w:r>
        <w:t>§ 6.3 Pose au mortier sur lit de sable stabilisé ou sur support durci</w:t>
      </w:r>
    </w:p>
    <w:p w14:paraId="280CC572" w14:textId="77777777" w:rsidR="004B2808" w:rsidRDefault="00000000">
      <w:r>
        <w:t>§ 6.4 autres techniques de pose (Pose à l’aide d’une colle en dispersion sur chape durcie, Pose à l’aide de colle réactive, Pose au mortier-colle sur natte)</w:t>
      </w:r>
    </w:p>
    <w:p w14:paraId="0CFF5DA4" w14:textId="77777777" w:rsidR="004B2808" w:rsidRDefault="00000000">
      <w:r>
        <w:t>[NIT 213]</w:t>
      </w:r>
    </w:p>
    <w:p w14:paraId="3BB80B09" w14:textId="77777777" w:rsidR="004B2808" w:rsidRDefault="00000000">
      <w:r>
        <w:t>Pose traditionnelle au mortier sur lit de sable stabilisé</w:t>
      </w:r>
    </w:p>
    <w:p w14:paraId="1E8C236D" w14:textId="77777777" w:rsidR="004B2808" w:rsidRDefault="00000000">
      <w:r>
        <w:t>Pose au mortier sur support dur</w:t>
      </w:r>
    </w:p>
    <w:p w14:paraId="0137C732" w14:textId="77777777" w:rsidR="004B2808" w:rsidRDefault="00000000">
      <w:r>
        <w:t>Pose au mortier-colle sur chape durcie Pose sur chape fraîche </w:t>
      </w:r>
    </w:p>
    <w:p w14:paraId="53E17E4A" w14:textId="77777777" w:rsidR="004B2808" w:rsidRDefault="00000000">
      <w:pPr>
        <w:pStyle w:val="heading"/>
      </w:pPr>
      <w:r>
        <w:t>Techniques de jointoiement - finition</w:t>
      </w:r>
    </w:p>
    <w:p w14:paraId="0CB6AE69" w14:textId="77777777" w:rsidR="004B2808" w:rsidRDefault="00000000">
      <w:r>
        <w:t>L'exécution des joints doit satisfaire aux dispositions des § 6.5, 7.15, 7.16 et 7.17 de la [NIT 237]. Sauf indications spécifiques dans le cahier spécial des charges, les principes suivants sont en outre d'application :</w:t>
      </w:r>
    </w:p>
    <w:p w14:paraId="574DA2B2" w14:textId="77777777" w:rsidR="004B2808" w:rsidRDefault="00000000">
      <w:r>
        <w:t>Les carreaux seront, en principe, toujours posés à joints ouverts. Il est interdit de couvrir le carrelage avec un mortier de ciment tout de suite après sa pose.</w:t>
      </w:r>
    </w:p>
    <w:p w14:paraId="58677B7A" w14:textId="77777777" w:rsidR="004B2808" w:rsidRDefault="00000000">
      <w:r>
        <w:t>Avant le jointoiement, toutes les salissures qui ont pénétré entre les carreaux, telles que poussière, sciure, clous, etc. seront soigneusement enlevées.</w:t>
      </w:r>
    </w:p>
    <w:p w14:paraId="14F8D7FB" w14:textId="77777777" w:rsidR="004B2808" w:rsidRDefault="00000000">
      <w:r>
        <w:t>La technique appliquée pour le jointoiement dépend de la nature des carreaux et la largeur du joint. Les joints sont remplis jusqu'au ras du carrelage sauf si les bords sont émaillés. Leur face supérieure sera lisse et se situe dans le même plan que la face des carreaux Le jointoiement peut s'effectuer manuellement à la truelle (pour les joints &gt; 5 mm) ou par coulage et brossage d'un mortier liquide, conformément au § 6.5.3 de la [NIT 237];</w:t>
      </w:r>
    </w:p>
    <w:p w14:paraId="298277CD" w14:textId="77777777" w:rsidR="004B2808" w:rsidRDefault="00000000">
      <w:r>
        <w:t>Dans le joint entre le carrelage et les murs, on n'applique jamais de mortier afin de permettre la libre dilatation du revêtement de sol. Ces joints sont remplis d'un matériau de remplissage (bandes de polystyrène ou une isolation équivalente) et sont éventuellement colmatés avec un mastic plastique approprié lors de la finition du carrelage. La couleur est identique à celle des joints.</w:t>
      </w:r>
    </w:p>
    <w:p w14:paraId="0D3AAF1E" w14:textId="77777777" w:rsidR="004B2808" w:rsidRDefault="00000000">
      <w:r>
        <w:t>Le joint entre le carrelage et la plinthe éventuelle est un joint plein ;</w:t>
      </w:r>
    </w:p>
    <w:p w14:paraId="1F5CDBDB" w14:textId="77777777" w:rsidR="004B2808" w:rsidRDefault="00000000">
      <w:r>
        <w:t>Les joints ont une couleur uniforme dans un même local. Afin de déterminer la couleur exacte du mortier de jointoiement, quelques échantillons peuvent être demandés jusqu'à satisfaction totale de l'auteur de projet.</w:t>
      </w:r>
    </w:p>
    <w:p w14:paraId="486B1EC0" w14:textId="77777777" w:rsidR="004B2808" w:rsidRDefault="00000000">
      <w:r>
        <w:t>Le carrelage est bien nettoyé afin de prévenir la formation d'un voile de ciment sur les carreaux. Le nettoyage se fait à l'éponge, au sable ou avec de la sciure de bois (peuplier ou sapin blanc);</w:t>
      </w:r>
    </w:p>
    <w:p w14:paraId="50877C72" w14:textId="77777777" w:rsidR="004B2808" w:rsidRDefault="00000000">
      <w:pPr>
        <w:pStyle w:val="heading"/>
      </w:pPr>
      <w:r>
        <w:t>Période de durcissement - protection</w:t>
      </w:r>
    </w:p>
    <w:p w14:paraId="78BE134D" w14:textId="77777777" w:rsidR="004B2808" w:rsidRDefault="00000000">
      <w:r>
        <w:t xml:space="preserve">Pendant la période de séchage, les ouvrages sont protégés contre le rayonnement direct, l'humidité, les températures élevées et le gel. L'entrepreneur veille à ce que les carrelages ne soient pas foulés </w:t>
      </w:r>
      <w:r>
        <w:lastRenderedPageBreak/>
        <w:t>trop rapidement après leur mise en œuvre. La période non accessible (piétons) du revêtement est conforme aux dispositions de la [NIT 237] § 1.2.3 ou de la [NIT 213] § 5.6.6</w:t>
      </w:r>
    </w:p>
    <w:p w14:paraId="2EF774C6" w14:textId="77777777" w:rsidR="004B2808" w:rsidRDefault="00000000">
      <w:r>
        <w:t>Les carrelages sont protégés jusqu'à la réception provisoire (à prévoir au cahier spécial des charges). Avant la réception provisoire, les carrelages sont nettoyés selon le procédé recommandé pour le type de carrelage concerné (voir chapitre 8 de la [NIT 237] ou § 5.6.6 de la [NIT 213]).</w:t>
      </w:r>
    </w:p>
    <w:p w14:paraId="664796E3" w14:textId="77777777" w:rsidR="004B2808" w:rsidRDefault="00000000">
      <w:pPr>
        <w:pStyle w:val="pheading"/>
      </w:pPr>
      <w:r>
        <w:t>CONTRÔLES</w:t>
      </w:r>
    </w:p>
    <w:p w14:paraId="63745CD4" w14:textId="77777777" w:rsidR="004B2808" w:rsidRDefault="00000000">
      <w:r>
        <w:rPr>
          <w:b/>
          <w:sz w:val="24"/>
        </w:rPr>
        <w:t>Contrôle revêtements de sol intérieurs</w:t>
      </w:r>
    </w:p>
    <w:p w14:paraId="021A0D1B" w14:textId="77777777" w:rsidR="004B2808" w:rsidRDefault="00000000">
      <w:r>
        <w:t>Les systèmes et/ou les produits qui ont obtenu un agrément technique peuvent entrer en ligne de compte dans la mesure où les applications pour lesquelles l'agrément a été attribué correspondent à celles des fascicules STS respectifs et pour autant que l'équivalence en ce qui concerne les performances ait été établie dans la publication d'agréation.</w:t>
      </w:r>
    </w:p>
    <w:p w14:paraId="3C75815A" w14:textId="77777777" w:rsidR="004B2808" w:rsidRDefault="00000000">
      <w:r>
        <w:rPr>
          <w:b/>
          <w:sz w:val="24"/>
        </w:rPr>
        <w:t>Contrôle revêtements de sol en carreaux</w:t>
      </w:r>
    </w:p>
    <w:p w14:paraId="02F02A8D" w14:textId="77777777" w:rsidR="004B2808" w:rsidRDefault="00000000">
      <w:pPr>
        <w:pStyle w:val="heading"/>
      </w:pPr>
      <w:r>
        <w:t>MATÉRIAUX - essais de contrôle</w:t>
      </w:r>
    </w:p>
    <w:p w14:paraId="529D06F6" w14:textId="77777777" w:rsidR="004B2808" w:rsidRDefault="00000000">
      <w:r>
        <w:t>Les essais de contrôle sur les carrelages (résistance à l'usure, essai de dureté, …) et les différents essais mécaniques (adhésion des mortiers colles, …) sont exécutés conformément aux méthodes référencées dans les [NIT 237] et [NIT 213].</w:t>
      </w:r>
    </w:p>
    <w:p w14:paraId="6D20FDDC" w14:textId="77777777" w:rsidR="004B2808" w:rsidRDefault="00000000">
      <w:r>
        <w:t>En principe, la gamme complète des essais effectués en laboratoire est uniquement réalisée pour les lots supérieurs à 5000 m2 de carrelage.</w:t>
      </w:r>
    </w:p>
    <w:p w14:paraId="25B7C062" w14:textId="77777777" w:rsidR="004B2808" w:rsidRDefault="00000000">
      <w:r>
        <w:t>L'échantillonnage se fait contradictoirement, c'est-à-dire en présence de l'acheteur et du vendeur. Les carreaux sont pris dans chaque lot à différents endroits afin d'obtenir un échantillonnage moyen.</w:t>
      </w:r>
    </w:p>
    <w:p w14:paraId="155C32F7" w14:textId="77777777" w:rsidR="004B2808" w:rsidRDefault="00000000">
      <w:r>
        <w:t> </w:t>
      </w:r>
    </w:p>
    <w:p w14:paraId="0D1BEC86" w14:textId="77777777" w:rsidR="004B2808" w:rsidRDefault="00000000">
      <w:pPr>
        <w:pStyle w:val="heading"/>
      </w:pPr>
      <w:r>
        <w:t>NIVEAU - planéité - alignement</w:t>
      </w:r>
    </w:p>
    <w:p w14:paraId="034D8C67" w14:textId="77777777" w:rsidR="004B2808" w:rsidRDefault="00000000">
      <w:r>
        <w:t>Les tolérances d'exécution et les méthodes de vérification correspondent aux [NIT 237] et [NIT 213] :</w:t>
      </w:r>
    </w:p>
    <w:p w14:paraId="510FF5FA" w14:textId="77777777" w:rsidR="004B2808" w:rsidRDefault="00000000">
      <w:pPr>
        <w:pStyle w:val="heading"/>
      </w:pPr>
      <w:r>
        <w:t>coloris - aspect</w:t>
      </w:r>
    </w:p>
    <w:p w14:paraId="6C5C5841" w14:textId="77777777" w:rsidR="004B2808" w:rsidRDefault="00000000">
      <w:r>
        <w:t>Un coloris uniforme est requis dans un seul et même local.</w:t>
      </w:r>
    </w:p>
    <w:p w14:paraId="2DB29DB1" w14:textId="77777777" w:rsidR="004B2808" w:rsidRDefault="00000000">
      <w:r>
        <w:t>Le contrôle de la couleur et de l'aspect des carreaux choisis se fait visuellement.</w:t>
      </w:r>
    </w:p>
    <w:p w14:paraId="38584E51" w14:textId="77777777" w:rsidR="004B2808" w:rsidRDefault="00000000">
      <w:r>
        <w:t>Des taches marquées et/ou des voiles de ciment ne sont pas admis.</w:t>
      </w:r>
    </w:p>
    <w:p w14:paraId="2EC14A0D" w14:textId="77777777" w:rsidR="004B2808" w:rsidRDefault="00000000">
      <w:pPr>
        <w:pStyle w:val="pheading"/>
      </w:pPr>
      <w:r>
        <w:t>DOCUMENTS DE RÉFÉRENCE</w:t>
      </w:r>
    </w:p>
    <w:p w14:paraId="48429948" w14:textId="77777777" w:rsidR="004B2808" w:rsidRDefault="00000000">
      <w:pPr>
        <w:pStyle w:val="pheading"/>
      </w:pPr>
      <w:r>
        <w:t>- Matériau</w:t>
      </w:r>
    </w:p>
    <w:p w14:paraId="3DFF40B7" w14:textId="77777777" w:rsidR="004B2808" w:rsidRDefault="00000000">
      <w:pPr>
        <w:pStyle w:val="heading"/>
      </w:pPr>
      <w:r>
        <w:t>NORMES DE RÉFÉRENCE OU EQUIVALENCES NORMES EUROPEENNES</w:t>
      </w:r>
    </w:p>
    <w:p w14:paraId="046272FE" w14:textId="77777777" w:rsidR="004B2808" w:rsidRDefault="00000000">
      <w:r>
        <w:t>[NIT 213, Les revêtements de sol intérieurs en pierre naturelle (remplace la NIT 137 pour les travaux de dallage en pierre naturelle).]</w:t>
      </w:r>
    </w:p>
    <w:p w14:paraId="4FE22AD4" w14:textId="77777777" w:rsidR="004B2808" w:rsidRDefault="00000000">
      <w:r>
        <w:t>[NIT 237, Revêtements de sol intérieurs en carreaux céramiques (remplace la NIT 137 pour les travaux de carrelage en céramique).]</w:t>
      </w:r>
    </w:p>
    <w:p w14:paraId="3291D577" w14:textId="77777777" w:rsidR="004B2808" w:rsidRDefault="00000000">
      <w:r>
        <w:t>[NBN EN ISO 10545 série, Carreaux et dalles céramiques]</w:t>
      </w:r>
    </w:p>
    <w:p w14:paraId="1FB716E4" w14:textId="77777777" w:rsidR="004B2808" w:rsidRDefault="00000000">
      <w:r>
        <w:t>[NBN EN 12004-2, Colles à carrelage - Partie 2 : Méthodes d'essai]</w:t>
      </w:r>
    </w:p>
    <w:p w14:paraId="4DF5E871" w14:textId="77777777" w:rsidR="004B2808" w:rsidRDefault="00000000">
      <w:r>
        <w:t>[NBN EN 12004-1, Colles à carrelage - Partie 1: Exigences, évaluation et vérification de la constance de performance, classification et marquage]</w:t>
      </w:r>
    </w:p>
    <w:p w14:paraId="6DE3190E" w14:textId="77777777" w:rsidR="004B2808" w:rsidRDefault="00000000">
      <w:r>
        <w:t>[NBN EN 14411, Carreaux céramiques - Définitions, classification, caractéristiques, évaluation et vérification de la constance de performance et marquage]</w:t>
      </w:r>
    </w:p>
    <w:p w14:paraId="3C451E67" w14:textId="77777777" w:rsidR="004B2808" w:rsidRDefault="00000000">
      <w:r>
        <w:t>[NBN EN 13888, Mortiers de jointoiement pour carreaux et dalles céramiques - Exigences, évaluation de conformité, classification et désignation]</w:t>
      </w:r>
    </w:p>
    <w:p w14:paraId="42AC3A0C" w14:textId="77777777" w:rsidR="004B2808" w:rsidRDefault="00000000">
      <w:r>
        <w:t>[SWL GSI/T1/B, Guides sécurité incendie - Tome 1 Prévention passive - Guide B Réaction au feu]</w:t>
      </w:r>
    </w:p>
    <w:p w14:paraId="643BB606" w14:textId="77777777" w:rsidR="004B2808" w:rsidRDefault="00000000">
      <w:pPr>
        <w:pStyle w:val="Author-eSectionHeading4Numberless"/>
      </w:pPr>
      <w:bookmarkStart w:id="628" w:name="_Toc220490789"/>
      <w:r>
        <w:lastRenderedPageBreak/>
        <w:t>53.51 Revêtements de sols en carreaux de céramique CCTB 01.12</w:t>
      </w:r>
      <w:bookmarkEnd w:id="628"/>
    </w:p>
    <w:p w14:paraId="61C2F1F3" w14:textId="77777777" w:rsidR="004B2808" w:rsidRDefault="00000000">
      <w:pPr>
        <w:pStyle w:val="pheading"/>
      </w:pPr>
      <w:bookmarkStart w:id="629" w:name="1395"/>
      <w:bookmarkEnd w:id="629"/>
      <w:r>
        <w:t>DESCRIPTION</w:t>
      </w:r>
    </w:p>
    <w:p w14:paraId="0EC8D517" w14:textId="77777777" w:rsidR="004B2808" w:rsidRDefault="00000000">
      <w:pPr>
        <w:pStyle w:val="pheading"/>
      </w:pPr>
      <w:r>
        <w:t>- Définition / Comprend</w:t>
      </w:r>
    </w:p>
    <w:p w14:paraId="49A396B7" w14:textId="77777777" w:rsidR="004B2808" w:rsidRDefault="00000000">
      <w:pPr>
        <w:jc w:val="both"/>
      </w:pPr>
      <w:r>
        <w:t>Cet élément comprend la fourniture (hors matériaux récupérés du même site) et travaux nécessaires en vue de la réalisation des carrelages de sol afin de constituer un ouvrage parfaitement fini selon la description consignée au cahier spécial des charges.</w:t>
      </w:r>
    </w:p>
    <w:p w14:paraId="23D9CFA3" w14:textId="77777777" w:rsidR="004B2808" w:rsidRDefault="00000000">
      <w:pPr>
        <w:pStyle w:val="Author-eListParagraph"/>
        <w:numPr>
          <w:ilvl w:val="0"/>
          <w:numId w:val="552"/>
        </w:numPr>
        <w:jc w:val="both"/>
      </w:pPr>
      <w:r>
        <w:t>La préparation de surface ;</w:t>
      </w:r>
    </w:p>
    <w:p w14:paraId="75FF5BEE" w14:textId="77777777" w:rsidR="004B2808" w:rsidRDefault="00000000">
      <w:pPr>
        <w:pStyle w:val="Author-eListParagraph"/>
        <w:numPr>
          <w:ilvl w:val="0"/>
          <w:numId w:val="552"/>
        </w:numPr>
        <w:jc w:val="both"/>
      </w:pPr>
      <w:r>
        <w:t>La fourniture (hors matériaux récupérés du même site) et la pose des carreaux de céramique ;</w:t>
      </w:r>
    </w:p>
    <w:p w14:paraId="6076B0BF" w14:textId="77777777" w:rsidR="004B2808" w:rsidRDefault="00000000">
      <w:pPr>
        <w:pStyle w:val="Author-eListParagraph"/>
        <w:numPr>
          <w:ilvl w:val="0"/>
          <w:numId w:val="552"/>
        </w:numPr>
        <w:jc w:val="both"/>
      </w:pPr>
      <w:r>
        <w:t>Le jointoyage ;</w:t>
      </w:r>
    </w:p>
    <w:p w14:paraId="44676FD2" w14:textId="77777777" w:rsidR="004B2808" w:rsidRDefault="00000000">
      <w:pPr>
        <w:pStyle w:val="Author-eListParagraph"/>
        <w:numPr>
          <w:ilvl w:val="0"/>
          <w:numId w:val="552"/>
        </w:numPr>
        <w:jc w:val="both"/>
      </w:pPr>
      <w:r>
        <w:t>Le nettoyage et l’évacuation des déchets.</w:t>
      </w:r>
    </w:p>
    <w:p w14:paraId="4F399C5C" w14:textId="77777777" w:rsidR="004B2808" w:rsidRDefault="00000000">
      <w:pPr>
        <w:pStyle w:val="pheading"/>
      </w:pPr>
      <w:r>
        <w:t>MATÉRIAUX</w:t>
      </w:r>
    </w:p>
    <w:p w14:paraId="703063CA" w14:textId="77777777" w:rsidR="004B2808" w:rsidRDefault="00000000">
      <w:pPr>
        <w:jc w:val="both"/>
      </w:pPr>
      <w:r>
        <w:t>Les carreaux céramiques répondent aux spécifications de la [NBN EN 14411] et satisfont aux exigences de la [NIT 237]. </w:t>
      </w:r>
    </w:p>
    <w:p w14:paraId="0B712B94" w14:textId="77777777" w:rsidR="004B2808" w:rsidRDefault="00000000">
      <w:pPr>
        <w:jc w:val="both"/>
      </w:pPr>
      <w:r>
        <w:t>Les carreaux céramiques sont classifiés en fonction de leur absorption d’eau Eb déterminée selon la norme [NBN EN ISO 10545-3]. Des sous-groupes sont également définis dans la norme [NBN EN 14411].</w:t>
      </w:r>
    </w:p>
    <w:p w14:paraId="0FA19586" w14:textId="77777777" w:rsidR="004B2808" w:rsidRDefault="00000000">
      <w:pPr>
        <w:jc w:val="both"/>
      </w:pPr>
      <w:r>
        <w:t>Les performances de résistance aux rayures sont exprimées conformément à la [NIT 237].</w:t>
      </w:r>
    </w:p>
    <w:p w14:paraId="44F1F777" w14:textId="77777777" w:rsidR="004B2808" w:rsidRDefault="00000000">
      <w:pPr>
        <w:jc w:val="both"/>
      </w:pPr>
      <w:r>
        <w:t>Les performances de résistance à l’usure sont exprimées conformément [NBN EN ISO 10545-6] et [NBN EN ISO 10545-7].</w:t>
      </w:r>
    </w:p>
    <w:p w14:paraId="11AF7C81" w14:textId="77777777" w:rsidR="004B2808" w:rsidRDefault="00000000">
      <w:pPr>
        <w:jc w:val="both"/>
      </w:pPr>
      <w:r>
        <w:t>Les performances de résistance au gel/ dégel sont exprimées conformément [NBN EN 16165 ].</w:t>
      </w:r>
    </w:p>
    <w:p w14:paraId="14482666" w14:textId="77777777" w:rsidR="004B2808" w:rsidRDefault="00000000">
      <w:pPr>
        <w:jc w:val="both"/>
      </w:pPr>
      <w:r>
        <w:t>Les performances de tactilité sont exprimées conformément [CEN/TS 15209].</w:t>
      </w:r>
    </w:p>
    <w:p w14:paraId="2EF5E01C" w14:textId="77777777" w:rsidR="004B2808" w:rsidRDefault="00000000">
      <w:pPr>
        <w:jc w:val="both"/>
      </w:pPr>
      <w:r>
        <w:t>Les performances de résistance chimique sont exprimées conformément [NBN EN ISO 10545-13].</w:t>
      </w:r>
    </w:p>
    <w:p w14:paraId="29A36FD5" w14:textId="77777777" w:rsidR="004B2808" w:rsidRDefault="00000000">
      <w:pPr>
        <w:jc w:val="both"/>
      </w:pPr>
      <w:r>
        <w:t>Les performances de résistance aux taches sont exprimées conformément [NBN EN ISO 10545-14].</w:t>
      </w:r>
    </w:p>
    <w:p w14:paraId="7E061A2A" w14:textId="77777777" w:rsidR="004B2808" w:rsidRDefault="00000000">
      <w:pPr>
        <w:jc w:val="both"/>
      </w:pPr>
      <w:r>
        <w:t>Les portes et leurs composantes, c'est-à-dire les encadrements, les feuilles de porte, les moyens de fixation.</w:t>
      </w:r>
    </w:p>
    <w:p w14:paraId="4B26AAA7" w14:textId="77777777" w:rsidR="004B2808" w:rsidRDefault="00000000">
      <w:pPr>
        <w:jc w:val="both"/>
      </w:pPr>
      <w:r>
        <w:t>Les conditions de fourniture et de qualité des carreaux céramiques satisfont aux dispositions suivantes :</w:t>
      </w:r>
    </w:p>
    <w:p w14:paraId="256DAA00" w14:textId="77777777" w:rsidR="004B2808" w:rsidRDefault="00000000">
      <w:pPr>
        <w:pStyle w:val="Author-eListParagraph"/>
        <w:numPr>
          <w:ilvl w:val="0"/>
          <w:numId w:val="553"/>
        </w:numPr>
        <w:jc w:val="both"/>
      </w:pPr>
      <w:r>
        <w:t>Par type de carreaux choisi, un échantillon représentatif est soumis au maître d’œuvre ainsi qu'une fiche technique selon la [NIT 237] (§ 2.4.4.2 &amp; § 2.4.5)]. Cette dernière mentionne toutes les caractéristiques particulières des carreaux et contient toutes les informations qui permettent de déterminer le produit sans équivoque.</w:t>
      </w:r>
    </w:p>
    <w:p w14:paraId="7B1F99F6" w14:textId="77777777" w:rsidR="004B2808" w:rsidRDefault="004B2808">
      <w:pPr>
        <w:pStyle w:val="Author-eListParagraph"/>
        <w:numPr>
          <w:ilvl w:val="0"/>
          <w:numId w:val="553"/>
        </w:numPr>
        <w:jc w:val="both"/>
      </w:pPr>
    </w:p>
    <w:p w14:paraId="06627C04" w14:textId="77777777" w:rsidR="004B2808" w:rsidRDefault="00000000">
      <w:pPr>
        <w:pStyle w:val="Author-eListParagraph"/>
        <w:numPr>
          <w:ilvl w:val="0"/>
          <w:numId w:val="553"/>
        </w:numPr>
        <w:jc w:val="both"/>
      </w:pPr>
      <w:r>
        <w:t>Les spécifications physiques et mécaniques en fonction de la nature respective des carreaux sont reprises au § 2.4 de la [NIT 237] ainsi que les tolérances respectives et les méthodes de contrôle en ce qui concerne la longueur et la rectitude des bords, l'épaisseur, la rectitude des angles et la planéité. </w:t>
      </w:r>
    </w:p>
    <w:p w14:paraId="0B3C4C7F" w14:textId="77777777" w:rsidR="004B2808" w:rsidRDefault="00000000">
      <w:pPr>
        <w:jc w:val="both"/>
      </w:pPr>
      <w:r>
        <w:rPr>
          <w:b/>
          <w:u w:val="single"/>
        </w:rPr>
        <w:t>Spécifications des produits de pose :</w:t>
      </w:r>
    </w:p>
    <w:p w14:paraId="234F499A" w14:textId="77777777" w:rsidR="004B2808" w:rsidRDefault="00000000">
      <w:pPr>
        <w:jc w:val="both"/>
      </w:pPr>
      <w:r>
        <w:rPr>
          <w:u w:val="single"/>
        </w:rPr>
        <w:t>Colle à carrelage</w:t>
      </w:r>
    </w:p>
    <w:p w14:paraId="33C76BE4" w14:textId="77777777" w:rsidR="004B2808" w:rsidRDefault="00000000">
      <w:pPr>
        <w:jc w:val="both"/>
      </w:pPr>
      <w:r>
        <w:t>Les colles à carrelages répondent aux spécifications de la [NBN EN 12004-1]. Voir également au §3.1. de la [NIT 237].</w:t>
      </w:r>
    </w:p>
    <w:p w14:paraId="0482E698" w14:textId="77777777" w:rsidR="004B2808" w:rsidRDefault="00000000">
      <w:pPr>
        <w:jc w:val="both"/>
      </w:pPr>
      <w:r>
        <w:t>Les types, à savoir C (mortier-colle), D (colle en dispersion) ou R (colle réactive), les classes (colle normale ou améliorée) et les propriétés additionnelles éventuelles (temps ouvert allongé E, durcissement rapide F, glissement limité T, déformabilité S1 ou S2) sont compatibles avec le carreau, choisis en fonction de l’usage et de la nature du support.</w:t>
      </w:r>
    </w:p>
    <w:p w14:paraId="2CD503C0" w14:textId="77777777" w:rsidR="004B2808" w:rsidRDefault="00000000">
      <w:pPr>
        <w:jc w:val="both"/>
      </w:pPr>
      <w:r>
        <w:rPr>
          <w:u w:val="single"/>
        </w:rPr>
        <w:t>Barbotines</w:t>
      </w:r>
    </w:p>
    <w:p w14:paraId="02FDAEE0" w14:textId="77777777" w:rsidR="004B2808" w:rsidRDefault="00000000">
      <w:pPr>
        <w:jc w:val="both"/>
      </w:pPr>
      <w:r>
        <w:lastRenderedPageBreak/>
        <w:t>Les barbotines respectent les définitions et principes du §3.2 de la [NIT 237].</w:t>
      </w:r>
    </w:p>
    <w:p w14:paraId="592A7DD9" w14:textId="77777777" w:rsidR="004B2808" w:rsidRDefault="00000000">
      <w:pPr>
        <w:jc w:val="both"/>
      </w:pPr>
      <w:r>
        <w:rPr>
          <w:u w:val="single"/>
        </w:rPr>
        <w:t>Mortier traditionnel</w:t>
      </w:r>
    </w:p>
    <w:p w14:paraId="4E2AC9B2" w14:textId="77777777" w:rsidR="004B2808" w:rsidRDefault="00000000">
      <w:pPr>
        <w:jc w:val="both"/>
      </w:pPr>
      <w:r>
        <w:t>Les mortiers traditionnels respectent les définitions et principes du §3.3 de la [NIT 237]. Se réfèrer également aux recommandations formulées au §6.3 de la [NIT 237].</w:t>
      </w:r>
    </w:p>
    <w:p w14:paraId="5A8896AB" w14:textId="77777777" w:rsidR="004B2808" w:rsidRDefault="00000000">
      <w:pPr>
        <w:jc w:val="both"/>
      </w:pPr>
      <w:r>
        <w:rPr>
          <w:u w:val="single"/>
        </w:rPr>
        <w:t>Produits bitumineux</w:t>
      </w:r>
    </w:p>
    <w:p w14:paraId="4508F244" w14:textId="77777777" w:rsidR="004B2808" w:rsidRDefault="00000000">
      <w:pPr>
        <w:jc w:val="both"/>
      </w:pPr>
      <w:r>
        <w:t>Les liants bitumineux respectent les définitions et principes du §3.4 de la [NIT 237].</w:t>
      </w:r>
    </w:p>
    <w:p w14:paraId="0342F3DF" w14:textId="77777777" w:rsidR="004B2808" w:rsidRDefault="00000000">
      <w:pPr>
        <w:jc w:val="both"/>
      </w:pPr>
      <w:r>
        <w:rPr>
          <w:u w:val="single"/>
        </w:rPr>
        <w:t>Produit de jointoiement prédosé</w:t>
      </w:r>
    </w:p>
    <w:p w14:paraId="3A926B55" w14:textId="77777777" w:rsidR="004B2808" w:rsidRDefault="00000000">
      <w:pPr>
        <w:jc w:val="both"/>
      </w:pPr>
      <w:r>
        <w:t>Les produits de jointoiement prédosés répondent aux spécifications de la [NBN EN 13888]. Voir également au §3.5. et 3.5.1 de la [NIT 237].</w:t>
      </w:r>
    </w:p>
    <w:p w14:paraId="1E2C7400" w14:textId="77777777" w:rsidR="004B2808" w:rsidRDefault="00000000">
      <w:pPr>
        <w:jc w:val="both"/>
      </w:pPr>
      <w:r>
        <w:t>Les types, à savoir CG (à base de ciment), RG (à base de résine), et autres propriétés sont compatibles avec le carreau et choisis en fonction de l’usage.</w:t>
      </w:r>
    </w:p>
    <w:p w14:paraId="2A6ADF7F" w14:textId="77777777" w:rsidR="004B2808" w:rsidRDefault="00000000">
      <w:pPr>
        <w:jc w:val="both"/>
      </w:pPr>
      <w:r>
        <w:rPr>
          <w:u w:val="single"/>
        </w:rPr>
        <w:t>Produit de jointoiement traditionnel</w:t>
      </w:r>
    </w:p>
    <w:p w14:paraId="610CC727" w14:textId="77777777" w:rsidR="004B2808" w:rsidRDefault="00000000">
      <w:pPr>
        <w:jc w:val="both"/>
      </w:pPr>
      <w:r>
        <w:t>Les produits de jointoiement traditionnels respectent les définitions et principes du §3.5.2 de la [NIT 237].</w:t>
      </w:r>
    </w:p>
    <w:p w14:paraId="42410FF7" w14:textId="77777777" w:rsidR="004B2808" w:rsidRDefault="00000000">
      <w:pPr>
        <w:jc w:val="both"/>
      </w:pPr>
      <w:r>
        <w:rPr>
          <w:u w:val="single"/>
        </w:rPr>
        <w:t>Produit pour joints de mouvement</w:t>
      </w:r>
    </w:p>
    <w:p w14:paraId="550E46AE" w14:textId="77777777" w:rsidR="004B2808" w:rsidRDefault="00000000">
      <w:pPr>
        <w:jc w:val="both"/>
      </w:pPr>
      <w:r>
        <w:t>Les produits pour joints de mouvement répondent aux spécifications de la [NBN EN ISO 11600] et des [STS 56.1]. Renvoyer également au §3.6. de la [NIT 237].</w:t>
      </w:r>
    </w:p>
    <w:p w14:paraId="1FBA53C9" w14:textId="77777777" w:rsidR="004B2808" w:rsidRDefault="00000000">
      <w:pPr>
        <w:pStyle w:val="pheading"/>
      </w:pPr>
      <w:r>
        <w:t>EXÉCUTION / MISE EN ŒUVRE</w:t>
      </w:r>
    </w:p>
    <w:p w14:paraId="4A2CFFF0" w14:textId="77777777" w:rsidR="004B2808" w:rsidRDefault="00000000">
      <w:pPr>
        <w:jc w:val="both"/>
      </w:pPr>
      <w:r>
        <w:t>Les revêtements ne peuvent être mis en œuvre que dans un bâtiment à l'abri du vent, c'est-à-dire après la finition des travaux de plafonnage, de la menuiserie extérieure, des chapes et/ou des couches d'égalisation.</w:t>
      </w:r>
    </w:p>
    <w:p w14:paraId="3B6383B0" w14:textId="77777777" w:rsidR="004B2808" w:rsidRDefault="00000000">
      <w:pPr>
        <w:jc w:val="both"/>
      </w:pPr>
      <w:r>
        <w:t>Pendant les travaux, les locaux sont protégés de tout foulement indésirable et maintenus (système de climatisation lorsque requis) aux conditions climatologiques requises en fonction du type de revêtement qui y est prévu soit généralement entre 5-10 et 25°C et entre 30 et 85%HR (voir fiches techniques des produits utilisés).</w:t>
      </w:r>
    </w:p>
    <w:p w14:paraId="73BFC72F" w14:textId="77777777" w:rsidR="004B2808" w:rsidRDefault="00000000">
      <w:pPr>
        <w:jc w:val="both"/>
      </w:pPr>
      <w:r>
        <w:t>Le commencement des travaux signifie la réception de l'aire de pose. A cet effet, l'entrepreneur est tenu, avant de commencer ses travaux et en fonction de la nature du revêtement de sol, d'inspecter l'état de l'aire de pose (caractéristiques générales telles que la résistance aux perforations, le taux d'humidité, la planéité, l'horizontalité et l'épaisseur de la couche) et de faire part de ces constatations à l'auteur de projet.</w:t>
      </w:r>
    </w:p>
    <w:p w14:paraId="1F494485" w14:textId="77777777" w:rsidR="004B2808" w:rsidRDefault="00000000">
      <w:pPr>
        <w:jc w:val="both"/>
      </w:pPr>
      <w:r>
        <w:t>Le choix du carrelage dépend du degré de sollicitation du local.</w:t>
      </w:r>
    </w:p>
    <w:p w14:paraId="58D67244" w14:textId="77777777" w:rsidR="004B2808" w:rsidRDefault="004B2808">
      <w:pPr>
        <w:jc w:val="both"/>
      </w:pPr>
    </w:p>
    <w:p w14:paraId="35EA6D46" w14:textId="77777777" w:rsidR="004B2808" w:rsidRDefault="00000000">
      <w:pPr>
        <w:jc w:val="both"/>
      </w:pPr>
      <w:r>
        <w:t>Le choix de la technique de pose est déterminé notamment par les caractéristiques du support.</w:t>
      </w:r>
    </w:p>
    <w:p w14:paraId="7D6EF6B6" w14:textId="77777777" w:rsidR="004B2808" w:rsidRDefault="00000000">
      <w:pPr>
        <w:jc w:val="both"/>
      </w:pPr>
      <w:r>
        <w:t>Le carreleur contrôle dans quelle mesure le support répond aux exigences spécifiées (voir §4.2 de la [NIT 237]) en termes de stabilité et déformabilité, sensibilité à l’humidité, cohésion de surface et rugosité, niveau, planéité et horizontalité du support. Si le support ne présente pas l’exigence requise décrite, il en avertit le donneur d’ordre. L’exécution des travaux de mise en conformité des supports, la mise en œuvre d’un ouvrage intermédiaire préparatoire est alors nécessaire, ces travaux ne faisant pas partie du marché.</w:t>
      </w:r>
    </w:p>
    <w:p w14:paraId="24FB8D9E" w14:textId="77777777" w:rsidR="004B2808" w:rsidRDefault="00000000">
      <w:pPr>
        <w:jc w:val="both"/>
      </w:pPr>
      <w:r>
        <w:t>La technique de pose est consignée au cahier spécial des charges. On se réfère au tableau 39 de la [NIT 237] en ce qui concerne les paramètres à prendre en compte lors du choix de la technique de pose des carreaux sur un support courant.</w:t>
      </w:r>
    </w:p>
    <w:p w14:paraId="6174B6A5" w14:textId="77777777" w:rsidR="004B2808" w:rsidRDefault="00000000">
      <w:pPr>
        <w:jc w:val="both"/>
      </w:pPr>
      <w:r>
        <w:t>Quelle que soit la technique de pose, les joints de structure ou de gros œuvre sont obligatoirement répercutés, sans décalage, dans l’ouvrage de parachèvement. Des joints de fractionnement sont projetés et réalisés. En cas de revêtement fortement sollicités (classe de sollicitation &gt; 3), ces joints sont renforcés (poste séparé).</w:t>
      </w:r>
    </w:p>
    <w:p w14:paraId="558FC662" w14:textId="77777777" w:rsidR="004B2808" w:rsidRDefault="00000000">
      <w:pPr>
        <w:jc w:val="both"/>
      </w:pPr>
      <w:r>
        <w:lastRenderedPageBreak/>
        <w:t>Concernant les joints de finition, si des exigences particulières concernant leur largeur est souhaitée, elles sont définies entre les parties avant la pose des carreaux. La largeur des joints est déterminée en fonction du domaine d'application, de la nature des carreaux, des dimensions modulaires et réelles des carreaux. La largeur d’un joint ne peut jamais être inférieure au double de la tolérance sur les dimensions du carrelage.</w:t>
      </w:r>
    </w:p>
    <w:p w14:paraId="07BA93C4" w14:textId="77777777" w:rsidR="004B2808" w:rsidRDefault="00000000">
      <w:pPr>
        <w:jc w:val="both"/>
      </w:pPr>
      <w:r>
        <w:t>Le carreleur remplit les joints par coulage (voir §6.5.3 de la [NIT 237]).</w:t>
      </w:r>
    </w:p>
    <w:p w14:paraId="1BC38AD7" w14:textId="77777777" w:rsidR="004B2808" w:rsidRDefault="00000000">
      <w:pPr>
        <w:jc w:val="both"/>
      </w:pPr>
      <w:r>
        <w:t>La pose des plinthes est réalisée conformément au §6.6 de la [NIT 237] et est comptée dans un poste séparé.</w:t>
      </w:r>
    </w:p>
    <w:p w14:paraId="37B21C45" w14:textId="77777777" w:rsidR="004B2808" w:rsidRDefault="00000000">
      <w:pPr>
        <w:jc w:val="both"/>
      </w:pPr>
      <w:r>
        <w:t>Les documents contractuels indiquent la présence de portes résistants au feu nécessitant une exécution spéciale du revêtement de sol.</w:t>
      </w:r>
    </w:p>
    <w:p w14:paraId="46F34574" w14:textId="77777777" w:rsidR="004B2808" w:rsidRDefault="00000000">
      <w:pPr>
        <w:jc w:val="both"/>
      </w:pPr>
      <w:r>
        <w:t>Pendant la période de séchage, les ouvrages sont protégés contre le rayonnement direct, l'humidité, les températures élevées et le gel. L'entrepreneur veille à ce que les carrelages ne soient pas foulés trop rapidement après leur mise en œuvre. </w:t>
      </w:r>
    </w:p>
    <w:p w14:paraId="7DBC4A6E" w14:textId="77777777" w:rsidR="004B2808" w:rsidRDefault="00000000">
      <w:pPr>
        <w:jc w:val="both"/>
      </w:pPr>
      <w:r>
        <w:t>La prestation s’arrête au balayage et nettoyage du revêtement après exécution des joints et ne comprend aucune protection particulière ultérieure. Le nettoyage et la protection de fin de chantier ne sont pas à la charge du titulaire du lot de pose carrelage. Les éventuelles dégradations sont réparées aux frais du donneur d’ordre.</w:t>
      </w:r>
    </w:p>
    <w:p w14:paraId="3B804F41" w14:textId="77777777" w:rsidR="004B2808" w:rsidRDefault="00000000">
      <w:pPr>
        <w:pStyle w:val="pheading"/>
      </w:pPr>
      <w:r>
        <w:t>CONTRÔLES</w:t>
      </w:r>
    </w:p>
    <w:p w14:paraId="446D3CAA" w14:textId="77777777" w:rsidR="004B2808" w:rsidRDefault="00000000">
      <w:pPr>
        <w:jc w:val="both"/>
      </w:pPr>
      <w:r>
        <w:t>On se réfère au §7 de la [NIT 237] en ce qui concerne les exigences lors de la réception du carrelage posé.</w:t>
      </w:r>
    </w:p>
    <w:p w14:paraId="2DBD2D9C" w14:textId="77777777" w:rsidR="004B2808" w:rsidRDefault="00000000">
      <w:pPr>
        <w:pStyle w:val="pheading"/>
      </w:pPr>
      <w:r>
        <w:t>DOCUMENTS DE RÉFÉRENCE</w:t>
      </w:r>
    </w:p>
    <w:p w14:paraId="4D8B8A12" w14:textId="77777777" w:rsidR="004B2808" w:rsidRDefault="00000000">
      <w:pPr>
        <w:pStyle w:val="pheading"/>
      </w:pPr>
      <w:r>
        <w:t>- Matériau</w:t>
      </w:r>
    </w:p>
    <w:p w14:paraId="7D3CAA8E" w14:textId="77777777" w:rsidR="004B2808" w:rsidRDefault="00000000">
      <w:r>
        <w:t>[NBN EN 14411, Carreaux céramiques - Définitions, classification, caractéristiques, évaluation et vérification de la constance de performance et marquage]</w:t>
      </w:r>
    </w:p>
    <w:p w14:paraId="1B67F782" w14:textId="77777777" w:rsidR="004B2808" w:rsidRDefault="00000000">
      <w:r>
        <w:t>[NBN EN ISO 10545-6, Carreaux et dalles céramiques - Partie 6: Détermination de la résistance à l'abrasion profonde pour les carreaux non émaillés (ISO 10545-6:2010)]</w:t>
      </w:r>
    </w:p>
    <w:p w14:paraId="7E8EFBAE" w14:textId="77777777" w:rsidR="004B2808" w:rsidRDefault="00000000">
      <w:r>
        <w:t>[NBN EN ISO 10545-7, Carreaux et dalles céramiques - Partie 7: Détermination de la résistance à l'abrasion de surface pour les carreaux et dalles émaillés (ISO 10545-7:1996) (+AC:1999)]</w:t>
      </w:r>
    </w:p>
    <w:p w14:paraId="4E5A5106" w14:textId="77777777" w:rsidR="004B2808" w:rsidRDefault="00000000">
      <w:r>
        <w:t>[NBN EN ISO 10545-13, Carreaux et dalles céramiques - Partie 13: Détermination de la résistance chimique (ISO 10545-13:2016)]</w:t>
      </w:r>
    </w:p>
    <w:p w14:paraId="79E3351C" w14:textId="77777777" w:rsidR="004B2808" w:rsidRDefault="00000000">
      <w:r>
        <w:t>[NBN EN ISO 10545-14, Carreaux et dalles céramiques - Partie 14 : Détermination de la résistance aux taches (ISO 10545-14:2015)]</w:t>
      </w:r>
    </w:p>
    <w:p w14:paraId="1C795C86" w14:textId="77777777" w:rsidR="004B2808" w:rsidRDefault="00000000">
      <w:r>
        <w:t>[NBN EN 12004-1, Colles à carrelage - Partie 1: Exigences, évaluation et vérification de la constance de performance, classification et marquage]</w:t>
      </w:r>
    </w:p>
    <w:p w14:paraId="76DF4323" w14:textId="77777777" w:rsidR="004B2808" w:rsidRDefault="00000000">
      <w:r>
        <w:t>[NBN EN 13888, Mortiers de jointoiement pour carreaux et dalles céramiques - Exigences, évaluation de conformité, classification et désignation]</w:t>
      </w:r>
    </w:p>
    <w:p w14:paraId="6E1F9A56" w14:textId="77777777" w:rsidR="004B2808" w:rsidRDefault="00000000">
      <w:r>
        <w:t>[NBN EN ISO 11600, Construction immobilière - Produits pour joints - Classification et exigences pour les mastics (ISO 11600:2002)]</w:t>
      </w:r>
    </w:p>
    <w:p w14:paraId="4D70C290" w14:textId="77777777" w:rsidR="004B2808" w:rsidRDefault="00000000">
      <w:r>
        <w:t>[NIT 237, Revêtements de sol intérieurs en carreaux céramiques (remplace la NIT 137 pour les travaux de carrelage en céramique).]</w:t>
      </w:r>
    </w:p>
    <w:p w14:paraId="79E4E8BF" w14:textId="77777777" w:rsidR="004B2808" w:rsidRDefault="00000000">
      <w:pPr>
        <w:pStyle w:val="pheading"/>
      </w:pPr>
      <w:r>
        <w:t>- Exécution</w:t>
      </w:r>
    </w:p>
    <w:p w14:paraId="5DC1F0CE" w14:textId="77777777" w:rsidR="004B2808" w:rsidRDefault="00000000">
      <w:r>
        <w:t>[NIT 237, Revêtements de sol intérieurs en carreaux céramiques (remplace la NIT 137 pour les travaux de carrelage en céramique).]</w:t>
      </w:r>
    </w:p>
    <w:p w14:paraId="743FEDC4" w14:textId="77777777" w:rsidR="004B2808" w:rsidRDefault="00000000">
      <w:pPr>
        <w:pStyle w:val="pheading"/>
      </w:pPr>
      <w:r>
        <w:t>AIDE</w:t>
      </w:r>
    </w:p>
    <w:p w14:paraId="53917DB9" w14:textId="77777777" w:rsidR="004B2808" w:rsidRDefault="00000000">
      <w:r>
        <w:t>Tableau 1. Classification des carreaux céramiques émaillés ou non</w:t>
      </w:r>
    </w:p>
    <w:tbl>
      <w:tblPr>
        <w:tblStyle w:val="Author-eTableGrid"/>
        <w:tblW w:w="9060" w:type="dxa"/>
        <w:tblLayout w:type="fixed"/>
        <w:tblLook w:val="04A0" w:firstRow="1" w:lastRow="0" w:firstColumn="1" w:lastColumn="0" w:noHBand="0" w:noVBand="1"/>
      </w:tblPr>
      <w:tblGrid>
        <w:gridCol w:w="1812"/>
        <w:gridCol w:w="1812"/>
        <w:gridCol w:w="1812"/>
        <w:gridCol w:w="1812"/>
        <w:gridCol w:w="1812"/>
      </w:tblGrid>
      <w:tr w:rsidR="004B2808" w14:paraId="3FBDCF35" w14:textId="77777777">
        <w:tc>
          <w:tcPr>
            <w:tcW w:w="1800" w:type="dxa"/>
            <w:vMerge w:val="restart"/>
            <w:noWrap/>
          </w:tcPr>
          <w:p w14:paraId="0F91166D" w14:textId="77777777" w:rsidR="004B2808" w:rsidRDefault="004B2808"/>
          <w:p w14:paraId="4C15FC82" w14:textId="77777777" w:rsidR="004B2808" w:rsidRDefault="00000000">
            <w:pPr>
              <w:jc w:val="center"/>
            </w:pPr>
            <w:r>
              <w:t>Type de carreau</w:t>
            </w:r>
          </w:p>
        </w:tc>
        <w:tc>
          <w:tcPr>
            <w:tcW w:w="7200" w:type="dxa"/>
            <w:gridSpan w:val="4"/>
            <w:noWrap/>
          </w:tcPr>
          <w:p w14:paraId="0284E7D0" w14:textId="77777777" w:rsidR="004B2808" w:rsidRDefault="00000000">
            <w:pPr>
              <w:jc w:val="center"/>
            </w:pPr>
            <w:r>
              <w:t>Absorption d’eau E par ébullition (% de la masse)</w:t>
            </w:r>
          </w:p>
        </w:tc>
      </w:tr>
      <w:tr w:rsidR="004B2808" w14:paraId="5780E538" w14:textId="77777777">
        <w:tc>
          <w:tcPr>
            <w:tcW w:w="1800" w:type="dxa"/>
            <w:vMerge/>
            <w:noWrap/>
          </w:tcPr>
          <w:p w14:paraId="6FC30A62" w14:textId="77777777" w:rsidR="004B2808" w:rsidRDefault="004B2808"/>
        </w:tc>
        <w:tc>
          <w:tcPr>
            <w:tcW w:w="1800" w:type="dxa"/>
            <w:noWrap/>
          </w:tcPr>
          <w:p w14:paraId="28723230" w14:textId="77777777" w:rsidR="004B2808" w:rsidRDefault="00000000">
            <w:pPr>
              <w:jc w:val="center"/>
            </w:pPr>
            <w:r>
              <w:t>Groupe I</w:t>
            </w:r>
          </w:p>
          <w:p w14:paraId="3FFC1429" w14:textId="77777777" w:rsidR="004B2808" w:rsidRDefault="00000000">
            <w:pPr>
              <w:jc w:val="center"/>
            </w:pPr>
            <w:r>
              <w:t>E ≤ 3 %</w:t>
            </w:r>
          </w:p>
        </w:tc>
        <w:tc>
          <w:tcPr>
            <w:tcW w:w="1800" w:type="dxa"/>
            <w:noWrap/>
          </w:tcPr>
          <w:p w14:paraId="449E2FA0" w14:textId="77777777" w:rsidR="004B2808" w:rsidRDefault="00000000">
            <w:pPr>
              <w:jc w:val="center"/>
            </w:pPr>
            <w:r>
              <w:t>Groupe IIa</w:t>
            </w:r>
          </w:p>
          <w:p w14:paraId="0395F8F3" w14:textId="77777777" w:rsidR="004B2808" w:rsidRDefault="00000000">
            <w:pPr>
              <w:jc w:val="center"/>
            </w:pPr>
            <w:r>
              <w:t>3 % &lt; E ≤ 6 %</w:t>
            </w:r>
          </w:p>
        </w:tc>
        <w:tc>
          <w:tcPr>
            <w:tcW w:w="1800" w:type="dxa"/>
            <w:noWrap/>
          </w:tcPr>
          <w:p w14:paraId="2B7C445E" w14:textId="77777777" w:rsidR="004B2808" w:rsidRDefault="00000000">
            <w:pPr>
              <w:jc w:val="center"/>
            </w:pPr>
            <w:r>
              <w:t>Groupe IIb</w:t>
            </w:r>
          </w:p>
          <w:p w14:paraId="59578591" w14:textId="77777777" w:rsidR="004B2808" w:rsidRDefault="00000000">
            <w:pPr>
              <w:jc w:val="center"/>
            </w:pPr>
            <w:r>
              <w:t>§ % &lt; E ≤ 10 %</w:t>
            </w:r>
          </w:p>
        </w:tc>
        <w:tc>
          <w:tcPr>
            <w:tcW w:w="1800" w:type="dxa"/>
            <w:noWrap/>
          </w:tcPr>
          <w:p w14:paraId="0DABE717" w14:textId="77777777" w:rsidR="004B2808" w:rsidRDefault="00000000">
            <w:pPr>
              <w:jc w:val="center"/>
            </w:pPr>
            <w:r>
              <w:t>Groupe III</w:t>
            </w:r>
          </w:p>
          <w:p w14:paraId="16CD27E9" w14:textId="77777777" w:rsidR="004B2808" w:rsidRDefault="00000000">
            <w:pPr>
              <w:jc w:val="center"/>
            </w:pPr>
            <w:r>
              <w:t>E &gt; 10 %</w:t>
            </w:r>
          </w:p>
        </w:tc>
      </w:tr>
      <w:tr w:rsidR="004B2808" w14:paraId="48F87717" w14:textId="77777777">
        <w:tc>
          <w:tcPr>
            <w:tcW w:w="1800" w:type="dxa"/>
            <w:vMerge w:val="restart"/>
            <w:noWrap/>
          </w:tcPr>
          <w:p w14:paraId="06E66B71" w14:textId="77777777" w:rsidR="004B2808" w:rsidRDefault="004B2808"/>
          <w:p w14:paraId="50B47636" w14:textId="77777777" w:rsidR="004B2808" w:rsidRDefault="00000000">
            <w:pPr>
              <w:jc w:val="center"/>
            </w:pPr>
            <w:r>
              <w:t>A</w:t>
            </w:r>
          </w:p>
          <w:p w14:paraId="3627DD3E" w14:textId="77777777" w:rsidR="004B2808" w:rsidRDefault="00000000">
            <w:pPr>
              <w:jc w:val="center"/>
            </w:pPr>
            <w:r>
              <w:t>Etiré</w:t>
            </w:r>
          </w:p>
        </w:tc>
        <w:tc>
          <w:tcPr>
            <w:tcW w:w="1800" w:type="dxa"/>
            <w:noWrap/>
          </w:tcPr>
          <w:p w14:paraId="325F7562" w14:textId="77777777" w:rsidR="004B2808" w:rsidRDefault="00000000">
            <w:pPr>
              <w:jc w:val="center"/>
            </w:pPr>
            <w:r>
              <w:t>Groupe AI</w:t>
            </w:r>
            <w:r>
              <w:rPr>
                <w:vertAlign w:val="subscript"/>
              </w:rPr>
              <w:t>a</w:t>
            </w:r>
          </w:p>
          <w:p w14:paraId="1326EC9F" w14:textId="77777777" w:rsidR="004B2808" w:rsidRDefault="00000000">
            <w:pPr>
              <w:jc w:val="center"/>
            </w:pPr>
            <w:r>
              <w:t>E ≤ 0.5 %</w:t>
            </w:r>
          </w:p>
        </w:tc>
        <w:tc>
          <w:tcPr>
            <w:tcW w:w="1800" w:type="dxa"/>
            <w:noWrap/>
          </w:tcPr>
          <w:p w14:paraId="57505631" w14:textId="77777777" w:rsidR="004B2808" w:rsidRDefault="00000000">
            <w:pPr>
              <w:jc w:val="center"/>
            </w:pPr>
            <w:r>
              <w:t>AII</w:t>
            </w:r>
            <w:r>
              <w:rPr>
                <w:vertAlign w:val="subscript"/>
              </w:rPr>
              <w:t>a-1</w:t>
            </w:r>
            <w:r>
              <w:t> (*)</w:t>
            </w:r>
          </w:p>
        </w:tc>
        <w:tc>
          <w:tcPr>
            <w:tcW w:w="1800" w:type="dxa"/>
            <w:noWrap/>
          </w:tcPr>
          <w:p w14:paraId="40078C1D" w14:textId="77777777" w:rsidR="004B2808" w:rsidRDefault="00000000">
            <w:pPr>
              <w:jc w:val="center"/>
            </w:pPr>
            <w:r>
              <w:t>AII</w:t>
            </w:r>
            <w:r>
              <w:rPr>
                <w:vertAlign w:val="subscript"/>
              </w:rPr>
              <w:t>b-1</w:t>
            </w:r>
            <w:r>
              <w:t> (*)</w:t>
            </w:r>
          </w:p>
        </w:tc>
        <w:tc>
          <w:tcPr>
            <w:tcW w:w="1800" w:type="dxa"/>
            <w:vMerge w:val="restart"/>
            <w:noWrap/>
          </w:tcPr>
          <w:p w14:paraId="7C97071A" w14:textId="77777777" w:rsidR="004B2808" w:rsidRDefault="00000000">
            <w:pPr>
              <w:jc w:val="center"/>
            </w:pPr>
            <w:r>
              <w:t>AIII</w:t>
            </w:r>
          </w:p>
        </w:tc>
      </w:tr>
      <w:tr w:rsidR="004B2808" w14:paraId="1C6D7C91" w14:textId="77777777">
        <w:tc>
          <w:tcPr>
            <w:tcW w:w="1800" w:type="dxa"/>
            <w:vMerge/>
            <w:noWrap/>
          </w:tcPr>
          <w:p w14:paraId="7EFD96ED" w14:textId="77777777" w:rsidR="004B2808" w:rsidRDefault="004B2808"/>
        </w:tc>
        <w:tc>
          <w:tcPr>
            <w:tcW w:w="1800" w:type="dxa"/>
            <w:noWrap/>
          </w:tcPr>
          <w:p w14:paraId="6193FFAD" w14:textId="77777777" w:rsidR="004B2808" w:rsidRDefault="00000000">
            <w:r>
              <w:t>Groupe AI</w:t>
            </w:r>
            <w:r>
              <w:rPr>
                <w:vertAlign w:val="subscript"/>
              </w:rPr>
              <w:t>b</w:t>
            </w:r>
          </w:p>
          <w:p w14:paraId="05C47A2D" w14:textId="77777777" w:rsidR="004B2808" w:rsidRDefault="00000000">
            <w:r>
              <w:t>0.5 % &lt; E ≤ 3 %</w:t>
            </w:r>
          </w:p>
        </w:tc>
        <w:tc>
          <w:tcPr>
            <w:tcW w:w="1800" w:type="dxa"/>
            <w:noWrap/>
          </w:tcPr>
          <w:p w14:paraId="5D8FBA28" w14:textId="77777777" w:rsidR="004B2808" w:rsidRDefault="00000000">
            <w:r>
              <w:t>AII</w:t>
            </w:r>
            <w:r>
              <w:rPr>
                <w:vertAlign w:val="subscript"/>
              </w:rPr>
              <w:t>a-2</w:t>
            </w:r>
            <w:r>
              <w:t> (*)</w:t>
            </w:r>
          </w:p>
        </w:tc>
        <w:tc>
          <w:tcPr>
            <w:tcW w:w="1800" w:type="dxa"/>
            <w:noWrap/>
          </w:tcPr>
          <w:p w14:paraId="6DE57801" w14:textId="77777777" w:rsidR="004B2808" w:rsidRDefault="00000000">
            <w:r>
              <w:t>AII</w:t>
            </w:r>
            <w:r>
              <w:rPr>
                <w:vertAlign w:val="subscript"/>
              </w:rPr>
              <w:t>b-2</w:t>
            </w:r>
            <w:r>
              <w:t> (*)</w:t>
            </w:r>
          </w:p>
        </w:tc>
        <w:tc>
          <w:tcPr>
            <w:tcW w:w="1800" w:type="dxa"/>
            <w:vMerge/>
            <w:noWrap/>
          </w:tcPr>
          <w:p w14:paraId="1739B8A6" w14:textId="77777777" w:rsidR="004B2808" w:rsidRDefault="004B2808"/>
        </w:tc>
      </w:tr>
      <w:tr w:rsidR="004B2808" w14:paraId="4AA62AEB" w14:textId="77777777">
        <w:tc>
          <w:tcPr>
            <w:tcW w:w="1800" w:type="dxa"/>
            <w:vMerge w:val="restart"/>
            <w:noWrap/>
          </w:tcPr>
          <w:p w14:paraId="2F508C5C" w14:textId="77777777" w:rsidR="004B2808" w:rsidRDefault="004B2808"/>
          <w:p w14:paraId="40257C6A" w14:textId="77777777" w:rsidR="004B2808" w:rsidRDefault="00000000">
            <w:r>
              <w:t>B</w:t>
            </w:r>
          </w:p>
          <w:p w14:paraId="7922C3EC" w14:textId="77777777" w:rsidR="004B2808" w:rsidRDefault="00000000">
            <w:r>
              <w:t>Pressé à sec</w:t>
            </w:r>
          </w:p>
        </w:tc>
        <w:tc>
          <w:tcPr>
            <w:tcW w:w="1800" w:type="dxa"/>
            <w:noWrap/>
          </w:tcPr>
          <w:p w14:paraId="45C337A2" w14:textId="77777777" w:rsidR="004B2808" w:rsidRDefault="00000000">
            <w:r>
              <w:t>Groupe BI</w:t>
            </w:r>
            <w:r>
              <w:rPr>
                <w:vertAlign w:val="subscript"/>
              </w:rPr>
              <w:t>a</w:t>
            </w:r>
          </w:p>
          <w:p w14:paraId="6D3A2847" w14:textId="77777777" w:rsidR="004B2808" w:rsidRDefault="00000000">
            <w:r>
              <w:t>E ≤ 0.5 %</w:t>
            </w:r>
          </w:p>
        </w:tc>
        <w:tc>
          <w:tcPr>
            <w:tcW w:w="1800" w:type="dxa"/>
            <w:vMerge w:val="restart"/>
            <w:noWrap/>
          </w:tcPr>
          <w:p w14:paraId="6B28113E" w14:textId="77777777" w:rsidR="004B2808" w:rsidRDefault="00000000">
            <w:r>
              <w:t>BIIa</w:t>
            </w:r>
          </w:p>
        </w:tc>
        <w:tc>
          <w:tcPr>
            <w:tcW w:w="1800" w:type="dxa"/>
            <w:vMerge w:val="restart"/>
            <w:noWrap/>
          </w:tcPr>
          <w:p w14:paraId="7B2A75A0" w14:textId="77777777" w:rsidR="004B2808" w:rsidRDefault="00000000">
            <w:r>
              <w:t>BII</w:t>
            </w:r>
            <w:r>
              <w:rPr>
                <w:vertAlign w:val="subscript"/>
              </w:rPr>
              <w:t>b</w:t>
            </w:r>
          </w:p>
        </w:tc>
        <w:tc>
          <w:tcPr>
            <w:tcW w:w="1800" w:type="dxa"/>
            <w:vMerge w:val="restart"/>
            <w:noWrap/>
          </w:tcPr>
          <w:p w14:paraId="26EF6FF1" w14:textId="77777777" w:rsidR="004B2808" w:rsidRDefault="00000000">
            <w:r>
              <w:t>BIII (**)</w:t>
            </w:r>
          </w:p>
        </w:tc>
      </w:tr>
      <w:tr w:rsidR="004B2808" w14:paraId="5AD72FA5" w14:textId="77777777">
        <w:tc>
          <w:tcPr>
            <w:tcW w:w="1800" w:type="dxa"/>
            <w:vMerge/>
            <w:noWrap/>
          </w:tcPr>
          <w:p w14:paraId="63C96651" w14:textId="77777777" w:rsidR="004B2808" w:rsidRDefault="004B2808"/>
        </w:tc>
        <w:tc>
          <w:tcPr>
            <w:tcW w:w="1800" w:type="dxa"/>
            <w:noWrap/>
          </w:tcPr>
          <w:p w14:paraId="40670F50" w14:textId="77777777" w:rsidR="004B2808" w:rsidRDefault="00000000">
            <w:pPr>
              <w:jc w:val="center"/>
            </w:pPr>
            <w:r>
              <w:t>Groupe BI</w:t>
            </w:r>
            <w:r>
              <w:rPr>
                <w:vertAlign w:val="subscript"/>
              </w:rPr>
              <w:t>b</w:t>
            </w:r>
          </w:p>
          <w:p w14:paraId="4CC33A64" w14:textId="77777777" w:rsidR="004B2808" w:rsidRDefault="00000000">
            <w:pPr>
              <w:jc w:val="center"/>
            </w:pPr>
            <w:r>
              <w:t>0.5 % &lt; E ≤ 3 %</w:t>
            </w:r>
          </w:p>
        </w:tc>
        <w:tc>
          <w:tcPr>
            <w:tcW w:w="1800" w:type="dxa"/>
            <w:vMerge/>
            <w:noWrap/>
          </w:tcPr>
          <w:p w14:paraId="78A3EF5B" w14:textId="77777777" w:rsidR="004B2808" w:rsidRDefault="004B2808"/>
        </w:tc>
        <w:tc>
          <w:tcPr>
            <w:tcW w:w="1800" w:type="dxa"/>
            <w:vMerge/>
            <w:noWrap/>
          </w:tcPr>
          <w:p w14:paraId="44227EE1" w14:textId="77777777" w:rsidR="004B2808" w:rsidRDefault="004B2808"/>
        </w:tc>
        <w:tc>
          <w:tcPr>
            <w:tcW w:w="1800" w:type="dxa"/>
            <w:vMerge/>
            <w:noWrap/>
          </w:tcPr>
          <w:p w14:paraId="7A6A4B49" w14:textId="77777777" w:rsidR="004B2808" w:rsidRDefault="004B2808"/>
        </w:tc>
      </w:tr>
      <w:tr w:rsidR="004B2808" w14:paraId="146535CC" w14:textId="77777777">
        <w:tc>
          <w:tcPr>
            <w:tcW w:w="9000" w:type="dxa"/>
            <w:gridSpan w:val="5"/>
            <w:noWrap/>
          </w:tcPr>
          <w:p w14:paraId="0C4BBE29" w14:textId="77777777" w:rsidR="004B2808" w:rsidRDefault="00000000">
            <w:pPr>
              <w:jc w:val="both"/>
            </w:pPr>
            <w:r>
              <w:t>(*) Les groupes AII</w:t>
            </w:r>
            <w:r>
              <w:rPr>
                <w:vertAlign w:val="subscript"/>
              </w:rPr>
              <w:t>a</w:t>
            </w:r>
            <w:r>
              <w:t> et AII</w:t>
            </w:r>
            <w:r>
              <w:rPr>
                <w:vertAlign w:val="subscript"/>
              </w:rPr>
              <w:t>b</w:t>
            </w:r>
            <w:r>
              <w:t> sont subdivisés en deux sous-groupes de produits (1 et 2) aux spécifications différentes.</w:t>
            </w:r>
          </w:p>
          <w:p w14:paraId="50CAEFFA" w14:textId="77777777" w:rsidR="004B2808" w:rsidRDefault="00000000">
            <w:pPr>
              <w:jc w:val="both"/>
            </w:pPr>
            <w:r>
              <w:t>(**) Le groupe BIII n’englobe que les carreaux émaillés. Les carreaux pressés à sec, non émaillés, présentant une absorption d’eau supérieure à 10 % ne sont donc pas compris dans ce groupe de produits.</w:t>
            </w:r>
          </w:p>
        </w:tc>
      </w:tr>
    </w:tbl>
    <w:p w14:paraId="09CD7CC6" w14:textId="77777777" w:rsidR="004B2808" w:rsidRDefault="004B2808"/>
    <w:p w14:paraId="2B386B1B" w14:textId="77777777" w:rsidR="004B2808" w:rsidRDefault="004B2808"/>
    <w:p w14:paraId="2E71C6F9" w14:textId="77777777" w:rsidR="004B2808" w:rsidRDefault="00000000">
      <w:r>
        <w:t>Tableau 2. Exigences minimales applicables aux différentes classes de carreaux</w:t>
      </w:r>
    </w:p>
    <w:tbl>
      <w:tblPr>
        <w:tblStyle w:val="Author-eTableGrid"/>
        <w:tblW w:w="9060" w:type="dxa"/>
        <w:tblLayout w:type="fixed"/>
        <w:tblLook w:val="04A0" w:firstRow="1" w:lastRow="0" w:firstColumn="1" w:lastColumn="0" w:noHBand="0" w:noVBand="1"/>
      </w:tblPr>
      <w:tblGrid>
        <w:gridCol w:w="845"/>
        <w:gridCol w:w="1643"/>
        <w:gridCol w:w="1643"/>
        <w:gridCol w:w="1643"/>
        <w:gridCol w:w="1643"/>
        <w:gridCol w:w="1643"/>
      </w:tblGrid>
      <w:tr w:rsidR="004B2808" w14:paraId="168EB8AA" w14:textId="77777777">
        <w:tc>
          <w:tcPr>
            <w:tcW w:w="840" w:type="dxa"/>
            <w:vMerge w:val="restart"/>
            <w:noWrap/>
          </w:tcPr>
          <w:p w14:paraId="5DEB01F7" w14:textId="77777777" w:rsidR="004B2808" w:rsidRDefault="00000000">
            <w:pPr>
              <w:jc w:val="center"/>
            </w:pPr>
            <w:r>
              <w:rPr>
                <w:b/>
              </w:rPr>
              <w:t>Classe</w:t>
            </w:r>
          </w:p>
        </w:tc>
        <w:tc>
          <w:tcPr>
            <w:tcW w:w="3270" w:type="dxa"/>
            <w:gridSpan w:val="2"/>
            <w:noWrap/>
          </w:tcPr>
          <w:p w14:paraId="1BB753D3" w14:textId="77777777" w:rsidR="004B2808" w:rsidRDefault="00000000">
            <w:pPr>
              <w:jc w:val="center"/>
            </w:pPr>
            <w:r>
              <w:rPr>
                <w:b/>
              </w:rPr>
              <w:t>Résistance à l’usure selon [NBN EN ISO 10545-6] (uniquement pour les carreaux non émaillés)</w:t>
            </w:r>
          </w:p>
        </w:tc>
        <w:tc>
          <w:tcPr>
            <w:tcW w:w="4905" w:type="dxa"/>
            <w:gridSpan w:val="3"/>
            <w:noWrap/>
          </w:tcPr>
          <w:p w14:paraId="63177920" w14:textId="77777777" w:rsidR="004B2808" w:rsidRDefault="00000000">
            <w:pPr>
              <w:jc w:val="center"/>
            </w:pPr>
            <w:r>
              <w:rPr>
                <w:b/>
              </w:rPr>
              <w:t>Caractéristiques de rupture selon [NBN EN ISO 10545-4]</w:t>
            </w:r>
          </w:p>
        </w:tc>
      </w:tr>
      <w:tr w:rsidR="004B2808" w14:paraId="2CC71A62" w14:textId="77777777">
        <w:tc>
          <w:tcPr>
            <w:tcW w:w="840" w:type="dxa"/>
            <w:vMerge/>
            <w:noWrap/>
          </w:tcPr>
          <w:p w14:paraId="7C4F04C8" w14:textId="77777777" w:rsidR="004B2808" w:rsidRDefault="004B2808"/>
        </w:tc>
        <w:tc>
          <w:tcPr>
            <w:tcW w:w="1635" w:type="dxa"/>
            <w:vMerge w:val="restart"/>
            <w:noWrap/>
          </w:tcPr>
          <w:p w14:paraId="7E77613E" w14:textId="77777777" w:rsidR="004B2808" w:rsidRDefault="00000000">
            <w:pPr>
              <w:jc w:val="center"/>
            </w:pPr>
            <w:r>
              <w:rPr>
                <w:b/>
              </w:rPr>
              <w:t>[mm³ (mm)]</w:t>
            </w:r>
          </w:p>
        </w:tc>
        <w:tc>
          <w:tcPr>
            <w:tcW w:w="1635" w:type="dxa"/>
            <w:vMerge w:val="restart"/>
            <w:noWrap/>
          </w:tcPr>
          <w:p w14:paraId="44DA79A4" w14:textId="77777777" w:rsidR="004B2808" w:rsidRDefault="00000000">
            <w:r>
              <w:rPr>
                <w:b/>
              </w:rPr>
              <w:t>Classe UPEC équivalente</w:t>
            </w:r>
          </w:p>
        </w:tc>
        <w:tc>
          <w:tcPr>
            <w:tcW w:w="3270" w:type="dxa"/>
            <w:gridSpan w:val="2"/>
            <w:noWrap/>
          </w:tcPr>
          <w:p w14:paraId="0C7954A2" w14:textId="77777777" w:rsidR="004B2808" w:rsidRDefault="00000000">
            <w:pPr>
              <w:jc w:val="center"/>
            </w:pPr>
            <w:r>
              <w:rPr>
                <w:b/>
              </w:rPr>
              <w:t>Résistance à la rupture</w:t>
            </w:r>
          </w:p>
        </w:tc>
        <w:tc>
          <w:tcPr>
            <w:tcW w:w="1635" w:type="dxa"/>
            <w:vMerge w:val="restart"/>
            <w:noWrap/>
          </w:tcPr>
          <w:p w14:paraId="25B08C57" w14:textId="77777777" w:rsidR="004B2808" w:rsidRDefault="00000000">
            <w:pPr>
              <w:jc w:val="center"/>
            </w:pPr>
            <w:r>
              <w:rPr>
                <w:b/>
              </w:rPr>
              <w:t>Module de rupture</w:t>
            </w:r>
          </w:p>
          <w:p w14:paraId="0104B602" w14:textId="77777777" w:rsidR="004B2808" w:rsidRDefault="00000000">
            <w:pPr>
              <w:jc w:val="center"/>
            </w:pPr>
            <w:r>
              <w:rPr>
                <w:b/>
              </w:rPr>
              <w:t>R [N/mm²]</w:t>
            </w:r>
          </w:p>
        </w:tc>
      </w:tr>
      <w:tr w:rsidR="004B2808" w14:paraId="5F19CA6A" w14:textId="77777777">
        <w:tc>
          <w:tcPr>
            <w:tcW w:w="840" w:type="dxa"/>
            <w:vMerge/>
            <w:noWrap/>
          </w:tcPr>
          <w:p w14:paraId="6D4BE928" w14:textId="77777777" w:rsidR="004B2808" w:rsidRDefault="004B2808"/>
        </w:tc>
        <w:tc>
          <w:tcPr>
            <w:tcW w:w="1635" w:type="dxa"/>
            <w:vMerge/>
            <w:noWrap/>
          </w:tcPr>
          <w:p w14:paraId="143C9AC8" w14:textId="77777777" w:rsidR="004B2808" w:rsidRDefault="004B2808"/>
        </w:tc>
        <w:tc>
          <w:tcPr>
            <w:tcW w:w="1635" w:type="dxa"/>
            <w:vMerge/>
            <w:noWrap/>
          </w:tcPr>
          <w:p w14:paraId="740AB475" w14:textId="77777777" w:rsidR="004B2808" w:rsidRDefault="004B2808"/>
        </w:tc>
        <w:tc>
          <w:tcPr>
            <w:tcW w:w="1635" w:type="dxa"/>
            <w:noWrap/>
          </w:tcPr>
          <w:p w14:paraId="59B9E97C" w14:textId="77777777" w:rsidR="004B2808" w:rsidRDefault="00000000">
            <w:pPr>
              <w:jc w:val="center"/>
            </w:pPr>
            <w:r>
              <w:rPr>
                <w:b/>
              </w:rPr>
              <w:t>Epaisseur</w:t>
            </w:r>
          </w:p>
        </w:tc>
        <w:tc>
          <w:tcPr>
            <w:tcW w:w="1635" w:type="dxa"/>
            <w:noWrap/>
          </w:tcPr>
          <w:p w14:paraId="4C3F12FD" w14:textId="77777777" w:rsidR="004B2808" w:rsidRDefault="00000000">
            <w:pPr>
              <w:jc w:val="center"/>
            </w:pPr>
            <w:r>
              <w:rPr>
                <w:b/>
              </w:rPr>
              <w:t>[N]</w:t>
            </w:r>
          </w:p>
        </w:tc>
        <w:tc>
          <w:tcPr>
            <w:tcW w:w="1635" w:type="dxa"/>
            <w:vMerge/>
            <w:noWrap/>
          </w:tcPr>
          <w:p w14:paraId="2AC83EB1" w14:textId="77777777" w:rsidR="004B2808" w:rsidRDefault="004B2808"/>
        </w:tc>
      </w:tr>
      <w:tr w:rsidR="004B2808" w14:paraId="491460F6" w14:textId="77777777">
        <w:tc>
          <w:tcPr>
            <w:tcW w:w="840" w:type="dxa"/>
            <w:vMerge w:val="restart"/>
            <w:noWrap/>
          </w:tcPr>
          <w:p w14:paraId="7B773499" w14:textId="77777777" w:rsidR="004B2808" w:rsidRDefault="004B2808"/>
          <w:p w14:paraId="2729C799" w14:textId="77777777" w:rsidR="004B2808" w:rsidRDefault="00000000">
            <w:pPr>
              <w:jc w:val="center"/>
            </w:pPr>
            <w:r>
              <w:t>AI</w:t>
            </w:r>
            <w:r>
              <w:rPr>
                <w:vertAlign w:val="subscript"/>
              </w:rPr>
              <w:t>a</w:t>
            </w:r>
          </w:p>
        </w:tc>
        <w:tc>
          <w:tcPr>
            <w:tcW w:w="1635" w:type="dxa"/>
            <w:vMerge w:val="restart"/>
            <w:noWrap/>
          </w:tcPr>
          <w:p w14:paraId="08DAEF5C" w14:textId="77777777" w:rsidR="004B2808" w:rsidRDefault="004B2808"/>
          <w:p w14:paraId="521D476E" w14:textId="77777777" w:rsidR="004B2808" w:rsidRDefault="00000000">
            <w:pPr>
              <w:jc w:val="center"/>
            </w:pPr>
            <w:r>
              <w:t>Max. 275 (32)</w:t>
            </w:r>
          </w:p>
        </w:tc>
        <w:tc>
          <w:tcPr>
            <w:tcW w:w="1635" w:type="dxa"/>
            <w:vMerge w:val="restart"/>
            <w:noWrap/>
          </w:tcPr>
          <w:p w14:paraId="484A2AD7" w14:textId="77777777" w:rsidR="004B2808" w:rsidRDefault="004B2808"/>
          <w:p w14:paraId="605A58D0" w14:textId="77777777" w:rsidR="004B2808" w:rsidRDefault="00000000">
            <w:pPr>
              <w:jc w:val="center"/>
            </w:pPr>
            <w:r>
              <w:t>U4</w:t>
            </w:r>
          </w:p>
        </w:tc>
        <w:tc>
          <w:tcPr>
            <w:tcW w:w="1635" w:type="dxa"/>
            <w:noWrap/>
          </w:tcPr>
          <w:p w14:paraId="050E142F" w14:textId="77777777" w:rsidR="004B2808" w:rsidRDefault="00000000">
            <w:pPr>
              <w:jc w:val="center"/>
            </w:pPr>
            <w:r>
              <w:t>≥ 7.5 mm</w:t>
            </w:r>
          </w:p>
        </w:tc>
        <w:tc>
          <w:tcPr>
            <w:tcW w:w="1635" w:type="dxa"/>
            <w:noWrap/>
          </w:tcPr>
          <w:p w14:paraId="082902C7" w14:textId="77777777" w:rsidR="004B2808" w:rsidRDefault="00000000">
            <w:pPr>
              <w:jc w:val="center"/>
            </w:pPr>
            <w:r>
              <w:t>≥ 1300</w:t>
            </w:r>
          </w:p>
        </w:tc>
        <w:tc>
          <w:tcPr>
            <w:tcW w:w="1635" w:type="dxa"/>
            <w:vMerge w:val="restart"/>
            <w:noWrap/>
          </w:tcPr>
          <w:p w14:paraId="285C4C82" w14:textId="77777777" w:rsidR="004B2808" w:rsidRDefault="00000000">
            <w:pPr>
              <w:jc w:val="center"/>
            </w:pPr>
            <w:r>
              <w:t>Min. 28</w:t>
            </w:r>
          </w:p>
          <w:p w14:paraId="77EFE440" w14:textId="77777777" w:rsidR="004B2808" w:rsidRDefault="00000000">
            <w:pPr>
              <w:jc w:val="center"/>
            </w:pPr>
            <w:r>
              <w:t>Min. individuel 21</w:t>
            </w:r>
          </w:p>
        </w:tc>
      </w:tr>
      <w:tr w:rsidR="004B2808" w14:paraId="6594491E" w14:textId="77777777">
        <w:tc>
          <w:tcPr>
            <w:tcW w:w="840" w:type="dxa"/>
            <w:vMerge/>
            <w:noWrap/>
          </w:tcPr>
          <w:p w14:paraId="2DD8A4FF" w14:textId="77777777" w:rsidR="004B2808" w:rsidRDefault="004B2808"/>
        </w:tc>
        <w:tc>
          <w:tcPr>
            <w:tcW w:w="1635" w:type="dxa"/>
            <w:vMerge/>
            <w:noWrap/>
          </w:tcPr>
          <w:p w14:paraId="6B3E8621" w14:textId="77777777" w:rsidR="004B2808" w:rsidRDefault="004B2808"/>
        </w:tc>
        <w:tc>
          <w:tcPr>
            <w:tcW w:w="1635" w:type="dxa"/>
            <w:vMerge/>
            <w:noWrap/>
          </w:tcPr>
          <w:p w14:paraId="58AC825E" w14:textId="77777777" w:rsidR="004B2808" w:rsidRDefault="004B2808"/>
        </w:tc>
        <w:tc>
          <w:tcPr>
            <w:tcW w:w="1635" w:type="dxa"/>
            <w:noWrap/>
          </w:tcPr>
          <w:p w14:paraId="6D123D04" w14:textId="77777777" w:rsidR="004B2808" w:rsidRDefault="00000000">
            <w:r>
              <w:t>&lt; 7.5 mm</w:t>
            </w:r>
          </w:p>
        </w:tc>
        <w:tc>
          <w:tcPr>
            <w:tcW w:w="1635" w:type="dxa"/>
            <w:noWrap/>
          </w:tcPr>
          <w:p w14:paraId="6FBBBFBB" w14:textId="77777777" w:rsidR="004B2808" w:rsidRDefault="00000000">
            <w:r>
              <w:t>≥ 600</w:t>
            </w:r>
          </w:p>
        </w:tc>
        <w:tc>
          <w:tcPr>
            <w:tcW w:w="1635" w:type="dxa"/>
            <w:vMerge/>
            <w:noWrap/>
          </w:tcPr>
          <w:p w14:paraId="10B75DC0" w14:textId="77777777" w:rsidR="004B2808" w:rsidRDefault="004B2808"/>
        </w:tc>
      </w:tr>
      <w:tr w:rsidR="004B2808" w14:paraId="036FD2BD" w14:textId="77777777">
        <w:tc>
          <w:tcPr>
            <w:tcW w:w="840" w:type="dxa"/>
            <w:vMerge w:val="restart"/>
            <w:noWrap/>
          </w:tcPr>
          <w:p w14:paraId="04C5F0D9" w14:textId="77777777" w:rsidR="004B2808" w:rsidRDefault="004B2808"/>
          <w:p w14:paraId="38B56C5B" w14:textId="77777777" w:rsidR="004B2808" w:rsidRDefault="00000000">
            <w:r>
              <w:t>AI</w:t>
            </w:r>
            <w:r>
              <w:rPr>
                <w:vertAlign w:val="subscript"/>
              </w:rPr>
              <w:t>b</w:t>
            </w:r>
          </w:p>
        </w:tc>
        <w:tc>
          <w:tcPr>
            <w:tcW w:w="1635" w:type="dxa"/>
            <w:vMerge w:val="restart"/>
            <w:noWrap/>
          </w:tcPr>
          <w:p w14:paraId="230AA964" w14:textId="77777777" w:rsidR="004B2808" w:rsidRDefault="004B2808"/>
          <w:p w14:paraId="6B111BFF" w14:textId="77777777" w:rsidR="004B2808" w:rsidRDefault="00000000">
            <w:r>
              <w:t>Max. 275 (32)</w:t>
            </w:r>
          </w:p>
        </w:tc>
        <w:tc>
          <w:tcPr>
            <w:tcW w:w="1635" w:type="dxa"/>
            <w:vMerge w:val="restart"/>
            <w:noWrap/>
          </w:tcPr>
          <w:p w14:paraId="0A6BE819" w14:textId="77777777" w:rsidR="004B2808" w:rsidRDefault="004B2808"/>
          <w:p w14:paraId="68B3AE44" w14:textId="77777777" w:rsidR="004B2808" w:rsidRDefault="00000000">
            <w:r>
              <w:t>U4</w:t>
            </w:r>
          </w:p>
        </w:tc>
        <w:tc>
          <w:tcPr>
            <w:tcW w:w="1635" w:type="dxa"/>
            <w:noWrap/>
          </w:tcPr>
          <w:p w14:paraId="503166D4" w14:textId="77777777" w:rsidR="004B2808" w:rsidRDefault="00000000">
            <w:r>
              <w:t>≥ 7.5 mm</w:t>
            </w:r>
          </w:p>
        </w:tc>
        <w:tc>
          <w:tcPr>
            <w:tcW w:w="1635" w:type="dxa"/>
            <w:noWrap/>
          </w:tcPr>
          <w:p w14:paraId="1242C416" w14:textId="77777777" w:rsidR="004B2808" w:rsidRDefault="00000000">
            <w:r>
              <w:t>≥ 1100</w:t>
            </w:r>
          </w:p>
        </w:tc>
        <w:tc>
          <w:tcPr>
            <w:tcW w:w="1635" w:type="dxa"/>
            <w:vMerge w:val="restart"/>
            <w:noWrap/>
          </w:tcPr>
          <w:p w14:paraId="26693724" w14:textId="77777777" w:rsidR="004B2808" w:rsidRDefault="00000000">
            <w:r>
              <w:t>Min. 23</w:t>
            </w:r>
          </w:p>
          <w:p w14:paraId="2D752DEE" w14:textId="77777777" w:rsidR="004B2808" w:rsidRDefault="00000000">
            <w:r>
              <w:t>Min. individuel 18</w:t>
            </w:r>
          </w:p>
        </w:tc>
      </w:tr>
      <w:tr w:rsidR="004B2808" w14:paraId="3CD893A9" w14:textId="77777777">
        <w:tc>
          <w:tcPr>
            <w:tcW w:w="840" w:type="dxa"/>
            <w:vMerge/>
            <w:noWrap/>
          </w:tcPr>
          <w:p w14:paraId="73F456E0" w14:textId="77777777" w:rsidR="004B2808" w:rsidRDefault="004B2808"/>
        </w:tc>
        <w:tc>
          <w:tcPr>
            <w:tcW w:w="1635" w:type="dxa"/>
            <w:vMerge/>
            <w:noWrap/>
          </w:tcPr>
          <w:p w14:paraId="7FB5D4BE" w14:textId="77777777" w:rsidR="004B2808" w:rsidRDefault="004B2808"/>
        </w:tc>
        <w:tc>
          <w:tcPr>
            <w:tcW w:w="1635" w:type="dxa"/>
            <w:vMerge/>
            <w:noWrap/>
          </w:tcPr>
          <w:p w14:paraId="7DAF8983" w14:textId="77777777" w:rsidR="004B2808" w:rsidRDefault="004B2808"/>
        </w:tc>
        <w:tc>
          <w:tcPr>
            <w:tcW w:w="1635" w:type="dxa"/>
            <w:noWrap/>
          </w:tcPr>
          <w:p w14:paraId="523B569B" w14:textId="77777777" w:rsidR="004B2808" w:rsidRDefault="00000000">
            <w:r>
              <w:t>&lt; 7.5 mm</w:t>
            </w:r>
          </w:p>
        </w:tc>
        <w:tc>
          <w:tcPr>
            <w:tcW w:w="1635" w:type="dxa"/>
            <w:noWrap/>
          </w:tcPr>
          <w:p w14:paraId="4976676D" w14:textId="77777777" w:rsidR="004B2808" w:rsidRDefault="00000000">
            <w:r>
              <w:t>≥ 600</w:t>
            </w:r>
          </w:p>
        </w:tc>
        <w:tc>
          <w:tcPr>
            <w:tcW w:w="1635" w:type="dxa"/>
            <w:vMerge/>
            <w:noWrap/>
          </w:tcPr>
          <w:p w14:paraId="5E6AA8BF" w14:textId="77777777" w:rsidR="004B2808" w:rsidRDefault="004B2808"/>
        </w:tc>
      </w:tr>
      <w:tr w:rsidR="004B2808" w14:paraId="2E72B271" w14:textId="77777777">
        <w:tc>
          <w:tcPr>
            <w:tcW w:w="840" w:type="dxa"/>
            <w:vMerge w:val="restart"/>
            <w:noWrap/>
          </w:tcPr>
          <w:p w14:paraId="5BA57FED" w14:textId="77777777" w:rsidR="004B2808" w:rsidRDefault="004B2808"/>
          <w:p w14:paraId="77299683" w14:textId="77777777" w:rsidR="004B2808" w:rsidRDefault="00000000">
            <w:r>
              <w:t>AII</w:t>
            </w:r>
            <w:r>
              <w:rPr>
                <w:vertAlign w:val="subscript"/>
              </w:rPr>
              <w:t>a-1</w:t>
            </w:r>
          </w:p>
        </w:tc>
        <w:tc>
          <w:tcPr>
            <w:tcW w:w="1635" w:type="dxa"/>
            <w:vMerge w:val="restart"/>
            <w:noWrap/>
          </w:tcPr>
          <w:p w14:paraId="1180239E" w14:textId="77777777" w:rsidR="004B2808" w:rsidRDefault="004B2808"/>
          <w:p w14:paraId="7BE319F8" w14:textId="77777777" w:rsidR="004B2808" w:rsidRDefault="00000000">
            <w:r>
              <w:t>Max. 393 (36)</w:t>
            </w:r>
          </w:p>
        </w:tc>
        <w:tc>
          <w:tcPr>
            <w:tcW w:w="1635" w:type="dxa"/>
            <w:vMerge w:val="restart"/>
            <w:noWrap/>
          </w:tcPr>
          <w:p w14:paraId="52683A6D" w14:textId="77777777" w:rsidR="004B2808" w:rsidRDefault="004B2808"/>
          <w:p w14:paraId="039640D7" w14:textId="77777777" w:rsidR="004B2808" w:rsidRDefault="00000000">
            <w:r>
              <w:t>U3 ou U3s</w:t>
            </w:r>
          </w:p>
        </w:tc>
        <w:tc>
          <w:tcPr>
            <w:tcW w:w="1635" w:type="dxa"/>
            <w:noWrap/>
          </w:tcPr>
          <w:p w14:paraId="36423865" w14:textId="77777777" w:rsidR="004B2808" w:rsidRDefault="00000000">
            <w:r>
              <w:t>≥ 7.5 mm</w:t>
            </w:r>
          </w:p>
        </w:tc>
        <w:tc>
          <w:tcPr>
            <w:tcW w:w="1635" w:type="dxa"/>
            <w:noWrap/>
          </w:tcPr>
          <w:p w14:paraId="257A4EB0" w14:textId="77777777" w:rsidR="004B2808" w:rsidRDefault="00000000">
            <w:r>
              <w:t>≥ 950</w:t>
            </w:r>
          </w:p>
        </w:tc>
        <w:tc>
          <w:tcPr>
            <w:tcW w:w="1635" w:type="dxa"/>
            <w:vMerge w:val="restart"/>
            <w:noWrap/>
          </w:tcPr>
          <w:p w14:paraId="6029812A" w14:textId="77777777" w:rsidR="004B2808" w:rsidRDefault="00000000">
            <w:r>
              <w:t>Min. 20</w:t>
            </w:r>
          </w:p>
          <w:p w14:paraId="334D102F" w14:textId="77777777" w:rsidR="004B2808" w:rsidRDefault="00000000">
            <w:r>
              <w:t>Min. individuel 18</w:t>
            </w:r>
          </w:p>
        </w:tc>
      </w:tr>
      <w:tr w:rsidR="004B2808" w14:paraId="49C3DF29" w14:textId="77777777">
        <w:tc>
          <w:tcPr>
            <w:tcW w:w="840" w:type="dxa"/>
            <w:vMerge/>
            <w:noWrap/>
          </w:tcPr>
          <w:p w14:paraId="01346AF4" w14:textId="77777777" w:rsidR="004B2808" w:rsidRDefault="004B2808"/>
        </w:tc>
        <w:tc>
          <w:tcPr>
            <w:tcW w:w="1635" w:type="dxa"/>
            <w:vMerge/>
            <w:noWrap/>
          </w:tcPr>
          <w:p w14:paraId="52F7B435" w14:textId="77777777" w:rsidR="004B2808" w:rsidRDefault="004B2808"/>
        </w:tc>
        <w:tc>
          <w:tcPr>
            <w:tcW w:w="1635" w:type="dxa"/>
            <w:vMerge/>
            <w:noWrap/>
          </w:tcPr>
          <w:p w14:paraId="03C93D7C" w14:textId="77777777" w:rsidR="004B2808" w:rsidRDefault="004B2808"/>
        </w:tc>
        <w:tc>
          <w:tcPr>
            <w:tcW w:w="1635" w:type="dxa"/>
            <w:noWrap/>
          </w:tcPr>
          <w:p w14:paraId="5A487006" w14:textId="77777777" w:rsidR="004B2808" w:rsidRDefault="00000000">
            <w:r>
              <w:t>&lt; 7.5 mm</w:t>
            </w:r>
          </w:p>
        </w:tc>
        <w:tc>
          <w:tcPr>
            <w:tcW w:w="1635" w:type="dxa"/>
            <w:noWrap/>
          </w:tcPr>
          <w:p w14:paraId="27FE75F1" w14:textId="77777777" w:rsidR="004B2808" w:rsidRDefault="00000000">
            <w:r>
              <w:t>≥ 600</w:t>
            </w:r>
          </w:p>
        </w:tc>
        <w:tc>
          <w:tcPr>
            <w:tcW w:w="1635" w:type="dxa"/>
            <w:vMerge/>
            <w:noWrap/>
          </w:tcPr>
          <w:p w14:paraId="67FF5745" w14:textId="77777777" w:rsidR="004B2808" w:rsidRDefault="004B2808"/>
        </w:tc>
      </w:tr>
      <w:tr w:rsidR="004B2808" w14:paraId="5BD72C78" w14:textId="77777777">
        <w:tc>
          <w:tcPr>
            <w:tcW w:w="840" w:type="dxa"/>
            <w:vMerge w:val="restart"/>
            <w:noWrap/>
          </w:tcPr>
          <w:p w14:paraId="7A5513B7" w14:textId="77777777" w:rsidR="004B2808" w:rsidRDefault="004B2808"/>
          <w:p w14:paraId="2CE23BEF" w14:textId="77777777" w:rsidR="004B2808" w:rsidRDefault="00000000">
            <w:r>
              <w:t>AII</w:t>
            </w:r>
            <w:r>
              <w:rPr>
                <w:vertAlign w:val="subscript"/>
              </w:rPr>
              <w:t>a-2</w:t>
            </w:r>
          </w:p>
        </w:tc>
        <w:tc>
          <w:tcPr>
            <w:tcW w:w="1635" w:type="dxa"/>
            <w:vMerge w:val="restart"/>
            <w:noWrap/>
          </w:tcPr>
          <w:p w14:paraId="7E21FB64" w14:textId="77777777" w:rsidR="004B2808" w:rsidRDefault="004B2808"/>
          <w:p w14:paraId="78B614AD" w14:textId="77777777" w:rsidR="004B2808" w:rsidRDefault="00000000">
            <w:r>
              <w:t>Max. 541 (40)</w:t>
            </w:r>
          </w:p>
        </w:tc>
        <w:tc>
          <w:tcPr>
            <w:tcW w:w="1635" w:type="dxa"/>
            <w:vMerge w:val="restart"/>
            <w:noWrap/>
          </w:tcPr>
          <w:p w14:paraId="7C4419AB" w14:textId="77777777" w:rsidR="004B2808" w:rsidRDefault="004B2808"/>
          <w:p w14:paraId="5B99B9D1" w14:textId="77777777" w:rsidR="004B2808" w:rsidRDefault="00000000">
            <w:r>
              <w:t>U3 ou U3s</w:t>
            </w:r>
          </w:p>
        </w:tc>
        <w:tc>
          <w:tcPr>
            <w:tcW w:w="1635" w:type="dxa"/>
            <w:noWrap/>
          </w:tcPr>
          <w:p w14:paraId="337A7B24" w14:textId="77777777" w:rsidR="004B2808" w:rsidRDefault="00000000">
            <w:r>
              <w:t>≥ 7.5 mm</w:t>
            </w:r>
          </w:p>
        </w:tc>
        <w:tc>
          <w:tcPr>
            <w:tcW w:w="1635" w:type="dxa"/>
            <w:noWrap/>
          </w:tcPr>
          <w:p w14:paraId="7CD2E359" w14:textId="77777777" w:rsidR="004B2808" w:rsidRDefault="00000000">
            <w:r>
              <w:t>≥ 800</w:t>
            </w:r>
          </w:p>
        </w:tc>
        <w:tc>
          <w:tcPr>
            <w:tcW w:w="1635" w:type="dxa"/>
            <w:vMerge w:val="restart"/>
            <w:noWrap/>
          </w:tcPr>
          <w:p w14:paraId="4168D447" w14:textId="77777777" w:rsidR="004B2808" w:rsidRDefault="00000000">
            <w:r>
              <w:t>Min. 13</w:t>
            </w:r>
          </w:p>
          <w:p w14:paraId="6DA486E0" w14:textId="77777777" w:rsidR="004B2808" w:rsidRDefault="00000000">
            <w:r>
              <w:t>Min. individuel 11</w:t>
            </w:r>
          </w:p>
        </w:tc>
      </w:tr>
      <w:tr w:rsidR="004B2808" w14:paraId="0899D129" w14:textId="77777777">
        <w:tc>
          <w:tcPr>
            <w:tcW w:w="840" w:type="dxa"/>
            <w:vMerge/>
            <w:noWrap/>
          </w:tcPr>
          <w:p w14:paraId="68D1E36A" w14:textId="77777777" w:rsidR="004B2808" w:rsidRDefault="004B2808"/>
        </w:tc>
        <w:tc>
          <w:tcPr>
            <w:tcW w:w="1635" w:type="dxa"/>
            <w:vMerge/>
            <w:noWrap/>
          </w:tcPr>
          <w:p w14:paraId="570E41F5" w14:textId="77777777" w:rsidR="004B2808" w:rsidRDefault="004B2808"/>
        </w:tc>
        <w:tc>
          <w:tcPr>
            <w:tcW w:w="1635" w:type="dxa"/>
            <w:vMerge/>
            <w:noWrap/>
          </w:tcPr>
          <w:p w14:paraId="590535C9" w14:textId="77777777" w:rsidR="004B2808" w:rsidRDefault="004B2808"/>
        </w:tc>
        <w:tc>
          <w:tcPr>
            <w:tcW w:w="1635" w:type="dxa"/>
            <w:noWrap/>
          </w:tcPr>
          <w:p w14:paraId="37ED3B6F" w14:textId="77777777" w:rsidR="004B2808" w:rsidRDefault="00000000">
            <w:r>
              <w:t>&lt; 7.5 mm</w:t>
            </w:r>
          </w:p>
        </w:tc>
        <w:tc>
          <w:tcPr>
            <w:tcW w:w="1635" w:type="dxa"/>
            <w:noWrap/>
          </w:tcPr>
          <w:p w14:paraId="230DDBE1" w14:textId="77777777" w:rsidR="004B2808" w:rsidRDefault="00000000">
            <w:r>
              <w:t>≥ 600</w:t>
            </w:r>
          </w:p>
        </w:tc>
        <w:tc>
          <w:tcPr>
            <w:tcW w:w="1635" w:type="dxa"/>
            <w:vMerge/>
            <w:noWrap/>
          </w:tcPr>
          <w:p w14:paraId="65B9164F" w14:textId="77777777" w:rsidR="004B2808" w:rsidRDefault="004B2808"/>
        </w:tc>
      </w:tr>
      <w:tr w:rsidR="004B2808" w14:paraId="5FE9C7F7" w14:textId="77777777">
        <w:tc>
          <w:tcPr>
            <w:tcW w:w="840" w:type="dxa"/>
            <w:noWrap/>
          </w:tcPr>
          <w:p w14:paraId="0FF9BA0F" w14:textId="77777777" w:rsidR="004B2808" w:rsidRDefault="004B2808"/>
          <w:p w14:paraId="7A6392B5" w14:textId="77777777" w:rsidR="004B2808" w:rsidRDefault="00000000">
            <w:pPr>
              <w:jc w:val="center"/>
            </w:pPr>
            <w:r>
              <w:t>AII</w:t>
            </w:r>
            <w:r>
              <w:rPr>
                <w:vertAlign w:val="subscript"/>
              </w:rPr>
              <w:t>b-1</w:t>
            </w:r>
          </w:p>
        </w:tc>
        <w:tc>
          <w:tcPr>
            <w:tcW w:w="1635" w:type="dxa"/>
            <w:noWrap/>
          </w:tcPr>
          <w:p w14:paraId="590031F9" w14:textId="77777777" w:rsidR="004B2808" w:rsidRDefault="004B2808"/>
          <w:p w14:paraId="7789FFFC" w14:textId="77777777" w:rsidR="004B2808" w:rsidRDefault="00000000">
            <w:pPr>
              <w:jc w:val="center"/>
            </w:pPr>
            <w:r>
              <w:t>Max. 649 (42.5)</w:t>
            </w:r>
          </w:p>
        </w:tc>
        <w:tc>
          <w:tcPr>
            <w:tcW w:w="1635" w:type="dxa"/>
            <w:noWrap/>
          </w:tcPr>
          <w:p w14:paraId="042E6149" w14:textId="77777777" w:rsidR="004B2808" w:rsidRDefault="004B2808"/>
          <w:p w14:paraId="0256CF04" w14:textId="77777777" w:rsidR="004B2808" w:rsidRDefault="00000000">
            <w:pPr>
              <w:jc w:val="center"/>
            </w:pPr>
            <w:r>
              <w:t>U2s</w:t>
            </w:r>
          </w:p>
        </w:tc>
        <w:tc>
          <w:tcPr>
            <w:tcW w:w="3270" w:type="dxa"/>
            <w:gridSpan w:val="2"/>
            <w:noWrap/>
          </w:tcPr>
          <w:p w14:paraId="57508758" w14:textId="77777777" w:rsidR="004B2808" w:rsidRDefault="004B2808"/>
          <w:p w14:paraId="47653255" w14:textId="77777777" w:rsidR="004B2808" w:rsidRDefault="00000000">
            <w:pPr>
              <w:jc w:val="center"/>
            </w:pPr>
            <w:r>
              <w:t>≥ 900</w:t>
            </w:r>
          </w:p>
        </w:tc>
        <w:tc>
          <w:tcPr>
            <w:tcW w:w="1635" w:type="dxa"/>
            <w:noWrap/>
          </w:tcPr>
          <w:p w14:paraId="1048BEEC" w14:textId="77777777" w:rsidR="004B2808" w:rsidRDefault="00000000">
            <w:pPr>
              <w:jc w:val="center"/>
            </w:pPr>
            <w:r>
              <w:t>Min. 17.5</w:t>
            </w:r>
          </w:p>
          <w:p w14:paraId="51D1279E" w14:textId="77777777" w:rsidR="004B2808" w:rsidRDefault="00000000">
            <w:pPr>
              <w:jc w:val="center"/>
            </w:pPr>
            <w:r>
              <w:t>Min. individuel 15</w:t>
            </w:r>
          </w:p>
        </w:tc>
      </w:tr>
      <w:tr w:rsidR="004B2808" w14:paraId="415E832F" w14:textId="77777777">
        <w:tc>
          <w:tcPr>
            <w:tcW w:w="840" w:type="dxa"/>
            <w:noWrap/>
          </w:tcPr>
          <w:p w14:paraId="26A93A54" w14:textId="77777777" w:rsidR="004B2808" w:rsidRDefault="00000000">
            <w:pPr>
              <w:jc w:val="center"/>
            </w:pPr>
            <w:r>
              <w:t>AII</w:t>
            </w:r>
            <w:r>
              <w:rPr>
                <w:vertAlign w:val="subscript"/>
              </w:rPr>
              <w:t>b-2</w:t>
            </w:r>
          </w:p>
        </w:tc>
        <w:tc>
          <w:tcPr>
            <w:tcW w:w="1635" w:type="dxa"/>
            <w:noWrap/>
          </w:tcPr>
          <w:p w14:paraId="452F7C10" w14:textId="77777777" w:rsidR="004B2808" w:rsidRDefault="00000000">
            <w:r>
              <w:t>Max. 1062 (50)</w:t>
            </w:r>
          </w:p>
        </w:tc>
        <w:tc>
          <w:tcPr>
            <w:tcW w:w="1635" w:type="dxa"/>
            <w:noWrap/>
          </w:tcPr>
          <w:p w14:paraId="49B73998" w14:textId="77777777" w:rsidR="004B2808" w:rsidRDefault="00000000">
            <w:pPr>
              <w:jc w:val="center"/>
            </w:pPr>
            <w:r>
              <w:t>U2s</w:t>
            </w:r>
          </w:p>
        </w:tc>
        <w:tc>
          <w:tcPr>
            <w:tcW w:w="3270" w:type="dxa"/>
            <w:gridSpan w:val="2"/>
            <w:noWrap/>
          </w:tcPr>
          <w:p w14:paraId="15295683" w14:textId="77777777" w:rsidR="004B2808" w:rsidRDefault="00000000">
            <w:pPr>
              <w:jc w:val="center"/>
            </w:pPr>
            <w:r>
              <w:t>≥ 750</w:t>
            </w:r>
          </w:p>
        </w:tc>
        <w:tc>
          <w:tcPr>
            <w:tcW w:w="1635" w:type="dxa"/>
            <w:noWrap/>
          </w:tcPr>
          <w:p w14:paraId="6DE88E58" w14:textId="77777777" w:rsidR="004B2808" w:rsidRDefault="00000000">
            <w:pPr>
              <w:jc w:val="center"/>
            </w:pPr>
            <w:r>
              <w:t>Min. 9</w:t>
            </w:r>
          </w:p>
          <w:p w14:paraId="0DA9AD00" w14:textId="77777777" w:rsidR="004B2808" w:rsidRDefault="00000000">
            <w:pPr>
              <w:jc w:val="center"/>
            </w:pPr>
            <w:r>
              <w:t>Min. individuel 8</w:t>
            </w:r>
          </w:p>
        </w:tc>
      </w:tr>
      <w:tr w:rsidR="004B2808" w14:paraId="4F7396F3" w14:textId="77777777">
        <w:tc>
          <w:tcPr>
            <w:tcW w:w="840" w:type="dxa"/>
            <w:noWrap/>
          </w:tcPr>
          <w:p w14:paraId="61DB8607" w14:textId="77777777" w:rsidR="004B2808" w:rsidRDefault="00000000">
            <w:pPr>
              <w:jc w:val="center"/>
            </w:pPr>
            <w:r>
              <w:t>AIII</w:t>
            </w:r>
          </w:p>
        </w:tc>
        <w:tc>
          <w:tcPr>
            <w:tcW w:w="1635" w:type="dxa"/>
            <w:noWrap/>
          </w:tcPr>
          <w:p w14:paraId="3DB1A039" w14:textId="77777777" w:rsidR="004B2808" w:rsidRDefault="00000000">
            <w:r>
              <w:t>Max. 2365 (65)</w:t>
            </w:r>
          </w:p>
        </w:tc>
        <w:tc>
          <w:tcPr>
            <w:tcW w:w="1635" w:type="dxa"/>
            <w:noWrap/>
          </w:tcPr>
          <w:p w14:paraId="625C70D7" w14:textId="77777777" w:rsidR="004B2808" w:rsidRDefault="00000000">
            <w:pPr>
              <w:jc w:val="center"/>
            </w:pPr>
            <w:r>
              <w:t>U2</w:t>
            </w:r>
          </w:p>
        </w:tc>
        <w:tc>
          <w:tcPr>
            <w:tcW w:w="3270" w:type="dxa"/>
            <w:gridSpan w:val="2"/>
            <w:noWrap/>
          </w:tcPr>
          <w:p w14:paraId="0F61C28C" w14:textId="77777777" w:rsidR="004B2808" w:rsidRDefault="00000000">
            <w:pPr>
              <w:jc w:val="center"/>
            </w:pPr>
            <w:r>
              <w:t>≥ 600</w:t>
            </w:r>
          </w:p>
        </w:tc>
        <w:tc>
          <w:tcPr>
            <w:tcW w:w="1635" w:type="dxa"/>
            <w:noWrap/>
          </w:tcPr>
          <w:p w14:paraId="3471318D" w14:textId="77777777" w:rsidR="004B2808" w:rsidRDefault="00000000">
            <w:pPr>
              <w:jc w:val="center"/>
            </w:pPr>
            <w:r>
              <w:t>Min. 8</w:t>
            </w:r>
          </w:p>
          <w:p w14:paraId="7586CD01" w14:textId="77777777" w:rsidR="004B2808" w:rsidRDefault="00000000">
            <w:pPr>
              <w:jc w:val="center"/>
            </w:pPr>
            <w:r>
              <w:t>Min. individuel 7</w:t>
            </w:r>
          </w:p>
        </w:tc>
      </w:tr>
      <w:tr w:rsidR="004B2808" w14:paraId="29019C27" w14:textId="77777777">
        <w:tc>
          <w:tcPr>
            <w:tcW w:w="840" w:type="dxa"/>
            <w:vMerge w:val="restart"/>
            <w:noWrap/>
          </w:tcPr>
          <w:p w14:paraId="2072BE39" w14:textId="77777777" w:rsidR="004B2808" w:rsidRDefault="004B2808"/>
          <w:p w14:paraId="6CF8514B" w14:textId="77777777" w:rsidR="004B2808" w:rsidRDefault="00000000">
            <w:pPr>
              <w:jc w:val="center"/>
            </w:pPr>
            <w:r>
              <w:t>BI</w:t>
            </w:r>
            <w:r>
              <w:rPr>
                <w:vertAlign w:val="subscript"/>
              </w:rPr>
              <w:t>a</w:t>
            </w:r>
          </w:p>
        </w:tc>
        <w:tc>
          <w:tcPr>
            <w:tcW w:w="1635" w:type="dxa"/>
            <w:vMerge w:val="restart"/>
            <w:noWrap/>
          </w:tcPr>
          <w:p w14:paraId="0D539A1E" w14:textId="77777777" w:rsidR="004B2808" w:rsidRDefault="004B2808"/>
          <w:p w14:paraId="5B4C2BB7" w14:textId="77777777" w:rsidR="004B2808" w:rsidRDefault="00000000">
            <w:r>
              <w:t>Max. 175 (27.5)</w:t>
            </w:r>
          </w:p>
        </w:tc>
        <w:tc>
          <w:tcPr>
            <w:tcW w:w="1635" w:type="dxa"/>
            <w:vMerge w:val="restart"/>
            <w:noWrap/>
          </w:tcPr>
          <w:p w14:paraId="1435FBE0" w14:textId="77777777" w:rsidR="004B2808" w:rsidRDefault="004B2808"/>
          <w:p w14:paraId="760C8588" w14:textId="77777777" w:rsidR="004B2808" w:rsidRDefault="00000000">
            <w:pPr>
              <w:jc w:val="center"/>
            </w:pPr>
            <w:r>
              <w:t>U4</w:t>
            </w:r>
          </w:p>
        </w:tc>
        <w:tc>
          <w:tcPr>
            <w:tcW w:w="1635" w:type="dxa"/>
            <w:noWrap/>
          </w:tcPr>
          <w:p w14:paraId="596BA558" w14:textId="77777777" w:rsidR="004B2808" w:rsidRDefault="00000000">
            <w:pPr>
              <w:jc w:val="center"/>
            </w:pPr>
            <w:r>
              <w:t>≥ 7.5 mm</w:t>
            </w:r>
          </w:p>
        </w:tc>
        <w:tc>
          <w:tcPr>
            <w:tcW w:w="1635" w:type="dxa"/>
            <w:noWrap/>
          </w:tcPr>
          <w:p w14:paraId="11B31363" w14:textId="77777777" w:rsidR="004B2808" w:rsidRDefault="00000000">
            <w:pPr>
              <w:jc w:val="center"/>
            </w:pPr>
            <w:r>
              <w:t>≥ 1300</w:t>
            </w:r>
          </w:p>
        </w:tc>
        <w:tc>
          <w:tcPr>
            <w:tcW w:w="1635" w:type="dxa"/>
            <w:vMerge w:val="restart"/>
            <w:noWrap/>
          </w:tcPr>
          <w:p w14:paraId="1DFB7E74" w14:textId="77777777" w:rsidR="004B2808" w:rsidRDefault="00000000">
            <w:pPr>
              <w:jc w:val="center"/>
            </w:pPr>
            <w:r>
              <w:t>Min. 35</w:t>
            </w:r>
          </w:p>
          <w:p w14:paraId="542EF88A" w14:textId="77777777" w:rsidR="004B2808" w:rsidRDefault="00000000">
            <w:pPr>
              <w:jc w:val="center"/>
            </w:pPr>
            <w:r>
              <w:t>Min. individuel 32</w:t>
            </w:r>
          </w:p>
        </w:tc>
      </w:tr>
      <w:tr w:rsidR="004B2808" w14:paraId="241D00F5" w14:textId="77777777">
        <w:tc>
          <w:tcPr>
            <w:tcW w:w="840" w:type="dxa"/>
            <w:vMerge/>
            <w:noWrap/>
          </w:tcPr>
          <w:p w14:paraId="3DD04BBA" w14:textId="77777777" w:rsidR="004B2808" w:rsidRDefault="004B2808"/>
        </w:tc>
        <w:tc>
          <w:tcPr>
            <w:tcW w:w="1635" w:type="dxa"/>
            <w:vMerge/>
            <w:noWrap/>
          </w:tcPr>
          <w:p w14:paraId="7AF5E3F3" w14:textId="77777777" w:rsidR="004B2808" w:rsidRDefault="004B2808"/>
        </w:tc>
        <w:tc>
          <w:tcPr>
            <w:tcW w:w="1635" w:type="dxa"/>
            <w:vMerge/>
            <w:noWrap/>
          </w:tcPr>
          <w:p w14:paraId="4636E91F" w14:textId="77777777" w:rsidR="004B2808" w:rsidRDefault="004B2808"/>
        </w:tc>
        <w:tc>
          <w:tcPr>
            <w:tcW w:w="1635" w:type="dxa"/>
            <w:noWrap/>
          </w:tcPr>
          <w:p w14:paraId="439A303D" w14:textId="77777777" w:rsidR="004B2808" w:rsidRDefault="00000000">
            <w:pPr>
              <w:jc w:val="center"/>
            </w:pPr>
            <w:r>
              <w:t>&lt; 7.5 mm</w:t>
            </w:r>
          </w:p>
        </w:tc>
        <w:tc>
          <w:tcPr>
            <w:tcW w:w="1635" w:type="dxa"/>
            <w:noWrap/>
          </w:tcPr>
          <w:p w14:paraId="0D39762B" w14:textId="77777777" w:rsidR="004B2808" w:rsidRDefault="00000000">
            <w:pPr>
              <w:jc w:val="center"/>
            </w:pPr>
            <w:r>
              <w:t>≥ 700</w:t>
            </w:r>
          </w:p>
        </w:tc>
        <w:tc>
          <w:tcPr>
            <w:tcW w:w="1635" w:type="dxa"/>
            <w:vMerge/>
            <w:noWrap/>
          </w:tcPr>
          <w:p w14:paraId="70771993" w14:textId="77777777" w:rsidR="004B2808" w:rsidRDefault="004B2808"/>
        </w:tc>
      </w:tr>
      <w:tr w:rsidR="004B2808" w14:paraId="27D402B2" w14:textId="77777777">
        <w:tc>
          <w:tcPr>
            <w:tcW w:w="840" w:type="dxa"/>
            <w:vMerge w:val="restart"/>
            <w:noWrap/>
          </w:tcPr>
          <w:p w14:paraId="07BA87DB" w14:textId="77777777" w:rsidR="004B2808" w:rsidRDefault="004B2808"/>
          <w:p w14:paraId="19FA8FAA" w14:textId="77777777" w:rsidR="004B2808" w:rsidRDefault="00000000">
            <w:pPr>
              <w:jc w:val="center"/>
            </w:pPr>
            <w:r>
              <w:t>BI</w:t>
            </w:r>
            <w:r>
              <w:rPr>
                <w:vertAlign w:val="subscript"/>
              </w:rPr>
              <w:t>b</w:t>
            </w:r>
          </w:p>
        </w:tc>
        <w:tc>
          <w:tcPr>
            <w:tcW w:w="1635" w:type="dxa"/>
            <w:vMerge w:val="restart"/>
            <w:noWrap/>
          </w:tcPr>
          <w:p w14:paraId="3C661B97" w14:textId="77777777" w:rsidR="004B2808" w:rsidRDefault="004B2808"/>
          <w:p w14:paraId="343D377D" w14:textId="77777777" w:rsidR="004B2808" w:rsidRDefault="00000000">
            <w:pPr>
              <w:jc w:val="center"/>
            </w:pPr>
            <w:r>
              <w:t>Max 175 (27.5)</w:t>
            </w:r>
          </w:p>
        </w:tc>
        <w:tc>
          <w:tcPr>
            <w:tcW w:w="1635" w:type="dxa"/>
            <w:vMerge w:val="restart"/>
            <w:noWrap/>
          </w:tcPr>
          <w:p w14:paraId="2B8682C3" w14:textId="77777777" w:rsidR="004B2808" w:rsidRDefault="004B2808"/>
          <w:p w14:paraId="62535033" w14:textId="77777777" w:rsidR="004B2808" w:rsidRDefault="00000000">
            <w:pPr>
              <w:jc w:val="center"/>
            </w:pPr>
            <w:r>
              <w:t>U4</w:t>
            </w:r>
          </w:p>
        </w:tc>
        <w:tc>
          <w:tcPr>
            <w:tcW w:w="1635" w:type="dxa"/>
            <w:noWrap/>
          </w:tcPr>
          <w:p w14:paraId="31389ACE" w14:textId="77777777" w:rsidR="004B2808" w:rsidRDefault="00000000">
            <w:pPr>
              <w:jc w:val="center"/>
            </w:pPr>
            <w:r>
              <w:t>≥ 7.5 mm</w:t>
            </w:r>
          </w:p>
        </w:tc>
        <w:tc>
          <w:tcPr>
            <w:tcW w:w="1635" w:type="dxa"/>
            <w:noWrap/>
          </w:tcPr>
          <w:p w14:paraId="6397A85A" w14:textId="77777777" w:rsidR="004B2808" w:rsidRDefault="00000000">
            <w:pPr>
              <w:jc w:val="center"/>
            </w:pPr>
            <w:r>
              <w:t>≥ 1100</w:t>
            </w:r>
          </w:p>
        </w:tc>
        <w:tc>
          <w:tcPr>
            <w:tcW w:w="1635" w:type="dxa"/>
            <w:vMerge w:val="restart"/>
            <w:noWrap/>
          </w:tcPr>
          <w:p w14:paraId="4C226487" w14:textId="77777777" w:rsidR="004B2808" w:rsidRDefault="00000000">
            <w:pPr>
              <w:jc w:val="center"/>
            </w:pPr>
            <w:r>
              <w:t>Min. 30</w:t>
            </w:r>
          </w:p>
          <w:p w14:paraId="5E777518" w14:textId="77777777" w:rsidR="004B2808" w:rsidRDefault="00000000">
            <w:pPr>
              <w:jc w:val="center"/>
            </w:pPr>
            <w:r>
              <w:t>Min. individuel 27</w:t>
            </w:r>
          </w:p>
        </w:tc>
      </w:tr>
      <w:tr w:rsidR="004B2808" w14:paraId="6F5ABB9A" w14:textId="77777777">
        <w:tc>
          <w:tcPr>
            <w:tcW w:w="840" w:type="dxa"/>
            <w:vMerge/>
            <w:noWrap/>
          </w:tcPr>
          <w:p w14:paraId="0B782C80" w14:textId="77777777" w:rsidR="004B2808" w:rsidRDefault="004B2808"/>
        </w:tc>
        <w:tc>
          <w:tcPr>
            <w:tcW w:w="1635" w:type="dxa"/>
            <w:vMerge/>
            <w:noWrap/>
          </w:tcPr>
          <w:p w14:paraId="1C4FE911" w14:textId="77777777" w:rsidR="004B2808" w:rsidRDefault="004B2808"/>
        </w:tc>
        <w:tc>
          <w:tcPr>
            <w:tcW w:w="1635" w:type="dxa"/>
            <w:vMerge/>
            <w:noWrap/>
          </w:tcPr>
          <w:p w14:paraId="40ACFE5A" w14:textId="77777777" w:rsidR="004B2808" w:rsidRDefault="004B2808"/>
        </w:tc>
        <w:tc>
          <w:tcPr>
            <w:tcW w:w="1635" w:type="dxa"/>
            <w:noWrap/>
          </w:tcPr>
          <w:p w14:paraId="47A69FFB" w14:textId="77777777" w:rsidR="004B2808" w:rsidRDefault="00000000">
            <w:r>
              <w:t>&lt; 7.5 mm</w:t>
            </w:r>
          </w:p>
        </w:tc>
        <w:tc>
          <w:tcPr>
            <w:tcW w:w="1635" w:type="dxa"/>
            <w:noWrap/>
          </w:tcPr>
          <w:p w14:paraId="5E543F7E" w14:textId="77777777" w:rsidR="004B2808" w:rsidRDefault="00000000">
            <w:r>
              <w:t>≥ 700</w:t>
            </w:r>
          </w:p>
        </w:tc>
        <w:tc>
          <w:tcPr>
            <w:tcW w:w="1635" w:type="dxa"/>
            <w:vMerge/>
            <w:noWrap/>
          </w:tcPr>
          <w:p w14:paraId="6114A069" w14:textId="77777777" w:rsidR="004B2808" w:rsidRDefault="004B2808"/>
        </w:tc>
      </w:tr>
      <w:tr w:rsidR="004B2808" w14:paraId="6CEA6CA8" w14:textId="77777777">
        <w:tc>
          <w:tcPr>
            <w:tcW w:w="840" w:type="dxa"/>
            <w:vMerge w:val="restart"/>
            <w:noWrap/>
          </w:tcPr>
          <w:p w14:paraId="06DBEC86" w14:textId="77777777" w:rsidR="004B2808" w:rsidRDefault="004B2808"/>
          <w:p w14:paraId="3E0D819C" w14:textId="77777777" w:rsidR="004B2808" w:rsidRDefault="00000000">
            <w:pPr>
              <w:jc w:val="center"/>
            </w:pPr>
            <w:r>
              <w:t>BII</w:t>
            </w:r>
            <w:r>
              <w:rPr>
                <w:vertAlign w:val="subscript"/>
              </w:rPr>
              <w:t>a</w:t>
            </w:r>
          </w:p>
        </w:tc>
        <w:tc>
          <w:tcPr>
            <w:tcW w:w="1635" w:type="dxa"/>
            <w:vMerge w:val="restart"/>
            <w:noWrap/>
          </w:tcPr>
          <w:p w14:paraId="2732089A" w14:textId="77777777" w:rsidR="004B2808" w:rsidRDefault="004B2808"/>
          <w:p w14:paraId="4580C7FF" w14:textId="77777777" w:rsidR="004B2808" w:rsidRDefault="00000000">
            <w:pPr>
              <w:jc w:val="center"/>
            </w:pPr>
            <w:r>
              <w:t>Max. 345 (34.5)</w:t>
            </w:r>
          </w:p>
        </w:tc>
        <w:tc>
          <w:tcPr>
            <w:tcW w:w="1635" w:type="dxa"/>
            <w:vMerge w:val="restart"/>
            <w:noWrap/>
          </w:tcPr>
          <w:p w14:paraId="7885697C" w14:textId="77777777" w:rsidR="004B2808" w:rsidRDefault="00000000">
            <w:pPr>
              <w:jc w:val="center"/>
            </w:pPr>
            <w:r>
              <w:t>Jusqu’à 275 U4, sinon U3</w:t>
            </w:r>
          </w:p>
        </w:tc>
        <w:tc>
          <w:tcPr>
            <w:tcW w:w="1635" w:type="dxa"/>
            <w:noWrap/>
          </w:tcPr>
          <w:p w14:paraId="312CB0CF" w14:textId="77777777" w:rsidR="004B2808" w:rsidRDefault="00000000">
            <w:pPr>
              <w:jc w:val="center"/>
            </w:pPr>
            <w:r>
              <w:t>≥ 7.5 mm</w:t>
            </w:r>
          </w:p>
        </w:tc>
        <w:tc>
          <w:tcPr>
            <w:tcW w:w="1635" w:type="dxa"/>
            <w:noWrap/>
          </w:tcPr>
          <w:p w14:paraId="1A87CB4B" w14:textId="77777777" w:rsidR="004B2808" w:rsidRDefault="00000000">
            <w:pPr>
              <w:jc w:val="center"/>
            </w:pPr>
            <w:r>
              <w:t>≥ 1000</w:t>
            </w:r>
          </w:p>
        </w:tc>
        <w:tc>
          <w:tcPr>
            <w:tcW w:w="1635" w:type="dxa"/>
            <w:vMerge w:val="restart"/>
            <w:noWrap/>
          </w:tcPr>
          <w:p w14:paraId="668ECAC5" w14:textId="77777777" w:rsidR="004B2808" w:rsidRDefault="00000000">
            <w:pPr>
              <w:jc w:val="center"/>
            </w:pPr>
            <w:r>
              <w:t>Min. 22</w:t>
            </w:r>
          </w:p>
          <w:p w14:paraId="0F05CF32" w14:textId="77777777" w:rsidR="004B2808" w:rsidRDefault="00000000">
            <w:pPr>
              <w:jc w:val="center"/>
            </w:pPr>
            <w:r>
              <w:t>Min. individuel 20</w:t>
            </w:r>
          </w:p>
        </w:tc>
      </w:tr>
      <w:tr w:rsidR="004B2808" w14:paraId="62CD6BE8" w14:textId="77777777">
        <w:tc>
          <w:tcPr>
            <w:tcW w:w="840" w:type="dxa"/>
            <w:vMerge/>
            <w:noWrap/>
          </w:tcPr>
          <w:p w14:paraId="78574B69" w14:textId="77777777" w:rsidR="004B2808" w:rsidRDefault="004B2808"/>
        </w:tc>
        <w:tc>
          <w:tcPr>
            <w:tcW w:w="1635" w:type="dxa"/>
            <w:vMerge/>
            <w:noWrap/>
          </w:tcPr>
          <w:p w14:paraId="47F4E804" w14:textId="77777777" w:rsidR="004B2808" w:rsidRDefault="004B2808"/>
        </w:tc>
        <w:tc>
          <w:tcPr>
            <w:tcW w:w="1635" w:type="dxa"/>
            <w:vMerge/>
            <w:noWrap/>
          </w:tcPr>
          <w:p w14:paraId="1975B873" w14:textId="77777777" w:rsidR="004B2808" w:rsidRDefault="004B2808"/>
        </w:tc>
        <w:tc>
          <w:tcPr>
            <w:tcW w:w="1635" w:type="dxa"/>
            <w:noWrap/>
          </w:tcPr>
          <w:p w14:paraId="5431C2D5" w14:textId="77777777" w:rsidR="004B2808" w:rsidRDefault="00000000">
            <w:pPr>
              <w:jc w:val="center"/>
            </w:pPr>
            <w:r>
              <w:t>&lt; 7.5 mm</w:t>
            </w:r>
          </w:p>
        </w:tc>
        <w:tc>
          <w:tcPr>
            <w:tcW w:w="1635" w:type="dxa"/>
            <w:noWrap/>
          </w:tcPr>
          <w:p w14:paraId="140C41EB" w14:textId="77777777" w:rsidR="004B2808" w:rsidRDefault="00000000">
            <w:pPr>
              <w:jc w:val="center"/>
            </w:pPr>
            <w:r>
              <w:t>≥ 600</w:t>
            </w:r>
          </w:p>
        </w:tc>
        <w:tc>
          <w:tcPr>
            <w:tcW w:w="1635" w:type="dxa"/>
            <w:vMerge/>
            <w:noWrap/>
          </w:tcPr>
          <w:p w14:paraId="3549945C" w14:textId="77777777" w:rsidR="004B2808" w:rsidRDefault="004B2808"/>
        </w:tc>
      </w:tr>
      <w:tr w:rsidR="004B2808" w14:paraId="43FCA081" w14:textId="77777777">
        <w:tc>
          <w:tcPr>
            <w:tcW w:w="840" w:type="dxa"/>
            <w:vMerge w:val="restart"/>
            <w:noWrap/>
          </w:tcPr>
          <w:p w14:paraId="7DB17EFD" w14:textId="77777777" w:rsidR="004B2808" w:rsidRDefault="004B2808"/>
          <w:p w14:paraId="1D61BCB4" w14:textId="77777777" w:rsidR="004B2808" w:rsidRDefault="00000000">
            <w:pPr>
              <w:jc w:val="center"/>
            </w:pPr>
            <w:r>
              <w:t>BII</w:t>
            </w:r>
            <w:r>
              <w:rPr>
                <w:vertAlign w:val="subscript"/>
              </w:rPr>
              <w:t>b</w:t>
            </w:r>
          </w:p>
        </w:tc>
        <w:tc>
          <w:tcPr>
            <w:tcW w:w="1635" w:type="dxa"/>
            <w:vMerge w:val="restart"/>
            <w:noWrap/>
          </w:tcPr>
          <w:p w14:paraId="4991048E" w14:textId="77777777" w:rsidR="004B2808" w:rsidRDefault="004B2808"/>
          <w:p w14:paraId="5B689A25" w14:textId="77777777" w:rsidR="004B2808" w:rsidRDefault="00000000">
            <w:r>
              <w:t>Max. 540 (40)</w:t>
            </w:r>
          </w:p>
        </w:tc>
        <w:tc>
          <w:tcPr>
            <w:tcW w:w="1635" w:type="dxa"/>
            <w:vMerge w:val="restart"/>
            <w:noWrap/>
          </w:tcPr>
          <w:p w14:paraId="56EE601F" w14:textId="77777777" w:rsidR="004B2808" w:rsidRDefault="004B2808"/>
          <w:p w14:paraId="11EA6792" w14:textId="77777777" w:rsidR="004B2808" w:rsidRDefault="00000000">
            <w:pPr>
              <w:jc w:val="center"/>
            </w:pPr>
            <w:r>
              <w:t>U3 ou U3s</w:t>
            </w:r>
          </w:p>
        </w:tc>
        <w:tc>
          <w:tcPr>
            <w:tcW w:w="1635" w:type="dxa"/>
            <w:noWrap/>
          </w:tcPr>
          <w:p w14:paraId="68940B80" w14:textId="77777777" w:rsidR="004B2808" w:rsidRDefault="00000000">
            <w:pPr>
              <w:jc w:val="center"/>
            </w:pPr>
            <w:r>
              <w:t>≥ 7.5 mm</w:t>
            </w:r>
          </w:p>
        </w:tc>
        <w:tc>
          <w:tcPr>
            <w:tcW w:w="1635" w:type="dxa"/>
            <w:noWrap/>
          </w:tcPr>
          <w:p w14:paraId="128A27F0" w14:textId="77777777" w:rsidR="004B2808" w:rsidRDefault="00000000">
            <w:pPr>
              <w:jc w:val="center"/>
            </w:pPr>
            <w:r>
              <w:t>≥ 800</w:t>
            </w:r>
          </w:p>
        </w:tc>
        <w:tc>
          <w:tcPr>
            <w:tcW w:w="1635" w:type="dxa"/>
            <w:vMerge w:val="restart"/>
            <w:noWrap/>
          </w:tcPr>
          <w:p w14:paraId="592ACE05" w14:textId="77777777" w:rsidR="004B2808" w:rsidRDefault="00000000">
            <w:pPr>
              <w:jc w:val="center"/>
            </w:pPr>
            <w:r>
              <w:t>Min. 18</w:t>
            </w:r>
          </w:p>
          <w:p w14:paraId="5A2E799F" w14:textId="77777777" w:rsidR="004B2808" w:rsidRDefault="00000000">
            <w:pPr>
              <w:jc w:val="center"/>
            </w:pPr>
            <w:r>
              <w:t>Min. individuel 16</w:t>
            </w:r>
          </w:p>
        </w:tc>
      </w:tr>
      <w:tr w:rsidR="004B2808" w14:paraId="25202032" w14:textId="77777777">
        <w:tc>
          <w:tcPr>
            <w:tcW w:w="840" w:type="dxa"/>
            <w:vMerge/>
            <w:noWrap/>
          </w:tcPr>
          <w:p w14:paraId="4DA6433D" w14:textId="77777777" w:rsidR="004B2808" w:rsidRDefault="004B2808"/>
        </w:tc>
        <w:tc>
          <w:tcPr>
            <w:tcW w:w="1635" w:type="dxa"/>
            <w:vMerge/>
            <w:noWrap/>
          </w:tcPr>
          <w:p w14:paraId="7E6E54D9" w14:textId="77777777" w:rsidR="004B2808" w:rsidRDefault="004B2808"/>
        </w:tc>
        <w:tc>
          <w:tcPr>
            <w:tcW w:w="1635" w:type="dxa"/>
            <w:vMerge/>
            <w:noWrap/>
          </w:tcPr>
          <w:p w14:paraId="69B9F2EE" w14:textId="77777777" w:rsidR="004B2808" w:rsidRDefault="004B2808"/>
        </w:tc>
        <w:tc>
          <w:tcPr>
            <w:tcW w:w="1635" w:type="dxa"/>
            <w:noWrap/>
          </w:tcPr>
          <w:p w14:paraId="1DA97618" w14:textId="77777777" w:rsidR="004B2808" w:rsidRDefault="00000000">
            <w:pPr>
              <w:jc w:val="center"/>
            </w:pPr>
            <w:r>
              <w:t>&lt; 7.5 mm</w:t>
            </w:r>
          </w:p>
        </w:tc>
        <w:tc>
          <w:tcPr>
            <w:tcW w:w="1635" w:type="dxa"/>
            <w:noWrap/>
          </w:tcPr>
          <w:p w14:paraId="09244433" w14:textId="77777777" w:rsidR="004B2808" w:rsidRDefault="00000000">
            <w:pPr>
              <w:jc w:val="center"/>
            </w:pPr>
            <w:r>
              <w:t>≥ 500</w:t>
            </w:r>
          </w:p>
        </w:tc>
        <w:tc>
          <w:tcPr>
            <w:tcW w:w="1635" w:type="dxa"/>
            <w:vMerge/>
            <w:noWrap/>
          </w:tcPr>
          <w:p w14:paraId="4F5904F6" w14:textId="77777777" w:rsidR="004B2808" w:rsidRDefault="004B2808"/>
        </w:tc>
      </w:tr>
      <w:tr w:rsidR="004B2808" w14:paraId="5068C80E" w14:textId="77777777">
        <w:tc>
          <w:tcPr>
            <w:tcW w:w="840" w:type="dxa"/>
            <w:vMerge w:val="restart"/>
            <w:noWrap/>
          </w:tcPr>
          <w:p w14:paraId="5C7FD4EF" w14:textId="77777777" w:rsidR="004B2808" w:rsidRDefault="00000000">
            <w:pPr>
              <w:jc w:val="center"/>
            </w:pPr>
            <w:r>
              <w:t>BIII</w:t>
            </w:r>
          </w:p>
        </w:tc>
        <w:tc>
          <w:tcPr>
            <w:tcW w:w="1635" w:type="dxa"/>
            <w:vMerge w:val="restart"/>
            <w:noWrap/>
          </w:tcPr>
          <w:p w14:paraId="2F18CC90" w14:textId="77777777" w:rsidR="004B2808" w:rsidRDefault="00000000">
            <w:pPr>
              <w:jc w:val="center"/>
            </w:pPr>
            <w:r>
              <w:t>-</w:t>
            </w:r>
          </w:p>
        </w:tc>
        <w:tc>
          <w:tcPr>
            <w:tcW w:w="1635" w:type="dxa"/>
            <w:vMerge w:val="restart"/>
            <w:noWrap/>
          </w:tcPr>
          <w:p w14:paraId="656C6DD4" w14:textId="77777777" w:rsidR="004B2808" w:rsidRDefault="00000000">
            <w:pPr>
              <w:jc w:val="center"/>
            </w:pPr>
            <w:r>
              <w:t>-</w:t>
            </w:r>
          </w:p>
        </w:tc>
        <w:tc>
          <w:tcPr>
            <w:tcW w:w="1635" w:type="dxa"/>
            <w:noWrap/>
          </w:tcPr>
          <w:p w14:paraId="0BBE3CBA" w14:textId="77777777" w:rsidR="004B2808" w:rsidRDefault="00000000">
            <w:pPr>
              <w:jc w:val="center"/>
            </w:pPr>
            <w:r>
              <w:t>≥ 7.5 mm</w:t>
            </w:r>
          </w:p>
        </w:tc>
        <w:tc>
          <w:tcPr>
            <w:tcW w:w="1635" w:type="dxa"/>
            <w:noWrap/>
          </w:tcPr>
          <w:p w14:paraId="1C2C75D4" w14:textId="77777777" w:rsidR="004B2808" w:rsidRDefault="00000000">
            <w:pPr>
              <w:jc w:val="center"/>
            </w:pPr>
            <w:r>
              <w:t>≥ 600</w:t>
            </w:r>
          </w:p>
        </w:tc>
        <w:tc>
          <w:tcPr>
            <w:tcW w:w="1635" w:type="dxa"/>
            <w:noWrap/>
          </w:tcPr>
          <w:p w14:paraId="70B0F9B7" w14:textId="77777777" w:rsidR="004B2808" w:rsidRDefault="00000000">
            <w:pPr>
              <w:jc w:val="center"/>
            </w:pPr>
            <w:r>
              <w:t>Min. 15</w:t>
            </w:r>
          </w:p>
        </w:tc>
      </w:tr>
      <w:tr w:rsidR="004B2808" w14:paraId="62D36E36" w14:textId="77777777">
        <w:tc>
          <w:tcPr>
            <w:tcW w:w="840" w:type="dxa"/>
            <w:vMerge/>
            <w:noWrap/>
          </w:tcPr>
          <w:p w14:paraId="5ECFB48D" w14:textId="77777777" w:rsidR="004B2808" w:rsidRDefault="004B2808"/>
        </w:tc>
        <w:tc>
          <w:tcPr>
            <w:tcW w:w="1635" w:type="dxa"/>
            <w:vMerge/>
            <w:noWrap/>
          </w:tcPr>
          <w:p w14:paraId="614E5B8A" w14:textId="77777777" w:rsidR="004B2808" w:rsidRDefault="004B2808"/>
        </w:tc>
        <w:tc>
          <w:tcPr>
            <w:tcW w:w="1635" w:type="dxa"/>
            <w:vMerge/>
            <w:noWrap/>
          </w:tcPr>
          <w:p w14:paraId="161AA091" w14:textId="77777777" w:rsidR="004B2808" w:rsidRDefault="004B2808"/>
        </w:tc>
        <w:tc>
          <w:tcPr>
            <w:tcW w:w="1635" w:type="dxa"/>
            <w:noWrap/>
          </w:tcPr>
          <w:p w14:paraId="168E8F94" w14:textId="77777777" w:rsidR="004B2808" w:rsidRDefault="00000000">
            <w:pPr>
              <w:jc w:val="center"/>
            </w:pPr>
            <w:r>
              <w:t>&lt; 7.5 mm</w:t>
            </w:r>
          </w:p>
        </w:tc>
        <w:tc>
          <w:tcPr>
            <w:tcW w:w="1635" w:type="dxa"/>
            <w:noWrap/>
          </w:tcPr>
          <w:p w14:paraId="7626DD61" w14:textId="77777777" w:rsidR="004B2808" w:rsidRDefault="00000000">
            <w:pPr>
              <w:jc w:val="center"/>
            </w:pPr>
            <w:r>
              <w:t>≥ 200</w:t>
            </w:r>
          </w:p>
        </w:tc>
        <w:tc>
          <w:tcPr>
            <w:tcW w:w="1635" w:type="dxa"/>
            <w:noWrap/>
          </w:tcPr>
          <w:p w14:paraId="4C07D06B" w14:textId="77777777" w:rsidR="004B2808" w:rsidRDefault="00000000">
            <w:pPr>
              <w:jc w:val="center"/>
            </w:pPr>
            <w:r>
              <w:t>Min. 12</w:t>
            </w:r>
          </w:p>
        </w:tc>
      </w:tr>
    </w:tbl>
    <w:p w14:paraId="6438098C" w14:textId="77777777" w:rsidR="004B2808" w:rsidRDefault="004B2808"/>
    <w:p w14:paraId="54D32A55" w14:textId="77777777" w:rsidR="004B2808" w:rsidRDefault="00000000">
      <w:pPr>
        <w:jc w:val="both"/>
      </w:pPr>
      <w:r>
        <w:t>Les appareillages à joints continus dans les deux directions (carré ou losanges) réduisent le risque de propagation des fissures éventuelles au sein des carreaux. Celles-ci ont en effet tendance à se développer dans les joints et sont donc moins visibles.</w:t>
      </w:r>
    </w:p>
    <w:p w14:paraId="440BDCFD" w14:textId="77777777" w:rsidR="004B2808" w:rsidRDefault="00000000">
      <w:pPr>
        <w:pStyle w:val="Author-eSectionHeading5Numberless"/>
      </w:pPr>
      <w:bookmarkStart w:id="630" w:name="_Toc220490790"/>
      <w:r>
        <w:t>53.51.1 Revêtements de sols en carreaux de céramique CCTB 01.02</w:t>
      </w:r>
      <w:bookmarkEnd w:id="630"/>
    </w:p>
    <w:p w14:paraId="1629B526" w14:textId="77777777" w:rsidR="004B2808" w:rsidRDefault="00000000">
      <w:pPr>
        <w:pStyle w:val="Author-eSectionHeading6Numberless"/>
      </w:pPr>
      <w:bookmarkStart w:id="631" w:name="_Toc220490791"/>
      <w:r>
        <w:t>53.51.1a Revêtements de sols en carreaux de céramique CCTB 01.12</w:t>
      </w:r>
      <w:bookmarkEnd w:id="631"/>
    </w:p>
    <w:p w14:paraId="5917211C" w14:textId="77777777" w:rsidR="004B2808" w:rsidRDefault="00000000">
      <w:pPr>
        <w:pStyle w:val="pheading"/>
      </w:pPr>
      <w:bookmarkStart w:id="632" w:name="145"/>
      <w:bookmarkEnd w:id="632"/>
      <w:r>
        <w:t>DESCRIPTION</w:t>
      </w:r>
    </w:p>
    <w:p w14:paraId="675E12C0" w14:textId="77777777" w:rsidR="004B2808" w:rsidRDefault="00000000">
      <w:pPr>
        <w:pStyle w:val="pheading"/>
      </w:pPr>
      <w:r>
        <w:t>- Définition / Comprend</w:t>
      </w:r>
    </w:p>
    <w:p w14:paraId="1F0238F4" w14:textId="77777777" w:rsidR="004B2808" w:rsidRDefault="00000000">
      <w:pPr>
        <w:jc w:val="both"/>
      </w:pPr>
      <w:r>
        <w:t>Il s’agit de la fourniture (hors matériaux récupérés du même site) et la pose de revêtements de sols en carreaux de céramique.</w:t>
      </w:r>
    </w:p>
    <w:p w14:paraId="334F9D04" w14:textId="77777777" w:rsidR="004B2808" w:rsidRDefault="00000000">
      <w:pPr>
        <w:pStyle w:val="pheading"/>
      </w:pPr>
      <w:r>
        <w:t>MATÉRIAUX</w:t>
      </w:r>
    </w:p>
    <w:p w14:paraId="10477B06" w14:textId="77777777" w:rsidR="004B2808" w:rsidRDefault="00000000">
      <w:pPr>
        <w:pStyle w:val="pheading"/>
      </w:pPr>
      <w:r>
        <w:t>- Caractéristiques générales</w:t>
      </w:r>
    </w:p>
    <w:p w14:paraId="21473D1E" w14:textId="77777777" w:rsidR="004B2808" w:rsidRDefault="00000000">
      <w:pPr>
        <w:jc w:val="both"/>
      </w:pPr>
      <w:r>
        <w:rPr>
          <w:u w:val="single"/>
        </w:rPr>
        <w:t>Spécifications (voir aussi [NIT 227])</w:t>
      </w:r>
    </w:p>
    <w:p w14:paraId="45007A9F" w14:textId="77777777" w:rsidR="004B2808" w:rsidRDefault="00000000">
      <w:pPr>
        <w:pStyle w:val="Author-eListParagraph"/>
        <w:numPr>
          <w:ilvl w:val="0"/>
          <w:numId w:val="554"/>
        </w:numPr>
      </w:pPr>
      <w:r>
        <w:t>Surface : </w:t>
      </w:r>
      <w:r>
        <w:rPr>
          <w:rStyle w:val="optioncarChar"/>
        </w:rPr>
        <w:t>non émaillée / émaillée (satiné / brillant)</w:t>
      </w:r>
      <w:r>
        <w:br/>
      </w:r>
    </w:p>
    <w:p w14:paraId="3E6CED9E" w14:textId="77777777" w:rsidR="004B2808" w:rsidRDefault="00000000">
      <w:pPr>
        <w:pStyle w:val="Author-eListParagraph"/>
        <w:numPr>
          <w:ilvl w:val="0"/>
          <w:numId w:val="554"/>
        </w:numPr>
      </w:pPr>
      <w:r>
        <w:t>Epaisseur : minimum </w:t>
      </w:r>
      <w:r>
        <w:rPr>
          <w:rStyle w:val="optioncarChar"/>
        </w:rPr>
        <w:t>8 / *** </w:t>
      </w:r>
      <w:r>
        <w:t>mm</w:t>
      </w:r>
      <w:r>
        <w:br/>
      </w:r>
    </w:p>
    <w:p w14:paraId="73E4A7A7" w14:textId="77777777" w:rsidR="004B2808" w:rsidRDefault="00000000">
      <w:pPr>
        <w:pStyle w:val="Author-eListParagraph"/>
        <w:numPr>
          <w:ilvl w:val="0"/>
          <w:numId w:val="554"/>
        </w:numPr>
      </w:pPr>
      <w:r>
        <w:t xml:space="preserve">Dimensions modulaires : </w:t>
      </w:r>
    </w:p>
    <w:p w14:paraId="2600A908" w14:textId="77777777" w:rsidR="004B2808" w:rsidRDefault="00000000">
      <w:pPr>
        <w:pStyle w:val="Author-eListParagraph"/>
        <w:numPr>
          <w:ilvl w:val="1"/>
          <w:numId w:val="555"/>
        </w:numPr>
      </w:pPr>
      <w:r>
        <w:t>grès pressé : </w:t>
      </w:r>
      <w:r>
        <w:rPr>
          <w:rStyle w:val="optioncarChar"/>
        </w:rPr>
        <w:t>50 x 50 / 50 x 100 / 100 x 100 / 100 x 200 / 150 x 150 / ***</w:t>
      </w:r>
      <w:r>
        <w:t> mm</w:t>
      </w:r>
    </w:p>
    <w:p w14:paraId="02615906" w14:textId="77777777" w:rsidR="004B2808" w:rsidRDefault="00000000">
      <w:pPr>
        <w:pStyle w:val="Author-eListParagraph"/>
        <w:numPr>
          <w:ilvl w:val="1"/>
          <w:numId w:val="555"/>
        </w:numPr>
      </w:pPr>
      <w:r>
        <w:t>grès étiré : </w:t>
      </w:r>
      <w:r>
        <w:rPr>
          <w:rStyle w:val="optioncarChar"/>
        </w:rPr>
        <w:t>100 x 200 / 200 x 200 / 300 x 300 / ***</w:t>
      </w:r>
      <w:r>
        <w:t> mm</w:t>
      </w:r>
      <w:r>
        <w:br/>
      </w:r>
    </w:p>
    <w:p w14:paraId="6BA0E8BC" w14:textId="77777777" w:rsidR="004B2808" w:rsidRDefault="00000000">
      <w:pPr>
        <w:pStyle w:val="Author-eListParagraph"/>
        <w:numPr>
          <w:ilvl w:val="0"/>
          <w:numId w:val="554"/>
        </w:numPr>
      </w:pPr>
      <w:r>
        <w:t>Coloris : </w:t>
      </w:r>
      <w:r>
        <w:rPr>
          <w:rStyle w:val="optioncarChar"/>
        </w:rPr>
        <w:t>*** / à choisir par le maître d’ouvrage parmi au moins 5 échantillons / à choisir par le maître d’ouvrage parmi la gamme standard complète proposée par le fabricant.</w:t>
      </w:r>
    </w:p>
    <w:p w14:paraId="170D5EED" w14:textId="77777777" w:rsidR="004B2808" w:rsidRDefault="004B2808"/>
    <w:p w14:paraId="76FF606B" w14:textId="77777777" w:rsidR="004B2808" w:rsidRDefault="00000000">
      <w:pPr>
        <w:jc w:val="both"/>
      </w:pPr>
      <w:r>
        <w:t>Les carreaux de céramique sont </w:t>
      </w:r>
      <w:r>
        <w:rPr>
          <w:rStyle w:val="optioncarChar"/>
        </w:rPr>
        <w:t>neufs</w:t>
      </w:r>
      <w:r>
        <w:t> (par défaut)</w:t>
      </w:r>
      <w:r>
        <w:rPr>
          <w:rStyle w:val="optioncarChar"/>
        </w:rPr>
        <w:t> / de réemploi.</w:t>
      </w:r>
    </w:p>
    <w:p w14:paraId="3E22DD29" w14:textId="77777777" w:rsidR="004B2808" w:rsidRDefault="00000000">
      <w:pPr>
        <w:ind w:left="567"/>
        <w:jc w:val="both"/>
      </w:pPr>
      <w:r>
        <w:rPr>
          <w:b/>
          <w:i/>
        </w:rPr>
        <w:t>(Soit par défaut)</w:t>
      </w:r>
    </w:p>
    <w:p w14:paraId="5A8B4423" w14:textId="77777777" w:rsidR="004B2808" w:rsidRDefault="00000000">
      <w:pPr>
        <w:ind w:left="567"/>
        <w:jc w:val="both"/>
      </w:pPr>
      <w:r>
        <w:rPr>
          <w:rStyle w:val="soitChar"/>
          <w:u w:val="single"/>
        </w:rPr>
        <w:t>Neufs :</w:t>
      </w:r>
    </w:p>
    <w:p w14:paraId="2BC1CF2E" w14:textId="77777777" w:rsidR="004B2808" w:rsidRDefault="00000000">
      <w:pPr>
        <w:pStyle w:val="Author-eListParagraph"/>
        <w:numPr>
          <w:ilvl w:val="0"/>
          <w:numId w:val="556"/>
        </w:numPr>
      </w:pPr>
      <w:r>
        <w:rPr>
          <w:rStyle w:val="soitChar"/>
        </w:rPr>
        <w:t>Classe (selon le taux d’absorption d’eau E et le procédé de fabrication) : </w:t>
      </w:r>
      <w:r>
        <w:t> </w:t>
      </w:r>
      <w:r>
        <w:rPr>
          <w:rStyle w:val="optioncarChar"/>
        </w:rPr>
        <w:t>AIa / AIb / AIIa-1 / AIIa-2 / AIIb-1 / AIIb-2 / AIII </w:t>
      </w:r>
      <w:r>
        <w:t>(par défaut)</w:t>
      </w:r>
      <w:r>
        <w:rPr>
          <w:rStyle w:val="optioncarChar"/>
        </w:rPr>
        <w:t>  / BIa / BIb / BIIa / BIIb / BIII.</w:t>
      </w:r>
      <w:r>
        <w:br/>
      </w:r>
    </w:p>
    <w:p w14:paraId="4535D0BB" w14:textId="77777777" w:rsidR="004B2808" w:rsidRDefault="00000000">
      <w:pPr>
        <w:pStyle w:val="Author-eListParagraph"/>
        <w:numPr>
          <w:ilvl w:val="0"/>
          <w:numId w:val="556"/>
        </w:numPr>
      </w:pPr>
      <w:r>
        <w:rPr>
          <w:rStyle w:val="soitChar"/>
        </w:rPr>
        <w:t>Résistance chimique – détergents et sels de piscine [NBN EN ISO 10545-13] :</w:t>
      </w:r>
      <w:r>
        <w:br/>
      </w:r>
      <w:r>
        <w:rPr>
          <w:rStyle w:val="soitChar"/>
        </w:rPr>
        <w:t>Carreaux non émaillés : </w:t>
      </w:r>
      <w:r>
        <w:t> </w:t>
      </w:r>
      <w:r>
        <w:rPr>
          <w:rStyle w:val="optioncarChar"/>
        </w:rPr>
        <w:t>UA / UB </w:t>
      </w:r>
      <w:r>
        <w:t>(par défaut) </w:t>
      </w:r>
      <w:r>
        <w:rPr>
          <w:rStyle w:val="optioncarChar"/>
        </w:rPr>
        <w:t>/ UC</w:t>
      </w:r>
      <w:r>
        <w:rPr>
          <w:rStyle w:val="soitChar"/>
        </w:rPr>
        <w:t>.</w:t>
      </w:r>
      <w:r>
        <w:br/>
      </w:r>
      <w:r>
        <w:rPr>
          <w:rStyle w:val="soitChar"/>
        </w:rPr>
        <w:t>Carreaux émaillés : </w:t>
      </w:r>
      <w:r>
        <w:rPr>
          <w:rStyle w:val="optioncarChar"/>
        </w:rPr>
        <w:t>GA / GB </w:t>
      </w:r>
      <w:r>
        <w:t>(par défaut)</w:t>
      </w:r>
      <w:r>
        <w:rPr>
          <w:rStyle w:val="optioncarChar"/>
        </w:rPr>
        <w:t> / GC</w:t>
      </w:r>
      <w:r>
        <w:br/>
      </w:r>
    </w:p>
    <w:p w14:paraId="3C95788A" w14:textId="77777777" w:rsidR="004B2808" w:rsidRDefault="00000000">
      <w:pPr>
        <w:pStyle w:val="Author-eListParagraph"/>
        <w:numPr>
          <w:ilvl w:val="0"/>
          <w:numId w:val="556"/>
        </w:numPr>
      </w:pPr>
      <w:r>
        <w:rPr>
          <w:rStyle w:val="soitChar"/>
        </w:rPr>
        <w:t>Résistance chimique – acides et bases peu concentrés [NBN EN ISO 10545-13] :</w:t>
      </w:r>
      <w:r>
        <w:br/>
      </w:r>
      <w:r>
        <w:rPr>
          <w:rStyle w:val="soitChar"/>
        </w:rPr>
        <w:t>Carreaux non émaillés : </w:t>
      </w:r>
      <w:r>
        <w:t> </w:t>
      </w:r>
      <w:r>
        <w:rPr>
          <w:rStyle w:val="optioncarChar"/>
        </w:rPr>
        <w:t>ULA / ULB </w:t>
      </w:r>
      <w:r>
        <w:t>(par défaut)</w:t>
      </w:r>
      <w:r>
        <w:rPr>
          <w:rStyle w:val="optioncarChar"/>
        </w:rPr>
        <w:t> / ULC</w:t>
      </w:r>
      <w:r>
        <w:rPr>
          <w:rStyle w:val="soitChar"/>
        </w:rPr>
        <w:t>.</w:t>
      </w:r>
      <w:r>
        <w:br/>
      </w:r>
      <w:r>
        <w:rPr>
          <w:rStyle w:val="soitChar"/>
        </w:rPr>
        <w:t>Carreaux émaillés :</w:t>
      </w:r>
      <w:r>
        <w:rPr>
          <w:rStyle w:val="optioncarChar"/>
        </w:rPr>
        <w:t> GLA / GLB </w:t>
      </w:r>
      <w:r>
        <w:t>(par défaut)</w:t>
      </w:r>
      <w:r>
        <w:rPr>
          <w:rStyle w:val="optioncarChar"/>
        </w:rPr>
        <w:t> / GLC</w:t>
      </w:r>
      <w:r>
        <w:rPr>
          <w:rStyle w:val="soitChar"/>
        </w:rPr>
        <w:t>.</w:t>
      </w:r>
      <w:r>
        <w:t> </w:t>
      </w:r>
    </w:p>
    <w:p w14:paraId="4D3E2178" w14:textId="77777777" w:rsidR="004B2808" w:rsidRDefault="00000000">
      <w:pPr>
        <w:pStyle w:val="Author-eListParagraph"/>
        <w:numPr>
          <w:ilvl w:val="0"/>
          <w:numId w:val="557"/>
        </w:numPr>
      </w:pPr>
      <w:r>
        <w:rPr>
          <w:rStyle w:val="soitChar"/>
        </w:rPr>
        <w:t>Résistance chimique – acides et bases très concentrés [NBN EN ISO 10545-13] :</w:t>
      </w:r>
      <w:r>
        <w:br/>
      </w:r>
      <w:r>
        <w:rPr>
          <w:rStyle w:val="soitChar"/>
        </w:rPr>
        <w:t>Carreaux non émaillés : </w:t>
      </w:r>
      <w:r>
        <w:t> </w:t>
      </w:r>
      <w:r>
        <w:rPr>
          <w:rStyle w:val="optioncarChar"/>
        </w:rPr>
        <w:t>UHA / UHB </w:t>
      </w:r>
      <w:r>
        <w:t>(par défaut) </w:t>
      </w:r>
      <w:r>
        <w:rPr>
          <w:rStyle w:val="optioncarChar"/>
        </w:rPr>
        <w:t>/ UHC</w:t>
      </w:r>
      <w:r>
        <w:rPr>
          <w:rStyle w:val="soitChar"/>
        </w:rPr>
        <w:t>.</w:t>
      </w:r>
      <w:r>
        <w:br/>
      </w:r>
      <w:r>
        <w:rPr>
          <w:rStyle w:val="soitChar"/>
        </w:rPr>
        <w:t>Carreaux émaillés : </w:t>
      </w:r>
      <w:r>
        <w:rPr>
          <w:rStyle w:val="optioncarChar"/>
        </w:rPr>
        <w:t>GHA / GHB</w:t>
      </w:r>
      <w:r>
        <w:t> (par défaut) </w:t>
      </w:r>
      <w:r>
        <w:rPr>
          <w:rStyle w:val="optioncarChar"/>
        </w:rPr>
        <w:t>/ GHC</w:t>
      </w:r>
    </w:p>
    <w:p w14:paraId="6396E28A" w14:textId="77777777" w:rsidR="004B2808" w:rsidRDefault="00000000">
      <w:pPr>
        <w:pStyle w:val="Author-eListParagraph"/>
        <w:numPr>
          <w:ilvl w:val="0"/>
          <w:numId w:val="558"/>
        </w:numPr>
      </w:pPr>
      <w:r>
        <w:rPr>
          <w:rStyle w:val="soitChar"/>
        </w:rPr>
        <w:t>Résistance aux taches [NBN EN ISO 10545-14]: </w:t>
      </w:r>
      <w:r>
        <w:t> </w:t>
      </w:r>
      <w:r>
        <w:rPr>
          <w:rStyle w:val="optioncarChar"/>
        </w:rPr>
        <w:t>1 / 2 / 3 </w:t>
      </w:r>
      <w:r>
        <w:t>(par défaut)</w:t>
      </w:r>
      <w:r>
        <w:rPr>
          <w:rStyle w:val="optioncarChar"/>
        </w:rPr>
        <w:t> / 4 / 5</w:t>
      </w:r>
    </w:p>
    <w:p w14:paraId="2E7DC231" w14:textId="77777777" w:rsidR="004B2808" w:rsidRDefault="00000000">
      <w:pPr>
        <w:pStyle w:val="Author-eListParagraph"/>
        <w:numPr>
          <w:ilvl w:val="0"/>
          <w:numId w:val="559"/>
        </w:numPr>
      </w:pPr>
      <w:r>
        <w:rPr>
          <w:rStyle w:val="soitChar"/>
        </w:rPr>
        <w:t>Classe ([NBN B 27-011/A1]) du carreau céramique émaillé selon sa résistance à l’abrasion (essai PEI [NBN EN ISO 10545-7]) : </w:t>
      </w:r>
      <w:r>
        <w:t> </w:t>
      </w:r>
      <w:r>
        <w:rPr>
          <w:rStyle w:val="optioncarChar"/>
        </w:rPr>
        <w:t>1 / 2 / 3</w:t>
      </w:r>
      <w:r>
        <w:t> (par défaut)</w:t>
      </w:r>
      <w:r>
        <w:rPr>
          <w:rStyle w:val="optioncarChar"/>
        </w:rPr>
        <w:t> / 4 / 5.</w:t>
      </w:r>
      <w:r>
        <w:br/>
      </w:r>
    </w:p>
    <w:p w14:paraId="298FA785" w14:textId="77777777" w:rsidR="004B2808" w:rsidRDefault="00000000">
      <w:pPr>
        <w:pStyle w:val="Author-eListParagraph"/>
        <w:numPr>
          <w:ilvl w:val="0"/>
          <w:numId w:val="559"/>
        </w:numPr>
      </w:pPr>
      <w:r>
        <w:rPr>
          <w:rStyle w:val="soitChar"/>
        </w:rPr>
        <w:lastRenderedPageBreak/>
        <w:t>Classe ([NBN EN 14411]) du carreau céramique émaillé selon sa résistance à l’abrasion (essai PEI [NBN EN ISO 10545-7]) : </w:t>
      </w:r>
      <w:r>
        <w:t> </w:t>
      </w:r>
      <w:r>
        <w:rPr>
          <w:rStyle w:val="optioncarChar"/>
        </w:rPr>
        <w:t>1 / 2 / 3 </w:t>
      </w:r>
      <w:r>
        <w:t>(par défaut)</w:t>
      </w:r>
      <w:r>
        <w:rPr>
          <w:rStyle w:val="optioncarChar"/>
        </w:rPr>
        <w:t> / 4 / 5.</w:t>
      </w:r>
      <w:r>
        <w:br/>
      </w:r>
    </w:p>
    <w:p w14:paraId="071A6B5E" w14:textId="77777777" w:rsidR="004B2808" w:rsidRDefault="00000000">
      <w:pPr>
        <w:pStyle w:val="Author-eListParagraph"/>
        <w:numPr>
          <w:ilvl w:val="0"/>
          <w:numId w:val="559"/>
        </w:numPr>
      </w:pPr>
      <w:r>
        <w:rPr>
          <w:rStyle w:val="soitChar"/>
        </w:rPr>
        <w:t>Classe (UPEC) du carreau céramique émaillé selon sa résistance à l’abrasion (essai PEI [NBN EN ISO 10545-7]) : </w:t>
      </w:r>
      <w:r>
        <w:t> </w:t>
      </w:r>
      <w:r>
        <w:rPr>
          <w:rStyle w:val="optioncarChar"/>
        </w:rPr>
        <w:t>U1 / U2 / U2S / U3</w:t>
      </w:r>
      <w:r>
        <w:t> (par défaut) </w:t>
      </w:r>
      <w:r>
        <w:rPr>
          <w:rStyle w:val="optioncarChar"/>
        </w:rPr>
        <w:t>/  U3S / U4</w:t>
      </w:r>
      <w:r>
        <w:rPr>
          <w:rStyle w:val="soitChar"/>
        </w:rPr>
        <w:t>.</w:t>
      </w:r>
      <w:r>
        <w:br/>
      </w:r>
    </w:p>
    <w:p w14:paraId="1B95A4A8" w14:textId="77777777" w:rsidR="004B2808" w:rsidRDefault="00000000">
      <w:pPr>
        <w:pStyle w:val="Author-eListParagraph"/>
        <w:numPr>
          <w:ilvl w:val="0"/>
          <w:numId w:val="559"/>
        </w:numPr>
      </w:pPr>
      <w:r>
        <w:rPr>
          <w:rStyle w:val="soitChar"/>
        </w:rPr>
        <w:t>Classe (UPEC) du carreau céramique non émaillé selon sa résistance à ‘abrasion (essai Capon [NBN EN ISO 10545-6]) : </w:t>
      </w:r>
      <w:r>
        <w:t> </w:t>
      </w:r>
      <w:r>
        <w:rPr>
          <w:rStyle w:val="optioncarChar"/>
        </w:rPr>
        <w:t>U1 / U2 / U2S / U3 </w:t>
      </w:r>
      <w:r>
        <w:t>(par défaut) </w:t>
      </w:r>
      <w:r>
        <w:rPr>
          <w:rStyle w:val="optioncarChar"/>
        </w:rPr>
        <w:t>/ U3S / U4</w:t>
      </w:r>
      <w:r>
        <w:rPr>
          <w:rStyle w:val="soitChar"/>
        </w:rPr>
        <w:t>.</w:t>
      </w:r>
      <w:r>
        <w:br/>
      </w:r>
    </w:p>
    <w:p w14:paraId="56DA7AA6" w14:textId="77777777" w:rsidR="004B2808" w:rsidRDefault="00000000">
      <w:pPr>
        <w:pStyle w:val="Author-eListParagraph"/>
        <w:numPr>
          <w:ilvl w:val="0"/>
          <w:numId w:val="559"/>
        </w:numPr>
      </w:pPr>
      <w:r>
        <w:rPr>
          <w:rStyle w:val="soitChar"/>
        </w:rPr>
        <w:t>Résistance à la rayure, §2.4.3.2 de la [NIT 237] :</w:t>
      </w:r>
      <w:r>
        <w:br/>
      </w:r>
      <w:r>
        <w:rPr>
          <w:rStyle w:val="soitChar"/>
        </w:rPr>
        <w:t>Carreau émaillé : ≥ </w:t>
      </w:r>
      <w:r>
        <w:rPr>
          <w:rStyle w:val="optioncarChar"/>
        </w:rPr>
        <w:t>5 </w:t>
      </w:r>
      <w:r>
        <w:t>(par défaut)</w:t>
      </w:r>
      <w:r>
        <w:rPr>
          <w:rStyle w:val="optioncarChar"/>
        </w:rPr>
        <w:t> / 6 / 7 / 8 / 9 / 10</w:t>
      </w:r>
      <w:r>
        <w:rPr>
          <w:rStyle w:val="soitChar"/>
        </w:rPr>
        <w:t>.</w:t>
      </w:r>
      <w:r>
        <w:br/>
      </w:r>
      <w:r>
        <w:rPr>
          <w:rStyle w:val="soitChar"/>
        </w:rPr>
        <w:t>Carreau non émaillé : ≥ </w:t>
      </w:r>
      <w:r>
        <w:rPr>
          <w:rStyle w:val="optioncarChar"/>
        </w:rPr>
        <w:t>6</w:t>
      </w:r>
      <w:r>
        <w:t> (par défaut)</w:t>
      </w:r>
      <w:r>
        <w:rPr>
          <w:rStyle w:val="optioncarChar"/>
        </w:rPr>
        <w:t> / 7 / 8 / 9 / 10</w:t>
      </w:r>
      <w:r>
        <w:rPr>
          <w:rStyle w:val="soitChar"/>
        </w:rPr>
        <w:t>.</w:t>
      </w:r>
    </w:p>
    <w:p w14:paraId="16A0264C" w14:textId="77777777" w:rsidR="004B2808" w:rsidRDefault="00000000">
      <w:pPr>
        <w:pStyle w:val="Author-eListParagraph"/>
        <w:numPr>
          <w:ilvl w:val="0"/>
          <w:numId w:val="560"/>
        </w:numPr>
      </w:pPr>
      <w:r>
        <w:rPr>
          <w:rStyle w:val="soitChar"/>
        </w:rPr>
        <w:t>Antidérapance – méthode du plan incliné :</w:t>
      </w:r>
      <w:r>
        <w:br/>
      </w:r>
      <w:r>
        <w:rPr>
          <w:rStyle w:val="soitChar"/>
        </w:rPr>
        <w:t>Marche avec chaussures : </w:t>
      </w:r>
      <w:r>
        <w:t> </w:t>
      </w:r>
      <w:r>
        <w:rPr>
          <w:rStyle w:val="optioncarChar"/>
        </w:rPr>
        <w:t>pas de spécification</w:t>
      </w:r>
      <w:r>
        <w:t> (par défaut)</w:t>
      </w:r>
      <w:r>
        <w:rPr>
          <w:rStyle w:val="optioncarChar"/>
        </w:rPr>
        <w:t> / R9 / R10 / R11 / R12 / R13</w:t>
      </w:r>
      <w:r>
        <w:rPr>
          <w:rStyle w:val="soitChar"/>
        </w:rPr>
        <w:t>.</w:t>
      </w:r>
      <w:r>
        <w:br/>
      </w:r>
      <w:r>
        <w:rPr>
          <w:rStyle w:val="soitChar"/>
        </w:rPr>
        <w:t>Marche pieds nus : </w:t>
      </w:r>
      <w:r>
        <w:rPr>
          <w:rStyle w:val="optioncarChar"/>
        </w:rPr>
        <w:t>pas de spécification </w:t>
      </w:r>
      <w:r>
        <w:t>(par défaut)</w:t>
      </w:r>
      <w:r>
        <w:rPr>
          <w:rStyle w:val="optioncarChar"/>
        </w:rPr>
        <w:t> / A / B / C.</w:t>
      </w:r>
      <w:r>
        <w:br/>
      </w:r>
      <w:r>
        <w:rPr>
          <w:rStyle w:val="soitChar"/>
        </w:rPr>
        <w:t>Capacité de refoulement des liquides : </w:t>
      </w:r>
      <w:r>
        <w:rPr>
          <w:rStyle w:val="optioncarChar"/>
        </w:rPr>
        <w:t>pas de spécification</w:t>
      </w:r>
      <w:r>
        <w:t> (par défaut)</w:t>
      </w:r>
      <w:r>
        <w:rPr>
          <w:rStyle w:val="optioncarChar"/>
        </w:rPr>
        <w:t> / V4 / V6 / V8 / V10.</w:t>
      </w:r>
    </w:p>
    <w:p w14:paraId="18E9EBFB" w14:textId="77777777" w:rsidR="004B2808" w:rsidRDefault="00000000">
      <w:pPr>
        <w:pStyle w:val="Author-eListParagraph"/>
        <w:numPr>
          <w:ilvl w:val="0"/>
          <w:numId w:val="561"/>
        </w:numPr>
      </w:pPr>
      <w:r>
        <w:rPr>
          <w:rStyle w:val="soitChar"/>
        </w:rPr>
        <w:t>Antidérapance – méthode du coefficient de frottement dynamique :</w:t>
      </w:r>
      <w:r>
        <w:br/>
      </w:r>
      <w:r>
        <w:rPr>
          <w:rStyle w:val="soitChar"/>
        </w:rPr>
        <w:t>Classement de Wüppertal : </w:t>
      </w:r>
      <w:r>
        <w:t> </w:t>
      </w:r>
      <w:r>
        <w:rPr>
          <w:rStyle w:val="optioncarChar"/>
        </w:rPr>
        <w:t>pas de spécification / très peu sûr / peu sûr / modérément sûr / sûr</w:t>
      </w:r>
      <w:r>
        <w:t> (par défaut)</w:t>
      </w:r>
      <w:r>
        <w:rPr>
          <w:rStyle w:val="optioncarChar"/>
        </w:rPr>
        <w:t> / très sûr.</w:t>
      </w:r>
    </w:p>
    <w:p w14:paraId="610EC2C4" w14:textId="77777777" w:rsidR="004B2808" w:rsidRDefault="00000000">
      <w:pPr>
        <w:pStyle w:val="Author-eListParagraph"/>
        <w:numPr>
          <w:ilvl w:val="0"/>
          <w:numId w:val="562"/>
        </w:numPr>
      </w:pPr>
      <w:r>
        <w:rPr>
          <w:rStyle w:val="soitChar"/>
        </w:rPr>
        <w:t>Antidérapance – méthode du pendule SRT :</w:t>
      </w:r>
      <w:r>
        <w:br/>
      </w:r>
      <w:r>
        <w:rPr>
          <w:rStyle w:val="soitChar"/>
        </w:rPr>
        <w:t>Classification selon le UK slip resistance group : </w:t>
      </w:r>
      <w:r>
        <w:t> </w:t>
      </w:r>
      <w:r>
        <w:rPr>
          <w:rStyle w:val="optioncarChar"/>
        </w:rPr>
        <w:t>pas de spécification / très peu sûr / peu sûr / modérément sûr</w:t>
      </w:r>
      <w:r>
        <w:t> (par défaut)</w:t>
      </w:r>
      <w:r>
        <w:rPr>
          <w:rStyle w:val="optioncarChar"/>
        </w:rPr>
        <w:t> / très sûr.</w:t>
      </w:r>
    </w:p>
    <w:p w14:paraId="0E52B717" w14:textId="77777777" w:rsidR="004B2808" w:rsidRDefault="00000000">
      <w:pPr>
        <w:pStyle w:val="Author-eListParagraph"/>
        <w:numPr>
          <w:ilvl w:val="0"/>
          <w:numId w:val="563"/>
        </w:numPr>
      </w:pPr>
      <w:r>
        <w:rPr>
          <w:rStyle w:val="soitChar"/>
        </w:rPr>
        <w:t>Résistance au tressaillage du carreau émaillé : </w:t>
      </w:r>
      <w:r>
        <w:t> </w:t>
      </w:r>
      <w:r>
        <w:rPr>
          <w:rStyle w:val="optioncarChar"/>
        </w:rPr>
        <w:t>pas de spécification </w:t>
      </w:r>
      <w:r>
        <w:t>(par défaut) </w:t>
      </w:r>
      <w:r>
        <w:rPr>
          <w:rStyle w:val="optioncarChar"/>
        </w:rPr>
        <w:t>/ résistant.</w:t>
      </w:r>
    </w:p>
    <w:p w14:paraId="1646B7B0" w14:textId="77777777" w:rsidR="004B2808" w:rsidRDefault="00000000">
      <w:pPr>
        <w:ind w:left="567"/>
        <w:jc w:val="both"/>
      </w:pPr>
      <w:r>
        <w:t> </w:t>
      </w:r>
    </w:p>
    <w:p w14:paraId="3201959C" w14:textId="77777777" w:rsidR="004B2808" w:rsidRDefault="00000000">
      <w:pPr>
        <w:ind w:left="567"/>
        <w:jc w:val="both"/>
      </w:pPr>
      <w:r>
        <w:rPr>
          <w:b/>
          <w:i/>
        </w:rPr>
        <w:t>(Soit)</w:t>
      </w:r>
    </w:p>
    <w:p w14:paraId="01D53DC5" w14:textId="77777777" w:rsidR="004B2808" w:rsidRDefault="00000000">
      <w:pPr>
        <w:ind w:left="567"/>
        <w:jc w:val="both"/>
      </w:pPr>
      <w:r>
        <w:rPr>
          <w:rStyle w:val="soitChar"/>
          <w:u w:val="single"/>
        </w:rPr>
        <w:t>Réemploi :</w:t>
      </w:r>
    </w:p>
    <w:p w14:paraId="6CAF559A" w14:textId="77777777" w:rsidR="004B2808" w:rsidRDefault="00000000">
      <w:pPr>
        <w:ind w:left="567"/>
        <w:jc w:val="both"/>
      </w:pPr>
      <w:r>
        <w:rPr>
          <w:rStyle w:val="soitChar"/>
        </w:rPr>
        <w:t>Il s’agit de carreaux de céramique issus </w:t>
      </w:r>
      <w:r>
        <w:rPr>
          <w:rStyle w:val="optioncarChar"/>
        </w:rPr>
        <w:t>du démontage de revêtement existants </w:t>
      </w:r>
      <w:r>
        <w:t>(par défaut)</w:t>
      </w:r>
      <w:r>
        <w:rPr>
          <w:rStyle w:val="optioncarChar"/>
        </w:rPr>
        <w:t>  / ***.</w:t>
      </w:r>
    </w:p>
    <w:p w14:paraId="1D73E724" w14:textId="77777777" w:rsidR="004B2808" w:rsidRDefault="00000000">
      <w:pPr>
        <w:ind w:left="567"/>
        <w:jc w:val="both"/>
      </w:pPr>
      <w:r>
        <w:rPr>
          <w:rStyle w:val="soitChar"/>
        </w:rPr>
        <w:t>Les carreaux de céramiques sont destinés à un usage similaire à l’usage initial ou moins sollicitant.</w:t>
      </w:r>
    </w:p>
    <w:p w14:paraId="027713BE" w14:textId="77777777" w:rsidR="004B2808" w:rsidRDefault="00000000">
      <w:pPr>
        <w:ind w:left="567"/>
        <w:jc w:val="both"/>
      </w:pPr>
      <w:r>
        <w:rPr>
          <w:rStyle w:val="soitChar"/>
        </w:rPr>
        <w:t>Pour une application initiale non connue les caractéristiques suivantes sont déterminées sur les échantillons représentatifs du lot.</w:t>
      </w:r>
    </w:p>
    <w:p w14:paraId="2D3D1453" w14:textId="77777777" w:rsidR="004B2808" w:rsidRDefault="00000000">
      <w:pPr>
        <w:pStyle w:val="Author-eListParagraph"/>
        <w:numPr>
          <w:ilvl w:val="1"/>
          <w:numId w:val="564"/>
        </w:numPr>
      </w:pPr>
      <w:r>
        <w:rPr>
          <w:rStyle w:val="soitChar"/>
        </w:rPr>
        <w:t>Classe (selon le taux d’absorption d’eau E et le procédé de fabrication) </w:t>
      </w:r>
      <w:r>
        <w:t> </w:t>
      </w:r>
      <w:r>
        <w:rPr>
          <w:rStyle w:val="optioncarChar"/>
        </w:rPr>
        <w:t>: AIa / AIb / AIIa-1 / AIIa-2 / AIIb-1 / AIIb-2 / AIII </w:t>
      </w:r>
      <w:r>
        <w:t>(par défaut) </w:t>
      </w:r>
      <w:r>
        <w:rPr>
          <w:rStyle w:val="optioncarChar"/>
        </w:rPr>
        <w:t>/ BIa / BIb / BIIa / BIIb / BIII</w:t>
      </w:r>
      <w:r>
        <w:rPr>
          <w:rStyle w:val="soitChar"/>
        </w:rPr>
        <w:t>.</w:t>
      </w:r>
      <w:r>
        <w:br/>
      </w:r>
    </w:p>
    <w:p w14:paraId="1B4185C1" w14:textId="77777777" w:rsidR="004B2808" w:rsidRDefault="00000000">
      <w:pPr>
        <w:pStyle w:val="Author-eListParagraph"/>
        <w:numPr>
          <w:ilvl w:val="1"/>
          <w:numId w:val="564"/>
        </w:numPr>
      </w:pPr>
      <w:r>
        <w:rPr>
          <w:rStyle w:val="soitChar"/>
        </w:rPr>
        <w:t>Résistance aux taches [NBN EN ISO 10545-14] : </w:t>
      </w:r>
      <w:r>
        <w:t> </w:t>
      </w:r>
      <w:r>
        <w:rPr>
          <w:rStyle w:val="optioncarChar"/>
        </w:rPr>
        <w:t>1 / 2 / 3</w:t>
      </w:r>
      <w:r>
        <w:t> (par défaut) </w:t>
      </w:r>
      <w:r>
        <w:rPr>
          <w:rStyle w:val="optioncarChar"/>
        </w:rPr>
        <w:t>/ 4 / 5</w:t>
      </w:r>
      <w:r>
        <w:rPr>
          <w:rStyle w:val="soitChar"/>
        </w:rPr>
        <w:t>.</w:t>
      </w:r>
      <w:r>
        <w:br/>
      </w:r>
    </w:p>
    <w:p w14:paraId="3BB5002D" w14:textId="77777777" w:rsidR="004B2808" w:rsidRDefault="00000000">
      <w:pPr>
        <w:ind w:left="567"/>
        <w:jc w:val="both"/>
      </w:pPr>
      <w:r>
        <w:rPr>
          <w:rStyle w:val="soitChar"/>
        </w:rPr>
        <w:t>Défauts esthétiques acceptables sur la face visible et les tranches des carreaux :  </w:t>
      </w:r>
    </w:p>
    <w:p w14:paraId="29D487A1" w14:textId="77777777" w:rsidR="004B2808" w:rsidRDefault="00000000">
      <w:pPr>
        <w:pStyle w:val="Author-eListParagraph"/>
        <w:numPr>
          <w:ilvl w:val="0"/>
          <w:numId w:val="565"/>
        </w:numPr>
      </w:pPr>
      <w:r>
        <w:rPr>
          <w:rStyle w:val="soitChar"/>
        </w:rPr>
        <w:t>Fissures sur une longueur de moins de</w:t>
      </w:r>
      <w:r>
        <w:rPr>
          <w:rStyle w:val="optioncarChar"/>
        </w:rPr>
        <w:t> 1 </w:t>
      </w:r>
      <w:r>
        <w:t>(par défaut)</w:t>
      </w:r>
      <w:r>
        <w:rPr>
          <w:rStyle w:val="optioncarChar"/>
        </w:rPr>
        <w:t> / 2 / 3 / 5 / ***</w:t>
      </w:r>
      <w:r>
        <w:rPr>
          <w:rStyle w:val="soitChar"/>
        </w:rPr>
        <w:t> cm </w:t>
      </w:r>
    </w:p>
    <w:p w14:paraId="5963F7B0" w14:textId="77777777" w:rsidR="004B2808" w:rsidRDefault="00000000">
      <w:pPr>
        <w:pStyle w:val="Author-eListParagraph"/>
        <w:numPr>
          <w:ilvl w:val="0"/>
          <w:numId w:val="566"/>
        </w:numPr>
        <w:jc w:val="both"/>
      </w:pPr>
      <w:r>
        <w:rPr>
          <w:rStyle w:val="soitChar"/>
        </w:rPr>
        <w:t>Eclats de moins de </w:t>
      </w:r>
      <w:r>
        <w:rPr>
          <w:rStyle w:val="optioncarChar"/>
        </w:rPr>
        <w:t>0,1</w:t>
      </w:r>
      <w:r>
        <w:t> (par défaut)</w:t>
      </w:r>
      <w:r>
        <w:rPr>
          <w:rStyle w:val="optioncarChar"/>
        </w:rPr>
        <w:t> / 0,25 / 0,5 / 1 / ***</w:t>
      </w:r>
      <w:r>
        <w:rPr>
          <w:rStyle w:val="soitChar"/>
        </w:rPr>
        <w:t> cm²   </w:t>
      </w:r>
    </w:p>
    <w:p w14:paraId="6B2210B9" w14:textId="77777777" w:rsidR="004B2808" w:rsidRDefault="004B2808">
      <w:pPr>
        <w:pStyle w:val="Author-eListParagraph"/>
        <w:numPr>
          <w:ilvl w:val="0"/>
          <w:numId w:val="566"/>
        </w:numPr>
        <w:jc w:val="both"/>
      </w:pPr>
    </w:p>
    <w:p w14:paraId="14E877BB" w14:textId="77777777" w:rsidR="004B2808" w:rsidRDefault="00000000">
      <w:pPr>
        <w:pStyle w:val="Author-eListParagraph"/>
        <w:numPr>
          <w:ilvl w:val="0"/>
          <w:numId w:val="566"/>
        </w:numPr>
        <w:jc w:val="both"/>
      </w:pPr>
      <w:r>
        <w:rPr>
          <w:rStyle w:val="soitChar"/>
        </w:rPr>
        <w:t>Trace de colle ou mortier sur les tranches : </w:t>
      </w:r>
      <w:r>
        <w:rPr>
          <w:rStyle w:val="optioncarChar"/>
        </w:rPr>
        <w:t>aucune </w:t>
      </w:r>
      <w:r>
        <w:t>(par défaut)</w:t>
      </w:r>
      <w:r>
        <w:rPr>
          <w:rStyle w:val="optioncarChar"/>
        </w:rPr>
        <w:t> / 10 % / 20 % / 30 % / 50 % / *** %  </w:t>
      </w:r>
    </w:p>
    <w:p w14:paraId="3545F16A" w14:textId="77777777" w:rsidR="004B2808" w:rsidRDefault="004B2808">
      <w:pPr>
        <w:pStyle w:val="Author-eListParagraph"/>
        <w:numPr>
          <w:ilvl w:val="0"/>
          <w:numId w:val="566"/>
        </w:numPr>
        <w:jc w:val="both"/>
      </w:pPr>
    </w:p>
    <w:p w14:paraId="574B36FD" w14:textId="77777777" w:rsidR="004B2808" w:rsidRDefault="00000000">
      <w:pPr>
        <w:pStyle w:val="Author-eListParagraph"/>
        <w:numPr>
          <w:ilvl w:val="0"/>
          <w:numId w:val="566"/>
        </w:numPr>
        <w:jc w:val="both"/>
      </w:pPr>
      <w:r>
        <w:rPr>
          <w:rStyle w:val="soitChar"/>
        </w:rPr>
        <w:t>Largeur des irrégularités sur les arêtes en partant des bords : </w:t>
      </w:r>
      <w:r>
        <w:rPr>
          <w:rStyle w:val="optioncarChar"/>
        </w:rPr>
        <w:t>0,1 </w:t>
      </w:r>
      <w:r>
        <w:t>(par défaut)</w:t>
      </w:r>
      <w:r>
        <w:rPr>
          <w:rStyle w:val="optioncarChar"/>
        </w:rPr>
        <w:t> / 0,2 / 0,5 / ***</w:t>
      </w:r>
      <w:r>
        <w:rPr>
          <w:rStyle w:val="soitChar"/>
        </w:rPr>
        <w:t> cm </w:t>
      </w:r>
    </w:p>
    <w:p w14:paraId="7B896CAF" w14:textId="77777777" w:rsidR="004B2808" w:rsidRDefault="00000000">
      <w:pPr>
        <w:pStyle w:val="pheading"/>
      </w:pPr>
      <w:r>
        <w:t>- Finitions</w:t>
      </w:r>
    </w:p>
    <w:p w14:paraId="621B818A" w14:textId="77777777" w:rsidR="004B2808" w:rsidRDefault="00000000">
      <w:r>
        <w:t>Couleur : </w:t>
      </w:r>
      <w:r>
        <w:rPr>
          <w:rStyle w:val="optioncarChar"/>
        </w:rPr>
        <w:t>sable / jaune / gris / noir / bleu / vert / ***</w:t>
      </w:r>
      <w:r>
        <w:t>. L'entrepreneur soumet une carte de couleurs.</w:t>
      </w:r>
    </w:p>
    <w:p w14:paraId="544570A9" w14:textId="77777777" w:rsidR="004B2808" w:rsidRDefault="00000000">
      <w:pPr>
        <w:pStyle w:val="Author-eListParagraph"/>
        <w:numPr>
          <w:ilvl w:val="0"/>
          <w:numId w:val="567"/>
        </w:numPr>
      </w:pPr>
      <w:r>
        <w:t>Finition : </w:t>
      </w:r>
      <w:r>
        <w:rPr>
          <w:rStyle w:val="optioncarChar"/>
        </w:rPr>
        <w:t>émaillé (GL) / non émaillé (UGL) / engobé / poli</w:t>
      </w:r>
      <w:r>
        <w:br/>
      </w:r>
    </w:p>
    <w:p w14:paraId="06FFE1F5" w14:textId="77777777" w:rsidR="004B2808" w:rsidRDefault="00000000">
      <w:pPr>
        <w:pStyle w:val="Author-eListParagraph"/>
        <w:numPr>
          <w:ilvl w:val="0"/>
          <w:numId w:val="567"/>
        </w:numPr>
      </w:pPr>
      <w:r>
        <w:lastRenderedPageBreak/>
        <w:t>Aspect : lisse</w:t>
      </w:r>
    </w:p>
    <w:p w14:paraId="218C3053" w14:textId="77777777" w:rsidR="004B2808" w:rsidRDefault="00000000">
      <w:pPr>
        <w:pStyle w:val="pheading"/>
      </w:pPr>
      <w:r>
        <w:t>EXÉCUTION / MISE EN ŒUVRE</w:t>
      </w:r>
    </w:p>
    <w:p w14:paraId="1A269C19" w14:textId="77777777" w:rsidR="004B2808" w:rsidRDefault="00000000">
      <w:pPr>
        <w:pStyle w:val="pheading"/>
      </w:pPr>
      <w:r>
        <w:t>- Prescriptions générales</w:t>
      </w:r>
    </w:p>
    <w:p w14:paraId="563F2A8C" w14:textId="77777777" w:rsidR="004B2808" w:rsidRDefault="00000000">
      <w:pPr>
        <w:jc w:val="both"/>
      </w:pPr>
      <w:r>
        <w:t>Le type de pose dispose en carreaux : </w:t>
      </w:r>
      <w:r>
        <w:rPr>
          <w:rStyle w:val="optioncarChar"/>
        </w:rPr>
        <w:t>opus romain / carrés </w:t>
      </w:r>
      <w:r>
        <w:t>(par défaut) </w:t>
      </w:r>
      <w:r>
        <w:rPr>
          <w:rStyle w:val="optioncarChar"/>
        </w:rPr>
        <w:t>/ losanges (sur pointe) / joints coupés ou contrériés / bâtons rompus au carré / bâtons rompus en diagonale (en parquet) / rectangles et carrés / rectangles en bandes de largeur et/ou de longueur variées / dalles octogonales à cabochons / ***.</w:t>
      </w:r>
    </w:p>
    <w:p w14:paraId="505010EE" w14:textId="77777777" w:rsidR="004B2808" w:rsidRDefault="00000000">
      <w:pPr>
        <w:jc w:val="both"/>
      </w:pPr>
      <w:r>
        <w:t>Choix de la technique de pose : </w:t>
      </w:r>
      <w:r>
        <w:rPr>
          <w:rStyle w:val="optioncarChar"/>
        </w:rPr>
        <w:t>pose au mortier-colle sur chape durcie </w:t>
      </w:r>
      <w:r>
        <w:t>(par défaut)</w:t>
      </w:r>
      <w:r>
        <w:rPr>
          <w:rStyle w:val="optioncarChar"/>
        </w:rPr>
        <w:t> / pose en chape fraîche / pose au mortier sur lit de sable stabilisé ou sur support durci / autres techniques.</w:t>
      </w:r>
    </w:p>
    <w:p w14:paraId="2AA64CA9" w14:textId="77777777" w:rsidR="004B2808" w:rsidRDefault="00000000">
      <w:pPr>
        <w:ind w:left="567"/>
        <w:jc w:val="both"/>
      </w:pPr>
      <w:r>
        <w:rPr>
          <w:b/>
          <w:i/>
        </w:rPr>
        <w:t>(Soit par défaut)</w:t>
      </w:r>
    </w:p>
    <w:p w14:paraId="48D7ACD6" w14:textId="77777777" w:rsidR="004B2808" w:rsidRDefault="00000000">
      <w:pPr>
        <w:ind w:left="567"/>
        <w:jc w:val="both"/>
      </w:pPr>
      <w:r>
        <w:rPr>
          <w:rStyle w:val="soitChar"/>
          <w:u w:val="single"/>
        </w:rPr>
        <w:t>Pose au mortier-colle sur chape durcie : </w:t>
      </w:r>
    </w:p>
    <w:p w14:paraId="150E657C" w14:textId="77777777" w:rsidR="004B2808" w:rsidRDefault="00000000">
      <w:pPr>
        <w:ind w:left="567"/>
        <w:jc w:val="both"/>
      </w:pPr>
      <w:r>
        <w:rPr>
          <w:rStyle w:val="soitChar"/>
        </w:rPr>
        <w:t xml:space="preserve"> On se réfère au §6.1 de la [NIT 237]. Le délai d’attente avant la pose du revêtement est ‘x’ semaines pour une épaisseur de chape de ‘x’ centimètres avec un minimum de 28 jours (sauf chape à durcissement rapide). La surface de la chape est propre et non traitée avec des produits. Elle est en outre exempte de fissures anormales, non poudreuse et, de préférence, légèrement rugueuse et absorbante en surface. Au moment de la pose, elle ne peut présenter de la condensation et sa température est comprise entre 5 et 30°C. S’il s’agit d’une chape anhydrite, le carreleur s’assure de la compatibilité avec le mortier-colle.</w:t>
      </w:r>
    </w:p>
    <w:p w14:paraId="6458146C" w14:textId="77777777" w:rsidR="004B2808" w:rsidRDefault="004B2808">
      <w:pPr>
        <w:ind w:left="567"/>
        <w:jc w:val="both"/>
      </w:pPr>
    </w:p>
    <w:p w14:paraId="22144CED" w14:textId="77777777" w:rsidR="004B2808" w:rsidRDefault="00000000">
      <w:pPr>
        <w:ind w:left="567"/>
        <w:jc w:val="both"/>
      </w:pPr>
      <w:r>
        <w:rPr>
          <w:b/>
          <w:i/>
        </w:rPr>
        <w:t>(Soit)</w:t>
      </w:r>
    </w:p>
    <w:p w14:paraId="7FD7E3D4" w14:textId="77777777" w:rsidR="004B2808" w:rsidRDefault="00000000">
      <w:pPr>
        <w:ind w:left="567"/>
        <w:jc w:val="both"/>
      </w:pPr>
      <w:r>
        <w:rPr>
          <w:rStyle w:val="soitChar"/>
          <w:u w:val="single"/>
        </w:rPr>
        <w:t>Pose en chape fraîche : </w:t>
      </w:r>
    </w:p>
    <w:p w14:paraId="184C4403" w14:textId="77777777" w:rsidR="004B2808" w:rsidRDefault="00000000">
      <w:pPr>
        <w:ind w:left="567"/>
        <w:jc w:val="both"/>
      </w:pPr>
      <w:r>
        <w:rPr>
          <w:rStyle w:val="soitChar"/>
        </w:rPr>
        <w:t xml:space="preserve"> On se réfère au §6.2 de la [NIT 237].</w:t>
      </w:r>
    </w:p>
    <w:p w14:paraId="40D9F4A4" w14:textId="77777777" w:rsidR="004B2808" w:rsidRDefault="004B2808">
      <w:pPr>
        <w:ind w:left="567"/>
        <w:jc w:val="both"/>
      </w:pPr>
    </w:p>
    <w:p w14:paraId="048B1159" w14:textId="77777777" w:rsidR="004B2808" w:rsidRDefault="00000000">
      <w:pPr>
        <w:ind w:left="567"/>
        <w:jc w:val="both"/>
      </w:pPr>
      <w:r>
        <w:rPr>
          <w:b/>
          <w:i/>
        </w:rPr>
        <w:t>(Soit)</w:t>
      </w:r>
    </w:p>
    <w:p w14:paraId="662527AC" w14:textId="77777777" w:rsidR="004B2808" w:rsidRDefault="00000000">
      <w:pPr>
        <w:ind w:left="567"/>
        <w:jc w:val="both"/>
      </w:pPr>
      <w:r>
        <w:rPr>
          <w:rStyle w:val="soitChar"/>
          <w:u w:val="single"/>
        </w:rPr>
        <w:t>Pose au mortier sur lit de sable stabilisé ou sur support durci : </w:t>
      </w:r>
    </w:p>
    <w:p w14:paraId="3A6FCEFF" w14:textId="77777777" w:rsidR="004B2808" w:rsidRDefault="00000000">
      <w:pPr>
        <w:ind w:left="567"/>
        <w:jc w:val="both"/>
      </w:pPr>
      <w:r>
        <w:rPr>
          <w:rStyle w:val="soitChar"/>
        </w:rPr>
        <w:t xml:space="preserve"> On se réfère au §6.3 de la [NIT 237].</w:t>
      </w:r>
    </w:p>
    <w:p w14:paraId="6E64DA7C" w14:textId="77777777" w:rsidR="004B2808" w:rsidRDefault="00000000">
      <w:pPr>
        <w:ind w:left="567"/>
        <w:jc w:val="both"/>
      </w:pPr>
      <w:r>
        <w:rPr>
          <w:rStyle w:val="soitChar"/>
        </w:rPr>
        <w:t xml:space="preserve"> Support : </w:t>
      </w:r>
      <w:r>
        <w:rPr>
          <w:rStyle w:val="optioncarChar"/>
        </w:rPr>
        <w:t xml:space="preserve">sable stabilisé / support dur et stable </w:t>
      </w:r>
      <w:r>
        <w:t>(par défaut) </w:t>
      </w:r>
      <w:r>
        <w:rPr>
          <w:rStyle w:val="optioncarChar"/>
        </w:rPr>
        <w:t>/ ***.</w:t>
      </w:r>
    </w:p>
    <w:p w14:paraId="2E1EBCB0" w14:textId="77777777" w:rsidR="004B2808" w:rsidRDefault="004B2808">
      <w:pPr>
        <w:ind w:left="567"/>
        <w:jc w:val="both"/>
      </w:pPr>
    </w:p>
    <w:p w14:paraId="6C39664E" w14:textId="77777777" w:rsidR="004B2808" w:rsidRDefault="00000000">
      <w:pPr>
        <w:ind w:left="567"/>
        <w:jc w:val="both"/>
      </w:pPr>
      <w:r>
        <w:rPr>
          <w:b/>
          <w:i/>
        </w:rPr>
        <w:t>(Soit)</w:t>
      </w:r>
    </w:p>
    <w:p w14:paraId="7116AB47" w14:textId="77777777" w:rsidR="004B2808" w:rsidRDefault="00000000">
      <w:pPr>
        <w:ind w:left="567"/>
        <w:jc w:val="both"/>
      </w:pPr>
      <w:r>
        <w:rPr>
          <w:rStyle w:val="soitChar"/>
          <w:u w:val="single"/>
        </w:rPr>
        <w:t>Autres techniques :</w:t>
      </w:r>
    </w:p>
    <w:p w14:paraId="0DB5C732" w14:textId="77777777" w:rsidR="004B2808" w:rsidRDefault="00000000">
      <w:pPr>
        <w:ind w:left="567"/>
        <w:jc w:val="both"/>
      </w:pPr>
      <w:r>
        <w:rPr>
          <w:rStyle w:val="soitChar"/>
        </w:rPr>
        <w:t xml:space="preserve"> On se réfère au §6.4 de la [NIT 237].</w:t>
      </w:r>
    </w:p>
    <w:p w14:paraId="11A77B25" w14:textId="77777777" w:rsidR="004B2808" w:rsidRDefault="00000000">
      <w:pPr>
        <w:ind w:left="567"/>
        <w:jc w:val="both"/>
      </w:pPr>
      <w:r>
        <w:rPr>
          <w:rStyle w:val="soitChar"/>
        </w:rPr>
        <w:t xml:space="preserve"> Techniques : </w:t>
      </w:r>
      <w:r>
        <w:rPr>
          <w:rStyle w:val="optioncarChar"/>
        </w:rPr>
        <w:t xml:space="preserve">pose à l’aide d’une colle en dispersion sur chape durcie </w:t>
      </w:r>
      <w:r>
        <w:t>(par défaut)</w:t>
      </w:r>
      <w:r>
        <w:rPr>
          <w:rStyle w:val="optioncarChar"/>
        </w:rPr>
        <w:t xml:space="preserve"> / pose à l’aide de colle réactive / pose au mortier-colle sur natte</w:t>
      </w:r>
      <w:r>
        <w:rPr>
          <w:rStyle w:val="soitChar"/>
        </w:rPr>
        <w:t>.</w:t>
      </w:r>
    </w:p>
    <w:p w14:paraId="612BF3D6" w14:textId="77777777" w:rsidR="004B2808" w:rsidRDefault="00000000">
      <w:pPr>
        <w:jc w:val="both"/>
      </w:pPr>
      <w:r>
        <w:t> </w:t>
      </w:r>
    </w:p>
    <w:p w14:paraId="6E3637D3" w14:textId="77777777" w:rsidR="004B2808" w:rsidRDefault="00000000">
      <w:pPr>
        <w:jc w:val="both"/>
      </w:pPr>
      <w:r>
        <w:t>Les produits de jointoyage sont :</w:t>
      </w:r>
    </w:p>
    <w:p w14:paraId="310886C0" w14:textId="77777777" w:rsidR="004B2808" w:rsidRDefault="00000000">
      <w:pPr>
        <w:pStyle w:val="Author-eListParagraph"/>
        <w:numPr>
          <w:ilvl w:val="0"/>
          <w:numId w:val="568"/>
        </w:numPr>
        <w:jc w:val="both"/>
      </w:pPr>
      <w:r>
        <w:t>Teinte : </w:t>
      </w:r>
      <w:r>
        <w:rPr>
          <w:rStyle w:val="optioncarChar"/>
        </w:rPr>
        <w:t xml:space="preserve">gris clair </w:t>
      </w:r>
      <w:r>
        <w:t>(par défaut)</w:t>
      </w:r>
      <w:r>
        <w:rPr>
          <w:rStyle w:val="optioncarChar"/>
        </w:rPr>
        <w:t> / ***.</w:t>
      </w:r>
    </w:p>
    <w:p w14:paraId="2F263936" w14:textId="77777777" w:rsidR="004B2808" w:rsidRDefault="004B2808">
      <w:pPr>
        <w:pStyle w:val="Author-eListParagraph"/>
        <w:numPr>
          <w:ilvl w:val="0"/>
          <w:numId w:val="568"/>
        </w:numPr>
        <w:jc w:val="both"/>
      </w:pPr>
    </w:p>
    <w:p w14:paraId="686D8EB4" w14:textId="77777777" w:rsidR="004B2808" w:rsidRDefault="00000000">
      <w:pPr>
        <w:pStyle w:val="Author-eListParagraph"/>
        <w:numPr>
          <w:ilvl w:val="0"/>
          <w:numId w:val="568"/>
        </w:numPr>
        <w:jc w:val="both"/>
      </w:pPr>
      <w:r>
        <w:t>Liquides et solutions auxquels le produit résiste (voir tableau 34 de la [NIT 237] : </w:t>
      </w:r>
      <w:r>
        <w:rPr>
          <w:rStyle w:val="optioncarChar"/>
        </w:rPr>
        <w:t xml:space="preserve">pas de spécification </w:t>
      </w:r>
      <w:r>
        <w:t>(par défaut)</w:t>
      </w:r>
      <w:r>
        <w:rPr>
          <w:rStyle w:val="optioncarChar"/>
        </w:rPr>
        <w:t> / ***.</w:t>
      </w:r>
    </w:p>
    <w:p w14:paraId="4E08712C" w14:textId="77777777" w:rsidR="004B2808" w:rsidRDefault="004B2808">
      <w:pPr>
        <w:pStyle w:val="Author-eListParagraph"/>
        <w:numPr>
          <w:ilvl w:val="0"/>
          <w:numId w:val="568"/>
        </w:numPr>
        <w:jc w:val="both"/>
      </w:pPr>
    </w:p>
    <w:p w14:paraId="34EA8066" w14:textId="77777777" w:rsidR="004B2808" w:rsidRDefault="00000000">
      <w:pPr>
        <w:jc w:val="both"/>
      </w:pPr>
      <w:r>
        <w:t>Liquides et solutions auxquels le produit pour joint de mouvement résiste (voir tableau 34 de la [NIT 237] : </w:t>
      </w:r>
      <w:r>
        <w:rPr>
          <w:rStyle w:val="optioncarChar"/>
        </w:rPr>
        <w:t xml:space="preserve">pas de spécification </w:t>
      </w:r>
      <w:r>
        <w:t>(par défaut)</w:t>
      </w:r>
      <w:r>
        <w:rPr>
          <w:rStyle w:val="optioncarChar"/>
        </w:rPr>
        <w:t> / ***</w:t>
      </w:r>
      <w:r>
        <w:t>.</w:t>
      </w:r>
    </w:p>
    <w:p w14:paraId="234C939C" w14:textId="77777777" w:rsidR="004B2808" w:rsidRDefault="00000000">
      <w:pPr>
        <w:pStyle w:val="pheading"/>
      </w:pPr>
      <w:r>
        <w:t>DOCUMENTS DE RÉFÉRENCE COMPLÉMENTAIRES</w:t>
      </w:r>
    </w:p>
    <w:p w14:paraId="4BC7973F" w14:textId="77777777" w:rsidR="004B2808" w:rsidRDefault="00000000">
      <w:pPr>
        <w:pStyle w:val="pheading"/>
      </w:pPr>
      <w:r>
        <w:t>- Matériau</w:t>
      </w:r>
    </w:p>
    <w:p w14:paraId="430221FB" w14:textId="77777777" w:rsidR="004B2808" w:rsidRDefault="00000000">
      <w:r>
        <w:lastRenderedPageBreak/>
        <w:t>[STS 52.1, Menuiseries extérieures en bois]</w:t>
      </w:r>
    </w:p>
    <w:p w14:paraId="43DE68B5" w14:textId="77777777" w:rsidR="004B2808" w:rsidRDefault="00000000">
      <w:pPr>
        <w:pStyle w:val="pheading"/>
      </w:pPr>
      <w:r>
        <w:t>MESURAGE</w:t>
      </w:r>
    </w:p>
    <w:p w14:paraId="4663CF61" w14:textId="77777777" w:rsidR="004B2808" w:rsidRDefault="00000000">
      <w:pPr>
        <w:pStyle w:val="pheading"/>
      </w:pPr>
      <w:r>
        <w:t>- unité de mesure:</w:t>
      </w:r>
    </w:p>
    <w:p w14:paraId="7E179E17" w14:textId="77777777" w:rsidR="004B2808" w:rsidRDefault="00000000">
      <w:r>
        <w:t>m²</w:t>
      </w:r>
    </w:p>
    <w:p w14:paraId="6B18E119" w14:textId="77777777" w:rsidR="004B2808" w:rsidRDefault="00000000">
      <w:pPr>
        <w:pStyle w:val="pheading"/>
      </w:pPr>
      <w:r>
        <w:t>- code de mesurage:</w:t>
      </w:r>
    </w:p>
    <w:p w14:paraId="348068F4" w14:textId="77777777" w:rsidR="004B2808" w:rsidRDefault="00000000">
      <w:pPr>
        <w:jc w:val="both"/>
      </w:pPr>
      <w:r>
        <w:t>En fonction de la nature et des dimensions des carrelages, surface nette mesurée. Les dimensions, déduites des plans, sont exprimées dans un multiple de 50 mm, arrondi vers le bas. Les surfaces sont mesurées par-dessus les joints et soudures. Les entre-portes carrelés sont également comptés. Les ouvertures et les interruptions supérieures à 0,50 m2 sont déduites.</w:t>
      </w:r>
    </w:p>
    <w:p w14:paraId="3D472FA2" w14:textId="77777777" w:rsidR="004B2808" w:rsidRDefault="00000000">
      <w:pPr>
        <w:jc w:val="both"/>
      </w:pPr>
      <w:r>
        <w:t>Distinction faite suivant le type de carreaux (neuf et/ou de réemploi). S’il s’agit de réemploi, distinguer  avec ou sans fourniture.</w:t>
      </w:r>
    </w:p>
    <w:p w14:paraId="6EFB2F44" w14:textId="77777777" w:rsidR="004B2808" w:rsidRDefault="00000000">
      <w:pPr>
        <w:pStyle w:val="pheading"/>
      </w:pPr>
      <w:r>
        <w:t>- nature du marché:</w:t>
      </w:r>
    </w:p>
    <w:p w14:paraId="3551469B" w14:textId="77777777" w:rsidR="004B2808" w:rsidRDefault="00000000">
      <w:r>
        <w:t>QF</w:t>
      </w:r>
    </w:p>
    <w:p w14:paraId="0A0E6860" w14:textId="77777777" w:rsidR="004B2808" w:rsidRDefault="00000000">
      <w:pPr>
        <w:pStyle w:val="Author-eSectionHeading4Numberless"/>
      </w:pPr>
      <w:bookmarkStart w:id="633" w:name="_Toc220490792"/>
      <w:r>
        <w:t>53.52 Revêtements de sols en pierre naturelle CCTB 01.13</w:t>
      </w:r>
      <w:bookmarkEnd w:id="633"/>
    </w:p>
    <w:p w14:paraId="65C6E9F6" w14:textId="77777777" w:rsidR="004B2808" w:rsidRDefault="00000000">
      <w:pPr>
        <w:pStyle w:val="pheading"/>
      </w:pPr>
      <w:bookmarkStart w:id="634" w:name="1284"/>
      <w:bookmarkEnd w:id="634"/>
      <w:r>
        <w:t>MATÉRIAUX</w:t>
      </w:r>
    </w:p>
    <w:p w14:paraId="1B0A8053" w14:textId="77777777" w:rsidR="004B2808" w:rsidRDefault="00000000">
      <w:r>
        <w:t>Les carreaux en pierre naturelle doivent satisfaire aux [STS 45 série], 2ème partie - Matériaux et à la [NIT 213] et la [NIT 228].</w:t>
      </w:r>
    </w:p>
    <w:p w14:paraId="7CE9B096" w14:textId="77777777" w:rsidR="004B2808" w:rsidRDefault="00000000">
      <w:pPr>
        <w:pStyle w:val="heading"/>
      </w:pPr>
      <w:r>
        <w:t>Spécifications</w:t>
      </w:r>
    </w:p>
    <w:p w14:paraId="2C2872CA" w14:textId="77777777" w:rsidR="004B2808" w:rsidRDefault="00000000">
      <w:r>
        <w:t xml:space="preserve">Type de pierre : </w:t>
      </w:r>
      <w:r>
        <w:rPr>
          <w:rStyle w:val="optioncarChar"/>
        </w:rPr>
        <w:t>pierre bleue (selon les [STS 45 série] .09.12.3) </w:t>
      </w:r>
      <w:r>
        <w:t>(par défaut)</w:t>
      </w:r>
      <w:r>
        <w:rPr>
          <w:rStyle w:val="optioncarChar"/>
        </w:rPr>
        <w:t xml:space="preserve"> / ***</w:t>
      </w:r>
    </w:p>
    <w:p w14:paraId="26C87272" w14:textId="77777777" w:rsidR="004B2808" w:rsidRDefault="00000000">
      <w:r>
        <w:t xml:space="preserve">Origine : </w:t>
      </w:r>
      <w:r>
        <w:rPr>
          <w:rStyle w:val="optioncarChar"/>
        </w:rPr>
        <w:t>Belge (Soignies, Ecaussines, Neufvilles, Condroz, vallée du Bocq) </w:t>
      </w:r>
      <w:r>
        <w:t>(par défaut)</w:t>
      </w:r>
      <w:r>
        <w:rPr>
          <w:rStyle w:val="optioncarChar"/>
        </w:rPr>
        <w:t xml:space="preserve"> / ***</w:t>
      </w:r>
    </w:p>
    <w:p w14:paraId="72DB48B1" w14:textId="77777777" w:rsidR="004B2808" w:rsidRDefault="00000000">
      <w:r>
        <w:t>Catégorie : C (selon les [STS 45 série])</w:t>
      </w:r>
    </w:p>
    <w:p w14:paraId="6180A0DD" w14:textId="77777777" w:rsidR="004B2808" w:rsidRDefault="00000000">
      <w:r>
        <w:t xml:space="preserve">Texture et finition de la surface : </w:t>
      </w:r>
      <w:r>
        <w:rPr>
          <w:rStyle w:val="optioncarChar"/>
        </w:rPr>
        <w:t>meulé bleu / adouci bleu / poli mat / poli brillant.</w:t>
      </w:r>
    </w:p>
    <w:p w14:paraId="1EA83426" w14:textId="77777777" w:rsidR="004B2808" w:rsidRDefault="00000000">
      <w:r>
        <w:t xml:space="preserve">Dimensions modulaires : </w:t>
      </w:r>
      <w:r>
        <w:rPr>
          <w:rStyle w:val="optioncarChar"/>
        </w:rPr>
        <w:t>200 x 200 </w:t>
      </w:r>
      <w:r>
        <w:t>(par défaut)</w:t>
      </w:r>
      <w:r>
        <w:rPr>
          <w:rStyle w:val="optioncarChar"/>
        </w:rPr>
        <w:t xml:space="preserve"> / 300 x 300 / 400 x 400 / 500 x 500 / 150 x 300 / 200 x 300 / 250 x 500 / 400 x 600 / *** </w:t>
      </w:r>
      <w:r>
        <w:t>mm</w:t>
      </w:r>
    </w:p>
    <w:p w14:paraId="35E564EE" w14:textId="77777777" w:rsidR="004B2808" w:rsidRDefault="00000000">
      <w:r>
        <w:t xml:space="preserve">Epaisseur des carreaux : minimum </w:t>
      </w:r>
      <w:r>
        <w:rPr>
          <w:rStyle w:val="optioncarChar"/>
        </w:rPr>
        <w:t xml:space="preserve">20 (admissible pour les carreaux jusqu'à 500 x 500 mm) </w:t>
      </w:r>
      <w:r>
        <w:t>(par défaut) </w:t>
      </w:r>
      <w:r>
        <w:rPr>
          <w:rStyle w:val="optioncarChar"/>
        </w:rPr>
        <w:t>/ 30 / 40 / ***</w:t>
      </w:r>
      <w:r>
        <w:t xml:space="preserve"> mm</w:t>
      </w:r>
    </w:p>
    <w:p w14:paraId="3C5DD11B" w14:textId="77777777" w:rsidR="004B2808" w:rsidRDefault="00000000">
      <w:r>
        <w:t>Selon la [Décision 96/603/CE] de la Commission du 4 octobre 1996 </w:t>
      </w:r>
      <w:r>
        <w:rPr>
          <w:b/>
        </w:rPr>
        <w:t xml:space="preserve"> et les conditions qui y sont reprises,</w:t>
      </w:r>
      <w:r>
        <w:t xml:space="preserve"> les produits en pierre naturelle appartiennent à la classe de réaction au feu A1</w:t>
      </w:r>
      <w:r>
        <w:rPr>
          <w:vertAlign w:val="subscript"/>
        </w:rPr>
        <w:t>FL</w:t>
      </w:r>
      <w:r>
        <w:t>.</w:t>
      </w:r>
    </w:p>
    <w:p w14:paraId="762BE00F" w14:textId="77777777" w:rsidR="004B2808" w:rsidRDefault="00000000">
      <w:r>
        <w:rPr>
          <w:u w:val="single"/>
        </w:rPr>
        <w:t>Note à l'attention de l'auteur de projet</w:t>
      </w:r>
    </w:p>
    <w:p w14:paraId="0C3F84D5" w14:textId="77777777" w:rsidR="004B2808" w:rsidRDefault="00000000">
      <w:r>
        <w:t>Caractéristiques de la pierre bleue déterminées selon la [NIT 220] :</w:t>
      </w:r>
    </w:p>
    <w:p w14:paraId="7BD789B6" w14:textId="77777777" w:rsidR="004B2808" w:rsidRDefault="00000000">
      <w:r>
        <w:t>- Masse volumique apparente : 2.687 kg/m3.</w:t>
      </w:r>
    </w:p>
    <w:p w14:paraId="16CAFD03" w14:textId="77777777" w:rsidR="004B2808" w:rsidRDefault="00000000">
      <w:r>
        <w:t>- Porosité: 0,28 vol % (sous vide de 610 mm Hg (pression résiduelle 150 mm Hg ou 20,4 kPa)).</w:t>
      </w:r>
    </w:p>
    <w:p w14:paraId="0459132B" w14:textId="77777777" w:rsidR="004B2808" w:rsidRDefault="00000000">
      <w:r>
        <w:t>- Stabilité formelle : résiste au gel.</w:t>
      </w:r>
    </w:p>
    <w:p w14:paraId="6840F923" w14:textId="77777777" w:rsidR="004B2808" w:rsidRDefault="00000000">
      <w:r>
        <w:t>- Résistance à la compression : 157,9 N/mm2.</w:t>
      </w:r>
    </w:p>
    <w:p w14:paraId="1FA2AD7A" w14:textId="77777777" w:rsidR="004B2808" w:rsidRDefault="00000000">
      <w:r>
        <w:t>- Résistance à la flexion : 16,7 N/mm2.</w:t>
      </w:r>
    </w:p>
    <w:p w14:paraId="3EE5DB2A" w14:textId="77777777" w:rsidR="004B2808" w:rsidRDefault="00000000">
      <w:r>
        <w:t>- Vitesse de transmission du bruit : 5.527 m/s.</w:t>
      </w:r>
    </w:p>
    <w:p w14:paraId="1315BCCB" w14:textId="77777777" w:rsidR="004B2808" w:rsidRDefault="00000000">
      <w:r>
        <w:t>- Résistance à l'usure (mm/1.000 m) : 2,87m.</w:t>
      </w:r>
    </w:p>
    <w:p w14:paraId="43F865C1" w14:textId="77777777" w:rsidR="004B2808" w:rsidRDefault="00000000">
      <w:r>
        <w:t>- Module d'élasticité statique : 86.900 N/mm2 ([NBN B 15-203]).</w:t>
      </w:r>
    </w:p>
    <w:p w14:paraId="2B6464D2" w14:textId="77777777" w:rsidR="004B2808" w:rsidRDefault="00000000">
      <w:r>
        <w:t>- Module d'élasticité dynamique: 77.600 N/mm2 ([NBN B 15-230]</w:t>
      </w:r>
    </w:p>
    <w:p w14:paraId="457C9F9C" w14:textId="77777777" w:rsidR="004B2808" w:rsidRDefault="00000000">
      <w:pPr>
        <w:ind w:left="750"/>
      </w:pPr>
      <w:r>
        <w:t> </w:t>
      </w:r>
    </w:p>
    <w:p w14:paraId="5903FCE9" w14:textId="77777777" w:rsidR="004B2808" w:rsidRDefault="00000000">
      <w:pPr>
        <w:pStyle w:val="pheading"/>
      </w:pPr>
      <w:r>
        <w:t>EXÉCUTION / MISE EN ŒUVRE</w:t>
      </w:r>
    </w:p>
    <w:p w14:paraId="090A5D4D" w14:textId="77777777" w:rsidR="004B2808" w:rsidRDefault="00000000">
      <w:r>
        <w:lastRenderedPageBreak/>
        <w:t>Les carreaux sont posés selon les [STS 45 série] / troisième fascicule sur un lit de sable sec et propre, d'une épaisseur minimale de 20 mm ou d'une épaisseur minimale de 10 mm.</w:t>
      </w:r>
    </w:p>
    <w:p w14:paraId="6DAA009A" w14:textId="77777777" w:rsidR="004B2808" w:rsidRDefault="00000000">
      <w:r>
        <w:t>Les carreaux sont ensuite mis en œuvre dans un mortier de pose d'une épaisseur de 15 mm. Le mortier de pose se compose de :</w:t>
      </w:r>
    </w:p>
    <w:p w14:paraId="2DE6058A" w14:textId="77777777" w:rsidR="004B2808" w:rsidRDefault="00000000">
      <w:r>
        <w:t xml:space="preserve">Choix opéré: </w:t>
      </w:r>
      <w:r>
        <w:rPr>
          <w:rStyle w:val="optioncarChar"/>
        </w:rPr>
        <w:t>OPTION 1 / OPTION 2</w:t>
      </w:r>
    </w:p>
    <w:p w14:paraId="6C6F40B1" w14:textId="77777777" w:rsidR="004B2808" w:rsidRDefault="00000000">
      <w:r>
        <w:rPr>
          <w:b/>
        </w:rPr>
        <w:t>***OPTION 1:</w:t>
      </w:r>
      <w:r>
        <w:t xml:space="preserve"> 250 kg de ciment de la classe de résistance 32,5 et 50 kg de chaux grasse par m3 de sable mi-rude.</w:t>
      </w:r>
    </w:p>
    <w:p w14:paraId="0311C409" w14:textId="77777777" w:rsidR="004B2808" w:rsidRDefault="00000000">
      <w:r>
        <w:rPr>
          <w:b/>
        </w:rPr>
        <w:t>***OPTION 2:</w:t>
      </w:r>
      <w:r>
        <w:t xml:space="preserve"> 175 kg de ciment de la classe de résistance 32,5 et 175 kg de chaux hydraulique par m3 de sable mi-rude.</w:t>
      </w:r>
    </w:p>
    <w:p w14:paraId="5B9A38F4" w14:textId="77777777" w:rsidR="004B2808" w:rsidRDefault="00000000">
      <w:r>
        <w:t>Rejointoiement : Les joints sont remplis après deux jours avec un mortier bâtard.</w:t>
      </w:r>
    </w:p>
    <w:p w14:paraId="4687BE83" w14:textId="77777777" w:rsidR="004B2808" w:rsidRDefault="00000000">
      <w:r>
        <w:rPr>
          <w:u w:val="single"/>
        </w:rPr>
        <w:t xml:space="preserve">Attention </w:t>
      </w:r>
    </w:p>
    <w:p w14:paraId="60A47836" w14:textId="77777777" w:rsidR="004B2808" w:rsidRDefault="00000000">
      <w:r>
        <w:t>Lorsque les carreaux sont en marbre blanc, il faut également tenir compte de la [NIT 182].</w:t>
      </w:r>
    </w:p>
    <w:p w14:paraId="20A49A8B" w14:textId="77777777" w:rsidR="004B2808" w:rsidRDefault="00000000">
      <w:r>
        <w:t>Lorsque les carreaux sont posés sur une chape chauffante, les dispositions de la [NIT 179] sont également d'application.</w:t>
      </w:r>
    </w:p>
    <w:p w14:paraId="65C981B0" w14:textId="77777777" w:rsidR="004B2808" w:rsidRDefault="00000000">
      <w:pPr>
        <w:pStyle w:val="heading"/>
      </w:pPr>
      <w:r>
        <w:t>Notes d'exécution complémentaires</w:t>
      </w:r>
    </w:p>
    <w:p w14:paraId="7E8129CE" w14:textId="77777777" w:rsidR="004B2808" w:rsidRDefault="00000000">
      <w:r>
        <w:t>Les carreaux sont posés symétriquement par rapport aux axes du local.</w:t>
      </w:r>
    </w:p>
    <w:p w14:paraId="3C2DC11E" w14:textId="77777777" w:rsidR="004B2808" w:rsidRDefault="00000000">
      <w:r>
        <w:t xml:space="preserve">Appareillage (selon la [NIT 237], chapitre 5) : à </w:t>
      </w:r>
      <w:r>
        <w:rPr>
          <w:rStyle w:val="optioncarChar"/>
        </w:rPr>
        <w:t xml:space="preserve">joints coupés ou contrariés </w:t>
      </w:r>
      <w:r>
        <w:t xml:space="preserve">(par défaut) </w:t>
      </w:r>
      <w:r>
        <w:rPr>
          <w:rStyle w:val="optioncarChar"/>
        </w:rPr>
        <w:t>/ opus romain / opus incertum / carré / losange (sur pointe) / ***</w:t>
      </w:r>
    </w:p>
    <w:p w14:paraId="42566A59" w14:textId="77777777" w:rsidR="004B2808" w:rsidRDefault="00000000">
      <w:r>
        <w:t xml:space="preserve">Les carreaux non modulaires sont posés avec une largeur de joint d'environ </w:t>
      </w:r>
      <w:r>
        <w:rPr>
          <w:rStyle w:val="optioncarChar"/>
        </w:rPr>
        <w:t xml:space="preserve"> 3 </w:t>
      </w:r>
      <w:r>
        <w:t xml:space="preserve">(par défaut) </w:t>
      </w:r>
      <w:r>
        <w:rPr>
          <w:rStyle w:val="optioncarChar"/>
        </w:rPr>
        <w:t>/ 5 / *** </w:t>
      </w:r>
      <w:r>
        <w:t>mm.</w:t>
      </w:r>
    </w:p>
    <w:p w14:paraId="083AB8FE" w14:textId="77777777" w:rsidR="004B2808" w:rsidRDefault="00000000">
      <w:r>
        <w:t xml:space="preserve">Couleur des joints : </w:t>
      </w:r>
      <w:r>
        <w:rPr>
          <w:rStyle w:val="optioncarChar"/>
        </w:rPr>
        <w:t>gris</w:t>
      </w:r>
      <w:r>
        <w:t xml:space="preserve"> (par défaut) </w:t>
      </w:r>
      <w:r>
        <w:rPr>
          <w:rStyle w:val="optioncarChar"/>
        </w:rPr>
        <w:t>/ adapté à la couleur des carrelages ***</w:t>
      </w:r>
    </w:p>
    <w:p w14:paraId="4FD7A7E3" w14:textId="77777777" w:rsidR="004B2808" w:rsidRDefault="00000000">
      <w:pPr>
        <w:ind w:left="750"/>
      </w:pPr>
      <w:r>
        <w:t> </w:t>
      </w:r>
    </w:p>
    <w:p w14:paraId="1F509179" w14:textId="77777777" w:rsidR="004B2808" w:rsidRDefault="00000000">
      <w:pPr>
        <w:pStyle w:val="pheading"/>
      </w:pPr>
      <w:r>
        <w:t>CONTRÔLES</w:t>
      </w:r>
    </w:p>
    <w:p w14:paraId="70E998E9" w14:textId="77777777" w:rsidR="004B2808" w:rsidRDefault="00000000">
      <w:r>
        <w:t>La réception comporte l'analyse des pierres conformément à la [NIT 220] et/ou [NIT 213].</w:t>
      </w:r>
    </w:p>
    <w:p w14:paraId="4C9C0733" w14:textId="77777777" w:rsidR="004B2808" w:rsidRDefault="00000000">
      <w:pPr>
        <w:pStyle w:val="Author-eSectionHeading5Numberless"/>
      </w:pPr>
      <w:bookmarkStart w:id="635" w:name="_Toc220490793"/>
      <w:r>
        <w:t>53.52.1 Revêtements de sols en pierres sédimentaires CCTB 01.02</w:t>
      </w:r>
      <w:bookmarkEnd w:id="635"/>
    </w:p>
    <w:p w14:paraId="18CD0061" w14:textId="77777777" w:rsidR="004B2808" w:rsidRDefault="00000000">
      <w:pPr>
        <w:pStyle w:val="Author-eSectionHeading6Numberless"/>
      </w:pPr>
      <w:bookmarkStart w:id="636" w:name="_Toc220490794"/>
      <w:r>
        <w:t>53.52.1a Revêtements de sols en pierres sédimentaires, en pierres calcaires marbrières - pierres bleues  CCTB 01.02</w:t>
      </w:r>
      <w:bookmarkEnd w:id="636"/>
    </w:p>
    <w:p w14:paraId="0B943C58" w14:textId="77777777" w:rsidR="004B2808" w:rsidRDefault="00000000">
      <w:pPr>
        <w:pStyle w:val="Author-eSectionHeading6Numberless"/>
      </w:pPr>
      <w:bookmarkStart w:id="637" w:name="_Toc220490795"/>
      <w:r>
        <w:t>53.52.1b Revêtements de sols en pierres sédimentaires, en pierres calcaires marbrières - autres pierres marbrières  CCTB 01.02</w:t>
      </w:r>
      <w:bookmarkEnd w:id="637"/>
    </w:p>
    <w:p w14:paraId="50DBAACC" w14:textId="77777777" w:rsidR="004B2808" w:rsidRDefault="00000000">
      <w:pPr>
        <w:pStyle w:val="Author-eSectionHeading6Numberless"/>
      </w:pPr>
      <w:bookmarkStart w:id="638" w:name="_Toc220490796"/>
      <w:r>
        <w:t>53.52.1c Revêtements de sols en pierres sédimentaires, en pierres calcaires non marbrières - pierres blanches CCTB 01.02</w:t>
      </w:r>
      <w:bookmarkEnd w:id="638"/>
    </w:p>
    <w:p w14:paraId="1634421B" w14:textId="77777777" w:rsidR="004B2808" w:rsidRDefault="00000000">
      <w:pPr>
        <w:pStyle w:val="Author-eSectionHeading6Numberless"/>
      </w:pPr>
      <w:bookmarkStart w:id="639" w:name="_Toc220490797"/>
      <w:r>
        <w:t>53.52.1d Revêtements de sols en pierres sédimentaires, en pierres calcaires non marbrières -autres pierres calcaires non marbrières  CCTB 01.02</w:t>
      </w:r>
      <w:bookmarkEnd w:id="639"/>
    </w:p>
    <w:p w14:paraId="6DD8D228" w14:textId="77777777" w:rsidR="004B2808" w:rsidRDefault="00000000">
      <w:pPr>
        <w:pStyle w:val="Author-eSectionHeading6Numberless"/>
      </w:pPr>
      <w:bookmarkStart w:id="640" w:name="_Toc220490798"/>
      <w:r>
        <w:t>53.52.1e Revêtements de sols en pierres sédimentaires, en pierres calcaires non marbrières - calcaire gréseux  CCTB 01.02</w:t>
      </w:r>
      <w:bookmarkEnd w:id="640"/>
    </w:p>
    <w:p w14:paraId="32034C42" w14:textId="77777777" w:rsidR="004B2808" w:rsidRDefault="00000000">
      <w:pPr>
        <w:pStyle w:val="Author-eSectionHeading6Numberless"/>
      </w:pPr>
      <w:bookmarkStart w:id="641" w:name="_Toc220490799"/>
      <w:r>
        <w:t>53.52.1f Revêtements de sols en pierres sédimentaires, en pierres siliceuses - grès  CCTB 01.02</w:t>
      </w:r>
      <w:bookmarkEnd w:id="641"/>
    </w:p>
    <w:p w14:paraId="4391400A" w14:textId="77777777" w:rsidR="004B2808" w:rsidRDefault="00000000">
      <w:pPr>
        <w:pStyle w:val="Author-eSectionHeading6Numberless"/>
      </w:pPr>
      <w:bookmarkStart w:id="642" w:name="_Toc220490800"/>
      <w:r>
        <w:t>53.52.1g Revêtements de sols en pierres sédimentaires, en pierres siliceuses - schiste - shale CCTB 01.02</w:t>
      </w:r>
      <w:bookmarkEnd w:id="642"/>
    </w:p>
    <w:p w14:paraId="3652A516" w14:textId="77777777" w:rsidR="004B2808" w:rsidRDefault="00000000">
      <w:pPr>
        <w:pStyle w:val="Author-eSectionHeading5Numberless"/>
      </w:pPr>
      <w:bookmarkStart w:id="643" w:name="_Toc220490801"/>
      <w:r>
        <w:t>53.52.2 Revêtements de sols en pierres magmatiques CCTB 01.02</w:t>
      </w:r>
      <w:bookmarkEnd w:id="643"/>
    </w:p>
    <w:p w14:paraId="1B941496" w14:textId="77777777" w:rsidR="004B2808" w:rsidRDefault="00000000">
      <w:pPr>
        <w:pStyle w:val="Author-eSectionHeading6Numberless"/>
      </w:pPr>
      <w:bookmarkStart w:id="644" w:name="_Toc220490802"/>
      <w:r>
        <w:t>53.52.2a Revêtements de sols en pierres magmatiques - en granits CCTB 01.02</w:t>
      </w:r>
      <w:bookmarkEnd w:id="644"/>
    </w:p>
    <w:p w14:paraId="1AE67EEF" w14:textId="77777777" w:rsidR="004B2808" w:rsidRDefault="00000000">
      <w:pPr>
        <w:pStyle w:val="Author-eSectionHeading6Numberless"/>
      </w:pPr>
      <w:bookmarkStart w:id="645" w:name="_Toc220490803"/>
      <w:r>
        <w:lastRenderedPageBreak/>
        <w:t>53.52.2b Revêtements de sols en pierres magmatiques - en basaltes CCTB 01.02</w:t>
      </w:r>
      <w:bookmarkEnd w:id="645"/>
    </w:p>
    <w:p w14:paraId="17A05265" w14:textId="77777777" w:rsidR="004B2808" w:rsidRDefault="00000000">
      <w:pPr>
        <w:pStyle w:val="Author-eSectionHeading5Numberless"/>
      </w:pPr>
      <w:bookmarkStart w:id="646" w:name="_Toc220490804"/>
      <w:r>
        <w:t>53.52.3 Revêtements de sols en pierres métamorphiques CCTB 01.02</w:t>
      </w:r>
      <w:bookmarkEnd w:id="646"/>
    </w:p>
    <w:p w14:paraId="7C85AFAD" w14:textId="77777777" w:rsidR="004B2808" w:rsidRDefault="00000000">
      <w:pPr>
        <w:pStyle w:val="Author-eSectionHeading6Numberless"/>
      </w:pPr>
      <w:bookmarkStart w:id="647" w:name="_Toc220490805"/>
      <w:r>
        <w:t>53.52.3a Revêtements de sols en pierres métamorphiques - en marbres CCTB 01.02</w:t>
      </w:r>
      <w:bookmarkEnd w:id="647"/>
    </w:p>
    <w:p w14:paraId="2FB16886" w14:textId="77777777" w:rsidR="004B2808" w:rsidRDefault="00000000">
      <w:pPr>
        <w:pStyle w:val="Author-eSectionHeading6Numberless"/>
      </w:pPr>
      <w:bookmarkStart w:id="648" w:name="_Toc220490806"/>
      <w:r>
        <w:t>53.52.3b Revêtements de sols en pierres métamorphiques - en gneiss CCTB 01.02</w:t>
      </w:r>
      <w:bookmarkEnd w:id="648"/>
    </w:p>
    <w:p w14:paraId="4403AD14" w14:textId="77777777" w:rsidR="004B2808" w:rsidRDefault="00000000">
      <w:pPr>
        <w:pStyle w:val="Author-eSectionHeading6Numberless"/>
      </w:pPr>
      <w:bookmarkStart w:id="649" w:name="_Toc220490807"/>
      <w:r>
        <w:t>53.52.3c Revêtements de sols en pierres métamorphiques - en serpentinite CCTB 01.02</w:t>
      </w:r>
      <w:bookmarkEnd w:id="649"/>
    </w:p>
    <w:p w14:paraId="5C13AE48" w14:textId="77777777" w:rsidR="004B2808" w:rsidRDefault="00000000">
      <w:pPr>
        <w:pStyle w:val="Author-eSectionHeading4Numberless"/>
      </w:pPr>
      <w:bookmarkStart w:id="650" w:name="_Toc220490808"/>
      <w:r>
        <w:t>53.53 Revêtements en carreaux en mosaïque CCTB 01.12</w:t>
      </w:r>
      <w:bookmarkEnd w:id="650"/>
    </w:p>
    <w:p w14:paraId="7A11EE13" w14:textId="77777777" w:rsidR="004B2808" w:rsidRDefault="00000000">
      <w:pPr>
        <w:pStyle w:val="pheading"/>
      </w:pPr>
      <w:bookmarkStart w:id="651" w:name="1350"/>
      <w:bookmarkEnd w:id="651"/>
      <w:r>
        <w:t>DESCRIPTION</w:t>
      </w:r>
    </w:p>
    <w:p w14:paraId="1CE73AA7" w14:textId="77777777" w:rsidR="004B2808" w:rsidRDefault="00000000">
      <w:pPr>
        <w:pStyle w:val="pheading"/>
      </w:pPr>
      <w:r>
        <w:t>- Définition / Comprend</w:t>
      </w:r>
    </w:p>
    <w:p w14:paraId="6DC1D3EF" w14:textId="77777777" w:rsidR="004B2808" w:rsidRDefault="00000000">
      <w:r>
        <w:t>Cf. </w:t>
      </w:r>
      <w:hyperlink w:anchor="1274" w:history="1">
        <w:r w:rsidR="004B2808">
          <w:rPr>
            <w:color w:val="0000EE"/>
          </w:rPr>
          <w:t>51.63 Revêtements en carreaux en mosaïque</w:t>
        </w:r>
      </w:hyperlink>
    </w:p>
    <w:p w14:paraId="3FEC6BAA" w14:textId="77777777" w:rsidR="004B2808" w:rsidRDefault="00000000">
      <w:pPr>
        <w:pStyle w:val="Author-eSectionHeading5Numberless"/>
      </w:pPr>
      <w:bookmarkStart w:id="652" w:name="_Toc220490809"/>
      <w:r>
        <w:t>53.53.1 Revêtements en carreaux en mosaïque de marbre CCTB 01.02</w:t>
      </w:r>
      <w:bookmarkEnd w:id="652"/>
    </w:p>
    <w:p w14:paraId="6BEB2BB3" w14:textId="77777777" w:rsidR="004B2808" w:rsidRDefault="00000000">
      <w:pPr>
        <w:pStyle w:val="Author-eSectionHeading6Numberless"/>
      </w:pPr>
      <w:bookmarkStart w:id="653" w:name="_Toc220490810"/>
      <w:r>
        <w:t>53.53.1a Revêtements en carreaux en mosaïque de marbre CCTB 01.10</w:t>
      </w:r>
      <w:bookmarkEnd w:id="653"/>
    </w:p>
    <w:p w14:paraId="37F87527" w14:textId="77777777" w:rsidR="004B2808" w:rsidRDefault="00000000">
      <w:pPr>
        <w:pStyle w:val="pheading"/>
      </w:pPr>
      <w:bookmarkStart w:id="654" w:name="1285"/>
      <w:bookmarkEnd w:id="654"/>
      <w:r>
        <w:t>MATÉRIAUX</w:t>
      </w:r>
    </w:p>
    <w:p w14:paraId="51B32E36" w14:textId="77777777" w:rsidR="004B2808" w:rsidRDefault="00000000">
      <w:pPr>
        <w:pStyle w:val="pheading"/>
      </w:pPr>
      <w:r>
        <w:t>- Caractéristiques générales</w:t>
      </w:r>
    </w:p>
    <w:p w14:paraId="6200ADAC" w14:textId="77777777" w:rsidR="004B2808" w:rsidRDefault="00000000">
      <w:r>
        <w:t>Les carreaux se composent d'une couche inférieure de granulats fins et de ciment selon la [NBN EN 14618] et la [NBN EN 15285]. Ils sont parachevés d'une couche décorative en:</w:t>
      </w:r>
    </w:p>
    <w:p w14:paraId="4F139A71" w14:textId="77777777" w:rsidR="004B2808" w:rsidRDefault="00000000">
      <w:r>
        <w:t xml:space="preserve">Choix opéré: </w:t>
      </w:r>
      <w:r>
        <w:rPr>
          <w:rStyle w:val="optioncarChar"/>
        </w:rPr>
        <w:t>OPTION 1 (granulés de marbre) / OPTION 2 (granulats de pierres)</w:t>
      </w:r>
    </w:p>
    <w:p w14:paraId="3E18BDAA" w14:textId="77777777" w:rsidR="004B2808" w:rsidRDefault="00000000">
      <w:r>
        <w:rPr>
          <w:b/>
        </w:rPr>
        <w:t>***OPTION 1:</w:t>
      </w:r>
      <w:r>
        <w:rPr>
          <w:u w:val="single"/>
        </w:rPr>
        <w:t>granulés de marbre et/ou paillettes de marbre</w:t>
      </w:r>
      <w:r>
        <w:t>, liés au ciment gris ou blanc, des colorants éventuels et des granulats fins. Après durcissement, cette couche décorative est polie afin d'obtenir l'effet de mosaïque. Les carreaux doivent satisfaire aux [STS 45 série], troisième tome - Pierre reconstituée, § 09.22.11.</w:t>
      </w:r>
    </w:p>
    <w:p w14:paraId="5630E9B7" w14:textId="77777777" w:rsidR="004B2808" w:rsidRDefault="00000000">
      <w:r>
        <w:rPr>
          <w:b/>
        </w:rPr>
        <w:t>***OPTION 2:</w:t>
      </w:r>
      <w:r>
        <w:rPr>
          <w:u w:val="single"/>
        </w:rPr>
        <w:t>granulats à base de pierres dures mélangées</w:t>
      </w:r>
      <w:r>
        <w:t xml:space="preserve"> : marbre / porphyre / granite / quartz / basalte / *** Les carreaux satisfont aux [STS 45 série], troisième tome - Pierre reconstituée, § 09.22.12.</w:t>
      </w:r>
    </w:p>
    <w:p w14:paraId="2D82EBD8" w14:textId="77777777" w:rsidR="004B2808" w:rsidRDefault="00000000">
      <w:pPr>
        <w:pStyle w:val="heading"/>
      </w:pPr>
      <w:r>
        <w:t>Spécifications</w:t>
      </w:r>
    </w:p>
    <w:p w14:paraId="129E998F" w14:textId="77777777" w:rsidR="004B2808" w:rsidRDefault="00000000">
      <w:r>
        <w:t xml:space="preserve">Dimensions modulaires : </w:t>
      </w:r>
      <w:r>
        <w:rPr>
          <w:rStyle w:val="optioncarChar"/>
        </w:rPr>
        <w:t>200 x 200</w:t>
      </w:r>
      <w:r>
        <w:t> (par défaut)</w:t>
      </w:r>
      <w:r>
        <w:rPr>
          <w:rStyle w:val="optioncarChar"/>
        </w:rPr>
        <w:t xml:space="preserve"> / 300 x 300 / 400 x 400 / 500 x 500 / 200 x 300 / ***</w:t>
      </w:r>
      <w:r>
        <w:t xml:space="preserve"> mm</w:t>
      </w:r>
    </w:p>
    <w:p w14:paraId="6975BF7D" w14:textId="77777777" w:rsidR="004B2808" w:rsidRDefault="00000000">
      <w:r>
        <w:t xml:space="preserve">Epaisseur : minimum </w:t>
      </w:r>
      <w:r>
        <w:rPr>
          <w:rStyle w:val="optioncarChar"/>
        </w:rPr>
        <w:t>20 (pour les carreaux jusqu'à 500 x 500 mm) </w:t>
      </w:r>
      <w:r>
        <w:t>(par défaut)</w:t>
      </w:r>
      <w:r>
        <w:rPr>
          <w:rStyle w:val="optioncarChar"/>
        </w:rPr>
        <w:t xml:space="preserve"> / 30 / ***</w:t>
      </w:r>
      <w:r>
        <w:t xml:space="preserve"> mm.</w:t>
      </w:r>
    </w:p>
    <w:p w14:paraId="6540159E" w14:textId="77777777" w:rsidR="004B2808" w:rsidRDefault="00000000">
      <w:r>
        <w:t xml:space="preserve">Catégorie : </w:t>
      </w:r>
      <w:r>
        <w:rPr>
          <w:rStyle w:val="optioncarChar"/>
        </w:rPr>
        <w:t>grain fin 2 à 4 mm </w:t>
      </w:r>
      <w:r>
        <w:t>(par défaut)</w:t>
      </w:r>
      <w:r>
        <w:rPr>
          <w:rStyle w:val="optioncarChar"/>
        </w:rPr>
        <w:t xml:space="preserve"> / grain moyen 4 à 8 mm / paillettes moyennes 8 à 22 mm /</w:t>
      </w:r>
      <w:r>
        <w:t xml:space="preserve"> ***</w:t>
      </w:r>
    </w:p>
    <w:p w14:paraId="668A4E39" w14:textId="77777777" w:rsidR="004B2808" w:rsidRDefault="00000000">
      <w:r>
        <w:t>Selon la [Décision 96/603/CE]</w:t>
      </w:r>
      <w:r>
        <w:rPr>
          <w:b/>
        </w:rPr>
        <w:t xml:space="preserve"> et les conditions qui y sont reprises</w:t>
      </w:r>
      <w:r>
        <w:t>, le béton appartient à la classe de réaction au feu A1</w:t>
      </w:r>
      <w:r>
        <w:rPr>
          <w:vertAlign w:val="subscript"/>
        </w:rPr>
        <w:t>FL</w:t>
      </w:r>
      <w:r>
        <w:t>.</w:t>
      </w:r>
    </w:p>
    <w:p w14:paraId="62E7DC43" w14:textId="77777777" w:rsidR="004B2808" w:rsidRDefault="00000000">
      <w:pPr>
        <w:ind w:left="750"/>
      </w:pPr>
      <w:r>
        <w:t> </w:t>
      </w:r>
    </w:p>
    <w:p w14:paraId="73F9E455" w14:textId="77777777" w:rsidR="004B2808" w:rsidRDefault="00000000">
      <w:pPr>
        <w:pStyle w:val="pheading"/>
      </w:pPr>
      <w:r>
        <w:t>- Finitions</w:t>
      </w:r>
    </w:p>
    <w:p w14:paraId="54B98398" w14:textId="77777777" w:rsidR="004B2808" w:rsidRDefault="00000000">
      <w:r>
        <w:t xml:space="preserve">Aspect : </w:t>
      </w:r>
      <w:r>
        <w:rPr>
          <w:rStyle w:val="optioncarChar"/>
        </w:rPr>
        <w:t>plat tacheté </w:t>
      </w:r>
      <w:r>
        <w:t xml:space="preserve">(par défaut) </w:t>
      </w:r>
      <w:r>
        <w:rPr>
          <w:rStyle w:val="optioncarChar"/>
        </w:rPr>
        <w:t>/ flammé / ***</w:t>
      </w:r>
    </w:p>
    <w:p w14:paraId="6BFA3BA7" w14:textId="77777777" w:rsidR="004B2808" w:rsidRDefault="00000000">
      <w:r>
        <w:t xml:space="preserve">Nuance de couleur : </w:t>
      </w:r>
      <w:r>
        <w:rPr>
          <w:rStyle w:val="optioncarChar"/>
        </w:rPr>
        <w:t xml:space="preserve">l'entrepreneur soumettra une carte de couleurs avec au moins cinq coloris </w:t>
      </w:r>
      <w:r>
        <w:t>(par défaut) / ***</w:t>
      </w:r>
      <w:r>
        <w:rPr>
          <w:rStyle w:val="optioncarChar"/>
        </w:rPr>
        <w:t>.</w:t>
      </w:r>
    </w:p>
    <w:p w14:paraId="79CF62E9" w14:textId="77777777" w:rsidR="004B2808" w:rsidRDefault="00000000">
      <w:r>
        <w:t xml:space="preserve">Finition de la surface : </w:t>
      </w:r>
      <w:r>
        <w:rPr>
          <w:rStyle w:val="optioncarChar"/>
        </w:rPr>
        <w:t>polie (satinée) </w:t>
      </w:r>
      <w:r>
        <w:t>(par défaut)</w:t>
      </w:r>
      <w:r>
        <w:rPr>
          <w:rStyle w:val="optioncarChar"/>
        </w:rPr>
        <w:t xml:space="preserve"> / polie (brillante) / ***</w:t>
      </w:r>
    </w:p>
    <w:p w14:paraId="24127E8E" w14:textId="77777777" w:rsidR="004B2808" w:rsidRDefault="00000000">
      <w:pPr>
        <w:pStyle w:val="pheading"/>
      </w:pPr>
      <w:r>
        <w:t>- Prescriptions complémentaires</w:t>
      </w:r>
    </w:p>
    <w:p w14:paraId="748DD570" w14:textId="77777777" w:rsidR="004B2808" w:rsidRDefault="00000000">
      <w:pPr>
        <w:pStyle w:val="facult"/>
      </w:pPr>
      <w:r>
        <w:lastRenderedPageBreak/>
        <w:t>- La face décorative est traitée avec des</w:t>
      </w:r>
      <w:r>
        <w:rPr>
          <w:rStyle w:val="optioncarChar"/>
        </w:rPr>
        <w:t xml:space="preserve"> résines</w:t>
      </w:r>
      <w:r>
        <w:t xml:space="preserve"> (par défaut) </w:t>
      </w:r>
      <w:r>
        <w:rPr>
          <w:rStyle w:val="optioncarChar"/>
        </w:rPr>
        <w:t>/ ***.</w:t>
      </w:r>
    </w:p>
    <w:p w14:paraId="00423150" w14:textId="77777777" w:rsidR="004B2808" w:rsidRDefault="00000000">
      <w:r>
        <w:rPr>
          <w:rStyle w:val="facultChar"/>
        </w:rPr>
        <w:t>- Antidérapant : texture de la surface R 12</w:t>
      </w:r>
      <w:r>
        <w:rPr>
          <w:rStyle w:val="optioncarChar"/>
        </w:rPr>
        <w:t xml:space="preserve"> selon la norme [DIN 51097]</w:t>
      </w:r>
      <w:r>
        <w:t>(par défaut)</w:t>
      </w:r>
      <w:r>
        <w:rPr>
          <w:rStyle w:val="optioncarChar"/>
        </w:rPr>
        <w:t> / ***</w:t>
      </w:r>
    </w:p>
    <w:p w14:paraId="066A74DA" w14:textId="77777777" w:rsidR="004B2808" w:rsidRDefault="00000000">
      <w:pPr>
        <w:pStyle w:val="facult"/>
      </w:pPr>
      <w:r>
        <w:t xml:space="preserve">- Les matériaux sont peu combustibles (classes </w:t>
      </w:r>
      <w:r>
        <w:rPr>
          <w:rStyle w:val="optioncarChar"/>
        </w:rPr>
        <w:t>A1FL/A2FL</w:t>
      </w:r>
      <w:r>
        <w:t xml:space="preserve"> selon la [NBN EN 13501-1].</w:t>
      </w:r>
    </w:p>
    <w:p w14:paraId="3D1177CF" w14:textId="77777777" w:rsidR="004B2808" w:rsidRDefault="00000000">
      <w:pPr>
        <w:pStyle w:val="pheading"/>
      </w:pPr>
      <w:r>
        <w:t>EXÉCUTION / MISE EN ŒUVRE</w:t>
      </w:r>
    </w:p>
    <w:p w14:paraId="622E1347" w14:textId="77777777" w:rsidR="004B2808" w:rsidRDefault="00000000">
      <w:pPr>
        <w:pStyle w:val="pheading"/>
      </w:pPr>
      <w:r>
        <w:t>- Prescriptions générales</w:t>
      </w:r>
    </w:p>
    <w:p w14:paraId="1CA68501" w14:textId="77777777" w:rsidR="004B2808" w:rsidRDefault="00000000">
      <w:r>
        <w:t>Les carreaux sont posés conformément aux [NIT 213] et [NBN EN 13748-1].  Les joints périphériques, de désolidarisation et de dilatations sont compris et doivent être exécutés selon les directives du chapitre 5.5 de la [NIT 213]</w:t>
      </w:r>
    </w:p>
    <w:p w14:paraId="3B4934A8" w14:textId="77777777" w:rsidR="004B2808" w:rsidRDefault="00000000">
      <w:r>
        <w:t xml:space="preserve">(voir aussi </w:t>
      </w:r>
      <w:hyperlink w:anchor="1130" w:history="1">
        <w:r w:rsidR="004B2808">
          <w:rPr>
            <w:color w:val="0000EE"/>
          </w:rPr>
          <w:t>53.5 Revêtements de sols intérieurs</w:t>
        </w:r>
      </w:hyperlink>
      <w:r>
        <w:t>)</w:t>
      </w:r>
    </w:p>
    <w:p w14:paraId="0275DAD7" w14:textId="77777777" w:rsidR="004B2808" w:rsidRDefault="00000000">
      <w:r>
        <w:t xml:space="preserve">Les carreaux sont posés: </w:t>
      </w:r>
      <w:r>
        <w:rPr>
          <w:rStyle w:val="optioncarChar"/>
        </w:rPr>
        <w:t>sur un lit de sable stabilisé au ciment, selon le § 5.1.1 et suivants de la [NIT 213]</w:t>
      </w:r>
      <w:r>
        <w:t>(par défaut) </w:t>
      </w:r>
      <w:r>
        <w:rPr>
          <w:rStyle w:val="optioncarChar"/>
        </w:rPr>
        <w:t>/ ***</w:t>
      </w:r>
    </w:p>
    <w:p w14:paraId="7E591A5B" w14:textId="77777777" w:rsidR="004B2808" w:rsidRDefault="00000000">
      <w:pPr>
        <w:ind w:left="750"/>
      </w:pPr>
      <w:r>
        <w:t> </w:t>
      </w:r>
    </w:p>
    <w:p w14:paraId="3B55145D" w14:textId="77777777" w:rsidR="004B2808" w:rsidRDefault="00000000">
      <w:pPr>
        <w:pStyle w:val="pheading"/>
      </w:pPr>
      <w:r>
        <w:t>- Notes d’exécution complémentaires</w:t>
      </w:r>
    </w:p>
    <w:p w14:paraId="49FB1591" w14:textId="77777777" w:rsidR="004B2808" w:rsidRDefault="00000000">
      <w:r>
        <w:t xml:space="preserve">Les carreaux non modulaires sont posés avec une largeur de joint d'environ </w:t>
      </w:r>
      <w:r>
        <w:rPr>
          <w:rStyle w:val="optioncarChar"/>
        </w:rPr>
        <w:t>2</w:t>
      </w:r>
      <w:r>
        <w:t xml:space="preserve"> (par défaut) </w:t>
      </w:r>
      <w:r>
        <w:rPr>
          <w:rStyle w:val="optioncarChar"/>
        </w:rPr>
        <w:t>/ 3 / 4 / ***</w:t>
      </w:r>
      <w:r>
        <w:t>mm.</w:t>
      </w:r>
    </w:p>
    <w:p w14:paraId="40773717" w14:textId="77777777" w:rsidR="004B2808" w:rsidRDefault="00000000">
      <w:r>
        <w:t>La largeur des joints est d'au moins 2 mm pour les carreaux de 200 x 200 mm et de 3 mm pour les carreaux de dimensions supérieures.</w:t>
      </w:r>
    </w:p>
    <w:p w14:paraId="388937E9" w14:textId="77777777" w:rsidR="004B2808" w:rsidRDefault="00000000">
      <w:r>
        <w:t xml:space="preserve">Appareillage (selon la [NIT 237], chapitre 5) : à </w:t>
      </w:r>
      <w:r>
        <w:rPr>
          <w:rStyle w:val="optioncarChar"/>
        </w:rPr>
        <w:t>joints coupés ou contrariés</w:t>
      </w:r>
      <w:r>
        <w:t xml:space="preserve"> (par défaut) </w:t>
      </w:r>
      <w:r>
        <w:rPr>
          <w:rStyle w:val="optioncarChar"/>
        </w:rPr>
        <w:t>/ carrés / losanges (sur pointe) / ***</w:t>
      </w:r>
    </w:p>
    <w:p w14:paraId="0332B539" w14:textId="77777777" w:rsidR="004B2808" w:rsidRDefault="00000000">
      <w:r>
        <w:t>Les carreaux sont posés symétriquement par rapport aux axes du local.</w:t>
      </w:r>
    </w:p>
    <w:p w14:paraId="4B5EFB70" w14:textId="77777777" w:rsidR="004B2808" w:rsidRDefault="00000000">
      <w:r>
        <w:t xml:space="preserve">Couleur des joints : </w:t>
      </w:r>
      <w:r>
        <w:rPr>
          <w:rStyle w:val="optioncarChar"/>
        </w:rPr>
        <w:t>***</w:t>
      </w:r>
    </w:p>
    <w:p w14:paraId="15E0C638" w14:textId="77777777" w:rsidR="004B2808" w:rsidRDefault="00000000">
      <w:pPr>
        <w:ind w:left="750"/>
      </w:pPr>
      <w:r>
        <w:t> </w:t>
      </w:r>
    </w:p>
    <w:p w14:paraId="6B21043E" w14:textId="77777777" w:rsidR="004B2808" w:rsidRDefault="00000000">
      <w:pPr>
        <w:pStyle w:val="pheading"/>
      </w:pPr>
      <w:r>
        <w:t>MESURAGE</w:t>
      </w:r>
    </w:p>
    <w:p w14:paraId="6CACBDAD" w14:textId="77777777" w:rsidR="004B2808" w:rsidRDefault="00000000">
      <w:r>
        <w:t>Conformément aux indications spécifiques dans le cahier spécial des charges et/ou le métré récapitulatif, le mesurage doit être conçu comme suit :</w:t>
      </w:r>
    </w:p>
    <w:p w14:paraId="39F57921" w14:textId="77777777" w:rsidR="004B2808" w:rsidRDefault="00000000">
      <w:pPr>
        <w:pStyle w:val="pheading"/>
      </w:pPr>
      <w:r>
        <w:t>- unité de mesure:</w:t>
      </w:r>
    </w:p>
    <w:p w14:paraId="1934B464" w14:textId="77777777" w:rsidR="004B2808" w:rsidRDefault="00000000">
      <w:r>
        <w:t>m²</w:t>
      </w:r>
    </w:p>
    <w:p w14:paraId="15F92C29" w14:textId="77777777" w:rsidR="004B2808" w:rsidRDefault="00000000">
      <w:pPr>
        <w:pStyle w:val="pheading"/>
      </w:pPr>
      <w:r>
        <w:t>- code de mesurage:</w:t>
      </w:r>
    </w:p>
    <w:p w14:paraId="131FCD7B" w14:textId="77777777" w:rsidR="004B2808" w:rsidRDefault="00000000">
      <w:r>
        <w:t>en fonction de la nature et des dimensions des carrelages, surface nette mesurée entre le nu des murs. Les dimensions, déduites des plans, sont exprimées dans un multiple de 50 mm, arrondi vers le bas. Les surfaces sont mesurées par-dessus les joints et soudures. Les entre-portes carrelés sont également comptés. Les ouvertures et les interruptions supérieures à 0,50 m2 sont déduites.</w:t>
      </w:r>
    </w:p>
    <w:p w14:paraId="461A9E15" w14:textId="77777777" w:rsidR="004B2808" w:rsidRDefault="00000000">
      <w:pPr>
        <w:pStyle w:val="pheading"/>
      </w:pPr>
      <w:r>
        <w:t>- nature du marché:</w:t>
      </w:r>
    </w:p>
    <w:p w14:paraId="062F6087" w14:textId="77777777" w:rsidR="004B2808" w:rsidRDefault="00000000">
      <w:r>
        <w:t>QF</w:t>
      </w:r>
    </w:p>
    <w:p w14:paraId="6296C6CD" w14:textId="77777777" w:rsidR="004B2808" w:rsidRDefault="00000000">
      <w:pPr>
        <w:pStyle w:val="Author-eSectionHeading5Numberless"/>
      </w:pPr>
      <w:bookmarkStart w:id="655" w:name="_Toc220490811"/>
      <w:r>
        <w:t>53.53.2 Revêtements en carreaux en mosaïque de céramique CCTB 01.02</w:t>
      </w:r>
      <w:bookmarkEnd w:id="655"/>
    </w:p>
    <w:p w14:paraId="4D55834F" w14:textId="77777777" w:rsidR="004B2808" w:rsidRDefault="00000000">
      <w:pPr>
        <w:pStyle w:val="Author-eSectionHeading6Numberless"/>
      </w:pPr>
      <w:bookmarkStart w:id="656" w:name="_Toc220490812"/>
      <w:r>
        <w:t>53.53.2a Revêtements en carreaux en mosaïque de céramique CCTB 01.02</w:t>
      </w:r>
      <w:bookmarkEnd w:id="656"/>
    </w:p>
    <w:p w14:paraId="649B498F" w14:textId="77777777" w:rsidR="004B2808" w:rsidRDefault="00000000">
      <w:pPr>
        <w:pStyle w:val="Author-eSectionHeading5Numberless"/>
      </w:pPr>
      <w:bookmarkStart w:id="657" w:name="_Toc220490813"/>
      <w:r>
        <w:t>53.53.3 Revêtements en carreaux en mosaïque de galets CCTB 01.02</w:t>
      </w:r>
      <w:bookmarkEnd w:id="657"/>
    </w:p>
    <w:p w14:paraId="3461E750" w14:textId="77777777" w:rsidR="004B2808" w:rsidRDefault="00000000">
      <w:pPr>
        <w:pStyle w:val="Author-eSectionHeading6Numberless"/>
      </w:pPr>
      <w:bookmarkStart w:id="658" w:name="_Toc220490814"/>
      <w:r>
        <w:t>53.53.3a Revêtements en carreaux en mosaïque de galets CCTB 01.02</w:t>
      </w:r>
      <w:bookmarkEnd w:id="658"/>
    </w:p>
    <w:p w14:paraId="2AF3C546" w14:textId="77777777" w:rsidR="004B2808" w:rsidRDefault="00000000">
      <w:pPr>
        <w:pStyle w:val="Author-eSectionHeading4Numberless"/>
      </w:pPr>
      <w:bookmarkStart w:id="659" w:name="_Toc220490815"/>
      <w:r>
        <w:t>53.54 Revêtements en carreaux à base de liants CCTB 01.02</w:t>
      </w:r>
      <w:bookmarkEnd w:id="659"/>
    </w:p>
    <w:p w14:paraId="64E3E6C5" w14:textId="77777777" w:rsidR="004B2808" w:rsidRDefault="00000000">
      <w:pPr>
        <w:pStyle w:val="Author-eSectionHeading5Numberless"/>
      </w:pPr>
      <w:bookmarkStart w:id="660" w:name="_Toc220490816"/>
      <w:r>
        <w:lastRenderedPageBreak/>
        <w:t>53.54.1 Revêtements en carreaux à base de liants hydrauliques CCTB 01.02</w:t>
      </w:r>
      <w:bookmarkEnd w:id="660"/>
    </w:p>
    <w:p w14:paraId="1618F354" w14:textId="77777777" w:rsidR="004B2808" w:rsidRDefault="00000000">
      <w:pPr>
        <w:pStyle w:val="Author-eSectionHeading6Numberless"/>
      </w:pPr>
      <w:bookmarkStart w:id="661" w:name="_Toc220490817"/>
      <w:r>
        <w:t>53.54.1a Revêtements en carreaux à base de liants hydrauliques - Ciment coloré dans la masse CCTB 01.11</w:t>
      </w:r>
      <w:bookmarkEnd w:id="661"/>
    </w:p>
    <w:p w14:paraId="563B963C" w14:textId="77777777" w:rsidR="004B2808" w:rsidRDefault="00000000">
      <w:pPr>
        <w:pStyle w:val="pheading"/>
      </w:pPr>
      <w:r>
        <w:t>MATÉRIAUX</w:t>
      </w:r>
    </w:p>
    <w:p w14:paraId="46FF68E4" w14:textId="77777777" w:rsidR="004B2808" w:rsidRDefault="00000000">
      <w:pPr>
        <w:pStyle w:val="pheading"/>
      </w:pPr>
      <w:r>
        <w:t>- Caractéristiques générales</w:t>
      </w:r>
    </w:p>
    <w:p w14:paraId="4F67DEA6" w14:textId="77777777" w:rsidR="004B2808" w:rsidRDefault="00000000">
      <w:r>
        <w:t>Les dalles de ciment sont fabriquées à base de granulats fins et d'un liant hydraulique auquel on a ajouté des colorants (éventuellement élaborés en dessin). Elles doivent satisfaire aux prescriptions de la [NBN EN 13748-1].</w:t>
      </w:r>
    </w:p>
    <w:p w14:paraId="5ED56EC1" w14:textId="77777777" w:rsidR="004B2808" w:rsidRDefault="00000000">
      <w:pPr>
        <w:pStyle w:val="heading"/>
      </w:pPr>
      <w:r>
        <w:t>Spécifications</w:t>
      </w:r>
    </w:p>
    <w:p w14:paraId="3D06C3E5" w14:textId="77777777" w:rsidR="004B2808" w:rsidRDefault="00000000">
      <w:r>
        <w:t xml:space="preserve">Dimensions modulaires : </w:t>
      </w:r>
      <w:r>
        <w:rPr>
          <w:rStyle w:val="optioncarChar"/>
        </w:rPr>
        <w:t>200 x 200 </w:t>
      </w:r>
      <w:r>
        <w:t>(par défaut)</w:t>
      </w:r>
      <w:r>
        <w:rPr>
          <w:rStyle w:val="optioncarChar"/>
        </w:rPr>
        <w:t xml:space="preserve"> /300 X 300 / ***</w:t>
      </w:r>
      <w:r>
        <w:t xml:space="preserve"> mm.</w:t>
      </w:r>
    </w:p>
    <w:p w14:paraId="4796039B" w14:textId="77777777" w:rsidR="004B2808" w:rsidRDefault="00000000">
      <w:r>
        <w:t xml:space="preserve">Epaisseur : </w:t>
      </w:r>
      <w:r>
        <w:rPr>
          <w:rStyle w:val="optioncarChar"/>
        </w:rPr>
        <w:t>40 </w:t>
      </w:r>
      <w:r>
        <w:t>(par défaut)</w:t>
      </w:r>
      <w:r>
        <w:rPr>
          <w:rStyle w:val="optioncarChar"/>
        </w:rPr>
        <w:t xml:space="preserve"> / ***</w:t>
      </w:r>
      <w:r>
        <w:t>mm.</w:t>
      </w:r>
    </w:p>
    <w:p w14:paraId="61151BDC" w14:textId="77777777" w:rsidR="004B2808" w:rsidRDefault="00000000">
      <w:r>
        <w:t xml:space="preserve">Finition des bords : </w:t>
      </w:r>
      <w:r>
        <w:rPr>
          <w:rStyle w:val="optioncarChar"/>
        </w:rPr>
        <w:t>rectilignes </w:t>
      </w:r>
      <w:r>
        <w:t>(par défaut)</w:t>
      </w:r>
      <w:r>
        <w:rPr>
          <w:rStyle w:val="optioncarChar"/>
        </w:rPr>
        <w:t xml:space="preserve"> / rectilignes avec chanfrein / ***</w:t>
      </w:r>
    </w:p>
    <w:p w14:paraId="01DABCDD" w14:textId="77777777" w:rsidR="004B2808" w:rsidRDefault="00000000">
      <w:r>
        <w:t xml:space="preserve">Sorte : </w:t>
      </w:r>
      <w:r>
        <w:rPr>
          <w:rStyle w:val="optioncarChar"/>
        </w:rPr>
        <w:t>plein dans la masse</w:t>
      </w:r>
      <w:r>
        <w:t> (par défaut)</w:t>
      </w:r>
      <w:r>
        <w:rPr>
          <w:rStyle w:val="optioncarChar"/>
        </w:rPr>
        <w:t xml:space="preserve"> / en deux couches avec couche de base et couche d'usure (face vue)</w:t>
      </w:r>
    </w:p>
    <w:p w14:paraId="3F8C1A04" w14:textId="77777777" w:rsidR="004B2808" w:rsidRDefault="00000000">
      <w:r>
        <w:t>Selon la [Décision 96/603/CE]</w:t>
      </w:r>
      <w:r>
        <w:rPr>
          <w:b/>
        </w:rPr>
        <w:t xml:space="preserve"> et les conditions qui y sont reprises</w:t>
      </w:r>
      <w:r>
        <w:t>, le mortier appartient à la classe de réaction au feu A1</w:t>
      </w:r>
      <w:r>
        <w:rPr>
          <w:vertAlign w:val="subscript"/>
        </w:rPr>
        <w:t>FL</w:t>
      </w:r>
      <w:r>
        <w:t>.</w:t>
      </w:r>
    </w:p>
    <w:p w14:paraId="7CCED9FA" w14:textId="77777777" w:rsidR="004B2808" w:rsidRDefault="00000000">
      <w:pPr>
        <w:ind w:left="750"/>
      </w:pPr>
      <w:r>
        <w:t> </w:t>
      </w:r>
    </w:p>
    <w:p w14:paraId="268D4A73" w14:textId="77777777" w:rsidR="004B2808" w:rsidRDefault="00000000">
      <w:pPr>
        <w:pStyle w:val="pheading"/>
      </w:pPr>
      <w:r>
        <w:t>- Finitions</w:t>
      </w:r>
    </w:p>
    <w:p w14:paraId="156DF6B8" w14:textId="77777777" w:rsidR="004B2808" w:rsidRDefault="00000000">
      <w:r>
        <w:t xml:space="preserve">Coloris : </w:t>
      </w:r>
      <w:r>
        <w:rPr>
          <w:rStyle w:val="optioncarChar"/>
        </w:rPr>
        <w:t>gris </w:t>
      </w:r>
      <w:r>
        <w:t>(par défaut)</w:t>
      </w:r>
      <w:r>
        <w:rPr>
          <w:rStyle w:val="optioncarChar"/>
        </w:rPr>
        <w:t xml:space="preserve"> / rouge / noir / ***</w:t>
      </w:r>
    </w:p>
    <w:p w14:paraId="369EBBA0" w14:textId="77777777" w:rsidR="004B2808" w:rsidRDefault="00000000">
      <w:r>
        <w:t xml:space="preserve">Texture et finition de la surface : </w:t>
      </w:r>
      <w:r>
        <w:rPr>
          <w:rStyle w:val="optioncarChar"/>
        </w:rPr>
        <w:t>plane </w:t>
      </w:r>
      <w:r>
        <w:t xml:space="preserve">(par défaut) </w:t>
      </w:r>
      <w:r>
        <w:rPr>
          <w:rStyle w:val="optioncarChar"/>
        </w:rPr>
        <w:t>/ ***</w:t>
      </w:r>
    </w:p>
    <w:p w14:paraId="0290A73F" w14:textId="77777777" w:rsidR="004B2808" w:rsidRDefault="00000000">
      <w:pPr>
        <w:pStyle w:val="pheading"/>
      </w:pPr>
      <w:r>
        <w:t>- Prescriptions complémentaires</w:t>
      </w:r>
    </w:p>
    <w:p w14:paraId="026CBF42" w14:textId="77777777" w:rsidR="004B2808" w:rsidRDefault="00000000">
      <w:pPr>
        <w:pStyle w:val="facult"/>
      </w:pPr>
      <w:r>
        <w:t>- Les matériaux sont peu combustibles (classes A1FL/A2FL selon la [NBN EN 13501-1].</w:t>
      </w:r>
    </w:p>
    <w:p w14:paraId="20F1F044" w14:textId="77777777" w:rsidR="004B2808" w:rsidRDefault="00000000">
      <w:pPr>
        <w:pStyle w:val="pheading"/>
      </w:pPr>
      <w:r>
        <w:t>EXÉCUTION / MISE EN ŒUVRE</w:t>
      </w:r>
    </w:p>
    <w:p w14:paraId="7C9B2E65" w14:textId="77777777" w:rsidR="004B2808" w:rsidRDefault="00000000">
      <w:pPr>
        <w:pStyle w:val="pheading"/>
      </w:pPr>
      <w:r>
        <w:t>- Prescriptions générales</w:t>
      </w:r>
    </w:p>
    <w:p w14:paraId="684FDF1C" w14:textId="77777777" w:rsidR="004B2808" w:rsidRDefault="00000000">
      <w:r>
        <w:t xml:space="preserve">Les dalles sont posées : </w:t>
      </w:r>
      <w:r>
        <w:rPr>
          <w:rStyle w:val="optioncarChar"/>
        </w:rPr>
        <w:t>sur un lit de sable stabilisé au ciment, selon le § 5.1.1 de la [NIT 213]</w:t>
      </w:r>
      <w:r>
        <w:t xml:space="preserve"> (par défaut) </w:t>
      </w:r>
      <w:r>
        <w:rPr>
          <w:rStyle w:val="optioncarChar"/>
        </w:rPr>
        <w:t>/ ***</w:t>
      </w:r>
    </w:p>
    <w:p w14:paraId="5B2F3047" w14:textId="77777777" w:rsidR="004B2808" w:rsidRDefault="00000000">
      <w:r>
        <w:t>Les joints périphériques, de désolidarisation et de dilatation doivent être compris et sont exécutés conformément aux directives du chapitre 5.5 de la [NIT 213]. Les joints de dilatation doivent permettre de limiter les surfaces d'un seul tenant à env. 50 m2 et la longueur à carreler à 10 m. La mise en œuvre s'effectue à joints ouverts. Dans les 24 heures, les joints doivent être abondamment humidifiés à l'eau claire, remplis avec un mortier de composition identique à celle du mortier de pose. Le sable ne peut pas contenir de produits colorants et doit être exempt d'argile et de particules ferrugineuses</w:t>
      </w:r>
    </w:p>
    <w:p w14:paraId="3C5BFE57" w14:textId="77777777" w:rsidR="004B2808" w:rsidRDefault="00000000">
      <w:r>
        <w:t xml:space="preserve">(voir aussi </w:t>
      </w:r>
      <w:hyperlink w:anchor="1130" w:history="1">
        <w:r w:rsidR="004B2808">
          <w:rPr>
            <w:color w:val="0000EE"/>
          </w:rPr>
          <w:t>53.5 Revêtements de sols intérieurs</w:t>
        </w:r>
      </w:hyperlink>
      <w:r>
        <w:t>)</w:t>
      </w:r>
    </w:p>
    <w:p w14:paraId="303934AF" w14:textId="77777777" w:rsidR="004B2808" w:rsidRDefault="00000000">
      <w:pPr>
        <w:ind w:left="750"/>
      </w:pPr>
      <w:r>
        <w:t> </w:t>
      </w:r>
    </w:p>
    <w:p w14:paraId="1DA6F8B0" w14:textId="77777777" w:rsidR="004B2808" w:rsidRDefault="00000000">
      <w:pPr>
        <w:pStyle w:val="pheading"/>
      </w:pPr>
      <w:r>
        <w:t>- Notes d’exécution complémentaires</w:t>
      </w:r>
    </w:p>
    <w:p w14:paraId="299F4CFC" w14:textId="77777777" w:rsidR="004B2808" w:rsidRDefault="00000000">
      <w:r>
        <w:t xml:space="preserve">Les carreaux non modulaires sont posés avec un joint d'une largeur de </w:t>
      </w:r>
      <w:r>
        <w:rPr>
          <w:rStyle w:val="optioncarChar"/>
        </w:rPr>
        <w:t>5 </w:t>
      </w:r>
      <w:r>
        <w:t>(par défaut)</w:t>
      </w:r>
      <w:r>
        <w:rPr>
          <w:rStyle w:val="optioncarChar"/>
        </w:rPr>
        <w:t xml:space="preserve"> / 8 / 10 / ***</w:t>
      </w:r>
      <w:r>
        <w:t xml:space="preserve"> mm.</w:t>
      </w:r>
    </w:p>
    <w:p w14:paraId="5F59193D" w14:textId="77777777" w:rsidR="004B2808" w:rsidRDefault="00000000">
      <w:r>
        <w:t xml:space="preserve">Appareillage (selon la [NIT 237], chapitre 5) : </w:t>
      </w:r>
      <w:r>
        <w:rPr>
          <w:rStyle w:val="optioncarChar"/>
        </w:rPr>
        <w:t xml:space="preserve">à joints coupés ou contrariés </w:t>
      </w:r>
      <w:r>
        <w:t>(par défaut)</w:t>
      </w:r>
      <w:r>
        <w:rPr>
          <w:rStyle w:val="optioncarChar"/>
        </w:rPr>
        <w:t xml:space="preserve"> / carrés / losanges (sur pointe) / ***</w:t>
      </w:r>
    </w:p>
    <w:p w14:paraId="782A341D" w14:textId="77777777" w:rsidR="004B2808" w:rsidRDefault="00000000">
      <w:r>
        <w:t>Les carreaux sont posés symétriquement par rapport aux axes du local.</w:t>
      </w:r>
    </w:p>
    <w:p w14:paraId="061E3F83" w14:textId="77777777" w:rsidR="004B2808" w:rsidRDefault="00000000">
      <w:r>
        <w:t xml:space="preserve">Coloris des joints : </w:t>
      </w:r>
      <w:r>
        <w:rPr>
          <w:rStyle w:val="optioncarChar"/>
        </w:rPr>
        <w:t>gris </w:t>
      </w:r>
      <w:r>
        <w:t>(par défaut)</w:t>
      </w:r>
      <w:r>
        <w:rPr>
          <w:rStyle w:val="optioncarChar"/>
        </w:rPr>
        <w:t xml:space="preserve"> / adapté à la couleur des dalles.</w:t>
      </w:r>
    </w:p>
    <w:p w14:paraId="51774B8C" w14:textId="77777777" w:rsidR="004B2808" w:rsidRDefault="00000000">
      <w:pPr>
        <w:ind w:left="750"/>
      </w:pPr>
      <w:r>
        <w:lastRenderedPageBreak/>
        <w:t> </w:t>
      </w:r>
    </w:p>
    <w:p w14:paraId="689A1439" w14:textId="77777777" w:rsidR="004B2808" w:rsidRDefault="00000000">
      <w:pPr>
        <w:pStyle w:val="pheading"/>
      </w:pPr>
      <w:r>
        <w:t>DOCUMENTS DE RÉFÉRENCE COMPLÉMENTAIRES</w:t>
      </w:r>
    </w:p>
    <w:p w14:paraId="7A06AACA" w14:textId="77777777" w:rsidR="004B2808" w:rsidRDefault="00000000">
      <w:pPr>
        <w:pStyle w:val="pheading"/>
      </w:pPr>
      <w:r>
        <w:t>- Exécution</w:t>
      </w:r>
    </w:p>
    <w:p w14:paraId="6CD310A6" w14:textId="77777777" w:rsidR="004B2808" w:rsidRDefault="00000000">
      <w:r>
        <w:t>Les différentes techniques de pose des carrelages de sol, Dossier [Buildwise Article Dossier (2008/4.02)]</w:t>
      </w:r>
    </w:p>
    <w:p w14:paraId="7832A783" w14:textId="77777777" w:rsidR="004B2808" w:rsidRDefault="00000000">
      <w:pPr>
        <w:pStyle w:val="pheading"/>
      </w:pPr>
      <w:r>
        <w:t>MESURAGE</w:t>
      </w:r>
    </w:p>
    <w:p w14:paraId="4A514C7E" w14:textId="77777777" w:rsidR="004B2808" w:rsidRDefault="00000000">
      <w:r>
        <w:t>Conformément aux indications spécifiques dans le cahier spécial des charges et/ou le métré récapitulatif, le mesurage doit être conçu comme suit :</w:t>
      </w:r>
    </w:p>
    <w:p w14:paraId="2BF05A03" w14:textId="77777777" w:rsidR="004B2808" w:rsidRDefault="00000000">
      <w:pPr>
        <w:pStyle w:val="pheading"/>
      </w:pPr>
      <w:r>
        <w:t>- unité de mesure:</w:t>
      </w:r>
    </w:p>
    <w:p w14:paraId="3EB9EF92" w14:textId="77777777" w:rsidR="004B2808" w:rsidRDefault="00000000">
      <w:r>
        <w:t>m²</w:t>
      </w:r>
    </w:p>
    <w:p w14:paraId="7E287CA4" w14:textId="77777777" w:rsidR="004B2808" w:rsidRDefault="00000000">
      <w:pPr>
        <w:pStyle w:val="pheading"/>
      </w:pPr>
      <w:r>
        <w:t>- code de mesurage:</w:t>
      </w:r>
    </w:p>
    <w:p w14:paraId="7242A027" w14:textId="77777777" w:rsidR="004B2808" w:rsidRDefault="00000000">
      <w:r>
        <w:t>en fonction de la nature et des dimensions des carrelages, surface nette mesurée entre le nu des murs. Les dimensions, déduites des plans, sont exprimées dans un multiple de 50 mm, arrondi vers le bas. Les surfaces sont mesurées par-dessus les joints et soudures. Les entre-portes carrelés sont également comptés. Les ouvertures et les interruptions supérieures à 0,50 m2 sont déduites.</w:t>
      </w:r>
    </w:p>
    <w:p w14:paraId="0106ECB0" w14:textId="77777777" w:rsidR="004B2808" w:rsidRDefault="00000000">
      <w:pPr>
        <w:pStyle w:val="pheading"/>
      </w:pPr>
      <w:r>
        <w:t>- nature du marché:</w:t>
      </w:r>
    </w:p>
    <w:p w14:paraId="01B2BA70" w14:textId="77777777" w:rsidR="004B2808" w:rsidRDefault="00000000">
      <w:r>
        <w:t>QF</w:t>
      </w:r>
    </w:p>
    <w:p w14:paraId="40A70B64" w14:textId="77777777" w:rsidR="004B2808" w:rsidRDefault="00000000">
      <w:pPr>
        <w:pStyle w:val="Author-eSectionHeading6Numberless"/>
      </w:pPr>
      <w:bookmarkStart w:id="662" w:name="_Toc220490818"/>
      <w:r>
        <w:t>53.54.1b Revêtements en carreaux à base de liants hydrauliques - Couche d'usure composée de granulats mêlés au ciment CCTB 01.02</w:t>
      </w:r>
      <w:bookmarkEnd w:id="662"/>
    </w:p>
    <w:p w14:paraId="636CE336" w14:textId="77777777" w:rsidR="004B2808" w:rsidRDefault="00000000">
      <w:pPr>
        <w:pStyle w:val="Author-eSectionHeading6Numberless"/>
      </w:pPr>
      <w:bookmarkStart w:id="663" w:name="_Toc220490819"/>
      <w:r>
        <w:t>53.54.1c Revêtements en carreaux à base de liants hydrauliques - Dalles de béton CCTB 01.10</w:t>
      </w:r>
      <w:bookmarkEnd w:id="663"/>
    </w:p>
    <w:p w14:paraId="63558514" w14:textId="77777777" w:rsidR="004B2808" w:rsidRDefault="00000000">
      <w:pPr>
        <w:pStyle w:val="pheading"/>
      </w:pPr>
      <w:r>
        <w:t>MATÉRIAUX</w:t>
      </w:r>
    </w:p>
    <w:p w14:paraId="62DF30C5" w14:textId="77777777" w:rsidR="004B2808" w:rsidRDefault="00000000">
      <w:pPr>
        <w:pStyle w:val="pheading"/>
      </w:pPr>
      <w:r>
        <w:t>- Caractéristiques générales</w:t>
      </w:r>
    </w:p>
    <w:p w14:paraId="275EF3F9" w14:textId="77777777" w:rsidR="004B2808" w:rsidRDefault="00000000">
      <w:r>
        <w:t>Les dalles en béton sont fabriquées en béton de ciment, plein dans la masse ou en deux couches. Elles doivent satisfaire aux prescriptions de la [NBN B 21-211:2006+A1]. A la livraison, l'entrepreneur remet à la direction du chantier un certificat attestant que les dalles de béton ont au moins 28 jours.</w:t>
      </w:r>
    </w:p>
    <w:p w14:paraId="00C25B59" w14:textId="77777777" w:rsidR="004B2808" w:rsidRDefault="00000000">
      <w:pPr>
        <w:pStyle w:val="heading"/>
      </w:pPr>
      <w:r>
        <w:t>Spécifications</w:t>
      </w:r>
    </w:p>
    <w:p w14:paraId="3B37082D" w14:textId="77777777" w:rsidR="004B2808" w:rsidRDefault="00000000">
      <w:r>
        <w:t xml:space="preserve">Dimensions modulaires : </w:t>
      </w:r>
      <w:r>
        <w:rPr>
          <w:rStyle w:val="optioncarChar"/>
        </w:rPr>
        <w:t>300 X 300</w:t>
      </w:r>
      <w:r>
        <w:t xml:space="preserve"> (par défaut) </w:t>
      </w:r>
      <w:r>
        <w:rPr>
          <w:rStyle w:val="optioncarChar"/>
        </w:rPr>
        <w:t>/ 400 x 400 / 500 x 500 / ***</w:t>
      </w:r>
      <w:r>
        <w:t xml:space="preserve"> mm.</w:t>
      </w:r>
    </w:p>
    <w:p w14:paraId="49416B95" w14:textId="77777777" w:rsidR="004B2808" w:rsidRDefault="00000000">
      <w:r>
        <w:t xml:space="preserve">Epaisseur : </w:t>
      </w:r>
      <w:r>
        <w:rPr>
          <w:rStyle w:val="optioncarChar"/>
        </w:rPr>
        <w:t>40 </w:t>
      </w:r>
      <w:r>
        <w:t xml:space="preserve">(par défaut) </w:t>
      </w:r>
      <w:r>
        <w:rPr>
          <w:rStyle w:val="optioncarChar"/>
        </w:rPr>
        <w:t>/ 45 / 50 / ***</w:t>
      </w:r>
      <w:r>
        <w:t>mm.</w:t>
      </w:r>
    </w:p>
    <w:p w14:paraId="6DC91223" w14:textId="77777777" w:rsidR="004B2808" w:rsidRDefault="00000000">
      <w:r>
        <w:t xml:space="preserve">Finition des bords : </w:t>
      </w:r>
      <w:r>
        <w:rPr>
          <w:rStyle w:val="optioncarChar"/>
        </w:rPr>
        <w:t>rectiligne</w:t>
      </w:r>
      <w:r>
        <w:t xml:space="preserve"> (par défaut) </w:t>
      </w:r>
      <w:r>
        <w:rPr>
          <w:rStyle w:val="optioncarChar"/>
        </w:rPr>
        <w:t>/ rectiligne avec chanfrein / à crénelures / en sifflet / ***</w:t>
      </w:r>
    </w:p>
    <w:p w14:paraId="55C9AED7" w14:textId="77777777" w:rsidR="004B2808" w:rsidRDefault="00000000">
      <w:r>
        <w:t xml:space="preserve">Composition : </w:t>
      </w:r>
      <w:r>
        <w:rPr>
          <w:rStyle w:val="optioncarChar"/>
        </w:rPr>
        <w:t>plein dans la masse / en deux couches avec une couche de base et une couche d'usure</w:t>
      </w:r>
    </w:p>
    <w:p w14:paraId="35455E20" w14:textId="77777777" w:rsidR="004B2808" w:rsidRDefault="00000000">
      <w:r>
        <w:t>Selon la [Décision 96/603/CE]</w:t>
      </w:r>
      <w:r>
        <w:rPr>
          <w:b/>
        </w:rPr>
        <w:t>et les conditions qui y sont reprises,</w:t>
      </w:r>
      <w:r>
        <w:t xml:space="preserve"> le béton appartient à la classe de réaction au feu A1</w:t>
      </w:r>
      <w:r>
        <w:rPr>
          <w:vertAlign w:val="subscript"/>
        </w:rPr>
        <w:t>FL</w:t>
      </w:r>
      <w:r>
        <w:t>.</w:t>
      </w:r>
    </w:p>
    <w:p w14:paraId="4138BA4E" w14:textId="77777777" w:rsidR="004B2808" w:rsidRDefault="00000000">
      <w:pPr>
        <w:ind w:left="750"/>
      </w:pPr>
      <w:r>
        <w:t> </w:t>
      </w:r>
    </w:p>
    <w:p w14:paraId="38502385" w14:textId="77777777" w:rsidR="004B2808" w:rsidRDefault="00000000">
      <w:pPr>
        <w:pStyle w:val="pheading"/>
      </w:pPr>
      <w:r>
        <w:t>- Finitions</w:t>
      </w:r>
    </w:p>
    <w:p w14:paraId="756F6F58" w14:textId="77777777" w:rsidR="004B2808" w:rsidRDefault="00000000">
      <w:r>
        <w:t xml:space="preserve">Surface : </w:t>
      </w:r>
      <w:r>
        <w:rPr>
          <w:rStyle w:val="optioncarChar"/>
        </w:rPr>
        <w:t>unie</w:t>
      </w:r>
      <w:r>
        <w:t> (par défaut)</w:t>
      </w:r>
      <w:r>
        <w:rPr>
          <w:rStyle w:val="optioncarChar"/>
        </w:rPr>
        <w:t xml:space="preserve"> / structurée / délavée avec couche d'usure en silex / ***</w:t>
      </w:r>
    </w:p>
    <w:p w14:paraId="4F0F6E7E" w14:textId="77777777" w:rsidR="004B2808" w:rsidRDefault="00000000">
      <w:r>
        <w:t xml:space="preserve">Coloris : </w:t>
      </w:r>
      <w:r>
        <w:rPr>
          <w:rStyle w:val="optioncarChar"/>
        </w:rPr>
        <w:t>gris</w:t>
      </w:r>
      <w:r>
        <w:t> (par défaut)</w:t>
      </w:r>
      <w:r>
        <w:rPr>
          <w:rStyle w:val="optioncarChar"/>
        </w:rPr>
        <w:t xml:space="preserve"> / rouge / noir / ***</w:t>
      </w:r>
    </w:p>
    <w:p w14:paraId="1E0EA46D" w14:textId="77777777" w:rsidR="004B2808" w:rsidRDefault="00000000">
      <w:pPr>
        <w:pStyle w:val="pheading"/>
      </w:pPr>
      <w:r>
        <w:t>- Prescriptions complémentaires</w:t>
      </w:r>
    </w:p>
    <w:p w14:paraId="32C6BC78" w14:textId="77777777" w:rsidR="004B2808" w:rsidRDefault="00000000">
      <w:pPr>
        <w:pStyle w:val="facult"/>
      </w:pPr>
      <w:r>
        <w:t>- Les matériaux sont peu combustibles (classes A1FL/A2FL selon la [NBN EN 13501-1].</w:t>
      </w:r>
    </w:p>
    <w:p w14:paraId="0D391D64" w14:textId="77777777" w:rsidR="004B2808" w:rsidRDefault="00000000">
      <w:pPr>
        <w:pStyle w:val="pheading"/>
      </w:pPr>
      <w:r>
        <w:t>EXÉCUTION / MISE EN ŒUVRE</w:t>
      </w:r>
    </w:p>
    <w:p w14:paraId="632937FA" w14:textId="77777777" w:rsidR="004B2808" w:rsidRDefault="00000000">
      <w:pPr>
        <w:pStyle w:val="pheading"/>
      </w:pPr>
      <w:r>
        <w:lastRenderedPageBreak/>
        <w:t>- Prescriptions générales</w:t>
      </w:r>
    </w:p>
    <w:p w14:paraId="3F5569EE" w14:textId="77777777" w:rsidR="004B2808" w:rsidRDefault="00000000">
      <w:r>
        <w:t xml:space="preserve">Les dalles sont placées: </w:t>
      </w:r>
      <w:r>
        <w:rPr>
          <w:rStyle w:val="optioncarChar"/>
        </w:rPr>
        <w:t>sur un lit de sable stabilisé au ciment, selon le § 5.1.1 et suivants de la [NIT 213]</w:t>
      </w:r>
      <w:r>
        <w:t xml:space="preserve"> (par défaut) </w:t>
      </w:r>
      <w:r>
        <w:rPr>
          <w:rStyle w:val="optioncarChar"/>
        </w:rPr>
        <w:t>/ ***</w:t>
      </w:r>
    </w:p>
    <w:p w14:paraId="4ACDAFD2" w14:textId="77777777" w:rsidR="004B2808" w:rsidRDefault="00000000">
      <w:r>
        <w:t>Les joints périphériques, de désolidarisation et de dilatation doivent être compris et sont exécutés conformément aux directives du chapitre 5.5 de la [NIT 213]. Les joints de dilatation doivent permettre de limiter les surfaces d'un seul tenant à env. 50 m2 et la longueur à carreler à 10 m. La mise en œuvre s'effectue à joints ouverts. Dans les 24 heures, les joints doivent être abondamment humidifiés à l'eau claire, remplis avec un mortier de composition identique à celle du mortier de pose. Le sable ne peut pas contenir de produits colorants et doit être exempt d'argile et de particules ferrugineuses</w:t>
      </w:r>
    </w:p>
    <w:p w14:paraId="4FDED564" w14:textId="77777777" w:rsidR="004B2808" w:rsidRDefault="00000000">
      <w:r>
        <w:t xml:space="preserve">(voir aussi </w:t>
      </w:r>
      <w:hyperlink w:anchor="1130" w:history="1">
        <w:r w:rsidR="004B2808">
          <w:rPr>
            <w:color w:val="0000EE"/>
          </w:rPr>
          <w:t>53.5 Revêtements de sols intérieurs</w:t>
        </w:r>
      </w:hyperlink>
      <w:r>
        <w:t>)</w:t>
      </w:r>
    </w:p>
    <w:p w14:paraId="32AD4FD2" w14:textId="77777777" w:rsidR="004B2808" w:rsidRDefault="00000000">
      <w:pPr>
        <w:ind w:left="750"/>
      </w:pPr>
      <w:r>
        <w:t> </w:t>
      </w:r>
    </w:p>
    <w:p w14:paraId="3DDBF3BF" w14:textId="77777777" w:rsidR="004B2808" w:rsidRDefault="00000000">
      <w:pPr>
        <w:pStyle w:val="pheading"/>
      </w:pPr>
      <w:r>
        <w:t>- Notes d’exécution complémentaires</w:t>
      </w:r>
    </w:p>
    <w:p w14:paraId="3A22B2AA" w14:textId="77777777" w:rsidR="004B2808" w:rsidRDefault="00000000">
      <w:r>
        <w:t xml:space="preserve">Les carreaux non modulaires sont posés avec un joint d'une largeur de </w:t>
      </w:r>
      <w:r>
        <w:rPr>
          <w:rStyle w:val="optioncarChar"/>
        </w:rPr>
        <w:t>5 </w:t>
      </w:r>
      <w:r>
        <w:t>(par défaut)</w:t>
      </w:r>
      <w:r>
        <w:rPr>
          <w:rStyle w:val="optioncarChar"/>
        </w:rPr>
        <w:t xml:space="preserve"> / 8 / 10 / ***</w:t>
      </w:r>
      <w:r>
        <w:t xml:space="preserve"> mm.</w:t>
      </w:r>
    </w:p>
    <w:p w14:paraId="602CFA26" w14:textId="77777777" w:rsidR="004B2808" w:rsidRDefault="00000000">
      <w:r>
        <w:t xml:space="preserve">Appareillage (selon la [NIT 237], chapitre 5) : </w:t>
      </w:r>
      <w:r>
        <w:rPr>
          <w:rStyle w:val="optioncarChar"/>
        </w:rPr>
        <w:t xml:space="preserve">à joints coupés ou contrariés </w:t>
      </w:r>
      <w:r>
        <w:t>(par défaut)</w:t>
      </w:r>
      <w:r>
        <w:rPr>
          <w:rStyle w:val="optioncarChar"/>
        </w:rPr>
        <w:t xml:space="preserve"> / carrés / losanges (sur pointe) / ***</w:t>
      </w:r>
    </w:p>
    <w:p w14:paraId="38856E34" w14:textId="77777777" w:rsidR="004B2808" w:rsidRDefault="00000000">
      <w:r>
        <w:t>Les carreaux sont posés symétriquement par rapport aux axes du local.</w:t>
      </w:r>
    </w:p>
    <w:p w14:paraId="71E19808" w14:textId="77777777" w:rsidR="004B2808" w:rsidRDefault="00000000">
      <w:r>
        <w:t xml:space="preserve">Coloris des joints : </w:t>
      </w:r>
      <w:r>
        <w:rPr>
          <w:rStyle w:val="optioncarChar"/>
        </w:rPr>
        <w:t>gris / adapté à la couleur des dalles.</w:t>
      </w:r>
    </w:p>
    <w:p w14:paraId="76924E42" w14:textId="77777777" w:rsidR="004B2808" w:rsidRDefault="00000000">
      <w:pPr>
        <w:ind w:left="750"/>
      </w:pPr>
      <w:r>
        <w:t> </w:t>
      </w:r>
    </w:p>
    <w:p w14:paraId="65D134C8" w14:textId="77777777" w:rsidR="004B2808" w:rsidRDefault="00000000">
      <w:pPr>
        <w:pStyle w:val="pheading"/>
      </w:pPr>
      <w:r>
        <w:t>MESURAGE</w:t>
      </w:r>
    </w:p>
    <w:p w14:paraId="25E2D1C5" w14:textId="77777777" w:rsidR="004B2808" w:rsidRDefault="00000000">
      <w:r>
        <w:t>Conformément aux indications spécifiques dans le cahier spécial des charges et/ou le métré récapitulatif, le mesurage doit être conçu comme suit :</w:t>
      </w:r>
    </w:p>
    <w:p w14:paraId="099648BD" w14:textId="77777777" w:rsidR="004B2808" w:rsidRDefault="00000000">
      <w:pPr>
        <w:pStyle w:val="pheading"/>
      </w:pPr>
      <w:r>
        <w:t>- unité de mesure:</w:t>
      </w:r>
    </w:p>
    <w:p w14:paraId="657129CA" w14:textId="77777777" w:rsidR="004B2808" w:rsidRDefault="00000000">
      <w:r>
        <w:t>m²</w:t>
      </w:r>
    </w:p>
    <w:p w14:paraId="415D0DE3" w14:textId="77777777" w:rsidR="004B2808" w:rsidRDefault="00000000">
      <w:pPr>
        <w:pStyle w:val="pheading"/>
      </w:pPr>
      <w:r>
        <w:t>- code de mesurage:</w:t>
      </w:r>
    </w:p>
    <w:p w14:paraId="29EA9FB3" w14:textId="77777777" w:rsidR="004B2808" w:rsidRDefault="00000000">
      <w:r>
        <w:t>en fonction de la nature et des dimensions des carrelages, surface nette mesurée entre le nu des murs. Les dimensions, déduites des plans, sont exprimées dans un multiple de 50 mm, arrondi vers le bas. Les surfaces sont mesurées par-dessus les joints et soudures. Les entre-portes carrelés sont également comptés. Les ouvertures et les interruptions supérieures à 0,50 m2 sont déduites.</w:t>
      </w:r>
    </w:p>
    <w:p w14:paraId="28FD4E86" w14:textId="77777777" w:rsidR="004B2808" w:rsidRDefault="00000000">
      <w:pPr>
        <w:pStyle w:val="pheading"/>
      </w:pPr>
      <w:r>
        <w:t>- nature du marché:</w:t>
      </w:r>
    </w:p>
    <w:p w14:paraId="18BA42DF" w14:textId="77777777" w:rsidR="004B2808" w:rsidRDefault="00000000">
      <w:r>
        <w:t>QF</w:t>
      </w:r>
    </w:p>
    <w:p w14:paraId="3CA436D5" w14:textId="77777777" w:rsidR="004B2808" w:rsidRDefault="00000000">
      <w:pPr>
        <w:pStyle w:val="Author-eSectionHeading5Numberless"/>
      </w:pPr>
      <w:bookmarkStart w:id="664" w:name="_Toc220490820"/>
      <w:r>
        <w:t>53.54.2 Revêtements en carreaux à base de liants résineux CCTB 01.02</w:t>
      </w:r>
      <w:bookmarkEnd w:id="664"/>
    </w:p>
    <w:p w14:paraId="02D870B6" w14:textId="77777777" w:rsidR="004B2808" w:rsidRDefault="00000000">
      <w:pPr>
        <w:pStyle w:val="pheading"/>
      </w:pPr>
      <w:r>
        <w:t>DOCUMENTS DE RÉFÉRENCE</w:t>
      </w:r>
    </w:p>
    <w:p w14:paraId="446895BD" w14:textId="77777777" w:rsidR="004B2808" w:rsidRDefault="00000000">
      <w:pPr>
        <w:pStyle w:val="pheading"/>
      </w:pPr>
      <w:r>
        <w:t>- Matériau</w:t>
      </w:r>
    </w:p>
    <w:p w14:paraId="7B454029" w14:textId="77777777" w:rsidR="004B2808" w:rsidRDefault="00000000">
      <w:r>
        <w:rPr>
          <w:color w:val="24777B"/>
        </w:rPr>
        <w:t>Maatvastheid van harsgebonden agglomeraattegels.</w:t>
      </w:r>
      <w:r>
        <w:br/>
      </w:r>
      <w:r>
        <w:rPr>
          <w:i/>
        </w:rPr>
        <w:t>Vangheel (T.); de Barquin (F.).</w:t>
      </w:r>
      <w:r>
        <w:br/>
        <w:t>WTCB-Dossier, BEL, 2008/12/00, n° 4, Katern 9, 2 p., 4 ref.   </w:t>
      </w:r>
    </w:p>
    <w:p w14:paraId="2ABB6732" w14:textId="77777777" w:rsidR="004B2808" w:rsidRDefault="00000000">
      <w:pPr>
        <w:pStyle w:val="Author-eSectionHeading6Numberless"/>
      </w:pPr>
      <w:bookmarkStart w:id="665" w:name="_Toc220490821"/>
      <w:r>
        <w:t>53.54.2a Revêtements en carreaux à base de liants résineux CCTB 01.02</w:t>
      </w:r>
      <w:bookmarkEnd w:id="665"/>
    </w:p>
    <w:p w14:paraId="7272BE34" w14:textId="77777777" w:rsidR="004B2808" w:rsidRDefault="00000000">
      <w:pPr>
        <w:pStyle w:val="Author-eSectionHeading4Numberless"/>
      </w:pPr>
      <w:bookmarkStart w:id="666" w:name="_Toc220490822"/>
      <w:r>
        <w:t>53.55 Revêtements de sols souples CCTB 01.12</w:t>
      </w:r>
      <w:bookmarkEnd w:id="666"/>
    </w:p>
    <w:p w14:paraId="36F7D750" w14:textId="77777777" w:rsidR="004B2808" w:rsidRDefault="00000000">
      <w:pPr>
        <w:pStyle w:val="pheading"/>
      </w:pPr>
      <w:bookmarkStart w:id="667" w:name="1286"/>
      <w:bookmarkEnd w:id="667"/>
      <w:r>
        <w:t>DESCRIPTION</w:t>
      </w:r>
    </w:p>
    <w:p w14:paraId="5D0BECCE" w14:textId="77777777" w:rsidR="004B2808" w:rsidRDefault="00000000">
      <w:pPr>
        <w:pStyle w:val="pheading"/>
      </w:pPr>
      <w:r>
        <w:t>- Définition / Comprend</w:t>
      </w:r>
    </w:p>
    <w:p w14:paraId="2D888563" w14:textId="77777777" w:rsidR="004B2808" w:rsidRDefault="00000000">
      <w:pPr>
        <w:jc w:val="both"/>
      </w:pPr>
      <w:r>
        <w:lastRenderedPageBreak/>
        <w:t>Il s'agit de la fourniture (hors matériaux récupérés du même site) et de la pose de revêtements de sol souples résilients ou textiles en lés (linoléum, caoutchouc, PVC, textile...) ou en dalles sur une chape et/ou une aire de pose en bois ou toute autre support rigide adapté à la fixation. Les sols souples sont neufs ou de réemploi.  Conformément aux dispositions générales et/ou spécifiques du cahier spécial des charges, les prix unitaires compris dans ces postes comprennent toujours, soit selon la ventilation dans le métré récapitulatif, soit dans leur totalité :</w:t>
      </w:r>
    </w:p>
    <w:p w14:paraId="6971E5AD" w14:textId="77777777" w:rsidR="004B2808" w:rsidRDefault="00000000">
      <w:pPr>
        <w:pStyle w:val="Author-eListParagraph"/>
        <w:numPr>
          <w:ilvl w:val="0"/>
          <w:numId w:val="569"/>
        </w:numPr>
        <w:jc w:val="both"/>
      </w:pPr>
      <w:r>
        <w:t>la préparation de l'aire de pose, l'évacuation de tous les déchets, décombres, plâtre, graisse, etc.;</w:t>
      </w:r>
    </w:p>
    <w:p w14:paraId="51851F53" w14:textId="77777777" w:rsidR="004B2808" w:rsidRDefault="00000000">
      <w:pPr>
        <w:pStyle w:val="Author-eListParagraph"/>
        <w:numPr>
          <w:ilvl w:val="0"/>
          <w:numId w:val="569"/>
        </w:numPr>
        <w:jc w:val="both"/>
      </w:pPr>
      <w:r>
        <w:t>le contrôle préalable du taux d'humidité de l'aire de pose selon la méthode CM ;</w:t>
      </w:r>
    </w:p>
    <w:p w14:paraId="7B0F8831" w14:textId="77777777" w:rsidR="004B2808" w:rsidRDefault="00000000">
      <w:pPr>
        <w:pStyle w:val="Author-eListParagraph"/>
        <w:numPr>
          <w:ilvl w:val="0"/>
          <w:numId w:val="569"/>
        </w:numPr>
        <w:jc w:val="both"/>
      </w:pPr>
      <w:r>
        <w:t>l’égalisation obligatoire de la surface et son ponçage jusqu'à ce qu'elle soit bien lisse ;  </w:t>
      </w:r>
    </w:p>
    <w:p w14:paraId="1DE8C639" w14:textId="77777777" w:rsidR="004B2808" w:rsidRDefault="00000000">
      <w:pPr>
        <w:pStyle w:val="Author-eListParagraph"/>
        <w:numPr>
          <w:ilvl w:val="0"/>
          <w:numId w:val="569"/>
        </w:numPr>
        <w:jc w:val="both"/>
      </w:pPr>
      <w:r>
        <w:t>la fourniture, la mise en place et le collage du revêtement de sol souple, le laminage des joints et des bords, la soudure (à chaud, à froid ou vulcanisation) des joints (voir § 7 de la [NIT 241]) ;</w:t>
      </w:r>
    </w:p>
    <w:p w14:paraId="06094D74" w14:textId="77777777" w:rsidR="004B2808" w:rsidRDefault="00000000">
      <w:pPr>
        <w:pStyle w:val="Author-eListParagraph"/>
        <w:numPr>
          <w:ilvl w:val="0"/>
          <w:numId w:val="569"/>
        </w:numPr>
        <w:jc w:val="both"/>
      </w:pPr>
      <w:r>
        <w:t>le nettoyage du revêtement de sol, y compris l’enlèvement du mastic superflu.</w:t>
      </w:r>
    </w:p>
    <w:p w14:paraId="2DED1F54" w14:textId="77777777" w:rsidR="004B2808" w:rsidRDefault="00000000">
      <w:pPr>
        <w:pStyle w:val="pheading"/>
      </w:pPr>
      <w:r>
        <w:t>MATÉRIAUX</w:t>
      </w:r>
    </w:p>
    <w:p w14:paraId="7CD7983A" w14:textId="77777777" w:rsidR="004B2808" w:rsidRDefault="00000000">
      <w:pPr>
        <w:jc w:val="both"/>
      </w:pPr>
      <w:r>
        <w:t>Les matériaux sont décrits en fonction des locaux où le revêtement est posé, les matériaux neufs livrés satisfont à la [NBN EN ISO 10874] :</w:t>
      </w:r>
    </w:p>
    <w:p w14:paraId="75F7EA8B" w14:textId="77777777" w:rsidR="004B2808" w:rsidRDefault="00000000">
      <w:pPr>
        <w:pStyle w:val="Author-eListParagraph"/>
        <w:numPr>
          <w:ilvl w:val="0"/>
          <w:numId w:val="570"/>
        </w:numPr>
      </w:pPr>
      <w:r>
        <w:t>classe 21, 22, 23 : locaux d'habitation d'usage faible à intensif (séjour, chambres à coucher, cuisine, …) ;</w:t>
      </w:r>
    </w:p>
    <w:p w14:paraId="42EDD1E7" w14:textId="77777777" w:rsidR="004B2808" w:rsidRDefault="00000000">
      <w:pPr>
        <w:pStyle w:val="Author-eListParagraph"/>
        <w:numPr>
          <w:ilvl w:val="0"/>
          <w:numId w:val="570"/>
        </w:numPr>
      </w:pPr>
      <w:r>
        <w:t>classe 31 - 32 : locaux de commerce et de bureau d'usage faible à normal ;</w:t>
      </w:r>
    </w:p>
    <w:p w14:paraId="389A6B0D" w14:textId="77777777" w:rsidR="004B2808" w:rsidRDefault="00000000">
      <w:pPr>
        <w:pStyle w:val="Author-eListParagraph"/>
        <w:numPr>
          <w:ilvl w:val="0"/>
          <w:numId w:val="570"/>
        </w:numPr>
      </w:pPr>
      <w:r>
        <w:t>classe 33 - 34 : d'usage intensif à fort intensif (locaux communautaires, …).</w:t>
      </w:r>
    </w:p>
    <w:p w14:paraId="1709AD4A" w14:textId="77777777" w:rsidR="004B2808" w:rsidRDefault="00000000">
      <w:pPr>
        <w:jc w:val="both"/>
      </w:pPr>
      <w:r>
        <w:t>Si l’application antérieure est connue, les matériaux de sols souples de réemploi peuvent être utilisés pour des locaux de même usage ou d’usage moins contraignant.</w:t>
      </w:r>
    </w:p>
    <w:p w14:paraId="6949A202" w14:textId="77777777" w:rsidR="004B2808" w:rsidRDefault="00000000">
      <w:pPr>
        <w:jc w:val="both"/>
      </w:pPr>
      <w:r>
        <w:t>Les critères de performance sont établis conformément aux normes de référence précitées. Les échantillons nécessaires et la documentation avec la mention des spécifications requises pour les produits sont soumis préalablement pour approbation.</w:t>
      </w:r>
    </w:p>
    <w:p w14:paraId="48D9146C" w14:textId="77777777" w:rsidR="004B2808" w:rsidRDefault="00000000">
      <w:pPr>
        <w:jc w:val="both"/>
      </w:pPr>
      <w:r>
        <w:t>Une nuance de couleur uniforme est garantie pour chaque local par la fourniture de rouleaux ou de carreau d'une seule et même charge.</w:t>
      </w:r>
    </w:p>
    <w:p w14:paraId="4AF14A13" w14:textId="77777777" w:rsidR="004B2808" w:rsidRDefault="00000000">
      <w:pPr>
        <w:jc w:val="both"/>
      </w:pPr>
      <w:r>
        <w:t>24 heures avant leur mise en œuvre, les rouleaux sont entreposés dans des locaux secs qui sont climatisés par l'entrepreneur à la température minimale de mise en œuvre (voir [NIT 241] §7, 15°C pour les revêtements textiles [voir [NIT 262] §7]). Tous les rouleaux sont dans la mesure du possible stockés verticalement.</w:t>
      </w:r>
    </w:p>
    <w:p w14:paraId="25B3A8C0" w14:textId="77777777" w:rsidR="004B2808" w:rsidRDefault="00000000">
      <w:pPr>
        <w:jc w:val="both"/>
      </w:pPr>
      <w:r>
        <w:t>En matière de sécurité incendie, les revêtements de sol souples satisfont à certaines exigences en fonction de la destination du local dont ils font partie. (voir [NIT 241] et [NIT 262] § 4)</w:t>
      </w:r>
    </w:p>
    <w:p w14:paraId="785D8C2A" w14:textId="77777777" w:rsidR="004B2808" w:rsidRDefault="00000000">
      <w:pPr>
        <w:jc w:val="both"/>
      </w:pPr>
      <w:r>
        <w:t>Pour plus d'informations sur le choix du revêtement de sol souple, voir tableau 4 de la [NIT 241] pour les revêtements résilients et tableau 4 de la [NIT 262] pour les revêtements textiles.</w:t>
      </w:r>
    </w:p>
    <w:p w14:paraId="37D70CDD" w14:textId="77777777" w:rsidR="004B2808" w:rsidRDefault="00000000">
      <w:pPr>
        <w:jc w:val="both"/>
      </w:pPr>
      <w:r>
        <w:rPr>
          <w:b/>
        </w:rPr>
        <w:t>Matériaux utilisés pour la mise en œuvre</w:t>
      </w:r>
    </w:p>
    <w:p w14:paraId="50153973" w14:textId="77777777" w:rsidR="004B2808" w:rsidRDefault="00000000">
      <w:pPr>
        <w:jc w:val="both"/>
      </w:pPr>
      <w:r>
        <w:t>Les primaires, les produits d'égalisation, les éventuels coatings pare-vapeurs et les colles correspondent à la description du § 6 de la [NIT 241] pour la pose des revêtements de sol résilients du § 6 de la [NIT 262] pour la pose des revêtements de sol textiles.  </w:t>
      </w:r>
    </w:p>
    <w:p w14:paraId="5949CF56" w14:textId="77777777" w:rsidR="004B2808" w:rsidRDefault="00000000">
      <w:pPr>
        <w:jc w:val="both"/>
      </w:pPr>
      <w:r>
        <w:t>Les produits d'égalisation donnent lieu à un faible retrait de séchage et sont compatibles avec l'aire de pose, la colle prescrite et le revêtement de sol, compte tenu des sollicitations mécaniques, physiques et chimiques attendues (nature du support, de la colle, perméabilité du revêtement de sol, sollicitations statiques et dynamiques). Les produits d'égalisation qui offrent la meilleure résistance sont ceux qui satisfont aux exigences des tests à la chaise roulante.</w:t>
      </w:r>
    </w:p>
    <w:p w14:paraId="7FA3F8EB" w14:textId="77777777" w:rsidR="004B2808" w:rsidRDefault="00000000">
      <w:pPr>
        <w:jc w:val="both"/>
      </w:pPr>
      <w:r>
        <w:t>Les primaires sont adaptés à la nature du support (e.a. chape), à la couche d'égalisation, à la colle et au revêtement de sol. Ils sont exempts de produits solvants, sauf si aucun autre produit équivalent n’est disponible.  </w:t>
      </w:r>
    </w:p>
    <w:p w14:paraId="5091580A" w14:textId="77777777" w:rsidR="004B2808" w:rsidRDefault="00000000">
      <w:pPr>
        <w:jc w:val="both"/>
      </w:pPr>
      <w:r>
        <w:lastRenderedPageBreak/>
        <w:t>Les colles sont adaptées à la nature du support et du revêtement de sol souple (tableaux 24 et 26 de la [NIT 241] pour les revêtements de sol résilients et tableaux 38 et 39 de la [NIT 262] pour les revêtements de sol textiles). Différents types de colle peuvent être appliqués : colles en dispersion, colles époxy et polyuréthanes, colle en dispersion avec ciment, colle en phase solvant … Le choix est déterminé en fonction des conseils donnés par le fabricant des revêtements de sol. Lorsque des exigences particulières sont imposées, par exemple en ce qui concerne la résistance au feu, les colles sont du même type que celles utilisées lors des essais de résistance au feu.</w:t>
      </w:r>
    </w:p>
    <w:p w14:paraId="72EB5D75" w14:textId="77777777" w:rsidR="004B2808" w:rsidRDefault="00000000">
      <w:pPr>
        <w:pStyle w:val="pheading"/>
      </w:pPr>
      <w:r>
        <w:t>EXÉCUTION / MISE EN ŒUVRE</w:t>
      </w:r>
    </w:p>
    <w:p w14:paraId="4A6D4BF0" w14:textId="77777777" w:rsidR="004B2808" w:rsidRDefault="00000000">
      <w:pPr>
        <w:jc w:val="both"/>
      </w:pPr>
      <w:r>
        <w:rPr>
          <w:b/>
          <w:u w:val="single"/>
        </w:rPr>
        <w:t>Généralités</w:t>
      </w:r>
    </w:p>
    <w:p w14:paraId="5E070888" w14:textId="77777777" w:rsidR="004B2808" w:rsidRDefault="00000000">
      <w:pPr>
        <w:jc w:val="both"/>
      </w:pPr>
      <w:r>
        <w:t>Les revêtements de sol sont posés suivant les recommandations de la [NIT 241] pour les revêtements résilients et de la [NIT 262] pour les revêtements textiles et conformément à la documentation technique accompagnant le produit.</w:t>
      </w:r>
    </w:p>
    <w:p w14:paraId="4EDF3B26" w14:textId="77777777" w:rsidR="004B2808" w:rsidRDefault="00000000">
      <w:pPr>
        <w:jc w:val="both"/>
      </w:pPr>
      <w:r>
        <w:rPr>
          <w:b/>
          <w:u w:val="single"/>
        </w:rPr>
        <w:t>Température- Taux D'humidité</w:t>
      </w:r>
    </w:p>
    <w:p w14:paraId="64ECF04D" w14:textId="77777777" w:rsidR="004B2808" w:rsidRDefault="00000000">
      <w:pPr>
        <w:jc w:val="both"/>
      </w:pPr>
      <w:r>
        <w:t>La mise en œuvre nécessite une température minimale du support conforme aux valeurs mentionnées dans le tableau ci-dessous, dépendant des conditions ambiantes du local (cf. §7.5 de la [NIT 241] pour les revêtements résilients et §7.5 de la [NIT 262] pour les revêtements textiles). </w:t>
      </w:r>
    </w:p>
    <w:p w14:paraId="70CBAF75" w14:textId="77777777" w:rsidR="004B2808" w:rsidRDefault="00000000">
      <w:pPr>
        <w:jc w:val="both"/>
      </w:pPr>
      <w:r>
        <w:rPr>
          <w:noProof/>
        </w:rPr>
        <w:drawing>
          <wp:inline distT="0" distB="0" distL="0" distR="0" wp14:anchorId="0F8E44DF" wp14:editId="5FF4D093">
            <wp:extent cx="5715000" cy="2600325"/>
            <wp:effectExtent l="0" t="0" r="0" b="0"/>
            <wp:docPr id="2" name="53.55.png" descr="5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8404" descr=" "/>
                    <pic:cNvPicPr>
                      <a:picLocks noChangeAspect="1" noChangeArrowheads="1"/>
                    </pic:cNvPicPr>
                  </pic:nvPicPr>
                  <pic:blipFill>
                    <a:blip r:embed="rId7"/>
                    <a:srcRect/>
                    <a:stretch>
                      <a:fillRect/>
                    </a:stretch>
                  </pic:blipFill>
                  <pic:spPr bwMode="auto">
                    <a:xfrm>
                      <a:off x="0" y="0"/>
                      <a:ext cx="5715000" cy="2600325"/>
                    </a:xfrm>
                    <a:prstGeom prst="rect">
                      <a:avLst/>
                    </a:prstGeom>
                  </pic:spPr>
                </pic:pic>
              </a:graphicData>
            </a:graphic>
          </wp:inline>
        </w:drawing>
      </w:r>
    </w:p>
    <w:p w14:paraId="51171483" w14:textId="77777777" w:rsidR="004B2808" w:rsidRDefault="00000000">
      <w:pPr>
        <w:jc w:val="both"/>
      </w:pPr>
      <w:r>
        <w:t>Au préalable à la pose, le taux d'humidité du support est mesuré à l'aide de la méthode CM et il convient de s'assurer que les exigences du § 5.2.2.5. de la [NIT 241] pour les revêtements résilients et du §5.2.2.5 de la [NIT 262] pour les revêtements textiles  sont satisfaites avant la pose des revêtements de sol souples.</w:t>
      </w:r>
    </w:p>
    <w:p w14:paraId="7D7ACCEA" w14:textId="77777777" w:rsidR="004B2808" w:rsidRDefault="00000000">
      <w:pPr>
        <w:jc w:val="both"/>
      </w:pPr>
      <w:r>
        <w:t>Pour l'humidité résiduelle, les valeurs empiriques suivantes sont d'application :</w:t>
      </w:r>
    </w:p>
    <w:tbl>
      <w:tblPr>
        <w:tblStyle w:val="Author-eTableGrid"/>
        <w:tblW w:w="9060" w:type="dxa"/>
        <w:tblLayout w:type="fixed"/>
        <w:tblLook w:val="04A0" w:firstRow="1" w:lastRow="0" w:firstColumn="1" w:lastColumn="0" w:noHBand="0" w:noVBand="1"/>
      </w:tblPr>
      <w:tblGrid>
        <w:gridCol w:w="3020"/>
        <w:gridCol w:w="3020"/>
        <w:gridCol w:w="3020"/>
      </w:tblGrid>
      <w:tr w:rsidR="004B2808" w14:paraId="6EF6FBA5" w14:textId="77777777">
        <w:tc>
          <w:tcPr>
            <w:tcW w:w="3000" w:type="dxa"/>
            <w:noWrap/>
          </w:tcPr>
          <w:p w14:paraId="6B14195A" w14:textId="77777777" w:rsidR="004B2808" w:rsidRDefault="00000000">
            <w:pPr>
              <w:jc w:val="center"/>
            </w:pPr>
            <w:r>
              <w:rPr>
                <w:b/>
              </w:rPr>
              <w:t>Composition du sol</w:t>
            </w:r>
          </w:p>
        </w:tc>
        <w:tc>
          <w:tcPr>
            <w:tcW w:w="3000" w:type="dxa"/>
            <w:noWrap/>
          </w:tcPr>
          <w:p w14:paraId="7D1D84B5" w14:textId="77777777" w:rsidR="004B2808" w:rsidRDefault="00000000">
            <w:pPr>
              <w:jc w:val="center"/>
            </w:pPr>
            <w:r>
              <w:rPr>
                <w:b/>
              </w:rPr>
              <w:t>Temps de séchage</w:t>
            </w:r>
          </w:p>
        </w:tc>
        <w:tc>
          <w:tcPr>
            <w:tcW w:w="3000" w:type="dxa"/>
            <w:noWrap/>
          </w:tcPr>
          <w:p w14:paraId="70790D0F" w14:textId="77777777" w:rsidR="004B2808" w:rsidRDefault="00000000">
            <w:pPr>
              <w:jc w:val="center"/>
            </w:pPr>
            <w:r>
              <w:rPr>
                <w:b/>
              </w:rPr>
              <w:t>Humidité de compensation admissible en CM -%</w:t>
            </w:r>
          </w:p>
        </w:tc>
      </w:tr>
      <w:tr w:rsidR="004B2808" w14:paraId="2114E0E5" w14:textId="77777777">
        <w:tc>
          <w:tcPr>
            <w:tcW w:w="3000" w:type="dxa"/>
            <w:noWrap/>
          </w:tcPr>
          <w:p w14:paraId="1420EB3F" w14:textId="77777777" w:rsidR="004B2808" w:rsidRDefault="00000000">
            <w:r>
              <w:t>Chape à base de ciment</w:t>
            </w:r>
          </w:p>
        </w:tc>
        <w:tc>
          <w:tcPr>
            <w:tcW w:w="3000" w:type="dxa"/>
            <w:noWrap/>
          </w:tcPr>
          <w:p w14:paraId="4DED7E91" w14:textId="77777777" w:rsidR="004B2808" w:rsidRDefault="00000000">
            <w:r>
              <w:t>2 - 4 semaines selon l'épaisseur</w:t>
            </w:r>
          </w:p>
        </w:tc>
        <w:tc>
          <w:tcPr>
            <w:tcW w:w="3000" w:type="dxa"/>
            <w:noWrap/>
          </w:tcPr>
          <w:p w14:paraId="2B1D60BC" w14:textId="77777777" w:rsidR="004B2808" w:rsidRDefault="00000000">
            <w:r>
              <w:t>≤ 2 %</w:t>
            </w:r>
          </w:p>
        </w:tc>
      </w:tr>
      <w:tr w:rsidR="004B2808" w14:paraId="58E16297" w14:textId="77777777">
        <w:tc>
          <w:tcPr>
            <w:tcW w:w="3000" w:type="dxa"/>
            <w:noWrap/>
          </w:tcPr>
          <w:p w14:paraId="39046771" w14:textId="77777777" w:rsidR="004B2808" w:rsidRDefault="00000000">
            <w:r>
              <w:t>Chape anhydrite</w:t>
            </w:r>
          </w:p>
        </w:tc>
        <w:tc>
          <w:tcPr>
            <w:tcW w:w="3000" w:type="dxa"/>
            <w:noWrap/>
          </w:tcPr>
          <w:p w14:paraId="79012101" w14:textId="77777777" w:rsidR="004B2808" w:rsidRDefault="00000000">
            <w:r>
              <w:t>2 - 3 semaines selon l'épaisseur</w:t>
            </w:r>
          </w:p>
        </w:tc>
        <w:tc>
          <w:tcPr>
            <w:tcW w:w="3000" w:type="dxa"/>
            <w:noWrap/>
          </w:tcPr>
          <w:p w14:paraId="3B5C2417" w14:textId="77777777" w:rsidR="004B2808" w:rsidRDefault="00000000">
            <w:r>
              <w:t>≤ 0,5 %</w:t>
            </w:r>
          </w:p>
        </w:tc>
      </w:tr>
      <w:tr w:rsidR="004B2808" w14:paraId="0162E155" w14:textId="77777777">
        <w:tc>
          <w:tcPr>
            <w:tcW w:w="3000" w:type="dxa"/>
            <w:noWrap/>
          </w:tcPr>
          <w:p w14:paraId="59902BB2" w14:textId="77777777" w:rsidR="004B2808" w:rsidRDefault="00000000">
            <w:r>
              <w:t>Chape magnésite (sans matière de charge à base de bois)</w:t>
            </w:r>
          </w:p>
        </w:tc>
        <w:tc>
          <w:tcPr>
            <w:tcW w:w="3000" w:type="dxa"/>
            <w:noWrap/>
          </w:tcPr>
          <w:p w14:paraId="0AE93AA3" w14:textId="77777777" w:rsidR="004B2808" w:rsidRDefault="00000000">
            <w:r>
              <w:t>3 - 4 semaines selon l'épaisseur</w:t>
            </w:r>
          </w:p>
        </w:tc>
        <w:tc>
          <w:tcPr>
            <w:tcW w:w="3000" w:type="dxa"/>
            <w:noWrap/>
          </w:tcPr>
          <w:p w14:paraId="307B3311" w14:textId="77777777" w:rsidR="004B2808" w:rsidRDefault="00000000">
            <w:r>
              <w:t>≤ 3 %</w:t>
            </w:r>
          </w:p>
        </w:tc>
      </w:tr>
      <w:tr w:rsidR="004B2808" w14:paraId="09A8F99E" w14:textId="77777777">
        <w:tc>
          <w:tcPr>
            <w:tcW w:w="3000" w:type="dxa"/>
            <w:noWrap/>
          </w:tcPr>
          <w:p w14:paraId="496B184D" w14:textId="77777777" w:rsidR="004B2808" w:rsidRDefault="00000000">
            <w:r>
              <w:t>Chape magnésite (avec matière de charge à base de bois)</w:t>
            </w:r>
          </w:p>
        </w:tc>
        <w:tc>
          <w:tcPr>
            <w:tcW w:w="3000" w:type="dxa"/>
            <w:noWrap/>
          </w:tcPr>
          <w:p w14:paraId="2C901213" w14:textId="77777777" w:rsidR="004B2808" w:rsidRDefault="00000000">
            <w:r>
              <w:t>1 - 3 semaines selon l'épaisseur</w:t>
            </w:r>
          </w:p>
        </w:tc>
        <w:tc>
          <w:tcPr>
            <w:tcW w:w="3000" w:type="dxa"/>
            <w:noWrap/>
          </w:tcPr>
          <w:p w14:paraId="2E122883" w14:textId="77777777" w:rsidR="004B2808" w:rsidRDefault="00000000">
            <w:r>
              <w:t>≤ 8 %</w:t>
            </w:r>
          </w:p>
        </w:tc>
      </w:tr>
      <w:tr w:rsidR="004B2808" w14:paraId="1423283E" w14:textId="77777777">
        <w:tc>
          <w:tcPr>
            <w:tcW w:w="3000" w:type="dxa"/>
            <w:noWrap/>
          </w:tcPr>
          <w:p w14:paraId="327CD593" w14:textId="77777777" w:rsidR="004B2808" w:rsidRDefault="00000000">
            <w:r>
              <w:t>Surface en béton</w:t>
            </w:r>
          </w:p>
        </w:tc>
        <w:tc>
          <w:tcPr>
            <w:tcW w:w="3000" w:type="dxa"/>
            <w:noWrap/>
          </w:tcPr>
          <w:p w14:paraId="7A1A4490" w14:textId="77777777" w:rsidR="004B2808" w:rsidRDefault="004B2808"/>
        </w:tc>
        <w:tc>
          <w:tcPr>
            <w:tcW w:w="3000" w:type="dxa"/>
            <w:noWrap/>
          </w:tcPr>
          <w:p w14:paraId="5CC5322F" w14:textId="77777777" w:rsidR="004B2808" w:rsidRDefault="00000000">
            <w:r>
              <w:t>selon la méthode DARR)</w:t>
            </w:r>
          </w:p>
        </w:tc>
      </w:tr>
      <w:tr w:rsidR="004B2808" w14:paraId="2E8FFC75" w14:textId="77777777">
        <w:tc>
          <w:tcPr>
            <w:tcW w:w="3000" w:type="dxa"/>
            <w:noWrap/>
          </w:tcPr>
          <w:p w14:paraId="23CB8CF8" w14:textId="77777777" w:rsidR="004B2808" w:rsidRDefault="00000000">
            <w:r>
              <w:t>Surfaces en bois</w:t>
            </w:r>
          </w:p>
        </w:tc>
        <w:tc>
          <w:tcPr>
            <w:tcW w:w="3000" w:type="dxa"/>
            <w:noWrap/>
          </w:tcPr>
          <w:p w14:paraId="52EBD3A5" w14:textId="77777777" w:rsidR="004B2808" w:rsidRDefault="004B2808"/>
        </w:tc>
        <w:tc>
          <w:tcPr>
            <w:tcW w:w="3000" w:type="dxa"/>
            <w:noWrap/>
          </w:tcPr>
          <w:p w14:paraId="3C233AB5" w14:textId="77777777" w:rsidR="004B2808" w:rsidRDefault="00000000">
            <w:r>
              <w:t>≤ 6 %</w:t>
            </w:r>
          </w:p>
        </w:tc>
      </w:tr>
    </w:tbl>
    <w:p w14:paraId="64D4F203" w14:textId="77777777" w:rsidR="004B2808" w:rsidRDefault="004B2808"/>
    <w:p w14:paraId="5855514D" w14:textId="77777777" w:rsidR="004B2808" w:rsidRDefault="00000000">
      <w:pPr>
        <w:jc w:val="both"/>
      </w:pPr>
      <w:r>
        <w:rPr>
          <w:b/>
          <w:u w:val="single"/>
        </w:rPr>
        <w:t>Préparation Du Support</w:t>
      </w:r>
    </w:p>
    <w:p w14:paraId="5C1CEC9C" w14:textId="77777777" w:rsidR="004B2808" w:rsidRDefault="00000000">
      <w:pPr>
        <w:jc w:val="both"/>
      </w:pPr>
      <w:r>
        <w:lastRenderedPageBreak/>
        <w:t>Le support satisfait aux exigences du §5.2. de la [NIT 241] pour la pose des revêtements de sol résilients et du § 5.2 de la [NIT 262] pour la pose des revêtements de sol textiles.</w:t>
      </w:r>
    </w:p>
    <w:p w14:paraId="5CADFD41" w14:textId="77777777" w:rsidR="004B2808" w:rsidRDefault="00000000">
      <w:pPr>
        <w:jc w:val="both"/>
      </w:pPr>
      <w:r>
        <w:t>Les travaux préparatoires du support satisfont aux dispositions du § 7.2. de la [NIT 241] pour la pose des revêtements de sol résilients et du § 7.2. de la [NIT 262] pour la pose des revêtements de sol textiles.  </w:t>
      </w:r>
    </w:p>
    <w:p w14:paraId="19D985A0" w14:textId="77777777" w:rsidR="004B2808" w:rsidRDefault="00000000">
      <w:pPr>
        <w:pStyle w:val="Author-eListParagraph"/>
        <w:numPr>
          <w:ilvl w:val="0"/>
          <w:numId w:val="571"/>
        </w:numPr>
        <w:jc w:val="both"/>
      </w:pPr>
      <w:r>
        <w:t>L'aire de pose est préalablement débarrassée de toute poussière et saletés (restes de plâtre, ciment, peinture, bitume, cire, etc.), et bien brossée. Les éventuelles irrégularités, les parties non adhérentes ou déchirées, les fissures, etc. sont d'abord remplacées ou retouchées jusqu'à ce que l'on obtienne une surface propre, solide, plane et lisse. A noter que les travaux préparatoires repris dans le § 1.1. de la [NIT 241] pour la pose d'un revêtement de sol résilient et le § 1.1. de la [NIT 262] pour la pose d'un revêtement de sol textile (par exemple, traitement des fissures,..) ne sont pas considérés comme des travaux préparatoires standards et font l'objet d'un poste séparé.</w:t>
      </w:r>
    </w:p>
    <w:p w14:paraId="48E80AE4" w14:textId="77777777" w:rsidR="004B2808" w:rsidRDefault="00000000">
      <w:pPr>
        <w:jc w:val="both"/>
      </w:pPr>
      <w:r>
        <w:t>Les produits d'égalisation nécessaires et les éventuelles couches d'adhérence sont choisis et mis en œuvre selon les recommandations du fabricant. Pendant le durcissement, la couche d'égalisation est protégée contre les courants d'air, le rayonnement direct du soleil ou toute autre source de chaleur. Avant le durcissement, la chape n’est pas foulée. Le temps d'attente pour la mise en œuvre du revêtement de sol dépend des produits utilisés, de l'épaisseur de la couche, de la porosité et de la siccité de l'aire de pose ainsi que des conditions ambiantes.</w:t>
      </w:r>
    </w:p>
    <w:p w14:paraId="08F69669" w14:textId="77777777" w:rsidR="004B2808" w:rsidRDefault="00000000">
      <w:pPr>
        <w:jc w:val="both"/>
      </w:pPr>
      <w:r>
        <w:t>Les nouvelles aires de pose (chapes à base de ciment, …) sont d'abord égalisées afin d'obtenir une surface lisse et ce, à l'aide de produits d'égalisation adaptés. Afin d'améliorer l'adhérence, un primaire est au préalable appliqué. Pour les chapes liées à l'anhydrite, l'enlèvement d'une pellicule est prévue dans certains cas (à considérer comme un travail supplémentaire). </w:t>
      </w:r>
    </w:p>
    <w:p w14:paraId="76F4FBDB" w14:textId="77777777" w:rsidR="004B2808" w:rsidRDefault="00000000">
      <w:pPr>
        <w:jc w:val="both"/>
      </w:pPr>
      <w:r>
        <w:t>Les anciennes aires de pose (par ex. les revêtements de sol en carreaux pour les travaux de rénovation) sont au préalable débarrassées des revêtements de sols en textile, vinyle, caoutchouc, liège , … Avant la mise en œuvre sur les revêtements de sol en carreaux, ceux-ci sont préalablement nettoyés et dégraissés avec un produit approprié.  Les opérations de préparation reprises dans la liste du § 5 de la [NIT 241] et la [NIT 262] sont sélectionnées.</w:t>
      </w:r>
    </w:p>
    <w:p w14:paraId="2F6EE5DD" w14:textId="77777777" w:rsidR="004B2808" w:rsidRDefault="00000000">
      <w:pPr>
        <w:jc w:val="both"/>
      </w:pPr>
      <w:r>
        <w:t>Les aires de pose en bois (planchers, parquets et sous-aires en plaques de fibres ou d'aggloméré) sont d'abord contrôlées quant à la fixation des éléments, leur état et leurs assemblages ou joints. Les éléments endommagés et/ou défaits sont remplacés et/ou fixés. Les éventuelles déformations et/ou irrégularités sont réparées ou rabotées. Pour les aires de pose sur gîtage, tous les joints sont obturés, surtout lorsqu'un revêtement perméable à l'air est prévu. Pour la mise en œuvre par collage direct, il peut s'avérer nécessaire d'enlever toutes les traces de peinture et de cire sur l'aire de pose avec des techniques et des produits appropriés. (cf. § 5.1.4. de la [NIT 241] pour la pose des revêtements de sol résilients et cfr. § 5.1.2. de la [NIT 262] pour la pose des revêtements de sol textiles).</w:t>
      </w:r>
    </w:p>
    <w:p w14:paraId="4C7518F0" w14:textId="77777777" w:rsidR="004B2808" w:rsidRDefault="00000000">
      <w:pPr>
        <w:jc w:val="both"/>
      </w:pPr>
      <w:r>
        <w:rPr>
          <w:b/>
          <w:u w:val="single"/>
        </w:rPr>
        <w:t>Le collage</w:t>
      </w:r>
    </w:p>
    <w:p w14:paraId="434A9E3B" w14:textId="77777777" w:rsidR="004B2808" w:rsidRDefault="00000000">
      <w:pPr>
        <w:jc w:val="both"/>
      </w:pPr>
      <w:r>
        <w:t>Les lés et les dalles sont préalablement acclimatés à la température ambiante (cfr. §7.4.3 de la [NIT 241] pour les revêtements résilients et §7.4.2 de la [NIT 262] pour les revêtements textiles).  </w:t>
      </w:r>
    </w:p>
    <w:p w14:paraId="20A51E9E" w14:textId="77777777" w:rsidR="004B2808" w:rsidRDefault="00000000">
      <w:pPr>
        <w:jc w:val="both"/>
      </w:pPr>
      <w:r>
        <w:t>Le débitage des lés se fait conformément au § 7.6 des [NIT 241] et [NIT 262].</w:t>
      </w:r>
    </w:p>
    <w:p w14:paraId="79945D6D" w14:textId="77777777" w:rsidR="004B2808" w:rsidRDefault="00000000">
      <w:pPr>
        <w:jc w:val="both"/>
      </w:pPr>
      <w:r>
        <w:t>La pose collée des lés et des dalles est réalisée conformément au § 7.7 des [NIT 241] et [NIT 262].</w:t>
      </w:r>
    </w:p>
    <w:p w14:paraId="4BD10A1F" w14:textId="77777777" w:rsidR="004B2808" w:rsidRDefault="00000000">
      <w:pPr>
        <w:jc w:val="both"/>
      </w:pPr>
      <w:r>
        <w:t>Tous les lés sont posés dans le même sens, de préférence parallèlement à la lumière, selon l'indication des flèches au dos et/ou adaptés et/ou orientés de manière à créer le minimum de joints. On se réfère au §7.6.1.1. des  [NIT 241] et [NIT 262] dans le cas de la pose de lés. Pour les dalles, on se réfère au §7.6.2. des [NIT 241] et [NIT 262] pour les opérations préalables à leur pose.</w:t>
      </w:r>
    </w:p>
    <w:p w14:paraId="2D7E13EA" w14:textId="77777777" w:rsidR="004B2808" w:rsidRDefault="00000000">
      <w:pPr>
        <w:jc w:val="both"/>
      </w:pPr>
      <w:r>
        <w:t>Après le séchage de la colle, les revêtements de sol sont nettoyés et débarrassés de toute impureté et des taches, y compris l'enlèvement du mastic superflu (§8.4.1. des [NIT 241] et  [NIT 262]).</w:t>
      </w:r>
    </w:p>
    <w:p w14:paraId="58CECAE1" w14:textId="77777777" w:rsidR="004B2808" w:rsidRDefault="00000000">
      <w:pPr>
        <w:pStyle w:val="pheading"/>
      </w:pPr>
      <w:r>
        <w:t>CONTRÔLES</w:t>
      </w:r>
    </w:p>
    <w:p w14:paraId="1049EF89" w14:textId="77777777" w:rsidR="004B2808" w:rsidRDefault="00000000">
      <w:pPr>
        <w:jc w:val="both"/>
      </w:pPr>
      <w:r>
        <w:t>Aucune différence de hauteur n’est tolérée entre deux lés juxtaposés. Les bulles d'air, les bords non adhérents, etc. ne sont pas admis et entrainent le refus des ouvrages.</w:t>
      </w:r>
    </w:p>
    <w:p w14:paraId="7F770D6B" w14:textId="77777777" w:rsidR="004B2808" w:rsidRDefault="00000000">
      <w:pPr>
        <w:pStyle w:val="pheading"/>
      </w:pPr>
      <w:r>
        <w:lastRenderedPageBreak/>
        <w:t>DOCUMENTS DE RÉFÉRENCE</w:t>
      </w:r>
    </w:p>
    <w:p w14:paraId="154AB9FC" w14:textId="77777777" w:rsidR="004B2808" w:rsidRDefault="00000000">
      <w:pPr>
        <w:pStyle w:val="pheading"/>
      </w:pPr>
      <w:r>
        <w:t>- Matériau</w:t>
      </w:r>
    </w:p>
    <w:p w14:paraId="6ECDB29D" w14:textId="77777777" w:rsidR="004B2808" w:rsidRDefault="00000000">
      <w:r>
        <w:t>[NBN EN 12466, Revêtements de sol résilients - Vocabulaire]</w:t>
      </w:r>
    </w:p>
    <w:p w14:paraId="644A2878" w14:textId="77777777" w:rsidR="004B2808" w:rsidRDefault="00000000">
      <w:r>
        <w:t>[NBN EN ISO 26987, Revêtements de sol résilients - Détermination de la résistance au tâchage et aux produits chimiques (ISO 26987:2008)] à [NBN EN ISO 23996, Revêtements de sol résilients - Détermination de la masse volumique (ISO 23996:2007)]</w:t>
      </w:r>
    </w:p>
    <w:p w14:paraId="0BFF721E" w14:textId="77777777" w:rsidR="004B2808" w:rsidRDefault="00000000">
      <w:r>
        <w:t>[NBN EN 684, Revêtements de sol résilients - Détermination de la résistance de la soudure]</w:t>
      </w:r>
    </w:p>
    <w:p w14:paraId="61C9994D" w14:textId="77777777" w:rsidR="004B2808" w:rsidRDefault="00000000">
      <w:r>
        <w:t>[NBN EN ISO 10874, Revêtements de sol résilients, textiles et stratifiés - Classification (ISO 10874:2009)]</w:t>
      </w:r>
    </w:p>
    <w:p w14:paraId="0E0B05DA" w14:textId="77777777" w:rsidR="004B2808" w:rsidRDefault="00000000">
      <w:r>
        <w:t>[NBN EN 1399, Revêtements de sol résilients - Détermination de la résistance aux brûlures de cigarettes et aux cigarettes écrasées]</w:t>
      </w:r>
    </w:p>
    <w:p w14:paraId="57EC3EBB" w14:textId="77777777" w:rsidR="004B2808" w:rsidRDefault="00000000">
      <w:r>
        <w:t>[NBN EN 1815, Revêtements de sol résilients et stratifiés - Évaluation à la propension à l'accumulation de charges électrostatiques]</w:t>
      </w:r>
    </w:p>
    <w:p w14:paraId="1D2F712A" w14:textId="77777777" w:rsidR="004B2808" w:rsidRDefault="00000000">
      <w:r>
        <w:t>[NBN EN 1081:2018+A1, Revêtements de sol résilients, stratifiés et multicouches modulaires - Détermination de la résistance électrique]</w:t>
      </w:r>
    </w:p>
    <w:p w14:paraId="40151AF2" w14:textId="77777777" w:rsidR="004B2808" w:rsidRDefault="00000000">
      <w:pPr>
        <w:pStyle w:val="pheading"/>
      </w:pPr>
      <w:r>
        <w:t>- Exécution</w:t>
      </w:r>
    </w:p>
    <w:p w14:paraId="04B782B8" w14:textId="77777777" w:rsidR="004B2808" w:rsidRDefault="00000000">
      <w:r>
        <w:t>[NIT 241, Mise en oeuvre des revêtements de sol résilients (remplace partiellement la NIT 165).]</w:t>
      </w:r>
    </w:p>
    <w:p w14:paraId="0F1E874B" w14:textId="77777777" w:rsidR="004B2808" w:rsidRDefault="00000000">
      <w:r>
        <w:t xml:space="preserve">[NIT 262, </w:t>
      </w:r>
      <w:r>
        <w:tab/>
        <w:t>Code de bonne pratique pour la pose des revêtements de sol textiles]</w:t>
      </w:r>
    </w:p>
    <w:p w14:paraId="2138EF70" w14:textId="77777777" w:rsidR="004B2808" w:rsidRDefault="00000000">
      <w:pPr>
        <w:pStyle w:val="Author-eSectionHeading5Numberless"/>
      </w:pPr>
      <w:bookmarkStart w:id="668" w:name="_Toc220490823"/>
      <w:r>
        <w:t>53.55.1 Revêtements de sols souples en textile CCTB 01.02</w:t>
      </w:r>
      <w:bookmarkEnd w:id="668"/>
    </w:p>
    <w:p w14:paraId="20464F17" w14:textId="77777777" w:rsidR="004B2808" w:rsidRDefault="00000000">
      <w:pPr>
        <w:pStyle w:val="pheading"/>
      </w:pPr>
      <w:r>
        <w:t>MATÉRIAUX</w:t>
      </w:r>
    </w:p>
    <w:p w14:paraId="4454F00F" w14:textId="77777777" w:rsidR="004B2808" w:rsidRDefault="00000000">
      <w:r>
        <w:t>revêtements textiles avec velours mais non aiguilletés</w:t>
      </w:r>
    </w:p>
    <w:p w14:paraId="098A4CF7" w14:textId="77777777" w:rsidR="004B2808" w:rsidRDefault="00000000">
      <w:r>
        <w:t>revêtements textiles sans velours non aiguilletés</w:t>
      </w:r>
    </w:p>
    <w:p w14:paraId="19B74738" w14:textId="77777777" w:rsidR="004B2808" w:rsidRDefault="00000000">
      <w:r>
        <w:t>revêtements textiles avec velours et aiguilletés</w:t>
      </w:r>
    </w:p>
    <w:p w14:paraId="2733FE9F" w14:textId="77777777" w:rsidR="004B2808" w:rsidRDefault="00000000">
      <w:r>
        <w:t>revêtements textiles sans velours non aiguilletés.</w:t>
      </w:r>
    </w:p>
    <w:p w14:paraId="10BBD3FC" w14:textId="77777777" w:rsidR="004B2808" w:rsidRDefault="00000000">
      <w:pPr>
        <w:pStyle w:val="Author-eSectionHeading6Numberless"/>
      </w:pPr>
      <w:bookmarkStart w:id="669" w:name="_Toc220490824"/>
      <w:r>
        <w:t>53.55.1a Revêtements de sols souples en textile - Tapis plain, etc. CCTB 01.12</w:t>
      </w:r>
      <w:bookmarkEnd w:id="669"/>
    </w:p>
    <w:p w14:paraId="10C02332" w14:textId="77777777" w:rsidR="004B2808" w:rsidRDefault="00000000">
      <w:pPr>
        <w:pStyle w:val="pheading"/>
      </w:pPr>
      <w:r>
        <w:t>DESCRIPTION</w:t>
      </w:r>
    </w:p>
    <w:p w14:paraId="3612F4EE" w14:textId="77777777" w:rsidR="004B2808" w:rsidRDefault="00000000">
      <w:pPr>
        <w:pStyle w:val="pheading"/>
      </w:pPr>
      <w:r>
        <w:t>- Définition / Comprend</w:t>
      </w:r>
    </w:p>
    <w:p w14:paraId="104B180B" w14:textId="77777777" w:rsidR="004B2808" w:rsidRDefault="00000000">
      <w:pPr>
        <w:jc w:val="both"/>
      </w:pPr>
      <w:r>
        <w:t>Il s’agit de la fourniture (hors matériaux récupérés du même site) et la pose de revêtements de sols souples en textile - Tapis plain, etc.</w:t>
      </w:r>
    </w:p>
    <w:p w14:paraId="2BE61FB6" w14:textId="77777777" w:rsidR="004B2808" w:rsidRDefault="00000000">
      <w:pPr>
        <w:jc w:val="both"/>
      </w:pPr>
      <w:r>
        <w:t>Le travail comprend notamment :</w:t>
      </w:r>
    </w:p>
    <w:p w14:paraId="365B480F" w14:textId="77777777" w:rsidR="004B2808" w:rsidRDefault="00000000">
      <w:pPr>
        <w:pStyle w:val="Author-eListParagraph"/>
        <w:numPr>
          <w:ilvl w:val="0"/>
          <w:numId w:val="572"/>
        </w:numPr>
      </w:pPr>
      <w:r>
        <w:t>la fourniture (hors matériaux récupérés du même site)</w:t>
      </w:r>
    </w:p>
    <w:p w14:paraId="66E8311A" w14:textId="77777777" w:rsidR="004B2808" w:rsidRDefault="00000000">
      <w:pPr>
        <w:pStyle w:val="Author-eListParagraph"/>
        <w:numPr>
          <w:ilvl w:val="0"/>
          <w:numId w:val="572"/>
        </w:numPr>
      </w:pPr>
      <w:r>
        <w:t>le stockage</w:t>
      </w:r>
    </w:p>
    <w:p w14:paraId="74B0A17C" w14:textId="77777777" w:rsidR="004B2808" w:rsidRDefault="00000000">
      <w:pPr>
        <w:pStyle w:val="Author-eListParagraph"/>
        <w:numPr>
          <w:ilvl w:val="0"/>
          <w:numId w:val="572"/>
        </w:numPr>
      </w:pPr>
      <w:r>
        <w:t>la préparation de surface</w:t>
      </w:r>
    </w:p>
    <w:p w14:paraId="37301998" w14:textId="77777777" w:rsidR="004B2808" w:rsidRDefault="00000000">
      <w:pPr>
        <w:pStyle w:val="Author-eListParagraph"/>
        <w:numPr>
          <w:ilvl w:val="0"/>
          <w:numId w:val="572"/>
        </w:numPr>
      </w:pPr>
      <w:r>
        <w:t>la pose</w:t>
      </w:r>
    </w:p>
    <w:p w14:paraId="4B52A653" w14:textId="77777777" w:rsidR="004B2808" w:rsidRDefault="00000000">
      <w:pPr>
        <w:pStyle w:val="Author-eListParagraph"/>
        <w:numPr>
          <w:ilvl w:val="0"/>
          <w:numId w:val="572"/>
        </w:numPr>
      </w:pPr>
      <w:r>
        <w:t>le nettoyage de la surface</w:t>
      </w:r>
      <w:r>
        <w:br/>
      </w:r>
    </w:p>
    <w:p w14:paraId="3CC38A48" w14:textId="77777777" w:rsidR="004B2808" w:rsidRDefault="00000000">
      <w:pPr>
        <w:jc w:val="both"/>
      </w:pPr>
      <w:r>
        <w:t>Les revêtements de sols textiles comportent une couche supérieure (couche d’usage) composée de fibres textiles naturelles, synthétiques ou d’une combinaison de ces deux dernières.</w:t>
      </w:r>
    </w:p>
    <w:p w14:paraId="349CB49D" w14:textId="77777777" w:rsidR="004B2808" w:rsidRDefault="00000000">
      <w:pPr>
        <w:jc w:val="both"/>
      </w:pPr>
      <w:r>
        <w:t>Les revêtements de sols résilients ne sont pas repris dans cet article.</w:t>
      </w:r>
    </w:p>
    <w:p w14:paraId="7AC9B74F" w14:textId="77777777" w:rsidR="004B2808" w:rsidRDefault="00000000">
      <w:pPr>
        <w:pStyle w:val="pheading"/>
      </w:pPr>
      <w:r>
        <w:t>MATÉRIAUX</w:t>
      </w:r>
    </w:p>
    <w:p w14:paraId="278A4E75" w14:textId="77777777" w:rsidR="004B2808" w:rsidRDefault="00000000">
      <w:pPr>
        <w:pStyle w:val="pheading"/>
      </w:pPr>
      <w:r>
        <w:t>- Caractéristiques générales</w:t>
      </w:r>
    </w:p>
    <w:p w14:paraId="7FF0A29C" w14:textId="77777777" w:rsidR="004B2808" w:rsidRDefault="00000000">
      <w:pPr>
        <w:jc w:val="both"/>
      </w:pPr>
      <w:r>
        <w:lastRenderedPageBreak/>
        <w:t xml:space="preserve">Les produits de revêtement textiles sont composés d’une couche d’usage </w:t>
      </w:r>
      <w:r>
        <w:rPr>
          <w:rStyle w:val="optioncarChar"/>
        </w:rPr>
        <w:t>avec / sans</w:t>
      </w:r>
      <w:r>
        <w:t xml:space="preserve"> (par défaut) velours (fibres implantées verticalement et rattachés à la sous-couche telles que définies dans l' [ISO 2424]).</w:t>
      </w:r>
    </w:p>
    <w:p w14:paraId="4D9B3F25" w14:textId="77777777" w:rsidR="004B2808" w:rsidRDefault="00000000">
      <w:pPr>
        <w:jc w:val="both"/>
      </w:pPr>
      <w:r>
        <w:t xml:space="preserve">Les revêtements de sols sont </w:t>
      </w:r>
      <w:r>
        <w:rPr>
          <w:rStyle w:val="optioncarChar"/>
        </w:rPr>
        <w:t>tissés</w:t>
      </w:r>
      <w:r>
        <w:t xml:space="preserve"> (par défaut) </w:t>
      </w:r>
      <w:r>
        <w:rPr>
          <w:rStyle w:val="optioncarChar"/>
        </w:rPr>
        <w:t>/ tricotés / tuftés (ou touffetés) / floqués / aiguilletés / ***.  </w:t>
      </w:r>
    </w:p>
    <w:p w14:paraId="57D24DAD" w14:textId="77777777" w:rsidR="004B2808" w:rsidRDefault="00000000">
      <w:pPr>
        <w:jc w:val="both"/>
      </w:pPr>
      <w:r>
        <w:t xml:space="preserve">Le revêtement est composé de </w:t>
      </w:r>
      <w:r>
        <w:rPr>
          <w:rStyle w:val="optioncarChar"/>
        </w:rPr>
        <w:t xml:space="preserve">rouleaux - lés </w:t>
      </w:r>
      <w:r>
        <w:t xml:space="preserve">(par défaut) </w:t>
      </w:r>
      <w:r>
        <w:rPr>
          <w:rStyle w:val="optioncarChar"/>
        </w:rPr>
        <w:t>/ dalles de 40x40 cm / dalles de 50x50 cm / ***</w:t>
      </w:r>
      <w:r>
        <w:t xml:space="preserve">. Le revêtement de sol est uniforme </w:t>
      </w:r>
      <w:r>
        <w:rPr>
          <w:rStyle w:val="optioncarChar"/>
        </w:rPr>
        <w:t xml:space="preserve">de couleur grise </w:t>
      </w:r>
      <w:r>
        <w:t xml:space="preserve">(par défaut) </w:t>
      </w:r>
      <w:r>
        <w:rPr>
          <w:rStyle w:val="optioncarChar"/>
        </w:rPr>
        <w:t>/ moucheté / ***.</w:t>
      </w:r>
    </w:p>
    <w:p w14:paraId="39FABA84" w14:textId="77777777" w:rsidR="004B2808" w:rsidRDefault="00000000">
      <w:pPr>
        <w:jc w:val="both"/>
      </w:pPr>
      <w:r>
        <w:t>Un échantillon représentatif est présenté au maitre d’ouvrage pour approbation avant mise en œuvre.</w:t>
      </w:r>
    </w:p>
    <w:p w14:paraId="62D23D88" w14:textId="77777777" w:rsidR="004B2808" w:rsidRDefault="00000000">
      <w:pPr>
        <w:jc w:val="both"/>
      </w:pPr>
      <w:r>
        <w:t xml:space="preserve">Les revêtements de sols textiles sont </w:t>
      </w:r>
      <w:r>
        <w:rPr>
          <w:rStyle w:val="optioncarChar"/>
        </w:rPr>
        <w:t xml:space="preserve">neufs </w:t>
      </w:r>
      <w:r>
        <w:t xml:space="preserve">(par défaut) </w:t>
      </w:r>
      <w:r>
        <w:rPr>
          <w:rStyle w:val="optioncarChar"/>
        </w:rPr>
        <w:t>/ de réemploi.</w:t>
      </w:r>
    </w:p>
    <w:p w14:paraId="368F739B" w14:textId="77777777" w:rsidR="004B2808" w:rsidRDefault="00000000">
      <w:pPr>
        <w:ind w:left="567"/>
        <w:jc w:val="both"/>
      </w:pPr>
      <w:r>
        <w:rPr>
          <w:b/>
          <w:i/>
        </w:rPr>
        <w:t>(Soit par défaut)</w:t>
      </w:r>
    </w:p>
    <w:p w14:paraId="3852DC0C" w14:textId="77777777" w:rsidR="004B2808" w:rsidRDefault="00000000">
      <w:pPr>
        <w:ind w:left="567"/>
        <w:jc w:val="both"/>
      </w:pPr>
      <w:r>
        <w:rPr>
          <w:rStyle w:val="soitChar"/>
          <w:u w:val="single"/>
        </w:rPr>
        <w:t>Neufs :</w:t>
      </w:r>
      <w:r>
        <w:rPr>
          <w:rStyle w:val="soitChar"/>
        </w:rPr>
        <w:t xml:space="preserve"> Le revêtement de sol textile est conforme aux exigences décrites dans la norme [NBN EN 14041].   </w:t>
      </w:r>
    </w:p>
    <w:p w14:paraId="5DD090EC" w14:textId="77777777" w:rsidR="004B2808" w:rsidRDefault="00000000">
      <w:pPr>
        <w:ind w:left="567"/>
        <w:jc w:val="both"/>
      </w:pPr>
      <w:r>
        <w:rPr>
          <w:rStyle w:val="soitChar"/>
        </w:rPr>
        <w:t xml:space="preserve">Classe de revêtement de sol textile pour performance de réaction au feu : </w:t>
      </w:r>
      <w:r>
        <w:rPr>
          <w:rStyle w:val="optioncarChar"/>
        </w:rPr>
        <w:t>E</w:t>
      </w:r>
      <w:r>
        <w:rPr>
          <w:rStyle w:val="optioncarChar"/>
          <w:vertAlign w:val="subscript"/>
        </w:rPr>
        <w:t xml:space="preserve">FL </w:t>
      </w:r>
      <w:r>
        <w:t xml:space="preserve">(par défaut) </w:t>
      </w:r>
      <w:r>
        <w:rPr>
          <w:rStyle w:val="optioncarChar"/>
        </w:rPr>
        <w:t>/ ***</w:t>
      </w:r>
      <w:r>
        <w:rPr>
          <w:rStyle w:val="soitChar"/>
        </w:rPr>
        <w:t xml:space="preserve"> selon [NBN EN 14041].</w:t>
      </w:r>
    </w:p>
    <w:p w14:paraId="2554A266" w14:textId="77777777" w:rsidR="004B2808" w:rsidRDefault="00000000">
      <w:pPr>
        <w:ind w:left="567"/>
        <w:jc w:val="both"/>
      </w:pPr>
      <w:r>
        <w:rPr>
          <w:rStyle w:val="soitChar"/>
        </w:rPr>
        <w:t xml:space="preserve">Réaction au feu application générale : </w:t>
      </w:r>
      <w:r>
        <w:rPr>
          <w:rStyle w:val="optioncarChar"/>
        </w:rPr>
        <w:t xml:space="preserve">A / B / C </w:t>
      </w:r>
      <w:r>
        <w:t>(par défaut)</w:t>
      </w:r>
      <w:r>
        <w:rPr>
          <w:rStyle w:val="optioncarChar"/>
        </w:rPr>
        <w:t xml:space="preserve"> / D  / E / F / ***</w:t>
      </w:r>
      <w:r>
        <w:rPr>
          <w:rStyle w:val="soitChar"/>
        </w:rPr>
        <w:t xml:space="preserve"> complétée, le cas échéant, par les aspects </w:t>
      </w:r>
      <w:r>
        <w:rPr>
          <w:rStyle w:val="optioncarChar"/>
        </w:rPr>
        <w:t xml:space="preserve">*** / s1/ s2 </w:t>
      </w:r>
      <w:r>
        <w:t>(par défaut)</w:t>
      </w:r>
      <w:r>
        <w:rPr>
          <w:rStyle w:val="optioncarChar"/>
        </w:rPr>
        <w:t> / s3</w:t>
      </w:r>
      <w:r>
        <w:rPr>
          <w:rStyle w:val="soitChar"/>
        </w:rPr>
        <w:t xml:space="preserve"> et </w:t>
      </w:r>
      <w:r>
        <w:rPr>
          <w:rStyle w:val="optioncarChar"/>
        </w:rPr>
        <w:t>*** / d0</w:t>
      </w:r>
      <w:r>
        <w:t xml:space="preserve"> (par défaut)</w:t>
      </w:r>
      <w:r>
        <w:rPr>
          <w:rStyle w:val="optioncarChar"/>
        </w:rPr>
        <w:t xml:space="preserve"> / d1 / d2</w:t>
      </w:r>
      <w:r>
        <w:rPr>
          <w:rStyle w:val="soitChar"/>
        </w:rPr>
        <w:t xml:space="preserve"> selon [NBN EN 13501-1].  </w:t>
      </w:r>
    </w:p>
    <w:p w14:paraId="3AE6F5C7" w14:textId="77777777" w:rsidR="004B2808" w:rsidRDefault="00000000">
      <w:pPr>
        <w:ind w:left="567"/>
        <w:jc w:val="both"/>
      </w:pPr>
      <w:r>
        <w:rPr>
          <w:rStyle w:val="soitChar"/>
        </w:rPr>
        <w:t>Teneur en substance dangereuse :</w:t>
      </w:r>
    </w:p>
    <w:p w14:paraId="496F9B26" w14:textId="77777777" w:rsidR="004B2808" w:rsidRDefault="00000000">
      <w:pPr>
        <w:pStyle w:val="Author-eListParagraph"/>
        <w:numPr>
          <w:ilvl w:val="1"/>
          <w:numId w:val="573"/>
        </w:numPr>
        <w:jc w:val="both"/>
      </w:pPr>
      <w:r>
        <w:rPr>
          <w:rStyle w:val="soitChar"/>
        </w:rPr>
        <w:t xml:space="preserve">Pentachlorophénol  ≤ </w:t>
      </w:r>
      <w:r>
        <w:rPr>
          <w:rStyle w:val="optioncarChar"/>
        </w:rPr>
        <w:t xml:space="preserve">1000 mg/kg </w:t>
      </w:r>
      <w:r>
        <w:t>(par défaut)</w:t>
      </w:r>
      <w:r>
        <w:rPr>
          <w:rStyle w:val="optioncarChar"/>
        </w:rPr>
        <w:t xml:space="preserve"> / ***</w:t>
      </w:r>
    </w:p>
    <w:p w14:paraId="599FE20F" w14:textId="77777777" w:rsidR="004B2808" w:rsidRDefault="00000000">
      <w:pPr>
        <w:pStyle w:val="Author-eListParagraph"/>
        <w:numPr>
          <w:ilvl w:val="1"/>
          <w:numId w:val="573"/>
        </w:numPr>
        <w:jc w:val="both"/>
      </w:pPr>
      <w:r>
        <w:rPr>
          <w:rStyle w:val="soitChar"/>
        </w:rPr>
        <w:t xml:space="preserve">Phtalate (total) ≤ </w:t>
      </w:r>
      <w:r>
        <w:rPr>
          <w:rStyle w:val="optioncarChar"/>
        </w:rPr>
        <w:t>1000 mg/kg</w:t>
      </w:r>
      <w:r>
        <w:t xml:space="preserve"> (par défaut)</w:t>
      </w:r>
      <w:r>
        <w:rPr>
          <w:rStyle w:val="optioncarChar"/>
        </w:rPr>
        <w:t xml:space="preserve"> / ***</w:t>
      </w:r>
    </w:p>
    <w:p w14:paraId="65B050CF" w14:textId="77777777" w:rsidR="004B2808" w:rsidRDefault="00000000">
      <w:pPr>
        <w:pStyle w:val="Author-eListParagraph"/>
        <w:numPr>
          <w:ilvl w:val="1"/>
          <w:numId w:val="573"/>
        </w:numPr>
        <w:jc w:val="both"/>
      </w:pPr>
      <w:r>
        <w:rPr>
          <w:rStyle w:val="soitChar"/>
        </w:rPr>
        <w:t xml:space="preserve">Paraffines chlorées ≤ </w:t>
      </w:r>
      <w:r>
        <w:rPr>
          <w:rStyle w:val="optioncarChar"/>
        </w:rPr>
        <w:t xml:space="preserve">1000 mg/kg </w:t>
      </w:r>
      <w:r>
        <w:t>(par défaut)</w:t>
      </w:r>
      <w:r>
        <w:rPr>
          <w:rStyle w:val="optioncarChar"/>
        </w:rPr>
        <w:t xml:space="preserve"> / ***</w:t>
      </w:r>
    </w:p>
    <w:p w14:paraId="3818FC9A" w14:textId="77777777" w:rsidR="004B2808" w:rsidRDefault="00000000">
      <w:pPr>
        <w:pStyle w:val="Author-eListParagraph"/>
        <w:numPr>
          <w:ilvl w:val="1"/>
          <w:numId w:val="573"/>
        </w:numPr>
        <w:jc w:val="both"/>
      </w:pPr>
      <w:r>
        <w:rPr>
          <w:rStyle w:val="soitChar"/>
        </w:rPr>
        <w:t>Les teneurs en autres composés de substance dangereuse sont conformes aux exigences de la [NBN EN 14041].</w:t>
      </w:r>
    </w:p>
    <w:p w14:paraId="319F6CE6" w14:textId="77777777" w:rsidR="004B2808" w:rsidRDefault="00000000">
      <w:pPr>
        <w:ind w:left="567"/>
        <w:jc w:val="both"/>
      </w:pPr>
      <w:r>
        <w:rPr>
          <w:rStyle w:val="soitChar"/>
        </w:rPr>
        <w:t>Les émissions de substances composés organiques volatiles</w:t>
      </w:r>
    </w:p>
    <w:p w14:paraId="4C217BEF" w14:textId="77777777" w:rsidR="004B2808" w:rsidRDefault="00000000">
      <w:pPr>
        <w:pStyle w:val="Author-eListParagraph"/>
        <w:numPr>
          <w:ilvl w:val="1"/>
          <w:numId w:val="574"/>
        </w:numPr>
        <w:jc w:val="both"/>
      </w:pPr>
      <w:r>
        <w:rPr>
          <w:rStyle w:val="soitChar"/>
        </w:rPr>
        <w:t xml:space="preserve">COV ≤ </w:t>
      </w:r>
      <w:r>
        <w:rPr>
          <w:rStyle w:val="optioncarChar"/>
        </w:rPr>
        <w:t xml:space="preserve">0.12 mg/m³ </w:t>
      </w:r>
      <w:r>
        <w:t>(par défaut)</w:t>
      </w:r>
      <w:r>
        <w:rPr>
          <w:rStyle w:val="optioncarChar"/>
        </w:rPr>
        <w:t xml:space="preserve"> / ***</w:t>
      </w:r>
      <w:r>
        <w:t> </w:t>
      </w:r>
      <w:r>
        <w:rPr>
          <w:rStyle w:val="soitChar"/>
        </w:rPr>
        <w:t>déterminée selon la [NBN EN 16516:2017+A1].</w:t>
      </w:r>
    </w:p>
    <w:p w14:paraId="3B9C6B7F" w14:textId="77777777" w:rsidR="004B2808" w:rsidRDefault="00000000">
      <w:pPr>
        <w:pStyle w:val="Author-eListParagraph"/>
        <w:numPr>
          <w:ilvl w:val="1"/>
          <w:numId w:val="574"/>
        </w:numPr>
        <w:jc w:val="both"/>
      </w:pPr>
      <w:r>
        <w:rPr>
          <w:rStyle w:val="soitChar"/>
        </w:rPr>
        <w:t xml:space="preserve">Formaldéhydes : classe </w:t>
      </w:r>
      <w:r>
        <w:rPr>
          <w:rStyle w:val="optioncarChar"/>
        </w:rPr>
        <w:t xml:space="preserve">E1 </w:t>
      </w:r>
      <w:r>
        <w:t>(par défaut)</w:t>
      </w:r>
      <w:r>
        <w:rPr>
          <w:rStyle w:val="optioncarChar"/>
        </w:rPr>
        <w:t xml:space="preserve"> / E2 / ***</w:t>
      </w:r>
      <w:r>
        <w:rPr>
          <w:rStyle w:val="soitChar"/>
        </w:rPr>
        <w:t xml:space="preserve"> déterminée selon la [NBN EN ISO 12460-3] / ou [NBN EN 717-1].</w:t>
      </w:r>
    </w:p>
    <w:p w14:paraId="7AD4C1A6" w14:textId="77777777" w:rsidR="004B2808" w:rsidRDefault="00000000">
      <w:pPr>
        <w:ind w:left="567"/>
        <w:jc w:val="both"/>
      </w:pPr>
      <w:r>
        <w:rPr>
          <w:rStyle w:val="soitChar"/>
        </w:rPr>
        <w:t>La classification en fonction de l’utilisation est définie suivant la [NBN EN ISO 10874] </w:t>
      </w:r>
      <w:r>
        <w:t> </w:t>
      </w:r>
      <w:r>
        <w:rPr>
          <w:rStyle w:val="optioncarChar"/>
        </w:rPr>
        <w:t>domestique / commercial / industriel léger / ***</w:t>
      </w:r>
      <w:r>
        <w:rPr>
          <w:rStyle w:val="soitChar"/>
        </w:rPr>
        <w:t xml:space="preserve">  et de niveau d’utilisation </w:t>
      </w:r>
      <w:r>
        <w:rPr>
          <w:rStyle w:val="optioncarChar"/>
        </w:rPr>
        <w:t>léger / général moyen / général / élevé / très élevé / ***.</w:t>
      </w:r>
    </w:p>
    <w:p w14:paraId="4F15E754" w14:textId="77777777" w:rsidR="004B2808" w:rsidRDefault="00000000">
      <w:pPr>
        <w:ind w:left="567"/>
        <w:jc w:val="both"/>
      </w:pPr>
      <w:r>
        <w:rPr>
          <w:rStyle w:val="soitChar"/>
        </w:rPr>
        <w:t xml:space="preserve">Etanchéité à l’eau : </w:t>
      </w:r>
      <w:r>
        <w:rPr>
          <w:rStyle w:val="optioncarChar"/>
        </w:rPr>
        <w:t xml:space="preserve">étanche </w:t>
      </w:r>
      <w:r>
        <w:t xml:space="preserve">(par défaut) </w:t>
      </w:r>
      <w:r>
        <w:rPr>
          <w:rStyle w:val="optioncarChar"/>
        </w:rPr>
        <w:t>/ ***</w:t>
      </w:r>
      <w:r>
        <w:rPr>
          <w:rStyle w:val="soitChar"/>
        </w:rPr>
        <w:t xml:space="preserve"> selon méthode annexe A de la [NBN EN 13553].</w:t>
      </w:r>
    </w:p>
    <w:p w14:paraId="16585C42" w14:textId="77777777" w:rsidR="004B2808" w:rsidRDefault="00000000">
      <w:pPr>
        <w:ind w:left="567"/>
        <w:jc w:val="both"/>
      </w:pPr>
      <w:r>
        <w:rPr>
          <w:rStyle w:val="soitChar"/>
        </w:rPr>
        <w:t>La résistance  au glissement : coefficient de frottement dynamique μ </w:t>
      </w:r>
      <w:r>
        <w:rPr>
          <w:rStyle w:val="optioncarChar"/>
        </w:rPr>
        <w:t xml:space="preserve">&lt; 0.30 </w:t>
      </w:r>
      <w:r>
        <w:t xml:space="preserve">(par défaut) </w:t>
      </w:r>
      <w:r>
        <w:rPr>
          <w:rStyle w:val="optioncarChar"/>
        </w:rPr>
        <w:t>/ &gt; 0.3 / ***</w:t>
      </w:r>
      <w:r>
        <w:rPr>
          <w:rStyle w:val="soitChar"/>
        </w:rPr>
        <w:t xml:space="preserve"> selon la [NBN EN 13893].</w:t>
      </w:r>
    </w:p>
    <w:p w14:paraId="56D8022D" w14:textId="77777777" w:rsidR="004B2808" w:rsidRDefault="00000000">
      <w:pPr>
        <w:ind w:left="567"/>
        <w:jc w:val="both"/>
      </w:pPr>
      <w:r>
        <w:rPr>
          <w:rStyle w:val="soitChar"/>
        </w:rPr>
        <w:t xml:space="preserve">Comportement électrique : </w:t>
      </w:r>
      <w:r>
        <w:rPr>
          <w:rStyle w:val="optioncarChar"/>
        </w:rPr>
        <w:t xml:space="preserve">antistatique </w:t>
      </w:r>
      <w:r>
        <w:t>(par défaut)</w:t>
      </w:r>
      <w:r>
        <w:rPr>
          <w:rStyle w:val="optioncarChar"/>
        </w:rPr>
        <w:t xml:space="preserve"> / dissipateur statique / conducteur / ***</w:t>
      </w:r>
      <w:r>
        <w:rPr>
          <w:rStyle w:val="soitChar"/>
        </w:rPr>
        <w:t xml:space="preserve"> selon la [NBN EN 14041].</w:t>
      </w:r>
    </w:p>
    <w:p w14:paraId="37D86D03" w14:textId="77777777" w:rsidR="004B2808" w:rsidRDefault="00000000">
      <w:pPr>
        <w:ind w:left="567"/>
        <w:jc w:val="both"/>
      </w:pPr>
      <w:r>
        <w:t> </w:t>
      </w:r>
    </w:p>
    <w:p w14:paraId="04DADED1" w14:textId="77777777" w:rsidR="004B2808" w:rsidRDefault="00000000">
      <w:pPr>
        <w:ind w:left="567"/>
        <w:jc w:val="both"/>
      </w:pPr>
      <w:r>
        <w:rPr>
          <w:b/>
          <w:i/>
        </w:rPr>
        <w:t>(Soit)</w:t>
      </w:r>
    </w:p>
    <w:p w14:paraId="5BA2996B" w14:textId="77777777" w:rsidR="004B2808" w:rsidRDefault="00000000">
      <w:pPr>
        <w:ind w:left="567"/>
        <w:jc w:val="both"/>
      </w:pPr>
      <w:r>
        <w:rPr>
          <w:rStyle w:val="soitChar"/>
          <w:u w:val="single"/>
        </w:rPr>
        <w:t>Réemploi :</w:t>
      </w:r>
      <w:r>
        <w:rPr>
          <w:rStyle w:val="soitChar"/>
        </w:rPr>
        <w:t xml:space="preserve"> il s’agit de revêtements de sol de réemploi comme alternative aux revêtements neufs. L’uniformité des revêtements est vérifiée avant réemploi. Les zones comportant des dégradations (usure, décoloration, …) sont éliminées.</w:t>
      </w:r>
    </w:p>
    <w:p w14:paraId="07E47F22" w14:textId="77777777" w:rsidR="004B2808" w:rsidRDefault="00000000">
      <w:pPr>
        <w:ind w:left="567"/>
        <w:jc w:val="both"/>
      </w:pPr>
      <w:r>
        <w:rPr>
          <w:rStyle w:val="soitChar"/>
        </w:rPr>
        <w:t>Les références, fiches et déclarations d’aptitude à l’utilisation décrite au chapitre 02.42.1 Critères d'acceptabilité déposées dans le cadre du chantier initial sont soumises à l’analyse du maitre d’ouvrage avant validation.</w:t>
      </w:r>
    </w:p>
    <w:p w14:paraId="63EDE5FC" w14:textId="77777777" w:rsidR="004B2808" w:rsidRDefault="00000000">
      <w:pPr>
        <w:jc w:val="both"/>
      </w:pPr>
      <w:r>
        <w:t> </w:t>
      </w:r>
    </w:p>
    <w:p w14:paraId="389CDBF3" w14:textId="77777777" w:rsidR="004B2808" w:rsidRDefault="00000000">
      <w:pPr>
        <w:jc w:val="both"/>
      </w:pPr>
      <w:r>
        <w:t xml:space="preserve">Pour les revêtements de réemploi, il s’agit </w:t>
      </w:r>
      <w:r>
        <w:rPr>
          <w:rStyle w:val="optioncarChar"/>
        </w:rPr>
        <w:t xml:space="preserve">de la fourniture et de la pose </w:t>
      </w:r>
      <w:r>
        <w:t>(par défaut)</w:t>
      </w:r>
      <w:r>
        <w:rPr>
          <w:rStyle w:val="optioncarChar"/>
        </w:rPr>
        <w:t xml:space="preserve"> / uniquement de la pose</w:t>
      </w:r>
      <w:r>
        <w:t xml:space="preserve"> des revêtements.</w:t>
      </w:r>
    </w:p>
    <w:p w14:paraId="74AEC63A" w14:textId="77777777" w:rsidR="004B2808" w:rsidRDefault="00000000">
      <w:pPr>
        <w:ind w:left="567"/>
        <w:jc w:val="both"/>
      </w:pPr>
      <w:r>
        <w:rPr>
          <w:b/>
          <w:i/>
        </w:rPr>
        <w:lastRenderedPageBreak/>
        <w:t>(Soit par défaut)</w:t>
      </w:r>
    </w:p>
    <w:p w14:paraId="6FF78DD0" w14:textId="77777777" w:rsidR="004B2808" w:rsidRDefault="00000000">
      <w:pPr>
        <w:ind w:left="567"/>
        <w:jc w:val="both"/>
      </w:pPr>
      <w:r>
        <w:rPr>
          <w:rStyle w:val="soitChar"/>
          <w:u w:val="single"/>
        </w:rPr>
        <w:t>Fourniture et pose :</w:t>
      </w:r>
      <w:r>
        <w:rPr>
          <w:rStyle w:val="soitChar"/>
        </w:rPr>
        <w:t xml:space="preserve"> Les revêtements sont fournis par l’entreprise.</w:t>
      </w:r>
    </w:p>
    <w:p w14:paraId="07085063" w14:textId="77777777" w:rsidR="004B2808" w:rsidRDefault="00000000">
      <w:pPr>
        <w:ind w:left="567"/>
        <w:jc w:val="both"/>
      </w:pPr>
      <w:r>
        <w:rPr>
          <w:b/>
        </w:rPr>
        <w:t>(Soit)</w:t>
      </w:r>
    </w:p>
    <w:p w14:paraId="6500A820" w14:textId="77777777" w:rsidR="004B2808" w:rsidRDefault="00000000">
      <w:pPr>
        <w:ind w:left="567"/>
        <w:jc w:val="both"/>
      </w:pPr>
      <w:r>
        <w:rPr>
          <w:rStyle w:val="soitChar"/>
          <w:u w:val="single"/>
        </w:rPr>
        <w:t>Pose :</w:t>
      </w:r>
      <w:r>
        <w:rPr>
          <w:rStyle w:val="soitChar"/>
        </w:rPr>
        <w:t xml:space="preserve"> Les revêtements textiles sont fournis par le Maitre d’ouvrage. Dans le cas d’un démontage sur chantier pour réutilisation du matériau, se référer aux 06.34.3a Démontages de revêtements de sols et plinthes, 06.44.3a Démontages de revêtements de sol et plinthes.</w:t>
      </w:r>
    </w:p>
    <w:p w14:paraId="653EBC5F" w14:textId="77777777" w:rsidR="004B2808" w:rsidRDefault="00000000">
      <w:pPr>
        <w:pStyle w:val="pheading"/>
      </w:pPr>
      <w:r>
        <w:t>EXÉCUTION / MISE EN ŒUVRE</w:t>
      </w:r>
    </w:p>
    <w:p w14:paraId="32CD862B" w14:textId="77777777" w:rsidR="004B2808" w:rsidRDefault="00000000">
      <w:pPr>
        <w:pStyle w:val="pheading"/>
      </w:pPr>
      <w:r>
        <w:t>- Prescriptions générales</w:t>
      </w:r>
    </w:p>
    <w:p w14:paraId="11A0EA8D" w14:textId="77777777" w:rsidR="004B2808" w:rsidRDefault="00000000">
      <w:pPr>
        <w:jc w:val="both"/>
      </w:pPr>
      <w:r>
        <w:t xml:space="preserve">Les revêtements sont posés par </w:t>
      </w:r>
      <w:r>
        <w:rPr>
          <w:rStyle w:val="optioncarChar"/>
        </w:rPr>
        <w:t xml:space="preserve">adhésif </w:t>
      </w:r>
      <w:r>
        <w:t xml:space="preserve">(par défaut) </w:t>
      </w:r>
      <w:r>
        <w:rPr>
          <w:rStyle w:val="optioncarChar"/>
        </w:rPr>
        <w:t>/ collage / bandes auto-agrippantes de texture différente / ***.</w:t>
      </w:r>
    </w:p>
    <w:p w14:paraId="6552EF46" w14:textId="77777777" w:rsidR="004B2808" w:rsidRDefault="00000000">
      <w:pPr>
        <w:jc w:val="both"/>
      </w:pPr>
      <w:r>
        <w:t>Les revêtements sont mis en œuvre selon les directives du chapitre 7 de la [NIT 262] complétées par la documentation technique accompagnant le produit lorsqu’elle existe.</w:t>
      </w:r>
    </w:p>
    <w:p w14:paraId="39B23848" w14:textId="77777777" w:rsidR="004B2808" w:rsidRDefault="00000000">
      <w:pPr>
        <w:pStyle w:val="pheading"/>
      </w:pPr>
      <w:r>
        <w:t>- Notes d’exécution complémentaires</w:t>
      </w:r>
    </w:p>
    <w:p w14:paraId="0525F28F" w14:textId="77777777" w:rsidR="004B2808" w:rsidRDefault="00000000">
      <w:pPr>
        <w:pStyle w:val="Author-eListParagraph"/>
        <w:numPr>
          <w:ilvl w:val="0"/>
          <w:numId w:val="575"/>
        </w:numPr>
        <w:jc w:val="both"/>
      </w:pPr>
      <w:r>
        <w:rPr>
          <w:rStyle w:val="facultChar"/>
        </w:rPr>
        <w:t>L'enlèvement éventuel du revêtement de sol existant</w:t>
      </w:r>
    </w:p>
    <w:p w14:paraId="1BD7079B" w14:textId="77777777" w:rsidR="004B2808" w:rsidRDefault="00000000">
      <w:pPr>
        <w:pStyle w:val="Author-eListParagraph"/>
        <w:numPr>
          <w:ilvl w:val="0"/>
          <w:numId w:val="575"/>
        </w:numPr>
        <w:jc w:val="both"/>
      </w:pPr>
      <w:r>
        <w:rPr>
          <w:rStyle w:val="facultChar"/>
        </w:rPr>
        <w:t>La mise en place éventuelle d'un coating pare-vapeur</w:t>
      </w:r>
    </w:p>
    <w:p w14:paraId="234B8CDE" w14:textId="77777777" w:rsidR="004B2808" w:rsidRDefault="00000000">
      <w:pPr>
        <w:pStyle w:val="Author-eListParagraph"/>
        <w:numPr>
          <w:ilvl w:val="0"/>
          <w:numId w:val="575"/>
        </w:numPr>
        <w:jc w:val="both"/>
      </w:pPr>
      <w:r>
        <w:rPr>
          <w:rStyle w:val="facultChar"/>
        </w:rPr>
        <w:t>Le traitement des fissures (§7.2.4 de la [NIT 262])</w:t>
      </w:r>
    </w:p>
    <w:p w14:paraId="2467E609" w14:textId="77777777" w:rsidR="004B2808" w:rsidRDefault="00000000">
      <w:pPr>
        <w:pStyle w:val="Author-eListParagraph"/>
        <w:numPr>
          <w:ilvl w:val="0"/>
          <w:numId w:val="575"/>
        </w:numPr>
        <w:jc w:val="both"/>
      </w:pPr>
      <w:r>
        <w:rPr>
          <w:rStyle w:val="facultChar"/>
        </w:rPr>
        <w:t>Le traitement des rives avec mise en œuvre de plinthes (§ 7.8.2 de la [NIT 262])</w:t>
      </w:r>
    </w:p>
    <w:p w14:paraId="40F0A263" w14:textId="77777777" w:rsidR="004B2808" w:rsidRDefault="00000000">
      <w:pPr>
        <w:pStyle w:val="Author-eListParagraph"/>
        <w:numPr>
          <w:ilvl w:val="0"/>
          <w:numId w:val="575"/>
        </w:numPr>
        <w:jc w:val="both"/>
      </w:pPr>
      <w:r>
        <w:rPr>
          <w:rStyle w:val="facultChar"/>
        </w:rPr>
        <w:t>Dessin de pose prescrit :</w:t>
      </w:r>
      <w:r>
        <w:rPr>
          <w:rStyle w:val="optioncarChar"/>
        </w:rPr>
        <w:t xml:space="preserve"> ***</w:t>
      </w:r>
      <w:r>
        <w:rPr>
          <w:rStyle w:val="facultChar"/>
        </w:rPr>
        <w:t xml:space="preserve">. </w:t>
      </w:r>
    </w:p>
    <w:p w14:paraId="6A9295DD" w14:textId="77777777" w:rsidR="004B2808" w:rsidRDefault="00000000">
      <w:pPr>
        <w:pStyle w:val="Author-eListParagraph"/>
        <w:numPr>
          <w:ilvl w:val="0"/>
          <w:numId w:val="575"/>
        </w:numPr>
        <w:jc w:val="both"/>
      </w:pPr>
      <w:r>
        <w:rPr>
          <w:rStyle w:val="facultChar"/>
        </w:rPr>
        <w:t>Un manuel d'entretien des revêtements de sol en linoléum est mis à disposition dans chaque unité de logement (cf. § 8.4. des [NIT 241]) et [NIT 262].</w:t>
      </w:r>
    </w:p>
    <w:p w14:paraId="148C40B0" w14:textId="77777777" w:rsidR="004B2808" w:rsidRDefault="00000000">
      <w:pPr>
        <w:pStyle w:val="pheading"/>
      </w:pPr>
      <w:r>
        <w:t>DOCUMENTS DE RÉFÉRENCE COMPLÉMENTAIRES</w:t>
      </w:r>
    </w:p>
    <w:p w14:paraId="639A6E03" w14:textId="77777777" w:rsidR="004B2808" w:rsidRDefault="00000000">
      <w:pPr>
        <w:pStyle w:val="pheading"/>
      </w:pPr>
      <w:r>
        <w:t>- Matériau</w:t>
      </w:r>
    </w:p>
    <w:p w14:paraId="367B4D45" w14:textId="77777777" w:rsidR="004B2808" w:rsidRDefault="00000000">
      <w:r>
        <w:t>[NBN EN 14041, Revêtements de sol résilients, textiles, stratifiés et multicouches modulaires - Caractéristiques essentielles ]</w:t>
      </w:r>
    </w:p>
    <w:p w14:paraId="33502449" w14:textId="77777777" w:rsidR="004B2808" w:rsidRDefault="00000000">
      <w:r>
        <w:t>[NBN EN 1307:2014+A3, Revêtements de sol textile - Classement d'usage]</w:t>
      </w:r>
    </w:p>
    <w:p w14:paraId="248CE4A8" w14:textId="77777777" w:rsidR="004B2808" w:rsidRDefault="00000000">
      <w:r>
        <w:t>[NBN EN 13501-1, Classement au feu des produits et éléments de construction - Partie 1: Classement à partir des données d'essais de réaction au feu]</w:t>
      </w:r>
    </w:p>
    <w:p w14:paraId="4C2CB63B" w14:textId="77777777" w:rsidR="004B2808" w:rsidRDefault="00000000">
      <w:r>
        <w:t>[NBN EN 16516:2017+A1, Produits de construction : Évaluation de l'émission de substances dangereuses - Détermination des émissions dans l'air intérieur ]</w:t>
      </w:r>
    </w:p>
    <w:p w14:paraId="6A57CDEC" w14:textId="77777777" w:rsidR="004B2808" w:rsidRDefault="00000000">
      <w:r>
        <w:t>[NBN EN 717-1, Panneaux à base de bois - Détermination du dégagement de formaldéhyde - Partie 1 : Emission de formaldéhyde par la méthode à la chambre]</w:t>
      </w:r>
    </w:p>
    <w:p w14:paraId="4583C46E" w14:textId="77777777" w:rsidR="004B2808" w:rsidRDefault="00000000">
      <w:r>
        <w:t>[NBN EN ISO 10874, Revêtements de sol résilients, textiles et stratifiés - Classification (ISO 10874:2009)]</w:t>
      </w:r>
    </w:p>
    <w:p w14:paraId="6B1386CD" w14:textId="77777777" w:rsidR="004B2808" w:rsidRDefault="00000000">
      <w:r>
        <w:t>[NBN EN 13553, Revêtements de sol résilients - Revêtements de sol à base de polychlorure de vinyle pour zones humides spéciales - Spécification ]</w:t>
      </w:r>
    </w:p>
    <w:p w14:paraId="67275451" w14:textId="77777777" w:rsidR="004B2808" w:rsidRDefault="00000000">
      <w:r>
        <w:t>[NBN EN 13893, Revêtements de sol résilients, stratifiés et textiles - Détermination du coefficient de frottement dynamique sur la surface des sols secs]</w:t>
      </w:r>
    </w:p>
    <w:p w14:paraId="6ADA8C5A" w14:textId="77777777" w:rsidR="004B2808" w:rsidRDefault="00000000">
      <w:pPr>
        <w:pStyle w:val="pheading"/>
      </w:pPr>
      <w:r>
        <w:t>- Exécution</w:t>
      </w:r>
    </w:p>
    <w:p w14:paraId="5D474C3C" w14:textId="77777777" w:rsidR="004B2808" w:rsidRDefault="00000000">
      <w:r>
        <w:t>[NIT 241, Mise en oeuvre des revêtements de sol résilients (remplace partiellement la NIT 165).]</w:t>
      </w:r>
    </w:p>
    <w:p w14:paraId="1344773C" w14:textId="77777777" w:rsidR="004B2808" w:rsidRDefault="00000000">
      <w:r>
        <w:t xml:space="preserve">[NIT 262, </w:t>
      </w:r>
      <w:r>
        <w:tab/>
        <w:t>Code de bonne pratique pour la pose des revêtements de sol textiles]</w:t>
      </w:r>
    </w:p>
    <w:p w14:paraId="449EFFAE" w14:textId="77777777" w:rsidR="004B2808" w:rsidRDefault="00000000">
      <w:pPr>
        <w:pStyle w:val="pheading"/>
      </w:pPr>
      <w:r>
        <w:t>MESURAGE</w:t>
      </w:r>
    </w:p>
    <w:p w14:paraId="22C3899C" w14:textId="77777777" w:rsidR="004B2808" w:rsidRDefault="00000000">
      <w:pPr>
        <w:pStyle w:val="pheading"/>
      </w:pPr>
      <w:r>
        <w:t>- unité de mesure:</w:t>
      </w:r>
    </w:p>
    <w:p w14:paraId="4282DF84" w14:textId="77777777" w:rsidR="004B2808" w:rsidRDefault="00000000">
      <w:r>
        <w:t>m²</w:t>
      </w:r>
    </w:p>
    <w:p w14:paraId="31C5AD7C" w14:textId="77777777" w:rsidR="004B2808" w:rsidRDefault="00000000">
      <w:pPr>
        <w:pStyle w:val="pheading"/>
      </w:pPr>
      <w:r>
        <w:lastRenderedPageBreak/>
        <w:t>- code de mesurage:</w:t>
      </w:r>
    </w:p>
    <w:p w14:paraId="079D426B" w14:textId="77777777" w:rsidR="004B2808" w:rsidRDefault="00000000">
      <w:pPr>
        <w:jc w:val="both"/>
      </w:pPr>
      <w:r>
        <w:rPr>
          <w:b/>
        </w:rPr>
        <w:t>Surface</w:t>
      </w:r>
      <w:r>
        <w:t xml:space="preserve"> comptée selon la plus grande longueur et largeur du local, y compris la profondeur des niches. Distinction faite entre revêtements neufs et de réemploi, avec ou sans fourniture pour ces derniers.</w:t>
      </w:r>
    </w:p>
    <w:p w14:paraId="3709CA94" w14:textId="77777777" w:rsidR="004B2808" w:rsidRDefault="00000000">
      <w:pPr>
        <w:pStyle w:val="pheading"/>
      </w:pPr>
      <w:r>
        <w:t>- nature du marché:</w:t>
      </w:r>
    </w:p>
    <w:p w14:paraId="0DAD6317" w14:textId="77777777" w:rsidR="004B2808" w:rsidRDefault="00000000">
      <w:r>
        <w:t>QF</w:t>
      </w:r>
    </w:p>
    <w:p w14:paraId="4FBF1C3B" w14:textId="77777777" w:rsidR="004B2808" w:rsidRDefault="00000000">
      <w:pPr>
        <w:pStyle w:val="Author-eSectionHeading6Numberless"/>
      </w:pPr>
      <w:bookmarkStart w:id="670" w:name="_Toc220490825"/>
      <w:r>
        <w:t>53.55.1b Revêtements de sols souples en textile - Coco CCTB 01.02</w:t>
      </w:r>
      <w:bookmarkEnd w:id="670"/>
    </w:p>
    <w:p w14:paraId="71AAEA15" w14:textId="77777777" w:rsidR="004B2808" w:rsidRDefault="00000000">
      <w:pPr>
        <w:pStyle w:val="Author-eSectionHeading6Numberless"/>
      </w:pPr>
      <w:bookmarkStart w:id="671" w:name="_Toc220490826"/>
      <w:r>
        <w:t>53.55.1c Revêtements de sols souples en textile - Sisal CCTB 01.02</w:t>
      </w:r>
      <w:bookmarkEnd w:id="671"/>
    </w:p>
    <w:p w14:paraId="44E321FD" w14:textId="77777777" w:rsidR="004B2808" w:rsidRDefault="00000000">
      <w:pPr>
        <w:pStyle w:val="Author-eSectionHeading6Numberless"/>
      </w:pPr>
      <w:bookmarkStart w:id="672" w:name="_Toc220490827"/>
      <w:r>
        <w:t>53.55.1d Revêtements de sols souples en textile - Laine CCTB 01.02</w:t>
      </w:r>
      <w:bookmarkEnd w:id="672"/>
    </w:p>
    <w:p w14:paraId="589BB236" w14:textId="77777777" w:rsidR="004B2808" w:rsidRDefault="00000000">
      <w:pPr>
        <w:pStyle w:val="Author-eSectionHeading5Numberless"/>
      </w:pPr>
      <w:bookmarkStart w:id="673" w:name="_Toc220490828"/>
      <w:r>
        <w:t>53.55.2 Revêtements de sols souples, ligneux CCTB 01.02</w:t>
      </w:r>
      <w:bookmarkEnd w:id="673"/>
    </w:p>
    <w:p w14:paraId="6810B082" w14:textId="77777777" w:rsidR="004B2808" w:rsidRDefault="00000000">
      <w:pPr>
        <w:pStyle w:val="Author-eSectionHeading6Numberless"/>
      </w:pPr>
      <w:bookmarkStart w:id="674" w:name="_Toc220490829"/>
      <w:r>
        <w:t>53.55.2a Revêtements de sols souples, ligneux - Liège en rouleau CCTB 01.13</w:t>
      </w:r>
      <w:bookmarkEnd w:id="674"/>
    </w:p>
    <w:p w14:paraId="635064D5" w14:textId="77777777" w:rsidR="004B2808" w:rsidRDefault="00000000">
      <w:pPr>
        <w:pStyle w:val="pheading"/>
      </w:pPr>
      <w:r>
        <w:t>DESCRIPTION</w:t>
      </w:r>
    </w:p>
    <w:p w14:paraId="1E393804" w14:textId="77777777" w:rsidR="004B2808" w:rsidRDefault="00000000">
      <w:pPr>
        <w:pStyle w:val="pheading"/>
      </w:pPr>
      <w:r>
        <w:t>- Définition / Comprend</w:t>
      </w:r>
    </w:p>
    <w:p w14:paraId="1426B5DE" w14:textId="77777777" w:rsidR="004B2808" w:rsidRDefault="00000000">
      <w:r>
        <w:t>voir [NIT 241] §3.5.</w:t>
      </w:r>
    </w:p>
    <w:p w14:paraId="2C1BB2E8" w14:textId="77777777" w:rsidR="004B2808" w:rsidRDefault="00000000">
      <w:pPr>
        <w:pStyle w:val="pheading"/>
      </w:pPr>
      <w:r>
        <w:t>MATÉRIAUX</w:t>
      </w:r>
    </w:p>
    <w:p w14:paraId="3DAB3D08" w14:textId="77777777" w:rsidR="004B2808" w:rsidRDefault="00000000">
      <w:pPr>
        <w:pStyle w:val="pheading"/>
      </w:pPr>
      <w:r>
        <w:t>- Caractéristiques générales</w:t>
      </w:r>
    </w:p>
    <w:p w14:paraId="6D513212" w14:textId="77777777" w:rsidR="004B2808" w:rsidRDefault="00000000">
      <w:r>
        <w:t>Utilisés comme sous-couches pour l'isolation phonique et l'isolation thermique</w:t>
      </w:r>
    </w:p>
    <w:p w14:paraId="5EFAD865" w14:textId="77777777" w:rsidR="004B2808" w:rsidRDefault="00000000">
      <w:pPr>
        <w:pStyle w:val="pheading"/>
      </w:pPr>
      <w:r>
        <w:t>- Prescriptions complémentaires</w:t>
      </w:r>
    </w:p>
    <w:p w14:paraId="584C7E45" w14:textId="77777777" w:rsidR="004B2808" w:rsidRDefault="00000000">
      <w:pPr>
        <w:pStyle w:val="facult"/>
      </w:pPr>
      <w:r>
        <w:t>- Pour le choix de la classe de réaction au feu, on se réfère au § 4.1.2 de la [NIT 241].</w:t>
      </w:r>
    </w:p>
    <w:p w14:paraId="09950645" w14:textId="77777777" w:rsidR="004B2808" w:rsidRDefault="00000000">
      <w:pPr>
        <w:pStyle w:val="pheading"/>
      </w:pPr>
      <w:r>
        <w:t>DOCUMENTS DE RÉFÉRENCE COMPLÉMENTAIRES</w:t>
      </w:r>
    </w:p>
    <w:p w14:paraId="351E3971" w14:textId="77777777" w:rsidR="004B2808" w:rsidRDefault="00000000">
      <w:pPr>
        <w:pStyle w:val="pheading"/>
      </w:pPr>
      <w:r>
        <w:t>- Matériau</w:t>
      </w:r>
    </w:p>
    <w:p w14:paraId="638E7C9D" w14:textId="77777777" w:rsidR="004B2808" w:rsidRDefault="00000000">
      <w:pPr>
        <w:pStyle w:val="heading"/>
      </w:pPr>
      <w:r>
        <w:t>NORMES DE RÉFÉRENCE OU EQUIVALENCES NORMES EUROPEENNES</w:t>
      </w:r>
    </w:p>
    <w:p w14:paraId="6C4F87B2" w14:textId="77777777" w:rsidR="004B2808" w:rsidRDefault="00000000">
      <w:r>
        <w:t>[NBN EN 655, Revêtements de sol résilients - Dalles d'aggloméré de liège avec couche d'usure à base de polychlorure de vinyle - Spécifications]</w:t>
      </w:r>
    </w:p>
    <w:p w14:paraId="4215B0C0" w14:textId="77777777" w:rsidR="004B2808" w:rsidRDefault="00000000">
      <w:r>
        <w:t>[NBN ISO 2509, Agglomérés expansés purs de liège absorbants acoustiques en dalles]</w:t>
      </w:r>
    </w:p>
    <w:p w14:paraId="552A7D9B" w14:textId="77777777" w:rsidR="004B2808" w:rsidRDefault="00000000">
      <w:r>
        <w:t>[NBN EN 12105, Revêtements de sol résilients - Détermination de la teneur en eau de l'aggloméré de liège]</w:t>
      </w:r>
    </w:p>
    <w:p w14:paraId="5A218490" w14:textId="77777777" w:rsidR="004B2808" w:rsidRDefault="00000000">
      <w:r>
        <w:t>[NBN EN 12104, Revêtements de sols résilients - Dalles en liège - Spécification]</w:t>
      </w:r>
    </w:p>
    <w:p w14:paraId="52E77FAC" w14:textId="77777777" w:rsidR="004B2808" w:rsidRDefault="00000000">
      <w:pPr>
        <w:pStyle w:val="pheading"/>
      </w:pPr>
      <w:r>
        <w:t>- Exécution</w:t>
      </w:r>
    </w:p>
    <w:p w14:paraId="1619D0E3" w14:textId="77777777" w:rsidR="004B2808" w:rsidRDefault="00000000">
      <w:r>
        <w:t>[NIT 241, Mise en oeuvre des revêtements de sol résilients (remplace partiellement la NIT 165).]</w:t>
      </w:r>
    </w:p>
    <w:p w14:paraId="776F616A" w14:textId="77777777" w:rsidR="004B2808" w:rsidRDefault="00000000">
      <w:pPr>
        <w:pStyle w:val="pheading"/>
      </w:pPr>
      <w:r>
        <w:t>MESURAGE</w:t>
      </w:r>
    </w:p>
    <w:p w14:paraId="06F90E41" w14:textId="77777777" w:rsidR="004B2808" w:rsidRDefault="00000000">
      <w:r>
        <w:t>Conformément aux indications spécifiques dans le cahier spécial des charges et/ou le métré récapitulatif, le mesurage doit être conçu comme suit :</w:t>
      </w:r>
    </w:p>
    <w:p w14:paraId="1BA49913" w14:textId="77777777" w:rsidR="004B2808" w:rsidRDefault="00000000">
      <w:pPr>
        <w:pStyle w:val="pheading"/>
      </w:pPr>
      <w:r>
        <w:t>- unité de mesure:</w:t>
      </w:r>
    </w:p>
    <w:p w14:paraId="14912FFE" w14:textId="77777777" w:rsidR="004B2808" w:rsidRDefault="00000000">
      <w:r>
        <w:t>m²</w:t>
      </w:r>
    </w:p>
    <w:p w14:paraId="20EADEB2" w14:textId="77777777" w:rsidR="004B2808" w:rsidRDefault="00000000">
      <w:pPr>
        <w:pStyle w:val="pheading"/>
      </w:pPr>
      <w:r>
        <w:t>- code de mesurage:</w:t>
      </w:r>
    </w:p>
    <w:p w14:paraId="6D6E07B6" w14:textId="77777777" w:rsidR="004B2808" w:rsidRDefault="00000000">
      <w:r>
        <w:t>surface nette, comptée selon la plus grande longueur et largeur du local, y compris la profondeur des niches.</w:t>
      </w:r>
    </w:p>
    <w:p w14:paraId="312AC209" w14:textId="77777777" w:rsidR="004B2808" w:rsidRDefault="00000000">
      <w:pPr>
        <w:pStyle w:val="pheading"/>
      </w:pPr>
      <w:r>
        <w:t>- nature du marché:</w:t>
      </w:r>
    </w:p>
    <w:p w14:paraId="5062A2EB" w14:textId="77777777" w:rsidR="004B2808" w:rsidRDefault="00000000">
      <w:r>
        <w:lastRenderedPageBreak/>
        <w:t>QF</w:t>
      </w:r>
    </w:p>
    <w:p w14:paraId="7310EE6E" w14:textId="77777777" w:rsidR="004B2808" w:rsidRDefault="00000000">
      <w:pPr>
        <w:pStyle w:val="Author-eSectionHeading6Numberless"/>
      </w:pPr>
      <w:bookmarkStart w:id="675" w:name="_Toc220490830"/>
      <w:r>
        <w:t>53.55.2b Revêtements de sols souples, ligneux - Liège en plaques CCTB 01.13</w:t>
      </w:r>
      <w:bookmarkEnd w:id="675"/>
    </w:p>
    <w:p w14:paraId="6B97E2BA" w14:textId="77777777" w:rsidR="004B2808" w:rsidRDefault="00000000">
      <w:pPr>
        <w:pStyle w:val="pheading"/>
      </w:pPr>
      <w:r>
        <w:t>DESCRIPTION</w:t>
      </w:r>
    </w:p>
    <w:p w14:paraId="3CE1E1A5" w14:textId="77777777" w:rsidR="004B2808" w:rsidRDefault="00000000">
      <w:pPr>
        <w:pStyle w:val="pheading"/>
      </w:pPr>
      <w:r>
        <w:t>- Définition / Comprend</w:t>
      </w:r>
    </w:p>
    <w:p w14:paraId="409A5C52" w14:textId="77777777" w:rsidR="004B2808" w:rsidRDefault="00000000">
      <w:r>
        <w:t>voir [NIT 241] §3.5.</w:t>
      </w:r>
    </w:p>
    <w:p w14:paraId="7CD48669" w14:textId="77777777" w:rsidR="004B2808" w:rsidRDefault="00000000">
      <w:pPr>
        <w:pStyle w:val="pheading"/>
      </w:pPr>
      <w:r>
        <w:t>MATÉRIAUX</w:t>
      </w:r>
    </w:p>
    <w:p w14:paraId="00355512" w14:textId="77777777" w:rsidR="004B2808" w:rsidRDefault="00000000">
      <w:pPr>
        <w:pStyle w:val="pheading"/>
      </w:pPr>
      <w:r>
        <w:t>- Caractéristiques générales</w:t>
      </w:r>
    </w:p>
    <w:p w14:paraId="190D4ECF" w14:textId="77777777" w:rsidR="004B2808" w:rsidRDefault="00000000">
      <w:r>
        <w:t>- Résistance limitée au poinçonnement rémanent (voir [NIT 241] § 4.2.1.2)</w:t>
      </w:r>
    </w:p>
    <w:p w14:paraId="2E9528AE" w14:textId="77777777" w:rsidR="004B2808" w:rsidRDefault="00000000">
      <w:pPr>
        <w:pStyle w:val="pheading"/>
      </w:pPr>
      <w:r>
        <w:t>- Finitions</w:t>
      </w:r>
    </w:p>
    <w:p w14:paraId="2B465603" w14:textId="77777777" w:rsidR="004B2808" w:rsidRDefault="00000000">
      <w:pPr>
        <w:pStyle w:val="facult"/>
      </w:pPr>
      <w:r>
        <w:t>- Pour le choix de la classe de réaction au feu, on se réfère au § 4.1.2 de la [NIT 241].</w:t>
      </w:r>
    </w:p>
    <w:p w14:paraId="445E82FD" w14:textId="77777777" w:rsidR="004B2808" w:rsidRDefault="00000000">
      <w:pPr>
        <w:pStyle w:val="pheading"/>
      </w:pPr>
      <w:r>
        <w:t>EXÉCUTION / MISE EN ŒUVRE</w:t>
      </w:r>
    </w:p>
    <w:p w14:paraId="78D3EBD7" w14:textId="77777777" w:rsidR="004B2808" w:rsidRDefault="00000000">
      <w:pPr>
        <w:pStyle w:val="pheading"/>
      </w:pPr>
      <w:r>
        <w:t>- Prescriptions générales</w:t>
      </w:r>
    </w:p>
    <w:p w14:paraId="750B7F54" w14:textId="77777777" w:rsidR="004B2808" w:rsidRDefault="00000000">
      <w:r>
        <w:t>Les revêtements sont mis en œuvre selon les directives du chapitre 7 de la [NIT 241] complétées par les recommandations du fabricant. La mise en œuvre comprend entre autres les opérations suivantes :</w:t>
      </w:r>
    </w:p>
    <w:p w14:paraId="5520ACD4" w14:textId="77777777" w:rsidR="004B2808" w:rsidRDefault="00000000">
      <w:pPr>
        <w:pStyle w:val="Author-eListParagraph"/>
        <w:numPr>
          <w:ilvl w:val="0"/>
          <w:numId w:val="576"/>
        </w:numPr>
      </w:pPr>
      <w:r>
        <w:t>Les dalles sont préalablement acclimatés à la température ambiante (cf. 7.4.3 de la [NIT 241]).</w:t>
      </w:r>
    </w:p>
    <w:p w14:paraId="61932FD5" w14:textId="77777777" w:rsidR="004B2808" w:rsidRDefault="00000000">
      <w:pPr>
        <w:pStyle w:val="Author-eListParagraph"/>
        <w:numPr>
          <w:ilvl w:val="0"/>
          <w:numId w:val="576"/>
        </w:numPr>
      </w:pPr>
      <w:r>
        <w:t>Pour les dalles, on se réfèrera au §7.6.2. de la [NIT 241] pour les opérations préalables à leur pose.</w:t>
      </w:r>
    </w:p>
    <w:p w14:paraId="669EF104" w14:textId="77777777" w:rsidR="004B2808" w:rsidRDefault="00000000">
      <w:pPr>
        <w:pStyle w:val="Author-eListParagraph"/>
        <w:numPr>
          <w:ilvl w:val="0"/>
          <w:numId w:val="576"/>
        </w:numPr>
      </w:pPr>
      <w:r>
        <w:t>La pose collée des dalles réalisée conformément au § 7.7.3. (y compris le traitement des joints) de la [NIT 241].</w:t>
      </w:r>
    </w:p>
    <w:p w14:paraId="7A912335" w14:textId="77777777" w:rsidR="004B2808" w:rsidRDefault="00000000">
      <w:pPr>
        <w:pStyle w:val="Author-eListParagraph"/>
        <w:numPr>
          <w:ilvl w:val="0"/>
          <w:numId w:val="576"/>
        </w:numPr>
      </w:pPr>
      <w:r>
        <w:t>Après le séchage de la colle, les revêtements de sol sont nettoyés et débarrassés de toute impureté et des taches, y compris l'enlèvement du mastic superflu</w:t>
      </w:r>
    </w:p>
    <w:p w14:paraId="2D0092A7" w14:textId="77777777" w:rsidR="004B2808" w:rsidRDefault="00000000">
      <w:pPr>
        <w:pStyle w:val="Author-eListParagraph"/>
        <w:numPr>
          <w:ilvl w:val="0"/>
          <w:numId w:val="576"/>
        </w:numPr>
      </w:pPr>
      <w:r>
        <w:t>Protection au moyen d'un vernis PUR avec couche de fond préalable dans le cas des dalles colorées (§8.4.1. de la [NIT 241]) </w:t>
      </w:r>
    </w:p>
    <w:p w14:paraId="0A06E7D0" w14:textId="77777777" w:rsidR="004B2808" w:rsidRDefault="00000000">
      <w:pPr>
        <w:pStyle w:val="pheading"/>
      </w:pPr>
      <w:r>
        <w:t>DOCUMENTS DE RÉFÉRENCE COMPLÉMENTAIRES</w:t>
      </w:r>
    </w:p>
    <w:p w14:paraId="45F7D38E" w14:textId="77777777" w:rsidR="004B2808" w:rsidRDefault="00000000">
      <w:pPr>
        <w:pStyle w:val="pheading"/>
      </w:pPr>
      <w:r>
        <w:t>- Matériau</w:t>
      </w:r>
    </w:p>
    <w:p w14:paraId="4F7BC2E1" w14:textId="77777777" w:rsidR="004B2808" w:rsidRDefault="00000000">
      <w:r>
        <w:t>[NBN ISO 3810, Dalles d'aggloméré de liège pour revêtements des sols - Méthodes d'essai]</w:t>
      </w:r>
    </w:p>
    <w:p w14:paraId="59F018D7" w14:textId="77777777" w:rsidR="004B2808" w:rsidRDefault="00000000">
      <w:r>
        <w:t>[NBN EN 12104, Revêtements de sols résilients - Dalles en liège - Spécification]</w:t>
      </w:r>
    </w:p>
    <w:p w14:paraId="6AF5C78B" w14:textId="77777777" w:rsidR="004B2808" w:rsidRDefault="00000000">
      <w:r>
        <w:t>[NBN EN 655, Revêtements de sol résilients - Dalles d'aggloméré de liège avec couche d'usure à base de polychlorure de vinyle - Spécifications]</w:t>
      </w:r>
    </w:p>
    <w:p w14:paraId="71F51EB9" w14:textId="77777777" w:rsidR="004B2808" w:rsidRDefault="00000000">
      <w:r>
        <w:t>[NBN ISO 2509, Agglomérés expansés purs de liège absorbants acoustiques en dalles]</w:t>
      </w:r>
    </w:p>
    <w:p w14:paraId="63A88987" w14:textId="77777777" w:rsidR="004B2808" w:rsidRDefault="00000000">
      <w:r>
        <w:t>[NBN EN 12105, Revêtements de sol résilients - Détermination de la teneur en eau de l'aggloméré de liège]</w:t>
      </w:r>
    </w:p>
    <w:p w14:paraId="53B0F6A7" w14:textId="77777777" w:rsidR="004B2808" w:rsidRDefault="00000000">
      <w:pPr>
        <w:ind w:left="750"/>
      </w:pPr>
      <w:r>
        <w:t> </w:t>
      </w:r>
    </w:p>
    <w:p w14:paraId="46F3531D" w14:textId="77777777" w:rsidR="004B2808" w:rsidRDefault="00000000">
      <w:pPr>
        <w:pStyle w:val="pheading"/>
      </w:pPr>
      <w:r>
        <w:t>- Exécution</w:t>
      </w:r>
    </w:p>
    <w:p w14:paraId="7FC84F55" w14:textId="77777777" w:rsidR="004B2808" w:rsidRDefault="00000000">
      <w:r>
        <w:t>[NIT 241, Mise en oeuvre des revêtements de sol résilients (remplace partiellement la NIT 165).]</w:t>
      </w:r>
    </w:p>
    <w:p w14:paraId="42985AE0" w14:textId="77777777" w:rsidR="004B2808" w:rsidRDefault="00000000">
      <w:pPr>
        <w:ind w:left="750"/>
      </w:pPr>
      <w:r>
        <w:t> </w:t>
      </w:r>
    </w:p>
    <w:p w14:paraId="69E32BE6" w14:textId="77777777" w:rsidR="004B2808" w:rsidRDefault="00000000">
      <w:pPr>
        <w:pStyle w:val="pheading"/>
      </w:pPr>
      <w:r>
        <w:t>MESURAGE</w:t>
      </w:r>
    </w:p>
    <w:p w14:paraId="4B17FF4E" w14:textId="77777777" w:rsidR="004B2808" w:rsidRDefault="00000000">
      <w:r>
        <w:t>Conformément aux indications spécifiques dans le cahier spécial des charges et/ou le métré récapitulatif, le mesurage doit être conçu comme suit :</w:t>
      </w:r>
    </w:p>
    <w:p w14:paraId="72AA2AA0" w14:textId="77777777" w:rsidR="004B2808" w:rsidRDefault="00000000">
      <w:pPr>
        <w:pStyle w:val="pheading"/>
      </w:pPr>
      <w:r>
        <w:t>- unité de mesure:</w:t>
      </w:r>
    </w:p>
    <w:p w14:paraId="05322D6C" w14:textId="77777777" w:rsidR="004B2808" w:rsidRDefault="00000000">
      <w:r>
        <w:lastRenderedPageBreak/>
        <w:t>m²</w:t>
      </w:r>
    </w:p>
    <w:p w14:paraId="71052DEC" w14:textId="77777777" w:rsidR="004B2808" w:rsidRDefault="00000000">
      <w:pPr>
        <w:pStyle w:val="pheading"/>
      </w:pPr>
      <w:r>
        <w:t>- code de mesurage:</w:t>
      </w:r>
    </w:p>
    <w:p w14:paraId="6EBF9E95" w14:textId="77777777" w:rsidR="004B2808" w:rsidRDefault="00000000">
      <w:r>
        <w:t>Surface nette, comptée selon la plus grande longueur et largeur du local, y compris la profondeur des niches.</w:t>
      </w:r>
    </w:p>
    <w:p w14:paraId="4833B10A" w14:textId="77777777" w:rsidR="004B2808" w:rsidRDefault="00000000">
      <w:pPr>
        <w:pStyle w:val="pheading"/>
      </w:pPr>
      <w:r>
        <w:t>- nature du marché:</w:t>
      </w:r>
    </w:p>
    <w:p w14:paraId="021BB0AB" w14:textId="77777777" w:rsidR="004B2808" w:rsidRDefault="00000000">
      <w:r>
        <w:t>QF</w:t>
      </w:r>
    </w:p>
    <w:p w14:paraId="7B55300A" w14:textId="77777777" w:rsidR="004B2808" w:rsidRDefault="00000000">
      <w:pPr>
        <w:pStyle w:val="Author-eSectionHeading5Numberless"/>
      </w:pPr>
      <w:bookmarkStart w:id="676" w:name="_Toc220490831"/>
      <w:r>
        <w:t>53.55.3 Revêtements de sols souples plastiques et synthétiques (lino, PVC, ...) CCTB 01.02</w:t>
      </w:r>
      <w:bookmarkEnd w:id="676"/>
    </w:p>
    <w:p w14:paraId="0E20D803" w14:textId="77777777" w:rsidR="004B2808" w:rsidRDefault="00000000">
      <w:pPr>
        <w:pStyle w:val="Author-eSectionHeading6Numberless"/>
      </w:pPr>
      <w:bookmarkStart w:id="677" w:name="1278"/>
      <w:bookmarkStart w:id="678" w:name="_Toc220490832"/>
      <w:bookmarkEnd w:id="677"/>
      <w:r>
        <w:t>53.55.3a Revêtements de sols souples plastiques et synthétiques - Linoleum CCTB 01.12</w:t>
      </w:r>
      <w:bookmarkEnd w:id="678"/>
    </w:p>
    <w:p w14:paraId="1D0BB68C" w14:textId="77777777" w:rsidR="004B2808" w:rsidRDefault="00000000">
      <w:pPr>
        <w:pStyle w:val="pheading"/>
      </w:pPr>
      <w:bookmarkStart w:id="679" w:name="1397"/>
      <w:bookmarkEnd w:id="679"/>
      <w:r>
        <w:t>MATÉRIAUX</w:t>
      </w:r>
    </w:p>
    <w:p w14:paraId="6566C8F6" w14:textId="77777777" w:rsidR="004B2808" w:rsidRDefault="00000000">
      <w:pPr>
        <w:pStyle w:val="pheading"/>
      </w:pPr>
      <w:r>
        <w:t>- Caractéristiques générales</w:t>
      </w:r>
    </w:p>
    <w:p w14:paraId="333876BC" w14:textId="77777777" w:rsidR="004B2808" w:rsidRDefault="00000000">
      <w:r>
        <w:t>Le linoléum est fabriqué à base d'huile de lin oxydée et de résines, mélangées à des adjuvants, des charges et des pigments; l'ensemble est calandré sur un tissu de jute qui a d'abord été imprégné d'une masse de linoléum de la même couleur afin d'éviter que le dessin du support en jute ne s'imprime dans le linoléum. Le linoléum doit satisfaire aux prescriptions de la [NBN EN ISO 24011] </w:t>
      </w:r>
    </w:p>
    <w:p w14:paraId="182FDD52" w14:textId="77777777" w:rsidR="004B2808" w:rsidRDefault="00000000">
      <w:r>
        <w:t>Le matériau est résistant à l'usure, à la lumière (6), antistatique et résistant aux huiles minérales.</w:t>
      </w:r>
    </w:p>
    <w:p w14:paraId="7F4A5027" w14:textId="77777777" w:rsidR="004B2808" w:rsidRDefault="00000000">
      <w:pPr>
        <w:pStyle w:val="heading"/>
      </w:pPr>
      <w:r>
        <w:t>Spécifications</w:t>
      </w:r>
    </w:p>
    <w:p w14:paraId="60F1DF4D" w14:textId="77777777" w:rsidR="004B2808" w:rsidRDefault="00000000">
      <w:r>
        <w:t xml:space="preserve">Epaisseur : ≥ </w:t>
      </w:r>
      <w:r>
        <w:rPr>
          <w:rStyle w:val="optioncarChar"/>
        </w:rPr>
        <w:t>2,0</w:t>
      </w:r>
      <w:r>
        <w:t> (par défaut)</w:t>
      </w:r>
      <w:r>
        <w:rPr>
          <w:rStyle w:val="optioncarChar"/>
        </w:rPr>
        <w:t xml:space="preserve"> / 2,5 / 3,2 / ***</w:t>
      </w:r>
      <w:r>
        <w:t> mm</w:t>
      </w:r>
    </w:p>
    <w:p w14:paraId="3A1085FC" w14:textId="77777777" w:rsidR="004B2808" w:rsidRDefault="00000000">
      <w:r>
        <w:t>Classe d'utilisation : selon la [NBN EN ISO 10874] : 21, 22 ou 23 (locaux d'habitation) / 31, 32, 33 ou 34 (pour usage intensif à très intensif dans les parties communes)) </w:t>
      </w:r>
    </w:p>
    <w:p w14:paraId="26F0D570" w14:textId="77777777" w:rsidR="004B2808" w:rsidRDefault="00000000">
      <w:r>
        <w:t>Résistance aux chaises roulantes : convient pour les chaises roulantes du type W (conformément à la [NBN EN 12529] </w:t>
      </w:r>
    </w:p>
    <w:p w14:paraId="0038E8B5" w14:textId="77777777" w:rsidR="004B2808" w:rsidRDefault="00000000">
      <w:r>
        <w:t>Empreintes : ≤</w:t>
      </w:r>
      <w:r>
        <w:rPr>
          <w:rStyle w:val="optioncarChar"/>
        </w:rPr>
        <w:t> *** mm</w:t>
      </w:r>
      <w:r>
        <w:t xml:space="preserve"> (selon la [NBN EN ISO 24343-1] )  </w:t>
      </w:r>
    </w:p>
    <w:p w14:paraId="22441204" w14:textId="77777777" w:rsidR="004B2808" w:rsidRDefault="00000000">
      <w:r>
        <w:t>Largeur des rouleaux : 150 à 200 cm</w:t>
      </w:r>
    </w:p>
    <w:p w14:paraId="2873E804" w14:textId="77777777" w:rsidR="004B2808" w:rsidRDefault="00000000">
      <w:r>
        <w:t xml:space="preserve">Réaction au feu : classe </w:t>
      </w:r>
      <w:r>
        <w:rPr>
          <w:color w:val="FF0000"/>
        </w:rPr>
        <w:t>A1</w:t>
      </w:r>
      <w:r>
        <w:rPr>
          <w:color w:val="FF0000"/>
          <w:vertAlign w:val="subscript"/>
        </w:rPr>
        <w:t>FL</w:t>
      </w:r>
      <w:r>
        <w:rPr>
          <w:color w:val="FF0000"/>
        </w:rPr>
        <w:t>/A2</w:t>
      </w:r>
      <w:r>
        <w:rPr>
          <w:color w:val="FF0000"/>
          <w:vertAlign w:val="subscript"/>
        </w:rPr>
        <w:t>FL</w:t>
      </w:r>
      <w:r>
        <w:rPr>
          <w:color w:val="FF0000"/>
        </w:rPr>
        <w:t>/B</w:t>
      </w:r>
      <w:r>
        <w:rPr>
          <w:color w:val="FF0000"/>
          <w:vertAlign w:val="subscript"/>
        </w:rPr>
        <w:t>FL</w:t>
      </w:r>
      <w:r>
        <w:rPr>
          <w:color w:val="FF0000"/>
        </w:rPr>
        <w:t>/C</w:t>
      </w:r>
      <w:r>
        <w:rPr>
          <w:color w:val="FF0000"/>
          <w:vertAlign w:val="subscript"/>
        </w:rPr>
        <w:t>FL</w:t>
      </w:r>
      <w:r>
        <w:rPr>
          <w:color w:val="FF0000"/>
        </w:rPr>
        <w:t>/D</w:t>
      </w:r>
      <w:r>
        <w:rPr>
          <w:color w:val="FF0000"/>
          <w:vertAlign w:val="subscript"/>
        </w:rPr>
        <w:t>FL</w:t>
      </w:r>
      <w:r>
        <w:rPr>
          <w:color w:val="FF0000"/>
        </w:rPr>
        <w:t>/E</w:t>
      </w:r>
      <w:r>
        <w:rPr>
          <w:color w:val="FF0000"/>
          <w:vertAlign w:val="subscript"/>
        </w:rPr>
        <w:t>FL </w:t>
      </w:r>
      <w:r>
        <w:t>selon la [NBN EN 13501-1]  (voir §4.1.2. de la [NIT 241]) </w:t>
      </w:r>
    </w:p>
    <w:p w14:paraId="0198AB09" w14:textId="77777777" w:rsidR="004B2808" w:rsidRDefault="00000000">
      <w:pPr>
        <w:ind w:left="435"/>
      </w:pPr>
      <w:r>
        <w:t>Production de fumée : s1 / s2</w:t>
      </w:r>
    </w:p>
    <w:p w14:paraId="58E639FB" w14:textId="77777777" w:rsidR="004B2808" w:rsidRDefault="00000000">
      <w:pPr>
        <w:ind w:left="435"/>
      </w:pPr>
      <w:r>
        <w:t>Pour plus d'informations sur le choix du revêtement de sol résilient, voir tableau 4 de la [NIT 241].</w:t>
      </w:r>
    </w:p>
    <w:p w14:paraId="134B377E" w14:textId="77777777" w:rsidR="004B2808" w:rsidRDefault="00000000">
      <w:pPr>
        <w:pStyle w:val="pheading"/>
      </w:pPr>
      <w:r>
        <w:t>- Finitions</w:t>
      </w:r>
    </w:p>
    <w:p w14:paraId="479C8B87" w14:textId="77777777" w:rsidR="004B2808" w:rsidRDefault="00000000">
      <w:r>
        <w:t xml:space="preserve">Dessin : </w:t>
      </w:r>
      <w:r>
        <w:rPr>
          <w:rStyle w:val="optioncarChar"/>
        </w:rPr>
        <w:t xml:space="preserve">légèrement marbré </w:t>
      </w:r>
      <w:r>
        <w:t>(par défaut) </w:t>
      </w:r>
      <w:r>
        <w:rPr>
          <w:rStyle w:val="optioncarChar"/>
        </w:rPr>
        <w:t>/ tacheté / lisse / à choisir dans la gamme du fabricant (minimum 3 dessins) / ***</w:t>
      </w:r>
    </w:p>
    <w:p w14:paraId="5BA1A111" w14:textId="77777777" w:rsidR="004B2808" w:rsidRDefault="00000000">
      <w:r>
        <w:t xml:space="preserve">Coloris : </w:t>
      </w:r>
      <w:r>
        <w:rPr>
          <w:rStyle w:val="optioncarChar"/>
        </w:rPr>
        <w:t>à choisir dans la gamme du fabricant (minimum 5 </w:t>
      </w:r>
      <w:r>
        <w:t>(par défaut)</w:t>
      </w:r>
      <w:r>
        <w:rPr>
          <w:rStyle w:val="optioncarChar"/>
        </w:rPr>
        <w:t xml:space="preserve"> / *** coloris) </w:t>
      </w:r>
      <w:r>
        <w:t>(par défaut)</w:t>
      </w:r>
      <w:r>
        <w:rPr>
          <w:rStyle w:val="optioncarChar"/>
        </w:rPr>
        <w:t xml:space="preserve"> / ***</w:t>
      </w:r>
    </w:p>
    <w:p w14:paraId="62AD0003" w14:textId="77777777" w:rsidR="004B2808" w:rsidRDefault="00000000">
      <w:r>
        <w:t>Attention</w:t>
      </w:r>
    </w:p>
    <w:p w14:paraId="21E65014" w14:textId="77777777" w:rsidR="004B2808" w:rsidRDefault="00000000">
      <w:r>
        <w:t>Des dessins et coloris différents peuvent être choisis pour des locaux différents.</w:t>
      </w:r>
    </w:p>
    <w:p w14:paraId="1B9AD2B4" w14:textId="77777777" w:rsidR="004B2808" w:rsidRDefault="00000000">
      <w:pPr>
        <w:pStyle w:val="pheading"/>
      </w:pPr>
      <w:r>
        <w:t>- Prescriptions complémentaires</w:t>
      </w:r>
    </w:p>
    <w:p w14:paraId="1D920927" w14:textId="77777777" w:rsidR="004B2808" w:rsidRDefault="00000000">
      <w:pPr>
        <w:pStyle w:val="facult"/>
      </w:pPr>
      <w:r>
        <w:t>- Dans la dernière phase de fabrication, une double couche de dispersion a été appliquée sur le linoléum (ETC-finish).</w:t>
      </w:r>
    </w:p>
    <w:p w14:paraId="0675D4C5" w14:textId="77777777" w:rsidR="004B2808" w:rsidRDefault="00000000">
      <w:pPr>
        <w:pStyle w:val="facult"/>
      </w:pPr>
      <w:r>
        <w:t>- Amélioration des bruits d'impact : </w:t>
      </w:r>
      <w:r>
        <w:rPr>
          <w:rStyle w:val="optioncarChar"/>
        </w:rPr>
        <w:t>12</w:t>
      </w:r>
      <w:r>
        <w:t xml:space="preserve"> (par défaut)</w:t>
      </w:r>
      <w:r>
        <w:rPr>
          <w:rStyle w:val="optioncarChar"/>
        </w:rPr>
        <w:t xml:space="preserve"> / 14 /16 / *** </w:t>
      </w:r>
      <w:r>
        <w:t>DB (selon l'[NBN EN ISO 10140-1]). A cet effet, le linoléum a été appliqué sur un dossier en liège (voir [NBN EN 688]. Epaisseur de la sous-couche : minimum </w:t>
      </w:r>
      <w:r>
        <w:rPr>
          <w:rStyle w:val="optioncarChar"/>
        </w:rPr>
        <w:t xml:space="preserve"> 3.2 </w:t>
      </w:r>
      <w:r>
        <w:t>(par défaut) </w:t>
      </w:r>
      <w:r>
        <w:rPr>
          <w:rStyle w:val="optioncarChar"/>
        </w:rPr>
        <w:t>/4 /6 ***</w:t>
      </w:r>
      <w:r>
        <w:t xml:space="preserve"> mm.</w:t>
      </w:r>
    </w:p>
    <w:p w14:paraId="7170347F" w14:textId="77777777" w:rsidR="004B2808" w:rsidRDefault="00000000">
      <w:pPr>
        <w:pStyle w:val="facult"/>
      </w:pPr>
      <w:r>
        <w:lastRenderedPageBreak/>
        <w:t>- Il existe également des revêtements linoleum sur dossier en </w:t>
      </w:r>
      <w:r>
        <w:rPr>
          <w:rStyle w:val="optioncarChar"/>
        </w:rPr>
        <w:t xml:space="preserve">composition de liège selon la </w:t>
      </w:r>
      <w:r>
        <w:t>[NBN EN 687]</w:t>
      </w:r>
      <w:r>
        <w:rPr>
          <w:rStyle w:val="optioncarChar"/>
        </w:rPr>
        <w:t xml:space="preserve">  </w:t>
      </w:r>
      <w:r>
        <w:t>(par défaut) </w:t>
      </w:r>
      <w:r>
        <w:rPr>
          <w:rStyle w:val="optioncarChar"/>
        </w:rPr>
        <w:t xml:space="preserve">/ mousse selon la </w:t>
      </w:r>
      <w:r>
        <w:t>[NBN EN 686]</w:t>
      </w:r>
      <w:r>
        <w:rPr>
          <w:rStyle w:val="optioncarChar"/>
        </w:rPr>
        <w:t>.</w:t>
      </w:r>
    </w:p>
    <w:p w14:paraId="789AEF68" w14:textId="77777777" w:rsidR="004B2808" w:rsidRDefault="00000000">
      <w:pPr>
        <w:pStyle w:val="facult"/>
      </w:pPr>
      <w:r>
        <w:t xml:space="preserve">- Motifs particuliers : </w:t>
      </w:r>
      <w:r>
        <w:rPr>
          <w:rStyle w:val="optioncarChar"/>
        </w:rPr>
        <w:t>dessin multicolore </w:t>
      </w:r>
      <w:r>
        <w:t xml:space="preserve">(par défaut) </w:t>
      </w:r>
      <w:r>
        <w:rPr>
          <w:rStyle w:val="optioncarChar"/>
        </w:rPr>
        <w:t>/ dessin intégré / logo intégré / ***</w:t>
      </w:r>
    </w:p>
    <w:p w14:paraId="6ADF71F9" w14:textId="77777777" w:rsidR="004B2808" w:rsidRDefault="00000000">
      <w:pPr>
        <w:pStyle w:val="facult"/>
      </w:pPr>
      <w:r>
        <w:t>- Pour le choix de la classe de réaction au feu, on se réfère au § 7.6.1.2. de la [NIT 241].</w:t>
      </w:r>
    </w:p>
    <w:p w14:paraId="19244DC7" w14:textId="77777777" w:rsidR="004B2808" w:rsidRDefault="00000000">
      <w:pPr>
        <w:pStyle w:val="pheading"/>
      </w:pPr>
      <w:r>
        <w:t>EXÉCUTION / MISE EN ŒUVRE</w:t>
      </w:r>
    </w:p>
    <w:p w14:paraId="20C88990" w14:textId="77777777" w:rsidR="004B2808" w:rsidRDefault="00000000">
      <w:pPr>
        <w:pStyle w:val="pheading"/>
      </w:pPr>
      <w:r>
        <w:t>- Prescriptions générales</w:t>
      </w:r>
    </w:p>
    <w:p w14:paraId="48520A9D" w14:textId="77777777" w:rsidR="004B2808" w:rsidRDefault="00000000">
      <w:r>
        <w:t>Les revêtements sont mis en œuvre selon les directives du chapitre 7 de la [NIT 241]complétées par les recommandations du fabricant. La mise en œuvre comprend entre autres les opérations suivantes :</w:t>
      </w:r>
    </w:p>
    <w:p w14:paraId="0E6E16CF" w14:textId="77777777" w:rsidR="004B2808" w:rsidRDefault="00000000">
      <w:r>
        <w:t>Les lés et les dalles sont préalablement acclimatés à la température ambiante (cf. 7.4.3 de la [NIT 241]).</w:t>
      </w:r>
    </w:p>
    <w:p w14:paraId="306DBAA6" w14:textId="77777777" w:rsidR="004B2808" w:rsidRDefault="00000000">
      <w:r>
        <w:t>Le débitage des lés se fait conformément au § 7.6.1.2. de la [NIT 241].</w:t>
      </w:r>
    </w:p>
    <w:p w14:paraId="7C9E35A9" w14:textId="77777777" w:rsidR="004B2808" w:rsidRDefault="00000000">
      <w:r>
        <w:t>Tous les lés sont posés dans le même sens, de préférence parallèlement à la lumière, selon l'indication des flèches au dos et/ou adaptés et/ou orientés de manière à créer le minimum de joints. On se réfère au §7.6.1.1. de la [NIT 241] dans le cas de la pose de lés. Pour les dalles, on se réfère au §7.6.2. de la [NIT 241] pour les opérations préalables à leur pose.</w:t>
      </w:r>
    </w:p>
    <w:p w14:paraId="5C7D9FE9" w14:textId="77777777" w:rsidR="004B2808" w:rsidRDefault="00000000">
      <w:r>
        <w:t>La pose collée des lés et des dalles réalisée conformément au § 7.7.3. (y compris le traitement des joints) de la [NIT 241].   </w:t>
      </w:r>
    </w:p>
    <w:p w14:paraId="5A6C8FE0" w14:textId="77777777" w:rsidR="004B2808" w:rsidRDefault="00000000">
      <w:r>
        <w:t>Après le séchage de la colle, les revêtements de sol sont nettoyés et débarrassés de toute impureté et des taches, y compris l'enlèvement du mastic superflu (§8.4.1. de la [NIT 241]) </w:t>
      </w:r>
    </w:p>
    <w:p w14:paraId="11D8633D" w14:textId="77777777" w:rsidR="004B2808" w:rsidRDefault="00000000">
      <w:pPr>
        <w:pStyle w:val="pheading"/>
      </w:pPr>
      <w:r>
        <w:t>- Notes d’exécution complémentaires</w:t>
      </w:r>
    </w:p>
    <w:p w14:paraId="3563CCFD" w14:textId="77777777" w:rsidR="004B2808" w:rsidRDefault="00000000">
      <w:r>
        <w:t>L'enlèvement éventuel du revêtement de sol existant</w:t>
      </w:r>
      <w:r>
        <w:br/>
        <w:t>La mise en place éventuelle d'un coating pare-vapeur</w:t>
      </w:r>
      <w:r>
        <w:br/>
        <w:t>Le traitement des fissures   (§7.2.4 de la [NIT 241])</w:t>
      </w:r>
      <w:r>
        <w:br/>
        <w:t>Le traitement des rives avec mise en œuvre de plinthes (§ 7.7.4 de la [NIT 241])</w:t>
      </w:r>
      <w:r>
        <w:br/>
        <w:t xml:space="preserve">Dessin de pose prescrit : </w:t>
      </w:r>
      <w:r>
        <w:rPr>
          <w:rStyle w:val="optioncarChar"/>
        </w:rPr>
        <w:t>**</w:t>
      </w:r>
      <w:r>
        <w:t>*.  </w:t>
      </w:r>
      <w:r>
        <w:br/>
        <w:t>On met un manuel d'entretien des revêtements de sol en linoléum à disposition dans chaque unité de logement.  (cf. § 8.4. de la [NIT 241]) </w:t>
      </w:r>
    </w:p>
    <w:p w14:paraId="50BBD7BB" w14:textId="77777777" w:rsidR="004B2808" w:rsidRDefault="00000000">
      <w:pPr>
        <w:pStyle w:val="pheading"/>
      </w:pPr>
      <w:r>
        <w:t>DOCUMENTS DE RÉFÉRENCE COMPLÉMENTAIRES</w:t>
      </w:r>
    </w:p>
    <w:p w14:paraId="51500842" w14:textId="77777777" w:rsidR="004B2808" w:rsidRDefault="00000000">
      <w:pPr>
        <w:pStyle w:val="pheading"/>
      </w:pPr>
      <w:r>
        <w:t>- Matériau</w:t>
      </w:r>
    </w:p>
    <w:p w14:paraId="0659B854" w14:textId="77777777" w:rsidR="004B2808" w:rsidRDefault="00000000">
      <w:r>
        <w:t>[NBN EN ISO 24011] - Revêtements de sol résilients - Spécifications pour le linoléum uni et décoratif, 2012</w:t>
      </w:r>
    </w:p>
    <w:p w14:paraId="3B0114A8" w14:textId="77777777" w:rsidR="004B2808" w:rsidRDefault="00000000">
      <w:r>
        <w:t>[NBN EN 686], Revêtements de sol résilients - Spécifications pour le linoléum uni et décoratif sur sous-couche de mousse, 1997</w:t>
      </w:r>
    </w:p>
    <w:p w14:paraId="338235F7" w14:textId="77777777" w:rsidR="004B2808" w:rsidRDefault="00000000">
      <w:r>
        <w:t>[NBN EN 687], Revêtements de sol résilients - Spécifications pour le linoléum uni et décoratif sur support en composition de liège, 1997</w:t>
      </w:r>
    </w:p>
    <w:p w14:paraId="255D22C4" w14:textId="77777777" w:rsidR="004B2808" w:rsidRDefault="00000000">
      <w:r>
        <w:t>[NBN EN 688], Revêtements de sol résilients - Spécifications pour le linoléum sur liège, 2011</w:t>
      </w:r>
    </w:p>
    <w:p w14:paraId="010B9179" w14:textId="77777777" w:rsidR="004B2808" w:rsidRDefault="00000000">
      <w:r>
        <w:t>[NBN EN ISO 24343-1], Revêtements de sol résilients - Détermination du poinçonnement rémanent après application d'une charge statique, 2012</w:t>
      </w:r>
    </w:p>
    <w:p w14:paraId="33D88163" w14:textId="77777777" w:rsidR="004B2808" w:rsidRDefault="00000000">
      <w:pPr>
        <w:pStyle w:val="pheading"/>
      </w:pPr>
      <w:r>
        <w:t>MESURAGE</w:t>
      </w:r>
    </w:p>
    <w:p w14:paraId="13E86FD0" w14:textId="77777777" w:rsidR="004B2808" w:rsidRDefault="00000000">
      <w:r>
        <w:t>Conformément aux indications spécifiques dans le cahier spécial des charges et/ou le métré récapitulatif, le mesurage doit être conçu comme suit :</w:t>
      </w:r>
    </w:p>
    <w:p w14:paraId="57162A0F" w14:textId="77777777" w:rsidR="004B2808" w:rsidRDefault="00000000">
      <w:pPr>
        <w:pStyle w:val="pheading"/>
      </w:pPr>
      <w:r>
        <w:t>- unité de mesure:</w:t>
      </w:r>
    </w:p>
    <w:p w14:paraId="08585915" w14:textId="77777777" w:rsidR="004B2808" w:rsidRDefault="00000000">
      <w:r>
        <w:t>m²</w:t>
      </w:r>
    </w:p>
    <w:p w14:paraId="405E2B55" w14:textId="77777777" w:rsidR="004B2808" w:rsidRDefault="00000000">
      <w:pPr>
        <w:pStyle w:val="pheading"/>
      </w:pPr>
      <w:r>
        <w:lastRenderedPageBreak/>
        <w:t>- code de mesurage:</w:t>
      </w:r>
    </w:p>
    <w:p w14:paraId="77B13843" w14:textId="77777777" w:rsidR="004B2808" w:rsidRDefault="00000000">
      <w:r>
        <w:t>surface nette, comptée selon la plus grande longueur et largeur du local, y compris la profondeur des niches.</w:t>
      </w:r>
    </w:p>
    <w:p w14:paraId="64C8611E" w14:textId="77777777" w:rsidR="004B2808" w:rsidRDefault="00000000">
      <w:pPr>
        <w:pStyle w:val="pheading"/>
      </w:pPr>
      <w:r>
        <w:t>- nature du marché:</w:t>
      </w:r>
    </w:p>
    <w:p w14:paraId="7642A29F" w14:textId="77777777" w:rsidR="004B2808" w:rsidRDefault="00000000">
      <w:r>
        <w:t>QF</w:t>
      </w:r>
    </w:p>
    <w:p w14:paraId="7565AF16" w14:textId="77777777" w:rsidR="004B2808" w:rsidRDefault="00000000">
      <w:pPr>
        <w:pStyle w:val="Author-eSectionHeading6Numberless"/>
      </w:pPr>
      <w:bookmarkStart w:id="680" w:name="_Toc220490833"/>
      <w:r>
        <w:t>53.55.3b Revêtements de sols souples plastiques et synthétiques, en PVC CCTB 01.12</w:t>
      </w:r>
      <w:bookmarkEnd w:id="680"/>
    </w:p>
    <w:p w14:paraId="58FACC9C" w14:textId="77777777" w:rsidR="004B2808" w:rsidRDefault="00000000">
      <w:pPr>
        <w:pStyle w:val="pheading"/>
      </w:pPr>
      <w:bookmarkStart w:id="681" w:name="1277"/>
      <w:bookmarkEnd w:id="681"/>
      <w:r>
        <w:t>MATÉRIAUX</w:t>
      </w:r>
    </w:p>
    <w:p w14:paraId="288872FC" w14:textId="77777777" w:rsidR="004B2808" w:rsidRDefault="00000000">
      <w:pPr>
        <w:pStyle w:val="pheading"/>
      </w:pPr>
      <w:r>
        <w:t>- Caractéristiques générales</w:t>
      </w:r>
    </w:p>
    <w:p w14:paraId="15B0001F" w14:textId="77777777" w:rsidR="004B2808" w:rsidRDefault="00000000">
      <w:r>
        <w:t>Les revêtements de sol thermoplastiques en PVC satisfont obligatoirement aux exigences de l'une de ces normes :</w:t>
      </w:r>
    </w:p>
    <w:p w14:paraId="1C015F2F" w14:textId="77777777" w:rsidR="004B2808" w:rsidRDefault="00000000">
      <w:pPr>
        <w:pStyle w:val="Author-eListParagraph"/>
        <w:numPr>
          <w:ilvl w:val="0"/>
          <w:numId w:val="577"/>
        </w:numPr>
      </w:pPr>
      <w:r>
        <w:t>[NBN EN ISO 10581] , Revêtements de sol résilients - Revêtements de sol homogènes et hétérogènes à base de polychlorure de vinyle - Spécifications, 2011</w:t>
      </w:r>
    </w:p>
    <w:p w14:paraId="7BAD5135" w14:textId="77777777" w:rsidR="004B2808" w:rsidRDefault="00000000">
      <w:pPr>
        <w:pStyle w:val="Author-eListParagraph"/>
        <w:numPr>
          <w:ilvl w:val="0"/>
          <w:numId w:val="577"/>
        </w:numPr>
      </w:pPr>
      <w:r>
        <w:t>[NBN EN 650] , Revêtements de sol résilients - Revêtements de sol à base de polychlorure de vinyle sur support de jute ou de polyester ou sur support de polyester avec envers en polychlorure de vinyle - Spécifications, 1996 </w:t>
      </w:r>
    </w:p>
    <w:p w14:paraId="431154DE" w14:textId="77777777" w:rsidR="004B2808" w:rsidRDefault="00000000">
      <w:pPr>
        <w:pStyle w:val="Author-eListParagraph"/>
        <w:numPr>
          <w:ilvl w:val="0"/>
          <w:numId w:val="577"/>
        </w:numPr>
      </w:pPr>
      <w:r>
        <w:t>[NBN EN 651] , Revêtements de sol résilients - Revêtements de sol à base de polychlorure de vinyle sur mousse - Spécifications, 2011 2011</w:t>
      </w:r>
    </w:p>
    <w:p w14:paraId="0AF190CF" w14:textId="77777777" w:rsidR="004B2808" w:rsidRDefault="00000000">
      <w:pPr>
        <w:pStyle w:val="Author-eListParagraph"/>
        <w:numPr>
          <w:ilvl w:val="0"/>
          <w:numId w:val="577"/>
        </w:numPr>
      </w:pPr>
      <w:r>
        <w:t>[NBN EN 652] , Revêtements de sol résilients - Revêtements de sol à base de polychlorure de vinyle sur support à base de liège - Spécifications, 2011   </w:t>
      </w:r>
    </w:p>
    <w:p w14:paraId="704D059A" w14:textId="77777777" w:rsidR="004B2808" w:rsidRDefault="00000000">
      <w:pPr>
        <w:pStyle w:val="Author-eListParagraph"/>
        <w:numPr>
          <w:ilvl w:val="0"/>
          <w:numId w:val="577"/>
        </w:numPr>
      </w:pPr>
      <w:r>
        <w:t>[NBN EN ISO 26986] , Revêtements de sol résilients - Revêtements de sol à base de polychlorure de vinyle expansé - Spécifications, 2011</w:t>
      </w:r>
    </w:p>
    <w:p w14:paraId="55DCCBD2" w14:textId="77777777" w:rsidR="004B2808" w:rsidRDefault="00000000">
      <w:pPr>
        <w:pStyle w:val="Author-eListParagraph"/>
        <w:numPr>
          <w:ilvl w:val="0"/>
          <w:numId w:val="577"/>
        </w:numPr>
      </w:pPr>
      <w:r>
        <w:t>[NBN EN ISO 10595] , Revêtements de sol résilients - Dalles semi-flexibles à base de polychlorure de vinyle - Spécifications, 2011</w:t>
      </w:r>
    </w:p>
    <w:p w14:paraId="12842044" w14:textId="77777777" w:rsidR="004B2808" w:rsidRDefault="00000000">
      <w:pPr>
        <w:pStyle w:val="Author-eListParagraph"/>
        <w:numPr>
          <w:ilvl w:val="0"/>
          <w:numId w:val="577"/>
        </w:numPr>
      </w:pPr>
      <w:r>
        <w:t>[NBN EN 655] , Revêtements de sol résilients - Dalles d'aggloméré de liège avec couche d'usure à base de polychlorure de vinyle - Spécifications, 2011</w:t>
      </w:r>
    </w:p>
    <w:p w14:paraId="71D69689" w14:textId="77777777" w:rsidR="004B2808" w:rsidRDefault="00000000">
      <w:pPr>
        <w:pStyle w:val="Author-eListParagraph"/>
        <w:numPr>
          <w:ilvl w:val="0"/>
          <w:numId w:val="577"/>
        </w:numPr>
      </w:pPr>
      <w:r>
        <w:t>[NBN EN 13413] , Revêtements de sol résilients - Revêtements de sol à base de polychlorure de vinyle sur semelle en fibre minérale - Spécifications, 2002   </w:t>
      </w:r>
    </w:p>
    <w:p w14:paraId="5059EAB3" w14:textId="77777777" w:rsidR="004B2808" w:rsidRDefault="00000000">
      <w:pPr>
        <w:pStyle w:val="heading"/>
      </w:pPr>
      <w:r>
        <w:t>Spécifications</w:t>
      </w:r>
    </w:p>
    <w:p w14:paraId="248DA248" w14:textId="77777777" w:rsidR="004B2808" w:rsidRDefault="00000000">
      <w:pPr>
        <w:pStyle w:val="Author-eListParagraph"/>
        <w:numPr>
          <w:ilvl w:val="0"/>
          <w:numId w:val="578"/>
        </w:numPr>
      </w:pPr>
      <w:r>
        <w:t xml:space="preserve">Epaisseur totale : &gt; </w:t>
      </w:r>
      <w:r>
        <w:rPr>
          <w:rStyle w:val="optioncarChar"/>
        </w:rPr>
        <w:t>2</w:t>
      </w:r>
      <w:r>
        <w:t> (par défaut)</w:t>
      </w:r>
      <w:r>
        <w:rPr>
          <w:rStyle w:val="optioncarChar"/>
        </w:rPr>
        <w:t xml:space="preserve"> / 3 / 4 / *** </w:t>
      </w:r>
      <w:r>
        <w:t>mm</w:t>
      </w:r>
    </w:p>
    <w:p w14:paraId="6897620B" w14:textId="77777777" w:rsidR="004B2808" w:rsidRDefault="00000000">
      <w:pPr>
        <w:pStyle w:val="Author-eListParagraph"/>
        <w:numPr>
          <w:ilvl w:val="0"/>
          <w:numId w:val="578"/>
        </w:numPr>
      </w:pPr>
      <w:r>
        <w:t>Dossier : </w:t>
      </w:r>
      <w:r>
        <w:rPr>
          <w:rStyle w:val="optioncarChar"/>
        </w:rPr>
        <w:t>pas / PVC </w:t>
      </w:r>
      <w:r>
        <w:t>(par défaut)</w:t>
      </w:r>
      <w:r>
        <w:rPr>
          <w:rStyle w:val="optioncarChar"/>
        </w:rPr>
        <w:t xml:space="preserve"> / mousse/ liège / feutre synthétique / PVC expansé / fibres minérales / ***</w:t>
      </w:r>
    </w:p>
    <w:p w14:paraId="1299418D" w14:textId="77777777" w:rsidR="004B2808" w:rsidRDefault="00000000">
      <w:pPr>
        <w:pStyle w:val="Author-eListParagraph"/>
        <w:numPr>
          <w:ilvl w:val="0"/>
          <w:numId w:val="578"/>
        </w:numPr>
      </w:pPr>
      <w:r>
        <w:t xml:space="preserve">Classe d'utilisation : selon la [NBN EN 695] : 21, 22 et 23 pour locaux d'habitation minimum et 31, 32, 33 et 34 pour usage intensif à très intensif. </w:t>
      </w:r>
      <w:r>
        <w:rPr>
          <w:rStyle w:val="optioncarChar"/>
        </w:rPr>
        <w:t>21 / 22 / 23 / 31 / 32 / 34</w:t>
      </w:r>
      <w:r>
        <w:t xml:space="preserve"> - voir tableau 1 et 2 de la [NIT 241] </w:t>
      </w:r>
    </w:p>
    <w:p w14:paraId="1C7473E0" w14:textId="77777777" w:rsidR="004B2808" w:rsidRDefault="00000000">
      <w:pPr>
        <w:pStyle w:val="Author-eListParagraph"/>
        <w:numPr>
          <w:ilvl w:val="0"/>
          <w:numId w:val="578"/>
        </w:numPr>
      </w:pPr>
      <w:r>
        <w:t>Résistance aux chaises roulantes : convient pour chaises roulantes du type W(selon la [NBN EN 12529])  Empreintes : ≤</w:t>
      </w:r>
      <w:r>
        <w:rPr>
          <w:rStyle w:val="optioncarChar"/>
        </w:rPr>
        <w:t> 0,03 </w:t>
      </w:r>
      <w:r>
        <w:t>(par défaut)</w:t>
      </w:r>
      <w:r>
        <w:rPr>
          <w:rStyle w:val="optioncarChar"/>
        </w:rPr>
        <w:t xml:space="preserve"> / 0,05 / 0,07 / *** </w:t>
      </w:r>
      <w:r>
        <w:rPr>
          <w:color w:val="000080"/>
        </w:rPr>
        <w:t xml:space="preserve">mm </w:t>
      </w:r>
      <w:r>
        <w:t>(selon la [NBN EN ISO 24343-1]   (voir annexe 1 de la [NIT 241])</w:t>
      </w:r>
    </w:p>
    <w:p w14:paraId="3A8E0DF3" w14:textId="77777777" w:rsidR="004B2808" w:rsidRDefault="00000000">
      <w:pPr>
        <w:pStyle w:val="Author-eListParagraph"/>
        <w:numPr>
          <w:ilvl w:val="0"/>
          <w:numId w:val="578"/>
        </w:numPr>
      </w:pPr>
      <w:r>
        <w:t>Largeur des rouleaux : 150 à 200 cm</w:t>
      </w:r>
    </w:p>
    <w:p w14:paraId="76B9F83E" w14:textId="77777777" w:rsidR="004B2808" w:rsidRDefault="00000000">
      <w:pPr>
        <w:pStyle w:val="Author-eListParagraph"/>
        <w:numPr>
          <w:ilvl w:val="0"/>
          <w:numId w:val="578"/>
        </w:numPr>
      </w:pPr>
      <w:r>
        <w:t xml:space="preserve">Réaction au feu : classe </w:t>
      </w:r>
      <w:r>
        <w:rPr>
          <w:color w:val="FF0000"/>
        </w:rPr>
        <w:t>A1</w:t>
      </w:r>
      <w:r>
        <w:rPr>
          <w:color w:val="FF0000"/>
          <w:vertAlign w:val="subscript"/>
        </w:rPr>
        <w:t>FL </w:t>
      </w:r>
      <w:r>
        <w:rPr>
          <w:color w:val="FF0000"/>
        </w:rPr>
        <w:t>/ A2</w:t>
      </w:r>
      <w:r>
        <w:rPr>
          <w:color w:val="FF0000"/>
          <w:vertAlign w:val="subscript"/>
        </w:rPr>
        <w:t>FL </w:t>
      </w:r>
      <w:r>
        <w:rPr>
          <w:color w:val="FF0000"/>
        </w:rPr>
        <w:t>/ B</w:t>
      </w:r>
      <w:r>
        <w:rPr>
          <w:color w:val="FF0000"/>
          <w:vertAlign w:val="subscript"/>
        </w:rPr>
        <w:t>FL </w:t>
      </w:r>
      <w:r>
        <w:rPr>
          <w:color w:val="FF0000"/>
        </w:rPr>
        <w:t>/ C</w:t>
      </w:r>
      <w:r>
        <w:rPr>
          <w:color w:val="FF0000"/>
          <w:vertAlign w:val="subscript"/>
        </w:rPr>
        <w:t>FL </w:t>
      </w:r>
      <w:r>
        <w:rPr>
          <w:color w:val="FF0000"/>
        </w:rPr>
        <w:t>/ D</w:t>
      </w:r>
      <w:r>
        <w:rPr>
          <w:color w:val="FF0000"/>
          <w:vertAlign w:val="subscript"/>
        </w:rPr>
        <w:t>FL </w:t>
      </w:r>
      <w:r>
        <w:rPr>
          <w:color w:val="FF0000"/>
        </w:rPr>
        <w:t>/ E</w:t>
      </w:r>
      <w:r>
        <w:rPr>
          <w:color w:val="FF0000"/>
          <w:vertAlign w:val="subscript"/>
        </w:rPr>
        <w:t>FL</w:t>
      </w:r>
      <w:r>
        <w:t xml:space="preserve"> selon la [NBN EN 13501-1] .  (voir § 4.1.2. de la [NIT 241])</w:t>
      </w:r>
    </w:p>
    <w:p w14:paraId="577561FA" w14:textId="77777777" w:rsidR="004B2808" w:rsidRDefault="00000000">
      <w:pPr>
        <w:pStyle w:val="Author-eListParagraph"/>
        <w:numPr>
          <w:ilvl w:val="0"/>
          <w:numId w:val="578"/>
        </w:numPr>
      </w:pPr>
      <w:r>
        <w:t xml:space="preserve">Production de fumée : </w:t>
      </w:r>
      <w:r>
        <w:rPr>
          <w:rStyle w:val="optioncarChar"/>
        </w:rPr>
        <w:t>s1 / s2</w:t>
      </w:r>
    </w:p>
    <w:p w14:paraId="4D3C8C9C" w14:textId="77777777" w:rsidR="004B2808" w:rsidRDefault="00000000">
      <w:r>
        <w:t>Pour plus d'informations sur le choix du revêtement de sol résilient, voir tableau 4 de la [NIT 241]</w:t>
      </w:r>
    </w:p>
    <w:p w14:paraId="26EB1FE1" w14:textId="77777777" w:rsidR="004B2808" w:rsidRDefault="00000000">
      <w:pPr>
        <w:pStyle w:val="pheading"/>
      </w:pPr>
      <w:r>
        <w:t>- Finitions</w:t>
      </w:r>
    </w:p>
    <w:p w14:paraId="2532C119" w14:textId="77777777" w:rsidR="004B2808" w:rsidRDefault="00000000">
      <w:r>
        <w:t xml:space="preserve">Structure de la surface : </w:t>
      </w:r>
      <w:r>
        <w:rPr>
          <w:rStyle w:val="optioncarChar"/>
        </w:rPr>
        <w:t>lisse </w:t>
      </w:r>
      <w:r>
        <w:t>(par défaut)</w:t>
      </w:r>
      <w:r>
        <w:rPr>
          <w:rStyle w:val="optioncarChar"/>
        </w:rPr>
        <w:t xml:space="preserve"> / texture légère / ***</w:t>
      </w:r>
    </w:p>
    <w:p w14:paraId="2726A510" w14:textId="77777777" w:rsidR="004B2808" w:rsidRDefault="00000000">
      <w:r>
        <w:t xml:space="preserve">Motif : </w:t>
      </w:r>
      <w:r>
        <w:rPr>
          <w:rStyle w:val="optioncarChar"/>
        </w:rPr>
        <w:t>marbré</w:t>
      </w:r>
      <w:r>
        <w:t xml:space="preserve"> (par défaut) </w:t>
      </w:r>
      <w:r>
        <w:rPr>
          <w:rStyle w:val="optioncarChar"/>
        </w:rPr>
        <w:t xml:space="preserve">/ tacheté </w:t>
      </w:r>
      <w:r>
        <w:t xml:space="preserve"> / </w:t>
      </w:r>
      <w:r>
        <w:rPr>
          <w:rStyle w:val="optioncarChar"/>
        </w:rPr>
        <w:t>à choisir dans la gamme du fabricant (minimum 3 </w:t>
      </w:r>
      <w:r>
        <w:t>(par défaut)</w:t>
      </w:r>
      <w:r>
        <w:rPr>
          <w:rStyle w:val="optioncarChar"/>
        </w:rPr>
        <w:t xml:space="preserve"> / *** dessins)</w:t>
      </w:r>
    </w:p>
    <w:p w14:paraId="10972D82" w14:textId="77777777" w:rsidR="004B2808" w:rsidRDefault="00000000">
      <w:r>
        <w:lastRenderedPageBreak/>
        <w:t xml:space="preserve">Coloris : *** / </w:t>
      </w:r>
      <w:r>
        <w:rPr>
          <w:rStyle w:val="optioncarChar"/>
        </w:rPr>
        <w:t>à choisir dans la gamme du fabricant (minimum 5 </w:t>
      </w:r>
      <w:r>
        <w:t>(par défaut)</w:t>
      </w:r>
      <w:r>
        <w:rPr>
          <w:rStyle w:val="optioncarChar"/>
        </w:rPr>
        <w:t xml:space="preserve"> / *** nuances de couleur)  </w:t>
      </w:r>
      <w:r>
        <w:t>(par défaut) </w:t>
      </w:r>
      <w:r>
        <w:rPr>
          <w:rStyle w:val="optioncarChar"/>
        </w:rPr>
        <w:t>/ ***</w:t>
      </w:r>
    </w:p>
    <w:p w14:paraId="12B98DC6" w14:textId="77777777" w:rsidR="004B2808" w:rsidRDefault="00000000">
      <w:pPr>
        <w:pStyle w:val="pheading"/>
      </w:pPr>
      <w:r>
        <w:t>- Prescriptions complémentaires</w:t>
      </w:r>
    </w:p>
    <w:p w14:paraId="7380AB96" w14:textId="77777777" w:rsidR="004B2808" w:rsidRDefault="00000000">
      <w:pPr>
        <w:pStyle w:val="facult"/>
      </w:pPr>
      <w:r>
        <w:t>- Revêtement de sol en PVC renforcé et compactage superficiel en PUR, permettant un entretien sans produit lustrant.</w:t>
      </w:r>
    </w:p>
    <w:p w14:paraId="2A437E59" w14:textId="77777777" w:rsidR="004B2808" w:rsidRDefault="00000000">
      <w:pPr>
        <w:pStyle w:val="facult"/>
      </w:pPr>
      <w:r>
        <w:t xml:space="preserve">- Amélioration des bruits d'impact : </w:t>
      </w:r>
      <w:r>
        <w:rPr>
          <w:rStyle w:val="optioncarChar"/>
        </w:rPr>
        <w:t>5 </w:t>
      </w:r>
      <w:r>
        <w:t>(par défaut)</w:t>
      </w:r>
      <w:r>
        <w:rPr>
          <w:rStyle w:val="optioncarChar"/>
        </w:rPr>
        <w:t xml:space="preserve"> / 6 / 8 / *** </w:t>
      </w:r>
      <w:r>
        <w:t>DB (selon [NBN EN ISO 10140-1] )</w:t>
      </w:r>
    </w:p>
    <w:p w14:paraId="7A52E2B0" w14:textId="77777777" w:rsidR="004B2808" w:rsidRDefault="00000000">
      <w:pPr>
        <w:pStyle w:val="facult"/>
      </w:pPr>
      <w:r>
        <w:rPr>
          <w:rStyle w:val="facultChar"/>
        </w:rPr>
        <w:t>- Motifs particuliers :</w:t>
      </w:r>
      <w:r>
        <w:rPr>
          <w:rStyle w:val="optioncarChar"/>
        </w:rPr>
        <w:t> dessin multicolore </w:t>
      </w:r>
      <w:r>
        <w:t>(par défaut)</w:t>
      </w:r>
      <w:r>
        <w:rPr>
          <w:rStyle w:val="optioncarChar"/>
        </w:rPr>
        <w:t> / dessin intégré / logo intégré / ***</w:t>
      </w:r>
    </w:p>
    <w:p w14:paraId="58CF6948" w14:textId="77777777" w:rsidR="004B2808" w:rsidRDefault="00000000">
      <w:pPr>
        <w:pStyle w:val="facult"/>
      </w:pPr>
      <w:r>
        <w:t> </w:t>
      </w:r>
    </w:p>
    <w:p w14:paraId="2806C600" w14:textId="77777777" w:rsidR="004B2808" w:rsidRDefault="00000000">
      <w:pPr>
        <w:pStyle w:val="pheading"/>
      </w:pPr>
      <w:r>
        <w:t>EXÉCUTION / MISE EN ŒUVRE</w:t>
      </w:r>
    </w:p>
    <w:p w14:paraId="26E6B57C" w14:textId="77777777" w:rsidR="004B2808" w:rsidRDefault="00000000">
      <w:pPr>
        <w:pStyle w:val="pheading"/>
      </w:pPr>
      <w:r>
        <w:t>- Prescriptions générales</w:t>
      </w:r>
    </w:p>
    <w:p w14:paraId="7BCD1475" w14:textId="77777777" w:rsidR="004B2808" w:rsidRDefault="00000000">
      <w:r>
        <w:t>Les revêtements sont mis en œuvre selon les directives du chapitre 7 de la [NIT 241] complétées par les recommandations du fabricant. La mise en œuvre comprend entre autres les opérations suivantes :</w:t>
      </w:r>
    </w:p>
    <w:p w14:paraId="0596D879" w14:textId="77777777" w:rsidR="004B2808" w:rsidRDefault="00000000">
      <w:pPr>
        <w:pStyle w:val="Author-eListParagraph"/>
        <w:numPr>
          <w:ilvl w:val="0"/>
          <w:numId w:val="579"/>
        </w:numPr>
      </w:pPr>
      <w:r>
        <w:t>Les lés et les dalles sont préalablement acclimatés à la température ambiante (cf. 7.4.3 de la [NIT 241]).</w:t>
      </w:r>
    </w:p>
    <w:p w14:paraId="06FB5920" w14:textId="77777777" w:rsidR="004B2808" w:rsidRDefault="00000000">
      <w:pPr>
        <w:pStyle w:val="Author-eListParagraph"/>
        <w:numPr>
          <w:ilvl w:val="0"/>
          <w:numId w:val="579"/>
        </w:numPr>
      </w:pPr>
      <w:r>
        <w:t>Le débitage des lés se fait conformément au § 7.6.1.2. de la [NIT 241].</w:t>
      </w:r>
    </w:p>
    <w:p w14:paraId="7396D8D2" w14:textId="77777777" w:rsidR="004B2808" w:rsidRDefault="00000000">
      <w:pPr>
        <w:pStyle w:val="Author-eListParagraph"/>
        <w:numPr>
          <w:ilvl w:val="0"/>
          <w:numId w:val="579"/>
        </w:numPr>
      </w:pPr>
      <w:r>
        <w:t> Tous les lés sont posés dans le même sens, de préférence parallèlement à la lumière, selon l'indication des flèches au dos et/ou adaptés et/ou orientés de manière à créer le minimum de joints. On se réfère au §7.6.1.1. de la [NIT 241] dans le cas de la pose de lés. Pour les dalles, on se réfère au §7.6.2. de la [NIT 241] pour les opérations préalables à leur pose.</w:t>
      </w:r>
    </w:p>
    <w:p w14:paraId="7D08D2F7" w14:textId="77777777" w:rsidR="004B2808" w:rsidRDefault="00000000">
      <w:pPr>
        <w:pStyle w:val="Author-eListParagraph"/>
        <w:numPr>
          <w:ilvl w:val="0"/>
          <w:numId w:val="579"/>
        </w:numPr>
      </w:pPr>
      <w:r>
        <w:t>La pose collée des lés et des dalles réalisée conformément au § 7.7.3. (y compris le traitement des joints) de la [NIT 241]. </w:t>
      </w:r>
    </w:p>
    <w:p w14:paraId="56925679" w14:textId="77777777" w:rsidR="004B2808" w:rsidRDefault="00000000">
      <w:r>
        <w:t>Après le séchage de la colle, les revêtements de sol sont nettoyés et débarrassés de toute impureté et des taches, y compris l'enlèvement du mastic superflu (§8.4.1. de la [NIT 241])  </w:t>
      </w:r>
    </w:p>
    <w:p w14:paraId="470C4CD4" w14:textId="77777777" w:rsidR="004B2808" w:rsidRDefault="00000000">
      <w:pPr>
        <w:pStyle w:val="pheading"/>
      </w:pPr>
      <w:r>
        <w:t>- Notes d’exécution complémentaires</w:t>
      </w:r>
    </w:p>
    <w:p w14:paraId="3DEC37EF" w14:textId="77777777" w:rsidR="004B2808" w:rsidRDefault="00000000">
      <w:r>
        <w:t>L'enlèvement éventuel du revêtement de sol existant</w:t>
      </w:r>
      <w:r>
        <w:br/>
        <w:t>La mise en place éventuelle d'un coating pare-vapeur</w:t>
      </w:r>
      <w:r>
        <w:br/>
        <w:t>Le traitement des fissures   (§7.2.4 de la [NIT 241])</w:t>
      </w:r>
      <w:r>
        <w:br/>
        <w:t>Le traitement des rives avec mise en œuvre de plinthes (§ 7.7.4 de la [NIT 241])</w:t>
      </w:r>
      <w:r>
        <w:br/>
        <w:t xml:space="preserve">Dessin de pose prescrit : </w:t>
      </w:r>
      <w:r>
        <w:rPr>
          <w:rStyle w:val="optioncarChar"/>
        </w:rPr>
        <w:t>***</w:t>
      </w:r>
      <w:r>
        <w:t>. </w:t>
      </w:r>
      <w:r>
        <w:br/>
        <w:t>On met un manuel d'entretien des revêtements de sol en PVC à disposition dans chaque unité de logement (cf. § 8.4. de la [NIT 241]).</w:t>
      </w:r>
    </w:p>
    <w:p w14:paraId="2A2A9A47" w14:textId="77777777" w:rsidR="004B2808" w:rsidRDefault="00000000">
      <w:pPr>
        <w:pStyle w:val="pheading"/>
      </w:pPr>
      <w:r>
        <w:t>DOCUMENTS DE RÉFÉRENCE COMPLÉMENTAIRES</w:t>
      </w:r>
    </w:p>
    <w:p w14:paraId="3F6D5016" w14:textId="77777777" w:rsidR="004B2808" w:rsidRDefault="00000000">
      <w:pPr>
        <w:pStyle w:val="pheading"/>
      </w:pPr>
      <w:r>
        <w:t>- Matériau</w:t>
      </w:r>
    </w:p>
    <w:p w14:paraId="5FA641F8" w14:textId="77777777" w:rsidR="004B2808" w:rsidRDefault="00000000">
      <w:pPr>
        <w:pStyle w:val="Author-eListParagraph"/>
        <w:numPr>
          <w:ilvl w:val="0"/>
          <w:numId w:val="580"/>
        </w:numPr>
      </w:pPr>
      <w:r>
        <w:t>[NBN EN ISO 10581, Revêtements de sol résilients - Revêtements de sol homogènes en poly(chlorure de vinyle) - Spécifications (ISO 10581:2019)]</w:t>
      </w:r>
      <w:r>
        <w:br/>
      </w:r>
    </w:p>
    <w:p w14:paraId="083DA91B" w14:textId="77777777" w:rsidR="004B2808" w:rsidRDefault="00000000">
      <w:pPr>
        <w:pStyle w:val="Author-eListParagraph"/>
        <w:numPr>
          <w:ilvl w:val="0"/>
          <w:numId w:val="580"/>
        </w:numPr>
      </w:pPr>
      <w:r>
        <w:t>[NBN EN 650, Revêtements de sol résilients - Revêtements de sol à base de polychlorure de vinyle sur support de jute ou de polyester avec envers en polychlorure de vinyle - Spécifications]</w:t>
      </w:r>
      <w:r>
        <w:br/>
      </w:r>
    </w:p>
    <w:p w14:paraId="408D1466" w14:textId="77777777" w:rsidR="004B2808" w:rsidRDefault="00000000">
      <w:pPr>
        <w:pStyle w:val="Author-eListParagraph"/>
        <w:numPr>
          <w:ilvl w:val="0"/>
          <w:numId w:val="580"/>
        </w:numPr>
      </w:pPr>
      <w:r>
        <w:t>[NBN EN 651, Revêtements de sol résilients - Revêtements de sol à base de polychlorure de vinyle sur mousse - Spécifications]</w:t>
      </w:r>
      <w:r>
        <w:br/>
      </w:r>
    </w:p>
    <w:p w14:paraId="7F54719B" w14:textId="77777777" w:rsidR="004B2808" w:rsidRDefault="00000000">
      <w:pPr>
        <w:pStyle w:val="Author-eListParagraph"/>
        <w:numPr>
          <w:ilvl w:val="0"/>
          <w:numId w:val="580"/>
        </w:numPr>
      </w:pPr>
      <w:r>
        <w:t>[NBN EN 652, Revêtements de sol résilients - Revêtements de sol à base de polychlorure de vinyle sur support à base de liège - Spécifications]</w:t>
      </w:r>
      <w:r>
        <w:br/>
      </w:r>
    </w:p>
    <w:p w14:paraId="65973E5E" w14:textId="77777777" w:rsidR="004B2808" w:rsidRDefault="00000000">
      <w:pPr>
        <w:pStyle w:val="Author-eListParagraph"/>
        <w:numPr>
          <w:ilvl w:val="0"/>
          <w:numId w:val="580"/>
        </w:numPr>
      </w:pPr>
      <w:r>
        <w:lastRenderedPageBreak/>
        <w:t>[NBN EN ISO 26986, Revêtements de sol résilients - Revêtements de sol amortis à base de poly(chlorure de vinyle) expansé - Spécifications (ISO 26986:2010)(+ AC:2012)]</w:t>
      </w:r>
      <w:r>
        <w:br/>
      </w:r>
    </w:p>
    <w:p w14:paraId="76408E1D" w14:textId="77777777" w:rsidR="004B2808" w:rsidRDefault="00000000">
      <w:pPr>
        <w:pStyle w:val="Author-eListParagraph"/>
        <w:numPr>
          <w:ilvl w:val="0"/>
          <w:numId w:val="580"/>
        </w:numPr>
      </w:pPr>
      <w:r>
        <w:t>[NBN EN ISO 10595, Revêtements de sol résilients - Carreaux semi-flexibles/vinyle (VCT) en poly(chlorure de vinyle) - Spécifications (ISO 10595:2010) (+ AC:2012)]</w:t>
      </w:r>
      <w:r>
        <w:br/>
      </w:r>
    </w:p>
    <w:p w14:paraId="2598D2F1" w14:textId="77777777" w:rsidR="004B2808" w:rsidRDefault="00000000">
      <w:pPr>
        <w:pStyle w:val="Author-eListParagraph"/>
        <w:numPr>
          <w:ilvl w:val="0"/>
          <w:numId w:val="580"/>
        </w:numPr>
      </w:pPr>
      <w:r>
        <w:t>[NBN EN 655, Revêtements de sol résilients - Dalles d'aggloméré de liège avec couche d'usure à base de polychlorure de vinyle - Spécifications]</w:t>
      </w:r>
      <w:r>
        <w:br/>
      </w:r>
    </w:p>
    <w:p w14:paraId="72E12A4F" w14:textId="77777777" w:rsidR="004B2808" w:rsidRDefault="00000000">
      <w:pPr>
        <w:pStyle w:val="Author-eListParagraph"/>
        <w:numPr>
          <w:ilvl w:val="0"/>
          <w:numId w:val="580"/>
        </w:numPr>
      </w:pPr>
      <w:r>
        <w:t>[NBN EN 13413, Revêtements de sol résilients - Revêtements de sol à base de polychlorure de vinyle sur semelle en fibre minérale - Spécifications]</w:t>
      </w:r>
    </w:p>
    <w:p w14:paraId="432112D5" w14:textId="77777777" w:rsidR="004B2808" w:rsidRDefault="00000000">
      <w:pPr>
        <w:pStyle w:val="pheading"/>
      </w:pPr>
      <w:r>
        <w:t>MESURAGE</w:t>
      </w:r>
    </w:p>
    <w:p w14:paraId="66DC5237" w14:textId="77777777" w:rsidR="004B2808" w:rsidRDefault="00000000">
      <w:r>
        <w:t>Conformément aux indications spécifiques dans le cahier spécial des charges et/ou le métré récapitulatif, le mesurage doit être conçu comme suit :</w:t>
      </w:r>
    </w:p>
    <w:p w14:paraId="2D4AE3D8" w14:textId="77777777" w:rsidR="004B2808" w:rsidRDefault="00000000">
      <w:pPr>
        <w:pStyle w:val="pheading"/>
      </w:pPr>
      <w:r>
        <w:t>- unité de mesure:</w:t>
      </w:r>
    </w:p>
    <w:p w14:paraId="2D13A378" w14:textId="77777777" w:rsidR="004B2808" w:rsidRDefault="00000000">
      <w:r>
        <w:t>m²</w:t>
      </w:r>
    </w:p>
    <w:p w14:paraId="65730FCD" w14:textId="77777777" w:rsidR="004B2808" w:rsidRDefault="00000000">
      <w:pPr>
        <w:pStyle w:val="pheading"/>
      </w:pPr>
      <w:r>
        <w:t>- code de mesurage:</w:t>
      </w:r>
    </w:p>
    <w:p w14:paraId="0A322A2E" w14:textId="77777777" w:rsidR="004B2808" w:rsidRDefault="00000000">
      <w:r>
        <w:t>Surface nette, comptée selon la plus grande longueur et largeur du local, y compris la profondeur des niches.</w:t>
      </w:r>
    </w:p>
    <w:p w14:paraId="4188E01B" w14:textId="77777777" w:rsidR="004B2808" w:rsidRDefault="00000000">
      <w:pPr>
        <w:pStyle w:val="pheading"/>
      </w:pPr>
      <w:r>
        <w:t>- nature du marché:</w:t>
      </w:r>
    </w:p>
    <w:p w14:paraId="3B0A4AE5" w14:textId="77777777" w:rsidR="004B2808" w:rsidRDefault="00000000">
      <w:r>
        <w:t>QF</w:t>
      </w:r>
    </w:p>
    <w:p w14:paraId="14E7F9ED" w14:textId="77777777" w:rsidR="004B2808" w:rsidRDefault="00000000">
      <w:pPr>
        <w:pStyle w:val="Author-eSectionHeading6Numberless"/>
      </w:pPr>
      <w:bookmarkStart w:id="682" w:name="_Toc220490834"/>
      <w:r>
        <w:t>53.55.3c Revêtements de sols souples plastiques et synthétiques, en vinyle CCTB 01.10</w:t>
      </w:r>
      <w:bookmarkEnd w:id="682"/>
    </w:p>
    <w:p w14:paraId="226BBE8F" w14:textId="77777777" w:rsidR="004B2808" w:rsidRDefault="00000000">
      <w:pPr>
        <w:pStyle w:val="pheading"/>
      </w:pPr>
      <w:r>
        <w:t>MATÉRIAUX</w:t>
      </w:r>
    </w:p>
    <w:p w14:paraId="1A7A360A" w14:textId="77777777" w:rsidR="004B2808" w:rsidRDefault="00000000">
      <w:pPr>
        <w:pStyle w:val="pheading"/>
      </w:pPr>
      <w:r>
        <w:t>- Caractéristiques générales</w:t>
      </w:r>
    </w:p>
    <w:p w14:paraId="5D77D90D" w14:textId="77777777" w:rsidR="004B2808" w:rsidRDefault="00000000">
      <w:r>
        <w:t xml:space="preserve">Idem revêtements PVC à l'article </w:t>
      </w:r>
      <w:hyperlink w:anchor="1277" w:history="1">
        <w:r w:rsidR="004B2808">
          <w:rPr>
            <w:color w:val="0000EE"/>
          </w:rPr>
          <w:t>53.55.3b Revêtements de sols souples plastiques et synthétiques, en PVC</w:t>
        </w:r>
      </w:hyperlink>
    </w:p>
    <w:p w14:paraId="59CEA322" w14:textId="77777777" w:rsidR="004B2808" w:rsidRDefault="00000000">
      <w:pPr>
        <w:pStyle w:val="pheading"/>
      </w:pPr>
      <w:r>
        <w:t>- Finitions</w:t>
      </w:r>
    </w:p>
    <w:p w14:paraId="67554044" w14:textId="77777777" w:rsidR="004B2808" w:rsidRDefault="004B2808">
      <w:hyperlink w:anchor="1277" w:history="1">
        <w:r>
          <w:rPr>
            <w:color w:val="0000EE"/>
          </w:rPr>
          <w:t>53.55.3b Revêtements de sols souples plastiques et synthétiques, en PVC</w:t>
        </w:r>
      </w:hyperlink>
      <w:r w:rsidR="00000000">
        <w:t>   idem revêtements PVC à l'article </w:t>
      </w:r>
      <w:hyperlink w:anchor="1277" w:history="1">
        <w:r>
          <w:rPr>
            <w:color w:val="0000EE"/>
          </w:rPr>
          <w:t>53.55.3b Revêtements de sols souples plastiques et synthétiques, en PVC</w:t>
        </w:r>
      </w:hyperlink>
    </w:p>
    <w:p w14:paraId="4C8F66A4" w14:textId="77777777" w:rsidR="004B2808" w:rsidRDefault="00000000">
      <w:pPr>
        <w:pStyle w:val="pheading"/>
      </w:pPr>
      <w:r>
        <w:t>- Prescriptions complémentaires</w:t>
      </w:r>
    </w:p>
    <w:p w14:paraId="346177AC" w14:textId="77777777" w:rsidR="004B2808" w:rsidRDefault="00000000">
      <w:pPr>
        <w:pStyle w:val="facult"/>
      </w:pPr>
      <w:r>
        <w:t xml:space="preserve">Idem revêtements PVC à l'article </w:t>
      </w:r>
      <w:hyperlink w:anchor="1277" w:history="1">
        <w:r w:rsidR="004B2808">
          <w:rPr>
            <w:color w:val="0000EE"/>
          </w:rPr>
          <w:t>53.55.3b Revêtements de sols souples plastiques et synthétiques, en PVC</w:t>
        </w:r>
      </w:hyperlink>
    </w:p>
    <w:p w14:paraId="1A38D003" w14:textId="77777777" w:rsidR="004B2808" w:rsidRDefault="00000000">
      <w:pPr>
        <w:pStyle w:val="pheading"/>
      </w:pPr>
      <w:r>
        <w:t>EXÉCUTION / MISE EN ŒUVRE</w:t>
      </w:r>
    </w:p>
    <w:p w14:paraId="1090C45B" w14:textId="77777777" w:rsidR="004B2808" w:rsidRDefault="00000000">
      <w:pPr>
        <w:pStyle w:val="pheading"/>
      </w:pPr>
      <w:r>
        <w:t>- Prescriptions générales</w:t>
      </w:r>
    </w:p>
    <w:p w14:paraId="1CC9928E" w14:textId="77777777" w:rsidR="004B2808" w:rsidRDefault="00000000">
      <w:r>
        <w:t xml:space="preserve">Idem revêtements PVC à l'article </w:t>
      </w:r>
      <w:hyperlink w:anchor="1277" w:history="1">
        <w:r w:rsidR="004B2808">
          <w:rPr>
            <w:color w:val="0000EE"/>
          </w:rPr>
          <w:t>53.55.3b Revêtements de sols souples plastiques et synthétiques, en PVC</w:t>
        </w:r>
      </w:hyperlink>
    </w:p>
    <w:p w14:paraId="7C080D9A" w14:textId="77777777" w:rsidR="004B2808" w:rsidRDefault="00000000">
      <w:pPr>
        <w:pStyle w:val="pheading"/>
      </w:pPr>
      <w:r>
        <w:t>- Notes d’exécution complémentaires</w:t>
      </w:r>
    </w:p>
    <w:p w14:paraId="5BFEB9BD" w14:textId="77777777" w:rsidR="004B2808" w:rsidRDefault="00000000">
      <w:r>
        <w:t xml:space="preserve">Idem revêtements PVC à l'article </w:t>
      </w:r>
      <w:hyperlink w:anchor="1277" w:history="1">
        <w:r w:rsidR="004B2808">
          <w:rPr>
            <w:color w:val="0000EE"/>
          </w:rPr>
          <w:t>53.55.3b Revêtements de sols souples plastiques et synthétiques, en PVC</w:t>
        </w:r>
      </w:hyperlink>
    </w:p>
    <w:p w14:paraId="56287DF9" w14:textId="77777777" w:rsidR="004B2808" w:rsidRDefault="00000000">
      <w:pPr>
        <w:pStyle w:val="pheading"/>
      </w:pPr>
      <w:r>
        <w:t>MESURAGE</w:t>
      </w:r>
    </w:p>
    <w:p w14:paraId="6A758C07" w14:textId="77777777" w:rsidR="004B2808" w:rsidRDefault="00000000">
      <w:r>
        <w:t>Conformément aux indications spécifiques dans le cahier spécial des charges et/ou le métré récapitulatif, le mesurage doit être conçu comme suit :</w:t>
      </w:r>
    </w:p>
    <w:p w14:paraId="3A89C8D4" w14:textId="77777777" w:rsidR="004B2808" w:rsidRDefault="00000000">
      <w:pPr>
        <w:pStyle w:val="pheading"/>
      </w:pPr>
      <w:r>
        <w:lastRenderedPageBreak/>
        <w:t>- unité de mesure:</w:t>
      </w:r>
    </w:p>
    <w:p w14:paraId="52EA3027" w14:textId="77777777" w:rsidR="004B2808" w:rsidRDefault="00000000">
      <w:r>
        <w:t>m²</w:t>
      </w:r>
    </w:p>
    <w:p w14:paraId="7D46186A" w14:textId="77777777" w:rsidR="004B2808" w:rsidRDefault="00000000">
      <w:pPr>
        <w:pStyle w:val="pheading"/>
      </w:pPr>
      <w:r>
        <w:t>- code de mesurage:</w:t>
      </w:r>
    </w:p>
    <w:p w14:paraId="052388F5" w14:textId="77777777" w:rsidR="004B2808" w:rsidRDefault="00000000">
      <w:r>
        <w:t>Surface nette, comptée selon la plus grande longueur et largeur du local, y compris la profondeur des niches.</w:t>
      </w:r>
    </w:p>
    <w:p w14:paraId="3F49C897" w14:textId="77777777" w:rsidR="004B2808" w:rsidRDefault="00000000">
      <w:pPr>
        <w:pStyle w:val="pheading"/>
      </w:pPr>
      <w:r>
        <w:t>- nature du marché:</w:t>
      </w:r>
    </w:p>
    <w:p w14:paraId="0CA11B6E" w14:textId="77777777" w:rsidR="004B2808" w:rsidRDefault="00000000">
      <w:r>
        <w:t>QF</w:t>
      </w:r>
    </w:p>
    <w:p w14:paraId="1BA604E2" w14:textId="77777777" w:rsidR="004B2808" w:rsidRDefault="00000000">
      <w:pPr>
        <w:pStyle w:val="Author-eSectionHeading6Numberless"/>
      </w:pPr>
      <w:bookmarkStart w:id="683" w:name="_Toc220490835"/>
      <w:r>
        <w:t>53.55.3d Revêtements de sols souples plastiques et synthétiques - Tapis plain CCTB 01.02</w:t>
      </w:r>
      <w:bookmarkEnd w:id="683"/>
    </w:p>
    <w:p w14:paraId="4B16153D" w14:textId="77777777" w:rsidR="004B2808" w:rsidRDefault="00000000">
      <w:pPr>
        <w:pStyle w:val="pheading"/>
      </w:pPr>
      <w:r>
        <w:t>DESCRIPTION</w:t>
      </w:r>
    </w:p>
    <w:p w14:paraId="29399569" w14:textId="77777777" w:rsidR="004B2808" w:rsidRDefault="00000000">
      <w:pPr>
        <w:pStyle w:val="pheading"/>
      </w:pPr>
      <w:r>
        <w:t>- Définition / Comprend</w:t>
      </w:r>
    </w:p>
    <w:p w14:paraId="2125A53A" w14:textId="77777777" w:rsidR="004B2808" w:rsidRDefault="00000000">
      <w:r>
        <w:t xml:space="preserve">idem à l'article </w:t>
      </w:r>
      <w:hyperlink w:anchor="1278" w:history="1">
        <w:r w:rsidR="004B2808">
          <w:rPr>
            <w:color w:val="0000EE"/>
          </w:rPr>
          <w:t>53.55.3 Revêtements de sols souples plastiques et synthétiques (lino, PVC, ...)</w:t>
        </w:r>
      </w:hyperlink>
    </w:p>
    <w:p w14:paraId="3C4071DF" w14:textId="77777777" w:rsidR="004B2808" w:rsidRDefault="00000000">
      <w:pPr>
        <w:pStyle w:val="Author-eSectionHeading5Numberless"/>
      </w:pPr>
      <w:bookmarkStart w:id="684" w:name="_Toc220490836"/>
      <w:r>
        <w:t>53.55.4 Revêtements de sols souples en caoutchouc CCTB 01.02</w:t>
      </w:r>
      <w:bookmarkEnd w:id="684"/>
    </w:p>
    <w:p w14:paraId="0F5D3CA6" w14:textId="77777777" w:rsidR="004B2808" w:rsidRDefault="00000000">
      <w:pPr>
        <w:pStyle w:val="Author-eSectionHeading6Numberless"/>
      </w:pPr>
      <w:bookmarkStart w:id="685" w:name="_Toc220490837"/>
      <w:r>
        <w:t>53.55.4a Revêtements de sols souples en caoutchouc CCTB 01.12</w:t>
      </w:r>
      <w:bookmarkEnd w:id="685"/>
    </w:p>
    <w:p w14:paraId="06EC6E78" w14:textId="77777777" w:rsidR="004B2808" w:rsidRDefault="00000000">
      <w:pPr>
        <w:pStyle w:val="pheading"/>
      </w:pPr>
      <w:r>
        <w:t>MATÉRIAUX</w:t>
      </w:r>
    </w:p>
    <w:p w14:paraId="3756B3FB" w14:textId="77777777" w:rsidR="004B2808" w:rsidRDefault="00000000">
      <w:pPr>
        <w:pStyle w:val="pheading"/>
      </w:pPr>
      <w:r>
        <w:t>- Caractéristiques générales</w:t>
      </w:r>
    </w:p>
    <w:p w14:paraId="14437B7A" w14:textId="77777777" w:rsidR="004B2808" w:rsidRDefault="00000000">
      <w:r>
        <w:t>Les revêtements de sol en caoutchouc satisfont aux normes :</w:t>
      </w:r>
    </w:p>
    <w:p w14:paraId="7BE4C23F" w14:textId="77777777" w:rsidR="004B2808" w:rsidRDefault="00000000">
      <w:pPr>
        <w:pStyle w:val="Author-eListParagraph"/>
        <w:numPr>
          <w:ilvl w:val="0"/>
          <w:numId w:val="581"/>
        </w:numPr>
      </w:pPr>
      <w:r>
        <w:t>S'ils sont lisses, homogènes ou hétérogènes, à la [NBN EN 1817, Revêtements de sol résilients - Spécifications des revêtements de sol homogènes et hétérogènes en caoutchouc lisse] ;</w:t>
      </w:r>
    </w:p>
    <w:p w14:paraId="11FCDD4E" w14:textId="77777777" w:rsidR="004B2808" w:rsidRDefault="00000000">
      <w:pPr>
        <w:pStyle w:val="Author-eListParagraph"/>
        <w:numPr>
          <w:ilvl w:val="0"/>
          <w:numId w:val="581"/>
        </w:numPr>
      </w:pPr>
      <w:r>
        <w:t>S'ils ont une semelle en mousse, à la [NBN EN 1816, Revêtements de sol résilients - Spécifications des revêtements de sol homogènes et hétérogènes en caoutchouc lisse avec semelle en mousse] ;</w:t>
      </w:r>
    </w:p>
    <w:p w14:paraId="2CC2BAE6" w14:textId="77777777" w:rsidR="004B2808" w:rsidRDefault="00000000">
      <w:pPr>
        <w:pStyle w:val="Author-eListParagraph"/>
        <w:numPr>
          <w:ilvl w:val="0"/>
          <w:numId w:val="581"/>
        </w:numPr>
      </w:pPr>
      <w:r>
        <w:t>S'ils ont une couche décorative, à la [NBN EN 14521, Revêtements de sol résilients - Spécification des revêtements de sols lisses en caoutchouc avec ou sans sous-couche en mousse avec couche décorative] ;</w:t>
      </w:r>
    </w:p>
    <w:p w14:paraId="4588E0EC" w14:textId="77777777" w:rsidR="004B2808" w:rsidRDefault="00000000">
      <w:pPr>
        <w:pStyle w:val="Author-eListParagraph"/>
        <w:numPr>
          <w:ilvl w:val="0"/>
          <w:numId w:val="581"/>
        </w:numPr>
      </w:pPr>
      <w:r>
        <w:t>S'ils disposent d'un relief, à la [NBN EN 12199, Revêtements de sol résilients - Spécifications des revêtements de sol homogènes et hétérogènes en caoutchouc à relief].</w:t>
      </w:r>
    </w:p>
    <w:p w14:paraId="2F298FA2" w14:textId="77777777" w:rsidR="004B2808" w:rsidRDefault="00000000">
      <w:pPr>
        <w:pStyle w:val="heading"/>
      </w:pPr>
      <w:r>
        <w:t>Spécifications</w:t>
      </w:r>
    </w:p>
    <w:p w14:paraId="687801C8" w14:textId="77777777" w:rsidR="004B2808" w:rsidRDefault="00000000">
      <w:pPr>
        <w:pStyle w:val="Author-eListParagraph"/>
        <w:numPr>
          <w:ilvl w:val="0"/>
          <w:numId w:val="582"/>
        </w:numPr>
      </w:pPr>
      <w:r>
        <w:t xml:space="preserve">Epaisseur de la couche : ≥ </w:t>
      </w:r>
      <w:r>
        <w:rPr>
          <w:rStyle w:val="optioncarChar"/>
        </w:rPr>
        <w:t>1,8</w:t>
      </w:r>
      <w:r>
        <w:t xml:space="preserve"> (par défaut) </w:t>
      </w:r>
      <w:r>
        <w:rPr>
          <w:rStyle w:val="optioncarChar"/>
        </w:rPr>
        <w:t>/ 2,0 / 2,5 / 3,5 / ***</w:t>
      </w:r>
      <w:r>
        <w:t xml:space="preserve"> mm (selon la [NBN EN ISO 24346])</w:t>
      </w:r>
    </w:p>
    <w:p w14:paraId="5EE93DE1" w14:textId="77777777" w:rsidR="004B2808" w:rsidRDefault="00000000">
      <w:pPr>
        <w:pStyle w:val="Author-eListParagraph"/>
        <w:numPr>
          <w:ilvl w:val="0"/>
          <w:numId w:val="582"/>
        </w:numPr>
      </w:pPr>
      <w:r>
        <w:t xml:space="preserve">Dos : </w:t>
      </w:r>
      <w:r>
        <w:rPr>
          <w:rStyle w:val="optioncarChar"/>
        </w:rPr>
        <w:t>caoutchouc (</w:t>
      </w:r>
      <w:r>
        <w:t>par défaut) </w:t>
      </w:r>
      <w:r>
        <w:rPr>
          <w:rStyle w:val="optioncarChar"/>
        </w:rPr>
        <w:t>/ mousse / ***</w:t>
      </w:r>
    </w:p>
    <w:p w14:paraId="34F7D3FB" w14:textId="77777777" w:rsidR="004B2808" w:rsidRDefault="00000000">
      <w:pPr>
        <w:pStyle w:val="Author-eListParagraph"/>
        <w:numPr>
          <w:ilvl w:val="0"/>
          <w:numId w:val="582"/>
        </w:numPr>
      </w:pPr>
      <w:r>
        <w:t xml:space="preserve">Classe d'utilisation : selon la [NBN EN ISO 10874] : ≥ </w:t>
      </w:r>
      <w:r>
        <w:rPr>
          <w:rStyle w:val="optioncarChar"/>
        </w:rPr>
        <w:t>21 </w:t>
      </w:r>
      <w:r>
        <w:t>(par défaut)</w:t>
      </w:r>
      <w:r>
        <w:rPr>
          <w:rStyle w:val="optioncarChar"/>
        </w:rPr>
        <w:t xml:space="preserve"> / 22 / 23 / 31 / 32 / 34 </w:t>
      </w:r>
      <w:r>
        <w:t>(voir tableaux 1 et 2 de la [NIT 241]) </w:t>
      </w:r>
    </w:p>
    <w:p w14:paraId="228C0599" w14:textId="77777777" w:rsidR="004B2808" w:rsidRDefault="00000000">
      <w:pPr>
        <w:pStyle w:val="Author-eListParagraph"/>
        <w:numPr>
          <w:ilvl w:val="0"/>
          <w:numId w:val="582"/>
        </w:numPr>
      </w:pPr>
      <w:r>
        <w:t>Résistance aux chaises roulantes : convient aux chaises roulantes du type W (selon la [NBN EN 12529])</w:t>
      </w:r>
    </w:p>
    <w:p w14:paraId="70BF8802" w14:textId="77777777" w:rsidR="004B2808" w:rsidRDefault="00000000">
      <w:pPr>
        <w:pStyle w:val="Author-eListParagraph"/>
        <w:numPr>
          <w:ilvl w:val="0"/>
          <w:numId w:val="582"/>
        </w:numPr>
      </w:pPr>
      <w:r>
        <w:t xml:space="preserve">Dureté : ≥ </w:t>
      </w:r>
      <w:r>
        <w:rPr>
          <w:rStyle w:val="optioncarChar"/>
        </w:rPr>
        <w:t>75</w:t>
      </w:r>
      <w:r>
        <w:t xml:space="preserve"> (par défaut)</w:t>
      </w:r>
      <w:r>
        <w:rPr>
          <w:rStyle w:val="optioncarChar"/>
        </w:rPr>
        <w:t xml:space="preserve"> / *** </w:t>
      </w:r>
      <w:r>
        <w:t>Shore A (selon l' [ISO 7619 série] )</w:t>
      </w:r>
    </w:p>
    <w:p w14:paraId="7ED1B53A" w14:textId="77777777" w:rsidR="004B2808" w:rsidRDefault="00000000">
      <w:pPr>
        <w:pStyle w:val="Author-eListParagraph"/>
        <w:numPr>
          <w:ilvl w:val="0"/>
          <w:numId w:val="582"/>
        </w:numPr>
      </w:pPr>
      <w:r>
        <w:t>Empreintes : dépend du produit (cf. [NBN EN 1816],[NBN EN 1817] , [NBN EN 14521], [NBN EN 12199], valeur moyenne </w:t>
      </w:r>
      <w:r>
        <w:rPr>
          <w:rStyle w:val="optioncarChar"/>
        </w:rPr>
        <w:t>0.15 </w:t>
      </w:r>
      <w:r>
        <w:t>(par défaut)</w:t>
      </w:r>
      <w:r>
        <w:rPr>
          <w:rStyle w:val="optioncarChar"/>
        </w:rPr>
        <w:t xml:space="preserve"> / 0.20 / 0.25 / *** </w:t>
      </w:r>
      <w:r>
        <w:t>mm (selon la [NBN EN ISO 24343-1])</w:t>
      </w:r>
    </w:p>
    <w:p w14:paraId="4E225FB1" w14:textId="77777777" w:rsidR="004B2808" w:rsidRDefault="00000000">
      <w:pPr>
        <w:pStyle w:val="Author-eListParagraph"/>
        <w:numPr>
          <w:ilvl w:val="0"/>
          <w:numId w:val="582"/>
        </w:numPr>
      </w:pPr>
      <w:r>
        <w:t xml:space="preserve">Chargement électrostatique lors du foulage : ≤ </w:t>
      </w:r>
      <w:r>
        <w:rPr>
          <w:rStyle w:val="optioncarChar"/>
        </w:rPr>
        <w:t>2 </w:t>
      </w:r>
      <w:r>
        <w:t xml:space="preserve">(par défaut) </w:t>
      </w:r>
      <w:r>
        <w:rPr>
          <w:rStyle w:val="optioncarChar"/>
        </w:rPr>
        <w:t xml:space="preserve">/ </w:t>
      </w:r>
      <w:r>
        <w:rPr>
          <w:color w:val="0000FF"/>
        </w:rPr>
        <w:t>***</w:t>
      </w:r>
      <w:r>
        <w:t xml:space="preserve"> Kv (selon la [NBN EN 1815])</w:t>
      </w:r>
    </w:p>
    <w:p w14:paraId="17BDD941" w14:textId="77777777" w:rsidR="004B2808" w:rsidRDefault="00000000">
      <w:pPr>
        <w:pStyle w:val="Author-eListParagraph"/>
        <w:numPr>
          <w:ilvl w:val="0"/>
          <w:numId w:val="582"/>
        </w:numPr>
      </w:pPr>
      <w:r>
        <w:t>Largeur des lés : ≥</w:t>
      </w:r>
      <w:r>
        <w:rPr>
          <w:rStyle w:val="optioncarChar"/>
        </w:rPr>
        <w:t> 1 </w:t>
      </w:r>
      <w:r>
        <w:t>(par défaut)</w:t>
      </w:r>
      <w:r>
        <w:rPr>
          <w:rStyle w:val="optioncarChar"/>
        </w:rPr>
        <w:t xml:space="preserve"> / 1,2 / *** m </w:t>
      </w:r>
      <w:r>
        <w:rPr>
          <w:i/>
        </w:rPr>
        <w:t>(peut aussi être posé en dalles, dimensions environ</w:t>
      </w:r>
      <w:r>
        <w:rPr>
          <w:rStyle w:val="optioncarChar"/>
        </w:rPr>
        <w:t xml:space="preserve"> 600x600 </w:t>
      </w:r>
      <w:r>
        <w:t>(par défaut)</w:t>
      </w:r>
      <w:r>
        <w:rPr>
          <w:rStyle w:val="optioncarChar"/>
        </w:rPr>
        <w:t xml:space="preserve"> / ***</w:t>
      </w:r>
      <w:r>
        <w:rPr>
          <w:i/>
        </w:rPr>
        <w:t xml:space="preserve"> mm)</w:t>
      </w:r>
    </w:p>
    <w:p w14:paraId="69443ED2" w14:textId="77777777" w:rsidR="004B2808" w:rsidRDefault="00000000">
      <w:pPr>
        <w:pStyle w:val="Author-eListParagraph"/>
        <w:numPr>
          <w:ilvl w:val="0"/>
          <w:numId w:val="582"/>
        </w:numPr>
      </w:pPr>
      <w:r>
        <w:lastRenderedPageBreak/>
        <w:t xml:space="preserve">Réaction au feu : classe </w:t>
      </w:r>
      <w:r>
        <w:rPr>
          <w:color w:val="FF0000"/>
        </w:rPr>
        <w:t>A1</w:t>
      </w:r>
      <w:r>
        <w:rPr>
          <w:color w:val="FF0000"/>
          <w:vertAlign w:val="subscript"/>
        </w:rPr>
        <w:t>FL </w:t>
      </w:r>
      <w:r>
        <w:rPr>
          <w:color w:val="FF0000"/>
        </w:rPr>
        <w:t>/ A2</w:t>
      </w:r>
      <w:r>
        <w:rPr>
          <w:color w:val="FF0000"/>
          <w:vertAlign w:val="subscript"/>
        </w:rPr>
        <w:t>FL </w:t>
      </w:r>
      <w:r>
        <w:rPr>
          <w:color w:val="FF0000"/>
        </w:rPr>
        <w:t>/ B</w:t>
      </w:r>
      <w:r>
        <w:rPr>
          <w:color w:val="FF0000"/>
          <w:vertAlign w:val="subscript"/>
        </w:rPr>
        <w:t>FL </w:t>
      </w:r>
      <w:r>
        <w:rPr>
          <w:color w:val="FF0000"/>
        </w:rPr>
        <w:t>/ C</w:t>
      </w:r>
      <w:r>
        <w:rPr>
          <w:color w:val="FF0000"/>
          <w:vertAlign w:val="subscript"/>
        </w:rPr>
        <w:t>FL </w:t>
      </w:r>
      <w:r>
        <w:rPr>
          <w:color w:val="FF0000"/>
        </w:rPr>
        <w:t>/ D</w:t>
      </w:r>
      <w:r>
        <w:rPr>
          <w:color w:val="FF0000"/>
          <w:vertAlign w:val="subscript"/>
        </w:rPr>
        <w:t>FL </w:t>
      </w:r>
      <w:r>
        <w:rPr>
          <w:color w:val="FF0000"/>
        </w:rPr>
        <w:t>/ E</w:t>
      </w:r>
      <w:r>
        <w:rPr>
          <w:color w:val="FF0000"/>
          <w:vertAlign w:val="subscript"/>
        </w:rPr>
        <w:t>FL</w:t>
      </w:r>
      <w:r>
        <w:t xml:space="preserve"> selon la [NBN EN 13501-1] .   (§4.1.2 de la [NIT 241]) </w:t>
      </w:r>
    </w:p>
    <w:p w14:paraId="7A2ADE92" w14:textId="77777777" w:rsidR="004B2808" w:rsidRDefault="00000000">
      <w:pPr>
        <w:pStyle w:val="Author-eListParagraph"/>
        <w:numPr>
          <w:ilvl w:val="0"/>
          <w:numId w:val="582"/>
        </w:numPr>
      </w:pPr>
      <w:r>
        <w:t>Production de fumée :</w:t>
      </w:r>
      <w:r>
        <w:rPr>
          <w:rStyle w:val="optioncarChar"/>
        </w:rPr>
        <w:t xml:space="preserve"> s1 / s2</w:t>
      </w:r>
    </w:p>
    <w:p w14:paraId="59A97089" w14:textId="77777777" w:rsidR="004B2808" w:rsidRDefault="00000000">
      <w:pPr>
        <w:pStyle w:val="Author-eListParagraph"/>
        <w:numPr>
          <w:ilvl w:val="0"/>
          <w:numId w:val="583"/>
        </w:numPr>
      </w:pPr>
      <w:r>
        <w:t xml:space="preserve">Réduction des bruits d'impact : </w:t>
      </w:r>
      <w:r>
        <w:rPr>
          <w:rStyle w:val="optioncarChar"/>
        </w:rPr>
        <w:t>5</w:t>
      </w:r>
      <w:r>
        <w:t xml:space="preserve"> (par défaut) </w:t>
      </w:r>
      <w:r>
        <w:rPr>
          <w:rStyle w:val="optioncarChar"/>
        </w:rPr>
        <w:t>/ 6 / 8 / ***</w:t>
      </w:r>
      <w:r>
        <w:t xml:space="preserve"> dB (selon l'[NBN EN ISO 10140-1] ) : </w:t>
      </w:r>
      <w:r>
        <w:rPr>
          <w:rStyle w:val="optioncarChar"/>
        </w:rPr>
        <w:t>pas d'application</w:t>
      </w:r>
      <w:r>
        <w:t xml:space="preserve"> (par défaut) </w:t>
      </w:r>
      <w:r>
        <w:rPr>
          <w:rStyle w:val="optioncarChar"/>
        </w:rPr>
        <w:t>/ d'application</w:t>
      </w:r>
      <w:r>
        <w:t>.</w:t>
      </w:r>
    </w:p>
    <w:p w14:paraId="544F2E61" w14:textId="77777777" w:rsidR="004B2808" w:rsidRDefault="00000000">
      <w:pPr>
        <w:pStyle w:val="Author-eListParagraph"/>
        <w:numPr>
          <w:ilvl w:val="0"/>
          <w:numId w:val="583"/>
        </w:numPr>
      </w:pPr>
      <w:r>
        <w:t xml:space="preserve">Dessins particuliers : </w:t>
      </w:r>
      <w:r>
        <w:rPr>
          <w:rStyle w:val="optioncarChar"/>
        </w:rPr>
        <w:t>motif multicolore </w:t>
      </w:r>
      <w:r>
        <w:t xml:space="preserve">(par défaut) </w:t>
      </w:r>
      <w:r>
        <w:rPr>
          <w:rStyle w:val="optioncarChar"/>
        </w:rPr>
        <w:t>/ dessin intégré / logo intégré / *** : pas d'application (par défaut) / d'application.</w:t>
      </w:r>
    </w:p>
    <w:p w14:paraId="7CB32DAE" w14:textId="77777777" w:rsidR="004B2808" w:rsidRDefault="00000000">
      <w:pPr>
        <w:pStyle w:val="Author-eListParagraph"/>
        <w:numPr>
          <w:ilvl w:val="0"/>
          <w:numId w:val="583"/>
        </w:numPr>
      </w:pPr>
      <w:r>
        <w:t xml:space="preserve">Résistance à la cigarette écrasée ou en combustion : classe : </w:t>
      </w:r>
      <w:r>
        <w:rPr>
          <w:rStyle w:val="optioncarChar"/>
        </w:rPr>
        <w:t>1 / 2 / 3 / 4</w:t>
      </w:r>
      <w:r>
        <w:t xml:space="preserve"> suivant [NBN EN 1399] et [NIT 241] : </w:t>
      </w:r>
      <w:r>
        <w:rPr>
          <w:rStyle w:val="optioncarChar"/>
        </w:rPr>
        <w:t>pas d'application</w:t>
      </w:r>
      <w:r>
        <w:t> (par défaut) </w:t>
      </w:r>
      <w:r>
        <w:rPr>
          <w:rStyle w:val="optioncarChar"/>
        </w:rPr>
        <w:t>/ d'application</w:t>
      </w:r>
      <w:r>
        <w:t>. </w:t>
      </w:r>
    </w:p>
    <w:p w14:paraId="00EC6261" w14:textId="77777777" w:rsidR="004B2808" w:rsidRDefault="00000000">
      <w:pPr>
        <w:pStyle w:val="Author-eListParagraph"/>
        <w:numPr>
          <w:ilvl w:val="0"/>
          <w:numId w:val="583"/>
        </w:numPr>
      </w:pPr>
      <w:r>
        <w:t>Pour plus d'informations sur le choix d'un revêtement de sol résilient, voir [NIT 241] : </w:t>
      </w:r>
      <w:r>
        <w:rPr>
          <w:rStyle w:val="optioncarChar"/>
        </w:rPr>
        <w:t>pas d'application</w:t>
      </w:r>
      <w:r>
        <w:t> (par défaut) </w:t>
      </w:r>
      <w:r>
        <w:rPr>
          <w:rStyle w:val="optioncarChar"/>
        </w:rPr>
        <w:t>/ d'application</w:t>
      </w:r>
      <w:r>
        <w:t>.</w:t>
      </w:r>
    </w:p>
    <w:p w14:paraId="0786C197" w14:textId="77777777" w:rsidR="004B2808" w:rsidRDefault="004B2808"/>
    <w:p w14:paraId="57BD609F" w14:textId="77777777" w:rsidR="004B2808" w:rsidRDefault="00000000">
      <w:pPr>
        <w:pStyle w:val="pheading"/>
      </w:pPr>
      <w:r>
        <w:t>- Finitions</w:t>
      </w:r>
    </w:p>
    <w:p w14:paraId="1730A3E5" w14:textId="77777777" w:rsidR="004B2808" w:rsidRDefault="00000000">
      <w:r>
        <w:t xml:space="preserve">Structure de la surface : </w:t>
      </w:r>
      <w:r>
        <w:rPr>
          <w:rStyle w:val="optioncarChar"/>
        </w:rPr>
        <w:t>lisse </w:t>
      </w:r>
      <w:r>
        <w:t>(par défaut)</w:t>
      </w:r>
      <w:r>
        <w:rPr>
          <w:rStyle w:val="optioncarChar"/>
        </w:rPr>
        <w:t xml:space="preserve"> / pastilles coniques (</w:t>
      </w:r>
      <w:r>
        <w:t>≥</w:t>
      </w:r>
      <w:r>
        <w:rPr>
          <w:rStyle w:val="optioncarChar"/>
        </w:rPr>
        <w:t xml:space="preserve"> 0,5 </w:t>
      </w:r>
      <w:r>
        <w:t>(par défaut)</w:t>
      </w:r>
      <w:r>
        <w:rPr>
          <w:rStyle w:val="optioncarChar"/>
        </w:rPr>
        <w:t xml:space="preserve"> / *** mm) / martelée / ***</w:t>
      </w:r>
    </w:p>
    <w:p w14:paraId="400C482E" w14:textId="77777777" w:rsidR="004B2808" w:rsidRDefault="00000000">
      <w:r>
        <w:t xml:space="preserve">Motif </w:t>
      </w:r>
      <w:r>
        <w:rPr>
          <w:rStyle w:val="optioncarChar"/>
        </w:rPr>
        <w:t>: uni </w:t>
      </w:r>
      <w:r>
        <w:t>(par défaut)</w:t>
      </w:r>
      <w:r>
        <w:rPr>
          <w:rStyle w:val="optioncarChar"/>
        </w:rPr>
        <w:t xml:space="preserve"> / tacheté /</w:t>
      </w:r>
      <w:r>
        <w:t> </w:t>
      </w:r>
      <w:r>
        <w:rPr>
          <w:rStyle w:val="optioncarChar"/>
        </w:rPr>
        <w:t>à choisir dans la gamme du fabricant (</w:t>
      </w:r>
      <w:r>
        <w:t>≥</w:t>
      </w:r>
      <w:r>
        <w:rPr>
          <w:rStyle w:val="optioncarChar"/>
        </w:rPr>
        <w:t xml:space="preserve"> 3 </w:t>
      </w:r>
      <w:r>
        <w:t>(par défaut)</w:t>
      </w:r>
      <w:r>
        <w:rPr>
          <w:rStyle w:val="optioncarChar"/>
        </w:rPr>
        <w:t xml:space="preserve"> / *** motifs) / ***</w:t>
      </w:r>
    </w:p>
    <w:p w14:paraId="3239EB32" w14:textId="77777777" w:rsidR="004B2808" w:rsidRDefault="00000000">
      <w:r>
        <w:t xml:space="preserve">Coloris : </w:t>
      </w:r>
      <w:r>
        <w:rPr>
          <w:rStyle w:val="optioncarChar"/>
        </w:rPr>
        <w:t>noir </w:t>
      </w:r>
      <w:r>
        <w:t xml:space="preserve">(par défaut) </w:t>
      </w:r>
      <w:r>
        <w:rPr>
          <w:rStyle w:val="optioncarChar"/>
        </w:rPr>
        <w:t>/ à choisir dans la gamme standard du fabricant (</w:t>
      </w:r>
      <w:r>
        <w:t>≥</w:t>
      </w:r>
      <w:r>
        <w:rPr>
          <w:rStyle w:val="optioncarChar"/>
        </w:rPr>
        <w:t xml:space="preserve"> 5 </w:t>
      </w:r>
      <w:r>
        <w:t>(par défaut)</w:t>
      </w:r>
      <w:r>
        <w:rPr>
          <w:rStyle w:val="optioncarChar"/>
        </w:rPr>
        <w:t xml:space="preserve"> / *** nuances de couleur) / ***</w:t>
      </w:r>
    </w:p>
    <w:p w14:paraId="7300B8E0" w14:textId="77777777" w:rsidR="004B2808" w:rsidRDefault="00000000">
      <w:pPr>
        <w:pStyle w:val="pheading"/>
      </w:pPr>
      <w:r>
        <w:t>EXÉCUTION / MISE EN ŒUVRE</w:t>
      </w:r>
    </w:p>
    <w:p w14:paraId="7DC14FCC" w14:textId="77777777" w:rsidR="004B2808" w:rsidRDefault="00000000">
      <w:pPr>
        <w:pStyle w:val="pheading"/>
      </w:pPr>
      <w:r>
        <w:t>- Prescriptions générales</w:t>
      </w:r>
    </w:p>
    <w:p w14:paraId="7C1F50FF" w14:textId="77777777" w:rsidR="004B2808" w:rsidRDefault="00000000">
      <w:r>
        <w:t>Les revêtements sont mis en œuvre selon les directives du chapitre 7 de la [NIT 241] complétées par les recommandations du fabricant. La mise en œuvre comprend entre autres les opérations suivantes :</w:t>
      </w:r>
    </w:p>
    <w:p w14:paraId="58734BA2" w14:textId="77777777" w:rsidR="004B2808" w:rsidRDefault="00000000">
      <w:pPr>
        <w:pStyle w:val="Author-eListParagraph"/>
        <w:numPr>
          <w:ilvl w:val="0"/>
          <w:numId w:val="584"/>
        </w:numPr>
      </w:pPr>
      <w:r>
        <w:t>Les lés et les dalles sont préalablement acclimatés à la température ambiante (cf. 7.4.3 de la [NIT 241].</w:t>
      </w:r>
    </w:p>
    <w:p w14:paraId="5A296F93" w14:textId="77777777" w:rsidR="004B2808" w:rsidRDefault="00000000">
      <w:pPr>
        <w:pStyle w:val="Author-eListParagraph"/>
        <w:numPr>
          <w:ilvl w:val="0"/>
          <w:numId w:val="584"/>
        </w:numPr>
      </w:pPr>
      <w:r>
        <w:t>Le débitage des lés se fait conformément au § 7.6.1.2. de la [NIT 241].</w:t>
      </w:r>
    </w:p>
    <w:p w14:paraId="02AA3F8F" w14:textId="77777777" w:rsidR="004B2808" w:rsidRDefault="00000000">
      <w:pPr>
        <w:pStyle w:val="Author-eListParagraph"/>
        <w:numPr>
          <w:ilvl w:val="0"/>
          <w:numId w:val="584"/>
        </w:numPr>
      </w:pPr>
      <w:r>
        <w:t> Tous les lés sont posés dans le même sens, de préférence parallèlement à la lumière, selon l'indication des flèches au dos et/ou adaptés et/ou orientés de manière à créer le minimum de joints. On se réfère au §7.6.1.1. de la [NIT 241] dans le cas de la pose de lés. Pour les dalles, on se réfère au §7.6.2. de la [NIT 241] pour les opérations préalables à leur pose.</w:t>
      </w:r>
    </w:p>
    <w:p w14:paraId="58550CAA" w14:textId="77777777" w:rsidR="004B2808" w:rsidRDefault="00000000">
      <w:pPr>
        <w:pStyle w:val="Author-eListParagraph"/>
        <w:numPr>
          <w:ilvl w:val="0"/>
          <w:numId w:val="584"/>
        </w:numPr>
      </w:pPr>
      <w:r>
        <w:t>La pose collée des lés et des dalles réalisée conformément au § 7.7.3. (y compris le traitement des joints) de la [NIT 241]. </w:t>
      </w:r>
    </w:p>
    <w:p w14:paraId="51D3CD0C" w14:textId="77777777" w:rsidR="004B2808" w:rsidRDefault="00000000">
      <w:r>
        <w:t>Après le séchage de la colle, les revêtements de sol sont nettoyés et débarrassés de toute impureté et des taches, y compris l'enlèvement du mastic superflu (§8.4.1. de la [NIT 241]) </w:t>
      </w:r>
    </w:p>
    <w:p w14:paraId="456E166F" w14:textId="77777777" w:rsidR="004B2808" w:rsidRDefault="00000000">
      <w:r>
        <w:t>L'enlèvement éventuel du revêtement de sol existant</w:t>
      </w:r>
    </w:p>
    <w:p w14:paraId="2B5F6855" w14:textId="77777777" w:rsidR="004B2808" w:rsidRDefault="00000000">
      <w:pPr>
        <w:pStyle w:val="Author-eListParagraph"/>
        <w:numPr>
          <w:ilvl w:val="0"/>
          <w:numId w:val="585"/>
        </w:numPr>
      </w:pPr>
      <w:r>
        <w:t>La mise en place éventuelle d'un coating pare-vapeur</w:t>
      </w:r>
    </w:p>
    <w:p w14:paraId="06324DB7" w14:textId="77777777" w:rsidR="004B2808" w:rsidRDefault="00000000">
      <w:pPr>
        <w:pStyle w:val="Author-eListParagraph"/>
        <w:numPr>
          <w:ilvl w:val="0"/>
          <w:numId w:val="585"/>
        </w:numPr>
      </w:pPr>
      <w:r>
        <w:t>Le traitement des fissures   (§7.2.4 de la [NIT 241])</w:t>
      </w:r>
    </w:p>
    <w:p w14:paraId="52DC07DF" w14:textId="77777777" w:rsidR="004B2808" w:rsidRDefault="00000000">
      <w:pPr>
        <w:pStyle w:val="Author-eListParagraph"/>
        <w:numPr>
          <w:ilvl w:val="0"/>
          <w:numId w:val="585"/>
        </w:numPr>
      </w:pPr>
      <w:r>
        <w:t>Le traitement des rives avec mise en œuvre de plinthes (§ 7.7.4 de la [NIT 241])</w:t>
      </w:r>
    </w:p>
    <w:p w14:paraId="5E26DE29" w14:textId="77777777" w:rsidR="004B2808" w:rsidRDefault="00000000">
      <w:pPr>
        <w:pStyle w:val="Author-eListParagraph"/>
        <w:numPr>
          <w:ilvl w:val="0"/>
          <w:numId w:val="585"/>
        </w:numPr>
      </w:pPr>
      <w:r>
        <w:t xml:space="preserve">Dessin de pose prescrit : </w:t>
      </w:r>
      <w:r>
        <w:rPr>
          <w:rStyle w:val="optioncarChar"/>
        </w:rPr>
        <w:t>***.</w:t>
      </w:r>
    </w:p>
    <w:p w14:paraId="1425B72B" w14:textId="77777777" w:rsidR="004B2808" w:rsidRDefault="00000000">
      <w:pPr>
        <w:pStyle w:val="Author-eListParagraph"/>
        <w:numPr>
          <w:ilvl w:val="0"/>
          <w:numId w:val="585"/>
        </w:numPr>
      </w:pPr>
      <w:r>
        <w:t>On met un manuel d'entretien des revêtements de sol en caoutchouc à disposition dans chaque unité de logement.  (cf. § 8.4. de la [NIT 241])</w:t>
      </w:r>
    </w:p>
    <w:p w14:paraId="05F0B229" w14:textId="77777777" w:rsidR="004B2808" w:rsidRDefault="00000000">
      <w:pPr>
        <w:pStyle w:val="pheading"/>
      </w:pPr>
      <w:r>
        <w:t>DOCUMENTS DE RÉFÉRENCE COMPLÉMENTAIRES</w:t>
      </w:r>
    </w:p>
    <w:p w14:paraId="7DEF7195" w14:textId="77777777" w:rsidR="004B2808" w:rsidRDefault="00000000">
      <w:pPr>
        <w:pStyle w:val="pheading"/>
      </w:pPr>
      <w:r>
        <w:t>- Matériau</w:t>
      </w:r>
    </w:p>
    <w:p w14:paraId="65E56527" w14:textId="77777777" w:rsidR="004B2808" w:rsidRDefault="00000000">
      <w:r>
        <w:t>[NBN EN 1817] - Revêtements de sol résilients - Spécifications des revêtements de sol homogènes et hétérogènes en caoutchouc lisse (2010).</w:t>
      </w:r>
    </w:p>
    <w:p w14:paraId="2C66651B" w14:textId="77777777" w:rsidR="004B2808" w:rsidRDefault="00000000">
      <w:r>
        <w:lastRenderedPageBreak/>
        <w:t>[NBN EN 1816] , Revêtements de sol résilients - Spécifications des revêtements de sol homogènes et hétérogènes en caoutchouc lisse avec semelle en mousse (2010)</w:t>
      </w:r>
    </w:p>
    <w:p w14:paraId="6F4191C6" w14:textId="77777777" w:rsidR="004B2808" w:rsidRDefault="00000000">
      <w:r>
        <w:t>[NBN EN 14521] , Revêtements de sol résilients - Spécification des revêtements de sols lisses en caoutchouc avec ou sans sous-couche en mousse avec couche décorative (2004)</w:t>
      </w:r>
    </w:p>
    <w:p w14:paraId="41825862" w14:textId="77777777" w:rsidR="004B2808" w:rsidRDefault="00000000">
      <w:r>
        <w:t>[NBN EN 12199]- Revêtements de sol résilients - Spécifications des revêtements de sol homogènes et hétérogènes en caoutchouc à relief (1998)</w:t>
      </w:r>
    </w:p>
    <w:p w14:paraId="40858064" w14:textId="77777777" w:rsidR="004B2808" w:rsidRDefault="00000000">
      <w:pPr>
        <w:pStyle w:val="pheading"/>
      </w:pPr>
      <w:r>
        <w:t>- Exécution</w:t>
      </w:r>
    </w:p>
    <w:p w14:paraId="5C9B5F88" w14:textId="77777777" w:rsidR="004B2808" w:rsidRDefault="00000000">
      <w:r>
        <w:t>[NIT 241, Mise en oeuvre des revêtements de sol résilients (remplace partiellement la NIT 165).]</w:t>
      </w:r>
    </w:p>
    <w:p w14:paraId="4FACD120" w14:textId="77777777" w:rsidR="004B2808" w:rsidRDefault="00000000">
      <w:pPr>
        <w:pStyle w:val="pheading"/>
      </w:pPr>
      <w:r>
        <w:t>MESURAGE</w:t>
      </w:r>
    </w:p>
    <w:p w14:paraId="33DFA7F8" w14:textId="77777777" w:rsidR="004B2808" w:rsidRDefault="00000000">
      <w:pPr>
        <w:pStyle w:val="pheading"/>
      </w:pPr>
      <w:r>
        <w:t>- unité de mesure:</w:t>
      </w:r>
    </w:p>
    <w:p w14:paraId="263BABCA" w14:textId="77777777" w:rsidR="004B2808" w:rsidRDefault="00000000">
      <w:r>
        <w:t>m²</w:t>
      </w:r>
    </w:p>
    <w:p w14:paraId="5A3A1DED" w14:textId="77777777" w:rsidR="004B2808" w:rsidRDefault="00000000">
      <w:pPr>
        <w:pStyle w:val="pheading"/>
      </w:pPr>
      <w:r>
        <w:t>- code de mesurage:</w:t>
      </w:r>
    </w:p>
    <w:p w14:paraId="029AFA1F" w14:textId="77777777" w:rsidR="004B2808" w:rsidRDefault="00000000">
      <w:r>
        <w:t>surface nette, comptée selon la plus grande longueur et largeur du local, y compris la profondeur des niches.</w:t>
      </w:r>
    </w:p>
    <w:p w14:paraId="0E7A35C1" w14:textId="77777777" w:rsidR="004B2808" w:rsidRDefault="00000000">
      <w:pPr>
        <w:pStyle w:val="pheading"/>
      </w:pPr>
      <w:r>
        <w:t>- nature du marché:</w:t>
      </w:r>
    </w:p>
    <w:p w14:paraId="016CF354" w14:textId="77777777" w:rsidR="004B2808" w:rsidRDefault="00000000">
      <w:r>
        <w:t>QF</w:t>
      </w:r>
    </w:p>
    <w:p w14:paraId="4BBF8933" w14:textId="77777777" w:rsidR="004B2808" w:rsidRDefault="00000000">
      <w:pPr>
        <w:pStyle w:val="Author-eSectionHeading4Numberless"/>
      </w:pPr>
      <w:bookmarkStart w:id="686" w:name="_Toc220490838"/>
      <w:r>
        <w:t>53.56 Revêtements en bois massif CCTB 01.10</w:t>
      </w:r>
      <w:bookmarkEnd w:id="686"/>
    </w:p>
    <w:p w14:paraId="0DFF3F66" w14:textId="77777777" w:rsidR="004B2808" w:rsidRDefault="00000000">
      <w:pPr>
        <w:pStyle w:val="pheading"/>
      </w:pPr>
      <w:r>
        <w:t>DESCRIPTION</w:t>
      </w:r>
    </w:p>
    <w:p w14:paraId="142FF124" w14:textId="77777777" w:rsidR="004B2808" w:rsidRDefault="00000000">
      <w:pPr>
        <w:pStyle w:val="pheading"/>
      </w:pPr>
      <w:r>
        <w:t>- Définition / Comprend</w:t>
      </w:r>
    </w:p>
    <w:p w14:paraId="0E42B7B1" w14:textId="77777777" w:rsidR="004B2808" w:rsidRDefault="00000000">
      <w:r>
        <w:t>Il s'agit de la fourniture et la pose de revêtements de sol en bois, composés de panneaux, planches et/ou parquets. Conformément aux dispositions générales et/ou spécifiques du cahier spécial des charges, les prix unitaires compris dans ces postes doivent toujours comprendre, soit selon la ventilation dans le métré récapitulatif, soit dans leur totalité :</w:t>
      </w:r>
    </w:p>
    <w:p w14:paraId="308DAAF6" w14:textId="77777777" w:rsidR="004B2808" w:rsidRDefault="00000000">
      <w:pPr>
        <w:pStyle w:val="Author-eListParagraph"/>
        <w:numPr>
          <w:ilvl w:val="0"/>
          <w:numId w:val="586"/>
        </w:numPr>
      </w:pPr>
      <w:r>
        <w:t>la préparation de l'aire de pose;</w:t>
      </w:r>
    </w:p>
    <w:p w14:paraId="45E478E8" w14:textId="77777777" w:rsidR="004B2808" w:rsidRDefault="00000000">
      <w:pPr>
        <w:pStyle w:val="Author-eListParagraph"/>
        <w:numPr>
          <w:ilvl w:val="0"/>
          <w:numId w:val="586"/>
        </w:numPr>
      </w:pPr>
      <w:r>
        <w:t>la fourniture, la préparation et la mise en œuvre des plaques, planches et/ou éléments de parquet, y compris tous les moyens de fixation et toutes les sous-couches prescrites ou nécessaires, pièces spéciales, ancrages, plaques de support, cales, …</w:t>
      </w:r>
    </w:p>
    <w:p w14:paraId="68FF3871" w14:textId="77777777" w:rsidR="004B2808" w:rsidRDefault="00000000">
      <w:pPr>
        <w:pStyle w:val="Author-eListParagraph"/>
        <w:numPr>
          <w:ilvl w:val="0"/>
          <w:numId w:val="586"/>
        </w:numPr>
      </w:pPr>
      <w:r>
        <w:t>la réalisation des pénétrations de sol habituelles et/ou des réservations;</w:t>
      </w:r>
    </w:p>
    <w:p w14:paraId="222530ED" w14:textId="77777777" w:rsidR="004B2808" w:rsidRDefault="00000000">
      <w:pPr>
        <w:pStyle w:val="Author-eListParagraph"/>
        <w:numPr>
          <w:ilvl w:val="0"/>
          <w:numId w:val="586"/>
        </w:numPr>
      </w:pPr>
      <w:r>
        <w:t>les finitions prescrites et les éventuelles couches de protection;</w:t>
      </w:r>
    </w:p>
    <w:p w14:paraId="07D2C0D4" w14:textId="77777777" w:rsidR="004B2808" w:rsidRDefault="00000000">
      <w:pPr>
        <w:pStyle w:val="Author-eListParagraph"/>
        <w:numPr>
          <w:ilvl w:val="0"/>
          <w:numId w:val="586"/>
        </w:numPr>
      </w:pPr>
      <w:r>
        <w:t>la protection des revêtements de sol en bois jusqu'à la réception provisoire.</w:t>
      </w:r>
    </w:p>
    <w:p w14:paraId="3B3C387E" w14:textId="77777777" w:rsidR="004B2808" w:rsidRDefault="00000000">
      <w:pPr>
        <w:pStyle w:val="pheading"/>
      </w:pPr>
      <w:r>
        <w:t>MATÉRIAUX</w:t>
      </w:r>
    </w:p>
    <w:p w14:paraId="10500B73" w14:textId="77777777" w:rsidR="004B2808" w:rsidRDefault="00000000">
      <w:r>
        <w:t xml:space="preserve">Les revêtements </w:t>
      </w:r>
      <w:r>
        <w:rPr>
          <w:rStyle w:val="optioncarChar"/>
        </w:rPr>
        <w:t>en panneaux </w:t>
      </w:r>
      <w:r>
        <w:t>(par défaut)</w:t>
      </w:r>
      <w:r>
        <w:rPr>
          <w:rStyle w:val="optioncarChar"/>
        </w:rPr>
        <w:t xml:space="preserve"> / en planches / en parquet </w:t>
      </w:r>
      <w:r>
        <w:t>conviennent respectivement pour une sous-couche provisoire pour le revêtement de sol définitif et/ou sont destinés comme revêtement définitif. Les revêtements sont conformes aux définitions faites dans la [NIT 269].</w:t>
      </w:r>
      <w:r>
        <w:br/>
        <w:t>Le degré d'humidité du bois est inférieur à 15 %. Les dimensions du bois doivent correspondre à un degré d'humidité de 12%.</w:t>
      </w:r>
      <w:r>
        <w:br/>
        <w:t>En matière de sécurité incendie, les revêtements de sol doivent satisfaire à certaines exigences en fonction de la destination du local dont ils font partie.</w:t>
      </w:r>
      <w:r>
        <w:br/>
        <w:t>Support aux prescripteurs : [SWL GSI/T1/B] de la prévention passive référencé dans le tome 0 T0 Entreprise / Chantier de ce cahier des charges</w:t>
      </w:r>
    </w:p>
    <w:p w14:paraId="69D3EDCD" w14:textId="77777777" w:rsidR="004B2808" w:rsidRDefault="00000000">
      <w:pPr>
        <w:ind w:left="750"/>
      </w:pPr>
      <w:r>
        <w:t> </w:t>
      </w:r>
    </w:p>
    <w:p w14:paraId="0256C611" w14:textId="77777777" w:rsidR="004B2808" w:rsidRDefault="00000000">
      <w:pPr>
        <w:pStyle w:val="pheading"/>
      </w:pPr>
      <w:r>
        <w:t>EXÉCUTION / MISE EN ŒUVRE</w:t>
      </w:r>
    </w:p>
    <w:p w14:paraId="55F91F90" w14:textId="77777777" w:rsidR="004B2808" w:rsidRDefault="00000000">
      <w:r>
        <w:t>L'exécution des revêtements en plaques et/ou en planches doit satisfaire aux prescriptions des [STS 23], [NIT 166], [NBN EN 1195], [NIT 269] et [NIT 272].</w:t>
      </w:r>
    </w:p>
    <w:p w14:paraId="513CC9A8" w14:textId="77777777" w:rsidR="004B2808" w:rsidRDefault="00000000">
      <w:pPr>
        <w:pStyle w:val="Author-eListParagraph"/>
        <w:numPr>
          <w:ilvl w:val="0"/>
          <w:numId w:val="587"/>
        </w:numPr>
      </w:pPr>
      <w:r>
        <w:lastRenderedPageBreak/>
        <w:t>Les travaux sont exécutés dans un bâtiment sec et à l'abri du vent. L'aire de pose est sèche et débarrassée de toutes impuretés.</w:t>
      </w:r>
    </w:p>
    <w:p w14:paraId="2411038E" w14:textId="77777777" w:rsidR="004B2808" w:rsidRDefault="00000000">
      <w:pPr>
        <w:pStyle w:val="Author-eListParagraph"/>
        <w:numPr>
          <w:ilvl w:val="0"/>
          <w:numId w:val="587"/>
        </w:numPr>
      </w:pPr>
      <w:r>
        <w:t>Les éléments de revêtement de sol en bois sont posés parfaitement plans et de niveau, la face supérieure se situant au niveau souhaité.</w:t>
      </w:r>
    </w:p>
    <w:p w14:paraId="3BC22A0A" w14:textId="77777777" w:rsidR="004B2808" w:rsidRDefault="00000000">
      <w:r>
        <w:t>Ponçage</w:t>
      </w:r>
    </w:p>
    <w:p w14:paraId="22D3981A" w14:textId="77777777" w:rsidR="004B2808" w:rsidRDefault="00000000">
      <w:pPr>
        <w:pStyle w:val="Author-eListParagraph"/>
        <w:numPr>
          <w:ilvl w:val="0"/>
          <w:numId w:val="588"/>
        </w:numPr>
      </w:pPr>
      <w:r>
        <w:t>Ponceuse : </w:t>
      </w:r>
      <w:r>
        <w:rPr>
          <w:rStyle w:val="optioncarChar"/>
        </w:rPr>
        <w:t>à bande </w:t>
      </w:r>
      <w:r>
        <w:t xml:space="preserve">(par défaut) </w:t>
      </w:r>
      <w:r>
        <w:rPr>
          <w:rStyle w:val="optioncarChar"/>
        </w:rPr>
        <w:t>/ rotative / ***</w:t>
      </w:r>
    </w:p>
    <w:p w14:paraId="2A7EE873" w14:textId="77777777" w:rsidR="004B2808" w:rsidRDefault="00000000">
      <w:pPr>
        <w:pStyle w:val="Author-eListParagraph"/>
        <w:numPr>
          <w:ilvl w:val="0"/>
          <w:numId w:val="588"/>
        </w:numPr>
      </w:pPr>
      <w:r>
        <w:t>Papier abrasif : granulométrie grossière à fine en fonction de l'état du support.</w:t>
      </w:r>
    </w:p>
    <w:p w14:paraId="61A856CC" w14:textId="77777777" w:rsidR="004B2808" w:rsidRDefault="00000000">
      <w:pPr>
        <w:pStyle w:val="Author-eListParagraph"/>
        <w:numPr>
          <w:ilvl w:val="0"/>
          <w:numId w:val="588"/>
        </w:numPr>
      </w:pPr>
      <w:r>
        <w:t>Tous les clous sont enfoncés. Le plancher est poncé parallèlement au sens des planches, avec du papier abrasif de quatre granulométries différentes en commençant par le plus gros et en terminant par le plus fin. La dernière phase du ponçage correspond à la texture obtenue avec du papier de verre n° 100.</w:t>
      </w:r>
    </w:p>
    <w:p w14:paraId="1216B3D8" w14:textId="77777777" w:rsidR="004B2808" w:rsidRDefault="00000000">
      <w:pPr>
        <w:pStyle w:val="Author-eListParagraph"/>
        <w:numPr>
          <w:ilvl w:val="0"/>
          <w:numId w:val="588"/>
        </w:numPr>
      </w:pPr>
      <w:r>
        <w:t>Les bords sont éventuellement poncés avec une petite ponceuse à bande ou manuellement. Après le ponçage, le sol est complètement dépoussiéré. Les taches sont enlevées avec un papier de verre fin ou de la laine d'acier. Les taches foncées provoquées par du fer etc. peuvent être enlevées à l'acide oxalique, après toutefois avoir effectué un essai.</w:t>
      </w:r>
    </w:p>
    <w:p w14:paraId="0BFE0FE2" w14:textId="77777777" w:rsidR="004B2808" w:rsidRDefault="00000000">
      <w:pPr>
        <w:pStyle w:val="Author-eListParagraph"/>
        <w:numPr>
          <w:ilvl w:val="0"/>
          <w:numId w:val="588"/>
        </w:numPr>
      </w:pPr>
      <w:r>
        <w:t>Les interstices et les trous de clous sont obturés avec un mastic acrylique, qui est compatible avec les produits de finition ultérieurs.</w:t>
      </w:r>
    </w:p>
    <w:p w14:paraId="2CB3FD3C" w14:textId="77777777" w:rsidR="004B2808" w:rsidRDefault="00000000">
      <w:pPr>
        <w:pStyle w:val="Author-eListParagraph"/>
        <w:numPr>
          <w:ilvl w:val="0"/>
          <w:numId w:val="588"/>
        </w:numPr>
      </w:pPr>
      <w:r>
        <w:t>Les planches abîmées sont remplacées et teintées avec un produit d'amélioration du bois, conformément aux [STS 04.3]- procédé C3.</w:t>
      </w:r>
    </w:p>
    <w:p w14:paraId="1006C01D" w14:textId="77777777" w:rsidR="004B2808" w:rsidRDefault="00000000">
      <w:pPr>
        <w:pStyle w:val="Author-eListParagraph"/>
        <w:numPr>
          <w:ilvl w:val="0"/>
          <w:numId w:val="588"/>
        </w:numPr>
      </w:pPr>
      <w:r>
        <w:t>Le revêtement en bois a une surface visible</w:t>
      </w:r>
      <w:r>
        <w:rPr>
          <w:rStyle w:val="optioncarChar"/>
        </w:rPr>
        <w:t> sans finition </w:t>
      </w:r>
      <w:r>
        <w:t>(par défaut)</w:t>
      </w:r>
      <w:r>
        <w:rPr>
          <w:rStyle w:val="optioncarChar"/>
        </w:rPr>
        <w:t xml:space="preserve"> / avec finition non filmogène / avec finition filmogène </w:t>
      </w:r>
    </w:p>
    <w:p w14:paraId="6E04DFCA" w14:textId="77777777" w:rsidR="004B2808" w:rsidRDefault="00000000">
      <w:pPr>
        <w:pStyle w:val="Author-eListParagraph"/>
        <w:numPr>
          <w:ilvl w:val="0"/>
          <w:numId w:val="588"/>
        </w:numPr>
      </w:pPr>
      <w:r>
        <w:t>Les finitions sont conformes aux prescriptions de la [NIT 269].</w:t>
      </w:r>
    </w:p>
    <w:p w14:paraId="4C0A3E9F" w14:textId="77777777" w:rsidR="004B2808" w:rsidRDefault="00000000">
      <w:pPr>
        <w:pStyle w:val="Author-eListParagraph"/>
        <w:numPr>
          <w:ilvl w:val="0"/>
          <w:numId w:val="588"/>
        </w:numPr>
      </w:pPr>
      <w:r>
        <w:t>La préparation des surfaces intérieures (sol) se réfère à l'article 81.24 Préparations intérieures de surface des sols et plinthes en bois.</w:t>
      </w:r>
    </w:p>
    <w:p w14:paraId="40112584" w14:textId="77777777" w:rsidR="004B2808" w:rsidRDefault="00000000">
      <w:pPr>
        <w:pStyle w:val="Author-eListParagraph"/>
        <w:numPr>
          <w:ilvl w:val="0"/>
          <w:numId w:val="588"/>
        </w:numPr>
      </w:pPr>
      <w:r>
        <w:t>Les finitions des sols en bois se réfèrent aux articles 81.25 Finitions / décorations intérieures des sols et plinthes en boiset81.26 Peintures / protections particulières intérieures des sols et plinthes en bois.</w:t>
      </w:r>
    </w:p>
    <w:p w14:paraId="6CD904EE" w14:textId="77777777" w:rsidR="004B2808" w:rsidRDefault="00000000">
      <w:pPr>
        <w:ind w:left="750"/>
      </w:pPr>
      <w:r>
        <w:t> </w:t>
      </w:r>
    </w:p>
    <w:p w14:paraId="5C9EFF58" w14:textId="77777777" w:rsidR="004B2808" w:rsidRDefault="00000000">
      <w:pPr>
        <w:pStyle w:val="pheading"/>
      </w:pPr>
      <w:r>
        <w:t>CONTRÔLES</w:t>
      </w:r>
    </w:p>
    <w:p w14:paraId="5AB6A790" w14:textId="77777777" w:rsidR="004B2808" w:rsidRDefault="00000000">
      <w:r>
        <w:t>Lors du foulement du plancher, on ne peut percevoir des bruits de craquement (L'isolation acoustique des planchers en bois - Pratique [Buildwise Article Revue (2001-01-21)] , [NIT 269] et [NIT 272].</w:t>
      </w:r>
      <w:r>
        <w:br/>
        <w:t>Les fixations doivent résister à une force de traction de 10 kg . </w:t>
      </w:r>
    </w:p>
    <w:p w14:paraId="2C471BED" w14:textId="77777777" w:rsidR="004B2808" w:rsidRDefault="00000000">
      <w:pPr>
        <w:ind w:left="750"/>
      </w:pPr>
      <w:r>
        <w:t> </w:t>
      </w:r>
    </w:p>
    <w:p w14:paraId="3F071A0E" w14:textId="77777777" w:rsidR="004B2808" w:rsidRDefault="00000000">
      <w:pPr>
        <w:pStyle w:val="Author-eSectionHeading5Numberless"/>
      </w:pPr>
      <w:bookmarkStart w:id="687" w:name="_Toc220490839"/>
      <w:r>
        <w:t>53.56.1 Revêtements en bois massif - Planchers CCTB 01.02</w:t>
      </w:r>
      <w:bookmarkEnd w:id="687"/>
    </w:p>
    <w:p w14:paraId="0E7F6574" w14:textId="77777777" w:rsidR="004B2808" w:rsidRDefault="00000000">
      <w:pPr>
        <w:pStyle w:val="Author-eSectionHeading6Numberless"/>
      </w:pPr>
      <w:bookmarkStart w:id="688" w:name="_Toc220490840"/>
      <w:r>
        <w:t>53.56.1a Revêtements en bois massif - Planchers CCTB 01.11</w:t>
      </w:r>
      <w:bookmarkEnd w:id="688"/>
    </w:p>
    <w:p w14:paraId="4863C8DD" w14:textId="77777777" w:rsidR="004B2808" w:rsidRDefault="00000000">
      <w:pPr>
        <w:pStyle w:val="pheading"/>
      </w:pPr>
      <w:r>
        <w:t>MATÉRIAUX</w:t>
      </w:r>
    </w:p>
    <w:p w14:paraId="371DA931" w14:textId="77777777" w:rsidR="004B2808" w:rsidRDefault="00000000">
      <w:pPr>
        <w:pStyle w:val="pheading"/>
      </w:pPr>
      <w:r>
        <w:t>- Caractéristiques générales</w:t>
      </w:r>
    </w:p>
    <w:p w14:paraId="07F08DA7" w14:textId="77777777" w:rsidR="004B2808" w:rsidRDefault="00000000">
      <w:r>
        <w:t>Le bois de menuiserie pour le plancher en bois est en </w:t>
      </w:r>
      <w:r>
        <w:rPr>
          <w:rStyle w:val="optioncarChar"/>
        </w:rPr>
        <w:t xml:space="preserve">Pin du Nord (PNG) et est de 2ème qualité  </w:t>
      </w:r>
      <w:r>
        <w:t xml:space="preserve"> (par défaut) </w:t>
      </w:r>
      <w:r>
        <w:rPr>
          <w:rStyle w:val="optioncarChar"/>
        </w:rPr>
        <w:t>/ Oregnon et est de la qualité "couronne importée" selon la liste R éditée par le Pacific Lumber Inspection Bureau - Seattle / ***</w:t>
      </w:r>
    </w:p>
    <w:p w14:paraId="3276F2C5" w14:textId="77777777" w:rsidR="004B2808" w:rsidRDefault="00000000">
      <w:r>
        <w:t>Pour plus d'informations au sujet des essences à mettre en œuvre, voir la [NIT 269].</w:t>
      </w:r>
    </w:p>
    <w:p w14:paraId="184C44C3" w14:textId="77777777" w:rsidR="004B2808" w:rsidRDefault="00000000">
      <w:r>
        <w:t>Le bois massif, à l'exception de l'Oregon pine sans aubier, subit avant sa mise en œuvre un traitement de conservation du bois de la catégorie "A", avec des produits de conservation ayant obtenu des critères d'acceptabilité du produit tels que définis dans l'article 02.42.1 Critères d'acceptabilité. Le produit est compatible avec les éléments qui entrent en contact avec le bois traité. Le traitement est effectué dans une station agrée. Un certificat de traitement est délivré à chaque fourniture de bois traité.</w:t>
      </w:r>
    </w:p>
    <w:p w14:paraId="40F6B479" w14:textId="77777777" w:rsidR="004B2808" w:rsidRDefault="00000000">
      <w:pPr>
        <w:pStyle w:val="heading"/>
      </w:pPr>
      <w:r>
        <w:t>Spécifications</w:t>
      </w:r>
    </w:p>
    <w:p w14:paraId="5376524F" w14:textId="77777777" w:rsidR="004B2808" w:rsidRDefault="00000000">
      <w:pPr>
        <w:pStyle w:val="Author-eListParagraph"/>
        <w:numPr>
          <w:ilvl w:val="0"/>
          <w:numId w:val="589"/>
        </w:numPr>
      </w:pPr>
      <w:r>
        <w:lastRenderedPageBreak/>
        <w:t xml:space="preserve">Epaisseur nominale : ≥ </w:t>
      </w:r>
      <w:r>
        <w:rPr>
          <w:rStyle w:val="optioncarChar"/>
        </w:rPr>
        <w:t>16</w:t>
      </w:r>
      <w:r>
        <w:t> (par défaut)</w:t>
      </w:r>
      <w:r>
        <w:rPr>
          <w:rStyle w:val="optioncarChar"/>
        </w:rPr>
        <w:t xml:space="preserve"> / 18 / 20 / 22 / *** </w:t>
      </w:r>
      <w:r>
        <w:t>mm (lorsque le plancher est posé sur un gîtage en bois 20 mm suffit, lorsque l'écartement entre l'axe des appuis ne dépasse pas 45 cm ).  Les épaisseurs sont choisies conformément à la [NIT 269].</w:t>
      </w:r>
    </w:p>
    <w:p w14:paraId="7D407E0E" w14:textId="77777777" w:rsidR="004B2808" w:rsidRDefault="00000000">
      <w:pPr>
        <w:pStyle w:val="Author-eListParagraph"/>
        <w:numPr>
          <w:ilvl w:val="0"/>
          <w:numId w:val="589"/>
        </w:numPr>
      </w:pPr>
      <w:r>
        <w:t>Largeur : comprise entre 75 et </w:t>
      </w:r>
      <w:r>
        <w:rPr>
          <w:rStyle w:val="optioncarChar"/>
        </w:rPr>
        <w:t>100 </w:t>
      </w:r>
      <w:r>
        <w:t>(par défaut)</w:t>
      </w:r>
      <w:r>
        <w:rPr>
          <w:rStyle w:val="optioncarChar"/>
        </w:rPr>
        <w:t> / 125 / *** </w:t>
      </w:r>
      <w:r>
        <w:t>mm (tolérance + 5 mm )</w:t>
      </w:r>
    </w:p>
    <w:p w14:paraId="2E30EBBA" w14:textId="77777777" w:rsidR="004B2808" w:rsidRDefault="00000000">
      <w:pPr>
        <w:pStyle w:val="Author-eListParagraph"/>
        <w:numPr>
          <w:ilvl w:val="0"/>
          <w:numId w:val="589"/>
        </w:numPr>
      </w:pPr>
      <w:r>
        <w:t xml:space="preserve">Longueur : le plancher est pour au moins </w:t>
      </w:r>
      <w:r>
        <w:rPr>
          <w:rStyle w:val="optioncarChar"/>
        </w:rPr>
        <w:t>50</w:t>
      </w:r>
      <w:r>
        <w:t> (par défaut)</w:t>
      </w:r>
      <w:r>
        <w:rPr>
          <w:rStyle w:val="optioncarChar"/>
        </w:rPr>
        <w:t xml:space="preserve"> / 75 / ***</w:t>
      </w:r>
      <w:r>
        <w:t> % composé de planches d'un seul tenant.</w:t>
      </w:r>
    </w:p>
    <w:p w14:paraId="25D0162A" w14:textId="77777777" w:rsidR="004B2808" w:rsidRDefault="00000000">
      <w:pPr>
        <w:pStyle w:val="Author-eListParagraph"/>
        <w:numPr>
          <w:ilvl w:val="0"/>
          <w:numId w:val="589"/>
        </w:numPr>
      </w:pPr>
      <w:r>
        <w:t xml:space="preserve">Réaction au feu : classe </w:t>
      </w:r>
      <w:r>
        <w:rPr>
          <w:rStyle w:val="optioncarChar"/>
        </w:rPr>
        <w:t xml:space="preserve">A1 </w:t>
      </w:r>
      <w:r>
        <w:rPr>
          <w:rStyle w:val="optioncarChar"/>
          <w:vertAlign w:val="subscript"/>
        </w:rPr>
        <w:t>FL </w:t>
      </w:r>
      <w:r>
        <w:t>(par défaut) / </w:t>
      </w:r>
      <w:r>
        <w:rPr>
          <w:rStyle w:val="optioncarChar"/>
        </w:rPr>
        <w:t xml:space="preserve">A2 </w:t>
      </w:r>
      <w:r>
        <w:rPr>
          <w:rStyle w:val="optioncarChar"/>
          <w:vertAlign w:val="subscript"/>
        </w:rPr>
        <w:t>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rPr>
          <w:rStyle w:val="optioncarChar"/>
        </w:rPr>
        <w:t xml:space="preserve">/ E </w:t>
      </w:r>
      <w:r>
        <w:rPr>
          <w:rStyle w:val="optioncarChar"/>
          <w:vertAlign w:val="subscript"/>
        </w:rPr>
        <w:t xml:space="preserve">FL </w:t>
      </w:r>
      <w:r>
        <w:rPr>
          <w:rStyle w:val="optioncarChar"/>
        </w:rPr>
        <w:t xml:space="preserve">/ F </w:t>
      </w:r>
      <w:r>
        <w:rPr>
          <w:rStyle w:val="optioncarChar"/>
          <w:vertAlign w:val="subscript"/>
        </w:rPr>
        <w:t>FL</w:t>
      </w:r>
      <w:r>
        <w:t> </w:t>
      </w:r>
      <w:r>
        <w:rPr>
          <w:rStyle w:val="optioncarChar"/>
        </w:rPr>
        <w:t>/ ***</w:t>
      </w:r>
      <w:r>
        <w:t> selon la [NBN EN 13501-1] .</w:t>
      </w:r>
    </w:p>
    <w:p w14:paraId="3AEF09B2" w14:textId="77777777" w:rsidR="004B2808" w:rsidRDefault="00000000">
      <w:pPr>
        <w:pStyle w:val="Author-eListParagraph"/>
        <w:numPr>
          <w:ilvl w:val="0"/>
          <w:numId w:val="589"/>
        </w:numPr>
      </w:pPr>
      <w:r>
        <w:t xml:space="preserve">Classe additionnelle : </w:t>
      </w:r>
      <w:r>
        <w:rPr>
          <w:rStyle w:val="optioncarChar"/>
        </w:rPr>
        <w:t>***</w:t>
      </w:r>
    </w:p>
    <w:p w14:paraId="7F53D398" w14:textId="77777777" w:rsidR="004B2808" w:rsidRDefault="00000000">
      <w:pPr>
        <w:pStyle w:val="Author-eListParagraph"/>
        <w:numPr>
          <w:ilvl w:val="0"/>
          <w:numId w:val="589"/>
        </w:numPr>
      </w:pPr>
      <w:r>
        <w:t xml:space="preserve">Production de fumée : </w:t>
      </w:r>
      <w:r>
        <w:rPr>
          <w:rStyle w:val="optioncarChar"/>
        </w:rPr>
        <w:t>s1 </w:t>
      </w:r>
      <w:r>
        <w:t>(par défaut)</w:t>
      </w:r>
      <w:r>
        <w:rPr>
          <w:rStyle w:val="optioncarChar"/>
        </w:rPr>
        <w:t xml:space="preserve"> / s2 / ***</w:t>
      </w:r>
    </w:p>
    <w:p w14:paraId="4DE95791" w14:textId="77777777" w:rsidR="004B2808" w:rsidRDefault="00000000">
      <w:r>
        <w:t>Le plancher est traité afin d’améliorer son comportement de réaction au feu (ignifugé)</w:t>
      </w:r>
      <w:r>
        <w:br/>
        <w:t xml:space="preserve">Les matériaux sont peu combustibles (classes </w:t>
      </w:r>
      <w:r>
        <w:rPr>
          <w:rStyle w:val="optioncarChar"/>
        </w:rPr>
        <w:t>A1FL / A2FL</w:t>
      </w:r>
      <w:r>
        <w:t xml:space="preserve"> selon la [NBN EN 13501-1].</w:t>
      </w:r>
    </w:p>
    <w:p w14:paraId="0BD13E81" w14:textId="77777777" w:rsidR="004B2808" w:rsidRDefault="00000000">
      <w:pPr>
        <w:ind w:left="750"/>
      </w:pPr>
      <w:r>
        <w:t> </w:t>
      </w:r>
    </w:p>
    <w:p w14:paraId="755792C2" w14:textId="77777777" w:rsidR="004B2808" w:rsidRDefault="00000000">
      <w:pPr>
        <w:pStyle w:val="pheading"/>
      </w:pPr>
      <w:r>
        <w:t>- Finitions</w:t>
      </w:r>
    </w:p>
    <w:p w14:paraId="3BA609A6" w14:textId="77777777" w:rsidR="004B2808" w:rsidRDefault="00000000">
      <w:r>
        <w:t xml:space="preserve">Finition des bords : à </w:t>
      </w:r>
      <w:r>
        <w:rPr>
          <w:rStyle w:val="optioncarChar"/>
        </w:rPr>
        <w:t>rainure et languette </w:t>
      </w:r>
      <w:r>
        <w:t>(par défaut)</w:t>
      </w:r>
      <w:r>
        <w:rPr>
          <w:rStyle w:val="optioncarChar"/>
        </w:rPr>
        <w:t xml:space="preserve"> / assemblage à mi-bois (environ 7 x 7 mm ) / ***</w:t>
      </w:r>
      <w:r>
        <w:t> </w:t>
      </w:r>
      <w:r>
        <w:br/>
        <w:t xml:space="preserve">Finition de la surface : </w:t>
      </w:r>
      <w:r>
        <w:rPr>
          <w:rStyle w:val="optioncarChar"/>
        </w:rPr>
        <w:t>les planches sont rabotées et poncées sur toutes les faces</w:t>
      </w:r>
      <w:r>
        <w:t> (par défaut)</w:t>
      </w:r>
      <w:r>
        <w:rPr>
          <w:rStyle w:val="optioncarChar"/>
        </w:rPr>
        <w:t xml:space="preserve"> / ***</w:t>
      </w:r>
    </w:p>
    <w:p w14:paraId="6BCCF1CE" w14:textId="77777777" w:rsidR="004B2808" w:rsidRDefault="00000000">
      <w:pPr>
        <w:pStyle w:val="pheading"/>
      </w:pPr>
      <w:r>
        <w:t>EXÉCUTION / MISE EN ŒUVRE</w:t>
      </w:r>
    </w:p>
    <w:p w14:paraId="30655722" w14:textId="77777777" w:rsidR="004B2808" w:rsidRDefault="00000000">
      <w:pPr>
        <w:pStyle w:val="pheading"/>
      </w:pPr>
      <w:r>
        <w:t>- Prescriptions générales</w:t>
      </w:r>
    </w:p>
    <w:p w14:paraId="3ACC9163" w14:textId="77777777" w:rsidR="004B2808" w:rsidRDefault="00000000">
      <w:r>
        <w:t>Aucune planche n'a une longueur &lt; 1/3 de la surface à couvrir. Les planches sont posées à rainure et languette :</w:t>
      </w:r>
    </w:p>
    <w:p w14:paraId="54F25B3B" w14:textId="77777777" w:rsidR="004B2808" w:rsidRDefault="00000000">
      <w:r>
        <w:rPr>
          <w:rStyle w:val="optioncarChar"/>
          <w:b/>
        </w:rPr>
        <w:t>le plancher est cloué</w:t>
      </w:r>
      <w:r>
        <w:t> (par défaut) /</w:t>
      </w:r>
      <w:r>
        <w:rPr>
          <w:rStyle w:val="optioncarChar"/>
          <w:b/>
        </w:rPr>
        <w:t> les planches sont resserrées</w:t>
      </w:r>
    </w:p>
    <w:p w14:paraId="70A2BF39" w14:textId="77777777" w:rsidR="004B2808" w:rsidRDefault="00000000">
      <w:r>
        <w:rPr>
          <w:b/>
        </w:rPr>
        <w:t>(soit par défaut)</w:t>
      </w:r>
      <w:r>
        <w:t> : </w:t>
      </w:r>
      <w:r>
        <w:rPr>
          <w:rStyle w:val="soitChar"/>
          <w:u w:val="single"/>
        </w:rPr>
        <w:t>Le plancher est cloué</w:t>
      </w:r>
      <w:r>
        <w:rPr>
          <w:rStyle w:val="soitChar"/>
        </w:rPr>
        <w:t xml:space="preserve"> après le rapprochement des planches. Le rapprochement s'effectue à l’aide d’un tendeur spécial chaque fois après la pose d’une bande de 1 m de large. Les planches sont clouées sur chaque appui au moyen d’au moins 2 clous à tête ronde et d'une longueur d'au moins 6 cm et enfoncés au chasse-clou.</w:t>
      </w:r>
      <w:r>
        <w:br/>
      </w:r>
      <w:r>
        <w:rPr>
          <w:b/>
        </w:rPr>
        <w:t>(soit) </w:t>
      </w:r>
      <w:r>
        <w:t>: </w:t>
      </w:r>
      <w:r>
        <w:rPr>
          <w:rStyle w:val="soitChar"/>
        </w:rPr>
        <w:t xml:space="preserve">Pendant la pose, les planches ne sont ni clouées ni rapprochées. </w:t>
      </w:r>
      <w:r>
        <w:rPr>
          <w:rStyle w:val="soitChar"/>
          <w:u w:val="single"/>
        </w:rPr>
        <w:t>Les planches sont resserrées</w:t>
      </w:r>
      <w:r>
        <w:rPr>
          <w:rStyle w:val="soitChar"/>
        </w:rPr>
        <w:t xml:space="preserve"> lorsque le bâtiment est entièrement terminé. En tout cas, le taux d'humidité du bois au moment du resserrage se rapproche du taux d'humidité à l'équilibre pour l'utilisation (12-15 %). Le maître de l'ouvrage se réserve toutefois le droit de ne faire exécuter le rapprochement des planches que 4 mois après l'occupation du bâtiment afin que les pièces de séjour soient d'abord occupées et chauffées. Dans ce cas, le déménagement des meubles est à charge du maître de l'ouvrage.</w:t>
      </w:r>
    </w:p>
    <w:p w14:paraId="2E8ED0EA" w14:textId="77777777" w:rsidR="004B2808" w:rsidRDefault="00000000">
      <w:pPr>
        <w:pStyle w:val="pheading"/>
      </w:pPr>
      <w:r>
        <w:t>- Notes d’exécution complémentaires</w:t>
      </w:r>
    </w:p>
    <w:p w14:paraId="37F1675E" w14:textId="77777777" w:rsidR="004B2808" w:rsidRDefault="00000000">
      <w:r>
        <w:t>Une bande de</w:t>
      </w:r>
      <w:r>
        <w:rPr>
          <w:rStyle w:val="optioncarChar"/>
        </w:rPr>
        <w:t> couche de feutre</w:t>
      </w:r>
      <w:r>
        <w:t> (par défaut)</w:t>
      </w:r>
      <w:r>
        <w:rPr>
          <w:rStyle w:val="optioncarChar"/>
        </w:rPr>
        <w:t> / ***</w:t>
      </w:r>
      <w:r>
        <w:t> est posée entre les plaques et les chevrons afin d'absorber les bruits.</w:t>
      </w:r>
    </w:p>
    <w:p w14:paraId="43174A21" w14:textId="77777777" w:rsidR="004B2808" w:rsidRDefault="00000000">
      <w:pPr>
        <w:pStyle w:val="pheading"/>
      </w:pPr>
      <w:r>
        <w:t>MESURAGE</w:t>
      </w:r>
    </w:p>
    <w:p w14:paraId="6F83AAAE" w14:textId="77777777" w:rsidR="004B2808" w:rsidRDefault="00000000">
      <w:pPr>
        <w:pStyle w:val="pheading"/>
      </w:pPr>
      <w:r>
        <w:t>- unité de mesure:</w:t>
      </w:r>
    </w:p>
    <w:p w14:paraId="2937B51F" w14:textId="77777777" w:rsidR="004B2808" w:rsidRDefault="00000000">
      <w:r>
        <w:t>m²</w:t>
      </w:r>
    </w:p>
    <w:p w14:paraId="592C2CEB" w14:textId="77777777" w:rsidR="004B2808" w:rsidRDefault="00000000">
      <w:pPr>
        <w:pStyle w:val="pheading"/>
      </w:pPr>
      <w:r>
        <w:t>- code de mesurage:</w:t>
      </w:r>
    </w:p>
    <w:p w14:paraId="0EC4183A" w14:textId="77777777" w:rsidR="004B2808" w:rsidRDefault="00000000">
      <w:r>
        <w:t> Surface nette à exécuter. Les ouvertures &gt; 0,5 m² sont déduites.</w:t>
      </w:r>
    </w:p>
    <w:p w14:paraId="13E22F48" w14:textId="77777777" w:rsidR="004B2808" w:rsidRDefault="00000000">
      <w:pPr>
        <w:pStyle w:val="pheading"/>
      </w:pPr>
      <w:r>
        <w:t>- nature du marché:</w:t>
      </w:r>
    </w:p>
    <w:p w14:paraId="673C9833" w14:textId="77777777" w:rsidR="004B2808" w:rsidRDefault="00000000">
      <w:r>
        <w:t>QF</w:t>
      </w:r>
    </w:p>
    <w:p w14:paraId="1AA7BB77" w14:textId="77777777" w:rsidR="004B2808" w:rsidRDefault="00000000">
      <w:pPr>
        <w:pStyle w:val="Author-eSectionHeading5Numberless"/>
      </w:pPr>
      <w:bookmarkStart w:id="689" w:name="_Toc220490841"/>
      <w:r>
        <w:t>53.56.2 Revêtements en bois massif - Parquet mosaïque CCTB 01.02</w:t>
      </w:r>
      <w:bookmarkEnd w:id="689"/>
    </w:p>
    <w:p w14:paraId="2FCF7D07" w14:textId="77777777" w:rsidR="004B2808" w:rsidRDefault="00000000">
      <w:pPr>
        <w:pStyle w:val="Author-eSectionHeading6Numberless"/>
      </w:pPr>
      <w:bookmarkStart w:id="690" w:name="_Toc220490842"/>
      <w:r>
        <w:t>53.56.2a Revêtements en bois massif - Parquet mosaïque CCTB 01.10</w:t>
      </w:r>
      <w:bookmarkEnd w:id="690"/>
    </w:p>
    <w:p w14:paraId="45FC433E" w14:textId="77777777" w:rsidR="004B2808" w:rsidRDefault="00000000">
      <w:pPr>
        <w:pStyle w:val="pheading"/>
      </w:pPr>
      <w:r>
        <w:lastRenderedPageBreak/>
        <w:t>MATÉRIAUX</w:t>
      </w:r>
    </w:p>
    <w:p w14:paraId="79AC8939" w14:textId="77777777" w:rsidR="004B2808" w:rsidRDefault="00000000">
      <w:pPr>
        <w:pStyle w:val="pheading"/>
      </w:pPr>
      <w:r>
        <w:t>- Caractéristiques générales</w:t>
      </w:r>
    </w:p>
    <w:p w14:paraId="6B193888" w14:textId="77777777" w:rsidR="004B2808" w:rsidRDefault="00000000">
      <w:r>
        <w:t>Le parquet en dalles-parquet se compose de panneaux préfabriqués composés de lamelles de bois préalablement assemblées en carrés, soit par fixation définitive à l'aide d'un matériau suffisamment souple sur le dos, soit par collage d'un matériau provisoire sur la face vue. Les colles utilisées satisfont aux spécifications de la [NIT 269].</w:t>
      </w:r>
    </w:p>
    <w:p w14:paraId="419A97BE" w14:textId="77777777" w:rsidR="004B2808" w:rsidRDefault="00000000">
      <w:pPr>
        <w:pStyle w:val="heading"/>
      </w:pPr>
      <w:r>
        <w:t>Spécifications</w:t>
      </w:r>
    </w:p>
    <w:p w14:paraId="62BC21DF" w14:textId="77777777" w:rsidR="004B2808" w:rsidRDefault="00000000">
      <w:pPr>
        <w:pStyle w:val="Author-eListParagraph"/>
        <w:numPr>
          <w:ilvl w:val="0"/>
          <w:numId w:val="590"/>
        </w:numPr>
      </w:pPr>
      <w:r>
        <w:t>Essence ([NIT 269])  :</w:t>
      </w:r>
      <w:r>
        <w:rPr>
          <w:rStyle w:val="optioncarChar"/>
        </w:rPr>
        <w:t> Afrormosia</w:t>
      </w:r>
      <w:r>
        <w:t xml:space="preserve"> (par défaut)</w:t>
      </w:r>
      <w:r>
        <w:rPr>
          <w:rStyle w:val="optioncarChar"/>
        </w:rPr>
        <w:t> / Panga / Hêtre / Chêne d'Europe / ***</w:t>
      </w:r>
    </w:p>
    <w:p w14:paraId="666C5DA6" w14:textId="77777777" w:rsidR="004B2808" w:rsidRDefault="00000000">
      <w:pPr>
        <w:pStyle w:val="Author-eListParagraph"/>
        <w:numPr>
          <w:ilvl w:val="0"/>
          <w:numId w:val="590"/>
        </w:numPr>
      </w:pPr>
      <w:r>
        <w:t>Protection du bois : procédé B pour menuiserie intérieure, selon les [STS 04.3]</w:t>
      </w:r>
    </w:p>
    <w:p w14:paraId="665189E3" w14:textId="77777777" w:rsidR="004B2808" w:rsidRDefault="00000000">
      <w:pPr>
        <w:pStyle w:val="Author-eListParagraph"/>
        <w:numPr>
          <w:ilvl w:val="0"/>
          <w:numId w:val="590"/>
        </w:numPr>
      </w:pPr>
      <w:r>
        <w:t xml:space="preserve">Dessin : </w:t>
      </w:r>
      <w:r>
        <w:rPr>
          <w:rStyle w:val="optioncarChar"/>
        </w:rPr>
        <w:t>mosaïque </w:t>
      </w:r>
      <w:r>
        <w:t>(par défaut)</w:t>
      </w:r>
      <w:r>
        <w:rPr>
          <w:rStyle w:val="optioncarChar"/>
        </w:rPr>
        <w:t xml:space="preserve"> / arête de poisson / ***</w:t>
      </w:r>
    </w:p>
    <w:p w14:paraId="6123A879" w14:textId="77777777" w:rsidR="004B2808" w:rsidRDefault="00000000">
      <w:pPr>
        <w:pStyle w:val="Author-eListParagraph"/>
        <w:numPr>
          <w:ilvl w:val="0"/>
          <w:numId w:val="590"/>
        </w:numPr>
      </w:pPr>
      <w:r>
        <w:t xml:space="preserve">Dimensions des carrés : environ </w:t>
      </w:r>
      <w:r>
        <w:rPr>
          <w:rStyle w:val="optioncarChar"/>
        </w:rPr>
        <w:t>30 x 30 </w:t>
      </w:r>
      <w:r>
        <w:t>(par défaut)</w:t>
      </w:r>
      <w:r>
        <w:rPr>
          <w:rStyle w:val="optioncarChar"/>
        </w:rPr>
        <w:t xml:space="preserve"> / 45 x 45 / ***</w:t>
      </w:r>
    </w:p>
    <w:p w14:paraId="30031016" w14:textId="77777777" w:rsidR="004B2808" w:rsidRDefault="00000000">
      <w:pPr>
        <w:pStyle w:val="Author-eListParagraph"/>
        <w:numPr>
          <w:ilvl w:val="0"/>
          <w:numId w:val="590"/>
        </w:numPr>
      </w:pPr>
      <w:r>
        <w:t xml:space="preserve">Lamelles : </w:t>
      </w:r>
      <w:r>
        <w:rPr>
          <w:rStyle w:val="optioncarChar"/>
        </w:rPr>
        <w:t>largeur 20 à 25 mm , longueur 100 à 150 mm</w:t>
      </w:r>
      <w:r>
        <w:t> (par défaut)</w:t>
      </w:r>
      <w:r>
        <w:rPr>
          <w:rStyle w:val="optioncarChar"/>
        </w:rPr>
        <w:t xml:space="preserve"> / ***</w:t>
      </w:r>
    </w:p>
    <w:p w14:paraId="008CE593" w14:textId="77777777" w:rsidR="004B2808" w:rsidRDefault="00000000">
      <w:pPr>
        <w:pStyle w:val="Author-eListParagraph"/>
        <w:numPr>
          <w:ilvl w:val="0"/>
          <w:numId w:val="590"/>
        </w:numPr>
      </w:pPr>
      <w:r>
        <w:t xml:space="preserve">Epaisseur : minimum </w:t>
      </w:r>
      <w:r>
        <w:rPr>
          <w:rStyle w:val="optioncarChar"/>
        </w:rPr>
        <w:t xml:space="preserve">6 </w:t>
      </w:r>
      <w:r>
        <w:t>(par défaut) </w:t>
      </w:r>
      <w:r>
        <w:rPr>
          <w:rStyle w:val="optioncarChar"/>
        </w:rPr>
        <w:t xml:space="preserve">/ 8 / 10 / *** </w:t>
      </w:r>
      <w:r>
        <w:t>mm conforme à la [NIT 269].</w:t>
      </w:r>
    </w:p>
    <w:p w14:paraId="384FFA1E" w14:textId="77777777" w:rsidR="004B2808" w:rsidRDefault="00000000">
      <w:pPr>
        <w:pStyle w:val="Author-eListParagraph"/>
        <w:numPr>
          <w:ilvl w:val="0"/>
          <w:numId w:val="590"/>
        </w:numPr>
      </w:pPr>
      <w:r>
        <w:t xml:space="preserve">Réaction au feu : classe </w:t>
      </w:r>
      <w:r>
        <w:rPr>
          <w:rStyle w:val="optioncarChar"/>
        </w:rPr>
        <w:t xml:space="preserve">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rPr>
          <w:rStyle w:val="optioncarChar"/>
        </w:rPr>
        <w:t xml:space="preserve">/ E </w:t>
      </w:r>
      <w:r>
        <w:rPr>
          <w:rStyle w:val="optioncarChar"/>
          <w:vertAlign w:val="subscript"/>
        </w:rPr>
        <w:t xml:space="preserve">FL </w:t>
      </w:r>
      <w:r>
        <w:rPr>
          <w:rStyle w:val="optioncarChar"/>
        </w:rPr>
        <w:t xml:space="preserve">/ F </w:t>
      </w:r>
      <w:r>
        <w:rPr>
          <w:rStyle w:val="optioncarChar"/>
          <w:vertAlign w:val="subscript"/>
        </w:rPr>
        <w:t xml:space="preserve">FL </w:t>
      </w:r>
      <w:r>
        <w:t>selon la [NBN EN 13501-1].</w:t>
      </w:r>
    </w:p>
    <w:p w14:paraId="6F3B0FD6" w14:textId="77777777" w:rsidR="004B2808" w:rsidRDefault="00000000">
      <w:pPr>
        <w:pStyle w:val="Author-eListParagraph"/>
        <w:numPr>
          <w:ilvl w:val="0"/>
          <w:numId w:val="590"/>
        </w:numPr>
      </w:pPr>
      <w:r>
        <w:t>Classe additionnelle :</w:t>
      </w:r>
    </w:p>
    <w:p w14:paraId="47DB8039" w14:textId="77777777" w:rsidR="004B2808" w:rsidRDefault="00000000">
      <w:pPr>
        <w:pStyle w:val="Author-eListParagraph"/>
        <w:numPr>
          <w:ilvl w:val="0"/>
          <w:numId w:val="590"/>
        </w:numPr>
      </w:pPr>
      <w:r>
        <w:t xml:space="preserve">Production de fumée : </w:t>
      </w:r>
      <w:r>
        <w:rPr>
          <w:rStyle w:val="optioncarChar"/>
        </w:rPr>
        <w:t>s1 </w:t>
      </w:r>
      <w:r>
        <w:t xml:space="preserve">(par défaut) </w:t>
      </w:r>
      <w:r>
        <w:rPr>
          <w:rStyle w:val="optioncarChar"/>
        </w:rPr>
        <w:t>/ s2 / ***</w:t>
      </w:r>
    </w:p>
    <w:p w14:paraId="4AD2F1BC" w14:textId="77777777" w:rsidR="004B2808" w:rsidRDefault="00000000">
      <w:pPr>
        <w:ind w:left="750"/>
      </w:pPr>
      <w:r>
        <w:t> </w:t>
      </w:r>
    </w:p>
    <w:p w14:paraId="199089C6" w14:textId="77777777" w:rsidR="004B2808" w:rsidRDefault="00000000">
      <w:pPr>
        <w:pStyle w:val="pheading"/>
      </w:pPr>
      <w:r>
        <w:t>- Prescriptions complémentaires</w:t>
      </w:r>
    </w:p>
    <w:p w14:paraId="5902278D" w14:textId="77777777" w:rsidR="004B2808" w:rsidRDefault="00000000">
      <w:r>
        <w:t>Les dalles sont traitées afin d’améliorer leur comportement de réaction au feu (ignifugées)</w:t>
      </w:r>
      <w:r>
        <w:br/>
        <w:t>Les matériaux sont peu combustibles (classes A1FL/A2FL selon la [NBN EN 13501-1].</w:t>
      </w:r>
    </w:p>
    <w:p w14:paraId="42B43606" w14:textId="77777777" w:rsidR="004B2808" w:rsidRDefault="00000000">
      <w:pPr>
        <w:pStyle w:val="pheading"/>
      </w:pPr>
      <w:r>
        <w:t>EXÉCUTION / MISE EN ŒUVRE</w:t>
      </w:r>
    </w:p>
    <w:p w14:paraId="168949F1" w14:textId="77777777" w:rsidR="004B2808" w:rsidRDefault="00000000">
      <w:pPr>
        <w:pStyle w:val="pheading"/>
      </w:pPr>
      <w:r>
        <w:t>- Prescriptions générales</w:t>
      </w:r>
    </w:p>
    <w:p w14:paraId="2BE65A26" w14:textId="77777777" w:rsidR="004B2808" w:rsidRDefault="00000000">
      <w:r>
        <w:t>Le parquet est collé sur l'aire de pose conformément aux prescriptions de la [NIT 269] et de la [NIT 272].</w:t>
      </w:r>
    </w:p>
    <w:p w14:paraId="3F1D351A" w14:textId="77777777" w:rsidR="004B2808" w:rsidRDefault="00000000">
      <w:pPr>
        <w:ind w:left="750"/>
      </w:pPr>
      <w:r>
        <w:t> </w:t>
      </w:r>
    </w:p>
    <w:p w14:paraId="5E8B035B" w14:textId="77777777" w:rsidR="004B2808" w:rsidRDefault="00000000">
      <w:pPr>
        <w:pStyle w:val="pheading"/>
      </w:pPr>
      <w:r>
        <w:t>- Notes d’exécution complémentaires</w:t>
      </w:r>
    </w:p>
    <w:p w14:paraId="160C9CE4" w14:textId="77777777" w:rsidR="004B2808" w:rsidRDefault="00000000">
      <w:r>
        <w:t>La couche d'égalisation et/ou d'amortissement est prévue en panneaux de particules de bois, …</w:t>
      </w:r>
      <w:r>
        <w:br/>
        <w:t>Après la mise en œuvre, le parquet est poncé et revêtu d'une couche de vernis.</w:t>
      </w:r>
    </w:p>
    <w:p w14:paraId="7CEBA0B4" w14:textId="77777777" w:rsidR="004B2808" w:rsidRDefault="00000000">
      <w:pPr>
        <w:pStyle w:val="pheading"/>
      </w:pPr>
      <w:r>
        <w:t>MESURAGE</w:t>
      </w:r>
    </w:p>
    <w:p w14:paraId="76811D56" w14:textId="77777777" w:rsidR="004B2808" w:rsidRDefault="00000000">
      <w:r>
        <w:t>Conformément aux indications spécifiques dans le cahier spécial des charges et/ou le métré récapitulatif, le mesurage doit être conçu comme suit :</w:t>
      </w:r>
    </w:p>
    <w:p w14:paraId="524F6780" w14:textId="77777777" w:rsidR="004B2808" w:rsidRDefault="00000000">
      <w:pPr>
        <w:pStyle w:val="pheading"/>
      </w:pPr>
      <w:r>
        <w:t>- unité de mesure:</w:t>
      </w:r>
    </w:p>
    <w:p w14:paraId="4B426BB2" w14:textId="77777777" w:rsidR="004B2808" w:rsidRDefault="00000000">
      <w:r>
        <w:t>m²</w:t>
      </w:r>
    </w:p>
    <w:p w14:paraId="4E2A6F78" w14:textId="77777777" w:rsidR="004B2808" w:rsidRDefault="00000000">
      <w:pPr>
        <w:pStyle w:val="pheading"/>
      </w:pPr>
      <w:r>
        <w:t>- code de mesurage:</w:t>
      </w:r>
    </w:p>
    <w:p w14:paraId="4D032656" w14:textId="77777777" w:rsidR="004B2808" w:rsidRDefault="00000000">
      <w:r>
        <w:t>Surface nette à exécuter. Les ouvertures supérieures à 0,5 m² sont déduites.</w:t>
      </w:r>
    </w:p>
    <w:p w14:paraId="0CE27F9F" w14:textId="77777777" w:rsidR="004B2808" w:rsidRDefault="00000000">
      <w:pPr>
        <w:pStyle w:val="pheading"/>
      </w:pPr>
      <w:r>
        <w:t>- nature du marché:</w:t>
      </w:r>
    </w:p>
    <w:p w14:paraId="6846AA16" w14:textId="77777777" w:rsidR="004B2808" w:rsidRDefault="00000000">
      <w:r>
        <w:t>QF</w:t>
      </w:r>
    </w:p>
    <w:p w14:paraId="79F7F816" w14:textId="77777777" w:rsidR="004B2808" w:rsidRDefault="00000000">
      <w:pPr>
        <w:pStyle w:val="Author-eSectionHeading5Numberless"/>
      </w:pPr>
      <w:bookmarkStart w:id="691" w:name="_Toc220490843"/>
      <w:r>
        <w:t>53.56.3 Revêtements en bois massif - Lamparquet (parquet-tapis) CCTB 01.02</w:t>
      </w:r>
      <w:bookmarkEnd w:id="691"/>
    </w:p>
    <w:p w14:paraId="38F56BFD" w14:textId="77777777" w:rsidR="004B2808" w:rsidRDefault="00000000">
      <w:pPr>
        <w:pStyle w:val="Author-eSectionHeading6Numberless"/>
      </w:pPr>
      <w:bookmarkStart w:id="692" w:name="_Toc220490844"/>
      <w:r>
        <w:t>53.56.3a Revêtements en bois massif - Lamparquet (parquet-tapis) CCTB 01.02</w:t>
      </w:r>
      <w:bookmarkEnd w:id="692"/>
    </w:p>
    <w:p w14:paraId="3A3C9676" w14:textId="77777777" w:rsidR="004B2808" w:rsidRDefault="00000000">
      <w:pPr>
        <w:pStyle w:val="Author-eSectionHeading5Numberless"/>
      </w:pPr>
      <w:bookmarkStart w:id="693" w:name="_Toc220490845"/>
      <w:r>
        <w:t>53.56.4 Revêtements en bois massif - Parquet rainuré-langueté CCTB 01.02</w:t>
      </w:r>
      <w:bookmarkEnd w:id="693"/>
    </w:p>
    <w:p w14:paraId="416506A2" w14:textId="77777777" w:rsidR="004B2808" w:rsidRDefault="00000000">
      <w:pPr>
        <w:pStyle w:val="Author-eSectionHeading6Numberless"/>
      </w:pPr>
      <w:bookmarkStart w:id="694" w:name="_Toc220490846"/>
      <w:r>
        <w:lastRenderedPageBreak/>
        <w:t>53.56.4a Revêtements en bois massif - Parquet rainuré-langueté CCTB 01.10</w:t>
      </w:r>
      <w:bookmarkEnd w:id="694"/>
    </w:p>
    <w:p w14:paraId="5BBC3F8E" w14:textId="77777777" w:rsidR="004B2808" w:rsidRDefault="00000000">
      <w:pPr>
        <w:pStyle w:val="pheading"/>
      </w:pPr>
      <w:r>
        <w:t>MATÉRIAUX</w:t>
      </w:r>
    </w:p>
    <w:p w14:paraId="5FDF0818" w14:textId="77777777" w:rsidR="004B2808" w:rsidRDefault="00000000">
      <w:pPr>
        <w:pStyle w:val="pheading"/>
      </w:pPr>
      <w:r>
        <w:t>- Prescriptions complémentaires</w:t>
      </w:r>
    </w:p>
    <w:p w14:paraId="0A4674F0" w14:textId="77777777" w:rsidR="004B2808" w:rsidRDefault="00000000">
      <w:r>
        <w:t>Les matériaux sont peu combustibles (classes A1FL/A2FL selon la [NBN EN 13501-1].</w:t>
      </w:r>
    </w:p>
    <w:p w14:paraId="4C00C419" w14:textId="77777777" w:rsidR="004B2808" w:rsidRDefault="00000000">
      <w:pPr>
        <w:pStyle w:val="pheading"/>
      </w:pPr>
      <w:r>
        <w:t>EXÉCUTION / MISE EN ŒUVRE</w:t>
      </w:r>
    </w:p>
    <w:p w14:paraId="546FD3AA" w14:textId="77777777" w:rsidR="004B2808" w:rsidRDefault="00000000">
      <w:pPr>
        <w:pStyle w:val="pheading"/>
      </w:pPr>
      <w:r>
        <w:t>- Prescriptions générales</w:t>
      </w:r>
    </w:p>
    <w:p w14:paraId="6117FFC4" w14:textId="77777777" w:rsidR="004B2808" w:rsidRDefault="00000000">
      <w:r>
        <w:t>Les bandes de parquet rainuré-langueté sont collées les unes aux autres et au support conformément aux prescriptions du fabricant.  </w:t>
      </w:r>
    </w:p>
    <w:p w14:paraId="70BBE854" w14:textId="77777777" w:rsidR="004B2808" w:rsidRDefault="00000000">
      <w:pPr>
        <w:pStyle w:val="pheading"/>
      </w:pPr>
      <w:r>
        <w:t>- Notes d’exécution complémentaires</w:t>
      </w:r>
    </w:p>
    <w:p w14:paraId="73CCCE75" w14:textId="77777777" w:rsidR="004B2808" w:rsidRDefault="00000000">
      <w:r>
        <w:t xml:space="preserve">Un sous-parquet d'égalisation et d'amortissement du bruit est à prévoir en matelas de PE, épaisseur min. </w:t>
      </w:r>
      <w:r>
        <w:rPr>
          <w:rStyle w:val="optioncarChar"/>
        </w:rPr>
        <w:t>2</w:t>
      </w:r>
      <w:r>
        <w:t> (par défaut)</w:t>
      </w:r>
      <w:r>
        <w:rPr>
          <w:rStyle w:val="optioncarChar"/>
        </w:rPr>
        <w:t> / ***</w:t>
      </w:r>
      <w:r>
        <w:t xml:space="preserve"> mm</w:t>
      </w:r>
      <w:r>
        <w:br/>
        <w:t xml:space="preserve">Un sous-parquet d'égalisation et d'amortissement du bruit est à prévoir en plaques de bois tendre, épaisseur min. </w:t>
      </w:r>
      <w:r>
        <w:rPr>
          <w:rStyle w:val="optioncarChar"/>
        </w:rPr>
        <w:t>5 </w:t>
      </w:r>
      <w:r>
        <w:t>(par défaut)</w:t>
      </w:r>
      <w:r>
        <w:rPr>
          <w:rStyle w:val="optioncarChar"/>
        </w:rPr>
        <w:t xml:space="preserve"> / *** </w:t>
      </w:r>
      <w:r>
        <w:t xml:space="preserve"> mm.</w:t>
      </w:r>
      <w:r>
        <w:br/>
        <w:t xml:space="preserve">Profils de transition en </w:t>
      </w:r>
      <w:r>
        <w:rPr>
          <w:rStyle w:val="optioncarChar"/>
        </w:rPr>
        <w:t xml:space="preserve">*** </w:t>
      </w:r>
      <w:r>
        <w:t>à prévoir au droit des changements de matériaux.</w:t>
      </w:r>
    </w:p>
    <w:p w14:paraId="131946BB" w14:textId="77777777" w:rsidR="004B2808" w:rsidRDefault="00000000">
      <w:r>
        <w:t>L'exécution est conforme à la [NIT 269] et à la [NIT 272].</w:t>
      </w:r>
    </w:p>
    <w:p w14:paraId="4BBB40E2" w14:textId="77777777" w:rsidR="004B2808" w:rsidRDefault="00000000">
      <w:pPr>
        <w:ind w:left="750"/>
      </w:pPr>
      <w:r>
        <w:t> </w:t>
      </w:r>
    </w:p>
    <w:p w14:paraId="69B50CD8" w14:textId="77777777" w:rsidR="004B2808" w:rsidRDefault="00000000">
      <w:pPr>
        <w:pStyle w:val="pheading"/>
      </w:pPr>
      <w:r>
        <w:t>MESURAGE</w:t>
      </w:r>
    </w:p>
    <w:p w14:paraId="61BAA624" w14:textId="77777777" w:rsidR="004B2808" w:rsidRDefault="00000000">
      <w:r>
        <w:t>Conformément aux indications spécifiques dans le cahier spécial des charges et/ou le métré récapitulatif, le mesurage doit être conçu comme suit :</w:t>
      </w:r>
    </w:p>
    <w:p w14:paraId="50848D97" w14:textId="77777777" w:rsidR="004B2808" w:rsidRDefault="00000000">
      <w:pPr>
        <w:pStyle w:val="pheading"/>
      </w:pPr>
      <w:r>
        <w:t>- unité de mesure:</w:t>
      </w:r>
    </w:p>
    <w:p w14:paraId="0838C3E2" w14:textId="77777777" w:rsidR="004B2808" w:rsidRDefault="00000000">
      <w:r>
        <w:t>m²</w:t>
      </w:r>
    </w:p>
    <w:p w14:paraId="04BF6968" w14:textId="77777777" w:rsidR="004B2808" w:rsidRDefault="00000000">
      <w:pPr>
        <w:pStyle w:val="pheading"/>
      </w:pPr>
      <w:r>
        <w:t>- code de mesurage:</w:t>
      </w:r>
    </w:p>
    <w:p w14:paraId="3E3B6604" w14:textId="77777777" w:rsidR="004B2808" w:rsidRDefault="00000000">
      <w:r>
        <w:t>Surface nette à exécuter. Les ouvertures supérieures à 0,5 m² sont déduites.</w:t>
      </w:r>
    </w:p>
    <w:p w14:paraId="07C579E1" w14:textId="77777777" w:rsidR="004B2808" w:rsidRDefault="00000000">
      <w:pPr>
        <w:pStyle w:val="pheading"/>
      </w:pPr>
      <w:r>
        <w:t>- nature du marché:</w:t>
      </w:r>
    </w:p>
    <w:p w14:paraId="3DE158B9" w14:textId="77777777" w:rsidR="004B2808" w:rsidRDefault="00000000">
      <w:r>
        <w:t>QF</w:t>
      </w:r>
    </w:p>
    <w:p w14:paraId="09157C97" w14:textId="77777777" w:rsidR="004B2808" w:rsidRDefault="00000000">
      <w:pPr>
        <w:pStyle w:val="Author-eSectionHeading5Numberless"/>
      </w:pPr>
      <w:bookmarkStart w:id="695" w:name="_Toc220490847"/>
      <w:r>
        <w:t>53.56.5 Revêtements en bois massif - Parquet en bois de bout CCTB 01.02</w:t>
      </w:r>
      <w:bookmarkEnd w:id="695"/>
    </w:p>
    <w:p w14:paraId="185955FE" w14:textId="77777777" w:rsidR="004B2808" w:rsidRDefault="00000000">
      <w:pPr>
        <w:pStyle w:val="Author-eSectionHeading6Numberless"/>
      </w:pPr>
      <w:bookmarkStart w:id="696" w:name="_Toc220490848"/>
      <w:r>
        <w:t>53.56.5a Revêtements en bois massif - Parquet en bois de bout CCTB 01.10</w:t>
      </w:r>
      <w:bookmarkEnd w:id="696"/>
    </w:p>
    <w:p w14:paraId="3644C066" w14:textId="77777777" w:rsidR="004B2808" w:rsidRDefault="00000000">
      <w:pPr>
        <w:pStyle w:val="pheading"/>
      </w:pPr>
      <w:r>
        <w:t>MATÉRIAUX</w:t>
      </w:r>
    </w:p>
    <w:p w14:paraId="0695DBB4" w14:textId="77777777" w:rsidR="004B2808" w:rsidRDefault="00000000">
      <w:pPr>
        <w:pStyle w:val="pheading"/>
      </w:pPr>
      <w:r>
        <w:t>- Prescriptions complémentaires</w:t>
      </w:r>
    </w:p>
    <w:p w14:paraId="3E1A4947" w14:textId="77777777" w:rsidR="004B2808" w:rsidRDefault="00000000">
      <w:r>
        <w:t>Les matériaux seront peu combustibles (classes A1FL/A2FL selon la [NBN EN 13501-1].</w:t>
      </w:r>
    </w:p>
    <w:p w14:paraId="117A0E2D" w14:textId="77777777" w:rsidR="004B2808" w:rsidRDefault="00000000">
      <w:pPr>
        <w:pStyle w:val="pheading"/>
      </w:pPr>
      <w:r>
        <w:t>EXÉCUTION / MISE EN ŒUVRE</w:t>
      </w:r>
    </w:p>
    <w:p w14:paraId="127E7E9C" w14:textId="77777777" w:rsidR="004B2808" w:rsidRDefault="00000000">
      <w:pPr>
        <w:pStyle w:val="pheading"/>
      </w:pPr>
      <w:r>
        <w:t>- Prescriptions générales</w:t>
      </w:r>
    </w:p>
    <w:p w14:paraId="19CBEB3C" w14:textId="77777777" w:rsidR="004B2808" w:rsidRDefault="00000000">
      <w:r>
        <w:t>Les bandes de parquet en bois de bout sont collées les unes aux autres et au support conformément aux prescriptions du fabricant.</w:t>
      </w:r>
    </w:p>
    <w:p w14:paraId="3F0C17FE" w14:textId="77777777" w:rsidR="004B2808" w:rsidRDefault="00000000">
      <w:pPr>
        <w:pStyle w:val="pheading"/>
      </w:pPr>
      <w:r>
        <w:t>- Notes d’exécution complémentaires</w:t>
      </w:r>
    </w:p>
    <w:p w14:paraId="4E0131C8" w14:textId="77777777" w:rsidR="004B2808" w:rsidRDefault="00000000">
      <w:r>
        <w:t xml:space="preserve">Un sous-parquet d'égalisation et d'amortissement du bruit est à prévoir en matelas de PE, épaisseur min. </w:t>
      </w:r>
      <w:r>
        <w:rPr>
          <w:rStyle w:val="optioncarChar"/>
        </w:rPr>
        <w:t>2 </w:t>
      </w:r>
      <w:r>
        <w:t>(par défaut)</w:t>
      </w:r>
      <w:r>
        <w:rPr>
          <w:rStyle w:val="optioncarChar"/>
        </w:rPr>
        <w:t> / ***</w:t>
      </w:r>
      <w:r>
        <w:t> mm</w:t>
      </w:r>
      <w:r>
        <w:br/>
        <w:t xml:space="preserve">Un sous-parquet d'égalisation et d'amortissement du bruit est à prévoir en plaques de bois tendre, </w:t>
      </w:r>
      <w:r>
        <w:lastRenderedPageBreak/>
        <w:t xml:space="preserve">épaisseur min. </w:t>
      </w:r>
      <w:r>
        <w:rPr>
          <w:rStyle w:val="optioncarChar"/>
        </w:rPr>
        <w:t>5</w:t>
      </w:r>
      <w:r>
        <w:t> (par défaut)</w:t>
      </w:r>
      <w:r>
        <w:rPr>
          <w:rStyle w:val="optioncarChar"/>
        </w:rPr>
        <w:t xml:space="preserve"> / ***</w:t>
      </w:r>
      <w:r>
        <w:t xml:space="preserve"> mm</w:t>
      </w:r>
      <w:r>
        <w:br/>
        <w:t xml:space="preserve">Profils de transition en </w:t>
      </w:r>
      <w:r>
        <w:rPr>
          <w:rStyle w:val="optioncarChar"/>
        </w:rPr>
        <w:t xml:space="preserve">*** </w:t>
      </w:r>
      <w:r>
        <w:t>à prévoir au droit des changements de matériaux.</w:t>
      </w:r>
    </w:p>
    <w:p w14:paraId="1EDF9C93" w14:textId="77777777" w:rsidR="004B2808" w:rsidRDefault="00000000">
      <w:r>
        <w:t>L'exécution est conforme à la [NIT 269] et à la [NIT 272].</w:t>
      </w:r>
    </w:p>
    <w:p w14:paraId="038681DB" w14:textId="77777777" w:rsidR="004B2808" w:rsidRDefault="00000000">
      <w:pPr>
        <w:ind w:left="750"/>
      </w:pPr>
      <w:r>
        <w:t> </w:t>
      </w:r>
    </w:p>
    <w:p w14:paraId="5A3068DA" w14:textId="77777777" w:rsidR="004B2808" w:rsidRDefault="00000000">
      <w:pPr>
        <w:pStyle w:val="pheading"/>
      </w:pPr>
      <w:r>
        <w:t>MESURAGE</w:t>
      </w:r>
    </w:p>
    <w:p w14:paraId="0E33592D" w14:textId="77777777" w:rsidR="004B2808" w:rsidRDefault="00000000">
      <w:r>
        <w:t>Conformément aux indications spécifiques dans le cahier spécial des charges et/ou le métré récapitulatif, le mesurage doit être conçu comme suit :</w:t>
      </w:r>
    </w:p>
    <w:p w14:paraId="62F0CEFD" w14:textId="77777777" w:rsidR="004B2808" w:rsidRDefault="00000000">
      <w:pPr>
        <w:pStyle w:val="pheading"/>
      </w:pPr>
      <w:r>
        <w:t>- unité de mesure:</w:t>
      </w:r>
    </w:p>
    <w:p w14:paraId="4B41B03A" w14:textId="77777777" w:rsidR="004B2808" w:rsidRDefault="00000000">
      <w:r>
        <w:t>m²</w:t>
      </w:r>
    </w:p>
    <w:p w14:paraId="321285A0" w14:textId="77777777" w:rsidR="004B2808" w:rsidRDefault="00000000">
      <w:pPr>
        <w:pStyle w:val="pheading"/>
      </w:pPr>
      <w:r>
        <w:t>- code de mesurage:</w:t>
      </w:r>
    </w:p>
    <w:p w14:paraId="0B9D1BD4" w14:textId="77777777" w:rsidR="004B2808" w:rsidRDefault="00000000">
      <w:r>
        <w:t>Surface nette à exécuter. Les ouvertures supérieures à 0,5 m² sont déduites.</w:t>
      </w:r>
    </w:p>
    <w:p w14:paraId="2541392F" w14:textId="77777777" w:rsidR="004B2808" w:rsidRDefault="00000000">
      <w:pPr>
        <w:pStyle w:val="pheading"/>
      </w:pPr>
      <w:r>
        <w:t>- nature du marché:</w:t>
      </w:r>
    </w:p>
    <w:p w14:paraId="523B7725" w14:textId="77777777" w:rsidR="004B2808" w:rsidRDefault="00000000">
      <w:r>
        <w:t>QF</w:t>
      </w:r>
    </w:p>
    <w:p w14:paraId="4E56B3B0" w14:textId="77777777" w:rsidR="004B2808" w:rsidRDefault="00000000">
      <w:pPr>
        <w:pStyle w:val="Author-eSectionHeading5Numberless"/>
      </w:pPr>
      <w:bookmarkStart w:id="697" w:name="_Toc220490849"/>
      <w:r>
        <w:t>53.56.6 Revêtements en bois massif - Rénovation CCTB 01.02</w:t>
      </w:r>
      <w:bookmarkEnd w:id="697"/>
    </w:p>
    <w:p w14:paraId="6F383A55" w14:textId="77777777" w:rsidR="004B2808" w:rsidRDefault="00000000">
      <w:pPr>
        <w:pStyle w:val="Author-eSectionHeading6Numberless"/>
      </w:pPr>
      <w:bookmarkStart w:id="698" w:name="_Toc220490850"/>
      <w:r>
        <w:t>53.56.6a Revêtements en bois massif - Rénovation / ponçage CCTB 01.10</w:t>
      </w:r>
      <w:bookmarkEnd w:id="698"/>
    </w:p>
    <w:p w14:paraId="5B22AF16" w14:textId="77777777" w:rsidR="004B2808" w:rsidRDefault="00000000">
      <w:pPr>
        <w:pStyle w:val="pheading"/>
      </w:pPr>
      <w:r>
        <w:t>MATÉRIAUX</w:t>
      </w:r>
    </w:p>
    <w:p w14:paraId="5CA3C185" w14:textId="77777777" w:rsidR="004B2808" w:rsidRDefault="00000000">
      <w:pPr>
        <w:pStyle w:val="pheading"/>
      </w:pPr>
      <w:r>
        <w:t>- Caractéristiques générales</w:t>
      </w:r>
    </w:p>
    <w:p w14:paraId="1144060D" w14:textId="77777777" w:rsidR="004B2808" w:rsidRDefault="00000000">
      <w:r>
        <w:t xml:space="preserve">Ponceuse : </w:t>
      </w:r>
      <w:r>
        <w:rPr>
          <w:rStyle w:val="optioncarChar"/>
        </w:rPr>
        <w:t>ponceuse à bande / ponceuse rotative</w:t>
      </w:r>
    </w:p>
    <w:p w14:paraId="79A8E86D" w14:textId="77777777" w:rsidR="004B2808" w:rsidRDefault="00000000">
      <w:r>
        <w:t>Papier abrasif : granulométrie grossière à fine en fonction de l'état du support.</w:t>
      </w:r>
    </w:p>
    <w:p w14:paraId="5FE99748" w14:textId="77777777" w:rsidR="004B2808" w:rsidRDefault="00000000">
      <w:pPr>
        <w:pStyle w:val="pheading"/>
      </w:pPr>
      <w:r>
        <w:t>- Prescriptions complémentaires</w:t>
      </w:r>
    </w:p>
    <w:p w14:paraId="1F5D7E66" w14:textId="77777777" w:rsidR="004B2808" w:rsidRDefault="00000000">
      <w:r>
        <w:t>Les matériaux sont peu combustibles (classes A1FL/A2FL selon la [NBN EN 13501-1].</w:t>
      </w:r>
    </w:p>
    <w:p w14:paraId="60C6CF57" w14:textId="77777777" w:rsidR="004B2808" w:rsidRDefault="00000000">
      <w:pPr>
        <w:pStyle w:val="pheading"/>
      </w:pPr>
      <w:r>
        <w:t>EXÉCUTION / MISE EN ŒUVRE</w:t>
      </w:r>
    </w:p>
    <w:p w14:paraId="460D36F7" w14:textId="77777777" w:rsidR="004B2808" w:rsidRDefault="00000000">
      <w:pPr>
        <w:pStyle w:val="pheading"/>
      </w:pPr>
      <w:r>
        <w:t>- Prescriptions générales</w:t>
      </w:r>
    </w:p>
    <w:p w14:paraId="04026CF6" w14:textId="77777777" w:rsidR="004B2808" w:rsidRDefault="00000000">
      <w:r>
        <w:t>Tous les clous sont enfoncés. Le plancher existant est poncé parallèlement au sens des planches, avec du papier abrasif de quatre granulométries différentes en commençant par le plus gros et en terminant par le plus fin. La dernière phase du ponçage correspond à la texture obtenue avec du papier de verre n° 100.</w:t>
      </w:r>
      <w:r>
        <w:br/>
        <w:t>Les bords sont éventuellement poncés avec une petite ponceuse à bande ou manuellement. Après le ponçage, le sol est complètement dépoussiéré. Les taches sont enlevées avec un papier de verre fin ou de la laine d'acier. Les taches foncées provoquées par du fer etc. peuvent être enlevées à l'acide oxalique, après toutefois avoir effectué un essai.</w:t>
      </w:r>
      <w:r>
        <w:br/>
        <w:t>Les interstices et les trous de clous sont obturés avec un mastic acrylique, qui est compatible avec les produits de finition ultérieurs.</w:t>
      </w:r>
      <w:r>
        <w:br/>
        <w:t>Les planches abîmées sont remplacées et teintées avec un produit d'amélioration du bois, conformément aux [STS 04.3]- procédé C3 ou par un procédé de teinture conforme prescrit par la [NIT 272].</w:t>
      </w:r>
      <w:r>
        <w:br/>
        <w:t>L'exécution est conforme à la [NIT 272].</w:t>
      </w:r>
    </w:p>
    <w:p w14:paraId="6C1ADAED" w14:textId="77777777" w:rsidR="004B2808" w:rsidRDefault="00000000">
      <w:pPr>
        <w:ind w:left="750"/>
      </w:pPr>
      <w:r>
        <w:t> </w:t>
      </w:r>
    </w:p>
    <w:p w14:paraId="5D4DB3D3" w14:textId="77777777" w:rsidR="004B2808" w:rsidRDefault="00000000">
      <w:pPr>
        <w:pStyle w:val="pheading"/>
      </w:pPr>
      <w:r>
        <w:t>MESURAGE</w:t>
      </w:r>
    </w:p>
    <w:p w14:paraId="08F89E11" w14:textId="77777777" w:rsidR="004B2808" w:rsidRDefault="00000000">
      <w:r>
        <w:t>Conformément aux indications spécifiques dans le cahier spécial des charges et/ou le métré récapitulatif, le mesurage doit être conçu comme suit :</w:t>
      </w:r>
    </w:p>
    <w:p w14:paraId="44D4A1AE" w14:textId="77777777" w:rsidR="004B2808" w:rsidRDefault="00000000">
      <w:pPr>
        <w:pStyle w:val="pheading"/>
      </w:pPr>
      <w:r>
        <w:t>- unité de mesure:</w:t>
      </w:r>
    </w:p>
    <w:p w14:paraId="2C4B7032" w14:textId="77777777" w:rsidR="004B2808" w:rsidRDefault="00000000">
      <w:r>
        <w:lastRenderedPageBreak/>
        <w:t>m²</w:t>
      </w:r>
    </w:p>
    <w:p w14:paraId="651BFBCA" w14:textId="77777777" w:rsidR="004B2808" w:rsidRDefault="00000000">
      <w:pPr>
        <w:pStyle w:val="pheading"/>
      </w:pPr>
      <w:r>
        <w:t>- code de mesurage:</w:t>
      </w:r>
    </w:p>
    <w:p w14:paraId="7D97551D" w14:textId="77777777" w:rsidR="004B2808" w:rsidRDefault="00000000">
      <w:r>
        <w:t>Surface nette à exécuter. Les ouvertures supérieures à 0,5 m² sont déduites.</w:t>
      </w:r>
    </w:p>
    <w:p w14:paraId="31A9267B" w14:textId="77777777" w:rsidR="004B2808" w:rsidRDefault="00000000">
      <w:pPr>
        <w:pStyle w:val="pheading"/>
      </w:pPr>
      <w:r>
        <w:t>- nature du marché:</w:t>
      </w:r>
    </w:p>
    <w:p w14:paraId="41361AB8" w14:textId="77777777" w:rsidR="004B2808" w:rsidRDefault="00000000">
      <w:r>
        <w:t>QF</w:t>
      </w:r>
    </w:p>
    <w:p w14:paraId="53ABDD1C" w14:textId="77777777" w:rsidR="004B2808" w:rsidRDefault="00000000">
      <w:pPr>
        <w:pStyle w:val="Author-eSectionHeading4Numberless"/>
      </w:pPr>
      <w:bookmarkStart w:id="699" w:name="_Toc220490851"/>
      <w:r>
        <w:t>53.57 Revêtements en bois contrecollés, multicouches ou en panneaux CCTB 01.12</w:t>
      </w:r>
      <w:bookmarkEnd w:id="699"/>
    </w:p>
    <w:p w14:paraId="034E53F7" w14:textId="77777777" w:rsidR="004B2808" w:rsidRDefault="00000000">
      <w:pPr>
        <w:pStyle w:val="pheading"/>
      </w:pPr>
      <w:r>
        <w:t>MATÉRIAUX</w:t>
      </w:r>
    </w:p>
    <w:p w14:paraId="6EF7E792" w14:textId="77777777" w:rsidR="004B2808" w:rsidRDefault="00000000">
      <w:r>
        <w:t xml:space="preserve">Il s'agit d'un revêtement de sol réalisé à l'aide de </w:t>
      </w:r>
      <w:r>
        <w:rPr>
          <w:rStyle w:val="optioncarChar"/>
        </w:rPr>
        <w:t>plaques de contre-plaqué </w:t>
      </w:r>
      <w:r>
        <w:t xml:space="preserve">(par défaut) </w:t>
      </w:r>
      <w:r>
        <w:rPr>
          <w:rStyle w:val="optioncarChar"/>
        </w:rPr>
        <w:t>/ panneaux de bois aggloméré / panneaux OSB</w:t>
      </w:r>
      <w:r>
        <w:t>, selon les [STS 04.4]et la [NBN EN 300]</w:t>
      </w:r>
    </w:p>
    <w:p w14:paraId="377BB8C3" w14:textId="77777777" w:rsidR="004B2808" w:rsidRDefault="00000000">
      <w:pPr>
        <w:pStyle w:val="heading"/>
      </w:pPr>
      <w:r>
        <w:t>Spécifications plaques de contre-plaqué</w:t>
      </w:r>
    </w:p>
    <w:p w14:paraId="206BF0D3" w14:textId="77777777" w:rsidR="004B2808" w:rsidRDefault="00000000">
      <w:pPr>
        <w:pStyle w:val="Author-eListParagraph"/>
        <w:numPr>
          <w:ilvl w:val="0"/>
          <w:numId w:val="591"/>
        </w:numPr>
      </w:pPr>
      <w:r>
        <w:t xml:space="preserve">Classe de collage (selon les [STS 04 série] ) : </w:t>
      </w:r>
      <w:r>
        <w:rPr>
          <w:rStyle w:val="optioncarChar"/>
        </w:rPr>
        <w:t>72-100 (WBP) </w:t>
      </w:r>
      <w:r>
        <w:t>(par défaut)</w:t>
      </w:r>
      <w:r>
        <w:rPr>
          <w:rStyle w:val="optioncarChar"/>
        </w:rPr>
        <w:t xml:space="preserve"> / 03-67 (= hydrofuge) / ***</w:t>
      </w:r>
    </w:p>
    <w:p w14:paraId="68029C47" w14:textId="77777777" w:rsidR="004B2808" w:rsidRDefault="00000000">
      <w:pPr>
        <w:pStyle w:val="Author-eListParagraph"/>
        <w:numPr>
          <w:ilvl w:val="0"/>
          <w:numId w:val="591"/>
        </w:numPr>
      </w:pPr>
      <w:r>
        <w:t xml:space="preserve">Qualité du bois (selon les [STS 04 série] ) : </w:t>
      </w:r>
      <w:r>
        <w:rPr>
          <w:rStyle w:val="optioncarChar"/>
        </w:rPr>
        <w:t>code E (reste apparent) </w:t>
      </w:r>
      <w:r>
        <w:t>(par défaut)</w:t>
      </w:r>
      <w:r>
        <w:rPr>
          <w:rStyle w:val="optioncarChar"/>
        </w:rPr>
        <w:t xml:space="preserve"> / ***</w:t>
      </w:r>
    </w:p>
    <w:p w14:paraId="47323086" w14:textId="77777777" w:rsidR="004B2808" w:rsidRDefault="00000000">
      <w:pPr>
        <w:pStyle w:val="Author-eListParagraph"/>
        <w:numPr>
          <w:ilvl w:val="0"/>
          <w:numId w:val="591"/>
        </w:numPr>
      </w:pPr>
      <w:r>
        <w:t xml:space="preserve">Epaisseur des plaques : minimum </w:t>
      </w:r>
      <w:r>
        <w:rPr>
          <w:rStyle w:val="optioncarChar"/>
        </w:rPr>
        <w:t>15 </w:t>
      </w:r>
      <w:r>
        <w:t>(par défaut)</w:t>
      </w:r>
      <w:r>
        <w:rPr>
          <w:rStyle w:val="optioncarChar"/>
        </w:rPr>
        <w:t xml:space="preserve"> / 18 / 20 / 22 / 25 / 30 / ***</w:t>
      </w:r>
      <w:r>
        <w:t xml:space="preserve"> mm</w:t>
      </w:r>
    </w:p>
    <w:p w14:paraId="6B7C71A0" w14:textId="77777777" w:rsidR="004B2808" w:rsidRDefault="00000000">
      <w:pPr>
        <w:pStyle w:val="Author-eListParagraph"/>
        <w:numPr>
          <w:ilvl w:val="0"/>
          <w:numId w:val="591"/>
        </w:numPr>
      </w:pPr>
      <w:r>
        <w:t xml:space="preserve">Dimensions : </w:t>
      </w:r>
      <w:r>
        <w:rPr>
          <w:rStyle w:val="optioncarChar"/>
        </w:rPr>
        <w:t>122 x 244</w:t>
      </w:r>
      <w:r>
        <w:t> (par défaut)</w:t>
      </w:r>
      <w:r>
        <w:rPr>
          <w:rStyle w:val="optioncarChar"/>
        </w:rPr>
        <w:t xml:space="preserve"> / 125 x 250 / 153 x 305 / ***</w:t>
      </w:r>
      <w:r>
        <w:t> cm</w:t>
      </w:r>
    </w:p>
    <w:p w14:paraId="201FE503" w14:textId="77777777" w:rsidR="004B2808" w:rsidRDefault="00000000">
      <w:pPr>
        <w:pStyle w:val="Author-eListParagraph"/>
        <w:numPr>
          <w:ilvl w:val="0"/>
          <w:numId w:val="591"/>
        </w:numPr>
      </w:pPr>
      <w:r>
        <w:t xml:space="preserve">Finition des bords : </w:t>
      </w:r>
      <w:r>
        <w:rPr>
          <w:rStyle w:val="optioncarChar"/>
        </w:rPr>
        <w:t>droits </w:t>
      </w:r>
      <w:r>
        <w:t>(par défaut)</w:t>
      </w:r>
      <w:r>
        <w:rPr>
          <w:rStyle w:val="optioncarChar"/>
        </w:rPr>
        <w:t xml:space="preserve"> / à rainure et languette (des deux côtés longitudinaux / sur les quatre côtés (par défaut) / ***) / ***</w:t>
      </w:r>
    </w:p>
    <w:p w14:paraId="02A16E7F" w14:textId="77777777" w:rsidR="004B2808" w:rsidRDefault="00000000">
      <w:pPr>
        <w:pStyle w:val="Author-eListParagraph"/>
        <w:numPr>
          <w:ilvl w:val="0"/>
          <w:numId w:val="591"/>
        </w:numPr>
      </w:pPr>
      <w:r>
        <w:t xml:space="preserve">Finition de la face vue : </w:t>
      </w:r>
      <w:r>
        <w:rPr>
          <w:rStyle w:val="optioncarChar"/>
        </w:rPr>
        <w:t>poncée </w:t>
      </w:r>
      <w:r>
        <w:t>(par défaut)</w:t>
      </w:r>
      <w:r>
        <w:rPr>
          <w:rStyle w:val="optioncarChar"/>
        </w:rPr>
        <w:t xml:space="preserve"> / non poncée</w:t>
      </w:r>
      <w:r>
        <w:t>.</w:t>
      </w:r>
    </w:p>
    <w:p w14:paraId="0618BFC7" w14:textId="77777777" w:rsidR="004B2808" w:rsidRDefault="00000000">
      <w:pPr>
        <w:pStyle w:val="Author-eListParagraph"/>
        <w:numPr>
          <w:ilvl w:val="0"/>
          <w:numId w:val="591"/>
        </w:numPr>
      </w:pPr>
      <w:r>
        <w:t xml:space="preserve">Essence : </w:t>
      </w:r>
      <w:r>
        <w:rPr>
          <w:rStyle w:val="optioncarChar"/>
        </w:rPr>
        <w:t>bois résineux (Oregon, Western Red Cedar, ...) (par défaut) / Bois feuillu (méranti, bouleau, ...) / ***</w:t>
      </w:r>
    </w:p>
    <w:p w14:paraId="7E81ED43" w14:textId="77777777" w:rsidR="004B2808" w:rsidRDefault="00000000">
      <w:pPr>
        <w:pStyle w:val="Author-eListParagraph"/>
        <w:numPr>
          <w:ilvl w:val="0"/>
          <w:numId w:val="591"/>
        </w:numPr>
      </w:pPr>
      <w:r>
        <w:t>Placage extérieur :</w:t>
      </w:r>
      <w:r>
        <w:rPr>
          <w:rStyle w:val="optioncarChar"/>
        </w:rPr>
        <w:t> </w:t>
      </w:r>
      <w:r>
        <w:t xml:space="preserve">idem (par défaut) </w:t>
      </w:r>
      <w:r>
        <w:rPr>
          <w:rStyle w:val="optioncarChar"/>
        </w:rPr>
        <w:t>/ ***</w:t>
      </w:r>
    </w:p>
    <w:p w14:paraId="59782E79" w14:textId="77777777" w:rsidR="004B2808" w:rsidRDefault="00000000">
      <w:pPr>
        <w:pStyle w:val="Author-eListParagraph"/>
        <w:numPr>
          <w:ilvl w:val="0"/>
          <w:numId w:val="591"/>
        </w:numPr>
      </w:pPr>
      <w:r>
        <w:t xml:space="preserve">Réaction au feu : classe </w:t>
      </w:r>
      <w:r>
        <w:rPr>
          <w:rStyle w:val="optioncarChar"/>
        </w:rPr>
        <w:t xml:space="preserve">A1 </w:t>
      </w:r>
      <w:r>
        <w:rPr>
          <w:rStyle w:val="optioncarChar"/>
          <w:vertAlign w:val="subscript"/>
        </w:rPr>
        <w:t>FL</w:t>
      </w:r>
      <w:r>
        <w:t>(par défaut)</w:t>
      </w:r>
      <w:r>
        <w:rPr>
          <w:rStyle w:val="optioncarChar"/>
          <w:vertAlign w:val="subscript"/>
        </w:rPr>
        <w:t>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FL</w:t>
      </w:r>
      <w:r>
        <w:rPr>
          <w:rStyle w:val="optioncarChar"/>
        </w:rPr>
        <w:t xml:space="preserve"> /***</w:t>
      </w:r>
      <w:r>
        <w:rPr>
          <w:rStyle w:val="optioncarChar"/>
          <w:vertAlign w:val="subscript"/>
        </w:rPr>
        <w:t> </w:t>
      </w:r>
      <w:r>
        <w:t>selon la [NBN EN 13501-1].</w:t>
      </w:r>
    </w:p>
    <w:p w14:paraId="729BAE59" w14:textId="77777777" w:rsidR="004B2808" w:rsidRDefault="00000000">
      <w:pPr>
        <w:pStyle w:val="Author-eListParagraph"/>
        <w:numPr>
          <w:ilvl w:val="0"/>
          <w:numId w:val="591"/>
        </w:numPr>
      </w:pPr>
      <w:r>
        <w:t>Classe additionnelle :</w:t>
      </w:r>
    </w:p>
    <w:p w14:paraId="597C76BB" w14:textId="77777777" w:rsidR="004B2808" w:rsidRDefault="00000000">
      <w:pPr>
        <w:pStyle w:val="Author-eListParagraph"/>
        <w:numPr>
          <w:ilvl w:val="0"/>
          <w:numId w:val="591"/>
        </w:numPr>
      </w:pPr>
      <w:r>
        <w:t xml:space="preserve">Production de fumée : </w:t>
      </w:r>
      <w:r>
        <w:rPr>
          <w:rStyle w:val="optioncarChar"/>
        </w:rPr>
        <w:t>s1 </w:t>
      </w:r>
      <w:r>
        <w:t>(par défaut)</w:t>
      </w:r>
      <w:r>
        <w:rPr>
          <w:rStyle w:val="optioncarChar"/>
        </w:rPr>
        <w:t xml:space="preserve"> / s2 / ***</w:t>
      </w:r>
    </w:p>
    <w:p w14:paraId="16E3BB14" w14:textId="77777777" w:rsidR="004B2808" w:rsidRDefault="00000000">
      <w:pPr>
        <w:pStyle w:val="heading"/>
      </w:pPr>
      <w:r>
        <w:t>Spécifications panneaux de bois aggloméré</w:t>
      </w:r>
    </w:p>
    <w:p w14:paraId="398CAB42" w14:textId="77777777" w:rsidR="004B2808" w:rsidRDefault="00000000">
      <w:pPr>
        <w:pStyle w:val="Author-eListParagraph"/>
        <w:numPr>
          <w:ilvl w:val="0"/>
          <w:numId w:val="592"/>
        </w:numPr>
      </w:pPr>
      <w:r>
        <w:t xml:space="preserve">Pour un panneau de particules : </w:t>
      </w:r>
      <w:r>
        <w:rPr>
          <w:rStyle w:val="optioncarChar"/>
        </w:rPr>
        <w:t>P2 </w:t>
      </w:r>
      <w:r>
        <w:t xml:space="preserve">(par défaut) </w:t>
      </w:r>
      <w:r>
        <w:rPr>
          <w:rStyle w:val="optioncarChar"/>
        </w:rPr>
        <w:t xml:space="preserve">/ P3 / P4 / P5 / *** </w:t>
      </w:r>
      <w:r>
        <w:t>(selon [NBN EN 312])</w:t>
      </w:r>
    </w:p>
    <w:p w14:paraId="6492D745" w14:textId="77777777" w:rsidR="004B2808" w:rsidRDefault="00000000">
      <w:pPr>
        <w:pStyle w:val="Author-eListParagraph"/>
        <w:numPr>
          <w:ilvl w:val="0"/>
          <w:numId w:val="592"/>
        </w:numPr>
      </w:pPr>
      <w:r>
        <w:t>Pour un panneau contreplaqué conforme à la [NBN EN 636+A1]</w:t>
      </w:r>
    </w:p>
    <w:p w14:paraId="7059592A" w14:textId="77777777" w:rsidR="004B2808" w:rsidRDefault="00000000">
      <w:pPr>
        <w:pStyle w:val="Author-eListParagraph"/>
        <w:numPr>
          <w:ilvl w:val="0"/>
          <w:numId w:val="592"/>
        </w:numPr>
      </w:pPr>
      <w:r>
        <w:t xml:space="preserve">Pour un panneau MDF : </w:t>
      </w:r>
      <w:r>
        <w:rPr>
          <w:rStyle w:val="optioncarChar"/>
        </w:rPr>
        <w:t>MDF</w:t>
      </w:r>
      <w:r>
        <w:t> (par défaut)</w:t>
      </w:r>
      <w:r>
        <w:rPr>
          <w:rStyle w:val="optioncarChar"/>
        </w:rPr>
        <w:t xml:space="preserve"> / MDFLA / MDFH / MDFHLS</w:t>
      </w:r>
      <w:r>
        <w:t xml:space="preserve"> (selon [NBN EN 622-5]) </w:t>
      </w:r>
      <w:r>
        <w:rPr>
          <w:rStyle w:val="optioncarChar"/>
        </w:rPr>
        <w:t>/ ***</w:t>
      </w:r>
    </w:p>
    <w:p w14:paraId="2EBE9E10" w14:textId="77777777" w:rsidR="004B2808" w:rsidRDefault="00000000">
      <w:pPr>
        <w:pStyle w:val="Author-eListParagraph"/>
        <w:numPr>
          <w:ilvl w:val="0"/>
          <w:numId w:val="592"/>
        </w:numPr>
      </w:pPr>
      <w:r>
        <w:t xml:space="preserve">Masse volumique : minimum </w:t>
      </w:r>
      <w:r>
        <w:rPr>
          <w:rStyle w:val="optioncarChar"/>
        </w:rPr>
        <w:t>650 </w:t>
      </w:r>
      <w:r>
        <w:t xml:space="preserve">(par défaut) </w:t>
      </w:r>
      <w:r>
        <w:rPr>
          <w:rStyle w:val="optioncarChar"/>
        </w:rPr>
        <w:t>/ 725 / ***</w:t>
      </w:r>
      <w:r>
        <w:t xml:space="preserve"> kg/m3</w:t>
      </w:r>
    </w:p>
    <w:p w14:paraId="61C2A4C0" w14:textId="77777777" w:rsidR="004B2808" w:rsidRDefault="00000000">
      <w:pPr>
        <w:pStyle w:val="Author-eListParagraph"/>
        <w:numPr>
          <w:ilvl w:val="0"/>
          <w:numId w:val="592"/>
        </w:numPr>
      </w:pPr>
      <w:r>
        <w:t xml:space="preserve">Teneur en formaldéhyde : </w:t>
      </w:r>
      <w:r>
        <w:rPr>
          <w:rStyle w:val="optioncarChar"/>
        </w:rPr>
        <w:t>classe E1 </w:t>
      </w:r>
      <w:r>
        <w:t>(par défaut) </w:t>
      </w:r>
      <w:r>
        <w:rPr>
          <w:rStyle w:val="optioncarChar"/>
        </w:rPr>
        <w:t> / *** </w:t>
      </w:r>
      <w:r>
        <w:t>(selon [NBN EN ISO 12460-5])</w:t>
      </w:r>
    </w:p>
    <w:p w14:paraId="03374AE5" w14:textId="77777777" w:rsidR="004B2808" w:rsidRDefault="00000000">
      <w:pPr>
        <w:pStyle w:val="Author-eListParagraph"/>
        <w:numPr>
          <w:ilvl w:val="0"/>
          <w:numId w:val="592"/>
        </w:numPr>
      </w:pPr>
      <w:r>
        <w:t xml:space="preserve">Epaisseur des plaques : </w:t>
      </w:r>
      <w:r>
        <w:rPr>
          <w:rStyle w:val="optioncarChar"/>
        </w:rPr>
        <w:t>16 </w:t>
      </w:r>
      <w:r>
        <w:t>(par défaut)</w:t>
      </w:r>
      <w:r>
        <w:rPr>
          <w:rStyle w:val="optioncarChar"/>
        </w:rPr>
        <w:t xml:space="preserve"> / 18 / 20 / 22 / ***</w:t>
      </w:r>
      <w:r>
        <w:t xml:space="preserve"> mm.</w:t>
      </w:r>
    </w:p>
    <w:p w14:paraId="7B40F14E" w14:textId="77777777" w:rsidR="004B2808" w:rsidRDefault="00000000">
      <w:pPr>
        <w:pStyle w:val="Author-eListParagraph"/>
        <w:numPr>
          <w:ilvl w:val="0"/>
          <w:numId w:val="592"/>
        </w:numPr>
      </w:pPr>
      <w:r>
        <w:t xml:space="preserve">Dimensions : </w:t>
      </w:r>
      <w:r>
        <w:rPr>
          <w:rStyle w:val="optioncarChar"/>
        </w:rPr>
        <w:t>122 x 244</w:t>
      </w:r>
      <w:r>
        <w:t> (par défaut)</w:t>
      </w:r>
      <w:r>
        <w:rPr>
          <w:rStyle w:val="optioncarChar"/>
        </w:rPr>
        <w:t xml:space="preserve"> / 125 x 250 / *** </w:t>
      </w:r>
      <w:r>
        <w:t>cm.</w:t>
      </w:r>
    </w:p>
    <w:p w14:paraId="05762D6F" w14:textId="77777777" w:rsidR="004B2808" w:rsidRDefault="00000000">
      <w:pPr>
        <w:pStyle w:val="Author-eListParagraph"/>
        <w:numPr>
          <w:ilvl w:val="0"/>
          <w:numId w:val="592"/>
        </w:numPr>
      </w:pPr>
      <w:r>
        <w:t xml:space="preserve">Finition de la surface : </w:t>
      </w:r>
      <w:r>
        <w:rPr>
          <w:rStyle w:val="optioncarChar"/>
        </w:rPr>
        <w:t>poncée </w:t>
      </w:r>
      <w:r>
        <w:t>(par défaut)</w:t>
      </w:r>
      <w:r>
        <w:rPr>
          <w:rStyle w:val="optioncarChar"/>
        </w:rPr>
        <w:t xml:space="preserve"> / non poncée / avec surface de parement / *** </w:t>
      </w:r>
      <w:r>
        <w:t>.</w:t>
      </w:r>
    </w:p>
    <w:p w14:paraId="21B9BBB1" w14:textId="77777777" w:rsidR="004B2808" w:rsidRDefault="00000000">
      <w:pPr>
        <w:pStyle w:val="Author-eListParagraph"/>
        <w:numPr>
          <w:ilvl w:val="0"/>
          <w:numId w:val="592"/>
        </w:numPr>
      </w:pPr>
      <w:r>
        <w:t>Finition des bords :</w:t>
      </w:r>
      <w:r>
        <w:rPr>
          <w:rStyle w:val="optioncarChar"/>
        </w:rPr>
        <w:t> droite </w:t>
      </w:r>
      <w:r>
        <w:t>(par défaut)</w:t>
      </w:r>
      <w:r>
        <w:rPr>
          <w:rStyle w:val="optioncarChar"/>
        </w:rPr>
        <w:t xml:space="preserve"> / à rainure et languette / finition du type***</w:t>
      </w:r>
    </w:p>
    <w:p w14:paraId="6D6229E6" w14:textId="77777777" w:rsidR="004B2808" w:rsidRDefault="00000000">
      <w:pPr>
        <w:pStyle w:val="Author-eListParagraph"/>
        <w:numPr>
          <w:ilvl w:val="0"/>
          <w:numId w:val="592"/>
        </w:numPr>
      </w:pPr>
      <w:r>
        <w:t xml:space="preserve">Réaction au feu : classe </w:t>
      </w:r>
      <w:r>
        <w:rPr>
          <w:rStyle w:val="optioncarChar"/>
        </w:rPr>
        <w:t xml:space="preserve">A1 </w:t>
      </w:r>
      <w:r>
        <w:rPr>
          <w:rStyle w:val="optioncarChar"/>
          <w:vertAlign w:val="subscript"/>
        </w:rPr>
        <w:t xml:space="preserve">FL </w:t>
      </w:r>
      <w:r>
        <w:t>(par défaut)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rPr>
          <w:rStyle w:val="optioncarChar"/>
        </w:rPr>
        <w:t xml:space="preserve">/ E </w:t>
      </w:r>
      <w:r>
        <w:rPr>
          <w:rStyle w:val="optioncarChar"/>
          <w:vertAlign w:val="subscript"/>
        </w:rPr>
        <w:t xml:space="preserve">FL </w:t>
      </w:r>
      <w:r>
        <w:rPr>
          <w:rStyle w:val="optioncarChar"/>
        </w:rPr>
        <w:t xml:space="preserve">/ F </w:t>
      </w:r>
      <w:r>
        <w:rPr>
          <w:rStyle w:val="optioncarChar"/>
          <w:vertAlign w:val="subscript"/>
        </w:rPr>
        <w:t xml:space="preserve">FL </w:t>
      </w:r>
      <w:r>
        <w:rPr>
          <w:rStyle w:val="optioncarChar"/>
        </w:rPr>
        <w:t>/ ***</w:t>
      </w:r>
      <w:r>
        <w:rPr>
          <w:rStyle w:val="optioncarChar"/>
          <w:vertAlign w:val="subscript"/>
        </w:rPr>
        <w:t> </w:t>
      </w:r>
      <w:r>
        <w:t>selon la [NBN EN 13501-1].</w:t>
      </w:r>
    </w:p>
    <w:p w14:paraId="69EE4A06" w14:textId="77777777" w:rsidR="004B2808" w:rsidRDefault="00000000">
      <w:pPr>
        <w:pStyle w:val="Author-eListParagraph"/>
        <w:numPr>
          <w:ilvl w:val="0"/>
          <w:numId w:val="592"/>
        </w:numPr>
      </w:pPr>
      <w:r>
        <w:t>Classe additionnelle :</w:t>
      </w:r>
    </w:p>
    <w:p w14:paraId="759AB08D" w14:textId="77777777" w:rsidR="004B2808" w:rsidRDefault="00000000">
      <w:pPr>
        <w:pStyle w:val="Author-eListParagraph"/>
        <w:numPr>
          <w:ilvl w:val="0"/>
          <w:numId w:val="592"/>
        </w:numPr>
      </w:pPr>
      <w:r>
        <w:t xml:space="preserve">Production de fumée : </w:t>
      </w:r>
      <w:r>
        <w:rPr>
          <w:rStyle w:val="optioncarChar"/>
        </w:rPr>
        <w:t xml:space="preserve">s1 </w:t>
      </w:r>
      <w:r>
        <w:t>(par défaut) </w:t>
      </w:r>
      <w:r>
        <w:rPr>
          <w:rStyle w:val="optioncarChar"/>
        </w:rPr>
        <w:t>/ s2</w:t>
      </w:r>
      <w:r>
        <w:t> </w:t>
      </w:r>
    </w:p>
    <w:p w14:paraId="4A741266" w14:textId="77777777" w:rsidR="004B2808" w:rsidRDefault="00000000">
      <w:pPr>
        <w:pStyle w:val="heading"/>
      </w:pPr>
      <w:r>
        <w:t>Spécifications panneaux OSB</w:t>
      </w:r>
    </w:p>
    <w:p w14:paraId="61F2B296" w14:textId="77777777" w:rsidR="004B2808" w:rsidRDefault="00000000">
      <w:pPr>
        <w:pStyle w:val="Author-eListParagraph"/>
        <w:numPr>
          <w:ilvl w:val="0"/>
          <w:numId w:val="593"/>
        </w:numPr>
      </w:pPr>
      <w:r>
        <w:t xml:space="preserve">Masse volumique : minimum </w:t>
      </w:r>
      <w:r>
        <w:rPr>
          <w:rStyle w:val="optioncarChar"/>
        </w:rPr>
        <w:t xml:space="preserve">*** </w:t>
      </w:r>
      <w:r>
        <w:t>kg/m3</w:t>
      </w:r>
    </w:p>
    <w:p w14:paraId="36BA1509" w14:textId="77777777" w:rsidR="004B2808" w:rsidRDefault="00000000">
      <w:pPr>
        <w:pStyle w:val="Author-eListParagraph"/>
        <w:numPr>
          <w:ilvl w:val="0"/>
          <w:numId w:val="593"/>
        </w:numPr>
      </w:pPr>
      <w:r>
        <w:t>Type de panneaux:</w:t>
      </w:r>
      <w:r>
        <w:rPr>
          <w:rStyle w:val="optioncarChar"/>
        </w:rPr>
        <w:t> OSB1</w:t>
      </w:r>
      <w:r>
        <w:t xml:space="preserve"> (par défaut) </w:t>
      </w:r>
      <w:r>
        <w:rPr>
          <w:rStyle w:val="optioncarChar"/>
        </w:rPr>
        <w:t>/ OSB2 / OSB3 / OSB4 / ***</w:t>
      </w:r>
    </w:p>
    <w:p w14:paraId="1BC5CD5E" w14:textId="77777777" w:rsidR="004B2808" w:rsidRDefault="00000000">
      <w:pPr>
        <w:pStyle w:val="Author-eListParagraph"/>
        <w:numPr>
          <w:ilvl w:val="0"/>
          <w:numId w:val="593"/>
        </w:numPr>
      </w:pPr>
      <w:r>
        <w:t>Taux de formaldéhyde :</w:t>
      </w:r>
      <w:r>
        <w:rPr>
          <w:rStyle w:val="optioncarChar"/>
        </w:rPr>
        <w:t> classe E1 (par défaut) / *** </w:t>
      </w:r>
      <w:r>
        <w:t>(selon la [NBN EN ISO 12460-5])</w:t>
      </w:r>
    </w:p>
    <w:p w14:paraId="0E64537D" w14:textId="77777777" w:rsidR="004B2808" w:rsidRDefault="00000000">
      <w:pPr>
        <w:pStyle w:val="Author-eListParagraph"/>
        <w:numPr>
          <w:ilvl w:val="0"/>
          <w:numId w:val="593"/>
        </w:numPr>
      </w:pPr>
      <w:r>
        <w:t xml:space="preserve">Epaisseur des plaques : minimum </w:t>
      </w:r>
      <w:r>
        <w:rPr>
          <w:rStyle w:val="optioncarChar"/>
        </w:rPr>
        <w:t>18</w:t>
      </w:r>
      <w:r>
        <w:t> (par défaut)</w:t>
      </w:r>
      <w:r>
        <w:rPr>
          <w:rStyle w:val="optioncarChar"/>
        </w:rPr>
        <w:t xml:space="preserve"> / 20 / 22 / *** </w:t>
      </w:r>
      <w:r>
        <w:t>mm.</w:t>
      </w:r>
    </w:p>
    <w:p w14:paraId="39E388B3" w14:textId="77777777" w:rsidR="004B2808" w:rsidRDefault="00000000">
      <w:pPr>
        <w:pStyle w:val="Author-eListParagraph"/>
        <w:numPr>
          <w:ilvl w:val="0"/>
          <w:numId w:val="593"/>
        </w:numPr>
      </w:pPr>
      <w:r>
        <w:t>Dimensions : </w:t>
      </w:r>
      <w:r>
        <w:rPr>
          <w:rStyle w:val="optioncarChar"/>
        </w:rPr>
        <w:t xml:space="preserve">122 x 244 </w:t>
      </w:r>
      <w:r>
        <w:t>(par défaut) </w:t>
      </w:r>
      <w:r>
        <w:rPr>
          <w:rStyle w:val="optioncarChar"/>
        </w:rPr>
        <w:t xml:space="preserve">/ 125 x 250 / *** </w:t>
      </w:r>
      <w:r>
        <w:t>cm.</w:t>
      </w:r>
    </w:p>
    <w:p w14:paraId="69000DE5" w14:textId="77777777" w:rsidR="004B2808" w:rsidRDefault="00000000">
      <w:pPr>
        <w:pStyle w:val="Author-eListParagraph"/>
        <w:numPr>
          <w:ilvl w:val="0"/>
          <w:numId w:val="593"/>
        </w:numPr>
      </w:pPr>
      <w:r>
        <w:lastRenderedPageBreak/>
        <w:t xml:space="preserve">Finition de la surface : </w:t>
      </w:r>
      <w:r>
        <w:rPr>
          <w:rStyle w:val="optioncarChar"/>
        </w:rPr>
        <w:t>poncée </w:t>
      </w:r>
      <w:r>
        <w:t>(par défaut)</w:t>
      </w:r>
      <w:r>
        <w:rPr>
          <w:rStyle w:val="optioncarChar"/>
        </w:rPr>
        <w:t xml:space="preserve"> / non poncée / ***</w:t>
      </w:r>
    </w:p>
    <w:p w14:paraId="42220659" w14:textId="77777777" w:rsidR="004B2808" w:rsidRDefault="00000000">
      <w:pPr>
        <w:pStyle w:val="Author-eListParagraph"/>
        <w:numPr>
          <w:ilvl w:val="0"/>
          <w:numId w:val="593"/>
        </w:numPr>
      </w:pPr>
      <w:r>
        <w:t xml:space="preserve">Finition des bords : </w:t>
      </w:r>
      <w:r>
        <w:rPr>
          <w:rStyle w:val="optioncarChar"/>
        </w:rPr>
        <w:t>droite</w:t>
      </w:r>
      <w:r>
        <w:t xml:space="preserve"> (par défaut)</w:t>
      </w:r>
      <w:r>
        <w:rPr>
          <w:rStyle w:val="optioncarChar"/>
        </w:rPr>
        <w:t> / à rainure et languette / du type ***</w:t>
      </w:r>
    </w:p>
    <w:p w14:paraId="2E5A5D59" w14:textId="77777777" w:rsidR="004B2808" w:rsidRDefault="00000000">
      <w:pPr>
        <w:pStyle w:val="Author-eListParagraph"/>
        <w:numPr>
          <w:ilvl w:val="0"/>
          <w:numId w:val="593"/>
        </w:numPr>
      </w:pPr>
      <w:r>
        <w:t xml:space="preserve">Réaction au feu : classe </w:t>
      </w:r>
      <w:r>
        <w:rPr>
          <w:rStyle w:val="optioncarChar"/>
        </w:rPr>
        <w:t xml:space="preserve">A1 </w:t>
      </w:r>
      <w:r>
        <w:rPr>
          <w:rStyle w:val="optioncarChar"/>
          <w:vertAlign w:val="subscript"/>
        </w:rPr>
        <w:t>FL  </w:t>
      </w:r>
      <w:r>
        <w:t>(par défaut)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rPr>
          <w:rStyle w:val="optioncarChar"/>
        </w:rPr>
        <w:t>/ *** </w:t>
      </w:r>
      <w:r>
        <w:t>selon la [NBN EN 13501-1].</w:t>
      </w:r>
    </w:p>
    <w:p w14:paraId="5BBBF114" w14:textId="77777777" w:rsidR="004B2808" w:rsidRDefault="00000000">
      <w:pPr>
        <w:pStyle w:val="Author-eListParagraph"/>
        <w:numPr>
          <w:ilvl w:val="0"/>
          <w:numId w:val="593"/>
        </w:numPr>
      </w:pPr>
      <w:r>
        <w:t>Classe additionnelle :</w:t>
      </w:r>
    </w:p>
    <w:p w14:paraId="541C6C9F" w14:textId="77777777" w:rsidR="004B2808" w:rsidRDefault="00000000">
      <w:pPr>
        <w:pStyle w:val="Author-eListParagraph"/>
        <w:numPr>
          <w:ilvl w:val="0"/>
          <w:numId w:val="593"/>
        </w:numPr>
      </w:pPr>
      <w:r>
        <w:t>Production de fumée :</w:t>
      </w:r>
      <w:r>
        <w:rPr>
          <w:rStyle w:val="optioncarChar"/>
        </w:rPr>
        <w:t> s1</w:t>
      </w:r>
      <w:r>
        <w:t> (par défaut)</w:t>
      </w:r>
      <w:r>
        <w:rPr>
          <w:rStyle w:val="optioncarChar"/>
        </w:rPr>
        <w:t xml:space="preserve"> / s2 / ***</w:t>
      </w:r>
    </w:p>
    <w:p w14:paraId="6180003A" w14:textId="77777777" w:rsidR="004B2808" w:rsidRDefault="00000000">
      <w:pPr>
        <w:pStyle w:val="pheading"/>
      </w:pPr>
      <w:r>
        <w:t>EXÉCUTION / MISE EN ŒUVRE</w:t>
      </w:r>
    </w:p>
    <w:p w14:paraId="0695A391" w14:textId="77777777" w:rsidR="004B2808" w:rsidRDefault="00000000">
      <w:r>
        <w:t xml:space="preserve">Les panneaux sont posés comme </w:t>
      </w:r>
      <w:r>
        <w:rPr>
          <w:rStyle w:val="optioncarChar"/>
        </w:rPr>
        <w:t>sous-couche provisoire</w:t>
      </w:r>
      <w:r>
        <w:t> (par défaut</w:t>
      </w:r>
      <w:r>
        <w:rPr>
          <w:rStyle w:val="optioncarChar"/>
        </w:rPr>
        <w:t>) / couche de revêtement définitive / *** </w:t>
      </w:r>
      <w:r>
        <w:t>.</w:t>
      </w:r>
      <w:r>
        <w:br/>
        <w:t xml:space="preserve">Conformément aux indications sur les plans et dans le cahier spécial des charges, les plaques sont posées </w:t>
      </w:r>
      <w:r>
        <w:rPr>
          <w:rStyle w:val="optioncarChar"/>
        </w:rPr>
        <w:t>sur une aire de pose continue (chape, plancher existant) </w:t>
      </w:r>
      <w:r>
        <w:t>(par défaut)</w:t>
      </w:r>
      <w:r>
        <w:rPr>
          <w:rStyle w:val="optioncarChar"/>
        </w:rPr>
        <w:t xml:space="preserve"> / sur un gîtage en bois</w:t>
      </w:r>
      <w:r>
        <w:t>.</w:t>
      </w:r>
      <w:r>
        <w:br/>
        <w:t>La mise en œuvre est conforme à la [NIT 269] et à la [NIT 272]. </w:t>
      </w:r>
    </w:p>
    <w:p w14:paraId="35B093C5" w14:textId="77777777" w:rsidR="004B2808" w:rsidRDefault="00000000">
      <w:pPr>
        <w:pStyle w:val="heading"/>
      </w:pPr>
      <w:r>
        <w:t>Mise en œuvre sur un gîtage en bois</w:t>
      </w:r>
    </w:p>
    <w:p w14:paraId="5221B8D8" w14:textId="77777777" w:rsidR="004B2808" w:rsidRDefault="00000000">
      <w:pPr>
        <w:pStyle w:val="Author-eListParagraph"/>
        <w:numPr>
          <w:ilvl w:val="0"/>
          <w:numId w:val="594"/>
        </w:numPr>
      </w:pPr>
      <w:r>
        <w:t>Les plaques sont livrées dans les plus grandes longueurs possibles. Elles sont posées parfaitement planes et de niveau, avec la face supérieure au niveau souhaité. Les joints des plaques coïncident avec l'axe des poutres dans un sens ; dans l'autre sens, elles reposent sur les entretoises entre les gîtes.</w:t>
      </w:r>
    </w:p>
    <w:p w14:paraId="72BD0CDC" w14:textId="77777777" w:rsidR="004B2808" w:rsidRDefault="00000000">
      <w:pPr>
        <w:ind w:left="450"/>
      </w:pPr>
      <w:r>
        <w:rPr>
          <w:b/>
        </w:rPr>
        <w:t xml:space="preserve">Choix opéré : </w:t>
      </w:r>
      <w:r>
        <w:rPr>
          <w:rStyle w:val="optioncarChar"/>
          <w:b/>
        </w:rPr>
        <w:t>*** / OPTION 1 (parallèlement en alternance) </w:t>
      </w:r>
      <w:r>
        <w:t>(par défaut)</w:t>
      </w:r>
      <w:r>
        <w:rPr>
          <w:rStyle w:val="optioncarChar"/>
          <w:b/>
        </w:rPr>
        <w:t xml:space="preserve"> / OPTION 2 (parallèlement, joints traversaux) / OPTION 3 (perpendiculairement)</w:t>
      </w:r>
    </w:p>
    <w:p w14:paraId="59A33E52" w14:textId="77777777" w:rsidR="004B2808" w:rsidRDefault="00000000">
      <w:pPr>
        <w:ind w:left="450"/>
      </w:pPr>
      <w:r>
        <w:rPr>
          <w:b/>
        </w:rPr>
        <w:t>***OPTION 1 </w:t>
      </w:r>
      <w:r>
        <w:t>(par défaut). Les plaques sont posées le sens de la longueur parallèlement aux supports sur lesquels elles sont fixées. Les plaques sont posées en alternance, les joints transversaux de deux rangées successives ne pouvant se joindre sur la même poutre.</w:t>
      </w:r>
      <w:r>
        <w:br/>
      </w:r>
      <w:r>
        <w:rPr>
          <w:b/>
        </w:rPr>
        <w:t>***OPTION 2</w:t>
      </w:r>
      <w:r>
        <w:t> Les plaques sont posées, le sens de la longueur parallèlement aux supports sur lesquels elles sont fixées. Les joints transversaux se situent dans le prolongement l'un de l'autre.</w:t>
      </w:r>
      <w:r>
        <w:br/>
      </w:r>
      <w:r>
        <w:rPr>
          <w:b/>
        </w:rPr>
        <w:t>***OPTION 3</w:t>
      </w:r>
      <w:r>
        <w:t xml:space="preserve"> Les plaques sont posées, le sens de la longueur perpendiculairement aux supports sur lesquels elles sont fixées. Les joints transversaux coïncident avec l'axe des supports.</w:t>
      </w:r>
    </w:p>
    <w:p w14:paraId="669AA6EE" w14:textId="77777777" w:rsidR="004B2808" w:rsidRDefault="00000000">
      <w:pPr>
        <w:pStyle w:val="Author-eListParagraph"/>
        <w:numPr>
          <w:ilvl w:val="0"/>
          <w:numId w:val="595"/>
        </w:numPr>
      </w:pPr>
      <w:r>
        <w:t>Les bords des éléments qui constituent le revêtement en plaques s'appuient toujours sur les poutres ou constructions sous-jacentes. Les extrémités ou les bords doivent toujours être supportés, les encorbellements ne sont pas admis.</w:t>
      </w:r>
    </w:p>
    <w:p w14:paraId="5602DBD1" w14:textId="77777777" w:rsidR="004B2808" w:rsidRDefault="00000000">
      <w:pPr>
        <w:pStyle w:val="Author-eListParagraph"/>
        <w:numPr>
          <w:ilvl w:val="0"/>
          <w:numId w:val="595"/>
        </w:numPr>
      </w:pPr>
      <w:r>
        <w:t>Au préalable, toutes les irrégularités sont enlevées avec les moyens appropriés en fonction de la nature du support et ne peuvent dépasser 5 mm . Lorsque l'aire de pose n'est pas suffisamment horizontale ou lorsque l'épaisseur de compensation dépasse l'épaisseur des plaques, on utilise un lattage et/ou des cales de pente traitées selon le procédé A1 des [STS 04.3].</w:t>
      </w:r>
    </w:p>
    <w:p w14:paraId="46B7B538" w14:textId="77777777" w:rsidR="004B2808" w:rsidRDefault="00000000">
      <w:pPr>
        <w:pStyle w:val="Author-eListParagraph"/>
        <w:numPr>
          <w:ilvl w:val="0"/>
          <w:numId w:val="595"/>
        </w:numPr>
      </w:pPr>
      <w:r>
        <w:t>Au droit de la jonction avec les murs, on laisse un joint d'au moins 5 mm . Entre les plaques, on laisse un jeu d'environ 2% de la largeur des plaques soit  </w:t>
      </w:r>
      <w:r>
        <w:rPr>
          <w:u w:val="single"/>
        </w:rPr>
        <w:t>+</w:t>
      </w:r>
      <w:r>
        <w:t> </w:t>
      </w:r>
      <w:r>
        <w:rPr>
          <w:rStyle w:val="optioncarChar"/>
        </w:rPr>
        <w:t>2</w:t>
      </w:r>
      <w:r>
        <w:t> (par défaut)</w:t>
      </w:r>
      <w:r>
        <w:rPr>
          <w:rStyle w:val="optioncarChar"/>
        </w:rPr>
        <w:t xml:space="preserve"> / *** </w:t>
      </w:r>
      <w:r>
        <w:t xml:space="preserve"> mm).</w:t>
      </w:r>
    </w:p>
    <w:p w14:paraId="10B00C73" w14:textId="77777777" w:rsidR="004B2808" w:rsidRDefault="00000000">
      <w:pPr>
        <w:pStyle w:val="Author-eListParagraph"/>
        <w:numPr>
          <w:ilvl w:val="0"/>
          <w:numId w:val="595"/>
        </w:numPr>
      </w:pPr>
      <w:r>
        <w:t>En fonction de la nature et de l'état du support, les plaques sont vissées ou clouées avec les moyens de fixation appropriés qui sont enfoncés dans les plaques.</w:t>
      </w:r>
    </w:p>
    <w:p w14:paraId="4CDA48DB" w14:textId="77777777" w:rsidR="004B2808" w:rsidRDefault="00000000">
      <w:pPr>
        <w:pStyle w:val="heading"/>
      </w:pPr>
      <w:r>
        <w:t>Notes d'exécution complémentaires</w:t>
      </w:r>
    </w:p>
    <w:p w14:paraId="6D29D26C" w14:textId="77777777" w:rsidR="004B2808" w:rsidRDefault="00000000">
      <w:pPr>
        <w:pStyle w:val="Author-eListParagraph"/>
        <w:numPr>
          <w:ilvl w:val="0"/>
          <w:numId w:val="596"/>
        </w:numPr>
      </w:pPr>
      <w:r>
        <w:t>Au droit des passages et des réservations, des ouvertures aux dimensions appropriées sont réservées dans les plaques.</w:t>
      </w:r>
    </w:p>
    <w:p w14:paraId="787A6368" w14:textId="77777777" w:rsidR="004B2808" w:rsidRDefault="00000000">
      <w:pPr>
        <w:pStyle w:val="Author-eListParagraph"/>
        <w:numPr>
          <w:ilvl w:val="0"/>
          <w:numId w:val="596"/>
        </w:numPr>
      </w:pPr>
      <w:r>
        <w:t xml:space="preserve">On pose une bande de </w:t>
      </w:r>
      <w:r>
        <w:rPr>
          <w:rStyle w:val="optioncarChar"/>
        </w:rPr>
        <w:t>couche de feutre</w:t>
      </w:r>
      <w:r>
        <w:t> (par défaut)</w:t>
      </w:r>
      <w:r>
        <w:rPr>
          <w:rStyle w:val="optioncarChar"/>
        </w:rPr>
        <w:t xml:space="preserve"> / *** </w:t>
      </w:r>
      <w:r>
        <w:t>entre les plaques et les chevrons afin d'absorber les bruits.</w:t>
      </w:r>
    </w:p>
    <w:p w14:paraId="0A447576" w14:textId="77777777" w:rsidR="004B2808" w:rsidRDefault="00000000">
      <w:pPr>
        <w:pStyle w:val="Author-eListParagraph"/>
        <w:numPr>
          <w:ilvl w:val="0"/>
          <w:numId w:val="596"/>
        </w:numPr>
      </w:pPr>
      <w:r>
        <w:t>Les plaques sont assemblées à l'aide d'une languette en bois.</w:t>
      </w:r>
    </w:p>
    <w:p w14:paraId="7F5AD9E6" w14:textId="77777777" w:rsidR="004B2808" w:rsidRDefault="00000000">
      <w:pPr>
        <w:pStyle w:val="Author-eListParagraph"/>
        <w:numPr>
          <w:ilvl w:val="0"/>
          <w:numId w:val="596"/>
        </w:numPr>
      </w:pPr>
      <w:r>
        <w:t>L'aire de pose est préalablement mise de niveau à l'aide d'un lattage.</w:t>
      </w:r>
    </w:p>
    <w:p w14:paraId="5B6648EF" w14:textId="77777777" w:rsidR="004B2808" w:rsidRDefault="00000000">
      <w:pPr>
        <w:pStyle w:val="Author-eListParagraph"/>
        <w:numPr>
          <w:ilvl w:val="0"/>
          <w:numId w:val="596"/>
        </w:numPr>
      </w:pPr>
      <w:r>
        <w:t>Les plaques assemblées par rainure et languette sont collées.</w:t>
      </w:r>
    </w:p>
    <w:p w14:paraId="7E08E6BE" w14:textId="77777777" w:rsidR="004B2808" w:rsidRDefault="00000000">
      <w:pPr>
        <w:pStyle w:val="Author-eListParagraph"/>
        <w:numPr>
          <w:ilvl w:val="0"/>
          <w:numId w:val="596"/>
        </w:numPr>
      </w:pPr>
      <w:r>
        <w:t>Les plaques assemblées par rainure et languette sont posées par collage comme plancher flottant.</w:t>
      </w:r>
    </w:p>
    <w:p w14:paraId="3688F2C5" w14:textId="77777777" w:rsidR="004B2808" w:rsidRDefault="00000000">
      <w:pPr>
        <w:pStyle w:val="Author-eListParagraph"/>
        <w:numPr>
          <w:ilvl w:val="0"/>
          <w:numId w:val="596"/>
        </w:numPr>
      </w:pPr>
      <w:r>
        <w:t xml:space="preserve">La fixation se fait avec des </w:t>
      </w:r>
      <w:r>
        <w:rPr>
          <w:rStyle w:val="optioncarChar"/>
        </w:rPr>
        <w:t>vis fraisées</w:t>
      </w:r>
      <w:r>
        <w:t> (par défaut)</w:t>
      </w:r>
      <w:r>
        <w:rPr>
          <w:rStyle w:val="optioncarChar"/>
        </w:rPr>
        <w:t> / clous enchâssés / agrafes appliquées à l'agrafeuse pneumatique / ***</w:t>
      </w:r>
    </w:p>
    <w:p w14:paraId="3ED65133" w14:textId="77777777" w:rsidR="004B2808" w:rsidRDefault="00000000">
      <w:pPr>
        <w:pStyle w:val="Author-eListParagraph"/>
        <w:numPr>
          <w:ilvl w:val="0"/>
          <w:numId w:val="596"/>
        </w:numPr>
      </w:pPr>
      <w:r>
        <w:lastRenderedPageBreak/>
        <w:t xml:space="preserve">La distance entre deux points de fixation ne peut pas dépasser </w:t>
      </w:r>
      <w:r>
        <w:rPr>
          <w:rStyle w:val="optioncarChar"/>
        </w:rPr>
        <w:t>15</w:t>
      </w:r>
      <w:r>
        <w:t xml:space="preserve"> (par défaut) </w:t>
      </w:r>
      <w:r>
        <w:rPr>
          <w:rStyle w:val="optioncarChar"/>
        </w:rPr>
        <w:t xml:space="preserve">/ 20 / *** </w:t>
      </w:r>
      <w:r>
        <w:t xml:space="preserve">cm sur le pourtour des plaques et </w:t>
      </w:r>
      <w:r>
        <w:rPr>
          <w:rStyle w:val="optioncarChar"/>
        </w:rPr>
        <w:t>30</w:t>
      </w:r>
      <w:r>
        <w:t xml:space="preserve"> (par défaut) </w:t>
      </w:r>
      <w:r>
        <w:rPr>
          <w:rStyle w:val="optioncarChar"/>
        </w:rPr>
        <w:t xml:space="preserve">/ 40 / *** </w:t>
      </w:r>
      <w:r>
        <w:t>cm sur les appuis intermédiaires.</w:t>
      </w:r>
    </w:p>
    <w:p w14:paraId="3EF5DF01" w14:textId="77777777" w:rsidR="004B2808" w:rsidRDefault="00000000">
      <w:pPr>
        <w:ind w:left="750"/>
      </w:pPr>
      <w:r>
        <w:t> </w:t>
      </w:r>
    </w:p>
    <w:p w14:paraId="7978FC28" w14:textId="77777777" w:rsidR="004B2808" w:rsidRDefault="00000000">
      <w:pPr>
        <w:pStyle w:val="pheading"/>
      </w:pPr>
      <w:r>
        <w:t>AIDE</w:t>
      </w:r>
    </w:p>
    <w:p w14:paraId="316E7FB8" w14:textId="77777777" w:rsidR="004B2808" w:rsidRDefault="00000000">
      <w:r>
        <w:rPr>
          <w:i/>
          <w:u w:val="single"/>
        </w:rPr>
        <w:t xml:space="preserve">Note à l'attention de l'auteur de projet </w:t>
      </w:r>
    </w:p>
    <w:p w14:paraId="772692FA" w14:textId="77777777" w:rsidR="004B2808" w:rsidRDefault="00000000">
      <w:r>
        <w:t>Le type B peut être utilisé pour des applications structurelles et non-structurelles éventuellement soumises à des fluctuations du taux d'humidité, sans toutefois provoquer un excès permanent d'humidité ni un affaiblissement des mesures de protection contre l'humidité pendant le transport, l'entreposage ou la mise en œuvre.</w:t>
      </w:r>
    </w:p>
    <w:p w14:paraId="1DE1788F" w14:textId="77777777" w:rsidR="004B2808" w:rsidRDefault="00000000">
      <w:pPr>
        <w:pStyle w:val="Author-eSectionHeading5Numberless"/>
      </w:pPr>
      <w:bookmarkStart w:id="700" w:name="_Toc220490852"/>
      <w:r>
        <w:t>53.57.1 Revêtements en bois contrecollés, multicouches ou en panneaux - Couche d'usure en bois massif (&gt;2,5mm) CCTB 01.02</w:t>
      </w:r>
      <w:bookmarkEnd w:id="700"/>
    </w:p>
    <w:p w14:paraId="6DDAC39D" w14:textId="77777777" w:rsidR="004B2808" w:rsidRDefault="00000000">
      <w:pPr>
        <w:pStyle w:val="Author-eSectionHeading6Numberless"/>
      </w:pPr>
      <w:bookmarkStart w:id="701" w:name="_Toc220490853"/>
      <w:r>
        <w:t>53.57.1a Revêtements en bois contrecollés, multicouches ou en panneaux - Couche d'usure en bois massif (&gt;2,5mm) CCTB 01.10</w:t>
      </w:r>
      <w:bookmarkEnd w:id="701"/>
    </w:p>
    <w:p w14:paraId="7C8F4AAE" w14:textId="77777777" w:rsidR="004B2808" w:rsidRDefault="00000000">
      <w:pPr>
        <w:pStyle w:val="pheading"/>
      </w:pPr>
      <w:r>
        <w:t>MATÉRIAUX</w:t>
      </w:r>
    </w:p>
    <w:p w14:paraId="2030DDBD" w14:textId="77777777" w:rsidR="004B2808" w:rsidRDefault="00000000">
      <w:pPr>
        <w:pStyle w:val="pheading"/>
      </w:pPr>
      <w:r>
        <w:t>- Prescriptions complémentaires</w:t>
      </w:r>
    </w:p>
    <w:p w14:paraId="0DB75E20" w14:textId="77777777" w:rsidR="004B2808" w:rsidRDefault="00000000">
      <w:r>
        <w:t>Les matériaux sont peu combustibles (classes A1FL/A2FL selon la [NBN EN 13501-1].</w:t>
      </w:r>
    </w:p>
    <w:p w14:paraId="4EA2A985" w14:textId="77777777" w:rsidR="004B2808" w:rsidRDefault="00000000">
      <w:pPr>
        <w:pStyle w:val="heading"/>
      </w:pPr>
      <w:r>
        <w:t>Plaques de contre-plaqué</w:t>
      </w:r>
    </w:p>
    <w:p w14:paraId="514E407C" w14:textId="77777777" w:rsidR="004B2808" w:rsidRDefault="00000000">
      <w:pPr>
        <w:pStyle w:val="Author-eListParagraph"/>
        <w:numPr>
          <w:ilvl w:val="0"/>
          <w:numId w:val="597"/>
        </w:numPr>
      </w:pPr>
      <w:r>
        <w:t>Conformes à [NBN EN 636+A1]</w:t>
      </w:r>
    </w:p>
    <w:p w14:paraId="420CC7D6" w14:textId="77777777" w:rsidR="004B2808" w:rsidRDefault="00000000">
      <w:pPr>
        <w:pStyle w:val="Author-eListParagraph"/>
        <w:numPr>
          <w:ilvl w:val="0"/>
          <w:numId w:val="597"/>
        </w:numPr>
      </w:pPr>
      <w:r>
        <w:t xml:space="preserve">Les panneaux sont </w:t>
      </w:r>
      <w:r>
        <w:rPr>
          <w:rStyle w:val="optioncarChar"/>
        </w:rPr>
        <w:t>bakélisés</w:t>
      </w:r>
      <w:r>
        <w:t xml:space="preserve"> (par défaut) </w:t>
      </w:r>
      <w:r>
        <w:rPr>
          <w:rStyle w:val="optioncarChar"/>
        </w:rPr>
        <w:t>/ mélaminés /***</w:t>
      </w:r>
    </w:p>
    <w:p w14:paraId="7F5B4111" w14:textId="77777777" w:rsidR="004B2808" w:rsidRDefault="00000000">
      <w:pPr>
        <w:pStyle w:val="Author-eListParagraph"/>
        <w:numPr>
          <w:ilvl w:val="0"/>
          <w:numId w:val="597"/>
        </w:numPr>
      </w:pPr>
      <w:r>
        <w:t>Les plaques sont</w:t>
      </w:r>
      <w:r>
        <w:rPr>
          <w:rStyle w:val="optioncarChar"/>
        </w:rPr>
        <w:t> traitées afin d’améliorer leur comportement de réaction au feu (plaques ignifugées) </w:t>
      </w:r>
      <w:r>
        <w:t xml:space="preserve">(par défaut) </w:t>
      </w:r>
      <w:r>
        <w:rPr>
          <w:rStyle w:val="optioncarChar"/>
        </w:rPr>
        <w:t>/ ***</w:t>
      </w:r>
    </w:p>
    <w:p w14:paraId="6ADC31B1" w14:textId="77777777" w:rsidR="004B2808" w:rsidRDefault="00000000">
      <w:pPr>
        <w:pStyle w:val="heading"/>
      </w:pPr>
      <w:r>
        <w:t>Panneaux de particules</w:t>
      </w:r>
    </w:p>
    <w:p w14:paraId="1C6B51B5" w14:textId="77777777" w:rsidR="004B2808" w:rsidRDefault="00000000">
      <w:pPr>
        <w:pStyle w:val="Author-eListParagraph"/>
        <w:numPr>
          <w:ilvl w:val="0"/>
          <w:numId w:val="598"/>
        </w:numPr>
      </w:pPr>
      <w:r>
        <w:t>Conformes à [NBN EN 312])</w:t>
      </w:r>
    </w:p>
    <w:p w14:paraId="5C2A50B6" w14:textId="77777777" w:rsidR="004B2808" w:rsidRDefault="00000000">
      <w:pPr>
        <w:pStyle w:val="Author-eListParagraph"/>
        <w:numPr>
          <w:ilvl w:val="0"/>
          <w:numId w:val="598"/>
        </w:numPr>
      </w:pPr>
      <w:r>
        <w:t>Les plaques sont </w:t>
      </w:r>
      <w:r>
        <w:rPr>
          <w:rStyle w:val="optioncarChar"/>
        </w:rPr>
        <w:t>traitées afin d’améliorer leur comportement de réaction au feu (plaques ignifugées)</w:t>
      </w:r>
      <w:r>
        <w:t> (par défaut)</w:t>
      </w:r>
      <w:r>
        <w:rPr>
          <w:rStyle w:val="optioncarChar"/>
        </w:rPr>
        <w:t xml:space="preserve"> / ***</w:t>
      </w:r>
    </w:p>
    <w:p w14:paraId="5E674CA7" w14:textId="77777777" w:rsidR="004B2808" w:rsidRDefault="00000000">
      <w:pPr>
        <w:pStyle w:val="heading"/>
      </w:pPr>
      <w:r>
        <w:t>Panneaux OSB</w:t>
      </w:r>
    </w:p>
    <w:p w14:paraId="3BF48A25" w14:textId="77777777" w:rsidR="004B2808" w:rsidRDefault="00000000">
      <w:pPr>
        <w:pStyle w:val="Author-eListParagraph"/>
        <w:numPr>
          <w:ilvl w:val="0"/>
          <w:numId w:val="599"/>
        </w:numPr>
      </w:pPr>
      <w:r>
        <w:t xml:space="preserve">Les plaques sont </w:t>
      </w:r>
      <w:r>
        <w:rPr>
          <w:rStyle w:val="optioncarChar"/>
        </w:rPr>
        <w:t xml:space="preserve">traitées afin d’améliorer leur comportement de réaction au feu (plaques ignifugées) </w:t>
      </w:r>
      <w:r>
        <w:t>(par défaut)</w:t>
      </w:r>
      <w:r>
        <w:rPr>
          <w:rStyle w:val="optioncarChar"/>
        </w:rPr>
        <w:t> / ***</w:t>
      </w:r>
    </w:p>
    <w:p w14:paraId="2F64815D" w14:textId="77777777" w:rsidR="004B2808" w:rsidRDefault="00000000">
      <w:pPr>
        <w:pStyle w:val="heading"/>
      </w:pPr>
      <w:r>
        <w:t>Panneaux MDF</w:t>
      </w:r>
    </w:p>
    <w:p w14:paraId="3DC3910C" w14:textId="77777777" w:rsidR="004B2808" w:rsidRDefault="00000000">
      <w:pPr>
        <w:pStyle w:val="Author-eListParagraph"/>
        <w:numPr>
          <w:ilvl w:val="0"/>
          <w:numId w:val="600"/>
        </w:numPr>
      </w:pPr>
      <w:r>
        <w:t>Conformes à [NBN EN 622-5])</w:t>
      </w:r>
    </w:p>
    <w:p w14:paraId="12A03F0C" w14:textId="77777777" w:rsidR="004B2808" w:rsidRDefault="00000000">
      <w:pPr>
        <w:pStyle w:val="Author-eListParagraph"/>
        <w:numPr>
          <w:ilvl w:val="0"/>
          <w:numId w:val="601"/>
        </w:numPr>
      </w:pPr>
      <w:r>
        <w:t xml:space="preserve">Les plaques sont </w:t>
      </w:r>
      <w:r>
        <w:rPr>
          <w:rStyle w:val="optioncarChar"/>
        </w:rPr>
        <w:t>traitées afin d'améliorer leur comportement de réaction au feu (plaques ignifuges)</w:t>
      </w:r>
      <w:r>
        <w:t> (par défaut)</w:t>
      </w:r>
      <w:r>
        <w:rPr>
          <w:rStyle w:val="optioncarChar"/>
        </w:rPr>
        <w:t xml:space="preserve"> / ***</w:t>
      </w:r>
    </w:p>
    <w:p w14:paraId="289F5FFD" w14:textId="77777777" w:rsidR="004B2808" w:rsidRDefault="00000000">
      <w:pPr>
        <w:pStyle w:val="pheading"/>
      </w:pPr>
      <w:r>
        <w:t>MESURAGE</w:t>
      </w:r>
    </w:p>
    <w:p w14:paraId="05324255" w14:textId="77777777" w:rsidR="004B2808" w:rsidRDefault="00000000">
      <w:r>
        <w:t>Conformément aux indications spécifiques dans le cahier spécial des charges et/ou le métré récapitulatif, le mesurage doit être conçu comme suit :</w:t>
      </w:r>
    </w:p>
    <w:p w14:paraId="74276D0D" w14:textId="77777777" w:rsidR="004B2808" w:rsidRDefault="00000000">
      <w:pPr>
        <w:pStyle w:val="pheading"/>
      </w:pPr>
      <w:r>
        <w:t>- unité de mesure:</w:t>
      </w:r>
    </w:p>
    <w:p w14:paraId="278F7214" w14:textId="77777777" w:rsidR="004B2808" w:rsidRDefault="00000000">
      <w:r>
        <w:t>m²</w:t>
      </w:r>
    </w:p>
    <w:p w14:paraId="45182189" w14:textId="77777777" w:rsidR="004B2808" w:rsidRDefault="00000000">
      <w:pPr>
        <w:pStyle w:val="pheading"/>
      </w:pPr>
      <w:r>
        <w:t>- code de mesurage:</w:t>
      </w:r>
    </w:p>
    <w:p w14:paraId="49CB6E6B" w14:textId="77777777" w:rsidR="004B2808" w:rsidRDefault="00000000">
      <w:r>
        <w:t>Surface nette à exécuter. Les ouvertures supérieures à 0,5 m² sont déduites.</w:t>
      </w:r>
    </w:p>
    <w:p w14:paraId="1C57DD0F" w14:textId="77777777" w:rsidR="004B2808" w:rsidRDefault="00000000">
      <w:pPr>
        <w:pStyle w:val="pheading"/>
      </w:pPr>
      <w:r>
        <w:t>- nature du marché:</w:t>
      </w:r>
    </w:p>
    <w:p w14:paraId="71C84849" w14:textId="77777777" w:rsidR="004B2808" w:rsidRDefault="00000000">
      <w:r>
        <w:t>QF</w:t>
      </w:r>
    </w:p>
    <w:p w14:paraId="2B8A0F6F" w14:textId="77777777" w:rsidR="004B2808" w:rsidRDefault="00000000">
      <w:pPr>
        <w:pStyle w:val="Author-eSectionHeading5Numberless"/>
      </w:pPr>
      <w:bookmarkStart w:id="702" w:name="_Toc220490854"/>
      <w:r>
        <w:lastRenderedPageBreak/>
        <w:t>53.57.2 Revêtements en bois contrecollés, multicouches ou en panneaux - Couche d'usure en bois massif (&lt;2,5mm), ou revêtement à placage CCTB 01.02</w:t>
      </w:r>
      <w:bookmarkEnd w:id="702"/>
    </w:p>
    <w:p w14:paraId="6A7ED2FD" w14:textId="77777777" w:rsidR="004B2808" w:rsidRDefault="00000000">
      <w:pPr>
        <w:pStyle w:val="Author-eSectionHeading6Numberless"/>
      </w:pPr>
      <w:bookmarkStart w:id="703" w:name="_Toc220490855"/>
      <w:r>
        <w:t>53.57.2a Revêtements en bois contrecollés, multicouches ou en panneaux - Couche d'usure en bois massif (&lt;2,5mm), ou revêtement à placage CCTB 01.10</w:t>
      </w:r>
      <w:bookmarkEnd w:id="703"/>
    </w:p>
    <w:p w14:paraId="1E71208F" w14:textId="77777777" w:rsidR="004B2808" w:rsidRDefault="00000000">
      <w:pPr>
        <w:pStyle w:val="pheading"/>
      </w:pPr>
      <w:r>
        <w:t>MATÉRIAUX</w:t>
      </w:r>
    </w:p>
    <w:p w14:paraId="74FACFF5" w14:textId="77777777" w:rsidR="004B2808" w:rsidRDefault="00000000">
      <w:pPr>
        <w:pStyle w:val="pheading"/>
      </w:pPr>
      <w:r>
        <w:t>- Prescriptions complémentaires</w:t>
      </w:r>
    </w:p>
    <w:p w14:paraId="5508EB2E" w14:textId="77777777" w:rsidR="004B2808" w:rsidRDefault="00000000">
      <w:r>
        <w:t>Les matériaux sont peu combustibles (classes A1FL/A2FL selon la [NBN EN 13501-1].</w:t>
      </w:r>
    </w:p>
    <w:p w14:paraId="5233233E" w14:textId="77777777" w:rsidR="004B2808" w:rsidRDefault="00000000">
      <w:pPr>
        <w:pStyle w:val="heading"/>
      </w:pPr>
      <w:r>
        <w:t>Plaques de contre-plaqué</w:t>
      </w:r>
    </w:p>
    <w:p w14:paraId="0EDBF212" w14:textId="77777777" w:rsidR="004B2808" w:rsidRDefault="00000000">
      <w:pPr>
        <w:pStyle w:val="Author-eListParagraph"/>
        <w:numPr>
          <w:ilvl w:val="0"/>
          <w:numId w:val="602"/>
        </w:numPr>
      </w:pPr>
      <w:r>
        <w:t>Conformes à [NBN EN 636+A1]</w:t>
      </w:r>
    </w:p>
    <w:p w14:paraId="26E24946" w14:textId="77777777" w:rsidR="004B2808" w:rsidRDefault="00000000">
      <w:pPr>
        <w:pStyle w:val="Author-eListParagraph"/>
        <w:numPr>
          <w:ilvl w:val="0"/>
          <w:numId w:val="602"/>
        </w:numPr>
      </w:pPr>
      <w:r>
        <w:t xml:space="preserve">Les panneaux sont </w:t>
      </w:r>
      <w:r>
        <w:rPr>
          <w:rStyle w:val="optioncarChar"/>
        </w:rPr>
        <w:t>bakélisés </w:t>
      </w:r>
      <w:r>
        <w:t>(par défaut)</w:t>
      </w:r>
      <w:r>
        <w:rPr>
          <w:rStyle w:val="optioncarChar"/>
        </w:rPr>
        <w:t xml:space="preserve"> / mélaminés /***</w:t>
      </w:r>
    </w:p>
    <w:p w14:paraId="5221C6C3" w14:textId="77777777" w:rsidR="004B2808" w:rsidRDefault="00000000">
      <w:pPr>
        <w:pStyle w:val="Author-eListParagraph"/>
        <w:numPr>
          <w:ilvl w:val="0"/>
          <w:numId w:val="602"/>
        </w:numPr>
      </w:pPr>
      <w:r>
        <w:t>Les plaques sont</w:t>
      </w:r>
      <w:r>
        <w:rPr>
          <w:rStyle w:val="optioncarChar"/>
        </w:rPr>
        <w:t> traitées afin d’améliorer leur comportement de réaction au feu (plaques ignifugées)</w:t>
      </w:r>
      <w:r>
        <w:t> (par défaut)</w:t>
      </w:r>
      <w:r>
        <w:rPr>
          <w:rStyle w:val="optioncarChar"/>
        </w:rPr>
        <w:t xml:space="preserve"> / ***</w:t>
      </w:r>
    </w:p>
    <w:p w14:paraId="74D319DA" w14:textId="77777777" w:rsidR="004B2808" w:rsidRDefault="00000000">
      <w:pPr>
        <w:pStyle w:val="heading"/>
      </w:pPr>
      <w:r>
        <w:t>Panneaux de particules</w:t>
      </w:r>
    </w:p>
    <w:p w14:paraId="6193B96D" w14:textId="77777777" w:rsidR="004B2808" w:rsidRDefault="00000000">
      <w:pPr>
        <w:pStyle w:val="Author-eListParagraph"/>
        <w:numPr>
          <w:ilvl w:val="0"/>
          <w:numId w:val="603"/>
        </w:numPr>
      </w:pPr>
      <w:r>
        <w:t>Conformes à [NBN EN 312])</w:t>
      </w:r>
    </w:p>
    <w:p w14:paraId="7B3D86E7" w14:textId="77777777" w:rsidR="004B2808" w:rsidRDefault="00000000">
      <w:pPr>
        <w:pStyle w:val="Author-eListParagraph"/>
        <w:numPr>
          <w:ilvl w:val="0"/>
          <w:numId w:val="603"/>
        </w:numPr>
      </w:pPr>
      <w:r>
        <w:t xml:space="preserve">Les plaques sont </w:t>
      </w:r>
      <w:r>
        <w:rPr>
          <w:rStyle w:val="optioncarChar"/>
        </w:rPr>
        <w:t>traitées afin d’améliorer leur comportement de réaction au feu (plaques ignifugées) </w:t>
      </w:r>
      <w:r>
        <w:t>(par défaut)</w:t>
      </w:r>
      <w:r>
        <w:rPr>
          <w:rStyle w:val="optioncarChar"/>
        </w:rPr>
        <w:t xml:space="preserve"> / ***</w:t>
      </w:r>
    </w:p>
    <w:p w14:paraId="026D32E0" w14:textId="77777777" w:rsidR="004B2808" w:rsidRDefault="00000000">
      <w:pPr>
        <w:pStyle w:val="heading"/>
      </w:pPr>
      <w:r>
        <w:t>Panneaux OSB</w:t>
      </w:r>
    </w:p>
    <w:p w14:paraId="32455EAB" w14:textId="77777777" w:rsidR="004B2808" w:rsidRDefault="00000000">
      <w:pPr>
        <w:pStyle w:val="Author-eListParagraph"/>
        <w:numPr>
          <w:ilvl w:val="0"/>
          <w:numId w:val="604"/>
        </w:numPr>
      </w:pPr>
      <w:r>
        <w:t xml:space="preserve">Les plaques sont </w:t>
      </w:r>
      <w:r>
        <w:rPr>
          <w:rStyle w:val="optioncarChar"/>
        </w:rPr>
        <w:t xml:space="preserve">traitées afin d’améliorer leur comportement de réaction au feu (plaques ignifugées) </w:t>
      </w:r>
      <w:r>
        <w:t>(par défaut) </w:t>
      </w:r>
      <w:r>
        <w:rPr>
          <w:rStyle w:val="optioncarChar"/>
        </w:rPr>
        <w:t>/ ***</w:t>
      </w:r>
    </w:p>
    <w:p w14:paraId="2A4D8ECE" w14:textId="77777777" w:rsidR="004B2808" w:rsidRDefault="00000000">
      <w:pPr>
        <w:pStyle w:val="heading"/>
      </w:pPr>
      <w:r>
        <w:t>Panneaux MDF</w:t>
      </w:r>
    </w:p>
    <w:p w14:paraId="7C6C46A7" w14:textId="77777777" w:rsidR="004B2808" w:rsidRDefault="00000000">
      <w:pPr>
        <w:pStyle w:val="Author-eListParagraph"/>
        <w:numPr>
          <w:ilvl w:val="0"/>
          <w:numId w:val="605"/>
        </w:numPr>
      </w:pPr>
      <w:r>
        <w:t>Conformes à [NBN EN 622-5])</w:t>
      </w:r>
    </w:p>
    <w:p w14:paraId="60DF825B" w14:textId="77777777" w:rsidR="004B2808" w:rsidRDefault="00000000">
      <w:pPr>
        <w:pStyle w:val="Author-eListParagraph"/>
        <w:numPr>
          <w:ilvl w:val="0"/>
          <w:numId w:val="606"/>
        </w:numPr>
      </w:pPr>
      <w:r>
        <w:t xml:space="preserve">Les plaques sont </w:t>
      </w:r>
      <w:r>
        <w:rPr>
          <w:rStyle w:val="optioncarChar"/>
        </w:rPr>
        <w:t>traitées afin d'améliorer leur comportement de réaction au feu (plaques ignifuges) </w:t>
      </w:r>
      <w:r>
        <w:t>(par défaut)</w:t>
      </w:r>
      <w:r>
        <w:rPr>
          <w:rStyle w:val="optioncarChar"/>
        </w:rPr>
        <w:t xml:space="preserve"> / ***</w:t>
      </w:r>
    </w:p>
    <w:p w14:paraId="7998C97A" w14:textId="77777777" w:rsidR="004B2808" w:rsidRDefault="00000000">
      <w:pPr>
        <w:pStyle w:val="pheading"/>
      </w:pPr>
      <w:r>
        <w:t>MESURAGE</w:t>
      </w:r>
    </w:p>
    <w:p w14:paraId="75764727" w14:textId="77777777" w:rsidR="004B2808" w:rsidRDefault="00000000">
      <w:r>
        <w:t>Conformément aux indications spécifiques dans le cahier spécial des charges et/ou le métré récapitulatif, le mesurage doit être conçu comme suit :</w:t>
      </w:r>
    </w:p>
    <w:p w14:paraId="55948A7E" w14:textId="77777777" w:rsidR="004B2808" w:rsidRDefault="00000000">
      <w:pPr>
        <w:pStyle w:val="pheading"/>
      </w:pPr>
      <w:r>
        <w:t>- unité de mesure:</w:t>
      </w:r>
    </w:p>
    <w:p w14:paraId="3E91F032" w14:textId="77777777" w:rsidR="004B2808" w:rsidRDefault="00000000">
      <w:r>
        <w:t>m²</w:t>
      </w:r>
    </w:p>
    <w:p w14:paraId="7FB881A1" w14:textId="77777777" w:rsidR="004B2808" w:rsidRDefault="00000000">
      <w:pPr>
        <w:pStyle w:val="pheading"/>
      </w:pPr>
      <w:r>
        <w:t>- code de mesurage:</w:t>
      </w:r>
    </w:p>
    <w:p w14:paraId="64520B07" w14:textId="77777777" w:rsidR="004B2808" w:rsidRDefault="00000000">
      <w:r>
        <w:t>Surface nette à exécuter. Les ouvertures supérieures à 0,5 m² sont déduites.</w:t>
      </w:r>
    </w:p>
    <w:p w14:paraId="3A7DEA07" w14:textId="77777777" w:rsidR="004B2808" w:rsidRDefault="00000000">
      <w:pPr>
        <w:pStyle w:val="pheading"/>
      </w:pPr>
      <w:r>
        <w:t>- nature du marché:</w:t>
      </w:r>
    </w:p>
    <w:p w14:paraId="0B87EA42" w14:textId="77777777" w:rsidR="004B2808" w:rsidRDefault="00000000">
      <w:r>
        <w:t>QF</w:t>
      </w:r>
    </w:p>
    <w:p w14:paraId="7832A60A" w14:textId="77777777" w:rsidR="004B2808" w:rsidRDefault="00000000">
      <w:pPr>
        <w:pStyle w:val="Author-eSectionHeading5Numberless"/>
      </w:pPr>
      <w:bookmarkStart w:id="704" w:name="_Toc220490856"/>
      <w:r>
        <w:t>53.57.3 Revêtements en bois contrecollés, multicouches ou en panneaux - Couche d'usure en matériaux composites à base de bois CCTB 01.02</w:t>
      </w:r>
      <w:bookmarkEnd w:id="704"/>
    </w:p>
    <w:p w14:paraId="4A18B316" w14:textId="77777777" w:rsidR="004B2808" w:rsidRDefault="00000000">
      <w:pPr>
        <w:pStyle w:val="Author-eSectionHeading6Numberless"/>
      </w:pPr>
      <w:bookmarkStart w:id="705" w:name="_Toc220490857"/>
      <w:r>
        <w:t>53.57.3a Revêtements en bois contrecollés, multicouches ou en panneaux - Dalles en bois CCTB 01.10</w:t>
      </w:r>
      <w:bookmarkEnd w:id="705"/>
    </w:p>
    <w:p w14:paraId="309B2ABC" w14:textId="77777777" w:rsidR="004B2808" w:rsidRDefault="00000000">
      <w:pPr>
        <w:pStyle w:val="pheading"/>
      </w:pPr>
      <w:r>
        <w:t>MATÉRIAUX</w:t>
      </w:r>
    </w:p>
    <w:p w14:paraId="4BC33CAC" w14:textId="77777777" w:rsidR="004B2808" w:rsidRDefault="00000000">
      <w:pPr>
        <w:pStyle w:val="pheading"/>
      </w:pPr>
      <w:r>
        <w:t>- Prescriptions complémentaires</w:t>
      </w:r>
    </w:p>
    <w:p w14:paraId="1BFB6C2D" w14:textId="77777777" w:rsidR="004B2808" w:rsidRDefault="00000000">
      <w:r>
        <w:lastRenderedPageBreak/>
        <w:t>Les matériaux sont peu combustibles (classes A1FL/A2FL selon la [NBN EN 13501-1].</w:t>
      </w:r>
    </w:p>
    <w:p w14:paraId="1771BE16" w14:textId="77777777" w:rsidR="004B2808" w:rsidRDefault="00000000">
      <w:pPr>
        <w:pStyle w:val="heading"/>
      </w:pPr>
      <w:r>
        <w:t>Plaques de contre-plaqué</w:t>
      </w:r>
    </w:p>
    <w:p w14:paraId="01960D44" w14:textId="77777777" w:rsidR="004B2808" w:rsidRDefault="00000000">
      <w:pPr>
        <w:pStyle w:val="Author-eListParagraph"/>
        <w:numPr>
          <w:ilvl w:val="0"/>
          <w:numId w:val="607"/>
        </w:numPr>
      </w:pPr>
      <w:r>
        <w:t>Conformes à [NBN EN 636+A1]</w:t>
      </w:r>
    </w:p>
    <w:p w14:paraId="748790D0" w14:textId="77777777" w:rsidR="004B2808" w:rsidRDefault="00000000">
      <w:pPr>
        <w:pStyle w:val="Author-eListParagraph"/>
        <w:numPr>
          <w:ilvl w:val="0"/>
          <w:numId w:val="607"/>
        </w:numPr>
      </w:pPr>
      <w:r>
        <w:t xml:space="preserve">Les panneaux sont </w:t>
      </w:r>
      <w:r>
        <w:rPr>
          <w:rStyle w:val="optioncarChar"/>
        </w:rPr>
        <w:t>bakélisés</w:t>
      </w:r>
      <w:r>
        <w:t> (par défaut)</w:t>
      </w:r>
      <w:r>
        <w:rPr>
          <w:rStyle w:val="optioncarChar"/>
        </w:rPr>
        <w:t xml:space="preserve"> / mélaminés /***</w:t>
      </w:r>
    </w:p>
    <w:p w14:paraId="0FCB74BA" w14:textId="77777777" w:rsidR="004B2808" w:rsidRDefault="00000000">
      <w:pPr>
        <w:pStyle w:val="Author-eListParagraph"/>
        <w:numPr>
          <w:ilvl w:val="0"/>
          <w:numId w:val="607"/>
        </w:numPr>
      </w:pPr>
      <w:r>
        <w:t>Les plaques sont</w:t>
      </w:r>
      <w:r>
        <w:rPr>
          <w:rStyle w:val="optioncarChar"/>
        </w:rPr>
        <w:t xml:space="preserve"> traitées afin d’améliorer leur comportement de réaction au feu (plaques ignifugées) </w:t>
      </w:r>
      <w:r>
        <w:t>(par défaut) </w:t>
      </w:r>
      <w:r>
        <w:rPr>
          <w:rStyle w:val="optioncarChar"/>
        </w:rPr>
        <w:t>/ ***</w:t>
      </w:r>
    </w:p>
    <w:p w14:paraId="0B49B7A6" w14:textId="77777777" w:rsidR="004B2808" w:rsidRDefault="00000000">
      <w:pPr>
        <w:pStyle w:val="heading"/>
      </w:pPr>
      <w:r>
        <w:t>Panneaux de particules</w:t>
      </w:r>
    </w:p>
    <w:p w14:paraId="26171800" w14:textId="77777777" w:rsidR="004B2808" w:rsidRDefault="00000000">
      <w:pPr>
        <w:pStyle w:val="Author-eListParagraph"/>
        <w:numPr>
          <w:ilvl w:val="0"/>
          <w:numId w:val="608"/>
        </w:numPr>
      </w:pPr>
      <w:r>
        <w:t>Conformes à [NBN EN 312]</w:t>
      </w:r>
    </w:p>
    <w:p w14:paraId="5F00706B" w14:textId="77777777" w:rsidR="004B2808" w:rsidRDefault="00000000">
      <w:pPr>
        <w:pStyle w:val="Author-eListParagraph"/>
        <w:numPr>
          <w:ilvl w:val="0"/>
          <w:numId w:val="608"/>
        </w:numPr>
      </w:pPr>
      <w:r>
        <w:t xml:space="preserve">Les plaques sont </w:t>
      </w:r>
      <w:r>
        <w:rPr>
          <w:rStyle w:val="optioncarChar"/>
        </w:rPr>
        <w:t>traitées afin d’améliorer leur comportement de réaction au feu (plaques ignifugées)</w:t>
      </w:r>
      <w:r>
        <w:t> (par défaut)</w:t>
      </w:r>
      <w:r>
        <w:rPr>
          <w:rStyle w:val="optioncarChar"/>
        </w:rPr>
        <w:t> / ***</w:t>
      </w:r>
    </w:p>
    <w:p w14:paraId="2EE5B075" w14:textId="77777777" w:rsidR="004B2808" w:rsidRDefault="00000000">
      <w:pPr>
        <w:pStyle w:val="heading"/>
      </w:pPr>
      <w:r>
        <w:t>Panneaux OSB</w:t>
      </w:r>
    </w:p>
    <w:p w14:paraId="3CAF4E72" w14:textId="77777777" w:rsidR="004B2808" w:rsidRDefault="00000000">
      <w:pPr>
        <w:pStyle w:val="Author-eListParagraph"/>
        <w:numPr>
          <w:ilvl w:val="0"/>
          <w:numId w:val="609"/>
        </w:numPr>
      </w:pPr>
      <w:r>
        <w:t xml:space="preserve">Les plaques sont </w:t>
      </w:r>
      <w:r>
        <w:rPr>
          <w:rStyle w:val="optioncarChar"/>
        </w:rPr>
        <w:t>traitées afin d’améliorer leur comportement de réaction au feu (plaques ignifugées) </w:t>
      </w:r>
      <w:r>
        <w:t>(par défaut)</w:t>
      </w:r>
      <w:r>
        <w:rPr>
          <w:rStyle w:val="optioncarChar"/>
        </w:rPr>
        <w:t xml:space="preserve"> / ***</w:t>
      </w:r>
    </w:p>
    <w:p w14:paraId="2C61525E" w14:textId="77777777" w:rsidR="004B2808" w:rsidRDefault="00000000">
      <w:pPr>
        <w:pStyle w:val="heading"/>
      </w:pPr>
      <w:r>
        <w:t>Panneaux MDF</w:t>
      </w:r>
    </w:p>
    <w:p w14:paraId="2CA1A9A8" w14:textId="77777777" w:rsidR="004B2808" w:rsidRDefault="00000000">
      <w:pPr>
        <w:pStyle w:val="Author-eListParagraph"/>
        <w:numPr>
          <w:ilvl w:val="0"/>
          <w:numId w:val="610"/>
        </w:numPr>
      </w:pPr>
      <w:r>
        <w:t>Conformes à [NBN EN 622-5]</w:t>
      </w:r>
    </w:p>
    <w:p w14:paraId="50F64CC6" w14:textId="77777777" w:rsidR="004B2808" w:rsidRDefault="00000000">
      <w:pPr>
        <w:pStyle w:val="Author-eListParagraph"/>
        <w:numPr>
          <w:ilvl w:val="0"/>
          <w:numId w:val="611"/>
        </w:numPr>
      </w:pPr>
      <w:r>
        <w:t xml:space="preserve">Les plaques sont </w:t>
      </w:r>
      <w:r>
        <w:rPr>
          <w:rStyle w:val="optioncarChar"/>
        </w:rPr>
        <w:t>traitées afin d'améliorer leur comportement de réaction au feu (plaques ignifuges)</w:t>
      </w:r>
      <w:r>
        <w:t xml:space="preserve"> (par défaut)</w:t>
      </w:r>
      <w:r>
        <w:rPr>
          <w:rStyle w:val="optioncarChar"/>
        </w:rPr>
        <w:t> / ***</w:t>
      </w:r>
    </w:p>
    <w:p w14:paraId="13EC315B" w14:textId="77777777" w:rsidR="004B2808" w:rsidRDefault="00000000">
      <w:pPr>
        <w:pStyle w:val="pheading"/>
      </w:pPr>
      <w:r>
        <w:t>MESURAGE</w:t>
      </w:r>
    </w:p>
    <w:p w14:paraId="672E3956" w14:textId="77777777" w:rsidR="004B2808" w:rsidRDefault="00000000">
      <w:r>
        <w:t>Conformément aux indications spécifiques dans le cahier spécial des charges et/ou le métré récapitulatif, le mesurage doit être conçu comme suit :</w:t>
      </w:r>
    </w:p>
    <w:p w14:paraId="735A8ACE" w14:textId="77777777" w:rsidR="004B2808" w:rsidRDefault="00000000">
      <w:pPr>
        <w:pStyle w:val="pheading"/>
      </w:pPr>
      <w:r>
        <w:t>- unité de mesure:</w:t>
      </w:r>
    </w:p>
    <w:p w14:paraId="738BF69F" w14:textId="77777777" w:rsidR="004B2808" w:rsidRDefault="00000000">
      <w:r>
        <w:t>m²</w:t>
      </w:r>
    </w:p>
    <w:p w14:paraId="5B812048" w14:textId="77777777" w:rsidR="004B2808" w:rsidRDefault="00000000">
      <w:pPr>
        <w:pStyle w:val="pheading"/>
      </w:pPr>
      <w:r>
        <w:t>- code de mesurage:</w:t>
      </w:r>
    </w:p>
    <w:p w14:paraId="03C04101" w14:textId="77777777" w:rsidR="004B2808" w:rsidRDefault="00000000">
      <w:r>
        <w:t>Surface nette à exécuter. Les ouvertures supérieures à 0,5 m² sont déduites.</w:t>
      </w:r>
    </w:p>
    <w:p w14:paraId="018A647C" w14:textId="77777777" w:rsidR="004B2808" w:rsidRDefault="00000000">
      <w:pPr>
        <w:pStyle w:val="pheading"/>
      </w:pPr>
      <w:r>
        <w:t>- nature du marché:</w:t>
      </w:r>
    </w:p>
    <w:p w14:paraId="353DA777" w14:textId="77777777" w:rsidR="004B2808" w:rsidRDefault="00000000">
      <w:r>
        <w:t>QF</w:t>
      </w:r>
    </w:p>
    <w:p w14:paraId="194E3F79" w14:textId="77777777" w:rsidR="004B2808" w:rsidRDefault="00000000">
      <w:pPr>
        <w:pStyle w:val="Author-eSectionHeading5Numberless"/>
      </w:pPr>
      <w:bookmarkStart w:id="706" w:name="_Toc220490858"/>
      <w:r>
        <w:t>53.57.4 Revêtements en bois contrecollés, multicouches ou en panneaux - Tapis en bois CCTB 01.02</w:t>
      </w:r>
      <w:bookmarkEnd w:id="706"/>
    </w:p>
    <w:p w14:paraId="69E5CF9F" w14:textId="77777777" w:rsidR="004B2808" w:rsidRDefault="00000000">
      <w:pPr>
        <w:pStyle w:val="Author-eSectionHeading6Numberless"/>
      </w:pPr>
      <w:bookmarkStart w:id="707" w:name="_Toc220490859"/>
      <w:r>
        <w:t>53.57.4a Revêtements en bois contrecollés, multicouches ou en panneaux - Tapis en bois CCTB 01.10</w:t>
      </w:r>
      <w:bookmarkEnd w:id="707"/>
    </w:p>
    <w:p w14:paraId="305AF3F9" w14:textId="77777777" w:rsidR="004B2808" w:rsidRDefault="00000000">
      <w:pPr>
        <w:pStyle w:val="pheading"/>
      </w:pPr>
      <w:r>
        <w:t>MATÉRIAUX</w:t>
      </w:r>
    </w:p>
    <w:p w14:paraId="2C4E5427" w14:textId="77777777" w:rsidR="004B2808" w:rsidRDefault="00000000">
      <w:pPr>
        <w:pStyle w:val="pheading"/>
      </w:pPr>
      <w:r>
        <w:t>- Prescriptions complémentaires</w:t>
      </w:r>
    </w:p>
    <w:p w14:paraId="53FF1497" w14:textId="77777777" w:rsidR="004B2808" w:rsidRDefault="00000000">
      <w:r>
        <w:t>Les matériaux sont peu combustibles (classes A1FL/A2FL selon la [NBN EN 13501-1].</w:t>
      </w:r>
    </w:p>
    <w:p w14:paraId="7BC5B613" w14:textId="77777777" w:rsidR="004B2808" w:rsidRDefault="00000000">
      <w:pPr>
        <w:pStyle w:val="heading"/>
      </w:pPr>
      <w:r>
        <w:t>Plaques de contre-plaqué</w:t>
      </w:r>
    </w:p>
    <w:p w14:paraId="6AE6F335" w14:textId="77777777" w:rsidR="004B2808" w:rsidRDefault="00000000">
      <w:pPr>
        <w:pStyle w:val="Author-eListParagraph"/>
        <w:numPr>
          <w:ilvl w:val="0"/>
          <w:numId w:val="612"/>
        </w:numPr>
      </w:pPr>
      <w:r>
        <w:t>Conformes à [NBN EN 636+A1]</w:t>
      </w:r>
    </w:p>
    <w:p w14:paraId="390D1F48" w14:textId="77777777" w:rsidR="004B2808" w:rsidRDefault="00000000">
      <w:pPr>
        <w:pStyle w:val="Author-eListParagraph"/>
        <w:numPr>
          <w:ilvl w:val="0"/>
          <w:numId w:val="612"/>
        </w:numPr>
      </w:pPr>
      <w:r>
        <w:t xml:space="preserve">Les panneaux sont </w:t>
      </w:r>
      <w:r>
        <w:rPr>
          <w:rStyle w:val="optioncarChar"/>
        </w:rPr>
        <w:t>bakélisés</w:t>
      </w:r>
      <w:r>
        <w:t xml:space="preserve"> (par défaut) </w:t>
      </w:r>
      <w:r>
        <w:rPr>
          <w:rStyle w:val="optioncarChar"/>
        </w:rPr>
        <w:t>/ mélaminés / ***</w:t>
      </w:r>
    </w:p>
    <w:p w14:paraId="4775DDB4" w14:textId="77777777" w:rsidR="004B2808" w:rsidRDefault="00000000">
      <w:pPr>
        <w:pStyle w:val="Author-eListParagraph"/>
        <w:numPr>
          <w:ilvl w:val="0"/>
          <w:numId w:val="612"/>
        </w:numPr>
      </w:pPr>
      <w:r>
        <w:t>Les plaques sont</w:t>
      </w:r>
      <w:r>
        <w:rPr>
          <w:rStyle w:val="optioncarChar"/>
        </w:rPr>
        <w:t> traitées afin d’améliorer leur comportement de réaction au feu (plaques ignifugées) </w:t>
      </w:r>
      <w:r>
        <w:t xml:space="preserve">(par défaut) </w:t>
      </w:r>
      <w:r>
        <w:rPr>
          <w:rStyle w:val="optioncarChar"/>
        </w:rPr>
        <w:t>/ ***</w:t>
      </w:r>
    </w:p>
    <w:p w14:paraId="0FC72659" w14:textId="77777777" w:rsidR="004B2808" w:rsidRDefault="00000000">
      <w:pPr>
        <w:pStyle w:val="heading"/>
      </w:pPr>
      <w:r>
        <w:t>Panneaux de particules</w:t>
      </w:r>
    </w:p>
    <w:p w14:paraId="6616E3A5" w14:textId="77777777" w:rsidR="004B2808" w:rsidRDefault="00000000">
      <w:pPr>
        <w:pStyle w:val="Author-eListParagraph"/>
        <w:numPr>
          <w:ilvl w:val="0"/>
          <w:numId w:val="613"/>
        </w:numPr>
      </w:pPr>
      <w:r>
        <w:t>Conformes à [NBN EN 312])</w:t>
      </w:r>
    </w:p>
    <w:p w14:paraId="17281D71" w14:textId="77777777" w:rsidR="004B2808" w:rsidRDefault="00000000">
      <w:pPr>
        <w:pStyle w:val="Author-eListParagraph"/>
        <w:numPr>
          <w:ilvl w:val="0"/>
          <w:numId w:val="613"/>
        </w:numPr>
      </w:pPr>
      <w:r>
        <w:lastRenderedPageBreak/>
        <w:t xml:space="preserve">Les plaques sont </w:t>
      </w:r>
      <w:r>
        <w:rPr>
          <w:rStyle w:val="optioncarChar"/>
        </w:rPr>
        <w:t>traitées afin d’améliorer leur comportement de réaction au feu (plaques ignifugées) </w:t>
      </w:r>
      <w:r>
        <w:t xml:space="preserve">(par défaut) </w:t>
      </w:r>
      <w:r>
        <w:rPr>
          <w:rStyle w:val="optioncarChar"/>
        </w:rPr>
        <w:t>/ ***</w:t>
      </w:r>
    </w:p>
    <w:p w14:paraId="78FE2C1F" w14:textId="77777777" w:rsidR="004B2808" w:rsidRDefault="00000000">
      <w:pPr>
        <w:pStyle w:val="heading"/>
      </w:pPr>
      <w:r>
        <w:t>Panneaux OSB</w:t>
      </w:r>
    </w:p>
    <w:p w14:paraId="49EFAAAE" w14:textId="77777777" w:rsidR="004B2808" w:rsidRDefault="00000000">
      <w:pPr>
        <w:pStyle w:val="Author-eListParagraph"/>
        <w:numPr>
          <w:ilvl w:val="0"/>
          <w:numId w:val="614"/>
        </w:numPr>
      </w:pPr>
      <w:r>
        <w:t xml:space="preserve">Les plaques sont </w:t>
      </w:r>
      <w:r>
        <w:rPr>
          <w:rStyle w:val="optioncarChar"/>
        </w:rPr>
        <w:t xml:space="preserve">traitées afin d’améliorer leur comportement de réaction au feu (plaques ignifugées) </w:t>
      </w:r>
      <w:r>
        <w:t>(par défaut) </w:t>
      </w:r>
      <w:r>
        <w:rPr>
          <w:rStyle w:val="optioncarChar"/>
        </w:rPr>
        <w:t>/ ***</w:t>
      </w:r>
    </w:p>
    <w:p w14:paraId="0A73B426" w14:textId="77777777" w:rsidR="004B2808" w:rsidRDefault="00000000">
      <w:pPr>
        <w:pStyle w:val="heading"/>
      </w:pPr>
      <w:r>
        <w:t>Panneaux MDF</w:t>
      </w:r>
    </w:p>
    <w:p w14:paraId="13D2CE9A" w14:textId="77777777" w:rsidR="004B2808" w:rsidRDefault="00000000">
      <w:pPr>
        <w:pStyle w:val="Author-eListParagraph"/>
        <w:numPr>
          <w:ilvl w:val="0"/>
          <w:numId w:val="615"/>
        </w:numPr>
      </w:pPr>
      <w:r>
        <w:t>Conformes à [NBN EN 622-5])</w:t>
      </w:r>
    </w:p>
    <w:p w14:paraId="194CB7A6" w14:textId="77777777" w:rsidR="004B2808" w:rsidRDefault="00000000">
      <w:pPr>
        <w:pStyle w:val="Author-eListParagraph"/>
        <w:numPr>
          <w:ilvl w:val="0"/>
          <w:numId w:val="616"/>
        </w:numPr>
      </w:pPr>
      <w:r>
        <w:t xml:space="preserve">Les plaques sont </w:t>
      </w:r>
      <w:r>
        <w:rPr>
          <w:rStyle w:val="optioncarChar"/>
        </w:rPr>
        <w:t>traitées afin d'améliorer leur comportement de réaction au feu (plaques ignifuges) </w:t>
      </w:r>
      <w:r>
        <w:t xml:space="preserve">(par défaut) </w:t>
      </w:r>
      <w:r>
        <w:rPr>
          <w:rStyle w:val="optioncarChar"/>
        </w:rPr>
        <w:t>/ ***</w:t>
      </w:r>
    </w:p>
    <w:p w14:paraId="2F2E1CA5" w14:textId="77777777" w:rsidR="004B2808" w:rsidRDefault="00000000">
      <w:pPr>
        <w:pStyle w:val="pheading"/>
      </w:pPr>
      <w:r>
        <w:t>MESURAGE</w:t>
      </w:r>
    </w:p>
    <w:p w14:paraId="170DA868" w14:textId="77777777" w:rsidR="004B2808" w:rsidRDefault="00000000">
      <w:r>
        <w:t>Conformément aux indications spécifiques dans le cahier spécial des charges et/ou le métré récapitulatif, le mesurage doit être conçu comme suit :</w:t>
      </w:r>
    </w:p>
    <w:p w14:paraId="020255AF" w14:textId="77777777" w:rsidR="004B2808" w:rsidRDefault="00000000">
      <w:pPr>
        <w:pStyle w:val="pheading"/>
      </w:pPr>
      <w:r>
        <w:t>- unité de mesure:</w:t>
      </w:r>
    </w:p>
    <w:p w14:paraId="2E9DBB05" w14:textId="77777777" w:rsidR="004B2808" w:rsidRDefault="00000000">
      <w:r>
        <w:t>m²</w:t>
      </w:r>
    </w:p>
    <w:p w14:paraId="741C7B3E" w14:textId="77777777" w:rsidR="004B2808" w:rsidRDefault="00000000">
      <w:pPr>
        <w:pStyle w:val="pheading"/>
      </w:pPr>
      <w:r>
        <w:t>- code de mesurage:</w:t>
      </w:r>
    </w:p>
    <w:p w14:paraId="03B0F4DC" w14:textId="77777777" w:rsidR="004B2808" w:rsidRDefault="00000000">
      <w:r>
        <w:t>Surface nette à exécuter. Les ouvertures supérieures à 0,5 m² sont déduites.</w:t>
      </w:r>
    </w:p>
    <w:p w14:paraId="36AE4ECD" w14:textId="77777777" w:rsidR="004B2808" w:rsidRDefault="00000000">
      <w:pPr>
        <w:pStyle w:val="pheading"/>
      </w:pPr>
      <w:r>
        <w:t>- nature du marché:</w:t>
      </w:r>
    </w:p>
    <w:p w14:paraId="5811CEC3" w14:textId="77777777" w:rsidR="004B2808" w:rsidRDefault="00000000">
      <w:r>
        <w:t>QF</w:t>
      </w:r>
    </w:p>
    <w:p w14:paraId="3E35E2D6" w14:textId="77777777" w:rsidR="004B2808" w:rsidRDefault="00000000">
      <w:pPr>
        <w:pStyle w:val="Author-eSectionHeading4Numberless"/>
      </w:pPr>
      <w:bookmarkStart w:id="708" w:name="_Toc220490860"/>
      <w:r>
        <w:t>53.58 Revêtements en verre CCTB 01.02</w:t>
      </w:r>
      <w:bookmarkEnd w:id="708"/>
    </w:p>
    <w:p w14:paraId="344BF6F9" w14:textId="77777777" w:rsidR="004B2808" w:rsidRDefault="00000000">
      <w:pPr>
        <w:pStyle w:val="Author-eSectionHeading5Numberless"/>
      </w:pPr>
      <w:bookmarkStart w:id="709" w:name="_Toc220490861"/>
      <w:r>
        <w:t>53.58.1 Revêtements en verre - Dalles de verre CCTB 01.02</w:t>
      </w:r>
      <w:bookmarkEnd w:id="709"/>
    </w:p>
    <w:p w14:paraId="614E7005" w14:textId="77777777" w:rsidR="004B2808" w:rsidRDefault="00000000">
      <w:pPr>
        <w:pStyle w:val="Author-eSectionHeading6Numberless"/>
      </w:pPr>
      <w:bookmarkStart w:id="710" w:name="_Toc220490862"/>
      <w:r>
        <w:t>53.58.1a Revêtements en verre - Dalles de verre CCTB 01.02</w:t>
      </w:r>
      <w:bookmarkEnd w:id="710"/>
    </w:p>
    <w:p w14:paraId="192C472F" w14:textId="77777777" w:rsidR="004B2808" w:rsidRDefault="00000000">
      <w:pPr>
        <w:pStyle w:val="Author-eSectionHeading5Numberless"/>
      </w:pPr>
      <w:bookmarkStart w:id="711" w:name="_Toc220490863"/>
      <w:r>
        <w:t>53.58.2 Revêtements en verre - Mosaïques</w:t>
      </w:r>
      <w:bookmarkEnd w:id="711"/>
    </w:p>
    <w:p w14:paraId="52B3A7F8" w14:textId="77777777" w:rsidR="004B2808" w:rsidRDefault="00000000">
      <w:pPr>
        <w:pStyle w:val="Author-eSectionHeading6Numberless"/>
      </w:pPr>
      <w:bookmarkStart w:id="712" w:name="_Toc220490864"/>
      <w:r>
        <w:t>53.58.2a Revêtements en verre - Mosaïques CCTB 01.10</w:t>
      </w:r>
      <w:bookmarkEnd w:id="712"/>
    </w:p>
    <w:p w14:paraId="513FC363" w14:textId="77777777" w:rsidR="004B2808" w:rsidRDefault="00000000">
      <w:pPr>
        <w:pStyle w:val="pheading"/>
      </w:pPr>
      <w:r>
        <w:t>DESCRIPTION</w:t>
      </w:r>
    </w:p>
    <w:p w14:paraId="16379531" w14:textId="77777777" w:rsidR="004B2808" w:rsidRDefault="00000000">
      <w:pPr>
        <w:pStyle w:val="pheading"/>
      </w:pPr>
      <w:r>
        <w:t>- Définition / Comprend</w:t>
      </w:r>
    </w:p>
    <w:p w14:paraId="6D6345AD" w14:textId="77777777" w:rsidR="004B2808" w:rsidRDefault="00000000">
      <w:pPr>
        <w:jc w:val="both"/>
      </w:pPr>
      <w:r>
        <w:t>Il s'agit des fournitures et travaux nécessaires en vue de la réalisation des revêtements en dalles de verre afin de constituer un ouvrage parfaitement fini.</w:t>
      </w:r>
    </w:p>
    <w:p w14:paraId="1474E5A0" w14:textId="77777777" w:rsidR="004B2808" w:rsidRDefault="00000000">
      <w:pPr>
        <w:jc w:val="both"/>
      </w:pPr>
      <w:r>
        <w:t>Ce poste comprend notamment :</w:t>
      </w:r>
    </w:p>
    <w:p w14:paraId="6399F4A1" w14:textId="77777777" w:rsidR="004B2808" w:rsidRDefault="00000000">
      <w:pPr>
        <w:pStyle w:val="Author-eListParagraph"/>
        <w:numPr>
          <w:ilvl w:val="0"/>
          <w:numId w:val="617"/>
        </w:numPr>
        <w:jc w:val="both"/>
      </w:pPr>
      <w:r>
        <w:t>l'enlèvement de toutes les aspérités et/ou l'égalisation des surfaces de sol ;</w:t>
      </w:r>
    </w:p>
    <w:p w14:paraId="244AA599" w14:textId="77777777" w:rsidR="004B2808" w:rsidRDefault="00000000">
      <w:pPr>
        <w:pStyle w:val="Author-eListParagraph"/>
        <w:numPr>
          <w:ilvl w:val="0"/>
          <w:numId w:val="617"/>
        </w:numPr>
        <w:jc w:val="both"/>
      </w:pPr>
      <w:r>
        <w:t>si nécessaire, la réalisation dans le revêtement des ouvertures pour les conduites, canalisations, etc., qui ont été placées à l'avance ;</w:t>
      </w:r>
    </w:p>
    <w:p w14:paraId="5EBFA1A4" w14:textId="77777777" w:rsidR="004B2808" w:rsidRDefault="00000000">
      <w:pPr>
        <w:pStyle w:val="Author-eListParagraph"/>
        <w:numPr>
          <w:ilvl w:val="0"/>
          <w:numId w:val="617"/>
        </w:numPr>
        <w:jc w:val="both"/>
      </w:pPr>
      <w:r>
        <w:t>la fourniture et la pose des revêtements ;</w:t>
      </w:r>
    </w:p>
    <w:p w14:paraId="78A90038" w14:textId="77777777" w:rsidR="004B2808" w:rsidRDefault="00000000">
      <w:pPr>
        <w:pStyle w:val="Author-eListParagraph"/>
        <w:numPr>
          <w:ilvl w:val="0"/>
          <w:numId w:val="617"/>
        </w:numPr>
        <w:jc w:val="both"/>
      </w:pPr>
      <w:r>
        <w:t>l'intégration de tous les accessoires spéciaux décrits dans le cahier spécial des charges (cadres pour paillassons / arrêts de porte / profils de désolidarisation / grilles de sol / couvercles de sol, etc.) ;</w:t>
      </w:r>
    </w:p>
    <w:p w14:paraId="067A56EA" w14:textId="77777777" w:rsidR="004B2808" w:rsidRDefault="00000000">
      <w:pPr>
        <w:pStyle w:val="Author-eListParagraph"/>
        <w:numPr>
          <w:ilvl w:val="0"/>
          <w:numId w:val="617"/>
        </w:numPr>
        <w:jc w:val="both"/>
      </w:pPr>
      <w:r>
        <w:t>le rejointoiement des surfaces et l'achèvement des joints ;</w:t>
      </w:r>
    </w:p>
    <w:p w14:paraId="1E64F825" w14:textId="77777777" w:rsidR="004B2808" w:rsidRDefault="00000000">
      <w:pPr>
        <w:pStyle w:val="Author-eListParagraph"/>
        <w:numPr>
          <w:ilvl w:val="0"/>
          <w:numId w:val="617"/>
        </w:numPr>
        <w:jc w:val="both"/>
      </w:pPr>
      <w:r>
        <w:t>le nettoyage des surfaces carrelées, y compris l'enlèvement des taches de mortier ou de colle et de mortier de jointoiement.</w:t>
      </w:r>
    </w:p>
    <w:p w14:paraId="22907291" w14:textId="77777777" w:rsidR="004B2808" w:rsidRDefault="00000000">
      <w:pPr>
        <w:pStyle w:val="pheading"/>
      </w:pPr>
      <w:r>
        <w:t>- Localisation</w:t>
      </w:r>
    </w:p>
    <w:p w14:paraId="1A87F753" w14:textId="77777777" w:rsidR="004B2808" w:rsidRDefault="00000000">
      <w:r>
        <w:t xml:space="preserve">Les travaux sont localisés : </w:t>
      </w:r>
      <w:r>
        <w:rPr>
          <w:rStyle w:val="optioncarChar"/>
        </w:rPr>
        <w:t>***</w:t>
      </w:r>
      <w:r>
        <w:t>.</w:t>
      </w:r>
    </w:p>
    <w:p w14:paraId="6D27EC0A" w14:textId="77777777" w:rsidR="004B2808" w:rsidRDefault="00000000">
      <w:r>
        <w:t>Voir plans et métrés détaillés.</w:t>
      </w:r>
    </w:p>
    <w:p w14:paraId="2F972103" w14:textId="77777777" w:rsidR="004B2808" w:rsidRDefault="00000000">
      <w:pPr>
        <w:pStyle w:val="pheading"/>
      </w:pPr>
      <w:r>
        <w:lastRenderedPageBreak/>
        <w:t>MATÉRIAUX</w:t>
      </w:r>
    </w:p>
    <w:p w14:paraId="53DA40C9" w14:textId="77777777" w:rsidR="004B2808" w:rsidRDefault="00000000">
      <w:pPr>
        <w:pStyle w:val="pheading"/>
      </w:pPr>
      <w:r>
        <w:t>- Caractéristiques générales</w:t>
      </w:r>
    </w:p>
    <w:p w14:paraId="76F450E8" w14:textId="77777777" w:rsidR="004B2808" w:rsidRDefault="00000000">
      <w:pPr>
        <w:jc w:val="both"/>
      </w:pPr>
      <w:r>
        <w:rPr>
          <w:b/>
          <w:u w:val="single"/>
        </w:rPr>
        <w:t>Revêtement</w:t>
      </w:r>
    </w:p>
    <w:p w14:paraId="15D0D815" w14:textId="77777777" w:rsidR="004B2808" w:rsidRDefault="00000000">
      <w:pPr>
        <w:pStyle w:val="Author-eListParagraph"/>
        <w:numPr>
          <w:ilvl w:val="0"/>
          <w:numId w:val="618"/>
        </w:numPr>
      </w:pPr>
      <w:r>
        <w:t>Nature : verre.</w:t>
      </w:r>
    </w:p>
    <w:p w14:paraId="07FE6497" w14:textId="77777777" w:rsidR="004B2808" w:rsidRDefault="00000000">
      <w:pPr>
        <w:pStyle w:val="Author-eListParagraph"/>
        <w:numPr>
          <w:ilvl w:val="0"/>
          <w:numId w:val="618"/>
        </w:numPr>
      </w:pPr>
      <w:r>
        <w:t>Teinte :</w:t>
      </w:r>
      <w:r>
        <w:rPr>
          <w:rStyle w:val="optioncarChar"/>
        </w:rPr>
        <w:t xml:space="preserve"> blanc</w:t>
      </w:r>
      <w:r>
        <w:t xml:space="preserve"> (par défaut)</w:t>
      </w:r>
      <w:r>
        <w:rPr>
          <w:rStyle w:val="optioncarChar"/>
        </w:rPr>
        <w:t xml:space="preserve"> / translucide / marron / vert /orange / rouge / bleu / violet / gris / noir / ***.</w:t>
      </w:r>
    </w:p>
    <w:p w14:paraId="4565A8DB" w14:textId="77777777" w:rsidR="004B2808" w:rsidRDefault="00000000">
      <w:pPr>
        <w:pStyle w:val="Author-eListParagraph"/>
        <w:numPr>
          <w:ilvl w:val="0"/>
          <w:numId w:val="618"/>
        </w:numPr>
      </w:pPr>
      <w:r>
        <w:t xml:space="preserve">Aspect : </w:t>
      </w:r>
      <w:r>
        <w:rPr>
          <w:rStyle w:val="optioncarChar"/>
        </w:rPr>
        <w:t>brillant (</w:t>
      </w:r>
      <w:r>
        <w:t>par défaut)</w:t>
      </w:r>
      <w:r>
        <w:rPr>
          <w:rStyle w:val="optioncarChar"/>
        </w:rPr>
        <w:t xml:space="preserve"> / mat / brillant et mat / ***</w:t>
      </w:r>
      <w:r>
        <w:t>.</w:t>
      </w:r>
    </w:p>
    <w:p w14:paraId="680BB5A5" w14:textId="77777777" w:rsidR="004B2808" w:rsidRDefault="00000000">
      <w:pPr>
        <w:pStyle w:val="Author-eListParagraph"/>
        <w:numPr>
          <w:ilvl w:val="0"/>
          <w:numId w:val="618"/>
        </w:numPr>
      </w:pPr>
      <w:r>
        <w:t xml:space="preserve">Motif / texture : </w:t>
      </w:r>
      <w:r>
        <w:rPr>
          <w:rStyle w:val="optioncarChar"/>
        </w:rPr>
        <w:t xml:space="preserve">pas de motif </w:t>
      </w:r>
      <w:r>
        <w:t xml:space="preserve">(par défaut) </w:t>
      </w:r>
      <w:r>
        <w:rPr>
          <w:rStyle w:val="optioncarChar"/>
        </w:rPr>
        <w:t>/ baroque / floral / 3D / lignes / vagues / brossé / granuleux / ***.</w:t>
      </w:r>
    </w:p>
    <w:p w14:paraId="24445DD9" w14:textId="77777777" w:rsidR="004B2808" w:rsidRDefault="00000000">
      <w:pPr>
        <w:pStyle w:val="Author-eListParagraph"/>
        <w:numPr>
          <w:ilvl w:val="0"/>
          <w:numId w:val="618"/>
        </w:numPr>
      </w:pPr>
      <w:r>
        <w:t xml:space="preserve">Modèle : </w:t>
      </w:r>
      <w:r>
        <w:rPr>
          <w:rStyle w:val="optioncarChar"/>
        </w:rPr>
        <w:t>mosaïque</w:t>
      </w:r>
      <w:r>
        <w:t xml:space="preserve"> (par défaut)</w:t>
      </w:r>
      <w:r>
        <w:rPr>
          <w:rStyle w:val="optioncarChar"/>
        </w:rPr>
        <w:t xml:space="preserve"> / carreaux</w:t>
      </w:r>
      <w:r>
        <w:t>.</w:t>
      </w:r>
    </w:p>
    <w:p w14:paraId="6DD11EAD" w14:textId="77777777" w:rsidR="004B2808" w:rsidRDefault="00000000">
      <w:pPr>
        <w:ind w:left="567"/>
        <w:jc w:val="both"/>
      </w:pPr>
      <w:r>
        <w:rPr>
          <w:b/>
          <w:i/>
        </w:rPr>
        <w:t>(Soit par défaut)</w:t>
      </w:r>
    </w:p>
    <w:p w14:paraId="0A92D2AE" w14:textId="77777777" w:rsidR="004B2808" w:rsidRDefault="00000000">
      <w:pPr>
        <w:ind w:left="567"/>
        <w:jc w:val="both"/>
      </w:pPr>
      <w:r>
        <w:rPr>
          <w:rStyle w:val="soitChar"/>
          <w:u w:val="single"/>
        </w:rPr>
        <w:t>Mosaïque</w:t>
      </w:r>
    </w:p>
    <w:p w14:paraId="3DA90C31" w14:textId="77777777" w:rsidR="004B2808" w:rsidRDefault="00000000">
      <w:pPr>
        <w:ind w:left="567"/>
        <w:jc w:val="both"/>
      </w:pPr>
      <w:r>
        <w:rPr>
          <w:rStyle w:val="soitChar"/>
        </w:rPr>
        <w:t>Dalle mosaïque composée de petits carreaux de verre collés sur une résille.</w:t>
      </w:r>
    </w:p>
    <w:p w14:paraId="1945895F" w14:textId="77777777" w:rsidR="004B2808" w:rsidRDefault="00000000">
      <w:pPr>
        <w:pStyle w:val="Author-eListParagraph"/>
        <w:numPr>
          <w:ilvl w:val="1"/>
          <w:numId w:val="619"/>
        </w:numPr>
      </w:pPr>
      <w:r>
        <w:rPr>
          <w:rStyle w:val="soitChar"/>
        </w:rPr>
        <w:t>Taille des carreaux</w:t>
      </w:r>
      <w:r>
        <w:t xml:space="preserve"> : </w:t>
      </w:r>
      <w:r>
        <w:rPr>
          <w:rStyle w:val="optioncarChar"/>
        </w:rPr>
        <w:t xml:space="preserve">différentes tailles / 1,5 x 1,5 / 2 x 2 / 5 x 5 </w:t>
      </w:r>
      <w:r>
        <w:t xml:space="preserve">(par défaut) </w:t>
      </w:r>
      <w:r>
        <w:rPr>
          <w:rStyle w:val="optioncarChar"/>
        </w:rPr>
        <w:t>/ ***</w:t>
      </w:r>
      <w:r>
        <w:rPr>
          <w:rStyle w:val="soitChar"/>
        </w:rPr>
        <w:t xml:space="preserve"> cm</w:t>
      </w:r>
      <w:r>
        <w:t>. </w:t>
      </w:r>
    </w:p>
    <w:p w14:paraId="1BB3C5A0" w14:textId="77777777" w:rsidR="004B2808" w:rsidRDefault="00000000">
      <w:pPr>
        <w:pStyle w:val="Author-eListParagraph"/>
        <w:numPr>
          <w:ilvl w:val="1"/>
          <w:numId w:val="619"/>
        </w:numPr>
      </w:pPr>
      <w:r>
        <w:rPr>
          <w:rStyle w:val="soitChar"/>
        </w:rPr>
        <w:t>Épaisseur :</w:t>
      </w:r>
      <w:r>
        <w:rPr>
          <w:rStyle w:val="optioncarChar"/>
        </w:rPr>
        <w:t xml:space="preserve"> 3 / 4 / 5 / 6 / 8 </w:t>
      </w:r>
      <w:r>
        <w:t>(par défaut)</w:t>
      </w:r>
      <w:r>
        <w:rPr>
          <w:rStyle w:val="optioncarChar"/>
        </w:rPr>
        <w:t xml:space="preserve"> / ***</w:t>
      </w:r>
      <w:r>
        <w:rPr>
          <w:rStyle w:val="soitChar"/>
        </w:rPr>
        <w:t>mm</w:t>
      </w:r>
      <w:r>
        <w:t>.</w:t>
      </w:r>
      <w:r>
        <w:br/>
      </w:r>
    </w:p>
    <w:p w14:paraId="5AB142DF" w14:textId="77777777" w:rsidR="004B2808" w:rsidRDefault="00000000">
      <w:pPr>
        <w:ind w:left="567"/>
        <w:jc w:val="both"/>
      </w:pPr>
      <w:r>
        <w:t> </w:t>
      </w:r>
      <w:r>
        <w:rPr>
          <w:b/>
          <w:i/>
        </w:rPr>
        <w:t>(Soit)</w:t>
      </w:r>
    </w:p>
    <w:p w14:paraId="5D5F443E" w14:textId="77777777" w:rsidR="004B2808" w:rsidRDefault="00000000">
      <w:pPr>
        <w:ind w:left="567"/>
        <w:jc w:val="both"/>
      </w:pPr>
      <w:r>
        <w:rPr>
          <w:rStyle w:val="soitChar"/>
          <w:u w:val="single"/>
        </w:rPr>
        <w:t>Carreaux</w:t>
      </w:r>
    </w:p>
    <w:p w14:paraId="2AC9F98F" w14:textId="77777777" w:rsidR="004B2808" w:rsidRDefault="00000000">
      <w:pPr>
        <w:ind w:left="567"/>
        <w:jc w:val="both"/>
      </w:pPr>
      <w:r>
        <w:rPr>
          <w:rStyle w:val="soitChar"/>
        </w:rPr>
        <w:t>Dalle en une seule pièce.</w:t>
      </w:r>
    </w:p>
    <w:p w14:paraId="2177A02B" w14:textId="77777777" w:rsidR="004B2808" w:rsidRDefault="00000000">
      <w:pPr>
        <w:pStyle w:val="Author-eListParagraph"/>
        <w:numPr>
          <w:ilvl w:val="1"/>
          <w:numId w:val="620"/>
        </w:numPr>
      </w:pPr>
      <w:r>
        <w:rPr>
          <w:rStyle w:val="soitChar"/>
        </w:rPr>
        <w:t>Format de la dalle :</w:t>
      </w:r>
      <w:r>
        <w:rPr>
          <w:rStyle w:val="optioncarChar"/>
        </w:rPr>
        <w:t>30 x 30</w:t>
      </w:r>
      <w:r>
        <w:t xml:space="preserve"> (par défaut) </w:t>
      </w:r>
      <w:r>
        <w:rPr>
          <w:rStyle w:val="optioncarChar"/>
        </w:rPr>
        <w:t>/ 30 x 60 / ***</w:t>
      </w:r>
      <w:r>
        <w:rPr>
          <w:rStyle w:val="soitChar"/>
        </w:rPr>
        <w:t>cm</w:t>
      </w:r>
      <w:r>
        <w:t>.</w:t>
      </w:r>
    </w:p>
    <w:p w14:paraId="05485476" w14:textId="77777777" w:rsidR="004B2808" w:rsidRDefault="00000000">
      <w:pPr>
        <w:pStyle w:val="Author-eListParagraph"/>
        <w:numPr>
          <w:ilvl w:val="1"/>
          <w:numId w:val="620"/>
        </w:numPr>
      </w:pPr>
      <w:r>
        <w:rPr>
          <w:rStyle w:val="soitChar"/>
        </w:rPr>
        <w:t>Épaisseur :</w:t>
      </w:r>
      <w:r>
        <w:rPr>
          <w:rStyle w:val="optioncarChar"/>
        </w:rPr>
        <w:t xml:space="preserve">8 </w:t>
      </w:r>
      <w:r>
        <w:t>(par défaut)</w:t>
      </w:r>
      <w:r>
        <w:rPr>
          <w:rStyle w:val="optioncarChar"/>
        </w:rPr>
        <w:t xml:space="preserve"> / ***</w:t>
      </w:r>
      <w:r>
        <w:rPr>
          <w:rStyle w:val="soitChar"/>
        </w:rPr>
        <w:t>mm.</w:t>
      </w:r>
      <w:r>
        <w:br/>
        <w:t> </w:t>
      </w:r>
    </w:p>
    <w:p w14:paraId="42DCE73E" w14:textId="77777777" w:rsidR="004B2808" w:rsidRDefault="00000000">
      <w:pPr>
        <w:jc w:val="both"/>
      </w:pPr>
      <w:r>
        <w:rPr>
          <w:b/>
          <w:u w:val="single"/>
        </w:rPr>
        <w:t>Colle</w:t>
      </w:r>
    </w:p>
    <w:p w14:paraId="2FA00E17" w14:textId="77777777" w:rsidR="004B2808" w:rsidRDefault="00000000">
      <w:pPr>
        <w:jc w:val="both"/>
      </w:pPr>
      <w:r>
        <w:t>Les matériaux d’encollage doivent être compatibles avec le support et le revêtement mis en œuvre.</w:t>
      </w:r>
    </w:p>
    <w:p w14:paraId="2A4956A8" w14:textId="77777777" w:rsidR="004B2808" w:rsidRDefault="00000000">
      <w:pPr>
        <w:jc w:val="both"/>
      </w:pPr>
      <w:r>
        <w:t>Ils doivent satisfaire aux dispositions des § 3.1, 3.2 et 3.3 de la [NIT 237] ou § 5.3 de la [NIT 213].</w:t>
      </w:r>
    </w:p>
    <w:p w14:paraId="5A8E3DC0" w14:textId="77777777" w:rsidR="004B2808" w:rsidRDefault="00000000">
      <w:pPr>
        <w:jc w:val="both"/>
      </w:pPr>
      <w:r>
        <w:t>Conformément à la norme [NBN EN 12004-1] :</w:t>
      </w:r>
    </w:p>
    <w:p w14:paraId="1DE3DCF9" w14:textId="77777777" w:rsidR="004B2808" w:rsidRDefault="00000000">
      <w:pPr>
        <w:pStyle w:val="Author-eListParagraph"/>
        <w:numPr>
          <w:ilvl w:val="0"/>
          <w:numId w:val="621"/>
        </w:numPr>
      </w:pPr>
      <w:r>
        <w:t xml:space="preserve">Type : </w:t>
      </w:r>
      <w:r>
        <w:rPr>
          <w:rStyle w:val="optioncarChar"/>
        </w:rPr>
        <w:t>C (mortier-colle)</w:t>
      </w:r>
      <w:r>
        <w:t xml:space="preserve"> (par défaut) </w:t>
      </w:r>
      <w:r>
        <w:rPr>
          <w:rStyle w:val="optioncarChar"/>
        </w:rPr>
        <w:t>/ D (adhésif en dispersion) / R (colle réactive).</w:t>
      </w:r>
    </w:p>
    <w:p w14:paraId="49A0F75A" w14:textId="77777777" w:rsidR="004B2808" w:rsidRDefault="00000000">
      <w:pPr>
        <w:pStyle w:val="Author-eListParagraph"/>
        <w:numPr>
          <w:ilvl w:val="0"/>
          <w:numId w:val="621"/>
        </w:numPr>
      </w:pPr>
      <w:r>
        <w:t xml:space="preserve">Classe de performance : </w:t>
      </w:r>
      <w:r>
        <w:rPr>
          <w:rStyle w:val="optioncarChar"/>
        </w:rPr>
        <w:t>1 (ordinaire) / 2 (amélioré)</w:t>
      </w:r>
      <w:r>
        <w:t xml:space="preserve"> (par défaut).</w:t>
      </w:r>
    </w:p>
    <w:p w14:paraId="3F3E08B1" w14:textId="77777777" w:rsidR="004B2808" w:rsidRDefault="00000000">
      <w:pPr>
        <w:pStyle w:val="Author-eListParagraph"/>
        <w:numPr>
          <w:ilvl w:val="0"/>
          <w:numId w:val="621"/>
        </w:numPr>
      </w:pPr>
      <w:r>
        <w:t>Propriétés additionnelles :</w:t>
      </w:r>
    </w:p>
    <w:p w14:paraId="49E055B4" w14:textId="77777777" w:rsidR="004B2808" w:rsidRDefault="00000000">
      <w:pPr>
        <w:pStyle w:val="Author-eListParagraph"/>
        <w:numPr>
          <w:ilvl w:val="1"/>
          <w:numId w:val="622"/>
        </w:numPr>
      </w:pPr>
      <w:r>
        <w:t xml:space="preserve">Colle à temps ouvert allongé E : </w:t>
      </w:r>
      <w:r>
        <w:rPr>
          <w:rStyle w:val="optioncarChar"/>
        </w:rPr>
        <w:t xml:space="preserve">oui </w:t>
      </w:r>
      <w:r>
        <w:t>(par défaut)</w:t>
      </w:r>
      <w:r>
        <w:rPr>
          <w:rStyle w:val="optioncarChar"/>
        </w:rPr>
        <w:t xml:space="preserve"> / non.</w:t>
      </w:r>
    </w:p>
    <w:p w14:paraId="3E44A758" w14:textId="77777777" w:rsidR="004B2808" w:rsidRDefault="00000000">
      <w:pPr>
        <w:pStyle w:val="Author-eListParagraph"/>
        <w:numPr>
          <w:ilvl w:val="1"/>
          <w:numId w:val="622"/>
        </w:numPr>
      </w:pPr>
      <w:r>
        <w:t xml:space="preserve">Colle à durcissement rapide F : </w:t>
      </w:r>
      <w:r>
        <w:rPr>
          <w:rStyle w:val="optioncarChar"/>
        </w:rPr>
        <w:t xml:space="preserve">oui </w:t>
      </w:r>
      <w:r>
        <w:t xml:space="preserve">(par défaut) </w:t>
      </w:r>
      <w:r>
        <w:rPr>
          <w:rStyle w:val="optioncarChar"/>
        </w:rPr>
        <w:t>/ non.</w:t>
      </w:r>
    </w:p>
    <w:p w14:paraId="6AD4A359" w14:textId="77777777" w:rsidR="004B2808" w:rsidRDefault="00000000">
      <w:pPr>
        <w:pStyle w:val="Author-eListParagraph"/>
        <w:numPr>
          <w:ilvl w:val="1"/>
          <w:numId w:val="622"/>
        </w:numPr>
      </w:pPr>
      <w:r>
        <w:t xml:space="preserve">Colle résistante au glissement T : </w:t>
      </w:r>
      <w:r>
        <w:rPr>
          <w:rStyle w:val="optioncarChar"/>
        </w:rPr>
        <w:t xml:space="preserve">oui </w:t>
      </w:r>
      <w:r>
        <w:t>(par défaut)</w:t>
      </w:r>
      <w:r>
        <w:rPr>
          <w:rStyle w:val="optioncarChar"/>
        </w:rPr>
        <w:t xml:space="preserve"> / non</w:t>
      </w:r>
      <w:r>
        <w:t>.</w:t>
      </w:r>
    </w:p>
    <w:p w14:paraId="7A8B7900" w14:textId="77777777" w:rsidR="004B2808" w:rsidRDefault="00000000">
      <w:pPr>
        <w:pStyle w:val="Author-eListParagraph"/>
        <w:numPr>
          <w:ilvl w:val="1"/>
          <w:numId w:val="622"/>
        </w:numPr>
      </w:pPr>
      <w:r>
        <w:t xml:space="preserve">Colle déformable : </w:t>
      </w:r>
      <w:r>
        <w:rPr>
          <w:rStyle w:val="optioncarChar"/>
        </w:rPr>
        <w:t>non </w:t>
      </w:r>
      <w:r>
        <w:t>(par défaut)</w:t>
      </w:r>
      <w:r>
        <w:rPr>
          <w:rStyle w:val="optioncarChar"/>
        </w:rPr>
        <w:t xml:space="preserve"> / S1 (déformable) / S2 (hautement déformable)</w:t>
      </w:r>
      <w:r>
        <w:br/>
      </w:r>
    </w:p>
    <w:p w14:paraId="53ADF5F3" w14:textId="77777777" w:rsidR="004B2808" w:rsidRDefault="00000000">
      <w:pPr>
        <w:jc w:val="both"/>
      </w:pPr>
      <w:r>
        <w:rPr>
          <w:b/>
          <w:u w:val="single"/>
        </w:rPr>
        <w:t>Joints</w:t>
      </w:r>
    </w:p>
    <w:p w14:paraId="53C15C58" w14:textId="77777777" w:rsidR="004B2808" w:rsidRDefault="00000000">
      <w:pPr>
        <w:jc w:val="both"/>
      </w:pPr>
      <w:r>
        <w:t>Les matériaux de jointoiement doivent être compatibles avec le support et le matériau d’encollage mis en œuvre. Ils doivent satisfaire aux prescriptions du § 3.5 de la [NIT 237] ou § 5.5.2 de la [NIT 213].</w:t>
      </w:r>
    </w:p>
    <w:p w14:paraId="3C00797B" w14:textId="77777777" w:rsidR="004B2808" w:rsidRDefault="00000000">
      <w:pPr>
        <w:pStyle w:val="Author-eListParagraph"/>
        <w:numPr>
          <w:ilvl w:val="0"/>
          <w:numId w:val="623"/>
        </w:numPr>
      </w:pPr>
      <w:r>
        <w:t>Teinte :</w:t>
      </w:r>
      <w:r>
        <w:rPr>
          <w:rStyle w:val="optioncarChar"/>
        </w:rPr>
        <w:t xml:space="preserve"> gris</w:t>
      </w:r>
      <w:r>
        <w:t xml:space="preserve"> (par défaut) </w:t>
      </w:r>
      <w:r>
        <w:rPr>
          <w:rStyle w:val="optioncarChar"/>
        </w:rPr>
        <w:t>/ blanc / ***</w:t>
      </w:r>
      <w:r>
        <w:t>.</w:t>
      </w:r>
    </w:p>
    <w:p w14:paraId="79413188" w14:textId="77777777" w:rsidR="004B2808" w:rsidRDefault="00000000">
      <w:pPr>
        <w:pStyle w:val="Author-eListParagraph"/>
        <w:numPr>
          <w:ilvl w:val="0"/>
          <w:numId w:val="623"/>
        </w:numPr>
      </w:pPr>
      <w:r>
        <w:t xml:space="preserve">Nature du liant, suivant la norme [NBN EN 13888] : à base de </w:t>
      </w:r>
      <w:r>
        <w:rPr>
          <w:rStyle w:val="optioncarChar"/>
        </w:rPr>
        <w:t xml:space="preserve">ciment (CG) </w:t>
      </w:r>
      <w:r>
        <w:t>(par défaut)</w:t>
      </w:r>
      <w:r>
        <w:rPr>
          <w:rStyle w:val="optioncarChar"/>
        </w:rPr>
        <w:t xml:space="preserve"> / résine (RG)</w:t>
      </w:r>
      <w:r>
        <w:t>.</w:t>
      </w:r>
    </w:p>
    <w:p w14:paraId="5516240B" w14:textId="77777777" w:rsidR="004B2808" w:rsidRDefault="00000000">
      <w:pPr>
        <w:ind w:left="567"/>
        <w:jc w:val="both"/>
      </w:pPr>
      <w:r>
        <w:rPr>
          <w:b/>
          <w:i/>
        </w:rPr>
        <w:t>(Soit par défaut)</w:t>
      </w:r>
    </w:p>
    <w:p w14:paraId="4D719ABA" w14:textId="77777777" w:rsidR="004B2808" w:rsidRDefault="00000000">
      <w:pPr>
        <w:ind w:left="567"/>
        <w:jc w:val="both"/>
      </w:pPr>
      <w:r>
        <w:rPr>
          <w:rStyle w:val="soitChar"/>
          <w:u w:val="single"/>
        </w:rPr>
        <w:t>Ciment (CG) :</w:t>
      </w:r>
    </w:p>
    <w:p w14:paraId="1A49BE85" w14:textId="77777777" w:rsidR="004B2808" w:rsidRDefault="00000000">
      <w:pPr>
        <w:ind w:left="567"/>
        <w:jc w:val="both"/>
      </w:pPr>
      <w:r>
        <w:rPr>
          <w:rStyle w:val="soitChar"/>
        </w:rPr>
        <w:t>Jointoiement composé d’un mélange de liants hydrauliques, d’agrégats, d’additifs minéraux et organiques. Le mortier doit être mélangé à de l’eau juste avant emploi.</w:t>
      </w:r>
    </w:p>
    <w:p w14:paraId="1A1EABD7" w14:textId="77777777" w:rsidR="004B2808" w:rsidRDefault="00000000">
      <w:pPr>
        <w:pStyle w:val="Author-eListParagraph"/>
        <w:numPr>
          <w:ilvl w:val="1"/>
          <w:numId w:val="624"/>
        </w:numPr>
      </w:pPr>
      <w:r>
        <w:rPr>
          <w:rStyle w:val="soitChar"/>
        </w:rPr>
        <w:lastRenderedPageBreak/>
        <w:t>Classe de performance :</w:t>
      </w:r>
      <w:r>
        <w:rPr>
          <w:rStyle w:val="optioncarChar"/>
        </w:rPr>
        <w:t xml:space="preserve">1 (normal) / 2 (amélioré) </w:t>
      </w:r>
      <w:r>
        <w:t>(par défaut)</w:t>
      </w:r>
      <w:r>
        <w:rPr>
          <w:rStyle w:val="optioncarChar"/>
        </w:rPr>
        <w:t xml:space="preserve"> / 2W (mortier amélioré à faible absorption d’eau) / 2Ar (mortier amélioré très résistant à l’usure).</w:t>
      </w:r>
    </w:p>
    <w:p w14:paraId="25B32170" w14:textId="77777777" w:rsidR="004B2808" w:rsidRDefault="00000000">
      <w:pPr>
        <w:ind w:left="567"/>
        <w:jc w:val="both"/>
      </w:pPr>
      <w:r>
        <w:rPr>
          <w:b/>
          <w:i/>
        </w:rPr>
        <w:t>(Soit)</w:t>
      </w:r>
    </w:p>
    <w:p w14:paraId="6416805B" w14:textId="77777777" w:rsidR="004B2808" w:rsidRDefault="00000000">
      <w:pPr>
        <w:ind w:left="567"/>
        <w:jc w:val="both"/>
      </w:pPr>
      <w:r>
        <w:rPr>
          <w:rStyle w:val="soitChar"/>
          <w:u w:val="single"/>
        </w:rPr>
        <w:t>Résine (RG) :</w:t>
      </w:r>
    </w:p>
    <w:p w14:paraId="4E470584" w14:textId="77777777" w:rsidR="004B2808" w:rsidRDefault="00000000">
      <w:pPr>
        <w:ind w:left="567"/>
        <w:jc w:val="both"/>
      </w:pPr>
      <w:r>
        <w:rPr>
          <w:rStyle w:val="soitChar"/>
        </w:rPr>
        <w:t>Jointoiement composé d’un mélange de résines synthétiques, d’agrégats, d’additifs minéraux et organiques.</w:t>
      </w:r>
    </w:p>
    <w:p w14:paraId="15AB665B" w14:textId="77777777" w:rsidR="004B2808" w:rsidRDefault="00000000">
      <w:pPr>
        <w:pStyle w:val="Author-eListParagraph"/>
        <w:numPr>
          <w:ilvl w:val="1"/>
          <w:numId w:val="625"/>
        </w:numPr>
      </w:pPr>
      <w:r>
        <w:rPr>
          <w:rStyle w:val="soitChar"/>
        </w:rPr>
        <w:t>Nature de la résine </w:t>
      </w:r>
      <w:r>
        <w:t xml:space="preserve">: </w:t>
      </w:r>
      <w:r>
        <w:rPr>
          <w:rStyle w:val="optioncarChar"/>
        </w:rPr>
        <w:t>acrylique </w:t>
      </w:r>
      <w:r>
        <w:t>(par défaut)</w:t>
      </w:r>
      <w:r>
        <w:rPr>
          <w:rStyle w:val="optioncarChar"/>
        </w:rPr>
        <w:t xml:space="preserve"> / époxyde / polyméthylméthacrylate / polyuréthane / polyester / ***.</w:t>
      </w:r>
      <w:r>
        <w:br/>
        <w:t> </w:t>
      </w:r>
    </w:p>
    <w:p w14:paraId="6B827CE2" w14:textId="77777777" w:rsidR="004B2808" w:rsidRDefault="00000000">
      <w:pPr>
        <w:jc w:val="both"/>
      </w:pPr>
      <w:r>
        <w:t>La documentation technique des matériaux d’encollage et de jointoiements est soumise à l’approbation de l'auteur de projet.</w:t>
      </w:r>
    </w:p>
    <w:p w14:paraId="07FDE36A" w14:textId="77777777" w:rsidR="004B2808" w:rsidRDefault="00000000">
      <w:pPr>
        <w:jc w:val="both"/>
      </w:pPr>
      <w:r>
        <w:rPr>
          <w:b/>
          <w:u w:val="single"/>
        </w:rPr>
        <w:t>Joints de mouvement</w:t>
      </w:r>
    </w:p>
    <w:p w14:paraId="320A0FFB" w14:textId="77777777" w:rsidR="004B2808" w:rsidRDefault="00000000">
      <w:pPr>
        <w:jc w:val="both"/>
      </w:pPr>
      <w:r>
        <w:t>Les joints de mouvement concernent les joints de dilatation, de désolidarisation, de retrait, de pourtour et autres réalisés dans les angles des locaux pour raccorder des matériaux différents, fractionner des surfaces étendues, etc.</w:t>
      </w:r>
    </w:p>
    <w:p w14:paraId="4713EC0C" w14:textId="77777777" w:rsidR="004B2808" w:rsidRDefault="00000000">
      <w:pPr>
        <w:jc w:val="both"/>
      </w:pPr>
      <w:r>
        <w:t>Ils doivent satisfaire aux prescriptions du § 3.6 de la [NIT 237] ou § 5.5.1 de la [NIT 213].</w:t>
      </w:r>
    </w:p>
    <w:p w14:paraId="6253565C" w14:textId="77777777" w:rsidR="004B2808" w:rsidRDefault="00000000">
      <w:pPr>
        <w:jc w:val="both"/>
      </w:pPr>
      <w:r>
        <w:t xml:space="preserve"> Renvoi au sous-titre </w:t>
      </w:r>
      <w:hyperlink w:anchor="1282" w:history="1">
        <w:r w:rsidR="004B2808">
          <w:rPr>
            <w:color w:val="0000EE"/>
          </w:rPr>
          <w:t>53.63 Réalisation de joints</w:t>
        </w:r>
      </w:hyperlink>
      <w:r>
        <w:t xml:space="preserve"> et articles qui en découlent.</w:t>
      </w:r>
    </w:p>
    <w:p w14:paraId="3224E4A2" w14:textId="77777777" w:rsidR="004B2808" w:rsidRDefault="00000000">
      <w:pPr>
        <w:jc w:val="both"/>
      </w:pPr>
      <w:r>
        <w:t> Les joints de mouvement sont compris par défaut dans le poste, sauf contre-indication dans le cahier spécial des charges aux articles concernés ci-dessus. </w:t>
      </w:r>
    </w:p>
    <w:p w14:paraId="4C63F331" w14:textId="77777777" w:rsidR="004B2808" w:rsidRDefault="00000000">
      <w:pPr>
        <w:pStyle w:val="pheading"/>
      </w:pPr>
      <w:r>
        <w:t>EXÉCUTION / MISE EN ŒUVRE</w:t>
      </w:r>
    </w:p>
    <w:p w14:paraId="31757E8F" w14:textId="77777777" w:rsidR="004B2808" w:rsidRDefault="00000000">
      <w:pPr>
        <w:pStyle w:val="pheading"/>
      </w:pPr>
      <w:r>
        <w:t>- Prescriptions générales</w:t>
      </w:r>
    </w:p>
    <w:p w14:paraId="0385130A" w14:textId="77777777" w:rsidR="004B2808" w:rsidRDefault="00000000">
      <w:pPr>
        <w:jc w:val="both"/>
      </w:pPr>
      <w:r>
        <w:rPr>
          <w:b/>
          <w:u w:val="single"/>
        </w:rPr>
        <w:t>Généralités</w:t>
      </w:r>
    </w:p>
    <w:p w14:paraId="23380701" w14:textId="77777777" w:rsidR="004B2808" w:rsidRDefault="00000000">
      <w:pPr>
        <w:jc w:val="both"/>
      </w:pPr>
      <w:r>
        <w:t>Les travaux de carrelage sont exécutés par des ouvriers spécialisés. Le moment de la mise en œuvre est judicieusement choisi en parfaite coordination avec la mise en œuvre du plafonnage, du mobilier de cuisine, des appareils sanitaires et des accessoires.</w:t>
      </w:r>
    </w:p>
    <w:p w14:paraId="377176D3" w14:textId="77777777" w:rsidR="004B2808" w:rsidRDefault="00000000">
      <w:pPr>
        <w:jc w:val="both"/>
      </w:pPr>
      <w:r>
        <w:t>Toutes les garanties sont données pour obtenir une exécution parfaite, particulièrement en ce qui concerne les affaissements possibles, les tassements, les fissures dans les joints et les carreaux, l'étanchéité à l'eau, la durabilité, etc.</w:t>
      </w:r>
    </w:p>
    <w:p w14:paraId="16E83EBE" w14:textId="77777777" w:rsidR="004B2808" w:rsidRDefault="00000000">
      <w:pPr>
        <w:jc w:val="both"/>
      </w:pPr>
      <w:r>
        <w:t>Lorsqu'un joint de dilatation se présente dans l'aire de pose du carrelage, celui-ci doit être prolongé dans le carrelage.</w:t>
      </w:r>
    </w:p>
    <w:p w14:paraId="66BBBA71" w14:textId="77777777" w:rsidR="004B2808" w:rsidRDefault="00000000">
      <w:pPr>
        <w:jc w:val="both"/>
      </w:pPr>
      <w:r>
        <w:t>Des joints de mouvement doivent également être présents pour raccorder des matériaux différents, fractionner des surfaces étendues, etc.</w:t>
      </w:r>
    </w:p>
    <w:p w14:paraId="4AEC5C77" w14:textId="77777777" w:rsidR="004B2808" w:rsidRDefault="00000000">
      <w:pPr>
        <w:jc w:val="both"/>
      </w:pPr>
      <w:r>
        <w:t> </w:t>
      </w:r>
    </w:p>
    <w:p w14:paraId="68A40BC8" w14:textId="77777777" w:rsidR="004B2808" w:rsidRDefault="00000000">
      <w:pPr>
        <w:jc w:val="both"/>
      </w:pPr>
      <w:r>
        <w:rPr>
          <w:b/>
          <w:u w:val="single"/>
        </w:rPr>
        <w:t>Pose</w:t>
      </w:r>
    </w:p>
    <w:p w14:paraId="7864ED97" w14:textId="77777777" w:rsidR="004B2808" w:rsidRDefault="00000000">
      <w:pPr>
        <w:jc w:val="both"/>
      </w:pPr>
      <w:r>
        <w:t>La pose des dalles de verre doit être faite sur un support rigide, régulier, lisse, sec et sans poussière.</w:t>
      </w:r>
    </w:p>
    <w:p w14:paraId="52FBB64F" w14:textId="77777777" w:rsidR="004B2808" w:rsidRDefault="00000000">
      <w:pPr>
        <w:jc w:val="both"/>
      </w:pPr>
      <w:r>
        <w:t>L’entrepreneur utilise les mêmes colles et outils que pour la pose d’un carrelage traditionnel.</w:t>
      </w:r>
    </w:p>
    <w:p w14:paraId="1D8DE9AA" w14:textId="77777777" w:rsidR="004B2808" w:rsidRDefault="00000000">
      <w:pPr>
        <w:jc w:val="both"/>
      </w:pPr>
      <w:r>
        <w:t>Les dalles sont posées conformément aux prescriptions de la [NIT 237], à l’aide de colle adaptée aux deux supports, selon le motif de pose choisi.</w:t>
      </w:r>
    </w:p>
    <w:p w14:paraId="6849E6FD" w14:textId="77777777" w:rsidR="004B2808" w:rsidRDefault="00000000">
      <w:pPr>
        <w:jc w:val="both"/>
      </w:pPr>
      <w:r>
        <w:t xml:space="preserve">Choix du motif de pose : </w:t>
      </w:r>
      <w:r>
        <w:rPr>
          <w:rStyle w:val="optioncarChar"/>
        </w:rPr>
        <w:t xml:space="preserve">carré à joints continus </w:t>
      </w:r>
      <w:r>
        <w:t>(par défaut)</w:t>
      </w:r>
      <w:r>
        <w:rPr>
          <w:rStyle w:val="optioncarChar"/>
        </w:rPr>
        <w:t xml:space="preserve"> / avec décalage d’un demi-carreau / ***.</w:t>
      </w:r>
    </w:p>
    <w:p w14:paraId="762F55A4" w14:textId="77777777" w:rsidR="004B2808" w:rsidRDefault="00000000">
      <w:pPr>
        <w:jc w:val="both"/>
      </w:pPr>
      <w:r>
        <w:t>Les joints sont égaux et leur largeur est fonction des dimensions des carreaux.</w:t>
      </w:r>
    </w:p>
    <w:p w14:paraId="10F57DB3" w14:textId="77777777" w:rsidR="004B2808" w:rsidRDefault="00000000">
      <w:pPr>
        <w:jc w:val="both"/>
      </w:pPr>
      <w:r>
        <w:t>Les bandes étroites inférieures à une demi-dalle doivent être évitées.</w:t>
      </w:r>
    </w:p>
    <w:p w14:paraId="34E3FF17" w14:textId="77777777" w:rsidR="004B2808" w:rsidRDefault="00000000">
      <w:pPr>
        <w:jc w:val="both"/>
      </w:pPr>
      <w:r>
        <w:t>Les dalles sont découpées mécaniquement à l’aide d’une tenaille, une pince à mosaïque, une carrelette ou une petite disqueuse, sans dégradations visibles.</w:t>
      </w:r>
    </w:p>
    <w:p w14:paraId="29BDDEA3" w14:textId="77777777" w:rsidR="004B2808" w:rsidRDefault="00000000">
      <w:pPr>
        <w:jc w:val="both"/>
      </w:pPr>
      <w:r>
        <w:t>La pose des dalles se fait en trois étapes :</w:t>
      </w:r>
    </w:p>
    <w:p w14:paraId="7412DF6A" w14:textId="77777777" w:rsidR="004B2808" w:rsidRDefault="00000000">
      <w:pPr>
        <w:pStyle w:val="Author-eListParagraph"/>
        <w:numPr>
          <w:ilvl w:val="0"/>
          <w:numId w:val="626"/>
        </w:numPr>
        <w:jc w:val="both"/>
      </w:pPr>
      <w:r>
        <w:lastRenderedPageBreak/>
        <w:t>Avant de coller les dalles, l’entrepreneur réalise un calepinage « à blanc » à faire valider par l’auteur de projet.</w:t>
      </w:r>
    </w:p>
    <w:p w14:paraId="1311DB4C" w14:textId="77777777" w:rsidR="004B2808" w:rsidRDefault="00000000">
      <w:pPr>
        <w:pStyle w:val="Author-eListParagraph"/>
        <w:numPr>
          <w:ilvl w:val="0"/>
          <w:numId w:val="626"/>
        </w:numPr>
        <w:jc w:val="both"/>
      </w:pPr>
      <w:r>
        <w:t>Après validation du calepinage par l’auteur de projet, l’entrepreneur applique de la colle sur le support avec un peigne de carreleur (2 ou 3 mm). Les dalles sont positionnées les unes à côté des autres et ajustées pour avoir des joints réguliers et égaux. Elles sont ensuite aplanies avec une batte de carreleur (maillet plat).</w:t>
      </w:r>
    </w:p>
    <w:p w14:paraId="2F16BAC4" w14:textId="77777777" w:rsidR="004B2808" w:rsidRDefault="00000000">
      <w:pPr>
        <w:pStyle w:val="Author-eListParagraph"/>
        <w:numPr>
          <w:ilvl w:val="0"/>
          <w:numId w:val="626"/>
        </w:numPr>
        <w:jc w:val="both"/>
      </w:pPr>
      <w:r>
        <w:t>Après respect du temps de séchage de la colle conformément aux prescriptions du fabricant, les joints entre les carreaux de verre sont réalisés à la colle avec une taloche plastique. Le surplus de colle est directement nettoyé à l’aide d’une éponge humide.</w:t>
      </w:r>
    </w:p>
    <w:p w14:paraId="1607C7F9" w14:textId="77777777" w:rsidR="004B2808" w:rsidRDefault="00000000">
      <w:pPr>
        <w:jc w:val="both"/>
      </w:pPr>
      <w:r>
        <w:t xml:space="preserve">La surface ne peut être praticable, par des pétions, qu’après le respect d’un temps de séchage de la colle de minimum </w:t>
      </w:r>
      <w:r>
        <w:rPr>
          <w:rStyle w:val="optioncarChar"/>
        </w:rPr>
        <w:t>24</w:t>
      </w:r>
      <w:r>
        <w:t xml:space="preserve"> (par défaut)</w:t>
      </w:r>
      <w:r>
        <w:rPr>
          <w:rStyle w:val="optioncarChar"/>
        </w:rPr>
        <w:t xml:space="preserve"> / ***</w:t>
      </w:r>
      <w:r>
        <w:t xml:space="preserve"> heures ou conformément aux prescriptions du fabricant.</w:t>
      </w:r>
    </w:p>
    <w:p w14:paraId="438F5BF8" w14:textId="77777777" w:rsidR="004B2808" w:rsidRDefault="00000000">
      <w:pPr>
        <w:jc w:val="both"/>
      </w:pPr>
      <w:r>
        <w:rPr>
          <w:b/>
          <w:u w:val="single"/>
        </w:rPr>
        <w:t>Jointoiement</w:t>
      </w:r>
    </w:p>
    <w:p w14:paraId="6DC821FE" w14:textId="77777777" w:rsidR="004B2808" w:rsidRDefault="00000000">
      <w:pPr>
        <w:jc w:val="both"/>
      </w:pPr>
      <w:r>
        <w:t>Le jointoiement ne peut être réalisé avant le délai de séchage de la colle repris ci-dessus.</w:t>
      </w:r>
    </w:p>
    <w:p w14:paraId="31CCF281" w14:textId="77777777" w:rsidR="004B2808" w:rsidRDefault="00000000">
      <w:pPr>
        <w:jc w:val="both"/>
      </w:pPr>
      <w:r>
        <w:t>Les joints doivent être propres, parfaitement dépoussiérés et vides sur au moins les 2/3 de l’épaisseur des revêtements avant la mise en œuvre du produit de jointoiement. </w:t>
      </w:r>
    </w:p>
    <w:p w14:paraId="1E8001A0" w14:textId="77777777" w:rsidR="004B2808" w:rsidRDefault="00000000">
      <w:pPr>
        <w:jc w:val="both"/>
      </w:pPr>
      <w:r>
        <w:t>Les joints sont correctement et uniformément remplis de produit de jointoiement à l’aide d’une spatule ou d’une raclette en caoutchouc.</w:t>
      </w:r>
    </w:p>
    <w:p w14:paraId="2FCB2AE5" w14:textId="77777777" w:rsidR="004B2808" w:rsidRDefault="00000000">
      <w:pPr>
        <w:jc w:val="both"/>
      </w:pPr>
      <w:r>
        <w:t>L’excès de jointoiement est éliminé de la surface, pendant que le produit est encore frais, en utilisant la spatule ou la raclette en diagonale des joints afin de ne pas les creuser.</w:t>
      </w:r>
    </w:p>
    <w:p w14:paraId="20396FE1" w14:textId="77777777" w:rsidR="004B2808" w:rsidRDefault="00000000">
      <w:pPr>
        <w:jc w:val="both"/>
      </w:pPr>
      <w:r>
        <w:t>Lorsqu’une fine pellicule superficielle commence à se former, 10 à 20 minutes après l’application (variable en fonction de la température et de l’absorption des matériaux), les résidus de produit de jointoiement sont éliminés avec un frottoir ou une éponge humide, toujours en diagonale des joints.</w:t>
      </w:r>
    </w:p>
    <w:p w14:paraId="5685D8AA" w14:textId="77777777" w:rsidR="004B2808" w:rsidRDefault="00000000">
      <w:pPr>
        <w:jc w:val="both"/>
      </w:pPr>
      <w:r>
        <w:t>Le frottoir ou l’éponge sont rincés fréquemment en utilisant deux récipients d’eau différents : un pour éliminer le produit en excès, l’autre pour le rinçage.</w:t>
      </w:r>
    </w:p>
    <w:p w14:paraId="67D5C800" w14:textId="77777777" w:rsidR="004B2808" w:rsidRDefault="00000000">
      <w:pPr>
        <w:jc w:val="both"/>
      </w:pPr>
      <w:r>
        <w:t>Les efflorescences éventuelles sont éliminées avec un nettoyant acide minimum 10 jours après le séchage complet des joints. </w:t>
      </w:r>
    </w:p>
    <w:p w14:paraId="0F668477" w14:textId="77777777" w:rsidR="004B2808" w:rsidRDefault="00000000">
      <w:pPr>
        <w:jc w:val="both"/>
      </w:pPr>
      <w:r>
        <w:t xml:space="preserve">Les joints de dilatation et les joints de raccordement sont traités conformément au sous-titre </w:t>
      </w:r>
      <w:hyperlink w:anchor="1282" w:history="1">
        <w:r w:rsidR="004B2808">
          <w:rPr>
            <w:color w:val="0000EE"/>
          </w:rPr>
          <w:t>53.63 Réalisation de joints</w:t>
        </w:r>
      </w:hyperlink>
      <w:r>
        <w:t xml:space="preserve"> et articles qui en découlent.</w:t>
      </w:r>
    </w:p>
    <w:p w14:paraId="6AF48240" w14:textId="77777777" w:rsidR="004B2808" w:rsidRDefault="00000000">
      <w:pPr>
        <w:jc w:val="both"/>
      </w:pPr>
      <w:r>
        <w:t xml:space="preserve">La surface ne peut être praticable, par des piétons, qu’après le respect du temps de séchage du jointoiement de minimum </w:t>
      </w:r>
      <w:r>
        <w:rPr>
          <w:rStyle w:val="optioncarChar"/>
        </w:rPr>
        <w:t>24 / 48</w:t>
      </w:r>
      <w:r>
        <w:t xml:space="preserve"> (par défaut)</w:t>
      </w:r>
      <w:r>
        <w:rPr>
          <w:rStyle w:val="optioncarChar"/>
        </w:rPr>
        <w:t xml:space="preserve"> / ***</w:t>
      </w:r>
      <w:r>
        <w:t xml:space="preserve"> heures ou conformément aux prescriptions du fabricant.</w:t>
      </w:r>
    </w:p>
    <w:p w14:paraId="4135B3DB" w14:textId="77777777" w:rsidR="004B2808" w:rsidRDefault="00000000">
      <w:pPr>
        <w:jc w:val="both"/>
      </w:pPr>
      <w:r>
        <w:t xml:space="preserve">La mise en service des locaux ne peut intervenir qu’après </w:t>
      </w:r>
      <w:r>
        <w:rPr>
          <w:rStyle w:val="optioncarChar"/>
        </w:rPr>
        <w:t xml:space="preserve">7 </w:t>
      </w:r>
      <w:r>
        <w:t>(par défaut)</w:t>
      </w:r>
      <w:r>
        <w:rPr>
          <w:rStyle w:val="optioncarChar"/>
        </w:rPr>
        <w:t xml:space="preserve"> / ***</w:t>
      </w:r>
      <w:r>
        <w:t xml:space="preserve"> jours minimum.</w:t>
      </w:r>
    </w:p>
    <w:p w14:paraId="4441B3E5" w14:textId="77777777" w:rsidR="004B2808" w:rsidRDefault="00000000">
      <w:pPr>
        <w:pStyle w:val="pheading"/>
      </w:pPr>
      <w:r>
        <w:t>CONTRÔLES PARTICULIERS</w:t>
      </w:r>
    </w:p>
    <w:p w14:paraId="279F4224" w14:textId="77777777" w:rsidR="004B2808" w:rsidRDefault="00000000">
      <w:pPr>
        <w:jc w:val="both"/>
      </w:pPr>
      <w:r>
        <w:t>Le revêtement en carrelage présente une surface parfaitement plane, exempte de fissures dans les joints et les carreaux ou d'autres dégradations de la surface.</w:t>
      </w:r>
    </w:p>
    <w:p w14:paraId="23B932C6" w14:textId="77777777" w:rsidR="004B2808" w:rsidRDefault="00000000">
      <w:pPr>
        <w:jc w:val="both"/>
      </w:pPr>
      <w:r>
        <w:t>Le revêtement est refusé lorsque les écarts de planéité entre les carreaux dépassent plus de</w:t>
      </w:r>
      <w:r>
        <w:rPr>
          <w:rStyle w:val="optioncarChar"/>
        </w:rPr>
        <w:t xml:space="preserve"> 1 </w:t>
      </w:r>
      <w:r>
        <w:t>(par défaut)</w:t>
      </w:r>
      <w:r>
        <w:rPr>
          <w:rStyle w:val="optioncarChar"/>
        </w:rPr>
        <w:t xml:space="preserve"> / ***</w:t>
      </w:r>
      <w:r>
        <w:t xml:space="preserve"> mm.</w:t>
      </w:r>
    </w:p>
    <w:p w14:paraId="12DDABA7" w14:textId="77777777" w:rsidR="004B2808" w:rsidRDefault="00000000">
      <w:pPr>
        <w:jc w:val="both"/>
      </w:pPr>
      <w:r>
        <w:t>Une nuance de couleur uniforme est exigée dans un seul et même local.</w:t>
      </w:r>
    </w:p>
    <w:p w14:paraId="5D0ED15A" w14:textId="77777777" w:rsidR="004B2808" w:rsidRDefault="00000000">
      <w:pPr>
        <w:pStyle w:val="pheading"/>
      </w:pPr>
      <w:r>
        <w:t>DOCUMENTS DE RÉFÉRENCE COMPLÉMENTAIRES</w:t>
      </w:r>
    </w:p>
    <w:p w14:paraId="1C823F91" w14:textId="77777777" w:rsidR="004B2808" w:rsidRDefault="00000000">
      <w:pPr>
        <w:pStyle w:val="pheading"/>
      </w:pPr>
      <w:r>
        <w:t>- Matériau</w:t>
      </w:r>
    </w:p>
    <w:p w14:paraId="4BCD574C" w14:textId="77777777" w:rsidR="004B2808" w:rsidRDefault="00000000">
      <w:r>
        <w:t>[NIT 213, Les revêtements de sol intérieurs en pierre naturelle (remplace la NIT 137 pour les travaux de dallage en pierre naturelle).]</w:t>
      </w:r>
    </w:p>
    <w:p w14:paraId="1F9ACC3D" w14:textId="77777777" w:rsidR="004B2808" w:rsidRDefault="00000000">
      <w:r>
        <w:t>[NIT 237, Revêtements de sol intérieurs en carreaux céramiques (remplace la NIT 137 pour les travaux de carrelage en céramique).]</w:t>
      </w:r>
    </w:p>
    <w:p w14:paraId="1099FA88" w14:textId="77777777" w:rsidR="004B2808" w:rsidRDefault="00000000">
      <w:r>
        <w:t>[NBN EN 12004-1, Colles à carrelage - Partie 1: Exigences, évaluation et vérification de la constance de performance, classification et marquage]</w:t>
      </w:r>
    </w:p>
    <w:p w14:paraId="7E2CF9FC" w14:textId="77777777" w:rsidR="004B2808" w:rsidRDefault="00000000">
      <w:r>
        <w:lastRenderedPageBreak/>
        <w:t>[NBN EN 13888, Mortiers de jointoiement pour carreaux et dalles céramiques - Exigences, évaluation de conformité, classification et désignation]</w:t>
      </w:r>
    </w:p>
    <w:p w14:paraId="1E7F3CCC" w14:textId="77777777" w:rsidR="004B2808" w:rsidRDefault="00000000">
      <w:pPr>
        <w:pStyle w:val="pheading"/>
      </w:pPr>
      <w:r>
        <w:t>- Exécution</w:t>
      </w:r>
    </w:p>
    <w:p w14:paraId="124C2884" w14:textId="77777777" w:rsidR="004B2808" w:rsidRDefault="00000000">
      <w:r>
        <w:t>[NIT 237, Revêtements de sol intérieurs en carreaux céramiques (remplace la NIT 137 pour les travaux de carrelage en céramique).]</w:t>
      </w:r>
    </w:p>
    <w:p w14:paraId="0EBB1198" w14:textId="77777777" w:rsidR="004B2808" w:rsidRDefault="00000000">
      <w:pPr>
        <w:pStyle w:val="pheading"/>
      </w:pPr>
      <w:r>
        <w:t>MESURAGE</w:t>
      </w:r>
    </w:p>
    <w:p w14:paraId="399EAC31" w14:textId="77777777" w:rsidR="004B2808" w:rsidRDefault="00000000">
      <w:pPr>
        <w:pStyle w:val="pheading"/>
      </w:pPr>
      <w:r>
        <w:t>- unité de mesure:</w:t>
      </w:r>
    </w:p>
    <w:p w14:paraId="1740A194" w14:textId="77777777" w:rsidR="004B2808" w:rsidRDefault="00000000">
      <w:r>
        <w:t>m²</w:t>
      </w:r>
    </w:p>
    <w:p w14:paraId="25837313" w14:textId="77777777" w:rsidR="004B2808" w:rsidRDefault="00000000">
      <w:pPr>
        <w:pStyle w:val="pheading"/>
      </w:pPr>
      <w:r>
        <w:t>- code de mesurage:</w:t>
      </w:r>
    </w:p>
    <w:p w14:paraId="3EE25E3E" w14:textId="77777777" w:rsidR="004B2808" w:rsidRDefault="00000000">
      <w:r>
        <w:t>Surface nette à carreler, à ventiler suivant la nature des matériaux et des dimensions.</w:t>
      </w:r>
    </w:p>
    <w:p w14:paraId="0D464F29" w14:textId="77777777" w:rsidR="004B2808" w:rsidRDefault="00000000">
      <w:pPr>
        <w:pStyle w:val="pheading"/>
      </w:pPr>
      <w:r>
        <w:t>- nature du marché:</w:t>
      </w:r>
    </w:p>
    <w:p w14:paraId="5D579B2E" w14:textId="77777777" w:rsidR="004B2808" w:rsidRDefault="00000000">
      <w:r>
        <w:t>QF</w:t>
      </w:r>
    </w:p>
    <w:p w14:paraId="04E911E6" w14:textId="77777777" w:rsidR="004B2808" w:rsidRDefault="00000000">
      <w:pPr>
        <w:pStyle w:val="Author-eSectionHeading3Numberless"/>
      </w:pPr>
      <w:bookmarkStart w:id="713" w:name="_Toc220490865"/>
      <w:r>
        <w:t>53.6 Eléments particuliers et finitions CCTB 01.11</w:t>
      </w:r>
      <w:bookmarkEnd w:id="713"/>
    </w:p>
    <w:p w14:paraId="7C606464" w14:textId="77777777" w:rsidR="004B2808" w:rsidRDefault="00000000">
      <w:pPr>
        <w:pStyle w:val="Author-eSectionHeading4Numberless"/>
      </w:pPr>
      <w:bookmarkStart w:id="714" w:name="1261"/>
      <w:bookmarkStart w:id="715" w:name="_Toc220490866"/>
      <w:bookmarkEnd w:id="714"/>
      <w:r>
        <w:t>53.61 Plinthes CCTB 01.02</w:t>
      </w:r>
      <w:bookmarkEnd w:id="715"/>
    </w:p>
    <w:p w14:paraId="18F8473E" w14:textId="77777777" w:rsidR="004B2808" w:rsidRDefault="00000000">
      <w:pPr>
        <w:pStyle w:val="pheading"/>
      </w:pPr>
      <w:r>
        <w:t>DESCRIPTION</w:t>
      </w:r>
    </w:p>
    <w:p w14:paraId="07D1D331" w14:textId="77777777" w:rsidR="004B2808" w:rsidRDefault="00000000">
      <w:pPr>
        <w:pStyle w:val="pheading"/>
      </w:pPr>
      <w:r>
        <w:t>- Définition / Comprend</w:t>
      </w:r>
    </w:p>
    <w:p w14:paraId="179FC516" w14:textId="77777777" w:rsidR="004B2808" w:rsidRDefault="00000000">
      <w:r>
        <w:t>Il s'agit de la fourniture et la pose des plinthes au niveau du sol. Conformément aux dispositions spécifiques et générales du cahier spécial des charges, les prix unitaires compris dans ce poste doivent toujours comprendre, soit dans leur totalité, soit selon la ventilation du métré récapitulatif :</w:t>
      </w:r>
    </w:p>
    <w:p w14:paraId="67589F00" w14:textId="77777777" w:rsidR="004B2808" w:rsidRDefault="00000000">
      <w:pPr>
        <w:pStyle w:val="Author-eListParagraph"/>
        <w:numPr>
          <w:ilvl w:val="0"/>
          <w:numId w:val="627"/>
        </w:numPr>
      </w:pPr>
      <w:r>
        <w:t>la préparation du mur en découpant et enlevant le plafonnage sur la hauteur appropriée, l'enlèvement des restes de mortier sur la maçonnerie apparente, …</w:t>
      </w:r>
    </w:p>
    <w:p w14:paraId="4DD8C42D" w14:textId="77777777" w:rsidR="004B2808" w:rsidRDefault="00000000">
      <w:pPr>
        <w:pStyle w:val="Author-eListParagraph"/>
        <w:numPr>
          <w:ilvl w:val="0"/>
          <w:numId w:val="627"/>
        </w:numPr>
      </w:pPr>
      <w:r>
        <w:t>l'évacuation des déchets, décombres, corps étrangers, plâtre, graisse, etc.</w:t>
      </w:r>
    </w:p>
    <w:p w14:paraId="0FEAD1E2" w14:textId="77777777" w:rsidR="004B2808" w:rsidRDefault="00000000">
      <w:pPr>
        <w:pStyle w:val="Author-eListParagraph"/>
        <w:numPr>
          <w:ilvl w:val="0"/>
          <w:numId w:val="627"/>
        </w:numPr>
      </w:pPr>
      <w:r>
        <w:t>le découpage des bandes de dilatation et d'isolation du sol afin de permettre l'exécution des joints élastiques;</w:t>
      </w:r>
    </w:p>
    <w:p w14:paraId="3E829548" w14:textId="77777777" w:rsidR="004B2808" w:rsidRDefault="00000000">
      <w:pPr>
        <w:pStyle w:val="Author-eListParagraph"/>
        <w:numPr>
          <w:ilvl w:val="0"/>
          <w:numId w:val="627"/>
        </w:numPr>
      </w:pPr>
      <w:r>
        <w:t>la fourniture et la pose des plinthes, y compris les moyens d'adhérence (mortiers / colles) et/ou les moyens de fixation (clous / vis);</w:t>
      </w:r>
    </w:p>
    <w:p w14:paraId="32A5BE41" w14:textId="77777777" w:rsidR="004B2808" w:rsidRDefault="00000000">
      <w:pPr>
        <w:pStyle w:val="Author-eListParagraph"/>
        <w:numPr>
          <w:ilvl w:val="0"/>
          <w:numId w:val="627"/>
        </w:numPr>
      </w:pPr>
      <w:r>
        <w:t>toutes les finitions, raccords périphériques, … avec le sol et les murs;</w:t>
      </w:r>
    </w:p>
    <w:p w14:paraId="1B8087F3" w14:textId="77777777" w:rsidR="004B2808" w:rsidRDefault="00000000">
      <w:pPr>
        <w:pStyle w:val="Author-eListParagraph"/>
        <w:numPr>
          <w:ilvl w:val="0"/>
          <w:numId w:val="627"/>
        </w:numPr>
      </w:pPr>
      <w:r>
        <w:t xml:space="preserve">le rejointoiement et/ou le masticage des joints des plinthes; </w:t>
      </w:r>
    </w:p>
    <w:p w14:paraId="2CEC41EE" w14:textId="77777777" w:rsidR="004B2808" w:rsidRDefault="00000000">
      <w:pPr>
        <w:pStyle w:val="Author-eListParagraph"/>
        <w:numPr>
          <w:ilvl w:val="0"/>
          <w:numId w:val="627"/>
        </w:numPr>
      </w:pPr>
      <w:r>
        <w:t>les parachèvements prévus et les éventuelles couches de protection;</w:t>
      </w:r>
    </w:p>
    <w:p w14:paraId="7EAA1A54" w14:textId="77777777" w:rsidR="004B2808" w:rsidRDefault="00000000">
      <w:pPr>
        <w:pStyle w:val="Author-eListParagraph"/>
        <w:numPr>
          <w:ilvl w:val="0"/>
          <w:numId w:val="627"/>
        </w:numPr>
      </w:pPr>
      <w:r>
        <w:t>le nettoyage des plinthes, y compris l'enlèvement de toutes les taches de mortier ou de colle et de mastic.</w:t>
      </w:r>
    </w:p>
    <w:p w14:paraId="5EC104AC" w14:textId="77777777" w:rsidR="004B2808" w:rsidRDefault="00000000">
      <w:pPr>
        <w:pStyle w:val="pheading"/>
      </w:pPr>
      <w:r>
        <w:t>- Remarques importantes</w:t>
      </w:r>
    </w:p>
    <w:p w14:paraId="2DDD1393" w14:textId="77777777" w:rsidR="004B2808" w:rsidRDefault="00000000">
      <w:r>
        <w:t xml:space="preserve">Attention </w:t>
      </w:r>
    </w:p>
    <w:p w14:paraId="1544C71F" w14:textId="77777777" w:rsidR="004B2808" w:rsidRDefault="00000000">
      <w:r>
        <w:t xml:space="preserve">En principe, les plinthes ne sont pas prévues contre les murs où des faïences sont prévues. Pour les revêtements d'escalier, la pose des plinthes est comprise dans le revêtement des marches d'escalier. </w:t>
      </w:r>
    </w:p>
    <w:p w14:paraId="0A97A624" w14:textId="77777777" w:rsidR="004B2808" w:rsidRDefault="00000000">
      <w:pPr>
        <w:pStyle w:val="pheading"/>
      </w:pPr>
      <w:r>
        <w:t>MATÉRIAUX</w:t>
      </w:r>
    </w:p>
    <w:p w14:paraId="76CD5731" w14:textId="77777777" w:rsidR="004B2808" w:rsidRDefault="00000000">
      <w:r>
        <w:t>Les plinthes ne sont posées que lorsque l'auteur de projet a approuvé les échantillons de plinthes proposés.</w:t>
      </w:r>
    </w:p>
    <w:p w14:paraId="3E96E1C5" w14:textId="77777777" w:rsidR="004B2808" w:rsidRDefault="00000000">
      <w:pPr>
        <w:pStyle w:val="pheading"/>
      </w:pPr>
      <w:r>
        <w:t>EXÉCUTION / MISE EN ŒUVRE</w:t>
      </w:r>
    </w:p>
    <w:p w14:paraId="3D601CDB" w14:textId="77777777" w:rsidR="004B2808" w:rsidRDefault="00000000">
      <w:r>
        <w:t xml:space="preserve">Les plinthes ne peuvent être posées qu'après la finition des plafonnages, des revêtements de sol et des menuiseries intérieures et extérieures. Les plinthes sont posées parfaitement d'aplomb et plan. L'entrepreneur veille à ce que la ligne visuelle des bords de carrelages et des joints soit respectée. La jonction au droit des huisseries de portes, entre-portes, … est parfaitement soignée. On veille </w:t>
      </w:r>
      <w:r>
        <w:lastRenderedPageBreak/>
        <w:t>également à ce que les joints de dilatation dans la surface du revêtement de sol se prolongent en ligne droite.</w:t>
      </w:r>
    </w:p>
    <w:p w14:paraId="2B3FD2AE" w14:textId="77777777" w:rsidR="004B2808" w:rsidRDefault="00000000">
      <w:pPr>
        <w:pStyle w:val="pheading"/>
      </w:pPr>
      <w:r>
        <w:t>CONTRÔLES</w:t>
      </w:r>
    </w:p>
    <w:p w14:paraId="4A821DE0" w14:textId="77777777" w:rsidR="004B2808" w:rsidRDefault="00000000">
      <w:r>
        <w:t>Il n'est toléré aucune différence de hauteur visible supérieure à 1 mm entre les morceaux de plinthe.</w:t>
      </w:r>
    </w:p>
    <w:p w14:paraId="7CC0EAD8" w14:textId="77777777" w:rsidR="004B2808" w:rsidRDefault="00000000">
      <w:pPr>
        <w:pStyle w:val="Author-eSectionHeading5Numberless"/>
      </w:pPr>
      <w:bookmarkStart w:id="716" w:name="_Toc220490867"/>
      <w:r>
        <w:t>53.61.1 Plinthes en carreaux de céramique CCTB 01.02</w:t>
      </w:r>
      <w:bookmarkEnd w:id="716"/>
    </w:p>
    <w:p w14:paraId="0FFE63D2" w14:textId="77777777" w:rsidR="004B2808" w:rsidRDefault="00000000">
      <w:pPr>
        <w:pStyle w:val="Author-eSectionHeading6Numberless"/>
      </w:pPr>
      <w:bookmarkStart w:id="717" w:name="_Toc220490868"/>
      <w:r>
        <w:t>53.61.1a Plinthes en carreaux de céramique CCTB 01.11</w:t>
      </w:r>
      <w:bookmarkEnd w:id="717"/>
    </w:p>
    <w:p w14:paraId="2D4832CD" w14:textId="77777777" w:rsidR="004B2808" w:rsidRDefault="00000000">
      <w:pPr>
        <w:pStyle w:val="pheading"/>
      </w:pPr>
      <w:r>
        <w:t>MATÉRIAUX</w:t>
      </w:r>
    </w:p>
    <w:p w14:paraId="45D1AF33" w14:textId="77777777" w:rsidR="004B2808" w:rsidRDefault="00000000">
      <w:pPr>
        <w:pStyle w:val="pheading"/>
      </w:pPr>
      <w:r>
        <w:t>- Caractéristiques générales</w:t>
      </w:r>
    </w:p>
    <w:p w14:paraId="183B115E" w14:textId="77777777" w:rsidR="004B2808" w:rsidRDefault="00000000">
      <w:r>
        <w:t xml:space="preserve">La composition et l'aspect des plinthes </w:t>
      </w:r>
      <w:r>
        <w:rPr>
          <w:rStyle w:val="optioncarChar"/>
        </w:rPr>
        <w:t>coïncident avec les carreaux de céramique</w:t>
      </w:r>
      <w:r>
        <w:t xml:space="preserve"> (par défaut) </w:t>
      </w:r>
      <w:r>
        <w:rPr>
          <w:rStyle w:val="optioncarChar"/>
        </w:rPr>
        <w:t>/ ***</w:t>
      </w:r>
      <w:r>
        <w:t xml:space="preserve">, selon la description de l'article </w:t>
      </w:r>
      <w:hyperlink w:anchor="145" w:history="1">
        <w:r w:rsidR="004B2808">
          <w:rPr>
            <w:color w:val="0000EE"/>
          </w:rPr>
          <w:t>53.51.1a Revêtements de sols en carreaux de céramique</w:t>
        </w:r>
      </w:hyperlink>
      <w:r>
        <w:t>.</w:t>
      </w:r>
    </w:p>
    <w:p w14:paraId="2D1614D2" w14:textId="77777777" w:rsidR="004B2808" w:rsidRDefault="00000000">
      <w:pPr>
        <w:pStyle w:val="heading"/>
      </w:pPr>
      <w:r>
        <w:t>Spécifications</w:t>
      </w:r>
    </w:p>
    <w:p w14:paraId="432995AE" w14:textId="77777777" w:rsidR="004B2808" w:rsidRDefault="00000000">
      <w:pPr>
        <w:pStyle w:val="Author-eListParagraph"/>
        <w:numPr>
          <w:ilvl w:val="0"/>
          <w:numId w:val="628"/>
        </w:numPr>
      </w:pPr>
      <w:r>
        <w:t xml:space="preserve">Hauteur : environ  </w:t>
      </w:r>
      <w:r>
        <w:rPr>
          <w:rStyle w:val="optioncarChar"/>
        </w:rPr>
        <w:t>70 </w:t>
      </w:r>
      <w:r>
        <w:t>(par défaut)</w:t>
      </w:r>
      <w:r>
        <w:rPr>
          <w:rStyle w:val="optioncarChar"/>
        </w:rPr>
        <w:t xml:space="preserve"> / 80 / *** </w:t>
      </w:r>
      <w:r>
        <w:t>mm</w:t>
      </w:r>
    </w:p>
    <w:p w14:paraId="2D600270" w14:textId="77777777" w:rsidR="004B2808" w:rsidRDefault="00000000">
      <w:pPr>
        <w:pStyle w:val="Author-eListParagraph"/>
        <w:numPr>
          <w:ilvl w:val="0"/>
          <w:numId w:val="628"/>
        </w:numPr>
      </w:pPr>
      <w:r>
        <w:t xml:space="preserve">Epaisseur : minimum </w:t>
      </w:r>
      <w:r>
        <w:rPr>
          <w:rStyle w:val="optioncarChar"/>
        </w:rPr>
        <w:t xml:space="preserve">8 </w:t>
      </w:r>
      <w:r>
        <w:t>(par défaut) </w:t>
      </w:r>
      <w:r>
        <w:rPr>
          <w:rStyle w:val="optioncarChar"/>
        </w:rPr>
        <w:t xml:space="preserve">/ 10 / *** </w:t>
      </w:r>
      <w:r>
        <w:t>mm</w:t>
      </w:r>
    </w:p>
    <w:p w14:paraId="574A4E70" w14:textId="77777777" w:rsidR="004B2808" w:rsidRDefault="00000000">
      <w:pPr>
        <w:pStyle w:val="Author-eListParagraph"/>
        <w:numPr>
          <w:ilvl w:val="0"/>
          <w:numId w:val="628"/>
        </w:numPr>
      </w:pPr>
      <w:r>
        <w:t xml:space="preserve">Longueur : </w:t>
      </w:r>
      <w:r>
        <w:rPr>
          <w:rStyle w:val="optioncarChar"/>
        </w:rPr>
        <w:t>conformément aux dimensions modulaires des carreaux</w:t>
      </w:r>
      <w:r>
        <w:t> (par défaut)</w:t>
      </w:r>
      <w:r>
        <w:rPr>
          <w:rStyle w:val="optioncarChar"/>
        </w:rPr>
        <w:t xml:space="preserve"> / ***</w:t>
      </w:r>
    </w:p>
    <w:p w14:paraId="58B01107" w14:textId="77777777" w:rsidR="004B2808" w:rsidRDefault="00000000">
      <w:pPr>
        <w:pStyle w:val="Author-eListParagraph"/>
        <w:numPr>
          <w:ilvl w:val="0"/>
          <w:numId w:val="628"/>
        </w:numPr>
      </w:pPr>
      <w:r>
        <w:t xml:space="preserve">Forme : les angles visibles sont </w:t>
      </w:r>
      <w:r>
        <w:rPr>
          <w:rStyle w:val="optioncarChar"/>
        </w:rPr>
        <w:t>droits </w:t>
      </w:r>
      <w:r>
        <w:t xml:space="preserve">(par défaut) </w:t>
      </w:r>
      <w:r>
        <w:rPr>
          <w:rStyle w:val="optioncarChar"/>
        </w:rPr>
        <w:t>/ légèrement arrondis / biseautés / *** </w:t>
      </w:r>
    </w:p>
    <w:p w14:paraId="758A1A6C" w14:textId="77777777" w:rsidR="004B2808" w:rsidRDefault="00000000">
      <w:pPr>
        <w:pStyle w:val="pheading"/>
      </w:pPr>
      <w:r>
        <w:t>- Prescriptions complémentaires</w:t>
      </w:r>
    </w:p>
    <w:p w14:paraId="4E249C1E" w14:textId="77777777" w:rsidR="004B2808" w:rsidRDefault="00000000">
      <w:r>
        <w:t>Les plinthes peuvent être découpées dans des carreaux, en veillant à ce que le bord supérieur des plinthes soit toujours constitué d'un bord de carreaux indemne.</w:t>
      </w:r>
    </w:p>
    <w:p w14:paraId="6D86008A" w14:textId="77777777" w:rsidR="004B2808" w:rsidRDefault="00000000">
      <w:pPr>
        <w:pStyle w:val="pheading"/>
      </w:pPr>
      <w:r>
        <w:t>EXÉCUTION / MISE EN ŒUVRE</w:t>
      </w:r>
    </w:p>
    <w:p w14:paraId="48CF9F93" w14:textId="77777777" w:rsidR="004B2808" w:rsidRDefault="00000000">
      <w:pPr>
        <w:pStyle w:val="pheading"/>
      </w:pPr>
      <w:r>
        <w:t>- Prescriptions générales</w:t>
      </w:r>
    </w:p>
    <w:p w14:paraId="6029A48A" w14:textId="77777777" w:rsidR="004B2808" w:rsidRDefault="00000000">
      <w:r>
        <w:t>La bonne exécution est basée sur la :</w:t>
      </w:r>
    </w:p>
    <w:p w14:paraId="389A2FAE" w14:textId="77777777" w:rsidR="004B2808" w:rsidRDefault="00000000">
      <w:pPr>
        <w:pStyle w:val="Author-eListParagraph"/>
        <w:numPr>
          <w:ilvl w:val="0"/>
          <w:numId w:val="629"/>
        </w:numPr>
      </w:pPr>
      <w:r>
        <w:t>[STS 45 série]tome 4 § 45.60.42</w:t>
      </w:r>
    </w:p>
    <w:p w14:paraId="0E23EF1F" w14:textId="77777777" w:rsidR="004B2808" w:rsidRDefault="00000000">
      <w:pPr>
        <w:pStyle w:val="Author-eListParagraph"/>
        <w:numPr>
          <w:ilvl w:val="0"/>
          <w:numId w:val="629"/>
        </w:numPr>
      </w:pPr>
      <w:r>
        <w:t>[NIT 237]</w:t>
      </w:r>
    </w:p>
    <w:p w14:paraId="139921A0" w14:textId="77777777" w:rsidR="004B2808" w:rsidRDefault="00000000">
      <w:r>
        <w:t xml:space="preserve">Le carreleur utilise un adhésif de son propre choix ( </w:t>
      </w:r>
      <w:r>
        <w:rPr>
          <w:rStyle w:val="optioncarChar"/>
        </w:rPr>
        <w:t>mortier de ciment </w:t>
      </w:r>
      <w:r>
        <w:t>(par défaut)</w:t>
      </w:r>
      <w:r>
        <w:rPr>
          <w:rStyle w:val="optioncarChar"/>
        </w:rPr>
        <w:t xml:space="preserve"> / mortier-colle / colle synthétique / ***</w:t>
      </w:r>
      <w:r>
        <w:t xml:space="preserve"> ), adapté à la nature des carreaux et au support. Pour la pose au mortier de ciment, les plinthes fortement absorbantes sont immergées dans l'eau jusqu'à saturation et ensuite égouttées. Pour les plinthes posées au mortier de ciment, le plafonnage est enlevé jusqu'à 1 cm du bord supérieur des plinthes, pour les plinthes posées à la colle jusqu'à 1 cm au-dessus du sol.</w:t>
      </w:r>
      <w:r>
        <w:br/>
        <w:t>Les bords qui débordent sont découpés afin de permettre l'exécution des joints élastiques. Le bord périphérique sous les plinthes est exécuté conformément au § 6.6.3 de la [NIT 237].</w:t>
      </w:r>
      <w:r>
        <w:br/>
        <w:t>Tous les joints de dilatation et de désolidarisation sont compris et sont exécutés conformément aux directives du § 6.5 de la [NIT 237] . Les caractéristiques du mastic utilisé pour les joints doivent satisfaire au tableau 3 de la STS précitée. L'utilisation de mastic au caoutchouc bitumé n'est pas admise.</w:t>
      </w:r>
      <w:r>
        <w:br/>
        <w:t>Les plinthes sont posées jointivement parallèles et d'aplomb par rapport au carrelage. Les plinthes sont coupées mécaniquement. Les pièces d'ajustage de moins d'une demi-longueur sont à éviter.</w:t>
      </w:r>
      <w:r>
        <w:br/>
        <w:t>Les joints sont remplis de mortier compatible avec le mortier de mise en œuvre.</w:t>
      </w:r>
      <w:r>
        <w:br/>
        <w:t>La couleur des mastics et du mortier de jointoiement est choisie par l'auteur de projet.</w:t>
      </w:r>
    </w:p>
    <w:p w14:paraId="74ABB4CA" w14:textId="77777777" w:rsidR="004B2808" w:rsidRDefault="00000000">
      <w:pPr>
        <w:ind w:left="750"/>
      </w:pPr>
      <w:r>
        <w:t> </w:t>
      </w:r>
    </w:p>
    <w:p w14:paraId="7A439607" w14:textId="77777777" w:rsidR="004B2808" w:rsidRDefault="00000000">
      <w:pPr>
        <w:pStyle w:val="pheading"/>
      </w:pPr>
      <w:r>
        <w:t>- Notes d’exécution complémentaires</w:t>
      </w:r>
    </w:p>
    <w:p w14:paraId="0DDF7312" w14:textId="77777777" w:rsidR="004B2808" w:rsidRDefault="00000000">
      <w:r>
        <w:t xml:space="preserve">Largeur des joints : </w:t>
      </w:r>
      <w:r>
        <w:rPr>
          <w:rStyle w:val="optioncarChar"/>
        </w:rPr>
        <w:t>adaptée à la largeur des joints du sol</w:t>
      </w:r>
      <w:r>
        <w:t> (par défaut)</w:t>
      </w:r>
      <w:r>
        <w:rPr>
          <w:rStyle w:val="optioncarChar"/>
        </w:rPr>
        <w:t> / ***</w:t>
      </w:r>
      <w:r>
        <w:br/>
        <w:t>Motif de pose : les joints des plinthes</w:t>
      </w:r>
      <w:r>
        <w:rPr>
          <w:rStyle w:val="optioncarChar"/>
        </w:rPr>
        <w:t> coïncident avec ceux du carrelage au sol </w:t>
      </w:r>
      <w:r>
        <w:t>(par défaut)</w:t>
      </w:r>
      <w:r>
        <w:rPr>
          <w:rStyle w:val="optioncarChar"/>
        </w:rPr>
        <w:t xml:space="preserve"> / mise en œuvre alternée / ***</w:t>
      </w:r>
      <w:r>
        <w:br/>
        <w:t>Les angles sont exécutés à onglet. </w:t>
      </w:r>
    </w:p>
    <w:p w14:paraId="504E3C00" w14:textId="77777777" w:rsidR="004B2808" w:rsidRDefault="00000000">
      <w:pPr>
        <w:pStyle w:val="pheading"/>
      </w:pPr>
      <w:r>
        <w:t>MESURAGE</w:t>
      </w:r>
    </w:p>
    <w:p w14:paraId="6460AA42" w14:textId="77777777" w:rsidR="004B2808" w:rsidRDefault="00000000">
      <w:r>
        <w:lastRenderedPageBreak/>
        <w:t>Conformément aux indications spécifiques dans le cahier spécial des charges et/ou le métré récapitulatif, le mesurage doit être conçu comme suit :</w:t>
      </w:r>
    </w:p>
    <w:p w14:paraId="6B709325" w14:textId="77777777" w:rsidR="004B2808" w:rsidRDefault="00000000">
      <w:pPr>
        <w:pStyle w:val="pheading"/>
      </w:pPr>
      <w:r>
        <w:t>- unité de mesure:</w:t>
      </w:r>
    </w:p>
    <w:p w14:paraId="58C9E53B" w14:textId="77777777" w:rsidR="004B2808" w:rsidRDefault="00000000">
      <w:r>
        <w:t>m</w:t>
      </w:r>
    </w:p>
    <w:p w14:paraId="546BECC3" w14:textId="77777777" w:rsidR="004B2808" w:rsidRDefault="00000000">
      <w:pPr>
        <w:pStyle w:val="pheading"/>
      </w:pPr>
      <w:r>
        <w:t>- code de mesurage:</w:t>
      </w:r>
    </w:p>
    <w:p w14:paraId="4B66D6FF" w14:textId="77777777" w:rsidR="004B2808" w:rsidRDefault="00000000">
      <w:r>
        <w:t>selon la nature et les dimensions des plinthes, longueur nette, mesurée entre le nu des murs, par-dessus les joints et les assemblages.</w:t>
      </w:r>
    </w:p>
    <w:p w14:paraId="4352CC87" w14:textId="77777777" w:rsidR="004B2808" w:rsidRDefault="00000000">
      <w:pPr>
        <w:pStyle w:val="pheading"/>
      </w:pPr>
      <w:r>
        <w:t>- nature du marché:</w:t>
      </w:r>
    </w:p>
    <w:p w14:paraId="5A7D335A" w14:textId="77777777" w:rsidR="004B2808" w:rsidRDefault="00000000">
      <w:r>
        <w:t>QF</w:t>
      </w:r>
    </w:p>
    <w:p w14:paraId="1027FB82" w14:textId="77777777" w:rsidR="004B2808" w:rsidRDefault="00000000">
      <w:pPr>
        <w:pStyle w:val="Author-eSectionHeading5Numberless"/>
      </w:pPr>
      <w:bookmarkStart w:id="718" w:name="_Toc220490869"/>
      <w:r>
        <w:t>53.61.2 Plinthes en pierres naturelles CCTB 01.11</w:t>
      </w:r>
      <w:bookmarkEnd w:id="718"/>
    </w:p>
    <w:p w14:paraId="68E86EB5" w14:textId="77777777" w:rsidR="004B2808" w:rsidRDefault="00000000">
      <w:pPr>
        <w:pStyle w:val="pheading"/>
      </w:pPr>
      <w:r>
        <w:t>MATÉRIAUX</w:t>
      </w:r>
    </w:p>
    <w:p w14:paraId="37EC16B5" w14:textId="77777777" w:rsidR="004B2808" w:rsidRDefault="00000000">
      <w:r>
        <w:t xml:space="preserve">La qualité de la pierre et son aspect sont identiques à ceux des carreaux en pierre naturelle, décrits à l'article </w:t>
      </w:r>
      <w:hyperlink w:anchor="1284" w:history="1">
        <w:r w:rsidR="004B2808">
          <w:rPr>
            <w:color w:val="0000EE"/>
          </w:rPr>
          <w:t>53.52 Revêtements de sols en pierre naturelle</w:t>
        </w:r>
      </w:hyperlink>
    </w:p>
    <w:p w14:paraId="772FE861" w14:textId="77777777" w:rsidR="004B2808" w:rsidRDefault="00000000">
      <w:pPr>
        <w:pStyle w:val="heading"/>
      </w:pPr>
      <w:r>
        <w:t>Spécifications</w:t>
      </w:r>
    </w:p>
    <w:p w14:paraId="03F2CE26" w14:textId="77777777" w:rsidR="004B2808" w:rsidRDefault="00000000">
      <w:r>
        <w:t xml:space="preserve">Hauteur : environ </w:t>
      </w:r>
      <w:r>
        <w:rPr>
          <w:rStyle w:val="optioncarChar"/>
        </w:rPr>
        <w:t>70 à 80 </w:t>
      </w:r>
      <w:r>
        <w:t>(par défaut)</w:t>
      </w:r>
      <w:r>
        <w:rPr>
          <w:rStyle w:val="optioncarChar"/>
        </w:rPr>
        <w:t xml:space="preserve"> / ***</w:t>
      </w:r>
      <w:r>
        <w:t xml:space="preserve"> mm</w:t>
      </w:r>
    </w:p>
    <w:p w14:paraId="14DB337E" w14:textId="77777777" w:rsidR="004B2808" w:rsidRDefault="00000000">
      <w:r>
        <w:t xml:space="preserve">Epaisseur : </w:t>
      </w:r>
      <w:r>
        <w:rPr>
          <w:rStyle w:val="optioncarChar"/>
        </w:rPr>
        <w:t>8 à 10</w:t>
      </w:r>
      <w:r>
        <w:t> (par défaut)</w:t>
      </w:r>
      <w:r>
        <w:rPr>
          <w:rStyle w:val="optioncarChar"/>
        </w:rPr>
        <w:t xml:space="preserve"> / 15 / ***</w:t>
      </w:r>
      <w:r>
        <w:t xml:space="preserve"> mm</w:t>
      </w:r>
    </w:p>
    <w:p w14:paraId="38531847" w14:textId="77777777" w:rsidR="004B2808" w:rsidRDefault="00000000">
      <w:r>
        <w:t xml:space="preserve">Longueur : </w:t>
      </w:r>
      <w:r>
        <w:rPr>
          <w:rStyle w:val="optioncarChar"/>
        </w:rPr>
        <w:t>conformément à la dimension (modulaire) des carreaux </w:t>
      </w:r>
      <w:r>
        <w:t>(par défaut)</w:t>
      </w:r>
      <w:r>
        <w:rPr>
          <w:rStyle w:val="optioncarChar"/>
        </w:rPr>
        <w:t xml:space="preserve"> / ***</w:t>
      </w:r>
    </w:p>
    <w:p w14:paraId="66D73BC6" w14:textId="77777777" w:rsidR="004B2808" w:rsidRDefault="00000000">
      <w:r>
        <w:t xml:space="preserve">Forme : les angles visibles sont </w:t>
      </w:r>
      <w:r>
        <w:rPr>
          <w:rStyle w:val="optioncarChar"/>
        </w:rPr>
        <w:t>droits / légèrement arrondis / biseautés</w:t>
      </w:r>
      <w:r>
        <w:t>.</w:t>
      </w:r>
    </w:p>
    <w:p w14:paraId="6A1D0EEB" w14:textId="77777777" w:rsidR="004B2808" w:rsidRDefault="00000000">
      <w:pPr>
        <w:pStyle w:val="pheading"/>
      </w:pPr>
      <w:r>
        <w:t>EXÉCUTION / MISE EN ŒUVRE</w:t>
      </w:r>
    </w:p>
    <w:p w14:paraId="77D22E1A" w14:textId="77777777" w:rsidR="004B2808" w:rsidRDefault="00000000">
      <w:r>
        <w:t>La bonne exécution est basée sur la:</w:t>
      </w:r>
    </w:p>
    <w:p w14:paraId="553F8864" w14:textId="77777777" w:rsidR="004B2808" w:rsidRDefault="00000000">
      <w:pPr>
        <w:pStyle w:val="Author-eListParagraph"/>
        <w:numPr>
          <w:ilvl w:val="0"/>
          <w:numId w:val="630"/>
        </w:numPr>
      </w:pPr>
      <w:r>
        <w:t>[STS 45 série], tome 4 § 45.60.42</w:t>
      </w:r>
    </w:p>
    <w:p w14:paraId="0160425E" w14:textId="77777777" w:rsidR="004B2808" w:rsidRDefault="00000000">
      <w:pPr>
        <w:pStyle w:val="Author-eListParagraph"/>
        <w:numPr>
          <w:ilvl w:val="0"/>
          <w:numId w:val="630"/>
        </w:numPr>
      </w:pPr>
      <w:r>
        <w:t>[NIT 213]</w:t>
      </w:r>
    </w:p>
    <w:p w14:paraId="64DEC20C" w14:textId="77777777" w:rsidR="004B2808" w:rsidRDefault="00000000">
      <w:r>
        <w:t>Les plinthes sont posées au mortier de ciment de la catégorie M2 selon la [NBN EN 998-2] (composition : 300 kg de ciment, classe de résistance 32,5 par m3 de sable mi-rude). L'addition d'un adjuvant pour améliorer l'adhésion est admise. Les joints sont remplis d'un mortier compatible avec le mortier de mise en œuvre.</w:t>
      </w:r>
    </w:p>
    <w:p w14:paraId="50C74583" w14:textId="77777777" w:rsidR="004B2808" w:rsidRDefault="00000000">
      <w:r>
        <w:t xml:space="preserve">Largeur des joints : </w:t>
      </w:r>
      <w:r>
        <w:rPr>
          <w:rStyle w:val="optioncarChar"/>
        </w:rPr>
        <w:t>adaptée à la largeur des joints du sol </w:t>
      </w:r>
      <w:r>
        <w:t>(par défaut) </w:t>
      </w:r>
      <w:r>
        <w:rPr>
          <w:rStyle w:val="optioncarChar"/>
        </w:rPr>
        <w:t> / ***</w:t>
      </w:r>
    </w:p>
    <w:p w14:paraId="07C2A143" w14:textId="77777777" w:rsidR="004B2808" w:rsidRDefault="00000000">
      <w:r>
        <w:t xml:space="preserve">Motif de pose : </w:t>
      </w:r>
      <w:r>
        <w:rPr>
          <w:rStyle w:val="optioncarChar"/>
        </w:rPr>
        <w:t>les joints des plinthes coïncident avec ceux du carrelage au sol </w:t>
      </w:r>
      <w:r>
        <w:t>(par défaut)</w:t>
      </w:r>
      <w:r>
        <w:rPr>
          <w:rStyle w:val="optioncarChar"/>
        </w:rPr>
        <w:t xml:space="preserve"> / mise en œuvre alternée / ***</w:t>
      </w:r>
    </w:p>
    <w:p w14:paraId="50B145AE" w14:textId="77777777" w:rsidR="004B2808" w:rsidRDefault="00000000">
      <w:r>
        <w:t>Les angles sont exécutés à onglet.</w:t>
      </w:r>
    </w:p>
    <w:p w14:paraId="3BCB02D9" w14:textId="77777777" w:rsidR="004B2808" w:rsidRDefault="00000000">
      <w:pPr>
        <w:ind w:left="750"/>
      </w:pPr>
      <w:r>
        <w:t> </w:t>
      </w:r>
    </w:p>
    <w:p w14:paraId="7639021D" w14:textId="77777777" w:rsidR="004B2808" w:rsidRDefault="00000000">
      <w:pPr>
        <w:pStyle w:val="Author-eSectionHeading6Numberless"/>
      </w:pPr>
      <w:bookmarkStart w:id="719" w:name="_Toc220490870"/>
      <w:r>
        <w:t>53.61.2a Plinthes en pierres naturelles - en pierres blanches CCTB 01.02</w:t>
      </w:r>
      <w:bookmarkEnd w:id="719"/>
    </w:p>
    <w:p w14:paraId="04131716" w14:textId="77777777" w:rsidR="004B2808" w:rsidRDefault="00000000">
      <w:pPr>
        <w:pStyle w:val="Author-eSectionHeading6Numberless"/>
      </w:pPr>
      <w:bookmarkStart w:id="720" w:name="_Toc220490871"/>
      <w:r>
        <w:t>53.61.2b Plinthes en pierres naturelles - en pierres marbrières CCTB 01.02</w:t>
      </w:r>
      <w:bookmarkEnd w:id="720"/>
    </w:p>
    <w:p w14:paraId="6B6966E7" w14:textId="77777777" w:rsidR="004B2808" w:rsidRDefault="00000000">
      <w:pPr>
        <w:pStyle w:val="Author-eSectionHeading6Numberless"/>
      </w:pPr>
      <w:bookmarkStart w:id="721" w:name="_Toc220490872"/>
      <w:r>
        <w:t>53.61.2c Plinthes en pierres naturelles - en marbres CCTB 01.02</w:t>
      </w:r>
      <w:bookmarkEnd w:id="721"/>
    </w:p>
    <w:p w14:paraId="459DA9CC" w14:textId="77777777" w:rsidR="004B2808" w:rsidRDefault="00000000">
      <w:pPr>
        <w:pStyle w:val="Author-eSectionHeading6Numberless"/>
      </w:pPr>
      <w:bookmarkStart w:id="722" w:name="_Toc220490873"/>
      <w:r>
        <w:t>53.61.2d Plinthes en pierres naturelles - en pierres bleues CCTB 01.02</w:t>
      </w:r>
      <w:bookmarkEnd w:id="722"/>
    </w:p>
    <w:p w14:paraId="4C87D6F1" w14:textId="77777777" w:rsidR="004B2808" w:rsidRDefault="00000000">
      <w:pPr>
        <w:pStyle w:val="Author-eSectionHeading6Numberless"/>
      </w:pPr>
      <w:bookmarkStart w:id="723" w:name="_Toc220490874"/>
      <w:r>
        <w:t>53.61.2e Plinthes en pierres naturelles - en granits CCTB 01.02</w:t>
      </w:r>
      <w:bookmarkEnd w:id="723"/>
    </w:p>
    <w:p w14:paraId="124DC19B" w14:textId="77777777" w:rsidR="004B2808" w:rsidRDefault="00000000">
      <w:pPr>
        <w:pStyle w:val="Author-eSectionHeading6Numberless"/>
      </w:pPr>
      <w:bookmarkStart w:id="724" w:name="_Toc220490875"/>
      <w:r>
        <w:t>53.61.2f Plinthes en pierres naturelles - en schistes CCTB 01.02</w:t>
      </w:r>
      <w:bookmarkEnd w:id="724"/>
    </w:p>
    <w:p w14:paraId="4C0919EB" w14:textId="77777777" w:rsidR="004B2808" w:rsidRDefault="00000000">
      <w:pPr>
        <w:pStyle w:val="Author-eSectionHeading5Numberless"/>
      </w:pPr>
      <w:bookmarkStart w:id="725" w:name="_Toc220490876"/>
      <w:r>
        <w:t>53.61.3 Plinthes à base de liants CCTB 01.02</w:t>
      </w:r>
      <w:bookmarkEnd w:id="725"/>
    </w:p>
    <w:p w14:paraId="14343892" w14:textId="77777777" w:rsidR="004B2808" w:rsidRDefault="00000000">
      <w:pPr>
        <w:pStyle w:val="Author-eSectionHeading6Numberless"/>
      </w:pPr>
      <w:bookmarkStart w:id="726" w:name="_Toc220490877"/>
      <w:r>
        <w:t>53.61.3a Plinthes à base de liants - plinthes cimentées, non colorées CCTB 01.02</w:t>
      </w:r>
      <w:bookmarkEnd w:id="726"/>
    </w:p>
    <w:p w14:paraId="326AF79B" w14:textId="77777777" w:rsidR="004B2808" w:rsidRDefault="00000000">
      <w:pPr>
        <w:pStyle w:val="Author-eSectionHeading6Numberless"/>
      </w:pPr>
      <w:bookmarkStart w:id="727" w:name="_Toc220490878"/>
      <w:r>
        <w:lastRenderedPageBreak/>
        <w:t>53.61.3b Plinthes à base de liants - plinthes cimentées, colorées dans la masse CCTB 01.02</w:t>
      </w:r>
      <w:bookmarkEnd w:id="727"/>
    </w:p>
    <w:p w14:paraId="4CA9C27C" w14:textId="77777777" w:rsidR="004B2808" w:rsidRDefault="00000000">
      <w:pPr>
        <w:pStyle w:val="Author-eSectionHeading6Numberless"/>
      </w:pPr>
      <w:bookmarkStart w:id="728" w:name="_Toc220490879"/>
      <w:r>
        <w:t>53.61.3c Plinthes à base de liants - plinthes en granulats de pierre agglomérés au ciment (mosaïque de marbre) CCTB 01.11</w:t>
      </w:r>
      <w:bookmarkEnd w:id="728"/>
    </w:p>
    <w:p w14:paraId="2796EC56" w14:textId="77777777" w:rsidR="004B2808" w:rsidRDefault="00000000">
      <w:pPr>
        <w:pStyle w:val="pheading"/>
      </w:pPr>
      <w:r>
        <w:t>MATÉRIAUX</w:t>
      </w:r>
    </w:p>
    <w:p w14:paraId="63F55830" w14:textId="77777777" w:rsidR="004B2808" w:rsidRDefault="00000000">
      <w:pPr>
        <w:pStyle w:val="pheading"/>
      </w:pPr>
      <w:r>
        <w:t>- Caractéristiques générales</w:t>
      </w:r>
    </w:p>
    <w:p w14:paraId="56450513" w14:textId="77777777" w:rsidR="004B2808" w:rsidRDefault="00000000">
      <w:r>
        <w:t xml:space="preserve">La composition et l'aspect sont </w:t>
      </w:r>
      <w:r>
        <w:rPr>
          <w:rStyle w:val="optioncarChar"/>
        </w:rPr>
        <w:t>identiques aux carreaux en mosaïque de marbre</w:t>
      </w:r>
      <w:r>
        <w:t> (par défaut)</w:t>
      </w:r>
      <w:r>
        <w:rPr>
          <w:rStyle w:val="optioncarChar"/>
        </w:rPr>
        <w:t> / ***</w:t>
      </w:r>
      <w:r>
        <w:t xml:space="preserve">, décrits à l'article </w:t>
      </w:r>
      <w:hyperlink w:anchor="1285" w:history="1">
        <w:r w:rsidR="004B2808">
          <w:rPr>
            <w:color w:val="0000EE"/>
          </w:rPr>
          <w:t>53.53.1a Revêtements en carreaux en mosaïque de marbre</w:t>
        </w:r>
      </w:hyperlink>
    </w:p>
    <w:p w14:paraId="30E0895D" w14:textId="77777777" w:rsidR="004B2808" w:rsidRDefault="00000000">
      <w:pPr>
        <w:pStyle w:val="heading"/>
      </w:pPr>
      <w:r>
        <w:t>Spécifications</w:t>
      </w:r>
    </w:p>
    <w:p w14:paraId="310277FF" w14:textId="77777777" w:rsidR="004B2808" w:rsidRDefault="00000000">
      <w:pPr>
        <w:pStyle w:val="Author-eListParagraph"/>
        <w:numPr>
          <w:ilvl w:val="0"/>
          <w:numId w:val="631"/>
        </w:numPr>
      </w:pPr>
      <w:r>
        <w:t xml:space="preserve">Hauteur : environ </w:t>
      </w:r>
      <w:r>
        <w:rPr>
          <w:rStyle w:val="optioncarChar"/>
        </w:rPr>
        <w:t>70</w:t>
      </w:r>
      <w:r>
        <w:t> (par défaut)</w:t>
      </w:r>
      <w:r>
        <w:rPr>
          <w:rStyle w:val="optioncarChar"/>
        </w:rPr>
        <w:t xml:space="preserve"> / 80 / *** </w:t>
      </w:r>
      <w:r>
        <w:t>mm</w:t>
      </w:r>
    </w:p>
    <w:p w14:paraId="46C248DA" w14:textId="77777777" w:rsidR="004B2808" w:rsidRDefault="00000000">
      <w:pPr>
        <w:pStyle w:val="Author-eListParagraph"/>
        <w:numPr>
          <w:ilvl w:val="0"/>
          <w:numId w:val="631"/>
        </w:numPr>
      </w:pPr>
      <w:r>
        <w:t xml:space="preserve">Epaisseur : minimum </w:t>
      </w:r>
      <w:r>
        <w:rPr>
          <w:rStyle w:val="optioncarChar"/>
        </w:rPr>
        <w:t>8 </w:t>
      </w:r>
      <w:r>
        <w:t>(par défaut)</w:t>
      </w:r>
      <w:r>
        <w:rPr>
          <w:rStyle w:val="optioncarChar"/>
        </w:rPr>
        <w:t xml:space="preserve"> / 10 / 15 / *** </w:t>
      </w:r>
      <w:r>
        <w:t>mm</w:t>
      </w:r>
    </w:p>
    <w:p w14:paraId="2671BD85" w14:textId="77777777" w:rsidR="004B2808" w:rsidRDefault="00000000">
      <w:pPr>
        <w:pStyle w:val="Author-eListParagraph"/>
        <w:numPr>
          <w:ilvl w:val="0"/>
          <w:numId w:val="631"/>
        </w:numPr>
      </w:pPr>
      <w:r>
        <w:t xml:space="preserve">Longueur : </w:t>
      </w:r>
      <w:r>
        <w:rPr>
          <w:rStyle w:val="optioncarChar"/>
        </w:rPr>
        <w:t>conformément aux dimensions modulaires des carreaux</w:t>
      </w:r>
      <w:r>
        <w:t> (par défaut)</w:t>
      </w:r>
      <w:r>
        <w:rPr>
          <w:rStyle w:val="optioncarChar"/>
        </w:rPr>
        <w:t> / ***</w:t>
      </w:r>
    </w:p>
    <w:p w14:paraId="7480677D" w14:textId="77777777" w:rsidR="004B2808" w:rsidRDefault="00000000">
      <w:pPr>
        <w:pStyle w:val="Author-eListParagraph"/>
        <w:numPr>
          <w:ilvl w:val="0"/>
          <w:numId w:val="631"/>
        </w:numPr>
      </w:pPr>
      <w:r>
        <w:t xml:space="preserve">Forme : les angles visibles sont </w:t>
      </w:r>
      <w:r>
        <w:rPr>
          <w:rStyle w:val="optioncarChar"/>
        </w:rPr>
        <w:t>droits / légèrement arrondis</w:t>
      </w:r>
      <w:r>
        <w:t> (par défaut)</w:t>
      </w:r>
      <w:r>
        <w:rPr>
          <w:rStyle w:val="optioncarChar"/>
        </w:rPr>
        <w:t xml:space="preserve"> / biseautés / ***</w:t>
      </w:r>
      <w:r>
        <w:t xml:space="preserve"> .</w:t>
      </w:r>
    </w:p>
    <w:p w14:paraId="7D0F0DE2" w14:textId="77777777" w:rsidR="004B2808" w:rsidRDefault="00000000">
      <w:pPr>
        <w:pStyle w:val="pheading"/>
      </w:pPr>
      <w:r>
        <w:t>EXÉCUTION / MISE EN ŒUVRE</w:t>
      </w:r>
    </w:p>
    <w:p w14:paraId="45949176" w14:textId="77777777" w:rsidR="004B2808" w:rsidRDefault="00000000">
      <w:pPr>
        <w:pStyle w:val="pheading"/>
      </w:pPr>
      <w:r>
        <w:t>- Prescriptions générales</w:t>
      </w:r>
    </w:p>
    <w:p w14:paraId="6F9D272B" w14:textId="77777777" w:rsidR="004B2808" w:rsidRDefault="00000000">
      <w:r>
        <w:t>La bonne exécution est basée sur la :</w:t>
      </w:r>
    </w:p>
    <w:p w14:paraId="7AF48B83" w14:textId="77777777" w:rsidR="004B2808" w:rsidRDefault="00000000">
      <w:pPr>
        <w:pStyle w:val="Author-eListParagraph"/>
        <w:numPr>
          <w:ilvl w:val="0"/>
          <w:numId w:val="632"/>
        </w:numPr>
      </w:pPr>
      <w:r>
        <w:t>[STS 45 série], tome 4 § 45.60.42 (1990)</w:t>
      </w:r>
    </w:p>
    <w:p w14:paraId="12991A34" w14:textId="77777777" w:rsidR="004B2808" w:rsidRDefault="00000000">
      <w:pPr>
        <w:pStyle w:val="Author-eListParagraph"/>
        <w:numPr>
          <w:ilvl w:val="0"/>
          <w:numId w:val="632"/>
        </w:numPr>
      </w:pPr>
      <w:r>
        <w:t>[NIT 213]</w:t>
      </w:r>
    </w:p>
    <w:p w14:paraId="168EE8E0" w14:textId="77777777" w:rsidR="004B2808" w:rsidRDefault="00000000">
      <w:r>
        <w:t>Le carreleur utilise un adhésif de son propre choix (</w:t>
      </w:r>
      <w:r>
        <w:rPr>
          <w:rStyle w:val="optioncarChar"/>
        </w:rPr>
        <w:t>mortier de ciment</w:t>
      </w:r>
      <w:r>
        <w:t> (par défaut)</w:t>
      </w:r>
      <w:r>
        <w:rPr>
          <w:rStyle w:val="optioncarChar"/>
        </w:rPr>
        <w:t xml:space="preserve"> / mortier-colle / colle synthétique  / ***</w:t>
      </w:r>
      <w:r>
        <w:t>), adapté à la nature des carreaux et au support. Pour la pose au mortier de ciment, les plinthes fortement absorbantes sont immergées dans l'eau jusqu'à saturation et ensuite égouttées. Pour les plinthes posées au mortier de ciment, le plafonnage est enlevé jusqu'à 1 cm du bord supérieur des plinthes, pour les plinthes posées à la colle jusqu'à 1 cm au-dessus du sol.</w:t>
      </w:r>
      <w:r>
        <w:br/>
        <w:t>Les bords qui débordent sont découpés afin de permettre l'exécution des joints élastiques. Le bord périphérique sous les plinthes est exécuté conformément au chapitre 6.6 de la [NIT 237].</w:t>
      </w:r>
      <w:r>
        <w:br/>
        <w:t>Tous les joints de dilatation et de désolidarisation sont compris et sont exécutés conformément aux directives du chapitre 5.5 de la [NIT 213]. Les caractéristiques du mastic utilisé pour les joints doivent satisfaire au tableau 3 de la STS précitée. L'utilisation de mastic au caoutchouc bitumé n'est pas admise.</w:t>
      </w:r>
      <w:r>
        <w:br/>
        <w:t>Les plinthes sont posées jointivement parallèles et d'aplomb par rapport au carrelage. Les plinthes sont coupées mécaniquement. Les pièces d'ajustage de moins d'une demi-longueur sont à éviter.</w:t>
      </w:r>
      <w:r>
        <w:br/>
        <w:t>Les joints sont remplis de mortier compatible avec le mortier de mise en œuvre.</w:t>
      </w:r>
      <w:r>
        <w:br/>
        <w:t>La couleur des mastics et du mortier de jointoiement est choisie par l'auteur de projet.</w:t>
      </w:r>
    </w:p>
    <w:p w14:paraId="0388A4C2" w14:textId="77777777" w:rsidR="004B2808" w:rsidRDefault="00000000">
      <w:pPr>
        <w:ind w:left="750"/>
      </w:pPr>
      <w:r>
        <w:t> </w:t>
      </w:r>
    </w:p>
    <w:p w14:paraId="2C254F9D" w14:textId="77777777" w:rsidR="004B2808" w:rsidRDefault="00000000">
      <w:pPr>
        <w:pStyle w:val="pheading"/>
      </w:pPr>
      <w:r>
        <w:t>- Notes d’exécution complémentaires</w:t>
      </w:r>
    </w:p>
    <w:p w14:paraId="2E6C0929" w14:textId="77777777" w:rsidR="004B2808" w:rsidRDefault="00000000">
      <w:r>
        <w:t xml:space="preserve">Largeur des joints : </w:t>
      </w:r>
      <w:r>
        <w:rPr>
          <w:rStyle w:val="optioncarChar"/>
        </w:rPr>
        <w:t>adaptée à la largeur des joints du sol</w:t>
      </w:r>
      <w:r>
        <w:t> (par défaut)</w:t>
      </w:r>
      <w:r>
        <w:rPr>
          <w:rStyle w:val="optioncarChar"/>
        </w:rPr>
        <w:t> / ***</w:t>
      </w:r>
      <w:r>
        <w:br/>
        <w:t xml:space="preserve">Motif de pose : les joints des plinthes </w:t>
      </w:r>
      <w:r>
        <w:rPr>
          <w:rStyle w:val="optioncarChar"/>
        </w:rPr>
        <w:t>coïncident avec ceux du carrelage au sol </w:t>
      </w:r>
      <w:r>
        <w:t>(par défaut)</w:t>
      </w:r>
      <w:r>
        <w:rPr>
          <w:rStyle w:val="optioncarChar"/>
        </w:rPr>
        <w:t xml:space="preserve"> / mise en œuvre alternée / ***</w:t>
      </w:r>
      <w:r>
        <w:br/>
        <w:t>Les angles sont exécutés à onglet.  </w:t>
      </w:r>
    </w:p>
    <w:p w14:paraId="01A83C8B" w14:textId="77777777" w:rsidR="004B2808" w:rsidRDefault="00000000">
      <w:pPr>
        <w:pStyle w:val="pheading"/>
      </w:pPr>
      <w:r>
        <w:t>MESURAGE</w:t>
      </w:r>
    </w:p>
    <w:p w14:paraId="2E276163" w14:textId="77777777" w:rsidR="004B2808" w:rsidRDefault="00000000">
      <w:r>
        <w:t>Conformément aux indications spécifiques dans le cahier spécial des charges et/ou le métré récapitulatif, le mesurage doit être conçu comme suit :</w:t>
      </w:r>
    </w:p>
    <w:p w14:paraId="37CFD1FB" w14:textId="77777777" w:rsidR="004B2808" w:rsidRDefault="00000000">
      <w:pPr>
        <w:pStyle w:val="pheading"/>
      </w:pPr>
      <w:r>
        <w:t>- unité de mesure:</w:t>
      </w:r>
    </w:p>
    <w:p w14:paraId="3AB7664F" w14:textId="77777777" w:rsidR="004B2808" w:rsidRDefault="00000000">
      <w:r>
        <w:t>m</w:t>
      </w:r>
    </w:p>
    <w:p w14:paraId="28DCB7DF" w14:textId="77777777" w:rsidR="004B2808" w:rsidRDefault="00000000">
      <w:pPr>
        <w:pStyle w:val="pheading"/>
      </w:pPr>
      <w:r>
        <w:t>- code de mesurage:</w:t>
      </w:r>
    </w:p>
    <w:p w14:paraId="3686B151" w14:textId="77777777" w:rsidR="004B2808" w:rsidRDefault="00000000">
      <w:r>
        <w:lastRenderedPageBreak/>
        <w:t>selon la nature et les dimensions des plinthes, longueur nette, mesurée entre le nu des murs, par-dessus les joints et les assemblages.</w:t>
      </w:r>
    </w:p>
    <w:p w14:paraId="684D38F4" w14:textId="77777777" w:rsidR="004B2808" w:rsidRDefault="00000000">
      <w:pPr>
        <w:pStyle w:val="pheading"/>
      </w:pPr>
      <w:r>
        <w:t>- nature du marché:</w:t>
      </w:r>
    </w:p>
    <w:p w14:paraId="758EE23F" w14:textId="77777777" w:rsidR="004B2808" w:rsidRDefault="00000000">
      <w:r>
        <w:t>QF</w:t>
      </w:r>
    </w:p>
    <w:p w14:paraId="058A8386" w14:textId="77777777" w:rsidR="004B2808" w:rsidRDefault="00000000">
      <w:pPr>
        <w:pStyle w:val="Author-eSectionHeading6Numberless"/>
      </w:pPr>
      <w:bookmarkStart w:id="729" w:name="_Toc220490880"/>
      <w:r>
        <w:t>53.61.3d Plinthes à base de liants - plinthes à base de liants résineux CCTB 01.10</w:t>
      </w:r>
      <w:bookmarkEnd w:id="729"/>
    </w:p>
    <w:p w14:paraId="2DE4703E" w14:textId="77777777" w:rsidR="004B2808" w:rsidRDefault="00000000">
      <w:pPr>
        <w:pStyle w:val="pheading"/>
      </w:pPr>
      <w:r>
        <w:t>DOCUMENTS DE RÉFÉRENCE COMPLÉMENTAIRES</w:t>
      </w:r>
    </w:p>
    <w:p w14:paraId="2FB2B5B8" w14:textId="77777777" w:rsidR="004B2808" w:rsidRDefault="00000000">
      <w:pPr>
        <w:pStyle w:val="pheading"/>
      </w:pPr>
      <w:r>
        <w:t>- Exécution</w:t>
      </w:r>
    </w:p>
    <w:p w14:paraId="75F21A59" w14:textId="77777777" w:rsidR="004B2808" w:rsidRDefault="00000000">
      <w:r>
        <w:t>Stabilité dimensionnelle des pierres agglomérées à base de résine: Dossier [Buildwise Article Dossier (2008/4.09)] </w:t>
      </w:r>
    </w:p>
    <w:p w14:paraId="63E9C59C" w14:textId="77777777" w:rsidR="004B2808" w:rsidRDefault="00000000">
      <w:pPr>
        <w:pStyle w:val="pheading"/>
      </w:pPr>
      <w:r>
        <w:t>MESURAGE</w:t>
      </w:r>
    </w:p>
    <w:p w14:paraId="1A4EE67D" w14:textId="77777777" w:rsidR="004B2808" w:rsidRDefault="00000000">
      <w:r>
        <w:t>Conformément aux indications spécifiques dans le cahier spécial des charges et/ou le métré récapitulatif, le mesurage doit être conçu comme suit :</w:t>
      </w:r>
    </w:p>
    <w:p w14:paraId="5FED03B4" w14:textId="77777777" w:rsidR="004B2808" w:rsidRDefault="00000000">
      <w:pPr>
        <w:pStyle w:val="pheading"/>
      </w:pPr>
      <w:r>
        <w:t>- unité de mesure:</w:t>
      </w:r>
    </w:p>
    <w:p w14:paraId="22B3F65F" w14:textId="77777777" w:rsidR="004B2808" w:rsidRDefault="00000000">
      <w:r>
        <w:t>m</w:t>
      </w:r>
    </w:p>
    <w:p w14:paraId="6CFF5627" w14:textId="77777777" w:rsidR="004B2808" w:rsidRDefault="00000000">
      <w:pPr>
        <w:pStyle w:val="pheading"/>
      </w:pPr>
      <w:r>
        <w:t>- code de mesurage:</w:t>
      </w:r>
    </w:p>
    <w:p w14:paraId="1A99067D" w14:textId="77777777" w:rsidR="004B2808" w:rsidRDefault="00000000">
      <w:r>
        <w:t>selon la nature et les dimensions des plinthes, longueur nette, mesurée entre le nu des murs, par-dessus les joints et les assemblages.</w:t>
      </w:r>
    </w:p>
    <w:p w14:paraId="7B9AA7AC" w14:textId="77777777" w:rsidR="004B2808" w:rsidRDefault="00000000">
      <w:pPr>
        <w:pStyle w:val="pheading"/>
      </w:pPr>
      <w:r>
        <w:t>- nature du marché:</w:t>
      </w:r>
    </w:p>
    <w:p w14:paraId="771F6F83" w14:textId="77777777" w:rsidR="004B2808" w:rsidRDefault="00000000">
      <w:r>
        <w:t>QF</w:t>
      </w:r>
    </w:p>
    <w:p w14:paraId="0C05E283" w14:textId="77777777" w:rsidR="004B2808" w:rsidRDefault="00000000">
      <w:pPr>
        <w:pStyle w:val="Author-eSectionHeading5Numberless"/>
      </w:pPr>
      <w:bookmarkStart w:id="730" w:name="_Toc220490881"/>
      <w:r>
        <w:t>53.61.4 Plinthes en bois CCTB 01.02</w:t>
      </w:r>
      <w:bookmarkEnd w:id="730"/>
    </w:p>
    <w:p w14:paraId="58CF810C" w14:textId="77777777" w:rsidR="004B2808" w:rsidRDefault="00000000">
      <w:pPr>
        <w:pStyle w:val="Author-eSectionHeading6Numberless"/>
      </w:pPr>
      <w:bookmarkStart w:id="731" w:name="_Toc220490882"/>
      <w:r>
        <w:t>53.61.4a Plinthes en bois massif CCTB 01.10</w:t>
      </w:r>
      <w:bookmarkEnd w:id="731"/>
    </w:p>
    <w:p w14:paraId="2B9691D0" w14:textId="77777777" w:rsidR="004B2808" w:rsidRDefault="00000000">
      <w:pPr>
        <w:pStyle w:val="pheading"/>
      </w:pPr>
      <w:r>
        <w:t>MATÉRIAUX</w:t>
      </w:r>
    </w:p>
    <w:p w14:paraId="4A6493FB" w14:textId="77777777" w:rsidR="004B2808" w:rsidRDefault="00000000">
      <w:pPr>
        <w:pStyle w:val="pheading"/>
      </w:pPr>
      <w:r>
        <w:t>- Caractéristiques générales</w:t>
      </w:r>
    </w:p>
    <w:p w14:paraId="0F8DDF99" w14:textId="77777777" w:rsidR="004B2808" w:rsidRDefault="00000000">
      <w:r>
        <w:t>Le bois mis en œuvre doit satisfaire aux [STS 04.2] et est de la qualité de menuiserie. Le bois est à fibres droites (maximum 5 % d'inclinaison), mesurées selon le radian sur une base de 40 mm, le nombre de cercles annuels est d'au moins 15. Le taux d'humidité au cœur du bois à mettre en œuvre ne dépasse pas 18% avec une tolérance de 3% et est en outre compatible avec la finition prévue. Avant la mise en œuvre, une première couche de protection est appliquée selon le procédé C2 selon les [STS 04.3]. Avant la mise en en œuvre, les plinthes sont soigneusement rabotées poncées lisses. Les plinthes sont livrées dans les plus grandes longueurs possibles, les pièces d'ajustage inférieures à 80 cm sont évitées.</w:t>
      </w:r>
    </w:p>
    <w:p w14:paraId="50C7BB23" w14:textId="77777777" w:rsidR="004B2808" w:rsidRDefault="00000000">
      <w:pPr>
        <w:pStyle w:val="heading"/>
      </w:pPr>
      <w:r>
        <w:t>Spécifications</w:t>
      </w:r>
    </w:p>
    <w:p w14:paraId="1962FD4B" w14:textId="77777777" w:rsidR="004B2808" w:rsidRDefault="00000000">
      <w:pPr>
        <w:pStyle w:val="Author-eListParagraph"/>
        <w:numPr>
          <w:ilvl w:val="0"/>
          <w:numId w:val="633"/>
        </w:numPr>
      </w:pPr>
      <w:r>
        <w:t>Essence (masse volumique min.) :</w:t>
      </w:r>
      <w:r>
        <w:rPr>
          <w:rStyle w:val="optioncarChar"/>
        </w:rPr>
        <w:t> PNG (500 kg/m3)</w:t>
      </w:r>
      <w:r>
        <w:t xml:space="preserve"> (par défaut)</w:t>
      </w:r>
      <w:r>
        <w:rPr>
          <w:rStyle w:val="optioncarChar"/>
        </w:rPr>
        <w:t> / Dark Red Meranti (450 kg/m3 ) / ***</w:t>
      </w:r>
    </w:p>
    <w:p w14:paraId="059BD5FB" w14:textId="77777777" w:rsidR="004B2808" w:rsidRDefault="00000000">
      <w:pPr>
        <w:pStyle w:val="Author-eListParagraph"/>
        <w:numPr>
          <w:ilvl w:val="0"/>
          <w:numId w:val="633"/>
        </w:numPr>
      </w:pPr>
      <w:r>
        <w:t xml:space="preserve">Dimensions nettes rabotées : minimum </w:t>
      </w:r>
      <w:r>
        <w:rPr>
          <w:rStyle w:val="optioncarChar"/>
        </w:rPr>
        <w:t xml:space="preserve">12 x 60 mm </w:t>
      </w:r>
      <w:r>
        <w:t>(par défaut) </w:t>
      </w:r>
      <w:r>
        <w:rPr>
          <w:rStyle w:val="optioncarChar"/>
        </w:rPr>
        <w:t xml:space="preserve">/ *** </w:t>
      </w:r>
      <w:r>
        <w:t>mm.</w:t>
      </w:r>
    </w:p>
    <w:p w14:paraId="466CA658" w14:textId="77777777" w:rsidR="004B2808" w:rsidRDefault="00000000">
      <w:pPr>
        <w:pStyle w:val="Author-eListParagraph"/>
        <w:numPr>
          <w:ilvl w:val="0"/>
          <w:numId w:val="633"/>
        </w:numPr>
      </w:pPr>
      <w:r>
        <w:t xml:space="preserve">Forme : les angles visibles sont </w:t>
      </w:r>
      <w:r>
        <w:rPr>
          <w:rStyle w:val="optioncarChar"/>
        </w:rPr>
        <w:t>droits</w:t>
      </w:r>
      <w:r>
        <w:t> (par défaut)</w:t>
      </w:r>
      <w:r>
        <w:rPr>
          <w:rStyle w:val="optioncarChar"/>
        </w:rPr>
        <w:t xml:space="preserve"> / arrondis / biseautés </w:t>
      </w:r>
      <w:r>
        <w:t>.</w:t>
      </w:r>
    </w:p>
    <w:p w14:paraId="51366598" w14:textId="77777777" w:rsidR="004B2808" w:rsidRDefault="00000000">
      <w:pPr>
        <w:pStyle w:val="Author-eListParagraph"/>
        <w:numPr>
          <w:ilvl w:val="0"/>
          <w:numId w:val="633"/>
        </w:numPr>
      </w:pPr>
      <w:r>
        <w:t xml:space="preserve">Fixation : vis décoratives (à tête ronde) en </w:t>
      </w:r>
      <w:r>
        <w:rPr>
          <w:rStyle w:val="optioncarChar"/>
        </w:rPr>
        <w:t>acier galvanisé</w:t>
      </w:r>
      <w:r>
        <w:t> (par défaut)</w:t>
      </w:r>
      <w:r>
        <w:rPr>
          <w:rStyle w:val="optioncarChar"/>
        </w:rPr>
        <w:t xml:space="preserve"> / acier inoxydable / laiton </w:t>
      </w:r>
    </w:p>
    <w:p w14:paraId="2EE45A14" w14:textId="77777777" w:rsidR="004B2808" w:rsidRDefault="00000000">
      <w:pPr>
        <w:pStyle w:val="Author-eListParagraph"/>
        <w:numPr>
          <w:ilvl w:val="0"/>
          <w:numId w:val="633"/>
        </w:numPr>
      </w:pPr>
      <w:r>
        <w:t xml:space="preserve">Traitement de surface : </w:t>
      </w:r>
      <w:r>
        <w:rPr>
          <w:rStyle w:val="optioncarChar"/>
        </w:rPr>
        <w:t>traitement préalable</w:t>
      </w:r>
      <w:r>
        <w:t> (par défaut)</w:t>
      </w:r>
      <w:r>
        <w:rPr>
          <w:rStyle w:val="optioncarChar"/>
        </w:rPr>
        <w:t xml:space="preserve"> / ***</w:t>
      </w:r>
    </w:p>
    <w:p w14:paraId="09606D49" w14:textId="77777777" w:rsidR="004B2808" w:rsidRDefault="00000000">
      <w:r>
        <w:t>Voir aussi la [NIT 269].</w:t>
      </w:r>
    </w:p>
    <w:p w14:paraId="534D4FF4" w14:textId="77777777" w:rsidR="004B2808" w:rsidRDefault="00000000">
      <w:pPr>
        <w:ind w:left="750"/>
      </w:pPr>
      <w:r>
        <w:t> </w:t>
      </w:r>
    </w:p>
    <w:p w14:paraId="58011397" w14:textId="77777777" w:rsidR="004B2808" w:rsidRDefault="00000000">
      <w:pPr>
        <w:pStyle w:val="pheading"/>
      </w:pPr>
      <w:r>
        <w:t>EXÉCUTION / MISE EN ŒUVRE</w:t>
      </w:r>
    </w:p>
    <w:p w14:paraId="3C595A6D" w14:textId="77777777" w:rsidR="004B2808" w:rsidRDefault="00000000">
      <w:pPr>
        <w:pStyle w:val="pheading"/>
      </w:pPr>
      <w:r>
        <w:lastRenderedPageBreak/>
        <w:t>- Prescriptions générales</w:t>
      </w:r>
    </w:p>
    <w:p w14:paraId="4AEEE7E1" w14:textId="77777777" w:rsidR="004B2808" w:rsidRDefault="00000000">
      <w:r>
        <w:t>La mise en forme est conforme aux prescriptions de la [NIT 272].</w:t>
      </w:r>
    </w:p>
    <w:p w14:paraId="4A428C3D" w14:textId="77777777" w:rsidR="004B2808" w:rsidRDefault="00000000">
      <w:r>
        <w:t>Les plinthes sont fixées dans les murs à l'aide de vis solides collées à l'aide d'une colle mastic. Des trous sont forés dans les parois de maçonnerie et de béton; dans ces trous, des chevilles en matière synthétique sont enfoncées. L'écartement entre les vis est judicieusement réparti et ne peut dépasser les 60 cm. Les angles sont exécutés à onglet. Les plinthes sont assemblées dans la longueur par une jointure oblique.</w:t>
      </w:r>
    </w:p>
    <w:p w14:paraId="760AD068" w14:textId="77777777" w:rsidR="004B2808" w:rsidRDefault="00000000">
      <w:pPr>
        <w:ind w:left="750"/>
      </w:pPr>
      <w:r>
        <w:t> </w:t>
      </w:r>
    </w:p>
    <w:p w14:paraId="17EA143A" w14:textId="77777777" w:rsidR="004B2808" w:rsidRDefault="00000000">
      <w:pPr>
        <w:pStyle w:val="pheading"/>
      </w:pPr>
      <w:r>
        <w:t>- Notes d’exécution complémentaires</w:t>
      </w:r>
    </w:p>
    <w:p w14:paraId="0A16C506" w14:textId="77777777" w:rsidR="004B2808" w:rsidRDefault="00000000">
      <w:r>
        <w:t xml:space="preserve">Les têtes des vis sont noyées et achevées par </w:t>
      </w:r>
      <w:r>
        <w:rPr>
          <w:rStyle w:val="optioncarChar"/>
        </w:rPr>
        <w:t>du bois reconstitué</w:t>
      </w:r>
      <w:r>
        <w:t> (par défaut)</w:t>
      </w:r>
      <w:r>
        <w:rPr>
          <w:rStyle w:val="optioncarChar"/>
        </w:rPr>
        <w:t xml:space="preserve"> / des pastilles en chêne à coller  / ***</w:t>
      </w:r>
      <w:r>
        <w:t xml:space="preserve"> .</w:t>
      </w:r>
      <w:r>
        <w:br/>
        <w:t xml:space="preserve">Le joint périphérique </w:t>
      </w:r>
      <w:r>
        <w:rPr>
          <w:rStyle w:val="optioncarChar"/>
        </w:rPr>
        <w:t>dans le bas</w:t>
      </w:r>
      <w:r>
        <w:t> (par défaut)</w:t>
      </w:r>
      <w:r>
        <w:rPr>
          <w:rStyle w:val="optioncarChar"/>
        </w:rPr>
        <w:t xml:space="preserve"> / au-dessus  / *** </w:t>
      </w:r>
      <w:r>
        <w:t xml:space="preserve">des plinthes est rempli d’un mastic à base de silicones; couleur </w:t>
      </w:r>
      <w:r>
        <w:rPr>
          <w:rStyle w:val="optioncarChar"/>
        </w:rPr>
        <w:t>***</w:t>
      </w:r>
      <w:r>
        <w:t> </w:t>
      </w:r>
    </w:p>
    <w:p w14:paraId="26912364" w14:textId="77777777" w:rsidR="004B2808" w:rsidRDefault="00000000">
      <w:pPr>
        <w:pStyle w:val="pheading"/>
      </w:pPr>
      <w:r>
        <w:t>MESURAGE</w:t>
      </w:r>
    </w:p>
    <w:p w14:paraId="29076D40" w14:textId="77777777" w:rsidR="004B2808" w:rsidRDefault="00000000">
      <w:r>
        <w:t>Conformément aux indications spécifiques dans le cahier spécial des charges et/ou le métré récapitulatif, le mesurage doit être conçu comme suit :</w:t>
      </w:r>
    </w:p>
    <w:p w14:paraId="1CF6F363" w14:textId="77777777" w:rsidR="004B2808" w:rsidRDefault="00000000">
      <w:pPr>
        <w:pStyle w:val="pheading"/>
      </w:pPr>
      <w:r>
        <w:t>- unité de mesure:</w:t>
      </w:r>
    </w:p>
    <w:p w14:paraId="48E3ED36" w14:textId="77777777" w:rsidR="004B2808" w:rsidRDefault="00000000">
      <w:r>
        <w:t>m</w:t>
      </w:r>
    </w:p>
    <w:p w14:paraId="6B101F0F" w14:textId="77777777" w:rsidR="004B2808" w:rsidRDefault="00000000">
      <w:pPr>
        <w:pStyle w:val="pheading"/>
      </w:pPr>
      <w:r>
        <w:t>- code de mesurage:</w:t>
      </w:r>
    </w:p>
    <w:p w14:paraId="6484789C" w14:textId="77777777" w:rsidR="004B2808" w:rsidRDefault="00000000">
      <w:r>
        <w:t>Selon la nature et les dimensions des plinthes, longueur nette, mesurée entre le nu des murs, par-dessus les joints et les assemblages.</w:t>
      </w:r>
    </w:p>
    <w:p w14:paraId="4913E3BF" w14:textId="77777777" w:rsidR="004B2808" w:rsidRDefault="00000000">
      <w:pPr>
        <w:pStyle w:val="pheading"/>
      </w:pPr>
      <w:r>
        <w:t>- nature du marché:</w:t>
      </w:r>
    </w:p>
    <w:p w14:paraId="1B14DF85" w14:textId="77777777" w:rsidR="004B2808" w:rsidRDefault="00000000">
      <w:r>
        <w:t>QF</w:t>
      </w:r>
    </w:p>
    <w:p w14:paraId="0ACFAF96" w14:textId="77777777" w:rsidR="004B2808" w:rsidRDefault="00000000">
      <w:pPr>
        <w:pStyle w:val="Author-eSectionHeading6Numberless"/>
      </w:pPr>
      <w:bookmarkStart w:id="732" w:name="_Toc220490883"/>
      <w:r>
        <w:t>53.61.4b Plinthes en bois composite CCTB 01.12</w:t>
      </w:r>
      <w:bookmarkEnd w:id="732"/>
    </w:p>
    <w:p w14:paraId="5C8FBECB" w14:textId="77777777" w:rsidR="004B2808" w:rsidRDefault="00000000">
      <w:pPr>
        <w:pStyle w:val="pheading"/>
      </w:pPr>
      <w:r>
        <w:t>MATÉRIAUX</w:t>
      </w:r>
    </w:p>
    <w:p w14:paraId="11975F85" w14:textId="77777777" w:rsidR="004B2808" w:rsidRDefault="00000000">
      <w:pPr>
        <w:pStyle w:val="pheading"/>
      </w:pPr>
      <w:r>
        <w:t>- Caractéristiques générales</w:t>
      </w:r>
    </w:p>
    <w:p w14:paraId="773828C3" w14:textId="77777777" w:rsidR="004B2808" w:rsidRDefault="00000000">
      <w:pPr>
        <w:pStyle w:val="heading"/>
      </w:pPr>
      <w:r>
        <w:t>Spécifications</w:t>
      </w:r>
    </w:p>
    <w:p w14:paraId="4080AA90" w14:textId="77777777" w:rsidR="004B2808" w:rsidRDefault="00000000">
      <w:pPr>
        <w:pStyle w:val="Author-eListParagraph"/>
        <w:numPr>
          <w:ilvl w:val="0"/>
          <w:numId w:val="634"/>
        </w:numPr>
      </w:pPr>
      <w:r>
        <w:t xml:space="preserve">Dimensions nettes : environ </w:t>
      </w:r>
      <w:r>
        <w:rPr>
          <w:rStyle w:val="optioncarChar"/>
        </w:rPr>
        <w:t>12 x 68 mm </w:t>
      </w:r>
      <w:r>
        <w:t>(par défaut)</w:t>
      </w:r>
      <w:r>
        <w:rPr>
          <w:rStyle w:val="optioncarChar"/>
        </w:rPr>
        <w:t xml:space="preserve"> / *** </w:t>
      </w:r>
      <w:r>
        <w:t>mm.</w:t>
      </w:r>
    </w:p>
    <w:p w14:paraId="231C3B8B" w14:textId="77777777" w:rsidR="004B2808" w:rsidRDefault="00000000">
      <w:pPr>
        <w:pStyle w:val="Author-eListParagraph"/>
        <w:numPr>
          <w:ilvl w:val="0"/>
          <w:numId w:val="634"/>
        </w:numPr>
      </w:pPr>
      <w:r>
        <w:t xml:space="preserve">Forme : les angles visibles seront </w:t>
      </w:r>
      <w:r>
        <w:rPr>
          <w:rStyle w:val="optioncarChar"/>
        </w:rPr>
        <w:t>droits </w:t>
      </w:r>
      <w:r>
        <w:t>(par défaut)</w:t>
      </w:r>
      <w:r>
        <w:rPr>
          <w:rStyle w:val="optioncarChar"/>
        </w:rPr>
        <w:t xml:space="preserve"> / arrondis / biseautés / ***</w:t>
      </w:r>
      <w:r>
        <w:t>.</w:t>
      </w:r>
    </w:p>
    <w:p w14:paraId="0D250630" w14:textId="77777777" w:rsidR="004B2808" w:rsidRDefault="00000000">
      <w:pPr>
        <w:pStyle w:val="Author-eListParagraph"/>
        <w:numPr>
          <w:ilvl w:val="0"/>
          <w:numId w:val="634"/>
        </w:numPr>
      </w:pPr>
      <w:r>
        <w:t xml:space="preserve">Revêtement : </w:t>
      </w:r>
      <w:r>
        <w:rPr>
          <w:rStyle w:val="optioncarChar"/>
        </w:rPr>
        <w:t>***</w:t>
      </w:r>
    </w:p>
    <w:p w14:paraId="606B05E0" w14:textId="77777777" w:rsidR="004B2808" w:rsidRDefault="00000000">
      <w:pPr>
        <w:pStyle w:val="Author-eListParagraph"/>
        <w:numPr>
          <w:ilvl w:val="0"/>
          <w:numId w:val="634"/>
        </w:numPr>
      </w:pPr>
      <w:r>
        <w:t xml:space="preserve">Traitement de la surface : </w:t>
      </w:r>
      <w:r>
        <w:rPr>
          <w:rStyle w:val="optioncarChar"/>
        </w:rPr>
        <w:t>***</w:t>
      </w:r>
    </w:p>
    <w:p w14:paraId="04CD4330" w14:textId="77777777" w:rsidR="004B2808" w:rsidRDefault="00000000">
      <w:pPr>
        <w:pStyle w:val="Author-eListParagraph"/>
        <w:numPr>
          <w:ilvl w:val="0"/>
          <w:numId w:val="634"/>
        </w:numPr>
      </w:pPr>
      <w:r>
        <w:t xml:space="preserve">Fixation : vis </w:t>
      </w:r>
      <w:r>
        <w:rPr>
          <w:rStyle w:val="optioncarChar"/>
        </w:rPr>
        <w:t>en acier galvanisé </w:t>
      </w:r>
      <w:r>
        <w:t xml:space="preserve">(par défaut) </w:t>
      </w:r>
      <w:r>
        <w:rPr>
          <w:rStyle w:val="optioncarChar"/>
        </w:rPr>
        <w:t>/ en acier inoxydable / décoratives en laiton / ***</w:t>
      </w:r>
    </w:p>
    <w:p w14:paraId="51972FA0" w14:textId="77777777" w:rsidR="004B2808" w:rsidRDefault="00000000">
      <w:r>
        <w:rPr>
          <w:b/>
          <w:sz w:val="24"/>
        </w:rPr>
        <w:t>Plinthes - bois / MDF</w:t>
      </w:r>
    </w:p>
    <w:p w14:paraId="300AE6E4" w14:textId="77777777" w:rsidR="004B2808" w:rsidRDefault="00000000">
      <w:r>
        <w:t>Le MDF utilisé est pauvre en gaz de formaldéhyde (appelé MDF “LF”) et satisfait à la législation et aux réglementations européennes de la norme [NBN EN 622-5].</w:t>
      </w:r>
    </w:p>
    <w:p w14:paraId="2D488388" w14:textId="77777777" w:rsidR="004B2808" w:rsidRDefault="00000000">
      <w:pPr>
        <w:pStyle w:val="pheading"/>
      </w:pPr>
      <w:r>
        <w:t>EXÉCUTION / MISE EN ŒUVRE</w:t>
      </w:r>
    </w:p>
    <w:p w14:paraId="51EAD5EA" w14:textId="77777777" w:rsidR="004B2808" w:rsidRDefault="00000000">
      <w:pPr>
        <w:pStyle w:val="pheading"/>
      </w:pPr>
      <w:r>
        <w:t>- Prescriptions générales</w:t>
      </w:r>
    </w:p>
    <w:p w14:paraId="391D6639" w14:textId="77777777" w:rsidR="004B2808" w:rsidRDefault="00000000">
      <w:r>
        <w:t>La mise en œuvre est conforme aux prescriptions de la [NIT 272].</w:t>
      </w:r>
    </w:p>
    <w:p w14:paraId="37E767FB" w14:textId="77777777" w:rsidR="004B2808" w:rsidRDefault="00000000">
      <w:r>
        <w:t xml:space="preserve">Les angles sont toujours exécutés à onglet. Dans la longueur, les plinthes sont assemblées avec une jointure oblique. Les plinthes sont fixées au mur à l'aide de vis solides collées à l'aide de colle élastique. Des trous sont forés dans les parois de maçonnerie et de béton; dans ces trous, des chevilles en matière synthétique sont enfoncées. L'écartement entre les vis est judicieusement réparti et ne peut dépasser les </w:t>
      </w:r>
      <w:r>
        <w:rPr>
          <w:rStyle w:val="optioncarChar"/>
        </w:rPr>
        <w:t>*** / 60 / ***</w:t>
      </w:r>
      <w:r>
        <w:t xml:space="preserve"> cm.</w:t>
      </w:r>
    </w:p>
    <w:p w14:paraId="438CE8C4" w14:textId="77777777" w:rsidR="004B2808" w:rsidRDefault="00000000">
      <w:pPr>
        <w:ind w:left="750"/>
      </w:pPr>
      <w:r>
        <w:lastRenderedPageBreak/>
        <w:t> </w:t>
      </w:r>
    </w:p>
    <w:p w14:paraId="0FCA8637" w14:textId="77777777" w:rsidR="004B2808" w:rsidRDefault="00000000">
      <w:pPr>
        <w:pStyle w:val="pheading"/>
      </w:pPr>
      <w:r>
        <w:t>- Notes d’exécution complémentaires</w:t>
      </w:r>
    </w:p>
    <w:p w14:paraId="678BABBE" w14:textId="77777777" w:rsidR="004B2808" w:rsidRDefault="00000000">
      <w:r>
        <w:t>Les têtes des vis sont noyées et parachevées avec du bois reconstitué.</w:t>
      </w:r>
      <w:r>
        <w:br/>
        <w:t xml:space="preserve">Le joint périphérique </w:t>
      </w:r>
      <w:r>
        <w:rPr>
          <w:rStyle w:val="optioncarChar"/>
        </w:rPr>
        <w:t>dans le bas</w:t>
      </w:r>
      <w:r>
        <w:t xml:space="preserve"> (par défaut) </w:t>
      </w:r>
      <w:r>
        <w:rPr>
          <w:rStyle w:val="optioncarChar"/>
        </w:rPr>
        <w:t>/ au-dessus  / ***</w:t>
      </w:r>
      <w:r>
        <w:t xml:space="preserve"> des plinthes est rempli d’un mastic à base de silicones; couleur </w:t>
      </w:r>
      <w:r>
        <w:rPr>
          <w:rStyle w:val="optioncarChar"/>
        </w:rPr>
        <w:t>***</w:t>
      </w:r>
      <w:r>
        <w:t> </w:t>
      </w:r>
    </w:p>
    <w:p w14:paraId="744887F7" w14:textId="77777777" w:rsidR="004B2808" w:rsidRDefault="00000000">
      <w:pPr>
        <w:pStyle w:val="pheading"/>
      </w:pPr>
      <w:r>
        <w:t>MESURAGE</w:t>
      </w:r>
    </w:p>
    <w:p w14:paraId="1D94F6CF" w14:textId="77777777" w:rsidR="004B2808" w:rsidRDefault="00000000">
      <w:r>
        <w:t>Conformément aux indications spécifiques dans le cahier spécial des charges et/ou le métré récapitulatif, le mesurage doit être conçu comme suit :</w:t>
      </w:r>
    </w:p>
    <w:p w14:paraId="76CD2236" w14:textId="77777777" w:rsidR="004B2808" w:rsidRDefault="00000000">
      <w:pPr>
        <w:pStyle w:val="pheading"/>
      </w:pPr>
      <w:r>
        <w:t>- unité de mesure:</w:t>
      </w:r>
    </w:p>
    <w:p w14:paraId="36A6689B" w14:textId="77777777" w:rsidR="004B2808" w:rsidRDefault="00000000">
      <w:r>
        <w:t>m</w:t>
      </w:r>
    </w:p>
    <w:p w14:paraId="2907C6DF" w14:textId="77777777" w:rsidR="004B2808" w:rsidRDefault="00000000">
      <w:pPr>
        <w:pStyle w:val="pheading"/>
      </w:pPr>
      <w:r>
        <w:t>- code de mesurage:</w:t>
      </w:r>
    </w:p>
    <w:p w14:paraId="2A651435" w14:textId="77777777" w:rsidR="004B2808" w:rsidRDefault="00000000">
      <w:r>
        <w:t>Selon la nature et les dimensions des plinthes, longueur nette, mesurée entre le nu des murs, par-dessus les joints et les assemblages.</w:t>
      </w:r>
    </w:p>
    <w:p w14:paraId="02C4FBC4" w14:textId="77777777" w:rsidR="004B2808" w:rsidRDefault="00000000">
      <w:pPr>
        <w:pStyle w:val="pheading"/>
      </w:pPr>
      <w:r>
        <w:t>- nature du marché:</w:t>
      </w:r>
    </w:p>
    <w:p w14:paraId="59FB3EC1" w14:textId="77777777" w:rsidR="004B2808" w:rsidRDefault="00000000">
      <w:r>
        <w:t>QF</w:t>
      </w:r>
    </w:p>
    <w:p w14:paraId="16A366EF" w14:textId="77777777" w:rsidR="004B2808" w:rsidRDefault="00000000">
      <w:pPr>
        <w:pStyle w:val="Author-eSectionHeading5Numberless"/>
      </w:pPr>
      <w:bookmarkStart w:id="733" w:name="_Toc220490884"/>
      <w:r>
        <w:t>53.61.5 Plinthes souples en textiles CCTB 01.11</w:t>
      </w:r>
      <w:bookmarkEnd w:id="733"/>
    </w:p>
    <w:p w14:paraId="15B089C3" w14:textId="77777777" w:rsidR="004B2808" w:rsidRDefault="00000000">
      <w:pPr>
        <w:pStyle w:val="pheading"/>
      </w:pPr>
      <w:r>
        <w:t>DESCRIPTION</w:t>
      </w:r>
    </w:p>
    <w:p w14:paraId="30A1B464" w14:textId="77777777" w:rsidR="004B2808" w:rsidRDefault="00000000">
      <w:pPr>
        <w:pStyle w:val="pheading"/>
      </w:pPr>
      <w:r>
        <w:t>- Définition / Comprend</w:t>
      </w:r>
    </w:p>
    <w:p w14:paraId="46921CCC" w14:textId="77777777" w:rsidR="004B2808" w:rsidRDefault="00000000">
      <w:pPr>
        <w:jc w:val="both"/>
      </w:pPr>
      <w:r>
        <w:t>Il s'agit de la fourniture et pose de plinthes souples en textiles permettant de réaliser la jonction entre le revêtement de sol et les murs limitrophes.</w:t>
      </w:r>
    </w:p>
    <w:p w14:paraId="6E6787FC" w14:textId="77777777" w:rsidR="004B2808" w:rsidRDefault="00000000">
      <w:pPr>
        <w:jc w:val="both"/>
      </w:pPr>
      <w:r>
        <w:t>La livraison, le stockage, la manutention, les fournitures et la mise en œuvre sont toujours conformes à la documentation technique qui accompagne le produit.</w:t>
      </w:r>
    </w:p>
    <w:p w14:paraId="14D8D280" w14:textId="77777777" w:rsidR="004B2808" w:rsidRDefault="00000000">
      <w:pPr>
        <w:jc w:val="both"/>
      </w:pPr>
      <w:r>
        <w:t xml:space="preserve">De façon générale en ce qui concerne les matériaux et l’exécution, se référer notamment aux articles correspondants du </w:t>
      </w:r>
      <w:hyperlink w:anchor="1286" w:history="1">
        <w:r w:rsidR="004B2808">
          <w:rPr>
            <w:color w:val="0000EE"/>
          </w:rPr>
          <w:t>53.55 Revêtements de sols souples</w:t>
        </w:r>
      </w:hyperlink>
      <w:r>
        <w:t xml:space="preserve"> et suivants.</w:t>
      </w:r>
    </w:p>
    <w:p w14:paraId="5D102707" w14:textId="77777777" w:rsidR="004B2808" w:rsidRDefault="00000000">
      <w:pPr>
        <w:pStyle w:val="pheading"/>
      </w:pPr>
      <w:r>
        <w:t>EXÉCUTION / MISE EN ŒUVRE</w:t>
      </w:r>
    </w:p>
    <w:p w14:paraId="4FB63007" w14:textId="77777777" w:rsidR="004B2808" w:rsidRDefault="00000000">
      <w:pPr>
        <w:jc w:val="both"/>
      </w:pPr>
      <w:r>
        <w:t>Les bandes sont découpées à la largeur souhaitée dans les chutes du revêtement de sol.</w:t>
      </w:r>
    </w:p>
    <w:p w14:paraId="1B5D5962" w14:textId="77777777" w:rsidR="004B2808" w:rsidRDefault="00000000">
      <w:pPr>
        <w:jc w:val="both"/>
      </w:pPr>
      <w:r>
        <w:t xml:space="preserve"> Les bandes proviennent du même lot (bain de teinture) que le revêtement de sol adjacent.</w:t>
      </w:r>
    </w:p>
    <w:p w14:paraId="673ABA19" w14:textId="77777777" w:rsidR="004B2808" w:rsidRDefault="00000000">
      <w:pPr>
        <w:jc w:val="both"/>
      </w:pPr>
      <w:r>
        <w:t xml:space="preserve"> Durant la pose du revêtement de sol, l’entrepreneur conserve les quantités nécessaires au travail à réaliser.</w:t>
      </w:r>
    </w:p>
    <w:p w14:paraId="53024572" w14:textId="77777777" w:rsidR="004B2808" w:rsidRDefault="00000000">
      <w:pPr>
        <w:jc w:val="both"/>
      </w:pPr>
      <w:r>
        <w:t>Lorsque l’on a recours à des profilés collés ou cloués pour fixer les plinthes textiles, les lés ne sont pas mis en tension durant la pose, sous peine d’entraîner l’ouverture des joints.</w:t>
      </w:r>
    </w:p>
    <w:p w14:paraId="192F03A1" w14:textId="77777777" w:rsidR="004B2808" w:rsidRDefault="00000000">
      <w:pPr>
        <w:jc w:val="both"/>
      </w:pPr>
      <w:r>
        <w:t>Lorsque la bande de revêtement est collée en plein directement sur le mur, ses bords supérieurs sont finis à l’aide par exemple d’un liseré.</w:t>
      </w:r>
    </w:p>
    <w:p w14:paraId="3BAAE977" w14:textId="77777777" w:rsidR="004B2808" w:rsidRDefault="00000000">
      <w:pPr>
        <w:jc w:val="both"/>
      </w:pPr>
      <w:r>
        <w:t>Sauf indications contraires :</w:t>
      </w:r>
    </w:p>
    <w:p w14:paraId="26CB59FE" w14:textId="77777777" w:rsidR="004B2808" w:rsidRDefault="00000000">
      <w:pPr>
        <w:pStyle w:val="Author-eListParagraph"/>
        <w:numPr>
          <w:ilvl w:val="0"/>
          <w:numId w:val="635"/>
        </w:numPr>
        <w:jc w:val="both"/>
      </w:pPr>
      <w:r>
        <w:t>Chaque pièce ou local fermé est considéré séparément.</w:t>
      </w:r>
    </w:p>
    <w:p w14:paraId="62481DFE" w14:textId="77777777" w:rsidR="004B2808" w:rsidRDefault="00000000">
      <w:pPr>
        <w:pStyle w:val="Author-eListParagraph"/>
        <w:numPr>
          <w:ilvl w:val="0"/>
          <w:numId w:val="635"/>
        </w:numPr>
        <w:jc w:val="both"/>
      </w:pPr>
      <w:r>
        <w:t>Les décors sont raccordés aux revêtements de sol de façon à assurer la continuité d’aspect.</w:t>
      </w:r>
    </w:p>
    <w:p w14:paraId="03B3865F" w14:textId="77777777" w:rsidR="004B2808" w:rsidRDefault="00000000">
      <w:pPr>
        <w:pStyle w:val="Author-eListParagraph"/>
        <w:numPr>
          <w:ilvl w:val="0"/>
          <w:numId w:val="635"/>
        </w:numPr>
        <w:jc w:val="both"/>
      </w:pPr>
      <w:r>
        <w:t>L’entrepreneur minimise le nombre de joints.</w:t>
      </w:r>
    </w:p>
    <w:p w14:paraId="1936AFF9" w14:textId="77777777" w:rsidR="004B2808" w:rsidRDefault="00000000">
      <w:pPr>
        <w:pStyle w:val="pheading"/>
      </w:pPr>
      <w:r>
        <w:t>DOCUMENTS DE RÉFÉRENCE</w:t>
      </w:r>
    </w:p>
    <w:p w14:paraId="6209A58B" w14:textId="77777777" w:rsidR="004B2808" w:rsidRDefault="00000000">
      <w:pPr>
        <w:pStyle w:val="pheading"/>
      </w:pPr>
      <w:r>
        <w:t>- Exécution</w:t>
      </w:r>
    </w:p>
    <w:p w14:paraId="2720A748" w14:textId="77777777" w:rsidR="004B2808" w:rsidRDefault="00000000">
      <w:r>
        <w:t xml:space="preserve">[NIT 262, </w:t>
      </w:r>
      <w:r>
        <w:tab/>
        <w:t>Code de bonne pratique pour la pose des revêtements de sol textiles]</w:t>
      </w:r>
    </w:p>
    <w:p w14:paraId="2ABE2A35" w14:textId="77777777" w:rsidR="004B2808" w:rsidRDefault="00000000">
      <w:pPr>
        <w:pStyle w:val="Author-eSectionHeading6Numberless"/>
      </w:pPr>
      <w:bookmarkStart w:id="734" w:name="_Toc220490885"/>
      <w:r>
        <w:t>53.61.5a Plinthes souples en textiles, en tapis plain CCTB 01.02</w:t>
      </w:r>
      <w:bookmarkEnd w:id="734"/>
    </w:p>
    <w:p w14:paraId="5C65FDCE" w14:textId="77777777" w:rsidR="004B2808" w:rsidRDefault="00000000">
      <w:pPr>
        <w:pStyle w:val="Author-eSectionHeading6Numberless"/>
      </w:pPr>
      <w:bookmarkStart w:id="735" w:name="_Toc220490886"/>
      <w:r>
        <w:lastRenderedPageBreak/>
        <w:t>53.61.5b Plinthes souples en textiles, en coco CCTB 01.02</w:t>
      </w:r>
      <w:bookmarkEnd w:id="735"/>
    </w:p>
    <w:p w14:paraId="4FC6BDC6" w14:textId="77777777" w:rsidR="004B2808" w:rsidRDefault="00000000">
      <w:pPr>
        <w:pStyle w:val="Author-eSectionHeading6Numberless"/>
      </w:pPr>
      <w:bookmarkStart w:id="736" w:name="_Toc220490887"/>
      <w:r>
        <w:t>53.61.5c Plinthes souples en textiles, en sisale CCTB 01.12</w:t>
      </w:r>
      <w:bookmarkEnd w:id="736"/>
    </w:p>
    <w:p w14:paraId="166B2B06" w14:textId="77777777" w:rsidR="004B2808" w:rsidRDefault="00000000">
      <w:pPr>
        <w:pStyle w:val="Author-eSectionHeading6Numberless"/>
      </w:pPr>
      <w:bookmarkStart w:id="737" w:name="_Toc220490888"/>
      <w:r>
        <w:t>53.61.5d Plinthes souples en textiles, en laine CCTB 01.02</w:t>
      </w:r>
      <w:bookmarkEnd w:id="737"/>
    </w:p>
    <w:p w14:paraId="285E53B5" w14:textId="77777777" w:rsidR="004B2808" w:rsidRDefault="00000000">
      <w:pPr>
        <w:pStyle w:val="Author-eSectionHeading5Numberless"/>
      </w:pPr>
      <w:bookmarkStart w:id="738" w:name="_Toc220490889"/>
      <w:r>
        <w:t>53.61.6 Plinthes souples en matériau ligneux CCTB 01.02</w:t>
      </w:r>
      <w:bookmarkEnd w:id="738"/>
    </w:p>
    <w:p w14:paraId="45BE0804" w14:textId="77777777" w:rsidR="004B2808" w:rsidRDefault="00000000">
      <w:pPr>
        <w:pStyle w:val="Author-eSectionHeading6Numberless"/>
      </w:pPr>
      <w:bookmarkStart w:id="739" w:name="_Toc220490890"/>
      <w:r>
        <w:t>53.61.6a Plinthes souples en matériau ligneux, en liège CCTB 01.02</w:t>
      </w:r>
      <w:bookmarkEnd w:id="739"/>
    </w:p>
    <w:p w14:paraId="26466350" w14:textId="77777777" w:rsidR="004B2808" w:rsidRDefault="00000000">
      <w:pPr>
        <w:pStyle w:val="Author-eSectionHeading5Numberless"/>
      </w:pPr>
      <w:bookmarkStart w:id="740" w:name="_Toc220490891"/>
      <w:r>
        <w:t>53.61.7 Plinthes souples en matériau synthétique CCTB 01.02</w:t>
      </w:r>
      <w:bookmarkEnd w:id="740"/>
    </w:p>
    <w:p w14:paraId="755CB014" w14:textId="77777777" w:rsidR="004B2808" w:rsidRDefault="00000000">
      <w:pPr>
        <w:pStyle w:val="Author-eSectionHeading6Numberless"/>
      </w:pPr>
      <w:bookmarkStart w:id="741" w:name="_Toc220490892"/>
      <w:r>
        <w:t>53.61.7a Plinthes souples en matériau synthétique, en linoleum CCTB 01.12</w:t>
      </w:r>
      <w:bookmarkEnd w:id="741"/>
    </w:p>
    <w:p w14:paraId="7FDBDC0F" w14:textId="77777777" w:rsidR="004B2808" w:rsidRDefault="00000000">
      <w:pPr>
        <w:pStyle w:val="pheading"/>
      </w:pPr>
      <w:r>
        <w:t>MATÉRIAUX</w:t>
      </w:r>
    </w:p>
    <w:p w14:paraId="309621C3" w14:textId="77777777" w:rsidR="004B2808" w:rsidRDefault="00000000">
      <w:pPr>
        <w:pStyle w:val="pheading"/>
      </w:pPr>
      <w:r>
        <w:t>- Caractéristiques générales</w:t>
      </w:r>
    </w:p>
    <w:p w14:paraId="0A9A087D" w14:textId="77777777" w:rsidR="004B2808" w:rsidRDefault="00000000">
      <w:r>
        <w:t xml:space="preserve">Le linoléum a la même couleur et le même dessin que le revêtement de sol mis en œuvre, selon l'article </w:t>
      </w:r>
      <w:hyperlink w:anchor="1278" w:history="1">
        <w:r w:rsidR="004B2808">
          <w:rPr>
            <w:color w:val="0000EE"/>
          </w:rPr>
          <w:t>53.55.3 Revêtements de sols souples plastiques et synthétiques (lino, PVC, ...)</w:t>
        </w:r>
      </w:hyperlink>
      <w:r>
        <w:t>., et est coupé en bandes droites aussi longues que possible, avec un appareil approprié.</w:t>
      </w:r>
    </w:p>
    <w:p w14:paraId="5244644C" w14:textId="77777777" w:rsidR="004B2808" w:rsidRDefault="00000000">
      <w:r>
        <w:t xml:space="preserve">Epaisseur </w:t>
      </w:r>
      <w:r>
        <w:rPr>
          <w:rStyle w:val="optioncarChar"/>
        </w:rPr>
        <w:t xml:space="preserve">: 2,0 / 2,5 / 3,2 </w:t>
      </w:r>
    </w:p>
    <w:p w14:paraId="24C89CFD" w14:textId="77777777" w:rsidR="004B2808" w:rsidRDefault="00000000">
      <w:r>
        <w:t xml:space="preserve">Hauteur : environ </w:t>
      </w:r>
      <w:r>
        <w:rPr>
          <w:rStyle w:val="optioncarChar"/>
        </w:rPr>
        <w:t>80 </w:t>
      </w:r>
      <w:r>
        <w:t>(par défaut)</w:t>
      </w:r>
      <w:r>
        <w:rPr>
          <w:rStyle w:val="optioncarChar"/>
        </w:rPr>
        <w:t xml:space="preserve"> / *** </w:t>
      </w:r>
      <w:r>
        <w:rPr>
          <w:color w:val="000080"/>
        </w:rPr>
        <w:t>mm</w:t>
      </w:r>
    </w:p>
    <w:p w14:paraId="3F3B6689" w14:textId="77777777" w:rsidR="004B2808" w:rsidRDefault="00000000">
      <w:r>
        <w:t xml:space="preserve">Forme : les angles visibles sont </w:t>
      </w:r>
      <w:r>
        <w:rPr>
          <w:rStyle w:val="optioncarChar"/>
        </w:rPr>
        <w:t>biseautés / arrondis</w:t>
      </w:r>
    </w:p>
    <w:p w14:paraId="64D95A54" w14:textId="77777777" w:rsidR="004B2808" w:rsidRDefault="00000000">
      <w:pPr>
        <w:ind w:left="750"/>
      </w:pPr>
      <w:r>
        <w:t> </w:t>
      </w:r>
    </w:p>
    <w:p w14:paraId="016B2A14" w14:textId="77777777" w:rsidR="004B2808" w:rsidRDefault="00000000">
      <w:pPr>
        <w:pStyle w:val="pheading"/>
      </w:pPr>
      <w:r>
        <w:t>- Prescriptions complémentaires</w:t>
      </w:r>
    </w:p>
    <w:p w14:paraId="0739E16A" w14:textId="77777777" w:rsidR="004B2808" w:rsidRDefault="00000000">
      <w:r>
        <w:t>Les plinthes sont pourvues d'un profil de renfort en aluminium, intégré en usine.</w:t>
      </w:r>
    </w:p>
    <w:p w14:paraId="52895010" w14:textId="77777777" w:rsidR="004B2808" w:rsidRDefault="00000000">
      <w:pPr>
        <w:pStyle w:val="pheading"/>
      </w:pPr>
      <w:r>
        <w:t>EXÉCUTION / MISE EN ŒUVRE</w:t>
      </w:r>
    </w:p>
    <w:p w14:paraId="78D14FC3" w14:textId="77777777" w:rsidR="004B2808" w:rsidRDefault="00000000">
      <w:pPr>
        <w:pStyle w:val="pheading"/>
      </w:pPr>
      <w:r>
        <w:t>- Prescriptions générales</w:t>
      </w:r>
    </w:p>
    <w:p w14:paraId="10EDDB30" w14:textId="77777777" w:rsidR="004B2808" w:rsidRDefault="00000000">
      <w:r>
        <w:t>Les plinthes sont mises en œuvre selon le § 9.5.7.2 de la [NIT 165].</w:t>
      </w:r>
    </w:p>
    <w:p w14:paraId="0FFE70EB" w14:textId="77777777" w:rsidR="004B2808" w:rsidRDefault="00000000">
      <w:r>
        <w:t>Les plinthes sont posées selon le système traditionnel avec une sous-couche en voile de verre renforcé au polyester fixée dans la pliure du linoléum. L'arrondi au droit du mur est indiqué par un angle à 90° selon lequel la bande pré-rainurée peut être courbée. La rainure même est pourvue d'une mince bande de colle spéciale 'hot-melt' qui coule déjà dans des circonstances de mise en œuvre normales (au moins 18°C).</w:t>
      </w:r>
    </w:p>
    <w:p w14:paraId="2F3EAEDB" w14:textId="77777777" w:rsidR="004B2808" w:rsidRDefault="00000000">
      <w:r>
        <w:t>Dans les angles, les plinthes sont exécutées à onglet.</w:t>
      </w:r>
    </w:p>
    <w:p w14:paraId="12C6C5FA" w14:textId="77777777" w:rsidR="004B2808" w:rsidRDefault="00000000">
      <w:r>
        <w:t>Les bandes de plinthe sont collées sur toute leur surface sur le support avec la colle préconisée par le fabricant. Après le séchage de la colle, les joints sont découpés et soudés avec apport d'un cordon de soudure pour linoléum.</w:t>
      </w:r>
    </w:p>
    <w:p w14:paraId="6EA5C70F" w14:textId="77777777" w:rsidR="004B2808" w:rsidRDefault="00000000">
      <w:pPr>
        <w:ind w:left="750"/>
      </w:pPr>
      <w:r>
        <w:t> </w:t>
      </w:r>
    </w:p>
    <w:p w14:paraId="68D26FFA" w14:textId="77777777" w:rsidR="004B2808" w:rsidRDefault="00000000">
      <w:pPr>
        <w:pStyle w:val="pheading"/>
      </w:pPr>
      <w:r>
        <w:t>- Notes d’exécution complémentaires</w:t>
      </w:r>
    </w:p>
    <w:p w14:paraId="6C1EA874" w14:textId="77777777" w:rsidR="004B2808" w:rsidRDefault="00000000">
      <w:r>
        <w:t>Application d'une cire et l'encaustiquage ou application d'une émulsion autolubrifiante.</w:t>
      </w:r>
    </w:p>
    <w:p w14:paraId="6F3153C9" w14:textId="77777777" w:rsidR="004B2808" w:rsidRDefault="00000000">
      <w:pPr>
        <w:pStyle w:val="pheading"/>
      </w:pPr>
      <w:r>
        <w:t>MESURAGE</w:t>
      </w:r>
    </w:p>
    <w:p w14:paraId="52684AB7" w14:textId="77777777" w:rsidR="004B2808" w:rsidRDefault="00000000">
      <w:r>
        <w:t>Conformément aux indications spécifiques dans le cahier spécial des charges et/ou le métré récapitulatif, le mesurage doit être conçu comme suit :</w:t>
      </w:r>
    </w:p>
    <w:p w14:paraId="060742B3" w14:textId="77777777" w:rsidR="004B2808" w:rsidRDefault="00000000">
      <w:pPr>
        <w:pStyle w:val="pheading"/>
      </w:pPr>
      <w:r>
        <w:t>- unité de mesure:</w:t>
      </w:r>
    </w:p>
    <w:p w14:paraId="5F9675F0" w14:textId="77777777" w:rsidR="004B2808" w:rsidRDefault="00000000">
      <w:r>
        <w:t>m</w:t>
      </w:r>
    </w:p>
    <w:p w14:paraId="2A3758C6" w14:textId="77777777" w:rsidR="004B2808" w:rsidRDefault="00000000">
      <w:pPr>
        <w:pStyle w:val="pheading"/>
      </w:pPr>
      <w:r>
        <w:t>- code de mesurage:</w:t>
      </w:r>
    </w:p>
    <w:p w14:paraId="28555C94" w14:textId="77777777" w:rsidR="004B2808" w:rsidRDefault="00000000">
      <w:r>
        <w:lastRenderedPageBreak/>
        <w:t>Selon la nature et les dimensions des plinthes, longueur nette, mesurée entre le nu des murs, par-dessus les joints et les assemblages.</w:t>
      </w:r>
    </w:p>
    <w:p w14:paraId="6DCD5987" w14:textId="77777777" w:rsidR="004B2808" w:rsidRDefault="00000000">
      <w:pPr>
        <w:pStyle w:val="pheading"/>
      </w:pPr>
      <w:r>
        <w:t>- nature du marché:</w:t>
      </w:r>
    </w:p>
    <w:p w14:paraId="79F07FFC" w14:textId="77777777" w:rsidR="004B2808" w:rsidRDefault="00000000">
      <w:r>
        <w:t>QF</w:t>
      </w:r>
    </w:p>
    <w:p w14:paraId="1A6ACEC6" w14:textId="77777777" w:rsidR="004B2808" w:rsidRDefault="00000000">
      <w:pPr>
        <w:pStyle w:val="Author-eSectionHeading6Numberless"/>
      </w:pPr>
      <w:bookmarkStart w:id="742" w:name="_Toc220490893"/>
      <w:r>
        <w:t>53.61.7b Plinthes souples en matériau synthétique, en PVC CCTB 01.11</w:t>
      </w:r>
      <w:bookmarkEnd w:id="742"/>
    </w:p>
    <w:p w14:paraId="0E8B4EE2" w14:textId="77777777" w:rsidR="004B2808" w:rsidRDefault="00000000">
      <w:pPr>
        <w:pStyle w:val="pheading"/>
      </w:pPr>
      <w:r>
        <w:t>MATÉRIAUX</w:t>
      </w:r>
    </w:p>
    <w:p w14:paraId="115DFC7C" w14:textId="77777777" w:rsidR="004B2808" w:rsidRDefault="00000000">
      <w:pPr>
        <w:pStyle w:val="pheading"/>
      </w:pPr>
      <w:r>
        <w:t>- Caractéristiques générales</w:t>
      </w:r>
    </w:p>
    <w:p w14:paraId="5DABE65B" w14:textId="77777777" w:rsidR="004B2808" w:rsidRDefault="00000000">
      <w:r>
        <w:t>Les plinthes préfabriquées sont livrées et placées dans les plus grandes longueurs possibles. Le PVC utilisé devra satisfaire aux prescriptions de la [NBN EN 12608-1:2016+A1] ou de la [NBN EN 12608-2]. Les plinthes sont livrées dans les plus grandes longueurs possibles, les pièces d'ajustage d'une longueur inférieure à 80 cm doivent être évitées.</w:t>
      </w:r>
    </w:p>
    <w:p w14:paraId="26B10B93" w14:textId="77777777" w:rsidR="004B2808" w:rsidRDefault="00000000">
      <w:pPr>
        <w:pStyle w:val="heading"/>
      </w:pPr>
      <w:r>
        <w:t>Spécifications</w:t>
      </w:r>
    </w:p>
    <w:p w14:paraId="7115CA0F" w14:textId="77777777" w:rsidR="004B2808" w:rsidRDefault="00000000">
      <w:r>
        <w:t xml:space="preserve">Type : </w:t>
      </w:r>
      <w:r>
        <w:rPr>
          <w:rStyle w:val="optioncarChar"/>
        </w:rPr>
        <w:t>profils creux extrudés, renforcés transversalement à l'aide de nervures </w:t>
      </w:r>
      <w:r>
        <w:t>(par défaut)</w:t>
      </w:r>
      <w:r>
        <w:rPr>
          <w:rStyle w:val="optioncarChar"/>
        </w:rPr>
        <w:t xml:space="preserve"> / ***</w:t>
      </w:r>
    </w:p>
    <w:p w14:paraId="6BF5A279" w14:textId="77777777" w:rsidR="004B2808" w:rsidRDefault="00000000">
      <w:r>
        <w:t xml:space="preserve">Matériaux: </w:t>
      </w:r>
      <w:r>
        <w:rPr>
          <w:rStyle w:val="optioncarChar"/>
        </w:rPr>
        <w:t>PVC exempt de plastifiant</w:t>
      </w:r>
      <w:r>
        <w:t> (par défaut) </w:t>
      </w:r>
      <w:r>
        <w:rPr>
          <w:rStyle w:val="optioncarChar"/>
        </w:rPr>
        <w:t>/ PVC cellulaire exempt de plastifiant</w:t>
      </w:r>
    </w:p>
    <w:p w14:paraId="4966F411" w14:textId="77777777" w:rsidR="004B2808" w:rsidRDefault="00000000">
      <w:r>
        <w:t xml:space="preserve">Epaisseur des parois : minimum </w:t>
      </w:r>
      <w:r>
        <w:rPr>
          <w:rStyle w:val="optioncarChar"/>
        </w:rPr>
        <w:t>1 </w:t>
      </w:r>
      <w:r>
        <w:t>(par défaut)</w:t>
      </w:r>
      <w:r>
        <w:rPr>
          <w:rStyle w:val="optioncarChar"/>
        </w:rPr>
        <w:t xml:space="preserve"> / ***</w:t>
      </w:r>
      <w:r>
        <w:t xml:space="preserve"> mm.</w:t>
      </w:r>
    </w:p>
    <w:p w14:paraId="0DAE109D" w14:textId="77777777" w:rsidR="004B2808" w:rsidRDefault="00000000">
      <w:r>
        <w:t xml:space="preserve">Epaisseur des plinthes : minimum </w:t>
      </w:r>
      <w:r>
        <w:rPr>
          <w:rStyle w:val="optioncarChar"/>
        </w:rPr>
        <w:t>8 </w:t>
      </w:r>
      <w:r>
        <w:t>(par défaut)</w:t>
      </w:r>
      <w:r>
        <w:rPr>
          <w:rStyle w:val="optioncarChar"/>
        </w:rPr>
        <w:t xml:space="preserve"> / 10 / ***</w:t>
      </w:r>
      <w:r>
        <w:t xml:space="preserve"> mm.</w:t>
      </w:r>
    </w:p>
    <w:p w14:paraId="69C001BE" w14:textId="77777777" w:rsidR="004B2808" w:rsidRDefault="00000000">
      <w:r>
        <w:t xml:space="preserve">Hauteur : environ </w:t>
      </w:r>
      <w:r>
        <w:rPr>
          <w:rStyle w:val="optioncarChar"/>
        </w:rPr>
        <w:t>60</w:t>
      </w:r>
      <w:r>
        <w:t> (par défaut)</w:t>
      </w:r>
      <w:r>
        <w:rPr>
          <w:rStyle w:val="optioncarChar"/>
        </w:rPr>
        <w:t xml:space="preserve"> / 80 / *** </w:t>
      </w:r>
      <w:r>
        <w:t>mm</w:t>
      </w:r>
    </w:p>
    <w:p w14:paraId="060FC466" w14:textId="77777777" w:rsidR="004B2808" w:rsidRDefault="00000000">
      <w:r>
        <w:t xml:space="preserve">Forme : les angles visibles sont </w:t>
      </w:r>
      <w:r>
        <w:rPr>
          <w:rStyle w:val="optioncarChar"/>
        </w:rPr>
        <w:t>droits / biseautés / arrondis</w:t>
      </w:r>
    </w:p>
    <w:p w14:paraId="25EE1F86" w14:textId="77777777" w:rsidR="004B2808" w:rsidRDefault="00000000">
      <w:r>
        <w:t xml:space="preserve">Texture de la surface : </w:t>
      </w:r>
      <w:r>
        <w:rPr>
          <w:rStyle w:val="optioncarChar"/>
        </w:rPr>
        <w:t>parfaitement lisse </w:t>
      </w:r>
      <w:r>
        <w:t xml:space="preserve">(par défaut) </w:t>
      </w:r>
      <w:r>
        <w:rPr>
          <w:rStyle w:val="optioncarChar"/>
        </w:rPr>
        <w:t>/ ***</w:t>
      </w:r>
    </w:p>
    <w:p w14:paraId="3B3C2070" w14:textId="77777777" w:rsidR="004B2808" w:rsidRDefault="00000000">
      <w:r>
        <w:t xml:space="preserve">Aspect : </w:t>
      </w:r>
      <w:r>
        <w:rPr>
          <w:rStyle w:val="optioncarChar"/>
        </w:rPr>
        <w:t>satiné / brillant</w:t>
      </w:r>
      <w:r>
        <w:t>.</w:t>
      </w:r>
    </w:p>
    <w:p w14:paraId="0CB52A7A" w14:textId="77777777" w:rsidR="004B2808" w:rsidRDefault="00000000">
      <w:r>
        <w:t xml:space="preserve">Coloris : </w:t>
      </w:r>
      <w:r>
        <w:rPr>
          <w:rStyle w:val="optioncarChar"/>
        </w:rPr>
        <w:t>couleur RAL n° *** / à choisir dans la gamme complète du fabricant </w:t>
      </w:r>
      <w:r>
        <w:t>(par défaut).</w:t>
      </w:r>
    </w:p>
    <w:p w14:paraId="1D2B503B" w14:textId="77777777" w:rsidR="004B2808" w:rsidRDefault="00000000">
      <w:pPr>
        <w:ind w:left="750"/>
      </w:pPr>
      <w:r>
        <w:t> </w:t>
      </w:r>
    </w:p>
    <w:p w14:paraId="21B1ACF8" w14:textId="77777777" w:rsidR="004B2808" w:rsidRDefault="00000000">
      <w:pPr>
        <w:pStyle w:val="pheading"/>
      </w:pPr>
      <w:r>
        <w:t>EXÉCUTION / MISE EN ŒUVRE</w:t>
      </w:r>
    </w:p>
    <w:p w14:paraId="38456F26" w14:textId="77777777" w:rsidR="004B2808" w:rsidRDefault="00000000">
      <w:pPr>
        <w:pStyle w:val="pheading"/>
      </w:pPr>
      <w:r>
        <w:t>- Prescriptions générales</w:t>
      </w:r>
    </w:p>
    <w:p w14:paraId="5AC5E277" w14:textId="77777777" w:rsidR="004B2808" w:rsidRDefault="00000000">
      <w:r>
        <w:t xml:space="preserve">Les plinthes sont mises en œuvre selon le § 9.5.7.2 de la [NIT 165]. Au préalable, les murs sont dépoussiérés et préparés afin de pouvoir réaliser un raccord parfait entre le revêtement de sol et le mur. Dans les angles, les plinthes sont ajustées à onglet. Elles sont fixées au mur par </w:t>
      </w:r>
      <w:r>
        <w:rPr>
          <w:rStyle w:val="optioncarChar"/>
        </w:rPr>
        <w:t>collage</w:t>
      </w:r>
      <w:r>
        <w:t xml:space="preserve"> (par défaut)</w:t>
      </w:r>
      <w:r>
        <w:rPr>
          <w:rStyle w:val="optioncarChar"/>
        </w:rPr>
        <w:t> / assemblage à enclenchement invisible  / ***</w:t>
      </w:r>
      <w:r>
        <w:t>, conformément aux recommandations du fabricant.</w:t>
      </w:r>
    </w:p>
    <w:p w14:paraId="748DCB04" w14:textId="77777777" w:rsidR="004B2808" w:rsidRDefault="00000000">
      <w:pPr>
        <w:ind w:left="750"/>
      </w:pPr>
      <w:r>
        <w:t> </w:t>
      </w:r>
    </w:p>
    <w:p w14:paraId="7EB245D8" w14:textId="77777777" w:rsidR="004B2808" w:rsidRDefault="00000000">
      <w:pPr>
        <w:pStyle w:val="pheading"/>
      </w:pPr>
      <w:r>
        <w:t>- Notes d’exécution complémentaires</w:t>
      </w:r>
    </w:p>
    <w:p w14:paraId="182E772B" w14:textId="77777777" w:rsidR="004B2808" w:rsidRDefault="00000000">
      <w:r>
        <w:t>Avant de procéder à la mise en œuvre, la jonction entre le revêtement de sol et le mur est parachevée avec un joint au silicone afin d'empêcher la pénétration d'humidité.</w:t>
      </w:r>
    </w:p>
    <w:p w14:paraId="499E5E4C" w14:textId="77777777" w:rsidR="004B2808" w:rsidRDefault="00000000">
      <w:pPr>
        <w:pStyle w:val="pheading"/>
      </w:pPr>
      <w:r>
        <w:t>DOCUMENTS DE RÉFÉRENCE COMPLÉMENTAIRES</w:t>
      </w:r>
    </w:p>
    <w:p w14:paraId="5B9473DB" w14:textId="77777777" w:rsidR="004B2808" w:rsidRDefault="00000000">
      <w:pPr>
        <w:pStyle w:val="pheading"/>
      </w:pPr>
      <w:r>
        <w:t>- Matériau</w:t>
      </w:r>
    </w:p>
    <w:p w14:paraId="692D8820" w14:textId="77777777" w:rsidR="004B2808" w:rsidRDefault="00000000">
      <w:r>
        <w:t>[NBN EN 12608-1:2016+A1, Profilés de poly(chlorure de vinyle) non plastifié (PVC-U) pour la fabrication des fenêtres et des portes — Classification, exigences et méthodes d’essai - Partie 1: Profilés en PVC-U non revêtus avec des faces de teinte claire]</w:t>
      </w:r>
    </w:p>
    <w:p w14:paraId="12CC1F3A" w14:textId="77777777" w:rsidR="004B2808" w:rsidRDefault="00000000">
      <w:r>
        <w:t>[NBN EN 12608-2, Profilés de poly(chlorure de vinyle) non plastifié (PVC-U) pour la fabrication des fenêtres et des portes - Classification, exigences et méthodes d'essai - Partie 2 : Profilés en PVC-U plaxés avec des films collés]</w:t>
      </w:r>
    </w:p>
    <w:p w14:paraId="3BD6A141" w14:textId="77777777" w:rsidR="004B2808" w:rsidRDefault="00000000">
      <w:pPr>
        <w:ind w:left="750"/>
      </w:pPr>
      <w:r>
        <w:t> </w:t>
      </w:r>
    </w:p>
    <w:p w14:paraId="33F50265" w14:textId="77777777" w:rsidR="004B2808" w:rsidRDefault="00000000">
      <w:pPr>
        <w:pStyle w:val="pheading"/>
      </w:pPr>
      <w:r>
        <w:lastRenderedPageBreak/>
        <w:t>- Exécution</w:t>
      </w:r>
    </w:p>
    <w:p w14:paraId="5969B6FB" w14:textId="77777777" w:rsidR="004B2808" w:rsidRDefault="00000000">
      <w:r>
        <w:t>[NIT 165, Code de bonne pratique pour la pose de revêtements de sol souples (partiellement remplacée par la NIT 241).]</w:t>
      </w:r>
    </w:p>
    <w:p w14:paraId="479D904D" w14:textId="77777777" w:rsidR="004B2808" w:rsidRDefault="00000000">
      <w:pPr>
        <w:ind w:left="750"/>
      </w:pPr>
      <w:r>
        <w:t> </w:t>
      </w:r>
    </w:p>
    <w:p w14:paraId="02B5C101" w14:textId="77777777" w:rsidR="004B2808" w:rsidRDefault="00000000">
      <w:pPr>
        <w:pStyle w:val="pheading"/>
      </w:pPr>
      <w:r>
        <w:t>MESURAGE</w:t>
      </w:r>
    </w:p>
    <w:p w14:paraId="11B9ED7A" w14:textId="77777777" w:rsidR="004B2808" w:rsidRDefault="00000000">
      <w:r>
        <w:t>Conformément aux indications spécifiques dans le cahier spécial des charges et/ou le métré récapitulatif, le mesurage doit être conçu comme suit :</w:t>
      </w:r>
    </w:p>
    <w:p w14:paraId="24D817F3" w14:textId="77777777" w:rsidR="004B2808" w:rsidRDefault="00000000">
      <w:pPr>
        <w:pStyle w:val="pheading"/>
      </w:pPr>
      <w:r>
        <w:t>- unité de mesure:</w:t>
      </w:r>
    </w:p>
    <w:p w14:paraId="111B795B" w14:textId="77777777" w:rsidR="004B2808" w:rsidRDefault="00000000">
      <w:r>
        <w:t>m</w:t>
      </w:r>
    </w:p>
    <w:p w14:paraId="660B54C0" w14:textId="77777777" w:rsidR="004B2808" w:rsidRDefault="00000000">
      <w:pPr>
        <w:pStyle w:val="pheading"/>
      </w:pPr>
      <w:r>
        <w:t>- code de mesurage:</w:t>
      </w:r>
    </w:p>
    <w:p w14:paraId="5BBF2888" w14:textId="77777777" w:rsidR="004B2808" w:rsidRDefault="00000000">
      <w:r>
        <w:t>Selon la nature et les dimensions des plinthes, longueur nette, mesurée entre le nu des murs, par-dessus les joints et les assemblages.</w:t>
      </w:r>
    </w:p>
    <w:p w14:paraId="4F82E0FE" w14:textId="77777777" w:rsidR="004B2808" w:rsidRDefault="00000000">
      <w:pPr>
        <w:pStyle w:val="pheading"/>
      </w:pPr>
      <w:r>
        <w:t>- nature du marché:</w:t>
      </w:r>
    </w:p>
    <w:p w14:paraId="6AFE4637" w14:textId="77777777" w:rsidR="004B2808" w:rsidRDefault="00000000">
      <w:r>
        <w:t>QF</w:t>
      </w:r>
    </w:p>
    <w:p w14:paraId="37D892EF" w14:textId="77777777" w:rsidR="004B2808" w:rsidRDefault="00000000">
      <w:pPr>
        <w:pStyle w:val="Author-eSectionHeading6Numberless"/>
      </w:pPr>
      <w:bookmarkStart w:id="743" w:name="_Toc220490894"/>
      <w:r>
        <w:t>53.61.7c Plinthes souples en matériau synthétique, en vinyle CCTB 01.11</w:t>
      </w:r>
      <w:bookmarkEnd w:id="743"/>
    </w:p>
    <w:p w14:paraId="0A89A47B" w14:textId="77777777" w:rsidR="004B2808" w:rsidRDefault="00000000">
      <w:pPr>
        <w:pStyle w:val="pheading"/>
      </w:pPr>
      <w:r>
        <w:t>MATÉRIAUX</w:t>
      </w:r>
    </w:p>
    <w:p w14:paraId="5D77CB5D" w14:textId="77777777" w:rsidR="004B2808" w:rsidRDefault="00000000">
      <w:pPr>
        <w:pStyle w:val="pheading"/>
      </w:pPr>
      <w:r>
        <w:t>- Caractéristiques générales</w:t>
      </w:r>
    </w:p>
    <w:p w14:paraId="57C18FF7" w14:textId="77777777" w:rsidR="004B2808" w:rsidRDefault="00000000">
      <w:r>
        <w:t>Les plinthes préfabriquées sont livrées et placées dans les plus grandes longueurs possibles. Le vinyle utilisé doit satisfaire aux prescriptions de la  [NBN B 25-002-1] , de la [STS 52.3]. Les plinthes sont livrées dans les plus grandes longueurs possibles, les pièces d'ajustage d'une longueur inférieure à 80 cm doivent être évitées.</w:t>
      </w:r>
    </w:p>
    <w:p w14:paraId="37BCE720" w14:textId="77777777" w:rsidR="004B2808" w:rsidRDefault="00000000">
      <w:pPr>
        <w:pStyle w:val="heading"/>
      </w:pPr>
      <w:r>
        <w:t>Spécifications</w:t>
      </w:r>
    </w:p>
    <w:p w14:paraId="64FB7BC8" w14:textId="77777777" w:rsidR="004B2808" w:rsidRDefault="00000000">
      <w:r>
        <w:t xml:space="preserve">Type : </w:t>
      </w:r>
      <w:r>
        <w:rPr>
          <w:rStyle w:val="optioncarChar"/>
        </w:rPr>
        <w:t>profils creux extrudés, renforcés transversalement à l'aide de nervures </w:t>
      </w:r>
      <w:r>
        <w:t>(par défaut)</w:t>
      </w:r>
      <w:r>
        <w:rPr>
          <w:rStyle w:val="optioncarChar"/>
        </w:rPr>
        <w:t>/ ***</w:t>
      </w:r>
    </w:p>
    <w:p w14:paraId="1EC89A99" w14:textId="77777777" w:rsidR="004B2808" w:rsidRDefault="00000000">
      <w:r>
        <w:t xml:space="preserve">Matériaux: </w:t>
      </w:r>
      <w:r>
        <w:rPr>
          <w:rStyle w:val="optioncarChar"/>
        </w:rPr>
        <w:t>vinyle</w:t>
      </w:r>
    </w:p>
    <w:p w14:paraId="10DFAB7D" w14:textId="77777777" w:rsidR="004B2808" w:rsidRDefault="00000000">
      <w:r>
        <w:t xml:space="preserve">Epaisseur des parois : minimum </w:t>
      </w:r>
      <w:r>
        <w:rPr>
          <w:rStyle w:val="optioncarChar"/>
        </w:rPr>
        <w:t>1</w:t>
      </w:r>
      <w:r>
        <w:t> (par défaut)</w:t>
      </w:r>
      <w:r>
        <w:rPr>
          <w:rStyle w:val="optioncarChar"/>
        </w:rPr>
        <w:t xml:space="preserve"> / ***</w:t>
      </w:r>
      <w:r>
        <w:t xml:space="preserve"> mm.</w:t>
      </w:r>
    </w:p>
    <w:p w14:paraId="6FC28DF5" w14:textId="77777777" w:rsidR="004B2808" w:rsidRDefault="00000000">
      <w:r>
        <w:t xml:space="preserve">Epaisseur des plinthes : minimum </w:t>
      </w:r>
      <w:r>
        <w:rPr>
          <w:rStyle w:val="optioncarChar"/>
        </w:rPr>
        <w:t>8</w:t>
      </w:r>
      <w:r>
        <w:t> (par défaut)</w:t>
      </w:r>
      <w:r>
        <w:rPr>
          <w:rStyle w:val="optioncarChar"/>
        </w:rPr>
        <w:t xml:space="preserve"> / 10 / ***</w:t>
      </w:r>
      <w:r>
        <w:t xml:space="preserve"> mm.</w:t>
      </w:r>
    </w:p>
    <w:p w14:paraId="15CCEF03" w14:textId="77777777" w:rsidR="004B2808" w:rsidRDefault="00000000">
      <w:r>
        <w:t xml:space="preserve">Hauteur : environ </w:t>
      </w:r>
      <w:r>
        <w:rPr>
          <w:rStyle w:val="optioncarChar"/>
        </w:rPr>
        <w:t>60</w:t>
      </w:r>
      <w:r>
        <w:t xml:space="preserve"> (par défaut) </w:t>
      </w:r>
      <w:r>
        <w:rPr>
          <w:rStyle w:val="optioncarChar"/>
        </w:rPr>
        <w:t xml:space="preserve">/ 80 / *** </w:t>
      </w:r>
      <w:r>
        <w:t>mm</w:t>
      </w:r>
    </w:p>
    <w:p w14:paraId="71F9F511" w14:textId="77777777" w:rsidR="004B2808" w:rsidRDefault="00000000">
      <w:r>
        <w:t xml:space="preserve">Forme : les angles visibles sont </w:t>
      </w:r>
      <w:r>
        <w:rPr>
          <w:rStyle w:val="optioncarChar"/>
        </w:rPr>
        <w:t>droits</w:t>
      </w:r>
      <w:r>
        <w:t> (par défaut)</w:t>
      </w:r>
      <w:r>
        <w:rPr>
          <w:rStyle w:val="optioncarChar"/>
        </w:rPr>
        <w:t xml:space="preserve"> / biseautés / arrondis</w:t>
      </w:r>
    </w:p>
    <w:p w14:paraId="1D3B891C" w14:textId="77777777" w:rsidR="004B2808" w:rsidRDefault="00000000">
      <w:r>
        <w:t xml:space="preserve">Texture de la surface : </w:t>
      </w:r>
      <w:r>
        <w:rPr>
          <w:rStyle w:val="optioncarChar"/>
        </w:rPr>
        <w:t>parfaitement lisse</w:t>
      </w:r>
      <w:r>
        <w:t xml:space="preserve"> (par défaut) </w:t>
      </w:r>
      <w:r>
        <w:rPr>
          <w:rStyle w:val="optioncarChar"/>
        </w:rPr>
        <w:t>/ ***</w:t>
      </w:r>
    </w:p>
    <w:p w14:paraId="1007BB6F" w14:textId="77777777" w:rsidR="004B2808" w:rsidRDefault="00000000">
      <w:r>
        <w:t xml:space="preserve">Aspect : </w:t>
      </w:r>
      <w:r>
        <w:rPr>
          <w:rStyle w:val="optioncarChar"/>
        </w:rPr>
        <w:t>satiné / brillant</w:t>
      </w:r>
      <w:r>
        <w:t>.</w:t>
      </w:r>
    </w:p>
    <w:p w14:paraId="13AE5703" w14:textId="77777777" w:rsidR="004B2808" w:rsidRDefault="00000000">
      <w:r>
        <w:t xml:space="preserve">Coloris : </w:t>
      </w:r>
      <w:r>
        <w:rPr>
          <w:rStyle w:val="optioncarChar"/>
        </w:rPr>
        <w:t>couleur RAL n° *** / à choisir dans la gamme complète du fabricant</w:t>
      </w:r>
      <w:r>
        <w:t> (par défaut).</w:t>
      </w:r>
    </w:p>
    <w:p w14:paraId="224CBEB8" w14:textId="77777777" w:rsidR="004B2808" w:rsidRDefault="00000000">
      <w:pPr>
        <w:pStyle w:val="pheading"/>
      </w:pPr>
      <w:r>
        <w:t>EXÉCUTION / MISE EN ŒUVRE</w:t>
      </w:r>
    </w:p>
    <w:p w14:paraId="753D6E42" w14:textId="77777777" w:rsidR="004B2808" w:rsidRDefault="00000000">
      <w:pPr>
        <w:pStyle w:val="pheading"/>
      </w:pPr>
      <w:r>
        <w:t>- Prescriptions générales</w:t>
      </w:r>
    </w:p>
    <w:p w14:paraId="50BBDCE0" w14:textId="77777777" w:rsidR="004B2808" w:rsidRDefault="00000000">
      <w:r>
        <w:t xml:space="preserve">Les plinthes sont mises en œuvre selon le § 9.5.7.2 de la [NIT 165]. Au préalable, les murs sont dépoussiérés et préparés afin de pouvoir réaliser un raccord parfait entre le revêtement de sol et le mur. Dans les angles, les plinthes sont ajustées à onglet. Elles sont fixées au mur par </w:t>
      </w:r>
      <w:r>
        <w:rPr>
          <w:rStyle w:val="optioncarChar"/>
        </w:rPr>
        <w:t>collage / assemblage à enclenchement invisible</w:t>
      </w:r>
      <w:r>
        <w:t>, conformément aux recommandations du fabricant.</w:t>
      </w:r>
    </w:p>
    <w:p w14:paraId="521563CD" w14:textId="77777777" w:rsidR="004B2808" w:rsidRDefault="00000000">
      <w:pPr>
        <w:ind w:left="750"/>
      </w:pPr>
      <w:r>
        <w:t> </w:t>
      </w:r>
    </w:p>
    <w:p w14:paraId="19A294EE" w14:textId="77777777" w:rsidR="004B2808" w:rsidRDefault="00000000">
      <w:pPr>
        <w:pStyle w:val="pheading"/>
      </w:pPr>
      <w:r>
        <w:t>- Notes d’exécution complémentaires</w:t>
      </w:r>
    </w:p>
    <w:p w14:paraId="0D381FB1" w14:textId="77777777" w:rsidR="004B2808" w:rsidRDefault="00000000">
      <w:r>
        <w:t>Avant de procéder à la mise en œuvre, la jonction entre le revêtement de sol et le mur est parachevée avec un joint au silicone afin d'empêcher la pénétration d'humidité.</w:t>
      </w:r>
    </w:p>
    <w:p w14:paraId="3D2489BD" w14:textId="77777777" w:rsidR="004B2808" w:rsidRDefault="00000000">
      <w:pPr>
        <w:pStyle w:val="pheading"/>
      </w:pPr>
      <w:r>
        <w:lastRenderedPageBreak/>
        <w:t>MESURAGE</w:t>
      </w:r>
    </w:p>
    <w:p w14:paraId="3DC4F998" w14:textId="77777777" w:rsidR="004B2808" w:rsidRDefault="00000000">
      <w:r>
        <w:t>Conformément aux indications spécifiques dans le cahier spécial des charges et/ou le métré récapitulatif, le mesurage doit être conçu comme suit :</w:t>
      </w:r>
    </w:p>
    <w:p w14:paraId="48A7FF34" w14:textId="77777777" w:rsidR="004B2808" w:rsidRDefault="00000000">
      <w:pPr>
        <w:pStyle w:val="pheading"/>
      </w:pPr>
      <w:r>
        <w:t>- unité de mesure:</w:t>
      </w:r>
    </w:p>
    <w:p w14:paraId="6FF65690" w14:textId="77777777" w:rsidR="004B2808" w:rsidRDefault="00000000">
      <w:r>
        <w:t>m</w:t>
      </w:r>
    </w:p>
    <w:p w14:paraId="5863C8FF" w14:textId="77777777" w:rsidR="004B2808" w:rsidRDefault="00000000">
      <w:pPr>
        <w:pStyle w:val="pheading"/>
      </w:pPr>
      <w:r>
        <w:t>- code de mesurage:</w:t>
      </w:r>
    </w:p>
    <w:p w14:paraId="0722D40E" w14:textId="77777777" w:rsidR="004B2808" w:rsidRDefault="00000000">
      <w:r>
        <w:t>Selon la nature et les dimensions des plinthes, longueur nette, mesurée entre le nu des murs, par-dessus les joints et les assemblages.</w:t>
      </w:r>
    </w:p>
    <w:p w14:paraId="5E2DC266" w14:textId="77777777" w:rsidR="004B2808" w:rsidRDefault="00000000">
      <w:pPr>
        <w:pStyle w:val="pheading"/>
      </w:pPr>
      <w:r>
        <w:t>- nature du marché:</w:t>
      </w:r>
    </w:p>
    <w:p w14:paraId="1C87AE6E" w14:textId="77777777" w:rsidR="004B2808" w:rsidRDefault="00000000">
      <w:r>
        <w:t>QF</w:t>
      </w:r>
    </w:p>
    <w:p w14:paraId="1C3B709A" w14:textId="77777777" w:rsidR="004B2808" w:rsidRDefault="00000000">
      <w:pPr>
        <w:pStyle w:val="Author-eSectionHeading6Numberless"/>
      </w:pPr>
      <w:bookmarkStart w:id="744" w:name="_Toc220490895"/>
      <w:r>
        <w:t>53.61.7d Plinthes souples en matériau synthétique, en caoutchouc CCTB 01.11</w:t>
      </w:r>
      <w:bookmarkEnd w:id="744"/>
    </w:p>
    <w:p w14:paraId="2F5B9817" w14:textId="77777777" w:rsidR="004B2808" w:rsidRDefault="00000000">
      <w:pPr>
        <w:pStyle w:val="pheading"/>
      </w:pPr>
      <w:r>
        <w:t>MATÉRIAUX</w:t>
      </w:r>
    </w:p>
    <w:p w14:paraId="67E68385" w14:textId="77777777" w:rsidR="004B2808" w:rsidRDefault="00000000">
      <w:pPr>
        <w:pStyle w:val="pheading"/>
      </w:pPr>
      <w:r>
        <w:t>- Caractéristiques générales</w:t>
      </w:r>
    </w:p>
    <w:p w14:paraId="11506501" w14:textId="77777777" w:rsidR="004B2808" w:rsidRDefault="00000000">
      <w:r>
        <w:t>Les plinthes préfabriquées sont en caoutchouc de qualité supérieure, amélioré par vulcanisation postérieure. Elles sont exemptes de PVC, plastifiants, formaldéhyde, amiante, cadmium, halogènes et CFK. Elles sont pourvues d'une lèvre élastique durable afin de pouvoir réaliser un raccord étanche avec le revêtement de sol.</w:t>
      </w:r>
    </w:p>
    <w:p w14:paraId="543F891D" w14:textId="77777777" w:rsidR="004B2808" w:rsidRDefault="00000000">
      <w:pPr>
        <w:pStyle w:val="heading"/>
      </w:pPr>
      <w:r>
        <w:t>Spécifications</w:t>
      </w:r>
    </w:p>
    <w:p w14:paraId="247C0EC1" w14:textId="77777777" w:rsidR="004B2808" w:rsidRDefault="00000000">
      <w:r>
        <w:t xml:space="preserve">Epaisseur des parois : minimum </w:t>
      </w:r>
      <w:r>
        <w:rPr>
          <w:rStyle w:val="optioncarChar"/>
        </w:rPr>
        <w:t>2,5 </w:t>
      </w:r>
      <w:r>
        <w:t>(par défaut)</w:t>
      </w:r>
      <w:r>
        <w:rPr>
          <w:rStyle w:val="optioncarChar"/>
        </w:rPr>
        <w:t xml:space="preserve"> / 3 / *** </w:t>
      </w:r>
      <w:r>
        <w:t>mm</w:t>
      </w:r>
    </w:p>
    <w:p w14:paraId="464EC732" w14:textId="77777777" w:rsidR="004B2808" w:rsidRDefault="00000000">
      <w:r>
        <w:t xml:space="preserve">Hauteur : environ </w:t>
      </w:r>
      <w:r>
        <w:rPr>
          <w:rStyle w:val="optioncarChar"/>
        </w:rPr>
        <w:t>60</w:t>
      </w:r>
      <w:r>
        <w:t> (par défaut)</w:t>
      </w:r>
      <w:r>
        <w:rPr>
          <w:rStyle w:val="optioncarChar"/>
        </w:rPr>
        <w:t xml:space="preserve"> / 80 / *** </w:t>
      </w:r>
      <w:r>
        <w:t>mm</w:t>
      </w:r>
    </w:p>
    <w:p w14:paraId="573CB522" w14:textId="77777777" w:rsidR="004B2808" w:rsidRDefault="00000000">
      <w:r>
        <w:t xml:space="preserve">Coloris : </w:t>
      </w:r>
      <w:r>
        <w:rPr>
          <w:rStyle w:val="optioncarChar"/>
        </w:rPr>
        <w:t>couleur RAL n° *** / à choisir dans la gamme complète du fabricant</w:t>
      </w:r>
      <w:r>
        <w:t> (par défaut)</w:t>
      </w:r>
    </w:p>
    <w:p w14:paraId="4EFDCFBD" w14:textId="77777777" w:rsidR="004B2808" w:rsidRDefault="00000000">
      <w:pPr>
        <w:pStyle w:val="pheading"/>
      </w:pPr>
      <w:r>
        <w:t>EXÉCUTION / MISE EN ŒUVRE</w:t>
      </w:r>
    </w:p>
    <w:p w14:paraId="7A175F32" w14:textId="77777777" w:rsidR="004B2808" w:rsidRDefault="00000000">
      <w:pPr>
        <w:pStyle w:val="pheading"/>
      </w:pPr>
      <w:r>
        <w:t>- Prescriptions générales</w:t>
      </w:r>
    </w:p>
    <w:p w14:paraId="6DAC03B0" w14:textId="77777777" w:rsidR="004B2808" w:rsidRDefault="00000000">
      <w:r>
        <w:t>Les plinthes sont mises en œuvre selon le § 9.5.7.2 de la [NIT 165]. Au préalable, les murs seront dépoussiérés et préparés afin de pouvoir réaliser un raccord parfait entre le revêtement de sol et le mur. Les plinthes sont fixées au mur par collage ou avec une bande autocollante biface, conformément aux recommandations du fabricant. Elles sont posées dans les plus grandes longueurs possibles.</w:t>
      </w:r>
    </w:p>
    <w:p w14:paraId="7B1660F5" w14:textId="77777777" w:rsidR="004B2808" w:rsidRDefault="00000000">
      <w:pPr>
        <w:ind w:left="750"/>
      </w:pPr>
      <w:r>
        <w:t> </w:t>
      </w:r>
    </w:p>
    <w:p w14:paraId="2492981B" w14:textId="77777777" w:rsidR="004B2808" w:rsidRDefault="00000000">
      <w:pPr>
        <w:pStyle w:val="pheading"/>
      </w:pPr>
      <w:r>
        <w:t>- Notes d’exécution complémentaires</w:t>
      </w:r>
    </w:p>
    <w:p w14:paraId="26E21C73" w14:textId="77777777" w:rsidR="004B2808" w:rsidRDefault="00000000">
      <w:r>
        <w:t>Avant de procéder à la mise en œuvre, la jonction entre le revêtement de sol et le mur est parachevée avec un joint au silicone afin d'empêcher la pénétration d'humidité.</w:t>
      </w:r>
    </w:p>
    <w:p w14:paraId="4B6A3D0C" w14:textId="77777777" w:rsidR="004B2808" w:rsidRDefault="00000000">
      <w:pPr>
        <w:pStyle w:val="pheading"/>
      </w:pPr>
      <w:r>
        <w:t>MESURAGE</w:t>
      </w:r>
    </w:p>
    <w:p w14:paraId="45B4C3F6" w14:textId="77777777" w:rsidR="004B2808" w:rsidRDefault="00000000">
      <w:r>
        <w:t>Conformément aux indications spécifiques dans le cahier spécial des charges et/ou le métré récapitulatif, le mesurage doit être conçu comme suit :</w:t>
      </w:r>
    </w:p>
    <w:p w14:paraId="42CE7C99" w14:textId="77777777" w:rsidR="004B2808" w:rsidRDefault="00000000">
      <w:pPr>
        <w:pStyle w:val="pheading"/>
      </w:pPr>
      <w:r>
        <w:t>- unité de mesure:</w:t>
      </w:r>
    </w:p>
    <w:p w14:paraId="068ED752" w14:textId="77777777" w:rsidR="004B2808" w:rsidRDefault="00000000">
      <w:r>
        <w:t>m</w:t>
      </w:r>
    </w:p>
    <w:p w14:paraId="30E7212F" w14:textId="77777777" w:rsidR="004B2808" w:rsidRDefault="00000000">
      <w:pPr>
        <w:pStyle w:val="pheading"/>
      </w:pPr>
      <w:r>
        <w:t>- code de mesurage:</w:t>
      </w:r>
    </w:p>
    <w:p w14:paraId="2DF0CAFD" w14:textId="77777777" w:rsidR="004B2808" w:rsidRDefault="00000000">
      <w:r>
        <w:t>Selon la nature et les dimensions des plinthes, longueur nette, mesurée entre le nu des murs, par-dessus les joints et les assemblages.</w:t>
      </w:r>
    </w:p>
    <w:p w14:paraId="09A80742" w14:textId="77777777" w:rsidR="004B2808" w:rsidRDefault="00000000">
      <w:pPr>
        <w:pStyle w:val="pheading"/>
      </w:pPr>
      <w:r>
        <w:t>- nature du marché:</w:t>
      </w:r>
    </w:p>
    <w:p w14:paraId="0E2B1D10" w14:textId="77777777" w:rsidR="004B2808" w:rsidRDefault="00000000">
      <w:r>
        <w:lastRenderedPageBreak/>
        <w:t>QF</w:t>
      </w:r>
    </w:p>
    <w:p w14:paraId="27069720" w14:textId="77777777" w:rsidR="004B2808" w:rsidRDefault="00000000">
      <w:pPr>
        <w:pStyle w:val="Author-eSectionHeading5Numberless"/>
      </w:pPr>
      <w:bookmarkStart w:id="745" w:name="_Toc220490896"/>
      <w:r>
        <w:t>53.61.8 Plinthes métalliques CCTB 01.02</w:t>
      </w:r>
      <w:bookmarkEnd w:id="745"/>
    </w:p>
    <w:p w14:paraId="42E075D3" w14:textId="77777777" w:rsidR="004B2808" w:rsidRDefault="00000000">
      <w:pPr>
        <w:pStyle w:val="Author-eSectionHeading6Numberless"/>
      </w:pPr>
      <w:bookmarkStart w:id="746" w:name="_Toc220490897"/>
      <w:r>
        <w:t>53.61.8a Plinthes métalliques, en acier CCTB 01.02</w:t>
      </w:r>
      <w:bookmarkEnd w:id="746"/>
    </w:p>
    <w:p w14:paraId="3814F944" w14:textId="77777777" w:rsidR="004B2808" w:rsidRDefault="00000000">
      <w:pPr>
        <w:pStyle w:val="Author-eSectionHeading6Numberless"/>
      </w:pPr>
      <w:bookmarkStart w:id="747" w:name="_Toc220490898"/>
      <w:r>
        <w:t>53.61.8b Plinthes métalliques, en aluminium CCTB 01.02</w:t>
      </w:r>
      <w:bookmarkEnd w:id="747"/>
    </w:p>
    <w:p w14:paraId="17AB88D6" w14:textId="77777777" w:rsidR="004B2808" w:rsidRDefault="00000000">
      <w:pPr>
        <w:pStyle w:val="Author-eSectionHeading4Numberless"/>
      </w:pPr>
      <w:bookmarkStart w:id="748" w:name="_Toc220490899"/>
      <w:r>
        <w:t>53.62 Entre-portes CCTB 01.11</w:t>
      </w:r>
      <w:bookmarkEnd w:id="748"/>
    </w:p>
    <w:p w14:paraId="2AAD3922" w14:textId="77777777" w:rsidR="004B2808" w:rsidRDefault="00000000">
      <w:pPr>
        <w:pStyle w:val="pheading"/>
      </w:pPr>
      <w:r>
        <w:t>DESCRIPTION</w:t>
      </w:r>
    </w:p>
    <w:p w14:paraId="52759A74" w14:textId="77777777" w:rsidR="004B2808" w:rsidRDefault="00000000">
      <w:pPr>
        <w:pStyle w:val="pheading"/>
      </w:pPr>
      <w:r>
        <w:t>- Définition / Comprend</w:t>
      </w:r>
    </w:p>
    <w:p w14:paraId="04B32A76" w14:textId="77777777" w:rsidR="004B2808" w:rsidRDefault="00000000">
      <w:r>
        <w:t>Il s'agit des entre-portes prévus dans les baies des portes intérieures et/ou appliqués afin de réaliser la séparation entre deux matériaux de revêtement différents ou entre deux locaux attenants. Conformément aux dispositions générales et/ou spécifiques du cahier spécial des charges, les prix unitaires compris sous cette rubrique doivent comprendre, soit dans leur globalité soit selon la ventilation dans le métré récapitulatif :</w:t>
      </w:r>
    </w:p>
    <w:p w14:paraId="6870ADEE" w14:textId="77777777" w:rsidR="004B2808" w:rsidRDefault="00000000">
      <w:pPr>
        <w:pStyle w:val="Author-eListParagraph"/>
        <w:numPr>
          <w:ilvl w:val="0"/>
          <w:numId w:val="636"/>
        </w:numPr>
      </w:pPr>
      <w:r>
        <w:t>la préparation du support, l'enlèvement des déchets, décombres, corps étrangers, plâtre, graisse, …</w:t>
      </w:r>
    </w:p>
    <w:p w14:paraId="45CD8516" w14:textId="77777777" w:rsidR="004B2808" w:rsidRDefault="00000000">
      <w:pPr>
        <w:pStyle w:val="Author-eListParagraph"/>
        <w:numPr>
          <w:ilvl w:val="0"/>
          <w:numId w:val="636"/>
        </w:numPr>
      </w:pPr>
      <w:r>
        <w:t>le contrôle des cotes de niveau par rapport à la feuille de porte et à l'encadrement;</w:t>
      </w:r>
    </w:p>
    <w:p w14:paraId="78777FF8" w14:textId="77777777" w:rsidR="004B2808" w:rsidRDefault="00000000">
      <w:pPr>
        <w:pStyle w:val="Author-eListParagraph"/>
        <w:numPr>
          <w:ilvl w:val="0"/>
          <w:numId w:val="636"/>
        </w:numPr>
      </w:pPr>
      <w:r>
        <w:t>l'humidification du support;</w:t>
      </w:r>
    </w:p>
    <w:p w14:paraId="1B754B47" w14:textId="77777777" w:rsidR="004B2808" w:rsidRDefault="00000000">
      <w:pPr>
        <w:pStyle w:val="Author-eListParagraph"/>
        <w:numPr>
          <w:ilvl w:val="0"/>
          <w:numId w:val="636"/>
        </w:numPr>
      </w:pPr>
      <w:r>
        <w:t>l'application de la sous-couche, lit de sable ou chape fraîche;</w:t>
      </w:r>
    </w:p>
    <w:p w14:paraId="7DD591C5" w14:textId="77777777" w:rsidR="004B2808" w:rsidRDefault="00000000">
      <w:pPr>
        <w:pStyle w:val="Author-eListParagraph"/>
        <w:numPr>
          <w:ilvl w:val="0"/>
          <w:numId w:val="636"/>
        </w:numPr>
      </w:pPr>
      <w:r>
        <w:t>la fourniture et la pose des entre-portes;</w:t>
      </w:r>
    </w:p>
    <w:p w14:paraId="05462E80" w14:textId="77777777" w:rsidR="004B2808" w:rsidRDefault="00000000">
      <w:pPr>
        <w:pStyle w:val="Author-eListParagraph"/>
        <w:numPr>
          <w:ilvl w:val="0"/>
          <w:numId w:val="636"/>
        </w:numPr>
      </w:pPr>
      <w:r>
        <w:t>la réalisation des éventuels joints périphériques, de séparation et de dilatation;</w:t>
      </w:r>
    </w:p>
    <w:p w14:paraId="7072A8C2" w14:textId="77777777" w:rsidR="004B2808" w:rsidRDefault="00000000">
      <w:pPr>
        <w:pStyle w:val="Author-eListParagraph"/>
        <w:numPr>
          <w:ilvl w:val="0"/>
          <w:numId w:val="636"/>
        </w:numPr>
      </w:pPr>
      <w:r>
        <w:t>le remplissage et/ou le rejointoiement des joints et des raccords avec les autres matériaux;</w:t>
      </w:r>
    </w:p>
    <w:p w14:paraId="79C10685" w14:textId="77777777" w:rsidR="004B2808" w:rsidRDefault="00000000">
      <w:pPr>
        <w:pStyle w:val="Author-eListParagraph"/>
        <w:numPr>
          <w:ilvl w:val="0"/>
          <w:numId w:val="636"/>
        </w:numPr>
      </w:pPr>
      <w:r>
        <w:t>le nettoyage des entre-portes et du revêtement de sol, y compris l'enlèvement de toutes les taches et restes de mortier de pose et de rejointoiement.  </w:t>
      </w:r>
    </w:p>
    <w:p w14:paraId="7D2419D1" w14:textId="77777777" w:rsidR="004B2808" w:rsidRDefault="00000000">
      <w:pPr>
        <w:pStyle w:val="pheading"/>
      </w:pPr>
      <w:r>
        <w:t>MATÉRIAUX</w:t>
      </w:r>
    </w:p>
    <w:p w14:paraId="6CFF70B7" w14:textId="77777777" w:rsidR="004B2808" w:rsidRDefault="00000000">
      <w:r>
        <w:t>Les entre-portes doivent satisfaire aux dispositions des [STS 45 série]</w:t>
      </w:r>
    </w:p>
    <w:p w14:paraId="1E941E2F" w14:textId="77777777" w:rsidR="004B2808" w:rsidRDefault="00000000">
      <w:pPr>
        <w:pStyle w:val="Author-eListParagraph"/>
        <w:numPr>
          <w:ilvl w:val="0"/>
          <w:numId w:val="637"/>
        </w:numPr>
      </w:pPr>
      <w:r>
        <w:t xml:space="preserve">A sa demande, l'entrepreneur remet à l'auteur de projet avant l'exécution : </w:t>
      </w:r>
    </w:p>
    <w:p w14:paraId="3356B4BC" w14:textId="77777777" w:rsidR="004B2808" w:rsidRDefault="00000000">
      <w:pPr>
        <w:pStyle w:val="Author-eListParagraph"/>
        <w:numPr>
          <w:ilvl w:val="1"/>
          <w:numId w:val="638"/>
        </w:numPr>
      </w:pPr>
      <w:r>
        <w:t>les échantillons nécessaires afin de pouvoir déterminer l'aspect, le coloris et la structure de la surface de la livraison;</w:t>
      </w:r>
    </w:p>
    <w:p w14:paraId="20606AF6" w14:textId="77777777" w:rsidR="004B2808" w:rsidRDefault="00000000">
      <w:pPr>
        <w:pStyle w:val="Author-eListParagraph"/>
        <w:numPr>
          <w:ilvl w:val="1"/>
          <w:numId w:val="638"/>
        </w:numPr>
      </w:pPr>
      <w:r>
        <w:t>une fiche rédigée, par type d'entre-porte. La fiche mentionne les principales caractéristiques de l'entre-porte qui doivent permettre de déterminer correctement le matériau;</w:t>
      </w:r>
    </w:p>
    <w:p w14:paraId="2DF430F7" w14:textId="77777777" w:rsidR="004B2808" w:rsidRDefault="00000000">
      <w:pPr>
        <w:pStyle w:val="Author-eListParagraph"/>
        <w:numPr>
          <w:ilvl w:val="1"/>
          <w:numId w:val="638"/>
        </w:numPr>
      </w:pPr>
      <w:r>
        <w:t>les éventuels plans de détail.</w:t>
      </w:r>
    </w:p>
    <w:p w14:paraId="0C074628" w14:textId="77777777" w:rsidR="004B2808" w:rsidRDefault="00000000">
      <w:pPr>
        <w:pStyle w:val="Author-eListParagraph"/>
        <w:numPr>
          <w:ilvl w:val="0"/>
          <w:numId w:val="637"/>
        </w:numPr>
      </w:pPr>
      <w:r>
        <w:t>Les entre-portes jusqu'à 1,20 m de longueur sont toujours d'une seule pièce.</w:t>
      </w:r>
    </w:p>
    <w:p w14:paraId="0E1B1884" w14:textId="77777777" w:rsidR="004B2808" w:rsidRDefault="00000000">
      <w:pPr>
        <w:pStyle w:val="Author-eListParagraph"/>
        <w:numPr>
          <w:ilvl w:val="0"/>
          <w:numId w:val="637"/>
        </w:numPr>
      </w:pPr>
      <w:r>
        <w:t>Les matériaux de jointoiement doivent satisfaire à la [NIT 213] (§ 5.5.2) et à la [NIT 237] (§ 3.5), suivant le matériau de l'entre-porte. La couleur du mortier de jointoiement est déterminée par l'auteur de projet.</w:t>
      </w:r>
    </w:p>
    <w:p w14:paraId="40884B55" w14:textId="77777777" w:rsidR="004B2808" w:rsidRDefault="00000000">
      <w:pPr>
        <w:ind w:left="750"/>
      </w:pPr>
      <w:r>
        <w:t> </w:t>
      </w:r>
    </w:p>
    <w:p w14:paraId="47BECB61" w14:textId="77777777" w:rsidR="004B2808" w:rsidRDefault="00000000">
      <w:pPr>
        <w:pStyle w:val="pheading"/>
      </w:pPr>
      <w:r>
        <w:t>EXÉCUTION / MISE EN ŒUVRE</w:t>
      </w:r>
    </w:p>
    <w:p w14:paraId="7D8D175C" w14:textId="77777777" w:rsidR="004B2808" w:rsidRDefault="00000000">
      <w:pPr>
        <w:pStyle w:val="heading"/>
      </w:pPr>
      <w:r>
        <w:t>Généralités</w:t>
      </w:r>
    </w:p>
    <w:p w14:paraId="28C61D6F" w14:textId="77777777" w:rsidR="004B2808" w:rsidRDefault="00000000">
      <w:r>
        <w:t>L'entrepreneur chargé de la pose du revêtement de sol reçoit de l'auteur de projet tous les renseignements concernant le niveau de finition par rapport au niveau du sol et des feuilles de porte, l'aire de pose et la technique d'exécution. Les entre-portes livrés sont immédiatement entreposés dans un local fermé et protégé du soleil, de la pluie et du vent.</w:t>
      </w:r>
    </w:p>
    <w:p w14:paraId="5363EC49" w14:textId="77777777" w:rsidR="004B2808" w:rsidRDefault="00000000">
      <w:r>
        <w:t>Pour s'assurer la résistance au feu, l'entre-porte doit être conforme à la [NIT 234].</w:t>
      </w:r>
    </w:p>
    <w:p w14:paraId="3B6C98DE" w14:textId="77777777" w:rsidR="004B2808" w:rsidRDefault="00000000">
      <w:pPr>
        <w:pStyle w:val="heading"/>
      </w:pPr>
      <w:r>
        <w:t>Mode de mise en œuvre</w:t>
      </w:r>
    </w:p>
    <w:p w14:paraId="50314926" w14:textId="77777777" w:rsidR="004B2808" w:rsidRDefault="00000000">
      <w:r>
        <w:lastRenderedPageBreak/>
        <w:t xml:space="preserve">La face supérieure doit se situer, conformément aux dispositions du cahier spécial des charges : </w:t>
      </w:r>
      <w:r>
        <w:rPr>
          <w:rStyle w:val="optioncarChar"/>
        </w:rPr>
        <w:t>5 mm au-dessus du niveau du revêtement de sol attenant </w:t>
      </w:r>
      <w:r>
        <w:t>(par défaut)</w:t>
      </w:r>
      <w:r>
        <w:rPr>
          <w:rStyle w:val="optioncarChar"/>
        </w:rPr>
        <w:t xml:space="preserve"> / à ras du niveau du revêtement de sol attenant  / ***</w:t>
      </w:r>
      <w:r>
        <w:t>.</w:t>
      </w:r>
    </w:p>
    <w:p w14:paraId="0DD0221B" w14:textId="77777777" w:rsidR="004B2808" w:rsidRDefault="00000000">
      <w:r>
        <w:t>Largeur en fonction de l'épaisseur du mur fini. Les entre-portes sont posés de niveau dans tous les sens et parfaitement plans.</w:t>
      </w:r>
    </w:p>
    <w:p w14:paraId="04B91D7C" w14:textId="77777777" w:rsidR="004B2808" w:rsidRDefault="00000000">
      <w:pPr>
        <w:pStyle w:val="heading"/>
      </w:pPr>
      <w:r>
        <w:t>Mortier de pose</w:t>
      </w:r>
    </w:p>
    <w:p w14:paraId="4CACCFF3" w14:textId="77777777" w:rsidR="004B2808" w:rsidRDefault="00000000">
      <w:r>
        <w:t>Les entre-portes sont posés à plein bain de mortier sans creux, épaisseur minimale 15 mm. Avant la pose, les seuils fortement absorbants sont immergés dans l'eau jusqu'à ce qu'ils soient saturés et ensuite ils sont égouttés. Le mortier de pose est du type conforme au §6 de la [NIT 237].</w:t>
      </w:r>
    </w:p>
    <w:p w14:paraId="1CB27612" w14:textId="77777777" w:rsidR="004B2808" w:rsidRDefault="00000000">
      <w:pPr>
        <w:ind w:left="750"/>
      </w:pPr>
      <w:r>
        <w:t> </w:t>
      </w:r>
    </w:p>
    <w:p w14:paraId="05684D62" w14:textId="77777777" w:rsidR="004B2808" w:rsidRDefault="00000000">
      <w:pPr>
        <w:pStyle w:val="pheading"/>
      </w:pPr>
      <w:r>
        <w:t>CONTRÔLES</w:t>
      </w:r>
    </w:p>
    <w:p w14:paraId="0D6D6EF6" w14:textId="77777777" w:rsidR="004B2808" w:rsidRDefault="00000000">
      <w:r>
        <w:t>Il n'est  toléré aucune différence de hauteur individuelle entre les entre-portes Un nuançage uniforme est requis dans un seul et même local. L'entrepreneur veille à ce que l'alignement visuel des bords des dalles et des joints soit respecté.</w:t>
      </w:r>
    </w:p>
    <w:p w14:paraId="3A469C59" w14:textId="77777777" w:rsidR="004B2808" w:rsidRDefault="00000000">
      <w:pPr>
        <w:pStyle w:val="Author-eSectionHeading5Numberless"/>
      </w:pPr>
      <w:bookmarkStart w:id="749" w:name="_Toc220490900"/>
      <w:r>
        <w:t>53.62.1 Entre-portes en carreaux de céramique CCTB 01.02</w:t>
      </w:r>
      <w:bookmarkEnd w:id="749"/>
    </w:p>
    <w:p w14:paraId="41E8D906" w14:textId="77777777" w:rsidR="004B2808" w:rsidRDefault="00000000">
      <w:pPr>
        <w:pStyle w:val="Author-eSectionHeading5Numberless"/>
      </w:pPr>
      <w:bookmarkStart w:id="750" w:name="_Toc220490901"/>
      <w:r>
        <w:t>53.62.2 Entre-portes en pierres naturelles CCTB 01.10</w:t>
      </w:r>
      <w:bookmarkEnd w:id="750"/>
    </w:p>
    <w:p w14:paraId="1CDA9B17" w14:textId="77777777" w:rsidR="004B2808" w:rsidRDefault="00000000">
      <w:pPr>
        <w:pStyle w:val="pheading"/>
      </w:pPr>
      <w:r>
        <w:t>MATÉRIAUX</w:t>
      </w:r>
    </w:p>
    <w:p w14:paraId="097C8804" w14:textId="77777777" w:rsidR="004B2808" w:rsidRDefault="00000000">
      <w:r>
        <w:t>Les entre-portes en</w:t>
      </w:r>
      <w:r>
        <w:rPr>
          <w:shd w:val="clear" w:color="auto" w:fill="FFFFFF"/>
        </w:rPr>
        <w:t xml:space="preserve"> pierre naturelle </w:t>
      </w:r>
      <w:r>
        <w:t>sont d'une seule pièce et ils sont découpés mécaniquement dans:</w:t>
      </w:r>
    </w:p>
    <w:p w14:paraId="097ABFF2" w14:textId="77777777" w:rsidR="004B2808" w:rsidRDefault="00000000">
      <w:r>
        <w:t> </w:t>
      </w:r>
    </w:p>
    <w:p w14:paraId="45226D1F" w14:textId="77777777" w:rsidR="004B2808" w:rsidRDefault="00000000">
      <w:pPr>
        <w:ind w:left="450"/>
      </w:pPr>
      <w:r>
        <w:t xml:space="preserve">Choix opéré: </w:t>
      </w:r>
      <w:r>
        <w:rPr>
          <w:rStyle w:val="optioncarChar"/>
        </w:rPr>
        <w:t>OPTION 1 (marbre) / OPTION 2 (pierre bleue) / OPTION 3 (pierre naturelle)</w:t>
      </w:r>
    </w:p>
    <w:p w14:paraId="54C11FAB" w14:textId="77777777" w:rsidR="004B2808" w:rsidRDefault="00000000">
      <w:pPr>
        <w:ind w:left="450"/>
      </w:pPr>
      <w:r>
        <w:rPr>
          <w:b/>
        </w:rPr>
        <w:t>***OPTION 1 :</w:t>
      </w:r>
      <w:r>
        <w:t xml:space="preserve"> le marbre, selon les dispositions des [STS 45 série] Dénomination, teinte, coloris : </w:t>
      </w:r>
      <w:r>
        <w:rPr>
          <w:rStyle w:val="optioncarChar"/>
        </w:rPr>
        <w:t>travertin  blanc ivoire </w:t>
      </w:r>
      <w:r>
        <w:t>(par défaut)</w:t>
      </w:r>
      <w:r>
        <w:rPr>
          <w:rStyle w:val="optioncarChar"/>
        </w:rPr>
        <w:t xml:space="preserve"> / *** </w:t>
      </w:r>
    </w:p>
    <w:p w14:paraId="0FE8C20F" w14:textId="77777777" w:rsidR="004B2808" w:rsidRDefault="00000000">
      <w:pPr>
        <w:ind w:left="450"/>
      </w:pPr>
      <w:r>
        <w:rPr>
          <w:b/>
        </w:rPr>
        <w:t>***OPTION 2:</w:t>
      </w:r>
      <w:r>
        <w:t xml:space="preserve"> la pierre bleue, selon les [STS 45 série] et la [NIT 220] Catégorie C </w:t>
      </w:r>
    </w:p>
    <w:p w14:paraId="6F69723E" w14:textId="77777777" w:rsidR="004B2808" w:rsidRDefault="00000000">
      <w:pPr>
        <w:ind w:left="450"/>
      </w:pPr>
      <w:r>
        <w:rPr>
          <w:b/>
        </w:rPr>
        <w:t>***OPTION 3 :</w:t>
      </w:r>
      <w:r>
        <w:t xml:space="preserve"> la pierre naturelle conforme à la [NIT 228]. </w:t>
      </w:r>
    </w:p>
    <w:p w14:paraId="3B50A897" w14:textId="77777777" w:rsidR="004B2808" w:rsidRDefault="00000000">
      <w:pPr>
        <w:ind w:left="450"/>
      </w:pPr>
      <w:r>
        <w:t>Les défauts entraînant le refus sont mentionnés dans les [STS 45 série].</w:t>
      </w:r>
    </w:p>
    <w:p w14:paraId="20606A45" w14:textId="77777777" w:rsidR="004B2808" w:rsidRDefault="00000000">
      <w:pPr>
        <w:pStyle w:val="heading"/>
      </w:pPr>
      <w:r>
        <w:t>Spécifications</w:t>
      </w:r>
    </w:p>
    <w:p w14:paraId="2DD9A27F" w14:textId="77777777" w:rsidR="004B2808" w:rsidRDefault="00000000">
      <w:r>
        <w:t xml:space="preserve">Epaisseur : minimum </w:t>
      </w:r>
      <w:r>
        <w:rPr>
          <w:rStyle w:val="optioncarChar"/>
        </w:rPr>
        <w:t xml:space="preserve">20 </w:t>
      </w:r>
      <w:r>
        <w:t>(par défaut) </w:t>
      </w:r>
      <w:r>
        <w:rPr>
          <w:rStyle w:val="optioncarChar"/>
        </w:rPr>
        <w:t>/ 30 / ***</w:t>
      </w:r>
      <w:r>
        <w:t xml:space="preserve"> mm</w:t>
      </w:r>
    </w:p>
    <w:p w14:paraId="113BBC47" w14:textId="77777777" w:rsidR="004B2808" w:rsidRDefault="00000000">
      <w:r>
        <w:t xml:space="preserve">Aspect des faces vues : </w:t>
      </w:r>
      <w:r>
        <w:rPr>
          <w:rStyle w:val="optioncarChar"/>
        </w:rPr>
        <w:t>adouci</w:t>
      </w:r>
      <w:r>
        <w:t xml:space="preserve"> (par défaut)</w:t>
      </w:r>
      <w:r>
        <w:rPr>
          <w:rStyle w:val="optioncarChar"/>
        </w:rPr>
        <w:t> / poli / ***</w:t>
      </w:r>
    </w:p>
    <w:p w14:paraId="3BB2B6FA" w14:textId="77777777" w:rsidR="004B2808" w:rsidRDefault="00000000">
      <w:r>
        <w:t xml:space="preserve">Finition des bords vus : </w:t>
      </w:r>
      <w:r>
        <w:rPr>
          <w:rStyle w:val="optioncarChar"/>
        </w:rPr>
        <w:t>légèrement biseautés </w:t>
      </w:r>
      <w:r>
        <w:t>(par défaut)</w:t>
      </w:r>
      <w:r>
        <w:rPr>
          <w:rStyle w:val="optioncarChar"/>
        </w:rPr>
        <w:t xml:space="preserve"> / arrondis</w:t>
      </w:r>
      <w:r>
        <w:t>./ ***</w:t>
      </w:r>
    </w:p>
    <w:p w14:paraId="52225DBA" w14:textId="77777777" w:rsidR="004B2808" w:rsidRDefault="00000000">
      <w:r>
        <w:t xml:space="preserve">Résistance moyenne à la compression : minimum </w:t>
      </w:r>
      <w:r>
        <w:rPr>
          <w:rStyle w:val="optioncarChar"/>
        </w:rPr>
        <w:t>130 </w:t>
      </w:r>
      <w:r>
        <w:t>(par défaut)</w:t>
      </w:r>
      <w:r>
        <w:rPr>
          <w:rStyle w:val="optioncarChar"/>
        </w:rPr>
        <w:t xml:space="preserve"> / ***</w:t>
      </w:r>
      <w:r>
        <w:t xml:space="preserve"> N/mm2.</w:t>
      </w:r>
    </w:p>
    <w:p w14:paraId="0B72784C" w14:textId="77777777" w:rsidR="004B2808" w:rsidRDefault="00000000">
      <w:r>
        <w:t>Les entre-portes sont:</w:t>
      </w:r>
    </w:p>
    <w:p w14:paraId="417DB947" w14:textId="77777777" w:rsidR="004B2808" w:rsidRDefault="00000000">
      <w:pPr>
        <w:ind w:left="450"/>
      </w:pPr>
      <w:r>
        <w:t xml:space="preserve">Choix opéré: </w:t>
      </w:r>
      <w:r>
        <w:rPr>
          <w:rStyle w:val="optioncarChar"/>
        </w:rPr>
        <w:t>OPTION 1 / OPTION 2</w:t>
      </w:r>
    </w:p>
    <w:p w14:paraId="0F399F14" w14:textId="77777777" w:rsidR="004B2808" w:rsidRDefault="00000000">
      <w:pPr>
        <w:ind w:left="450"/>
      </w:pPr>
      <w:r>
        <w:rPr>
          <w:b/>
        </w:rPr>
        <w:t>***OPTION 1:</w:t>
      </w:r>
      <w:r>
        <w:t xml:space="preserve"> placés au niveau des revêtements de sol attenants. </w:t>
      </w:r>
    </w:p>
    <w:p w14:paraId="30988447" w14:textId="77777777" w:rsidR="004B2808" w:rsidRDefault="00000000">
      <w:pPr>
        <w:ind w:left="450"/>
      </w:pPr>
      <w:r>
        <w:rPr>
          <w:b/>
        </w:rPr>
        <w:t>***OPTION 2</w:t>
      </w:r>
      <w:r>
        <w:t xml:space="preserve">: posés </w:t>
      </w:r>
      <w:r>
        <w:rPr>
          <w:rStyle w:val="optioncarChar"/>
        </w:rPr>
        <w:t>2 </w:t>
      </w:r>
      <w:r>
        <w:t>(par défaut)</w:t>
      </w:r>
      <w:r>
        <w:rPr>
          <w:rStyle w:val="optioncarChar"/>
        </w:rPr>
        <w:t xml:space="preserve"> / 3 / 5 / ***</w:t>
      </w:r>
      <w:r>
        <w:t xml:space="preserve"> mm plus haut que les revêtements de sol attenants /</w:t>
      </w:r>
      <w:r>
        <w:rPr>
          <w:rStyle w:val="optioncarChar"/>
        </w:rPr>
        <w:t xml:space="preserve"> selon la finition prescrite. </w:t>
      </w:r>
    </w:p>
    <w:p w14:paraId="6617729B" w14:textId="77777777" w:rsidR="004B2808" w:rsidRDefault="00000000">
      <w:r>
        <w:t xml:space="preserve">Mortier de pose, sur une épaisseur minimale de </w:t>
      </w:r>
      <w:r>
        <w:rPr>
          <w:rStyle w:val="optioncarChar"/>
        </w:rPr>
        <w:t>15 </w:t>
      </w:r>
      <w:r>
        <w:t>(par défaut)</w:t>
      </w:r>
      <w:r>
        <w:rPr>
          <w:rStyle w:val="optioncarChar"/>
        </w:rPr>
        <w:t xml:space="preserve"> / *** </w:t>
      </w:r>
      <w:r>
        <w:t>mm est de la catégorie M3 de [NBN EN 998-2] (2010)</w:t>
      </w:r>
    </w:p>
    <w:p w14:paraId="2C9483D8" w14:textId="77777777" w:rsidR="004B2808" w:rsidRDefault="00000000">
      <w:r>
        <w:t xml:space="preserve">La largeur des joints est de </w:t>
      </w:r>
      <w:r>
        <w:rPr>
          <w:rStyle w:val="optioncarChar"/>
        </w:rPr>
        <w:t>3</w:t>
      </w:r>
      <w:r>
        <w:t xml:space="preserve"> (par défaut) </w:t>
      </w:r>
      <w:r>
        <w:rPr>
          <w:rStyle w:val="optioncarChar"/>
        </w:rPr>
        <w:t xml:space="preserve">/ *** </w:t>
      </w:r>
      <w:r>
        <w:t>mm. Les joints sont remplis après 2 jours avec un mortier bâtard.</w:t>
      </w:r>
    </w:p>
    <w:p w14:paraId="5892BFA6" w14:textId="77777777" w:rsidR="004B2808" w:rsidRDefault="00000000">
      <w:pPr>
        <w:pStyle w:val="heading"/>
      </w:pPr>
      <w:r>
        <w:t>Notes d'exécution complémentaires</w:t>
      </w:r>
    </w:p>
    <w:p w14:paraId="10CF1667" w14:textId="77777777" w:rsidR="004B2808" w:rsidRDefault="00000000">
      <w:r>
        <w:t xml:space="preserve">Contre les murs, colonnes, socles, ***, une bande de polyéthylène est relevée à angle droit. Epaisseur : </w:t>
      </w:r>
      <w:r>
        <w:rPr>
          <w:rStyle w:val="optioncarChar"/>
        </w:rPr>
        <w:t>0,1</w:t>
      </w:r>
      <w:r>
        <w:t xml:space="preserve"> (par défaut) / </w:t>
      </w:r>
      <w:r>
        <w:rPr>
          <w:rStyle w:val="optioncarChar"/>
        </w:rPr>
        <w:t>**</w:t>
      </w:r>
      <w:r>
        <w:t>*mm.</w:t>
      </w:r>
    </w:p>
    <w:p w14:paraId="739B31C0" w14:textId="77777777" w:rsidR="004B2808" w:rsidRDefault="00000000">
      <w:r>
        <w:lastRenderedPageBreak/>
        <w:t>Les entre-portes sont placés symétriquement par rapport aux axes de la baie dans l'œuvre.</w:t>
      </w:r>
    </w:p>
    <w:p w14:paraId="23D085C4" w14:textId="77777777" w:rsidR="004B2808" w:rsidRDefault="00000000">
      <w:r>
        <w:t>Les entre-portes sont placés conformément aux dessins d'exécution approuvés par l'auteur de projet.</w:t>
      </w:r>
    </w:p>
    <w:p w14:paraId="11A88327" w14:textId="77777777" w:rsidR="004B2808" w:rsidRDefault="00000000">
      <w:pPr>
        <w:pStyle w:val="Author-eSectionHeading6Numberless"/>
      </w:pPr>
      <w:bookmarkStart w:id="751" w:name="_Toc220490902"/>
      <w:r>
        <w:t>53.62.2a Entre-portes en pierres naturelles - en pierres blanches CCTB 01.02</w:t>
      </w:r>
      <w:bookmarkEnd w:id="751"/>
    </w:p>
    <w:p w14:paraId="08BC2592" w14:textId="77777777" w:rsidR="004B2808" w:rsidRDefault="00000000">
      <w:pPr>
        <w:pStyle w:val="Author-eSectionHeading6Numberless"/>
      </w:pPr>
      <w:bookmarkStart w:id="752" w:name="_Toc220490903"/>
      <w:r>
        <w:t>53.62.2b Entre-portes en pierres naturelles - en pierres marbrières CCTB 01.02</w:t>
      </w:r>
      <w:bookmarkEnd w:id="752"/>
    </w:p>
    <w:p w14:paraId="34FA0092" w14:textId="77777777" w:rsidR="004B2808" w:rsidRDefault="00000000">
      <w:pPr>
        <w:pStyle w:val="Author-eSectionHeading6Numberless"/>
      </w:pPr>
      <w:bookmarkStart w:id="753" w:name="_Toc220490904"/>
      <w:r>
        <w:t>53.62.2c Entre-portes en pierres naturelles - en marbres CCTB 01.02</w:t>
      </w:r>
      <w:bookmarkEnd w:id="753"/>
    </w:p>
    <w:p w14:paraId="75F4B328" w14:textId="77777777" w:rsidR="004B2808" w:rsidRDefault="00000000">
      <w:pPr>
        <w:pStyle w:val="Author-eSectionHeading6Numberless"/>
      </w:pPr>
      <w:bookmarkStart w:id="754" w:name="_Toc220490905"/>
      <w:r>
        <w:t>53.62.2d Entre-portes en pierres naturelles - en pierres bleues CCTB 01.02</w:t>
      </w:r>
      <w:bookmarkEnd w:id="754"/>
    </w:p>
    <w:p w14:paraId="478A08BB" w14:textId="77777777" w:rsidR="004B2808" w:rsidRDefault="00000000">
      <w:pPr>
        <w:pStyle w:val="Author-eSectionHeading6Numberless"/>
      </w:pPr>
      <w:bookmarkStart w:id="755" w:name="_Toc220490906"/>
      <w:r>
        <w:t>53.62.2e Entre-portes en pierres naturelles - en granits CCTB 01.02</w:t>
      </w:r>
      <w:bookmarkEnd w:id="755"/>
    </w:p>
    <w:p w14:paraId="157DC9E0" w14:textId="77777777" w:rsidR="004B2808" w:rsidRDefault="00000000">
      <w:pPr>
        <w:pStyle w:val="Author-eSectionHeading6Numberless"/>
      </w:pPr>
      <w:bookmarkStart w:id="756" w:name="_Toc220490907"/>
      <w:r>
        <w:t>53.62.2f Entre-portes en pierres naturelles - en schistes CCTB 01.02</w:t>
      </w:r>
      <w:bookmarkEnd w:id="756"/>
    </w:p>
    <w:p w14:paraId="15B644FC" w14:textId="77777777" w:rsidR="004B2808" w:rsidRDefault="00000000">
      <w:pPr>
        <w:pStyle w:val="Author-eSectionHeading5Numberless"/>
      </w:pPr>
      <w:bookmarkStart w:id="757" w:name="_Toc220490908"/>
      <w:r>
        <w:t>53.62.3 Entre-portes en bois CCTB 01.02</w:t>
      </w:r>
      <w:bookmarkEnd w:id="757"/>
    </w:p>
    <w:p w14:paraId="0C812A47" w14:textId="77777777" w:rsidR="004B2808" w:rsidRDefault="00000000">
      <w:pPr>
        <w:pStyle w:val="Author-eSectionHeading6Numberless"/>
      </w:pPr>
      <w:bookmarkStart w:id="758" w:name="_Toc220490909"/>
      <w:r>
        <w:t>53.62.3a Entre-portes en bois massif CCTB 01.02</w:t>
      </w:r>
      <w:bookmarkEnd w:id="758"/>
    </w:p>
    <w:p w14:paraId="523F9825" w14:textId="77777777" w:rsidR="004B2808" w:rsidRDefault="00000000">
      <w:pPr>
        <w:pStyle w:val="Author-eSectionHeading6Numberless"/>
      </w:pPr>
      <w:bookmarkStart w:id="759" w:name="_Toc220490910"/>
      <w:r>
        <w:t>53.62.3b Entre-portes en bois composite CCTB 01.02</w:t>
      </w:r>
      <w:bookmarkEnd w:id="759"/>
    </w:p>
    <w:p w14:paraId="6CBC9FAD" w14:textId="77777777" w:rsidR="004B2808" w:rsidRDefault="00000000">
      <w:pPr>
        <w:pStyle w:val="Author-eSectionHeading5Numberless"/>
      </w:pPr>
      <w:bookmarkStart w:id="760" w:name="_Toc220490911"/>
      <w:r>
        <w:t>53.62.4 Entre-portes souples en matériaux synthétiques CCTB 01.02</w:t>
      </w:r>
      <w:bookmarkEnd w:id="760"/>
    </w:p>
    <w:p w14:paraId="1B46A0B1" w14:textId="77777777" w:rsidR="004B2808" w:rsidRDefault="00000000">
      <w:pPr>
        <w:pStyle w:val="Author-eSectionHeading6Numberless"/>
      </w:pPr>
      <w:bookmarkStart w:id="761" w:name="_Toc220490912"/>
      <w:r>
        <w:t>53.62.4a Entre-portes souples en matériaux synthétiques - en PVC CCTB 01.02</w:t>
      </w:r>
      <w:bookmarkEnd w:id="761"/>
    </w:p>
    <w:p w14:paraId="7F8F6F0D" w14:textId="77777777" w:rsidR="004B2808" w:rsidRDefault="00000000">
      <w:pPr>
        <w:pStyle w:val="Author-eSectionHeading6Numberless"/>
      </w:pPr>
      <w:bookmarkStart w:id="762" w:name="_Toc220490913"/>
      <w:r>
        <w:t>53.62.4b Entre-portes souples en matériaux synthétiques - en vinyle CCTB 01.02</w:t>
      </w:r>
      <w:bookmarkEnd w:id="762"/>
    </w:p>
    <w:p w14:paraId="3CA4543D" w14:textId="77777777" w:rsidR="004B2808" w:rsidRDefault="00000000">
      <w:pPr>
        <w:pStyle w:val="Author-eSectionHeading5Numberless"/>
      </w:pPr>
      <w:bookmarkStart w:id="763" w:name="_Toc220490914"/>
      <w:r>
        <w:t>53.62.5 Entre-porte métallique CCTB 01.02</w:t>
      </w:r>
      <w:bookmarkEnd w:id="763"/>
    </w:p>
    <w:p w14:paraId="07406E39" w14:textId="77777777" w:rsidR="004B2808" w:rsidRDefault="00000000">
      <w:pPr>
        <w:pStyle w:val="Author-eSectionHeading6Numberless"/>
      </w:pPr>
      <w:bookmarkStart w:id="764" w:name="_Toc220490915"/>
      <w:r>
        <w:t>53.62.5a Entre-porte métallique, en acier CCTB 01.02</w:t>
      </w:r>
      <w:bookmarkEnd w:id="764"/>
    </w:p>
    <w:p w14:paraId="4DD12DD0" w14:textId="77777777" w:rsidR="004B2808" w:rsidRDefault="00000000">
      <w:pPr>
        <w:pStyle w:val="Author-eSectionHeading6Numberless"/>
      </w:pPr>
      <w:bookmarkStart w:id="765" w:name="_Toc220490916"/>
      <w:r>
        <w:t>53.62.5b Entre-porte métallique, en acier inoxydable CCTB 01.02</w:t>
      </w:r>
      <w:bookmarkEnd w:id="765"/>
    </w:p>
    <w:p w14:paraId="6CD76BBD" w14:textId="77777777" w:rsidR="004B2808" w:rsidRDefault="00000000">
      <w:pPr>
        <w:pStyle w:val="Author-eSectionHeading6Numberless"/>
      </w:pPr>
      <w:bookmarkStart w:id="766" w:name="_Toc220490917"/>
      <w:r>
        <w:t>53.62.5c Entre-porte métallique, en aluminium CCTB 01.02</w:t>
      </w:r>
      <w:bookmarkEnd w:id="766"/>
    </w:p>
    <w:p w14:paraId="1F4D1012" w14:textId="77777777" w:rsidR="004B2808" w:rsidRDefault="00000000">
      <w:pPr>
        <w:pStyle w:val="Author-eSectionHeading4Numberless"/>
      </w:pPr>
      <w:bookmarkStart w:id="767" w:name="_Toc220490918"/>
      <w:r>
        <w:t>53.63 Réalisation de joints CCTB 01.11</w:t>
      </w:r>
      <w:bookmarkEnd w:id="767"/>
    </w:p>
    <w:p w14:paraId="6A6E5748" w14:textId="77777777" w:rsidR="004B2808" w:rsidRDefault="00000000">
      <w:pPr>
        <w:pStyle w:val="Author-eSectionHeading5Numberless"/>
      </w:pPr>
      <w:bookmarkStart w:id="768" w:name="1282"/>
      <w:bookmarkStart w:id="769" w:name="_Toc220490919"/>
      <w:bookmarkEnd w:id="768"/>
      <w:r>
        <w:t>53.63.1 Joint de tassement CCTB 01.02</w:t>
      </w:r>
      <w:bookmarkEnd w:id="769"/>
    </w:p>
    <w:p w14:paraId="26174FB5" w14:textId="77777777" w:rsidR="004B2808" w:rsidRDefault="00000000">
      <w:pPr>
        <w:pStyle w:val="Author-eSectionHeading6Numberless"/>
      </w:pPr>
      <w:bookmarkStart w:id="770" w:name="_Toc220490920"/>
      <w:r>
        <w:t>53.63.1a Joint de tassement réalisé in situ CCTB 01.02</w:t>
      </w:r>
      <w:bookmarkEnd w:id="770"/>
    </w:p>
    <w:p w14:paraId="67599178" w14:textId="77777777" w:rsidR="004B2808" w:rsidRDefault="00000000">
      <w:pPr>
        <w:pStyle w:val="Author-eSectionHeading6Numberless"/>
      </w:pPr>
      <w:bookmarkStart w:id="771" w:name="_Toc220490921"/>
      <w:r>
        <w:t>53.63.1b Joint de tassement à systèmes préfabriqués CCTB 01.02</w:t>
      </w:r>
      <w:bookmarkEnd w:id="771"/>
    </w:p>
    <w:p w14:paraId="722E83B4" w14:textId="77777777" w:rsidR="004B2808" w:rsidRDefault="00000000">
      <w:pPr>
        <w:pStyle w:val="Author-eSectionHeading5Numberless"/>
      </w:pPr>
      <w:bookmarkStart w:id="772" w:name="_Toc220490922"/>
      <w:r>
        <w:t>53.63.2 Joint de dilatation CCTB 01.11</w:t>
      </w:r>
      <w:bookmarkEnd w:id="772"/>
    </w:p>
    <w:p w14:paraId="7D7F8BCB" w14:textId="77777777" w:rsidR="004B2808" w:rsidRDefault="00000000">
      <w:pPr>
        <w:pStyle w:val="pheading"/>
      </w:pPr>
      <w:r>
        <w:t>DESCRIPTION</w:t>
      </w:r>
    </w:p>
    <w:p w14:paraId="2122F13F" w14:textId="77777777" w:rsidR="004B2808" w:rsidRDefault="00000000">
      <w:pPr>
        <w:pStyle w:val="pheading"/>
      </w:pPr>
      <w:r>
        <w:t>- Définition / Comprend</w:t>
      </w:r>
    </w:p>
    <w:p w14:paraId="548DB329" w14:textId="77777777" w:rsidR="004B2808" w:rsidRDefault="00000000">
      <w:pPr>
        <w:jc w:val="both"/>
      </w:pPr>
      <w:r>
        <w:t>Il s’agit de joints marquant une interruption verticale sur l’épaisseur du complexe de parachèvement des revêtements de sol comprenant la chape, le revêtement de finition et l’éventuelle couche d’isolation.</w:t>
      </w:r>
    </w:p>
    <w:p w14:paraId="5B1F0B5A" w14:textId="77777777" w:rsidR="004B2808" w:rsidRDefault="00000000">
      <w:pPr>
        <w:jc w:val="both"/>
      </w:pPr>
      <w:r>
        <w:t>Concernant les joints de dilatation, il convient de distinguer les joints de structure et les joints de fractionnement.</w:t>
      </w:r>
    </w:p>
    <w:p w14:paraId="51036545" w14:textId="77777777" w:rsidR="004B2808" w:rsidRDefault="00000000">
      <w:pPr>
        <w:jc w:val="both"/>
      </w:pPr>
      <w:r>
        <w:rPr>
          <w:b/>
        </w:rPr>
        <w:t>Joints de structure</w:t>
      </w:r>
    </w:p>
    <w:p w14:paraId="0A50DF49" w14:textId="77777777" w:rsidR="004B2808" w:rsidRDefault="00000000">
      <w:pPr>
        <w:jc w:val="both"/>
      </w:pPr>
      <w:r>
        <w:t>Les joints de structure présents dans le support sont toujours prolongés dans la chape et le revêtement de sol par un joint de dilatation et ce, quel que soit le type de chape et de finition. En cas de revêtement fortement sollicité, il y a lieu de renforcer les bords du joint de prolongation par des profilés adéquats.</w:t>
      </w:r>
    </w:p>
    <w:p w14:paraId="5B92B77A" w14:textId="77777777" w:rsidR="004B2808" w:rsidRDefault="00000000">
      <w:pPr>
        <w:jc w:val="both"/>
      </w:pPr>
      <w:r>
        <w:rPr>
          <w:b/>
        </w:rPr>
        <w:t xml:space="preserve">Joints de fractionnement </w:t>
      </w:r>
      <w:r>
        <w:t>(parmi lesquels on compte les joints de dilatation)</w:t>
      </w:r>
    </w:p>
    <w:p w14:paraId="2695B9DC" w14:textId="77777777" w:rsidR="004B2808" w:rsidRDefault="00000000">
      <w:pPr>
        <w:jc w:val="both"/>
      </w:pPr>
      <w:r>
        <w:t xml:space="preserve">Les joints de dilatation subdivisent des surfaces importantes en zones de dimensions plus réduites dans le plan horizontal pour éviter que les mouvements horizontaux dus à la dilatation thermique ou </w:t>
      </w:r>
      <w:r>
        <w:lastRenderedPageBreak/>
        <w:t>au retrait (hydraulique ou de séchage) de l’ouvrage n’atteignent des valeurs excessives et provoquent des tensions susceptibles d’entraîner une fissuration.</w:t>
      </w:r>
    </w:p>
    <w:p w14:paraId="5907EE09" w14:textId="77777777" w:rsidR="004B2808" w:rsidRDefault="00000000">
      <w:pPr>
        <w:jc w:val="both"/>
      </w:pPr>
      <w:r>
        <w:t>Cependant, leur éventuelle nécessité est déterminée par le mode de mise en œuvre de la chape.</w:t>
      </w:r>
    </w:p>
    <w:p w14:paraId="2043A331" w14:textId="77777777" w:rsidR="004B2808" w:rsidRDefault="00000000">
      <w:pPr>
        <w:jc w:val="both"/>
      </w:pPr>
      <w:r>
        <w:t>En cas de chape adhérente au support, les joints de dilatation sont inutiles et peuvent parfois même s’avérer nuisibles. En effet, les contraintes de cisaillement dans l’entourage des joints peuvent entraîner le décollement de la chape et le relèvement de ses bords.</w:t>
      </w:r>
    </w:p>
    <w:p w14:paraId="5DD8530F" w14:textId="77777777" w:rsidR="004B2808" w:rsidRDefault="00000000">
      <w:pPr>
        <w:jc w:val="both"/>
      </w:pPr>
      <w:r>
        <w:t>Dans les chapes non adhérentes ou flottantes, on prévoit des joints de dilatation en complément des joints de retrait et de désolidarisation décrits et prévus dans un autre article et ce :</w:t>
      </w:r>
    </w:p>
    <w:p w14:paraId="4EF7527F" w14:textId="77777777" w:rsidR="004B2808" w:rsidRDefault="00000000">
      <w:pPr>
        <w:pStyle w:val="Author-eListParagraph"/>
        <w:numPr>
          <w:ilvl w:val="0"/>
          <w:numId w:val="639"/>
        </w:numPr>
      </w:pPr>
      <w:r>
        <w:t>au droit des ouvertures de portes ;</w:t>
      </w:r>
    </w:p>
    <w:p w14:paraId="0124A922" w14:textId="77777777" w:rsidR="004B2808" w:rsidRDefault="00000000">
      <w:pPr>
        <w:pStyle w:val="Author-eListParagraph"/>
        <w:numPr>
          <w:ilvl w:val="0"/>
          <w:numId w:val="639"/>
        </w:numPr>
      </w:pPr>
      <w:r>
        <w:t>lorsque les surfaces d’une pièce excèdent 40 m² pour les sols chauffés et 50 m² pour ceux qui ne le sont pas ;</w:t>
      </w:r>
    </w:p>
    <w:p w14:paraId="76792C67" w14:textId="77777777" w:rsidR="004B2808" w:rsidRDefault="00000000">
      <w:pPr>
        <w:pStyle w:val="Author-eListParagraph"/>
        <w:numPr>
          <w:ilvl w:val="0"/>
          <w:numId w:val="639"/>
        </w:numPr>
      </w:pPr>
      <w:r>
        <w:t>pour les longueurs de plus de 8 m d’un seul tenant.</w:t>
      </w:r>
    </w:p>
    <w:p w14:paraId="21A96E52" w14:textId="77777777" w:rsidR="004B2808" w:rsidRDefault="00000000">
      <w:pPr>
        <w:jc w:val="both"/>
      </w:pPr>
      <w:r>
        <w:t>Si le revêtement est soumis à un trafic intense de matériel roulant, les joints sont renforcés au moyen d’un profilé métallique fixé par des goujons dans la chape proprement dite.</w:t>
      </w:r>
    </w:p>
    <w:p w14:paraId="7BFA0B63" w14:textId="77777777" w:rsidR="004B2808" w:rsidRDefault="00000000">
      <w:pPr>
        <w:pStyle w:val="pheading"/>
      </w:pPr>
      <w:r>
        <w:t>EXÉCUTION / MISE EN ŒUVRE</w:t>
      </w:r>
    </w:p>
    <w:p w14:paraId="4293DFBB" w14:textId="77777777" w:rsidR="004B2808" w:rsidRDefault="00000000">
      <w:pPr>
        <w:jc w:val="both"/>
      </w:pPr>
      <w:r>
        <w:t>Les joints sont réalisés selon un schéma d’implantation préalablement déterminé par l’entrepreneur sur base des prescriptions émises ci-avant et soumis à l’approbation de la direction du chantier.</w:t>
      </w:r>
    </w:p>
    <w:p w14:paraId="3DFAF20F" w14:textId="77777777" w:rsidR="004B2808" w:rsidRDefault="00000000">
      <w:pPr>
        <w:jc w:val="both"/>
      </w:pPr>
      <w:r>
        <w:t>Le positionnement des joints de dilatation est établi de manière à obtenir des surfaces rectangulaires dont le rapport longueur/largeur est de préférence inférieur à 2.</w:t>
      </w:r>
    </w:p>
    <w:p w14:paraId="5F24FD38" w14:textId="77777777" w:rsidR="004B2808" w:rsidRDefault="00000000">
      <w:pPr>
        <w:jc w:val="both"/>
      </w:pPr>
      <w:r>
        <w:t>Au niveau du revêtement de sol, les joints de dilatation sont terminés par la mise en œuvre d’un joint de finition de manière à :</w:t>
      </w:r>
    </w:p>
    <w:p w14:paraId="29132A08" w14:textId="77777777" w:rsidR="004B2808" w:rsidRDefault="00000000">
      <w:pPr>
        <w:pStyle w:val="Author-eListParagraph"/>
        <w:numPr>
          <w:ilvl w:val="0"/>
          <w:numId w:val="640"/>
        </w:numPr>
      </w:pPr>
      <w:r>
        <w:t>à assurer l’esthétique de l’ouvrage ;</w:t>
      </w:r>
    </w:p>
    <w:p w14:paraId="5F4042D5" w14:textId="77777777" w:rsidR="004B2808" w:rsidRDefault="00000000">
      <w:pPr>
        <w:pStyle w:val="Author-eListParagraph"/>
        <w:numPr>
          <w:ilvl w:val="0"/>
          <w:numId w:val="640"/>
        </w:numPr>
      </w:pPr>
      <w:r>
        <w:t>à reprendre les tolérances dimensionnelles des carreaux ;</w:t>
      </w:r>
    </w:p>
    <w:p w14:paraId="3F50BB9F" w14:textId="77777777" w:rsidR="004B2808" w:rsidRDefault="00000000">
      <w:pPr>
        <w:pStyle w:val="Author-eListParagraph"/>
        <w:numPr>
          <w:ilvl w:val="0"/>
          <w:numId w:val="640"/>
        </w:numPr>
      </w:pPr>
      <w:r>
        <w:t>à faciliter le nettoyage de la surface en refermant cette dernière, voire de lui conférer une résistance aux produits agressifs au moins équivalente à celle des carreaux.</w:t>
      </w:r>
    </w:p>
    <w:p w14:paraId="173A9F3A" w14:textId="77777777" w:rsidR="004B2808" w:rsidRDefault="00000000">
      <w:pPr>
        <w:jc w:val="both"/>
      </w:pPr>
      <w:r>
        <w:t>La composition des joints de finition dépend de leur largeur et de la fonction qu’ils assurent.</w:t>
      </w:r>
    </w:p>
    <w:p w14:paraId="3EFB2D17" w14:textId="77777777" w:rsidR="004B2808" w:rsidRDefault="00000000">
      <w:pPr>
        <w:jc w:val="both"/>
      </w:pPr>
      <w:r>
        <w:t>La largeur nominale des joints ne peut être inférieure à deux fois la tolérance dimensionnelle admise pour les carreaux.</w:t>
      </w:r>
    </w:p>
    <w:p w14:paraId="44FDADF6" w14:textId="77777777" w:rsidR="004B2808" w:rsidRDefault="00000000">
      <w:pPr>
        <w:jc w:val="both"/>
      </w:pPr>
      <w:r>
        <w:t>Les joints de finitions sont réalisés dès qu’il est permis de circuler sur le carrelage.</w:t>
      </w:r>
    </w:p>
    <w:p w14:paraId="530791B4" w14:textId="77777777" w:rsidR="004B2808" w:rsidRDefault="00000000">
      <w:pPr>
        <w:pStyle w:val="pheading"/>
      </w:pPr>
      <w:r>
        <w:t>DOCUMENTS DE RÉFÉRENCE</w:t>
      </w:r>
    </w:p>
    <w:p w14:paraId="646D9056" w14:textId="77777777" w:rsidR="004B2808" w:rsidRDefault="00000000">
      <w:pPr>
        <w:pStyle w:val="pheading"/>
      </w:pPr>
      <w:r>
        <w:t>- Exécution</w:t>
      </w:r>
    </w:p>
    <w:p w14:paraId="5A472D4D" w14:textId="77777777" w:rsidR="004B2808" w:rsidRDefault="00000000">
      <w:r>
        <w:t>[NIT 237, Revêtements de sol intérieurs en carreaux céramiques (remplace la NIT 137 pour les travaux de carrelage en céramique).]</w:t>
      </w:r>
    </w:p>
    <w:p w14:paraId="77A1B8B0" w14:textId="77777777" w:rsidR="004B2808" w:rsidRDefault="00000000">
      <w:pPr>
        <w:pStyle w:val="Author-eSectionHeading6Numberless"/>
      </w:pPr>
      <w:bookmarkStart w:id="773" w:name="_Toc220490923"/>
      <w:r>
        <w:t>53.63.2a Joint de dilatation réalisé in situ CCTB 01.02</w:t>
      </w:r>
      <w:bookmarkEnd w:id="773"/>
    </w:p>
    <w:p w14:paraId="1237305A" w14:textId="77777777" w:rsidR="004B2808" w:rsidRDefault="00000000">
      <w:pPr>
        <w:pStyle w:val="Author-eSectionHeading6Numberless"/>
      </w:pPr>
      <w:bookmarkStart w:id="774" w:name="_Toc220490924"/>
      <w:r>
        <w:t>53.63.2b Joint de dilatation à systèmes préfabriqués CCTB 01.02</w:t>
      </w:r>
      <w:bookmarkEnd w:id="774"/>
    </w:p>
    <w:p w14:paraId="6A469C46" w14:textId="77777777" w:rsidR="004B2808" w:rsidRDefault="00000000">
      <w:pPr>
        <w:pStyle w:val="Author-eSectionHeading5Numberless"/>
      </w:pPr>
      <w:bookmarkStart w:id="775" w:name="_Toc220490925"/>
      <w:r>
        <w:t>53.63.3 Joint de retrait CCTB 01.02</w:t>
      </w:r>
      <w:bookmarkEnd w:id="775"/>
    </w:p>
    <w:p w14:paraId="31E61062" w14:textId="77777777" w:rsidR="004B2808" w:rsidRDefault="00000000">
      <w:pPr>
        <w:pStyle w:val="Author-eSectionHeading6Numberless"/>
      </w:pPr>
      <w:bookmarkStart w:id="776" w:name="_Toc220490926"/>
      <w:r>
        <w:t>53.63.3a Joint de retrait réalisé in situ CCTB 01.02</w:t>
      </w:r>
      <w:bookmarkEnd w:id="776"/>
    </w:p>
    <w:p w14:paraId="620F491B" w14:textId="77777777" w:rsidR="004B2808" w:rsidRDefault="00000000">
      <w:pPr>
        <w:pStyle w:val="Author-eSectionHeading6Numberless"/>
      </w:pPr>
      <w:bookmarkStart w:id="777" w:name="_Toc220490927"/>
      <w:r>
        <w:t>53.63.3b Joint de retrait à systèmes préfabriqués CCTB 01.02</w:t>
      </w:r>
      <w:bookmarkEnd w:id="777"/>
    </w:p>
    <w:p w14:paraId="7F7471EA" w14:textId="77777777" w:rsidR="004B2808" w:rsidRDefault="00000000">
      <w:pPr>
        <w:pStyle w:val="Author-eSectionHeading5Numberless"/>
      </w:pPr>
      <w:bookmarkStart w:id="778" w:name="_Toc220490928"/>
      <w:r>
        <w:t>53.63.4 Joint de désolidarisation CCTB 01.02</w:t>
      </w:r>
      <w:bookmarkEnd w:id="778"/>
    </w:p>
    <w:p w14:paraId="3143076F" w14:textId="77777777" w:rsidR="004B2808" w:rsidRDefault="00000000">
      <w:pPr>
        <w:pStyle w:val="Author-eSectionHeading6Numberless"/>
      </w:pPr>
      <w:bookmarkStart w:id="779" w:name="_Toc220490929"/>
      <w:r>
        <w:t>53.63.4a Joint de désolidarisation réalisé in situ CCTB 01.02</w:t>
      </w:r>
      <w:bookmarkEnd w:id="779"/>
    </w:p>
    <w:p w14:paraId="7380F6AD" w14:textId="77777777" w:rsidR="004B2808" w:rsidRDefault="00000000">
      <w:pPr>
        <w:pStyle w:val="Author-eSectionHeading6Numberless"/>
      </w:pPr>
      <w:bookmarkStart w:id="780" w:name="_Toc220490930"/>
      <w:r>
        <w:t>53.63.4b Joint de désolidarisation à systèmes préfabriqués CCTB 01.02</w:t>
      </w:r>
      <w:bookmarkEnd w:id="780"/>
    </w:p>
    <w:p w14:paraId="35844462" w14:textId="77777777" w:rsidR="004B2808" w:rsidRDefault="00000000">
      <w:pPr>
        <w:pStyle w:val="Author-eSectionHeading4Numberless"/>
      </w:pPr>
      <w:bookmarkStart w:id="781" w:name="_Toc220490931"/>
      <w:r>
        <w:t>53.64 Etanchéisation de joints  CCTB 01.07</w:t>
      </w:r>
      <w:bookmarkEnd w:id="781"/>
    </w:p>
    <w:p w14:paraId="2E402F0E" w14:textId="77777777" w:rsidR="004B2808" w:rsidRDefault="00000000">
      <w:pPr>
        <w:pStyle w:val="pheading"/>
      </w:pPr>
      <w:r>
        <w:lastRenderedPageBreak/>
        <w:t>DESCRIPTION</w:t>
      </w:r>
    </w:p>
    <w:p w14:paraId="6F5A028D" w14:textId="77777777" w:rsidR="004B2808" w:rsidRDefault="00000000">
      <w:pPr>
        <w:pStyle w:val="pheading"/>
      </w:pPr>
      <w:r>
        <w:t>- Définition / Comprend</w:t>
      </w:r>
    </w:p>
    <w:p w14:paraId="6B20CC96" w14:textId="77777777" w:rsidR="004B2808" w:rsidRDefault="00000000">
      <w:r>
        <w:t xml:space="preserve">Renvoi au § </w:t>
      </w:r>
      <w:hyperlink w:anchor="1176" w:history="1">
        <w:r w:rsidR="004B2808">
          <w:rPr>
            <w:color w:val="0000EE"/>
          </w:rPr>
          <w:t>52 Etanchéisation et isolation des parois intérieures</w:t>
        </w:r>
      </w:hyperlink>
    </w:p>
    <w:p w14:paraId="64558FF3" w14:textId="77777777" w:rsidR="004B2808" w:rsidRDefault="00000000">
      <w:pPr>
        <w:pStyle w:val="Author-eSectionHeading4Numberless"/>
      </w:pPr>
      <w:bookmarkStart w:id="782" w:name="_Toc220490932"/>
      <w:r>
        <w:t>53.65 Finitions particulières de joints CCTB 01.02</w:t>
      </w:r>
      <w:bookmarkEnd w:id="782"/>
    </w:p>
    <w:p w14:paraId="4180480D" w14:textId="77777777" w:rsidR="004B2808" w:rsidRDefault="00000000">
      <w:pPr>
        <w:pStyle w:val="Author-eSectionHeading5Numberless"/>
      </w:pPr>
      <w:bookmarkStart w:id="783" w:name="_Toc220490933"/>
      <w:r>
        <w:t>53.65.1 Couvre-joints CCTB 01.02</w:t>
      </w:r>
      <w:bookmarkEnd w:id="783"/>
    </w:p>
    <w:p w14:paraId="7158EE57" w14:textId="77777777" w:rsidR="004B2808" w:rsidRDefault="00000000">
      <w:pPr>
        <w:pStyle w:val="Author-eSectionHeading6Numberless"/>
      </w:pPr>
      <w:bookmarkStart w:id="784" w:name="_Toc220490934"/>
      <w:r>
        <w:t>53.65.1a Couvre-joints CCTB 01.02</w:t>
      </w:r>
      <w:bookmarkEnd w:id="784"/>
    </w:p>
    <w:p w14:paraId="7BBC74B7" w14:textId="77777777" w:rsidR="004B2808" w:rsidRDefault="00000000">
      <w:pPr>
        <w:pStyle w:val="Author-eSectionHeading5Numberless"/>
      </w:pPr>
      <w:bookmarkStart w:id="785" w:name="_Toc220490935"/>
      <w:r>
        <w:t>53.65.2 Systèmes de finition de joints CCTB 01.02</w:t>
      </w:r>
      <w:bookmarkEnd w:id="785"/>
    </w:p>
    <w:p w14:paraId="07D68D17" w14:textId="77777777" w:rsidR="004B2808" w:rsidRDefault="00000000">
      <w:pPr>
        <w:pStyle w:val="Author-eSectionHeading6Numberless"/>
      </w:pPr>
      <w:bookmarkStart w:id="786" w:name="_Toc220490936"/>
      <w:r>
        <w:t>53.65.2a Système de finition de joints de structure CCTB 01.02</w:t>
      </w:r>
      <w:bookmarkEnd w:id="786"/>
    </w:p>
    <w:p w14:paraId="4CEF6187" w14:textId="77777777" w:rsidR="004B2808" w:rsidRDefault="00000000">
      <w:pPr>
        <w:pStyle w:val="Author-eSectionHeading6Numberless"/>
      </w:pPr>
      <w:bookmarkStart w:id="787" w:name="_Toc220490937"/>
      <w:r>
        <w:t>53.65.2b Système de finition de joints de fractionnement CCTB 01.02</w:t>
      </w:r>
      <w:bookmarkEnd w:id="787"/>
    </w:p>
    <w:p w14:paraId="167D5E66" w14:textId="77777777" w:rsidR="004B2808" w:rsidRDefault="00000000">
      <w:pPr>
        <w:pStyle w:val="Author-eSectionHeading6Numberless"/>
      </w:pPr>
      <w:bookmarkStart w:id="788" w:name="_Toc220490938"/>
      <w:r>
        <w:t>53.65.2c Système de finition de joints imperméable CCTB 01.02</w:t>
      </w:r>
      <w:bookmarkEnd w:id="788"/>
    </w:p>
    <w:p w14:paraId="629B272D" w14:textId="77777777" w:rsidR="004B2808" w:rsidRDefault="00000000">
      <w:pPr>
        <w:pStyle w:val="Author-eSectionHeading4Numberless"/>
      </w:pPr>
      <w:bookmarkStart w:id="789" w:name="_Toc220490939"/>
      <w:r>
        <w:t>53.66 Profils et cadres CCTB 01.02</w:t>
      </w:r>
      <w:bookmarkEnd w:id="789"/>
    </w:p>
    <w:p w14:paraId="753AC50F" w14:textId="77777777" w:rsidR="004B2808" w:rsidRDefault="00000000">
      <w:pPr>
        <w:pStyle w:val="Author-eSectionHeading5Numberless"/>
      </w:pPr>
      <w:bookmarkStart w:id="790" w:name="_Toc220490940"/>
      <w:r>
        <w:t>53.66.1 Profils de désolidarisation CCTB 01.02</w:t>
      </w:r>
      <w:bookmarkEnd w:id="790"/>
    </w:p>
    <w:p w14:paraId="6AA6B6E0" w14:textId="77777777" w:rsidR="004B2808" w:rsidRDefault="00000000">
      <w:pPr>
        <w:pStyle w:val="Author-eSectionHeading6Numberless"/>
      </w:pPr>
      <w:bookmarkStart w:id="791" w:name="_Toc220490941"/>
      <w:r>
        <w:t>53.66.1a Profils de désolidarisation CCTB 01.10</w:t>
      </w:r>
      <w:bookmarkEnd w:id="791"/>
    </w:p>
    <w:p w14:paraId="18C294E8" w14:textId="77777777" w:rsidR="004B2808" w:rsidRDefault="00000000">
      <w:pPr>
        <w:pStyle w:val="pheading"/>
      </w:pPr>
      <w:r>
        <w:t>DESCRIPTION</w:t>
      </w:r>
    </w:p>
    <w:p w14:paraId="7BD74079" w14:textId="77777777" w:rsidR="004B2808" w:rsidRDefault="00000000">
      <w:pPr>
        <w:pStyle w:val="pheading"/>
      </w:pPr>
      <w:r>
        <w:t>- Définition / Comprend</w:t>
      </w:r>
    </w:p>
    <w:p w14:paraId="0BD16B01" w14:textId="77777777" w:rsidR="004B2808" w:rsidRDefault="00000000">
      <w:r>
        <w:t>Il s'agit des profils de désolidarisation à appliquer au droit de la transition entre deux matériaux de revêtement de sol (différents) : par ex. revêtement de sol souple / carrelages et/ou aux endroits où il n'y a pas entre-portes prévus.</w:t>
      </w:r>
    </w:p>
    <w:p w14:paraId="7C02C161" w14:textId="77777777" w:rsidR="004B2808" w:rsidRDefault="00000000">
      <w:pPr>
        <w:pStyle w:val="pheading"/>
      </w:pPr>
      <w:r>
        <w:t>MATÉRIAUX</w:t>
      </w:r>
    </w:p>
    <w:p w14:paraId="10C1930A" w14:textId="77777777" w:rsidR="004B2808" w:rsidRDefault="00000000">
      <w:pPr>
        <w:pStyle w:val="pheading"/>
      </w:pPr>
      <w:r>
        <w:t>- Caractéristiques générales</w:t>
      </w:r>
    </w:p>
    <w:p w14:paraId="6D329037" w14:textId="77777777" w:rsidR="004B2808" w:rsidRDefault="00000000">
      <w:r>
        <w:t>Les profils de désolidarisation se composent de:</w:t>
      </w:r>
    </w:p>
    <w:p w14:paraId="47D386EA" w14:textId="77777777" w:rsidR="004B2808" w:rsidRDefault="00000000">
      <w:pPr>
        <w:ind w:left="454"/>
      </w:pPr>
      <w:r>
        <w:rPr>
          <w:b/>
        </w:rPr>
        <w:t>Choix opéré</w:t>
      </w:r>
      <w:r>
        <w:t xml:space="preserve"> : </w:t>
      </w:r>
      <w:r>
        <w:rPr>
          <w:rStyle w:val="optioncarChar"/>
        </w:rPr>
        <w:t>*** / OPTION 1 (profil L)</w:t>
      </w:r>
      <w:r>
        <w:t> (par défaut)</w:t>
      </w:r>
      <w:r>
        <w:rPr>
          <w:rStyle w:val="optioncarChar"/>
        </w:rPr>
        <w:t xml:space="preserve"> / OPTION 2 </w:t>
      </w:r>
    </w:p>
    <w:p w14:paraId="18EB9F71" w14:textId="77777777" w:rsidR="004B2808" w:rsidRDefault="00000000">
      <w:pPr>
        <w:ind w:left="454"/>
      </w:pPr>
      <w:r>
        <w:rPr>
          <w:b/>
        </w:rPr>
        <w:t>***OPTION 1 (par défaut)</w:t>
      </w:r>
      <w:r>
        <w:t xml:space="preserve"> : un profil en L étiré, destiné à être intégré dans le revêtement de sol. La bride horizontale sur l'aire de pose a une épaisseur maximale de </w:t>
      </w:r>
      <w:r>
        <w:rPr>
          <w:rStyle w:val="optioncarChar"/>
        </w:rPr>
        <w:t>1</w:t>
      </w:r>
      <w:r>
        <w:t> (par défaut)</w:t>
      </w:r>
      <w:r>
        <w:rPr>
          <w:rStyle w:val="optioncarChar"/>
        </w:rPr>
        <w:t> / ***</w:t>
      </w:r>
      <w:r>
        <w:t xml:space="preserve">  mm et est pourvue de perforations pour améliorer l'adhérence au revêtement de sol. La hauteur est fonction du revêtement. La face vue présente  une largeur de </w:t>
      </w:r>
      <w:r>
        <w:rPr>
          <w:rStyle w:val="optioncarChar"/>
        </w:rPr>
        <w:t>3 à 4</w:t>
      </w:r>
      <w:r>
        <w:t> (par défaut) </w:t>
      </w:r>
      <w:r>
        <w:rPr>
          <w:rStyle w:val="optioncarChar"/>
        </w:rPr>
        <w:t>/ ***</w:t>
      </w:r>
      <w:r>
        <w:t> mm.</w:t>
      </w:r>
      <w:r>
        <w:br/>
      </w:r>
      <w:r>
        <w:rPr>
          <w:b/>
        </w:rPr>
        <w:t>***OPTION 2</w:t>
      </w:r>
      <w:r>
        <w:t xml:space="preserve"> :   </w:t>
      </w:r>
      <w:r>
        <w:rPr>
          <w:rStyle w:val="optioncarChar"/>
        </w:rPr>
        <w:t>***</w:t>
      </w:r>
    </w:p>
    <w:p w14:paraId="22508320" w14:textId="77777777" w:rsidR="004B2808" w:rsidRDefault="00000000">
      <w:pPr>
        <w:pStyle w:val="heading"/>
      </w:pPr>
      <w:r>
        <w:t>Spécifications</w:t>
      </w:r>
    </w:p>
    <w:p w14:paraId="05C32AA3" w14:textId="77777777" w:rsidR="004B2808" w:rsidRDefault="00000000">
      <w:pPr>
        <w:pStyle w:val="Author-eListParagraph"/>
        <w:numPr>
          <w:ilvl w:val="0"/>
          <w:numId w:val="641"/>
        </w:numPr>
      </w:pPr>
      <w:r>
        <w:t xml:space="preserve">Matériau : </w:t>
      </w:r>
      <w:r>
        <w:rPr>
          <w:rStyle w:val="optioncarChar"/>
        </w:rPr>
        <w:t>laiton </w:t>
      </w:r>
      <w:r>
        <w:t>(par défaut)</w:t>
      </w:r>
      <w:r>
        <w:rPr>
          <w:rStyle w:val="optioncarChar"/>
        </w:rPr>
        <w:t xml:space="preserve"> / inox (18\8) / aluminium / PVC / nylon / ***</w:t>
      </w:r>
    </w:p>
    <w:p w14:paraId="2B4751AF" w14:textId="77777777" w:rsidR="004B2808" w:rsidRDefault="00000000">
      <w:pPr>
        <w:pStyle w:val="Author-eListParagraph"/>
        <w:numPr>
          <w:ilvl w:val="0"/>
          <w:numId w:val="641"/>
        </w:numPr>
      </w:pPr>
      <w:r>
        <w:t xml:space="preserve">Epaisseur des profils : minimum </w:t>
      </w:r>
      <w:r>
        <w:rPr>
          <w:rStyle w:val="optioncarChar"/>
        </w:rPr>
        <w:t xml:space="preserve">*** </w:t>
      </w:r>
      <w:r>
        <w:t>mm.</w:t>
      </w:r>
    </w:p>
    <w:p w14:paraId="6A156F54" w14:textId="77777777" w:rsidR="004B2808" w:rsidRDefault="00000000">
      <w:pPr>
        <w:pStyle w:val="Author-eListParagraph"/>
        <w:numPr>
          <w:ilvl w:val="0"/>
          <w:numId w:val="641"/>
        </w:numPr>
      </w:pPr>
      <w:r>
        <w:t xml:space="preserve">Finition : </w:t>
      </w:r>
      <w:r>
        <w:rPr>
          <w:rStyle w:val="optioncarChar"/>
        </w:rPr>
        <w:t>polie</w:t>
      </w:r>
      <w:r>
        <w:t> (par défaut)</w:t>
      </w:r>
      <w:r>
        <w:rPr>
          <w:rStyle w:val="optioncarChar"/>
        </w:rPr>
        <w:t xml:space="preserve"> / brossée / ***</w:t>
      </w:r>
    </w:p>
    <w:p w14:paraId="535CD1AA" w14:textId="77777777" w:rsidR="004B2808" w:rsidRDefault="00000000">
      <w:pPr>
        <w:pStyle w:val="pheading"/>
      </w:pPr>
      <w:r>
        <w:t>EXÉCUTION / MISE EN ŒUVRE</w:t>
      </w:r>
    </w:p>
    <w:p w14:paraId="2AE45308" w14:textId="77777777" w:rsidR="004B2808" w:rsidRDefault="00000000">
      <w:pPr>
        <w:pStyle w:val="pheading"/>
      </w:pPr>
      <w:r>
        <w:t>- Prescriptions générales</w:t>
      </w:r>
    </w:p>
    <w:p w14:paraId="14521F71" w14:textId="77777777" w:rsidR="004B2808" w:rsidRDefault="00000000">
      <w:r>
        <w:t>Les profils de désolidarisation sont fixés sur ou dans l'aire de pose. La face supérieure du profil se situe dans le plan de la face vue du revêtement de sol. Pour les carrelages, les profils de désolidarisation sont posés à une distance égale au joint normal du carrelage. Après la mise en œuvre, tous les déchets de colle ou de mortier sont immédiatement enlevés.  </w:t>
      </w:r>
    </w:p>
    <w:p w14:paraId="2D8CFB1B" w14:textId="77777777" w:rsidR="004B2808" w:rsidRDefault="00000000">
      <w:pPr>
        <w:pStyle w:val="pheading"/>
      </w:pPr>
      <w:r>
        <w:t>- Notes d’exécution complémentaires</w:t>
      </w:r>
    </w:p>
    <w:p w14:paraId="148A1879" w14:textId="77777777" w:rsidR="004B2808" w:rsidRDefault="00000000">
      <w:r>
        <w:t xml:space="preserve">Le profil se situe exactement </w:t>
      </w:r>
      <w:r>
        <w:rPr>
          <w:rStyle w:val="optioncarChar"/>
        </w:rPr>
        <w:t>sous la feuille de porte</w:t>
      </w:r>
      <w:r>
        <w:t> (par défaut)</w:t>
      </w:r>
      <w:r>
        <w:rPr>
          <w:rStyle w:val="optioncarChar"/>
        </w:rPr>
        <w:t>  / ***</w:t>
      </w:r>
      <w:r>
        <w:t>.</w:t>
      </w:r>
    </w:p>
    <w:p w14:paraId="10D98F62" w14:textId="77777777" w:rsidR="004B2808" w:rsidRDefault="00000000">
      <w:pPr>
        <w:pStyle w:val="pheading"/>
      </w:pPr>
      <w:r>
        <w:lastRenderedPageBreak/>
        <w:t>MESURAGE</w:t>
      </w:r>
    </w:p>
    <w:p w14:paraId="055E69A3" w14:textId="77777777" w:rsidR="004B2808" w:rsidRDefault="00000000">
      <w:r>
        <w:t>Conformément aux indications spécifiques dans le cahier spécial des charges et/ou le métré récapitulatif, le mesurage doit être conçu comme suit :</w:t>
      </w:r>
    </w:p>
    <w:p w14:paraId="12074D30" w14:textId="77777777" w:rsidR="004B2808" w:rsidRDefault="00000000">
      <w:pPr>
        <w:pStyle w:val="pheading"/>
      </w:pPr>
      <w:r>
        <w:t>- unité de mesure:</w:t>
      </w:r>
    </w:p>
    <w:p w14:paraId="3D28DC0A" w14:textId="77777777" w:rsidR="004B2808" w:rsidRDefault="00000000">
      <w:r>
        <w:rPr>
          <w:rStyle w:val="optioncarChar"/>
        </w:rPr>
        <w:t xml:space="preserve">- </w:t>
      </w:r>
      <w:r>
        <w:t>(par défaut)</w:t>
      </w:r>
      <w:r>
        <w:rPr>
          <w:rStyle w:val="optioncarChar"/>
        </w:rPr>
        <w:t xml:space="preserve"> / m</w:t>
      </w:r>
    </w:p>
    <w:p w14:paraId="638E4EE9" w14:textId="77777777" w:rsidR="004B2808" w:rsidRDefault="00000000">
      <w:pPr>
        <w:pStyle w:val="pheading"/>
      </w:pPr>
      <w:r>
        <w:t>- code de mesurage:</w:t>
      </w:r>
    </w:p>
    <w:p w14:paraId="65763455" w14:textId="77777777" w:rsidR="004B2808" w:rsidRDefault="00000000">
      <w:r>
        <w:rPr>
          <w:rStyle w:val="optioncarChar"/>
        </w:rPr>
        <w:t xml:space="preserve">*** / compris dans le prix du revêtement de sol </w:t>
      </w:r>
      <w:r>
        <w:t xml:space="preserve">(par défaut) </w:t>
      </w:r>
      <w:r>
        <w:rPr>
          <w:rStyle w:val="optioncarChar"/>
        </w:rPr>
        <w:t>/ longueur nette à exécuter</w:t>
      </w:r>
    </w:p>
    <w:p w14:paraId="02C28C1B" w14:textId="77777777" w:rsidR="004B2808" w:rsidRDefault="00000000">
      <w:pPr>
        <w:pStyle w:val="pheading"/>
      </w:pPr>
      <w:r>
        <w:t>- nature du marché:</w:t>
      </w:r>
    </w:p>
    <w:p w14:paraId="7C859882" w14:textId="77777777" w:rsidR="004B2808" w:rsidRDefault="00000000">
      <w:r>
        <w:rPr>
          <w:rStyle w:val="optioncarChar"/>
        </w:rPr>
        <w:t>*** / PM</w:t>
      </w:r>
      <w:r>
        <w:t xml:space="preserve"> (par défaut)</w:t>
      </w:r>
      <w:r>
        <w:rPr>
          <w:rStyle w:val="optioncarChar"/>
        </w:rPr>
        <w:t xml:space="preserve"> / QF / QP</w:t>
      </w:r>
    </w:p>
    <w:p w14:paraId="2C38B5FB" w14:textId="77777777" w:rsidR="004B2808" w:rsidRDefault="00000000">
      <w:pPr>
        <w:pStyle w:val="Author-eSectionHeading5Numberless"/>
      </w:pPr>
      <w:bookmarkStart w:id="792" w:name="_Toc220490942"/>
      <w:r>
        <w:t>53.66.2 Cadres pour paillassons CCTB 01.12</w:t>
      </w:r>
      <w:bookmarkEnd w:id="792"/>
    </w:p>
    <w:p w14:paraId="16AA273E" w14:textId="77777777" w:rsidR="004B2808" w:rsidRDefault="00000000">
      <w:pPr>
        <w:pStyle w:val="pheading"/>
      </w:pPr>
      <w:r>
        <w:t>DESCRIPTION</w:t>
      </w:r>
    </w:p>
    <w:p w14:paraId="18B02CD3" w14:textId="77777777" w:rsidR="004B2808" w:rsidRDefault="00000000">
      <w:pPr>
        <w:pStyle w:val="pheading"/>
      </w:pPr>
      <w:r>
        <w:t>- Définition / Comprend</w:t>
      </w:r>
    </w:p>
    <w:p w14:paraId="39B45014" w14:textId="77777777" w:rsidR="004B2808" w:rsidRDefault="00000000">
      <w:r>
        <w:t>Il s'agit des cadres permettant de créer un encaissement et d'accueillir un paillasson de niveau avec le revêtement de sol avoisinant.</w:t>
      </w:r>
    </w:p>
    <w:p w14:paraId="5570D64C" w14:textId="77777777" w:rsidR="004B2808" w:rsidRDefault="00000000">
      <w:r>
        <w:t>L'éventuel siphon de sol est décrit et comptabilisé séparément au 17.33.1 Siphons de sol.</w:t>
      </w:r>
    </w:p>
    <w:p w14:paraId="64DA02F0" w14:textId="77777777" w:rsidR="004B2808" w:rsidRDefault="00000000">
      <w:pPr>
        <w:ind w:left="750"/>
      </w:pPr>
      <w:r>
        <w:t> </w:t>
      </w:r>
    </w:p>
    <w:p w14:paraId="1AAFAF85" w14:textId="77777777" w:rsidR="004B2808" w:rsidRDefault="00000000">
      <w:pPr>
        <w:pStyle w:val="pheading"/>
      </w:pPr>
      <w:r>
        <w:t>MATÉRIAUX</w:t>
      </w:r>
    </w:p>
    <w:p w14:paraId="60ED3E3B" w14:textId="77777777" w:rsidR="004B2808" w:rsidRDefault="00000000">
      <w:r>
        <w:t>Le cadre pour paillasson se compose de</w:t>
      </w:r>
      <w:r>
        <w:br/>
      </w:r>
      <w:r>
        <w:rPr>
          <w:b/>
        </w:rPr>
        <w:t>OPTION 1</w:t>
      </w:r>
      <w:r>
        <w:t> :  cornières, dont le bord supérieur est d'au moins 5 mm. Les angles sont coupés à onglet et sont pourvus de renforts. Pour la fixation, les profils sont équipés de doguets en queue d'aronde (au moins 1 sur chaque côté du cadre).</w:t>
      </w:r>
      <w:r>
        <w:br/>
      </w:r>
      <w:r>
        <w:rPr>
          <w:b/>
        </w:rPr>
        <w:t>OPTION 2</w:t>
      </w:r>
      <w:r>
        <w:t xml:space="preserve"> :  cornières destinées à être encastrées dans le revêtement de sol. La bride horizontale sur l'aire de pose présente une épaisseur maximale de 1 mm. La bride horizontale sur l'aire de pose présente une épaisseur maximale de </w:t>
      </w:r>
      <w:r>
        <w:rPr>
          <w:rStyle w:val="optioncarChar"/>
        </w:rPr>
        <w:t>1</w:t>
      </w:r>
      <w:r>
        <w:t> (par défaut) </w:t>
      </w:r>
      <w:r>
        <w:rPr>
          <w:rStyle w:val="optioncarChar"/>
        </w:rPr>
        <w:t>/ ***</w:t>
      </w:r>
      <w:r>
        <w:t xml:space="preserve"> mm et sera pourvue de perforations pour améliorer l'adhérence au revêtement de sol. La hauteur sera fonction du paillasson. La face vue présentera une largeur de </w:t>
      </w:r>
      <w:r>
        <w:rPr>
          <w:rStyle w:val="optioncarChar"/>
        </w:rPr>
        <w:t>4</w:t>
      </w:r>
      <w:r>
        <w:t> (par défaut) </w:t>
      </w:r>
      <w:r>
        <w:rPr>
          <w:rStyle w:val="optioncarChar"/>
        </w:rPr>
        <w:t>/ ***</w:t>
      </w:r>
      <w:r>
        <w:t> mm.</w:t>
      </w:r>
      <w:r>
        <w:br/>
      </w:r>
      <w:r>
        <w:rPr>
          <w:b/>
        </w:rPr>
        <w:t>Choix opéré</w:t>
      </w:r>
      <w:r>
        <w:t xml:space="preserve"> : </w:t>
      </w:r>
      <w:r>
        <w:rPr>
          <w:rStyle w:val="optioncarChar"/>
        </w:rPr>
        <w:t>OPTION 1 (bord) </w:t>
      </w:r>
      <w:r>
        <w:t>(par défaut)</w:t>
      </w:r>
      <w:r>
        <w:rPr>
          <w:rStyle w:val="optioncarChar"/>
        </w:rPr>
        <w:t xml:space="preserve"> / OPTION 2 (à encastrer)</w:t>
      </w:r>
    </w:p>
    <w:p w14:paraId="08795120" w14:textId="77777777" w:rsidR="004B2808" w:rsidRDefault="00000000">
      <w:pPr>
        <w:pStyle w:val="heading"/>
      </w:pPr>
      <w:r>
        <w:t>Spécifications</w:t>
      </w:r>
    </w:p>
    <w:p w14:paraId="3129FD7C" w14:textId="77777777" w:rsidR="004B2808" w:rsidRDefault="00000000">
      <w:pPr>
        <w:pStyle w:val="Author-eListParagraph"/>
        <w:numPr>
          <w:ilvl w:val="0"/>
          <w:numId w:val="642"/>
        </w:numPr>
      </w:pPr>
      <w:r>
        <w:t xml:space="preserve">Matériau : </w:t>
      </w:r>
      <w:r>
        <w:rPr>
          <w:rStyle w:val="optioncarChar"/>
        </w:rPr>
        <w:t>laiton</w:t>
      </w:r>
      <w:r>
        <w:t xml:space="preserve"> (par défaut) </w:t>
      </w:r>
      <w:r>
        <w:rPr>
          <w:rStyle w:val="optioncarChar"/>
        </w:rPr>
        <w:t>/ inox (18\8) / aluminium / ***</w:t>
      </w:r>
    </w:p>
    <w:p w14:paraId="32EE551D" w14:textId="77777777" w:rsidR="004B2808" w:rsidRDefault="00000000">
      <w:pPr>
        <w:pStyle w:val="Author-eListParagraph"/>
        <w:numPr>
          <w:ilvl w:val="0"/>
          <w:numId w:val="642"/>
        </w:numPr>
      </w:pPr>
      <w:r>
        <w:t xml:space="preserve">Epaisseur des profils : minimum </w:t>
      </w:r>
      <w:r>
        <w:rPr>
          <w:rStyle w:val="optioncarChar"/>
        </w:rPr>
        <w:t xml:space="preserve">*** </w:t>
      </w:r>
      <w:r>
        <w:t>mm.</w:t>
      </w:r>
    </w:p>
    <w:p w14:paraId="7C4415EB" w14:textId="77777777" w:rsidR="004B2808" w:rsidRDefault="00000000">
      <w:pPr>
        <w:pStyle w:val="Author-eListParagraph"/>
        <w:numPr>
          <w:ilvl w:val="0"/>
          <w:numId w:val="642"/>
        </w:numPr>
      </w:pPr>
      <w:r>
        <w:t xml:space="preserve">Finition : </w:t>
      </w:r>
      <w:r>
        <w:rPr>
          <w:rStyle w:val="optioncarChar"/>
        </w:rPr>
        <w:t>polie </w:t>
      </w:r>
      <w:r>
        <w:t>(par défaut)</w:t>
      </w:r>
      <w:r>
        <w:rPr>
          <w:rStyle w:val="optioncarChar"/>
        </w:rPr>
        <w:t xml:space="preserve"> / brossée / ***</w:t>
      </w:r>
    </w:p>
    <w:p w14:paraId="5B09D726" w14:textId="77777777" w:rsidR="004B2808" w:rsidRDefault="00000000">
      <w:pPr>
        <w:pStyle w:val="Author-eListParagraph"/>
        <w:numPr>
          <w:ilvl w:val="0"/>
          <w:numId w:val="642"/>
        </w:numPr>
      </w:pPr>
      <w:r>
        <w:t xml:space="preserve">Dimensions : minimum </w:t>
      </w:r>
      <w:r>
        <w:rPr>
          <w:rStyle w:val="optioncarChar"/>
        </w:rPr>
        <w:t xml:space="preserve">*** </w:t>
      </w:r>
      <w:r>
        <w:t xml:space="preserve">x </w:t>
      </w:r>
      <w:r>
        <w:rPr>
          <w:rStyle w:val="optioncarChar"/>
        </w:rPr>
        <w:t xml:space="preserve">*** </w:t>
      </w:r>
      <w:r>
        <w:t>cm / les dimensions du cadre pour paillasson sont déterminées en fonction du motif de pose du carrelage et des dimensions des paillassons.</w:t>
      </w:r>
    </w:p>
    <w:p w14:paraId="238FB389" w14:textId="77777777" w:rsidR="004B2808" w:rsidRDefault="00000000">
      <w:pPr>
        <w:pStyle w:val="pheading"/>
      </w:pPr>
      <w:r>
        <w:t>EXÉCUTION / MISE EN ŒUVRE</w:t>
      </w:r>
    </w:p>
    <w:p w14:paraId="5AE7435E" w14:textId="77777777" w:rsidR="004B2808" w:rsidRDefault="00000000">
      <w:r>
        <w:t>Les cadres pour paillassons sont positionnés correctement dans le motif du revêtement de sol. Le bord supérieur du cadre doit se situer au niveau de la face vue du carrelage ou du revêtement de sol. Le cadre est positionné à la bonne hauteur et est ancré dans l'aire de pose. Pour les carrelages, les cadres sont posés à une distance égale au joint normal du carrelage. Après la mise en œuvre, tous les déchets de colle ou de mortier sont immédiatement évacués.</w:t>
      </w:r>
    </w:p>
    <w:p w14:paraId="75105A9E" w14:textId="77777777" w:rsidR="004B2808" w:rsidRDefault="00000000">
      <w:pPr>
        <w:pStyle w:val="pheading"/>
      </w:pPr>
      <w:r>
        <w:t>AIDE</w:t>
      </w:r>
    </w:p>
    <w:p w14:paraId="0F7147B4" w14:textId="77777777" w:rsidR="004B2808" w:rsidRDefault="00000000">
      <w:r>
        <w:t>Une attention particulière est portée à l’évacuation des eaux de nettoyages (placement d’une grille à cloche au point bas décrite et comptabilisée au 17.33.1 Siphons de sol.</w:t>
      </w:r>
    </w:p>
    <w:p w14:paraId="07D871E0" w14:textId="77777777" w:rsidR="004B2808" w:rsidRDefault="00000000">
      <w:r>
        <w:t>Des cuvettes préfabriquées peuvent également être décrites via le 17.33.3 Cuvettes préfabriquées pour paillassons.</w:t>
      </w:r>
    </w:p>
    <w:p w14:paraId="15955BAB" w14:textId="77777777" w:rsidR="004B2808" w:rsidRDefault="00000000">
      <w:pPr>
        <w:ind w:left="750"/>
      </w:pPr>
      <w:r>
        <w:lastRenderedPageBreak/>
        <w:t> </w:t>
      </w:r>
    </w:p>
    <w:p w14:paraId="1DEA78EE" w14:textId="77777777" w:rsidR="004B2808" w:rsidRDefault="00000000">
      <w:pPr>
        <w:pStyle w:val="Author-eSectionHeading6Numberless"/>
      </w:pPr>
      <w:bookmarkStart w:id="793" w:name="_Toc220490943"/>
      <w:r>
        <w:t>53.66.2a Cadres pour paillassons, métalliques CCTB 01.02</w:t>
      </w:r>
      <w:bookmarkEnd w:id="793"/>
    </w:p>
    <w:p w14:paraId="472DF2B7" w14:textId="77777777" w:rsidR="004B2808" w:rsidRDefault="00000000">
      <w:pPr>
        <w:pStyle w:val="Author-eSectionHeading6Numberless"/>
      </w:pPr>
      <w:bookmarkStart w:id="794" w:name="_Toc220490944"/>
      <w:r>
        <w:t>53.66.2b Cadres pour paillassons, en matériau synthétique CCTB 01.10</w:t>
      </w:r>
      <w:bookmarkEnd w:id="794"/>
    </w:p>
    <w:p w14:paraId="48C52F6C" w14:textId="77777777" w:rsidR="004B2808" w:rsidRDefault="00000000">
      <w:pPr>
        <w:pStyle w:val="pheading"/>
      </w:pPr>
      <w:r>
        <w:t>DESCRIPTION</w:t>
      </w:r>
    </w:p>
    <w:p w14:paraId="4FB90D03" w14:textId="77777777" w:rsidR="004B2808" w:rsidRDefault="00000000">
      <w:pPr>
        <w:pStyle w:val="pheading"/>
      </w:pPr>
      <w:r>
        <w:t>- Définition / Comprend</w:t>
      </w:r>
    </w:p>
    <w:p w14:paraId="09351093" w14:textId="77777777" w:rsidR="004B2808" w:rsidRDefault="00000000">
      <w:pPr>
        <w:jc w:val="both"/>
      </w:pPr>
      <w:r>
        <w:t>Il s'agit des profils d’arrêt pour cadre de paillasson à intégrer dans les revêtements de sol.</w:t>
      </w:r>
    </w:p>
    <w:p w14:paraId="53C97AC5" w14:textId="77777777" w:rsidR="004B2808" w:rsidRDefault="00000000">
      <w:pPr>
        <w:jc w:val="both"/>
      </w:pPr>
      <w:r>
        <w:t>Ce poste comprend notamment :</w:t>
      </w:r>
    </w:p>
    <w:p w14:paraId="7377A736" w14:textId="77777777" w:rsidR="004B2808" w:rsidRDefault="00000000">
      <w:pPr>
        <w:pStyle w:val="Author-eListParagraph"/>
        <w:numPr>
          <w:ilvl w:val="0"/>
          <w:numId w:val="643"/>
        </w:numPr>
        <w:jc w:val="both"/>
      </w:pPr>
      <w:r>
        <w:t>le relevé et le contrôle des cotes de hauteur respectives et des dimensions ;</w:t>
      </w:r>
    </w:p>
    <w:p w14:paraId="5056C60A" w14:textId="77777777" w:rsidR="004B2808" w:rsidRDefault="00000000">
      <w:pPr>
        <w:pStyle w:val="Author-eListParagraph"/>
        <w:numPr>
          <w:ilvl w:val="0"/>
          <w:numId w:val="643"/>
        </w:numPr>
        <w:jc w:val="both"/>
      </w:pPr>
      <w:r>
        <w:t>le contrôle et la préparation de l'aire de pose, c'est-à-dire l'enlèvement de toutes les impuretés et des parties non adhérentes ;</w:t>
      </w:r>
    </w:p>
    <w:p w14:paraId="2BF85E8D" w14:textId="77777777" w:rsidR="004B2808" w:rsidRDefault="00000000">
      <w:pPr>
        <w:pStyle w:val="Author-eListParagraph"/>
        <w:numPr>
          <w:ilvl w:val="0"/>
          <w:numId w:val="643"/>
        </w:numPr>
        <w:jc w:val="both"/>
      </w:pPr>
      <w:r>
        <w:t>l'enlèvement de toutes les aspérités et/ou l'égalisation des surfaces de sol ;</w:t>
      </w:r>
    </w:p>
    <w:p w14:paraId="725016CB" w14:textId="77777777" w:rsidR="004B2808" w:rsidRDefault="00000000">
      <w:pPr>
        <w:pStyle w:val="Author-eListParagraph"/>
        <w:numPr>
          <w:ilvl w:val="0"/>
          <w:numId w:val="643"/>
        </w:numPr>
        <w:jc w:val="both"/>
      </w:pPr>
      <w:r>
        <w:t>la fourniture et la pose des cadres proprement dits ;</w:t>
      </w:r>
    </w:p>
    <w:p w14:paraId="05876635" w14:textId="77777777" w:rsidR="004B2808" w:rsidRDefault="00000000">
      <w:pPr>
        <w:pStyle w:val="Author-eListParagraph"/>
        <w:numPr>
          <w:ilvl w:val="0"/>
          <w:numId w:val="643"/>
        </w:numPr>
        <w:jc w:val="both"/>
      </w:pPr>
      <w:r>
        <w:t>l’évacuation des déchets et le nettoyage, y compris l'enlèvement des taches de mortier ou de colle et de mortier de jointoiement.</w:t>
      </w:r>
    </w:p>
    <w:p w14:paraId="3668A77E" w14:textId="77777777" w:rsidR="004B2808" w:rsidRDefault="00000000">
      <w:pPr>
        <w:pStyle w:val="pheading"/>
      </w:pPr>
      <w:r>
        <w:t>- Localisation</w:t>
      </w:r>
    </w:p>
    <w:p w14:paraId="67EE5501" w14:textId="77777777" w:rsidR="004B2808" w:rsidRDefault="00000000">
      <w:r>
        <w:t xml:space="preserve">Les travaux sont localisés : </w:t>
      </w:r>
      <w:r>
        <w:rPr>
          <w:rStyle w:val="optioncarChar"/>
        </w:rPr>
        <w:t>***</w:t>
      </w:r>
      <w:r>
        <w:t>.</w:t>
      </w:r>
    </w:p>
    <w:p w14:paraId="3D3FE519" w14:textId="77777777" w:rsidR="004B2808" w:rsidRDefault="00000000">
      <w:r>
        <w:t>Voir plans et métrés détaillés.</w:t>
      </w:r>
    </w:p>
    <w:p w14:paraId="5744D2D6" w14:textId="77777777" w:rsidR="004B2808" w:rsidRDefault="00000000">
      <w:pPr>
        <w:pStyle w:val="pheading"/>
      </w:pPr>
      <w:r>
        <w:t>MATÉRIAUX</w:t>
      </w:r>
    </w:p>
    <w:p w14:paraId="06594505" w14:textId="77777777" w:rsidR="004B2808" w:rsidRDefault="00000000">
      <w:pPr>
        <w:pStyle w:val="pheading"/>
      </w:pPr>
      <w:r>
        <w:t>- Caractéristiques générales</w:t>
      </w:r>
    </w:p>
    <w:p w14:paraId="29B98C29" w14:textId="77777777" w:rsidR="004B2808" w:rsidRDefault="00000000">
      <w:r>
        <w:t xml:space="preserve">Matériau : </w:t>
      </w:r>
      <w:r>
        <w:rPr>
          <w:rStyle w:val="optioncarChar"/>
        </w:rPr>
        <w:t>Profilé de finition PVC rigide coloré dans la masse</w:t>
      </w:r>
      <w:r>
        <w:t xml:space="preserve"> (par défaut)</w:t>
      </w:r>
      <w:r>
        <w:rPr>
          <w:rStyle w:val="optioncarChar"/>
        </w:rPr>
        <w:t xml:space="preserve"> / ***</w:t>
      </w:r>
      <w:r>
        <w:t>.</w:t>
      </w:r>
      <w:r>
        <w:br/>
        <w:t xml:space="preserve">Forme du profilé : </w:t>
      </w:r>
      <w:r>
        <w:rPr>
          <w:rStyle w:val="optioncarChar"/>
        </w:rPr>
        <w:t>carré</w:t>
      </w:r>
      <w:r>
        <w:t xml:space="preserve"> (par défaut) </w:t>
      </w:r>
      <w:r>
        <w:rPr>
          <w:rStyle w:val="optioncarChar"/>
        </w:rPr>
        <w:t>/ droit / quart de rond / ***</w:t>
      </w:r>
      <w:r>
        <w:t>.</w:t>
      </w:r>
      <w:r>
        <w:br/>
        <w:t xml:space="preserve">Épaisseur des profils : </w:t>
      </w:r>
      <w:r>
        <w:rPr>
          <w:rStyle w:val="optioncarChar"/>
        </w:rPr>
        <w:t>en fonction de l’épaisseur du revêtement de finition</w:t>
      </w:r>
      <w:r>
        <w:t xml:space="preserve"> (par défaut)</w:t>
      </w:r>
      <w:r>
        <w:rPr>
          <w:rStyle w:val="optioncarChar"/>
        </w:rPr>
        <w:t xml:space="preserve"> / ***</w:t>
      </w:r>
      <w:r>
        <w:t>.</w:t>
      </w:r>
      <w:r>
        <w:br/>
        <w:t xml:space="preserve">Dimensions : </w:t>
      </w:r>
      <w:r>
        <w:rPr>
          <w:rStyle w:val="optioncarChar"/>
        </w:rPr>
        <w:t xml:space="preserve">les dimensions du cadre pour paillasson seront déterminées en fonction du motif de pose du carrelage et des dimensions des paillassons </w:t>
      </w:r>
      <w:r>
        <w:t xml:space="preserve">(par défaut) </w:t>
      </w:r>
      <w:r>
        <w:rPr>
          <w:rStyle w:val="optioncarChar"/>
        </w:rPr>
        <w:t>/ *** cm x *** cm</w:t>
      </w:r>
      <w:r>
        <w:t>.</w:t>
      </w:r>
    </w:p>
    <w:p w14:paraId="4E42D557" w14:textId="77777777" w:rsidR="004B2808" w:rsidRDefault="00000000">
      <w:pPr>
        <w:pStyle w:val="pheading"/>
      </w:pPr>
      <w:r>
        <w:t>EXÉCUTION / MISE EN ŒUVRE</w:t>
      </w:r>
    </w:p>
    <w:p w14:paraId="74FF3947" w14:textId="77777777" w:rsidR="004B2808" w:rsidRDefault="00000000">
      <w:pPr>
        <w:pStyle w:val="pheading"/>
      </w:pPr>
      <w:r>
        <w:t>- Prescriptions générales</w:t>
      </w:r>
    </w:p>
    <w:p w14:paraId="7E454E5A" w14:textId="77777777" w:rsidR="004B2808" w:rsidRDefault="00000000">
      <w:pPr>
        <w:jc w:val="both"/>
      </w:pPr>
      <w:r>
        <w:t>Les cadres pour paillassons sont positionnés correctement dans le motif du revêtement de sol. Le bord supérieur du cadre doit se situer au niveau de la face vue du carrelage ou du revêtement de sol. Le cadre est positionné à la bonne hauteur et est ancré dans l'aire de pose. Pour les carrelages, les cadres sont posés à une distance égale au joint normal du carrelage.</w:t>
      </w:r>
    </w:p>
    <w:p w14:paraId="43DBD2BF" w14:textId="77777777" w:rsidR="004B2808" w:rsidRDefault="00000000">
      <w:pPr>
        <w:jc w:val="both"/>
      </w:pPr>
      <w:r>
        <w:t>Après avoir appliqué le mortier à l’aide d’une spatule crantée à l’endroit où le proﬁlé est destiné à être posé, l’aile de fixation perforée de ce dernier est noyée dans le mortier, puis recouverte à nouveau de mortier, sur toute sa surface à l’aide d’une spatule crantée.</w:t>
      </w:r>
    </w:p>
    <w:p w14:paraId="6330D38F" w14:textId="77777777" w:rsidR="004B2808" w:rsidRDefault="00000000">
      <w:pPr>
        <w:jc w:val="both"/>
      </w:pPr>
      <w:r>
        <w:t>Le revêtement de sol est alors noyé dans le mortier et ajusté de sorte qu’il arrive à la hauteur de l’arête supérieure du proﬁlé. Il doit parfaitement adhérer sur toute la surface de l’aile de fixation du proﬁlé.</w:t>
      </w:r>
    </w:p>
    <w:p w14:paraId="6330FD8C" w14:textId="77777777" w:rsidR="004B2808" w:rsidRDefault="00000000">
      <w:pPr>
        <w:jc w:val="both"/>
      </w:pPr>
      <w:r>
        <w:t>Après la mise en œuvre, tous les déchets de colle ou de mortier sont immédiatement enlevés et évacués.</w:t>
      </w:r>
    </w:p>
    <w:p w14:paraId="697BD393" w14:textId="77777777" w:rsidR="004B2808" w:rsidRDefault="00000000">
      <w:pPr>
        <w:pStyle w:val="pheading"/>
      </w:pPr>
      <w:r>
        <w:t>MESURAGE</w:t>
      </w:r>
    </w:p>
    <w:p w14:paraId="4E70A7EF" w14:textId="77777777" w:rsidR="004B2808" w:rsidRDefault="00000000">
      <w:pPr>
        <w:pStyle w:val="pheading"/>
      </w:pPr>
      <w:r>
        <w:t>- unité de mesure:</w:t>
      </w:r>
    </w:p>
    <w:p w14:paraId="52E76D7D" w14:textId="77777777" w:rsidR="004B2808" w:rsidRDefault="00000000">
      <w:r>
        <w:rPr>
          <w:rStyle w:val="optioncarChar"/>
        </w:rPr>
        <w:t xml:space="preserve">- </w:t>
      </w:r>
      <w:r>
        <w:t>(par défaut)</w:t>
      </w:r>
      <w:r>
        <w:rPr>
          <w:rStyle w:val="optioncarChar"/>
        </w:rPr>
        <w:t xml:space="preserve"> / m</w:t>
      </w:r>
    </w:p>
    <w:p w14:paraId="1360434F" w14:textId="77777777" w:rsidR="004B2808" w:rsidRDefault="00000000">
      <w:r>
        <w:rPr>
          <w:b/>
          <w:i/>
        </w:rPr>
        <w:t>(Soit par défaut)</w:t>
      </w:r>
    </w:p>
    <w:p w14:paraId="6F02DA94" w14:textId="77777777" w:rsidR="004B2808" w:rsidRDefault="00000000">
      <w:r>
        <w:rPr>
          <w:rStyle w:val="soitChar"/>
        </w:rPr>
        <w:t> 1. -</w:t>
      </w:r>
    </w:p>
    <w:p w14:paraId="5B885866" w14:textId="77777777" w:rsidR="004B2808" w:rsidRDefault="00000000">
      <w:r>
        <w:rPr>
          <w:b/>
          <w:i/>
        </w:rPr>
        <w:lastRenderedPageBreak/>
        <w:t>(Soit)</w:t>
      </w:r>
    </w:p>
    <w:p w14:paraId="18B42BFB" w14:textId="77777777" w:rsidR="004B2808" w:rsidRDefault="00000000">
      <w:r>
        <w:rPr>
          <w:rStyle w:val="soitChar"/>
        </w:rPr>
        <w:t> 2. m</w:t>
      </w:r>
    </w:p>
    <w:p w14:paraId="5307F760" w14:textId="77777777" w:rsidR="004B2808" w:rsidRDefault="00000000">
      <w:pPr>
        <w:pStyle w:val="pheading"/>
      </w:pPr>
      <w:r>
        <w:t>- code de mesurage:</w:t>
      </w:r>
    </w:p>
    <w:p w14:paraId="73AA0ABE" w14:textId="77777777" w:rsidR="004B2808" w:rsidRDefault="00000000">
      <w:r>
        <w:rPr>
          <w:rStyle w:val="optioncarChar"/>
        </w:rPr>
        <w:t>Compris </w:t>
      </w:r>
      <w:r>
        <w:t>(par défaut)</w:t>
      </w:r>
      <w:r>
        <w:rPr>
          <w:rStyle w:val="optioncarChar"/>
        </w:rPr>
        <w:t xml:space="preserve"> / Longueur nette</w:t>
      </w:r>
    </w:p>
    <w:p w14:paraId="5D6B184D" w14:textId="77777777" w:rsidR="004B2808" w:rsidRDefault="00000000">
      <w:r>
        <w:rPr>
          <w:b/>
          <w:i/>
        </w:rPr>
        <w:t>(Soit par défaut)</w:t>
      </w:r>
    </w:p>
    <w:p w14:paraId="709036C9" w14:textId="77777777" w:rsidR="004B2808" w:rsidRDefault="00000000">
      <w:r>
        <w:rPr>
          <w:rStyle w:val="soitChar"/>
          <w:u w:val="single"/>
        </w:rPr>
        <w:t>1.     Compris</w:t>
      </w:r>
      <w:r>
        <w:rPr>
          <w:rStyle w:val="soitChar"/>
        </w:rPr>
        <w:t xml:space="preserve"> dans le prix du poste des revêtements de sol dans lesquels les profilés s’intègrent à l’élément</w:t>
      </w:r>
      <w:r>
        <w:rPr>
          <w:rStyle w:val="optioncarChar"/>
        </w:rPr>
        <w:t>***</w:t>
      </w:r>
    </w:p>
    <w:p w14:paraId="67929DAD" w14:textId="77777777" w:rsidR="004B2808" w:rsidRDefault="00000000">
      <w:r>
        <w:rPr>
          <w:b/>
          <w:i/>
        </w:rPr>
        <w:t>(Soit)</w:t>
      </w:r>
    </w:p>
    <w:p w14:paraId="7EB7DBF9" w14:textId="77777777" w:rsidR="004B2808" w:rsidRDefault="00000000">
      <w:r>
        <w:rPr>
          <w:rStyle w:val="soitChar"/>
          <w:u w:val="single"/>
        </w:rPr>
        <w:t>2.     Longueur nette</w:t>
      </w:r>
      <w:r>
        <w:rPr>
          <w:rStyle w:val="soitChar"/>
        </w:rPr>
        <w:t xml:space="preserve"> à exécuter, distinction faite suivant les types de profilés.</w:t>
      </w:r>
    </w:p>
    <w:p w14:paraId="6E7ECF66" w14:textId="77777777" w:rsidR="004B2808" w:rsidRDefault="00000000">
      <w:pPr>
        <w:pStyle w:val="pheading"/>
      </w:pPr>
      <w:r>
        <w:t>- nature du marché:</w:t>
      </w:r>
    </w:p>
    <w:p w14:paraId="11E76448" w14:textId="77777777" w:rsidR="004B2808" w:rsidRDefault="00000000">
      <w:r>
        <w:rPr>
          <w:rStyle w:val="optioncarChar"/>
        </w:rPr>
        <w:t xml:space="preserve">PM </w:t>
      </w:r>
      <w:r>
        <w:t>(par défaut) /</w:t>
      </w:r>
      <w:r>
        <w:rPr>
          <w:rStyle w:val="optioncarChar"/>
        </w:rPr>
        <w:t xml:space="preserve"> QF</w:t>
      </w:r>
    </w:p>
    <w:p w14:paraId="74FEEB1B" w14:textId="77777777" w:rsidR="004B2808" w:rsidRDefault="00000000">
      <w:r>
        <w:rPr>
          <w:b/>
          <w:i/>
        </w:rPr>
        <w:t>(Soit par défaut)</w:t>
      </w:r>
    </w:p>
    <w:p w14:paraId="728E598D" w14:textId="77777777" w:rsidR="004B2808" w:rsidRDefault="00000000">
      <w:r>
        <w:rPr>
          <w:rStyle w:val="soitChar"/>
        </w:rPr>
        <w:t>1.     PM</w:t>
      </w:r>
    </w:p>
    <w:p w14:paraId="5A0E620B" w14:textId="77777777" w:rsidR="004B2808" w:rsidRDefault="00000000">
      <w:r>
        <w:rPr>
          <w:b/>
          <w:i/>
        </w:rPr>
        <w:t>(Soit)</w:t>
      </w:r>
    </w:p>
    <w:p w14:paraId="74D42885" w14:textId="77777777" w:rsidR="004B2808" w:rsidRDefault="00000000">
      <w:r>
        <w:rPr>
          <w:rStyle w:val="soitChar"/>
        </w:rPr>
        <w:t>2.     QF</w:t>
      </w:r>
    </w:p>
    <w:p w14:paraId="0A235F12" w14:textId="77777777" w:rsidR="004B2808" w:rsidRDefault="00000000">
      <w:pPr>
        <w:pStyle w:val="Author-eSectionHeading4Numberless"/>
      </w:pPr>
      <w:bookmarkStart w:id="795" w:name="_Toc220490945"/>
      <w:r>
        <w:t>53.67 Paillassons CCTB 01.10</w:t>
      </w:r>
      <w:bookmarkEnd w:id="795"/>
    </w:p>
    <w:p w14:paraId="0A02E69F" w14:textId="77777777" w:rsidR="004B2808" w:rsidRDefault="00000000">
      <w:pPr>
        <w:pStyle w:val="pheading"/>
      </w:pPr>
      <w:bookmarkStart w:id="796" w:name="328"/>
      <w:bookmarkEnd w:id="796"/>
      <w:r>
        <w:t>MATÉRIAUX</w:t>
      </w:r>
    </w:p>
    <w:p w14:paraId="2C561444" w14:textId="77777777" w:rsidR="004B2808" w:rsidRDefault="00000000">
      <w:r>
        <w:t>Les paillassons sur mesure sont fabriqués en :</w:t>
      </w:r>
    </w:p>
    <w:p w14:paraId="7D543883" w14:textId="77777777" w:rsidR="004B2808" w:rsidRDefault="00000000">
      <w:pPr>
        <w:ind w:left="450"/>
      </w:pPr>
      <w:r>
        <w:rPr>
          <w:b/>
        </w:rPr>
        <w:t>Choix opéré</w:t>
      </w:r>
      <w:r>
        <w:t xml:space="preserve">: </w:t>
      </w:r>
      <w:r>
        <w:rPr>
          <w:rStyle w:val="optioncarChar"/>
        </w:rPr>
        <w:t>OPTION 1 (caoutchouc recouvert) </w:t>
      </w:r>
      <w:r>
        <w:t>(par défaut)</w:t>
      </w:r>
      <w:r>
        <w:rPr>
          <w:rStyle w:val="optioncarChar"/>
        </w:rPr>
        <w:t> / OPTION 2 (polyamide, support vinyle) / OPTION 3 (fibres de coco)  / ***</w:t>
      </w:r>
    </w:p>
    <w:p w14:paraId="2308E231" w14:textId="77777777" w:rsidR="004B2808" w:rsidRDefault="00000000">
      <w:pPr>
        <w:ind w:left="450"/>
      </w:pPr>
      <w:r>
        <w:rPr>
          <w:b/>
        </w:rPr>
        <w:t>***OPTION 1</w:t>
      </w:r>
      <w:r>
        <w:t> : bandes de caoutchouc renforcé et recouvert de fibres de nylon, séparées par des profils en PVC dur résistant. L'ensemble est maintenu par de solides fils d'acier galvanisé. Les extrémités de ces fils sont noyées dans un profil creux aux deux extrémités. Les milliers de fibres de nylon forment une surface sèche et douce. Couleur du paillasson : noir / à choisir dans la gamme standard du fabricant.</w:t>
      </w:r>
      <w:r>
        <w:br/>
      </w:r>
      <w:r>
        <w:rPr>
          <w:b/>
        </w:rPr>
        <w:t>***OPTION 2</w:t>
      </w:r>
      <w:r>
        <w:t xml:space="preserve"> : fils de polyamide de première qualité fixés sur un support en vinyle lourd, hauteur des poils environ </w:t>
      </w:r>
      <w:r>
        <w:rPr>
          <w:rStyle w:val="optioncarChar"/>
        </w:rPr>
        <w:t>7</w:t>
      </w:r>
      <w:r>
        <w:t> (par défaut)</w:t>
      </w:r>
      <w:r>
        <w:rPr>
          <w:rStyle w:val="optioncarChar"/>
        </w:rPr>
        <w:t> / ***</w:t>
      </w:r>
      <w:r>
        <w:t xml:space="preserve"> mm, texture et fils retors adaptés pour un effet brosse maximal, épaisseur totale d'au moins </w:t>
      </w:r>
      <w:r>
        <w:rPr>
          <w:rStyle w:val="optioncarChar"/>
        </w:rPr>
        <w:t>10</w:t>
      </w:r>
      <w:r>
        <w:t> (par défaut)</w:t>
      </w:r>
      <w:r>
        <w:rPr>
          <w:rStyle w:val="optioncarChar"/>
        </w:rPr>
        <w:t> / ***</w:t>
      </w:r>
      <w:r>
        <w:t> mm. Coloris : à choisir dans la gamme standard du fabricant.</w:t>
      </w:r>
      <w:r>
        <w:br/>
      </w:r>
      <w:r>
        <w:rPr>
          <w:b/>
        </w:rPr>
        <w:t>***OPTION 3</w:t>
      </w:r>
      <w:r>
        <w:t xml:space="preserve"> : fibres de coco de première qualité et résistantes à l'usure, fixées sur un support de vinyle lourd, épaisseur totale minimum </w:t>
      </w:r>
      <w:r>
        <w:rPr>
          <w:rStyle w:val="optioncarChar"/>
        </w:rPr>
        <w:t>15</w:t>
      </w:r>
      <w:r>
        <w:t> (par défaut)</w:t>
      </w:r>
      <w:r>
        <w:rPr>
          <w:rStyle w:val="optioncarChar"/>
        </w:rPr>
        <w:t> / ***</w:t>
      </w:r>
      <w:r>
        <w:t> mm.</w:t>
      </w:r>
    </w:p>
    <w:p w14:paraId="26DA3B28" w14:textId="77777777" w:rsidR="004B2808" w:rsidRDefault="00000000">
      <w:r>
        <w:t>Au préalable, une documentation technique est soumise pour approbation à l 'auteur de projet.</w:t>
      </w:r>
    </w:p>
    <w:p w14:paraId="1D1C40B4" w14:textId="77777777" w:rsidR="004B2808" w:rsidRDefault="00000000">
      <w:pPr>
        <w:pStyle w:val="heading"/>
      </w:pPr>
      <w:r>
        <w:t>Spécifications</w:t>
      </w:r>
    </w:p>
    <w:p w14:paraId="5FEB04B1" w14:textId="77777777" w:rsidR="004B2808" w:rsidRDefault="00000000">
      <w:r>
        <w:t xml:space="preserve">Epaisseur : </w:t>
      </w:r>
      <w:r>
        <w:rPr>
          <w:rStyle w:val="optioncarChar"/>
        </w:rPr>
        <w:t>18</w:t>
      </w:r>
      <w:r>
        <w:t> (par défaut)</w:t>
      </w:r>
      <w:r>
        <w:rPr>
          <w:rStyle w:val="optioncarChar"/>
        </w:rPr>
        <w:t> / ***</w:t>
      </w:r>
      <w:r>
        <w:t>  mm</w:t>
      </w:r>
    </w:p>
    <w:p w14:paraId="561FE932" w14:textId="77777777" w:rsidR="004B2808" w:rsidRDefault="00000000">
      <w:r>
        <w:t xml:space="preserve">Dimensions : </w:t>
      </w:r>
      <w:r>
        <w:rPr>
          <w:rStyle w:val="optioncarChar"/>
        </w:rPr>
        <w:t>avec un jeu de 2</w:t>
      </w:r>
      <w:r>
        <w:t> (par défaut)</w:t>
      </w:r>
      <w:r>
        <w:rPr>
          <w:rStyle w:val="optioncarChar"/>
        </w:rPr>
        <w:t xml:space="preserve"> / ***</w:t>
      </w:r>
      <w:r>
        <w:t xml:space="preserve"> mm par rapport au cadre de paillasson prévu.</w:t>
      </w:r>
    </w:p>
    <w:p w14:paraId="2141F669" w14:textId="77777777" w:rsidR="004B2808" w:rsidRDefault="00000000">
      <w:pPr>
        <w:pStyle w:val="pheading"/>
      </w:pPr>
      <w:r>
        <w:t>EXÉCUTION / MISE EN ŒUVRE</w:t>
      </w:r>
    </w:p>
    <w:p w14:paraId="7A96EC6A" w14:textId="77777777" w:rsidR="004B2808" w:rsidRDefault="00000000">
      <w:r>
        <w:t xml:space="preserve">Les paillassons sont posés dans leur cadre avant la réception provisoire et après le nettoyage du bâtiment. Les paillassons sont posés dans les cadres existants et présentent un jeu de </w:t>
      </w:r>
      <w:r>
        <w:rPr>
          <w:rStyle w:val="optioncarChar"/>
        </w:rPr>
        <w:t>2 </w:t>
      </w:r>
      <w:r>
        <w:t>(par défaut)</w:t>
      </w:r>
      <w:r>
        <w:rPr>
          <w:rStyle w:val="optioncarChar"/>
        </w:rPr>
        <w:t> / *** </w:t>
      </w:r>
      <w:r>
        <w:t xml:space="preserve"> mm par rapport aux dimensions du cadre dans les deux sens. Le niveau du tapis vient à ras du revêtement de sol attenant.</w:t>
      </w:r>
    </w:p>
    <w:p w14:paraId="0AF88949" w14:textId="77777777" w:rsidR="004B2808" w:rsidRDefault="00000000">
      <w:pPr>
        <w:pStyle w:val="Author-eSectionHeading5Numberless"/>
      </w:pPr>
      <w:bookmarkStart w:id="797" w:name="_Toc220490946"/>
      <w:r>
        <w:t>53.67.1 Paillassons en matériau naturel CCTB 01.02</w:t>
      </w:r>
      <w:bookmarkEnd w:id="797"/>
    </w:p>
    <w:p w14:paraId="7BB762D9" w14:textId="77777777" w:rsidR="004B2808" w:rsidRDefault="00000000">
      <w:pPr>
        <w:pStyle w:val="Author-eSectionHeading6Numberless"/>
      </w:pPr>
      <w:bookmarkStart w:id="798" w:name="_Toc220490947"/>
      <w:r>
        <w:t>53.67.1a Paillassons en matériau naturel - en coco CCTB 01.02</w:t>
      </w:r>
      <w:bookmarkEnd w:id="798"/>
    </w:p>
    <w:p w14:paraId="45581AEA" w14:textId="77777777" w:rsidR="004B2808" w:rsidRDefault="00000000">
      <w:pPr>
        <w:pStyle w:val="Author-eSectionHeading5Numberless"/>
      </w:pPr>
      <w:bookmarkStart w:id="799" w:name="_Toc220490948"/>
      <w:r>
        <w:lastRenderedPageBreak/>
        <w:t>53.67.2 Paillassons en matériau synthétique CCTB 01.02</w:t>
      </w:r>
      <w:bookmarkEnd w:id="799"/>
    </w:p>
    <w:p w14:paraId="600D550D" w14:textId="77777777" w:rsidR="004B2808" w:rsidRDefault="00000000">
      <w:pPr>
        <w:pStyle w:val="Author-eSectionHeading6Numberless"/>
      </w:pPr>
      <w:bookmarkStart w:id="800" w:name="_Toc220490949"/>
      <w:r>
        <w:t>53.67.2a Paillassons en matériau synthétique - tapis en polypropylène CCTB 01.11</w:t>
      </w:r>
      <w:bookmarkEnd w:id="800"/>
    </w:p>
    <w:p w14:paraId="7A84CFF3" w14:textId="77777777" w:rsidR="004B2808" w:rsidRDefault="00000000">
      <w:pPr>
        <w:pStyle w:val="pheading"/>
      </w:pPr>
      <w:r>
        <w:t>DESCRIPTION</w:t>
      </w:r>
    </w:p>
    <w:p w14:paraId="542AA39F" w14:textId="77777777" w:rsidR="004B2808" w:rsidRDefault="00000000">
      <w:pPr>
        <w:pStyle w:val="pheading"/>
      </w:pPr>
      <w:r>
        <w:t>- Définition / Comprend</w:t>
      </w:r>
    </w:p>
    <w:p w14:paraId="02D3FED4" w14:textId="77777777" w:rsidR="004B2808" w:rsidRDefault="00000000">
      <w:r>
        <w:t>Il s'agit de prescriptions pour la fourniture et pose de paillassons en polypropylène.</w:t>
      </w:r>
    </w:p>
    <w:p w14:paraId="19E3CC5B" w14:textId="77777777" w:rsidR="004B2808" w:rsidRDefault="00000000">
      <w:r>
        <w:t>Ce poste comprend notamment :</w:t>
      </w:r>
    </w:p>
    <w:p w14:paraId="53238186" w14:textId="77777777" w:rsidR="004B2808" w:rsidRDefault="00000000">
      <w:pPr>
        <w:pStyle w:val="Author-eListParagraph"/>
        <w:numPr>
          <w:ilvl w:val="0"/>
          <w:numId w:val="644"/>
        </w:numPr>
      </w:pPr>
      <w:r>
        <w:t>le contrôle des mesures et l’épaisseur disponible pour les paillassons ;</w:t>
      </w:r>
    </w:p>
    <w:p w14:paraId="142CC095" w14:textId="77777777" w:rsidR="004B2808" w:rsidRDefault="00000000">
      <w:pPr>
        <w:pStyle w:val="Author-eListParagraph"/>
        <w:numPr>
          <w:ilvl w:val="0"/>
          <w:numId w:val="644"/>
        </w:numPr>
      </w:pPr>
      <w:r>
        <w:t>la fourniture et pose proprement dite des paillassons.</w:t>
      </w:r>
    </w:p>
    <w:p w14:paraId="13E4D1DF" w14:textId="77777777" w:rsidR="004B2808" w:rsidRDefault="00000000">
      <w:pPr>
        <w:pStyle w:val="pheading"/>
      </w:pPr>
      <w:r>
        <w:t>- Localisation</w:t>
      </w:r>
    </w:p>
    <w:p w14:paraId="4C542543" w14:textId="77777777" w:rsidR="004B2808" w:rsidRDefault="00000000">
      <w:r>
        <w:t xml:space="preserve">Les travaux sont localisés : </w:t>
      </w:r>
      <w:r>
        <w:rPr>
          <w:rStyle w:val="optioncarChar"/>
        </w:rPr>
        <w:t>***</w:t>
      </w:r>
      <w:r>
        <w:t>.</w:t>
      </w:r>
    </w:p>
    <w:p w14:paraId="53265F98" w14:textId="77777777" w:rsidR="004B2808" w:rsidRDefault="00000000">
      <w:r>
        <w:t>Voir plans et métrés détaillés.</w:t>
      </w:r>
    </w:p>
    <w:p w14:paraId="022E2569" w14:textId="77777777" w:rsidR="004B2808" w:rsidRDefault="00000000">
      <w:pPr>
        <w:pStyle w:val="pheading"/>
      </w:pPr>
      <w:r>
        <w:t>MATÉRIAUX</w:t>
      </w:r>
    </w:p>
    <w:p w14:paraId="3F5DE2CB" w14:textId="77777777" w:rsidR="004B2808" w:rsidRDefault="00000000">
      <w:pPr>
        <w:pStyle w:val="pheading"/>
      </w:pPr>
      <w:r>
        <w:t>- Caractéristiques générales</w:t>
      </w:r>
    </w:p>
    <w:p w14:paraId="0FD261B0" w14:textId="77777777" w:rsidR="004B2808" w:rsidRDefault="00000000">
      <w:r>
        <w:rPr>
          <w:b/>
          <w:i/>
        </w:rPr>
        <w:t>Fibres</w:t>
      </w:r>
    </w:p>
    <w:p w14:paraId="14FA628D" w14:textId="77777777" w:rsidR="004B2808" w:rsidRDefault="00000000">
      <w:pPr>
        <w:pStyle w:val="Author-eListParagraph"/>
        <w:numPr>
          <w:ilvl w:val="0"/>
          <w:numId w:val="645"/>
        </w:numPr>
      </w:pPr>
      <w:r>
        <w:t>Matière : polypropylène.</w:t>
      </w:r>
    </w:p>
    <w:p w14:paraId="64A364E2" w14:textId="77777777" w:rsidR="004B2808" w:rsidRDefault="00000000">
      <w:pPr>
        <w:pStyle w:val="Author-eListParagraph"/>
        <w:numPr>
          <w:ilvl w:val="0"/>
          <w:numId w:val="645"/>
        </w:numPr>
      </w:pPr>
      <w:r>
        <w:t>Imperméable.</w:t>
      </w:r>
    </w:p>
    <w:p w14:paraId="6B620BA3" w14:textId="77777777" w:rsidR="004B2808" w:rsidRDefault="00000000">
      <w:pPr>
        <w:pStyle w:val="Author-eListParagraph"/>
        <w:numPr>
          <w:ilvl w:val="0"/>
          <w:numId w:val="645"/>
        </w:numPr>
      </w:pPr>
      <w:r>
        <w:t>Pas d’accumulation d’électricité statique.</w:t>
      </w:r>
    </w:p>
    <w:p w14:paraId="2B656EBE" w14:textId="77777777" w:rsidR="004B2808" w:rsidRDefault="00000000">
      <w:pPr>
        <w:pStyle w:val="Author-eListParagraph"/>
        <w:numPr>
          <w:ilvl w:val="0"/>
          <w:numId w:val="645"/>
        </w:numPr>
      </w:pPr>
      <w:r>
        <w:t>Résistante à la saleté.</w:t>
      </w:r>
    </w:p>
    <w:p w14:paraId="6D5632AE" w14:textId="77777777" w:rsidR="004B2808" w:rsidRDefault="00000000">
      <w:pPr>
        <w:pStyle w:val="Author-eListParagraph"/>
        <w:numPr>
          <w:ilvl w:val="0"/>
          <w:numId w:val="645"/>
        </w:numPr>
      </w:pPr>
      <w:r>
        <w:t>Inaltérable.</w:t>
      </w:r>
    </w:p>
    <w:p w14:paraId="1EE33E3D" w14:textId="77777777" w:rsidR="004B2808" w:rsidRDefault="00000000">
      <w:pPr>
        <w:pStyle w:val="Author-eListParagraph"/>
        <w:numPr>
          <w:ilvl w:val="0"/>
          <w:numId w:val="645"/>
        </w:numPr>
      </w:pPr>
      <w:r>
        <w:t>Nettoyage facile.</w:t>
      </w:r>
    </w:p>
    <w:p w14:paraId="0ED77BE9" w14:textId="77777777" w:rsidR="004B2808" w:rsidRDefault="00000000">
      <w:pPr>
        <w:pStyle w:val="Author-eListParagraph"/>
        <w:numPr>
          <w:ilvl w:val="0"/>
          <w:numId w:val="645"/>
        </w:numPr>
      </w:pPr>
      <w:r>
        <w:t>Imputrescible.</w:t>
      </w:r>
    </w:p>
    <w:p w14:paraId="7BB953A3" w14:textId="77777777" w:rsidR="004B2808" w:rsidRDefault="00000000">
      <w:r>
        <w:rPr>
          <w:b/>
          <w:i/>
        </w:rPr>
        <w:t>Support dos</w:t>
      </w:r>
    </w:p>
    <w:p w14:paraId="0FCA84AF" w14:textId="77777777" w:rsidR="004B2808" w:rsidRDefault="00000000">
      <w:pPr>
        <w:pStyle w:val="Author-eListParagraph"/>
        <w:numPr>
          <w:ilvl w:val="0"/>
          <w:numId w:val="646"/>
        </w:numPr>
      </w:pPr>
      <w:r>
        <w:t>Antidérapant.</w:t>
      </w:r>
    </w:p>
    <w:p w14:paraId="6750F9C6" w14:textId="77777777" w:rsidR="004B2808" w:rsidRDefault="00000000">
      <w:pPr>
        <w:pStyle w:val="Author-eListParagraph"/>
        <w:numPr>
          <w:ilvl w:val="0"/>
          <w:numId w:val="646"/>
        </w:numPr>
      </w:pPr>
      <w:r>
        <w:t xml:space="preserve">Matière : </w:t>
      </w:r>
      <w:r>
        <w:rPr>
          <w:rStyle w:val="optioncarChar"/>
        </w:rPr>
        <w:t xml:space="preserve">caoutchouc </w:t>
      </w:r>
      <w:r>
        <w:t>(par défaut)</w:t>
      </w:r>
      <w:r>
        <w:rPr>
          <w:rStyle w:val="optioncarChar"/>
        </w:rPr>
        <w:t xml:space="preserve"> / PVC / latex naturel</w:t>
      </w:r>
    </w:p>
    <w:p w14:paraId="288B16B8" w14:textId="77777777" w:rsidR="004B2808" w:rsidRDefault="00000000">
      <w:pPr>
        <w:pStyle w:val="pheading"/>
      </w:pPr>
      <w:r>
        <w:t>- Finitions</w:t>
      </w:r>
    </w:p>
    <w:p w14:paraId="7AF358FF" w14:textId="77777777" w:rsidR="004B2808" w:rsidRDefault="00000000">
      <w:r>
        <w:t>Couleur :</w:t>
      </w:r>
      <w:r>
        <w:rPr>
          <w:rStyle w:val="optioncarChar"/>
        </w:rPr>
        <w:t xml:space="preserve"> noir </w:t>
      </w:r>
      <w:r>
        <w:t>(par défaut)</w:t>
      </w:r>
      <w:r>
        <w:rPr>
          <w:rStyle w:val="optioncarChar"/>
        </w:rPr>
        <w:t xml:space="preserve"> / anthracite / bleu / rouge / beige / brun / ***</w:t>
      </w:r>
      <w:r>
        <w:t>.</w:t>
      </w:r>
      <w:r>
        <w:br/>
        <w:t xml:space="preserve">Motifs décoratifs : </w:t>
      </w:r>
      <w:r>
        <w:rPr>
          <w:rStyle w:val="optioncarChar"/>
        </w:rPr>
        <w:t xml:space="preserve">non </w:t>
      </w:r>
      <w:r>
        <w:t>(par défaut)</w:t>
      </w:r>
      <w:r>
        <w:rPr>
          <w:rStyle w:val="optioncarChar"/>
        </w:rPr>
        <w:t xml:space="preserve"> / oui (motif : ***).</w:t>
      </w:r>
      <w:r>
        <w:br/>
        <w:t xml:space="preserve">Inscriptions : </w:t>
      </w:r>
      <w:r>
        <w:rPr>
          <w:rStyle w:val="optioncarChar"/>
        </w:rPr>
        <w:t>non</w:t>
      </w:r>
      <w:r>
        <w:t xml:space="preserve"> (par défaut) </w:t>
      </w:r>
      <w:r>
        <w:rPr>
          <w:rStyle w:val="optioncarChar"/>
        </w:rPr>
        <w:t>/ oui (texte : ***).</w:t>
      </w:r>
      <w:r>
        <w:br/>
        <w:t xml:space="preserve">Surface : </w:t>
      </w:r>
      <w:r>
        <w:rPr>
          <w:rStyle w:val="optioncarChar"/>
        </w:rPr>
        <w:t xml:space="preserve">uniforme </w:t>
      </w:r>
      <w:r>
        <w:t>(par défaut)</w:t>
      </w:r>
      <w:r>
        <w:rPr>
          <w:rStyle w:val="optioncarChar"/>
        </w:rPr>
        <w:t xml:space="preserve"> / rainurée / ***.</w:t>
      </w:r>
      <w:r>
        <w:br/>
        <w:t xml:space="preserve">Taille approximative : </w:t>
      </w:r>
      <w:r>
        <w:rPr>
          <w:rStyle w:val="optioncarChar"/>
        </w:rPr>
        <w:t>*** x *** cm.</w:t>
      </w:r>
    </w:p>
    <w:p w14:paraId="64AA2BC4" w14:textId="77777777" w:rsidR="004B2808" w:rsidRDefault="00000000">
      <w:pPr>
        <w:pStyle w:val="pheading"/>
      </w:pPr>
      <w:r>
        <w:t>- Prescriptions complémentaires</w:t>
      </w:r>
    </w:p>
    <w:p w14:paraId="6F5DE53A" w14:textId="77777777" w:rsidR="004B2808" w:rsidRDefault="00000000">
      <w:r>
        <w:rPr>
          <w:rStyle w:val="facultChar"/>
        </w:rPr>
        <w:t>Une documentation technique est soumise au préalable à l'auteur de projet pour approbation.</w:t>
      </w:r>
    </w:p>
    <w:p w14:paraId="002FD8E9" w14:textId="77777777" w:rsidR="004B2808" w:rsidRDefault="00000000">
      <w:pPr>
        <w:pStyle w:val="pheading"/>
      </w:pPr>
      <w:r>
        <w:t>EXÉCUTION / MISE EN ŒUVRE</w:t>
      </w:r>
    </w:p>
    <w:p w14:paraId="46A1196B" w14:textId="77777777" w:rsidR="004B2808" w:rsidRDefault="00000000">
      <w:pPr>
        <w:pStyle w:val="pheading"/>
      </w:pPr>
      <w:r>
        <w:t>- Prescriptions générales</w:t>
      </w:r>
    </w:p>
    <w:p w14:paraId="2D58EF3F" w14:textId="77777777" w:rsidR="004B2808" w:rsidRDefault="00000000">
      <w:r>
        <w:t>Les paillassons sont posés après le nettoyage du bâtiment et avant la réception provisoire.</w:t>
      </w:r>
    </w:p>
    <w:p w14:paraId="47DF0FCA" w14:textId="77777777" w:rsidR="004B2808" w:rsidRDefault="00000000">
      <w:r>
        <w:t xml:space="preserve">Choix du type de pose : </w:t>
      </w:r>
      <w:r>
        <w:rPr>
          <w:rStyle w:val="optioncarChar"/>
        </w:rPr>
        <w:t xml:space="preserve">sur le revêtement de sol </w:t>
      </w:r>
      <w:r>
        <w:t>(par défaut)</w:t>
      </w:r>
      <w:r>
        <w:rPr>
          <w:rStyle w:val="optioncarChar"/>
        </w:rPr>
        <w:t xml:space="preserve"> / dans les cadres prévus.</w:t>
      </w:r>
    </w:p>
    <w:p w14:paraId="536D924C" w14:textId="77777777" w:rsidR="004B2808" w:rsidRDefault="00000000">
      <w:pPr>
        <w:ind w:left="567"/>
      </w:pPr>
      <w:r>
        <w:rPr>
          <w:b/>
          <w:i/>
        </w:rPr>
        <w:t>(Soit par défaut)</w:t>
      </w:r>
    </w:p>
    <w:p w14:paraId="2D924640" w14:textId="77777777" w:rsidR="004B2808" w:rsidRDefault="00000000">
      <w:pPr>
        <w:ind w:left="567"/>
      </w:pPr>
      <w:r>
        <w:rPr>
          <w:rStyle w:val="soitChar"/>
          <w:u w:val="single"/>
        </w:rPr>
        <w:t>Sur le revêtement de sol</w:t>
      </w:r>
      <w:r>
        <w:br/>
      </w:r>
      <w:r>
        <w:rPr>
          <w:rStyle w:val="soitChar"/>
        </w:rPr>
        <w:t>Les paillassons sont posés directement sur le revêtement de sol, à proximité des portes d’entrée.</w:t>
      </w:r>
    </w:p>
    <w:p w14:paraId="5F9DDA84" w14:textId="77777777" w:rsidR="004B2808" w:rsidRDefault="00000000">
      <w:pPr>
        <w:ind w:left="567"/>
      </w:pPr>
      <w:r>
        <w:rPr>
          <w:b/>
          <w:i/>
        </w:rPr>
        <w:t>(Soit)</w:t>
      </w:r>
    </w:p>
    <w:p w14:paraId="45D4EEEB" w14:textId="77777777" w:rsidR="004B2808" w:rsidRDefault="00000000">
      <w:pPr>
        <w:ind w:left="567"/>
      </w:pPr>
      <w:r>
        <w:rPr>
          <w:rStyle w:val="soitChar"/>
          <w:u w:val="single"/>
        </w:rPr>
        <w:lastRenderedPageBreak/>
        <w:t>Dans les cadres prévus</w:t>
      </w:r>
      <w:r>
        <w:br/>
      </w:r>
      <w:r>
        <w:rPr>
          <w:rStyle w:val="soitChar"/>
        </w:rPr>
        <w:t>Les paillassons sont posés dans les cadres prévus à cet effet.</w:t>
      </w:r>
      <w:r>
        <w:br/>
      </w:r>
      <w:r>
        <w:rPr>
          <w:rStyle w:val="soitChar"/>
        </w:rPr>
        <w:t>Le niveau du tapis vient à ras du revêtement de sol attenant et présente un jeu par rapport aux dimensions du cadre.</w:t>
      </w:r>
      <w:r>
        <w:br/>
      </w:r>
      <w:r>
        <w:rPr>
          <w:rStyle w:val="soitChar"/>
        </w:rPr>
        <w:t xml:space="preserve">Jeu par rapport aux dimensions du cadre dans les deux sens : </w:t>
      </w:r>
      <w:r>
        <w:rPr>
          <w:rStyle w:val="optioncarChar"/>
        </w:rPr>
        <w:t xml:space="preserve">2 </w:t>
      </w:r>
      <w:r>
        <w:t>(par défaut)</w:t>
      </w:r>
      <w:r>
        <w:rPr>
          <w:rStyle w:val="optioncarChar"/>
        </w:rPr>
        <w:t xml:space="preserve"> / *** mm.</w:t>
      </w:r>
    </w:p>
    <w:p w14:paraId="14DE759B" w14:textId="77777777" w:rsidR="004B2808" w:rsidRDefault="00000000">
      <w:pPr>
        <w:pStyle w:val="pheading"/>
      </w:pPr>
      <w:r>
        <w:t>- Notes d’exécution complémentaires</w:t>
      </w:r>
    </w:p>
    <w:p w14:paraId="355272AE" w14:textId="77777777" w:rsidR="004B2808" w:rsidRDefault="00000000">
      <w:pPr>
        <w:jc w:val="both"/>
      </w:pPr>
      <w:r>
        <w:rPr>
          <w:rStyle w:val="facultChar"/>
        </w:rPr>
        <w:t>Le présent article comprend également :</w:t>
      </w:r>
      <w:r>
        <w:rPr>
          <w:rStyle w:val="optioncarChar"/>
        </w:rPr>
        <w:t xml:space="preserve"> un contrat d’entretien des paillassons</w:t>
      </w:r>
      <w:r>
        <w:t xml:space="preserve"> (par défaut) </w:t>
      </w:r>
      <w:r>
        <w:rPr>
          <w:rStyle w:val="optioncarChar"/>
        </w:rPr>
        <w:t>/ ***</w:t>
      </w:r>
      <w:r>
        <w:rPr>
          <w:rStyle w:val="facultChar"/>
        </w:rPr>
        <w:t>.</w:t>
      </w:r>
    </w:p>
    <w:p w14:paraId="37065FF8" w14:textId="77777777" w:rsidR="004B2808" w:rsidRDefault="00000000">
      <w:pPr>
        <w:pStyle w:val="Author-eListParagraph"/>
        <w:numPr>
          <w:ilvl w:val="0"/>
          <w:numId w:val="647"/>
        </w:numPr>
      </w:pPr>
      <w:r>
        <w:rPr>
          <w:rStyle w:val="facultChar"/>
          <w:u w:val="single"/>
        </w:rPr>
        <w:t>Contrat d’entretien des paillassons</w:t>
      </w:r>
    </w:p>
    <w:p w14:paraId="0A9C7002" w14:textId="77777777" w:rsidR="004B2808" w:rsidRDefault="00000000">
      <w:pPr>
        <w:ind w:left="567"/>
        <w:jc w:val="both"/>
      </w:pPr>
      <w:r>
        <w:rPr>
          <w:rStyle w:val="facultChar"/>
        </w:rPr>
        <w:t>La fourniture des paillassons s’accompagne d’un contrat d’entretien</w:t>
      </w:r>
      <w:r>
        <w:rPr>
          <w:rStyle w:val="optioncarChar"/>
        </w:rPr>
        <w:t xml:space="preserve"> hebdomadaire / bimensuel </w:t>
      </w:r>
      <w:r>
        <w:t>(par défaut)</w:t>
      </w:r>
      <w:r>
        <w:rPr>
          <w:rStyle w:val="optioncarChar"/>
        </w:rPr>
        <w:t xml:space="preserve"> / mensuel / ***.</w:t>
      </w:r>
    </w:p>
    <w:p w14:paraId="2E81B812" w14:textId="77777777" w:rsidR="004B2808" w:rsidRDefault="00000000">
      <w:pPr>
        <w:ind w:left="567"/>
        <w:jc w:val="both"/>
      </w:pPr>
      <w:r>
        <w:rPr>
          <w:rStyle w:val="facultChar"/>
        </w:rPr>
        <w:t>Ce contrat d’entretien est conclu directement entre l’entreprise chargée de l’entretien des paillassons et le maître de l’ouvrage, pour ne pas prolonger inutilement les relations contractuelles entre l’entrepreneur chargé des travaux et le maître d’ouvrage.</w:t>
      </w:r>
    </w:p>
    <w:p w14:paraId="417F5EFC" w14:textId="77777777" w:rsidR="004B2808" w:rsidRDefault="00000000">
      <w:pPr>
        <w:ind w:left="567"/>
        <w:jc w:val="both"/>
      </w:pPr>
      <w:r>
        <w:rPr>
          <w:rStyle w:val="facultChar"/>
        </w:rPr>
        <w:t>L’offre de prix prévoit un dédoublement des paillassons, pour avoir chaque fois un paillasson à disposition pendant que l’autre est à l’entretien. </w:t>
      </w:r>
    </w:p>
    <w:p w14:paraId="4E6BB839" w14:textId="77777777" w:rsidR="004B2808" w:rsidRDefault="00000000">
      <w:pPr>
        <w:ind w:left="567"/>
        <w:jc w:val="both"/>
      </w:pPr>
      <w:r>
        <w:rPr>
          <w:rStyle w:val="facultChar"/>
        </w:rPr>
        <w:t xml:space="preserve">Le contrat a une durée </w:t>
      </w:r>
      <w:r>
        <w:rPr>
          <w:rStyle w:val="optioncarChar"/>
        </w:rPr>
        <w:t xml:space="preserve">annuelle </w:t>
      </w:r>
      <w:r>
        <w:t xml:space="preserve">(par défaut) </w:t>
      </w:r>
      <w:r>
        <w:rPr>
          <w:rStyle w:val="optioncarChar"/>
        </w:rPr>
        <w:t>/ ***</w:t>
      </w:r>
      <w:r>
        <w:rPr>
          <w:rStyle w:val="facultChar"/>
        </w:rPr>
        <w:t>, renouvelable tacitement.</w:t>
      </w:r>
    </w:p>
    <w:p w14:paraId="158731E9" w14:textId="77777777" w:rsidR="004B2808" w:rsidRDefault="00000000">
      <w:pPr>
        <w:ind w:left="567"/>
        <w:jc w:val="both"/>
      </w:pPr>
      <w:r>
        <w:rPr>
          <w:rStyle w:val="facultChar"/>
        </w:rPr>
        <w:t>Le délai pour mettre fin au contrat est de</w:t>
      </w:r>
      <w:r>
        <w:rPr>
          <w:rStyle w:val="optioncarChar"/>
        </w:rPr>
        <w:t xml:space="preserve"> 2 </w:t>
      </w:r>
      <w:r>
        <w:t xml:space="preserve">(par défaut) </w:t>
      </w:r>
      <w:r>
        <w:rPr>
          <w:rStyle w:val="optioncarChar"/>
        </w:rPr>
        <w:t>/ ***</w:t>
      </w:r>
      <w:r>
        <w:rPr>
          <w:rStyle w:val="facultChar"/>
        </w:rPr>
        <w:t xml:space="preserve"> mois</w:t>
      </w:r>
    </w:p>
    <w:p w14:paraId="7E926AE4" w14:textId="77777777" w:rsidR="004B2808" w:rsidRDefault="00000000">
      <w:pPr>
        <w:pStyle w:val="pheading"/>
      </w:pPr>
      <w:r>
        <w:t>MESURAGE</w:t>
      </w:r>
    </w:p>
    <w:p w14:paraId="521BB652" w14:textId="77777777" w:rsidR="004B2808" w:rsidRDefault="00000000">
      <w:pPr>
        <w:pStyle w:val="pheading"/>
      </w:pPr>
      <w:r>
        <w:t>- unité de mesure:</w:t>
      </w:r>
    </w:p>
    <w:p w14:paraId="0C2E4D9F" w14:textId="77777777" w:rsidR="004B2808" w:rsidRDefault="00000000">
      <w:r>
        <w:t>pc</w:t>
      </w:r>
    </w:p>
    <w:p w14:paraId="67647A77" w14:textId="77777777" w:rsidR="004B2808" w:rsidRDefault="00000000">
      <w:pPr>
        <w:pStyle w:val="pheading"/>
      </w:pPr>
      <w:r>
        <w:t>- code de mesurage:</w:t>
      </w:r>
    </w:p>
    <w:p w14:paraId="14BB1FCB" w14:textId="77777777" w:rsidR="004B2808" w:rsidRDefault="00000000">
      <w:r>
        <w:t>Quantité nette, à ventiler suivant les modèles de paillassons (couleurs, motifs, etc.) et les dimensions, mesurées à partir des bords.</w:t>
      </w:r>
    </w:p>
    <w:p w14:paraId="69BF6C2F" w14:textId="77777777" w:rsidR="004B2808" w:rsidRDefault="00000000">
      <w:pPr>
        <w:pStyle w:val="pheading"/>
      </w:pPr>
      <w:r>
        <w:t>- nature du marché:</w:t>
      </w:r>
    </w:p>
    <w:p w14:paraId="6FA6452D" w14:textId="77777777" w:rsidR="004B2808" w:rsidRDefault="00000000">
      <w:r>
        <w:t>QF</w:t>
      </w:r>
    </w:p>
    <w:p w14:paraId="58B8C416" w14:textId="77777777" w:rsidR="004B2808" w:rsidRDefault="00000000">
      <w:pPr>
        <w:pStyle w:val="Author-eSectionHeading6Numberless"/>
      </w:pPr>
      <w:bookmarkStart w:id="801" w:name="_Toc220490950"/>
      <w:r>
        <w:t>53.67.2b Paillassons en matériau synthétique - tapis en polyamide CCTB 01.02</w:t>
      </w:r>
      <w:bookmarkEnd w:id="801"/>
    </w:p>
    <w:p w14:paraId="434759D5" w14:textId="77777777" w:rsidR="004B2808" w:rsidRDefault="00000000">
      <w:pPr>
        <w:pStyle w:val="Author-eSectionHeading6Numberless"/>
      </w:pPr>
      <w:bookmarkStart w:id="802" w:name="_Toc220490951"/>
      <w:r>
        <w:t>53.67.2c Paillassons en matériau synthétique - tapis en oléfine CCTB 01.02</w:t>
      </w:r>
      <w:bookmarkEnd w:id="802"/>
    </w:p>
    <w:p w14:paraId="234E120E" w14:textId="77777777" w:rsidR="004B2808" w:rsidRDefault="00000000">
      <w:pPr>
        <w:pStyle w:val="Author-eSectionHeading6Numberless"/>
      </w:pPr>
      <w:bookmarkStart w:id="803" w:name="_Toc220490952"/>
      <w:r>
        <w:t>53.67.2d Paillassons en matériau synthétique - tapis en caoutchouc CCTB 01.02</w:t>
      </w:r>
      <w:bookmarkEnd w:id="803"/>
    </w:p>
    <w:p w14:paraId="0517561E" w14:textId="77777777" w:rsidR="004B2808" w:rsidRDefault="00000000">
      <w:pPr>
        <w:pStyle w:val="Author-eSectionHeading5Numberless"/>
      </w:pPr>
      <w:bookmarkStart w:id="804" w:name="_Toc220490953"/>
      <w:r>
        <w:t>53.67.3 Paillassons en lattes métalliques CCTB 01.12</w:t>
      </w:r>
      <w:bookmarkEnd w:id="804"/>
    </w:p>
    <w:p w14:paraId="6B4F64C2" w14:textId="77777777" w:rsidR="004B2808" w:rsidRDefault="00000000">
      <w:pPr>
        <w:pStyle w:val="Author-eSectionHeading6Numberless"/>
      </w:pPr>
      <w:bookmarkStart w:id="805" w:name="_Toc220490954"/>
      <w:r>
        <w:t>53.67.3a Paillassons en lattes métalliques – bandes de feutre CCTB 01.12</w:t>
      </w:r>
      <w:bookmarkEnd w:id="805"/>
    </w:p>
    <w:p w14:paraId="5FD95897" w14:textId="77777777" w:rsidR="004B2808" w:rsidRDefault="00000000">
      <w:pPr>
        <w:pStyle w:val="Author-eSectionHeading6Numberless"/>
      </w:pPr>
      <w:bookmarkStart w:id="806" w:name="_Toc220490955"/>
      <w:r>
        <w:t>53.67.3b Paillassons en lattes métalliques – bandes de caoutchouc CCTB 01.12</w:t>
      </w:r>
      <w:bookmarkEnd w:id="806"/>
    </w:p>
    <w:p w14:paraId="30288B46" w14:textId="77777777" w:rsidR="004B2808" w:rsidRDefault="00000000">
      <w:pPr>
        <w:pStyle w:val="Author-eSectionHeading6Numberless"/>
      </w:pPr>
      <w:bookmarkStart w:id="807" w:name="_Toc220490956"/>
      <w:r>
        <w:t>53.67.3c Paillassons en lattes métalliques – brosses synthétiques CCTB 01.12</w:t>
      </w:r>
      <w:bookmarkEnd w:id="807"/>
    </w:p>
    <w:p w14:paraId="1E73BDEB" w14:textId="77777777" w:rsidR="004B2808" w:rsidRDefault="00000000">
      <w:pPr>
        <w:pStyle w:val="Author-eSectionHeading6Numberless"/>
      </w:pPr>
      <w:bookmarkStart w:id="808" w:name="_Toc220490957"/>
      <w:r>
        <w:t>53.67.3d Paillassons en matériau synthétique – bandes mixtes CCTB 01.12</w:t>
      </w:r>
      <w:bookmarkEnd w:id="808"/>
    </w:p>
    <w:p w14:paraId="5949B0C5" w14:textId="77777777" w:rsidR="004B2808" w:rsidRDefault="00000000">
      <w:pPr>
        <w:pStyle w:val="Author-eSectionHeading4Numberless"/>
      </w:pPr>
      <w:bookmarkStart w:id="809" w:name="_Toc220490958"/>
      <w:r>
        <w:t>53.68 Couvercles et grilles de sol CCTB 01.02</w:t>
      </w:r>
      <w:bookmarkEnd w:id="809"/>
    </w:p>
    <w:p w14:paraId="7B0F4B95" w14:textId="77777777" w:rsidR="004B2808" w:rsidRDefault="00000000">
      <w:pPr>
        <w:pStyle w:val="Author-eSectionHeading5Numberless"/>
      </w:pPr>
      <w:bookmarkStart w:id="810" w:name="_Toc220490959"/>
      <w:r>
        <w:t>53.68.1 Couvercles de sol CCTB 01.10</w:t>
      </w:r>
      <w:bookmarkEnd w:id="810"/>
    </w:p>
    <w:p w14:paraId="14D3810D" w14:textId="77777777" w:rsidR="004B2808" w:rsidRDefault="00000000">
      <w:pPr>
        <w:pStyle w:val="pheading"/>
      </w:pPr>
      <w:r>
        <w:t>DESCRIPTION</w:t>
      </w:r>
    </w:p>
    <w:p w14:paraId="110A952F" w14:textId="77777777" w:rsidR="004B2808" w:rsidRDefault="00000000">
      <w:pPr>
        <w:pStyle w:val="pheading"/>
      </w:pPr>
      <w:r>
        <w:t>- Définition / Comprend</w:t>
      </w:r>
    </w:p>
    <w:p w14:paraId="5E09EE29" w14:textId="77777777" w:rsidR="004B2808" w:rsidRDefault="00000000">
      <w:r>
        <w:t xml:space="preserve"> Il s'agit de cadres avec un couvercle amovible à intégrer dans le revêtement de sol à l'intérieur du bâtiment.</w:t>
      </w:r>
    </w:p>
    <w:p w14:paraId="3E027CAD" w14:textId="77777777" w:rsidR="004B2808" w:rsidRDefault="00000000">
      <w:pPr>
        <w:pStyle w:val="pheading"/>
      </w:pPr>
      <w:r>
        <w:t>MATÉRIAUX</w:t>
      </w:r>
    </w:p>
    <w:p w14:paraId="0075D444" w14:textId="77777777" w:rsidR="004B2808" w:rsidRDefault="00000000">
      <w:r>
        <w:lastRenderedPageBreak/>
        <w:t>Le couvercle de sol et le cadre sont fabriqués en:</w:t>
      </w:r>
    </w:p>
    <w:p w14:paraId="435CD8E5" w14:textId="77777777" w:rsidR="004B2808" w:rsidRDefault="00000000">
      <w:r>
        <w:rPr>
          <w:b/>
        </w:rPr>
        <w:t>Choix opéré</w:t>
      </w:r>
      <w:r>
        <w:t xml:space="preserve"> : </w:t>
      </w:r>
      <w:r>
        <w:rPr>
          <w:rStyle w:val="optioncarChar"/>
        </w:rPr>
        <w:t>OPTION 1 (fonte ou acier moulé) </w:t>
      </w:r>
      <w:r>
        <w:t>(par défaut)</w:t>
      </w:r>
      <w:r>
        <w:rPr>
          <w:rStyle w:val="optioncarChar"/>
        </w:rPr>
        <w:t xml:space="preserve"> / OPTION 2 (PVC) / OPTION 2 (aluminium) / OPTION 3 (acier inoxydable) / ***</w:t>
      </w:r>
    </w:p>
    <w:p w14:paraId="5BF998C4" w14:textId="77777777" w:rsidR="004B2808" w:rsidRDefault="00000000">
      <w:r>
        <w:rPr>
          <w:b/>
        </w:rPr>
        <w:t>***OPTION 1</w:t>
      </w:r>
      <w:r>
        <w:t xml:space="preserve"> : fonte ou en acier moulé et doivent répondre à la [NBN B 54-101]. Deux clés de levage sont livrées pour chaque couvercle. La fonte ou l'acier moulé sont débarrassés de toute rouille et sont enduits d'une couche de peinture au minium et, ensuite, de deux couches de peinture à base de résine alkyde. Coloris : </w:t>
      </w:r>
      <w:r>
        <w:rPr>
          <w:rStyle w:val="optioncarChar"/>
        </w:rPr>
        <w:t xml:space="preserve">*** </w:t>
      </w:r>
      <w:r>
        <w:t>La mise en peinture doit être comprise dans le prix unitaire.</w:t>
      </w:r>
      <w:r>
        <w:br/>
      </w:r>
      <w:r>
        <w:rPr>
          <w:b/>
        </w:rPr>
        <w:t>***OPTION 2</w:t>
      </w:r>
      <w:r>
        <w:t> : PVC</w:t>
      </w:r>
      <w:r>
        <w:br/>
      </w:r>
      <w:r>
        <w:rPr>
          <w:b/>
        </w:rPr>
        <w:t>***OPTION 2</w:t>
      </w:r>
      <w:r>
        <w:t> : aluminium</w:t>
      </w:r>
      <w:r>
        <w:br/>
      </w:r>
      <w:r>
        <w:rPr>
          <w:b/>
        </w:rPr>
        <w:t>***OPTION 3 </w:t>
      </w:r>
      <w:r>
        <w:t>: acier inoxydable</w:t>
      </w:r>
    </w:p>
    <w:p w14:paraId="116678C3" w14:textId="77777777" w:rsidR="004B2808" w:rsidRDefault="00000000">
      <w:pPr>
        <w:pStyle w:val="heading"/>
      </w:pPr>
      <w:r>
        <w:t>Spécifications</w:t>
      </w:r>
    </w:p>
    <w:p w14:paraId="23339759" w14:textId="77777777" w:rsidR="004B2808" w:rsidRDefault="00000000">
      <w:pPr>
        <w:pStyle w:val="Author-eListParagraph"/>
        <w:numPr>
          <w:ilvl w:val="0"/>
          <w:numId w:val="648"/>
        </w:numPr>
      </w:pPr>
      <w:r>
        <w:t xml:space="preserve">Type : </w:t>
      </w:r>
      <w:r>
        <w:rPr>
          <w:rStyle w:val="optioncarChar"/>
        </w:rPr>
        <w:t>simple </w:t>
      </w:r>
      <w:r>
        <w:t>(par défaut)</w:t>
      </w:r>
      <w:r>
        <w:rPr>
          <w:rStyle w:val="optioncarChar"/>
        </w:rPr>
        <w:t xml:space="preserve"> / couvercle à double fond / ***</w:t>
      </w:r>
    </w:p>
    <w:p w14:paraId="0D420841" w14:textId="77777777" w:rsidR="004B2808" w:rsidRDefault="00000000">
      <w:pPr>
        <w:pStyle w:val="Author-eListParagraph"/>
        <w:numPr>
          <w:ilvl w:val="0"/>
          <w:numId w:val="648"/>
        </w:numPr>
      </w:pPr>
      <w:r>
        <w:t xml:space="preserve">Classe de résistance : </w:t>
      </w:r>
      <w:r>
        <w:rPr>
          <w:rStyle w:val="optioncarChar"/>
        </w:rPr>
        <w:t>I (charge d'essai 15kN) </w:t>
      </w:r>
      <w:r>
        <w:t>(par défaut)</w:t>
      </w:r>
      <w:r>
        <w:rPr>
          <w:rStyle w:val="optioncarChar"/>
        </w:rPr>
        <w:t xml:space="preserve"> / II (charge d'essai 60 kN) / III (charge d'essai plus de 100 kN) / ***</w:t>
      </w:r>
    </w:p>
    <w:p w14:paraId="39434DB3" w14:textId="77777777" w:rsidR="004B2808" w:rsidRDefault="00000000">
      <w:pPr>
        <w:pStyle w:val="Author-eListParagraph"/>
        <w:numPr>
          <w:ilvl w:val="0"/>
          <w:numId w:val="648"/>
        </w:numPr>
      </w:pPr>
      <w:r>
        <w:t xml:space="preserve">Aspect : </w:t>
      </w:r>
      <w:r>
        <w:rPr>
          <w:rStyle w:val="optioncarChar"/>
        </w:rPr>
        <w:t>plein </w:t>
      </w:r>
      <w:r>
        <w:t>(par défaut)</w:t>
      </w:r>
      <w:r>
        <w:rPr>
          <w:rStyle w:val="optioncarChar"/>
        </w:rPr>
        <w:t xml:space="preserve"> / légèrement rainuré avec une poignée / en creux destiné à être carrelé / ***</w:t>
      </w:r>
    </w:p>
    <w:p w14:paraId="6608ACAF" w14:textId="77777777" w:rsidR="004B2808" w:rsidRDefault="00000000">
      <w:pPr>
        <w:pStyle w:val="Author-eListParagraph"/>
        <w:numPr>
          <w:ilvl w:val="0"/>
          <w:numId w:val="648"/>
        </w:numPr>
      </w:pPr>
      <w:r>
        <w:t xml:space="preserve">Dimensions extérieures de la margelle : </w:t>
      </w:r>
      <w:r>
        <w:rPr>
          <w:rStyle w:val="optioncarChar"/>
        </w:rPr>
        <w:t>15 x 15 / 20 x 20</w:t>
      </w:r>
      <w:r>
        <w:t> (par défaut)</w:t>
      </w:r>
      <w:r>
        <w:rPr>
          <w:rStyle w:val="optioncarChar"/>
        </w:rPr>
        <w:t xml:space="preserve"> / 30 x 30 / 400 x 400 / 600 x 600 / *** </w:t>
      </w:r>
      <w:r>
        <w:t>mm.</w:t>
      </w:r>
    </w:p>
    <w:p w14:paraId="75D59B8C" w14:textId="77777777" w:rsidR="004B2808" w:rsidRDefault="00000000">
      <w:pPr>
        <w:pStyle w:val="pheading"/>
      </w:pPr>
      <w:r>
        <w:t>EXÉCUTION / MISE EN ŒUVRE</w:t>
      </w:r>
    </w:p>
    <w:p w14:paraId="1EBD523B" w14:textId="77777777" w:rsidR="004B2808" w:rsidRDefault="00000000">
      <w:r>
        <w:t>Les bords du cadre doivent coïncider avec les joints des carreaux lorsque le format des carreaux le permettent. Le cadre est encastré dans le revêtement de sol au niveau prescrit et fixé au mortier conformément aux prescriptions du § 6 de la [NIT 237].</w:t>
      </w:r>
    </w:p>
    <w:p w14:paraId="60086B63" w14:textId="77777777" w:rsidR="004B2808" w:rsidRDefault="00000000">
      <w:pPr>
        <w:pStyle w:val="Author-eSectionHeading6Numberless"/>
      </w:pPr>
      <w:bookmarkStart w:id="811" w:name="_Toc220490960"/>
      <w:r>
        <w:t>53.68.1a Couvercles de sol métalliques CCTB 01.11</w:t>
      </w:r>
      <w:bookmarkEnd w:id="811"/>
    </w:p>
    <w:p w14:paraId="3E0C9985" w14:textId="77777777" w:rsidR="004B2808" w:rsidRDefault="00000000">
      <w:pPr>
        <w:pStyle w:val="pheading"/>
      </w:pPr>
      <w:r>
        <w:t>DESCRIPTION</w:t>
      </w:r>
    </w:p>
    <w:p w14:paraId="046A5405" w14:textId="77777777" w:rsidR="004B2808" w:rsidRDefault="00000000">
      <w:pPr>
        <w:pStyle w:val="pheading"/>
      </w:pPr>
      <w:r>
        <w:t>- Définition / Comprend</w:t>
      </w:r>
    </w:p>
    <w:p w14:paraId="7E25E8FA" w14:textId="77777777" w:rsidR="004B2808" w:rsidRDefault="00000000">
      <w:pPr>
        <w:jc w:val="both"/>
      </w:pPr>
      <w:r>
        <w:t>Il s'agit de prescriptions pour la fourniture et pose de cadres avec un couvercle amovible à intégrer dans le revêtement de sol à l'intérieur du bâtiment.</w:t>
      </w:r>
    </w:p>
    <w:p w14:paraId="0F67C29F" w14:textId="77777777" w:rsidR="004B2808" w:rsidRDefault="00000000">
      <w:pPr>
        <w:jc w:val="both"/>
      </w:pPr>
      <w:r>
        <w:t>Ce poste comprend :</w:t>
      </w:r>
    </w:p>
    <w:p w14:paraId="1AA214B9" w14:textId="77777777" w:rsidR="004B2808" w:rsidRDefault="00000000">
      <w:pPr>
        <w:pStyle w:val="Author-eListParagraph"/>
        <w:numPr>
          <w:ilvl w:val="0"/>
          <w:numId w:val="649"/>
        </w:numPr>
        <w:jc w:val="both"/>
      </w:pPr>
      <w:r>
        <w:t>la prise de mesures et le contrôle des épaisseurs disponibles ;</w:t>
      </w:r>
    </w:p>
    <w:p w14:paraId="5701B135" w14:textId="77777777" w:rsidR="004B2808" w:rsidRDefault="00000000">
      <w:pPr>
        <w:pStyle w:val="Author-eListParagraph"/>
        <w:numPr>
          <w:ilvl w:val="0"/>
          <w:numId w:val="649"/>
        </w:numPr>
        <w:jc w:val="both"/>
      </w:pPr>
      <w:r>
        <w:t>la préparation, le nettoyage et le contrôle de l'aire de pose et du support ;</w:t>
      </w:r>
    </w:p>
    <w:p w14:paraId="76F81A56" w14:textId="77777777" w:rsidR="004B2808" w:rsidRDefault="00000000">
      <w:pPr>
        <w:pStyle w:val="Author-eListParagraph"/>
        <w:numPr>
          <w:ilvl w:val="0"/>
          <w:numId w:val="649"/>
        </w:numPr>
        <w:jc w:val="both"/>
      </w:pPr>
      <w:r>
        <w:t>la fourniture et la mise en œuvre proprement dite des couvercles de sol et des éléments de raccords ;</w:t>
      </w:r>
    </w:p>
    <w:p w14:paraId="27175E83" w14:textId="77777777" w:rsidR="004B2808" w:rsidRDefault="00000000">
      <w:pPr>
        <w:pStyle w:val="Author-eListParagraph"/>
        <w:numPr>
          <w:ilvl w:val="0"/>
          <w:numId w:val="649"/>
        </w:numPr>
        <w:jc w:val="both"/>
      </w:pPr>
      <w:r>
        <w:t>les éventuelles mesures de protection provisoires ;</w:t>
      </w:r>
    </w:p>
    <w:p w14:paraId="46919870" w14:textId="77777777" w:rsidR="004B2808" w:rsidRDefault="00000000">
      <w:pPr>
        <w:pStyle w:val="Author-eListParagraph"/>
        <w:numPr>
          <w:ilvl w:val="0"/>
          <w:numId w:val="649"/>
        </w:numPr>
        <w:jc w:val="both"/>
      </w:pPr>
      <w:r>
        <w:t>l’enlèvement des protections ;</w:t>
      </w:r>
    </w:p>
    <w:p w14:paraId="5A91DA27" w14:textId="77777777" w:rsidR="004B2808" w:rsidRDefault="00000000">
      <w:pPr>
        <w:pStyle w:val="Author-eListParagraph"/>
        <w:numPr>
          <w:ilvl w:val="0"/>
          <w:numId w:val="649"/>
        </w:numPr>
        <w:jc w:val="both"/>
      </w:pPr>
      <w:r>
        <w:t>l’évacuation des déchets et le nettoyage du chantier.</w:t>
      </w:r>
    </w:p>
    <w:p w14:paraId="286ADF5D" w14:textId="77777777" w:rsidR="004B2808" w:rsidRDefault="00000000">
      <w:pPr>
        <w:pStyle w:val="pheading"/>
      </w:pPr>
      <w:r>
        <w:t>- Localisation</w:t>
      </w:r>
    </w:p>
    <w:p w14:paraId="2707BA6B" w14:textId="77777777" w:rsidR="004B2808" w:rsidRDefault="00000000">
      <w:r>
        <w:t xml:space="preserve">Les travaux sont localisés : </w:t>
      </w:r>
      <w:r>
        <w:rPr>
          <w:rStyle w:val="optioncarChar"/>
        </w:rPr>
        <w:t>***</w:t>
      </w:r>
      <w:r>
        <w:t>.</w:t>
      </w:r>
    </w:p>
    <w:p w14:paraId="6E876738" w14:textId="77777777" w:rsidR="004B2808" w:rsidRDefault="00000000">
      <w:r>
        <w:t>Voir plans et métrés détaillés</w:t>
      </w:r>
    </w:p>
    <w:p w14:paraId="5B8FD311" w14:textId="77777777" w:rsidR="004B2808" w:rsidRDefault="00000000">
      <w:pPr>
        <w:pStyle w:val="pheading"/>
      </w:pPr>
      <w:r>
        <w:t>MATÉRIAUX</w:t>
      </w:r>
    </w:p>
    <w:p w14:paraId="37A1199B" w14:textId="77777777" w:rsidR="004B2808" w:rsidRDefault="00000000">
      <w:pPr>
        <w:pStyle w:val="pheading"/>
      </w:pPr>
      <w:r>
        <w:t>- Caractéristiques générales</w:t>
      </w:r>
    </w:p>
    <w:p w14:paraId="3A600E66" w14:textId="77777777" w:rsidR="004B2808" w:rsidRDefault="00000000">
      <w:pPr>
        <w:jc w:val="both"/>
      </w:pPr>
      <w:r>
        <w:t xml:space="preserve">Type de couvercle : </w:t>
      </w:r>
      <w:r>
        <w:rPr>
          <w:rStyle w:val="optioncarChar"/>
        </w:rPr>
        <w:t xml:space="preserve">couvercle amovible </w:t>
      </w:r>
      <w:r>
        <w:t>(par défaut)</w:t>
      </w:r>
      <w:r>
        <w:rPr>
          <w:rStyle w:val="optioncarChar"/>
        </w:rPr>
        <w:t xml:space="preserve"> / couvercle à charnière.</w:t>
      </w:r>
    </w:p>
    <w:p w14:paraId="121536A6" w14:textId="77777777" w:rsidR="004B2808" w:rsidRDefault="00000000">
      <w:pPr>
        <w:jc w:val="both"/>
      </w:pPr>
      <w:r>
        <w:rPr>
          <w:b/>
          <w:u w:val="single"/>
        </w:rPr>
        <w:t>Couvercle amovible</w:t>
      </w:r>
    </w:p>
    <w:p w14:paraId="52DE3EBE" w14:textId="77777777" w:rsidR="004B2808" w:rsidRDefault="00000000">
      <w:pPr>
        <w:pStyle w:val="Author-eListParagraph"/>
        <w:numPr>
          <w:ilvl w:val="0"/>
          <w:numId w:val="650"/>
        </w:numPr>
      </w:pPr>
      <w:r>
        <w:t>Type de couvercle :</w:t>
      </w:r>
      <w:r>
        <w:rPr>
          <w:rStyle w:val="optioncarChar"/>
        </w:rPr>
        <w:t xml:space="preserve"> simple</w:t>
      </w:r>
      <w:r>
        <w:t xml:space="preserve"> (par défaut)</w:t>
      </w:r>
      <w:r>
        <w:rPr>
          <w:rStyle w:val="optioncarChar"/>
        </w:rPr>
        <w:t xml:space="preserve"> / à double fond / ***</w:t>
      </w:r>
      <w:r>
        <w:t>.</w:t>
      </w:r>
    </w:p>
    <w:p w14:paraId="3319E0F5" w14:textId="77777777" w:rsidR="004B2808" w:rsidRDefault="00000000">
      <w:pPr>
        <w:pStyle w:val="Author-eListParagraph"/>
        <w:numPr>
          <w:ilvl w:val="0"/>
          <w:numId w:val="650"/>
        </w:numPr>
      </w:pPr>
      <w:r>
        <w:t>Classe de résistance [NBN EN 124 série]:</w:t>
      </w:r>
      <w:r>
        <w:rPr>
          <w:rStyle w:val="optioncarChar"/>
        </w:rPr>
        <w:t xml:space="preserve"> A 15 </w:t>
      </w:r>
      <w:r>
        <w:t xml:space="preserve">(par défaut) </w:t>
      </w:r>
      <w:r>
        <w:rPr>
          <w:rStyle w:val="optioncarChar"/>
        </w:rPr>
        <w:t>/ B125 / ***</w:t>
      </w:r>
      <w:r>
        <w:t>.</w:t>
      </w:r>
    </w:p>
    <w:p w14:paraId="02D7D9FE" w14:textId="77777777" w:rsidR="004B2808" w:rsidRDefault="00000000">
      <w:pPr>
        <w:pStyle w:val="Author-eListParagraph"/>
        <w:numPr>
          <w:ilvl w:val="0"/>
          <w:numId w:val="650"/>
        </w:numPr>
      </w:pPr>
      <w:r>
        <w:t>Couvercle antidérapant,</w:t>
      </w:r>
    </w:p>
    <w:p w14:paraId="2DD2A796" w14:textId="77777777" w:rsidR="004B2808" w:rsidRDefault="00000000">
      <w:pPr>
        <w:pStyle w:val="Author-eListParagraph"/>
        <w:numPr>
          <w:ilvl w:val="0"/>
          <w:numId w:val="650"/>
        </w:numPr>
      </w:pPr>
      <w:r>
        <w:lastRenderedPageBreak/>
        <w:t xml:space="preserve">Aspect : </w:t>
      </w:r>
      <w:r>
        <w:rPr>
          <w:rStyle w:val="optioncarChar"/>
        </w:rPr>
        <w:t xml:space="preserve">au choix de l’entrepreneur </w:t>
      </w:r>
      <w:r>
        <w:t xml:space="preserve">(par défaut) </w:t>
      </w:r>
      <w:r>
        <w:rPr>
          <w:rStyle w:val="optioncarChar"/>
        </w:rPr>
        <w:t>/ rainuré / larmé / strié / gaufré / ***.</w:t>
      </w:r>
    </w:p>
    <w:p w14:paraId="0573F5D2" w14:textId="77777777" w:rsidR="004B2808" w:rsidRDefault="00000000">
      <w:pPr>
        <w:pStyle w:val="Author-eListParagraph"/>
        <w:numPr>
          <w:ilvl w:val="0"/>
          <w:numId w:val="650"/>
        </w:numPr>
      </w:pPr>
      <w:r>
        <w:t xml:space="preserve">Étanche à l’eau et aux odeurs grâce à un joint dans le profil du cadre en : </w:t>
      </w:r>
      <w:r>
        <w:rPr>
          <w:rStyle w:val="optioncarChar"/>
        </w:rPr>
        <w:t>EPDM</w:t>
      </w:r>
      <w:r>
        <w:t xml:space="preserve"> (par défaut) </w:t>
      </w:r>
      <w:r>
        <w:rPr>
          <w:rStyle w:val="optioncarChar"/>
        </w:rPr>
        <w:t>/ ***.</w:t>
      </w:r>
    </w:p>
    <w:p w14:paraId="4CAA38FA" w14:textId="77777777" w:rsidR="004B2808" w:rsidRDefault="00000000">
      <w:pPr>
        <w:pStyle w:val="Author-eListParagraph"/>
        <w:numPr>
          <w:ilvl w:val="0"/>
          <w:numId w:val="650"/>
        </w:numPr>
      </w:pPr>
      <w:r>
        <w:t>Dimensions du couvercle :</w:t>
      </w:r>
      <w:r>
        <w:rPr>
          <w:rStyle w:val="optioncarChar"/>
        </w:rPr>
        <w:t xml:space="preserve"> 300 x 300 / 400 x 400 / 500 x 500</w:t>
      </w:r>
      <w:r>
        <w:t xml:space="preserve"> (par défaut) </w:t>
      </w:r>
      <w:r>
        <w:rPr>
          <w:rStyle w:val="optioncarChar"/>
        </w:rPr>
        <w:t>/ 600 x 600 / 800 x 800/ 1000 x 1000 / au choix de l’entrepreneur / ***</w:t>
      </w:r>
      <w:r>
        <w:t xml:space="preserve"> mm.</w:t>
      </w:r>
    </w:p>
    <w:p w14:paraId="3958B7CC" w14:textId="77777777" w:rsidR="004B2808" w:rsidRDefault="00000000">
      <w:pPr>
        <w:pStyle w:val="Author-eListParagraph"/>
        <w:numPr>
          <w:ilvl w:val="0"/>
          <w:numId w:val="650"/>
        </w:numPr>
      </w:pPr>
      <w:r>
        <w:t>Deux clés/poignées de levage amovibles sont livrées pour chaque couvercle.</w:t>
      </w:r>
    </w:p>
    <w:p w14:paraId="1B8FD2F2" w14:textId="77777777" w:rsidR="004B2808" w:rsidRDefault="00000000">
      <w:pPr>
        <w:pStyle w:val="Author-eListParagraph"/>
        <w:numPr>
          <w:ilvl w:val="0"/>
          <w:numId w:val="650"/>
        </w:numPr>
      </w:pPr>
      <w:r>
        <w:t xml:space="preserve">Le couvercle de sol et le cadre sont fabriqués en : </w:t>
      </w:r>
      <w:r>
        <w:rPr>
          <w:rStyle w:val="optioncarChar"/>
        </w:rPr>
        <w:t xml:space="preserve">aluminium moulé </w:t>
      </w:r>
      <w:r>
        <w:t>(par défaut)</w:t>
      </w:r>
      <w:r>
        <w:rPr>
          <w:rStyle w:val="optioncarChar"/>
        </w:rPr>
        <w:t xml:space="preserve"> / fonte moulée / tôle d’aluminium / acier galvanisé / acier inoxydable / ***</w:t>
      </w:r>
      <w:r>
        <w:t>.</w:t>
      </w:r>
    </w:p>
    <w:p w14:paraId="779C4C7A" w14:textId="77777777" w:rsidR="004B2808" w:rsidRDefault="00000000">
      <w:pPr>
        <w:ind w:left="567"/>
        <w:jc w:val="both"/>
      </w:pPr>
      <w:r>
        <w:rPr>
          <w:b/>
          <w:i/>
        </w:rPr>
        <w:t>(Soit par défaut)</w:t>
      </w:r>
    </w:p>
    <w:p w14:paraId="422ED7DC" w14:textId="77777777" w:rsidR="004B2808" w:rsidRDefault="00000000">
      <w:pPr>
        <w:ind w:left="567"/>
        <w:jc w:val="both"/>
      </w:pPr>
      <w:r>
        <w:rPr>
          <w:rStyle w:val="soitChar"/>
          <w:u w:val="single"/>
        </w:rPr>
        <w:t>Aluminium moulé</w:t>
      </w:r>
    </w:p>
    <w:p w14:paraId="1A1BF05C" w14:textId="77777777" w:rsidR="004B2808" w:rsidRDefault="00000000">
      <w:pPr>
        <w:ind w:left="567"/>
        <w:jc w:val="both"/>
      </w:pPr>
      <w:r>
        <w:rPr>
          <w:rStyle w:val="soitChar"/>
        </w:rPr>
        <w:t>Le cadre et le couvercle sont fabriqués en aluminium moulé. Ils sont débarrassés de toute ébavures.</w:t>
      </w:r>
    </w:p>
    <w:p w14:paraId="3CE0C04E" w14:textId="77777777" w:rsidR="004B2808" w:rsidRDefault="00000000">
      <w:pPr>
        <w:ind w:left="567"/>
        <w:jc w:val="both"/>
      </w:pPr>
      <w:r>
        <w:rPr>
          <w:rStyle w:val="soitChar"/>
        </w:rPr>
        <w:t>Coloris :</w:t>
      </w:r>
      <w:r>
        <w:rPr>
          <w:rStyle w:val="optioncarChar"/>
        </w:rPr>
        <w:t>gris</w:t>
      </w:r>
      <w:r>
        <w:t xml:space="preserve"> (par défaut)</w:t>
      </w:r>
      <w:r>
        <w:rPr>
          <w:rStyle w:val="optioncarChar"/>
        </w:rPr>
        <w:t xml:space="preserve"> / ***</w:t>
      </w:r>
      <w:r>
        <w:rPr>
          <w:b/>
          <w:i/>
        </w:rPr>
        <w:t> </w:t>
      </w:r>
    </w:p>
    <w:p w14:paraId="153E43BC" w14:textId="77777777" w:rsidR="004B2808" w:rsidRDefault="00000000">
      <w:pPr>
        <w:ind w:left="567"/>
        <w:jc w:val="both"/>
      </w:pPr>
      <w:r>
        <w:rPr>
          <w:b/>
          <w:i/>
        </w:rPr>
        <w:t>(Soit)</w:t>
      </w:r>
    </w:p>
    <w:p w14:paraId="10B93D25" w14:textId="77777777" w:rsidR="004B2808" w:rsidRDefault="00000000">
      <w:pPr>
        <w:ind w:left="567"/>
        <w:jc w:val="both"/>
      </w:pPr>
      <w:r>
        <w:rPr>
          <w:rStyle w:val="soitChar"/>
          <w:u w:val="single"/>
        </w:rPr>
        <w:t>Fonte moulée</w:t>
      </w:r>
    </w:p>
    <w:p w14:paraId="2D6B709C" w14:textId="77777777" w:rsidR="004B2808" w:rsidRDefault="00000000">
      <w:pPr>
        <w:ind w:left="567"/>
        <w:jc w:val="both"/>
      </w:pPr>
      <w:r>
        <w:rPr>
          <w:rStyle w:val="soitChar"/>
        </w:rPr>
        <w:t>Le cadre et le couvercle sont fabriqués en fonte (ou acier) moulée répondant à la [NBN B 54-101]. Ils sont débarrassés de toute rouille, ébavurés, et enduits d'une couche de peinture primaire et, ensuite, de deux couches de peinture à base de résine alkyde. La mise en peinture est comprise dans le prix unitaire.</w:t>
      </w:r>
    </w:p>
    <w:p w14:paraId="0DCBE50B" w14:textId="77777777" w:rsidR="004B2808" w:rsidRDefault="00000000">
      <w:pPr>
        <w:ind w:left="567"/>
        <w:jc w:val="both"/>
      </w:pPr>
      <w:r>
        <w:rPr>
          <w:rStyle w:val="soitChar"/>
        </w:rPr>
        <w:t>Coloris :</w:t>
      </w:r>
      <w:r>
        <w:rPr>
          <w:rStyle w:val="optioncarChar"/>
        </w:rPr>
        <w:t xml:space="preserve">noir </w:t>
      </w:r>
      <w:r>
        <w:t xml:space="preserve">(par défaut) </w:t>
      </w:r>
      <w:r>
        <w:rPr>
          <w:rStyle w:val="optioncarChar"/>
        </w:rPr>
        <w:t>/ ***.</w:t>
      </w:r>
    </w:p>
    <w:p w14:paraId="621E9EB3" w14:textId="77777777" w:rsidR="004B2808" w:rsidRDefault="00000000">
      <w:pPr>
        <w:ind w:left="567"/>
        <w:jc w:val="both"/>
      </w:pPr>
      <w:r>
        <w:rPr>
          <w:b/>
          <w:i/>
        </w:rPr>
        <w:t>(Soit)</w:t>
      </w:r>
    </w:p>
    <w:p w14:paraId="4BBB32B6" w14:textId="77777777" w:rsidR="004B2808" w:rsidRDefault="00000000">
      <w:pPr>
        <w:ind w:left="567"/>
        <w:jc w:val="both"/>
      </w:pPr>
      <w:r>
        <w:rPr>
          <w:rStyle w:val="soitChar"/>
          <w:u w:val="single"/>
        </w:rPr>
        <w:t>Tôle d’aluminium</w:t>
      </w:r>
    </w:p>
    <w:p w14:paraId="6795495B" w14:textId="77777777" w:rsidR="004B2808" w:rsidRDefault="00000000">
      <w:pPr>
        <w:ind w:left="567"/>
        <w:jc w:val="both"/>
      </w:pPr>
      <w:r>
        <w:rPr>
          <w:rStyle w:val="soitChar"/>
        </w:rPr>
        <w:t>Le cadre est fabriqué en alliage d’aluminium (Al-Mg-Si) extrudé. Les coins sont coupés à onglet et sont sertis ou renforcés par des soutiens en acier galvanisé. L’ancrage dans le support s’effectue via des pattes en acier galvanisé attachées au cadre.</w:t>
      </w:r>
    </w:p>
    <w:p w14:paraId="652C0EB5" w14:textId="77777777" w:rsidR="004B2808" w:rsidRDefault="00000000">
      <w:pPr>
        <w:ind w:left="567"/>
        <w:jc w:val="both"/>
      </w:pPr>
      <w:r>
        <w:rPr>
          <w:rStyle w:val="soitChar"/>
        </w:rPr>
        <w:t>Le couvercle se compose d’une tôle en alliage d’aluminium (Al-Mg-Si) d’une épaisseur minimum de</w:t>
      </w:r>
      <w:r>
        <w:rPr>
          <w:rStyle w:val="optioncarChar"/>
        </w:rPr>
        <w:t xml:space="preserve">5 </w:t>
      </w:r>
      <w:r>
        <w:t>(par défaut)</w:t>
      </w:r>
      <w:r>
        <w:rPr>
          <w:rStyle w:val="optioncarChar"/>
        </w:rPr>
        <w:t xml:space="preserve"> / *** </w:t>
      </w:r>
      <w:r>
        <w:rPr>
          <w:rStyle w:val="soitChar"/>
        </w:rPr>
        <w:t>mm, muni de plusieurs barres de renforcement soudées sur la face arrière afin d’obtenir la charge d’utilisation préconisée.</w:t>
      </w:r>
    </w:p>
    <w:p w14:paraId="663D301C" w14:textId="77777777" w:rsidR="004B2808" w:rsidRDefault="00000000">
      <w:pPr>
        <w:ind w:left="567"/>
        <w:jc w:val="both"/>
      </w:pPr>
      <w:r>
        <w:rPr>
          <w:b/>
          <w:i/>
        </w:rPr>
        <w:t>(Soit)</w:t>
      </w:r>
    </w:p>
    <w:p w14:paraId="546B93C3" w14:textId="77777777" w:rsidR="004B2808" w:rsidRDefault="00000000">
      <w:pPr>
        <w:ind w:left="567"/>
        <w:jc w:val="both"/>
      </w:pPr>
      <w:r>
        <w:rPr>
          <w:rStyle w:val="soitChar"/>
          <w:u w:val="single"/>
        </w:rPr>
        <w:t>Acier galvanisé</w:t>
      </w:r>
    </w:p>
    <w:p w14:paraId="3E1087C4" w14:textId="77777777" w:rsidR="004B2808" w:rsidRDefault="00000000">
      <w:pPr>
        <w:ind w:left="567"/>
        <w:jc w:val="both"/>
      </w:pPr>
      <w:r>
        <w:rPr>
          <w:rStyle w:val="soitChar"/>
        </w:rPr>
        <w:t>Le cadre est fabriqué en acier galvanisé ou zingué. Les coins sont coupés à onglet et sont soudés. L’ancrage dans le support s’effectue via des pattes en acier galvanisé attachées au cadre.</w:t>
      </w:r>
    </w:p>
    <w:p w14:paraId="1B354192" w14:textId="77777777" w:rsidR="004B2808" w:rsidRDefault="00000000">
      <w:pPr>
        <w:ind w:left="567"/>
        <w:jc w:val="both"/>
      </w:pPr>
      <w:r>
        <w:rPr>
          <w:rStyle w:val="soitChar"/>
        </w:rPr>
        <w:t> Le couvercle se compose d’une tôle en acier galvanisé ou zingué d’une épaisseur minimum de </w:t>
      </w:r>
      <w:r>
        <w:rPr>
          <w:rStyle w:val="optioncarChar"/>
        </w:rPr>
        <w:t xml:space="preserve">3 / 5 </w:t>
      </w:r>
      <w:r>
        <w:t xml:space="preserve">(par défaut) </w:t>
      </w:r>
      <w:r>
        <w:rPr>
          <w:rStyle w:val="optioncarChar"/>
        </w:rPr>
        <w:t xml:space="preserve">/ *** </w:t>
      </w:r>
      <w:r>
        <w:rPr>
          <w:rStyle w:val="soitChar"/>
        </w:rPr>
        <w:t>mm</w:t>
      </w:r>
      <w:r>
        <w:t>,</w:t>
      </w:r>
      <w:r>
        <w:rPr>
          <w:rStyle w:val="soitChar"/>
        </w:rPr>
        <w:t xml:space="preserve"> muni de plusieurs barres de renforcement soudées sur la face arrière afin d’obtenir la charge d’utilisation préconisée.</w:t>
      </w:r>
    </w:p>
    <w:p w14:paraId="65214FEF" w14:textId="77777777" w:rsidR="004B2808" w:rsidRDefault="00000000">
      <w:pPr>
        <w:ind w:left="567"/>
        <w:jc w:val="both"/>
      </w:pPr>
      <w:r>
        <w:rPr>
          <w:rStyle w:val="soitChar"/>
        </w:rPr>
        <w:t> L’ensemble est étanche aux odeurs et aux eaux de ruissellement grâce à un joint dans le profil du cadre, qui est comprimé au moyen de vis en acier inoxydable. Ces boulons sont protégés par des capuchons en plastique pour empêcher le dépôt de saletés dans la tête des vis.</w:t>
      </w:r>
    </w:p>
    <w:p w14:paraId="4A04721E" w14:textId="77777777" w:rsidR="004B2808" w:rsidRDefault="00000000">
      <w:pPr>
        <w:ind w:left="567"/>
        <w:jc w:val="both"/>
      </w:pPr>
      <w:r>
        <w:rPr>
          <w:b/>
          <w:i/>
        </w:rPr>
        <w:t>(Soit)</w:t>
      </w:r>
    </w:p>
    <w:p w14:paraId="279AD120" w14:textId="77777777" w:rsidR="004B2808" w:rsidRDefault="00000000">
      <w:pPr>
        <w:ind w:left="567"/>
        <w:jc w:val="both"/>
      </w:pPr>
      <w:r>
        <w:rPr>
          <w:rStyle w:val="soitChar"/>
          <w:u w:val="single"/>
        </w:rPr>
        <w:t>Acier inoxydable</w:t>
      </w:r>
    </w:p>
    <w:p w14:paraId="79558580" w14:textId="77777777" w:rsidR="004B2808" w:rsidRDefault="00000000">
      <w:pPr>
        <w:ind w:left="567"/>
        <w:jc w:val="both"/>
      </w:pPr>
      <w:r>
        <w:rPr>
          <w:rStyle w:val="soitChar"/>
        </w:rPr>
        <w:t>Qualité</w:t>
      </w:r>
      <w:r>
        <w:rPr>
          <w:rStyle w:val="soitChar"/>
          <w:color w:val="000000"/>
        </w:rPr>
        <w:t> </w:t>
      </w:r>
      <w:r>
        <w:rPr>
          <w:rStyle w:val="optioncarChar"/>
        </w:rPr>
        <w:t xml:space="preserve">AISI 304 (standard) </w:t>
      </w:r>
      <w:r>
        <w:t xml:space="preserve">(par défaut) </w:t>
      </w:r>
      <w:r>
        <w:rPr>
          <w:rStyle w:val="optioncarChar"/>
        </w:rPr>
        <w:t>/ 316 (milieu agressif tel que mer, piscine, etc.) / ***</w:t>
      </w:r>
      <w:r>
        <w:t>.</w:t>
      </w:r>
    </w:p>
    <w:p w14:paraId="60EF6746" w14:textId="77777777" w:rsidR="004B2808" w:rsidRDefault="00000000">
      <w:pPr>
        <w:ind w:left="567"/>
        <w:jc w:val="both"/>
      </w:pPr>
      <w:r>
        <w:rPr>
          <w:rStyle w:val="soitChar"/>
        </w:rPr>
        <w:t>Le cadre est fabriqué en acier inoxydable. Les coins sont coupés à onglet et sont soudés. L’ancrage dans le support s’effectue via des pattes attachées au cadre.</w:t>
      </w:r>
    </w:p>
    <w:p w14:paraId="5B59D84C" w14:textId="77777777" w:rsidR="004B2808" w:rsidRDefault="00000000">
      <w:pPr>
        <w:ind w:left="567"/>
        <w:jc w:val="both"/>
      </w:pPr>
      <w:r>
        <w:rPr>
          <w:rStyle w:val="soitChar"/>
        </w:rPr>
        <w:lastRenderedPageBreak/>
        <w:t>Le couvercle se compose d’une tôle en acier inoxydable d’une épaisseur minimum de :</w:t>
      </w:r>
      <w:r>
        <w:rPr>
          <w:rStyle w:val="optioncarChar"/>
        </w:rPr>
        <w:t xml:space="preserve">3 / 5 </w:t>
      </w:r>
      <w:r>
        <w:t>(par défaut)</w:t>
      </w:r>
      <w:r>
        <w:rPr>
          <w:rStyle w:val="optioncarChar"/>
        </w:rPr>
        <w:t xml:space="preserve"> / *** </w:t>
      </w:r>
      <w:r>
        <w:rPr>
          <w:rStyle w:val="soitChar"/>
        </w:rPr>
        <w:t>mm, muni de plusieurs barres de renforcement soudées sur la face arrière afin d’obtenir la charge d’utilisation préconisée.</w:t>
      </w:r>
    </w:p>
    <w:p w14:paraId="20CBBCB8" w14:textId="77777777" w:rsidR="004B2808" w:rsidRDefault="00000000">
      <w:pPr>
        <w:ind w:left="567"/>
        <w:jc w:val="both"/>
      </w:pPr>
      <w:r>
        <w:rPr>
          <w:rStyle w:val="soitChar"/>
        </w:rPr>
        <w:t>L’ensemble est étanche aux odeurs et aux eaux de ruissellement grâce à un joint dans le profil du cadre, qui est comprimé au moyen de vis en acier inoxydable. Ces boulons sont protégés par des capuchons en plastique pour empêcher le dépôt de saletés dans la tête des vis.</w:t>
      </w:r>
    </w:p>
    <w:p w14:paraId="4313A1E8" w14:textId="77777777" w:rsidR="004B2808" w:rsidRDefault="00000000">
      <w:pPr>
        <w:jc w:val="both"/>
      </w:pPr>
      <w:r>
        <w:rPr>
          <w:b/>
          <w:u w:val="single"/>
        </w:rPr>
        <w:t>Couvercle à charnière</w:t>
      </w:r>
    </w:p>
    <w:p w14:paraId="63370A8F" w14:textId="77777777" w:rsidR="004B2808" w:rsidRDefault="00000000">
      <w:pPr>
        <w:pStyle w:val="Author-eListParagraph"/>
        <w:numPr>
          <w:ilvl w:val="0"/>
          <w:numId w:val="651"/>
        </w:numPr>
      </w:pPr>
      <w:r>
        <w:t>Dispositif de fermeture à charnières et ouverture assistée au moyen de 2 vérins à gaz.</w:t>
      </w:r>
    </w:p>
    <w:p w14:paraId="519D0284" w14:textId="77777777" w:rsidR="004B2808" w:rsidRDefault="00000000">
      <w:pPr>
        <w:pStyle w:val="Author-eListParagraph"/>
        <w:numPr>
          <w:ilvl w:val="0"/>
          <w:numId w:val="651"/>
        </w:numPr>
      </w:pPr>
      <w:r>
        <w:t xml:space="preserve">Charnières : </w:t>
      </w:r>
      <w:r>
        <w:rPr>
          <w:rStyle w:val="optioncarChar"/>
        </w:rPr>
        <w:t xml:space="preserve">visibles </w:t>
      </w:r>
      <w:r>
        <w:t xml:space="preserve">(par défaut) </w:t>
      </w:r>
      <w:r>
        <w:rPr>
          <w:rStyle w:val="optioncarChar"/>
        </w:rPr>
        <w:t>/ invisibles / articulées (pour la fonte).</w:t>
      </w:r>
    </w:p>
    <w:p w14:paraId="0F765161" w14:textId="77777777" w:rsidR="004B2808" w:rsidRDefault="00000000">
      <w:pPr>
        <w:pStyle w:val="Author-eListParagraph"/>
        <w:numPr>
          <w:ilvl w:val="0"/>
          <w:numId w:val="651"/>
        </w:numPr>
      </w:pPr>
      <w:r>
        <w:t xml:space="preserve">Classe de résistance [NBN EN 124 série] : minimum </w:t>
      </w:r>
      <w:r>
        <w:rPr>
          <w:rStyle w:val="optioncarChar"/>
        </w:rPr>
        <w:t>A15</w:t>
      </w:r>
      <w:r>
        <w:t xml:space="preserve"> (par défaut)</w:t>
      </w:r>
      <w:r>
        <w:rPr>
          <w:rStyle w:val="optioncarChar"/>
        </w:rPr>
        <w:t xml:space="preserve"> / B125 / C250 / D400 / ***.</w:t>
      </w:r>
    </w:p>
    <w:p w14:paraId="491CBE65" w14:textId="77777777" w:rsidR="004B2808" w:rsidRDefault="00000000">
      <w:pPr>
        <w:pStyle w:val="Author-eListParagraph"/>
        <w:numPr>
          <w:ilvl w:val="0"/>
          <w:numId w:val="651"/>
        </w:numPr>
      </w:pPr>
      <w:r>
        <w:t>Couvercle antidérapant,</w:t>
      </w:r>
    </w:p>
    <w:p w14:paraId="6EC0FF75" w14:textId="77777777" w:rsidR="004B2808" w:rsidRDefault="00000000">
      <w:pPr>
        <w:pStyle w:val="Author-eListParagraph"/>
        <w:numPr>
          <w:ilvl w:val="0"/>
          <w:numId w:val="651"/>
        </w:numPr>
      </w:pPr>
      <w:r>
        <w:t xml:space="preserve">Aspect : </w:t>
      </w:r>
      <w:r>
        <w:rPr>
          <w:rStyle w:val="optioncarChar"/>
        </w:rPr>
        <w:t>au choix de l’entrepreneur</w:t>
      </w:r>
      <w:r>
        <w:t xml:space="preserve"> (par défaut)</w:t>
      </w:r>
      <w:r>
        <w:rPr>
          <w:rStyle w:val="optioncarChar"/>
        </w:rPr>
        <w:t xml:space="preserve"> / larmé / strié / gaufré / ***</w:t>
      </w:r>
      <w:r>
        <w:t>.</w:t>
      </w:r>
    </w:p>
    <w:p w14:paraId="7D151261" w14:textId="77777777" w:rsidR="004B2808" w:rsidRDefault="00000000">
      <w:pPr>
        <w:pStyle w:val="Author-eListParagraph"/>
        <w:numPr>
          <w:ilvl w:val="0"/>
          <w:numId w:val="651"/>
        </w:numPr>
      </w:pPr>
      <w:r>
        <w:t xml:space="preserve">Étanche à l’eau et aux odeurs grâce à un joint dans le profil du cadre qui est comprimé au moyen de vis en inox : joint en </w:t>
      </w:r>
      <w:r>
        <w:rPr>
          <w:rStyle w:val="optioncarChar"/>
        </w:rPr>
        <w:t>EPDM</w:t>
      </w:r>
      <w:r>
        <w:t xml:space="preserve"> (par défaut)</w:t>
      </w:r>
      <w:r>
        <w:rPr>
          <w:rStyle w:val="optioncarChar"/>
        </w:rPr>
        <w:t xml:space="preserve"> / nitrile / ***</w:t>
      </w:r>
      <w:r>
        <w:t>.</w:t>
      </w:r>
    </w:p>
    <w:p w14:paraId="2C6EFC37" w14:textId="77777777" w:rsidR="004B2808" w:rsidRDefault="00000000">
      <w:pPr>
        <w:pStyle w:val="Author-eListParagraph"/>
        <w:numPr>
          <w:ilvl w:val="0"/>
          <w:numId w:val="651"/>
        </w:numPr>
      </w:pPr>
      <w:r>
        <w:t xml:space="preserve">Dimensions d’ouverture libre : </w:t>
      </w:r>
      <w:r>
        <w:rPr>
          <w:rStyle w:val="optioncarChar"/>
        </w:rPr>
        <w:t xml:space="preserve">600 x 600 </w:t>
      </w:r>
      <w:r>
        <w:t xml:space="preserve">(par défaut) </w:t>
      </w:r>
      <w:r>
        <w:rPr>
          <w:rStyle w:val="optioncarChar"/>
        </w:rPr>
        <w:t>/ 700 x 700 / 700 x 1400 / 800 x 800 / 1000 x 1000 / 1000 x 1500 / 1000 x 2000 / 1200x 1200 / 1500 x 1500 / au choix de l’entrepreneur / *** mm.</w:t>
      </w:r>
    </w:p>
    <w:p w14:paraId="38CE8FE4" w14:textId="77777777" w:rsidR="004B2808" w:rsidRDefault="00000000">
      <w:pPr>
        <w:pStyle w:val="Author-eListParagraph"/>
        <w:numPr>
          <w:ilvl w:val="0"/>
          <w:numId w:val="651"/>
        </w:numPr>
      </w:pPr>
      <w:r>
        <w:t>Deux clés/poignées de levage amovibles sont livrées pour chaque couvercle.</w:t>
      </w:r>
    </w:p>
    <w:p w14:paraId="6772E35C" w14:textId="77777777" w:rsidR="004B2808" w:rsidRDefault="00000000">
      <w:pPr>
        <w:pStyle w:val="Author-eListParagraph"/>
        <w:numPr>
          <w:ilvl w:val="0"/>
          <w:numId w:val="651"/>
        </w:numPr>
      </w:pPr>
      <w:r>
        <w:t>Avec dispositif de blocage contre la fermeture accidentelle.</w:t>
      </w:r>
    </w:p>
    <w:p w14:paraId="3D892FD7" w14:textId="77777777" w:rsidR="004B2808" w:rsidRDefault="00000000">
      <w:pPr>
        <w:pStyle w:val="Author-eListParagraph"/>
        <w:numPr>
          <w:ilvl w:val="0"/>
          <w:numId w:val="651"/>
        </w:numPr>
      </w:pPr>
      <w:r>
        <w:t xml:space="preserve">Dispositif de déverrouillage manuel pour l’ouverture rapide par en dessous : </w:t>
      </w:r>
      <w:r>
        <w:rPr>
          <w:rStyle w:val="optioncarChar"/>
        </w:rPr>
        <w:t>oui / non</w:t>
      </w:r>
      <w:r>
        <w:t xml:space="preserve"> (par défaut).</w:t>
      </w:r>
    </w:p>
    <w:p w14:paraId="52FD28C4" w14:textId="77777777" w:rsidR="004B2808" w:rsidRDefault="00000000">
      <w:pPr>
        <w:pStyle w:val="Author-eListParagraph"/>
        <w:numPr>
          <w:ilvl w:val="0"/>
          <w:numId w:val="651"/>
        </w:numPr>
      </w:pPr>
      <w:r>
        <w:t xml:space="preserve">Le couvercle de sol et le cadre sont fabriqués en : </w:t>
      </w:r>
      <w:r>
        <w:rPr>
          <w:rStyle w:val="optioncarChar"/>
        </w:rPr>
        <w:t xml:space="preserve">acier galvanisé </w:t>
      </w:r>
      <w:r>
        <w:t xml:space="preserve">(par défaut) </w:t>
      </w:r>
      <w:r>
        <w:rPr>
          <w:rStyle w:val="optioncarChar"/>
        </w:rPr>
        <w:t>/ acier inoxydable / fonte moulée.</w:t>
      </w:r>
    </w:p>
    <w:p w14:paraId="5511C2FD" w14:textId="77777777" w:rsidR="004B2808" w:rsidRDefault="00000000">
      <w:pPr>
        <w:ind w:left="567"/>
        <w:jc w:val="both"/>
      </w:pPr>
      <w:r>
        <w:rPr>
          <w:b/>
          <w:i/>
        </w:rPr>
        <w:t>(Soit par défaut)</w:t>
      </w:r>
    </w:p>
    <w:p w14:paraId="2572514F" w14:textId="77777777" w:rsidR="004B2808" w:rsidRDefault="00000000">
      <w:pPr>
        <w:ind w:left="567"/>
        <w:jc w:val="both"/>
      </w:pPr>
      <w:r>
        <w:rPr>
          <w:rStyle w:val="soitChar"/>
          <w:u w:val="single"/>
        </w:rPr>
        <w:t>Acier galvanisé</w:t>
      </w:r>
    </w:p>
    <w:p w14:paraId="2DA5FEAB" w14:textId="77777777" w:rsidR="004B2808" w:rsidRDefault="00000000">
      <w:pPr>
        <w:ind w:left="567"/>
        <w:jc w:val="both"/>
      </w:pPr>
      <w:r>
        <w:rPr>
          <w:rStyle w:val="soitChar"/>
        </w:rPr>
        <w:t>Acier galvanisé à chaud par immersion répondant à la [NBN EN ISO 1461].</w:t>
      </w:r>
    </w:p>
    <w:p w14:paraId="5427BE16" w14:textId="77777777" w:rsidR="004B2808" w:rsidRDefault="00000000">
      <w:pPr>
        <w:ind w:left="567"/>
        <w:jc w:val="both"/>
      </w:pPr>
      <w:r>
        <w:rPr>
          <w:rStyle w:val="soitChar"/>
        </w:rPr>
        <w:t>Le cadre et le couvercle sont fabriqués en acier galvanisé. Les coins sont coupés à onglet et sont soudés. L’ancrage dans le support s’effectue via des pattes attachées au cadre.</w:t>
      </w:r>
    </w:p>
    <w:p w14:paraId="13B43546" w14:textId="77777777" w:rsidR="004B2808" w:rsidRDefault="00000000">
      <w:pPr>
        <w:ind w:left="567"/>
        <w:jc w:val="both"/>
      </w:pPr>
      <w:r>
        <w:rPr>
          <w:rStyle w:val="soitChar"/>
        </w:rPr>
        <w:t> Le couvercle se compose d’une tôle en acier galvanisé d’une épaisseur minimum de :</w:t>
      </w:r>
      <w:r>
        <w:rPr>
          <w:rStyle w:val="optioncarChar"/>
        </w:rPr>
        <w:t xml:space="preserve"> 8 </w:t>
      </w:r>
      <w:r>
        <w:t>(par défaut)</w:t>
      </w:r>
      <w:r>
        <w:rPr>
          <w:rStyle w:val="optioncarChar"/>
        </w:rPr>
        <w:t xml:space="preserve"> / ***</w:t>
      </w:r>
      <w:r>
        <w:rPr>
          <w:rStyle w:val="soitChar"/>
        </w:rPr>
        <w:t>mm, muni de traverses de renforcement soudées sur la face arrière afin d’obtenir la charge d’utilisation préconisée.</w:t>
      </w:r>
    </w:p>
    <w:p w14:paraId="036C8BC2" w14:textId="77777777" w:rsidR="004B2808" w:rsidRDefault="00000000">
      <w:pPr>
        <w:ind w:left="567"/>
        <w:jc w:val="both"/>
      </w:pPr>
      <w:r>
        <w:rPr>
          <w:b/>
          <w:i/>
        </w:rPr>
        <w:t>(Soit)</w:t>
      </w:r>
    </w:p>
    <w:p w14:paraId="763A5655" w14:textId="77777777" w:rsidR="004B2808" w:rsidRDefault="00000000">
      <w:pPr>
        <w:ind w:left="567"/>
        <w:jc w:val="both"/>
      </w:pPr>
      <w:r>
        <w:rPr>
          <w:rStyle w:val="soitChar"/>
          <w:u w:val="single"/>
        </w:rPr>
        <w:t xml:space="preserve">Acier inoxydable </w:t>
      </w:r>
    </w:p>
    <w:p w14:paraId="370EF84F" w14:textId="77777777" w:rsidR="004B2808" w:rsidRDefault="00000000">
      <w:pPr>
        <w:ind w:left="567"/>
        <w:jc w:val="both"/>
      </w:pPr>
      <w:r>
        <w:rPr>
          <w:rStyle w:val="soitChar"/>
        </w:rPr>
        <w:t>Qualité :</w:t>
      </w:r>
      <w:r>
        <w:rPr>
          <w:rStyle w:val="optioncarChar"/>
        </w:rPr>
        <w:t xml:space="preserve">AISI 304 (standard) </w:t>
      </w:r>
      <w:r>
        <w:t>(par défaut)</w:t>
      </w:r>
      <w:r>
        <w:rPr>
          <w:rStyle w:val="optioncarChar"/>
        </w:rPr>
        <w:t xml:space="preserve"> / 316 (milieu agressif tel que mer, piscine, etc.) / ***</w:t>
      </w:r>
      <w:r>
        <w:t>.</w:t>
      </w:r>
    </w:p>
    <w:p w14:paraId="5458CB3C" w14:textId="77777777" w:rsidR="004B2808" w:rsidRDefault="004B2808">
      <w:pPr>
        <w:ind w:left="567"/>
        <w:jc w:val="both"/>
      </w:pPr>
    </w:p>
    <w:p w14:paraId="6D79A325" w14:textId="77777777" w:rsidR="004B2808" w:rsidRDefault="00000000">
      <w:pPr>
        <w:ind w:left="567"/>
        <w:jc w:val="both"/>
      </w:pPr>
      <w:r>
        <w:rPr>
          <w:rStyle w:val="soitChar"/>
        </w:rPr>
        <w:t>Le cadre et le couvercle sont fabriqués en acier inox. Les coins sont coupés à onglet et sont soudés. L’ancrage dans le support s’effectue via des pattes attachées au cadre.</w:t>
      </w:r>
    </w:p>
    <w:p w14:paraId="6E74C749" w14:textId="77777777" w:rsidR="004B2808" w:rsidRDefault="00000000">
      <w:pPr>
        <w:ind w:left="567"/>
        <w:jc w:val="both"/>
      </w:pPr>
      <w:r>
        <w:rPr>
          <w:rStyle w:val="soitChar"/>
        </w:rPr>
        <w:t>Le couvercle se compose d’une tôle en acier inox d’une épaisseur minimum de :</w:t>
      </w:r>
      <w:r>
        <w:rPr>
          <w:rStyle w:val="optioncarChar"/>
        </w:rPr>
        <w:t xml:space="preserve">8 </w:t>
      </w:r>
      <w:r>
        <w:t>(par défaut)</w:t>
      </w:r>
      <w:r>
        <w:rPr>
          <w:rStyle w:val="optioncarChar"/>
        </w:rPr>
        <w:t xml:space="preserve"> / ***</w:t>
      </w:r>
      <w:r>
        <w:rPr>
          <w:rStyle w:val="soitChar"/>
        </w:rPr>
        <w:t>mm, muni de traverses de renforcement soudées sur la face arrière afin d’obtenir la charge d’utilisation préconisée.</w:t>
      </w:r>
    </w:p>
    <w:p w14:paraId="110E3DAC" w14:textId="77777777" w:rsidR="004B2808" w:rsidRDefault="00000000">
      <w:pPr>
        <w:ind w:left="567"/>
        <w:jc w:val="both"/>
      </w:pPr>
      <w:r>
        <w:rPr>
          <w:b/>
          <w:i/>
        </w:rPr>
        <w:t>(Soit)</w:t>
      </w:r>
    </w:p>
    <w:p w14:paraId="6A60B697" w14:textId="77777777" w:rsidR="004B2808" w:rsidRDefault="00000000">
      <w:pPr>
        <w:ind w:left="567"/>
        <w:jc w:val="both"/>
      </w:pPr>
      <w:r>
        <w:rPr>
          <w:rStyle w:val="soitChar"/>
          <w:u w:val="single"/>
        </w:rPr>
        <w:t xml:space="preserve">Fonte moulée </w:t>
      </w:r>
    </w:p>
    <w:p w14:paraId="1B49A729" w14:textId="77777777" w:rsidR="004B2808" w:rsidRDefault="00000000">
      <w:pPr>
        <w:ind w:left="567"/>
        <w:jc w:val="both"/>
      </w:pPr>
      <w:r>
        <w:rPr>
          <w:rStyle w:val="soitChar"/>
        </w:rPr>
        <w:t>Le cadre et le couvercle sont fabriqués en fonte ductile répondant à la [NBN B 54-101]. Ils sont débarrassés de toute rouille, ébavurés et enduits d'une couche de peinture primaire et, ensuite, de deux couches de peinture à base de résine alkyde. La mise en peinture est comprise dans le prix unitaire.</w:t>
      </w:r>
    </w:p>
    <w:p w14:paraId="739E7D60" w14:textId="77777777" w:rsidR="004B2808" w:rsidRDefault="00000000">
      <w:pPr>
        <w:ind w:left="567"/>
        <w:jc w:val="both"/>
      </w:pPr>
      <w:r>
        <w:rPr>
          <w:rStyle w:val="soitChar"/>
        </w:rPr>
        <w:t>Coloris :</w:t>
      </w:r>
      <w:r>
        <w:rPr>
          <w:rStyle w:val="optioncarChar"/>
        </w:rPr>
        <w:t xml:space="preserve">noir </w:t>
      </w:r>
      <w:r>
        <w:t>(par défaut)</w:t>
      </w:r>
      <w:r>
        <w:rPr>
          <w:rStyle w:val="optioncarChar"/>
        </w:rPr>
        <w:t xml:space="preserve"> / ***</w:t>
      </w:r>
      <w:r>
        <w:t>.</w:t>
      </w:r>
    </w:p>
    <w:p w14:paraId="223CAF88" w14:textId="77777777" w:rsidR="004B2808" w:rsidRDefault="00000000">
      <w:pPr>
        <w:pStyle w:val="pheading"/>
      </w:pPr>
      <w:r>
        <w:lastRenderedPageBreak/>
        <w:t>EXÉCUTION / MISE EN ŒUVRE</w:t>
      </w:r>
    </w:p>
    <w:p w14:paraId="0D26BE5D" w14:textId="77777777" w:rsidR="004B2808" w:rsidRDefault="00000000">
      <w:pPr>
        <w:pStyle w:val="pheading"/>
      </w:pPr>
      <w:r>
        <w:t>- Notes d’exécution complémentaires</w:t>
      </w:r>
    </w:p>
    <w:p w14:paraId="2261B3FA" w14:textId="77777777" w:rsidR="004B2808" w:rsidRDefault="00000000">
      <w:r>
        <w:rPr>
          <w:rStyle w:val="facultChar"/>
        </w:rPr>
        <w:t>Le présent article comprend également :</w:t>
      </w:r>
      <w:r>
        <w:rPr>
          <w:rStyle w:val="optioncarChar"/>
        </w:rPr>
        <w:t>le plan de calepinage du carrelage </w:t>
      </w:r>
      <w:r>
        <w:t>(par défaut)</w:t>
      </w:r>
      <w:r>
        <w:rPr>
          <w:rStyle w:val="optioncarChar"/>
        </w:rPr>
        <w:t xml:space="preserve"> / ***</w:t>
      </w:r>
      <w:r>
        <w:t>.</w:t>
      </w:r>
    </w:p>
    <w:p w14:paraId="19424E85" w14:textId="77777777" w:rsidR="004B2808" w:rsidRDefault="00000000">
      <w:pPr>
        <w:pStyle w:val="Author-eListParagraph"/>
        <w:numPr>
          <w:ilvl w:val="0"/>
          <w:numId w:val="652"/>
        </w:numPr>
      </w:pPr>
      <w:r>
        <w:rPr>
          <w:rStyle w:val="facultChar"/>
          <w:u w:val="single"/>
        </w:rPr>
        <w:t>Le plan de calepinage du carrelage</w:t>
      </w:r>
    </w:p>
    <w:p w14:paraId="1FCB0FD9" w14:textId="77777777" w:rsidR="004B2808" w:rsidRDefault="00000000">
      <w:pPr>
        <w:ind w:left="567"/>
      </w:pPr>
      <w:r>
        <w:rPr>
          <w:rStyle w:val="facultChar"/>
        </w:rPr>
        <w:t>Le couvercle est positionné conformément au plan de détail de calepinage du carrelage fourni par l’architecte.</w:t>
      </w:r>
      <w:r>
        <w:t> </w:t>
      </w:r>
    </w:p>
    <w:p w14:paraId="4C2BAEE7" w14:textId="77777777" w:rsidR="004B2808" w:rsidRDefault="00000000">
      <w:pPr>
        <w:pStyle w:val="pheading"/>
      </w:pPr>
      <w:r>
        <w:t>CONTRÔLES PARTICULIERS</w:t>
      </w:r>
    </w:p>
    <w:p w14:paraId="42E1C12A" w14:textId="77777777" w:rsidR="004B2808" w:rsidRDefault="00000000">
      <w:r>
        <w:t>Contrôles de planéité et de désaffleurement conformément aux prescriptions du chapitre 7 la [NIT 237].</w:t>
      </w:r>
    </w:p>
    <w:p w14:paraId="69BC3BA7" w14:textId="77777777" w:rsidR="004B2808" w:rsidRDefault="00000000">
      <w:pPr>
        <w:pStyle w:val="pheading"/>
      </w:pPr>
      <w:r>
        <w:t>DOCUMENTS DE RÉFÉRENCE COMPLÉMENTAIRES</w:t>
      </w:r>
    </w:p>
    <w:p w14:paraId="754955DF" w14:textId="77777777" w:rsidR="004B2808" w:rsidRDefault="00000000">
      <w:pPr>
        <w:pStyle w:val="pheading"/>
      </w:pPr>
      <w:r>
        <w:t>- Matériau</w:t>
      </w:r>
    </w:p>
    <w:p w14:paraId="197054E9" w14:textId="77777777" w:rsidR="004B2808" w:rsidRDefault="00000000">
      <w:r>
        <w:t>[NBN EN 124 série, Dispositifs de couronnement et de fermeture pour les zones de circulation utilisées par les piétons et les véhicules]</w:t>
      </w:r>
    </w:p>
    <w:p w14:paraId="05761CBB" w14:textId="77777777" w:rsidR="004B2808" w:rsidRDefault="00000000">
      <w:r>
        <w:t>[NBN B 54-101, Pièces et appareils en fonte pour la récolte et l'évacuation des eaux de bâtiments - Spécifications techniques générales]</w:t>
      </w:r>
    </w:p>
    <w:p w14:paraId="1F38DA3F" w14:textId="77777777" w:rsidR="004B2808" w:rsidRDefault="00000000">
      <w:r>
        <w:t>[NBN EN ISO 1461, Revêtements par galvanisation à chaud sur produits finis en fonte et en acier - Spécifications et méthodes d'essai (ISO 1461:2022) ]</w:t>
      </w:r>
    </w:p>
    <w:p w14:paraId="63197216" w14:textId="77777777" w:rsidR="004B2808" w:rsidRDefault="00000000">
      <w:r>
        <w:t>[NBN B 54-101, Pièces et appareils en fonte pour la récolte et l'évacuation des eaux de bâtiments - Spécifications techniques générales]</w:t>
      </w:r>
    </w:p>
    <w:p w14:paraId="623A8F9B" w14:textId="77777777" w:rsidR="004B2808" w:rsidRDefault="00000000">
      <w:pPr>
        <w:pStyle w:val="pheading"/>
      </w:pPr>
      <w:r>
        <w:t>- Exécution</w:t>
      </w:r>
    </w:p>
    <w:p w14:paraId="7BA4106F" w14:textId="77777777" w:rsidR="004B2808" w:rsidRDefault="00000000">
      <w:r>
        <w:t>[NIT 237, Revêtements de sol intérieurs en carreaux céramiques (remplace la NIT 137 pour les travaux de carrelage en céramique).]</w:t>
      </w:r>
    </w:p>
    <w:p w14:paraId="60177E70" w14:textId="77777777" w:rsidR="004B2808" w:rsidRDefault="00000000">
      <w:pPr>
        <w:pStyle w:val="pheading"/>
      </w:pPr>
      <w:r>
        <w:t>MESURAGE</w:t>
      </w:r>
    </w:p>
    <w:p w14:paraId="005A824E" w14:textId="77777777" w:rsidR="004B2808" w:rsidRDefault="00000000">
      <w:pPr>
        <w:pStyle w:val="pheading"/>
      </w:pPr>
      <w:r>
        <w:t>- unité de mesure:</w:t>
      </w:r>
    </w:p>
    <w:p w14:paraId="2B45A83A" w14:textId="77777777" w:rsidR="004B2808" w:rsidRDefault="00000000">
      <w:r>
        <w:t>pc</w:t>
      </w:r>
    </w:p>
    <w:p w14:paraId="2A539443" w14:textId="77777777" w:rsidR="004B2808" w:rsidRDefault="00000000">
      <w:pPr>
        <w:pStyle w:val="pheading"/>
      </w:pPr>
      <w:r>
        <w:t>- code de mesurage:</w:t>
      </w:r>
    </w:p>
    <w:p w14:paraId="636B925F" w14:textId="77777777" w:rsidR="004B2808" w:rsidRDefault="00000000">
      <w:r>
        <w:t>Quantité nette, à ventiler suivant la nature des matériaux et des dimensions.</w:t>
      </w:r>
    </w:p>
    <w:p w14:paraId="30DB4405" w14:textId="77777777" w:rsidR="004B2808" w:rsidRDefault="00000000">
      <w:pPr>
        <w:pStyle w:val="pheading"/>
      </w:pPr>
      <w:r>
        <w:t>- nature du marché:</w:t>
      </w:r>
    </w:p>
    <w:p w14:paraId="66CD30CE" w14:textId="77777777" w:rsidR="004B2808" w:rsidRDefault="00000000">
      <w:r>
        <w:t>QF</w:t>
      </w:r>
    </w:p>
    <w:p w14:paraId="68D6497E" w14:textId="77777777" w:rsidR="004B2808" w:rsidRDefault="00000000">
      <w:pPr>
        <w:pStyle w:val="pheading"/>
      </w:pPr>
      <w:r>
        <w:t>AIDE</w:t>
      </w:r>
    </w:p>
    <w:p w14:paraId="7FCE4DDF" w14:textId="77777777" w:rsidR="004B2808" w:rsidRDefault="00000000">
      <w:pPr>
        <w:jc w:val="both"/>
      </w:pPr>
      <w:r>
        <w:t>Les couvercles à double fond n’existent qu’en fonte ou aluminium moulé.</w:t>
      </w:r>
    </w:p>
    <w:p w14:paraId="288E61D1" w14:textId="77777777" w:rsidR="004B2808" w:rsidRDefault="00000000">
      <w:pPr>
        <w:jc w:val="both"/>
      </w:pPr>
      <w:r>
        <w:t>Classification des charges suivant la [NBN EN 124 série] :</w:t>
      </w:r>
    </w:p>
    <w:p w14:paraId="794B67DD" w14:textId="77777777" w:rsidR="004B2808" w:rsidRDefault="00000000">
      <w:pPr>
        <w:pStyle w:val="Author-eListParagraph"/>
        <w:numPr>
          <w:ilvl w:val="0"/>
          <w:numId w:val="653"/>
        </w:numPr>
        <w:jc w:val="both"/>
      </w:pPr>
      <w:r>
        <w:t>Classe A 15 (kN) minimum : zones susceptibles d’être utilisées exclusivement par des piétons et des cyclistes.</w:t>
      </w:r>
    </w:p>
    <w:p w14:paraId="5CDC7A6D" w14:textId="77777777" w:rsidR="004B2808" w:rsidRDefault="00000000">
      <w:pPr>
        <w:pStyle w:val="Author-eListParagraph"/>
        <w:numPr>
          <w:ilvl w:val="0"/>
          <w:numId w:val="653"/>
        </w:numPr>
        <w:jc w:val="both"/>
      </w:pPr>
      <w:r>
        <w:t>Classe B 125 (kN) minimum : zones piétonnes et zones comparables, aires de stationnement et parkings à étages pour voitures.</w:t>
      </w:r>
    </w:p>
    <w:p w14:paraId="11518C3B" w14:textId="77777777" w:rsidR="004B2808" w:rsidRDefault="00000000">
      <w:pPr>
        <w:pStyle w:val="Author-eListParagraph"/>
        <w:numPr>
          <w:ilvl w:val="0"/>
          <w:numId w:val="653"/>
        </w:numPr>
        <w:jc w:val="both"/>
      </w:pPr>
      <w:r>
        <w:t>Classe C 250 (kN) minimum : zones longeant les voies de circulation et les trottoirs</w:t>
      </w:r>
    </w:p>
    <w:p w14:paraId="007D64BE" w14:textId="77777777" w:rsidR="004B2808" w:rsidRDefault="00000000">
      <w:pPr>
        <w:pStyle w:val="Author-eListParagraph"/>
        <w:numPr>
          <w:ilvl w:val="0"/>
          <w:numId w:val="653"/>
        </w:numPr>
        <w:jc w:val="both"/>
      </w:pPr>
      <w:r>
        <w:t>Classe D 400 (kN) minimum : voies de circulation des routes (y compris les rues piétonnes),et aires de stationnement pour tous types de véhicules routiers.</w:t>
      </w:r>
    </w:p>
    <w:p w14:paraId="658E6E11" w14:textId="77777777" w:rsidR="004B2808" w:rsidRDefault="00000000">
      <w:pPr>
        <w:pStyle w:val="Author-eListParagraph"/>
        <w:numPr>
          <w:ilvl w:val="0"/>
          <w:numId w:val="653"/>
        </w:numPr>
        <w:jc w:val="both"/>
      </w:pPr>
      <w:r>
        <w:t>Classe E 600 (kN) minimum) : zones imposant des charges à l'essieu élevées, par exemple docks, chaussées pour avions.</w:t>
      </w:r>
    </w:p>
    <w:p w14:paraId="24215FFD" w14:textId="77777777" w:rsidR="004B2808" w:rsidRDefault="00000000">
      <w:pPr>
        <w:pStyle w:val="Author-eListParagraph"/>
        <w:numPr>
          <w:ilvl w:val="0"/>
          <w:numId w:val="653"/>
        </w:numPr>
        <w:jc w:val="both"/>
      </w:pPr>
      <w:r>
        <w:t>Classe F 900 (kN) : zones imposant des charges à l’essieu particulièrement élevées, par exemple chaussées pour avions.</w:t>
      </w:r>
    </w:p>
    <w:p w14:paraId="2F6C3BBC" w14:textId="77777777" w:rsidR="004B2808" w:rsidRDefault="00000000">
      <w:pPr>
        <w:pStyle w:val="Author-eSectionHeading6Numberless"/>
      </w:pPr>
      <w:bookmarkStart w:id="812" w:name="_Toc220490961"/>
      <w:r>
        <w:lastRenderedPageBreak/>
        <w:t>53.68.1b Couvercles de sol en matériau synthétique CCTB 01.02</w:t>
      </w:r>
      <w:bookmarkEnd w:id="812"/>
    </w:p>
    <w:p w14:paraId="663C786E" w14:textId="77777777" w:rsidR="004B2808" w:rsidRDefault="00000000">
      <w:pPr>
        <w:pStyle w:val="Author-eSectionHeading6Numberless"/>
      </w:pPr>
      <w:bookmarkStart w:id="813" w:name="_Toc220490962"/>
      <w:r>
        <w:t>53.68.1c Couvercles de sol à carreler CCTB 01.02</w:t>
      </w:r>
      <w:bookmarkEnd w:id="813"/>
    </w:p>
    <w:p w14:paraId="38E50BB2" w14:textId="77777777" w:rsidR="004B2808" w:rsidRDefault="00000000">
      <w:pPr>
        <w:pStyle w:val="Author-eSectionHeading5Numberless"/>
      </w:pPr>
      <w:bookmarkStart w:id="814" w:name="_Toc220490963"/>
      <w:r>
        <w:t>53.68.2 Grilles de sol CCTB 01.10</w:t>
      </w:r>
      <w:bookmarkEnd w:id="814"/>
    </w:p>
    <w:p w14:paraId="45FE8F8B" w14:textId="77777777" w:rsidR="004B2808" w:rsidRDefault="00000000">
      <w:pPr>
        <w:pStyle w:val="pheading"/>
      </w:pPr>
      <w:bookmarkStart w:id="815" w:name="1496"/>
      <w:bookmarkEnd w:id="815"/>
      <w:r>
        <w:t>DESCRIPTION</w:t>
      </w:r>
    </w:p>
    <w:p w14:paraId="51D5A634" w14:textId="77777777" w:rsidR="004B2808" w:rsidRDefault="00000000">
      <w:pPr>
        <w:pStyle w:val="pheading"/>
      </w:pPr>
      <w:r>
        <w:t>- Définition / Comprend</w:t>
      </w:r>
    </w:p>
    <w:p w14:paraId="0C560983" w14:textId="77777777" w:rsidR="004B2808" w:rsidRDefault="00000000">
      <w:r>
        <w:t>Il s'agit de châssis avec une grille amovible, autres que celle sur les fosses d'égout, à encastrer dans le revêtement de sol intérieur. Les grilles de sol sont livrées non traitées sur le chantier.</w:t>
      </w:r>
    </w:p>
    <w:p w14:paraId="5BB79A4A" w14:textId="77777777" w:rsidR="004B2808" w:rsidRDefault="00000000">
      <w:pPr>
        <w:pStyle w:val="pheading"/>
      </w:pPr>
      <w:r>
        <w:t>MATÉRIAUX</w:t>
      </w:r>
    </w:p>
    <w:p w14:paraId="2DA6EF76" w14:textId="77777777" w:rsidR="004B2808" w:rsidRDefault="00000000">
      <w:r>
        <w:t>La grille et son cadre sont fabriqués en:</w:t>
      </w:r>
    </w:p>
    <w:p w14:paraId="783D4EE4" w14:textId="77777777" w:rsidR="004B2808" w:rsidRDefault="00000000">
      <w:pPr>
        <w:ind w:left="450"/>
      </w:pPr>
      <w:r>
        <w:rPr>
          <w:b/>
        </w:rPr>
        <w:t>Choix opéré</w:t>
      </w:r>
      <w:r>
        <w:t xml:space="preserve"> : </w:t>
      </w:r>
      <w:r>
        <w:rPr>
          <w:rStyle w:val="optioncarChar"/>
        </w:rPr>
        <w:t>OPTION 1 (fonte ou acier moulé)</w:t>
      </w:r>
      <w:r>
        <w:t> (par défaut)</w:t>
      </w:r>
      <w:r>
        <w:rPr>
          <w:rStyle w:val="optioncarChar"/>
        </w:rPr>
        <w:t xml:space="preserve"> / OPTION 2 (PVC) / OPTION 2 (aluminium) / OPTION 3 (acier inoxydable)  / ***</w:t>
      </w:r>
    </w:p>
    <w:p w14:paraId="6308768A" w14:textId="77777777" w:rsidR="004B2808" w:rsidRDefault="00000000">
      <w:pPr>
        <w:ind w:left="450"/>
      </w:pPr>
      <w:r>
        <w:rPr>
          <w:b/>
        </w:rPr>
        <w:t>***OPTION 1 (par défaut)</w:t>
      </w:r>
      <w:r>
        <w:t xml:space="preserve"> : fonte ou en acier moulé  et doivent répondre à la [NBN B 54-101]. Deux clés de levage sont livrées pour chaque couvercle. La fonte ou l'acier moulé sont débarrassés de toute rouille et sont enduits d'une couche de peinture au minium et, ensuite, de deux couches de peinture à base de résine alkyde. Coloris : </w:t>
      </w:r>
      <w:r>
        <w:rPr>
          <w:rStyle w:val="optioncarChar"/>
        </w:rPr>
        <w:t xml:space="preserve">*** </w:t>
      </w:r>
      <w:r>
        <w:t>La mise en peinture doit être comprise dans le prix unitaire.</w:t>
      </w:r>
      <w:r>
        <w:br/>
      </w:r>
      <w:r>
        <w:rPr>
          <w:b/>
        </w:rPr>
        <w:t>***OPTION 2</w:t>
      </w:r>
      <w:r>
        <w:t xml:space="preserve"> : PVC</w:t>
      </w:r>
      <w:r>
        <w:br/>
      </w:r>
      <w:r>
        <w:rPr>
          <w:b/>
        </w:rPr>
        <w:t>***OPTION 2</w:t>
      </w:r>
      <w:r>
        <w:t xml:space="preserve"> : aluminium</w:t>
      </w:r>
      <w:r>
        <w:br/>
      </w:r>
      <w:r>
        <w:rPr>
          <w:b/>
        </w:rPr>
        <w:t xml:space="preserve">***OPTION 3 </w:t>
      </w:r>
      <w:r>
        <w:t>: acier inoxydable</w:t>
      </w:r>
    </w:p>
    <w:p w14:paraId="56B873C2" w14:textId="77777777" w:rsidR="004B2808" w:rsidRDefault="00000000">
      <w:pPr>
        <w:pStyle w:val="heading"/>
      </w:pPr>
      <w:r>
        <w:t>Spécifications</w:t>
      </w:r>
    </w:p>
    <w:p w14:paraId="7D3DBB54" w14:textId="77777777" w:rsidR="004B2808" w:rsidRDefault="00000000">
      <w:pPr>
        <w:pStyle w:val="Author-eListParagraph"/>
        <w:numPr>
          <w:ilvl w:val="0"/>
          <w:numId w:val="654"/>
        </w:numPr>
      </w:pPr>
      <w:r>
        <w:t xml:space="preserve">Classe de résistance : </w:t>
      </w:r>
      <w:r>
        <w:rPr>
          <w:rStyle w:val="optioncarChar"/>
        </w:rPr>
        <w:t>Ia (charge d'essai 15 kN)</w:t>
      </w:r>
      <w:r>
        <w:t xml:space="preserve"> (par défaut) </w:t>
      </w:r>
      <w:r>
        <w:rPr>
          <w:rStyle w:val="optioncarChar"/>
        </w:rPr>
        <w:t>/ II (charge d'essai 60 kN) / III (charge d'essai supérieure à 100 kN) </w:t>
      </w:r>
      <w:r>
        <w:t>(par défaut)</w:t>
      </w:r>
      <w:r>
        <w:rPr>
          <w:rStyle w:val="optioncarChar"/>
        </w:rPr>
        <w:t> </w:t>
      </w:r>
      <w:r>
        <w:t xml:space="preserve">conformément </w:t>
      </w:r>
      <w:r>
        <w:rPr>
          <w:shd w:val="clear" w:color="auto" w:fill="FFFF00"/>
        </w:rPr>
        <w:t>aux [STS 35] § 35.12.1</w:t>
      </w:r>
    </w:p>
    <w:p w14:paraId="44488E43" w14:textId="77777777" w:rsidR="004B2808" w:rsidRDefault="00000000">
      <w:pPr>
        <w:pStyle w:val="Author-eListParagraph"/>
        <w:numPr>
          <w:ilvl w:val="0"/>
          <w:numId w:val="654"/>
        </w:numPr>
      </w:pPr>
      <w:r>
        <w:t xml:space="preserve">Aspect : </w:t>
      </w:r>
      <w:r>
        <w:rPr>
          <w:rStyle w:val="optioncarChar"/>
        </w:rPr>
        <w:t>plein</w:t>
      </w:r>
      <w:r>
        <w:t> (par défaut)</w:t>
      </w:r>
      <w:r>
        <w:rPr>
          <w:rStyle w:val="optioncarChar"/>
        </w:rPr>
        <w:t xml:space="preserve"> / légèrement rainuré avec poignée / en creux pour être carrelé / ***</w:t>
      </w:r>
    </w:p>
    <w:p w14:paraId="2E8666D9" w14:textId="77777777" w:rsidR="004B2808" w:rsidRDefault="00000000">
      <w:pPr>
        <w:pStyle w:val="Author-eListParagraph"/>
        <w:numPr>
          <w:ilvl w:val="0"/>
          <w:numId w:val="654"/>
        </w:numPr>
      </w:pPr>
      <w:r>
        <w:t xml:space="preserve">Dimensions extérieures du cadre : </w:t>
      </w:r>
      <w:r>
        <w:rPr>
          <w:rStyle w:val="optioncarChar"/>
        </w:rPr>
        <w:t>20 x 20</w:t>
      </w:r>
      <w:r>
        <w:t xml:space="preserve"> (par défaut)</w:t>
      </w:r>
      <w:r>
        <w:rPr>
          <w:rStyle w:val="optioncarChar"/>
        </w:rPr>
        <w:t> / 300 x 300 / 400 x 400 / 500 x 500 / ***</w:t>
      </w:r>
      <w:r>
        <w:t xml:space="preserve"> mm.</w:t>
      </w:r>
    </w:p>
    <w:p w14:paraId="752469BF" w14:textId="77777777" w:rsidR="004B2808" w:rsidRDefault="00000000">
      <w:pPr>
        <w:pStyle w:val="pheading"/>
      </w:pPr>
      <w:r>
        <w:t>EXÉCUTION / MISE EN ŒUVRE</w:t>
      </w:r>
    </w:p>
    <w:p w14:paraId="10F9B934" w14:textId="77777777" w:rsidR="004B2808" w:rsidRDefault="00000000">
      <w:r>
        <w:t>Les bords du cadre doivent coïncider avec les joints des carreaux lorsque le format des carreaux le permettent. Le cadre est encastré dans le revêtement de sol au niveau prescrit et fixé au mortier de ciment conformément aux prescriptions de la [NIT 237].</w:t>
      </w:r>
    </w:p>
    <w:p w14:paraId="5742BA42" w14:textId="77777777" w:rsidR="004B2808" w:rsidRDefault="00000000">
      <w:pPr>
        <w:pStyle w:val="Author-eSectionHeading6Numberless"/>
      </w:pPr>
      <w:bookmarkStart w:id="816" w:name="_Toc220490964"/>
      <w:r>
        <w:t>53.68.2a Grilles de sol métalliques CCTB 01.02</w:t>
      </w:r>
      <w:bookmarkEnd w:id="816"/>
    </w:p>
    <w:p w14:paraId="35F062EC" w14:textId="77777777" w:rsidR="004B2808" w:rsidRDefault="00000000">
      <w:pPr>
        <w:pStyle w:val="Author-eSectionHeading6Numberless"/>
      </w:pPr>
      <w:bookmarkStart w:id="817" w:name="_Toc220490965"/>
      <w:r>
        <w:t>53.68.2b Grilles de sol en matériau synthétique CCTB 01.02</w:t>
      </w:r>
      <w:bookmarkEnd w:id="817"/>
    </w:p>
    <w:p w14:paraId="620FD59E" w14:textId="77777777" w:rsidR="004B2808" w:rsidRDefault="00000000">
      <w:pPr>
        <w:pStyle w:val="Author-eSectionHeading3Numberless"/>
      </w:pPr>
      <w:bookmarkStart w:id="818" w:name="_Toc220490966"/>
      <w:r>
        <w:t>53.7 - CCTB 01.02</w:t>
      </w:r>
      <w:bookmarkEnd w:id="818"/>
    </w:p>
    <w:p w14:paraId="1482FF18" w14:textId="77777777" w:rsidR="004B2808" w:rsidRDefault="00000000">
      <w:pPr>
        <w:pStyle w:val="Author-eSectionHeading3Numberless"/>
      </w:pPr>
      <w:bookmarkStart w:id="819" w:name="_Toc220490967"/>
      <w:r>
        <w:t>53.8 Chapes et revêtements de sols intérieurs - Rénovation CCTB 01.02</w:t>
      </w:r>
      <w:bookmarkEnd w:id="819"/>
    </w:p>
    <w:p w14:paraId="0080F664" w14:textId="77777777" w:rsidR="004B2808" w:rsidRDefault="00000000">
      <w:pPr>
        <w:pStyle w:val="Author-eSectionHeading2Numberless"/>
      </w:pPr>
      <w:bookmarkStart w:id="820" w:name="1262"/>
      <w:bookmarkStart w:id="821" w:name="_Toc220490968"/>
      <w:bookmarkEnd w:id="820"/>
      <w:r>
        <w:t>54 Faux-plafonds et finition des plafonds intérieurs CCTB 01.11</w:t>
      </w:r>
      <w:bookmarkEnd w:id="821"/>
    </w:p>
    <w:p w14:paraId="6E79166B" w14:textId="77777777" w:rsidR="004B2808" w:rsidRDefault="00000000">
      <w:pPr>
        <w:pStyle w:val="Author-eSectionHeading3Numberless"/>
      </w:pPr>
      <w:bookmarkStart w:id="822" w:name="_Toc220490969"/>
      <w:r>
        <w:t>54.1 Revêtements de plafonds enduits CCTB 01.12</w:t>
      </w:r>
      <w:bookmarkEnd w:id="822"/>
    </w:p>
    <w:p w14:paraId="365DFAA3" w14:textId="77777777" w:rsidR="004B2808" w:rsidRDefault="00000000">
      <w:pPr>
        <w:pStyle w:val="pheading"/>
      </w:pPr>
      <w:bookmarkStart w:id="823" w:name="1290"/>
      <w:bookmarkEnd w:id="823"/>
      <w:r>
        <w:t>DESCRIPTION</w:t>
      </w:r>
    </w:p>
    <w:p w14:paraId="4E6516A8" w14:textId="77777777" w:rsidR="004B2808" w:rsidRDefault="00000000">
      <w:pPr>
        <w:pStyle w:val="pheading"/>
      </w:pPr>
      <w:r>
        <w:t>- Définition / Comprend</w:t>
      </w:r>
    </w:p>
    <w:p w14:paraId="172303E6" w14:textId="77777777" w:rsidR="004B2808" w:rsidRDefault="00000000">
      <w:r>
        <w:lastRenderedPageBreak/>
        <w:t>Les descriptions suivantes concernent le plafonnage intérieur sur les surfaces de plafond horizontales et inclinées, qui sont destinées à recevoir par la suite un revêtement de finition, par ex. peinture, tapissage, enduits décoratifs.</w:t>
      </w:r>
    </w:p>
    <w:p w14:paraId="3559525E" w14:textId="77777777" w:rsidR="004B2808" w:rsidRDefault="00000000">
      <w:r>
        <w:t>Le poste " Revêtements de plafonds enduits " comprend toutes les fournitures et travaux en vue de la réalisation des plafonnages prévus sur les plafonds intérieurs jusqu'à l'obtention d'un ouvrage achevé et prêt à peindre. Conformément aux dispositions générales et/ou spécifiques du cahier spécial des charges, les prix unitaires compris dans ces postes comprennent toujours, soit selon la ventilation dans le métré récapitulatif, soit dans leur totalité :</w:t>
      </w:r>
    </w:p>
    <w:p w14:paraId="3EB9A263" w14:textId="77777777" w:rsidR="004B2808" w:rsidRDefault="00000000">
      <w:pPr>
        <w:pStyle w:val="Author-eListParagraph"/>
        <w:numPr>
          <w:ilvl w:val="0"/>
          <w:numId w:val="655"/>
        </w:numPr>
      </w:pPr>
      <w:r>
        <w:t>la préparation et le dépoussiérage (à la brosse ou à l'aspirateur) du support;</w:t>
      </w:r>
    </w:p>
    <w:p w14:paraId="72977951" w14:textId="77777777" w:rsidR="004B2808" w:rsidRDefault="00000000">
      <w:pPr>
        <w:pStyle w:val="Author-eListParagraph"/>
        <w:numPr>
          <w:ilvl w:val="0"/>
          <w:numId w:val="655"/>
        </w:numPr>
      </w:pPr>
      <w:r>
        <w:t>l'application préalable d'une couche de fond lorsque le type de support le requiert;</w:t>
      </w:r>
    </w:p>
    <w:p w14:paraId="381611F6" w14:textId="77777777" w:rsidR="004B2808" w:rsidRDefault="00000000">
      <w:pPr>
        <w:pStyle w:val="Author-eListParagraph"/>
        <w:numPr>
          <w:ilvl w:val="0"/>
          <w:numId w:val="655"/>
        </w:numPr>
      </w:pPr>
      <w:r>
        <w:t>l'installation des échafaudages nécessaires;</w:t>
      </w:r>
    </w:p>
    <w:p w14:paraId="41BBD5D2" w14:textId="77777777" w:rsidR="004B2808" w:rsidRDefault="00000000">
      <w:pPr>
        <w:pStyle w:val="Author-eListParagraph"/>
        <w:numPr>
          <w:ilvl w:val="0"/>
          <w:numId w:val="655"/>
        </w:numPr>
      </w:pPr>
      <w:r>
        <w:t>la protection efficace des ouvrages déjà réalisés;</w:t>
      </w:r>
    </w:p>
    <w:p w14:paraId="5E06AFC1" w14:textId="77777777" w:rsidR="004B2808" w:rsidRDefault="00000000">
      <w:pPr>
        <w:pStyle w:val="Author-eListParagraph"/>
        <w:numPr>
          <w:ilvl w:val="0"/>
          <w:numId w:val="655"/>
        </w:numPr>
      </w:pPr>
      <w:r>
        <w:t>la fourniture et la pose des profils de protections pour les bords et les angles ainsi que les treillis de renfort;</w:t>
      </w:r>
    </w:p>
    <w:p w14:paraId="4191707B" w14:textId="77777777" w:rsidR="004B2808" w:rsidRDefault="00000000">
      <w:pPr>
        <w:pStyle w:val="Author-eListParagraph"/>
        <w:numPr>
          <w:ilvl w:val="0"/>
          <w:numId w:val="655"/>
        </w:numPr>
      </w:pPr>
      <w:r>
        <w:t>l'exécution des couches d'enduit prescrites, y compris toutes les fournitures;</w:t>
      </w:r>
    </w:p>
    <w:p w14:paraId="0394F1B5" w14:textId="77777777" w:rsidR="004B2808" w:rsidRDefault="00000000">
      <w:pPr>
        <w:pStyle w:val="Author-eListParagraph"/>
        <w:numPr>
          <w:ilvl w:val="0"/>
          <w:numId w:val="655"/>
        </w:numPr>
      </w:pPr>
      <w:r>
        <w:t>l'arrêt ou la découpe du plafonnage juste au-dessus des protections contre l'humidité;</w:t>
      </w:r>
    </w:p>
    <w:p w14:paraId="04096A20" w14:textId="77777777" w:rsidR="004B2808" w:rsidRDefault="00000000">
      <w:pPr>
        <w:pStyle w:val="Author-eListParagraph"/>
        <w:numPr>
          <w:ilvl w:val="0"/>
          <w:numId w:val="655"/>
        </w:numPr>
      </w:pPr>
      <w:r>
        <w:t>l'égalisation complète de la surface, la finition soignée au droit des profils des bords et des angles et des profils d'arrêt, le retouchage des imperfections remarquées, telles que les irrégularités ou les rayures, …;</w:t>
      </w:r>
    </w:p>
    <w:p w14:paraId="7838F808" w14:textId="77777777" w:rsidR="004B2808" w:rsidRDefault="00000000">
      <w:pPr>
        <w:pStyle w:val="Author-eListParagraph"/>
        <w:numPr>
          <w:ilvl w:val="0"/>
          <w:numId w:val="655"/>
        </w:numPr>
      </w:pPr>
      <w:r>
        <w:t>le ragréage parfait au droit des tablettes de fenêtre, des plinthes, des appareils d'éclairage et des installations de chauffage, etc. une fois mis en place;</w:t>
      </w:r>
    </w:p>
    <w:p w14:paraId="3C9043C4" w14:textId="77777777" w:rsidR="004B2808" w:rsidRDefault="00000000">
      <w:pPr>
        <w:pStyle w:val="Author-eListParagraph"/>
        <w:numPr>
          <w:ilvl w:val="0"/>
          <w:numId w:val="655"/>
        </w:numPr>
      </w:pPr>
      <w:r>
        <w:t>l'évacuation de tous les déchets, le nettoyage et/ou la protection du plafonnage appliqué.</w:t>
      </w:r>
    </w:p>
    <w:p w14:paraId="05848F99" w14:textId="77777777" w:rsidR="004B2808" w:rsidRDefault="00000000">
      <w:pPr>
        <w:pStyle w:val="pheading"/>
      </w:pPr>
      <w:r>
        <w:t>- Remarques importantes</w:t>
      </w:r>
    </w:p>
    <w:p w14:paraId="49858872" w14:textId="77777777" w:rsidR="004B2808" w:rsidRDefault="00000000">
      <w:r>
        <w:t xml:space="preserve">Attention : les revêtements de plafonds en plaques de plâtre enrobées de carton sont décrits au chapitre </w:t>
      </w:r>
      <w:hyperlink w:anchor="60" w:history="1">
        <w:r w:rsidR="004B2808">
          <w:rPr>
            <w:color w:val="0000EE"/>
          </w:rPr>
          <w:t>51 Parois légères et finitions des murs intérieurs</w:t>
        </w:r>
      </w:hyperlink>
    </w:p>
    <w:p w14:paraId="22D0492B" w14:textId="77777777" w:rsidR="004B2808" w:rsidRDefault="00000000">
      <w:pPr>
        <w:pStyle w:val="pheading"/>
      </w:pPr>
      <w:r>
        <w:t>MATÉRIAUX</w:t>
      </w:r>
    </w:p>
    <w:p w14:paraId="2B93C29A" w14:textId="77777777" w:rsidR="004B2808" w:rsidRDefault="00000000">
      <w:pPr>
        <w:jc w:val="both"/>
      </w:pPr>
      <w:r>
        <w:t>Les caractéristiques correspondent aux recommandations de la [NBN EN 13914-2] et de la [NIT 284] en fonction de l’application visée. L’enduit et ses caractéristiques sont compatibles avec le support et ses caractéristiques (résistance en particulier).</w:t>
      </w:r>
    </w:p>
    <w:p w14:paraId="5E9D4876" w14:textId="77777777" w:rsidR="004B2808" w:rsidRDefault="00000000">
      <w:pPr>
        <w:pStyle w:val="heading"/>
      </w:pPr>
      <w:r>
        <w:t>Composition du mortier</w:t>
      </w:r>
    </w:p>
    <w:p w14:paraId="52F1D1C0" w14:textId="77777777" w:rsidR="004B2808" w:rsidRDefault="00000000">
      <w:pPr>
        <w:pStyle w:val="Author-eListParagraph"/>
        <w:numPr>
          <w:ilvl w:val="0"/>
          <w:numId w:val="656"/>
        </w:numPr>
      </w:pPr>
      <w:r>
        <w:t>Dans leur composition, les matériaux doivent tenir compte de leur compatibilité mutuelle et du support de façon à assurer une adhérence et une stabilité optimales des couches entre elles et vis-à-vis du support. Les dispositions de la [NIT 284] sont d'application.</w:t>
      </w:r>
    </w:p>
    <w:p w14:paraId="22088865" w14:textId="77777777" w:rsidR="004B2808" w:rsidRDefault="00000000">
      <w:pPr>
        <w:pStyle w:val="Author-eListParagraph"/>
        <w:numPr>
          <w:ilvl w:val="0"/>
          <w:numId w:val="656"/>
        </w:numPr>
      </w:pPr>
      <w:r>
        <w:t xml:space="preserve">La composition concrète des matériaux de plafonnage est régie par les descriptifs du cahier spécial des charges et/ou des textes suivants.   </w:t>
      </w:r>
    </w:p>
    <w:p w14:paraId="3C6555C5" w14:textId="77777777" w:rsidR="004B2808" w:rsidRDefault="00000000">
      <w:pPr>
        <w:pStyle w:val="Author-eListParagraph"/>
        <w:numPr>
          <w:ilvl w:val="1"/>
          <w:numId w:val="657"/>
        </w:numPr>
      </w:pPr>
      <w:r>
        <w:t>Le plâtre provient du plâtreau (CaSO4 -1/2H2O) ou est obtenu par un processus industriel : la radioactivité du produit est négligeable et, par conséquent, &lt; 300 Bq/kg.</w:t>
      </w:r>
    </w:p>
    <w:p w14:paraId="1698408F" w14:textId="77777777" w:rsidR="004B2808" w:rsidRDefault="00000000">
      <w:pPr>
        <w:pStyle w:val="Author-eListParagraph"/>
        <w:numPr>
          <w:ilvl w:val="1"/>
          <w:numId w:val="657"/>
        </w:numPr>
      </w:pPr>
      <w:r>
        <w:t>L'hydrate de chaux (chaux grasse) répond à la [NBN EN 459 série] .</w:t>
      </w:r>
    </w:p>
    <w:p w14:paraId="69F16731" w14:textId="77777777" w:rsidR="004B2808" w:rsidRDefault="00000000">
      <w:pPr>
        <w:pStyle w:val="Author-eListParagraph"/>
        <w:numPr>
          <w:ilvl w:val="1"/>
          <w:numId w:val="657"/>
        </w:numPr>
      </w:pPr>
      <w:r>
        <w:t>Les mortiers hydrauliques répondent à la [NIT 284]. </w:t>
      </w:r>
    </w:p>
    <w:p w14:paraId="6D10BA4F" w14:textId="77777777" w:rsidR="004B2808" w:rsidRDefault="00000000">
      <w:pPr>
        <w:pStyle w:val="Author-eListParagraph"/>
        <w:numPr>
          <w:ilvl w:val="1"/>
          <w:numId w:val="657"/>
        </w:numPr>
      </w:pPr>
      <w:r>
        <w:t>Le ciment répond aux critères d'adaptabilité.</w:t>
      </w:r>
    </w:p>
    <w:p w14:paraId="35C85E0A" w14:textId="77777777" w:rsidR="004B2808" w:rsidRDefault="00000000">
      <w:pPr>
        <w:pStyle w:val="Author-eListParagraph"/>
        <w:numPr>
          <w:ilvl w:val="1"/>
          <w:numId w:val="657"/>
        </w:numPr>
      </w:pPr>
      <w:r>
        <w:t>Les additifs sont conformes à la [NIT 284] et ne sont acceptés que s’ils n'ont aucun effet néfaste sur les caractéristiques du mortier.</w:t>
      </w:r>
    </w:p>
    <w:p w14:paraId="62CC6A7D" w14:textId="77777777" w:rsidR="004B2808" w:rsidRDefault="00000000">
      <w:pPr>
        <w:pStyle w:val="Author-eListParagraph"/>
        <w:numPr>
          <w:ilvl w:val="1"/>
          <w:numId w:val="657"/>
        </w:numPr>
      </w:pPr>
      <w:r>
        <w:t>Les adjuvants légers tels que la perlite / vermiculite / liège / granulés XPS / fibres en matière synthétique /... : ces adjuvants n'ont d'aucune manière une influence néfaste sur la composition du mortier et ne sont pas nuisibles pour la mise en œuvre. La teneur en matières organiques est &lt; 0,5 %. Les dimensions des granulats les plus gros sont &lt; 1/3 de l'épaisseur de la couche d'enduit.</w:t>
      </w:r>
    </w:p>
    <w:p w14:paraId="571E3AD7" w14:textId="77777777" w:rsidR="004B2808" w:rsidRDefault="00000000">
      <w:pPr>
        <w:pStyle w:val="Author-eListParagraph"/>
        <w:numPr>
          <w:ilvl w:val="1"/>
          <w:numId w:val="657"/>
        </w:numPr>
      </w:pPr>
      <w:r>
        <w:t>L'eau de gâchage est claire et exempte de matières organiques. L'eau de ville ou de l'eau de puits potable est de préférence utilisée. L'eau teintée et/ou malodorante n'est pas admise.</w:t>
      </w:r>
    </w:p>
    <w:p w14:paraId="3DC4267E" w14:textId="77777777" w:rsidR="004B2808" w:rsidRDefault="00000000">
      <w:pPr>
        <w:pStyle w:val="heading"/>
      </w:pPr>
      <w:r>
        <w:lastRenderedPageBreak/>
        <w:t>Préparation du mortier</w:t>
      </w:r>
    </w:p>
    <w:p w14:paraId="29058831" w14:textId="77777777" w:rsidR="004B2808" w:rsidRDefault="00000000">
      <w:pPr>
        <w:pStyle w:val="Author-eListParagraph"/>
        <w:numPr>
          <w:ilvl w:val="0"/>
          <w:numId w:val="658"/>
        </w:numPr>
      </w:pPr>
      <w:r>
        <w:t>Les enduits sont exécutés avec un mortier préparé sur le chantier ou prémélangé en usine et mis en œuvre en une ou deux couches, en fonction de l'application.</w:t>
      </w:r>
    </w:p>
    <w:p w14:paraId="5446802A" w14:textId="77777777" w:rsidR="004B2808" w:rsidRDefault="00000000">
      <w:pPr>
        <w:pStyle w:val="Author-eListParagraph"/>
        <w:numPr>
          <w:ilvl w:val="0"/>
          <w:numId w:val="658"/>
        </w:numPr>
      </w:pPr>
      <w:r>
        <w:t>Les enduits secs prémélangés en usine sont livrés en sacs de 40 kg (mentionnant la date limite de péremption) et entreposés dans un endroit sec. Ils sont mélangés, dans une bétonneuse mécanique (à moins de 500 tr/min), avec la quantité d'eau de gâchage indiquée par le fabricant afin d'obtenir une pâte sans grumeaux.</w:t>
      </w:r>
    </w:p>
    <w:p w14:paraId="2FAFA639" w14:textId="77777777" w:rsidR="004B2808" w:rsidRDefault="00000000">
      <w:pPr>
        <w:pStyle w:val="Author-eListParagraph"/>
        <w:numPr>
          <w:ilvl w:val="0"/>
          <w:numId w:val="658"/>
        </w:numPr>
      </w:pPr>
      <w:r>
        <w:t>Les compositions de mortier préparées sur le chantier sont mélangées mécaniquement afin d'obtenir une pâte sans grumeaux. des cuves propres et rincées sont toujours utilisées. Les mortiers sont mis en œuvre avant le commencement de la prise et ne sont en aucun cas mélangés une seconde fois en ajoutant de l'eau.</w:t>
      </w:r>
    </w:p>
    <w:p w14:paraId="00889FD1" w14:textId="77777777" w:rsidR="004B2808" w:rsidRDefault="00000000">
      <w:pPr>
        <w:pStyle w:val="Author-eListParagraph"/>
        <w:numPr>
          <w:ilvl w:val="0"/>
          <w:numId w:val="658"/>
        </w:numPr>
      </w:pPr>
      <w:r>
        <w:t>Les enduits prêts à l'emploi sont livrés en conteneurs ou silos sur lesquels figurent la composition, la teneur en eau, la force d'adhérence minimale, le temps de prise, le mode d'emploi et les contre-indications.</w:t>
      </w:r>
    </w:p>
    <w:p w14:paraId="1467D6DE" w14:textId="77777777" w:rsidR="004B2808" w:rsidRDefault="00000000">
      <w:pPr>
        <w:pStyle w:val="Author-eListParagraph"/>
        <w:numPr>
          <w:ilvl w:val="0"/>
          <w:numId w:val="658"/>
        </w:numPr>
      </w:pPr>
      <w:r>
        <w:t>Pour les enduits appliqués au pistolet, la rigidité du mortier est dosée afin d'obtenir une faible consistance qui permette une mise en œuvre impeccable et adaptée en fonction du type de support. La machine à pistoler règle constamment le rapport enduit et eau et évite ainsi le surdosage en eau.</w:t>
      </w:r>
    </w:p>
    <w:p w14:paraId="6EAAB021" w14:textId="77777777" w:rsidR="004B2808" w:rsidRDefault="00000000">
      <w:pPr>
        <w:pStyle w:val="pheading"/>
      </w:pPr>
      <w:r>
        <w:t>EXÉCUTION / MISE EN ŒUVRE</w:t>
      </w:r>
    </w:p>
    <w:p w14:paraId="2533D125" w14:textId="77777777" w:rsidR="004B2808" w:rsidRDefault="00000000">
      <w:r>
        <w:t>La mise en oeuvre est conforme à la [NIT 284].</w:t>
      </w:r>
    </w:p>
    <w:p w14:paraId="4FEB50EE" w14:textId="77777777" w:rsidR="004B2808" w:rsidRDefault="00000000">
      <w:pPr>
        <w:pStyle w:val="heading"/>
      </w:pPr>
      <w:r>
        <w:t>Modalités d'entreprise</w:t>
      </w:r>
    </w:p>
    <w:p w14:paraId="118CA829" w14:textId="77777777" w:rsidR="004B2808" w:rsidRDefault="00000000">
      <w:r>
        <w:t>En vue d'une exécution soignée, les travaux de plafonnage sont exécutés par un entrepreneur spécialisé. Avant l'exécution, celui-ci doit se rendre compte des conditions d'exécution et de la nature du support. S'il constate que certains aspects risquent de nuire à la qualité de l'exécution, il en avertit immédiatement l'auteur de projet.</w:t>
      </w:r>
    </w:p>
    <w:p w14:paraId="5C1BDD5F" w14:textId="77777777" w:rsidR="004B2808" w:rsidRDefault="00000000">
      <w:pPr>
        <w:pStyle w:val="heading"/>
      </w:pPr>
      <w:r>
        <w:t>Coordination - Timing</w:t>
      </w:r>
    </w:p>
    <w:p w14:paraId="3408735C" w14:textId="77777777" w:rsidR="004B2808" w:rsidRDefault="00000000">
      <w:r>
        <w:t>Les travaux de plafonnage ne peuvent commencer que lorsque tous les éléments de gros-œuvre en contact avec les enduits intérieurs sont terminés, c'est-à-dire après la pose de la menuiserie extérieure, y compris le vitrage, après la pose et le ragréage des saignées pour les conduites encastrées, fourreaux, passages de canalisations, … et avant la pose des portes intérieures et de la menuiserie intérieure, avant la pose des carrelages ou revêtements, avant la pose des éventuelles conduites apparentes et, en principe, également avant de tirer les fils électriques dans les tuyaux.</w:t>
      </w:r>
    </w:p>
    <w:p w14:paraId="433E4ED6" w14:textId="77777777" w:rsidR="004B2808" w:rsidRDefault="00000000">
      <w:pPr>
        <w:pStyle w:val="heading"/>
      </w:pPr>
      <w:r>
        <w:t>Influences atmosphériques</w:t>
      </w:r>
    </w:p>
    <w:p w14:paraId="48634D58" w14:textId="77777777" w:rsidR="004B2808" w:rsidRDefault="00000000">
      <w:pPr>
        <w:pStyle w:val="Author-eListParagraph"/>
        <w:numPr>
          <w:ilvl w:val="0"/>
          <w:numId w:val="659"/>
        </w:numPr>
      </w:pPr>
      <w:r>
        <w:t>L'exécution des travaux de plafonnage doit se faire dans des espaces à l'abri du vent et de la pluie. La température ambiante et celle du support est ≥ 5°C et &lt; 30 °C . Les plafonnages sur les ouvrages en maçonnerie et/ou en béton ne font que lorsque le retrait de séchage est accompli (soit après au moins 6 semaines).</w:t>
      </w:r>
    </w:p>
    <w:p w14:paraId="249B0E80" w14:textId="77777777" w:rsidR="004B2808" w:rsidRDefault="00000000">
      <w:pPr>
        <w:pStyle w:val="Author-eListParagraph"/>
        <w:numPr>
          <w:ilvl w:val="0"/>
          <w:numId w:val="659"/>
        </w:numPr>
      </w:pPr>
      <w:r>
        <w:t>Il faut éviter une dessication trop rapide. Par temps sec et chaud, l'entrepreneur prend les mesures qui s'imposent afin de prévenir les fissurations. Ces conditions sont maintenues au moins pendant 3 jours après l'application de l'enduit. Le réchauffement accéléré des locaux plafonnés ou l'utilisation de séchoirs peuvent avoir des conséquences néfastes sur le résultat des travaux. Il y a lieu de prévoir une ventilation suffisante en évitant toutefois les courants d'air trop forts.</w:t>
      </w:r>
    </w:p>
    <w:p w14:paraId="6B87FCB2" w14:textId="77777777" w:rsidR="004B2808" w:rsidRDefault="00000000">
      <w:pPr>
        <w:pStyle w:val="heading"/>
      </w:pPr>
      <w:r>
        <w:t>Mesures de protection - Echafaudages</w:t>
      </w:r>
    </w:p>
    <w:p w14:paraId="5AF61B58" w14:textId="77777777" w:rsidR="004B2808" w:rsidRDefault="00000000">
      <w:pPr>
        <w:pStyle w:val="Author-eListParagraph"/>
        <w:numPr>
          <w:ilvl w:val="0"/>
          <w:numId w:val="660"/>
        </w:numPr>
      </w:pPr>
      <w:r>
        <w:t>Toutes les parties qui ne sont pas plafonnées (parement intérieur destiné à rester apparent, menuiserie, gîtages en bois, poutrelles en acier, escaliers, …) sont soigneusement et efficacement protégées contre les dégradations et les éclaboussures, à l'aide de feuilles de plastique, de bandes autocollantes et/ou de papier.</w:t>
      </w:r>
    </w:p>
    <w:p w14:paraId="2E83E15A" w14:textId="77777777" w:rsidR="004B2808" w:rsidRDefault="00000000">
      <w:pPr>
        <w:pStyle w:val="Author-eListParagraph"/>
        <w:numPr>
          <w:ilvl w:val="0"/>
          <w:numId w:val="660"/>
        </w:numPr>
      </w:pPr>
      <w:r>
        <w:lastRenderedPageBreak/>
        <w:t>Les échafaudages sont mis en place sans enlever des matériaux du mur porteur. Aucun trou n'est réalisé sans l'autorisation écrite de l'auteur de projet. Toutes les parties métalliques non protégées sont préalablement traitées avec une peinture antirouille appropriée.</w:t>
      </w:r>
    </w:p>
    <w:p w14:paraId="14690022" w14:textId="77777777" w:rsidR="004B2808" w:rsidRDefault="00000000">
      <w:pPr>
        <w:pStyle w:val="Author-eListParagraph"/>
        <w:numPr>
          <w:ilvl w:val="0"/>
          <w:numId w:val="660"/>
        </w:numPr>
      </w:pPr>
      <w:r>
        <w:t>Tous les matériaux et ouvrages de construction souillés par l'entrepreneur plâtrier sont nettoyés par ce dernier avec tous les moyens appropriés, sans les endommager.</w:t>
      </w:r>
    </w:p>
    <w:p w14:paraId="1B36C1F0" w14:textId="77777777" w:rsidR="004B2808" w:rsidRDefault="00000000">
      <w:pPr>
        <w:pStyle w:val="Author-eListParagraph"/>
        <w:numPr>
          <w:ilvl w:val="0"/>
          <w:numId w:val="660"/>
        </w:numPr>
      </w:pPr>
      <w:r>
        <w:t>Les dégradations survenues suite aux travaux de plafonnage sont réparées aux frais du plâtrier. Ces réparations sont parfaitement invisibles. L'entrepreneur effectue également les réparations lorsque les dégradations ont été provoquées par des tiers. </w:t>
      </w:r>
    </w:p>
    <w:p w14:paraId="1EBAE6C3" w14:textId="77777777" w:rsidR="004B2808" w:rsidRDefault="00000000">
      <w:pPr>
        <w:pStyle w:val="heading"/>
      </w:pPr>
      <w:r>
        <w:t>Modalités de mise en œuvre</w:t>
      </w:r>
    </w:p>
    <w:p w14:paraId="033380C3" w14:textId="77777777" w:rsidR="004B2808" w:rsidRDefault="00000000">
      <w:pPr>
        <w:pStyle w:val="Author-eListParagraph"/>
        <w:numPr>
          <w:ilvl w:val="0"/>
          <w:numId w:val="661"/>
        </w:numPr>
      </w:pPr>
      <w:r>
        <w:t>L'enduit est appliqué régulièrement, soit à la main, soit avec une machine à pistoler, sur une épaisseur suffisante, en une ou plusieurs couches, en fonction de la composition de l'enduit. Toutes les opérations sont exécutées conformément aux dispositions du fabricant qui fournit les produits et avec l'outillage qu'il préconise. En principe, les travaux comprennent successivement l'application (à la main ou au pistolet) de l'enduit, l'égalisation (à la latte et le resserrage), le ponçage et le polissage (à la spatule et un aplanisseur d'angle) et, enfin, la finition.</w:t>
      </w:r>
    </w:p>
    <w:p w14:paraId="69DF7BF9" w14:textId="77777777" w:rsidR="004B2808" w:rsidRDefault="00000000">
      <w:r>
        <w:rPr>
          <w:i/>
        </w:rPr>
        <w:t xml:space="preserve">Attention : les murs destinés à être carrelés ne sont ni poncés ni polis. </w:t>
      </w:r>
    </w:p>
    <w:p w14:paraId="3DA3F612" w14:textId="77777777" w:rsidR="004B2808" w:rsidRDefault="00000000">
      <w:pPr>
        <w:pStyle w:val="Author-eListParagraph"/>
        <w:numPr>
          <w:ilvl w:val="0"/>
          <w:numId w:val="662"/>
        </w:numPr>
      </w:pPr>
      <w:r>
        <w:t>Les couches sont appliquées avec une force suffisante afin d'obtenir un contact intense. Lorsque l'enduit est appliqué en plusieurs couches, la couche de fond est peignée et séchée afin d'obtenir une adhérence et une cohérence suffisantes avec la couche d'enduit suivante. Par temps sec et chaud, l'entrepreneur prend les mesures qui s'imposent pour prévenir les fissures dues à une dessiccation trop rapide en pulvérisant d'eau chaque couche après son application.</w:t>
      </w:r>
    </w:p>
    <w:p w14:paraId="5623EF9F" w14:textId="77777777" w:rsidR="004B2808" w:rsidRDefault="00000000">
      <w:pPr>
        <w:pStyle w:val="Author-eListParagraph"/>
        <w:numPr>
          <w:ilvl w:val="0"/>
          <w:numId w:val="662"/>
        </w:numPr>
      </w:pPr>
      <w:r>
        <w:t>Les plafonnages sont toujours exécutés d'aplomb et de niveau (voir les écarts admissibles).</w:t>
      </w:r>
    </w:p>
    <w:p w14:paraId="3BAC93DC" w14:textId="77777777" w:rsidR="004B2808" w:rsidRDefault="00000000">
      <w:pPr>
        <w:pStyle w:val="Author-eListParagraph"/>
        <w:numPr>
          <w:ilvl w:val="0"/>
          <w:numId w:val="662"/>
        </w:numPr>
      </w:pPr>
      <w:r>
        <w:t>Sur la plupart des supports, sont appliqués les enduits fabriqués en usine à base de plâtre, qui peuvent être mis en œuvre en une seule couche sur une épaisseur moyenne de 10 mm (≥ 8 mm ).</w:t>
      </w:r>
    </w:p>
    <w:p w14:paraId="66B12461" w14:textId="77777777" w:rsidR="004B2808" w:rsidRDefault="00000000">
      <w:pPr>
        <w:pStyle w:val="Author-eListParagraph"/>
        <w:numPr>
          <w:ilvl w:val="0"/>
          <w:numId w:val="662"/>
        </w:numPr>
      </w:pPr>
      <w:r>
        <w:t>Les enduits à la chaux et au plâtre sont posés en deux couches au moins, de composition identique ou différente, et sur une épaisseur totale ≥ 20 mm . Pour les plafonnages qui se composent de plusieurs couches, les épaisseurs suivantes doivent être respectées : une couche d'adhérence (2 à 3 mm ); une couche de fond (de 10 à 15 mm ) et une couche de finition (de 5 à 7 mm ). Les enduits, dits pelliculaires, de quelques millimètres d'épaisseur ne sont autorisés que lorsque le support est suffisamment plan et égal, par exemple sur les murs en blocs de béton cellulaire assemblés par collage, en briques silico-calcaires, blocs de plâtre ou plaques de plâtre enrobées de carton.</w:t>
      </w:r>
    </w:p>
    <w:p w14:paraId="34CD85B0" w14:textId="77777777" w:rsidR="004B2808" w:rsidRDefault="00000000">
      <w:pPr>
        <w:pStyle w:val="heading"/>
      </w:pPr>
      <w:r>
        <w:t>Finition</w:t>
      </w:r>
    </w:p>
    <w:p w14:paraId="4B8E92B8" w14:textId="77777777" w:rsidR="004B2808" w:rsidRDefault="00000000">
      <w:pPr>
        <w:pStyle w:val="Author-eListParagraph"/>
        <w:numPr>
          <w:ilvl w:val="0"/>
          <w:numId w:val="663"/>
        </w:numPr>
      </w:pPr>
      <w:r>
        <w:t>Les plafonds répondent aux exigences de degrés de finition et de tolérances d’exécution définis dans la [NIT 284]. </w:t>
      </w:r>
    </w:p>
    <w:p w14:paraId="379F7842" w14:textId="77777777" w:rsidR="004B2808" w:rsidRDefault="00000000">
      <w:pPr>
        <w:pStyle w:val="Author-eListParagraph"/>
        <w:numPr>
          <w:ilvl w:val="0"/>
          <w:numId w:val="663"/>
        </w:numPr>
      </w:pPr>
      <w:r>
        <w:t xml:space="preserve">Tolérance d’exécution : classe </w:t>
      </w:r>
      <w:r>
        <w:rPr>
          <w:rStyle w:val="optioncarChar"/>
        </w:rPr>
        <w:t>normale</w:t>
      </w:r>
      <w:r>
        <w:t xml:space="preserve"> (par défaut) </w:t>
      </w:r>
      <w:r>
        <w:rPr>
          <w:rStyle w:val="optioncarChar"/>
        </w:rPr>
        <w:t>/ spéciale</w:t>
      </w:r>
    </w:p>
    <w:p w14:paraId="7BD54687" w14:textId="77777777" w:rsidR="004B2808" w:rsidRDefault="00000000">
      <w:pPr>
        <w:pStyle w:val="Author-eListParagraph"/>
        <w:numPr>
          <w:ilvl w:val="0"/>
          <w:numId w:val="663"/>
        </w:numPr>
      </w:pPr>
      <w:r>
        <w:t>Au droit de toutes les jonctions entre des éléments de construction de nature et de composition différentes où des tassements différentiels risquent de se produire, on pratique au couteau, avant le durcissement complet, une légère incision afin d'obtenir un joint marqué qui puisse absorber les éventuelles fissures.</w:t>
      </w:r>
    </w:p>
    <w:p w14:paraId="3FFF9EFB" w14:textId="77777777" w:rsidR="004B2808" w:rsidRDefault="00000000">
      <w:pPr>
        <w:pStyle w:val="Author-eListParagraph"/>
        <w:numPr>
          <w:ilvl w:val="0"/>
          <w:numId w:val="663"/>
        </w:numPr>
      </w:pPr>
      <w:r>
        <w:t>Avant la réception provisoire, toutes les imperfections (irrégularités, rayures, etc.) doivent être soigneusement retouchées.</w:t>
      </w:r>
    </w:p>
    <w:p w14:paraId="4C82D96D" w14:textId="77777777" w:rsidR="004B2808" w:rsidRDefault="00000000">
      <w:r>
        <w:rPr>
          <w:b/>
          <w:sz w:val="24"/>
        </w:rPr>
        <w:t>Sécurité</w:t>
      </w:r>
    </w:p>
    <w:p w14:paraId="52DC070F" w14:textId="77777777" w:rsidR="004B2808" w:rsidRDefault="00000000">
      <w:r>
        <w:t>Conformément à la rubrique 01.45 PSS travaux de parachèvement intérieur PSS travaux de parachèvement intérieur, établie par le coordinateur-projet et annexée au présent cahier des charges. Toutes les directives en la matière et les indications concrètes du coordinateur-réalisation sont scrupuleusement respectées.</w:t>
      </w:r>
    </w:p>
    <w:p w14:paraId="5E07A9D5" w14:textId="77777777" w:rsidR="004B2808" w:rsidRDefault="00000000">
      <w:r>
        <w:rPr>
          <w:b/>
          <w:sz w:val="24"/>
        </w:rPr>
        <w:t>Sécurisation incendie</w:t>
      </w:r>
    </w:p>
    <w:p w14:paraId="670B32FC" w14:textId="77777777" w:rsidR="004B2808" w:rsidRDefault="00000000">
      <w:r>
        <w:lastRenderedPageBreak/>
        <w:t>En matière de sécurité incendie, les enduits intérieurs doivent satisfaire, dans certains cas, à des exigences en fonction de leur destination et sont mis en œuvre conformément au rapport d’essai. </w:t>
      </w:r>
      <w:r>
        <w:br/>
        <w:t>Les enduits peuvent également participer à la résistance au feu d’un élément de construction.</w:t>
      </w:r>
      <w:r>
        <w:br/>
        <w:t>Support aux prescripteurs : [SWL GSI/T1/B] et [SWL GSI/T1/C] de la prévention passive référencés dans le tome 0 T0 Entreprise / Chantier de ce cahier des charges.</w:t>
      </w:r>
    </w:p>
    <w:p w14:paraId="33AFC8E3" w14:textId="77777777" w:rsidR="004B2808" w:rsidRDefault="00000000">
      <w:pPr>
        <w:pStyle w:val="pheading"/>
      </w:pPr>
      <w:r>
        <w:t>CONTRÔLES</w:t>
      </w:r>
    </w:p>
    <w:p w14:paraId="79BA700C" w14:textId="77777777" w:rsidR="004B2808" w:rsidRDefault="00000000">
      <w:r>
        <w:t>Les tolérances admissibles au niveau du degré de finition, comportent, conforment à la [NIT 284].</w:t>
      </w:r>
    </w:p>
    <w:p w14:paraId="0069766C" w14:textId="77777777" w:rsidR="004B2808" w:rsidRDefault="00000000">
      <w:pPr>
        <w:pStyle w:val="Author-eListParagraph"/>
        <w:numPr>
          <w:ilvl w:val="0"/>
          <w:numId w:val="664"/>
        </w:numPr>
      </w:pPr>
      <w:r>
        <w:rPr>
          <w:i/>
        </w:rPr>
        <w:t xml:space="preserve">A défaut d'exigences particulières dans le cahier spécial des charges, le degré de finition “normal” est d'application. </w:t>
      </w:r>
    </w:p>
    <w:p w14:paraId="68F0BCA9" w14:textId="77777777" w:rsidR="004B2808" w:rsidRDefault="00000000">
      <w:pPr>
        <w:pStyle w:val="Author-eListParagraph"/>
        <w:numPr>
          <w:ilvl w:val="0"/>
          <w:numId w:val="664"/>
        </w:numPr>
      </w:pPr>
      <w:r>
        <w:rPr>
          <w:i/>
        </w:rPr>
        <w:t xml:space="preserve">Indépendamment du degré de finition prescrit, la surface du plafonnage ne peut pas fariner. L'adhérence de la couche superficielle est supérieure à 0,2 N/mm² (valeur conseillée) </w:t>
      </w:r>
    </w:p>
    <w:p w14:paraId="76829EC5" w14:textId="77777777" w:rsidR="004B2808" w:rsidRDefault="00000000">
      <w:pPr>
        <w:pStyle w:val="Author-eListParagraph"/>
        <w:numPr>
          <w:ilvl w:val="0"/>
          <w:numId w:val="664"/>
        </w:numPr>
      </w:pPr>
      <w:r>
        <w:rPr>
          <w:i/>
        </w:rPr>
        <w:t>L'entrepreneur est tenu de réparer toutes les fissures qui se présentent pendant le délai de garantie.</w:t>
      </w:r>
      <w:r>
        <w:t> </w:t>
      </w:r>
    </w:p>
    <w:p w14:paraId="0C11F211" w14:textId="77777777" w:rsidR="004B2808" w:rsidRDefault="00000000">
      <w:r>
        <w:rPr>
          <w:i/>
        </w:rPr>
        <w:t>La [NBN EN 13914-2] renseigne les exigences suivantes :</w:t>
      </w:r>
    </w:p>
    <w:p w14:paraId="27802B74" w14:textId="77777777" w:rsidR="004B2808" w:rsidRDefault="00000000">
      <w:r>
        <w:rPr>
          <w:i/>
        </w:rPr>
        <w:t xml:space="preserve">Planéité sur 2 m </w:t>
      </w:r>
    </w:p>
    <w:tbl>
      <w:tblPr>
        <w:tblStyle w:val="Author-e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3000"/>
        <w:gridCol w:w="3000"/>
        <w:gridCol w:w="3000"/>
      </w:tblGrid>
      <w:tr w:rsidR="004B2808" w14:paraId="402F91C4" w14:textId="77777777">
        <w:tc>
          <w:tcPr>
            <w:tcW w:w="3000" w:type="dxa"/>
            <w:tcBorders>
              <w:top w:val="single" w:sz="8" w:space="0" w:color="000000"/>
              <w:left w:val="single" w:sz="8" w:space="0" w:color="000000"/>
              <w:bottom w:val="single" w:sz="8" w:space="0" w:color="000000"/>
              <w:right w:val="single" w:sz="8" w:space="0" w:color="000000"/>
            </w:tcBorders>
            <w:noWrap/>
          </w:tcPr>
          <w:p w14:paraId="7B0FBA3C" w14:textId="77777777" w:rsidR="004B2808" w:rsidRDefault="00000000">
            <w:pPr>
              <w:jc w:val="center"/>
            </w:pPr>
            <w:r>
              <w:t>classe</w:t>
            </w:r>
          </w:p>
        </w:tc>
        <w:tc>
          <w:tcPr>
            <w:tcW w:w="3000" w:type="dxa"/>
            <w:tcBorders>
              <w:top w:val="single" w:sz="8" w:space="0" w:color="000000"/>
              <w:left w:val="single" w:sz="8" w:space="0" w:color="000000"/>
              <w:bottom w:val="single" w:sz="8" w:space="0" w:color="000000"/>
              <w:right w:val="single" w:sz="8" w:space="0" w:color="000000"/>
            </w:tcBorders>
            <w:noWrap/>
          </w:tcPr>
          <w:p w14:paraId="2568795F" w14:textId="77777777" w:rsidR="004B2808" w:rsidRDefault="00000000">
            <w:pPr>
              <w:jc w:val="center"/>
            </w:pPr>
            <w:r>
              <w:t>exigence de planéité</w:t>
            </w:r>
            <w:r>
              <w:br/>
              <w:t xml:space="preserve"> sur l'enduit (latte de 2 m)</w:t>
            </w:r>
            <w:r>
              <w:br/>
              <w:t>[mm]</w:t>
            </w:r>
          </w:p>
        </w:tc>
        <w:tc>
          <w:tcPr>
            <w:tcW w:w="3000" w:type="dxa"/>
            <w:tcBorders>
              <w:top w:val="single" w:sz="8" w:space="0" w:color="000000"/>
              <w:left w:val="single" w:sz="8" w:space="0" w:color="000000"/>
              <w:bottom w:val="single" w:sz="8" w:space="0" w:color="000000"/>
              <w:right w:val="single" w:sz="8" w:space="0" w:color="000000"/>
            </w:tcBorders>
            <w:noWrap/>
          </w:tcPr>
          <w:p w14:paraId="340508CE" w14:textId="77777777" w:rsidR="004B2808" w:rsidRDefault="00000000">
            <w:pPr>
              <w:jc w:val="center"/>
            </w:pPr>
            <w:r>
              <w:t>planéité minimale exigée sur le support (latte de 2 m)</w:t>
            </w:r>
            <w:r>
              <w:br/>
              <w:t xml:space="preserve"> pour atteindre l'exigence de planéité sur l'enduit</w:t>
            </w:r>
            <w:r>
              <w:br/>
              <w:t>[mm]</w:t>
            </w:r>
          </w:p>
        </w:tc>
      </w:tr>
      <w:tr w:rsidR="004B2808" w14:paraId="2DFA6C53" w14:textId="77777777">
        <w:tc>
          <w:tcPr>
            <w:tcW w:w="3000" w:type="dxa"/>
            <w:tcBorders>
              <w:top w:val="single" w:sz="8" w:space="0" w:color="000000"/>
              <w:left w:val="single" w:sz="8" w:space="0" w:color="000000"/>
              <w:bottom w:val="single" w:sz="8" w:space="0" w:color="000000"/>
              <w:right w:val="single" w:sz="8" w:space="0" w:color="000000"/>
            </w:tcBorders>
            <w:noWrap/>
          </w:tcPr>
          <w:p w14:paraId="7BF7D841" w14:textId="77777777" w:rsidR="004B2808" w:rsidRDefault="00000000">
            <w:pPr>
              <w:jc w:val="center"/>
            </w:pPr>
            <w:r>
              <w:t>0</w:t>
            </w:r>
          </w:p>
        </w:tc>
        <w:tc>
          <w:tcPr>
            <w:tcW w:w="3000" w:type="dxa"/>
            <w:tcBorders>
              <w:top w:val="single" w:sz="8" w:space="0" w:color="000000"/>
              <w:left w:val="single" w:sz="8" w:space="0" w:color="000000"/>
              <w:bottom w:val="single" w:sz="8" w:space="0" w:color="000000"/>
              <w:right w:val="single" w:sz="8" w:space="0" w:color="000000"/>
            </w:tcBorders>
            <w:noWrap/>
          </w:tcPr>
          <w:p w14:paraId="6E301D76" w14:textId="77777777" w:rsidR="004B2808" w:rsidRDefault="00000000">
            <w:pPr>
              <w:jc w:val="center"/>
            </w:pPr>
            <w:r>
              <w:t>-</w:t>
            </w:r>
          </w:p>
        </w:tc>
        <w:tc>
          <w:tcPr>
            <w:tcW w:w="3000" w:type="dxa"/>
            <w:tcBorders>
              <w:top w:val="single" w:sz="8" w:space="0" w:color="000000"/>
              <w:left w:val="single" w:sz="8" w:space="0" w:color="000000"/>
              <w:bottom w:val="single" w:sz="8" w:space="0" w:color="000000"/>
              <w:right w:val="single" w:sz="8" w:space="0" w:color="000000"/>
            </w:tcBorders>
            <w:noWrap/>
          </w:tcPr>
          <w:p w14:paraId="46E72EC7" w14:textId="77777777" w:rsidR="004B2808" w:rsidRDefault="00000000">
            <w:pPr>
              <w:jc w:val="center"/>
            </w:pPr>
            <w:r>
              <w:t>-</w:t>
            </w:r>
          </w:p>
        </w:tc>
      </w:tr>
      <w:tr w:rsidR="004B2808" w14:paraId="71EF6482" w14:textId="77777777">
        <w:tc>
          <w:tcPr>
            <w:tcW w:w="3000" w:type="dxa"/>
            <w:tcBorders>
              <w:top w:val="single" w:sz="8" w:space="0" w:color="000000"/>
              <w:left w:val="single" w:sz="8" w:space="0" w:color="000000"/>
              <w:bottom w:val="single" w:sz="8" w:space="0" w:color="000000"/>
              <w:right w:val="single" w:sz="8" w:space="0" w:color="000000"/>
            </w:tcBorders>
            <w:noWrap/>
          </w:tcPr>
          <w:p w14:paraId="7B1A726F" w14:textId="77777777" w:rsidR="004B2808" w:rsidRDefault="00000000">
            <w:pPr>
              <w:jc w:val="center"/>
            </w:pPr>
            <w:r>
              <w:t>1</w:t>
            </w:r>
          </w:p>
        </w:tc>
        <w:tc>
          <w:tcPr>
            <w:tcW w:w="3000" w:type="dxa"/>
            <w:tcBorders>
              <w:top w:val="single" w:sz="8" w:space="0" w:color="000000"/>
              <w:left w:val="single" w:sz="8" w:space="0" w:color="000000"/>
              <w:bottom w:val="single" w:sz="8" w:space="0" w:color="000000"/>
              <w:right w:val="single" w:sz="8" w:space="0" w:color="000000"/>
            </w:tcBorders>
            <w:noWrap/>
          </w:tcPr>
          <w:p w14:paraId="40A4F4B3" w14:textId="77777777" w:rsidR="004B2808" w:rsidRDefault="00000000">
            <w:pPr>
              <w:jc w:val="center"/>
            </w:pPr>
            <w:r>
              <w:t>± 10</w:t>
            </w:r>
          </w:p>
        </w:tc>
        <w:tc>
          <w:tcPr>
            <w:tcW w:w="3000" w:type="dxa"/>
            <w:tcBorders>
              <w:top w:val="single" w:sz="8" w:space="0" w:color="000000"/>
              <w:left w:val="single" w:sz="8" w:space="0" w:color="000000"/>
              <w:bottom w:val="single" w:sz="8" w:space="0" w:color="000000"/>
              <w:right w:val="single" w:sz="8" w:space="0" w:color="000000"/>
            </w:tcBorders>
            <w:noWrap/>
          </w:tcPr>
          <w:p w14:paraId="134C51EB" w14:textId="77777777" w:rsidR="004B2808" w:rsidRDefault="00000000">
            <w:pPr>
              <w:jc w:val="center"/>
            </w:pPr>
            <w:r>
              <w:t>± 15</w:t>
            </w:r>
          </w:p>
        </w:tc>
      </w:tr>
      <w:tr w:rsidR="004B2808" w14:paraId="7F27ED1B" w14:textId="77777777">
        <w:tc>
          <w:tcPr>
            <w:tcW w:w="3000" w:type="dxa"/>
            <w:tcBorders>
              <w:top w:val="single" w:sz="8" w:space="0" w:color="000000"/>
              <w:left w:val="single" w:sz="8" w:space="0" w:color="000000"/>
              <w:bottom w:val="single" w:sz="8" w:space="0" w:color="000000"/>
              <w:right w:val="single" w:sz="8" w:space="0" w:color="000000"/>
            </w:tcBorders>
            <w:noWrap/>
          </w:tcPr>
          <w:p w14:paraId="07EFBBA7" w14:textId="77777777" w:rsidR="004B2808" w:rsidRDefault="00000000">
            <w:pPr>
              <w:jc w:val="center"/>
            </w:pPr>
            <w:r>
              <w:t>2</w:t>
            </w:r>
          </w:p>
        </w:tc>
        <w:tc>
          <w:tcPr>
            <w:tcW w:w="3000" w:type="dxa"/>
            <w:tcBorders>
              <w:top w:val="single" w:sz="8" w:space="0" w:color="000000"/>
              <w:left w:val="single" w:sz="8" w:space="0" w:color="000000"/>
              <w:bottom w:val="single" w:sz="8" w:space="0" w:color="000000"/>
              <w:right w:val="single" w:sz="8" w:space="0" w:color="000000"/>
            </w:tcBorders>
            <w:noWrap/>
          </w:tcPr>
          <w:p w14:paraId="12FEA2DA" w14:textId="77777777" w:rsidR="004B2808" w:rsidRDefault="00000000">
            <w:pPr>
              <w:jc w:val="center"/>
            </w:pPr>
            <w:r>
              <w:t>± 7</w:t>
            </w:r>
          </w:p>
        </w:tc>
        <w:tc>
          <w:tcPr>
            <w:tcW w:w="3000" w:type="dxa"/>
            <w:tcBorders>
              <w:top w:val="single" w:sz="8" w:space="0" w:color="000000"/>
              <w:left w:val="single" w:sz="8" w:space="0" w:color="000000"/>
              <w:bottom w:val="single" w:sz="8" w:space="0" w:color="000000"/>
              <w:right w:val="single" w:sz="8" w:space="0" w:color="000000"/>
            </w:tcBorders>
            <w:noWrap/>
          </w:tcPr>
          <w:p w14:paraId="4DBA4CFA" w14:textId="77777777" w:rsidR="004B2808" w:rsidRDefault="00000000">
            <w:pPr>
              <w:jc w:val="center"/>
            </w:pPr>
            <w:r>
              <w:t>± 12</w:t>
            </w:r>
          </w:p>
        </w:tc>
      </w:tr>
      <w:tr w:rsidR="004B2808" w14:paraId="69898FE2" w14:textId="77777777">
        <w:tc>
          <w:tcPr>
            <w:tcW w:w="3000" w:type="dxa"/>
            <w:tcBorders>
              <w:top w:val="single" w:sz="8" w:space="0" w:color="000000"/>
              <w:left w:val="single" w:sz="8" w:space="0" w:color="000000"/>
              <w:bottom w:val="single" w:sz="8" w:space="0" w:color="000000"/>
              <w:right w:val="single" w:sz="8" w:space="0" w:color="000000"/>
            </w:tcBorders>
            <w:noWrap/>
          </w:tcPr>
          <w:p w14:paraId="39C0204B" w14:textId="77777777" w:rsidR="004B2808" w:rsidRDefault="00000000">
            <w:pPr>
              <w:jc w:val="center"/>
            </w:pPr>
            <w:r>
              <w:t>3</w:t>
            </w:r>
          </w:p>
        </w:tc>
        <w:tc>
          <w:tcPr>
            <w:tcW w:w="3000" w:type="dxa"/>
            <w:tcBorders>
              <w:top w:val="single" w:sz="8" w:space="0" w:color="000000"/>
              <w:left w:val="single" w:sz="8" w:space="0" w:color="000000"/>
              <w:bottom w:val="single" w:sz="8" w:space="0" w:color="000000"/>
              <w:right w:val="single" w:sz="8" w:space="0" w:color="000000"/>
            </w:tcBorders>
            <w:noWrap/>
          </w:tcPr>
          <w:p w14:paraId="1AA39DE9" w14:textId="77777777" w:rsidR="004B2808" w:rsidRDefault="00000000">
            <w:pPr>
              <w:jc w:val="center"/>
            </w:pPr>
            <w:r>
              <w:t>± 5</w:t>
            </w:r>
          </w:p>
        </w:tc>
        <w:tc>
          <w:tcPr>
            <w:tcW w:w="3000" w:type="dxa"/>
            <w:tcBorders>
              <w:top w:val="single" w:sz="8" w:space="0" w:color="000000"/>
              <w:left w:val="single" w:sz="8" w:space="0" w:color="000000"/>
              <w:bottom w:val="single" w:sz="8" w:space="0" w:color="000000"/>
              <w:right w:val="single" w:sz="8" w:space="0" w:color="000000"/>
            </w:tcBorders>
            <w:noWrap/>
          </w:tcPr>
          <w:p w14:paraId="11EDC41F" w14:textId="77777777" w:rsidR="004B2808" w:rsidRDefault="00000000">
            <w:pPr>
              <w:jc w:val="center"/>
            </w:pPr>
            <w:r>
              <w:t>± 10</w:t>
            </w:r>
          </w:p>
        </w:tc>
      </w:tr>
      <w:tr w:rsidR="004B2808" w14:paraId="65C3957F" w14:textId="77777777">
        <w:tc>
          <w:tcPr>
            <w:tcW w:w="3000" w:type="dxa"/>
            <w:tcBorders>
              <w:top w:val="single" w:sz="8" w:space="0" w:color="000000"/>
              <w:left w:val="single" w:sz="8" w:space="0" w:color="000000"/>
              <w:bottom w:val="single" w:sz="8" w:space="0" w:color="000000"/>
              <w:right w:val="single" w:sz="8" w:space="0" w:color="000000"/>
            </w:tcBorders>
            <w:noWrap/>
          </w:tcPr>
          <w:p w14:paraId="5D61BAE6" w14:textId="77777777" w:rsidR="004B2808" w:rsidRDefault="00000000">
            <w:pPr>
              <w:jc w:val="center"/>
            </w:pPr>
            <w:r>
              <w:t>4</w:t>
            </w:r>
            <w:r>
              <w:rPr>
                <w:vertAlign w:val="superscript"/>
              </w:rPr>
              <w:t>a</w:t>
            </w:r>
          </w:p>
        </w:tc>
        <w:tc>
          <w:tcPr>
            <w:tcW w:w="3000" w:type="dxa"/>
            <w:tcBorders>
              <w:top w:val="single" w:sz="8" w:space="0" w:color="000000"/>
              <w:left w:val="single" w:sz="8" w:space="0" w:color="000000"/>
              <w:bottom w:val="single" w:sz="8" w:space="0" w:color="000000"/>
              <w:right w:val="single" w:sz="8" w:space="0" w:color="000000"/>
            </w:tcBorders>
            <w:noWrap/>
          </w:tcPr>
          <w:p w14:paraId="094BF5AE" w14:textId="77777777" w:rsidR="004B2808" w:rsidRDefault="00000000">
            <w:pPr>
              <w:jc w:val="center"/>
            </w:pPr>
            <w:r>
              <w:t>± 3</w:t>
            </w:r>
          </w:p>
        </w:tc>
        <w:tc>
          <w:tcPr>
            <w:tcW w:w="3000" w:type="dxa"/>
            <w:tcBorders>
              <w:top w:val="single" w:sz="8" w:space="0" w:color="000000"/>
              <w:left w:val="single" w:sz="8" w:space="0" w:color="000000"/>
              <w:bottom w:val="single" w:sz="8" w:space="0" w:color="000000"/>
              <w:right w:val="single" w:sz="8" w:space="0" w:color="000000"/>
            </w:tcBorders>
            <w:noWrap/>
          </w:tcPr>
          <w:p w14:paraId="421CCBCF" w14:textId="77777777" w:rsidR="004B2808" w:rsidRDefault="00000000">
            <w:pPr>
              <w:jc w:val="center"/>
            </w:pPr>
            <w:r>
              <w:t>± 5</w:t>
            </w:r>
          </w:p>
        </w:tc>
      </w:tr>
      <w:tr w:rsidR="004B2808" w14:paraId="2C3E72CC" w14:textId="77777777">
        <w:tc>
          <w:tcPr>
            <w:tcW w:w="3000" w:type="dxa"/>
            <w:tcBorders>
              <w:top w:val="single" w:sz="8" w:space="0" w:color="000000"/>
              <w:left w:val="single" w:sz="8" w:space="0" w:color="000000"/>
              <w:bottom w:val="single" w:sz="8" w:space="0" w:color="000000"/>
              <w:right w:val="single" w:sz="8" w:space="0" w:color="000000"/>
            </w:tcBorders>
            <w:noWrap/>
          </w:tcPr>
          <w:p w14:paraId="1B4B060D" w14:textId="77777777" w:rsidR="004B2808" w:rsidRDefault="00000000">
            <w:pPr>
              <w:jc w:val="center"/>
            </w:pPr>
            <w:r>
              <w:t>5</w:t>
            </w:r>
            <w:r>
              <w:rPr>
                <w:vertAlign w:val="superscript"/>
              </w:rPr>
              <w:t>a</w:t>
            </w:r>
          </w:p>
        </w:tc>
        <w:tc>
          <w:tcPr>
            <w:tcW w:w="3000" w:type="dxa"/>
            <w:tcBorders>
              <w:top w:val="single" w:sz="8" w:space="0" w:color="000000"/>
              <w:left w:val="single" w:sz="8" w:space="0" w:color="000000"/>
              <w:bottom w:val="single" w:sz="8" w:space="0" w:color="000000"/>
              <w:right w:val="single" w:sz="8" w:space="0" w:color="000000"/>
            </w:tcBorders>
            <w:noWrap/>
          </w:tcPr>
          <w:p w14:paraId="2833DD31" w14:textId="77777777" w:rsidR="004B2808" w:rsidRDefault="00000000">
            <w:pPr>
              <w:jc w:val="center"/>
            </w:pPr>
            <w:r>
              <w:t>± 2</w:t>
            </w:r>
          </w:p>
        </w:tc>
        <w:tc>
          <w:tcPr>
            <w:tcW w:w="3000" w:type="dxa"/>
            <w:tcBorders>
              <w:top w:val="single" w:sz="8" w:space="0" w:color="000000"/>
              <w:left w:val="single" w:sz="8" w:space="0" w:color="000000"/>
              <w:bottom w:val="single" w:sz="8" w:space="0" w:color="000000"/>
              <w:right w:val="single" w:sz="8" w:space="0" w:color="000000"/>
            </w:tcBorders>
            <w:noWrap/>
          </w:tcPr>
          <w:p w14:paraId="68B96AAE" w14:textId="77777777" w:rsidR="004B2808" w:rsidRDefault="00000000">
            <w:pPr>
              <w:jc w:val="center"/>
            </w:pPr>
            <w:r>
              <w:t>± 2</w:t>
            </w:r>
          </w:p>
        </w:tc>
      </w:tr>
      <w:tr w:rsidR="004B2808" w14:paraId="504A059D" w14:textId="77777777">
        <w:tc>
          <w:tcPr>
            <w:tcW w:w="9000" w:type="dxa"/>
            <w:gridSpan w:val="3"/>
            <w:tcBorders>
              <w:top w:val="single" w:sz="8" w:space="0" w:color="000000"/>
              <w:left w:val="single" w:sz="8" w:space="0" w:color="000000"/>
              <w:bottom w:val="single" w:sz="8" w:space="0" w:color="000000"/>
              <w:right w:val="single" w:sz="8" w:space="0" w:color="000000"/>
            </w:tcBorders>
            <w:noWrap/>
          </w:tcPr>
          <w:p w14:paraId="72C6D0ED" w14:textId="77777777" w:rsidR="004B2808" w:rsidRDefault="00000000">
            <w:pPr>
              <w:jc w:val="center"/>
            </w:pPr>
            <w:r>
              <w:rPr>
                <w:vertAlign w:val="superscript"/>
              </w:rPr>
              <w:t>a</w:t>
            </w:r>
            <w:r>
              <w:t xml:space="preserve"> : applicable uniquement aux enduits d'épaisseur ≤ 6 mm.</w:t>
            </w:r>
          </w:p>
        </w:tc>
      </w:tr>
    </w:tbl>
    <w:p w14:paraId="42C63911" w14:textId="77777777" w:rsidR="004B2808" w:rsidRDefault="00000000">
      <w:r>
        <w:rPr>
          <w:i/>
        </w:rPr>
        <w:t>angularité</w:t>
      </w:r>
    </w:p>
    <w:tbl>
      <w:tblPr>
        <w:tblStyle w:val="Author-e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4515"/>
        <w:gridCol w:w="4515"/>
      </w:tblGrid>
      <w:tr w:rsidR="004B2808" w14:paraId="53414871" w14:textId="77777777">
        <w:tc>
          <w:tcPr>
            <w:tcW w:w="4515" w:type="dxa"/>
            <w:tcBorders>
              <w:top w:val="single" w:sz="8" w:space="0" w:color="000000"/>
              <w:left w:val="single" w:sz="8" w:space="0" w:color="000000"/>
              <w:bottom w:val="single" w:sz="8" w:space="0" w:color="000000"/>
              <w:right w:val="single" w:sz="8" w:space="0" w:color="000000"/>
            </w:tcBorders>
            <w:noWrap/>
          </w:tcPr>
          <w:p w14:paraId="498823A2" w14:textId="77777777" w:rsidR="004B2808" w:rsidRDefault="00000000">
            <w:pPr>
              <w:jc w:val="center"/>
            </w:pPr>
            <w:r>
              <w:t>l [m]</w:t>
            </w:r>
          </w:p>
        </w:tc>
        <w:tc>
          <w:tcPr>
            <w:tcW w:w="4515" w:type="dxa"/>
            <w:tcBorders>
              <w:top w:val="single" w:sz="8" w:space="0" w:color="000000"/>
              <w:left w:val="single" w:sz="8" w:space="0" w:color="000000"/>
              <w:bottom w:val="single" w:sz="8" w:space="0" w:color="000000"/>
              <w:right w:val="single" w:sz="8" w:space="0" w:color="000000"/>
            </w:tcBorders>
            <w:noWrap/>
          </w:tcPr>
          <w:p w14:paraId="06CBCB42" w14:textId="77777777" w:rsidR="004B2808" w:rsidRDefault="00000000">
            <w:pPr>
              <w:jc w:val="center"/>
            </w:pPr>
            <w:r>
              <w:t>écart angulaire admissible</w:t>
            </w:r>
            <w:r>
              <w:br/>
              <w:t>[mm]</w:t>
            </w:r>
          </w:p>
        </w:tc>
      </w:tr>
      <w:tr w:rsidR="004B2808" w14:paraId="4ADBF5F3" w14:textId="77777777">
        <w:tc>
          <w:tcPr>
            <w:tcW w:w="4515" w:type="dxa"/>
            <w:tcBorders>
              <w:top w:val="single" w:sz="8" w:space="0" w:color="000000"/>
              <w:left w:val="single" w:sz="8" w:space="0" w:color="000000"/>
              <w:bottom w:val="single" w:sz="8" w:space="0" w:color="000000"/>
              <w:right w:val="single" w:sz="8" w:space="0" w:color="000000"/>
            </w:tcBorders>
            <w:noWrap/>
          </w:tcPr>
          <w:p w14:paraId="0A84EA00" w14:textId="77777777" w:rsidR="004B2808" w:rsidRDefault="00000000">
            <w:pPr>
              <w:jc w:val="center"/>
            </w:pPr>
            <w:r>
              <w:t>l &lt; 0.25</w:t>
            </w:r>
          </w:p>
        </w:tc>
        <w:tc>
          <w:tcPr>
            <w:tcW w:w="4515" w:type="dxa"/>
            <w:tcBorders>
              <w:top w:val="single" w:sz="8" w:space="0" w:color="000000"/>
              <w:left w:val="single" w:sz="8" w:space="0" w:color="000000"/>
              <w:bottom w:val="single" w:sz="8" w:space="0" w:color="000000"/>
              <w:right w:val="single" w:sz="8" w:space="0" w:color="000000"/>
            </w:tcBorders>
            <w:noWrap/>
          </w:tcPr>
          <w:p w14:paraId="2811B866" w14:textId="77777777" w:rsidR="004B2808" w:rsidRDefault="00000000">
            <w:pPr>
              <w:jc w:val="center"/>
            </w:pPr>
            <w:r>
              <w:t>3</w:t>
            </w:r>
          </w:p>
        </w:tc>
      </w:tr>
      <w:tr w:rsidR="004B2808" w14:paraId="558E5CC4" w14:textId="77777777">
        <w:tc>
          <w:tcPr>
            <w:tcW w:w="4515" w:type="dxa"/>
            <w:tcBorders>
              <w:top w:val="single" w:sz="8" w:space="0" w:color="000000"/>
              <w:left w:val="single" w:sz="8" w:space="0" w:color="000000"/>
              <w:bottom w:val="single" w:sz="8" w:space="0" w:color="000000"/>
              <w:right w:val="single" w:sz="8" w:space="0" w:color="000000"/>
            </w:tcBorders>
            <w:noWrap/>
          </w:tcPr>
          <w:p w14:paraId="73773D65" w14:textId="77777777" w:rsidR="004B2808" w:rsidRDefault="00000000">
            <w:pPr>
              <w:jc w:val="center"/>
            </w:pPr>
            <w:r>
              <w:t>0.25 ≤ l &lt; 0.5</w:t>
            </w:r>
          </w:p>
        </w:tc>
        <w:tc>
          <w:tcPr>
            <w:tcW w:w="4515" w:type="dxa"/>
            <w:tcBorders>
              <w:top w:val="single" w:sz="8" w:space="0" w:color="000000"/>
              <w:left w:val="single" w:sz="8" w:space="0" w:color="000000"/>
              <w:bottom w:val="single" w:sz="8" w:space="0" w:color="000000"/>
              <w:right w:val="single" w:sz="8" w:space="0" w:color="000000"/>
            </w:tcBorders>
            <w:noWrap/>
          </w:tcPr>
          <w:p w14:paraId="407B4EE4" w14:textId="77777777" w:rsidR="004B2808" w:rsidRDefault="00000000">
            <w:pPr>
              <w:jc w:val="center"/>
            </w:pPr>
            <w:r>
              <w:t>5</w:t>
            </w:r>
          </w:p>
        </w:tc>
      </w:tr>
      <w:tr w:rsidR="004B2808" w14:paraId="54145E9E" w14:textId="77777777">
        <w:tc>
          <w:tcPr>
            <w:tcW w:w="4515" w:type="dxa"/>
            <w:tcBorders>
              <w:top w:val="single" w:sz="8" w:space="0" w:color="000000"/>
              <w:left w:val="single" w:sz="8" w:space="0" w:color="000000"/>
              <w:bottom w:val="single" w:sz="8" w:space="0" w:color="000000"/>
              <w:right w:val="single" w:sz="8" w:space="0" w:color="000000"/>
            </w:tcBorders>
            <w:noWrap/>
          </w:tcPr>
          <w:p w14:paraId="5189A02C" w14:textId="77777777" w:rsidR="004B2808" w:rsidRDefault="00000000">
            <w:pPr>
              <w:jc w:val="center"/>
            </w:pPr>
            <w:r>
              <w:t>0.5 ≤ l &lt; 1</w:t>
            </w:r>
          </w:p>
        </w:tc>
        <w:tc>
          <w:tcPr>
            <w:tcW w:w="4515" w:type="dxa"/>
            <w:tcBorders>
              <w:top w:val="single" w:sz="8" w:space="0" w:color="000000"/>
              <w:left w:val="single" w:sz="8" w:space="0" w:color="000000"/>
              <w:bottom w:val="single" w:sz="8" w:space="0" w:color="000000"/>
              <w:right w:val="single" w:sz="8" w:space="0" w:color="000000"/>
            </w:tcBorders>
            <w:noWrap/>
          </w:tcPr>
          <w:p w14:paraId="27D29113" w14:textId="77777777" w:rsidR="004B2808" w:rsidRDefault="00000000">
            <w:pPr>
              <w:jc w:val="center"/>
            </w:pPr>
            <w:r>
              <w:t>6</w:t>
            </w:r>
          </w:p>
        </w:tc>
      </w:tr>
      <w:tr w:rsidR="004B2808" w14:paraId="0580D746" w14:textId="77777777">
        <w:tc>
          <w:tcPr>
            <w:tcW w:w="4515" w:type="dxa"/>
            <w:tcBorders>
              <w:top w:val="single" w:sz="8" w:space="0" w:color="000000"/>
              <w:left w:val="single" w:sz="8" w:space="0" w:color="000000"/>
              <w:bottom w:val="single" w:sz="8" w:space="0" w:color="000000"/>
              <w:right w:val="single" w:sz="8" w:space="0" w:color="000000"/>
            </w:tcBorders>
            <w:noWrap/>
          </w:tcPr>
          <w:p w14:paraId="2C7EAFA3" w14:textId="77777777" w:rsidR="004B2808" w:rsidRDefault="00000000">
            <w:pPr>
              <w:jc w:val="center"/>
            </w:pPr>
            <w:r>
              <w:t>1 ≤ l ≤ 3</w:t>
            </w:r>
          </w:p>
        </w:tc>
        <w:tc>
          <w:tcPr>
            <w:tcW w:w="4515" w:type="dxa"/>
            <w:tcBorders>
              <w:top w:val="single" w:sz="8" w:space="0" w:color="000000"/>
              <w:left w:val="single" w:sz="8" w:space="0" w:color="000000"/>
              <w:bottom w:val="single" w:sz="8" w:space="0" w:color="000000"/>
              <w:right w:val="single" w:sz="8" w:space="0" w:color="000000"/>
            </w:tcBorders>
            <w:noWrap/>
          </w:tcPr>
          <w:p w14:paraId="1324CAB2" w14:textId="77777777" w:rsidR="004B2808" w:rsidRDefault="00000000">
            <w:pPr>
              <w:jc w:val="center"/>
            </w:pPr>
            <w:r>
              <w:t>8</w:t>
            </w:r>
          </w:p>
        </w:tc>
      </w:tr>
    </w:tbl>
    <w:p w14:paraId="3ACF4C48" w14:textId="77777777" w:rsidR="004B2808" w:rsidRDefault="00000000">
      <w:pPr>
        <w:pStyle w:val="pheading"/>
      </w:pPr>
      <w:r>
        <w:t>DOCUMENTS DE RÉFÉRENCE</w:t>
      </w:r>
    </w:p>
    <w:p w14:paraId="3DAE344F" w14:textId="77777777" w:rsidR="004B2808" w:rsidRDefault="00000000">
      <w:pPr>
        <w:pStyle w:val="pheading"/>
      </w:pPr>
      <w:r>
        <w:t>- Matériau</w:t>
      </w:r>
    </w:p>
    <w:p w14:paraId="5F197F7B" w14:textId="77777777" w:rsidR="004B2808" w:rsidRDefault="00000000">
      <w:r>
        <w:t>[NBN EN 13914-2, Conception, préparation et mise en oeuvre des enduits extérieurs et intérieurs - Partie 2: Enduits intérieurs]</w:t>
      </w:r>
    </w:p>
    <w:p w14:paraId="703C8825" w14:textId="77777777" w:rsidR="004B2808" w:rsidRDefault="00000000">
      <w:pPr>
        <w:pStyle w:val="pheading"/>
      </w:pPr>
      <w:r>
        <w:t>- Exécution</w:t>
      </w:r>
    </w:p>
    <w:p w14:paraId="5D3FD3F3" w14:textId="77777777" w:rsidR="004B2808" w:rsidRDefault="00000000">
      <w:r>
        <w:t>[NBN EN 13914-2, Conception, préparation et mise en oeuvre des enduits extérieurs et intérieurs - Partie 2: Enduits intérieurs]</w:t>
      </w:r>
    </w:p>
    <w:p w14:paraId="74B2E951" w14:textId="77777777" w:rsidR="004B2808" w:rsidRDefault="00000000">
      <w:pPr>
        <w:pStyle w:val="pheading"/>
      </w:pPr>
      <w:r>
        <w:t>AIDE</w:t>
      </w:r>
    </w:p>
    <w:p w14:paraId="0EADB2AD" w14:textId="77777777" w:rsidR="004B2808" w:rsidRDefault="00000000">
      <w:r>
        <w:rPr>
          <w:i/>
          <w:u w:val="single"/>
        </w:rPr>
        <w:t xml:space="preserve">Note à l'attention de l'auteur de projet </w:t>
      </w:r>
    </w:p>
    <w:p w14:paraId="38AC6034" w14:textId="77777777" w:rsidR="004B2808" w:rsidRDefault="00000000">
      <w:pPr>
        <w:pStyle w:val="Author-eListParagraph"/>
        <w:numPr>
          <w:ilvl w:val="0"/>
          <w:numId w:val="665"/>
        </w:numPr>
      </w:pPr>
      <w:r>
        <w:lastRenderedPageBreak/>
        <w:t>Enduits secs (ou enduits d'usine) : les enduits prémélangés en usine de façon qu'il suffit, sur le chantier, d'ajouter la quantité d'eau de gâchage nécessaire. En fonction du type, ils sont destinés à être mis en œuvre en une ou plusieurs couches sur une épaisseur qui varie entre quelques mm et une vingtaine de mm.</w:t>
      </w:r>
    </w:p>
    <w:p w14:paraId="47F37E10" w14:textId="77777777" w:rsidR="004B2808" w:rsidRDefault="00000000">
      <w:pPr>
        <w:pStyle w:val="Author-eListParagraph"/>
        <w:numPr>
          <w:ilvl w:val="0"/>
          <w:numId w:val="665"/>
        </w:numPr>
      </w:pPr>
      <w:r>
        <w:t>Enduit traditionnel : les enduits pour lesquels plusieurs composantes sont dosées et mélangées sur le chantier. Ils sont appliqués en deux couches au moins, à l'exception d'un cimentage en une seule couche.</w:t>
      </w:r>
    </w:p>
    <w:p w14:paraId="6337F71D" w14:textId="77777777" w:rsidR="004B2808" w:rsidRDefault="00000000">
      <w:pPr>
        <w:pStyle w:val="Author-eListParagraph"/>
        <w:numPr>
          <w:ilvl w:val="0"/>
          <w:numId w:val="665"/>
        </w:numPr>
      </w:pPr>
      <w:r>
        <w:t>Enduit décoratif : les enduits qui sont finis de manière décorative. Ils sont appliqués en une ou plusieurs couches.</w:t>
      </w:r>
    </w:p>
    <w:p w14:paraId="7510026D" w14:textId="77777777" w:rsidR="004B2808" w:rsidRDefault="00000000">
      <w:pPr>
        <w:pStyle w:val="Author-eListParagraph"/>
        <w:numPr>
          <w:ilvl w:val="0"/>
          <w:numId w:val="665"/>
        </w:numPr>
      </w:pPr>
      <w:r>
        <w:t>Les mortiers liés au ciment ne sont pas admis sur les supports contenant du plâtre ou de la chaux hydratée et ne sont pas mélangés au plâtre car il peut se former des sels expansifs.</w:t>
      </w:r>
    </w:p>
    <w:p w14:paraId="023A0936" w14:textId="77777777" w:rsidR="004B2808" w:rsidRDefault="00000000">
      <w:pPr>
        <w:pStyle w:val="Author-eListParagraph"/>
        <w:numPr>
          <w:ilvl w:val="0"/>
          <w:numId w:val="665"/>
        </w:numPr>
      </w:pPr>
      <w:r>
        <w:t>Pour les supports en béton cellulaire, en briques silico-calcaires et en panneaux de ciment de laine de bois, les indications du fabricant en ce qui concerne la composition du mortier des matériaux constituant le support sont respectées.</w:t>
      </w:r>
    </w:p>
    <w:p w14:paraId="0780089B" w14:textId="77777777" w:rsidR="004B2808" w:rsidRDefault="00000000">
      <w:pPr>
        <w:pStyle w:val="Author-eSectionHeading4Numberless"/>
      </w:pPr>
      <w:bookmarkStart w:id="824" w:name="_Toc220490970"/>
      <w:r>
        <w:t>54.11 Reconnaissance du support (examens complémentaires) CCTB 01.02</w:t>
      </w:r>
      <w:bookmarkEnd w:id="824"/>
    </w:p>
    <w:p w14:paraId="55D6C753" w14:textId="77777777" w:rsidR="004B2808" w:rsidRDefault="00000000">
      <w:pPr>
        <w:pStyle w:val="Author-eSectionHeading5Numberless"/>
      </w:pPr>
      <w:bookmarkStart w:id="825" w:name="_Toc220490971"/>
      <w:r>
        <w:t>54.11.1 Reconnaissance du support - Mesure de l'humidité du support CCTB 01.02</w:t>
      </w:r>
      <w:bookmarkEnd w:id="825"/>
    </w:p>
    <w:p w14:paraId="2BA9A1A5" w14:textId="77777777" w:rsidR="004B2808" w:rsidRDefault="00000000">
      <w:pPr>
        <w:pStyle w:val="Author-eSectionHeading6Numberless"/>
      </w:pPr>
      <w:bookmarkStart w:id="826" w:name="_Toc220490972"/>
      <w:r>
        <w:t>54.11.1a Reconnaissance du support - Mesure de l'humidité du support CCTB 01.02</w:t>
      </w:r>
      <w:bookmarkEnd w:id="826"/>
    </w:p>
    <w:p w14:paraId="25AB1414" w14:textId="77777777" w:rsidR="004B2808" w:rsidRDefault="00000000">
      <w:pPr>
        <w:pStyle w:val="Author-eSectionHeading5Numberless"/>
      </w:pPr>
      <w:bookmarkStart w:id="827" w:name="_Toc220490973"/>
      <w:r>
        <w:t>54.11.2 Reconnaissance du support - Contrôle de la cohésion du support CCTB 01.02</w:t>
      </w:r>
      <w:bookmarkEnd w:id="827"/>
    </w:p>
    <w:p w14:paraId="2F2E14A4" w14:textId="77777777" w:rsidR="004B2808" w:rsidRDefault="00000000">
      <w:pPr>
        <w:pStyle w:val="Author-eSectionHeading6Numberless"/>
      </w:pPr>
      <w:bookmarkStart w:id="828" w:name="_Toc220490974"/>
      <w:r>
        <w:t>54.11.2a Reconnaissance du support - Contrôle de la cohésion du support CCTB 01.02</w:t>
      </w:r>
      <w:bookmarkEnd w:id="828"/>
    </w:p>
    <w:p w14:paraId="15DA9519" w14:textId="77777777" w:rsidR="004B2808" w:rsidRDefault="00000000">
      <w:pPr>
        <w:pStyle w:val="Author-eSectionHeading5Numberless"/>
      </w:pPr>
      <w:bookmarkStart w:id="829" w:name="_Toc220490975"/>
      <w:r>
        <w:t>54.11.3 Reconnaissance du support - Contrôle d'adhérence du support CCTB 01.02</w:t>
      </w:r>
      <w:bookmarkEnd w:id="829"/>
    </w:p>
    <w:p w14:paraId="7D96986D" w14:textId="77777777" w:rsidR="004B2808" w:rsidRDefault="00000000">
      <w:pPr>
        <w:pStyle w:val="Author-eSectionHeading6Numberless"/>
      </w:pPr>
      <w:bookmarkStart w:id="830" w:name="_Toc220490976"/>
      <w:r>
        <w:t>54.11.3a Reconnaissance du support - Contrôle d'adhérence du support CCTB 01.10</w:t>
      </w:r>
      <w:bookmarkEnd w:id="830"/>
    </w:p>
    <w:p w14:paraId="15627E38" w14:textId="77777777" w:rsidR="004B2808" w:rsidRDefault="00000000">
      <w:pPr>
        <w:pStyle w:val="Author-eSectionHeading5Numberless"/>
      </w:pPr>
      <w:bookmarkStart w:id="831" w:name="_Toc220490977"/>
      <w:r>
        <w:t>54.11.4 Reconnaissance du support - Autres examens complémentaires CCTB 01.02</w:t>
      </w:r>
      <w:bookmarkEnd w:id="831"/>
    </w:p>
    <w:p w14:paraId="7E90DE1E" w14:textId="77777777" w:rsidR="004B2808" w:rsidRDefault="00000000">
      <w:pPr>
        <w:pStyle w:val="Author-eSectionHeading6Numberless"/>
      </w:pPr>
      <w:bookmarkStart w:id="832" w:name="_Toc220490978"/>
      <w:r>
        <w:t>54.11.4a Reconnaissance du support - Autres examens complémentaires CCTB 01.02</w:t>
      </w:r>
      <w:bookmarkEnd w:id="832"/>
    </w:p>
    <w:p w14:paraId="16A61272" w14:textId="77777777" w:rsidR="004B2808" w:rsidRDefault="00000000">
      <w:pPr>
        <w:pStyle w:val="Author-eSectionHeading4Numberless"/>
      </w:pPr>
      <w:bookmarkStart w:id="833" w:name="_Toc220490979"/>
      <w:r>
        <w:t>54.12 Préparations du support CCTB 01.02</w:t>
      </w:r>
      <w:bookmarkEnd w:id="833"/>
    </w:p>
    <w:p w14:paraId="7C1E6877" w14:textId="77777777" w:rsidR="004B2808" w:rsidRDefault="00000000">
      <w:pPr>
        <w:pStyle w:val="Author-eSectionHeading5Numberless"/>
      </w:pPr>
      <w:bookmarkStart w:id="834" w:name="1296"/>
      <w:bookmarkStart w:id="835" w:name="_Toc220490980"/>
      <w:bookmarkEnd w:id="834"/>
      <w:r>
        <w:t>54.12.1 Préparations du support - décapage CCTB 01.02</w:t>
      </w:r>
      <w:bookmarkEnd w:id="835"/>
    </w:p>
    <w:p w14:paraId="359AA141" w14:textId="77777777" w:rsidR="004B2808" w:rsidRDefault="00000000">
      <w:pPr>
        <w:pStyle w:val="Author-eSectionHeading6Numberless"/>
      </w:pPr>
      <w:bookmarkStart w:id="836" w:name="_Toc220490981"/>
      <w:r>
        <w:t>54.12.1a Préparations du support - décapage - élimination d'efflorescences CCTB 01.02</w:t>
      </w:r>
      <w:bookmarkEnd w:id="836"/>
    </w:p>
    <w:p w14:paraId="0829168E" w14:textId="77777777" w:rsidR="004B2808" w:rsidRDefault="00000000">
      <w:pPr>
        <w:pStyle w:val="Author-eSectionHeading6Numberless"/>
      </w:pPr>
      <w:bookmarkStart w:id="837" w:name="_Toc220490982"/>
      <w:r>
        <w:t>54.12.1b Préparations du support - décapage - élimination d'éléments non adhérents en surface CCTB 01.02</w:t>
      </w:r>
      <w:bookmarkEnd w:id="837"/>
    </w:p>
    <w:p w14:paraId="2B52F431" w14:textId="77777777" w:rsidR="004B2808" w:rsidRDefault="00000000">
      <w:pPr>
        <w:pStyle w:val="Author-eSectionHeading5Numberless"/>
      </w:pPr>
      <w:bookmarkStart w:id="838" w:name="_Toc220490983"/>
      <w:r>
        <w:t>54.12.2 Préparations du support - prétraitements CCTB 01.02</w:t>
      </w:r>
      <w:bookmarkEnd w:id="838"/>
    </w:p>
    <w:p w14:paraId="286ED4E4" w14:textId="77777777" w:rsidR="004B2808" w:rsidRDefault="00000000">
      <w:pPr>
        <w:pStyle w:val="Author-eSectionHeading6Numberless"/>
      </w:pPr>
      <w:bookmarkStart w:id="839" w:name="1292"/>
      <w:bookmarkStart w:id="840" w:name="_Toc220490984"/>
      <w:bookmarkEnd w:id="839"/>
      <w:r>
        <w:t>54.12.2a Préparations du support - prétraitements - couches d'accrochage CCTB 01.02</w:t>
      </w:r>
      <w:bookmarkEnd w:id="840"/>
    </w:p>
    <w:p w14:paraId="3EEA078B" w14:textId="77777777" w:rsidR="004B2808" w:rsidRDefault="00000000">
      <w:pPr>
        <w:pStyle w:val="Author-eSectionHeading6Numberless"/>
      </w:pPr>
      <w:bookmarkStart w:id="841" w:name="1295"/>
      <w:bookmarkStart w:id="842" w:name="_Toc220490985"/>
      <w:bookmarkEnd w:id="841"/>
      <w:r>
        <w:lastRenderedPageBreak/>
        <w:t>54.12.2b Préparations du support - prétraitements - primaires d'imprégnation pour support absorbant CCTB 01.02</w:t>
      </w:r>
      <w:bookmarkEnd w:id="842"/>
    </w:p>
    <w:p w14:paraId="33303BBC" w14:textId="77777777" w:rsidR="004B2808" w:rsidRDefault="00000000">
      <w:pPr>
        <w:pStyle w:val="Author-eSectionHeading5Numberless"/>
      </w:pPr>
      <w:bookmarkStart w:id="843" w:name="_Toc220490986"/>
      <w:r>
        <w:t>54.12.3 Préparations du support - renforcement armature (pontage) CCTB 01.10</w:t>
      </w:r>
      <w:bookmarkEnd w:id="843"/>
    </w:p>
    <w:p w14:paraId="5C7065C6" w14:textId="77777777" w:rsidR="004B2808" w:rsidRDefault="00000000">
      <w:pPr>
        <w:pStyle w:val="pheading"/>
      </w:pPr>
      <w:r>
        <w:t>MATÉRIAUX</w:t>
      </w:r>
    </w:p>
    <w:p w14:paraId="5EFD4BE6" w14:textId="77777777" w:rsidR="004B2808" w:rsidRDefault="00000000">
      <w:pPr>
        <w:pStyle w:val="heading"/>
      </w:pPr>
      <w:r>
        <w:t>Treillis de renfort</w:t>
      </w:r>
    </w:p>
    <w:p w14:paraId="365590C5" w14:textId="77777777" w:rsidR="004B2808" w:rsidRDefault="00000000">
      <w:r>
        <w:t>Ces treillis sont noyés dans l'enduit au droit de la jonction entre différentes surfaces et aux endroits où l’on peut s'attendre à des problèmes d'adhérence. En fonction de la situation, on utilise un filet de Nylon, un treillis synthétique, un tissu de fibres de verre et/ou une bande de métal déployé anticorrosion. Les profils n'ont pas d'influence néfaste sur l'enduit à appliquer ou sur le plan esthétique.</w:t>
      </w:r>
    </w:p>
    <w:p w14:paraId="0B9FA3B8" w14:textId="77777777" w:rsidR="004B2808" w:rsidRDefault="00000000">
      <w:pPr>
        <w:pStyle w:val="pheading"/>
      </w:pPr>
      <w:r>
        <w:t>EXÉCUTION / MISE EN ŒUVRE</w:t>
      </w:r>
    </w:p>
    <w:p w14:paraId="06588EA2" w14:textId="77777777" w:rsidR="004B2808" w:rsidRDefault="00000000">
      <w:r>
        <w:t>Au droit de la transition entre deux matériaux différents (béton / maçonnerie / saignées) et/ou aux endroits où des problèmes d'adhérence peuvent se produire, des bandes de renforcement spéciales sont appliquées.</w:t>
      </w:r>
      <w:r>
        <w:br/>
        <w:t>Ces bandes sont enfoncées dans le mortier et ensuite recouvertes d'enduit qui est égalisé. Les bandes sont posées avec un recouvrement d'au moins 10 cm dans les deux sens. L'épaisseur de la couche d'enduit sur le treillis d'armature est d'au moins 10 mm .</w:t>
      </w:r>
      <w:r>
        <w:br/>
        <w:t>Au droit des joints de mouvement dans le support, un joint spécial est prévu dans le plafonnage, qui est également franchi par une couche d'enduit sur un treillis d'armature.</w:t>
      </w:r>
    </w:p>
    <w:p w14:paraId="0E648697" w14:textId="77777777" w:rsidR="004B2808" w:rsidRDefault="00000000">
      <w:pPr>
        <w:pStyle w:val="Author-eSectionHeading6Numberless"/>
      </w:pPr>
      <w:bookmarkStart w:id="844" w:name="_Toc220490987"/>
      <w:r>
        <w:t>54.12.3a Préparations du support - renforcement armature (pontage) - métallique CCTB 01.02</w:t>
      </w:r>
      <w:bookmarkEnd w:id="844"/>
    </w:p>
    <w:p w14:paraId="418C0900" w14:textId="77777777" w:rsidR="004B2808" w:rsidRDefault="00000000">
      <w:pPr>
        <w:pStyle w:val="Author-eSectionHeading6Numberless"/>
      </w:pPr>
      <w:bookmarkStart w:id="845" w:name="_Toc220490988"/>
      <w:r>
        <w:t>54.12.3b Préparations du support - renforcement armature (pontage) - en fibres de verre CCTB 01.02</w:t>
      </w:r>
      <w:bookmarkEnd w:id="845"/>
    </w:p>
    <w:p w14:paraId="34421D0B" w14:textId="77777777" w:rsidR="004B2808" w:rsidRDefault="00000000">
      <w:pPr>
        <w:pStyle w:val="Author-eSectionHeading6Numberless"/>
      </w:pPr>
      <w:bookmarkStart w:id="846" w:name="_Toc220490989"/>
      <w:r>
        <w:t>54.12.3c Préparations du support - renforcement armature (pontage) - synthétiques CCTB 01.02</w:t>
      </w:r>
      <w:bookmarkEnd w:id="846"/>
    </w:p>
    <w:p w14:paraId="6760F2E1" w14:textId="77777777" w:rsidR="004B2808" w:rsidRDefault="00000000">
      <w:pPr>
        <w:pStyle w:val="Author-eSectionHeading6Numberless"/>
      </w:pPr>
      <w:bookmarkStart w:id="847" w:name="_Toc220490990"/>
      <w:r>
        <w:t>54.12.3d Préparations du support - renforcement armature (pontage) - en métal déployé CCTB 01.02</w:t>
      </w:r>
      <w:bookmarkEnd w:id="847"/>
    </w:p>
    <w:p w14:paraId="0D52914F" w14:textId="77777777" w:rsidR="004B2808" w:rsidRDefault="00000000">
      <w:pPr>
        <w:pStyle w:val="Author-eSectionHeading5Numberless"/>
      </w:pPr>
      <w:bookmarkStart w:id="848" w:name="_Toc220490991"/>
      <w:r>
        <w:t>54.12.4 Préparations du support - profilés d'arrêt CCTB 01.02</w:t>
      </w:r>
      <w:bookmarkEnd w:id="848"/>
    </w:p>
    <w:p w14:paraId="339D48EF" w14:textId="77777777" w:rsidR="004B2808" w:rsidRDefault="00000000">
      <w:pPr>
        <w:pStyle w:val="Author-eSectionHeading6Numberless"/>
      </w:pPr>
      <w:bookmarkStart w:id="849" w:name="_Toc220490992"/>
      <w:r>
        <w:t>54.12.4a Préparations du support - profilés d'arrêt CCTB 01.02</w:t>
      </w:r>
      <w:bookmarkEnd w:id="849"/>
    </w:p>
    <w:p w14:paraId="3403CC5F" w14:textId="77777777" w:rsidR="004B2808" w:rsidRDefault="00000000">
      <w:pPr>
        <w:pStyle w:val="Author-eSectionHeading6Numberless"/>
      </w:pPr>
      <w:bookmarkStart w:id="850" w:name="_Toc220490993"/>
      <w:r>
        <w:t>54.12.4b Préparations du support - profilés d'angle CCTB 01.02</w:t>
      </w:r>
      <w:bookmarkEnd w:id="850"/>
    </w:p>
    <w:p w14:paraId="10C4204C" w14:textId="77777777" w:rsidR="004B2808" w:rsidRDefault="00000000">
      <w:pPr>
        <w:pStyle w:val="Author-eSectionHeading6Numberless"/>
      </w:pPr>
      <w:bookmarkStart w:id="851" w:name="_Toc220490994"/>
      <w:r>
        <w:t>54.12.4c Préparations du support - profilés de joint CCTB 01.02</w:t>
      </w:r>
      <w:bookmarkEnd w:id="851"/>
    </w:p>
    <w:p w14:paraId="4F17B789" w14:textId="77777777" w:rsidR="004B2808" w:rsidRDefault="00000000">
      <w:pPr>
        <w:pStyle w:val="Author-eSectionHeading4Numberless"/>
      </w:pPr>
      <w:bookmarkStart w:id="852" w:name="_Toc220490995"/>
      <w:r>
        <w:t>54.13 Supports d'enduit complémentaires CCTB 01.02</w:t>
      </w:r>
      <w:bookmarkEnd w:id="852"/>
    </w:p>
    <w:p w14:paraId="5BE8D7E3" w14:textId="77777777" w:rsidR="004B2808" w:rsidRDefault="00000000">
      <w:pPr>
        <w:pStyle w:val="Author-eSectionHeading5Numberless"/>
      </w:pPr>
      <w:bookmarkStart w:id="853" w:name="1293"/>
      <w:bookmarkStart w:id="854" w:name="_Toc220490996"/>
      <w:bookmarkEnd w:id="853"/>
      <w:r>
        <w:t>54.13.1 Supports d'enduit complémentaires - Treillis CCTB 01.10</w:t>
      </w:r>
      <w:bookmarkEnd w:id="854"/>
    </w:p>
    <w:p w14:paraId="0EAF067F" w14:textId="77777777" w:rsidR="004B2808" w:rsidRDefault="00000000">
      <w:pPr>
        <w:pStyle w:val="pheading"/>
      </w:pPr>
      <w:r>
        <w:t>DESCRIPTION</w:t>
      </w:r>
    </w:p>
    <w:p w14:paraId="6B98E03E" w14:textId="77777777" w:rsidR="004B2808" w:rsidRDefault="00000000">
      <w:pPr>
        <w:pStyle w:val="pheading"/>
      </w:pPr>
      <w:r>
        <w:t>- Définition / Comprend</w:t>
      </w:r>
    </w:p>
    <w:p w14:paraId="62DFADDF" w14:textId="77777777" w:rsidR="004B2808" w:rsidRDefault="00000000">
      <w:r>
        <w:t>Il s'agit d'un système de finition pour les plafonds composés d'une structure portante, d'un treillis soudé revêtu de carton perforé, d'un grillage métallique ou d’un treillis céramique et d'un plafonnage au plâtre. La souplesse du treillis ou du grillage permet d'appliquer le système aussi bien sur les surfaces planes que courbées. Le système comprend la fourniture et la mise en place du support prescrit, du treillis ou du grillage et du plafonnage proprement dit afin d'obtenir un ouvrage soigneusement achevé.</w:t>
      </w:r>
    </w:p>
    <w:p w14:paraId="3A1E2DE3" w14:textId="77777777" w:rsidR="004B2808" w:rsidRDefault="00000000">
      <w:r>
        <w:lastRenderedPageBreak/>
        <w:t>Les treillis métalliques doivent répondre aux spécifications de la norme [NBN EN 13658-1].</w:t>
      </w:r>
    </w:p>
    <w:p w14:paraId="32D32A31" w14:textId="77777777" w:rsidR="004B2808" w:rsidRDefault="00000000">
      <w:pPr>
        <w:pStyle w:val="pheading"/>
      </w:pPr>
      <w:r>
        <w:t>MATÉRIAUX</w:t>
      </w:r>
    </w:p>
    <w:p w14:paraId="6A0673A3" w14:textId="77777777" w:rsidR="004B2808" w:rsidRDefault="00000000">
      <w:r>
        <w:t>La structure portante du plafond se compose de  :</w:t>
      </w:r>
    </w:p>
    <w:p w14:paraId="148F2C41" w14:textId="77777777" w:rsidR="004B2808" w:rsidRDefault="00000000">
      <w:pPr>
        <w:ind w:left="454"/>
      </w:pPr>
      <w:r>
        <w:rPr>
          <w:b/>
        </w:rPr>
        <w:t>Choix opéré</w:t>
      </w:r>
      <w:r>
        <w:t xml:space="preserve"> : </w:t>
      </w:r>
      <w:r>
        <w:rPr>
          <w:rStyle w:val="optioncarChar"/>
        </w:rPr>
        <w:t>OPTION 1 (en bois) </w:t>
      </w:r>
      <w:r>
        <w:t xml:space="preserve">(par défaut) </w:t>
      </w:r>
      <w:r>
        <w:rPr>
          <w:rStyle w:val="optioncarChar"/>
        </w:rPr>
        <w:t>/ OPTION 2 (en métal) / OPTION ( au choix) / ***</w:t>
      </w:r>
    </w:p>
    <w:p w14:paraId="53A16CA3" w14:textId="77777777" w:rsidR="004B2808" w:rsidRDefault="00000000">
      <w:pPr>
        <w:ind w:left="454"/>
      </w:pPr>
      <w:r>
        <w:rPr>
          <w:b/>
        </w:rPr>
        <w:t>***OPTION 1 (par défaut)</w:t>
      </w:r>
      <w:r>
        <w:t xml:space="preserve"> : un lattage en bois bien réglé, 50 x 30 mm, espacement max. 450 mm, fixé directement sur le plafond. Le bois à mettre en œuvre pour le système de support est le Pin du Nord (PNG).  Le bois a été préalablement traité selon le procédé incolore A1 [STS 04.3] .</w:t>
      </w:r>
      <w:r>
        <w:br/>
      </w:r>
      <w:r>
        <w:rPr>
          <w:b/>
        </w:rPr>
        <w:t>***OPTION 2 </w:t>
      </w:r>
      <w:r>
        <w:t>: une structure réglée en métal, constituée de cornières 30x34mm en acier galvanisé plié à froid, 1 mm d'épaisseur, fixées à des fers plats de 30 x 2mm, pourvus d'encoches qui présentent la même forme que les profils de support.</w:t>
      </w:r>
    </w:p>
    <w:p w14:paraId="72D19DCD" w14:textId="77777777" w:rsidR="004B2808" w:rsidRDefault="00000000">
      <w:pPr>
        <w:ind w:left="454"/>
      </w:pPr>
      <w:r>
        <w:rPr>
          <w:b/>
        </w:rPr>
        <w:t xml:space="preserve">***OPTION 3 </w:t>
      </w:r>
      <w:r>
        <w:t>: au choix de l'entrepreneur</w:t>
      </w:r>
    </w:p>
    <w:p w14:paraId="6E9FB396" w14:textId="77777777" w:rsidR="004B2808" w:rsidRDefault="00000000">
      <w:pPr>
        <w:pStyle w:val="pheading"/>
      </w:pPr>
      <w:r>
        <w:t>EXÉCUTION / MISE EN ŒUVRE</w:t>
      </w:r>
    </w:p>
    <w:p w14:paraId="7FB973E7" w14:textId="77777777" w:rsidR="004B2808" w:rsidRDefault="00000000">
      <w:r>
        <w:t>La mise en œuvre est exécutée conformément aux prescriptions du fabricant.</w:t>
      </w:r>
      <w:r>
        <w:br/>
        <w:t>Le plafonneur est tenu de contrôler le support et, éventuellement, d’y apporter des adaptations avant de poser la structure portante du système. L'écartement maximal est de respectivement 60 cm pour les murs et de 50 cm pour les plafonds. Les renforts éventuellement nécessaires pour la fixation d'appareils ou d'objets doivent également être prévus.</w:t>
      </w:r>
      <w:r>
        <w:br/>
        <w:t xml:space="preserve">Le </w:t>
      </w:r>
      <w:r>
        <w:rPr>
          <w:rStyle w:val="optioncarChar"/>
        </w:rPr>
        <w:t>treillis</w:t>
      </w:r>
      <w:r>
        <w:t> (par défaut)</w:t>
      </w:r>
      <w:r>
        <w:rPr>
          <w:rStyle w:val="optioncarChar"/>
        </w:rPr>
        <w:t>/ grillage  / ***</w:t>
      </w:r>
      <w:r>
        <w:t xml:space="preserve"> est fixé en alternance avec un recouvrement dans tous les sens et des fixations tous les 15 cm . Le </w:t>
      </w:r>
      <w:r>
        <w:rPr>
          <w:rStyle w:val="optioncarChar"/>
        </w:rPr>
        <w:t>treillis</w:t>
      </w:r>
      <w:r>
        <w:t> (par défaut)</w:t>
      </w:r>
      <w:r>
        <w:rPr>
          <w:rStyle w:val="optioncarChar"/>
        </w:rPr>
        <w:t xml:space="preserve"> / grillage  / ***</w:t>
      </w:r>
      <w:r>
        <w:t> est fixé sur la structure portante à l'aide de moyens de fixation inoxydables : vis, clous, crampons, fil de ligature, agrafes, conformément aux directives du fabricant.  Pour une meilleure adhérence et une plus grande rigidité de l'ensemble, le mortier de plafonnage doit bien pénétrer dans les ouvertures du treillis et envelopper complètement les fils d'acier.</w:t>
      </w:r>
    </w:p>
    <w:p w14:paraId="08A07336" w14:textId="77777777" w:rsidR="004B2808" w:rsidRDefault="00000000">
      <w:pPr>
        <w:pStyle w:val="Author-eSectionHeading6Numberless"/>
      </w:pPr>
      <w:bookmarkStart w:id="855" w:name="_Toc220490997"/>
      <w:r>
        <w:t>54.13.1a Supports d'enduit complémentaires - treillis métalliques CCTB 01.10</w:t>
      </w:r>
      <w:bookmarkEnd w:id="855"/>
    </w:p>
    <w:p w14:paraId="0E708FB3" w14:textId="77777777" w:rsidR="004B2808" w:rsidRDefault="00000000">
      <w:pPr>
        <w:pStyle w:val="pheading"/>
      </w:pPr>
      <w:r>
        <w:t>MATÉRIAUX</w:t>
      </w:r>
    </w:p>
    <w:p w14:paraId="0F457888" w14:textId="77777777" w:rsidR="004B2808" w:rsidRDefault="00000000">
      <w:pPr>
        <w:pStyle w:val="pheading"/>
      </w:pPr>
      <w:r>
        <w:t>- Caractéristiques générales</w:t>
      </w:r>
    </w:p>
    <w:p w14:paraId="772DBD37" w14:textId="77777777" w:rsidR="004B2808" w:rsidRDefault="00000000">
      <w:r>
        <w:t>L'enduit est appliqué sur une structure de base en:</w:t>
      </w:r>
    </w:p>
    <w:p w14:paraId="30C0CF95" w14:textId="77777777" w:rsidR="004B2808" w:rsidRDefault="00000000">
      <w:r>
        <w:t>Choix opéré: </w:t>
      </w:r>
      <w:r>
        <w:rPr>
          <w:rStyle w:val="optioncarChar"/>
          <w:b/>
        </w:rPr>
        <w:t>OPTION 1 (céramique) </w:t>
      </w:r>
      <w:r>
        <w:t xml:space="preserve">(par défaut) </w:t>
      </w:r>
      <w:r>
        <w:rPr>
          <w:rStyle w:val="optioncarChar"/>
          <w:b/>
        </w:rPr>
        <w:t>/ OPTION 2 (métallique) / ***</w:t>
      </w:r>
    </w:p>
    <w:p w14:paraId="6FE8507B" w14:textId="77777777" w:rsidR="004B2808" w:rsidRDefault="00000000">
      <w:r>
        <w:rPr>
          <w:b/>
        </w:rPr>
        <w:t>***OPTION 1 (par défaut)</w:t>
      </w:r>
      <w:r>
        <w:t>: un treillis céramique de fil d'acier tissé enrobé d'argile et brûlé.  Le fil d'acier est protégé contre la corrosion grâce à la couche d'oxyde qui s'est formée pendant la cuisson.  Les mailles ont une dimension d'environ 20 mm.  Le type de mortier d'enduit appliqué dépend du domaine d'application et est choisi en fonction des recommandations du fabricant du treillis; </w:t>
      </w:r>
      <w:r>
        <w:br/>
      </w:r>
      <w:r>
        <w:rPr>
          <w:b/>
        </w:rPr>
        <w:t>***OPTION 2</w:t>
      </w:r>
      <w:r>
        <w:t>: un treillis métallique recouvert par une couche d'enrobage dont les performances sont annoncées au maître d'œuvre;</w:t>
      </w:r>
    </w:p>
    <w:p w14:paraId="3E647838" w14:textId="77777777" w:rsidR="004B2808" w:rsidRDefault="00000000">
      <w:pPr>
        <w:pStyle w:val="Author-eSectionHeading6Numberless"/>
      </w:pPr>
      <w:bookmarkStart w:id="856" w:name="_Toc220490998"/>
      <w:r>
        <w:t>54.13.1b Supports d'enduit complémentaires - treillis métalliques à dos cartonné (stucanet) CCTB 01.02</w:t>
      </w:r>
      <w:bookmarkEnd w:id="856"/>
    </w:p>
    <w:p w14:paraId="2F64C7CC" w14:textId="77777777" w:rsidR="004B2808" w:rsidRDefault="00000000">
      <w:pPr>
        <w:pStyle w:val="pheading"/>
      </w:pPr>
      <w:r>
        <w:t>MATÉRIAUX</w:t>
      </w:r>
    </w:p>
    <w:p w14:paraId="4851B394" w14:textId="77777777" w:rsidR="004B2808" w:rsidRDefault="00000000">
      <w:pPr>
        <w:pStyle w:val="pheading"/>
      </w:pPr>
      <w:r>
        <w:t>- Caractéristiques générales</w:t>
      </w:r>
    </w:p>
    <w:p w14:paraId="0162FFC6" w14:textId="77777777" w:rsidR="004B2808" w:rsidRDefault="00000000">
      <w:r>
        <w:t>L'enduit est appliqué sur une structure de base en treillis soudé avec du carton perforé : composé d'un treillis soudé de fils d'acier galvanisés à chaud Ø 1,5 et 3 mm dans lequel se tisse un carton absorbant perforé. Tous les 15 cm environ, un fil de diamètre supérieur est inséré afin d'améliorer la rigidité entre les supports. Plusieurs types sont disponibles en fonction d'une exécution courante ou dans des locaux humides.</w:t>
      </w:r>
    </w:p>
    <w:p w14:paraId="4DFAFB96" w14:textId="77777777" w:rsidR="004B2808" w:rsidRDefault="00000000">
      <w:pPr>
        <w:pStyle w:val="Author-eSectionHeading6Numberless"/>
      </w:pPr>
      <w:bookmarkStart w:id="857" w:name="_Toc220490999"/>
      <w:r>
        <w:t>54.13.1c Supports d'enduit complémentaires - textiles en fibres de verre CCTB 01.02</w:t>
      </w:r>
      <w:bookmarkEnd w:id="857"/>
    </w:p>
    <w:p w14:paraId="30928D39" w14:textId="77777777" w:rsidR="004B2808" w:rsidRDefault="00000000">
      <w:pPr>
        <w:pStyle w:val="Author-eSectionHeading6Numberless"/>
      </w:pPr>
      <w:bookmarkStart w:id="858" w:name="_Toc220491000"/>
      <w:r>
        <w:lastRenderedPageBreak/>
        <w:t>54.13.1d Supports d'enduit complémentaires - treillis en matière synthétique CCTB 01.02</w:t>
      </w:r>
      <w:bookmarkEnd w:id="858"/>
    </w:p>
    <w:p w14:paraId="01409FF3" w14:textId="77777777" w:rsidR="004B2808" w:rsidRDefault="00000000">
      <w:pPr>
        <w:pStyle w:val="Author-eSectionHeading6Numberless"/>
      </w:pPr>
      <w:bookmarkStart w:id="859" w:name="_Toc220491001"/>
      <w:r>
        <w:t>54.13.1e Supports d'enduit complémentaires - en métal déployé CCTB 01.02</w:t>
      </w:r>
      <w:bookmarkEnd w:id="859"/>
    </w:p>
    <w:p w14:paraId="2744D165" w14:textId="77777777" w:rsidR="004B2808" w:rsidRDefault="00000000">
      <w:pPr>
        <w:pStyle w:val="pheading"/>
      </w:pPr>
      <w:r>
        <w:t>MATÉRIAUX</w:t>
      </w:r>
    </w:p>
    <w:p w14:paraId="1621D84D" w14:textId="77777777" w:rsidR="004B2808" w:rsidRDefault="00000000">
      <w:pPr>
        <w:pStyle w:val="pheading"/>
      </w:pPr>
      <w:r>
        <w:t>- Caractéristiques générales</w:t>
      </w:r>
    </w:p>
    <w:p w14:paraId="2B73C153" w14:textId="77777777" w:rsidR="004B2808" w:rsidRDefault="00000000">
      <w:r>
        <w:t>L'enduit est appliqué sur une structure de base en treillis métallique en métal déployé nervuré, à environ 6.000 perforations au m², fabriqué en tôle d'acier galvanisé Sendzimir d'une épaisseur de 0,3 mm et pourvus de nervures de consolidation environ tous les 100 mm. La face supérieure est revêtue d'une couche de papier paraffiné.</w:t>
      </w:r>
    </w:p>
    <w:p w14:paraId="12CC69F4" w14:textId="77777777" w:rsidR="004B2808" w:rsidRDefault="00000000">
      <w:pPr>
        <w:pStyle w:val="Author-eSectionHeading5Numberless"/>
      </w:pPr>
      <w:bookmarkStart w:id="860" w:name="_Toc220491002"/>
      <w:r>
        <w:t>54.13.2 Supports d'enduit complémentaires - autres supports CCTB 01.02</w:t>
      </w:r>
      <w:bookmarkEnd w:id="860"/>
    </w:p>
    <w:p w14:paraId="47097AD6" w14:textId="77777777" w:rsidR="004B2808" w:rsidRDefault="00000000">
      <w:pPr>
        <w:pStyle w:val="Author-eSectionHeading6Numberless"/>
      </w:pPr>
      <w:bookmarkStart w:id="861" w:name="_Toc220491003"/>
      <w:r>
        <w:t>54.13.2a Supports d'enduit complémentaires - Lattis CCTB 01.02</w:t>
      </w:r>
      <w:bookmarkEnd w:id="861"/>
    </w:p>
    <w:p w14:paraId="51BA46FC" w14:textId="77777777" w:rsidR="004B2808" w:rsidRDefault="00000000">
      <w:pPr>
        <w:pStyle w:val="Author-eSectionHeading6Numberless"/>
      </w:pPr>
      <w:bookmarkStart w:id="862" w:name="_Toc220491004"/>
      <w:r>
        <w:t>54.13.2b Supports d'enduit complémentaires - Nattes de roseaux CCTB 01.08</w:t>
      </w:r>
      <w:bookmarkEnd w:id="862"/>
    </w:p>
    <w:p w14:paraId="72420E9B" w14:textId="77777777" w:rsidR="004B2808" w:rsidRDefault="00000000">
      <w:pPr>
        <w:pStyle w:val="pheading"/>
      </w:pPr>
      <w:bookmarkStart w:id="863" w:name="1294"/>
      <w:bookmarkEnd w:id="863"/>
      <w:r>
        <w:t>DESCRIPTION</w:t>
      </w:r>
    </w:p>
    <w:p w14:paraId="6B374113" w14:textId="77777777" w:rsidR="004B2808" w:rsidRDefault="00000000">
      <w:pPr>
        <w:pStyle w:val="pheading"/>
      </w:pPr>
      <w:r>
        <w:t>- Définition / Comprend</w:t>
      </w:r>
    </w:p>
    <w:p w14:paraId="41C85DFA" w14:textId="77777777" w:rsidR="004B2808" w:rsidRDefault="00000000">
      <w:pPr>
        <w:jc w:val="both"/>
      </w:pPr>
      <w:r>
        <w:t>Il s’agit de la fourniture et de la pose d’un support complémentaire d’enduit de plafond sous la forme de nattes de roseau. Le support convient pour les enduits à l’argile ou à la chaux.</w:t>
      </w:r>
    </w:p>
    <w:p w14:paraId="3ECA2533" w14:textId="77777777" w:rsidR="004B2808" w:rsidRDefault="00000000">
      <w:pPr>
        <w:pStyle w:val="pheading"/>
      </w:pPr>
      <w:r>
        <w:t>MATÉRIAUX</w:t>
      </w:r>
    </w:p>
    <w:p w14:paraId="6C01E626" w14:textId="77777777" w:rsidR="004B2808" w:rsidRDefault="00000000">
      <w:pPr>
        <w:pStyle w:val="pheading"/>
      </w:pPr>
      <w:r>
        <w:t>- Caractéristiques générales</w:t>
      </w:r>
    </w:p>
    <w:p w14:paraId="1FE72ABB" w14:textId="77777777" w:rsidR="004B2808" w:rsidRDefault="00000000">
      <w:r>
        <w:t xml:space="preserve">Il s’agit de roseaux tubulaires laissés naturels, environ 70 brins par mètre linéaire. Les brins sont reliés avec un fil </w:t>
      </w:r>
      <w:r>
        <w:rPr>
          <w:rStyle w:val="optioncarChar"/>
        </w:rPr>
        <w:t>de fer galvanisé / de nylon environ</w:t>
      </w:r>
      <w:r>
        <w:t xml:space="preserve"> tous les 10 à 20 cm.</w:t>
      </w:r>
    </w:p>
    <w:p w14:paraId="025F0335" w14:textId="77777777" w:rsidR="004B2808" w:rsidRDefault="00000000">
      <w:pPr>
        <w:pStyle w:val="pheading"/>
      </w:pPr>
      <w:r>
        <w:t>EXÉCUTION / MISE EN ŒUVRE</w:t>
      </w:r>
    </w:p>
    <w:p w14:paraId="120AAF5F" w14:textId="77777777" w:rsidR="004B2808" w:rsidRDefault="00000000">
      <w:pPr>
        <w:pStyle w:val="pheading"/>
      </w:pPr>
      <w:r>
        <w:t>- Prescriptions générales</w:t>
      </w:r>
    </w:p>
    <w:p w14:paraId="3EF67BF2" w14:textId="77777777" w:rsidR="004B2808" w:rsidRDefault="00000000">
      <w:pPr>
        <w:jc w:val="both"/>
      </w:pPr>
      <w:r>
        <w:t xml:space="preserve">La natte de roseaux peut être coupée avec un sécateur. Les rouleaux entiers et non dépliés peuvent être coupés à la scie circulaire. A partir d'un bord de la surface à recouvrir, la natte de roseaux s’accroche à l’aide d’un fil galvanisé ou en nylon de sorte à plaquer les roseaux contre le support, au moyen </w:t>
      </w:r>
      <w:r>
        <w:rPr>
          <w:rStyle w:val="optioncarChar"/>
        </w:rPr>
        <w:t>de vis avec rondelles (+ chevilles éventuelles adaptées au support)</w:t>
      </w:r>
      <w:r>
        <w:t xml:space="preserve"> (par défaut) </w:t>
      </w:r>
      <w:r>
        <w:rPr>
          <w:rStyle w:val="optioncarChar"/>
        </w:rPr>
        <w:t>/ d’agrafes inoxydables / de clous</w:t>
      </w:r>
      <w:r>
        <w:t>. Les moyens de fixation sont adaptés en nombre et en dimensions au support et à l'enduit utilisé.</w:t>
      </w:r>
    </w:p>
    <w:p w14:paraId="10FDD8BF" w14:textId="77777777" w:rsidR="004B2808" w:rsidRDefault="00000000">
      <w:pPr>
        <w:jc w:val="both"/>
      </w:pPr>
      <w:r>
        <w:t>Les joints des panneaux de roseaux sont armés avec une toile de jute ou toile de verre conformément à l‘enduit utilisé. Les toiles sont décalées par rapport aux joints des panneaux.</w:t>
      </w:r>
    </w:p>
    <w:p w14:paraId="7570C517" w14:textId="77777777" w:rsidR="004B2808" w:rsidRDefault="00000000">
      <w:pPr>
        <w:pStyle w:val="pheading"/>
      </w:pPr>
      <w:r>
        <w:t>DOCUMENTS DE RÉFÉRENCE COMPLÉMENTAIRES</w:t>
      </w:r>
    </w:p>
    <w:p w14:paraId="0245FBEB" w14:textId="77777777" w:rsidR="004B2808" w:rsidRDefault="00000000">
      <w:pPr>
        <w:pStyle w:val="pheading"/>
      </w:pPr>
      <w:r>
        <w:t>- Matériau</w:t>
      </w:r>
    </w:p>
    <w:p w14:paraId="51DE23E3" w14:textId="77777777" w:rsidR="004B2808" w:rsidRDefault="00000000">
      <w:r>
        <w:t>[Moniteur Terre crue, Röhlen / Ziegert - Construire en terre crue: Construction - Rénovation - Finitions]</w:t>
      </w:r>
    </w:p>
    <w:p w14:paraId="52139A2D" w14:textId="77777777" w:rsidR="004B2808" w:rsidRDefault="00000000">
      <w:r>
        <w:t>[CRATerre, CRATerre - Traité de construction en terre]</w:t>
      </w:r>
    </w:p>
    <w:p w14:paraId="550E919B" w14:textId="77777777" w:rsidR="004B2808" w:rsidRDefault="00000000">
      <w:pPr>
        <w:pStyle w:val="pheading"/>
      </w:pPr>
      <w:r>
        <w:t>- Exécution</w:t>
      </w:r>
    </w:p>
    <w:p w14:paraId="2AF4B84F" w14:textId="77777777" w:rsidR="004B2808" w:rsidRDefault="00000000">
      <w:r>
        <w:t>[Moniteur Terre crue, Röhlen / Ziegert - Construire en terre crue: Construction - Rénovation - Finitions]</w:t>
      </w:r>
    </w:p>
    <w:p w14:paraId="094F6FBE" w14:textId="77777777" w:rsidR="004B2808" w:rsidRDefault="00000000">
      <w:r>
        <w:t>[CRATerre, CRATerre - Traité de construction en terre]</w:t>
      </w:r>
    </w:p>
    <w:p w14:paraId="477E729D" w14:textId="77777777" w:rsidR="004B2808" w:rsidRDefault="00000000">
      <w:pPr>
        <w:pStyle w:val="pheading"/>
      </w:pPr>
      <w:r>
        <w:t>MESURAGE</w:t>
      </w:r>
    </w:p>
    <w:p w14:paraId="58FFB96A" w14:textId="77777777" w:rsidR="004B2808" w:rsidRDefault="00000000">
      <w:pPr>
        <w:pStyle w:val="pheading"/>
      </w:pPr>
      <w:r>
        <w:lastRenderedPageBreak/>
        <w:t>- unité de mesure:</w:t>
      </w:r>
    </w:p>
    <w:p w14:paraId="6579032E" w14:textId="77777777" w:rsidR="004B2808" w:rsidRDefault="00000000">
      <w:r>
        <w:rPr>
          <w:rStyle w:val="optioncarChar"/>
        </w:rPr>
        <w:t xml:space="preserve">- </w:t>
      </w:r>
      <w:r>
        <w:t>(par défaut)</w:t>
      </w:r>
      <w:r>
        <w:rPr>
          <w:rStyle w:val="optioncarChar"/>
        </w:rPr>
        <w:t xml:space="preserve"> / m²</w:t>
      </w:r>
    </w:p>
    <w:p w14:paraId="6E7BD639" w14:textId="77777777" w:rsidR="004B2808" w:rsidRDefault="00000000">
      <w:r>
        <w:rPr>
          <w:b/>
          <w:i/>
        </w:rPr>
        <w:t>(Soit par défaut)</w:t>
      </w:r>
    </w:p>
    <w:p w14:paraId="1FD632BC" w14:textId="77777777" w:rsidR="004B2808" w:rsidRDefault="00000000">
      <w:r>
        <w:rPr>
          <w:rStyle w:val="soitChar"/>
        </w:rPr>
        <w:t>1. -</w:t>
      </w:r>
    </w:p>
    <w:p w14:paraId="77650AAB" w14:textId="77777777" w:rsidR="004B2808" w:rsidRDefault="00000000">
      <w:r>
        <w:rPr>
          <w:b/>
          <w:i/>
        </w:rPr>
        <w:t>(Soit)</w:t>
      </w:r>
    </w:p>
    <w:p w14:paraId="7A57410C" w14:textId="77777777" w:rsidR="004B2808" w:rsidRDefault="00000000">
      <w:r>
        <w:rPr>
          <w:rStyle w:val="soitChar"/>
        </w:rPr>
        <w:t>2. m²</w:t>
      </w:r>
    </w:p>
    <w:p w14:paraId="00675E2D" w14:textId="77777777" w:rsidR="004B2808" w:rsidRDefault="00000000">
      <w:pPr>
        <w:pStyle w:val="pheading"/>
      </w:pPr>
      <w:r>
        <w:t>- code de mesurage:</w:t>
      </w:r>
    </w:p>
    <w:p w14:paraId="18949EB8" w14:textId="77777777" w:rsidR="004B2808" w:rsidRDefault="00000000">
      <w:pPr>
        <w:jc w:val="both"/>
      </w:pPr>
      <w:r>
        <w:rPr>
          <w:rStyle w:val="optioncarChar"/>
        </w:rPr>
        <w:t xml:space="preserve">Compris dans la pose de l’enduit </w:t>
      </w:r>
      <w:r>
        <w:t>(par défaut)</w:t>
      </w:r>
      <w:r>
        <w:rPr>
          <w:rStyle w:val="optioncarChar"/>
        </w:rPr>
        <w:t xml:space="preserve"> / Surface nette.</w:t>
      </w:r>
    </w:p>
    <w:p w14:paraId="1899BF6E" w14:textId="77777777" w:rsidR="004B2808" w:rsidRDefault="00000000">
      <w:pPr>
        <w:jc w:val="both"/>
      </w:pPr>
      <w:r>
        <w:rPr>
          <w:b/>
          <w:i/>
        </w:rPr>
        <w:t>(Soit par défaut)</w:t>
      </w:r>
    </w:p>
    <w:p w14:paraId="5D51A4D9" w14:textId="77777777" w:rsidR="004B2808" w:rsidRDefault="00000000">
      <w:pPr>
        <w:jc w:val="both"/>
      </w:pPr>
      <w:r>
        <w:rPr>
          <w:rStyle w:val="soitChar"/>
          <w:b/>
        </w:rPr>
        <w:t>1. Compris dans la pose de l’enduit</w:t>
      </w:r>
      <w:r>
        <w:rPr>
          <w:rStyle w:val="soitChar"/>
        </w:rPr>
        <w:t xml:space="preserve"> dans l’élément</w:t>
      </w:r>
      <w:r>
        <w:rPr>
          <w:rStyle w:val="optioncarChar"/>
        </w:rPr>
        <w:t>***</w:t>
      </w:r>
    </w:p>
    <w:p w14:paraId="202E0C94" w14:textId="77777777" w:rsidR="004B2808" w:rsidRDefault="00000000">
      <w:pPr>
        <w:jc w:val="both"/>
      </w:pPr>
      <w:r>
        <w:rPr>
          <w:b/>
          <w:i/>
        </w:rPr>
        <w:t>(Soit)</w:t>
      </w:r>
    </w:p>
    <w:p w14:paraId="21A55D76" w14:textId="77777777" w:rsidR="004B2808" w:rsidRDefault="00000000">
      <w:pPr>
        <w:jc w:val="both"/>
      </w:pPr>
      <w:r>
        <w:rPr>
          <w:rStyle w:val="soitChar"/>
          <w:b/>
        </w:rPr>
        <w:t>2. Surface nette</w:t>
      </w:r>
      <w:r>
        <w:rPr>
          <w:rStyle w:val="soitChar"/>
        </w:rPr>
        <w:t xml:space="preserve"> de la natte à poser. Les ouvertures et les interruptions supérieures à 0,50 m² sont déduites.</w:t>
      </w:r>
    </w:p>
    <w:p w14:paraId="5FFF4D95" w14:textId="77777777" w:rsidR="004B2808" w:rsidRDefault="00000000">
      <w:pPr>
        <w:pStyle w:val="pheading"/>
      </w:pPr>
      <w:r>
        <w:t>- nature du marché:</w:t>
      </w:r>
    </w:p>
    <w:p w14:paraId="60504589" w14:textId="77777777" w:rsidR="004B2808" w:rsidRDefault="00000000">
      <w:r>
        <w:rPr>
          <w:rStyle w:val="optioncarChar"/>
        </w:rPr>
        <w:t>PM</w:t>
      </w:r>
      <w:r>
        <w:t xml:space="preserve"> (par défaut) </w:t>
      </w:r>
      <w:r>
        <w:rPr>
          <w:rStyle w:val="optioncarChar"/>
        </w:rPr>
        <w:t>/ QF</w:t>
      </w:r>
    </w:p>
    <w:p w14:paraId="02889501" w14:textId="77777777" w:rsidR="004B2808" w:rsidRDefault="00000000">
      <w:r>
        <w:rPr>
          <w:b/>
          <w:i/>
        </w:rPr>
        <w:t>(Soit par défaut)</w:t>
      </w:r>
    </w:p>
    <w:p w14:paraId="4CC900FC" w14:textId="77777777" w:rsidR="004B2808" w:rsidRDefault="00000000">
      <w:r>
        <w:rPr>
          <w:rStyle w:val="soitChar"/>
        </w:rPr>
        <w:t>1. PM</w:t>
      </w:r>
    </w:p>
    <w:p w14:paraId="5637912D" w14:textId="77777777" w:rsidR="004B2808" w:rsidRDefault="00000000">
      <w:r>
        <w:rPr>
          <w:b/>
          <w:i/>
        </w:rPr>
        <w:t>(Soit)</w:t>
      </w:r>
    </w:p>
    <w:p w14:paraId="2CC93CB9" w14:textId="77777777" w:rsidR="004B2808" w:rsidRDefault="00000000">
      <w:r>
        <w:rPr>
          <w:rStyle w:val="soitChar"/>
        </w:rPr>
        <w:t>2. QF</w:t>
      </w:r>
    </w:p>
    <w:p w14:paraId="3F2B42B9" w14:textId="77777777" w:rsidR="004B2808" w:rsidRDefault="00000000">
      <w:pPr>
        <w:pStyle w:val="Author-eSectionHeading4Numberless"/>
      </w:pPr>
      <w:bookmarkStart w:id="864" w:name="_Toc220491005"/>
      <w:r>
        <w:t>54.14 Enduits à base de plâtre CCTB 01.02</w:t>
      </w:r>
      <w:bookmarkEnd w:id="864"/>
    </w:p>
    <w:p w14:paraId="79AB91EA" w14:textId="77777777" w:rsidR="004B2808" w:rsidRDefault="00000000">
      <w:pPr>
        <w:pStyle w:val="Author-eSectionHeading5Numberless"/>
      </w:pPr>
      <w:bookmarkStart w:id="865" w:name="_Toc220491006"/>
      <w:r>
        <w:t>54.14.1 Enduits à base de plâtre en 1 couche (± 10 mm) CCTB 01.02</w:t>
      </w:r>
      <w:bookmarkEnd w:id="865"/>
    </w:p>
    <w:p w14:paraId="4609AEA0" w14:textId="77777777" w:rsidR="004B2808" w:rsidRDefault="00000000">
      <w:pPr>
        <w:pStyle w:val="Author-eSectionHeading6Numberless"/>
      </w:pPr>
      <w:bookmarkStart w:id="866" w:name="_Toc220491007"/>
      <w:r>
        <w:t>54.14.1a Enduits à base de plâtre en 1 couche (± 10 mm), prédosés à sec CCTB 01.11</w:t>
      </w:r>
      <w:bookmarkEnd w:id="866"/>
    </w:p>
    <w:p w14:paraId="7C7D0A43" w14:textId="77777777" w:rsidR="004B2808" w:rsidRDefault="00000000">
      <w:pPr>
        <w:pStyle w:val="pheading"/>
      </w:pPr>
      <w:bookmarkStart w:id="867" w:name="1136"/>
      <w:bookmarkEnd w:id="867"/>
      <w:r>
        <w:t>MATÉRIAUX</w:t>
      </w:r>
    </w:p>
    <w:p w14:paraId="63FF99E2" w14:textId="77777777" w:rsidR="004B2808" w:rsidRDefault="00000000">
      <w:pPr>
        <w:pStyle w:val="pheading"/>
      </w:pPr>
      <w:r>
        <w:t>- Caractéristiques générales</w:t>
      </w:r>
    </w:p>
    <w:p w14:paraId="5FBF6285" w14:textId="77777777" w:rsidR="004B2808" w:rsidRDefault="00000000">
      <w:r>
        <w:t xml:space="preserve">Il s'agit d'enduits préfabriqués en usine, conformes à la [NBN EN 13279-1] , à base de matières inorganiques minérales. Ils contiennent au moins 50% de produits au sulfate de calcium déshydratés (CaSO4-1/2H2O), extraits de la pierre à plâtre ou des produits secondaires résultant de processus industriels et brûlés selon une méthode particulière. La radioactivité du produit est négligeable et, par conséquent, &lt; </w:t>
      </w:r>
      <w:r>
        <w:rPr>
          <w:rStyle w:val="optioncarChar"/>
        </w:rPr>
        <w:t>300</w:t>
      </w:r>
      <w:r>
        <w:t> (par défaut)</w:t>
      </w:r>
      <w:r>
        <w:rPr>
          <w:rStyle w:val="optioncarChar"/>
        </w:rPr>
        <w:t> / ***</w:t>
      </w:r>
      <w:r>
        <w:t xml:space="preserve"> Bq/kg.</w:t>
      </w:r>
      <w:r>
        <w:br/>
        <w:t>Ils sont éventuellement mélangés à des adjuvants tels que du sable, de la perlite ou vermiculite, choisis en fonction des qualités exigées de l'enduit telles que l'adhérence ou la durée du temps de prise.</w:t>
      </w:r>
      <w:r>
        <w:br/>
        <w:t>En fonction de la nature du support, la gamme de produits présentée par le fabricant pour les enduits à projeter en une seule couche contient des enduits prêts à mélanger, des enduits d'adhérence ou des enduits de finition.</w:t>
      </w:r>
      <w:r>
        <w:br/>
        <w:t>La plupart des supports conviennent à l'application d'un enduit projeté en une seule couche, qui contient au moins 94 % de plâtre et de l'anhydrite. Les adjuvants nécessaires (retardateurs de prise et produits rétenteurs d'eau) assurent une mise en œuvre et une adhérence optimale.</w:t>
      </w:r>
      <w:r>
        <w:br/>
        <w:t>L'entrepreneur soumet le procédé de plafonnage qu'il juge le plus approprié pour l'ouvrage à exécuter à l'approbation de l'administration.</w:t>
      </w:r>
      <w:r>
        <w:br/>
        <w:t>L'enduit est conforme à la [NIT 284].</w:t>
      </w:r>
    </w:p>
    <w:p w14:paraId="4C3365FA" w14:textId="77777777" w:rsidR="004B2808" w:rsidRDefault="00000000">
      <w:pPr>
        <w:pStyle w:val="pheading"/>
      </w:pPr>
      <w:r>
        <w:t>- Finitions</w:t>
      </w:r>
    </w:p>
    <w:p w14:paraId="6ADC039B" w14:textId="77777777" w:rsidR="004B2808" w:rsidRDefault="00000000">
      <w:r>
        <w:lastRenderedPageBreak/>
        <w:t>Degré de finition requis :  </w:t>
      </w:r>
      <w:r>
        <w:rPr>
          <w:rStyle w:val="optioncarChar"/>
        </w:rPr>
        <w:t>normal</w:t>
      </w:r>
      <w:r>
        <w:t xml:space="preserve"> (par défaut) </w:t>
      </w:r>
      <w:r>
        <w:rPr>
          <w:rStyle w:val="optioncarChar"/>
        </w:rPr>
        <w:t>/ spécial / ***</w:t>
      </w:r>
    </w:p>
    <w:p w14:paraId="15833EB5" w14:textId="77777777" w:rsidR="004B2808" w:rsidRDefault="00000000">
      <w:pPr>
        <w:pStyle w:val="pheading"/>
      </w:pPr>
      <w:r>
        <w:t>EXÉCUTION / MISE EN ŒUVRE</w:t>
      </w:r>
    </w:p>
    <w:p w14:paraId="670960B8" w14:textId="77777777" w:rsidR="004B2808" w:rsidRDefault="00000000">
      <w:pPr>
        <w:pStyle w:val="pheading"/>
      </w:pPr>
      <w:r>
        <w:t>- Prescriptions générales</w:t>
      </w:r>
    </w:p>
    <w:p w14:paraId="6DD0712C" w14:textId="77777777" w:rsidR="004B2808" w:rsidRDefault="00000000">
      <w:r>
        <w:t xml:space="preserve">La préparation du support, le mélange de l'enduit et son exécution sont exécutés conformément à l'article </w:t>
      </w:r>
      <w:hyperlink w:anchor="1290" w:history="1">
        <w:r w:rsidR="004B2808">
          <w:rPr>
            <w:color w:val="0000EE"/>
          </w:rPr>
          <w:t>54.1 Revêtements de plafonds enduits</w:t>
        </w:r>
      </w:hyperlink>
      <w:r>
        <w:t>Revêtements de plafonds enduits et selon les prescriptions du fabricant.</w:t>
      </w:r>
      <w:r>
        <w:br/>
        <w:t>La mise en œuvre est conforme à la [NIT 284].</w:t>
      </w:r>
    </w:p>
    <w:p w14:paraId="70928843" w14:textId="77777777" w:rsidR="004B2808" w:rsidRDefault="00000000">
      <w:pPr>
        <w:pStyle w:val="Author-eListParagraph"/>
        <w:numPr>
          <w:ilvl w:val="0"/>
          <w:numId w:val="666"/>
        </w:numPr>
      </w:pPr>
      <w:r>
        <w:rPr>
          <w:rStyle w:val="headingChar"/>
        </w:rPr>
        <w:t>Spécifications</w:t>
      </w:r>
    </w:p>
    <w:p w14:paraId="4082661B" w14:textId="77777777" w:rsidR="004B2808" w:rsidRDefault="00000000">
      <w:pPr>
        <w:pStyle w:val="Author-eListParagraph"/>
        <w:numPr>
          <w:ilvl w:val="0"/>
          <w:numId w:val="666"/>
        </w:numPr>
      </w:pPr>
      <w:r>
        <w:t xml:space="preserve">Mode d'exécution : en </w:t>
      </w:r>
      <w:r>
        <w:rPr>
          <w:rStyle w:val="optioncarChar"/>
        </w:rPr>
        <w:t>une seule couche</w:t>
      </w:r>
      <w:r>
        <w:t> (par défaut) </w:t>
      </w:r>
      <w:r>
        <w:rPr>
          <w:rStyle w:val="optioncarChar"/>
        </w:rPr>
        <w:t> / ***</w:t>
      </w:r>
    </w:p>
    <w:p w14:paraId="6593E5B6" w14:textId="77777777" w:rsidR="004B2808" w:rsidRDefault="00000000">
      <w:pPr>
        <w:pStyle w:val="Author-eListParagraph"/>
        <w:numPr>
          <w:ilvl w:val="0"/>
          <w:numId w:val="666"/>
        </w:numPr>
      </w:pPr>
      <w:r>
        <w:t xml:space="preserve">Epaisseur totale moyenne : </w:t>
      </w:r>
      <w:r>
        <w:rPr>
          <w:rStyle w:val="optioncarChar"/>
        </w:rPr>
        <w:t>10</w:t>
      </w:r>
      <w:r>
        <w:t> (par défaut) </w:t>
      </w:r>
      <w:r>
        <w:rPr>
          <w:rStyle w:val="optioncarChar"/>
        </w:rPr>
        <w:t>/ ***  </w:t>
      </w:r>
      <w:r>
        <w:t>mm.</w:t>
      </w:r>
    </w:p>
    <w:p w14:paraId="75E05107" w14:textId="77777777" w:rsidR="004B2808" w:rsidRDefault="00000000">
      <w:pPr>
        <w:pStyle w:val="Author-eListParagraph"/>
        <w:numPr>
          <w:ilvl w:val="0"/>
          <w:numId w:val="666"/>
        </w:numPr>
      </w:pPr>
      <w:r>
        <w:t>Recouvrement des treillis de renfort : au moins 10 cm .</w:t>
      </w:r>
    </w:p>
    <w:p w14:paraId="3991788C" w14:textId="77777777" w:rsidR="004B2808" w:rsidRDefault="00000000">
      <w:pPr>
        <w:pStyle w:val="Author-eListParagraph"/>
        <w:numPr>
          <w:ilvl w:val="0"/>
          <w:numId w:val="666"/>
        </w:numPr>
      </w:pPr>
      <w:r>
        <w:t>Parachèvement de la couche de finition : </w:t>
      </w:r>
      <w:r>
        <w:rPr>
          <w:rStyle w:val="optioncarChar"/>
        </w:rPr>
        <w:t>lisse </w:t>
      </w:r>
      <w:r>
        <w:t>(par défaut) / ***  (sauf pour les surfaces destinées à être carrelées)</w:t>
      </w:r>
    </w:p>
    <w:p w14:paraId="1CCA6835" w14:textId="77777777" w:rsidR="004B2808" w:rsidRDefault="00000000">
      <w:pPr>
        <w:pStyle w:val="Author-eListParagraph"/>
        <w:numPr>
          <w:ilvl w:val="0"/>
          <w:numId w:val="666"/>
        </w:numPr>
      </w:pPr>
      <w:r>
        <w:t>Réaction au feu  de l’enduit en prenant en compte l’influence du support (couche(s) sous-jacente(s)): classe</w:t>
      </w:r>
      <w:r>
        <w:rPr>
          <w:rStyle w:val="optioncarChar"/>
        </w:rPr>
        <w:t> A1 </w:t>
      </w:r>
      <w:r>
        <w:t>(par défaut)</w:t>
      </w:r>
      <w:r>
        <w:rPr>
          <w:rStyle w:val="optioncarChar"/>
        </w:rPr>
        <w:t xml:space="preserve"> / A2 / B / C / D / E / F</w:t>
      </w:r>
      <w:r>
        <w:t xml:space="preserve"> selon la [NBN EN 13501-1].</w:t>
      </w:r>
    </w:p>
    <w:p w14:paraId="1C0C6876" w14:textId="77777777" w:rsidR="004B2808" w:rsidRDefault="00000000">
      <w:pPr>
        <w:pStyle w:val="Author-eListParagraph"/>
        <w:numPr>
          <w:ilvl w:val="0"/>
          <w:numId w:val="666"/>
        </w:numPr>
      </w:pPr>
      <w:r>
        <w:t xml:space="preserve">Classes additionnelles : </w:t>
      </w:r>
    </w:p>
    <w:p w14:paraId="23103AFB" w14:textId="77777777" w:rsidR="004B2808" w:rsidRDefault="00000000">
      <w:pPr>
        <w:pStyle w:val="Author-eListParagraph"/>
        <w:numPr>
          <w:ilvl w:val="1"/>
          <w:numId w:val="667"/>
        </w:numPr>
      </w:pPr>
      <w:r>
        <w:t xml:space="preserve">Production de fumée : exigence </w:t>
      </w:r>
      <w:r>
        <w:rPr>
          <w:rStyle w:val="optioncarChar"/>
        </w:rPr>
        <w:t xml:space="preserve">s1 </w:t>
      </w:r>
      <w:r>
        <w:t>(par défaut) </w:t>
      </w:r>
      <w:r>
        <w:rPr>
          <w:rStyle w:val="optioncarChar"/>
        </w:rPr>
        <w:t>/ s2 / s3 / ***</w:t>
      </w:r>
      <w:r>
        <w:t>. </w:t>
      </w:r>
    </w:p>
    <w:p w14:paraId="40B366EE" w14:textId="77777777" w:rsidR="004B2808" w:rsidRDefault="00000000">
      <w:pPr>
        <w:pStyle w:val="Author-eListParagraph"/>
        <w:numPr>
          <w:ilvl w:val="1"/>
          <w:numId w:val="667"/>
        </w:numPr>
      </w:pPr>
      <w:r>
        <w:t xml:space="preserve">Gouttelettes et particules en feu : </w:t>
      </w:r>
      <w:r>
        <w:rPr>
          <w:rStyle w:val="optioncarChar"/>
        </w:rPr>
        <w:t>d0</w:t>
      </w:r>
      <w:r>
        <w:t> (par défaut)</w:t>
      </w:r>
      <w:r>
        <w:rPr>
          <w:rStyle w:val="optioncarChar"/>
        </w:rPr>
        <w:t xml:space="preserve"> / d1 / d2 / *** .</w:t>
      </w:r>
    </w:p>
    <w:p w14:paraId="3D8097B2" w14:textId="77777777" w:rsidR="004B2808" w:rsidRDefault="00000000">
      <w:pPr>
        <w:pStyle w:val="pheading"/>
      </w:pPr>
      <w:r>
        <w:t>- Notes d’exécution complémentaires</w:t>
      </w:r>
    </w:p>
    <w:p w14:paraId="09485C56" w14:textId="77777777" w:rsidR="004B2808" w:rsidRDefault="00000000">
      <w:r>
        <w:t>Des profils de finition en forme de U sont prévus pour l'interruption du plafonnage dans les cas suivants :</w:t>
      </w:r>
      <w:r>
        <w:rPr>
          <w:rStyle w:val="optioncarChar"/>
        </w:rPr>
        <w:t> joints de tassement</w:t>
      </w:r>
      <w:r>
        <w:t xml:space="preserve"> (par défaut)</w:t>
      </w:r>
      <w:r>
        <w:rPr>
          <w:rStyle w:val="optioncarChar"/>
        </w:rPr>
        <w:t xml:space="preserve"> / joints de dilatation / jonction avec le parement / jonction avec les châssis / arrêt du plafonnage en hauteur / *** </w:t>
      </w:r>
      <w:r>
        <w:t xml:space="preserve"> Le type et le mode de fixation sont soumis à l'approbation de l'auteur de projet.</w:t>
      </w:r>
    </w:p>
    <w:p w14:paraId="380B0C76" w14:textId="77777777" w:rsidR="004B2808" w:rsidRDefault="00000000">
      <w:pPr>
        <w:pStyle w:val="pheading"/>
      </w:pPr>
      <w:r>
        <w:t>MESURAGE</w:t>
      </w:r>
    </w:p>
    <w:p w14:paraId="1AE9CDB5" w14:textId="77777777" w:rsidR="004B2808" w:rsidRDefault="00000000">
      <w:r>
        <w:t>Conformément aux indications spécifiques dans le cahier spécial des charges et/ou le métré récapitulatif, le mesurage doit être conçu comme suit :</w:t>
      </w:r>
    </w:p>
    <w:p w14:paraId="16854D22" w14:textId="77777777" w:rsidR="004B2808" w:rsidRDefault="00000000">
      <w:pPr>
        <w:pStyle w:val="pheading"/>
      </w:pPr>
      <w:r>
        <w:t>- unité de mesure:</w:t>
      </w:r>
    </w:p>
    <w:p w14:paraId="12ECC38E" w14:textId="77777777" w:rsidR="004B2808" w:rsidRDefault="00000000">
      <w:r>
        <w:t>m²</w:t>
      </w:r>
    </w:p>
    <w:p w14:paraId="2016ECE3" w14:textId="77777777" w:rsidR="004B2808" w:rsidRDefault="00000000">
      <w:pPr>
        <w:pStyle w:val="pheading"/>
      </w:pPr>
      <w:r>
        <w:t>- code de mesurage:</w:t>
      </w:r>
    </w:p>
    <w:p w14:paraId="2A8A9330" w14:textId="77777777" w:rsidR="004B2808" w:rsidRDefault="00000000">
      <w:r>
        <w:t>Choix opéré :</w:t>
      </w:r>
      <w:r>
        <w:rPr>
          <w:rStyle w:val="optioncarChar"/>
          <w:b/>
        </w:rPr>
        <w:t xml:space="preserve">*** / OPTION 1 </w:t>
      </w:r>
      <w:r>
        <w:t>(par défaut)</w:t>
      </w:r>
      <w:r>
        <w:rPr>
          <w:rStyle w:val="optioncarChar"/>
          <w:b/>
        </w:rPr>
        <w:t> / OPTION 2</w:t>
      </w:r>
    </w:p>
    <w:p w14:paraId="213D604C" w14:textId="77777777" w:rsidR="004B2808" w:rsidRDefault="00000000">
      <w:r>
        <w:rPr>
          <w:b/>
        </w:rPr>
        <w:t>***OPTION 1</w:t>
      </w:r>
      <w:r>
        <w:t xml:space="preserve"> (par défaut) : 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sont habillées de panneaux). Les travaux de plafonnage ne font pas l'objet de décomptes.</w:t>
      </w:r>
      <w:r>
        <w:br/>
      </w:r>
      <w:r>
        <w:rPr>
          <w:b/>
        </w:rPr>
        <w:t>***OPTION 2</w:t>
      </w:r>
      <w:r>
        <w:t> : surface nette, les réservations supérieures à 0,5 m² sont déduites. Les travaux de plafonnage ne font pas l'objet de décomptes.</w:t>
      </w:r>
    </w:p>
    <w:p w14:paraId="4AA3FE81" w14:textId="77777777" w:rsidR="004B2808" w:rsidRDefault="00000000">
      <w:pPr>
        <w:pStyle w:val="pheading"/>
      </w:pPr>
      <w:r>
        <w:t>- nature du marché:</w:t>
      </w:r>
    </w:p>
    <w:p w14:paraId="10676BDD" w14:textId="77777777" w:rsidR="004B2808" w:rsidRDefault="00000000">
      <w:r>
        <w:t>QF</w:t>
      </w:r>
    </w:p>
    <w:p w14:paraId="6AA1BE52" w14:textId="77777777" w:rsidR="004B2808" w:rsidRDefault="00000000">
      <w:pPr>
        <w:pStyle w:val="Author-eSectionHeading6Numberless"/>
      </w:pPr>
      <w:bookmarkStart w:id="868" w:name="_Toc220491008"/>
      <w:r>
        <w:t>54.14.1b Enduits à base de plâtre en 1 couche (± 10 mm), prêts à l'emploi CCTB 01.11</w:t>
      </w:r>
      <w:bookmarkEnd w:id="868"/>
    </w:p>
    <w:p w14:paraId="5A0F431A" w14:textId="77777777" w:rsidR="004B2808" w:rsidRDefault="00000000">
      <w:pPr>
        <w:pStyle w:val="pheading"/>
      </w:pPr>
      <w:bookmarkStart w:id="869" w:name="1137"/>
      <w:bookmarkEnd w:id="869"/>
      <w:r>
        <w:t>MATÉRIAUX</w:t>
      </w:r>
    </w:p>
    <w:p w14:paraId="168E2B31" w14:textId="77777777" w:rsidR="004B2808" w:rsidRDefault="00000000">
      <w:pPr>
        <w:pStyle w:val="pheading"/>
      </w:pPr>
      <w:r>
        <w:t>- Caractéristiques générales</w:t>
      </w:r>
    </w:p>
    <w:p w14:paraId="671BBC1B" w14:textId="77777777" w:rsidR="004B2808" w:rsidRDefault="00000000">
      <w:r>
        <w:t xml:space="preserve">Il s'agit d'enduits préfabriqués en usine, conformes à la [NBN EN 13279-1] , à base de matières inorganiques minérales. Ils contiennent au moins 50 % de produits au sulfate de calcium déshydratés </w:t>
      </w:r>
      <w:r>
        <w:lastRenderedPageBreak/>
        <w:t xml:space="preserve">(CaSO4-1/2H2O), extraits de la pierre à plâtre ou des produits secondaires résultant de processus industriels et brûlés selon une méthode particulière. La radioactivité du produit est négligeable et, par conséquent, &lt; </w:t>
      </w:r>
      <w:r>
        <w:rPr>
          <w:rStyle w:val="optioncarChar"/>
        </w:rPr>
        <w:t>300 </w:t>
      </w:r>
      <w:r>
        <w:t>(par défaut)</w:t>
      </w:r>
      <w:r>
        <w:rPr>
          <w:rStyle w:val="optioncarChar"/>
        </w:rPr>
        <w:t xml:space="preserve"> / ***</w:t>
      </w:r>
      <w:r>
        <w:t xml:space="preserve"> Bq/kg.</w:t>
      </w:r>
      <w:r>
        <w:br/>
        <w:t>Ils sont éventuellement mélangés à des adjuvants tels que du sable, de la perlite ou vermiculite, choisis en fonction des qualités exigées de l'enduit telles que l'adhérence ou la durée du temps de prise.</w:t>
      </w:r>
      <w:r>
        <w:br/>
        <w:t>En fonction de la nature du support, la gamme de produits présentée par le fabricant pour les enduits à projeter en une seule couche contient des enduits prêts à mélanger, des enduits d'adhérence ou des enduits de finition.</w:t>
      </w:r>
      <w:r>
        <w:br/>
        <w:t>La plupart des supports conviennent à l'application d'un enduit projeté en une seule couche, qui contient au moins 94 % de plâtre et de l'anhydrite. Les adjuvants nécessaires (retardateurs de prise et produits rétenteurs d'eau) assurent une mise en œuvre et une adhérence optimale.</w:t>
      </w:r>
      <w:r>
        <w:br/>
        <w:t>L'entrepreneur soumet le procédé de plafonnage qu'il juge le plus approprié pour l'ouvrage à exécuter à l'approbation de l'administration.</w:t>
      </w:r>
      <w:r>
        <w:br/>
        <w:t>L'enduit est conforme à la [NIT 284].</w:t>
      </w:r>
    </w:p>
    <w:p w14:paraId="2E0C58B0" w14:textId="77777777" w:rsidR="004B2808" w:rsidRDefault="00000000">
      <w:pPr>
        <w:pStyle w:val="pheading"/>
      </w:pPr>
      <w:r>
        <w:t>- Finitions</w:t>
      </w:r>
    </w:p>
    <w:p w14:paraId="2AB31B99" w14:textId="77777777" w:rsidR="004B2808" w:rsidRDefault="00000000">
      <w:r>
        <w:t>Degré de finition requis :  </w:t>
      </w:r>
      <w:r>
        <w:rPr>
          <w:rStyle w:val="optioncarChar"/>
        </w:rPr>
        <w:t>normal </w:t>
      </w:r>
      <w:r>
        <w:t>(par défaut)</w:t>
      </w:r>
      <w:r>
        <w:rPr>
          <w:rStyle w:val="optioncarChar"/>
        </w:rPr>
        <w:t xml:space="preserve"> / spécial / ***</w:t>
      </w:r>
    </w:p>
    <w:p w14:paraId="3436973F" w14:textId="77777777" w:rsidR="004B2808" w:rsidRDefault="00000000">
      <w:pPr>
        <w:pStyle w:val="pheading"/>
      </w:pPr>
      <w:r>
        <w:t>EXÉCUTION / MISE EN ŒUVRE</w:t>
      </w:r>
    </w:p>
    <w:p w14:paraId="2D551D7C" w14:textId="77777777" w:rsidR="004B2808" w:rsidRDefault="00000000">
      <w:pPr>
        <w:pStyle w:val="pheading"/>
      </w:pPr>
      <w:r>
        <w:t>- Prescriptions générales</w:t>
      </w:r>
    </w:p>
    <w:p w14:paraId="3558F078" w14:textId="77777777" w:rsidR="004B2808" w:rsidRDefault="00000000">
      <w:r>
        <w:t xml:space="preserve">La préparation du support, le mélange de l'enduit et son exécution sont exécutés conformément à l'article </w:t>
      </w:r>
      <w:hyperlink w:anchor="1290" w:history="1">
        <w:r w:rsidR="004B2808">
          <w:rPr>
            <w:color w:val="0000EE"/>
          </w:rPr>
          <w:t>54.1 Revêtements de plafonds enduits</w:t>
        </w:r>
      </w:hyperlink>
      <w:r>
        <w:t xml:space="preserve"> et selon les prescriptions du fabricant.</w:t>
      </w:r>
      <w:r>
        <w:br/>
        <w:t>La mise en œuvre est conforme à la [NIT 284].</w:t>
      </w:r>
    </w:p>
    <w:p w14:paraId="300DFDF1" w14:textId="77777777" w:rsidR="004B2808" w:rsidRDefault="00000000">
      <w:pPr>
        <w:pStyle w:val="Author-eListParagraph"/>
        <w:numPr>
          <w:ilvl w:val="0"/>
          <w:numId w:val="668"/>
        </w:numPr>
      </w:pPr>
      <w:r>
        <w:rPr>
          <w:rStyle w:val="headingChar"/>
        </w:rPr>
        <w:t>Spécifications</w:t>
      </w:r>
    </w:p>
    <w:p w14:paraId="23D3D1EE" w14:textId="77777777" w:rsidR="004B2808" w:rsidRDefault="00000000">
      <w:pPr>
        <w:pStyle w:val="Author-eListParagraph"/>
        <w:numPr>
          <w:ilvl w:val="0"/>
          <w:numId w:val="668"/>
        </w:numPr>
      </w:pPr>
      <w:r>
        <w:t xml:space="preserve">Mode d'exécution : en </w:t>
      </w:r>
      <w:r>
        <w:rPr>
          <w:rStyle w:val="optioncarChar"/>
        </w:rPr>
        <w:t>une seule couche</w:t>
      </w:r>
      <w:r>
        <w:t> (par défaut) </w:t>
      </w:r>
      <w:r>
        <w:rPr>
          <w:rStyle w:val="optioncarChar"/>
        </w:rPr>
        <w:t>/ ***</w:t>
      </w:r>
    </w:p>
    <w:p w14:paraId="102966F7" w14:textId="77777777" w:rsidR="004B2808" w:rsidRDefault="00000000">
      <w:pPr>
        <w:pStyle w:val="Author-eListParagraph"/>
        <w:numPr>
          <w:ilvl w:val="0"/>
          <w:numId w:val="668"/>
        </w:numPr>
      </w:pPr>
      <w:r>
        <w:t xml:space="preserve">Epaisseur totale moyenne : </w:t>
      </w:r>
      <w:r>
        <w:rPr>
          <w:rStyle w:val="optioncarChar"/>
        </w:rPr>
        <w:t>10 </w:t>
      </w:r>
      <w:r>
        <w:t>(par défaut) / ***</w:t>
      </w:r>
      <w:r>
        <w:rPr>
          <w:rStyle w:val="optioncarChar"/>
        </w:rPr>
        <w:t xml:space="preserve">  </w:t>
      </w:r>
      <w:r>
        <w:t>mm.</w:t>
      </w:r>
    </w:p>
    <w:p w14:paraId="1F5FBA7E" w14:textId="77777777" w:rsidR="004B2808" w:rsidRDefault="00000000">
      <w:pPr>
        <w:pStyle w:val="Author-eListParagraph"/>
        <w:numPr>
          <w:ilvl w:val="0"/>
          <w:numId w:val="668"/>
        </w:numPr>
      </w:pPr>
      <w:r>
        <w:t>Recouvrement des treillis de renfort : au moins 10 cm.</w:t>
      </w:r>
    </w:p>
    <w:p w14:paraId="3682466C" w14:textId="77777777" w:rsidR="004B2808" w:rsidRDefault="00000000">
      <w:pPr>
        <w:pStyle w:val="Author-eListParagraph"/>
        <w:numPr>
          <w:ilvl w:val="0"/>
          <w:numId w:val="668"/>
        </w:numPr>
      </w:pPr>
      <w:r>
        <w:t>Parachèvement de la couche de finition :</w:t>
      </w:r>
      <w:r>
        <w:rPr>
          <w:rStyle w:val="optioncarChar"/>
        </w:rPr>
        <w:t> lisse</w:t>
      </w:r>
      <w:r>
        <w:t> (par défaut)</w:t>
      </w:r>
      <w:r>
        <w:rPr>
          <w:rStyle w:val="optioncarChar"/>
        </w:rPr>
        <w:t> / ***</w:t>
      </w:r>
      <w:r>
        <w:t xml:space="preserve"> (sauf pour les surfaces destinées à être carrelées)</w:t>
      </w:r>
    </w:p>
    <w:p w14:paraId="3ED45E1F" w14:textId="77777777" w:rsidR="004B2808" w:rsidRDefault="00000000">
      <w:pPr>
        <w:pStyle w:val="Author-eListParagraph"/>
        <w:numPr>
          <w:ilvl w:val="0"/>
          <w:numId w:val="668"/>
        </w:numPr>
      </w:pPr>
      <w:r>
        <w:t>Réaction au feu  de l’enduit en prenant en compte l’influence du support (couche(s) sous-jacente(s)): classe</w:t>
      </w:r>
      <w:r>
        <w:rPr>
          <w:rStyle w:val="optioncarChar"/>
        </w:rPr>
        <w:t>  A1 </w:t>
      </w:r>
      <w:r>
        <w:t>(par défaut)</w:t>
      </w:r>
      <w:r>
        <w:rPr>
          <w:rStyle w:val="optioncarChar"/>
        </w:rPr>
        <w:t xml:space="preserve"> / A2 / B / C / D / E / F / ***</w:t>
      </w:r>
      <w:r>
        <w:t xml:space="preserve"> selon la [NBN EN 13501-1].</w:t>
      </w:r>
    </w:p>
    <w:p w14:paraId="742BB0A3" w14:textId="77777777" w:rsidR="004B2808" w:rsidRDefault="00000000">
      <w:pPr>
        <w:pStyle w:val="Author-eListParagraph"/>
        <w:numPr>
          <w:ilvl w:val="0"/>
          <w:numId w:val="668"/>
        </w:numPr>
      </w:pPr>
      <w:r>
        <w:t xml:space="preserve">Classes additionnelles : </w:t>
      </w:r>
    </w:p>
    <w:p w14:paraId="4B245433" w14:textId="77777777" w:rsidR="004B2808" w:rsidRDefault="00000000">
      <w:pPr>
        <w:pStyle w:val="Author-eListParagraph"/>
        <w:numPr>
          <w:ilvl w:val="1"/>
          <w:numId w:val="669"/>
        </w:numPr>
      </w:pPr>
      <w:r>
        <w:t>Production de fumée : exigence  </w:t>
      </w:r>
      <w:r>
        <w:rPr>
          <w:rStyle w:val="optioncarChar"/>
        </w:rPr>
        <w:t>s1 </w:t>
      </w:r>
      <w:r>
        <w:t>(par défaut)</w:t>
      </w:r>
      <w:r>
        <w:rPr>
          <w:rStyle w:val="optioncarChar"/>
        </w:rPr>
        <w:t xml:space="preserve"> / s2 / s3  / ***</w:t>
      </w:r>
      <w:r>
        <w:t>.</w:t>
      </w:r>
    </w:p>
    <w:p w14:paraId="4BBF1373" w14:textId="77777777" w:rsidR="004B2808" w:rsidRDefault="00000000">
      <w:pPr>
        <w:pStyle w:val="Author-eListParagraph"/>
        <w:numPr>
          <w:ilvl w:val="1"/>
          <w:numId w:val="669"/>
        </w:numPr>
      </w:pPr>
      <w:r>
        <w:t xml:space="preserve">Gouttelettes et particules en feu : </w:t>
      </w:r>
      <w:r>
        <w:rPr>
          <w:rStyle w:val="optioncarChar"/>
        </w:rPr>
        <w:t>d0</w:t>
      </w:r>
      <w:r>
        <w:t xml:space="preserve"> (par défaut)</w:t>
      </w:r>
      <w:r>
        <w:rPr>
          <w:rStyle w:val="optioncarChar"/>
        </w:rPr>
        <w:t> / d1 / d2 / ***</w:t>
      </w:r>
      <w:r>
        <w:t>.</w:t>
      </w:r>
    </w:p>
    <w:p w14:paraId="7C5A0455" w14:textId="77777777" w:rsidR="004B2808" w:rsidRDefault="00000000">
      <w:pPr>
        <w:pStyle w:val="pheading"/>
      </w:pPr>
      <w:r>
        <w:t>- Notes d’exécution complémentaires</w:t>
      </w:r>
    </w:p>
    <w:p w14:paraId="24651DC0" w14:textId="77777777" w:rsidR="004B2808" w:rsidRDefault="00000000">
      <w:r>
        <w:t xml:space="preserve">Des profils de finition en forme de U sont prévus pour l'interruption du plafonnage dans les cas suivants : </w:t>
      </w:r>
      <w:r>
        <w:rPr>
          <w:rStyle w:val="optioncarChar"/>
        </w:rPr>
        <w:t xml:space="preserve">joints de tassement </w:t>
      </w:r>
      <w:r>
        <w:t>(par défaut) </w:t>
      </w:r>
      <w:r>
        <w:rPr>
          <w:rStyle w:val="optioncarChar"/>
        </w:rPr>
        <w:t xml:space="preserve">/ joints de dilatation / jonction avec le parement / jonction avec les châssis / arrêt du plafonnage en hauteur / *** </w:t>
      </w:r>
      <w:r>
        <w:t xml:space="preserve"> Le type et le mode de fixation sont soumis à l'approbation de l'auteur de projet.</w:t>
      </w:r>
    </w:p>
    <w:p w14:paraId="563325BE" w14:textId="77777777" w:rsidR="004B2808" w:rsidRDefault="00000000">
      <w:pPr>
        <w:pStyle w:val="pheading"/>
      </w:pPr>
      <w:r>
        <w:t>MESURAGE</w:t>
      </w:r>
    </w:p>
    <w:p w14:paraId="033BBF72" w14:textId="77777777" w:rsidR="004B2808" w:rsidRDefault="00000000">
      <w:r>
        <w:t>Conformément aux indications spécifiques dans le cahier spécial des charges et/ou le métré récapitulatif, le mesurage doit être conçu comme suit :</w:t>
      </w:r>
    </w:p>
    <w:p w14:paraId="262C2E97" w14:textId="77777777" w:rsidR="004B2808" w:rsidRDefault="00000000">
      <w:pPr>
        <w:pStyle w:val="pheading"/>
      </w:pPr>
      <w:r>
        <w:t>- unité de mesure:</w:t>
      </w:r>
    </w:p>
    <w:p w14:paraId="080416DA" w14:textId="77777777" w:rsidR="004B2808" w:rsidRDefault="00000000">
      <w:r>
        <w:t>m²</w:t>
      </w:r>
    </w:p>
    <w:p w14:paraId="1FED51F5" w14:textId="77777777" w:rsidR="004B2808" w:rsidRDefault="00000000">
      <w:pPr>
        <w:pStyle w:val="pheading"/>
      </w:pPr>
      <w:r>
        <w:t>- code de mesurage:</w:t>
      </w:r>
    </w:p>
    <w:p w14:paraId="6E6DF6A6" w14:textId="77777777" w:rsidR="004B2808" w:rsidRDefault="00000000">
      <w:r>
        <w:t>Choix opéré :</w:t>
      </w:r>
      <w:r>
        <w:rPr>
          <w:rStyle w:val="optioncarChar"/>
          <w:b/>
        </w:rPr>
        <w:t xml:space="preserve">*** / OPTION 1 </w:t>
      </w:r>
      <w:r>
        <w:t>(par défaut)</w:t>
      </w:r>
      <w:r>
        <w:rPr>
          <w:rStyle w:val="optioncarChar"/>
          <w:b/>
        </w:rPr>
        <w:t xml:space="preserve"> / OPTION 2</w:t>
      </w:r>
    </w:p>
    <w:p w14:paraId="0B9C258F" w14:textId="77777777" w:rsidR="004B2808" w:rsidRDefault="00000000">
      <w:r>
        <w:rPr>
          <w:b/>
        </w:rPr>
        <w:t>***OPTION 1</w:t>
      </w:r>
      <w:r>
        <w:t xml:space="preserve"> (par défaut) : 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w:t>
      </w:r>
      <w:r>
        <w:lastRenderedPageBreak/>
        <w:t>(par ex. les ouvertures pour les escaliers qui sont habillées de panneaux). Les travaux de plafonnage ne font pas l'objet de décomptes.</w:t>
      </w:r>
      <w:r>
        <w:br/>
      </w:r>
      <w:r>
        <w:rPr>
          <w:b/>
        </w:rPr>
        <w:t>***OPTION 2</w:t>
      </w:r>
      <w:r>
        <w:t xml:space="preserve"> : surface nette, les réservations supérieures à 0,5 m² sont déduites. Les travaux de plafonnage ne font pas l'objet de décomptes.</w:t>
      </w:r>
    </w:p>
    <w:p w14:paraId="00599E1E" w14:textId="77777777" w:rsidR="004B2808" w:rsidRDefault="00000000">
      <w:pPr>
        <w:pStyle w:val="pheading"/>
      </w:pPr>
      <w:r>
        <w:t>- nature du marché:</w:t>
      </w:r>
    </w:p>
    <w:p w14:paraId="09139D19" w14:textId="77777777" w:rsidR="004B2808" w:rsidRDefault="00000000">
      <w:r>
        <w:t>QF</w:t>
      </w:r>
    </w:p>
    <w:p w14:paraId="507E8466" w14:textId="77777777" w:rsidR="004B2808" w:rsidRDefault="00000000">
      <w:pPr>
        <w:pStyle w:val="Author-eSectionHeading6Numberless"/>
      </w:pPr>
      <w:bookmarkStart w:id="870" w:name="_Toc220491009"/>
      <w:r>
        <w:t>54.14.1c Enduits au plâtre et à la chaux (composition prescrite) en 1 couche (± 10 mm) CCTB 01.12</w:t>
      </w:r>
      <w:bookmarkEnd w:id="870"/>
    </w:p>
    <w:p w14:paraId="20AA2DBD" w14:textId="77777777" w:rsidR="004B2808" w:rsidRDefault="00000000">
      <w:pPr>
        <w:pStyle w:val="pheading"/>
      </w:pPr>
      <w:bookmarkStart w:id="871" w:name="1138"/>
      <w:bookmarkEnd w:id="871"/>
      <w:r>
        <w:t>MATÉRIAUX</w:t>
      </w:r>
    </w:p>
    <w:p w14:paraId="3BA97D68" w14:textId="77777777" w:rsidR="004B2808" w:rsidRDefault="00000000">
      <w:pPr>
        <w:pStyle w:val="pheading"/>
      </w:pPr>
      <w:r>
        <w:t>- Caractéristiques générales</w:t>
      </w:r>
    </w:p>
    <w:p w14:paraId="703CDF23" w14:textId="77777777" w:rsidR="004B2808" w:rsidRDefault="00000000">
      <w:r>
        <w:t>Les propriétés des matériaux à mettre en œuvre satisfont à la [NIT 284] et contiennent les éléments suivants :</w:t>
      </w:r>
    </w:p>
    <w:p w14:paraId="6A49322E" w14:textId="77777777" w:rsidR="004B2808" w:rsidRDefault="00000000">
      <w:pPr>
        <w:pStyle w:val="Author-eListParagraph"/>
        <w:numPr>
          <w:ilvl w:val="0"/>
          <w:numId w:val="670"/>
        </w:numPr>
      </w:pPr>
      <w:r>
        <w:t xml:space="preserve">Composition du mortier </w:t>
      </w:r>
      <w:r>
        <w:rPr>
          <w:shd w:val="clear" w:color="auto" w:fill="FFFF00"/>
        </w:rPr>
        <w:t xml:space="preserve">[à revoir] </w:t>
      </w:r>
      <w:r>
        <w:t>:</w:t>
      </w:r>
    </w:p>
    <w:p w14:paraId="15170147" w14:textId="77777777" w:rsidR="004B2808" w:rsidRDefault="00000000">
      <w:pPr>
        <w:pStyle w:val="Author-eListParagraph"/>
        <w:numPr>
          <w:ilvl w:val="0"/>
          <w:numId w:val="670"/>
        </w:numPr>
      </w:pPr>
      <w:r>
        <w:t>Les enduits sont conformes à la [NIT 284].</w:t>
      </w:r>
    </w:p>
    <w:p w14:paraId="2E98D038" w14:textId="77777777" w:rsidR="004B2808" w:rsidRDefault="00000000">
      <w:pPr>
        <w:pStyle w:val="pheading"/>
      </w:pPr>
      <w:r>
        <w:t>- Finitions</w:t>
      </w:r>
    </w:p>
    <w:p w14:paraId="3778BC80" w14:textId="77777777" w:rsidR="004B2808" w:rsidRDefault="00000000">
      <w:r>
        <w:t xml:space="preserve">Degré de finition requis : </w:t>
      </w:r>
      <w:r>
        <w:rPr>
          <w:rStyle w:val="optioncarChar"/>
        </w:rPr>
        <w:t>normal </w:t>
      </w:r>
      <w:r>
        <w:t>(par défaut)</w:t>
      </w:r>
      <w:r>
        <w:rPr>
          <w:rStyle w:val="optioncarChar"/>
        </w:rPr>
        <w:t xml:space="preserve"> / spécial / ***</w:t>
      </w:r>
    </w:p>
    <w:p w14:paraId="2DE45145" w14:textId="77777777" w:rsidR="004B2808" w:rsidRDefault="00000000">
      <w:pPr>
        <w:pStyle w:val="pheading"/>
      </w:pPr>
      <w:r>
        <w:t>EXÉCUTION / MISE EN ŒUVRE</w:t>
      </w:r>
    </w:p>
    <w:p w14:paraId="2B0E8495" w14:textId="77777777" w:rsidR="004B2808" w:rsidRDefault="00000000">
      <w:pPr>
        <w:pStyle w:val="pheading"/>
      </w:pPr>
      <w:r>
        <w:t>- Prescriptions générales</w:t>
      </w:r>
    </w:p>
    <w:p w14:paraId="67010AAA" w14:textId="77777777" w:rsidR="004B2808" w:rsidRDefault="00000000">
      <w:r>
        <w:t>La mise en œuvre est conforme à la [NIT 284].</w:t>
      </w:r>
      <w:r>
        <w:br/>
        <w:t xml:space="preserve">La préparation du mortier et l'exécution du plafonnage sont réalisées conformément à l'article </w:t>
      </w:r>
      <w:hyperlink w:anchor="1164" w:history="1">
        <w:r w:rsidR="004B2808">
          <w:rPr>
            <w:color w:val="0000EE"/>
          </w:rPr>
          <w:t>51.5 Revêtements intérieurs enduits</w:t>
        </w:r>
      </w:hyperlink>
      <w:r>
        <w:t xml:space="preserve"> Revêtements enduits de parois verticales intérieures.</w:t>
      </w:r>
    </w:p>
    <w:p w14:paraId="2E0300FD" w14:textId="77777777" w:rsidR="004B2808" w:rsidRDefault="00000000">
      <w:pPr>
        <w:pStyle w:val="heading"/>
      </w:pPr>
      <w:r>
        <w:t>Spécifications</w:t>
      </w:r>
    </w:p>
    <w:p w14:paraId="4449AC99" w14:textId="77777777" w:rsidR="004B2808" w:rsidRDefault="00000000">
      <w:pPr>
        <w:pStyle w:val="Author-eListParagraph"/>
        <w:numPr>
          <w:ilvl w:val="0"/>
          <w:numId w:val="671"/>
        </w:numPr>
      </w:pPr>
      <w:r>
        <w:t xml:space="preserve">Mode d'exécution : en </w:t>
      </w:r>
      <w:r>
        <w:rPr>
          <w:rStyle w:val="optioncarChar"/>
        </w:rPr>
        <w:t>une seule</w:t>
      </w:r>
      <w:r>
        <w:t> (par défaut)</w:t>
      </w:r>
      <w:r>
        <w:rPr>
          <w:rStyle w:val="optioncarChar"/>
        </w:rPr>
        <w:t xml:space="preserve"> / deux / ***  </w:t>
      </w:r>
      <w:r>
        <w:t>couche(s)</w:t>
      </w:r>
    </w:p>
    <w:p w14:paraId="596F3662" w14:textId="77777777" w:rsidR="004B2808" w:rsidRDefault="00000000">
      <w:pPr>
        <w:pStyle w:val="Author-eListParagraph"/>
        <w:numPr>
          <w:ilvl w:val="0"/>
          <w:numId w:val="671"/>
        </w:numPr>
      </w:pPr>
      <w:r>
        <w:t>Epaisseur totale moyenne : 10 mm</w:t>
      </w:r>
    </w:p>
    <w:p w14:paraId="1A862E69" w14:textId="77777777" w:rsidR="004B2808" w:rsidRDefault="00000000">
      <w:pPr>
        <w:pStyle w:val="Author-eListParagraph"/>
        <w:numPr>
          <w:ilvl w:val="0"/>
          <w:numId w:val="671"/>
        </w:numPr>
      </w:pPr>
      <w:r>
        <w:t xml:space="preserve">Recouvrement des treillis de renfort: au moins </w:t>
      </w:r>
      <w:r>
        <w:rPr>
          <w:rStyle w:val="optioncarChar"/>
        </w:rPr>
        <w:t>*** / 10 </w:t>
      </w:r>
      <w:r>
        <w:t>mm</w:t>
      </w:r>
    </w:p>
    <w:p w14:paraId="28AF3FB2" w14:textId="77777777" w:rsidR="004B2808" w:rsidRDefault="00000000">
      <w:pPr>
        <w:pStyle w:val="Author-eListParagraph"/>
        <w:numPr>
          <w:ilvl w:val="0"/>
          <w:numId w:val="671"/>
        </w:numPr>
      </w:pPr>
      <w:r>
        <w:t>Parachèvement de la couche de finition :</w:t>
      </w:r>
      <w:r>
        <w:rPr>
          <w:rStyle w:val="optioncarChar"/>
        </w:rPr>
        <w:t> lisse</w:t>
      </w:r>
      <w:r>
        <w:t> (par défaut)</w:t>
      </w:r>
      <w:r>
        <w:rPr>
          <w:rStyle w:val="optioncarChar"/>
        </w:rPr>
        <w:t> / ***</w:t>
      </w:r>
      <w:r>
        <w:t>.</w:t>
      </w:r>
    </w:p>
    <w:p w14:paraId="662B696D" w14:textId="77777777" w:rsidR="004B2808" w:rsidRDefault="00000000">
      <w:pPr>
        <w:pStyle w:val="Author-eListParagraph"/>
        <w:numPr>
          <w:ilvl w:val="0"/>
          <w:numId w:val="671"/>
        </w:numPr>
      </w:pPr>
      <w:r>
        <w:t>Selon la [Décision 96/603/CE] du 4 octobre 1996  et les conditions qui y sont reprises, la chaux et le plâtre appartiennent à la classe de réaction au feu A1.</w:t>
      </w:r>
    </w:p>
    <w:p w14:paraId="2A786BAB" w14:textId="77777777" w:rsidR="004B2808" w:rsidRDefault="00000000">
      <w:pPr>
        <w:pStyle w:val="pheading"/>
      </w:pPr>
      <w:r>
        <w:t>- Notes d’exécution complémentaires</w:t>
      </w:r>
    </w:p>
    <w:p w14:paraId="68C73644" w14:textId="77777777" w:rsidR="004B2808" w:rsidRDefault="00000000">
      <w:r>
        <w:t xml:space="preserve">Des profils de finition en forme de U sont prévus pour l'interruption du plafonnage dans les cas suivants : </w:t>
      </w:r>
      <w:r>
        <w:rPr>
          <w:rStyle w:val="optioncarChar"/>
        </w:rPr>
        <w:t>joints de tassement </w:t>
      </w:r>
      <w:r>
        <w:t>(par défaut)</w:t>
      </w:r>
      <w:r>
        <w:rPr>
          <w:rStyle w:val="optioncarChar"/>
        </w:rPr>
        <w:t xml:space="preserve"> / joints de dilatation / jonction avec le parement intérieur / jonction avec les châssis / arrêt du plafonnage en hauteur / ***</w:t>
      </w:r>
      <w:r>
        <w:t xml:space="preserve"> Le type et le mode de fixation sont soumis pour approbation à l'auteur de projet.</w:t>
      </w:r>
    </w:p>
    <w:p w14:paraId="3D79C2EB" w14:textId="77777777" w:rsidR="004B2808" w:rsidRDefault="00000000">
      <w:pPr>
        <w:pStyle w:val="pheading"/>
      </w:pPr>
      <w:r>
        <w:t>MESURAGE</w:t>
      </w:r>
    </w:p>
    <w:p w14:paraId="033780A6" w14:textId="77777777" w:rsidR="004B2808" w:rsidRDefault="00000000">
      <w:r>
        <w:t>Conformément aux indications spécifiques dans le cahier spécial des charges et/ou le métré récapitulatif, le mesurage doit être conçu comme suit :</w:t>
      </w:r>
    </w:p>
    <w:p w14:paraId="034F1A87" w14:textId="77777777" w:rsidR="004B2808" w:rsidRDefault="00000000">
      <w:pPr>
        <w:pStyle w:val="pheading"/>
      </w:pPr>
      <w:r>
        <w:t>- unité de mesure:</w:t>
      </w:r>
    </w:p>
    <w:p w14:paraId="0CB965B2" w14:textId="77777777" w:rsidR="004B2808" w:rsidRDefault="00000000">
      <w:r>
        <w:t>m²</w:t>
      </w:r>
    </w:p>
    <w:p w14:paraId="3F7F0E10" w14:textId="77777777" w:rsidR="004B2808" w:rsidRDefault="00000000">
      <w:pPr>
        <w:pStyle w:val="pheading"/>
      </w:pPr>
      <w:r>
        <w:t>- code de mesurage:</w:t>
      </w:r>
    </w:p>
    <w:p w14:paraId="084B5B12" w14:textId="77777777" w:rsidR="004B2808" w:rsidRDefault="00000000">
      <w:r>
        <w:t>Choix opéré :</w:t>
      </w:r>
      <w:r>
        <w:rPr>
          <w:rStyle w:val="optioncarChar"/>
          <w:b/>
        </w:rPr>
        <w:t>*** / OPTION 1</w:t>
      </w:r>
      <w:r>
        <w:t xml:space="preserve"> (par défaut) </w:t>
      </w:r>
      <w:r>
        <w:rPr>
          <w:rStyle w:val="optioncarChar"/>
          <w:b/>
        </w:rPr>
        <w:t>/ OPTION 2</w:t>
      </w:r>
    </w:p>
    <w:p w14:paraId="4DF167FA" w14:textId="77777777" w:rsidR="004B2808" w:rsidRDefault="00000000">
      <w:r>
        <w:rPr>
          <w:b/>
        </w:rPr>
        <w:t>***OPTION 1</w:t>
      </w:r>
      <w:r>
        <w:t xml:space="preserve"> (par défaut) : 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w:t>
      </w:r>
      <w:r>
        <w:lastRenderedPageBreak/>
        <w:t>(par ex. les ouvertures pour les escaliers qui sont habillées de panneaux). Les travaux de plafonnage ne font pas l'objet de décomptes.</w:t>
      </w:r>
      <w:r>
        <w:br/>
      </w:r>
      <w:r>
        <w:rPr>
          <w:b/>
        </w:rPr>
        <w:t>***OPTION 2</w:t>
      </w:r>
      <w:r>
        <w:t xml:space="preserve"> : surface nette, les réservations supérieures à 0,5 m² sont déduites. Les travaux de plafonnage ne font pas l'objet de décomptes.</w:t>
      </w:r>
    </w:p>
    <w:p w14:paraId="412EC2A1" w14:textId="77777777" w:rsidR="004B2808" w:rsidRDefault="00000000">
      <w:pPr>
        <w:pStyle w:val="pheading"/>
      </w:pPr>
      <w:r>
        <w:t>- nature du marché:</w:t>
      </w:r>
    </w:p>
    <w:p w14:paraId="39ED680A" w14:textId="77777777" w:rsidR="004B2808" w:rsidRDefault="00000000">
      <w:r>
        <w:t>QF</w:t>
      </w:r>
    </w:p>
    <w:p w14:paraId="63BD2165" w14:textId="77777777" w:rsidR="004B2808" w:rsidRDefault="00000000">
      <w:pPr>
        <w:pStyle w:val="pheading"/>
      </w:pPr>
      <w:r>
        <w:t>AIDE</w:t>
      </w:r>
    </w:p>
    <w:p w14:paraId="69B710C2" w14:textId="77777777" w:rsidR="004B2808" w:rsidRDefault="00000000">
      <w:r>
        <w:rPr>
          <w:i/>
          <w:u w:val="single"/>
        </w:rPr>
        <w:t>Note à l'attention de l'auteur de projet</w:t>
      </w:r>
    </w:p>
    <w:p w14:paraId="2F0ABFFD" w14:textId="77777777" w:rsidR="004B2808" w:rsidRDefault="00000000">
      <w:r>
        <w:t>Les abréviations suivantes sont utilisées : PL = plâtre / C = ciment / G = chaux hydratée ou chaux grasse</w:t>
      </w:r>
      <w:r>
        <w:br/>
        <w:t>X = chaux hydraulique / S = sable</w:t>
      </w:r>
      <w:r>
        <w:br/>
        <w:t>Les proportions de mélange sont exprimées en volumes et quelquefois en masse.</w:t>
      </w:r>
      <w:r>
        <w:br/>
        <w:t>par ex. mortier bâtard C200, G100 = 200 kg de ciment et 100 kg de chaux par m2 de sable .</w:t>
      </w:r>
      <w:r>
        <w:br/>
        <w:t>par ex. mortier bâtard G300, PL 200 = 300 kg chaux grasse et 200 kg de plâtre par m2 de sable.</w:t>
      </w:r>
      <w:r>
        <w:br/>
        <w:t>Liant :</w:t>
      </w:r>
      <w:r>
        <w:br/>
        <w:t>Adjuvants :</w:t>
      </w:r>
      <w:r>
        <w:br/>
        <w:t xml:space="preserve">Adjuvants légers : </w:t>
      </w:r>
      <w:r>
        <w:rPr>
          <w:rStyle w:val="optioncarChar"/>
        </w:rPr>
        <w:t>perlite </w:t>
      </w:r>
      <w:r>
        <w:t>(par défaut)</w:t>
      </w:r>
      <w:r>
        <w:rPr>
          <w:rStyle w:val="optioncarChar"/>
        </w:rPr>
        <w:t xml:space="preserve"> / vermiculite / liège / Granulés XPS / fibres en matière synthétique / ***</w:t>
      </w:r>
      <w:r>
        <w:br/>
        <w:t xml:space="preserve">Eventuels colorants : </w:t>
      </w:r>
      <w:r>
        <w:rPr>
          <w:rStyle w:val="optioncarChar"/>
        </w:rPr>
        <w:t>***</w:t>
      </w:r>
      <w:r>
        <w:br/>
        <w:t>Exigences particulières:</w:t>
      </w:r>
    </w:p>
    <w:p w14:paraId="4A741AC3" w14:textId="77777777" w:rsidR="004B2808" w:rsidRDefault="00000000">
      <w:pPr>
        <w:pStyle w:val="Author-eListParagraph"/>
        <w:numPr>
          <w:ilvl w:val="0"/>
          <w:numId w:val="672"/>
        </w:numPr>
      </w:pPr>
      <w:r>
        <w:t xml:space="preserve">granulométrie </w:t>
      </w:r>
      <w:r>
        <w:rPr>
          <w:rStyle w:val="optioncarChar"/>
        </w:rPr>
        <w:t>***</w:t>
      </w:r>
    </w:p>
    <w:p w14:paraId="63337A1D" w14:textId="77777777" w:rsidR="004B2808" w:rsidRDefault="00000000">
      <w:pPr>
        <w:pStyle w:val="Author-eListParagraph"/>
        <w:numPr>
          <w:ilvl w:val="0"/>
          <w:numId w:val="672"/>
        </w:numPr>
      </w:pPr>
      <w:r>
        <w:t xml:space="preserve">résistance à la flexion </w:t>
      </w:r>
      <w:r>
        <w:rPr>
          <w:rStyle w:val="optioncarChar"/>
        </w:rPr>
        <w:t>***</w:t>
      </w:r>
    </w:p>
    <w:p w14:paraId="48E08B1E" w14:textId="77777777" w:rsidR="004B2808" w:rsidRDefault="00000000">
      <w:pPr>
        <w:pStyle w:val="Author-eListParagraph"/>
        <w:numPr>
          <w:ilvl w:val="0"/>
          <w:numId w:val="672"/>
        </w:numPr>
      </w:pPr>
      <w:r>
        <w:t xml:space="preserve">résistance à la compression </w:t>
      </w:r>
      <w:r>
        <w:rPr>
          <w:rStyle w:val="optioncarChar"/>
        </w:rPr>
        <w:t>***</w:t>
      </w:r>
    </w:p>
    <w:p w14:paraId="6945DCE8" w14:textId="77777777" w:rsidR="004B2808" w:rsidRDefault="00000000">
      <w:pPr>
        <w:pStyle w:val="Author-eListParagraph"/>
        <w:numPr>
          <w:ilvl w:val="0"/>
          <w:numId w:val="672"/>
        </w:numPr>
      </w:pPr>
      <w:r>
        <w:t xml:space="preserve">masse volumique </w:t>
      </w:r>
      <w:r>
        <w:rPr>
          <w:rStyle w:val="optioncarChar"/>
        </w:rPr>
        <w:t xml:space="preserve">*** </w:t>
      </w:r>
    </w:p>
    <w:p w14:paraId="38389669" w14:textId="77777777" w:rsidR="004B2808" w:rsidRDefault="00000000">
      <w:pPr>
        <w:pStyle w:val="Author-eListParagraph"/>
        <w:numPr>
          <w:ilvl w:val="0"/>
          <w:numId w:val="672"/>
        </w:numPr>
      </w:pPr>
      <w:r>
        <w:t xml:space="preserve">coefficient de résistance à la vapeur d'eau </w:t>
      </w:r>
      <w:r>
        <w:rPr>
          <w:rStyle w:val="optioncarChar"/>
        </w:rPr>
        <w:t>***</w:t>
      </w:r>
    </w:p>
    <w:p w14:paraId="6DEF03B9" w14:textId="77777777" w:rsidR="004B2808" w:rsidRDefault="00000000">
      <w:pPr>
        <w:pStyle w:val="Author-eSectionHeading6Numberless"/>
      </w:pPr>
      <w:bookmarkStart w:id="872" w:name="_Toc220491010"/>
      <w:r>
        <w:t>54.14.1d Enduits sur plaques de plâtre enrobées d'un carton en 1 couche (± 10 mm) CCTB 01.11</w:t>
      </w:r>
      <w:bookmarkEnd w:id="872"/>
    </w:p>
    <w:p w14:paraId="056EB849" w14:textId="77777777" w:rsidR="004B2808" w:rsidRDefault="00000000">
      <w:pPr>
        <w:pStyle w:val="pheading"/>
      </w:pPr>
      <w:r>
        <w:t>DESCRIPTION</w:t>
      </w:r>
    </w:p>
    <w:p w14:paraId="03A0878A" w14:textId="77777777" w:rsidR="004B2808" w:rsidRDefault="00000000">
      <w:pPr>
        <w:pStyle w:val="pheading"/>
      </w:pPr>
      <w:r>
        <w:t>- Définition / Comprend</w:t>
      </w:r>
    </w:p>
    <w:p w14:paraId="407C6365" w14:textId="77777777" w:rsidR="004B2808" w:rsidRDefault="00000000">
      <w:r>
        <w:t>Il s'agit d'un enduit supplémentaire sur les plafonds préfabriqués revêtus de plaques de plâtre enrobées de carton.</w:t>
      </w:r>
    </w:p>
    <w:p w14:paraId="7EFDDE3F" w14:textId="77777777" w:rsidR="004B2808" w:rsidRDefault="00000000">
      <w:pPr>
        <w:pStyle w:val="pheading"/>
      </w:pPr>
      <w:r>
        <w:t>MATÉRIAUX</w:t>
      </w:r>
    </w:p>
    <w:p w14:paraId="6C441ECE" w14:textId="77777777" w:rsidR="004B2808" w:rsidRDefault="00000000">
      <w:pPr>
        <w:pStyle w:val="pheading"/>
      </w:pPr>
      <w:r>
        <w:t>- Caractéristiques générales</w:t>
      </w:r>
    </w:p>
    <w:p w14:paraId="0C5EB1DC" w14:textId="77777777" w:rsidR="004B2808" w:rsidRDefault="00000000">
      <w:r>
        <w:t>Les plaques de plâtre enrobées de carton ont été spécialement fabriquées en vue de servir de support au plafonnage.  L'enduit utilisé est spécialement étudié pour le domaine d'application en question; il assure une bonne adhérence au support et offre suffisamment de garanties de durabilité.  L'enduit est conforme à la [NIT 284].</w:t>
      </w:r>
    </w:p>
    <w:p w14:paraId="27DA037D" w14:textId="77777777" w:rsidR="004B2808" w:rsidRDefault="00000000">
      <w:pPr>
        <w:pStyle w:val="pheading"/>
      </w:pPr>
      <w:r>
        <w:t>- Finitions</w:t>
      </w:r>
    </w:p>
    <w:p w14:paraId="71C49F95" w14:textId="77777777" w:rsidR="004B2808" w:rsidRDefault="00000000">
      <w:r>
        <w:t xml:space="preserve">Parachèvement de la couche de finition : </w:t>
      </w:r>
      <w:r>
        <w:rPr>
          <w:rStyle w:val="optioncarChar"/>
        </w:rPr>
        <w:t>lisse</w:t>
      </w:r>
      <w:r>
        <w:t xml:space="preserve"> (par défaut) </w:t>
      </w:r>
      <w:r>
        <w:rPr>
          <w:rStyle w:val="optioncarChar"/>
        </w:rPr>
        <w:t>/ *** </w:t>
      </w:r>
      <w:r>
        <w:t>.</w:t>
      </w:r>
      <w:r>
        <w:br/>
        <w:t>Degré de finition requis :</w:t>
      </w:r>
      <w:r>
        <w:rPr>
          <w:rStyle w:val="optioncarChar"/>
        </w:rPr>
        <w:t> normal</w:t>
      </w:r>
      <w:r>
        <w:t> (par défaut)</w:t>
      </w:r>
      <w:r>
        <w:rPr>
          <w:rStyle w:val="optioncarChar"/>
        </w:rPr>
        <w:t xml:space="preserve"> / spécial / ***</w:t>
      </w:r>
    </w:p>
    <w:p w14:paraId="1F2B1AC8" w14:textId="77777777" w:rsidR="004B2808" w:rsidRDefault="00000000">
      <w:pPr>
        <w:pStyle w:val="pheading"/>
      </w:pPr>
      <w:r>
        <w:t>EXÉCUTION / MISE EN ŒUVRE</w:t>
      </w:r>
    </w:p>
    <w:p w14:paraId="53AF23AD" w14:textId="77777777" w:rsidR="004B2808" w:rsidRDefault="00000000">
      <w:pPr>
        <w:pStyle w:val="pheading"/>
      </w:pPr>
      <w:r>
        <w:t>- Prescriptions générales</w:t>
      </w:r>
    </w:p>
    <w:p w14:paraId="00F88675" w14:textId="77777777" w:rsidR="004B2808" w:rsidRDefault="00000000">
      <w:pPr>
        <w:pStyle w:val="heading"/>
      </w:pPr>
      <w:r>
        <w:t>Spécifications</w:t>
      </w:r>
    </w:p>
    <w:p w14:paraId="594AEB7A" w14:textId="77777777" w:rsidR="004B2808" w:rsidRDefault="00000000">
      <w:pPr>
        <w:pStyle w:val="Author-eListParagraph"/>
        <w:numPr>
          <w:ilvl w:val="0"/>
          <w:numId w:val="673"/>
        </w:numPr>
      </w:pPr>
      <w:r>
        <w:t>La mise en œuvre est conforme à la [NIT 284].</w:t>
      </w:r>
    </w:p>
    <w:p w14:paraId="2A389146" w14:textId="77777777" w:rsidR="004B2808" w:rsidRDefault="00000000">
      <w:pPr>
        <w:pStyle w:val="Author-eListParagraph"/>
        <w:numPr>
          <w:ilvl w:val="0"/>
          <w:numId w:val="673"/>
        </w:numPr>
      </w:pPr>
      <w:r>
        <w:lastRenderedPageBreak/>
        <w:t>Les plaques de plâtre enrobées de carton sont vissées en alternance sur les lattes de support, conformément aux directives du fabricant. Les bords de tête sont parfaitement jointifs et s'appuient toujours sur une latte. Les côtés longitudinaux sont posés à joints ouverts afin de permettre au mortier d'enduit de pénétrer entre les plaques.</w:t>
      </w:r>
    </w:p>
    <w:p w14:paraId="5729E339" w14:textId="77777777" w:rsidR="004B2808" w:rsidRDefault="00000000">
      <w:pPr>
        <w:pStyle w:val="Author-eListParagraph"/>
        <w:numPr>
          <w:ilvl w:val="0"/>
          <w:numId w:val="673"/>
        </w:numPr>
      </w:pPr>
      <w:r>
        <w:t>L'enduit est appliqué immédiatement après la fixation des plaques afin d'éviter leur flambement en raison de l'humidité contenue dans l'air. Afin d'obtenir une épaisseur uniforme, on peut utiliser des profils de guidage.</w:t>
      </w:r>
    </w:p>
    <w:p w14:paraId="7CFEF5C4" w14:textId="77777777" w:rsidR="004B2808" w:rsidRDefault="00000000">
      <w:pPr>
        <w:pStyle w:val="Author-eListParagraph"/>
        <w:numPr>
          <w:ilvl w:val="0"/>
          <w:numId w:val="673"/>
        </w:numPr>
      </w:pPr>
      <w:r>
        <w:t>Avant d'appliquer le plafonnage, les joints des surfaces à enduire doivent être consolidés à l'aide de bandes d'armatures synthétiques en fibres de verre ou en voile de Nylon, d'une largeur de 10 cm, qui sont collées sur les plaques et noyées dans l'enduit. Afin d'obtenir une épaisseur uniforme, on peut utiliser des profils de guidage.</w:t>
      </w:r>
    </w:p>
    <w:p w14:paraId="5C276E44" w14:textId="77777777" w:rsidR="004B2808" w:rsidRDefault="00000000">
      <w:pPr>
        <w:pStyle w:val="heading"/>
      </w:pPr>
      <w:r>
        <w:t>Spécifications</w:t>
      </w:r>
    </w:p>
    <w:p w14:paraId="6FBE0F86" w14:textId="77777777" w:rsidR="004B2808" w:rsidRDefault="00000000">
      <w:pPr>
        <w:pStyle w:val="Author-eListParagraph"/>
        <w:numPr>
          <w:ilvl w:val="0"/>
          <w:numId w:val="674"/>
        </w:numPr>
      </w:pPr>
      <w:r>
        <w:t xml:space="preserve">Mode d'exécution : en </w:t>
      </w:r>
      <w:r>
        <w:rPr>
          <w:rStyle w:val="optioncarChar"/>
        </w:rPr>
        <w:t>une seule </w:t>
      </w:r>
      <w:r>
        <w:t>(par défaut)</w:t>
      </w:r>
      <w:r>
        <w:rPr>
          <w:rStyle w:val="optioncarChar"/>
        </w:rPr>
        <w:t> / deux / *** </w:t>
      </w:r>
      <w:r>
        <w:t>couche(s)</w:t>
      </w:r>
    </w:p>
    <w:p w14:paraId="69668C4D" w14:textId="77777777" w:rsidR="004B2808" w:rsidRDefault="00000000">
      <w:pPr>
        <w:pStyle w:val="Author-eListParagraph"/>
        <w:numPr>
          <w:ilvl w:val="0"/>
          <w:numId w:val="674"/>
        </w:numPr>
      </w:pPr>
      <w:r>
        <w:t>Epaisseur totale moyenne : 10 mm.</w:t>
      </w:r>
    </w:p>
    <w:p w14:paraId="1E21534C" w14:textId="77777777" w:rsidR="004B2808" w:rsidRDefault="00000000">
      <w:pPr>
        <w:pStyle w:val="Author-eListParagraph"/>
        <w:numPr>
          <w:ilvl w:val="0"/>
          <w:numId w:val="674"/>
        </w:numPr>
      </w:pPr>
      <w:r>
        <w:t>Réaction au feu  de l’enduit en prenant en compte l’influence du support (couche(s) sous-jacente(s)) : classe</w:t>
      </w:r>
      <w:r>
        <w:rPr>
          <w:rStyle w:val="optioncarChar"/>
        </w:rPr>
        <w:t>  A1 </w:t>
      </w:r>
      <w:r>
        <w:t>(par défaut)</w:t>
      </w:r>
      <w:r>
        <w:rPr>
          <w:rStyle w:val="optioncarChar"/>
        </w:rPr>
        <w:t xml:space="preserve"> / A2 / B / C / D / E / F / ***</w:t>
      </w:r>
      <w:r>
        <w:t xml:space="preserve"> selon la [NBN EN 13501-1].</w:t>
      </w:r>
    </w:p>
    <w:p w14:paraId="7F853E9B" w14:textId="77777777" w:rsidR="004B2808" w:rsidRDefault="00000000">
      <w:pPr>
        <w:pStyle w:val="Author-eListParagraph"/>
        <w:numPr>
          <w:ilvl w:val="0"/>
          <w:numId w:val="674"/>
        </w:numPr>
      </w:pPr>
      <w:r>
        <w:t>Classes additionnelles :</w:t>
      </w:r>
    </w:p>
    <w:p w14:paraId="35BFC2C2" w14:textId="77777777" w:rsidR="004B2808" w:rsidRDefault="00000000">
      <w:pPr>
        <w:pStyle w:val="Author-eListParagraph"/>
        <w:numPr>
          <w:ilvl w:val="0"/>
          <w:numId w:val="674"/>
        </w:numPr>
      </w:pPr>
      <w:r>
        <w:t xml:space="preserve">Production de fumée : exigence </w:t>
      </w:r>
      <w:r>
        <w:rPr>
          <w:rStyle w:val="optioncarChar"/>
        </w:rPr>
        <w:t>s1 </w:t>
      </w:r>
      <w:r>
        <w:t>(par défaut)</w:t>
      </w:r>
      <w:r>
        <w:rPr>
          <w:rStyle w:val="optioncarChar"/>
        </w:rPr>
        <w:t xml:space="preserve"> / s2 / s3 / *** </w:t>
      </w:r>
      <w:r>
        <w:t>.</w:t>
      </w:r>
    </w:p>
    <w:p w14:paraId="189F6F76" w14:textId="77777777" w:rsidR="004B2808" w:rsidRDefault="00000000">
      <w:pPr>
        <w:pStyle w:val="Author-eListParagraph"/>
        <w:numPr>
          <w:ilvl w:val="0"/>
          <w:numId w:val="674"/>
        </w:numPr>
      </w:pPr>
      <w:r>
        <w:t xml:space="preserve">Gouttelettes et particules en feu : </w:t>
      </w:r>
      <w:r>
        <w:rPr>
          <w:rStyle w:val="optioncarChar"/>
        </w:rPr>
        <w:t xml:space="preserve">d0 </w:t>
      </w:r>
      <w:r>
        <w:t>(par défaut) </w:t>
      </w:r>
      <w:r>
        <w:rPr>
          <w:rStyle w:val="optioncarChar"/>
        </w:rPr>
        <w:t>/ d1 / d2 / ***</w:t>
      </w:r>
    </w:p>
    <w:p w14:paraId="3783B352" w14:textId="77777777" w:rsidR="004B2808" w:rsidRDefault="00000000">
      <w:pPr>
        <w:pStyle w:val="pheading"/>
      </w:pPr>
      <w:r>
        <w:t>MESURAGE</w:t>
      </w:r>
    </w:p>
    <w:p w14:paraId="52832622" w14:textId="77777777" w:rsidR="004B2808" w:rsidRDefault="00000000">
      <w:r>
        <w:t>Conformément aux indications spécifiques dans le cahier spécial des charges et/ou le métré récapitulatif, le mesurage doit être conçu comme suit :</w:t>
      </w:r>
    </w:p>
    <w:p w14:paraId="0C5ABBEC" w14:textId="77777777" w:rsidR="004B2808" w:rsidRDefault="00000000">
      <w:pPr>
        <w:pStyle w:val="pheading"/>
      </w:pPr>
      <w:r>
        <w:t>- unité de mesure:</w:t>
      </w:r>
    </w:p>
    <w:p w14:paraId="0FE810D9" w14:textId="77777777" w:rsidR="004B2808" w:rsidRDefault="00000000">
      <w:r>
        <w:t>m²</w:t>
      </w:r>
    </w:p>
    <w:p w14:paraId="54DB0C94" w14:textId="77777777" w:rsidR="004B2808" w:rsidRDefault="00000000">
      <w:pPr>
        <w:pStyle w:val="pheading"/>
      </w:pPr>
      <w:r>
        <w:t>- code de mesurage:</w:t>
      </w:r>
    </w:p>
    <w:p w14:paraId="727E68FF" w14:textId="77777777" w:rsidR="004B2808" w:rsidRDefault="00000000">
      <w:r>
        <w:t>Choix opéré :</w:t>
      </w:r>
      <w:r>
        <w:rPr>
          <w:rStyle w:val="optioncarChar"/>
          <w:b/>
        </w:rPr>
        <w:t xml:space="preserve">*** / OPTION 1 </w:t>
      </w:r>
      <w:r>
        <w:t>(par défaut)</w:t>
      </w:r>
      <w:r>
        <w:rPr>
          <w:rStyle w:val="optioncarChar"/>
          <w:b/>
        </w:rPr>
        <w:t xml:space="preserve"> / OPTION 2</w:t>
      </w:r>
    </w:p>
    <w:p w14:paraId="768EF9AA" w14:textId="77777777" w:rsidR="004B2808" w:rsidRDefault="00000000">
      <w:r>
        <w:rPr>
          <w:b/>
        </w:rPr>
        <w:t>***OPTION 1</w:t>
      </w:r>
      <w:r>
        <w:t xml:space="preserve"> (par défaut) : 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sont habillées de panneaux). Les travaux de plafonnage ne font pas l'objet de décomptes.</w:t>
      </w:r>
      <w:r>
        <w:br/>
      </w:r>
      <w:r>
        <w:rPr>
          <w:b/>
        </w:rPr>
        <w:t>***OPTION 2</w:t>
      </w:r>
      <w:r>
        <w:t xml:space="preserve"> : surface nette, les réservations supérieures à 0,5 m² sont déduites. Les travaux de plafonnage ne font pas l'objet de décomptes.</w:t>
      </w:r>
    </w:p>
    <w:p w14:paraId="660CF8D9" w14:textId="77777777" w:rsidR="004B2808" w:rsidRDefault="00000000">
      <w:pPr>
        <w:pStyle w:val="pheading"/>
      </w:pPr>
      <w:r>
        <w:t>- nature du marché:</w:t>
      </w:r>
    </w:p>
    <w:p w14:paraId="1AB3940C" w14:textId="77777777" w:rsidR="004B2808" w:rsidRDefault="00000000">
      <w:r>
        <w:t>QF</w:t>
      </w:r>
    </w:p>
    <w:p w14:paraId="76434375" w14:textId="77777777" w:rsidR="004B2808" w:rsidRDefault="00000000">
      <w:pPr>
        <w:pStyle w:val="Author-eSectionHeading5Numberless"/>
      </w:pPr>
      <w:bookmarkStart w:id="873" w:name="_Toc220491011"/>
      <w:r>
        <w:t>54.14.2 Enduits en 2 couches (15mm&lt;ép&lt;25mm) CCTB 01.02</w:t>
      </w:r>
      <w:bookmarkEnd w:id="873"/>
    </w:p>
    <w:p w14:paraId="0D7FDB10" w14:textId="77777777" w:rsidR="004B2808" w:rsidRDefault="00000000">
      <w:pPr>
        <w:pStyle w:val="Author-eSectionHeading6Numberless"/>
      </w:pPr>
      <w:bookmarkStart w:id="874" w:name="_Toc220491012"/>
      <w:r>
        <w:t>54.14.2a Enduits en 2 couches (15mm&lt;ép&lt;25mm), traditionnels CCTB 01.02</w:t>
      </w:r>
      <w:bookmarkEnd w:id="874"/>
    </w:p>
    <w:p w14:paraId="7D03BC84" w14:textId="77777777" w:rsidR="004B2808" w:rsidRDefault="00000000">
      <w:pPr>
        <w:pStyle w:val="Author-eSectionHeading6Numberless"/>
      </w:pPr>
      <w:bookmarkStart w:id="875" w:name="_Toc220491013"/>
      <w:r>
        <w:t>54.14.2b Enduits en 2 couches (15mm&lt;ép&lt;25mm), prédosés à sec (sur treillis métallique) CCTB 01.11</w:t>
      </w:r>
      <w:bookmarkEnd w:id="875"/>
    </w:p>
    <w:p w14:paraId="13640DA4" w14:textId="77777777" w:rsidR="004B2808" w:rsidRDefault="00000000">
      <w:pPr>
        <w:pStyle w:val="pheading"/>
      </w:pPr>
      <w:r>
        <w:t>DESCRIPTION</w:t>
      </w:r>
    </w:p>
    <w:p w14:paraId="006BFF75" w14:textId="77777777" w:rsidR="004B2808" w:rsidRDefault="00000000">
      <w:pPr>
        <w:pStyle w:val="pheading"/>
      </w:pPr>
      <w:r>
        <w:t>- Définition / Comprend</w:t>
      </w:r>
    </w:p>
    <w:p w14:paraId="4A33EBCB" w14:textId="77777777" w:rsidR="004B2808" w:rsidRDefault="00000000">
      <w:r>
        <w:t xml:space="preserve">Il s'agit d'un système de finition pour les plafonds composés d'une structure portante, d'un treillis soudé revêtu de carton perforé, d'un grillage métallique ou d’un treillis céramique et d'un plafonnage au plâtre. La souplesse du treillis ou du grillage permet d'appliquer le système aussi bien sur les surfaces planes que courbées. Le présent article comprend la fourniture et la mise en place du plafonnage proprement dit afin d'obtenir un ouvrage soigneusement achevé. La fourniture et la pose </w:t>
      </w:r>
      <w:r>
        <w:lastRenderedPageBreak/>
        <w:t xml:space="preserve">du support en treillis métallique sont décrites et comptabilisées à la généralité </w:t>
      </w:r>
      <w:hyperlink w:anchor="1165" w:history="1">
        <w:r w:rsidR="004B2808">
          <w:rPr>
            <w:color w:val="0000EE"/>
          </w:rPr>
          <w:t>51.52 Préparation du support</w:t>
        </w:r>
      </w:hyperlink>
      <w:r>
        <w:t xml:space="preserve"> Préparation du support et </w:t>
      </w:r>
      <w:hyperlink w:anchor="1166" w:history="1">
        <w:r w:rsidR="004B2808">
          <w:rPr>
            <w:color w:val="0000EE"/>
          </w:rPr>
          <w:t>51.53 Support d'enduit complémentaire</w:t>
        </w:r>
      </w:hyperlink>
      <w:r>
        <w:t xml:space="preserve"> Support d'enduit complémentaire.</w:t>
      </w:r>
    </w:p>
    <w:p w14:paraId="44E99EBE" w14:textId="77777777" w:rsidR="004B2808" w:rsidRDefault="00000000">
      <w:pPr>
        <w:pStyle w:val="pheading"/>
      </w:pPr>
      <w:r>
        <w:t>MATÉRIAUX</w:t>
      </w:r>
    </w:p>
    <w:p w14:paraId="517BB5B7" w14:textId="77777777" w:rsidR="004B2808" w:rsidRDefault="00000000">
      <w:pPr>
        <w:pStyle w:val="pheading"/>
      </w:pPr>
      <w:r>
        <w:t>- Caractéristiques générales</w:t>
      </w:r>
    </w:p>
    <w:p w14:paraId="11F70D64" w14:textId="77777777" w:rsidR="004B2808" w:rsidRDefault="00000000">
      <w:r>
        <w:t xml:space="preserve">Il s'agit d'enduits préfabriqués en usine, conformes à la[NBN EN 13279-1] , à base de matières inorganiques minérales. Ils contiennent au moins 50 % de produits au sulfate de calcium déshydratés (CaSO4-1/2H2O), extraits de la pierre à plâtre ou des produits secondaires résultant de processus industriels et brûlés selon une méthode particulière. La radioactivité du produit est négligeable et, par conséquent, &lt; </w:t>
      </w:r>
      <w:r>
        <w:rPr>
          <w:rStyle w:val="optioncarChar"/>
        </w:rPr>
        <w:t>300</w:t>
      </w:r>
      <w:r>
        <w:t> (par défaut)</w:t>
      </w:r>
      <w:r>
        <w:rPr>
          <w:rStyle w:val="optioncarChar"/>
        </w:rPr>
        <w:t> / ***</w:t>
      </w:r>
      <w:r>
        <w:t>  Bq/kg.</w:t>
      </w:r>
      <w:r>
        <w:br/>
        <w:t>Ils sont éventuellement mélangés à des adjuvants tels que du sable, de la perlite ou vermiculite, choisis en fonction des qualités exigées de l'enduit telles que l'adhérence ou la durée du temps de prise.</w:t>
      </w:r>
      <w:r>
        <w:br/>
        <w:t>En fonction de la nature du support, la gamme de produits présentée par le fabricant pour les enduits à projeter en une seule couche contient des enduits prêts à mélanger, des enduits d'adhérence ou des enduits de finition.</w:t>
      </w:r>
      <w:r>
        <w:br/>
        <w:t>La plupart des supports conviennent à l'application d'un enduit projeté en une seule couche, qui contient au moins 94 % de plâtre et de l'anhydrite. Les adjuvants nécessaires (retardateurs de prise et produits rétenteurs d'eau) assurent une mise en œuvre et une adhérence optimale.</w:t>
      </w:r>
      <w:r>
        <w:br/>
        <w:t>L'entrepreneur soumet le procédé de plafonnage qu'il juge le plus approprié pour l'ouvrage à exécuter à l'approbation de l'administration.</w:t>
      </w:r>
      <w:r>
        <w:br/>
        <w:t>Les enduits sont conformes à la [NIT 284].</w:t>
      </w:r>
    </w:p>
    <w:p w14:paraId="4DC97BFC" w14:textId="77777777" w:rsidR="004B2808" w:rsidRDefault="00000000">
      <w:pPr>
        <w:pStyle w:val="pheading"/>
      </w:pPr>
      <w:r>
        <w:t>- Finitions</w:t>
      </w:r>
    </w:p>
    <w:p w14:paraId="45A65766" w14:textId="77777777" w:rsidR="004B2808" w:rsidRDefault="00000000">
      <w:r>
        <w:t>Parachèvement de la couche de finition :</w:t>
      </w:r>
      <w:r>
        <w:rPr>
          <w:rStyle w:val="optioncarChar"/>
        </w:rPr>
        <w:t> lisse</w:t>
      </w:r>
      <w:r>
        <w:t> (par défaut)</w:t>
      </w:r>
      <w:r>
        <w:rPr>
          <w:rStyle w:val="optioncarChar"/>
        </w:rPr>
        <w:t> / ***</w:t>
      </w:r>
      <w:r>
        <w:t> (sauf pour les surfaces destinées à être carrelées)</w:t>
      </w:r>
      <w:r>
        <w:br/>
        <w:t xml:space="preserve">Degré de finition requis : </w:t>
      </w:r>
      <w:r>
        <w:rPr>
          <w:rStyle w:val="optioncarChar"/>
        </w:rPr>
        <w:t>normal </w:t>
      </w:r>
      <w:r>
        <w:t>(par défaut)</w:t>
      </w:r>
      <w:r>
        <w:rPr>
          <w:rStyle w:val="optioncarChar"/>
        </w:rPr>
        <w:t xml:space="preserve"> / spécial / ***</w:t>
      </w:r>
    </w:p>
    <w:p w14:paraId="1973D0A1" w14:textId="77777777" w:rsidR="004B2808" w:rsidRDefault="00000000">
      <w:pPr>
        <w:pStyle w:val="pheading"/>
      </w:pPr>
      <w:r>
        <w:t>EXÉCUTION / MISE EN ŒUVRE</w:t>
      </w:r>
    </w:p>
    <w:p w14:paraId="0B176B89" w14:textId="77777777" w:rsidR="004B2808" w:rsidRDefault="00000000">
      <w:pPr>
        <w:pStyle w:val="pheading"/>
      </w:pPr>
      <w:r>
        <w:t>- Prescriptions générales</w:t>
      </w:r>
    </w:p>
    <w:p w14:paraId="1C851F58" w14:textId="77777777" w:rsidR="004B2808" w:rsidRDefault="00000000">
      <w:r>
        <w:t>La mise en œuvre est conforme à la [NIT 284].</w:t>
      </w:r>
      <w:r>
        <w:br/>
        <w:t xml:space="preserve">La préparation du support, le mélange du mortier et l'exécution du plafonnage sont exécutés conformément à l'article </w:t>
      </w:r>
      <w:hyperlink w:anchor="1164" w:history="1">
        <w:r w:rsidR="004B2808">
          <w:rPr>
            <w:color w:val="0000EE"/>
          </w:rPr>
          <w:t>51.5 Revêtements intérieurs enduits</w:t>
        </w:r>
      </w:hyperlink>
      <w:r>
        <w:t>.</w:t>
      </w:r>
    </w:p>
    <w:p w14:paraId="3A102BC4" w14:textId="77777777" w:rsidR="004B2808" w:rsidRDefault="00000000">
      <w:pPr>
        <w:pStyle w:val="heading"/>
      </w:pPr>
      <w:r>
        <w:t>Spécifications</w:t>
      </w:r>
    </w:p>
    <w:p w14:paraId="196BCBE8" w14:textId="77777777" w:rsidR="004B2808" w:rsidRDefault="00000000">
      <w:pPr>
        <w:pStyle w:val="Author-eListParagraph"/>
        <w:numPr>
          <w:ilvl w:val="0"/>
          <w:numId w:val="675"/>
        </w:numPr>
      </w:pPr>
      <w:r>
        <w:t xml:space="preserve">Mode d'exécution : en </w:t>
      </w:r>
      <w:r>
        <w:rPr>
          <w:rStyle w:val="optioncarChar"/>
        </w:rPr>
        <w:t>une seule couche </w:t>
      </w:r>
      <w:r>
        <w:t>(par défaut)</w:t>
      </w:r>
      <w:r>
        <w:rPr>
          <w:rStyle w:val="optioncarChar"/>
        </w:rPr>
        <w:t xml:space="preserve"> / ***</w:t>
      </w:r>
    </w:p>
    <w:p w14:paraId="577A449E" w14:textId="77777777" w:rsidR="004B2808" w:rsidRDefault="00000000">
      <w:pPr>
        <w:pStyle w:val="Author-eListParagraph"/>
        <w:numPr>
          <w:ilvl w:val="0"/>
          <w:numId w:val="675"/>
        </w:numPr>
      </w:pPr>
      <w:r>
        <w:t xml:space="preserve">Epaisseur totale moyenne : </w:t>
      </w:r>
      <w:r>
        <w:rPr>
          <w:rStyle w:val="optioncarChar"/>
        </w:rPr>
        <w:t>15 </w:t>
      </w:r>
      <w:r>
        <w:t>(par défaut)</w:t>
      </w:r>
      <w:r>
        <w:rPr>
          <w:rStyle w:val="optioncarChar"/>
        </w:rPr>
        <w:t xml:space="preserve"> / 20 / 25 / *** </w:t>
      </w:r>
      <w:r>
        <w:t>mm.</w:t>
      </w:r>
    </w:p>
    <w:p w14:paraId="08A74A3A" w14:textId="77777777" w:rsidR="004B2808" w:rsidRDefault="00000000">
      <w:pPr>
        <w:pStyle w:val="Author-eListParagraph"/>
        <w:numPr>
          <w:ilvl w:val="0"/>
          <w:numId w:val="675"/>
        </w:numPr>
      </w:pPr>
      <w:r>
        <w:t>Recouvrement des treillis de renfort :au moins 10 cm.</w:t>
      </w:r>
    </w:p>
    <w:p w14:paraId="14D74AF8" w14:textId="77777777" w:rsidR="004B2808" w:rsidRDefault="00000000">
      <w:pPr>
        <w:pStyle w:val="Author-eListParagraph"/>
        <w:numPr>
          <w:ilvl w:val="0"/>
          <w:numId w:val="675"/>
        </w:numPr>
      </w:pPr>
      <w:r>
        <w:t>Réaction au feu  de l’enduit en prenant en compte l’influence du support (couche(s) sous-jacente(s)): classe  </w:t>
      </w:r>
      <w:r>
        <w:rPr>
          <w:rStyle w:val="optioncarChar"/>
        </w:rPr>
        <w:t xml:space="preserve">A1 </w:t>
      </w:r>
      <w:r>
        <w:t>(par défaut) </w:t>
      </w:r>
      <w:r>
        <w:rPr>
          <w:rStyle w:val="optioncarChar"/>
        </w:rPr>
        <w:t>/ A2 / B / C / D / E / F</w:t>
      </w:r>
      <w:r>
        <w:t xml:space="preserve"> selon la [NBN EN 13501-1].</w:t>
      </w:r>
    </w:p>
    <w:p w14:paraId="2263D2E7" w14:textId="77777777" w:rsidR="004B2808" w:rsidRDefault="00000000">
      <w:pPr>
        <w:pStyle w:val="Author-eListParagraph"/>
        <w:numPr>
          <w:ilvl w:val="0"/>
          <w:numId w:val="675"/>
        </w:numPr>
      </w:pPr>
      <w:r>
        <w:t xml:space="preserve">Classes additionnelles : </w:t>
      </w:r>
    </w:p>
    <w:p w14:paraId="6A9EB458" w14:textId="77777777" w:rsidR="004B2808" w:rsidRDefault="00000000">
      <w:pPr>
        <w:pStyle w:val="Author-eListParagraph"/>
        <w:numPr>
          <w:ilvl w:val="1"/>
          <w:numId w:val="676"/>
        </w:numPr>
      </w:pPr>
      <w:r>
        <w:t>Production de fumée : exigence  </w:t>
      </w:r>
      <w:r>
        <w:rPr>
          <w:rStyle w:val="optioncarChar"/>
        </w:rPr>
        <w:t>s1 </w:t>
      </w:r>
      <w:r>
        <w:t>(par défaut)</w:t>
      </w:r>
      <w:r>
        <w:rPr>
          <w:rStyle w:val="optioncarChar"/>
        </w:rPr>
        <w:t xml:space="preserve"> / s2 / s3 / ***</w:t>
      </w:r>
      <w:r>
        <w:t>.</w:t>
      </w:r>
    </w:p>
    <w:p w14:paraId="6579784C" w14:textId="77777777" w:rsidR="004B2808" w:rsidRDefault="00000000">
      <w:pPr>
        <w:pStyle w:val="Author-eListParagraph"/>
        <w:numPr>
          <w:ilvl w:val="1"/>
          <w:numId w:val="676"/>
        </w:numPr>
      </w:pPr>
      <w:r>
        <w:t xml:space="preserve">Gouttelettes et particules en feu : </w:t>
      </w:r>
      <w:r>
        <w:rPr>
          <w:rStyle w:val="optioncarChar"/>
        </w:rPr>
        <w:t xml:space="preserve">d0 </w:t>
      </w:r>
      <w:r>
        <w:t>(par défaut) </w:t>
      </w:r>
      <w:r>
        <w:rPr>
          <w:rStyle w:val="optioncarChar"/>
        </w:rPr>
        <w:t>/ d1 / d2 / ***</w:t>
      </w:r>
      <w:r>
        <w:t>.</w:t>
      </w:r>
    </w:p>
    <w:p w14:paraId="0008DDC5" w14:textId="77777777" w:rsidR="004B2808" w:rsidRDefault="00000000">
      <w:pPr>
        <w:pStyle w:val="pheading"/>
      </w:pPr>
      <w:r>
        <w:t>- Notes d’exécution complémentaires</w:t>
      </w:r>
    </w:p>
    <w:p w14:paraId="6F308017" w14:textId="77777777" w:rsidR="004B2808" w:rsidRDefault="00000000">
      <w:r>
        <w:t xml:space="preserve">Des profils de finition en forme de U sont prévus pour l'interruption du plafonnage dans les cas suivants : </w:t>
      </w:r>
      <w:r>
        <w:rPr>
          <w:rStyle w:val="optioncarChar"/>
        </w:rPr>
        <w:t>joints de tassement</w:t>
      </w:r>
      <w:r>
        <w:t> (par défaut)</w:t>
      </w:r>
      <w:r>
        <w:rPr>
          <w:rStyle w:val="optioncarChar"/>
        </w:rPr>
        <w:t xml:space="preserve"> / joints de dilatation / jonction avec le parement / jonction avec les châssis / arrêt du plafonnage en hauteur / *** </w:t>
      </w:r>
      <w:r>
        <w:t xml:space="preserve"> Le type et le mode de fixation sont soumis à l'approbation de l'auteur de projet.</w:t>
      </w:r>
    </w:p>
    <w:p w14:paraId="32AEF508" w14:textId="77777777" w:rsidR="004B2808" w:rsidRDefault="00000000">
      <w:pPr>
        <w:pStyle w:val="pheading"/>
      </w:pPr>
      <w:r>
        <w:t>MESURAGE</w:t>
      </w:r>
    </w:p>
    <w:p w14:paraId="7CFB1323" w14:textId="77777777" w:rsidR="004B2808" w:rsidRDefault="00000000">
      <w:r>
        <w:t>Conformément aux indications spécifiques dans le cahier spécial des charges et/ou le métré récapitulatif, le mesurage doit être conçu comme suit :</w:t>
      </w:r>
    </w:p>
    <w:p w14:paraId="471A20BF" w14:textId="77777777" w:rsidR="004B2808" w:rsidRDefault="00000000">
      <w:pPr>
        <w:pStyle w:val="pheading"/>
      </w:pPr>
      <w:r>
        <w:lastRenderedPageBreak/>
        <w:t>- unité de mesure:</w:t>
      </w:r>
    </w:p>
    <w:p w14:paraId="5067231E" w14:textId="77777777" w:rsidR="004B2808" w:rsidRDefault="00000000">
      <w:r>
        <w:t>m²</w:t>
      </w:r>
    </w:p>
    <w:p w14:paraId="1FBB06AC" w14:textId="77777777" w:rsidR="004B2808" w:rsidRDefault="00000000">
      <w:pPr>
        <w:pStyle w:val="pheading"/>
      </w:pPr>
      <w:r>
        <w:t>- code de mesurage:</w:t>
      </w:r>
    </w:p>
    <w:p w14:paraId="64FBC6FA" w14:textId="77777777" w:rsidR="004B2808" w:rsidRDefault="00000000">
      <w:r>
        <w:t>Choix opéré :</w:t>
      </w:r>
      <w:r>
        <w:rPr>
          <w:rStyle w:val="optioncarChar"/>
          <w:b/>
        </w:rPr>
        <w:t>*** / OPTION 1</w:t>
      </w:r>
      <w:r>
        <w:t xml:space="preserve"> (par défaut)</w:t>
      </w:r>
      <w:r>
        <w:rPr>
          <w:rStyle w:val="optioncarChar"/>
          <w:b/>
        </w:rPr>
        <w:t xml:space="preserve"> / OPTION 2</w:t>
      </w:r>
    </w:p>
    <w:p w14:paraId="2A0D6480" w14:textId="77777777" w:rsidR="004B2808" w:rsidRDefault="00000000">
      <w:r>
        <w:rPr>
          <w:b/>
        </w:rPr>
        <w:t>***OPTION 1</w:t>
      </w:r>
      <w:r>
        <w:t xml:space="preserve"> (par défaut) : 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sont habillées de panneaux). Les travaux de plafonnage ne font pas l'objet de décomptes.</w:t>
      </w:r>
      <w:r>
        <w:br/>
      </w:r>
      <w:r>
        <w:rPr>
          <w:b/>
        </w:rPr>
        <w:t>***OPTION 2</w:t>
      </w:r>
      <w:r>
        <w:t xml:space="preserve"> : surface nette, les réservations supérieures à 0,5 m² sont déduites. Les travaux de plafonnage ne font pas l'objet de décomptes.</w:t>
      </w:r>
    </w:p>
    <w:p w14:paraId="5ED549C1" w14:textId="77777777" w:rsidR="004B2808" w:rsidRDefault="00000000">
      <w:pPr>
        <w:pStyle w:val="pheading"/>
      </w:pPr>
      <w:r>
        <w:t>- nature du marché:</w:t>
      </w:r>
    </w:p>
    <w:p w14:paraId="377B675A" w14:textId="77777777" w:rsidR="004B2808" w:rsidRDefault="00000000">
      <w:r>
        <w:t>QF</w:t>
      </w:r>
    </w:p>
    <w:p w14:paraId="1438B34D" w14:textId="77777777" w:rsidR="004B2808" w:rsidRDefault="00000000">
      <w:pPr>
        <w:pStyle w:val="Author-eSectionHeading6Numberless"/>
      </w:pPr>
      <w:bookmarkStart w:id="876" w:name="_Toc220491014"/>
      <w:r>
        <w:t>54.14.2c Enduits en 2 couches (15mm&lt;ép&lt;25mm), prêts à l'emploi CCTB 01.12</w:t>
      </w:r>
      <w:bookmarkEnd w:id="876"/>
    </w:p>
    <w:p w14:paraId="5E434F03" w14:textId="77777777" w:rsidR="004B2808" w:rsidRDefault="00000000">
      <w:pPr>
        <w:pStyle w:val="pheading"/>
      </w:pPr>
      <w:r>
        <w:t>MATÉRIAUX</w:t>
      </w:r>
    </w:p>
    <w:p w14:paraId="573B0F37" w14:textId="77777777" w:rsidR="004B2808" w:rsidRDefault="00000000">
      <w:pPr>
        <w:pStyle w:val="pheading"/>
      </w:pPr>
      <w:r>
        <w:t>- Caractéristiques générales</w:t>
      </w:r>
    </w:p>
    <w:p w14:paraId="0FC384C1" w14:textId="77777777" w:rsidR="004B2808" w:rsidRDefault="00000000">
      <w:pPr>
        <w:pStyle w:val="Author-eListParagraph"/>
        <w:numPr>
          <w:ilvl w:val="0"/>
          <w:numId w:val="677"/>
        </w:numPr>
      </w:pPr>
      <w:r>
        <w:t xml:space="preserve">Il s'agit d'enduits préfabriqués en usine, conformes à la [NBN EN 13279-1] , à base de matières inorganiques minérales. Ils contiendront au moins 50 % de produits au sulfate de calcium déshydratés (CaSO4-1/2H2O), extraits de la pierre à plâtre ou des produits secondaires résultant de processus industriels et brûlés selon une méthode particulière. La radioactivité du produit est négligeable et, par conséquent, &lt; </w:t>
      </w:r>
      <w:r>
        <w:rPr>
          <w:rStyle w:val="optioncarChar"/>
        </w:rPr>
        <w:t>300</w:t>
      </w:r>
      <w:r>
        <w:t xml:space="preserve"> (par défaut) </w:t>
      </w:r>
      <w:r>
        <w:rPr>
          <w:rStyle w:val="optioncarChar"/>
        </w:rPr>
        <w:t>/ ***</w:t>
      </w:r>
      <w:r>
        <w:t> Bq/kg.</w:t>
      </w:r>
    </w:p>
    <w:p w14:paraId="5AC8966F" w14:textId="77777777" w:rsidR="004B2808" w:rsidRDefault="00000000">
      <w:pPr>
        <w:pStyle w:val="Author-eListParagraph"/>
        <w:numPr>
          <w:ilvl w:val="0"/>
          <w:numId w:val="677"/>
        </w:numPr>
      </w:pPr>
      <w:r>
        <w:t>Ils sont éventuellement mélangés à des adjuvants tels que du sable, de la perlite ou vermiculite, choisis en fonction des qualités exigées de l'enduit telles que l'adhérence ou la durée du temps de prise.</w:t>
      </w:r>
    </w:p>
    <w:p w14:paraId="5C40149D" w14:textId="77777777" w:rsidR="004B2808" w:rsidRDefault="00000000">
      <w:pPr>
        <w:pStyle w:val="Author-eListParagraph"/>
        <w:numPr>
          <w:ilvl w:val="0"/>
          <w:numId w:val="677"/>
        </w:numPr>
      </w:pPr>
      <w:r>
        <w:t>En fonction de la nature du support, la gamme de produits présentée par le fabricant pour les enduits à projeter en une seule couche contiendra des enduits prêts à mélanger, des enduits d'adhérence ou des enduits de finition.</w:t>
      </w:r>
    </w:p>
    <w:p w14:paraId="2163A148" w14:textId="77777777" w:rsidR="004B2808" w:rsidRDefault="00000000">
      <w:pPr>
        <w:pStyle w:val="Author-eListParagraph"/>
        <w:numPr>
          <w:ilvl w:val="0"/>
          <w:numId w:val="677"/>
        </w:numPr>
      </w:pPr>
      <w:r>
        <w:t>L'entrepreneur soumet le procédé de plafonnage qu'il juge le plus approprié pour l'ouvrage à exécuter à l'approbation de l'administration.</w:t>
      </w:r>
    </w:p>
    <w:p w14:paraId="062EFD42" w14:textId="77777777" w:rsidR="004B2808" w:rsidRDefault="00000000">
      <w:pPr>
        <w:pStyle w:val="Author-eListParagraph"/>
        <w:numPr>
          <w:ilvl w:val="0"/>
          <w:numId w:val="677"/>
        </w:numPr>
      </w:pPr>
      <w:r>
        <w:t>Les enduits sont conformes à la [NIT 284].</w:t>
      </w:r>
    </w:p>
    <w:p w14:paraId="53B685FF" w14:textId="77777777" w:rsidR="004B2808" w:rsidRDefault="00000000">
      <w:pPr>
        <w:pStyle w:val="pheading"/>
      </w:pPr>
      <w:r>
        <w:t>- Finitions</w:t>
      </w:r>
    </w:p>
    <w:p w14:paraId="1C3F6A3F" w14:textId="77777777" w:rsidR="004B2808" w:rsidRDefault="00000000">
      <w:r>
        <w:t>Parachèvement de la couche de finition :</w:t>
      </w:r>
      <w:r>
        <w:rPr>
          <w:rStyle w:val="optioncarChar"/>
        </w:rPr>
        <w:t> lisse</w:t>
      </w:r>
      <w:r>
        <w:t> (par défaut)</w:t>
      </w:r>
      <w:r>
        <w:rPr>
          <w:rStyle w:val="optioncarChar"/>
        </w:rPr>
        <w:t> / *** </w:t>
      </w:r>
      <w:r>
        <w:t>(sauf pour les surfaces destinées à être carrelées)</w:t>
      </w:r>
      <w:r>
        <w:br/>
        <w:t>Degré de finition requis :</w:t>
      </w:r>
      <w:r>
        <w:rPr>
          <w:rStyle w:val="optioncarChar"/>
        </w:rPr>
        <w:t> normal </w:t>
      </w:r>
      <w:r>
        <w:t>(par défaut)</w:t>
      </w:r>
      <w:r>
        <w:rPr>
          <w:rStyle w:val="optioncarChar"/>
        </w:rPr>
        <w:t xml:space="preserve"> / spécial / ***</w:t>
      </w:r>
    </w:p>
    <w:p w14:paraId="47DBA7DC" w14:textId="77777777" w:rsidR="004B2808" w:rsidRDefault="00000000">
      <w:pPr>
        <w:pStyle w:val="pheading"/>
      </w:pPr>
      <w:r>
        <w:t>EXÉCUTION / MISE EN ŒUVRE</w:t>
      </w:r>
    </w:p>
    <w:p w14:paraId="50C38CDF" w14:textId="77777777" w:rsidR="004B2808" w:rsidRDefault="00000000">
      <w:pPr>
        <w:pStyle w:val="pheading"/>
      </w:pPr>
      <w:r>
        <w:t>- Prescriptions générales</w:t>
      </w:r>
    </w:p>
    <w:p w14:paraId="79001AB4" w14:textId="77777777" w:rsidR="004B2808" w:rsidRDefault="00000000">
      <w:r>
        <w:t>La mise en œuvre est conforme à la [NIT 284].</w:t>
      </w:r>
      <w:r>
        <w:br/>
        <w:t xml:space="preserve">La préparation du support, le mélange du mortier et l'exécution du plafonnage sont exécutés conformément à l'article </w:t>
      </w:r>
      <w:hyperlink w:anchor="1164" w:history="1">
        <w:r w:rsidR="004B2808">
          <w:rPr>
            <w:color w:val="0000EE"/>
          </w:rPr>
          <w:t>51.5 Revêtements intérieurs enduits</w:t>
        </w:r>
      </w:hyperlink>
      <w:r>
        <w:t>.</w:t>
      </w:r>
    </w:p>
    <w:p w14:paraId="140D677A" w14:textId="77777777" w:rsidR="004B2808" w:rsidRDefault="00000000">
      <w:pPr>
        <w:pStyle w:val="heading"/>
      </w:pPr>
      <w:r>
        <w:t>Spécifications</w:t>
      </w:r>
    </w:p>
    <w:p w14:paraId="61475F00" w14:textId="77777777" w:rsidR="004B2808" w:rsidRDefault="00000000">
      <w:pPr>
        <w:pStyle w:val="Author-eListParagraph"/>
        <w:numPr>
          <w:ilvl w:val="0"/>
          <w:numId w:val="678"/>
        </w:numPr>
      </w:pPr>
      <w:r>
        <w:t xml:space="preserve">Mode d'exécution : en </w:t>
      </w:r>
      <w:r>
        <w:rPr>
          <w:rStyle w:val="optioncarChar"/>
        </w:rPr>
        <w:t>une seule couche</w:t>
      </w:r>
      <w:r>
        <w:t> (par défaut)</w:t>
      </w:r>
      <w:r>
        <w:rPr>
          <w:rStyle w:val="optioncarChar"/>
        </w:rPr>
        <w:t xml:space="preserve"> / ***</w:t>
      </w:r>
    </w:p>
    <w:p w14:paraId="0A147F3C" w14:textId="77777777" w:rsidR="004B2808" w:rsidRDefault="00000000">
      <w:pPr>
        <w:pStyle w:val="Author-eListParagraph"/>
        <w:numPr>
          <w:ilvl w:val="0"/>
          <w:numId w:val="678"/>
        </w:numPr>
      </w:pPr>
      <w:r>
        <w:t xml:space="preserve">Epaisseur totale moyenne : </w:t>
      </w:r>
      <w:r>
        <w:rPr>
          <w:rStyle w:val="optioncarChar"/>
        </w:rPr>
        <w:t>15 </w:t>
      </w:r>
      <w:r>
        <w:t xml:space="preserve">(par défaut) </w:t>
      </w:r>
      <w:r>
        <w:rPr>
          <w:rStyle w:val="optioncarChar"/>
        </w:rPr>
        <w:t xml:space="preserve">/ 20 / 25 / *** </w:t>
      </w:r>
      <w:r>
        <w:t>mm.</w:t>
      </w:r>
    </w:p>
    <w:p w14:paraId="4F61DA6B" w14:textId="77777777" w:rsidR="004B2808" w:rsidRDefault="00000000">
      <w:pPr>
        <w:pStyle w:val="Author-eListParagraph"/>
        <w:numPr>
          <w:ilvl w:val="0"/>
          <w:numId w:val="678"/>
        </w:numPr>
      </w:pPr>
      <w:r>
        <w:t>Recouvrement des treillis de renfort :au moins 10 cm.</w:t>
      </w:r>
    </w:p>
    <w:p w14:paraId="7805087E" w14:textId="77777777" w:rsidR="004B2808" w:rsidRDefault="00000000">
      <w:pPr>
        <w:pStyle w:val="Author-eListParagraph"/>
        <w:numPr>
          <w:ilvl w:val="0"/>
          <w:numId w:val="678"/>
        </w:numPr>
      </w:pPr>
      <w:r>
        <w:t>Réaction au feu  de l’enduit en prenant en compte l’influence du support (couche(s) sous-jacente(s)): classe  </w:t>
      </w:r>
      <w:r>
        <w:rPr>
          <w:rStyle w:val="optioncarChar"/>
        </w:rPr>
        <w:t>A1 </w:t>
      </w:r>
      <w:r>
        <w:t>(par défaut)</w:t>
      </w:r>
      <w:r>
        <w:rPr>
          <w:rStyle w:val="optioncarChar"/>
        </w:rPr>
        <w:t xml:space="preserve"> / A2 / B / C / D / E / F / ***</w:t>
      </w:r>
      <w:r>
        <w:t xml:space="preserve"> selon la [NBN EN 13501-1].</w:t>
      </w:r>
    </w:p>
    <w:p w14:paraId="7423D0DE" w14:textId="77777777" w:rsidR="004B2808" w:rsidRDefault="00000000">
      <w:pPr>
        <w:pStyle w:val="Author-eListParagraph"/>
        <w:numPr>
          <w:ilvl w:val="0"/>
          <w:numId w:val="678"/>
        </w:numPr>
      </w:pPr>
      <w:r>
        <w:t xml:space="preserve">Classes additionnelles : </w:t>
      </w:r>
    </w:p>
    <w:p w14:paraId="1D10C1AC" w14:textId="77777777" w:rsidR="004B2808" w:rsidRDefault="00000000">
      <w:pPr>
        <w:pStyle w:val="Author-eListParagraph"/>
        <w:numPr>
          <w:ilvl w:val="1"/>
          <w:numId w:val="679"/>
        </w:numPr>
      </w:pPr>
      <w:r>
        <w:lastRenderedPageBreak/>
        <w:t xml:space="preserve">Production de fumée : exigence </w:t>
      </w:r>
      <w:r>
        <w:rPr>
          <w:rStyle w:val="optioncarChar"/>
        </w:rPr>
        <w:t>s1 </w:t>
      </w:r>
      <w:r>
        <w:t>(par défaut)</w:t>
      </w:r>
      <w:r>
        <w:rPr>
          <w:rStyle w:val="optioncarChar"/>
        </w:rPr>
        <w:t xml:space="preserve"> / s2 / s3 / ***</w:t>
      </w:r>
      <w:r>
        <w:t>.</w:t>
      </w:r>
    </w:p>
    <w:p w14:paraId="26E2A20D" w14:textId="77777777" w:rsidR="004B2808" w:rsidRDefault="00000000">
      <w:pPr>
        <w:pStyle w:val="Author-eListParagraph"/>
        <w:numPr>
          <w:ilvl w:val="1"/>
          <w:numId w:val="679"/>
        </w:numPr>
      </w:pPr>
      <w:r>
        <w:t xml:space="preserve">Gouttelettes et particules en feu : </w:t>
      </w:r>
      <w:r>
        <w:rPr>
          <w:rStyle w:val="optioncarChar"/>
        </w:rPr>
        <w:t>d0 </w:t>
      </w:r>
      <w:r>
        <w:t>(par défaut)</w:t>
      </w:r>
      <w:r>
        <w:rPr>
          <w:rStyle w:val="optioncarChar"/>
        </w:rPr>
        <w:t xml:space="preserve"> / d1 / d2 / ***</w:t>
      </w:r>
      <w:r>
        <w:t>.</w:t>
      </w:r>
    </w:p>
    <w:p w14:paraId="5F6F99E6" w14:textId="77777777" w:rsidR="004B2808" w:rsidRDefault="00000000">
      <w:pPr>
        <w:pStyle w:val="pheading"/>
      </w:pPr>
      <w:r>
        <w:t>- Notes d’exécution complémentaires</w:t>
      </w:r>
    </w:p>
    <w:p w14:paraId="576FE9D7" w14:textId="77777777" w:rsidR="004B2808" w:rsidRDefault="00000000">
      <w:r>
        <w:t>Des profils de finition en forme de U sont prévus pour l'interruption du plafonnage dans les cas suivants :</w:t>
      </w:r>
      <w:r>
        <w:rPr>
          <w:rStyle w:val="optioncarChar"/>
        </w:rPr>
        <w:t xml:space="preserve"> joints de tassement </w:t>
      </w:r>
      <w:r>
        <w:t>(par défaut) </w:t>
      </w:r>
      <w:r>
        <w:rPr>
          <w:rStyle w:val="optioncarChar"/>
        </w:rPr>
        <w:t xml:space="preserve">/ joints de dilatation / jonction avec le parement / jonction avec les châssis / arrêt du plafonnage en hauteur / *** </w:t>
      </w:r>
      <w:r>
        <w:t xml:space="preserve"> Le type et le mode de fixation sont soumis à l'approbation de l'auteur de projet.  </w:t>
      </w:r>
    </w:p>
    <w:p w14:paraId="7B6ABC69" w14:textId="77777777" w:rsidR="004B2808" w:rsidRDefault="00000000">
      <w:pPr>
        <w:pStyle w:val="pheading"/>
      </w:pPr>
      <w:r>
        <w:t>MESURAGE</w:t>
      </w:r>
    </w:p>
    <w:p w14:paraId="48CB0A25" w14:textId="77777777" w:rsidR="004B2808" w:rsidRDefault="00000000">
      <w:pPr>
        <w:pStyle w:val="pheading"/>
      </w:pPr>
      <w:r>
        <w:t>- unité de mesure:</w:t>
      </w:r>
    </w:p>
    <w:p w14:paraId="30510CFA" w14:textId="77777777" w:rsidR="004B2808" w:rsidRDefault="00000000">
      <w:r>
        <w:t>m²</w:t>
      </w:r>
    </w:p>
    <w:p w14:paraId="306B9D00" w14:textId="77777777" w:rsidR="004B2808" w:rsidRDefault="00000000">
      <w:pPr>
        <w:pStyle w:val="pheading"/>
      </w:pPr>
      <w:r>
        <w:t>- code de mesurage:</w:t>
      </w:r>
    </w:p>
    <w:p w14:paraId="2B72DC19" w14:textId="77777777" w:rsidR="004B2808" w:rsidRDefault="00000000">
      <w:r>
        <w:t xml:space="preserve">Choix opéré : </w:t>
      </w:r>
      <w:r>
        <w:rPr>
          <w:rStyle w:val="optioncarChar"/>
          <w:b/>
        </w:rPr>
        <w:t xml:space="preserve">*** / OPTION 1 </w:t>
      </w:r>
      <w:r>
        <w:t>(par défaut) </w:t>
      </w:r>
      <w:r>
        <w:rPr>
          <w:rStyle w:val="optioncarChar"/>
          <w:b/>
        </w:rPr>
        <w:t>/ OPTION 2</w:t>
      </w:r>
    </w:p>
    <w:p w14:paraId="70726F6A" w14:textId="77777777" w:rsidR="004B2808" w:rsidRDefault="00000000">
      <w:r>
        <w:rPr>
          <w:b/>
        </w:rPr>
        <w:t>***OPTION 1</w:t>
      </w:r>
      <w:r>
        <w:t xml:space="preserve"> (par défaut) : 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sont habillées de panneaux). Les travaux de plafonnage ne font pas l'objet de décomptes.</w:t>
      </w:r>
      <w:r>
        <w:br/>
      </w:r>
      <w:r>
        <w:rPr>
          <w:b/>
        </w:rPr>
        <w:t>***OPTION 2</w:t>
      </w:r>
      <w:r>
        <w:t xml:space="preserve"> : surface nette, les réservations supérieures à 0,5 m² sont déduites. Les travaux de plafonnage ne font pas l'objet de décomptes.</w:t>
      </w:r>
    </w:p>
    <w:p w14:paraId="71292885" w14:textId="77777777" w:rsidR="004B2808" w:rsidRDefault="00000000">
      <w:pPr>
        <w:pStyle w:val="pheading"/>
      </w:pPr>
      <w:r>
        <w:t>- nature du marché:</w:t>
      </w:r>
    </w:p>
    <w:p w14:paraId="53046FA0" w14:textId="77777777" w:rsidR="004B2808" w:rsidRDefault="00000000">
      <w:r>
        <w:t>QF</w:t>
      </w:r>
    </w:p>
    <w:p w14:paraId="6C3B29F5" w14:textId="77777777" w:rsidR="004B2808" w:rsidRDefault="00000000">
      <w:pPr>
        <w:pStyle w:val="Author-eSectionHeading6Numberless"/>
      </w:pPr>
      <w:bookmarkStart w:id="877" w:name="_Toc220491015"/>
      <w:r>
        <w:t>54.14.2d Enduits au plâtre et à la chaux (composition prescrite), en 2 couches (15mm&lt;ép&lt;25mm) CCTB 01.12</w:t>
      </w:r>
      <w:bookmarkEnd w:id="877"/>
    </w:p>
    <w:p w14:paraId="34C59E3B" w14:textId="77777777" w:rsidR="004B2808" w:rsidRDefault="00000000">
      <w:pPr>
        <w:pStyle w:val="pheading"/>
      </w:pPr>
      <w:r>
        <w:t>MATÉRIAUX</w:t>
      </w:r>
    </w:p>
    <w:p w14:paraId="1C540B96" w14:textId="77777777" w:rsidR="004B2808" w:rsidRDefault="00000000">
      <w:pPr>
        <w:pStyle w:val="pheading"/>
      </w:pPr>
      <w:r>
        <w:t>- Caractéristiques générales</w:t>
      </w:r>
    </w:p>
    <w:p w14:paraId="5F4D3E46" w14:textId="77777777" w:rsidR="004B2808" w:rsidRDefault="00000000">
      <w:r>
        <w:t>Les propriétés des matériaux à mettre en œuvre satisfont à la [NIT 284] et contiennent les éléments suivants :</w:t>
      </w:r>
    </w:p>
    <w:p w14:paraId="315AF9E4" w14:textId="77777777" w:rsidR="004B2808" w:rsidRDefault="00000000">
      <w:pPr>
        <w:pStyle w:val="Author-eListParagraph"/>
        <w:numPr>
          <w:ilvl w:val="0"/>
          <w:numId w:val="680"/>
        </w:numPr>
      </w:pPr>
      <w:r>
        <w:t>Composition du mortier :</w:t>
      </w:r>
    </w:p>
    <w:p w14:paraId="0A318057" w14:textId="77777777" w:rsidR="004B2808" w:rsidRDefault="00000000">
      <w:pPr>
        <w:pStyle w:val="Author-eListParagraph"/>
        <w:numPr>
          <w:ilvl w:val="0"/>
          <w:numId w:val="680"/>
        </w:numPr>
      </w:pPr>
      <w:r>
        <w:t>Les enduits sont conformes aux prescriptions de la [NIT 284].</w:t>
      </w:r>
    </w:p>
    <w:p w14:paraId="28153B49" w14:textId="77777777" w:rsidR="004B2808" w:rsidRDefault="00000000">
      <w:pPr>
        <w:pStyle w:val="pheading"/>
      </w:pPr>
      <w:r>
        <w:t>EXÉCUTION / MISE EN ŒUVRE</w:t>
      </w:r>
    </w:p>
    <w:p w14:paraId="51902367" w14:textId="77777777" w:rsidR="004B2808" w:rsidRDefault="00000000">
      <w:pPr>
        <w:pStyle w:val="pheading"/>
      </w:pPr>
      <w:r>
        <w:t>- Prescriptions générales</w:t>
      </w:r>
    </w:p>
    <w:p w14:paraId="21AB15FD" w14:textId="77777777" w:rsidR="004B2808" w:rsidRDefault="00000000">
      <w:r>
        <w:t>La mise en œuvre est conforme aux prescriptions de la [NIT 284].</w:t>
      </w:r>
      <w:r>
        <w:br/>
        <w:t xml:space="preserve">La préparation du mortier et l'exécution du plafonnage sont réalisées conformément à l'article </w:t>
      </w:r>
      <w:hyperlink w:anchor="1164" w:history="1">
        <w:r w:rsidR="004B2808">
          <w:rPr>
            <w:color w:val="0000EE"/>
          </w:rPr>
          <w:t>51.5 Revêtements intérieurs enduits</w:t>
        </w:r>
      </w:hyperlink>
      <w:r>
        <w:t xml:space="preserve"> Revêtements enduits de parois verticales intérieures.</w:t>
      </w:r>
    </w:p>
    <w:p w14:paraId="3B775025" w14:textId="77777777" w:rsidR="004B2808" w:rsidRDefault="00000000">
      <w:pPr>
        <w:pStyle w:val="heading"/>
      </w:pPr>
      <w:r>
        <w:t>Spécifications</w:t>
      </w:r>
    </w:p>
    <w:p w14:paraId="6B4A6EFC" w14:textId="77777777" w:rsidR="004B2808" w:rsidRDefault="00000000">
      <w:pPr>
        <w:pStyle w:val="Author-eListParagraph"/>
        <w:numPr>
          <w:ilvl w:val="0"/>
          <w:numId w:val="681"/>
        </w:numPr>
      </w:pPr>
      <w:r>
        <w:t xml:space="preserve">Mode d'exécution : en </w:t>
      </w:r>
      <w:r>
        <w:rPr>
          <w:rStyle w:val="optioncarChar"/>
        </w:rPr>
        <w:t>deux</w:t>
      </w:r>
      <w:r>
        <w:t> (par défaut) </w:t>
      </w:r>
      <w:r>
        <w:rPr>
          <w:rStyle w:val="optioncarChar"/>
        </w:rPr>
        <w:t>/ *** </w:t>
      </w:r>
      <w:r>
        <w:t>couches</w:t>
      </w:r>
    </w:p>
    <w:p w14:paraId="2190A7B2" w14:textId="77777777" w:rsidR="004B2808" w:rsidRDefault="00000000">
      <w:pPr>
        <w:pStyle w:val="Author-eListParagraph"/>
        <w:numPr>
          <w:ilvl w:val="0"/>
          <w:numId w:val="681"/>
        </w:numPr>
      </w:pPr>
      <w:r>
        <w:t xml:space="preserve">Epaisseur totale moyenne : </w:t>
      </w:r>
      <w:r>
        <w:rPr>
          <w:rStyle w:val="optioncarChar"/>
        </w:rPr>
        <w:t>10</w:t>
      </w:r>
      <w:r>
        <w:t> (par défaut)</w:t>
      </w:r>
      <w:r>
        <w:rPr>
          <w:rStyle w:val="optioncarChar"/>
        </w:rPr>
        <w:t xml:space="preserve"> / 15 / 20 / *** </w:t>
      </w:r>
      <w:r>
        <w:t>mm</w:t>
      </w:r>
    </w:p>
    <w:p w14:paraId="457E0BBD" w14:textId="77777777" w:rsidR="004B2808" w:rsidRDefault="00000000">
      <w:pPr>
        <w:pStyle w:val="Author-eListParagraph"/>
        <w:numPr>
          <w:ilvl w:val="0"/>
          <w:numId w:val="681"/>
        </w:numPr>
      </w:pPr>
      <w:r>
        <w:t xml:space="preserve">Recouvrement des treillis de renfort: au moins </w:t>
      </w:r>
      <w:r>
        <w:rPr>
          <w:rStyle w:val="optioncarChar"/>
        </w:rPr>
        <w:t>10</w:t>
      </w:r>
      <w:r>
        <w:t> (par défaut)</w:t>
      </w:r>
      <w:r>
        <w:rPr>
          <w:rStyle w:val="optioncarChar"/>
        </w:rPr>
        <w:t> / *** </w:t>
      </w:r>
      <w:r>
        <w:t>mm</w:t>
      </w:r>
    </w:p>
    <w:p w14:paraId="0F9534B8" w14:textId="77777777" w:rsidR="004B2808" w:rsidRDefault="00000000">
      <w:pPr>
        <w:pStyle w:val="Author-eListParagraph"/>
        <w:numPr>
          <w:ilvl w:val="0"/>
          <w:numId w:val="681"/>
        </w:numPr>
      </w:pPr>
      <w:r>
        <w:t xml:space="preserve">Parachèvement de la couche de finition : </w:t>
      </w:r>
      <w:r>
        <w:rPr>
          <w:rStyle w:val="optioncarChar"/>
        </w:rPr>
        <w:t>lisse</w:t>
      </w:r>
      <w:r>
        <w:t> (par défaut) </w:t>
      </w:r>
      <w:r>
        <w:rPr>
          <w:rStyle w:val="optioncarChar"/>
        </w:rPr>
        <w:t>/ ***  </w:t>
      </w:r>
      <w:r>
        <w:t>.</w:t>
      </w:r>
    </w:p>
    <w:p w14:paraId="6A142F43" w14:textId="77777777" w:rsidR="004B2808" w:rsidRDefault="00000000">
      <w:pPr>
        <w:pStyle w:val="Author-eListParagraph"/>
        <w:numPr>
          <w:ilvl w:val="0"/>
          <w:numId w:val="681"/>
        </w:numPr>
      </w:pPr>
      <w:r>
        <w:t>Degré de finition requis :</w:t>
      </w:r>
      <w:r>
        <w:rPr>
          <w:rStyle w:val="optioncarChar"/>
        </w:rPr>
        <w:t> normal</w:t>
      </w:r>
      <w:r>
        <w:t> (par défaut)</w:t>
      </w:r>
      <w:r>
        <w:rPr>
          <w:rStyle w:val="optioncarChar"/>
        </w:rPr>
        <w:t xml:space="preserve"> / spécial / ***</w:t>
      </w:r>
    </w:p>
    <w:p w14:paraId="236614ED" w14:textId="77777777" w:rsidR="004B2808" w:rsidRDefault="00000000">
      <w:pPr>
        <w:pStyle w:val="Author-eListParagraph"/>
        <w:numPr>
          <w:ilvl w:val="0"/>
          <w:numId w:val="681"/>
        </w:numPr>
      </w:pPr>
      <w:r>
        <w:t>Selon la [Décision 96/603/CE] du 4 octobre 1996 et les conditions qui y sont reprises, la chaux et le plâtre appartiennent à la classe de réaction au feu A1.</w:t>
      </w:r>
    </w:p>
    <w:p w14:paraId="1E3D9E0B" w14:textId="77777777" w:rsidR="004B2808" w:rsidRDefault="00000000">
      <w:pPr>
        <w:pStyle w:val="pheading"/>
      </w:pPr>
      <w:r>
        <w:t>- Notes d’exécution complémentaires</w:t>
      </w:r>
    </w:p>
    <w:p w14:paraId="3CE4CC96" w14:textId="77777777" w:rsidR="004B2808" w:rsidRDefault="00000000">
      <w:r>
        <w:lastRenderedPageBreak/>
        <w:t>Des profils de finition en forme de U sont prévus pour l'interruption du plafonnage dans les cas suivants :</w:t>
      </w:r>
      <w:r>
        <w:rPr>
          <w:rStyle w:val="optioncarChar"/>
        </w:rPr>
        <w:t> joints de tassement / joints de dilatation </w:t>
      </w:r>
      <w:r>
        <w:t>(par défaut)</w:t>
      </w:r>
      <w:r>
        <w:rPr>
          <w:rStyle w:val="optioncarChar"/>
        </w:rPr>
        <w:t> / jonction avec le parement intérieur / jonction avec les châssis / arrêt du plafonnage en hauteur / ***</w:t>
      </w:r>
      <w:r>
        <w:t xml:space="preserve"> Le type et le mode de fixation sont soumis pour approbation à l'auteur de projet.</w:t>
      </w:r>
    </w:p>
    <w:p w14:paraId="30896000" w14:textId="77777777" w:rsidR="004B2808" w:rsidRDefault="00000000">
      <w:pPr>
        <w:pStyle w:val="pheading"/>
      </w:pPr>
      <w:r>
        <w:t>MESURAGE</w:t>
      </w:r>
    </w:p>
    <w:p w14:paraId="21349ABF" w14:textId="77777777" w:rsidR="004B2808" w:rsidRDefault="00000000">
      <w:r>
        <w:t>Conformément aux indications spécifiques dans le cahier spécial des charges et/ou le métré récapitulatif, le mesurage doit être conçu comme suit :</w:t>
      </w:r>
    </w:p>
    <w:p w14:paraId="7A215472" w14:textId="77777777" w:rsidR="004B2808" w:rsidRDefault="00000000">
      <w:pPr>
        <w:pStyle w:val="pheading"/>
      </w:pPr>
      <w:r>
        <w:t>- unité de mesure:</w:t>
      </w:r>
    </w:p>
    <w:p w14:paraId="6BB1890E" w14:textId="77777777" w:rsidR="004B2808" w:rsidRDefault="00000000">
      <w:r>
        <w:t>m²</w:t>
      </w:r>
    </w:p>
    <w:p w14:paraId="14E3D0CE" w14:textId="77777777" w:rsidR="004B2808" w:rsidRDefault="00000000">
      <w:pPr>
        <w:pStyle w:val="pheading"/>
      </w:pPr>
      <w:r>
        <w:t>- code de mesurage:</w:t>
      </w:r>
    </w:p>
    <w:p w14:paraId="02CE25EA" w14:textId="77777777" w:rsidR="004B2808" w:rsidRDefault="00000000">
      <w:r>
        <w:t>Choix opéré :</w:t>
      </w:r>
      <w:r>
        <w:rPr>
          <w:rStyle w:val="optioncarChar"/>
          <w:b/>
        </w:rPr>
        <w:t xml:space="preserve">*** / OPTION 1 </w:t>
      </w:r>
      <w:r>
        <w:rPr>
          <w:b/>
        </w:rPr>
        <w:t>(par défaut)</w:t>
      </w:r>
      <w:r>
        <w:rPr>
          <w:rStyle w:val="optioncarChar"/>
          <w:b/>
        </w:rPr>
        <w:t xml:space="preserve"> / OPTION 2</w:t>
      </w:r>
    </w:p>
    <w:p w14:paraId="39912287" w14:textId="77777777" w:rsidR="004B2808" w:rsidRDefault="00000000">
      <w:r>
        <w:rPr>
          <w:b/>
        </w:rPr>
        <w:t>***OPTION 1</w:t>
      </w:r>
      <w:r>
        <w:t xml:space="preserve"> (par défaut) : 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sont habillées de panneaux). Les travaux de plafonnage ne font pas l'objet de décomptes.</w:t>
      </w:r>
      <w:r>
        <w:br/>
      </w:r>
      <w:r>
        <w:rPr>
          <w:b/>
        </w:rPr>
        <w:t>***OPTION 2</w:t>
      </w:r>
      <w:r>
        <w:t xml:space="preserve"> : surface nette, les réservations supérieures à 0,5 m² sont déduites. Les travaux de plafonnage ne font pas l'objet de décomptes.</w:t>
      </w:r>
    </w:p>
    <w:p w14:paraId="0FE66872" w14:textId="77777777" w:rsidR="004B2808" w:rsidRDefault="00000000">
      <w:pPr>
        <w:pStyle w:val="pheading"/>
      </w:pPr>
      <w:r>
        <w:t>- nature du marché:</w:t>
      </w:r>
    </w:p>
    <w:p w14:paraId="154187E7" w14:textId="77777777" w:rsidR="004B2808" w:rsidRDefault="00000000">
      <w:r>
        <w:t>QF</w:t>
      </w:r>
    </w:p>
    <w:p w14:paraId="0E075C06" w14:textId="77777777" w:rsidR="004B2808" w:rsidRDefault="00000000">
      <w:pPr>
        <w:pStyle w:val="pheading"/>
      </w:pPr>
      <w:r>
        <w:t>AIDE</w:t>
      </w:r>
    </w:p>
    <w:p w14:paraId="4B620102" w14:textId="77777777" w:rsidR="004B2808" w:rsidRDefault="00000000">
      <w:r>
        <w:t>Note à l</w:t>
      </w:r>
      <w:r>
        <w:rPr>
          <w:u w:val="single"/>
        </w:rPr>
        <w:t>'attention de l'auteur de projet</w:t>
      </w:r>
    </w:p>
    <w:p w14:paraId="09CD97BA" w14:textId="77777777" w:rsidR="004B2808" w:rsidRDefault="00000000">
      <w:r>
        <w:t>Les abréviations suivantes sont utilisées : PL = plâtre / C = ciment / G = chaux hydratée ou chaux grasse</w:t>
      </w:r>
      <w:r>
        <w:br/>
        <w:t>X = chaux hydraulique / S = sable</w:t>
      </w:r>
      <w:r>
        <w:br/>
        <w:t>Les proportions de mélange sont exprimées en volumes et quelquefois en masse.</w:t>
      </w:r>
      <w:r>
        <w:br/>
        <w:t>par ex. mortier bâtard C200, G100 = 200 kg de ciment et 100 kg de chaux par m2 de sable .</w:t>
      </w:r>
      <w:r>
        <w:br/>
        <w:t>par ex. mortier bâtard G300, PL 200 = 300 kg chaux grasse et 200 kg de plâtre par m2 de sable.</w:t>
      </w:r>
      <w:r>
        <w:br/>
        <w:t>Liant :</w:t>
      </w:r>
      <w:r>
        <w:br/>
        <w:t>Adjuvants :</w:t>
      </w:r>
      <w:r>
        <w:br/>
        <w:t xml:space="preserve">Adjuvants légers : </w:t>
      </w:r>
      <w:r>
        <w:rPr>
          <w:rStyle w:val="optioncarChar"/>
        </w:rPr>
        <w:t>perlite </w:t>
      </w:r>
      <w:r>
        <w:t>(par défaut)</w:t>
      </w:r>
      <w:r>
        <w:rPr>
          <w:rStyle w:val="optioncarChar"/>
        </w:rPr>
        <w:t xml:space="preserve"> / vermiculite / liège / Granulés XPS / fibres en matière synthétique / ***</w:t>
      </w:r>
      <w:r>
        <w:br/>
        <w:t>Eventuels colorants :</w:t>
      </w:r>
      <w:r>
        <w:br/>
        <w:t xml:space="preserve">Exigences particulières : </w:t>
      </w:r>
    </w:p>
    <w:p w14:paraId="2F42608F" w14:textId="77777777" w:rsidR="004B2808" w:rsidRDefault="00000000">
      <w:pPr>
        <w:pStyle w:val="Author-eListParagraph"/>
        <w:numPr>
          <w:ilvl w:val="0"/>
          <w:numId w:val="682"/>
        </w:numPr>
      </w:pPr>
      <w:r>
        <w:t xml:space="preserve">granulométrie </w:t>
      </w:r>
      <w:r>
        <w:rPr>
          <w:rStyle w:val="optioncarChar"/>
        </w:rPr>
        <w:t xml:space="preserve">*** </w:t>
      </w:r>
    </w:p>
    <w:p w14:paraId="207F2B50" w14:textId="77777777" w:rsidR="004B2808" w:rsidRDefault="00000000">
      <w:pPr>
        <w:pStyle w:val="Author-eListParagraph"/>
        <w:numPr>
          <w:ilvl w:val="0"/>
          <w:numId w:val="682"/>
        </w:numPr>
      </w:pPr>
      <w:r>
        <w:t xml:space="preserve">résistance à la flexion </w:t>
      </w:r>
      <w:r>
        <w:rPr>
          <w:rStyle w:val="optioncarChar"/>
        </w:rPr>
        <w:t xml:space="preserve">*** </w:t>
      </w:r>
    </w:p>
    <w:p w14:paraId="49AD5BFA" w14:textId="77777777" w:rsidR="004B2808" w:rsidRDefault="00000000">
      <w:pPr>
        <w:pStyle w:val="Author-eListParagraph"/>
        <w:numPr>
          <w:ilvl w:val="0"/>
          <w:numId w:val="682"/>
        </w:numPr>
      </w:pPr>
      <w:r>
        <w:t xml:space="preserve">résistance à la compression </w:t>
      </w:r>
      <w:r>
        <w:rPr>
          <w:rStyle w:val="optioncarChar"/>
        </w:rPr>
        <w:t>***</w:t>
      </w:r>
    </w:p>
    <w:p w14:paraId="1AAE5D57" w14:textId="77777777" w:rsidR="004B2808" w:rsidRDefault="00000000">
      <w:pPr>
        <w:pStyle w:val="Author-eListParagraph"/>
        <w:numPr>
          <w:ilvl w:val="0"/>
          <w:numId w:val="682"/>
        </w:numPr>
      </w:pPr>
      <w:r>
        <w:t xml:space="preserve">masse volumique </w:t>
      </w:r>
      <w:r>
        <w:rPr>
          <w:rStyle w:val="optioncarChar"/>
        </w:rPr>
        <w:t>***</w:t>
      </w:r>
    </w:p>
    <w:p w14:paraId="2E3F8C14" w14:textId="77777777" w:rsidR="004B2808" w:rsidRDefault="00000000">
      <w:pPr>
        <w:pStyle w:val="Author-eListParagraph"/>
        <w:numPr>
          <w:ilvl w:val="0"/>
          <w:numId w:val="682"/>
        </w:numPr>
      </w:pPr>
      <w:r>
        <w:t xml:space="preserve">coefficient de résistance à la vapeur d'eau </w:t>
      </w:r>
      <w:r>
        <w:rPr>
          <w:rStyle w:val="optioncarChar"/>
        </w:rPr>
        <w:t>***</w:t>
      </w:r>
    </w:p>
    <w:p w14:paraId="56ED9AF4" w14:textId="77777777" w:rsidR="004B2808" w:rsidRDefault="00000000">
      <w:pPr>
        <w:pStyle w:val="Author-eSectionHeading6Numberless"/>
      </w:pPr>
      <w:bookmarkStart w:id="878" w:name="_Toc220491016"/>
      <w:r>
        <w:t>54.14.2e Enduits sur plaques de plâtre enrobées d'un carton, en 2 couches (15mm&lt;ép&lt;25mm) CCTB 01.11</w:t>
      </w:r>
      <w:bookmarkEnd w:id="878"/>
    </w:p>
    <w:p w14:paraId="745E6B9D" w14:textId="77777777" w:rsidR="004B2808" w:rsidRDefault="00000000">
      <w:pPr>
        <w:pStyle w:val="pheading"/>
      </w:pPr>
      <w:r>
        <w:t>DESCRIPTION</w:t>
      </w:r>
    </w:p>
    <w:p w14:paraId="6553523B" w14:textId="77777777" w:rsidR="004B2808" w:rsidRDefault="00000000">
      <w:pPr>
        <w:pStyle w:val="pheading"/>
      </w:pPr>
      <w:r>
        <w:t>- Définition / Comprend</w:t>
      </w:r>
    </w:p>
    <w:p w14:paraId="4886865D" w14:textId="77777777" w:rsidR="004B2808" w:rsidRDefault="00000000">
      <w:r>
        <w:t>Il s'agit d'un enduit supplémentaire sur les plafonds préfabriqués revêtus de plaques de plâtre enrobées de carton.</w:t>
      </w:r>
    </w:p>
    <w:p w14:paraId="6BDD6AF5" w14:textId="77777777" w:rsidR="004B2808" w:rsidRDefault="00000000">
      <w:pPr>
        <w:pStyle w:val="pheading"/>
      </w:pPr>
      <w:r>
        <w:t>MATÉRIAUX</w:t>
      </w:r>
    </w:p>
    <w:p w14:paraId="285D3CA8" w14:textId="77777777" w:rsidR="004B2808" w:rsidRDefault="00000000">
      <w:pPr>
        <w:pStyle w:val="pheading"/>
      </w:pPr>
      <w:r>
        <w:lastRenderedPageBreak/>
        <w:t>- Caractéristiques générales</w:t>
      </w:r>
    </w:p>
    <w:p w14:paraId="1BECB20E" w14:textId="77777777" w:rsidR="004B2808" w:rsidRDefault="00000000">
      <w:r>
        <w:t>Les plaques de plâtre enrobées de carton ont été spécialement fabriquées en vue de servir de support au plafonnage.  Le mortier utilisé est spécialement étudié pour le domaine d'application en question; il assure une bonne adhérence au support et offre suffisamment de garanties de durabilité.  L'enduit est conforme aux prescriptions de la [NIT 284].</w:t>
      </w:r>
    </w:p>
    <w:p w14:paraId="62777F54" w14:textId="77777777" w:rsidR="004B2808" w:rsidRDefault="00000000">
      <w:pPr>
        <w:pStyle w:val="pheading"/>
      </w:pPr>
      <w:r>
        <w:t>EXÉCUTION / MISE EN ŒUVRE</w:t>
      </w:r>
    </w:p>
    <w:p w14:paraId="1D5C94DB" w14:textId="77777777" w:rsidR="004B2808" w:rsidRDefault="00000000">
      <w:pPr>
        <w:pStyle w:val="pheading"/>
      </w:pPr>
      <w:r>
        <w:t>- Prescriptions générales</w:t>
      </w:r>
    </w:p>
    <w:p w14:paraId="03C75926" w14:textId="77777777" w:rsidR="004B2808" w:rsidRDefault="00000000">
      <w:pPr>
        <w:pStyle w:val="Author-eListParagraph"/>
        <w:numPr>
          <w:ilvl w:val="0"/>
          <w:numId w:val="683"/>
        </w:numPr>
      </w:pPr>
      <w:r>
        <w:t>La mise en œuvre est conforme aux prescriptions de la [NIT 284].</w:t>
      </w:r>
    </w:p>
    <w:p w14:paraId="11B3B424" w14:textId="77777777" w:rsidR="004B2808" w:rsidRDefault="00000000">
      <w:pPr>
        <w:pStyle w:val="Author-eListParagraph"/>
        <w:numPr>
          <w:ilvl w:val="0"/>
          <w:numId w:val="683"/>
        </w:numPr>
      </w:pPr>
      <w:r>
        <w:t>Les plaques de plâtre enrobées de carton sont vissées en alternance sur les lattes de support, conformément aux directives du fabricant. Les bords de tête sont parfaitement jointifs et s'appuient toujours sur une latte. Les côtés longitudinaux sont posés à joints ouverts afin de permettre au mortier d'enduit de pénétrer entre les plaques.</w:t>
      </w:r>
    </w:p>
    <w:p w14:paraId="3612786F" w14:textId="77777777" w:rsidR="004B2808" w:rsidRDefault="00000000">
      <w:pPr>
        <w:pStyle w:val="Author-eListParagraph"/>
        <w:numPr>
          <w:ilvl w:val="0"/>
          <w:numId w:val="683"/>
        </w:numPr>
      </w:pPr>
      <w:r>
        <w:t>L'enduit est appliqué immédiatement après la fixation des plaques afin d'éviter leur flambement en raison de l'humidité contenue dans l'air. Afin d'obtenir une épaisseur uniforme, on peut utiliser des profils de guidage.</w:t>
      </w:r>
    </w:p>
    <w:p w14:paraId="7DA30C5E" w14:textId="77777777" w:rsidR="004B2808" w:rsidRDefault="00000000">
      <w:pPr>
        <w:pStyle w:val="Author-eListParagraph"/>
        <w:numPr>
          <w:ilvl w:val="0"/>
          <w:numId w:val="683"/>
        </w:numPr>
      </w:pPr>
      <w:r>
        <w:t>Avant d'appliquer le plafonnage, les joints des surfaces à enduire doivent être consolidés à l'aide de bandes d'armatures synthétiques en fibres de verre ou en voile de Nylon, d'une largeur de 10 cm , qui sont collées sur les plaques et noyées dans l'enduit. Afin d'obtenir une épaisseur uniforme, on peut utiliser des profils de guidage.</w:t>
      </w:r>
    </w:p>
    <w:p w14:paraId="731E6E60" w14:textId="77777777" w:rsidR="004B2808" w:rsidRDefault="00000000">
      <w:pPr>
        <w:pStyle w:val="heading"/>
      </w:pPr>
      <w:r>
        <w:t>Spécifications</w:t>
      </w:r>
    </w:p>
    <w:p w14:paraId="717D5F5E" w14:textId="77777777" w:rsidR="004B2808" w:rsidRDefault="00000000">
      <w:pPr>
        <w:pStyle w:val="Author-eListParagraph"/>
        <w:numPr>
          <w:ilvl w:val="0"/>
          <w:numId w:val="684"/>
        </w:numPr>
      </w:pPr>
      <w:r>
        <w:t xml:space="preserve">Mode d'exécution : en </w:t>
      </w:r>
      <w:r>
        <w:rPr>
          <w:rStyle w:val="optioncarChar"/>
        </w:rPr>
        <w:t>deux</w:t>
      </w:r>
      <w:r>
        <w:t> (par défaut)</w:t>
      </w:r>
      <w:r>
        <w:rPr>
          <w:rStyle w:val="optioncarChar"/>
        </w:rPr>
        <w:t> / *** </w:t>
      </w:r>
      <w:r>
        <w:t>couches </w:t>
      </w:r>
    </w:p>
    <w:p w14:paraId="71C09B25" w14:textId="77777777" w:rsidR="004B2808" w:rsidRDefault="00000000">
      <w:pPr>
        <w:pStyle w:val="Author-eListParagraph"/>
        <w:numPr>
          <w:ilvl w:val="0"/>
          <w:numId w:val="684"/>
        </w:numPr>
      </w:pPr>
      <w:r>
        <w:t xml:space="preserve">Epaisseur totale moyenne : </w:t>
      </w:r>
      <w:r>
        <w:rPr>
          <w:rStyle w:val="optioncarChar"/>
        </w:rPr>
        <w:t>5</w:t>
      </w:r>
      <w:r>
        <w:t xml:space="preserve"> (par défaut) </w:t>
      </w:r>
      <w:r>
        <w:rPr>
          <w:rStyle w:val="optioncarChar"/>
        </w:rPr>
        <w:t>/ 10</w:t>
      </w:r>
      <w:r>
        <w:t>  mm.</w:t>
      </w:r>
    </w:p>
    <w:p w14:paraId="050CE058" w14:textId="77777777" w:rsidR="004B2808" w:rsidRDefault="00000000">
      <w:pPr>
        <w:pStyle w:val="Author-eListParagraph"/>
        <w:numPr>
          <w:ilvl w:val="0"/>
          <w:numId w:val="684"/>
        </w:numPr>
      </w:pPr>
      <w:r>
        <w:t xml:space="preserve">Parachèvement de la couche de finition : </w:t>
      </w:r>
      <w:r>
        <w:rPr>
          <w:rStyle w:val="optioncarChar"/>
        </w:rPr>
        <w:t>*** / lisse </w:t>
      </w:r>
      <w:r>
        <w:t>.</w:t>
      </w:r>
    </w:p>
    <w:p w14:paraId="5A0733DC" w14:textId="77777777" w:rsidR="004B2808" w:rsidRDefault="00000000">
      <w:pPr>
        <w:pStyle w:val="Author-eListParagraph"/>
        <w:numPr>
          <w:ilvl w:val="0"/>
          <w:numId w:val="684"/>
        </w:numPr>
      </w:pPr>
      <w:r>
        <w:t xml:space="preserve">Degré de finition requis : </w:t>
      </w:r>
      <w:r>
        <w:rPr>
          <w:rStyle w:val="optioncarChar"/>
        </w:rPr>
        <w:t>normal </w:t>
      </w:r>
      <w:r>
        <w:t>(par défaut)</w:t>
      </w:r>
      <w:r>
        <w:rPr>
          <w:rStyle w:val="optioncarChar"/>
        </w:rPr>
        <w:t xml:space="preserve"> / spécial / ***</w:t>
      </w:r>
    </w:p>
    <w:p w14:paraId="615D58FC" w14:textId="77777777" w:rsidR="004B2808" w:rsidRDefault="00000000">
      <w:pPr>
        <w:pStyle w:val="Author-eListParagraph"/>
        <w:numPr>
          <w:ilvl w:val="0"/>
          <w:numId w:val="684"/>
        </w:numPr>
      </w:pPr>
      <w:r>
        <w:t xml:space="preserve">Réaction au feu  de l’enduit en prenant en compte l’influence du support (couche(s) sous-jacente(s)) : classe </w:t>
      </w:r>
      <w:r>
        <w:rPr>
          <w:rStyle w:val="optioncarChar"/>
        </w:rPr>
        <w:t>A1</w:t>
      </w:r>
      <w:r>
        <w:t> (par défaut)</w:t>
      </w:r>
      <w:r>
        <w:rPr>
          <w:rStyle w:val="optioncarChar"/>
        </w:rPr>
        <w:t xml:space="preserve"> / A2 / B / C / D / E / F / ***</w:t>
      </w:r>
      <w:r>
        <w:t xml:space="preserve"> selon la [NBN EN 13501-1].</w:t>
      </w:r>
    </w:p>
    <w:p w14:paraId="552BA21F" w14:textId="77777777" w:rsidR="004B2808" w:rsidRDefault="00000000">
      <w:pPr>
        <w:pStyle w:val="Author-eListParagraph"/>
        <w:numPr>
          <w:ilvl w:val="0"/>
          <w:numId w:val="684"/>
        </w:numPr>
      </w:pPr>
      <w:r>
        <w:t>Classes additionnelles :</w:t>
      </w:r>
    </w:p>
    <w:p w14:paraId="05F772A8" w14:textId="77777777" w:rsidR="004B2808" w:rsidRDefault="00000000">
      <w:pPr>
        <w:pStyle w:val="Author-eListParagraph"/>
        <w:numPr>
          <w:ilvl w:val="0"/>
          <w:numId w:val="684"/>
        </w:numPr>
      </w:pPr>
      <w:r>
        <w:t>Production de fumée : exigence : </w:t>
      </w:r>
      <w:r>
        <w:rPr>
          <w:rStyle w:val="optioncarChar"/>
        </w:rPr>
        <w:t>s1 </w:t>
      </w:r>
      <w:r>
        <w:t>(par défaut)</w:t>
      </w:r>
      <w:r>
        <w:rPr>
          <w:rStyle w:val="optioncarChar"/>
        </w:rPr>
        <w:t xml:space="preserve"> / s2 / s3 / ***</w:t>
      </w:r>
      <w:r>
        <w:t xml:space="preserve"> .</w:t>
      </w:r>
    </w:p>
    <w:p w14:paraId="00F64005" w14:textId="77777777" w:rsidR="004B2808" w:rsidRDefault="00000000">
      <w:pPr>
        <w:pStyle w:val="Author-eListParagraph"/>
        <w:numPr>
          <w:ilvl w:val="0"/>
          <w:numId w:val="684"/>
        </w:numPr>
      </w:pPr>
      <w:r>
        <w:t xml:space="preserve">Gouttelettes et particules en feu :  </w:t>
      </w:r>
      <w:r>
        <w:rPr>
          <w:rStyle w:val="optioncarChar"/>
        </w:rPr>
        <w:t>d0 </w:t>
      </w:r>
      <w:r>
        <w:t>(par défaut)</w:t>
      </w:r>
      <w:r>
        <w:rPr>
          <w:rStyle w:val="optioncarChar"/>
        </w:rPr>
        <w:t xml:space="preserve"> / d1 / d2 / ***</w:t>
      </w:r>
      <w:r>
        <w:t>.</w:t>
      </w:r>
    </w:p>
    <w:p w14:paraId="0202C102" w14:textId="77777777" w:rsidR="004B2808" w:rsidRDefault="00000000">
      <w:pPr>
        <w:pStyle w:val="pheading"/>
      </w:pPr>
      <w:r>
        <w:t>MESURAGE</w:t>
      </w:r>
    </w:p>
    <w:p w14:paraId="3EB31E41" w14:textId="77777777" w:rsidR="004B2808" w:rsidRDefault="00000000">
      <w:r>
        <w:t>Conformément aux indications spécifiques dans le cahier spécial des charges et/ou le métré récapitulatif, le mesurage doit être conçu comme suit :</w:t>
      </w:r>
    </w:p>
    <w:p w14:paraId="789C6F3F" w14:textId="77777777" w:rsidR="004B2808" w:rsidRDefault="00000000">
      <w:pPr>
        <w:pStyle w:val="pheading"/>
      </w:pPr>
      <w:r>
        <w:t>- unité de mesure:</w:t>
      </w:r>
    </w:p>
    <w:p w14:paraId="2464CE5B" w14:textId="77777777" w:rsidR="004B2808" w:rsidRDefault="00000000">
      <w:r>
        <w:t>m²</w:t>
      </w:r>
    </w:p>
    <w:p w14:paraId="4A4D464F" w14:textId="77777777" w:rsidR="004B2808" w:rsidRDefault="00000000">
      <w:pPr>
        <w:pStyle w:val="pheading"/>
      </w:pPr>
      <w:r>
        <w:t>- code de mesurage:</w:t>
      </w:r>
    </w:p>
    <w:p w14:paraId="118F28F5" w14:textId="77777777" w:rsidR="004B2808" w:rsidRDefault="00000000">
      <w:r>
        <w:t>Choix opéré :</w:t>
      </w:r>
      <w:r>
        <w:rPr>
          <w:rStyle w:val="optioncarChar"/>
          <w:b/>
        </w:rPr>
        <w:t xml:space="preserve">*** / OPTION 1 </w:t>
      </w:r>
      <w:r>
        <w:rPr>
          <w:b/>
        </w:rPr>
        <w:t>(par défaut)</w:t>
      </w:r>
      <w:r>
        <w:rPr>
          <w:rStyle w:val="optioncarChar"/>
          <w:b/>
        </w:rPr>
        <w:t xml:space="preserve"> / OPTION 2</w:t>
      </w:r>
    </w:p>
    <w:p w14:paraId="3C22F3D4" w14:textId="77777777" w:rsidR="004B2808" w:rsidRDefault="00000000">
      <w:r>
        <w:rPr>
          <w:b/>
        </w:rPr>
        <w:t>***OPTION 1</w:t>
      </w:r>
      <w:r>
        <w:t xml:space="preserve"> (par défaut) : 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sont habillées de panneaux). Les travaux de plafonnage ne font pas l'objet de décomptes.</w:t>
      </w:r>
      <w:r>
        <w:br/>
      </w:r>
      <w:r>
        <w:rPr>
          <w:b/>
        </w:rPr>
        <w:t>***OPTION 2</w:t>
      </w:r>
      <w:r>
        <w:t xml:space="preserve"> : surface nette, les réservations supérieures à 0,5 m² sont déduites. Les travaux de plafonnage ne font pas l'objet de décomptes.</w:t>
      </w:r>
    </w:p>
    <w:p w14:paraId="23F0E808" w14:textId="77777777" w:rsidR="004B2808" w:rsidRDefault="00000000">
      <w:pPr>
        <w:pStyle w:val="pheading"/>
      </w:pPr>
      <w:r>
        <w:t>- nature du marché:</w:t>
      </w:r>
    </w:p>
    <w:p w14:paraId="6C02307A" w14:textId="77777777" w:rsidR="004B2808" w:rsidRDefault="00000000">
      <w:r>
        <w:t>QF</w:t>
      </w:r>
    </w:p>
    <w:p w14:paraId="2B0AB3A7" w14:textId="77777777" w:rsidR="004B2808" w:rsidRDefault="00000000">
      <w:pPr>
        <w:pStyle w:val="Author-eSectionHeading5Numberless"/>
      </w:pPr>
      <w:bookmarkStart w:id="879" w:name="_Toc220491017"/>
      <w:r>
        <w:t>54.14.3 Enduits pelliculaires CCTB 01.02</w:t>
      </w:r>
      <w:bookmarkEnd w:id="879"/>
    </w:p>
    <w:p w14:paraId="549AE6E8" w14:textId="77777777" w:rsidR="004B2808" w:rsidRDefault="00000000">
      <w:pPr>
        <w:pStyle w:val="Author-eSectionHeading6Numberless"/>
      </w:pPr>
      <w:bookmarkStart w:id="880" w:name="_Toc220491018"/>
      <w:r>
        <w:lastRenderedPageBreak/>
        <w:t>54.14.3a Enduits pelliculaires traditionnels CCTB 01.02</w:t>
      </w:r>
      <w:bookmarkEnd w:id="880"/>
    </w:p>
    <w:p w14:paraId="559938EF" w14:textId="77777777" w:rsidR="004B2808" w:rsidRDefault="00000000">
      <w:pPr>
        <w:pStyle w:val="Author-eSectionHeading6Numberless"/>
      </w:pPr>
      <w:bookmarkStart w:id="881" w:name="_Toc220491019"/>
      <w:r>
        <w:t>54.14.3b Enduits pelliculaires prédosés à sec CCTB 01.12</w:t>
      </w:r>
      <w:bookmarkEnd w:id="881"/>
    </w:p>
    <w:p w14:paraId="7229FCD1" w14:textId="77777777" w:rsidR="004B2808" w:rsidRDefault="00000000">
      <w:pPr>
        <w:pStyle w:val="pheading"/>
      </w:pPr>
      <w:r>
        <w:t>MATÉRIAUX</w:t>
      </w:r>
    </w:p>
    <w:p w14:paraId="4FD4CF84" w14:textId="77777777" w:rsidR="004B2808" w:rsidRDefault="00000000">
      <w:pPr>
        <w:pStyle w:val="pheading"/>
      </w:pPr>
      <w:r>
        <w:t>- Caractéristiques générales</w:t>
      </w:r>
    </w:p>
    <w:p w14:paraId="3229E2E1" w14:textId="77777777" w:rsidR="004B2808" w:rsidRDefault="00000000">
      <w:r>
        <w:t>Il s'agit d'une mince couche d'enduit décoratif à appliquer au pistolet sur les plafonds constitués de pré-dalles. On utilise un enduit à base de plâtre, qu'on a approprié au support en y ajoutant les adjuvants spécifiques en fonction du type d'application; cet enduit a un pouvoir d'adhérence élevé et une grande durabilité.</w:t>
      </w:r>
    </w:p>
    <w:p w14:paraId="0BF1A91C" w14:textId="77777777" w:rsidR="004B2808" w:rsidRDefault="00000000">
      <w:pPr>
        <w:pStyle w:val="heading"/>
      </w:pPr>
      <w:r>
        <w:t>Spécifications</w:t>
      </w:r>
    </w:p>
    <w:p w14:paraId="50F142B4" w14:textId="77777777" w:rsidR="004B2808" w:rsidRDefault="00000000">
      <w:pPr>
        <w:pStyle w:val="Author-eListParagraph"/>
        <w:numPr>
          <w:ilvl w:val="0"/>
          <w:numId w:val="685"/>
        </w:numPr>
      </w:pPr>
      <w:r>
        <w:t xml:space="preserve">Mode d'exécution : en </w:t>
      </w:r>
      <w:r>
        <w:rPr>
          <w:rStyle w:val="optioncarChar"/>
        </w:rPr>
        <w:t>une seule</w:t>
      </w:r>
      <w:r>
        <w:t> (par défaut)</w:t>
      </w:r>
      <w:r>
        <w:rPr>
          <w:rStyle w:val="optioncarChar"/>
        </w:rPr>
        <w:t> / *** </w:t>
      </w:r>
      <w:r>
        <w:t>couche </w:t>
      </w:r>
    </w:p>
    <w:p w14:paraId="5298E1AF" w14:textId="77777777" w:rsidR="004B2808" w:rsidRDefault="00000000">
      <w:pPr>
        <w:pStyle w:val="Author-eListParagraph"/>
        <w:numPr>
          <w:ilvl w:val="0"/>
          <w:numId w:val="685"/>
        </w:numPr>
      </w:pPr>
      <w:r>
        <w:t xml:space="preserve">Epaisseur totale moyenne : </w:t>
      </w:r>
      <w:r>
        <w:rPr>
          <w:rStyle w:val="optioncarChar"/>
        </w:rPr>
        <w:t>3</w:t>
      </w:r>
      <w:r>
        <w:t> (par défaut)</w:t>
      </w:r>
      <w:r>
        <w:rPr>
          <w:rStyle w:val="optioncarChar"/>
        </w:rPr>
        <w:t> / ***</w:t>
      </w:r>
      <w:r>
        <w:t> mm</w:t>
      </w:r>
    </w:p>
    <w:p w14:paraId="4E16DECD" w14:textId="77777777" w:rsidR="004B2808" w:rsidRDefault="00000000">
      <w:pPr>
        <w:pStyle w:val="Author-eListParagraph"/>
        <w:numPr>
          <w:ilvl w:val="0"/>
          <w:numId w:val="685"/>
        </w:numPr>
      </w:pPr>
      <w:r>
        <w:t>Selon la [Décision 96/603/CE] du 4 octobre 1996  et les conditions qui y sont reprises, le gypse appartient à la classe de réaction au feu A1. </w:t>
      </w:r>
    </w:p>
    <w:p w14:paraId="5E6E2B59" w14:textId="77777777" w:rsidR="004B2808" w:rsidRDefault="00000000">
      <w:pPr>
        <w:pStyle w:val="pheading"/>
      </w:pPr>
      <w:r>
        <w:t>- Finitions</w:t>
      </w:r>
    </w:p>
    <w:p w14:paraId="4381DD1C" w14:textId="77777777" w:rsidR="004B2808" w:rsidRDefault="00000000">
      <w:r>
        <w:t xml:space="preserve">Texture de la surface : </w:t>
      </w:r>
      <w:r>
        <w:rPr>
          <w:rStyle w:val="optioncarChar"/>
        </w:rPr>
        <w:t>lisse </w:t>
      </w:r>
      <w:r>
        <w:t>(par défaut)</w:t>
      </w:r>
      <w:r>
        <w:rPr>
          <w:rStyle w:val="optioncarChar"/>
        </w:rPr>
        <w:t xml:space="preserve"> / granuleuse / ***.</w:t>
      </w:r>
    </w:p>
    <w:p w14:paraId="680C4499" w14:textId="77777777" w:rsidR="004B2808" w:rsidRDefault="00000000">
      <w:pPr>
        <w:pStyle w:val="pheading"/>
      </w:pPr>
      <w:r>
        <w:t>- Prescriptions complémentaires</w:t>
      </w:r>
    </w:p>
    <w:p w14:paraId="39B0A216" w14:textId="77777777" w:rsidR="004B2808" w:rsidRDefault="00000000">
      <w:r>
        <w:t xml:space="preserve">Couche de finition : peinture acrylique de qualité appliquée en une seule couche, coloris : </w:t>
      </w:r>
      <w:r>
        <w:rPr>
          <w:rStyle w:val="optioncarChar"/>
        </w:rPr>
        <w:t>blanc</w:t>
      </w:r>
      <w:r>
        <w:t> (par défaut)</w:t>
      </w:r>
      <w:r>
        <w:rPr>
          <w:rStyle w:val="optioncarChar"/>
        </w:rPr>
        <w:t xml:space="preserve"> / ***</w:t>
      </w:r>
    </w:p>
    <w:p w14:paraId="4846ED2D" w14:textId="77777777" w:rsidR="004B2808" w:rsidRDefault="00000000">
      <w:pPr>
        <w:pStyle w:val="pheading"/>
      </w:pPr>
      <w:r>
        <w:t>EXÉCUTION / MISE EN ŒUVRE</w:t>
      </w:r>
    </w:p>
    <w:p w14:paraId="6405A040" w14:textId="77777777" w:rsidR="004B2808" w:rsidRDefault="00000000">
      <w:pPr>
        <w:pStyle w:val="pheading"/>
      </w:pPr>
      <w:r>
        <w:t>- Prescriptions générales</w:t>
      </w:r>
    </w:p>
    <w:p w14:paraId="46E1AD56" w14:textId="77777777" w:rsidR="004B2808" w:rsidRDefault="00000000">
      <w:r>
        <w:t xml:space="preserve">La préparation du support, le mélange du mortier et l'exécution du plafonnage sont effectués conformément à l'article </w:t>
      </w:r>
      <w:hyperlink w:anchor="1164" w:history="1">
        <w:r w:rsidR="004B2808">
          <w:rPr>
            <w:color w:val="0000EE"/>
          </w:rPr>
          <w:t>51.5 Revêtements intérieurs enduits</w:t>
        </w:r>
      </w:hyperlink>
      <w:r>
        <w:t>  Revêtements enduits de parois verticales intérieures.</w:t>
      </w:r>
    </w:p>
    <w:p w14:paraId="5AC3A045" w14:textId="77777777" w:rsidR="004B2808" w:rsidRDefault="00000000">
      <w:pPr>
        <w:pStyle w:val="pheading"/>
      </w:pPr>
      <w:r>
        <w:t>- Notes d’exécution complémentaires</w:t>
      </w:r>
    </w:p>
    <w:p w14:paraId="1DE863B7" w14:textId="77777777" w:rsidR="004B2808" w:rsidRDefault="00000000">
      <w:r>
        <w:t>Sur les supports lisses, il est nécessaire d'appliquer d'abord une couche d'adhérence.</w:t>
      </w:r>
      <w:r>
        <w:br/>
        <w:t>Au droit des joints entre les pré-dalles, on prévoit la pose d'une armature en voile de fibres de verre (min. 100g/m2) d'une largeur de 20 cm .</w:t>
      </w:r>
    </w:p>
    <w:p w14:paraId="7746257D" w14:textId="77777777" w:rsidR="004B2808" w:rsidRDefault="00000000">
      <w:pPr>
        <w:pStyle w:val="pheading"/>
      </w:pPr>
      <w:r>
        <w:t>MESURAGE</w:t>
      </w:r>
    </w:p>
    <w:p w14:paraId="59192D96" w14:textId="77777777" w:rsidR="004B2808" w:rsidRDefault="00000000">
      <w:r>
        <w:t>Conformément aux indications spécifiques dans le cahier spécial des charges et/ou le métré récapitulatif, le mesurage doit être conçu comme suit :</w:t>
      </w:r>
    </w:p>
    <w:p w14:paraId="35F6B307" w14:textId="77777777" w:rsidR="004B2808" w:rsidRDefault="00000000">
      <w:pPr>
        <w:pStyle w:val="pheading"/>
      </w:pPr>
      <w:r>
        <w:t>- unité de mesure:</w:t>
      </w:r>
    </w:p>
    <w:p w14:paraId="543EDDB9" w14:textId="77777777" w:rsidR="004B2808" w:rsidRDefault="00000000">
      <w:r>
        <w:t>m²</w:t>
      </w:r>
    </w:p>
    <w:p w14:paraId="0ACCD54E" w14:textId="77777777" w:rsidR="004B2808" w:rsidRDefault="00000000">
      <w:pPr>
        <w:pStyle w:val="pheading"/>
      </w:pPr>
      <w:r>
        <w:t>- code de mesurage:</w:t>
      </w:r>
    </w:p>
    <w:p w14:paraId="6F1FD5AB" w14:textId="77777777" w:rsidR="004B2808" w:rsidRDefault="00000000">
      <w:r>
        <w:t>Choix opéré :</w:t>
      </w:r>
      <w:r>
        <w:rPr>
          <w:rStyle w:val="optioncarChar"/>
          <w:b/>
        </w:rPr>
        <w:t xml:space="preserve">*** / OPTION 1 </w:t>
      </w:r>
      <w:r>
        <w:rPr>
          <w:b/>
        </w:rPr>
        <w:t>(par défaut)</w:t>
      </w:r>
      <w:r>
        <w:rPr>
          <w:rStyle w:val="optioncarChar"/>
          <w:b/>
        </w:rPr>
        <w:t xml:space="preserve"> / OPTION 2</w:t>
      </w:r>
    </w:p>
    <w:p w14:paraId="3354F423" w14:textId="77777777" w:rsidR="004B2808" w:rsidRDefault="00000000">
      <w:r>
        <w:rPr>
          <w:b/>
        </w:rPr>
        <w:t>***OPTION 1</w:t>
      </w:r>
      <w:r>
        <w:t xml:space="preserve"> (par défaut) : 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sont habillées de panneaux). Les travaux de plafonnage ne font pas l'objet de décomptes.</w:t>
      </w:r>
      <w:r>
        <w:br/>
      </w:r>
      <w:r>
        <w:rPr>
          <w:b/>
        </w:rPr>
        <w:t>***OPTION 2</w:t>
      </w:r>
      <w:r>
        <w:t xml:space="preserve"> : surface nette, les réservations supérieures à 0,5 m² sont déduites. Les travaux de plafonnage ne font pas l'objet de décomptes.</w:t>
      </w:r>
    </w:p>
    <w:p w14:paraId="5D26B5A9" w14:textId="77777777" w:rsidR="004B2808" w:rsidRDefault="00000000">
      <w:pPr>
        <w:pStyle w:val="pheading"/>
      </w:pPr>
      <w:r>
        <w:t>- nature du marché:</w:t>
      </w:r>
    </w:p>
    <w:p w14:paraId="3113F128" w14:textId="77777777" w:rsidR="004B2808" w:rsidRDefault="00000000">
      <w:r>
        <w:t>QF</w:t>
      </w:r>
    </w:p>
    <w:p w14:paraId="6517606C" w14:textId="77777777" w:rsidR="004B2808" w:rsidRDefault="00000000">
      <w:pPr>
        <w:pStyle w:val="Author-eSectionHeading4Numberless"/>
      </w:pPr>
      <w:bookmarkStart w:id="882" w:name="_Toc220491020"/>
      <w:r>
        <w:lastRenderedPageBreak/>
        <w:t>54.15 Enduits au ciment et/ou à la chaux CCTB 01.12</w:t>
      </w:r>
      <w:bookmarkEnd w:id="882"/>
    </w:p>
    <w:p w14:paraId="4CDB07B8" w14:textId="77777777" w:rsidR="004B2808" w:rsidRDefault="00000000">
      <w:pPr>
        <w:pStyle w:val="pheading"/>
      </w:pPr>
      <w:bookmarkStart w:id="883" w:name="500"/>
      <w:bookmarkEnd w:id="883"/>
      <w:r>
        <w:t>DESCRIPTION</w:t>
      </w:r>
    </w:p>
    <w:p w14:paraId="09C3FAAF" w14:textId="77777777" w:rsidR="004B2808" w:rsidRDefault="00000000">
      <w:pPr>
        <w:pStyle w:val="pheading"/>
      </w:pPr>
      <w:r>
        <w:t>- Définition / Comprend</w:t>
      </w:r>
    </w:p>
    <w:p w14:paraId="3E74C113" w14:textId="77777777" w:rsidR="004B2808" w:rsidRDefault="00000000">
      <w:pPr>
        <w:jc w:val="both"/>
      </w:pPr>
      <w:r>
        <w:t xml:space="preserve">La portée des travaux est décrite au </w:t>
      </w:r>
      <w:hyperlink w:anchor="1290" w:history="1">
        <w:r w:rsidR="004B2808">
          <w:rPr>
            <w:color w:val="0000EE"/>
          </w:rPr>
          <w:t>54.1 Revêtements de plafonds enduits</w:t>
        </w:r>
      </w:hyperlink>
      <w:r>
        <w:t>.</w:t>
      </w:r>
    </w:p>
    <w:p w14:paraId="201FC3E8" w14:textId="77777777" w:rsidR="004B2808" w:rsidRDefault="00000000">
      <w:pPr>
        <w:jc w:val="both"/>
      </w:pPr>
      <w:r>
        <w:t>En particulier, est comprise et comptée dans le présent travail la préparation ‘normale’ du support qui entre dans le cadre normal des travaux, à savoir, notamment :</w:t>
      </w:r>
    </w:p>
    <w:p w14:paraId="7DAB5220" w14:textId="77777777" w:rsidR="004B2808" w:rsidRDefault="00000000">
      <w:pPr>
        <w:pStyle w:val="Author-eListParagraph"/>
        <w:numPr>
          <w:ilvl w:val="0"/>
          <w:numId w:val="686"/>
        </w:numPr>
      </w:pPr>
      <w:r>
        <w:t>le brossage et dépoussiérage (efflorescences par exemple) ;</w:t>
      </w:r>
    </w:p>
    <w:p w14:paraId="307A9454" w14:textId="77777777" w:rsidR="004B2808" w:rsidRDefault="00000000">
      <w:pPr>
        <w:pStyle w:val="Author-eListParagraph"/>
        <w:numPr>
          <w:ilvl w:val="0"/>
          <w:numId w:val="686"/>
        </w:numPr>
      </w:pPr>
      <w:r>
        <w:t xml:space="preserve">la fourniture et application d’un produit de prétraitement si le support le requiert (voir </w:t>
      </w:r>
      <w:hyperlink w:anchor="1292" w:history="1">
        <w:r w:rsidR="004B2808">
          <w:rPr>
            <w:color w:val="0000EE"/>
          </w:rPr>
          <w:t>54.12.2 Préparations du support - prétraitements</w:t>
        </w:r>
      </w:hyperlink>
      <w:r>
        <w:t>) ;</w:t>
      </w:r>
    </w:p>
    <w:p w14:paraId="69993A59" w14:textId="77777777" w:rsidR="004B2808" w:rsidRDefault="00000000">
      <w:pPr>
        <w:pStyle w:val="Author-eListParagraph"/>
        <w:numPr>
          <w:ilvl w:val="0"/>
          <w:numId w:val="686"/>
        </w:numPr>
      </w:pPr>
      <w:r>
        <w:t>la fourniture et pose des profilés et des treillis de renforcement nécessaires ;</w:t>
      </w:r>
    </w:p>
    <w:p w14:paraId="36604E63" w14:textId="77777777" w:rsidR="004B2808" w:rsidRDefault="00000000">
      <w:pPr>
        <w:pStyle w:val="Author-eListParagraph"/>
        <w:numPr>
          <w:ilvl w:val="0"/>
          <w:numId w:val="686"/>
        </w:numPr>
      </w:pPr>
      <w:r>
        <w:t>la fourniture et pose des couches de découplage nécessaires (sur poutrelle métallique, etc. ; voir nit 284</w:t>
      </w:r>
    </w:p>
    <w:p w14:paraId="27ABEE94" w14:textId="77777777" w:rsidR="004B2808" w:rsidRDefault="00000000">
      <w:pPr>
        <w:jc w:val="both"/>
      </w:pPr>
      <w:r>
        <w:t>Ne sont pas compris dans le présent travail notamment les travaux préparatoires du support suivants qui sortent du cadre normal des travaux :</w:t>
      </w:r>
    </w:p>
    <w:p w14:paraId="09EC699A" w14:textId="77777777" w:rsidR="004B2808" w:rsidRDefault="00000000">
      <w:pPr>
        <w:pStyle w:val="Author-eListParagraph"/>
        <w:numPr>
          <w:ilvl w:val="0"/>
          <w:numId w:val="687"/>
        </w:numPr>
        <w:jc w:val="both"/>
      </w:pPr>
      <w:r>
        <w:t>le piquetage, sablage ou grenaillage du support ;</w:t>
      </w:r>
    </w:p>
    <w:p w14:paraId="4D9BF783" w14:textId="77777777" w:rsidR="004B2808" w:rsidRDefault="00000000">
      <w:pPr>
        <w:pStyle w:val="Author-eListParagraph"/>
        <w:numPr>
          <w:ilvl w:val="0"/>
          <w:numId w:val="687"/>
        </w:numPr>
        <w:jc w:val="both"/>
      </w:pPr>
      <w:r>
        <w:t>le décapage des efflorescences ;</w:t>
      </w:r>
    </w:p>
    <w:p w14:paraId="737329C3" w14:textId="77777777" w:rsidR="004B2808" w:rsidRDefault="00000000">
      <w:pPr>
        <w:pStyle w:val="Author-eListParagraph"/>
        <w:numPr>
          <w:ilvl w:val="0"/>
          <w:numId w:val="687"/>
        </w:numPr>
        <w:jc w:val="both"/>
      </w:pPr>
      <w:r>
        <w:t>l’application d’une couche de dressage destinée à corriger les supports hors tolérances ;</w:t>
      </w:r>
    </w:p>
    <w:p w14:paraId="2416217E" w14:textId="77777777" w:rsidR="004B2808" w:rsidRDefault="00000000">
      <w:pPr>
        <w:pStyle w:val="Author-eListParagraph"/>
        <w:numPr>
          <w:ilvl w:val="0"/>
          <w:numId w:val="687"/>
        </w:numPr>
        <w:jc w:val="both"/>
      </w:pPr>
      <w:r>
        <w:t>l’enlèvement ou la neutralisation de produits de décoffrage ou de cure.</w:t>
      </w:r>
    </w:p>
    <w:p w14:paraId="000F97CC" w14:textId="77777777" w:rsidR="004B2808" w:rsidRDefault="00000000">
      <w:pPr>
        <w:pStyle w:val="pheading"/>
      </w:pPr>
      <w:r>
        <w:t>AIDE</w:t>
      </w:r>
    </w:p>
    <w:p w14:paraId="713F2959" w14:textId="77777777" w:rsidR="004B2808" w:rsidRDefault="00000000">
      <w:r>
        <w:t>Le tableau suivant synthétise les types de chaux selon la [NBN EN 459-1].</w:t>
      </w:r>
    </w:p>
    <w:tbl>
      <w:tblPr>
        <w:tblStyle w:val="Author-eTableGrid"/>
        <w:tblW w:w="0" w:type="auto"/>
        <w:tblLayout w:type="fixed"/>
        <w:tblLook w:val="04A0" w:firstRow="1" w:lastRow="0" w:firstColumn="1" w:lastColumn="0" w:noHBand="0" w:noVBand="1"/>
      </w:tblPr>
      <w:tblGrid>
        <w:gridCol w:w="1335"/>
        <w:gridCol w:w="1335"/>
        <w:gridCol w:w="1335"/>
        <w:gridCol w:w="960"/>
        <w:gridCol w:w="1335"/>
        <w:gridCol w:w="1335"/>
        <w:gridCol w:w="1335"/>
      </w:tblGrid>
      <w:tr w:rsidR="004B2808" w14:paraId="456EBE96" w14:textId="77777777">
        <w:tc>
          <w:tcPr>
            <w:tcW w:w="2670" w:type="dxa"/>
            <w:gridSpan w:val="2"/>
            <w:noWrap/>
          </w:tcPr>
          <w:p w14:paraId="1F223D09" w14:textId="77777777" w:rsidR="004B2808" w:rsidRDefault="00000000">
            <w:pPr>
              <w:jc w:val="center"/>
            </w:pPr>
            <w:r>
              <w:rPr>
                <w:b/>
              </w:rPr>
              <w:t>Chaux aérienne (1) (2)</w:t>
            </w:r>
          </w:p>
        </w:tc>
        <w:tc>
          <w:tcPr>
            <w:tcW w:w="6300" w:type="dxa"/>
            <w:gridSpan w:val="5"/>
            <w:noWrap/>
          </w:tcPr>
          <w:p w14:paraId="7F8C5390" w14:textId="77777777" w:rsidR="004B2808" w:rsidRDefault="00000000">
            <w:pPr>
              <w:jc w:val="center"/>
            </w:pPr>
            <w:r>
              <w:rPr>
                <w:b/>
              </w:rPr>
              <w:t>Chaux ayant des propriétés hydrauliques (3)</w:t>
            </w:r>
          </w:p>
        </w:tc>
      </w:tr>
      <w:tr w:rsidR="004B2808" w14:paraId="76590257" w14:textId="77777777">
        <w:tc>
          <w:tcPr>
            <w:tcW w:w="1335" w:type="dxa"/>
            <w:shd w:val="clear" w:color="auto" w:fill="FFFFFF"/>
            <w:noWrap/>
          </w:tcPr>
          <w:p w14:paraId="44926353" w14:textId="77777777" w:rsidR="004B2808" w:rsidRDefault="00000000">
            <w:pPr>
              <w:jc w:val="center"/>
            </w:pPr>
            <w:r>
              <w:rPr>
                <w:shd w:val="clear" w:color="auto" w:fill="FFFFFF"/>
              </w:rPr>
              <w:t>Chaux calcique</w:t>
            </w:r>
          </w:p>
          <w:p w14:paraId="3EF93108" w14:textId="77777777" w:rsidR="004B2808" w:rsidRDefault="00000000">
            <w:pPr>
              <w:jc w:val="center"/>
            </w:pPr>
            <w:r>
              <w:rPr>
                <w:shd w:val="clear" w:color="auto" w:fill="FFFFFF"/>
              </w:rPr>
              <w:t>CL</w:t>
            </w:r>
          </w:p>
        </w:tc>
        <w:tc>
          <w:tcPr>
            <w:tcW w:w="1335" w:type="dxa"/>
            <w:shd w:val="clear" w:color="auto" w:fill="FFFFFF"/>
            <w:noWrap/>
          </w:tcPr>
          <w:p w14:paraId="78DADD7D" w14:textId="77777777" w:rsidR="004B2808" w:rsidRDefault="00000000">
            <w:pPr>
              <w:jc w:val="center"/>
            </w:pPr>
            <w:r>
              <w:rPr>
                <w:shd w:val="clear" w:color="auto" w:fill="FFFFFF"/>
              </w:rPr>
              <w:t>Chaux dolomitique</w:t>
            </w:r>
          </w:p>
          <w:p w14:paraId="7F6FFF97" w14:textId="77777777" w:rsidR="004B2808" w:rsidRDefault="00000000">
            <w:pPr>
              <w:jc w:val="center"/>
            </w:pPr>
            <w:r>
              <w:rPr>
                <w:shd w:val="clear" w:color="auto" w:fill="FFFFFF"/>
              </w:rPr>
              <w:t>DL</w:t>
            </w:r>
          </w:p>
        </w:tc>
        <w:tc>
          <w:tcPr>
            <w:tcW w:w="1335" w:type="dxa"/>
            <w:noWrap/>
          </w:tcPr>
          <w:p w14:paraId="06AD3560" w14:textId="77777777" w:rsidR="004B2808" w:rsidRDefault="00000000">
            <w:pPr>
              <w:jc w:val="center"/>
            </w:pPr>
            <w:r>
              <w:t>Chaux hydraulique naturelle</w:t>
            </w:r>
          </w:p>
          <w:p w14:paraId="3DE55E8B" w14:textId="77777777" w:rsidR="004B2808" w:rsidRDefault="00000000">
            <w:pPr>
              <w:jc w:val="center"/>
            </w:pPr>
            <w:r>
              <w:t>NHL</w:t>
            </w:r>
          </w:p>
        </w:tc>
        <w:tc>
          <w:tcPr>
            <w:tcW w:w="3630" w:type="dxa"/>
            <w:gridSpan w:val="3"/>
            <w:noWrap/>
          </w:tcPr>
          <w:p w14:paraId="2368DCF4" w14:textId="77777777" w:rsidR="004B2808" w:rsidRDefault="00000000">
            <w:pPr>
              <w:jc w:val="center"/>
            </w:pPr>
            <w:r>
              <w:t>Chaux formulée</w:t>
            </w:r>
          </w:p>
          <w:p w14:paraId="08F14A0C" w14:textId="77777777" w:rsidR="004B2808" w:rsidRDefault="00000000">
            <w:pPr>
              <w:jc w:val="center"/>
            </w:pPr>
            <w:r>
              <w:t>FL (4)</w:t>
            </w:r>
          </w:p>
        </w:tc>
        <w:tc>
          <w:tcPr>
            <w:tcW w:w="1335" w:type="dxa"/>
            <w:noWrap/>
          </w:tcPr>
          <w:p w14:paraId="2BB253D3" w14:textId="77777777" w:rsidR="004B2808" w:rsidRDefault="00000000">
            <w:pPr>
              <w:jc w:val="center"/>
            </w:pPr>
            <w:r>
              <w:t>Chaux hydraulique</w:t>
            </w:r>
          </w:p>
          <w:p w14:paraId="73469898" w14:textId="77777777" w:rsidR="004B2808" w:rsidRDefault="00000000">
            <w:pPr>
              <w:jc w:val="center"/>
            </w:pPr>
            <w:r>
              <w:t>HL</w:t>
            </w:r>
          </w:p>
        </w:tc>
      </w:tr>
      <w:tr w:rsidR="004B2808" w14:paraId="6F6B750F" w14:textId="77777777">
        <w:tc>
          <w:tcPr>
            <w:tcW w:w="1335" w:type="dxa"/>
            <w:noWrap/>
          </w:tcPr>
          <w:p w14:paraId="4FBBBF03" w14:textId="77777777" w:rsidR="004B2808" w:rsidRDefault="00000000">
            <w:pPr>
              <w:jc w:val="center"/>
            </w:pPr>
            <w:r>
              <w:rPr>
                <w:b/>
              </w:rPr>
              <w:t>CL 90</w:t>
            </w:r>
          </w:p>
          <w:p w14:paraId="709BB638" w14:textId="77777777" w:rsidR="004B2808" w:rsidRDefault="00000000">
            <w:pPr>
              <w:jc w:val="center"/>
            </w:pPr>
            <w:r>
              <w:rPr>
                <w:b/>
              </w:rPr>
              <w:t>CL 80</w:t>
            </w:r>
          </w:p>
          <w:p w14:paraId="20AA8446" w14:textId="77777777" w:rsidR="004B2808" w:rsidRDefault="00000000">
            <w:pPr>
              <w:jc w:val="center"/>
            </w:pPr>
            <w:r>
              <w:rPr>
                <w:b/>
              </w:rPr>
              <w:t>CL 70</w:t>
            </w:r>
          </w:p>
        </w:tc>
        <w:tc>
          <w:tcPr>
            <w:tcW w:w="1335" w:type="dxa"/>
            <w:noWrap/>
          </w:tcPr>
          <w:p w14:paraId="48A123B5" w14:textId="77777777" w:rsidR="004B2808" w:rsidRDefault="00000000">
            <w:pPr>
              <w:jc w:val="center"/>
            </w:pPr>
            <w:r>
              <w:rPr>
                <w:b/>
              </w:rPr>
              <w:t>DL 90-30</w:t>
            </w:r>
          </w:p>
          <w:p w14:paraId="68E3AC05" w14:textId="77777777" w:rsidR="004B2808" w:rsidRDefault="00000000">
            <w:pPr>
              <w:jc w:val="center"/>
            </w:pPr>
            <w:r>
              <w:rPr>
                <w:b/>
              </w:rPr>
              <w:t>DL 90-5</w:t>
            </w:r>
          </w:p>
          <w:p w14:paraId="014B30C9" w14:textId="77777777" w:rsidR="004B2808" w:rsidRDefault="00000000">
            <w:pPr>
              <w:jc w:val="center"/>
            </w:pPr>
            <w:r>
              <w:rPr>
                <w:b/>
              </w:rPr>
              <w:t>DL 85-30</w:t>
            </w:r>
          </w:p>
          <w:p w14:paraId="3C9B30E3" w14:textId="77777777" w:rsidR="004B2808" w:rsidRDefault="00000000">
            <w:pPr>
              <w:jc w:val="center"/>
            </w:pPr>
            <w:r>
              <w:rPr>
                <w:b/>
              </w:rPr>
              <w:t>DL 80-5</w:t>
            </w:r>
          </w:p>
        </w:tc>
        <w:tc>
          <w:tcPr>
            <w:tcW w:w="1335" w:type="dxa"/>
            <w:noWrap/>
          </w:tcPr>
          <w:p w14:paraId="28AF5234" w14:textId="77777777" w:rsidR="004B2808" w:rsidRDefault="00000000">
            <w:pPr>
              <w:jc w:val="center"/>
            </w:pPr>
            <w:r>
              <w:rPr>
                <w:b/>
              </w:rPr>
              <w:t>NHL 2</w:t>
            </w:r>
          </w:p>
          <w:p w14:paraId="68F15CBF" w14:textId="77777777" w:rsidR="004B2808" w:rsidRDefault="00000000">
            <w:pPr>
              <w:jc w:val="center"/>
            </w:pPr>
            <w:r>
              <w:rPr>
                <w:b/>
              </w:rPr>
              <w:t>NHL 3,5</w:t>
            </w:r>
          </w:p>
          <w:p w14:paraId="0E7FECA6" w14:textId="77777777" w:rsidR="004B2808" w:rsidRDefault="00000000">
            <w:pPr>
              <w:jc w:val="center"/>
            </w:pPr>
            <w:r>
              <w:rPr>
                <w:b/>
              </w:rPr>
              <w:t>NHL 5</w:t>
            </w:r>
          </w:p>
        </w:tc>
        <w:tc>
          <w:tcPr>
            <w:tcW w:w="960" w:type="dxa"/>
            <w:noWrap/>
          </w:tcPr>
          <w:p w14:paraId="5CA646F0" w14:textId="77777777" w:rsidR="004B2808" w:rsidRDefault="00000000">
            <w:pPr>
              <w:jc w:val="center"/>
            </w:pPr>
            <w:r>
              <w:rPr>
                <w:b/>
              </w:rPr>
              <w:t>FL A 2</w:t>
            </w:r>
          </w:p>
          <w:p w14:paraId="71FC4C96" w14:textId="77777777" w:rsidR="004B2808" w:rsidRDefault="00000000">
            <w:pPr>
              <w:jc w:val="center"/>
            </w:pPr>
            <w:r>
              <w:rPr>
                <w:b/>
              </w:rPr>
              <w:t>FL A 3,5</w:t>
            </w:r>
          </w:p>
          <w:p w14:paraId="771309CE" w14:textId="77777777" w:rsidR="004B2808" w:rsidRDefault="00000000">
            <w:pPr>
              <w:jc w:val="center"/>
            </w:pPr>
            <w:r>
              <w:rPr>
                <w:b/>
              </w:rPr>
              <w:t>FL A 5</w:t>
            </w:r>
          </w:p>
        </w:tc>
        <w:tc>
          <w:tcPr>
            <w:tcW w:w="1335" w:type="dxa"/>
            <w:noWrap/>
          </w:tcPr>
          <w:p w14:paraId="306C12A8" w14:textId="77777777" w:rsidR="004B2808" w:rsidRDefault="00000000">
            <w:pPr>
              <w:jc w:val="center"/>
            </w:pPr>
            <w:r>
              <w:rPr>
                <w:b/>
              </w:rPr>
              <w:t>FL B 2</w:t>
            </w:r>
          </w:p>
          <w:p w14:paraId="3D148362" w14:textId="77777777" w:rsidR="004B2808" w:rsidRDefault="00000000">
            <w:pPr>
              <w:jc w:val="center"/>
            </w:pPr>
            <w:r>
              <w:rPr>
                <w:b/>
              </w:rPr>
              <w:t>FL B 3,5</w:t>
            </w:r>
          </w:p>
          <w:p w14:paraId="570123F6" w14:textId="77777777" w:rsidR="004B2808" w:rsidRDefault="00000000">
            <w:pPr>
              <w:jc w:val="center"/>
            </w:pPr>
            <w:r>
              <w:rPr>
                <w:b/>
              </w:rPr>
              <w:t>FL B 5</w:t>
            </w:r>
          </w:p>
        </w:tc>
        <w:tc>
          <w:tcPr>
            <w:tcW w:w="1335" w:type="dxa"/>
            <w:noWrap/>
          </w:tcPr>
          <w:p w14:paraId="61CD7AA4" w14:textId="77777777" w:rsidR="004B2808" w:rsidRDefault="00000000">
            <w:pPr>
              <w:jc w:val="center"/>
            </w:pPr>
            <w:r>
              <w:rPr>
                <w:b/>
              </w:rPr>
              <w:t>FL C 2</w:t>
            </w:r>
          </w:p>
          <w:p w14:paraId="22E6E376" w14:textId="77777777" w:rsidR="004B2808" w:rsidRDefault="00000000">
            <w:pPr>
              <w:jc w:val="center"/>
            </w:pPr>
            <w:r>
              <w:rPr>
                <w:b/>
              </w:rPr>
              <w:t>FL C 3,5</w:t>
            </w:r>
          </w:p>
          <w:p w14:paraId="0EB0DF57" w14:textId="77777777" w:rsidR="004B2808" w:rsidRDefault="00000000">
            <w:pPr>
              <w:jc w:val="center"/>
            </w:pPr>
            <w:r>
              <w:rPr>
                <w:b/>
              </w:rPr>
              <w:t>FL C 5</w:t>
            </w:r>
          </w:p>
        </w:tc>
        <w:tc>
          <w:tcPr>
            <w:tcW w:w="1335" w:type="dxa"/>
            <w:noWrap/>
          </w:tcPr>
          <w:p w14:paraId="3274CC4C" w14:textId="77777777" w:rsidR="004B2808" w:rsidRDefault="00000000">
            <w:pPr>
              <w:jc w:val="center"/>
            </w:pPr>
            <w:r>
              <w:rPr>
                <w:b/>
              </w:rPr>
              <w:t>HL 2</w:t>
            </w:r>
          </w:p>
          <w:p w14:paraId="45CE4238" w14:textId="77777777" w:rsidR="004B2808" w:rsidRDefault="00000000">
            <w:pPr>
              <w:jc w:val="center"/>
            </w:pPr>
            <w:r>
              <w:rPr>
                <w:b/>
              </w:rPr>
              <w:t>HL 3,5</w:t>
            </w:r>
          </w:p>
          <w:p w14:paraId="14CF4A8B" w14:textId="77777777" w:rsidR="004B2808" w:rsidRDefault="00000000">
            <w:pPr>
              <w:jc w:val="center"/>
            </w:pPr>
            <w:r>
              <w:rPr>
                <w:b/>
              </w:rPr>
              <w:t>HL 5</w:t>
            </w:r>
          </w:p>
        </w:tc>
      </w:tr>
      <w:tr w:rsidR="004B2808" w14:paraId="07953B16" w14:textId="77777777">
        <w:tc>
          <w:tcPr>
            <w:tcW w:w="8970" w:type="dxa"/>
            <w:gridSpan w:val="7"/>
            <w:noWrap/>
          </w:tcPr>
          <w:p w14:paraId="0876B3FE" w14:textId="77777777" w:rsidR="004B2808" w:rsidRDefault="00000000">
            <w:r>
              <w:t>(1) 1er nombre = teneur en oxydes de calcium (CaO) et de magnésium (MgO) (%masse). 2ème nombre le cas échéant = teneur minimale en oxydes de magnesium (MgO) (%masse)</w:t>
            </w:r>
          </w:p>
          <w:p w14:paraId="4CE3CE58" w14:textId="77777777" w:rsidR="004B2808" w:rsidRDefault="00000000">
            <w:r>
              <w:t xml:space="preserve">(2) Classement supplémentaire en fonction de leur état : chaux vive : Q (état granulaire) et chaux hydratée : S (poudre), S PL (pâte), S ML (lait de chaux). </w:t>
            </w:r>
            <w:r>
              <w:br/>
              <w:t xml:space="preserve"> Chaux dolomitique : uniquement état Q et S, et une classe additionnelle S1 : chaux dolomitique semi-hydratée.</w:t>
            </w:r>
          </w:p>
          <w:p w14:paraId="5A6FF337" w14:textId="77777777" w:rsidR="004B2808" w:rsidRDefault="00000000">
            <w:r>
              <w:t>(3) Nombre =  résistance minimale à la compression en N/mm²</w:t>
            </w:r>
          </w:p>
          <w:p w14:paraId="13D25861" w14:textId="77777777" w:rsidR="004B2808" w:rsidRDefault="00000000">
            <w:r>
              <w:t>(4) A, B, C : teneur décroissante en chaux libre</w:t>
            </w:r>
          </w:p>
        </w:tc>
      </w:tr>
    </w:tbl>
    <w:p w14:paraId="0308772A" w14:textId="77777777" w:rsidR="004B2808" w:rsidRDefault="00000000">
      <w:r>
        <w:t> </w:t>
      </w:r>
    </w:p>
    <w:p w14:paraId="76D03443" w14:textId="77777777" w:rsidR="004B2808" w:rsidRDefault="00000000">
      <w:pPr>
        <w:pStyle w:val="Author-eSectionHeading5Numberless"/>
      </w:pPr>
      <w:bookmarkStart w:id="884" w:name="_Toc220491021"/>
      <w:r>
        <w:t>54.15.1 Enduits au ciment CCTB 01.02</w:t>
      </w:r>
      <w:bookmarkEnd w:id="884"/>
    </w:p>
    <w:p w14:paraId="2C71DC6A" w14:textId="77777777" w:rsidR="004B2808" w:rsidRDefault="00000000">
      <w:pPr>
        <w:pStyle w:val="Author-eSectionHeading6Numberless"/>
      </w:pPr>
      <w:bookmarkStart w:id="885" w:name="_Toc220491022"/>
      <w:r>
        <w:t>54.15.1a Enduits au ciment CCTB 01.11</w:t>
      </w:r>
      <w:bookmarkEnd w:id="885"/>
    </w:p>
    <w:p w14:paraId="27219278" w14:textId="77777777" w:rsidR="004B2808" w:rsidRDefault="00000000">
      <w:pPr>
        <w:pStyle w:val="pheading"/>
      </w:pPr>
      <w:r>
        <w:t>DESCRIPTION</w:t>
      </w:r>
    </w:p>
    <w:p w14:paraId="4DFCD5C4" w14:textId="77777777" w:rsidR="004B2808" w:rsidRDefault="00000000">
      <w:pPr>
        <w:pStyle w:val="pheading"/>
      </w:pPr>
      <w:r>
        <w:t>- Définition / Comprend</w:t>
      </w:r>
    </w:p>
    <w:p w14:paraId="77A1A7AD" w14:textId="77777777" w:rsidR="004B2808" w:rsidRDefault="00000000">
      <w:pPr>
        <w:jc w:val="both"/>
      </w:pPr>
      <w:r>
        <w:t>Il s’agit de la fourniture et la pose d’un système d’enduit à base de ciment sur plafond intérieur.</w:t>
      </w:r>
    </w:p>
    <w:p w14:paraId="0FAA9222" w14:textId="77777777" w:rsidR="004B2808" w:rsidRDefault="00000000">
      <w:pPr>
        <w:pStyle w:val="pheading"/>
      </w:pPr>
      <w:r>
        <w:t>MATÉRIAUX</w:t>
      </w:r>
    </w:p>
    <w:p w14:paraId="1DB4E69D" w14:textId="77777777" w:rsidR="004B2808" w:rsidRDefault="00000000">
      <w:pPr>
        <w:pStyle w:val="pheading"/>
      </w:pPr>
      <w:r>
        <w:t>- Caractéristiques générales</w:t>
      </w:r>
    </w:p>
    <w:p w14:paraId="3FFFDAB8" w14:textId="77777777" w:rsidR="004B2808" w:rsidRDefault="00000000">
      <w:pPr>
        <w:jc w:val="both"/>
      </w:pPr>
      <w:r>
        <w:lastRenderedPageBreak/>
        <w:t xml:space="preserve">Le système d’enduit à appliquer est </w:t>
      </w:r>
      <w:r>
        <w:rPr>
          <w:rStyle w:val="optioncarChar"/>
        </w:rPr>
        <w:t xml:space="preserve">un système industriel </w:t>
      </w:r>
      <w:r>
        <w:t>(par défaut)</w:t>
      </w:r>
      <w:r>
        <w:rPr>
          <w:rStyle w:val="optioncarChar"/>
        </w:rPr>
        <w:t xml:space="preserve"> / dosé in situ / à proposer par l’entrepreneur.</w:t>
      </w:r>
    </w:p>
    <w:p w14:paraId="55769BD6" w14:textId="77777777" w:rsidR="004B2808" w:rsidRDefault="00000000">
      <w:pPr>
        <w:jc w:val="both"/>
      </w:pPr>
      <w:r>
        <w:rPr>
          <w:b/>
        </w:rPr>
        <w:t>(soit par défaut)</w:t>
      </w:r>
    </w:p>
    <w:p w14:paraId="42453629" w14:textId="77777777" w:rsidR="004B2808" w:rsidRDefault="00000000">
      <w:pPr>
        <w:jc w:val="both"/>
      </w:pPr>
      <w:r>
        <w:rPr>
          <w:rStyle w:val="soitChar"/>
          <w:u w:val="single"/>
        </w:rPr>
        <w:t>Industriel :</w:t>
      </w:r>
      <w:r>
        <w:rPr>
          <w:rStyle w:val="soitChar"/>
        </w:rPr>
        <w:t xml:space="preserve"> les différentes couches d’enduits répondent aux spécifications de la [NBN EN 998-1]. Les catégories ou classes sont prescrites comme suit :</w:t>
      </w:r>
    </w:p>
    <w:p w14:paraId="743B9F6E" w14:textId="77777777" w:rsidR="004B2808" w:rsidRDefault="00000000">
      <w:pPr>
        <w:pStyle w:val="Author-eListParagraph"/>
        <w:numPr>
          <w:ilvl w:val="0"/>
          <w:numId w:val="688"/>
        </w:numPr>
      </w:pPr>
      <w:r>
        <w:rPr>
          <w:rStyle w:val="soitChar"/>
        </w:rPr>
        <w:t xml:space="preserve">Type de ciment (voir [NIT 284] : </w:t>
      </w:r>
      <w:r>
        <w:rPr>
          <w:rStyle w:val="optioncarChar"/>
        </w:rPr>
        <w:t>à proposer par l’entrepreneur</w:t>
      </w:r>
      <w:r>
        <w:t xml:space="preserve"> (par défaut)</w:t>
      </w:r>
      <w:r>
        <w:rPr>
          <w:rStyle w:val="optioncarChar"/>
        </w:rPr>
        <w:t xml:space="preserve"> / ***</w:t>
      </w:r>
    </w:p>
    <w:p w14:paraId="2E602550" w14:textId="77777777" w:rsidR="004B2808" w:rsidRDefault="00000000">
      <w:pPr>
        <w:pStyle w:val="Author-eListParagraph"/>
        <w:numPr>
          <w:ilvl w:val="0"/>
          <w:numId w:val="688"/>
        </w:numPr>
      </w:pPr>
      <w:r>
        <w:rPr>
          <w:rStyle w:val="soitChar"/>
        </w:rPr>
        <w:t xml:space="preserve">Type d’enduit : </w:t>
      </w:r>
      <w:r>
        <w:rPr>
          <w:rStyle w:val="optioncarChar"/>
        </w:rPr>
        <w:t xml:space="preserve">GP (mortier d’usage courant) </w:t>
      </w:r>
      <w:r>
        <w:t>(par défaut)</w:t>
      </w:r>
      <w:r>
        <w:rPr>
          <w:rStyle w:val="optioncarChar"/>
        </w:rPr>
        <w:t xml:space="preserve"> / LW (mortier allégés) / CR (mortiers colorés) / OC (mortier monocouche) / R (mortier de rénovation) / T (mortier isolant) / non spécifié.</w:t>
      </w:r>
    </w:p>
    <w:p w14:paraId="39844CB3" w14:textId="77777777" w:rsidR="004B2808" w:rsidRDefault="00000000">
      <w:pPr>
        <w:pStyle w:val="Author-eListParagraph"/>
        <w:numPr>
          <w:ilvl w:val="0"/>
          <w:numId w:val="688"/>
        </w:numPr>
      </w:pPr>
      <w:r>
        <w:rPr>
          <w:rStyle w:val="soitChar"/>
        </w:rPr>
        <w:t xml:space="preserve">Catégorie de résistance à la compression : </w:t>
      </w:r>
      <w:r>
        <w:rPr>
          <w:rStyle w:val="optioncarChar"/>
        </w:rPr>
        <w:t>CS IV (élevée) / CS III / CS II / CS I (faible) / non spécifié</w:t>
      </w:r>
    </w:p>
    <w:p w14:paraId="237F3251" w14:textId="77777777" w:rsidR="004B2808" w:rsidRDefault="00000000">
      <w:pPr>
        <w:pStyle w:val="Author-eListParagraph"/>
        <w:numPr>
          <w:ilvl w:val="0"/>
          <w:numId w:val="688"/>
        </w:numPr>
      </w:pPr>
      <w:r>
        <w:rPr>
          <w:rStyle w:val="soitChar"/>
        </w:rPr>
        <w:t xml:space="preserve">Catégorie d’absorption par capillarité : </w:t>
      </w:r>
      <w:r>
        <w:rPr>
          <w:rStyle w:val="optioncarChar"/>
        </w:rPr>
        <w:t>W</w:t>
      </w:r>
      <w:r>
        <w:rPr>
          <w:rStyle w:val="optioncarChar"/>
          <w:sz w:val="17"/>
        </w:rPr>
        <w:t>c</w:t>
      </w:r>
      <w:r>
        <w:rPr>
          <w:rStyle w:val="optioncarChar"/>
        </w:rPr>
        <w:t xml:space="preserve">0 (pas spécifié) </w:t>
      </w:r>
      <w:r>
        <w:t>(par défaut)</w:t>
      </w:r>
      <w:r>
        <w:rPr>
          <w:rStyle w:val="optioncarChar"/>
        </w:rPr>
        <w:t xml:space="preserve"> / W</w:t>
      </w:r>
      <w:r>
        <w:rPr>
          <w:rStyle w:val="optioncarChar"/>
          <w:sz w:val="17"/>
        </w:rPr>
        <w:t>c</w:t>
      </w:r>
      <w:r>
        <w:rPr>
          <w:rStyle w:val="optioncarChar"/>
        </w:rPr>
        <w:t>1 / W</w:t>
      </w:r>
      <w:r>
        <w:rPr>
          <w:rStyle w:val="optioncarChar"/>
          <w:sz w:val="17"/>
        </w:rPr>
        <w:t>c</w:t>
      </w:r>
      <w:r>
        <w:rPr>
          <w:rStyle w:val="optioncarChar"/>
        </w:rPr>
        <w:t>2 (faible) / non spécifié</w:t>
      </w:r>
    </w:p>
    <w:p w14:paraId="61BA053F" w14:textId="77777777" w:rsidR="004B2808" w:rsidRDefault="00000000">
      <w:pPr>
        <w:pStyle w:val="Author-eListParagraph"/>
        <w:numPr>
          <w:ilvl w:val="0"/>
          <w:numId w:val="688"/>
        </w:numPr>
      </w:pPr>
      <w:r>
        <w:rPr>
          <w:rStyle w:val="soitChar"/>
        </w:rPr>
        <w:t xml:space="preserve">Adhérence au support visé (essai en laboratoire) : </w:t>
      </w:r>
      <w:r>
        <w:rPr>
          <w:rStyle w:val="optioncarChar"/>
        </w:rPr>
        <w:t xml:space="preserve">non spécifié </w:t>
      </w:r>
      <w:r>
        <w:t>(par défaut)</w:t>
      </w:r>
      <w:r>
        <w:rPr>
          <w:rStyle w:val="optioncarChar"/>
        </w:rPr>
        <w:t xml:space="preserve"> / ≥ *** N/mm²</w:t>
      </w:r>
    </w:p>
    <w:p w14:paraId="38682817" w14:textId="77777777" w:rsidR="004B2808" w:rsidRDefault="00000000">
      <w:pPr>
        <w:pStyle w:val="Author-eListParagraph"/>
        <w:numPr>
          <w:ilvl w:val="0"/>
          <w:numId w:val="688"/>
        </w:numPr>
      </w:pPr>
      <w:r>
        <w:rPr>
          <w:rStyle w:val="soitChar"/>
        </w:rPr>
        <w:t xml:space="preserve">Réaction au feu : </w:t>
      </w:r>
      <w:r>
        <w:rPr>
          <w:rStyle w:val="optioncarChar"/>
        </w:rPr>
        <w:t>A1</w:t>
      </w:r>
      <w:r>
        <w:t xml:space="preserve"> (par défaut) </w:t>
      </w:r>
      <w:r>
        <w:rPr>
          <w:rStyle w:val="optioncarChar"/>
        </w:rPr>
        <w:t>/ ***</w:t>
      </w:r>
    </w:p>
    <w:p w14:paraId="0ED6CAE8" w14:textId="77777777" w:rsidR="004B2808" w:rsidRDefault="00000000">
      <w:pPr>
        <w:jc w:val="both"/>
      </w:pPr>
      <w:r>
        <w:rPr>
          <w:b/>
        </w:rPr>
        <w:t>(soit)</w:t>
      </w:r>
    </w:p>
    <w:p w14:paraId="6132E3DF" w14:textId="77777777" w:rsidR="004B2808" w:rsidRDefault="00000000">
      <w:pPr>
        <w:jc w:val="both"/>
      </w:pPr>
      <w:r>
        <w:rPr>
          <w:rStyle w:val="soitChar"/>
          <w:u w:val="single"/>
        </w:rPr>
        <w:t>Dosé in situ :</w:t>
      </w:r>
      <w:r>
        <w:rPr>
          <w:rStyle w:val="soitChar"/>
        </w:rPr>
        <w:t xml:space="preserve"> en fonction du support et de la finition souhaitée, le système d’enduit est constitué d’une éventuelle couche d’accrochage (par ex. 600 kg de ciment par m³ de sable – soit C600), d’une couche de fond (par ex. 400 kg de ciment par m³ de sable, soit C400) et d’une éventuelle couche de finition (par ex. 300 kg de ciment par m³ de sable, soit C300).</w:t>
      </w:r>
    </w:p>
    <w:p w14:paraId="785CC7B0" w14:textId="77777777" w:rsidR="004B2808" w:rsidRDefault="00000000">
      <w:pPr>
        <w:jc w:val="both"/>
      </w:pPr>
      <w:r>
        <w:rPr>
          <w:rStyle w:val="soitChar"/>
        </w:rPr>
        <w:t xml:space="preserve"> Le dosage et la composition des couches de base et de finition sont proposés par l’entrepreneur, la proposition est soumise à l’approbation de la direction de chantier.</w:t>
      </w:r>
    </w:p>
    <w:p w14:paraId="1A659770" w14:textId="77777777" w:rsidR="004B2808" w:rsidRDefault="00000000">
      <w:pPr>
        <w:jc w:val="both"/>
      </w:pPr>
      <w:r>
        <w:rPr>
          <w:rStyle w:val="soitChar"/>
        </w:rPr>
        <w:t xml:space="preserve"> Le ciment dispose d'une déclaration d'aptitude à l'utilisation suivant les prescriptions du 02.42.1 Critères d'acceptabilité</w:t>
      </w:r>
    </w:p>
    <w:p w14:paraId="466F57C3" w14:textId="77777777" w:rsidR="004B2808" w:rsidRDefault="00000000">
      <w:pPr>
        <w:jc w:val="both"/>
      </w:pPr>
      <w:r>
        <w:rPr>
          <w:rStyle w:val="soitChar"/>
        </w:rPr>
        <w:t xml:space="preserve"> Ajout d’un agent hydrophobe : </w:t>
      </w:r>
      <w:r>
        <w:rPr>
          <w:rStyle w:val="optioncarChar"/>
        </w:rPr>
        <w:t xml:space="preserve">non </w:t>
      </w:r>
      <w:r>
        <w:t xml:space="preserve">(par défaut) </w:t>
      </w:r>
      <w:r>
        <w:rPr>
          <w:rStyle w:val="optioncarChar"/>
        </w:rPr>
        <w:t>/ oui / non spécifié</w:t>
      </w:r>
    </w:p>
    <w:p w14:paraId="3886B6E5" w14:textId="77777777" w:rsidR="004B2808" w:rsidRDefault="00000000">
      <w:pPr>
        <w:jc w:val="both"/>
      </w:pPr>
      <w:r>
        <w:rPr>
          <w:b/>
        </w:rPr>
        <w:t>(soit)</w:t>
      </w:r>
    </w:p>
    <w:p w14:paraId="23234DFA" w14:textId="77777777" w:rsidR="004B2808" w:rsidRDefault="00000000">
      <w:pPr>
        <w:jc w:val="both"/>
      </w:pPr>
      <w:r>
        <w:rPr>
          <w:rStyle w:val="soitChar"/>
          <w:u w:val="single"/>
        </w:rPr>
        <w:t>A proposer par l’entrepreneur :</w:t>
      </w:r>
      <w:r>
        <w:rPr>
          <w:rStyle w:val="soitChar"/>
        </w:rPr>
        <w:t xml:space="preserve"> conformément aux prescriptions ci-dessus en cas d’enduit industriel ou dosé in situ. La proposition est soumise à l’approbation de la direction de chantier.</w:t>
      </w:r>
    </w:p>
    <w:p w14:paraId="1C73410C" w14:textId="77777777" w:rsidR="004B2808" w:rsidRDefault="00000000">
      <w:pPr>
        <w:pStyle w:val="pheading"/>
      </w:pPr>
      <w:r>
        <w:t>- Finitions</w:t>
      </w:r>
    </w:p>
    <w:p w14:paraId="0C9318F1" w14:textId="77777777" w:rsidR="004B2808" w:rsidRDefault="00000000">
      <w:pPr>
        <w:pStyle w:val="Author-eListParagraph"/>
        <w:numPr>
          <w:ilvl w:val="0"/>
          <w:numId w:val="689"/>
        </w:numPr>
        <w:jc w:val="both"/>
      </w:pPr>
      <w:r>
        <w:t xml:space="preserve">La dernière couche d’enduit est destinée à recevoir (non compté ici, compris dans l'article respectif) : </w:t>
      </w:r>
      <w:r>
        <w:rPr>
          <w:rStyle w:val="optioncarChar"/>
        </w:rPr>
        <w:t xml:space="preserve">rien </w:t>
      </w:r>
      <w:r>
        <w:t>(par défaut)</w:t>
      </w:r>
      <w:r>
        <w:rPr>
          <w:rStyle w:val="optioncarChar"/>
        </w:rPr>
        <w:t xml:space="preserve"> / peinture(81.12 Finitions / décorations intérieures des parois (murs et plafonds)) / ***</w:t>
      </w:r>
    </w:p>
    <w:p w14:paraId="02309625" w14:textId="77777777" w:rsidR="004B2808" w:rsidRDefault="00000000">
      <w:pPr>
        <w:pStyle w:val="Author-eListParagraph"/>
        <w:numPr>
          <w:ilvl w:val="0"/>
          <w:numId w:val="689"/>
        </w:numPr>
        <w:jc w:val="both"/>
      </w:pPr>
      <w:r>
        <w:t xml:space="preserve">Parachèvement de l’enduit de finition : </w:t>
      </w:r>
      <w:r>
        <w:rPr>
          <w:rStyle w:val="optioncarChar"/>
        </w:rPr>
        <w:t xml:space="preserve">dressé et lisse </w:t>
      </w:r>
      <w:r>
        <w:t>(par défaut)</w:t>
      </w:r>
      <w:r>
        <w:rPr>
          <w:rStyle w:val="optioncarChar"/>
        </w:rPr>
        <w:t xml:space="preserve"> / structure grattée / dressée (pour recevoir par ex. un carrelage) / ***</w:t>
      </w:r>
    </w:p>
    <w:p w14:paraId="1CFCAC96" w14:textId="77777777" w:rsidR="004B2808" w:rsidRDefault="00000000">
      <w:pPr>
        <w:pStyle w:val="Author-eListParagraph"/>
        <w:numPr>
          <w:ilvl w:val="0"/>
          <w:numId w:val="689"/>
        </w:numPr>
        <w:jc w:val="both"/>
      </w:pPr>
      <w:r>
        <w:t xml:space="preserve">Niveau de qualité des finitions lisses le cas échéant : </w:t>
      </w:r>
      <w:r>
        <w:rPr>
          <w:rStyle w:val="optioncarChar"/>
        </w:rPr>
        <w:t xml:space="preserve">Q1-Q2-Q3 </w:t>
      </w:r>
      <w:r>
        <w:t>(par défaut)</w:t>
      </w:r>
      <w:r>
        <w:rPr>
          <w:rStyle w:val="optioncarChar"/>
        </w:rPr>
        <w:t xml:space="preserve"> / Q4</w:t>
      </w:r>
    </w:p>
    <w:p w14:paraId="2475B13E" w14:textId="77777777" w:rsidR="004B2808" w:rsidRDefault="00000000">
      <w:pPr>
        <w:pStyle w:val="Author-eListParagraph"/>
        <w:numPr>
          <w:ilvl w:val="0"/>
          <w:numId w:val="689"/>
        </w:numPr>
        <w:jc w:val="both"/>
      </w:pPr>
      <w:r>
        <w:t xml:space="preserve">Couleur par adjonction de pigments de la finition destinée à rester visible : </w:t>
      </w:r>
      <w:r>
        <w:rPr>
          <w:rStyle w:val="optioncarChar"/>
        </w:rPr>
        <w:t>à proposer par l’entrepreneur</w:t>
      </w:r>
      <w:r>
        <w:t xml:space="preserve"> (par défaut)</w:t>
      </w:r>
      <w:r>
        <w:rPr>
          <w:rStyle w:val="optioncarChar"/>
        </w:rPr>
        <w:t xml:space="preserve"> / blanc / beige / ***</w:t>
      </w:r>
    </w:p>
    <w:p w14:paraId="521D4B39" w14:textId="77777777" w:rsidR="004B2808" w:rsidRDefault="00000000">
      <w:pPr>
        <w:pStyle w:val="pheading"/>
      </w:pPr>
      <w:r>
        <w:t>EXÉCUTION / MISE EN ŒUVRE</w:t>
      </w:r>
    </w:p>
    <w:p w14:paraId="48DBB049" w14:textId="77777777" w:rsidR="004B2808" w:rsidRDefault="00000000">
      <w:pPr>
        <w:pStyle w:val="pheading"/>
      </w:pPr>
      <w:r>
        <w:t>- Prescriptions générales</w:t>
      </w:r>
    </w:p>
    <w:p w14:paraId="2F06AD8C" w14:textId="77777777" w:rsidR="004B2808" w:rsidRDefault="00000000">
      <w:pPr>
        <w:jc w:val="both"/>
      </w:pPr>
      <w:r>
        <w:t>Les travaux préparatoires et l’exécution sont conformes à la [NBN EN 13914-2], à la [NIT 284] et à la documentation technique accompagnant les produits.</w:t>
      </w:r>
    </w:p>
    <w:p w14:paraId="2E3CA336" w14:textId="77777777" w:rsidR="004B2808" w:rsidRDefault="00000000">
      <w:pPr>
        <w:jc w:val="both"/>
      </w:pPr>
      <w:r>
        <w:t xml:space="preserve">Le support est physiquement et visuellement accessible : </w:t>
      </w:r>
      <w:r>
        <w:rPr>
          <w:rStyle w:val="optioncarChar"/>
        </w:rPr>
        <w:t>oui</w:t>
      </w:r>
      <w:r>
        <w:t xml:space="preserve"> (par défaut)</w:t>
      </w:r>
      <w:r>
        <w:rPr>
          <w:rStyle w:val="optioncarChar"/>
        </w:rPr>
        <w:t xml:space="preserve"> / non.</w:t>
      </w:r>
    </w:p>
    <w:p w14:paraId="674E0FCD" w14:textId="77777777" w:rsidR="004B2808" w:rsidRDefault="00000000">
      <w:pPr>
        <w:jc w:val="both"/>
      </w:pPr>
      <w:r>
        <w:t xml:space="preserve">Type de support : plancher </w:t>
      </w:r>
      <w:r>
        <w:rPr>
          <w:rStyle w:val="optioncarChar"/>
        </w:rPr>
        <w:t>en béton (éléments préfabriqués ou coulé in situ) / en poutrains-claveaux en béton ou en terre cuite / en gîtage / panneaux à enduire / panneaux isolants à enduire / ***</w:t>
      </w:r>
      <w:r>
        <w:t>.</w:t>
      </w:r>
    </w:p>
    <w:p w14:paraId="38C12CBA" w14:textId="77777777" w:rsidR="004B2808" w:rsidRDefault="00000000">
      <w:pPr>
        <w:jc w:val="both"/>
      </w:pPr>
      <w:r>
        <w:t xml:space="preserve">Nécessité d’un support d’enduit à poser par l’enduiseur et compris dans le présent poste : </w:t>
      </w:r>
      <w:r>
        <w:rPr>
          <w:rStyle w:val="optioncarChar"/>
        </w:rPr>
        <w:t>à proposer par l’entrepreneur</w:t>
      </w:r>
      <w:r>
        <w:t xml:space="preserve"> (par défaut)</w:t>
      </w:r>
      <w:r>
        <w:rPr>
          <w:rStyle w:val="optioncarChar"/>
        </w:rPr>
        <w:t xml:space="preserve"> / treillis métallique à dos cartonné / ***.</w:t>
      </w:r>
    </w:p>
    <w:p w14:paraId="65DD9BB5" w14:textId="77777777" w:rsidR="004B2808" w:rsidRDefault="00000000">
      <w:pPr>
        <w:jc w:val="both"/>
      </w:pPr>
      <w:r>
        <w:lastRenderedPageBreak/>
        <w:t xml:space="preserve">Nécessité d’un treillis de renforcement : </w:t>
      </w:r>
      <w:r>
        <w:rPr>
          <w:rStyle w:val="optioncarChar"/>
        </w:rPr>
        <w:t xml:space="preserve">à proposer par l’entrepreneur </w:t>
      </w:r>
      <w:r>
        <w:t xml:space="preserve">(par défaut) </w:t>
      </w:r>
      <w:r>
        <w:rPr>
          <w:rStyle w:val="optioncarChar"/>
        </w:rPr>
        <w:t>/ treillis métallique / treillis en fibres de verre / ***</w:t>
      </w:r>
      <w:r>
        <w:t>.</w:t>
      </w:r>
    </w:p>
    <w:p w14:paraId="01AB5B2E" w14:textId="77777777" w:rsidR="004B2808" w:rsidRDefault="00000000">
      <w:pPr>
        <w:jc w:val="both"/>
      </w:pPr>
      <w:r>
        <w:t xml:space="preserve">Conception de l’enduit : </w:t>
      </w:r>
      <w:r>
        <w:rPr>
          <w:rStyle w:val="optioncarChar"/>
        </w:rPr>
        <w:t xml:space="preserve">à proposer par l’entrepreneur </w:t>
      </w:r>
      <w:r>
        <w:t xml:space="preserve">(par défaut) </w:t>
      </w:r>
      <w:r>
        <w:rPr>
          <w:rStyle w:val="optioncarChar"/>
        </w:rPr>
        <w:t>/ monocouche en 10 mm d’épaisseur / multicouche (couche de base en 10 mm d’épaisseur) / ***</w:t>
      </w:r>
      <w:r>
        <w:t>.</w:t>
      </w:r>
    </w:p>
    <w:p w14:paraId="25D5A0D2" w14:textId="77777777" w:rsidR="004B2808" w:rsidRDefault="00000000">
      <w:pPr>
        <w:jc w:val="both"/>
      </w:pPr>
      <w:r>
        <w:t xml:space="preserve">Classe de tolérances géométriques : </w:t>
      </w:r>
      <w:r>
        <w:rPr>
          <w:rStyle w:val="optioncarChar"/>
        </w:rPr>
        <w:t xml:space="preserve">normale </w:t>
      </w:r>
      <w:r>
        <w:t xml:space="preserve">(par défaut) </w:t>
      </w:r>
      <w:r>
        <w:rPr>
          <w:rStyle w:val="optioncarChar"/>
        </w:rPr>
        <w:t>/ spéciale</w:t>
      </w:r>
    </w:p>
    <w:p w14:paraId="0F87591C" w14:textId="77777777" w:rsidR="004B2808" w:rsidRDefault="00000000">
      <w:pPr>
        <w:pStyle w:val="pheading"/>
      </w:pPr>
      <w:r>
        <w:t>MESURAGE</w:t>
      </w:r>
    </w:p>
    <w:p w14:paraId="56722FDB" w14:textId="77777777" w:rsidR="004B2808" w:rsidRDefault="00000000">
      <w:pPr>
        <w:pStyle w:val="pheading"/>
      </w:pPr>
      <w:r>
        <w:t>- unité de mesure:</w:t>
      </w:r>
    </w:p>
    <w:p w14:paraId="75A2D699" w14:textId="77777777" w:rsidR="004B2808" w:rsidRDefault="00000000">
      <w:r>
        <w:t>m²</w:t>
      </w:r>
    </w:p>
    <w:p w14:paraId="030F96F5" w14:textId="77777777" w:rsidR="004B2808" w:rsidRDefault="00000000">
      <w:pPr>
        <w:pStyle w:val="pheading"/>
      </w:pPr>
      <w:r>
        <w:t>- code de mesurage:</w:t>
      </w:r>
    </w:p>
    <w:p w14:paraId="081EF3B9" w14:textId="77777777" w:rsidR="004B2808" w:rsidRDefault="00000000">
      <w:r>
        <w:t>Surface nette, les réservations supérieures à 0,5 m² sont déduites.</w:t>
      </w:r>
    </w:p>
    <w:p w14:paraId="2678B4F6" w14:textId="77777777" w:rsidR="004B2808" w:rsidRDefault="00000000">
      <w:pPr>
        <w:pStyle w:val="pheading"/>
      </w:pPr>
      <w:r>
        <w:t>- nature du marché:</w:t>
      </w:r>
    </w:p>
    <w:p w14:paraId="7FC3070A" w14:textId="77777777" w:rsidR="004B2808" w:rsidRDefault="00000000">
      <w:r>
        <w:t>QF</w:t>
      </w:r>
    </w:p>
    <w:p w14:paraId="77F1F8BD" w14:textId="77777777" w:rsidR="004B2808" w:rsidRDefault="00000000">
      <w:pPr>
        <w:pStyle w:val="Author-eSectionHeading5Numberless"/>
      </w:pPr>
      <w:bookmarkStart w:id="886" w:name="_Toc220491023"/>
      <w:r>
        <w:t>54.15.2 Enduits à la chaux ayant des propriétés hydrauliques CCTB 01.02</w:t>
      </w:r>
      <w:bookmarkEnd w:id="886"/>
    </w:p>
    <w:p w14:paraId="18E054B0" w14:textId="77777777" w:rsidR="004B2808" w:rsidRDefault="00000000">
      <w:pPr>
        <w:pStyle w:val="Author-eSectionHeading6Numberless"/>
      </w:pPr>
      <w:bookmarkStart w:id="887" w:name="_Toc220491024"/>
      <w:r>
        <w:t>54.15.2a Enduits à la chaux ayant des propriétés hydrauliques CCTB 01.11</w:t>
      </w:r>
      <w:bookmarkEnd w:id="887"/>
    </w:p>
    <w:p w14:paraId="711D984F" w14:textId="77777777" w:rsidR="004B2808" w:rsidRDefault="00000000">
      <w:pPr>
        <w:pStyle w:val="pheading"/>
      </w:pPr>
      <w:r>
        <w:t>DESCRIPTION</w:t>
      </w:r>
    </w:p>
    <w:p w14:paraId="17690DA1" w14:textId="77777777" w:rsidR="004B2808" w:rsidRDefault="00000000">
      <w:pPr>
        <w:pStyle w:val="pheading"/>
      </w:pPr>
      <w:r>
        <w:t>- Définition / Comprend</w:t>
      </w:r>
    </w:p>
    <w:p w14:paraId="343CA7F0" w14:textId="77777777" w:rsidR="004B2808" w:rsidRDefault="00000000">
      <w:pPr>
        <w:jc w:val="both"/>
      </w:pPr>
      <w:r>
        <w:t>Il s’agit de la fourniture et la pose d’un système d’enduit à base de chaux ayant des propriétés hydrauliques sur plafond intérieur.</w:t>
      </w:r>
    </w:p>
    <w:p w14:paraId="160382D9" w14:textId="77777777" w:rsidR="004B2808" w:rsidRDefault="00000000">
      <w:pPr>
        <w:pStyle w:val="pheading"/>
      </w:pPr>
      <w:r>
        <w:t>MATÉRIAUX</w:t>
      </w:r>
    </w:p>
    <w:p w14:paraId="1FBF7E73" w14:textId="77777777" w:rsidR="004B2808" w:rsidRDefault="00000000">
      <w:pPr>
        <w:pStyle w:val="pheading"/>
      </w:pPr>
      <w:r>
        <w:t>- Caractéristiques générales</w:t>
      </w:r>
    </w:p>
    <w:p w14:paraId="1062BD6C" w14:textId="77777777" w:rsidR="004B2808" w:rsidRDefault="00000000">
      <w:pPr>
        <w:jc w:val="both"/>
      </w:pPr>
      <w:r>
        <w:t>Le système d’enduit à appliquer est un système</w:t>
      </w:r>
      <w:r>
        <w:rPr>
          <w:rStyle w:val="optioncarChar"/>
        </w:rPr>
        <w:t xml:space="preserve"> industriel</w:t>
      </w:r>
      <w:r>
        <w:t xml:space="preserve"> (par défaut)</w:t>
      </w:r>
      <w:r>
        <w:rPr>
          <w:rStyle w:val="optioncarChar"/>
        </w:rPr>
        <w:t xml:space="preserve"> / dosé in situ / à proposer par l’entrepreneur.</w:t>
      </w:r>
    </w:p>
    <w:p w14:paraId="3709A231" w14:textId="77777777" w:rsidR="004B2808" w:rsidRDefault="00000000">
      <w:pPr>
        <w:jc w:val="both"/>
      </w:pPr>
      <w:r>
        <w:rPr>
          <w:b/>
        </w:rPr>
        <w:t>(soit par défaut)</w:t>
      </w:r>
    </w:p>
    <w:p w14:paraId="079FEFFF" w14:textId="77777777" w:rsidR="004B2808" w:rsidRDefault="00000000">
      <w:pPr>
        <w:jc w:val="both"/>
      </w:pPr>
      <w:r>
        <w:rPr>
          <w:rStyle w:val="soitChar"/>
          <w:u w:val="single"/>
        </w:rPr>
        <w:t>Industriel :</w:t>
      </w:r>
      <w:r>
        <w:rPr>
          <w:rStyle w:val="soitChar"/>
        </w:rPr>
        <w:t xml:space="preserve"> les différentes couches d’enduits répondent aux spécifications de la [NBN EN 998-1]. Les catégories ou classes sont prescrites comme suit :</w:t>
      </w:r>
    </w:p>
    <w:p w14:paraId="1DC6B3F9" w14:textId="77777777" w:rsidR="004B2808" w:rsidRDefault="00000000">
      <w:pPr>
        <w:pStyle w:val="Author-eListParagraph"/>
        <w:numPr>
          <w:ilvl w:val="0"/>
          <w:numId w:val="690"/>
        </w:numPr>
      </w:pPr>
      <w:r>
        <w:rPr>
          <w:rStyle w:val="soitChar"/>
        </w:rPr>
        <w:t xml:space="preserve">Type de chaux ayant des propriétés hydrauliques : </w:t>
      </w:r>
      <w:r>
        <w:rPr>
          <w:rStyle w:val="optioncarChar"/>
        </w:rPr>
        <w:t>à proposer par l’entrepreneur</w:t>
      </w:r>
      <w:r>
        <w:t xml:space="preserve"> (par défaut) </w:t>
      </w:r>
      <w:r>
        <w:rPr>
          <w:rStyle w:val="optioncarChar"/>
        </w:rPr>
        <w:t>/ NHL 3,5 / HL 3,5 / ***</w:t>
      </w:r>
    </w:p>
    <w:p w14:paraId="6AF322FC" w14:textId="77777777" w:rsidR="004B2808" w:rsidRDefault="00000000">
      <w:pPr>
        <w:pStyle w:val="Author-eListParagraph"/>
        <w:numPr>
          <w:ilvl w:val="0"/>
          <w:numId w:val="690"/>
        </w:numPr>
      </w:pPr>
      <w:r>
        <w:rPr>
          <w:rStyle w:val="soitChar"/>
        </w:rPr>
        <w:t xml:space="preserve">Type d’enduit : </w:t>
      </w:r>
      <w:r>
        <w:rPr>
          <w:rStyle w:val="optioncarChar"/>
        </w:rPr>
        <w:t xml:space="preserve">GP (mortier d’usage courant) </w:t>
      </w:r>
      <w:r>
        <w:t>(par défaut)</w:t>
      </w:r>
      <w:r>
        <w:rPr>
          <w:rStyle w:val="optioncarChar"/>
        </w:rPr>
        <w:t xml:space="preserve"> / LW (mortier allégés) / CR (mortiers colorés) / OC (mortier monocouche) / R (mortier de rénovation) / T (mortier isolant) / non spécifié.</w:t>
      </w:r>
    </w:p>
    <w:p w14:paraId="0C91FAFC" w14:textId="77777777" w:rsidR="004B2808" w:rsidRDefault="00000000">
      <w:pPr>
        <w:pStyle w:val="Author-eListParagraph"/>
        <w:numPr>
          <w:ilvl w:val="0"/>
          <w:numId w:val="690"/>
        </w:numPr>
      </w:pPr>
      <w:r>
        <w:rPr>
          <w:rStyle w:val="soitChar"/>
        </w:rPr>
        <w:t xml:space="preserve">Catégorie de résistance à la compression : </w:t>
      </w:r>
      <w:r>
        <w:rPr>
          <w:rStyle w:val="optioncarChar"/>
        </w:rPr>
        <w:t>CS IV (élevée) / CS III / CS II / CS I (faible) / non spécifié</w:t>
      </w:r>
    </w:p>
    <w:p w14:paraId="57565C81" w14:textId="77777777" w:rsidR="004B2808" w:rsidRDefault="00000000">
      <w:pPr>
        <w:pStyle w:val="Author-eListParagraph"/>
        <w:numPr>
          <w:ilvl w:val="0"/>
          <w:numId w:val="690"/>
        </w:numPr>
      </w:pPr>
      <w:r>
        <w:rPr>
          <w:rStyle w:val="soitChar"/>
        </w:rPr>
        <w:t xml:space="preserve">Catégorie d’absorption par capillarité : </w:t>
      </w:r>
      <w:r>
        <w:rPr>
          <w:rStyle w:val="optioncarChar"/>
        </w:rPr>
        <w:t xml:space="preserve">Wc0 (pas spécifié) </w:t>
      </w:r>
      <w:r>
        <w:t xml:space="preserve">(par défaut) </w:t>
      </w:r>
      <w:r>
        <w:rPr>
          <w:rStyle w:val="optioncarChar"/>
        </w:rPr>
        <w:t>/ Wc1 / Wc2 (faible) / non spécifié</w:t>
      </w:r>
    </w:p>
    <w:p w14:paraId="27279B3B" w14:textId="77777777" w:rsidR="004B2808" w:rsidRDefault="00000000">
      <w:pPr>
        <w:pStyle w:val="Author-eListParagraph"/>
        <w:numPr>
          <w:ilvl w:val="0"/>
          <w:numId w:val="690"/>
        </w:numPr>
      </w:pPr>
      <w:r>
        <w:rPr>
          <w:rStyle w:val="soitChar"/>
        </w:rPr>
        <w:t xml:space="preserve">Adhérence au support visé (essai en laboratoire) : </w:t>
      </w:r>
      <w:r>
        <w:rPr>
          <w:rStyle w:val="optioncarChar"/>
        </w:rPr>
        <w:t xml:space="preserve">non spécifié </w:t>
      </w:r>
      <w:r>
        <w:t>(par défaut)</w:t>
      </w:r>
      <w:r>
        <w:rPr>
          <w:rStyle w:val="optioncarChar"/>
        </w:rPr>
        <w:t xml:space="preserve"> / ≥ *** N/mm²</w:t>
      </w:r>
    </w:p>
    <w:p w14:paraId="357ADC28" w14:textId="77777777" w:rsidR="004B2808" w:rsidRDefault="00000000">
      <w:pPr>
        <w:pStyle w:val="Author-eListParagraph"/>
        <w:numPr>
          <w:ilvl w:val="0"/>
          <w:numId w:val="690"/>
        </w:numPr>
      </w:pPr>
      <w:r>
        <w:rPr>
          <w:rStyle w:val="soitChar"/>
        </w:rPr>
        <w:t xml:space="preserve">Réaction au feu : </w:t>
      </w:r>
      <w:r>
        <w:rPr>
          <w:rStyle w:val="optioncarChar"/>
        </w:rPr>
        <w:t xml:space="preserve">A1 </w:t>
      </w:r>
      <w:r>
        <w:t>(par défaut)</w:t>
      </w:r>
      <w:r>
        <w:rPr>
          <w:rStyle w:val="optioncarChar"/>
        </w:rPr>
        <w:t xml:space="preserve"> / ***</w:t>
      </w:r>
    </w:p>
    <w:p w14:paraId="455CCD70" w14:textId="77777777" w:rsidR="004B2808" w:rsidRDefault="00000000">
      <w:pPr>
        <w:jc w:val="both"/>
      </w:pPr>
      <w:r>
        <w:rPr>
          <w:b/>
        </w:rPr>
        <w:t>(soit)</w:t>
      </w:r>
    </w:p>
    <w:p w14:paraId="1442128A" w14:textId="77777777" w:rsidR="004B2808" w:rsidRDefault="00000000">
      <w:pPr>
        <w:jc w:val="both"/>
      </w:pPr>
      <w:r>
        <w:rPr>
          <w:rStyle w:val="soitChar"/>
          <w:u w:val="single"/>
        </w:rPr>
        <w:t>Dosé in situ :</w:t>
      </w:r>
      <w:r>
        <w:rPr>
          <w:rStyle w:val="soitChar"/>
        </w:rPr>
        <w:t xml:space="preserve"> en fonction du support et de la finition souhaitée, le système d’enduit est constitué d’une éventuelle couche d’accrochage (par ex. 500 kg de chaux par m³ de sable – soit L500), d’une couche de fond (par ex. 400 kg de chaux par m³ de sable, soit L400) et d’une éventuelle couche de finition (par ex. 300 kg de chaux par m³ de sable, soit L300).</w:t>
      </w:r>
    </w:p>
    <w:p w14:paraId="45CDEB3C" w14:textId="77777777" w:rsidR="004B2808" w:rsidRDefault="00000000">
      <w:pPr>
        <w:jc w:val="both"/>
      </w:pPr>
      <w:r>
        <w:rPr>
          <w:rStyle w:val="soitChar"/>
        </w:rPr>
        <w:lastRenderedPageBreak/>
        <w:t xml:space="preserve"> Le dosage et la composition des couches de base et de finition sont proposés par l’entrepreneur, la proposition est soumise à l’approbation de la direction de chantier.</w:t>
      </w:r>
    </w:p>
    <w:p w14:paraId="07C631FE" w14:textId="77777777" w:rsidR="004B2808" w:rsidRDefault="00000000">
      <w:pPr>
        <w:jc w:val="both"/>
      </w:pPr>
      <w:r>
        <w:rPr>
          <w:rStyle w:val="soitChar"/>
        </w:rPr>
        <w:t xml:space="preserve"> La chaux ayant des propriétés hydrauliques répond aux spécifications de la [NBN EN 459-1].</w:t>
      </w:r>
    </w:p>
    <w:p w14:paraId="5978A4E7" w14:textId="77777777" w:rsidR="004B2808" w:rsidRDefault="00000000">
      <w:pPr>
        <w:jc w:val="both"/>
      </w:pPr>
      <w:r>
        <w:rPr>
          <w:rStyle w:val="soitChar"/>
        </w:rPr>
        <w:t xml:space="preserve"> Ajout d’un agent hydrophobe : </w:t>
      </w:r>
      <w:r>
        <w:rPr>
          <w:rStyle w:val="optioncarChar"/>
        </w:rPr>
        <w:t>non</w:t>
      </w:r>
      <w:r>
        <w:t xml:space="preserve"> (par défaut) </w:t>
      </w:r>
      <w:r>
        <w:rPr>
          <w:rStyle w:val="optioncarChar"/>
        </w:rPr>
        <w:t>/ oui / non spécifié</w:t>
      </w:r>
    </w:p>
    <w:p w14:paraId="045B24A3" w14:textId="77777777" w:rsidR="004B2808" w:rsidRDefault="00000000">
      <w:pPr>
        <w:jc w:val="both"/>
      </w:pPr>
      <w:r>
        <w:rPr>
          <w:b/>
        </w:rPr>
        <w:t>(soit)</w:t>
      </w:r>
    </w:p>
    <w:p w14:paraId="37993837" w14:textId="77777777" w:rsidR="004B2808" w:rsidRDefault="00000000">
      <w:pPr>
        <w:jc w:val="both"/>
      </w:pPr>
      <w:r>
        <w:rPr>
          <w:rStyle w:val="soitChar"/>
          <w:u w:val="single"/>
        </w:rPr>
        <w:t>A proposer par l’entrepreneur </w:t>
      </w:r>
      <w:r>
        <w:rPr>
          <w:rStyle w:val="soitChar"/>
        </w:rPr>
        <w:t>: conformément aux prescriptions ci-dessus en cas d’enduit industriel ou dosé in situ. La proposition est soumise à l’approbation de la direction de chantier.</w:t>
      </w:r>
    </w:p>
    <w:p w14:paraId="0C0E55E6" w14:textId="77777777" w:rsidR="004B2808" w:rsidRDefault="00000000">
      <w:pPr>
        <w:pStyle w:val="pheading"/>
      </w:pPr>
      <w:r>
        <w:t>- Finitions</w:t>
      </w:r>
    </w:p>
    <w:p w14:paraId="1D0209B6" w14:textId="77777777" w:rsidR="004B2808" w:rsidRDefault="00000000">
      <w:pPr>
        <w:pStyle w:val="Author-eListParagraph"/>
        <w:numPr>
          <w:ilvl w:val="0"/>
          <w:numId w:val="691"/>
        </w:numPr>
        <w:jc w:val="both"/>
      </w:pPr>
      <w:r>
        <w:t>La dernière couche d’enduit est destinée à recevoir (non compté ici, compris dans l'article respectif) : </w:t>
      </w:r>
      <w:r>
        <w:rPr>
          <w:rStyle w:val="optioncarChar"/>
        </w:rPr>
        <w:t>rien </w:t>
      </w:r>
      <w:r>
        <w:t>(par défaut)</w:t>
      </w:r>
      <w:r>
        <w:rPr>
          <w:rStyle w:val="optioncarChar"/>
        </w:rPr>
        <w:t> / peinture</w:t>
      </w:r>
      <w:r>
        <w:t> </w:t>
      </w:r>
      <w:r>
        <w:rPr>
          <w:rStyle w:val="optioncarChar"/>
        </w:rPr>
        <w:t>(81.12 Finitions / décorations intérieures des parois (murs et plafonds)) / ***</w:t>
      </w:r>
    </w:p>
    <w:p w14:paraId="723B4496" w14:textId="77777777" w:rsidR="004B2808" w:rsidRDefault="00000000">
      <w:pPr>
        <w:pStyle w:val="Author-eListParagraph"/>
        <w:numPr>
          <w:ilvl w:val="0"/>
          <w:numId w:val="691"/>
        </w:numPr>
        <w:jc w:val="both"/>
      </w:pPr>
      <w:r>
        <w:t>Parachèvement de l’enduit de finition : </w:t>
      </w:r>
      <w:r>
        <w:rPr>
          <w:rStyle w:val="optioncarChar"/>
        </w:rPr>
        <w:t>dressé et lisse </w:t>
      </w:r>
      <w:r>
        <w:t>(par défaut)</w:t>
      </w:r>
      <w:r>
        <w:rPr>
          <w:rStyle w:val="optioncarChar"/>
        </w:rPr>
        <w:t> / structure grattée / dressée (pour recevoir par ex. un carrelage) / ***</w:t>
      </w:r>
    </w:p>
    <w:p w14:paraId="66C3148B" w14:textId="77777777" w:rsidR="004B2808" w:rsidRDefault="00000000">
      <w:pPr>
        <w:pStyle w:val="Author-eListParagraph"/>
        <w:numPr>
          <w:ilvl w:val="0"/>
          <w:numId w:val="691"/>
        </w:numPr>
        <w:jc w:val="both"/>
      </w:pPr>
      <w:r>
        <w:t>Niveau de qualité des finitions lisses le cas échéant : </w:t>
      </w:r>
      <w:r>
        <w:rPr>
          <w:rStyle w:val="optioncarChar"/>
        </w:rPr>
        <w:t>Q1-Q2-Q3 </w:t>
      </w:r>
      <w:r>
        <w:t>(par défaut)</w:t>
      </w:r>
      <w:r>
        <w:rPr>
          <w:rStyle w:val="optioncarChar"/>
        </w:rPr>
        <w:t> / Q4</w:t>
      </w:r>
    </w:p>
    <w:p w14:paraId="64F8019E" w14:textId="77777777" w:rsidR="004B2808" w:rsidRDefault="00000000">
      <w:pPr>
        <w:pStyle w:val="Author-eListParagraph"/>
        <w:numPr>
          <w:ilvl w:val="0"/>
          <w:numId w:val="691"/>
        </w:numPr>
        <w:jc w:val="both"/>
      </w:pPr>
      <w:r>
        <w:t>Couleur par adjonction de pigments de la finition destinée à rester visible : </w:t>
      </w:r>
      <w:r>
        <w:rPr>
          <w:rStyle w:val="optioncarChar"/>
        </w:rPr>
        <w:t>à proposer par l’entrepreneur</w:t>
      </w:r>
      <w:r>
        <w:t> (par défaut)</w:t>
      </w:r>
      <w:r>
        <w:rPr>
          <w:rStyle w:val="optioncarChar"/>
        </w:rPr>
        <w:t> / blanc / beige / ***</w:t>
      </w:r>
    </w:p>
    <w:p w14:paraId="19630489" w14:textId="77777777" w:rsidR="004B2808" w:rsidRDefault="00000000">
      <w:pPr>
        <w:pStyle w:val="pheading"/>
      </w:pPr>
      <w:r>
        <w:t>EXÉCUTION / MISE EN ŒUVRE</w:t>
      </w:r>
    </w:p>
    <w:p w14:paraId="06B1B219" w14:textId="77777777" w:rsidR="004B2808" w:rsidRDefault="00000000">
      <w:pPr>
        <w:pStyle w:val="pheading"/>
      </w:pPr>
      <w:r>
        <w:t>- Prescriptions générales</w:t>
      </w:r>
    </w:p>
    <w:p w14:paraId="6A0A10A4" w14:textId="77777777" w:rsidR="004B2808" w:rsidRDefault="00000000">
      <w:pPr>
        <w:jc w:val="both"/>
      </w:pPr>
      <w:r>
        <w:t>Les travaux préparatoires et l’exécution sont conformes à la [NBN EN 13914-2], à la [NIT 284] et à la documentation technique accompagnant les produits.</w:t>
      </w:r>
    </w:p>
    <w:p w14:paraId="1F2D6030" w14:textId="77777777" w:rsidR="004B2808" w:rsidRDefault="00000000">
      <w:pPr>
        <w:jc w:val="both"/>
      </w:pPr>
      <w:r>
        <w:t xml:space="preserve">Le support est physiquement et visuellement accessible : </w:t>
      </w:r>
      <w:r>
        <w:rPr>
          <w:rStyle w:val="optioncarChar"/>
        </w:rPr>
        <w:t xml:space="preserve">oui </w:t>
      </w:r>
      <w:r>
        <w:t>(par défaut)</w:t>
      </w:r>
      <w:r>
        <w:rPr>
          <w:rStyle w:val="optioncarChar"/>
        </w:rPr>
        <w:t xml:space="preserve"> / non</w:t>
      </w:r>
      <w:r>
        <w:t>.</w:t>
      </w:r>
    </w:p>
    <w:p w14:paraId="2ACFC78A" w14:textId="77777777" w:rsidR="004B2808" w:rsidRDefault="00000000">
      <w:pPr>
        <w:jc w:val="both"/>
      </w:pPr>
      <w:r>
        <w:t xml:space="preserve">Type de support : </w:t>
      </w:r>
      <w:r>
        <w:rPr>
          <w:rStyle w:val="optioncarChar"/>
        </w:rPr>
        <w:t>plancher en béton (éléments préfabriqués ou coulé in situ) / en poutrains-claveaux en béton ou en terre cuite / en gîtage / panneaux à enduire / panneaux isolants à enduire / ***</w:t>
      </w:r>
      <w:r>
        <w:t>.</w:t>
      </w:r>
    </w:p>
    <w:p w14:paraId="0026B228" w14:textId="77777777" w:rsidR="004B2808" w:rsidRDefault="00000000">
      <w:pPr>
        <w:jc w:val="both"/>
      </w:pPr>
      <w:r>
        <w:t xml:space="preserve">Nécessité d’un support d’enduit à poser par l’enduiseur et compris dans le présent poste : </w:t>
      </w:r>
      <w:r>
        <w:rPr>
          <w:rStyle w:val="optioncarChar"/>
        </w:rPr>
        <w:t xml:space="preserve">à proposer par l’entrepreneur </w:t>
      </w:r>
      <w:r>
        <w:t>(par défaut)</w:t>
      </w:r>
      <w:r>
        <w:rPr>
          <w:rStyle w:val="optioncarChar"/>
        </w:rPr>
        <w:t xml:space="preserve"> / treillis métallique à dos cartonné / ***.</w:t>
      </w:r>
    </w:p>
    <w:p w14:paraId="678D64C6" w14:textId="77777777" w:rsidR="004B2808" w:rsidRDefault="00000000">
      <w:pPr>
        <w:jc w:val="both"/>
      </w:pPr>
      <w:r>
        <w:t xml:space="preserve">Nécessité d’un treillis de renforcement : </w:t>
      </w:r>
      <w:r>
        <w:rPr>
          <w:rStyle w:val="optioncarChar"/>
        </w:rPr>
        <w:t xml:space="preserve">à proposer par l’entrepreneur </w:t>
      </w:r>
      <w:r>
        <w:t>(par défaut)</w:t>
      </w:r>
      <w:r>
        <w:rPr>
          <w:rStyle w:val="optioncarChar"/>
        </w:rPr>
        <w:t xml:space="preserve"> / treillis métallique / treillis en fibres de verre / ***.</w:t>
      </w:r>
    </w:p>
    <w:p w14:paraId="365FDB45" w14:textId="77777777" w:rsidR="004B2808" w:rsidRDefault="00000000">
      <w:pPr>
        <w:jc w:val="both"/>
      </w:pPr>
      <w:r>
        <w:t xml:space="preserve">Conception de l’enduit : </w:t>
      </w:r>
      <w:r>
        <w:rPr>
          <w:rStyle w:val="optioncarChar"/>
        </w:rPr>
        <w:t xml:space="preserve">à proposer par l’entrepreneur </w:t>
      </w:r>
      <w:r>
        <w:t>(par défaut)</w:t>
      </w:r>
      <w:r>
        <w:rPr>
          <w:rStyle w:val="optioncarChar"/>
        </w:rPr>
        <w:t xml:space="preserve"> / monocouche en 10 mm d’épaisseur / multicouche (couche de base en 10 mm d’épaisseur) / ***</w:t>
      </w:r>
      <w:r>
        <w:t>.</w:t>
      </w:r>
    </w:p>
    <w:p w14:paraId="166BB80A" w14:textId="77777777" w:rsidR="004B2808" w:rsidRDefault="00000000">
      <w:pPr>
        <w:jc w:val="both"/>
      </w:pPr>
      <w:r>
        <w:t xml:space="preserve">Classe de tolérances géométriques : </w:t>
      </w:r>
      <w:r>
        <w:rPr>
          <w:rStyle w:val="optioncarChar"/>
        </w:rPr>
        <w:t xml:space="preserve">normale </w:t>
      </w:r>
      <w:r>
        <w:t>(par défaut)</w:t>
      </w:r>
      <w:r>
        <w:rPr>
          <w:rStyle w:val="optioncarChar"/>
        </w:rPr>
        <w:t xml:space="preserve"> / spéciale</w:t>
      </w:r>
    </w:p>
    <w:p w14:paraId="3D802688" w14:textId="77777777" w:rsidR="004B2808" w:rsidRDefault="00000000">
      <w:pPr>
        <w:pStyle w:val="pheading"/>
      </w:pPr>
      <w:r>
        <w:t>MESURAGE</w:t>
      </w:r>
    </w:p>
    <w:p w14:paraId="78531382" w14:textId="77777777" w:rsidR="004B2808" w:rsidRDefault="00000000">
      <w:pPr>
        <w:pStyle w:val="pheading"/>
      </w:pPr>
      <w:r>
        <w:t>- unité de mesure:</w:t>
      </w:r>
    </w:p>
    <w:p w14:paraId="262055D8" w14:textId="77777777" w:rsidR="004B2808" w:rsidRDefault="00000000">
      <w:r>
        <w:t>m²</w:t>
      </w:r>
    </w:p>
    <w:p w14:paraId="4189FD6F" w14:textId="77777777" w:rsidR="004B2808" w:rsidRDefault="00000000">
      <w:pPr>
        <w:pStyle w:val="pheading"/>
      </w:pPr>
      <w:r>
        <w:t>- code de mesurage:</w:t>
      </w:r>
    </w:p>
    <w:p w14:paraId="65CC6D7A" w14:textId="77777777" w:rsidR="004B2808" w:rsidRDefault="00000000">
      <w:r>
        <w:t>Surface nette, les réservations supérieures à 0,5 m² sont déduites.</w:t>
      </w:r>
    </w:p>
    <w:p w14:paraId="6E90DF92" w14:textId="77777777" w:rsidR="004B2808" w:rsidRDefault="00000000">
      <w:pPr>
        <w:pStyle w:val="pheading"/>
      </w:pPr>
      <w:r>
        <w:t>- nature du marché:</w:t>
      </w:r>
    </w:p>
    <w:p w14:paraId="46DDE6B7" w14:textId="77777777" w:rsidR="004B2808" w:rsidRDefault="00000000">
      <w:r>
        <w:t>QF</w:t>
      </w:r>
    </w:p>
    <w:p w14:paraId="49E8CBED" w14:textId="77777777" w:rsidR="004B2808" w:rsidRDefault="00000000">
      <w:pPr>
        <w:pStyle w:val="Author-eSectionHeading5Numberless"/>
      </w:pPr>
      <w:bookmarkStart w:id="888" w:name="_Toc220491025"/>
      <w:r>
        <w:t>54.15.3 Enduits batards, ciment + chaux aérienne CCTB 01.02</w:t>
      </w:r>
      <w:bookmarkEnd w:id="888"/>
    </w:p>
    <w:p w14:paraId="02E42DF3" w14:textId="77777777" w:rsidR="004B2808" w:rsidRDefault="00000000">
      <w:pPr>
        <w:pStyle w:val="Author-eSectionHeading6Numberless"/>
      </w:pPr>
      <w:bookmarkStart w:id="889" w:name="_Toc220491026"/>
      <w:r>
        <w:t>54.15.3a Enduits bâtards, ciment + chaux aérienne CCTB 01.11</w:t>
      </w:r>
      <w:bookmarkEnd w:id="889"/>
    </w:p>
    <w:p w14:paraId="06C37782" w14:textId="77777777" w:rsidR="004B2808" w:rsidRDefault="00000000">
      <w:pPr>
        <w:pStyle w:val="pheading"/>
      </w:pPr>
      <w:r>
        <w:t>DESCRIPTION</w:t>
      </w:r>
    </w:p>
    <w:p w14:paraId="13CC5A7F" w14:textId="77777777" w:rsidR="004B2808" w:rsidRDefault="00000000">
      <w:pPr>
        <w:pStyle w:val="pheading"/>
      </w:pPr>
      <w:r>
        <w:t>- Définition / Comprend</w:t>
      </w:r>
    </w:p>
    <w:p w14:paraId="21B88150" w14:textId="77777777" w:rsidR="004B2808" w:rsidRDefault="00000000">
      <w:pPr>
        <w:jc w:val="both"/>
      </w:pPr>
      <w:r>
        <w:lastRenderedPageBreak/>
        <w:t>Il s’agit de la fourniture et la pose d’un système d’enduit à base de ciment et de chaux aérienne (chaux grasse, chaux hydratée) sur plafond intérieur.</w:t>
      </w:r>
    </w:p>
    <w:p w14:paraId="3E4593B8" w14:textId="77777777" w:rsidR="004B2808" w:rsidRDefault="00000000">
      <w:pPr>
        <w:pStyle w:val="pheading"/>
      </w:pPr>
      <w:r>
        <w:t>MATÉRIAUX</w:t>
      </w:r>
    </w:p>
    <w:p w14:paraId="0E40DE23" w14:textId="77777777" w:rsidR="004B2808" w:rsidRDefault="00000000">
      <w:pPr>
        <w:pStyle w:val="pheading"/>
      </w:pPr>
      <w:r>
        <w:t>- Caractéristiques générales</w:t>
      </w:r>
    </w:p>
    <w:p w14:paraId="6996B03E" w14:textId="77777777" w:rsidR="004B2808" w:rsidRDefault="00000000">
      <w:pPr>
        <w:jc w:val="both"/>
      </w:pPr>
      <w:r>
        <w:t xml:space="preserve">Le système d’enduit à appliquer est un système </w:t>
      </w:r>
      <w:r>
        <w:rPr>
          <w:rStyle w:val="optioncarChar"/>
        </w:rPr>
        <w:t xml:space="preserve">industriel </w:t>
      </w:r>
      <w:r>
        <w:t>(par défaut)</w:t>
      </w:r>
      <w:r>
        <w:rPr>
          <w:rStyle w:val="optioncarChar"/>
        </w:rPr>
        <w:t xml:space="preserve"> / dosé in situ / à proposer par l’entrepreneur.</w:t>
      </w:r>
    </w:p>
    <w:p w14:paraId="54F417F5" w14:textId="77777777" w:rsidR="004B2808" w:rsidRDefault="00000000">
      <w:pPr>
        <w:jc w:val="both"/>
      </w:pPr>
      <w:r>
        <w:rPr>
          <w:b/>
        </w:rPr>
        <w:t>(soit par défaut)</w:t>
      </w:r>
    </w:p>
    <w:p w14:paraId="3347FF40" w14:textId="77777777" w:rsidR="004B2808" w:rsidRDefault="00000000">
      <w:pPr>
        <w:jc w:val="both"/>
      </w:pPr>
      <w:r>
        <w:rPr>
          <w:rStyle w:val="soitChar"/>
          <w:u w:val="single"/>
        </w:rPr>
        <w:t>Industriel :</w:t>
      </w:r>
      <w:r>
        <w:rPr>
          <w:rStyle w:val="soitChar"/>
        </w:rPr>
        <w:t xml:space="preserve"> les différentes couches d’enduits répondent aux spécifications de la [NBN EN 998-1]. Les catégories ou classes sont prescrites comme suit :</w:t>
      </w:r>
    </w:p>
    <w:p w14:paraId="6C180DA5" w14:textId="77777777" w:rsidR="004B2808" w:rsidRDefault="00000000">
      <w:pPr>
        <w:pStyle w:val="Author-eListParagraph"/>
        <w:numPr>
          <w:ilvl w:val="0"/>
          <w:numId w:val="692"/>
        </w:numPr>
      </w:pPr>
      <w:r>
        <w:rPr>
          <w:rStyle w:val="soitChar"/>
        </w:rPr>
        <w:t xml:space="preserve">Type de ciment : </w:t>
      </w:r>
      <w:r>
        <w:rPr>
          <w:rStyle w:val="optioncarChar"/>
        </w:rPr>
        <w:t xml:space="preserve">à proposer par l’entrepreneur </w:t>
      </w:r>
      <w:r>
        <w:t>(par défaut)</w:t>
      </w:r>
      <w:r>
        <w:rPr>
          <w:rStyle w:val="optioncarChar"/>
        </w:rPr>
        <w:t xml:space="preserve"> / ***</w:t>
      </w:r>
    </w:p>
    <w:p w14:paraId="71D05326" w14:textId="77777777" w:rsidR="004B2808" w:rsidRDefault="00000000">
      <w:pPr>
        <w:pStyle w:val="Author-eListParagraph"/>
        <w:numPr>
          <w:ilvl w:val="0"/>
          <w:numId w:val="692"/>
        </w:numPr>
      </w:pPr>
      <w:r>
        <w:rPr>
          <w:rStyle w:val="soitChar"/>
        </w:rPr>
        <w:t xml:space="preserve">Type de chaux aérienne : </w:t>
      </w:r>
      <w:r>
        <w:rPr>
          <w:rStyle w:val="optioncarChar"/>
        </w:rPr>
        <w:t>à proposer par l’entrepreneur</w:t>
      </w:r>
      <w:r>
        <w:t xml:space="preserve"> (par défaut)</w:t>
      </w:r>
      <w:r>
        <w:rPr>
          <w:rStyle w:val="optioncarChar"/>
        </w:rPr>
        <w:t xml:space="preserve"> / CL 90 / ***</w:t>
      </w:r>
    </w:p>
    <w:p w14:paraId="6012BB55" w14:textId="77777777" w:rsidR="004B2808" w:rsidRDefault="00000000">
      <w:pPr>
        <w:pStyle w:val="Author-eListParagraph"/>
        <w:numPr>
          <w:ilvl w:val="0"/>
          <w:numId w:val="692"/>
        </w:numPr>
      </w:pPr>
      <w:r>
        <w:rPr>
          <w:rStyle w:val="soitChar"/>
        </w:rPr>
        <w:t xml:space="preserve">Type d’enduit : </w:t>
      </w:r>
      <w:r>
        <w:rPr>
          <w:rStyle w:val="optioncarChar"/>
        </w:rPr>
        <w:t xml:space="preserve">GP (mortier d’usage courant) </w:t>
      </w:r>
      <w:r>
        <w:t>(par défaut)</w:t>
      </w:r>
      <w:r>
        <w:rPr>
          <w:rStyle w:val="optioncarChar"/>
        </w:rPr>
        <w:t xml:space="preserve"> / LW (mortier allégés) / CR (mortiers colorés) / OC (mortier monocouche) / R (mortier de rénovation) / T (mortier isolant) / non spécifié.</w:t>
      </w:r>
    </w:p>
    <w:p w14:paraId="49A9A6B0" w14:textId="77777777" w:rsidR="004B2808" w:rsidRDefault="00000000">
      <w:pPr>
        <w:pStyle w:val="Author-eListParagraph"/>
        <w:numPr>
          <w:ilvl w:val="0"/>
          <w:numId w:val="692"/>
        </w:numPr>
      </w:pPr>
      <w:r>
        <w:rPr>
          <w:rStyle w:val="soitChar"/>
        </w:rPr>
        <w:t xml:space="preserve">Catégorie de résistance à la compression : </w:t>
      </w:r>
      <w:r>
        <w:rPr>
          <w:rStyle w:val="optioncarChar"/>
        </w:rPr>
        <w:t>CS IV (élevée) / CS III / CS II / CS I (faible) / non spécifié</w:t>
      </w:r>
    </w:p>
    <w:p w14:paraId="0C6C7C9E" w14:textId="77777777" w:rsidR="004B2808" w:rsidRDefault="00000000">
      <w:pPr>
        <w:pStyle w:val="Author-eListParagraph"/>
        <w:numPr>
          <w:ilvl w:val="0"/>
          <w:numId w:val="692"/>
        </w:numPr>
      </w:pPr>
      <w:r>
        <w:rPr>
          <w:rStyle w:val="soitChar"/>
        </w:rPr>
        <w:t xml:space="preserve">Catégorie d’absorption par capillarité : </w:t>
      </w:r>
      <w:r>
        <w:rPr>
          <w:rStyle w:val="optioncarChar"/>
        </w:rPr>
        <w:t xml:space="preserve">Wc0 (pas spécifié) </w:t>
      </w:r>
      <w:r>
        <w:t>(par défaut)</w:t>
      </w:r>
      <w:r>
        <w:rPr>
          <w:rStyle w:val="optioncarChar"/>
        </w:rPr>
        <w:t xml:space="preserve"> / Wc1 / Wc2 (faible) / non spécifié</w:t>
      </w:r>
    </w:p>
    <w:p w14:paraId="38F5623C" w14:textId="77777777" w:rsidR="004B2808" w:rsidRDefault="00000000">
      <w:pPr>
        <w:pStyle w:val="Author-eListParagraph"/>
        <w:numPr>
          <w:ilvl w:val="0"/>
          <w:numId w:val="692"/>
        </w:numPr>
      </w:pPr>
      <w:r>
        <w:rPr>
          <w:rStyle w:val="soitChar"/>
        </w:rPr>
        <w:t xml:space="preserve">Adhérence au support visé (essai en laboratoire) : </w:t>
      </w:r>
      <w:r>
        <w:rPr>
          <w:rStyle w:val="optioncarChar"/>
        </w:rPr>
        <w:t xml:space="preserve">non spécifié </w:t>
      </w:r>
      <w:r>
        <w:t xml:space="preserve">(par défaut) </w:t>
      </w:r>
      <w:r>
        <w:rPr>
          <w:rStyle w:val="optioncarChar"/>
        </w:rPr>
        <w:t>/ ≥ *** N/mm²</w:t>
      </w:r>
    </w:p>
    <w:p w14:paraId="38C67169" w14:textId="77777777" w:rsidR="004B2808" w:rsidRDefault="00000000">
      <w:pPr>
        <w:pStyle w:val="Author-eListParagraph"/>
        <w:numPr>
          <w:ilvl w:val="0"/>
          <w:numId w:val="692"/>
        </w:numPr>
      </w:pPr>
      <w:r>
        <w:rPr>
          <w:rStyle w:val="soitChar"/>
        </w:rPr>
        <w:t xml:space="preserve">Réaction au feu : </w:t>
      </w:r>
      <w:r>
        <w:rPr>
          <w:rStyle w:val="optioncarChar"/>
        </w:rPr>
        <w:t>A1</w:t>
      </w:r>
      <w:r>
        <w:t xml:space="preserve"> (par défaut)</w:t>
      </w:r>
      <w:r>
        <w:rPr>
          <w:rStyle w:val="optioncarChar"/>
        </w:rPr>
        <w:t xml:space="preserve"> / ***</w:t>
      </w:r>
    </w:p>
    <w:p w14:paraId="2FF9AC47" w14:textId="77777777" w:rsidR="004B2808" w:rsidRDefault="00000000">
      <w:pPr>
        <w:jc w:val="both"/>
      </w:pPr>
      <w:r>
        <w:rPr>
          <w:b/>
        </w:rPr>
        <w:t>(soit)</w:t>
      </w:r>
    </w:p>
    <w:p w14:paraId="1852DF2F" w14:textId="77777777" w:rsidR="004B2808" w:rsidRDefault="00000000">
      <w:pPr>
        <w:jc w:val="both"/>
      </w:pPr>
      <w:r>
        <w:rPr>
          <w:rStyle w:val="soitChar"/>
          <w:u w:val="single"/>
        </w:rPr>
        <w:t>Dosé in situ :</w:t>
      </w:r>
      <w:r>
        <w:rPr>
          <w:rStyle w:val="soitChar"/>
        </w:rPr>
        <w:t xml:space="preserve"> en fonction du support et de la finition souhaitée, le système d’enduit est constitué d’une éventuelle couche d’accrochage, d’une couche de fond (par ex. 250 kg de ciment et 250 kg de chaux par m³ de sable, soit C250 AL250) et d’une éventuelle couche de finition (par ex. 120 kg de ciment et 120 kg de chaux par m³ de sable, soit C120 AL120).</w:t>
      </w:r>
    </w:p>
    <w:p w14:paraId="3E48DB2D" w14:textId="77777777" w:rsidR="004B2808" w:rsidRDefault="00000000">
      <w:pPr>
        <w:jc w:val="both"/>
      </w:pPr>
      <w:r>
        <w:rPr>
          <w:rStyle w:val="soitChar"/>
        </w:rPr>
        <w:t xml:space="preserve"> Le dosage et la composition des couches de base et de finition sont proposés par l’entrepreneur, la proposition est soumise à l’approbation de la direction de chantier.</w:t>
      </w:r>
    </w:p>
    <w:p w14:paraId="0C0D23AB" w14:textId="77777777" w:rsidR="004B2808" w:rsidRDefault="00000000">
      <w:pPr>
        <w:jc w:val="both"/>
      </w:pPr>
      <w:r>
        <w:rPr>
          <w:rStyle w:val="soitChar"/>
        </w:rPr>
        <w:t xml:space="preserve"> Le ciment dispose d'une déclaration d'aptitude à l'utilisation suivant les prescriptions de l'élément 02.42.1 Critères d'acceptabilité.</w:t>
      </w:r>
    </w:p>
    <w:p w14:paraId="6F1E142F" w14:textId="77777777" w:rsidR="004B2808" w:rsidRDefault="00000000">
      <w:pPr>
        <w:jc w:val="both"/>
      </w:pPr>
      <w:r>
        <w:rPr>
          <w:rStyle w:val="soitChar"/>
        </w:rPr>
        <w:t xml:space="preserve"> Ajout d’un agent hydrophobe : </w:t>
      </w:r>
      <w:r>
        <w:rPr>
          <w:rStyle w:val="optioncarChar"/>
        </w:rPr>
        <w:t>non</w:t>
      </w:r>
      <w:r>
        <w:t xml:space="preserve"> (par défaut)</w:t>
      </w:r>
      <w:r>
        <w:rPr>
          <w:rStyle w:val="optioncarChar"/>
        </w:rPr>
        <w:t xml:space="preserve"> / oui / non spécifié</w:t>
      </w:r>
    </w:p>
    <w:p w14:paraId="6FF950B3" w14:textId="77777777" w:rsidR="004B2808" w:rsidRDefault="00000000">
      <w:pPr>
        <w:jc w:val="both"/>
      </w:pPr>
      <w:r>
        <w:rPr>
          <w:b/>
        </w:rPr>
        <w:t>(soit)</w:t>
      </w:r>
    </w:p>
    <w:p w14:paraId="4A99C628" w14:textId="77777777" w:rsidR="004B2808" w:rsidRDefault="00000000">
      <w:pPr>
        <w:jc w:val="both"/>
      </w:pPr>
      <w:r>
        <w:rPr>
          <w:rStyle w:val="soitChar"/>
          <w:u w:val="single"/>
        </w:rPr>
        <w:t>A proposer par l’entrepreneur :</w:t>
      </w:r>
      <w:r>
        <w:rPr>
          <w:rStyle w:val="soitChar"/>
        </w:rPr>
        <w:t xml:space="preserve"> conformément aux prescriptions ci-dessus en cas d’enduit industriel ou dosé in situ. La proposition est soumise à l’approbation de la direction de chantier.</w:t>
      </w:r>
    </w:p>
    <w:p w14:paraId="0853D25D" w14:textId="77777777" w:rsidR="004B2808" w:rsidRDefault="00000000">
      <w:pPr>
        <w:pStyle w:val="pheading"/>
      </w:pPr>
      <w:r>
        <w:t>- Finitions</w:t>
      </w:r>
    </w:p>
    <w:p w14:paraId="12B9E77F" w14:textId="77777777" w:rsidR="004B2808" w:rsidRDefault="00000000">
      <w:pPr>
        <w:pStyle w:val="Author-eListParagraph"/>
        <w:numPr>
          <w:ilvl w:val="0"/>
          <w:numId w:val="693"/>
        </w:numPr>
        <w:jc w:val="both"/>
      </w:pPr>
      <w:r>
        <w:t xml:space="preserve">La dernière couche d’enduit est destinée à recevoir (non compté ici, compris dans l'article respectif) : </w:t>
      </w:r>
      <w:r>
        <w:rPr>
          <w:rStyle w:val="optioncarChar"/>
        </w:rPr>
        <w:t xml:space="preserve">rien </w:t>
      </w:r>
      <w:r>
        <w:t xml:space="preserve">(par défaut) </w:t>
      </w:r>
      <w:r>
        <w:rPr>
          <w:rStyle w:val="optioncarChar"/>
        </w:rPr>
        <w:t>/ peinture (81.12 Finitions / décorations intérieures des parois (murs et plafonds)) / ***</w:t>
      </w:r>
    </w:p>
    <w:p w14:paraId="00F29EF9" w14:textId="77777777" w:rsidR="004B2808" w:rsidRDefault="00000000">
      <w:pPr>
        <w:pStyle w:val="Author-eListParagraph"/>
        <w:numPr>
          <w:ilvl w:val="0"/>
          <w:numId w:val="693"/>
        </w:numPr>
        <w:jc w:val="both"/>
      </w:pPr>
      <w:r>
        <w:t xml:space="preserve">Parachèvement de l’enduit de finition : </w:t>
      </w:r>
      <w:r>
        <w:rPr>
          <w:rStyle w:val="optioncarChar"/>
        </w:rPr>
        <w:t xml:space="preserve">dressé et lisse </w:t>
      </w:r>
      <w:r>
        <w:t>(par défaut)</w:t>
      </w:r>
      <w:r>
        <w:rPr>
          <w:rStyle w:val="optioncarChar"/>
        </w:rPr>
        <w:t xml:space="preserve"> / structure grattée / dressée (pour recevoir par ex. un carrelage) / ***</w:t>
      </w:r>
    </w:p>
    <w:p w14:paraId="76C973E5" w14:textId="77777777" w:rsidR="004B2808" w:rsidRDefault="00000000">
      <w:pPr>
        <w:pStyle w:val="Author-eListParagraph"/>
        <w:numPr>
          <w:ilvl w:val="0"/>
          <w:numId w:val="693"/>
        </w:numPr>
        <w:jc w:val="both"/>
      </w:pPr>
      <w:r>
        <w:t xml:space="preserve">Niveau de qualité des finitions lisses le cas échéant : </w:t>
      </w:r>
      <w:r>
        <w:rPr>
          <w:rStyle w:val="optioncarChar"/>
        </w:rPr>
        <w:t xml:space="preserve">Q1-Q2-Q3 </w:t>
      </w:r>
      <w:r>
        <w:t>(par défaut)</w:t>
      </w:r>
      <w:r>
        <w:rPr>
          <w:rStyle w:val="optioncarChar"/>
        </w:rPr>
        <w:t xml:space="preserve"> / Q4</w:t>
      </w:r>
    </w:p>
    <w:p w14:paraId="2970164C" w14:textId="77777777" w:rsidR="004B2808" w:rsidRDefault="00000000">
      <w:pPr>
        <w:pStyle w:val="Author-eListParagraph"/>
        <w:numPr>
          <w:ilvl w:val="0"/>
          <w:numId w:val="693"/>
        </w:numPr>
        <w:jc w:val="both"/>
      </w:pPr>
      <w:r>
        <w:t xml:space="preserve">Couleur par adjonction de pigments de la finition destinée à rester visible : </w:t>
      </w:r>
      <w:r>
        <w:rPr>
          <w:rStyle w:val="optioncarChar"/>
        </w:rPr>
        <w:t xml:space="preserve">à proposer par l’entrepreneur </w:t>
      </w:r>
      <w:r>
        <w:t>(par défaut)</w:t>
      </w:r>
      <w:r>
        <w:rPr>
          <w:rStyle w:val="optioncarChar"/>
        </w:rPr>
        <w:t xml:space="preserve"> / blanc / beige / ***</w:t>
      </w:r>
    </w:p>
    <w:p w14:paraId="4C143B99" w14:textId="77777777" w:rsidR="004B2808" w:rsidRDefault="00000000">
      <w:pPr>
        <w:pStyle w:val="pheading"/>
      </w:pPr>
      <w:r>
        <w:t>EXÉCUTION / MISE EN ŒUVRE</w:t>
      </w:r>
    </w:p>
    <w:p w14:paraId="3F3F3C31" w14:textId="77777777" w:rsidR="004B2808" w:rsidRDefault="00000000">
      <w:pPr>
        <w:pStyle w:val="pheading"/>
      </w:pPr>
      <w:r>
        <w:t>- Prescriptions générales</w:t>
      </w:r>
    </w:p>
    <w:p w14:paraId="77F4F4F2" w14:textId="77777777" w:rsidR="004B2808" w:rsidRDefault="00000000">
      <w:pPr>
        <w:jc w:val="both"/>
      </w:pPr>
      <w:r>
        <w:t>Les travaux préparatoires et l’exécution sont conformes à la [NBN EN 13914-2], à la [NIT 284] et à la documentation technique accompagnant les produits.</w:t>
      </w:r>
    </w:p>
    <w:p w14:paraId="0B65DD41" w14:textId="77777777" w:rsidR="004B2808" w:rsidRDefault="00000000">
      <w:pPr>
        <w:jc w:val="both"/>
      </w:pPr>
      <w:r>
        <w:lastRenderedPageBreak/>
        <w:t xml:space="preserve">Le support est physiquement et visuellement accessible : </w:t>
      </w:r>
      <w:r>
        <w:rPr>
          <w:rStyle w:val="optioncarChar"/>
        </w:rPr>
        <w:t xml:space="preserve">oui </w:t>
      </w:r>
      <w:r>
        <w:t xml:space="preserve">(par défaut) </w:t>
      </w:r>
      <w:r>
        <w:rPr>
          <w:rStyle w:val="optioncarChar"/>
        </w:rPr>
        <w:t>/ non.</w:t>
      </w:r>
    </w:p>
    <w:p w14:paraId="5DE5CB79" w14:textId="77777777" w:rsidR="004B2808" w:rsidRDefault="00000000">
      <w:pPr>
        <w:jc w:val="both"/>
      </w:pPr>
      <w:r>
        <w:t xml:space="preserve">Type de support : </w:t>
      </w:r>
      <w:r>
        <w:rPr>
          <w:rStyle w:val="optioncarChar"/>
        </w:rPr>
        <w:t>plancher en béton (éléments préfabriqués ou coulé in situ) / en poutrains-claveaux en béton ou en terre cuite / en gîtage / panneaux à enduire / panneaux isolants à enduire / ***.</w:t>
      </w:r>
    </w:p>
    <w:p w14:paraId="53BBB806" w14:textId="77777777" w:rsidR="004B2808" w:rsidRDefault="00000000">
      <w:pPr>
        <w:jc w:val="both"/>
      </w:pPr>
      <w:r>
        <w:t xml:space="preserve">Nécessité d’un support d’enduit à poser par l’enduiseur et compris dans le présent poste : </w:t>
      </w:r>
      <w:r>
        <w:rPr>
          <w:rStyle w:val="optioncarChar"/>
        </w:rPr>
        <w:t xml:space="preserve">à proposer par l’entrepreneur </w:t>
      </w:r>
      <w:r>
        <w:t>(par défaut)</w:t>
      </w:r>
      <w:r>
        <w:rPr>
          <w:rStyle w:val="optioncarChar"/>
        </w:rPr>
        <w:t xml:space="preserve"> / treillis métallique à dos cartonné / ***.</w:t>
      </w:r>
    </w:p>
    <w:p w14:paraId="638F9A90" w14:textId="77777777" w:rsidR="004B2808" w:rsidRDefault="00000000">
      <w:pPr>
        <w:jc w:val="both"/>
      </w:pPr>
      <w:r>
        <w:t xml:space="preserve">Nécessité d’un treillis de renforcement : </w:t>
      </w:r>
      <w:r>
        <w:rPr>
          <w:rStyle w:val="optioncarChar"/>
        </w:rPr>
        <w:t xml:space="preserve">à proposer par l’entrepreneur </w:t>
      </w:r>
      <w:r>
        <w:t>(par défaut)</w:t>
      </w:r>
      <w:r>
        <w:rPr>
          <w:rStyle w:val="optioncarChar"/>
        </w:rPr>
        <w:t xml:space="preserve"> / treillis métallique / treillis en fibres de verre / ***.</w:t>
      </w:r>
    </w:p>
    <w:p w14:paraId="17298518" w14:textId="77777777" w:rsidR="004B2808" w:rsidRDefault="00000000">
      <w:pPr>
        <w:jc w:val="both"/>
      </w:pPr>
      <w:r>
        <w:t xml:space="preserve">Conception de l’enduit : </w:t>
      </w:r>
      <w:r>
        <w:rPr>
          <w:rStyle w:val="optioncarChar"/>
        </w:rPr>
        <w:t xml:space="preserve">à proposer par l’entrepreneur </w:t>
      </w:r>
      <w:r>
        <w:t>(par défaut)</w:t>
      </w:r>
      <w:r>
        <w:rPr>
          <w:rStyle w:val="optioncarChar"/>
        </w:rPr>
        <w:t xml:space="preserve"> / monocouche en 10 mm d’épaisseur / multicouche (couche de base en 10 mm d’épaisseur) / ***</w:t>
      </w:r>
      <w:r>
        <w:t>.</w:t>
      </w:r>
    </w:p>
    <w:p w14:paraId="2EE3AA15" w14:textId="77777777" w:rsidR="004B2808" w:rsidRDefault="00000000">
      <w:pPr>
        <w:jc w:val="both"/>
      </w:pPr>
      <w:r>
        <w:t xml:space="preserve">Classe de tolérances géométriques : </w:t>
      </w:r>
      <w:r>
        <w:rPr>
          <w:rStyle w:val="optioncarChar"/>
        </w:rPr>
        <w:t>normale</w:t>
      </w:r>
      <w:r>
        <w:t xml:space="preserve"> (par défaut)</w:t>
      </w:r>
      <w:r>
        <w:rPr>
          <w:rStyle w:val="optioncarChar"/>
        </w:rPr>
        <w:t xml:space="preserve"> / spéciale</w:t>
      </w:r>
    </w:p>
    <w:p w14:paraId="6F00C297" w14:textId="77777777" w:rsidR="004B2808" w:rsidRDefault="00000000">
      <w:pPr>
        <w:pStyle w:val="pheading"/>
      </w:pPr>
      <w:r>
        <w:t>MESURAGE</w:t>
      </w:r>
    </w:p>
    <w:p w14:paraId="0B360854" w14:textId="77777777" w:rsidR="004B2808" w:rsidRDefault="00000000">
      <w:pPr>
        <w:pStyle w:val="pheading"/>
      </w:pPr>
      <w:r>
        <w:t>- unité de mesure:</w:t>
      </w:r>
    </w:p>
    <w:p w14:paraId="32EA4087" w14:textId="77777777" w:rsidR="004B2808" w:rsidRDefault="00000000">
      <w:r>
        <w:t>m²</w:t>
      </w:r>
    </w:p>
    <w:p w14:paraId="5FBA55DB" w14:textId="77777777" w:rsidR="004B2808" w:rsidRDefault="00000000">
      <w:pPr>
        <w:pStyle w:val="pheading"/>
      </w:pPr>
      <w:r>
        <w:t>- code de mesurage:</w:t>
      </w:r>
    </w:p>
    <w:p w14:paraId="0A7C9219" w14:textId="77777777" w:rsidR="004B2808" w:rsidRDefault="00000000">
      <w:r>
        <w:t>Surface nette, les réservations supérieures à 0,5 m² sont déduites.</w:t>
      </w:r>
    </w:p>
    <w:p w14:paraId="67FD6CE5" w14:textId="77777777" w:rsidR="004B2808" w:rsidRDefault="00000000">
      <w:pPr>
        <w:pStyle w:val="pheading"/>
      </w:pPr>
      <w:r>
        <w:t>- nature du marché:</w:t>
      </w:r>
    </w:p>
    <w:p w14:paraId="004786A8" w14:textId="77777777" w:rsidR="004B2808" w:rsidRDefault="00000000">
      <w:r>
        <w:t>QF</w:t>
      </w:r>
    </w:p>
    <w:p w14:paraId="53057900" w14:textId="77777777" w:rsidR="004B2808" w:rsidRDefault="00000000">
      <w:pPr>
        <w:pStyle w:val="Author-eSectionHeading5Numberless"/>
      </w:pPr>
      <w:bookmarkStart w:id="890" w:name="_Toc220491027"/>
      <w:r>
        <w:t>54.15.4 Enduits batards, ciment + chaux hydraulique CCTB 01.02</w:t>
      </w:r>
      <w:bookmarkEnd w:id="890"/>
    </w:p>
    <w:p w14:paraId="13FFE805" w14:textId="77777777" w:rsidR="004B2808" w:rsidRDefault="00000000">
      <w:pPr>
        <w:pStyle w:val="Author-eSectionHeading5Numberless"/>
      </w:pPr>
      <w:bookmarkStart w:id="891" w:name="_Toc220491028"/>
      <w:r>
        <w:t>54.15.5 Enduits spécifiques au ciment et/ou à la chaux CCTB 01.02</w:t>
      </w:r>
      <w:bookmarkEnd w:id="891"/>
    </w:p>
    <w:p w14:paraId="5B74C2B5" w14:textId="77777777" w:rsidR="004B2808" w:rsidRDefault="00000000">
      <w:pPr>
        <w:pStyle w:val="Author-eSectionHeading6Numberless"/>
      </w:pPr>
      <w:bookmarkStart w:id="892" w:name="_Toc220491029"/>
      <w:r>
        <w:t>54.15.5a Enduits spécifiques au ciment et/ou à la chaux - Stuc CCTB 01.02</w:t>
      </w:r>
      <w:bookmarkEnd w:id="892"/>
    </w:p>
    <w:p w14:paraId="295E911E" w14:textId="77777777" w:rsidR="004B2808" w:rsidRDefault="00000000">
      <w:pPr>
        <w:pStyle w:val="Author-eSectionHeading4Numberless"/>
      </w:pPr>
      <w:bookmarkStart w:id="893" w:name="_Toc220491030"/>
      <w:r>
        <w:t>54.16 Enduits à base de polymères CCTB 01.02</w:t>
      </w:r>
      <w:bookmarkEnd w:id="893"/>
    </w:p>
    <w:p w14:paraId="2BF1ECF0" w14:textId="77777777" w:rsidR="004B2808" w:rsidRDefault="00000000">
      <w:pPr>
        <w:pStyle w:val="Author-eSectionHeading5Numberless"/>
      </w:pPr>
      <w:bookmarkStart w:id="894" w:name="_Toc220491031"/>
      <w:r>
        <w:t>54.16.1 Enduits à base de polymères CCTB 01.02</w:t>
      </w:r>
      <w:bookmarkEnd w:id="894"/>
    </w:p>
    <w:p w14:paraId="7B1B8023" w14:textId="77777777" w:rsidR="004B2808" w:rsidRDefault="00000000">
      <w:pPr>
        <w:pStyle w:val="Author-eSectionHeading6Numberless"/>
      </w:pPr>
      <w:bookmarkStart w:id="895" w:name="_Toc220491032"/>
      <w:r>
        <w:t>54.16.1a Enduits à base de polymères CCTB 01.11</w:t>
      </w:r>
      <w:bookmarkEnd w:id="895"/>
    </w:p>
    <w:p w14:paraId="690FAD75" w14:textId="77777777" w:rsidR="004B2808" w:rsidRDefault="00000000">
      <w:pPr>
        <w:pStyle w:val="pheading"/>
      </w:pPr>
      <w:r>
        <w:t>DESCRIPTION</w:t>
      </w:r>
    </w:p>
    <w:p w14:paraId="197E4D54" w14:textId="77777777" w:rsidR="004B2808" w:rsidRDefault="00000000">
      <w:pPr>
        <w:pStyle w:val="pheading"/>
      </w:pPr>
      <w:r>
        <w:t>- Définition / Comprend</w:t>
      </w:r>
    </w:p>
    <w:p w14:paraId="1D69519B" w14:textId="77777777" w:rsidR="004B2808" w:rsidRDefault="00000000">
      <w:pPr>
        <w:jc w:val="both"/>
      </w:pPr>
      <w:r>
        <w:t>Il s’agit de la fourniture et la pose sur plafond intérieur d’un enduit à base de polymères (lire ‘organique’), terme consacré par la norme [NBN EN 15824] qui couvre - par une approche performancielle et non de recette - diverses résines synthétiques (acrylique, par ex.) et aussi les enduits inorganiques à base de silicates, de silanes, de silicone et de siloxanes).</w:t>
      </w:r>
    </w:p>
    <w:p w14:paraId="6C6C62B9" w14:textId="77777777" w:rsidR="004B2808" w:rsidRDefault="00000000">
      <w:pPr>
        <w:pStyle w:val="pheading"/>
      </w:pPr>
      <w:r>
        <w:t>MATÉRIAUX</w:t>
      </w:r>
    </w:p>
    <w:p w14:paraId="151454FC" w14:textId="77777777" w:rsidR="004B2808" w:rsidRDefault="00000000">
      <w:pPr>
        <w:pStyle w:val="pheading"/>
      </w:pPr>
      <w:r>
        <w:t>- Caractéristiques générales</w:t>
      </w:r>
    </w:p>
    <w:p w14:paraId="480D121A" w14:textId="77777777" w:rsidR="004B2808" w:rsidRDefault="00000000">
      <w:pPr>
        <w:jc w:val="both"/>
      </w:pPr>
      <w:r>
        <w:t>L’enduit à appliquer est un produit industriel qui répond aux spécifications de la [NBN EN 15824].</w:t>
      </w:r>
    </w:p>
    <w:p w14:paraId="387C3F05" w14:textId="77777777" w:rsidR="004B2808" w:rsidRDefault="00000000">
      <w:pPr>
        <w:jc w:val="both"/>
      </w:pPr>
      <w:r>
        <w:t xml:space="preserve">Type d’enduit à base de polymères compatible avec le support : </w:t>
      </w:r>
      <w:r>
        <w:rPr>
          <w:rStyle w:val="optioncarChar"/>
        </w:rPr>
        <w:t xml:space="preserve">à proposer par l’entrepreneur </w:t>
      </w:r>
      <w:r>
        <w:t>(par défaut)</w:t>
      </w:r>
      <w:r>
        <w:rPr>
          <w:rStyle w:val="optioncarChar"/>
        </w:rPr>
        <w:t xml:space="preserve"> / résine acrylique / résine silicone / silicate / ***</w:t>
      </w:r>
    </w:p>
    <w:p w14:paraId="118A78EA" w14:textId="77777777" w:rsidR="004B2808" w:rsidRDefault="00000000">
      <w:pPr>
        <w:jc w:val="both"/>
      </w:pPr>
      <w:r>
        <w:t xml:space="preserve">Adhérence (essai en laboratoire) : ≥ </w:t>
      </w:r>
      <w:r>
        <w:rPr>
          <w:rStyle w:val="optioncarChar"/>
        </w:rPr>
        <w:t xml:space="preserve">0,3 </w:t>
      </w:r>
      <w:r>
        <w:t xml:space="preserve">(par défaut) </w:t>
      </w:r>
      <w:r>
        <w:rPr>
          <w:rStyle w:val="optioncarChar"/>
        </w:rPr>
        <w:t>/ ***</w:t>
      </w:r>
      <w:r>
        <w:t xml:space="preserve"> N/mm²</w:t>
      </w:r>
    </w:p>
    <w:p w14:paraId="084D512C" w14:textId="77777777" w:rsidR="004B2808" w:rsidRDefault="00000000">
      <w:pPr>
        <w:jc w:val="both"/>
      </w:pPr>
      <w:r>
        <w:t xml:space="preserve">Réaction au feu : </w:t>
      </w:r>
      <w:r>
        <w:rPr>
          <w:rStyle w:val="optioncarChar"/>
        </w:rPr>
        <w:t>***</w:t>
      </w:r>
    </w:p>
    <w:p w14:paraId="192FC640" w14:textId="77777777" w:rsidR="004B2808" w:rsidRDefault="00000000">
      <w:pPr>
        <w:pStyle w:val="pheading"/>
      </w:pPr>
      <w:r>
        <w:t>- Finitions</w:t>
      </w:r>
    </w:p>
    <w:p w14:paraId="58D540BE" w14:textId="77777777" w:rsidR="004B2808" w:rsidRDefault="00000000">
      <w:pPr>
        <w:pStyle w:val="Author-eListParagraph"/>
        <w:numPr>
          <w:ilvl w:val="0"/>
          <w:numId w:val="694"/>
        </w:numPr>
        <w:jc w:val="both"/>
      </w:pPr>
      <w:r>
        <w:t xml:space="preserve">La dernière couche d’enduit est destinée à recevoir (non compté ici, compris dans le poste respectif) : </w:t>
      </w:r>
      <w:r>
        <w:rPr>
          <w:rStyle w:val="optioncarChar"/>
        </w:rPr>
        <w:t xml:space="preserve">rien </w:t>
      </w:r>
      <w:r>
        <w:t>(par défaut)</w:t>
      </w:r>
      <w:r>
        <w:rPr>
          <w:rStyle w:val="optioncarChar"/>
        </w:rPr>
        <w:t xml:space="preserve"> / peinture (§81.12 Finitions / décorations intérieures des parois (murs et plafonds)) / ***</w:t>
      </w:r>
    </w:p>
    <w:p w14:paraId="08219B68" w14:textId="77777777" w:rsidR="004B2808" w:rsidRDefault="00000000">
      <w:pPr>
        <w:pStyle w:val="Author-eListParagraph"/>
        <w:numPr>
          <w:ilvl w:val="0"/>
          <w:numId w:val="694"/>
        </w:numPr>
        <w:jc w:val="both"/>
      </w:pPr>
      <w:r>
        <w:lastRenderedPageBreak/>
        <w:t xml:space="preserve">Parachèvement de l’enduit de finition : </w:t>
      </w:r>
      <w:r>
        <w:rPr>
          <w:rStyle w:val="optioncarChar"/>
        </w:rPr>
        <w:t xml:space="preserve">grésé </w:t>
      </w:r>
      <w:r>
        <w:t xml:space="preserve">(par défaut) </w:t>
      </w:r>
      <w:r>
        <w:rPr>
          <w:rStyle w:val="optioncarChar"/>
        </w:rPr>
        <w:t>/ ribbé / ***</w:t>
      </w:r>
    </w:p>
    <w:p w14:paraId="0C53AB38" w14:textId="77777777" w:rsidR="004B2808" w:rsidRDefault="00000000">
      <w:pPr>
        <w:pStyle w:val="Author-eListParagraph"/>
        <w:numPr>
          <w:ilvl w:val="0"/>
          <w:numId w:val="694"/>
        </w:numPr>
        <w:jc w:val="both"/>
      </w:pPr>
      <w:r>
        <w:t xml:space="preserve">Niveau de qualité des finitions lisses le cas échéant : </w:t>
      </w:r>
      <w:r>
        <w:rPr>
          <w:rStyle w:val="optioncarChar"/>
        </w:rPr>
        <w:t xml:space="preserve">Q1-Q2-Q3 </w:t>
      </w:r>
      <w:r>
        <w:t>(par défaut)</w:t>
      </w:r>
      <w:r>
        <w:rPr>
          <w:rStyle w:val="optioncarChar"/>
        </w:rPr>
        <w:t xml:space="preserve"> / Q4</w:t>
      </w:r>
    </w:p>
    <w:p w14:paraId="00DC2CEF" w14:textId="77777777" w:rsidR="004B2808" w:rsidRDefault="00000000">
      <w:pPr>
        <w:pStyle w:val="Author-eListParagraph"/>
        <w:numPr>
          <w:ilvl w:val="0"/>
          <w:numId w:val="694"/>
        </w:numPr>
        <w:jc w:val="both"/>
      </w:pPr>
      <w:r>
        <w:t xml:space="preserve">Couleur par adjonction de pigments de la finition destinée à rester visible : </w:t>
      </w:r>
      <w:r>
        <w:rPr>
          <w:rStyle w:val="optioncarChar"/>
        </w:rPr>
        <w:t xml:space="preserve">à proposer par l’entrepreneur </w:t>
      </w:r>
      <w:r>
        <w:t>(par défaut)</w:t>
      </w:r>
      <w:r>
        <w:rPr>
          <w:rStyle w:val="optioncarChar"/>
        </w:rPr>
        <w:t xml:space="preserve"> / blanc / beige / ***</w:t>
      </w:r>
    </w:p>
    <w:p w14:paraId="19B47909" w14:textId="77777777" w:rsidR="004B2808" w:rsidRDefault="00000000">
      <w:pPr>
        <w:pStyle w:val="pheading"/>
      </w:pPr>
      <w:r>
        <w:t>EXÉCUTION / MISE EN ŒUVRE</w:t>
      </w:r>
    </w:p>
    <w:p w14:paraId="3B940831" w14:textId="77777777" w:rsidR="004B2808" w:rsidRDefault="00000000">
      <w:pPr>
        <w:pStyle w:val="pheading"/>
      </w:pPr>
      <w:r>
        <w:t>- Prescriptions générales</w:t>
      </w:r>
    </w:p>
    <w:p w14:paraId="390B0E70" w14:textId="77777777" w:rsidR="004B2808" w:rsidRDefault="00000000">
      <w:pPr>
        <w:jc w:val="both"/>
      </w:pPr>
      <w:r>
        <w:t>Les travaux préparatoires et l’exécution sont conformes à la [NBN EN 13914-2], à la [NIT 284] et à la documentation technique accompagnant le produit.</w:t>
      </w:r>
    </w:p>
    <w:p w14:paraId="7835BD8B" w14:textId="77777777" w:rsidR="004B2808" w:rsidRDefault="00000000">
      <w:pPr>
        <w:jc w:val="both"/>
      </w:pPr>
      <w:r>
        <w:t xml:space="preserve">Le support est physiquement et visuellement accessible : </w:t>
      </w:r>
      <w:r>
        <w:rPr>
          <w:rStyle w:val="optioncarChar"/>
        </w:rPr>
        <w:t xml:space="preserve">oui </w:t>
      </w:r>
      <w:r>
        <w:t>(par défaut)</w:t>
      </w:r>
      <w:r>
        <w:rPr>
          <w:rStyle w:val="optioncarChar"/>
        </w:rPr>
        <w:t xml:space="preserve"> / non</w:t>
      </w:r>
      <w:r>
        <w:t>.</w:t>
      </w:r>
    </w:p>
    <w:p w14:paraId="40B57C0D" w14:textId="77777777" w:rsidR="004B2808" w:rsidRDefault="00000000">
      <w:pPr>
        <w:jc w:val="both"/>
      </w:pPr>
      <w:r>
        <w:t xml:space="preserve">Type de support : </w:t>
      </w:r>
      <w:r>
        <w:rPr>
          <w:rStyle w:val="optioncarChar"/>
        </w:rPr>
        <w:t>plancher en béton (éléments préfabriqués ou coulé in situ) / en poutrains-claveaux en béton ou en terre cuite / en gîtage / panneaux à enduire / panneaux isolants à enduire / ***.</w:t>
      </w:r>
    </w:p>
    <w:p w14:paraId="0D64D09F" w14:textId="77777777" w:rsidR="004B2808" w:rsidRDefault="00000000">
      <w:pPr>
        <w:jc w:val="both"/>
      </w:pPr>
      <w:r>
        <w:t xml:space="preserve">Nécessité d’un support d’enduit à poser par l’enduiseur et compris dans le présent poste : </w:t>
      </w:r>
      <w:r>
        <w:rPr>
          <w:rStyle w:val="optioncarChar"/>
        </w:rPr>
        <w:t>à proposer par l’entrepreneur</w:t>
      </w:r>
      <w:r>
        <w:t xml:space="preserve"> (par défaut)</w:t>
      </w:r>
      <w:r>
        <w:rPr>
          <w:rStyle w:val="optioncarChar"/>
        </w:rPr>
        <w:t xml:space="preserve"> / ***. </w:t>
      </w:r>
    </w:p>
    <w:p w14:paraId="6FA42BB1" w14:textId="77777777" w:rsidR="004B2808" w:rsidRDefault="00000000">
      <w:pPr>
        <w:jc w:val="both"/>
      </w:pPr>
      <w:r>
        <w:t xml:space="preserve">Nécessité d’un treillis de renforcement : </w:t>
      </w:r>
      <w:r>
        <w:rPr>
          <w:rStyle w:val="optioncarChar"/>
        </w:rPr>
        <w:t xml:space="preserve">à proposer par l’entrepreneur </w:t>
      </w:r>
      <w:r>
        <w:t>(par défaut)</w:t>
      </w:r>
      <w:r>
        <w:rPr>
          <w:rStyle w:val="optioncarChar"/>
        </w:rPr>
        <w:t xml:space="preserve"> / treillis métallique / treillis en fibres de verre / ***.</w:t>
      </w:r>
    </w:p>
    <w:p w14:paraId="082D0D88" w14:textId="77777777" w:rsidR="004B2808" w:rsidRDefault="00000000">
      <w:pPr>
        <w:jc w:val="both"/>
      </w:pPr>
      <w:r>
        <w:t xml:space="preserve">Conception de l’enduit : </w:t>
      </w:r>
      <w:r>
        <w:rPr>
          <w:rStyle w:val="optioncarChar"/>
        </w:rPr>
        <w:t xml:space="preserve">à proposer par l’entrepreneur </w:t>
      </w:r>
      <w:r>
        <w:t>(par défaut)</w:t>
      </w:r>
      <w:r>
        <w:rPr>
          <w:rStyle w:val="optioncarChar"/>
        </w:rPr>
        <w:t xml:space="preserve"> / monocouche en épaisseur nominale de 3 mm / ***.</w:t>
      </w:r>
    </w:p>
    <w:p w14:paraId="436CC0FF" w14:textId="77777777" w:rsidR="004B2808" w:rsidRDefault="00000000">
      <w:pPr>
        <w:jc w:val="both"/>
      </w:pPr>
      <w:r>
        <w:t xml:space="preserve">Classe de tolérances géométriques : </w:t>
      </w:r>
      <w:r>
        <w:rPr>
          <w:rStyle w:val="optioncarChar"/>
        </w:rPr>
        <w:t xml:space="preserve">normale </w:t>
      </w:r>
      <w:r>
        <w:t xml:space="preserve">(par défaut) </w:t>
      </w:r>
      <w:r>
        <w:rPr>
          <w:rStyle w:val="optioncarChar"/>
        </w:rPr>
        <w:t>/ spéciale</w:t>
      </w:r>
    </w:p>
    <w:p w14:paraId="3E34BF05" w14:textId="77777777" w:rsidR="004B2808" w:rsidRDefault="00000000">
      <w:pPr>
        <w:pStyle w:val="pheading"/>
      </w:pPr>
      <w:r>
        <w:t>MESURAGE</w:t>
      </w:r>
    </w:p>
    <w:p w14:paraId="0890E821" w14:textId="77777777" w:rsidR="004B2808" w:rsidRDefault="00000000">
      <w:pPr>
        <w:pStyle w:val="pheading"/>
      </w:pPr>
      <w:r>
        <w:t>- unité de mesure:</w:t>
      </w:r>
    </w:p>
    <w:p w14:paraId="3A25EE24" w14:textId="77777777" w:rsidR="004B2808" w:rsidRDefault="00000000">
      <w:r>
        <w:t>m²</w:t>
      </w:r>
    </w:p>
    <w:p w14:paraId="5C2D9EBD" w14:textId="77777777" w:rsidR="004B2808" w:rsidRDefault="00000000">
      <w:pPr>
        <w:pStyle w:val="pheading"/>
      </w:pPr>
      <w:r>
        <w:t>- code de mesurage:</w:t>
      </w:r>
    </w:p>
    <w:p w14:paraId="5D2F9352" w14:textId="77777777" w:rsidR="004B2808" w:rsidRDefault="00000000">
      <w:r>
        <w:t>Surface nette, les réservations supérieures à 0,5 m² sont déduites.</w:t>
      </w:r>
    </w:p>
    <w:p w14:paraId="0533A8C1" w14:textId="77777777" w:rsidR="004B2808" w:rsidRDefault="00000000">
      <w:pPr>
        <w:pStyle w:val="pheading"/>
      </w:pPr>
      <w:r>
        <w:t>- nature du marché:</w:t>
      </w:r>
    </w:p>
    <w:p w14:paraId="29DDA02C" w14:textId="77777777" w:rsidR="004B2808" w:rsidRDefault="00000000">
      <w:r>
        <w:t>QF</w:t>
      </w:r>
    </w:p>
    <w:p w14:paraId="36568A55" w14:textId="77777777" w:rsidR="004B2808" w:rsidRDefault="00000000">
      <w:pPr>
        <w:pStyle w:val="Author-eSectionHeading4Numberless"/>
      </w:pPr>
      <w:bookmarkStart w:id="896" w:name="_Toc220491033"/>
      <w:r>
        <w:t>54.17 Enduits à base d'argile CCTB 01.08</w:t>
      </w:r>
      <w:bookmarkEnd w:id="896"/>
    </w:p>
    <w:p w14:paraId="3105AA42" w14:textId="77777777" w:rsidR="004B2808" w:rsidRDefault="00000000">
      <w:pPr>
        <w:pStyle w:val="pheading"/>
      </w:pPr>
      <w:r>
        <w:t>MATÉRIAUX</w:t>
      </w:r>
    </w:p>
    <w:p w14:paraId="4161757A" w14:textId="77777777" w:rsidR="004B2808" w:rsidRDefault="00000000">
      <w:r>
        <w:t>La terre utilisée est issue de sol répondant au [DRW 2018-03-01]. En outre, les terres d’excavation sont conformes aux normes d'assainissements et normes d'intervention (voir [AGRBC 2018-03-29]).</w:t>
      </w:r>
    </w:p>
    <w:p w14:paraId="52E49872" w14:textId="77777777" w:rsidR="004B2808" w:rsidRDefault="00000000">
      <w:pPr>
        <w:pStyle w:val="Author-eSectionHeading5Numberless"/>
      </w:pPr>
      <w:bookmarkStart w:id="897" w:name="_Toc220491034"/>
      <w:r>
        <w:t>54.17.1 Enduits à base d'argile</w:t>
      </w:r>
      <w:bookmarkEnd w:id="897"/>
    </w:p>
    <w:p w14:paraId="26B92010" w14:textId="77777777" w:rsidR="004B2808" w:rsidRDefault="00000000">
      <w:pPr>
        <w:pStyle w:val="Author-eSectionHeading6Numberless"/>
      </w:pPr>
      <w:bookmarkStart w:id="898" w:name="_Toc220491035"/>
      <w:r>
        <w:t>54.17.1a Enduits à base d'argile CCTB 01.12</w:t>
      </w:r>
      <w:bookmarkEnd w:id="898"/>
    </w:p>
    <w:p w14:paraId="270FC6B4" w14:textId="77777777" w:rsidR="004B2808" w:rsidRDefault="00000000">
      <w:pPr>
        <w:pStyle w:val="pheading"/>
      </w:pPr>
      <w:r>
        <w:t>DESCRIPTION</w:t>
      </w:r>
    </w:p>
    <w:p w14:paraId="2346A668" w14:textId="77777777" w:rsidR="004B2808" w:rsidRDefault="00000000">
      <w:pPr>
        <w:pStyle w:val="pheading"/>
      </w:pPr>
      <w:r>
        <w:t>- Définition / Comprend</w:t>
      </w:r>
    </w:p>
    <w:p w14:paraId="686AB467" w14:textId="77777777" w:rsidR="004B2808" w:rsidRDefault="00000000">
      <w:pPr>
        <w:jc w:val="both"/>
      </w:pPr>
      <w:r>
        <w:t>Il s’agit de la fourniture et la pose d’un enduit à base d’argile sur plafond. Il peut s’agir d’un enduit monocouche ou d’un système d’enduits multicouche.</w:t>
      </w:r>
    </w:p>
    <w:p w14:paraId="6097BE57" w14:textId="77777777" w:rsidR="004B2808" w:rsidRDefault="00000000">
      <w:pPr>
        <w:jc w:val="both"/>
      </w:pPr>
      <w:r>
        <w:t>Les enduits d’argile sont composés d’argiles naturelles de sables voire de fibres végétales.</w:t>
      </w:r>
    </w:p>
    <w:p w14:paraId="386DF12A" w14:textId="77777777" w:rsidR="004B2808" w:rsidRDefault="00000000">
      <w:pPr>
        <w:jc w:val="both"/>
      </w:pPr>
      <w:r>
        <w:t xml:space="preserve">L’éventuel support complémentaire (voir sous-titre </w:t>
      </w:r>
      <w:hyperlink w:anchor="1293" w:history="1">
        <w:r w:rsidR="004B2808">
          <w:rPr>
            <w:color w:val="0000EE"/>
          </w:rPr>
          <w:t>54.13 Supports d'enduit complémentaires</w:t>
        </w:r>
      </w:hyperlink>
      <w:r>
        <w:t xml:space="preserve"> et en particulier l’article </w:t>
      </w:r>
      <w:hyperlink w:anchor="1294" w:history="1">
        <w:r w:rsidR="004B2808">
          <w:rPr>
            <w:color w:val="0000EE"/>
          </w:rPr>
          <w:t>54.13.2b Supports d'enduit complémentaires - Nattes de roseaux</w:t>
        </w:r>
      </w:hyperlink>
      <w:r>
        <w:t xml:space="preserve">) ainsi que l’éventuelle couche d’accrochage (voir article </w:t>
      </w:r>
      <w:hyperlink w:anchor="1295" w:history="1">
        <w:r w:rsidR="004B2808">
          <w:rPr>
            <w:color w:val="0000EE"/>
          </w:rPr>
          <w:t>54.12.2a Préparations du support - prétraitements - couches d'accrochage</w:t>
        </w:r>
      </w:hyperlink>
      <w:r>
        <w:t>) (gobetis par exemple) sont comptés dans le présent article.</w:t>
      </w:r>
    </w:p>
    <w:p w14:paraId="6CC99EC3" w14:textId="77777777" w:rsidR="004B2808" w:rsidRDefault="00000000">
      <w:pPr>
        <w:jc w:val="both"/>
      </w:pPr>
      <w:r>
        <w:t xml:space="preserve">La portée des travaux est décrite dans le titre </w:t>
      </w:r>
      <w:hyperlink w:anchor="1290" w:history="1">
        <w:r w:rsidR="004B2808">
          <w:rPr>
            <w:color w:val="0000EE"/>
          </w:rPr>
          <w:t>54.1 Revêtements de plafonds enduits</w:t>
        </w:r>
      </w:hyperlink>
      <w:r>
        <w:t>.</w:t>
      </w:r>
    </w:p>
    <w:p w14:paraId="0DDC9C20" w14:textId="77777777" w:rsidR="004B2808" w:rsidRDefault="00000000">
      <w:pPr>
        <w:pStyle w:val="pheading"/>
      </w:pPr>
      <w:r>
        <w:lastRenderedPageBreak/>
        <w:t>- Localisation</w:t>
      </w:r>
    </w:p>
    <w:p w14:paraId="635E1FB6" w14:textId="77777777" w:rsidR="004B2808" w:rsidRDefault="00000000">
      <w:r>
        <w:t xml:space="preserve">Localisation des travaux : </w:t>
      </w:r>
      <w:r>
        <w:rPr>
          <w:rStyle w:val="optioncarChar"/>
        </w:rPr>
        <w:t>***</w:t>
      </w:r>
      <w:r>
        <w:t>.</w:t>
      </w:r>
    </w:p>
    <w:p w14:paraId="2CF369C7" w14:textId="77777777" w:rsidR="004B2808" w:rsidRDefault="00000000">
      <w:r>
        <w:t>Voir plans et métrés détaillés.</w:t>
      </w:r>
    </w:p>
    <w:p w14:paraId="112DB6E9" w14:textId="77777777" w:rsidR="004B2808" w:rsidRDefault="00000000">
      <w:pPr>
        <w:pStyle w:val="pheading"/>
      </w:pPr>
      <w:r>
        <w:t>MATÉRIAUX</w:t>
      </w:r>
    </w:p>
    <w:p w14:paraId="21CEC44A" w14:textId="77777777" w:rsidR="004B2808" w:rsidRDefault="00000000">
      <w:pPr>
        <w:pStyle w:val="pheading"/>
      </w:pPr>
      <w:r>
        <w:t>- Caractéristiques générales</w:t>
      </w:r>
    </w:p>
    <w:p w14:paraId="144D14D7" w14:textId="77777777" w:rsidR="004B2808" w:rsidRDefault="00000000">
      <w:pPr>
        <w:jc w:val="both"/>
      </w:pPr>
      <w:r>
        <w:t>Les enduits à base d’argile contiennent souvent des fibres naturelles comme de la paille afin de réduire le risque de fissuration. Les teneurs en sable et fibres des mélanges peuvent varier fortement en fonction du type d’argile et de l’application visée (couche de base ou finition).</w:t>
      </w:r>
    </w:p>
    <w:p w14:paraId="6C253A4B" w14:textId="77777777" w:rsidR="004B2808" w:rsidRDefault="00000000">
      <w:pPr>
        <w:jc w:val="both"/>
      </w:pPr>
      <w:r>
        <w:t>En l’absence de norme propre, les spécifications sont basées principalement sur la [DIN 18947] et la [NBN EN 998-1]. Elles s’appliquent à chaque couche du système d’enduit sauf mention contraire.</w:t>
      </w:r>
    </w:p>
    <w:p w14:paraId="6B3A464E" w14:textId="77777777" w:rsidR="004B2808" w:rsidRDefault="00000000">
      <w:pPr>
        <w:jc w:val="both"/>
      </w:pPr>
      <w:r>
        <w:t>Granulats végétaux : </w:t>
      </w:r>
      <w:r>
        <w:rPr>
          <w:rStyle w:val="optioncarChar"/>
        </w:rPr>
        <w:t>oui / non</w:t>
      </w:r>
      <w:r>
        <w:t>.</w:t>
      </w:r>
    </w:p>
    <w:p w14:paraId="35A8104E" w14:textId="77777777" w:rsidR="004B2808" w:rsidRDefault="00000000">
      <w:pPr>
        <w:jc w:val="both"/>
      </w:pPr>
      <w:r>
        <w:t>Le cas échéant, description de la granulométrie : </w:t>
      </w:r>
      <w:r>
        <w:rPr>
          <w:rStyle w:val="optioncarChar"/>
        </w:rPr>
        <w:t>***</w:t>
      </w:r>
      <w:r>
        <w:t>.</w:t>
      </w:r>
    </w:p>
    <w:p w14:paraId="0B863E74" w14:textId="77777777" w:rsidR="004B2808" w:rsidRDefault="00000000">
      <w:pPr>
        <w:jc w:val="both"/>
      </w:pPr>
      <w:r>
        <w:t>Masse volumique apparente [DIN 18947], [NBN EN 1015-10]) : </w:t>
      </w:r>
      <w:r>
        <w:rPr>
          <w:rStyle w:val="optioncarChar"/>
        </w:rPr>
        <w:t>non spécifié</w:t>
      </w:r>
      <w:r>
        <w:t> (par défaut)</w:t>
      </w:r>
      <w:r>
        <w:rPr>
          <w:rStyle w:val="optioncarChar"/>
        </w:rPr>
        <w:t> / ***</w:t>
      </w:r>
    </w:p>
    <w:p w14:paraId="3816B1DF" w14:textId="77777777" w:rsidR="004B2808" w:rsidRDefault="00000000">
      <w:pPr>
        <w:jc w:val="both"/>
      </w:pPr>
      <w:r>
        <w:t>Retrait linéaire ([NBN EN 12808-4] ou équivalente) :</w:t>
      </w:r>
      <w:r>
        <w:rPr>
          <w:rStyle w:val="optioncarChar"/>
        </w:rPr>
        <w:t>non spécifié</w:t>
      </w:r>
      <w:r>
        <w:t> (par défaut)</w:t>
      </w:r>
      <w:r>
        <w:rPr>
          <w:rStyle w:val="optioncarChar"/>
        </w:rPr>
        <w:t> / ***</w:t>
      </w:r>
      <w:r>
        <w:t> (≤ 2 mm / m)</w:t>
      </w:r>
    </w:p>
    <w:p w14:paraId="59B287A9" w14:textId="77777777" w:rsidR="004B2808" w:rsidRDefault="00000000">
      <w:pPr>
        <w:jc w:val="both"/>
      </w:pPr>
      <w:r>
        <w:t>Résistance à la flexion ([DIN 18947], [NBN EN 1015-11]) :</w:t>
      </w:r>
      <w:r>
        <w:rPr>
          <w:rStyle w:val="optioncarChar"/>
        </w:rPr>
        <w:t>non spécifié</w:t>
      </w:r>
      <w:r>
        <w:t> (par défaut)</w:t>
      </w:r>
      <w:r>
        <w:rPr>
          <w:rStyle w:val="optioncarChar"/>
        </w:rPr>
        <w:t> / ***</w:t>
      </w:r>
    </w:p>
    <w:p w14:paraId="310B3B75" w14:textId="77777777" w:rsidR="004B2808" w:rsidRDefault="00000000">
      <w:pPr>
        <w:jc w:val="both"/>
      </w:pPr>
      <w:r>
        <w:t>Résistance à la compression ([DIN 18947], [NBN EN 1015-11]) :</w:t>
      </w:r>
      <w:r>
        <w:rPr>
          <w:rStyle w:val="optioncarChar"/>
        </w:rPr>
        <w:t>non spécifié</w:t>
      </w:r>
      <w:r>
        <w:t> (par défaut)</w:t>
      </w:r>
      <w:r>
        <w:rPr>
          <w:rStyle w:val="optioncarChar"/>
        </w:rPr>
        <w:t> / ***</w:t>
      </w:r>
    </w:p>
    <w:p w14:paraId="16F4C1E9" w14:textId="77777777" w:rsidR="004B2808" w:rsidRDefault="00000000">
      <w:pPr>
        <w:jc w:val="both"/>
      </w:pPr>
      <w:r>
        <w:t>Adhérence du système d’enduits ([DIN 18947], [NBN EN 1015-12]) :</w:t>
      </w:r>
      <w:r>
        <w:rPr>
          <w:rStyle w:val="optioncarChar"/>
        </w:rPr>
        <w:t>non spécifié</w:t>
      </w:r>
      <w:r>
        <w:t> (par défaut)</w:t>
      </w:r>
      <w:r>
        <w:rPr>
          <w:rStyle w:val="optioncarChar"/>
        </w:rPr>
        <w:t> / ***</w:t>
      </w:r>
    </w:p>
    <w:p w14:paraId="46BFC948" w14:textId="77777777" w:rsidR="004B2808" w:rsidRDefault="00000000">
      <w:pPr>
        <w:jc w:val="both"/>
      </w:pPr>
      <w:r>
        <w:t>Résistance à la diffusion de vapeur d’eau – valeur µ ([NBN EN ISO 12572]) : </w:t>
      </w:r>
      <w:r>
        <w:rPr>
          <w:rStyle w:val="optioncarChar"/>
        </w:rPr>
        <w:t>non spécifié</w:t>
      </w:r>
      <w:r>
        <w:t> (par défaut)</w:t>
      </w:r>
      <w:r>
        <w:rPr>
          <w:rStyle w:val="optioncarChar"/>
        </w:rPr>
        <w:t> / ***</w:t>
      </w:r>
    </w:p>
    <w:p w14:paraId="4699AD7E" w14:textId="77777777" w:rsidR="004B2808" w:rsidRDefault="00000000">
      <w:pPr>
        <w:jc w:val="both"/>
      </w:pPr>
      <w:r>
        <w:t>Reprise d’eau par capillarité ([DIN 18947], [NBN EN 1015-18]) :</w:t>
      </w:r>
      <w:r>
        <w:rPr>
          <w:rStyle w:val="optioncarChar"/>
        </w:rPr>
        <w:t>non spécifié</w:t>
      </w:r>
      <w:r>
        <w:t> (par défaut)</w:t>
      </w:r>
      <w:r>
        <w:rPr>
          <w:rStyle w:val="optioncarChar"/>
        </w:rPr>
        <w:t> / ***</w:t>
      </w:r>
    </w:p>
    <w:p w14:paraId="10A1888D" w14:textId="77777777" w:rsidR="004B2808" w:rsidRDefault="00000000">
      <w:pPr>
        <w:jc w:val="both"/>
      </w:pPr>
      <w:r>
        <w:t>Dureté de surface de la couche de finition ([NBN EN 13279-2]) :</w:t>
      </w:r>
      <w:r>
        <w:rPr>
          <w:rStyle w:val="optioncarChar"/>
        </w:rPr>
        <w:t>non spécifié</w:t>
      </w:r>
      <w:r>
        <w:t> (par défaut)</w:t>
      </w:r>
      <w:r>
        <w:rPr>
          <w:rStyle w:val="optioncarChar"/>
        </w:rPr>
        <w:t> / ***</w:t>
      </w:r>
    </w:p>
    <w:p w14:paraId="20005188" w14:textId="77777777" w:rsidR="004B2808" w:rsidRDefault="00000000">
      <w:pPr>
        <w:jc w:val="both"/>
      </w:pPr>
      <w:r>
        <w:t>Dureté shore C de la couche de finition ([NBN EN 12859]) :</w:t>
      </w:r>
      <w:r>
        <w:rPr>
          <w:rStyle w:val="optioncarChar"/>
        </w:rPr>
        <w:t>non spécifié</w:t>
      </w:r>
      <w:r>
        <w:t> (par défaut)</w:t>
      </w:r>
      <w:r>
        <w:rPr>
          <w:rStyle w:val="optioncarChar"/>
        </w:rPr>
        <w:t> / ***</w:t>
      </w:r>
    </w:p>
    <w:p w14:paraId="47448CBF" w14:textId="77777777" w:rsidR="004B2808" w:rsidRDefault="00000000">
      <w:pPr>
        <w:jc w:val="both"/>
      </w:pPr>
      <w:r>
        <w:t>Sorption hygroscopique à 8% d’humidité relative :</w:t>
      </w:r>
      <w:r>
        <w:rPr>
          <w:rStyle w:val="optioncarChar"/>
        </w:rPr>
        <w:t>non spécifié</w:t>
      </w:r>
      <w:r>
        <w:t> (par défaut)</w:t>
      </w:r>
      <w:r>
        <w:rPr>
          <w:rStyle w:val="optioncarChar"/>
        </w:rPr>
        <w:t> / ***</w:t>
      </w:r>
    </w:p>
    <w:p w14:paraId="2BD85A06" w14:textId="77777777" w:rsidR="004B2808" w:rsidRDefault="00000000">
      <w:pPr>
        <w:jc w:val="both"/>
      </w:pPr>
      <w:r>
        <w:t>Moisture Buffer value du système d’enduits ([DTU BYG R-126]) :</w:t>
      </w:r>
      <w:r>
        <w:rPr>
          <w:rStyle w:val="optioncarChar"/>
        </w:rPr>
        <w:t>non spécifié</w:t>
      </w:r>
      <w:r>
        <w:t> (par défaut)</w:t>
      </w:r>
      <w:r>
        <w:rPr>
          <w:rStyle w:val="optioncarChar"/>
        </w:rPr>
        <w:t> / ***</w:t>
      </w:r>
    </w:p>
    <w:p w14:paraId="26025B78" w14:textId="77777777" w:rsidR="004B2808" w:rsidRDefault="00000000">
      <w:pPr>
        <w:jc w:val="both"/>
      </w:pPr>
      <w:r>
        <w:t>Etanchéité à l’air du système d’enduit ([NBN EN 12114]) sur support prescrit :</w:t>
      </w:r>
      <w:r>
        <w:rPr>
          <w:rStyle w:val="optioncarChar"/>
        </w:rPr>
        <w:t>non spécifié</w:t>
      </w:r>
      <w:r>
        <w:t> (par défaut)</w:t>
      </w:r>
      <w:r>
        <w:rPr>
          <w:rStyle w:val="optioncarChar"/>
        </w:rPr>
        <w:t> / ***</w:t>
      </w:r>
    </w:p>
    <w:p w14:paraId="437BC26A" w14:textId="77777777" w:rsidR="004B2808" w:rsidRDefault="00000000">
      <w:pPr>
        <w:jc w:val="both"/>
      </w:pPr>
      <w:r>
        <w:t>Conductivité thermique, λ</w:t>
      </w:r>
      <w:r>
        <w:rPr>
          <w:vertAlign w:val="subscript"/>
        </w:rPr>
        <w:t>10,dry,mat</w:t>
      </w:r>
      <w:r>
        <w:t> (valeur 90/90) :</w:t>
      </w:r>
      <w:r>
        <w:rPr>
          <w:rStyle w:val="optioncarChar"/>
        </w:rPr>
        <w:t>non spécifié</w:t>
      </w:r>
      <w:r>
        <w:t> (par défaut)</w:t>
      </w:r>
      <w:r>
        <w:rPr>
          <w:rStyle w:val="optioncarChar"/>
        </w:rPr>
        <w:t> / ***</w:t>
      </w:r>
    </w:p>
    <w:p w14:paraId="7DDE42B5" w14:textId="77777777" w:rsidR="004B2808" w:rsidRDefault="00000000">
      <w:pPr>
        <w:jc w:val="both"/>
      </w:pPr>
      <w:r>
        <w:t>Réaction au feu de l’enduit ou du système d’enduit prenant en compte l’influence du support (couche(s) sous-jacente(s)) : classe  </w:t>
      </w:r>
      <w:r>
        <w:rPr>
          <w:rStyle w:val="optioncarChar"/>
        </w:rPr>
        <w:t>A1 </w:t>
      </w:r>
      <w:r>
        <w:t>(par défaut)</w:t>
      </w:r>
      <w:r>
        <w:rPr>
          <w:rStyle w:val="optioncarChar"/>
        </w:rPr>
        <w:t xml:space="preserve"> / A2 / B / C / D / E / F / ***</w:t>
      </w:r>
      <w:r>
        <w:t> selon la [NBN EN 13501-1].</w:t>
      </w:r>
    </w:p>
    <w:p w14:paraId="52B210AA" w14:textId="77777777" w:rsidR="004B2808" w:rsidRDefault="00000000">
      <w:pPr>
        <w:jc w:val="both"/>
      </w:pPr>
      <w:r>
        <w:t>Classes additionnelles :</w:t>
      </w:r>
    </w:p>
    <w:p w14:paraId="14362DCA" w14:textId="77777777" w:rsidR="004B2808" w:rsidRDefault="00000000">
      <w:pPr>
        <w:jc w:val="both"/>
      </w:pPr>
      <w:r>
        <w:t>Production de fumée : exigence </w:t>
      </w:r>
      <w:r>
        <w:rPr>
          <w:rStyle w:val="optioncarChar"/>
        </w:rPr>
        <w:t>s1/s2/s3</w:t>
      </w:r>
      <w:r>
        <w:t>. </w:t>
      </w:r>
    </w:p>
    <w:p w14:paraId="7D8764AA" w14:textId="77777777" w:rsidR="004B2808" w:rsidRDefault="00000000">
      <w:pPr>
        <w:jc w:val="both"/>
      </w:pPr>
      <w:r>
        <w:t>Gouttelettes et particules en feu : </w:t>
      </w:r>
      <w:r>
        <w:rPr>
          <w:rStyle w:val="optioncarChar"/>
        </w:rPr>
        <w:t>d0/d1/d2</w:t>
      </w:r>
      <w:r>
        <w:t>.</w:t>
      </w:r>
    </w:p>
    <w:p w14:paraId="4E2DB622" w14:textId="77777777" w:rsidR="004B2808" w:rsidRDefault="00000000">
      <w:pPr>
        <w:jc w:val="both"/>
      </w:pPr>
      <w:r>
        <w:t>Couleur de l’enduit monocouche ou de l’enduit de finition du système d’enduit : </w:t>
      </w:r>
      <w:r>
        <w:rPr>
          <w:rStyle w:val="optioncarChar"/>
        </w:rPr>
        <w:t>***</w:t>
      </w:r>
      <w:r>
        <w:t>.</w:t>
      </w:r>
    </w:p>
    <w:p w14:paraId="4AB1113D" w14:textId="77777777" w:rsidR="004B2808" w:rsidRDefault="00000000">
      <w:pPr>
        <w:pStyle w:val="pheading"/>
      </w:pPr>
      <w:r>
        <w:t>- Prescriptions complémentaires</w:t>
      </w:r>
    </w:p>
    <w:p w14:paraId="05EF37AA" w14:textId="77777777" w:rsidR="004B2808" w:rsidRDefault="00000000">
      <w:pPr>
        <w:jc w:val="both"/>
      </w:pPr>
      <w:r>
        <w:rPr>
          <w:rStyle w:val="facultChar"/>
        </w:rPr>
        <w:t>L’enduit dispose d'une déclaration d'aptitude à l'utilisation suivant les prescriptions de l'élément 02.42.1 Critères d'acceptabilité.</w:t>
      </w:r>
    </w:p>
    <w:p w14:paraId="45373AD1" w14:textId="77777777" w:rsidR="004B2808" w:rsidRDefault="00000000">
      <w:pPr>
        <w:pStyle w:val="pheading"/>
      </w:pPr>
      <w:r>
        <w:t>EXÉCUTION / MISE EN ŒUVRE</w:t>
      </w:r>
    </w:p>
    <w:p w14:paraId="72D83765" w14:textId="77777777" w:rsidR="004B2808" w:rsidRDefault="00000000">
      <w:pPr>
        <w:pStyle w:val="pheading"/>
      </w:pPr>
      <w:r>
        <w:t>- Prescriptions générales</w:t>
      </w:r>
    </w:p>
    <w:p w14:paraId="6BD204DE" w14:textId="77777777" w:rsidR="004B2808" w:rsidRDefault="00000000">
      <w:pPr>
        <w:jc w:val="both"/>
      </w:pPr>
      <w:r>
        <w:rPr>
          <w:b/>
        </w:rPr>
        <w:t>Généralités</w:t>
      </w:r>
    </w:p>
    <w:p w14:paraId="73119721" w14:textId="77777777" w:rsidR="004B2808" w:rsidRDefault="00000000">
      <w:pPr>
        <w:jc w:val="both"/>
      </w:pPr>
      <w:r>
        <w:lastRenderedPageBreak/>
        <w:t xml:space="preserve">La préparation du support, le mélange de l'enduit et son exécution sont conformes aux dispositions du titre </w:t>
      </w:r>
      <w:hyperlink w:anchor="1290" w:history="1">
        <w:r w:rsidR="004B2808">
          <w:rPr>
            <w:color w:val="0000EE"/>
          </w:rPr>
          <w:t>54.1 Revêtements de plafonds enduits</w:t>
        </w:r>
      </w:hyperlink>
      <w:r>
        <w:t>, à celles du sous-titre </w:t>
      </w:r>
      <w:hyperlink w:anchor="1296" w:history="1">
        <w:r w:rsidR="004B2808">
          <w:rPr>
            <w:color w:val="0000EE"/>
          </w:rPr>
          <w:t>54.12 Préparations du support</w:t>
        </w:r>
      </w:hyperlink>
      <w:r>
        <w:t>, à la documentation technique accompagnant le produit et aux documents de référence.</w:t>
      </w:r>
    </w:p>
    <w:p w14:paraId="04DFCF25" w14:textId="77777777" w:rsidR="004B2808" w:rsidRDefault="00000000">
      <w:pPr>
        <w:jc w:val="both"/>
      </w:pPr>
      <w:r>
        <w:t>L'entrepreneur soumet le procédé de plafonnage qu'il juge le plus approprié pour l'ouvrage à exécuter à l'approbation de l'auteur de projet ; système multicouche ou monocouche, éventuel support complémentaire, épaisseur de couches, finition de surface (fine ou grossière).</w:t>
      </w:r>
    </w:p>
    <w:p w14:paraId="191A5F30" w14:textId="77777777" w:rsidR="004B2808" w:rsidRDefault="00000000">
      <w:pPr>
        <w:jc w:val="both"/>
      </w:pPr>
      <w:r>
        <w:t>L’application en monocouche est uniquement possible sur des supports suffisamment plans et avec une succion uniforme.</w:t>
      </w:r>
    </w:p>
    <w:p w14:paraId="23C27660" w14:textId="77777777" w:rsidR="004B2808" w:rsidRDefault="00000000">
      <w:pPr>
        <w:jc w:val="both"/>
      </w:pPr>
      <w:r>
        <w:t>Dans le cas d’un système multicouche, la sous-couche doit être sèche avant d’appliquer la prochaine couche.</w:t>
      </w:r>
    </w:p>
    <w:p w14:paraId="764414B7" w14:textId="77777777" w:rsidR="004B2808" w:rsidRDefault="00000000">
      <w:pPr>
        <w:jc w:val="both"/>
      </w:pPr>
      <w:r>
        <w:t>Les enduits peuvent être appliqués manuellement ou projetés à la machine.</w:t>
      </w:r>
    </w:p>
    <w:p w14:paraId="2CDBBA80" w14:textId="77777777" w:rsidR="004B2808" w:rsidRDefault="00000000">
      <w:pPr>
        <w:jc w:val="both"/>
      </w:pPr>
      <w:r>
        <w:rPr>
          <w:b/>
        </w:rPr>
        <w:t>Support</w:t>
      </w:r>
    </w:p>
    <w:p w14:paraId="048E8A75" w14:textId="77777777" w:rsidR="004B2808" w:rsidRDefault="00000000">
      <w:pPr>
        <w:jc w:val="both"/>
      </w:pPr>
      <w:r>
        <w:t xml:space="preserve">En cas de support d’enduit complémentaire (voir </w:t>
      </w:r>
      <w:hyperlink w:anchor="1293" w:history="1">
        <w:r w:rsidR="004B2808">
          <w:rPr>
            <w:color w:val="0000EE"/>
          </w:rPr>
          <w:t>54.13 Supports d'enduit complémentaires</w:t>
        </w:r>
      </w:hyperlink>
      <w:r>
        <w:t>), ce dernier est fixé au support conformément à la documentation technique accompagnant le produit.</w:t>
      </w:r>
    </w:p>
    <w:p w14:paraId="6B6268B1" w14:textId="77777777" w:rsidR="004B2808" w:rsidRDefault="00000000">
      <w:pPr>
        <w:jc w:val="both"/>
      </w:pPr>
      <w:r>
        <w:t>Le support doit être sec, adhérent, propre, exempt de sels, hors gel, dépoussiéré et suffisamment rugueux.</w:t>
      </w:r>
    </w:p>
    <w:p w14:paraId="3957455D" w14:textId="77777777" w:rsidR="004B2808" w:rsidRDefault="00000000">
      <w:pPr>
        <w:jc w:val="both"/>
      </w:pPr>
      <w:r>
        <w:t>Une humidification par vaporisation préalable est nécessaire afin de lier d’éventuelles poussières à la surface à enduire. Des panneaux ne doivent pas être humidifiés à l’avance.</w:t>
      </w:r>
    </w:p>
    <w:p w14:paraId="640CCC63" w14:textId="77777777" w:rsidR="004B2808" w:rsidRDefault="00000000">
      <w:pPr>
        <w:jc w:val="both"/>
      </w:pPr>
      <w:r>
        <w:t>Les supports possibles, revêtus ou non d’une couche d’accrochage, sont les suivants :</w:t>
      </w:r>
    </w:p>
    <w:p w14:paraId="5A09D65E" w14:textId="77777777" w:rsidR="004B2808" w:rsidRDefault="00000000">
      <w:pPr>
        <w:jc w:val="both"/>
      </w:pPr>
      <w:r>
        <w:t>maçonnerie (pierre, brique, béton, béton cellulaire, blocs de chaux-chanvre, etc.), projection de chaux-chanvre, etc.</w:t>
      </w:r>
    </w:p>
    <w:p w14:paraId="4671BD46" w14:textId="77777777" w:rsidR="004B2808" w:rsidRDefault="00000000">
      <w:pPr>
        <w:jc w:val="both"/>
      </w:pPr>
      <w:r>
        <w:t>Les supports suivants ne nécessitent pas de couche d’accrochage : panneaux roseau, panneaux fibre de bois, panneaux de liège.</w:t>
      </w:r>
    </w:p>
    <w:p w14:paraId="1476FA34" w14:textId="77777777" w:rsidR="004B2808" w:rsidRDefault="00000000">
      <w:pPr>
        <w:jc w:val="both"/>
      </w:pPr>
      <w:r>
        <w:t>Les supports suivants nécessitent une couche d’accrochage : panneaux en plâtre, plaques fibres-gypse.</w:t>
      </w:r>
    </w:p>
    <w:p w14:paraId="33695337" w14:textId="77777777" w:rsidR="004B2808" w:rsidRDefault="00000000">
      <w:pPr>
        <w:jc w:val="both"/>
      </w:pPr>
      <w:r>
        <w:t>Les supports suivants sont dotés de tissus de roseau : OSB, panneaux de bois</w:t>
      </w:r>
    </w:p>
    <w:p w14:paraId="6AAA32E7" w14:textId="77777777" w:rsidR="004B2808" w:rsidRDefault="00000000">
      <w:pPr>
        <w:jc w:val="both"/>
      </w:pPr>
      <w:r>
        <w:rPr>
          <w:b/>
        </w:rPr>
        <w:t>Armatures</w:t>
      </w:r>
    </w:p>
    <w:p w14:paraId="1E6FC487" w14:textId="77777777" w:rsidR="004B2808" w:rsidRDefault="00000000">
      <w:pPr>
        <w:jc w:val="both"/>
      </w:pPr>
      <w:r>
        <w:t>Un filet d’armature doit être placé sur les joints de panneaux, soit en bandes de 8-10 cm, soit comme armature sur toute la surface. L’armature se place dans le dernier tiers de la couche de l’enduit.</w:t>
      </w:r>
    </w:p>
    <w:p w14:paraId="40D32524" w14:textId="77777777" w:rsidR="004B2808" w:rsidRDefault="00000000">
      <w:pPr>
        <w:jc w:val="both"/>
      </w:pPr>
      <w:r>
        <w:t>Il faut également appliquer une armature sur des supports qui présentent des matériaux différents et/ou d’absorption différente.</w:t>
      </w:r>
    </w:p>
    <w:p w14:paraId="7F44B575" w14:textId="77777777" w:rsidR="004B2808" w:rsidRDefault="00000000">
      <w:pPr>
        <w:jc w:val="both"/>
      </w:pPr>
      <w:r>
        <w:t>Sont autorisées les armatures en fibre de lin ou de jute, la fibre de verre.</w:t>
      </w:r>
    </w:p>
    <w:p w14:paraId="09F2527A" w14:textId="77777777" w:rsidR="004B2808" w:rsidRDefault="00000000">
      <w:pPr>
        <w:jc w:val="both"/>
      </w:pPr>
      <w:r>
        <w:t>Le retrait de séchage occasionne parfois des joints de raccord aux ouvrages (ébrasements de fenêtres ou portes, etc.). Ces joints peuvent être colmatés à l’aide de silicone ou d’un mélange liège-cellulose-argile.</w:t>
      </w:r>
    </w:p>
    <w:p w14:paraId="3052C74C" w14:textId="77777777" w:rsidR="004B2808" w:rsidRDefault="00000000">
      <w:pPr>
        <w:jc w:val="both"/>
      </w:pPr>
      <w:r>
        <w:rPr>
          <w:b/>
        </w:rPr>
        <w:t>Séchage</w:t>
      </w:r>
    </w:p>
    <w:p w14:paraId="72B47231" w14:textId="77777777" w:rsidR="004B2808" w:rsidRDefault="00000000">
      <w:pPr>
        <w:jc w:val="both"/>
      </w:pPr>
      <w:r>
        <w:t>Après l’application de couches épaisses (≥ 1 cm), il faut garantir un séchage rapide par une aération suffisante (ouvrir portes et fenêtres) ou par un appareil de déshumidification.</w:t>
      </w:r>
    </w:p>
    <w:p w14:paraId="0F8DBBDD" w14:textId="77777777" w:rsidR="004B2808" w:rsidRDefault="00000000">
      <w:pPr>
        <w:jc w:val="both"/>
      </w:pPr>
      <w:r>
        <w:t>Après l’application de fines couches (2-5 mm), il faut par contre garantir un séchage lent et régulier sans courant d’air.</w:t>
      </w:r>
    </w:p>
    <w:p w14:paraId="4B6CBCB7" w14:textId="77777777" w:rsidR="004B2808" w:rsidRDefault="00000000">
      <w:pPr>
        <w:ind w:left="750"/>
      </w:pPr>
      <w:r>
        <w:t> </w:t>
      </w:r>
    </w:p>
    <w:p w14:paraId="2590917F" w14:textId="77777777" w:rsidR="004B2808" w:rsidRDefault="00000000">
      <w:pPr>
        <w:pStyle w:val="pheading"/>
      </w:pPr>
      <w:r>
        <w:t>- Notes d’exécution complémentaires</w:t>
      </w:r>
    </w:p>
    <w:p w14:paraId="362A86E2" w14:textId="77777777" w:rsidR="004B2808" w:rsidRDefault="00000000">
      <w:pPr>
        <w:jc w:val="both"/>
      </w:pPr>
      <w:r>
        <w:rPr>
          <w:rStyle w:val="facultChar"/>
        </w:rPr>
        <w:t xml:space="preserve">Des profils de finition en forme de U sont prévus au droit des interruptions du plafonnage dans les cas suivants : </w:t>
      </w:r>
      <w:r>
        <w:rPr>
          <w:rStyle w:val="optioncarChar"/>
        </w:rPr>
        <w:t>joints de tassement / joints de dilatation / jonction avec le parement / jonction avec les châssis / arrêt du plafonnage en hauteur / ***</w:t>
      </w:r>
      <w:r>
        <w:rPr>
          <w:rStyle w:val="facultChar"/>
        </w:rPr>
        <w:t>. Le type et le mode de fixation sont soumis à l'approbation de l'auteur de projet.</w:t>
      </w:r>
    </w:p>
    <w:p w14:paraId="18856C76" w14:textId="77777777" w:rsidR="004B2808" w:rsidRDefault="00000000">
      <w:pPr>
        <w:pStyle w:val="pheading"/>
      </w:pPr>
      <w:r>
        <w:lastRenderedPageBreak/>
        <w:t>- Échantillons</w:t>
      </w:r>
    </w:p>
    <w:p w14:paraId="519EB4F8" w14:textId="77777777" w:rsidR="004B2808" w:rsidRDefault="00000000">
      <w:pPr>
        <w:jc w:val="both"/>
      </w:pPr>
      <w:r>
        <w:t>Dans tous les cas, un échantillon probant de taille suffisante (~1m²) doit être réalisé afin de vérifier la bonne adhérence du support et l’épaisseur à appliquer.</w:t>
      </w:r>
    </w:p>
    <w:p w14:paraId="50918095" w14:textId="77777777" w:rsidR="004B2808" w:rsidRDefault="00000000">
      <w:pPr>
        <w:pStyle w:val="pheading"/>
      </w:pPr>
      <w:r>
        <w:t>DOCUMENTS DE RÉFÉRENCE COMPLÉMENTAIRES</w:t>
      </w:r>
    </w:p>
    <w:p w14:paraId="78FEC2F2" w14:textId="77777777" w:rsidR="004B2808" w:rsidRDefault="00000000">
      <w:pPr>
        <w:pStyle w:val="pheading"/>
      </w:pPr>
      <w:r>
        <w:t>- Matériau</w:t>
      </w:r>
    </w:p>
    <w:p w14:paraId="6089B08D" w14:textId="77777777" w:rsidR="004B2808" w:rsidRDefault="00000000">
      <w:r>
        <w:t>[Moniteur Terre crue, Röhlen / Ziegert - Construire en terre crue: Construction - Rénovation - Finitions]</w:t>
      </w:r>
    </w:p>
    <w:p w14:paraId="1D470E21" w14:textId="77777777" w:rsidR="004B2808" w:rsidRDefault="00000000">
      <w:r>
        <w:t>[CRATerre, CRATerre - Traité de construction en terre]</w:t>
      </w:r>
    </w:p>
    <w:p w14:paraId="49F5D9F6" w14:textId="77777777" w:rsidR="004B2808" w:rsidRDefault="00000000">
      <w:r>
        <w:t>[NBN EN 998-1, Définitions et spécifications des mortiers pour maçonnerie - Partie 1: Mortiers d'enduits minéraux extérieurs et intérieurs]</w:t>
      </w:r>
    </w:p>
    <w:p w14:paraId="77B78143" w14:textId="77777777" w:rsidR="004B2808" w:rsidRDefault="00000000">
      <w:r>
        <w:t>[NBN EN 1015-10, Méthodes d'essai des mortiers pour la maçonnerie - Partie 10: Détermination de la masse volumique apparente sèche du mortier durci]</w:t>
      </w:r>
    </w:p>
    <w:p w14:paraId="55E6F1CE" w14:textId="77777777" w:rsidR="004B2808" w:rsidRDefault="00000000">
      <w:r>
        <w:t>[NBN EN 12808-4, Mortiers de joints pour carrelages - Partie 4: Détermination du retrait (+AC:2011)]</w:t>
      </w:r>
    </w:p>
    <w:p w14:paraId="17D75F74" w14:textId="77777777" w:rsidR="004B2808" w:rsidRDefault="00000000">
      <w:r>
        <w:t>[NBN EN 1015-11, Méthodes d'essai des mortiers pour maçonnerie - Détermination de la résistance à la flexion et à la compression du mortier durci]</w:t>
      </w:r>
    </w:p>
    <w:p w14:paraId="3C75A308" w14:textId="77777777" w:rsidR="004B2808" w:rsidRDefault="00000000">
      <w:r>
        <w:t>[NBN EN 1015-12, Méthodes d'essai des mortiers pour maçonnerie - Partie 12 : Détermination de l'adhérence des mortiers d'enduit durcis appliqués sur supports]</w:t>
      </w:r>
    </w:p>
    <w:p w14:paraId="07FC4519" w14:textId="77777777" w:rsidR="004B2808" w:rsidRDefault="00000000">
      <w:r>
        <w:t>[NBN EN ISO 12572, Performance hygrothermique des matériaux et produits pour le bâtiment - Détermination des propriétés de transmission de la vapeur d'eau - Méthode de la coupelle (ISO 12572:2016)]</w:t>
      </w:r>
    </w:p>
    <w:p w14:paraId="73F385BA" w14:textId="77777777" w:rsidR="004B2808" w:rsidRDefault="00000000">
      <w:r>
        <w:t>[NBN EN 1015-18, Méthodes d'essai des mortiers pour maçonnerie - Partie 18: Détermination du coefficient d'absorption d'eau par capillarité du mortier durci]</w:t>
      </w:r>
    </w:p>
    <w:p w14:paraId="605E32DE" w14:textId="77777777" w:rsidR="004B2808" w:rsidRDefault="00000000">
      <w:r>
        <w:t>[DTU BYG R-126, BYG Report - Moisture Buffering of Building Materials - Rode, Carsten]</w:t>
      </w:r>
    </w:p>
    <w:p w14:paraId="18D26A0F" w14:textId="77777777" w:rsidR="004B2808" w:rsidRDefault="00000000">
      <w:r>
        <w:t>[NBN EN 12114, Performance thermique de bâtiments - Perméabilité à l'air des composants et parois de bâtiments - Méthode d'essai en laboratoire]</w:t>
      </w:r>
    </w:p>
    <w:p w14:paraId="5B3B7B25" w14:textId="77777777" w:rsidR="004B2808" w:rsidRDefault="00000000">
      <w:r>
        <w:t>[NBN EN 13501-1, Classement au feu des produits et éléments de construction - Partie 1: Classement à partir des données d'essais de réaction au feu]</w:t>
      </w:r>
    </w:p>
    <w:p w14:paraId="13F00F0A" w14:textId="77777777" w:rsidR="004B2808" w:rsidRDefault="00000000">
      <w:r>
        <w:t>[DIN 18947, Mortier de terre pour enduit - Exigences, essai et étiquetage - Lehmputzmörtel - Anforderungen, Prüfung und Kennzeichnung]</w:t>
      </w:r>
    </w:p>
    <w:p w14:paraId="7B7DA8E1" w14:textId="77777777" w:rsidR="004B2808" w:rsidRDefault="00000000">
      <w:pPr>
        <w:pStyle w:val="pheading"/>
      </w:pPr>
      <w:r>
        <w:t>- Exécution</w:t>
      </w:r>
    </w:p>
    <w:p w14:paraId="1EC4AD10" w14:textId="77777777" w:rsidR="004B2808" w:rsidRDefault="00000000">
      <w:r>
        <w:t>[NIT 284, Les enduits intérieurs.]</w:t>
      </w:r>
    </w:p>
    <w:p w14:paraId="7A2FF2E2" w14:textId="77777777" w:rsidR="004B2808" w:rsidRDefault="00000000">
      <w:r>
        <w:t>[NBN EN 13914-2, Conception, préparation et mise en oeuvre des enduits extérieurs et intérieurs - Partie 2: Enduits intérieurs]</w:t>
      </w:r>
    </w:p>
    <w:p w14:paraId="1C85D186" w14:textId="77777777" w:rsidR="004B2808" w:rsidRDefault="00000000">
      <w:r>
        <w:t>[Moniteur Terre crue, Röhlen / Ziegert - Construire en terre crue: Construction - Rénovation - Finitions]</w:t>
      </w:r>
    </w:p>
    <w:p w14:paraId="54C3BA40" w14:textId="77777777" w:rsidR="004B2808" w:rsidRDefault="00000000">
      <w:r>
        <w:t>[CRATerre, CRATerre - Traité de construction en terre]</w:t>
      </w:r>
    </w:p>
    <w:p w14:paraId="73CD0868" w14:textId="77777777" w:rsidR="004B2808" w:rsidRDefault="00000000">
      <w:r>
        <w:t>[Règles de construction en argile, Lehmbau Regeln: Begriffe – Baustoffe – Bauteile]</w:t>
      </w:r>
    </w:p>
    <w:p w14:paraId="1BC871D9" w14:textId="77777777" w:rsidR="004B2808" w:rsidRDefault="00000000">
      <w:pPr>
        <w:pStyle w:val="pheading"/>
      </w:pPr>
      <w:r>
        <w:t>MESURAGE</w:t>
      </w:r>
    </w:p>
    <w:p w14:paraId="73C4533E" w14:textId="77777777" w:rsidR="004B2808" w:rsidRDefault="00000000">
      <w:pPr>
        <w:pStyle w:val="pheading"/>
      </w:pPr>
      <w:r>
        <w:t>- unité de mesure:</w:t>
      </w:r>
    </w:p>
    <w:p w14:paraId="4DBA6151" w14:textId="77777777" w:rsidR="004B2808" w:rsidRDefault="00000000">
      <w:r>
        <w:t>1.2. m²</w:t>
      </w:r>
    </w:p>
    <w:p w14:paraId="02343A92" w14:textId="77777777" w:rsidR="004B2808" w:rsidRDefault="00000000">
      <w:pPr>
        <w:pStyle w:val="pheading"/>
      </w:pPr>
      <w:r>
        <w:t>- code de mesurage:</w:t>
      </w:r>
    </w:p>
    <w:p w14:paraId="28B793DC" w14:textId="77777777" w:rsidR="004B2808" w:rsidRDefault="00000000">
      <w:pPr>
        <w:jc w:val="both"/>
      </w:pPr>
      <w:r>
        <w:rPr>
          <w:rStyle w:val="optioncarChar"/>
        </w:rPr>
        <w:t xml:space="preserve">Surface nette - réservations non déduites </w:t>
      </w:r>
      <w:r>
        <w:t>(par défaut)</w:t>
      </w:r>
      <w:r>
        <w:rPr>
          <w:rStyle w:val="optioncarChar"/>
        </w:rPr>
        <w:t xml:space="preserve"> / Surface nette - réservations déduites</w:t>
      </w:r>
    </w:p>
    <w:p w14:paraId="25B027D5" w14:textId="77777777" w:rsidR="004B2808" w:rsidRDefault="00000000">
      <w:pPr>
        <w:jc w:val="both"/>
      </w:pPr>
      <w:r>
        <w:rPr>
          <w:b/>
          <w:i/>
        </w:rPr>
        <w:t>(Soit par défaut)</w:t>
      </w:r>
    </w:p>
    <w:p w14:paraId="71F4D6BD" w14:textId="77777777" w:rsidR="004B2808" w:rsidRDefault="00000000">
      <w:pPr>
        <w:jc w:val="both"/>
      </w:pPr>
      <w:r>
        <w:rPr>
          <w:rStyle w:val="soitChar"/>
          <w:b/>
        </w:rPr>
        <w:lastRenderedPageBreak/>
        <w:t>1. Surface nette – réservations non déduites </w:t>
      </w:r>
    </w:p>
    <w:p w14:paraId="58DF11FC" w14:textId="77777777" w:rsidR="004B2808" w:rsidRDefault="00000000">
      <w:pPr>
        <w:jc w:val="both"/>
      </w:pPr>
      <w:r>
        <w:rPr>
          <w:rStyle w:val="soitChar"/>
        </w:rPr>
        <w:t>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sont habillées de panneaux). Les travaux de plafonnage ne font pas l'objet de décomptes.</w:t>
      </w:r>
    </w:p>
    <w:p w14:paraId="00C1DE2C" w14:textId="77777777" w:rsidR="004B2808" w:rsidRDefault="00000000">
      <w:pPr>
        <w:jc w:val="both"/>
      </w:pPr>
      <w:r>
        <w:rPr>
          <w:b/>
          <w:i/>
        </w:rPr>
        <w:t>(Soit)</w:t>
      </w:r>
    </w:p>
    <w:p w14:paraId="2874E77F" w14:textId="77777777" w:rsidR="004B2808" w:rsidRDefault="00000000">
      <w:pPr>
        <w:jc w:val="both"/>
      </w:pPr>
      <w:r>
        <w:rPr>
          <w:rStyle w:val="soitChar"/>
          <w:b/>
        </w:rPr>
        <w:t>2. Surface nette – réservations déduites</w:t>
      </w:r>
    </w:p>
    <w:p w14:paraId="27E1BEBE" w14:textId="77777777" w:rsidR="004B2808" w:rsidRDefault="00000000">
      <w:pPr>
        <w:jc w:val="both"/>
      </w:pPr>
      <w:r>
        <w:rPr>
          <w:rStyle w:val="soitChar"/>
        </w:rPr>
        <w:t>Surface nette, les réservations supérieures à 0,5 m² sont déduites. Les travaux de plafonnage ne font pas l'objet de décomptes.</w:t>
      </w:r>
    </w:p>
    <w:p w14:paraId="1A5F4891" w14:textId="77777777" w:rsidR="004B2808" w:rsidRDefault="00000000">
      <w:pPr>
        <w:pStyle w:val="pheading"/>
      </w:pPr>
      <w:r>
        <w:t>- nature du marché:</w:t>
      </w:r>
    </w:p>
    <w:p w14:paraId="546FB416" w14:textId="77777777" w:rsidR="004B2808" w:rsidRDefault="00000000">
      <w:r>
        <w:t>QF</w:t>
      </w:r>
    </w:p>
    <w:p w14:paraId="5C5C842C" w14:textId="77777777" w:rsidR="004B2808" w:rsidRDefault="00000000">
      <w:pPr>
        <w:pStyle w:val="pheading"/>
      </w:pPr>
      <w:r>
        <w:t>AIDE</w:t>
      </w:r>
    </w:p>
    <w:p w14:paraId="64477BC7" w14:textId="77777777" w:rsidR="004B2808" w:rsidRDefault="00000000">
      <w:pPr>
        <w:jc w:val="both"/>
      </w:pPr>
      <w:r>
        <w:t>L’auteur de projet peut s’inspirer des ouvrages de référence suivants pour une prescription adéquate : [Moniteur Terre crue], [CRATerre]</w:t>
      </w:r>
    </w:p>
    <w:p w14:paraId="25645B6F" w14:textId="77777777" w:rsidR="004B2808" w:rsidRDefault="00000000">
      <w:pPr>
        <w:pStyle w:val="Author-eSectionHeading6Numberless"/>
      </w:pPr>
      <w:bookmarkStart w:id="899" w:name="_Toc220491036"/>
      <w:r>
        <w:t>54.17.1b Enduits à base d'argile et d'autres composants minéraux CCTB 01.12</w:t>
      </w:r>
      <w:bookmarkEnd w:id="899"/>
    </w:p>
    <w:p w14:paraId="16147882" w14:textId="77777777" w:rsidR="004B2808" w:rsidRDefault="00000000">
      <w:pPr>
        <w:pStyle w:val="pheading"/>
      </w:pPr>
      <w:r>
        <w:t>DESCRIPTION</w:t>
      </w:r>
    </w:p>
    <w:p w14:paraId="2A5FDC22" w14:textId="77777777" w:rsidR="004B2808" w:rsidRDefault="00000000">
      <w:pPr>
        <w:pStyle w:val="pheading"/>
      </w:pPr>
      <w:r>
        <w:t>- Définition / Comprend</w:t>
      </w:r>
    </w:p>
    <w:p w14:paraId="3A8CD413" w14:textId="77777777" w:rsidR="004B2808" w:rsidRDefault="00000000">
      <w:pPr>
        <w:jc w:val="both"/>
      </w:pPr>
      <w:r>
        <w:t>Il s’agit de la fourniture et la pose d’un enduit à base d’argile et d’autres composants minéraux (plâtre, chaux) sur plafond.</w:t>
      </w:r>
    </w:p>
    <w:p w14:paraId="47B0C0EE" w14:textId="77777777" w:rsidR="004B2808" w:rsidRDefault="00000000">
      <w:pPr>
        <w:jc w:val="both"/>
      </w:pPr>
      <w:r>
        <w:t>Ces enduits contiennent en outre du sable voir des fibres végétales.</w:t>
      </w:r>
    </w:p>
    <w:p w14:paraId="62E6571B" w14:textId="77777777" w:rsidR="004B2808" w:rsidRDefault="00000000">
      <w:pPr>
        <w:jc w:val="both"/>
      </w:pPr>
      <w:r>
        <w:t xml:space="preserve">Il peut s’agir d’un enduit monocouche ou d’un système d’enduits multicouche. L’éventuel support complémentaire (voir sous-titre </w:t>
      </w:r>
      <w:hyperlink w:anchor="1293" w:history="1">
        <w:r w:rsidR="004B2808">
          <w:rPr>
            <w:color w:val="0000EE"/>
          </w:rPr>
          <w:t>54.13 Supports d'enduit complémentaires</w:t>
        </w:r>
      </w:hyperlink>
      <w:r>
        <w:t xml:space="preserve"> et en particulier l’article </w:t>
      </w:r>
      <w:hyperlink w:anchor="1294" w:history="1">
        <w:r w:rsidR="004B2808">
          <w:rPr>
            <w:color w:val="0000EE"/>
          </w:rPr>
          <w:t>54.13.2b Supports d'enduit complémentaires - Nattes de roseaux</w:t>
        </w:r>
      </w:hyperlink>
      <w:r>
        <w:t xml:space="preserve">) ainsi que l’éventuelle couche d’accrochage (voir article </w:t>
      </w:r>
      <w:hyperlink w:anchor="1295" w:history="1">
        <w:r w:rsidR="004B2808">
          <w:rPr>
            <w:color w:val="0000EE"/>
          </w:rPr>
          <w:t>54.12.2a Préparations du support - prétraitements - couches d'accrochage</w:t>
        </w:r>
      </w:hyperlink>
      <w:r>
        <w:t>) (gobetis par exemple) sont comptés dans le présent article.</w:t>
      </w:r>
    </w:p>
    <w:p w14:paraId="39A88F2F" w14:textId="77777777" w:rsidR="004B2808" w:rsidRDefault="00000000">
      <w:pPr>
        <w:jc w:val="both"/>
      </w:pPr>
      <w:r>
        <w:t xml:space="preserve">La portée des travaux est décrite dans le titre </w:t>
      </w:r>
      <w:hyperlink w:anchor="1290" w:history="1">
        <w:r w:rsidR="004B2808">
          <w:rPr>
            <w:color w:val="0000EE"/>
          </w:rPr>
          <w:t>54.1 Revêtements de plafonds enduits</w:t>
        </w:r>
      </w:hyperlink>
      <w:r>
        <w:t>.</w:t>
      </w:r>
    </w:p>
    <w:p w14:paraId="1289D8E4" w14:textId="77777777" w:rsidR="004B2808" w:rsidRDefault="00000000">
      <w:pPr>
        <w:pStyle w:val="pheading"/>
      </w:pPr>
      <w:r>
        <w:t>- Localisation</w:t>
      </w:r>
    </w:p>
    <w:p w14:paraId="4D525BFF" w14:textId="77777777" w:rsidR="004B2808" w:rsidRDefault="00000000">
      <w:r>
        <w:t xml:space="preserve">Localisation des travaux : </w:t>
      </w:r>
      <w:r>
        <w:rPr>
          <w:rStyle w:val="optioncarChar"/>
        </w:rPr>
        <w:t>***</w:t>
      </w:r>
      <w:r>
        <w:t>.</w:t>
      </w:r>
    </w:p>
    <w:p w14:paraId="6BA0362D" w14:textId="77777777" w:rsidR="004B2808" w:rsidRDefault="00000000">
      <w:r>
        <w:t>Voir plans et métrés détaillés.</w:t>
      </w:r>
    </w:p>
    <w:p w14:paraId="7C4B55CE" w14:textId="77777777" w:rsidR="004B2808" w:rsidRDefault="00000000">
      <w:pPr>
        <w:pStyle w:val="pheading"/>
      </w:pPr>
      <w:r>
        <w:t>MATÉRIAUX</w:t>
      </w:r>
    </w:p>
    <w:p w14:paraId="7127AA9B" w14:textId="77777777" w:rsidR="004B2808" w:rsidRDefault="00000000">
      <w:pPr>
        <w:pStyle w:val="pheading"/>
      </w:pPr>
      <w:r>
        <w:t>- Caractéristiques générales</w:t>
      </w:r>
    </w:p>
    <w:p w14:paraId="19C8F65F" w14:textId="77777777" w:rsidR="004B2808" w:rsidRDefault="00000000">
      <w:pPr>
        <w:jc w:val="both"/>
      </w:pPr>
      <w:r>
        <w:t>Les enduits à base d’argile contiennent souvent des fibres naturelles comme de la paille afin de réduire le risque de fissuration. Les teneurs en sable et fibres des mélanges peuvent varier fortement en fonction du type d’argile et de l’application visée (couche de base ou finition).</w:t>
      </w:r>
    </w:p>
    <w:p w14:paraId="4DA049F1" w14:textId="77777777" w:rsidR="004B2808" w:rsidRDefault="00000000">
      <w:pPr>
        <w:jc w:val="both"/>
      </w:pPr>
      <w:r>
        <w:t>En l’absence de norme propre, les spécifications sont basées principalement sur la [DIN 18947] et la [NBN EN 998-1]. Elles s’appliquent à chaque couche du système d’enduit sauf mention contraire.</w:t>
      </w:r>
    </w:p>
    <w:p w14:paraId="19417B91" w14:textId="77777777" w:rsidR="004B2808" w:rsidRDefault="00000000">
      <w:pPr>
        <w:jc w:val="both"/>
      </w:pPr>
      <w:r>
        <w:t>Granulats végétaux : </w:t>
      </w:r>
      <w:r>
        <w:rPr>
          <w:rStyle w:val="optioncarChar"/>
        </w:rPr>
        <w:t>oui / non</w:t>
      </w:r>
      <w:r>
        <w:t>.</w:t>
      </w:r>
    </w:p>
    <w:p w14:paraId="002E3B6D" w14:textId="77777777" w:rsidR="004B2808" w:rsidRDefault="00000000">
      <w:pPr>
        <w:jc w:val="both"/>
      </w:pPr>
      <w:r>
        <w:t>Le cas échéant, description de la granulométrie : </w:t>
      </w:r>
      <w:r>
        <w:rPr>
          <w:rStyle w:val="optioncarChar"/>
        </w:rPr>
        <w:t>***</w:t>
      </w:r>
      <w:r>
        <w:t>.</w:t>
      </w:r>
    </w:p>
    <w:p w14:paraId="08AA7E99" w14:textId="77777777" w:rsidR="004B2808" w:rsidRDefault="00000000">
      <w:pPr>
        <w:jc w:val="both"/>
      </w:pPr>
      <w:r>
        <w:t xml:space="preserve">Autres composants minéraux : </w:t>
      </w:r>
      <w:r>
        <w:rPr>
          <w:rStyle w:val="optioncarChar"/>
        </w:rPr>
        <w:t xml:space="preserve">chaux </w:t>
      </w:r>
      <w:r>
        <w:t>(par défaut) </w:t>
      </w:r>
      <w:r>
        <w:rPr>
          <w:rStyle w:val="optioncarChar"/>
        </w:rPr>
        <w:t>/ plâtre / ***</w:t>
      </w:r>
    </w:p>
    <w:p w14:paraId="0FC75754" w14:textId="77777777" w:rsidR="004B2808" w:rsidRDefault="00000000">
      <w:pPr>
        <w:jc w:val="both"/>
      </w:pPr>
      <w:r>
        <w:t>Masse volumique apparente [DIN 18947], [NBN EN 1015-10]) :</w:t>
      </w:r>
      <w:r>
        <w:rPr>
          <w:rStyle w:val="optioncarChar"/>
        </w:rPr>
        <w:t>non spécifié</w:t>
      </w:r>
      <w:r>
        <w:t> (par défaut)</w:t>
      </w:r>
      <w:r>
        <w:rPr>
          <w:rStyle w:val="optioncarChar"/>
        </w:rPr>
        <w:t> / ***</w:t>
      </w:r>
    </w:p>
    <w:p w14:paraId="6D6DE5A7" w14:textId="77777777" w:rsidR="004B2808" w:rsidRDefault="00000000">
      <w:pPr>
        <w:jc w:val="both"/>
      </w:pPr>
      <w:r>
        <w:t>Retrait linéaire ([NBN EN 12808-4] ou équivalente) : </w:t>
      </w:r>
      <w:r>
        <w:rPr>
          <w:rStyle w:val="optioncarChar"/>
        </w:rPr>
        <w:t>non spécifié</w:t>
      </w:r>
      <w:r>
        <w:t> (par défaut)</w:t>
      </w:r>
      <w:r>
        <w:rPr>
          <w:rStyle w:val="optioncarChar"/>
        </w:rPr>
        <w:t> / ***</w:t>
      </w:r>
      <w:r>
        <w:t> (≤ 2 mm / m)</w:t>
      </w:r>
    </w:p>
    <w:p w14:paraId="2C1038CF" w14:textId="77777777" w:rsidR="004B2808" w:rsidRDefault="00000000">
      <w:pPr>
        <w:jc w:val="both"/>
      </w:pPr>
      <w:r>
        <w:t>Résistance à la flexion ([DIN 18947], [NBN EN 1015-11]) : </w:t>
      </w:r>
      <w:r>
        <w:rPr>
          <w:rStyle w:val="optioncarChar"/>
        </w:rPr>
        <w:t>non spécifié</w:t>
      </w:r>
      <w:r>
        <w:t> (par défaut)</w:t>
      </w:r>
      <w:r>
        <w:rPr>
          <w:rStyle w:val="optioncarChar"/>
        </w:rPr>
        <w:t> / ***</w:t>
      </w:r>
    </w:p>
    <w:p w14:paraId="0560261C" w14:textId="77777777" w:rsidR="004B2808" w:rsidRDefault="00000000">
      <w:pPr>
        <w:jc w:val="both"/>
      </w:pPr>
      <w:r>
        <w:lastRenderedPageBreak/>
        <w:t>Résistance à la compression ([DIN 18947], [NBN EN 1015-11]) : </w:t>
      </w:r>
      <w:r>
        <w:rPr>
          <w:rStyle w:val="optioncarChar"/>
        </w:rPr>
        <w:t>non spécifié</w:t>
      </w:r>
      <w:r>
        <w:t> (par défaut)</w:t>
      </w:r>
      <w:r>
        <w:rPr>
          <w:rStyle w:val="optioncarChar"/>
        </w:rPr>
        <w:t> / ***</w:t>
      </w:r>
    </w:p>
    <w:p w14:paraId="54A2A988" w14:textId="77777777" w:rsidR="004B2808" w:rsidRDefault="00000000">
      <w:pPr>
        <w:jc w:val="both"/>
      </w:pPr>
      <w:r>
        <w:t>Adhérence du système d’enduits ([DIN 18947], [NBN EN 1015-12]) : </w:t>
      </w:r>
      <w:r>
        <w:rPr>
          <w:rStyle w:val="optioncarChar"/>
        </w:rPr>
        <w:t>non spécifié</w:t>
      </w:r>
      <w:r>
        <w:t> (par défaut)</w:t>
      </w:r>
      <w:r>
        <w:rPr>
          <w:rStyle w:val="optioncarChar"/>
        </w:rPr>
        <w:t> / ***</w:t>
      </w:r>
    </w:p>
    <w:p w14:paraId="7F4EAA6F" w14:textId="77777777" w:rsidR="004B2808" w:rsidRDefault="00000000">
      <w:pPr>
        <w:jc w:val="both"/>
      </w:pPr>
      <w:r>
        <w:t>Résistance à la diffusion de vapeur d’eau – valeur µ ([NBN EN ISO 12572]) :</w:t>
      </w:r>
      <w:r>
        <w:rPr>
          <w:rStyle w:val="optioncarChar"/>
        </w:rPr>
        <w:t>non spécifié</w:t>
      </w:r>
      <w:r>
        <w:t> (par défaut)</w:t>
      </w:r>
      <w:r>
        <w:rPr>
          <w:rStyle w:val="optioncarChar"/>
        </w:rPr>
        <w:t> / ***</w:t>
      </w:r>
    </w:p>
    <w:p w14:paraId="07ED50F9" w14:textId="77777777" w:rsidR="004B2808" w:rsidRDefault="00000000">
      <w:pPr>
        <w:jc w:val="both"/>
      </w:pPr>
      <w:r>
        <w:t>Reprise d’eau par capillarité ([DIN 18947], [NBN EN 1015-18]) : </w:t>
      </w:r>
      <w:r>
        <w:rPr>
          <w:rStyle w:val="optioncarChar"/>
        </w:rPr>
        <w:t>non spécifié</w:t>
      </w:r>
      <w:r>
        <w:t> (par défaut)</w:t>
      </w:r>
      <w:r>
        <w:rPr>
          <w:rStyle w:val="optioncarChar"/>
        </w:rPr>
        <w:t> / ***</w:t>
      </w:r>
    </w:p>
    <w:p w14:paraId="3648229F" w14:textId="77777777" w:rsidR="004B2808" w:rsidRDefault="00000000">
      <w:pPr>
        <w:jc w:val="both"/>
      </w:pPr>
      <w:r>
        <w:t>Dureté de surface de la couche de finition ([NBN EN 13279-2]) : </w:t>
      </w:r>
      <w:r>
        <w:rPr>
          <w:rStyle w:val="optioncarChar"/>
        </w:rPr>
        <w:t>non spécifié</w:t>
      </w:r>
      <w:r>
        <w:t> (par défaut)</w:t>
      </w:r>
      <w:r>
        <w:rPr>
          <w:rStyle w:val="optioncarChar"/>
        </w:rPr>
        <w:t> / ***</w:t>
      </w:r>
    </w:p>
    <w:p w14:paraId="0864F027" w14:textId="77777777" w:rsidR="004B2808" w:rsidRDefault="00000000">
      <w:pPr>
        <w:jc w:val="both"/>
      </w:pPr>
      <w:r>
        <w:t>Dureté shore C de la couche de finition ([NBN EN 12859]) : </w:t>
      </w:r>
      <w:r>
        <w:rPr>
          <w:rStyle w:val="optioncarChar"/>
        </w:rPr>
        <w:t>non spécifié</w:t>
      </w:r>
      <w:r>
        <w:t> (par défaut)</w:t>
      </w:r>
      <w:r>
        <w:rPr>
          <w:rStyle w:val="optioncarChar"/>
        </w:rPr>
        <w:t> / ***</w:t>
      </w:r>
    </w:p>
    <w:p w14:paraId="235DB919" w14:textId="77777777" w:rsidR="004B2808" w:rsidRDefault="00000000">
      <w:pPr>
        <w:jc w:val="both"/>
      </w:pPr>
      <w:r>
        <w:t>Sorption hygroscopique à 8% d’humidité relative : </w:t>
      </w:r>
      <w:r>
        <w:rPr>
          <w:rStyle w:val="optioncarChar"/>
        </w:rPr>
        <w:t>non spécifié</w:t>
      </w:r>
      <w:r>
        <w:t> (par défaut)</w:t>
      </w:r>
      <w:r>
        <w:rPr>
          <w:rStyle w:val="optioncarChar"/>
        </w:rPr>
        <w:t> / ***</w:t>
      </w:r>
    </w:p>
    <w:p w14:paraId="5D92BF02" w14:textId="77777777" w:rsidR="004B2808" w:rsidRDefault="00000000">
      <w:pPr>
        <w:jc w:val="both"/>
      </w:pPr>
      <w:r>
        <w:t>Moisture Buffer value du système d’enduits ([DTU BYG R-126]) : </w:t>
      </w:r>
      <w:r>
        <w:rPr>
          <w:rStyle w:val="optioncarChar"/>
        </w:rPr>
        <w:t>non spécifié</w:t>
      </w:r>
      <w:r>
        <w:t> (par défaut)</w:t>
      </w:r>
      <w:r>
        <w:rPr>
          <w:rStyle w:val="optioncarChar"/>
        </w:rPr>
        <w:t> / ***</w:t>
      </w:r>
    </w:p>
    <w:p w14:paraId="61B6A224" w14:textId="77777777" w:rsidR="004B2808" w:rsidRDefault="00000000">
      <w:pPr>
        <w:jc w:val="both"/>
      </w:pPr>
      <w:r>
        <w:t>Etanchéité à l’air du système d’enduit ([NBN EN 12114]) sur support prescrit : </w:t>
      </w:r>
      <w:r>
        <w:rPr>
          <w:rStyle w:val="optioncarChar"/>
        </w:rPr>
        <w:t>non spécifié</w:t>
      </w:r>
      <w:r>
        <w:t> (par défaut)</w:t>
      </w:r>
      <w:r>
        <w:rPr>
          <w:rStyle w:val="optioncarChar"/>
        </w:rPr>
        <w:t> / ***</w:t>
      </w:r>
    </w:p>
    <w:p w14:paraId="367726EE" w14:textId="77777777" w:rsidR="004B2808" w:rsidRDefault="00000000">
      <w:pPr>
        <w:jc w:val="both"/>
      </w:pPr>
      <w:r>
        <w:t>Conductivité thermique, λ</w:t>
      </w:r>
      <w:r>
        <w:rPr>
          <w:vertAlign w:val="subscript"/>
        </w:rPr>
        <w:t>10,dry,mat</w:t>
      </w:r>
      <w:r>
        <w:t> (valeur 90/90) : </w:t>
      </w:r>
      <w:r>
        <w:rPr>
          <w:rStyle w:val="optioncarChar"/>
        </w:rPr>
        <w:t>non spécifié</w:t>
      </w:r>
      <w:r>
        <w:t> (par défaut)</w:t>
      </w:r>
      <w:r>
        <w:rPr>
          <w:rStyle w:val="optioncarChar"/>
        </w:rPr>
        <w:t> / ***</w:t>
      </w:r>
    </w:p>
    <w:p w14:paraId="141D48DD" w14:textId="77777777" w:rsidR="004B2808" w:rsidRDefault="00000000">
      <w:pPr>
        <w:jc w:val="both"/>
      </w:pPr>
      <w:r>
        <w:t>Réaction au feu de l’enduit ou du système d’enduit prenant en compte l’influence du support (couche(s) sous-jacente(s)) : classe </w:t>
      </w:r>
      <w:r>
        <w:rPr>
          <w:rStyle w:val="optioncarChar"/>
        </w:rPr>
        <w:t>A1</w:t>
      </w:r>
      <w:r>
        <w:t> (par défaut)</w:t>
      </w:r>
      <w:r>
        <w:rPr>
          <w:rStyle w:val="optioncarChar"/>
        </w:rPr>
        <w:t xml:space="preserve"> / A2 / B / C / D / E / F / ***</w:t>
      </w:r>
      <w:r>
        <w:t> selon la [NBN EN 13501-1].</w:t>
      </w:r>
    </w:p>
    <w:p w14:paraId="4280F5F1" w14:textId="77777777" w:rsidR="004B2808" w:rsidRDefault="00000000">
      <w:pPr>
        <w:jc w:val="both"/>
      </w:pPr>
      <w:r>
        <w:t>Classes additionnelles :</w:t>
      </w:r>
    </w:p>
    <w:p w14:paraId="6867E61B" w14:textId="77777777" w:rsidR="004B2808" w:rsidRDefault="00000000">
      <w:pPr>
        <w:jc w:val="both"/>
      </w:pPr>
      <w:r>
        <w:t>Production de fumée : exigence </w:t>
      </w:r>
      <w:r>
        <w:rPr>
          <w:rStyle w:val="optioncarChar"/>
        </w:rPr>
        <w:t>s1 /s2 / s3</w:t>
      </w:r>
      <w:r>
        <w:t>. </w:t>
      </w:r>
    </w:p>
    <w:p w14:paraId="74F3858D" w14:textId="77777777" w:rsidR="004B2808" w:rsidRDefault="00000000">
      <w:pPr>
        <w:jc w:val="both"/>
      </w:pPr>
      <w:r>
        <w:t>Gouttelettes et particules en feu : </w:t>
      </w:r>
      <w:r>
        <w:rPr>
          <w:rStyle w:val="optioncarChar"/>
        </w:rPr>
        <w:t>d0 / d1 / d2</w:t>
      </w:r>
      <w:r>
        <w:t>.</w:t>
      </w:r>
    </w:p>
    <w:p w14:paraId="3D577A11" w14:textId="77777777" w:rsidR="004B2808" w:rsidRDefault="00000000">
      <w:pPr>
        <w:jc w:val="both"/>
      </w:pPr>
      <w:r>
        <w:t>Couleur de l’enduit monocouche ou de l’enduit de finition du système d’enduit : </w:t>
      </w:r>
      <w:r>
        <w:rPr>
          <w:rStyle w:val="optioncarChar"/>
        </w:rPr>
        <w:t>***</w:t>
      </w:r>
      <w:r>
        <w:t>.</w:t>
      </w:r>
    </w:p>
    <w:p w14:paraId="5FF2C427" w14:textId="77777777" w:rsidR="004B2808" w:rsidRDefault="00000000">
      <w:pPr>
        <w:pStyle w:val="pheading"/>
      </w:pPr>
      <w:r>
        <w:t>- Prescriptions complémentaires</w:t>
      </w:r>
    </w:p>
    <w:p w14:paraId="7F5BEE2C" w14:textId="77777777" w:rsidR="004B2808" w:rsidRDefault="00000000">
      <w:pPr>
        <w:jc w:val="both"/>
      </w:pPr>
      <w:r>
        <w:rPr>
          <w:rStyle w:val="facultChar"/>
        </w:rPr>
        <w:t>L’enduit dispose d'une déclaration d'aptitude à l'utilisation suivant les prescriptions de l'élément 02.42.1 Critères d'acceptabilité.</w:t>
      </w:r>
    </w:p>
    <w:p w14:paraId="04CCFE4E" w14:textId="77777777" w:rsidR="004B2808" w:rsidRDefault="00000000">
      <w:pPr>
        <w:pStyle w:val="pheading"/>
      </w:pPr>
      <w:r>
        <w:t>EXÉCUTION / MISE EN ŒUVRE</w:t>
      </w:r>
    </w:p>
    <w:p w14:paraId="4744B49A" w14:textId="77777777" w:rsidR="004B2808" w:rsidRDefault="00000000">
      <w:pPr>
        <w:pStyle w:val="pheading"/>
      </w:pPr>
      <w:r>
        <w:t>- Prescriptions générales</w:t>
      </w:r>
    </w:p>
    <w:p w14:paraId="31D14F9D" w14:textId="77777777" w:rsidR="004B2808" w:rsidRDefault="00000000">
      <w:pPr>
        <w:jc w:val="both"/>
      </w:pPr>
      <w:r>
        <w:rPr>
          <w:b/>
        </w:rPr>
        <w:t>Généralités</w:t>
      </w:r>
    </w:p>
    <w:p w14:paraId="45E80171" w14:textId="77777777" w:rsidR="004B2808" w:rsidRDefault="00000000">
      <w:pPr>
        <w:jc w:val="both"/>
      </w:pPr>
      <w:r>
        <w:t xml:space="preserve">La préparation du support, le mélange de l'enduit et son exécution sont conformes aux dispositions du titre </w:t>
      </w:r>
      <w:hyperlink w:anchor="1290" w:history="1">
        <w:r w:rsidR="004B2808">
          <w:rPr>
            <w:color w:val="0000EE"/>
          </w:rPr>
          <w:t>54.1 Revêtements de plafonds enduits</w:t>
        </w:r>
      </w:hyperlink>
      <w:r>
        <w:t>, à celles du sous-titre </w:t>
      </w:r>
      <w:hyperlink w:anchor="1296" w:history="1">
        <w:r w:rsidR="004B2808">
          <w:rPr>
            <w:color w:val="0000EE"/>
          </w:rPr>
          <w:t>54.12 Préparations du support</w:t>
        </w:r>
      </w:hyperlink>
      <w:r>
        <w:t>, à la documentation technique accompagnant le produit et aux documents de référence.</w:t>
      </w:r>
    </w:p>
    <w:p w14:paraId="708C29DC" w14:textId="77777777" w:rsidR="004B2808" w:rsidRDefault="00000000">
      <w:pPr>
        <w:jc w:val="both"/>
      </w:pPr>
      <w:r>
        <w:t>L'entrepreneur soumet le procédé de plafonnage qu'il juge le plus approprié pour l'ouvrage à exécuter à l'approbation de l'auteur de projet ; système multicouche ou monocouche, éventuel support complémentaire, épaisseur de couches, finition de surface (fine ou grossière).</w:t>
      </w:r>
    </w:p>
    <w:p w14:paraId="4C2EC6A5" w14:textId="77777777" w:rsidR="004B2808" w:rsidRDefault="00000000">
      <w:pPr>
        <w:jc w:val="both"/>
      </w:pPr>
      <w:r>
        <w:t>L’application en monocouche est uniquement possible sur des supports suffisamment plans et avec une succion uniforme.</w:t>
      </w:r>
    </w:p>
    <w:p w14:paraId="39878D2C" w14:textId="77777777" w:rsidR="004B2808" w:rsidRDefault="00000000">
      <w:pPr>
        <w:jc w:val="both"/>
      </w:pPr>
      <w:r>
        <w:t>Dans le cas d’un système multicouche, la sous-couche doit être sèche avant d’appliquer la prochaine couche.</w:t>
      </w:r>
    </w:p>
    <w:p w14:paraId="203F93AC" w14:textId="77777777" w:rsidR="004B2808" w:rsidRDefault="00000000">
      <w:pPr>
        <w:jc w:val="both"/>
      </w:pPr>
      <w:r>
        <w:t>Les enduits peuvent être appliqués manuellement ou projetés à la machine.</w:t>
      </w:r>
    </w:p>
    <w:p w14:paraId="4210FA49" w14:textId="77777777" w:rsidR="004B2808" w:rsidRDefault="00000000">
      <w:pPr>
        <w:jc w:val="both"/>
      </w:pPr>
      <w:r>
        <w:rPr>
          <w:b/>
        </w:rPr>
        <w:t>Support</w:t>
      </w:r>
    </w:p>
    <w:p w14:paraId="205EA354" w14:textId="77777777" w:rsidR="004B2808" w:rsidRDefault="00000000">
      <w:pPr>
        <w:jc w:val="both"/>
      </w:pPr>
      <w:r>
        <w:t xml:space="preserve">En cas de support d’enduit complémentaire (voir </w:t>
      </w:r>
      <w:hyperlink w:anchor="1293" w:history="1">
        <w:r w:rsidR="004B2808">
          <w:rPr>
            <w:color w:val="0000EE"/>
          </w:rPr>
          <w:t>54.13 Supports d'enduit complémentaires</w:t>
        </w:r>
      </w:hyperlink>
      <w:r>
        <w:t>), ce dernier est fixé au support conformément à la documentation technique accompagnant le produit.</w:t>
      </w:r>
    </w:p>
    <w:p w14:paraId="69AC9B10" w14:textId="77777777" w:rsidR="004B2808" w:rsidRDefault="00000000">
      <w:pPr>
        <w:jc w:val="both"/>
      </w:pPr>
      <w:r>
        <w:t>Le support doit être sec, adhérent, propre, exempt de sels, hors gel, dépoussiéré et suffisamment rugueux.</w:t>
      </w:r>
    </w:p>
    <w:p w14:paraId="1DC5B4F1" w14:textId="77777777" w:rsidR="004B2808" w:rsidRDefault="00000000">
      <w:pPr>
        <w:jc w:val="both"/>
      </w:pPr>
      <w:r>
        <w:t>Une humidification par vaporisation préalable est nécessaire afin de lier d’éventuelles poussières à la surface à enduire. Des panneaux ne doivent pas être humidifiés à l’avance.</w:t>
      </w:r>
    </w:p>
    <w:p w14:paraId="44BB4C41" w14:textId="77777777" w:rsidR="004B2808" w:rsidRDefault="00000000">
      <w:pPr>
        <w:jc w:val="both"/>
      </w:pPr>
      <w:r>
        <w:lastRenderedPageBreak/>
        <w:t>Les supports possibles, revêtus ou non d’une couche d’accrochage, sont les suivants :</w:t>
      </w:r>
    </w:p>
    <w:p w14:paraId="6069371F" w14:textId="77777777" w:rsidR="004B2808" w:rsidRDefault="00000000">
      <w:pPr>
        <w:jc w:val="both"/>
      </w:pPr>
      <w:r>
        <w:t>maçonnerie (pierre, brique, béton, béton cellulaire, blocs de chaux-chanvre, etc.), projection de chaux-chanvre, etc.</w:t>
      </w:r>
    </w:p>
    <w:p w14:paraId="3F74947A" w14:textId="77777777" w:rsidR="004B2808" w:rsidRDefault="00000000">
      <w:pPr>
        <w:jc w:val="both"/>
      </w:pPr>
      <w:r>
        <w:t>Les supports suivants ne nécessitent pas de couche d’accrochage : panneaux roseau, panneaux fibre de bois, panneaux de liège.</w:t>
      </w:r>
    </w:p>
    <w:p w14:paraId="7670DB97" w14:textId="77777777" w:rsidR="004B2808" w:rsidRDefault="00000000">
      <w:pPr>
        <w:jc w:val="both"/>
      </w:pPr>
      <w:r>
        <w:t>Les supports suivants nécessitent une couche d’accrochage : panneaux en plâtre, plaques fibres-gypse.</w:t>
      </w:r>
    </w:p>
    <w:p w14:paraId="62A536CD" w14:textId="77777777" w:rsidR="004B2808" w:rsidRDefault="00000000">
      <w:pPr>
        <w:jc w:val="both"/>
      </w:pPr>
      <w:r>
        <w:t>Les supports suivants sont dotés de tissus de roseau : OSB, panneaux de bois</w:t>
      </w:r>
    </w:p>
    <w:p w14:paraId="7734358E" w14:textId="77777777" w:rsidR="004B2808" w:rsidRDefault="00000000">
      <w:pPr>
        <w:jc w:val="both"/>
      </w:pPr>
      <w:r>
        <w:rPr>
          <w:b/>
        </w:rPr>
        <w:t>Armatures</w:t>
      </w:r>
    </w:p>
    <w:p w14:paraId="28F775AF" w14:textId="77777777" w:rsidR="004B2808" w:rsidRDefault="00000000">
      <w:pPr>
        <w:jc w:val="both"/>
      </w:pPr>
      <w:r>
        <w:t>Un filet d’armature doit être placé sur les joints de panneaux, soit en bandes de 8-10 cm, soit comme armature sur toute la surface. L’armature se place dans le dernier tiers de la couche de l’enduit.</w:t>
      </w:r>
    </w:p>
    <w:p w14:paraId="386A8009" w14:textId="77777777" w:rsidR="004B2808" w:rsidRDefault="00000000">
      <w:pPr>
        <w:jc w:val="both"/>
      </w:pPr>
      <w:r>
        <w:t>Il faut également appliquer une armature sur des supports qui présentent des matériaux différents et/ou d’absorption différente.</w:t>
      </w:r>
    </w:p>
    <w:p w14:paraId="68BE9B5B" w14:textId="77777777" w:rsidR="004B2808" w:rsidRDefault="00000000">
      <w:pPr>
        <w:jc w:val="both"/>
      </w:pPr>
      <w:r>
        <w:t>Sont autorisées les armatures en fibre de lin ou de jute, la fibre de verre.</w:t>
      </w:r>
    </w:p>
    <w:p w14:paraId="735AD3D6" w14:textId="77777777" w:rsidR="004B2808" w:rsidRDefault="00000000">
      <w:pPr>
        <w:jc w:val="both"/>
      </w:pPr>
      <w:r>
        <w:t>Le retrait de séchage occasionne parfois des joints de raccord aux ouvrages (ébrasements de fenêtres ou portes, etc.). Ces joints peuvent être colmatés à l’aide de silicone ou d’un mélange liège-cellulose-argile.</w:t>
      </w:r>
    </w:p>
    <w:p w14:paraId="7E7DBA84" w14:textId="77777777" w:rsidR="004B2808" w:rsidRDefault="00000000">
      <w:pPr>
        <w:ind w:left="750"/>
      </w:pPr>
      <w:r>
        <w:t> </w:t>
      </w:r>
    </w:p>
    <w:p w14:paraId="38694ADF" w14:textId="77777777" w:rsidR="004B2808" w:rsidRDefault="00000000">
      <w:pPr>
        <w:pStyle w:val="pheading"/>
      </w:pPr>
      <w:r>
        <w:t>- Notes d’exécution complémentaires</w:t>
      </w:r>
    </w:p>
    <w:p w14:paraId="3A6A1CA9" w14:textId="77777777" w:rsidR="004B2808" w:rsidRDefault="00000000">
      <w:pPr>
        <w:jc w:val="both"/>
      </w:pPr>
      <w:r>
        <w:rPr>
          <w:rStyle w:val="facultChar"/>
        </w:rPr>
        <w:t xml:space="preserve">Des profils de finition en forme de U sont prévus au droit des interruptions du plafonnage dans les cas suivants : </w:t>
      </w:r>
      <w:r>
        <w:rPr>
          <w:rStyle w:val="optioncarChar"/>
        </w:rPr>
        <w:t>joints de tassement / joints de dilatation / jonction avec le parement / jonction avec les châssis / arrêt du plafonnage en hauteur / ***</w:t>
      </w:r>
      <w:r>
        <w:rPr>
          <w:rStyle w:val="facultChar"/>
        </w:rPr>
        <w:t>. Le type et le mode de fixation sont soumis à l'approbation de l'auteur de projet.</w:t>
      </w:r>
    </w:p>
    <w:p w14:paraId="13DA5C75" w14:textId="77777777" w:rsidR="004B2808" w:rsidRDefault="00000000">
      <w:pPr>
        <w:pStyle w:val="pheading"/>
      </w:pPr>
      <w:r>
        <w:t>- Échantillons</w:t>
      </w:r>
    </w:p>
    <w:p w14:paraId="3B19BEE9" w14:textId="77777777" w:rsidR="004B2808" w:rsidRDefault="00000000">
      <w:pPr>
        <w:jc w:val="both"/>
      </w:pPr>
      <w:r>
        <w:t>Dans tous les cas, un échantillon probant de taille suffisante (~1m²) doit être réalisé afin de vérifier la bonne adhérence du support et l’épaisseur à appliquer.</w:t>
      </w:r>
    </w:p>
    <w:p w14:paraId="65BDB248" w14:textId="77777777" w:rsidR="004B2808" w:rsidRDefault="00000000">
      <w:pPr>
        <w:pStyle w:val="pheading"/>
      </w:pPr>
      <w:r>
        <w:t>DOCUMENTS DE RÉFÉRENCE COMPLÉMENTAIRES</w:t>
      </w:r>
    </w:p>
    <w:p w14:paraId="396D527E" w14:textId="77777777" w:rsidR="004B2808" w:rsidRDefault="00000000">
      <w:pPr>
        <w:pStyle w:val="pheading"/>
      </w:pPr>
      <w:r>
        <w:t>- Matériau</w:t>
      </w:r>
    </w:p>
    <w:p w14:paraId="3202798D" w14:textId="77777777" w:rsidR="004B2808" w:rsidRDefault="00000000">
      <w:r>
        <w:t>[Moniteur Terre crue, Röhlen / Ziegert - Construire en terre crue: Construction - Rénovation - Finitions]</w:t>
      </w:r>
    </w:p>
    <w:p w14:paraId="23FDDE88" w14:textId="77777777" w:rsidR="004B2808" w:rsidRDefault="00000000">
      <w:r>
        <w:t>[CRATerre, CRATerre - Traité de construction en terre]</w:t>
      </w:r>
    </w:p>
    <w:p w14:paraId="5D4EC5BF" w14:textId="77777777" w:rsidR="004B2808" w:rsidRDefault="00000000">
      <w:r>
        <w:t>[NBN EN 998-1, Définitions et spécifications des mortiers pour maçonnerie - Partie 1: Mortiers d'enduits minéraux extérieurs et intérieurs]</w:t>
      </w:r>
    </w:p>
    <w:p w14:paraId="32050F06" w14:textId="77777777" w:rsidR="004B2808" w:rsidRDefault="00000000">
      <w:r>
        <w:t>[NBN EN 1015-10, Méthodes d'essai des mortiers pour la maçonnerie - Partie 10: Détermination de la masse volumique apparente sèche du mortier durci]</w:t>
      </w:r>
    </w:p>
    <w:p w14:paraId="071E1C78" w14:textId="77777777" w:rsidR="004B2808" w:rsidRDefault="00000000">
      <w:r>
        <w:t>[NBN EN 12808-4, Mortiers de joints pour carrelages - Partie 4: Détermination du retrait (+AC:2011)]</w:t>
      </w:r>
    </w:p>
    <w:p w14:paraId="2936DF6B" w14:textId="77777777" w:rsidR="004B2808" w:rsidRDefault="00000000">
      <w:r>
        <w:t>[NBN EN 1015-11, Méthodes d'essai des mortiers pour maçonnerie - Détermination de la résistance à la flexion et à la compression du mortier durci]</w:t>
      </w:r>
    </w:p>
    <w:p w14:paraId="3925CBB6" w14:textId="77777777" w:rsidR="004B2808" w:rsidRDefault="00000000">
      <w:r>
        <w:t>[NBN EN 1015-12, Méthodes d'essai des mortiers pour maçonnerie - Partie 12 : Détermination de l'adhérence des mortiers d'enduit durcis appliqués sur supports]</w:t>
      </w:r>
    </w:p>
    <w:p w14:paraId="7A04D5A9" w14:textId="77777777" w:rsidR="004B2808" w:rsidRDefault="00000000">
      <w:r>
        <w:t>[NBN EN ISO 12572, Performance hygrothermique des matériaux et produits pour le bâtiment - Détermination des propriétés de transmission de la vapeur d'eau - Méthode de la coupelle (ISO 12572:2016)]</w:t>
      </w:r>
    </w:p>
    <w:p w14:paraId="2685BEB7" w14:textId="77777777" w:rsidR="004B2808" w:rsidRDefault="00000000">
      <w:r>
        <w:t>[NBN EN 1015-18, Méthodes d'essai des mortiers pour maçonnerie - Partie 18: Détermination du coefficient d'absorption d'eau par capillarité du mortier durci]</w:t>
      </w:r>
    </w:p>
    <w:p w14:paraId="73F231F1" w14:textId="77777777" w:rsidR="004B2808" w:rsidRDefault="00000000">
      <w:r>
        <w:lastRenderedPageBreak/>
        <w:t>[DTU BYG R-126, BYG Report - Moisture Buffering of Building Materials - Rode, Carsten]</w:t>
      </w:r>
    </w:p>
    <w:p w14:paraId="2D72E4FC" w14:textId="77777777" w:rsidR="004B2808" w:rsidRDefault="00000000">
      <w:r>
        <w:t>[NBN EN 12114, Performance thermique de bâtiments - Perméabilité à l'air des composants et parois de bâtiments - Méthode d'essai en laboratoire]</w:t>
      </w:r>
    </w:p>
    <w:p w14:paraId="2BC769E5" w14:textId="77777777" w:rsidR="004B2808" w:rsidRDefault="00000000">
      <w:r>
        <w:t>[NBN EN 13501-1, Classement au feu des produits et éléments de construction - Partie 1: Classement à partir des données d'essais de réaction au feu]</w:t>
      </w:r>
    </w:p>
    <w:p w14:paraId="1C364192" w14:textId="77777777" w:rsidR="004B2808" w:rsidRDefault="00000000">
      <w:r>
        <w:t>[DIN 18947, Mortier de terre pour enduit - Exigences, essai et étiquetage - Lehmputzmörtel - Anforderungen, Prüfung und Kennzeichnung]</w:t>
      </w:r>
    </w:p>
    <w:p w14:paraId="687E4D89" w14:textId="77777777" w:rsidR="004B2808" w:rsidRDefault="00000000">
      <w:pPr>
        <w:pStyle w:val="pheading"/>
      </w:pPr>
      <w:r>
        <w:t>- Exécution</w:t>
      </w:r>
    </w:p>
    <w:p w14:paraId="50717642" w14:textId="77777777" w:rsidR="004B2808" w:rsidRDefault="00000000">
      <w:r>
        <w:t>[NIT 284, Les enduits intérieurs.]</w:t>
      </w:r>
    </w:p>
    <w:p w14:paraId="2BD294A0" w14:textId="77777777" w:rsidR="004B2808" w:rsidRDefault="00000000">
      <w:r>
        <w:t>[NBN EN 13914-2, Conception, préparation et mise en oeuvre des enduits extérieurs et intérieurs - Partie 2: Enduits intérieurs]</w:t>
      </w:r>
    </w:p>
    <w:p w14:paraId="489C7F03" w14:textId="77777777" w:rsidR="004B2808" w:rsidRDefault="00000000">
      <w:r>
        <w:t>[Moniteur Terre crue, Röhlen / Ziegert - Construire en terre crue: Construction - Rénovation - Finitions]</w:t>
      </w:r>
    </w:p>
    <w:p w14:paraId="36C17B78" w14:textId="77777777" w:rsidR="004B2808" w:rsidRDefault="00000000">
      <w:r>
        <w:t>[CRATerre, CRATerre - Traité de construction en terre]</w:t>
      </w:r>
    </w:p>
    <w:p w14:paraId="37AA7B38" w14:textId="77777777" w:rsidR="004B2808" w:rsidRDefault="00000000">
      <w:r>
        <w:t>[Règles de construction en argile, Lehmbau Regeln: Begriffe – Baustoffe – Bauteile]</w:t>
      </w:r>
    </w:p>
    <w:p w14:paraId="2245D7E8" w14:textId="77777777" w:rsidR="004B2808" w:rsidRDefault="00000000">
      <w:pPr>
        <w:pStyle w:val="pheading"/>
      </w:pPr>
      <w:r>
        <w:t>MESURAGE</w:t>
      </w:r>
    </w:p>
    <w:p w14:paraId="6C789A79" w14:textId="77777777" w:rsidR="004B2808" w:rsidRDefault="00000000">
      <w:pPr>
        <w:pStyle w:val="pheading"/>
      </w:pPr>
      <w:r>
        <w:t>- unité de mesure:</w:t>
      </w:r>
    </w:p>
    <w:p w14:paraId="69CB00D3" w14:textId="77777777" w:rsidR="004B2808" w:rsidRDefault="00000000">
      <w:r>
        <w:t>1.2. m²</w:t>
      </w:r>
    </w:p>
    <w:p w14:paraId="2BEB9C02" w14:textId="77777777" w:rsidR="004B2808" w:rsidRDefault="00000000">
      <w:pPr>
        <w:pStyle w:val="pheading"/>
      </w:pPr>
      <w:r>
        <w:t>- code de mesurage:</w:t>
      </w:r>
    </w:p>
    <w:p w14:paraId="08CCCE26" w14:textId="77777777" w:rsidR="004B2808" w:rsidRDefault="00000000">
      <w:pPr>
        <w:jc w:val="both"/>
      </w:pPr>
      <w:r>
        <w:rPr>
          <w:rStyle w:val="optioncarChar"/>
        </w:rPr>
        <w:t>Surface nette - réservations non déduites</w:t>
      </w:r>
      <w:r>
        <w:t xml:space="preserve"> (par défaut) </w:t>
      </w:r>
      <w:r>
        <w:rPr>
          <w:rStyle w:val="optioncarChar"/>
        </w:rPr>
        <w:t>/ Surface nette - réservations déduites</w:t>
      </w:r>
    </w:p>
    <w:p w14:paraId="340D3DFB" w14:textId="77777777" w:rsidR="004B2808" w:rsidRDefault="00000000">
      <w:pPr>
        <w:jc w:val="both"/>
      </w:pPr>
      <w:r>
        <w:rPr>
          <w:b/>
          <w:i/>
        </w:rPr>
        <w:t>(Soit par défaut)</w:t>
      </w:r>
    </w:p>
    <w:p w14:paraId="7B0F862B" w14:textId="77777777" w:rsidR="004B2808" w:rsidRDefault="00000000">
      <w:pPr>
        <w:jc w:val="both"/>
      </w:pPr>
      <w:r>
        <w:rPr>
          <w:rStyle w:val="soitChar"/>
          <w:b/>
        </w:rPr>
        <w:t>1. Surface nette – réservations non déduites </w:t>
      </w:r>
    </w:p>
    <w:p w14:paraId="1D9B2479" w14:textId="77777777" w:rsidR="004B2808" w:rsidRDefault="00000000">
      <w:pPr>
        <w:jc w:val="both"/>
      </w:pPr>
      <w:r>
        <w:rPr>
          <w:rStyle w:val="soitChar"/>
        </w:rPr>
        <w:t>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sont habillées de panneaux). Les travaux de plafonnage ne font pas l'objet de décomptes.</w:t>
      </w:r>
    </w:p>
    <w:p w14:paraId="63D2EB61" w14:textId="77777777" w:rsidR="004B2808" w:rsidRDefault="00000000">
      <w:pPr>
        <w:jc w:val="both"/>
      </w:pPr>
      <w:r>
        <w:rPr>
          <w:b/>
          <w:i/>
        </w:rPr>
        <w:t>(Soit)</w:t>
      </w:r>
    </w:p>
    <w:p w14:paraId="2D9CD5A3" w14:textId="77777777" w:rsidR="004B2808" w:rsidRDefault="00000000">
      <w:pPr>
        <w:jc w:val="both"/>
      </w:pPr>
      <w:r>
        <w:rPr>
          <w:rStyle w:val="soitChar"/>
          <w:b/>
        </w:rPr>
        <w:t>2. Surface nette – réservations déduites</w:t>
      </w:r>
    </w:p>
    <w:p w14:paraId="74BC892E" w14:textId="77777777" w:rsidR="004B2808" w:rsidRDefault="00000000">
      <w:pPr>
        <w:jc w:val="both"/>
      </w:pPr>
      <w:r>
        <w:rPr>
          <w:rStyle w:val="soitChar"/>
        </w:rPr>
        <w:t>surface nette, les réservations supérieures à 0,5 m² sont déduites. Les travaux de plafonnage ne font pas l'objet de décomptes.</w:t>
      </w:r>
    </w:p>
    <w:p w14:paraId="7FE7A809" w14:textId="77777777" w:rsidR="004B2808" w:rsidRDefault="00000000">
      <w:pPr>
        <w:pStyle w:val="pheading"/>
      </w:pPr>
      <w:r>
        <w:t>- nature du marché:</w:t>
      </w:r>
    </w:p>
    <w:p w14:paraId="75266B0F" w14:textId="77777777" w:rsidR="004B2808" w:rsidRDefault="00000000">
      <w:r>
        <w:t>1.2. QF</w:t>
      </w:r>
    </w:p>
    <w:p w14:paraId="5DE62026" w14:textId="77777777" w:rsidR="004B2808" w:rsidRDefault="00000000">
      <w:pPr>
        <w:pStyle w:val="pheading"/>
      </w:pPr>
      <w:r>
        <w:t>AIDE</w:t>
      </w:r>
    </w:p>
    <w:p w14:paraId="606C3BD4" w14:textId="77777777" w:rsidR="004B2808" w:rsidRDefault="00000000">
      <w:r>
        <w:t>L’auteur de projet peut s’inspirer des ouvrages de référence suivant pour une prescription adéquate : [Moniteur Terre crue], [CRATerre]</w:t>
      </w:r>
    </w:p>
    <w:p w14:paraId="33400EAE" w14:textId="77777777" w:rsidR="004B2808" w:rsidRDefault="00000000">
      <w:pPr>
        <w:pStyle w:val="Author-eSectionHeading3Numberless"/>
      </w:pPr>
      <w:bookmarkStart w:id="900" w:name="_Toc220491037"/>
      <w:r>
        <w:t>54.2 Revêtements de plafonds en plaques/panneaux CCTB 01.11</w:t>
      </w:r>
      <w:bookmarkEnd w:id="900"/>
    </w:p>
    <w:p w14:paraId="3B7FFACF" w14:textId="77777777" w:rsidR="004B2808" w:rsidRDefault="00000000">
      <w:pPr>
        <w:pStyle w:val="pheading"/>
      </w:pPr>
      <w:bookmarkStart w:id="901" w:name="1301"/>
      <w:bookmarkEnd w:id="901"/>
      <w:r>
        <w:t>DESCRIPTION</w:t>
      </w:r>
    </w:p>
    <w:p w14:paraId="37C5A99F" w14:textId="77777777" w:rsidR="004B2808" w:rsidRDefault="00000000">
      <w:pPr>
        <w:pStyle w:val="pheading"/>
      </w:pPr>
      <w:r>
        <w:t>- Définition / Comprend</w:t>
      </w:r>
    </w:p>
    <w:p w14:paraId="35090B1C" w14:textId="77777777" w:rsidR="004B2808" w:rsidRDefault="00000000">
      <w:r>
        <w:t xml:space="preserve">Il s'agit de la fourniture et de la pose de tous les matériaux en vue de la réalisation des plafonds suspendu (plafonds suspendus – Voir [NIT 232]) et/ou du revêtement des plafonds (inclinés) au </w:t>
      </w:r>
      <w:r>
        <w:lastRenderedPageBreak/>
        <w:t>moyen de matériaux de finition en plaques, y compris la structure, les plaques de revêtement, les moyens de fixation et la finition prête à peindre.</w:t>
      </w:r>
    </w:p>
    <w:p w14:paraId="36FBFC8D" w14:textId="77777777" w:rsidR="004B2808" w:rsidRDefault="00000000">
      <w:pPr>
        <w:pStyle w:val="pheading"/>
      </w:pPr>
      <w:r>
        <w:t>- Remarques importantes</w:t>
      </w:r>
    </w:p>
    <w:p w14:paraId="7C147CB8" w14:textId="77777777" w:rsidR="004B2808" w:rsidRDefault="00000000">
      <w:r>
        <w:rPr>
          <w:u w:val="single"/>
        </w:rPr>
        <w:t>Attention </w:t>
      </w:r>
      <w:r>
        <w:br/>
        <w:t xml:space="preserve"> L'isolation de toiture et les pare-vapeur sont respectivement décrits dans les chapitres 32 Etanchéisation et isolation du présent cahier des charges.</w:t>
      </w:r>
    </w:p>
    <w:p w14:paraId="39019455" w14:textId="77777777" w:rsidR="004B2808" w:rsidRDefault="00000000">
      <w:pPr>
        <w:pStyle w:val="pheading"/>
      </w:pPr>
      <w:r>
        <w:t>MATÉRIAUX</w:t>
      </w:r>
    </w:p>
    <w:p w14:paraId="0CA45387" w14:textId="77777777" w:rsidR="004B2808" w:rsidRDefault="00000000">
      <w:pPr>
        <w:pStyle w:val="heading"/>
      </w:pPr>
      <w:r>
        <w:t>Plaques de plâtre enrobées de carton</w:t>
      </w:r>
    </w:p>
    <w:p w14:paraId="172522EF" w14:textId="77777777" w:rsidR="004B2808" w:rsidRDefault="00000000">
      <w:r>
        <w:t>Les plaques de plâtre enrobées de carton ordinaires se composent d'une âme en plâtre dont les deux faces sont revêtues d'un carton gris clair résistant.  Dans les locaux à degré d'humidité élevé (locaux sanitaires), les panneaux standards sont prévus avec une résistance à l'eau améliorée et un faible pouvoir absorbant (l'âme en plâtre est alors traitée avec des silicones ou une émulsion au bitume et revêtue de carton à marquage et/ou de couleur spécifiques). Tous les accessoires tels que les moyens de fixation galvanisés et les produits spéciaux de jointoiement sont livrés par le fabricant des plaques.    </w:t>
      </w:r>
    </w:p>
    <w:p w14:paraId="06B9E9D8" w14:textId="77777777" w:rsidR="004B2808" w:rsidRDefault="00000000">
      <w:pPr>
        <w:pStyle w:val="heading"/>
      </w:pPr>
      <w:r>
        <w:t>Prestations particulières</w:t>
      </w:r>
    </w:p>
    <w:p w14:paraId="254CADBB" w14:textId="77777777" w:rsidR="004B2808" w:rsidRDefault="00000000">
      <w:r>
        <w:t>La composition des plafonds ainsi que les plafonds complètement terminés dans leur ensemble doivent satisfaire aux exigences en matière d'isolation acoustique et de résistance au feu.</w:t>
      </w:r>
    </w:p>
    <w:p w14:paraId="09B1A37F" w14:textId="77777777" w:rsidR="004B2808" w:rsidRDefault="00000000">
      <w:pPr>
        <w:pStyle w:val="pheading"/>
      </w:pPr>
      <w:r>
        <w:t>EXÉCUTION / MISE EN ŒUVRE</w:t>
      </w:r>
    </w:p>
    <w:p w14:paraId="7ED9FA54" w14:textId="77777777" w:rsidR="004B2808" w:rsidRDefault="00000000">
      <w:r>
        <w:t>Les plafonds suspendus doivent être posés dans les conditions atmosphériques identiques à celles qui sont d'application pendant l'occupation du bâtiment. Les conduites doivent déjà être posées et les enduits muraux sont déjà terminés. Le bâtiment est fermé au vent et à la pluie.</w:t>
      </w:r>
      <w:r>
        <w:br/>
        <w:t>Le montage des plafonds   suspendus se fait conformément aux prescriptions du fabricant et selon les indications sur les plans et/ou les dessins de détail et aux indications données par l'auteur de projet . L'entrepreneur soumet le plan des plafonds, en tenant compte des données qui lui ont été fournies en ce qui concerne l'exécution des techniques spéciales.</w:t>
      </w:r>
      <w:r>
        <w:br/>
        <w:t>La hauteur de la face vue du plafond se situe au niveau indiqué sur les plans. D’ordinaire, les plafonds sont posés horizontalement et plans, quelle que soient les irrégularités de la construction supérieure. La structure portante et/ou les lattages sont, par conséquent, posés de manière telle que les plaques de (carton-)plâtre ne créent pas de lignes perturbantes.</w:t>
      </w:r>
      <w:r>
        <w:br/>
        <w:t>Les plaques sont posées dans les plus grandes longueurs de fabrication possibles. L'orientation des plaques est perpendiculaire à un des murs. Les côtés du plafond sont généralement parachevés sans moulures.</w:t>
      </w:r>
      <w:r>
        <w:br/>
        <w:t>La mise en œuvre des plafonds suspendus est conforme à la [NIT 232].</w:t>
      </w:r>
    </w:p>
    <w:p w14:paraId="0B655564" w14:textId="77777777" w:rsidR="004B2808" w:rsidRDefault="00000000">
      <w:pPr>
        <w:pStyle w:val="Author-eSectionHeading4Numberless"/>
      </w:pPr>
      <w:bookmarkStart w:id="902" w:name="_Toc220491038"/>
      <w:r>
        <w:t>54.21 Revêtements de plafonds en plaques/panneaux CCTB 01.11</w:t>
      </w:r>
      <w:bookmarkEnd w:id="902"/>
    </w:p>
    <w:p w14:paraId="49898DF5" w14:textId="77777777" w:rsidR="004B2808" w:rsidRDefault="00000000">
      <w:pPr>
        <w:pStyle w:val="Author-eSectionHeading5Numberless"/>
      </w:pPr>
      <w:bookmarkStart w:id="903" w:name="_Toc220491039"/>
      <w:r>
        <w:t>54.21.1 Revêtements de plafonds en plaques/panneaux à base de plâtre CCTB 01.02</w:t>
      </w:r>
      <w:bookmarkEnd w:id="903"/>
    </w:p>
    <w:p w14:paraId="3D17C56C" w14:textId="77777777" w:rsidR="004B2808" w:rsidRDefault="00000000">
      <w:pPr>
        <w:pStyle w:val="Author-eSectionHeading6Numberless"/>
      </w:pPr>
      <w:bookmarkStart w:id="904" w:name="_Toc220491040"/>
      <w:r>
        <w:t>54.21.1a Revêtements de plafonds en plaques/panneaux à base de plâtre CCTB 01.11</w:t>
      </w:r>
      <w:bookmarkEnd w:id="904"/>
    </w:p>
    <w:p w14:paraId="53FD9CC5" w14:textId="77777777" w:rsidR="004B2808" w:rsidRDefault="00000000">
      <w:pPr>
        <w:pStyle w:val="pheading"/>
      </w:pPr>
      <w:r>
        <w:t>MATÉRIAUX</w:t>
      </w:r>
    </w:p>
    <w:p w14:paraId="437417EB" w14:textId="77777777" w:rsidR="004B2808" w:rsidRDefault="00000000">
      <w:pPr>
        <w:pStyle w:val="pheading"/>
      </w:pPr>
      <w:r>
        <w:t>- Caractéristiques générales</w:t>
      </w:r>
    </w:p>
    <w:p w14:paraId="57C670DB" w14:textId="77777777" w:rsidR="004B2808" w:rsidRDefault="00000000">
      <w:pPr>
        <w:pStyle w:val="heading"/>
      </w:pPr>
      <w:r>
        <w:t>Spécifications - plaques de plâtre enrobées de carton</w:t>
      </w:r>
    </w:p>
    <w:p w14:paraId="72E45D45" w14:textId="77777777" w:rsidR="004B2808" w:rsidRDefault="00000000">
      <w:pPr>
        <w:pStyle w:val="Author-eListParagraph"/>
        <w:numPr>
          <w:ilvl w:val="0"/>
          <w:numId w:val="695"/>
        </w:numPr>
      </w:pPr>
      <w:r>
        <w:t>Type :</w:t>
      </w:r>
      <w:r>
        <w:rPr>
          <w:rStyle w:val="optioncarChar"/>
        </w:rPr>
        <w:t> Type A </w:t>
      </w:r>
      <w:r>
        <w:t>(par défaut)</w:t>
      </w:r>
      <w:r>
        <w:rPr>
          <w:rStyle w:val="optioncarChar"/>
        </w:rPr>
        <w:t xml:space="preserve"> / Type F (à cohésion améliorée de l’âme à haute température aussi appelée « plaque Rf ») / Type P (plaques aptes à recevoir un enduit au plâtre) / Type H (à taux d’absorption d’eau réduit) selon [NBN EN 520+A1] / ***</w:t>
      </w:r>
    </w:p>
    <w:p w14:paraId="3DDB067E" w14:textId="77777777" w:rsidR="004B2808" w:rsidRDefault="00000000">
      <w:pPr>
        <w:pStyle w:val="Author-eListParagraph"/>
        <w:numPr>
          <w:ilvl w:val="0"/>
          <w:numId w:val="695"/>
        </w:numPr>
      </w:pPr>
      <w:r>
        <w:t>Dimensions des plaques :</w:t>
      </w:r>
    </w:p>
    <w:p w14:paraId="1694F54E" w14:textId="77777777" w:rsidR="004B2808" w:rsidRDefault="00000000">
      <w:pPr>
        <w:pStyle w:val="Author-eListParagraph"/>
        <w:numPr>
          <w:ilvl w:val="0"/>
          <w:numId w:val="695"/>
        </w:numPr>
      </w:pPr>
      <w:r>
        <w:lastRenderedPageBreak/>
        <w:t xml:space="preserve">Epaisseur des plaques : </w:t>
      </w:r>
      <w:r>
        <w:rPr>
          <w:rStyle w:val="optioncarChar"/>
        </w:rPr>
        <w:t>9,5 </w:t>
      </w:r>
      <w:r>
        <w:t>(par défaut)</w:t>
      </w:r>
      <w:r>
        <w:rPr>
          <w:rStyle w:val="optioncarChar"/>
        </w:rPr>
        <w:t xml:space="preserve"> / 12,5 / 15 / *** </w:t>
      </w:r>
      <w:r>
        <w:t>mm</w:t>
      </w:r>
    </w:p>
    <w:p w14:paraId="6B936988" w14:textId="77777777" w:rsidR="004B2808" w:rsidRDefault="00000000">
      <w:pPr>
        <w:pStyle w:val="Author-eListParagraph"/>
        <w:numPr>
          <w:ilvl w:val="0"/>
          <w:numId w:val="695"/>
        </w:numPr>
      </w:pPr>
      <w:r>
        <w:t xml:space="preserve">Largeur : </w:t>
      </w:r>
      <w:r>
        <w:rPr>
          <w:rStyle w:val="optioncarChar"/>
        </w:rPr>
        <w:t>600</w:t>
      </w:r>
      <w:r>
        <w:t> (par défaut)</w:t>
      </w:r>
      <w:r>
        <w:rPr>
          <w:rStyle w:val="optioncarChar"/>
        </w:rPr>
        <w:t xml:space="preserve"> / 1200 mm / au choix de l'entrepreneur / ***</w:t>
      </w:r>
    </w:p>
    <w:p w14:paraId="11446917" w14:textId="77777777" w:rsidR="004B2808" w:rsidRDefault="00000000">
      <w:pPr>
        <w:pStyle w:val="Author-eListParagraph"/>
        <w:numPr>
          <w:ilvl w:val="0"/>
          <w:numId w:val="695"/>
        </w:numPr>
      </w:pPr>
      <w:r>
        <w:t>Longueur : au moins </w:t>
      </w:r>
      <w:r>
        <w:rPr>
          <w:rStyle w:val="optioncarChar"/>
        </w:rPr>
        <w:t>la hauteur libre du local</w:t>
      </w:r>
      <w:r>
        <w:t> (par défaut)</w:t>
      </w:r>
      <w:r>
        <w:rPr>
          <w:rStyle w:val="optioncarChar"/>
        </w:rPr>
        <w:t> / *** </w:t>
      </w:r>
    </w:p>
    <w:p w14:paraId="08805360" w14:textId="77777777" w:rsidR="004B2808" w:rsidRDefault="00000000">
      <w:pPr>
        <w:pStyle w:val="Author-eListParagraph"/>
        <w:numPr>
          <w:ilvl w:val="0"/>
          <w:numId w:val="695"/>
        </w:numPr>
      </w:pPr>
      <w:r>
        <w:t>Bords longitudinaux selon la [NBN EN 520+A1] :</w:t>
      </w:r>
    </w:p>
    <w:p w14:paraId="3E0B504F" w14:textId="77777777" w:rsidR="004B2808" w:rsidRDefault="00000000">
      <w:pPr>
        <w:pStyle w:val="Author-eListParagraph"/>
        <w:numPr>
          <w:ilvl w:val="0"/>
          <w:numId w:val="695"/>
        </w:numPr>
      </w:pPr>
      <w:r>
        <w:t xml:space="preserve">pour les plaques de type A, F et H : </w:t>
      </w:r>
      <w:r>
        <w:rPr>
          <w:rStyle w:val="optioncarChar"/>
        </w:rPr>
        <w:t>droit</w:t>
      </w:r>
      <w:r>
        <w:t xml:space="preserve"> (par défaut) </w:t>
      </w:r>
      <w:r>
        <w:rPr>
          <w:rStyle w:val="optioncarChar"/>
        </w:rPr>
        <w:t>/ biseauté / aminci / semi-arrondi / aminci semi-arrondi / arrondi / ***</w:t>
      </w:r>
    </w:p>
    <w:p w14:paraId="5314B6A6" w14:textId="77777777" w:rsidR="004B2808" w:rsidRDefault="00000000">
      <w:pPr>
        <w:pStyle w:val="Author-eListParagraph"/>
        <w:numPr>
          <w:ilvl w:val="0"/>
          <w:numId w:val="695"/>
        </w:numPr>
      </w:pPr>
      <w:r>
        <w:t xml:space="preserve">pour les plaques de type P : </w:t>
      </w:r>
      <w:r>
        <w:rPr>
          <w:rStyle w:val="optioncarChar"/>
        </w:rPr>
        <w:t>droit </w:t>
      </w:r>
      <w:r>
        <w:t>(par défaut) </w:t>
      </w:r>
      <w:r>
        <w:rPr>
          <w:rStyle w:val="optioncarChar"/>
        </w:rPr>
        <w:t>/ arrondi</w:t>
      </w:r>
    </w:p>
    <w:p w14:paraId="5CAFD0E0" w14:textId="77777777" w:rsidR="004B2808" w:rsidRDefault="00000000">
      <w:pPr>
        <w:pStyle w:val="Author-eListParagraph"/>
        <w:numPr>
          <w:ilvl w:val="0"/>
          <w:numId w:val="696"/>
        </w:numPr>
      </w:pPr>
      <w:r>
        <w:t>Selon la [Décision 2003/593/CE] et les conditions qui y sont reprises, les plaques de parement en plâtre (sauf plaques perforées) appartiennent à la classe de réaction au feu A2-s1, d0 pour autant que ces plaques soient montées et fixées in situ selon des conditions bien précises</w:t>
      </w:r>
    </w:p>
    <w:p w14:paraId="5FED01A8" w14:textId="77777777" w:rsidR="004B2808" w:rsidRDefault="00000000">
      <w:pPr>
        <w:pStyle w:val="Author-eListParagraph"/>
        <w:numPr>
          <w:ilvl w:val="0"/>
          <w:numId w:val="697"/>
        </w:numPr>
      </w:pPr>
      <w:r>
        <w:t>Fixation mécanique sur une sous-structure en métal ou en bois ; la cavité entre les plaques et l’ossature peut rester libre ou être comblée au moyen d’un matériau isolant de la classe de réaction au feu A2-s1, d0.</w:t>
      </w:r>
    </w:p>
    <w:p w14:paraId="22657388" w14:textId="77777777" w:rsidR="004B2808" w:rsidRDefault="00000000">
      <w:pPr>
        <w:pStyle w:val="Author-eListParagraph"/>
        <w:numPr>
          <w:ilvl w:val="0"/>
          <w:numId w:val="697"/>
        </w:numPr>
      </w:pPr>
      <w:r>
        <w:t>Fixation directe ou collage sur un support continu présentant au moins une réaction au feu de classe A2-s1, d0.</w:t>
      </w:r>
    </w:p>
    <w:p w14:paraId="290DF8A8" w14:textId="77777777" w:rsidR="004B2808" w:rsidRDefault="00000000">
      <w:pPr>
        <w:spacing w:before="0" w:after="0"/>
      </w:pPr>
      <w:r>
        <w:rPr>
          <w:b/>
        </w:rPr>
        <w:t>Revêtement des pans de toitures inclinées</w:t>
      </w:r>
    </w:p>
    <w:p w14:paraId="18090D1D" w14:textId="77777777" w:rsidR="004B2808" w:rsidRDefault="00000000">
      <w:r>
        <w:t xml:space="preserve">Il s'agit du revêtement des pans de toitures inclinées au moyen de plaques de plâtre enrobées de carton, sur un lattis en bois directement fixé à la charpente composée de </w:t>
      </w:r>
      <w:r>
        <w:rPr>
          <w:rStyle w:val="optioncarChar"/>
        </w:rPr>
        <w:t>chevrons</w:t>
      </w:r>
      <w:r>
        <w:t> (par défaut)</w:t>
      </w:r>
      <w:r>
        <w:rPr>
          <w:rStyle w:val="optioncarChar"/>
        </w:rPr>
        <w:t xml:space="preserve"> / fermes / ***.</w:t>
      </w:r>
      <w:r>
        <w:t xml:space="preserve"> Le lattage est bien droit et exempt de tous défauts risquant de nuire à la forme ou à la résistance.</w:t>
      </w:r>
    </w:p>
    <w:p w14:paraId="2E48E156" w14:textId="77777777" w:rsidR="004B2808" w:rsidRDefault="00000000">
      <w:r>
        <w:t>Spécifications - lattage en bois</w:t>
      </w:r>
    </w:p>
    <w:p w14:paraId="3CF964E1" w14:textId="77777777" w:rsidR="004B2808" w:rsidRDefault="00000000">
      <w:pPr>
        <w:pStyle w:val="Author-eListParagraph"/>
        <w:numPr>
          <w:ilvl w:val="0"/>
          <w:numId w:val="698"/>
        </w:numPr>
      </w:pPr>
      <w:r>
        <w:t>Essence du bois : Pin du Nord (PNG)  </w:t>
      </w:r>
    </w:p>
    <w:p w14:paraId="469FCDE6" w14:textId="77777777" w:rsidR="004B2808" w:rsidRDefault="00000000">
      <w:pPr>
        <w:pStyle w:val="Author-eListParagraph"/>
        <w:numPr>
          <w:ilvl w:val="0"/>
          <w:numId w:val="698"/>
        </w:numPr>
      </w:pPr>
      <w:r>
        <w:t xml:space="preserve">Section du bois : minimum </w:t>
      </w:r>
      <w:r>
        <w:rPr>
          <w:rStyle w:val="optioncarChar"/>
        </w:rPr>
        <w:t>40 x 32 mm </w:t>
      </w:r>
      <w:r>
        <w:t>(par défaut)</w:t>
      </w:r>
      <w:r>
        <w:rPr>
          <w:rStyle w:val="optioncarChar"/>
        </w:rPr>
        <w:t xml:space="preserve"> / ***</w:t>
      </w:r>
    </w:p>
    <w:p w14:paraId="7BAAD94D" w14:textId="77777777" w:rsidR="004B2808" w:rsidRDefault="00000000">
      <w:pPr>
        <w:pStyle w:val="Author-eListParagraph"/>
        <w:numPr>
          <w:ilvl w:val="0"/>
          <w:numId w:val="698"/>
        </w:numPr>
      </w:pPr>
      <w:r>
        <w:t>Traitement : procédé incolore A1 selon les [STS 04.3]</w:t>
      </w:r>
    </w:p>
    <w:p w14:paraId="645F5CA0" w14:textId="77777777" w:rsidR="004B2808" w:rsidRDefault="00000000">
      <w:pPr>
        <w:spacing w:before="0" w:after="0"/>
      </w:pPr>
      <w:r>
        <w:rPr>
          <w:b/>
        </w:rPr>
        <w:t>Plafond suspendu</w:t>
      </w:r>
    </w:p>
    <w:p w14:paraId="3971577E" w14:textId="77777777" w:rsidR="004B2808" w:rsidRDefault="00000000">
      <w:r>
        <w:t>Il s'agit d'un plafond suspendu posé en indépendance par rapport au plafond du gros-œuvre. Le système de suspension se compose de:</w:t>
      </w:r>
    </w:p>
    <w:p w14:paraId="4C364FCB" w14:textId="77777777" w:rsidR="004B2808" w:rsidRDefault="00000000">
      <w:r>
        <w:rPr>
          <w:b/>
        </w:rPr>
        <w:t xml:space="preserve">Choix opéré </w:t>
      </w:r>
      <w:r>
        <w:t xml:space="preserve">: </w:t>
      </w:r>
      <w:r>
        <w:rPr>
          <w:rStyle w:val="optioncarChar"/>
        </w:rPr>
        <w:t>*** / OPTION 1 (en bois) </w:t>
      </w:r>
      <w:r>
        <w:t>(par défaut) </w:t>
      </w:r>
      <w:r>
        <w:rPr>
          <w:rStyle w:val="optioncarChar"/>
        </w:rPr>
        <w:t>/ OPTION 2 (en métal)</w:t>
      </w:r>
      <w:r>
        <w:br/>
      </w:r>
      <w:r>
        <w:rPr>
          <w:b/>
        </w:rPr>
        <w:t>***OPTION 1</w:t>
      </w:r>
      <w:r>
        <w:t xml:space="preserve"> : un lattage en bois, adapté en fonction du type d'application. Les chevrons sont parfaitement droits, propres et rabotés, exempts de tous les défauts risquant de nuire à leur forme ou à leur résistance.</w:t>
      </w:r>
      <w:r>
        <w:br/>
      </w:r>
      <w:r>
        <w:rPr>
          <w:b/>
        </w:rPr>
        <w:t>***OPTION 2</w:t>
      </w:r>
      <w:r>
        <w:t xml:space="preserve"> : une ossature composée de profils en acier galvanisés, adaptée en fonction du type d'application. Les profils répondent aux dispositions de la norme [NBN EN 13964].</w:t>
      </w:r>
    </w:p>
    <w:p w14:paraId="5AA00279" w14:textId="77777777" w:rsidR="004B2808" w:rsidRDefault="00000000">
      <w:r>
        <w:t>Spécifications - lattage en bois</w:t>
      </w:r>
    </w:p>
    <w:p w14:paraId="478BD318" w14:textId="77777777" w:rsidR="004B2808" w:rsidRDefault="00000000">
      <w:pPr>
        <w:pStyle w:val="Author-eListParagraph"/>
        <w:numPr>
          <w:ilvl w:val="0"/>
          <w:numId w:val="699"/>
        </w:numPr>
      </w:pPr>
      <w:r>
        <w:t>La tension admissible est d'au moins 10 N/mm2.</w:t>
      </w:r>
    </w:p>
    <w:p w14:paraId="5A2E1237" w14:textId="77777777" w:rsidR="004B2808" w:rsidRDefault="00000000">
      <w:pPr>
        <w:pStyle w:val="Author-eListParagraph"/>
        <w:numPr>
          <w:ilvl w:val="0"/>
          <w:numId w:val="699"/>
        </w:numPr>
      </w:pPr>
      <w:r>
        <w:t xml:space="preserve">Sections du bois : </w:t>
      </w:r>
      <w:r>
        <w:rPr>
          <w:rStyle w:val="optioncarChar"/>
        </w:rPr>
        <w:t>35 x 120 </w:t>
      </w:r>
      <w:r>
        <w:t>(par défaut)</w:t>
      </w:r>
      <w:r>
        <w:rPr>
          <w:rStyle w:val="optioncarChar"/>
        </w:rPr>
        <w:t xml:space="preserve"> / 35 x 150 / 70 x 150 / 70 x 180 / *** </w:t>
      </w:r>
      <w:r>
        <w:t>mm.</w:t>
      </w:r>
    </w:p>
    <w:p w14:paraId="347DA14C" w14:textId="77777777" w:rsidR="004B2808" w:rsidRDefault="00000000">
      <w:r>
        <w:br/>
        <w:t>Spécifications - structure en métal</w:t>
      </w:r>
    </w:p>
    <w:p w14:paraId="52A1A7DE" w14:textId="77777777" w:rsidR="004B2808" w:rsidRDefault="00000000">
      <w:pPr>
        <w:pStyle w:val="Author-eListParagraph"/>
        <w:numPr>
          <w:ilvl w:val="0"/>
          <w:numId w:val="700"/>
        </w:numPr>
      </w:pPr>
      <w:r>
        <w:t xml:space="preserve">Hauteur nominale : </w:t>
      </w:r>
      <w:r>
        <w:rPr>
          <w:rStyle w:val="optioncarChar"/>
        </w:rPr>
        <w:t xml:space="preserve">***  </w:t>
      </w:r>
      <w:r>
        <w:t>mm.</w:t>
      </w:r>
    </w:p>
    <w:p w14:paraId="1EB1BF86" w14:textId="77777777" w:rsidR="004B2808" w:rsidRDefault="00000000">
      <w:pPr>
        <w:pStyle w:val="Author-eListParagraph"/>
        <w:numPr>
          <w:ilvl w:val="0"/>
          <w:numId w:val="700"/>
        </w:numPr>
      </w:pPr>
      <w:r>
        <w:t xml:space="preserve">Largeur des brides des profils : </w:t>
      </w:r>
      <w:r>
        <w:rPr>
          <w:rStyle w:val="optioncarChar"/>
        </w:rPr>
        <w:t>45 </w:t>
      </w:r>
      <w:r>
        <w:t>(par défaut)</w:t>
      </w:r>
      <w:r>
        <w:rPr>
          <w:rStyle w:val="optioncarChar"/>
        </w:rPr>
        <w:t xml:space="preserve"> / 50 / 75 / 100</w:t>
      </w:r>
    </w:p>
    <w:p w14:paraId="240D4349" w14:textId="77777777" w:rsidR="004B2808" w:rsidRDefault="00000000">
      <w:pPr>
        <w:pStyle w:val="Author-eListParagraph"/>
        <w:numPr>
          <w:ilvl w:val="0"/>
          <w:numId w:val="700"/>
        </w:numPr>
      </w:pPr>
      <w:r>
        <w:t>Les profils reprennent les charges du plafond pour une déformation</w:t>
      </w:r>
      <w:r>
        <w:rPr>
          <w:rStyle w:val="optioncarChar"/>
        </w:rPr>
        <w:t> 1\300</w:t>
      </w:r>
      <w:r>
        <w:t> (par défaut)</w:t>
      </w:r>
      <w:r>
        <w:rPr>
          <w:rStyle w:val="optioncarChar"/>
        </w:rPr>
        <w:t xml:space="preserve"> / 1\500 / ***</w:t>
      </w:r>
      <w:r>
        <w:t xml:space="preserve"> conformément à la [NIT 232] et la [NBN EN 13964].   </w:t>
      </w:r>
    </w:p>
    <w:p w14:paraId="2BDB0590" w14:textId="77777777" w:rsidR="004B2808" w:rsidRDefault="00000000">
      <w:pPr>
        <w:pStyle w:val="heading"/>
      </w:pPr>
      <w:r>
        <w:t xml:space="preserve">Spécifications - matériau d'isolation (la description de l'isolation est fournie aux articles </w:t>
      </w:r>
      <w:hyperlink w:anchor="73" w:history="1">
        <w:r w:rsidR="004B2808">
          <w:rPr>
            <w:color w:val="0000EE"/>
          </w:rPr>
          <w:t>52.4 Isolation</w:t>
        </w:r>
      </w:hyperlink>
      <w:r>
        <w:t xml:space="preserve"> et suivants)</w:t>
      </w:r>
    </w:p>
    <w:p w14:paraId="0C712814" w14:textId="77777777" w:rsidR="004B2808" w:rsidRDefault="00000000">
      <w:pPr>
        <w:pStyle w:val="Author-eListParagraph"/>
        <w:numPr>
          <w:ilvl w:val="0"/>
          <w:numId w:val="701"/>
        </w:numPr>
      </w:pPr>
      <w:r>
        <w:t>Isolation acoustique :</w:t>
      </w:r>
      <w:r>
        <w:rPr>
          <w:rStyle w:val="optioncarChar"/>
        </w:rPr>
        <w:t> laine minérale bakélisée</w:t>
      </w:r>
      <w:r>
        <w:t> (par défaut)</w:t>
      </w:r>
      <w:r>
        <w:rPr>
          <w:rStyle w:val="optioncarChar"/>
        </w:rPr>
        <w:t xml:space="preserve"> / ***</w:t>
      </w:r>
    </w:p>
    <w:p w14:paraId="6C1B34AB" w14:textId="77777777" w:rsidR="004B2808" w:rsidRDefault="00000000">
      <w:pPr>
        <w:pStyle w:val="Author-eListParagraph"/>
        <w:numPr>
          <w:ilvl w:val="0"/>
          <w:numId w:val="701"/>
        </w:numPr>
      </w:pPr>
      <w:r>
        <w:t xml:space="preserve">Epaisseur des panneaux : </w:t>
      </w:r>
      <w:r>
        <w:rPr>
          <w:rStyle w:val="optioncarChar"/>
        </w:rPr>
        <w:t>20 </w:t>
      </w:r>
      <w:r>
        <w:t>(par défaut)</w:t>
      </w:r>
      <w:r>
        <w:rPr>
          <w:rStyle w:val="optioncarChar"/>
        </w:rPr>
        <w:t xml:space="preserve"> / 25 / 30 / *** </w:t>
      </w:r>
      <w:r>
        <w:t>mm.</w:t>
      </w:r>
    </w:p>
    <w:p w14:paraId="6AC0872B" w14:textId="77777777" w:rsidR="004B2808" w:rsidRDefault="00000000">
      <w:pPr>
        <w:pStyle w:val="Author-eListParagraph"/>
        <w:numPr>
          <w:ilvl w:val="0"/>
          <w:numId w:val="701"/>
        </w:numPr>
      </w:pPr>
      <w:r>
        <w:t>Le nombre de suspensions à isolation acoustique et l'espacement entre les suspensions sont déterminés par le fabricant.</w:t>
      </w:r>
    </w:p>
    <w:p w14:paraId="770E70FB" w14:textId="77777777" w:rsidR="004B2808" w:rsidRDefault="00000000">
      <w:pPr>
        <w:pStyle w:val="Author-eListParagraph"/>
        <w:numPr>
          <w:ilvl w:val="0"/>
          <w:numId w:val="701"/>
        </w:numPr>
      </w:pPr>
      <w:r>
        <w:lastRenderedPageBreak/>
        <w:t>Selon la [Décision 96/603/CE]  et les conditions qui y sont reprises, la laine minérale appartient à la classe de réaction au feu A1.</w:t>
      </w:r>
    </w:p>
    <w:p w14:paraId="001150C3" w14:textId="77777777" w:rsidR="004B2808" w:rsidRDefault="00000000">
      <w:pPr>
        <w:pStyle w:val="pheading"/>
      </w:pPr>
      <w:r>
        <w:t>- Prescriptions complémentaires</w:t>
      </w:r>
    </w:p>
    <w:p w14:paraId="3353FAD1" w14:textId="77777777" w:rsidR="004B2808" w:rsidRDefault="00000000">
      <w:pPr>
        <w:pStyle w:val="heading"/>
      </w:pPr>
      <w:r>
        <w:t>Revêtement des pans de toitures inclinées</w:t>
      </w:r>
    </w:p>
    <w:p w14:paraId="37CA03B0" w14:textId="77777777" w:rsidR="004B2808" w:rsidRDefault="00000000">
      <w:r>
        <w:rPr>
          <w:u w:val="single"/>
        </w:rPr>
        <w:t>Résistance au feu :</w:t>
      </w:r>
    </w:p>
    <w:p w14:paraId="5BFC3D4B" w14:textId="77777777" w:rsidR="004B2808" w:rsidRDefault="00000000">
      <w:r>
        <w:t>A. Plafond : peut contribuer à la résistance au feu de l’élément porteur (REI 30/REI 60/REI 120 selon la [NBN EN 13501-2]</w:t>
      </w:r>
    </w:p>
    <w:p w14:paraId="76C85596" w14:textId="77777777" w:rsidR="004B2808" w:rsidRDefault="00000000">
      <w:r>
        <w:t>B. Plafond suspendu :</w:t>
      </w:r>
    </w:p>
    <w:p w14:paraId="7E88588B" w14:textId="77777777" w:rsidR="004B2808" w:rsidRDefault="00000000">
      <w:r>
        <w:t xml:space="preserve">1) </w:t>
      </w:r>
      <w:r>
        <w:rPr>
          <w:rStyle w:val="optioncarChar"/>
        </w:rPr>
        <w:t>EI 30</w:t>
      </w:r>
      <w:r>
        <w:t xml:space="preserve"> (par défaut)</w:t>
      </w:r>
      <w:r>
        <w:rPr>
          <w:rStyle w:val="optioncarChar"/>
        </w:rPr>
        <w:t> / EI 60 / EI 120 / E30 / ***</w:t>
      </w:r>
      <w:r>
        <w:t xml:space="preserve"> selon la [NBN EN 13501-2]</w:t>
      </w:r>
      <w:r>
        <w:br/>
        <w:t>2) Exigence de stabilité au feu R30 selon la [NBN 713-020]</w:t>
      </w:r>
    </w:p>
    <w:p w14:paraId="4FB9D2D8" w14:textId="77777777" w:rsidR="004B2808" w:rsidRDefault="00000000">
      <w:r>
        <w:t>La performance de résistance au feu est attestée conformément aux prescriptions reprises dans l’arrêté royal Normes de base du 13 juin 2007 modifiant l’[AR 1994-07-07]. Le plafond est posé en conformité totale avec les conditions de pose mentionnées dans le(s) rapport(s) d'essai. Le nombre de fixations et l'espacement des supports sont déterminés par le fabricant en respect de la résistance au feu imposée.</w:t>
      </w:r>
    </w:p>
    <w:p w14:paraId="26DA762C" w14:textId="77777777" w:rsidR="004B2808" w:rsidRDefault="00000000">
      <w:r>
        <w:t xml:space="preserve">Les plafonds appartiennent à la classe acoustique </w:t>
      </w:r>
      <w:r>
        <w:rPr>
          <w:rStyle w:val="optioncarChar"/>
        </w:rPr>
        <w:t xml:space="preserve">Ia </w:t>
      </w:r>
      <w:r>
        <w:t>(par défaut) </w:t>
      </w:r>
      <w:r>
        <w:rPr>
          <w:rStyle w:val="optioncarChar"/>
        </w:rPr>
        <w:t>/ IB/ Iia / IIB / ***</w:t>
      </w:r>
      <w:r>
        <w:t xml:space="preserve"> selon la [NBN S 01-400] Les plafonds suspendus sont pourvus d'une isolation acoustique adaptée conforme aux exigences d'isolation acoustique. Un certificat remis par un laboratoire belge agréé est soumis. Les plafonds sont posés en conformité totale avec les conditions de pose mentionnées dans le rapport d'essai.</w:t>
      </w:r>
    </w:p>
    <w:p w14:paraId="25F43753" w14:textId="77777777" w:rsidR="004B2808" w:rsidRDefault="00000000">
      <w:pPr>
        <w:pStyle w:val="heading"/>
      </w:pPr>
      <w:r>
        <w:t>Plafond suspendu</w:t>
      </w:r>
    </w:p>
    <w:p w14:paraId="24FB2D9E" w14:textId="77777777" w:rsidR="004B2808" w:rsidRDefault="00000000">
      <w:r>
        <w:rPr>
          <w:u w:val="single"/>
        </w:rPr>
        <w:t>Résistance au feu du plafond suspendu</w:t>
      </w:r>
      <w:r>
        <w:t> :</w:t>
      </w:r>
    </w:p>
    <w:p w14:paraId="5311BE4B" w14:textId="77777777" w:rsidR="004B2808" w:rsidRDefault="00000000">
      <w:r>
        <w:t xml:space="preserve">1) </w:t>
      </w:r>
      <w:r>
        <w:rPr>
          <w:rStyle w:val="optioncarChar"/>
        </w:rPr>
        <w:t>EI 30</w:t>
      </w:r>
      <w:r>
        <w:t> (par défaut)</w:t>
      </w:r>
      <w:r>
        <w:rPr>
          <w:rStyle w:val="optioncarChar"/>
        </w:rPr>
        <w:t xml:space="preserve"> / EI 60 / EI 120 / E30 / ***</w:t>
      </w:r>
      <w:r>
        <w:t xml:space="preserve"> selon la [NBN EN 13501-2]</w:t>
      </w:r>
      <w:r>
        <w:br/>
        <w:t>2) Exigence de stabilité au feu R30 selon la [NBN 713-020]</w:t>
      </w:r>
    </w:p>
    <w:p w14:paraId="6ABE306A" w14:textId="77777777" w:rsidR="004B2808" w:rsidRDefault="00000000">
      <w:r>
        <w:t>La performance de résistance au feu est attestée conformément aux prescriptions de l’arrêté royal Normes de base du 13 juin 2007 modifiant l’[AR 1994-07-07]. Le plafond suspendu est posé en conformité totale avec les conditions de pose mentionnées dans le(s) rapport(s) d'essai. Le nombre de fixations et l'espacement des supports sont déterminés par le fabricant en respect de la stabilité au feu imposée.</w:t>
      </w:r>
    </w:p>
    <w:p w14:paraId="1D54454D" w14:textId="77777777" w:rsidR="004B2808" w:rsidRDefault="00000000">
      <w:r>
        <w:t xml:space="preserve">Les plafonds suspendus appartiennent à la classe acoustique </w:t>
      </w:r>
      <w:r>
        <w:rPr>
          <w:rStyle w:val="optioncarChar"/>
        </w:rPr>
        <w:t xml:space="preserve">Ia </w:t>
      </w:r>
      <w:r>
        <w:t>(par défaut) </w:t>
      </w:r>
      <w:r>
        <w:rPr>
          <w:rStyle w:val="optioncarChar"/>
        </w:rPr>
        <w:t>/ IB/ Iia / IIB / ***</w:t>
      </w:r>
      <w:r>
        <w:t xml:space="preserve"> selon la [NBN S 01-400] . Les plafonds suspendus sont pourvus d'une isolation acoustique adaptée conforme aux exigences d'isolation acoustique. Un certificat remis par un laboratoire belge agréé est soumis. Les plafonds sont posés en conformité totale avec les conditions de pose mentionnées dans le rapport d'essai.</w:t>
      </w:r>
    </w:p>
    <w:p w14:paraId="44F358F0" w14:textId="77777777" w:rsidR="004B2808" w:rsidRDefault="00000000">
      <w:pPr>
        <w:pStyle w:val="pheading"/>
      </w:pPr>
      <w:r>
        <w:t>EXÉCUTION / MISE EN ŒUVRE</w:t>
      </w:r>
    </w:p>
    <w:p w14:paraId="46A7D158" w14:textId="77777777" w:rsidR="004B2808" w:rsidRDefault="00000000">
      <w:pPr>
        <w:pStyle w:val="pheading"/>
      </w:pPr>
      <w:r>
        <w:t>- Prescriptions générales</w:t>
      </w:r>
    </w:p>
    <w:p w14:paraId="2F16F4DC" w14:textId="77777777" w:rsidR="004B2808" w:rsidRDefault="00000000">
      <w:r>
        <w:t>La mise en œuvre des plafonds suspendus est conforme à la [NIT 232]. </w:t>
      </w:r>
    </w:p>
    <w:p w14:paraId="1EBC783C" w14:textId="77777777" w:rsidR="004B2808" w:rsidRDefault="00000000">
      <w:pPr>
        <w:pStyle w:val="heading"/>
      </w:pPr>
      <w:r>
        <w:t>Finition des plaques et des joints</w:t>
      </w:r>
    </w:p>
    <w:p w14:paraId="3F5D673F" w14:textId="77777777" w:rsidR="004B2808" w:rsidRDefault="00000000">
      <w:r>
        <w:t>Choix opéré :</w:t>
      </w:r>
      <w:r>
        <w:rPr>
          <w:rStyle w:val="optioncarChar"/>
          <w:b/>
        </w:rPr>
        <w:t>OPTION 1 / OPTION 2 / OPTION 3</w:t>
      </w:r>
    </w:p>
    <w:p w14:paraId="7D4EA05E" w14:textId="77777777" w:rsidR="004B2808" w:rsidRDefault="00000000">
      <w:r>
        <w:rPr>
          <w:b/>
        </w:rPr>
        <w:t>***OPTION 1</w:t>
      </w:r>
      <w:r>
        <w:t xml:space="preserve"> :  Les plaques sont posées à joints longitudinaux ouverts sur une largeur de 3 à 4 mm et ensuite plafonnées. Le plafonnage est prévu dans un article séparé (voir art. </w:t>
      </w:r>
      <w:hyperlink w:anchor="1164" w:history="1">
        <w:r w:rsidR="004B2808">
          <w:rPr>
            <w:color w:val="0000EE"/>
          </w:rPr>
          <w:t>51.5 Revêtements intérieurs enduits</w:t>
        </w:r>
      </w:hyperlink>
      <w:r>
        <w:t>).</w:t>
      </w:r>
      <w:r>
        <w:br/>
      </w:r>
      <w:r>
        <w:rPr>
          <w:b/>
        </w:rPr>
        <w:t xml:space="preserve">***OPTION 2 </w:t>
      </w:r>
      <w:r>
        <w:t>: Les plaques sont parachevées sans joints visibles (destinées à être peintes ultérieurement). Sur tous les angles extérieurs, on fixe des cornières de protection à angle arrondi plein et des ailes en métal fin déployé. Les angles extérieurs et intérieurs sont achevés avec des bandes de recouvrement et enduites en même temps que les têtes de vis avec un matériau approprié, livré par le fabricant.</w:t>
      </w:r>
      <w:r>
        <w:br/>
      </w:r>
      <w:r>
        <w:rPr>
          <w:b/>
        </w:rPr>
        <w:lastRenderedPageBreak/>
        <w:t xml:space="preserve">***OPTION 3 </w:t>
      </w:r>
      <w:r>
        <w:t>:  Les plaques sont parachevées à joints apparents (destinées à être peintes ultérieurement). Sur tous les angles extérieurs, on fixe des cornières de protection à angle arrondi plein et des ailes en métal fin déployé. Les têtes de vis sont enduites à fleur des plaques avec un matériau approprié, livré par le fabricant.</w:t>
      </w:r>
    </w:p>
    <w:p w14:paraId="4C6B3719" w14:textId="77777777" w:rsidR="004B2808" w:rsidRDefault="00000000">
      <w:r>
        <w:rPr>
          <w:b/>
          <w:sz w:val="24"/>
        </w:rPr>
        <w:t>Revêtement des pans de toitures inclinées</w:t>
      </w:r>
    </w:p>
    <w:p w14:paraId="482DAB26" w14:textId="77777777" w:rsidR="004B2808" w:rsidRDefault="00000000">
      <w:r>
        <w:t>Composition du plafond</w:t>
      </w:r>
    </w:p>
    <w:p w14:paraId="1B0BAE51" w14:textId="77777777" w:rsidR="004B2808" w:rsidRDefault="00000000">
      <w:r>
        <w:t xml:space="preserve">Sur la structure portante en bois de la toiture ou sur le plafond (suspendu) existant, on applique un lattage de nivellement, constitué de lattes en bois rabotées. Ce lattage est bien aligné dans le même plan, sans endommager l'isolation et le pare-vapeur. L'espacement entre les lattes est de maximum: </w:t>
      </w:r>
      <w:r>
        <w:rPr>
          <w:rStyle w:val="optioncarChar"/>
        </w:rPr>
        <w:t>40</w:t>
      </w:r>
      <w:r>
        <w:t> (par défaut)</w:t>
      </w:r>
      <w:r>
        <w:rPr>
          <w:rStyle w:val="optioncarChar"/>
        </w:rPr>
        <w:t xml:space="preserve"> / 60 / ***</w:t>
      </w:r>
    </w:p>
    <w:p w14:paraId="2A2B2747" w14:textId="77777777" w:rsidR="004B2808" w:rsidRDefault="00000000">
      <w:r>
        <w:rPr>
          <w:b/>
          <w:sz w:val="24"/>
        </w:rPr>
        <w:t>Plafond suspendu</w:t>
      </w:r>
    </w:p>
    <w:p w14:paraId="548E9E11" w14:textId="77777777" w:rsidR="004B2808" w:rsidRDefault="00000000">
      <w:r>
        <w:t>Composition du plafond - bois</w:t>
      </w:r>
    </w:p>
    <w:p w14:paraId="7E52D2C1" w14:textId="77777777" w:rsidR="004B2808" w:rsidRDefault="00000000">
      <w:r>
        <w:t>Le lattage est exécuté conformément aux prescriptions de la [NIT 232].</w:t>
      </w:r>
    </w:p>
    <w:p w14:paraId="4A6C3B7C" w14:textId="77777777" w:rsidR="004B2808" w:rsidRDefault="00000000">
      <w:pPr>
        <w:pStyle w:val="Author-eListParagraph"/>
        <w:numPr>
          <w:ilvl w:val="0"/>
          <w:numId w:val="702"/>
        </w:numPr>
      </w:pPr>
      <w:r>
        <w:t>Les dimensions des poutres périphériques et du lattage secondaire sont déterminées de façon que la flèche maximale de la portée utile entre les éléments de suspension ne dépasse pas 1/500. La charge du gîtage ne peut dépasser 10% du poids propre de la structure, avec un max. de 6 kg/mm2. Si les portées ne peuvent pas être franchies avec les hauteurs de poutres indiquées, des suspensions supplémentaires doivent être mises en place.</w:t>
      </w:r>
    </w:p>
    <w:p w14:paraId="3532EA2D" w14:textId="77777777" w:rsidR="004B2808" w:rsidRDefault="00000000">
      <w:pPr>
        <w:pStyle w:val="Author-eListParagraph"/>
        <w:numPr>
          <w:ilvl w:val="0"/>
          <w:numId w:val="702"/>
        </w:numPr>
      </w:pPr>
      <w:r>
        <w:t xml:space="preserve">Les poutres périphériques doivent être fixées aux murs attenants au moins tous les </w:t>
      </w:r>
      <w:r>
        <w:rPr>
          <w:rStyle w:val="optioncarChar"/>
        </w:rPr>
        <w:t>600</w:t>
      </w:r>
      <w:r>
        <w:t> (par défaut)</w:t>
      </w:r>
      <w:r>
        <w:rPr>
          <w:rStyle w:val="optioncarChar"/>
        </w:rPr>
        <w:t> / ***</w:t>
      </w:r>
      <w:r>
        <w:t xml:space="preserve">  mm. Les poutres secondaires sont fixées avec un espacement maximal de </w:t>
      </w:r>
      <w:r>
        <w:rPr>
          <w:rStyle w:val="optioncarChar"/>
        </w:rPr>
        <w:t>450</w:t>
      </w:r>
      <w:r>
        <w:t> (par défaut)</w:t>
      </w:r>
      <w:r>
        <w:rPr>
          <w:rStyle w:val="optioncarChar"/>
        </w:rPr>
        <w:t> / ***</w:t>
      </w:r>
      <w:r>
        <w:t>  mm d'axe en axe aux poutres périphériques, par clouage ou à l'aide de sabots en acier galvanisé. Afin de prévenir le flambement des poutres de grande hauteur, les lattes sont reliées mutuellement en plaçant une latte en travers et en les fixant sur chaque latte.</w:t>
      </w:r>
    </w:p>
    <w:p w14:paraId="7D4E89EC" w14:textId="77777777" w:rsidR="004B2808" w:rsidRDefault="00000000">
      <w:r>
        <w:br/>
        <w:t>Composition du plafond - métal</w:t>
      </w:r>
    </w:p>
    <w:p w14:paraId="490E312C" w14:textId="77777777" w:rsidR="004B2808" w:rsidRDefault="00000000">
      <w:r>
        <w:t>Le plafond est placé au moyen d'un système de suspension réglable, quelles que soient les irrégularités de la construction supérieure.</w:t>
      </w:r>
    </w:p>
    <w:p w14:paraId="40814A5D" w14:textId="77777777" w:rsidR="004B2808" w:rsidRDefault="00000000">
      <w:pPr>
        <w:pStyle w:val="Author-eListParagraph"/>
        <w:numPr>
          <w:ilvl w:val="0"/>
          <w:numId w:val="703"/>
        </w:numPr>
      </w:pPr>
      <w:r>
        <w:t>Le nombre des suspensions et leur espacement sont déterminés par le fabricant. Les dimensions des profils et le cadre sont déterminés de façon telle que la flexion à chaque nœud ne dépasse pas 1/500 de la portée. Lorsque la portée du local ne peut être franchie avec la hauteur de profil indiquée, des suspensions supplémentaires doivent être posées.</w:t>
      </w:r>
    </w:p>
    <w:p w14:paraId="3B0EA269" w14:textId="77777777" w:rsidR="004B2808" w:rsidRDefault="00000000">
      <w:pPr>
        <w:pStyle w:val="Author-eListParagraph"/>
        <w:numPr>
          <w:ilvl w:val="0"/>
          <w:numId w:val="703"/>
        </w:numPr>
      </w:pPr>
      <w:r>
        <w:t>Les profils périphériques sont fixés au moins tous les 600 mm aux murs attenants, moyennant l'insertion d'une bande d'étanchéité souple (type PE). Afin de prévenir le flambement des poutres de grande hauteur, les lattes sont reliées mutuellement en plaçant une latte en travers et en les fixant sur chaque latte.</w:t>
      </w:r>
    </w:p>
    <w:p w14:paraId="3B795AB4" w14:textId="77777777" w:rsidR="004B2808" w:rsidRDefault="00000000">
      <w:pPr>
        <w:pStyle w:val="heading"/>
      </w:pPr>
      <w:r>
        <w:t>Finition des plaques et des joints</w:t>
      </w:r>
    </w:p>
    <w:p w14:paraId="39998CF3" w14:textId="77777777" w:rsidR="004B2808" w:rsidRDefault="00000000">
      <w:r>
        <w:t>La finition des plaques de plâtre répond aux exigences de degrés de finition et de tolérances d’exécution définis dans la [NIT 232]</w:t>
      </w:r>
    </w:p>
    <w:p w14:paraId="52C10CC9" w14:textId="77777777" w:rsidR="004B2808" w:rsidRDefault="00000000">
      <w:pPr>
        <w:pStyle w:val="Author-eListParagraph"/>
        <w:numPr>
          <w:ilvl w:val="0"/>
          <w:numId w:val="704"/>
        </w:numPr>
      </w:pPr>
      <w:r>
        <w:t xml:space="preserve">Tolérance d’exécution : </w:t>
      </w:r>
      <w:r>
        <w:rPr>
          <w:rStyle w:val="optioncarChar"/>
        </w:rPr>
        <w:t>classe normale</w:t>
      </w:r>
      <w:r>
        <w:t> (par défaut)</w:t>
      </w:r>
      <w:r>
        <w:rPr>
          <w:rStyle w:val="optioncarChar"/>
        </w:rPr>
        <w:t xml:space="preserve"> / spéciale / ***</w:t>
      </w:r>
    </w:p>
    <w:p w14:paraId="531451EF" w14:textId="77777777" w:rsidR="004B2808" w:rsidRDefault="00000000">
      <w:pPr>
        <w:pStyle w:val="Author-eListParagraph"/>
        <w:numPr>
          <w:ilvl w:val="0"/>
          <w:numId w:val="704"/>
        </w:numPr>
      </w:pPr>
      <w:r>
        <w:t xml:space="preserve">Degré de finition : </w:t>
      </w:r>
      <w:r>
        <w:rPr>
          <w:rStyle w:val="optioncarChar"/>
        </w:rPr>
        <w:t>F1 </w:t>
      </w:r>
      <w:r>
        <w:t>(par défaut)</w:t>
      </w:r>
      <w:r>
        <w:rPr>
          <w:rStyle w:val="optioncarChar"/>
        </w:rPr>
        <w:t xml:space="preserve"> / F2 / F3 / ***</w:t>
      </w:r>
    </w:p>
    <w:p w14:paraId="4D9832A3" w14:textId="77777777" w:rsidR="004B2808" w:rsidRDefault="00000000">
      <w:pPr>
        <w:pStyle w:val="Author-eListParagraph"/>
        <w:numPr>
          <w:ilvl w:val="0"/>
          <w:numId w:val="704"/>
        </w:numPr>
      </w:pPr>
      <w:r>
        <w:t xml:space="preserve">Degré d’exécution en fonction du type de revêtement : </w:t>
      </w:r>
      <w:r>
        <w:rPr>
          <w:rStyle w:val="optioncarChar"/>
        </w:rPr>
        <w:t>degré I </w:t>
      </w:r>
      <w:r>
        <w:t>(par défaut)</w:t>
      </w:r>
      <w:r>
        <w:rPr>
          <w:rStyle w:val="optioncarChar"/>
        </w:rPr>
        <w:t xml:space="preserve"> / degré II / degré III / ***.</w:t>
      </w:r>
    </w:p>
    <w:p w14:paraId="62DB77DF" w14:textId="77777777" w:rsidR="004B2808" w:rsidRDefault="00000000">
      <w:pPr>
        <w:pStyle w:val="pheading"/>
      </w:pPr>
      <w:r>
        <w:t>- Notes d’exécution complémentaires</w:t>
      </w:r>
    </w:p>
    <w:p w14:paraId="18928BFE" w14:textId="77777777" w:rsidR="004B2808" w:rsidRDefault="00000000">
      <w:r>
        <w:t>Bords périphériques : les bords du plafond, à la jonction avec les murs existants, sont exécutés avec des profils appropriés, découpés et colmatés à l'aide d'un mastic élastique qui peut être peint.</w:t>
      </w:r>
      <w:r>
        <w:br/>
        <w:t xml:space="preserve">Couche de fond : les plaques sont parachevées avec une couche de fond à base de résines </w:t>
      </w:r>
      <w:r>
        <w:lastRenderedPageBreak/>
        <w:t>synthétiques. L'entrepreneur soumet la fiche technique de ce produit avant de l'appliquer.</w:t>
      </w:r>
      <w:r>
        <w:br/>
        <w:t xml:space="preserve">Joints de dilatation : </w:t>
      </w:r>
      <w:r>
        <w:rPr>
          <w:rStyle w:val="optioncarChar"/>
        </w:rPr>
        <w:t>***</w:t>
      </w:r>
    </w:p>
    <w:p w14:paraId="49114AEB" w14:textId="77777777" w:rsidR="004B2808" w:rsidRDefault="00000000">
      <w:pPr>
        <w:pStyle w:val="pheading"/>
      </w:pPr>
      <w:r>
        <w:t>MESURAGE</w:t>
      </w:r>
    </w:p>
    <w:p w14:paraId="3773E353" w14:textId="77777777" w:rsidR="004B2808" w:rsidRDefault="00000000">
      <w:r>
        <w:t>Conformément aux indications spécifiques dans le cahier spécial des charges et/ou le métré récapitulatif, le mesurage doit être conçu comme suit :</w:t>
      </w:r>
    </w:p>
    <w:p w14:paraId="73E4CBB4" w14:textId="77777777" w:rsidR="004B2808" w:rsidRDefault="00000000">
      <w:pPr>
        <w:pStyle w:val="pheading"/>
      </w:pPr>
      <w:r>
        <w:t>- unité de mesure:</w:t>
      </w:r>
    </w:p>
    <w:p w14:paraId="2B67AF74" w14:textId="77777777" w:rsidR="004B2808" w:rsidRDefault="00000000">
      <w:r>
        <w:t>m²</w:t>
      </w:r>
    </w:p>
    <w:p w14:paraId="43C2C0BE" w14:textId="77777777" w:rsidR="004B2808" w:rsidRDefault="00000000">
      <w:pPr>
        <w:pStyle w:val="pheading"/>
      </w:pPr>
      <w:r>
        <w:t>- code de mesurage:</w:t>
      </w:r>
    </w:p>
    <w:p w14:paraId="21691D6E" w14:textId="77777777" w:rsidR="004B2808" w:rsidRDefault="00000000">
      <w:r>
        <w:t xml:space="preserve"> Surface nette. Les ouvertures supérieures à 0,5 m² sont déduites. Attention: Lorsque l'habillage des baies des fenêtres de toiture (en plâtre enrobé de carton) est compris, les ouvertures sont comptées en plein, conformément à l'article </w:t>
      </w:r>
      <w:hyperlink w:anchor="847" w:history="1">
        <w:r w:rsidR="004B2808">
          <w:rPr>
            <w:color w:val="0000EE"/>
          </w:rPr>
          <w:t>55.51 Habillage de fenêtres</w:t>
        </w:r>
      </w:hyperlink>
      <w:r>
        <w:t>, en guise de compensation.</w:t>
      </w:r>
    </w:p>
    <w:p w14:paraId="589AC7B9" w14:textId="77777777" w:rsidR="004B2808" w:rsidRDefault="00000000">
      <w:pPr>
        <w:pStyle w:val="pheading"/>
      </w:pPr>
      <w:r>
        <w:t>- nature du marché:</w:t>
      </w:r>
    </w:p>
    <w:p w14:paraId="44ECD7FA" w14:textId="77777777" w:rsidR="004B2808" w:rsidRDefault="00000000">
      <w:r>
        <w:t>QF</w:t>
      </w:r>
    </w:p>
    <w:p w14:paraId="4D266E82" w14:textId="77777777" w:rsidR="004B2808" w:rsidRDefault="00000000">
      <w:pPr>
        <w:pStyle w:val="pheading"/>
      </w:pPr>
      <w:r>
        <w:t>AIDE</w:t>
      </w:r>
    </w:p>
    <w:p w14:paraId="566A3F27" w14:textId="77777777" w:rsidR="004B2808" w:rsidRDefault="00000000">
      <w:r>
        <w:rPr>
          <w:i/>
          <w:u w:val="single"/>
        </w:rPr>
        <w:t>Note à l'attention de l'auteur de projet</w:t>
      </w:r>
      <w:r>
        <w:br/>
        <w:t>Pour les combinaisons disponibles, le type des bords longitudinaux et les dimensions  des plaques, il est recommandé de consulter  la documentation récente.</w:t>
      </w:r>
    </w:p>
    <w:p w14:paraId="45059169" w14:textId="77777777" w:rsidR="004B2808" w:rsidRDefault="00000000">
      <w:pPr>
        <w:pStyle w:val="Author-eSectionHeading5Numberless"/>
      </w:pPr>
      <w:bookmarkStart w:id="905" w:name="_Toc220491041"/>
      <w:r>
        <w:t>54.21.2 Revêtements de plafonds en plaques/panneaux à base minérale autres que plâtre CCTB 01.11</w:t>
      </w:r>
      <w:bookmarkEnd w:id="905"/>
    </w:p>
    <w:p w14:paraId="01A8459C" w14:textId="77777777" w:rsidR="004B2808" w:rsidRDefault="00000000">
      <w:pPr>
        <w:pStyle w:val="pheading"/>
      </w:pPr>
      <w:r>
        <w:t>MATÉRIAUX</w:t>
      </w:r>
    </w:p>
    <w:p w14:paraId="2F832AB2" w14:textId="77777777" w:rsidR="004B2808" w:rsidRDefault="00000000">
      <w:pPr>
        <w:jc w:val="both"/>
      </w:pPr>
      <w:r>
        <w:t>Résistance au feu : le nombre de fixations, l'espacement des supports, la composition du faux-plafond et la technique de pose sont déterminés par le fabricant en respect des conditions mentionnées dans le(s) rapport(s) d'essai établi suivant la norme [NBN EN 13501-2] accompagnant obligatoirement la fiche technique du produit.</w:t>
      </w:r>
    </w:p>
    <w:p w14:paraId="5609AAE8" w14:textId="77777777" w:rsidR="004B2808" w:rsidRDefault="00000000">
      <w:pPr>
        <w:jc w:val="both"/>
      </w:pPr>
      <w:r>
        <w:t>Performance acoustique : pour atteindre les performances (voir articles suivants), les plafonds suspendus sont éventuellement pourvus d'une isolation acoustique adaptée conforme aux exigences d'isolation acoustique. Un certificat remis par un laboratoire agréé est soumis. Les plafonds sont posés en conformité totale avec les conditions de pose mentionnées dans le rapport d'essai qui est à soumettre à l’approbation à la direction du chantier.</w:t>
      </w:r>
    </w:p>
    <w:p w14:paraId="4BEE6D1F" w14:textId="77777777" w:rsidR="004B2808" w:rsidRDefault="00000000">
      <w:pPr>
        <w:pStyle w:val="pheading"/>
      </w:pPr>
      <w:r>
        <w:t>EXÉCUTION / MISE EN ŒUVRE</w:t>
      </w:r>
    </w:p>
    <w:p w14:paraId="14DD1089" w14:textId="77777777" w:rsidR="004B2808" w:rsidRDefault="00000000">
      <w:pPr>
        <w:jc w:val="both"/>
      </w:pPr>
      <w:r>
        <w:t>La mise en œuvre et les assemblages sont exécutés conformément à la documentation technique accompagnant le produit et sont conformes à la [NIT 232] en ce qui concerne les plafonds suspendus.</w:t>
      </w:r>
    </w:p>
    <w:p w14:paraId="7FD01C2D" w14:textId="77777777" w:rsidR="004B2808" w:rsidRDefault="00000000">
      <w:pPr>
        <w:jc w:val="both"/>
      </w:pPr>
      <w:r>
        <w:t>L’entrepreneur soumet à la direction du chantier le complexe et la méthode de pose qu’il propose en fonction du type de support et des performances requises pour les plafonds prescrits.</w:t>
      </w:r>
    </w:p>
    <w:p w14:paraId="6DD5E454" w14:textId="77777777" w:rsidR="004B2808" w:rsidRDefault="00000000">
      <w:pPr>
        <w:jc w:val="both"/>
      </w:pPr>
      <w:r>
        <w:t>Pour le revêtement de pans de toitures inclinés ou de la face inférieure d’un plancher, une ossature de nivellement en bois est appliquée. Cette ossature est alignée dans le même plan en veillant à ne pas endommager les éventuels pare-vapeurs et/ou isolants.</w:t>
      </w:r>
    </w:p>
    <w:p w14:paraId="41A55FA1" w14:textId="77777777" w:rsidR="004B2808" w:rsidRDefault="00000000">
      <w:pPr>
        <w:pStyle w:val="Author-eSectionHeading6Numberless"/>
      </w:pPr>
      <w:bookmarkStart w:id="906" w:name="_Toc220491042"/>
      <w:r>
        <w:t>54.21.2a Revêtements de plafonds en plaques/panneaux en silico-calcaire CCTB 01.11</w:t>
      </w:r>
      <w:bookmarkEnd w:id="906"/>
    </w:p>
    <w:p w14:paraId="005279BC" w14:textId="77777777" w:rsidR="004B2808" w:rsidRDefault="00000000">
      <w:pPr>
        <w:pStyle w:val="pheading"/>
      </w:pPr>
      <w:r>
        <w:t>DESCRIPTION</w:t>
      </w:r>
    </w:p>
    <w:p w14:paraId="7714D764" w14:textId="77777777" w:rsidR="004B2808" w:rsidRDefault="00000000">
      <w:pPr>
        <w:pStyle w:val="pheading"/>
      </w:pPr>
      <w:r>
        <w:t>- Définition / Comprend</w:t>
      </w:r>
    </w:p>
    <w:p w14:paraId="75981D13" w14:textId="77777777" w:rsidR="004B2808" w:rsidRDefault="00000000">
      <w:pPr>
        <w:jc w:val="both"/>
      </w:pPr>
      <w:r>
        <w:lastRenderedPageBreak/>
        <w:t>Il s'agit de la fourniture et de la pose de l’ensemble des éléments nécessaires à la réalisation de plafonds en plaques en silico-calcaire généralement prescrites lorsque les performances requises ne permettent pas l’utilisation de plaques de plâtre.</w:t>
      </w:r>
    </w:p>
    <w:p w14:paraId="67A052F8" w14:textId="77777777" w:rsidR="004B2808" w:rsidRDefault="00000000">
      <w:pPr>
        <w:pStyle w:val="pheading"/>
      </w:pPr>
      <w:r>
        <w:t>MATÉRIAUX</w:t>
      </w:r>
    </w:p>
    <w:p w14:paraId="0C9BD1AF" w14:textId="77777777" w:rsidR="004B2808" w:rsidRDefault="00000000">
      <w:pPr>
        <w:pStyle w:val="pheading"/>
      </w:pPr>
      <w:r>
        <w:t>- Caractéristiques générales</w:t>
      </w:r>
    </w:p>
    <w:p w14:paraId="50C7D507" w14:textId="77777777" w:rsidR="004B2808" w:rsidRDefault="00000000">
      <w:pPr>
        <w:jc w:val="both"/>
      </w:pPr>
      <w:r>
        <w:t>Cet article comprend la fourniture et la pose des structures de support, des moyens de fixation et des plaques de revêtement.</w:t>
      </w:r>
    </w:p>
    <w:p w14:paraId="1D445F10" w14:textId="77777777" w:rsidR="004B2808" w:rsidRDefault="00000000">
      <w:pPr>
        <w:jc w:val="both"/>
      </w:pPr>
      <w:r>
        <w:rPr>
          <w:b/>
        </w:rPr>
        <w:t>Structure de support</w:t>
      </w:r>
    </w:p>
    <w:p w14:paraId="62FFA368" w14:textId="77777777" w:rsidR="004B2808" w:rsidRDefault="00000000">
      <w:pPr>
        <w:jc w:val="both"/>
      </w:pPr>
      <w:r>
        <w:t>Pour le revêtement de pans de toitures inclinés et/ou de la face inférieure d’un plancher, la structure est composée d’un lattage bien droit et exempt de tous défauts risquant de nuire à la forme ou à la résistance.</w:t>
      </w:r>
    </w:p>
    <w:p w14:paraId="042CA846" w14:textId="77777777" w:rsidR="004B2808" w:rsidRDefault="00000000">
      <w:pPr>
        <w:pStyle w:val="Author-eListParagraph"/>
        <w:numPr>
          <w:ilvl w:val="0"/>
          <w:numId w:val="705"/>
        </w:numPr>
      </w:pPr>
      <w:r>
        <w:t xml:space="preserve">Essence du bois : </w:t>
      </w:r>
      <w:r>
        <w:rPr>
          <w:rStyle w:val="optioncarChar"/>
        </w:rPr>
        <w:t xml:space="preserve">Pin du Nord </w:t>
      </w:r>
      <w:r>
        <w:t>(par défaut)</w:t>
      </w:r>
      <w:r>
        <w:rPr>
          <w:rStyle w:val="optioncarChar"/>
        </w:rPr>
        <w:t xml:space="preserve"> / ***</w:t>
      </w:r>
      <w:r>
        <w:t>.</w:t>
      </w:r>
    </w:p>
    <w:p w14:paraId="40403097" w14:textId="77777777" w:rsidR="004B2808" w:rsidRDefault="00000000">
      <w:pPr>
        <w:pStyle w:val="Author-eListParagraph"/>
        <w:numPr>
          <w:ilvl w:val="0"/>
          <w:numId w:val="705"/>
        </w:numPr>
      </w:pPr>
      <w:r>
        <w:t xml:space="preserve">Type de lattage : </w:t>
      </w:r>
      <w:r>
        <w:rPr>
          <w:rStyle w:val="optioncarChar"/>
        </w:rPr>
        <w:t xml:space="preserve">simple </w:t>
      </w:r>
      <w:r>
        <w:t>(par défaut)</w:t>
      </w:r>
      <w:r>
        <w:rPr>
          <w:rStyle w:val="optioncarChar"/>
        </w:rPr>
        <w:t xml:space="preserve"> / double et croisé / ***</w:t>
      </w:r>
      <w:r>
        <w:t>.</w:t>
      </w:r>
    </w:p>
    <w:p w14:paraId="7994DC4E" w14:textId="77777777" w:rsidR="004B2808" w:rsidRDefault="00000000">
      <w:pPr>
        <w:pStyle w:val="Author-eListParagraph"/>
        <w:numPr>
          <w:ilvl w:val="0"/>
          <w:numId w:val="705"/>
        </w:numPr>
      </w:pPr>
      <w:r>
        <w:t xml:space="preserve">Section des bois : </w:t>
      </w:r>
      <w:r>
        <w:rPr>
          <w:rStyle w:val="optioncarChar"/>
        </w:rPr>
        <w:t xml:space="preserve">déterminée conformément à la documentation technique accompagnant le produit et ce, en fonction de l’écartement des structures de support et des performances requises pour le plafond </w:t>
      </w:r>
      <w:r>
        <w:t>(par défaut)</w:t>
      </w:r>
      <w:r>
        <w:rPr>
          <w:rStyle w:val="optioncarChar"/>
        </w:rPr>
        <w:t xml:space="preserve"> / 40 x 32 mm / ***</w:t>
      </w:r>
      <w:r>
        <w:t>.</w:t>
      </w:r>
    </w:p>
    <w:p w14:paraId="5ED4992A" w14:textId="77777777" w:rsidR="004B2808" w:rsidRDefault="00000000">
      <w:pPr>
        <w:pStyle w:val="Author-eListParagraph"/>
        <w:numPr>
          <w:ilvl w:val="0"/>
          <w:numId w:val="705"/>
        </w:numPr>
      </w:pPr>
      <w:r>
        <w:t xml:space="preserve">Le lattage est dimensionné pour permettre la reprise des charges du plafond pour une déformation </w:t>
      </w:r>
      <w:r>
        <w:rPr>
          <w:rStyle w:val="optioncarChar"/>
        </w:rPr>
        <w:t xml:space="preserve">1\300 </w:t>
      </w:r>
      <w:r>
        <w:t xml:space="preserve">(par défaut) </w:t>
      </w:r>
      <w:r>
        <w:rPr>
          <w:rStyle w:val="optioncarChar"/>
        </w:rPr>
        <w:t>/ 1\500 / ***</w:t>
      </w:r>
      <w:r>
        <w:t xml:space="preserve"> conformément à la [NBN EN 13964].  </w:t>
      </w:r>
    </w:p>
    <w:p w14:paraId="1D04D1C7" w14:textId="77777777" w:rsidR="004B2808" w:rsidRDefault="00000000">
      <w:pPr>
        <w:pStyle w:val="Author-eListParagraph"/>
        <w:numPr>
          <w:ilvl w:val="0"/>
          <w:numId w:val="705"/>
        </w:numPr>
      </w:pPr>
      <w:r>
        <w:t xml:space="preserve">Traitement : </w:t>
      </w:r>
      <w:r>
        <w:rPr>
          <w:rStyle w:val="optioncarChar"/>
        </w:rPr>
        <w:t>procédé incolore A1 selon les [STS 04.3] </w:t>
      </w:r>
      <w:r>
        <w:t>(par défaut)</w:t>
      </w:r>
      <w:r>
        <w:rPr>
          <w:rStyle w:val="optioncarChar"/>
        </w:rPr>
        <w:t xml:space="preserve"> / ***</w:t>
      </w:r>
      <w:r>
        <w:t>.</w:t>
      </w:r>
    </w:p>
    <w:p w14:paraId="5CF079E3" w14:textId="77777777" w:rsidR="004B2808" w:rsidRDefault="00000000">
      <w:pPr>
        <w:jc w:val="both"/>
      </w:pPr>
      <w:r>
        <w:t xml:space="preserve">Pour la réalisation de plafonds suspendus, le système de suspension est composé d’une structure en </w:t>
      </w:r>
      <w:r>
        <w:rPr>
          <w:rStyle w:val="optioncarChar"/>
        </w:rPr>
        <w:t xml:space="preserve">métal </w:t>
      </w:r>
      <w:r>
        <w:t>(par défaut)</w:t>
      </w:r>
      <w:r>
        <w:rPr>
          <w:rStyle w:val="optioncarChar"/>
        </w:rPr>
        <w:t xml:space="preserve"> / bois.</w:t>
      </w:r>
    </w:p>
    <w:p w14:paraId="1080D4F5" w14:textId="77777777" w:rsidR="004B2808" w:rsidRDefault="00000000">
      <w:pPr>
        <w:jc w:val="both"/>
      </w:pPr>
      <w:r>
        <w:rPr>
          <w:b/>
        </w:rPr>
        <w:t>(soit par défaut)</w:t>
      </w:r>
    </w:p>
    <w:p w14:paraId="3976662A" w14:textId="77777777" w:rsidR="004B2808" w:rsidRDefault="00000000">
      <w:pPr>
        <w:jc w:val="both"/>
      </w:pPr>
      <w:r>
        <w:rPr>
          <w:rStyle w:val="soitChar"/>
          <w:u w:val="single"/>
        </w:rPr>
        <w:t>Métal :</w:t>
      </w:r>
    </w:p>
    <w:p w14:paraId="0E3A24B7" w14:textId="77777777" w:rsidR="004B2808" w:rsidRDefault="00000000">
      <w:pPr>
        <w:jc w:val="both"/>
      </w:pPr>
      <w:r>
        <w:rPr>
          <w:rStyle w:val="soitChar"/>
        </w:rPr>
        <w:t>L’ossature est composée de profils en acier galvanisé adaptés en fonction du type d'application. Les profils répondent aux dispositions de la norme [NBN EN 13964].</w:t>
      </w:r>
    </w:p>
    <w:p w14:paraId="679F3095" w14:textId="77777777" w:rsidR="004B2808" w:rsidRDefault="00000000">
      <w:pPr>
        <w:pStyle w:val="Author-eListParagraph"/>
        <w:numPr>
          <w:ilvl w:val="0"/>
          <w:numId w:val="706"/>
        </w:numPr>
      </w:pPr>
      <w:r>
        <w:rPr>
          <w:rStyle w:val="soitChar"/>
        </w:rPr>
        <w:t>Type d’assemblage : système à panneaux fixés sur l’ossature conformément à la [NIT 232].</w:t>
      </w:r>
    </w:p>
    <w:p w14:paraId="6117B57E" w14:textId="77777777" w:rsidR="004B2808" w:rsidRDefault="00000000">
      <w:pPr>
        <w:pStyle w:val="Author-eListParagraph"/>
        <w:numPr>
          <w:ilvl w:val="0"/>
          <w:numId w:val="706"/>
        </w:numPr>
      </w:pPr>
      <w:r>
        <w:rPr>
          <w:rStyle w:val="soitChar"/>
        </w:rPr>
        <w:t xml:space="preserve">Section et écartement des profils </w:t>
      </w:r>
      <w:r>
        <w:rPr>
          <w:rStyle w:val="optioncarChar"/>
        </w:rPr>
        <w:t xml:space="preserve">déterminée conformément à la documentation technique accompagnant le produit et ce, en fonction des performances requises pour le plafond </w:t>
      </w:r>
      <w:r>
        <w:t>(par défaut)</w:t>
      </w:r>
      <w:r>
        <w:rPr>
          <w:rStyle w:val="optioncarChar"/>
        </w:rPr>
        <w:t xml:space="preserve"> / ***.</w:t>
      </w:r>
    </w:p>
    <w:p w14:paraId="659A9C28" w14:textId="77777777" w:rsidR="004B2808" w:rsidRDefault="00000000">
      <w:pPr>
        <w:pStyle w:val="Author-eListParagraph"/>
        <w:numPr>
          <w:ilvl w:val="0"/>
          <w:numId w:val="706"/>
        </w:numPr>
      </w:pPr>
      <w:r>
        <w:rPr>
          <w:rStyle w:val="soitChar"/>
        </w:rPr>
        <w:t xml:space="preserve">Classe de déformation : l’ossature est dimensionnée afin d’atteindre des performances requises par la classe </w:t>
      </w:r>
      <w:r>
        <w:rPr>
          <w:rStyle w:val="optioncarChar"/>
        </w:rPr>
        <w:t xml:space="preserve">2 (L/300) </w:t>
      </w:r>
      <w:r>
        <w:t>(par défaut)</w:t>
      </w:r>
      <w:r>
        <w:rPr>
          <w:rStyle w:val="optioncarChar"/>
        </w:rPr>
        <w:t xml:space="preserve"> / 1 (L/500 avec un maximum de 4 mm) / ***</w:t>
      </w:r>
      <w:r>
        <w:rPr>
          <w:rStyle w:val="soitChar"/>
        </w:rPr>
        <w:t xml:space="preserve"> conformément à la [NIT 232] et la [NBN EN 13964].</w:t>
      </w:r>
    </w:p>
    <w:p w14:paraId="77658E42" w14:textId="77777777" w:rsidR="004B2808" w:rsidRDefault="00000000">
      <w:pPr>
        <w:jc w:val="both"/>
      </w:pPr>
      <w:r>
        <w:rPr>
          <w:b/>
        </w:rPr>
        <w:t>(soit)</w:t>
      </w:r>
    </w:p>
    <w:p w14:paraId="0E0F711E" w14:textId="77777777" w:rsidR="004B2808" w:rsidRDefault="00000000">
      <w:pPr>
        <w:jc w:val="both"/>
      </w:pPr>
      <w:r>
        <w:rPr>
          <w:rStyle w:val="soitChar"/>
          <w:u w:val="single"/>
        </w:rPr>
        <w:t>Bois :</w:t>
      </w:r>
    </w:p>
    <w:p w14:paraId="0173382F" w14:textId="77777777" w:rsidR="004B2808" w:rsidRDefault="00000000">
      <w:pPr>
        <w:jc w:val="both"/>
      </w:pPr>
      <w:r>
        <w:rPr>
          <w:rStyle w:val="soitChar"/>
        </w:rPr>
        <w:t>L’ossature est composée d’un lattage en bois adapté en fonction du type d'application. Les chevrons sont parfaitement droits, propres et rabotés, exempts de tous les défauts risquant de nuire à leur forme ou à leur résistance.</w:t>
      </w:r>
    </w:p>
    <w:p w14:paraId="3C3F23F6" w14:textId="77777777" w:rsidR="004B2808" w:rsidRDefault="00000000">
      <w:pPr>
        <w:pStyle w:val="Author-eListParagraph"/>
        <w:numPr>
          <w:ilvl w:val="0"/>
          <w:numId w:val="707"/>
        </w:numPr>
      </w:pPr>
      <w:r>
        <w:rPr>
          <w:rStyle w:val="soitChar"/>
        </w:rPr>
        <w:t>Type d’assemblage : système à panneaux fixés sur l’ossature conformément à la [NIT 232].</w:t>
      </w:r>
    </w:p>
    <w:p w14:paraId="5D5379BF" w14:textId="77777777" w:rsidR="004B2808" w:rsidRDefault="00000000">
      <w:pPr>
        <w:pStyle w:val="Author-eListParagraph"/>
        <w:numPr>
          <w:ilvl w:val="0"/>
          <w:numId w:val="707"/>
        </w:numPr>
      </w:pPr>
      <w:r>
        <w:rPr>
          <w:rStyle w:val="soitChar"/>
        </w:rPr>
        <w:t xml:space="preserve">Tension admissible : ≥ à </w:t>
      </w:r>
      <w:r>
        <w:rPr>
          <w:rStyle w:val="optioncarChar"/>
        </w:rPr>
        <w:t xml:space="preserve">10 </w:t>
      </w:r>
      <w:r>
        <w:t>(par défaut)</w:t>
      </w:r>
      <w:r>
        <w:rPr>
          <w:rStyle w:val="optioncarChar"/>
        </w:rPr>
        <w:t xml:space="preserve"> / ***</w:t>
      </w:r>
      <w:r>
        <w:rPr>
          <w:rStyle w:val="soitChar"/>
        </w:rPr>
        <w:t xml:space="preserve"> N/mm².</w:t>
      </w:r>
    </w:p>
    <w:p w14:paraId="66727079" w14:textId="77777777" w:rsidR="004B2808" w:rsidRDefault="00000000">
      <w:pPr>
        <w:pStyle w:val="Author-eListParagraph"/>
        <w:numPr>
          <w:ilvl w:val="0"/>
          <w:numId w:val="707"/>
        </w:numPr>
      </w:pPr>
      <w:r>
        <w:rPr>
          <w:rStyle w:val="soitChar"/>
        </w:rPr>
        <w:t xml:space="preserve">Section des bois : </w:t>
      </w:r>
      <w:r>
        <w:rPr>
          <w:rStyle w:val="optioncarChar"/>
        </w:rPr>
        <w:t>déterminée conformément à la documentation technique accompagnant le produit et ce, en fonction des performances requises pour le plafond</w:t>
      </w:r>
      <w:r>
        <w:t xml:space="preserve"> (par défaut) </w:t>
      </w:r>
      <w:r>
        <w:rPr>
          <w:rStyle w:val="optioncarChar"/>
        </w:rPr>
        <w:t>/ 35 x 120 / 35 x 150 / 70 x 150 / 70 x 180 / ***.</w:t>
      </w:r>
    </w:p>
    <w:p w14:paraId="4F51B4DD" w14:textId="77777777" w:rsidR="004B2808" w:rsidRDefault="00000000">
      <w:pPr>
        <w:pStyle w:val="Author-eListParagraph"/>
        <w:numPr>
          <w:ilvl w:val="0"/>
          <w:numId w:val="707"/>
        </w:numPr>
      </w:pPr>
      <w:r>
        <w:rPr>
          <w:rStyle w:val="soitChar"/>
        </w:rPr>
        <w:t xml:space="preserve">Classe de déformation : l’ossature est dimensionnée afin d’atteindre des performances requises par la classe </w:t>
      </w:r>
      <w:r>
        <w:rPr>
          <w:rStyle w:val="optioncarChar"/>
        </w:rPr>
        <w:t xml:space="preserve">2 (L/300) </w:t>
      </w:r>
      <w:r>
        <w:t xml:space="preserve">(par défaut) </w:t>
      </w:r>
      <w:r>
        <w:rPr>
          <w:rStyle w:val="optioncarChar"/>
        </w:rPr>
        <w:t>/ 1 (L/500 avec un maximum de 4 mm) / ***</w:t>
      </w:r>
      <w:r>
        <w:rPr>
          <w:rStyle w:val="soitChar"/>
        </w:rPr>
        <w:t xml:space="preserve"> conformément à la [NIT 232] et la [NBN EN 13964].</w:t>
      </w:r>
    </w:p>
    <w:p w14:paraId="0C945323" w14:textId="77777777" w:rsidR="004B2808" w:rsidRDefault="00000000">
      <w:pPr>
        <w:pStyle w:val="Author-eListParagraph"/>
        <w:numPr>
          <w:ilvl w:val="0"/>
          <w:numId w:val="707"/>
        </w:numPr>
      </w:pPr>
      <w:r>
        <w:rPr>
          <w:rStyle w:val="soitChar"/>
        </w:rPr>
        <w:t xml:space="preserve">Traitement : </w:t>
      </w:r>
      <w:r>
        <w:rPr>
          <w:rStyle w:val="optioncarChar"/>
        </w:rPr>
        <w:t>procédé incolore A1 selon les [STS 04.3] </w:t>
      </w:r>
      <w:r>
        <w:t xml:space="preserve">(par défaut) </w:t>
      </w:r>
      <w:r>
        <w:rPr>
          <w:rStyle w:val="optioncarChar"/>
        </w:rPr>
        <w:t>/ ***.</w:t>
      </w:r>
    </w:p>
    <w:p w14:paraId="314618D1" w14:textId="77777777" w:rsidR="004B2808" w:rsidRDefault="00000000">
      <w:pPr>
        <w:jc w:val="both"/>
      </w:pPr>
      <w:r>
        <w:rPr>
          <w:b/>
        </w:rPr>
        <w:t>Plaques en silico-calcaire</w:t>
      </w:r>
    </w:p>
    <w:p w14:paraId="6932DF1E" w14:textId="77777777" w:rsidR="004B2808" w:rsidRDefault="00000000">
      <w:pPr>
        <w:jc w:val="both"/>
      </w:pPr>
      <w:r>
        <w:lastRenderedPageBreak/>
        <w:t>Il s’agit de la fourniture et de la pose de plaques à base de silicate de calcium renforcé de fibres minérales.</w:t>
      </w:r>
    </w:p>
    <w:p w14:paraId="5FA66FE4" w14:textId="77777777" w:rsidR="004B2808" w:rsidRDefault="00000000">
      <w:pPr>
        <w:pStyle w:val="Author-eListParagraph"/>
        <w:numPr>
          <w:ilvl w:val="0"/>
          <w:numId w:val="708"/>
        </w:numPr>
        <w:jc w:val="both"/>
      </w:pPr>
      <w:r>
        <w:t xml:space="preserve">Dimensions des plaques : </w:t>
      </w:r>
      <w:r>
        <w:rPr>
          <w:rStyle w:val="optioncarChar"/>
        </w:rPr>
        <w:t xml:space="preserve">au choix de l’entrepreneur </w:t>
      </w:r>
      <w:r>
        <w:t>(par défaut)</w:t>
      </w:r>
      <w:r>
        <w:rPr>
          <w:rStyle w:val="optioncarChar"/>
        </w:rPr>
        <w:t xml:space="preserve"> / 1250 x 2500 mm / 1250 x 3000 mm / ***.</w:t>
      </w:r>
    </w:p>
    <w:p w14:paraId="0F1F708C" w14:textId="77777777" w:rsidR="004B2808" w:rsidRDefault="00000000">
      <w:pPr>
        <w:pStyle w:val="Author-eListParagraph"/>
        <w:numPr>
          <w:ilvl w:val="0"/>
          <w:numId w:val="708"/>
        </w:numPr>
        <w:jc w:val="both"/>
      </w:pPr>
      <w:r>
        <w:t xml:space="preserve">Epaisseur des plaques : </w:t>
      </w:r>
      <w:r>
        <w:rPr>
          <w:rStyle w:val="optioncarChar"/>
        </w:rPr>
        <w:t xml:space="preserve">déterminée conformément à la documentation technique accompagnant le produit et ce, en fonction du type de structure de support et des performances requises pour le plafond </w:t>
      </w:r>
      <w:r>
        <w:t xml:space="preserve">(par défaut) </w:t>
      </w:r>
      <w:r>
        <w:rPr>
          <w:rStyle w:val="optioncarChar"/>
        </w:rPr>
        <w:t>/ 10 / 12 / 15 / 18 / *** mm</w:t>
      </w:r>
      <w:r>
        <w:t>.</w:t>
      </w:r>
    </w:p>
    <w:p w14:paraId="442D61DB" w14:textId="77777777" w:rsidR="004B2808" w:rsidRDefault="00000000">
      <w:pPr>
        <w:pStyle w:val="Author-eListParagraph"/>
        <w:numPr>
          <w:ilvl w:val="0"/>
          <w:numId w:val="708"/>
        </w:numPr>
        <w:jc w:val="both"/>
      </w:pPr>
      <w:r>
        <w:t xml:space="preserve">Nombre de couches : </w:t>
      </w:r>
      <w:r>
        <w:rPr>
          <w:rStyle w:val="optioncarChar"/>
        </w:rPr>
        <w:t xml:space="preserve">déterminée conformément à la documentation technique accompagnant le produit et ce, en fonction des performances requises pour le plafond </w:t>
      </w:r>
      <w:r>
        <w:t>(par défaut)</w:t>
      </w:r>
      <w:r>
        <w:rPr>
          <w:rStyle w:val="optioncarChar"/>
        </w:rPr>
        <w:t xml:space="preserve"> / 1 / 2 / ***.</w:t>
      </w:r>
    </w:p>
    <w:p w14:paraId="1C0FF4D7" w14:textId="77777777" w:rsidR="004B2808" w:rsidRDefault="00000000">
      <w:pPr>
        <w:pStyle w:val="Author-eListParagraph"/>
        <w:numPr>
          <w:ilvl w:val="0"/>
          <w:numId w:val="708"/>
        </w:numPr>
        <w:jc w:val="both"/>
      </w:pPr>
      <w:r>
        <w:t xml:space="preserve">Bords longitudinaux : </w:t>
      </w:r>
      <w:r>
        <w:rPr>
          <w:rStyle w:val="optioncarChar"/>
        </w:rPr>
        <w:t xml:space="preserve">droit </w:t>
      </w:r>
      <w:r>
        <w:t>(par défaut) </w:t>
      </w:r>
      <w:r>
        <w:rPr>
          <w:rStyle w:val="optioncarChar"/>
        </w:rPr>
        <w:t>/ 2 bords amincis / 4 bords amincis / ***</w:t>
      </w:r>
      <w:r>
        <w:t>.</w:t>
      </w:r>
    </w:p>
    <w:p w14:paraId="2B308D43" w14:textId="77777777" w:rsidR="004B2808" w:rsidRDefault="00000000">
      <w:pPr>
        <w:pStyle w:val="Author-eListParagraph"/>
        <w:numPr>
          <w:ilvl w:val="0"/>
          <w:numId w:val="708"/>
        </w:numPr>
        <w:jc w:val="both"/>
      </w:pPr>
      <w:r>
        <w:t xml:space="preserve">Finition : </w:t>
      </w:r>
      <w:r>
        <w:rPr>
          <w:rStyle w:val="optioncarChar"/>
        </w:rPr>
        <w:t xml:space="preserve">1 </w:t>
      </w:r>
      <w:r>
        <w:t>(par défaut)</w:t>
      </w:r>
      <w:r>
        <w:rPr>
          <w:rStyle w:val="optioncarChar"/>
        </w:rPr>
        <w:t xml:space="preserve"> / ***</w:t>
      </w:r>
      <w:r>
        <w:t xml:space="preserve"> face lisse.</w:t>
      </w:r>
    </w:p>
    <w:p w14:paraId="00A7FCD0" w14:textId="77777777" w:rsidR="004B2808" w:rsidRDefault="00000000">
      <w:pPr>
        <w:pStyle w:val="Author-eListParagraph"/>
        <w:numPr>
          <w:ilvl w:val="0"/>
          <w:numId w:val="708"/>
        </w:numPr>
        <w:jc w:val="both"/>
      </w:pPr>
      <w:r>
        <w:t xml:space="preserve">Classe de réaction au feu suivant [NBN EN 13501-1] : </w:t>
      </w:r>
      <w:r>
        <w:rPr>
          <w:rStyle w:val="optioncarChar"/>
        </w:rPr>
        <w:t>A1</w:t>
      </w:r>
      <w:r>
        <w:t xml:space="preserve"> (par défaut)</w:t>
      </w:r>
      <w:r>
        <w:rPr>
          <w:rStyle w:val="optioncarChar"/>
        </w:rPr>
        <w:t xml:space="preserve"> / ***.</w:t>
      </w:r>
    </w:p>
    <w:p w14:paraId="479A7740" w14:textId="77777777" w:rsidR="004B2808" w:rsidRDefault="00000000">
      <w:pPr>
        <w:pStyle w:val="Author-eListParagraph"/>
        <w:numPr>
          <w:ilvl w:val="0"/>
          <w:numId w:val="708"/>
        </w:numPr>
        <w:jc w:val="both"/>
      </w:pPr>
      <w:r>
        <w:t xml:space="preserve">Classe d’utilisation : </w:t>
      </w:r>
      <w:r>
        <w:rPr>
          <w:rStyle w:val="optioncarChar"/>
        </w:rPr>
        <w:t xml:space="preserve">Z2 (Usage intérieur) </w:t>
      </w:r>
      <w:r>
        <w:t>(par défaut)</w:t>
      </w:r>
      <w:r>
        <w:rPr>
          <w:rStyle w:val="optioncarChar"/>
        </w:rPr>
        <w:t xml:space="preserve"> / Z1 (Usage intérieur avec taux d’humidité élevé) / Y (Usage intérieur et extérieur sous abri).</w:t>
      </w:r>
    </w:p>
    <w:p w14:paraId="0BDDBB3B" w14:textId="77777777" w:rsidR="004B2808" w:rsidRDefault="00000000">
      <w:pPr>
        <w:pStyle w:val="Author-eListParagraph"/>
        <w:numPr>
          <w:ilvl w:val="0"/>
          <w:numId w:val="708"/>
        </w:numPr>
        <w:jc w:val="both"/>
      </w:pPr>
      <w:r>
        <w:t xml:space="preserve">Masse volumique (à l’état sec, 40 °C) : ≥ à </w:t>
      </w:r>
      <w:r>
        <w:rPr>
          <w:rStyle w:val="optioncarChar"/>
        </w:rPr>
        <w:t xml:space="preserve">850 </w:t>
      </w:r>
      <w:r>
        <w:t xml:space="preserve">(par défaut) </w:t>
      </w:r>
      <w:r>
        <w:rPr>
          <w:rStyle w:val="optioncarChar"/>
        </w:rPr>
        <w:t>/ ***</w:t>
      </w:r>
      <w:r>
        <w:t xml:space="preserve"> kg/m³.</w:t>
      </w:r>
    </w:p>
    <w:p w14:paraId="5464715E" w14:textId="77777777" w:rsidR="004B2808" w:rsidRDefault="00000000">
      <w:pPr>
        <w:pStyle w:val="Author-eListParagraph"/>
        <w:numPr>
          <w:ilvl w:val="0"/>
          <w:numId w:val="708"/>
        </w:numPr>
        <w:jc w:val="both"/>
      </w:pPr>
      <w:r>
        <w:t>Résistance à la flexion σ (rupture) : ≥ 5 N/mm²</w:t>
      </w:r>
    </w:p>
    <w:p w14:paraId="2C5E0010" w14:textId="77777777" w:rsidR="004B2808" w:rsidRDefault="00000000">
      <w:pPr>
        <w:pStyle w:val="Author-eListParagraph"/>
        <w:numPr>
          <w:ilvl w:val="0"/>
          <w:numId w:val="708"/>
        </w:numPr>
        <w:jc w:val="both"/>
      </w:pPr>
      <w:r>
        <w:t xml:space="preserve">Exigence de stabilité au feu : </w:t>
      </w:r>
      <w:r>
        <w:rPr>
          <w:rStyle w:val="optioncarChar"/>
        </w:rPr>
        <w:t>néant (pas d’exigence de stabilité au feu requise)</w:t>
      </w:r>
      <w:r>
        <w:t xml:space="preserve"> (par défaut)</w:t>
      </w:r>
      <w:r>
        <w:rPr>
          <w:rStyle w:val="optioncarChar"/>
        </w:rPr>
        <w:t xml:space="preserve"> / R30 selon la [NBN 713-020] / ***.</w:t>
      </w:r>
    </w:p>
    <w:p w14:paraId="2D352248" w14:textId="77777777" w:rsidR="004B2808" w:rsidRDefault="00000000">
      <w:pPr>
        <w:pStyle w:val="Author-eListParagraph"/>
        <w:numPr>
          <w:ilvl w:val="0"/>
          <w:numId w:val="708"/>
        </w:numPr>
        <w:jc w:val="both"/>
      </w:pPr>
      <w:r>
        <w:t xml:space="preserve">Résistance au feu : </w:t>
      </w:r>
      <w:r>
        <w:rPr>
          <w:rStyle w:val="optioncarChar"/>
        </w:rPr>
        <w:t xml:space="preserve">néant (pas de résistance au feu requise) </w:t>
      </w:r>
      <w:r>
        <w:t>(par défaut)</w:t>
      </w:r>
      <w:r>
        <w:rPr>
          <w:rStyle w:val="optioncarChar"/>
        </w:rPr>
        <w:t xml:space="preserve"> / EI 30 / EI 60 / EI 120 / *** selon la [NBN EN 13501-2].</w:t>
      </w:r>
    </w:p>
    <w:p w14:paraId="6A70EE09" w14:textId="77777777" w:rsidR="004B2808" w:rsidRDefault="00000000">
      <w:pPr>
        <w:pStyle w:val="Author-eListParagraph"/>
        <w:numPr>
          <w:ilvl w:val="0"/>
          <w:numId w:val="708"/>
        </w:numPr>
        <w:jc w:val="both"/>
      </w:pPr>
      <w:r>
        <w:t>Absorption acoustique (a</w:t>
      </w:r>
      <w:r>
        <w:rPr>
          <w:vertAlign w:val="subscript"/>
        </w:rPr>
        <w:t>w</w:t>
      </w:r>
      <w:r>
        <w:t xml:space="preserve">) : ≥ à </w:t>
      </w:r>
      <w:r>
        <w:rPr>
          <w:rStyle w:val="optioncarChar"/>
        </w:rPr>
        <w:t>0,25</w:t>
      </w:r>
      <w:r>
        <w:t xml:space="preserve"> (par défaut)</w:t>
      </w:r>
      <w:r>
        <w:rPr>
          <w:rStyle w:val="optioncarChar"/>
        </w:rPr>
        <w:t> / 0.35 / 0.50 / ***</w:t>
      </w:r>
      <w:r>
        <w:t>.</w:t>
      </w:r>
    </w:p>
    <w:p w14:paraId="0968ACDC" w14:textId="77777777" w:rsidR="004B2808" w:rsidRDefault="00000000">
      <w:pPr>
        <w:pStyle w:val="Author-eListParagraph"/>
        <w:numPr>
          <w:ilvl w:val="0"/>
          <w:numId w:val="708"/>
        </w:numPr>
        <w:jc w:val="both"/>
      </w:pPr>
      <w:r>
        <w:t>Performance acoustique : D</w:t>
      </w:r>
      <w:r>
        <w:rPr>
          <w:vertAlign w:val="subscript"/>
        </w:rPr>
        <w:t>A</w:t>
      </w:r>
      <w:r>
        <w:t xml:space="preserve"> ≥ à </w:t>
      </w:r>
      <w:r>
        <w:rPr>
          <w:rStyle w:val="optioncarChar"/>
        </w:rPr>
        <w:t xml:space="preserve">44 </w:t>
      </w:r>
      <w:r>
        <w:t xml:space="preserve">(par défaut) </w:t>
      </w:r>
      <w:r>
        <w:rPr>
          <w:rStyle w:val="optioncarChar"/>
        </w:rPr>
        <w:t>/ 48 / 56 / 58 / ***</w:t>
      </w:r>
      <w:r>
        <w:t xml:space="preserve"> dB selon les [NBN S 01-400-1] et [NBN S 01-400-2]</w:t>
      </w:r>
    </w:p>
    <w:p w14:paraId="0FBC2261" w14:textId="77777777" w:rsidR="004B2808" w:rsidRDefault="00000000">
      <w:pPr>
        <w:pStyle w:val="pheading"/>
      </w:pPr>
      <w:r>
        <w:t>- Finitions</w:t>
      </w:r>
    </w:p>
    <w:p w14:paraId="3F7FAE64" w14:textId="77777777" w:rsidR="004B2808" w:rsidRDefault="00000000">
      <w:pPr>
        <w:jc w:val="both"/>
      </w:pPr>
      <w:r>
        <w:t xml:space="preserve">Finition des plaques : </w:t>
      </w:r>
      <w:r>
        <w:rPr>
          <w:rStyle w:val="optioncarChar"/>
        </w:rPr>
        <w:t xml:space="preserve">prêtes à peindre </w:t>
      </w:r>
      <w:r>
        <w:t xml:space="preserve">(par défaut) </w:t>
      </w:r>
      <w:r>
        <w:rPr>
          <w:rStyle w:val="optioncarChar"/>
        </w:rPr>
        <w:t>/ ***</w:t>
      </w:r>
      <w:r>
        <w:t>.</w:t>
      </w:r>
    </w:p>
    <w:p w14:paraId="2052134A" w14:textId="77777777" w:rsidR="004B2808" w:rsidRDefault="00000000">
      <w:pPr>
        <w:jc w:val="both"/>
      </w:pPr>
      <w:r>
        <w:rPr>
          <w:b/>
        </w:rPr>
        <w:t>(soit par défaut)</w:t>
      </w:r>
    </w:p>
    <w:p w14:paraId="07BAB303" w14:textId="77777777" w:rsidR="004B2808" w:rsidRDefault="00000000">
      <w:pPr>
        <w:jc w:val="both"/>
      </w:pPr>
      <w:r>
        <w:rPr>
          <w:rStyle w:val="soitChar"/>
          <w:u w:val="single"/>
        </w:rPr>
        <w:t>Prêtes à peindre :</w:t>
      </w:r>
    </w:p>
    <w:p w14:paraId="20722540" w14:textId="77777777" w:rsidR="004B2808" w:rsidRDefault="00000000">
      <w:pPr>
        <w:jc w:val="both"/>
      </w:pPr>
      <w:r>
        <w:rPr>
          <w:rStyle w:val="soitChar"/>
        </w:rPr>
        <w:t>Les plaques sont parachevées sans joints visibles (destinées à être peintes ultérieurement). Sur tous les angles extérieurs, on fixe des cornières de protection à angle arrondi plein et des ailes en métal fin déployé. Les angles extérieurs et intérieurs sont achevés avec des bandes de recouvrement et enduites en même temps que les têtes de vis avec un matériau approprié, livré par le fabricant.</w:t>
      </w:r>
    </w:p>
    <w:p w14:paraId="560BD3B4" w14:textId="77777777" w:rsidR="004B2808" w:rsidRDefault="00000000">
      <w:pPr>
        <w:jc w:val="both"/>
      </w:pPr>
      <w:r>
        <w:rPr>
          <w:b/>
        </w:rPr>
        <w:t>(soit)</w:t>
      </w:r>
    </w:p>
    <w:p w14:paraId="1EC576DC" w14:textId="77777777" w:rsidR="004B2808" w:rsidRDefault="00000000">
      <w:pPr>
        <w:jc w:val="both"/>
      </w:pPr>
      <w:r>
        <w:rPr>
          <w:rStyle w:val="optioncarChar"/>
        </w:rPr>
        <w:t>***</w:t>
      </w:r>
    </w:p>
    <w:p w14:paraId="186DA0EE" w14:textId="77777777" w:rsidR="004B2808" w:rsidRDefault="00000000">
      <w:pPr>
        <w:pStyle w:val="pheading"/>
      </w:pPr>
      <w:r>
        <w:t>EXÉCUTION / MISE EN ŒUVRE</w:t>
      </w:r>
    </w:p>
    <w:p w14:paraId="40C3771E" w14:textId="77777777" w:rsidR="004B2808" w:rsidRDefault="00000000">
      <w:pPr>
        <w:pStyle w:val="pheading"/>
      </w:pPr>
      <w:r>
        <w:t>- Prescriptions générales</w:t>
      </w:r>
    </w:p>
    <w:p w14:paraId="25BD9DA1" w14:textId="77777777" w:rsidR="004B2808" w:rsidRDefault="00000000">
      <w:pPr>
        <w:jc w:val="both"/>
      </w:pPr>
      <w:r>
        <w:t xml:space="preserve">Espacement entre les structures de support : </w:t>
      </w:r>
      <w:r>
        <w:rPr>
          <w:rStyle w:val="optioncarChar"/>
        </w:rPr>
        <w:t xml:space="preserve">conforme aux prescriptions de la documentation technique accompagnant le produit et ce, en fonction de l’écartement des structures de support et des performances requises pour le plafond </w:t>
      </w:r>
      <w:r>
        <w:t>(par défaut)</w:t>
      </w:r>
      <w:r>
        <w:rPr>
          <w:rStyle w:val="optioncarChar"/>
        </w:rPr>
        <w:t xml:space="preserve"> / 40 cm / 60 cm / *** cm</w:t>
      </w:r>
      <w:r>
        <w:t>.</w:t>
      </w:r>
    </w:p>
    <w:p w14:paraId="7654FA42" w14:textId="77777777" w:rsidR="004B2808" w:rsidRDefault="00000000">
      <w:pPr>
        <w:jc w:val="both"/>
      </w:pPr>
      <w:r>
        <w:t xml:space="preserve">Pour les plafonds suspendus, la structure de support est exécutée conformément aux prescriptions de la [NIT 232]. Le système de suspension est composé d’une structure en </w:t>
      </w:r>
      <w:r>
        <w:rPr>
          <w:rStyle w:val="optioncarChar"/>
        </w:rPr>
        <w:t xml:space="preserve">métal </w:t>
      </w:r>
      <w:r>
        <w:t>(par défaut)</w:t>
      </w:r>
      <w:r>
        <w:rPr>
          <w:rStyle w:val="optioncarChar"/>
        </w:rPr>
        <w:t xml:space="preserve"> / bois</w:t>
      </w:r>
      <w:r>
        <w:t>.</w:t>
      </w:r>
    </w:p>
    <w:p w14:paraId="3511AED6" w14:textId="77777777" w:rsidR="004B2808" w:rsidRDefault="00000000">
      <w:pPr>
        <w:jc w:val="both"/>
      </w:pPr>
      <w:r>
        <w:rPr>
          <w:b/>
        </w:rPr>
        <w:t>(soit par défaut)</w:t>
      </w:r>
    </w:p>
    <w:p w14:paraId="026D2123" w14:textId="77777777" w:rsidR="004B2808" w:rsidRDefault="00000000">
      <w:pPr>
        <w:jc w:val="both"/>
      </w:pPr>
      <w:r>
        <w:rPr>
          <w:rStyle w:val="soitChar"/>
          <w:u w:val="single"/>
        </w:rPr>
        <w:t>Métal :</w:t>
      </w:r>
    </w:p>
    <w:p w14:paraId="2F9CE394" w14:textId="77777777" w:rsidR="004B2808" w:rsidRDefault="00000000">
      <w:pPr>
        <w:jc w:val="both"/>
      </w:pPr>
      <w:r>
        <w:rPr>
          <w:rStyle w:val="soitChar"/>
        </w:rPr>
        <w:t>La structure est composée d'un système de suspension réglable en profils d’acier galvanisé.</w:t>
      </w:r>
    </w:p>
    <w:p w14:paraId="30D37086" w14:textId="77777777" w:rsidR="004B2808" w:rsidRDefault="00000000">
      <w:pPr>
        <w:jc w:val="both"/>
      </w:pPr>
      <w:r>
        <w:rPr>
          <w:rStyle w:val="soitChar"/>
        </w:rPr>
        <w:t>Le nombre des suspensions et leur espacement sont déterminés par le fabricant en fonction des performances requises pour le plafond.</w:t>
      </w:r>
    </w:p>
    <w:p w14:paraId="3A90814C" w14:textId="77777777" w:rsidR="004B2808" w:rsidRDefault="00000000">
      <w:pPr>
        <w:jc w:val="both"/>
      </w:pPr>
      <w:r>
        <w:rPr>
          <w:rStyle w:val="soitChar"/>
        </w:rPr>
        <w:lastRenderedPageBreak/>
        <w:t xml:space="preserve">Les profils périphériques sont fixés au moins tous les </w:t>
      </w:r>
      <w:r>
        <w:rPr>
          <w:rStyle w:val="optioncarChar"/>
        </w:rPr>
        <w:t xml:space="preserve">600 </w:t>
      </w:r>
      <w:r>
        <w:t>(par défaut)</w:t>
      </w:r>
      <w:r>
        <w:rPr>
          <w:rStyle w:val="optioncarChar"/>
        </w:rPr>
        <w:t xml:space="preserve"> / ***</w:t>
      </w:r>
      <w:r>
        <w:rPr>
          <w:rStyle w:val="soitChar"/>
        </w:rPr>
        <w:t xml:space="preserve"> mm aux murs attenants, moyennant l'insertion d'une bande d'étanchéité souple (type PE).</w:t>
      </w:r>
    </w:p>
    <w:p w14:paraId="54BD186D" w14:textId="77777777" w:rsidR="004B2808" w:rsidRDefault="00000000">
      <w:pPr>
        <w:jc w:val="both"/>
      </w:pPr>
      <w:r>
        <w:rPr>
          <w:b/>
        </w:rPr>
        <w:t>(soit)</w:t>
      </w:r>
    </w:p>
    <w:p w14:paraId="755EE2F0" w14:textId="77777777" w:rsidR="004B2808" w:rsidRDefault="00000000">
      <w:pPr>
        <w:jc w:val="both"/>
      </w:pPr>
      <w:r>
        <w:rPr>
          <w:rStyle w:val="soitChar"/>
          <w:u w:val="single"/>
        </w:rPr>
        <w:t>Bois :</w:t>
      </w:r>
    </w:p>
    <w:p w14:paraId="54350D1E" w14:textId="77777777" w:rsidR="004B2808" w:rsidRDefault="00000000">
      <w:pPr>
        <w:jc w:val="both"/>
      </w:pPr>
      <w:r>
        <w:rPr>
          <w:rStyle w:val="soitChar"/>
        </w:rPr>
        <w:t>Les dimensions des poutres périphériques et du lattage secondaire sont déterminées conformément aux prescriptions de la documentation technique accompagnant le produit et ce, en fonction des performances requises pour le plafond.</w:t>
      </w:r>
    </w:p>
    <w:p w14:paraId="12452286" w14:textId="77777777" w:rsidR="004B2808" w:rsidRDefault="00000000">
      <w:pPr>
        <w:jc w:val="both"/>
      </w:pPr>
      <w:r>
        <w:rPr>
          <w:rStyle w:val="soitChar"/>
        </w:rPr>
        <w:t xml:space="preserve">Les poutres périphériques sont fixées au moins tous les </w:t>
      </w:r>
      <w:r>
        <w:rPr>
          <w:rStyle w:val="optioncarChar"/>
        </w:rPr>
        <w:t xml:space="preserve">600 </w:t>
      </w:r>
      <w:r>
        <w:t>(par défaut)</w:t>
      </w:r>
      <w:r>
        <w:rPr>
          <w:rStyle w:val="optioncarChar"/>
        </w:rPr>
        <w:t xml:space="preserve"> / ***</w:t>
      </w:r>
      <w:r>
        <w:rPr>
          <w:rStyle w:val="soitChar"/>
        </w:rPr>
        <w:t xml:space="preserve"> mm. Les poutres secondaires sont fixées avec un espacement maximal de </w:t>
      </w:r>
      <w:r>
        <w:rPr>
          <w:rStyle w:val="optioncarChar"/>
        </w:rPr>
        <w:t xml:space="preserve">450 </w:t>
      </w:r>
      <w:r>
        <w:t>(par défaut)</w:t>
      </w:r>
      <w:r>
        <w:rPr>
          <w:rStyle w:val="optioncarChar"/>
        </w:rPr>
        <w:t xml:space="preserve"> / ***</w:t>
      </w:r>
      <w:r>
        <w:rPr>
          <w:rStyle w:val="soitChar"/>
        </w:rPr>
        <w:t xml:space="preserve"> mm d'axe en axe aux poutres périphériques, par clouage ou à l'aide de sabots en acier galvanisé. Afin de prévenir le flambement des poutres de grande hauteur, les lattes sont reliées mutuellement en plaçant une latte en travers et en les fixant sur chaque latte.</w:t>
      </w:r>
    </w:p>
    <w:p w14:paraId="014A345E" w14:textId="77777777" w:rsidR="004B2808" w:rsidRDefault="00000000">
      <w:pPr>
        <w:pStyle w:val="pheading"/>
      </w:pPr>
      <w:r>
        <w:t>- Échantillons</w:t>
      </w:r>
    </w:p>
    <w:p w14:paraId="16C7AAC8" w14:textId="77777777" w:rsidR="004B2808" w:rsidRDefault="00000000">
      <w:pPr>
        <w:jc w:val="both"/>
      </w:pPr>
      <w:r>
        <w:t>L’entrepreneur soumet un échantillon du système qu’il propose à l’approbation de la direction du chantier.</w:t>
      </w:r>
    </w:p>
    <w:p w14:paraId="04EF69B7" w14:textId="77777777" w:rsidR="004B2808" w:rsidRDefault="00000000">
      <w:pPr>
        <w:pStyle w:val="pheading"/>
      </w:pPr>
      <w:r>
        <w:t>DOCUMENTS DE RÉFÉRENCE COMPLÉMENTAIRES</w:t>
      </w:r>
    </w:p>
    <w:p w14:paraId="6FB75327" w14:textId="77777777" w:rsidR="004B2808" w:rsidRDefault="00000000">
      <w:pPr>
        <w:pStyle w:val="pheading"/>
      </w:pPr>
      <w:r>
        <w:t>- Matériau</w:t>
      </w:r>
    </w:p>
    <w:p w14:paraId="66FDF42B" w14:textId="77777777" w:rsidR="004B2808" w:rsidRDefault="00000000">
      <w:r>
        <w:t>[NIT 232, Les plafonds suspendus.]</w:t>
      </w:r>
    </w:p>
    <w:p w14:paraId="378CF48E" w14:textId="77777777" w:rsidR="004B2808" w:rsidRDefault="00000000">
      <w:r>
        <w:t>[NBN EN 13964, Plafonds suspendus - Exigences et méthodes d'essai]</w:t>
      </w:r>
    </w:p>
    <w:p w14:paraId="358ECABF" w14:textId="77777777" w:rsidR="004B2808" w:rsidRDefault="00000000">
      <w:r>
        <w:t>[NBN 713-020, Protection contre l'incendie - Comportement au feu des matériaux et éléments de construction - Résistance au feu des éléments de construction (avec erratum)]</w:t>
      </w:r>
    </w:p>
    <w:p w14:paraId="4204CF16" w14:textId="77777777" w:rsidR="004B2808" w:rsidRDefault="00000000">
      <w:r>
        <w:t>[NBN EN 1365-2, Essais de résistance au feu des éléments porteurs - Partie 2: Planchers et toitures]</w:t>
      </w:r>
    </w:p>
    <w:p w14:paraId="4D8966B1" w14:textId="77777777" w:rsidR="004B280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2B357D21" w14:textId="77777777" w:rsidR="004B2808" w:rsidRDefault="00000000">
      <w:r>
        <w:t>[AR 1994-07-07, Arrêté royal fixant les normes de base en matière de prévention contre l'incendie et l'explosion, auxquelles les bâtiments nouveaux doivent satisfaire]Voir annexes 2/1,3/1 et 4/1 suivant hauteur du bâtiment</w:t>
      </w:r>
    </w:p>
    <w:p w14:paraId="3E0E12E3" w14:textId="77777777" w:rsidR="004B2808" w:rsidRDefault="00000000">
      <w:r>
        <w:t>[NBN S 01-400, Acoustique - Critères de l'isolation acoustique]</w:t>
      </w:r>
    </w:p>
    <w:p w14:paraId="3CF75546" w14:textId="77777777" w:rsidR="004B2808" w:rsidRDefault="00000000">
      <w:r>
        <w:t>[NBN S 01-400-1, Critères acoustiques pour les immeubles d'habitation]</w:t>
      </w:r>
    </w:p>
    <w:p w14:paraId="778F2ADA" w14:textId="77777777" w:rsidR="004B2808" w:rsidRDefault="00000000">
      <w:r>
        <w:t>[NBN S 01-400-2, Critères acoustiques pour les bâtiments scolaires]</w:t>
      </w:r>
    </w:p>
    <w:p w14:paraId="4A6BF7E3" w14:textId="77777777" w:rsidR="004B2808" w:rsidRDefault="00000000">
      <w:r>
        <w:t>[NBN S 01-401, Acoustique - Valeurs limites des niveaux de bruit en vue d'éviter l'inconfort dans les bâtiments]</w:t>
      </w:r>
    </w:p>
    <w:p w14:paraId="2B11A1B3" w14:textId="77777777" w:rsidR="004B2808" w:rsidRDefault="00000000">
      <w:pPr>
        <w:pStyle w:val="pheading"/>
      </w:pPr>
      <w:r>
        <w:t>- Exécution</w:t>
      </w:r>
    </w:p>
    <w:p w14:paraId="5E750886" w14:textId="77777777" w:rsidR="004B2808" w:rsidRDefault="00000000">
      <w:r>
        <w:t>[NIT 232, Les plafonds suspendus.]</w:t>
      </w:r>
    </w:p>
    <w:p w14:paraId="4AD4D4DF" w14:textId="77777777" w:rsidR="004B2808" w:rsidRDefault="00000000">
      <w:r>
        <w:t>[NBN EN 13964, Plafonds suspendus - Exigences et méthodes d'essai]</w:t>
      </w:r>
    </w:p>
    <w:p w14:paraId="61F740D5" w14:textId="77777777" w:rsidR="004B2808" w:rsidRDefault="00000000">
      <w:r>
        <w:t>[NBN EN ISO 10052, Acoustique - Mesurages in situ de l'isolement aux bruits aériens et de la transmission des bruits de choc ainsi que du bruit des équipements - Méthode de contrôle (ISO 10052:2021)]</w:t>
      </w:r>
    </w:p>
    <w:p w14:paraId="657F12B4" w14:textId="77777777" w:rsidR="004B2808" w:rsidRDefault="00000000">
      <w:r>
        <w:t>[NBN EN ISO 16283-1, Acoustique - Mesurage in situ de l'isolation acoustique des bâtiments et des éléments de construction - Partie 1: Isolation des bruits aériens (ISO 16283-1:2014)]</w:t>
      </w:r>
    </w:p>
    <w:p w14:paraId="56FD6FBC" w14:textId="77777777" w:rsidR="004B2808" w:rsidRDefault="00000000">
      <w:pPr>
        <w:pStyle w:val="pheading"/>
      </w:pPr>
      <w:r>
        <w:t>MESURAGE</w:t>
      </w:r>
    </w:p>
    <w:p w14:paraId="53B47229" w14:textId="77777777" w:rsidR="004B2808" w:rsidRDefault="00000000">
      <w:pPr>
        <w:pStyle w:val="pheading"/>
      </w:pPr>
      <w:r>
        <w:t>- unité de mesure:</w:t>
      </w:r>
    </w:p>
    <w:p w14:paraId="4C8C7A31" w14:textId="77777777" w:rsidR="004B2808" w:rsidRDefault="00000000">
      <w:r>
        <w:t>m²</w:t>
      </w:r>
    </w:p>
    <w:p w14:paraId="443887D6" w14:textId="77777777" w:rsidR="004B2808" w:rsidRDefault="00000000">
      <w:pPr>
        <w:pStyle w:val="pheading"/>
      </w:pPr>
      <w:r>
        <w:lastRenderedPageBreak/>
        <w:t>- code de mesurage:</w:t>
      </w:r>
    </w:p>
    <w:p w14:paraId="47BFF502" w14:textId="77777777" w:rsidR="004B2808" w:rsidRDefault="00000000">
      <w:pPr>
        <w:jc w:val="both"/>
      </w:pPr>
      <w:r>
        <w:t xml:space="preserve">Surface nette à mettre en œuvre ventilée en fonction du type et des performances des plafonds prescrits. Lorsque l'habillage des baies des fenêtres de toiture est compris, les ouvertures sont comptées en plein, conformément au </w:t>
      </w:r>
      <w:hyperlink w:anchor="847" w:history="1">
        <w:r w:rsidR="004B2808">
          <w:rPr>
            <w:color w:val="0000EE"/>
          </w:rPr>
          <w:t>55.51 Habillage de fenêtres</w:t>
        </w:r>
      </w:hyperlink>
      <w:r>
        <w:t>, en guise de compensation.</w:t>
      </w:r>
    </w:p>
    <w:p w14:paraId="2A272685" w14:textId="77777777" w:rsidR="004B2808" w:rsidRDefault="00000000">
      <w:pPr>
        <w:pStyle w:val="pheading"/>
      </w:pPr>
      <w:r>
        <w:t>- nature du marché:</w:t>
      </w:r>
    </w:p>
    <w:p w14:paraId="3AFD7929" w14:textId="77777777" w:rsidR="004B2808" w:rsidRDefault="00000000">
      <w:r>
        <w:t>QF</w:t>
      </w:r>
    </w:p>
    <w:p w14:paraId="291DE041" w14:textId="77777777" w:rsidR="004B2808" w:rsidRDefault="00000000">
      <w:pPr>
        <w:pStyle w:val="pheading"/>
      </w:pPr>
      <w:r>
        <w:t>AIDE</w:t>
      </w:r>
    </w:p>
    <w:p w14:paraId="7A30E697" w14:textId="77777777" w:rsidR="004B2808" w:rsidRDefault="00000000">
      <w:r>
        <w:t>[SWL GSI/T1/C, Guides sécurité incendie - Tome 1 Prévention passive - Guide C Résistance au feu]</w:t>
      </w:r>
    </w:p>
    <w:p w14:paraId="410B2BE9" w14:textId="77777777" w:rsidR="004B2808" w:rsidRDefault="00000000">
      <w:pPr>
        <w:pStyle w:val="Author-eSectionHeading6Numberless"/>
      </w:pPr>
      <w:bookmarkStart w:id="907" w:name="_Toc220491043"/>
      <w:r>
        <w:t>54.21.2b Revêtements de plafonds en plaques/panneaux en fibro-ciment CCTB 01.02</w:t>
      </w:r>
      <w:bookmarkEnd w:id="907"/>
    </w:p>
    <w:p w14:paraId="64A069A0" w14:textId="77777777" w:rsidR="004B2808" w:rsidRDefault="00000000">
      <w:pPr>
        <w:pStyle w:val="Author-eSectionHeading5Numberless"/>
      </w:pPr>
      <w:bookmarkStart w:id="908" w:name="_Toc220491044"/>
      <w:r>
        <w:t>54.21.3 Revêtements de plafonds en plaques/panneaux à base de bois CCTB 01.02</w:t>
      </w:r>
      <w:bookmarkEnd w:id="908"/>
    </w:p>
    <w:p w14:paraId="7901131C" w14:textId="77777777" w:rsidR="004B2808" w:rsidRDefault="00000000">
      <w:pPr>
        <w:pStyle w:val="Author-eSectionHeading6Numberless"/>
      </w:pPr>
      <w:bookmarkStart w:id="909" w:name="_Toc220491045"/>
      <w:r>
        <w:t>54.21.3a Revêtements de plafonds en plaques/panneaux en bois massif CCTB 01.02</w:t>
      </w:r>
      <w:bookmarkEnd w:id="909"/>
    </w:p>
    <w:p w14:paraId="39472045" w14:textId="77777777" w:rsidR="004B2808" w:rsidRDefault="00000000">
      <w:pPr>
        <w:pStyle w:val="Author-eSectionHeading6Numberless"/>
      </w:pPr>
      <w:bookmarkStart w:id="910" w:name="_Toc220491046"/>
      <w:r>
        <w:t>54.21.3b Revêtements de plafonds en plaques/panneaux composés de particules de bois CCTB 01.02</w:t>
      </w:r>
      <w:bookmarkEnd w:id="910"/>
    </w:p>
    <w:p w14:paraId="78ADBDB8" w14:textId="77777777" w:rsidR="004B2808" w:rsidRDefault="00000000">
      <w:pPr>
        <w:pStyle w:val="Author-eSectionHeading6Numberless"/>
      </w:pPr>
      <w:bookmarkStart w:id="911" w:name="_Toc220491047"/>
      <w:r>
        <w:t>54.21.3c Revêtements de plafonds en plaques/panneaux en contreplaqués CCTB 01.02</w:t>
      </w:r>
      <w:bookmarkEnd w:id="911"/>
    </w:p>
    <w:p w14:paraId="3C544710" w14:textId="77777777" w:rsidR="004B2808" w:rsidRDefault="00000000">
      <w:pPr>
        <w:pStyle w:val="Author-eSectionHeading6Numberless"/>
      </w:pPr>
      <w:bookmarkStart w:id="912" w:name="_Toc220491048"/>
      <w:r>
        <w:t>54.21.3d Revêtements de plafonds en plaques/panneaux en fibres de bois HB CCTB 01.02</w:t>
      </w:r>
      <w:bookmarkEnd w:id="912"/>
    </w:p>
    <w:p w14:paraId="0836F72D" w14:textId="77777777" w:rsidR="004B2808" w:rsidRDefault="00000000">
      <w:pPr>
        <w:pStyle w:val="Author-eSectionHeading6Numberless"/>
      </w:pPr>
      <w:bookmarkStart w:id="913" w:name="_Toc220491049"/>
      <w:r>
        <w:t>54.21.3e Revêtements de plafonds en plaques/panneaux en fibres de bois MB CCTB 01.02</w:t>
      </w:r>
      <w:bookmarkEnd w:id="913"/>
    </w:p>
    <w:p w14:paraId="3FB51BF7" w14:textId="77777777" w:rsidR="004B2808" w:rsidRDefault="00000000">
      <w:pPr>
        <w:pStyle w:val="Author-eSectionHeading6Numberless"/>
      </w:pPr>
      <w:bookmarkStart w:id="914" w:name="_Toc220491050"/>
      <w:r>
        <w:t>54.21.3f Revêtements de plafonds en plaques/panneaux en fibres de bois MDF CCTB 01.02</w:t>
      </w:r>
      <w:bookmarkEnd w:id="914"/>
    </w:p>
    <w:p w14:paraId="21FEA96D" w14:textId="77777777" w:rsidR="004B2808" w:rsidRDefault="00000000">
      <w:pPr>
        <w:pStyle w:val="Author-eSectionHeading6Numberless"/>
      </w:pPr>
      <w:bookmarkStart w:id="915" w:name="_Toc220491051"/>
      <w:r>
        <w:t>54.21.3g Revêtements de plafonds en plaques/panneaux en OSB CCTB 01.02</w:t>
      </w:r>
      <w:bookmarkEnd w:id="915"/>
    </w:p>
    <w:p w14:paraId="41B67425" w14:textId="77777777" w:rsidR="004B2808" w:rsidRDefault="00000000">
      <w:pPr>
        <w:pStyle w:val="Author-eSectionHeading5Numberless"/>
      </w:pPr>
      <w:bookmarkStart w:id="916" w:name="_Toc220491052"/>
      <w:r>
        <w:t>54.21.4 Revêtements de plafonds en plaques/panneaux composites CCTB 01.02</w:t>
      </w:r>
      <w:bookmarkEnd w:id="916"/>
    </w:p>
    <w:p w14:paraId="0F92761A" w14:textId="77777777" w:rsidR="004B2808" w:rsidRDefault="00000000">
      <w:pPr>
        <w:pStyle w:val="Author-eSectionHeading6Numberless"/>
      </w:pPr>
      <w:bookmarkStart w:id="917" w:name="_Toc220491053"/>
      <w:r>
        <w:t>54.21.4a Revêtements de plafonds en plaques/panneaux composites CCTB 01.02</w:t>
      </w:r>
      <w:bookmarkEnd w:id="917"/>
    </w:p>
    <w:p w14:paraId="00C981F1" w14:textId="77777777" w:rsidR="004B2808" w:rsidRDefault="00000000">
      <w:pPr>
        <w:pStyle w:val="Author-eSectionHeading5Numberless"/>
      </w:pPr>
      <w:bookmarkStart w:id="918" w:name="_Toc220491054"/>
      <w:r>
        <w:t>54.21.5 Revêtements de plafonds en plaques/panneaux à base de verre CCTB 01.02</w:t>
      </w:r>
      <w:bookmarkEnd w:id="918"/>
    </w:p>
    <w:p w14:paraId="4D8A9A65" w14:textId="77777777" w:rsidR="004B2808" w:rsidRDefault="00000000">
      <w:pPr>
        <w:pStyle w:val="Author-eSectionHeading6Numberless"/>
      </w:pPr>
      <w:bookmarkStart w:id="919" w:name="_Toc220491055"/>
      <w:r>
        <w:t>54.21.5a Revêtements de plafonds en plaques/panneaux à base de verre - en verre plein CCTB 01.10</w:t>
      </w:r>
      <w:bookmarkEnd w:id="919"/>
    </w:p>
    <w:p w14:paraId="5951F619" w14:textId="77777777" w:rsidR="004B2808" w:rsidRDefault="00000000">
      <w:pPr>
        <w:pStyle w:val="pheading"/>
      </w:pPr>
      <w:r>
        <w:t>MATÉRIAUX</w:t>
      </w:r>
    </w:p>
    <w:p w14:paraId="385B077B" w14:textId="77777777" w:rsidR="004B2808" w:rsidRDefault="00000000">
      <w:pPr>
        <w:pStyle w:val="pheading"/>
      </w:pPr>
      <w:r>
        <w:t>- Caractéristiques générales</w:t>
      </w:r>
    </w:p>
    <w:p w14:paraId="173AD0D4" w14:textId="77777777" w:rsidR="004B2808" w:rsidRDefault="00000000">
      <w:r>
        <w:t xml:space="preserve"> Les plaques de verre sont conformes aux spécifications de la [NBN S 23-002]. Le vitrage est de type </w:t>
      </w:r>
      <w:r>
        <w:rPr>
          <w:rStyle w:val="optioncarChar"/>
        </w:rPr>
        <w:t>1B1</w:t>
      </w:r>
      <w:r>
        <w:t xml:space="preserve"> (par défaut) </w:t>
      </w:r>
      <w:r>
        <w:rPr>
          <w:rStyle w:val="optioncarChar"/>
        </w:rPr>
        <w:t xml:space="preserve">/ 1C1 / *** </w:t>
      </w:r>
      <w:r>
        <w:t>selon [NBN EN 12600] et [NBN S 23-002]; il n'est pas de type A.</w:t>
      </w:r>
    </w:p>
    <w:p w14:paraId="466A1202" w14:textId="77777777" w:rsidR="004B2808" w:rsidRDefault="00000000">
      <w:pPr>
        <w:pStyle w:val="pheading"/>
      </w:pPr>
      <w:r>
        <w:t>MESURAGE</w:t>
      </w:r>
    </w:p>
    <w:p w14:paraId="6E41AB05" w14:textId="77777777" w:rsidR="004B2808" w:rsidRDefault="00000000">
      <w:r>
        <w:t>Conformément aux indications spécifiques dans le cahier spécial des charges et/ou le métré récapitulatif, le mesurage doit être conçu comme suit :</w:t>
      </w:r>
    </w:p>
    <w:p w14:paraId="684AC5EA" w14:textId="77777777" w:rsidR="004B2808" w:rsidRDefault="00000000">
      <w:pPr>
        <w:pStyle w:val="pheading"/>
      </w:pPr>
      <w:r>
        <w:lastRenderedPageBreak/>
        <w:t>- unité de mesure:</w:t>
      </w:r>
    </w:p>
    <w:p w14:paraId="17979FD1" w14:textId="77777777" w:rsidR="004B2808" w:rsidRDefault="00000000">
      <w:r>
        <w:t>m²</w:t>
      </w:r>
    </w:p>
    <w:p w14:paraId="2EDAC76E" w14:textId="77777777" w:rsidR="004B2808" w:rsidRDefault="00000000">
      <w:pPr>
        <w:pStyle w:val="pheading"/>
      </w:pPr>
      <w:r>
        <w:t>- code de mesurage:</w:t>
      </w:r>
    </w:p>
    <w:p w14:paraId="1A218AC6" w14:textId="77777777" w:rsidR="004B2808" w:rsidRDefault="00000000">
      <w:r>
        <w:t xml:space="preserve">surface nette. Les ouvertures supérieures à 0,5 m² sont déduites. Attention: Lorsque l'habillage des baies des fenêtres de toiture (en plâtre enrobé de carton) est compris, les ouvertures sont comptées en plein, conformément à l'article </w:t>
      </w:r>
      <w:hyperlink w:anchor="847" w:history="1">
        <w:r w:rsidR="004B2808">
          <w:rPr>
            <w:color w:val="0000EE"/>
          </w:rPr>
          <w:t>55.51 Habillage de fenêtres</w:t>
        </w:r>
      </w:hyperlink>
      <w:r>
        <w:t>, en guise de compensation.</w:t>
      </w:r>
    </w:p>
    <w:p w14:paraId="13D5902B" w14:textId="77777777" w:rsidR="004B2808" w:rsidRDefault="00000000">
      <w:pPr>
        <w:pStyle w:val="pheading"/>
      </w:pPr>
      <w:r>
        <w:t>- nature du marché:</w:t>
      </w:r>
    </w:p>
    <w:p w14:paraId="03088AFB" w14:textId="77777777" w:rsidR="004B2808" w:rsidRDefault="00000000">
      <w:r>
        <w:t>QF</w:t>
      </w:r>
    </w:p>
    <w:p w14:paraId="79C86BFD" w14:textId="77777777" w:rsidR="004B2808" w:rsidRDefault="00000000">
      <w:pPr>
        <w:pStyle w:val="Author-eSectionHeading6Numberless"/>
      </w:pPr>
      <w:bookmarkStart w:id="920" w:name="_Toc220491056"/>
      <w:r>
        <w:t>54.21.5b Revêtements de plafonds en plaques/panneaux à base de verre - en miroir CCTB 01.12</w:t>
      </w:r>
      <w:bookmarkEnd w:id="920"/>
    </w:p>
    <w:p w14:paraId="18E3BA95" w14:textId="77777777" w:rsidR="004B2808" w:rsidRDefault="00000000">
      <w:pPr>
        <w:pStyle w:val="pheading"/>
      </w:pPr>
      <w:r>
        <w:t>MATÉRIAUX</w:t>
      </w:r>
    </w:p>
    <w:p w14:paraId="73799F4C" w14:textId="77777777" w:rsidR="004B2808" w:rsidRDefault="00000000">
      <w:pPr>
        <w:pStyle w:val="pheading"/>
      </w:pPr>
      <w:r>
        <w:t>- Caractéristiques générales</w:t>
      </w:r>
    </w:p>
    <w:p w14:paraId="1BE11727" w14:textId="77777777" w:rsidR="004B2808" w:rsidRDefault="00000000">
      <w:r>
        <w:t xml:space="preserve">Les miroirs sont conformes aux spécifications de la norme [NBN S 23-002].Les miroirs sont de type </w:t>
      </w:r>
      <w:r>
        <w:rPr>
          <w:rStyle w:val="optioncarChar"/>
        </w:rPr>
        <w:t>1B1</w:t>
      </w:r>
      <w:r>
        <w:t xml:space="preserve"> (par défaut) </w:t>
      </w:r>
      <w:r>
        <w:rPr>
          <w:rStyle w:val="optioncarChar"/>
        </w:rPr>
        <w:t>/ 1C1 </w:t>
      </w:r>
      <w:r>
        <w:t>selon [NBN EN 12600] et [NBN S 23-002] ; ils ne sont pas de type A.</w:t>
      </w:r>
    </w:p>
    <w:p w14:paraId="2542066A" w14:textId="77777777" w:rsidR="004B2808" w:rsidRDefault="00000000">
      <w:pPr>
        <w:pStyle w:val="pheading"/>
      </w:pPr>
      <w:r>
        <w:t>MESURAGE</w:t>
      </w:r>
    </w:p>
    <w:p w14:paraId="70FCE2C7" w14:textId="77777777" w:rsidR="004B2808" w:rsidRDefault="00000000">
      <w:r>
        <w:t>Conformément aux indications spécifiques dans le cahier spécial des charges et/ou le métré récapitulatif, le mesurage doit être conçu comme suit :</w:t>
      </w:r>
    </w:p>
    <w:p w14:paraId="3094D711" w14:textId="77777777" w:rsidR="004B2808" w:rsidRDefault="00000000">
      <w:pPr>
        <w:pStyle w:val="pheading"/>
      </w:pPr>
      <w:r>
        <w:t>- unité de mesure:</w:t>
      </w:r>
    </w:p>
    <w:p w14:paraId="590B7ADF" w14:textId="77777777" w:rsidR="004B2808" w:rsidRDefault="00000000">
      <w:r>
        <w:t>m²</w:t>
      </w:r>
    </w:p>
    <w:p w14:paraId="287592BB" w14:textId="77777777" w:rsidR="004B2808" w:rsidRDefault="00000000">
      <w:pPr>
        <w:pStyle w:val="pheading"/>
      </w:pPr>
      <w:r>
        <w:t>- code de mesurage:</w:t>
      </w:r>
    </w:p>
    <w:p w14:paraId="418AE1FB" w14:textId="77777777" w:rsidR="004B2808" w:rsidRDefault="00000000">
      <w:r>
        <w:t xml:space="preserve">Surface nette. Les ouvertures supérieures à 0,5 m² sont déduites. Attention: Lorsque l'habillage des baies des fenêtres de toiture (en plâtre enrobé de carton) est compris, les ouvertures sont comptées en plein, conformément à l'article </w:t>
      </w:r>
      <w:hyperlink w:anchor="847" w:history="1">
        <w:r w:rsidR="004B2808">
          <w:rPr>
            <w:color w:val="0000EE"/>
          </w:rPr>
          <w:t>55.51 Habillage de fenêtres</w:t>
        </w:r>
      </w:hyperlink>
      <w:r>
        <w:t> en guise de compensation.</w:t>
      </w:r>
    </w:p>
    <w:p w14:paraId="080C300E" w14:textId="77777777" w:rsidR="004B2808" w:rsidRDefault="00000000">
      <w:pPr>
        <w:pStyle w:val="pheading"/>
      </w:pPr>
      <w:r>
        <w:t>- nature du marché:</w:t>
      </w:r>
    </w:p>
    <w:p w14:paraId="569C42B4" w14:textId="77777777" w:rsidR="004B2808" w:rsidRDefault="00000000">
      <w:r>
        <w:t>QF</w:t>
      </w:r>
    </w:p>
    <w:p w14:paraId="43B7E761" w14:textId="77777777" w:rsidR="004B2808" w:rsidRDefault="00000000">
      <w:pPr>
        <w:pStyle w:val="Author-eSectionHeading3Numberless"/>
      </w:pPr>
      <w:bookmarkStart w:id="921" w:name="_Toc220491057"/>
      <w:r>
        <w:t>54.3 Plafonds suspendus (Rem.: la structure porteuse est explicité à l'article) CCTB 01.11</w:t>
      </w:r>
      <w:bookmarkEnd w:id="921"/>
    </w:p>
    <w:p w14:paraId="013454FA" w14:textId="77777777" w:rsidR="004B2808" w:rsidRDefault="00000000">
      <w:pPr>
        <w:pStyle w:val="Author-eSectionHeading4Numberless"/>
      </w:pPr>
      <w:bookmarkStart w:id="922" w:name="1300"/>
      <w:bookmarkStart w:id="923" w:name="_Toc220491058"/>
      <w:bookmarkEnd w:id="922"/>
      <w:r>
        <w:t>54.31 Plafonds suspendus - systèmes à lames/plaques/panneaux CCTB 01.11</w:t>
      </w:r>
      <w:bookmarkEnd w:id="923"/>
    </w:p>
    <w:p w14:paraId="4FAC9B0A" w14:textId="77777777" w:rsidR="004B2808" w:rsidRDefault="00000000">
      <w:pPr>
        <w:pStyle w:val="pheading"/>
      </w:pPr>
      <w:r>
        <w:t>DESCRIPTION</w:t>
      </w:r>
    </w:p>
    <w:p w14:paraId="2BC4AC85" w14:textId="77777777" w:rsidR="004B2808" w:rsidRDefault="00000000">
      <w:pPr>
        <w:pStyle w:val="pheading"/>
      </w:pPr>
      <w:r>
        <w:t>- Définition / Comprend</w:t>
      </w:r>
    </w:p>
    <w:p w14:paraId="331B401C" w14:textId="77777777" w:rsidR="004B2808" w:rsidRDefault="00000000">
      <w:pPr>
        <w:jc w:val="both"/>
      </w:pPr>
      <w:r>
        <w:t>Cet élément et les suivants comprennent notamment :</w:t>
      </w:r>
    </w:p>
    <w:p w14:paraId="37774B30" w14:textId="77777777" w:rsidR="004B2808" w:rsidRDefault="00000000">
      <w:pPr>
        <w:pStyle w:val="Author-eListParagraph"/>
        <w:numPr>
          <w:ilvl w:val="0"/>
          <w:numId w:val="709"/>
        </w:numPr>
        <w:jc w:val="both"/>
      </w:pPr>
      <w:r>
        <w:t>L’étude par l’entrepreneur et/ou le fabricant du dimensionnement des structures de support des revêtements et des ancrages ainsi que des plans de calepinage à soumettre pour approbation à la direction du chantier ;</w:t>
      </w:r>
    </w:p>
    <w:p w14:paraId="768C422E" w14:textId="77777777" w:rsidR="004B2808" w:rsidRDefault="00000000">
      <w:pPr>
        <w:pStyle w:val="Author-eListParagraph"/>
        <w:numPr>
          <w:ilvl w:val="0"/>
          <w:numId w:val="709"/>
        </w:numPr>
        <w:jc w:val="both"/>
      </w:pPr>
      <w:r>
        <w:t>La fourniture et pose de tous les systèmes de suspensions et d’ancrage ;</w:t>
      </w:r>
    </w:p>
    <w:p w14:paraId="7DD3E56E" w14:textId="77777777" w:rsidR="004B2808" w:rsidRDefault="00000000">
      <w:pPr>
        <w:pStyle w:val="Author-eListParagraph"/>
        <w:numPr>
          <w:ilvl w:val="0"/>
          <w:numId w:val="709"/>
        </w:numPr>
        <w:jc w:val="both"/>
      </w:pPr>
      <w:r>
        <w:t>La fourniture et pose des revêtements de plafond ;</w:t>
      </w:r>
    </w:p>
    <w:p w14:paraId="45159D94" w14:textId="77777777" w:rsidR="004B2808" w:rsidRDefault="00000000">
      <w:pPr>
        <w:pStyle w:val="Author-eListParagraph"/>
        <w:numPr>
          <w:ilvl w:val="0"/>
          <w:numId w:val="709"/>
        </w:numPr>
        <w:jc w:val="both"/>
      </w:pPr>
      <w:r>
        <w:t>La finition des bords ;</w:t>
      </w:r>
    </w:p>
    <w:p w14:paraId="694B10E7" w14:textId="77777777" w:rsidR="004B2808" w:rsidRDefault="00000000">
      <w:pPr>
        <w:pStyle w:val="Author-eListParagraph"/>
        <w:numPr>
          <w:ilvl w:val="0"/>
          <w:numId w:val="709"/>
        </w:numPr>
        <w:jc w:val="both"/>
      </w:pPr>
      <w:r>
        <w:t>Tous les moyens de liaisonnement éventuels, aussi bien entre les éléments préfabriqués, qu’avec les éléments de bord ;</w:t>
      </w:r>
    </w:p>
    <w:p w14:paraId="7FD45B76" w14:textId="77777777" w:rsidR="004B2808" w:rsidRDefault="00000000">
      <w:pPr>
        <w:pStyle w:val="Author-eListParagraph"/>
        <w:numPr>
          <w:ilvl w:val="0"/>
          <w:numId w:val="709"/>
        </w:numPr>
        <w:jc w:val="both"/>
      </w:pPr>
      <w:r>
        <w:lastRenderedPageBreak/>
        <w:t>L’enlèvement de tous les accessoires, protections, supports et le nettoyage des faces visibles.</w:t>
      </w:r>
    </w:p>
    <w:p w14:paraId="10C5AD24" w14:textId="77777777" w:rsidR="004B2808" w:rsidRDefault="00000000">
      <w:pPr>
        <w:pStyle w:val="pheading"/>
      </w:pPr>
      <w:r>
        <w:t>EXÉCUTION / MISE EN ŒUVRE</w:t>
      </w:r>
    </w:p>
    <w:p w14:paraId="0A8FE784" w14:textId="77777777" w:rsidR="004B2808" w:rsidRDefault="00000000">
      <w:pPr>
        <w:jc w:val="both"/>
      </w:pPr>
      <w:r>
        <w:t>La mise en œuvre et les assemblages sont exécutés conformément à la documentation technique accompagnant le produit et sont conformes à la [NIT 232].</w:t>
      </w:r>
    </w:p>
    <w:p w14:paraId="4DB17796" w14:textId="77777777" w:rsidR="004B2808" w:rsidRDefault="00000000">
      <w:pPr>
        <w:jc w:val="both"/>
      </w:pPr>
      <w:r>
        <w:t>L’entrepreneur soumet à la direction du chantier l’ensemble des éléments constitutifs du système et la méthode de pose qu’il propose en fonction des performances requises pour les plafonds prescrits.</w:t>
      </w:r>
    </w:p>
    <w:p w14:paraId="2C459E05" w14:textId="77777777" w:rsidR="004B2808" w:rsidRDefault="00000000">
      <w:pPr>
        <w:jc w:val="both"/>
      </w:pPr>
      <w:r>
        <w:t>Les plafonds suspendus sont posés dans les conditions atmosphériques identiques à celles qui sont d'application pendant l'occupation du bâtiment. Les conduites sont déjà posées et les enduits muraux sont déjà terminés. Le bâtiment est fermé au vent et à la pluie.</w:t>
      </w:r>
    </w:p>
    <w:p w14:paraId="05CBE835" w14:textId="77777777" w:rsidR="004B2808" w:rsidRDefault="00000000">
      <w:pPr>
        <w:jc w:val="both"/>
      </w:pPr>
      <w:r>
        <w:t>La hauteur de la face vue du plafond se situe au niveau indiqué sur les plans. Sauf indications contraires, les plafonds sont posés horizontalement et plans, quelle que soient les irrégularités de la construction supérieure.</w:t>
      </w:r>
    </w:p>
    <w:p w14:paraId="7A97EA2E" w14:textId="77777777" w:rsidR="004B2808" w:rsidRDefault="00000000">
      <w:pPr>
        <w:jc w:val="both"/>
      </w:pPr>
      <w:r>
        <w:t>Les plaques sont posées dans les plus grandes longueurs de fabrication possibles. L'orientation des plaques est généralement perpendiculaire à un des murs sauf prescriptions particulières de l’auteur de projet.</w:t>
      </w:r>
    </w:p>
    <w:p w14:paraId="30FFD801" w14:textId="77777777" w:rsidR="004B2808" w:rsidRDefault="00000000">
      <w:pPr>
        <w:pStyle w:val="pheading"/>
      </w:pPr>
      <w:r>
        <w:t>DOCUMENTS DE RÉFÉRENCE</w:t>
      </w:r>
    </w:p>
    <w:p w14:paraId="620E6A6A" w14:textId="77777777" w:rsidR="004B2808" w:rsidRDefault="00000000">
      <w:pPr>
        <w:pStyle w:val="pheading"/>
      </w:pPr>
      <w:r>
        <w:t>- Matériau</w:t>
      </w:r>
    </w:p>
    <w:p w14:paraId="5E154C5B" w14:textId="77777777" w:rsidR="004B2808" w:rsidRDefault="00000000">
      <w:r>
        <w:t>[NIT 232, Les plafonds suspendus.]</w:t>
      </w:r>
    </w:p>
    <w:p w14:paraId="721F35D1" w14:textId="77777777" w:rsidR="004B2808" w:rsidRDefault="00000000">
      <w:r>
        <w:t>[NBN EN 13964, Plafonds suspendus - Exigences et méthodes d'essai]</w:t>
      </w:r>
    </w:p>
    <w:p w14:paraId="32608F4F" w14:textId="77777777" w:rsidR="004B2808" w:rsidRDefault="00000000">
      <w:r>
        <w:t>[NBN 713-020, Protection contre l'incendie - Comportement au feu des matériaux et éléments de construction - Résistance au feu des éléments de construction (avec erratum)]</w:t>
      </w:r>
    </w:p>
    <w:p w14:paraId="3D669142" w14:textId="77777777" w:rsidR="004B2808" w:rsidRDefault="00000000">
      <w:r>
        <w:t>[NBN EN 13501-1, Classement au feu des produits et éléments de construction - Partie 1: Classement à partir des données d'essais de réaction au feu]</w:t>
      </w:r>
    </w:p>
    <w:p w14:paraId="22DF565D" w14:textId="77777777" w:rsidR="004B280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6D00E8E7" w14:textId="77777777" w:rsidR="004B2808" w:rsidRDefault="00000000">
      <w:r>
        <w:t>[AR 1994-07-07, Arrêté royal fixant les normes de base en matière de prévention contre l'incendie et l'explosion, auxquelles les bâtiments nouveaux doivent satisfaire]  Voir annexes 2/1,3/1 et 4/1 de l’arrêté suivant hauteur du bâtiment</w:t>
      </w:r>
    </w:p>
    <w:p w14:paraId="56F3CBD2" w14:textId="77777777" w:rsidR="004B2808" w:rsidRDefault="00000000">
      <w:r>
        <w:t>[NBN S 01-400, Acoustique - Critères de l'isolation acoustique]</w:t>
      </w:r>
    </w:p>
    <w:p w14:paraId="61DF1253" w14:textId="77777777" w:rsidR="004B2808" w:rsidRDefault="00000000">
      <w:r>
        <w:t>[NBN S 01-400-1, Critères acoustiques pour les immeubles d'habitation]</w:t>
      </w:r>
    </w:p>
    <w:p w14:paraId="45CEEE97" w14:textId="77777777" w:rsidR="004B2808" w:rsidRDefault="00000000">
      <w:r>
        <w:t>[NBN S 01-400-2, Critères acoustiques pour les bâtiments scolaires]</w:t>
      </w:r>
    </w:p>
    <w:p w14:paraId="2EA3FB09" w14:textId="77777777" w:rsidR="004B2808" w:rsidRDefault="00000000">
      <w:r>
        <w:t>[NBN S 01-401, Acoustique - Valeurs limites des niveaux de bruit en vue d'éviter l'inconfort dans les bâtiments]</w:t>
      </w:r>
    </w:p>
    <w:p w14:paraId="63E25C7D" w14:textId="77777777" w:rsidR="004B2808" w:rsidRDefault="00000000">
      <w:pPr>
        <w:pStyle w:val="pheading"/>
      </w:pPr>
      <w:r>
        <w:t>- Exécution</w:t>
      </w:r>
    </w:p>
    <w:p w14:paraId="7E03078A" w14:textId="77777777" w:rsidR="004B2808" w:rsidRDefault="00000000">
      <w:r>
        <w:t>[NIT 232, Les plafonds suspendus.]</w:t>
      </w:r>
    </w:p>
    <w:p w14:paraId="55453B0F" w14:textId="77777777" w:rsidR="004B2808" w:rsidRDefault="00000000">
      <w:r>
        <w:t>[NBN EN 13964, Plafonds suspendus - Exigences et méthodes d'essai]</w:t>
      </w:r>
    </w:p>
    <w:p w14:paraId="5BF78717" w14:textId="77777777" w:rsidR="004B2808" w:rsidRDefault="00000000">
      <w:r>
        <w:t>[NBN EN ISO 10052, Acoustique - Mesurages in situ de l'isolement aux bruits aériens et de la transmission des bruits de choc ainsi que du bruit des équipements - Méthode de contrôle (ISO 10052:2021)]</w:t>
      </w:r>
    </w:p>
    <w:p w14:paraId="420652A0" w14:textId="77777777" w:rsidR="004B2808" w:rsidRDefault="00000000">
      <w:r>
        <w:t>[NBN EN ISO 16283-1, Acoustique - Mesurage in situ de l'isolation acoustique des bâtiments et des éléments de construction - Partie 1: Isolation des bruits aériens (ISO 16283-1:2014)]</w:t>
      </w:r>
    </w:p>
    <w:p w14:paraId="079C92BB" w14:textId="77777777" w:rsidR="004B2808" w:rsidRDefault="00000000">
      <w:pPr>
        <w:pStyle w:val="Author-eSectionHeading5Numberless"/>
      </w:pPr>
      <w:bookmarkStart w:id="924" w:name="_Toc220491059"/>
      <w:r>
        <w:lastRenderedPageBreak/>
        <w:t>54.31.1 Plafonds suspendus - parement en lames/plaques/panneaux à base de plâtre CCTB 01.02</w:t>
      </w:r>
      <w:bookmarkEnd w:id="924"/>
    </w:p>
    <w:p w14:paraId="1CB5B1CE" w14:textId="77777777" w:rsidR="004B2808" w:rsidRDefault="00000000">
      <w:pPr>
        <w:pStyle w:val="Author-eSectionHeading6Numberless"/>
      </w:pPr>
      <w:bookmarkStart w:id="925" w:name="_Toc220491060"/>
      <w:r>
        <w:t>54.31.1a Plafonds suspendus - parement en lames/plaques/panneaux à base de plâtre CCTB 01.13</w:t>
      </w:r>
      <w:bookmarkEnd w:id="925"/>
    </w:p>
    <w:p w14:paraId="0172E336" w14:textId="77777777" w:rsidR="004B2808" w:rsidRDefault="00000000">
      <w:pPr>
        <w:pStyle w:val="pheading"/>
      </w:pPr>
      <w:r>
        <w:t>MATÉRIAUX</w:t>
      </w:r>
    </w:p>
    <w:p w14:paraId="2F834B03" w14:textId="77777777" w:rsidR="004B2808" w:rsidRDefault="00000000">
      <w:pPr>
        <w:pStyle w:val="pheading"/>
      </w:pPr>
      <w:r>
        <w:t>- Caractéristiques générales</w:t>
      </w:r>
    </w:p>
    <w:p w14:paraId="5AE17500" w14:textId="77777777" w:rsidR="004B2808" w:rsidRDefault="00000000">
      <w:r>
        <w:t>Il s'agit d'un plafond suspendu posé en indépendance par rapport au plafond du gros-œuvre. Le système de suspension se compose de :</w:t>
      </w:r>
    </w:p>
    <w:p w14:paraId="16526E36" w14:textId="77777777" w:rsidR="004B2808" w:rsidRDefault="00000000">
      <w:r>
        <w:rPr>
          <w:rStyle w:val="optioncarChar"/>
        </w:rPr>
        <w:t>en bois</w:t>
      </w:r>
      <w:r>
        <w:t> (par défaut)</w:t>
      </w:r>
      <w:r>
        <w:rPr>
          <w:rStyle w:val="optioncarChar"/>
        </w:rPr>
        <w:t xml:space="preserve"> /en métal</w:t>
      </w:r>
      <w:r>
        <w:br/>
      </w:r>
      <w:r>
        <w:rPr>
          <w:b/>
        </w:rPr>
        <w:t>(soit par défaut)</w:t>
      </w:r>
      <w:r>
        <w:t xml:space="preserve"> : </w:t>
      </w:r>
      <w:r>
        <w:rPr>
          <w:u w:val="single"/>
        </w:rPr>
        <w:t>un lattage en bois</w:t>
      </w:r>
      <w:r>
        <w:t>, adapté en fonction du type d'application. Les chevrons sont parfaitement droits, propres et rabotés, exempts de tous les défauts risquant de nuire à leur forme ou à leur résistance.</w:t>
      </w:r>
      <w:r>
        <w:br/>
      </w:r>
      <w:r>
        <w:rPr>
          <w:b/>
        </w:rPr>
        <w:t>(soit)</w:t>
      </w:r>
      <w:r>
        <w:t xml:space="preserve"> : </w:t>
      </w:r>
      <w:r>
        <w:rPr>
          <w:u w:val="single"/>
        </w:rPr>
        <w:t>une ossature composée de profils en acier galvanisés</w:t>
      </w:r>
      <w:r>
        <w:t>, adaptée en fonction du type d'application. Les profils répondent aux dispositions de la norme[NBN EN 13964]1ère partie.</w:t>
      </w:r>
    </w:p>
    <w:p w14:paraId="735ACA4E" w14:textId="77777777" w:rsidR="004B2808" w:rsidRDefault="00000000">
      <w:pPr>
        <w:pStyle w:val="heading"/>
      </w:pPr>
      <w:r>
        <w:t>Spécifications - lattage en bois</w:t>
      </w:r>
    </w:p>
    <w:p w14:paraId="7D10177B" w14:textId="77777777" w:rsidR="004B2808" w:rsidRDefault="00000000">
      <w:pPr>
        <w:pStyle w:val="Author-eListParagraph"/>
        <w:numPr>
          <w:ilvl w:val="0"/>
          <w:numId w:val="710"/>
        </w:numPr>
      </w:pPr>
      <w:r>
        <w:t>La tension admissible est d'au moins 10 N/mm².</w:t>
      </w:r>
    </w:p>
    <w:p w14:paraId="6D61C157" w14:textId="77777777" w:rsidR="004B2808" w:rsidRDefault="00000000">
      <w:pPr>
        <w:pStyle w:val="Author-eListParagraph"/>
        <w:numPr>
          <w:ilvl w:val="0"/>
          <w:numId w:val="710"/>
        </w:numPr>
      </w:pPr>
      <w:r>
        <w:t xml:space="preserve">Sections du bois : </w:t>
      </w:r>
      <w:r>
        <w:rPr>
          <w:rStyle w:val="optioncarChar"/>
        </w:rPr>
        <w:t xml:space="preserve">35 x 120 </w:t>
      </w:r>
      <w:r>
        <w:t>(par défaut) </w:t>
      </w:r>
      <w:r>
        <w:rPr>
          <w:rStyle w:val="optioncarChar"/>
        </w:rPr>
        <w:t xml:space="preserve">/ 35 x 150 / 70 x 150 / 70 x 180 / *** </w:t>
      </w:r>
      <w:r>
        <w:t>mm.</w:t>
      </w:r>
    </w:p>
    <w:p w14:paraId="5A4329F4" w14:textId="77777777" w:rsidR="004B2808" w:rsidRDefault="00000000">
      <w:pPr>
        <w:pStyle w:val="heading"/>
      </w:pPr>
      <w:r>
        <w:t>Spécifications - structure en métal</w:t>
      </w:r>
    </w:p>
    <w:p w14:paraId="5DAD5F83" w14:textId="77777777" w:rsidR="004B2808" w:rsidRDefault="00000000">
      <w:pPr>
        <w:pStyle w:val="Author-eListParagraph"/>
        <w:numPr>
          <w:ilvl w:val="0"/>
          <w:numId w:val="711"/>
        </w:numPr>
      </w:pPr>
      <w:r>
        <w:t xml:space="preserve">Hauteur nominale : </w:t>
      </w:r>
      <w:r>
        <w:rPr>
          <w:rStyle w:val="optioncarChar"/>
        </w:rPr>
        <w:t xml:space="preserve">*** </w:t>
      </w:r>
      <w:r>
        <w:t>mm.</w:t>
      </w:r>
    </w:p>
    <w:p w14:paraId="5F3617AE" w14:textId="77777777" w:rsidR="004B2808" w:rsidRDefault="00000000">
      <w:pPr>
        <w:pStyle w:val="Author-eListParagraph"/>
        <w:numPr>
          <w:ilvl w:val="0"/>
          <w:numId w:val="711"/>
        </w:numPr>
      </w:pPr>
      <w:r>
        <w:t xml:space="preserve">Largeur des brides des profils : </w:t>
      </w:r>
      <w:r>
        <w:rPr>
          <w:rStyle w:val="optioncarChar"/>
        </w:rPr>
        <w:t>45</w:t>
      </w:r>
      <w:r>
        <w:t xml:space="preserve"> (par défaut)</w:t>
      </w:r>
      <w:r>
        <w:rPr>
          <w:rStyle w:val="optioncarChar"/>
        </w:rPr>
        <w:t> / 50 / 75 / 100 / ***</w:t>
      </w:r>
    </w:p>
    <w:p w14:paraId="3937480D" w14:textId="77777777" w:rsidR="004B2808" w:rsidRDefault="00000000">
      <w:pPr>
        <w:pStyle w:val="Author-eListParagraph"/>
        <w:numPr>
          <w:ilvl w:val="0"/>
          <w:numId w:val="711"/>
        </w:numPr>
      </w:pPr>
      <w:r>
        <w:t>    Les profils reprennent les charges du plafond pour une déformation</w:t>
      </w:r>
      <w:r>
        <w:rPr>
          <w:rStyle w:val="optioncarChar"/>
        </w:rPr>
        <w:t> 1\300</w:t>
      </w:r>
      <w:r>
        <w:t> (par défaut)</w:t>
      </w:r>
      <w:r>
        <w:rPr>
          <w:rStyle w:val="optioncarChar"/>
        </w:rPr>
        <w:t xml:space="preserve"> / 1\500 / ***</w:t>
      </w:r>
      <w:r>
        <w:t> conformément à la [NBN EN 13964] et [NIT 232].</w:t>
      </w:r>
    </w:p>
    <w:p w14:paraId="18D3EC66" w14:textId="77777777" w:rsidR="004B2808" w:rsidRDefault="00000000">
      <w:pPr>
        <w:pStyle w:val="heading"/>
      </w:pPr>
      <w:r>
        <w:t>Spécifications - plaques de plâtre enrobées de carton</w:t>
      </w:r>
    </w:p>
    <w:p w14:paraId="1520B815" w14:textId="77777777" w:rsidR="004B2808" w:rsidRDefault="00000000">
      <w:pPr>
        <w:pStyle w:val="Author-eListParagraph"/>
        <w:numPr>
          <w:ilvl w:val="0"/>
          <w:numId w:val="712"/>
        </w:numPr>
      </w:pPr>
      <w:r>
        <w:t xml:space="preserve">Type : </w:t>
      </w:r>
      <w:r>
        <w:rPr>
          <w:rStyle w:val="optioncarChar"/>
        </w:rPr>
        <w:t>Type A </w:t>
      </w:r>
      <w:r>
        <w:t>(par défaut)</w:t>
      </w:r>
      <w:r>
        <w:rPr>
          <w:rStyle w:val="optioncarChar"/>
        </w:rPr>
        <w:t xml:space="preserve"> / Type F (à cohésion améliorée de l’âme à haute température aussi appelée « plaque Rf ») / Type P (plaques aptes à recevoir un enduit au plâtre) / Type H (à taux d’absorption d’eau réduit) selon [NBN EN 520+A1] / ***</w:t>
      </w:r>
    </w:p>
    <w:p w14:paraId="2342CBDB" w14:textId="77777777" w:rsidR="004B2808" w:rsidRDefault="00000000">
      <w:pPr>
        <w:pStyle w:val="Author-eListParagraph"/>
        <w:numPr>
          <w:ilvl w:val="0"/>
          <w:numId w:val="712"/>
        </w:numPr>
      </w:pPr>
      <w:r>
        <w:t xml:space="preserve">Dimensions des plaques : </w:t>
      </w:r>
    </w:p>
    <w:p w14:paraId="54935C4F" w14:textId="77777777" w:rsidR="004B2808" w:rsidRDefault="00000000">
      <w:pPr>
        <w:pStyle w:val="Author-eListParagraph"/>
        <w:numPr>
          <w:ilvl w:val="1"/>
          <w:numId w:val="713"/>
        </w:numPr>
      </w:pPr>
      <w:r>
        <w:t xml:space="preserve">Epaisseur des plaques : </w:t>
      </w:r>
      <w:r>
        <w:rPr>
          <w:rStyle w:val="optioncarChar"/>
        </w:rPr>
        <w:t>9,5</w:t>
      </w:r>
      <w:r>
        <w:t xml:space="preserve"> (par défaut) </w:t>
      </w:r>
      <w:r>
        <w:rPr>
          <w:rStyle w:val="optioncarChar"/>
        </w:rPr>
        <w:t xml:space="preserve">/ 12,5 / 15 / *** </w:t>
      </w:r>
      <w:r>
        <w:t>mm</w:t>
      </w:r>
    </w:p>
    <w:p w14:paraId="3449350A" w14:textId="77777777" w:rsidR="004B2808" w:rsidRDefault="00000000">
      <w:pPr>
        <w:pStyle w:val="Author-eListParagraph"/>
        <w:numPr>
          <w:ilvl w:val="1"/>
          <w:numId w:val="713"/>
        </w:numPr>
      </w:pPr>
      <w:r>
        <w:t xml:space="preserve">Largeur : </w:t>
      </w:r>
      <w:r>
        <w:rPr>
          <w:rStyle w:val="optioncarChar"/>
        </w:rPr>
        <w:t>600 / 1200 mm</w:t>
      </w:r>
      <w:r>
        <w:t> (par défaut)</w:t>
      </w:r>
      <w:r>
        <w:rPr>
          <w:rStyle w:val="optioncarChar"/>
        </w:rPr>
        <w:t xml:space="preserve"> / au choix de l'entrepreneur / ***</w:t>
      </w:r>
    </w:p>
    <w:p w14:paraId="7784A183" w14:textId="77777777" w:rsidR="004B2808" w:rsidRDefault="00000000">
      <w:pPr>
        <w:pStyle w:val="Author-eListParagraph"/>
        <w:numPr>
          <w:ilvl w:val="1"/>
          <w:numId w:val="713"/>
        </w:numPr>
      </w:pPr>
      <w:r>
        <w:t xml:space="preserve">Longueur : au moins </w:t>
      </w:r>
      <w:r>
        <w:rPr>
          <w:rStyle w:val="optioncarChar"/>
        </w:rPr>
        <w:t>la hauteur libre du local </w:t>
      </w:r>
      <w:r>
        <w:t>(par défaut)</w:t>
      </w:r>
      <w:r>
        <w:rPr>
          <w:rStyle w:val="optioncarChar"/>
        </w:rPr>
        <w:t xml:space="preserve"> / ***</w:t>
      </w:r>
    </w:p>
    <w:p w14:paraId="36351979" w14:textId="77777777" w:rsidR="004B2808" w:rsidRDefault="00000000">
      <w:pPr>
        <w:pStyle w:val="Author-eListParagraph"/>
        <w:numPr>
          <w:ilvl w:val="0"/>
          <w:numId w:val="712"/>
        </w:numPr>
      </w:pPr>
      <w:r>
        <w:t xml:space="preserve">Bords longitudinaux selon la [NBN EN 520+A1] : </w:t>
      </w:r>
    </w:p>
    <w:p w14:paraId="2E1F0C9A" w14:textId="77777777" w:rsidR="004B2808" w:rsidRDefault="00000000">
      <w:pPr>
        <w:pStyle w:val="Author-eListParagraph"/>
        <w:numPr>
          <w:ilvl w:val="1"/>
          <w:numId w:val="714"/>
        </w:numPr>
      </w:pPr>
      <w:r>
        <w:t xml:space="preserve">pour les plaques de type A, F et H : </w:t>
      </w:r>
      <w:r>
        <w:rPr>
          <w:rStyle w:val="optioncarChar"/>
        </w:rPr>
        <w:t>droit</w:t>
      </w:r>
      <w:r>
        <w:t> (par défaut)</w:t>
      </w:r>
      <w:r>
        <w:rPr>
          <w:rStyle w:val="optioncarChar"/>
        </w:rPr>
        <w:t xml:space="preserve"> / biseauté / aminci / semi-arrondi / aminci semi-arrondi / arrondi / ***</w:t>
      </w:r>
    </w:p>
    <w:p w14:paraId="78333B05" w14:textId="77777777" w:rsidR="004B2808" w:rsidRDefault="00000000">
      <w:pPr>
        <w:pStyle w:val="Author-eListParagraph"/>
        <w:numPr>
          <w:ilvl w:val="1"/>
          <w:numId w:val="714"/>
        </w:numPr>
      </w:pPr>
      <w:r>
        <w:t xml:space="preserve">pour les plaques de type P : </w:t>
      </w:r>
      <w:r>
        <w:rPr>
          <w:rStyle w:val="optioncarChar"/>
        </w:rPr>
        <w:t>droit </w:t>
      </w:r>
      <w:r>
        <w:t>(par défaut)</w:t>
      </w:r>
      <w:r>
        <w:rPr>
          <w:rStyle w:val="optioncarChar"/>
        </w:rPr>
        <w:t xml:space="preserve"> / arrondi / ***</w:t>
      </w:r>
    </w:p>
    <w:p w14:paraId="606C2F2B" w14:textId="77777777" w:rsidR="004B2808" w:rsidRDefault="00000000">
      <w:pPr>
        <w:pStyle w:val="Author-eListParagraph"/>
        <w:numPr>
          <w:ilvl w:val="0"/>
          <w:numId w:val="712"/>
        </w:numPr>
      </w:pPr>
      <w:r>
        <w:t>Selon la [Décision 2003/593/CE] du 7 août 2003  et les conditions qui y sont reprises, les plaques de parement en plâtre (sauf plaques perforées) appartiennent à la classe de réaction au feu A2-s1, d0 pour autant que ces plaques soient montées et fixées in situ selon des conditions bien précises :</w:t>
      </w:r>
    </w:p>
    <w:p w14:paraId="315A644E" w14:textId="77777777" w:rsidR="004B2808" w:rsidRDefault="00000000">
      <w:pPr>
        <w:pStyle w:val="Author-eListParagraph"/>
        <w:numPr>
          <w:ilvl w:val="0"/>
          <w:numId w:val="712"/>
        </w:numPr>
      </w:pPr>
      <w:r>
        <w:t>Fixation mécanique sur une sous-structure en métal ou en bois ; la cavité entre les plaques et l’ossature peut rester libre ou être comblée au moyen d’un matériau isolant de la classe de réaction au feu A2-s1, d0.</w:t>
      </w:r>
    </w:p>
    <w:p w14:paraId="73C6DC73" w14:textId="77777777" w:rsidR="004B2808" w:rsidRDefault="00000000">
      <w:pPr>
        <w:pStyle w:val="Author-eListParagraph"/>
        <w:numPr>
          <w:ilvl w:val="0"/>
          <w:numId w:val="712"/>
        </w:numPr>
      </w:pPr>
      <w:r>
        <w:t>Fixation directe ou collage sur un support continu présentant au moins une réaction au feu de classe A2-s1, d0. </w:t>
      </w:r>
    </w:p>
    <w:p w14:paraId="2F0418FF" w14:textId="77777777" w:rsidR="004B2808" w:rsidRDefault="00000000">
      <w:pPr>
        <w:pStyle w:val="heading"/>
      </w:pPr>
      <w:r>
        <w:t>Spécifications - matériau d'isolation</w:t>
      </w:r>
    </w:p>
    <w:p w14:paraId="4B3FB3CC" w14:textId="77777777" w:rsidR="004B2808" w:rsidRDefault="00000000">
      <w:pPr>
        <w:pStyle w:val="Author-eListParagraph"/>
        <w:numPr>
          <w:ilvl w:val="0"/>
          <w:numId w:val="715"/>
        </w:numPr>
      </w:pPr>
      <w:r>
        <w:t xml:space="preserve">La description de l'isolation est fournie aux articles </w:t>
      </w:r>
      <w:hyperlink w:anchor="73" w:history="1">
        <w:r w:rsidR="004B2808">
          <w:rPr>
            <w:color w:val="0000EE"/>
          </w:rPr>
          <w:t>52.4 Isolation</w:t>
        </w:r>
      </w:hyperlink>
      <w:r>
        <w:t xml:space="preserve"> et suivants.</w:t>
      </w:r>
    </w:p>
    <w:p w14:paraId="65E165AF" w14:textId="77777777" w:rsidR="004B2808" w:rsidRDefault="00000000">
      <w:pPr>
        <w:pStyle w:val="Author-eListParagraph"/>
        <w:numPr>
          <w:ilvl w:val="0"/>
          <w:numId w:val="715"/>
        </w:numPr>
      </w:pPr>
      <w:r>
        <w:t xml:space="preserve">Isolation acoustique </w:t>
      </w:r>
      <w:r>
        <w:rPr>
          <w:rStyle w:val="optioncarChar"/>
        </w:rPr>
        <w:t>: laine minérale bakélisée</w:t>
      </w:r>
      <w:r>
        <w:t> (par défaut</w:t>
      </w:r>
      <w:r>
        <w:rPr>
          <w:rStyle w:val="optioncarChar"/>
        </w:rPr>
        <w:t>) / ***</w:t>
      </w:r>
    </w:p>
    <w:p w14:paraId="1306DCD8" w14:textId="77777777" w:rsidR="004B2808" w:rsidRDefault="00000000">
      <w:pPr>
        <w:pStyle w:val="Author-eListParagraph"/>
        <w:numPr>
          <w:ilvl w:val="0"/>
          <w:numId w:val="715"/>
        </w:numPr>
      </w:pPr>
      <w:r>
        <w:t xml:space="preserve">Epaisseur des panneaux : </w:t>
      </w:r>
      <w:r>
        <w:rPr>
          <w:rStyle w:val="optioncarChar"/>
        </w:rPr>
        <w:t>20</w:t>
      </w:r>
      <w:r>
        <w:t> (par défaut)</w:t>
      </w:r>
      <w:r>
        <w:rPr>
          <w:rStyle w:val="optioncarChar"/>
        </w:rPr>
        <w:t xml:space="preserve"> / 25 / 30 / *** </w:t>
      </w:r>
      <w:r>
        <w:t>mm.</w:t>
      </w:r>
    </w:p>
    <w:p w14:paraId="0952FE06" w14:textId="77777777" w:rsidR="004B2808" w:rsidRDefault="00000000">
      <w:pPr>
        <w:pStyle w:val="Author-eListParagraph"/>
        <w:numPr>
          <w:ilvl w:val="0"/>
          <w:numId w:val="715"/>
        </w:numPr>
      </w:pPr>
      <w:r>
        <w:lastRenderedPageBreak/>
        <w:t>Le nombre de suspensions à isolation acoustique et l'espacement entre les suspensions sont déterminés par le fabricant.</w:t>
      </w:r>
    </w:p>
    <w:p w14:paraId="4FE7DE75" w14:textId="77777777" w:rsidR="004B2808" w:rsidRDefault="00000000">
      <w:pPr>
        <w:pStyle w:val="Author-eListParagraph"/>
        <w:numPr>
          <w:ilvl w:val="0"/>
          <w:numId w:val="715"/>
        </w:numPr>
      </w:pPr>
      <w:r>
        <w:t>Selon la [Décision 96/603/CE] du 4 octobre 1996  et les conditions qui y sont reprises, la laine minérale appartient à la classe de réaction au feu A1.  </w:t>
      </w:r>
    </w:p>
    <w:p w14:paraId="0D4E03C7" w14:textId="77777777" w:rsidR="004B2808" w:rsidRDefault="00000000">
      <w:pPr>
        <w:pStyle w:val="pheading"/>
      </w:pPr>
      <w:r>
        <w:t>- Prescriptions complémentaires</w:t>
      </w:r>
    </w:p>
    <w:p w14:paraId="04F39189" w14:textId="77777777" w:rsidR="004B2808" w:rsidRDefault="00000000">
      <w:r>
        <w:t>Résistance au feu du plafond suspendu :</w:t>
      </w:r>
      <w:r>
        <w:br/>
        <w:t xml:space="preserve">1) </w:t>
      </w:r>
      <w:r>
        <w:rPr>
          <w:rStyle w:val="optioncarChar"/>
        </w:rPr>
        <w:t>*** / EI 30 / EI 60 / EI 120 / E30</w:t>
      </w:r>
      <w:r>
        <w:t xml:space="preserve"> selon la [NBN EN 13501-2]</w:t>
      </w:r>
      <w:r>
        <w:br/>
        <w:t>2) Exigence de stabilité au feu R30 selon la [NBN 713-020]</w:t>
      </w:r>
      <w:r>
        <w:br/>
        <w:t>La performance de résistance au feu est attestée conformément aux prescriptions de l’arrêté royal Normes de base du 13 juin 2007 modifiant l’arrêté royal du 7 juillet 1994. Le plafond suspendu est posé en conformité totale avec les conditions de pose mentionnées dans le(s) rapport(s) d'essai. Le nombre de fixations et l'espacement des supports sont déterminés par le fabricant en respect de la stabilité au feu imposée.</w:t>
      </w:r>
    </w:p>
    <w:p w14:paraId="0F22D6A4" w14:textId="77777777" w:rsidR="004B2808" w:rsidRDefault="00000000">
      <w:r>
        <w:t xml:space="preserve">Les plafonds suspendus appartiennent à la classe acoustique </w:t>
      </w:r>
      <w:r>
        <w:rPr>
          <w:rStyle w:val="optioncarChar"/>
        </w:rPr>
        <w:t>*** / Ia / IB / Iia / IIB / ***</w:t>
      </w:r>
      <w:r>
        <w:t xml:space="preserve"> selon la [NBN S 01-400] Les plafonds suspendus sont pourvus d'une isolation acoustique adaptée conforme aux exigences d'isolation acoustique. Un certificat remis par un laboratoire belge agréé est soumis. Les plafonds sont posés en conformité totale avec les conditions de pose mentionnées dans le rapport d'essai.</w:t>
      </w:r>
    </w:p>
    <w:p w14:paraId="469108F3" w14:textId="77777777" w:rsidR="004B2808" w:rsidRDefault="00000000">
      <w:pPr>
        <w:pStyle w:val="pheading"/>
      </w:pPr>
      <w:r>
        <w:t>EXÉCUTION / MISE EN ŒUVRE</w:t>
      </w:r>
    </w:p>
    <w:p w14:paraId="45113508" w14:textId="77777777" w:rsidR="004B2808" w:rsidRDefault="00000000">
      <w:pPr>
        <w:pStyle w:val="pheading"/>
      </w:pPr>
      <w:r>
        <w:t>- Prescriptions générales</w:t>
      </w:r>
    </w:p>
    <w:p w14:paraId="402C5D2E" w14:textId="77777777" w:rsidR="004B2808" w:rsidRDefault="00000000">
      <w:pPr>
        <w:pStyle w:val="heading"/>
      </w:pPr>
      <w:r>
        <w:t>Composition du plafond - bois</w:t>
      </w:r>
    </w:p>
    <w:p w14:paraId="00FF8F6C" w14:textId="77777777" w:rsidR="004B2808" w:rsidRDefault="00000000">
      <w:r>
        <w:t>Le lattage est exécuté conformément aux prescriptions de la [NIT 232].</w:t>
      </w:r>
    </w:p>
    <w:p w14:paraId="672DD050" w14:textId="77777777" w:rsidR="004B2808" w:rsidRDefault="00000000">
      <w:pPr>
        <w:pStyle w:val="Author-eListParagraph"/>
        <w:numPr>
          <w:ilvl w:val="0"/>
          <w:numId w:val="716"/>
        </w:numPr>
      </w:pPr>
      <w:r>
        <w:t>Les dimensions des poutres périphériques et du lattage secondaire sont déterminées de façon que la flèche maximale de la portée utile entre les éléments de suspension ne dépasse pas 1/800. La charge du gîtage ne peut dépasser 10% du poids propre de la structure, avec un max. de 6 kg/mm2. Si les portées ne peuvent pas être franchies avec les hauteurs de poutres indiquées, des suspensions supplémentaires doivent être mises en place.</w:t>
      </w:r>
    </w:p>
    <w:p w14:paraId="639D821A" w14:textId="77777777" w:rsidR="004B2808" w:rsidRDefault="00000000">
      <w:pPr>
        <w:pStyle w:val="Author-eListParagraph"/>
        <w:numPr>
          <w:ilvl w:val="0"/>
          <w:numId w:val="716"/>
        </w:numPr>
      </w:pPr>
      <w:r>
        <w:t>Les poutres périphériques doivent être fixées aux murs attenants au moins tous les</w:t>
      </w:r>
      <w:r>
        <w:rPr>
          <w:rStyle w:val="optioncarChar"/>
        </w:rPr>
        <w:t xml:space="preserve"> *** / 600 </w:t>
      </w:r>
      <w:r>
        <w:t xml:space="preserve">mm. Les poutres secondaires sont fixées avec un espacement maximal de </w:t>
      </w:r>
      <w:r>
        <w:rPr>
          <w:rStyle w:val="optioncarChar"/>
        </w:rPr>
        <w:t>*** / 450</w:t>
      </w:r>
      <w:r>
        <w:t> mm d'axe en axe aux poutres périphériques, par clouage ou à l'aide de sabots en acier galvanisé. Afin de prévenir le flambement des poutres de grande hauteur, les lattes sont reliées mutuellement en plaçant une latte en travers et en les fixant sur chaque latte.</w:t>
      </w:r>
    </w:p>
    <w:p w14:paraId="2C94FA1C" w14:textId="77777777" w:rsidR="004B2808" w:rsidRDefault="00000000">
      <w:pPr>
        <w:pStyle w:val="heading"/>
      </w:pPr>
      <w:r>
        <w:t>Composition du plafond - métal</w:t>
      </w:r>
    </w:p>
    <w:p w14:paraId="6A4BD5C4" w14:textId="77777777" w:rsidR="004B2808" w:rsidRDefault="00000000">
      <w:r>
        <w:t>Le plafond est placé au moyen d'un système de suspension réglable, quelles que soient les irrégularités de la construction supérieure.</w:t>
      </w:r>
    </w:p>
    <w:p w14:paraId="7A54B8FC" w14:textId="77777777" w:rsidR="004B2808" w:rsidRDefault="00000000">
      <w:pPr>
        <w:pStyle w:val="Author-eListParagraph"/>
        <w:numPr>
          <w:ilvl w:val="0"/>
          <w:numId w:val="717"/>
        </w:numPr>
      </w:pPr>
      <w:r>
        <w:t xml:space="preserve">Le nombre des suspensions et leur espacement sont déterminés par le fabricant. Les dimensions des profils et le cadre sont déterminés de façon telle que la flexion à chaque nœud ne dépasse pas </w:t>
      </w:r>
      <w:r>
        <w:rPr>
          <w:rStyle w:val="optioncarChar"/>
        </w:rPr>
        <w:t>*** / 1\500</w:t>
      </w:r>
      <w:r>
        <w:t> de la portée. Lorsque la portée du local ne peut être franchie avec la hauteur de profil indiquée, des suspensions supplémentaires doivent être posées.</w:t>
      </w:r>
    </w:p>
    <w:p w14:paraId="1F499442" w14:textId="77777777" w:rsidR="004B2808" w:rsidRDefault="00000000">
      <w:pPr>
        <w:pStyle w:val="Author-eListParagraph"/>
        <w:numPr>
          <w:ilvl w:val="0"/>
          <w:numId w:val="717"/>
        </w:numPr>
      </w:pPr>
      <w:r>
        <w:t>Les profils périphériques sont fixés au moins tous les 600 mm aux murs attenants, moyennant l'insertion d'une bande d'étanchéité souple (type PE). Afin de prévenir le flambement des poutres de grande hauteur, les lattes sont reliées mutuellement en plaçant une latte en travers et en les fixant sur chaque latte.</w:t>
      </w:r>
    </w:p>
    <w:p w14:paraId="64C9736D" w14:textId="77777777" w:rsidR="004B2808" w:rsidRDefault="00000000">
      <w:pPr>
        <w:pStyle w:val="heading"/>
      </w:pPr>
      <w:r>
        <w:t>Finition des plaques et des joints</w:t>
      </w:r>
    </w:p>
    <w:p w14:paraId="1F5E196E" w14:textId="77777777" w:rsidR="004B2808" w:rsidRDefault="00000000">
      <w:r>
        <w:t>Choix opéré :</w:t>
      </w:r>
      <w:r>
        <w:rPr>
          <w:rStyle w:val="optioncarChar"/>
          <w:b/>
        </w:rPr>
        <w:t>*** / OPTION 1 / OPTION 2  / OPTION 3</w:t>
      </w:r>
      <w:r>
        <w:rPr>
          <w:b/>
        </w:rPr>
        <w:t>  </w:t>
      </w:r>
    </w:p>
    <w:p w14:paraId="78025BF6" w14:textId="77777777" w:rsidR="004B2808" w:rsidRDefault="00000000">
      <w:r>
        <w:rPr>
          <w:b/>
        </w:rPr>
        <w:t>***OPTION 1</w:t>
      </w:r>
      <w:r>
        <w:t xml:space="preserve"> : Les plaques sont posées à joints longitudinaux ouverts sur une largeur de 3 à 4 mm et ensuite plafonnées. Le plafonnage est prévu dans un article séparé (voir art. </w:t>
      </w:r>
      <w:hyperlink w:anchor="1164" w:history="1">
        <w:r w:rsidR="004B2808">
          <w:rPr>
            <w:color w:val="0000EE"/>
          </w:rPr>
          <w:t xml:space="preserve">51.5 Revêtements </w:t>
        </w:r>
        <w:r w:rsidR="004B2808">
          <w:rPr>
            <w:color w:val="0000EE"/>
          </w:rPr>
          <w:lastRenderedPageBreak/>
          <w:t>intérieurs enduits</w:t>
        </w:r>
      </w:hyperlink>
      <w:r>
        <w:t>).</w:t>
      </w:r>
      <w:r>
        <w:br/>
      </w:r>
      <w:r>
        <w:rPr>
          <w:b/>
        </w:rPr>
        <w:t>***OPTION 2</w:t>
      </w:r>
      <w:r>
        <w:t> : Les plaques sont parachevées sans joints visibles (destinées à être peintes ultérieurement). Sur tous les angles extérieurs, on fixe des cornières de protection à angle arrondi plein et des ailes en métal fin déployé. Les angles extérieurs et intérieurs sont achevés avec des bandes de recouvrement et enduits en même temps que les têtes de vis avec un matériau approprié, livré par le fabricant.</w:t>
      </w:r>
      <w:r>
        <w:br/>
      </w:r>
      <w:r>
        <w:rPr>
          <w:b/>
        </w:rPr>
        <w:t>***OPTION 3</w:t>
      </w:r>
      <w:r>
        <w:t> : Les plaques sont parachevées à joints apparents (destinées à être peintes ultérieurement). Sur tous les angles extérieurs, on fixe des cornières de protection à angle arrondi plein et des ailes en métal fin déployé. Les têtes de vis sont enduites à fleur des plaques avec un matériau approprié, livré par le fabricant.</w:t>
      </w:r>
    </w:p>
    <w:p w14:paraId="0D8EE5C1" w14:textId="77777777" w:rsidR="004B2808" w:rsidRDefault="00000000">
      <w:r>
        <w:t>La finition des plaques de plâtre répond aux exigences de degrés de finition et de tolérances d’exécution définis dans la [NIT 232].</w:t>
      </w:r>
    </w:p>
    <w:p w14:paraId="3E10DA7B" w14:textId="77777777" w:rsidR="004B2808" w:rsidRDefault="00000000">
      <w:pPr>
        <w:pStyle w:val="Author-eListParagraph"/>
        <w:numPr>
          <w:ilvl w:val="0"/>
          <w:numId w:val="718"/>
        </w:numPr>
      </w:pPr>
      <w:r>
        <w:t>Tolérance d’exécution :</w:t>
      </w:r>
      <w:r>
        <w:rPr>
          <w:rStyle w:val="optioncarChar"/>
        </w:rPr>
        <w:t xml:space="preserve"> classe *** / normale / spéciale</w:t>
      </w:r>
    </w:p>
    <w:p w14:paraId="279A7175" w14:textId="77777777" w:rsidR="004B2808" w:rsidRDefault="00000000">
      <w:pPr>
        <w:pStyle w:val="Author-eListParagraph"/>
        <w:numPr>
          <w:ilvl w:val="0"/>
          <w:numId w:val="718"/>
        </w:numPr>
      </w:pPr>
      <w:r>
        <w:t xml:space="preserve">Degré de finition : </w:t>
      </w:r>
      <w:r>
        <w:rPr>
          <w:rStyle w:val="optioncarChar"/>
        </w:rPr>
        <w:t>*** / F1 / F2 / F3</w:t>
      </w:r>
    </w:p>
    <w:p w14:paraId="6AFF67FF" w14:textId="77777777" w:rsidR="004B2808" w:rsidRDefault="00000000">
      <w:pPr>
        <w:pStyle w:val="Author-eListParagraph"/>
        <w:numPr>
          <w:ilvl w:val="0"/>
          <w:numId w:val="718"/>
        </w:numPr>
      </w:pPr>
      <w:r>
        <w:t xml:space="preserve">Degré d’exécution en fonction du type de revêtement : </w:t>
      </w:r>
      <w:r>
        <w:rPr>
          <w:rStyle w:val="optioncarChar"/>
        </w:rPr>
        <w:t>*** / degré I / degré II / degré III</w:t>
      </w:r>
      <w:r>
        <w:t>.</w:t>
      </w:r>
    </w:p>
    <w:p w14:paraId="6345A150" w14:textId="77777777" w:rsidR="004B2808" w:rsidRDefault="00000000">
      <w:pPr>
        <w:ind w:left="750"/>
      </w:pPr>
      <w:r>
        <w:t> </w:t>
      </w:r>
    </w:p>
    <w:p w14:paraId="014A67B0" w14:textId="77777777" w:rsidR="004B2808" w:rsidRDefault="00000000">
      <w:pPr>
        <w:pStyle w:val="pheading"/>
      </w:pPr>
      <w:r>
        <w:t>- Notes d’exécution complémentaires</w:t>
      </w:r>
    </w:p>
    <w:p w14:paraId="1E787473" w14:textId="77777777" w:rsidR="004B2808" w:rsidRDefault="00000000">
      <w:r>
        <w:t>Bords périphériques : les bords du plafond, à la jonction avec les murs existants, sont exécutés avec des profils appropriés, découpés et colmatés à l'aide d'un mastic élastique qui peut être peint. Les bords sont terminés contre le plafond.</w:t>
      </w:r>
      <w:r>
        <w:br/>
        <w:t>Couche de fond : les plaques sont parachevées avec une couche de fond à base de résines synthétiques. L'entrepreneur soumet la fiche technique de ce produit avant de l'appliquer.</w:t>
      </w:r>
      <w:r>
        <w:br/>
        <w:t xml:space="preserve">Joints de dilatation : </w:t>
      </w:r>
      <w:r>
        <w:rPr>
          <w:rStyle w:val="optioncarChar"/>
        </w:rPr>
        <w:t>***</w:t>
      </w:r>
    </w:p>
    <w:p w14:paraId="0E182B62" w14:textId="77777777" w:rsidR="004B2808" w:rsidRDefault="00000000">
      <w:pPr>
        <w:pStyle w:val="pheading"/>
      </w:pPr>
      <w:r>
        <w:t>MESURAGE</w:t>
      </w:r>
    </w:p>
    <w:p w14:paraId="50451825" w14:textId="77777777" w:rsidR="004B2808" w:rsidRDefault="00000000">
      <w:pPr>
        <w:pStyle w:val="pheading"/>
      </w:pPr>
      <w:r>
        <w:t>- unité de mesure:</w:t>
      </w:r>
    </w:p>
    <w:p w14:paraId="05BC14DB" w14:textId="77777777" w:rsidR="004B2808" w:rsidRDefault="00000000">
      <w:r>
        <w:t>m²</w:t>
      </w:r>
    </w:p>
    <w:p w14:paraId="1B78C36B" w14:textId="77777777" w:rsidR="004B2808" w:rsidRDefault="00000000">
      <w:pPr>
        <w:pStyle w:val="pheading"/>
      </w:pPr>
      <w:r>
        <w:t>- nature du marché:</w:t>
      </w:r>
    </w:p>
    <w:p w14:paraId="02ED99A5" w14:textId="77777777" w:rsidR="004B2808" w:rsidRDefault="00000000">
      <w:r>
        <w:t>QF</w:t>
      </w:r>
    </w:p>
    <w:p w14:paraId="702C0423" w14:textId="77777777" w:rsidR="004B2808" w:rsidRDefault="00000000">
      <w:pPr>
        <w:pStyle w:val="pheading"/>
      </w:pPr>
      <w:r>
        <w:t>AIDE</w:t>
      </w:r>
    </w:p>
    <w:p w14:paraId="63A7B192" w14:textId="77777777" w:rsidR="004B2808" w:rsidRDefault="00000000">
      <w:r>
        <w:rPr>
          <w:i/>
          <w:u w:val="single"/>
        </w:rPr>
        <w:t>Note à l'attention de l'auteur de projet</w:t>
      </w:r>
      <w:r>
        <w:br/>
        <w:t>Pour les combinaisons disponibles, le type des bords longitudinaux et les dimensions  des plaques, il est recommandé de consulter  la documentation récente.</w:t>
      </w:r>
    </w:p>
    <w:p w14:paraId="33540C60" w14:textId="77777777" w:rsidR="004B2808" w:rsidRDefault="00000000">
      <w:pPr>
        <w:pStyle w:val="Author-eSectionHeading5Numberless"/>
      </w:pPr>
      <w:bookmarkStart w:id="926" w:name="_Toc220491061"/>
      <w:r>
        <w:t>54.31.2 Plafonds suspendus - parement en lames/plaques/panneaux à base minérale (silicate, etc.) CCTB 01.11</w:t>
      </w:r>
      <w:bookmarkEnd w:id="926"/>
    </w:p>
    <w:p w14:paraId="3A6B8CA7" w14:textId="77777777" w:rsidR="004B2808" w:rsidRDefault="00000000">
      <w:pPr>
        <w:pStyle w:val="pheading"/>
      </w:pPr>
      <w:r>
        <w:t>DESCRIPTION</w:t>
      </w:r>
    </w:p>
    <w:p w14:paraId="4AFFAAF9" w14:textId="77777777" w:rsidR="004B2808" w:rsidRDefault="00000000">
      <w:pPr>
        <w:pStyle w:val="pheading"/>
      </w:pPr>
      <w:r>
        <w:t>- Définition / Comprend</w:t>
      </w:r>
    </w:p>
    <w:p w14:paraId="4D4EF729" w14:textId="77777777" w:rsidR="004B2808" w:rsidRDefault="00000000">
      <w:pPr>
        <w:jc w:val="both"/>
      </w:pPr>
      <w:r>
        <w:t>Il s'agit de la fourniture et de la pose de plafonds suspendus en lames, plaques ou en panneaux à base minérale posés en indépendance par rapport au plafond du gros œuvre. Ces éléments sont destinés à être posés en association à une structure portante métallique.</w:t>
      </w:r>
    </w:p>
    <w:p w14:paraId="696CBE87" w14:textId="77777777" w:rsidR="004B2808" w:rsidRDefault="00000000">
      <w:pPr>
        <w:pStyle w:val="pheading"/>
      </w:pPr>
      <w:r>
        <w:t>MATÉRIAUX</w:t>
      </w:r>
    </w:p>
    <w:p w14:paraId="0BD62AB2" w14:textId="77777777" w:rsidR="004B2808" w:rsidRDefault="00000000">
      <w:pPr>
        <w:jc w:val="both"/>
      </w:pPr>
      <w:r>
        <w:rPr>
          <w:b/>
        </w:rPr>
        <w:t>Structure de support</w:t>
      </w:r>
    </w:p>
    <w:p w14:paraId="3230A67D" w14:textId="77777777" w:rsidR="004B2808" w:rsidRDefault="00000000">
      <w:pPr>
        <w:jc w:val="both"/>
      </w:pPr>
      <w:r>
        <w:t>L’ossature est composée d'un système de suspension réglable en métal permettant l’installation quelles que soient les irrégularités de la construction de support. Elle se compose de trois parties distinctes, les fixations hautes dans le support porteur, les suspentes réglables et les éléments porteurs du revêtement de plafond.</w:t>
      </w:r>
    </w:p>
    <w:p w14:paraId="0F6FC941" w14:textId="77777777" w:rsidR="004B2808" w:rsidRDefault="00000000">
      <w:pPr>
        <w:jc w:val="both"/>
      </w:pPr>
      <w:r>
        <w:lastRenderedPageBreak/>
        <w:t>Les éléments porteurs les plus couramment utilisés pour ces types de plafonds sont :</w:t>
      </w:r>
    </w:p>
    <w:p w14:paraId="4E886CCC" w14:textId="77777777" w:rsidR="004B2808" w:rsidRDefault="00000000">
      <w:pPr>
        <w:pStyle w:val="Author-eListParagraph"/>
        <w:numPr>
          <w:ilvl w:val="0"/>
          <w:numId w:val="719"/>
        </w:numPr>
      </w:pPr>
      <w:r>
        <w:t>les profils en forme de T qui, en fonction du type de panneau de revêtement, sont apparents, semi-apparents ou non apparents ;</w:t>
      </w:r>
    </w:p>
    <w:p w14:paraId="62C2B210" w14:textId="77777777" w:rsidR="004B2808" w:rsidRDefault="00000000">
      <w:pPr>
        <w:pStyle w:val="Author-eListParagraph"/>
        <w:numPr>
          <w:ilvl w:val="0"/>
          <w:numId w:val="719"/>
        </w:numPr>
      </w:pPr>
      <w:r>
        <w:t>les profils à crochets.</w:t>
      </w:r>
    </w:p>
    <w:p w14:paraId="6235F57D" w14:textId="77777777" w:rsidR="004B2808" w:rsidRDefault="00000000">
      <w:pPr>
        <w:jc w:val="both"/>
      </w:pPr>
      <w:r>
        <w:rPr>
          <w:b/>
        </w:rPr>
        <w:t>Plaques de revêtement</w:t>
      </w:r>
    </w:p>
    <w:p w14:paraId="4B17A8E8" w14:textId="77777777" w:rsidR="004B2808" w:rsidRDefault="00000000">
      <w:pPr>
        <w:jc w:val="both"/>
      </w:pPr>
      <w:r>
        <w:t>Les plaques de revêtements des plafonds à base minérales sont constituées de silicates de calcium renforcé de fibres minérales et se différen­cient par leur forme, leur épaisseur et le profil de leurs chants.</w:t>
      </w:r>
    </w:p>
    <w:p w14:paraId="65B7A6B8" w14:textId="77777777" w:rsidR="004B2808" w:rsidRDefault="00000000">
      <w:pPr>
        <w:jc w:val="both"/>
      </w:pPr>
      <w:r>
        <w:t>Forme :   </w:t>
      </w:r>
    </w:p>
    <w:p w14:paraId="5183C3E6" w14:textId="77777777" w:rsidR="004B2808" w:rsidRDefault="00000000">
      <w:pPr>
        <w:pStyle w:val="Author-eListParagraph"/>
        <w:numPr>
          <w:ilvl w:val="0"/>
          <w:numId w:val="720"/>
        </w:numPr>
      </w:pPr>
      <w:r>
        <w:t>Dalles carrées ou rectangulaires, dont le rapport longueur/largeur se situe dans la plage suivante : 1 ≤ L/l ≤ 2</w:t>
      </w:r>
    </w:p>
    <w:p w14:paraId="46FF2D57" w14:textId="77777777" w:rsidR="004B2808" w:rsidRDefault="00000000">
      <w:pPr>
        <w:pStyle w:val="Author-eListParagraph"/>
        <w:numPr>
          <w:ilvl w:val="0"/>
          <w:numId w:val="720"/>
        </w:numPr>
      </w:pPr>
      <w:r>
        <w:t>Panneaux (rapport longueur/largeur : 2 &lt; L/l ≤ n)</w:t>
      </w:r>
    </w:p>
    <w:p w14:paraId="467B33D4" w14:textId="77777777" w:rsidR="004B2808" w:rsidRDefault="00000000">
      <w:pPr>
        <w:jc w:val="both"/>
      </w:pPr>
      <w:r>
        <w:t>Epaisseur : éléments épais, dont les chants sont façonnés dans l’épaisseur du matériau à bords :</w:t>
      </w:r>
    </w:p>
    <w:p w14:paraId="7F8021F4" w14:textId="77777777" w:rsidR="004B2808" w:rsidRDefault="00000000">
      <w:pPr>
        <w:pStyle w:val="Author-eListParagraph"/>
        <w:numPr>
          <w:ilvl w:val="0"/>
          <w:numId w:val="721"/>
        </w:numPr>
      </w:pPr>
      <w:r>
        <w:t>Droits (A)</w:t>
      </w:r>
    </w:p>
    <w:p w14:paraId="71A39AF4" w14:textId="77777777" w:rsidR="004B2808" w:rsidRDefault="00000000">
      <w:pPr>
        <w:pStyle w:val="Author-eListParagraph"/>
        <w:numPr>
          <w:ilvl w:val="0"/>
          <w:numId w:val="721"/>
        </w:numPr>
      </w:pPr>
      <w:r>
        <w:t>Chanfreinés (B)</w:t>
      </w:r>
    </w:p>
    <w:p w14:paraId="2C7C72A9" w14:textId="77777777" w:rsidR="004B2808" w:rsidRDefault="00000000">
      <w:pPr>
        <w:pStyle w:val="Author-eListParagraph"/>
        <w:numPr>
          <w:ilvl w:val="0"/>
          <w:numId w:val="721"/>
        </w:numPr>
      </w:pPr>
      <w:r>
        <w:t>Rainurés (C)</w:t>
      </w:r>
    </w:p>
    <w:p w14:paraId="3D478627" w14:textId="77777777" w:rsidR="004B2808" w:rsidRDefault="00000000">
      <w:pPr>
        <w:pStyle w:val="Author-eListParagraph"/>
        <w:numPr>
          <w:ilvl w:val="0"/>
          <w:numId w:val="721"/>
        </w:numPr>
      </w:pPr>
      <w:r>
        <w:t>Feuillurés et rainurés (D)</w:t>
      </w:r>
    </w:p>
    <w:p w14:paraId="7BF247F4" w14:textId="77777777" w:rsidR="004B2808" w:rsidRDefault="00000000">
      <w:pPr>
        <w:pStyle w:val="Author-eListParagraph"/>
        <w:numPr>
          <w:ilvl w:val="0"/>
          <w:numId w:val="721"/>
        </w:numPr>
      </w:pPr>
      <w:r>
        <w:t>Feuillurés (E)</w:t>
      </w:r>
    </w:p>
    <w:p w14:paraId="18BF47EA" w14:textId="77777777" w:rsidR="004B2808" w:rsidRDefault="00000000">
      <w:pPr>
        <w:pStyle w:val="Author-eListParagraph"/>
        <w:numPr>
          <w:ilvl w:val="0"/>
          <w:numId w:val="721"/>
        </w:numPr>
      </w:pPr>
      <w:r>
        <w:t>Languette et rainure (F)</w:t>
      </w:r>
    </w:p>
    <w:p w14:paraId="7D36A19D" w14:textId="77777777" w:rsidR="004B2808" w:rsidRDefault="00000000">
      <w:pPr>
        <w:jc w:val="both"/>
      </w:pPr>
      <w:r>
        <w:t>La composition des plafonds ainsi que les plafonds complètement terminés dans leur ensemble satisfont aux exigences prescrites dans les articles concernés en matière :</w:t>
      </w:r>
    </w:p>
    <w:p w14:paraId="33E2FA6C" w14:textId="77777777" w:rsidR="004B2808" w:rsidRDefault="00000000">
      <w:pPr>
        <w:pStyle w:val="Author-eListParagraph"/>
        <w:numPr>
          <w:ilvl w:val="0"/>
          <w:numId w:val="722"/>
        </w:numPr>
      </w:pPr>
      <w:r>
        <w:t>de résistance mécanique et de stabilité</w:t>
      </w:r>
    </w:p>
    <w:p w14:paraId="25ADDAC7" w14:textId="77777777" w:rsidR="004B2808" w:rsidRDefault="00000000">
      <w:pPr>
        <w:pStyle w:val="Author-eListParagraph"/>
        <w:numPr>
          <w:ilvl w:val="0"/>
          <w:numId w:val="722"/>
        </w:numPr>
      </w:pPr>
      <w:r>
        <w:t>de sécurité en cas d’incendie</w:t>
      </w:r>
    </w:p>
    <w:p w14:paraId="19AEBA18" w14:textId="77777777" w:rsidR="004B2808" w:rsidRDefault="00000000">
      <w:pPr>
        <w:pStyle w:val="Author-eListParagraph"/>
        <w:numPr>
          <w:ilvl w:val="0"/>
          <w:numId w:val="722"/>
        </w:numPr>
      </w:pPr>
      <w:r>
        <w:t>d’hygiène, de santé et d’environnement</w:t>
      </w:r>
    </w:p>
    <w:p w14:paraId="5F25EE3A" w14:textId="77777777" w:rsidR="004B2808" w:rsidRDefault="00000000">
      <w:pPr>
        <w:pStyle w:val="Author-eListParagraph"/>
        <w:numPr>
          <w:ilvl w:val="0"/>
          <w:numId w:val="722"/>
        </w:numPr>
      </w:pPr>
      <w:r>
        <w:t>de sécurité d’utilisation</w:t>
      </w:r>
    </w:p>
    <w:p w14:paraId="4D311A29" w14:textId="77777777" w:rsidR="004B2808" w:rsidRDefault="00000000">
      <w:pPr>
        <w:pStyle w:val="Author-eListParagraph"/>
        <w:numPr>
          <w:ilvl w:val="0"/>
          <w:numId w:val="722"/>
        </w:numPr>
      </w:pPr>
      <w:r>
        <w:t>de protection contre le bruit</w:t>
      </w:r>
    </w:p>
    <w:p w14:paraId="6FC570BB" w14:textId="77777777" w:rsidR="004B2808" w:rsidRDefault="00000000">
      <w:pPr>
        <w:pStyle w:val="Author-eListParagraph"/>
        <w:numPr>
          <w:ilvl w:val="0"/>
          <w:numId w:val="722"/>
        </w:numPr>
      </w:pPr>
      <w:r>
        <w:t>d’économie d’énergie et d’isolation thermique.</w:t>
      </w:r>
    </w:p>
    <w:p w14:paraId="0482ADF9" w14:textId="77777777" w:rsidR="004B2808" w:rsidRDefault="00000000">
      <w:pPr>
        <w:pStyle w:val="pheading"/>
      </w:pPr>
      <w:r>
        <w:t>AIDE</w:t>
      </w:r>
    </w:p>
    <w:p w14:paraId="2458DCA3" w14:textId="77777777" w:rsidR="004B2808" w:rsidRDefault="00000000">
      <w:r>
        <w:t>[SWL GSI/T1/C, Guides sécurité incendie - Tome 1 Prévention passive - Guide C Résistance au feu]</w:t>
      </w:r>
    </w:p>
    <w:p w14:paraId="00150F05" w14:textId="77777777" w:rsidR="004B2808" w:rsidRDefault="00000000">
      <w:pPr>
        <w:pStyle w:val="Author-eSectionHeading6Numberless"/>
      </w:pPr>
      <w:bookmarkStart w:id="927" w:name="_Toc220491062"/>
      <w:r>
        <w:t>54.31.2a Plafonds suspendus - parement en lames/plaques/panneaux à base minérale (silicate, etc.) - en laine minérale comprimée CCTB 01.02</w:t>
      </w:r>
      <w:bookmarkEnd w:id="927"/>
    </w:p>
    <w:p w14:paraId="42EDCFF7" w14:textId="77777777" w:rsidR="004B2808" w:rsidRDefault="00000000">
      <w:pPr>
        <w:pStyle w:val="Author-eSectionHeading5Numberless"/>
      </w:pPr>
      <w:bookmarkStart w:id="928" w:name="_Toc220491063"/>
      <w:r>
        <w:t>54.31.3 Plafonds suspendus - parement en lames/plaques/panneaux à base de bois CCTB 01.11</w:t>
      </w:r>
      <w:bookmarkEnd w:id="928"/>
    </w:p>
    <w:p w14:paraId="38500376" w14:textId="77777777" w:rsidR="004B2808" w:rsidRDefault="00000000">
      <w:pPr>
        <w:pStyle w:val="pheading"/>
      </w:pPr>
      <w:r>
        <w:t>DESCRIPTION</w:t>
      </w:r>
    </w:p>
    <w:p w14:paraId="70A186FA" w14:textId="77777777" w:rsidR="004B2808" w:rsidRDefault="00000000">
      <w:pPr>
        <w:pStyle w:val="pheading"/>
      </w:pPr>
      <w:r>
        <w:t>- Définition / Comprend</w:t>
      </w:r>
    </w:p>
    <w:p w14:paraId="7FC41F1A" w14:textId="77777777" w:rsidR="004B2808" w:rsidRDefault="00000000">
      <w:pPr>
        <w:jc w:val="both"/>
      </w:pPr>
      <w:r>
        <w:t>Il s'agit de la fourniture et de la pose de plafonds suspendus en lames, plaques ou en panneaux à base de bois posés en indépendance par rapport au plafond du gros œuvre. Ces éléments sont destinés à être posés en association à une structure portante métallique ou en bois.</w:t>
      </w:r>
    </w:p>
    <w:p w14:paraId="21EA1312" w14:textId="77777777" w:rsidR="004B2808" w:rsidRDefault="00000000">
      <w:pPr>
        <w:pStyle w:val="pheading"/>
      </w:pPr>
      <w:r>
        <w:t>MATÉRIAUX</w:t>
      </w:r>
    </w:p>
    <w:p w14:paraId="2BEA5F4D" w14:textId="77777777" w:rsidR="004B2808" w:rsidRDefault="00000000">
      <w:pPr>
        <w:jc w:val="both"/>
      </w:pPr>
      <w:r>
        <w:rPr>
          <w:b/>
        </w:rPr>
        <w:t>Structure de support</w:t>
      </w:r>
    </w:p>
    <w:p w14:paraId="5956C491" w14:textId="77777777" w:rsidR="004B2808" w:rsidRDefault="00000000">
      <w:pPr>
        <w:jc w:val="both"/>
      </w:pPr>
      <w:r>
        <w:t>L’ossature est composée d'un système de suspension réglable permettant l’installation quelles que soient les irrégularités de la construction de support. Elle se compose de trois parties distinctes, les fixations hautes dans le support porteur, les suspentes réglables et les éléments porteurs du revêtement de plafond.</w:t>
      </w:r>
    </w:p>
    <w:p w14:paraId="70BFE655" w14:textId="77777777" w:rsidR="004B2808" w:rsidRDefault="00000000">
      <w:pPr>
        <w:jc w:val="both"/>
      </w:pPr>
      <w:r>
        <w:t>Les éléments porteurs les plus couramment utilisés pour ces types de plafonds sont :</w:t>
      </w:r>
    </w:p>
    <w:p w14:paraId="0CF44E28" w14:textId="77777777" w:rsidR="004B2808" w:rsidRDefault="00000000">
      <w:pPr>
        <w:pStyle w:val="Author-eListParagraph"/>
        <w:numPr>
          <w:ilvl w:val="0"/>
          <w:numId w:val="723"/>
        </w:numPr>
      </w:pPr>
      <w:r>
        <w:lastRenderedPageBreak/>
        <w:t>les profils en forme de T qui, en fonction du type de panneau de revêtement, sont apparents, semi-apparents ou non apparents ;</w:t>
      </w:r>
    </w:p>
    <w:p w14:paraId="13671100" w14:textId="77777777" w:rsidR="004B2808" w:rsidRDefault="00000000">
      <w:pPr>
        <w:pStyle w:val="Author-eListParagraph"/>
        <w:numPr>
          <w:ilvl w:val="0"/>
          <w:numId w:val="723"/>
        </w:numPr>
      </w:pPr>
      <w:r>
        <w:t>les profils semi-apparents ou non apparents à clipper ou à crochets.</w:t>
      </w:r>
    </w:p>
    <w:p w14:paraId="7403F6E0" w14:textId="77777777" w:rsidR="004B2808" w:rsidRDefault="00000000">
      <w:pPr>
        <w:jc w:val="both"/>
      </w:pPr>
      <w:r>
        <w:rPr>
          <w:b/>
        </w:rPr>
        <w:t>Plaques de revêtement</w:t>
      </w:r>
    </w:p>
    <w:p w14:paraId="5722F353" w14:textId="77777777" w:rsidR="004B2808" w:rsidRDefault="00000000">
      <w:pPr>
        <w:jc w:val="both"/>
      </w:pPr>
      <w:r>
        <w:t>Les plaques de revêtements des plafonds à base de bois sont constituées de bois massif, de panneaux de stratifié décoratif (HPL), de panneaux de fibre de bois, etc… et se différen­cient par leur forme, leur épaisseur et le profil de leurs chants.</w:t>
      </w:r>
    </w:p>
    <w:p w14:paraId="72DD8C0B" w14:textId="77777777" w:rsidR="004B2808" w:rsidRDefault="00000000">
      <w:pPr>
        <w:jc w:val="both"/>
      </w:pPr>
      <w:r>
        <w:t>Forme :   </w:t>
      </w:r>
    </w:p>
    <w:p w14:paraId="38527A7B" w14:textId="77777777" w:rsidR="004B2808" w:rsidRDefault="00000000">
      <w:pPr>
        <w:pStyle w:val="Author-eListParagraph"/>
        <w:numPr>
          <w:ilvl w:val="0"/>
          <w:numId w:val="724"/>
        </w:numPr>
      </w:pPr>
      <w:r>
        <w:t>Dalles carrées ou rectangulaires, dont le rapport longueur/largeur se situe dans la plage suivante : 1 ≤ L/l ≤ 2</w:t>
      </w:r>
    </w:p>
    <w:p w14:paraId="4F319D85" w14:textId="77777777" w:rsidR="004B2808" w:rsidRDefault="00000000">
      <w:pPr>
        <w:pStyle w:val="Author-eListParagraph"/>
        <w:numPr>
          <w:ilvl w:val="0"/>
          <w:numId w:val="724"/>
        </w:numPr>
      </w:pPr>
      <w:r>
        <w:t>Panneaux (rapport longueur/largeur : 2 &lt; L/l ≤ n)</w:t>
      </w:r>
    </w:p>
    <w:p w14:paraId="3D74D32E" w14:textId="77777777" w:rsidR="004B2808" w:rsidRDefault="00000000">
      <w:pPr>
        <w:pStyle w:val="Author-eListParagraph"/>
        <w:numPr>
          <w:ilvl w:val="0"/>
          <w:numId w:val="724"/>
        </w:numPr>
      </w:pPr>
      <w:r>
        <w:t>Panneaux bandes ou lames réalisés sur mesure.</w:t>
      </w:r>
    </w:p>
    <w:p w14:paraId="45D659B6" w14:textId="77777777" w:rsidR="004B2808" w:rsidRDefault="00000000">
      <w:pPr>
        <w:jc w:val="both"/>
      </w:pPr>
      <w:r>
        <w:t>Epaisseur : éléments épais, dont les chants sont façonnés dans l’épaisseur du matériau à bords :</w:t>
      </w:r>
    </w:p>
    <w:p w14:paraId="4B3C7854" w14:textId="77777777" w:rsidR="004B2808" w:rsidRDefault="00000000">
      <w:pPr>
        <w:pStyle w:val="Author-eListParagraph"/>
        <w:numPr>
          <w:ilvl w:val="0"/>
          <w:numId w:val="725"/>
        </w:numPr>
      </w:pPr>
      <w:r>
        <w:t>Droits (A)</w:t>
      </w:r>
    </w:p>
    <w:p w14:paraId="69E106DB" w14:textId="77777777" w:rsidR="004B2808" w:rsidRDefault="00000000">
      <w:pPr>
        <w:pStyle w:val="Author-eListParagraph"/>
        <w:numPr>
          <w:ilvl w:val="0"/>
          <w:numId w:val="725"/>
        </w:numPr>
      </w:pPr>
      <w:r>
        <w:t>Chanfreinés (B)</w:t>
      </w:r>
    </w:p>
    <w:p w14:paraId="78D0DF50" w14:textId="77777777" w:rsidR="004B2808" w:rsidRDefault="00000000">
      <w:pPr>
        <w:pStyle w:val="Author-eListParagraph"/>
        <w:numPr>
          <w:ilvl w:val="0"/>
          <w:numId w:val="725"/>
        </w:numPr>
      </w:pPr>
      <w:r>
        <w:t>Rainurés (C)</w:t>
      </w:r>
    </w:p>
    <w:p w14:paraId="00140584" w14:textId="77777777" w:rsidR="004B2808" w:rsidRDefault="00000000">
      <w:pPr>
        <w:pStyle w:val="Author-eListParagraph"/>
        <w:numPr>
          <w:ilvl w:val="0"/>
          <w:numId w:val="725"/>
        </w:numPr>
      </w:pPr>
      <w:r>
        <w:t>Feuillurés et rainurés (D)</w:t>
      </w:r>
    </w:p>
    <w:p w14:paraId="1B243966" w14:textId="77777777" w:rsidR="004B2808" w:rsidRDefault="00000000">
      <w:pPr>
        <w:pStyle w:val="Author-eListParagraph"/>
        <w:numPr>
          <w:ilvl w:val="0"/>
          <w:numId w:val="725"/>
        </w:numPr>
      </w:pPr>
      <w:r>
        <w:t>Feuillurés (E)</w:t>
      </w:r>
    </w:p>
    <w:p w14:paraId="57BACA7B" w14:textId="77777777" w:rsidR="004B2808" w:rsidRDefault="00000000">
      <w:pPr>
        <w:pStyle w:val="Author-eListParagraph"/>
        <w:numPr>
          <w:ilvl w:val="0"/>
          <w:numId w:val="725"/>
        </w:numPr>
      </w:pPr>
      <w:r>
        <w:t>Languette et rainure (F)</w:t>
      </w:r>
    </w:p>
    <w:p w14:paraId="33F6C2A7" w14:textId="77777777" w:rsidR="004B2808" w:rsidRDefault="00000000">
      <w:pPr>
        <w:jc w:val="both"/>
      </w:pPr>
      <w:r>
        <w:t>La composition des plafonds ainsi que les plafonds complètement terminés dans leur ensemble satisfont aux exigences prescrites dans les articles concernés en matière :</w:t>
      </w:r>
    </w:p>
    <w:p w14:paraId="1C963EB6" w14:textId="77777777" w:rsidR="004B2808" w:rsidRDefault="00000000">
      <w:pPr>
        <w:pStyle w:val="Author-eListParagraph"/>
        <w:numPr>
          <w:ilvl w:val="0"/>
          <w:numId w:val="726"/>
        </w:numPr>
        <w:jc w:val="both"/>
      </w:pPr>
      <w:r>
        <w:t>de résistance mécanique et de stabilité</w:t>
      </w:r>
    </w:p>
    <w:p w14:paraId="4AF08EE1" w14:textId="77777777" w:rsidR="004B2808" w:rsidRDefault="00000000">
      <w:pPr>
        <w:pStyle w:val="Author-eListParagraph"/>
        <w:numPr>
          <w:ilvl w:val="0"/>
          <w:numId w:val="726"/>
        </w:numPr>
        <w:jc w:val="both"/>
      </w:pPr>
      <w:r>
        <w:t>de sécurité en cas d’incendie</w:t>
      </w:r>
    </w:p>
    <w:p w14:paraId="09A62183" w14:textId="77777777" w:rsidR="004B2808" w:rsidRDefault="00000000">
      <w:pPr>
        <w:pStyle w:val="Author-eListParagraph"/>
        <w:numPr>
          <w:ilvl w:val="0"/>
          <w:numId w:val="726"/>
        </w:numPr>
        <w:jc w:val="both"/>
      </w:pPr>
      <w:r>
        <w:t>d’hygiène, de santé et d’environnement</w:t>
      </w:r>
    </w:p>
    <w:p w14:paraId="456054EA" w14:textId="77777777" w:rsidR="004B2808" w:rsidRDefault="00000000">
      <w:pPr>
        <w:pStyle w:val="Author-eListParagraph"/>
        <w:numPr>
          <w:ilvl w:val="0"/>
          <w:numId w:val="726"/>
        </w:numPr>
        <w:jc w:val="both"/>
      </w:pPr>
      <w:r>
        <w:t>de sécurité d’utilisation</w:t>
      </w:r>
    </w:p>
    <w:p w14:paraId="1BA662F0" w14:textId="77777777" w:rsidR="004B2808" w:rsidRDefault="00000000">
      <w:pPr>
        <w:pStyle w:val="Author-eListParagraph"/>
        <w:numPr>
          <w:ilvl w:val="0"/>
          <w:numId w:val="726"/>
        </w:numPr>
        <w:jc w:val="both"/>
      </w:pPr>
      <w:r>
        <w:t>de protection contre le bruit</w:t>
      </w:r>
    </w:p>
    <w:p w14:paraId="592E4111" w14:textId="77777777" w:rsidR="004B2808" w:rsidRDefault="00000000">
      <w:pPr>
        <w:pStyle w:val="Author-eListParagraph"/>
        <w:numPr>
          <w:ilvl w:val="0"/>
          <w:numId w:val="726"/>
        </w:numPr>
        <w:jc w:val="both"/>
      </w:pPr>
      <w:r>
        <w:t>d’économie d’énergie et d’isolation thermique.</w:t>
      </w:r>
    </w:p>
    <w:p w14:paraId="5E8305A3" w14:textId="77777777" w:rsidR="004B2808" w:rsidRDefault="00000000">
      <w:pPr>
        <w:pStyle w:val="pheading"/>
      </w:pPr>
      <w:r>
        <w:t>AIDE</w:t>
      </w:r>
    </w:p>
    <w:p w14:paraId="637C1D99" w14:textId="77777777" w:rsidR="004B2808" w:rsidRDefault="00000000">
      <w:r>
        <w:t>[SWL GSI/T1/C, Guides sécurité incendie - Tome 1 Prévention passive - Guide C Résistance au feu]</w:t>
      </w:r>
    </w:p>
    <w:p w14:paraId="2B885930" w14:textId="77777777" w:rsidR="004B2808" w:rsidRDefault="00000000">
      <w:pPr>
        <w:pStyle w:val="Author-eSectionHeading6Numberless"/>
      </w:pPr>
      <w:bookmarkStart w:id="929" w:name="_Toc220491064"/>
      <w:r>
        <w:t>54.31.3a Plafonds suspendus - parement en lames/plaques/panneaux à base de bois - en bois massif CCTB 01.02</w:t>
      </w:r>
      <w:bookmarkEnd w:id="929"/>
    </w:p>
    <w:p w14:paraId="28D261C7" w14:textId="77777777" w:rsidR="004B2808" w:rsidRDefault="00000000">
      <w:pPr>
        <w:pStyle w:val="Author-eSectionHeading6Numberless"/>
      </w:pPr>
      <w:bookmarkStart w:id="930" w:name="_Toc220491065"/>
      <w:r>
        <w:t>54.31.3b Plafonds suspendus - parement en lames/plaques/panneaux à base de bois - composés de particules de bois CCTB 01.02</w:t>
      </w:r>
      <w:bookmarkEnd w:id="930"/>
    </w:p>
    <w:p w14:paraId="29FDD2E1" w14:textId="77777777" w:rsidR="004B2808" w:rsidRDefault="00000000">
      <w:pPr>
        <w:pStyle w:val="Author-eSectionHeading6Numberless"/>
      </w:pPr>
      <w:bookmarkStart w:id="931" w:name="_Toc220491066"/>
      <w:r>
        <w:t>54.31.3c Plafonds suspendus - parement en lames/plaques/panneaux à base de bois - contreplaqués CCTB 01.02</w:t>
      </w:r>
      <w:bookmarkEnd w:id="931"/>
    </w:p>
    <w:p w14:paraId="098FD570" w14:textId="77777777" w:rsidR="004B2808" w:rsidRDefault="00000000">
      <w:pPr>
        <w:pStyle w:val="Author-eSectionHeading6Numberless"/>
      </w:pPr>
      <w:bookmarkStart w:id="932" w:name="_Toc220491067"/>
      <w:r>
        <w:t>54.31.3d Plafonds suspendus - parement en lames/plaques/panneaux à base de bois - en fibres de bois HB CCTB 01.02</w:t>
      </w:r>
      <w:bookmarkEnd w:id="932"/>
    </w:p>
    <w:p w14:paraId="6DFBD90A" w14:textId="77777777" w:rsidR="004B2808" w:rsidRDefault="00000000">
      <w:pPr>
        <w:pStyle w:val="Author-eSectionHeading6Numberless"/>
      </w:pPr>
      <w:bookmarkStart w:id="933" w:name="_Toc220491068"/>
      <w:r>
        <w:t>54.31.3e Plafonds suspendus - parement en lames/plaques/panneaux à base de bois - en fibres de bois MB CCTB 01.02</w:t>
      </w:r>
      <w:bookmarkEnd w:id="933"/>
    </w:p>
    <w:p w14:paraId="71C24D0A" w14:textId="77777777" w:rsidR="004B2808" w:rsidRDefault="00000000">
      <w:pPr>
        <w:pStyle w:val="Author-eSectionHeading6Numberless"/>
      </w:pPr>
      <w:bookmarkStart w:id="934" w:name="_Toc220491069"/>
      <w:r>
        <w:t>54.31.3f Plafonds suspendus - parement en lames/plaques/panneaux à base de bois - en fibres de bois MDF CCTB 01.02</w:t>
      </w:r>
      <w:bookmarkEnd w:id="934"/>
    </w:p>
    <w:p w14:paraId="461274F0" w14:textId="77777777" w:rsidR="004B2808" w:rsidRDefault="00000000">
      <w:pPr>
        <w:pStyle w:val="Author-eSectionHeading6Numberless"/>
      </w:pPr>
      <w:bookmarkStart w:id="935" w:name="_Toc220491070"/>
      <w:r>
        <w:t>54.31.3g Plafonds suspendus - parement en lames/plaques/panneaux à base de bois - OSB CCTB 01.02</w:t>
      </w:r>
      <w:bookmarkEnd w:id="935"/>
    </w:p>
    <w:p w14:paraId="4D1D0237" w14:textId="77777777" w:rsidR="004B2808" w:rsidRDefault="00000000">
      <w:pPr>
        <w:pStyle w:val="Author-eSectionHeading6Numberless"/>
      </w:pPr>
      <w:bookmarkStart w:id="936" w:name="_Toc220491071"/>
      <w:r>
        <w:lastRenderedPageBreak/>
        <w:t>54.31.3h Plafonds suspendus - parement en lames/plaques/panneaux à base de bois - laine de bois CCTB 01.10</w:t>
      </w:r>
      <w:bookmarkEnd w:id="936"/>
    </w:p>
    <w:p w14:paraId="6CEAC873" w14:textId="77777777" w:rsidR="004B2808" w:rsidRDefault="00000000">
      <w:pPr>
        <w:pStyle w:val="pheading"/>
      </w:pPr>
      <w:r>
        <w:t>DESCRIPTION</w:t>
      </w:r>
    </w:p>
    <w:p w14:paraId="0618E721" w14:textId="77777777" w:rsidR="004B2808" w:rsidRDefault="00000000">
      <w:pPr>
        <w:pStyle w:val="pheading"/>
      </w:pPr>
      <w:r>
        <w:t>- Définition / Comprend</w:t>
      </w:r>
    </w:p>
    <w:p w14:paraId="0467A081" w14:textId="77777777" w:rsidR="004B2808" w:rsidRDefault="00000000">
      <w:pPr>
        <w:jc w:val="both"/>
      </w:pPr>
      <w:r>
        <w:t>Il s'agit de la fourniture et de la pose de plafonds suspendus en panneaux de laine de bois avec liant minéral posés en indépendance par rapport au plafond du gros œuvre. Ces éléments sont destinés à être posés en association à une structure portante (acier, bois,…).</w:t>
      </w:r>
    </w:p>
    <w:p w14:paraId="16851B3B" w14:textId="77777777" w:rsidR="004B2808" w:rsidRDefault="00000000">
      <w:pPr>
        <w:jc w:val="both"/>
      </w:pPr>
      <w:r>
        <w:t>Le travail comprend notamment :</w:t>
      </w:r>
    </w:p>
    <w:p w14:paraId="0B7259EA" w14:textId="77777777" w:rsidR="004B2808" w:rsidRDefault="00000000">
      <w:pPr>
        <w:pStyle w:val="Author-eListParagraph"/>
        <w:numPr>
          <w:ilvl w:val="0"/>
          <w:numId w:val="727"/>
        </w:numPr>
        <w:jc w:val="both"/>
      </w:pPr>
      <w:r>
        <w:t>La fourniture et pose de tous les systèmes de suspensions ;</w:t>
      </w:r>
    </w:p>
    <w:p w14:paraId="3CF01151" w14:textId="77777777" w:rsidR="004B2808" w:rsidRDefault="00000000">
      <w:pPr>
        <w:pStyle w:val="Author-eListParagraph"/>
        <w:numPr>
          <w:ilvl w:val="0"/>
          <w:numId w:val="727"/>
        </w:numPr>
        <w:jc w:val="both"/>
      </w:pPr>
      <w:r>
        <w:t>La fourniture et pose des panneaux de laine de bois minéralisés ;</w:t>
      </w:r>
    </w:p>
    <w:p w14:paraId="60D529D0" w14:textId="77777777" w:rsidR="004B2808" w:rsidRDefault="00000000">
      <w:pPr>
        <w:pStyle w:val="Author-eListParagraph"/>
        <w:numPr>
          <w:ilvl w:val="0"/>
          <w:numId w:val="727"/>
        </w:numPr>
        <w:jc w:val="both"/>
      </w:pPr>
      <w:r>
        <w:t>La finition des bords et travaux de réparation en cas d’endommagement ;</w:t>
      </w:r>
    </w:p>
    <w:p w14:paraId="6CB20526" w14:textId="77777777" w:rsidR="004B2808" w:rsidRDefault="00000000">
      <w:pPr>
        <w:pStyle w:val="Author-eListParagraph"/>
        <w:numPr>
          <w:ilvl w:val="0"/>
          <w:numId w:val="727"/>
        </w:numPr>
        <w:jc w:val="both"/>
      </w:pPr>
      <w:r>
        <w:t>Le remplissage des joints de dilatation éventuels ;</w:t>
      </w:r>
    </w:p>
    <w:p w14:paraId="047C74ED" w14:textId="77777777" w:rsidR="004B2808" w:rsidRDefault="00000000">
      <w:pPr>
        <w:pStyle w:val="Author-eListParagraph"/>
        <w:numPr>
          <w:ilvl w:val="0"/>
          <w:numId w:val="727"/>
        </w:numPr>
        <w:jc w:val="both"/>
      </w:pPr>
      <w:r>
        <w:t>Tous les moyens de liaisonnement éventuels, aussi bien entre les éléments préfabriqués, qu’avec les éléments de bord, … ;</w:t>
      </w:r>
    </w:p>
    <w:p w14:paraId="359E4DCA" w14:textId="77777777" w:rsidR="004B2808" w:rsidRDefault="00000000">
      <w:pPr>
        <w:pStyle w:val="Author-eListParagraph"/>
        <w:numPr>
          <w:ilvl w:val="0"/>
          <w:numId w:val="727"/>
        </w:numPr>
        <w:jc w:val="both"/>
      </w:pPr>
      <w:r>
        <w:t>L’enlèvement de tous les accessoires, supports, étais et le nettoyage des faces visibles.</w:t>
      </w:r>
    </w:p>
    <w:p w14:paraId="151AFFE0" w14:textId="77777777" w:rsidR="004B2808" w:rsidRDefault="00000000">
      <w:pPr>
        <w:pStyle w:val="pheading"/>
      </w:pPr>
      <w:r>
        <w:t>- Localisation</w:t>
      </w:r>
    </w:p>
    <w:p w14:paraId="47D6DE69" w14:textId="77777777" w:rsidR="004B2808" w:rsidRDefault="00000000">
      <w:r>
        <w:t xml:space="preserve">Localisation des travaux : </w:t>
      </w:r>
      <w:r>
        <w:rPr>
          <w:rStyle w:val="optioncarChar"/>
        </w:rPr>
        <w:t>***</w:t>
      </w:r>
      <w:r>
        <w:t>.        </w:t>
      </w:r>
    </w:p>
    <w:p w14:paraId="191F382A" w14:textId="77777777" w:rsidR="004B2808" w:rsidRDefault="00000000">
      <w:r>
        <w:t>Voir plans et métrés détaillés.</w:t>
      </w:r>
    </w:p>
    <w:p w14:paraId="5DBA6AD0" w14:textId="77777777" w:rsidR="004B2808" w:rsidRDefault="00000000">
      <w:pPr>
        <w:pStyle w:val="pheading"/>
      </w:pPr>
      <w:r>
        <w:t>MATÉRIAUX</w:t>
      </w:r>
    </w:p>
    <w:p w14:paraId="53A0994F" w14:textId="77777777" w:rsidR="004B2808" w:rsidRDefault="00000000">
      <w:pPr>
        <w:pStyle w:val="pheading"/>
      </w:pPr>
      <w:r>
        <w:t>- Caractéristiques générales</w:t>
      </w:r>
    </w:p>
    <w:p w14:paraId="53264D2E" w14:textId="77777777" w:rsidR="004B2808" w:rsidRDefault="00000000">
      <w:pPr>
        <w:jc w:val="both"/>
      </w:pPr>
      <w:r>
        <w:t>Le système de suspension se compose de</w:t>
      </w:r>
      <w:r>
        <w:rPr>
          <w:rStyle w:val="optioncarChar"/>
        </w:rPr>
        <w:t xml:space="preserve"> structure en bois / structure métallique</w:t>
      </w:r>
      <w:r>
        <w:t>.</w:t>
      </w:r>
    </w:p>
    <w:p w14:paraId="7F6BC39C" w14:textId="77777777" w:rsidR="004B2808" w:rsidRDefault="00000000">
      <w:pPr>
        <w:ind w:left="567"/>
        <w:jc w:val="both"/>
      </w:pPr>
      <w:r>
        <w:rPr>
          <w:b/>
          <w:i/>
        </w:rPr>
        <w:t>(Soit)</w:t>
      </w:r>
    </w:p>
    <w:p w14:paraId="643C3912" w14:textId="77777777" w:rsidR="004B2808" w:rsidRDefault="00000000">
      <w:pPr>
        <w:ind w:left="567"/>
        <w:jc w:val="both"/>
      </w:pPr>
      <w:r>
        <w:rPr>
          <w:rStyle w:val="soitChar"/>
          <w:b/>
          <w:u w:val="single"/>
        </w:rPr>
        <w:t>Structure en bois</w:t>
      </w:r>
      <w:r>
        <w:rPr>
          <w:rStyle w:val="soitChar"/>
        </w:rPr>
        <w:t> : adaptée en fonction du type d'application. Les chevrons sont parfaitement droits, propres et rabotés, exempts de tous les défauts risquant de nuire à leur forme ou à leur résistance.</w:t>
      </w:r>
    </w:p>
    <w:p w14:paraId="75665C0D" w14:textId="77777777" w:rsidR="004B2808" w:rsidRDefault="00000000">
      <w:pPr>
        <w:pStyle w:val="Author-eListParagraph"/>
        <w:numPr>
          <w:ilvl w:val="1"/>
          <w:numId w:val="728"/>
        </w:numPr>
      </w:pPr>
      <w:r>
        <w:rPr>
          <w:rStyle w:val="soitChar"/>
        </w:rPr>
        <w:t>La tension admissible est d'au moins 10 N/mm².</w:t>
      </w:r>
    </w:p>
    <w:p w14:paraId="72E649DE" w14:textId="77777777" w:rsidR="004B2808" w:rsidRDefault="00000000">
      <w:pPr>
        <w:pStyle w:val="Author-eListParagraph"/>
        <w:numPr>
          <w:ilvl w:val="1"/>
          <w:numId w:val="728"/>
        </w:numPr>
      </w:pPr>
      <w:r>
        <w:rPr>
          <w:rStyle w:val="soitChar"/>
        </w:rPr>
        <w:t xml:space="preserve">Sections du bois : </w:t>
      </w:r>
      <w:r>
        <w:rPr>
          <w:rStyle w:val="optioncarChar"/>
        </w:rPr>
        <w:t>38x100 </w:t>
      </w:r>
      <w:r>
        <w:t>(par défaut)</w:t>
      </w:r>
      <w:r>
        <w:rPr>
          <w:rStyle w:val="optioncarChar"/>
        </w:rPr>
        <w:t xml:space="preserve"> / 38x125 / 38x150/ 38x175 / 50x125 / ***</w:t>
      </w:r>
      <w:r>
        <w:rPr>
          <w:rStyle w:val="soitChar"/>
        </w:rPr>
        <w:t>mm.</w:t>
      </w:r>
    </w:p>
    <w:p w14:paraId="07ACC044" w14:textId="77777777" w:rsidR="004B2808" w:rsidRDefault="00000000">
      <w:pPr>
        <w:pStyle w:val="Author-eListParagraph"/>
        <w:numPr>
          <w:ilvl w:val="1"/>
          <w:numId w:val="728"/>
        </w:numPr>
      </w:pPr>
      <w:r>
        <w:rPr>
          <w:rStyle w:val="soitChar"/>
        </w:rPr>
        <w:t xml:space="preserve">Les profils reprennent les charges du plafond pour une déformation </w:t>
      </w:r>
      <w:r>
        <w:rPr>
          <w:rStyle w:val="optioncarChar"/>
        </w:rPr>
        <w:t>1\300</w:t>
      </w:r>
      <w:r>
        <w:t> (par défaut)</w:t>
      </w:r>
      <w:r>
        <w:rPr>
          <w:rStyle w:val="optioncarChar"/>
        </w:rPr>
        <w:t xml:space="preserve"> / 1\500</w:t>
      </w:r>
      <w:r>
        <w:rPr>
          <w:rStyle w:val="soitChar"/>
        </w:rPr>
        <w:t> de la portée conformément à la [NBN EN 13964] et [NIT 232].</w:t>
      </w:r>
    </w:p>
    <w:p w14:paraId="09589280" w14:textId="77777777" w:rsidR="004B2808" w:rsidRDefault="00000000">
      <w:pPr>
        <w:ind w:left="567"/>
        <w:jc w:val="both"/>
      </w:pPr>
      <w:r>
        <w:rPr>
          <w:b/>
          <w:i/>
        </w:rPr>
        <w:t>(Soit)</w:t>
      </w:r>
    </w:p>
    <w:p w14:paraId="25F8E8E8" w14:textId="77777777" w:rsidR="004B2808" w:rsidRDefault="00000000">
      <w:pPr>
        <w:ind w:left="567"/>
        <w:jc w:val="both"/>
      </w:pPr>
      <w:r>
        <w:rPr>
          <w:rStyle w:val="soitChar"/>
          <w:b/>
          <w:u w:val="single"/>
        </w:rPr>
        <w:t>Structure métallique</w:t>
      </w:r>
      <w:r>
        <w:rPr>
          <w:rStyle w:val="soitChar"/>
        </w:rPr>
        <w:t> : ossature composée de profils en acier galvanisés, adaptée en fonction du type d'application. Les profils répondent aux dispositions de la [NBN EN 13964]  1ère partie.</w:t>
      </w:r>
    </w:p>
    <w:p w14:paraId="590BCCCB" w14:textId="77777777" w:rsidR="004B2808" w:rsidRDefault="00000000">
      <w:pPr>
        <w:pStyle w:val="Author-eListParagraph"/>
        <w:numPr>
          <w:ilvl w:val="1"/>
          <w:numId w:val="729"/>
        </w:numPr>
      </w:pPr>
      <w:r>
        <w:rPr>
          <w:rStyle w:val="soitChar"/>
        </w:rPr>
        <w:t xml:space="preserve">Hauteur nominale : </w:t>
      </w:r>
      <w:r>
        <w:rPr>
          <w:rStyle w:val="optioncarChar"/>
        </w:rPr>
        <w:t>***</w:t>
      </w:r>
      <w:r>
        <w:rPr>
          <w:rStyle w:val="soitChar"/>
        </w:rPr>
        <w:t xml:space="preserve"> mm.</w:t>
      </w:r>
    </w:p>
    <w:p w14:paraId="34BC70A6" w14:textId="77777777" w:rsidR="004B2808" w:rsidRDefault="00000000">
      <w:pPr>
        <w:pStyle w:val="Author-eListParagraph"/>
        <w:numPr>
          <w:ilvl w:val="1"/>
          <w:numId w:val="729"/>
        </w:numPr>
      </w:pPr>
      <w:r>
        <w:rPr>
          <w:rStyle w:val="soitChar"/>
        </w:rPr>
        <w:t>Largeur des brides des profils :</w:t>
      </w:r>
      <w:r>
        <w:rPr>
          <w:rStyle w:val="optioncarChar"/>
        </w:rPr>
        <w:t>45 / 50</w:t>
      </w:r>
      <w:r>
        <w:t xml:space="preserve"> (par défaut) </w:t>
      </w:r>
      <w:r>
        <w:rPr>
          <w:rStyle w:val="optioncarChar"/>
        </w:rPr>
        <w:t>/ 75 / 100 / *** </w:t>
      </w:r>
      <w:r>
        <w:rPr>
          <w:rStyle w:val="soitChar"/>
        </w:rPr>
        <w:t xml:space="preserve"> mm</w:t>
      </w:r>
    </w:p>
    <w:p w14:paraId="3C3A4F2C" w14:textId="77777777" w:rsidR="004B2808" w:rsidRDefault="00000000">
      <w:pPr>
        <w:pStyle w:val="Author-eListParagraph"/>
        <w:numPr>
          <w:ilvl w:val="1"/>
          <w:numId w:val="729"/>
        </w:numPr>
      </w:pPr>
      <w:r>
        <w:rPr>
          <w:rStyle w:val="soitChar"/>
        </w:rPr>
        <w:t xml:space="preserve">Les profils reprennent les charges du plafond pour une déformation </w:t>
      </w:r>
      <w:r>
        <w:rPr>
          <w:rStyle w:val="optioncarChar"/>
        </w:rPr>
        <w:t>1\300</w:t>
      </w:r>
      <w:r>
        <w:t xml:space="preserve"> (par défaut)</w:t>
      </w:r>
      <w:r>
        <w:rPr>
          <w:rStyle w:val="optioncarChar"/>
        </w:rPr>
        <w:t> / 1\500</w:t>
      </w:r>
      <w:r>
        <w:rPr>
          <w:rStyle w:val="soitChar"/>
        </w:rPr>
        <w:t> de la portée conformément à la [NBN EN 13964] et [NIT 232].</w:t>
      </w:r>
    </w:p>
    <w:p w14:paraId="23FC0DAC" w14:textId="77777777" w:rsidR="004B2808" w:rsidRDefault="00000000">
      <w:pPr>
        <w:jc w:val="both"/>
      </w:pPr>
      <w:r>
        <w:t>Les panneaux sont en</w:t>
      </w:r>
      <w:r>
        <w:rPr>
          <w:rStyle w:val="optioncarChar"/>
        </w:rPr>
        <w:t xml:space="preserve"> plaques de laine de bois avec liant minéral / plaques de laine de bois avec liant minéral avec complément d’isolation</w:t>
      </w:r>
      <w:r>
        <w:t>.</w:t>
      </w:r>
    </w:p>
    <w:p w14:paraId="17A54C4A" w14:textId="77777777" w:rsidR="004B2808" w:rsidRDefault="00000000">
      <w:pPr>
        <w:ind w:left="567"/>
        <w:jc w:val="both"/>
      </w:pPr>
      <w:r>
        <w:rPr>
          <w:b/>
          <w:i/>
        </w:rPr>
        <w:t>(Soit)</w:t>
      </w:r>
    </w:p>
    <w:p w14:paraId="3B6C6D54" w14:textId="77777777" w:rsidR="004B2808" w:rsidRDefault="00000000">
      <w:pPr>
        <w:ind w:left="567"/>
        <w:jc w:val="both"/>
      </w:pPr>
      <w:r>
        <w:rPr>
          <w:rStyle w:val="soitChar"/>
          <w:b/>
          <w:u w:val="single"/>
        </w:rPr>
        <w:t>Plaques de laine de bois avec liant minéral</w:t>
      </w:r>
    </w:p>
    <w:p w14:paraId="49AAFD11" w14:textId="77777777" w:rsidR="004B2808" w:rsidRDefault="00000000">
      <w:pPr>
        <w:ind w:left="567"/>
        <w:jc w:val="both"/>
      </w:pPr>
      <w:r>
        <w:rPr>
          <w:rStyle w:val="soitChar"/>
        </w:rPr>
        <w:t>Les panneaux répondent à la [NBN EN 13168+A1].</w:t>
      </w:r>
    </w:p>
    <w:p w14:paraId="3FBB4EF1" w14:textId="77777777" w:rsidR="004B2808" w:rsidRDefault="00000000">
      <w:pPr>
        <w:ind w:left="567"/>
        <w:jc w:val="both"/>
      </w:pPr>
      <w:r>
        <w:rPr>
          <w:rStyle w:val="soitChar"/>
        </w:rPr>
        <w:t>Les panneaux sont fabriqués à partir de bois provenant de forêts gérées durablement suivant les prescriptions de l'élément 02.42.4 Bois provenant de forêts gérées durablement.</w:t>
      </w:r>
    </w:p>
    <w:p w14:paraId="0FD03E42" w14:textId="77777777" w:rsidR="004B2808" w:rsidRDefault="00000000">
      <w:pPr>
        <w:pStyle w:val="Author-eListParagraph"/>
        <w:numPr>
          <w:ilvl w:val="1"/>
          <w:numId w:val="730"/>
        </w:numPr>
      </w:pPr>
      <w:r>
        <w:rPr>
          <w:rStyle w:val="soitChar"/>
        </w:rPr>
        <w:lastRenderedPageBreak/>
        <w:t>Dimension des panneaux :</w:t>
      </w:r>
      <w:r>
        <w:rPr>
          <w:rStyle w:val="optioncarChar"/>
        </w:rPr>
        <w:t xml:space="preserve"> *** / 600x1200mm</w:t>
      </w:r>
      <w:r>
        <w:t xml:space="preserve"> (par défaut) </w:t>
      </w:r>
      <w:r>
        <w:rPr>
          <w:rStyle w:val="optioncarChar"/>
        </w:rPr>
        <w:t>/ 600x2000mm / au choix de l’entrepreneur.</w:t>
      </w:r>
    </w:p>
    <w:p w14:paraId="42F12120" w14:textId="77777777" w:rsidR="004B2808" w:rsidRDefault="00000000">
      <w:pPr>
        <w:pStyle w:val="Author-eListParagraph"/>
        <w:numPr>
          <w:ilvl w:val="1"/>
          <w:numId w:val="730"/>
        </w:numPr>
      </w:pPr>
      <w:r>
        <w:rPr>
          <w:rStyle w:val="soitChar"/>
        </w:rPr>
        <w:t>Conductivité thermique est de 0.80 W/mK</w:t>
      </w:r>
    </w:p>
    <w:p w14:paraId="3790967A" w14:textId="77777777" w:rsidR="004B2808" w:rsidRDefault="00000000">
      <w:pPr>
        <w:pStyle w:val="Author-eListParagraph"/>
        <w:numPr>
          <w:ilvl w:val="1"/>
          <w:numId w:val="730"/>
        </w:numPr>
      </w:pPr>
      <w:r>
        <w:rPr>
          <w:rStyle w:val="soitChar"/>
        </w:rPr>
        <w:t xml:space="preserve">Epaisseur des panneaux : </w:t>
      </w:r>
      <w:r>
        <w:rPr>
          <w:rStyle w:val="optioncarChar"/>
        </w:rPr>
        <w:t xml:space="preserve">*** / 15 / 25 </w:t>
      </w:r>
      <w:r>
        <w:t xml:space="preserve">(par défaut) </w:t>
      </w:r>
      <w:r>
        <w:rPr>
          <w:rStyle w:val="optioncarChar"/>
        </w:rPr>
        <w:t>/ 35 / 50</w:t>
      </w:r>
      <w:r>
        <w:rPr>
          <w:rStyle w:val="soitChar"/>
        </w:rPr>
        <w:t>  mm.</w:t>
      </w:r>
    </w:p>
    <w:p w14:paraId="40E99598" w14:textId="77777777" w:rsidR="004B2808" w:rsidRDefault="00000000">
      <w:pPr>
        <w:pStyle w:val="Author-eListParagraph"/>
        <w:numPr>
          <w:ilvl w:val="1"/>
          <w:numId w:val="730"/>
        </w:numPr>
      </w:pPr>
      <w:r>
        <w:rPr>
          <w:rStyle w:val="soitChar"/>
        </w:rPr>
        <w:t>Finition des panneaux :</w:t>
      </w:r>
      <w:r>
        <w:rPr>
          <w:rStyle w:val="optioncarChar"/>
        </w:rPr>
        <w:t xml:space="preserve"> bords droits </w:t>
      </w:r>
      <w:r>
        <w:t xml:space="preserve">(par défaut) </w:t>
      </w:r>
      <w:r>
        <w:rPr>
          <w:rStyle w:val="optioncarChar"/>
        </w:rPr>
        <w:t>/ bords chanfreinés</w:t>
      </w:r>
    </w:p>
    <w:p w14:paraId="5C1CC8CD" w14:textId="77777777" w:rsidR="004B2808" w:rsidRDefault="00000000">
      <w:pPr>
        <w:pStyle w:val="Author-eListParagraph"/>
        <w:numPr>
          <w:ilvl w:val="1"/>
          <w:numId w:val="730"/>
        </w:numPr>
      </w:pPr>
      <w:r>
        <w:rPr>
          <w:rStyle w:val="soitChar"/>
        </w:rPr>
        <w:t>Les plaques appartiennent à la classe de réaction au feu A2-s1, d0</w:t>
      </w:r>
    </w:p>
    <w:p w14:paraId="57503F7B" w14:textId="77777777" w:rsidR="004B2808" w:rsidRDefault="00000000">
      <w:pPr>
        <w:ind w:left="567"/>
        <w:jc w:val="both"/>
      </w:pPr>
      <w:r>
        <w:rPr>
          <w:b/>
          <w:i/>
        </w:rPr>
        <w:t>(Soit)</w:t>
      </w:r>
    </w:p>
    <w:p w14:paraId="3CA037D0" w14:textId="77777777" w:rsidR="004B2808" w:rsidRDefault="00000000">
      <w:pPr>
        <w:ind w:left="567"/>
        <w:jc w:val="both"/>
      </w:pPr>
      <w:r>
        <w:rPr>
          <w:rStyle w:val="soitChar"/>
          <w:b/>
          <w:u w:val="single"/>
        </w:rPr>
        <w:t>Plaques de laine de bois avec liant minéral avec complément d'isolation.</w:t>
      </w:r>
    </w:p>
    <w:p w14:paraId="6989F024" w14:textId="77777777" w:rsidR="004B2808" w:rsidRDefault="00000000">
      <w:pPr>
        <w:ind w:left="567"/>
        <w:jc w:val="both"/>
      </w:pPr>
      <w:r>
        <w:rPr>
          <w:rStyle w:val="soitChar"/>
        </w:rPr>
        <w:t>Les panneaux répondent à la [NBN EN 13168+A1].</w:t>
      </w:r>
    </w:p>
    <w:p w14:paraId="6BCE7D27" w14:textId="77777777" w:rsidR="004B2808" w:rsidRDefault="00000000">
      <w:pPr>
        <w:ind w:left="567"/>
        <w:jc w:val="both"/>
      </w:pPr>
      <w:r>
        <w:rPr>
          <w:rStyle w:val="soitChar"/>
        </w:rPr>
        <w:t>Les panneaux sont fabriqués à partir de bois provenant de forêts gérées durablement suivant les prescriptions de l'élément 02.42.4 Bois provenant de forêts gérées durablement.</w:t>
      </w:r>
    </w:p>
    <w:p w14:paraId="6BA42678" w14:textId="77777777" w:rsidR="004B2808" w:rsidRDefault="00000000">
      <w:pPr>
        <w:pStyle w:val="Author-eListParagraph"/>
        <w:numPr>
          <w:ilvl w:val="1"/>
          <w:numId w:val="731"/>
        </w:numPr>
      </w:pPr>
      <w:r>
        <w:rPr>
          <w:rStyle w:val="soitChar"/>
        </w:rPr>
        <w:t>Matériaux isolants complémentaires :</w:t>
      </w:r>
      <w:r>
        <w:rPr>
          <w:rStyle w:val="optioncarChar"/>
        </w:rPr>
        <w:t xml:space="preserve"> EPS / PIR / Laine de roche </w:t>
      </w:r>
      <w:r>
        <w:t>(par défaut)</w:t>
      </w:r>
      <w:r>
        <w:rPr>
          <w:rStyle w:val="optioncarChar"/>
        </w:rPr>
        <w:t xml:space="preserve"> / ***</w:t>
      </w:r>
      <w:r>
        <w:rPr>
          <w:rStyle w:val="soitChar"/>
        </w:rPr>
        <w:t>.</w:t>
      </w:r>
    </w:p>
    <w:p w14:paraId="1364B99D" w14:textId="77777777" w:rsidR="004B2808" w:rsidRDefault="00000000">
      <w:pPr>
        <w:pStyle w:val="Author-eListParagraph"/>
        <w:numPr>
          <w:ilvl w:val="1"/>
          <w:numId w:val="731"/>
        </w:numPr>
      </w:pPr>
      <w:r>
        <w:rPr>
          <w:rStyle w:val="soitChar"/>
        </w:rPr>
        <w:t xml:space="preserve">Epaisseur des panneaux complémentaires : </w:t>
      </w:r>
      <w:r>
        <w:rPr>
          <w:rStyle w:val="optioncarChar"/>
        </w:rPr>
        <w:t>25</w:t>
      </w:r>
      <w:r>
        <w:t xml:space="preserve"> (par défaut) </w:t>
      </w:r>
      <w:r>
        <w:rPr>
          <w:rStyle w:val="optioncarChar"/>
        </w:rPr>
        <w:t>/ 50 / 75 / 100 / 125 /150 / ***</w:t>
      </w:r>
      <w:r>
        <w:rPr>
          <w:rStyle w:val="soitChar"/>
        </w:rPr>
        <w:t>mm.</w:t>
      </w:r>
    </w:p>
    <w:p w14:paraId="1A3184CB" w14:textId="77777777" w:rsidR="004B2808" w:rsidRDefault="00000000">
      <w:pPr>
        <w:pStyle w:val="Author-eListParagraph"/>
        <w:numPr>
          <w:ilvl w:val="1"/>
          <w:numId w:val="731"/>
        </w:numPr>
      </w:pPr>
      <w:r>
        <w:rPr>
          <w:rStyle w:val="soitChar"/>
        </w:rPr>
        <w:t xml:space="preserve">Les plaques appartiennent à la classe de réaction au feu </w:t>
      </w:r>
      <w:r>
        <w:rPr>
          <w:rStyle w:val="optioncarChar"/>
        </w:rPr>
        <w:t>A2-s1, d0 pour la laine de roche</w:t>
      </w:r>
      <w:r>
        <w:t xml:space="preserve"> (par défaut)</w:t>
      </w:r>
      <w:r>
        <w:rPr>
          <w:rStyle w:val="optioncarChar"/>
        </w:rPr>
        <w:t xml:space="preserve"> /  B-s1, d0 (pour panneau avec complément d’isolation en PIR ou EPS). </w:t>
      </w:r>
    </w:p>
    <w:p w14:paraId="78C02188" w14:textId="77777777" w:rsidR="004B2808" w:rsidRDefault="00000000">
      <w:pPr>
        <w:pStyle w:val="pheading"/>
      </w:pPr>
      <w:r>
        <w:t>- Finitions</w:t>
      </w:r>
    </w:p>
    <w:p w14:paraId="7DD34AAD" w14:textId="77777777" w:rsidR="004B2808" w:rsidRDefault="00000000">
      <w:pPr>
        <w:jc w:val="both"/>
      </w:pPr>
      <w:r>
        <w:t>Apparence des panneaux :</w:t>
      </w:r>
      <w:r>
        <w:rPr>
          <w:rStyle w:val="optioncarChar"/>
        </w:rPr>
        <w:t xml:space="preserve"> brute afin de recevoir une finition / brute laissé apparent</w:t>
      </w:r>
      <w:r>
        <w:t xml:space="preserve"> (par défaut)</w:t>
      </w:r>
      <w:r>
        <w:rPr>
          <w:rStyle w:val="optioncarChar"/>
        </w:rPr>
        <w:t xml:space="preserve">  / chanfreiné apparent.</w:t>
      </w:r>
    </w:p>
    <w:p w14:paraId="2DE4BAD2" w14:textId="77777777" w:rsidR="004B2808" w:rsidRDefault="00000000">
      <w:pPr>
        <w:pStyle w:val="pheading"/>
      </w:pPr>
      <w:r>
        <w:t>- Prescriptions complémentaires</w:t>
      </w:r>
    </w:p>
    <w:p w14:paraId="3ADFDA63" w14:textId="77777777" w:rsidR="004B2808" w:rsidRDefault="00000000">
      <w:pPr>
        <w:jc w:val="both"/>
      </w:pPr>
      <w:r>
        <w:rPr>
          <w:rStyle w:val="facultChar"/>
        </w:rPr>
        <w:t xml:space="preserve">Largeur des fibres </w:t>
      </w:r>
      <w:r>
        <w:rPr>
          <w:rStyle w:val="optioncarChar"/>
        </w:rPr>
        <w:t xml:space="preserve">1.0 mm / 2.0 mm </w:t>
      </w:r>
      <w:r>
        <w:t>(par défaut).</w:t>
      </w:r>
    </w:p>
    <w:p w14:paraId="38C9E879" w14:textId="77777777" w:rsidR="004B2808" w:rsidRDefault="00000000">
      <w:pPr>
        <w:jc w:val="both"/>
      </w:pPr>
      <w:r>
        <w:rPr>
          <w:rStyle w:val="facultChar"/>
        </w:rPr>
        <w:t xml:space="preserve">Valeur de Umax = </w:t>
      </w:r>
      <w:r>
        <w:rPr>
          <w:rStyle w:val="optioncarChar"/>
        </w:rPr>
        <w:t>suivant étude de performance énergétique / *** W/ m²K</w:t>
      </w:r>
      <w:r>
        <w:rPr>
          <w:rStyle w:val="facultChar"/>
        </w:rPr>
        <w:t>.</w:t>
      </w:r>
    </w:p>
    <w:p w14:paraId="34E84200" w14:textId="77777777" w:rsidR="004B2808" w:rsidRDefault="00000000">
      <w:pPr>
        <w:jc w:val="both"/>
      </w:pPr>
      <w:r>
        <w:rPr>
          <w:rStyle w:val="facultChar"/>
        </w:rPr>
        <w:t>Les valeurs Umax sont toujours inférieures aux exigences légales en application au moment du dépôt du permis d’urbanisme.</w:t>
      </w:r>
    </w:p>
    <w:p w14:paraId="4D38BDE2" w14:textId="77777777" w:rsidR="004B2808" w:rsidRDefault="00000000">
      <w:pPr>
        <w:jc w:val="both"/>
      </w:pPr>
      <w:r>
        <w:rPr>
          <w:rStyle w:val="facultChar"/>
        </w:rPr>
        <w:t>Les joints assurent la continuité thermique de l’isolant.</w:t>
      </w:r>
    </w:p>
    <w:p w14:paraId="14D976AC" w14:textId="77777777" w:rsidR="004B2808" w:rsidRDefault="00000000">
      <w:pPr>
        <w:jc w:val="both"/>
      </w:pPr>
      <w:r>
        <w:rPr>
          <w:rStyle w:val="facultChar"/>
        </w:rPr>
        <w:t xml:space="preserve">La description de l'isolation complémentaire non incorporée au panneau est fournie aux éléments </w:t>
      </w:r>
      <w:hyperlink w:anchor="73" w:history="1">
        <w:r w:rsidR="004B2808">
          <w:rPr>
            <w:rStyle w:val="facultChar"/>
            <w:color w:val="0000EE"/>
          </w:rPr>
          <w:t>52.4 Isolation</w:t>
        </w:r>
      </w:hyperlink>
      <w:r>
        <w:rPr>
          <w:rStyle w:val="facultChar"/>
        </w:rPr>
        <w:t xml:space="preserve"> et suivants</w:t>
      </w:r>
    </w:p>
    <w:p w14:paraId="75AA69B7" w14:textId="77777777" w:rsidR="004B2808" w:rsidRDefault="004B2808">
      <w:pPr>
        <w:jc w:val="both"/>
      </w:pPr>
    </w:p>
    <w:p w14:paraId="25A68B64" w14:textId="77777777" w:rsidR="004B2808" w:rsidRDefault="00000000">
      <w:pPr>
        <w:jc w:val="both"/>
      </w:pPr>
      <w:r>
        <w:rPr>
          <w:rStyle w:val="facultChar"/>
        </w:rPr>
        <w:t>Résistance au feu du plafond suspendu :</w:t>
      </w:r>
    </w:p>
    <w:p w14:paraId="013E4330" w14:textId="77777777" w:rsidR="004B2808" w:rsidRDefault="00000000">
      <w:pPr>
        <w:jc w:val="both"/>
      </w:pPr>
      <w:r>
        <w:rPr>
          <w:rStyle w:val="facultChar"/>
        </w:rPr>
        <w:t xml:space="preserve"> 1) </w:t>
      </w:r>
      <w:r>
        <w:rPr>
          <w:rStyle w:val="optioncarChar"/>
        </w:rPr>
        <w:t>EI 30</w:t>
      </w:r>
      <w:r>
        <w:t xml:space="preserve"> (par défaut)</w:t>
      </w:r>
      <w:r>
        <w:rPr>
          <w:rStyle w:val="optioncarChar"/>
        </w:rPr>
        <w:t> / EI 60 / EI 120 / E30</w:t>
      </w:r>
      <w:r>
        <w:rPr>
          <w:rStyle w:val="facultChar"/>
        </w:rPr>
        <w:t xml:space="preserve"> selon la [NBN EN 13501-2]</w:t>
      </w:r>
    </w:p>
    <w:p w14:paraId="4CA44355" w14:textId="77777777" w:rsidR="004B2808" w:rsidRDefault="00000000">
      <w:pPr>
        <w:jc w:val="both"/>
      </w:pPr>
      <w:r>
        <w:rPr>
          <w:rStyle w:val="facultChar"/>
        </w:rPr>
        <w:t xml:space="preserve"> 2) Exigence de stabilité au feu REI30 selon la [NBN 713-020], [NBN EN 1365-2] et [NBN EN 13501-2]</w:t>
      </w:r>
    </w:p>
    <w:p w14:paraId="54B7E4E0" w14:textId="77777777" w:rsidR="004B2808" w:rsidRDefault="004B2808"/>
    <w:p w14:paraId="2DD4583E" w14:textId="77777777" w:rsidR="004B2808" w:rsidRDefault="00000000">
      <w:pPr>
        <w:jc w:val="both"/>
      </w:pPr>
      <w:r>
        <w:rPr>
          <w:rStyle w:val="facultChar"/>
        </w:rPr>
        <w:t xml:space="preserve"> La performance de résistance au feu est attestée conformément aux prescriptions de l’arrêté royal [AR 1994-07-07]. Le plafond suspendu est posé en conformité totale avec les conditions de pose mentionnées dans le(s) rapport(s) d'essai. Le nombre de fixations et l'espacement des supports sont déterminés par le fabricant en respect de la stabilité au feu imposée.</w:t>
      </w:r>
    </w:p>
    <w:p w14:paraId="464A0775" w14:textId="77777777" w:rsidR="004B2808" w:rsidRDefault="00000000">
      <w:pPr>
        <w:jc w:val="both"/>
      </w:pPr>
      <w:r>
        <w:rPr>
          <w:rStyle w:val="facultChar"/>
        </w:rPr>
        <w:t>Les plafonds suspendus appartiennent à la classe acoustique</w:t>
      </w:r>
      <w:r>
        <w:rPr>
          <w:rStyle w:val="optioncarChar"/>
        </w:rPr>
        <w:t> Ia</w:t>
      </w:r>
      <w:r>
        <w:t> (par défaut)</w:t>
      </w:r>
      <w:r>
        <w:rPr>
          <w:rStyle w:val="optioncarChar"/>
        </w:rPr>
        <w:t xml:space="preserve"> / IB / Iia / IIB / ***</w:t>
      </w:r>
      <w:r>
        <w:rPr>
          <w:rStyle w:val="facultChar"/>
        </w:rPr>
        <w:t xml:space="preserve"> selon la [NBN S 01-400] et suivants. Les plafonds suspendus sont pourvus d'une isolation acoustique adaptée conforme aux exigences d'isolation acoustique. Un certificat remis par un laboratoire agréé est soumis. Les plafonds sont posés en conformité totale avec les conditions de pose mentionnées dans le rapport d'essai.</w:t>
      </w:r>
    </w:p>
    <w:p w14:paraId="210CF18B" w14:textId="77777777" w:rsidR="004B2808" w:rsidRDefault="004B2808">
      <w:pPr>
        <w:jc w:val="both"/>
      </w:pPr>
    </w:p>
    <w:p w14:paraId="089B1367" w14:textId="77777777" w:rsidR="004B2808" w:rsidRDefault="00000000">
      <w:pPr>
        <w:jc w:val="both"/>
      </w:pPr>
      <w:r>
        <w:rPr>
          <w:rStyle w:val="facultChar"/>
        </w:rPr>
        <w:t>L’absorption acoustique (a</w:t>
      </w:r>
      <w:r>
        <w:rPr>
          <w:rStyle w:val="facultChar"/>
          <w:vertAlign w:val="subscript"/>
        </w:rPr>
        <w:t>w</w:t>
      </w:r>
      <w:r>
        <w:rPr>
          <w:rStyle w:val="facultChar"/>
        </w:rPr>
        <w:t xml:space="preserve">) est de minimum </w:t>
      </w:r>
      <w:r>
        <w:rPr>
          <w:rStyle w:val="optioncarChar"/>
        </w:rPr>
        <w:t xml:space="preserve">0.25 </w:t>
      </w:r>
      <w:r>
        <w:t>(par défaut) </w:t>
      </w:r>
      <w:r>
        <w:rPr>
          <w:rStyle w:val="optioncarChar"/>
        </w:rPr>
        <w:t>/ 0.35 / 0.50 / 0.65 / 0.8 / 0.95 / ***</w:t>
      </w:r>
    </w:p>
    <w:p w14:paraId="404408D8" w14:textId="77777777" w:rsidR="004B2808" w:rsidRDefault="00000000">
      <w:pPr>
        <w:pStyle w:val="pheading"/>
      </w:pPr>
      <w:r>
        <w:lastRenderedPageBreak/>
        <w:t>EXÉCUTION / MISE EN ŒUVRE</w:t>
      </w:r>
    </w:p>
    <w:p w14:paraId="0D1429AD" w14:textId="77777777" w:rsidR="004B2808" w:rsidRDefault="00000000">
      <w:pPr>
        <w:pStyle w:val="pheading"/>
      </w:pPr>
      <w:r>
        <w:t>- Prescriptions générales</w:t>
      </w:r>
    </w:p>
    <w:p w14:paraId="598F9834" w14:textId="77777777" w:rsidR="004B2808" w:rsidRDefault="00000000">
      <w:pPr>
        <w:jc w:val="both"/>
      </w:pPr>
      <w:r>
        <w:rPr>
          <w:b/>
          <w:i/>
        </w:rPr>
        <w:t>Composition du plafond - bois</w:t>
      </w:r>
    </w:p>
    <w:p w14:paraId="74CEF23B" w14:textId="77777777" w:rsidR="004B2808" w:rsidRDefault="00000000">
      <w:pPr>
        <w:jc w:val="both"/>
      </w:pPr>
      <w:r>
        <w:t>La structure est exécutée conformément aux prescriptions de la [NIT 232].</w:t>
      </w:r>
    </w:p>
    <w:p w14:paraId="422FBE7D" w14:textId="77777777" w:rsidR="004B2808" w:rsidRDefault="00000000">
      <w:pPr>
        <w:pStyle w:val="Author-eListParagraph"/>
        <w:numPr>
          <w:ilvl w:val="0"/>
          <w:numId w:val="732"/>
        </w:numPr>
      </w:pPr>
      <w:r>
        <w:t xml:space="preserve">Les dimensions des poutres périphériques et du lattage secondaire sont déterminées de façon que la flèche maximale de la portée utile entre les éléments de suspension ne dépasse pas </w:t>
      </w:r>
      <w:r>
        <w:rPr>
          <w:rStyle w:val="optioncarChar"/>
        </w:rPr>
        <w:t>1\500 </w:t>
      </w:r>
      <w:r>
        <w:t>(par défaut)</w:t>
      </w:r>
      <w:r>
        <w:rPr>
          <w:rStyle w:val="optioncarChar"/>
        </w:rPr>
        <w:t> / ***</w:t>
      </w:r>
      <w:r>
        <w:t> de la portée. La charge du gîtage ne peut dépasser 10% du poids propre de la structure. Si les portées ne peuvent pas être franchies avec les hauteurs de poutres indiquées, des suspensions supplémentaires doivent être mises en place.</w:t>
      </w:r>
    </w:p>
    <w:p w14:paraId="3CABA165" w14:textId="77777777" w:rsidR="004B2808" w:rsidRDefault="00000000">
      <w:pPr>
        <w:pStyle w:val="Author-eListParagraph"/>
        <w:numPr>
          <w:ilvl w:val="0"/>
          <w:numId w:val="732"/>
        </w:numPr>
      </w:pPr>
      <w:r>
        <w:t xml:space="preserve">Les poutres périphériques doivent être fixées aux murs attenants au moins tous les </w:t>
      </w:r>
      <w:r>
        <w:rPr>
          <w:rStyle w:val="optioncarChar"/>
        </w:rPr>
        <w:t>60</w:t>
      </w:r>
      <w:r>
        <w:t> (par défaut)</w:t>
      </w:r>
      <w:r>
        <w:rPr>
          <w:rStyle w:val="optioncarChar"/>
        </w:rPr>
        <w:t> / ***</w:t>
      </w:r>
      <w:r>
        <w:t> cm. Les poutres secondaires sont fixées avec un espacement maximal de</w:t>
      </w:r>
      <w:r>
        <w:rPr>
          <w:rStyle w:val="optioncarChar"/>
        </w:rPr>
        <w:t xml:space="preserve"> *** / 50</w:t>
      </w:r>
      <w:r>
        <w:t> (par défaut) </w:t>
      </w:r>
      <w:r>
        <w:rPr>
          <w:rStyle w:val="optioncarChar"/>
        </w:rPr>
        <w:t>/ ***</w:t>
      </w:r>
      <w:r>
        <w:t> cm d'axe en axe aux poutres périphériques, par clouage ou à l'aide de sabots en acier galvanisé. Afin de prévenir le flambement des poutres de grande longueur, les lattes sont reliées mutuellement en plaçant une latte en travers et en les fixant sur chaque latte.</w:t>
      </w:r>
      <w:r>
        <w:br/>
      </w:r>
    </w:p>
    <w:p w14:paraId="1F5B6D52" w14:textId="77777777" w:rsidR="004B2808" w:rsidRDefault="00000000">
      <w:pPr>
        <w:jc w:val="both"/>
      </w:pPr>
      <w:r>
        <w:rPr>
          <w:b/>
          <w:i/>
        </w:rPr>
        <w:t>Composition du plafond - métal</w:t>
      </w:r>
    </w:p>
    <w:p w14:paraId="117D9D29" w14:textId="77777777" w:rsidR="004B2808" w:rsidRDefault="00000000">
      <w:pPr>
        <w:jc w:val="both"/>
      </w:pPr>
      <w:r>
        <w:t>Le plafond est placé au moyen d'un système de suspension réglable, quelles que soient les irrégularités de la construction supérieure.</w:t>
      </w:r>
    </w:p>
    <w:p w14:paraId="1B02F47B" w14:textId="77777777" w:rsidR="004B2808" w:rsidRDefault="00000000">
      <w:pPr>
        <w:pStyle w:val="Author-eListParagraph"/>
        <w:numPr>
          <w:ilvl w:val="0"/>
          <w:numId w:val="733"/>
        </w:numPr>
      </w:pPr>
      <w:r>
        <w:t xml:space="preserve">Le nombre des suspensions et leur espacement sont déterminés par le fabricant. Les dimensions des profils et le cadre sont déterminés de façon telle que la flexion à chaque nœud ne dépasse pas </w:t>
      </w:r>
      <w:r>
        <w:rPr>
          <w:rStyle w:val="optioncarChar"/>
        </w:rPr>
        <w:t>1\500</w:t>
      </w:r>
      <w:r>
        <w:t> (par défaut)</w:t>
      </w:r>
      <w:r>
        <w:rPr>
          <w:rStyle w:val="optioncarChar"/>
        </w:rPr>
        <w:t> / ***</w:t>
      </w:r>
      <w:r>
        <w:t> de la portée. Lorsque la portée du local ne peut être franchie avec la hauteur de profil indiquée, des suspensions supplémentaires doivent être posées.</w:t>
      </w:r>
    </w:p>
    <w:p w14:paraId="5B69CA34" w14:textId="77777777" w:rsidR="004B2808" w:rsidRDefault="00000000">
      <w:pPr>
        <w:pStyle w:val="Author-eListParagraph"/>
        <w:numPr>
          <w:ilvl w:val="0"/>
          <w:numId w:val="733"/>
        </w:numPr>
      </w:pPr>
      <w:r>
        <w:t>Les profils périphériques sont fixés au moins tous les 60 cm aux murs attenants, moyennant l'insertion d'une bande d'étanchéité souple (type PE). Afin de prévenir le flambement des poutres de grande hauteur, les lattes sont reliées mutuellement en plaçant une latte en travers et en les fixant sur chaque latte.</w:t>
      </w:r>
    </w:p>
    <w:p w14:paraId="047F1D96" w14:textId="77777777" w:rsidR="004B2808" w:rsidRDefault="00000000">
      <w:pPr>
        <w:jc w:val="both"/>
      </w:pPr>
      <w:r>
        <w:rPr>
          <w:b/>
          <w:i/>
        </w:rPr>
        <w:t>Finition des panneaux et des joints</w:t>
      </w:r>
    </w:p>
    <w:p w14:paraId="1B9EBE2A" w14:textId="77777777" w:rsidR="004B2808" w:rsidRDefault="00000000">
      <w:pPr>
        <w:jc w:val="both"/>
      </w:pPr>
      <w:r>
        <w:t xml:space="preserve">La finition et les joints des panneaux sont </w:t>
      </w:r>
      <w:r>
        <w:rPr>
          <w:rStyle w:val="optioncarChar"/>
        </w:rPr>
        <w:t>à bords droits restants visibles / à bords droits enduits / à bords chanfreinés restant visibles </w:t>
      </w:r>
      <w:r>
        <w:t>:</w:t>
      </w:r>
    </w:p>
    <w:p w14:paraId="33F20D5A" w14:textId="77777777" w:rsidR="004B2808" w:rsidRDefault="00000000">
      <w:pPr>
        <w:ind w:left="567"/>
        <w:jc w:val="both"/>
      </w:pPr>
      <w:r>
        <w:rPr>
          <w:b/>
          <w:i/>
        </w:rPr>
        <w:t>(Soit)</w:t>
      </w:r>
    </w:p>
    <w:p w14:paraId="67F70318" w14:textId="77777777" w:rsidR="004B2808" w:rsidRDefault="00000000">
      <w:pPr>
        <w:ind w:left="567"/>
        <w:jc w:val="both"/>
      </w:pPr>
      <w:r>
        <w:rPr>
          <w:rStyle w:val="soitChar"/>
          <w:b/>
          <w:u w:val="single"/>
        </w:rPr>
        <w:t> A bords droits restant visibles.</w:t>
      </w:r>
    </w:p>
    <w:p w14:paraId="0A3EA1EA" w14:textId="77777777" w:rsidR="004B2808" w:rsidRDefault="00000000">
      <w:pPr>
        <w:ind w:left="567"/>
        <w:jc w:val="both"/>
      </w:pPr>
      <w:r>
        <w:rPr>
          <w:b/>
          <w:i/>
        </w:rPr>
        <w:t>(Soit)</w:t>
      </w:r>
    </w:p>
    <w:p w14:paraId="1FD63A98" w14:textId="77777777" w:rsidR="004B2808" w:rsidRDefault="00000000">
      <w:pPr>
        <w:ind w:left="567"/>
        <w:jc w:val="both"/>
      </w:pPr>
      <w:r>
        <w:rPr>
          <w:rStyle w:val="soitChar"/>
          <w:b/>
          <w:u w:val="single"/>
        </w:rPr>
        <w:t>A bords droits enduits :</w:t>
      </w:r>
      <w:r>
        <w:rPr>
          <w:rStyle w:val="soitChar"/>
        </w:rPr>
        <w:t xml:space="preserve"> Le plafonnage est prévu dans un article séparé (voir titre </w:t>
      </w:r>
      <w:hyperlink w:anchor="1164" w:history="1">
        <w:r w:rsidR="004B2808">
          <w:rPr>
            <w:rStyle w:val="soitChar"/>
            <w:color w:val="0000EE"/>
          </w:rPr>
          <w:t>51.5 Revêtements intérieurs enduits</w:t>
        </w:r>
      </w:hyperlink>
      <w:r>
        <w:rPr>
          <w:rStyle w:val="soitChar"/>
        </w:rPr>
        <w:t>).</w:t>
      </w:r>
    </w:p>
    <w:p w14:paraId="78928F9D" w14:textId="77777777" w:rsidR="004B2808" w:rsidRDefault="00000000">
      <w:pPr>
        <w:ind w:left="567"/>
        <w:jc w:val="both"/>
      </w:pPr>
      <w:r>
        <w:rPr>
          <w:b/>
          <w:i/>
        </w:rPr>
        <w:t>(Soit)</w:t>
      </w:r>
    </w:p>
    <w:p w14:paraId="299C754B" w14:textId="77777777" w:rsidR="004B2808" w:rsidRDefault="00000000">
      <w:pPr>
        <w:ind w:left="567"/>
        <w:jc w:val="both"/>
      </w:pPr>
      <w:r>
        <w:rPr>
          <w:rStyle w:val="soitChar"/>
          <w:b/>
          <w:u w:val="single"/>
        </w:rPr>
        <w:t> A bords chanfreinés restant visibles</w:t>
      </w:r>
      <w:r>
        <w:rPr>
          <w:rStyle w:val="soitChar"/>
        </w:rPr>
        <w:t> : Les panneaux sont de teinte</w:t>
      </w:r>
      <w:r>
        <w:rPr>
          <w:rStyle w:val="optioncarChar"/>
        </w:rPr>
        <w:t xml:space="preserve"> gris naturel </w:t>
      </w:r>
      <w:r>
        <w:t xml:space="preserve">(par défaut) </w:t>
      </w:r>
      <w:r>
        <w:rPr>
          <w:rStyle w:val="optioncarChar"/>
        </w:rPr>
        <w:t>/ blanche / RAL***</w:t>
      </w:r>
    </w:p>
    <w:p w14:paraId="724C9071" w14:textId="77777777" w:rsidR="004B2808" w:rsidRDefault="00000000">
      <w:pPr>
        <w:jc w:val="both"/>
      </w:pPr>
      <w:r>
        <w:rPr>
          <w:b/>
          <w:i/>
        </w:rPr>
        <w:t>Fixation des plaques</w:t>
      </w:r>
    </w:p>
    <w:p w14:paraId="7E4E22DA" w14:textId="77777777" w:rsidR="004B2808" w:rsidRDefault="00000000">
      <w:pPr>
        <w:jc w:val="both"/>
      </w:pPr>
      <w:r>
        <w:t>Les fixations sont adaptées au support et au poids propre du panneau suivant son épaisseur et si il est enduit ou non.</w:t>
      </w:r>
    </w:p>
    <w:p w14:paraId="169C034D" w14:textId="77777777" w:rsidR="004B2808" w:rsidRDefault="00000000">
      <w:pPr>
        <w:jc w:val="both"/>
      </w:pPr>
      <w:r>
        <w:t xml:space="preserve">Les plaques présentent </w:t>
      </w:r>
      <w:r>
        <w:rPr>
          <w:rStyle w:val="optioncarChar"/>
        </w:rPr>
        <w:t>2 / 4 / 6</w:t>
      </w:r>
      <w:r>
        <w:t xml:space="preserve"> (par défaut)</w:t>
      </w:r>
      <w:r>
        <w:rPr>
          <w:rStyle w:val="optioncarChar"/>
        </w:rPr>
        <w:t xml:space="preserve"> / 8</w:t>
      </w:r>
      <w:r>
        <w:t xml:space="preserve"> fixations par panneau.</w:t>
      </w:r>
    </w:p>
    <w:p w14:paraId="7A376F6B" w14:textId="77777777" w:rsidR="004B2808" w:rsidRDefault="00000000">
      <w:pPr>
        <w:pStyle w:val="pheading"/>
      </w:pPr>
      <w:r>
        <w:t>- Notes d’exécution complémentaires</w:t>
      </w:r>
    </w:p>
    <w:p w14:paraId="3BBA62E4" w14:textId="77777777" w:rsidR="004B2808" w:rsidRDefault="00000000">
      <w:pPr>
        <w:jc w:val="both"/>
      </w:pPr>
      <w:r>
        <w:rPr>
          <w:rStyle w:val="facultChar"/>
        </w:rPr>
        <w:t>Pour les panneaux avec isolant complémentaire incorporé, les tranches visibles sont recouvertes en collant une bande de recouvrement de la même matière sur la face visible du bord. Cette bande cachant la tranche de l’isolant.</w:t>
      </w:r>
    </w:p>
    <w:p w14:paraId="7870AAF4" w14:textId="77777777" w:rsidR="004B2808" w:rsidRDefault="00000000">
      <w:pPr>
        <w:jc w:val="both"/>
      </w:pPr>
      <w:r>
        <w:rPr>
          <w:rStyle w:val="facultChar"/>
        </w:rPr>
        <w:lastRenderedPageBreak/>
        <w:t>Bords périphériques : les bords du plafond, à la jonction avec les murs existants, sont exécutés avec des profils appropriés, découpés et colmatés à l'aide d'un mastic élastique qui peut être peint. Les bords sont terminés contre le plafond.</w:t>
      </w:r>
    </w:p>
    <w:p w14:paraId="155B4296" w14:textId="77777777" w:rsidR="004B2808" w:rsidRDefault="00000000">
      <w:pPr>
        <w:jc w:val="both"/>
      </w:pPr>
      <w:r>
        <w:rPr>
          <w:rStyle w:val="facultChar"/>
        </w:rPr>
        <w:t>Si les plaques sont enduites, ce travail est décrit dans un autre poste.</w:t>
      </w:r>
    </w:p>
    <w:p w14:paraId="6916365A" w14:textId="77777777" w:rsidR="004B2808" w:rsidRDefault="00000000">
      <w:pPr>
        <w:jc w:val="both"/>
      </w:pPr>
      <w:r>
        <w:rPr>
          <w:rStyle w:val="facultChar"/>
        </w:rPr>
        <w:t xml:space="preserve">Si les plaques sont enduites : Il faut prévoir un joint de dilatation tous les  </w:t>
      </w:r>
      <w:r>
        <w:rPr>
          <w:rStyle w:val="optioncarChar"/>
        </w:rPr>
        <w:t>***</w:t>
      </w:r>
      <w:r>
        <w:rPr>
          <w:rStyle w:val="facultChar"/>
        </w:rPr>
        <w:t xml:space="preserve"> m minimum.</w:t>
      </w:r>
    </w:p>
    <w:p w14:paraId="14300DF0" w14:textId="77777777" w:rsidR="004B2808" w:rsidRDefault="00000000">
      <w:pPr>
        <w:pStyle w:val="pheading"/>
      </w:pPr>
      <w:r>
        <w:t>CONTRÔLES PARTICULIERS</w:t>
      </w:r>
    </w:p>
    <w:p w14:paraId="1293719A" w14:textId="77777777" w:rsidR="004B2808" w:rsidRDefault="00000000">
      <w:pPr>
        <w:jc w:val="both"/>
      </w:pPr>
      <w:r>
        <w:t>Un contrôle des tolérances est effectué suivant la [NIT 232].</w:t>
      </w:r>
    </w:p>
    <w:p w14:paraId="3D79EA60" w14:textId="77777777" w:rsidR="004B2808" w:rsidRDefault="00000000">
      <w:pPr>
        <w:jc w:val="both"/>
      </w:pPr>
      <w:r>
        <w:t>Un contrôle in-situ</w:t>
      </w:r>
      <w:r>
        <w:rPr>
          <w:rStyle w:val="optioncarChar"/>
        </w:rPr>
        <w:t xml:space="preserve"> est / n’est pas</w:t>
      </w:r>
      <w:r>
        <w:t xml:space="preserve"> effectué.</w:t>
      </w:r>
    </w:p>
    <w:p w14:paraId="09213F04" w14:textId="77777777" w:rsidR="004B2808" w:rsidRDefault="00000000">
      <w:pPr>
        <w:ind w:left="567"/>
        <w:jc w:val="both"/>
      </w:pPr>
      <w:r>
        <w:rPr>
          <w:b/>
          <w:i/>
        </w:rPr>
        <w:t>(Soit)</w:t>
      </w:r>
    </w:p>
    <w:p w14:paraId="5B7B43A2" w14:textId="77777777" w:rsidR="004B2808" w:rsidRDefault="00000000">
      <w:pPr>
        <w:ind w:left="567"/>
        <w:jc w:val="both"/>
      </w:pPr>
      <w:r>
        <w:rPr>
          <w:rStyle w:val="soitChar"/>
          <w:b/>
          <w:u w:val="single"/>
        </w:rPr>
        <w:t>Le contrôle in-situ est effectué</w:t>
      </w:r>
      <w:r>
        <w:rPr>
          <w:rStyle w:val="soitChar"/>
        </w:rPr>
        <w:t xml:space="preserve"> selon [NBN EN ISO 16283-1] / [NBN EN ISO 10052] suivant la méthode de mesure de l’isolation acoustique entre les pièces, la détermination du niveau acoustique produit par un équipement technique.</w:t>
      </w:r>
    </w:p>
    <w:p w14:paraId="22DE8D1F" w14:textId="77777777" w:rsidR="004B2808" w:rsidRDefault="00000000">
      <w:pPr>
        <w:ind w:left="567"/>
        <w:jc w:val="both"/>
      </w:pPr>
      <w:r>
        <w:rPr>
          <w:b/>
          <w:i/>
        </w:rPr>
        <w:t>(Soit)</w:t>
      </w:r>
    </w:p>
    <w:p w14:paraId="4ED8ADFC" w14:textId="77777777" w:rsidR="004B2808" w:rsidRDefault="00000000">
      <w:pPr>
        <w:ind w:left="567"/>
        <w:jc w:val="both"/>
      </w:pPr>
      <w:r>
        <w:rPr>
          <w:rStyle w:val="soitChar"/>
          <w:b/>
          <w:u w:val="single"/>
        </w:rPr>
        <w:t>Pas de contrôle in-situ</w:t>
      </w:r>
    </w:p>
    <w:p w14:paraId="69978093" w14:textId="77777777" w:rsidR="004B2808" w:rsidRDefault="00000000">
      <w:pPr>
        <w:pStyle w:val="pheading"/>
      </w:pPr>
      <w:r>
        <w:t>DOCUMENTS DE RÉFÉRENCE COMPLÉMENTAIRES</w:t>
      </w:r>
    </w:p>
    <w:p w14:paraId="742C740C" w14:textId="77777777" w:rsidR="004B2808" w:rsidRDefault="00000000">
      <w:pPr>
        <w:pStyle w:val="pheading"/>
      </w:pPr>
      <w:r>
        <w:t>- Matériau</w:t>
      </w:r>
    </w:p>
    <w:p w14:paraId="686CD8BB" w14:textId="77777777" w:rsidR="004B2808" w:rsidRDefault="00000000">
      <w:r>
        <w:t>[NBN EN 13964, Plafonds suspendus - Exigences et méthodes d'essai]</w:t>
      </w:r>
    </w:p>
    <w:p w14:paraId="32C37F30" w14:textId="77777777" w:rsidR="004B2808" w:rsidRDefault="00000000">
      <w:r>
        <w:t>[NBN EN 13168+A1, Produits isolants thermiques pour le bâtiment - Produits manufacturés en laine de bois (WW) - Spécification]</w:t>
      </w:r>
    </w:p>
    <w:p w14:paraId="10F31494" w14:textId="77777777" w:rsidR="004B2808" w:rsidRDefault="00000000">
      <w:r>
        <w:t>[NBN 713-020, Protection contre l'incendie - Comportement au feu des matériaux et éléments de construction - Résistance au feu des éléments de construction (avec erratum)]</w:t>
      </w:r>
    </w:p>
    <w:p w14:paraId="586937D3" w14:textId="77777777" w:rsidR="004B2808" w:rsidRDefault="00000000">
      <w:r>
        <w:t>[NBN EN 1365-2, Essais de résistance au feu des éléments porteurs - Partie 2: Planchers et toitures] </w:t>
      </w:r>
    </w:p>
    <w:p w14:paraId="578F6D1F" w14:textId="77777777" w:rsidR="004B280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345A2570" w14:textId="77777777" w:rsidR="004B2808" w:rsidRDefault="00000000">
      <w:r>
        <w:t>[NBN S 01-400-1, Critères acoustiques pour les immeubles d'habitation]</w:t>
      </w:r>
    </w:p>
    <w:p w14:paraId="015B181A" w14:textId="77777777" w:rsidR="004B2808" w:rsidRDefault="00000000">
      <w:r>
        <w:t>[NBN S 01-400-2, Critères acoustiques pour les bâtiments scolaires]</w:t>
      </w:r>
    </w:p>
    <w:p w14:paraId="1EB84BD4" w14:textId="77777777" w:rsidR="004B2808" w:rsidRDefault="00000000">
      <w:r>
        <w:t>[NBN S 01-400, Acoustique - Critères de l'isolation acoustique]</w:t>
      </w:r>
    </w:p>
    <w:p w14:paraId="1F41C834" w14:textId="77777777" w:rsidR="004B2808" w:rsidRDefault="00000000">
      <w:r>
        <w:t>[NBN S 01-401, Acoustique - Valeurs limites des niveaux de bruit en vue d'éviter l'inconfort dans les bâtiments]</w:t>
      </w:r>
    </w:p>
    <w:p w14:paraId="39AA3D1C" w14:textId="77777777" w:rsidR="004B2808" w:rsidRDefault="00000000">
      <w:pPr>
        <w:pStyle w:val="pheading"/>
      </w:pPr>
      <w:r>
        <w:t>- Exécution</w:t>
      </w:r>
    </w:p>
    <w:p w14:paraId="52F71E92" w14:textId="77777777" w:rsidR="004B2808" w:rsidRDefault="00000000">
      <w:r>
        <w:t>[NIT 232, Les plafonds suspendus.]</w:t>
      </w:r>
    </w:p>
    <w:p w14:paraId="6D5C9C74" w14:textId="77777777" w:rsidR="004B2808" w:rsidRDefault="00000000">
      <w:r>
        <w:t>[NBN EN 13964, Plafonds suspendus - Exigences et méthodes d'essai]</w:t>
      </w:r>
    </w:p>
    <w:p w14:paraId="14EB110B" w14:textId="77777777" w:rsidR="004B2808" w:rsidRDefault="00000000">
      <w:r>
        <w:t>[NBN EN ISO 10052, Acoustique - Mesurages in situ de l'isolement aux bruits aériens et de la transmission des bruits de choc ainsi que du bruit des équipements - Méthode de contrôle (ISO 10052:2021)]</w:t>
      </w:r>
    </w:p>
    <w:p w14:paraId="18F99310" w14:textId="77777777" w:rsidR="004B2808" w:rsidRDefault="00000000">
      <w:r>
        <w:t>[NBN EN ISO 16283-1, Acoustique - Mesurage in situ de l'isolation acoustique des bâtiments et des éléments de construction - Partie 1: Isolation des bruits aériens (ISO 16283-1:2014)]</w:t>
      </w:r>
    </w:p>
    <w:p w14:paraId="398B8BE7" w14:textId="77777777" w:rsidR="004B2808" w:rsidRDefault="00000000">
      <w:pPr>
        <w:pStyle w:val="pheading"/>
      </w:pPr>
      <w:r>
        <w:t>MESURAGE</w:t>
      </w:r>
    </w:p>
    <w:p w14:paraId="3982F483" w14:textId="77777777" w:rsidR="004B2808" w:rsidRDefault="00000000">
      <w:pPr>
        <w:pStyle w:val="pheading"/>
      </w:pPr>
      <w:r>
        <w:t>- unité de mesure:</w:t>
      </w:r>
    </w:p>
    <w:p w14:paraId="6FEB0607" w14:textId="77777777" w:rsidR="004B2808" w:rsidRDefault="00000000">
      <w:r>
        <w:t>m²</w:t>
      </w:r>
    </w:p>
    <w:p w14:paraId="26531C7A" w14:textId="77777777" w:rsidR="004B2808" w:rsidRDefault="00000000">
      <w:pPr>
        <w:pStyle w:val="pheading"/>
      </w:pPr>
      <w:r>
        <w:t>- code de mesurage:</w:t>
      </w:r>
    </w:p>
    <w:p w14:paraId="5D783761" w14:textId="77777777" w:rsidR="004B2808" w:rsidRDefault="00000000">
      <w:r>
        <w:lastRenderedPageBreak/>
        <w:t>Surface nette</w:t>
      </w:r>
    </w:p>
    <w:p w14:paraId="67F173E1" w14:textId="77777777" w:rsidR="004B2808" w:rsidRDefault="00000000">
      <w:pPr>
        <w:pStyle w:val="pheading"/>
      </w:pPr>
      <w:r>
        <w:t>- nature du marché:</w:t>
      </w:r>
    </w:p>
    <w:p w14:paraId="34F7714E" w14:textId="77777777" w:rsidR="004B2808" w:rsidRDefault="00000000">
      <w:r>
        <w:rPr>
          <w:rStyle w:val="optioncarChar"/>
        </w:rPr>
        <w:t xml:space="preserve">QF </w:t>
      </w:r>
      <w:r>
        <w:t xml:space="preserve">(par défaut) </w:t>
      </w:r>
      <w:r>
        <w:rPr>
          <w:rStyle w:val="optioncarChar"/>
        </w:rPr>
        <w:t>/ QP</w:t>
      </w:r>
    </w:p>
    <w:p w14:paraId="13C28CC3" w14:textId="77777777" w:rsidR="004B2808" w:rsidRDefault="00000000">
      <w:r>
        <w:rPr>
          <w:b/>
          <w:i/>
        </w:rPr>
        <w:t>(Soit par défaut)</w:t>
      </w:r>
    </w:p>
    <w:p w14:paraId="299EDCFF" w14:textId="77777777" w:rsidR="004B2808" w:rsidRDefault="00000000">
      <w:r>
        <w:rPr>
          <w:rStyle w:val="soitChar"/>
        </w:rPr>
        <w:t>1. 2. QF</w:t>
      </w:r>
    </w:p>
    <w:p w14:paraId="4E90F967" w14:textId="77777777" w:rsidR="004B2808" w:rsidRDefault="00000000">
      <w:r>
        <w:rPr>
          <w:b/>
          <w:i/>
        </w:rPr>
        <w:t>(Soit)</w:t>
      </w:r>
    </w:p>
    <w:p w14:paraId="2ABCCB4C" w14:textId="77777777" w:rsidR="004B2808" w:rsidRDefault="00000000">
      <w:r>
        <w:rPr>
          <w:rStyle w:val="soitChar"/>
        </w:rPr>
        <w:t>1. 2. QP   </w:t>
      </w:r>
    </w:p>
    <w:p w14:paraId="27CFE526" w14:textId="77777777" w:rsidR="004B2808" w:rsidRDefault="00000000">
      <w:pPr>
        <w:pStyle w:val="pheading"/>
      </w:pPr>
      <w:r>
        <w:t>AIDE</w:t>
      </w:r>
    </w:p>
    <w:p w14:paraId="6D96A1AB" w14:textId="77777777" w:rsidR="004B2808" w:rsidRDefault="00000000">
      <w:pPr>
        <w:jc w:val="both"/>
      </w:pPr>
      <w:r>
        <w:t>Pour les combinaisons disponibles entre type de panneaux, isolants complémentaires et les dimensions  des plaques, il est recommandé de consulter  la documentation récente.</w:t>
      </w:r>
    </w:p>
    <w:p w14:paraId="46C5062C" w14:textId="77777777" w:rsidR="004B2808" w:rsidRDefault="00000000">
      <w:pPr>
        <w:pStyle w:val="Author-eSectionHeading5Numberless"/>
      </w:pPr>
      <w:bookmarkStart w:id="937" w:name="_Toc220491072"/>
      <w:r>
        <w:t>54.31.4 Plafonds suspendus - parement en lames/plaques/panneaux métalliques CCTB 01.11</w:t>
      </w:r>
      <w:bookmarkEnd w:id="937"/>
    </w:p>
    <w:p w14:paraId="0F8A92F0" w14:textId="77777777" w:rsidR="004B2808" w:rsidRDefault="00000000">
      <w:pPr>
        <w:pStyle w:val="pheading"/>
      </w:pPr>
      <w:r>
        <w:t>DESCRIPTION</w:t>
      </w:r>
    </w:p>
    <w:p w14:paraId="5233C991" w14:textId="77777777" w:rsidR="004B2808" w:rsidRDefault="00000000">
      <w:pPr>
        <w:pStyle w:val="pheading"/>
      </w:pPr>
      <w:r>
        <w:t>- Définition / Comprend</w:t>
      </w:r>
    </w:p>
    <w:p w14:paraId="27C8AB59" w14:textId="77777777" w:rsidR="004B2808" w:rsidRDefault="00000000">
      <w:pPr>
        <w:jc w:val="both"/>
      </w:pPr>
      <w:r>
        <w:t>Il s'agit de la fourniture et de la pose de plafonds suspendus en lames, plaques ou en panneaux métalliques posés en indépendance par rapport au plafond du gros œuvre. Ces éléments sont destinés à être posés en association à une structure portante métallique.</w:t>
      </w:r>
    </w:p>
    <w:p w14:paraId="58624FD8" w14:textId="77777777" w:rsidR="004B2808" w:rsidRDefault="00000000">
      <w:pPr>
        <w:pStyle w:val="pheading"/>
      </w:pPr>
      <w:r>
        <w:t>MATÉRIAUX</w:t>
      </w:r>
    </w:p>
    <w:p w14:paraId="4E9DFB7E" w14:textId="77777777" w:rsidR="004B2808" w:rsidRDefault="00000000">
      <w:pPr>
        <w:jc w:val="both"/>
      </w:pPr>
      <w:r>
        <w:rPr>
          <w:b/>
        </w:rPr>
        <w:t>Structure de support</w:t>
      </w:r>
    </w:p>
    <w:p w14:paraId="1DC5EB70" w14:textId="77777777" w:rsidR="004B2808" w:rsidRDefault="00000000">
      <w:pPr>
        <w:jc w:val="both"/>
      </w:pPr>
      <w:r>
        <w:t>L’ossature est composée d'un système de suspension réglable en métal permettant l’installation quelles que soient les irrégularités de la construction de support. Elle se compose de trois parties distinctes, les fixations hautes dans le support porteur, les suspentes réglables et les éléments porteurs du revêtement de plafond.</w:t>
      </w:r>
    </w:p>
    <w:p w14:paraId="4CE5F949" w14:textId="77777777" w:rsidR="004B2808" w:rsidRDefault="00000000">
      <w:pPr>
        <w:jc w:val="both"/>
      </w:pPr>
      <w:r>
        <w:t>Les éléments porteurs les plus couramment utilisés pour ces types de plafonds sont :</w:t>
      </w:r>
    </w:p>
    <w:p w14:paraId="2D9937F1" w14:textId="77777777" w:rsidR="004B2808" w:rsidRDefault="00000000">
      <w:pPr>
        <w:pStyle w:val="Author-eListParagraph"/>
        <w:numPr>
          <w:ilvl w:val="0"/>
          <w:numId w:val="734"/>
        </w:numPr>
      </w:pPr>
      <w:r>
        <w:t>les profils en forme de T qui, en fonction du type de panneau de revêtement, sont apparents, semi-apparents ou non apparents ;</w:t>
      </w:r>
    </w:p>
    <w:p w14:paraId="6A03EAE5" w14:textId="77777777" w:rsidR="004B2808" w:rsidRDefault="00000000">
      <w:pPr>
        <w:pStyle w:val="Author-eListParagraph"/>
        <w:numPr>
          <w:ilvl w:val="0"/>
          <w:numId w:val="734"/>
        </w:numPr>
      </w:pPr>
      <w:r>
        <w:t>les profils semi-apparents ou non apparents à clipper ou à crochets.</w:t>
      </w:r>
    </w:p>
    <w:p w14:paraId="335744EF" w14:textId="77777777" w:rsidR="004B2808" w:rsidRDefault="00000000">
      <w:pPr>
        <w:jc w:val="both"/>
      </w:pPr>
      <w:r>
        <w:rPr>
          <w:b/>
        </w:rPr>
        <w:t>Plaques de revêtement</w:t>
      </w:r>
    </w:p>
    <w:p w14:paraId="35FC5453" w14:textId="77777777" w:rsidR="004B2808" w:rsidRDefault="00000000">
      <w:pPr>
        <w:jc w:val="both"/>
      </w:pPr>
      <w:r>
        <w:t>Les plaques de revêtements des plafonds métalliques sont constituées d’aluminium ou d’acier revêtu et se différen­cient par leur forme, leur épaisseur et le profil de leurs chants.</w:t>
      </w:r>
    </w:p>
    <w:p w14:paraId="2C3BC347" w14:textId="77777777" w:rsidR="004B2808" w:rsidRDefault="00000000">
      <w:pPr>
        <w:jc w:val="both"/>
      </w:pPr>
      <w:r>
        <w:t>Forme :   </w:t>
      </w:r>
    </w:p>
    <w:p w14:paraId="0BBF4D71" w14:textId="77777777" w:rsidR="004B2808" w:rsidRDefault="00000000">
      <w:pPr>
        <w:pStyle w:val="Author-eListParagraph"/>
        <w:numPr>
          <w:ilvl w:val="0"/>
          <w:numId w:val="735"/>
        </w:numPr>
      </w:pPr>
      <w:r>
        <w:t>Dalles carrées ou rectangulaires, dont le rapport longueur/largeur se situe dans la plage suivante : 1 ≤ L/l ≤ 2</w:t>
      </w:r>
    </w:p>
    <w:p w14:paraId="450AA8F0" w14:textId="77777777" w:rsidR="004B2808" w:rsidRDefault="00000000">
      <w:pPr>
        <w:pStyle w:val="Author-eListParagraph"/>
        <w:numPr>
          <w:ilvl w:val="0"/>
          <w:numId w:val="735"/>
        </w:numPr>
      </w:pPr>
      <w:r>
        <w:t>Panneaux (rapport longueur/largeur : 2 &lt; L/l ≤ n)</w:t>
      </w:r>
    </w:p>
    <w:p w14:paraId="44FFE491" w14:textId="77777777" w:rsidR="004B2808" w:rsidRDefault="00000000">
      <w:pPr>
        <w:pStyle w:val="Author-eListParagraph"/>
        <w:numPr>
          <w:ilvl w:val="0"/>
          <w:numId w:val="735"/>
        </w:numPr>
      </w:pPr>
      <w:r>
        <w:t>Panneaux bandes ou lames réalisés sur mesure.</w:t>
      </w:r>
    </w:p>
    <w:p w14:paraId="27F05F4D" w14:textId="77777777" w:rsidR="004B2808" w:rsidRDefault="00000000">
      <w:pPr>
        <w:jc w:val="both"/>
      </w:pPr>
      <w:r>
        <w:t>Epaisseur : éléments minces, dont les chants sont obte­nus par formage du matériau :</w:t>
      </w:r>
    </w:p>
    <w:p w14:paraId="4B84D188" w14:textId="77777777" w:rsidR="004B2808" w:rsidRDefault="00000000">
      <w:pPr>
        <w:pStyle w:val="Author-eListParagraph"/>
        <w:numPr>
          <w:ilvl w:val="0"/>
          <w:numId w:val="736"/>
        </w:numPr>
      </w:pPr>
      <w:r>
        <w:t>Chants droits (A)</w:t>
      </w:r>
    </w:p>
    <w:p w14:paraId="41672FF7" w14:textId="77777777" w:rsidR="004B2808" w:rsidRDefault="00000000">
      <w:pPr>
        <w:pStyle w:val="Author-eListParagraph"/>
        <w:numPr>
          <w:ilvl w:val="0"/>
          <w:numId w:val="736"/>
        </w:numPr>
      </w:pPr>
      <w:r>
        <w:t>Chanfreinés (B)</w:t>
      </w:r>
    </w:p>
    <w:p w14:paraId="2EA7DD3D" w14:textId="77777777" w:rsidR="004B2808" w:rsidRDefault="00000000">
      <w:pPr>
        <w:pStyle w:val="Author-eListParagraph"/>
        <w:numPr>
          <w:ilvl w:val="0"/>
          <w:numId w:val="736"/>
        </w:numPr>
      </w:pPr>
      <w:r>
        <w:t>Droits avec retour (P)</w:t>
      </w:r>
    </w:p>
    <w:p w14:paraId="78DF4413" w14:textId="77777777" w:rsidR="004B2808" w:rsidRDefault="00000000">
      <w:pPr>
        <w:pStyle w:val="Author-eListParagraph"/>
        <w:numPr>
          <w:ilvl w:val="0"/>
          <w:numId w:val="736"/>
        </w:numPr>
      </w:pPr>
      <w:r>
        <w:t>Feuillurés (Q)</w:t>
      </w:r>
    </w:p>
    <w:p w14:paraId="284381B8" w14:textId="77777777" w:rsidR="004B2808" w:rsidRDefault="00000000">
      <w:pPr>
        <w:pStyle w:val="Author-eListParagraph"/>
        <w:numPr>
          <w:ilvl w:val="0"/>
          <w:numId w:val="736"/>
        </w:numPr>
      </w:pPr>
      <w:r>
        <w:t>A double rainure (R)</w:t>
      </w:r>
    </w:p>
    <w:p w14:paraId="40D42A37" w14:textId="77777777" w:rsidR="004B2808" w:rsidRDefault="00000000">
      <w:pPr>
        <w:pStyle w:val="Author-eListParagraph"/>
        <w:numPr>
          <w:ilvl w:val="0"/>
          <w:numId w:val="736"/>
        </w:numPr>
      </w:pPr>
      <w:r>
        <w:t>A languette et rainure (S)</w:t>
      </w:r>
    </w:p>
    <w:p w14:paraId="26644691" w14:textId="77777777" w:rsidR="004B2808" w:rsidRDefault="00000000">
      <w:pPr>
        <w:pStyle w:val="Author-eListParagraph"/>
        <w:numPr>
          <w:ilvl w:val="0"/>
          <w:numId w:val="736"/>
        </w:numPr>
      </w:pPr>
      <w:r>
        <w:t>Arrondis (T)</w:t>
      </w:r>
    </w:p>
    <w:p w14:paraId="6FF3E032" w14:textId="77777777" w:rsidR="004B2808" w:rsidRDefault="00000000">
      <w:pPr>
        <w:pStyle w:val="Author-eListParagraph"/>
        <w:numPr>
          <w:ilvl w:val="0"/>
          <w:numId w:val="736"/>
        </w:numPr>
      </w:pPr>
      <w:r>
        <w:t>Retournés (U).</w:t>
      </w:r>
    </w:p>
    <w:p w14:paraId="79ECCEDA" w14:textId="77777777" w:rsidR="004B2808" w:rsidRDefault="00000000">
      <w:pPr>
        <w:jc w:val="both"/>
      </w:pPr>
      <w:r>
        <w:lastRenderedPageBreak/>
        <w:t>La composition des plafonds ainsi que les plafonds complètement terminés dans leur ensemble satisfont aux exigences prescrites dans les articles concernés en matière :</w:t>
      </w:r>
    </w:p>
    <w:p w14:paraId="0CC88898" w14:textId="77777777" w:rsidR="004B2808" w:rsidRDefault="00000000">
      <w:pPr>
        <w:pStyle w:val="Author-eListParagraph"/>
        <w:numPr>
          <w:ilvl w:val="0"/>
          <w:numId w:val="737"/>
        </w:numPr>
        <w:jc w:val="both"/>
      </w:pPr>
      <w:r>
        <w:t>de résistance mécanique et de stabilité</w:t>
      </w:r>
    </w:p>
    <w:p w14:paraId="042CEB64" w14:textId="77777777" w:rsidR="004B2808" w:rsidRDefault="00000000">
      <w:pPr>
        <w:pStyle w:val="Author-eListParagraph"/>
        <w:numPr>
          <w:ilvl w:val="0"/>
          <w:numId w:val="737"/>
        </w:numPr>
        <w:jc w:val="both"/>
      </w:pPr>
      <w:r>
        <w:t>de sécurité en cas d’incendie</w:t>
      </w:r>
    </w:p>
    <w:p w14:paraId="4A4F0955" w14:textId="77777777" w:rsidR="004B2808" w:rsidRDefault="00000000">
      <w:pPr>
        <w:pStyle w:val="Author-eListParagraph"/>
        <w:numPr>
          <w:ilvl w:val="0"/>
          <w:numId w:val="737"/>
        </w:numPr>
        <w:jc w:val="both"/>
      </w:pPr>
      <w:r>
        <w:t>d’hygiène, de santé et d’environnement</w:t>
      </w:r>
    </w:p>
    <w:p w14:paraId="5525EFF3" w14:textId="77777777" w:rsidR="004B2808" w:rsidRDefault="00000000">
      <w:pPr>
        <w:pStyle w:val="Author-eListParagraph"/>
        <w:numPr>
          <w:ilvl w:val="0"/>
          <w:numId w:val="737"/>
        </w:numPr>
        <w:jc w:val="both"/>
      </w:pPr>
      <w:r>
        <w:t>de sécurité d’utilisation</w:t>
      </w:r>
    </w:p>
    <w:p w14:paraId="2B731099" w14:textId="77777777" w:rsidR="004B2808" w:rsidRDefault="00000000">
      <w:pPr>
        <w:pStyle w:val="Author-eListParagraph"/>
        <w:numPr>
          <w:ilvl w:val="0"/>
          <w:numId w:val="737"/>
        </w:numPr>
        <w:jc w:val="both"/>
      </w:pPr>
      <w:r>
        <w:t>de protection contre le bruit</w:t>
      </w:r>
    </w:p>
    <w:p w14:paraId="785096D2" w14:textId="77777777" w:rsidR="004B2808" w:rsidRDefault="00000000">
      <w:pPr>
        <w:pStyle w:val="Author-eListParagraph"/>
        <w:numPr>
          <w:ilvl w:val="0"/>
          <w:numId w:val="737"/>
        </w:numPr>
        <w:jc w:val="both"/>
      </w:pPr>
      <w:r>
        <w:t>d’économie d’énergie et d’isolation thermique.</w:t>
      </w:r>
    </w:p>
    <w:p w14:paraId="46B6DCF1" w14:textId="77777777" w:rsidR="004B2808" w:rsidRDefault="00000000">
      <w:pPr>
        <w:pStyle w:val="pheading"/>
      </w:pPr>
      <w:r>
        <w:t>AIDE</w:t>
      </w:r>
    </w:p>
    <w:p w14:paraId="7046DDB1" w14:textId="77777777" w:rsidR="004B2808" w:rsidRDefault="00000000">
      <w:r>
        <w:t>[SWL GSI/T1/C, Guides sécurité incendie - Tome 1 Prévention passive - Guide C Résistance au feu]</w:t>
      </w:r>
    </w:p>
    <w:p w14:paraId="69B3CED4" w14:textId="77777777" w:rsidR="004B2808" w:rsidRDefault="00000000">
      <w:pPr>
        <w:pStyle w:val="Author-eSectionHeading6Numberless"/>
      </w:pPr>
      <w:bookmarkStart w:id="938" w:name="_Toc220491073"/>
      <w:r>
        <w:t>54.31.4a Plafonds suspendus - parement en lames/plaques/panneaux métalliques - systèmes à panneaux en aluminium CCTB 01.02</w:t>
      </w:r>
      <w:bookmarkEnd w:id="938"/>
    </w:p>
    <w:p w14:paraId="32127ADA" w14:textId="77777777" w:rsidR="004B2808" w:rsidRDefault="00000000">
      <w:pPr>
        <w:pStyle w:val="Author-eSectionHeading6Numberless"/>
      </w:pPr>
      <w:bookmarkStart w:id="939" w:name="_Toc220491074"/>
      <w:r>
        <w:t>54.31.4b Plafonds suspendus - parement en lames/plaques/panneaux métalliques - systèmes à panneaux en acier CCTB 01.02</w:t>
      </w:r>
      <w:bookmarkEnd w:id="939"/>
    </w:p>
    <w:p w14:paraId="09FFBCE3" w14:textId="77777777" w:rsidR="004B2808" w:rsidRDefault="00000000">
      <w:pPr>
        <w:pStyle w:val="Author-eSectionHeading6Numberless"/>
      </w:pPr>
      <w:bookmarkStart w:id="940" w:name="_Toc220491075"/>
      <w:r>
        <w:t>54.31.4c Plafonds suspendus - parement en lames/plaques/panneaux métalliques -systèmes à panneaux en cuivre CCTB 01.02</w:t>
      </w:r>
      <w:bookmarkEnd w:id="940"/>
    </w:p>
    <w:p w14:paraId="32FE1314" w14:textId="77777777" w:rsidR="004B2808" w:rsidRDefault="00000000">
      <w:pPr>
        <w:pStyle w:val="Author-eSectionHeading5Numberless"/>
      </w:pPr>
      <w:bookmarkStart w:id="941" w:name="_Toc220491076"/>
      <w:r>
        <w:t>54.31.5 Plafonds suspendus - parement en plaques/panneaux synthétiques CCTB 01.11</w:t>
      </w:r>
      <w:bookmarkEnd w:id="941"/>
    </w:p>
    <w:p w14:paraId="582EAC19" w14:textId="77777777" w:rsidR="004B2808" w:rsidRDefault="00000000">
      <w:pPr>
        <w:pStyle w:val="pheading"/>
      </w:pPr>
      <w:r>
        <w:t>DESCRIPTION</w:t>
      </w:r>
    </w:p>
    <w:p w14:paraId="118D2003" w14:textId="77777777" w:rsidR="004B2808" w:rsidRDefault="00000000">
      <w:pPr>
        <w:pStyle w:val="pheading"/>
      </w:pPr>
      <w:r>
        <w:t>- Définition / Comprend</w:t>
      </w:r>
    </w:p>
    <w:p w14:paraId="6E11E043" w14:textId="77777777" w:rsidR="004B2808" w:rsidRDefault="00000000">
      <w:pPr>
        <w:jc w:val="both"/>
      </w:pPr>
      <w:r>
        <w:t>Il s'agit de la fourniture et de la pose de plafonds suspendus en lames, plaques ou en panneaux synthétiques posés en indépendance par rapport au plafond du gros œuvre. Ces éléments sont destinés à être posés en association à une structure portante métallique.</w:t>
      </w:r>
    </w:p>
    <w:p w14:paraId="3ED56DFD" w14:textId="77777777" w:rsidR="004B2808" w:rsidRDefault="00000000">
      <w:pPr>
        <w:pStyle w:val="pheading"/>
      </w:pPr>
      <w:r>
        <w:t>MATÉRIAUX</w:t>
      </w:r>
    </w:p>
    <w:p w14:paraId="1CE9624C" w14:textId="77777777" w:rsidR="004B2808" w:rsidRDefault="00000000">
      <w:pPr>
        <w:jc w:val="both"/>
      </w:pPr>
      <w:r>
        <w:rPr>
          <w:b/>
        </w:rPr>
        <w:t>Structure de support</w:t>
      </w:r>
    </w:p>
    <w:p w14:paraId="406CB9DA" w14:textId="77777777" w:rsidR="004B2808" w:rsidRDefault="00000000">
      <w:pPr>
        <w:jc w:val="both"/>
      </w:pPr>
      <w:r>
        <w:t>L’ossature est composée d'un système de suspension réglable en métal permettant l’installation quelles que soient les irrégularités de la construction de support. Elle se compose de trois parties distinctes, les fixations hautes dans le support porteur, les suspentes réglables et les éléments porteurs du revêtement de plafond.</w:t>
      </w:r>
    </w:p>
    <w:p w14:paraId="2622BB89" w14:textId="77777777" w:rsidR="004B2808" w:rsidRDefault="00000000">
      <w:pPr>
        <w:jc w:val="both"/>
      </w:pPr>
      <w:r>
        <w:t>Les éléments porteurs les plus couramment utilisés pour ces types de plafonds sont :</w:t>
      </w:r>
    </w:p>
    <w:p w14:paraId="1D813A5B" w14:textId="77777777" w:rsidR="004B2808" w:rsidRDefault="00000000">
      <w:pPr>
        <w:pStyle w:val="Author-eListParagraph"/>
        <w:numPr>
          <w:ilvl w:val="0"/>
          <w:numId w:val="738"/>
        </w:numPr>
      </w:pPr>
      <w:r>
        <w:t>les profils en forme de T qui, en fonction du type de panneau de revêtement, peuvent être apparents, semi-apparents ou non apparents.</w:t>
      </w:r>
    </w:p>
    <w:p w14:paraId="01A888C2" w14:textId="77777777" w:rsidR="004B2808" w:rsidRDefault="00000000">
      <w:pPr>
        <w:pStyle w:val="Author-eListParagraph"/>
        <w:numPr>
          <w:ilvl w:val="0"/>
          <w:numId w:val="738"/>
        </w:numPr>
      </w:pPr>
      <w:r>
        <w:t>les profils semi-apparents ou non apparents à clipper.</w:t>
      </w:r>
    </w:p>
    <w:p w14:paraId="399329D5" w14:textId="77777777" w:rsidR="004B2808" w:rsidRDefault="00000000">
      <w:pPr>
        <w:jc w:val="both"/>
      </w:pPr>
      <w:r>
        <w:rPr>
          <w:b/>
        </w:rPr>
        <w:t>Plaques de revêtement</w:t>
      </w:r>
    </w:p>
    <w:p w14:paraId="5DB8A26D" w14:textId="77777777" w:rsidR="004B2808" w:rsidRDefault="00000000">
      <w:pPr>
        <w:jc w:val="both"/>
      </w:pPr>
      <w:r>
        <w:t>Les plaques de revêtements des plafonds synthétiques sont constituées de PVC, de polystyrène, etc… et se différen­cient par leur forme, leur épaisseur et le profil de leurs chants.</w:t>
      </w:r>
    </w:p>
    <w:p w14:paraId="0F3C10EF" w14:textId="77777777" w:rsidR="004B2808" w:rsidRDefault="00000000">
      <w:pPr>
        <w:jc w:val="both"/>
      </w:pPr>
      <w:r>
        <w:t>Forme :   </w:t>
      </w:r>
    </w:p>
    <w:p w14:paraId="0E62526E" w14:textId="77777777" w:rsidR="004B2808" w:rsidRDefault="00000000">
      <w:pPr>
        <w:pStyle w:val="Author-eListParagraph"/>
        <w:numPr>
          <w:ilvl w:val="0"/>
          <w:numId w:val="739"/>
        </w:numPr>
      </w:pPr>
      <w:r>
        <w:t>Dalles carrées ou rectangulaires, dont le rapport longueur/largeur se situe dans la plage suivante : 1 ≤ L/l ≤ 2</w:t>
      </w:r>
    </w:p>
    <w:p w14:paraId="6D0102E0" w14:textId="77777777" w:rsidR="004B2808" w:rsidRDefault="00000000">
      <w:pPr>
        <w:pStyle w:val="Author-eListParagraph"/>
        <w:numPr>
          <w:ilvl w:val="0"/>
          <w:numId w:val="739"/>
        </w:numPr>
      </w:pPr>
      <w:r>
        <w:t>Panneaux (rapport longueur/largeur : 2 &lt; L/l ≤ n)</w:t>
      </w:r>
    </w:p>
    <w:p w14:paraId="5AD83F10" w14:textId="77777777" w:rsidR="004B2808" w:rsidRDefault="00000000">
      <w:pPr>
        <w:pStyle w:val="Author-eListParagraph"/>
        <w:numPr>
          <w:ilvl w:val="0"/>
          <w:numId w:val="739"/>
        </w:numPr>
      </w:pPr>
      <w:r>
        <w:t>Panneaux bandes ou lames réalisés sur mesure.</w:t>
      </w:r>
    </w:p>
    <w:p w14:paraId="34F83409" w14:textId="77777777" w:rsidR="004B2808" w:rsidRDefault="00000000">
      <w:pPr>
        <w:jc w:val="both"/>
      </w:pPr>
      <w:r>
        <w:t>Epaisseur : selon le type de matériau, on distingue les éléments de type épais ou minces.</w:t>
      </w:r>
    </w:p>
    <w:p w14:paraId="30F11456" w14:textId="77777777" w:rsidR="004B2808" w:rsidRDefault="00000000">
      <w:pPr>
        <w:jc w:val="both"/>
      </w:pPr>
      <w:r>
        <w:t>Pour les éléments minces, les chants sont obte­nus par formage du matériau lors de l’extrusion :</w:t>
      </w:r>
    </w:p>
    <w:p w14:paraId="2BA603A1" w14:textId="77777777" w:rsidR="004B2808" w:rsidRDefault="00000000">
      <w:pPr>
        <w:pStyle w:val="Author-eListParagraph"/>
        <w:numPr>
          <w:ilvl w:val="0"/>
          <w:numId w:val="740"/>
        </w:numPr>
      </w:pPr>
      <w:r>
        <w:lastRenderedPageBreak/>
        <w:t>Chants droits (A)</w:t>
      </w:r>
    </w:p>
    <w:p w14:paraId="1AE60FE8" w14:textId="77777777" w:rsidR="004B2808" w:rsidRDefault="00000000">
      <w:pPr>
        <w:pStyle w:val="Author-eListParagraph"/>
        <w:numPr>
          <w:ilvl w:val="0"/>
          <w:numId w:val="740"/>
        </w:numPr>
      </w:pPr>
      <w:r>
        <w:t>Chanfreinés (B)</w:t>
      </w:r>
    </w:p>
    <w:p w14:paraId="06FCF7A6" w14:textId="77777777" w:rsidR="004B2808" w:rsidRDefault="00000000">
      <w:pPr>
        <w:pStyle w:val="Author-eListParagraph"/>
        <w:numPr>
          <w:ilvl w:val="0"/>
          <w:numId w:val="740"/>
        </w:numPr>
      </w:pPr>
      <w:r>
        <w:t>Droits avec retour (P)</w:t>
      </w:r>
    </w:p>
    <w:p w14:paraId="31B54FE8" w14:textId="77777777" w:rsidR="004B2808" w:rsidRDefault="00000000">
      <w:pPr>
        <w:pStyle w:val="Author-eListParagraph"/>
        <w:numPr>
          <w:ilvl w:val="0"/>
          <w:numId w:val="740"/>
        </w:numPr>
      </w:pPr>
      <w:r>
        <w:t>Feuillurés (Q)</w:t>
      </w:r>
    </w:p>
    <w:p w14:paraId="13C73E64" w14:textId="77777777" w:rsidR="004B2808" w:rsidRDefault="00000000">
      <w:pPr>
        <w:pStyle w:val="Author-eListParagraph"/>
        <w:numPr>
          <w:ilvl w:val="0"/>
          <w:numId w:val="740"/>
        </w:numPr>
      </w:pPr>
      <w:r>
        <w:t>A double rainure (R)</w:t>
      </w:r>
    </w:p>
    <w:p w14:paraId="5DB14443" w14:textId="77777777" w:rsidR="004B2808" w:rsidRDefault="00000000">
      <w:pPr>
        <w:pStyle w:val="Author-eListParagraph"/>
        <w:numPr>
          <w:ilvl w:val="0"/>
          <w:numId w:val="740"/>
        </w:numPr>
      </w:pPr>
      <w:r>
        <w:t>A languette et rainure (S)</w:t>
      </w:r>
    </w:p>
    <w:p w14:paraId="7494B88C" w14:textId="77777777" w:rsidR="004B2808" w:rsidRDefault="00000000">
      <w:pPr>
        <w:pStyle w:val="Author-eListParagraph"/>
        <w:numPr>
          <w:ilvl w:val="0"/>
          <w:numId w:val="740"/>
        </w:numPr>
      </w:pPr>
      <w:r>
        <w:t>Arrondis (T)</w:t>
      </w:r>
    </w:p>
    <w:p w14:paraId="0878B685" w14:textId="77777777" w:rsidR="004B2808" w:rsidRDefault="00000000">
      <w:pPr>
        <w:pStyle w:val="Author-eListParagraph"/>
        <w:numPr>
          <w:ilvl w:val="0"/>
          <w:numId w:val="740"/>
        </w:numPr>
      </w:pPr>
      <w:r>
        <w:t>Retournés (U).</w:t>
      </w:r>
    </w:p>
    <w:p w14:paraId="19FEAFE9" w14:textId="77777777" w:rsidR="004B2808" w:rsidRDefault="00000000">
      <w:pPr>
        <w:jc w:val="both"/>
      </w:pPr>
      <w:r>
        <w:t>Pour les éléments épais, dont les chants sont façonnés dans l’épaisseur du matériau à bords :</w:t>
      </w:r>
    </w:p>
    <w:p w14:paraId="5AAF3BD5" w14:textId="77777777" w:rsidR="004B2808" w:rsidRDefault="00000000">
      <w:pPr>
        <w:pStyle w:val="Author-eListParagraph"/>
        <w:numPr>
          <w:ilvl w:val="0"/>
          <w:numId w:val="741"/>
        </w:numPr>
      </w:pPr>
      <w:r>
        <w:t>Droits (A)</w:t>
      </w:r>
    </w:p>
    <w:p w14:paraId="0F975171" w14:textId="77777777" w:rsidR="004B2808" w:rsidRDefault="00000000">
      <w:pPr>
        <w:pStyle w:val="Author-eListParagraph"/>
        <w:numPr>
          <w:ilvl w:val="0"/>
          <w:numId w:val="741"/>
        </w:numPr>
      </w:pPr>
      <w:r>
        <w:t>Chanfreinés (B)</w:t>
      </w:r>
    </w:p>
    <w:p w14:paraId="3B1C2794" w14:textId="77777777" w:rsidR="004B2808" w:rsidRDefault="00000000">
      <w:pPr>
        <w:pStyle w:val="Author-eListParagraph"/>
        <w:numPr>
          <w:ilvl w:val="0"/>
          <w:numId w:val="741"/>
        </w:numPr>
      </w:pPr>
      <w:r>
        <w:t>Rainurés (C)</w:t>
      </w:r>
    </w:p>
    <w:p w14:paraId="42273634" w14:textId="77777777" w:rsidR="004B2808" w:rsidRDefault="00000000">
      <w:pPr>
        <w:pStyle w:val="Author-eListParagraph"/>
        <w:numPr>
          <w:ilvl w:val="0"/>
          <w:numId w:val="741"/>
        </w:numPr>
      </w:pPr>
      <w:r>
        <w:t>Feuillurés et rainurés (D)</w:t>
      </w:r>
    </w:p>
    <w:p w14:paraId="75572FC5" w14:textId="77777777" w:rsidR="004B2808" w:rsidRDefault="00000000">
      <w:pPr>
        <w:pStyle w:val="Author-eListParagraph"/>
        <w:numPr>
          <w:ilvl w:val="0"/>
          <w:numId w:val="741"/>
        </w:numPr>
      </w:pPr>
      <w:r>
        <w:t>Feuillurés (E)</w:t>
      </w:r>
    </w:p>
    <w:p w14:paraId="2CD09254" w14:textId="77777777" w:rsidR="004B2808" w:rsidRDefault="00000000">
      <w:pPr>
        <w:pStyle w:val="Author-eListParagraph"/>
        <w:numPr>
          <w:ilvl w:val="0"/>
          <w:numId w:val="741"/>
        </w:numPr>
      </w:pPr>
      <w:r>
        <w:t>Languette et rainure (F)</w:t>
      </w:r>
    </w:p>
    <w:p w14:paraId="588A5A6F" w14:textId="77777777" w:rsidR="004B2808" w:rsidRDefault="00000000">
      <w:pPr>
        <w:jc w:val="both"/>
      </w:pPr>
      <w:r>
        <w:t>La composition des plafonds ainsi que les plafonds complètement terminés dans leur ensemble satisfont aux exigences prescrites dans les articles concernés en matière :</w:t>
      </w:r>
    </w:p>
    <w:p w14:paraId="4EBC3DD3" w14:textId="77777777" w:rsidR="004B2808" w:rsidRDefault="00000000">
      <w:pPr>
        <w:pStyle w:val="Author-eListParagraph"/>
        <w:numPr>
          <w:ilvl w:val="0"/>
          <w:numId w:val="742"/>
        </w:numPr>
        <w:jc w:val="both"/>
      </w:pPr>
      <w:r>
        <w:t>de résistance mécanique et de stabilité</w:t>
      </w:r>
    </w:p>
    <w:p w14:paraId="269C97E7" w14:textId="77777777" w:rsidR="004B2808" w:rsidRDefault="00000000">
      <w:pPr>
        <w:pStyle w:val="Author-eListParagraph"/>
        <w:numPr>
          <w:ilvl w:val="0"/>
          <w:numId w:val="742"/>
        </w:numPr>
        <w:jc w:val="both"/>
      </w:pPr>
      <w:r>
        <w:t>de sécurité en cas d’incendie</w:t>
      </w:r>
    </w:p>
    <w:p w14:paraId="607C40FF" w14:textId="77777777" w:rsidR="004B2808" w:rsidRDefault="00000000">
      <w:pPr>
        <w:pStyle w:val="Author-eListParagraph"/>
        <w:numPr>
          <w:ilvl w:val="0"/>
          <w:numId w:val="742"/>
        </w:numPr>
        <w:jc w:val="both"/>
      </w:pPr>
      <w:r>
        <w:t>d’hygiène, de santé et d’environnement</w:t>
      </w:r>
    </w:p>
    <w:p w14:paraId="19D66CCD" w14:textId="77777777" w:rsidR="004B2808" w:rsidRDefault="00000000">
      <w:pPr>
        <w:pStyle w:val="Author-eListParagraph"/>
        <w:numPr>
          <w:ilvl w:val="0"/>
          <w:numId w:val="742"/>
        </w:numPr>
        <w:jc w:val="both"/>
      </w:pPr>
      <w:r>
        <w:t>de sécurité d’utilisation</w:t>
      </w:r>
    </w:p>
    <w:p w14:paraId="5218B91B" w14:textId="77777777" w:rsidR="004B2808" w:rsidRDefault="00000000">
      <w:pPr>
        <w:pStyle w:val="Author-eListParagraph"/>
        <w:numPr>
          <w:ilvl w:val="0"/>
          <w:numId w:val="742"/>
        </w:numPr>
        <w:jc w:val="both"/>
      </w:pPr>
      <w:r>
        <w:t>de protection contre le bruit</w:t>
      </w:r>
    </w:p>
    <w:p w14:paraId="19822956" w14:textId="77777777" w:rsidR="004B2808" w:rsidRDefault="00000000">
      <w:pPr>
        <w:pStyle w:val="Author-eListParagraph"/>
        <w:numPr>
          <w:ilvl w:val="0"/>
          <w:numId w:val="742"/>
        </w:numPr>
        <w:jc w:val="both"/>
      </w:pPr>
      <w:r>
        <w:t>d’économie d’énergie et d’isolation thermique.</w:t>
      </w:r>
    </w:p>
    <w:p w14:paraId="31788AA1" w14:textId="77777777" w:rsidR="004B2808" w:rsidRDefault="00000000">
      <w:pPr>
        <w:pStyle w:val="pheading"/>
      </w:pPr>
      <w:r>
        <w:t>AIDE</w:t>
      </w:r>
    </w:p>
    <w:p w14:paraId="786B19C7" w14:textId="77777777" w:rsidR="004B2808" w:rsidRDefault="00000000">
      <w:pPr>
        <w:jc w:val="both"/>
      </w:pPr>
      <w:r>
        <w:t>Compte tenu du comportement au feu particulièrement défavorable de ce type de matériau, l’auteur de projet est attentif à la compatibilité de ces produits avec les exigences prescrites par la règlementation.</w:t>
      </w:r>
    </w:p>
    <w:p w14:paraId="3FC8D896" w14:textId="77777777" w:rsidR="004B2808" w:rsidRDefault="00000000">
      <w:pPr>
        <w:pStyle w:val="Author-eSectionHeading6Numberless"/>
      </w:pPr>
      <w:bookmarkStart w:id="942" w:name="_Toc220491077"/>
      <w:r>
        <w:t>54.31.5a Plafonds suspendus - parement en lames/plaques/panneaux synthétiques - en polystyrène CCTB 01.02</w:t>
      </w:r>
      <w:bookmarkEnd w:id="942"/>
    </w:p>
    <w:p w14:paraId="1729BE8C" w14:textId="77777777" w:rsidR="004B2808" w:rsidRDefault="00000000">
      <w:pPr>
        <w:pStyle w:val="Author-eSectionHeading6Numberless"/>
      </w:pPr>
      <w:bookmarkStart w:id="943" w:name="_Toc220491078"/>
      <w:r>
        <w:t>54.31.5b Plafonds suspendus - parement en lames/plaques/panneaux synthétiques - en pvc CCTB 01.02</w:t>
      </w:r>
      <w:bookmarkEnd w:id="943"/>
    </w:p>
    <w:p w14:paraId="377FC259" w14:textId="77777777" w:rsidR="004B2808" w:rsidRDefault="00000000">
      <w:pPr>
        <w:pStyle w:val="Author-eSectionHeading5Numberless"/>
      </w:pPr>
      <w:bookmarkStart w:id="944" w:name="_Toc220491079"/>
      <w:r>
        <w:t>54.31.6 Plafonds suspendus - parement en lames/plaques/panneaux composites CCTB 01.02</w:t>
      </w:r>
      <w:bookmarkEnd w:id="944"/>
    </w:p>
    <w:p w14:paraId="3B4FA0BB" w14:textId="77777777" w:rsidR="004B2808" w:rsidRDefault="00000000">
      <w:pPr>
        <w:pStyle w:val="Author-eSectionHeading5Numberless"/>
      </w:pPr>
      <w:bookmarkStart w:id="945" w:name="_Toc220491080"/>
      <w:r>
        <w:t>54.31.7 Plafonds suspendus - parement en lames/plaques/panneaux à base de verre CCTB 01.02</w:t>
      </w:r>
      <w:bookmarkEnd w:id="945"/>
    </w:p>
    <w:p w14:paraId="78D5FBF3" w14:textId="77777777" w:rsidR="004B2808" w:rsidRDefault="00000000">
      <w:pPr>
        <w:pStyle w:val="Author-eSectionHeading6Numberless"/>
      </w:pPr>
      <w:bookmarkStart w:id="946" w:name="_Toc220491081"/>
      <w:r>
        <w:t>54.31.7a Plafonds suspendus - parement en lames/plaques/panneaux à base de verre - en verre plein CCTB 01.02</w:t>
      </w:r>
      <w:bookmarkEnd w:id="946"/>
    </w:p>
    <w:p w14:paraId="442F8732" w14:textId="77777777" w:rsidR="004B2808" w:rsidRDefault="00000000">
      <w:pPr>
        <w:pStyle w:val="Author-eSectionHeading6Numberless"/>
      </w:pPr>
      <w:bookmarkStart w:id="947" w:name="_Toc220491082"/>
      <w:r>
        <w:t>54.31.7b Plafonds suspendus - parement en lames/plaques/panneaux à base de verre - miroirs CCTB 01.02</w:t>
      </w:r>
      <w:bookmarkEnd w:id="947"/>
    </w:p>
    <w:p w14:paraId="6E6274FC" w14:textId="77777777" w:rsidR="004B2808" w:rsidRDefault="00000000">
      <w:pPr>
        <w:pStyle w:val="Author-eSectionHeading3Numberless"/>
      </w:pPr>
      <w:bookmarkStart w:id="948" w:name="_Toc220491083"/>
      <w:r>
        <w:t>54.4 Plafonds spécifiques CCTB 01.11</w:t>
      </w:r>
      <w:bookmarkEnd w:id="948"/>
    </w:p>
    <w:p w14:paraId="522ECFFF" w14:textId="77777777" w:rsidR="004B2808" w:rsidRDefault="00000000">
      <w:pPr>
        <w:pStyle w:val="Author-eSectionHeading4Numberless"/>
      </w:pPr>
      <w:bookmarkStart w:id="949" w:name="_Toc220491084"/>
      <w:r>
        <w:t>54.41 Plafonds tendus CCTB 01.12</w:t>
      </w:r>
      <w:bookmarkEnd w:id="949"/>
    </w:p>
    <w:p w14:paraId="68EE4B91" w14:textId="77777777" w:rsidR="004B2808" w:rsidRDefault="00000000">
      <w:pPr>
        <w:pStyle w:val="pheading"/>
      </w:pPr>
      <w:r>
        <w:t>DESCRIPTION</w:t>
      </w:r>
    </w:p>
    <w:p w14:paraId="18D5E307" w14:textId="77777777" w:rsidR="004B2808" w:rsidRDefault="00000000">
      <w:pPr>
        <w:pStyle w:val="pheading"/>
      </w:pPr>
      <w:r>
        <w:t>- Définition / Comprend</w:t>
      </w:r>
    </w:p>
    <w:p w14:paraId="607345DA" w14:textId="77777777" w:rsidR="004B2808" w:rsidRDefault="00000000">
      <w:pPr>
        <w:jc w:val="both"/>
      </w:pPr>
      <w:r>
        <w:lastRenderedPageBreak/>
        <w:t>Le travail comprend notamment :</w:t>
      </w:r>
    </w:p>
    <w:p w14:paraId="414BB2E2" w14:textId="77777777" w:rsidR="004B2808" w:rsidRDefault="00000000">
      <w:pPr>
        <w:pStyle w:val="Author-eListParagraph"/>
        <w:numPr>
          <w:ilvl w:val="0"/>
          <w:numId w:val="743"/>
        </w:numPr>
      </w:pPr>
      <w:r>
        <w:t xml:space="preserve">Les prestations et travaux préparatoires dont : </w:t>
      </w:r>
    </w:p>
    <w:p w14:paraId="101A5727" w14:textId="77777777" w:rsidR="004B2808" w:rsidRDefault="00000000">
      <w:pPr>
        <w:pStyle w:val="Author-eListParagraph"/>
        <w:numPr>
          <w:ilvl w:val="1"/>
          <w:numId w:val="744"/>
        </w:numPr>
      </w:pPr>
      <w:r>
        <w:t>La prise des mesures in situ</w:t>
      </w:r>
    </w:p>
    <w:p w14:paraId="5D8E3ED8" w14:textId="77777777" w:rsidR="004B2808" w:rsidRDefault="00000000">
      <w:pPr>
        <w:pStyle w:val="Author-eListParagraph"/>
        <w:numPr>
          <w:ilvl w:val="1"/>
          <w:numId w:val="744"/>
        </w:numPr>
      </w:pPr>
      <w:r>
        <w:t>La vérification du support (planéité, équerrage, …)</w:t>
      </w:r>
    </w:p>
    <w:p w14:paraId="350DCFD8" w14:textId="77777777" w:rsidR="004B2808" w:rsidRDefault="00000000">
      <w:pPr>
        <w:pStyle w:val="Author-eListParagraph"/>
        <w:numPr>
          <w:ilvl w:val="0"/>
          <w:numId w:val="743"/>
        </w:numPr>
      </w:pPr>
      <w:r>
        <w:t>Les mesures de sécurité ;</w:t>
      </w:r>
    </w:p>
    <w:p w14:paraId="6DEB501B" w14:textId="77777777" w:rsidR="004B2808" w:rsidRDefault="00000000">
      <w:pPr>
        <w:pStyle w:val="Author-eListParagraph"/>
        <w:numPr>
          <w:ilvl w:val="0"/>
          <w:numId w:val="743"/>
        </w:numPr>
      </w:pPr>
      <w:r>
        <w:t>Les moyens d’accès (échafaudages, …) ;</w:t>
      </w:r>
    </w:p>
    <w:p w14:paraId="776D1650" w14:textId="77777777" w:rsidR="004B2808" w:rsidRDefault="00000000">
      <w:pPr>
        <w:pStyle w:val="Author-eListParagraph"/>
        <w:numPr>
          <w:ilvl w:val="0"/>
          <w:numId w:val="743"/>
        </w:numPr>
      </w:pPr>
      <w:r>
        <w:t>Les moyens de manutention ;</w:t>
      </w:r>
    </w:p>
    <w:p w14:paraId="2EFDFAAB" w14:textId="77777777" w:rsidR="004B2808" w:rsidRDefault="00000000">
      <w:pPr>
        <w:pStyle w:val="Author-eListParagraph"/>
        <w:numPr>
          <w:ilvl w:val="0"/>
          <w:numId w:val="743"/>
        </w:numPr>
      </w:pPr>
      <w:r>
        <w:t>Les moyens de protection du bâtiment ;</w:t>
      </w:r>
    </w:p>
    <w:p w14:paraId="6086327C" w14:textId="77777777" w:rsidR="004B2808" w:rsidRDefault="00000000">
      <w:pPr>
        <w:pStyle w:val="Author-eListParagraph"/>
        <w:numPr>
          <w:ilvl w:val="0"/>
          <w:numId w:val="743"/>
        </w:numPr>
      </w:pPr>
      <w:r>
        <w:t>L’entretien des moyens cités ci-avant et leur enlèvement complet en fin de chantier ;</w:t>
      </w:r>
    </w:p>
    <w:p w14:paraId="174B9A03" w14:textId="77777777" w:rsidR="004B2808" w:rsidRDefault="00000000">
      <w:pPr>
        <w:pStyle w:val="Author-eListParagraph"/>
        <w:numPr>
          <w:ilvl w:val="0"/>
          <w:numId w:val="743"/>
        </w:numPr>
      </w:pPr>
      <w:r>
        <w:t>La coordination avec les différents intervenants ;</w:t>
      </w:r>
    </w:p>
    <w:p w14:paraId="4A602C32" w14:textId="77777777" w:rsidR="004B2808" w:rsidRDefault="00000000">
      <w:pPr>
        <w:pStyle w:val="Author-eListParagraph"/>
        <w:numPr>
          <w:ilvl w:val="0"/>
          <w:numId w:val="743"/>
        </w:numPr>
      </w:pPr>
      <w:r>
        <w:t>Les mesures de température et d’humidité de l’air et leur vérification ;</w:t>
      </w:r>
    </w:p>
    <w:p w14:paraId="668C6276" w14:textId="77777777" w:rsidR="004B2808" w:rsidRDefault="00000000">
      <w:pPr>
        <w:pStyle w:val="Author-eListParagraph"/>
        <w:numPr>
          <w:ilvl w:val="0"/>
          <w:numId w:val="743"/>
        </w:numPr>
      </w:pPr>
      <w:r>
        <w:t>La préparation des surfaces selon les indications ci-après ;</w:t>
      </w:r>
    </w:p>
    <w:p w14:paraId="32AA4314" w14:textId="77777777" w:rsidR="004B2808" w:rsidRDefault="00000000">
      <w:pPr>
        <w:pStyle w:val="Author-eListParagraph"/>
        <w:numPr>
          <w:ilvl w:val="0"/>
          <w:numId w:val="743"/>
        </w:numPr>
      </w:pPr>
      <w:r>
        <w:t>La fourniture et la mise en œuvre des revêtements et accessoires ;</w:t>
      </w:r>
    </w:p>
    <w:p w14:paraId="48DC138F" w14:textId="77777777" w:rsidR="004B2808" w:rsidRDefault="00000000">
      <w:pPr>
        <w:pStyle w:val="Author-eListParagraph"/>
        <w:numPr>
          <w:ilvl w:val="0"/>
          <w:numId w:val="743"/>
        </w:numPr>
      </w:pPr>
      <w:r>
        <w:t>L’intégration des éléments techniques (luminaires, bouches de ventilation, …) ;</w:t>
      </w:r>
    </w:p>
    <w:p w14:paraId="3DE71EC1" w14:textId="77777777" w:rsidR="004B2808" w:rsidRDefault="00000000">
      <w:pPr>
        <w:pStyle w:val="Author-eListParagraph"/>
        <w:numPr>
          <w:ilvl w:val="0"/>
          <w:numId w:val="743"/>
        </w:numPr>
      </w:pPr>
      <w:r>
        <w:t>La collecte, le tri et l’évacuation des déchets ;</w:t>
      </w:r>
    </w:p>
    <w:p w14:paraId="6693A8BA" w14:textId="77777777" w:rsidR="004B2808" w:rsidRDefault="00000000">
      <w:pPr>
        <w:pStyle w:val="Author-eListParagraph"/>
        <w:numPr>
          <w:ilvl w:val="0"/>
          <w:numId w:val="743"/>
        </w:numPr>
      </w:pPr>
      <w:r>
        <w:t>Le nettoyage en fin de chantier.</w:t>
      </w:r>
    </w:p>
    <w:p w14:paraId="49BCE6E0" w14:textId="77777777" w:rsidR="004B2808" w:rsidRDefault="00000000">
      <w:pPr>
        <w:jc w:val="both"/>
      </w:pPr>
      <w:r>
        <w:t xml:space="preserve">La fourniture et pose d’un isolant (y compris un molleton) dans le plenum est compris au </w:t>
      </w:r>
      <w:hyperlink w:anchor="73" w:history="1">
        <w:r w:rsidR="004B2808">
          <w:rPr>
            <w:color w:val="0000EE"/>
          </w:rPr>
          <w:t>52.4 Isolation</w:t>
        </w:r>
      </w:hyperlink>
      <w:r>
        <w:t xml:space="preserve"> et suivants.</w:t>
      </w:r>
    </w:p>
    <w:p w14:paraId="6EF1EA27" w14:textId="77777777" w:rsidR="004B2808" w:rsidRDefault="00000000">
      <w:pPr>
        <w:jc w:val="both"/>
      </w:pPr>
      <w:r>
        <w:t xml:space="preserve">Si une préparation particulière des supports est nécessaire, elle est notamment décrite au </w:t>
      </w:r>
      <w:hyperlink w:anchor="1290" w:history="1">
        <w:r w:rsidR="004B2808">
          <w:rPr>
            <w:color w:val="0000EE"/>
          </w:rPr>
          <w:t>54.1 Revêtements de plafonds enduits</w:t>
        </w:r>
      </w:hyperlink>
      <w:r>
        <w:t xml:space="preserve"> et suivants.</w:t>
      </w:r>
    </w:p>
    <w:p w14:paraId="51B0BEA5" w14:textId="77777777" w:rsidR="004B2808" w:rsidRDefault="00000000">
      <w:pPr>
        <w:jc w:val="both"/>
      </w:pPr>
      <w:r>
        <w:t>Livraison, stockage, manutention, fournitures, mise en œuvre sont toujours conformes à la documentation technique qui accompagne le produit.</w:t>
      </w:r>
    </w:p>
    <w:p w14:paraId="048EB01D" w14:textId="77777777" w:rsidR="004B2808" w:rsidRDefault="00000000">
      <w:pPr>
        <w:jc w:val="both"/>
      </w:pPr>
      <w:r>
        <w:t>L’entrepreneur traite et évacue, en dehors du chantier, les déchets issus des travaux conformément au 07 Déchets, matériaux et éléments réemployables et suivants.</w:t>
      </w:r>
    </w:p>
    <w:p w14:paraId="7106F8C9" w14:textId="77777777" w:rsidR="004B2808" w:rsidRDefault="00000000">
      <w:pPr>
        <w:pStyle w:val="pheading"/>
      </w:pPr>
      <w:r>
        <w:t>MATÉRIAUX</w:t>
      </w:r>
    </w:p>
    <w:p w14:paraId="33833653" w14:textId="77777777" w:rsidR="004B2808" w:rsidRDefault="00000000">
      <w:pPr>
        <w:jc w:val="both"/>
      </w:pPr>
      <w:r>
        <w:t>Les différents éléments (profils, accessoires, revêtements, …) font partie d’un ensemble. Ils sont parfaitement compatibles et sont fournis par le même fabricant.</w:t>
      </w:r>
    </w:p>
    <w:p w14:paraId="4BC7D901" w14:textId="77777777" w:rsidR="004B2808" w:rsidRDefault="00000000">
      <w:pPr>
        <w:jc w:val="both"/>
      </w:pPr>
      <w:r>
        <w:rPr>
          <w:b/>
        </w:rPr>
        <w:t>Finitions :</w:t>
      </w:r>
    </w:p>
    <w:p w14:paraId="4CDCE6CF" w14:textId="77777777" w:rsidR="004B2808" w:rsidRDefault="00000000">
      <w:pPr>
        <w:jc w:val="both"/>
      </w:pPr>
      <w:r>
        <w:rPr>
          <w:u w:val="single"/>
        </w:rPr>
        <w:t>Couleurs et décors - Echantillons</w:t>
      </w:r>
    </w:p>
    <w:p w14:paraId="518F7F2C" w14:textId="77777777" w:rsidR="004B2808" w:rsidRDefault="00000000">
      <w:pPr>
        <w:jc w:val="both"/>
      </w:pPr>
      <w:r>
        <w:t>Sauf dispositions contraires, le revêtement est choisi par l’auteur de projet et/ou le maître de l'ouvrage sur présentation d’échantillons fournis préalablement par l’entrepreneur.</w:t>
      </w:r>
    </w:p>
    <w:p w14:paraId="090E8B03" w14:textId="77777777" w:rsidR="004B2808" w:rsidRDefault="00000000">
      <w:pPr>
        <w:pStyle w:val="pheading"/>
      </w:pPr>
      <w:r>
        <w:t>EXÉCUTION / MISE EN ŒUVRE</w:t>
      </w:r>
    </w:p>
    <w:p w14:paraId="0DF7A545" w14:textId="77777777" w:rsidR="004B2808" w:rsidRDefault="00000000">
      <w:pPr>
        <w:jc w:val="both"/>
      </w:pPr>
      <w:r>
        <w:rPr>
          <w:b/>
        </w:rPr>
        <w:t>Généralités :</w:t>
      </w:r>
    </w:p>
    <w:p w14:paraId="708BFDDD" w14:textId="77777777" w:rsidR="004B2808" w:rsidRDefault="00000000">
      <w:pPr>
        <w:jc w:val="both"/>
      </w:pPr>
      <w:r>
        <w:t>L’entrepreneur coordonne ces travaux avec les différents intervenants.</w:t>
      </w:r>
    </w:p>
    <w:p w14:paraId="4596F129" w14:textId="77777777" w:rsidR="004B2808" w:rsidRDefault="00000000">
      <w:pPr>
        <w:jc w:val="both"/>
      </w:pPr>
      <w:r>
        <w:t xml:space="preserve">La température requise pour la pose est ≥ à : </w:t>
      </w:r>
      <w:r>
        <w:rPr>
          <w:rStyle w:val="optioncarChar"/>
        </w:rPr>
        <w:t>12</w:t>
      </w:r>
      <w:r>
        <w:t xml:space="preserve"> (par défaut)</w:t>
      </w:r>
      <w:r>
        <w:rPr>
          <w:rStyle w:val="optioncarChar"/>
        </w:rPr>
        <w:t xml:space="preserve"> / ***</w:t>
      </w:r>
      <w:r>
        <w:t xml:space="preserve"> °C.</w:t>
      </w:r>
    </w:p>
    <w:p w14:paraId="4AAE7EB2" w14:textId="77777777" w:rsidR="004B2808" w:rsidRDefault="00000000">
      <w:pPr>
        <w:jc w:val="both"/>
      </w:pPr>
      <w:r>
        <w:t>Les conditions de pose (aération, humidité, poussière, …) correspondent strictement à la documentation technique qui accompagne le produit.</w:t>
      </w:r>
    </w:p>
    <w:p w14:paraId="233F5379" w14:textId="77777777" w:rsidR="004B2808" w:rsidRDefault="00000000">
      <w:pPr>
        <w:jc w:val="both"/>
      </w:pPr>
      <w:r>
        <w:t>La mise en œuvre est réalisée par des ouvriers qualifiés qui peuvent démontrer une expérience adaptée dans ce domaine.</w:t>
      </w:r>
    </w:p>
    <w:p w14:paraId="4F721682" w14:textId="77777777" w:rsidR="004B2808" w:rsidRDefault="00000000">
      <w:pPr>
        <w:jc w:val="both"/>
      </w:pPr>
      <w:r>
        <w:rPr>
          <w:b/>
        </w:rPr>
        <w:t>Etude préparatoire – Etat des surfaces :</w:t>
      </w:r>
    </w:p>
    <w:p w14:paraId="66D652FD" w14:textId="77777777" w:rsidR="004B2808" w:rsidRDefault="00000000">
      <w:pPr>
        <w:jc w:val="both"/>
      </w:pPr>
      <w:r>
        <w:t>Avant le début des travaux, l’entrepreneur vérifie minutieusement les différentes caractéristiques : planéité, équerrage, état général, …</w:t>
      </w:r>
    </w:p>
    <w:p w14:paraId="473AA4FA" w14:textId="77777777" w:rsidR="004B2808" w:rsidRDefault="00000000">
      <w:pPr>
        <w:jc w:val="both"/>
      </w:pPr>
      <w:r>
        <w:t>Si les conditions de mise en œuvre ne répondent aux règles de l’art, l’entrepreneur fait rapport à la direction des travaux. Les mesures appropriées sont définies en accord avec les différents intervenants.</w:t>
      </w:r>
    </w:p>
    <w:p w14:paraId="2FD7E855" w14:textId="77777777" w:rsidR="004B2808" w:rsidRDefault="00000000">
      <w:pPr>
        <w:jc w:val="both"/>
      </w:pPr>
      <w:r>
        <w:rPr>
          <w:b/>
        </w:rPr>
        <w:t>Mise en œuvre :</w:t>
      </w:r>
    </w:p>
    <w:p w14:paraId="08F8D2BC" w14:textId="77777777" w:rsidR="004B2808" w:rsidRDefault="00000000">
      <w:pPr>
        <w:jc w:val="both"/>
      </w:pPr>
      <w:r>
        <w:rPr>
          <w:u w:val="single"/>
        </w:rPr>
        <w:lastRenderedPageBreak/>
        <w:t>Stockages des revêtements :</w:t>
      </w:r>
    </w:p>
    <w:p w14:paraId="4CB91F35" w14:textId="77777777" w:rsidR="004B2808" w:rsidRDefault="00000000">
      <w:pPr>
        <w:jc w:val="both"/>
      </w:pPr>
      <w:r>
        <w:t>Les revêtements sont entreposés sur les lieux de pose au minimum 48 heures avant la mise en œuvre afin d’atteindre un équilibre hygrothermique suivant les conditions locales d’ambiance.</w:t>
      </w:r>
    </w:p>
    <w:p w14:paraId="74EF14D5" w14:textId="77777777" w:rsidR="004B2808" w:rsidRDefault="00000000">
      <w:pPr>
        <w:jc w:val="both"/>
      </w:pPr>
      <w:r>
        <w:rPr>
          <w:u w:val="single"/>
        </w:rPr>
        <w:t>Préparation des surfaces :</w:t>
      </w:r>
    </w:p>
    <w:p w14:paraId="12FF34C1" w14:textId="77777777" w:rsidR="004B2808" w:rsidRDefault="00000000">
      <w:pPr>
        <w:jc w:val="both"/>
      </w:pPr>
      <w:r>
        <w:t>L’entrepreneur réalise notamment les étapes suivantes :</w:t>
      </w:r>
    </w:p>
    <w:p w14:paraId="63978FE0" w14:textId="77777777" w:rsidR="004B2808" w:rsidRDefault="00000000">
      <w:pPr>
        <w:jc w:val="both"/>
      </w:pPr>
      <w:r>
        <w:t>Obturation de toutes les fissures ou ouvertures (gaines électriques, percements, …) susceptibles d’entretenir un mouvement d’air derrière le revêtement à poser.</w:t>
      </w:r>
    </w:p>
    <w:p w14:paraId="48777451" w14:textId="77777777" w:rsidR="004B2808" w:rsidRDefault="00000000">
      <w:pPr>
        <w:jc w:val="both"/>
      </w:pPr>
      <w:r>
        <w:t>L’étanchéité à l’air du plenum répond à la documentation technique qui accompagne le produit.</w:t>
      </w:r>
    </w:p>
    <w:p w14:paraId="29B62F81" w14:textId="77777777" w:rsidR="004B2808" w:rsidRDefault="00000000">
      <w:pPr>
        <w:jc w:val="both"/>
      </w:pPr>
      <w:r>
        <w:t>En fonction du revêtement à poser (ex. : revêtement présentant une certaine transparence ; lorsqu’il n’est pas fait usage d’un isolant / molleton ; …), la teinte du subjectile est uniformisée, de préférence dans la tonalité principale du revêtement à poser et de manière à éviter des nuançages pour des revêtements présentant une certaine transparence.</w:t>
      </w:r>
    </w:p>
    <w:p w14:paraId="4D4926CD" w14:textId="77777777" w:rsidR="004B2808" w:rsidRDefault="00000000">
      <w:pPr>
        <w:jc w:val="both"/>
      </w:pPr>
      <w:r>
        <w:rPr>
          <w:u w:val="single"/>
        </w:rPr>
        <w:t>Reconnaissance / Découpe / Assemblage du revêtement :</w:t>
      </w:r>
    </w:p>
    <w:p w14:paraId="0A62767E" w14:textId="77777777" w:rsidR="004B2808" w:rsidRDefault="00000000">
      <w:pPr>
        <w:jc w:val="both"/>
      </w:pPr>
      <w:r>
        <w:t>Avant la pose du revêtement, l’entrepreneur repère les éventuels défauts et les élimine.</w:t>
      </w:r>
    </w:p>
    <w:p w14:paraId="7E688873" w14:textId="77777777" w:rsidR="004B2808" w:rsidRDefault="00000000">
      <w:pPr>
        <w:jc w:val="both"/>
      </w:pPr>
      <w:r>
        <w:t>Le revêtement est découpé suivant un fil de trame avec un excédent de 10 à 15 cm par rapport à la surface à couvrir.</w:t>
      </w:r>
    </w:p>
    <w:p w14:paraId="0B47AB53" w14:textId="77777777" w:rsidR="004B2808" w:rsidRDefault="00000000">
      <w:pPr>
        <w:jc w:val="both"/>
      </w:pPr>
      <w:r>
        <w:t>En fonction de leurs dimensions, les divers lés sont alors assemblés de façon droite, en veillant, d’une part, à ce qu’aucune couture ne soit positionnée à moins de 10 cm d’un angle et, d’autre part, à respecter la continuité du motif décoratif s’il existe.</w:t>
      </w:r>
    </w:p>
    <w:p w14:paraId="57845941" w14:textId="77777777" w:rsidR="004B2808" w:rsidRDefault="00000000">
      <w:pPr>
        <w:jc w:val="both"/>
      </w:pPr>
      <w:r>
        <w:t>Avant le début des travaux, l’entrepreneur soumet une proposition de raccord entre les lés à la direction des travaux.</w:t>
      </w:r>
    </w:p>
    <w:p w14:paraId="0B61051B" w14:textId="77777777" w:rsidR="004B2808" w:rsidRDefault="00000000">
      <w:pPr>
        <w:jc w:val="both"/>
      </w:pPr>
      <w:r>
        <w:rPr>
          <w:u w:val="single"/>
        </w:rPr>
        <w:t>Intégration des éléments techniques :</w:t>
      </w:r>
    </w:p>
    <w:p w14:paraId="240DA544" w14:textId="77777777" w:rsidR="004B2808" w:rsidRDefault="00000000">
      <w:pPr>
        <w:jc w:val="both"/>
      </w:pPr>
      <w:r>
        <w:t>Avant le début des travaux, l’entrepreneur vérifie les différents éléments à intégrer (luminaires, bouches de ventilation, accessoires, trappe d’accès, …)</w:t>
      </w:r>
    </w:p>
    <w:p w14:paraId="3A89EDFB" w14:textId="77777777" w:rsidR="004B2808" w:rsidRDefault="00000000">
      <w:pPr>
        <w:jc w:val="both"/>
      </w:pPr>
      <w:r>
        <w:t>Si ces éléments ne sont pas compatibles avec les plafonds tendus (au niveau encombrement, température, étanchéité, …), l’entrepreneur fait rapport à la direction des travaux. Les mesures nécessaires à la mise en œuvre des plafonds tendus sont définies en accord avec les différents intervenants.</w:t>
      </w:r>
    </w:p>
    <w:p w14:paraId="587B8C93" w14:textId="77777777" w:rsidR="004B2808" w:rsidRDefault="00000000">
      <w:pPr>
        <w:jc w:val="both"/>
      </w:pPr>
      <w:r>
        <w:t>En concertation avec les différents intervenants, la position de ces éléments est définie avec précision.</w:t>
      </w:r>
    </w:p>
    <w:p w14:paraId="16CCCDCE" w14:textId="77777777" w:rsidR="004B2808" w:rsidRDefault="00000000">
      <w:pPr>
        <w:jc w:val="both"/>
      </w:pPr>
      <w:r>
        <w:t>L’entrepreneur installe les sous-constructions nécessaires et adaptées.</w:t>
      </w:r>
    </w:p>
    <w:p w14:paraId="4A00089D" w14:textId="77777777" w:rsidR="004B2808" w:rsidRDefault="00000000">
      <w:pPr>
        <w:jc w:val="both"/>
      </w:pPr>
      <w:r>
        <w:t xml:space="preserve"> L’ensemble est réalisé selon les documentations techniques qui accompagnent les différents produits.</w:t>
      </w:r>
    </w:p>
    <w:p w14:paraId="7E575263" w14:textId="77777777" w:rsidR="004B2808" w:rsidRDefault="00000000">
      <w:pPr>
        <w:pStyle w:val="Author-eSectionHeading5Numberless"/>
      </w:pPr>
      <w:bookmarkStart w:id="950" w:name="_Toc220491085"/>
      <w:r>
        <w:t>54.41.1 Plafonds tendus en matière synthétique CCTB 01.11</w:t>
      </w:r>
      <w:bookmarkEnd w:id="950"/>
    </w:p>
    <w:p w14:paraId="77009A9F" w14:textId="77777777" w:rsidR="004B2808" w:rsidRDefault="00000000">
      <w:pPr>
        <w:pStyle w:val="Author-eSectionHeading6Numberless"/>
      </w:pPr>
      <w:bookmarkStart w:id="951" w:name="_Toc220491086"/>
      <w:r>
        <w:t>54.41.1a Plafonds tendus en matière synthétique CCTB 01.12</w:t>
      </w:r>
      <w:bookmarkEnd w:id="951"/>
    </w:p>
    <w:p w14:paraId="6D38ACF0" w14:textId="77777777" w:rsidR="004B2808" w:rsidRDefault="00000000">
      <w:pPr>
        <w:pStyle w:val="pheading"/>
      </w:pPr>
      <w:r>
        <w:t>DESCRIPTION</w:t>
      </w:r>
    </w:p>
    <w:p w14:paraId="324F51AC" w14:textId="77777777" w:rsidR="004B2808" w:rsidRDefault="00000000">
      <w:pPr>
        <w:pStyle w:val="pheading"/>
      </w:pPr>
      <w:r>
        <w:t>- Définition / Comprend</w:t>
      </w:r>
    </w:p>
    <w:p w14:paraId="27FD0F46" w14:textId="77777777" w:rsidR="004B2808" w:rsidRDefault="00000000">
      <w:pPr>
        <w:jc w:val="both"/>
      </w:pPr>
      <w:r>
        <w:t>Il s'agit de la fourniture et de la pose de plafonds intérieurs tendus, constitués de matière synthétique.</w:t>
      </w:r>
    </w:p>
    <w:p w14:paraId="323FB776" w14:textId="77777777" w:rsidR="004B2808" w:rsidRDefault="00000000">
      <w:pPr>
        <w:pStyle w:val="pheading"/>
      </w:pPr>
      <w:r>
        <w:t>MATÉRIAUX</w:t>
      </w:r>
    </w:p>
    <w:p w14:paraId="516E0B33" w14:textId="77777777" w:rsidR="004B2808" w:rsidRDefault="00000000">
      <w:pPr>
        <w:pStyle w:val="pheading"/>
      </w:pPr>
      <w:r>
        <w:t>- Caractéristiques générales</w:t>
      </w:r>
    </w:p>
    <w:p w14:paraId="05B07B7F" w14:textId="77777777" w:rsidR="004B2808" w:rsidRDefault="00000000">
      <w:r>
        <w:rPr>
          <w:b/>
        </w:rPr>
        <w:t>Toile :</w:t>
      </w:r>
      <w:r>
        <w:br/>
        <w:t xml:space="preserve">Matériau : </w:t>
      </w:r>
      <w:r>
        <w:rPr>
          <w:rStyle w:val="optioncarChar"/>
        </w:rPr>
        <w:t xml:space="preserve">Polyester </w:t>
      </w:r>
      <w:r>
        <w:t>(par défaut)</w:t>
      </w:r>
      <w:r>
        <w:rPr>
          <w:rStyle w:val="optioncarChar"/>
        </w:rPr>
        <w:t xml:space="preserve"> / PVC / ***</w:t>
      </w:r>
    </w:p>
    <w:p w14:paraId="5E7E740D" w14:textId="77777777" w:rsidR="004B2808" w:rsidRDefault="00000000">
      <w:r>
        <w:rPr>
          <w:b/>
        </w:rPr>
        <w:t>(soit par défaut)</w:t>
      </w:r>
      <w:r>
        <w:br/>
      </w:r>
      <w:r>
        <w:rPr>
          <w:rStyle w:val="soitChar"/>
          <w:u w:val="single"/>
        </w:rPr>
        <w:t>Polyester :</w:t>
      </w:r>
      <w:r>
        <w:br/>
      </w:r>
      <w:r>
        <w:rPr>
          <w:rStyle w:val="soitChar"/>
        </w:rPr>
        <w:lastRenderedPageBreak/>
        <w:t>La toile est constituée de fibres polyester tissées.</w:t>
      </w:r>
      <w:r>
        <w:br/>
      </w:r>
      <w:r>
        <w:rPr>
          <w:rStyle w:val="soitChar"/>
        </w:rPr>
        <w:t xml:space="preserve">Avec couche protectrice en polyuréthane : </w:t>
      </w:r>
      <w:r>
        <w:rPr>
          <w:rStyle w:val="optioncarChar"/>
        </w:rPr>
        <w:t xml:space="preserve">oui </w:t>
      </w:r>
      <w:r>
        <w:t>(par défaut)</w:t>
      </w:r>
      <w:r>
        <w:rPr>
          <w:rStyle w:val="optioncarChar"/>
        </w:rPr>
        <w:t xml:space="preserve"> / non</w:t>
      </w:r>
      <w:r>
        <w:br/>
      </w:r>
      <w:r>
        <w:rPr>
          <w:rStyle w:val="soitChar"/>
        </w:rPr>
        <w:t xml:space="preserve">Classe de réaction au feu : </w:t>
      </w:r>
      <w:r>
        <w:rPr>
          <w:rStyle w:val="optioncarChar"/>
        </w:rPr>
        <w:t xml:space="preserve">B-s1, d0 </w:t>
      </w:r>
      <w:r>
        <w:t xml:space="preserve">(par défaut) </w:t>
      </w:r>
      <w:r>
        <w:rPr>
          <w:rStyle w:val="optioncarChar"/>
        </w:rPr>
        <w:t>/ B-s2, d0 / B-s3, d0 / ***</w:t>
      </w:r>
      <w:r>
        <w:br/>
      </w:r>
      <w:r>
        <w:rPr>
          <w:rStyle w:val="soitChar"/>
        </w:rPr>
        <w:t xml:space="preserve">Masse surfacique +/- : </w:t>
      </w:r>
      <w:r>
        <w:rPr>
          <w:rStyle w:val="optioncarChar"/>
        </w:rPr>
        <w:t xml:space="preserve">50 / 130 / 150 / 180 / 200 / 250 </w:t>
      </w:r>
      <w:r>
        <w:t xml:space="preserve">(par défaut) </w:t>
      </w:r>
      <w:r>
        <w:rPr>
          <w:rStyle w:val="optioncarChar"/>
        </w:rPr>
        <w:t>/ ***</w:t>
      </w:r>
      <w:r>
        <w:rPr>
          <w:rStyle w:val="soitChar"/>
        </w:rPr>
        <w:t>g/m²</w:t>
      </w:r>
      <w:r>
        <w:br/>
      </w:r>
      <w:r>
        <w:rPr>
          <w:rStyle w:val="soitChar"/>
        </w:rPr>
        <w:t xml:space="preserve">Epaisseur +/- : </w:t>
      </w:r>
      <w:r>
        <w:rPr>
          <w:rStyle w:val="optioncarChar"/>
        </w:rPr>
        <w:t>0,15 / 0,35</w:t>
      </w:r>
      <w:r>
        <w:t xml:space="preserve"> (par défaut) </w:t>
      </w:r>
      <w:r>
        <w:rPr>
          <w:rStyle w:val="optioncarChar"/>
        </w:rPr>
        <w:t>/ 0,40 / 0,5 / ***</w:t>
      </w:r>
      <w:r>
        <w:rPr>
          <w:rStyle w:val="soitChar"/>
        </w:rPr>
        <w:t xml:space="preserve"> mm</w:t>
      </w:r>
      <w:r>
        <w:br/>
      </w:r>
      <w:r>
        <w:rPr>
          <w:rStyle w:val="soitChar"/>
        </w:rPr>
        <w:t xml:space="preserve">Translucide +/- : </w:t>
      </w:r>
      <w:r>
        <w:rPr>
          <w:rStyle w:val="optioncarChar"/>
        </w:rPr>
        <w:t xml:space="preserve">0 </w:t>
      </w:r>
      <w:r>
        <w:t>(par défaut)</w:t>
      </w:r>
      <w:r>
        <w:rPr>
          <w:rStyle w:val="optioncarChar"/>
        </w:rPr>
        <w:t xml:space="preserve"> / 15 / 35 / 70 / ***</w:t>
      </w:r>
      <w:r>
        <w:rPr>
          <w:rStyle w:val="soitChar"/>
        </w:rPr>
        <w:t xml:space="preserve"> %</w:t>
      </w:r>
      <w:r>
        <w:br/>
      </w:r>
      <w:r>
        <w:rPr>
          <w:rStyle w:val="soitChar"/>
        </w:rPr>
        <w:t xml:space="preserve">Toxicité (COV) : </w:t>
      </w:r>
      <w:r>
        <w:rPr>
          <w:rStyle w:val="optioncarChar"/>
        </w:rPr>
        <w:t xml:space="preserve">A+ </w:t>
      </w:r>
      <w:r>
        <w:t xml:space="preserve">(par défaut) </w:t>
      </w:r>
      <w:r>
        <w:rPr>
          <w:rStyle w:val="optioncarChar"/>
        </w:rPr>
        <w:t>/ ***</w:t>
      </w:r>
      <w:r>
        <w:br/>
      </w:r>
      <w:r>
        <w:rPr>
          <w:b/>
        </w:rPr>
        <w:t>(soit)</w:t>
      </w:r>
      <w:r>
        <w:br/>
      </w:r>
      <w:r>
        <w:rPr>
          <w:rStyle w:val="soitChar"/>
          <w:u w:val="single"/>
        </w:rPr>
        <w:t>PVC :</w:t>
      </w:r>
      <w:r>
        <w:br/>
      </w:r>
      <w:r>
        <w:rPr>
          <w:rStyle w:val="soitChar"/>
        </w:rPr>
        <w:t>La toile est constituée de PVC (polychlorure de vinyle).</w:t>
      </w:r>
      <w:r>
        <w:br/>
      </w:r>
      <w:r>
        <w:rPr>
          <w:rStyle w:val="soitChar"/>
        </w:rPr>
        <w:t xml:space="preserve">Classe de réaction au feu : </w:t>
      </w:r>
      <w:r>
        <w:rPr>
          <w:rStyle w:val="optioncarChar"/>
        </w:rPr>
        <w:t>B-s1, d0</w:t>
      </w:r>
      <w:r>
        <w:t xml:space="preserve"> (par défaut)</w:t>
      </w:r>
      <w:r>
        <w:rPr>
          <w:rStyle w:val="optioncarChar"/>
        </w:rPr>
        <w:t xml:space="preserve"> / B-s2, d0 / B-s3, d0 / ***</w:t>
      </w:r>
      <w:r>
        <w:br/>
      </w:r>
      <w:r>
        <w:rPr>
          <w:rStyle w:val="soitChar"/>
        </w:rPr>
        <w:t xml:space="preserve">Masse surfacique +/- : </w:t>
      </w:r>
      <w:r>
        <w:rPr>
          <w:rStyle w:val="optioncarChar"/>
        </w:rPr>
        <w:t xml:space="preserve">450 </w:t>
      </w:r>
      <w:r>
        <w:t>(par défaut)</w:t>
      </w:r>
      <w:r>
        <w:rPr>
          <w:rStyle w:val="optioncarChar"/>
        </w:rPr>
        <w:t xml:space="preserve"> / ***</w:t>
      </w:r>
      <w:r>
        <w:rPr>
          <w:rStyle w:val="soitChar"/>
        </w:rPr>
        <w:t xml:space="preserve"> g/m²</w:t>
      </w:r>
      <w:r>
        <w:br/>
      </w:r>
      <w:r>
        <w:rPr>
          <w:rStyle w:val="soitChar"/>
        </w:rPr>
        <w:t xml:space="preserve">Epaisseur +/- : </w:t>
      </w:r>
      <w:r>
        <w:rPr>
          <w:rStyle w:val="optioncarChar"/>
        </w:rPr>
        <w:t xml:space="preserve">0,75 </w:t>
      </w:r>
      <w:r>
        <w:t>(par défaut)</w:t>
      </w:r>
      <w:r>
        <w:rPr>
          <w:rStyle w:val="optioncarChar"/>
        </w:rPr>
        <w:t xml:space="preserve"> / ***</w:t>
      </w:r>
      <w:r>
        <w:rPr>
          <w:rStyle w:val="soitChar"/>
        </w:rPr>
        <w:t xml:space="preserve"> mm</w:t>
      </w:r>
      <w:r>
        <w:br/>
      </w:r>
      <w:r>
        <w:rPr>
          <w:rStyle w:val="soitChar"/>
        </w:rPr>
        <w:t xml:space="preserve">Toxicité (COV) : </w:t>
      </w:r>
      <w:r>
        <w:rPr>
          <w:rStyle w:val="optioncarChar"/>
        </w:rPr>
        <w:t xml:space="preserve">A+ </w:t>
      </w:r>
      <w:r>
        <w:t xml:space="preserve">(par défaut) </w:t>
      </w:r>
      <w:r>
        <w:rPr>
          <w:rStyle w:val="optioncarChar"/>
        </w:rPr>
        <w:t>/ ***</w:t>
      </w:r>
    </w:p>
    <w:p w14:paraId="34370A6A" w14:textId="77777777" w:rsidR="004B2808" w:rsidRDefault="00000000">
      <w:r>
        <w:rPr>
          <w:b/>
        </w:rPr>
        <w:t>Profils de support / Accessoires / Sous-constructions :</w:t>
      </w:r>
      <w:r>
        <w:br/>
        <w:t xml:space="preserve">Matériau : </w:t>
      </w:r>
      <w:r>
        <w:rPr>
          <w:rStyle w:val="optioncarChar"/>
        </w:rPr>
        <w:t xml:space="preserve">aluminium </w:t>
      </w:r>
      <w:r>
        <w:t>(par défaut)</w:t>
      </w:r>
      <w:r>
        <w:rPr>
          <w:rStyle w:val="optioncarChar"/>
        </w:rPr>
        <w:t xml:space="preserve"> / bois / matière plastique / ***</w:t>
      </w:r>
    </w:p>
    <w:p w14:paraId="3E97495E" w14:textId="77777777" w:rsidR="004B2808" w:rsidRDefault="00000000">
      <w:r>
        <w:t>L’entrepreneur détermine les profils de support, accessoires, sous-constructions, … à mettre en œuvre en fonction du travail à réaliser.</w:t>
      </w:r>
      <w:r>
        <w:br/>
        <w:t>Les caractéristiques (encombrement, matériau, couleur, étanchéité (air et lumière), …) de ces éléments n’entravent pas la mise en œuvre des plafonds tendus, en particulier pour les éléments non standard.</w:t>
      </w:r>
    </w:p>
    <w:p w14:paraId="4CE67237" w14:textId="77777777" w:rsidR="004B2808" w:rsidRDefault="00000000">
      <w:pPr>
        <w:pStyle w:val="pheading"/>
      </w:pPr>
      <w:r>
        <w:t>- Finitions</w:t>
      </w:r>
    </w:p>
    <w:p w14:paraId="3FB8845E" w14:textId="77777777" w:rsidR="004B2808" w:rsidRDefault="00000000">
      <w:pPr>
        <w:jc w:val="both"/>
      </w:pPr>
      <w:r>
        <w:rPr>
          <w:b/>
        </w:rPr>
        <w:t>Toile :</w:t>
      </w:r>
    </w:p>
    <w:p w14:paraId="24BAE291" w14:textId="77777777" w:rsidR="004B2808" w:rsidRDefault="00000000">
      <w:pPr>
        <w:pStyle w:val="Author-eListParagraph"/>
        <w:numPr>
          <w:ilvl w:val="0"/>
          <w:numId w:val="745"/>
        </w:numPr>
      </w:pPr>
      <w:r>
        <w:t xml:space="preserve">Teinte : </w:t>
      </w:r>
      <w:r>
        <w:rPr>
          <w:rStyle w:val="optioncarChar"/>
        </w:rPr>
        <w:t>au choix dans le nuancier de base du fabricant</w:t>
      </w:r>
      <w:r>
        <w:t xml:space="preserve"> (par défaut) </w:t>
      </w:r>
      <w:r>
        <w:rPr>
          <w:rStyle w:val="optioncarChar"/>
        </w:rPr>
        <w:t>/ ***</w:t>
      </w:r>
    </w:p>
    <w:p w14:paraId="3092950A" w14:textId="77777777" w:rsidR="004B2808" w:rsidRDefault="00000000">
      <w:pPr>
        <w:pStyle w:val="Author-eListParagraph"/>
        <w:numPr>
          <w:ilvl w:val="0"/>
          <w:numId w:val="745"/>
        </w:numPr>
      </w:pPr>
      <w:r>
        <w:t xml:space="preserve">Finition : </w:t>
      </w:r>
      <w:r>
        <w:rPr>
          <w:rStyle w:val="optioncarChar"/>
        </w:rPr>
        <w:t xml:space="preserve">mat </w:t>
      </w:r>
      <w:r>
        <w:t xml:space="preserve">(par défaut) </w:t>
      </w:r>
      <w:r>
        <w:rPr>
          <w:rStyle w:val="optioncarChar"/>
        </w:rPr>
        <w:t>/ satiné / laqué / métal / daim / translucide / ***</w:t>
      </w:r>
    </w:p>
    <w:p w14:paraId="026C7B9A" w14:textId="77777777" w:rsidR="004B2808" w:rsidRDefault="00000000">
      <w:pPr>
        <w:jc w:val="both"/>
      </w:pPr>
      <w:r>
        <w:rPr>
          <w:b/>
        </w:rPr>
        <w:t>Profils de support / Accessoires / Sous-constructions :</w:t>
      </w:r>
    </w:p>
    <w:p w14:paraId="16CE63B1" w14:textId="77777777" w:rsidR="004B2808" w:rsidRDefault="00000000">
      <w:pPr>
        <w:pStyle w:val="Author-eListParagraph"/>
        <w:numPr>
          <w:ilvl w:val="0"/>
          <w:numId w:val="746"/>
        </w:numPr>
        <w:jc w:val="both"/>
      </w:pPr>
      <w:r>
        <w:t xml:space="preserve">Teinte : </w:t>
      </w:r>
      <w:r>
        <w:rPr>
          <w:rStyle w:val="optioncarChar"/>
        </w:rPr>
        <w:t xml:space="preserve">au choix dans le nuancier de base du fabricant </w:t>
      </w:r>
      <w:r>
        <w:t>(par défaut)</w:t>
      </w:r>
      <w:r>
        <w:rPr>
          <w:rStyle w:val="optioncarChar"/>
        </w:rPr>
        <w:t xml:space="preserve"> / ***</w:t>
      </w:r>
    </w:p>
    <w:p w14:paraId="06D33F3E" w14:textId="77777777" w:rsidR="004B2808" w:rsidRDefault="00000000">
      <w:pPr>
        <w:pStyle w:val="Author-eListParagraph"/>
        <w:numPr>
          <w:ilvl w:val="0"/>
          <w:numId w:val="746"/>
        </w:numPr>
        <w:jc w:val="both"/>
      </w:pPr>
      <w:r>
        <w:t xml:space="preserve">Finition : </w:t>
      </w:r>
      <w:r>
        <w:rPr>
          <w:rStyle w:val="optioncarChar"/>
        </w:rPr>
        <w:t xml:space="preserve">au choix dans le nuancier de base du fabricant </w:t>
      </w:r>
      <w:r>
        <w:t xml:space="preserve">(par défaut) </w:t>
      </w:r>
      <w:r>
        <w:rPr>
          <w:rStyle w:val="optioncarChar"/>
        </w:rPr>
        <w:t>/ ***</w:t>
      </w:r>
    </w:p>
    <w:p w14:paraId="712DF201" w14:textId="77777777" w:rsidR="004B2808" w:rsidRDefault="00000000">
      <w:pPr>
        <w:pStyle w:val="pheading"/>
      </w:pPr>
      <w:r>
        <w:t>EXÉCUTION / MISE EN ŒUVRE</w:t>
      </w:r>
    </w:p>
    <w:p w14:paraId="0AAA1152" w14:textId="77777777" w:rsidR="004B2808" w:rsidRDefault="00000000">
      <w:pPr>
        <w:pStyle w:val="pheading"/>
      </w:pPr>
      <w:r>
        <w:t>- Prescriptions générales</w:t>
      </w:r>
    </w:p>
    <w:p w14:paraId="39671B21" w14:textId="77777777" w:rsidR="004B2808" w:rsidRDefault="00000000">
      <w:pPr>
        <w:jc w:val="both"/>
      </w:pPr>
      <w:r>
        <w:rPr>
          <w:b/>
        </w:rPr>
        <w:t>Pose tendue - Principes :</w:t>
      </w:r>
    </w:p>
    <w:p w14:paraId="43889E80" w14:textId="77777777" w:rsidR="004B2808" w:rsidRDefault="00000000">
      <w:pPr>
        <w:jc w:val="both"/>
      </w:pPr>
      <w:r>
        <w:t xml:space="preserve">Selon la documentation technique qui accompagne le produit, la toile est tendue : </w:t>
      </w:r>
      <w:r>
        <w:rPr>
          <w:rStyle w:val="optioncarChar"/>
        </w:rPr>
        <w:t>à froid</w:t>
      </w:r>
      <w:r>
        <w:t xml:space="preserve"> (par défaut)</w:t>
      </w:r>
      <w:r>
        <w:rPr>
          <w:rStyle w:val="optioncarChar"/>
        </w:rPr>
        <w:t xml:space="preserve"> / sous l’effet de la chaleur.</w:t>
      </w:r>
    </w:p>
    <w:p w14:paraId="6B356259" w14:textId="77777777" w:rsidR="004B2808" w:rsidRDefault="00000000">
      <w:pPr>
        <w:jc w:val="both"/>
      </w:pPr>
      <w:r>
        <w:rPr>
          <w:b/>
        </w:rPr>
        <w:t>(soit par défaut)</w:t>
      </w:r>
    </w:p>
    <w:p w14:paraId="7A0AE5F7" w14:textId="77777777" w:rsidR="004B2808" w:rsidRDefault="00000000">
      <w:pPr>
        <w:jc w:val="both"/>
      </w:pPr>
      <w:r>
        <w:rPr>
          <w:rStyle w:val="soitChar"/>
          <w:u w:val="single"/>
        </w:rPr>
        <w:t>A froid :</w:t>
      </w:r>
    </w:p>
    <w:p w14:paraId="0F253BD4" w14:textId="77777777" w:rsidR="004B2808" w:rsidRDefault="00000000">
      <w:pPr>
        <w:jc w:val="both"/>
      </w:pPr>
      <w:r>
        <w:rPr>
          <w:rStyle w:val="soitChar"/>
        </w:rPr>
        <w:t>Le travail est réalisé à température ambiante.</w:t>
      </w:r>
    </w:p>
    <w:p w14:paraId="2274FAAD" w14:textId="77777777" w:rsidR="004B2808" w:rsidRDefault="00000000">
      <w:pPr>
        <w:jc w:val="both"/>
      </w:pPr>
      <w:r>
        <w:rPr>
          <w:rStyle w:val="soitChar"/>
        </w:rPr>
        <w:t>L’entrepreneur procède à une prétension manuelle du revêtement. Il bloque ensuite le revêtement dans cette position avant de pratiquer la fixation finale.</w:t>
      </w:r>
    </w:p>
    <w:p w14:paraId="7CC17D56" w14:textId="77777777" w:rsidR="004B2808" w:rsidRDefault="00000000">
      <w:pPr>
        <w:jc w:val="both"/>
      </w:pPr>
      <w:r>
        <w:rPr>
          <w:b/>
        </w:rPr>
        <w:t>(soit)</w:t>
      </w:r>
    </w:p>
    <w:p w14:paraId="25F238D1" w14:textId="77777777" w:rsidR="004B2808" w:rsidRDefault="00000000">
      <w:pPr>
        <w:jc w:val="both"/>
      </w:pPr>
      <w:r>
        <w:rPr>
          <w:rStyle w:val="soitChar"/>
          <w:u w:val="single"/>
        </w:rPr>
        <w:t>Sous l’effet de la chaleur :</w:t>
      </w:r>
    </w:p>
    <w:p w14:paraId="587A650B" w14:textId="77777777" w:rsidR="004B2808" w:rsidRDefault="00000000">
      <w:pPr>
        <w:jc w:val="both"/>
      </w:pPr>
      <w:r>
        <w:rPr>
          <w:rStyle w:val="soitChar"/>
        </w:rPr>
        <w:t>Pour obtenir la tension finale, une source de chaleur est régulièrement répartie dans la pièce. En se refroidissant, le résultat de l’effet thermique tend le revêtement thermo-rétractable. </w:t>
      </w:r>
    </w:p>
    <w:p w14:paraId="6A833CE5" w14:textId="77777777" w:rsidR="004B2808" w:rsidRDefault="00000000">
      <w:pPr>
        <w:jc w:val="both"/>
      </w:pPr>
      <w:r>
        <w:t>Au final, la pose conduit à une traction uniformément répartie sur toute la surface qui devient également rigoureusement plane.</w:t>
      </w:r>
    </w:p>
    <w:p w14:paraId="47C41E98" w14:textId="77777777" w:rsidR="004B2808" w:rsidRDefault="00000000">
      <w:pPr>
        <w:jc w:val="both"/>
      </w:pPr>
      <w:r>
        <w:rPr>
          <w:b/>
        </w:rPr>
        <w:t>Position du revêtement tendu :</w:t>
      </w:r>
    </w:p>
    <w:p w14:paraId="49D67B4B" w14:textId="77777777" w:rsidR="004B2808" w:rsidRDefault="00000000">
      <w:pPr>
        <w:jc w:val="both"/>
      </w:pPr>
      <w:r>
        <w:t xml:space="preserve">Niveau de pose : </w:t>
      </w:r>
      <w:r>
        <w:rPr>
          <w:rStyle w:val="optioncarChar"/>
        </w:rPr>
        <w:t>selon indications aux plans</w:t>
      </w:r>
      <w:r>
        <w:t xml:space="preserve"> (par défaut) </w:t>
      </w:r>
      <w:r>
        <w:rPr>
          <w:rStyle w:val="optioncarChar"/>
        </w:rPr>
        <w:t>/ ***</w:t>
      </w:r>
    </w:p>
    <w:p w14:paraId="4444D06D" w14:textId="77777777" w:rsidR="004B2808" w:rsidRDefault="00000000">
      <w:pPr>
        <w:jc w:val="both"/>
      </w:pPr>
      <w:r>
        <w:lastRenderedPageBreak/>
        <w:t xml:space="preserve">Distance entre le revêtement et le support (hauteur du plenum) : </w:t>
      </w:r>
      <w:r>
        <w:rPr>
          <w:rStyle w:val="optioncarChar"/>
        </w:rPr>
        <w:t>selon indications aux plans</w:t>
      </w:r>
      <w:r>
        <w:t xml:space="preserve"> (par défaut)</w:t>
      </w:r>
      <w:r>
        <w:rPr>
          <w:rStyle w:val="optioncarChar"/>
        </w:rPr>
        <w:t xml:space="preserve"> / 10 / 20 / 30 / 40 / 50 / *** mm</w:t>
      </w:r>
    </w:p>
    <w:p w14:paraId="1EFCB9D2" w14:textId="77777777" w:rsidR="004B2808" w:rsidRDefault="00000000">
      <w:pPr>
        <w:jc w:val="both"/>
      </w:pPr>
      <w:r>
        <w:rPr>
          <w:b/>
        </w:rPr>
        <w:t>Fixation du revêtement tendu :</w:t>
      </w:r>
    </w:p>
    <w:p w14:paraId="6071670F" w14:textId="77777777" w:rsidR="004B2808" w:rsidRDefault="00000000">
      <w:pPr>
        <w:jc w:val="both"/>
      </w:pPr>
      <w:r>
        <w:t>Le revêtement est fixé à l’aide de profils de support (lisses, languettes, …) adaptés à l’usage.</w:t>
      </w:r>
    </w:p>
    <w:p w14:paraId="798B8602" w14:textId="77777777" w:rsidR="004B2808" w:rsidRDefault="00000000">
      <w:pPr>
        <w:jc w:val="both"/>
      </w:pPr>
      <w:r>
        <w:t>Ces profils sont découpés à la longueur voulue et placés au pourtour de la surface à revêtir, ainsi qu’au pourtour des éventuelles ouvertures ou baies.</w:t>
      </w:r>
    </w:p>
    <w:p w14:paraId="78A0F994" w14:textId="77777777" w:rsidR="004B2808" w:rsidRDefault="00000000">
      <w:pPr>
        <w:pStyle w:val="Author-eListParagraph"/>
        <w:numPr>
          <w:ilvl w:val="0"/>
          <w:numId w:val="747"/>
        </w:numPr>
        <w:jc w:val="both"/>
      </w:pPr>
      <w:r>
        <w:t xml:space="preserve">Lisse de fixation de type : </w:t>
      </w:r>
      <w:r>
        <w:rPr>
          <w:rStyle w:val="optioncarChar"/>
        </w:rPr>
        <w:t xml:space="preserve">invisible </w:t>
      </w:r>
      <w:r>
        <w:t xml:space="preserve">(par défaut) </w:t>
      </w:r>
      <w:r>
        <w:rPr>
          <w:rStyle w:val="optioncarChar"/>
        </w:rPr>
        <w:t>/visible / ***</w:t>
      </w:r>
    </w:p>
    <w:p w14:paraId="52939089" w14:textId="77777777" w:rsidR="004B2808" w:rsidRDefault="00000000">
      <w:pPr>
        <w:pStyle w:val="Author-eListParagraph"/>
        <w:numPr>
          <w:ilvl w:val="0"/>
          <w:numId w:val="747"/>
        </w:numPr>
        <w:jc w:val="both"/>
      </w:pPr>
      <w:r>
        <w:t xml:space="preserve">Fixation par : </w:t>
      </w:r>
      <w:r>
        <w:rPr>
          <w:rStyle w:val="optioncarChar"/>
        </w:rPr>
        <w:t xml:space="preserve">vissage </w:t>
      </w:r>
      <w:r>
        <w:t>(par défaut)</w:t>
      </w:r>
      <w:r>
        <w:rPr>
          <w:rStyle w:val="optioncarChar"/>
        </w:rPr>
        <w:t xml:space="preserve"> / collage / agrafage / ***</w:t>
      </w:r>
    </w:p>
    <w:p w14:paraId="021CB5A9" w14:textId="77777777" w:rsidR="004B2808" w:rsidRDefault="00000000">
      <w:pPr>
        <w:pStyle w:val="pheading"/>
      </w:pPr>
      <w:r>
        <w:t>DOCUMENTS DE RÉFÉRENCE COMPLÉMENTAIRES</w:t>
      </w:r>
    </w:p>
    <w:p w14:paraId="2271B85D" w14:textId="77777777" w:rsidR="004B2808" w:rsidRDefault="00000000">
      <w:pPr>
        <w:pStyle w:val="pheading"/>
      </w:pPr>
      <w:r>
        <w:t>- Matériau</w:t>
      </w:r>
    </w:p>
    <w:p w14:paraId="7FBA8274" w14:textId="77777777" w:rsidR="004B2808" w:rsidRDefault="00000000">
      <w:r>
        <w:t>[AR 1994-07-07, Arrêté royal fixant les normes de base en matière de prévention contre l'incendie et l'explosion, auxquelles les bâtiments nouveaux doivent satisfaire]</w:t>
      </w:r>
    </w:p>
    <w:p w14:paraId="312B959A" w14:textId="77777777" w:rsidR="004B2808" w:rsidRDefault="00000000">
      <w:r>
        <w:t>[NBN EN ISO 13934] Textiles - Propriétés des étoffes en traction</w:t>
      </w:r>
    </w:p>
    <w:p w14:paraId="7016F95A" w14:textId="77777777" w:rsidR="004B2808" w:rsidRDefault="00000000">
      <w:pPr>
        <w:pStyle w:val="pheading"/>
      </w:pPr>
      <w:r>
        <w:t>MESURAGE</w:t>
      </w:r>
    </w:p>
    <w:p w14:paraId="3C68EBAE" w14:textId="77777777" w:rsidR="004B2808" w:rsidRDefault="00000000">
      <w:pPr>
        <w:pStyle w:val="pheading"/>
      </w:pPr>
      <w:r>
        <w:t>- unité de mesure:</w:t>
      </w:r>
    </w:p>
    <w:p w14:paraId="202640F6" w14:textId="77777777" w:rsidR="004B2808" w:rsidRDefault="00000000">
      <w:pPr>
        <w:jc w:val="both"/>
      </w:pPr>
      <w:r>
        <w:rPr>
          <w:rStyle w:val="optioncarChar"/>
        </w:rPr>
        <w:t xml:space="preserve">m² </w:t>
      </w:r>
      <w:r>
        <w:t xml:space="preserve">(par défaut) </w:t>
      </w:r>
      <w:r>
        <w:rPr>
          <w:rStyle w:val="optioncarChar"/>
        </w:rPr>
        <w:t>/ m² ; pc / fft</w:t>
      </w:r>
    </w:p>
    <w:p w14:paraId="7696F388" w14:textId="77777777" w:rsidR="004B2808" w:rsidRDefault="00000000">
      <w:pPr>
        <w:jc w:val="both"/>
      </w:pPr>
      <w:r>
        <w:rPr>
          <w:b/>
        </w:rPr>
        <w:t>(soit par défaut)</w:t>
      </w:r>
    </w:p>
    <w:p w14:paraId="1809A444" w14:textId="77777777" w:rsidR="004B2808" w:rsidRDefault="00000000">
      <w:pPr>
        <w:jc w:val="both"/>
      </w:pPr>
      <w:r>
        <w:rPr>
          <w:rStyle w:val="soitChar"/>
        </w:rPr>
        <w:t>1. m²</w:t>
      </w:r>
    </w:p>
    <w:p w14:paraId="44EF81EB" w14:textId="77777777" w:rsidR="004B2808" w:rsidRDefault="00000000">
      <w:pPr>
        <w:jc w:val="both"/>
      </w:pPr>
      <w:r>
        <w:rPr>
          <w:b/>
        </w:rPr>
        <w:t>(soit)</w:t>
      </w:r>
    </w:p>
    <w:p w14:paraId="3357FD92" w14:textId="77777777" w:rsidR="004B2808" w:rsidRDefault="00000000">
      <w:pPr>
        <w:jc w:val="both"/>
      </w:pPr>
      <w:r>
        <w:rPr>
          <w:rStyle w:val="soitChar"/>
        </w:rPr>
        <w:t>2. m² pour le plafond tendu en général ; pc pour l’intégration des éléments techniques</w:t>
      </w:r>
    </w:p>
    <w:p w14:paraId="51A7A4C7" w14:textId="77777777" w:rsidR="004B2808" w:rsidRDefault="00000000">
      <w:pPr>
        <w:jc w:val="both"/>
      </w:pPr>
      <w:r>
        <w:rPr>
          <w:b/>
        </w:rPr>
        <w:t>(soit)</w:t>
      </w:r>
    </w:p>
    <w:p w14:paraId="27693EDC" w14:textId="77777777" w:rsidR="004B2808" w:rsidRDefault="00000000">
      <w:pPr>
        <w:jc w:val="both"/>
      </w:pPr>
      <w:r>
        <w:rPr>
          <w:rStyle w:val="soitChar"/>
        </w:rPr>
        <w:t>3. fft</w:t>
      </w:r>
    </w:p>
    <w:p w14:paraId="0B9D4C3A" w14:textId="77777777" w:rsidR="004B2808" w:rsidRDefault="00000000">
      <w:pPr>
        <w:pStyle w:val="pheading"/>
      </w:pPr>
      <w:r>
        <w:t>- code de mesurage:</w:t>
      </w:r>
    </w:p>
    <w:p w14:paraId="2C81F96E" w14:textId="77777777" w:rsidR="004B2808" w:rsidRDefault="00000000">
      <w:pPr>
        <w:jc w:val="both"/>
      </w:pPr>
      <w:r>
        <w:rPr>
          <w:rStyle w:val="optioncarChar"/>
        </w:rPr>
        <w:t xml:space="preserve">Surface nette </w:t>
      </w:r>
      <w:r>
        <w:t xml:space="preserve">(par défaut) </w:t>
      </w:r>
      <w:r>
        <w:rPr>
          <w:rStyle w:val="optioncarChar"/>
        </w:rPr>
        <w:t>/ Surface nette / Compris</w:t>
      </w:r>
    </w:p>
    <w:p w14:paraId="114AB8D2" w14:textId="77777777" w:rsidR="004B2808" w:rsidRDefault="00000000">
      <w:pPr>
        <w:jc w:val="both"/>
      </w:pPr>
      <w:r>
        <w:rPr>
          <w:b/>
        </w:rPr>
        <w:t>(soit par défaut)</w:t>
      </w:r>
    </w:p>
    <w:p w14:paraId="7AA10B2E" w14:textId="77777777" w:rsidR="004B2808" w:rsidRDefault="00000000">
      <w:pPr>
        <w:jc w:val="both"/>
      </w:pPr>
      <w:r>
        <w:rPr>
          <w:rStyle w:val="soitChar"/>
        </w:rPr>
        <w:t xml:space="preserve">1. </w:t>
      </w:r>
      <w:r>
        <w:rPr>
          <w:rStyle w:val="soitChar"/>
          <w:u w:val="single"/>
        </w:rPr>
        <w:t>Surface nette :</w:t>
      </w:r>
    </w:p>
    <w:p w14:paraId="0F36DB13" w14:textId="77777777" w:rsidR="004B2808" w:rsidRDefault="00000000">
      <w:pPr>
        <w:jc w:val="both"/>
      </w:pPr>
      <w:r>
        <w:rPr>
          <w:rStyle w:val="soitChar"/>
        </w:rPr>
        <w:t>En tenant compte de la plus grande longueur et largeur de la surface à recouvrir, y compris la profondeur des niches.</w:t>
      </w:r>
    </w:p>
    <w:p w14:paraId="467F2904" w14:textId="77777777" w:rsidR="004B2808" w:rsidRDefault="00000000">
      <w:pPr>
        <w:jc w:val="both"/>
      </w:pPr>
      <w:r>
        <w:rPr>
          <w:rStyle w:val="soitChar"/>
        </w:rPr>
        <w:t>L’intégration des éléments techniques est comprise dans l’ensemble.</w:t>
      </w:r>
    </w:p>
    <w:p w14:paraId="17555260" w14:textId="77777777" w:rsidR="004B2808" w:rsidRDefault="00000000">
      <w:pPr>
        <w:jc w:val="both"/>
      </w:pPr>
      <w:r>
        <w:rPr>
          <w:b/>
        </w:rPr>
        <w:t>(soit)</w:t>
      </w:r>
    </w:p>
    <w:p w14:paraId="3F45F123" w14:textId="77777777" w:rsidR="004B2808" w:rsidRDefault="00000000">
      <w:pPr>
        <w:jc w:val="both"/>
      </w:pPr>
      <w:r>
        <w:rPr>
          <w:rStyle w:val="soitChar"/>
        </w:rPr>
        <w:t xml:space="preserve">2. </w:t>
      </w:r>
      <w:r>
        <w:rPr>
          <w:rStyle w:val="soitChar"/>
          <w:u w:val="single"/>
        </w:rPr>
        <w:t>Surface nette et quantité nette :</w:t>
      </w:r>
    </w:p>
    <w:p w14:paraId="79409165" w14:textId="77777777" w:rsidR="004B2808" w:rsidRDefault="00000000">
      <w:pPr>
        <w:jc w:val="both"/>
      </w:pPr>
      <w:r>
        <w:rPr>
          <w:rStyle w:val="soitChar"/>
        </w:rPr>
        <w:t>En tenant compte de la plus grande longueur et largeur de la surface à recouvrir, y compris la profondeur des niches.</w:t>
      </w:r>
    </w:p>
    <w:p w14:paraId="3D16CD0C" w14:textId="77777777" w:rsidR="004B2808" w:rsidRDefault="00000000">
      <w:pPr>
        <w:jc w:val="both"/>
      </w:pPr>
      <w:r>
        <w:rPr>
          <w:rStyle w:val="soitChar"/>
        </w:rPr>
        <w:t>Quantité nette : l’intégration des différents éléments techniques est comptée distinctement pour chaque élément.</w:t>
      </w:r>
    </w:p>
    <w:p w14:paraId="2EC51ADB" w14:textId="77777777" w:rsidR="004B2808" w:rsidRDefault="00000000">
      <w:pPr>
        <w:jc w:val="both"/>
      </w:pPr>
      <w:r>
        <w:rPr>
          <w:b/>
        </w:rPr>
        <w:t>(soit)</w:t>
      </w:r>
    </w:p>
    <w:p w14:paraId="5AA400B3" w14:textId="77777777" w:rsidR="004B2808" w:rsidRDefault="00000000">
      <w:pPr>
        <w:jc w:val="both"/>
      </w:pPr>
      <w:r>
        <w:rPr>
          <w:rStyle w:val="soitChar"/>
        </w:rPr>
        <w:t xml:space="preserve">3. </w:t>
      </w:r>
      <w:r>
        <w:rPr>
          <w:rStyle w:val="soitChar"/>
          <w:u w:val="single"/>
        </w:rPr>
        <w:t>Pour l’ensemble des prestations à réaliser :</w:t>
      </w:r>
    </w:p>
    <w:p w14:paraId="60BBB542" w14:textId="77777777" w:rsidR="004B2808" w:rsidRDefault="00000000">
      <w:pPr>
        <w:jc w:val="both"/>
      </w:pPr>
      <w:r>
        <w:rPr>
          <w:rStyle w:val="soitChar"/>
        </w:rPr>
        <w:t>Le prix unitaire comprend toutes les prestations nécessaires pour l’exécution de l’ensemble, y compris l’intégration des éléments techniques. </w:t>
      </w:r>
    </w:p>
    <w:p w14:paraId="1C2583D7" w14:textId="77777777" w:rsidR="004B2808" w:rsidRDefault="00000000">
      <w:pPr>
        <w:jc w:val="both"/>
      </w:pPr>
      <w:r>
        <w:t>Eventuellement scindé dans différents postes selon le type de revêtement.</w:t>
      </w:r>
    </w:p>
    <w:p w14:paraId="663F80EE" w14:textId="77777777" w:rsidR="004B2808" w:rsidRDefault="00000000">
      <w:pPr>
        <w:pStyle w:val="pheading"/>
      </w:pPr>
      <w:r>
        <w:t>- nature du marché:</w:t>
      </w:r>
    </w:p>
    <w:p w14:paraId="2D4222A6" w14:textId="77777777" w:rsidR="004B2808" w:rsidRDefault="00000000">
      <w:r>
        <w:rPr>
          <w:rStyle w:val="optioncarChar"/>
        </w:rPr>
        <w:lastRenderedPageBreak/>
        <w:t xml:space="preserve">QF </w:t>
      </w:r>
      <w:r>
        <w:t xml:space="preserve">(par défaut) </w:t>
      </w:r>
      <w:r>
        <w:rPr>
          <w:rStyle w:val="optioncarChar"/>
        </w:rPr>
        <w:t>/ QP / PG</w:t>
      </w:r>
    </w:p>
    <w:p w14:paraId="5D37FB44" w14:textId="77777777" w:rsidR="004B2808" w:rsidRDefault="00000000">
      <w:r>
        <w:rPr>
          <w:b/>
        </w:rPr>
        <w:t>(soit par défaut)</w:t>
      </w:r>
      <w:r>
        <w:br/>
      </w:r>
      <w:r>
        <w:rPr>
          <w:rStyle w:val="soitChar"/>
        </w:rPr>
        <w:t>1. QF</w:t>
      </w:r>
      <w:r>
        <w:br/>
      </w:r>
      <w:r>
        <w:rPr>
          <w:b/>
        </w:rPr>
        <w:t>(soit)</w:t>
      </w:r>
      <w:r>
        <w:br/>
      </w:r>
      <w:r>
        <w:rPr>
          <w:rStyle w:val="soitChar"/>
        </w:rPr>
        <w:t>2. QF pour le plafond tendu ; QP pour les éléments techniques</w:t>
      </w:r>
      <w:r>
        <w:br/>
      </w:r>
      <w:r>
        <w:rPr>
          <w:b/>
        </w:rPr>
        <w:t>(soit)</w:t>
      </w:r>
      <w:r>
        <w:br/>
      </w:r>
      <w:r>
        <w:rPr>
          <w:rStyle w:val="soitChar"/>
        </w:rPr>
        <w:t>3. PG</w:t>
      </w:r>
    </w:p>
    <w:p w14:paraId="47AF4C0D" w14:textId="77777777" w:rsidR="004B2808" w:rsidRDefault="00000000">
      <w:pPr>
        <w:pStyle w:val="pheading"/>
      </w:pPr>
      <w:r>
        <w:t>AIDE</w:t>
      </w:r>
    </w:p>
    <w:p w14:paraId="2B055B3A" w14:textId="77777777" w:rsidR="004B2808" w:rsidRDefault="00000000">
      <w:pPr>
        <w:jc w:val="both"/>
      </w:pPr>
      <w:r>
        <w:t>Avantages d’une toile Polyester : Résistance / Choix variés / …</w:t>
      </w:r>
    </w:p>
    <w:p w14:paraId="07898502" w14:textId="77777777" w:rsidR="004B2808" w:rsidRDefault="00000000">
      <w:pPr>
        <w:jc w:val="both"/>
      </w:pPr>
      <w:r>
        <w:t>Avantages d’une toile PVC : Convient généralement mieux aux pièces humides / Facilité de nettoyage / Peut être démonté / … </w:t>
      </w:r>
    </w:p>
    <w:p w14:paraId="41C05566" w14:textId="77777777" w:rsidR="004B2808" w:rsidRDefault="00000000">
      <w:pPr>
        <w:jc w:val="both"/>
      </w:pPr>
      <w:r>
        <w:t>Une toile Polyester est généralement posée à température ambiante.</w:t>
      </w:r>
    </w:p>
    <w:p w14:paraId="0A990253" w14:textId="77777777" w:rsidR="004B2808" w:rsidRDefault="00000000">
      <w:pPr>
        <w:jc w:val="both"/>
      </w:pPr>
      <w:r>
        <w:t>Une toile PVC est généralement posée à chaud.</w:t>
      </w:r>
    </w:p>
    <w:p w14:paraId="2AFADC95" w14:textId="77777777" w:rsidR="004B2808" w:rsidRDefault="00000000">
      <w:pPr>
        <w:pStyle w:val="Author-eSectionHeading5Numberless"/>
      </w:pPr>
      <w:bookmarkStart w:id="952" w:name="_Toc220491087"/>
      <w:r>
        <w:t>54.41.2 Plafonds tendus en textile CCTB 01.02</w:t>
      </w:r>
      <w:bookmarkEnd w:id="952"/>
    </w:p>
    <w:p w14:paraId="74ECFCF8" w14:textId="77777777" w:rsidR="004B2808" w:rsidRDefault="00000000">
      <w:pPr>
        <w:pStyle w:val="Author-eSectionHeading6Numberless"/>
      </w:pPr>
      <w:bookmarkStart w:id="953" w:name="_Toc220491088"/>
      <w:r>
        <w:t>54.41.2a Plafonds tendus en textile CCTB 01.02</w:t>
      </w:r>
      <w:bookmarkEnd w:id="953"/>
    </w:p>
    <w:p w14:paraId="42B1A2D1" w14:textId="77777777" w:rsidR="004B2808" w:rsidRDefault="00000000">
      <w:pPr>
        <w:pStyle w:val="Author-eSectionHeading4Numberless"/>
      </w:pPr>
      <w:bookmarkStart w:id="954" w:name="_Toc220491089"/>
      <w:r>
        <w:t>54.42 Revêtements pour plafonds climatiques CCTB 01.02</w:t>
      </w:r>
      <w:bookmarkEnd w:id="954"/>
    </w:p>
    <w:p w14:paraId="33BFF4FB" w14:textId="77777777" w:rsidR="004B2808" w:rsidRDefault="00000000">
      <w:pPr>
        <w:pStyle w:val="Author-eSectionHeading5Numberless"/>
      </w:pPr>
      <w:bookmarkStart w:id="955" w:name="1497"/>
      <w:bookmarkStart w:id="956" w:name="_Toc220491090"/>
      <w:bookmarkEnd w:id="955"/>
      <w:r>
        <w:t>54.42.1 Revêtements pour plafonds climatiques CCTB 01.13</w:t>
      </w:r>
      <w:bookmarkEnd w:id="956"/>
    </w:p>
    <w:p w14:paraId="66261ED8" w14:textId="77777777" w:rsidR="004B2808" w:rsidRDefault="00000000">
      <w:pPr>
        <w:pStyle w:val="pheading"/>
      </w:pPr>
      <w:bookmarkStart w:id="957" w:name="1302"/>
      <w:bookmarkEnd w:id="957"/>
      <w:r>
        <w:t>DESCRIPTION</w:t>
      </w:r>
    </w:p>
    <w:p w14:paraId="5F7A2041" w14:textId="77777777" w:rsidR="004B2808" w:rsidRDefault="00000000">
      <w:pPr>
        <w:pStyle w:val="pheading"/>
      </w:pPr>
      <w:r>
        <w:t>- Définition / Comprend</w:t>
      </w:r>
    </w:p>
    <w:p w14:paraId="6B344B02" w14:textId="77777777" w:rsidR="004B2808" w:rsidRDefault="00000000">
      <w:pPr>
        <w:jc w:val="both"/>
      </w:pPr>
      <w:r>
        <w:t>Il s'agit de la fourniture et de la pose de plafonds suspendus intégrant un système climatique généralement destiné au rafraichissement des locaux. </w:t>
      </w:r>
    </w:p>
    <w:p w14:paraId="502E6D0F" w14:textId="77777777" w:rsidR="004B2808" w:rsidRDefault="00000000">
      <w:pPr>
        <w:jc w:val="both"/>
      </w:pPr>
      <w:r>
        <w:t>Le travail comprend notamment : </w:t>
      </w:r>
    </w:p>
    <w:p w14:paraId="201AB07E" w14:textId="77777777" w:rsidR="004B2808" w:rsidRDefault="00000000">
      <w:pPr>
        <w:pStyle w:val="Author-eListParagraph"/>
        <w:numPr>
          <w:ilvl w:val="0"/>
          <w:numId w:val="748"/>
        </w:numPr>
      </w:pPr>
      <w:r>
        <w:t xml:space="preserve">Les prestations et travaux préparatoires dont :  </w:t>
      </w:r>
    </w:p>
    <w:p w14:paraId="3AF195A9" w14:textId="77777777" w:rsidR="004B2808" w:rsidRDefault="00000000">
      <w:pPr>
        <w:pStyle w:val="Author-eListParagraph"/>
        <w:numPr>
          <w:ilvl w:val="1"/>
          <w:numId w:val="749"/>
        </w:numPr>
      </w:pPr>
      <w:r>
        <w:t>La prise des mesures in situ </w:t>
      </w:r>
    </w:p>
    <w:p w14:paraId="61073D99" w14:textId="77777777" w:rsidR="004B2808" w:rsidRDefault="00000000">
      <w:pPr>
        <w:pStyle w:val="Author-eListParagraph"/>
        <w:numPr>
          <w:ilvl w:val="1"/>
          <w:numId w:val="749"/>
        </w:numPr>
      </w:pPr>
      <w:r>
        <w:t>La vérification du support (planéité, équerrage, …) </w:t>
      </w:r>
    </w:p>
    <w:p w14:paraId="6DD3022D" w14:textId="77777777" w:rsidR="004B2808" w:rsidRDefault="00000000">
      <w:pPr>
        <w:pStyle w:val="Author-eListParagraph"/>
        <w:numPr>
          <w:ilvl w:val="0"/>
          <w:numId w:val="748"/>
        </w:numPr>
      </w:pPr>
      <w:r>
        <w:t>Les mesures de sécurité ;</w:t>
      </w:r>
    </w:p>
    <w:p w14:paraId="53077241" w14:textId="77777777" w:rsidR="004B2808" w:rsidRDefault="00000000">
      <w:pPr>
        <w:pStyle w:val="Author-eListParagraph"/>
        <w:numPr>
          <w:ilvl w:val="0"/>
          <w:numId w:val="748"/>
        </w:numPr>
      </w:pPr>
      <w:r>
        <w:t>Les moyens d’accès (échafaudages, …) ;</w:t>
      </w:r>
    </w:p>
    <w:p w14:paraId="5FB715D5" w14:textId="77777777" w:rsidR="004B2808" w:rsidRDefault="00000000">
      <w:pPr>
        <w:pStyle w:val="Author-eListParagraph"/>
        <w:numPr>
          <w:ilvl w:val="0"/>
          <w:numId w:val="748"/>
        </w:numPr>
      </w:pPr>
      <w:r>
        <w:t>Les moyens de manutention ;</w:t>
      </w:r>
    </w:p>
    <w:p w14:paraId="0DCD6DA4" w14:textId="77777777" w:rsidR="004B2808" w:rsidRDefault="00000000">
      <w:pPr>
        <w:pStyle w:val="Author-eListParagraph"/>
        <w:numPr>
          <w:ilvl w:val="0"/>
          <w:numId w:val="748"/>
        </w:numPr>
      </w:pPr>
      <w:r>
        <w:t>Les moyens de protection du bâtiment ;</w:t>
      </w:r>
    </w:p>
    <w:p w14:paraId="1CF3D737" w14:textId="77777777" w:rsidR="004B2808" w:rsidRDefault="00000000">
      <w:pPr>
        <w:pStyle w:val="Author-eListParagraph"/>
        <w:numPr>
          <w:ilvl w:val="0"/>
          <w:numId w:val="748"/>
        </w:numPr>
      </w:pPr>
      <w:r>
        <w:t>L’entretien des moyens cités ci-avant et leur enlèvement complet en fin de chantier ;</w:t>
      </w:r>
    </w:p>
    <w:p w14:paraId="51941A04" w14:textId="77777777" w:rsidR="004B2808" w:rsidRDefault="00000000">
      <w:pPr>
        <w:pStyle w:val="Author-eListParagraph"/>
        <w:numPr>
          <w:ilvl w:val="0"/>
          <w:numId w:val="748"/>
        </w:numPr>
      </w:pPr>
      <w:r>
        <w:t>La coordination avec les différents intervenants ;</w:t>
      </w:r>
    </w:p>
    <w:p w14:paraId="39B6FEC5" w14:textId="77777777" w:rsidR="004B2808" w:rsidRDefault="00000000">
      <w:pPr>
        <w:pStyle w:val="Author-eListParagraph"/>
        <w:numPr>
          <w:ilvl w:val="0"/>
          <w:numId w:val="748"/>
        </w:numPr>
      </w:pPr>
      <w:r>
        <w:t>La fourniture et la pose des éléments de plafonds selon les descriptions ci-après ;</w:t>
      </w:r>
    </w:p>
    <w:p w14:paraId="3C5893F3" w14:textId="77777777" w:rsidR="004B2808" w:rsidRDefault="00000000">
      <w:pPr>
        <w:pStyle w:val="Author-eListParagraph"/>
        <w:numPr>
          <w:ilvl w:val="0"/>
          <w:numId w:val="748"/>
        </w:numPr>
      </w:pPr>
      <w:r>
        <w:t>L’intégration des éléments techniques (canalisations du système climatique, luminaires, bouches de ventilation, …) ;</w:t>
      </w:r>
    </w:p>
    <w:p w14:paraId="2D309696" w14:textId="77777777" w:rsidR="004B2808" w:rsidRDefault="00000000">
      <w:pPr>
        <w:pStyle w:val="Author-eListParagraph"/>
        <w:numPr>
          <w:ilvl w:val="0"/>
          <w:numId w:val="748"/>
        </w:numPr>
      </w:pPr>
      <w:r>
        <w:t>La gestion des déchets (collecte, tri, traitement, évacuation en dehors du chantier, …), conformément aux 07 Déchets, matériaux et éléments réemployables et suivants ;</w:t>
      </w:r>
    </w:p>
    <w:p w14:paraId="3C0DD302" w14:textId="77777777" w:rsidR="004B2808" w:rsidRDefault="00000000">
      <w:pPr>
        <w:pStyle w:val="Author-eListParagraph"/>
        <w:numPr>
          <w:ilvl w:val="0"/>
          <w:numId w:val="748"/>
        </w:numPr>
      </w:pPr>
      <w:r>
        <w:t>Le nettoyage en fin de chantier.</w:t>
      </w:r>
    </w:p>
    <w:p w14:paraId="7964B762" w14:textId="77777777" w:rsidR="004B2808" w:rsidRDefault="004B2808"/>
    <w:p w14:paraId="27DC2BA1" w14:textId="77777777" w:rsidR="004B2808" w:rsidRDefault="00000000">
      <w:pPr>
        <w:jc w:val="both"/>
      </w:pPr>
      <w:r>
        <w:t>Le système climatique proprement dit (production, régulation, conduites, collecteurs d’alimentation, accessoires, …) est décrit et compté aux  6 T6 HVAC - sanitaires et suivants. </w:t>
      </w:r>
    </w:p>
    <w:p w14:paraId="4482913C" w14:textId="77777777" w:rsidR="004B2808" w:rsidRDefault="00000000">
      <w:pPr>
        <w:jc w:val="both"/>
      </w:pPr>
      <w:r>
        <w:t>Ces articles complètent et précisent les présentes prescriptions, notamment en ce qui concerne les émetteurs.  </w:t>
      </w:r>
    </w:p>
    <w:p w14:paraId="600A8B27" w14:textId="77777777" w:rsidR="004B2808" w:rsidRDefault="00000000">
      <w:pPr>
        <w:jc w:val="both"/>
      </w:pPr>
      <w:r>
        <w:t>La mise en service, les différents contrôles et essais du système climatique sont décrits et comptés aux 6 T6 HVAC – sanitaires et suivants. </w:t>
      </w:r>
    </w:p>
    <w:p w14:paraId="0F8947A3" w14:textId="77777777" w:rsidR="004B2808" w:rsidRDefault="00000000">
      <w:pPr>
        <w:jc w:val="both"/>
      </w:pPr>
      <w:r>
        <w:lastRenderedPageBreak/>
        <w:t>Les équipements techniques (ventilation, luminaires, accessoires, …) à intégrer dans les plafonds climatiques sont fournis, placés et raccordés par les entreprises directement concernées par ces éléments, notamment selon les indications aux 6 T6 HVAC - sanitaires / 7 T7 Electricité et suivants. </w:t>
      </w:r>
    </w:p>
    <w:p w14:paraId="208E0458" w14:textId="77777777" w:rsidR="004B2808" w:rsidRDefault="00000000">
      <w:pPr>
        <w:jc w:val="both"/>
      </w:pPr>
      <w:r>
        <w:t xml:space="preserve">Les complexes climatiques avec plafond à enduire sont décrits et comptés aux </w:t>
      </w:r>
      <w:hyperlink w:anchor="1290" w:history="1">
        <w:r w:rsidR="004B2808">
          <w:rPr>
            <w:color w:val="0000EE"/>
          </w:rPr>
          <w:t>54.1 Revêtements de plafonds enduits</w:t>
        </w:r>
      </w:hyperlink>
      <w:r>
        <w:t xml:space="preserve"> ou aux </w:t>
      </w:r>
      <w:hyperlink w:anchor="1301" w:history="1">
        <w:r w:rsidR="004B2808">
          <w:rPr>
            <w:color w:val="0000EE"/>
          </w:rPr>
          <w:t>54.2 Revêtements de plafonds en plaques/panneaux</w:t>
        </w:r>
      </w:hyperlink>
      <w:r>
        <w:t xml:space="preserve"> et suivants. </w:t>
      </w:r>
    </w:p>
    <w:p w14:paraId="03496C6E" w14:textId="77777777" w:rsidR="004B2808" w:rsidRDefault="00000000">
      <w:pPr>
        <w:jc w:val="both"/>
      </w:pPr>
      <w:r>
        <w:t xml:space="preserve">Les systèmes composés d’éléments climatiques posés indépendamment des revêtements de plafond (p.ex. : plafond à lamelles) sont décrits et comptés séparément aux </w:t>
      </w:r>
      <w:hyperlink w:anchor="1300" w:history="1">
        <w:r w:rsidR="004B2808">
          <w:rPr>
            <w:color w:val="0000EE"/>
          </w:rPr>
          <w:t>54.3 Plafonds suspendus (Rem.: la structure porteuse est explicité à l'article)</w:t>
        </w:r>
      </w:hyperlink>
      <w:r>
        <w:t xml:space="preserve"> et suivants ainsi qu’aux </w:t>
      </w:r>
      <w:hyperlink w:anchor="1302" w:history="1">
        <w:r w:rsidR="004B2808">
          <w:rPr>
            <w:color w:val="0000EE"/>
          </w:rPr>
          <w:t>6 T6 HVAC – sanitaires</w:t>
        </w:r>
      </w:hyperlink>
      <w:r>
        <w:t xml:space="preserve"> et suivants. </w:t>
      </w:r>
    </w:p>
    <w:p w14:paraId="32D15DE0" w14:textId="77777777" w:rsidR="004B2808" w:rsidRDefault="00000000">
      <w:pPr>
        <w:jc w:val="both"/>
      </w:pPr>
      <w:r>
        <w:t>Les systèmes composés de convecteurs pour plafond sont décrits et comptés aux 6 T6 HVAC - sanitaires et suivants. </w:t>
      </w:r>
    </w:p>
    <w:p w14:paraId="250B30C6" w14:textId="77777777" w:rsidR="004B2808" w:rsidRDefault="00000000">
      <w:pPr>
        <w:jc w:val="both"/>
      </w:pPr>
      <w:r>
        <w:t>Livraison, stockage, manutention, fournitures, mise en œuvre sont toujours conformes à la documentation technique qui accompagne les différents produits. </w:t>
      </w:r>
    </w:p>
    <w:p w14:paraId="395AD09B" w14:textId="77777777" w:rsidR="004B2808" w:rsidRDefault="00000000">
      <w:pPr>
        <w:pStyle w:val="pheading"/>
      </w:pPr>
      <w:r>
        <w:t>MATÉRIAUX</w:t>
      </w:r>
    </w:p>
    <w:p w14:paraId="6C019862" w14:textId="77777777" w:rsidR="004B2808" w:rsidRDefault="00000000">
      <w:pPr>
        <w:jc w:val="both"/>
      </w:pPr>
      <w:r>
        <w:rPr>
          <w:b/>
        </w:rPr>
        <w:t>Généralités : </w:t>
      </w:r>
    </w:p>
    <w:p w14:paraId="143FCBC9" w14:textId="77777777" w:rsidR="004B2808" w:rsidRDefault="00000000">
      <w:pPr>
        <w:jc w:val="both"/>
      </w:pPr>
      <w:r>
        <w:t>Les différents éléments qui constituent le plafond climatique (support, revêtements (bacs), émetteurs, accessoires, …) sont spécifiquement conçus pour une telle application et / ou sont parfaitement compatibles entre eux. </w:t>
      </w:r>
    </w:p>
    <w:p w14:paraId="6E798BF3" w14:textId="77777777" w:rsidR="004B2808" w:rsidRDefault="00000000">
      <w:pPr>
        <w:pStyle w:val="pheading"/>
      </w:pPr>
      <w:r>
        <w:t>EXÉCUTION / MISE EN ŒUVRE</w:t>
      </w:r>
    </w:p>
    <w:p w14:paraId="47FAD061" w14:textId="77777777" w:rsidR="004B2808" w:rsidRDefault="00000000">
      <w:pPr>
        <w:jc w:val="both"/>
      </w:pPr>
      <w:r>
        <w:rPr>
          <w:b/>
        </w:rPr>
        <w:t>Généralités :</w:t>
      </w:r>
    </w:p>
    <w:p w14:paraId="7C18F0AD" w14:textId="77777777" w:rsidR="004B2808" w:rsidRDefault="00000000">
      <w:pPr>
        <w:jc w:val="both"/>
      </w:pPr>
      <w:r>
        <w:t>L’entrepreneur coordonne la mise en œuvre des plafonds avec les différents intervenants et en particulier avec les entreprises chargées des systèmes (HVAC - sanitaires / Electricité). </w:t>
      </w:r>
    </w:p>
    <w:p w14:paraId="63D61C13" w14:textId="77777777" w:rsidR="004B2808" w:rsidRDefault="00000000">
      <w:pPr>
        <w:jc w:val="both"/>
      </w:pPr>
      <w:r>
        <w:t>Les conditions de pose correspondent strictement à la documentation technique qui accompagne les différents produits. </w:t>
      </w:r>
    </w:p>
    <w:p w14:paraId="27FFEF3A" w14:textId="77777777" w:rsidR="004B2808" w:rsidRDefault="00000000">
      <w:pPr>
        <w:jc w:val="both"/>
      </w:pPr>
      <w:r>
        <w:t>La mise en œuvre est réalisée par du personnel formé et qualifié. </w:t>
      </w:r>
    </w:p>
    <w:p w14:paraId="2089543F" w14:textId="77777777" w:rsidR="004B2808" w:rsidRDefault="00000000">
      <w:pPr>
        <w:jc w:val="both"/>
      </w:pPr>
      <w:r>
        <w:rPr>
          <w:b/>
        </w:rPr>
        <w:t>Prestations préparatoires :</w:t>
      </w:r>
    </w:p>
    <w:p w14:paraId="4F71B600" w14:textId="77777777" w:rsidR="004B2808" w:rsidRDefault="00000000">
      <w:pPr>
        <w:jc w:val="both"/>
      </w:pPr>
      <w:r>
        <w:t>Avant le début des travaux, l’entrepreneur vérifie les différentes caractéristiques du lieu et des surfaces : planéité, équerrage, état général, …  </w:t>
      </w:r>
    </w:p>
    <w:p w14:paraId="585FF1EB" w14:textId="77777777" w:rsidR="004B2808" w:rsidRDefault="00000000">
      <w:pPr>
        <w:jc w:val="both"/>
      </w:pPr>
      <w:r>
        <w:t>Si les conditions de mise en œuvre ne répondent pas aux règles de l’art, l’entrepreneur fait rapport à la direction des travaux. Les mesures appropriées sont définies en accord avec les différents intervenants. </w:t>
      </w:r>
    </w:p>
    <w:p w14:paraId="73D0AEFE" w14:textId="77777777" w:rsidR="004B2808" w:rsidRDefault="00000000">
      <w:pPr>
        <w:jc w:val="both"/>
      </w:pPr>
      <w:r>
        <w:t>Afin de limiter les interventions dans les plafonds posés, la pose des plafonds climatiques débute lorsque : </w:t>
      </w:r>
    </w:p>
    <w:p w14:paraId="27D63252" w14:textId="77777777" w:rsidR="004B2808" w:rsidRDefault="00000000">
      <w:pPr>
        <w:pStyle w:val="Author-eListParagraph"/>
        <w:numPr>
          <w:ilvl w:val="0"/>
          <w:numId w:val="750"/>
        </w:numPr>
      </w:pPr>
      <w:r>
        <w:t>le bâtiment (ou la zone des travaux) est fermé (hors air et hors eau). </w:t>
      </w:r>
    </w:p>
    <w:p w14:paraId="5F554AEE" w14:textId="77777777" w:rsidR="004B2808" w:rsidRDefault="00000000">
      <w:pPr>
        <w:pStyle w:val="Author-eListParagraph"/>
        <w:numPr>
          <w:ilvl w:val="0"/>
          <w:numId w:val="750"/>
        </w:numPr>
      </w:pPr>
      <w:r>
        <w:t>les lots techniques (ventilation, électricité, ...) situés dans les faux-plafonds sont terminés </w:t>
      </w:r>
    </w:p>
    <w:p w14:paraId="66286FD0" w14:textId="77777777" w:rsidR="004B2808" w:rsidRDefault="00000000">
      <w:pPr>
        <w:jc w:val="both"/>
      </w:pPr>
      <w:r>
        <w:rPr>
          <w:b/>
        </w:rPr>
        <w:t>Mise en œuvre : </w:t>
      </w:r>
    </w:p>
    <w:p w14:paraId="38567939" w14:textId="77777777" w:rsidR="004B2808" w:rsidRDefault="00000000">
      <w:pPr>
        <w:jc w:val="both"/>
      </w:pPr>
      <w:r>
        <w:t>Le plafond posé présente une surface parfaitement plane et horizontale. </w:t>
      </w:r>
    </w:p>
    <w:p w14:paraId="68754071" w14:textId="77777777" w:rsidR="004B2808" w:rsidRDefault="00000000">
      <w:pPr>
        <w:jc w:val="both"/>
      </w:pPr>
      <w:r>
        <w:t>Si des différences significatives apparaissent par rapport aux plans de détails et de calepinage définis préalablement, l’entrepreneur en informe immédiatement la direction des travaux. Les adaptations sont définies en concertation préalable avec cette dernière. </w:t>
      </w:r>
    </w:p>
    <w:p w14:paraId="75362CDA" w14:textId="77777777" w:rsidR="004B2808" w:rsidRDefault="00000000">
      <w:pPr>
        <w:jc w:val="both"/>
      </w:pPr>
      <w:r>
        <w:t>La mise en œuvre est strictement réalisée selon la documentation technique qui accompagne le produit, notamment en ce qui concerne : </w:t>
      </w:r>
    </w:p>
    <w:p w14:paraId="3A63A66D" w14:textId="77777777" w:rsidR="004B2808" w:rsidRDefault="00000000">
      <w:pPr>
        <w:pStyle w:val="Author-eListParagraph"/>
        <w:numPr>
          <w:ilvl w:val="0"/>
          <w:numId w:val="751"/>
        </w:numPr>
      </w:pPr>
      <w:r>
        <w:t>la position des tuyaux de raccordement ;</w:t>
      </w:r>
    </w:p>
    <w:p w14:paraId="1BF4678F" w14:textId="77777777" w:rsidR="004B2808" w:rsidRDefault="00000000">
      <w:pPr>
        <w:pStyle w:val="Author-eListParagraph"/>
        <w:numPr>
          <w:ilvl w:val="0"/>
          <w:numId w:val="751"/>
        </w:numPr>
      </w:pPr>
      <w:r>
        <w:t>la manipulation des panneaux (avec des gants en coton propres, …) ; </w:t>
      </w:r>
    </w:p>
    <w:p w14:paraId="0A35A920" w14:textId="77777777" w:rsidR="004B2808" w:rsidRDefault="00000000">
      <w:pPr>
        <w:pStyle w:val="Author-eListParagraph"/>
        <w:numPr>
          <w:ilvl w:val="0"/>
          <w:numId w:val="751"/>
        </w:numPr>
      </w:pPr>
      <w:r>
        <w:t>la suspension et/ou la fixation des panneaux qui se fait uniquement dans les zones autorisées par le fabricant. </w:t>
      </w:r>
    </w:p>
    <w:p w14:paraId="47A5F1BD" w14:textId="77777777" w:rsidR="004B2808" w:rsidRDefault="00000000">
      <w:pPr>
        <w:jc w:val="both"/>
      </w:pPr>
      <w:r>
        <w:lastRenderedPageBreak/>
        <w:t>Les raccordements hydrauliques sont réalisés avec le dispositif et les accessoires fournis avec les panneaux. L’entrepreneur qui souhaite utiliser d’autres moyens à l’obligation de solliciter l’accord préalable des fabricants concernés. </w:t>
      </w:r>
    </w:p>
    <w:p w14:paraId="4437B394" w14:textId="77777777" w:rsidR="004B2808" w:rsidRDefault="00000000">
      <w:pPr>
        <w:jc w:val="both"/>
      </w:pPr>
      <w:r>
        <w:t>Dans un système de plafond suspendu modulaire, les modules sont montés de façon parallèle et régulière dans la trame. </w:t>
      </w:r>
    </w:p>
    <w:p w14:paraId="27F11F64" w14:textId="77777777" w:rsidR="004B2808" w:rsidRDefault="00000000">
      <w:pPr>
        <w:jc w:val="both"/>
      </w:pPr>
      <w:r>
        <w:t>Dans un montage en ilot (en apparent) : </w:t>
      </w:r>
    </w:p>
    <w:p w14:paraId="684E0502" w14:textId="77777777" w:rsidR="004B2808" w:rsidRDefault="00000000">
      <w:pPr>
        <w:pStyle w:val="Author-eListParagraph"/>
        <w:numPr>
          <w:ilvl w:val="0"/>
          <w:numId w:val="752"/>
        </w:numPr>
      </w:pPr>
      <w:r>
        <w:t>les panneaux sont assemblés entre eux selon la documentation technique qui accompagne le produit ;</w:t>
      </w:r>
    </w:p>
    <w:p w14:paraId="14231B16" w14:textId="77777777" w:rsidR="004B2808" w:rsidRDefault="00000000">
      <w:pPr>
        <w:pStyle w:val="Author-eListParagraph"/>
        <w:numPr>
          <w:ilvl w:val="0"/>
          <w:numId w:val="752"/>
        </w:numPr>
      </w:pPr>
      <w:r>
        <w:t>le système de suspension est posé de façon régulière. </w:t>
      </w:r>
    </w:p>
    <w:p w14:paraId="21D2CA0D" w14:textId="77777777" w:rsidR="004B2808" w:rsidRDefault="00000000">
      <w:pPr>
        <w:jc w:val="both"/>
      </w:pPr>
      <w:r>
        <w:rPr>
          <w:b/>
        </w:rPr>
        <w:t>Plan de détails :</w:t>
      </w:r>
    </w:p>
    <w:p w14:paraId="2E9E0AE6" w14:textId="77777777" w:rsidR="004B2808" w:rsidRDefault="00000000">
      <w:pPr>
        <w:jc w:val="both"/>
      </w:pPr>
      <w:r>
        <w:t>Ces documents précisent notamment : </w:t>
      </w:r>
    </w:p>
    <w:p w14:paraId="0014D98C" w14:textId="77777777" w:rsidR="004B2808" w:rsidRDefault="00000000">
      <w:pPr>
        <w:pStyle w:val="Author-eListParagraph"/>
        <w:numPr>
          <w:ilvl w:val="0"/>
          <w:numId w:val="753"/>
        </w:numPr>
      </w:pPr>
      <w:r>
        <w:t>le plan de pose des suspentes et fixations ;</w:t>
      </w:r>
    </w:p>
    <w:p w14:paraId="3AEA87FB" w14:textId="77777777" w:rsidR="004B2808" w:rsidRDefault="00000000">
      <w:pPr>
        <w:pStyle w:val="Author-eListParagraph"/>
        <w:numPr>
          <w:ilvl w:val="0"/>
          <w:numId w:val="753"/>
        </w:numPr>
      </w:pPr>
      <w:r>
        <w:t>l’indication des bacs actifs et des bacs inactifs ;</w:t>
      </w:r>
    </w:p>
    <w:p w14:paraId="526F83E5" w14:textId="77777777" w:rsidR="004B2808" w:rsidRDefault="00000000">
      <w:pPr>
        <w:pStyle w:val="Author-eListParagraph"/>
        <w:numPr>
          <w:ilvl w:val="0"/>
          <w:numId w:val="753"/>
        </w:numPr>
      </w:pPr>
      <w:r>
        <w:t>l’emplacement des tuyauteries d'alimentation et des raccordements des bacs actifs ;</w:t>
      </w:r>
    </w:p>
    <w:p w14:paraId="1B23DC42" w14:textId="77777777" w:rsidR="004B2808" w:rsidRDefault="00000000">
      <w:pPr>
        <w:pStyle w:val="Author-eListParagraph"/>
        <w:numPr>
          <w:ilvl w:val="0"/>
          <w:numId w:val="753"/>
        </w:numPr>
      </w:pPr>
      <w:r>
        <w:t>l’emplacement des accessoires intégrés, des luminaires, bouches de ventilation, … ;</w:t>
      </w:r>
    </w:p>
    <w:p w14:paraId="49C59150" w14:textId="77777777" w:rsidR="004B2808" w:rsidRDefault="00000000">
      <w:pPr>
        <w:pStyle w:val="Author-eListParagraph"/>
        <w:numPr>
          <w:ilvl w:val="0"/>
          <w:numId w:val="753"/>
        </w:numPr>
      </w:pPr>
      <w:r>
        <w:t>le(s) niveau(x) de pose ;</w:t>
      </w:r>
    </w:p>
    <w:p w14:paraId="3B6492E3" w14:textId="77777777" w:rsidR="004B2808" w:rsidRDefault="00000000">
      <w:pPr>
        <w:pStyle w:val="Author-eListParagraph"/>
        <w:numPr>
          <w:ilvl w:val="0"/>
          <w:numId w:val="753"/>
        </w:numPr>
      </w:pPr>
      <w:r>
        <w:rPr>
          <w:rStyle w:val="optioncarChar"/>
        </w:rPr>
        <w:t>*** </w:t>
      </w:r>
    </w:p>
    <w:p w14:paraId="1C63ECBA" w14:textId="77777777" w:rsidR="004B2808" w:rsidRDefault="00000000">
      <w:pPr>
        <w:jc w:val="both"/>
      </w:pPr>
      <w:r>
        <w:t>Avant le début des travaux, l’entrepreneur sollicite la direction des travaux pour connaitre toutes les adaptations éventuelles dont il doit tenir compte par rapport à ces documents. </w:t>
      </w:r>
    </w:p>
    <w:p w14:paraId="407D6261" w14:textId="77777777" w:rsidR="004B2808" w:rsidRDefault="00000000">
      <w:pPr>
        <w:pStyle w:val="pheading"/>
      </w:pPr>
      <w:r>
        <w:t>DOCUMENTS DE RÉFÉRENCE</w:t>
      </w:r>
    </w:p>
    <w:p w14:paraId="2533EFAB" w14:textId="77777777" w:rsidR="004B2808" w:rsidRDefault="00000000">
      <w:pPr>
        <w:pStyle w:val="pheading"/>
      </w:pPr>
      <w:r>
        <w:t>- Matériau</w:t>
      </w:r>
    </w:p>
    <w:p w14:paraId="547E3116" w14:textId="77777777" w:rsidR="004B2808" w:rsidRDefault="00000000">
      <w:r>
        <w:t>[NBN EN ISO 7730, Ergonomie des ambiances thermiques - Détermination analytique et interprétation du confort thermique par le calcul des indices PMV et PPD et par des critères de confort thermique local (ISO 7730:2025)]</w:t>
      </w:r>
      <w:r>
        <w:br/>
      </w:r>
      <w:r>
        <w:br/>
        <w:t>[NBN EN ISO 11654, Acoustique - Absorbants pour l'utilisation dans les bâtiments - Evaluation de l'absorption acoustique (ISO 11654:1997)]</w:t>
      </w:r>
      <w:r>
        <w:br/>
        <w:t> </w:t>
      </w:r>
      <w:r>
        <w:br/>
        <w:t>[NBN 713-020, Protection contre l'incendie - Comportement au feu des matériaux et éléments de construction - Résistance au feu des éléments de construction (avec erratum)] </w:t>
      </w:r>
      <w:r>
        <w:br/>
      </w:r>
      <w:r>
        <w:br/>
        <w:t>[NBN EN 13501-1, Classement au feu des produits et éléments de construction - Partie 1: Classement à partir des données d'essais de réaction au feu]</w:t>
      </w:r>
      <w:r>
        <w:br/>
        <w:t> </w:t>
      </w:r>
      <w:r>
        <w:br/>
        <w:t>[NBN EN 13501-2, Classement au feu des produits et éléments de construction - Partie 2 : Classement à partir des données d’essais de résistance au feu et/ou de contrôle des fumées à l’exclusion des produits utilisés dans les systèmes de ventilation ]</w:t>
      </w:r>
      <w:r>
        <w:br/>
      </w:r>
      <w:r>
        <w:br/>
        <w:t>[NBN EN 13964, Plafonds suspendus - Exigences et méthodes d'essai]</w:t>
      </w:r>
      <w:r>
        <w:br/>
      </w:r>
      <w:r>
        <w:br/>
        <w:t>[NBN EN 1364-2, Essais de résistance au feu des éléments non porteurs - Partie 2: Plafonds] </w:t>
      </w:r>
      <w:r>
        <w:br/>
      </w:r>
      <w:r>
        <w:br/>
        <w:t>[NBN EN 14037-1, Panneaux rayonnants de chauffage et de rafraîchissement alimentés avec une eau à une température inférieure à 120 °C - Partie 1 : Panneaux rayonnants de plafond préfabriqués destinés au chauffage des locaux - Spécifications techniques et exigences]</w:t>
      </w:r>
      <w:r>
        <w:br/>
        <w:t> </w:t>
      </w:r>
      <w:r>
        <w:br/>
        <w:t>[NBN EN 14240:2004, Ventilation de bâtiments - Plafonds refroidis - Essais et évaluation]</w:t>
      </w:r>
      <w:r>
        <w:br/>
      </w:r>
      <w:r>
        <w:br/>
        <w:t>[NBN EN 14037 série, Panneaux rayonnants de chauffage et de rafraîchissement alimentés avec une eau à une température inférieure à 120 °C]</w:t>
      </w:r>
      <w:r>
        <w:br/>
      </w:r>
      <w:r>
        <w:lastRenderedPageBreak/>
        <w:br/>
        <w:t>[CCT 105, Cahier des charges-type 105 - Chauffage central, ventilation et conditionnement d'air]</w:t>
      </w:r>
    </w:p>
    <w:p w14:paraId="082DFB27" w14:textId="77777777" w:rsidR="004B2808" w:rsidRDefault="00000000">
      <w:pPr>
        <w:pStyle w:val="pheading"/>
      </w:pPr>
      <w:r>
        <w:t>- Exécution</w:t>
      </w:r>
    </w:p>
    <w:p w14:paraId="6708B8B2" w14:textId="77777777" w:rsidR="004B2808" w:rsidRDefault="00000000">
      <w:r>
        <w:t>[CCT 105, Cahier des charges-type 105 - Chauffage central, ventilation et conditionnement d'air]</w:t>
      </w:r>
    </w:p>
    <w:p w14:paraId="54A260FA" w14:textId="77777777" w:rsidR="004B2808" w:rsidRDefault="00000000">
      <w:pPr>
        <w:pStyle w:val="Author-eSectionHeading6Numberless"/>
      </w:pPr>
      <w:bookmarkStart w:id="958" w:name="_Toc220491091"/>
      <w:r>
        <w:t>54.42.1a Revêtements pour plafonds climatiques CCTB 01.12</w:t>
      </w:r>
      <w:bookmarkEnd w:id="958"/>
    </w:p>
    <w:p w14:paraId="746F2844" w14:textId="77777777" w:rsidR="004B2808" w:rsidRDefault="00000000">
      <w:pPr>
        <w:pStyle w:val="pheading"/>
      </w:pPr>
      <w:r>
        <w:t>DESCRIPTION</w:t>
      </w:r>
    </w:p>
    <w:p w14:paraId="6768A38C" w14:textId="77777777" w:rsidR="004B2808" w:rsidRDefault="00000000">
      <w:pPr>
        <w:pStyle w:val="pheading"/>
      </w:pPr>
      <w:r>
        <w:t>- Définition / Comprend</w:t>
      </w:r>
    </w:p>
    <w:p w14:paraId="345732F6" w14:textId="77777777" w:rsidR="004B2808" w:rsidRDefault="00000000">
      <w:pPr>
        <w:jc w:val="both"/>
      </w:pPr>
      <w:r>
        <w:t>Il s'agit de la fourniture et de la pose, selon les descriptions ci-après, de plafonds suspendus intégrant un système climatique généralement destiné au rafraichissement des locaux. </w:t>
      </w:r>
    </w:p>
    <w:p w14:paraId="104ADFF0" w14:textId="77777777" w:rsidR="004B2808" w:rsidRDefault="00000000">
      <w:pPr>
        <w:jc w:val="both"/>
      </w:pPr>
      <w:r>
        <w:t>Les éléments à mettre en œuvre dans cet article font partie intégrante d’un système climatique (rayonnant et/ou convectif) décrit notamment aux 6 T6 HVAC - sanitaires et suivants et aux 64 Froid et suivants. </w:t>
      </w:r>
    </w:p>
    <w:p w14:paraId="237DA220" w14:textId="77777777" w:rsidR="004B2808" w:rsidRDefault="00000000">
      <w:pPr>
        <w:jc w:val="both"/>
      </w:pPr>
      <w:r>
        <w:t>L’entrepreneur chargé de ce système climatique : </w:t>
      </w:r>
    </w:p>
    <w:p w14:paraId="25C17859" w14:textId="77777777" w:rsidR="004B2808" w:rsidRDefault="00000000">
      <w:pPr>
        <w:pStyle w:val="Author-eListParagraph"/>
        <w:numPr>
          <w:ilvl w:val="0"/>
          <w:numId w:val="754"/>
        </w:numPr>
      </w:pPr>
      <w:r>
        <w:t>coordonne l’ensemble des prestations </w:t>
      </w:r>
    </w:p>
    <w:p w14:paraId="0A32B631" w14:textId="77777777" w:rsidR="004B2808" w:rsidRDefault="00000000">
      <w:pPr>
        <w:pStyle w:val="Author-eListParagraph"/>
        <w:numPr>
          <w:ilvl w:val="0"/>
          <w:numId w:val="754"/>
        </w:numPr>
      </w:pPr>
      <w:r>
        <w:t>endosse la responsabilité globale de ces travaux. </w:t>
      </w:r>
    </w:p>
    <w:p w14:paraId="568430B2" w14:textId="77777777" w:rsidR="004B2808" w:rsidRDefault="00000000">
      <w:pPr>
        <w:jc w:val="both"/>
      </w:pPr>
      <w:r>
        <w:t>L’entrepreneur chargé du présent travail (plafonds) : </w:t>
      </w:r>
    </w:p>
    <w:p w14:paraId="284CEDAA" w14:textId="77777777" w:rsidR="004B2808" w:rsidRDefault="00000000">
      <w:pPr>
        <w:pStyle w:val="Author-eListParagraph"/>
        <w:numPr>
          <w:ilvl w:val="0"/>
          <w:numId w:val="755"/>
        </w:numPr>
      </w:pPr>
      <w:r>
        <w:t xml:space="preserve">Fournit et pose :  </w:t>
      </w:r>
    </w:p>
    <w:p w14:paraId="2A4653CC" w14:textId="77777777" w:rsidR="004B2808" w:rsidRDefault="00000000">
      <w:pPr>
        <w:pStyle w:val="Author-eListParagraph"/>
        <w:numPr>
          <w:ilvl w:val="1"/>
          <w:numId w:val="756"/>
        </w:numPr>
      </w:pPr>
      <w:r>
        <w:t>la structure de support, les dispositifs de fixation (suspentes), … </w:t>
      </w:r>
    </w:p>
    <w:p w14:paraId="6709860F" w14:textId="77777777" w:rsidR="004B2808" w:rsidRDefault="00000000">
      <w:pPr>
        <w:pStyle w:val="Author-eListParagraph"/>
        <w:numPr>
          <w:ilvl w:val="1"/>
          <w:numId w:val="756"/>
        </w:numPr>
      </w:pPr>
      <w:r>
        <w:t>les éléments de finition du plafond </w:t>
      </w:r>
    </w:p>
    <w:p w14:paraId="7368DC31" w14:textId="77777777" w:rsidR="004B2808" w:rsidRDefault="00000000">
      <w:pPr>
        <w:pStyle w:val="Author-eListParagraph"/>
        <w:numPr>
          <w:ilvl w:val="0"/>
          <w:numId w:val="755"/>
        </w:numPr>
      </w:pPr>
      <w:r>
        <w:t xml:space="preserve">Fournit :   </w:t>
      </w:r>
    </w:p>
    <w:p w14:paraId="18D42F7A" w14:textId="77777777" w:rsidR="004B2808" w:rsidRDefault="00000000">
      <w:pPr>
        <w:pStyle w:val="Author-eListParagraph"/>
        <w:numPr>
          <w:ilvl w:val="1"/>
          <w:numId w:val="757"/>
        </w:numPr>
      </w:pPr>
      <w:r>
        <w:t xml:space="preserve">les éléments d’émission : </w:t>
      </w:r>
      <w:r>
        <w:rPr>
          <w:rStyle w:val="optioncarChar"/>
        </w:rPr>
        <w:t>non / oui, ils font / ne font pas partie intégrante des revêtements </w:t>
      </w:r>
    </w:p>
    <w:p w14:paraId="1F2E0F8C" w14:textId="77777777" w:rsidR="004B2808" w:rsidRDefault="00000000">
      <w:pPr>
        <w:pStyle w:val="Author-eListParagraph"/>
        <w:numPr>
          <w:ilvl w:val="1"/>
          <w:numId w:val="757"/>
        </w:numPr>
      </w:pPr>
      <w:r>
        <w:t xml:space="preserve">les revêtements (actifs et non actifs) : </w:t>
      </w:r>
      <w:r>
        <w:rPr>
          <w:rStyle w:val="optioncarChar"/>
        </w:rPr>
        <w:t>non / oui </w:t>
      </w:r>
    </w:p>
    <w:p w14:paraId="4517387D" w14:textId="77777777" w:rsidR="004B2808" w:rsidRDefault="00000000">
      <w:pPr>
        <w:pStyle w:val="Author-eListParagraph"/>
        <w:numPr>
          <w:ilvl w:val="0"/>
          <w:numId w:val="755"/>
        </w:numPr>
      </w:pPr>
      <w:r>
        <w:t xml:space="preserve">Pose :  </w:t>
      </w:r>
    </w:p>
    <w:p w14:paraId="26DEE9F4" w14:textId="77777777" w:rsidR="004B2808" w:rsidRDefault="00000000">
      <w:pPr>
        <w:pStyle w:val="Author-eListParagraph"/>
        <w:numPr>
          <w:ilvl w:val="1"/>
          <w:numId w:val="758"/>
        </w:numPr>
      </w:pPr>
      <w:r>
        <w:t xml:space="preserve">les éléments d’émission : </w:t>
      </w:r>
      <w:r>
        <w:rPr>
          <w:rStyle w:val="optioncarChar"/>
        </w:rPr>
        <w:t>non / oui, ils font / ne font pas partie intégrante des revêtements </w:t>
      </w:r>
    </w:p>
    <w:p w14:paraId="50C2079D" w14:textId="77777777" w:rsidR="004B2808" w:rsidRDefault="00000000">
      <w:pPr>
        <w:pStyle w:val="Author-eListParagraph"/>
        <w:numPr>
          <w:ilvl w:val="1"/>
          <w:numId w:val="758"/>
        </w:numPr>
      </w:pPr>
      <w:r>
        <w:t xml:space="preserve">les revêtements (actifs et non actifs) : </w:t>
      </w:r>
      <w:r>
        <w:rPr>
          <w:rStyle w:val="optioncarChar"/>
        </w:rPr>
        <w:t>non / oui </w:t>
      </w:r>
    </w:p>
    <w:p w14:paraId="3EAAE0EF" w14:textId="77777777" w:rsidR="004B2808" w:rsidRDefault="00000000">
      <w:pPr>
        <w:jc w:val="both"/>
      </w:pPr>
      <w:r>
        <w:t xml:space="preserve">Les raccordements hydrauliques entre panneaux émetteurs sont réalisés par l’entrepreneur chargé : </w:t>
      </w:r>
      <w:r>
        <w:rPr>
          <w:rStyle w:val="optioncarChar"/>
        </w:rPr>
        <w:t>du système climatique / de la présente entreprise (plafonds) / *** </w:t>
      </w:r>
    </w:p>
    <w:p w14:paraId="3C8414EE" w14:textId="77777777" w:rsidR="004B2808" w:rsidRDefault="00000000">
      <w:pPr>
        <w:jc w:val="both"/>
      </w:pPr>
      <w:r>
        <w:t xml:space="preserve">Les raccordements hydrauliques aux collecteurs d’alimentation sont réalisés par l’entrepreneur chargé : </w:t>
      </w:r>
      <w:r>
        <w:rPr>
          <w:rStyle w:val="optioncarChar"/>
        </w:rPr>
        <w:t>du système climatique / de la présente entreprise (plafonds) / *** </w:t>
      </w:r>
    </w:p>
    <w:p w14:paraId="3223BBB7" w14:textId="77777777" w:rsidR="004B2808" w:rsidRDefault="00000000">
      <w:pPr>
        <w:pStyle w:val="pheading"/>
      </w:pPr>
      <w:r>
        <w:t>MATÉRIAUX</w:t>
      </w:r>
    </w:p>
    <w:p w14:paraId="1FE51960" w14:textId="77777777" w:rsidR="004B2808" w:rsidRDefault="00000000">
      <w:pPr>
        <w:pStyle w:val="pheading"/>
      </w:pPr>
      <w:r>
        <w:t>- Caractéristiques générales</w:t>
      </w:r>
    </w:p>
    <w:p w14:paraId="330B2CB3" w14:textId="77777777" w:rsidR="004B2808" w:rsidRDefault="00000000">
      <w:pPr>
        <w:jc w:val="both"/>
      </w:pPr>
      <w:r>
        <w:rPr>
          <w:b/>
        </w:rPr>
        <w:t>Généralités : </w:t>
      </w:r>
    </w:p>
    <w:p w14:paraId="4EBEAB0A" w14:textId="77777777" w:rsidR="004B2808" w:rsidRDefault="00000000">
      <w:pPr>
        <w:jc w:val="both"/>
      </w:pPr>
      <w:r>
        <w:t>L’ensemble est conçu et dimensionné :  </w:t>
      </w:r>
    </w:p>
    <w:p w14:paraId="03B47A93" w14:textId="77777777" w:rsidR="004B2808" w:rsidRDefault="00000000">
      <w:pPr>
        <w:pStyle w:val="Author-eListParagraph"/>
        <w:numPr>
          <w:ilvl w:val="0"/>
          <w:numId w:val="759"/>
        </w:numPr>
      </w:pPr>
      <w:r>
        <w:rPr>
          <w:rStyle w:val="optioncarChar"/>
        </w:rPr>
        <w:t xml:space="preserve">selon les indications aux 6 T6 HVAC - sanitaires et suivants </w:t>
      </w:r>
      <w:r>
        <w:t>(par défaut)</w:t>
      </w:r>
      <w:r>
        <w:rPr>
          <w:rStyle w:val="optioncarChar"/>
        </w:rPr>
        <w:t xml:space="preserve"> / par le bureau d’études HVAC désigné par le maître d’ouvrage / par le bureau d’études du fabricant / *** </w:t>
      </w:r>
    </w:p>
    <w:p w14:paraId="3DCF0802" w14:textId="77777777" w:rsidR="004B2808" w:rsidRDefault="00000000">
      <w:pPr>
        <w:pStyle w:val="Author-eListParagraph"/>
        <w:numPr>
          <w:ilvl w:val="0"/>
          <w:numId w:val="759"/>
        </w:numPr>
      </w:pPr>
      <w:r>
        <w:t>afin d’éviter tout risque de condensation au niveau du plafond climatique. </w:t>
      </w:r>
    </w:p>
    <w:p w14:paraId="4A730DD1" w14:textId="77777777" w:rsidR="004B2808" w:rsidRDefault="00000000">
      <w:pPr>
        <w:jc w:val="both"/>
      </w:pPr>
      <w:r>
        <w:t xml:space="preserve">Le montage se fait : </w:t>
      </w:r>
      <w:r>
        <w:rPr>
          <w:rStyle w:val="optioncarChar"/>
        </w:rPr>
        <w:t>en intégration dans un faux-plafond / en îlot / *** </w:t>
      </w:r>
    </w:p>
    <w:p w14:paraId="3AE5E3A4" w14:textId="77777777" w:rsidR="004B2808" w:rsidRDefault="00000000">
      <w:pPr>
        <w:jc w:val="both"/>
      </w:pPr>
      <w:r>
        <w:t xml:space="preserve">Les éléments compris dans la présente entreprise sont / ne sont pas complétés par des éléments décrits et éventuellement comptés aux </w:t>
      </w:r>
      <w:hyperlink w:anchor="1300" w:history="1">
        <w:r w:rsidR="004B2808">
          <w:rPr>
            <w:color w:val="0000EE"/>
          </w:rPr>
          <w:t>54.3 Plafonds suspendus (Rem.: la structure porteuse est explicité à l'article)</w:t>
        </w:r>
      </w:hyperlink>
      <w:r>
        <w:t xml:space="preserve"> et suivants. </w:t>
      </w:r>
    </w:p>
    <w:p w14:paraId="205AE6D1" w14:textId="77777777" w:rsidR="004B2808" w:rsidRDefault="004B2808">
      <w:pPr>
        <w:jc w:val="both"/>
      </w:pPr>
    </w:p>
    <w:p w14:paraId="5A55AA67" w14:textId="77777777" w:rsidR="004B2808" w:rsidRDefault="00000000">
      <w:pPr>
        <w:jc w:val="both"/>
      </w:pPr>
      <w:r>
        <w:rPr>
          <w:b/>
        </w:rPr>
        <w:t>Description – Eléments constitutifs : </w:t>
      </w:r>
    </w:p>
    <w:p w14:paraId="23772064" w14:textId="77777777" w:rsidR="004B2808" w:rsidRDefault="00000000">
      <w:pPr>
        <w:jc w:val="both"/>
      </w:pPr>
      <w:r>
        <w:lastRenderedPageBreak/>
        <w:t>Le complexe comprend et répond notamment aux descriptions suivantes : </w:t>
      </w:r>
    </w:p>
    <w:p w14:paraId="2C22502E" w14:textId="77777777" w:rsidR="004B2808" w:rsidRDefault="004B2808">
      <w:pPr>
        <w:jc w:val="both"/>
      </w:pPr>
    </w:p>
    <w:p w14:paraId="3B6AC2DD" w14:textId="77777777" w:rsidR="004B2808" w:rsidRDefault="00000000">
      <w:pPr>
        <w:jc w:val="both"/>
      </w:pPr>
      <w:r>
        <w:rPr>
          <w:u w:val="single"/>
        </w:rPr>
        <w:t>Structure de support : </w:t>
      </w:r>
    </w:p>
    <w:p w14:paraId="09C25D13" w14:textId="77777777" w:rsidR="004B2808" w:rsidRDefault="00000000">
      <w:pPr>
        <w:jc w:val="both"/>
      </w:pPr>
      <w:r>
        <w:t>Elle permet l’installation du plafond quelles que soient sa forme et les irrégularités de la construction dans laquelle elle se fixe. </w:t>
      </w:r>
    </w:p>
    <w:p w14:paraId="00794BA4" w14:textId="77777777" w:rsidR="004B2808" w:rsidRDefault="00000000">
      <w:pPr>
        <w:jc w:val="both"/>
      </w:pPr>
      <w:r>
        <w:t>Le dimensionnement : </w:t>
      </w:r>
    </w:p>
    <w:p w14:paraId="48578CB9" w14:textId="77777777" w:rsidR="004B2808" w:rsidRDefault="00000000">
      <w:pPr>
        <w:pStyle w:val="Author-eListParagraph"/>
        <w:numPr>
          <w:ilvl w:val="0"/>
          <w:numId w:val="760"/>
        </w:numPr>
      </w:pPr>
      <w:r>
        <w:t>tient notamment compte du poids propre du plafond et des éléments techniques qui y sont intégrés (luminaires, système de ventilation, accessoires, …) </w:t>
      </w:r>
    </w:p>
    <w:p w14:paraId="61BE6D3F" w14:textId="77777777" w:rsidR="004B2808" w:rsidRDefault="00000000">
      <w:pPr>
        <w:pStyle w:val="Author-eListParagraph"/>
        <w:numPr>
          <w:ilvl w:val="0"/>
          <w:numId w:val="760"/>
        </w:numPr>
      </w:pPr>
      <w:r>
        <w:t xml:space="preserve">est réalisé : </w:t>
      </w:r>
      <w:r>
        <w:rPr>
          <w:rStyle w:val="optioncarChar"/>
        </w:rPr>
        <w:t>selon les indications aux 6 T6 HVAC - sanitaires et suivants</w:t>
      </w:r>
      <w:r>
        <w:t> (par défaut)</w:t>
      </w:r>
      <w:r>
        <w:rPr>
          <w:rStyle w:val="optioncarChar"/>
        </w:rPr>
        <w:t> / par le bureau d’études HVAC désigné par le maître d’ouvrage / par le bureau d’études du fabricant / *** </w:t>
      </w:r>
    </w:p>
    <w:p w14:paraId="6171FF99" w14:textId="77777777" w:rsidR="004B2808" w:rsidRDefault="00000000">
      <w:pPr>
        <w:jc w:val="both"/>
      </w:pPr>
      <w:r>
        <w:t>La position, l’entraxe des éléments porteurs, … sont déterminés par l’entrepreneur en fonction des panneaux (éléments climatiques, éléments de finition, …) à installer. </w:t>
      </w:r>
    </w:p>
    <w:p w14:paraId="6D677821" w14:textId="77777777" w:rsidR="004B2808" w:rsidRDefault="00000000">
      <w:pPr>
        <w:jc w:val="both"/>
      </w:pPr>
      <w:r>
        <w:t>Elle présente notamment les caractéristiques suivantes : </w:t>
      </w:r>
    </w:p>
    <w:p w14:paraId="35788B3E" w14:textId="77777777" w:rsidR="004B2808" w:rsidRDefault="00000000">
      <w:pPr>
        <w:pStyle w:val="Author-eListParagraph"/>
        <w:numPr>
          <w:ilvl w:val="0"/>
          <w:numId w:val="761"/>
        </w:numPr>
      </w:pPr>
      <w:r>
        <w:t xml:space="preserve">Système de suspension réglable :  </w:t>
      </w:r>
    </w:p>
    <w:p w14:paraId="6C8289BC" w14:textId="77777777" w:rsidR="004B2808" w:rsidRDefault="00000000">
      <w:pPr>
        <w:pStyle w:val="Author-eListParagraph"/>
        <w:numPr>
          <w:ilvl w:val="1"/>
          <w:numId w:val="762"/>
        </w:numPr>
      </w:pPr>
      <w:r>
        <w:t xml:space="preserve">Matériau : </w:t>
      </w:r>
      <w:r>
        <w:rPr>
          <w:rStyle w:val="optioncarChar"/>
        </w:rPr>
        <w:t>acier galvanisé / aluminium / *** </w:t>
      </w:r>
    </w:p>
    <w:p w14:paraId="66EAE4AF" w14:textId="77777777" w:rsidR="004B2808" w:rsidRDefault="00000000">
      <w:pPr>
        <w:pStyle w:val="Author-eListParagraph"/>
        <w:numPr>
          <w:ilvl w:val="1"/>
          <w:numId w:val="762"/>
        </w:numPr>
      </w:pPr>
      <w:r>
        <w:t xml:space="preserve">Type de structure : </w:t>
      </w:r>
      <w:r>
        <w:rPr>
          <w:rStyle w:val="optioncarChar"/>
        </w:rPr>
        <w:t>simple / double / *** </w:t>
      </w:r>
    </w:p>
    <w:p w14:paraId="5C540349" w14:textId="77777777" w:rsidR="004B2808" w:rsidRDefault="00000000">
      <w:pPr>
        <w:pStyle w:val="Author-eListParagraph"/>
        <w:numPr>
          <w:ilvl w:val="1"/>
          <w:numId w:val="762"/>
        </w:numPr>
      </w:pPr>
      <w:r>
        <w:t xml:space="preserve">Hauteur de suspension ≥ : </w:t>
      </w:r>
      <w:r>
        <w:rPr>
          <w:rStyle w:val="optioncarChar"/>
        </w:rPr>
        <w:t>150 / ***</w:t>
      </w:r>
      <w:r>
        <w:t xml:space="preserve"> mm </w:t>
      </w:r>
    </w:p>
    <w:p w14:paraId="1E0EEF13" w14:textId="77777777" w:rsidR="004B2808" w:rsidRDefault="00000000">
      <w:pPr>
        <w:pStyle w:val="Author-eListParagraph"/>
        <w:numPr>
          <w:ilvl w:val="1"/>
          <w:numId w:val="762"/>
        </w:numPr>
      </w:pPr>
      <w:r>
        <w:rPr>
          <w:rStyle w:val="optioncarChar"/>
        </w:rPr>
        <w:t>*** </w:t>
      </w:r>
    </w:p>
    <w:p w14:paraId="3DF6606D" w14:textId="77777777" w:rsidR="004B2808" w:rsidRDefault="00000000">
      <w:pPr>
        <w:pStyle w:val="Author-eListParagraph"/>
        <w:numPr>
          <w:ilvl w:val="0"/>
          <w:numId w:val="761"/>
        </w:numPr>
      </w:pPr>
      <w:r>
        <w:t xml:space="preserve">Eléments porteurs du revêtement de plafond (profils et traverses - entretoises) :  </w:t>
      </w:r>
    </w:p>
    <w:p w14:paraId="2FDE1C1A" w14:textId="77777777" w:rsidR="004B2808" w:rsidRDefault="00000000">
      <w:pPr>
        <w:pStyle w:val="Author-eListParagraph"/>
        <w:numPr>
          <w:ilvl w:val="1"/>
          <w:numId w:val="763"/>
        </w:numPr>
      </w:pPr>
      <w:r>
        <w:t xml:space="preserve">Forme : </w:t>
      </w:r>
      <w:r>
        <w:rPr>
          <w:rStyle w:val="optioncarChar"/>
        </w:rPr>
        <w:t>T / C / *** </w:t>
      </w:r>
    </w:p>
    <w:p w14:paraId="76E8D780" w14:textId="77777777" w:rsidR="004B2808" w:rsidRDefault="00000000">
      <w:pPr>
        <w:pStyle w:val="Author-eListParagraph"/>
        <w:numPr>
          <w:ilvl w:val="1"/>
          <w:numId w:val="763"/>
        </w:numPr>
      </w:pPr>
      <w:r>
        <w:t xml:space="preserve">Type : </w:t>
      </w:r>
      <w:r>
        <w:rPr>
          <w:rStyle w:val="optioncarChar"/>
        </w:rPr>
        <w:t>apparents / semi-apparents / non apparents </w:t>
      </w:r>
    </w:p>
    <w:p w14:paraId="5DA04355" w14:textId="77777777" w:rsidR="004B2808" w:rsidRDefault="00000000">
      <w:pPr>
        <w:pStyle w:val="Author-eListParagraph"/>
        <w:numPr>
          <w:ilvl w:val="1"/>
          <w:numId w:val="763"/>
        </w:numPr>
      </w:pPr>
      <w:r>
        <w:t xml:space="preserve">Largeur nominale des profils vus : </w:t>
      </w:r>
      <w:r>
        <w:rPr>
          <w:rStyle w:val="optioncarChar"/>
        </w:rPr>
        <w:t>24 / 30 / ***</w:t>
      </w:r>
      <w:r>
        <w:t xml:space="preserve"> mm </w:t>
      </w:r>
    </w:p>
    <w:p w14:paraId="6843FB34" w14:textId="77777777" w:rsidR="004B2808" w:rsidRDefault="00000000">
      <w:pPr>
        <w:pStyle w:val="Author-eListParagraph"/>
        <w:numPr>
          <w:ilvl w:val="1"/>
          <w:numId w:val="763"/>
        </w:numPr>
      </w:pPr>
      <w:r>
        <w:t xml:space="preserve">Matériau : </w:t>
      </w:r>
      <w:r>
        <w:rPr>
          <w:rStyle w:val="optioncarChar"/>
        </w:rPr>
        <w:t>acier galvanisé recouvert d’un primer / *** </w:t>
      </w:r>
    </w:p>
    <w:p w14:paraId="1308E63D" w14:textId="77777777" w:rsidR="004B2808" w:rsidRDefault="00000000">
      <w:pPr>
        <w:jc w:val="both"/>
      </w:pPr>
      <w:r>
        <w:rPr>
          <w:u w:val="single"/>
        </w:rPr>
        <w:t>Bacs : </w:t>
      </w:r>
    </w:p>
    <w:p w14:paraId="57757EA9" w14:textId="77777777" w:rsidR="004B2808" w:rsidRDefault="00000000">
      <w:pPr>
        <w:pStyle w:val="Author-eListParagraph"/>
        <w:numPr>
          <w:ilvl w:val="0"/>
          <w:numId w:val="764"/>
        </w:numPr>
      </w:pPr>
      <w:r>
        <w:t xml:space="preserve">Matériau : </w:t>
      </w:r>
      <w:r>
        <w:rPr>
          <w:rStyle w:val="optioncarChar"/>
        </w:rPr>
        <w:t>acier galvanisé / aluminium / *** </w:t>
      </w:r>
    </w:p>
    <w:p w14:paraId="518904B1" w14:textId="77777777" w:rsidR="004B2808" w:rsidRDefault="00000000">
      <w:pPr>
        <w:pStyle w:val="Author-eListParagraph"/>
        <w:numPr>
          <w:ilvl w:val="0"/>
          <w:numId w:val="764"/>
        </w:numPr>
      </w:pPr>
      <w:r>
        <w:t xml:space="preserve">Epaisseur ≥ : </w:t>
      </w:r>
      <w:r>
        <w:rPr>
          <w:rStyle w:val="optioncarChar"/>
        </w:rPr>
        <w:t>0,5 / 0,6 / 1 / ***</w:t>
      </w:r>
      <w:r>
        <w:t xml:space="preserve"> mm </w:t>
      </w:r>
    </w:p>
    <w:p w14:paraId="1085D857" w14:textId="77777777" w:rsidR="004B2808" w:rsidRDefault="00000000">
      <w:pPr>
        <w:pStyle w:val="Author-eListParagraph"/>
        <w:numPr>
          <w:ilvl w:val="0"/>
          <w:numId w:val="764"/>
        </w:numPr>
      </w:pPr>
      <w:r>
        <w:t xml:space="preserve">Dimensions nominales (LxlxH) : </w:t>
      </w:r>
      <w:r>
        <w:rPr>
          <w:rStyle w:val="optioncarChar"/>
        </w:rPr>
        <w:t>selon le dimensionnement et plans de détails / 600x600 / 1200x600 / 1800x600 / 2400x600 / 3000x600 / *** mm </w:t>
      </w:r>
    </w:p>
    <w:p w14:paraId="79C93381" w14:textId="77777777" w:rsidR="004B2808" w:rsidRDefault="00000000">
      <w:pPr>
        <w:pStyle w:val="Author-eListParagraph"/>
        <w:numPr>
          <w:ilvl w:val="0"/>
          <w:numId w:val="764"/>
        </w:numPr>
      </w:pPr>
      <w:r>
        <w:t xml:space="preserve">Equipés de câbles de fixation pour sécuriser les modules : </w:t>
      </w:r>
      <w:r>
        <w:rPr>
          <w:rStyle w:val="optioncarChar"/>
        </w:rPr>
        <w:t>oui</w:t>
      </w:r>
      <w:r>
        <w:t xml:space="preserve"> (par défaut)</w:t>
      </w:r>
      <w:r>
        <w:rPr>
          <w:rStyle w:val="optioncarChar"/>
        </w:rPr>
        <w:t xml:space="preserve"> / non </w:t>
      </w:r>
    </w:p>
    <w:p w14:paraId="36C9DB04" w14:textId="77777777" w:rsidR="004B2808" w:rsidRDefault="00000000">
      <w:pPr>
        <w:pStyle w:val="Author-eListParagraph"/>
        <w:numPr>
          <w:ilvl w:val="0"/>
          <w:numId w:val="764"/>
        </w:numPr>
      </w:pPr>
      <w:r>
        <w:t xml:space="preserve">Avec découpes spéciales afin d’intégrer certains éléments (luminaires, alarmes incendies, bouches de ventilation, …) : </w:t>
      </w:r>
      <w:r>
        <w:rPr>
          <w:rStyle w:val="optioncarChar"/>
        </w:rPr>
        <w:t>non / oui, selon les indications aux plans / selon les indications du bureau d’études / *** </w:t>
      </w:r>
    </w:p>
    <w:p w14:paraId="78E40BBB" w14:textId="77777777" w:rsidR="004B2808" w:rsidRDefault="00000000">
      <w:pPr>
        <w:pStyle w:val="Author-eListParagraph"/>
        <w:numPr>
          <w:ilvl w:val="0"/>
          <w:numId w:val="764"/>
        </w:numPr>
      </w:pPr>
      <w:r>
        <w:t>Pour un montage en ilot, le profil des chants extérieurs est à bords droits. </w:t>
      </w:r>
    </w:p>
    <w:p w14:paraId="5FA2F89F" w14:textId="77777777" w:rsidR="004B2808" w:rsidRDefault="00000000">
      <w:pPr>
        <w:pStyle w:val="Author-eListParagraph"/>
        <w:numPr>
          <w:ilvl w:val="0"/>
          <w:numId w:val="764"/>
        </w:numPr>
      </w:pPr>
      <w:r>
        <w:t xml:space="preserve">Surface visible : </w:t>
      </w:r>
      <w:r>
        <w:rPr>
          <w:rStyle w:val="optioncarChar"/>
        </w:rPr>
        <w:t>pleine / perforée  </w:t>
      </w:r>
    </w:p>
    <w:p w14:paraId="0A28D6FD" w14:textId="77777777" w:rsidR="004B2808" w:rsidRDefault="00000000">
      <w:pPr>
        <w:ind w:left="567"/>
        <w:jc w:val="both"/>
      </w:pPr>
      <w:r>
        <w:rPr>
          <w:b/>
        </w:rPr>
        <w:t>(soit) </w:t>
      </w:r>
    </w:p>
    <w:p w14:paraId="5BCC589D" w14:textId="77777777" w:rsidR="004B2808" w:rsidRDefault="00000000">
      <w:pPr>
        <w:ind w:left="567"/>
        <w:jc w:val="both"/>
      </w:pPr>
      <w:r>
        <w:rPr>
          <w:rStyle w:val="soitChar"/>
          <w:u w:val="single"/>
        </w:rPr>
        <w:t>Pleine : </w:t>
      </w:r>
    </w:p>
    <w:p w14:paraId="49705B6C" w14:textId="77777777" w:rsidR="004B2808" w:rsidRDefault="00000000">
      <w:pPr>
        <w:ind w:left="567"/>
        <w:jc w:val="both"/>
      </w:pPr>
      <w:r>
        <w:rPr>
          <w:rStyle w:val="soitChar"/>
        </w:rPr>
        <w:t>Toute la surface du panneau est lisse. </w:t>
      </w:r>
    </w:p>
    <w:p w14:paraId="767016A6" w14:textId="77777777" w:rsidR="004B2808" w:rsidRDefault="00000000">
      <w:pPr>
        <w:ind w:left="567"/>
        <w:jc w:val="both"/>
      </w:pPr>
      <w:r>
        <w:rPr>
          <w:b/>
        </w:rPr>
        <w:t>(soit) </w:t>
      </w:r>
    </w:p>
    <w:p w14:paraId="4521C508" w14:textId="77777777" w:rsidR="004B2808" w:rsidRDefault="00000000">
      <w:pPr>
        <w:ind w:left="567"/>
        <w:jc w:val="both"/>
      </w:pPr>
      <w:r>
        <w:rPr>
          <w:rStyle w:val="soitChar"/>
          <w:u w:val="single"/>
        </w:rPr>
        <w:t>Perforée : </w:t>
      </w:r>
    </w:p>
    <w:p w14:paraId="3B909EF2" w14:textId="77777777" w:rsidR="004B2808" w:rsidRDefault="00000000">
      <w:pPr>
        <w:ind w:left="567"/>
        <w:jc w:val="both"/>
      </w:pPr>
      <w:r>
        <w:rPr>
          <w:rStyle w:val="soitChar"/>
        </w:rPr>
        <w:t>Schéma de perforation : </w:t>
      </w:r>
    </w:p>
    <w:p w14:paraId="362E77FE" w14:textId="77777777" w:rsidR="004B2808" w:rsidRDefault="00000000">
      <w:pPr>
        <w:pStyle w:val="Author-eListParagraph"/>
        <w:numPr>
          <w:ilvl w:val="1"/>
          <w:numId w:val="765"/>
        </w:numPr>
      </w:pPr>
      <w:r>
        <w:rPr>
          <w:rStyle w:val="soitChar"/>
        </w:rPr>
        <w:t xml:space="preserve">Diamètre des perforations : </w:t>
      </w:r>
      <w:r>
        <w:rPr>
          <w:rStyle w:val="optioncarChar"/>
        </w:rPr>
        <w:t>1,5 / 2 / ***</w:t>
      </w:r>
      <w:r>
        <w:rPr>
          <w:rStyle w:val="soitChar"/>
        </w:rPr>
        <w:t xml:space="preserve"> mm </w:t>
      </w:r>
    </w:p>
    <w:p w14:paraId="2FBE0917" w14:textId="77777777" w:rsidR="004B2808" w:rsidRDefault="00000000">
      <w:pPr>
        <w:pStyle w:val="Author-eListParagraph"/>
        <w:numPr>
          <w:ilvl w:val="1"/>
          <w:numId w:val="765"/>
        </w:numPr>
      </w:pPr>
      <w:r>
        <w:rPr>
          <w:rStyle w:val="soitChar"/>
        </w:rPr>
        <w:t xml:space="preserve">Pourcentage de vide : </w:t>
      </w:r>
      <w:r>
        <w:rPr>
          <w:rStyle w:val="optioncarChar"/>
        </w:rPr>
        <w:t>20 / 25 / ***</w:t>
      </w:r>
      <w:r>
        <w:rPr>
          <w:rStyle w:val="soitChar"/>
        </w:rPr>
        <w:t xml:space="preserve"> % </w:t>
      </w:r>
    </w:p>
    <w:p w14:paraId="286F8B94" w14:textId="77777777" w:rsidR="004B2808" w:rsidRDefault="00000000">
      <w:pPr>
        <w:pStyle w:val="Author-eListParagraph"/>
        <w:numPr>
          <w:ilvl w:val="1"/>
          <w:numId w:val="765"/>
        </w:numPr>
      </w:pPr>
      <w:r>
        <w:rPr>
          <w:rStyle w:val="soitChar"/>
        </w:rPr>
        <w:t xml:space="preserve">Bord non perforé sur tout le pourtour : </w:t>
      </w:r>
      <w:r>
        <w:rPr>
          <w:rStyle w:val="optioncarChar"/>
        </w:rPr>
        <w:t>non  /  oui d’une largeur de ± : 10 / *** mm </w:t>
      </w:r>
    </w:p>
    <w:p w14:paraId="5A4A6689" w14:textId="77777777" w:rsidR="004B2808" w:rsidRDefault="00000000">
      <w:pPr>
        <w:jc w:val="both"/>
      </w:pPr>
      <w:r>
        <w:t>Ils sont équipés des éléments suivants : </w:t>
      </w:r>
    </w:p>
    <w:p w14:paraId="734C7154" w14:textId="77777777" w:rsidR="004B2808" w:rsidRDefault="00000000">
      <w:pPr>
        <w:pStyle w:val="Author-eListParagraph"/>
        <w:numPr>
          <w:ilvl w:val="0"/>
          <w:numId w:val="766"/>
        </w:numPr>
      </w:pPr>
      <w:r>
        <w:t xml:space="preserve">Voile noir acoustique : </w:t>
      </w:r>
      <w:r>
        <w:rPr>
          <w:rStyle w:val="optioncarChar"/>
        </w:rPr>
        <w:t>non / oui </w:t>
      </w:r>
    </w:p>
    <w:p w14:paraId="56A4A25E" w14:textId="77777777" w:rsidR="004B2808" w:rsidRDefault="00000000">
      <w:pPr>
        <w:pStyle w:val="Author-eListParagraph"/>
        <w:numPr>
          <w:ilvl w:val="0"/>
          <w:numId w:val="766"/>
        </w:numPr>
      </w:pPr>
      <w:r>
        <w:t xml:space="preserve">Matelas d’isolation acoustique – thermique : </w:t>
      </w:r>
      <w:r>
        <w:rPr>
          <w:rStyle w:val="optioncarChar"/>
        </w:rPr>
        <w:t>non / oui </w:t>
      </w:r>
    </w:p>
    <w:p w14:paraId="04F5DDEC" w14:textId="77777777" w:rsidR="004B2808" w:rsidRDefault="00000000">
      <w:pPr>
        <w:ind w:left="567"/>
        <w:jc w:val="both"/>
      </w:pPr>
      <w:r>
        <w:rPr>
          <w:b/>
        </w:rPr>
        <w:lastRenderedPageBreak/>
        <w:t>(soit) </w:t>
      </w:r>
    </w:p>
    <w:p w14:paraId="674F5E2E" w14:textId="77777777" w:rsidR="004B2808" w:rsidRDefault="00000000">
      <w:pPr>
        <w:ind w:left="567"/>
        <w:jc w:val="both"/>
      </w:pPr>
      <w:r>
        <w:rPr>
          <w:rStyle w:val="soitChar"/>
          <w:u w:val="single"/>
        </w:rPr>
        <w:t>Non :</w:t>
      </w:r>
      <w:r>
        <w:rPr>
          <w:rStyle w:val="soitChar"/>
        </w:rPr>
        <w:t xml:space="preserve"> aucun matelas n’est placé. </w:t>
      </w:r>
    </w:p>
    <w:p w14:paraId="6ADCF46F" w14:textId="77777777" w:rsidR="004B2808" w:rsidRDefault="00000000">
      <w:pPr>
        <w:ind w:left="567"/>
        <w:jc w:val="both"/>
      </w:pPr>
      <w:r>
        <w:rPr>
          <w:b/>
        </w:rPr>
        <w:t>(soit) </w:t>
      </w:r>
    </w:p>
    <w:p w14:paraId="399A2B7A" w14:textId="77777777" w:rsidR="004B2808" w:rsidRDefault="00000000">
      <w:pPr>
        <w:ind w:left="567"/>
        <w:jc w:val="both"/>
      </w:pPr>
      <w:r>
        <w:rPr>
          <w:rStyle w:val="soitChar"/>
          <w:u w:val="single"/>
        </w:rPr>
        <w:t>Oui : </w:t>
      </w:r>
    </w:p>
    <w:p w14:paraId="6A82C98D" w14:textId="77777777" w:rsidR="004B2808" w:rsidRDefault="00000000">
      <w:pPr>
        <w:ind w:left="567"/>
        <w:jc w:val="both"/>
      </w:pPr>
      <w:r>
        <w:rPr>
          <w:rStyle w:val="soitChar"/>
        </w:rPr>
        <w:t>Les panneaux sont équipés d’un matelas d’isolation à base de laine minérale, ensaché, de ton noir. </w:t>
      </w:r>
    </w:p>
    <w:p w14:paraId="367B0515" w14:textId="77777777" w:rsidR="004B2808" w:rsidRDefault="00000000">
      <w:pPr>
        <w:ind w:left="567"/>
        <w:jc w:val="both"/>
      </w:pPr>
      <w:r>
        <w:rPr>
          <w:rStyle w:val="soitChar"/>
        </w:rPr>
        <w:t>Absorption acoustique α</w:t>
      </w:r>
      <w:r>
        <w:rPr>
          <w:rStyle w:val="soitChar"/>
          <w:vertAlign w:val="subscript"/>
        </w:rPr>
        <w:t>w</w:t>
      </w:r>
      <w:r>
        <w:rPr>
          <w:rStyle w:val="soitChar"/>
        </w:rPr>
        <w:t xml:space="preserve"> ≥ : </w:t>
      </w:r>
      <w:r>
        <w:rPr>
          <w:rStyle w:val="optioncarChar"/>
        </w:rPr>
        <w:t>0,55 / 0,85 / 1 / ***</w:t>
      </w:r>
      <w:r>
        <w:rPr>
          <w:rStyle w:val="soitChar"/>
        </w:rPr>
        <w:t>, selon [NBN EN ISO 11654]</w:t>
      </w:r>
    </w:p>
    <w:p w14:paraId="287ECED2" w14:textId="77777777" w:rsidR="004B2808" w:rsidRDefault="00000000">
      <w:pPr>
        <w:ind w:left="567"/>
        <w:jc w:val="both"/>
      </w:pPr>
      <w:r>
        <w:rPr>
          <w:rStyle w:val="soitChar"/>
        </w:rPr>
        <w:t xml:space="preserve">Epaisseur : </w:t>
      </w:r>
      <w:r>
        <w:rPr>
          <w:rStyle w:val="optioncarChar"/>
        </w:rPr>
        <w:t>selon la documentation technique qui accompagne le produit / ≥ 2 / ≥ 3 / ≥ *** cm </w:t>
      </w:r>
    </w:p>
    <w:p w14:paraId="23D1201D" w14:textId="77777777" w:rsidR="004B2808" w:rsidRDefault="00000000">
      <w:pPr>
        <w:ind w:left="567"/>
        <w:jc w:val="both"/>
      </w:pPr>
      <w:r>
        <w:rPr>
          <w:rStyle w:val="soitChar"/>
        </w:rPr>
        <w:t xml:space="preserve">Poids : </w:t>
      </w:r>
      <w:r>
        <w:rPr>
          <w:rStyle w:val="optioncarChar"/>
        </w:rPr>
        <w:t>selon la documentation technique qui accompagne le produit / ± 0,8 / ± 1,4 / ± *** kg/m² </w:t>
      </w:r>
    </w:p>
    <w:p w14:paraId="28C9B980" w14:textId="77777777" w:rsidR="004B2808" w:rsidRDefault="00000000">
      <w:pPr>
        <w:ind w:left="567"/>
        <w:jc w:val="both"/>
      </w:pPr>
      <w:r>
        <w:rPr>
          <w:rStyle w:val="soitChar"/>
        </w:rPr>
        <w:t>Résistance thermique :</w:t>
      </w:r>
      <w:r>
        <w:rPr>
          <w:rStyle w:val="optioncarChar"/>
        </w:rPr>
        <w:t xml:space="preserve"> selon la documentation technique qui accompagne le produit / ≥ 0,75 / *** m²K/W </w:t>
      </w:r>
    </w:p>
    <w:p w14:paraId="5DDE297B" w14:textId="77777777" w:rsidR="004B2808" w:rsidRDefault="00000000">
      <w:pPr>
        <w:pStyle w:val="Author-eListParagraph"/>
        <w:numPr>
          <w:ilvl w:val="0"/>
          <w:numId w:val="767"/>
        </w:numPr>
      </w:pPr>
      <w:r>
        <w:t xml:space="preserve">Panneau supérieur de fermeture : </w:t>
      </w:r>
      <w:r>
        <w:rPr>
          <w:rStyle w:val="optioncarChar"/>
        </w:rPr>
        <w:t>non / oui, en plâtre / métal / ***  </w:t>
      </w:r>
    </w:p>
    <w:p w14:paraId="2EEA468D" w14:textId="77777777" w:rsidR="004B2808" w:rsidRDefault="00000000">
      <w:pPr>
        <w:jc w:val="both"/>
      </w:pPr>
      <w:r>
        <w:rPr>
          <w:u w:val="single"/>
        </w:rPr>
        <w:t>Elément actif - Emetteur (tuyauteries) : </w:t>
      </w:r>
    </w:p>
    <w:p w14:paraId="6CA15427" w14:textId="77777777" w:rsidR="004B2808" w:rsidRDefault="00000000">
      <w:pPr>
        <w:pStyle w:val="Author-eListParagraph"/>
        <w:numPr>
          <w:ilvl w:val="0"/>
          <w:numId w:val="768"/>
        </w:numPr>
      </w:pPr>
      <w:r>
        <w:t xml:space="preserve">Constitué de serpentin de tubes en : </w:t>
      </w:r>
      <w:r>
        <w:rPr>
          <w:rStyle w:val="optioncarChar"/>
        </w:rPr>
        <w:t>cuivre / matière synthétique / *** </w:t>
      </w:r>
    </w:p>
    <w:p w14:paraId="04266092" w14:textId="77777777" w:rsidR="004B2808" w:rsidRDefault="00000000">
      <w:pPr>
        <w:pStyle w:val="Author-eListParagraph"/>
        <w:numPr>
          <w:ilvl w:val="0"/>
          <w:numId w:val="768"/>
        </w:numPr>
      </w:pPr>
      <w:r>
        <w:t xml:space="preserve">Diamètre nominal : </w:t>
      </w:r>
      <w:r>
        <w:rPr>
          <w:rStyle w:val="optioncarChar"/>
        </w:rPr>
        <w:t>10 / 12 / ***</w:t>
      </w:r>
      <w:r>
        <w:t xml:space="preserve"> mm </w:t>
      </w:r>
    </w:p>
    <w:p w14:paraId="4F537304" w14:textId="77777777" w:rsidR="004B2808" w:rsidRDefault="00000000">
      <w:pPr>
        <w:pStyle w:val="Author-eListParagraph"/>
        <w:numPr>
          <w:ilvl w:val="0"/>
          <w:numId w:val="768"/>
        </w:numPr>
      </w:pPr>
      <w:r>
        <w:t xml:space="preserve">Equipés de profilés conducteurs : </w:t>
      </w:r>
      <w:r>
        <w:rPr>
          <w:rStyle w:val="optioncarChar"/>
        </w:rPr>
        <w:t>non / oui, en aluminium / graphite naturel expansé / *** </w:t>
      </w:r>
    </w:p>
    <w:p w14:paraId="4F704036" w14:textId="77777777" w:rsidR="004B2808" w:rsidRDefault="00000000">
      <w:pPr>
        <w:pStyle w:val="Author-eListParagraph"/>
        <w:numPr>
          <w:ilvl w:val="0"/>
          <w:numId w:val="768"/>
        </w:numPr>
      </w:pPr>
      <w:r>
        <w:t xml:space="preserve">Fixés (soudés / collés) en usine au panneau : </w:t>
      </w:r>
      <w:r>
        <w:rPr>
          <w:rStyle w:val="optioncarChar"/>
        </w:rPr>
        <w:t>non / oui </w:t>
      </w:r>
    </w:p>
    <w:p w14:paraId="205C36B4" w14:textId="77777777" w:rsidR="004B2808" w:rsidRDefault="00000000">
      <w:pPr>
        <w:pStyle w:val="Author-eListParagraph"/>
        <w:numPr>
          <w:ilvl w:val="0"/>
          <w:numId w:val="768"/>
        </w:numPr>
      </w:pPr>
      <w:r>
        <w:t xml:space="preserve">Equipés de raccords flexibles : </w:t>
      </w:r>
      <w:r>
        <w:rPr>
          <w:rStyle w:val="optioncarChar"/>
        </w:rPr>
        <w:t>non / oui </w:t>
      </w:r>
    </w:p>
    <w:p w14:paraId="0CAB5E20" w14:textId="77777777" w:rsidR="004B2808" w:rsidRDefault="00000000">
      <w:pPr>
        <w:pStyle w:val="Author-eListParagraph"/>
        <w:numPr>
          <w:ilvl w:val="0"/>
          <w:numId w:val="768"/>
        </w:numPr>
      </w:pPr>
      <w:r>
        <w:t>Caractéristiques / performances thermiques / entraxe / dimensions / … : selon les indications aux 6 T6 HVAC - sanitaires et suivants. </w:t>
      </w:r>
    </w:p>
    <w:p w14:paraId="2546B716" w14:textId="77777777" w:rsidR="004B2808" w:rsidRDefault="004B2808"/>
    <w:p w14:paraId="24EA8915" w14:textId="77777777" w:rsidR="004B2808" w:rsidRDefault="00000000">
      <w:pPr>
        <w:jc w:val="both"/>
      </w:pPr>
      <w:r>
        <w:rPr>
          <w:b/>
        </w:rPr>
        <w:t>Divers : </w:t>
      </w:r>
    </w:p>
    <w:p w14:paraId="5499A60C" w14:textId="77777777" w:rsidR="004B2808" w:rsidRDefault="00000000">
      <w:pPr>
        <w:jc w:val="both"/>
      </w:pPr>
      <w:r>
        <w:t xml:space="preserve">Poids du complexe équipé et rempli en eau ± : </w:t>
      </w:r>
      <w:r>
        <w:rPr>
          <w:rStyle w:val="optioncarChar"/>
        </w:rPr>
        <w:t>14 / 18 / 23 / ***</w:t>
      </w:r>
      <w:r>
        <w:t xml:space="preserve"> kg/m² </w:t>
      </w:r>
    </w:p>
    <w:p w14:paraId="2583F5C6" w14:textId="77777777" w:rsidR="004B2808" w:rsidRDefault="00000000">
      <w:pPr>
        <w:jc w:val="both"/>
      </w:pPr>
      <w:r>
        <w:t>Classe de réaction au feu, selon [NBN EN 13501-1] : </w:t>
      </w:r>
    </w:p>
    <w:p w14:paraId="5278777C" w14:textId="77777777" w:rsidR="004B2808" w:rsidRDefault="00000000">
      <w:pPr>
        <w:pStyle w:val="Author-eListParagraph"/>
        <w:numPr>
          <w:ilvl w:val="0"/>
          <w:numId w:val="769"/>
        </w:numPr>
        <w:jc w:val="both"/>
      </w:pPr>
      <w:r>
        <w:t xml:space="preserve">des panneaux : </w:t>
      </w:r>
      <w:r>
        <w:rPr>
          <w:rStyle w:val="optioncarChar"/>
        </w:rPr>
        <w:t>A2-s1, d0 / A2-s2, d0 / ***  </w:t>
      </w:r>
    </w:p>
    <w:p w14:paraId="728C9F9E" w14:textId="77777777" w:rsidR="004B2808" w:rsidRDefault="00000000">
      <w:pPr>
        <w:pStyle w:val="Author-eListParagraph"/>
        <w:numPr>
          <w:ilvl w:val="0"/>
          <w:numId w:val="769"/>
        </w:numPr>
        <w:jc w:val="both"/>
      </w:pPr>
      <w:r>
        <w:t xml:space="preserve">de l’isolant ensaché : </w:t>
      </w:r>
      <w:r>
        <w:rPr>
          <w:rStyle w:val="optioncarChar"/>
        </w:rPr>
        <w:t>A2-s1,d0 / *** </w:t>
      </w:r>
    </w:p>
    <w:p w14:paraId="17D46CDB" w14:textId="77777777" w:rsidR="004B2808" w:rsidRDefault="00000000">
      <w:pPr>
        <w:pStyle w:val="Author-eListParagraph"/>
        <w:numPr>
          <w:ilvl w:val="0"/>
          <w:numId w:val="769"/>
        </w:numPr>
        <w:jc w:val="both"/>
      </w:pPr>
      <w:r>
        <w:t xml:space="preserve">du voile acoustique : </w:t>
      </w:r>
      <w:r>
        <w:rPr>
          <w:rStyle w:val="optioncarChar"/>
        </w:rPr>
        <w:t>A1 / *** </w:t>
      </w:r>
    </w:p>
    <w:p w14:paraId="4B60DC28" w14:textId="77777777" w:rsidR="004B2808" w:rsidRDefault="00000000">
      <w:pPr>
        <w:pStyle w:val="pheading"/>
      </w:pPr>
      <w:r>
        <w:t>- Finitions</w:t>
      </w:r>
    </w:p>
    <w:p w14:paraId="5DEAD920" w14:textId="77777777" w:rsidR="004B2808" w:rsidRDefault="00000000">
      <w:pPr>
        <w:jc w:val="both"/>
      </w:pPr>
      <w:r>
        <w:rPr>
          <w:u w:val="single"/>
        </w:rPr>
        <w:t>Structure de support (partie apparente) : </w:t>
      </w:r>
    </w:p>
    <w:p w14:paraId="15987E5D" w14:textId="77777777" w:rsidR="004B2808" w:rsidRDefault="00000000">
      <w:pPr>
        <w:jc w:val="both"/>
      </w:pPr>
      <w:r>
        <w:t xml:space="preserve">Teinte : </w:t>
      </w:r>
      <w:r>
        <w:rPr>
          <w:rStyle w:val="optioncarChar"/>
        </w:rPr>
        <w:t xml:space="preserve">au choix de la direction des travaux dans la gamme standard du fabricant </w:t>
      </w:r>
      <w:r>
        <w:t>(par défaut)</w:t>
      </w:r>
      <w:r>
        <w:rPr>
          <w:rStyle w:val="optioncarChar"/>
        </w:rPr>
        <w:t xml:space="preserve"> / blanc / *** </w:t>
      </w:r>
    </w:p>
    <w:p w14:paraId="1634722E" w14:textId="77777777" w:rsidR="004B2808" w:rsidRDefault="00000000">
      <w:pPr>
        <w:jc w:val="both"/>
      </w:pPr>
      <w:r>
        <w:rPr>
          <w:u w:val="single"/>
        </w:rPr>
        <w:t>Bacs :</w:t>
      </w:r>
      <w:r>
        <w:t> </w:t>
      </w:r>
    </w:p>
    <w:p w14:paraId="750D119E" w14:textId="77777777" w:rsidR="004B2808" w:rsidRDefault="00000000">
      <w:pPr>
        <w:jc w:val="both"/>
      </w:pPr>
      <w:r>
        <w:t>Teinte :</w:t>
      </w:r>
      <w:r>
        <w:rPr>
          <w:rStyle w:val="optioncarChar"/>
        </w:rPr>
        <w:t xml:space="preserve"> au choix de la direction des travaux dans la gamme standard du fabricant</w:t>
      </w:r>
      <w:r>
        <w:t xml:space="preserve"> (par défaut)</w:t>
      </w:r>
      <w:r>
        <w:rPr>
          <w:rStyle w:val="optioncarChar"/>
        </w:rPr>
        <w:t xml:space="preserve"> / blanc / *** </w:t>
      </w:r>
    </w:p>
    <w:p w14:paraId="1169E279" w14:textId="77777777" w:rsidR="004B2808" w:rsidRDefault="00000000">
      <w:pPr>
        <w:pStyle w:val="pheading"/>
      </w:pPr>
      <w:r>
        <w:t>EXÉCUTION / MISE EN ŒUVRE</w:t>
      </w:r>
    </w:p>
    <w:p w14:paraId="2621EA0A" w14:textId="77777777" w:rsidR="004B2808" w:rsidRDefault="00000000">
      <w:pPr>
        <w:pStyle w:val="pheading"/>
      </w:pPr>
      <w:r>
        <w:t>- Prescriptions générales</w:t>
      </w:r>
    </w:p>
    <w:p w14:paraId="7E1C504E" w14:textId="77777777" w:rsidR="004B2808" w:rsidRDefault="00000000">
      <w:pPr>
        <w:jc w:val="both"/>
      </w:pPr>
      <w:r>
        <w:rPr>
          <w:b/>
        </w:rPr>
        <w:t>Plan de détails :</w:t>
      </w:r>
    </w:p>
    <w:p w14:paraId="1F41B5E7" w14:textId="77777777" w:rsidR="004B2808" w:rsidRDefault="00000000">
      <w:pPr>
        <w:jc w:val="both"/>
      </w:pPr>
      <w:r>
        <w:t>Les plans de détails et de calepinage sont : </w:t>
      </w:r>
    </w:p>
    <w:p w14:paraId="36EC123F" w14:textId="77777777" w:rsidR="004B2808" w:rsidRDefault="00000000">
      <w:pPr>
        <w:pStyle w:val="Author-eListParagraph"/>
        <w:numPr>
          <w:ilvl w:val="0"/>
          <w:numId w:val="770"/>
        </w:numPr>
        <w:jc w:val="both"/>
      </w:pPr>
      <w:r>
        <w:t xml:space="preserve">réalisés par : </w:t>
      </w:r>
      <w:r>
        <w:rPr>
          <w:rStyle w:val="optioncarChar"/>
        </w:rPr>
        <w:t>l’auteur de projet / le bureau d’études / l’entreprise chargée des travaux décrits aux 6 T6 HVAC - sanitaires et suivants / le fabricant du système climatique / *** </w:t>
      </w:r>
    </w:p>
    <w:p w14:paraId="1984BEA0" w14:textId="77777777" w:rsidR="004B2808" w:rsidRDefault="00000000">
      <w:pPr>
        <w:pStyle w:val="Author-eListParagraph"/>
        <w:numPr>
          <w:ilvl w:val="0"/>
          <w:numId w:val="770"/>
        </w:numPr>
        <w:jc w:val="both"/>
      </w:pPr>
      <w:r>
        <w:rPr>
          <w:rStyle w:val="optioncarChar"/>
        </w:rPr>
        <w:t>joints aux documents de soumission / fournis avant le début des travaux / *** </w:t>
      </w:r>
    </w:p>
    <w:p w14:paraId="1491BB65" w14:textId="77777777" w:rsidR="004B2808" w:rsidRDefault="00000000">
      <w:pPr>
        <w:pStyle w:val="pheading"/>
      </w:pPr>
      <w:r>
        <w:t>MESURAGE</w:t>
      </w:r>
    </w:p>
    <w:p w14:paraId="35CEDF2B" w14:textId="77777777" w:rsidR="004B2808" w:rsidRDefault="00000000">
      <w:pPr>
        <w:pStyle w:val="pheading"/>
      </w:pPr>
      <w:r>
        <w:t>- unité de mesure:</w:t>
      </w:r>
    </w:p>
    <w:p w14:paraId="5C54476A" w14:textId="77777777" w:rsidR="004B2808" w:rsidRDefault="00000000">
      <w:r>
        <w:rPr>
          <w:rStyle w:val="optioncarChar"/>
        </w:rPr>
        <w:lastRenderedPageBreak/>
        <w:t>m²</w:t>
      </w:r>
      <w:r>
        <w:t xml:space="preserve"> (par défaut)</w:t>
      </w:r>
      <w:r>
        <w:rPr>
          <w:rStyle w:val="optioncarChar"/>
        </w:rPr>
        <w:t> / -  </w:t>
      </w:r>
      <w:r>
        <w:br/>
      </w:r>
      <w:r>
        <w:br/>
      </w:r>
      <w:r>
        <w:rPr>
          <w:b/>
        </w:rPr>
        <w:t>(soit par défaut) </w:t>
      </w:r>
      <w:r>
        <w:br/>
      </w:r>
      <w:r>
        <w:rPr>
          <w:rStyle w:val="soitChar"/>
        </w:rPr>
        <w:t>1.2. m² </w:t>
      </w:r>
      <w:r>
        <w:br/>
      </w:r>
      <w:r>
        <w:rPr>
          <w:b/>
        </w:rPr>
        <w:t>(soit) </w:t>
      </w:r>
      <w:r>
        <w:br/>
      </w:r>
      <w:r>
        <w:rPr>
          <w:rStyle w:val="soitChar"/>
        </w:rPr>
        <w:t>3. - </w:t>
      </w:r>
    </w:p>
    <w:p w14:paraId="2844A2B3" w14:textId="77777777" w:rsidR="004B2808" w:rsidRDefault="00000000">
      <w:pPr>
        <w:pStyle w:val="pheading"/>
      </w:pPr>
      <w:r>
        <w:t>- code de mesurage:</w:t>
      </w:r>
    </w:p>
    <w:p w14:paraId="6C2263CC" w14:textId="77777777" w:rsidR="004B2808" w:rsidRDefault="00000000">
      <w:pPr>
        <w:jc w:val="both"/>
      </w:pPr>
      <w:r>
        <w:rPr>
          <w:rStyle w:val="optioncarChar"/>
        </w:rPr>
        <w:t xml:space="preserve">Surface nette </w:t>
      </w:r>
      <w:r>
        <w:t>(par défaut)</w:t>
      </w:r>
      <w:r>
        <w:rPr>
          <w:rStyle w:val="optioncarChar"/>
        </w:rPr>
        <w:t xml:space="preserve"> / Compris </w:t>
      </w:r>
    </w:p>
    <w:p w14:paraId="7E5B80D7" w14:textId="77777777" w:rsidR="004B2808" w:rsidRDefault="004B2808">
      <w:pPr>
        <w:jc w:val="both"/>
      </w:pPr>
    </w:p>
    <w:p w14:paraId="176AC280" w14:textId="77777777" w:rsidR="004B2808" w:rsidRDefault="00000000">
      <w:pPr>
        <w:jc w:val="both"/>
      </w:pPr>
      <w:r>
        <w:rPr>
          <w:b/>
        </w:rPr>
        <w:t>(soit par défaut) </w:t>
      </w:r>
    </w:p>
    <w:p w14:paraId="75B46EDB" w14:textId="77777777" w:rsidR="004B2808" w:rsidRDefault="00000000">
      <w:pPr>
        <w:jc w:val="both"/>
      </w:pPr>
      <w:r>
        <w:rPr>
          <w:rStyle w:val="soitChar"/>
        </w:rPr>
        <w:t xml:space="preserve">1. </w:t>
      </w:r>
      <w:r>
        <w:rPr>
          <w:rStyle w:val="soitChar"/>
          <w:u w:val="single"/>
        </w:rPr>
        <w:t>Surface nette :  </w:t>
      </w:r>
    </w:p>
    <w:p w14:paraId="260DB6E7" w14:textId="77777777" w:rsidR="004B2808" w:rsidRDefault="00000000">
      <w:pPr>
        <w:jc w:val="both"/>
      </w:pPr>
      <w:r>
        <w:rPr>
          <w:rStyle w:val="soitChar"/>
        </w:rPr>
        <w:t xml:space="preserve">Selon les dimensions : </w:t>
      </w:r>
      <w:r>
        <w:rPr>
          <w:rStyle w:val="optioncarChar"/>
        </w:rPr>
        <w:t>indiquées aux plans</w:t>
      </w:r>
      <w:r>
        <w:t xml:space="preserve"> (par défaut) </w:t>
      </w:r>
      <w:r>
        <w:rPr>
          <w:rStyle w:val="optioncarChar"/>
        </w:rPr>
        <w:t>/ ***. </w:t>
      </w:r>
    </w:p>
    <w:p w14:paraId="772E92C2" w14:textId="77777777" w:rsidR="004B2808" w:rsidRDefault="00000000">
      <w:pPr>
        <w:jc w:val="both"/>
      </w:pPr>
      <w:r>
        <w:rPr>
          <w:rStyle w:val="soitChar"/>
        </w:rPr>
        <w:t>Eventuellement scindée dans différents postes selon le type de finition, … </w:t>
      </w:r>
    </w:p>
    <w:p w14:paraId="50C10A52" w14:textId="77777777" w:rsidR="004B2808" w:rsidRDefault="00000000">
      <w:pPr>
        <w:jc w:val="both"/>
      </w:pPr>
      <w:r>
        <w:rPr>
          <w:b/>
        </w:rPr>
        <w:t>(soit) </w:t>
      </w:r>
    </w:p>
    <w:p w14:paraId="18B5D0B8" w14:textId="77777777" w:rsidR="004B2808" w:rsidRDefault="00000000">
      <w:pPr>
        <w:jc w:val="both"/>
      </w:pPr>
      <w:r>
        <w:rPr>
          <w:rStyle w:val="soitChar"/>
        </w:rPr>
        <w:t xml:space="preserve">2. </w:t>
      </w:r>
      <w:r>
        <w:rPr>
          <w:rStyle w:val="soitChar"/>
          <w:u w:val="single"/>
        </w:rPr>
        <w:t>Compris : </w:t>
      </w:r>
    </w:p>
    <w:p w14:paraId="1214F006" w14:textId="77777777" w:rsidR="004B2808" w:rsidRDefault="00000000">
      <w:pPr>
        <w:jc w:val="both"/>
      </w:pPr>
      <w:r>
        <w:rPr>
          <w:rStyle w:val="soitChar"/>
        </w:rPr>
        <w:t xml:space="preserve">Tous les frais liés à ces prestations sont </w:t>
      </w:r>
      <w:r>
        <w:rPr>
          <w:rStyle w:val="optioncarChar"/>
        </w:rPr>
        <w:t xml:space="preserve">compris et répartis dans la totalité de l'entreprise </w:t>
      </w:r>
      <w:r>
        <w:t>(par défaut)</w:t>
      </w:r>
      <w:r>
        <w:rPr>
          <w:rStyle w:val="optioncarChar"/>
        </w:rPr>
        <w:t xml:space="preserve"> / compris dans le prix de(s) l’article(s) *** </w:t>
      </w:r>
    </w:p>
    <w:p w14:paraId="4848CD1A" w14:textId="77777777" w:rsidR="004B2808" w:rsidRDefault="00000000">
      <w:pPr>
        <w:pStyle w:val="pheading"/>
      </w:pPr>
      <w:r>
        <w:t>- nature du marché:</w:t>
      </w:r>
    </w:p>
    <w:p w14:paraId="2BF13DC1" w14:textId="77777777" w:rsidR="004B2808" w:rsidRDefault="00000000">
      <w:r>
        <w:rPr>
          <w:rStyle w:val="optioncarChar"/>
        </w:rPr>
        <w:t xml:space="preserve">QF </w:t>
      </w:r>
      <w:r>
        <w:t>(par défaut)</w:t>
      </w:r>
      <w:r>
        <w:rPr>
          <w:rStyle w:val="optioncarChar"/>
        </w:rPr>
        <w:t xml:space="preserve"> / QP / PM </w:t>
      </w:r>
      <w:r>
        <w:br/>
      </w:r>
      <w:r>
        <w:br/>
      </w:r>
      <w:r>
        <w:rPr>
          <w:b/>
        </w:rPr>
        <w:t>(soit par défaut) </w:t>
      </w:r>
      <w:r>
        <w:br/>
      </w:r>
      <w:r>
        <w:rPr>
          <w:rStyle w:val="soitChar"/>
        </w:rPr>
        <w:t>1. QF </w:t>
      </w:r>
      <w:r>
        <w:br/>
      </w:r>
      <w:r>
        <w:rPr>
          <w:b/>
        </w:rPr>
        <w:t>(soit) </w:t>
      </w:r>
      <w:r>
        <w:br/>
      </w:r>
      <w:r>
        <w:rPr>
          <w:rStyle w:val="soitChar"/>
        </w:rPr>
        <w:t>2. QP </w:t>
      </w:r>
      <w:r>
        <w:br/>
      </w:r>
      <w:r>
        <w:rPr>
          <w:b/>
        </w:rPr>
        <w:t>(soit) </w:t>
      </w:r>
      <w:r>
        <w:br/>
      </w:r>
      <w:r>
        <w:rPr>
          <w:rStyle w:val="soitChar"/>
        </w:rPr>
        <w:t>3. PM  </w:t>
      </w:r>
    </w:p>
    <w:p w14:paraId="60DAF0C0" w14:textId="77777777" w:rsidR="004B2808" w:rsidRDefault="00000000">
      <w:pPr>
        <w:pStyle w:val="Author-eSectionHeading4Numberless"/>
      </w:pPr>
      <w:bookmarkStart w:id="959" w:name="_Toc220491092"/>
      <w:r>
        <w:t>54.43 Plafonds "baffles" ou dalles acoustiques CCTB 01.02</w:t>
      </w:r>
      <w:bookmarkEnd w:id="959"/>
    </w:p>
    <w:p w14:paraId="4A52D535" w14:textId="77777777" w:rsidR="004B2808" w:rsidRDefault="00000000">
      <w:pPr>
        <w:pStyle w:val="Author-eSectionHeading5Numberless"/>
      </w:pPr>
      <w:bookmarkStart w:id="960" w:name="_Toc220491093"/>
      <w:r>
        <w:t>54.43.1 Plafonds "baffles" ou dalles acoustiques CCTB 01.12</w:t>
      </w:r>
      <w:bookmarkEnd w:id="960"/>
    </w:p>
    <w:p w14:paraId="66CA3BD3" w14:textId="77777777" w:rsidR="004B2808" w:rsidRDefault="00000000">
      <w:pPr>
        <w:pStyle w:val="pheading"/>
      </w:pPr>
      <w:bookmarkStart w:id="961" w:name="1303"/>
      <w:bookmarkEnd w:id="961"/>
      <w:r>
        <w:t>DESCRIPTION</w:t>
      </w:r>
    </w:p>
    <w:p w14:paraId="77660B3B" w14:textId="77777777" w:rsidR="004B2808" w:rsidRDefault="00000000">
      <w:pPr>
        <w:pStyle w:val="pheading"/>
      </w:pPr>
      <w:r>
        <w:t>- Définition / Comprend</w:t>
      </w:r>
    </w:p>
    <w:p w14:paraId="20C9C0C2" w14:textId="77777777" w:rsidR="004B2808" w:rsidRDefault="00000000">
      <w:pPr>
        <w:jc w:val="both"/>
      </w:pPr>
      <w:r>
        <w:t>Il s’agit de la fourniture et la pose de « baffles » ou dalles acoustiques en plafond.</w:t>
      </w:r>
    </w:p>
    <w:p w14:paraId="76F4A2B9" w14:textId="77777777" w:rsidR="004B2808" w:rsidRDefault="00000000">
      <w:pPr>
        <w:jc w:val="both"/>
      </w:pPr>
      <w:r>
        <w:t>Le travail comprend notamment :</w:t>
      </w:r>
    </w:p>
    <w:p w14:paraId="221381A7" w14:textId="77777777" w:rsidR="004B2808" w:rsidRDefault="00000000">
      <w:pPr>
        <w:pStyle w:val="Author-eListParagraph"/>
        <w:numPr>
          <w:ilvl w:val="0"/>
          <w:numId w:val="771"/>
        </w:numPr>
        <w:jc w:val="both"/>
      </w:pPr>
      <w:r>
        <w:t>L’étude acoustique est réalisée par :</w:t>
      </w:r>
      <w:r>
        <w:rPr>
          <w:rStyle w:val="optioncarChar"/>
        </w:rPr>
        <w:t xml:space="preserve"> le bureau d’étude acoustique </w:t>
      </w:r>
      <w:r>
        <w:t>(par défaut)</w:t>
      </w:r>
      <w:r>
        <w:rPr>
          <w:rStyle w:val="optioncarChar"/>
        </w:rPr>
        <w:t xml:space="preserve"> / l’entrepreneur</w:t>
      </w:r>
      <w:r>
        <w:t xml:space="preserve"> ;</w:t>
      </w:r>
    </w:p>
    <w:p w14:paraId="6161B39D" w14:textId="77777777" w:rsidR="004B2808" w:rsidRDefault="00000000">
      <w:pPr>
        <w:pStyle w:val="Author-eListParagraph"/>
        <w:numPr>
          <w:ilvl w:val="0"/>
          <w:numId w:val="771"/>
        </w:numPr>
        <w:jc w:val="both"/>
      </w:pPr>
      <w:r>
        <w:t xml:space="preserve">L’établissement des plans d’implantation des baffles ou dalles acoustiques est réalisée par : </w:t>
      </w:r>
      <w:r>
        <w:rPr>
          <w:rStyle w:val="optioncarChar"/>
        </w:rPr>
        <w:t xml:space="preserve">l’auteur de projet </w:t>
      </w:r>
      <w:r>
        <w:t xml:space="preserve">(par défaut) </w:t>
      </w:r>
      <w:r>
        <w:rPr>
          <w:rStyle w:val="optioncarChar"/>
        </w:rPr>
        <w:t>/ l’entrepreneur</w:t>
      </w:r>
      <w:r>
        <w:t xml:space="preserve"> ;</w:t>
      </w:r>
    </w:p>
    <w:p w14:paraId="7C3486F7" w14:textId="77777777" w:rsidR="004B2808" w:rsidRDefault="00000000">
      <w:pPr>
        <w:pStyle w:val="Author-eListParagraph"/>
        <w:numPr>
          <w:ilvl w:val="0"/>
          <w:numId w:val="771"/>
        </w:numPr>
        <w:jc w:val="both"/>
      </w:pPr>
      <w:r>
        <w:t>La mise au point des détails d’exécution ;</w:t>
      </w:r>
    </w:p>
    <w:p w14:paraId="062AB861" w14:textId="77777777" w:rsidR="004B2808" w:rsidRDefault="00000000">
      <w:pPr>
        <w:pStyle w:val="Author-eListParagraph"/>
        <w:numPr>
          <w:ilvl w:val="0"/>
          <w:numId w:val="771"/>
        </w:numPr>
        <w:jc w:val="both"/>
      </w:pPr>
      <w:r>
        <w:t>La coordination des implantations avec les équipements techniques tels qu’appareils d’éclairage, détecteurs incendie, détecteurs de présence, gaines de ventilation, canalisations de tous types, etc... ;</w:t>
      </w:r>
    </w:p>
    <w:p w14:paraId="2FF02473" w14:textId="77777777" w:rsidR="004B2808" w:rsidRDefault="00000000">
      <w:pPr>
        <w:pStyle w:val="Author-eListParagraph"/>
        <w:numPr>
          <w:ilvl w:val="0"/>
          <w:numId w:val="771"/>
        </w:numPr>
        <w:jc w:val="both"/>
      </w:pPr>
      <w:r>
        <w:t>La fourniture et pose des baffles ou dalles acoustiques, y compris tous accessoires nécessaires à la mise en œuvre ;</w:t>
      </w:r>
    </w:p>
    <w:p w14:paraId="2AB326FF" w14:textId="77777777" w:rsidR="004B2808" w:rsidRDefault="00000000">
      <w:pPr>
        <w:pStyle w:val="Author-eListParagraph"/>
        <w:numPr>
          <w:ilvl w:val="0"/>
          <w:numId w:val="771"/>
        </w:numPr>
        <w:jc w:val="both"/>
      </w:pPr>
      <w:r>
        <w:t>Toutes précautions en matière de sécurité conformément au 01.4 Plans de sécurité et de santé ;</w:t>
      </w:r>
    </w:p>
    <w:p w14:paraId="35EBC899" w14:textId="77777777" w:rsidR="004B2808" w:rsidRDefault="00000000">
      <w:pPr>
        <w:pStyle w:val="Author-eListParagraph"/>
        <w:numPr>
          <w:ilvl w:val="0"/>
          <w:numId w:val="771"/>
        </w:numPr>
        <w:jc w:val="both"/>
      </w:pPr>
      <w:r>
        <w:t>L’évacuation des déchets tel que décrit au 07 Déchets, matériaux et éléments réemployables ;</w:t>
      </w:r>
    </w:p>
    <w:p w14:paraId="317B65C2" w14:textId="77777777" w:rsidR="004B2808" w:rsidRDefault="00000000">
      <w:pPr>
        <w:pStyle w:val="pheading"/>
      </w:pPr>
      <w:r>
        <w:lastRenderedPageBreak/>
        <w:t>MATÉRIAUX</w:t>
      </w:r>
    </w:p>
    <w:p w14:paraId="65FB8496" w14:textId="77777777" w:rsidR="004B2808" w:rsidRDefault="00000000">
      <w:pPr>
        <w:jc w:val="both"/>
      </w:pPr>
      <w:r>
        <w:t>La réverbération dans les locaux est limitée par les normes :</w:t>
      </w:r>
    </w:p>
    <w:p w14:paraId="7D1A68C6" w14:textId="77777777" w:rsidR="004B2808" w:rsidRDefault="00000000">
      <w:pPr>
        <w:jc w:val="both"/>
      </w:pPr>
      <w:r>
        <w:t>Exigences en vigueur dans les immeubles de logements, suivant [NBN S 01-400-1] :</w:t>
      </w:r>
    </w:p>
    <w:p w14:paraId="79325E8D" w14:textId="77777777" w:rsidR="004B2808" w:rsidRDefault="00000000">
      <w:pPr>
        <w:pStyle w:val="Author-eListParagraph"/>
        <w:numPr>
          <w:ilvl w:val="0"/>
          <w:numId w:val="772"/>
        </w:numPr>
      </w:pPr>
      <w:r>
        <w:t>Aire d’absorption acoustique équivalente totale pondérée (A</w:t>
      </w:r>
      <w:r>
        <w:rPr>
          <w:vertAlign w:val="subscript"/>
        </w:rPr>
        <w:t>w)</w:t>
      </w:r>
      <w:r>
        <w:t xml:space="preserve"> dans les couloirs, escaliers, halls d’entrée : A</w:t>
      </w:r>
      <w:r>
        <w:rPr>
          <w:vertAlign w:val="subscript"/>
        </w:rPr>
        <w:t>w</w:t>
      </w:r>
      <w:r>
        <w:t xml:space="preserve"> ≥ 0,3 x surface horizontale projetée (S</w:t>
      </w:r>
      <w:r>
        <w:rPr>
          <w:vertAlign w:val="subscript"/>
        </w:rPr>
        <w:t>h</w:t>
      </w:r>
      <w:r>
        <w:t>)</w:t>
      </w:r>
    </w:p>
    <w:p w14:paraId="1C623359" w14:textId="77777777" w:rsidR="004B2808" w:rsidRDefault="00000000">
      <w:pPr>
        <w:pStyle w:val="Author-eListParagraph"/>
        <w:numPr>
          <w:ilvl w:val="0"/>
          <w:numId w:val="772"/>
        </w:numPr>
      </w:pPr>
      <w:r>
        <w:t>Accès sous forme d’atrium : durée de réverbération nominale Tnom &lt; la valeur la plus élevée entre 1,5s et log(V/50)s</w:t>
      </w:r>
    </w:p>
    <w:p w14:paraId="7E589500" w14:textId="77777777" w:rsidR="004B2808" w:rsidRDefault="00000000">
      <w:pPr>
        <w:jc w:val="both"/>
      </w:pPr>
      <w:r>
        <w:t xml:space="preserve">Exigences en vigueur dans les établissements scolaires, suivant [NBN S 01-400-2], exigences : </w:t>
      </w:r>
      <w:r>
        <w:rPr>
          <w:rStyle w:val="optioncarChar"/>
        </w:rPr>
        <w:t xml:space="preserve">normales </w:t>
      </w:r>
      <w:r>
        <w:t>(par défaut)</w:t>
      </w:r>
      <w:r>
        <w:rPr>
          <w:rStyle w:val="optioncarChar"/>
        </w:rPr>
        <w:t xml:space="preserve"> / supérieures.</w:t>
      </w:r>
    </w:p>
    <w:p w14:paraId="27591FA1" w14:textId="77777777" w:rsidR="004B2808" w:rsidRDefault="00000000">
      <w:pPr>
        <w:jc w:val="both"/>
      </w:pPr>
      <w:r>
        <w:t xml:space="preserve">Exigences en vigueur dans les salles de cours, sport, gymnastique, récréation intérieure, atrium, réfectoire, exigences : </w:t>
      </w:r>
      <w:r>
        <w:rPr>
          <w:rStyle w:val="optioncarChar"/>
        </w:rPr>
        <w:t xml:space="preserve">normales </w:t>
      </w:r>
      <w:r>
        <w:t>(par défaut)</w:t>
      </w:r>
      <w:r>
        <w:rPr>
          <w:rStyle w:val="optioncarChar"/>
        </w:rPr>
        <w:t xml:space="preserve"> / supérieures</w:t>
      </w:r>
      <w:r>
        <w:t>.</w:t>
      </w:r>
    </w:p>
    <w:p w14:paraId="211F3C6E" w14:textId="77777777" w:rsidR="004B2808" w:rsidRDefault="00000000">
      <w:pPr>
        <w:jc w:val="both"/>
      </w:pPr>
      <w:r>
        <w:rPr>
          <w:b/>
        </w:rPr>
        <w:t>Aspects environnementaux</w:t>
      </w:r>
    </w:p>
    <w:p w14:paraId="465E12BD" w14:textId="77777777" w:rsidR="004B2808" w:rsidRDefault="00000000">
      <w:pPr>
        <w:jc w:val="both"/>
      </w:pPr>
      <w:r>
        <w:t>La mise en place de baffles ou dalles acoustiques suspendus est compatible avec l’activation du béton.</w:t>
      </w:r>
    </w:p>
    <w:p w14:paraId="2201C124" w14:textId="77777777" w:rsidR="004B2808" w:rsidRDefault="00000000">
      <w:pPr>
        <w:ind w:left="750"/>
      </w:pPr>
      <w:r>
        <w:t> </w:t>
      </w:r>
    </w:p>
    <w:p w14:paraId="385B4BCF" w14:textId="77777777" w:rsidR="004B2808" w:rsidRDefault="00000000">
      <w:pPr>
        <w:pStyle w:val="pheading"/>
      </w:pPr>
      <w:r>
        <w:t>EXÉCUTION / MISE EN ŒUVRE</w:t>
      </w:r>
    </w:p>
    <w:p w14:paraId="217813DA" w14:textId="77777777" w:rsidR="004B2808" w:rsidRDefault="00000000">
      <w:pPr>
        <w:jc w:val="both"/>
      </w:pPr>
      <w:r>
        <w:t>L’étude acoustique détermine le type et le nombre de baffles ou dalles acoustiques à mettre en œuvre en vue d’obtenir le taux de réverbération attendu.</w:t>
      </w:r>
    </w:p>
    <w:p w14:paraId="169E48E5" w14:textId="77777777" w:rsidR="004B2808" w:rsidRDefault="00000000">
      <w:pPr>
        <w:jc w:val="both"/>
      </w:pPr>
      <w:r>
        <w:t xml:space="preserve">L’implantation des baffles ou dalles acoustiques est indiquée sur les plans établis par </w:t>
      </w:r>
      <w:r>
        <w:rPr>
          <w:rStyle w:val="optioncarChar"/>
        </w:rPr>
        <w:t>l’auteur de projet</w:t>
      </w:r>
      <w:r>
        <w:t xml:space="preserve"> (par défaut)</w:t>
      </w:r>
      <w:r>
        <w:rPr>
          <w:rStyle w:val="optioncarChar"/>
        </w:rPr>
        <w:t xml:space="preserve"> / l’entrepreneur.</w:t>
      </w:r>
    </w:p>
    <w:p w14:paraId="515F4398" w14:textId="77777777" w:rsidR="004B2808" w:rsidRDefault="00000000">
      <w:pPr>
        <w:jc w:val="both"/>
      </w:pPr>
      <w:r>
        <w:t>L’implantation des baffles et dalles acoustiques est coordonnée avec les plans des techniques spéciales, tant en ce qui concerne leur encombrement que les niveaux de pose et les éventuels conflits au droit des suspentes.</w:t>
      </w:r>
    </w:p>
    <w:p w14:paraId="4EB10638" w14:textId="77777777" w:rsidR="004B2808" w:rsidRDefault="00000000">
      <w:pPr>
        <w:jc w:val="both"/>
      </w:pPr>
      <w:r>
        <w:t xml:space="preserve">Un plan coordonné est établi par </w:t>
      </w:r>
      <w:r>
        <w:rPr>
          <w:rStyle w:val="optioncarChar"/>
        </w:rPr>
        <w:t xml:space="preserve">l’entrepreneur </w:t>
      </w:r>
      <w:r>
        <w:t xml:space="preserve">(par défaut) </w:t>
      </w:r>
      <w:r>
        <w:rPr>
          <w:rStyle w:val="optioncarChar"/>
        </w:rPr>
        <w:t>/ l’auteur de projet.</w:t>
      </w:r>
    </w:p>
    <w:p w14:paraId="784870AD" w14:textId="77777777" w:rsidR="004B2808" w:rsidRDefault="00000000">
      <w:pPr>
        <w:jc w:val="both"/>
      </w:pPr>
      <w:r>
        <w:t>En cas d’établissement par l’entrepreneur, ce plan est présenté pour approbation à la direction des travaux.</w:t>
      </w:r>
    </w:p>
    <w:p w14:paraId="0E1790FD" w14:textId="77777777" w:rsidR="004B2808" w:rsidRDefault="00000000">
      <w:pPr>
        <w:jc w:val="both"/>
      </w:pPr>
      <w:r>
        <w:t>La mise en œuvre est conforme à la documentation technique accompagnant les matériaux.</w:t>
      </w:r>
    </w:p>
    <w:p w14:paraId="3922025E" w14:textId="77777777" w:rsidR="004B2808" w:rsidRDefault="00000000">
      <w:pPr>
        <w:pStyle w:val="pheading"/>
      </w:pPr>
      <w:r>
        <w:t>DOCUMENTS DE RÉFÉRENCE</w:t>
      </w:r>
    </w:p>
    <w:p w14:paraId="68C19C6C" w14:textId="77777777" w:rsidR="004B2808" w:rsidRDefault="00000000">
      <w:pPr>
        <w:pStyle w:val="pheading"/>
      </w:pPr>
      <w:r>
        <w:t>- Matériau</w:t>
      </w:r>
    </w:p>
    <w:p w14:paraId="669AD7FD" w14:textId="77777777" w:rsidR="004B2808" w:rsidRDefault="00000000">
      <w:r>
        <w:t>[AR 1994-07-07, Arrêté royal fixant les normes de base en matière de prévention contre l'incendie et l'explosion, auxquelles les bâtiments nouveaux doivent satisfaire]</w:t>
      </w:r>
    </w:p>
    <w:p w14:paraId="5D5CEF4F" w14:textId="77777777" w:rsidR="004B2808" w:rsidRDefault="00000000">
      <w:r>
        <w:t>[NBN EN 13964, Plafonds suspendus - Exigences et méthodes d'essai]</w:t>
      </w:r>
    </w:p>
    <w:p w14:paraId="515580D7" w14:textId="77777777" w:rsidR="004B2808" w:rsidRDefault="00000000">
      <w:r>
        <w:t>[NBN EN ISO 11654, Acoustique - Absorbants pour l'utilisation dans les bâtiments - Evaluation de l'absorption acoustique (ISO 11654:1997)]</w:t>
      </w:r>
    </w:p>
    <w:p w14:paraId="583C9B76" w14:textId="77777777" w:rsidR="004B2808" w:rsidRDefault="00000000">
      <w:pPr>
        <w:pStyle w:val="pheading"/>
      </w:pPr>
      <w:r>
        <w:t>- Exécution</w:t>
      </w:r>
    </w:p>
    <w:p w14:paraId="2824D22A" w14:textId="77777777" w:rsidR="004B2808" w:rsidRDefault="00000000">
      <w:r>
        <w:t>[NBN S 01-400-1, Critères acoustiques pour les immeubles d'habitation]</w:t>
      </w:r>
    </w:p>
    <w:p w14:paraId="279F55FF" w14:textId="77777777" w:rsidR="004B2808" w:rsidRDefault="00000000">
      <w:r>
        <w:t>[NBN S 01-400-2, Critères acoustiques pour les bâtiments scolaires]</w:t>
      </w:r>
    </w:p>
    <w:p w14:paraId="26B2EF14" w14:textId="77777777" w:rsidR="004B2808" w:rsidRDefault="00000000">
      <w:pPr>
        <w:pStyle w:val="Author-eSectionHeading6Numberless"/>
      </w:pPr>
      <w:bookmarkStart w:id="962" w:name="_Toc220491094"/>
      <w:r>
        <w:t>54.43.1a Plafonds "baffles" acoustiques CCTB 01.12</w:t>
      </w:r>
      <w:bookmarkEnd w:id="962"/>
    </w:p>
    <w:p w14:paraId="398AAB22" w14:textId="77777777" w:rsidR="004B2808" w:rsidRDefault="00000000">
      <w:pPr>
        <w:pStyle w:val="pheading"/>
      </w:pPr>
      <w:r>
        <w:t>DESCRIPTION</w:t>
      </w:r>
    </w:p>
    <w:p w14:paraId="17D3FB2A" w14:textId="77777777" w:rsidR="004B2808" w:rsidRDefault="00000000">
      <w:pPr>
        <w:pStyle w:val="pheading"/>
      </w:pPr>
      <w:r>
        <w:t>- Définition / Comprend</w:t>
      </w:r>
    </w:p>
    <w:p w14:paraId="3A573C7F" w14:textId="77777777" w:rsidR="004B2808" w:rsidRDefault="00000000">
      <w:pPr>
        <w:jc w:val="both"/>
      </w:pPr>
      <w:r>
        <w:t>Il s’agit de la fourniture et la pose de baffles acoustiques en plafond.</w:t>
      </w:r>
    </w:p>
    <w:p w14:paraId="3FB89D7E" w14:textId="77777777" w:rsidR="004B2808" w:rsidRDefault="00000000">
      <w:pPr>
        <w:jc w:val="both"/>
      </w:pPr>
      <w:r>
        <w:t xml:space="preserve">L’étendue des travaux est décrite sous </w:t>
      </w:r>
      <w:hyperlink w:anchor="1303" w:history="1">
        <w:r w:rsidR="004B2808">
          <w:rPr>
            <w:color w:val="0000EE"/>
          </w:rPr>
          <w:t>54.43.1 Plafonds "baffles" ou dalles acoustiques</w:t>
        </w:r>
      </w:hyperlink>
      <w:r>
        <w:t>.</w:t>
      </w:r>
    </w:p>
    <w:p w14:paraId="287EBDF2" w14:textId="77777777" w:rsidR="004B2808" w:rsidRDefault="00000000">
      <w:pPr>
        <w:pStyle w:val="pheading"/>
      </w:pPr>
      <w:r>
        <w:lastRenderedPageBreak/>
        <w:t>MATÉRIAUX</w:t>
      </w:r>
    </w:p>
    <w:p w14:paraId="2149B838" w14:textId="77777777" w:rsidR="004B2808" w:rsidRDefault="00000000">
      <w:pPr>
        <w:pStyle w:val="pheading"/>
      </w:pPr>
      <w:r>
        <w:t>- Caractéristiques générales</w:t>
      </w:r>
    </w:p>
    <w:p w14:paraId="242D04E0" w14:textId="77777777" w:rsidR="004B2808" w:rsidRDefault="00000000">
      <w:pPr>
        <w:jc w:val="both"/>
      </w:pPr>
      <w:r>
        <w:t xml:space="preserve">Baffles acoustiques suspendus verticalement en panneaux de : </w:t>
      </w:r>
      <w:r>
        <w:rPr>
          <w:rStyle w:val="optioncarChar"/>
        </w:rPr>
        <w:t>laine de bois / laine de roche / laine de verre / fibres de polyester recyclées</w:t>
      </w:r>
    </w:p>
    <w:p w14:paraId="6E20D89E" w14:textId="77777777" w:rsidR="004B2808" w:rsidRDefault="00000000">
      <w:pPr>
        <w:jc w:val="both"/>
      </w:pPr>
      <w:r>
        <w:rPr>
          <w:b/>
        </w:rPr>
        <w:t>(soit)</w:t>
      </w:r>
    </w:p>
    <w:p w14:paraId="7D231E08" w14:textId="77777777" w:rsidR="004B2808" w:rsidRDefault="00000000">
      <w:pPr>
        <w:jc w:val="both"/>
      </w:pPr>
      <w:r>
        <w:rPr>
          <w:rStyle w:val="soitChar"/>
          <w:u w:val="single"/>
        </w:rPr>
        <w:t>Laine de bois :</w:t>
      </w:r>
    </w:p>
    <w:p w14:paraId="474403D4" w14:textId="77777777" w:rsidR="004B2808" w:rsidRDefault="00000000">
      <w:pPr>
        <w:pStyle w:val="Author-eListParagraph"/>
        <w:numPr>
          <w:ilvl w:val="0"/>
          <w:numId w:val="773"/>
        </w:numPr>
      </w:pPr>
      <w:r>
        <w:rPr>
          <w:rStyle w:val="soitChar"/>
        </w:rPr>
        <w:t>Panneaux composés de laine de bois, chaux et ciment</w:t>
      </w:r>
    </w:p>
    <w:p w14:paraId="1753BDA6" w14:textId="77777777" w:rsidR="004B2808" w:rsidRDefault="00000000">
      <w:pPr>
        <w:pStyle w:val="Author-eListParagraph"/>
        <w:numPr>
          <w:ilvl w:val="0"/>
          <w:numId w:val="773"/>
        </w:numPr>
      </w:pPr>
      <w:r>
        <w:rPr>
          <w:rStyle w:val="soitChar"/>
        </w:rPr>
        <w:t xml:space="preserve">Insertion de laine de roche entre 2 panneaux de fibres de bois : </w:t>
      </w:r>
      <w:r>
        <w:rPr>
          <w:rStyle w:val="optioncarChar"/>
        </w:rPr>
        <w:t xml:space="preserve">non </w:t>
      </w:r>
      <w:r>
        <w:t>(par défaut)</w:t>
      </w:r>
      <w:r>
        <w:rPr>
          <w:rStyle w:val="optioncarChar"/>
        </w:rPr>
        <w:t xml:space="preserve"> / oui</w:t>
      </w:r>
    </w:p>
    <w:p w14:paraId="029F56C9" w14:textId="77777777" w:rsidR="004B2808" w:rsidRDefault="00000000">
      <w:pPr>
        <w:pStyle w:val="Author-eListParagraph"/>
        <w:numPr>
          <w:ilvl w:val="0"/>
          <w:numId w:val="773"/>
        </w:numPr>
      </w:pPr>
      <w:r>
        <w:rPr>
          <w:rStyle w:val="soitChar"/>
        </w:rPr>
        <w:t xml:space="preserve">Insérés dans un cadre en aluminium : </w:t>
      </w:r>
      <w:r>
        <w:rPr>
          <w:rStyle w:val="optioncarChar"/>
        </w:rPr>
        <w:t>non</w:t>
      </w:r>
      <w:r>
        <w:t xml:space="preserve"> (par défaut) </w:t>
      </w:r>
      <w:r>
        <w:rPr>
          <w:rStyle w:val="optioncarChar"/>
        </w:rPr>
        <w:t>/ oui</w:t>
      </w:r>
    </w:p>
    <w:p w14:paraId="35D10974" w14:textId="77777777" w:rsidR="004B2808" w:rsidRDefault="00000000">
      <w:pPr>
        <w:ind w:left="567"/>
        <w:jc w:val="both"/>
      </w:pPr>
      <w:r>
        <w:rPr>
          <w:b/>
        </w:rPr>
        <w:t>(soit par défaut)</w:t>
      </w:r>
    </w:p>
    <w:p w14:paraId="2F6475F8" w14:textId="77777777" w:rsidR="004B2808" w:rsidRDefault="00000000">
      <w:pPr>
        <w:ind w:left="567"/>
        <w:jc w:val="both"/>
      </w:pPr>
      <w:r>
        <w:rPr>
          <w:rStyle w:val="soitChar"/>
          <w:u w:val="single"/>
        </w:rPr>
        <w:t>Non :</w:t>
      </w:r>
      <w:r>
        <w:rPr>
          <w:rStyle w:val="soitChar"/>
        </w:rPr>
        <w:t xml:space="preserve"> pourvu d’un système de fixation pré-monté sur le chant des panneaux</w:t>
      </w:r>
    </w:p>
    <w:p w14:paraId="3C0E78DF" w14:textId="77777777" w:rsidR="004B2808" w:rsidRDefault="00000000">
      <w:pPr>
        <w:ind w:left="567"/>
        <w:jc w:val="both"/>
      </w:pPr>
      <w:r>
        <w:rPr>
          <w:b/>
        </w:rPr>
        <w:t>(soit)</w:t>
      </w:r>
    </w:p>
    <w:p w14:paraId="123FCB52" w14:textId="77777777" w:rsidR="004B2808" w:rsidRDefault="00000000">
      <w:pPr>
        <w:ind w:left="567"/>
        <w:jc w:val="both"/>
      </w:pPr>
      <w:r>
        <w:rPr>
          <w:rStyle w:val="soitChar"/>
          <w:u w:val="single"/>
        </w:rPr>
        <w:t>Oui :</w:t>
      </w:r>
      <w:r>
        <w:rPr>
          <w:rStyle w:val="soitChar"/>
        </w:rPr>
        <w:t xml:space="preserve"> cadre en : </w:t>
      </w:r>
      <w:r>
        <w:rPr>
          <w:rStyle w:val="optioncarChar"/>
        </w:rPr>
        <w:t>aluminium thermolaqué</w:t>
      </w:r>
      <w:r>
        <w:t xml:space="preserve"> (par défaut)</w:t>
      </w:r>
      <w:r>
        <w:rPr>
          <w:rStyle w:val="optioncarChar"/>
        </w:rPr>
        <w:t xml:space="preserve"> / ***</w:t>
      </w:r>
    </w:p>
    <w:p w14:paraId="3467C721" w14:textId="77777777" w:rsidR="004B2808" w:rsidRDefault="00000000">
      <w:pPr>
        <w:pStyle w:val="Author-eListParagraph"/>
        <w:numPr>
          <w:ilvl w:val="0"/>
          <w:numId w:val="774"/>
        </w:numPr>
      </w:pPr>
      <w:r>
        <w:rPr>
          <w:rStyle w:val="soitChar"/>
        </w:rPr>
        <w:t xml:space="preserve">Épaisseur : </w:t>
      </w:r>
      <w:r>
        <w:rPr>
          <w:rStyle w:val="optioncarChar"/>
        </w:rPr>
        <w:t xml:space="preserve">25 </w:t>
      </w:r>
      <w:r>
        <w:t xml:space="preserve">(par défaut) </w:t>
      </w:r>
      <w:r>
        <w:rPr>
          <w:rStyle w:val="optioncarChar"/>
        </w:rPr>
        <w:t>/ 35 / ***</w:t>
      </w:r>
      <w:r>
        <w:rPr>
          <w:rStyle w:val="soitChar"/>
        </w:rPr>
        <w:t xml:space="preserve"> mm</w:t>
      </w:r>
    </w:p>
    <w:p w14:paraId="0C4F1BA0" w14:textId="77777777" w:rsidR="004B2808" w:rsidRDefault="00000000">
      <w:pPr>
        <w:pStyle w:val="Author-eListParagraph"/>
        <w:numPr>
          <w:ilvl w:val="0"/>
          <w:numId w:val="774"/>
        </w:numPr>
      </w:pPr>
      <w:r>
        <w:rPr>
          <w:rStyle w:val="soitChar"/>
        </w:rPr>
        <w:t xml:space="preserve">Dimensions des plaques : </w:t>
      </w:r>
      <w:r>
        <w:rPr>
          <w:rStyle w:val="optioncarChar"/>
        </w:rPr>
        <w:t xml:space="preserve">600x1200 </w:t>
      </w:r>
      <w:r>
        <w:t xml:space="preserve">(par défaut) </w:t>
      </w:r>
      <w:r>
        <w:rPr>
          <w:rStyle w:val="optioncarChar"/>
        </w:rPr>
        <w:t>/ 600x2000 / 300x1200 / 300x2000 / ***</w:t>
      </w:r>
      <w:r>
        <w:rPr>
          <w:rStyle w:val="soitChar"/>
        </w:rPr>
        <w:t xml:space="preserve"> mm</w:t>
      </w:r>
    </w:p>
    <w:p w14:paraId="51E38C69" w14:textId="77777777" w:rsidR="004B2808" w:rsidRDefault="00000000">
      <w:pPr>
        <w:jc w:val="both"/>
      </w:pPr>
      <w:r>
        <w:rPr>
          <w:b/>
        </w:rPr>
        <w:t>(soit)</w:t>
      </w:r>
    </w:p>
    <w:p w14:paraId="218E7655" w14:textId="77777777" w:rsidR="004B2808" w:rsidRDefault="00000000">
      <w:pPr>
        <w:jc w:val="both"/>
      </w:pPr>
      <w:r>
        <w:rPr>
          <w:rStyle w:val="soitChar"/>
          <w:u w:val="single"/>
        </w:rPr>
        <w:t>Laine de roche :</w:t>
      </w:r>
    </w:p>
    <w:p w14:paraId="715E5AB7" w14:textId="77777777" w:rsidR="004B2808" w:rsidRDefault="00000000">
      <w:pPr>
        <w:pStyle w:val="Author-eListParagraph"/>
        <w:numPr>
          <w:ilvl w:val="0"/>
          <w:numId w:val="775"/>
        </w:numPr>
      </w:pPr>
      <w:r>
        <w:rPr>
          <w:rStyle w:val="soitChar"/>
        </w:rPr>
        <w:t>Laine de roche avec revêtement de voile peint</w:t>
      </w:r>
    </w:p>
    <w:p w14:paraId="4BCB1564" w14:textId="77777777" w:rsidR="004B2808" w:rsidRDefault="00000000">
      <w:pPr>
        <w:pStyle w:val="Author-eListParagraph"/>
        <w:numPr>
          <w:ilvl w:val="0"/>
          <w:numId w:val="775"/>
        </w:numPr>
      </w:pPr>
      <w:r>
        <w:rPr>
          <w:rStyle w:val="soitChar"/>
        </w:rPr>
        <w:t xml:space="preserve">Épaisseur : </w:t>
      </w:r>
      <w:r>
        <w:rPr>
          <w:rStyle w:val="optioncarChar"/>
        </w:rPr>
        <w:t xml:space="preserve">50 </w:t>
      </w:r>
      <w:r>
        <w:t>(par défaut)</w:t>
      </w:r>
      <w:r>
        <w:rPr>
          <w:rStyle w:val="optioncarChar"/>
        </w:rPr>
        <w:t xml:space="preserve"> / ***</w:t>
      </w:r>
      <w:r>
        <w:rPr>
          <w:rStyle w:val="soitChar"/>
        </w:rPr>
        <w:t xml:space="preserve"> mm</w:t>
      </w:r>
    </w:p>
    <w:p w14:paraId="4900815B" w14:textId="77777777" w:rsidR="004B2808" w:rsidRDefault="00000000">
      <w:pPr>
        <w:pStyle w:val="Author-eListParagraph"/>
        <w:numPr>
          <w:ilvl w:val="0"/>
          <w:numId w:val="775"/>
        </w:numPr>
      </w:pPr>
      <w:r>
        <w:rPr>
          <w:rStyle w:val="soitChar"/>
        </w:rPr>
        <w:t xml:space="preserve">Forme : </w:t>
      </w:r>
      <w:r>
        <w:rPr>
          <w:rStyle w:val="optioncarChar"/>
        </w:rPr>
        <w:t>rectangulaire</w:t>
      </w:r>
      <w:r>
        <w:t xml:space="preserve"> (par défaut) </w:t>
      </w:r>
      <w:r>
        <w:rPr>
          <w:rStyle w:val="optioncarChar"/>
        </w:rPr>
        <w:t>/ forme de vague</w:t>
      </w:r>
    </w:p>
    <w:p w14:paraId="336F6CB5" w14:textId="77777777" w:rsidR="004B2808" w:rsidRDefault="00000000">
      <w:pPr>
        <w:pStyle w:val="Author-eListParagraph"/>
        <w:numPr>
          <w:ilvl w:val="0"/>
          <w:numId w:val="775"/>
        </w:numPr>
      </w:pPr>
      <w:r>
        <w:rPr>
          <w:rStyle w:val="soitChar"/>
        </w:rPr>
        <w:t xml:space="preserve">Dimensions des plaques : </w:t>
      </w:r>
      <w:r>
        <w:rPr>
          <w:rStyle w:val="optioncarChar"/>
        </w:rPr>
        <w:t xml:space="preserve">600x1200 </w:t>
      </w:r>
      <w:r>
        <w:t>(par défaut)</w:t>
      </w:r>
      <w:r>
        <w:rPr>
          <w:rStyle w:val="optioncarChar"/>
        </w:rPr>
        <w:t xml:space="preserve"> / 600x1800 / 300x1200 / 300x1800 / 300-150x1200 / 600-450x1200 / ***</w:t>
      </w:r>
      <w:r>
        <w:rPr>
          <w:rStyle w:val="soitChar"/>
        </w:rPr>
        <w:t xml:space="preserve"> mm</w:t>
      </w:r>
    </w:p>
    <w:p w14:paraId="54AA1DC4" w14:textId="77777777" w:rsidR="004B2808" w:rsidRDefault="00000000">
      <w:pPr>
        <w:pStyle w:val="Author-eListParagraph"/>
        <w:numPr>
          <w:ilvl w:val="0"/>
          <w:numId w:val="775"/>
        </w:numPr>
      </w:pPr>
      <w:r>
        <w:rPr>
          <w:rStyle w:val="soitChar"/>
        </w:rPr>
        <w:t xml:space="preserve">Cadre : </w:t>
      </w:r>
      <w:r>
        <w:rPr>
          <w:rStyle w:val="optioncarChar"/>
        </w:rPr>
        <w:t>non</w:t>
      </w:r>
      <w:r>
        <w:t xml:space="preserve"> (par défaut) </w:t>
      </w:r>
      <w:r>
        <w:rPr>
          <w:rStyle w:val="optioncarChar"/>
        </w:rPr>
        <w:t>/ oui</w:t>
      </w:r>
    </w:p>
    <w:p w14:paraId="1D44C305" w14:textId="77777777" w:rsidR="004B2808" w:rsidRDefault="00000000">
      <w:pPr>
        <w:ind w:left="567"/>
        <w:jc w:val="both"/>
      </w:pPr>
      <w:r>
        <w:rPr>
          <w:b/>
        </w:rPr>
        <w:t>(soit par défaut)</w:t>
      </w:r>
    </w:p>
    <w:p w14:paraId="71FA4FFC" w14:textId="77777777" w:rsidR="004B2808" w:rsidRDefault="00000000">
      <w:pPr>
        <w:ind w:left="567"/>
        <w:jc w:val="both"/>
      </w:pPr>
      <w:r>
        <w:rPr>
          <w:rStyle w:val="soitChar"/>
          <w:u w:val="single"/>
        </w:rPr>
        <w:t>Non</w:t>
      </w:r>
    </w:p>
    <w:p w14:paraId="2ADB6717" w14:textId="77777777" w:rsidR="004B2808" w:rsidRDefault="00000000">
      <w:pPr>
        <w:ind w:left="567"/>
        <w:jc w:val="both"/>
      </w:pPr>
      <w:r>
        <w:rPr>
          <w:b/>
        </w:rPr>
        <w:t>(soit)</w:t>
      </w:r>
    </w:p>
    <w:p w14:paraId="3E0EB09A" w14:textId="77777777" w:rsidR="004B2808" w:rsidRDefault="00000000">
      <w:pPr>
        <w:ind w:left="567"/>
        <w:jc w:val="both"/>
      </w:pPr>
      <w:r>
        <w:rPr>
          <w:rStyle w:val="soitChar"/>
          <w:u w:val="single"/>
        </w:rPr>
        <w:t>Oui :</w:t>
      </w:r>
      <w:r>
        <w:rPr>
          <w:rStyle w:val="soitChar"/>
        </w:rPr>
        <w:t xml:space="preserve"> cadre en </w:t>
      </w:r>
      <w:r>
        <w:rPr>
          <w:rStyle w:val="optioncarChar"/>
        </w:rPr>
        <w:t>acier thermolaqué blanc</w:t>
      </w:r>
      <w:r>
        <w:t xml:space="preserve"> (par défaut) </w:t>
      </w:r>
      <w:r>
        <w:rPr>
          <w:rStyle w:val="optioncarChar"/>
        </w:rPr>
        <w:t>/ acier galvanisé / ***</w:t>
      </w:r>
    </w:p>
    <w:p w14:paraId="5499D637" w14:textId="77777777" w:rsidR="004B2808" w:rsidRDefault="00000000">
      <w:pPr>
        <w:jc w:val="both"/>
      </w:pPr>
      <w:r>
        <w:rPr>
          <w:b/>
        </w:rPr>
        <w:t>(soit)</w:t>
      </w:r>
    </w:p>
    <w:p w14:paraId="2CBBE6C1" w14:textId="77777777" w:rsidR="004B2808" w:rsidRDefault="00000000">
      <w:pPr>
        <w:jc w:val="both"/>
      </w:pPr>
      <w:r>
        <w:rPr>
          <w:rStyle w:val="soitChar"/>
          <w:u w:val="single"/>
        </w:rPr>
        <w:t>Mousse de mélamine :</w:t>
      </w:r>
    </w:p>
    <w:p w14:paraId="3F904DBC" w14:textId="77777777" w:rsidR="004B2808" w:rsidRDefault="00000000">
      <w:pPr>
        <w:pStyle w:val="Author-eListParagraph"/>
        <w:numPr>
          <w:ilvl w:val="0"/>
          <w:numId w:val="776"/>
        </w:numPr>
      </w:pPr>
      <w:r>
        <w:rPr>
          <w:rStyle w:val="soitChar"/>
        </w:rPr>
        <w:t xml:space="preserve">Densité ± :  </w:t>
      </w:r>
      <w:r>
        <w:rPr>
          <w:rStyle w:val="optioncarChar"/>
        </w:rPr>
        <w:t xml:space="preserve">10 </w:t>
      </w:r>
      <w:r>
        <w:t>(par défaut)</w:t>
      </w:r>
      <w:r>
        <w:rPr>
          <w:rStyle w:val="optioncarChar"/>
        </w:rPr>
        <w:t xml:space="preserve"> / ***</w:t>
      </w:r>
      <w:r>
        <w:rPr>
          <w:rStyle w:val="soitChar"/>
        </w:rPr>
        <w:t xml:space="preserve"> kg/m3</w:t>
      </w:r>
    </w:p>
    <w:p w14:paraId="1E02F40D" w14:textId="77777777" w:rsidR="004B2808" w:rsidRDefault="00000000">
      <w:pPr>
        <w:pStyle w:val="Author-eListParagraph"/>
        <w:numPr>
          <w:ilvl w:val="0"/>
          <w:numId w:val="776"/>
        </w:numPr>
      </w:pPr>
      <w:r>
        <w:rPr>
          <w:rStyle w:val="soitChar"/>
        </w:rPr>
        <w:t xml:space="preserve">Épaisseur : </w:t>
      </w:r>
      <w:r>
        <w:rPr>
          <w:rStyle w:val="optioncarChar"/>
        </w:rPr>
        <w:t xml:space="preserve">50 </w:t>
      </w:r>
      <w:r>
        <w:t xml:space="preserve">(par défaut) </w:t>
      </w:r>
      <w:r>
        <w:rPr>
          <w:rStyle w:val="optioncarChar"/>
        </w:rPr>
        <w:t>/ ***</w:t>
      </w:r>
      <w:r>
        <w:rPr>
          <w:rStyle w:val="soitChar"/>
        </w:rPr>
        <w:t xml:space="preserve"> mm</w:t>
      </w:r>
    </w:p>
    <w:p w14:paraId="72594686" w14:textId="77777777" w:rsidR="004B2808" w:rsidRDefault="00000000">
      <w:pPr>
        <w:pStyle w:val="Author-eListParagraph"/>
        <w:numPr>
          <w:ilvl w:val="0"/>
          <w:numId w:val="776"/>
        </w:numPr>
      </w:pPr>
      <w:r>
        <w:rPr>
          <w:rStyle w:val="soitChar"/>
        </w:rPr>
        <w:t xml:space="preserve">Forme : </w:t>
      </w:r>
      <w:r>
        <w:rPr>
          <w:rStyle w:val="optioncarChar"/>
        </w:rPr>
        <w:t xml:space="preserve">rectangulaire </w:t>
      </w:r>
      <w:r>
        <w:t xml:space="preserve">(par défaut) </w:t>
      </w:r>
      <w:r>
        <w:rPr>
          <w:rStyle w:val="optioncarChar"/>
        </w:rPr>
        <w:t>/ ***</w:t>
      </w:r>
    </w:p>
    <w:p w14:paraId="65F37E89" w14:textId="77777777" w:rsidR="004B2808" w:rsidRDefault="00000000">
      <w:pPr>
        <w:pStyle w:val="Author-eListParagraph"/>
        <w:numPr>
          <w:ilvl w:val="0"/>
          <w:numId w:val="776"/>
        </w:numPr>
      </w:pPr>
      <w:r>
        <w:rPr>
          <w:rStyle w:val="soitChar"/>
        </w:rPr>
        <w:t xml:space="preserve">Dimensions ± : </w:t>
      </w:r>
      <w:r>
        <w:rPr>
          <w:rStyle w:val="optioncarChar"/>
        </w:rPr>
        <w:t xml:space="preserve">300x1200 </w:t>
      </w:r>
      <w:r>
        <w:t>(par défaut)</w:t>
      </w:r>
      <w:r>
        <w:rPr>
          <w:rStyle w:val="optioncarChar"/>
        </w:rPr>
        <w:t xml:space="preserve"> / 400 x1200 / 600x1200 / ***</w:t>
      </w:r>
      <w:r>
        <w:rPr>
          <w:rStyle w:val="soitChar"/>
        </w:rPr>
        <w:t xml:space="preserve"> mm</w:t>
      </w:r>
    </w:p>
    <w:p w14:paraId="494A3159" w14:textId="77777777" w:rsidR="004B2808" w:rsidRDefault="00000000">
      <w:pPr>
        <w:pStyle w:val="Author-eListParagraph"/>
        <w:numPr>
          <w:ilvl w:val="0"/>
          <w:numId w:val="776"/>
        </w:numPr>
      </w:pPr>
      <w:r>
        <w:rPr>
          <w:rStyle w:val="soitChar"/>
        </w:rPr>
        <w:t xml:space="preserve">Finition : </w:t>
      </w:r>
      <w:r>
        <w:rPr>
          <w:rStyle w:val="optioncarChar"/>
        </w:rPr>
        <w:t>peinture</w:t>
      </w:r>
      <w:r>
        <w:t xml:space="preserve"> (par défaut)</w:t>
      </w:r>
      <w:r>
        <w:rPr>
          <w:rStyle w:val="optioncarChar"/>
        </w:rPr>
        <w:t xml:space="preserve"> / ***</w:t>
      </w:r>
    </w:p>
    <w:p w14:paraId="3E540C88" w14:textId="77777777" w:rsidR="004B2808" w:rsidRDefault="00000000">
      <w:pPr>
        <w:jc w:val="both"/>
      </w:pPr>
      <w:r>
        <w:rPr>
          <w:b/>
        </w:rPr>
        <w:t>(soit)</w:t>
      </w:r>
    </w:p>
    <w:p w14:paraId="39719825" w14:textId="77777777" w:rsidR="004B2808" w:rsidRDefault="00000000">
      <w:pPr>
        <w:jc w:val="both"/>
      </w:pPr>
      <w:r>
        <w:rPr>
          <w:rStyle w:val="soitChar"/>
          <w:u w:val="single"/>
        </w:rPr>
        <w:t>Fibres de polyester recyclées :</w:t>
      </w:r>
    </w:p>
    <w:p w14:paraId="55E69C01" w14:textId="77777777" w:rsidR="004B2808" w:rsidRDefault="00000000">
      <w:pPr>
        <w:pStyle w:val="Author-eListParagraph"/>
        <w:numPr>
          <w:ilvl w:val="0"/>
          <w:numId w:val="777"/>
        </w:numPr>
      </w:pPr>
      <w:r>
        <w:rPr>
          <w:rStyle w:val="soitChar"/>
        </w:rPr>
        <w:t xml:space="preserve">Densité  : ≥ </w:t>
      </w:r>
      <w:r>
        <w:rPr>
          <w:rStyle w:val="optioncarChar"/>
        </w:rPr>
        <w:t>40</w:t>
      </w:r>
      <w:r>
        <w:t xml:space="preserve"> (par défaut) </w:t>
      </w:r>
      <w:r>
        <w:rPr>
          <w:rStyle w:val="optioncarChar"/>
        </w:rPr>
        <w:t>/ 20 / ***</w:t>
      </w:r>
      <w:r>
        <w:rPr>
          <w:rStyle w:val="soitChar"/>
        </w:rPr>
        <w:t xml:space="preserve"> kg/m³</w:t>
      </w:r>
    </w:p>
    <w:p w14:paraId="0AFBC708" w14:textId="77777777" w:rsidR="004B2808" w:rsidRDefault="00000000">
      <w:pPr>
        <w:pStyle w:val="Author-eListParagraph"/>
        <w:numPr>
          <w:ilvl w:val="0"/>
          <w:numId w:val="777"/>
        </w:numPr>
      </w:pPr>
      <w:r>
        <w:rPr>
          <w:rStyle w:val="soitChar"/>
        </w:rPr>
        <w:t xml:space="preserve">Épaisseur : </w:t>
      </w:r>
      <w:r>
        <w:rPr>
          <w:rStyle w:val="optioncarChar"/>
        </w:rPr>
        <w:t>50</w:t>
      </w:r>
      <w:r>
        <w:t xml:space="preserve"> (par défaut) </w:t>
      </w:r>
      <w:r>
        <w:rPr>
          <w:rStyle w:val="optioncarChar"/>
        </w:rPr>
        <w:t>/ ***</w:t>
      </w:r>
      <w:r>
        <w:rPr>
          <w:rStyle w:val="soitChar"/>
        </w:rPr>
        <w:t xml:space="preserve"> mm</w:t>
      </w:r>
    </w:p>
    <w:p w14:paraId="780F2A43" w14:textId="77777777" w:rsidR="004B2808" w:rsidRDefault="00000000">
      <w:pPr>
        <w:pStyle w:val="Author-eListParagraph"/>
        <w:numPr>
          <w:ilvl w:val="0"/>
          <w:numId w:val="777"/>
        </w:numPr>
      </w:pPr>
      <w:r>
        <w:rPr>
          <w:rStyle w:val="soitChar"/>
        </w:rPr>
        <w:t xml:space="preserve">Forme : </w:t>
      </w:r>
      <w:r>
        <w:rPr>
          <w:rStyle w:val="optioncarChar"/>
        </w:rPr>
        <w:t>rectangulaire</w:t>
      </w:r>
      <w:r>
        <w:t xml:space="preserve"> (par défaut) </w:t>
      </w:r>
      <w:r>
        <w:rPr>
          <w:rStyle w:val="optioncarChar"/>
        </w:rPr>
        <w:t>/ cylindrique / ***</w:t>
      </w:r>
    </w:p>
    <w:p w14:paraId="78D53A8E" w14:textId="77777777" w:rsidR="004B2808" w:rsidRDefault="00000000">
      <w:pPr>
        <w:pStyle w:val="Author-eListParagraph"/>
        <w:numPr>
          <w:ilvl w:val="0"/>
          <w:numId w:val="777"/>
        </w:numPr>
      </w:pPr>
      <w:r>
        <w:rPr>
          <w:rStyle w:val="soitChar"/>
        </w:rPr>
        <w:t>Dimensions des plaques ± :</w:t>
      </w:r>
      <w:r>
        <w:rPr>
          <w:rStyle w:val="optioncarChar"/>
        </w:rPr>
        <w:t xml:space="preserve"> 300x1200</w:t>
      </w:r>
      <w:r>
        <w:t xml:space="preserve"> (par défaut) </w:t>
      </w:r>
      <w:r>
        <w:rPr>
          <w:rStyle w:val="optioncarChar"/>
        </w:rPr>
        <w:t>/ 400 x1200 / 600x1200 / 230 x 1200 / 150 x 1200 / 170 x 1200 / ***</w:t>
      </w:r>
      <w:r>
        <w:rPr>
          <w:rStyle w:val="soitChar"/>
        </w:rPr>
        <w:t xml:space="preserve"> mm</w:t>
      </w:r>
    </w:p>
    <w:p w14:paraId="27346148" w14:textId="77777777" w:rsidR="004B2808" w:rsidRDefault="00000000">
      <w:pPr>
        <w:pStyle w:val="Author-eListParagraph"/>
        <w:numPr>
          <w:ilvl w:val="0"/>
          <w:numId w:val="777"/>
        </w:numPr>
      </w:pPr>
      <w:r>
        <w:rPr>
          <w:rStyle w:val="soitChar"/>
        </w:rPr>
        <w:t xml:space="preserve">Finition : </w:t>
      </w:r>
      <w:r>
        <w:rPr>
          <w:rStyle w:val="optioncarChar"/>
        </w:rPr>
        <w:t>peinture</w:t>
      </w:r>
      <w:r>
        <w:t xml:space="preserve"> (par défaut) </w:t>
      </w:r>
      <w:r>
        <w:rPr>
          <w:rStyle w:val="optioncarChar"/>
        </w:rPr>
        <w:t>/ ***</w:t>
      </w:r>
    </w:p>
    <w:p w14:paraId="1F84DF33" w14:textId="77777777" w:rsidR="004B2808" w:rsidRDefault="00000000">
      <w:pPr>
        <w:jc w:val="both"/>
      </w:pPr>
      <w:r>
        <w:t xml:space="preserve">Réaction au feu [NBN EN 13501-1] : </w:t>
      </w:r>
      <w:r>
        <w:rPr>
          <w:rStyle w:val="optioncarChar"/>
        </w:rPr>
        <w:t>B-s1, d0</w:t>
      </w:r>
      <w:r>
        <w:t xml:space="preserve"> (par défaut)</w:t>
      </w:r>
      <w:r>
        <w:rPr>
          <w:rStyle w:val="optioncarChar"/>
        </w:rPr>
        <w:t xml:space="preserve"> / A2-s1, d0 / A1 / C-s2, d0 / ***</w:t>
      </w:r>
    </w:p>
    <w:p w14:paraId="47736B6A" w14:textId="77777777" w:rsidR="004B2808" w:rsidRDefault="004B2808">
      <w:pPr>
        <w:jc w:val="both"/>
      </w:pPr>
    </w:p>
    <w:p w14:paraId="31EC8AB7" w14:textId="77777777" w:rsidR="004B2808" w:rsidRDefault="00000000">
      <w:pPr>
        <w:jc w:val="both"/>
      </w:pPr>
      <w:r>
        <w:lastRenderedPageBreak/>
        <w:t xml:space="preserve">Stabilité au feu 30 min : </w:t>
      </w:r>
      <w:r>
        <w:rPr>
          <w:rStyle w:val="optioncarChar"/>
        </w:rPr>
        <w:t>non</w:t>
      </w:r>
      <w:r>
        <w:t xml:space="preserve"> (par défaut)</w:t>
      </w:r>
      <w:r>
        <w:rPr>
          <w:rStyle w:val="optioncarChar"/>
        </w:rPr>
        <w:t xml:space="preserve"> / oui</w:t>
      </w:r>
    </w:p>
    <w:p w14:paraId="5A9253B7" w14:textId="77777777" w:rsidR="004B2808" w:rsidRDefault="004B2808">
      <w:pPr>
        <w:jc w:val="both"/>
      </w:pPr>
    </w:p>
    <w:p w14:paraId="3AA26707" w14:textId="77777777" w:rsidR="004B2808" w:rsidRDefault="00000000">
      <w:pPr>
        <w:jc w:val="both"/>
      </w:pPr>
      <w:r>
        <w:t>Indice d’absorption acoustique pondéré suivant [NBN EN ISO 11654] (α</w:t>
      </w:r>
      <w:r>
        <w:rPr>
          <w:vertAlign w:val="subscript"/>
        </w:rPr>
        <w:t>w</w:t>
      </w:r>
      <w:r>
        <w:t xml:space="preserve">) : </w:t>
      </w:r>
      <w:r>
        <w:rPr>
          <w:rStyle w:val="optioncarChar"/>
        </w:rPr>
        <w:t xml:space="preserve">1,00 </w:t>
      </w:r>
      <w:r>
        <w:t>(par défaut)</w:t>
      </w:r>
      <w:r>
        <w:rPr>
          <w:rStyle w:val="optioncarChar"/>
        </w:rPr>
        <w:t xml:space="preserve"> / 0,95 / 0,90 / 0,85 / 0,80 / 0,60 / 0,50 / ***</w:t>
      </w:r>
    </w:p>
    <w:p w14:paraId="03573F54" w14:textId="77777777" w:rsidR="004B2808" w:rsidRDefault="004B2808">
      <w:pPr>
        <w:jc w:val="both"/>
      </w:pPr>
    </w:p>
    <w:p w14:paraId="45252D71" w14:textId="77777777" w:rsidR="004B2808" w:rsidRDefault="00000000">
      <w:pPr>
        <w:jc w:val="both"/>
      </w:pPr>
      <w:r>
        <w:t>Classe d’exposition à l’humidité suivant [NBN EN 13964] :</w:t>
      </w:r>
      <w:r>
        <w:rPr>
          <w:rStyle w:val="optioncarChar"/>
        </w:rPr>
        <w:t xml:space="preserve"> A </w:t>
      </w:r>
      <w:r>
        <w:t xml:space="preserve">(par défaut) </w:t>
      </w:r>
      <w:r>
        <w:rPr>
          <w:rStyle w:val="optioncarChar"/>
        </w:rPr>
        <w:t>/ B / C / D</w:t>
      </w:r>
    </w:p>
    <w:p w14:paraId="3E4D1D2B" w14:textId="77777777" w:rsidR="004B2808" w:rsidRDefault="004B2808">
      <w:pPr>
        <w:jc w:val="both"/>
      </w:pPr>
    </w:p>
    <w:p w14:paraId="2F64E1A6" w14:textId="77777777" w:rsidR="004B2808" w:rsidRDefault="00000000">
      <w:pPr>
        <w:jc w:val="both"/>
      </w:pPr>
      <w:r>
        <w:t xml:space="preserve">Résistance aux impacts suivant [NBN EN 13964] : </w:t>
      </w:r>
      <w:r>
        <w:rPr>
          <w:rStyle w:val="optioncarChar"/>
        </w:rPr>
        <w:t>non</w:t>
      </w:r>
      <w:r>
        <w:t xml:space="preserve"> (par défaut)</w:t>
      </w:r>
      <w:r>
        <w:rPr>
          <w:rStyle w:val="optioncarChar"/>
        </w:rPr>
        <w:t xml:space="preserve"> / oui</w:t>
      </w:r>
    </w:p>
    <w:p w14:paraId="4C316DC7" w14:textId="77777777" w:rsidR="004B2808" w:rsidRDefault="004B2808">
      <w:pPr>
        <w:jc w:val="both"/>
      </w:pPr>
    </w:p>
    <w:p w14:paraId="1F4D4848" w14:textId="77777777" w:rsidR="004B2808" w:rsidRDefault="00000000">
      <w:pPr>
        <w:jc w:val="both"/>
      </w:pPr>
      <w:r>
        <w:t>Résistance mécanique – sécurité contre la défaillance, suivant [NBN EN 13964] annexe J : conforme</w:t>
      </w:r>
    </w:p>
    <w:p w14:paraId="72DAB597" w14:textId="77777777" w:rsidR="004B2808" w:rsidRDefault="00000000">
      <w:pPr>
        <w:jc w:val="both"/>
      </w:pPr>
      <w:r>
        <w:rPr>
          <w:b/>
        </w:rPr>
        <w:t>Aspects environnementaux :</w:t>
      </w:r>
    </w:p>
    <w:p w14:paraId="4B754DFA" w14:textId="77777777" w:rsidR="004B2808" w:rsidRDefault="00000000">
      <w:pPr>
        <w:pStyle w:val="Author-eListParagraph"/>
        <w:numPr>
          <w:ilvl w:val="0"/>
          <w:numId w:val="778"/>
        </w:numPr>
      </w:pPr>
      <w:r>
        <w:t xml:space="preserve">Laine de bois : bois issus de forêts gérées durablement selon les prescriptions de l'élément 02.42.4 Bois provenant de forêts gérées durablement : </w:t>
      </w:r>
      <w:r>
        <w:rPr>
          <w:rStyle w:val="optioncarChar"/>
        </w:rPr>
        <w:t xml:space="preserve">oui </w:t>
      </w:r>
      <w:r>
        <w:t>(par défaut)</w:t>
      </w:r>
      <w:r>
        <w:rPr>
          <w:rStyle w:val="optioncarChar"/>
        </w:rPr>
        <w:t xml:space="preserve"> / non</w:t>
      </w:r>
    </w:p>
    <w:p w14:paraId="6E3D4DDA" w14:textId="77777777" w:rsidR="004B2808" w:rsidRDefault="00000000">
      <w:pPr>
        <w:pStyle w:val="Author-eListParagraph"/>
        <w:numPr>
          <w:ilvl w:val="0"/>
          <w:numId w:val="778"/>
        </w:numPr>
      </w:pPr>
      <w:r>
        <w:t xml:space="preserve">Émission COV selon [NBN ISO 16000 série] : </w:t>
      </w:r>
      <w:r>
        <w:rPr>
          <w:rStyle w:val="optioncarChar"/>
        </w:rPr>
        <w:t xml:space="preserve">classe A+ </w:t>
      </w:r>
      <w:r>
        <w:t>(par défaut)</w:t>
      </w:r>
      <w:r>
        <w:rPr>
          <w:rStyle w:val="optioncarChar"/>
        </w:rPr>
        <w:t xml:space="preserve"> / ***</w:t>
      </w:r>
    </w:p>
    <w:p w14:paraId="40E0A2D3" w14:textId="77777777" w:rsidR="004B2808" w:rsidRDefault="00000000">
      <w:pPr>
        <w:pStyle w:val="Author-eListParagraph"/>
        <w:numPr>
          <w:ilvl w:val="0"/>
          <w:numId w:val="778"/>
        </w:numPr>
      </w:pPr>
      <w:r>
        <w:t xml:space="preserve">Émission Formaldéhyde selon [NBN EN 13964] : </w:t>
      </w:r>
      <w:r>
        <w:rPr>
          <w:rStyle w:val="optioncarChar"/>
        </w:rPr>
        <w:t xml:space="preserve">E1 </w:t>
      </w:r>
      <w:r>
        <w:t>(par défaut)</w:t>
      </w:r>
      <w:r>
        <w:rPr>
          <w:rStyle w:val="optioncarChar"/>
        </w:rPr>
        <w:t xml:space="preserve"> / ***</w:t>
      </w:r>
    </w:p>
    <w:p w14:paraId="04D35199" w14:textId="77777777" w:rsidR="004B2808" w:rsidRDefault="00000000">
      <w:pPr>
        <w:pStyle w:val="Author-eListParagraph"/>
        <w:numPr>
          <w:ilvl w:val="0"/>
          <w:numId w:val="778"/>
        </w:numPr>
      </w:pPr>
      <w:r>
        <w:t xml:space="preserve">Contenu recyclé ≥ : </w:t>
      </w:r>
      <w:r>
        <w:rPr>
          <w:rStyle w:val="optioncarChar"/>
        </w:rPr>
        <w:t>30</w:t>
      </w:r>
      <w:r>
        <w:t xml:space="preserve"> (par défaut)</w:t>
      </w:r>
      <w:r>
        <w:rPr>
          <w:rStyle w:val="optioncarChar"/>
        </w:rPr>
        <w:t xml:space="preserve"> / 50 / ***</w:t>
      </w:r>
      <w:r>
        <w:t xml:space="preserve"> %</w:t>
      </w:r>
    </w:p>
    <w:p w14:paraId="39EDFEFF" w14:textId="77777777" w:rsidR="004B2808" w:rsidRDefault="00000000">
      <w:pPr>
        <w:pStyle w:val="Author-eListParagraph"/>
        <w:numPr>
          <w:ilvl w:val="0"/>
          <w:numId w:val="778"/>
        </w:numPr>
      </w:pPr>
      <w:r>
        <w:t xml:space="preserve">Le baffle est entièrement recyclable : </w:t>
      </w:r>
      <w:r>
        <w:rPr>
          <w:rStyle w:val="optioncarChar"/>
        </w:rPr>
        <w:t xml:space="preserve">oui </w:t>
      </w:r>
      <w:r>
        <w:t xml:space="preserve">(par défaut) </w:t>
      </w:r>
      <w:r>
        <w:rPr>
          <w:rStyle w:val="optioncarChar"/>
        </w:rPr>
        <w:t>/ non</w:t>
      </w:r>
    </w:p>
    <w:p w14:paraId="7A5C611D" w14:textId="77777777" w:rsidR="004B2808" w:rsidRDefault="00000000">
      <w:pPr>
        <w:ind w:left="750"/>
      </w:pPr>
      <w:r>
        <w:t> </w:t>
      </w:r>
    </w:p>
    <w:p w14:paraId="450685A1" w14:textId="77777777" w:rsidR="004B2808" w:rsidRDefault="00000000">
      <w:pPr>
        <w:pStyle w:val="pheading"/>
      </w:pPr>
      <w:r>
        <w:t>- Finitions</w:t>
      </w:r>
    </w:p>
    <w:p w14:paraId="26414124" w14:textId="77777777" w:rsidR="004B2808" w:rsidRDefault="00000000">
      <w:r>
        <w:t xml:space="preserve">Teinte : </w:t>
      </w:r>
      <w:r>
        <w:rPr>
          <w:rStyle w:val="optioncarChar"/>
        </w:rPr>
        <w:t>au choix de la direction des travaux dans la gamme du fabricant</w:t>
      </w:r>
      <w:r>
        <w:t xml:space="preserve"> (par défaut) </w:t>
      </w:r>
      <w:r>
        <w:rPr>
          <w:rStyle w:val="optioncarChar"/>
        </w:rPr>
        <w:t>/ blanc / ***</w:t>
      </w:r>
    </w:p>
    <w:p w14:paraId="306CB8C7" w14:textId="77777777" w:rsidR="004B2808" w:rsidRDefault="00000000">
      <w:pPr>
        <w:pStyle w:val="pheading"/>
      </w:pPr>
      <w:r>
        <w:t>EXÉCUTION / MISE EN ŒUVRE</w:t>
      </w:r>
    </w:p>
    <w:p w14:paraId="55F974B2" w14:textId="77777777" w:rsidR="004B2808" w:rsidRDefault="00000000">
      <w:pPr>
        <w:pStyle w:val="pheading"/>
      </w:pPr>
      <w:r>
        <w:t>- Prescriptions générales</w:t>
      </w:r>
    </w:p>
    <w:p w14:paraId="5DFEB8AA" w14:textId="77777777" w:rsidR="004B2808" w:rsidRDefault="00000000">
      <w:pPr>
        <w:jc w:val="both"/>
      </w:pPr>
      <w:r>
        <w:t xml:space="preserve">Les baffles sont placés en rangées écartées de : </w:t>
      </w:r>
      <w:r>
        <w:rPr>
          <w:rStyle w:val="optioncarChar"/>
        </w:rPr>
        <w:t xml:space="preserve">300 </w:t>
      </w:r>
      <w:r>
        <w:t>(par défaut)</w:t>
      </w:r>
      <w:r>
        <w:rPr>
          <w:rStyle w:val="optioncarChar"/>
        </w:rPr>
        <w:t xml:space="preserve"> / 400 / ***</w:t>
      </w:r>
      <w:r>
        <w:t xml:space="preserve"> mm</w:t>
      </w:r>
    </w:p>
    <w:p w14:paraId="0FFF3019" w14:textId="77777777" w:rsidR="004B2808" w:rsidRDefault="00000000">
      <w:pPr>
        <w:jc w:val="both"/>
      </w:pPr>
      <w:r>
        <w:t xml:space="preserve">Espace entre baffles dans la rangée : </w:t>
      </w:r>
      <w:r>
        <w:rPr>
          <w:rStyle w:val="optioncarChar"/>
        </w:rPr>
        <w:t xml:space="preserve">20 </w:t>
      </w:r>
      <w:r>
        <w:t xml:space="preserve">(par défaut) </w:t>
      </w:r>
      <w:r>
        <w:rPr>
          <w:rStyle w:val="optioncarChar"/>
        </w:rPr>
        <w:t>/ 30 / 60 / ***</w:t>
      </w:r>
      <w:r>
        <w:t xml:space="preserve"> mm</w:t>
      </w:r>
    </w:p>
    <w:p w14:paraId="4BE4D67E" w14:textId="77777777" w:rsidR="004B2808" w:rsidRDefault="00000000">
      <w:pPr>
        <w:jc w:val="both"/>
      </w:pPr>
      <w:r>
        <w:t xml:space="preserve">Fixation : suspension au moyen de : </w:t>
      </w:r>
      <w:r>
        <w:rPr>
          <w:rStyle w:val="optioncarChar"/>
        </w:rPr>
        <w:t>câbles en acier inoxydable</w:t>
      </w:r>
      <w:r>
        <w:t xml:space="preserve"> (par défaut) </w:t>
      </w:r>
      <w:r>
        <w:rPr>
          <w:rStyle w:val="optioncarChar"/>
        </w:rPr>
        <w:t>/ structure aluminium</w:t>
      </w:r>
    </w:p>
    <w:p w14:paraId="25058E72" w14:textId="77777777" w:rsidR="004B2808" w:rsidRDefault="00000000">
      <w:pPr>
        <w:jc w:val="both"/>
      </w:pPr>
      <w:r>
        <w:rPr>
          <w:b/>
        </w:rPr>
        <w:t>(soit par défaut)</w:t>
      </w:r>
    </w:p>
    <w:p w14:paraId="613669C1" w14:textId="77777777" w:rsidR="004B2808" w:rsidRDefault="00000000">
      <w:pPr>
        <w:jc w:val="both"/>
      </w:pPr>
      <w:r>
        <w:rPr>
          <w:rStyle w:val="soitChar"/>
          <w:u w:val="single"/>
        </w:rPr>
        <w:t>Câbles en acier inoxydable :</w:t>
      </w:r>
    </w:p>
    <w:p w14:paraId="7F83EFBF" w14:textId="77777777" w:rsidR="004B2808" w:rsidRDefault="00000000">
      <w:pPr>
        <w:pStyle w:val="Author-eListParagraph"/>
        <w:numPr>
          <w:ilvl w:val="0"/>
          <w:numId w:val="779"/>
        </w:numPr>
      </w:pPr>
      <w:r>
        <w:rPr>
          <w:rStyle w:val="soitChar"/>
        </w:rPr>
        <w:t xml:space="preserve">Nombre :  </w:t>
      </w:r>
      <w:r>
        <w:rPr>
          <w:rStyle w:val="optioncarChar"/>
        </w:rPr>
        <w:t>2</w:t>
      </w:r>
      <w:r>
        <w:t xml:space="preserve"> (par défaut) </w:t>
      </w:r>
      <w:r>
        <w:rPr>
          <w:rStyle w:val="optioncarChar"/>
        </w:rPr>
        <w:t>/ 3 / ***</w:t>
      </w:r>
    </w:p>
    <w:p w14:paraId="03915C0A" w14:textId="77777777" w:rsidR="004B2808" w:rsidRDefault="00000000">
      <w:pPr>
        <w:pStyle w:val="Author-eListParagraph"/>
        <w:numPr>
          <w:ilvl w:val="0"/>
          <w:numId w:val="779"/>
        </w:numPr>
      </w:pPr>
      <w:r>
        <w:rPr>
          <w:rStyle w:val="soitChar"/>
        </w:rPr>
        <w:t xml:space="preserve">Écart entre les éléments de suspension  : ≤ </w:t>
      </w:r>
      <w:r>
        <w:rPr>
          <w:rStyle w:val="optioncarChar"/>
        </w:rPr>
        <w:t>600</w:t>
      </w:r>
      <w:r>
        <w:t xml:space="preserve"> (par défaut) </w:t>
      </w:r>
      <w:r>
        <w:rPr>
          <w:rStyle w:val="optioncarChar"/>
        </w:rPr>
        <w:t>/ 700 / 800 / ***</w:t>
      </w:r>
      <w:r>
        <w:rPr>
          <w:rStyle w:val="soitChar"/>
        </w:rPr>
        <w:t xml:space="preserve"> mm</w:t>
      </w:r>
    </w:p>
    <w:p w14:paraId="7A84A39A" w14:textId="77777777" w:rsidR="004B2808" w:rsidRDefault="00000000">
      <w:pPr>
        <w:pStyle w:val="Author-eListParagraph"/>
        <w:numPr>
          <w:ilvl w:val="0"/>
          <w:numId w:val="779"/>
        </w:numPr>
      </w:pPr>
      <w:r>
        <w:rPr>
          <w:rStyle w:val="soitChar"/>
        </w:rPr>
        <w:t xml:space="preserve">Élément d’ancrage dans le baffle : </w:t>
      </w:r>
      <w:r>
        <w:rPr>
          <w:rStyle w:val="optioncarChar"/>
        </w:rPr>
        <w:t>crochet</w:t>
      </w:r>
      <w:r>
        <w:t xml:space="preserve"> (par défaut)</w:t>
      </w:r>
      <w:r>
        <w:rPr>
          <w:rStyle w:val="optioncarChar"/>
        </w:rPr>
        <w:t xml:space="preserve"> / vis d’ancrage / œillet à spirale / ***</w:t>
      </w:r>
    </w:p>
    <w:p w14:paraId="4D853F15" w14:textId="77777777" w:rsidR="004B2808" w:rsidRDefault="00000000">
      <w:pPr>
        <w:pStyle w:val="Author-eListParagraph"/>
        <w:numPr>
          <w:ilvl w:val="0"/>
          <w:numId w:val="779"/>
        </w:numPr>
      </w:pPr>
      <w:r>
        <w:rPr>
          <w:rStyle w:val="soitChar"/>
        </w:rPr>
        <w:t xml:space="preserve">Distance de suspension par rapport au plafond  : ≤ </w:t>
      </w:r>
      <w:r>
        <w:rPr>
          <w:rStyle w:val="optioncarChar"/>
        </w:rPr>
        <w:t xml:space="preserve">150 </w:t>
      </w:r>
      <w:r>
        <w:t>(par défaut)</w:t>
      </w:r>
      <w:r>
        <w:rPr>
          <w:rStyle w:val="optioncarChar"/>
        </w:rPr>
        <w:t xml:space="preserve"> / 300 / ***</w:t>
      </w:r>
      <w:r>
        <w:rPr>
          <w:rStyle w:val="soitChar"/>
        </w:rPr>
        <w:t xml:space="preserve"> mm</w:t>
      </w:r>
    </w:p>
    <w:p w14:paraId="0BD1F774" w14:textId="77777777" w:rsidR="004B2808" w:rsidRDefault="00000000">
      <w:pPr>
        <w:jc w:val="both"/>
      </w:pPr>
      <w:r>
        <w:rPr>
          <w:b/>
        </w:rPr>
        <w:t>(soit)</w:t>
      </w:r>
    </w:p>
    <w:p w14:paraId="110EC30F" w14:textId="77777777" w:rsidR="004B2808" w:rsidRDefault="00000000">
      <w:pPr>
        <w:jc w:val="both"/>
      </w:pPr>
      <w:r>
        <w:rPr>
          <w:rStyle w:val="soitChar"/>
          <w:u w:val="single"/>
        </w:rPr>
        <w:t>Structure aluminium :</w:t>
      </w:r>
    </w:p>
    <w:p w14:paraId="7E5DC67A" w14:textId="77777777" w:rsidR="004B2808" w:rsidRDefault="00000000">
      <w:pPr>
        <w:pStyle w:val="Author-eListParagraph"/>
        <w:numPr>
          <w:ilvl w:val="0"/>
          <w:numId w:val="780"/>
        </w:numPr>
        <w:jc w:val="both"/>
      </w:pPr>
      <w:r>
        <w:rPr>
          <w:rStyle w:val="soitChar"/>
        </w:rPr>
        <w:t xml:space="preserve">Profilés avec connecteurs réalisant des lignes continues sur lesquels les baffles sont fixés </w:t>
      </w:r>
      <w:r>
        <w:rPr>
          <w:rStyle w:val="optioncarChar"/>
        </w:rPr>
        <w:t>au moyen de crochets d’ancrage / par insertion du rail dans la rainure du baffle</w:t>
      </w:r>
    </w:p>
    <w:p w14:paraId="6E9420B7" w14:textId="77777777" w:rsidR="004B2808" w:rsidRDefault="00000000">
      <w:pPr>
        <w:pStyle w:val="Author-eListParagraph"/>
        <w:numPr>
          <w:ilvl w:val="0"/>
          <w:numId w:val="780"/>
        </w:numPr>
        <w:jc w:val="both"/>
      </w:pPr>
      <w:r>
        <w:rPr>
          <w:rStyle w:val="soitChar"/>
        </w:rPr>
        <w:t xml:space="preserve">Les profilés sont pourvus d’écarteurs de : </w:t>
      </w:r>
      <w:r>
        <w:rPr>
          <w:rStyle w:val="optioncarChar"/>
        </w:rPr>
        <w:t>300</w:t>
      </w:r>
      <w:r>
        <w:t xml:space="preserve"> (par défaut)</w:t>
      </w:r>
      <w:r>
        <w:rPr>
          <w:rStyle w:val="optioncarChar"/>
        </w:rPr>
        <w:t xml:space="preserve"> / 600 / ***</w:t>
      </w:r>
      <w:r>
        <w:rPr>
          <w:rStyle w:val="soitChar"/>
        </w:rPr>
        <w:t xml:space="preserve"> mm</w:t>
      </w:r>
    </w:p>
    <w:p w14:paraId="43B809FC" w14:textId="77777777" w:rsidR="004B2808" w:rsidRDefault="00000000">
      <w:pPr>
        <w:pStyle w:val="Author-eListParagraph"/>
        <w:numPr>
          <w:ilvl w:val="0"/>
          <w:numId w:val="780"/>
        </w:numPr>
        <w:jc w:val="both"/>
      </w:pPr>
      <w:r>
        <w:rPr>
          <w:rStyle w:val="soitChar"/>
        </w:rPr>
        <w:t>Les profilés sont suspendus au moyen de dispositifs réglables</w:t>
      </w:r>
    </w:p>
    <w:p w14:paraId="0663EBFB" w14:textId="77777777" w:rsidR="004B2808" w:rsidRDefault="00000000">
      <w:pPr>
        <w:pStyle w:val="pheading"/>
      </w:pPr>
      <w:r>
        <w:t>DOCUMENTS DE RÉFÉRENCE COMPLÉMENTAIRES</w:t>
      </w:r>
    </w:p>
    <w:p w14:paraId="4260B115" w14:textId="77777777" w:rsidR="004B2808" w:rsidRDefault="00000000">
      <w:pPr>
        <w:pStyle w:val="pheading"/>
      </w:pPr>
      <w:r>
        <w:t>- Matériau</w:t>
      </w:r>
    </w:p>
    <w:p w14:paraId="1276559D" w14:textId="77777777" w:rsidR="004B2808" w:rsidRDefault="00000000">
      <w:r>
        <w:t>[NBN EN 13501-1, Classement au feu des produits et éléments de construction - Partie 1: Classement à partir des données d'essais de réaction au feu]</w:t>
      </w:r>
    </w:p>
    <w:p w14:paraId="60BF197C" w14:textId="77777777" w:rsidR="004B2808" w:rsidRDefault="00000000">
      <w:r>
        <w:t>[NBN ISO 16000 série, Air intérieur]</w:t>
      </w:r>
    </w:p>
    <w:p w14:paraId="1E41A5C2" w14:textId="77777777" w:rsidR="004B2808" w:rsidRDefault="00000000">
      <w:pPr>
        <w:pStyle w:val="pheading"/>
      </w:pPr>
      <w:r>
        <w:lastRenderedPageBreak/>
        <w:t>MESURAGE</w:t>
      </w:r>
    </w:p>
    <w:p w14:paraId="5780B2AE" w14:textId="77777777" w:rsidR="004B2808" w:rsidRDefault="00000000">
      <w:pPr>
        <w:pStyle w:val="pheading"/>
      </w:pPr>
      <w:r>
        <w:t>- unité de mesure:</w:t>
      </w:r>
    </w:p>
    <w:p w14:paraId="7F53A7AE" w14:textId="77777777" w:rsidR="004B2808" w:rsidRDefault="00000000">
      <w:r>
        <w:rPr>
          <w:rStyle w:val="optioncarChar"/>
        </w:rPr>
        <w:t xml:space="preserve">m </w:t>
      </w:r>
      <w:r>
        <w:t>(par défaut)</w:t>
      </w:r>
      <w:r>
        <w:rPr>
          <w:rStyle w:val="optioncarChar"/>
        </w:rPr>
        <w:t xml:space="preserve"> / pc</w:t>
      </w:r>
    </w:p>
    <w:p w14:paraId="4754C2AF" w14:textId="77777777" w:rsidR="004B2808" w:rsidRDefault="00000000">
      <w:r>
        <w:rPr>
          <w:b/>
        </w:rPr>
        <w:t>(soit par défaut)</w:t>
      </w:r>
      <w:r>
        <w:br/>
      </w:r>
      <w:r>
        <w:rPr>
          <w:rStyle w:val="soitChar"/>
        </w:rPr>
        <w:t>1. m</w:t>
      </w:r>
      <w:r>
        <w:br/>
      </w:r>
      <w:r>
        <w:rPr>
          <w:b/>
        </w:rPr>
        <w:t>(soit)</w:t>
      </w:r>
      <w:r>
        <w:br/>
      </w:r>
      <w:r>
        <w:rPr>
          <w:rStyle w:val="soitChar"/>
        </w:rPr>
        <w:t>2. pc</w:t>
      </w:r>
    </w:p>
    <w:p w14:paraId="19BD92D0" w14:textId="77777777" w:rsidR="004B2808" w:rsidRDefault="00000000">
      <w:pPr>
        <w:pStyle w:val="pheading"/>
      </w:pPr>
      <w:r>
        <w:t>- code de mesurage:</w:t>
      </w:r>
    </w:p>
    <w:p w14:paraId="18B5E3DF" w14:textId="77777777" w:rsidR="004B2808" w:rsidRDefault="00000000">
      <w:pPr>
        <w:jc w:val="both"/>
      </w:pPr>
      <w:r>
        <w:rPr>
          <w:rStyle w:val="optioncarChar"/>
        </w:rPr>
        <w:t xml:space="preserve">Longeur nette </w:t>
      </w:r>
      <w:r>
        <w:t xml:space="preserve">(par défaut) / </w:t>
      </w:r>
      <w:r>
        <w:rPr>
          <w:rStyle w:val="optioncarChar"/>
        </w:rPr>
        <w:t>Quantité nette</w:t>
      </w:r>
    </w:p>
    <w:p w14:paraId="14F39F3B" w14:textId="77777777" w:rsidR="004B2808" w:rsidRDefault="00000000">
      <w:pPr>
        <w:jc w:val="both"/>
      </w:pPr>
      <w:r>
        <w:rPr>
          <w:b/>
        </w:rPr>
        <w:t>(soit par défaut)</w:t>
      </w:r>
    </w:p>
    <w:p w14:paraId="61305D45" w14:textId="77777777" w:rsidR="004B2808" w:rsidRDefault="00000000">
      <w:pPr>
        <w:jc w:val="both"/>
      </w:pPr>
      <w:r>
        <w:rPr>
          <w:rStyle w:val="soitChar"/>
        </w:rPr>
        <w:t>1. Longueur nette des rangées de baffles, distinction faite du type</w:t>
      </w:r>
    </w:p>
    <w:p w14:paraId="1776FACF" w14:textId="77777777" w:rsidR="004B2808" w:rsidRDefault="00000000">
      <w:pPr>
        <w:jc w:val="both"/>
      </w:pPr>
      <w:r>
        <w:rPr>
          <w:b/>
        </w:rPr>
        <w:t>(soit)</w:t>
      </w:r>
    </w:p>
    <w:p w14:paraId="4A808967" w14:textId="77777777" w:rsidR="004B2808" w:rsidRDefault="00000000">
      <w:pPr>
        <w:jc w:val="both"/>
      </w:pPr>
      <w:r>
        <w:rPr>
          <w:rStyle w:val="soitChar"/>
        </w:rPr>
        <w:t>2. Quantité nette, distinction faite du type et des dimensions</w:t>
      </w:r>
    </w:p>
    <w:p w14:paraId="402402B8" w14:textId="77777777" w:rsidR="004B2808" w:rsidRDefault="00000000">
      <w:pPr>
        <w:pStyle w:val="pheading"/>
      </w:pPr>
      <w:r>
        <w:t>- nature du marché:</w:t>
      </w:r>
    </w:p>
    <w:p w14:paraId="40891F91" w14:textId="77777777" w:rsidR="004B2808" w:rsidRDefault="00000000">
      <w:r>
        <w:t>1. 2. QF</w:t>
      </w:r>
    </w:p>
    <w:p w14:paraId="678CC588" w14:textId="77777777" w:rsidR="004B2808" w:rsidRDefault="00000000">
      <w:pPr>
        <w:pStyle w:val="Author-eSectionHeading6Numberless"/>
      </w:pPr>
      <w:bookmarkStart w:id="963" w:name="_Toc220491095"/>
      <w:r>
        <w:t>54.43.1b Plafonds dalles acoustiques CCTB 01.12</w:t>
      </w:r>
      <w:bookmarkEnd w:id="963"/>
    </w:p>
    <w:p w14:paraId="1E82D3AA" w14:textId="77777777" w:rsidR="004B2808" w:rsidRDefault="00000000">
      <w:pPr>
        <w:pStyle w:val="pheading"/>
      </w:pPr>
      <w:r>
        <w:t>DESCRIPTION</w:t>
      </w:r>
    </w:p>
    <w:p w14:paraId="1BFEF1C2" w14:textId="77777777" w:rsidR="004B2808" w:rsidRDefault="00000000">
      <w:pPr>
        <w:pStyle w:val="pheading"/>
      </w:pPr>
      <w:r>
        <w:t>- Définition / Comprend</w:t>
      </w:r>
    </w:p>
    <w:p w14:paraId="1E8D6084" w14:textId="77777777" w:rsidR="004B2808" w:rsidRDefault="00000000">
      <w:pPr>
        <w:jc w:val="both"/>
      </w:pPr>
      <w:r>
        <w:t>Il s’agit de la fourniture et la pose de dalles acoustiques en plafond.</w:t>
      </w:r>
    </w:p>
    <w:p w14:paraId="30BC74E8" w14:textId="77777777" w:rsidR="004B2808" w:rsidRDefault="00000000">
      <w:pPr>
        <w:jc w:val="both"/>
      </w:pPr>
      <w:r>
        <w:t xml:space="preserve">L’étendue des travaux est décrite sous </w:t>
      </w:r>
      <w:hyperlink w:anchor="1303" w:history="1">
        <w:r w:rsidR="004B2808">
          <w:rPr>
            <w:color w:val="0000EE"/>
          </w:rPr>
          <w:t>54.43.1 Plafonds "baffles" ou dalles acoustiques</w:t>
        </w:r>
      </w:hyperlink>
      <w:r>
        <w:t>.</w:t>
      </w:r>
    </w:p>
    <w:p w14:paraId="48DDB0A9" w14:textId="77777777" w:rsidR="004B2808" w:rsidRDefault="00000000">
      <w:pPr>
        <w:pStyle w:val="pheading"/>
      </w:pPr>
      <w:r>
        <w:t>MATÉRIAUX</w:t>
      </w:r>
    </w:p>
    <w:p w14:paraId="7BCF2F10" w14:textId="77777777" w:rsidR="004B2808" w:rsidRDefault="00000000">
      <w:pPr>
        <w:pStyle w:val="pheading"/>
      </w:pPr>
      <w:r>
        <w:t>- Caractéristiques générales</w:t>
      </w:r>
    </w:p>
    <w:p w14:paraId="564D79B0" w14:textId="77777777" w:rsidR="004B2808" w:rsidRDefault="00000000">
      <w:pPr>
        <w:jc w:val="both"/>
      </w:pPr>
      <w:r>
        <w:t xml:space="preserve">Dalles acoustiques posées en îlots à l'horizontale : </w:t>
      </w:r>
      <w:r>
        <w:rPr>
          <w:rStyle w:val="optioncarChar"/>
        </w:rPr>
        <w:t>laine de bois / laine de roche / laine de verre / fibres de polyester recyclées</w:t>
      </w:r>
    </w:p>
    <w:p w14:paraId="75423EF5" w14:textId="77777777" w:rsidR="004B2808" w:rsidRDefault="00000000">
      <w:pPr>
        <w:jc w:val="both"/>
      </w:pPr>
      <w:r>
        <w:rPr>
          <w:b/>
        </w:rPr>
        <w:t>(soit)</w:t>
      </w:r>
    </w:p>
    <w:p w14:paraId="09763E09" w14:textId="77777777" w:rsidR="004B2808" w:rsidRDefault="00000000">
      <w:pPr>
        <w:jc w:val="both"/>
      </w:pPr>
      <w:r>
        <w:rPr>
          <w:rStyle w:val="soitChar"/>
          <w:u w:val="single"/>
        </w:rPr>
        <w:t>Laine de bois :</w:t>
      </w:r>
    </w:p>
    <w:p w14:paraId="18368AA8" w14:textId="77777777" w:rsidR="004B2808" w:rsidRDefault="00000000">
      <w:pPr>
        <w:pStyle w:val="Author-eListParagraph"/>
        <w:numPr>
          <w:ilvl w:val="0"/>
          <w:numId w:val="781"/>
        </w:numPr>
      </w:pPr>
      <w:r>
        <w:rPr>
          <w:rStyle w:val="soitChar"/>
        </w:rPr>
        <w:t>Encadréees de U en aluminium</w:t>
      </w:r>
    </w:p>
    <w:p w14:paraId="7F720906" w14:textId="77777777" w:rsidR="004B2808" w:rsidRDefault="00000000">
      <w:pPr>
        <w:pStyle w:val="Author-eListParagraph"/>
        <w:numPr>
          <w:ilvl w:val="0"/>
          <w:numId w:val="781"/>
        </w:numPr>
      </w:pPr>
      <w:r>
        <w:rPr>
          <w:rStyle w:val="soitChar"/>
        </w:rPr>
        <w:t>Dalles composés de laine de bois, chaux et ciment</w:t>
      </w:r>
    </w:p>
    <w:p w14:paraId="54D11BA5" w14:textId="77777777" w:rsidR="004B2808" w:rsidRDefault="00000000">
      <w:pPr>
        <w:pStyle w:val="Author-eListParagraph"/>
        <w:numPr>
          <w:ilvl w:val="0"/>
          <w:numId w:val="781"/>
        </w:numPr>
      </w:pPr>
      <w:r>
        <w:rPr>
          <w:rStyle w:val="soitChar"/>
        </w:rPr>
        <w:t xml:space="preserve">Insertion de laine de roche entre 2 panneaux de fibres de bois : </w:t>
      </w:r>
      <w:r>
        <w:rPr>
          <w:rStyle w:val="optioncarChar"/>
        </w:rPr>
        <w:t>oui </w:t>
      </w:r>
      <w:r>
        <w:t>(par défaut)</w:t>
      </w:r>
      <w:r>
        <w:rPr>
          <w:rStyle w:val="optioncarChar"/>
        </w:rPr>
        <w:t xml:space="preserve"> / non</w:t>
      </w:r>
    </w:p>
    <w:p w14:paraId="751E7B81" w14:textId="77777777" w:rsidR="004B2808" w:rsidRDefault="00000000">
      <w:pPr>
        <w:pStyle w:val="Author-eListParagraph"/>
        <w:numPr>
          <w:ilvl w:val="0"/>
          <w:numId w:val="781"/>
        </w:numPr>
      </w:pPr>
      <w:r>
        <w:rPr>
          <w:rStyle w:val="soitChar"/>
        </w:rPr>
        <w:t xml:space="preserve">U en aluminium thermolaqué, teinte : </w:t>
      </w:r>
      <w:r>
        <w:rPr>
          <w:rStyle w:val="optioncarChar"/>
        </w:rPr>
        <w:t>blanc</w:t>
      </w:r>
      <w:r>
        <w:t xml:space="preserve"> (par défaut)</w:t>
      </w:r>
      <w:r>
        <w:rPr>
          <w:rStyle w:val="optioncarChar"/>
        </w:rPr>
        <w:t xml:space="preserve"> / noir / ***</w:t>
      </w:r>
    </w:p>
    <w:p w14:paraId="2D74F9A7" w14:textId="77777777" w:rsidR="004B2808" w:rsidRDefault="00000000">
      <w:pPr>
        <w:pStyle w:val="Author-eListParagraph"/>
        <w:numPr>
          <w:ilvl w:val="0"/>
          <w:numId w:val="781"/>
        </w:numPr>
      </w:pPr>
      <w:r>
        <w:rPr>
          <w:rStyle w:val="soitChar"/>
        </w:rPr>
        <w:t xml:space="preserve">Épaisseur : </w:t>
      </w:r>
      <w:r>
        <w:rPr>
          <w:rStyle w:val="optioncarChar"/>
        </w:rPr>
        <w:t xml:space="preserve">35 </w:t>
      </w:r>
      <w:r>
        <w:t xml:space="preserve">(par défaut) </w:t>
      </w:r>
      <w:r>
        <w:rPr>
          <w:rStyle w:val="optioncarChar"/>
        </w:rPr>
        <w:t>/ ***</w:t>
      </w:r>
      <w:r>
        <w:rPr>
          <w:rStyle w:val="soitChar"/>
        </w:rPr>
        <w:t xml:space="preserve"> mm</w:t>
      </w:r>
    </w:p>
    <w:p w14:paraId="7B9A43D2" w14:textId="77777777" w:rsidR="004B2808" w:rsidRDefault="00000000">
      <w:pPr>
        <w:pStyle w:val="Author-eListParagraph"/>
        <w:numPr>
          <w:ilvl w:val="0"/>
          <w:numId w:val="781"/>
        </w:numPr>
      </w:pPr>
      <w:r>
        <w:rPr>
          <w:rStyle w:val="soitChar"/>
        </w:rPr>
        <w:t xml:space="preserve">Dimensions +/- : </w:t>
      </w:r>
      <w:r>
        <w:rPr>
          <w:rStyle w:val="optioncarChar"/>
        </w:rPr>
        <w:t>1200x600</w:t>
      </w:r>
      <w:r>
        <w:t xml:space="preserve"> (par défaut)</w:t>
      </w:r>
      <w:r>
        <w:rPr>
          <w:rStyle w:val="optioncarChar"/>
        </w:rPr>
        <w:t xml:space="preserve"> / 2000x600 / 1200x1200 / ***</w:t>
      </w:r>
      <w:r>
        <w:rPr>
          <w:rStyle w:val="soitChar"/>
        </w:rPr>
        <w:t xml:space="preserve"> mm </w:t>
      </w:r>
    </w:p>
    <w:p w14:paraId="6828CC6B" w14:textId="77777777" w:rsidR="004B2808" w:rsidRDefault="00000000">
      <w:pPr>
        <w:jc w:val="both"/>
      </w:pPr>
      <w:r>
        <w:rPr>
          <w:b/>
        </w:rPr>
        <w:t>(soit)</w:t>
      </w:r>
    </w:p>
    <w:p w14:paraId="00370BE7" w14:textId="77777777" w:rsidR="004B2808" w:rsidRDefault="00000000">
      <w:pPr>
        <w:jc w:val="both"/>
      </w:pPr>
      <w:r>
        <w:rPr>
          <w:rStyle w:val="soitChar"/>
          <w:u w:val="single"/>
        </w:rPr>
        <w:t>Laine de roche :</w:t>
      </w:r>
    </w:p>
    <w:p w14:paraId="5AD04707" w14:textId="77777777" w:rsidR="004B2808" w:rsidRDefault="00000000">
      <w:pPr>
        <w:pStyle w:val="Author-eListParagraph"/>
        <w:numPr>
          <w:ilvl w:val="0"/>
          <w:numId w:val="782"/>
        </w:numPr>
      </w:pPr>
      <w:r>
        <w:rPr>
          <w:rStyle w:val="soitChar"/>
        </w:rPr>
        <w:t xml:space="preserve">Densité  : ≥ </w:t>
      </w:r>
      <w:r>
        <w:rPr>
          <w:rStyle w:val="optioncarChar"/>
        </w:rPr>
        <w:t xml:space="preserve">140 / 155 </w:t>
      </w:r>
      <w:r>
        <w:t>(par défaut)</w:t>
      </w:r>
      <w:r>
        <w:rPr>
          <w:rStyle w:val="optioncarChar"/>
        </w:rPr>
        <w:t xml:space="preserve"> / ***</w:t>
      </w:r>
      <w:r>
        <w:rPr>
          <w:rStyle w:val="soitChar"/>
        </w:rPr>
        <w:t xml:space="preserve"> kg/m³</w:t>
      </w:r>
    </w:p>
    <w:p w14:paraId="0341B489" w14:textId="77777777" w:rsidR="004B2808" w:rsidRDefault="00000000">
      <w:pPr>
        <w:pStyle w:val="Author-eListParagraph"/>
        <w:numPr>
          <w:ilvl w:val="0"/>
          <w:numId w:val="782"/>
        </w:numPr>
      </w:pPr>
      <w:r>
        <w:rPr>
          <w:rStyle w:val="soitChar"/>
        </w:rPr>
        <w:t xml:space="preserve">Finition des faces : </w:t>
      </w:r>
      <w:r>
        <w:rPr>
          <w:rStyle w:val="optioncarChar"/>
        </w:rPr>
        <w:t>textile</w:t>
      </w:r>
      <w:r>
        <w:t xml:space="preserve"> (par défaut) </w:t>
      </w:r>
      <w:r>
        <w:rPr>
          <w:rStyle w:val="optioncarChar"/>
        </w:rPr>
        <w:t>/ voile / ***</w:t>
      </w:r>
    </w:p>
    <w:p w14:paraId="0AB7973B" w14:textId="77777777" w:rsidR="004B2808" w:rsidRDefault="00000000">
      <w:pPr>
        <w:pStyle w:val="Author-eListParagraph"/>
        <w:numPr>
          <w:ilvl w:val="0"/>
          <w:numId w:val="782"/>
        </w:numPr>
      </w:pPr>
      <w:r>
        <w:rPr>
          <w:rStyle w:val="soitChar"/>
        </w:rPr>
        <w:t>Bords peints</w:t>
      </w:r>
    </w:p>
    <w:p w14:paraId="40317366" w14:textId="77777777" w:rsidR="004B2808" w:rsidRDefault="00000000">
      <w:pPr>
        <w:pStyle w:val="Author-eListParagraph"/>
        <w:numPr>
          <w:ilvl w:val="0"/>
          <w:numId w:val="782"/>
        </w:numPr>
      </w:pPr>
      <w:r>
        <w:rPr>
          <w:rStyle w:val="soitChar"/>
        </w:rPr>
        <w:t xml:space="preserve">Formes : </w:t>
      </w:r>
      <w:r>
        <w:rPr>
          <w:rStyle w:val="optioncarChar"/>
        </w:rPr>
        <w:t>carré / rectangle / cercle / triangle / hexagone / ovale / forme libre</w:t>
      </w:r>
    </w:p>
    <w:p w14:paraId="4424ED08" w14:textId="77777777" w:rsidR="004B2808" w:rsidRDefault="00000000">
      <w:pPr>
        <w:pStyle w:val="Author-eListParagraph"/>
        <w:numPr>
          <w:ilvl w:val="0"/>
          <w:numId w:val="782"/>
        </w:numPr>
      </w:pPr>
      <w:r>
        <w:rPr>
          <w:rStyle w:val="soitChar"/>
        </w:rPr>
        <w:t xml:space="preserve">Épaisseur : </w:t>
      </w:r>
      <w:r>
        <w:rPr>
          <w:rStyle w:val="optioncarChar"/>
        </w:rPr>
        <w:t>40</w:t>
      </w:r>
      <w:r>
        <w:t xml:space="preserve"> (par défaut) </w:t>
      </w:r>
      <w:r>
        <w:rPr>
          <w:rStyle w:val="optioncarChar"/>
        </w:rPr>
        <w:t>/ ***</w:t>
      </w:r>
      <w:r>
        <w:rPr>
          <w:rStyle w:val="soitChar"/>
        </w:rPr>
        <w:t xml:space="preserve"> mm</w:t>
      </w:r>
    </w:p>
    <w:p w14:paraId="57A6266B" w14:textId="77777777" w:rsidR="004B2808" w:rsidRDefault="00000000">
      <w:pPr>
        <w:pStyle w:val="Author-eListParagraph"/>
        <w:numPr>
          <w:ilvl w:val="0"/>
          <w:numId w:val="782"/>
        </w:numPr>
      </w:pPr>
      <w:r>
        <w:rPr>
          <w:rStyle w:val="soitChar"/>
        </w:rPr>
        <w:t xml:space="preserve">Dimensions ± : </w:t>
      </w:r>
      <w:r>
        <w:rPr>
          <w:rStyle w:val="optioncarChar"/>
        </w:rPr>
        <w:t>1200x1200</w:t>
      </w:r>
      <w:r>
        <w:t xml:space="preserve"> (par défaut)</w:t>
      </w:r>
      <w:r>
        <w:rPr>
          <w:rStyle w:val="optioncarChar"/>
        </w:rPr>
        <w:t xml:space="preserve"> / 1200x600 / 1800 x 1200 / Ø 800 / ovale ± 1800x1200 / ***</w:t>
      </w:r>
      <w:r>
        <w:rPr>
          <w:rStyle w:val="soitChar"/>
        </w:rPr>
        <w:t xml:space="preserve"> mm</w:t>
      </w:r>
    </w:p>
    <w:p w14:paraId="1C1CC0E6" w14:textId="77777777" w:rsidR="004B2808" w:rsidRDefault="00000000">
      <w:pPr>
        <w:jc w:val="both"/>
      </w:pPr>
      <w:r>
        <w:rPr>
          <w:b/>
        </w:rPr>
        <w:t>(soit)</w:t>
      </w:r>
    </w:p>
    <w:p w14:paraId="1620EBDC" w14:textId="77777777" w:rsidR="004B2808" w:rsidRDefault="00000000">
      <w:pPr>
        <w:jc w:val="both"/>
      </w:pPr>
      <w:r>
        <w:rPr>
          <w:rStyle w:val="soitChar"/>
          <w:u w:val="single"/>
        </w:rPr>
        <w:lastRenderedPageBreak/>
        <w:t>Laine de verre :</w:t>
      </w:r>
    </w:p>
    <w:p w14:paraId="08050229" w14:textId="77777777" w:rsidR="004B2808" w:rsidRDefault="00000000">
      <w:pPr>
        <w:pStyle w:val="Author-eListParagraph"/>
        <w:numPr>
          <w:ilvl w:val="0"/>
          <w:numId w:val="783"/>
        </w:numPr>
      </w:pPr>
      <w:r>
        <w:rPr>
          <w:rStyle w:val="soitChar"/>
        </w:rPr>
        <w:t xml:space="preserve">Densité ± : </w:t>
      </w:r>
      <w:r>
        <w:rPr>
          <w:rStyle w:val="optioncarChar"/>
        </w:rPr>
        <w:t xml:space="preserve">110 </w:t>
      </w:r>
      <w:r>
        <w:t>(par défaut)</w:t>
      </w:r>
      <w:r>
        <w:rPr>
          <w:rStyle w:val="optioncarChar"/>
        </w:rPr>
        <w:t xml:space="preserve"> / 155 / ***</w:t>
      </w:r>
      <w:r>
        <w:rPr>
          <w:rStyle w:val="soitChar"/>
        </w:rPr>
        <w:t xml:space="preserve"> kg/m³</w:t>
      </w:r>
    </w:p>
    <w:p w14:paraId="43308AF4" w14:textId="77777777" w:rsidR="004B2808" w:rsidRDefault="00000000">
      <w:pPr>
        <w:pStyle w:val="Author-eListParagraph"/>
        <w:numPr>
          <w:ilvl w:val="0"/>
          <w:numId w:val="783"/>
        </w:numPr>
      </w:pPr>
      <w:r>
        <w:rPr>
          <w:rStyle w:val="soitChar"/>
        </w:rPr>
        <w:t xml:space="preserve">Finition : </w:t>
      </w:r>
      <w:r>
        <w:rPr>
          <w:rStyle w:val="optioncarChar"/>
        </w:rPr>
        <w:t xml:space="preserve">textile </w:t>
      </w:r>
      <w:r>
        <w:t xml:space="preserve">(par défaut) </w:t>
      </w:r>
      <w:r>
        <w:rPr>
          <w:rStyle w:val="optioncarChar"/>
        </w:rPr>
        <w:t>/ peinture / acier micro perforé thermolaqué / ***</w:t>
      </w:r>
    </w:p>
    <w:p w14:paraId="384F84FD" w14:textId="77777777" w:rsidR="004B2808" w:rsidRDefault="00000000">
      <w:pPr>
        <w:pStyle w:val="Author-eListParagraph"/>
        <w:numPr>
          <w:ilvl w:val="0"/>
          <w:numId w:val="783"/>
        </w:numPr>
      </w:pPr>
      <w:r>
        <w:rPr>
          <w:rStyle w:val="soitChar"/>
        </w:rPr>
        <w:t xml:space="preserve">Formes : </w:t>
      </w:r>
      <w:r>
        <w:rPr>
          <w:rStyle w:val="optioncarChar"/>
        </w:rPr>
        <w:t xml:space="preserve">rectangle </w:t>
      </w:r>
      <w:r>
        <w:t>(par défaut)</w:t>
      </w:r>
      <w:r>
        <w:rPr>
          <w:rStyle w:val="optioncarChar"/>
        </w:rPr>
        <w:t xml:space="preserve"> / carré / cercle / triangle / ***</w:t>
      </w:r>
    </w:p>
    <w:p w14:paraId="5DADA949" w14:textId="77777777" w:rsidR="004B2808" w:rsidRDefault="00000000">
      <w:pPr>
        <w:pStyle w:val="Author-eListParagraph"/>
        <w:numPr>
          <w:ilvl w:val="0"/>
          <w:numId w:val="783"/>
        </w:numPr>
      </w:pPr>
      <w:r>
        <w:rPr>
          <w:rStyle w:val="soitChar"/>
        </w:rPr>
        <w:t xml:space="preserve">Arêtes : </w:t>
      </w:r>
      <w:r>
        <w:rPr>
          <w:rStyle w:val="optioncarChar"/>
        </w:rPr>
        <w:t>vives</w:t>
      </w:r>
      <w:r>
        <w:t xml:space="preserve"> (par défaut)</w:t>
      </w:r>
      <w:r>
        <w:rPr>
          <w:rStyle w:val="optioncarChar"/>
        </w:rPr>
        <w:t xml:space="preserve"> / ***</w:t>
      </w:r>
    </w:p>
    <w:p w14:paraId="6A444B61" w14:textId="77777777" w:rsidR="004B2808" w:rsidRDefault="00000000">
      <w:pPr>
        <w:pStyle w:val="Author-eListParagraph"/>
        <w:numPr>
          <w:ilvl w:val="0"/>
          <w:numId w:val="783"/>
        </w:numPr>
      </w:pPr>
      <w:r>
        <w:rPr>
          <w:rStyle w:val="soitChar"/>
        </w:rPr>
        <w:t xml:space="preserve">Épaisseur : </w:t>
      </w:r>
      <w:r>
        <w:rPr>
          <w:rStyle w:val="optioncarChar"/>
        </w:rPr>
        <w:t xml:space="preserve">40 </w:t>
      </w:r>
      <w:r>
        <w:t xml:space="preserve">(par défaut) </w:t>
      </w:r>
      <w:r>
        <w:rPr>
          <w:rStyle w:val="optioncarChar"/>
        </w:rPr>
        <w:t>/ 150 / 300 / ***</w:t>
      </w:r>
      <w:r>
        <w:rPr>
          <w:rStyle w:val="soitChar"/>
        </w:rPr>
        <w:t xml:space="preserve"> mm</w:t>
      </w:r>
    </w:p>
    <w:p w14:paraId="590CBDBA" w14:textId="77777777" w:rsidR="004B2808" w:rsidRDefault="00000000">
      <w:pPr>
        <w:pStyle w:val="Author-eListParagraph"/>
        <w:numPr>
          <w:ilvl w:val="0"/>
          <w:numId w:val="783"/>
        </w:numPr>
      </w:pPr>
      <w:r>
        <w:rPr>
          <w:rStyle w:val="soitChar"/>
        </w:rPr>
        <w:t xml:space="preserve">Dimensions ± : </w:t>
      </w:r>
      <w:r>
        <w:rPr>
          <w:rStyle w:val="optioncarChar"/>
        </w:rPr>
        <w:t>1200x600</w:t>
      </w:r>
      <w:r>
        <w:t xml:space="preserve"> (par défaut) </w:t>
      </w:r>
      <w:r>
        <w:rPr>
          <w:rStyle w:val="optioncarChar"/>
        </w:rPr>
        <w:t>/ 1800 x 1200 / 600 x 600 / Ø 800 / ***</w:t>
      </w:r>
      <w:r>
        <w:rPr>
          <w:rStyle w:val="soitChar"/>
        </w:rPr>
        <w:t xml:space="preserve"> mm</w:t>
      </w:r>
    </w:p>
    <w:p w14:paraId="58D75B37" w14:textId="77777777" w:rsidR="004B2808" w:rsidRDefault="00000000">
      <w:pPr>
        <w:jc w:val="both"/>
      </w:pPr>
      <w:r>
        <w:rPr>
          <w:b/>
        </w:rPr>
        <w:t>(soit)</w:t>
      </w:r>
    </w:p>
    <w:p w14:paraId="58D3343B" w14:textId="77777777" w:rsidR="004B2808" w:rsidRDefault="00000000">
      <w:pPr>
        <w:jc w:val="both"/>
      </w:pPr>
      <w:r>
        <w:rPr>
          <w:rStyle w:val="soitChar"/>
          <w:u w:val="single"/>
        </w:rPr>
        <w:t>Fibres de polyester recyclées :</w:t>
      </w:r>
    </w:p>
    <w:p w14:paraId="3987A0D0" w14:textId="77777777" w:rsidR="004B2808" w:rsidRDefault="00000000">
      <w:pPr>
        <w:pStyle w:val="Author-eListParagraph"/>
        <w:numPr>
          <w:ilvl w:val="0"/>
          <w:numId w:val="784"/>
        </w:numPr>
      </w:pPr>
      <w:r>
        <w:rPr>
          <w:rStyle w:val="soitChar"/>
        </w:rPr>
        <w:t xml:space="preserve">Densité ± : </w:t>
      </w:r>
      <w:r>
        <w:rPr>
          <w:rStyle w:val="optioncarChar"/>
        </w:rPr>
        <w:t>45</w:t>
      </w:r>
      <w:r>
        <w:t xml:space="preserve"> (par défaut)</w:t>
      </w:r>
      <w:r>
        <w:rPr>
          <w:rStyle w:val="optioncarChar"/>
        </w:rPr>
        <w:t xml:space="preserve"> / 50 / ***</w:t>
      </w:r>
      <w:r>
        <w:rPr>
          <w:rStyle w:val="soitChar"/>
        </w:rPr>
        <w:t xml:space="preserve"> kg/m³</w:t>
      </w:r>
    </w:p>
    <w:p w14:paraId="23311C30" w14:textId="77777777" w:rsidR="004B2808" w:rsidRDefault="00000000">
      <w:pPr>
        <w:pStyle w:val="Author-eListParagraph"/>
        <w:numPr>
          <w:ilvl w:val="0"/>
          <w:numId w:val="784"/>
        </w:numPr>
      </w:pPr>
      <w:r>
        <w:rPr>
          <w:rStyle w:val="soitChar"/>
        </w:rPr>
        <w:t xml:space="preserve">Finition : </w:t>
      </w:r>
      <w:r>
        <w:rPr>
          <w:rStyle w:val="optioncarChar"/>
        </w:rPr>
        <w:t xml:space="preserve">textile </w:t>
      </w:r>
      <w:r>
        <w:t xml:space="preserve">(par défaut) </w:t>
      </w:r>
      <w:r>
        <w:rPr>
          <w:rStyle w:val="optioncarChar"/>
        </w:rPr>
        <w:t>/ ***</w:t>
      </w:r>
    </w:p>
    <w:p w14:paraId="2E132200" w14:textId="77777777" w:rsidR="004B2808" w:rsidRDefault="00000000">
      <w:pPr>
        <w:pStyle w:val="Author-eListParagraph"/>
        <w:numPr>
          <w:ilvl w:val="0"/>
          <w:numId w:val="784"/>
        </w:numPr>
      </w:pPr>
      <w:r>
        <w:rPr>
          <w:rStyle w:val="soitChar"/>
        </w:rPr>
        <w:t xml:space="preserve">Formes : </w:t>
      </w:r>
      <w:r>
        <w:rPr>
          <w:rStyle w:val="optioncarChar"/>
        </w:rPr>
        <w:t>rectangle</w:t>
      </w:r>
      <w:r>
        <w:t xml:space="preserve"> (par défaut)</w:t>
      </w:r>
      <w:r>
        <w:rPr>
          <w:rStyle w:val="optioncarChar"/>
        </w:rPr>
        <w:t xml:space="preserve"> / carré / cercle / triangle / ***</w:t>
      </w:r>
    </w:p>
    <w:p w14:paraId="2F0C1532" w14:textId="77777777" w:rsidR="004B2808" w:rsidRDefault="00000000">
      <w:pPr>
        <w:pStyle w:val="Author-eListParagraph"/>
        <w:numPr>
          <w:ilvl w:val="0"/>
          <w:numId w:val="784"/>
        </w:numPr>
      </w:pPr>
      <w:r>
        <w:rPr>
          <w:rStyle w:val="soitChar"/>
        </w:rPr>
        <w:t xml:space="preserve">Arêtes : </w:t>
      </w:r>
      <w:r>
        <w:rPr>
          <w:rStyle w:val="optioncarChar"/>
        </w:rPr>
        <w:t>vives</w:t>
      </w:r>
      <w:r>
        <w:t xml:space="preserve"> (par défaut) </w:t>
      </w:r>
      <w:r>
        <w:rPr>
          <w:rStyle w:val="optioncarChar"/>
        </w:rPr>
        <w:t>/ ***</w:t>
      </w:r>
    </w:p>
    <w:p w14:paraId="7D95E5AB" w14:textId="77777777" w:rsidR="004B2808" w:rsidRDefault="00000000">
      <w:pPr>
        <w:pStyle w:val="Author-eListParagraph"/>
        <w:numPr>
          <w:ilvl w:val="0"/>
          <w:numId w:val="784"/>
        </w:numPr>
      </w:pPr>
      <w:r>
        <w:rPr>
          <w:rStyle w:val="soitChar"/>
        </w:rPr>
        <w:t xml:space="preserve">Épaisseur : </w:t>
      </w:r>
      <w:r>
        <w:rPr>
          <w:rStyle w:val="optioncarChar"/>
        </w:rPr>
        <w:t xml:space="preserve">50 </w:t>
      </w:r>
      <w:r>
        <w:t xml:space="preserve">(par défaut) </w:t>
      </w:r>
      <w:r>
        <w:rPr>
          <w:rStyle w:val="optioncarChar"/>
        </w:rPr>
        <w:t>/ ***</w:t>
      </w:r>
      <w:r>
        <w:rPr>
          <w:rStyle w:val="soitChar"/>
        </w:rPr>
        <w:t xml:space="preserve"> mm</w:t>
      </w:r>
    </w:p>
    <w:p w14:paraId="7A98CE66" w14:textId="77777777" w:rsidR="004B2808" w:rsidRDefault="00000000">
      <w:pPr>
        <w:pStyle w:val="Author-eListParagraph"/>
        <w:numPr>
          <w:ilvl w:val="0"/>
          <w:numId w:val="784"/>
        </w:numPr>
      </w:pPr>
      <w:r>
        <w:rPr>
          <w:rStyle w:val="soitChar"/>
        </w:rPr>
        <w:t xml:space="preserve">Dimensions ± : </w:t>
      </w:r>
      <w:r>
        <w:rPr>
          <w:rStyle w:val="optioncarChar"/>
        </w:rPr>
        <w:t xml:space="preserve">1200x600 </w:t>
      </w:r>
      <w:r>
        <w:t>(par défaut)</w:t>
      </w:r>
      <w:r>
        <w:rPr>
          <w:rStyle w:val="optioncarChar"/>
        </w:rPr>
        <w:t xml:space="preserve"> / 1800 x 1200 / 600 x 600 / ***</w:t>
      </w:r>
      <w:r>
        <w:rPr>
          <w:rStyle w:val="soitChar"/>
        </w:rPr>
        <w:t xml:space="preserve"> mm</w:t>
      </w:r>
      <w:r>
        <w:br/>
      </w:r>
    </w:p>
    <w:p w14:paraId="533313DE" w14:textId="77777777" w:rsidR="004B2808" w:rsidRDefault="00000000">
      <w:pPr>
        <w:jc w:val="both"/>
      </w:pPr>
      <w:r>
        <w:t xml:space="preserve">Intégration de luminaires : </w:t>
      </w:r>
      <w:r>
        <w:rPr>
          <w:rStyle w:val="optioncarChar"/>
        </w:rPr>
        <w:t xml:space="preserve">non </w:t>
      </w:r>
      <w:r>
        <w:t>(par défaut)</w:t>
      </w:r>
      <w:r>
        <w:rPr>
          <w:rStyle w:val="optioncarChar"/>
        </w:rPr>
        <w:t xml:space="preserve"> / oui</w:t>
      </w:r>
    </w:p>
    <w:p w14:paraId="698E0C61" w14:textId="77777777" w:rsidR="004B2808" w:rsidRDefault="00000000">
      <w:pPr>
        <w:jc w:val="both"/>
      </w:pPr>
      <w:r>
        <w:rPr>
          <w:b/>
        </w:rPr>
        <w:t>(soit par défaut)</w:t>
      </w:r>
    </w:p>
    <w:p w14:paraId="097DD230" w14:textId="77777777" w:rsidR="004B2808" w:rsidRDefault="00000000">
      <w:pPr>
        <w:jc w:val="both"/>
      </w:pPr>
      <w:r>
        <w:rPr>
          <w:rStyle w:val="soitChar"/>
          <w:u w:val="single"/>
        </w:rPr>
        <w:t>Non :</w:t>
      </w:r>
      <w:r>
        <w:rPr>
          <w:rStyle w:val="soitChar"/>
        </w:rPr>
        <w:t xml:space="preserve"> pas de luminaires intégrés</w:t>
      </w:r>
    </w:p>
    <w:p w14:paraId="3AF532F6" w14:textId="77777777" w:rsidR="004B2808" w:rsidRDefault="00000000">
      <w:pPr>
        <w:jc w:val="both"/>
      </w:pPr>
      <w:r>
        <w:rPr>
          <w:b/>
        </w:rPr>
        <w:t>(soit)</w:t>
      </w:r>
    </w:p>
    <w:p w14:paraId="6BB0D1B2" w14:textId="77777777" w:rsidR="004B2808" w:rsidRDefault="00000000">
      <w:pPr>
        <w:jc w:val="both"/>
      </w:pPr>
      <w:r>
        <w:rPr>
          <w:rStyle w:val="soitChar"/>
          <w:u w:val="single"/>
        </w:rPr>
        <w:t>Oui :</w:t>
      </w:r>
      <w:r>
        <w:rPr>
          <w:rStyle w:val="optioncarChar"/>
        </w:rPr>
        <w:t xml:space="preserve">1 spot led placé au centre du panneau </w:t>
      </w:r>
      <w:r>
        <w:t>(par défaut)</w:t>
      </w:r>
      <w:r>
        <w:rPr>
          <w:rStyle w:val="optioncarChar"/>
        </w:rPr>
        <w:t xml:space="preserve"> / ***</w:t>
      </w:r>
    </w:p>
    <w:p w14:paraId="79697AB1" w14:textId="77777777" w:rsidR="004B2808" w:rsidRDefault="004B2808">
      <w:pPr>
        <w:jc w:val="both"/>
      </w:pPr>
    </w:p>
    <w:p w14:paraId="5E94E131" w14:textId="77777777" w:rsidR="004B2808" w:rsidRDefault="004B2808">
      <w:pPr>
        <w:jc w:val="both"/>
      </w:pPr>
    </w:p>
    <w:p w14:paraId="10900F9D" w14:textId="77777777" w:rsidR="004B2808" w:rsidRDefault="00000000">
      <w:pPr>
        <w:jc w:val="both"/>
      </w:pPr>
      <w:r>
        <w:t xml:space="preserve">Réaction au feu [NBN EN 13501-1] : </w:t>
      </w:r>
      <w:r>
        <w:rPr>
          <w:rStyle w:val="optioncarChar"/>
        </w:rPr>
        <w:t>B-s1, d0</w:t>
      </w:r>
      <w:r>
        <w:t xml:space="preserve"> (par défaut)</w:t>
      </w:r>
      <w:r>
        <w:rPr>
          <w:rStyle w:val="optioncarChar"/>
        </w:rPr>
        <w:t xml:space="preserve"> / A2-s1, d0 / A1 / ***</w:t>
      </w:r>
    </w:p>
    <w:p w14:paraId="01B3A25A" w14:textId="77777777" w:rsidR="004B2808" w:rsidRDefault="00000000">
      <w:pPr>
        <w:jc w:val="both"/>
      </w:pPr>
      <w:r>
        <w:t xml:space="preserve">Stabilité au feu 30 min : </w:t>
      </w:r>
      <w:r>
        <w:rPr>
          <w:rStyle w:val="optioncarChar"/>
        </w:rPr>
        <w:t xml:space="preserve">non </w:t>
      </w:r>
      <w:r>
        <w:t>(par défaut)</w:t>
      </w:r>
      <w:r>
        <w:rPr>
          <w:rStyle w:val="optioncarChar"/>
        </w:rPr>
        <w:t xml:space="preserve"> / oui</w:t>
      </w:r>
    </w:p>
    <w:p w14:paraId="6367FF88" w14:textId="77777777" w:rsidR="004B2808" w:rsidRDefault="00000000">
      <w:pPr>
        <w:jc w:val="both"/>
      </w:pPr>
      <w:r>
        <w:t>Indice d’absorption acoustique pondéré suivant [NBN EN ISO 11654] (α</w:t>
      </w:r>
      <w:r>
        <w:rPr>
          <w:vertAlign w:val="subscript"/>
        </w:rPr>
        <w:t>w</w:t>
      </w:r>
      <w:r>
        <w:t xml:space="preserve">) : </w:t>
      </w:r>
      <w:r>
        <w:rPr>
          <w:rStyle w:val="optioncarChar"/>
        </w:rPr>
        <w:t xml:space="preserve">1,00 </w:t>
      </w:r>
      <w:r>
        <w:t>(par défaut)</w:t>
      </w:r>
      <w:r>
        <w:rPr>
          <w:rStyle w:val="optioncarChar"/>
        </w:rPr>
        <w:t xml:space="preserve"> / 0,95 / 0,90 / 0,85 / 0,80 / 0,60 / 0,50 / ***</w:t>
      </w:r>
    </w:p>
    <w:p w14:paraId="27C2DE06" w14:textId="77777777" w:rsidR="004B2808" w:rsidRDefault="00000000">
      <w:pPr>
        <w:jc w:val="both"/>
      </w:pPr>
      <w:r>
        <w:t>Classe d’exposition à l’humidité suivant [NBN EN 13964] :</w:t>
      </w:r>
      <w:r>
        <w:rPr>
          <w:rStyle w:val="optioncarChar"/>
        </w:rPr>
        <w:t xml:space="preserve"> A </w:t>
      </w:r>
      <w:r>
        <w:t>(par défaut)</w:t>
      </w:r>
      <w:r>
        <w:rPr>
          <w:rStyle w:val="optioncarChar"/>
        </w:rPr>
        <w:t xml:space="preserve"> / B / C / D</w:t>
      </w:r>
    </w:p>
    <w:p w14:paraId="79CC5FF2" w14:textId="77777777" w:rsidR="004B2808" w:rsidRDefault="00000000">
      <w:pPr>
        <w:jc w:val="both"/>
      </w:pPr>
      <w:r>
        <w:t xml:space="preserve">Résistance aux impacts suivant [NBN EN 13964] : </w:t>
      </w:r>
      <w:r>
        <w:rPr>
          <w:rStyle w:val="optioncarChar"/>
        </w:rPr>
        <w:t>non</w:t>
      </w:r>
      <w:r>
        <w:t xml:space="preserve"> (par défaut) </w:t>
      </w:r>
      <w:r>
        <w:rPr>
          <w:rStyle w:val="optioncarChar"/>
        </w:rPr>
        <w:t>/ oui</w:t>
      </w:r>
    </w:p>
    <w:p w14:paraId="3089C9F7" w14:textId="77777777" w:rsidR="004B2808" w:rsidRDefault="00000000">
      <w:pPr>
        <w:jc w:val="both"/>
      </w:pPr>
      <w:r>
        <w:t xml:space="preserve">Résistance mécanique – résistance à la flexion, suivant [NBN EN 13964] : </w:t>
      </w:r>
      <w:r>
        <w:rPr>
          <w:rStyle w:val="optioncarChar"/>
        </w:rPr>
        <w:t>non</w:t>
      </w:r>
      <w:r>
        <w:t> (par défaut) </w:t>
      </w:r>
      <w:r>
        <w:rPr>
          <w:rStyle w:val="optioncarChar"/>
        </w:rPr>
        <w:t>/ oui</w:t>
      </w:r>
    </w:p>
    <w:p w14:paraId="3115D6BB" w14:textId="77777777" w:rsidR="004B2808" w:rsidRDefault="00000000">
      <w:pPr>
        <w:jc w:val="both"/>
      </w:pPr>
      <w:r>
        <w:rPr>
          <w:b/>
        </w:rPr>
        <w:t>Aspects environnementaux</w:t>
      </w:r>
    </w:p>
    <w:p w14:paraId="2DDBA125" w14:textId="77777777" w:rsidR="004B2808" w:rsidRDefault="00000000">
      <w:pPr>
        <w:pStyle w:val="Author-eListParagraph"/>
        <w:numPr>
          <w:ilvl w:val="0"/>
          <w:numId w:val="785"/>
        </w:numPr>
      </w:pPr>
      <w:r>
        <w:t xml:space="preserve">Laine de bois : bois issus de forêts gérées durablement selon les prescriptions de l'élément 02.42.4 Bois provenant de forêts gérées durablement : </w:t>
      </w:r>
      <w:r>
        <w:rPr>
          <w:rStyle w:val="optioncarChar"/>
        </w:rPr>
        <w:t xml:space="preserve">oui </w:t>
      </w:r>
      <w:r>
        <w:t>(par défaut)</w:t>
      </w:r>
      <w:r>
        <w:rPr>
          <w:rStyle w:val="optioncarChar"/>
        </w:rPr>
        <w:t xml:space="preserve"> / non</w:t>
      </w:r>
    </w:p>
    <w:p w14:paraId="5DC1E0C8" w14:textId="77777777" w:rsidR="004B2808" w:rsidRDefault="00000000">
      <w:pPr>
        <w:pStyle w:val="Author-eListParagraph"/>
        <w:numPr>
          <w:ilvl w:val="0"/>
          <w:numId w:val="785"/>
        </w:numPr>
      </w:pPr>
      <w:r>
        <w:t xml:space="preserve">Émission COV selon [NBN ISO 16000 série] : </w:t>
      </w:r>
      <w:r>
        <w:rPr>
          <w:rStyle w:val="optioncarChar"/>
        </w:rPr>
        <w:t xml:space="preserve">classe A+ </w:t>
      </w:r>
      <w:r>
        <w:t>(par défaut)</w:t>
      </w:r>
      <w:r>
        <w:rPr>
          <w:rStyle w:val="optioncarChar"/>
        </w:rPr>
        <w:t xml:space="preserve"> / ***</w:t>
      </w:r>
    </w:p>
    <w:p w14:paraId="71D93869" w14:textId="77777777" w:rsidR="004B2808" w:rsidRDefault="00000000">
      <w:pPr>
        <w:pStyle w:val="Author-eListParagraph"/>
        <w:numPr>
          <w:ilvl w:val="0"/>
          <w:numId w:val="785"/>
        </w:numPr>
      </w:pPr>
      <w:r>
        <w:t xml:space="preserve">Émission Formaldéhyde selon [NBN EN 13964] :  </w:t>
      </w:r>
      <w:r>
        <w:rPr>
          <w:rStyle w:val="optioncarChar"/>
        </w:rPr>
        <w:t xml:space="preserve">E1 </w:t>
      </w:r>
      <w:r>
        <w:t>(par défaut)</w:t>
      </w:r>
      <w:r>
        <w:rPr>
          <w:rStyle w:val="optioncarChar"/>
        </w:rPr>
        <w:t xml:space="preserve"> / ***</w:t>
      </w:r>
    </w:p>
    <w:p w14:paraId="35561998" w14:textId="77777777" w:rsidR="004B2808" w:rsidRDefault="00000000">
      <w:pPr>
        <w:pStyle w:val="Author-eListParagraph"/>
        <w:numPr>
          <w:ilvl w:val="0"/>
          <w:numId w:val="785"/>
        </w:numPr>
      </w:pPr>
      <w:r>
        <w:t xml:space="preserve">Contenu recyclé ≥ : </w:t>
      </w:r>
      <w:r>
        <w:rPr>
          <w:rStyle w:val="optioncarChar"/>
        </w:rPr>
        <w:t xml:space="preserve">30 </w:t>
      </w:r>
      <w:r>
        <w:t>(par défaut)</w:t>
      </w:r>
      <w:r>
        <w:rPr>
          <w:rStyle w:val="optioncarChar"/>
        </w:rPr>
        <w:t xml:space="preserve"> / 50 / ***</w:t>
      </w:r>
      <w:r>
        <w:t xml:space="preserve"> %</w:t>
      </w:r>
    </w:p>
    <w:p w14:paraId="4320A307" w14:textId="77777777" w:rsidR="004B2808" w:rsidRDefault="00000000">
      <w:pPr>
        <w:pStyle w:val="Author-eListParagraph"/>
        <w:numPr>
          <w:ilvl w:val="0"/>
          <w:numId w:val="785"/>
        </w:numPr>
      </w:pPr>
      <w:r>
        <w:t xml:space="preserve">Le panneau est entièrement recyclable : </w:t>
      </w:r>
      <w:r>
        <w:rPr>
          <w:rStyle w:val="optioncarChar"/>
        </w:rPr>
        <w:t xml:space="preserve">oui </w:t>
      </w:r>
      <w:r>
        <w:t>(par défaut)</w:t>
      </w:r>
      <w:r>
        <w:rPr>
          <w:rStyle w:val="optioncarChar"/>
        </w:rPr>
        <w:t xml:space="preserve"> / non</w:t>
      </w:r>
    </w:p>
    <w:p w14:paraId="561B0FF8" w14:textId="77777777" w:rsidR="004B2808" w:rsidRDefault="00000000">
      <w:pPr>
        <w:pStyle w:val="Author-eListParagraph"/>
        <w:numPr>
          <w:ilvl w:val="0"/>
          <w:numId w:val="785"/>
        </w:numPr>
      </w:pPr>
      <w:r>
        <w:t>Sauf avis contraire, la pose est suspendue, plus favorable à la circularité du produit. La solution collée n’est utilisée qu’en cas de hauteur libre insuffisante.</w:t>
      </w:r>
    </w:p>
    <w:p w14:paraId="6740816C" w14:textId="77777777" w:rsidR="004B2808" w:rsidRDefault="004B2808"/>
    <w:p w14:paraId="30B1EE64" w14:textId="77777777" w:rsidR="004B2808" w:rsidRDefault="00000000">
      <w:pPr>
        <w:pStyle w:val="pheading"/>
      </w:pPr>
      <w:r>
        <w:t>- Finitions</w:t>
      </w:r>
    </w:p>
    <w:p w14:paraId="35134A38" w14:textId="77777777" w:rsidR="004B2808" w:rsidRDefault="00000000">
      <w:r>
        <w:t xml:space="preserve">Teinte : </w:t>
      </w:r>
      <w:r>
        <w:rPr>
          <w:rStyle w:val="optioncarChar"/>
        </w:rPr>
        <w:t>au choix de la direction des travaux dans la gamme du fabricant</w:t>
      </w:r>
      <w:r>
        <w:t xml:space="preserve"> (par défaut) </w:t>
      </w:r>
      <w:r>
        <w:rPr>
          <w:rStyle w:val="optioncarChar"/>
        </w:rPr>
        <w:t>/ blanc / ***</w:t>
      </w:r>
    </w:p>
    <w:p w14:paraId="401322A8" w14:textId="77777777" w:rsidR="004B2808" w:rsidRDefault="00000000">
      <w:pPr>
        <w:pStyle w:val="pheading"/>
      </w:pPr>
      <w:r>
        <w:t>EXÉCUTION / MISE EN ŒUVRE</w:t>
      </w:r>
    </w:p>
    <w:p w14:paraId="3925587B" w14:textId="77777777" w:rsidR="004B2808" w:rsidRDefault="00000000">
      <w:pPr>
        <w:pStyle w:val="pheading"/>
      </w:pPr>
      <w:r>
        <w:t>- Prescriptions générales</w:t>
      </w:r>
    </w:p>
    <w:p w14:paraId="68C02B2A" w14:textId="77777777" w:rsidR="004B2808" w:rsidRDefault="00000000">
      <w:pPr>
        <w:jc w:val="both"/>
      </w:pPr>
      <w:r>
        <w:lastRenderedPageBreak/>
        <w:t xml:space="preserve">Implantation : </w:t>
      </w:r>
      <w:r>
        <w:rPr>
          <w:rStyle w:val="optioncarChar"/>
        </w:rPr>
        <w:t>suivant plans établis par l’auteur de projet</w:t>
      </w:r>
      <w:r>
        <w:t xml:space="preserve"> (par défaut)</w:t>
      </w:r>
      <w:r>
        <w:rPr>
          <w:rStyle w:val="optioncarChar"/>
        </w:rPr>
        <w:t xml:space="preserve"> / suivant plans établis par l’entrepreneur présenté pour approbation à la direction des travaux.</w:t>
      </w:r>
    </w:p>
    <w:p w14:paraId="2F44EB36" w14:textId="77777777" w:rsidR="004B2808" w:rsidRDefault="00000000">
      <w:pPr>
        <w:jc w:val="both"/>
      </w:pPr>
      <w:r>
        <w:t xml:space="preserve">Fixation : suspension au moyen de : </w:t>
      </w:r>
      <w:r>
        <w:rPr>
          <w:rStyle w:val="optioncarChar"/>
        </w:rPr>
        <w:t>câbles en acier inoxydable</w:t>
      </w:r>
      <w:r>
        <w:t xml:space="preserve"> (par défaut) </w:t>
      </w:r>
      <w:r>
        <w:rPr>
          <w:rStyle w:val="optioncarChar"/>
        </w:rPr>
        <w:t>/ par collage à la dalle de plafond</w:t>
      </w:r>
    </w:p>
    <w:p w14:paraId="02004140" w14:textId="77777777" w:rsidR="004B2808" w:rsidRDefault="00000000">
      <w:pPr>
        <w:jc w:val="both"/>
      </w:pPr>
      <w:r>
        <w:rPr>
          <w:b/>
        </w:rPr>
        <w:t>(soit par défaut)</w:t>
      </w:r>
    </w:p>
    <w:p w14:paraId="5ED3E46D" w14:textId="77777777" w:rsidR="004B2808" w:rsidRDefault="00000000">
      <w:pPr>
        <w:jc w:val="both"/>
      </w:pPr>
      <w:r>
        <w:rPr>
          <w:rStyle w:val="soitChar"/>
          <w:u w:val="single"/>
        </w:rPr>
        <w:t>Câbles en acier inoxydable :</w:t>
      </w:r>
    </w:p>
    <w:p w14:paraId="01EF21F0" w14:textId="77777777" w:rsidR="004B2808" w:rsidRDefault="00000000">
      <w:pPr>
        <w:pStyle w:val="Author-eListParagraph"/>
        <w:numPr>
          <w:ilvl w:val="0"/>
          <w:numId w:val="786"/>
        </w:numPr>
      </w:pPr>
      <w:r>
        <w:rPr>
          <w:rStyle w:val="soitChar"/>
        </w:rPr>
        <w:t xml:space="preserve">Nombre :  </w:t>
      </w:r>
      <w:r>
        <w:rPr>
          <w:rStyle w:val="soitChar"/>
          <w:color w:val="FF0000"/>
        </w:rPr>
        <w:t>4</w:t>
      </w:r>
      <w:r>
        <w:t xml:space="preserve"> (par défaut) </w:t>
      </w:r>
      <w:r>
        <w:rPr>
          <w:rStyle w:val="optioncarChar"/>
        </w:rPr>
        <w:t>/ adapté à la surface de l'îlot / ***</w:t>
      </w:r>
    </w:p>
    <w:p w14:paraId="4DF5B3BA" w14:textId="77777777" w:rsidR="004B2808" w:rsidRDefault="00000000">
      <w:pPr>
        <w:pStyle w:val="Author-eListParagraph"/>
        <w:numPr>
          <w:ilvl w:val="0"/>
          <w:numId w:val="786"/>
        </w:numPr>
      </w:pPr>
      <w:r>
        <w:rPr>
          <w:rStyle w:val="soitChar"/>
        </w:rPr>
        <w:t xml:space="preserve">Élément d’ancrage dans le baffle : </w:t>
      </w:r>
      <w:r>
        <w:rPr>
          <w:rStyle w:val="optioncarChar"/>
        </w:rPr>
        <w:t>crochet</w:t>
      </w:r>
      <w:r>
        <w:t xml:space="preserve"> (par défaut)</w:t>
      </w:r>
      <w:r>
        <w:rPr>
          <w:rStyle w:val="optioncarChar"/>
        </w:rPr>
        <w:t xml:space="preserve"> / vis d’ancrage / œillet à spirale / ***</w:t>
      </w:r>
    </w:p>
    <w:p w14:paraId="65FCC19C" w14:textId="77777777" w:rsidR="004B2808" w:rsidRDefault="00000000">
      <w:pPr>
        <w:pStyle w:val="Author-eListParagraph"/>
        <w:numPr>
          <w:ilvl w:val="0"/>
          <w:numId w:val="786"/>
        </w:numPr>
      </w:pPr>
      <w:r>
        <w:rPr>
          <w:rStyle w:val="soitChar"/>
        </w:rPr>
        <w:t>Distance de suspension par rapport au plafond  :</w:t>
      </w:r>
      <w:r>
        <w:t>  </w:t>
      </w:r>
      <w:r>
        <w:rPr>
          <w:rStyle w:val="optioncarChar"/>
        </w:rPr>
        <w:t>300 </w:t>
      </w:r>
      <w:r>
        <w:t>(par défaut)</w:t>
      </w:r>
      <w:r>
        <w:rPr>
          <w:rStyle w:val="optioncarChar"/>
        </w:rPr>
        <w:t xml:space="preserve"> / 400 /  150 / ***</w:t>
      </w:r>
      <w:r>
        <w:rPr>
          <w:rStyle w:val="soitChar"/>
        </w:rPr>
        <w:t xml:space="preserve"> mm</w:t>
      </w:r>
    </w:p>
    <w:p w14:paraId="2C9C62C0" w14:textId="77777777" w:rsidR="004B2808" w:rsidRDefault="00000000">
      <w:pPr>
        <w:jc w:val="both"/>
      </w:pPr>
      <w:r>
        <w:rPr>
          <w:b/>
        </w:rPr>
        <w:t>(soit)</w:t>
      </w:r>
    </w:p>
    <w:p w14:paraId="06853ADE" w14:textId="77777777" w:rsidR="004B2808" w:rsidRDefault="00000000">
      <w:pPr>
        <w:jc w:val="both"/>
      </w:pPr>
      <w:r>
        <w:rPr>
          <w:rStyle w:val="soitChar"/>
          <w:u w:val="single"/>
        </w:rPr>
        <w:t>Par collage à la dalle de plafond :</w:t>
      </w:r>
      <w:r>
        <w:rPr>
          <w:rStyle w:val="soitChar"/>
        </w:rPr>
        <w:t xml:space="preserve"> avec interposition d’une calle acoustique faisant partie du système</w:t>
      </w:r>
    </w:p>
    <w:p w14:paraId="40300554" w14:textId="77777777" w:rsidR="004B2808" w:rsidRDefault="00000000">
      <w:pPr>
        <w:pStyle w:val="pheading"/>
      </w:pPr>
      <w:r>
        <w:t>DOCUMENTS DE RÉFÉRENCE COMPLÉMENTAIRES</w:t>
      </w:r>
    </w:p>
    <w:p w14:paraId="0D494794" w14:textId="77777777" w:rsidR="004B2808" w:rsidRDefault="00000000">
      <w:pPr>
        <w:pStyle w:val="pheading"/>
      </w:pPr>
      <w:r>
        <w:t>- Matériau</w:t>
      </w:r>
    </w:p>
    <w:p w14:paraId="4F4BA6FF" w14:textId="77777777" w:rsidR="004B2808" w:rsidRDefault="00000000">
      <w:r>
        <w:t>[NBN EN 13501-1, Classement au feu des produits et éléments de construction - Partie 1: Classement à partir des données d'essais de réaction au feu]</w:t>
      </w:r>
    </w:p>
    <w:p w14:paraId="24526140" w14:textId="77777777" w:rsidR="004B2808" w:rsidRDefault="00000000">
      <w:r>
        <w:t>[NBN ISO 16000 série, Air intérieur]</w:t>
      </w:r>
    </w:p>
    <w:p w14:paraId="07699B36" w14:textId="77777777" w:rsidR="004B2808" w:rsidRDefault="00000000">
      <w:pPr>
        <w:pStyle w:val="pheading"/>
      </w:pPr>
      <w:r>
        <w:t>MESURAGE</w:t>
      </w:r>
    </w:p>
    <w:p w14:paraId="79741A9D" w14:textId="77777777" w:rsidR="004B2808" w:rsidRDefault="00000000">
      <w:pPr>
        <w:pStyle w:val="pheading"/>
      </w:pPr>
      <w:r>
        <w:t>- unité de mesure:</w:t>
      </w:r>
    </w:p>
    <w:p w14:paraId="762DFB7B" w14:textId="77777777" w:rsidR="004B2808" w:rsidRDefault="00000000">
      <w:r>
        <w:t>pc</w:t>
      </w:r>
    </w:p>
    <w:p w14:paraId="5D15A707" w14:textId="77777777" w:rsidR="004B2808" w:rsidRDefault="00000000">
      <w:pPr>
        <w:pStyle w:val="pheading"/>
      </w:pPr>
      <w:r>
        <w:t>- code de mesurage:</w:t>
      </w:r>
    </w:p>
    <w:p w14:paraId="22B58F70" w14:textId="77777777" w:rsidR="004B2808" w:rsidRDefault="00000000">
      <w:r>
        <w:t>Quantité nette, distinction faite de la forme et des dimensions</w:t>
      </w:r>
    </w:p>
    <w:p w14:paraId="2A4C71A3" w14:textId="77777777" w:rsidR="004B2808" w:rsidRDefault="00000000">
      <w:pPr>
        <w:pStyle w:val="pheading"/>
      </w:pPr>
      <w:r>
        <w:t>- nature du marché:</w:t>
      </w:r>
    </w:p>
    <w:p w14:paraId="51B04BA9" w14:textId="77777777" w:rsidR="004B2808" w:rsidRDefault="00000000">
      <w:r>
        <w:t>QF</w:t>
      </w:r>
    </w:p>
    <w:p w14:paraId="73537D3D" w14:textId="77777777" w:rsidR="004B2808" w:rsidRDefault="00000000">
      <w:pPr>
        <w:pStyle w:val="Author-eSectionHeading3Numberless"/>
      </w:pPr>
      <w:bookmarkStart w:id="964" w:name="_Toc220491096"/>
      <w:r>
        <w:t>54.5 Autres finitions de plafonds (peintures, papiers peints, etc.) CCTB 01.07</w:t>
      </w:r>
      <w:bookmarkEnd w:id="964"/>
    </w:p>
    <w:p w14:paraId="64F88E1C" w14:textId="77777777" w:rsidR="004B2808" w:rsidRDefault="00000000">
      <w:pPr>
        <w:pStyle w:val="pheading"/>
      </w:pPr>
      <w:r>
        <w:t>DESCRIPTION</w:t>
      </w:r>
    </w:p>
    <w:p w14:paraId="2E70B93D" w14:textId="77777777" w:rsidR="004B2808" w:rsidRDefault="00000000">
      <w:pPr>
        <w:pStyle w:val="pheading"/>
      </w:pPr>
      <w:r>
        <w:t>- Définition / Comprend</w:t>
      </w:r>
    </w:p>
    <w:p w14:paraId="357F36AC" w14:textId="77777777" w:rsidR="004B2808" w:rsidRDefault="00000000">
      <w:r>
        <w:t>Renvoi au §81.12 Finitions / décorations intérieures des parois (murs et plafonds)</w:t>
      </w:r>
    </w:p>
    <w:p w14:paraId="6C613255" w14:textId="77777777" w:rsidR="004B2808" w:rsidRDefault="00000000">
      <w:pPr>
        <w:pStyle w:val="Author-eSectionHeading3Numberless"/>
      </w:pPr>
      <w:bookmarkStart w:id="965" w:name="_Toc220491097"/>
      <w:r>
        <w:t>54.6 Eléments particuliers et finitions CCTB 01.02</w:t>
      </w:r>
      <w:bookmarkEnd w:id="965"/>
    </w:p>
    <w:p w14:paraId="67D4DC84" w14:textId="77777777" w:rsidR="004B2808" w:rsidRDefault="00000000">
      <w:pPr>
        <w:pStyle w:val="Author-eSectionHeading4Numberless"/>
      </w:pPr>
      <w:bookmarkStart w:id="966" w:name="_Toc220491098"/>
      <w:r>
        <w:t>54.61 Plafonds - Trappes  CCTB 01.02</w:t>
      </w:r>
      <w:bookmarkEnd w:id="966"/>
    </w:p>
    <w:p w14:paraId="6C1C94AF" w14:textId="77777777" w:rsidR="004B2808" w:rsidRDefault="00000000">
      <w:pPr>
        <w:pStyle w:val="Author-eSectionHeading5Numberless"/>
      </w:pPr>
      <w:bookmarkStart w:id="967" w:name="_Toc220491099"/>
      <w:r>
        <w:t>54.61.1 Plafonds - Trappes  CCTB 01.02</w:t>
      </w:r>
      <w:bookmarkEnd w:id="967"/>
    </w:p>
    <w:p w14:paraId="1F80EA86" w14:textId="77777777" w:rsidR="004B2808" w:rsidRDefault="00000000">
      <w:pPr>
        <w:pStyle w:val="Author-eSectionHeading6Numberless"/>
      </w:pPr>
      <w:bookmarkStart w:id="968" w:name="_Toc220491100"/>
      <w:r>
        <w:t>54.61.1a Plafonds - Trappes  CCTB 01.02</w:t>
      </w:r>
      <w:bookmarkEnd w:id="968"/>
    </w:p>
    <w:p w14:paraId="2FB1CE5A" w14:textId="77777777" w:rsidR="004B2808" w:rsidRDefault="00000000">
      <w:pPr>
        <w:pStyle w:val="Author-eSectionHeading4Numberless"/>
      </w:pPr>
      <w:bookmarkStart w:id="969" w:name="_Toc220491101"/>
      <w:r>
        <w:t>54.62 Plafonds - Moulures CCTB 01.02</w:t>
      </w:r>
      <w:bookmarkEnd w:id="969"/>
    </w:p>
    <w:p w14:paraId="53462AF6" w14:textId="77777777" w:rsidR="004B2808" w:rsidRDefault="00000000">
      <w:pPr>
        <w:pStyle w:val="Author-eSectionHeading5Numberless"/>
      </w:pPr>
      <w:bookmarkStart w:id="970" w:name="_Toc220491102"/>
      <w:r>
        <w:t>54.62.1 Plafonds - Moulures à base de plâtre (staff) CCTB 01.02</w:t>
      </w:r>
      <w:bookmarkEnd w:id="970"/>
    </w:p>
    <w:p w14:paraId="45EAF828" w14:textId="77777777" w:rsidR="004B2808" w:rsidRDefault="00000000">
      <w:pPr>
        <w:pStyle w:val="Author-eSectionHeading6Numberless"/>
      </w:pPr>
      <w:bookmarkStart w:id="971" w:name="_Toc220491103"/>
      <w:r>
        <w:t>54.62.1a Plafonds - Moulures à base de plâtre (staff) CCTB 01.02</w:t>
      </w:r>
      <w:bookmarkEnd w:id="971"/>
    </w:p>
    <w:p w14:paraId="623EF9BC" w14:textId="77777777" w:rsidR="004B2808" w:rsidRDefault="00000000">
      <w:pPr>
        <w:pStyle w:val="Author-eSectionHeading5Numberless"/>
      </w:pPr>
      <w:bookmarkStart w:id="972" w:name="_Toc220491104"/>
      <w:r>
        <w:t>54.62.2 Plafonds - Moulures en bois CCTB 01.02</w:t>
      </w:r>
      <w:bookmarkEnd w:id="972"/>
    </w:p>
    <w:p w14:paraId="24FF8E05" w14:textId="77777777" w:rsidR="004B2808" w:rsidRDefault="00000000">
      <w:pPr>
        <w:pStyle w:val="Author-eSectionHeading6Numberless"/>
      </w:pPr>
      <w:bookmarkStart w:id="973" w:name="_Toc220491105"/>
      <w:r>
        <w:t>54.62.2a Plafonds - Moulures en bois CCTB 01.02</w:t>
      </w:r>
      <w:bookmarkEnd w:id="973"/>
    </w:p>
    <w:p w14:paraId="7AF81ECB" w14:textId="77777777" w:rsidR="004B2808" w:rsidRDefault="00000000">
      <w:pPr>
        <w:pStyle w:val="Author-eSectionHeading5Numberless"/>
      </w:pPr>
      <w:bookmarkStart w:id="974" w:name="_Toc220491106"/>
      <w:r>
        <w:lastRenderedPageBreak/>
        <w:t>54.62.3 Plafonds - Moulures en matériau synthétique CCTB 01.02</w:t>
      </w:r>
      <w:bookmarkEnd w:id="974"/>
    </w:p>
    <w:p w14:paraId="1BC24ECE" w14:textId="77777777" w:rsidR="004B2808" w:rsidRDefault="00000000">
      <w:pPr>
        <w:pStyle w:val="Author-eSectionHeading6Numberless"/>
      </w:pPr>
      <w:bookmarkStart w:id="975" w:name="_Toc220491107"/>
      <w:r>
        <w:t>54.62.3a Plafonds - Moulures en matériau synthétique CCTB 01.02</w:t>
      </w:r>
      <w:bookmarkEnd w:id="975"/>
    </w:p>
    <w:p w14:paraId="0855EE76" w14:textId="77777777" w:rsidR="004B2808" w:rsidRDefault="00000000">
      <w:pPr>
        <w:pStyle w:val="Author-eSectionHeading4Numberless"/>
      </w:pPr>
      <w:bookmarkStart w:id="976" w:name="_Toc220491108"/>
      <w:r>
        <w:t>54.63 Plafonds - Réalisation de joints CCTB 01.02</w:t>
      </w:r>
      <w:bookmarkEnd w:id="976"/>
    </w:p>
    <w:p w14:paraId="63A9CC21" w14:textId="77777777" w:rsidR="004B2808" w:rsidRDefault="00000000">
      <w:pPr>
        <w:pStyle w:val="Author-eSectionHeading5Numberless"/>
      </w:pPr>
      <w:bookmarkStart w:id="977" w:name="_Toc220491109"/>
      <w:r>
        <w:t>54.63.1 Plafonds - Joint de tassement CCTB 01.02</w:t>
      </w:r>
      <w:bookmarkEnd w:id="977"/>
    </w:p>
    <w:p w14:paraId="0408EEBA" w14:textId="77777777" w:rsidR="004B2808" w:rsidRDefault="00000000">
      <w:pPr>
        <w:pStyle w:val="Author-eSectionHeading6Numberless"/>
      </w:pPr>
      <w:bookmarkStart w:id="978" w:name="_Toc220491110"/>
      <w:r>
        <w:t>54.63.1a Plafonds - Joint de tassement réalisé in situ CCTB 01.02</w:t>
      </w:r>
      <w:bookmarkEnd w:id="978"/>
    </w:p>
    <w:p w14:paraId="65BAF5CA" w14:textId="77777777" w:rsidR="004B2808" w:rsidRDefault="00000000">
      <w:pPr>
        <w:pStyle w:val="Author-eSectionHeading6Numberless"/>
      </w:pPr>
      <w:bookmarkStart w:id="979" w:name="_Toc220491111"/>
      <w:r>
        <w:t>54.63.1b Plafonds - Joint de tassement à systèmes préfabriqués CCTB 01.02</w:t>
      </w:r>
      <w:bookmarkEnd w:id="979"/>
    </w:p>
    <w:p w14:paraId="50742444" w14:textId="77777777" w:rsidR="004B2808" w:rsidRDefault="00000000">
      <w:pPr>
        <w:pStyle w:val="Author-eSectionHeading5Numberless"/>
      </w:pPr>
      <w:bookmarkStart w:id="980" w:name="_Toc220491112"/>
      <w:r>
        <w:t>54.63.2 Plafonds - Joint de dilatation CCTB 01.02</w:t>
      </w:r>
      <w:bookmarkEnd w:id="980"/>
    </w:p>
    <w:p w14:paraId="12A03566" w14:textId="77777777" w:rsidR="004B2808" w:rsidRDefault="00000000">
      <w:pPr>
        <w:pStyle w:val="Author-eSectionHeading6Numberless"/>
      </w:pPr>
      <w:bookmarkStart w:id="981" w:name="_Toc220491113"/>
      <w:r>
        <w:t>54.63.2a Plafonds - Joint de dilatation réalisé in situ CCTB 01.02</w:t>
      </w:r>
      <w:bookmarkEnd w:id="981"/>
    </w:p>
    <w:p w14:paraId="272D44BA" w14:textId="77777777" w:rsidR="004B2808" w:rsidRDefault="00000000">
      <w:pPr>
        <w:pStyle w:val="Author-eSectionHeading6Numberless"/>
      </w:pPr>
      <w:bookmarkStart w:id="982" w:name="_Toc220491114"/>
      <w:r>
        <w:t>54.63.2b Plafonds - Joint de dilatation à systèmes préfabriqués CCTB 01.02</w:t>
      </w:r>
      <w:bookmarkEnd w:id="982"/>
    </w:p>
    <w:p w14:paraId="0EB24FAB" w14:textId="77777777" w:rsidR="004B2808" w:rsidRDefault="00000000">
      <w:pPr>
        <w:pStyle w:val="Author-eSectionHeading5Numberless"/>
      </w:pPr>
      <w:bookmarkStart w:id="983" w:name="_Toc220491115"/>
      <w:r>
        <w:t>54.63.3 Plafonds - Joint de retrait CCTB 01.02</w:t>
      </w:r>
      <w:bookmarkEnd w:id="983"/>
    </w:p>
    <w:p w14:paraId="69A6FA28" w14:textId="77777777" w:rsidR="004B2808" w:rsidRDefault="00000000">
      <w:pPr>
        <w:pStyle w:val="Author-eSectionHeading6Numberless"/>
      </w:pPr>
      <w:bookmarkStart w:id="984" w:name="_Toc220491116"/>
      <w:r>
        <w:t>54.63.3a Plafonds - Joint de retrait réalisé in situ CCTB 01.02</w:t>
      </w:r>
      <w:bookmarkEnd w:id="984"/>
    </w:p>
    <w:p w14:paraId="45D7C2B9" w14:textId="77777777" w:rsidR="004B2808" w:rsidRDefault="00000000">
      <w:pPr>
        <w:pStyle w:val="Author-eSectionHeading6Numberless"/>
      </w:pPr>
      <w:bookmarkStart w:id="985" w:name="_Toc220491117"/>
      <w:r>
        <w:t>54.63.3b Plafonds - Joint de retrait à systèmes préfabriqués CCTB 01.02</w:t>
      </w:r>
      <w:bookmarkEnd w:id="985"/>
    </w:p>
    <w:p w14:paraId="01560628" w14:textId="77777777" w:rsidR="004B2808" w:rsidRDefault="00000000">
      <w:pPr>
        <w:pStyle w:val="Author-eSectionHeading5Numberless"/>
      </w:pPr>
      <w:bookmarkStart w:id="986" w:name="_Toc220491118"/>
      <w:r>
        <w:t>54.63.4 Plafonds - Joint de désolidarisation CCTB 01.02</w:t>
      </w:r>
      <w:bookmarkEnd w:id="986"/>
    </w:p>
    <w:p w14:paraId="5C36E2EE" w14:textId="77777777" w:rsidR="004B2808" w:rsidRDefault="00000000">
      <w:pPr>
        <w:pStyle w:val="Author-eSectionHeading6Numberless"/>
      </w:pPr>
      <w:bookmarkStart w:id="987" w:name="_Toc220491119"/>
      <w:r>
        <w:t>54.63.4a Plafonds - Joint de désolidarisation réalisé in situ CCTB 01.02</w:t>
      </w:r>
      <w:bookmarkEnd w:id="987"/>
    </w:p>
    <w:p w14:paraId="40AC995B" w14:textId="77777777" w:rsidR="004B2808" w:rsidRDefault="00000000">
      <w:pPr>
        <w:pStyle w:val="Author-eSectionHeading6Numberless"/>
      </w:pPr>
      <w:bookmarkStart w:id="988" w:name="_Toc220491120"/>
      <w:r>
        <w:t>54.63.4b Plafonds - Joint de désolidarisation à systèmes préfabriqués CCTB 01.02</w:t>
      </w:r>
      <w:bookmarkEnd w:id="988"/>
    </w:p>
    <w:p w14:paraId="388415A5" w14:textId="77777777" w:rsidR="004B2808" w:rsidRDefault="00000000">
      <w:pPr>
        <w:pStyle w:val="Author-eSectionHeading4Numberless"/>
      </w:pPr>
      <w:bookmarkStart w:id="989" w:name="_Toc220491121"/>
      <w:r>
        <w:t>54.64 Plafonds - Etanchéisation de joints  CCTB 01.07</w:t>
      </w:r>
      <w:bookmarkEnd w:id="989"/>
    </w:p>
    <w:p w14:paraId="3E3F2FC3" w14:textId="77777777" w:rsidR="004B2808" w:rsidRDefault="00000000">
      <w:pPr>
        <w:pStyle w:val="pheading"/>
      </w:pPr>
      <w:r>
        <w:t>DESCRIPTION</w:t>
      </w:r>
    </w:p>
    <w:p w14:paraId="191816FF" w14:textId="77777777" w:rsidR="004B2808" w:rsidRDefault="00000000">
      <w:pPr>
        <w:pStyle w:val="pheading"/>
      </w:pPr>
      <w:r>
        <w:t>- Définition / Comprend</w:t>
      </w:r>
    </w:p>
    <w:p w14:paraId="4C36EF3B" w14:textId="77777777" w:rsidR="004B2808" w:rsidRDefault="00000000">
      <w:r>
        <w:t xml:space="preserve">Renvoi au </w:t>
      </w:r>
      <w:hyperlink w:anchor="1176" w:history="1">
        <w:r w:rsidR="004B2808">
          <w:rPr>
            <w:color w:val="0000EE"/>
          </w:rPr>
          <w:t>52 Etanchéisation et isolation des parois intérieures</w:t>
        </w:r>
      </w:hyperlink>
    </w:p>
    <w:p w14:paraId="728485EB" w14:textId="77777777" w:rsidR="004B2808" w:rsidRDefault="00000000">
      <w:pPr>
        <w:pStyle w:val="Author-eSectionHeading4Numberless"/>
      </w:pPr>
      <w:bookmarkStart w:id="990" w:name="_Toc220491122"/>
      <w:r>
        <w:t>54.65 Plafonds - Finitions particulières de joints CCTB 01.02</w:t>
      </w:r>
      <w:bookmarkEnd w:id="990"/>
    </w:p>
    <w:p w14:paraId="61128041" w14:textId="77777777" w:rsidR="004B2808" w:rsidRDefault="00000000">
      <w:pPr>
        <w:pStyle w:val="Author-eSectionHeading5Numberless"/>
      </w:pPr>
      <w:bookmarkStart w:id="991" w:name="_Toc220491123"/>
      <w:r>
        <w:t>54.65.1 Plafonds - Finitions particulières de joints - Couvre-joints CCTB 01.02</w:t>
      </w:r>
      <w:bookmarkEnd w:id="991"/>
    </w:p>
    <w:p w14:paraId="1DCF2F6F" w14:textId="77777777" w:rsidR="004B2808" w:rsidRDefault="00000000">
      <w:pPr>
        <w:pStyle w:val="Author-eSectionHeading6Numberless"/>
      </w:pPr>
      <w:bookmarkStart w:id="992" w:name="_Toc220491124"/>
      <w:r>
        <w:t>54.65.1a Plafonds - Finitions particulières de joints - Couvre-joints CCTB 01.02</w:t>
      </w:r>
      <w:bookmarkEnd w:id="992"/>
    </w:p>
    <w:p w14:paraId="305B656E" w14:textId="77777777" w:rsidR="004B2808" w:rsidRDefault="00000000">
      <w:pPr>
        <w:pStyle w:val="Author-eSectionHeading5Numberless"/>
      </w:pPr>
      <w:bookmarkStart w:id="993" w:name="_Toc220491125"/>
      <w:r>
        <w:t>54.65.2 Plafonds - Systèmes de finition de joints CCTB 01.02</w:t>
      </w:r>
      <w:bookmarkEnd w:id="993"/>
    </w:p>
    <w:p w14:paraId="3D4EF7F7" w14:textId="77777777" w:rsidR="004B2808" w:rsidRDefault="00000000">
      <w:pPr>
        <w:pStyle w:val="Author-eSectionHeading6Numberless"/>
      </w:pPr>
      <w:bookmarkStart w:id="994" w:name="_Toc220491126"/>
      <w:r>
        <w:t>54.65.2a Plafonds - Système de finition de joints de structure CCTB 01.02</w:t>
      </w:r>
      <w:bookmarkEnd w:id="994"/>
    </w:p>
    <w:p w14:paraId="198B91C1" w14:textId="77777777" w:rsidR="004B2808" w:rsidRDefault="00000000">
      <w:pPr>
        <w:pStyle w:val="Author-eSectionHeading6Numberless"/>
      </w:pPr>
      <w:bookmarkStart w:id="995" w:name="_Toc220491127"/>
      <w:r>
        <w:t>54.65.2b Plafonds - Système de finition de joints de fractionnement CCTB 01.02</w:t>
      </w:r>
      <w:bookmarkEnd w:id="995"/>
    </w:p>
    <w:p w14:paraId="1A63567B" w14:textId="77777777" w:rsidR="004B2808" w:rsidRDefault="00000000">
      <w:pPr>
        <w:pStyle w:val="Author-eSectionHeading6Numberless"/>
      </w:pPr>
      <w:bookmarkStart w:id="996" w:name="_Toc220491128"/>
      <w:r>
        <w:t>54.65.2c Plafonds - Système de finition de joints imperméable CCTB 01.02</w:t>
      </w:r>
      <w:bookmarkEnd w:id="996"/>
    </w:p>
    <w:p w14:paraId="6FF97D74" w14:textId="77777777" w:rsidR="004B2808" w:rsidRDefault="00000000">
      <w:pPr>
        <w:pStyle w:val="Author-eSectionHeading4Numberless"/>
      </w:pPr>
      <w:bookmarkStart w:id="997" w:name="_Toc220491129"/>
      <w:r>
        <w:t>54.66 Plafonds - Luminaires  CCTB 01.07</w:t>
      </w:r>
      <w:bookmarkEnd w:id="997"/>
    </w:p>
    <w:p w14:paraId="514EC400" w14:textId="77777777" w:rsidR="004B2808" w:rsidRDefault="00000000">
      <w:pPr>
        <w:pStyle w:val="pheading"/>
      </w:pPr>
      <w:r>
        <w:t>DESCRIPTION</w:t>
      </w:r>
    </w:p>
    <w:p w14:paraId="55C20D63" w14:textId="77777777" w:rsidR="004B2808" w:rsidRDefault="00000000">
      <w:pPr>
        <w:pStyle w:val="pheading"/>
      </w:pPr>
      <w:r>
        <w:t>- Définition / Comprend</w:t>
      </w:r>
    </w:p>
    <w:p w14:paraId="1088838E" w14:textId="77777777" w:rsidR="004B2808" w:rsidRDefault="00000000">
      <w:r>
        <w:t>Renvoi au 73 Système d'éclairage</w:t>
      </w:r>
    </w:p>
    <w:p w14:paraId="602BAA56" w14:textId="77777777" w:rsidR="004B2808" w:rsidRDefault="00000000">
      <w:pPr>
        <w:pStyle w:val="Author-eSectionHeading4Numberless"/>
      </w:pPr>
      <w:bookmarkStart w:id="998" w:name="_Toc220491130"/>
      <w:r>
        <w:t>54.67 Plafonds - Matériel électrique apparent CCTB 01.07</w:t>
      </w:r>
      <w:bookmarkEnd w:id="998"/>
    </w:p>
    <w:p w14:paraId="06329796" w14:textId="77777777" w:rsidR="004B2808" w:rsidRDefault="00000000">
      <w:pPr>
        <w:pStyle w:val="pheading"/>
      </w:pPr>
      <w:r>
        <w:t>DESCRIPTION</w:t>
      </w:r>
    </w:p>
    <w:p w14:paraId="5DEE1002" w14:textId="77777777" w:rsidR="004B2808" w:rsidRDefault="00000000">
      <w:pPr>
        <w:pStyle w:val="pheading"/>
      </w:pPr>
      <w:r>
        <w:lastRenderedPageBreak/>
        <w:t>- Définition / Comprend</w:t>
      </w:r>
    </w:p>
    <w:p w14:paraId="10E9179D" w14:textId="77777777" w:rsidR="004B2808" w:rsidRDefault="00000000">
      <w:r>
        <w:t> Renvoi au 7 T7 Electricité</w:t>
      </w:r>
    </w:p>
    <w:p w14:paraId="593B9150" w14:textId="77777777" w:rsidR="004B2808" w:rsidRDefault="00000000">
      <w:pPr>
        <w:pStyle w:val="Author-eSectionHeading4Numberless"/>
      </w:pPr>
      <w:bookmarkStart w:id="999" w:name="_Toc220491131"/>
      <w:r>
        <w:t>54.68 Plafonds - Eléments de ventilation  CCTB 01.07</w:t>
      </w:r>
      <w:bookmarkEnd w:id="999"/>
    </w:p>
    <w:p w14:paraId="5D429B81" w14:textId="77777777" w:rsidR="004B2808" w:rsidRDefault="00000000">
      <w:pPr>
        <w:pStyle w:val="pheading"/>
      </w:pPr>
      <w:r>
        <w:t>DESCRIPTION</w:t>
      </w:r>
    </w:p>
    <w:p w14:paraId="5F547DDA" w14:textId="77777777" w:rsidR="004B2808" w:rsidRDefault="00000000">
      <w:pPr>
        <w:pStyle w:val="pheading"/>
      </w:pPr>
      <w:r>
        <w:t>- Définition / Comprend</w:t>
      </w:r>
    </w:p>
    <w:p w14:paraId="476CF3CE" w14:textId="77777777" w:rsidR="004B2808" w:rsidRDefault="00000000">
      <w:r>
        <w:t>Renvoi au 61.32 Distribution - unités terminales</w:t>
      </w:r>
    </w:p>
    <w:p w14:paraId="39D1F6FC" w14:textId="77777777" w:rsidR="004B2808" w:rsidRDefault="00000000">
      <w:pPr>
        <w:pStyle w:val="Author-eSectionHeading3Numberless"/>
      </w:pPr>
      <w:bookmarkStart w:id="1000" w:name="_Toc220491132"/>
      <w:r>
        <w:t>54.7 - CCTB 01.02</w:t>
      </w:r>
      <w:bookmarkEnd w:id="1000"/>
    </w:p>
    <w:p w14:paraId="46FCF085" w14:textId="77777777" w:rsidR="004B2808" w:rsidRDefault="00000000">
      <w:pPr>
        <w:pStyle w:val="Author-eSectionHeading3Numberless"/>
      </w:pPr>
      <w:bookmarkStart w:id="1001" w:name="_Toc220491133"/>
      <w:r>
        <w:t>54.8 Plafonds et faux-plafonds - Rénovation  CCTB 01.10</w:t>
      </w:r>
      <w:bookmarkEnd w:id="1001"/>
    </w:p>
    <w:p w14:paraId="70A40963" w14:textId="77777777" w:rsidR="004B2808" w:rsidRDefault="00000000">
      <w:pPr>
        <w:pStyle w:val="pheading"/>
      </w:pPr>
      <w:r>
        <w:t>DESCRIPTION</w:t>
      </w:r>
    </w:p>
    <w:p w14:paraId="60090A75" w14:textId="77777777" w:rsidR="004B2808" w:rsidRDefault="00000000">
      <w:pPr>
        <w:pStyle w:val="pheading"/>
      </w:pPr>
      <w:r>
        <w:t>- Définition / Comprend</w:t>
      </w:r>
    </w:p>
    <w:p w14:paraId="55E30F22" w14:textId="77777777" w:rsidR="004B2808" w:rsidRDefault="00000000">
      <w:r>
        <w:t xml:space="preserve">Il s'agit des réparations locales au plafonnage existant. Le prix unitaire comprend le contrôle de la situation existante (en concertation avec l'auteur de projet), le décapage des parties non adhérentes, la préparation comme prévu à l'article </w:t>
      </w:r>
      <w:hyperlink w:anchor="1290" w:history="1">
        <w:r w:rsidR="004B2808">
          <w:rPr>
            <w:color w:val="0000EE"/>
          </w:rPr>
          <w:t>54.1 Revêtements de plafonds enduits</w:t>
        </w:r>
      </w:hyperlink>
      <w:r>
        <w:t xml:space="preserve"> et la finition.</w:t>
      </w:r>
    </w:p>
    <w:p w14:paraId="02C86306" w14:textId="77777777" w:rsidR="004B2808" w:rsidRDefault="00000000">
      <w:r>
        <w:t>Aux endroits où des murs ont été démolis, où le plafonnage se détache et sur les pans de murs endommagés (les parties à restaurer sont indiqués sur place par l'auteur de projet).</w:t>
      </w:r>
    </w:p>
    <w:p w14:paraId="5C8B7E39" w14:textId="77777777" w:rsidR="004B2808" w:rsidRDefault="00000000">
      <w:pPr>
        <w:pStyle w:val="pheading"/>
      </w:pPr>
      <w:r>
        <w:t>MATÉRIAUX</w:t>
      </w:r>
    </w:p>
    <w:p w14:paraId="6E762E84" w14:textId="77777777" w:rsidR="004B2808" w:rsidRDefault="00000000">
      <w:r>
        <w:t xml:space="preserve">La composition du mortier de plafonnage se rapproche autant que possible de celle de l'enduit existant. Les cornières, treillis d'armature et les profils d'arrêt répondent au descriptif de l'article </w:t>
      </w:r>
      <w:hyperlink w:anchor="1165" w:history="1">
        <w:r w:rsidR="004B2808">
          <w:rPr>
            <w:color w:val="0000EE"/>
          </w:rPr>
          <w:t>51.52 Préparation du support</w:t>
        </w:r>
      </w:hyperlink>
      <w:r>
        <w:t xml:space="preserve"> enduits intérieurs - généralités   </w:t>
      </w:r>
    </w:p>
    <w:p w14:paraId="46E37EAE" w14:textId="77777777" w:rsidR="004B2808" w:rsidRDefault="00000000">
      <w:pPr>
        <w:pStyle w:val="pheading"/>
      </w:pPr>
      <w:r>
        <w:t>EXÉCUTION / MISE EN ŒUVRE</w:t>
      </w:r>
    </w:p>
    <w:p w14:paraId="207FB573" w14:textId="77777777" w:rsidR="004B2808" w:rsidRDefault="00000000">
      <w:r>
        <w:t xml:space="preserve">La préparation du support, la fabrication du mortier et l'exécution du plafonnage se font conformément à l'article </w:t>
      </w:r>
      <w:hyperlink w:anchor="1290" w:history="1">
        <w:r w:rsidR="004B2808">
          <w:rPr>
            <w:color w:val="0000EE"/>
          </w:rPr>
          <w:t>54.1 Revêtements de plafonds enduits</w:t>
        </w:r>
      </w:hyperlink>
      <w:r>
        <w:t xml:space="preserve"> Revêtements de plafonds enduits</w:t>
      </w:r>
      <w:r>
        <w:br/>
        <w:t>En concertation avec l'auteur de projet, les zones à réparer sont indiquées sur place et préalablement relevées.</w:t>
      </w:r>
      <w:r>
        <w:br/>
        <w:t>Les parties non adhérentes et/ou endommagées sont localement décapées jusqu'à la maçonnerie; si nécessaire, le support et les bords sont préalablement traités à l'aide d'une couche de fixation et/ou d'adhérence, conformément aux prescriptions du fabricant.</w:t>
      </w:r>
      <w:r>
        <w:br/>
        <w:t>Les saignées réalisées par l'entrepreneur des techniques sont d'abord refermées avec un mortier de ciment approprié. La jonction entre les nouvelles et les anciennes parties est consolidée avec un treillis d'armature.</w:t>
      </w:r>
      <w:r>
        <w:br/>
        <w:t>Le plafonnage proprement dit est exécuté sur une épaisseur identique au plafonnage existant et s'y raccorde parfaitement.</w:t>
      </w:r>
    </w:p>
    <w:p w14:paraId="5E60C741" w14:textId="77777777" w:rsidR="004B2808" w:rsidRDefault="00000000">
      <w:pPr>
        <w:pStyle w:val="Author-eSectionHeading2Numberless"/>
      </w:pPr>
      <w:bookmarkStart w:id="1002" w:name="_Toc220491134"/>
      <w:r>
        <w:t>55 Menuiseries intérieures CCTB 01.11</w:t>
      </w:r>
      <w:bookmarkEnd w:id="1002"/>
    </w:p>
    <w:p w14:paraId="41C8F795" w14:textId="77777777" w:rsidR="004B2808" w:rsidRDefault="00000000">
      <w:pPr>
        <w:pStyle w:val="Author-eSectionHeading3Numberless"/>
      </w:pPr>
      <w:bookmarkStart w:id="1003" w:name="_Toc220491135"/>
      <w:r>
        <w:t>55.1 Fenêtres intérieures CCTB 01.12</w:t>
      </w:r>
      <w:bookmarkEnd w:id="1003"/>
    </w:p>
    <w:p w14:paraId="55CEE957" w14:textId="77777777" w:rsidR="004B2808" w:rsidRDefault="00000000">
      <w:pPr>
        <w:pStyle w:val="pheading"/>
      </w:pPr>
      <w:bookmarkStart w:id="1004" w:name="1374"/>
      <w:bookmarkEnd w:id="1004"/>
      <w:r>
        <w:t>DESCRIPTION</w:t>
      </w:r>
    </w:p>
    <w:p w14:paraId="7DDAA31E" w14:textId="77777777" w:rsidR="004B2808" w:rsidRDefault="00000000">
      <w:pPr>
        <w:pStyle w:val="pheading"/>
      </w:pPr>
      <w:r>
        <w:t>- Définition / Comprend</w:t>
      </w:r>
    </w:p>
    <w:p w14:paraId="47B0A10C" w14:textId="77777777" w:rsidR="004B2808" w:rsidRDefault="00000000">
      <w:r>
        <w:t>Le poste “portes et fenêtres intérieures” comprend la fourniture et la pose de tous les éléments nécessaires à la composition des portes et fenêtres intérieures afin de former un ensemble parfait, c'est-à-dire l'ensemble des pièces assemblées, selon la description du cahier spécial des charges, aussi bien pour les parties fixes que pour les parties ouvrantes. Conformément aux dispositions générales et/ou spécifiques du cahier spécial des charges, les prix unitaires compris dans ce poste doivent toujours comprendre, soit selon la ventilation dans le métré récapitulatif, soit dans leur totalité:</w:t>
      </w:r>
    </w:p>
    <w:p w14:paraId="5E1F199B" w14:textId="77777777" w:rsidR="004B2808" w:rsidRDefault="00000000">
      <w:pPr>
        <w:pStyle w:val="Author-eListParagraph"/>
        <w:numPr>
          <w:ilvl w:val="0"/>
          <w:numId w:val="787"/>
        </w:numPr>
      </w:pPr>
      <w:r>
        <w:lastRenderedPageBreak/>
        <w:t xml:space="preserve">le contrôle et le relevé sur place des dimensions exactes (dans l'œuvre) et des adaptations éventuelles des éléments à préfabriquer aux dimensions réelles; </w:t>
      </w:r>
    </w:p>
    <w:p w14:paraId="6A263DC0" w14:textId="77777777" w:rsidR="004B2808" w:rsidRDefault="00000000">
      <w:pPr>
        <w:pStyle w:val="Author-eListParagraph"/>
        <w:numPr>
          <w:ilvl w:val="1"/>
          <w:numId w:val="788"/>
        </w:numPr>
      </w:pPr>
      <w:r>
        <w:t>la fourniture et la pose de tous les éléments nécessaires en vue de composer les ensembles de portes et fenêtres :</w:t>
      </w:r>
    </w:p>
    <w:p w14:paraId="581BE4E9" w14:textId="77777777" w:rsidR="004B2808" w:rsidRDefault="00000000">
      <w:pPr>
        <w:pStyle w:val="Author-eListParagraph"/>
        <w:numPr>
          <w:ilvl w:val="1"/>
          <w:numId w:val="788"/>
        </w:numPr>
      </w:pPr>
      <w:r>
        <w:t>les encadrements, y compris tous les accessoires pour la fixation au gros-œuvre des impostes fixes ou ouvrantes et de tous les éléments pour les ensembles de portes multiples, les bandes d'étanchéité continues, les trous de gâche nécessaires et les caches en métal, …;</w:t>
      </w:r>
    </w:p>
    <w:p w14:paraId="4129A9A4" w14:textId="77777777" w:rsidR="004B2808" w:rsidRDefault="00000000">
      <w:pPr>
        <w:pStyle w:val="Author-eListParagraph"/>
        <w:numPr>
          <w:ilvl w:val="1"/>
          <w:numId w:val="788"/>
        </w:numPr>
      </w:pPr>
      <w:r>
        <w:t>les feuilles de porte, y compris les éventuelles réservations pour le vitrage ou les panneaux de remplissage, …;</w:t>
      </w:r>
    </w:p>
    <w:p w14:paraId="765DE11A" w14:textId="77777777" w:rsidR="004B2808" w:rsidRDefault="00000000">
      <w:pPr>
        <w:pStyle w:val="Author-eListParagraph"/>
        <w:numPr>
          <w:ilvl w:val="1"/>
          <w:numId w:val="788"/>
        </w:numPr>
      </w:pPr>
      <w:r>
        <w:t>toute la quincaillerie : les suspensions, poignées de porte, serrures, …;</w:t>
      </w:r>
    </w:p>
    <w:p w14:paraId="0A918B33" w14:textId="77777777" w:rsidR="004B2808" w:rsidRDefault="00000000">
      <w:pPr>
        <w:pStyle w:val="Author-eListParagraph"/>
        <w:numPr>
          <w:ilvl w:val="1"/>
          <w:numId w:val="788"/>
        </w:numPr>
      </w:pPr>
      <w:r>
        <w:t>tous les procédés de protection et de traitement de surface (à l'exception de la finition reprise au 8 T8 Travaux de peinture / Traitements de surface - peintures intérieures).</w:t>
      </w:r>
    </w:p>
    <w:p w14:paraId="0C95D49C" w14:textId="77777777" w:rsidR="004B2808" w:rsidRDefault="00000000">
      <w:pPr>
        <w:pStyle w:val="Author-eListParagraph"/>
        <w:numPr>
          <w:ilvl w:val="0"/>
          <w:numId w:val="787"/>
        </w:numPr>
      </w:pPr>
      <w:r>
        <w:t>l'évacuation de tous les déchets provenant de l'entreprise et l'enlèvement de tous les autocollants sur les portes, à l'exception de ceux indiquant la résistance au feu, …;</w:t>
      </w:r>
    </w:p>
    <w:p w14:paraId="6B0A172C" w14:textId="77777777" w:rsidR="004B2808" w:rsidRDefault="00000000">
      <w:pPr>
        <w:pStyle w:val="Author-eListParagraph"/>
        <w:numPr>
          <w:ilvl w:val="0"/>
          <w:numId w:val="787"/>
        </w:numPr>
      </w:pPr>
      <w:r>
        <w:t>le contrôle sur place (un an après) et le réglage éventuel.  </w:t>
      </w:r>
    </w:p>
    <w:p w14:paraId="7D27DD28" w14:textId="77777777" w:rsidR="004B2808" w:rsidRDefault="00000000">
      <w:pPr>
        <w:pStyle w:val="pheading"/>
      </w:pPr>
      <w:r>
        <w:t>MATÉRIAUX</w:t>
      </w:r>
    </w:p>
    <w:p w14:paraId="7D5C3034" w14:textId="77777777" w:rsidR="004B2808" w:rsidRDefault="00000000">
      <w:r>
        <w:t>Généralités</w:t>
      </w:r>
    </w:p>
    <w:p w14:paraId="54B231A7" w14:textId="77777777" w:rsidR="004B2808" w:rsidRDefault="00000000">
      <w:r>
        <w:t> Les fenêtres et portes-fenêtres et leurs composantes, c'est-à-dire les encadrements, les feuilles de porte, les moyens de fixation, de suspension et de manœuvre, sont de nature compatible avec l'affectation du local dans lequel elles sont posées et elles sont fabriquées de manière telle qu'à l'usage normal il ne puisse se produite de dégradations notables qui peuvent nuire à l'aspect et au bon fonctionnement de la fenêtre.  </w:t>
      </w:r>
    </w:p>
    <w:p w14:paraId="5327A9C2" w14:textId="77777777" w:rsidR="004B2808" w:rsidRDefault="00000000">
      <w:r>
        <w:t>Performances</w:t>
      </w:r>
    </w:p>
    <w:p w14:paraId="33A86C5E" w14:textId="77777777" w:rsidR="004B2808" w:rsidRDefault="00000000">
      <w:r>
        <w:t>Les performances des fenêtres et portes-fenêtres sont définies dans l'article 41.1 Fenêtres et portes-fenêtres</w:t>
      </w:r>
    </w:p>
    <w:p w14:paraId="5F521369" w14:textId="77777777" w:rsidR="004B2808" w:rsidRDefault="00000000">
      <w:r>
        <w:t>THERMIQUE</w:t>
      </w:r>
    </w:p>
    <w:p w14:paraId="6ABF8500" w14:textId="77777777" w:rsidR="004B2808" w:rsidRDefault="00000000">
      <w:r>
        <w:t>Si une fenêtre ou porte-fenêtre intérieure est identifiée comme faisant partie de l'enveloppe délimitant le volume protégé du bâtiment, celle-ci doit respecter les valeurs U imposées par la réglementation PEB (voir § 00.5 Terminologie). Sa valeur U</w:t>
      </w:r>
      <w:r>
        <w:rPr>
          <w:vertAlign w:val="subscript"/>
        </w:rPr>
        <w:t>w</w:t>
      </w:r>
      <w:r>
        <w:t xml:space="preserve"> doit dès lors être inférieure à </w:t>
      </w:r>
      <w:r>
        <w:rPr>
          <w:rStyle w:val="optioncarChar"/>
        </w:rPr>
        <w:t>1.8</w:t>
      </w:r>
      <w:r>
        <w:t xml:space="preserve"> (par défaut) </w:t>
      </w:r>
      <w:r>
        <w:rPr>
          <w:rStyle w:val="optioncarChar"/>
        </w:rPr>
        <w:t>/ 2.2 /  ***</w:t>
      </w:r>
      <w:r>
        <w:t xml:space="preserve"> W/m²K.La valeur U</w:t>
      </w:r>
      <w:r>
        <w:rPr>
          <w:vertAlign w:val="subscript"/>
        </w:rPr>
        <w:t>w</w:t>
      </w:r>
      <w:r>
        <w:t xml:space="preserve"> de la fenêtre ou porte-fenêtre mise en œuvre est communiquée </w:t>
      </w:r>
      <w:r>
        <w:rPr>
          <w:rStyle w:val="optioncarChar"/>
        </w:rPr>
        <w:t>à l'auteur de projet</w:t>
      </w:r>
      <w:r>
        <w:t> (par défaut) </w:t>
      </w:r>
      <w:r>
        <w:rPr>
          <w:rStyle w:val="optioncarChar"/>
        </w:rPr>
        <w:t>/ au responsable PEB / à l'auteur de projet et au responsable PEB / *** </w:t>
      </w:r>
      <w:r>
        <w:t>. A défaut, le détail (valeur U</w:t>
      </w:r>
      <w:r>
        <w:rPr>
          <w:vertAlign w:val="subscript"/>
        </w:rPr>
        <w:t>p</w:t>
      </w:r>
      <w:r>
        <w:t xml:space="preserve"> des panneaux, valeur U</w:t>
      </w:r>
      <w:r>
        <w:rPr>
          <w:vertAlign w:val="subscript"/>
        </w:rPr>
        <w:t>g</w:t>
      </w:r>
      <w:r>
        <w:t xml:space="preserve"> des vitrages et valeur U</w:t>
      </w:r>
      <w:r>
        <w:rPr>
          <w:vertAlign w:val="subscript"/>
        </w:rPr>
        <w:t xml:space="preserve">f </w:t>
      </w:r>
      <w:r>
        <w:t xml:space="preserve">des montants, ainsi que les matériaux et épaisseurs) est communiqué </w:t>
      </w:r>
      <w:r>
        <w:rPr>
          <w:rStyle w:val="optioncarChar"/>
        </w:rPr>
        <w:t>à l'auteur de projet </w:t>
      </w:r>
      <w:r>
        <w:t>(par défaut)</w:t>
      </w:r>
      <w:r>
        <w:rPr>
          <w:rStyle w:val="optioncarChar"/>
        </w:rPr>
        <w:t xml:space="preserve"> / au responsable PEB / à l'auteur de projet et au responsable PEB</w:t>
      </w:r>
      <w:r>
        <w:t xml:space="preserve"> afin qu'il(s) puisse(nt) calculer la valeur U</w:t>
      </w:r>
      <w:r>
        <w:rPr>
          <w:vertAlign w:val="subscript"/>
        </w:rPr>
        <w:t>w</w:t>
      </w:r>
      <w:r>
        <w:t>.</w:t>
      </w:r>
    </w:p>
    <w:p w14:paraId="505E3361" w14:textId="77777777" w:rsidR="004B2808" w:rsidRDefault="00000000">
      <w:r>
        <w:t> EFFORT DE MANOEUVRE</w:t>
      </w:r>
    </w:p>
    <w:p w14:paraId="48E5FD09" w14:textId="77777777" w:rsidR="004B2808" w:rsidRDefault="00000000">
      <w:r>
        <w:t>La classification des efforts de manœuvre des (portes-)fenêtres battantes et coulissantes est définie dans la norme [NBN B 25-002-1] (voir Tableau X). Tableau X – Classification des efforts de manœuvre selon la norme [NBN B 25-002-1]</w:t>
      </w:r>
    </w:p>
    <w:p w14:paraId="3A291238" w14:textId="77777777" w:rsidR="004B2808" w:rsidRDefault="00000000">
      <w:r>
        <w:t>  </w:t>
      </w:r>
    </w:p>
    <w:tbl>
      <w:tblPr>
        <w:tblStyle w:val="Author-eTableGrid"/>
        <w:tblW w:w="0" w:type="auto"/>
        <w:tblLayout w:type="fixed"/>
        <w:tblLook w:val="04A0" w:firstRow="1" w:lastRow="0" w:firstColumn="1" w:lastColumn="0" w:noHBand="0" w:noVBand="1"/>
      </w:tblPr>
      <w:tblGrid>
        <w:gridCol w:w="3000"/>
        <w:gridCol w:w="3000"/>
        <w:gridCol w:w="3000"/>
      </w:tblGrid>
      <w:tr w:rsidR="004B2808" w14:paraId="6CC478DA" w14:textId="77777777">
        <w:trPr>
          <w:trHeight w:val="150"/>
        </w:trPr>
        <w:tc>
          <w:tcPr>
            <w:tcW w:w="3000" w:type="dxa"/>
            <w:shd w:val="clear" w:color="auto" w:fill="C0C0C0"/>
            <w:noWrap/>
          </w:tcPr>
          <w:p w14:paraId="54ACC0EA" w14:textId="77777777" w:rsidR="004B2808" w:rsidRDefault="00000000">
            <w:r>
              <w:rPr>
                <w:shd w:val="clear" w:color="auto" w:fill="C0C0C0"/>
              </w:rPr>
              <w:t> </w:t>
            </w:r>
            <w:r>
              <w:rPr>
                <w:b/>
                <w:shd w:val="clear" w:color="auto" w:fill="C0C0C0"/>
              </w:rPr>
              <w:t xml:space="preserve">Résistance aux efforts de manœuvre  </w:t>
            </w:r>
            <w:r>
              <w:rPr>
                <w:shd w:val="clear" w:color="auto" w:fill="C0C0C0"/>
              </w:rPr>
              <w:t> </w:t>
            </w:r>
          </w:p>
        </w:tc>
        <w:tc>
          <w:tcPr>
            <w:tcW w:w="3000" w:type="dxa"/>
            <w:shd w:val="clear" w:color="auto" w:fill="C0C0C0"/>
            <w:noWrap/>
          </w:tcPr>
          <w:p w14:paraId="0271B14B" w14:textId="77777777" w:rsidR="004B2808" w:rsidRDefault="00000000">
            <w:r>
              <w:rPr>
                <w:b/>
                <w:shd w:val="clear" w:color="auto" w:fill="C0C0C0"/>
              </w:rPr>
              <w:t>Classe 1</w:t>
            </w:r>
          </w:p>
        </w:tc>
        <w:tc>
          <w:tcPr>
            <w:tcW w:w="3000" w:type="dxa"/>
            <w:shd w:val="clear" w:color="auto" w:fill="C0C0C0"/>
            <w:noWrap/>
          </w:tcPr>
          <w:p w14:paraId="5EAB4D61" w14:textId="77777777" w:rsidR="004B2808" w:rsidRDefault="00000000">
            <w:r>
              <w:rPr>
                <w:b/>
                <w:shd w:val="clear" w:color="auto" w:fill="C0C0C0"/>
              </w:rPr>
              <w:t xml:space="preserve">Classe 2 </w:t>
            </w:r>
          </w:p>
        </w:tc>
      </w:tr>
      <w:tr w:rsidR="004B2808" w14:paraId="37F8EAF7" w14:textId="77777777">
        <w:tc>
          <w:tcPr>
            <w:tcW w:w="9000" w:type="dxa"/>
            <w:gridSpan w:val="3"/>
            <w:noWrap/>
          </w:tcPr>
          <w:p w14:paraId="485D2247" w14:textId="77777777" w:rsidR="004B2808" w:rsidRDefault="00000000">
            <w:r>
              <w:t>Fenêtres battantes ou coulissantes</w:t>
            </w:r>
          </w:p>
        </w:tc>
      </w:tr>
      <w:tr w:rsidR="004B2808" w14:paraId="14979529" w14:textId="77777777">
        <w:tc>
          <w:tcPr>
            <w:tcW w:w="3000" w:type="dxa"/>
            <w:noWrap/>
          </w:tcPr>
          <w:p w14:paraId="635AD228" w14:textId="77777777" w:rsidR="004B2808" w:rsidRDefault="00000000">
            <w:r>
              <w:t>Force de fermeture ou force destinée à initier le mouvement, valeur maximale, (N)</w:t>
            </w:r>
          </w:p>
        </w:tc>
        <w:tc>
          <w:tcPr>
            <w:tcW w:w="3000" w:type="dxa"/>
            <w:noWrap/>
          </w:tcPr>
          <w:p w14:paraId="2E3D2CDD" w14:textId="77777777" w:rsidR="004B2808" w:rsidRDefault="00000000">
            <w:r>
              <w:t>100</w:t>
            </w:r>
          </w:p>
        </w:tc>
        <w:tc>
          <w:tcPr>
            <w:tcW w:w="3000" w:type="dxa"/>
            <w:noWrap/>
          </w:tcPr>
          <w:p w14:paraId="7BEED613" w14:textId="77777777" w:rsidR="004B2808" w:rsidRDefault="00000000">
            <w:r>
              <w:t>30</w:t>
            </w:r>
          </w:p>
        </w:tc>
      </w:tr>
      <w:tr w:rsidR="004B2808" w14:paraId="7C6A3EC8" w14:textId="77777777">
        <w:tc>
          <w:tcPr>
            <w:tcW w:w="9000" w:type="dxa"/>
            <w:gridSpan w:val="3"/>
            <w:noWrap/>
          </w:tcPr>
          <w:p w14:paraId="1641FBEC" w14:textId="77777777" w:rsidR="004B2808" w:rsidRDefault="00000000">
            <w:r>
              <w:t>Quincaillerie manœuvrée à la main</w:t>
            </w:r>
          </w:p>
        </w:tc>
      </w:tr>
      <w:tr w:rsidR="004B2808" w14:paraId="14FEE2AB" w14:textId="77777777">
        <w:tc>
          <w:tcPr>
            <w:tcW w:w="3000" w:type="dxa"/>
            <w:noWrap/>
          </w:tcPr>
          <w:p w14:paraId="12F78BC0" w14:textId="77777777" w:rsidR="004B2808" w:rsidRDefault="00000000">
            <w:r>
              <w:t>Force maximale, (N)</w:t>
            </w:r>
          </w:p>
        </w:tc>
        <w:tc>
          <w:tcPr>
            <w:tcW w:w="3000" w:type="dxa"/>
            <w:noWrap/>
          </w:tcPr>
          <w:p w14:paraId="3DB8F96D" w14:textId="77777777" w:rsidR="004B2808" w:rsidRDefault="00000000">
            <w:pPr>
              <w:jc w:val="center"/>
            </w:pPr>
            <w:r>
              <w:t>100</w:t>
            </w:r>
          </w:p>
        </w:tc>
        <w:tc>
          <w:tcPr>
            <w:tcW w:w="3000" w:type="dxa"/>
            <w:noWrap/>
          </w:tcPr>
          <w:p w14:paraId="7C4598AB" w14:textId="77777777" w:rsidR="004B2808" w:rsidRDefault="00000000">
            <w:pPr>
              <w:jc w:val="center"/>
            </w:pPr>
            <w:r>
              <w:t>30</w:t>
            </w:r>
          </w:p>
        </w:tc>
      </w:tr>
      <w:tr w:rsidR="004B2808" w14:paraId="5F4CB8A8" w14:textId="77777777">
        <w:tc>
          <w:tcPr>
            <w:tcW w:w="3000" w:type="dxa"/>
            <w:noWrap/>
          </w:tcPr>
          <w:p w14:paraId="114A680E" w14:textId="77777777" w:rsidR="004B2808" w:rsidRDefault="00000000">
            <w:r>
              <w:t>Couple maximal, (Nm)</w:t>
            </w:r>
          </w:p>
        </w:tc>
        <w:tc>
          <w:tcPr>
            <w:tcW w:w="3000" w:type="dxa"/>
            <w:noWrap/>
          </w:tcPr>
          <w:p w14:paraId="6E86A1D2" w14:textId="77777777" w:rsidR="004B2808" w:rsidRDefault="00000000">
            <w:pPr>
              <w:jc w:val="center"/>
            </w:pPr>
            <w:r>
              <w:t>10</w:t>
            </w:r>
          </w:p>
        </w:tc>
        <w:tc>
          <w:tcPr>
            <w:tcW w:w="3000" w:type="dxa"/>
            <w:noWrap/>
          </w:tcPr>
          <w:p w14:paraId="3DFAF318" w14:textId="77777777" w:rsidR="004B2808" w:rsidRDefault="00000000">
            <w:pPr>
              <w:jc w:val="center"/>
            </w:pPr>
            <w:r>
              <w:t>5</w:t>
            </w:r>
          </w:p>
        </w:tc>
      </w:tr>
      <w:tr w:rsidR="004B2808" w14:paraId="5F74DA76" w14:textId="77777777">
        <w:tc>
          <w:tcPr>
            <w:tcW w:w="9000" w:type="dxa"/>
            <w:gridSpan w:val="3"/>
            <w:noWrap/>
          </w:tcPr>
          <w:p w14:paraId="1D54F62D" w14:textId="77777777" w:rsidR="004B2808" w:rsidRDefault="00000000">
            <w:r>
              <w:lastRenderedPageBreak/>
              <w:t>Quincaillerie manœuvrée avec le doigt</w:t>
            </w:r>
          </w:p>
        </w:tc>
      </w:tr>
      <w:tr w:rsidR="004B2808" w14:paraId="6767555B" w14:textId="77777777">
        <w:tc>
          <w:tcPr>
            <w:tcW w:w="3000" w:type="dxa"/>
            <w:noWrap/>
          </w:tcPr>
          <w:p w14:paraId="20EDD0F6" w14:textId="77777777" w:rsidR="004B2808" w:rsidRDefault="00000000">
            <w:r>
              <w:t>Force maximale, (N)</w:t>
            </w:r>
          </w:p>
        </w:tc>
        <w:tc>
          <w:tcPr>
            <w:tcW w:w="3000" w:type="dxa"/>
            <w:noWrap/>
          </w:tcPr>
          <w:p w14:paraId="5E763D04" w14:textId="77777777" w:rsidR="004B2808" w:rsidRDefault="00000000">
            <w:pPr>
              <w:jc w:val="center"/>
            </w:pPr>
            <w:r>
              <w:t>50</w:t>
            </w:r>
          </w:p>
        </w:tc>
        <w:tc>
          <w:tcPr>
            <w:tcW w:w="3000" w:type="dxa"/>
            <w:noWrap/>
          </w:tcPr>
          <w:p w14:paraId="790F9F83" w14:textId="77777777" w:rsidR="004B2808" w:rsidRDefault="00000000">
            <w:pPr>
              <w:jc w:val="center"/>
            </w:pPr>
            <w:r>
              <w:t>20</w:t>
            </w:r>
          </w:p>
        </w:tc>
      </w:tr>
      <w:tr w:rsidR="004B2808" w14:paraId="5A0A5E9F" w14:textId="77777777">
        <w:tc>
          <w:tcPr>
            <w:tcW w:w="3000" w:type="dxa"/>
            <w:noWrap/>
          </w:tcPr>
          <w:p w14:paraId="02426C23" w14:textId="77777777" w:rsidR="004B2808" w:rsidRDefault="00000000">
            <w:r>
              <w:t>Couple maximal, (Nm)</w:t>
            </w:r>
          </w:p>
        </w:tc>
        <w:tc>
          <w:tcPr>
            <w:tcW w:w="3000" w:type="dxa"/>
            <w:noWrap/>
          </w:tcPr>
          <w:p w14:paraId="493B39A8" w14:textId="77777777" w:rsidR="004B2808" w:rsidRDefault="00000000">
            <w:pPr>
              <w:jc w:val="center"/>
            </w:pPr>
            <w:r>
              <w:t>5</w:t>
            </w:r>
          </w:p>
        </w:tc>
        <w:tc>
          <w:tcPr>
            <w:tcW w:w="3000" w:type="dxa"/>
            <w:noWrap/>
          </w:tcPr>
          <w:p w14:paraId="001FABB1" w14:textId="77777777" w:rsidR="004B2808" w:rsidRDefault="00000000">
            <w:pPr>
              <w:jc w:val="center"/>
            </w:pPr>
            <w:r>
              <w:t>2</w:t>
            </w:r>
          </w:p>
        </w:tc>
      </w:tr>
      <w:tr w:rsidR="004B2808" w14:paraId="2AAFE3F4" w14:textId="77777777">
        <w:tc>
          <w:tcPr>
            <w:tcW w:w="3000" w:type="dxa"/>
            <w:noWrap/>
          </w:tcPr>
          <w:p w14:paraId="5ADCD1E1" w14:textId="77777777" w:rsidR="004B2808" w:rsidRDefault="00000000">
            <w:r>
              <w:rPr>
                <w:b/>
              </w:rPr>
              <w:t>Applications</w:t>
            </w:r>
          </w:p>
        </w:tc>
        <w:tc>
          <w:tcPr>
            <w:tcW w:w="3000" w:type="dxa"/>
            <w:noWrap/>
          </w:tcPr>
          <w:p w14:paraId="646C7DFA" w14:textId="77777777" w:rsidR="004B2808" w:rsidRDefault="00000000">
            <w:r>
              <w:t>Toutes applications normales où la manœuvre de la fenêtre ne pose pas de problème particulier à l’opérateur</w:t>
            </w:r>
          </w:p>
        </w:tc>
        <w:tc>
          <w:tcPr>
            <w:tcW w:w="3000" w:type="dxa"/>
            <w:noWrap/>
          </w:tcPr>
          <w:p w14:paraId="3129C679" w14:textId="77777777" w:rsidR="004B2808" w:rsidRDefault="00000000">
            <w:r>
              <w:t>Toutes applications non reprises à la classe 1, par exemple, opérateur physiquement handicapé, …, en fonction de la situation</w:t>
            </w:r>
          </w:p>
        </w:tc>
      </w:tr>
    </w:tbl>
    <w:p w14:paraId="38C8D2DF" w14:textId="77777777" w:rsidR="004B2808" w:rsidRDefault="00000000">
      <w:r>
        <w:t xml:space="preserve">Comme indiqué dans ce tableau, la Classe 2 est recommandée pour une utilisation notamment par des personnes à mobilité réduite (PMR).Les (portes-)fenêtres battantes et/ou coulissantes sont de : </w:t>
      </w:r>
      <w:r>
        <w:rPr>
          <w:rStyle w:val="optioncarChar"/>
        </w:rPr>
        <w:t>Classe 1/Classe 2 (PMR)</w:t>
      </w:r>
      <w:r>
        <w:t xml:space="preserve">. Bois &amp; matériaux en plaques. Tout bois de menuiserie doit satisfaire aux [STS 04.2]et à la [NBN EN 942] Voir également les normes de référence à la section </w:t>
      </w:r>
      <w:hyperlink w:anchor="60" w:history="1">
        <w:r w:rsidR="004B2808">
          <w:rPr>
            <w:color w:val="0000EE"/>
          </w:rPr>
          <w:t>51 Parois légères et finitions des murs intérieurs</w:t>
        </w:r>
      </w:hyperlink>
    </w:p>
    <w:p w14:paraId="0B4E7694" w14:textId="77777777" w:rsidR="004B2808" w:rsidRDefault="00000000">
      <w:r>
        <w:t> </w:t>
      </w:r>
    </w:p>
    <w:p w14:paraId="5C27BCC4" w14:textId="77777777" w:rsidR="004B2808" w:rsidRDefault="00000000">
      <w:pPr>
        <w:pStyle w:val="Author-eListParagraph"/>
        <w:numPr>
          <w:ilvl w:val="0"/>
          <w:numId w:val="789"/>
        </w:numPr>
      </w:pPr>
      <w:r>
        <w:t>L'aubier et le cœur du bois de feuillus ne sont pas admis. L'aubier du bois résineux est autorisé pour la menuiserie intérieure, le cœur de bois résineux est admis à condition qu'il ne soit visible sur aucune face. Les nœuds non adhérents d'un diamètre inférieur à 5 mm sont autorisés à condition qu'ils se situent à au moins 5 mm du bord. Pour les bois feuillus destinés à rester apparents, les nœuds doivent être adhérents et inférieurs à 3 mm . Pour la menuiserie peinte, les nœuds non adhérents dont le diamètre est supérieur à 5 mm sont découpés et remplacés par un bouchon, à condition qu' ils se situent au moins à 5 mm du bord ou d'un autre bouchon. Un bouchon est une pièce de bois de forme ronde, de la même espèce, d'une épaisseur d'au moins 15 mm , dont les fibres courent dans le même sens que le bois et qui est collé dans la pièce de bois. Le diamètre du bouchon ne dépasse pas 20 mm . L'inclinaison des fibres est inférieure à 5% pour la menuiserie de dimensions normales et courantes. Pour le bois séché artificiellement, des écarts locaux supérieurs peuvent être tolérés, mesurés par rapport aux bords des pièces de bois et en dehors de la zone influencée par des défauts (par ex. des nœuds). Pour le PNG, il faut pouvoir compter au moins 15 cercles annuels sur une distance de 40 mm, mesurés radialement.</w:t>
      </w:r>
    </w:p>
    <w:p w14:paraId="7B81A376" w14:textId="77777777" w:rsidR="004B2808" w:rsidRDefault="00000000">
      <w:pPr>
        <w:pStyle w:val="Author-eListParagraph"/>
        <w:numPr>
          <w:ilvl w:val="0"/>
          <w:numId w:val="789"/>
        </w:numPr>
      </w:pPr>
      <w:r>
        <w:t>Les défauts suivants entraînent le refus du bois : pourriture, bleuissement (le bleuissement non accompagné de pourriture et de trous de vers noirs est uniquement admis pour les menuiseries peintes), irrégularités dans la structure du bois (bois tors, entre-écorce, roulures et cadranures,…), anciennes traces d'attaques d'insectes, décoloration et lignes, entre-écorce et galle résineuse, nœuds (non adhérents et nœuds sains incrustés), trous, fentes entre les fibres et fissures internes.</w:t>
      </w:r>
    </w:p>
    <w:p w14:paraId="3768D42A" w14:textId="77777777" w:rsidR="004B2808" w:rsidRDefault="00000000">
      <w:pPr>
        <w:pStyle w:val="Author-eListParagraph"/>
        <w:numPr>
          <w:ilvl w:val="0"/>
          <w:numId w:val="789"/>
        </w:numPr>
      </w:pPr>
      <w:r>
        <w:t>Le bois doit être suffisamment sec. L’humidité du bois lors de son usinage en atelier doit se situer entre 8 et 15% à une température de base de 18°C . Le degré d'humidité du bois sur chantier est inférieur à 15%.</w:t>
      </w:r>
    </w:p>
    <w:p w14:paraId="4BA0111F" w14:textId="77777777" w:rsidR="004B2808" w:rsidRDefault="00000000">
      <w:pPr>
        <w:pStyle w:val="Author-eListParagraph"/>
        <w:numPr>
          <w:ilvl w:val="0"/>
          <w:numId w:val="789"/>
        </w:numPr>
      </w:pPr>
      <w:r>
        <w:t>Les essences de bois qui ne sont pas suffisamment durables dans les circonstances où elles sont employées doivent être imprégnées selon un procédé de protection approprié (B). Toute livraison de bois traité est accompagnée d'un certificat de traitement, rédigé sous la responsabilité de la firme qui a exécuté le traitement et attestant que le produit appliqué est homologué et que le procédé appliqué est également agréé.</w:t>
      </w:r>
    </w:p>
    <w:p w14:paraId="56BD9F23" w14:textId="77777777" w:rsidR="004B2808" w:rsidRDefault="00000000">
      <w:pPr>
        <w:pStyle w:val="Author-eListParagraph"/>
        <w:numPr>
          <w:ilvl w:val="0"/>
          <w:numId w:val="789"/>
        </w:numPr>
      </w:pPr>
      <w:r>
        <w:t xml:space="preserve">Le bois est raboté sur toutes les faces. Les faces destinées à rester apparentes sont en outre poncées lisses, tous les angles étant légèrement arrondis au papier de verre. Toutes les dimensions indiquées sont les dimensions poncées minimales.     </w:t>
      </w:r>
    </w:p>
    <w:p w14:paraId="438EE97E" w14:textId="77777777" w:rsidR="004B2808" w:rsidRDefault="00000000">
      <w:pPr>
        <w:pStyle w:val="Author-eListParagraph"/>
        <w:numPr>
          <w:ilvl w:val="1"/>
          <w:numId w:val="790"/>
        </w:numPr>
      </w:pPr>
      <w:r>
        <w:t xml:space="preserve">Contre-plaqué WBP (hydrofuge) : plaques de contre-plaqué composés d'un nombre impair de feuilles de bois déroulé, assemblées par collage, le fil du bois étant symétrique par rapport au fil central, le sens des fibres des feuilles successives s'alternant toujours à 90°. Qualité d'encollage : </w:t>
      </w:r>
      <w:r>
        <w:rPr>
          <w:rStyle w:val="optioncarChar"/>
        </w:rPr>
        <w:t>minimum 24-20 climat intérieur sec </w:t>
      </w:r>
      <w:r>
        <w:t>(par défaut)</w:t>
      </w:r>
      <w:r>
        <w:rPr>
          <w:rStyle w:val="optioncarChar"/>
        </w:rPr>
        <w:t xml:space="preserve"> / 03-67 climat intérieur humide / 03-100 climat extérieur - durée limitée / 72-100 climat extérieur - durée illimitée / ***</w:t>
      </w:r>
      <w:r>
        <w:t xml:space="preserve">. Les plaques sont livrées poncées. Les défauts de fabrication suivants du contre-plaqué entraînent le refus : </w:t>
      </w:r>
      <w:r>
        <w:lastRenderedPageBreak/>
        <w:t>les joints ouverts entre les couches ou entre deux bandes de placage d'une même couche, des couches chevauchantes, des réparations, des soufflures, une surface rugueuse, la pénétration de colle, du bois pelucheux, de l'entre-écorce et des bulles d'air. Les plaques sont conformes aux exigences de la norme [NBN EN 636+A1] .</w:t>
      </w:r>
    </w:p>
    <w:p w14:paraId="5CA05034" w14:textId="77777777" w:rsidR="004B2808" w:rsidRDefault="00000000">
      <w:pPr>
        <w:pStyle w:val="Author-eListParagraph"/>
        <w:numPr>
          <w:ilvl w:val="1"/>
          <w:numId w:val="790"/>
        </w:numPr>
      </w:pPr>
      <w:r>
        <w:t xml:space="preserve">MDF (Medium Density Fiberboard) : plaques de fibres comprimées, séchées et liées à l'aide de résines. Spécifications techniques </w:t>
      </w:r>
      <w:r>
        <w:rPr>
          <w:rStyle w:val="optioncarChar"/>
        </w:rPr>
        <w:t>MDF</w:t>
      </w:r>
      <w:r>
        <w:t xml:space="preserve"> (par défaut)</w:t>
      </w:r>
      <w:r>
        <w:rPr>
          <w:rStyle w:val="optioncarChar"/>
        </w:rPr>
        <w:t> / MDF.LA / MDF.H/ MDF.HLS / *** </w:t>
      </w:r>
      <w:r>
        <w:t xml:space="preserve"> selon la norme [NBN EN 622-5]:</w:t>
      </w:r>
    </w:p>
    <w:p w14:paraId="0D31B508" w14:textId="77777777" w:rsidR="004B2808" w:rsidRDefault="00000000">
      <w:pPr>
        <w:pStyle w:val="Author-eListParagraph"/>
        <w:numPr>
          <w:ilvl w:val="1"/>
          <w:numId w:val="790"/>
        </w:numPr>
      </w:pPr>
      <w:r>
        <w:t>masse volumique entre 600 et 900 kg/m³</w:t>
      </w:r>
    </w:p>
    <w:p w14:paraId="46FABB17" w14:textId="77777777" w:rsidR="004B2808" w:rsidRDefault="00000000">
      <w:pPr>
        <w:pStyle w:val="Author-eListParagraph"/>
        <w:numPr>
          <w:ilvl w:val="1"/>
          <w:numId w:val="790"/>
        </w:numPr>
      </w:pPr>
      <w:r>
        <w:t>résistance à la flexion entre 20 et 40 N/mm²</w:t>
      </w:r>
    </w:p>
    <w:p w14:paraId="1BE82A43" w14:textId="77777777" w:rsidR="004B2808" w:rsidRDefault="00000000">
      <w:pPr>
        <w:pStyle w:val="Author-eListParagraph"/>
        <w:numPr>
          <w:ilvl w:val="1"/>
          <w:numId w:val="790"/>
        </w:numPr>
      </w:pPr>
      <w:r>
        <w:t>module d'élasticité entre 2000 et 3000 N/mm²</w:t>
      </w:r>
    </w:p>
    <w:p w14:paraId="34AA1C11" w14:textId="77777777" w:rsidR="004B2808" w:rsidRDefault="00000000">
      <w:pPr>
        <w:pStyle w:val="Author-eListParagraph"/>
        <w:numPr>
          <w:ilvl w:val="1"/>
          <w:numId w:val="790"/>
        </w:numPr>
      </w:pPr>
      <w:r>
        <w:t xml:space="preserve">panneaux de particules </w:t>
      </w:r>
      <w:r>
        <w:rPr>
          <w:rStyle w:val="optioncarChar"/>
        </w:rPr>
        <w:t>P2</w:t>
      </w:r>
      <w:r>
        <w:t xml:space="preserve"> (par défaut) </w:t>
      </w:r>
      <w:r>
        <w:rPr>
          <w:rStyle w:val="optioncarChar"/>
        </w:rPr>
        <w:t>/ P3 / P4 / P5 / P6 / P7 / ***</w:t>
      </w:r>
      <w:r>
        <w:t xml:space="preserve"> selon les exigences de la norme [NBN EN 312]</w:t>
      </w:r>
    </w:p>
    <w:p w14:paraId="7D0375D7" w14:textId="77777777" w:rsidR="004B2808" w:rsidRDefault="00000000">
      <w:r>
        <w:t>Forme - Type - Composition</w:t>
      </w:r>
    </w:p>
    <w:p w14:paraId="08CCA5C1" w14:textId="77777777" w:rsidR="004B2808" w:rsidRDefault="00000000">
      <w:pPr>
        <w:pStyle w:val="Author-eListParagraph"/>
        <w:numPr>
          <w:ilvl w:val="0"/>
          <w:numId w:val="791"/>
        </w:numPr>
      </w:pPr>
      <w:r>
        <w:t xml:space="preserve">Les éléments constituant les encadrements et les vantaux sont fabriqués conformément aux indications sur les plans, aux dessins de détails et/ou aux dispositions spécifiques dans le cahier spécial des charges, concernant : </w:t>
      </w:r>
    </w:p>
    <w:p w14:paraId="2DFF9F47" w14:textId="77777777" w:rsidR="004B2808" w:rsidRDefault="00000000">
      <w:pPr>
        <w:pStyle w:val="Author-eListParagraph"/>
        <w:numPr>
          <w:ilvl w:val="1"/>
          <w:numId w:val="792"/>
        </w:numPr>
      </w:pPr>
      <w:r>
        <w:t>la forme des portes-fenêtres : </w:t>
      </w:r>
      <w:r>
        <w:rPr>
          <w:rStyle w:val="optioncarChar"/>
        </w:rPr>
        <w:t>simple</w:t>
      </w:r>
      <w:r>
        <w:t> (par défaut)</w:t>
      </w:r>
      <w:r>
        <w:rPr>
          <w:rStyle w:val="optioncarChar"/>
        </w:rPr>
        <w:t xml:space="preserve"> / à plusieurs vantaux / composée / à pose affleurante / ***</w:t>
      </w:r>
    </w:p>
    <w:p w14:paraId="428E292E" w14:textId="77777777" w:rsidR="004B2808" w:rsidRDefault="00000000">
      <w:pPr>
        <w:pStyle w:val="Author-eListParagraph"/>
        <w:numPr>
          <w:ilvl w:val="1"/>
          <w:numId w:val="792"/>
        </w:numPr>
      </w:pPr>
      <w:r>
        <w:t>le type des portes-fenêtres : </w:t>
      </w:r>
      <w:r>
        <w:rPr>
          <w:rStyle w:val="optioncarChar"/>
        </w:rPr>
        <w:t>à feuillure</w:t>
      </w:r>
      <w:r>
        <w:t xml:space="preserve"> (par défaut)</w:t>
      </w:r>
      <w:r>
        <w:rPr>
          <w:rStyle w:val="optioncarChar"/>
        </w:rPr>
        <w:t> / à recouvrement / pivotante / va-et-vient / coulissante / ***</w:t>
      </w:r>
    </w:p>
    <w:p w14:paraId="62CEA100" w14:textId="77777777" w:rsidR="004B2808" w:rsidRDefault="00000000">
      <w:pPr>
        <w:pStyle w:val="Author-eListParagraph"/>
        <w:numPr>
          <w:ilvl w:val="1"/>
          <w:numId w:val="792"/>
        </w:numPr>
      </w:pPr>
      <w:r>
        <w:t>le type de baie, les dimensions dans l'œuvre de la baie, l'épaisseur des murs finis.</w:t>
      </w:r>
    </w:p>
    <w:p w14:paraId="2C036E4B" w14:textId="77777777" w:rsidR="004B2808" w:rsidRDefault="00000000">
      <w:pPr>
        <w:pStyle w:val="Author-eListParagraph"/>
        <w:numPr>
          <w:ilvl w:val="1"/>
          <w:numId w:val="792"/>
        </w:numPr>
      </w:pPr>
      <w:r>
        <w:t>les matériaux (bois, métal, ...) et les dimensions des parties fixes (dormant, encadrement, ...), des parties complémentaires (imposte, parties latérales ouvrantes ou fixes, ...)</w:t>
      </w:r>
    </w:p>
    <w:p w14:paraId="1AAAFF4D" w14:textId="77777777" w:rsidR="004B2808" w:rsidRDefault="00000000">
      <w:pPr>
        <w:pStyle w:val="Author-eListParagraph"/>
        <w:numPr>
          <w:ilvl w:val="1"/>
          <w:numId w:val="792"/>
        </w:numPr>
      </w:pPr>
      <w:r>
        <w:t>les matériaux et les dimensions des parties ouvrantes (vantaux) et des parties complémentaires (imposte, parties latérales ouvrantes ou fixes, ...)</w:t>
      </w:r>
    </w:p>
    <w:p w14:paraId="2D10EE76" w14:textId="77777777" w:rsidR="004B2808" w:rsidRDefault="00000000">
      <w:pPr>
        <w:pStyle w:val="Author-eListParagraph"/>
        <w:numPr>
          <w:ilvl w:val="1"/>
          <w:numId w:val="792"/>
        </w:numPr>
      </w:pPr>
      <w:r>
        <w:t>l'emplacement de la porte (porte intérieure, porte d'appartement, …) ainsi que le sens d'ouverture des portes</w:t>
      </w:r>
    </w:p>
    <w:p w14:paraId="7D98F543" w14:textId="77777777" w:rsidR="004B2808" w:rsidRDefault="00000000">
      <w:pPr>
        <w:pStyle w:val="Author-eListParagraph"/>
        <w:numPr>
          <w:ilvl w:val="1"/>
          <w:numId w:val="792"/>
        </w:numPr>
      </w:pPr>
      <w:r>
        <w:t>la hauteur des allèges de fenêtre :</w:t>
      </w:r>
      <w:r>
        <w:rPr>
          <w:rStyle w:val="optioncarChar"/>
        </w:rPr>
        <w:t> 110 cm maximum au-dessus du niveau du sol (PMR)</w:t>
      </w:r>
      <w:r>
        <w:t> (par défaut) </w:t>
      </w:r>
      <w:r>
        <w:rPr>
          <w:rStyle w:val="optioncarChar"/>
        </w:rPr>
        <w:t>/ *** </w:t>
      </w:r>
      <w:r>
        <w:t>.</w:t>
      </w:r>
    </w:p>
    <w:p w14:paraId="700607B8" w14:textId="77777777" w:rsidR="004B2808" w:rsidRDefault="00000000">
      <w:r>
        <w:t>Accessoires</w:t>
      </w:r>
    </w:p>
    <w:p w14:paraId="32630BC4" w14:textId="77777777" w:rsidR="004B2808" w:rsidRDefault="00000000">
      <w:pPr>
        <w:pStyle w:val="Author-eListParagraph"/>
        <w:numPr>
          <w:ilvl w:val="0"/>
          <w:numId w:val="793"/>
        </w:numPr>
      </w:pPr>
      <w:r>
        <w:t>Le cahier spécial des charges mentionne en outre pour quelles </w:t>
      </w:r>
      <w:r>
        <w:rPr>
          <w:shd w:val="clear" w:color="auto" w:fill="FFFFFF"/>
        </w:rPr>
        <w:t>fenêtres et / ou portes-fenêtres</w:t>
      </w:r>
      <w:r>
        <w:t> des éléments complémentaires doivent aussi être prévus telles que : grille de ventilation, vitrage, espions, plinthes, plaques de protection, ferme-porte, repères visuels (PMR), éléments décoratifs, fils électriques, … Lorsque le descriptif ne s'avère pas suffisamment explicite, l'auteur du projet est consulté avant la mise en œuvre.</w:t>
      </w:r>
    </w:p>
    <w:p w14:paraId="1CC723AA" w14:textId="77777777" w:rsidR="004B2808" w:rsidRDefault="00000000">
      <w:pPr>
        <w:pStyle w:val="pheading"/>
      </w:pPr>
      <w:r>
        <w:t>EXÉCUTION / MISE EN ŒUVRE</w:t>
      </w:r>
    </w:p>
    <w:p w14:paraId="1EAFF2D9" w14:textId="77777777" w:rsidR="004B2808" w:rsidRDefault="00000000">
      <w:pPr>
        <w:pStyle w:val="heading"/>
      </w:pPr>
      <w:r>
        <w:t>Modalités d'entreprise</w:t>
      </w:r>
    </w:p>
    <w:p w14:paraId="5F042A40" w14:textId="77777777" w:rsidR="004B2808" w:rsidRDefault="00000000">
      <w:r>
        <w:t>L'entrepreneur général est chargé de la coordination des postes suivants : les encadrements, les feuilles de porte, la quincaillerie, le vitrage, la finition des murs intérieurs, les éventuels entre-portes, … Les mesures indiquées sur les plans, les dessins de détail et/ou le métré sont données à titre purement indicatif. Les dimensions exactes doivent toujours être contrôlées sur place.</w:t>
      </w:r>
    </w:p>
    <w:p w14:paraId="3DD5B4AA" w14:textId="77777777" w:rsidR="004B2808" w:rsidRDefault="00000000">
      <w:pPr>
        <w:pStyle w:val="heading"/>
      </w:pPr>
      <w:r>
        <w:t>Timing - influence de l'environnement</w:t>
      </w:r>
    </w:p>
    <w:p w14:paraId="4A80A850" w14:textId="77777777" w:rsidR="004B2808" w:rsidRDefault="00000000">
      <w:pPr>
        <w:pStyle w:val="Author-eListParagraph"/>
        <w:numPr>
          <w:ilvl w:val="0"/>
          <w:numId w:val="794"/>
        </w:numPr>
      </w:pPr>
      <w:r>
        <w:t>La menuiserie intérieure ne peut être mise en œuvre que lorsque les conditions de pose sont favorables. Les conditions de mise en œuvre considérées comme normales sont les suivantes : lorsque la température est comprise entre 15 et 25 °C et que le degré d'humidité se situe entre 40 et 70 % HR.</w:t>
      </w:r>
    </w:p>
    <w:p w14:paraId="44C5D4A3" w14:textId="77777777" w:rsidR="004B2808" w:rsidRDefault="00000000">
      <w:pPr>
        <w:pStyle w:val="Author-eListParagraph"/>
        <w:numPr>
          <w:ilvl w:val="0"/>
          <w:numId w:val="794"/>
        </w:numPr>
      </w:pPr>
      <w:r>
        <w:t xml:space="preserve">Les portent ne peuvent en aucun cas être posées lorsque les circonstances sont de nature à pouvoir provoquer le gonflement, le voilement ou le retrait des fenêtres. Lorsque le fabricant et/ou le menuisier constate que leurs ouvrages risquent d'être soumis à des conditions hygrométriques anormales et défavorables ou ayant des effets irréversibles (par ex. le </w:t>
      </w:r>
      <w:r>
        <w:lastRenderedPageBreak/>
        <w:t>gonflement, la corrosion, la décomposition, …) qui sont la cause de refus, ils en avertissent le plus rapidement possible le maître de l'ouvrage ou l'auteur de projet.</w:t>
      </w:r>
    </w:p>
    <w:p w14:paraId="747B474E" w14:textId="77777777" w:rsidR="004B2808" w:rsidRDefault="00000000">
      <w:pPr>
        <w:pStyle w:val="Author-eListParagraph"/>
        <w:numPr>
          <w:ilvl w:val="0"/>
          <w:numId w:val="794"/>
        </w:numPr>
      </w:pPr>
      <w:r>
        <w:t>Voir à ce sujet la [NIT 166].</w:t>
      </w:r>
    </w:p>
    <w:p w14:paraId="386B703A" w14:textId="77777777" w:rsidR="004B2808" w:rsidRDefault="00000000">
      <w:pPr>
        <w:pStyle w:val="Author-eListParagraph"/>
        <w:numPr>
          <w:ilvl w:val="0"/>
          <w:numId w:val="794"/>
        </w:numPr>
      </w:pPr>
      <w:r>
        <w:t>Le bois est entreposé dans un endroit approprié, à l'abri du soleil, de l'humidité et de la pluie, sans entrer en contact avec le sol ou les plantations qui le recouvrent.</w:t>
      </w:r>
    </w:p>
    <w:p w14:paraId="0CBD2256" w14:textId="77777777" w:rsidR="004B2808" w:rsidRDefault="00000000">
      <w:pPr>
        <w:pStyle w:val="heading"/>
      </w:pPr>
      <w:r>
        <w:t>Ventilation</w:t>
      </w:r>
    </w:p>
    <w:p w14:paraId="4EDAF8BC" w14:textId="77777777" w:rsidR="004B2808" w:rsidRDefault="00000000">
      <w:pPr>
        <w:pStyle w:val="Author-eListParagraph"/>
        <w:numPr>
          <w:ilvl w:val="0"/>
          <w:numId w:val="795"/>
        </w:numPr>
      </w:pPr>
      <w:r>
        <w:t>Les portes séparant les parties communes des pièces privatives, les garages de l'habitation ou des locaux communautaires, les greniers des locaux d'habitation ou communautaires, les locaux d'entreposage des ordures des locaux d'habitation ou communautaires, ainsi que toutes les autres portes de liaison ne peuvent dépasser un débit de fuite supérieur à 50 m³/h pour une différence de pression de 50 Pa.</w:t>
      </w:r>
    </w:p>
    <w:p w14:paraId="418526AE" w14:textId="77777777" w:rsidR="004B2808" w:rsidRDefault="00000000">
      <w:pPr>
        <w:pStyle w:val="Author-eListParagraph"/>
        <w:numPr>
          <w:ilvl w:val="0"/>
          <w:numId w:val="795"/>
        </w:numPr>
      </w:pPr>
      <w:r>
        <w:t>Pour les portes intérieures des locaux d'habitation faisant partie d'un système de ventilation passive (système A), il faut tenir compte d'une ouverture de ventilation suffisante en respect de la norme [NBN D 50-001]. Celle-ci peut être réalisée en posant des grilles de ventilation ou en raccourcissant la feuille de porte conformément aux indications de la norme (une fente dans le bas de maximum 10 mm).</w:t>
      </w:r>
    </w:p>
    <w:p w14:paraId="2C29A7A5" w14:textId="77777777" w:rsidR="004B2808" w:rsidRDefault="00000000">
      <w:r>
        <w:rPr>
          <w:b/>
          <w:sz w:val="24"/>
        </w:rPr>
        <w:t>Sécurité</w:t>
      </w:r>
    </w:p>
    <w:p w14:paraId="551134E4" w14:textId="77777777" w:rsidR="004B2808" w:rsidRDefault="00000000">
      <w:r>
        <w:t>Conformément à la rubrique 01.45 PSS travaux de parachèvement intérieur PSS travaux de parachèvement intérieur, établie par le coordinateur-projet et annexée au présent cahier des charges. Toutes les directives en la matière et les indications concrètes du coordinateur-réalisation sont scrupuleusement respectées.  </w:t>
      </w:r>
    </w:p>
    <w:p w14:paraId="1026E167" w14:textId="77777777" w:rsidR="004B2808" w:rsidRDefault="00000000">
      <w:r>
        <w:rPr>
          <w:b/>
          <w:sz w:val="24"/>
        </w:rPr>
        <w:t>Sécurisation incendie</w:t>
      </w:r>
    </w:p>
    <w:p w14:paraId="3EA1E657" w14:textId="77777777" w:rsidR="004B2808" w:rsidRDefault="00000000">
      <w:pPr>
        <w:pStyle w:val="Author-eListParagraph"/>
        <w:numPr>
          <w:ilvl w:val="0"/>
          <w:numId w:val="796"/>
        </w:numPr>
      </w:pPr>
      <w:r>
        <w:t>En matière de sécurité incendie, les portes doivent répondre à certaines exigences en fonction de la destination des locaux auxquels elles appartiennent.</w:t>
      </w:r>
    </w:p>
    <w:p w14:paraId="640E5ABD" w14:textId="77777777" w:rsidR="004B2808" w:rsidRDefault="00000000">
      <w:pPr>
        <w:pStyle w:val="Author-eListParagraph"/>
        <w:numPr>
          <w:ilvl w:val="0"/>
          <w:numId w:val="796"/>
        </w:numPr>
      </w:pPr>
      <w:r>
        <w:t>Support aux prescripteurs : [SWL GSI/T1/C] de la prévention passive référencé dans le 0 T0 Entreprise / Chantier de ce cahier des charges.</w:t>
      </w:r>
    </w:p>
    <w:p w14:paraId="15BBFB46" w14:textId="77777777" w:rsidR="004B2808" w:rsidRDefault="00000000">
      <w:pPr>
        <w:ind w:left="750"/>
      </w:pPr>
      <w:r>
        <w:t> </w:t>
      </w:r>
    </w:p>
    <w:p w14:paraId="67A37482" w14:textId="77777777" w:rsidR="004B2808" w:rsidRDefault="00000000">
      <w:pPr>
        <w:pStyle w:val="pheading"/>
      </w:pPr>
      <w:r>
        <w:t>DOCUMENTS DE RÉFÉRENCE</w:t>
      </w:r>
    </w:p>
    <w:p w14:paraId="04B99564" w14:textId="77777777" w:rsidR="004B2808" w:rsidRDefault="00000000">
      <w:pPr>
        <w:pStyle w:val="pheading"/>
      </w:pPr>
      <w:r>
        <w:t>- Matériau</w:t>
      </w:r>
    </w:p>
    <w:p w14:paraId="5EA4E1F6" w14:textId="77777777" w:rsidR="004B2808" w:rsidRDefault="00000000">
      <w:r>
        <w:t>[STS 53.1, Portes]</w:t>
      </w:r>
    </w:p>
    <w:p w14:paraId="767D82E4" w14:textId="77777777" w:rsidR="004B2808" w:rsidRDefault="00000000">
      <w:r>
        <w:t>[STS 53.2, Portes industrielles, commerciales et résidentielles]</w:t>
      </w:r>
    </w:p>
    <w:p w14:paraId="48134D94" w14:textId="77777777" w:rsidR="004B2808" w:rsidRDefault="00000000">
      <w:r>
        <w:t>[NBN ISO 1804]</w:t>
      </w:r>
    </w:p>
    <w:p w14:paraId="2793FE35" w14:textId="77777777" w:rsidR="004B2808" w:rsidRDefault="00000000">
      <w:r>
        <w:t>[NBN EN 12608-1:2016+A1]</w:t>
      </w:r>
    </w:p>
    <w:p w14:paraId="738C101E" w14:textId="77777777" w:rsidR="004B2808" w:rsidRDefault="00000000">
      <w:r>
        <w:t>[NBN EN 942]</w:t>
      </w:r>
    </w:p>
    <w:p w14:paraId="5F533912" w14:textId="77777777" w:rsidR="004B2808" w:rsidRDefault="00000000">
      <w:r>
        <w:t>[SWL GSI/T1/C]</w:t>
      </w:r>
    </w:p>
    <w:p w14:paraId="16C15037" w14:textId="77777777" w:rsidR="004B2808" w:rsidRDefault="00000000">
      <w:pPr>
        <w:pStyle w:val="pheading"/>
      </w:pPr>
      <w:r>
        <w:t>AIDE</w:t>
      </w:r>
    </w:p>
    <w:p w14:paraId="112F1E4F" w14:textId="77777777" w:rsidR="004B2808" w:rsidRDefault="00000000">
      <w:r>
        <w:rPr>
          <w:i/>
          <w:u w:val="single"/>
        </w:rPr>
        <w:t>Note à l'auteur de projet</w:t>
      </w:r>
    </w:p>
    <w:p w14:paraId="57AA6562" w14:textId="77777777" w:rsidR="004B2808" w:rsidRDefault="00000000">
      <w:r>
        <w:rPr>
          <w:b/>
        </w:rPr>
        <w:t>Accessibilité aux personnes à mobilité réduite (PMR)</w:t>
      </w:r>
    </w:p>
    <w:p w14:paraId="3F0052A5" w14:textId="77777777" w:rsidR="004B2808" w:rsidRDefault="00000000">
      <w:pPr>
        <w:pStyle w:val="Author-eListParagraph"/>
        <w:numPr>
          <w:ilvl w:val="0"/>
          <w:numId w:val="797"/>
        </w:numPr>
      </w:pPr>
      <w:r>
        <w:t>Hauteur des allèges : maximum 110 cm au-dessus du niveau du sol    [SWL CALA] et [NBN ISO 21542]</w:t>
      </w:r>
    </w:p>
    <w:p w14:paraId="0A6F48F4" w14:textId="77777777" w:rsidR="004B2808" w:rsidRDefault="00000000">
      <w:pPr>
        <w:pStyle w:val="Author-eListParagraph"/>
        <w:numPr>
          <w:ilvl w:val="0"/>
          <w:numId w:val="797"/>
        </w:numPr>
      </w:pPr>
      <w:r>
        <w:t>Efforts de manœuvre : Classe 2 de la norme [NBN B 25-002-1]</w:t>
      </w:r>
    </w:p>
    <w:p w14:paraId="6A4E7747" w14:textId="77777777" w:rsidR="004B2808" w:rsidRDefault="00000000">
      <w:pPr>
        <w:pStyle w:val="Author-eListParagraph"/>
        <w:numPr>
          <w:ilvl w:val="0"/>
          <w:numId w:val="797"/>
        </w:numPr>
      </w:pPr>
      <w:r>
        <w:t>Repères visuels (portes-fenêtres) : [SWL CALA], [BS 8300] et [NBN ISO 21542]</w:t>
      </w:r>
    </w:p>
    <w:p w14:paraId="5F42D94D" w14:textId="77777777" w:rsidR="004B2808" w:rsidRDefault="00000000">
      <w:pPr>
        <w:pStyle w:val="Author-eListParagraph"/>
        <w:numPr>
          <w:ilvl w:val="1"/>
          <w:numId w:val="798"/>
        </w:numPr>
      </w:pPr>
      <w:r>
        <w:t>Présence de deux bandes colorées</w:t>
      </w:r>
    </w:p>
    <w:p w14:paraId="22973824" w14:textId="77777777" w:rsidR="004B2808" w:rsidRDefault="00000000">
      <w:pPr>
        <w:pStyle w:val="Author-eListParagraph"/>
        <w:numPr>
          <w:ilvl w:val="1"/>
          <w:numId w:val="798"/>
        </w:numPr>
      </w:pPr>
      <w:r>
        <w:t>Hauteurs des bandes : l’une entre 85 et 100 cm au-dessus du niveau du sol et l’autre entre 140 et 160 cm au-dessus du niveau du sol</w:t>
      </w:r>
    </w:p>
    <w:p w14:paraId="1E517667" w14:textId="77777777" w:rsidR="004B2808" w:rsidRDefault="00000000">
      <w:pPr>
        <w:pStyle w:val="Author-eListParagraph"/>
        <w:numPr>
          <w:ilvl w:val="1"/>
          <w:numId w:val="798"/>
        </w:numPr>
      </w:pPr>
      <w:r>
        <w:lastRenderedPageBreak/>
        <w:t>Contraste : différence de coefficient de réflexion (LRV) de minimum 30% entre les bandes et l’arrière-plan </w:t>
      </w:r>
    </w:p>
    <w:p w14:paraId="3637FF2C" w14:textId="77777777" w:rsidR="004B2808" w:rsidRDefault="00000000">
      <w:pPr>
        <w:pStyle w:val="Author-eSectionHeading4Numberless"/>
      </w:pPr>
      <w:bookmarkStart w:id="1005" w:name="_Toc220491136"/>
      <w:r>
        <w:t>55.11 Fenêtres intérieures en bois CCTB 01.11</w:t>
      </w:r>
      <w:bookmarkEnd w:id="1005"/>
    </w:p>
    <w:p w14:paraId="1D4505D7" w14:textId="77777777" w:rsidR="004B2808" w:rsidRDefault="00000000">
      <w:pPr>
        <w:pStyle w:val="pheading"/>
      </w:pPr>
      <w:r>
        <w:t>DESCRIPTION</w:t>
      </w:r>
    </w:p>
    <w:p w14:paraId="7BFDCE30" w14:textId="77777777" w:rsidR="004B2808" w:rsidRDefault="00000000">
      <w:pPr>
        <w:pStyle w:val="pheading"/>
      </w:pPr>
      <w:r>
        <w:t>- Définition / Comprend</w:t>
      </w:r>
    </w:p>
    <w:p w14:paraId="52DBF369" w14:textId="77777777" w:rsidR="004B2808" w:rsidRDefault="00000000">
      <w:r>
        <w:t>Les portes et fenêtres intérieures sont considérées comme menuiserie en bois lorsque seul le bois assure la résistance mécanique de ces éléments de construction. Les éventuels revêtements en métal ou autres ne changent rien au fait que ces éléments font partie de la menuiserie en bois.</w:t>
      </w:r>
    </w:p>
    <w:p w14:paraId="5B15D33E" w14:textId="77777777" w:rsidR="004B2808" w:rsidRDefault="00000000">
      <w:pPr>
        <w:pStyle w:val="pheading"/>
      </w:pPr>
      <w:r>
        <w:t>- Remarques importantes</w:t>
      </w:r>
    </w:p>
    <w:p w14:paraId="6F55D207" w14:textId="77777777" w:rsidR="004B2808" w:rsidRDefault="00000000">
      <w:r>
        <w:t xml:space="preserve">Les éventuels revêtements des châssis en bois sont décrits dans les articles </w:t>
      </w:r>
      <w:hyperlink w:anchor="1306" w:history="1">
        <w:r w:rsidR="004B2808">
          <w:rPr>
            <w:color w:val="0000EE"/>
          </w:rPr>
          <w:t>55.51.2a Habillage de fenêtres en bois</w:t>
        </w:r>
      </w:hyperlink>
      <w:r>
        <w:t xml:space="preserve">, </w:t>
      </w:r>
      <w:hyperlink w:anchor="1307" w:history="1">
        <w:r w:rsidR="004B2808">
          <w:rPr>
            <w:color w:val="0000EE"/>
          </w:rPr>
          <w:t>55.52.2a Habillage de portes en bois</w:t>
        </w:r>
      </w:hyperlink>
      <w:r>
        <w:t xml:space="preserve">, </w:t>
      </w:r>
      <w:hyperlink w:anchor="940" w:history="1">
        <w:r w:rsidR="004B2808">
          <w:rPr>
            <w:color w:val="0000EE"/>
          </w:rPr>
          <w:t>55.51.3a Habillage de fenêtres en matière synthétique</w:t>
        </w:r>
      </w:hyperlink>
      <w:r>
        <w:t xml:space="preserve">, </w:t>
      </w:r>
      <w:hyperlink w:anchor="941" w:history="1">
        <w:r w:rsidR="004B2808">
          <w:rPr>
            <w:color w:val="0000EE"/>
          </w:rPr>
          <w:t>55.52.3a Habillage de portes en matière synthétique</w:t>
        </w:r>
      </w:hyperlink>
      <w:r>
        <w:t xml:space="preserve">, </w:t>
      </w:r>
      <w:hyperlink w:anchor="1166" w:history="1">
        <w:r w:rsidR="004B2808">
          <w:rPr>
            <w:color w:val="0000EE"/>
          </w:rPr>
          <w:t>51.53 Support d'enduit complémentaire</w:t>
        </w:r>
      </w:hyperlink>
      <w:r>
        <w:t xml:space="preserve"> .</w:t>
      </w:r>
    </w:p>
    <w:p w14:paraId="4A6754F2" w14:textId="77777777" w:rsidR="004B2808" w:rsidRDefault="00000000">
      <w:pPr>
        <w:pStyle w:val="pheading"/>
      </w:pPr>
      <w:r>
        <w:t>MATÉRIAUX</w:t>
      </w:r>
    </w:p>
    <w:p w14:paraId="7932B23C" w14:textId="77777777" w:rsidR="004B2808" w:rsidRDefault="00000000">
      <w:pPr>
        <w:pStyle w:val="heading"/>
      </w:pPr>
      <w:r>
        <w:t>Essences de bois</w:t>
      </w:r>
    </w:p>
    <w:p w14:paraId="28EC9E56" w14:textId="77777777" w:rsidR="004B2808" w:rsidRDefault="00000000">
      <w:pPr>
        <w:pStyle w:val="Author-eListParagraph"/>
        <w:numPr>
          <w:ilvl w:val="0"/>
          <w:numId w:val="799"/>
        </w:numPr>
      </w:pPr>
      <w:r>
        <w:t>L'essence de bois à utiliser est spécifiée dans le cahier spécial des charges.</w:t>
      </w:r>
    </w:p>
    <w:p w14:paraId="18830A82" w14:textId="77777777" w:rsidR="004B2808" w:rsidRDefault="00000000">
      <w:pPr>
        <w:pStyle w:val="Author-eListParagraph"/>
        <w:numPr>
          <w:ilvl w:val="0"/>
          <w:numId w:val="799"/>
        </w:numPr>
      </w:pPr>
      <w:r>
        <w:t>Avant la pose de la menuiserie, l'entrepreneur doit pouvoir prouver l'authenticité du bois en soumettant le certificat d'origine et d'espèce. En cas de doute, le maître de l'ouvrage est en droit de faire réaliser des essais dans un laboratoire agréé. Si les échantillons ne répondent pas aux exigences prescrites en ce qui concerne l'essence du bois, tous les frais des essais sont à charge de l'entrepreneur.</w:t>
      </w:r>
    </w:p>
    <w:p w14:paraId="7636D8B7" w14:textId="77777777" w:rsidR="004B2808" w:rsidRDefault="00000000">
      <w:pPr>
        <w:pStyle w:val="Author-eListParagraph"/>
        <w:numPr>
          <w:ilvl w:val="0"/>
          <w:numId w:val="799"/>
        </w:numPr>
      </w:pPr>
      <w:r>
        <w:t xml:space="preserve">Ci-dessous figurent quelques essences de bois convenant pour la fabrication de la menuiserie extérieure </w:t>
      </w:r>
      <w:r>
        <w:rPr>
          <w:i/>
        </w:rPr>
        <w:t xml:space="preserve">(liste non limitative). </w:t>
      </w:r>
      <w:r>
        <w:rPr>
          <w:b/>
          <w:i/>
        </w:rPr>
        <w:t>Voir [Bois ext] et également les Fiches du Centre interfédéral d</w:t>
      </w:r>
      <w:r>
        <w:rPr>
          <w:b/>
        </w:rPr>
        <w:t>'information sur le bois sur www.bois.be.</w:t>
      </w:r>
    </w:p>
    <w:tbl>
      <w:tblPr>
        <w:tblStyle w:val="Author-eTableGrid"/>
        <w:tblW w:w="0" w:type="auto"/>
        <w:tblBorders>
          <w:top w:val="single" w:sz="1" w:space="0" w:color="auto"/>
          <w:left w:val="single" w:sz="1" w:space="0" w:color="auto"/>
          <w:bottom w:val="single" w:sz="1" w:space="0" w:color="auto"/>
          <w:right w:val="single" w:sz="1" w:space="0" w:color="auto"/>
          <w:insideH w:val="nil"/>
          <w:insideV w:val="nil"/>
        </w:tblBorders>
        <w:tblLayout w:type="fixed"/>
        <w:tblLook w:val="04A0" w:firstRow="1" w:lastRow="0" w:firstColumn="1" w:lastColumn="0" w:noHBand="0" w:noVBand="1"/>
      </w:tblPr>
      <w:tblGrid>
        <w:gridCol w:w="2250"/>
        <w:gridCol w:w="2250"/>
        <w:gridCol w:w="2250"/>
        <w:gridCol w:w="2250"/>
      </w:tblGrid>
      <w:tr w:rsidR="004B2808" w14:paraId="63C1A2D6" w14:textId="77777777">
        <w:tc>
          <w:tcPr>
            <w:tcW w:w="2250" w:type="dxa"/>
            <w:tcBorders>
              <w:top w:val="single" w:sz="1" w:space="0" w:color="000000"/>
              <w:left w:val="single" w:sz="1" w:space="0" w:color="000000"/>
              <w:bottom w:val="single" w:sz="1" w:space="0" w:color="000000"/>
              <w:right w:val="single" w:sz="1" w:space="0" w:color="000000"/>
            </w:tcBorders>
            <w:noWrap/>
          </w:tcPr>
          <w:p w14:paraId="3124ED3A" w14:textId="77777777" w:rsidR="004B2808" w:rsidRDefault="00000000">
            <w:pPr>
              <w:jc w:val="center"/>
            </w:pPr>
            <w:r>
              <w:rPr>
                <w:b/>
              </w:rPr>
              <w:t>Essences de bois</w:t>
            </w:r>
          </w:p>
        </w:tc>
        <w:tc>
          <w:tcPr>
            <w:tcW w:w="2250" w:type="dxa"/>
            <w:tcBorders>
              <w:top w:val="single" w:sz="1" w:space="0" w:color="000000"/>
              <w:left w:val="single" w:sz="1" w:space="0" w:color="000000"/>
              <w:bottom w:val="single" w:sz="1" w:space="0" w:color="000000"/>
              <w:right w:val="single" w:sz="1" w:space="0" w:color="000000"/>
            </w:tcBorders>
            <w:noWrap/>
          </w:tcPr>
          <w:p w14:paraId="70AD9093" w14:textId="77777777" w:rsidR="004B2808" w:rsidRDefault="00000000">
            <w:pPr>
              <w:jc w:val="center"/>
            </w:pPr>
            <w:r>
              <w:rPr>
                <w:b/>
              </w:rPr>
              <w:t>Masse volumique (kg/m³)</w:t>
            </w:r>
          </w:p>
        </w:tc>
        <w:tc>
          <w:tcPr>
            <w:tcW w:w="2250" w:type="dxa"/>
            <w:tcBorders>
              <w:top w:val="single" w:sz="1" w:space="0" w:color="000000"/>
              <w:left w:val="single" w:sz="1" w:space="0" w:color="000000"/>
              <w:bottom w:val="single" w:sz="1" w:space="0" w:color="000000"/>
              <w:right w:val="single" w:sz="1" w:space="0" w:color="000000"/>
            </w:tcBorders>
            <w:noWrap/>
          </w:tcPr>
          <w:p w14:paraId="4D9054AF" w14:textId="77777777" w:rsidR="004B2808" w:rsidRDefault="00000000">
            <w:pPr>
              <w:jc w:val="center"/>
            </w:pPr>
            <w:r>
              <w:rPr>
                <w:b/>
              </w:rPr>
              <w:t>Rigidité E. Mod. (X10³MPa)</w:t>
            </w:r>
          </w:p>
        </w:tc>
        <w:tc>
          <w:tcPr>
            <w:tcW w:w="2250" w:type="dxa"/>
            <w:tcBorders>
              <w:top w:val="single" w:sz="1" w:space="0" w:color="000000"/>
              <w:left w:val="single" w:sz="1" w:space="0" w:color="000000"/>
              <w:bottom w:val="single" w:sz="1" w:space="0" w:color="000000"/>
              <w:right w:val="single" w:sz="1" w:space="0" w:color="000000"/>
            </w:tcBorders>
            <w:noWrap/>
          </w:tcPr>
          <w:p w14:paraId="350D8C06" w14:textId="77777777" w:rsidR="004B2808" w:rsidRDefault="00000000">
            <w:pPr>
              <w:jc w:val="center"/>
            </w:pPr>
            <w:r>
              <w:rPr>
                <w:b/>
              </w:rPr>
              <w:t>Classe de durabilité (*)</w:t>
            </w:r>
          </w:p>
        </w:tc>
      </w:tr>
      <w:tr w:rsidR="004B2808" w14:paraId="0B18B227" w14:textId="77777777">
        <w:tc>
          <w:tcPr>
            <w:tcW w:w="2250" w:type="dxa"/>
            <w:tcBorders>
              <w:top w:val="single" w:sz="1" w:space="0" w:color="000000"/>
              <w:left w:val="single" w:sz="1" w:space="0" w:color="000000"/>
              <w:bottom w:val="single" w:sz="1" w:space="0" w:color="000000"/>
              <w:right w:val="single" w:sz="1" w:space="0" w:color="000000"/>
            </w:tcBorders>
            <w:noWrap/>
          </w:tcPr>
          <w:p w14:paraId="1690D1B9" w14:textId="77777777" w:rsidR="004B2808" w:rsidRDefault="00000000">
            <w:pPr>
              <w:jc w:val="center"/>
            </w:pPr>
            <w:r>
              <w:rPr>
                <w:b/>
                <w:color w:val="FF0000"/>
              </w:rPr>
              <w:t>Couleur claire</w:t>
            </w:r>
          </w:p>
        </w:tc>
        <w:tc>
          <w:tcPr>
            <w:tcW w:w="6750" w:type="dxa"/>
            <w:gridSpan w:val="3"/>
            <w:tcBorders>
              <w:top w:val="single" w:sz="1" w:space="0" w:color="000000"/>
              <w:left w:val="single" w:sz="1" w:space="0" w:color="000000"/>
              <w:bottom w:val="single" w:sz="1" w:space="0" w:color="000000"/>
              <w:right w:val="single" w:sz="1" w:space="0" w:color="000000"/>
            </w:tcBorders>
            <w:noWrap/>
          </w:tcPr>
          <w:p w14:paraId="4CCA61D9" w14:textId="77777777" w:rsidR="004B2808" w:rsidRDefault="00000000">
            <w:pPr>
              <w:jc w:val="center"/>
            </w:pPr>
            <w:r>
              <w:t> </w:t>
            </w:r>
          </w:p>
        </w:tc>
      </w:tr>
      <w:tr w:rsidR="004B2808" w14:paraId="0834CB2D" w14:textId="77777777">
        <w:tc>
          <w:tcPr>
            <w:tcW w:w="2250" w:type="dxa"/>
            <w:tcBorders>
              <w:top w:val="single" w:sz="1" w:space="0" w:color="000000"/>
              <w:left w:val="single" w:sz="1" w:space="0" w:color="000000"/>
              <w:bottom w:val="single" w:sz="1" w:space="0" w:color="000000"/>
              <w:right w:val="single" w:sz="1" w:space="0" w:color="000000"/>
            </w:tcBorders>
            <w:noWrap/>
          </w:tcPr>
          <w:p w14:paraId="4D77405C" w14:textId="77777777" w:rsidR="004B2808" w:rsidRDefault="00000000">
            <w:pPr>
              <w:jc w:val="center"/>
            </w:pPr>
            <w:r>
              <w:t>Oregon Pine</w:t>
            </w:r>
          </w:p>
        </w:tc>
        <w:tc>
          <w:tcPr>
            <w:tcW w:w="2250" w:type="dxa"/>
            <w:tcBorders>
              <w:top w:val="single" w:sz="1" w:space="0" w:color="000000"/>
              <w:left w:val="single" w:sz="1" w:space="0" w:color="000000"/>
              <w:bottom w:val="single" w:sz="1" w:space="0" w:color="000000"/>
              <w:right w:val="single" w:sz="1" w:space="0" w:color="000000"/>
            </w:tcBorders>
            <w:noWrap/>
          </w:tcPr>
          <w:p w14:paraId="72ECDA1E" w14:textId="77777777" w:rsidR="004B2808" w:rsidRDefault="00000000">
            <w:pPr>
              <w:jc w:val="center"/>
            </w:pPr>
            <w:r>
              <w:t>550</w:t>
            </w:r>
          </w:p>
        </w:tc>
        <w:tc>
          <w:tcPr>
            <w:tcW w:w="2250" w:type="dxa"/>
            <w:tcBorders>
              <w:top w:val="single" w:sz="1" w:space="0" w:color="000000"/>
              <w:left w:val="single" w:sz="1" w:space="0" w:color="000000"/>
              <w:bottom w:val="single" w:sz="1" w:space="0" w:color="000000"/>
              <w:right w:val="single" w:sz="1" w:space="0" w:color="000000"/>
            </w:tcBorders>
            <w:noWrap/>
          </w:tcPr>
          <w:p w14:paraId="0378A2CB" w14:textId="77777777" w:rsidR="004B2808" w:rsidRDefault="00000000">
            <w:pPr>
              <w:jc w:val="center"/>
            </w:pPr>
            <w:r>
              <w:t>13</w:t>
            </w:r>
          </w:p>
        </w:tc>
        <w:tc>
          <w:tcPr>
            <w:tcW w:w="2250" w:type="dxa"/>
            <w:tcBorders>
              <w:top w:val="single" w:sz="1" w:space="0" w:color="000000"/>
              <w:left w:val="single" w:sz="1" w:space="0" w:color="000000"/>
              <w:bottom w:val="single" w:sz="1" w:space="0" w:color="000000"/>
              <w:right w:val="single" w:sz="1" w:space="0" w:color="000000"/>
            </w:tcBorders>
            <w:noWrap/>
          </w:tcPr>
          <w:p w14:paraId="4609FCD1" w14:textId="77777777" w:rsidR="004B2808" w:rsidRDefault="00000000">
            <w:pPr>
              <w:jc w:val="center"/>
            </w:pPr>
            <w:r>
              <w:t>III</w:t>
            </w:r>
          </w:p>
        </w:tc>
      </w:tr>
      <w:tr w:rsidR="004B2808" w14:paraId="17CBB63B" w14:textId="77777777">
        <w:tc>
          <w:tcPr>
            <w:tcW w:w="2250" w:type="dxa"/>
            <w:tcBorders>
              <w:top w:val="single" w:sz="1" w:space="0" w:color="000000"/>
              <w:left w:val="single" w:sz="1" w:space="0" w:color="000000"/>
              <w:bottom w:val="single" w:sz="1" w:space="0" w:color="000000"/>
              <w:right w:val="single" w:sz="1" w:space="0" w:color="000000"/>
            </w:tcBorders>
            <w:noWrap/>
          </w:tcPr>
          <w:p w14:paraId="6C632A61" w14:textId="77777777" w:rsidR="004B2808" w:rsidRDefault="00000000">
            <w:pPr>
              <w:jc w:val="center"/>
            </w:pPr>
            <w:r>
              <w:t>Pitch-Pine+C1</w:t>
            </w:r>
          </w:p>
        </w:tc>
        <w:tc>
          <w:tcPr>
            <w:tcW w:w="2250" w:type="dxa"/>
            <w:tcBorders>
              <w:top w:val="single" w:sz="1" w:space="0" w:color="000000"/>
              <w:left w:val="single" w:sz="1" w:space="0" w:color="000000"/>
              <w:bottom w:val="single" w:sz="1" w:space="0" w:color="000000"/>
              <w:right w:val="single" w:sz="1" w:space="0" w:color="000000"/>
            </w:tcBorders>
            <w:noWrap/>
          </w:tcPr>
          <w:p w14:paraId="335DAB73" w14:textId="77777777" w:rsidR="004B2808" w:rsidRDefault="00000000">
            <w:pPr>
              <w:jc w:val="center"/>
            </w:pPr>
            <w:r>
              <w:t>600</w:t>
            </w:r>
          </w:p>
        </w:tc>
        <w:tc>
          <w:tcPr>
            <w:tcW w:w="2250" w:type="dxa"/>
            <w:tcBorders>
              <w:top w:val="single" w:sz="1" w:space="0" w:color="000000"/>
              <w:left w:val="single" w:sz="1" w:space="0" w:color="000000"/>
              <w:bottom w:val="single" w:sz="1" w:space="0" w:color="000000"/>
              <w:right w:val="single" w:sz="1" w:space="0" w:color="000000"/>
            </w:tcBorders>
            <w:noWrap/>
          </w:tcPr>
          <w:p w14:paraId="2B8716F2" w14:textId="77777777" w:rsidR="004B2808" w:rsidRDefault="00000000">
            <w:pPr>
              <w:jc w:val="center"/>
            </w:pPr>
            <w:r>
              <w:t>13</w:t>
            </w:r>
          </w:p>
        </w:tc>
        <w:tc>
          <w:tcPr>
            <w:tcW w:w="2250" w:type="dxa"/>
            <w:tcBorders>
              <w:top w:val="single" w:sz="1" w:space="0" w:color="000000"/>
              <w:left w:val="single" w:sz="1" w:space="0" w:color="000000"/>
              <w:bottom w:val="single" w:sz="1" w:space="0" w:color="000000"/>
              <w:right w:val="single" w:sz="1" w:space="0" w:color="000000"/>
            </w:tcBorders>
            <w:noWrap/>
          </w:tcPr>
          <w:p w14:paraId="78881648" w14:textId="77777777" w:rsidR="004B2808" w:rsidRDefault="00000000">
            <w:pPr>
              <w:jc w:val="center"/>
            </w:pPr>
            <w:r>
              <w:t>III</w:t>
            </w:r>
          </w:p>
        </w:tc>
      </w:tr>
      <w:tr w:rsidR="004B2808" w14:paraId="2CA5B131" w14:textId="77777777">
        <w:tc>
          <w:tcPr>
            <w:tcW w:w="2250" w:type="dxa"/>
            <w:tcBorders>
              <w:top w:val="single" w:sz="1" w:space="0" w:color="000000"/>
              <w:left w:val="single" w:sz="1" w:space="0" w:color="000000"/>
              <w:bottom w:val="single" w:sz="1" w:space="0" w:color="000000"/>
              <w:right w:val="single" w:sz="1" w:space="0" w:color="000000"/>
            </w:tcBorders>
            <w:noWrap/>
          </w:tcPr>
          <w:p w14:paraId="7D1AA276" w14:textId="77777777" w:rsidR="004B2808" w:rsidRDefault="00000000">
            <w:pPr>
              <w:jc w:val="center"/>
            </w:pPr>
            <w:r>
              <w:t>PNG+C1</w:t>
            </w:r>
          </w:p>
        </w:tc>
        <w:tc>
          <w:tcPr>
            <w:tcW w:w="2250" w:type="dxa"/>
            <w:tcBorders>
              <w:top w:val="single" w:sz="1" w:space="0" w:color="000000"/>
              <w:left w:val="single" w:sz="1" w:space="0" w:color="000000"/>
              <w:bottom w:val="single" w:sz="1" w:space="0" w:color="000000"/>
              <w:right w:val="single" w:sz="1" w:space="0" w:color="000000"/>
            </w:tcBorders>
            <w:noWrap/>
          </w:tcPr>
          <w:p w14:paraId="01D78F71" w14:textId="77777777" w:rsidR="004B2808" w:rsidRDefault="00000000">
            <w:pPr>
              <w:jc w:val="center"/>
            </w:pPr>
            <w:r>
              <w:t>500</w:t>
            </w:r>
          </w:p>
        </w:tc>
        <w:tc>
          <w:tcPr>
            <w:tcW w:w="2250" w:type="dxa"/>
            <w:tcBorders>
              <w:top w:val="single" w:sz="1" w:space="0" w:color="000000"/>
              <w:left w:val="single" w:sz="1" w:space="0" w:color="000000"/>
              <w:bottom w:val="single" w:sz="1" w:space="0" w:color="000000"/>
              <w:right w:val="single" w:sz="1" w:space="0" w:color="000000"/>
            </w:tcBorders>
            <w:noWrap/>
          </w:tcPr>
          <w:p w14:paraId="45A69E38" w14:textId="77777777" w:rsidR="004B2808" w:rsidRDefault="00000000">
            <w:pPr>
              <w:jc w:val="center"/>
            </w:pPr>
            <w:r>
              <w:t>11</w:t>
            </w:r>
          </w:p>
        </w:tc>
        <w:tc>
          <w:tcPr>
            <w:tcW w:w="2250" w:type="dxa"/>
            <w:tcBorders>
              <w:top w:val="single" w:sz="1" w:space="0" w:color="000000"/>
              <w:left w:val="single" w:sz="1" w:space="0" w:color="000000"/>
              <w:bottom w:val="single" w:sz="1" w:space="0" w:color="000000"/>
              <w:right w:val="single" w:sz="1" w:space="0" w:color="000000"/>
            </w:tcBorders>
            <w:noWrap/>
          </w:tcPr>
          <w:p w14:paraId="24109EB8" w14:textId="77777777" w:rsidR="004B2808" w:rsidRDefault="00000000">
            <w:pPr>
              <w:jc w:val="center"/>
            </w:pPr>
            <w:r>
              <w:t>III</w:t>
            </w:r>
          </w:p>
        </w:tc>
      </w:tr>
      <w:tr w:rsidR="004B2808" w14:paraId="5A000688" w14:textId="77777777">
        <w:tc>
          <w:tcPr>
            <w:tcW w:w="2250" w:type="dxa"/>
            <w:tcBorders>
              <w:top w:val="single" w:sz="1" w:space="0" w:color="000000"/>
              <w:left w:val="single" w:sz="1" w:space="0" w:color="000000"/>
              <w:bottom w:val="single" w:sz="1" w:space="0" w:color="000000"/>
              <w:right w:val="single" w:sz="1" w:space="0" w:color="000000"/>
            </w:tcBorders>
            <w:noWrap/>
          </w:tcPr>
          <w:p w14:paraId="6B8B6F0D" w14:textId="77777777" w:rsidR="004B2808" w:rsidRDefault="00000000">
            <w:pPr>
              <w:jc w:val="center"/>
            </w:pPr>
            <w:r>
              <w:rPr>
                <w:b/>
                <w:color w:val="FF0000"/>
              </w:rPr>
              <w:t>Rouge-brun</w:t>
            </w:r>
          </w:p>
        </w:tc>
        <w:tc>
          <w:tcPr>
            <w:tcW w:w="6750" w:type="dxa"/>
            <w:gridSpan w:val="3"/>
            <w:tcBorders>
              <w:top w:val="single" w:sz="1" w:space="0" w:color="000000"/>
              <w:left w:val="single" w:sz="1" w:space="0" w:color="000000"/>
              <w:bottom w:val="single" w:sz="1" w:space="0" w:color="000000"/>
              <w:right w:val="single" w:sz="1" w:space="0" w:color="000000"/>
            </w:tcBorders>
            <w:noWrap/>
          </w:tcPr>
          <w:p w14:paraId="5F304626" w14:textId="77777777" w:rsidR="004B2808" w:rsidRDefault="00000000">
            <w:pPr>
              <w:jc w:val="center"/>
            </w:pPr>
            <w:r>
              <w:t> </w:t>
            </w:r>
          </w:p>
        </w:tc>
      </w:tr>
      <w:tr w:rsidR="004B2808" w14:paraId="628632AA" w14:textId="77777777">
        <w:tc>
          <w:tcPr>
            <w:tcW w:w="2250" w:type="dxa"/>
            <w:tcBorders>
              <w:top w:val="single" w:sz="1" w:space="0" w:color="000000"/>
              <w:left w:val="single" w:sz="1" w:space="0" w:color="000000"/>
              <w:bottom w:val="single" w:sz="1" w:space="0" w:color="000000"/>
              <w:right w:val="single" w:sz="1" w:space="0" w:color="000000"/>
            </w:tcBorders>
            <w:noWrap/>
          </w:tcPr>
          <w:p w14:paraId="4E076A5E" w14:textId="77777777" w:rsidR="004B2808" w:rsidRDefault="00000000">
            <w:pPr>
              <w:jc w:val="center"/>
            </w:pPr>
            <w:r>
              <w:t>Afzelia</w:t>
            </w:r>
          </w:p>
        </w:tc>
        <w:tc>
          <w:tcPr>
            <w:tcW w:w="2250" w:type="dxa"/>
            <w:tcBorders>
              <w:top w:val="single" w:sz="1" w:space="0" w:color="000000"/>
              <w:left w:val="single" w:sz="1" w:space="0" w:color="000000"/>
              <w:bottom w:val="single" w:sz="1" w:space="0" w:color="000000"/>
              <w:right w:val="single" w:sz="1" w:space="0" w:color="000000"/>
            </w:tcBorders>
            <w:noWrap/>
          </w:tcPr>
          <w:p w14:paraId="0D88859F" w14:textId="77777777" w:rsidR="004B2808" w:rsidRDefault="00000000">
            <w:pPr>
              <w:jc w:val="center"/>
            </w:pPr>
            <w:r>
              <w:t>800</w:t>
            </w:r>
          </w:p>
        </w:tc>
        <w:tc>
          <w:tcPr>
            <w:tcW w:w="2250" w:type="dxa"/>
            <w:tcBorders>
              <w:top w:val="single" w:sz="1" w:space="0" w:color="000000"/>
              <w:left w:val="single" w:sz="1" w:space="0" w:color="000000"/>
              <w:bottom w:val="single" w:sz="1" w:space="0" w:color="000000"/>
              <w:right w:val="single" w:sz="1" w:space="0" w:color="000000"/>
            </w:tcBorders>
            <w:noWrap/>
          </w:tcPr>
          <w:p w14:paraId="497AE6B3" w14:textId="77777777" w:rsidR="004B2808" w:rsidRDefault="00000000">
            <w:pPr>
              <w:jc w:val="center"/>
            </w:pPr>
            <w:r>
              <w:t>16</w:t>
            </w:r>
          </w:p>
        </w:tc>
        <w:tc>
          <w:tcPr>
            <w:tcW w:w="2250" w:type="dxa"/>
            <w:tcBorders>
              <w:top w:val="single" w:sz="1" w:space="0" w:color="000000"/>
              <w:left w:val="single" w:sz="1" w:space="0" w:color="000000"/>
              <w:bottom w:val="single" w:sz="1" w:space="0" w:color="000000"/>
              <w:right w:val="single" w:sz="1" w:space="0" w:color="000000"/>
            </w:tcBorders>
            <w:noWrap/>
          </w:tcPr>
          <w:p w14:paraId="0AF134E0" w14:textId="77777777" w:rsidR="004B2808" w:rsidRDefault="00000000">
            <w:pPr>
              <w:jc w:val="center"/>
            </w:pPr>
            <w:r>
              <w:t>I</w:t>
            </w:r>
          </w:p>
        </w:tc>
      </w:tr>
      <w:tr w:rsidR="004B2808" w14:paraId="44101B92" w14:textId="77777777">
        <w:tc>
          <w:tcPr>
            <w:tcW w:w="2250" w:type="dxa"/>
            <w:tcBorders>
              <w:top w:val="single" w:sz="1" w:space="0" w:color="000000"/>
              <w:left w:val="single" w:sz="1" w:space="0" w:color="000000"/>
              <w:bottom w:val="single" w:sz="1" w:space="0" w:color="000000"/>
              <w:right w:val="single" w:sz="1" w:space="0" w:color="000000"/>
            </w:tcBorders>
            <w:noWrap/>
          </w:tcPr>
          <w:p w14:paraId="515293ED" w14:textId="77777777" w:rsidR="004B2808" w:rsidRDefault="00000000">
            <w:pPr>
              <w:jc w:val="center"/>
            </w:pPr>
            <w:r>
              <w:t>Dark Red Meranti</w:t>
            </w:r>
          </w:p>
        </w:tc>
        <w:tc>
          <w:tcPr>
            <w:tcW w:w="2250" w:type="dxa"/>
            <w:tcBorders>
              <w:top w:val="single" w:sz="1" w:space="0" w:color="000000"/>
              <w:left w:val="single" w:sz="1" w:space="0" w:color="000000"/>
              <w:bottom w:val="single" w:sz="1" w:space="0" w:color="000000"/>
              <w:right w:val="single" w:sz="1" w:space="0" w:color="000000"/>
            </w:tcBorders>
            <w:noWrap/>
          </w:tcPr>
          <w:p w14:paraId="6801C1B6" w14:textId="77777777" w:rsidR="004B2808" w:rsidRDefault="00000000">
            <w:pPr>
              <w:jc w:val="center"/>
            </w:pPr>
            <w:r>
              <w:t>550</w:t>
            </w:r>
          </w:p>
        </w:tc>
        <w:tc>
          <w:tcPr>
            <w:tcW w:w="2250" w:type="dxa"/>
            <w:tcBorders>
              <w:top w:val="single" w:sz="1" w:space="0" w:color="000000"/>
              <w:left w:val="single" w:sz="1" w:space="0" w:color="000000"/>
              <w:bottom w:val="single" w:sz="1" w:space="0" w:color="000000"/>
              <w:right w:val="single" w:sz="1" w:space="0" w:color="000000"/>
            </w:tcBorders>
            <w:noWrap/>
          </w:tcPr>
          <w:p w14:paraId="2671626C" w14:textId="77777777" w:rsidR="004B2808" w:rsidRDefault="00000000">
            <w:pPr>
              <w:jc w:val="center"/>
            </w:pPr>
            <w:r>
              <w:t>12</w:t>
            </w:r>
          </w:p>
        </w:tc>
        <w:tc>
          <w:tcPr>
            <w:tcW w:w="2250" w:type="dxa"/>
            <w:tcBorders>
              <w:top w:val="single" w:sz="1" w:space="0" w:color="000000"/>
              <w:left w:val="single" w:sz="1" w:space="0" w:color="000000"/>
              <w:bottom w:val="single" w:sz="1" w:space="0" w:color="000000"/>
              <w:right w:val="single" w:sz="1" w:space="0" w:color="000000"/>
            </w:tcBorders>
            <w:noWrap/>
          </w:tcPr>
          <w:p w14:paraId="66D99403" w14:textId="77777777" w:rsidR="004B2808" w:rsidRDefault="00000000">
            <w:pPr>
              <w:jc w:val="center"/>
            </w:pPr>
            <w:r>
              <w:t>II / III</w:t>
            </w:r>
          </w:p>
        </w:tc>
      </w:tr>
      <w:tr w:rsidR="004B2808" w14:paraId="4527860E" w14:textId="77777777">
        <w:tc>
          <w:tcPr>
            <w:tcW w:w="2250" w:type="dxa"/>
            <w:tcBorders>
              <w:top w:val="single" w:sz="1" w:space="0" w:color="000000"/>
              <w:left w:val="single" w:sz="1" w:space="0" w:color="000000"/>
              <w:bottom w:val="single" w:sz="1" w:space="0" w:color="000000"/>
              <w:right w:val="single" w:sz="1" w:space="0" w:color="000000"/>
            </w:tcBorders>
            <w:noWrap/>
          </w:tcPr>
          <w:p w14:paraId="38FE79C5" w14:textId="77777777" w:rsidR="004B2808" w:rsidRDefault="00000000">
            <w:pPr>
              <w:jc w:val="center"/>
            </w:pPr>
            <w:r>
              <w:t>Sipo / Utile</w:t>
            </w:r>
          </w:p>
        </w:tc>
        <w:tc>
          <w:tcPr>
            <w:tcW w:w="2250" w:type="dxa"/>
            <w:tcBorders>
              <w:top w:val="single" w:sz="1" w:space="0" w:color="000000"/>
              <w:left w:val="single" w:sz="1" w:space="0" w:color="000000"/>
              <w:bottom w:val="single" w:sz="1" w:space="0" w:color="000000"/>
              <w:right w:val="single" w:sz="1" w:space="0" w:color="000000"/>
            </w:tcBorders>
            <w:noWrap/>
          </w:tcPr>
          <w:p w14:paraId="15924A38" w14:textId="77777777" w:rsidR="004B2808" w:rsidRDefault="00000000">
            <w:pPr>
              <w:jc w:val="center"/>
            </w:pPr>
            <w:r>
              <w:t>650</w:t>
            </w:r>
          </w:p>
        </w:tc>
        <w:tc>
          <w:tcPr>
            <w:tcW w:w="2250" w:type="dxa"/>
            <w:tcBorders>
              <w:top w:val="single" w:sz="1" w:space="0" w:color="000000"/>
              <w:left w:val="single" w:sz="1" w:space="0" w:color="000000"/>
              <w:bottom w:val="single" w:sz="1" w:space="0" w:color="000000"/>
              <w:right w:val="single" w:sz="1" w:space="0" w:color="000000"/>
            </w:tcBorders>
            <w:noWrap/>
          </w:tcPr>
          <w:p w14:paraId="2835FD0B" w14:textId="77777777" w:rsidR="004B2808" w:rsidRDefault="00000000">
            <w:pPr>
              <w:jc w:val="center"/>
            </w:pPr>
            <w:r>
              <w:t>11</w:t>
            </w:r>
          </w:p>
        </w:tc>
        <w:tc>
          <w:tcPr>
            <w:tcW w:w="2250" w:type="dxa"/>
            <w:tcBorders>
              <w:top w:val="single" w:sz="1" w:space="0" w:color="000000"/>
              <w:left w:val="single" w:sz="1" w:space="0" w:color="000000"/>
              <w:bottom w:val="single" w:sz="1" w:space="0" w:color="000000"/>
              <w:right w:val="single" w:sz="1" w:space="0" w:color="000000"/>
            </w:tcBorders>
            <w:noWrap/>
          </w:tcPr>
          <w:p w14:paraId="3A395967" w14:textId="77777777" w:rsidR="004B2808" w:rsidRDefault="00000000">
            <w:pPr>
              <w:jc w:val="center"/>
            </w:pPr>
            <w:r>
              <w:t>II</w:t>
            </w:r>
          </w:p>
        </w:tc>
      </w:tr>
      <w:tr w:rsidR="004B2808" w14:paraId="02B3B166" w14:textId="77777777">
        <w:tc>
          <w:tcPr>
            <w:tcW w:w="2250" w:type="dxa"/>
            <w:tcBorders>
              <w:top w:val="single" w:sz="1" w:space="0" w:color="000000"/>
              <w:left w:val="single" w:sz="1" w:space="0" w:color="000000"/>
              <w:bottom w:val="single" w:sz="1" w:space="0" w:color="000000"/>
              <w:right w:val="single" w:sz="1" w:space="0" w:color="000000"/>
            </w:tcBorders>
            <w:noWrap/>
          </w:tcPr>
          <w:p w14:paraId="184EA56C" w14:textId="77777777" w:rsidR="004B2808" w:rsidRDefault="00000000">
            <w:pPr>
              <w:jc w:val="center"/>
            </w:pPr>
            <w:r>
              <w:rPr>
                <w:b/>
                <w:color w:val="FF0000"/>
              </w:rPr>
              <w:t>Brun</w:t>
            </w:r>
          </w:p>
        </w:tc>
        <w:tc>
          <w:tcPr>
            <w:tcW w:w="6750" w:type="dxa"/>
            <w:gridSpan w:val="3"/>
            <w:tcBorders>
              <w:top w:val="single" w:sz="1" w:space="0" w:color="000000"/>
              <w:left w:val="single" w:sz="1" w:space="0" w:color="000000"/>
              <w:bottom w:val="single" w:sz="1" w:space="0" w:color="000000"/>
              <w:right w:val="single" w:sz="1" w:space="0" w:color="000000"/>
            </w:tcBorders>
            <w:noWrap/>
          </w:tcPr>
          <w:p w14:paraId="1C2CEE03" w14:textId="77777777" w:rsidR="004B2808" w:rsidRDefault="00000000">
            <w:pPr>
              <w:jc w:val="center"/>
            </w:pPr>
            <w:r>
              <w:t> </w:t>
            </w:r>
          </w:p>
        </w:tc>
      </w:tr>
      <w:tr w:rsidR="004B2808" w14:paraId="5DACE789" w14:textId="77777777">
        <w:tc>
          <w:tcPr>
            <w:tcW w:w="2250" w:type="dxa"/>
            <w:tcBorders>
              <w:top w:val="single" w:sz="1" w:space="0" w:color="000000"/>
              <w:left w:val="single" w:sz="1" w:space="0" w:color="000000"/>
              <w:bottom w:val="single" w:sz="1" w:space="0" w:color="000000"/>
              <w:right w:val="single" w:sz="1" w:space="0" w:color="000000"/>
            </w:tcBorders>
            <w:noWrap/>
          </w:tcPr>
          <w:p w14:paraId="42A95465" w14:textId="77777777" w:rsidR="004B2808" w:rsidRDefault="00000000">
            <w:pPr>
              <w:jc w:val="center"/>
            </w:pPr>
            <w:r>
              <w:t>Iroko / Kambala     </w:t>
            </w:r>
          </w:p>
        </w:tc>
        <w:tc>
          <w:tcPr>
            <w:tcW w:w="2250" w:type="dxa"/>
            <w:tcBorders>
              <w:top w:val="single" w:sz="1" w:space="0" w:color="000000"/>
              <w:left w:val="single" w:sz="1" w:space="0" w:color="000000"/>
              <w:bottom w:val="single" w:sz="1" w:space="0" w:color="000000"/>
              <w:right w:val="single" w:sz="1" w:space="0" w:color="000000"/>
            </w:tcBorders>
            <w:noWrap/>
          </w:tcPr>
          <w:p w14:paraId="75178553" w14:textId="77777777" w:rsidR="004B2808" w:rsidRDefault="00000000">
            <w:pPr>
              <w:jc w:val="center"/>
            </w:pPr>
            <w:r>
              <w:t>650</w:t>
            </w:r>
          </w:p>
        </w:tc>
        <w:tc>
          <w:tcPr>
            <w:tcW w:w="2250" w:type="dxa"/>
            <w:tcBorders>
              <w:top w:val="single" w:sz="1" w:space="0" w:color="000000"/>
              <w:left w:val="single" w:sz="1" w:space="0" w:color="000000"/>
              <w:bottom w:val="single" w:sz="1" w:space="0" w:color="000000"/>
              <w:right w:val="single" w:sz="1" w:space="0" w:color="000000"/>
            </w:tcBorders>
            <w:noWrap/>
          </w:tcPr>
          <w:p w14:paraId="2262C1CE" w14:textId="77777777" w:rsidR="004B2808" w:rsidRDefault="00000000">
            <w:pPr>
              <w:jc w:val="center"/>
            </w:pPr>
            <w:r>
              <w:t>11</w:t>
            </w:r>
          </w:p>
        </w:tc>
        <w:tc>
          <w:tcPr>
            <w:tcW w:w="2250" w:type="dxa"/>
            <w:tcBorders>
              <w:top w:val="single" w:sz="1" w:space="0" w:color="000000"/>
              <w:left w:val="single" w:sz="1" w:space="0" w:color="000000"/>
              <w:bottom w:val="single" w:sz="1" w:space="0" w:color="000000"/>
              <w:right w:val="single" w:sz="1" w:space="0" w:color="000000"/>
            </w:tcBorders>
            <w:noWrap/>
          </w:tcPr>
          <w:p w14:paraId="41B1D108" w14:textId="77777777" w:rsidR="004B2808" w:rsidRDefault="00000000">
            <w:pPr>
              <w:jc w:val="center"/>
            </w:pPr>
            <w:r>
              <w:t>I / II</w:t>
            </w:r>
          </w:p>
        </w:tc>
      </w:tr>
      <w:tr w:rsidR="004B2808" w14:paraId="23AACC83" w14:textId="77777777">
        <w:tc>
          <w:tcPr>
            <w:tcW w:w="2250" w:type="dxa"/>
            <w:tcBorders>
              <w:top w:val="single" w:sz="1" w:space="0" w:color="000000"/>
              <w:left w:val="single" w:sz="1" w:space="0" w:color="000000"/>
              <w:bottom w:val="single" w:sz="1" w:space="0" w:color="000000"/>
              <w:right w:val="single" w:sz="1" w:space="0" w:color="000000"/>
            </w:tcBorders>
            <w:noWrap/>
          </w:tcPr>
          <w:p w14:paraId="4D3B657C" w14:textId="77777777" w:rsidR="004B2808" w:rsidRDefault="00000000">
            <w:pPr>
              <w:jc w:val="center"/>
            </w:pPr>
            <w:r>
              <w:t>Merbau</w:t>
            </w:r>
          </w:p>
        </w:tc>
        <w:tc>
          <w:tcPr>
            <w:tcW w:w="2250" w:type="dxa"/>
            <w:tcBorders>
              <w:top w:val="single" w:sz="1" w:space="0" w:color="000000"/>
              <w:left w:val="single" w:sz="1" w:space="0" w:color="000000"/>
              <w:bottom w:val="single" w:sz="1" w:space="0" w:color="000000"/>
              <w:right w:val="single" w:sz="1" w:space="0" w:color="000000"/>
            </w:tcBorders>
            <w:noWrap/>
          </w:tcPr>
          <w:p w14:paraId="7AB12367" w14:textId="77777777" w:rsidR="004B2808" w:rsidRDefault="00000000">
            <w:pPr>
              <w:jc w:val="center"/>
            </w:pPr>
            <w:r>
              <w:t>800</w:t>
            </w:r>
          </w:p>
        </w:tc>
        <w:tc>
          <w:tcPr>
            <w:tcW w:w="2250" w:type="dxa"/>
            <w:tcBorders>
              <w:top w:val="single" w:sz="1" w:space="0" w:color="000000"/>
              <w:left w:val="single" w:sz="1" w:space="0" w:color="000000"/>
              <w:bottom w:val="single" w:sz="1" w:space="0" w:color="000000"/>
              <w:right w:val="single" w:sz="1" w:space="0" w:color="000000"/>
            </w:tcBorders>
            <w:noWrap/>
          </w:tcPr>
          <w:p w14:paraId="78A8330E" w14:textId="77777777" w:rsidR="004B2808" w:rsidRDefault="00000000">
            <w:pPr>
              <w:jc w:val="center"/>
            </w:pPr>
            <w:r>
              <w:t>17</w:t>
            </w:r>
          </w:p>
        </w:tc>
        <w:tc>
          <w:tcPr>
            <w:tcW w:w="2250" w:type="dxa"/>
            <w:tcBorders>
              <w:top w:val="single" w:sz="1" w:space="0" w:color="000000"/>
              <w:left w:val="single" w:sz="1" w:space="0" w:color="000000"/>
              <w:bottom w:val="single" w:sz="1" w:space="0" w:color="000000"/>
              <w:right w:val="single" w:sz="1" w:space="0" w:color="000000"/>
            </w:tcBorders>
            <w:noWrap/>
          </w:tcPr>
          <w:p w14:paraId="67BB9E0A" w14:textId="77777777" w:rsidR="004B2808" w:rsidRDefault="00000000">
            <w:pPr>
              <w:jc w:val="center"/>
            </w:pPr>
            <w:r>
              <w:t>I / II</w:t>
            </w:r>
          </w:p>
        </w:tc>
      </w:tr>
      <w:tr w:rsidR="004B2808" w14:paraId="59CB8DBE" w14:textId="77777777">
        <w:tc>
          <w:tcPr>
            <w:tcW w:w="2250" w:type="dxa"/>
            <w:tcBorders>
              <w:top w:val="single" w:sz="1" w:space="0" w:color="000000"/>
              <w:left w:val="single" w:sz="1" w:space="0" w:color="000000"/>
              <w:bottom w:val="single" w:sz="1" w:space="0" w:color="000000"/>
              <w:right w:val="single" w:sz="1" w:space="0" w:color="000000"/>
            </w:tcBorders>
            <w:noWrap/>
          </w:tcPr>
          <w:p w14:paraId="6A748020" w14:textId="77777777" w:rsidR="004B2808" w:rsidRDefault="00000000">
            <w:pPr>
              <w:jc w:val="center"/>
            </w:pPr>
            <w:r>
              <w:t>Padouk</w:t>
            </w:r>
          </w:p>
        </w:tc>
        <w:tc>
          <w:tcPr>
            <w:tcW w:w="2250" w:type="dxa"/>
            <w:tcBorders>
              <w:top w:val="single" w:sz="1" w:space="0" w:color="000000"/>
              <w:left w:val="single" w:sz="1" w:space="0" w:color="000000"/>
              <w:bottom w:val="single" w:sz="1" w:space="0" w:color="000000"/>
              <w:right w:val="single" w:sz="1" w:space="0" w:color="000000"/>
            </w:tcBorders>
            <w:noWrap/>
          </w:tcPr>
          <w:p w14:paraId="126430DB" w14:textId="77777777" w:rsidR="004B2808" w:rsidRDefault="00000000">
            <w:pPr>
              <w:jc w:val="center"/>
            </w:pPr>
            <w:r>
              <w:t>650</w:t>
            </w:r>
          </w:p>
        </w:tc>
        <w:tc>
          <w:tcPr>
            <w:tcW w:w="2250" w:type="dxa"/>
            <w:tcBorders>
              <w:top w:val="single" w:sz="1" w:space="0" w:color="000000"/>
              <w:left w:val="single" w:sz="1" w:space="0" w:color="000000"/>
              <w:bottom w:val="single" w:sz="1" w:space="0" w:color="000000"/>
              <w:right w:val="single" w:sz="1" w:space="0" w:color="000000"/>
            </w:tcBorders>
            <w:noWrap/>
          </w:tcPr>
          <w:p w14:paraId="28B3043F" w14:textId="77777777" w:rsidR="004B2808" w:rsidRDefault="00000000">
            <w:pPr>
              <w:jc w:val="center"/>
            </w:pPr>
            <w:r>
              <w:t>11</w:t>
            </w:r>
          </w:p>
        </w:tc>
        <w:tc>
          <w:tcPr>
            <w:tcW w:w="2250" w:type="dxa"/>
            <w:tcBorders>
              <w:top w:val="single" w:sz="1" w:space="0" w:color="000000"/>
              <w:left w:val="single" w:sz="1" w:space="0" w:color="000000"/>
              <w:bottom w:val="single" w:sz="1" w:space="0" w:color="000000"/>
              <w:right w:val="single" w:sz="1" w:space="0" w:color="000000"/>
            </w:tcBorders>
            <w:noWrap/>
          </w:tcPr>
          <w:p w14:paraId="76B6B1AF" w14:textId="77777777" w:rsidR="004B2808" w:rsidRDefault="00000000">
            <w:pPr>
              <w:jc w:val="center"/>
            </w:pPr>
            <w:r>
              <w:t>I</w:t>
            </w:r>
          </w:p>
        </w:tc>
      </w:tr>
      <w:tr w:rsidR="004B2808" w14:paraId="41B70151" w14:textId="77777777">
        <w:tc>
          <w:tcPr>
            <w:tcW w:w="2250" w:type="dxa"/>
            <w:tcBorders>
              <w:top w:val="single" w:sz="1" w:space="0" w:color="000000"/>
              <w:left w:val="single" w:sz="1" w:space="0" w:color="000000"/>
              <w:bottom w:val="single" w:sz="1" w:space="0" w:color="000000"/>
              <w:right w:val="single" w:sz="1" w:space="0" w:color="000000"/>
            </w:tcBorders>
            <w:noWrap/>
          </w:tcPr>
          <w:p w14:paraId="7109A5EF" w14:textId="77777777" w:rsidR="004B2808" w:rsidRDefault="00000000">
            <w:pPr>
              <w:jc w:val="center"/>
            </w:pPr>
            <w:r>
              <w:t>(liste non limitative)</w:t>
            </w:r>
          </w:p>
        </w:tc>
        <w:tc>
          <w:tcPr>
            <w:tcW w:w="2250" w:type="dxa"/>
            <w:tcBorders>
              <w:top w:val="single" w:sz="1" w:space="0" w:color="000000"/>
              <w:left w:val="single" w:sz="1" w:space="0" w:color="000000"/>
              <w:bottom w:val="single" w:sz="1" w:space="0" w:color="000000"/>
              <w:right w:val="single" w:sz="1" w:space="0" w:color="000000"/>
            </w:tcBorders>
            <w:noWrap/>
          </w:tcPr>
          <w:p w14:paraId="1A2FC1F4" w14:textId="77777777" w:rsidR="004B2808" w:rsidRDefault="00000000">
            <w:pPr>
              <w:jc w:val="center"/>
            </w:pPr>
            <w:r>
              <w:t>...</w:t>
            </w:r>
          </w:p>
        </w:tc>
        <w:tc>
          <w:tcPr>
            <w:tcW w:w="2250" w:type="dxa"/>
            <w:tcBorders>
              <w:top w:val="single" w:sz="1" w:space="0" w:color="000000"/>
              <w:left w:val="single" w:sz="1" w:space="0" w:color="000000"/>
              <w:bottom w:val="single" w:sz="1" w:space="0" w:color="000000"/>
              <w:right w:val="single" w:sz="1" w:space="0" w:color="000000"/>
            </w:tcBorders>
            <w:noWrap/>
          </w:tcPr>
          <w:p w14:paraId="3530787F" w14:textId="77777777" w:rsidR="004B2808" w:rsidRDefault="00000000">
            <w:pPr>
              <w:jc w:val="center"/>
            </w:pPr>
            <w:r>
              <w:t>...</w:t>
            </w:r>
          </w:p>
        </w:tc>
        <w:tc>
          <w:tcPr>
            <w:tcW w:w="2250" w:type="dxa"/>
            <w:tcBorders>
              <w:top w:val="single" w:sz="1" w:space="0" w:color="000000"/>
              <w:left w:val="single" w:sz="1" w:space="0" w:color="000000"/>
              <w:bottom w:val="single" w:sz="1" w:space="0" w:color="000000"/>
              <w:right w:val="single" w:sz="1" w:space="0" w:color="000000"/>
            </w:tcBorders>
            <w:noWrap/>
          </w:tcPr>
          <w:p w14:paraId="1F8B6539" w14:textId="77777777" w:rsidR="004B2808" w:rsidRDefault="00000000">
            <w:pPr>
              <w:jc w:val="center"/>
            </w:pPr>
            <w:r>
              <w:t>...</w:t>
            </w:r>
          </w:p>
        </w:tc>
      </w:tr>
    </w:tbl>
    <w:p w14:paraId="24BA5074" w14:textId="77777777" w:rsidR="004B2808" w:rsidRDefault="00000000">
      <w:r>
        <w:rPr>
          <w:i/>
        </w:rPr>
        <w:t>(source : tableau du Centre interfédéral d'information sur le bois) </w:t>
      </w:r>
      <w:r>
        <w:t> </w:t>
      </w:r>
    </w:p>
    <w:p w14:paraId="1AAD2552" w14:textId="77777777" w:rsidR="004B2808" w:rsidRDefault="00000000">
      <w:pPr>
        <w:pStyle w:val="heading"/>
      </w:pPr>
      <w:r>
        <w:t>Qualité du bois</w:t>
      </w:r>
    </w:p>
    <w:p w14:paraId="7F7D7096" w14:textId="77777777" w:rsidR="004B2808" w:rsidRDefault="00000000">
      <w:pPr>
        <w:pStyle w:val="Author-eListParagraph"/>
        <w:numPr>
          <w:ilvl w:val="0"/>
          <w:numId w:val="800"/>
        </w:numPr>
      </w:pPr>
      <w:r>
        <w:t>Le bois utilisé doit satisfaire aux [STS 04 série] et est de qualité de menuiserie selon les [STS 04.2].</w:t>
      </w:r>
    </w:p>
    <w:p w14:paraId="0A55145F" w14:textId="77777777" w:rsidR="004B2808" w:rsidRDefault="00000000">
      <w:pPr>
        <w:pStyle w:val="Author-eListParagraph"/>
        <w:numPr>
          <w:ilvl w:val="0"/>
          <w:numId w:val="800"/>
        </w:numPr>
      </w:pPr>
      <w:r>
        <w:t xml:space="preserve">L'humidité du cœur du bois à mettre en œuvre est de maximum </w:t>
      </w:r>
      <w:r>
        <w:rPr>
          <w:rStyle w:val="optioncarChar"/>
        </w:rPr>
        <w:t>18%</w:t>
      </w:r>
      <w:r>
        <w:t> (par défaut)</w:t>
      </w:r>
      <w:r>
        <w:rPr>
          <w:rStyle w:val="optioncarChar"/>
        </w:rPr>
        <w:t> / ***</w:t>
      </w:r>
      <w:r>
        <w:t> avec une tolérance de 3 % et en outre compatible avec la finition.</w:t>
      </w:r>
    </w:p>
    <w:p w14:paraId="7CFB26F2" w14:textId="77777777" w:rsidR="004B2808" w:rsidRDefault="00000000">
      <w:pPr>
        <w:pStyle w:val="Author-eListParagraph"/>
        <w:numPr>
          <w:ilvl w:val="0"/>
          <w:numId w:val="800"/>
        </w:numPr>
      </w:pPr>
      <w:r>
        <w:lastRenderedPageBreak/>
        <w:t>Le bois mis en œuvre est droit (inclinaison maximale 5 %) = l'inclinaison du fil du bois par rapport aux faces latérales est inférieure à 5 %.</w:t>
      </w:r>
    </w:p>
    <w:p w14:paraId="4A121916" w14:textId="77777777" w:rsidR="004B2808" w:rsidRDefault="00000000">
      <w:pPr>
        <w:pStyle w:val="Author-eListParagraph"/>
        <w:numPr>
          <w:ilvl w:val="0"/>
          <w:numId w:val="800"/>
        </w:numPr>
      </w:pPr>
      <w:r>
        <w:t>Le nombre des cercles annuels mesurés radialement sur une base de 40 mm est d'au moins 15.</w:t>
      </w:r>
    </w:p>
    <w:p w14:paraId="33592E8B" w14:textId="77777777" w:rsidR="004B2808" w:rsidRDefault="00000000">
      <w:pPr>
        <w:pStyle w:val="Author-eListParagraph"/>
        <w:numPr>
          <w:ilvl w:val="0"/>
          <w:numId w:val="800"/>
        </w:numPr>
      </w:pPr>
      <w:r>
        <w:t>Le bois est exempt d’aubier, de nœuds, d’entre-écorce, de fissures, de faux cœur accompagnés de pourriture, de double aubier, de bois de compression, de fractures d’abattage, de blessures, de piqûres, de trous de vers, de pourritures, d’échauffures, de bleuissement, de moelle et de flaches.</w:t>
      </w:r>
    </w:p>
    <w:p w14:paraId="7F5B6442" w14:textId="77777777" w:rsidR="004B2808" w:rsidRDefault="00000000">
      <w:pPr>
        <w:pStyle w:val="Author-eListParagraph"/>
        <w:numPr>
          <w:ilvl w:val="0"/>
          <w:numId w:val="800"/>
        </w:numPr>
      </w:pPr>
      <w:r>
        <w:t>Les bois qui présentent des creux et des fissures contenant des matières blanches, jaunes ou colorées qui apparaîtraient en surface après la mise en œuvre, doivent être refusés. La moelle n'est pas autorisée. Les nœuds incrustés sont autorisés, les nœuds non adhérents dont le diamètre est inférieur à 5 mm sont autorisés, à condition qu'ils se situent à au moins 5 mm du côté.</w:t>
      </w:r>
    </w:p>
    <w:p w14:paraId="7022290A" w14:textId="77777777" w:rsidR="004B2808" w:rsidRDefault="00000000">
      <w:pPr>
        <w:pStyle w:val="heading"/>
      </w:pPr>
      <w:r>
        <w:t>Protection du bois - finition  </w:t>
      </w:r>
    </w:p>
    <w:p w14:paraId="698D6894" w14:textId="77777777" w:rsidR="004B2808" w:rsidRDefault="00000000">
      <w:r>
        <w:t>(voir également tome 8, section 81 Travaux de peinture et de traitement intérieurs).</w:t>
      </w:r>
    </w:p>
    <w:p w14:paraId="70F1F105" w14:textId="77777777" w:rsidR="004B2808" w:rsidRDefault="00000000">
      <w:r>
        <w:t>Avant la pose, toute la menuiserie intérieure doit être dégraissée au thinner de cellulose. Un traitement de préservation de type C n'est nécessaire que si classe d'usage 2 et supérieure selon la [NBN EN 335].  Ce traitement de préservation répond aux critères d'occupabilité tels que définis dans le chapitre 02.42.1 Critères d'acceptabilité et doit être compatible avec la finition prévue.  </w:t>
      </w:r>
    </w:p>
    <w:p w14:paraId="0CB8454E" w14:textId="77777777" w:rsidR="004B2808" w:rsidRDefault="00000000">
      <w:r>
        <w:t xml:space="preserve">Pour un système de préservation et de finition complet, la menuiserie est traitée comme suit : </w:t>
      </w:r>
      <w:r>
        <w:rPr>
          <w:rStyle w:val="optioncarChar"/>
        </w:rPr>
        <w:t>un système de protection incolore / produits de peinture non filmogènes (lasures)</w:t>
      </w:r>
      <w:r>
        <w:t>.</w:t>
      </w:r>
    </w:p>
    <w:p w14:paraId="144777D0" w14:textId="77777777" w:rsidR="004B2808" w:rsidRDefault="00000000">
      <w:r>
        <w:rPr>
          <w:b/>
        </w:rPr>
        <w:t>***OPTION 1</w:t>
      </w:r>
      <w:r>
        <w:t xml:space="preserve"> : </w:t>
      </w:r>
      <w:r>
        <w:rPr>
          <w:u w:val="single"/>
        </w:rPr>
        <w:t>un système de protection incolore</w:t>
      </w:r>
      <w:r>
        <w:t>, selon le procédé C2, selon les [STS 04 série] .33.2. Le procédé a obtenu l'agrément technique. Le produit se compose d'un vernis à bois régulateur d'humidité avec un pourcentage élevé de résine alkyde et d'agents antibactériens, disponible en différentes couleurs. Le produit n’est pas toxique et peut être utilisé indifféremment à l'intérieur et à l'extérieur, sur des essences de bois douces, dures et tropicales. Le produit doit être résistant aux rayons UV. On prévoit au moins 3 couches : la première couche de protection est appliquée dans la station d'imprégnation ou en atelier, la deuxième couche après la pose par l'entrepreneur et la troisième, le cas échéant, par le maître de l'ouvrage (dans le cas d'habitations en propriété). L'entrepreneur donne au maître de l'ouvrage tous les conseils nécessaires pour l'application de cette troisième couche.</w:t>
      </w:r>
    </w:p>
    <w:p w14:paraId="14CC1C10" w14:textId="77777777" w:rsidR="004B2808" w:rsidRDefault="00000000">
      <w:r>
        <w:rPr>
          <w:b/>
        </w:rPr>
        <w:t>***OPTION 2</w:t>
      </w:r>
      <w:r>
        <w:t xml:space="preserve"> : </w:t>
      </w:r>
      <w:r>
        <w:rPr>
          <w:u w:val="single"/>
        </w:rPr>
        <w:t>produits de peinture non filmogènes (lasures)</w:t>
      </w:r>
      <w:r>
        <w:t>, conformément aux dispositions générales de finition du titre 81.2 Peintures intérieures sur subjectiles en bois et dérivés du bois (feuillus, résineux, bois exotiques, panneaux) et suivants, et aux prescriptions de la [NIT 249].  Après le prétraitement selon les caractéristiques du bois, dégraissage, ponçage et époussetage du bois, une couche de fond, un rebouchage et une couche de finition sont appliqués, le tout en usine.  Ce produit doit s'imprégner profondément dans le bois, sans toutefois former un film fermé; le produit laisse passer la vapeur d'eau, il est résistant aux intempéries et répulsif à l'eau. Il protège le bois contre le vieillissement, ne vieillit pas lui-même et contient des pigments qui préviennent la décomposition du film d'imprégnation par les rayons UV. Le produit doit être utilisé pour ce genre d'application depuis plus de 10 ans, en Belgique et à l'étranger. La couleur est déterminée par l'auteur de projet après la soumission des échantillons de couleur sur l'essence de bois utilisée. Après et pendant la mise en œuvre, les ouvrages sont restaurés si nécessaire.</w:t>
      </w:r>
    </w:p>
    <w:p w14:paraId="755D5FCF" w14:textId="77777777" w:rsidR="004B2808" w:rsidRDefault="00000000">
      <w:r>
        <w:t> </w:t>
      </w:r>
    </w:p>
    <w:p w14:paraId="1A318BC7" w14:textId="77777777" w:rsidR="004B2808" w:rsidRDefault="00000000">
      <w:pPr>
        <w:pStyle w:val="heading"/>
      </w:pPr>
      <w:r>
        <w:t>Spécifications</w:t>
      </w:r>
    </w:p>
    <w:p w14:paraId="79CC0344" w14:textId="77777777" w:rsidR="004B2808" w:rsidRDefault="00000000">
      <w:r>
        <w:t>Traitement de finition (voir titre </w:t>
      </w:r>
      <w:hyperlink w:anchor="1150" w:history="1">
        <w:r w:rsidR="004B2808">
          <w:rPr>
            <w:color w:val="0000EE"/>
          </w:rPr>
          <w:t>51.2 Cloisons fixes légères de doublage (et lambris)</w:t>
        </w:r>
      </w:hyperlink>
      <w:r>
        <w:t>).</w:t>
      </w:r>
    </w:p>
    <w:p w14:paraId="22A64DD4" w14:textId="77777777" w:rsidR="004B2808" w:rsidRDefault="00000000">
      <w:r>
        <w:t> </w:t>
      </w:r>
    </w:p>
    <w:p w14:paraId="610476E2" w14:textId="77777777" w:rsidR="004B2808" w:rsidRDefault="00000000">
      <w:pPr>
        <w:pStyle w:val="heading"/>
      </w:pPr>
      <w:r>
        <w:t>Forme et dimensions des profils</w:t>
      </w:r>
    </w:p>
    <w:p w14:paraId="0351B723" w14:textId="77777777" w:rsidR="004B2808" w:rsidRDefault="00000000">
      <w:r>
        <w:t>Les dimensions nominales des pièces mises en œuvre sont exprimées en mm (sans décimales).</w:t>
      </w:r>
    </w:p>
    <w:p w14:paraId="70EB76EE" w14:textId="77777777" w:rsidR="004B2808" w:rsidRDefault="00000000">
      <w:pPr>
        <w:ind w:left="675"/>
      </w:pPr>
      <w:r>
        <w:t xml:space="preserve">? Hauteur du profil : </w:t>
      </w:r>
      <w:r>
        <w:rPr>
          <w:rStyle w:val="optioncarChar"/>
        </w:rPr>
        <w:t>***</w:t>
      </w:r>
      <w:r>
        <w:t xml:space="preserve"> mm.</w:t>
      </w:r>
    </w:p>
    <w:p w14:paraId="143E71AA" w14:textId="77777777" w:rsidR="004B2808" w:rsidRDefault="00000000">
      <w:pPr>
        <w:ind w:left="675"/>
      </w:pPr>
      <w:r>
        <w:lastRenderedPageBreak/>
        <w:t xml:space="preserve">? Profondeur du profil : </w:t>
      </w:r>
      <w:r>
        <w:rPr>
          <w:rStyle w:val="optioncarChar"/>
        </w:rPr>
        <w:t>***</w:t>
      </w:r>
      <w:r>
        <w:t xml:space="preserve"> mm.</w:t>
      </w:r>
    </w:p>
    <w:p w14:paraId="3A9B5236" w14:textId="77777777" w:rsidR="004B2808" w:rsidRDefault="00000000">
      <w:r>
        <w:t>Les dimensions rabotées du bois sont d'au moins  </w:t>
      </w:r>
      <w:r>
        <w:rPr>
          <w:rStyle w:val="optioncarChar"/>
        </w:rPr>
        <w:t>40 x 60</w:t>
      </w:r>
      <w:r>
        <w:t> (par défaut)</w:t>
      </w:r>
      <w:r>
        <w:rPr>
          <w:rStyle w:val="optioncarChar"/>
        </w:rPr>
        <w:t xml:space="preserve"> / ***</w:t>
      </w:r>
      <w:r>
        <w:t xml:space="preserve"> mm et tiennent compte des performances exigées, des notes de calculs, de la composition des parties fixes et mobiles, de la quincaillerie ainsi que de l'épaisseur des vitrages et des panneautages.</w:t>
      </w:r>
    </w:p>
    <w:p w14:paraId="73ADB815" w14:textId="77777777" w:rsidR="004B2808" w:rsidRDefault="00000000">
      <w:r>
        <w:t>De plus fortes sections de bois sont utilisées pour :</w:t>
      </w:r>
    </w:p>
    <w:p w14:paraId="6A7BEEFE" w14:textId="77777777" w:rsidR="004B2808" w:rsidRDefault="00000000">
      <w:pPr>
        <w:pStyle w:val="Author-eListParagraph"/>
        <w:numPr>
          <w:ilvl w:val="0"/>
          <w:numId w:val="801"/>
        </w:numPr>
      </w:pPr>
      <w:r>
        <w:t xml:space="preserve">les cadres de vantaux : </w:t>
      </w:r>
      <w:r>
        <w:rPr>
          <w:rStyle w:val="optioncarChar"/>
        </w:rPr>
        <w:t>60 x 150</w:t>
      </w:r>
      <w:r>
        <w:t> (par défaut)</w:t>
      </w:r>
      <w:r>
        <w:rPr>
          <w:rStyle w:val="optioncarChar"/>
        </w:rPr>
        <w:t> / ***</w:t>
      </w:r>
      <w:r>
        <w:t>  mm.</w:t>
      </w:r>
    </w:p>
    <w:p w14:paraId="2F8C7FBC" w14:textId="77777777" w:rsidR="004B2808" w:rsidRDefault="00000000">
      <w:pPr>
        <w:pStyle w:val="Author-eListParagraph"/>
        <w:numPr>
          <w:ilvl w:val="0"/>
          <w:numId w:val="801"/>
        </w:numPr>
      </w:pPr>
      <w:r>
        <w:t xml:space="preserve">les traverses inférieures : </w:t>
      </w:r>
      <w:r>
        <w:rPr>
          <w:rStyle w:val="optioncarChar"/>
        </w:rPr>
        <w:t xml:space="preserve">*** </w:t>
      </w:r>
      <w:r>
        <w:t xml:space="preserve">x </w:t>
      </w:r>
      <w:r>
        <w:rPr>
          <w:rStyle w:val="optioncarChar"/>
        </w:rPr>
        <w:t>***</w:t>
      </w:r>
      <w:r>
        <w:t xml:space="preserve"> mm</w:t>
      </w:r>
    </w:p>
    <w:p w14:paraId="3C0D13A2" w14:textId="77777777" w:rsidR="004B2808" w:rsidRDefault="00000000">
      <w:pPr>
        <w:pStyle w:val="Author-eListParagraph"/>
        <w:numPr>
          <w:ilvl w:val="0"/>
          <w:numId w:val="801"/>
        </w:numPr>
      </w:pPr>
      <w:r>
        <w:t xml:space="preserve">les châssis de fenêtres à pose affleurante : </w:t>
      </w:r>
      <w:r>
        <w:rPr>
          <w:rStyle w:val="optioncarChar"/>
        </w:rPr>
        <w:t xml:space="preserve">*** </w:t>
      </w:r>
      <w:r>
        <w:t>x</w:t>
      </w:r>
      <w:r>
        <w:rPr>
          <w:rStyle w:val="optioncarChar"/>
        </w:rPr>
        <w:t xml:space="preserve"> ***</w:t>
      </w:r>
      <w:r>
        <w:t xml:space="preserve"> mm</w:t>
      </w:r>
    </w:p>
    <w:p w14:paraId="5CB6FA80" w14:textId="77777777" w:rsidR="004B2808" w:rsidRDefault="00000000">
      <w:pPr>
        <w:pStyle w:val="Author-eListParagraph"/>
        <w:numPr>
          <w:ilvl w:val="0"/>
          <w:numId w:val="801"/>
        </w:numPr>
      </w:pPr>
      <w:r>
        <w:t xml:space="preserve">les fenêtres coulissantes : </w:t>
      </w:r>
      <w:r>
        <w:rPr>
          <w:rStyle w:val="optioncarChar"/>
        </w:rPr>
        <w:t xml:space="preserve">*** </w:t>
      </w:r>
      <w:r>
        <w:t xml:space="preserve">x </w:t>
      </w:r>
      <w:r>
        <w:rPr>
          <w:rStyle w:val="optioncarChar"/>
        </w:rPr>
        <w:t>***</w:t>
      </w:r>
      <w:r>
        <w:t xml:space="preserve"> mm</w:t>
      </w:r>
    </w:p>
    <w:p w14:paraId="72B4F9BB" w14:textId="77777777" w:rsidR="004B2808" w:rsidRDefault="00000000">
      <w:r>
        <w:t>Le profilage est tel que :</w:t>
      </w:r>
      <w:r>
        <w:rPr>
          <w:b/>
          <w:color w:val="969696"/>
        </w:rPr>
        <w:t xml:space="preserve"> (voir également section 41 Menuiseries extérieures</w:t>
      </w:r>
      <w:r>
        <w:t>)</w:t>
      </w:r>
    </w:p>
    <w:p w14:paraId="23DD7718" w14:textId="77777777" w:rsidR="004B2808" w:rsidRDefault="00000000">
      <w:pPr>
        <w:pStyle w:val="Author-eListParagraph"/>
        <w:numPr>
          <w:ilvl w:val="0"/>
          <w:numId w:val="802"/>
        </w:numPr>
      </w:pPr>
      <w:r>
        <w:t>la feuillure du vitrage soit ventilée et pourvue d’un écoulement dans le cas de double vitrage selon la [NIT 221] .</w:t>
      </w:r>
    </w:p>
    <w:p w14:paraId="022E8673" w14:textId="77777777" w:rsidR="004B2808" w:rsidRDefault="00000000">
      <w:pPr>
        <w:pStyle w:val="Author-eListParagraph"/>
        <w:numPr>
          <w:ilvl w:val="0"/>
          <w:numId w:val="802"/>
        </w:numPr>
      </w:pPr>
      <w:r>
        <w:t>des gouttières de condensation avec évacuation soient prévues dans le cas de vitrages simples ;</w:t>
      </w:r>
    </w:p>
    <w:p w14:paraId="4DE89C21" w14:textId="77777777" w:rsidR="004B2808" w:rsidRDefault="00000000">
      <w:pPr>
        <w:pStyle w:val="Author-eListParagraph"/>
        <w:numPr>
          <w:ilvl w:val="0"/>
          <w:numId w:val="802"/>
        </w:numPr>
      </w:pPr>
      <w:r>
        <w:t xml:space="preserve">les profils pour les châssis coulissants soient fabriqués dans du bois scié sur </w:t>
      </w:r>
      <w:r>
        <w:rPr>
          <w:rStyle w:val="optioncarChar"/>
        </w:rPr>
        <w:t>quartier</w:t>
      </w:r>
      <w:r>
        <w:t> (par défaut)</w:t>
      </w:r>
      <w:r>
        <w:rPr>
          <w:rStyle w:val="optioncarChar"/>
        </w:rPr>
        <w:t xml:space="preserve"> / faux quartier / ***</w:t>
      </w:r>
      <w:r>
        <w:t>.</w:t>
      </w:r>
    </w:p>
    <w:p w14:paraId="6FBA7A3A" w14:textId="77777777" w:rsidR="004B2808" w:rsidRDefault="00000000">
      <w:pPr>
        <w:pStyle w:val="heading"/>
      </w:pPr>
      <w:r>
        <w:t>Assemblage des profils</w:t>
      </w:r>
    </w:p>
    <w:p w14:paraId="5FEFE48D" w14:textId="77777777" w:rsidR="004B2808" w:rsidRDefault="00000000">
      <w:r>
        <w:t>La menuiserie est exclusivement préparée en atelier. L'entrepreneur s'engage à assurer, de tout temps, dans son atelier une température comprise entre 18 et 20 degrés Celsius. Les assemblages de la menuiserie en bois sont conçus de la manière suivante :</w:t>
      </w:r>
    </w:p>
    <w:p w14:paraId="111FDB34" w14:textId="77777777" w:rsidR="004B2808" w:rsidRDefault="00000000">
      <w:pPr>
        <w:pStyle w:val="Author-eListParagraph"/>
        <w:numPr>
          <w:ilvl w:val="0"/>
          <w:numId w:val="803"/>
        </w:numPr>
      </w:pPr>
      <w:r>
        <w:t>Les assemblages des angles et des extrémités sont exécutés </w:t>
      </w:r>
      <w:r>
        <w:rPr>
          <w:rStyle w:val="optioncarChar"/>
        </w:rPr>
        <w:t>à doubles tenons</w:t>
      </w:r>
      <w:r>
        <w:t> (par défaut)</w:t>
      </w:r>
      <w:r>
        <w:rPr>
          <w:rStyle w:val="optioncarChar"/>
        </w:rPr>
        <w:t xml:space="preserve"> / par entures multiples </w:t>
      </w:r>
      <w:r>
        <w:t>et collés avec une colle synthétique hydrofuge (type 72-100).</w:t>
      </w:r>
    </w:p>
    <w:p w14:paraId="0E291589" w14:textId="77777777" w:rsidR="004B2808" w:rsidRDefault="00000000">
      <w:pPr>
        <w:pStyle w:val="Author-eListParagraph"/>
        <w:numPr>
          <w:ilvl w:val="0"/>
          <w:numId w:val="803"/>
        </w:numPr>
      </w:pPr>
      <w:r>
        <w:t>Toute la quincaillerie encastrée est </w:t>
      </w:r>
      <w:r>
        <w:rPr>
          <w:rStyle w:val="optioncarChar"/>
        </w:rPr>
        <w:t>galvanisée </w:t>
      </w:r>
      <w:r>
        <w:t>(par défaut)</w:t>
      </w:r>
      <w:r>
        <w:rPr>
          <w:rStyle w:val="optioncarChar"/>
        </w:rPr>
        <w:t xml:space="preserve"> / chromatée </w:t>
      </w:r>
      <w:r>
        <w:t>et tous les éléments intégrés dans le bois sont enduits d'une épaisse couche de graisse à roulement. Tous les moyens de fixation mécanique (clous, vis, etc.) sont en acier inoxydable.</w:t>
      </w:r>
    </w:p>
    <w:p w14:paraId="592BF2B9" w14:textId="77777777" w:rsidR="004B2808" w:rsidRDefault="00000000">
      <w:pPr>
        <w:pStyle w:val="Author-eListParagraph"/>
        <w:numPr>
          <w:ilvl w:val="0"/>
          <w:numId w:val="803"/>
        </w:numPr>
      </w:pPr>
      <w:r>
        <w:t>Après collage, les pièces de bois sont vissées l’une à l’autre par des vis en inox qui sont </w:t>
      </w:r>
      <w:r>
        <w:rPr>
          <w:rStyle w:val="optioncarChar"/>
        </w:rPr>
        <w:t>enfoncées </w:t>
      </w:r>
      <w:r>
        <w:t>(par défaut)</w:t>
      </w:r>
      <w:r>
        <w:rPr>
          <w:rStyle w:val="optioncarChar"/>
        </w:rPr>
        <w:t xml:space="preserve"> / rivées / ***</w:t>
      </w:r>
      <w:r>
        <w:t xml:space="preserve"> par des tenons en croix enfoncés en acier galvanisé; les trous ainsi pratiqués sont comblés par </w:t>
      </w:r>
      <w:r>
        <w:rPr>
          <w:rStyle w:val="optioncarChar"/>
        </w:rPr>
        <w:t>un mastic à bois malléable</w:t>
      </w:r>
      <w:r>
        <w:t> (par défaut)</w:t>
      </w:r>
      <w:r>
        <w:rPr>
          <w:rStyle w:val="optioncarChar"/>
        </w:rPr>
        <w:t> / des bouchons en bois étanches / ***</w:t>
      </w:r>
      <w:r>
        <w:t>.</w:t>
      </w:r>
    </w:p>
    <w:p w14:paraId="060B87C4" w14:textId="77777777" w:rsidR="004B2808" w:rsidRDefault="00000000">
      <w:pPr>
        <w:pStyle w:val="Author-eListParagraph"/>
        <w:numPr>
          <w:ilvl w:val="0"/>
          <w:numId w:val="803"/>
        </w:numPr>
      </w:pPr>
      <w:r>
        <w:t>Toutes les faces du bois sont rabotées, les faces destinées à rester apparentes sont traitées et poncées lisses jusqu'à ce que toutes les traces d'outillage et de traitement aient disparu.</w:t>
      </w:r>
    </w:p>
    <w:p w14:paraId="0364148B" w14:textId="77777777" w:rsidR="004B2808" w:rsidRDefault="00000000">
      <w:pPr>
        <w:pStyle w:val="Author-eListParagraph"/>
        <w:numPr>
          <w:ilvl w:val="0"/>
          <w:numId w:val="803"/>
        </w:numPr>
      </w:pPr>
      <w:r>
        <w:t>Les trous des clous de fixation des parcloses doivent être immédiatement rebouchés à l'aide d'un mastic à bois approprié; les vis apparentes, s'il y a lieu, sont placées avec un espacement régulier.</w:t>
      </w:r>
    </w:p>
    <w:p w14:paraId="3174BDA9" w14:textId="77777777" w:rsidR="004B2808" w:rsidRDefault="00000000">
      <w:pPr>
        <w:pStyle w:val="pheading"/>
      </w:pPr>
      <w:r>
        <w:t>AIDE</w:t>
      </w:r>
    </w:p>
    <w:p w14:paraId="669CD9D4" w14:textId="77777777" w:rsidR="004B2808" w:rsidRDefault="00000000">
      <w:r>
        <w:rPr>
          <w:i/>
          <w:u w:val="single"/>
        </w:rPr>
        <w:t>Note à l’attention de l’auteur de projet</w:t>
      </w:r>
    </w:p>
    <w:p w14:paraId="2A5D8743" w14:textId="77777777" w:rsidR="004B2808" w:rsidRDefault="00000000">
      <w:r>
        <w:t>Durée de vie moyenne (mesurée pour un pieu de 100 mm de bois de cœur en contact avec la terre):</w:t>
      </w:r>
    </w:p>
    <w:p w14:paraId="611AE8BC" w14:textId="77777777" w:rsidR="004B2808" w:rsidRDefault="00000000">
      <w:pPr>
        <w:pStyle w:val="Author-eListParagraph"/>
        <w:numPr>
          <w:ilvl w:val="0"/>
          <w:numId w:val="804"/>
        </w:numPr>
      </w:pPr>
      <w:r>
        <w:t>plus de 50 ans        -  Classe  I</w:t>
      </w:r>
    </w:p>
    <w:p w14:paraId="605F5481" w14:textId="77777777" w:rsidR="004B2808" w:rsidRDefault="00000000">
      <w:pPr>
        <w:pStyle w:val="Author-eListParagraph"/>
        <w:numPr>
          <w:ilvl w:val="0"/>
          <w:numId w:val="804"/>
        </w:numPr>
      </w:pPr>
      <w:r>
        <w:t>entre 30 et 50 ans   -  Classe  II</w:t>
      </w:r>
    </w:p>
    <w:p w14:paraId="4439BB65" w14:textId="77777777" w:rsidR="004B2808" w:rsidRDefault="00000000">
      <w:pPr>
        <w:pStyle w:val="Author-eListParagraph"/>
        <w:numPr>
          <w:ilvl w:val="0"/>
          <w:numId w:val="804"/>
        </w:numPr>
      </w:pPr>
      <w:r>
        <w:t>entre 20 et 30 ans   -  Classe  III</w:t>
      </w:r>
    </w:p>
    <w:p w14:paraId="75D6E60F" w14:textId="77777777" w:rsidR="004B2808" w:rsidRDefault="00000000">
      <w:pPr>
        <w:pStyle w:val="Author-eSectionHeading5Numberless"/>
      </w:pPr>
      <w:bookmarkStart w:id="1006" w:name="_Toc220491137"/>
      <w:r>
        <w:t>55.11.1 Fenêtres et portes-fenêtres intérieures en bois massif / lamellé-collé  CCTB 01.02</w:t>
      </w:r>
      <w:bookmarkEnd w:id="1006"/>
    </w:p>
    <w:p w14:paraId="5044BB85" w14:textId="77777777" w:rsidR="004B2808" w:rsidRDefault="00000000">
      <w:pPr>
        <w:pStyle w:val="Author-eSectionHeading6Numberless"/>
      </w:pPr>
      <w:bookmarkStart w:id="1007" w:name="_Toc220491138"/>
      <w:r>
        <w:t>55.11.1a Fenêtres et portes-fenêtres intérieures en bois massif CCTB 01.02</w:t>
      </w:r>
      <w:bookmarkEnd w:id="1007"/>
    </w:p>
    <w:p w14:paraId="77DAB0B5" w14:textId="77777777" w:rsidR="004B2808" w:rsidRDefault="00000000">
      <w:pPr>
        <w:pStyle w:val="Author-eSectionHeading6Numberless"/>
      </w:pPr>
      <w:bookmarkStart w:id="1008" w:name="_Toc220491139"/>
      <w:r>
        <w:t>55.11.1b Fenêtres et portes-fenêtres intérieures en bois lamellé-collé  CCTB 01.02</w:t>
      </w:r>
      <w:bookmarkEnd w:id="1008"/>
    </w:p>
    <w:p w14:paraId="1BBA1654" w14:textId="77777777" w:rsidR="004B2808" w:rsidRDefault="00000000">
      <w:pPr>
        <w:pStyle w:val="Author-eSectionHeading5Numberless"/>
      </w:pPr>
      <w:bookmarkStart w:id="1009" w:name="_Toc220491140"/>
      <w:r>
        <w:t>55.11.2 Fenêtres et portes-fenêtres intérieures en bois, massif / lamellé-collé, à composition mixte - profilé collaborant CCTB 01.02</w:t>
      </w:r>
      <w:bookmarkEnd w:id="1009"/>
    </w:p>
    <w:p w14:paraId="4CF750AF" w14:textId="77777777" w:rsidR="004B2808" w:rsidRDefault="00000000">
      <w:pPr>
        <w:pStyle w:val="Author-eSectionHeading6Numberless"/>
      </w:pPr>
      <w:bookmarkStart w:id="1010" w:name="_Toc220491141"/>
      <w:r>
        <w:lastRenderedPageBreak/>
        <w:t>55.11.2a Fenêtres et portes-fenêtres intérieures en bois massif + aluminium CCTB 01.02</w:t>
      </w:r>
      <w:bookmarkEnd w:id="1010"/>
    </w:p>
    <w:p w14:paraId="46DF1DF2" w14:textId="77777777" w:rsidR="004B2808" w:rsidRDefault="00000000">
      <w:pPr>
        <w:pStyle w:val="Author-eSectionHeading6Numberless"/>
      </w:pPr>
      <w:bookmarkStart w:id="1011" w:name="_Toc220491142"/>
      <w:r>
        <w:t>55.11.2b Fenêtres et portes-fenêtres intérieures en bois lamellé-collé + aluminium CCTB 01.02</w:t>
      </w:r>
      <w:bookmarkEnd w:id="1011"/>
    </w:p>
    <w:p w14:paraId="788C949E" w14:textId="77777777" w:rsidR="004B2808" w:rsidRDefault="00000000">
      <w:pPr>
        <w:pStyle w:val="pheading"/>
      </w:pPr>
      <w:r>
        <w:t>MESURAGE</w:t>
      </w:r>
    </w:p>
    <w:p w14:paraId="442E6B15" w14:textId="77777777" w:rsidR="004B2808" w:rsidRDefault="00000000">
      <w:pPr>
        <w:pStyle w:val="pheading"/>
      </w:pPr>
      <w:r>
        <w:t>- nature du marché:</w:t>
      </w:r>
    </w:p>
    <w:p w14:paraId="43CEDDDE" w14:textId="77777777" w:rsidR="004B2808" w:rsidRDefault="00000000">
      <w:r>
        <w:t>QF</w:t>
      </w:r>
    </w:p>
    <w:p w14:paraId="7222744C" w14:textId="77777777" w:rsidR="004B2808" w:rsidRDefault="00000000">
      <w:pPr>
        <w:pStyle w:val="Author-eSectionHeading5Numberless"/>
      </w:pPr>
      <w:bookmarkStart w:id="1012" w:name="_Toc220491143"/>
      <w:r>
        <w:t>55.11.3 Fenêtres et portes-fenêtres intérieures en bois, massif / lamellé-collé, à composition mixte - profilé de finition CCTB 01.02</w:t>
      </w:r>
      <w:bookmarkEnd w:id="1012"/>
    </w:p>
    <w:p w14:paraId="2ED481F8" w14:textId="77777777" w:rsidR="004B2808" w:rsidRDefault="00000000">
      <w:pPr>
        <w:pStyle w:val="Author-eSectionHeading6Numberless"/>
      </w:pPr>
      <w:bookmarkStart w:id="1013" w:name="_Toc220491144"/>
      <w:r>
        <w:t>55.11.3a Fenêtres et portes-fenêtres intérieures en bois massif + finition aluminium CCTB 01.02</w:t>
      </w:r>
      <w:bookmarkEnd w:id="1013"/>
    </w:p>
    <w:p w14:paraId="298AD266" w14:textId="77777777" w:rsidR="004B2808" w:rsidRDefault="00000000">
      <w:pPr>
        <w:pStyle w:val="Author-eSectionHeading6Numberless"/>
      </w:pPr>
      <w:bookmarkStart w:id="1014" w:name="_Toc220491145"/>
      <w:r>
        <w:t>55.11.3b Fenêtres et portes-fenêtres intérieures en bois lamellé-collé + finition aluminium CCTB 01.02</w:t>
      </w:r>
      <w:bookmarkEnd w:id="1014"/>
    </w:p>
    <w:p w14:paraId="4DB65B96" w14:textId="77777777" w:rsidR="004B2808" w:rsidRDefault="00000000">
      <w:pPr>
        <w:pStyle w:val="Author-eSectionHeading6Numberless"/>
      </w:pPr>
      <w:bookmarkStart w:id="1015" w:name="_Toc220491146"/>
      <w:r>
        <w:t>55.11.3c Fenêtres et portes-fenêtres intérieures en bois massif + finition inox CCTB 01.02</w:t>
      </w:r>
      <w:bookmarkEnd w:id="1015"/>
    </w:p>
    <w:p w14:paraId="67E45CBC" w14:textId="77777777" w:rsidR="004B2808" w:rsidRDefault="00000000">
      <w:pPr>
        <w:pStyle w:val="Author-eSectionHeading6Numberless"/>
      </w:pPr>
      <w:bookmarkStart w:id="1016" w:name="_Toc220491147"/>
      <w:r>
        <w:t>55.11.3d Fenêtres et portes-fenêtres intérieures en bois lamellé-collé + finition inox CCTB 01.02</w:t>
      </w:r>
      <w:bookmarkEnd w:id="1016"/>
    </w:p>
    <w:p w14:paraId="3EC690EF" w14:textId="77777777" w:rsidR="004B2808" w:rsidRDefault="00000000">
      <w:pPr>
        <w:pStyle w:val="Author-eSectionHeading6Numberless"/>
      </w:pPr>
      <w:bookmarkStart w:id="1017" w:name="_Toc220491148"/>
      <w:r>
        <w:t>55.11.3e Fenêtres et portes-fenêtres intérieures en bois + finition PVC CCTB 01.02</w:t>
      </w:r>
      <w:bookmarkEnd w:id="1017"/>
    </w:p>
    <w:p w14:paraId="62B2E53B" w14:textId="77777777" w:rsidR="004B2808" w:rsidRDefault="00000000">
      <w:pPr>
        <w:pStyle w:val="Author-eSectionHeading6Numberless"/>
      </w:pPr>
      <w:bookmarkStart w:id="1018" w:name="_Toc220491149"/>
      <w:r>
        <w:t>55.11.3f Fenêtres et portes-fenêtres intérieures en bois lamellé-collé + finition PVC CCTB 01.02</w:t>
      </w:r>
      <w:bookmarkEnd w:id="1018"/>
    </w:p>
    <w:p w14:paraId="0411026C" w14:textId="77777777" w:rsidR="004B2808" w:rsidRDefault="00000000">
      <w:pPr>
        <w:pStyle w:val="Author-eSectionHeading5Numberless"/>
      </w:pPr>
      <w:bookmarkStart w:id="1019" w:name="_Toc220491150"/>
      <w:r>
        <w:t>55.11.4 Fenêtres et portes-fenêtres intérieures en bois, massif / lamellé-collé, à composition mixte - isolation intégrée CCTB 01.02</w:t>
      </w:r>
      <w:bookmarkEnd w:id="1019"/>
    </w:p>
    <w:p w14:paraId="1B9691A0" w14:textId="77777777" w:rsidR="004B2808" w:rsidRDefault="00000000">
      <w:pPr>
        <w:pStyle w:val="Author-eSectionHeading6Numberless"/>
      </w:pPr>
      <w:bookmarkStart w:id="1020" w:name="_Toc220491151"/>
      <w:r>
        <w:t>55.11.4a Fenêtres et portes-fenêtres intérieures en bois massif + isolant + fenêtres et portes-fenêtres intérieures en bois massif CCTB 01.02</w:t>
      </w:r>
      <w:bookmarkEnd w:id="1020"/>
    </w:p>
    <w:p w14:paraId="7A5D56ED" w14:textId="77777777" w:rsidR="004B2808" w:rsidRDefault="00000000">
      <w:pPr>
        <w:pStyle w:val="Author-eSectionHeading6Numberless"/>
      </w:pPr>
      <w:bookmarkStart w:id="1021" w:name="_Toc220491152"/>
      <w:r>
        <w:t>55.11.4b Fenêtres et portes-fenêtres intérieures en bois lamellé-collé + isolant + fenêtres et portes-fenêtres intérieures en bois lamellé-collé CCTB 01.02</w:t>
      </w:r>
      <w:bookmarkEnd w:id="1021"/>
    </w:p>
    <w:p w14:paraId="69DCBDF4" w14:textId="77777777" w:rsidR="004B2808" w:rsidRDefault="00000000">
      <w:pPr>
        <w:pStyle w:val="Author-eSectionHeading6Numberless"/>
      </w:pPr>
      <w:bookmarkStart w:id="1022" w:name="_Toc220491153"/>
      <w:r>
        <w:t>55.11.4c Fenêtres et portes-fenêtres intérieures en bois massif + isolant + finition aluminium CCTB 01.02</w:t>
      </w:r>
      <w:bookmarkEnd w:id="1022"/>
    </w:p>
    <w:p w14:paraId="54701D38" w14:textId="77777777" w:rsidR="004B2808" w:rsidRDefault="00000000">
      <w:pPr>
        <w:pStyle w:val="Author-eSectionHeading6Numberless"/>
      </w:pPr>
      <w:bookmarkStart w:id="1023" w:name="_Toc220491154"/>
      <w:r>
        <w:t>55.11.4d Fenêtres et portes-fenêtres intérieures en bois lamellé-collé + isolant + finition aluminium CCTB 01.02</w:t>
      </w:r>
      <w:bookmarkEnd w:id="1023"/>
    </w:p>
    <w:p w14:paraId="6C1DD68A" w14:textId="77777777" w:rsidR="004B2808" w:rsidRDefault="00000000">
      <w:pPr>
        <w:pStyle w:val="Author-eSectionHeading6Numberless"/>
      </w:pPr>
      <w:bookmarkStart w:id="1024" w:name="_Toc220491155"/>
      <w:r>
        <w:t>55.11.4e Fenêtres et portes-fenêtres intérieures en bois massif + isolant + finition inox CCTB 01.02</w:t>
      </w:r>
      <w:bookmarkEnd w:id="1024"/>
    </w:p>
    <w:p w14:paraId="4FBC6D3C" w14:textId="77777777" w:rsidR="004B2808" w:rsidRDefault="00000000">
      <w:pPr>
        <w:pStyle w:val="Author-eSectionHeading6Numberless"/>
      </w:pPr>
      <w:bookmarkStart w:id="1025" w:name="_Toc220491156"/>
      <w:r>
        <w:t>55.11.4f Fenêtres et portes-fenêtres intérieures en bois lamellé-collé + isolant + finition inox CCTB 01.02</w:t>
      </w:r>
      <w:bookmarkEnd w:id="1025"/>
    </w:p>
    <w:p w14:paraId="0AB76F71" w14:textId="77777777" w:rsidR="004B2808" w:rsidRDefault="00000000">
      <w:pPr>
        <w:pStyle w:val="Author-eSectionHeading6Numberless"/>
      </w:pPr>
      <w:bookmarkStart w:id="1026" w:name="_Toc220491157"/>
      <w:r>
        <w:t>55.11.4g Fenêtres et portes-fenêtres intérieures en bois massif+ isolant + finition PVC CCTB 01.02</w:t>
      </w:r>
      <w:bookmarkEnd w:id="1026"/>
    </w:p>
    <w:p w14:paraId="3A3AF0F5" w14:textId="77777777" w:rsidR="004B2808" w:rsidRDefault="00000000">
      <w:pPr>
        <w:pStyle w:val="Author-eSectionHeading6Numberless"/>
      </w:pPr>
      <w:bookmarkStart w:id="1027" w:name="_Toc220491158"/>
      <w:r>
        <w:t>55.11.4h Fenêtres et portes-fenêtres intérieures en bois lamellé-collé+ isolant + finition PVC CCTB 01.02</w:t>
      </w:r>
      <w:bookmarkEnd w:id="1027"/>
    </w:p>
    <w:p w14:paraId="023AB59C" w14:textId="77777777" w:rsidR="004B2808" w:rsidRDefault="00000000">
      <w:pPr>
        <w:pStyle w:val="Author-eSectionHeading4Numberless"/>
      </w:pPr>
      <w:bookmarkStart w:id="1028" w:name="_Toc220491159"/>
      <w:r>
        <w:t>55.12 Fenêtres intérieures en aluminium CCTB 01.12</w:t>
      </w:r>
      <w:bookmarkEnd w:id="1028"/>
    </w:p>
    <w:p w14:paraId="2155C38B" w14:textId="77777777" w:rsidR="004B2808" w:rsidRDefault="00000000">
      <w:pPr>
        <w:pStyle w:val="pheading"/>
      </w:pPr>
      <w:r>
        <w:lastRenderedPageBreak/>
        <w:t>DESCRIPTION</w:t>
      </w:r>
    </w:p>
    <w:p w14:paraId="723B62DE" w14:textId="77777777" w:rsidR="004B2808" w:rsidRDefault="00000000">
      <w:pPr>
        <w:pStyle w:val="pheading"/>
      </w:pPr>
      <w:r>
        <w:t>- Définition / Comprend</w:t>
      </w:r>
    </w:p>
    <w:p w14:paraId="6B4CD868" w14:textId="77777777" w:rsidR="004B2808" w:rsidRDefault="00000000">
      <w:r>
        <w:t>Les portes et fenêtres intérieures sont considérées comme menuiserie en aluminium lorsque seul le matériau "aluminium" assure la résistance mécanique des éléments de construction. Les autres revêtements ne changent rien au fait que ces éléments appartiennent à la menuiserie en aluminium.</w:t>
      </w:r>
    </w:p>
    <w:p w14:paraId="7E16EE10" w14:textId="77777777" w:rsidR="004B2808" w:rsidRDefault="00000000">
      <w:pPr>
        <w:pStyle w:val="pheading"/>
      </w:pPr>
      <w:r>
        <w:t>MATÉRIAUX</w:t>
      </w:r>
    </w:p>
    <w:p w14:paraId="50B7C563" w14:textId="77777777" w:rsidR="004B2808" w:rsidRDefault="00000000">
      <w:r>
        <w:t>PROFILS</w:t>
      </w:r>
    </w:p>
    <w:p w14:paraId="351C3E42" w14:textId="77777777" w:rsidR="004B2808" w:rsidRDefault="00000000">
      <w:r>
        <w:t>Les profilés en aluminium sont des profilés à chambres étirés sous extrusion, sans joints soudés visibles extérieurement.</w:t>
      </w:r>
    </w:p>
    <w:p w14:paraId="178D34E8" w14:textId="77777777" w:rsidR="004B2808" w:rsidRDefault="00000000">
      <w:r>
        <w:t>L’alliage des profilés extrudés, des traverses, des montants, des montants intermédiaires et des lattes à vitrage est du type Al Mg Si 0,5 / 6060B conformément aux normes [NBN P 21-001], [NBN EN 486] et au Manuel de Qualité . De plus, l’alliage provient de la première fusion. La composition de cet alliage est la suivante :</w:t>
      </w:r>
    </w:p>
    <w:p w14:paraId="1F337456" w14:textId="77777777" w:rsidR="004B2808" w:rsidRDefault="00000000">
      <w:pPr>
        <w:pStyle w:val="Author-eListParagraph"/>
        <w:numPr>
          <w:ilvl w:val="0"/>
          <w:numId w:val="805"/>
        </w:numPr>
      </w:pPr>
      <w:r>
        <w:t>Zn : ≤ 0,15 %, Cu : ≤ 0,02 %, Pb : ≤ 0,0022, Si : ≤ 0,30- 0,55 %, Fe : ≤ 0,10 - 0,30 %, Mg : ≤ 0,35 - 0,6 %,</w:t>
      </w:r>
    </w:p>
    <w:p w14:paraId="1402C8BC" w14:textId="77777777" w:rsidR="004B2808" w:rsidRDefault="00000000">
      <w:pPr>
        <w:pStyle w:val="Author-eListParagraph"/>
        <w:numPr>
          <w:ilvl w:val="0"/>
          <w:numId w:val="805"/>
        </w:numPr>
      </w:pPr>
      <w:r>
        <w:t>Mn : ≤ 0,10 %, Cr : ≤ 0,05 %, Ti : ≤ 0,10 %, Al : solde, autres éléments séparément : ≤ 0,05 %, Autres éléments ensemble ≤ 0,15 %</w:t>
      </w:r>
    </w:p>
    <w:p w14:paraId="49DB7E55" w14:textId="77777777" w:rsidR="004B2808" w:rsidRDefault="00000000">
      <w:r>
        <w:t>La composition 6060B est plus sévère que les compositions 6060 et 6063 dans les domaines suivants :</w:t>
      </w:r>
    </w:p>
    <w:p w14:paraId="048A58E7" w14:textId="77777777" w:rsidR="004B2808" w:rsidRDefault="00000000">
      <w:pPr>
        <w:pStyle w:val="Author-eListParagraph"/>
        <w:numPr>
          <w:ilvl w:val="0"/>
          <w:numId w:val="806"/>
        </w:numPr>
      </w:pPr>
      <w:r>
        <w:t>Cu : 5 fois moins que dans les alliages 6060 et 6063</w:t>
      </w:r>
    </w:p>
    <w:p w14:paraId="4A81371C" w14:textId="77777777" w:rsidR="004B2808" w:rsidRDefault="00000000">
      <w:pPr>
        <w:pStyle w:val="Author-eListParagraph"/>
        <w:numPr>
          <w:ilvl w:val="0"/>
          <w:numId w:val="806"/>
        </w:numPr>
      </w:pPr>
      <w:r>
        <w:t>Cr : 2 fois moins que dans l’alliage 6063</w:t>
      </w:r>
    </w:p>
    <w:p w14:paraId="5A2C18EB" w14:textId="77777777" w:rsidR="004B2808" w:rsidRDefault="00000000">
      <w:r>
        <w:t>Les propriétés mécaniques et physiques minimales sont plus sévères dans les domaines suivants :</w:t>
      </w:r>
    </w:p>
    <w:p w14:paraId="68C4D0DA" w14:textId="77777777" w:rsidR="004B2808" w:rsidRDefault="00000000">
      <w:pPr>
        <w:pStyle w:val="Author-eListParagraph"/>
        <w:numPr>
          <w:ilvl w:val="0"/>
          <w:numId w:val="807"/>
        </w:numPr>
      </w:pPr>
      <w:r>
        <w:t>la tolérance sur l’épaisseur de paroi est de +/- 0,15 mm (au lieu de 0,2 mm)</w:t>
      </w:r>
    </w:p>
    <w:p w14:paraId="618D2119" w14:textId="77777777" w:rsidR="004B2808" w:rsidRDefault="00000000">
      <w:pPr>
        <w:pStyle w:val="Author-eListParagraph"/>
        <w:numPr>
          <w:ilvl w:val="0"/>
          <w:numId w:val="807"/>
        </w:numPr>
      </w:pPr>
      <w:r>
        <w:t>la tolérance sur les dimensions des profilés est de +/- 0,15 jusqu’à +/- 0,6 mm (au lieu de 1,1 mm) en fonction des dimensions</w:t>
      </w:r>
    </w:p>
    <w:p w14:paraId="7E3B971E" w14:textId="77777777" w:rsidR="004B2808" w:rsidRDefault="00000000">
      <w:r>
        <w:t>Seule la fonderie et l’extrusion en gestion propre du fournisseur de système est autorisée pour garantir en continu la qualité de l’alliage ci-dessus. Les attestations doivent être présentées sur demande.</w:t>
      </w:r>
    </w:p>
    <w:p w14:paraId="4F214E56" w14:textId="77777777" w:rsidR="004B2808" w:rsidRDefault="00000000">
      <w:r>
        <w:t>⇒ Epaisseur nominale de paroi des profilés porteurs : minimum 1,8 mm.</w:t>
      </w:r>
    </w:p>
    <w:p w14:paraId="4BC71D92" w14:textId="77777777" w:rsidR="004B2808" w:rsidRDefault="00000000">
      <w:r>
        <w:t>Si la menuiserie délimite un espace chauffé, tous les profils fixes et mobiles sont à rupture thermique et doivent satisfaire aux conditions suivantes :</w:t>
      </w:r>
    </w:p>
    <w:p w14:paraId="30C64C32" w14:textId="77777777" w:rsidR="004B2808" w:rsidRDefault="00000000">
      <w:r>
        <w:t>⇒ il ne peut y avoir aucun pont thermique entre le profil intérieur et le profil extérieur;</w:t>
      </w:r>
    </w:p>
    <w:p w14:paraId="4265F20E" w14:textId="77777777" w:rsidR="004B2808" w:rsidRDefault="00000000">
      <w:r>
        <w:t>⇒ il ne peut y avoir de déformations durables; la résistance du joint thermique est telle que les profils assemblés peuvent être considérés comme un ensemble résistant à un usage intensif.</w:t>
      </w:r>
    </w:p>
    <w:p w14:paraId="5C03DF65" w14:textId="77777777" w:rsidR="004B2808" w:rsidRDefault="00000000">
      <w:r>
        <w:t>⇒ les assemblages doivent pouvoir absorber les dilatations différentielles entre les profils intérieurs et extérieurs sans déformation durable ou déstabilisation du profil.</w:t>
      </w:r>
    </w:p>
    <w:p w14:paraId="1B9E1D81" w14:textId="77777777" w:rsidR="004B2808" w:rsidRDefault="00000000">
      <w:r>
        <w:t>L’assemblage de la coupure thermique avec les profilés aluminium est exclusivement réalisé par le fournisseur du système et jamais dans l’atelier du menuisier de l’aluminium.</w:t>
      </w:r>
    </w:p>
    <w:p w14:paraId="1BDEA25A" w14:textId="77777777" w:rsidR="004B2808" w:rsidRDefault="00000000">
      <w:r>
        <w:t>Les tôles d'aluminium sont fabriquées en Al Mg3 selon [NBN EN 771-3+A1]. Les éléments de fixation, la quincaillerie et les manchons d'assemblage sont tous en alliage d'aluminium du type Al Mg Si1, en alliages de première fusion.</w:t>
      </w:r>
    </w:p>
    <w:p w14:paraId="47070AEC" w14:textId="77777777" w:rsidR="004B2808" w:rsidRDefault="00000000">
      <w:r>
        <w:t>Forme, type et dimensions des profils</w:t>
      </w:r>
    </w:p>
    <w:p w14:paraId="743ACA5C" w14:textId="77777777" w:rsidR="004B2808" w:rsidRDefault="00000000">
      <w:r>
        <w:t>Toutes les pièces mobiles sont réalisées en profilés du type pourvu de 2 étanchéités.</w:t>
      </w:r>
    </w:p>
    <w:p w14:paraId="0E722855" w14:textId="77777777" w:rsidR="004B2808" w:rsidRDefault="00000000">
      <w:r>
        <w:t xml:space="preserve">Les côtés froid et chaud des profilés sont séparés par un joint d’étanchéité médian en matière synthétique souple. Cette étanchéité garantit l’étanchéité au vent et à l’eau de la fenêtre sur tout son périmètre. La frappe de l’étanchéité médiane des systèmes de profilés thermiques s’effectue toujours </w:t>
      </w:r>
      <w:r>
        <w:lastRenderedPageBreak/>
        <w:t>sur les barrettes en polyamide et non sur l’aluminium. Une étanchéité acoustique est en outre prévue du côté intérieure des éléments ouvrants.</w:t>
      </w:r>
    </w:p>
    <w:p w14:paraId="4C81F090" w14:textId="77777777" w:rsidR="004B2808" w:rsidRDefault="00000000">
      <w:r>
        <w:t>Les joints d’étanchéité de vitrage ou de remplissage sont en EPDM, en TPE ou dans un produit similaire, qui satisfait à la [STS 56]. Les joints sont placés par longueurs complètes dans les rainures profilées et sont coupés en biseau dans les angles et vulcanisées, ou assemblées avec des pièces angulaires préformées, ou soudées dans le cas d’étanchéités en TPE. Elles sont posées de façon à satisfaire longtemps aux exigences imposées et doivent être facilement remplaçables. Les joints acoustiques restent continus, même à hauteur des charnières.</w:t>
      </w:r>
    </w:p>
    <w:p w14:paraId="2FF69A2E" w14:textId="77777777" w:rsidR="004B2808" w:rsidRDefault="00000000">
      <w:r>
        <w:t>Les profilés répondent toujours au dimensionnement</w:t>
      </w:r>
      <w:r>
        <w:rPr>
          <w:shd w:val="clear" w:color="auto" w:fill="FFFFFF"/>
        </w:rPr>
        <w:t xml:space="preserve"> (EURONUT) de (EUROFALZ), </w:t>
      </w:r>
      <w:r>
        <w:t>de sorte que la plupart des types européens de quincailleries pourvues de dimensions standards puissent être utilisées.</w:t>
      </w:r>
    </w:p>
    <w:p w14:paraId="2285B6B2" w14:textId="77777777" w:rsidR="004B2808" w:rsidRDefault="00000000">
      <w:r>
        <w:t>Dimensions nominales des éléments achevés, exprimées en mm (sans décimales).</w:t>
      </w:r>
    </w:p>
    <w:p w14:paraId="7EBE9849" w14:textId="77777777" w:rsidR="004B2808" w:rsidRDefault="00000000">
      <w:r>
        <w:t xml:space="preserve">⇒ Hauteur du profil : </w:t>
      </w:r>
      <w:r>
        <w:rPr>
          <w:rStyle w:val="optioncarChar"/>
        </w:rPr>
        <w:t>***</w:t>
      </w:r>
      <w:r>
        <w:t xml:space="preserve"> mm.</w:t>
      </w:r>
    </w:p>
    <w:p w14:paraId="70E52F9D" w14:textId="77777777" w:rsidR="004B2808" w:rsidRDefault="00000000">
      <w:r>
        <w:t>⇒ Dimensions nominales des pièces parachevées, exprimées en mm (sans décimale).</w:t>
      </w:r>
    </w:p>
    <w:p w14:paraId="2360870F" w14:textId="77777777" w:rsidR="004B2808" w:rsidRDefault="00000000">
      <w:r>
        <w:t>⇒ Profondeur de construction du profilé : minimum 5 pour les dormants extérieurs et minimum 6 pour les battants (à augmenter en fonction de la pression du vent à reprendre et du moment d’inertie des profilés) si des performances thermiques sont requises. </w:t>
      </w:r>
    </w:p>
    <w:p w14:paraId="492A0904" w14:textId="77777777" w:rsidR="004B2808" w:rsidRDefault="00000000">
      <w:r>
        <w:t>⇒ Largeur du profil : </w:t>
      </w:r>
      <w:r>
        <w:rPr>
          <w:rStyle w:val="optioncarChar"/>
        </w:rPr>
        <w:t>en fonction des dimensions des parties ouvrantes</w:t>
      </w:r>
      <w:r>
        <w:t> (par défaut)</w:t>
      </w:r>
      <w:r>
        <w:rPr>
          <w:rStyle w:val="optioncarChar"/>
        </w:rPr>
        <w:t xml:space="preserve"> / limitée à un minimum conformément à la note de calcul et en tenant compte des assemblages de construction / ***  </w:t>
      </w:r>
    </w:p>
    <w:p w14:paraId="6CA8ABA0" w14:textId="77777777" w:rsidR="004B2808" w:rsidRDefault="00000000">
      <w:r>
        <w:t>Assemblage / fabrication</w:t>
      </w:r>
    </w:p>
    <w:p w14:paraId="1DCD1CC7" w14:textId="77777777" w:rsidR="004B2808" w:rsidRDefault="00000000">
      <w:pPr>
        <w:pStyle w:val="Author-eListParagraph"/>
        <w:numPr>
          <w:ilvl w:val="0"/>
          <w:numId w:val="808"/>
        </w:numPr>
      </w:pPr>
      <w:r>
        <w:t>Pour l'usinage, le traitement et la mise en place des profils préformés, on tient toujours compte des prescriptions du fournisseur du système.</w:t>
      </w:r>
    </w:p>
    <w:p w14:paraId="60D5B750" w14:textId="77777777" w:rsidR="004B2808" w:rsidRDefault="00000000">
      <w:pPr>
        <w:pStyle w:val="Author-eListParagraph"/>
        <w:numPr>
          <w:ilvl w:val="0"/>
          <w:numId w:val="808"/>
        </w:numPr>
      </w:pPr>
      <w:r>
        <w:t>Tous les assemblages sont réalisés à l'aide d'accessoires standards provenant du même fabricant que les profils et totalement adaptés aux assemblages.</w:t>
      </w:r>
    </w:p>
    <w:p w14:paraId="01E65AAC" w14:textId="77777777" w:rsidR="004B2808" w:rsidRDefault="00000000">
      <w:pPr>
        <w:pStyle w:val="Author-eListParagraph"/>
        <w:numPr>
          <w:ilvl w:val="0"/>
          <w:numId w:val="808"/>
        </w:numPr>
      </w:pPr>
      <w:r>
        <w:t>Les profils seront sciés et ébarbés; les assemblages en T sont fraisés et ajustés de manière à respecter la forme des profils transversaux. Toutes les faces de sciage ou les surfaces fraisées reçoivent un traitement étanche à l'aide d'un produit anticorrosion spécial.</w:t>
      </w:r>
    </w:p>
    <w:p w14:paraId="7D312D75" w14:textId="77777777" w:rsidR="004B2808" w:rsidRDefault="00000000">
      <w:pPr>
        <w:pStyle w:val="Author-eListParagraph"/>
        <w:numPr>
          <w:ilvl w:val="0"/>
          <w:numId w:val="808"/>
        </w:numPr>
      </w:pPr>
      <w:r>
        <w:t>Les angles sont assemblés par compression pneumatique avec des pièces angulaires crénelées et/ou coins à came excentrique vissés en aluminium. Les ailes du cadre et les profilés des battants doivent toujours être pourvus d’angles d’égalisation en inox pour maintenir les onglets plats. Ces assemblages angulaires et en T ne nuisent pas aux propriétés isolantes de la construction. Les onglets sont collés et les pièces d’assemblage sont collées et obturées avec des colles adaptées à cet effet afin d’obtenir une bonne adhérence. Les joints sont rendus complètement étanches.</w:t>
      </w:r>
    </w:p>
    <w:p w14:paraId="62A9CB74" w14:textId="77777777" w:rsidR="004B2808" w:rsidRDefault="00000000">
      <w:pPr>
        <w:pStyle w:val="Author-eListParagraph"/>
        <w:numPr>
          <w:ilvl w:val="0"/>
          <w:numId w:val="808"/>
        </w:numPr>
      </w:pPr>
      <w:r>
        <w:t>Les bandes isolantes de l’interruption thermique ne peuvent pas être touchées lors du fraisage des pièces des quincailleries et des trous de drainage.</w:t>
      </w:r>
    </w:p>
    <w:p w14:paraId="26EF0BEA" w14:textId="77777777" w:rsidR="004B2808" w:rsidRDefault="00000000">
      <w:r>
        <w:t>Traitement de surface</w:t>
      </w:r>
    </w:p>
    <w:p w14:paraId="3BA8E3A1" w14:textId="77777777" w:rsidR="004B2808" w:rsidRDefault="00000000">
      <w:pPr>
        <w:pStyle w:val="Author-eListParagraph"/>
        <w:numPr>
          <w:ilvl w:val="0"/>
          <w:numId w:val="809"/>
        </w:numPr>
      </w:pPr>
      <w:r>
        <w:t>Toutes les structures et les montants intermédiaires, ainsi que les lattes à vitrage, subissent le même traitement de protection, convenant pour l’aluminium, suivant les directives du manuel de qualité . Les profilés sont parachevés avec l’un des traitements de surface ci-dessous, conformément aux spécifications du cahier spécial des charges.</w:t>
      </w:r>
    </w:p>
    <w:p w14:paraId="5931663D" w14:textId="77777777" w:rsidR="004B2808" w:rsidRDefault="00000000">
      <w:pPr>
        <w:pStyle w:val="Author-eListParagraph"/>
        <w:numPr>
          <w:ilvl w:val="0"/>
          <w:numId w:val="809"/>
        </w:numPr>
      </w:pPr>
      <w:r>
        <w:t>Pour garantir la qualité continue, seul un traitement de surface est autorisé en gestion propre du fournisseur de système, et l’alliage d’aluminium doit satisfaire aux critères ci-dessus. Une licence QUALICOAT (pour le revêtement par poudrage) et une licence QUALANOD (pour le revêtement par anodisation) doivent pouvoir être présentées immédiatement à la demande de l’architecte.</w:t>
      </w:r>
    </w:p>
    <w:p w14:paraId="572C0854" w14:textId="77777777" w:rsidR="004B2808" w:rsidRDefault="00000000">
      <w:pPr>
        <w:pStyle w:val="Author-eListParagraph"/>
        <w:numPr>
          <w:ilvl w:val="0"/>
          <w:numId w:val="809"/>
        </w:numPr>
      </w:pPr>
      <w:r>
        <w:t>La face extérieure des profilés d’extrusion doit être pourvue d’un rayon de courbure d’arête de 0,5 mm minimum afin d’obtenir une bonne couverture des contours.</w:t>
      </w:r>
    </w:p>
    <w:p w14:paraId="4F485402" w14:textId="77777777" w:rsidR="004B2808" w:rsidRDefault="00000000">
      <w:pPr>
        <w:pStyle w:val="Author-eListParagraph"/>
        <w:numPr>
          <w:ilvl w:val="0"/>
          <w:numId w:val="809"/>
        </w:numPr>
      </w:pPr>
      <w:r>
        <w:t xml:space="preserve">L’aspect de la face visible des profilés laqués au four ne peut présenter aucun endommagement faisant apparaître le métal de base. Lors de l’examen des faces visibles, </w:t>
      </w:r>
      <w:r>
        <w:lastRenderedPageBreak/>
        <w:t>perpendiculairement à la surface, aucun défaut gênant ne peut apparaître pendant le contrôle à 3 mètres de distance : surface rude, gouttes d’écoulement, boursouflures, effet de peau d’orange, inclusions, cratères, taches mates, trous, griffes.</w:t>
      </w:r>
    </w:p>
    <w:p w14:paraId="24CBB43C" w14:textId="77777777" w:rsidR="004B2808" w:rsidRDefault="00000000">
      <w:pPr>
        <w:pStyle w:val="Author-eListParagraph"/>
        <w:numPr>
          <w:ilvl w:val="0"/>
          <w:numId w:val="809"/>
        </w:numPr>
      </w:pPr>
      <w:r>
        <w:t>L’exécution laquée au four doit présenter une teinte et un éclat uniformes et doit être couvrante. Aucune différence de teinte incommodante ne peut apparaître entre les pièces séparées. Pour des applications extérieures, il faut tenir compte d’une distance d’évaluation de 5 mètres , et pour les applications intérieures, d’une distance de 3 mètres . Tous les profilés, les tôles et les accessoires en exécution métallique doivent être laqués au four avec une poudre du même lot, sans interruptions, et lors de commandes supplémentaires pour le même projet, il convient de donner un échantillon au laqueur afin de minimiser les différences de teinte.</w:t>
      </w:r>
    </w:p>
    <w:p w14:paraId="35CE1DAA" w14:textId="77777777" w:rsidR="004B2808" w:rsidRDefault="00000000">
      <w:pPr>
        <w:pStyle w:val="Author-eListParagraph"/>
        <w:numPr>
          <w:ilvl w:val="0"/>
          <w:numId w:val="809"/>
        </w:numPr>
      </w:pPr>
      <w:r>
        <w:t>L’aspect de la face visible des profilés anodisés ne peut présenter aucune différence de teinte ni de taches incommodantes qui peuvent être jugées gênantes. L’évaluation de l’aspect doit avoir lieu à la lumière du jour, verticalement par rapport à la surface, à 3 mètres de distance pour un travail intérieur, et à 5 mètres pour un travail extérieur. </w:t>
      </w:r>
    </w:p>
    <w:p w14:paraId="3F54E19E" w14:textId="77777777" w:rsidR="004B2808" w:rsidRDefault="00000000">
      <w:r>
        <w:br/>
        <w:t>Les possibilités de traitement de surface sont les suivantes (à déterminer ultérieurement) :</w:t>
      </w:r>
    </w:p>
    <w:p w14:paraId="36604297" w14:textId="77777777" w:rsidR="004B2808" w:rsidRDefault="00000000">
      <w:pPr>
        <w:pStyle w:val="Author-eListParagraph"/>
        <w:numPr>
          <w:ilvl w:val="0"/>
          <w:numId w:val="810"/>
        </w:numPr>
      </w:pPr>
      <w:r>
        <w:t>Laquage et revêtement par poudrage (laquage au four)</w:t>
      </w:r>
    </w:p>
    <w:p w14:paraId="25E76CAE" w14:textId="77777777" w:rsidR="004B2808" w:rsidRDefault="00000000">
      <w:pPr>
        <w:pStyle w:val="Author-eListParagraph"/>
        <w:numPr>
          <w:ilvl w:val="0"/>
          <w:numId w:val="810"/>
        </w:numPr>
      </w:pPr>
      <w:r>
        <w:t>Anodisation</w:t>
      </w:r>
    </w:p>
    <w:p w14:paraId="3A41102D" w14:textId="77777777" w:rsidR="004B2808" w:rsidRDefault="00000000">
      <w:r>
        <w:t>Méthode d'anodisation</w:t>
      </w:r>
    </w:p>
    <w:p w14:paraId="6D165454" w14:textId="77777777" w:rsidR="004B2808" w:rsidRDefault="00000000">
      <w:r>
        <w:t>L’anodisation se fait conformément aux prescriptions du Manuel de Qualité 1</w:t>
      </w:r>
    </w:p>
    <w:p w14:paraId="0CAE0D62" w14:textId="77777777" w:rsidR="004B2808" w:rsidRDefault="00000000">
      <w:r>
        <w:t xml:space="preserve">Le traitement préliminaire et la protection de la menuiserie répondent à la norme [STS 36].§ 14.4 et sont conformes : </w:t>
      </w:r>
      <w:r>
        <w:rPr>
          <w:rStyle w:val="optioncarChar"/>
        </w:rPr>
        <w:t>au mode AO - Non poli avec traitement anodique</w:t>
      </w:r>
      <w:r>
        <w:t xml:space="preserve"> (par défaut)</w:t>
      </w:r>
      <w:r>
        <w:rPr>
          <w:rStyle w:val="optioncarChar"/>
        </w:rPr>
        <w:t xml:space="preserve"> / mode BO - Semi-poli avec traitement anodique (satiné) / mode CO - Complètement poli avec traitement anodique (brillant).   </w:t>
      </w:r>
      <w:r>
        <w:t>Après le traitement préliminaire et avant l’oxydation anodique, les profilés sont dégraissés et décapés. La couche d’oxyde doit être parfaitement étanche (sans porosité) et recouvrir la totalité des pièces. La couche d’oxyde doit être étanche à l’eau par colmatage dans un bain d’eau bouillante. L’entreprise chargée de l’anodisation doit posséder le label de qualité QUALANOD. La qualité est contrôlée par des essais suivant la procédure prévue dans le label. L’épaisseur exigée de la couche d’oxyde répond également à la norme [STS 36] § 05.33 et atteint au moins :Classe 2 - atmosphère urbaine - 20 microns, Classe 3 - atmosphère maritime ou industrielle - 25 microns. La teinte de la couche d’anodisation du profilé peut être consultée sur base d’un échantillon auprès</w:t>
      </w:r>
      <w:r>
        <w:rPr>
          <w:rStyle w:val="optioncarChar"/>
        </w:rPr>
        <w:t xml:space="preserve"> du fonctionnaire dirigeant </w:t>
      </w:r>
      <w:r>
        <w:t>(par défaut) </w:t>
      </w:r>
      <w:r>
        <w:rPr>
          <w:rStyle w:val="optioncarChar"/>
        </w:rPr>
        <w:t>/ de l’architecte / ***</w:t>
      </w:r>
      <w:r>
        <w:t> : teinte </w:t>
      </w:r>
      <w:r>
        <w:rPr>
          <w:rStyle w:val="optioncarChar"/>
        </w:rPr>
        <w:t>naturelle </w:t>
      </w:r>
      <w:r>
        <w:t>(par défaut)</w:t>
      </w:r>
      <w:r>
        <w:rPr>
          <w:rStyle w:val="optioncarChar"/>
        </w:rPr>
        <w:t xml:space="preserve"> / noir / bronze / *** </w:t>
      </w:r>
    </w:p>
    <w:p w14:paraId="0C442D9D" w14:textId="77777777" w:rsidR="004B2808" w:rsidRDefault="00000000">
      <w:r>
        <w:t>Laquages / Revêtements Les couches de peinture résistent aux chocs et ne peuvent pas s’écailler aux bords lors d’opérations mécaniques (forage, sciage, fraisage, poinçonnage,...). Les échantillons de profilés nécessaires doivent être préalablement soumis à l’auteur de projet.</w:t>
      </w:r>
    </w:p>
    <w:p w14:paraId="2E969EAD" w14:textId="77777777" w:rsidR="004B2808" w:rsidRDefault="00000000">
      <w:r>
        <w:t>Choix opéré :</w:t>
      </w:r>
      <w:r>
        <w:rPr>
          <w:rStyle w:val="optioncarChar"/>
          <w:b/>
        </w:rPr>
        <w:t xml:space="preserve">*** / OPTION 1 (classe 2) </w:t>
      </w:r>
      <w:r>
        <w:t>(par défaut) </w:t>
      </w:r>
      <w:r>
        <w:rPr>
          <w:rStyle w:val="optioncarChar"/>
          <w:b/>
        </w:rPr>
        <w:t>/ OPTION 2 (classe 2)</w:t>
      </w:r>
    </w:p>
    <w:p w14:paraId="635226FE" w14:textId="77777777" w:rsidR="004B2808" w:rsidRDefault="00000000">
      <w:r>
        <w:rPr>
          <w:b/>
        </w:rPr>
        <w:t>***OPTION 1</w:t>
      </w:r>
      <w:r>
        <w:t> : Domaine d’application : Classe 2 – atmosphère urbaine – charge normale. Après le dégraissage et le décapage (1 à 2 gr/m²), les profilés reçoivent une couche de conversion à base de chrome (0,6 à 1 gr/m²). Maximum 16 heures après le rinçage et le séchage à une température de l’air de 100 °C maximum, les profilés sont pourvus d’un revêtement poudreux électrostatique en polyester et sont polymérisés dans un four d’émaillage à une température comprise entre 180 - 200 °C. Pour les couleurs métallisées, les particules en aluminium ou en inox sont liées à la poudre de polyester. Un mélange homogène de l’aluminium ou des particules en inox n’est pas autorisé afin d’éviter la formation de nuages.</w:t>
      </w:r>
      <w:r>
        <w:br/>
        <w:t>L’épaisseur de la couche atteint en moyenne 60 microns minimum.</w:t>
      </w:r>
    </w:p>
    <w:p w14:paraId="61AEB770" w14:textId="77777777" w:rsidR="004B2808" w:rsidRDefault="00000000">
      <w:r>
        <w:rPr>
          <w:b/>
        </w:rPr>
        <w:t>***OPTION 2</w:t>
      </w:r>
      <w:r>
        <w:t xml:space="preserve"> : Domaine d’application : Classe 3 –charge agressive.</w:t>
      </w:r>
      <w:r>
        <w:br/>
        <w:t>Des circonstances agressives sont entre autres : Trafic ferroviaire (tram ou train), retombées de chlorure (régions côtières jusqu’à 10 km. A plus grande distance du littoral, piscines, région urbaine ou industrielle, influences localement accrues de la pollution (routes fort fréquentées par exemple).</w:t>
      </w:r>
      <w:r>
        <w:br/>
        <w:t xml:space="preserve">Après le dégraissage, le décapage mat, le rinçage et la neutralisation, les profilés subissent une couche de pré-anodisation (hydrolyse dans un bain d’acide sulfurique dilué) avec une épaisseur de </w:t>
      </w:r>
      <w:r>
        <w:lastRenderedPageBreak/>
        <w:t>couche comprise entre 3 et 8 microns.</w:t>
      </w:r>
      <w:r>
        <w:br/>
        <w:t>Après le nettoyage, les pores de la couche d’anodisation ne sont pas complètement obturés (3 minutes/micron) pour permettre une bonne adhérence de la couche de peinture. Ensuite, le matériel doit être manipulé avec des gants afin d’éviter les taches de graisse.</w:t>
      </w:r>
      <w:r>
        <w:br/>
        <w:t>Maximum 24 heures après le rinçage et le séchage, les profilés sont pourvus d’un revêtement poudreux électrostatique à base de polyester et sont polymérisés dans un four d’émaillage à une température comprise entre les 180 - 200 °C.</w:t>
      </w:r>
      <w:r>
        <w:br/>
        <w:t>Pour les couleurs RAL, l’épaisseur de couche atteint en moyenne 60 microns minimum.</w:t>
      </w:r>
      <w:r>
        <w:br/>
        <w:t>Pour les couleurs métallisées, le pigment de couleur est ‘fondu’ avec la poudre de base (Bonding process). Un mélange homogène de l’aluminium ou des particules en inox n’est pas autorisé afin d’éviter la formation de nuages.</w:t>
      </w:r>
    </w:p>
    <w:p w14:paraId="06C02360" w14:textId="77777777" w:rsidR="004B2808" w:rsidRDefault="00000000">
      <w:r>
        <w:t>La teinte du traitement de surface du profilé peut être consultée sur base d’un échantillon chez le fonctionnaire dirigeant / l’architecte.</w:t>
      </w:r>
    </w:p>
    <w:p w14:paraId="1419CBA1" w14:textId="77777777" w:rsidR="004B2808" w:rsidRDefault="00000000">
      <w:r>
        <w:t>Les finitions de surface permettent en outre les combinaisons de couleurs intérieures / extérieures :</w:t>
      </w:r>
    </w:p>
    <w:p w14:paraId="3CA5AA58" w14:textId="77777777" w:rsidR="004B2808" w:rsidRDefault="00000000">
      <w:pPr>
        <w:pStyle w:val="Author-eListParagraph"/>
        <w:numPr>
          <w:ilvl w:val="0"/>
          <w:numId w:val="811"/>
        </w:numPr>
      </w:pPr>
      <w:r>
        <w:t>Teinte du profilé extérieur : </w:t>
      </w:r>
      <w:r>
        <w:rPr>
          <w:rStyle w:val="optioncarChar"/>
        </w:rPr>
        <w:t>libre choix dans la gamme standard du fabricant</w:t>
      </w:r>
      <w:r>
        <w:t> (par défaut)</w:t>
      </w:r>
      <w:r>
        <w:rPr>
          <w:rStyle w:val="optioncarChar"/>
        </w:rPr>
        <w:t xml:space="preserve"> / Couleur RAL </w:t>
      </w:r>
      <w:r>
        <w:t xml:space="preserve">: </w:t>
      </w:r>
      <w:r>
        <w:rPr>
          <w:rStyle w:val="optioncarChar"/>
        </w:rPr>
        <w:t>***</w:t>
      </w:r>
      <w:r>
        <w:t xml:space="preserve">/Degré de brillant : </w:t>
      </w:r>
      <w:r>
        <w:rPr>
          <w:rStyle w:val="optioncarChar"/>
        </w:rPr>
        <w:t>30 %</w:t>
      </w:r>
      <w:r>
        <w:t> (par défaut)</w:t>
      </w:r>
      <w:r>
        <w:rPr>
          <w:rStyle w:val="optioncarChar"/>
        </w:rPr>
        <w:t xml:space="preserve"> / 70 % / 90 % / ***</w:t>
      </w:r>
      <w:r>
        <w:t> sous un angle de 60° </w:t>
      </w:r>
      <w:r>
        <w:rPr>
          <w:rStyle w:val="optioncarChar"/>
        </w:rPr>
        <w:t>métallisée </w:t>
      </w:r>
      <w:r>
        <w:t>(par défaut)</w:t>
      </w:r>
      <w:r>
        <w:rPr>
          <w:rStyle w:val="optioncarChar"/>
        </w:rPr>
        <w:t> / ***</w:t>
      </w:r>
    </w:p>
    <w:p w14:paraId="3A84B70E" w14:textId="77777777" w:rsidR="004B2808" w:rsidRDefault="00000000">
      <w:pPr>
        <w:pStyle w:val="Author-eListParagraph"/>
        <w:numPr>
          <w:ilvl w:val="0"/>
          <w:numId w:val="811"/>
        </w:numPr>
      </w:pPr>
      <w:r>
        <w:t>Teinte du profilé intérieur :</w:t>
      </w:r>
      <w:r>
        <w:rPr>
          <w:rStyle w:val="optioncarChar"/>
        </w:rPr>
        <w:t> libre choix parmi la gamme standard du fabricant </w:t>
      </w:r>
      <w:r>
        <w:t>(par défaut)</w:t>
      </w:r>
      <w:r>
        <w:rPr>
          <w:rStyle w:val="optioncarChar"/>
        </w:rPr>
        <w:t xml:space="preserve"> / Couleur RAL </w:t>
      </w:r>
      <w:r>
        <w:t xml:space="preserve">: </w:t>
      </w:r>
      <w:r>
        <w:rPr>
          <w:rStyle w:val="optioncarChar"/>
        </w:rPr>
        <w:t>***</w:t>
      </w:r>
      <w:r>
        <w:t>/ Degré de brillant : </w:t>
      </w:r>
      <w:r>
        <w:rPr>
          <w:rStyle w:val="optioncarChar"/>
        </w:rPr>
        <w:t>30 %</w:t>
      </w:r>
      <w:r>
        <w:t xml:space="preserve"> (par défaut) </w:t>
      </w:r>
      <w:r>
        <w:rPr>
          <w:rStyle w:val="optioncarChar"/>
        </w:rPr>
        <w:t>/ 70 % / 90 % / ***</w:t>
      </w:r>
      <w:r>
        <w:t xml:space="preserve"> sous un angle de 60 °</w:t>
      </w:r>
      <w:r>
        <w:rPr>
          <w:rStyle w:val="optioncarChar"/>
        </w:rPr>
        <w:t xml:space="preserve">*** / métallisée  </w:t>
      </w:r>
    </w:p>
    <w:p w14:paraId="106F59B3" w14:textId="77777777" w:rsidR="004B2808" w:rsidRDefault="00000000">
      <w:r>
        <w:t>QUINCAILLERIE La quincaillerie est encastrée et doit permettre l'ouverture dans le sens indiqué. Les parties visibles ont une couleur et une finition identiques à celles des profils. </w:t>
      </w:r>
    </w:p>
    <w:p w14:paraId="1AD0D1B1" w14:textId="77777777" w:rsidR="004B2808" w:rsidRDefault="00000000">
      <w:pPr>
        <w:pStyle w:val="pheading"/>
      </w:pPr>
      <w:r>
        <w:t>EXÉCUTION / MISE EN ŒUVRE</w:t>
      </w:r>
    </w:p>
    <w:p w14:paraId="5809267A" w14:textId="77777777" w:rsidR="004B2808" w:rsidRDefault="00000000">
      <w:r>
        <w:t>Les châssis sont posés conformément aux dispositions de la [NIT 283].</w:t>
      </w:r>
      <w:r>
        <w:br/>
        <w:t xml:space="preserve">Le raccordement entre la coupure thermique dans la menuiserie intérieure en aluminium et l’isolation thermique du gros-œuvre est effectué soigneusement et partout en ajustement parfait. Ce raccordement est exécuté par </w:t>
      </w:r>
      <w:r>
        <w:rPr>
          <w:rStyle w:val="optioncarChar"/>
        </w:rPr>
        <w:t>l’installateur avec de la laine de roche</w:t>
      </w:r>
      <w:r>
        <w:t> (par défaut)</w:t>
      </w:r>
      <w:r>
        <w:rPr>
          <w:rStyle w:val="optioncarChar"/>
        </w:rPr>
        <w:t xml:space="preserve"> / *** </w:t>
      </w:r>
      <w:r>
        <w:t>si des performances thermiques sont requises.</w:t>
      </w:r>
    </w:p>
    <w:p w14:paraId="7215F27B" w14:textId="77777777" w:rsidR="004B2808" w:rsidRDefault="00000000">
      <w:pPr>
        <w:ind w:left="750"/>
      </w:pPr>
      <w:r>
        <w:t> </w:t>
      </w:r>
    </w:p>
    <w:p w14:paraId="4F04428F" w14:textId="77777777" w:rsidR="004B2808" w:rsidRDefault="00000000">
      <w:pPr>
        <w:pStyle w:val="pheading"/>
      </w:pPr>
      <w:r>
        <w:t>CONTRÔLES</w:t>
      </w:r>
    </w:p>
    <w:p w14:paraId="717A34BF" w14:textId="77777777" w:rsidR="004B2808" w:rsidRDefault="00000000">
      <w:r>
        <w:rPr>
          <w:b/>
          <w:sz w:val="24"/>
        </w:rPr>
        <w:t>Garanties</w:t>
      </w:r>
    </w:p>
    <w:p w14:paraId="78468A8E" w14:textId="77777777" w:rsidR="004B2808" w:rsidRDefault="00000000">
      <w:pPr>
        <w:pStyle w:val="Author-eListParagraph"/>
        <w:numPr>
          <w:ilvl w:val="0"/>
          <w:numId w:val="812"/>
        </w:numPr>
      </w:pPr>
      <w:r>
        <w:t xml:space="preserve"> L'entrepreneur accorde une garantie de dix ans sur l'étanchéité au vent et à l'eau de l'ensemble de la menuiserie extérieure, lorsqu'elle entretenue normalement par le propriétaire. </w:t>
      </w:r>
    </w:p>
    <w:p w14:paraId="453E5D80" w14:textId="77777777" w:rsidR="004B2808" w:rsidRDefault="00000000">
      <w:pPr>
        <w:pStyle w:val="Author-eListParagraph"/>
        <w:numPr>
          <w:ilvl w:val="0"/>
          <w:numId w:val="812"/>
        </w:numPr>
      </w:pPr>
      <w:r>
        <w:t xml:space="preserve">Les laquages au four sont couverts par les garanties suivantes : 5 ans pour l'inaltérabilité des couleurs et 10 ans pour l'adhérence. Les profils griffés ou endommagés sont refusés. </w:t>
      </w:r>
    </w:p>
    <w:p w14:paraId="0495D158" w14:textId="77777777" w:rsidR="004B2808" w:rsidRDefault="00000000">
      <w:pPr>
        <w:pStyle w:val="Author-eSectionHeading5Numberless"/>
      </w:pPr>
      <w:bookmarkStart w:id="1029" w:name="_Toc220491160"/>
      <w:r>
        <w:t>55.12.1 Fenêtres et portes-fenêtres intérieures en aluminium SANS coupure thermique CCTB 01.02</w:t>
      </w:r>
      <w:bookmarkEnd w:id="1029"/>
    </w:p>
    <w:p w14:paraId="028CC848" w14:textId="77777777" w:rsidR="004B2808" w:rsidRDefault="00000000">
      <w:pPr>
        <w:pStyle w:val="Author-eSectionHeading6Numberless"/>
      </w:pPr>
      <w:bookmarkStart w:id="1030" w:name="_Toc220491161"/>
      <w:r>
        <w:t>55.12.1a Fenêtres et portes-fenêtres intérieures en aluminium SANS coupure thermique CCTB 01.02</w:t>
      </w:r>
      <w:bookmarkEnd w:id="1030"/>
    </w:p>
    <w:p w14:paraId="6DEC252E" w14:textId="77777777" w:rsidR="004B2808" w:rsidRDefault="00000000">
      <w:pPr>
        <w:pStyle w:val="Author-eSectionHeading5Numberless"/>
      </w:pPr>
      <w:bookmarkStart w:id="1031" w:name="_Toc220491162"/>
      <w:r>
        <w:t>55.12.2 Fenêtres et portes-fenêtres intérieures en aluminium AVEC coupure thermique CCTB 01.02</w:t>
      </w:r>
      <w:bookmarkEnd w:id="1031"/>
    </w:p>
    <w:p w14:paraId="175B4A4E" w14:textId="77777777" w:rsidR="004B2808" w:rsidRDefault="00000000">
      <w:pPr>
        <w:pStyle w:val="Author-eSectionHeading6Numberless"/>
      </w:pPr>
      <w:bookmarkStart w:id="1032" w:name="_Toc220491163"/>
      <w:r>
        <w:t>55.12.2a Fenêtres et portes-fenêtres intérieures en aluminium AVEC coupure thermique CCTB 01.02</w:t>
      </w:r>
      <w:bookmarkEnd w:id="1032"/>
    </w:p>
    <w:p w14:paraId="243E4ECE" w14:textId="77777777" w:rsidR="004B2808" w:rsidRDefault="00000000">
      <w:pPr>
        <w:pStyle w:val="Author-eSectionHeading4Numberless"/>
      </w:pPr>
      <w:bookmarkStart w:id="1033" w:name="_Toc220491164"/>
      <w:r>
        <w:t>55.13 Fenêtres intérieures en acier CCTB 01.10</w:t>
      </w:r>
      <w:bookmarkEnd w:id="1033"/>
    </w:p>
    <w:p w14:paraId="0561FEB8" w14:textId="77777777" w:rsidR="004B2808" w:rsidRDefault="00000000">
      <w:pPr>
        <w:pStyle w:val="pheading"/>
      </w:pPr>
      <w:r>
        <w:lastRenderedPageBreak/>
        <w:t>DESCRIPTION</w:t>
      </w:r>
    </w:p>
    <w:p w14:paraId="1B759012" w14:textId="77777777" w:rsidR="004B2808" w:rsidRDefault="00000000">
      <w:pPr>
        <w:pStyle w:val="pheading"/>
      </w:pPr>
      <w:r>
        <w:t>- Définition / Comprend</w:t>
      </w:r>
    </w:p>
    <w:p w14:paraId="0824B100" w14:textId="77777777" w:rsidR="004B2808" w:rsidRDefault="00000000">
      <w:r>
        <w:t>Les portes et fenêtres intérieures sont considérées comme menuiserie en acier lorsque seul le matériau "acier" assure la résistance mécanique des éléments de construction. Les autres revêtements ne changent rien au fait que ces éléments appartiennent à la menuiserie en acier.</w:t>
      </w:r>
    </w:p>
    <w:p w14:paraId="02A6F1CB" w14:textId="77777777" w:rsidR="004B2808" w:rsidRDefault="00000000">
      <w:pPr>
        <w:pStyle w:val="pheading"/>
      </w:pPr>
      <w:r>
        <w:t>MATÉRIAUX</w:t>
      </w:r>
    </w:p>
    <w:p w14:paraId="5996B357" w14:textId="77777777" w:rsidR="004B2808" w:rsidRDefault="00000000">
      <w:r>
        <w:t>Les profils des  fenêtres sont des profils tubulaires en acier non traité laminés à froid, exempts de défauts de laminage, de compression ou de coulage et sans soudures extérieures visibles. Alliage : acier A 37 SC (soudé).</w:t>
      </w:r>
    </w:p>
    <w:p w14:paraId="056AEC19" w14:textId="77777777" w:rsidR="004B2808" w:rsidRDefault="00000000">
      <w:pPr>
        <w:pStyle w:val="heading"/>
      </w:pPr>
      <w:r>
        <w:t xml:space="preserve">PROFILS - </w:t>
      </w:r>
      <w:r>
        <w:rPr>
          <w:i/>
        </w:rPr>
        <w:t>Fabrication</w:t>
      </w:r>
    </w:p>
    <w:p w14:paraId="71F03D3E" w14:textId="77777777" w:rsidR="004B2808" w:rsidRDefault="00000000">
      <w:r>
        <w:t>Pour l'usinage, le traitement et la pose des profils préformés, il y a lieu de tenir compte des prescriptions du fabricant.</w:t>
      </w:r>
    </w:p>
    <w:p w14:paraId="286A5C46" w14:textId="77777777" w:rsidR="004B2808" w:rsidRDefault="00000000">
      <w:pPr>
        <w:pStyle w:val="heading"/>
      </w:pPr>
      <w:r>
        <w:t>Calcul des profils :        </w:t>
      </w:r>
    </w:p>
    <w:p w14:paraId="1362C0E0" w14:textId="77777777" w:rsidR="004B2808" w:rsidRDefault="00000000">
      <w:r>
        <w:t>La note de calcul établie par le constructeur doit tenir compte de toutes les sollicitations ou charges connues. Les calculs sont effectués en fonction des actions du vent, en tenant compte des coefficients de pression partiels et le poids propre. </w:t>
      </w:r>
    </w:p>
    <w:p w14:paraId="4E8E03E0" w14:textId="77777777" w:rsidR="004B2808" w:rsidRDefault="00000000">
      <w:pPr>
        <w:pStyle w:val="heading"/>
      </w:pPr>
      <w:r>
        <w:t>Forme, type et dimensions des profils</w:t>
      </w:r>
    </w:p>
    <w:p w14:paraId="3937928D" w14:textId="77777777" w:rsidR="004B2808" w:rsidRDefault="00000000">
      <w:r>
        <w:t>Toutes les parties mobiles sont fabriquées en profils du type à </w:t>
      </w:r>
      <w:r>
        <w:rPr>
          <w:rStyle w:val="optioncarChar"/>
        </w:rPr>
        <w:t xml:space="preserve">double </w:t>
      </w:r>
      <w:r>
        <w:t>(par défaut) </w:t>
      </w:r>
      <w:r>
        <w:rPr>
          <w:rStyle w:val="optioncarChar"/>
        </w:rPr>
        <w:t>/ triple / ***</w:t>
      </w:r>
      <w:r>
        <w:t xml:space="preserve"> frappe. Ils sont équipés d'un profil d'étanchéité en matière synthétique bien jointif dans les angles. Les étanchéités EPDM et EPT doivent satisfaire à la [STS 56] . </w:t>
      </w:r>
    </w:p>
    <w:p w14:paraId="23FDED76" w14:textId="77777777" w:rsidR="004B2808" w:rsidRDefault="00000000">
      <w:r>
        <w:t xml:space="preserve">Profondeur du profil : au moins </w:t>
      </w:r>
      <w:r>
        <w:rPr>
          <w:rStyle w:val="optioncarChar"/>
        </w:rPr>
        <w:t>***</w:t>
      </w:r>
      <w:r>
        <w:t xml:space="preserve"> mm</w:t>
      </w:r>
    </w:p>
    <w:p w14:paraId="5F8B9138" w14:textId="77777777" w:rsidR="004B2808" w:rsidRDefault="00000000">
      <w:r>
        <w:t xml:space="preserve">Hauteur du profil : au moins </w:t>
      </w:r>
      <w:r>
        <w:rPr>
          <w:rStyle w:val="optioncarChar"/>
        </w:rPr>
        <w:t>***</w:t>
      </w:r>
      <w:r>
        <w:t xml:space="preserve"> mm</w:t>
      </w:r>
    </w:p>
    <w:p w14:paraId="084F0AE2" w14:textId="77777777" w:rsidR="004B2808" w:rsidRDefault="00000000">
      <w:pPr>
        <w:pStyle w:val="heading"/>
      </w:pPr>
      <w:r>
        <w:t>Assemblage / fabrication</w:t>
      </w:r>
    </w:p>
    <w:p w14:paraId="5B61250A" w14:textId="77777777" w:rsidR="004B2808" w:rsidRDefault="00000000">
      <w:pPr>
        <w:pStyle w:val="Author-eListParagraph"/>
        <w:numPr>
          <w:ilvl w:val="0"/>
          <w:numId w:val="813"/>
        </w:numPr>
      </w:pPr>
      <w:r>
        <w:t xml:space="preserve">Les angles des profils sont soudés : </w:t>
      </w:r>
      <w:r>
        <w:rPr>
          <w:rStyle w:val="optioncarChar"/>
        </w:rPr>
        <w:t>par soudure bout à bout sans ajoute de matériau</w:t>
      </w:r>
      <w:r>
        <w:t> (par défaut)</w:t>
      </w:r>
      <w:r>
        <w:rPr>
          <w:rStyle w:val="optioncarChar"/>
        </w:rPr>
        <w:t xml:space="preserve"> / par ajoute de matériau après biseautage des bords / ***.</w:t>
      </w:r>
    </w:p>
    <w:p w14:paraId="38D6DF87" w14:textId="77777777" w:rsidR="004B2808" w:rsidRDefault="00000000">
      <w:pPr>
        <w:pStyle w:val="Author-eListParagraph"/>
        <w:numPr>
          <w:ilvl w:val="0"/>
          <w:numId w:val="813"/>
        </w:numPr>
      </w:pPr>
      <w:r>
        <w:t>Il n'y a ni ébarbures ni jointures sur les faces vues.</w:t>
      </w:r>
    </w:p>
    <w:p w14:paraId="264A114A" w14:textId="77777777" w:rsidR="004B2808" w:rsidRDefault="00000000">
      <w:pPr>
        <w:pStyle w:val="Author-eListParagraph"/>
        <w:numPr>
          <w:ilvl w:val="0"/>
          <w:numId w:val="813"/>
        </w:numPr>
      </w:pPr>
      <w:r>
        <w:t>Les assemblages sont d'équerre et plats, sans traces de soudures.</w:t>
      </w:r>
    </w:p>
    <w:p w14:paraId="02861628" w14:textId="77777777" w:rsidR="004B2808" w:rsidRDefault="00000000">
      <w:pPr>
        <w:pStyle w:val="heading"/>
      </w:pPr>
      <w:r>
        <w:rPr>
          <w:i/>
        </w:rPr>
        <w:t>Protection - Revêtement de surface</w:t>
      </w:r>
    </w:p>
    <w:p w14:paraId="6D0CC0F0" w14:textId="77777777" w:rsidR="004B2808" w:rsidRDefault="00000000">
      <w:r>
        <w:t>Tous les profils, montants de renfort et les parcloses subissent le même traitement de protection. Les éléments à protégés sont d'abord sablés.</w:t>
      </w:r>
    </w:p>
    <w:p w14:paraId="1D52B12D" w14:textId="77777777" w:rsidR="004B2808" w:rsidRDefault="00000000">
      <w:r>
        <w:t>La protection est effectuée :</w:t>
      </w:r>
    </w:p>
    <w:p w14:paraId="0863CAD1" w14:textId="77777777" w:rsidR="004B2808" w:rsidRDefault="00000000">
      <w:r>
        <w:t xml:space="preserve">Choix opéré : </w:t>
      </w:r>
      <w:r>
        <w:rPr>
          <w:rStyle w:val="optioncarChar"/>
        </w:rPr>
        <w:t>*** / OPTION 1 (métalisation)</w:t>
      </w:r>
      <w:r>
        <w:t> (par défaut)</w:t>
      </w:r>
      <w:r>
        <w:rPr>
          <w:rStyle w:val="optioncarChar"/>
        </w:rPr>
        <w:t> / OPTION 2 (phosphatation)  / OPTION 3 (galvanisation)</w:t>
      </w:r>
    </w:p>
    <w:p w14:paraId="776861A1" w14:textId="77777777" w:rsidR="004B2808" w:rsidRDefault="00000000">
      <w:r>
        <w:rPr>
          <w:b/>
        </w:rPr>
        <w:t>***OPTION 1</w:t>
      </w:r>
      <w:r>
        <w:t xml:space="preserve"> : par métallisation par pulvérisation de zinc suivie d'une mise en peinture : métallisation selon la classe Zn40; la première couche de peinture à base de chromate de zinc est appliquée en atelier;</w:t>
      </w:r>
      <w:r>
        <w:br/>
      </w:r>
      <w:r>
        <w:rPr>
          <w:b/>
        </w:rPr>
        <w:t>***OPTION 2</w:t>
      </w:r>
      <w:r>
        <w:t> : par phosphatation suivie d'une mise en peinture : phosphatation jusqu'à saturation; après rinçage et séchage, les profils reçoivent  en atelier la première couche de peinture à base de chromate de zinc ;</w:t>
      </w:r>
      <w:r>
        <w:br/>
      </w:r>
      <w:r>
        <w:rPr>
          <w:b/>
        </w:rPr>
        <w:t>***OPTION 3</w:t>
      </w:r>
      <w:r>
        <w:t> :par galvanisation par immersion suivie d'une mise en peinture : galvanisation par immersion dans un bain de zinc liquide;</w:t>
      </w:r>
    </w:p>
    <w:p w14:paraId="7A76560B" w14:textId="77777777" w:rsidR="004B2808" w:rsidRDefault="00000000">
      <w:r>
        <w:t xml:space="preserve">Le revêtement de la surface est effectué par application électrostatique d'un revêtement en poudre en deux couches. La première couche est un primer acrylique ou époxy convenant pour l'acier, épaisseur 40 microns; la deuxième couche est une laque polyuréthane ou polyester, épaisseur 40 microns. Le processus d'application du revêtement par poudrage est réglé de façon telle que la </w:t>
      </w:r>
      <w:r>
        <w:lastRenderedPageBreak/>
        <w:t>première couche soit presque complètement durcie avant l'application de la deuxième couche. La température de cuisson de la deuxième couche est supérieure à celle de la première couche.</w:t>
      </w:r>
    </w:p>
    <w:p w14:paraId="28CFEE3E" w14:textId="77777777" w:rsidR="004B2808" w:rsidRDefault="00000000">
      <w:r>
        <w:t>Une garantie de 10 ans est donnée sur l'adhérence et l'inaltérabilité des couleurs et de la brillance. L'entrepreneur soumet une note technique concernant l'exécution du traitement préalable et l'application de la couche de finition.</w:t>
      </w:r>
    </w:p>
    <w:p w14:paraId="4BF378F2" w14:textId="77777777" w:rsidR="004B2808" w:rsidRDefault="00000000">
      <w:pPr>
        <w:pStyle w:val="Author-eSectionHeading5Numberless"/>
      </w:pPr>
      <w:bookmarkStart w:id="1034" w:name="_Toc220491165"/>
      <w:r>
        <w:t>55.13.1 Fenêtres et portes-fenêtres intérieures en acier SANS coupure thermique CCTB 01.02</w:t>
      </w:r>
      <w:bookmarkEnd w:id="1034"/>
    </w:p>
    <w:p w14:paraId="5673AD23" w14:textId="77777777" w:rsidR="004B2808" w:rsidRDefault="00000000">
      <w:pPr>
        <w:pStyle w:val="Author-eSectionHeading6Numberless"/>
      </w:pPr>
      <w:bookmarkStart w:id="1035" w:name="_Toc220491166"/>
      <w:r>
        <w:t>55.13.1a Fenêtres et portes-fenêtres intérieures en acier SANS coupure thermique CCTB 01.12</w:t>
      </w:r>
      <w:bookmarkEnd w:id="1035"/>
    </w:p>
    <w:p w14:paraId="2EC5EDA9" w14:textId="77777777" w:rsidR="004B2808" w:rsidRDefault="00000000">
      <w:pPr>
        <w:pStyle w:val="pheading"/>
      </w:pPr>
      <w:r>
        <w:t>MATÉRIAUX</w:t>
      </w:r>
    </w:p>
    <w:p w14:paraId="7A3B2CFB" w14:textId="77777777" w:rsidR="004B2808" w:rsidRDefault="00000000">
      <w:pPr>
        <w:pStyle w:val="pheading"/>
      </w:pPr>
      <w:r>
        <w:t>- Caractéristiques générales</w:t>
      </w:r>
    </w:p>
    <w:p w14:paraId="4B39890D" w14:textId="77777777" w:rsidR="004B2808" w:rsidRDefault="00000000">
      <w:r>
        <w:t>Il s'agit des ensembles de portes et fenêtres composés de profils en acier laqué sans rupture thermique. </w:t>
      </w:r>
    </w:p>
    <w:p w14:paraId="794B98E7" w14:textId="77777777" w:rsidR="004B2808" w:rsidRDefault="00000000">
      <w:pPr>
        <w:pStyle w:val="heading"/>
      </w:pPr>
      <w:r>
        <w:t>Spécifications</w:t>
      </w:r>
    </w:p>
    <w:p w14:paraId="6435C64F" w14:textId="77777777" w:rsidR="004B2808" w:rsidRDefault="00000000">
      <w:r>
        <w:t>Dimensions des profils :</w:t>
      </w:r>
    </w:p>
    <w:p w14:paraId="7E05B038" w14:textId="77777777" w:rsidR="004B2808" w:rsidRDefault="00000000">
      <w:pPr>
        <w:ind w:left="680"/>
      </w:pPr>
      <w:r>
        <w:t xml:space="preserve">⇒ profondeur du profil : </w:t>
      </w:r>
      <w:r>
        <w:rPr>
          <w:rStyle w:val="optioncarChar"/>
        </w:rPr>
        <w:t>***</w:t>
      </w:r>
      <w:r>
        <w:t xml:space="preserve"> mm</w:t>
      </w:r>
    </w:p>
    <w:p w14:paraId="3B464749" w14:textId="77777777" w:rsidR="004B2808" w:rsidRDefault="00000000">
      <w:pPr>
        <w:ind w:left="680"/>
      </w:pPr>
      <w:r>
        <w:t xml:space="preserve">⇒ hauteur du profil : </w:t>
      </w:r>
      <w:r>
        <w:rPr>
          <w:rStyle w:val="optioncarChar"/>
        </w:rPr>
        <w:t>***</w:t>
      </w:r>
      <w:r>
        <w:t xml:space="preserve"> mm</w:t>
      </w:r>
    </w:p>
    <w:p w14:paraId="12298793" w14:textId="77777777" w:rsidR="004B2808" w:rsidRDefault="00000000">
      <w:r>
        <w:t>Protection de la surface : </w:t>
      </w:r>
      <w:r>
        <w:rPr>
          <w:rStyle w:val="optioncarChar"/>
        </w:rPr>
        <w:t>métallisation par pulvérisation de zinc </w:t>
      </w:r>
      <w:r>
        <w:t>(par défaut)</w:t>
      </w:r>
      <w:r>
        <w:rPr>
          <w:rStyle w:val="optioncarChar"/>
        </w:rPr>
        <w:t> / phosphatage / galvanisation par immersion / *** </w:t>
      </w:r>
      <w:r>
        <w:t>suivie d'une mise en peinture</w:t>
      </w:r>
    </w:p>
    <w:p w14:paraId="5E42D3E3" w14:textId="77777777" w:rsidR="004B2808" w:rsidRDefault="00000000">
      <w:r>
        <w:t xml:space="preserve">Finition de la surface </w:t>
      </w:r>
      <w:r>
        <w:rPr>
          <w:rStyle w:val="optioncarChar"/>
        </w:rPr>
        <w:t>: revêtement par poudrage </w:t>
      </w:r>
      <w:r>
        <w:t>(par défaut)</w:t>
      </w:r>
      <w:r>
        <w:rPr>
          <w:rStyle w:val="optioncarChar"/>
        </w:rPr>
        <w:t xml:space="preserve"> / ***</w:t>
      </w:r>
    </w:p>
    <w:p w14:paraId="44C7A23A" w14:textId="77777777" w:rsidR="004B2808" w:rsidRDefault="00000000">
      <w:r>
        <w:t>Coloris : couleur RAL n° :</w:t>
      </w:r>
      <w:r>
        <w:rPr>
          <w:rStyle w:val="optioncarChar"/>
        </w:rPr>
        <w:t> à choisir dans la gamme complète du fabricant</w:t>
      </w:r>
      <w:r>
        <w:t xml:space="preserve"> (par défaut)</w:t>
      </w:r>
      <w:r>
        <w:rPr>
          <w:rStyle w:val="optioncarChar"/>
        </w:rPr>
        <w:t> / ***</w:t>
      </w:r>
    </w:p>
    <w:p w14:paraId="39A76117" w14:textId="77777777" w:rsidR="004B2808" w:rsidRDefault="00000000">
      <w:r>
        <w:t xml:space="preserve">Degré de brillance : </w:t>
      </w:r>
      <w:r>
        <w:rPr>
          <w:rStyle w:val="optioncarChar"/>
        </w:rPr>
        <w:t>***</w:t>
      </w:r>
      <w:r>
        <w:t xml:space="preserve"> Gardner</w:t>
      </w:r>
    </w:p>
    <w:p w14:paraId="654476E9" w14:textId="77777777" w:rsidR="004B2808" w:rsidRDefault="00000000">
      <w:r>
        <w:t xml:space="preserve">Résistance effraction </w:t>
      </w:r>
      <w:r>
        <w:rPr>
          <w:rStyle w:val="optioncarChar"/>
        </w:rPr>
        <w:t>2 </w:t>
      </w:r>
      <w:r>
        <w:t>(par défaut)</w:t>
      </w:r>
      <w:r>
        <w:rPr>
          <w:rStyle w:val="optioncarChar"/>
        </w:rPr>
        <w:t xml:space="preserve"> / 3 / 4 / 5 / 6 / *** </w:t>
      </w:r>
      <w:r>
        <w:t>selon la [NBN EN 1627]</w:t>
      </w:r>
    </w:p>
    <w:p w14:paraId="0E92B465" w14:textId="77777777" w:rsidR="004B2808" w:rsidRDefault="00000000">
      <w:r>
        <w:t xml:space="preserve">Etanchéité à l'air </w:t>
      </w:r>
      <w:r>
        <w:rPr>
          <w:rStyle w:val="optioncarChar"/>
        </w:rPr>
        <w:t>3</w:t>
      </w:r>
      <w:r>
        <w:t> (par défaut)</w:t>
      </w:r>
      <w:r>
        <w:rPr>
          <w:rStyle w:val="optioncarChar"/>
        </w:rPr>
        <w:t xml:space="preserve"> / 4 / ***</w:t>
      </w:r>
    </w:p>
    <w:p w14:paraId="2D1F41D0" w14:textId="77777777" w:rsidR="004B2808" w:rsidRDefault="00000000">
      <w:pPr>
        <w:pStyle w:val="heading"/>
      </w:pPr>
      <w:r>
        <w:t>Types de fenêtres </w:t>
      </w:r>
    </w:p>
    <w:p w14:paraId="232C881B" w14:textId="77777777" w:rsidR="004B2808" w:rsidRDefault="00000000">
      <w:pPr>
        <w:pStyle w:val="Author-eListParagraph"/>
        <w:numPr>
          <w:ilvl w:val="0"/>
          <w:numId w:val="814"/>
        </w:numPr>
      </w:pPr>
      <w:r>
        <w:t>Châssis fixes : …</w:t>
      </w:r>
    </w:p>
    <w:p w14:paraId="7E6E287B" w14:textId="77777777" w:rsidR="004B2808" w:rsidRDefault="00000000">
      <w:pPr>
        <w:pStyle w:val="Author-eListParagraph"/>
        <w:numPr>
          <w:ilvl w:val="0"/>
          <w:numId w:val="814"/>
        </w:numPr>
      </w:pPr>
      <w:r>
        <w:t>Châssis à vantaux ouvrants : ……</w:t>
      </w:r>
    </w:p>
    <w:p w14:paraId="6313EB1F" w14:textId="77777777" w:rsidR="004B2808" w:rsidRDefault="00000000">
      <w:pPr>
        <w:pStyle w:val="Author-eListParagraph"/>
        <w:numPr>
          <w:ilvl w:val="0"/>
          <w:numId w:val="814"/>
        </w:numPr>
      </w:pPr>
      <w:r>
        <w:t>Fenêtres oscillo-battantes : ……</w:t>
      </w:r>
    </w:p>
    <w:p w14:paraId="0E2FE898" w14:textId="77777777" w:rsidR="004B2808" w:rsidRDefault="00000000">
      <w:pPr>
        <w:pStyle w:val="Author-eListParagraph"/>
        <w:numPr>
          <w:ilvl w:val="0"/>
          <w:numId w:val="814"/>
        </w:numPr>
      </w:pPr>
      <w:r>
        <w:t>Fenêtres basculantes : ……</w:t>
      </w:r>
    </w:p>
    <w:p w14:paraId="5EFACB03" w14:textId="77777777" w:rsidR="004B2808" w:rsidRDefault="00000000">
      <w:pPr>
        <w:pStyle w:val="Author-eListParagraph"/>
        <w:numPr>
          <w:ilvl w:val="0"/>
          <w:numId w:val="814"/>
        </w:numPr>
      </w:pPr>
      <w:r>
        <w:t>Fenêtres projetantes : ……</w:t>
      </w:r>
    </w:p>
    <w:p w14:paraId="564B09FB" w14:textId="77777777" w:rsidR="004B2808" w:rsidRDefault="00000000">
      <w:pPr>
        <w:pStyle w:val="Author-eListParagraph"/>
        <w:numPr>
          <w:ilvl w:val="0"/>
          <w:numId w:val="814"/>
        </w:numPr>
      </w:pPr>
      <w:r>
        <w:t>Fenêtres pivotantes ou basculantes : ……</w:t>
      </w:r>
    </w:p>
    <w:p w14:paraId="17CABE7F" w14:textId="77777777" w:rsidR="004B2808" w:rsidRDefault="00000000">
      <w:pPr>
        <w:pStyle w:val="Author-eListParagraph"/>
        <w:numPr>
          <w:ilvl w:val="0"/>
          <w:numId w:val="814"/>
        </w:numPr>
      </w:pPr>
      <w:r>
        <w:t>Fenêtres coulissantes : ……</w:t>
      </w:r>
    </w:p>
    <w:p w14:paraId="57FADF95" w14:textId="77777777" w:rsidR="004B2808" w:rsidRDefault="00000000">
      <w:pPr>
        <w:pStyle w:val="Author-eListParagraph"/>
        <w:numPr>
          <w:ilvl w:val="0"/>
          <w:numId w:val="814"/>
        </w:numPr>
      </w:pPr>
      <w:r>
        <w:t>Fenêtres levantes-coulissantes : ……</w:t>
      </w:r>
    </w:p>
    <w:p w14:paraId="4E6041FA" w14:textId="77777777" w:rsidR="004B2808" w:rsidRDefault="00000000">
      <w:pPr>
        <w:pStyle w:val="Author-eListParagraph"/>
        <w:numPr>
          <w:ilvl w:val="0"/>
          <w:numId w:val="814"/>
        </w:numPr>
      </w:pPr>
      <w:r>
        <w:t>Fenêtres basculantes-coulissantes : ……</w:t>
      </w:r>
    </w:p>
    <w:p w14:paraId="5DCFEE68" w14:textId="77777777" w:rsidR="004B2808" w:rsidRDefault="00000000">
      <w:pPr>
        <w:pStyle w:val="Author-eListParagraph"/>
        <w:numPr>
          <w:ilvl w:val="0"/>
          <w:numId w:val="814"/>
        </w:numPr>
      </w:pPr>
      <w:r>
        <w:t>Fenêtres obliques / inclinées : ……</w:t>
      </w:r>
    </w:p>
    <w:p w14:paraId="0CF9FCC7" w14:textId="77777777" w:rsidR="004B2808" w:rsidRDefault="00000000">
      <w:pPr>
        <w:pStyle w:val="Author-eListParagraph"/>
        <w:numPr>
          <w:ilvl w:val="0"/>
          <w:numId w:val="814"/>
        </w:numPr>
      </w:pPr>
      <w:r>
        <w:t>Ensembles de fenêtres composées : ……</w:t>
      </w:r>
    </w:p>
    <w:p w14:paraId="6D630E78" w14:textId="77777777" w:rsidR="004B2808" w:rsidRDefault="00000000">
      <w:pPr>
        <w:pStyle w:val="Author-eListParagraph"/>
        <w:numPr>
          <w:ilvl w:val="0"/>
          <w:numId w:val="814"/>
        </w:numPr>
      </w:pPr>
      <w:r>
        <w:t>Portes extérieures simples : ……</w:t>
      </w:r>
    </w:p>
    <w:p w14:paraId="0C2F09EF" w14:textId="77777777" w:rsidR="004B2808" w:rsidRDefault="00000000">
      <w:pPr>
        <w:pStyle w:val="Author-eListParagraph"/>
        <w:numPr>
          <w:ilvl w:val="0"/>
          <w:numId w:val="814"/>
        </w:numPr>
      </w:pPr>
      <w:r>
        <w:t>Portes extérieures doubles : ……</w:t>
      </w:r>
    </w:p>
    <w:p w14:paraId="039CBE84" w14:textId="77777777" w:rsidR="004B2808" w:rsidRDefault="00000000">
      <w:pPr>
        <w:pStyle w:val="Author-eListParagraph"/>
        <w:numPr>
          <w:ilvl w:val="0"/>
          <w:numId w:val="814"/>
        </w:numPr>
      </w:pPr>
      <w:r>
        <w:t>Ensembles de portes extérieures composées: ……</w:t>
      </w:r>
    </w:p>
    <w:p w14:paraId="2F457345" w14:textId="77777777" w:rsidR="004B2808" w:rsidRDefault="00000000">
      <w:pPr>
        <w:pStyle w:val="heading"/>
      </w:pPr>
      <w:r>
        <w:t>Vitrages et panneaux de remplissage</w:t>
      </w:r>
    </w:p>
    <w:p w14:paraId="1663E314" w14:textId="77777777" w:rsidR="004B2808" w:rsidRDefault="00000000">
      <w:r>
        <w:t> (voir chapitre 41 Menuiseries extérieures)  </w:t>
      </w:r>
    </w:p>
    <w:p w14:paraId="110B34E9" w14:textId="77777777" w:rsidR="004B2808" w:rsidRDefault="00000000">
      <w:pPr>
        <w:pStyle w:val="heading"/>
      </w:pPr>
      <w:r>
        <w:t xml:space="preserve">Quincaillerie </w:t>
      </w:r>
    </w:p>
    <w:p w14:paraId="75F97C6C" w14:textId="77777777" w:rsidR="004B2808" w:rsidRDefault="00000000">
      <w:r>
        <w:lastRenderedPageBreak/>
        <w:t xml:space="preserve">Matériau des poignées et manettes : </w:t>
      </w:r>
      <w:r>
        <w:rPr>
          <w:rStyle w:val="optioncarChar"/>
        </w:rPr>
        <w:t>aluminium anodisé de teinte naturelle</w:t>
      </w:r>
      <w:r>
        <w:t> (par défaut)</w:t>
      </w:r>
      <w:r>
        <w:rPr>
          <w:rStyle w:val="optioncarChar"/>
        </w:rPr>
        <w:t xml:space="preserve"> / acier bichromaté / acier revêtu de Nylon coloré dans la masse de la même couleur que les profils / acier laqué dans la même couleur que la menuiserie / ***</w:t>
      </w:r>
    </w:p>
    <w:p w14:paraId="7F273AC2" w14:textId="77777777" w:rsidR="004B2808" w:rsidRDefault="00000000">
      <w:r>
        <w:t>Forme des poignées et manettes : </w:t>
      </w:r>
      <w:r>
        <w:rPr>
          <w:rStyle w:val="optioncarChar"/>
        </w:rPr>
        <w:t>type levier avec retour (PMR)</w:t>
      </w:r>
      <w:r>
        <w:t> (par défaut)</w:t>
      </w:r>
      <w:r>
        <w:rPr>
          <w:rStyle w:val="optioncarChar"/>
        </w:rPr>
        <w:t xml:space="preserve"> / type levier sans retour (PMR) / ***</w:t>
      </w:r>
    </w:p>
    <w:p w14:paraId="1F062AAD" w14:textId="77777777" w:rsidR="004B2808" w:rsidRDefault="00000000">
      <w:r>
        <w:t xml:space="preserve">Section des poignées et manettes : </w:t>
      </w:r>
      <w:r>
        <w:rPr>
          <w:rStyle w:val="optioncarChar"/>
        </w:rPr>
        <w:t>aplatie</w:t>
      </w:r>
      <w:r>
        <w:t> (par défaut)</w:t>
      </w:r>
      <w:r>
        <w:rPr>
          <w:rStyle w:val="optioncarChar"/>
        </w:rPr>
        <w:t xml:space="preserve"> / tubulaire (PMR) / ***</w:t>
      </w:r>
    </w:p>
    <w:p w14:paraId="4A9FEE9C" w14:textId="77777777" w:rsidR="004B2808" w:rsidRDefault="00000000">
      <w:r>
        <w:t xml:space="preserve">Charnières / Paumelles : </w:t>
      </w:r>
      <w:r>
        <w:rPr>
          <w:rStyle w:val="optioncarChar"/>
        </w:rPr>
        <w:t>acier laqué dans la même couleur que la menuiserie</w:t>
      </w:r>
      <w:r>
        <w:t> (par défaut)</w:t>
      </w:r>
      <w:r>
        <w:rPr>
          <w:rStyle w:val="optioncarChar"/>
        </w:rPr>
        <w:t xml:space="preserve"> / acier bichromaté / acier inoxydable / ***</w:t>
      </w:r>
    </w:p>
    <w:p w14:paraId="7491C69D" w14:textId="77777777" w:rsidR="004B2808" w:rsidRDefault="00000000">
      <w:r>
        <w:t>Serrures : </w:t>
      </w:r>
      <w:r>
        <w:rPr>
          <w:rStyle w:val="optioncarChar"/>
        </w:rPr>
        <w:t>cylindre profilé / cylindre de sécurité</w:t>
      </w:r>
      <w:r>
        <w:t xml:space="preserve"> en</w:t>
      </w:r>
      <w:r>
        <w:rPr>
          <w:rStyle w:val="optioncarChar"/>
        </w:rPr>
        <w:t> inox </w:t>
      </w:r>
      <w:r>
        <w:t>(par défaut)</w:t>
      </w:r>
      <w:r>
        <w:rPr>
          <w:rStyle w:val="optioncarChar"/>
        </w:rPr>
        <w:t xml:space="preserve"> / laiton / ***</w:t>
      </w:r>
    </w:p>
    <w:p w14:paraId="177D5D1D" w14:textId="77777777" w:rsidR="004B2808" w:rsidRDefault="00000000">
      <w:r>
        <w:t>Nombre de points de fermeture : </w:t>
      </w:r>
      <w:r>
        <w:rPr>
          <w:rStyle w:val="optioncarChar"/>
        </w:rPr>
        <w:t>3</w:t>
      </w:r>
      <w:r>
        <w:t> (par défaut)</w:t>
      </w:r>
      <w:r>
        <w:rPr>
          <w:rStyle w:val="optioncarChar"/>
        </w:rPr>
        <w:t xml:space="preserve"> / 4 / 5 / ***</w:t>
      </w:r>
    </w:p>
    <w:p w14:paraId="3F69E08D" w14:textId="77777777" w:rsidR="004B2808" w:rsidRDefault="00000000">
      <w:pPr>
        <w:pStyle w:val="pheading"/>
      </w:pPr>
      <w:r>
        <w:t>- Prescriptions complémentaires</w:t>
      </w:r>
    </w:p>
    <w:p w14:paraId="5BD851D8" w14:textId="77777777" w:rsidR="004B2808" w:rsidRDefault="00000000">
      <w:r>
        <w:t>Les ensembles de fenêtres atteignent un niveau d'insonorisation de 30 à 35 dB</w:t>
      </w:r>
    </w:p>
    <w:p w14:paraId="14C8B665" w14:textId="77777777" w:rsidR="004B2808" w:rsidRDefault="00000000">
      <w:pPr>
        <w:pStyle w:val="pheading"/>
      </w:pPr>
      <w:r>
        <w:t>EXÉCUTION / MISE EN ŒUVRE</w:t>
      </w:r>
    </w:p>
    <w:p w14:paraId="7309FBE2" w14:textId="77777777" w:rsidR="004B2808" w:rsidRDefault="00000000">
      <w:pPr>
        <w:pStyle w:val="pheading"/>
      </w:pPr>
      <w:r>
        <w:t>- Prescriptions générales</w:t>
      </w:r>
    </w:p>
    <w:p w14:paraId="6110F9F8" w14:textId="77777777" w:rsidR="004B2808" w:rsidRDefault="00000000">
      <w:r>
        <w:t>La pose des châssis est exécutée conformément à l'article 41.1 Fenêtres et portes-fenêtres portes et fenêtres extérieures - généralités  </w:t>
      </w:r>
    </w:p>
    <w:p w14:paraId="63529C72" w14:textId="77777777" w:rsidR="004B2808" w:rsidRDefault="00000000">
      <w:pPr>
        <w:pStyle w:val="pheading"/>
      </w:pPr>
      <w:r>
        <w:t>- Notes d’exécution complémentaires</w:t>
      </w:r>
    </w:p>
    <w:p w14:paraId="7348BD31" w14:textId="77777777" w:rsidR="004B2808" w:rsidRDefault="00000000">
      <w:r>
        <w:t xml:space="preserve">Disposition : minimum </w:t>
      </w:r>
      <w:r>
        <w:rPr>
          <w:rStyle w:val="optioncarChar"/>
        </w:rPr>
        <w:t>20</w:t>
      </w:r>
      <w:r>
        <w:t xml:space="preserve"> (par défaut) </w:t>
      </w:r>
      <w:r>
        <w:rPr>
          <w:rStyle w:val="optioncarChar"/>
        </w:rPr>
        <w:t>/ 30 / ***</w:t>
      </w:r>
      <w:r>
        <w:t xml:space="preserve"> mm derrière le jour du gros-œuvre .</w:t>
      </w:r>
      <w:r>
        <w:br/>
        <w:t xml:space="preserve">Ancrage : </w:t>
      </w:r>
      <w:r>
        <w:rPr>
          <w:rStyle w:val="optioncarChar"/>
        </w:rPr>
        <w:t>***</w:t>
      </w:r>
      <w:r>
        <w:br/>
        <w:t xml:space="preserve">Etanchéité : </w:t>
      </w:r>
      <w:r>
        <w:rPr>
          <w:rStyle w:val="optioncarChar"/>
        </w:rPr>
        <w:t>***  </w:t>
      </w:r>
    </w:p>
    <w:p w14:paraId="488F03B3" w14:textId="77777777" w:rsidR="004B2808" w:rsidRDefault="00000000">
      <w:pPr>
        <w:pStyle w:val="pheading"/>
      </w:pPr>
      <w:r>
        <w:t>MESURAGE</w:t>
      </w:r>
    </w:p>
    <w:p w14:paraId="318DD075" w14:textId="77777777" w:rsidR="004B2808" w:rsidRDefault="00000000">
      <w:r>
        <w:t>Conformément aux indications spécifiques dans le cahier spécial des charges et/ou le métré récapitulatif, le mesurage doit être conçu comme suit :</w:t>
      </w:r>
    </w:p>
    <w:p w14:paraId="2882D798" w14:textId="77777777" w:rsidR="004B2808" w:rsidRDefault="00000000">
      <w:pPr>
        <w:pStyle w:val="pheading"/>
      </w:pPr>
      <w:r>
        <w:t>- unité de mesure:</w:t>
      </w:r>
    </w:p>
    <w:p w14:paraId="3E95B9CF" w14:textId="77777777" w:rsidR="004B2808" w:rsidRDefault="00000000">
      <w:r>
        <w:t>m²</w:t>
      </w:r>
    </w:p>
    <w:p w14:paraId="11062101" w14:textId="77777777" w:rsidR="004B2808" w:rsidRDefault="00000000">
      <w:pPr>
        <w:pStyle w:val="pheading"/>
      </w:pPr>
      <w:r>
        <w:t>- code de mesurage:</w:t>
      </w:r>
    </w:p>
    <w:p w14:paraId="332CDEEF" w14:textId="77777777" w:rsidR="004B2808" w:rsidRDefault="00000000">
      <w:r>
        <w:t>(en principe, globalement, toutefois, le cas échéant, ventilé selon le type ou le modèle conformément aux indications dans le métré récapitulatif annexé au dossier d'adjudication), surface nette en développement de l'ouverture</w:t>
      </w:r>
    </w:p>
    <w:p w14:paraId="5B7139CF" w14:textId="77777777" w:rsidR="004B2808" w:rsidRDefault="00000000">
      <w:pPr>
        <w:pStyle w:val="pheading"/>
      </w:pPr>
      <w:r>
        <w:t>- nature du marché:</w:t>
      </w:r>
    </w:p>
    <w:p w14:paraId="21C3A2E0" w14:textId="77777777" w:rsidR="004B2808" w:rsidRDefault="00000000">
      <w:r>
        <w:t>QF</w:t>
      </w:r>
    </w:p>
    <w:p w14:paraId="694C3BB2" w14:textId="77777777" w:rsidR="004B2808" w:rsidRDefault="00000000">
      <w:pPr>
        <w:pStyle w:val="pheading"/>
      </w:pPr>
      <w:r>
        <w:t>AIDE</w:t>
      </w:r>
    </w:p>
    <w:p w14:paraId="2C9B1114" w14:textId="77777777" w:rsidR="004B2808" w:rsidRDefault="00000000">
      <w:r>
        <w:rPr>
          <w:i/>
          <w:u w:val="single"/>
        </w:rPr>
        <w:t>Note à l’attention de l’auteur de projet</w:t>
      </w:r>
    </w:p>
    <w:p w14:paraId="53EAF7F1" w14:textId="77777777" w:rsidR="004B2808" w:rsidRDefault="00000000">
      <w:r>
        <w:t>Note pour l'auteur de projet: En raison de leur  rigidité et durabilité élevées, ils sont particulièrement indiqués pour les accès principaux et/ou d'autres applications où les risques de condensation sont minimes (locaux non chauffés tels que les remises à vélos, …).</w:t>
      </w:r>
    </w:p>
    <w:p w14:paraId="7836C3EB" w14:textId="77777777" w:rsidR="004B2808" w:rsidRDefault="00000000">
      <w:r>
        <w:rPr>
          <w:i/>
          <w:u w:val="single"/>
        </w:rPr>
        <w:t>Note à l’attention de l’auteur de projet concernant le code de mesurage</w:t>
      </w:r>
    </w:p>
    <w:p w14:paraId="680719BC" w14:textId="77777777" w:rsidR="004B2808" w:rsidRDefault="00000000">
      <w:r>
        <w:t>Les différents types à distinguer éventuellement sont les châssis fixes, les fenêtres oscillo-battantes, les portes de terrasses oscillo-battantes, les portes basculantes-coulissantes, les fenêtres basculantes, les portes-fenêtres, les portes extérieures, … Les châssis composés de plusieurs éléments peuvent être ventilés par élément dans le métré récapitulatif. Les profils intermédiaires et les autres châssis intercalaires ne sont toutefois pas comptés séparément et sont compris dans le prix unitaire des éléments respectifs.</w:t>
      </w:r>
    </w:p>
    <w:p w14:paraId="73733BCD" w14:textId="77777777" w:rsidR="004B2808" w:rsidRDefault="00000000">
      <w:pPr>
        <w:pStyle w:val="Author-eSectionHeading5Numberless"/>
      </w:pPr>
      <w:bookmarkStart w:id="1036" w:name="_Toc220491167"/>
      <w:r>
        <w:lastRenderedPageBreak/>
        <w:t>55.13.2 Fenêtres et portes-fenêtres intérieures en acier AVEC coupure thermique CCTB 01.02</w:t>
      </w:r>
      <w:bookmarkEnd w:id="1036"/>
    </w:p>
    <w:p w14:paraId="26CA2701" w14:textId="77777777" w:rsidR="004B2808" w:rsidRDefault="00000000">
      <w:pPr>
        <w:pStyle w:val="Author-eSectionHeading6Numberless"/>
      </w:pPr>
      <w:bookmarkStart w:id="1037" w:name="_Toc220491168"/>
      <w:r>
        <w:t>55.13.2a Fenêtres et portes-fenêtres intérieures en acier AVEC coupure thermique CCTB 01.02</w:t>
      </w:r>
      <w:bookmarkEnd w:id="1037"/>
    </w:p>
    <w:p w14:paraId="34470AD6" w14:textId="77777777" w:rsidR="004B2808" w:rsidRDefault="00000000">
      <w:pPr>
        <w:pStyle w:val="Author-eSectionHeading4Numberless"/>
      </w:pPr>
      <w:bookmarkStart w:id="1038" w:name="_Toc220491169"/>
      <w:r>
        <w:t>55.14 Fenêtres intérieures en PVC CCTB 01.02</w:t>
      </w:r>
      <w:bookmarkEnd w:id="1038"/>
    </w:p>
    <w:p w14:paraId="2477736F" w14:textId="77777777" w:rsidR="004B2808" w:rsidRDefault="00000000">
      <w:pPr>
        <w:pStyle w:val="Author-eSectionHeading5Numberless"/>
      </w:pPr>
      <w:bookmarkStart w:id="1039" w:name="_Toc220491170"/>
      <w:r>
        <w:t>55.14.1 Fenêtres et portes-fenêtres intérieures en PVC CCTB 01.02</w:t>
      </w:r>
      <w:bookmarkEnd w:id="1039"/>
    </w:p>
    <w:p w14:paraId="15942BF0" w14:textId="77777777" w:rsidR="004B2808" w:rsidRDefault="00000000">
      <w:pPr>
        <w:pStyle w:val="Author-eSectionHeading6Numberless"/>
      </w:pPr>
      <w:bookmarkStart w:id="1040" w:name="_Toc220491171"/>
      <w:r>
        <w:t>55.14.1a Fenêtres et portes-fenêtres intérieures en PVC CCTB 01.11</w:t>
      </w:r>
      <w:bookmarkEnd w:id="1040"/>
    </w:p>
    <w:p w14:paraId="70665C05" w14:textId="77777777" w:rsidR="004B2808" w:rsidRDefault="00000000">
      <w:pPr>
        <w:pStyle w:val="pheading"/>
      </w:pPr>
      <w:r>
        <w:t>DESCRIPTION</w:t>
      </w:r>
    </w:p>
    <w:p w14:paraId="21E510BF" w14:textId="77777777" w:rsidR="004B2808" w:rsidRDefault="00000000">
      <w:pPr>
        <w:pStyle w:val="pheading"/>
      </w:pPr>
      <w:r>
        <w:t>- Définition / Comprend</w:t>
      </w:r>
    </w:p>
    <w:p w14:paraId="6BC03CA3" w14:textId="77777777" w:rsidR="004B2808" w:rsidRDefault="00000000">
      <w:r>
        <w:t>Les fenêtres intérieures sont considérées comme menuiserie en PVC lorsque la résistance mécanique de ces éléments est principalement assurée par le matériau "PVC". Les renforts internes ne changent rien au fait que ces éléments soient catalogués comme menuiserie en PVC.</w:t>
      </w:r>
    </w:p>
    <w:p w14:paraId="48E31D78" w14:textId="77777777" w:rsidR="004B2808" w:rsidRDefault="00000000">
      <w:r>
        <w:t xml:space="preserve">Attention : L'éventuel revêtement des portes et fenêtres en PVC est décrit à l'article </w:t>
      </w:r>
      <w:hyperlink w:anchor="1135" w:history="1">
        <w:r w:rsidR="004B2808">
          <w:rPr>
            <w:color w:val="0000EE"/>
          </w:rPr>
          <w:t>51.54 Enduit à base de plâtre</w:t>
        </w:r>
      </w:hyperlink>
      <w:r>
        <w:t>.</w:t>
      </w:r>
    </w:p>
    <w:p w14:paraId="4BEE5FEE" w14:textId="77777777" w:rsidR="004B2808" w:rsidRDefault="00000000">
      <w:pPr>
        <w:pStyle w:val="pheading"/>
      </w:pPr>
      <w:r>
        <w:t>MATÉRIAUX</w:t>
      </w:r>
    </w:p>
    <w:p w14:paraId="12E3176A" w14:textId="77777777" w:rsidR="004B2808" w:rsidRDefault="00000000">
      <w:pPr>
        <w:pStyle w:val="pheading"/>
      </w:pPr>
      <w:r>
        <w:t>- Caractéristiques générales</w:t>
      </w:r>
    </w:p>
    <w:p w14:paraId="2D05EAD7" w14:textId="77777777" w:rsidR="004B2808" w:rsidRDefault="00000000">
      <w:pPr>
        <w:pStyle w:val="heading"/>
      </w:pPr>
      <w:r>
        <w:t>PROFILÉS</w:t>
      </w:r>
    </w:p>
    <w:p w14:paraId="570F0FD3" w14:textId="77777777" w:rsidR="004B2808" w:rsidRDefault="00000000">
      <w:pPr>
        <w:pStyle w:val="heading"/>
      </w:pPr>
      <w:r>
        <w:t>Matières premières</w:t>
      </w:r>
    </w:p>
    <w:p w14:paraId="77DEE3B2" w14:textId="77777777" w:rsidR="004B2808" w:rsidRDefault="00000000">
      <w:r>
        <w:t>Les profilés des châssis sont fabriqués en profils creux extrudés en PVC non plastifié de type</w:t>
      </w:r>
      <w:r>
        <w:rPr>
          <w:rStyle w:val="optioncarChar"/>
        </w:rPr>
        <w:t> A</w:t>
      </w:r>
      <w:r>
        <w:t xml:space="preserve"> (par défaut) </w:t>
      </w:r>
      <w:r>
        <w:rPr>
          <w:rStyle w:val="optioncarChar"/>
        </w:rPr>
        <w:t>/ B / ***</w:t>
      </w:r>
      <w:r>
        <w:t>, conformément aux qualifications des [STS 52.3]. En ce qui concerne l'inaltérabilité des couleurs, une garantie de 10 ans doit être donnée. Au cours de cette période, une décoloration maximale est tolérée jusqu'au niveau 3 sur l'échelle des gris, selon l'[ISO 105/A02] (mesurage trichromatique des couleurs).</w:t>
      </w:r>
    </w:p>
    <w:p w14:paraId="3CD21FE5" w14:textId="77777777" w:rsidR="004B2808" w:rsidRDefault="00000000">
      <w:r>
        <w:t>La matière première du PVC et le système des profils ont obtenu un agrément répondant aux critères d'acceptabilité du produit tels que définis dans l'article 02.42.1 Critères d'acceptabilité.</w:t>
      </w:r>
    </w:p>
    <w:p w14:paraId="641E7453" w14:textId="77777777" w:rsidR="004B2808" w:rsidRDefault="00000000">
      <w:pPr>
        <w:pStyle w:val="heading"/>
      </w:pPr>
      <w:r>
        <w:t>Forme, type &amp; dimensions des profilés</w:t>
      </w:r>
    </w:p>
    <w:p w14:paraId="7F616FB6" w14:textId="77777777" w:rsidR="004B2808" w:rsidRDefault="00000000">
      <w:r>
        <w:t>L'épaisseur des parois et les dimensions des profilés doivent tenir compte des performances imposées, des notes de calcul, de la composition des éléments fixes et mobiles, de l'épaisseur et des performances des vitrages, le tout en conformité avec le critère d'acceptabilité.</w:t>
      </w:r>
    </w:p>
    <w:p w14:paraId="580797F8" w14:textId="77777777" w:rsidR="004B2808" w:rsidRDefault="00000000">
      <w:r>
        <w:t>Les profilés de résistance sont du type à plusieurs chambres. La chambre principale est suffisamment large pour l’introduction de profilés de renforcement en métal. Les profilés de résistance et les éventuels profilés de renforcement assurent ensemble la résistance mécanique de la menuiserie. La flèche ne peut pas dépasser 1/300. Les profilés de renfort sont calculés selon la méthode décrite par le fabricant. Les notes de calculs et les dessins d'exécution avec le détail des profilés utilisés, des renforts, etc. sont soumis à la demande de l'auteur de projet.</w:t>
      </w:r>
    </w:p>
    <w:p w14:paraId="365DF2DD" w14:textId="77777777" w:rsidR="004B2808" w:rsidRDefault="00000000">
      <w:r>
        <w:t>Les assemblages d’angle des profilés de renforcement sont réalisés à l’aide de pièces spéciales appropriées. Toute la quincaillerie encastrée est galvanisée (min. 19 microns) et / ou chromatée et les différents constituants qui sont encastrés dans le profilé sont enduits, pendant l’encastrement, d’une épaisse couche de graisse pour roulements à billes.</w:t>
      </w:r>
    </w:p>
    <w:p w14:paraId="4D3AE618" w14:textId="77777777" w:rsidR="004B2808" w:rsidRDefault="00000000">
      <w:r>
        <w:t>Les dimensions nominales des pièces terminées, exprimées en mm (sans décimales) sont les suivantes :</w:t>
      </w:r>
    </w:p>
    <w:p w14:paraId="679A1071" w14:textId="77777777" w:rsidR="004B2808" w:rsidRDefault="00000000">
      <w:pPr>
        <w:pStyle w:val="Author-eListParagraph"/>
        <w:numPr>
          <w:ilvl w:val="0"/>
          <w:numId w:val="815"/>
        </w:numPr>
      </w:pPr>
      <w:r>
        <w:t>épaisseur nominale des parois (parois extérieures) des profilés de résistance : ≥</w:t>
      </w:r>
      <w:r>
        <w:rPr>
          <w:rStyle w:val="optioncarChar"/>
        </w:rPr>
        <w:t> 2,8 </w:t>
      </w:r>
      <w:r>
        <w:t>(par défaut)</w:t>
      </w:r>
      <w:r>
        <w:rPr>
          <w:rStyle w:val="optioncarChar"/>
        </w:rPr>
        <w:t> / *** </w:t>
      </w:r>
      <w:r>
        <w:t>mm.</w:t>
      </w:r>
    </w:p>
    <w:p w14:paraId="1C75A435" w14:textId="77777777" w:rsidR="004B2808" w:rsidRDefault="00000000">
      <w:pPr>
        <w:pStyle w:val="Author-eListParagraph"/>
        <w:numPr>
          <w:ilvl w:val="0"/>
          <w:numId w:val="815"/>
        </w:numPr>
      </w:pPr>
      <w:r>
        <w:lastRenderedPageBreak/>
        <w:t xml:space="preserve">profondeur des profilés, mesurée perpendiculairement au vitrage : ≥ </w:t>
      </w:r>
      <w:r>
        <w:rPr>
          <w:rStyle w:val="optioncarChar"/>
        </w:rPr>
        <w:t>58</w:t>
      </w:r>
      <w:r>
        <w:t> (par défaut)</w:t>
      </w:r>
      <w:r>
        <w:rPr>
          <w:rStyle w:val="optioncarChar"/>
        </w:rPr>
        <w:t> / *** </w:t>
      </w:r>
      <w:r>
        <w:t>  mm.</w:t>
      </w:r>
    </w:p>
    <w:p w14:paraId="682940F8" w14:textId="77777777" w:rsidR="004B2808" w:rsidRDefault="00000000">
      <w:pPr>
        <w:pStyle w:val="Author-eListParagraph"/>
        <w:numPr>
          <w:ilvl w:val="0"/>
          <w:numId w:val="815"/>
        </w:numPr>
      </w:pPr>
      <w:r>
        <w:t xml:space="preserve">largeur des profilés, largeur surdimensionnée : ≥ </w:t>
      </w:r>
      <w:r>
        <w:rPr>
          <w:rStyle w:val="optioncarChar"/>
        </w:rPr>
        <w:t>***</w:t>
      </w:r>
      <w:r>
        <w:t xml:space="preserve"> mm </w:t>
      </w:r>
      <w:r>
        <w:rPr>
          <w:i/>
        </w:rPr>
        <w:t>(à compléter dans le cahier spécial des charges)</w:t>
      </w:r>
    </w:p>
    <w:p w14:paraId="11AE6162" w14:textId="77777777" w:rsidR="004B2808" w:rsidRDefault="00000000">
      <w:r>
        <w:t>Pour les cadres fixes, on utilise des profilés de dimensions normales; pour les vantaux ouvrants, il est toutefois préférable d'utiliser des profilés étroits (renforcés). Les châssis de dimensions réduites sont fabriqués au moyen de profilés étroits afin d'obtenir une fenêtre élégante avec une grande surface vitrée, tout en respectant les spécifications du fabricant. </w:t>
      </w:r>
    </w:p>
    <w:p w14:paraId="69DAA6AB" w14:textId="77777777" w:rsidR="004B2808" w:rsidRDefault="00000000">
      <w:r>
        <w:t>L'étanchéité à l'air des parties ouvrantes est assurée par au moins une étanchéité élastique. Les bandes d'étanchéité sont fabriquées en néoprène ou matière synthétique et sont enroulées dans le profil ou extrudées avec le profil . Elles sont toujours appliquées en longueurs complètes, dans les angles et sont enroulées ou soudées en onglet. Seules les étanchéités originales et prescrites par le fournisseur des profilés peuvent être utilisées. Elles font également partie de l'agrément technique obtenu pour le système de profilés.</w:t>
      </w:r>
    </w:p>
    <w:p w14:paraId="0438E590" w14:textId="77777777" w:rsidR="004B2808" w:rsidRDefault="00000000">
      <w:r>
        <w:t>Du côté de la feuillure du vitrage (extérieur), ainsi que du côté des parcloses (intérieur), les profilés de châssis en PVC présentent une légère inclinaison sur environ 15° afin de donner aux éléments un aspect plus élégant.</w:t>
      </w:r>
    </w:p>
    <w:p w14:paraId="15CB66F5" w14:textId="77777777" w:rsidR="004B2808" w:rsidRDefault="00000000">
      <w:r>
        <w:t>La feuillure extérieure des profilés de base contre laquelle le vitrage s'appuie doit présenter une hauteur minimale de 18 mm et doit faire partie intégrante du profil de base. La largeur des parcloses dépend de la largeur du profil de résistance et de l'épaisseur du vitrage ou du panneautage. Les parcloses sont fixées par assemblage à enclenchement.</w:t>
      </w:r>
    </w:p>
    <w:p w14:paraId="37398DD6" w14:textId="77777777" w:rsidR="004B2808" w:rsidRDefault="00000000">
      <w:pPr>
        <w:pStyle w:val="heading"/>
      </w:pPr>
      <w:r>
        <w:t>Assemblage &amp; Montage</w:t>
      </w:r>
    </w:p>
    <w:p w14:paraId="36031380" w14:textId="77777777" w:rsidR="004B2808" w:rsidRDefault="00000000">
      <w:r>
        <w:t>Le montage des profilés assure un assemblage étanche, selon la [NBN EN 514] .</w:t>
      </w:r>
    </w:p>
    <w:p w14:paraId="2F0FD74A" w14:textId="77777777" w:rsidR="004B2808" w:rsidRDefault="00000000">
      <w:r>
        <w:t xml:space="preserve">Les angles d’assemblage ne peuvent en aucun cas constituer des points de résistance diminuée pour le châssis, ni occasionner en ces points une dégradation des propriétés des profilés. Conformément aux [STS 52.3], les profilés sont, par conséquent, assemblés par </w:t>
      </w:r>
      <w:r>
        <w:rPr>
          <w:u w:val="single"/>
        </w:rPr>
        <w:t>soudure thermique</w:t>
      </w:r>
      <w:r>
        <w:t xml:space="preserve"> sans adjonction de matériau. Les soudures sont fraisées, nettoyées et polies. L'arasement des soudures ne peut en aucun cas diminuer l'aspect esthétique des châssis. Un écart d'épaisseur de maximum 0,5 mm par rapport à la surface du profil peut être admis.</w:t>
      </w:r>
    </w:p>
    <w:p w14:paraId="0DC2F7CB" w14:textId="77777777" w:rsidR="004B2808" w:rsidRDefault="00000000">
      <w:r>
        <w:t xml:space="preserve">Tous les montants intermédiaires et les assemblages transversaux doivent, en principe, également être assemblés par soudure thermique. Une exception peut uniquement être faite pour les assemblages en T et/ou en croix, où les </w:t>
      </w:r>
      <w:r>
        <w:rPr>
          <w:u w:val="single"/>
        </w:rPr>
        <w:t>assemblages mécaniques</w:t>
      </w:r>
      <w:r>
        <w:t xml:space="preserve"> sont admis, dans la mesure où le procédé appliqué a obtenu l'agrément technique UBAtc approprié.</w:t>
      </w:r>
    </w:p>
    <w:p w14:paraId="0BA8EC48" w14:textId="77777777" w:rsidR="004B2808" w:rsidRDefault="00000000">
      <w:r>
        <w:t>Lorsqu'un double vitrage est prévu, la feuillure est pourvue d'un dispositif d'écoulement et de ventilation conformément à la [NIT 221] et à la déclaration d'aptitude à l'utilisation conforme à 02.42.1 Critères d'acceptabilité.</w:t>
      </w:r>
    </w:p>
    <w:p w14:paraId="6A7D4F36" w14:textId="77777777" w:rsidR="004B2808" w:rsidRDefault="00000000">
      <w:r>
        <w:t>Lorsqu'un vitrage simple est prévu, les parcloses sont pourvues de rainures de condensation.</w:t>
      </w:r>
    </w:p>
    <w:p w14:paraId="6454A847" w14:textId="77777777" w:rsidR="004B2808" w:rsidRDefault="00000000">
      <w:pPr>
        <w:ind w:left="750"/>
      </w:pPr>
      <w:r>
        <w:t> </w:t>
      </w:r>
    </w:p>
    <w:p w14:paraId="1EC88795" w14:textId="77777777" w:rsidR="004B2808" w:rsidRDefault="00000000">
      <w:pPr>
        <w:pStyle w:val="pheading"/>
      </w:pPr>
      <w:r>
        <w:t>EXÉCUTION / MISE EN ŒUVRE</w:t>
      </w:r>
    </w:p>
    <w:p w14:paraId="0E06262A" w14:textId="77777777" w:rsidR="004B2808" w:rsidRDefault="00000000">
      <w:pPr>
        <w:pStyle w:val="pheading"/>
      </w:pPr>
      <w:r>
        <w:t>- Prescriptions générales</w:t>
      </w:r>
    </w:p>
    <w:p w14:paraId="1CF2D43B" w14:textId="77777777" w:rsidR="004B2808" w:rsidRDefault="00000000">
      <w:r>
        <w:t>La fourniture et la pose des fenêtres répondent aux prescriptions des [NIT 283] et [STS 52.3]. </w:t>
      </w:r>
      <w:r>
        <w:br/>
        <w:t>Toutes les pièces moulées par injection doivent également être comprises dans l'agrément technique du système afin de garantir une couleur uniforme avec les profilés principaux.</w:t>
      </w:r>
      <w:r>
        <w:br/>
        <w:t>En ce qui concerne leur dimensionnement et leur fonctionnalité, les ensembles de portes et fenêtres décrits doivent être compris dans l'agrément technique du système, à défaut de quoi un test séparé est exigé pour tout élément de porte ou de fenêtre divergent.</w:t>
      </w:r>
    </w:p>
    <w:p w14:paraId="2AC48D0A" w14:textId="77777777" w:rsidR="004B2808" w:rsidRDefault="00000000">
      <w:pPr>
        <w:ind w:left="750"/>
      </w:pPr>
      <w:r>
        <w:t> </w:t>
      </w:r>
    </w:p>
    <w:p w14:paraId="5163758C" w14:textId="77777777" w:rsidR="004B2808" w:rsidRDefault="00000000">
      <w:pPr>
        <w:pStyle w:val="pheading"/>
      </w:pPr>
      <w:r>
        <w:t>CONTRÔLES PARTICULIERS</w:t>
      </w:r>
    </w:p>
    <w:p w14:paraId="6FA16F8C" w14:textId="77777777" w:rsidR="004B2808" w:rsidRDefault="00000000">
      <w:r>
        <w:lastRenderedPageBreak/>
        <w:t>Si les châssis ont obtenu un agrément technique suivi UBAtc ou UEAtc, cela peut donner lieu à des tolérances dimensionnelles conformément à la [STS 52.1].</w:t>
      </w:r>
    </w:p>
    <w:p w14:paraId="1F413916" w14:textId="77777777" w:rsidR="004B2808" w:rsidRDefault="00000000">
      <w:pPr>
        <w:pStyle w:val="pheading"/>
      </w:pPr>
      <w:r>
        <w:t>MESURAGE</w:t>
      </w:r>
    </w:p>
    <w:p w14:paraId="2437B1C6" w14:textId="77777777" w:rsidR="004B2808" w:rsidRDefault="00000000">
      <w:r>
        <w:t>Conformément aux indications spécifiques dans le cahier spécial des charges et/ou le métré récapitulatif, le mesurage doit être conçu comme suit :</w:t>
      </w:r>
    </w:p>
    <w:p w14:paraId="07ABB5ED" w14:textId="77777777" w:rsidR="004B2808" w:rsidRDefault="00000000">
      <w:pPr>
        <w:pStyle w:val="pheading"/>
      </w:pPr>
      <w:r>
        <w:t>- unité de mesure:</w:t>
      </w:r>
    </w:p>
    <w:p w14:paraId="616EF307" w14:textId="77777777" w:rsidR="004B2808" w:rsidRDefault="00000000">
      <w:r>
        <w:t>m²</w:t>
      </w:r>
    </w:p>
    <w:p w14:paraId="786E3AA4" w14:textId="77777777" w:rsidR="004B2808" w:rsidRDefault="00000000">
      <w:pPr>
        <w:pStyle w:val="pheading"/>
      </w:pPr>
      <w:r>
        <w:t>- code de mesurage:</w:t>
      </w:r>
    </w:p>
    <w:p w14:paraId="37CCA362" w14:textId="77777777" w:rsidR="004B2808" w:rsidRDefault="00000000">
      <w:r>
        <w:t>(en principe, globalement, toutefois, le cas échéant, ventilé selon le type ou le modèle conformément aux indications dans le métré récapitulatif annexé au dossier d'adjudication), surface nette en développement</w:t>
      </w:r>
    </w:p>
    <w:p w14:paraId="40A4BF8B" w14:textId="77777777" w:rsidR="004B2808" w:rsidRDefault="00000000">
      <w:pPr>
        <w:pStyle w:val="pheading"/>
      </w:pPr>
      <w:r>
        <w:t>- nature du marché:</w:t>
      </w:r>
    </w:p>
    <w:p w14:paraId="0B550247" w14:textId="77777777" w:rsidR="004B2808" w:rsidRDefault="00000000">
      <w:r>
        <w:t>QF</w:t>
      </w:r>
    </w:p>
    <w:p w14:paraId="57451BE8" w14:textId="77777777" w:rsidR="004B2808" w:rsidRDefault="00000000">
      <w:pPr>
        <w:pStyle w:val="pheading"/>
      </w:pPr>
      <w:r>
        <w:t>AIDE</w:t>
      </w:r>
    </w:p>
    <w:p w14:paraId="114C8361" w14:textId="77777777" w:rsidR="004B2808" w:rsidRDefault="00000000">
      <w:r>
        <w:rPr>
          <w:i/>
          <w:u w:val="single"/>
        </w:rPr>
        <w:t>Note à l’attention de l’auteur de projet</w:t>
      </w:r>
    </w:p>
    <w:p w14:paraId="3F58C986" w14:textId="77777777" w:rsidR="004B2808" w:rsidRDefault="00000000">
      <w:pPr>
        <w:pStyle w:val="Author-eListParagraph"/>
        <w:numPr>
          <w:ilvl w:val="0"/>
          <w:numId w:val="816"/>
        </w:numPr>
      </w:pPr>
      <w:r>
        <w:t xml:space="preserve">Les différents types à distinguer éventuellement sont les châssis fixes, les fenêtres oscillo-battantes, les portes de terrasses oscillo-battantes, les portes basculantes-coulissantes, les fenêtres basculantes, les portes-fenêtres, les portes extérieures, … </w:t>
      </w:r>
    </w:p>
    <w:p w14:paraId="4C37F6BD" w14:textId="77777777" w:rsidR="004B2808" w:rsidRDefault="00000000">
      <w:pPr>
        <w:pStyle w:val="Author-eListParagraph"/>
        <w:numPr>
          <w:ilvl w:val="0"/>
          <w:numId w:val="816"/>
        </w:numPr>
      </w:pPr>
      <w:r>
        <w:t>Les châssis composés de plusieurs éléments peuvent être ventilés par élément dans le métré récapitulatif. Les profils intermédiaires et les autres châssis intercalaires ne sont toutefois pas comptés séparément.</w:t>
      </w:r>
    </w:p>
    <w:p w14:paraId="1A01A16E" w14:textId="77777777" w:rsidR="004B2808" w:rsidRDefault="00000000">
      <w:pPr>
        <w:pStyle w:val="Author-eSectionHeading4Numberless"/>
      </w:pPr>
      <w:bookmarkStart w:id="1041" w:name="_Toc220491172"/>
      <w:r>
        <w:t>55.15 Fenêtres intérieures en PUR CCTB 01.02</w:t>
      </w:r>
      <w:bookmarkEnd w:id="1041"/>
    </w:p>
    <w:p w14:paraId="4B9ABA99" w14:textId="77777777" w:rsidR="004B2808" w:rsidRDefault="00000000">
      <w:pPr>
        <w:pStyle w:val="Author-eSectionHeading5Numberless"/>
      </w:pPr>
      <w:bookmarkStart w:id="1042" w:name="_Toc220491173"/>
      <w:r>
        <w:t>55.15.1 Fenêtres et portes-fenêtres intérieures en PUR CCTB 01.02</w:t>
      </w:r>
      <w:bookmarkEnd w:id="1042"/>
    </w:p>
    <w:p w14:paraId="09F55DEC" w14:textId="77777777" w:rsidR="004B2808" w:rsidRDefault="00000000">
      <w:pPr>
        <w:pStyle w:val="Author-eSectionHeading6Numberless"/>
      </w:pPr>
      <w:bookmarkStart w:id="1043" w:name="_Toc220491174"/>
      <w:r>
        <w:t>55.15.1a Fenêtres et portes-fenêtres intérieures en PUR CCTB 01.10</w:t>
      </w:r>
      <w:bookmarkEnd w:id="1043"/>
    </w:p>
    <w:p w14:paraId="2520CE26" w14:textId="77777777" w:rsidR="004B2808" w:rsidRDefault="00000000">
      <w:pPr>
        <w:pStyle w:val="Author-eSectionHeading4Numberless"/>
      </w:pPr>
      <w:bookmarkStart w:id="1044" w:name="_Toc220491175"/>
      <w:r>
        <w:t>55.16 Fenêtres intérieures en verre CCTB 01.02</w:t>
      </w:r>
      <w:bookmarkEnd w:id="1044"/>
    </w:p>
    <w:p w14:paraId="7691501C" w14:textId="77777777" w:rsidR="004B2808" w:rsidRDefault="00000000">
      <w:pPr>
        <w:pStyle w:val="Author-eSectionHeading5Numberless"/>
      </w:pPr>
      <w:bookmarkStart w:id="1045" w:name="1317"/>
      <w:bookmarkStart w:id="1046" w:name="_Toc220491176"/>
      <w:bookmarkEnd w:id="1045"/>
      <w:r>
        <w:t>55.16.1 Fenêtres et portes-fenêtres intérieures en verre CCTB 01.12</w:t>
      </w:r>
      <w:bookmarkEnd w:id="1046"/>
    </w:p>
    <w:p w14:paraId="3FBB26E0" w14:textId="77777777" w:rsidR="004B2808" w:rsidRDefault="00000000">
      <w:pPr>
        <w:pStyle w:val="pheading"/>
      </w:pPr>
      <w:bookmarkStart w:id="1047" w:name="1314"/>
      <w:bookmarkEnd w:id="1047"/>
      <w:r>
        <w:t>DESCRIPTION</w:t>
      </w:r>
    </w:p>
    <w:p w14:paraId="09CF3E03" w14:textId="77777777" w:rsidR="004B2808" w:rsidRDefault="00000000">
      <w:pPr>
        <w:pStyle w:val="pheading"/>
      </w:pPr>
      <w:r>
        <w:t>- Définition / Comprend</w:t>
      </w:r>
    </w:p>
    <w:p w14:paraId="6E8ABC5F" w14:textId="77777777" w:rsidR="004B2808" w:rsidRDefault="00000000">
      <w:pPr>
        <w:jc w:val="both"/>
      </w:pPr>
      <w:r>
        <w:t>Cet élément comprend la fourniture et la pose de tous les éléments nécessaires à la composition des fenêtres et portes en verre intérieures en verre y compris toutes les pièces qui en font intrinsèquement partie.</w:t>
      </w:r>
    </w:p>
    <w:p w14:paraId="5B698D0F" w14:textId="77777777" w:rsidR="004B2808" w:rsidRDefault="004B2808">
      <w:pPr>
        <w:jc w:val="both"/>
      </w:pPr>
    </w:p>
    <w:p w14:paraId="7B555EB9" w14:textId="77777777" w:rsidR="004B2808" w:rsidRDefault="00000000">
      <w:pPr>
        <w:jc w:val="both"/>
      </w:pPr>
      <w:r>
        <w:t xml:space="preserve">Voir </w:t>
      </w:r>
      <w:hyperlink w:anchor="1317" w:history="1">
        <w:r w:rsidR="004B2808">
          <w:rPr>
            <w:color w:val="0000EE"/>
          </w:rPr>
          <w:t>55.16 Fenêtres intérieures en verre</w:t>
        </w:r>
      </w:hyperlink>
      <w:r>
        <w:t>.</w:t>
      </w:r>
    </w:p>
    <w:p w14:paraId="151FDD17" w14:textId="77777777" w:rsidR="004B2808" w:rsidRDefault="00000000">
      <w:pPr>
        <w:jc w:val="both"/>
      </w:pPr>
      <w:r>
        <w:t>Les opérations suivantes sont en outre d’application :</w:t>
      </w:r>
    </w:p>
    <w:p w14:paraId="027174D4" w14:textId="77777777" w:rsidR="004B2808" w:rsidRDefault="00000000">
      <w:pPr>
        <w:pStyle w:val="Author-eListParagraph"/>
        <w:numPr>
          <w:ilvl w:val="0"/>
          <w:numId w:val="817"/>
        </w:numPr>
        <w:jc w:val="both"/>
      </w:pPr>
      <w:r>
        <w:t>La coordination avec les parachèvements ;</w:t>
      </w:r>
    </w:p>
    <w:p w14:paraId="559BA8B4" w14:textId="77777777" w:rsidR="004B2808" w:rsidRDefault="00000000">
      <w:pPr>
        <w:pStyle w:val="Author-eListParagraph"/>
        <w:numPr>
          <w:ilvl w:val="0"/>
          <w:numId w:val="817"/>
        </w:numPr>
        <w:jc w:val="both"/>
      </w:pPr>
      <w:r>
        <w:t>La mise au point des plans et détails d’exécution ;</w:t>
      </w:r>
    </w:p>
    <w:p w14:paraId="4FA3EA5E" w14:textId="77777777" w:rsidR="004B2808" w:rsidRDefault="00000000">
      <w:pPr>
        <w:pStyle w:val="Author-eListParagraph"/>
        <w:numPr>
          <w:ilvl w:val="0"/>
          <w:numId w:val="817"/>
        </w:numPr>
        <w:jc w:val="both"/>
      </w:pPr>
      <w:r>
        <w:t>Toutes précautions en matière de sécurité conformément au 01.4 Plans de sécurité et de santé ;</w:t>
      </w:r>
    </w:p>
    <w:p w14:paraId="5E62F4FC" w14:textId="77777777" w:rsidR="004B2808" w:rsidRDefault="00000000">
      <w:pPr>
        <w:pStyle w:val="Author-eListParagraph"/>
        <w:numPr>
          <w:ilvl w:val="0"/>
          <w:numId w:val="817"/>
        </w:numPr>
        <w:jc w:val="both"/>
      </w:pPr>
      <w:r>
        <w:t>L’évacuation des déchets tel que décrit au 07 Déchets, matériaux et éléments réemployables</w:t>
      </w:r>
    </w:p>
    <w:p w14:paraId="155D4369" w14:textId="77777777" w:rsidR="004B2808" w:rsidRDefault="00000000">
      <w:pPr>
        <w:pStyle w:val="pheading"/>
      </w:pPr>
      <w:r>
        <w:t>MATÉRIAUX</w:t>
      </w:r>
    </w:p>
    <w:p w14:paraId="35EFE125" w14:textId="77777777" w:rsidR="004B2808" w:rsidRDefault="00000000">
      <w:pPr>
        <w:spacing w:line="256" w:lineRule="auto"/>
        <w:jc w:val="both"/>
      </w:pPr>
      <w:r>
        <w:rPr>
          <w:b/>
          <w:color w:val="000000"/>
        </w:rPr>
        <w:t>Résistance des cloisons intérieures :</w:t>
      </w:r>
      <w:r>
        <w:rPr>
          <w:color w:val="000000"/>
        </w:rPr>
        <w:t xml:space="preserve"> notes de calcul à présenter par l’entreprise à la direction des travaux concernant : </w:t>
      </w:r>
    </w:p>
    <w:p w14:paraId="4E9D25A7" w14:textId="77777777" w:rsidR="004B2808" w:rsidRDefault="00000000">
      <w:pPr>
        <w:pStyle w:val="Author-eListParagraph"/>
        <w:numPr>
          <w:ilvl w:val="0"/>
          <w:numId w:val="818"/>
        </w:numPr>
      </w:pPr>
      <w:r>
        <w:rPr>
          <w:color w:val="000000"/>
        </w:rPr>
        <w:lastRenderedPageBreak/>
        <w:t xml:space="preserve">la pression différentielle due à l’action du vent suivant [NBN S 23-002-3] classe : </w:t>
      </w:r>
      <w:r>
        <w:rPr>
          <w:rStyle w:val="optioncarChar"/>
        </w:rPr>
        <w:t>1 à 5 / 6 / 7</w:t>
      </w:r>
    </w:p>
    <w:p w14:paraId="7DBA5001" w14:textId="77777777" w:rsidR="004B2808" w:rsidRDefault="00000000">
      <w:pPr>
        <w:pStyle w:val="Author-eListParagraph"/>
        <w:numPr>
          <w:ilvl w:val="0"/>
          <w:numId w:val="818"/>
        </w:numPr>
      </w:pPr>
      <w:r>
        <w:rPr>
          <w:color w:val="000000"/>
        </w:rPr>
        <w:t xml:space="preserve">la résistance et la stabilité face à un choc accidentel par un corps humain, suivant catégorie d’usage : </w:t>
      </w:r>
      <w:r>
        <w:rPr>
          <w:rStyle w:val="optioncarChar"/>
        </w:rPr>
        <w:t>A / B / C1 à C4 / D1 et D2 / C5</w:t>
      </w:r>
    </w:p>
    <w:p w14:paraId="6F9C3C7B" w14:textId="77777777" w:rsidR="004B2808" w:rsidRDefault="00000000">
      <w:pPr>
        <w:spacing w:line="256" w:lineRule="auto"/>
        <w:jc w:val="both"/>
      </w:pPr>
      <w:r>
        <w:rPr>
          <w:b/>
          <w:color w:val="000000"/>
        </w:rPr>
        <w:t>Choix du type de vitrage en fonction de la sécurité des personnes</w:t>
      </w:r>
      <w:r>
        <w:rPr>
          <w:color w:val="000000"/>
        </w:rPr>
        <w:t xml:space="preserve"> suivant [NBN S 23-002] point 4.4.2.2.1 : </w:t>
      </w:r>
    </w:p>
    <w:p w14:paraId="57C94048" w14:textId="77777777" w:rsidR="004B2808" w:rsidRDefault="00000000">
      <w:pPr>
        <w:pStyle w:val="Author-eListParagraph"/>
        <w:numPr>
          <w:ilvl w:val="0"/>
          <w:numId w:val="819"/>
        </w:numPr>
      </w:pPr>
      <w:r>
        <w:t>Les spécifications du tableau 5 Spécifications des types de casse sont un minimum à respecter.</w:t>
      </w:r>
    </w:p>
    <w:p w14:paraId="5EB3DEE6" w14:textId="77777777" w:rsidR="004B2808" w:rsidRDefault="00000000">
      <w:pPr>
        <w:pStyle w:val="Author-eListParagraph"/>
        <w:numPr>
          <w:ilvl w:val="0"/>
          <w:numId w:val="819"/>
        </w:numPr>
      </w:pPr>
      <w:r>
        <w:t>Le constructeur détermine les épaisseurs de vitrage et le type en fonction de la note de calcul à transmettre pour approbation à la direction des travaux.</w:t>
      </w:r>
    </w:p>
    <w:p w14:paraId="357B081B" w14:textId="77777777" w:rsidR="004B2808" w:rsidRDefault="00000000">
      <w:pPr>
        <w:pStyle w:val="Author-eListParagraph"/>
        <w:numPr>
          <w:ilvl w:val="0"/>
          <w:numId w:val="819"/>
        </w:numPr>
      </w:pPr>
      <w:r>
        <w:t>La position du verre de sécurité dans le vitrage isolant est déterminée en fonction du côté où le choc risque de se produire.</w:t>
      </w:r>
    </w:p>
    <w:p w14:paraId="4BF2B286" w14:textId="77777777" w:rsidR="004B2808" w:rsidRDefault="00000000">
      <w:pPr>
        <w:jc w:val="both"/>
      </w:pPr>
      <w:r>
        <w:rPr>
          <w:b/>
          <w:color w:val="000000"/>
        </w:rPr>
        <w:t>Aspects environnementaux : </w:t>
      </w:r>
    </w:p>
    <w:p w14:paraId="38B799CB" w14:textId="77777777" w:rsidR="004B2808" w:rsidRDefault="00000000">
      <w:pPr>
        <w:jc w:val="both"/>
      </w:pPr>
      <w:r>
        <w:t>Profilés aluminium :</w:t>
      </w:r>
    </w:p>
    <w:p w14:paraId="7693D5C9" w14:textId="77777777" w:rsidR="004B2808" w:rsidRDefault="00000000">
      <w:pPr>
        <w:pStyle w:val="Author-eListParagraph"/>
        <w:numPr>
          <w:ilvl w:val="0"/>
          <w:numId w:val="820"/>
        </w:numPr>
      </w:pPr>
      <w:r>
        <w:t xml:space="preserve">Les profilés aluminium sont labellisés Craddle to Craddle : </w:t>
      </w:r>
      <w:r>
        <w:rPr>
          <w:rStyle w:val="optioncarChar"/>
        </w:rPr>
        <w:t>oui (par défaut) / non</w:t>
      </w:r>
    </w:p>
    <w:p w14:paraId="207D8671" w14:textId="77777777" w:rsidR="004B2808" w:rsidRDefault="00000000">
      <w:pPr>
        <w:pStyle w:val="Author-eListParagraph"/>
        <w:numPr>
          <w:ilvl w:val="0"/>
          <w:numId w:val="820"/>
        </w:numPr>
      </w:pPr>
      <w:r>
        <w:rPr>
          <w:color w:val="000000"/>
        </w:rPr>
        <w:t>Les profilés sont réalisés avec une part d’aluminium recyclé : ≥</w:t>
      </w:r>
      <w:r>
        <w:rPr>
          <w:rStyle w:val="optioncarChar"/>
        </w:rPr>
        <w:t xml:space="preserve"> 40 (par défaut) / 70 / *** </w:t>
      </w:r>
      <w:r>
        <w:t>%</w:t>
      </w:r>
    </w:p>
    <w:p w14:paraId="0A9B71CC" w14:textId="77777777" w:rsidR="004B2808" w:rsidRDefault="00000000">
      <w:pPr>
        <w:jc w:val="both"/>
      </w:pPr>
      <w:r>
        <w:t>Profilés acier :</w:t>
      </w:r>
    </w:p>
    <w:p w14:paraId="0869634C" w14:textId="77777777" w:rsidR="004B2808" w:rsidRDefault="00000000">
      <w:pPr>
        <w:pStyle w:val="Author-eListParagraph"/>
        <w:numPr>
          <w:ilvl w:val="0"/>
          <w:numId w:val="821"/>
        </w:numPr>
      </w:pPr>
      <w:r>
        <w:rPr>
          <w:color w:val="000000"/>
        </w:rPr>
        <w:t>Les profilés sont réalisés avec une part d’acier recyclé : ≥</w:t>
      </w:r>
      <w:r>
        <w:rPr>
          <w:rStyle w:val="optioncarChar"/>
        </w:rPr>
        <w:t xml:space="preserve"> 30 (par défaut) / 50 / ***</w:t>
      </w:r>
      <w:r>
        <w:t> %</w:t>
      </w:r>
    </w:p>
    <w:p w14:paraId="4E131953" w14:textId="77777777" w:rsidR="004B2808" w:rsidRDefault="00000000">
      <w:pPr>
        <w:jc w:val="both"/>
      </w:pPr>
      <w:r>
        <w:t>Vitrage</w:t>
      </w:r>
    </w:p>
    <w:p w14:paraId="4DBF6044" w14:textId="77777777" w:rsidR="004B2808" w:rsidRDefault="00000000">
      <w:pPr>
        <w:pStyle w:val="Author-eListParagraph"/>
        <w:numPr>
          <w:ilvl w:val="0"/>
          <w:numId w:val="822"/>
        </w:numPr>
        <w:jc w:val="both"/>
      </w:pPr>
      <w:r>
        <w:rPr>
          <w:color w:val="000000"/>
        </w:rPr>
        <w:t xml:space="preserve">Le vitrage utilisé contient une part de verre recyclé: ≥ </w:t>
      </w:r>
      <w:r>
        <w:rPr>
          <w:rStyle w:val="optioncarChar"/>
        </w:rPr>
        <w:t>30 (par défaut) / ***</w:t>
      </w:r>
      <w:r>
        <w:t> %</w:t>
      </w:r>
    </w:p>
    <w:p w14:paraId="41DCE5BF" w14:textId="77777777" w:rsidR="004B2808" w:rsidRDefault="00000000">
      <w:pPr>
        <w:pStyle w:val="pheading"/>
      </w:pPr>
      <w:r>
        <w:t>EXÉCUTION / MISE EN ŒUVRE</w:t>
      </w:r>
    </w:p>
    <w:p w14:paraId="5266B072" w14:textId="77777777" w:rsidR="004B2808" w:rsidRDefault="00000000">
      <w:pPr>
        <w:jc w:val="both"/>
      </w:pPr>
      <w:r>
        <w:t>Compte tenu de l’intégration des dormants dans les parachèvements intérieurs, la coordination entre ces éléments est particulièrement exigeante. Les tolérances habituelles sur les parachèvements ne suffisent pas toujours à une réalisation parfaite.</w:t>
      </w:r>
    </w:p>
    <w:p w14:paraId="488BDA02" w14:textId="77777777" w:rsidR="004B2808" w:rsidRDefault="00000000">
      <w:pPr>
        <w:jc w:val="both"/>
      </w:pPr>
      <w:r>
        <w:t>La succession des travaux est telle que le niveau de finition attendu soit réalisé. L’entrepreneur chargé de la fourniture et pose des fenêtres participe à la coordination des travaux avec l’architecte et les entreprises des finitions adjacentes aux fenêtres.</w:t>
      </w:r>
    </w:p>
    <w:p w14:paraId="38375B57" w14:textId="77777777" w:rsidR="004B2808" w:rsidRDefault="00000000">
      <w:pPr>
        <w:jc w:val="both"/>
      </w:pPr>
      <w:r>
        <w:t>La mise en œuvre est effectuée conformément aux prescriptions de la documentation technique accompagnant le produit ainsi que selon les indications sur les plans et les dessins de détail.</w:t>
      </w:r>
    </w:p>
    <w:p w14:paraId="3EB7DF90" w14:textId="77777777" w:rsidR="004B2808" w:rsidRDefault="00000000">
      <w:pPr>
        <w:jc w:val="both"/>
      </w:pPr>
      <w:r>
        <w:t>Les moyens de fixation permettent le réglage en fonction de la tolérance sur le gros œuvre.</w:t>
      </w:r>
    </w:p>
    <w:p w14:paraId="2F0871AD" w14:textId="77777777" w:rsidR="004B2808" w:rsidRDefault="00000000">
      <w:pPr>
        <w:jc w:val="both"/>
      </w:pPr>
      <w:r>
        <w:t>Tous les raccords avec les éléments de gros œuvre et parachèvements adjacents sont détaillés dans les plans d’exécution des fenêtres et portes.</w:t>
      </w:r>
    </w:p>
    <w:p w14:paraId="71FDD5EF" w14:textId="77777777" w:rsidR="004B2808" w:rsidRDefault="00000000">
      <w:pPr>
        <w:jc w:val="both"/>
      </w:pPr>
      <w:r>
        <w:t>Les détails d’exécution établis par l’entrepreneur et présentés pour approbation à la direction des travaux comportent :</w:t>
      </w:r>
    </w:p>
    <w:p w14:paraId="320514BB" w14:textId="77777777" w:rsidR="004B2808" w:rsidRDefault="00000000">
      <w:pPr>
        <w:pStyle w:val="Author-eListParagraph"/>
        <w:numPr>
          <w:ilvl w:val="0"/>
          <w:numId w:val="823"/>
        </w:numPr>
      </w:pPr>
      <w:r>
        <w:t>Les éléments de fixation ;</w:t>
      </w:r>
    </w:p>
    <w:p w14:paraId="07F91AC9" w14:textId="77777777" w:rsidR="004B2808" w:rsidRDefault="00000000">
      <w:pPr>
        <w:pStyle w:val="Author-eListParagraph"/>
        <w:numPr>
          <w:ilvl w:val="0"/>
          <w:numId w:val="823"/>
        </w:numPr>
      </w:pPr>
      <w:r>
        <w:t>Les raccords entre les dormants et les parachèvements adjacents ;</w:t>
      </w:r>
    </w:p>
    <w:p w14:paraId="7A85441E" w14:textId="77777777" w:rsidR="004B2808" w:rsidRDefault="00000000">
      <w:pPr>
        <w:pStyle w:val="Author-eListParagraph"/>
        <w:numPr>
          <w:ilvl w:val="0"/>
          <w:numId w:val="823"/>
        </w:numPr>
      </w:pPr>
      <w:r>
        <w:t>La mention des tolérances d’exécution plus sévères que la normale qu’il est indispensable de respecter pour obtenir l’alignement correct des dormants dans les matériaux de parachèvement.</w:t>
      </w:r>
    </w:p>
    <w:p w14:paraId="65932E74" w14:textId="77777777" w:rsidR="004B2808" w:rsidRDefault="00000000">
      <w:pPr>
        <w:jc w:val="both"/>
      </w:pPr>
      <w:r>
        <w:t>Tolérances de mise en œuvre suivant [NIT 275] :</w:t>
      </w:r>
    </w:p>
    <w:p w14:paraId="5A6A0636" w14:textId="77777777" w:rsidR="004B2808" w:rsidRDefault="00000000">
      <w:pPr>
        <w:pStyle w:val="Author-eListParagraph"/>
        <w:numPr>
          <w:ilvl w:val="0"/>
          <w:numId w:val="824"/>
        </w:numPr>
        <w:jc w:val="both"/>
      </w:pPr>
      <w:r>
        <w:t>Verticalité suivant tableau 28</w:t>
      </w:r>
    </w:p>
    <w:p w14:paraId="307D18F0" w14:textId="77777777" w:rsidR="004B2808" w:rsidRDefault="00000000">
      <w:pPr>
        <w:pStyle w:val="Author-eListParagraph"/>
        <w:numPr>
          <w:ilvl w:val="0"/>
          <w:numId w:val="824"/>
        </w:numPr>
        <w:jc w:val="both"/>
      </w:pPr>
      <w:r>
        <w:t>Désaffleurement entre panneaux vitrés suivant 3.7.2.4</w:t>
      </w:r>
    </w:p>
    <w:p w14:paraId="4A32886D" w14:textId="77777777" w:rsidR="004B2808" w:rsidRDefault="00000000">
      <w:pPr>
        <w:pStyle w:val="Author-eListParagraph"/>
        <w:numPr>
          <w:ilvl w:val="0"/>
          <w:numId w:val="824"/>
        </w:numPr>
        <w:jc w:val="both"/>
      </w:pPr>
      <w:r>
        <w:t>Écart de pose entre éléments suivant 3.7.2.5</w:t>
      </w:r>
    </w:p>
    <w:p w14:paraId="0FA8A441" w14:textId="77777777" w:rsidR="004B2808" w:rsidRDefault="00000000">
      <w:pPr>
        <w:pStyle w:val="pheading"/>
      </w:pPr>
      <w:r>
        <w:t>DOCUMENTS DE RÉFÉRENCE</w:t>
      </w:r>
    </w:p>
    <w:p w14:paraId="53B1FF3E" w14:textId="77777777" w:rsidR="004B2808" w:rsidRDefault="00000000">
      <w:pPr>
        <w:pStyle w:val="pheading"/>
      </w:pPr>
      <w:r>
        <w:t>- Matériau</w:t>
      </w:r>
    </w:p>
    <w:p w14:paraId="6E99DF1D" w14:textId="77777777" w:rsidR="004B2808" w:rsidRDefault="00000000">
      <w:r>
        <w:t>[NIT 233, Les cloisons légères.]</w:t>
      </w:r>
    </w:p>
    <w:p w14:paraId="20114377" w14:textId="77777777" w:rsidR="004B2808" w:rsidRDefault="00000000">
      <w:r>
        <w:lastRenderedPageBreak/>
        <w:t>[NIT 261, Ouvrages particuliers en verre. Partie 2 : applications non structurales (vitrines, portes et ensembles en verre trempé).]</w:t>
      </w:r>
    </w:p>
    <w:p w14:paraId="5155DD4F" w14:textId="77777777" w:rsidR="004B2808" w:rsidRDefault="00000000">
      <w:pPr>
        <w:pStyle w:val="pheading"/>
      </w:pPr>
      <w:r>
        <w:t>- Exécution</w:t>
      </w:r>
    </w:p>
    <w:p w14:paraId="6617F890" w14:textId="77777777" w:rsidR="004B2808" w:rsidRDefault="00000000">
      <w:r>
        <w:t>[NIT 275, Ouvrages particuliers en verre. Partie 3 : applications non structurales (cloisons intérieures en verre).]</w:t>
      </w:r>
    </w:p>
    <w:p w14:paraId="40A7967C" w14:textId="77777777" w:rsidR="004B2808" w:rsidRDefault="00000000">
      <w:pPr>
        <w:pStyle w:val="Author-eSectionHeading6Numberless"/>
      </w:pPr>
      <w:bookmarkStart w:id="1048" w:name="_Toc220491177"/>
      <w:r>
        <w:t>55.16.1a Fenêtres et portes-fenêtres intérieures en verre CCTB 01.12</w:t>
      </w:r>
      <w:bookmarkEnd w:id="1048"/>
    </w:p>
    <w:p w14:paraId="7844FBA5" w14:textId="77777777" w:rsidR="004B2808" w:rsidRDefault="00000000">
      <w:pPr>
        <w:pStyle w:val="pheading"/>
      </w:pPr>
      <w:r>
        <w:t>DESCRIPTION</w:t>
      </w:r>
    </w:p>
    <w:p w14:paraId="0976D8AA" w14:textId="77777777" w:rsidR="004B2808" w:rsidRDefault="00000000">
      <w:pPr>
        <w:pStyle w:val="pheading"/>
      </w:pPr>
      <w:r>
        <w:t>- Définition / Comprend</w:t>
      </w:r>
    </w:p>
    <w:p w14:paraId="2F629EA4" w14:textId="77777777" w:rsidR="004B2808" w:rsidRDefault="00000000">
      <w:pPr>
        <w:jc w:val="both"/>
      </w:pPr>
      <w:r>
        <w:t>Il s’agit de la fourniture et la pose de fenêtres et portes en verre intérieures en verre.</w:t>
      </w:r>
    </w:p>
    <w:p w14:paraId="756CCBD9" w14:textId="77777777" w:rsidR="004B2808" w:rsidRDefault="00000000">
      <w:pPr>
        <w:jc w:val="both"/>
      </w:pPr>
      <w:r>
        <w:t xml:space="preserve">Voir </w:t>
      </w:r>
      <w:hyperlink w:anchor="1314" w:history="1">
        <w:r w:rsidR="004B2808">
          <w:rPr>
            <w:color w:val="0000EE"/>
          </w:rPr>
          <w:t>55.16.1 Fenêtres et portes-fenêtres intérieures en verre</w:t>
        </w:r>
      </w:hyperlink>
      <w:r>
        <w:t>.</w:t>
      </w:r>
    </w:p>
    <w:p w14:paraId="69D52E9A" w14:textId="77777777" w:rsidR="004B2808" w:rsidRDefault="00000000">
      <w:pPr>
        <w:pStyle w:val="pheading"/>
      </w:pPr>
      <w:r>
        <w:t>MATÉRIAUX</w:t>
      </w:r>
    </w:p>
    <w:p w14:paraId="3269C401" w14:textId="77777777" w:rsidR="004B2808" w:rsidRDefault="00000000">
      <w:pPr>
        <w:pStyle w:val="pheading"/>
      </w:pPr>
      <w:r>
        <w:t>- Caractéristiques générales</w:t>
      </w:r>
    </w:p>
    <w:p w14:paraId="1E913015" w14:textId="77777777" w:rsidR="004B2808" w:rsidRDefault="00000000">
      <w:pPr>
        <w:jc w:val="both"/>
      </w:pPr>
      <w:r>
        <w:t xml:space="preserve">Matériau du dormant et cadre : </w:t>
      </w:r>
      <w:r>
        <w:rPr>
          <w:rStyle w:val="optioncarChar"/>
        </w:rPr>
        <w:t>acier</w:t>
      </w:r>
      <w:r>
        <w:t xml:space="preserve"> (par défaut) </w:t>
      </w:r>
      <w:r>
        <w:rPr>
          <w:rStyle w:val="optioncarChar"/>
        </w:rPr>
        <w:t>/ aluminium</w:t>
      </w:r>
    </w:p>
    <w:p w14:paraId="42EE67AD" w14:textId="77777777" w:rsidR="004B2808" w:rsidRDefault="00000000">
      <w:pPr>
        <w:jc w:val="both"/>
      </w:pPr>
      <w:r>
        <w:rPr>
          <w:b/>
        </w:rPr>
        <w:t>(soit par défaut)</w:t>
      </w:r>
    </w:p>
    <w:p w14:paraId="4F0C2DB7" w14:textId="77777777" w:rsidR="004B2808" w:rsidRDefault="00000000">
      <w:pPr>
        <w:jc w:val="both"/>
      </w:pPr>
      <w:r>
        <w:rPr>
          <w:rStyle w:val="soitChar"/>
          <w:u w:val="single"/>
        </w:rPr>
        <w:t>Acier :</w:t>
      </w:r>
    </w:p>
    <w:p w14:paraId="2142A577" w14:textId="77777777" w:rsidR="004B2808" w:rsidRDefault="00000000">
      <w:pPr>
        <w:pStyle w:val="Author-eListParagraph"/>
        <w:numPr>
          <w:ilvl w:val="0"/>
          <w:numId w:val="825"/>
        </w:numPr>
      </w:pPr>
      <w:r>
        <w:rPr>
          <w:rStyle w:val="soitChar"/>
        </w:rPr>
        <w:t xml:space="preserve">Alliage : </w:t>
      </w:r>
      <w:r>
        <w:rPr>
          <w:rStyle w:val="optioncarChar"/>
        </w:rPr>
        <w:t>acier S235</w:t>
      </w:r>
      <w:r>
        <w:t xml:space="preserve"> (par défaut)</w:t>
      </w:r>
      <w:r>
        <w:rPr>
          <w:rStyle w:val="optioncarChar"/>
        </w:rPr>
        <w:t xml:space="preserve"> / ***</w:t>
      </w:r>
    </w:p>
    <w:p w14:paraId="14D293DC" w14:textId="77777777" w:rsidR="004B2808" w:rsidRDefault="00000000">
      <w:pPr>
        <w:pStyle w:val="Author-eListParagraph"/>
        <w:numPr>
          <w:ilvl w:val="0"/>
          <w:numId w:val="825"/>
        </w:numPr>
      </w:pPr>
      <w:r>
        <w:rPr>
          <w:rStyle w:val="soitChar"/>
        </w:rPr>
        <w:t>Finition pourvue du label [Qualisteelcoat]</w:t>
      </w:r>
    </w:p>
    <w:p w14:paraId="6D7F194A" w14:textId="77777777" w:rsidR="004B2808" w:rsidRDefault="00000000">
      <w:pPr>
        <w:pStyle w:val="Author-eListParagraph"/>
        <w:numPr>
          <w:ilvl w:val="0"/>
          <w:numId w:val="825"/>
        </w:numPr>
      </w:pPr>
      <w:r>
        <w:rPr>
          <w:rStyle w:val="soitChar"/>
        </w:rPr>
        <w:t xml:space="preserve">La protection des profilés acier est effectuée par : </w:t>
      </w:r>
      <w:r>
        <w:rPr>
          <w:rStyle w:val="optioncarChar"/>
        </w:rPr>
        <w:t xml:space="preserve">métallisation </w:t>
      </w:r>
      <w:r>
        <w:t>(par défaut)</w:t>
      </w:r>
      <w:r>
        <w:rPr>
          <w:rStyle w:val="optioncarChar"/>
        </w:rPr>
        <w:t xml:space="preserve"> / phosphatation / galvanisation</w:t>
      </w:r>
    </w:p>
    <w:p w14:paraId="3FFA18D4" w14:textId="77777777" w:rsidR="004B2808" w:rsidRDefault="00000000">
      <w:pPr>
        <w:ind w:left="567"/>
        <w:jc w:val="both"/>
      </w:pPr>
      <w:r>
        <w:rPr>
          <w:b/>
        </w:rPr>
        <w:t>(soit par défaut) </w:t>
      </w:r>
    </w:p>
    <w:p w14:paraId="78975B0C" w14:textId="77777777" w:rsidR="004B2808" w:rsidRDefault="00000000">
      <w:pPr>
        <w:ind w:left="567"/>
        <w:jc w:val="both"/>
      </w:pPr>
      <w:r>
        <w:rPr>
          <w:rStyle w:val="soitChar"/>
          <w:u w:val="single"/>
        </w:rPr>
        <w:t>Métallisation :</w:t>
      </w:r>
      <w:r>
        <w:rPr>
          <w:rStyle w:val="soitChar"/>
        </w:rPr>
        <w:t xml:space="preserve"> selon la classe Zn40, la première couche de peinture à base de chromate de zinc est appliquée en atelier ;</w:t>
      </w:r>
    </w:p>
    <w:p w14:paraId="618CD9FD" w14:textId="77777777" w:rsidR="004B2808" w:rsidRDefault="00000000">
      <w:pPr>
        <w:ind w:left="567"/>
        <w:jc w:val="both"/>
      </w:pPr>
      <w:r>
        <w:rPr>
          <w:b/>
        </w:rPr>
        <w:t>(soit) </w:t>
      </w:r>
    </w:p>
    <w:p w14:paraId="739397D9" w14:textId="77777777" w:rsidR="004B2808" w:rsidRDefault="00000000">
      <w:pPr>
        <w:ind w:left="567"/>
        <w:jc w:val="both"/>
      </w:pPr>
      <w:r>
        <w:rPr>
          <w:rStyle w:val="soitChar"/>
          <w:u w:val="single"/>
        </w:rPr>
        <w:t>Phosphatation :</w:t>
      </w:r>
      <w:r>
        <w:rPr>
          <w:rStyle w:val="soitChar"/>
        </w:rPr>
        <w:t xml:space="preserve"> jusqu'à saturation ; après rinçage et séchage, la première couche de peinture à base de chromate de zinc est appliquée en atelier ;</w:t>
      </w:r>
    </w:p>
    <w:p w14:paraId="003550FA" w14:textId="77777777" w:rsidR="004B2808" w:rsidRDefault="00000000">
      <w:pPr>
        <w:ind w:left="567"/>
        <w:jc w:val="both"/>
      </w:pPr>
      <w:r>
        <w:rPr>
          <w:b/>
        </w:rPr>
        <w:t>(soit) </w:t>
      </w:r>
    </w:p>
    <w:p w14:paraId="18704517" w14:textId="77777777" w:rsidR="004B2808" w:rsidRDefault="00000000">
      <w:pPr>
        <w:ind w:left="567"/>
        <w:jc w:val="both"/>
      </w:pPr>
      <w:r>
        <w:rPr>
          <w:rStyle w:val="soitChar"/>
          <w:u w:val="single"/>
        </w:rPr>
        <w:t>Galvanisation :</w:t>
      </w:r>
      <w:r>
        <w:rPr>
          <w:rStyle w:val="soitChar"/>
        </w:rPr>
        <w:t xml:space="preserve"> par immersion dans un bain de zinc liquide, la première couche de peinture à base de chromate de zinc est appliquée en atelier ;</w:t>
      </w:r>
    </w:p>
    <w:p w14:paraId="261734A9" w14:textId="77777777" w:rsidR="004B2808" w:rsidRDefault="00000000">
      <w:pPr>
        <w:pStyle w:val="Author-eListParagraph"/>
        <w:numPr>
          <w:ilvl w:val="0"/>
          <w:numId w:val="826"/>
        </w:numPr>
      </w:pPr>
      <w:r>
        <w:rPr>
          <w:rStyle w:val="soitChar"/>
        </w:rPr>
        <w:t xml:space="preserve">Le revêtement des profilés est effectué par finition : </w:t>
      </w:r>
      <w:r>
        <w:rPr>
          <w:rStyle w:val="optioncarChar"/>
        </w:rPr>
        <w:t>en poudre thermodurcissable / liquide / ***</w:t>
      </w:r>
    </w:p>
    <w:p w14:paraId="634C0D2B" w14:textId="77777777" w:rsidR="004B2808" w:rsidRDefault="00000000">
      <w:pPr>
        <w:ind w:left="567"/>
        <w:jc w:val="both"/>
      </w:pPr>
      <w:r>
        <w:rPr>
          <w:b/>
        </w:rPr>
        <w:t>(soit par défaut) </w:t>
      </w:r>
    </w:p>
    <w:p w14:paraId="77A20B80" w14:textId="77777777" w:rsidR="004B2808" w:rsidRDefault="00000000">
      <w:pPr>
        <w:ind w:left="567"/>
        <w:jc w:val="both"/>
      </w:pPr>
      <w:r>
        <w:rPr>
          <w:rStyle w:val="soitChar"/>
          <w:u w:val="single"/>
        </w:rPr>
        <w:t>En poudre thermodurcissable :</w:t>
      </w:r>
      <w:r>
        <w:rPr>
          <w:rStyle w:val="soitChar"/>
        </w:rPr>
        <w:t xml:space="preserve"> système :</w:t>
      </w:r>
      <w:r>
        <w:rPr>
          <w:rStyle w:val="optioncarChar"/>
        </w:rPr>
        <w:t xml:space="preserve"> bicouche </w:t>
      </w:r>
      <w:r>
        <w:t xml:space="preserve">(par défaut) </w:t>
      </w:r>
      <w:r>
        <w:rPr>
          <w:rStyle w:val="optioncarChar"/>
        </w:rPr>
        <w:t>/ monocouche </w:t>
      </w:r>
    </w:p>
    <w:p w14:paraId="1EA02862" w14:textId="77777777" w:rsidR="004B2808" w:rsidRDefault="00000000">
      <w:pPr>
        <w:ind w:left="567"/>
        <w:jc w:val="both"/>
      </w:pPr>
      <w:r>
        <w:rPr>
          <w:rStyle w:val="soitChar"/>
        </w:rPr>
        <w:t>Si système monocouche : poudre polyester, épaisseur 80 à 100 μm.</w:t>
      </w:r>
    </w:p>
    <w:p w14:paraId="013A0D40" w14:textId="77777777" w:rsidR="004B2808" w:rsidRDefault="00000000">
      <w:pPr>
        <w:ind w:left="567"/>
        <w:jc w:val="both"/>
      </w:pPr>
      <w:r>
        <w:rPr>
          <w:rStyle w:val="soitChar"/>
        </w:rPr>
        <w:t>Si système bicouche : primaire époxy ou époxy/polyester + finition polyester, épaisseur 120 à 160 μm.</w:t>
      </w:r>
    </w:p>
    <w:p w14:paraId="2B1AF4F7" w14:textId="77777777" w:rsidR="004B2808" w:rsidRDefault="00000000">
      <w:pPr>
        <w:ind w:left="567"/>
        <w:jc w:val="both"/>
      </w:pPr>
      <w:r>
        <w:rPr>
          <w:b/>
        </w:rPr>
        <w:t>(soit)</w:t>
      </w:r>
    </w:p>
    <w:p w14:paraId="443481B8" w14:textId="77777777" w:rsidR="004B2808" w:rsidRDefault="00000000">
      <w:pPr>
        <w:ind w:left="567"/>
        <w:jc w:val="both"/>
      </w:pPr>
      <w:r>
        <w:rPr>
          <w:rStyle w:val="soitChar"/>
          <w:u w:val="single"/>
        </w:rPr>
        <w:t>Liquide :</w:t>
      </w:r>
      <w:r>
        <w:rPr>
          <w:rStyle w:val="soitChar"/>
        </w:rPr>
        <w:t xml:space="preserve"> laque polyuréthane ou polyester</w:t>
      </w:r>
    </w:p>
    <w:p w14:paraId="2D615AF5" w14:textId="77777777" w:rsidR="004B2808" w:rsidRDefault="00000000">
      <w:pPr>
        <w:ind w:left="567"/>
        <w:jc w:val="both"/>
      </w:pPr>
      <w:r>
        <w:rPr>
          <w:b/>
        </w:rPr>
        <w:t>(soit)</w:t>
      </w:r>
    </w:p>
    <w:p w14:paraId="0AEB2267" w14:textId="77777777" w:rsidR="004B2808" w:rsidRDefault="00000000">
      <w:pPr>
        <w:ind w:left="567"/>
        <w:jc w:val="both"/>
      </w:pPr>
      <w:r>
        <w:rPr>
          <w:rStyle w:val="optioncarChar"/>
        </w:rPr>
        <w:t>***</w:t>
      </w:r>
    </w:p>
    <w:p w14:paraId="79938223" w14:textId="77777777" w:rsidR="004B2808" w:rsidRDefault="00000000">
      <w:pPr>
        <w:pStyle w:val="Author-eListParagraph"/>
        <w:numPr>
          <w:ilvl w:val="0"/>
          <w:numId w:val="827"/>
        </w:numPr>
      </w:pPr>
      <w:r>
        <w:rPr>
          <w:rStyle w:val="soitChar"/>
        </w:rPr>
        <w:t xml:space="preserve">Nombre de couches : </w:t>
      </w:r>
      <w:r>
        <w:rPr>
          <w:rStyle w:val="optioncarChar"/>
        </w:rPr>
        <w:t>2 / 3</w:t>
      </w:r>
      <w:r>
        <w:t xml:space="preserve"> (par défaut)</w:t>
      </w:r>
      <w:r>
        <w:rPr>
          <w:rStyle w:val="optioncarChar"/>
        </w:rPr>
        <w:t xml:space="preserve"> / 4 / ***</w:t>
      </w:r>
    </w:p>
    <w:p w14:paraId="2AF465D0" w14:textId="77777777" w:rsidR="004B2808" w:rsidRDefault="00000000">
      <w:pPr>
        <w:pStyle w:val="Author-eListParagraph"/>
        <w:numPr>
          <w:ilvl w:val="0"/>
          <w:numId w:val="827"/>
        </w:numPr>
      </w:pPr>
      <w:r>
        <w:rPr>
          <w:rStyle w:val="soitChar"/>
        </w:rPr>
        <w:t xml:space="preserve">Épaisseur totale  : ≥ </w:t>
      </w:r>
      <w:r>
        <w:rPr>
          <w:rStyle w:val="optioncarChar"/>
        </w:rPr>
        <w:t>160 / 200</w:t>
      </w:r>
      <w:r>
        <w:t xml:space="preserve"> (par défaut)</w:t>
      </w:r>
      <w:r>
        <w:rPr>
          <w:rStyle w:val="optioncarChar"/>
        </w:rPr>
        <w:t xml:space="preserve"> / 260 / 300</w:t>
      </w:r>
      <w:r>
        <w:rPr>
          <w:rStyle w:val="soitChar"/>
        </w:rPr>
        <w:t xml:space="preserve"> μm.</w:t>
      </w:r>
    </w:p>
    <w:p w14:paraId="7CF2A205" w14:textId="77777777" w:rsidR="004B2808" w:rsidRDefault="00000000">
      <w:pPr>
        <w:jc w:val="both"/>
      </w:pPr>
      <w:r>
        <w:rPr>
          <w:b/>
        </w:rPr>
        <w:t>(soit)</w:t>
      </w:r>
    </w:p>
    <w:p w14:paraId="033E8245" w14:textId="77777777" w:rsidR="004B2808" w:rsidRDefault="00000000">
      <w:pPr>
        <w:jc w:val="both"/>
      </w:pPr>
      <w:r>
        <w:rPr>
          <w:rStyle w:val="soitChar"/>
          <w:u w:val="single"/>
        </w:rPr>
        <w:lastRenderedPageBreak/>
        <w:t>Aluminium :</w:t>
      </w:r>
      <w:r>
        <w:rPr>
          <w:rStyle w:val="optioncarChar"/>
        </w:rPr>
        <w:t xml:space="preserve">thermolaqué </w:t>
      </w:r>
      <w:r>
        <w:t xml:space="preserve">(par défaut) </w:t>
      </w:r>
      <w:r>
        <w:rPr>
          <w:rStyle w:val="optioncarChar"/>
        </w:rPr>
        <w:t>/ anodisé</w:t>
      </w:r>
    </w:p>
    <w:p w14:paraId="10184CA3" w14:textId="77777777" w:rsidR="004B2808" w:rsidRDefault="00000000">
      <w:pPr>
        <w:ind w:left="567"/>
        <w:jc w:val="both"/>
      </w:pPr>
      <w:r>
        <w:rPr>
          <w:b/>
        </w:rPr>
        <w:t>(soit par défaut)</w:t>
      </w:r>
    </w:p>
    <w:p w14:paraId="0F40CC35" w14:textId="77777777" w:rsidR="004B2808" w:rsidRDefault="00000000">
      <w:pPr>
        <w:ind w:left="567"/>
        <w:jc w:val="both"/>
      </w:pPr>
      <w:r>
        <w:rPr>
          <w:rStyle w:val="soitChar"/>
          <w:u w:val="single"/>
        </w:rPr>
        <w:t>Thermolaqué :</w:t>
      </w:r>
    </w:p>
    <w:p w14:paraId="43E6C035" w14:textId="77777777" w:rsidR="004B2808" w:rsidRDefault="00000000">
      <w:pPr>
        <w:pStyle w:val="Author-eListParagraph"/>
        <w:numPr>
          <w:ilvl w:val="1"/>
          <w:numId w:val="828"/>
        </w:numPr>
      </w:pPr>
      <w:r>
        <w:rPr>
          <w:rStyle w:val="soitChar"/>
        </w:rPr>
        <w:t>Suivant [NBN EN 12206-1] pourvu du label [Qualicoat]</w:t>
      </w:r>
    </w:p>
    <w:p w14:paraId="06687884" w14:textId="77777777" w:rsidR="004B2808" w:rsidRDefault="00000000">
      <w:pPr>
        <w:pStyle w:val="Author-eListParagraph"/>
        <w:numPr>
          <w:ilvl w:val="1"/>
          <w:numId w:val="828"/>
        </w:numPr>
      </w:pPr>
      <w:r>
        <w:rPr>
          <w:rStyle w:val="soitChar"/>
        </w:rPr>
        <w:t xml:space="preserve">Épaisseur de finition par poudre : </w:t>
      </w:r>
      <w:r>
        <w:rPr>
          <w:rStyle w:val="optioncarChar"/>
        </w:rPr>
        <w:t xml:space="preserve">60 / 110 </w:t>
      </w:r>
      <w:r>
        <w:t>(par défaut)</w:t>
      </w:r>
      <w:r>
        <w:rPr>
          <w:rStyle w:val="optioncarChar"/>
        </w:rPr>
        <w:t xml:space="preserve"> / ***</w:t>
      </w:r>
      <w:r>
        <w:rPr>
          <w:rStyle w:val="soitChar"/>
        </w:rPr>
        <w:t xml:space="preserve"> µm</w:t>
      </w:r>
    </w:p>
    <w:p w14:paraId="70E40976" w14:textId="77777777" w:rsidR="004B2808" w:rsidRDefault="00000000">
      <w:pPr>
        <w:pStyle w:val="Author-eListParagraph"/>
        <w:numPr>
          <w:ilvl w:val="1"/>
          <w:numId w:val="828"/>
        </w:numPr>
      </w:pPr>
      <w:r>
        <w:rPr>
          <w:rStyle w:val="soitChar"/>
        </w:rPr>
        <w:t xml:space="preserve">Épaisseur de finition par laquage : </w:t>
      </w:r>
      <w:r>
        <w:rPr>
          <w:rStyle w:val="optioncarChar"/>
        </w:rPr>
        <w:t>80</w:t>
      </w:r>
      <w:r>
        <w:t xml:space="preserve"> (par défaut) </w:t>
      </w:r>
      <w:r>
        <w:rPr>
          <w:rStyle w:val="optioncarChar"/>
        </w:rPr>
        <w:t>/ ***</w:t>
      </w:r>
      <w:r>
        <w:rPr>
          <w:rStyle w:val="soitChar"/>
        </w:rPr>
        <w:t xml:space="preserve"> µm</w:t>
      </w:r>
    </w:p>
    <w:p w14:paraId="774BE5D4" w14:textId="77777777" w:rsidR="004B2808" w:rsidRDefault="00000000">
      <w:pPr>
        <w:ind w:left="567"/>
        <w:jc w:val="both"/>
      </w:pPr>
      <w:r>
        <w:rPr>
          <w:b/>
        </w:rPr>
        <w:t>(soit)</w:t>
      </w:r>
    </w:p>
    <w:p w14:paraId="35BD00DC" w14:textId="77777777" w:rsidR="004B2808" w:rsidRDefault="00000000">
      <w:pPr>
        <w:ind w:left="567"/>
        <w:jc w:val="both"/>
      </w:pPr>
      <w:r>
        <w:rPr>
          <w:rStyle w:val="soitChar"/>
          <w:u w:val="single"/>
        </w:rPr>
        <w:t>Anodisé :</w:t>
      </w:r>
    </w:p>
    <w:p w14:paraId="2ED6C1BA" w14:textId="77777777" w:rsidR="004B2808" w:rsidRDefault="00000000">
      <w:pPr>
        <w:pStyle w:val="Author-eListParagraph"/>
        <w:numPr>
          <w:ilvl w:val="1"/>
          <w:numId w:val="829"/>
        </w:numPr>
      </w:pPr>
      <w:r>
        <w:rPr>
          <w:rStyle w:val="soitChar"/>
        </w:rPr>
        <w:t>Suivant [NBN EN ISO 7599] : pourvu du label [Qualanod] </w:t>
      </w:r>
    </w:p>
    <w:p w14:paraId="7FD2D32F" w14:textId="77777777" w:rsidR="004B2808" w:rsidRDefault="00000000">
      <w:pPr>
        <w:pStyle w:val="Author-eListParagraph"/>
        <w:numPr>
          <w:ilvl w:val="1"/>
          <w:numId w:val="829"/>
        </w:numPr>
      </w:pPr>
      <w:r>
        <w:rPr>
          <w:rStyle w:val="soitChar"/>
        </w:rPr>
        <w:t xml:space="preserve">Épaisseur de la couche d’anodisation : </w:t>
      </w:r>
      <w:r>
        <w:rPr>
          <w:rStyle w:val="optioncarChar"/>
        </w:rPr>
        <w:t>20</w:t>
      </w:r>
      <w:r>
        <w:t xml:space="preserve"> (par défaut)</w:t>
      </w:r>
      <w:r>
        <w:rPr>
          <w:rStyle w:val="optioncarChar"/>
        </w:rPr>
        <w:t xml:space="preserve"> / 25 / ***</w:t>
      </w:r>
      <w:r>
        <w:rPr>
          <w:rStyle w:val="soitChar"/>
        </w:rPr>
        <w:t xml:space="preserve"> µm</w:t>
      </w:r>
    </w:p>
    <w:p w14:paraId="55FCB160" w14:textId="77777777" w:rsidR="004B2808" w:rsidRDefault="00000000">
      <w:pPr>
        <w:jc w:val="both"/>
      </w:pPr>
      <w:r>
        <w:rPr>
          <w:u w:val="single"/>
        </w:rPr>
        <w:t>Vitrages :</w:t>
      </w:r>
      <w:r>
        <w:t xml:space="preserve"> tel que décrit au </w:t>
      </w:r>
      <w:hyperlink w:anchor="1315" w:history="1">
        <w:r w:rsidR="004B2808">
          <w:rPr>
            <w:color w:val="0000EE"/>
          </w:rPr>
          <w:t>56 Vitrage intérieur &amp; éléments de remplissage</w:t>
        </w:r>
      </w:hyperlink>
    </w:p>
    <w:p w14:paraId="5A2DA117" w14:textId="77777777" w:rsidR="004B2808" w:rsidRDefault="00000000">
      <w:pPr>
        <w:pStyle w:val="Author-eListParagraph"/>
        <w:numPr>
          <w:ilvl w:val="0"/>
          <w:numId w:val="830"/>
        </w:numPr>
      </w:pPr>
      <w:r>
        <w:t xml:space="preserve">Type : </w:t>
      </w:r>
      <w:r>
        <w:rPr>
          <w:rStyle w:val="optioncarChar"/>
        </w:rPr>
        <w:t xml:space="preserve">vitrage simple </w:t>
      </w:r>
      <w:r>
        <w:t>(par défaut)</w:t>
      </w:r>
      <w:r>
        <w:rPr>
          <w:rStyle w:val="optioncarChar"/>
        </w:rPr>
        <w:t xml:space="preserve"> / double</w:t>
      </w:r>
    </w:p>
    <w:p w14:paraId="2389DACE" w14:textId="77777777" w:rsidR="004B2808" w:rsidRDefault="00000000">
      <w:pPr>
        <w:pStyle w:val="Author-eListParagraph"/>
        <w:numPr>
          <w:ilvl w:val="0"/>
          <w:numId w:val="830"/>
        </w:numPr>
      </w:pPr>
      <w:r>
        <w:t xml:space="preserve">Résistance au feu : </w:t>
      </w:r>
      <w:r>
        <w:rPr>
          <w:rStyle w:val="optioncarChar"/>
        </w:rPr>
        <w:t>EI0 / EI30 / EI60</w:t>
      </w:r>
    </w:p>
    <w:p w14:paraId="7A9BD671" w14:textId="77777777" w:rsidR="004B2808" w:rsidRDefault="00000000">
      <w:pPr>
        <w:pStyle w:val="Author-eListParagraph"/>
        <w:numPr>
          <w:ilvl w:val="0"/>
          <w:numId w:val="830"/>
        </w:numPr>
      </w:pPr>
      <w:r>
        <w:t xml:space="preserve">La visibilité́ des cloisons vitrées est garantie par : </w:t>
      </w:r>
      <w:r>
        <w:rPr>
          <w:rStyle w:val="optioncarChar"/>
        </w:rPr>
        <w:t>néant / un bandeau d’une surface ≥ 400 cm²/ml de vitrage à ± 1 m du sol fini / un motif visible ≥ 100 cm² par fraction de 1,50 ml à ± 1,50 m du sol fini</w:t>
      </w:r>
    </w:p>
    <w:p w14:paraId="477EA370" w14:textId="77777777" w:rsidR="004B2808" w:rsidRDefault="00000000">
      <w:pPr>
        <w:pStyle w:val="Author-eListParagraph"/>
        <w:numPr>
          <w:ilvl w:val="0"/>
          <w:numId w:val="830"/>
        </w:numPr>
      </w:pPr>
      <w:r>
        <w:t xml:space="preserve">Sécurité des personnes suivant [NBN S 23-002] : </w:t>
      </w:r>
      <w:r>
        <w:rPr>
          <w:rStyle w:val="optioncarChar"/>
        </w:rPr>
        <w:t>1C- / 2B2 / 1B1</w:t>
      </w:r>
    </w:p>
    <w:p w14:paraId="6050D93A" w14:textId="77777777" w:rsidR="004B2808" w:rsidRDefault="00000000">
      <w:pPr>
        <w:jc w:val="both"/>
      </w:pPr>
      <w:r>
        <w:rPr>
          <w:u w:val="single"/>
        </w:rPr>
        <w:t>Caractéristiques de l’ensemble :</w:t>
      </w:r>
    </w:p>
    <w:p w14:paraId="18AA623C" w14:textId="77777777" w:rsidR="004B2808" w:rsidRDefault="00000000">
      <w:pPr>
        <w:pStyle w:val="Author-eListParagraph"/>
        <w:numPr>
          <w:ilvl w:val="0"/>
          <w:numId w:val="831"/>
        </w:numPr>
      </w:pPr>
      <w:r>
        <w:t>Résistance au feu des portes suivant [NBN EN 13501-2] :</w:t>
      </w:r>
      <w:r>
        <w:rPr>
          <w:rStyle w:val="optioncarChar"/>
        </w:rPr>
        <w:t xml:space="preserve"> EI</w:t>
      </w:r>
      <w:r>
        <w:rPr>
          <w:rStyle w:val="optioncarChar"/>
          <w:vertAlign w:val="subscript"/>
        </w:rPr>
        <w:t>1</w:t>
      </w:r>
      <w:r>
        <w:rPr>
          <w:rStyle w:val="optioncarChar"/>
        </w:rPr>
        <w:t xml:space="preserve">0 </w:t>
      </w:r>
      <w:r>
        <w:t xml:space="preserve">(par défaut) </w:t>
      </w:r>
      <w:r>
        <w:rPr>
          <w:rStyle w:val="optioncarChar"/>
        </w:rPr>
        <w:t>/ EI</w:t>
      </w:r>
      <w:r>
        <w:rPr>
          <w:rStyle w:val="optioncarChar"/>
          <w:vertAlign w:val="subscript"/>
        </w:rPr>
        <w:t>1</w:t>
      </w:r>
      <w:r>
        <w:rPr>
          <w:rStyle w:val="optioncarChar"/>
        </w:rPr>
        <w:t>30 / EI</w:t>
      </w:r>
      <w:r>
        <w:rPr>
          <w:rStyle w:val="optioncarChar"/>
          <w:vertAlign w:val="subscript"/>
        </w:rPr>
        <w:t>1</w:t>
      </w:r>
      <w:r>
        <w:rPr>
          <w:rStyle w:val="optioncarChar"/>
        </w:rPr>
        <w:t>60</w:t>
      </w:r>
    </w:p>
    <w:p w14:paraId="5B875B4E" w14:textId="77777777" w:rsidR="004B2808" w:rsidRDefault="00000000">
      <w:pPr>
        <w:pStyle w:val="Author-eListParagraph"/>
        <w:numPr>
          <w:ilvl w:val="0"/>
          <w:numId w:val="831"/>
        </w:numPr>
      </w:pPr>
      <w:r>
        <w:t xml:space="preserve">Résistance au feu des parties fixes suivant [NBN EN 13501-2] : </w:t>
      </w:r>
      <w:r>
        <w:rPr>
          <w:rStyle w:val="optioncarChar"/>
        </w:rPr>
        <w:t>EI0</w:t>
      </w:r>
      <w:r>
        <w:t xml:space="preserve"> (par défaut)</w:t>
      </w:r>
      <w:r>
        <w:rPr>
          <w:rStyle w:val="optioncarChar"/>
        </w:rPr>
        <w:t xml:space="preserve"> / EI30 / EI60</w:t>
      </w:r>
    </w:p>
    <w:p w14:paraId="72C6B26C" w14:textId="77777777" w:rsidR="004B2808" w:rsidRDefault="00000000">
      <w:pPr>
        <w:pStyle w:val="Author-eListParagraph"/>
        <w:numPr>
          <w:ilvl w:val="0"/>
          <w:numId w:val="831"/>
        </w:numPr>
      </w:pPr>
      <w:r>
        <w:t>Affaiblissement acoustique R</w:t>
      </w:r>
      <w:r>
        <w:rPr>
          <w:vertAlign w:val="subscript"/>
        </w:rPr>
        <w:t>w</w:t>
      </w:r>
      <w:r>
        <w:t xml:space="preserve"> : </w:t>
      </w:r>
      <w:r>
        <w:rPr>
          <w:rStyle w:val="optioncarChar"/>
        </w:rPr>
        <w:t xml:space="preserve">30 </w:t>
      </w:r>
      <w:r>
        <w:t xml:space="preserve">(par défaut) </w:t>
      </w:r>
      <w:r>
        <w:rPr>
          <w:rStyle w:val="optioncarChar"/>
        </w:rPr>
        <w:t>/ 35 / 40 / ***</w:t>
      </w:r>
      <w:r>
        <w:t xml:space="preserve"> dB</w:t>
      </w:r>
    </w:p>
    <w:p w14:paraId="4BB7D970" w14:textId="77777777" w:rsidR="004B2808" w:rsidRDefault="00000000">
      <w:pPr>
        <w:pStyle w:val="Author-eListParagraph"/>
        <w:numPr>
          <w:ilvl w:val="0"/>
          <w:numId w:val="831"/>
        </w:numPr>
      </w:pPr>
      <w:r>
        <w:t xml:space="preserve">Dormant : </w:t>
      </w:r>
      <w:r>
        <w:rPr>
          <w:rStyle w:val="optioncarChar"/>
        </w:rPr>
        <w:t xml:space="preserve">apparent </w:t>
      </w:r>
      <w:r>
        <w:t>(par défaut)</w:t>
      </w:r>
      <w:r>
        <w:rPr>
          <w:rStyle w:val="optioncarChar"/>
        </w:rPr>
        <w:t xml:space="preserve"> / intégrédans la paroi adjacente</w:t>
      </w:r>
    </w:p>
    <w:p w14:paraId="671D6F6F" w14:textId="77777777" w:rsidR="004B2808" w:rsidRDefault="00000000">
      <w:pPr>
        <w:pStyle w:val="Author-eListParagraph"/>
        <w:numPr>
          <w:ilvl w:val="0"/>
          <w:numId w:val="831"/>
        </w:numPr>
      </w:pPr>
      <w:r>
        <w:t xml:space="preserve">Vantail de porte : </w:t>
      </w:r>
      <w:r>
        <w:rPr>
          <w:rStyle w:val="optioncarChar"/>
        </w:rPr>
        <w:t>sans cadre</w:t>
      </w:r>
      <w:r>
        <w:t xml:space="preserve"> (par défaut)</w:t>
      </w:r>
      <w:r>
        <w:rPr>
          <w:rStyle w:val="optioncarChar"/>
        </w:rPr>
        <w:t xml:space="preserve"> / avec cadre</w:t>
      </w:r>
    </w:p>
    <w:p w14:paraId="6F48D5AE" w14:textId="77777777" w:rsidR="004B2808" w:rsidRDefault="00000000">
      <w:pPr>
        <w:jc w:val="both"/>
      </w:pPr>
      <w:r>
        <w:rPr>
          <w:u w:val="single"/>
        </w:rPr>
        <w:t>Quincaillerie</w:t>
      </w:r>
      <w:r>
        <w:t xml:space="preserve"> tel que décrit au </w:t>
      </w:r>
      <w:hyperlink w:anchor="1316" w:history="1">
        <w:r w:rsidR="004B2808">
          <w:rPr>
            <w:color w:val="0000EE"/>
          </w:rPr>
          <w:t>55.62 Quincaillerie complémentaire ou particulière</w:t>
        </w:r>
      </w:hyperlink>
    </w:p>
    <w:p w14:paraId="583A64AD" w14:textId="77777777" w:rsidR="004B2808" w:rsidRDefault="00000000">
      <w:pPr>
        <w:jc w:val="both"/>
      </w:pPr>
      <w:r>
        <w:t xml:space="preserve">Fonctionnement : </w:t>
      </w:r>
      <w:r>
        <w:rPr>
          <w:rStyle w:val="optioncarChar"/>
        </w:rPr>
        <w:t xml:space="preserve">battant </w:t>
      </w:r>
      <w:r>
        <w:t>(par défaut)</w:t>
      </w:r>
      <w:r>
        <w:rPr>
          <w:rStyle w:val="optioncarChar"/>
        </w:rPr>
        <w:t xml:space="preserve"> / va-et-vient</w:t>
      </w:r>
    </w:p>
    <w:p w14:paraId="5335336A" w14:textId="77777777" w:rsidR="004B2808" w:rsidRDefault="00000000">
      <w:pPr>
        <w:pStyle w:val="pheading"/>
      </w:pPr>
      <w:r>
        <w:t>- Finitions</w:t>
      </w:r>
    </w:p>
    <w:p w14:paraId="3B0238EF" w14:textId="77777777" w:rsidR="004B2808" w:rsidRDefault="00000000">
      <w:pPr>
        <w:jc w:val="both"/>
      </w:pPr>
      <w:r>
        <w:t xml:space="preserve">Teinte des profilés : </w:t>
      </w:r>
      <w:r>
        <w:rPr>
          <w:rStyle w:val="optioncarChar"/>
        </w:rPr>
        <w:t xml:space="preserve">au choix de la direction des travaux </w:t>
      </w:r>
      <w:r>
        <w:t xml:space="preserve">(par défaut) </w:t>
      </w:r>
      <w:r>
        <w:rPr>
          <w:rStyle w:val="optioncarChar"/>
        </w:rPr>
        <w:t>/ ***</w:t>
      </w:r>
    </w:p>
    <w:p w14:paraId="5F4EF0FB" w14:textId="77777777" w:rsidR="004B2808" w:rsidRDefault="00000000">
      <w:pPr>
        <w:jc w:val="both"/>
      </w:pPr>
      <w:r>
        <w:t xml:space="preserve">Aspect du vitrage : </w:t>
      </w:r>
      <w:r>
        <w:rPr>
          <w:rStyle w:val="optioncarChar"/>
        </w:rPr>
        <w:t>clair</w:t>
      </w:r>
      <w:r>
        <w:t xml:space="preserve"> (par défaut)</w:t>
      </w:r>
      <w:r>
        <w:rPr>
          <w:rStyle w:val="optioncarChar"/>
        </w:rPr>
        <w:t xml:space="preserve"> / translucide / sérigraphie / sablé / avec intercalaire coloré / ***</w:t>
      </w:r>
    </w:p>
    <w:p w14:paraId="727FA3F3" w14:textId="77777777" w:rsidR="004B2808" w:rsidRDefault="00000000">
      <w:pPr>
        <w:pStyle w:val="pheading"/>
      </w:pPr>
      <w:r>
        <w:t>EXÉCUTION / MISE EN ŒUVRE</w:t>
      </w:r>
    </w:p>
    <w:p w14:paraId="25C18828" w14:textId="77777777" w:rsidR="004B2808" w:rsidRDefault="00000000">
      <w:pPr>
        <w:pStyle w:val="pheading"/>
      </w:pPr>
      <w:r>
        <w:t>- Prescriptions générales</w:t>
      </w:r>
    </w:p>
    <w:p w14:paraId="0C912925" w14:textId="77777777" w:rsidR="004B2808" w:rsidRDefault="00000000">
      <w:pPr>
        <w:jc w:val="both"/>
      </w:pPr>
      <w:r>
        <w:t xml:space="preserve">Le dormant est inséré dans l’épaisseur de la paroi adjacente : </w:t>
      </w:r>
      <w:r>
        <w:rPr>
          <w:rStyle w:val="optioncarChar"/>
        </w:rPr>
        <w:t xml:space="preserve">non </w:t>
      </w:r>
      <w:r>
        <w:t>(par défaut)</w:t>
      </w:r>
      <w:r>
        <w:rPr>
          <w:rStyle w:val="optioncarChar"/>
        </w:rPr>
        <w:t xml:space="preserve"> / oui.</w:t>
      </w:r>
    </w:p>
    <w:p w14:paraId="37E43647" w14:textId="77777777" w:rsidR="004B2808" w:rsidRDefault="00000000">
      <w:pPr>
        <w:jc w:val="both"/>
      </w:pPr>
      <w:r>
        <w:rPr>
          <w:b/>
        </w:rPr>
        <w:t>(soit par défaut)</w:t>
      </w:r>
    </w:p>
    <w:p w14:paraId="4903005C" w14:textId="77777777" w:rsidR="004B2808" w:rsidRDefault="00000000">
      <w:pPr>
        <w:jc w:val="both"/>
      </w:pPr>
      <w:r>
        <w:rPr>
          <w:rStyle w:val="soitChar"/>
          <w:u w:val="single"/>
        </w:rPr>
        <w:t>Non :</w:t>
      </w:r>
    </w:p>
    <w:p w14:paraId="1331969A" w14:textId="77777777" w:rsidR="004B2808" w:rsidRDefault="00000000">
      <w:pPr>
        <w:pStyle w:val="Author-eListParagraph"/>
        <w:numPr>
          <w:ilvl w:val="0"/>
          <w:numId w:val="832"/>
        </w:numPr>
      </w:pPr>
      <w:r>
        <w:rPr>
          <w:rStyle w:val="soitChar"/>
        </w:rPr>
        <w:t>Les parois adjacentes sont totalement parachevées avant pose du dormant visible.</w:t>
      </w:r>
    </w:p>
    <w:p w14:paraId="706B48DD" w14:textId="77777777" w:rsidR="004B2808" w:rsidRDefault="00000000">
      <w:pPr>
        <w:pStyle w:val="Author-eListParagraph"/>
        <w:numPr>
          <w:ilvl w:val="0"/>
          <w:numId w:val="832"/>
        </w:numPr>
      </w:pPr>
      <w:r>
        <w:rPr>
          <w:rStyle w:val="soitChar"/>
        </w:rPr>
        <w:t>Le raccord entre dormant et parachèvement est réalisé au moyen d’un joint souple à peindre conforme aux caractéristiques acoustiques et EI des ensembles vitrés.</w:t>
      </w:r>
    </w:p>
    <w:p w14:paraId="5ED74BF5" w14:textId="77777777" w:rsidR="004B2808" w:rsidRDefault="00000000">
      <w:pPr>
        <w:pStyle w:val="Author-eListParagraph"/>
        <w:numPr>
          <w:ilvl w:val="0"/>
          <w:numId w:val="832"/>
        </w:numPr>
      </w:pPr>
      <w:r>
        <w:rPr>
          <w:rStyle w:val="soitChar"/>
        </w:rPr>
        <w:t>En cas d’ensembles EI, le bourrage entre le dormant et le gros œuvre est réalisé conformément au rapport d’essai feu de l’ensemble.</w:t>
      </w:r>
    </w:p>
    <w:p w14:paraId="0489D1A5" w14:textId="77777777" w:rsidR="004B2808" w:rsidRDefault="00000000">
      <w:pPr>
        <w:jc w:val="both"/>
      </w:pPr>
      <w:r>
        <w:rPr>
          <w:b/>
        </w:rPr>
        <w:t>(soit)</w:t>
      </w:r>
    </w:p>
    <w:p w14:paraId="363C600A" w14:textId="77777777" w:rsidR="004B2808" w:rsidRDefault="00000000">
      <w:pPr>
        <w:jc w:val="both"/>
      </w:pPr>
      <w:r>
        <w:rPr>
          <w:rStyle w:val="soitChar"/>
          <w:u w:val="single"/>
        </w:rPr>
        <w:t>Oui :</w:t>
      </w:r>
    </w:p>
    <w:p w14:paraId="453D22D8" w14:textId="77777777" w:rsidR="004B2808" w:rsidRDefault="00000000">
      <w:pPr>
        <w:pStyle w:val="Author-eListParagraph"/>
        <w:numPr>
          <w:ilvl w:val="0"/>
          <w:numId w:val="833"/>
        </w:numPr>
      </w:pPr>
      <w:r>
        <w:rPr>
          <w:rStyle w:val="soitChar"/>
        </w:rPr>
        <w:t>La finition des parois adjacentes recouvre le dormant.</w:t>
      </w:r>
    </w:p>
    <w:p w14:paraId="556E8FAF" w14:textId="77777777" w:rsidR="004B2808" w:rsidRDefault="00000000">
      <w:pPr>
        <w:jc w:val="both"/>
      </w:pPr>
      <w:r>
        <w:t xml:space="preserve">Les vitrages sont raccordés avec montants intermédiaires : </w:t>
      </w:r>
      <w:r>
        <w:rPr>
          <w:rStyle w:val="optioncarChar"/>
        </w:rPr>
        <w:t>oui</w:t>
      </w:r>
      <w:r>
        <w:t xml:space="preserve"> (par défaut)</w:t>
      </w:r>
      <w:r>
        <w:rPr>
          <w:rStyle w:val="optioncarChar"/>
        </w:rPr>
        <w:t xml:space="preserve"> / non.</w:t>
      </w:r>
    </w:p>
    <w:p w14:paraId="0D8B16E7" w14:textId="77777777" w:rsidR="004B2808" w:rsidRDefault="00000000">
      <w:pPr>
        <w:jc w:val="both"/>
      </w:pPr>
      <w:r>
        <w:rPr>
          <w:b/>
        </w:rPr>
        <w:t>(soit par défaut)</w:t>
      </w:r>
    </w:p>
    <w:p w14:paraId="2BFA45BB" w14:textId="77777777" w:rsidR="004B2808" w:rsidRDefault="00000000">
      <w:pPr>
        <w:jc w:val="both"/>
      </w:pPr>
      <w:r>
        <w:rPr>
          <w:rStyle w:val="soitChar"/>
          <w:u w:val="single"/>
        </w:rPr>
        <w:lastRenderedPageBreak/>
        <w:t>Oui :</w:t>
      </w:r>
    </w:p>
    <w:p w14:paraId="3B51D80C" w14:textId="77777777" w:rsidR="004B2808" w:rsidRDefault="00000000">
      <w:pPr>
        <w:pStyle w:val="Author-eListParagraph"/>
        <w:numPr>
          <w:ilvl w:val="0"/>
          <w:numId w:val="834"/>
        </w:numPr>
      </w:pPr>
      <w:r>
        <w:rPr>
          <w:rStyle w:val="soitChar"/>
        </w:rPr>
        <w:t>Les montants intermédiaires sont de même nature et origine que les dormants périphériques</w:t>
      </w:r>
    </w:p>
    <w:p w14:paraId="4DDA1847" w14:textId="77777777" w:rsidR="004B2808" w:rsidRDefault="00000000">
      <w:pPr>
        <w:jc w:val="both"/>
      </w:pPr>
      <w:r>
        <w:rPr>
          <w:b/>
        </w:rPr>
        <w:t>(soit)</w:t>
      </w:r>
    </w:p>
    <w:p w14:paraId="42E2466B" w14:textId="77777777" w:rsidR="004B2808" w:rsidRDefault="00000000">
      <w:pPr>
        <w:jc w:val="both"/>
      </w:pPr>
      <w:r>
        <w:rPr>
          <w:rStyle w:val="soitChar"/>
          <w:u w:val="single"/>
        </w:rPr>
        <w:t>Non :</w:t>
      </w:r>
    </w:p>
    <w:p w14:paraId="7DB43C8D" w14:textId="77777777" w:rsidR="004B2808" w:rsidRDefault="00000000">
      <w:pPr>
        <w:pStyle w:val="Author-eListParagraph"/>
        <w:numPr>
          <w:ilvl w:val="0"/>
          <w:numId w:val="835"/>
        </w:numPr>
        <w:jc w:val="both"/>
      </w:pPr>
      <w:r>
        <w:rPr>
          <w:rStyle w:val="soitChar"/>
        </w:rPr>
        <w:t>Les vitrages sont collés au moyen du joint conforme aux caractéristiques acoustiques et EI des ensembles vitrés.</w:t>
      </w:r>
    </w:p>
    <w:p w14:paraId="0683EA95" w14:textId="77777777" w:rsidR="004B2808" w:rsidRDefault="00000000">
      <w:pPr>
        <w:pStyle w:val="Author-eListParagraph"/>
        <w:numPr>
          <w:ilvl w:val="0"/>
          <w:numId w:val="835"/>
        </w:numPr>
        <w:jc w:val="both"/>
      </w:pPr>
      <w:r>
        <w:rPr>
          <w:rStyle w:val="soitChar"/>
        </w:rPr>
        <w:t xml:space="preserve">Les vitrages d’angles sont collés : </w:t>
      </w:r>
      <w:r>
        <w:rPr>
          <w:rStyle w:val="optioncarChar"/>
        </w:rPr>
        <w:t>oui</w:t>
      </w:r>
      <w:r>
        <w:t xml:space="preserve"> (par défaut)</w:t>
      </w:r>
      <w:r>
        <w:rPr>
          <w:rStyle w:val="optioncarChar"/>
        </w:rPr>
        <w:t xml:space="preserve"> / non</w:t>
      </w:r>
    </w:p>
    <w:p w14:paraId="0DCB0543" w14:textId="77777777" w:rsidR="004B2808" w:rsidRDefault="00000000">
      <w:pPr>
        <w:pStyle w:val="pheading"/>
      </w:pPr>
      <w:r>
        <w:t>DOCUMENTS DE RÉFÉRENCE COMPLÉMENTAIRES</w:t>
      </w:r>
    </w:p>
    <w:p w14:paraId="4095987B" w14:textId="77777777" w:rsidR="004B2808" w:rsidRDefault="00000000">
      <w:pPr>
        <w:pStyle w:val="pheading"/>
      </w:pPr>
      <w:r>
        <w:t>- Matériau</w:t>
      </w:r>
    </w:p>
    <w:p w14:paraId="460788EA" w14:textId="77777777" w:rsidR="004B2808" w:rsidRDefault="00000000">
      <w:r>
        <w:t>[AR 1994-07-07, Arrêté royal fixant les normes de base en matière de prévention contre l'incendie et l'explosion, auxquelles les bâtiments nouveaux doivent satisfaire]</w:t>
      </w:r>
    </w:p>
    <w:p w14:paraId="2A1C57DE" w14:textId="77777777" w:rsidR="004B2808" w:rsidRDefault="00000000">
      <w:r>
        <w:t>[NBN EN 12206-1, Peintures et vernis - Revêtement de l'aluminium et de ses alliages pour des applications architecturales - Partie 1: Revêtements à partir de peinture en poudre thermodurcissable]</w:t>
      </w:r>
    </w:p>
    <w:p w14:paraId="1C63B7D7" w14:textId="77777777" w:rsidR="004B280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 </w:t>
      </w:r>
    </w:p>
    <w:p w14:paraId="389084EE" w14:textId="77777777" w:rsidR="004B2808" w:rsidRDefault="00000000">
      <w:r>
        <w:t>[NBN EN ISO 7599, Anodisation de l'aluminium et de ses alliages - Méthode de spécification des caractéristiques des revêtements décoratifs et protecteurs obtenus par oxydation anodique sur aluminium (ISO 7599:2018)]</w:t>
      </w:r>
    </w:p>
    <w:p w14:paraId="1B485F6D" w14:textId="77777777" w:rsidR="004B2808" w:rsidRDefault="00000000">
      <w:r>
        <w:t>[NBN S 23-002, Vitrerie]</w:t>
      </w:r>
    </w:p>
    <w:p w14:paraId="42819E95" w14:textId="77777777" w:rsidR="004B2808" w:rsidRDefault="00000000">
      <w:pPr>
        <w:pStyle w:val="pheading"/>
      </w:pPr>
      <w:r>
        <w:t>MESURAGE</w:t>
      </w:r>
    </w:p>
    <w:p w14:paraId="01AD86A3" w14:textId="77777777" w:rsidR="004B2808" w:rsidRDefault="00000000">
      <w:pPr>
        <w:pStyle w:val="pheading"/>
      </w:pPr>
      <w:r>
        <w:t>- unité de mesure:</w:t>
      </w:r>
    </w:p>
    <w:p w14:paraId="7912B9C8" w14:textId="77777777" w:rsidR="004B2808" w:rsidRDefault="00000000">
      <w:r>
        <w:rPr>
          <w:rStyle w:val="optioncarChar"/>
        </w:rPr>
        <w:t xml:space="preserve">m² </w:t>
      </w:r>
      <w:r>
        <w:t xml:space="preserve">(par défaut) </w:t>
      </w:r>
      <w:r>
        <w:rPr>
          <w:rStyle w:val="optioncarChar"/>
        </w:rPr>
        <w:t>/ pc</w:t>
      </w:r>
    </w:p>
    <w:p w14:paraId="5E6E320E" w14:textId="77777777" w:rsidR="004B2808" w:rsidRDefault="00000000">
      <w:r>
        <w:rPr>
          <w:b/>
        </w:rPr>
        <w:t>(soit par défaut)</w:t>
      </w:r>
      <w:r>
        <w:br/>
      </w:r>
      <w:r>
        <w:rPr>
          <w:rStyle w:val="soitChar"/>
        </w:rPr>
        <w:t>1. m² </w:t>
      </w:r>
      <w:r>
        <w:br/>
      </w:r>
      <w:r>
        <w:rPr>
          <w:b/>
        </w:rPr>
        <w:t>(soit)</w:t>
      </w:r>
      <w:r>
        <w:br/>
      </w:r>
      <w:r>
        <w:rPr>
          <w:rStyle w:val="soitChar"/>
        </w:rPr>
        <w:t>2. pc</w:t>
      </w:r>
    </w:p>
    <w:p w14:paraId="4483325B" w14:textId="77777777" w:rsidR="004B2808" w:rsidRDefault="00000000">
      <w:pPr>
        <w:pStyle w:val="pheading"/>
      </w:pPr>
      <w:r>
        <w:t>- code de mesurage:</w:t>
      </w:r>
    </w:p>
    <w:p w14:paraId="782F9CC7" w14:textId="77777777" w:rsidR="004B2808" w:rsidRDefault="00000000">
      <w:pPr>
        <w:jc w:val="both"/>
      </w:pPr>
      <w:r>
        <w:rPr>
          <w:rStyle w:val="optioncarChar"/>
        </w:rPr>
        <w:t>Surface nette</w:t>
      </w:r>
      <w:r>
        <w:t xml:space="preserve"> (par défaut) </w:t>
      </w:r>
      <w:r>
        <w:rPr>
          <w:rStyle w:val="optioncarChar"/>
        </w:rPr>
        <w:t>/ Quantité nette </w:t>
      </w:r>
    </w:p>
    <w:p w14:paraId="559E88AF" w14:textId="77777777" w:rsidR="004B2808" w:rsidRDefault="00000000">
      <w:pPr>
        <w:jc w:val="both"/>
      </w:pPr>
      <w:r>
        <w:rPr>
          <w:b/>
        </w:rPr>
        <w:t>(soit par défaut)</w:t>
      </w:r>
    </w:p>
    <w:p w14:paraId="3DEE8E4C" w14:textId="77777777" w:rsidR="004B2808" w:rsidRDefault="00000000">
      <w:pPr>
        <w:jc w:val="both"/>
      </w:pPr>
      <w:r>
        <w:rPr>
          <w:rStyle w:val="soitChar"/>
        </w:rPr>
        <w:t xml:space="preserve">1. </w:t>
      </w:r>
      <w:r>
        <w:rPr>
          <w:rStyle w:val="soitChar"/>
          <w:u w:val="single"/>
        </w:rPr>
        <w:t>Surface nette</w:t>
      </w:r>
      <w:r>
        <w:rPr>
          <w:rStyle w:val="soitChar"/>
        </w:rPr>
        <w:t>, distinction faite du type (fixe / ouvrant)</w:t>
      </w:r>
    </w:p>
    <w:p w14:paraId="03D5C298" w14:textId="77777777" w:rsidR="004B2808" w:rsidRDefault="00000000">
      <w:pPr>
        <w:jc w:val="both"/>
      </w:pPr>
      <w:r>
        <w:rPr>
          <w:b/>
        </w:rPr>
        <w:t>(soit)</w:t>
      </w:r>
    </w:p>
    <w:p w14:paraId="3A96F18C" w14:textId="77777777" w:rsidR="004B2808" w:rsidRDefault="00000000">
      <w:pPr>
        <w:jc w:val="both"/>
      </w:pPr>
      <w:r>
        <w:rPr>
          <w:rStyle w:val="soitChar"/>
        </w:rPr>
        <w:t xml:space="preserve">2. </w:t>
      </w:r>
      <w:r>
        <w:rPr>
          <w:rStyle w:val="soitChar"/>
          <w:u w:val="single"/>
        </w:rPr>
        <w:t>Quantité nette</w:t>
      </w:r>
      <w:r>
        <w:rPr>
          <w:rStyle w:val="soitChar"/>
        </w:rPr>
        <w:t>, à la pièce, distinction faite du type (fixe / ouvrant), matériaux et des dimensions</w:t>
      </w:r>
    </w:p>
    <w:p w14:paraId="4BBD67C4" w14:textId="77777777" w:rsidR="004B2808" w:rsidRDefault="00000000">
      <w:pPr>
        <w:pStyle w:val="pheading"/>
      </w:pPr>
      <w:r>
        <w:t>- nature du marché:</w:t>
      </w:r>
    </w:p>
    <w:p w14:paraId="3C42B739" w14:textId="77777777" w:rsidR="004B2808" w:rsidRDefault="00000000">
      <w:r>
        <w:t>1. 2. QF</w:t>
      </w:r>
    </w:p>
    <w:p w14:paraId="667BEA8F" w14:textId="77777777" w:rsidR="004B2808" w:rsidRDefault="00000000">
      <w:pPr>
        <w:pStyle w:val="Author-eSectionHeading4Numberless"/>
      </w:pPr>
      <w:bookmarkStart w:id="1049" w:name="_Toc220491178"/>
      <w:r>
        <w:t>55.17 Fenêtres intérieures matériaux composites CCTB 01.02</w:t>
      </w:r>
      <w:bookmarkEnd w:id="1049"/>
    </w:p>
    <w:p w14:paraId="3AE25C85" w14:textId="77777777" w:rsidR="004B2808" w:rsidRDefault="00000000">
      <w:pPr>
        <w:pStyle w:val="Author-eSectionHeading5Numberless"/>
      </w:pPr>
      <w:bookmarkStart w:id="1050" w:name="_Toc220491179"/>
      <w:r>
        <w:t>55.17.1 Fenêtres et portes-fenêtres intérieures en mélange PVC/bois (dans la masse) CCTB 01.02</w:t>
      </w:r>
      <w:bookmarkEnd w:id="1050"/>
    </w:p>
    <w:p w14:paraId="19043BBA" w14:textId="77777777" w:rsidR="004B2808" w:rsidRDefault="00000000">
      <w:pPr>
        <w:pStyle w:val="Author-eSectionHeading6Numberless"/>
      </w:pPr>
      <w:bookmarkStart w:id="1051" w:name="_Toc220491180"/>
      <w:r>
        <w:t>55.17.1a Fenêtres et portes-fenêtres intérieures en mélange PVC/bois (dans la masse) CCTB 01.10</w:t>
      </w:r>
      <w:bookmarkEnd w:id="1051"/>
    </w:p>
    <w:p w14:paraId="52740724" w14:textId="77777777" w:rsidR="004B2808" w:rsidRDefault="00000000">
      <w:pPr>
        <w:pStyle w:val="Author-eSectionHeading3Numberless"/>
      </w:pPr>
      <w:bookmarkStart w:id="1052" w:name="_Toc220491181"/>
      <w:r>
        <w:t>55.2 Portes intérieures CCTB 01.13</w:t>
      </w:r>
      <w:bookmarkEnd w:id="1052"/>
    </w:p>
    <w:p w14:paraId="4842CF3D" w14:textId="77777777" w:rsidR="004B2808" w:rsidRDefault="00000000">
      <w:pPr>
        <w:pStyle w:val="pheading"/>
      </w:pPr>
      <w:bookmarkStart w:id="1053" w:name="1320"/>
      <w:bookmarkEnd w:id="1053"/>
      <w:r>
        <w:lastRenderedPageBreak/>
        <w:t>DESCRIPTION</w:t>
      </w:r>
    </w:p>
    <w:p w14:paraId="461524DC" w14:textId="77777777" w:rsidR="004B2808" w:rsidRDefault="00000000">
      <w:pPr>
        <w:pStyle w:val="pheading"/>
      </w:pPr>
      <w:r>
        <w:t>- Définition / Comprend</w:t>
      </w:r>
    </w:p>
    <w:p w14:paraId="3433F3A0" w14:textId="77777777" w:rsidR="004B2808" w:rsidRDefault="00000000">
      <w:pPr>
        <w:jc w:val="both"/>
      </w:pPr>
      <w:r>
        <w:t>Cet élément comprend la fourniture (hors matériaux récupérés du même site) et la pose de tous les éléments nécessaires à la composition des portes intérieures, y compris toutes les pièces qui en font intrinsèquement partie. Conformément aux dispositions générales et/ou spécifiques du cahier spécial des charges, les prix unitaires compris dans cet élément et les suivants comprennent toujours, soit selon la ventilation dans le métré récapitulatif, soit dans leur totalité :</w:t>
      </w:r>
    </w:p>
    <w:p w14:paraId="48160396" w14:textId="77777777" w:rsidR="004B2808" w:rsidRDefault="00000000">
      <w:pPr>
        <w:pStyle w:val="Author-eListParagraph"/>
        <w:numPr>
          <w:ilvl w:val="0"/>
          <w:numId w:val="836"/>
        </w:numPr>
      </w:pPr>
      <w:r>
        <w:t>le contrôle et le relevé sur place des dimensions exactes (dans l'œuvre) et des adaptations éventuelles des éléments à préfabriquer aux dimensions réelles ;</w:t>
      </w:r>
    </w:p>
    <w:p w14:paraId="0F946FC1" w14:textId="77777777" w:rsidR="004B2808" w:rsidRDefault="00000000">
      <w:pPr>
        <w:pStyle w:val="Author-eListParagraph"/>
        <w:numPr>
          <w:ilvl w:val="0"/>
          <w:numId w:val="836"/>
        </w:numPr>
      </w:pPr>
      <w:r>
        <w:t xml:space="preserve">la fourniture et la pose de tous les éléments nécessaires (hors matériaux récupérés du même site) en vue de composer les ensembles de portes : </w:t>
      </w:r>
    </w:p>
    <w:p w14:paraId="4C9005EC" w14:textId="77777777" w:rsidR="004B2808" w:rsidRDefault="00000000">
      <w:pPr>
        <w:pStyle w:val="Author-eListParagraph"/>
        <w:numPr>
          <w:ilvl w:val="1"/>
          <w:numId w:val="837"/>
        </w:numPr>
      </w:pPr>
      <w:r>
        <w:t>les encadrements, y compris tous les accessoires pour la fixation au gros-œuvre des impostes fixes ou ouvrantes et de tous les éléments pour les ensembles de portes multiples, les bandes d'étanchéité continues, les trous de gâche nécessaires et les caches en métal, …;</w:t>
      </w:r>
    </w:p>
    <w:p w14:paraId="4C3FFB29" w14:textId="77777777" w:rsidR="004B2808" w:rsidRDefault="00000000">
      <w:pPr>
        <w:pStyle w:val="Author-eListParagraph"/>
        <w:numPr>
          <w:ilvl w:val="1"/>
          <w:numId w:val="837"/>
        </w:numPr>
      </w:pPr>
      <w:r>
        <w:t>les feuilles de porte, y compris les éventuelles réservations pour le vitrage ou les panneaux de remplissage, …;</w:t>
      </w:r>
    </w:p>
    <w:p w14:paraId="4D933839" w14:textId="77777777" w:rsidR="004B2808" w:rsidRDefault="00000000">
      <w:pPr>
        <w:pStyle w:val="Author-eListParagraph"/>
        <w:numPr>
          <w:ilvl w:val="1"/>
          <w:numId w:val="837"/>
        </w:numPr>
      </w:pPr>
      <w:r>
        <w:t>toute la quincaillerie : les suspensions, poignées de porte, serrures, …;</w:t>
      </w:r>
    </w:p>
    <w:p w14:paraId="23E0C4DD" w14:textId="77777777" w:rsidR="004B2808" w:rsidRDefault="00000000">
      <w:pPr>
        <w:pStyle w:val="Author-eListParagraph"/>
        <w:numPr>
          <w:ilvl w:val="1"/>
          <w:numId w:val="837"/>
        </w:numPr>
      </w:pPr>
      <w:r>
        <w:t>tous les procédés de protection et de traitement de surface (à l'exception de la finition reprise à la section 81 Travaux de peinture et de traitement intérieurs.</w:t>
      </w:r>
    </w:p>
    <w:p w14:paraId="00ED2A2E" w14:textId="77777777" w:rsidR="004B2808" w:rsidRDefault="00000000">
      <w:pPr>
        <w:pStyle w:val="Author-eListParagraph"/>
        <w:numPr>
          <w:ilvl w:val="0"/>
          <w:numId w:val="836"/>
        </w:numPr>
      </w:pPr>
      <w:r>
        <w:t>l'évacuation de tous les déchets provenant de l'entreprise et l'enlèvement de tous les autocollants sur les portes, à l'exception de ceux indiquant la résistance au feu, …;</w:t>
      </w:r>
    </w:p>
    <w:p w14:paraId="2577DCA9" w14:textId="77777777" w:rsidR="004B2808" w:rsidRDefault="00000000">
      <w:pPr>
        <w:pStyle w:val="Author-eListParagraph"/>
        <w:numPr>
          <w:ilvl w:val="0"/>
          <w:numId w:val="836"/>
        </w:numPr>
      </w:pPr>
      <w:r>
        <w:t>le contrôle sur place (un an après) et le réglage éventuel ;</w:t>
      </w:r>
    </w:p>
    <w:p w14:paraId="025910D9" w14:textId="77777777" w:rsidR="004B2808" w:rsidRDefault="00000000">
      <w:pPr>
        <w:pStyle w:val="Author-eListParagraph"/>
        <w:numPr>
          <w:ilvl w:val="0"/>
          <w:numId w:val="836"/>
        </w:numPr>
      </w:pPr>
      <w:r>
        <w:t>lors de la pose d’éléments de réemploi, les raccords éventuels, rectification des dimensions sont compris dans cet élément.</w:t>
      </w:r>
    </w:p>
    <w:p w14:paraId="2DE7FE75" w14:textId="77777777" w:rsidR="004B2808" w:rsidRDefault="00000000">
      <w:pPr>
        <w:jc w:val="both"/>
      </w:pPr>
      <w:r>
        <w:rPr>
          <w:b/>
          <w:u w:val="single"/>
        </w:rPr>
        <w:t>Huisseries de portes</w:t>
      </w:r>
    </w:p>
    <w:p w14:paraId="38199161" w14:textId="77777777" w:rsidR="004B2808" w:rsidRDefault="00000000">
      <w:pPr>
        <w:jc w:val="both"/>
      </w:pPr>
      <w:r>
        <w:t>Les huisseries de portes intérieures comprennent les encadrements, les dormants, les encadrements complémentaires, les couvre-joints et les éventuelles impostes (fixes ou ouvrantes, placées au-dessus des vantaux de portes), y compris tous les organes de suspension décrits dans des postes séparés mais liés au présent élément.</w:t>
      </w:r>
    </w:p>
    <w:p w14:paraId="47EB1848" w14:textId="77777777" w:rsidR="004B2808" w:rsidRDefault="00000000">
      <w:pPr>
        <w:jc w:val="both"/>
      </w:pPr>
      <w:r>
        <w:t>Pour les ensembles de portes, les feuilles de portes, la quincaillerie, voir chaque fois l'article concerné.</w:t>
      </w:r>
    </w:p>
    <w:p w14:paraId="210F62D1" w14:textId="77777777" w:rsidR="004B2808" w:rsidRDefault="00000000">
      <w:pPr>
        <w:jc w:val="both"/>
      </w:pPr>
      <w:r>
        <w:rPr>
          <w:b/>
          <w:u w:val="single"/>
        </w:rPr>
        <w:t>Vantaux de porte</w:t>
      </w:r>
    </w:p>
    <w:p w14:paraId="664EAB8A" w14:textId="77777777" w:rsidR="004B2808" w:rsidRDefault="00000000">
      <w:pPr>
        <w:jc w:val="both"/>
      </w:pPr>
      <w:r>
        <w:t>Les vantaux de porte comprennent, selon le descriptif dans le cahier spécial des charges, les vantaux, les charnières, les serrures et les clés, les poignées et les rosaces, les éventuelles impostes, le vitrage, les brise-bises, les arrêts de porte, ....</w:t>
      </w:r>
    </w:p>
    <w:p w14:paraId="7317AF23" w14:textId="77777777" w:rsidR="004B2808" w:rsidRDefault="00000000">
      <w:pPr>
        <w:jc w:val="both"/>
      </w:pPr>
      <w:r>
        <w:rPr>
          <w:b/>
          <w:u w:val="single"/>
        </w:rPr>
        <w:t>Ensembles de porte / résistant au feu</w:t>
      </w:r>
    </w:p>
    <w:p w14:paraId="6EA6C208" w14:textId="77777777" w:rsidR="004B2808" w:rsidRDefault="00000000">
      <w:pPr>
        <w:jc w:val="both"/>
      </w:pPr>
      <w:r>
        <w:t>Les portes d'entrée des appartements, les portes palières des cages d'escaliers, les portes d'accès aux garages communs, aux remises pour les vélos, poubelles et aux caves (liste non limitative) satisfont toujours aux conditions spécifiques imposées par les corps de pompiers locaux et les normes de résistance au feu.</w:t>
      </w:r>
    </w:p>
    <w:p w14:paraId="0E6E918A" w14:textId="77777777" w:rsidR="004B2808" w:rsidRDefault="00000000">
      <w:pPr>
        <w:jc w:val="both"/>
      </w:pPr>
      <w:r>
        <w:t>L'ensemble résistant au feu comprend toujours les encadrements, les couvre-joints, les vantaux de porte, les éventuelles impostes et/ou vitrages ainsi que toutes les ferrures et pentures nécessaires.</w:t>
      </w:r>
    </w:p>
    <w:p w14:paraId="42D20C83" w14:textId="77777777" w:rsidR="004B2808" w:rsidRDefault="00000000">
      <w:pPr>
        <w:jc w:val="both"/>
      </w:pPr>
      <w:r>
        <w:t> </w:t>
      </w:r>
    </w:p>
    <w:p w14:paraId="0F36CBF8" w14:textId="77777777" w:rsidR="004B2808" w:rsidRDefault="00000000">
      <w:pPr>
        <w:jc w:val="both"/>
      </w:pPr>
      <w:r>
        <w:t>Attention : Les ferrures et pentures dont la livraison et la mise en œuvre sont comprises, peuvent être décrites dans un article séparé mais participent à l'ensemble pour le rapport d'essai.</w:t>
      </w:r>
    </w:p>
    <w:p w14:paraId="443B9C6B" w14:textId="77777777" w:rsidR="004B2808" w:rsidRDefault="00000000">
      <w:pPr>
        <w:pStyle w:val="pheading"/>
      </w:pPr>
      <w:r>
        <w:t>- Remarques importantes</w:t>
      </w:r>
    </w:p>
    <w:p w14:paraId="3DEC9EF8" w14:textId="77777777" w:rsidR="004B2808" w:rsidRDefault="00000000">
      <w:pPr>
        <w:jc w:val="both"/>
      </w:pPr>
      <w:r>
        <w:lastRenderedPageBreak/>
        <w:t>Il est possible que certains de ces éléments soient décrits dans des articles séparés (quincaillerie, vitrage,… ). Toutefois, sauf indication contraire dans le métré récapitulatif, ils sont toujours compris dans le prix unitaire.</w:t>
      </w:r>
    </w:p>
    <w:p w14:paraId="399B71BA" w14:textId="77777777" w:rsidR="004B2808" w:rsidRDefault="00000000">
      <w:pPr>
        <w:jc w:val="both"/>
      </w:pPr>
      <w:r>
        <w:t>Si la porte présente un seuil participant à l’étanchéité de la porte, ce profilé ainsi que sa pose sont compris dans ce poste.</w:t>
      </w:r>
    </w:p>
    <w:p w14:paraId="1B66BA0C" w14:textId="77777777" w:rsidR="004B2808" w:rsidRDefault="00000000">
      <w:pPr>
        <w:jc w:val="both"/>
      </w:pPr>
      <w:r>
        <w:t>Les éventuels travaux de démolition de la porte existante, sont compris dans un article séparé (voir 06.23.1a Démolitions d'éléments de fermetures et de finitions intérieures (y compris décapages)).</w:t>
      </w:r>
    </w:p>
    <w:p w14:paraId="4EFC3128" w14:textId="77777777" w:rsidR="004B2808" w:rsidRDefault="00000000">
      <w:pPr>
        <w:jc w:val="both"/>
      </w:pPr>
      <w:r>
        <w:t xml:space="preserve">Les dispositions en ce qui concerne les vantaux de porte ont uniquement trait aux vantaux de porte mêmes; les huisseries sont décrites ci-dessus, la quincaillerie est décrite au sous-titre </w:t>
      </w:r>
      <w:hyperlink w:anchor="1316" w:history="1">
        <w:r w:rsidR="004B2808">
          <w:rPr>
            <w:color w:val="0000EE"/>
          </w:rPr>
          <w:t>55.62 Quincaillerie complémentaire ou particulière</w:t>
        </w:r>
      </w:hyperlink>
      <w:r>
        <w:t>. Les dimensions des vantaux de porte sont décrites dans le métré détaillé et/ou sur les plans.</w:t>
      </w:r>
    </w:p>
    <w:p w14:paraId="3BF69A5B" w14:textId="77777777" w:rsidR="004B2808" w:rsidRDefault="00000000">
      <w:pPr>
        <w:pStyle w:val="pheading"/>
      </w:pPr>
      <w:r>
        <w:t>MATÉRIAUX</w:t>
      </w:r>
    </w:p>
    <w:p w14:paraId="7E8C7231" w14:textId="77777777" w:rsidR="004B2808" w:rsidRDefault="00000000">
      <w:pPr>
        <w:jc w:val="both"/>
      </w:pPr>
      <w:r>
        <w:rPr>
          <w:b/>
          <w:u w:val="single"/>
        </w:rPr>
        <w:t>Généralités</w:t>
      </w:r>
    </w:p>
    <w:p w14:paraId="6D05B989" w14:textId="77777777" w:rsidR="004B2808" w:rsidRDefault="00000000">
      <w:pPr>
        <w:jc w:val="both"/>
      </w:pPr>
      <w:r>
        <w:t>Les portes et leurs composantes, c'est-à-dire les encadrements, les feuilles de porte, les moyens de fixation, de suspension et de manœuvre, sont de nature compatible avec l'affectation du local dans lequel elles sont posées et elles sont fabriquées de manière telle qu'à l'usage normal il ne peut se produire de dégradations notables qui peuvent nuire à l'aspect et au bon fonctionnement de la porte.</w:t>
      </w:r>
    </w:p>
    <w:p w14:paraId="0FABA0CD" w14:textId="77777777" w:rsidR="004B2808" w:rsidRDefault="00000000">
      <w:pPr>
        <w:jc w:val="both"/>
      </w:pPr>
      <w:r>
        <w:rPr>
          <w:b/>
          <w:u w:val="single"/>
        </w:rPr>
        <w:t>Libre Passage</w:t>
      </w:r>
    </w:p>
    <w:p w14:paraId="46449ED5" w14:textId="77777777" w:rsidR="004B2808" w:rsidRDefault="00000000">
      <w:pPr>
        <w:pStyle w:val="Author-eListParagraph"/>
        <w:numPr>
          <w:ilvl w:val="0"/>
          <w:numId w:val="838"/>
        </w:numPr>
      </w:pPr>
      <w:r>
        <w:t>Le libre passage est l'espace réellement disponible hors obstacle pour permettre la circulation aux PMR. La largeur de libre passage d'une porte battante ou coulissante est illustrée dans la norme [NBN ISO 21542].</w:t>
      </w:r>
      <w:r>
        <w:br/>
      </w:r>
    </w:p>
    <w:p w14:paraId="518E1A5C" w14:textId="77777777" w:rsidR="004B2808" w:rsidRDefault="00000000">
      <w:pPr>
        <w:pStyle w:val="Author-eListParagraph"/>
        <w:numPr>
          <w:ilvl w:val="0"/>
          <w:numId w:val="838"/>
        </w:numPr>
      </w:pPr>
      <w:r>
        <w:t>Pour une porte battante, il s'agit de la distance entre la feuille de porte, ouverte à 90°, et l'arrêt opposé. Dans ce cas, une largeur de libre passage de 85 cm, c.-à-d. le minimum recommandé pour permettre la circulation aux PMR, est obtenue en plaçant une feuille de porte de 93 cm.</w:t>
      </w:r>
      <w:r>
        <w:br/>
      </w:r>
    </w:p>
    <w:p w14:paraId="5396121D" w14:textId="77777777" w:rsidR="004B2808" w:rsidRDefault="00000000">
      <w:pPr>
        <w:pStyle w:val="Author-eListParagraph"/>
        <w:numPr>
          <w:ilvl w:val="0"/>
          <w:numId w:val="838"/>
        </w:numPr>
      </w:pPr>
      <w:r>
        <w:t>Pour une porte coulissante, la largeur de libre passage est la distance entre le bord primaire de fermeture du tablier et le bord primaire du montant du cadre. </w:t>
      </w:r>
    </w:p>
    <w:p w14:paraId="3F41C272" w14:textId="77777777" w:rsidR="004B2808" w:rsidRDefault="00000000">
      <w:pPr>
        <w:jc w:val="both"/>
      </w:pPr>
      <w:r>
        <w:rPr>
          <w:b/>
          <w:u w:val="single"/>
        </w:rPr>
        <w:t>Performances</w:t>
      </w:r>
    </w:p>
    <w:p w14:paraId="58CD5612" w14:textId="77777777" w:rsidR="004B2808" w:rsidRDefault="00000000">
      <w:pPr>
        <w:jc w:val="both"/>
      </w:pPr>
      <w:r>
        <w:t>Les classes de performance requises en fonction de l'affectation et des critères dimensionnels, de forme, mécaniques, climatologiques et de résistance au feu sont indiquées dans les [STS 53.1] et [STS 53.2]).</w:t>
      </w:r>
    </w:p>
    <w:p w14:paraId="586BD564" w14:textId="77777777" w:rsidR="004B2808" w:rsidRDefault="00000000">
      <w:pPr>
        <w:ind w:left="567"/>
        <w:jc w:val="both"/>
      </w:pPr>
      <w:r>
        <w:rPr>
          <w:b/>
        </w:rPr>
        <w:t>Acoustique</w:t>
      </w:r>
    </w:p>
    <w:p w14:paraId="3BE649E6" w14:textId="77777777" w:rsidR="004B2808" w:rsidRDefault="00000000">
      <w:pPr>
        <w:ind w:left="567"/>
        <w:jc w:val="both"/>
      </w:pPr>
      <w:r>
        <w:t>En ce qui concerne l'acoustique des portes intérieures on se réfère à  "L'acoustique des portes" - Pratique [Buildwise Article Revue (2000-01-15)].  Les portes d'entrée des appartements et des paliers présentent en outre une bonne isolation acoustique par rapport aux zones de circulation communes.</w:t>
      </w:r>
    </w:p>
    <w:p w14:paraId="0CADDDF7" w14:textId="77777777" w:rsidR="004B2808" w:rsidRDefault="00000000">
      <w:pPr>
        <w:ind w:left="567"/>
        <w:jc w:val="both"/>
      </w:pPr>
      <w:r>
        <w:rPr>
          <w:b/>
        </w:rPr>
        <w:t>Thermique</w:t>
      </w:r>
    </w:p>
    <w:p w14:paraId="0529054E" w14:textId="77777777" w:rsidR="004B2808" w:rsidRDefault="00000000">
      <w:pPr>
        <w:ind w:left="567"/>
        <w:jc w:val="both"/>
      </w:pPr>
      <w:r>
        <w:t>Si une porte intérieure (porte de cave, porte de séparation avec le garage, porte d'entrée d'un appartement, ...) est identifiée comme faisant partie de l'enveloppe délimitant le volume protégé du bâtiment, celle-ci respecte les valeurs U imposées par la réglementation PEB (voir 00.5 Terminologie).</w:t>
      </w:r>
    </w:p>
    <w:p w14:paraId="11BD3A22" w14:textId="77777777" w:rsidR="004B2808" w:rsidRDefault="00000000">
      <w:pPr>
        <w:ind w:left="567"/>
        <w:jc w:val="both"/>
      </w:pPr>
      <w:r>
        <w:t> </w:t>
      </w:r>
      <w:r>
        <w:rPr>
          <w:b/>
        </w:rPr>
        <w:t>Efforts de manœuvre</w:t>
      </w:r>
    </w:p>
    <w:p w14:paraId="236BF80E" w14:textId="77777777" w:rsidR="004B2808" w:rsidRDefault="00000000">
      <w:pPr>
        <w:ind w:left="567"/>
        <w:jc w:val="both"/>
      </w:pPr>
      <w:r>
        <w:t xml:space="preserve">La classification des forces et couples de manœuvre des portes est définie dans la norme [NBN EN 12217] (voir tableau ci-dessous)..Comme l'indique la [STS 53.1], la Classe 2 est celle que l'on prend lorsque le cahier spécial des charges ne prescrit pas de classe </w:t>
      </w:r>
      <w:r>
        <w:lastRenderedPageBreak/>
        <w:t>spécifique. Les Classes 3 et 4 sont recommandées pour une utilisation notamment par des personnes à mobilité réduite (PMR). </w:t>
      </w:r>
    </w:p>
    <w:p w14:paraId="0017F26D" w14:textId="77777777" w:rsidR="004B2808" w:rsidRDefault="00000000">
      <w:pPr>
        <w:jc w:val="both"/>
      </w:pPr>
      <w:r>
        <w:t>Tableau X – Classification des forces et couples de manœuvre selon la norme [NBN EN 12217]</w:t>
      </w:r>
    </w:p>
    <w:tbl>
      <w:tblPr>
        <w:tblStyle w:val="Author-eTableGrid"/>
        <w:tblW w:w="9060" w:type="dxa"/>
        <w:tblLayout w:type="fixed"/>
        <w:tblLook w:val="04A0" w:firstRow="1" w:lastRow="0" w:firstColumn="1" w:lastColumn="0" w:noHBand="0" w:noVBand="1"/>
      </w:tblPr>
      <w:tblGrid>
        <w:gridCol w:w="3632"/>
        <w:gridCol w:w="1357"/>
        <w:gridCol w:w="1357"/>
        <w:gridCol w:w="1357"/>
        <w:gridCol w:w="1357"/>
      </w:tblGrid>
      <w:tr w:rsidR="004B2808" w14:paraId="60ED3BDC" w14:textId="77777777">
        <w:tc>
          <w:tcPr>
            <w:tcW w:w="3615" w:type="dxa"/>
            <w:noWrap/>
          </w:tcPr>
          <w:p w14:paraId="31BC020F" w14:textId="77777777" w:rsidR="004B2808" w:rsidRDefault="00000000">
            <w:pPr>
              <w:jc w:val="center"/>
            </w:pPr>
            <w:r>
              <w:rPr>
                <w:b/>
              </w:rPr>
              <w:t> Résistance à :      </w:t>
            </w:r>
          </w:p>
        </w:tc>
        <w:tc>
          <w:tcPr>
            <w:tcW w:w="1350" w:type="dxa"/>
            <w:noWrap/>
          </w:tcPr>
          <w:p w14:paraId="14A7D7B7" w14:textId="77777777" w:rsidR="004B2808" w:rsidRDefault="00000000">
            <w:pPr>
              <w:jc w:val="center"/>
            </w:pPr>
            <w:r>
              <w:rPr>
                <w:b/>
              </w:rPr>
              <w:t>Classe 1</w:t>
            </w:r>
          </w:p>
        </w:tc>
        <w:tc>
          <w:tcPr>
            <w:tcW w:w="1350" w:type="dxa"/>
            <w:noWrap/>
          </w:tcPr>
          <w:p w14:paraId="060B3591" w14:textId="77777777" w:rsidR="004B2808" w:rsidRDefault="00000000">
            <w:pPr>
              <w:jc w:val="center"/>
            </w:pPr>
            <w:r>
              <w:rPr>
                <w:b/>
              </w:rPr>
              <w:t>Classe 2</w:t>
            </w:r>
          </w:p>
        </w:tc>
        <w:tc>
          <w:tcPr>
            <w:tcW w:w="1350" w:type="dxa"/>
            <w:noWrap/>
          </w:tcPr>
          <w:p w14:paraId="7712A3FC" w14:textId="77777777" w:rsidR="004B2808" w:rsidRDefault="00000000">
            <w:pPr>
              <w:jc w:val="center"/>
            </w:pPr>
            <w:r>
              <w:rPr>
                <w:b/>
              </w:rPr>
              <w:t>Classe 3</w:t>
            </w:r>
          </w:p>
        </w:tc>
        <w:tc>
          <w:tcPr>
            <w:tcW w:w="1350" w:type="dxa"/>
            <w:noWrap/>
          </w:tcPr>
          <w:p w14:paraId="2129F01D" w14:textId="77777777" w:rsidR="004B2808" w:rsidRDefault="00000000">
            <w:pPr>
              <w:jc w:val="center"/>
            </w:pPr>
            <w:r>
              <w:rPr>
                <w:b/>
              </w:rPr>
              <w:t>Classe 4</w:t>
            </w:r>
          </w:p>
        </w:tc>
      </w:tr>
      <w:tr w:rsidR="004B2808" w14:paraId="0E170E74" w14:textId="77777777">
        <w:tc>
          <w:tcPr>
            <w:tcW w:w="9015" w:type="dxa"/>
            <w:gridSpan w:val="5"/>
            <w:noWrap/>
          </w:tcPr>
          <w:p w14:paraId="081E5106" w14:textId="77777777" w:rsidR="004B2808" w:rsidRDefault="00000000">
            <w:r>
              <w:t>Portes</w:t>
            </w:r>
          </w:p>
        </w:tc>
      </w:tr>
      <w:tr w:rsidR="004B2808" w14:paraId="17313EDE" w14:textId="77777777">
        <w:tc>
          <w:tcPr>
            <w:tcW w:w="3615" w:type="dxa"/>
            <w:noWrap/>
          </w:tcPr>
          <w:p w14:paraId="25921F41" w14:textId="77777777" w:rsidR="004B2808" w:rsidRDefault="00000000">
            <w:r>
              <w:t>Force de fermeture ou force destinée à initier le mouvement, valeur maximale, (N)</w:t>
            </w:r>
          </w:p>
        </w:tc>
        <w:tc>
          <w:tcPr>
            <w:tcW w:w="1350" w:type="dxa"/>
            <w:noWrap/>
          </w:tcPr>
          <w:p w14:paraId="71C5D368" w14:textId="77777777" w:rsidR="004B2808" w:rsidRDefault="00000000">
            <w:pPr>
              <w:jc w:val="center"/>
            </w:pPr>
            <w:r>
              <w:t>75</w:t>
            </w:r>
          </w:p>
        </w:tc>
        <w:tc>
          <w:tcPr>
            <w:tcW w:w="1350" w:type="dxa"/>
            <w:noWrap/>
          </w:tcPr>
          <w:p w14:paraId="4D4C31F8" w14:textId="77777777" w:rsidR="004B2808" w:rsidRDefault="00000000">
            <w:pPr>
              <w:jc w:val="center"/>
            </w:pPr>
            <w:r>
              <w:t>50</w:t>
            </w:r>
          </w:p>
        </w:tc>
        <w:tc>
          <w:tcPr>
            <w:tcW w:w="1350" w:type="dxa"/>
            <w:noWrap/>
          </w:tcPr>
          <w:p w14:paraId="7F25D43A" w14:textId="77777777" w:rsidR="004B2808" w:rsidRDefault="00000000">
            <w:pPr>
              <w:jc w:val="center"/>
            </w:pPr>
            <w:r>
              <w:t>25</w:t>
            </w:r>
          </w:p>
        </w:tc>
        <w:tc>
          <w:tcPr>
            <w:tcW w:w="1350" w:type="dxa"/>
            <w:noWrap/>
          </w:tcPr>
          <w:p w14:paraId="694BACCE" w14:textId="77777777" w:rsidR="004B2808" w:rsidRDefault="00000000">
            <w:pPr>
              <w:jc w:val="center"/>
            </w:pPr>
            <w:r>
              <w:t>10</w:t>
            </w:r>
          </w:p>
        </w:tc>
      </w:tr>
      <w:tr w:rsidR="004B2808" w14:paraId="22D5E2D7" w14:textId="77777777">
        <w:tc>
          <w:tcPr>
            <w:tcW w:w="9015" w:type="dxa"/>
            <w:gridSpan w:val="5"/>
            <w:noWrap/>
          </w:tcPr>
          <w:p w14:paraId="574590EE" w14:textId="77777777" w:rsidR="004B2808" w:rsidRDefault="00000000">
            <w:r>
              <w:t>Quincaillerie manœuvrée à la main</w:t>
            </w:r>
          </w:p>
        </w:tc>
      </w:tr>
      <w:tr w:rsidR="004B2808" w14:paraId="190796EB" w14:textId="77777777">
        <w:tc>
          <w:tcPr>
            <w:tcW w:w="3615" w:type="dxa"/>
            <w:noWrap/>
          </w:tcPr>
          <w:p w14:paraId="026C068F" w14:textId="77777777" w:rsidR="004B2808" w:rsidRDefault="00000000">
            <w:r>
              <w:t>Force maximale, (N)</w:t>
            </w:r>
          </w:p>
          <w:p w14:paraId="05445520" w14:textId="77777777" w:rsidR="004B2808" w:rsidRDefault="00000000">
            <w:r>
              <w:t>Couple maximal, (Nm)</w:t>
            </w:r>
          </w:p>
        </w:tc>
        <w:tc>
          <w:tcPr>
            <w:tcW w:w="1350" w:type="dxa"/>
            <w:noWrap/>
          </w:tcPr>
          <w:p w14:paraId="29825072" w14:textId="77777777" w:rsidR="004B2808" w:rsidRDefault="00000000">
            <w:pPr>
              <w:jc w:val="center"/>
            </w:pPr>
            <w:r>
              <w:t>100</w:t>
            </w:r>
          </w:p>
          <w:p w14:paraId="0754E925" w14:textId="77777777" w:rsidR="004B2808" w:rsidRDefault="00000000">
            <w:pPr>
              <w:jc w:val="center"/>
            </w:pPr>
            <w:r>
              <w:t>10</w:t>
            </w:r>
          </w:p>
        </w:tc>
        <w:tc>
          <w:tcPr>
            <w:tcW w:w="1350" w:type="dxa"/>
            <w:noWrap/>
          </w:tcPr>
          <w:p w14:paraId="5F80DC76" w14:textId="77777777" w:rsidR="004B2808" w:rsidRDefault="00000000">
            <w:pPr>
              <w:jc w:val="center"/>
            </w:pPr>
            <w:r>
              <w:t>50</w:t>
            </w:r>
          </w:p>
          <w:p w14:paraId="6D967CE9" w14:textId="77777777" w:rsidR="004B2808" w:rsidRDefault="00000000">
            <w:pPr>
              <w:jc w:val="center"/>
            </w:pPr>
            <w:r>
              <w:t>5</w:t>
            </w:r>
          </w:p>
        </w:tc>
        <w:tc>
          <w:tcPr>
            <w:tcW w:w="1350" w:type="dxa"/>
            <w:noWrap/>
          </w:tcPr>
          <w:p w14:paraId="4142D74D" w14:textId="77777777" w:rsidR="004B2808" w:rsidRDefault="00000000">
            <w:pPr>
              <w:jc w:val="center"/>
            </w:pPr>
            <w:r>
              <w:t>25</w:t>
            </w:r>
          </w:p>
          <w:p w14:paraId="3C4A8B1A" w14:textId="77777777" w:rsidR="004B2808" w:rsidRDefault="00000000">
            <w:pPr>
              <w:jc w:val="center"/>
            </w:pPr>
            <w:r>
              <w:t>2.5</w:t>
            </w:r>
          </w:p>
        </w:tc>
        <w:tc>
          <w:tcPr>
            <w:tcW w:w="1350" w:type="dxa"/>
            <w:noWrap/>
          </w:tcPr>
          <w:p w14:paraId="12C72E07" w14:textId="77777777" w:rsidR="004B2808" w:rsidRDefault="00000000">
            <w:pPr>
              <w:jc w:val="center"/>
            </w:pPr>
            <w:r>
              <w:t>10</w:t>
            </w:r>
          </w:p>
          <w:p w14:paraId="7E3D8440" w14:textId="77777777" w:rsidR="004B2808" w:rsidRDefault="00000000">
            <w:pPr>
              <w:jc w:val="center"/>
            </w:pPr>
            <w:r>
              <w:t>1</w:t>
            </w:r>
          </w:p>
        </w:tc>
      </w:tr>
      <w:tr w:rsidR="004B2808" w14:paraId="4656F839" w14:textId="77777777">
        <w:tc>
          <w:tcPr>
            <w:tcW w:w="9015" w:type="dxa"/>
            <w:gridSpan w:val="5"/>
            <w:noWrap/>
          </w:tcPr>
          <w:p w14:paraId="53357F06" w14:textId="77777777" w:rsidR="004B2808" w:rsidRDefault="00000000">
            <w:r>
              <w:t>Quincaillerie manœuvrée avec le doigt</w:t>
            </w:r>
          </w:p>
        </w:tc>
      </w:tr>
      <w:tr w:rsidR="004B2808" w14:paraId="2F1F36BB" w14:textId="77777777">
        <w:tc>
          <w:tcPr>
            <w:tcW w:w="3615" w:type="dxa"/>
            <w:noWrap/>
          </w:tcPr>
          <w:p w14:paraId="117D83E4" w14:textId="77777777" w:rsidR="004B2808" w:rsidRDefault="00000000">
            <w:r>
              <w:t>Force maximale, (N)</w:t>
            </w:r>
          </w:p>
          <w:p w14:paraId="17398BDC" w14:textId="77777777" w:rsidR="004B2808" w:rsidRDefault="00000000">
            <w:r>
              <w:t>Couple maximal, (Nm)</w:t>
            </w:r>
          </w:p>
        </w:tc>
        <w:tc>
          <w:tcPr>
            <w:tcW w:w="1350" w:type="dxa"/>
            <w:noWrap/>
          </w:tcPr>
          <w:p w14:paraId="15B73C15" w14:textId="77777777" w:rsidR="004B2808" w:rsidRDefault="00000000">
            <w:pPr>
              <w:jc w:val="center"/>
            </w:pPr>
            <w:r>
              <w:t>20</w:t>
            </w:r>
          </w:p>
          <w:p w14:paraId="3188BE35" w14:textId="77777777" w:rsidR="004B2808" w:rsidRDefault="00000000">
            <w:pPr>
              <w:jc w:val="center"/>
            </w:pPr>
            <w:r>
              <w:t>5</w:t>
            </w:r>
          </w:p>
        </w:tc>
        <w:tc>
          <w:tcPr>
            <w:tcW w:w="1350" w:type="dxa"/>
            <w:noWrap/>
          </w:tcPr>
          <w:p w14:paraId="65F5C327" w14:textId="77777777" w:rsidR="004B2808" w:rsidRDefault="00000000">
            <w:pPr>
              <w:jc w:val="center"/>
            </w:pPr>
            <w:r>
              <w:t>10</w:t>
            </w:r>
          </w:p>
          <w:p w14:paraId="204CAF73" w14:textId="77777777" w:rsidR="004B2808" w:rsidRDefault="00000000">
            <w:pPr>
              <w:jc w:val="center"/>
            </w:pPr>
            <w:r>
              <w:t>2.5</w:t>
            </w:r>
          </w:p>
        </w:tc>
        <w:tc>
          <w:tcPr>
            <w:tcW w:w="1350" w:type="dxa"/>
            <w:noWrap/>
          </w:tcPr>
          <w:p w14:paraId="38F3810E" w14:textId="77777777" w:rsidR="004B2808" w:rsidRDefault="00000000">
            <w:pPr>
              <w:jc w:val="center"/>
            </w:pPr>
            <w:r>
              <w:t>6</w:t>
            </w:r>
          </w:p>
          <w:p w14:paraId="70AACB5A" w14:textId="77777777" w:rsidR="004B2808" w:rsidRDefault="00000000">
            <w:pPr>
              <w:jc w:val="center"/>
            </w:pPr>
            <w:r>
              <w:t>1.5</w:t>
            </w:r>
          </w:p>
        </w:tc>
        <w:tc>
          <w:tcPr>
            <w:tcW w:w="1350" w:type="dxa"/>
            <w:noWrap/>
          </w:tcPr>
          <w:p w14:paraId="634830A8" w14:textId="77777777" w:rsidR="004B2808" w:rsidRDefault="00000000">
            <w:pPr>
              <w:jc w:val="center"/>
            </w:pPr>
            <w:r>
              <w:t>4</w:t>
            </w:r>
          </w:p>
          <w:p w14:paraId="637F8BB3" w14:textId="77777777" w:rsidR="004B2808" w:rsidRDefault="00000000">
            <w:pPr>
              <w:jc w:val="center"/>
            </w:pPr>
            <w:r>
              <w:t>1</w:t>
            </w:r>
          </w:p>
        </w:tc>
      </w:tr>
    </w:tbl>
    <w:p w14:paraId="5B838291" w14:textId="77777777" w:rsidR="004B2808" w:rsidRDefault="004B2808"/>
    <w:p w14:paraId="5F34DE53" w14:textId="77777777" w:rsidR="004B2808" w:rsidRDefault="00000000">
      <w:pPr>
        <w:jc w:val="both"/>
      </w:pPr>
      <w:r>
        <w:rPr>
          <w:b/>
          <w:u w:val="single"/>
        </w:rPr>
        <w:t>Forme - Type - Composition</w:t>
      </w:r>
    </w:p>
    <w:p w14:paraId="0A41F457" w14:textId="77777777" w:rsidR="004B2808" w:rsidRDefault="00000000">
      <w:pPr>
        <w:jc w:val="both"/>
      </w:pPr>
      <w:r>
        <w:t>Pour les portes neuves, les éléments constituant les encadrements et les feuilles de porte sont fabriqués conformément aux indications sur les plans, aux dessins de détails et/ou aux dispositions spécifiques dans le cahier spécial des charges., concernant :</w:t>
      </w:r>
    </w:p>
    <w:p w14:paraId="1F476D72" w14:textId="77777777" w:rsidR="004B2808" w:rsidRDefault="00000000">
      <w:pPr>
        <w:pStyle w:val="Author-eListParagraph"/>
        <w:numPr>
          <w:ilvl w:val="0"/>
          <w:numId w:val="839"/>
        </w:numPr>
      </w:pPr>
      <w:r>
        <w:t>le type de baie, les dimensions dans l'œuvre de la baie, l'épaisseur des murs finis ;</w:t>
      </w:r>
    </w:p>
    <w:p w14:paraId="123E7EF7" w14:textId="77777777" w:rsidR="004B2808" w:rsidRDefault="00000000">
      <w:pPr>
        <w:pStyle w:val="Author-eListParagraph"/>
        <w:numPr>
          <w:ilvl w:val="0"/>
          <w:numId w:val="839"/>
        </w:numPr>
      </w:pPr>
      <w:r>
        <w:t>les matériaux (bois, métal, ...) et les dimensions des parties fixes (dormant, encadrement, ...), des parties complémentaires (imposte, parties latérales ouvrantes ou fixes, ...) ;</w:t>
      </w:r>
    </w:p>
    <w:p w14:paraId="02998753" w14:textId="77777777" w:rsidR="004B2808" w:rsidRDefault="00000000">
      <w:pPr>
        <w:pStyle w:val="Author-eListParagraph"/>
        <w:numPr>
          <w:ilvl w:val="0"/>
          <w:numId w:val="839"/>
        </w:numPr>
      </w:pPr>
      <w:r>
        <w:t>les matériaux et les dimensions des parties ouvrantes (vantaux) et des parties complémentaires (imposte, parties latérales ouvrantes ou fixes, ...) ;</w:t>
      </w:r>
    </w:p>
    <w:p w14:paraId="56E93A77" w14:textId="77777777" w:rsidR="004B2808" w:rsidRDefault="00000000">
      <w:pPr>
        <w:pStyle w:val="Author-eListParagraph"/>
        <w:numPr>
          <w:ilvl w:val="0"/>
          <w:numId w:val="839"/>
        </w:numPr>
      </w:pPr>
      <w:r>
        <w:t>l'emplacement de la porte (porte intérieure, porte d'appartement, …) ainsi que le sens d'ouverture des portes.</w:t>
      </w:r>
    </w:p>
    <w:p w14:paraId="4C74D3BB" w14:textId="77777777" w:rsidR="004B2808" w:rsidRDefault="00000000">
      <w:pPr>
        <w:jc w:val="both"/>
      </w:pPr>
      <w:r>
        <w:rPr>
          <w:b/>
          <w:u w:val="single"/>
        </w:rPr>
        <w:t>Accessoires</w:t>
      </w:r>
    </w:p>
    <w:p w14:paraId="38EB7803" w14:textId="77777777" w:rsidR="004B2808" w:rsidRDefault="00000000">
      <w:pPr>
        <w:jc w:val="both"/>
      </w:pPr>
      <w:r>
        <w:t>Le cahier spécial des charges mentionne en outre pour quelles portes des éléments complémentaires sont aussi prévus telles que : grille de ventilation, vitrage, espions, plinthes, plaques de protection, ferme-porte, repères visuels (PMR), éléments décoratifs, fils électriques, … Lorsque le descriptif ne s'avère pas suffisamment explicite, l'auteur du projet est consulté avant la mise en œuvre.</w:t>
      </w:r>
    </w:p>
    <w:p w14:paraId="3C67E514" w14:textId="77777777" w:rsidR="004B2808" w:rsidRDefault="00000000">
      <w:pPr>
        <w:jc w:val="both"/>
      </w:pPr>
      <w:r>
        <w:rPr>
          <w:b/>
          <w:u w:val="single"/>
        </w:rPr>
        <w:t>Huisseries De Portes</w:t>
      </w:r>
    </w:p>
    <w:p w14:paraId="78CC0FDF" w14:textId="77777777" w:rsidR="004B2808" w:rsidRDefault="00000000">
      <w:pPr>
        <w:pStyle w:val="Author-eListParagraph"/>
        <w:numPr>
          <w:ilvl w:val="0"/>
          <w:numId w:val="840"/>
        </w:numPr>
      </w:pPr>
      <w:r>
        <w:t xml:space="preserve">Les huisseries de portes intérieures sont adaptées et posées en fonction de la forme de la porte. Les huisseries de portes intérieures, ainsi que les vantaux de portes, doivent pouvoir supporter les diverses sollicitations imposées aux ensembles de portes en fonction de : </w:t>
      </w:r>
    </w:p>
    <w:p w14:paraId="4789D586" w14:textId="77777777" w:rsidR="004B2808" w:rsidRDefault="00000000">
      <w:pPr>
        <w:pStyle w:val="Author-eListParagraph"/>
        <w:numPr>
          <w:ilvl w:val="1"/>
          <w:numId w:val="841"/>
        </w:numPr>
      </w:pPr>
      <w:r>
        <w:t>la catégorie (porte intérieure, porte d'appartement, …) et du type de porte,</w:t>
      </w:r>
    </w:p>
    <w:p w14:paraId="0DD144BC" w14:textId="77777777" w:rsidR="004B2808" w:rsidRDefault="00000000">
      <w:pPr>
        <w:pStyle w:val="Author-eListParagraph"/>
        <w:numPr>
          <w:ilvl w:val="1"/>
          <w:numId w:val="841"/>
        </w:numPr>
      </w:pPr>
      <w:r>
        <w:t>la masse des vantaux qui composent la porte,</w:t>
      </w:r>
    </w:p>
    <w:p w14:paraId="3046859D" w14:textId="77777777" w:rsidR="004B2808" w:rsidRDefault="00000000">
      <w:pPr>
        <w:pStyle w:val="Author-eListParagraph"/>
        <w:numPr>
          <w:ilvl w:val="1"/>
          <w:numId w:val="841"/>
        </w:numPr>
      </w:pPr>
      <w:r>
        <w:t>la nature, la finition et l'épaisseur des murs ou cloisons de la baie.</w:t>
      </w:r>
      <w:r>
        <w:br/>
      </w:r>
    </w:p>
    <w:p w14:paraId="1C809D0C" w14:textId="77777777" w:rsidR="004B2808" w:rsidRDefault="00000000">
      <w:pPr>
        <w:pStyle w:val="Author-eListParagraph"/>
        <w:numPr>
          <w:ilvl w:val="0"/>
          <w:numId w:val="840"/>
        </w:numPr>
      </w:pPr>
      <w:r>
        <w:t>Le cahier spécial des charges décrit le mode de mise en œuvre dans l'huisserie ou dans le dormant ou d'autres solutions éventuelles, sauf pour les portes pour lesquelles des critères de performance particuliers sont d'application (résistance au feu, isolation acoustique, …) et pour lesquelles la mise en œuvre s'effectue conformément aux articles concernés.</w:t>
      </w:r>
    </w:p>
    <w:p w14:paraId="0D159401" w14:textId="77777777" w:rsidR="004B2808" w:rsidRDefault="00000000">
      <w:pPr>
        <w:pStyle w:val="Author-eListParagraph"/>
        <w:numPr>
          <w:ilvl w:val="0"/>
          <w:numId w:val="840"/>
        </w:numPr>
      </w:pPr>
      <w:r>
        <w:t>Sauf dispositions spéciales (par ex. portes à recouvrement), tous les vantaux ouvrants des portes intérieures sont conçus avec une simple batée.</w:t>
      </w:r>
    </w:p>
    <w:p w14:paraId="0FDB9826" w14:textId="77777777" w:rsidR="004B2808" w:rsidRDefault="00000000">
      <w:pPr>
        <w:pStyle w:val="Author-eListParagraph"/>
        <w:numPr>
          <w:ilvl w:val="0"/>
          <w:numId w:val="840"/>
        </w:numPr>
      </w:pPr>
      <w:r>
        <w:t>La largeur des encadrements intérieurs est fonction de l'épaisseur respective des murs, y compris le plafonnage.</w:t>
      </w:r>
    </w:p>
    <w:p w14:paraId="76689C9A" w14:textId="77777777" w:rsidR="004B2808" w:rsidRDefault="00000000">
      <w:pPr>
        <w:pStyle w:val="Author-eListParagraph"/>
        <w:numPr>
          <w:ilvl w:val="0"/>
          <w:numId w:val="840"/>
        </w:numPr>
      </w:pPr>
      <w:r>
        <w:t xml:space="preserve">Toute pose de porte munie de précadre nécessite, selon le type, la pose en coulant du béton dans les profilés du précadre. Il tient lieu d'informer l'entreprise posant la porte le maître </w:t>
      </w:r>
      <w:r>
        <w:lastRenderedPageBreak/>
        <w:t>d'ouvrage et l'entreprise de gros-œuvre. Le maître d'ouvrage est informé de système de pose et coordonne les divers corps de métiers.</w:t>
      </w:r>
    </w:p>
    <w:p w14:paraId="264CC5FE" w14:textId="77777777" w:rsidR="004B2808" w:rsidRDefault="00000000">
      <w:pPr>
        <w:pStyle w:val="Author-eListParagraph"/>
        <w:numPr>
          <w:ilvl w:val="0"/>
          <w:numId w:val="840"/>
        </w:numPr>
      </w:pPr>
      <w:r>
        <w:t xml:space="preserve">Les huisseries de portes sont équipées de : </w:t>
      </w:r>
    </w:p>
    <w:p w14:paraId="6A547976" w14:textId="77777777" w:rsidR="004B2808" w:rsidRDefault="00000000">
      <w:pPr>
        <w:pStyle w:val="Author-eListParagraph"/>
        <w:numPr>
          <w:ilvl w:val="1"/>
          <w:numId w:val="842"/>
        </w:numPr>
      </w:pPr>
      <w:r>
        <w:t>au moins 2 tringles d'espacement, fixées au pied des montants et qui dépassent de 3 cm sous le niveau du sol fini (pour les huisseries à encastrer).</w:t>
      </w:r>
    </w:p>
    <w:p w14:paraId="45C49C0D" w14:textId="77777777" w:rsidR="004B2808" w:rsidRDefault="00000000">
      <w:pPr>
        <w:pStyle w:val="Author-eListParagraph"/>
        <w:numPr>
          <w:ilvl w:val="1"/>
          <w:numId w:val="842"/>
        </w:numPr>
      </w:pPr>
      <w:r>
        <w:t>au moins 2 x 3 pattes d'ancrage, section 15/20 x 1,5 x 300 mm, galvanisées ou métallisées et fixées à l’huisserie à proximité des éléments de suspension et de fermeture. Pour les encadrements de porte dont la largeur est supérieure à 1000 mm, la traverse supérieure est également ancrée. Les pattes d'ancrage pour la fixation au gros-œuvre sont fixées à l'encadrement en usine.</w:t>
      </w:r>
    </w:p>
    <w:p w14:paraId="22A3860D" w14:textId="77777777" w:rsidR="004B2808" w:rsidRDefault="00000000">
      <w:pPr>
        <w:pStyle w:val="Author-eListParagraph"/>
        <w:numPr>
          <w:ilvl w:val="1"/>
          <w:numId w:val="842"/>
        </w:numPr>
      </w:pPr>
      <w:r>
        <w:t>au moins 3 paumelles d'acier, avec bague d'usure et un nœud d'une épaisseur de 15 mm ; elles sont fixées par soudage ou vissage, tandis que les huisseries sont localement renforcées et protégées au droit des points de suspension. Attention : pour les portes ouvrantes dont le vantail présente une largeur supérieure à 900 mm, et pour les portes renforcées, l'entrepreneur prévoit toujours 4 paumelles. Les paumelles sont dans tous les cas parfaitement alignées.</w:t>
      </w:r>
    </w:p>
    <w:p w14:paraId="765A66B4" w14:textId="77777777" w:rsidR="004B2808" w:rsidRDefault="00000000">
      <w:pPr>
        <w:pStyle w:val="Author-eListParagraph"/>
        <w:numPr>
          <w:ilvl w:val="1"/>
          <w:numId w:val="842"/>
        </w:numPr>
      </w:pPr>
      <w:r>
        <w:t>les trous de gâche ajustables sont pourvus de boîtiers de protection fermés.</w:t>
      </w:r>
    </w:p>
    <w:p w14:paraId="0522FA42" w14:textId="77777777" w:rsidR="004B2808" w:rsidRDefault="00000000">
      <w:pPr>
        <w:pStyle w:val="Author-eListParagraph"/>
        <w:numPr>
          <w:ilvl w:val="0"/>
          <w:numId w:val="840"/>
        </w:numPr>
      </w:pPr>
      <w:r>
        <w:t>Lorsqu'un profil d'étanchéité élastomère continu est prévu, celui-ci doit pouvoir être remplacé et, sauf mention contraire, ancré dans la batée autour des vantaux, sans collage.</w:t>
      </w:r>
    </w:p>
    <w:p w14:paraId="29E77AFD" w14:textId="77777777" w:rsidR="004B2808" w:rsidRDefault="00000000">
      <w:pPr>
        <w:pStyle w:val="Author-eListParagraph"/>
        <w:numPr>
          <w:ilvl w:val="0"/>
          <w:numId w:val="840"/>
        </w:numPr>
      </w:pPr>
      <w:r>
        <w:t>Le modèle est préalablement soumis à l'approbation de la direction de chantier.</w:t>
      </w:r>
    </w:p>
    <w:p w14:paraId="3065FA8D" w14:textId="77777777" w:rsidR="004B2808" w:rsidRDefault="00000000">
      <w:pPr>
        <w:jc w:val="both"/>
      </w:pPr>
      <w:r>
        <w:rPr>
          <w:b/>
          <w:u w:val="single"/>
        </w:rPr>
        <w:t>Vantaux de porte</w:t>
      </w:r>
    </w:p>
    <w:p w14:paraId="5349C75E" w14:textId="77777777" w:rsidR="004B2808" w:rsidRDefault="00000000">
      <w:pPr>
        <w:jc w:val="both"/>
      </w:pPr>
      <w:r>
        <w:t>Les vantaux de porte neuve  satisfont aux [STS 53.1] et [STS 53.2], et, sauf dispositions contraires figurant dans le cahier spécial des charges, aux prescriptions générales suivantes :</w:t>
      </w:r>
    </w:p>
    <w:p w14:paraId="50723A50" w14:textId="77777777" w:rsidR="004B2808" w:rsidRDefault="00000000">
      <w:pPr>
        <w:pStyle w:val="Author-eListParagraph"/>
        <w:numPr>
          <w:ilvl w:val="0"/>
          <w:numId w:val="843"/>
        </w:numPr>
      </w:pPr>
      <w:r>
        <w:t>Avant la mise en fabrication des portes neuves , l'entrepreneur soumet les dessins d'exécution nécessaires à l'approbation de l'auteur de projet.</w:t>
      </w:r>
    </w:p>
    <w:p w14:paraId="4933EEBF" w14:textId="77777777" w:rsidR="004B2808" w:rsidRDefault="00000000">
      <w:pPr>
        <w:pStyle w:val="Author-eListParagraph"/>
        <w:numPr>
          <w:ilvl w:val="0"/>
          <w:numId w:val="843"/>
        </w:numPr>
      </w:pPr>
      <w:r>
        <w:t>Toutes les mesures indiquées sont des dimensions rabotées minimales.</w:t>
      </w:r>
    </w:p>
    <w:p w14:paraId="685AED80" w14:textId="77777777" w:rsidR="004B2808" w:rsidRDefault="00000000">
      <w:pPr>
        <w:pStyle w:val="Author-eListParagraph"/>
        <w:numPr>
          <w:ilvl w:val="0"/>
          <w:numId w:val="843"/>
        </w:numPr>
      </w:pPr>
      <w:r>
        <w:t>La porte est pourvue des ouvertures nécessaires pour la fixation des organes de suspension, de manœuvre et de fermeture. Pour les portes ouvrantes, les mesures nécessaires sont prises pour que toutes les feuilles de portes puissent être suspendues aux huisseries à l'aide de 3 paumelles pour les vantaux de porte &lt; 900 mm de largeur et au moins 4 paumelles pour les vantaux de porte &gt; 900 mm de largeur.</w:t>
      </w:r>
    </w:p>
    <w:p w14:paraId="035638B8" w14:textId="77777777" w:rsidR="004B2808" w:rsidRDefault="00000000">
      <w:pPr>
        <w:pStyle w:val="Author-eListParagraph"/>
        <w:numPr>
          <w:ilvl w:val="0"/>
          <w:numId w:val="843"/>
        </w:numPr>
      </w:pPr>
      <w:r>
        <w:t>Sauf dispositions contraires, les vantaux de porte présentent une épaisseur nominale de 40 mm.</w:t>
      </w:r>
    </w:p>
    <w:p w14:paraId="1DCAAFEE" w14:textId="77777777" w:rsidR="004B2808" w:rsidRDefault="00000000">
      <w:pPr>
        <w:pStyle w:val="Author-eListParagraph"/>
        <w:numPr>
          <w:ilvl w:val="0"/>
          <w:numId w:val="843"/>
        </w:numPr>
      </w:pPr>
      <w:r>
        <w:t>Les vantaux de porte satisfont aux normes [NBN EN 952] - en ce qui concerne leur planéité.</w:t>
      </w:r>
    </w:p>
    <w:p w14:paraId="03CC0313" w14:textId="77777777" w:rsidR="004B2808" w:rsidRDefault="00000000">
      <w:pPr>
        <w:pStyle w:val="Author-eListParagraph"/>
        <w:numPr>
          <w:ilvl w:val="0"/>
          <w:numId w:val="843"/>
        </w:numPr>
      </w:pPr>
      <w:r>
        <w:t>Les défauts de fabrication suivants entraînent le refus : joints ouverts entre les couches ou entre deux bandes de placage d'une même couche, le chevauchement des couches, des réparations, des bulles d'air, une surface rugueuse, des pénétrations de colle.</w:t>
      </w:r>
    </w:p>
    <w:p w14:paraId="449E9990" w14:textId="77777777" w:rsidR="004B2808" w:rsidRDefault="00000000">
      <w:pPr>
        <w:pStyle w:val="Author-eListParagraph"/>
        <w:numPr>
          <w:ilvl w:val="0"/>
          <w:numId w:val="843"/>
        </w:numPr>
      </w:pPr>
      <w:r>
        <w:t>Performances selon la [STS 53.1] (2006) §53.1.4.4</w:t>
      </w:r>
    </w:p>
    <w:p w14:paraId="137602DB" w14:textId="77777777" w:rsidR="004B2808" w:rsidRDefault="00000000">
      <w:pPr>
        <w:jc w:val="both"/>
      </w:pPr>
      <w:r>
        <w:t>Pour les portes de réemploi une porte représentative est présentée à l'approbation de l'auteur de projet</w:t>
      </w:r>
    </w:p>
    <w:p w14:paraId="3158415C" w14:textId="77777777" w:rsidR="004B2808" w:rsidRDefault="00000000">
      <w:pPr>
        <w:pStyle w:val="pheading"/>
      </w:pPr>
      <w:r>
        <w:t>EXÉCUTION / MISE EN ŒUVRE</w:t>
      </w:r>
    </w:p>
    <w:p w14:paraId="21D029EF" w14:textId="77777777" w:rsidR="004B2808" w:rsidRDefault="00000000">
      <w:pPr>
        <w:jc w:val="both"/>
      </w:pPr>
      <w:r>
        <w:t>L'entrepreneur général est chargé de la coordination des postes suivants : les encadrements, les feuilles de porte, la quincaillerie, le vitrage, la finition des murs intérieurs, les éventuels entre-portes, … Les mesures indiquées sur les plans, les dessins de détail et/ou le métré sont données à titre purement indicatif. Les dimensions exactes sont toujours contrôlées sur place.</w:t>
      </w:r>
    </w:p>
    <w:p w14:paraId="49E5828D" w14:textId="77777777" w:rsidR="004B2808" w:rsidRDefault="00000000">
      <w:pPr>
        <w:jc w:val="both"/>
      </w:pPr>
      <w:r>
        <w:rPr>
          <w:b/>
          <w:u w:val="single"/>
        </w:rPr>
        <w:t>Timing - Influence De L'environnement</w:t>
      </w:r>
    </w:p>
    <w:p w14:paraId="04CE3511" w14:textId="77777777" w:rsidR="004B2808" w:rsidRDefault="00000000">
      <w:pPr>
        <w:pStyle w:val="Author-eListParagraph"/>
        <w:numPr>
          <w:ilvl w:val="0"/>
          <w:numId w:val="844"/>
        </w:numPr>
        <w:jc w:val="both"/>
      </w:pPr>
      <w:r>
        <w:t>La menuiserie intérieure ne peut être mise en œuvre que lorsque les conditions de pose sont favorables. Les conditions de mise en œuvre considérées comme normales sont les suivantes : lorsque la température est comprise entre 15 et 25 °C et que le degré d'humidité se situe entre 40 et 70 % HR.</w:t>
      </w:r>
    </w:p>
    <w:p w14:paraId="75D6787B" w14:textId="77777777" w:rsidR="004B2808" w:rsidRDefault="00000000">
      <w:pPr>
        <w:pStyle w:val="Author-eListParagraph"/>
        <w:numPr>
          <w:ilvl w:val="0"/>
          <w:numId w:val="844"/>
        </w:numPr>
        <w:jc w:val="both"/>
      </w:pPr>
      <w:r>
        <w:lastRenderedPageBreak/>
        <w:t>Les portent ne peuvent en aucun cas être posées lorsque les circonstances sont de nature à pouvoir provoquer le gonflement, le voilement ou le retrait des portes. Lorsque le fabricant et/ou le menuisier constatent que leurs ouvrages risquent d'être soumis à des conditions hygrométriques anormales et défavorables ou ayant des effets irréversibles (par ex. le gonflement, la corrosion, la décomposition…) qui sont la cause de refus, ils en avertissent le plus rapidement possible le maître de l'ouvrage ou l'auteur de projet.</w:t>
      </w:r>
    </w:p>
    <w:p w14:paraId="3FD90670" w14:textId="77777777" w:rsidR="004B2808" w:rsidRDefault="00000000">
      <w:pPr>
        <w:jc w:val="both"/>
      </w:pPr>
      <w:r>
        <w:t>Voir à ce sujet la [NIT 166].</w:t>
      </w:r>
    </w:p>
    <w:p w14:paraId="03D8C4FE" w14:textId="77777777" w:rsidR="004B2808" w:rsidRDefault="00000000">
      <w:pPr>
        <w:pStyle w:val="Author-eListParagraph"/>
        <w:numPr>
          <w:ilvl w:val="0"/>
          <w:numId w:val="845"/>
        </w:numPr>
        <w:jc w:val="both"/>
      </w:pPr>
      <w:r>
        <w:t>Le bois est entreposé dans un endroit approprié, à l'abri du soleil, de l'humidité et de la pluie, sans entrer en contact avec le sol ou les plantations qui le recouvrent.</w:t>
      </w:r>
    </w:p>
    <w:p w14:paraId="2E09F0A2" w14:textId="77777777" w:rsidR="004B2808" w:rsidRDefault="00000000">
      <w:pPr>
        <w:pStyle w:val="Author-eListParagraph"/>
        <w:numPr>
          <w:ilvl w:val="0"/>
          <w:numId w:val="845"/>
        </w:numPr>
        <w:jc w:val="both"/>
      </w:pPr>
      <w:r>
        <w:t>La pose des portes assurant la résistance au feu est exécutée conformément à la [NIT 234].</w:t>
      </w:r>
    </w:p>
    <w:p w14:paraId="4E613EB5" w14:textId="77777777" w:rsidR="004B2808" w:rsidRDefault="00000000">
      <w:r>
        <w:rPr>
          <w:b/>
          <w:u w:val="single"/>
        </w:rPr>
        <w:t>Ventilation</w:t>
      </w:r>
    </w:p>
    <w:p w14:paraId="03AF8704" w14:textId="77777777" w:rsidR="004B2808" w:rsidRDefault="00000000">
      <w:pPr>
        <w:pStyle w:val="Author-eListParagraph"/>
        <w:numPr>
          <w:ilvl w:val="0"/>
          <w:numId w:val="846"/>
        </w:numPr>
        <w:jc w:val="both"/>
      </w:pPr>
      <w:r>
        <w:t>Les portes séparant les parties communes des pièces privatives, les garages de l'habitation ou des locaux communautaires, les greniers des locaux d'habitation ou communautaires, les locaux d'entreposage des ordures des locaux d'habitation ou communautaires, ainsi que toutes les autres portes de liaison ne peuvent dépasser un débit de fuite supérieur à 50 m³/h pour une différence de pression de 50Pa.</w:t>
      </w:r>
    </w:p>
    <w:p w14:paraId="7FDB4F15" w14:textId="77777777" w:rsidR="004B2808" w:rsidRDefault="00000000">
      <w:pPr>
        <w:pStyle w:val="Author-eListParagraph"/>
        <w:numPr>
          <w:ilvl w:val="0"/>
          <w:numId w:val="846"/>
        </w:numPr>
        <w:jc w:val="both"/>
      </w:pPr>
      <w:r>
        <w:t>Pour les portes intérieures des locaux d'habitation faisant partie d'un système de ventilation passive (système A), l'entrepreneur tient compte d'une ouverture de ventilation suffisante en respect de la norme [NBN D 50-001]. Celle-ci peut être réalisée en posant des grilles de ventilation ou en raccourcissant la feuille de porte conformément aux indications de la norme (une fente dans le bas de maximum 10 mm représente une ouverture d'environ 90 cm²).</w:t>
      </w:r>
    </w:p>
    <w:p w14:paraId="1B75E665" w14:textId="77777777" w:rsidR="004B2808" w:rsidRDefault="00000000">
      <w:pPr>
        <w:jc w:val="both"/>
      </w:pPr>
      <w:r>
        <w:rPr>
          <w:b/>
          <w:u w:val="single"/>
        </w:rPr>
        <w:t>Sécurisation incendie</w:t>
      </w:r>
    </w:p>
    <w:p w14:paraId="15147DA5" w14:textId="77777777" w:rsidR="004B2808" w:rsidRDefault="00000000">
      <w:pPr>
        <w:pStyle w:val="Author-eListParagraph"/>
        <w:numPr>
          <w:ilvl w:val="0"/>
          <w:numId w:val="847"/>
        </w:numPr>
        <w:jc w:val="both"/>
      </w:pPr>
      <w:r>
        <w:t>En matière de sécurité incendie, les portes répondent aux exigences en fonction de la destination des locaux auxquels elles appartiennent. Une porte de réemploi initialement résistant au feu ne peut conserver ses aptitudes après démontage. </w:t>
      </w:r>
    </w:p>
    <w:p w14:paraId="4E24EB52" w14:textId="77777777" w:rsidR="004B2808" w:rsidRDefault="00000000">
      <w:pPr>
        <w:pStyle w:val="Author-eListParagraph"/>
        <w:numPr>
          <w:ilvl w:val="0"/>
          <w:numId w:val="847"/>
        </w:numPr>
        <w:jc w:val="both"/>
      </w:pPr>
      <w:r>
        <w:t>Support aux prescripteurs : [SWL GSI/T1/C] de la prévention passive référencé dans le 0 T0 Entreprise / Chantier</w:t>
      </w:r>
    </w:p>
    <w:p w14:paraId="79649475" w14:textId="77777777" w:rsidR="004B2808" w:rsidRDefault="00000000">
      <w:pPr>
        <w:jc w:val="both"/>
      </w:pPr>
      <w:r>
        <w:rPr>
          <w:b/>
          <w:u w:val="single"/>
        </w:rPr>
        <w:t>Huisseries de portes</w:t>
      </w:r>
    </w:p>
    <w:p w14:paraId="22A04D62" w14:textId="77777777" w:rsidR="004B2808" w:rsidRDefault="00000000">
      <w:pPr>
        <w:pStyle w:val="Author-eListParagraph"/>
        <w:numPr>
          <w:ilvl w:val="0"/>
          <w:numId w:val="848"/>
        </w:numPr>
        <w:jc w:val="both"/>
      </w:pPr>
      <w:r>
        <w:t>Le montage des huisseries de portes et de leurs accessoires se fait selon les prescriptions des [STS 53.1] et [STS 53.2], dans la mesure où elles ne contredisent pas les prescriptions du fabricant et/ou les indications sur les plans et les dessins de détail.</w:t>
      </w:r>
    </w:p>
    <w:p w14:paraId="7AC56C42" w14:textId="77777777" w:rsidR="004B2808" w:rsidRDefault="00000000">
      <w:pPr>
        <w:pStyle w:val="Author-eListParagraph"/>
        <w:numPr>
          <w:ilvl w:val="0"/>
          <w:numId w:val="848"/>
        </w:numPr>
        <w:jc w:val="both"/>
      </w:pPr>
      <w:r>
        <w:t>Les huisseries de portes sont posées d'équerre et d'aplomb en respectant scrupuleusement les prescriptions du cahier spécial des charges et/ou du fabricant ; celles-ci décrivent entre autres le mode d'ancrage au gros-œuvre, les mesures de prévention à prendre en ce qui concerne l'étanchéité, l'isolation acoustique et la résistance au feu. Les encadrements de portes ou les huisseries sont fixés au gros-œuvre le près possible des organes de suspension ou d'ouverture des vantaux et des éventuels ferme-porte. La fixation centrale au linteau en béton est obligatoire pour toute traverse supérieure dont la longueur excède 1000 mm.</w:t>
      </w:r>
    </w:p>
    <w:p w14:paraId="02D72102" w14:textId="77777777" w:rsidR="004B2808" w:rsidRDefault="00000000">
      <w:pPr>
        <w:jc w:val="both"/>
      </w:pPr>
      <w:r>
        <w:rPr>
          <w:b/>
          <w:u w:val="single"/>
        </w:rPr>
        <w:t>Ensembles de porte / résistant au feu</w:t>
      </w:r>
    </w:p>
    <w:p w14:paraId="1219F51D" w14:textId="77777777" w:rsidR="004B2808" w:rsidRDefault="00000000">
      <w:pPr>
        <w:pStyle w:val="Author-eListParagraph"/>
        <w:numPr>
          <w:ilvl w:val="0"/>
          <w:numId w:val="849"/>
        </w:numPr>
        <w:jc w:val="both"/>
      </w:pPr>
      <w:r>
        <w:t>Les ensembles de porte neuve sont placés par un menuisier certifié. Le certificat mentionne également la durée de validité de la certification. Si le placeur n’est pas certifié, le placement des portes est contrôlé par un organisme de contrôle. La mise en œuvre se fait conformément aux prescriptions du certificat de conformité et du fabricant ainsi que des indications sur les plans et les dessins de détail. Le montage des portes et des huisseries de portes ne peut en aucun cas réduire la résistance au feu de l'ensemble. Lorsque les serrures sont placées par le menuisier, le produit moussant est appliqué préalablement dans l'ouverture pour la serrure.</w:t>
      </w:r>
    </w:p>
    <w:p w14:paraId="08DD1389" w14:textId="77777777" w:rsidR="004B2808" w:rsidRDefault="00000000">
      <w:pPr>
        <w:pStyle w:val="Author-eListParagraph"/>
        <w:numPr>
          <w:ilvl w:val="0"/>
          <w:numId w:val="849"/>
        </w:numPr>
        <w:jc w:val="both"/>
      </w:pPr>
      <w:r>
        <w:t>La résistance au feu des portes de réemploi ne peut être couverte par le certificat initial de la porte.</w:t>
      </w:r>
    </w:p>
    <w:p w14:paraId="24432984" w14:textId="77777777" w:rsidR="004B2808" w:rsidRDefault="00000000">
      <w:pPr>
        <w:pStyle w:val="Author-eListParagraph"/>
        <w:numPr>
          <w:ilvl w:val="0"/>
          <w:numId w:val="849"/>
        </w:numPr>
        <w:jc w:val="both"/>
      </w:pPr>
      <w:r>
        <w:lastRenderedPageBreak/>
        <w:t>Lorsque plusieurs portes sont posées en série, un trumeau est prévu ayant les mêmes spécifications que l’huisserie.</w:t>
      </w:r>
    </w:p>
    <w:p w14:paraId="3F9C7004" w14:textId="77777777" w:rsidR="004B2808" w:rsidRDefault="00000000">
      <w:pPr>
        <w:pStyle w:val="pheading"/>
      </w:pPr>
      <w:r>
        <w:t>CONTRÔLES</w:t>
      </w:r>
    </w:p>
    <w:p w14:paraId="6F8212BB" w14:textId="77777777" w:rsidR="004B2808" w:rsidRDefault="00000000">
      <w:r>
        <w:rPr>
          <w:b/>
          <w:u w:val="single"/>
        </w:rPr>
        <w:t>Echantillonnage et contrôle selon les [STS 53.1] et [STS 53.2]</w:t>
      </w:r>
    </w:p>
    <w:p w14:paraId="6C15827F" w14:textId="77777777" w:rsidR="004B2808" w:rsidRDefault="00000000">
      <w:pPr>
        <w:pStyle w:val="Author-eListParagraph"/>
        <w:numPr>
          <w:ilvl w:val="0"/>
          <w:numId w:val="850"/>
        </w:numPr>
        <w:jc w:val="both"/>
      </w:pPr>
      <w:r>
        <w:t>Les éléments qui peuvent être livrés selon un modèle préfabriqué sont soumis préalablement à l'approbation de la direction du chantier. Les produits qui disposent d'un certificat de conformité ou une déclaration d'aptitude à l'utilisation selon le sous-titre 02.42 Approbations / agréations de matériaux sont exemptés des essais de contrôle technique préalables.</w:t>
      </w:r>
    </w:p>
    <w:p w14:paraId="103C3801" w14:textId="77777777" w:rsidR="004B2808" w:rsidRDefault="00000000">
      <w:pPr>
        <w:pStyle w:val="Author-eListParagraph"/>
        <w:numPr>
          <w:ilvl w:val="0"/>
          <w:numId w:val="850"/>
        </w:numPr>
        <w:jc w:val="both"/>
      </w:pPr>
      <w:r>
        <w:t>En ce qui concerne les tolérances dimensionnelles et les écarts d'équerrage des vantaux et huisseries mis en place, la base de tolérance pour les portes intérieures ordinaires est la classe 2, sauf dispositions contraires dans le cahier spécial des charges.</w:t>
      </w:r>
    </w:p>
    <w:p w14:paraId="713D2732" w14:textId="77777777" w:rsidR="004B2808" w:rsidRDefault="00000000">
      <w:pPr>
        <w:pStyle w:val="Author-eListParagraph"/>
        <w:numPr>
          <w:ilvl w:val="0"/>
          <w:numId w:val="850"/>
        </w:numPr>
        <w:jc w:val="both"/>
      </w:pPr>
      <w:r>
        <w:t>Le jeu entre le vantail de porte et l’huisserie ne dépasse pas 0,3 mm.</w:t>
      </w:r>
    </w:p>
    <w:p w14:paraId="5215A924" w14:textId="77777777" w:rsidR="004B2808" w:rsidRDefault="00000000">
      <w:pPr>
        <w:pStyle w:val="Author-eListParagraph"/>
        <w:numPr>
          <w:ilvl w:val="0"/>
          <w:numId w:val="850"/>
        </w:numPr>
        <w:jc w:val="both"/>
      </w:pPr>
      <w:r>
        <w:t>L'écart angulaire maximal à 5 cm de l'angle, mesuré à l'équerre aux jambes de 5 cm est de maximum 1 mm.</w:t>
      </w:r>
    </w:p>
    <w:p w14:paraId="2406AD36" w14:textId="77777777" w:rsidR="004B2808" w:rsidRDefault="00000000">
      <w:pPr>
        <w:pStyle w:val="Author-eListParagraph"/>
        <w:numPr>
          <w:ilvl w:val="0"/>
          <w:numId w:val="850"/>
        </w:numPr>
        <w:jc w:val="both"/>
      </w:pPr>
      <w:r>
        <w:t>La rectitude des bords ne s'écarte pas de plus de 1 mm de la ligne théorique.</w:t>
      </w:r>
    </w:p>
    <w:p w14:paraId="2F2FB002" w14:textId="77777777" w:rsidR="004B2808" w:rsidRDefault="00000000">
      <w:pPr>
        <w:pStyle w:val="Author-eListParagraph"/>
        <w:numPr>
          <w:ilvl w:val="0"/>
          <w:numId w:val="850"/>
        </w:numPr>
        <w:jc w:val="both"/>
      </w:pPr>
      <w:r>
        <w:t>La verticalité des montants dans le plan du vantail : l'écart maximal mesuré au fil à plomb ne dépasse pas 3 mm (dans la mesure où cet écart se situe dans le sens de fermeture de la porte).</w:t>
      </w:r>
    </w:p>
    <w:p w14:paraId="538009D4" w14:textId="77777777" w:rsidR="004B2808" w:rsidRDefault="00000000">
      <w:pPr>
        <w:pStyle w:val="Author-eListParagraph"/>
        <w:numPr>
          <w:ilvl w:val="0"/>
          <w:numId w:val="850"/>
        </w:numPr>
        <w:jc w:val="both"/>
      </w:pPr>
      <w:r>
        <w:t>Pendant la période de garantie d'un an, l'entrepreneur remplace à ses frais tous les vantaux qui présentent des écarts au niveau des dimensions, de l'équerrage et de la planéité, supérieurs aux valeurs admissibles figurant dans le tableau suivant :</w:t>
      </w:r>
    </w:p>
    <w:tbl>
      <w:tblPr>
        <w:tblStyle w:val="Author-eTableGrid"/>
        <w:tblW w:w="9060" w:type="dxa"/>
        <w:tblLayout w:type="fixed"/>
        <w:tblLook w:val="04A0" w:firstRow="1" w:lastRow="0" w:firstColumn="1" w:lastColumn="0" w:noHBand="0" w:noVBand="1"/>
      </w:tblPr>
      <w:tblGrid>
        <w:gridCol w:w="1295"/>
        <w:gridCol w:w="1295"/>
        <w:gridCol w:w="1294"/>
        <w:gridCol w:w="1294"/>
        <w:gridCol w:w="1294"/>
        <w:gridCol w:w="1294"/>
        <w:gridCol w:w="1294"/>
      </w:tblGrid>
      <w:tr w:rsidR="004B2808" w14:paraId="3E24B20A" w14:textId="77777777">
        <w:tc>
          <w:tcPr>
            <w:tcW w:w="1290" w:type="dxa"/>
            <w:noWrap/>
          </w:tcPr>
          <w:p w14:paraId="7205E055" w14:textId="77777777" w:rsidR="004B2808" w:rsidRDefault="00000000">
            <w:r>
              <w:rPr>
                <w:b/>
              </w:rPr>
              <w:t>Désignation</w:t>
            </w:r>
          </w:p>
        </w:tc>
        <w:tc>
          <w:tcPr>
            <w:tcW w:w="7740" w:type="dxa"/>
            <w:gridSpan w:val="6"/>
            <w:noWrap/>
          </w:tcPr>
          <w:p w14:paraId="667C004F" w14:textId="77777777" w:rsidR="004B2808" w:rsidRDefault="00000000">
            <w:r>
              <w:rPr>
                <w:b/>
              </w:rPr>
              <w:t>Ecarts tolérés selon les [STS 53.2]</w:t>
            </w:r>
          </w:p>
        </w:tc>
      </w:tr>
      <w:tr w:rsidR="004B2808" w14:paraId="06C1F6F8" w14:textId="77777777">
        <w:tc>
          <w:tcPr>
            <w:tcW w:w="1290" w:type="dxa"/>
            <w:noWrap/>
          </w:tcPr>
          <w:p w14:paraId="20CEED38" w14:textId="77777777" w:rsidR="004B2808" w:rsidRDefault="004B2808"/>
        </w:tc>
        <w:tc>
          <w:tcPr>
            <w:tcW w:w="3870" w:type="dxa"/>
            <w:gridSpan w:val="3"/>
            <w:noWrap/>
          </w:tcPr>
          <w:p w14:paraId="3D6F510A" w14:textId="77777777" w:rsidR="004B2808" w:rsidRDefault="00000000">
            <w:pPr>
              <w:jc w:val="center"/>
            </w:pPr>
            <w:r>
              <w:rPr>
                <w:b/>
              </w:rPr>
              <w:t>Dimensions</w:t>
            </w:r>
          </w:p>
        </w:tc>
        <w:tc>
          <w:tcPr>
            <w:tcW w:w="1290" w:type="dxa"/>
            <w:noWrap/>
          </w:tcPr>
          <w:p w14:paraId="7284C259" w14:textId="77777777" w:rsidR="004B2808" w:rsidRDefault="00000000">
            <w:pPr>
              <w:jc w:val="center"/>
            </w:pPr>
            <w:r>
              <w:rPr>
                <w:b/>
              </w:rPr>
              <w:t>Equarrité</w:t>
            </w:r>
          </w:p>
        </w:tc>
        <w:tc>
          <w:tcPr>
            <w:tcW w:w="2580" w:type="dxa"/>
            <w:gridSpan w:val="2"/>
            <w:noWrap/>
          </w:tcPr>
          <w:p w14:paraId="6A20C8BD" w14:textId="77777777" w:rsidR="004B2808" w:rsidRDefault="00000000">
            <w:pPr>
              <w:jc w:val="center"/>
            </w:pPr>
            <w:r>
              <w:rPr>
                <w:b/>
              </w:rPr>
              <w:t>Planéité</w:t>
            </w:r>
          </w:p>
        </w:tc>
      </w:tr>
      <w:tr w:rsidR="004B2808" w14:paraId="63FC63DE" w14:textId="77777777">
        <w:tc>
          <w:tcPr>
            <w:tcW w:w="1290" w:type="dxa"/>
            <w:noWrap/>
          </w:tcPr>
          <w:p w14:paraId="5A2C48AE" w14:textId="77777777" w:rsidR="004B2808" w:rsidRDefault="004B2808"/>
        </w:tc>
        <w:tc>
          <w:tcPr>
            <w:tcW w:w="1290" w:type="dxa"/>
            <w:noWrap/>
          </w:tcPr>
          <w:p w14:paraId="6FED2B14" w14:textId="77777777" w:rsidR="004B2808" w:rsidRDefault="00000000">
            <w:pPr>
              <w:jc w:val="center"/>
            </w:pPr>
            <w:r>
              <w:rPr>
                <w:b/>
              </w:rPr>
              <w:t>Hauteur</w:t>
            </w:r>
          </w:p>
        </w:tc>
        <w:tc>
          <w:tcPr>
            <w:tcW w:w="1290" w:type="dxa"/>
            <w:noWrap/>
          </w:tcPr>
          <w:p w14:paraId="789A7F5F" w14:textId="77777777" w:rsidR="004B2808" w:rsidRDefault="00000000">
            <w:pPr>
              <w:jc w:val="center"/>
            </w:pPr>
            <w:r>
              <w:rPr>
                <w:b/>
              </w:rPr>
              <w:t>Largeur</w:t>
            </w:r>
          </w:p>
        </w:tc>
        <w:tc>
          <w:tcPr>
            <w:tcW w:w="1290" w:type="dxa"/>
            <w:noWrap/>
          </w:tcPr>
          <w:p w14:paraId="5A1548EF" w14:textId="77777777" w:rsidR="004B2808" w:rsidRDefault="00000000">
            <w:pPr>
              <w:jc w:val="center"/>
            </w:pPr>
            <w:r>
              <w:rPr>
                <w:b/>
              </w:rPr>
              <w:t>Epaisseur</w:t>
            </w:r>
          </w:p>
        </w:tc>
        <w:tc>
          <w:tcPr>
            <w:tcW w:w="1290" w:type="dxa"/>
            <w:noWrap/>
          </w:tcPr>
          <w:p w14:paraId="7D9BE88A" w14:textId="77777777" w:rsidR="004B2808" w:rsidRDefault="004B2808"/>
        </w:tc>
        <w:tc>
          <w:tcPr>
            <w:tcW w:w="1290" w:type="dxa"/>
            <w:noWrap/>
          </w:tcPr>
          <w:p w14:paraId="6134EFAA" w14:textId="77777777" w:rsidR="004B2808" w:rsidRDefault="00000000">
            <w:pPr>
              <w:jc w:val="center"/>
            </w:pPr>
            <w:r>
              <w:rPr>
                <w:b/>
              </w:rPr>
              <w:t>Voilement</w:t>
            </w:r>
          </w:p>
        </w:tc>
        <w:tc>
          <w:tcPr>
            <w:tcW w:w="1290" w:type="dxa"/>
            <w:noWrap/>
          </w:tcPr>
          <w:p w14:paraId="46DB3E93" w14:textId="77777777" w:rsidR="004B2808" w:rsidRDefault="00000000">
            <w:pPr>
              <w:jc w:val="center"/>
            </w:pPr>
            <w:r>
              <w:rPr>
                <w:b/>
              </w:rPr>
              <w:t>Courbure</w:t>
            </w:r>
          </w:p>
        </w:tc>
      </w:tr>
      <w:tr w:rsidR="004B2808" w14:paraId="5366E759" w14:textId="77777777">
        <w:tc>
          <w:tcPr>
            <w:tcW w:w="1290" w:type="dxa"/>
            <w:noWrap/>
          </w:tcPr>
          <w:p w14:paraId="64902D03" w14:textId="77777777" w:rsidR="004B2808" w:rsidRDefault="00000000">
            <w:r>
              <w:rPr>
                <w:b/>
              </w:rPr>
              <w:t>Portes planes</w:t>
            </w:r>
          </w:p>
        </w:tc>
        <w:tc>
          <w:tcPr>
            <w:tcW w:w="1290" w:type="dxa"/>
            <w:noWrap/>
          </w:tcPr>
          <w:p w14:paraId="0A1BC57A" w14:textId="77777777" w:rsidR="004B2808" w:rsidRDefault="00000000">
            <w:pPr>
              <w:jc w:val="center"/>
            </w:pPr>
            <w:r>
              <w:t>+ 2 mm</w:t>
            </w:r>
          </w:p>
        </w:tc>
        <w:tc>
          <w:tcPr>
            <w:tcW w:w="1290" w:type="dxa"/>
            <w:noWrap/>
          </w:tcPr>
          <w:p w14:paraId="667396AF" w14:textId="77777777" w:rsidR="004B2808" w:rsidRDefault="00000000">
            <w:pPr>
              <w:jc w:val="center"/>
            </w:pPr>
            <w:r>
              <w:t>+ 2 mm</w:t>
            </w:r>
          </w:p>
        </w:tc>
        <w:tc>
          <w:tcPr>
            <w:tcW w:w="1290" w:type="dxa"/>
            <w:noWrap/>
          </w:tcPr>
          <w:p w14:paraId="7B68AEB5" w14:textId="77777777" w:rsidR="004B2808" w:rsidRDefault="00000000">
            <w:pPr>
              <w:jc w:val="center"/>
            </w:pPr>
            <w:r>
              <w:t>+ 1 mm</w:t>
            </w:r>
          </w:p>
        </w:tc>
        <w:tc>
          <w:tcPr>
            <w:tcW w:w="1290" w:type="dxa"/>
            <w:noWrap/>
          </w:tcPr>
          <w:p w14:paraId="7A034E9C" w14:textId="77777777" w:rsidR="004B2808" w:rsidRDefault="00000000">
            <w:pPr>
              <w:jc w:val="center"/>
            </w:pPr>
            <w:r>
              <w:t>+ 1.5 mm</w:t>
            </w:r>
          </w:p>
        </w:tc>
        <w:tc>
          <w:tcPr>
            <w:tcW w:w="1290" w:type="dxa"/>
            <w:noWrap/>
          </w:tcPr>
          <w:p w14:paraId="6BEBB66C" w14:textId="77777777" w:rsidR="004B2808" w:rsidRDefault="00000000">
            <w:pPr>
              <w:jc w:val="center"/>
            </w:pPr>
            <w:r>
              <w:t>5 mm</w:t>
            </w:r>
          </w:p>
        </w:tc>
        <w:tc>
          <w:tcPr>
            <w:tcW w:w="1290" w:type="dxa"/>
            <w:noWrap/>
          </w:tcPr>
          <w:p w14:paraId="4CC241E6" w14:textId="77777777" w:rsidR="004B2808" w:rsidRDefault="00000000">
            <w:pPr>
              <w:jc w:val="center"/>
            </w:pPr>
            <w:r>
              <w:t>5 mm</w:t>
            </w:r>
          </w:p>
        </w:tc>
      </w:tr>
      <w:tr w:rsidR="004B2808" w14:paraId="64EC88F2" w14:textId="77777777">
        <w:tc>
          <w:tcPr>
            <w:tcW w:w="1290" w:type="dxa"/>
            <w:noWrap/>
          </w:tcPr>
          <w:p w14:paraId="2DC63685" w14:textId="77777777" w:rsidR="004B2808" w:rsidRDefault="00000000">
            <w:r>
              <w:rPr>
                <w:b/>
              </w:rPr>
              <w:t>Portes à panneaux</w:t>
            </w:r>
          </w:p>
        </w:tc>
        <w:tc>
          <w:tcPr>
            <w:tcW w:w="1290" w:type="dxa"/>
            <w:noWrap/>
          </w:tcPr>
          <w:p w14:paraId="28266974" w14:textId="77777777" w:rsidR="004B2808" w:rsidRDefault="00000000">
            <w:pPr>
              <w:jc w:val="center"/>
            </w:pPr>
            <w:r>
              <w:t>+ 3 mm</w:t>
            </w:r>
          </w:p>
        </w:tc>
        <w:tc>
          <w:tcPr>
            <w:tcW w:w="1290" w:type="dxa"/>
            <w:noWrap/>
          </w:tcPr>
          <w:p w14:paraId="64A85883" w14:textId="77777777" w:rsidR="004B2808" w:rsidRDefault="00000000">
            <w:pPr>
              <w:jc w:val="center"/>
            </w:pPr>
            <w:r>
              <w:t>+ 3 mm</w:t>
            </w:r>
          </w:p>
        </w:tc>
        <w:tc>
          <w:tcPr>
            <w:tcW w:w="1290" w:type="dxa"/>
            <w:noWrap/>
          </w:tcPr>
          <w:p w14:paraId="29587D79" w14:textId="77777777" w:rsidR="004B2808" w:rsidRDefault="00000000">
            <w:pPr>
              <w:jc w:val="center"/>
            </w:pPr>
            <w:r>
              <w:t>+ 1 mm</w:t>
            </w:r>
          </w:p>
        </w:tc>
        <w:tc>
          <w:tcPr>
            <w:tcW w:w="1290" w:type="dxa"/>
            <w:noWrap/>
          </w:tcPr>
          <w:p w14:paraId="42D2434E" w14:textId="77777777" w:rsidR="004B2808" w:rsidRDefault="00000000">
            <w:pPr>
              <w:jc w:val="center"/>
            </w:pPr>
            <w:r>
              <w:t>+ 1.5 mm</w:t>
            </w:r>
          </w:p>
        </w:tc>
        <w:tc>
          <w:tcPr>
            <w:tcW w:w="1290" w:type="dxa"/>
            <w:noWrap/>
          </w:tcPr>
          <w:p w14:paraId="176CD198" w14:textId="77777777" w:rsidR="004B2808" w:rsidRDefault="00000000">
            <w:pPr>
              <w:jc w:val="center"/>
            </w:pPr>
            <w:r>
              <w:t>5 mm</w:t>
            </w:r>
          </w:p>
        </w:tc>
        <w:tc>
          <w:tcPr>
            <w:tcW w:w="1290" w:type="dxa"/>
            <w:noWrap/>
          </w:tcPr>
          <w:p w14:paraId="44B167EB" w14:textId="77777777" w:rsidR="004B2808" w:rsidRDefault="00000000">
            <w:pPr>
              <w:jc w:val="center"/>
            </w:pPr>
            <w:r>
              <w:t>5 mm</w:t>
            </w:r>
          </w:p>
        </w:tc>
      </w:tr>
    </w:tbl>
    <w:p w14:paraId="614E9F4D" w14:textId="77777777" w:rsidR="004B2808" w:rsidRDefault="004B2808"/>
    <w:p w14:paraId="204242B0" w14:textId="77777777" w:rsidR="004B2808" w:rsidRDefault="00000000">
      <w:pPr>
        <w:pStyle w:val="Author-eListParagraph"/>
        <w:numPr>
          <w:ilvl w:val="0"/>
          <w:numId w:val="851"/>
        </w:numPr>
        <w:jc w:val="both"/>
      </w:pPr>
      <w:r>
        <w:t>Pour la mise en œuvre aussi bien des huisseries que des vantaux des portes, un manque d'équerrage de maximum 3 mm dans le sens de fermeture de la porte est autorisé, dans la mesure où il ne gêne pas le bon fonctionnement de la porte.</w:t>
      </w:r>
    </w:p>
    <w:p w14:paraId="29051B20" w14:textId="77777777" w:rsidR="004B2808" w:rsidRDefault="00000000">
      <w:pPr>
        <w:pStyle w:val="Author-eListParagraph"/>
        <w:numPr>
          <w:ilvl w:val="0"/>
          <w:numId w:val="851"/>
        </w:numPr>
        <w:jc w:val="both"/>
      </w:pPr>
      <w:r>
        <w:t>Pour les portes ouvrantes et va-et-vient, le jeu périphérique de la porte finie en position fermée entre l'encadrement et le vantail ne dépasse pas 3 mm des côtés visibles supérieurs et latéraux et 5 mm par rapport au sol fini dans le bas, pour autant qu'il soit satisfait aux exigences de la norme de ventilation [NBN D 50-001].</w:t>
      </w:r>
    </w:p>
    <w:p w14:paraId="43EE7583" w14:textId="77777777" w:rsidR="004B2808" w:rsidRDefault="00000000">
      <w:pPr>
        <w:pStyle w:val="Author-eListParagraph"/>
        <w:numPr>
          <w:ilvl w:val="0"/>
          <w:numId w:val="851"/>
        </w:numPr>
        <w:jc w:val="both"/>
      </w:pPr>
      <w:r>
        <w:t>En ce qui concerne le jeu lors de la mise en œuvre des portes résistant au feu (voir §54.30), les écarts respectifs des agréments techniques sont respectés.</w:t>
      </w:r>
    </w:p>
    <w:p w14:paraId="2E1F0918" w14:textId="77777777" w:rsidR="004B2808" w:rsidRDefault="00000000">
      <w:pPr>
        <w:jc w:val="both"/>
      </w:pPr>
      <w:r>
        <w:rPr>
          <w:b/>
          <w:u w:val="single"/>
        </w:rPr>
        <w:t>Vantaux de porte</w:t>
      </w:r>
    </w:p>
    <w:p w14:paraId="77ACA3C6" w14:textId="77777777" w:rsidR="004B2808" w:rsidRDefault="00000000">
      <w:pPr>
        <w:jc w:val="both"/>
      </w:pPr>
      <w:r>
        <w:t>Pour les portes neuves, l'entrepreneur donne une garantie de cinq ans pour tout voilement ou tout défaut de planéité de la surface qui se produirait à terme, indépendamment du système de chauffage.</w:t>
      </w:r>
    </w:p>
    <w:p w14:paraId="3513DCC4" w14:textId="77777777" w:rsidR="004B2808" w:rsidRDefault="00000000">
      <w:pPr>
        <w:jc w:val="both"/>
      </w:pPr>
      <w:r>
        <w:t>Pour les portes de réemploi, la planéité est vérifiée avant placement. le menuiserie effectue un réglage dans l’année suivant la mise en service du bâtiment.</w:t>
      </w:r>
    </w:p>
    <w:p w14:paraId="56090C2A" w14:textId="77777777" w:rsidR="004B2808" w:rsidRDefault="00000000">
      <w:pPr>
        <w:pStyle w:val="pheading"/>
      </w:pPr>
      <w:r>
        <w:t>DOCUMENTS DE RÉFÉRENCE</w:t>
      </w:r>
    </w:p>
    <w:p w14:paraId="3424939B" w14:textId="77777777" w:rsidR="004B2808" w:rsidRDefault="00000000">
      <w:pPr>
        <w:pStyle w:val="pheading"/>
      </w:pPr>
      <w:r>
        <w:t>- Matériau</w:t>
      </w:r>
    </w:p>
    <w:p w14:paraId="7A3F6DCF" w14:textId="77777777" w:rsidR="004B2808" w:rsidRDefault="00000000">
      <w:r>
        <w:t>[STS 53.1, Portes]</w:t>
      </w:r>
    </w:p>
    <w:p w14:paraId="6E64897E" w14:textId="77777777" w:rsidR="004B2808" w:rsidRDefault="00000000">
      <w:r>
        <w:t>[STS 53.2, Portes industrielles, commerciales et résidentielles]</w:t>
      </w:r>
    </w:p>
    <w:p w14:paraId="21FBAB2D" w14:textId="77777777" w:rsidR="004B2808" w:rsidRDefault="00000000">
      <w:r>
        <w:t>[NBN ISO 1804, Portes - Terminologie]</w:t>
      </w:r>
    </w:p>
    <w:p w14:paraId="4EE28F53" w14:textId="77777777" w:rsidR="004B2808" w:rsidRDefault="00000000">
      <w:r>
        <w:lastRenderedPageBreak/>
        <w:t>[NBN EN 952, Vantaux de portes - Planéités générale et locale - Méthode de mesure]</w:t>
      </w:r>
    </w:p>
    <w:p w14:paraId="64A142E9" w14:textId="77777777" w:rsidR="004B2808" w:rsidRDefault="00000000">
      <w:r>
        <w:t>[NBN EN 942, Bois dans les menuiseries - Exigences générales]</w:t>
      </w:r>
    </w:p>
    <w:p w14:paraId="1990C3BB" w14:textId="77777777" w:rsidR="004B2808" w:rsidRDefault="00000000">
      <w:r>
        <w:t>[SWL GSI/T1/C, Guides sécurité incendie - Tome 1 Prévention passive - Guide C Résistance au feu]</w:t>
      </w:r>
    </w:p>
    <w:p w14:paraId="61B1A3AA" w14:textId="77777777" w:rsidR="004B2808" w:rsidRDefault="00000000">
      <w:pPr>
        <w:pStyle w:val="pheading"/>
      </w:pPr>
      <w:r>
        <w:t>AIDE</w:t>
      </w:r>
    </w:p>
    <w:p w14:paraId="76E09C94" w14:textId="77777777" w:rsidR="004B2808" w:rsidRDefault="00000000">
      <w:pPr>
        <w:jc w:val="both"/>
      </w:pPr>
      <w:r>
        <w:t>Accessibilité aux personnes à mobilité réduite (PMR)</w:t>
      </w:r>
    </w:p>
    <w:p w14:paraId="21E3C238" w14:textId="77777777" w:rsidR="004B2808" w:rsidRDefault="00000000">
      <w:pPr>
        <w:pStyle w:val="Author-eListParagraph"/>
        <w:numPr>
          <w:ilvl w:val="0"/>
          <w:numId w:val="852"/>
        </w:numPr>
        <w:jc w:val="both"/>
      </w:pPr>
      <w:r>
        <w:t>Largeur de libre passage : 85 cm minimum   [SWL CALA] et [NBN ISO 21542]</w:t>
      </w:r>
    </w:p>
    <w:p w14:paraId="399E99EA" w14:textId="77777777" w:rsidR="004B2808" w:rsidRDefault="00000000">
      <w:pPr>
        <w:pStyle w:val="Author-eListParagraph"/>
        <w:numPr>
          <w:ilvl w:val="0"/>
          <w:numId w:val="852"/>
        </w:numPr>
        <w:jc w:val="both"/>
      </w:pPr>
      <w:r>
        <w:t>Hauteur de libre passage : 200 cm minimum    [SWL CALA] et [NBN ISO 21542]</w:t>
      </w:r>
    </w:p>
    <w:p w14:paraId="148368FF" w14:textId="77777777" w:rsidR="004B2808" w:rsidRDefault="00000000">
      <w:pPr>
        <w:pStyle w:val="Author-eListParagraph"/>
        <w:numPr>
          <w:ilvl w:val="0"/>
          <w:numId w:val="852"/>
        </w:numPr>
        <w:jc w:val="both"/>
      </w:pPr>
      <w:r>
        <w:t>Efforts de manœuvre : classe 3 ou classe 4 de la norme [NBN EN 12217]   [SWL CALA], [NBN ISO 21542] et [STS 53.1]</w:t>
      </w:r>
    </w:p>
    <w:p w14:paraId="105FC0F4" w14:textId="77777777" w:rsidR="004B2808" w:rsidRDefault="00000000">
      <w:pPr>
        <w:pStyle w:val="Author-eSectionHeading4Numberless"/>
      </w:pPr>
      <w:bookmarkStart w:id="1054" w:name="_Toc220491182"/>
      <w:r>
        <w:t>55.21 Portes intérieures en bois CCTB 01.10</w:t>
      </w:r>
      <w:bookmarkEnd w:id="1054"/>
    </w:p>
    <w:p w14:paraId="4479FA9A" w14:textId="77777777" w:rsidR="004B2808" w:rsidRDefault="00000000">
      <w:pPr>
        <w:pStyle w:val="pheading"/>
      </w:pPr>
      <w:bookmarkStart w:id="1055" w:name="1318"/>
      <w:bookmarkEnd w:id="1055"/>
      <w:r>
        <w:t>DESCRIPTION</w:t>
      </w:r>
    </w:p>
    <w:p w14:paraId="168FB4FF" w14:textId="77777777" w:rsidR="004B2808" w:rsidRDefault="00000000">
      <w:pPr>
        <w:pStyle w:val="pheading"/>
      </w:pPr>
      <w:r>
        <w:t>- Définition / Comprend</w:t>
      </w:r>
    </w:p>
    <w:p w14:paraId="221F6651" w14:textId="77777777" w:rsidR="004B2808" w:rsidRDefault="00000000">
      <w:pPr>
        <w:jc w:val="both"/>
      </w:pPr>
      <w:r>
        <w:t>Cet élément comprend la fourniture (hors matériaux récupérés du même site) et la pose de tous les éléments nécessaires à la composition des portes intérieures en bois, y compris toutes les pièces qui en font intrinsèquement partie.</w:t>
      </w:r>
    </w:p>
    <w:p w14:paraId="29A4F670" w14:textId="77777777" w:rsidR="004B2808" w:rsidRDefault="00000000">
      <w:pPr>
        <w:pStyle w:val="pheading"/>
      </w:pPr>
      <w:r>
        <w:t>MATÉRIAUX</w:t>
      </w:r>
    </w:p>
    <w:p w14:paraId="388EE554" w14:textId="77777777" w:rsidR="004B2808" w:rsidRDefault="00000000">
      <w:pPr>
        <w:pStyle w:val="Author-eListParagraph"/>
        <w:numPr>
          <w:ilvl w:val="0"/>
          <w:numId w:val="853"/>
        </w:numPr>
        <w:jc w:val="both"/>
      </w:pPr>
      <w:r>
        <w:t>Le bois de menuiserie satisfait aux [STS 04.2] et à la [NBN EN 942]. Voir également les normes de référence aux chapitres </w:t>
      </w:r>
      <w:hyperlink w:anchor="1327" w:history="1">
        <w:r w:rsidR="004B2808">
          <w:rPr>
            <w:color w:val="0000EE"/>
          </w:rPr>
          <w:t>51.21.3 Parement en plaques/panneaux à base de bois</w:t>
        </w:r>
      </w:hyperlink>
      <w:r>
        <w:t> &amp; </w:t>
      </w:r>
      <w:hyperlink w:anchor="1328" w:history="1">
        <w:r w:rsidR="004B2808">
          <w:rPr>
            <w:color w:val="0000EE"/>
          </w:rPr>
          <w:t>51.22.3 Parement en plaques/panneaux à base de bois</w:t>
        </w:r>
      </w:hyperlink>
      <w:r>
        <w:t>.</w:t>
      </w:r>
    </w:p>
    <w:p w14:paraId="5D009BA9" w14:textId="77777777" w:rsidR="004B2808" w:rsidRDefault="004B2808">
      <w:pPr>
        <w:pStyle w:val="Author-eListParagraph"/>
        <w:numPr>
          <w:ilvl w:val="0"/>
          <w:numId w:val="853"/>
        </w:numPr>
        <w:jc w:val="both"/>
      </w:pPr>
    </w:p>
    <w:p w14:paraId="7B607B8E" w14:textId="77777777" w:rsidR="004B2808" w:rsidRDefault="00000000">
      <w:pPr>
        <w:pStyle w:val="Author-eListParagraph"/>
        <w:numPr>
          <w:ilvl w:val="0"/>
          <w:numId w:val="853"/>
        </w:numPr>
        <w:jc w:val="both"/>
      </w:pPr>
      <w:r>
        <w:t>L'aubier et le cœur du bois de feuillus ne sont pas admis. L'aubier du bois résineux est autorisé pour la menuiserie intérieure, le cœur de bois résineux est admis à condition qu'il ne soit visible sur aucune face. Les nœuds non adhérents d'un diamètre inférieur à 5 mm sont autorisés à condition qu'ils se situent à au moins 5 mm du bord. Pour les bois feuillus destinés à rester apparents, les nœuds sont adhérents et inférieurs à 3 mm. Pour la menuiserie peinte, les nœuds non adhérents dont le diamètre est supérieur à 5 mm sont découpés et remplacés par un bouchon, à condition qu'ils se situent au moins à 5 mm du bord ou d'un autre bouchon. Un bouchon est une pièce de bois de forme ronde, de la même espèce, d'une épaisseur d'au moins 15 mm, dont les fibres courent dans le même sens que le bois et qui est collé dans la pièce de bois. Le diamètre du bouchon ne dépasse pas 20 mm. L'inclinaison des fibres est inférieure à 5% pour la menuiserie de dimensions normales et courantes. Pour le bois séché artificiellement, des écarts locaux supérieurs peuvent être tolérés, mesurés par rapport aux bords des pièces de bois et en dehors de la zone influencée par des défauts (par ex. des nœuds). Pour le PNG, il faut pouvoir compter au moins 15 cercles annuels sur une distance de 40 mm, mesurés radial. La dérogation de cette règle pour les portes de réemploi est rendue possible suite à la présentation des éléments au maître d’ouvrage.</w:t>
      </w:r>
    </w:p>
    <w:p w14:paraId="3F70FCA2" w14:textId="77777777" w:rsidR="004B2808" w:rsidRDefault="00000000">
      <w:pPr>
        <w:pStyle w:val="Author-eListParagraph"/>
        <w:numPr>
          <w:ilvl w:val="0"/>
          <w:numId w:val="854"/>
        </w:numPr>
      </w:pPr>
      <w:r>
        <w:t>Les défauts suivants entraînent le refus du bois : pourriture, bleuissement (le bleuissement non accompagné de pourriture et de trous de vers noirs est uniquement admis pour les menuiseries peintes), irrégularités dans la structure du bois (bois tors, entre-écorce, roulures et cadranures,…), anciennes traces d'attaques d'insectes, décoloration et lignes, entre-écorce et galle résineuse, nœuds (non adhérents et nœuds sains incrustés), trous, fentes entre les fibres et fissures internes.</w:t>
      </w:r>
      <w:r>
        <w:br/>
      </w:r>
    </w:p>
    <w:p w14:paraId="6C98AB0A" w14:textId="77777777" w:rsidR="004B2808" w:rsidRDefault="00000000">
      <w:pPr>
        <w:pStyle w:val="Author-eListParagraph"/>
        <w:numPr>
          <w:ilvl w:val="0"/>
          <w:numId w:val="854"/>
        </w:numPr>
      </w:pPr>
      <w:r>
        <w:t>Pour une porte neuve, le bois doit être suffisamment sec. L’humidité du bois lors de son usinage en atelier se situe entre 8 et 15% à une température de base de 18°C. Le degré d'humidité du bois sur chantier est inférieur à 15%. Les portes de réemploi sont stockées dans un taux d’humidité proche de leur taux d’équilibre d’utilisation.</w:t>
      </w:r>
      <w:r>
        <w:br/>
      </w:r>
    </w:p>
    <w:p w14:paraId="37E696D2" w14:textId="77777777" w:rsidR="004B2808" w:rsidRDefault="00000000">
      <w:pPr>
        <w:pStyle w:val="Author-eListParagraph"/>
        <w:numPr>
          <w:ilvl w:val="0"/>
          <w:numId w:val="854"/>
        </w:numPr>
      </w:pPr>
      <w:r>
        <w:lastRenderedPageBreak/>
        <w:t>Pour les portes neuves, les essences de bois qui ne sont pas suffisamment durables dans les circonstances où elles sont employées sont imprégnées selon un procédé de protection approprié (B). Toute livraison de bois traité est accompagnée d'un certificat de traitement, rédigé sous la responsabilité de la firme qui a exécuté le traitement et attestant que le produit appliqué est homologué et que le procédé appliqué est également agréé dans les critères d'acceptabilité tels que définis dans le chapitre 02.42.1 Critères d'acceptabilité.</w:t>
      </w:r>
      <w:r>
        <w:br/>
      </w:r>
    </w:p>
    <w:p w14:paraId="2434B741" w14:textId="77777777" w:rsidR="004B2808" w:rsidRDefault="00000000">
      <w:pPr>
        <w:pStyle w:val="Author-eListParagraph"/>
        <w:numPr>
          <w:ilvl w:val="0"/>
          <w:numId w:val="854"/>
        </w:numPr>
      </w:pPr>
      <w:r>
        <w:t>Les portes de réemploi sont utilisées pour les mêmes contraintes et conditions d’utilisation que l’usage initial ou moins exigeante.</w:t>
      </w:r>
      <w:r>
        <w:br/>
      </w:r>
    </w:p>
    <w:p w14:paraId="1566FE99" w14:textId="77777777" w:rsidR="004B2808" w:rsidRDefault="00000000">
      <w:pPr>
        <w:pStyle w:val="Author-eListParagraph"/>
        <w:numPr>
          <w:ilvl w:val="0"/>
          <w:numId w:val="854"/>
        </w:numPr>
      </w:pPr>
      <w:r>
        <w:t>Pour les portes neuves, le bois est raboté sur toutes les faces. Les faces destinées à rester apparentes sont en outre poncées lisses, tous les angles étant légèrement arrondis au papier de verre. Toutes les dimensions indiquées sont les dimensions poncées minimales.</w:t>
      </w:r>
      <w:r>
        <w:br/>
      </w:r>
    </w:p>
    <w:p w14:paraId="2B420016" w14:textId="77777777" w:rsidR="004B2808" w:rsidRDefault="00000000">
      <w:pPr>
        <w:pStyle w:val="Author-eListParagraph"/>
        <w:numPr>
          <w:ilvl w:val="0"/>
          <w:numId w:val="854"/>
        </w:numPr>
      </w:pPr>
      <w:r>
        <w:t>Les panneaux de fibre de type MDF ont les caractéristiques déterminées selon la [NBN EN 622-5]. Les panneaux de basse densité ne sont admis que pour des couche intérieures.</w:t>
      </w:r>
      <w:r>
        <w:br/>
      </w:r>
    </w:p>
    <w:p w14:paraId="1E0A10EE" w14:textId="77777777" w:rsidR="004B2808" w:rsidRDefault="00000000">
      <w:pPr>
        <w:pStyle w:val="Author-eListParagraph"/>
        <w:numPr>
          <w:ilvl w:val="0"/>
          <w:numId w:val="854"/>
        </w:numPr>
      </w:pPr>
      <w:r>
        <w:t>Les panneaux multiplex répondent aux prescriptions de la norme [NBN EN 636+A1].</w:t>
      </w:r>
      <w:r>
        <w:br/>
      </w:r>
    </w:p>
    <w:p w14:paraId="03383223" w14:textId="77777777" w:rsidR="004B2808" w:rsidRDefault="00000000">
      <w:pPr>
        <w:pStyle w:val="Author-eListParagraph"/>
        <w:numPr>
          <w:ilvl w:val="0"/>
          <w:numId w:val="854"/>
        </w:numPr>
      </w:pPr>
      <w:r>
        <w:t>Les panneaux de particules répondent aux prescription de la norme [NBN EN 312].</w:t>
      </w:r>
      <w:r>
        <w:br/>
      </w:r>
    </w:p>
    <w:p w14:paraId="1DE81A9F" w14:textId="77777777" w:rsidR="004B2808" w:rsidRDefault="00000000">
      <w:pPr>
        <w:pStyle w:val="Author-eListParagraph"/>
        <w:numPr>
          <w:ilvl w:val="0"/>
          <w:numId w:val="854"/>
        </w:numPr>
      </w:pPr>
      <w:r>
        <w:t>Les propriétés des panneaux stratifiés décoratifs sont conformes à la [NBN EN 438 série].</w:t>
      </w:r>
      <w:r>
        <w:br/>
      </w:r>
    </w:p>
    <w:p w14:paraId="6C51F830" w14:textId="77777777" w:rsidR="004B2808" w:rsidRDefault="00000000">
      <w:pPr>
        <w:pStyle w:val="Author-eListParagraph"/>
        <w:numPr>
          <w:ilvl w:val="0"/>
          <w:numId w:val="854"/>
        </w:numPr>
      </w:pPr>
      <w:r>
        <w:t>Les panneaux sont choisis en fonction de la classe d’emploi déterminées dans la [NBN EN 335]. Sans spécifications particulières (notamment pour un usage en pièces humide) la classe d’emploi est 1.</w:t>
      </w:r>
      <w:r>
        <w:br/>
      </w:r>
    </w:p>
    <w:p w14:paraId="1FAB43A6" w14:textId="77777777" w:rsidR="004B2808" w:rsidRDefault="00000000">
      <w:pPr>
        <w:pStyle w:val="Author-eListParagraph"/>
        <w:numPr>
          <w:ilvl w:val="0"/>
          <w:numId w:val="854"/>
        </w:numPr>
      </w:pPr>
      <w:r>
        <w:t>Les bois lamellé collés font l’objet d’une vérification en fonction de la classe d’emploi. Conformément aux [STS 04 série] ou [STS 52.1].</w:t>
      </w:r>
    </w:p>
    <w:p w14:paraId="084EF4AD" w14:textId="77777777" w:rsidR="004B2808" w:rsidRDefault="004B2808"/>
    <w:p w14:paraId="580D3B42" w14:textId="77777777" w:rsidR="004B2808" w:rsidRDefault="00000000">
      <w:pPr>
        <w:jc w:val="both"/>
      </w:pPr>
      <w:r>
        <w:rPr>
          <w:b/>
        </w:rPr>
        <w:t>Vantaux De Porte - Bois / Âme Creuse</w:t>
      </w:r>
    </w:p>
    <w:p w14:paraId="0EA7257A" w14:textId="77777777" w:rsidR="004B2808" w:rsidRDefault="00000000">
      <w:pPr>
        <w:pStyle w:val="Author-eListParagraph"/>
        <w:numPr>
          <w:ilvl w:val="0"/>
          <w:numId w:val="855"/>
        </w:numPr>
      </w:pPr>
      <w:r>
        <w:t>Il s'agit de vantaux de porte unis et plans, convenant pour un usage normal ou intensif; ils satisfont aux dispositions des [STS 53.1].</w:t>
      </w:r>
      <w:r>
        <w:br/>
      </w:r>
    </w:p>
    <w:p w14:paraId="3D556C46" w14:textId="77777777" w:rsidR="004B2808" w:rsidRDefault="00000000">
      <w:pPr>
        <w:pStyle w:val="Author-eListParagraph"/>
        <w:numPr>
          <w:ilvl w:val="0"/>
          <w:numId w:val="855"/>
        </w:numPr>
      </w:pPr>
      <w:r>
        <w:t>Les vantaux d'une épaisseur totale de 40 mm, sont composés d'un cadre en bois résineux PNG revêtus sur les deux faces d'un panneau collé de hardboard ou de contre-plaqué d'une épaisseur minimale de 3 mm . L'intérieur est composé d'une âme alvéolaire composée de matériaux inertes et solides (carton / hardboard) d'une masse volumique d'au moins 600 kg/m³. Les cavités occupent au maximum 15 cm².</w:t>
      </w:r>
      <w:r>
        <w:br/>
      </w:r>
    </w:p>
    <w:p w14:paraId="112780B1" w14:textId="77777777" w:rsidR="004B2808" w:rsidRDefault="00000000">
      <w:pPr>
        <w:pStyle w:val="Author-eListParagraph"/>
        <w:numPr>
          <w:ilvl w:val="0"/>
          <w:numId w:val="855"/>
        </w:numPr>
      </w:pPr>
      <w:r>
        <w:t>Le cadre périphérique présente une largeur d'au moins 3 cm et satisfait aux [STS 04.2], il est raboté et poncé. Le cadre est pourvu des renforts nécessaires et permet d'appliquer la quincaillerie. A mi-hauteur de la porte, ce cadre est élargi avec un renfort pour la serrure jusqu'à environ 8 x 35 cm de hauteur afin de permet la fixation solide de la poignée et de la serrure. Le côté serrure est indiqué. Pour les portes munies d'un ferme-porte, la traverse supérieure est renforcée.</w:t>
      </w:r>
      <w:r>
        <w:br/>
      </w:r>
    </w:p>
    <w:p w14:paraId="3380AFD0" w14:textId="77777777" w:rsidR="004B2808" w:rsidRDefault="00000000">
      <w:pPr>
        <w:pStyle w:val="Author-eListParagraph"/>
        <w:numPr>
          <w:ilvl w:val="0"/>
          <w:numId w:val="855"/>
        </w:numPr>
      </w:pPr>
      <w:r>
        <w:t>Les plaques de revêtement sont assemblées par collage thermique et sous haute pression au cadre en bois et à l'âme au moyen d'une colle de résine synthétique insensible à l'humidité. Les panneaux hardboard utilisés sont du type oil-tempered selon les [STS 04.4]. Le taux d'humidité des panneaux en fibres de bois ne dépasse pas 5 (+/- 3 %).</w:t>
      </w:r>
    </w:p>
    <w:p w14:paraId="6AE58A2A" w14:textId="77777777" w:rsidR="004B2808" w:rsidRDefault="004B2808"/>
    <w:p w14:paraId="02F251AA" w14:textId="77777777" w:rsidR="004B2808" w:rsidRDefault="00000000">
      <w:pPr>
        <w:jc w:val="both"/>
      </w:pPr>
      <w:r>
        <w:rPr>
          <w:b/>
        </w:rPr>
        <w:t>Vantaux De Porte - Bois / Âme Pleine</w:t>
      </w:r>
    </w:p>
    <w:p w14:paraId="2533A985" w14:textId="77777777" w:rsidR="004B2808" w:rsidRDefault="00000000">
      <w:pPr>
        <w:pStyle w:val="Author-eListParagraph"/>
        <w:numPr>
          <w:ilvl w:val="0"/>
          <w:numId w:val="856"/>
        </w:numPr>
      </w:pPr>
      <w:r>
        <w:lastRenderedPageBreak/>
        <w:t>Il s'agit de vantaux de portes intérieures renforcés destinés à un usage intense qui, en raison de leur application dans le bâtiment, doivent résister à des exigences plus élevées que lors d'un usage normal ou intensif.  Les critères de performance des conditions de sollicitation de la catégorie III - portes extérieures sont d'application ici. Les vantaux de porte en bois avec leur quincaillerie et/ou impostes satisfont aux dispositions des [STS 53.1].</w:t>
      </w:r>
    </w:p>
    <w:p w14:paraId="49FB2717" w14:textId="77777777" w:rsidR="004B2808" w:rsidRDefault="00000000">
      <w:pPr>
        <w:pStyle w:val="Author-eListParagraph"/>
        <w:numPr>
          <w:ilvl w:val="0"/>
          <w:numId w:val="857"/>
        </w:numPr>
        <w:jc w:val="both"/>
      </w:pPr>
      <w:r>
        <w:t>Les vantaux de porte et/ou les impostes sont composés de plaques de contre-plaqué pleines ou d'une âme composée de bois massif, revêtue sur les deux faces d'un Triplex hydrofuge.</w:t>
      </w:r>
    </w:p>
    <w:p w14:paraId="43176AAE" w14:textId="77777777" w:rsidR="004B2808" w:rsidRDefault="00000000">
      <w:pPr>
        <w:pStyle w:val="pheading"/>
      </w:pPr>
      <w:r>
        <w:t>EXÉCUTION / MISE EN ŒUVRE</w:t>
      </w:r>
    </w:p>
    <w:p w14:paraId="7464806E" w14:textId="77777777" w:rsidR="004B2808" w:rsidRDefault="00000000">
      <w:pPr>
        <w:jc w:val="both"/>
      </w:pPr>
      <w:r>
        <w:rPr>
          <w:b/>
        </w:rPr>
        <w:t>Huisseries de portes - bois</w:t>
      </w:r>
    </w:p>
    <w:p w14:paraId="4E9FF964" w14:textId="77777777" w:rsidR="004B2808" w:rsidRDefault="00000000">
      <w:pPr>
        <w:pStyle w:val="Author-eListParagraph"/>
        <w:numPr>
          <w:ilvl w:val="0"/>
          <w:numId w:val="858"/>
        </w:numPr>
        <w:jc w:val="both"/>
      </w:pPr>
      <w:r>
        <w:t>Les encadrements pour les portes ouvrantes et va-et-vient sont fixés au gros-œuvre le plus près possible des organes de suspension des vantaux et des ferme-porte. Le bois de l’huisserie de porte ne peut entrer directement en contact avec la maçonnerie. Les cales entre le mur/le linteau et les ébrasements sont des pièces de bois massif ou de contre-plaqué, fixées par des clous à longue pointe. L'ébrasement est fixé au gros-œuvre par au moins six points de fixation par baie, sans tenir compte des fixations supplémentaires nécessaires pour un éventuel ferme-porte. La fixation centrale au linteau est obligatoire pour toutes les traverses supérieures dont la longueur dépasse 100 cm . Les doubles portes sont fixées dans le haut en trois points au moins.</w:t>
      </w:r>
    </w:p>
    <w:p w14:paraId="6A2F4DDD" w14:textId="77777777" w:rsidR="004B2808" w:rsidRDefault="004B2808">
      <w:pPr>
        <w:pStyle w:val="Author-eListParagraph"/>
        <w:numPr>
          <w:ilvl w:val="0"/>
          <w:numId w:val="858"/>
        </w:numPr>
        <w:jc w:val="both"/>
      </w:pPr>
    </w:p>
    <w:p w14:paraId="33CAFDA3" w14:textId="77777777" w:rsidR="004B2808" w:rsidRDefault="00000000">
      <w:pPr>
        <w:pStyle w:val="Author-eListParagraph"/>
        <w:numPr>
          <w:ilvl w:val="0"/>
          <w:numId w:val="858"/>
        </w:numPr>
        <w:jc w:val="both"/>
      </w:pPr>
      <w:r>
        <w:t>La tête des ébrasements est légèrement biseautée afin que les couvre-joints puissent être posés de façon que seuls les bords extérieurs entre en contact avec le plafonnage ou la maçonnerie. Les ébrasements pour les portes prévues avec des couvre-joints présentent donc une surlargeur de 2 à 3 mm par rapport à la face finie du mur.</w:t>
      </w:r>
    </w:p>
    <w:p w14:paraId="0D7134B4" w14:textId="77777777" w:rsidR="004B2808" w:rsidRDefault="004B2808">
      <w:pPr>
        <w:pStyle w:val="Author-eListParagraph"/>
        <w:numPr>
          <w:ilvl w:val="0"/>
          <w:numId w:val="858"/>
        </w:numPr>
        <w:jc w:val="both"/>
      </w:pPr>
    </w:p>
    <w:p w14:paraId="4AFF92BD" w14:textId="77777777" w:rsidR="004B2808" w:rsidRDefault="00000000">
      <w:pPr>
        <w:pStyle w:val="Author-eListParagraph"/>
        <w:numPr>
          <w:ilvl w:val="0"/>
          <w:numId w:val="858"/>
        </w:numPr>
        <w:jc w:val="both"/>
      </w:pPr>
      <w:r>
        <w:t>Les encadrements de portes sont fixés aux ébrasements et/ou aux blochets dans la maçonnerie à l'aide de clous à longue pointe et tête ronde d'une longueur d'au moins 5 cm . Les têtes sont enfoncées dans le bois à l'aide d'un chasse-clou.</w:t>
      </w:r>
    </w:p>
    <w:p w14:paraId="49AD4316" w14:textId="77777777" w:rsidR="004B2808" w:rsidRDefault="004B2808">
      <w:pPr>
        <w:pStyle w:val="Author-eListParagraph"/>
        <w:numPr>
          <w:ilvl w:val="0"/>
          <w:numId w:val="858"/>
        </w:numPr>
        <w:jc w:val="both"/>
      </w:pPr>
    </w:p>
    <w:p w14:paraId="16F38873" w14:textId="77777777" w:rsidR="004B2808" w:rsidRDefault="00000000">
      <w:pPr>
        <w:pStyle w:val="Author-eListParagraph"/>
        <w:numPr>
          <w:ilvl w:val="0"/>
          <w:numId w:val="858"/>
        </w:numPr>
        <w:jc w:val="both"/>
      </w:pPr>
      <w:r>
        <w:t>Les paumelles sont chaque fois encastrées, alignées et fixées avec au moins 4 vis inoxydables à tête fraisée.</w:t>
      </w:r>
    </w:p>
    <w:p w14:paraId="17C65502" w14:textId="77777777" w:rsidR="004B2808" w:rsidRDefault="004B2808">
      <w:pPr>
        <w:pStyle w:val="Author-eListParagraph"/>
        <w:numPr>
          <w:ilvl w:val="0"/>
          <w:numId w:val="858"/>
        </w:numPr>
        <w:jc w:val="both"/>
      </w:pPr>
    </w:p>
    <w:p w14:paraId="2EB7EE2B" w14:textId="77777777" w:rsidR="004B2808" w:rsidRDefault="00000000">
      <w:pPr>
        <w:pStyle w:val="Author-eListParagraph"/>
        <w:numPr>
          <w:ilvl w:val="0"/>
          <w:numId w:val="858"/>
        </w:numPr>
        <w:jc w:val="both"/>
      </w:pPr>
      <w:r>
        <w:t>Le trous de vis et de clous ainsi que les joints sont remplis d'une pâte à bois appropriée. L'ensemble est poncé et fini afin d'être prêt à peindre.      </w:t>
      </w:r>
    </w:p>
    <w:p w14:paraId="6138A330" w14:textId="77777777" w:rsidR="004B2808" w:rsidRDefault="004B2808">
      <w:pPr>
        <w:pStyle w:val="Author-eListParagraph"/>
        <w:numPr>
          <w:ilvl w:val="0"/>
          <w:numId w:val="858"/>
        </w:numPr>
        <w:jc w:val="both"/>
      </w:pPr>
    </w:p>
    <w:p w14:paraId="54D951C9" w14:textId="77777777" w:rsidR="004B2808" w:rsidRDefault="00000000">
      <w:pPr>
        <w:pStyle w:val="Author-eListParagraph"/>
        <w:numPr>
          <w:ilvl w:val="0"/>
          <w:numId w:val="858"/>
        </w:numPr>
        <w:jc w:val="both"/>
      </w:pPr>
      <w:r>
        <w:t>La profondeur de la batée correspond à l'épaisseur du vantail de porte, augmentée d'environ 3 mm. La largeur de la batée est d'au moins 10 mm pour une feuille de porte &lt; 40 mm ou d'au moins 15 mm lorsque la feuille de porte est &gt; 40 mm.</w:t>
      </w:r>
    </w:p>
    <w:p w14:paraId="302374B2" w14:textId="77777777" w:rsidR="004B2808" w:rsidRDefault="004B2808">
      <w:pPr>
        <w:pStyle w:val="Author-eListParagraph"/>
        <w:numPr>
          <w:ilvl w:val="0"/>
          <w:numId w:val="858"/>
        </w:numPr>
        <w:jc w:val="both"/>
      </w:pPr>
    </w:p>
    <w:p w14:paraId="5B40A0FC" w14:textId="77777777" w:rsidR="004B2808" w:rsidRDefault="00000000">
      <w:pPr>
        <w:pStyle w:val="Author-eListParagraph"/>
        <w:numPr>
          <w:ilvl w:val="0"/>
          <w:numId w:val="858"/>
        </w:numPr>
        <w:jc w:val="both"/>
      </w:pPr>
      <w:r>
        <w:t>Les huisseries sont équipées des éléments de suspension nécessaires (minimum 3 / 4 paumelles) et des trous de gâche avec cache métallique adaptée aux caractéristiques et à l'emplacement exact de la serrure.</w:t>
      </w:r>
    </w:p>
    <w:p w14:paraId="596CD8F5" w14:textId="77777777" w:rsidR="004B2808" w:rsidRDefault="004B2808">
      <w:pPr>
        <w:pStyle w:val="Author-eListParagraph"/>
        <w:numPr>
          <w:ilvl w:val="0"/>
          <w:numId w:val="858"/>
        </w:numPr>
        <w:jc w:val="both"/>
      </w:pPr>
    </w:p>
    <w:p w14:paraId="3FCC210C" w14:textId="77777777" w:rsidR="004B2808" w:rsidRDefault="00000000">
      <w:pPr>
        <w:pStyle w:val="Author-eListParagraph"/>
        <w:numPr>
          <w:ilvl w:val="0"/>
          <w:numId w:val="858"/>
        </w:numPr>
        <w:jc w:val="both"/>
      </w:pPr>
      <w:r>
        <w:t>Les huisseries des portes sont fabriquées conformément aux dessins de détail joints au dossier ou selon le modèle préalablement soumis à l'approbation de l'auteur de projet.</w:t>
      </w:r>
    </w:p>
    <w:p w14:paraId="151C8E5F" w14:textId="77777777" w:rsidR="004B2808" w:rsidRDefault="004B2808"/>
    <w:p w14:paraId="038E9128" w14:textId="77777777" w:rsidR="004B2808" w:rsidRDefault="00000000">
      <w:pPr>
        <w:jc w:val="both"/>
      </w:pPr>
      <w:r>
        <w:rPr>
          <w:b/>
        </w:rPr>
        <w:t>Ensembles de porte / résistant au feu - Porte pleine / huisserie en bois</w:t>
      </w:r>
    </w:p>
    <w:p w14:paraId="0F635951" w14:textId="77777777" w:rsidR="004B2808" w:rsidRDefault="00000000">
      <w:pPr>
        <w:pStyle w:val="Author-eListParagraph"/>
        <w:numPr>
          <w:ilvl w:val="0"/>
          <w:numId w:val="859"/>
        </w:numPr>
        <w:jc w:val="both"/>
      </w:pPr>
      <w:r>
        <w:t>Les ensembles de porte résistant au feu se composent d'un ou de plusieurs vantaux en bois dans une huisserie en bois.  La porte et l’huisserie satisfont à la résistance au feu prescrite, selon la [NBN 713-020] tant qu’elle est encore d’application ou selon la [NBN EN 13501-1].  Leur résistante au feu est attestée par une déclaration d'aptitude conformément au chapitre 02.42.1 Critères d'acceptabilité. </w:t>
      </w:r>
    </w:p>
    <w:p w14:paraId="71662B39" w14:textId="77777777" w:rsidR="004B2808" w:rsidRDefault="004B2808">
      <w:pPr>
        <w:pStyle w:val="Author-eListParagraph"/>
        <w:numPr>
          <w:ilvl w:val="0"/>
          <w:numId w:val="859"/>
        </w:numPr>
        <w:jc w:val="both"/>
      </w:pPr>
    </w:p>
    <w:p w14:paraId="77952FC0" w14:textId="77777777" w:rsidR="004B2808" w:rsidRDefault="00000000">
      <w:pPr>
        <w:pStyle w:val="Author-eListParagraph"/>
        <w:numPr>
          <w:ilvl w:val="0"/>
          <w:numId w:val="859"/>
        </w:numPr>
        <w:jc w:val="both"/>
      </w:pPr>
      <w:r>
        <w:lastRenderedPageBreak/>
        <w:t>L'espace entre le mur et l'encadrement de porte est d'environ 20 mm et est rempli de plaques en laine de roche ayant une masse volumique d'au moins 30 kg/m³ qui est comprimée jusqu'à une masse volumique d'au moins 80 kg/m³. Les bords longitudinaux des vantaux de porte ne peuvent pas être rabotés de plus de 3 mm.</w:t>
      </w:r>
    </w:p>
    <w:p w14:paraId="3155D74E" w14:textId="77777777" w:rsidR="004B2808" w:rsidRDefault="004B2808">
      <w:pPr>
        <w:pStyle w:val="Author-eListParagraph"/>
        <w:numPr>
          <w:ilvl w:val="0"/>
          <w:numId w:val="859"/>
        </w:numPr>
        <w:jc w:val="both"/>
      </w:pPr>
    </w:p>
    <w:p w14:paraId="45319D3C" w14:textId="77777777" w:rsidR="004B2808" w:rsidRDefault="00000000">
      <w:pPr>
        <w:pStyle w:val="Author-eListParagraph"/>
        <w:numPr>
          <w:ilvl w:val="0"/>
          <w:numId w:val="859"/>
        </w:numPr>
        <w:jc w:val="both"/>
      </w:pPr>
      <w:r>
        <w:t>En cas de pose en série de plusieurs portes, un trumeau est prévu. Celui-ci a les mêmes spécifications que l’huisserie.</w:t>
      </w:r>
    </w:p>
    <w:p w14:paraId="1B69CEBB" w14:textId="77777777" w:rsidR="004B2808" w:rsidRDefault="004B2808">
      <w:pPr>
        <w:pStyle w:val="Author-eListParagraph"/>
        <w:numPr>
          <w:ilvl w:val="0"/>
          <w:numId w:val="859"/>
        </w:numPr>
        <w:jc w:val="both"/>
      </w:pPr>
    </w:p>
    <w:p w14:paraId="452C9DCC" w14:textId="77777777" w:rsidR="004B2808" w:rsidRDefault="00000000">
      <w:pPr>
        <w:pStyle w:val="Author-eListParagraph"/>
        <w:numPr>
          <w:ilvl w:val="0"/>
          <w:numId w:val="859"/>
        </w:numPr>
        <w:jc w:val="both"/>
      </w:pPr>
      <w:r>
        <w:t>En cas de portes avec une imposte et sans traverse intermédiaire, celles-ci présentent une batée en bois dur de Dark Red Meranti. Le produit moussant est alors réparti sur les deux batées.</w:t>
      </w:r>
    </w:p>
    <w:p w14:paraId="5BAE67FC" w14:textId="77777777" w:rsidR="004B2808" w:rsidRDefault="004B2808">
      <w:pPr>
        <w:pStyle w:val="Author-eListParagraph"/>
        <w:numPr>
          <w:ilvl w:val="0"/>
          <w:numId w:val="859"/>
        </w:numPr>
        <w:jc w:val="both"/>
      </w:pPr>
    </w:p>
    <w:p w14:paraId="4CD81652" w14:textId="77777777" w:rsidR="004B2808" w:rsidRDefault="00000000">
      <w:pPr>
        <w:pStyle w:val="Author-eListParagraph"/>
        <w:numPr>
          <w:ilvl w:val="0"/>
          <w:numId w:val="859"/>
        </w:numPr>
        <w:jc w:val="both"/>
      </w:pPr>
      <w:r>
        <w:t>En cas de doubles portes non va-et-vient, les vantaux présentent un mauclair en bois dur en essence identique au cadre, enduit d'une couche de fond.  Les mauclairs sont fixés au moyen de vis noyées, le trou étant bouché avec du bois reconstitué de la même couleur.  Des verrous encastrés sont prévus dans un des deux vantaux type à verrou à bascule en laiton ; leur longueur permet d'ouvrir la porte au-dessus à 1,80 m de hauteur et dans le bas à 0,20 m ; une douille en laiton est encastrée dans le sol et le linteau.  Le produit moussant est appliqué du côté de la serrure des deux vantaux.</w:t>
      </w:r>
    </w:p>
    <w:p w14:paraId="18DD3796" w14:textId="77777777" w:rsidR="004B2808" w:rsidRDefault="00000000">
      <w:pPr>
        <w:pStyle w:val="pheading"/>
      </w:pPr>
      <w:r>
        <w:t>DOCUMENTS DE RÉFÉRENCE</w:t>
      </w:r>
    </w:p>
    <w:p w14:paraId="79AA2944" w14:textId="77777777" w:rsidR="004B2808" w:rsidRDefault="00000000">
      <w:pPr>
        <w:pStyle w:val="pheading"/>
      </w:pPr>
      <w:r>
        <w:t>- Matériau</w:t>
      </w:r>
    </w:p>
    <w:p w14:paraId="0FFE0340" w14:textId="77777777" w:rsidR="004B2808" w:rsidRDefault="00000000">
      <w:r>
        <w:t>[STS 53.1, Portes]</w:t>
      </w:r>
    </w:p>
    <w:p w14:paraId="1ECF774F" w14:textId="77777777" w:rsidR="004B2808" w:rsidRDefault="00000000">
      <w:r>
        <w:t>[STS 53.2, Portes industrielles, commerciales et résidentielles]</w:t>
      </w:r>
    </w:p>
    <w:p w14:paraId="1820C900" w14:textId="77777777" w:rsidR="004B2808" w:rsidRDefault="00000000">
      <w:r>
        <w:t>[NBN ISO 1804, Portes - Terminologie]</w:t>
      </w:r>
    </w:p>
    <w:p w14:paraId="3CCBBA6D" w14:textId="77777777" w:rsidR="004B2808" w:rsidRDefault="00000000">
      <w:r>
        <w:t>[NBN EN 952, Vantaux de portes - Planéités générale et locale - Méthode de mesure]</w:t>
      </w:r>
    </w:p>
    <w:p w14:paraId="6EBBAEA1" w14:textId="77777777" w:rsidR="004B2808" w:rsidRDefault="00000000">
      <w:r>
        <w:t>[NBN EN 312, Panneaux de particules - Exigences]</w:t>
      </w:r>
    </w:p>
    <w:p w14:paraId="312737D2" w14:textId="77777777" w:rsidR="004B2808" w:rsidRDefault="00000000">
      <w:r>
        <w:t>[NBN EN 335, Durabilité du bois et des matériaux à base de bois - Classes d'emploi: définitions, application au bois massif et aux matériaux à base de bois]</w:t>
      </w:r>
    </w:p>
    <w:p w14:paraId="48954B54" w14:textId="77777777" w:rsidR="004B2808" w:rsidRDefault="00000000">
      <w:r>
        <w:t>[NBN EN 622-5, Panneaux de fibres - Exigences - Partie 5 : Exigences pour panneaux obtenus par procédé à sec (MDF)]</w:t>
      </w:r>
    </w:p>
    <w:p w14:paraId="2277BFC4" w14:textId="77777777" w:rsidR="004B2808" w:rsidRDefault="00000000">
      <w:r>
        <w:t>[NBN EN 438 série, Stratifiés décoratifs haute pression (HPL) - Plaques à base de résines thermodurcissables (communément appelées stratifiés)]</w:t>
      </w:r>
    </w:p>
    <w:p w14:paraId="67048B68" w14:textId="77777777" w:rsidR="004B2808" w:rsidRDefault="00000000">
      <w:r>
        <w:t>[NBN EN 636+A1, Contreplaqué - Exigences]</w:t>
      </w:r>
    </w:p>
    <w:p w14:paraId="34650061" w14:textId="77777777" w:rsidR="004B2808" w:rsidRDefault="00000000">
      <w:pPr>
        <w:pStyle w:val="Author-eSectionHeading5Numberless"/>
      </w:pPr>
      <w:bookmarkStart w:id="1056" w:name="_Toc220491183"/>
      <w:r>
        <w:t>55.21.1 Portes intérieures à âmes creuses CCTB 01.12</w:t>
      </w:r>
      <w:bookmarkEnd w:id="1056"/>
    </w:p>
    <w:p w14:paraId="21CC5CC9" w14:textId="77777777" w:rsidR="004B2808" w:rsidRDefault="00000000">
      <w:pPr>
        <w:pStyle w:val="pheading"/>
      </w:pPr>
      <w:r>
        <w:t>EXÉCUTION / MISE EN ŒUVRE</w:t>
      </w:r>
    </w:p>
    <w:p w14:paraId="381052CD" w14:textId="77777777" w:rsidR="004B2808" w:rsidRDefault="00000000">
      <w:pPr>
        <w:jc w:val="both"/>
      </w:pPr>
      <w:r>
        <w:t xml:space="preserve">La mise en œuvre est exécutée conformément à la documentation technique accompagnant les produits et au </w:t>
      </w:r>
      <w:hyperlink w:anchor="1320" w:history="1">
        <w:r w:rsidR="004B2808">
          <w:rPr>
            <w:color w:val="0000EE"/>
          </w:rPr>
          <w:t>55.2 Portes intérieures</w:t>
        </w:r>
      </w:hyperlink>
    </w:p>
    <w:p w14:paraId="65455CC2" w14:textId="77777777" w:rsidR="004B2808" w:rsidRDefault="00000000">
      <w:pPr>
        <w:jc w:val="both"/>
      </w:pPr>
      <w:r>
        <w:t>L’entrepreneur présente les plans d’exécution pour approbation à la direction des travaux.</w:t>
      </w:r>
    </w:p>
    <w:p w14:paraId="310479F6" w14:textId="77777777" w:rsidR="004B2808" w:rsidRDefault="00000000">
      <w:pPr>
        <w:pStyle w:val="pheading"/>
      </w:pPr>
      <w:r>
        <w:t>DOCUMENTS DE RÉFÉRENCE</w:t>
      </w:r>
    </w:p>
    <w:p w14:paraId="13C79309" w14:textId="77777777" w:rsidR="004B2808" w:rsidRDefault="00000000">
      <w:pPr>
        <w:pStyle w:val="pheading"/>
      </w:pPr>
      <w:r>
        <w:t>- Matériau</w:t>
      </w:r>
    </w:p>
    <w:p w14:paraId="6A606A61" w14:textId="77777777" w:rsidR="004B2808" w:rsidRDefault="00000000">
      <w:r>
        <w:t>[NBN EN 1192, Portes - Classification des exigences de résistance mécanique]</w:t>
      </w:r>
    </w:p>
    <w:p w14:paraId="0FDDE83A" w14:textId="77777777" w:rsidR="004B2808" w:rsidRDefault="00000000">
      <w:r>
        <w:t>[NBN EN 1530, Vantaux de portes - Planéité générale et planéité locale - Classes de tolérances]</w:t>
      </w:r>
    </w:p>
    <w:p w14:paraId="4F22BC81" w14:textId="77777777" w:rsidR="004B2808" w:rsidRDefault="00000000">
      <w:r>
        <w:t>[NBN EN 12217, Portes - Forces de manœuvre - Prescriptions et classification]</w:t>
      </w:r>
    </w:p>
    <w:p w14:paraId="02A68CFD" w14:textId="77777777" w:rsidR="004B2808" w:rsidRDefault="00000000">
      <w:r>
        <w:t>[NBN EN 12400, Fenêtres et portes - Durabilité mécanique - Prescriptions et classification]</w:t>
      </w:r>
    </w:p>
    <w:p w14:paraId="4A7B7D82" w14:textId="77777777" w:rsidR="004B2808" w:rsidRDefault="00000000">
      <w:r>
        <w:lastRenderedPageBreak/>
        <w:t>[NBN EN ISO 717-1, Acoustique - Évaluation de l'isolement acoustique des immeubles et des éléments de construction - Partie 1: Isolement aux bruits aériens (ISO 717-1:2020)]</w:t>
      </w:r>
    </w:p>
    <w:p w14:paraId="7E8AB586" w14:textId="77777777" w:rsidR="004B2808" w:rsidRDefault="00000000">
      <w:pPr>
        <w:pStyle w:val="Author-eSectionHeading6Numberless"/>
      </w:pPr>
      <w:bookmarkStart w:id="1057" w:name="_Toc220491184"/>
      <w:r>
        <w:t>55.21.1a Portes intérieures à âmes alvéolaires CCTB 01.12</w:t>
      </w:r>
      <w:bookmarkEnd w:id="1057"/>
    </w:p>
    <w:p w14:paraId="2A62C998" w14:textId="77777777" w:rsidR="004B2808" w:rsidRDefault="00000000">
      <w:pPr>
        <w:pStyle w:val="pheading"/>
      </w:pPr>
      <w:r>
        <w:t>DESCRIPTION</w:t>
      </w:r>
    </w:p>
    <w:p w14:paraId="2ADCA60F" w14:textId="77777777" w:rsidR="004B2808" w:rsidRDefault="00000000">
      <w:pPr>
        <w:pStyle w:val="pheading"/>
      </w:pPr>
      <w:r>
        <w:t>- Définition / Comprend</w:t>
      </w:r>
    </w:p>
    <w:p w14:paraId="6DDB5F1E" w14:textId="77777777" w:rsidR="004B2808" w:rsidRDefault="00000000">
      <w:pPr>
        <w:jc w:val="both"/>
      </w:pPr>
      <w:r>
        <w:t>Il s’agit de la fourniture et la pose de portes intérieures à âmes alvéolaires.</w:t>
      </w:r>
    </w:p>
    <w:p w14:paraId="13DD01A7" w14:textId="77777777" w:rsidR="004B2808" w:rsidRDefault="00000000">
      <w:pPr>
        <w:jc w:val="both"/>
      </w:pPr>
      <w:r>
        <w:t xml:space="preserve">Voir </w:t>
      </w:r>
      <w:hyperlink w:anchor="1318" w:history="1">
        <w:r w:rsidR="004B2808">
          <w:rPr>
            <w:color w:val="0000EE"/>
          </w:rPr>
          <w:t>55.21 Portes intérieures en bois</w:t>
        </w:r>
      </w:hyperlink>
    </w:p>
    <w:p w14:paraId="209531F8" w14:textId="77777777" w:rsidR="004B2808" w:rsidRDefault="00000000">
      <w:pPr>
        <w:pStyle w:val="pheading"/>
      </w:pPr>
      <w:r>
        <w:t>MATÉRIAUX</w:t>
      </w:r>
    </w:p>
    <w:p w14:paraId="16AAC9D1" w14:textId="77777777" w:rsidR="004B2808" w:rsidRDefault="00000000">
      <w:pPr>
        <w:pStyle w:val="pheading"/>
      </w:pPr>
      <w:r>
        <w:t>- Caractéristiques générales</w:t>
      </w:r>
    </w:p>
    <w:p w14:paraId="310D1EC9" w14:textId="77777777" w:rsidR="004B2808" w:rsidRDefault="00000000">
      <w:pPr>
        <w:jc w:val="both"/>
      </w:pPr>
      <w:r>
        <w:t xml:space="preserve">Huisserie et vantaux de porte à âmes alvéolaires suivant </w:t>
      </w:r>
      <w:hyperlink w:anchor="1318" w:history="1">
        <w:r w:rsidR="004B2808">
          <w:rPr>
            <w:color w:val="0000EE"/>
          </w:rPr>
          <w:t>55.21 Portes intérieures en bois</w:t>
        </w:r>
      </w:hyperlink>
    </w:p>
    <w:p w14:paraId="5F62BFE9" w14:textId="77777777" w:rsidR="004B2808" w:rsidRDefault="00000000">
      <w:pPr>
        <w:jc w:val="both"/>
      </w:pPr>
      <w:r>
        <w:rPr>
          <w:u w:val="single"/>
        </w:rPr>
        <w:t>Vantaux de portes :</w:t>
      </w:r>
      <w:r>
        <w:t xml:space="preserve"> cadre avec remplissage en panneau alvéolaire et finition en panneau de fibres de bois.</w:t>
      </w:r>
    </w:p>
    <w:p w14:paraId="6A694501" w14:textId="77777777" w:rsidR="004B2808" w:rsidRDefault="00000000">
      <w:pPr>
        <w:pStyle w:val="Author-eListParagraph"/>
        <w:numPr>
          <w:ilvl w:val="0"/>
          <w:numId w:val="860"/>
        </w:numPr>
      </w:pPr>
      <w:r>
        <w:t xml:space="preserve">Cadre : bois résineux  : ≥ </w:t>
      </w:r>
      <w:r>
        <w:rPr>
          <w:rStyle w:val="optioncarChar"/>
        </w:rPr>
        <w:t>450</w:t>
      </w:r>
      <w:r>
        <w:t xml:space="preserve"> (par défaut) </w:t>
      </w:r>
      <w:r>
        <w:rPr>
          <w:rStyle w:val="optioncarChar"/>
        </w:rPr>
        <w:t>/ ***</w:t>
      </w:r>
      <w:r>
        <w:t xml:space="preserve"> kg/m³</w:t>
      </w:r>
    </w:p>
    <w:p w14:paraId="63891EC3" w14:textId="77777777" w:rsidR="004B2808" w:rsidRDefault="00000000">
      <w:pPr>
        <w:pStyle w:val="Author-eListParagraph"/>
        <w:numPr>
          <w:ilvl w:val="0"/>
          <w:numId w:val="860"/>
        </w:numPr>
      </w:pPr>
      <w:r>
        <w:t xml:space="preserve">Panneau de porte alvéolaire : </w:t>
      </w:r>
    </w:p>
    <w:p w14:paraId="1E6E1228" w14:textId="77777777" w:rsidR="004B2808" w:rsidRDefault="00000000">
      <w:pPr>
        <w:pStyle w:val="Author-eListParagraph"/>
        <w:numPr>
          <w:ilvl w:val="1"/>
          <w:numId w:val="861"/>
        </w:numPr>
      </w:pPr>
      <w:r>
        <w:t xml:space="preserve">Composition alvéolaire à base de : </w:t>
      </w:r>
      <w:r>
        <w:rPr>
          <w:rStyle w:val="optioncarChar"/>
        </w:rPr>
        <w:t xml:space="preserve">carton </w:t>
      </w:r>
      <w:r>
        <w:t>(par défaut)</w:t>
      </w:r>
      <w:r>
        <w:rPr>
          <w:rStyle w:val="optioncarChar"/>
        </w:rPr>
        <w:t xml:space="preserve"> / ***</w:t>
      </w:r>
    </w:p>
    <w:p w14:paraId="7FBB50E9" w14:textId="77777777" w:rsidR="004B2808" w:rsidRDefault="00000000">
      <w:pPr>
        <w:pStyle w:val="Author-eListParagraph"/>
        <w:numPr>
          <w:ilvl w:val="0"/>
          <w:numId w:val="860"/>
        </w:numPr>
      </w:pPr>
      <w:r>
        <w:t xml:space="preserve">Epaisseur  : ≥ </w:t>
      </w:r>
      <w:r>
        <w:rPr>
          <w:rStyle w:val="optioncarChar"/>
        </w:rPr>
        <w:t xml:space="preserve">33 </w:t>
      </w:r>
      <w:r>
        <w:t>(par défaut)</w:t>
      </w:r>
      <w:r>
        <w:rPr>
          <w:rStyle w:val="optioncarChar"/>
        </w:rPr>
        <w:t xml:space="preserve"> / ***</w:t>
      </w:r>
      <w:r>
        <w:t xml:space="preserve"> mm</w:t>
      </w:r>
    </w:p>
    <w:p w14:paraId="501BE651" w14:textId="77777777" w:rsidR="004B2808" w:rsidRDefault="00000000">
      <w:pPr>
        <w:pStyle w:val="Author-eListParagraph"/>
        <w:numPr>
          <w:ilvl w:val="0"/>
          <w:numId w:val="860"/>
        </w:numPr>
      </w:pPr>
      <w:r>
        <w:t xml:space="preserve">Finition au moyen d’un panneau de fibres de bois, épaisseur 3 à 5mm, densité  : ≥ </w:t>
      </w:r>
      <w:r>
        <w:rPr>
          <w:rStyle w:val="optioncarChar"/>
        </w:rPr>
        <w:t xml:space="preserve">870 </w:t>
      </w:r>
      <w:r>
        <w:t>(par défaut)</w:t>
      </w:r>
      <w:r>
        <w:rPr>
          <w:rStyle w:val="optioncarChar"/>
        </w:rPr>
        <w:t xml:space="preserve"> / ***</w:t>
      </w:r>
      <w:r>
        <w:t xml:space="preserve"> kg/m³</w:t>
      </w:r>
    </w:p>
    <w:p w14:paraId="595F8C03" w14:textId="77777777" w:rsidR="004B2808" w:rsidRDefault="00000000">
      <w:pPr>
        <w:jc w:val="both"/>
      </w:pPr>
      <w:r>
        <w:t>Caractéristiques des vantaux de porte :</w:t>
      </w:r>
    </w:p>
    <w:p w14:paraId="418B4015" w14:textId="77777777" w:rsidR="004B2808" w:rsidRDefault="00000000">
      <w:pPr>
        <w:pStyle w:val="Author-eListParagraph"/>
        <w:numPr>
          <w:ilvl w:val="0"/>
          <w:numId w:val="862"/>
        </w:numPr>
      </w:pPr>
      <w:r>
        <w:t xml:space="preserve">Hauteur : </w:t>
      </w:r>
      <w:r>
        <w:rPr>
          <w:rStyle w:val="optioncarChar"/>
        </w:rPr>
        <w:t xml:space="preserve">211,5 </w:t>
      </w:r>
      <w:r>
        <w:t>(par défaut)</w:t>
      </w:r>
      <w:r>
        <w:rPr>
          <w:rStyle w:val="optioncarChar"/>
        </w:rPr>
        <w:t xml:space="preserve"> / 201,5 / ***</w:t>
      </w:r>
      <w:r>
        <w:t xml:space="preserve"> cm</w:t>
      </w:r>
    </w:p>
    <w:p w14:paraId="16263C2D" w14:textId="77777777" w:rsidR="004B2808" w:rsidRDefault="00000000">
      <w:pPr>
        <w:pStyle w:val="Author-eListParagraph"/>
        <w:numPr>
          <w:ilvl w:val="0"/>
          <w:numId w:val="862"/>
        </w:numPr>
      </w:pPr>
      <w:r>
        <w:t xml:space="preserve">Largeur : </w:t>
      </w:r>
      <w:r>
        <w:rPr>
          <w:rStyle w:val="optioncarChar"/>
        </w:rPr>
        <w:t xml:space="preserve">suivant plans </w:t>
      </w:r>
      <w:r>
        <w:t>(par défaut)</w:t>
      </w:r>
      <w:r>
        <w:rPr>
          <w:rStyle w:val="optioncarChar"/>
        </w:rPr>
        <w:t xml:space="preserve"> / *** cm</w:t>
      </w:r>
    </w:p>
    <w:p w14:paraId="53DF35F4" w14:textId="77777777" w:rsidR="004B2808" w:rsidRDefault="00000000">
      <w:pPr>
        <w:pStyle w:val="Author-eListParagraph"/>
        <w:numPr>
          <w:ilvl w:val="0"/>
          <w:numId w:val="862"/>
        </w:numPr>
      </w:pPr>
      <w:r>
        <w:t xml:space="preserve">Détalonnage pour ventilation : </w:t>
      </w:r>
      <w:r>
        <w:rPr>
          <w:rStyle w:val="optioncarChar"/>
        </w:rPr>
        <w:t xml:space="preserve">non </w:t>
      </w:r>
      <w:r>
        <w:t xml:space="preserve">(par défaut) </w:t>
      </w:r>
      <w:r>
        <w:rPr>
          <w:rStyle w:val="optioncarChar"/>
        </w:rPr>
        <w:t>/ 10 / 20 / ***</w:t>
      </w:r>
      <w:r>
        <w:t xml:space="preserve"> mm</w:t>
      </w:r>
    </w:p>
    <w:p w14:paraId="3525C6E8" w14:textId="77777777" w:rsidR="004B2808" w:rsidRDefault="00000000">
      <w:pPr>
        <w:pStyle w:val="Author-eListParagraph"/>
        <w:numPr>
          <w:ilvl w:val="0"/>
          <w:numId w:val="862"/>
        </w:numPr>
      </w:pPr>
      <w:r>
        <w:t xml:space="preserve">Epaisseur : ≥ </w:t>
      </w:r>
      <w:r>
        <w:rPr>
          <w:rStyle w:val="optioncarChar"/>
        </w:rPr>
        <w:t xml:space="preserve">40 </w:t>
      </w:r>
      <w:r>
        <w:t>(par défaut)</w:t>
      </w:r>
      <w:r>
        <w:rPr>
          <w:rStyle w:val="optioncarChar"/>
        </w:rPr>
        <w:t xml:space="preserve"> / ***</w:t>
      </w:r>
      <w:r>
        <w:t xml:space="preserve"> mm</w:t>
      </w:r>
    </w:p>
    <w:p w14:paraId="054C7007" w14:textId="77777777" w:rsidR="004B2808" w:rsidRDefault="00000000">
      <w:pPr>
        <w:pStyle w:val="Author-eListParagraph"/>
        <w:numPr>
          <w:ilvl w:val="0"/>
          <w:numId w:val="862"/>
        </w:numPr>
      </w:pPr>
      <w:r>
        <w:t xml:space="preserve">Dimensions - classe de tolérance [NBN EN 1530] : </w:t>
      </w:r>
      <w:r>
        <w:rPr>
          <w:rStyle w:val="optioncarChar"/>
        </w:rPr>
        <w:t xml:space="preserve">D2 </w:t>
      </w:r>
      <w:r>
        <w:t>(par défaut)</w:t>
      </w:r>
      <w:r>
        <w:rPr>
          <w:rStyle w:val="optioncarChar"/>
        </w:rPr>
        <w:t xml:space="preserve"> / D1 / D3</w:t>
      </w:r>
    </w:p>
    <w:p w14:paraId="6072636E" w14:textId="77777777" w:rsidR="004B2808" w:rsidRDefault="00000000">
      <w:pPr>
        <w:pStyle w:val="Author-eListParagraph"/>
        <w:numPr>
          <w:ilvl w:val="0"/>
          <w:numId w:val="862"/>
        </w:numPr>
      </w:pPr>
      <w:r>
        <w:t xml:space="preserve">Planéité générale et locale– classe de tolérance [NBN EN 1192] : </w:t>
      </w:r>
      <w:r>
        <w:rPr>
          <w:rStyle w:val="optioncarChar"/>
        </w:rPr>
        <w:t>1 / 2</w:t>
      </w:r>
      <w:r>
        <w:t xml:space="preserve"> (par défaut)</w:t>
      </w:r>
      <w:r>
        <w:rPr>
          <w:rStyle w:val="optioncarChar"/>
        </w:rPr>
        <w:t xml:space="preserve"> / 3 / 4</w:t>
      </w:r>
    </w:p>
    <w:p w14:paraId="1F5D5738" w14:textId="77777777" w:rsidR="004B2808" w:rsidRDefault="00000000">
      <w:pPr>
        <w:jc w:val="both"/>
      </w:pPr>
      <w:r>
        <w:rPr>
          <w:u w:val="single"/>
        </w:rPr>
        <w:t>Huisserie :</w:t>
      </w:r>
    </w:p>
    <w:p w14:paraId="5AE7B42B" w14:textId="77777777" w:rsidR="004B2808" w:rsidRDefault="00000000">
      <w:pPr>
        <w:jc w:val="both"/>
      </w:pPr>
      <w:r>
        <w:t xml:space="preserve">Type : </w:t>
      </w:r>
      <w:r>
        <w:rPr>
          <w:rStyle w:val="optioncarChar"/>
        </w:rPr>
        <w:t>ébrasement avec chambranle</w:t>
      </w:r>
      <w:r>
        <w:t xml:space="preserve"> (par défaut) </w:t>
      </w:r>
      <w:r>
        <w:rPr>
          <w:rStyle w:val="optioncarChar"/>
        </w:rPr>
        <w:t>/ bâti dormant</w:t>
      </w:r>
    </w:p>
    <w:p w14:paraId="05F7B1A3" w14:textId="77777777" w:rsidR="004B2808" w:rsidRDefault="00000000">
      <w:pPr>
        <w:jc w:val="both"/>
      </w:pPr>
      <w:r>
        <w:rPr>
          <w:b/>
        </w:rPr>
        <w:t>(soit par défaut)</w:t>
      </w:r>
    </w:p>
    <w:p w14:paraId="0A666FCB" w14:textId="77777777" w:rsidR="004B2808" w:rsidRDefault="00000000">
      <w:pPr>
        <w:jc w:val="both"/>
      </w:pPr>
      <w:r>
        <w:rPr>
          <w:rStyle w:val="soitChar"/>
          <w:u w:val="single"/>
        </w:rPr>
        <w:t>Ebrasement avec chambranle :</w:t>
      </w:r>
    </w:p>
    <w:p w14:paraId="16DB6D5B" w14:textId="77777777" w:rsidR="004B2808" w:rsidRDefault="00000000">
      <w:pPr>
        <w:pStyle w:val="Author-eListParagraph"/>
        <w:numPr>
          <w:ilvl w:val="0"/>
          <w:numId w:val="863"/>
        </w:numPr>
      </w:pPr>
      <w:r>
        <w:rPr>
          <w:rStyle w:val="soitChar"/>
        </w:rPr>
        <w:t xml:space="preserve">Matériau : </w:t>
      </w:r>
      <w:r>
        <w:rPr>
          <w:rStyle w:val="optioncarChar"/>
        </w:rPr>
        <w:t>bois dur</w:t>
      </w:r>
      <w:r>
        <w:t xml:space="preserve"> (par défaut)</w:t>
      </w:r>
      <w:r>
        <w:rPr>
          <w:rStyle w:val="optioncarChar"/>
        </w:rPr>
        <w:t xml:space="preserve"> / lamellé / multiplex WBP / fibres de bois mdf / ***</w:t>
      </w:r>
    </w:p>
    <w:p w14:paraId="7AFEEEC8" w14:textId="77777777" w:rsidR="004B2808" w:rsidRDefault="00000000">
      <w:pPr>
        <w:pStyle w:val="Author-eListParagraph"/>
        <w:numPr>
          <w:ilvl w:val="0"/>
          <w:numId w:val="863"/>
        </w:numPr>
      </w:pPr>
      <w:r>
        <w:rPr>
          <w:rStyle w:val="soitChar"/>
        </w:rPr>
        <w:t xml:space="preserve">Epaisseur : ≥ </w:t>
      </w:r>
      <w:r>
        <w:rPr>
          <w:rStyle w:val="optioncarChar"/>
        </w:rPr>
        <w:t xml:space="preserve">18 </w:t>
      </w:r>
      <w:r>
        <w:t>(par défaut)</w:t>
      </w:r>
      <w:r>
        <w:rPr>
          <w:rStyle w:val="optioncarChar"/>
        </w:rPr>
        <w:t xml:space="preserve"> / ***</w:t>
      </w:r>
      <w:r>
        <w:rPr>
          <w:rStyle w:val="soitChar"/>
        </w:rPr>
        <w:t xml:space="preserve"> mm</w:t>
      </w:r>
    </w:p>
    <w:p w14:paraId="211B6DBD" w14:textId="77777777" w:rsidR="004B2808" w:rsidRDefault="00000000">
      <w:pPr>
        <w:pStyle w:val="Author-eListParagraph"/>
        <w:numPr>
          <w:ilvl w:val="0"/>
          <w:numId w:val="863"/>
        </w:numPr>
      </w:pPr>
      <w:r>
        <w:rPr>
          <w:rStyle w:val="soitChar"/>
        </w:rPr>
        <w:t xml:space="preserve">Listel : </w:t>
      </w:r>
      <w:r>
        <w:rPr>
          <w:rStyle w:val="optioncarChar"/>
        </w:rPr>
        <w:t>22x22</w:t>
      </w:r>
      <w:r>
        <w:t xml:space="preserve"> (par défaut)</w:t>
      </w:r>
      <w:r>
        <w:rPr>
          <w:rStyle w:val="optioncarChar"/>
        </w:rPr>
        <w:t xml:space="preserve"> / 26x22 / ***</w:t>
      </w:r>
      <w:r>
        <w:rPr>
          <w:rStyle w:val="soitChar"/>
        </w:rPr>
        <w:t xml:space="preserve"> mm</w:t>
      </w:r>
    </w:p>
    <w:p w14:paraId="344DA189" w14:textId="77777777" w:rsidR="004B2808" w:rsidRDefault="00000000">
      <w:pPr>
        <w:jc w:val="both"/>
      </w:pPr>
      <w:r>
        <w:rPr>
          <w:b/>
        </w:rPr>
        <w:t>(soit)</w:t>
      </w:r>
    </w:p>
    <w:p w14:paraId="213ACF40" w14:textId="77777777" w:rsidR="004B2808" w:rsidRDefault="00000000">
      <w:pPr>
        <w:jc w:val="both"/>
      </w:pPr>
      <w:r>
        <w:rPr>
          <w:rStyle w:val="soitChar"/>
          <w:u w:val="single"/>
        </w:rPr>
        <w:t>Bâti dormant :</w:t>
      </w:r>
    </w:p>
    <w:p w14:paraId="682D92DA" w14:textId="77777777" w:rsidR="004B2808" w:rsidRDefault="00000000">
      <w:pPr>
        <w:pStyle w:val="Author-eListParagraph"/>
        <w:numPr>
          <w:ilvl w:val="0"/>
          <w:numId w:val="864"/>
        </w:numPr>
      </w:pPr>
      <w:r>
        <w:rPr>
          <w:rStyle w:val="soitChar"/>
        </w:rPr>
        <w:t xml:space="preserve">Matériau : </w:t>
      </w:r>
      <w:r>
        <w:rPr>
          <w:rStyle w:val="optioncarChar"/>
        </w:rPr>
        <w:t xml:space="preserve">bois dur </w:t>
      </w:r>
      <w:r>
        <w:t>(par défaut)</w:t>
      </w:r>
      <w:r>
        <w:rPr>
          <w:rStyle w:val="optioncarChar"/>
        </w:rPr>
        <w:t xml:space="preserve"> / lamellé / ***</w:t>
      </w:r>
    </w:p>
    <w:p w14:paraId="3767B5C6" w14:textId="77777777" w:rsidR="004B2808" w:rsidRDefault="00000000">
      <w:pPr>
        <w:pStyle w:val="Author-eListParagraph"/>
        <w:numPr>
          <w:ilvl w:val="0"/>
          <w:numId w:val="864"/>
        </w:numPr>
      </w:pPr>
      <w:r>
        <w:rPr>
          <w:rStyle w:val="soitChar"/>
        </w:rPr>
        <w:t xml:space="preserve">Dimensions : </w:t>
      </w:r>
      <w:r>
        <w:rPr>
          <w:rStyle w:val="optioncarChar"/>
        </w:rPr>
        <w:t xml:space="preserve">60x55 / 37x75 </w:t>
      </w:r>
      <w:r>
        <w:t xml:space="preserve">(par défaut) </w:t>
      </w:r>
      <w:r>
        <w:rPr>
          <w:rStyle w:val="optioncarChar"/>
        </w:rPr>
        <w:t>/ 90x38 / ***</w:t>
      </w:r>
      <w:r>
        <w:rPr>
          <w:rStyle w:val="soitChar"/>
        </w:rPr>
        <w:t xml:space="preserve"> mm</w:t>
      </w:r>
    </w:p>
    <w:p w14:paraId="20B53B15" w14:textId="77777777" w:rsidR="004B2808" w:rsidRDefault="00000000">
      <w:pPr>
        <w:pStyle w:val="Author-eListParagraph"/>
        <w:numPr>
          <w:ilvl w:val="0"/>
          <w:numId w:val="864"/>
        </w:numPr>
      </w:pPr>
      <w:r>
        <w:rPr>
          <w:rStyle w:val="soitChar"/>
        </w:rPr>
        <w:t xml:space="preserve">Feuillure : ≥ </w:t>
      </w:r>
      <w:r>
        <w:rPr>
          <w:rStyle w:val="optioncarChar"/>
        </w:rPr>
        <w:t>20</w:t>
      </w:r>
      <w:r>
        <w:t xml:space="preserve"> (par défaut)</w:t>
      </w:r>
      <w:r>
        <w:rPr>
          <w:rStyle w:val="optioncarChar"/>
        </w:rPr>
        <w:t xml:space="preserve"> / ***</w:t>
      </w:r>
      <w:r>
        <w:rPr>
          <w:rStyle w:val="soitChar"/>
        </w:rPr>
        <w:t xml:space="preserve"> mm</w:t>
      </w:r>
    </w:p>
    <w:p w14:paraId="63A85969" w14:textId="77777777" w:rsidR="004B2808" w:rsidRDefault="004B2808"/>
    <w:p w14:paraId="4C7B079B" w14:textId="77777777" w:rsidR="004B2808" w:rsidRDefault="00000000">
      <w:pPr>
        <w:jc w:val="both"/>
      </w:pPr>
      <w:r>
        <w:rPr>
          <w:u w:val="single"/>
        </w:rPr>
        <w:t>Imposte :</w:t>
      </w:r>
      <w:r>
        <w:rPr>
          <w:rStyle w:val="optioncarChar"/>
        </w:rPr>
        <w:t xml:space="preserve">non </w:t>
      </w:r>
      <w:r>
        <w:t>(par défaut)</w:t>
      </w:r>
      <w:r>
        <w:rPr>
          <w:rStyle w:val="optioncarChar"/>
        </w:rPr>
        <w:t xml:space="preserve"> / oui</w:t>
      </w:r>
    </w:p>
    <w:p w14:paraId="26DFA5D1" w14:textId="77777777" w:rsidR="004B2808" w:rsidRDefault="00000000">
      <w:pPr>
        <w:jc w:val="both"/>
      </w:pPr>
      <w:r>
        <w:rPr>
          <w:b/>
        </w:rPr>
        <w:t>(soit par défaut)</w:t>
      </w:r>
    </w:p>
    <w:p w14:paraId="6CE91AF7" w14:textId="77777777" w:rsidR="004B2808" w:rsidRDefault="00000000">
      <w:pPr>
        <w:jc w:val="both"/>
      </w:pPr>
      <w:r>
        <w:rPr>
          <w:rStyle w:val="soitChar"/>
          <w:u w:val="single"/>
        </w:rPr>
        <w:t>Non :</w:t>
      </w:r>
      <w:r>
        <w:rPr>
          <w:rStyle w:val="soitChar"/>
        </w:rPr>
        <w:t xml:space="preserve"> pas d’imposte</w:t>
      </w:r>
    </w:p>
    <w:p w14:paraId="45BC5FFB" w14:textId="77777777" w:rsidR="004B2808" w:rsidRDefault="00000000">
      <w:pPr>
        <w:jc w:val="both"/>
      </w:pPr>
      <w:r>
        <w:rPr>
          <w:b/>
        </w:rPr>
        <w:t>(soit)</w:t>
      </w:r>
    </w:p>
    <w:p w14:paraId="66BAE989" w14:textId="77777777" w:rsidR="004B2808" w:rsidRDefault="00000000">
      <w:pPr>
        <w:jc w:val="both"/>
      </w:pPr>
      <w:r>
        <w:rPr>
          <w:rStyle w:val="soitChar"/>
          <w:u w:val="single"/>
        </w:rPr>
        <w:t>Oui :</w:t>
      </w:r>
      <w:r>
        <w:rPr>
          <w:rStyle w:val="soitChar"/>
        </w:rPr>
        <w:t xml:space="preserve"> vitrage : </w:t>
      </w:r>
      <w:r>
        <w:rPr>
          <w:rStyle w:val="optioncarChar"/>
        </w:rPr>
        <w:t xml:space="preserve">transparent </w:t>
      </w:r>
      <w:r>
        <w:t>(par défaut)</w:t>
      </w:r>
      <w:r>
        <w:rPr>
          <w:rStyle w:val="optioncarChar"/>
        </w:rPr>
        <w:t xml:space="preserve"> / translucide / ***</w:t>
      </w:r>
    </w:p>
    <w:p w14:paraId="2B9E264E" w14:textId="77777777" w:rsidR="004B2808" w:rsidRDefault="004B2808">
      <w:pPr>
        <w:jc w:val="both"/>
      </w:pPr>
    </w:p>
    <w:p w14:paraId="6D3049A3" w14:textId="77777777" w:rsidR="004B2808" w:rsidRDefault="004B2808">
      <w:pPr>
        <w:jc w:val="both"/>
      </w:pPr>
    </w:p>
    <w:p w14:paraId="7085E11B" w14:textId="77777777" w:rsidR="004B2808" w:rsidRDefault="00000000">
      <w:pPr>
        <w:jc w:val="both"/>
      </w:pPr>
      <w:r>
        <w:rPr>
          <w:u w:val="single"/>
        </w:rPr>
        <w:t>Caractéristiques de l’ensemble :</w:t>
      </w:r>
      <w:r>
        <w:t xml:space="preserve"> huisserie et vantail</w:t>
      </w:r>
    </w:p>
    <w:p w14:paraId="5B19C26A" w14:textId="77777777" w:rsidR="004B2808" w:rsidRDefault="00000000">
      <w:pPr>
        <w:jc w:val="both"/>
      </w:pPr>
      <w:r>
        <w:t xml:space="preserve">Porte : </w:t>
      </w:r>
      <w:r>
        <w:rPr>
          <w:rStyle w:val="optioncarChar"/>
        </w:rPr>
        <w:t xml:space="preserve">simple </w:t>
      </w:r>
      <w:r>
        <w:t>(par défaut)</w:t>
      </w:r>
      <w:r>
        <w:rPr>
          <w:rStyle w:val="optioncarChar"/>
        </w:rPr>
        <w:t xml:space="preserve"> / double</w:t>
      </w:r>
    </w:p>
    <w:p w14:paraId="06445539" w14:textId="77777777" w:rsidR="004B2808" w:rsidRDefault="00000000">
      <w:pPr>
        <w:jc w:val="both"/>
      </w:pPr>
      <w:r>
        <w:rPr>
          <w:b/>
        </w:rPr>
        <w:t>(soit par défaut)</w:t>
      </w:r>
    </w:p>
    <w:p w14:paraId="068610BA" w14:textId="77777777" w:rsidR="004B2808" w:rsidRDefault="00000000">
      <w:pPr>
        <w:jc w:val="both"/>
      </w:pPr>
      <w:r>
        <w:rPr>
          <w:rStyle w:val="soitChar"/>
          <w:u w:val="single"/>
        </w:rPr>
        <w:t>Simple</w:t>
      </w:r>
    </w:p>
    <w:p w14:paraId="603C58B4" w14:textId="77777777" w:rsidR="004B2808" w:rsidRDefault="00000000">
      <w:pPr>
        <w:jc w:val="both"/>
      </w:pPr>
      <w:r>
        <w:rPr>
          <w:b/>
        </w:rPr>
        <w:t>(soit)</w:t>
      </w:r>
    </w:p>
    <w:p w14:paraId="0623E6E2" w14:textId="77777777" w:rsidR="004B2808" w:rsidRDefault="00000000">
      <w:pPr>
        <w:jc w:val="both"/>
      </w:pPr>
      <w:r>
        <w:rPr>
          <w:rStyle w:val="soitChar"/>
          <w:u w:val="single"/>
        </w:rPr>
        <w:t>Double :</w:t>
      </w:r>
      <w:r>
        <w:rPr>
          <w:rStyle w:val="soitChar"/>
        </w:rPr>
        <w:t xml:space="preserve"> raccord entre les battants : </w:t>
      </w:r>
      <w:r>
        <w:rPr>
          <w:rStyle w:val="optioncarChar"/>
        </w:rPr>
        <w:t xml:space="preserve">avec mauclair </w:t>
      </w:r>
      <w:r>
        <w:t>(par défaut)</w:t>
      </w:r>
      <w:r>
        <w:rPr>
          <w:rStyle w:val="optioncarChar"/>
        </w:rPr>
        <w:t xml:space="preserve"> / à feuillure de recouvrement</w:t>
      </w:r>
    </w:p>
    <w:p w14:paraId="2A5D1863" w14:textId="77777777" w:rsidR="004B2808" w:rsidRDefault="00000000">
      <w:pPr>
        <w:pStyle w:val="Author-eListParagraph"/>
        <w:numPr>
          <w:ilvl w:val="0"/>
          <w:numId w:val="865"/>
        </w:numPr>
      </w:pPr>
      <w:r>
        <w:t xml:space="preserve">Performances acoustiques [NBN EN ISO 717-1] Rw : </w:t>
      </w:r>
      <w:r>
        <w:rPr>
          <w:rStyle w:val="optioncarChar"/>
        </w:rPr>
        <w:t xml:space="preserve">20 </w:t>
      </w:r>
      <w:r>
        <w:t>(par défaut)</w:t>
      </w:r>
      <w:r>
        <w:rPr>
          <w:rStyle w:val="optioncarChar"/>
        </w:rPr>
        <w:t xml:space="preserve"> / 22 / ***</w:t>
      </w:r>
      <w:r>
        <w:t xml:space="preserve"> dB</w:t>
      </w:r>
    </w:p>
    <w:p w14:paraId="507D4EDA" w14:textId="77777777" w:rsidR="004B2808" w:rsidRDefault="00000000">
      <w:pPr>
        <w:pStyle w:val="Author-eListParagraph"/>
        <w:numPr>
          <w:ilvl w:val="0"/>
          <w:numId w:val="865"/>
        </w:numPr>
      </w:pPr>
      <w:r>
        <w:t xml:space="preserve">Effort de manœuvre selon [NBN EN 12217] classe : </w:t>
      </w:r>
      <w:r>
        <w:rPr>
          <w:rStyle w:val="optioncarChar"/>
        </w:rPr>
        <w:t xml:space="preserve">2 </w:t>
      </w:r>
      <w:r>
        <w:t>(par défaut)</w:t>
      </w:r>
      <w:r>
        <w:rPr>
          <w:rStyle w:val="optioncarChar"/>
        </w:rPr>
        <w:t xml:space="preserve"> / 1 / 3</w:t>
      </w:r>
    </w:p>
    <w:p w14:paraId="7246E692" w14:textId="77777777" w:rsidR="004B2808" w:rsidRDefault="00000000">
      <w:pPr>
        <w:pStyle w:val="Author-eListParagraph"/>
        <w:numPr>
          <w:ilvl w:val="0"/>
          <w:numId w:val="865"/>
        </w:numPr>
      </w:pPr>
      <w:r>
        <w:t xml:space="preserve">Endurance mécanique selon [NBN EN 12400] classe : </w:t>
      </w:r>
      <w:r>
        <w:rPr>
          <w:rStyle w:val="optioncarChar"/>
        </w:rPr>
        <w:t>4</w:t>
      </w:r>
      <w:r>
        <w:t xml:space="preserve"> (par défaut)</w:t>
      </w:r>
      <w:r>
        <w:rPr>
          <w:rStyle w:val="optioncarChar"/>
        </w:rPr>
        <w:t xml:space="preserve"> / 1 / 5</w:t>
      </w:r>
    </w:p>
    <w:p w14:paraId="25086607" w14:textId="77777777" w:rsidR="004B2808" w:rsidRDefault="00000000">
      <w:pPr>
        <w:jc w:val="both"/>
      </w:pPr>
      <w:r>
        <w:rPr>
          <w:u w:val="single"/>
        </w:rPr>
        <w:t>Quincaillerie</w:t>
      </w:r>
      <w:r>
        <w:t xml:space="preserve"> tel que décrit au </w:t>
      </w:r>
      <w:hyperlink w:anchor="1316" w:history="1">
        <w:r w:rsidR="004B2808">
          <w:rPr>
            <w:color w:val="0000EE"/>
          </w:rPr>
          <w:t>55.62 Quincaillerie complémentaire ou particulière</w:t>
        </w:r>
      </w:hyperlink>
      <w:r>
        <w:t xml:space="preserve"> : </w:t>
      </w:r>
      <w:r>
        <w:rPr>
          <w:rStyle w:val="optioncarChar"/>
        </w:rPr>
        <w:t>conforme à la documentation technique du produit</w:t>
      </w:r>
      <w:r>
        <w:t xml:space="preserve"> (par défaut) </w:t>
      </w:r>
      <w:r>
        <w:rPr>
          <w:rStyle w:val="optioncarChar"/>
        </w:rPr>
        <w:t>/ ***</w:t>
      </w:r>
    </w:p>
    <w:p w14:paraId="4E3EDF1A" w14:textId="77777777" w:rsidR="004B2808" w:rsidRDefault="00000000">
      <w:pPr>
        <w:jc w:val="both"/>
      </w:pPr>
      <w:r>
        <w:t xml:space="preserve">Fonctionnement : </w:t>
      </w:r>
      <w:r>
        <w:rPr>
          <w:rStyle w:val="optioncarChar"/>
        </w:rPr>
        <w:t xml:space="preserve">battant </w:t>
      </w:r>
      <w:r>
        <w:t>(par défaut)</w:t>
      </w:r>
      <w:r>
        <w:rPr>
          <w:rStyle w:val="optioncarChar"/>
        </w:rPr>
        <w:t xml:space="preserve"> / va-et-vient</w:t>
      </w:r>
    </w:p>
    <w:p w14:paraId="5D01CA00" w14:textId="77777777" w:rsidR="004B2808" w:rsidRDefault="00000000">
      <w:pPr>
        <w:jc w:val="both"/>
      </w:pPr>
      <w:r>
        <w:rPr>
          <w:b/>
        </w:rPr>
        <w:t>Aspects environnementaux :</w:t>
      </w:r>
    </w:p>
    <w:p w14:paraId="28AF4EDF" w14:textId="77777777" w:rsidR="004B2808" w:rsidRDefault="00000000">
      <w:pPr>
        <w:jc w:val="both"/>
      </w:pPr>
      <w:r>
        <w:t xml:space="preserve">Bois issus de forêts gérées durablement suivant les prescriptions de l'élément 02.42.4 Bois provenant de forêts gérées durablement : </w:t>
      </w:r>
      <w:r>
        <w:rPr>
          <w:rStyle w:val="optioncarChar"/>
        </w:rPr>
        <w:t xml:space="preserve">oui </w:t>
      </w:r>
      <w:r>
        <w:t>(par défaut)</w:t>
      </w:r>
      <w:r>
        <w:rPr>
          <w:rStyle w:val="optioncarChar"/>
        </w:rPr>
        <w:t xml:space="preserve"> / non</w:t>
      </w:r>
    </w:p>
    <w:p w14:paraId="687197ED" w14:textId="77777777" w:rsidR="004B2808" w:rsidRDefault="00000000">
      <w:pPr>
        <w:ind w:left="750"/>
      </w:pPr>
      <w:r>
        <w:t> </w:t>
      </w:r>
    </w:p>
    <w:p w14:paraId="68DE53E9" w14:textId="77777777" w:rsidR="004B2808" w:rsidRDefault="00000000">
      <w:pPr>
        <w:pStyle w:val="pheading"/>
      </w:pPr>
      <w:r>
        <w:t>- Finitions</w:t>
      </w:r>
    </w:p>
    <w:p w14:paraId="3445F24E" w14:textId="77777777" w:rsidR="004B2808" w:rsidRDefault="00000000">
      <w:pPr>
        <w:jc w:val="both"/>
      </w:pPr>
      <w:r>
        <w:t>Finition du vantail :</w:t>
      </w:r>
      <w:r>
        <w:rPr>
          <w:rStyle w:val="optioncarChar"/>
        </w:rPr>
        <w:t xml:space="preserve"> peinture / stratifié / placage vernis</w:t>
      </w:r>
    </w:p>
    <w:p w14:paraId="7A6D59F2" w14:textId="77777777" w:rsidR="004B2808" w:rsidRDefault="00000000">
      <w:pPr>
        <w:jc w:val="both"/>
      </w:pPr>
      <w:r>
        <w:rPr>
          <w:b/>
        </w:rPr>
        <w:t>(soit)</w:t>
      </w:r>
    </w:p>
    <w:p w14:paraId="5020A148" w14:textId="77777777" w:rsidR="004B2808" w:rsidRDefault="00000000">
      <w:pPr>
        <w:jc w:val="both"/>
      </w:pPr>
      <w:r>
        <w:rPr>
          <w:rStyle w:val="soitChar"/>
          <w:u w:val="single"/>
        </w:rPr>
        <w:t>Peinture</w:t>
      </w:r>
      <w:r>
        <w:rPr>
          <w:rStyle w:val="soitChar"/>
        </w:rPr>
        <w:t xml:space="preserve"> tel que décrit au 81.2 Peintures intérieures sur subjectiles en bois et dérivés du bois (feuillus, résineux, bois exotiques, panneaux)</w:t>
      </w:r>
      <w:r>
        <w:rPr>
          <w:b/>
        </w:rPr>
        <w:t>(soit)</w:t>
      </w:r>
    </w:p>
    <w:p w14:paraId="0ED8377A" w14:textId="77777777" w:rsidR="004B2808" w:rsidRDefault="00000000">
      <w:pPr>
        <w:jc w:val="both"/>
      </w:pPr>
      <w:r>
        <w:rPr>
          <w:rStyle w:val="soitChar"/>
          <w:u w:val="single"/>
        </w:rPr>
        <w:t>Stratifié :</w:t>
      </w:r>
    </w:p>
    <w:p w14:paraId="17D50183" w14:textId="77777777" w:rsidR="004B2808" w:rsidRDefault="00000000">
      <w:pPr>
        <w:pStyle w:val="Author-eListParagraph"/>
        <w:numPr>
          <w:ilvl w:val="0"/>
          <w:numId w:val="866"/>
        </w:numPr>
      </w:pPr>
      <w:r>
        <w:rPr>
          <w:rStyle w:val="soitChar"/>
        </w:rPr>
        <w:t xml:space="preserve">Epaisseur  : ≥ </w:t>
      </w:r>
      <w:r>
        <w:rPr>
          <w:rStyle w:val="optioncarChar"/>
        </w:rPr>
        <w:t>3</w:t>
      </w:r>
      <w:r>
        <w:t> (par défaut)</w:t>
      </w:r>
      <w:r>
        <w:rPr>
          <w:rStyle w:val="optioncarChar"/>
        </w:rPr>
        <w:t xml:space="preserve"> / ***</w:t>
      </w:r>
      <w:r>
        <w:rPr>
          <w:rStyle w:val="soitChar"/>
        </w:rPr>
        <w:t xml:space="preserve"> mm</w:t>
      </w:r>
    </w:p>
    <w:p w14:paraId="61A7CF49" w14:textId="77777777" w:rsidR="004B2808" w:rsidRDefault="00000000">
      <w:pPr>
        <w:pStyle w:val="Author-eListParagraph"/>
        <w:numPr>
          <w:ilvl w:val="0"/>
          <w:numId w:val="866"/>
        </w:numPr>
      </w:pPr>
      <w:r>
        <w:rPr>
          <w:rStyle w:val="soitChar"/>
        </w:rPr>
        <w:t xml:space="preserve">Aspect : </w:t>
      </w:r>
      <w:r>
        <w:rPr>
          <w:rStyle w:val="optioncarChar"/>
        </w:rPr>
        <w:t xml:space="preserve">uni </w:t>
      </w:r>
      <w:r>
        <w:t>(par défaut)</w:t>
      </w:r>
      <w:r>
        <w:rPr>
          <w:rStyle w:val="optioncarChar"/>
        </w:rPr>
        <w:t xml:space="preserve"> / structuré / bois / ***</w:t>
      </w:r>
    </w:p>
    <w:p w14:paraId="7DC81568" w14:textId="77777777" w:rsidR="004B2808" w:rsidRDefault="00000000">
      <w:pPr>
        <w:pStyle w:val="Author-eListParagraph"/>
        <w:numPr>
          <w:ilvl w:val="0"/>
          <w:numId w:val="866"/>
        </w:numPr>
      </w:pPr>
      <w:r>
        <w:rPr>
          <w:rStyle w:val="soitChar"/>
        </w:rPr>
        <w:t xml:space="preserve">Teinte : </w:t>
      </w:r>
      <w:r>
        <w:rPr>
          <w:rStyle w:val="optioncarChar"/>
        </w:rPr>
        <w:t xml:space="preserve">au choix de la direction de chantier dans la gamme du fabricant </w:t>
      </w:r>
      <w:r>
        <w:t>(par défaut)</w:t>
      </w:r>
      <w:r>
        <w:rPr>
          <w:rStyle w:val="optioncarChar"/>
        </w:rPr>
        <w:t xml:space="preserve"> / ***</w:t>
      </w:r>
    </w:p>
    <w:p w14:paraId="7FEA3A94" w14:textId="77777777" w:rsidR="004B2808" w:rsidRDefault="00000000">
      <w:pPr>
        <w:jc w:val="both"/>
      </w:pPr>
      <w:r>
        <w:rPr>
          <w:b/>
        </w:rPr>
        <w:t>(soit)</w:t>
      </w:r>
    </w:p>
    <w:p w14:paraId="57D62D16" w14:textId="77777777" w:rsidR="004B2808" w:rsidRDefault="00000000">
      <w:pPr>
        <w:jc w:val="both"/>
      </w:pPr>
      <w:r>
        <w:rPr>
          <w:rStyle w:val="soitChar"/>
          <w:u w:val="single"/>
        </w:rPr>
        <w:t>Placage vernis :</w:t>
      </w:r>
    </w:p>
    <w:p w14:paraId="4E8C7F6E" w14:textId="77777777" w:rsidR="004B2808" w:rsidRDefault="00000000">
      <w:pPr>
        <w:pStyle w:val="Author-eListParagraph"/>
        <w:numPr>
          <w:ilvl w:val="0"/>
          <w:numId w:val="867"/>
        </w:numPr>
      </w:pPr>
      <w:r>
        <w:rPr>
          <w:rStyle w:val="soitChar"/>
        </w:rPr>
        <w:t xml:space="preserve">Epaisseur  : ≥ </w:t>
      </w:r>
      <w:r>
        <w:rPr>
          <w:rStyle w:val="optioncarChar"/>
        </w:rPr>
        <w:t>0,8</w:t>
      </w:r>
      <w:r>
        <w:t xml:space="preserve"> (par défaut) </w:t>
      </w:r>
      <w:r>
        <w:rPr>
          <w:rStyle w:val="optioncarChar"/>
        </w:rPr>
        <w:t>/ ***</w:t>
      </w:r>
      <w:r>
        <w:rPr>
          <w:rStyle w:val="soitChar"/>
        </w:rPr>
        <w:t xml:space="preserve"> mm</w:t>
      </w:r>
    </w:p>
    <w:p w14:paraId="7F018203" w14:textId="77777777" w:rsidR="004B2808" w:rsidRDefault="00000000">
      <w:pPr>
        <w:pStyle w:val="Author-eListParagraph"/>
        <w:numPr>
          <w:ilvl w:val="0"/>
          <w:numId w:val="867"/>
        </w:numPr>
      </w:pPr>
      <w:r>
        <w:rPr>
          <w:rStyle w:val="soitChar"/>
        </w:rPr>
        <w:t xml:space="preserve">Essence : </w:t>
      </w:r>
      <w:r>
        <w:rPr>
          <w:rStyle w:val="optioncarChar"/>
        </w:rPr>
        <w:t>hêtre </w:t>
      </w:r>
      <w:r>
        <w:t xml:space="preserve">(par défaut) </w:t>
      </w:r>
      <w:r>
        <w:rPr>
          <w:rStyle w:val="optioncarChar"/>
        </w:rPr>
        <w:t>/ chêne / ***</w:t>
      </w:r>
    </w:p>
    <w:p w14:paraId="77E5B23C" w14:textId="77777777" w:rsidR="004B2808" w:rsidRDefault="00000000">
      <w:pPr>
        <w:pStyle w:val="Author-eListParagraph"/>
        <w:numPr>
          <w:ilvl w:val="0"/>
          <w:numId w:val="867"/>
        </w:numPr>
      </w:pPr>
      <w:r>
        <w:rPr>
          <w:rStyle w:val="soitChar"/>
        </w:rPr>
        <w:t xml:space="preserve">Vernis : </w:t>
      </w:r>
      <w:r>
        <w:rPr>
          <w:rStyle w:val="optioncarChar"/>
        </w:rPr>
        <w:t xml:space="preserve">mat </w:t>
      </w:r>
      <w:r>
        <w:t>(par défaut)</w:t>
      </w:r>
      <w:r>
        <w:rPr>
          <w:rStyle w:val="optioncarChar"/>
        </w:rPr>
        <w:t xml:space="preserve"> / satiné / ***</w:t>
      </w:r>
    </w:p>
    <w:p w14:paraId="41F39F75" w14:textId="77777777" w:rsidR="004B2808" w:rsidRDefault="00000000">
      <w:pPr>
        <w:jc w:val="both"/>
      </w:pPr>
      <w:r>
        <w:t xml:space="preserve">Finition de l'huisserie : </w:t>
      </w:r>
      <w:r>
        <w:rPr>
          <w:rStyle w:val="optioncarChar"/>
        </w:rPr>
        <w:t>peinture / vernis</w:t>
      </w:r>
    </w:p>
    <w:p w14:paraId="3A39287E" w14:textId="77777777" w:rsidR="004B2808" w:rsidRDefault="00000000">
      <w:pPr>
        <w:jc w:val="both"/>
      </w:pPr>
      <w:r>
        <w:rPr>
          <w:b/>
        </w:rPr>
        <w:t>(soit)</w:t>
      </w:r>
    </w:p>
    <w:p w14:paraId="3DD32D36" w14:textId="77777777" w:rsidR="004B2808" w:rsidRDefault="00000000">
      <w:pPr>
        <w:jc w:val="both"/>
      </w:pPr>
      <w:r>
        <w:rPr>
          <w:rStyle w:val="soitChar"/>
          <w:u w:val="single"/>
        </w:rPr>
        <w:t>Peinture</w:t>
      </w:r>
      <w:r>
        <w:rPr>
          <w:rStyle w:val="soitChar"/>
        </w:rPr>
        <w:t xml:space="preserve"> tel que décrit au 81.2 Peintures intérieures sur subjectiles en bois et dérivés du bois (feuillus, résineux, bois exotiques, panneaux)</w:t>
      </w:r>
      <w:r>
        <w:rPr>
          <w:b/>
        </w:rPr>
        <w:t>(soit)</w:t>
      </w:r>
    </w:p>
    <w:p w14:paraId="697A3660" w14:textId="77777777" w:rsidR="004B2808" w:rsidRDefault="00000000">
      <w:pPr>
        <w:jc w:val="both"/>
      </w:pPr>
      <w:r>
        <w:rPr>
          <w:rStyle w:val="soitChar"/>
          <w:u w:val="single"/>
        </w:rPr>
        <w:t>Vernis :</w:t>
      </w:r>
      <w:r>
        <w:rPr>
          <w:rStyle w:val="optioncarChar"/>
        </w:rPr>
        <w:t xml:space="preserve">mat </w:t>
      </w:r>
      <w:r>
        <w:t xml:space="preserve">(par défaut) </w:t>
      </w:r>
      <w:r>
        <w:rPr>
          <w:rStyle w:val="optioncarChar"/>
        </w:rPr>
        <w:t>/ satiné / ***</w:t>
      </w:r>
    </w:p>
    <w:p w14:paraId="1084DED7" w14:textId="77777777" w:rsidR="004B2808" w:rsidRDefault="00000000">
      <w:pPr>
        <w:pStyle w:val="pheading"/>
      </w:pPr>
      <w:r>
        <w:t>MESURAGE</w:t>
      </w:r>
    </w:p>
    <w:p w14:paraId="5465890A" w14:textId="77777777" w:rsidR="004B2808" w:rsidRDefault="00000000">
      <w:pPr>
        <w:pStyle w:val="pheading"/>
      </w:pPr>
      <w:r>
        <w:t>- unité de mesure:</w:t>
      </w:r>
    </w:p>
    <w:p w14:paraId="5647218B" w14:textId="77777777" w:rsidR="004B2808" w:rsidRDefault="00000000">
      <w:r>
        <w:t>pc</w:t>
      </w:r>
    </w:p>
    <w:p w14:paraId="01DEB455" w14:textId="77777777" w:rsidR="004B2808" w:rsidRDefault="00000000">
      <w:pPr>
        <w:pStyle w:val="pheading"/>
      </w:pPr>
      <w:r>
        <w:t>- code de mesurage:</w:t>
      </w:r>
    </w:p>
    <w:p w14:paraId="57B8C465" w14:textId="77777777" w:rsidR="004B2808" w:rsidRDefault="00000000">
      <w:r>
        <w:t> Quantité nette, distinction faite du type et des dimensions des portes.</w:t>
      </w:r>
    </w:p>
    <w:p w14:paraId="66533447" w14:textId="77777777" w:rsidR="004B2808" w:rsidRDefault="00000000">
      <w:pPr>
        <w:pStyle w:val="pheading"/>
      </w:pPr>
      <w:r>
        <w:lastRenderedPageBreak/>
        <w:t>- nature du marché:</w:t>
      </w:r>
    </w:p>
    <w:p w14:paraId="2109739E" w14:textId="77777777" w:rsidR="004B2808" w:rsidRDefault="00000000">
      <w:r>
        <w:t>QF</w:t>
      </w:r>
    </w:p>
    <w:p w14:paraId="02A5367D" w14:textId="77777777" w:rsidR="004B2808" w:rsidRDefault="00000000">
      <w:pPr>
        <w:pStyle w:val="Author-eSectionHeading6Numberless"/>
      </w:pPr>
      <w:bookmarkStart w:id="1058" w:name="_Toc220491185"/>
      <w:r>
        <w:t>55.21.1b Portes intérieures à âmes tubulaires CCTB 01.12</w:t>
      </w:r>
      <w:bookmarkEnd w:id="1058"/>
    </w:p>
    <w:p w14:paraId="172814D5" w14:textId="77777777" w:rsidR="004B2808" w:rsidRDefault="00000000">
      <w:pPr>
        <w:pStyle w:val="pheading"/>
      </w:pPr>
      <w:r>
        <w:t>DESCRIPTION</w:t>
      </w:r>
    </w:p>
    <w:p w14:paraId="77B3E46D" w14:textId="77777777" w:rsidR="004B2808" w:rsidRDefault="00000000">
      <w:pPr>
        <w:pStyle w:val="pheading"/>
      </w:pPr>
      <w:r>
        <w:t>- Définition / Comprend</w:t>
      </w:r>
    </w:p>
    <w:p w14:paraId="4B4F3184" w14:textId="77777777" w:rsidR="004B2808" w:rsidRDefault="00000000">
      <w:pPr>
        <w:jc w:val="both"/>
      </w:pPr>
      <w:r>
        <w:t>Il s’agit de la fourniture et la pose de portes intérieures à âmes tubulaires.</w:t>
      </w:r>
    </w:p>
    <w:p w14:paraId="382B81F9" w14:textId="77777777" w:rsidR="004B2808" w:rsidRDefault="00000000">
      <w:pPr>
        <w:jc w:val="both"/>
      </w:pPr>
      <w:r>
        <w:t xml:space="preserve">Voir </w:t>
      </w:r>
      <w:hyperlink w:anchor="1318" w:history="1">
        <w:r w:rsidR="004B2808">
          <w:rPr>
            <w:color w:val="0000EE"/>
          </w:rPr>
          <w:t>55.21 Portes intérieures en bois</w:t>
        </w:r>
      </w:hyperlink>
      <w:r>
        <w:t>.</w:t>
      </w:r>
    </w:p>
    <w:p w14:paraId="7826124F" w14:textId="77777777" w:rsidR="004B2808" w:rsidRDefault="00000000">
      <w:pPr>
        <w:pStyle w:val="pheading"/>
      </w:pPr>
      <w:r>
        <w:t>MATÉRIAUX</w:t>
      </w:r>
    </w:p>
    <w:p w14:paraId="67994D45" w14:textId="77777777" w:rsidR="004B2808" w:rsidRDefault="00000000">
      <w:pPr>
        <w:pStyle w:val="pheading"/>
      </w:pPr>
      <w:r>
        <w:t>- Caractéristiques générales</w:t>
      </w:r>
    </w:p>
    <w:p w14:paraId="7F36318B" w14:textId="77777777" w:rsidR="004B2808" w:rsidRDefault="00000000">
      <w:pPr>
        <w:jc w:val="both"/>
      </w:pPr>
      <w:r>
        <w:t xml:space="preserve">Huisserie et vantaux de porte à âmes tubulaires suivant </w:t>
      </w:r>
      <w:hyperlink w:anchor="1318" w:history="1">
        <w:r w:rsidR="004B2808">
          <w:rPr>
            <w:color w:val="0000EE"/>
          </w:rPr>
          <w:t>55.21 Portes intérieures en bois</w:t>
        </w:r>
      </w:hyperlink>
    </w:p>
    <w:p w14:paraId="5D17ADC3" w14:textId="77777777" w:rsidR="004B2808" w:rsidRDefault="00000000">
      <w:pPr>
        <w:jc w:val="both"/>
      </w:pPr>
      <w:r>
        <w:rPr>
          <w:b/>
        </w:rPr>
        <w:t>Vantaux de portes :</w:t>
      </w:r>
      <w:r>
        <w:t xml:space="preserve"> cadre avec remplissage en panneau tubulaire et finition en panneau de fibres de bois.</w:t>
      </w:r>
    </w:p>
    <w:p w14:paraId="7071ECE0" w14:textId="77777777" w:rsidR="004B2808" w:rsidRDefault="00000000">
      <w:pPr>
        <w:pStyle w:val="Author-eListParagraph"/>
        <w:numPr>
          <w:ilvl w:val="0"/>
          <w:numId w:val="868"/>
        </w:numPr>
      </w:pPr>
      <w:r>
        <w:t xml:space="preserve">Cadre : bois résineux  : ≥ </w:t>
      </w:r>
      <w:r>
        <w:rPr>
          <w:rStyle w:val="optioncarChar"/>
        </w:rPr>
        <w:t>430</w:t>
      </w:r>
      <w:r>
        <w:t xml:space="preserve"> (par défaut)</w:t>
      </w:r>
      <w:r>
        <w:rPr>
          <w:rStyle w:val="optioncarChar"/>
        </w:rPr>
        <w:t xml:space="preserve"> / 450 / ***</w:t>
      </w:r>
      <w:r>
        <w:t xml:space="preserve"> kg/m³</w:t>
      </w:r>
    </w:p>
    <w:p w14:paraId="5D9941D0" w14:textId="77777777" w:rsidR="004B2808" w:rsidRDefault="00000000">
      <w:pPr>
        <w:pStyle w:val="Author-eListParagraph"/>
        <w:numPr>
          <w:ilvl w:val="0"/>
          <w:numId w:val="868"/>
        </w:numPr>
      </w:pPr>
      <w:r>
        <w:t xml:space="preserve">Panneau de porte tubulaire : </w:t>
      </w:r>
    </w:p>
    <w:p w14:paraId="5B7EACE4" w14:textId="77777777" w:rsidR="004B2808" w:rsidRDefault="00000000">
      <w:pPr>
        <w:pStyle w:val="Author-eListParagraph"/>
        <w:numPr>
          <w:ilvl w:val="1"/>
          <w:numId w:val="869"/>
        </w:numPr>
      </w:pPr>
      <w:r>
        <w:t xml:space="preserve">Matériau : </w:t>
      </w:r>
      <w:r>
        <w:rPr>
          <w:rStyle w:val="optioncarChar"/>
        </w:rPr>
        <w:t xml:space="preserve">panneau de particules </w:t>
      </w:r>
      <w:r>
        <w:t>(par défaut)</w:t>
      </w:r>
      <w:r>
        <w:rPr>
          <w:rStyle w:val="optioncarChar"/>
        </w:rPr>
        <w:t xml:space="preserve"> / bois massif</w:t>
      </w:r>
    </w:p>
    <w:p w14:paraId="25BB88FC" w14:textId="77777777" w:rsidR="004B2808" w:rsidRDefault="00000000">
      <w:pPr>
        <w:pStyle w:val="Author-eListParagraph"/>
        <w:numPr>
          <w:ilvl w:val="1"/>
          <w:numId w:val="869"/>
        </w:numPr>
      </w:pPr>
      <w:r>
        <w:t xml:space="preserve">Densité  : ≥ </w:t>
      </w:r>
      <w:r>
        <w:rPr>
          <w:rStyle w:val="optioncarChar"/>
        </w:rPr>
        <w:t>207</w:t>
      </w:r>
      <w:r>
        <w:t xml:space="preserve"> (par défaut)</w:t>
      </w:r>
      <w:r>
        <w:rPr>
          <w:rStyle w:val="optioncarChar"/>
        </w:rPr>
        <w:t xml:space="preserve"> / ***</w:t>
      </w:r>
      <w:r>
        <w:t xml:space="preserve"> kg/m³</w:t>
      </w:r>
    </w:p>
    <w:p w14:paraId="26830371" w14:textId="77777777" w:rsidR="004B2808" w:rsidRDefault="00000000">
      <w:pPr>
        <w:pStyle w:val="Author-eListParagraph"/>
        <w:numPr>
          <w:ilvl w:val="1"/>
          <w:numId w:val="869"/>
        </w:numPr>
      </w:pPr>
      <w:r>
        <w:t xml:space="preserve">Epaisseur  : ≥ </w:t>
      </w:r>
      <w:r>
        <w:rPr>
          <w:rStyle w:val="optioncarChar"/>
        </w:rPr>
        <w:t xml:space="preserve">33 </w:t>
      </w:r>
      <w:r>
        <w:t>(par défaut)</w:t>
      </w:r>
      <w:r>
        <w:rPr>
          <w:rStyle w:val="optioncarChar"/>
        </w:rPr>
        <w:t xml:space="preserve"> / ***</w:t>
      </w:r>
      <w:r>
        <w:t xml:space="preserve"> mm</w:t>
      </w:r>
    </w:p>
    <w:p w14:paraId="0B27BC01" w14:textId="77777777" w:rsidR="004B2808" w:rsidRDefault="00000000">
      <w:pPr>
        <w:pStyle w:val="Author-eListParagraph"/>
        <w:numPr>
          <w:ilvl w:val="0"/>
          <w:numId w:val="868"/>
        </w:numPr>
      </w:pPr>
      <w:r>
        <w:t xml:space="preserve">Finition au moyen d’un panneau de fibres de bois, épaisseur 3 à 5mm, densité  : ≥ </w:t>
      </w:r>
      <w:r>
        <w:rPr>
          <w:rStyle w:val="optioncarChar"/>
        </w:rPr>
        <w:t>870</w:t>
      </w:r>
      <w:r>
        <w:t xml:space="preserve"> (par défaut)</w:t>
      </w:r>
      <w:r>
        <w:rPr>
          <w:rStyle w:val="optioncarChar"/>
        </w:rPr>
        <w:t xml:space="preserve"> / ***</w:t>
      </w:r>
      <w:r>
        <w:t xml:space="preserve"> kg/m³</w:t>
      </w:r>
    </w:p>
    <w:p w14:paraId="0E641D73" w14:textId="77777777" w:rsidR="004B2808" w:rsidRDefault="00000000">
      <w:pPr>
        <w:jc w:val="both"/>
      </w:pPr>
      <w:r>
        <w:t>Caractéristiques des vantaux de porte :</w:t>
      </w:r>
    </w:p>
    <w:p w14:paraId="31CA8943" w14:textId="77777777" w:rsidR="004B2808" w:rsidRDefault="00000000">
      <w:pPr>
        <w:pStyle w:val="Author-eListParagraph"/>
        <w:numPr>
          <w:ilvl w:val="0"/>
          <w:numId w:val="870"/>
        </w:numPr>
      </w:pPr>
      <w:r>
        <w:t xml:space="preserve">Hauteur : </w:t>
      </w:r>
      <w:r>
        <w:rPr>
          <w:rStyle w:val="optioncarChar"/>
        </w:rPr>
        <w:t xml:space="preserve">211,5 </w:t>
      </w:r>
      <w:r>
        <w:t>(par défaut) /</w:t>
      </w:r>
      <w:r>
        <w:rPr>
          <w:rStyle w:val="optioncarChar"/>
        </w:rPr>
        <w:t xml:space="preserve"> 201,5 / ***</w:t>
      </w:r>
      <w:r>
        <w:t xml:space="preserve"> cm</w:t>
      </w:r>
    </w:p>
    <w:p w14:paraId="4200A9EE" w14:textId="77777777" w:rsidR="004B2808" w:rsidRDefault="00000000">
      <w:pPr>
        <w:pStyle w:val="Author-eListParagraph"/>
        <w:numPr>
          <w:ilvl w:val="0"/>
          <w:numId w:val="870"/>
        </w:numPr>
      </w:pPr>
      <w:r>
        <w:t xml:space="preserve">Largeur : </w:t>
      </w:r>
      <w:r>
        <w:rPr>
          <w:rStyle w:val="optioncarChar"/>
        </w:rPr>
        <w:t xml:space="preserve">suivant plans </w:t>
      </w:r>
      <w:r>
        <w:t>(par défaut)</w:t>
      </w:r>
      <w:r>
        <w:rPr>
          <w:rStyle w:val="optioncarChar"/>
        </w:rPr>
        <w:t xml:space="preserve"> / ***</w:t>
      </w:r>
      <w:r>
        <w:t xml:space="preserve"> cm</w:t>
      </w:r>
    </w:p>
    <w:p w14:paraId="2E83DA17" w14:textId="77777777" w:rsidR="004B2808" w:rsidRDefault="00000000">
      <w:pPr>
        <w:pStyle w:val="Author-eListParagraph"/>
        <w:numPr>
          <w:ilvl w:val="0"/>
          <w:numId w:val="870"/>
        </w:numPr>
      </w:pPr>
      <w:r>
        <w:t xml:space="preserve">Détalonnage pour ventilation : </w:t>
      </w:r>
      <w:r>
        <w:rPr>
          <w:rStyle w:val="optioncarChar"/>
        </w:rPr>
        <w:t>non</w:t>
      </w:r>
      <w:r>
        <w:t xml:space="preserve"> (par défaut)</w:t>
      </w:r>
      <w:r>
        <w:rPr>
          <w:rStyle w:val="optioncarChar"/>
        </w:rPr>
        <w:t xml:space="preserve"> / 10 / 20 / ***</w:t>
      </w:r>
      <w:r>
        <w:t xml:space="preserve"> mm</w:t>
      </w:r>
    </w:p>
    <w:p w14:paraId="13527AE7" w14:textId="77777777" w:rsidR="004B2808" w:rsidRDefault="00000000">
      <w:pPr>
        <w:pStyle w:val="Author-eListParagraph"/>
        <w:numPr>
          <w:ilvl w:val="0"/>
          <w:numId w:val="870"/>
        </w:numPr>
      </w:pPr>
      <w:r>
        <w:t xml:space="preserve">Epaisseur  : ≥ </w:t>
      </w:r>
      <w:r>
        <w:rPr>
          <w:rStyle w:val="optioncarChar"/>
        </w:rPr>
        <w:t xml:space="preserve">40 </w:t>
      </w:r>
      <w:r>
        <w:t>(par défaut)</w:t>
      </w:r>
      <w:r>
        <w:rPr>
          <w:rStyle w:val="optioncarChar"/>
        </w:rPr>
        <w:t xml:space="preserve"> / ***</w:t>
      </w:r>
      <w:r>
        <w:t xml:space="preserve"> mm</w:t>
      </w:r>
    </w:p>
    <w:p w14:paraId="5E419B86" w14:textId="77777777" w:rsidR="004B2808" w:rsidRDefault="00000000">
      <w:pPr>
        <w:pStyle w:val="Author-eListParagraph"/>
        <w:numPr>
          <w:ilvl w:val="0"/>
          <w:numId w:val="870"/>
        </w:numPr>
      </w:pPr>
      <w:r>
        <w:t xml:space="preserve">Dimensions - classe de tolérance [NBN EN 1530] : </w:t>
      </w:r>
      <w:r>
        <w:rPr>
          <w:rStyle w:val="optioncarChar"/>
        </w:rPr>
        <w:t xml:space="preserve">D2 </w:t>
      </w:r>
      <w:r>
        <w:t xml:space="preserve">(par défaut) </w:t>
      </w:r>
      <w:r>
        <w:rPr>
          <w:rStyle w:val="optioncarChar"/>
        </w:rPr>
        <w:t>/ D1 / D3</w:t>
      </w:r>
    </w:p>
    <w:p w14:paraId="15F858F2" w14:textId="77777777" w:rsidR="004B2808" w:rsidRDefault="00000000">
      <w:pPr>
        <w:pStyle w:val="Author-eListParagraph"/>
        <w:numPr>
          <w:ilvl w:val="0"/>
          <w:numId w:val="870"/>
        </w:numPr>
      </w:pPr>
      <w:r>
        <w:t>Planéité générale et locale– classe de tolérance [NBN EN 1192] :</w:t>
      </w:r>
      <w:r>
        <w:rPr>
          <w:rStyle w:val="optioncarChar"/>
        </w:rPr>
        <w:t xml:space="preserve"> 1 / 2 </w:t>
      </w:r>
      <w:r>
        <w:t>(par défaut)</w:t>
      </w:r>
      <w:r>
        <w:rPr>
          <w:rStyle w:val="optioncarChar"/>
        </w:rPr>
        <w:t xml:space="preserve"> / 3 / 4</w:t>
      </w:r>
    </w:p>
    <w:p w14:paraId="7378F9A7" w14:textId="77777777" w:rsidR="004B2808" w:rsidRDefault="00000000">
      <w:pPr>
        <w:pStyle w:val="Author-eListParagraph"/>
        <w:numPr>
          <w:ilvl w:val="0"/>
          <w:numId w:val="870"/>
        </w:numPr>
      </w:pPr>
      <w:r>
        <w:t xml:space="preserve">Fréquence d’utilisation selon [NBN EN 12400] classe : </w:t>
      </w:r>
      <w:r>
        <w:rPr>
          <w:rStyle w:val="optioncarChar"/>
        </w:rPr>
        <w:t>1 / 2 / 3 / 4 / 5</w:t>
      </w:r>
      <w:r>
        <w:t xml:space="preserve"> (par défaut) </w:t>
      </w:r>
      <w:r>
        <w:rPr>
          <w:rStyle w:val="optioncarChar"/>
        </w:rPr>
        <w:t>/ 6 / 7 / 8</w:t>
      </w:r>
    </w:p>
    <w:p w14:paraId="030E6F49" w14:textId="77777777" w:rsidR="004B2808" w:rsidRDefault="00000000">
      <w:pPr>
        <w:pStyle w:val="Author-eListParagraph"/>
        <w:numPr>
          <w:ilvl w:val="0"/>
          <w:numId w:val="870"/>
        </w:numPr>
      </w:pPr>
      <w:r>
        <w:t xml:space="preserve">Intégration de grilles pour transfert d’air tel que décrit au </w:t>
      </w:r>
      <w:hyperlink w:anchor="1319" w:history="1">
        <w:r w:rsidR="004B2808">
          <w:rPr>
            <w:color w:val="0000EE"/>
          </w:rPr>
          <w:t>55.65.9 Dispositifs de transfert d’air pour la ventilation</w:t>
        </w:r>
      </w:hyperlink>
      <w:r>
        <w:t xml:space="preserve"> : </w:t>
      </w:r>
      <w:r>
        <w:rPr>
          <w:rStyle w:val="optioncarChar"/>
        </w:rPr>
        <w:t xml:space="preserve">non </w:t>
      </w:r>
      <w:r>
        <w:t>(par défaut)</w:t>
      </w:r>
      <w:r>
        <w:rPr>
          <w:rStyle w:val="optioncarChar"/>
        </w:rPr>
        <w:t xml:space="preserve"> / oui</w:t>
      </w:r>
    </w:p>
    <w:p w14:paraId="5BD0017C" w14:textId="77777777" w:rsidR="004B2808" w:rsidRDefault="00000000">
      <w:pPr>
        <w:jc w:val="both"/>
      </w:pPr>
      <w:r>
        <w:rPr>
          <w:b/>
        </w:rPr>
        <w:t>Huisserie :</w:t>
      </w:r>
    </w:p>
    <w:p w14:paraId="55D5D434" w14:textId="77777777" w:rsidR="004B2808" w:rsidRDefault="00000000">
      <w:pPr>
        <w:jc w:val="both"/>
      </w:pPr>
      <w:r>
        <w:t xml:space="preserve">Type : </w:t>
      </w:r>
      <w:r>
        <w:rPr>
          <w:rStyle w:val="optioncarChar"/>
        </w:rPr>
        <w:t xml:space="preserve">ébrasement avec chambranle </w:t>
      </w:r>
      <w:r>
        <w:t>(par défaut)</w:t>
      </w:r>
      <w:r>
        <w:rPr>
          <w:rStyle w:val="optioncarChar"/>
        </w:rPr>
        <w:t xml:space="preserve"> / bâti dormant</w:t>
      </w:r>
    </w:p>
    <w:p w14:paraId="073ABDCA" w14:textId="77777777" w:rsidR="004B2808" w:rsidRDefault="00000000">
      <w:pPr>
        <w:jc w:val="both"/>
      </w:pPr>
      <w:r>
        <w:rPr>
          <w:b/>
        </w:rPr>
        <w:t>(soit par défaut)</w:t>
      </w:r>
    </w:p>
    <w:p w14:paraId="738F9B43" w14:textId="77777777" w:rsidR="004B2808" w:rsidRDefault="00000000">
      <w:pPr>
        <w:jc w:val="both"/>
      </w:pPr>
      <w:r>
        <w:rPr>
          <w:rStyle w:val="soitChar"/>
          <w:u w:val="single"/>
        </w:rPr>
        <w:t>Ebrasement avec chambranle :</w:t>
      </w:r>
    </w:p>
    <w:p w14:paraId="674451F9" w14:textId="77777777" w:rsidR="004B2808" w:rsidRDefault="00000000">
      <w:pPr>
        <w:pStyle w:val="Author-eListParagraph"/>
        <w:numPr>
          <w:ilvl w:val="0"/>
          <w:numId w:val="871"/>
        </w:numPr>
      </w:pPr>
      <w:r>
        <w:rPr>
          <w:rStyle w:val="soitChar"/>
        </w:rPr>
        <w:t xml:space="preserve">Matériau : </w:t>
      </w:r>
      <w:r>
        <w:rPr>
          <w:rStyle w:val="optioncarChar"/>
        </w:rPr>
        <w:t xml:space="preserve">bois dur </w:t>
      </w:r>
      <w:r>
        <w:t>(par défaut)</w:t>
      </w:r>
      <w:r>
        <w:rPr>
          <w:rStyle w:val="optioncarChar"/>
        </w:rPr>
        <w:t xml:space="preserve"> / lamellé / multiplex WBP / fibres de bois mdf / ***</w:t>
      </w:r>
    </w:p>
    <w:p w14:paraId="4309A861" w14:textId="77777777" w:rsidR="004B2808" w:rsidRDefault="00000000">
      <w:pPr>
        <w:pStyle w:val="Author-eListParagraph"/>
        <w:numPr>
          <w:ilvl w:val="0"/>
          <w:numId w:val="871"/>
        </w:numPr>
      </w:pPr>
      <w:r>
        <w:rPr>
          <w:rStyle w:val="soitChar"/>
        </w:rPr>
        <w:t xml:space="preserve">Epaisseur  : ≥ </w:t>
      </w:r>
      <w:r>
        <w:rPr>
          <w:rStyle w:val="optioncarChar"/>
        </w:rPr>
        <w:t>18</w:t>
      </w:r>
      <w:r>
        <w:t xml:space="preserve"> (par défaut) </w:t>
      </w:r>
      <w:r>
        <w:rPr>
          <w:rStyle w:val="optioncarChar"/>
        </w:rPr>
        <w:t>/ ***</w:t>
      </w:r>
      <w:r>
        <w:rPr>
          <w:rStyle w:val="soitChar"/>
        </w:rPr>
        <w:t xml:space="preserve"> mm</w:t>
      </w:r>
    </w:p>
    <w:p w14:paraId="648D72CB" w14:textId="77777777" w:rsidR="004B2808" w:rsidRDefault="00000000">
      <w:pPr>
        <w:pStyle w:val="Author-eListParagraph"/>
        <w:numPr>
          <w:ilvl w:val="0"/>
          <w:numId w:val="871"/>
        </w:numPr>
      </w:pPr>
      <w:r>
        <w:rPr>
          <w:rStyle w:val="soitChar"/>
        </w:rPr>
        <w:t xml:space="preserve">Listel : </w:t>
      </w:r>
      <w:r>
        <w:rPr>
          <w:rStyle w:val="optioncarChar"/>
        </w:rPr>
        <w:t xml:space="preserve">22x22 </w:t>
      </w:r>
      <w:r>
        <w:t>(par défaut)</w:t>
      </w:r>
      <w:r>
        <w:rPr>
          <w:rStyle w:val="optioncarChar"/>
        </w:rPr>
        <w:t xml:space="preserve"> / 26x22 / ***</w:t>
      </w:r>
      <w:r>
        <w:rPr>
          <w:rStyle w:val="soitChar"/>
        </w:rPr>
        <w:t xml:space="preserve"> mm</w:t>
      </w:r>
    </w:p>
    <w:p w14:paraId="2179C29E" w14:textId="77777777" w:rsidR="004B2808" w:rsidRDefault="00000000">
      <w:pPr>
        <w:jc w:val="both"/>
      </w:pPr>
      <w:r>
        <w:rPr>
          <w:b/>
        </w:rPr>
        <w:t>(soit)</w:t>
      </w:r>
    </w:p>
    <w:p w14:paraId="572BFE50" w14:textId="77777777" w:rsidR="004B2808" w:rsidRDefault="00000000">
      <w:pPr>
        <w:jc w:val="both"/>
      </w:pPr>
      <w:r>
        <w:rPr>
          <w:rStyle w:val="soitChar"/>
          <w:u w:val="single"/>
        </w:rPr>
        <w:t>Bâti dormant :</w:t>
      </w:r>
    </w:p>
    <w:p w14:paraId="4DC837E0" w14:textId="77777777" w:rsidR="004B2808" w:rsidRDefault="00000000">
      <w:pPr>
        <w:pStyle w:val="Author-eListParagraph"/>
        <w:numPr>
          <w:ilvl w:val="0"/>
          <w:numId w:val="872"/>
        </w:numPr>
      </w:pPr>
      <w:r>
        <w:rPr>
          <w:rStyle w:val="soitChar"/>
        </w:rPr>
        <w:t xml:space="preserve">Matériau : </w:t>
      </w:r>
      <w:r>
        <w:rPr>
          <w:rStyle w:val="optioncarChar"/>
        </w:rPr>
        <w:t xml:space="preserve">bois dur </w:t>
      </w:r>
      <w:r>
        <w:t>(par défaut)</w:t>
      </w:r>
      <w:r>
        <w:rPr>
          <w:rStyle w:val="optioncarChar"/>
        </w:rPr>
        <w:t xml:space="preserve"> / lamellé / ***</w:t>
      </w:r>
    </w:p>
    <w:p w14:paraId="15146D09" w14:textId="77777777" w:rsidR="004B2808" w:rsidRDefault="00000000">
      <w:pPr>
        <w:pStyle w:val="Author-eListParagraph"/>
        <w:numPr>
          <w:ilvl w:val="0"/>
          <w:numId w:val="872"/>
        </w:numPr>
      </w:pPr>
      <w:r>
        <w:rPr>
          <w:rStyle w:val="soitChar"/>
        </w:rPr>
        <w:t xml:space="preserve">Dimensions : </w:t>
      </w:r>
      <w:r>
        <w:rPr>
          <w:rStyle w:val="optioncarChar"/>
        </w:rPr>
        <w:t>60x55 / 37x75</w:t>
      </w:r>
      <w:r>
        <w:t xml:space="preserve"> (par défaut) </w:t>
      </w:r>
      <w:r>
        <w:rPr>
          <w:rStyle w:val="optioncarChar"/>
        </w:rPr>
        <w:t>/ 90x38 / ***</w:t>
      </w:r>
      <w:r>
        <w:rPr>
          <w:rStyle w:val="soitChar"/>
        </w:rPr>
        <w:t xml:space="preserve"> mm</w:t>
      </w:r>
    </w:p>
    <w:p w14:paraId="4BA7B1E2" w14:textId="77777777" w:rsidR="004B2808" w:rsidRDefault="00000000">
      <w:pPr>
        <w:pStyle w:val="Author-eListParagraph"/>
        <w:numPr>
          <w:ilvl w:val="0"/>
          <w:numId w:val="872"/>
        </w:numPr>
      </w:pPr>
      <w:r>
        <w:rPr>
          <w:rStyle w:val="soitChar"/>
        </w:rPr>
        <w:t xml:space="preserve">Feuillure  : ≥ </w:t>
      </w:r>
      <w:r>
        <w:rPr>
          <w:rStyle w:val="optioncarChar"/>
        </w:rPr>
        <w:t xml:space="preserve">20 </w:t>
      </w:r>
      <w:r>
        <w:t>(par défaut)</w:t>
      </w:r>
      <w:r>
        <w:rPr>
          <w:rStyle w:val="optioncarChar"/>
        </w:rPr>
        <w:t xml:space="preserve"> / ***</w:t>
      </w:r>
      <w:r>
        <w:rPr>
          <w:rStyle w:val="soitChar"/>
        </w:rPr>
        <w:t xml:space="preserve"> mm</w:t>
      </w:r>
    </w:p>
    <w:p w14:paraId="7B600D1B" w14:textId="77777777" w:rsidR="004B2808" w:rsidRDefault="004B2808"/>
    <w:p w14:paraId="2EE3B521" w14:textId="77777777" w:rsidR="004B2808" w:rsidRDefault="00000000">
      <w:pPr>
        <w:jc w:val="both"/>
      </w:pPr>
      <w:r>
        <w:rPr>
          <w:b/>
        </w:rPr>
        <w:t>Imposte :</w:t>
      </w:r>
      <w:r>
        <w:rPr>
          <w:rStyle w:val="optioncarChar"/>
        </w:rPr>
        <w:t>non</w:t>
      </w:r>
      <w:r>
        <w:t xml:space="preserve"> (par défaut) </w:t>
      </w:r>
      <w:r>
        <w:rPr>
          <w:rStyle w:val="optioncarChar"/>
        </w:rPr>
        <w:t>/ oui</w:t>
      </w:r>
    </w:p>
    <w:p w14:paraId="70A87140" w14:textId="77777777" w:rsidR="004B2808" w:rsidRDefault="00000000">
      <w:pPr>
        <w:jc w:val="both"/>
      </w:pPr>
      <w:r>
        <w:rPr>
          <w:b/>
        </w:rPr>
        <w:t>(soit par défaut)</w:t>
      </w:r>
    </w:p>
    <w:p w14:paraId="090DA248" w14:textId="77777777" w:rsidR="004B2808" w:rsidRDefault="00000000">
      <w:pPr>
        <w:jc w:val="both"/>
      </w:pPr>
      <w:r>
        <w:rPr>
          <w:rStyle w:val="soitChar"/>
          <w:u w:val="single"/>
        </w:rPr>
        <w:lastRenderedPageBreak/>
        <w:t>Non :</w:t>
      </w:r>
      <w:r>
        <w:rPr>
          <w:rStyle w:val="soitChar"/>
        </w:rPr>
        <w:t xml:space="preserve"> pas d’imposte</w:t>
      </w:r>
    </w:p>
    <w:p w14:paraId="6B176BB6" w14:textId="77777777" w:rsidR="004B2808" w:rsidRDefault="00000000">
      <w:pPr>
        <w:jc w:val="both"/>
      </w:pPr>
      <w:r>
        <w:rPr>
          <w:b/>
        </w:rPr>
        <w:t>(soit)</w:t>
      </w:r>
    </w:p>
    <w:p w14:paraId="7C8C10DC" w14:textId="77777777" w:rsidR="004B2808" w:rsidRDefault="00000000">
      <w:pPr>
        <w:jc w:val="both"/>
      </w:pPr>
      <w:r>
        <w:rPr>
          <w:rStyle w:val="soitChar"/>
          <w:u w:val="single"/>
        </w:rPr>
        <w:t>Oui :</w:t>
      </w:r>
    </w:p>
    <w:p w14:paraId="246FCFEB" w14:textId="77777777" w:rsidR="004B2808" w:rsidRDefault="00000000">
      <w:pPr>
        <w:jc w:val="both"/>
      </w:pPr>
      <w:r>
        <w:rPr>
          <w:rStyle w:val="soitChar"/>
        </w:rPr>
        <w:t xml:space="preserve">Vitrage : </w:t>
      </w:r>
      <w:r>
        <w:rPr>
          <w:rStyle w:val="optioncarChar"/>
        </w:rPr>
        <w:t xml:space="preserve">transparent </w:t>
      </w:r>
      <w:r>
        <w:t xml:space="preserve">(par défaut) </w:t>
      </w:r>
      <w:r>
        <w:rPr>
          <w:rStyle w:val="optioncarChar"/>
        </w:rPr>
        <w:t>/ translucide / ***</w:t>
      </w:r>
    </w:p>
    <w:p w14:paraId="708837EB" w14:textId="77777777" w:rsidR="004B2808" w:rsidRDefault="00000000">
      <w:pPr>
        <w:jc w:val="both"/>
      </w:pPr>
      <w:r>
        <w:rPr>
          <w:b/>
        </w:rPr>
        <w:t>Caractéristiques de l’ensemble :</w:t>
      </w:r>
      <w:r>
        <w:t xml:space="preserve"> huisserie et vantail</w:t>
      </w:r>
    </w:p>
    <w:p w14:paraId="34D63280" w14:textId="77777777" w:rsidR="004B2808" w:rsidRDefault="00000000">
      <w:pPr>
        <w:jc w:val="both"/>
      </w:pPr>
      <w:r>
        <w:t xml:space="preserve">Porte : </w:t>
      </w:r>
      <w:r>
        <w:rPr>
          <w:rStyle w:val="optioncarChar"/>
        </w:rPr>
        <w:t>simple</w:t>
      </w:r>
      <w:r>
        <w:t xml:space="preserve"> (par défaut)</w:t>
      </w:r>
      <w:r>
        <w:rPr>
          <w:rStyle w:val="optioncarChar"/>
        </w:rPr>
        <w:t xml:space="preserve"> / double</w:t>
      </w:r>
    </w:p>
    <w:p w14:paraId="185C235B" w14:textId="77777777" w:rsidR="004B2808" w:rsidRDefault="00000000">
      <w:pPr>
        <w:jc w:val="both"/>
      </w:pPr>
      <w:r>
        <w:rPr>
          <w:b/>
        </w:rPr>
        <w:t>(soit par défaut)</w:t>
      </w:r>
    </w:p>
    <w:p w14:paraId="21C51F25" w14:textId="77777777" w:rsidR="004B2808" w:rsidRDefault="00000000">
      <w:pPr>
        <w:jc w:val="both"/>
      </w:pPr>
      <w:r>
        <w:rPr>
          <w:rStyle w:val="soitChar"/>
          <w:u w:val="single"/>
        </w:rPr>
        <w:t>Simple</w:t>
      </w:r>
    </w:p>
    <w:p w14:paraId="2248940D" w14:textId="77777777" w:rsidR="004B2808" w:rsidRDefault="00000000">
      <w:pPr>
        <w:jc w:val="both"/>
      </w:pPr>
      <w:r>
        <w:rPr>
          <w:b/>
        </w:rPr>
        <w:t>(soit)</w:t>
      </w:r>
    </w:p>
    <w:p w14:paraId="556486BF" w14:textId="77777777" w:rsidR="004B2808" w:rsidRDefault="00000000">
      <w:pPr>
        <w:jc w:val="both"/>
      </w:pPr>
      <w:r>
        <w:rPr>
          <w:rStyle w:val="soitChar"/>
          <w:u w:val="single"/>
        </w:rPr>
        <w:t>Double :</w:t>
      </w:r>
    </w:p>
    <w:p w14:paraId="0C9226EE" w14:textId="77777777" w:rsidR="004B2808" w:rsidRDefault="00000000">
      <w:pPr>
        <w:jc w:val="both"/>
      </w:pPr>
      <w:r>
        <w:rPr>
          <w:rStyle w:val="soitChar"/>
        </w:rPr>
        <w:t xml:space="preserve"> Raccord entre les battants : avec mauclair (par défaut) / à feuillure de recouvrement</w:t>
      </w:r>
    </w:p>
    <w:p w14:paraId="5DEC2E42" w14:textId="77777777" w:rsidR="004B2808" w:rsidRDefault="00000000">
      <w:pPr>
        <w:jc w:val="both"/>
      </w:pPr>
      <w:r>
        <w:t xml:space="preserve">Performances acoustiques [NBN EN ISO 717-1] Rw : </w:t>
      </w:r>
      <w:r>
        <w:rPr>
          <w:rStyle w:val="optioncarChar"/>
        </w:rPr>
        <w:t>20</w:t>
      </w:r>
      <w:r>
        <w:t xml:space="preserve"> (par défaut)</w:t>
      </w:r>
      <w:r>
        <w:rPr>
          <w:rStyle w:val="optioncarChar"/>
        </w:rPr>
        <w:t xml:space="preserve"> / 27 / ***</w:t>
      </w:r>
      <w:r>
        <w:t xml:space="preserve"> dB</w:t>
      </w:r>
    </w:p>
    <w:p w14:paraId="48B783DA" w14:textId="77777777" w:rsidR="004B2808" w:rsidRDefault="00000000">
      <w:pPr>
        <w:jc w:val="both"/>
      </w:pPr>
      <w:r>
        <w:t xml:space="preserve">Effort de manœuvre selon [NBN EN 12217] classe : </w:t>
      </w:r>
      <w:r>
        <w:rPr>
          <w:rStyle w:val="optioncarChar"/>
        </w:rPr>
        <w:t xml:space="preserve">1 / 2 </w:t>
      </w:r>
      <w:r>
        <w:t>(par défaut)</w:t>
      </w:r>
      <w:r>
        <w:rPr>
          <w:rStyle w:val="optioncarChar"/>
        </w:rPr>
        <w:t> / 3</w:t>
      </w:r>
    </w:p>
    <w:p w14:paraId="434A0EEC" w14:textId="77777777" w:rsidR="004B2808" w:rsidRDefault="00000000">
      <w:pPr>
        <w:jc w:val="both"/>
      </w:pPr>
      <w:r>
        <w:t xml:space="preserve">Endurance mécanique selon [NBN EN 12400] classe : </w:t>
      </w:r>
      <w:r>
        <w:rPr>
          <w:rStyle w:val="optioncarChar"/>
        </w:rPr>
        <w:t>1 /</w:t>
      </w:r>
      <w:r>
        <w:t> </w:t>
      </w:r>
      <w:r>
        <w:rPr>
          <w:rStyle w:val="optioncarChar"/>
        </w:rPr>
        <w:t xml:space="preserve">4 </w:t>
      </w:r>
      <w:r>
        <w:t>(par défaut)</w:t>
      </w:r>
      <w:r>
        <w:rPr>
          <w:rStyle w:val="optioncarChar"/>
        </w:rPr>
        <w:t xml:space="preserve"> / 5 </w:t>
      </w:r>
    </w:p>
    <w:p w14:paraId="0B2B4D94" w14:textId="77777777" w:rsidR="004B2808" w:rsidRDefault="00000000">
      <w:pPr>
        <w:jc w:val="both"/>
      </w:pPr>
      <w:r>
        <w:t xml:space="preserve">Classe de résistance mécanique aux chocs selon[NBN EN 1192] : </w:t>
      </w:r>
      <w:r>
        <w:rPr>
          <w:rStyle w:val="optioncarChar"/>
        </w:rPr>
        <w:t>3</w:t>
      </w:r>
      <w:r>
        <w:t xml:space="preserve"> (par défaut)</w:t>
      </w:r>
      <w:r>
        <w:rPr>
          <w:rStyle w:val="optioncarChar"/>
        </w:rPr>
        <w:t xml:space="preserve"> / 4</w:t>
      </w:r>
    </w:p>
    <w:p w14:paraId="174BD214" w14:textId="77777777" w:rsidR="004B2808" w:rsidRDefault="00000000">
      <w:pPr>
        <w:jc w:val="both"/>
      </w:pPr>
      <w:r>
        <w:t xml:space="preserve">Classe de résistance mécanique aux abus selon [NBN EN 1192] : </w:t>
      </w:r>
      <w:r>
        <w:rPr>
          <w:rStyle w:val="optioncarChar"/>
        </w:rPr>
        <w:t>1 / 2 / 3</w:t>
      </w:r>
      <w:r>
        <w:t xml:space="preserve"> (par défaut)</w:t>
      </w:r>
      <w:r>
        <w:rPr>
          <w:rStyle w:val="optioncarChar"/>
        </w:rPr>
        <w:t xml:space="preserve"> / 4</w:t>
      </w:r>
    </w:p>
    <w:p w14:paraId="52C6FC4A" w14:textId="77777777" w:rsidR="004B2808" w:rsidRDefault="00000000">
      <w:pPr>
        <w:jc w:val="both"/>
      </w:pPr>
      <w:r>
        <w:rPr>
          <w:b/>
        </w:rPr>
        <w:t>Quincaillerie</w:t>
      </w:r>
      <w:r>
        <w:t xml:space="preserve"> tel que décrit au </w:t>
      </w:r>
      <w:hyperlink w:anchor="1316" w:history="1">
        <w:r w:rsidR="004B2808">
          <w:rPr>
            <w:color w:val="0000EE"/>
          </w:rPr>
          <w:t>55.62 Quincaillerie complémentaire ou particulière</w:t>
        </w:r>
      </w:hyperlink>
      <w:r>
        <w:t xml:space="preserve"> : </w:t>
      </w:r>
      <w:r>
        <w:rPr>
          <w:rStyle w:val="optioncarChar"/>
        </w:rPr>
        <w:t xml:space="preserve">conforme à la documentation technique du produit </w:t>
      </w:r>
      <w:r>
        <w:t>(par défaut)</w:t>
      </w:r>
      <w:r>
        <w:rPr>
          <w:rStyle w:val="optioncarChar"/>
        </w:rPr>
        <w:t xml:space="preserve"> / ***</w:t>
      </w:r>
    </w:p>
    <w:p w14:paraId="36C99779" w14:textId="77777777" w:rsidR="004B2808" w:rsidRDefault="00000000">
      <w:pPr>
        <w:jc w:val="both"/>
      </w:pPr>
      <w:r>
        <w:t xml:space="preserve">Fonctionnement : </w:t>
      </w:r>
      <w:r>
        <w:rPr>
          <w:rStyle w:val="optioncarChar"/>
        </w:rPr>
        <w:t xml:space="preserve">battant </w:t>
      </w:r>
      <w:r>
        <w:t xml:space="preserve">(par défaut) </w:t>
      </w:r>
      <w:r>
        <w:rPr>
          <w:rStyle w:val="optioncarChar"/>
        </w:rPr>
        <w:t>/ va-et-vient</w:t>
      </w:r>
    </w:p>
    <w:p w14:paraId="6EC4C8B5" w14:textId="77777777" w:rsidR="004B2808" w:rsidRDefault="00000000">
      <w:pPr>
        <w:jc w:val="both"/>
      </w:pPr>
      <w:r>
        <w:t xml:space="preserve">Plinthe automatique : </w:t>
      </w:r>
      <w:r>
        <w:rPr>
          <w:rStyle w:val="optioncarChar"/>
        </w:rPr>
        <w:t xml:space="preserve">non </w:t>
      </w:r>
      <w:r>
        <w:t>(par défaut)</w:t>
      </w:r>
      <w:r>
        <w:rPr>
          <w:rStyle w:val="optioncarChar"/>
        </w:rPr>
        <w:t xml:space="preserve"> / oui</w:t>
      </w:r>
    </w:p>
    <w:p w14:paraId="0E54BA19" w14:textId="77777777" w:rsidR="004B2808" w:rsidRDefault="00000000">
      <w:pPr>
        <w:jc w:val="both"/>
      </w:pPr>
      <w:r>
        <w:rPr>
          <w:b/>
        </w:rPr>
        <w:t>Aspects environnementaux :</w:t>
      </w:r>
    </w:p>
    <w:p w14:paraId="63740BC0" w14:textId="77777777" w:rsidR="004B2808" w:rsidRDefault="00000000">
      <w:pPr>
        <w:jc w:val="both"/>
      </w:pPr>
      <w:r>
        <w:t xml:space="preserve">Bois issus de forêts gérées durablement suivant les prescriptions de l'élément 02.42.4 Bois provenant de forêts gérées durablement : </w:t>
      </w:r>
      <w:r>
        <w:rPr>
          <w:rStyle w:val="optioncarChar"/>
        </w:rPr>
        <w:t xml:space="preserve">oui </w:t>
      </w:r>
      <w:r>
        <w:t>(par défaut)</w:t>
      </w:r>
      <w:r>
        <w:rPr>
          <w:rStyle w:val="optioncarChar"/>
        </w:rPr>
        <w:t xml:space="preserve"> / non</w:t>
      </w:r>
    </w:p>
    <w:p w14:paraId="75F3A734" w14:textId="77777777" w:rsidR="004B2808" w:rsidRDefault="00000000">
      <w:pPr>
        <w:ind w:left="750"/>
      </w:pPr>
      <w:r>
        <w:t> </w:t>
      </w:r>
    </w:p>
    <w:p w14:paraId="1F6269A8" w14:textId="77777777" w:rsidR="004B2808" w:rsidRDefault="00000000">
      <w:pPr>
        <w:pStyle w:val="pheading"/>
      </w:pPr>
      <w:r>
        <w:t>- Finitions</w:t>
      </w:r>
    </w:p>
    <w:p w14:paraId="1D7C1DF0" w14:textId="77777777" w:rsidR="004B2808" w:rsidRDefault="00000000">
      <w:pPr>
        <w:jc w:val="both"/>
      </w:pPr>
      <w:r>
        <w:t xml:space="preserve">Finition du vantail : </w:t>
      </w:r>
      <w:r>
        <w:rPr>
          <w:rStyle w:val="optioncarChar"/>
        </w:rPr>
        <w:t>peinture / stratifié / placage vernis</w:t>
      </w:r>
    </w:p>
    <w:p w14:paraId="3D9533BD" w14:textId="77777777" w:rsidR="004B2808" w:rsidRDefault="00000000">
      <w:pPr>
        <w:jc w:val="both"/>
      </w:pPr>
      <w:r>
        <w:rPr>
          <w:b/>
        </w:rPr>
        <w:t>(soit)</w:t>
      </w:r>
    </w:p>
    <w:p w14:paraId="1FEEB24D" w14:textId="77777777" w:rsidR="004B2808" w:rsidRDefault="00000000">
      <w:pPr>
        <w:jc w:val="both"/>
      </w:pPr>
      <w:r>
        <w:rPr>
          <w:rStyle w:val="soitChar"/>
          <w:u w:val="single"/>
        </w:rPr>
        <w:t>Peinture</w:t>
      </w:r>
      <w:r>
        <w:rPr>
          <w:rStyle w:val="soitChar"/>
        </w:rPr>
        <w:t xml:space="preserve"> tel que décrit au 81.2 Peintures intérieures sur subjectiles en bois et dérivés du bois (feuillus, résineux, bois exotiques, panneaux)</w:t>
      </w:r>
    </w:p>
    <w:p w14:paraId="233B093E" w14:textId="77777777" w:rsidR="004B2808" w:rsidRDefault="00000000">
      <w:pPr>
        <w:jc w:val="both"/>
      </w:pPr>
      <w:r>
        <w:rPr>
          <w:b/>
        </w:rPr>
        <w:t>(soit)</w:t>
      </w:r>
    </w:p>
    <w:p w14:paraId="2ADE5E20" w14:textId="77777777" w:rsidR="004B2808" w:rsidRDefault="00000000">
      <w:pPr>
        <w:jc w:val="both"/>
      </w:pPr>
      <w:r>
        <w:rPr>
          <w:rStyle w:val="soitChar"/>
          <w:u w:val="single"/>
        </w:rPr>
        <w:t>Stratifié :</w:t>
      </w:r>
    </w:p>
    <w:p w14:paraId="2FCDB9DB" w14:textId="77777777" w:rsidR="004B2808" w:rsidRDefault="00000000">
      <w:pPr>
        <w:pStyle w:val="Author-eListParagraph"/>
        <w:numPr>
          <w:ilvl w:val="0"/>
          <w:numId w:val="873"/>
        </w:numPr>
      </w:pPr>
      <w:r>
        <w:rPr>
          <w:rStyle w:val="soitChar"/>
        </w:rPr>
        <w:t xml:space="preserve">Epaisseur  : ≥ </w:t>
      </w:r>
      <w:r>
        <w:rPr>
          <w:rStyle w:val="optioncarChar"/>
        </w:rPr>
        <w:t>3 </w:t>
      </w:r>
      <w:r>
        <w:t>(par défaut)</w:t>
      </w:r>
      <w:r>
        <w:rPr>
          <w:rStyle w:val="optioncarChar"/>
        </w:rPr>
        <w:t xml:space="preserve"> / ***</w:t>
      </w:r>
      <w:r>
        <w:rPr>
          <w:rStyle w:val="soitChar"/>
        </w:rPr>
        <w:t xml:space="preserve"> mm</w:t>
      </w:r>
    </w:p>
    <w:p w14:paraId="025FE44C" w14:textId="77777777" w:rsidR="004B2808" w:rsidRDefault="00000000">
      <w:pPr>
        <w:pStyle w:val="Author-eListParagraph"/>
        <w:numPr>
          <w:ilvl w:val="0"/>
          <w:numId w:val="873"/>
        </w:numPr>
      </w:pPr>
      <w:r>
        <w:rPr>
          <w:rStyle w:val="soitChar"/>
        </w:rPr>
        <w:t xml:space="preserve">Aspect : </w:t>
      </w:r>
      <w:r>
        <w:rPr>
          <w:rStyle w:val="optioncarChar"/>
        </w:rPr>
        <w:t>uni</w:t>
      </w:r>
      <w:r>
        <w:t xml:space="preserve"> (par défaut) </w:t>
      </w:r>
      <w:r>
        <w:rPr>
          <w:rStyle w:val="optioncarChar"/>
        </w:rPr>
        <w:t>/ structuré / bois / ***</w:t>
      </w:r>
    </w:p>
    <w:p w14:paraId="33C5F401" w14:textId="77777777" w:rsidR="004B2808" w:rsidRDefault="00000000">
      <w:pPr>
        <w:pStyle w:val="Author-eListParagraph"/>
        <w:numPr>
          <w:ilvl w:val="0"/>
          <w:numId w:val="873"/>
        </w:numPr>
      </w:pPr>
      <w:r>
        <w:rPr>
          <w:rStyle w:val="soitChar"/>
        </w:rPr>
        <w:t xml:space="preserve">Teinte : </w:t>
      </w:r>
      <w:r>
        <w:rPr>
          <w:rStyle w:val="optioncarChar"/>
        </w:rPr>
        <w:t xml:space="preserve">au choix de la direction de chantier dans la gamme du fabricant </w:t>
      </w:r>
      <w:r>
        <w:t>(par défaut)</w:t>
      </w:r>
      <w:r>
        <w:rPr>
          <w:rStyle w:val="optioncarChar"/>
        </w:rPr>
        <w:t xml:space="preserve"> / ***</w:t>
      </w:r>
    </w:p>
    <w:p w14:paraId="4C2E8D47" w14:textId="77777777" w:rsidR="004B2808" w:rsidRDefault="00000000">
      <w:pPr>
        <w:jc w:val="both"/>
      </w:pPr>
      <w:r>
        <w:rPr>
          <w:b/>
        </w:rPr>
        <w:t>(soit)</w:t>
      </w:r>
    </w:p>
    <w:p w14:paraId="30EEAF24" w14:textId="77777777" w:rsidR="004B2808" w:rsidRDefault="00000000">
      <w:pPr>
        <w:jc w:val="both"/>
      </w:pPr>
      <w:r>
        <w:rPr>
          <w:rStyle w:val="soitChar"/>
          <w:u w:val="single"/>
        </w:rPr>
        <w:t>Placage vernis :</w:t>
      </w:r>
    </w:p>
    <w:p w14:paraId="4FC1C375" w14:textId="77777777" w:rsidR="004B2808" w:rsidRDefault="00000000">
      <w:pPr>
        <w:pStyle w:val="Author-eListParagraph"/>
        <w:numPr>
          <w:ilvl w:val="0"/>
          <w:numId w:val="874"/>
        </w:numPr>
      </w:pPr>
      <w:r>
        <w:rPr>
          <w:rStyle w:val="soitChar"/>
        </w:rPr>
        <w:t xml:space="preserve">Epaisseur  : ≥ </w:t>
      </w:r>
      <w:r>
        <w:rPr>
          <w:rStyle w:val="optioncarChar"/>
        </w:rPr>
        <w:t>0,8 </w:t>
      </w:r>
      <w:r>
        <w:t>(par défaut)</w:t>
      </w:r>
      <w:r>
        <w:rPr>
          <w:rStyle w:val="optioncarChar"/>
        </w:rPr>
        <w:t xml:space="preserve"> / ***</w:t>
      </w:r>
      <w:r>
        <w:rPr>
          <w:rStyle w:val="soitChar"/>
        </w:rPr>
        <w:t xml:space="preserve"> mm</w:t>
      </w:r>
    </w:p>
    <w:p w14:paraId="57742F00" w14:textId="77777777" w:rsidR="004B2808" w:rsidRDefault="00000000">
      <w:pPr>
        <w:pStyle w:val="Author-eListParagraph"/>
        <w:numPr>
          <w:ilvl w:val="0"/>
          <w:numId w:val="874"/>
        </w:numPr>
      </w:pPr>
      <w:r>
        <w:rPr>
          <w:rStyle w:val="soitChar"/>
        </w:rPr>
        <w:t xml:space="preserve">Essence : </w:t>
      </w:r>
      <w:r>
        <w:rPr>
          <w:rStyle w:val="optioncarChar"/>
        </w:rPr>
        <w:t>hêtre</w:t>
      </w:r>
      <w:r>
        <w:t> (par défaut)</w:t>
      </w:r>
      <w:r>
        <w:rPr>
          <w:rStyle w:val="optioncarChar"/>
        </w:rPr>
        <w:t xml:space="preserve"> / chêne / ***</w:t>
      </w:r>
    </w:p>
    <w:p w14:paraId="1F3C087D" w14:textId="77777777" w:rsidR="004B2808" w:rsidRDefault="00000000">
      <w:pPr>
        <w:pStyle w:val="Author-eListParagraph"/>
        <w:numPr>
          <w:ilvl w:val="0"/>
          <w:numId w:val="874"/>
        </w:numPr>
      </w:pPr>
      <w:r>
        <w:rPr>
          <w:rStyle w:val="soitChar"/>
        </w:rPr>
        <w:t xml:space="preserve">Vernis : </w:t>
      </w:r>
      <w:r>
        <w:rPr>
          <w:rStyle w:val="optioncarChar"/>
        </w:rPr>
        <w:t xml:space="preserve">mat </w:t>
      </w:r>
      <w:r>
        <w:t xml:space="preserve">(par défaut) </w:t>
      </w:r>
      <w:r>
        <w:rPr>
          <w:rStyle w:val="optioncarChar"/>
        </w:rPr>
        <w:t>/ satiné / ***</w:t>
      </w:r>
      <w:r>
        <w:br/>
      </w:r>
    </w:p>
    <w:p w14:paraId="5D1E760E" w14:textId="77777777" w:rsidR="004B2808" w:rsidRDefault="00000000">
      <w:pPr>
        <w:jc w:val="both"/>
      </w:pPr>
      <w:r>
        <w:t xml:space="preserve">Finition de l’huisserie : </w:t>
      </w:r>
      <w:r>
        <w:rPr>
          <w:rStyle w:val="optioncarChar"/>
        </w:rPr>
        <w:t>peinture / vernis</w:t>
      </w:r>
    </w:p>
    <w:p w14:paraId="74A3DE56" w14:textId="77777777" w:rsidR="004B2808" w:rsidRDefault="00000000">
      <w:pPr>
        <w:jc w:val="both"/>
      </w:pPr>
      <w:r>
        <w:rPr>
          <w:b/>
        </w:rPr>
        <w:t>(soit)</w:t>
      </w:r>
    </w:p>
    <w:p w14:paraId="4D956E9F" w14:textId="77777777" w:rsidR="004B2808" w:rsidRDefault="00000000">
      <w:pPr>
        <w:jc w:val="both"/>
      </w:pPr>
      <w:r>
        <w:rPr>
          <w:rStyle w:val="soitChar"/>
          <w:u w:val="single"/>
        </w:rPr>
        <w:lastRenderedPageBreak/>
        <w:t>Peinture</w:t>
      </w:r>
      <w:r>
        <w:rPr>
          <w:rStyle w:val="soitChar"/>
        </w:rPr>
        <w:t xml:space="preserve"> tel que décrit au 81.2 Peintures intérieures sur subjectiles en bois et dérivés du bois (feuillus, résineux, bois exotiques, panneaux)</w:t>
      </w:r>
    </w:p>
    <w:p w14:paraId="78C19A75" w14:textId="77777777" w:rsidR="004B2808" w:rsidRDefault="00000000">
      <w:pPr>
        <w:jc w:val="both"/>
      </w:pPr>
      <w:r>
        <w:rPr>
          <w:b/>
        </w:rPr>
        <w:t>(soit)</w:t>
      </w:r>
    </w:p>
    <w:p w14:paraId="364F6C65" w14:textId="77777777" w:rsidR="004B2808" w:rsidRDefault="00000000">
      <w:pPr>
        <w:jc w:val="both"/>
      </w:pPr>
      <w:r>
        <w:rPr>
          <w:rStyle w:val="soitChar"/>
          <w:u w:val="single"/>
        </w:rPr>
        <w:t>Vernis :</w:t>
      </w:r>
      <w:r>
        <w:t>  </w:t>
      </w:r>
      <w:r>
        <w:rPr>
          <w:rStyle w:val="optioncarChar"/>
        </w:rPr>
        <w:t>mat</w:t>
      </w:r>
      <w:r>
        <w:t xml:space="preserve"> (par défaut)</w:t>
      </w:r>
      <w:r>
        <w:rPr>
          <w:rStyle w:val="optioncarChar"/>
        </w:rPr>
        <w:t xml:space="preserve"> / satiné / ***</w:t>
      </w:r>
    </w:p>
    <w:p w14:paraId="1FFE3C21" w14:textId="77777777" w:rsidR="004B2808" w:rsidRDefault="00000000">
      <w:pPr>
        <w:pStyle w:val="pheading"/>
      </w:pPr>
      <w:r>
        <w:t>DOCUMENTS DE RÉFÉRENCE COMPLÉMENTAIRES</w:t>
      </w:r>
    </w:p>
    <w:p w14:paraId="775584DE" w14:textId="77777777" w:rsidR="004B2808" w:rsidRDefault="00000000">
      <w:pPr>
        <w:pStyle w:val="pheading"/>
      </w:pPr>
      <w:r>
        <w:t>- Matériau</w:t>
      </w:r>
    </w:p>
    <w:p w14:paraId="26D73269" w14:textId="77777777" w:rsidR="004B2808" w:rsidRDefault="00000000">
      <w:r>
        <w:t>[NBN S 01-400-1, Critères acoustiques pour les immeubles d'habitation]</w:t>
      </w:r>
    </w:p>
    <w:p w14:paraId="28B5A011" w14:textId="77777777" w:rsidR="004B2808" w:rsidRDefault="00000000">
      <w:pPr>
        <w:pStyle w:val="pheading"/>
      </w:pPr>
      <w:r>
        <w:t>MESURAGE</w:t>
      </w:r>
    </w:p>
    <w:p w14:paraId="5ACA6F4F" w14:textId="77777777" w:rsidR="004B2808" w:rsidRDefault="00000000">
      <w:pPr>
        <w:pStyle w:val="pheading"/>
      </w:pPr>
      <w:r>
        <w:t>- unité de mesure:</w:t>
      </w:r>
    </w:p>
    <w:p w14:paraId="231D2050" w14:textId="77777777" w:rsidR="004B2808" w:rsidRDefault="00000000">
      <w:r>
        <w:t>pc</w:t>
      </w:r>
    </w:p>
    <w:p w14:paraId="2F6D6525" w14:textId="77777777" w:rsidR="004B2808" w:rsidRDefault="00000000">
      <w:pPr>
        <w:pStyle w:val="pheading"/>
      </w:pPr>
      <w:r>
        <w:t>- code de mesurage:</w:t>
      </w:r>
    </w:p>
    <w:p w14:paraId="12CE0C3E" w14:textId="77777777" w:rsidR="004B2808" w:rsidRDefault="00000000">
      <w:pPr>
        <w:jc w:val="both"/>
      </w:pPr>
      <w:r>
        <w:t>Quantité nette, distinction faite du type et des dimensions des portes.</w:t>
      </w:r>
    </w:p>
    <w:p w14:paraId="05B86B29" w14:textId="77777777" w:rsidR="004B2808" w:rsidRDefault="00000000">
      <w:pPr>
        <w:pStyle w:val="pheading"/>
      </w:pPr>
      <w:r>
        <w:t>- nature du marché:</w:t>
      </w:r>
    </w:p>
    <w:p w14:paraId="0EF3C60F" w14:textId="77777777" w:rsidR="004B2808" w:rsidRDefault="00000000">
      <w:r>
        <w:t>QF</w:t>
      </w:r>
    </w:p>
    <w:p w14:paraId="3901EFD6" w14:textId="77777777" w:rsidR="004B2808" w:rsidRDefault="00000000">
      <w:pPr>
        <w:pStyle w:val="Author-eSectionHeading5Numberless"/>
      </w:pPr>
      <w:bookmarkStart w:id="1059" w:name="_Toc220491186"/>
      <w:r>
        <w:t>55.21.2 Portes intérieures à âmes pleines CCTB 01.12</w:t>
      </w:r>
      <w:bookmarkEnd w:id="1059"/>
    </w:p>
    <w:p w14:paraId="1A5ABC09" w14:textId="77777777" w:rsidR="004B2808" w:rsidRDefault="00000000">
      <w:pPr>
        <w:pStyle w:val="pheading"/>
      </w:pPr>
      <w:r>
        <w:t>DOCUMENTS DE RÉFÉRENCE</w:t>
      </w:r>
    </w:p>
    <w:p w14:paraId="25EC7033" w14:textId="77777777" w:rsidR="004B2808" w:rsidRDefault="00000000">
      <w:pPr>
        <w:pStyle w:val="pheading"/>
      </w:pPr>
      <w:r>
        <w:t>- Matériau</w:t>
      </w:r>
    </w:p>
    <w:p w14:paraId="7A992094" w14:textId="77777777" w:rsidR="004B2808" w:rsidRDefault="00000000">
      <w:r>
        <w:t>[NIT 234, Le placement des portes résistant au feu (remplace la NIT 185).]</w:t>
      </w:r>
    </w:p>
    <w:p w14:paraId="5F83B59D" w14:textId="77777777" w:rsidR="004B2808" w:rsidRDefault="00000000">
      <w:r>
        <w:t>[AR 1994-07-07, Arrêté royal fixant les normes de base en matière de prévention contre l'incendie et l'explosion, auxquelles les bâtiments nouveaux doivent satisfaire]</w:t>
      </w:r>
    </w:p>
    <w:p w14:paraId="5ADB3EF2" w14:textId="77777777" w:rsidR="004B2808" w:rsidRDefault="00000000">
      <w:r>
        <w:t>[NBN B 25-002-6, Menuiseries. Partie 6 : Prescription des performances pour les portes intérieures pour piétons]</w:t>
      </w:r>
    </w:p>
    <w:p w14:paraId="280AADDF" w14:textId="77777777" w:rsidR="004B2808" w:rsidRDefault="00000000">
      <w:r>
        <w:t>[NBN B 25-002-7, Menuiseries. Partie 7 : Prescription des performances des portes coupe-feu pour piétons]</w:t>
      </w:r>
    </w:p>
    <w:p w14:paraId="3CBD0354" w14:textId="77777777" w:rsidR="004B2808" w:rsidRDefault="00000000">
      <w:r>
        <w:t>[NBN S 01-400-1, Critères acoustiques pour les immeubles d'habitation]</w:t>
      </w:r>
    </w:p>
    <w:p w14:paraId="3A3573A6" w14:textId="77777777" w:rsidR="004B2808" w:rsidRDefault="00000000">
      <w:r>
        <w:t>[NBN S 23-002, Vitrerie]</w:t>
      </w:r>
    </w:p>
    <w:p w14:paraId="2FA281BF" w14:textId="77777777" w:rsidR="004B2808" w:rsidRDefault="00000000">
      <w:r>
        <w:t>[NBN EN 1192, Portes - Classification des exigences de résistance mécanique]</w:t>
      </w:r>
    </w:p>
    <w:p w14:paraId="08583915" w14:textId="77777777" w:rsidR="004B2808" w:rsidRDefault="00000000">
      <w:r>
        <w:t>[NBN EN 1530, Vantaux de portes - Planéité générale et planéité locale - Classes de tolérances]</w:t>
      </w:r>
    </w:p>
    <w:p w14:paraId="3B92930D" w14:textId="77777777" w:rsidR="004B2808" w:rsidRDefault="00000000">
      <w:r>
        <w:t>[NBN EN 1627, Blocs-portes pour piétons, fenêtres, façades rideaux, grilles et fermetures - Résistance à l'effraction - Prescriptions et classification]</w:t>
      </w:r>
    </w:p>
    <w:p w14:paraId="01202AF3" w14:textId="77777777" w:rsidR="004B280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4A1C5BDB" w14:textId="77777777" w:rsidR="004B2808" w:rsidRDefault="00000000">
      <w:r>
        <w:t>[NBN EN 12207, Fenêtres et portes - Perméabilité à l'air - Classification]</w:t>
      </w:r>
    </w:p>
    <w:p w14:paraId="3CFCC783" w14:textId="77777777" w:rsidR="004B2808" w:rsidRDefault="00000000">
      <w:r>
        <w:t>[NBN EN 12217, Portes - Forces de manœuvre - Prescriptions et classification]</w:t>
      </w:r>
    </w:p>
    <w:p w14:paraId="487EC18F" w14:textId="77777777" w:rsidR="004B2808" w:rsidRDefault="00000000">
      <w:r>
        <w:t>[NBN EN 12400, Fenêtres et portes - Durabilité mécanique - Prescriptions et classification]</w:t>
      </w:r>
    </w:p>
    <w:p w14:paraId="41D4640A" w14:textId="77777777" w:rsidR="004B2808" w:rsidRDefault="00000000">
      <w:r>
        <w:t>[NBN EN ISO 717-1, Acoustique - Évaluation de l'isolement acoustique des immeubles et des éléments de construction - Partie 1: Isolement aux bruits aériens (ISO 717-1:2020)]</w:t>
      </w:r>
    </w:p>
    <w:p w14:paraId="0C0EAC5A" w14:textId="77777777" w:rsidR="004B2808" w:rsidRDefault="00000000">
      <w:pPr>
        <w:pStyle w:val="pheading"/>
      </w:pPr>
      <w:r>
        <w:t>- Exécution</w:t>
      </w:r>
    </w:p>
    <w:p w14:paraId="29F6AE92" w14:textId="77777777" w:rsidR="004B2808" w:rsidRDefault="00000000">
      <w:r>
        <w:t>[NIT 234, Le placement des portes résistant au feu (remplace la NIT 185).]</w:t>
      </w:r>
    </w:p>
    <w:p w14:paraId="7793E184" w14:textId="77777777" w:rsidR="004B2808" w:rsidRDefault="00000000">
      <w:pPr>
        <w:pStyle w:val="Author-eSectionHeading6Numberless"/>
      </w:pPr>
      <w:bookmarkStart w:id="1060" w:name="_Toc220491187"/>
      <w:r>
        <w:lastRenderedPageBreak/>
        <w:t>55.21.2a Portes intérieures à âmes pleines CCTB 01.12</w:t>
      </w:r>
      <w:bookmarkEnd w:id="1060"/>
    </w:p>
    <w:p w14:paraId="7F3F73EB" w14:textId="77777777" w:rsidR="004B2808" w:rsidRDefault="00000000">
      <w:pPr>
        <w:pStyle w:val="pheading"/>
      </w:pPr>
      <w:r>
        <w:t>DESCRIPTION</w:t>
      </w:r>
    </w:p>
    <w:p w14:paraId="404EFF06" w14:textId="77777777" w:rsidR="004B2808" w:rsidRDefault="00000000">
      <w:pPr>
        <w:pStyle w:val="pheading"/>
      </w:pPr>
      <w:r>
        <w:t>- Définition / Comprend</w:t>
      </w:r>
    </w:p>
    <w:p w14:paraId="319A5E60" w14:textId="77777777" w:rsidR="004B2808" w:rsidRDefault="00000000">
      <w:pPr>
        <w:jc w:val="both"/>
      </w:pPr>
      <w:r>
        <w:t>Il s’agit de la fourniture et la pose de portes intérieures à âme pleine.</w:t>
      </w:r>
    </w:p>
    <w:p w14:paraId="0A235083" w14:textId="77777777" w:rsidR="004B2808" w:rsidRDefault="00000000">
      <w:pPr>
        <w:jc w:val="both"/>
      </w:pPr>
      <w:r>
        <w:t xml:space="preserve">Voir </w:t>
      </w:r>
      <w:hyperlink w:anchor="1318" w:history="1">
        <w:r w:rsidR="004B2808">
          <w:rPr>
            <w:color w:val="0000EE"/>
          </w:rPr>
          <w:t>55.21 Portes intérieures en bois</w:t>
        </w:r>
      </w:hyperlink>
    </w:p>
    <w:p w14:paraId="07D45795" w14:textId="77777777" w:rsidR="004B2808" w:rsidRDefault="00000000">
      <w:pPr>
        <w:pStyle w:val="pheading"/>
      </w:pPr>
      <w:r>
        <w:t>MATÉRIAUX</w:t>
      </w:r>
    </w:p>
    <w:p w14:paraId="7830A620" w14:textId="77777777" w:rsidR="004B2808" w:rsidRDefault="00000000">
      <w:pPr>
        <w:pStyle w:val="pheading"/>
      </w:pPr>
      <w:r>
        <w:t>- Caractéristiques générales</w:t>
      </w:r>
    </w:p>
    <w:p w14:paraId="7D61FFE6" w14:textId="77777777" w:rsidR="004B2808" w:rsidRDefault="00000000">
      <w:pPr>
        <w:jc w:val="both"/>
      </w:pPr>
      <w:r>
        <w:t xml:space="preserve">Huisserie et vantaux de porte à âme pleine suivant </w:t>
      </w:r>
      <w:hyperlink w:anchor="1318" w:history="1">
        <w:r w:rsidR="004B2808">
          <w:rPr>
            <w:color w:val="0000EE"/>
          </w:rPr>
          <w:t>55.21 Portes intérieures en bois</w:t>
        </w:r>
      </w:hyperlink>
    </w:p>
    <w:p w14:paraId="33A31883" w14:textId="77777777" w:rsidR="004B2808" w:rsidRDefault="00000000">
      <w:pPr>
        <w:jc w:val="both"/>
      </w:pPr>
      <w:r>
        <w:rPr>
          <w:b/>
        </w:rPr>
        <w:t>Vantaux de portes :</w:t>
      </w:r>
      <w:r>
        <w:t xml:space="preserve"> cadre avec remplissage panneau de particules et finition en panneau de fibres de bois.</w:t>
      </w:r>
    </w:p>
    <w:p w14:paraId="12F01A1B" w14:textId="77777777" w:rsidR="004B2808" w:rsidRDefault="00000000">
      <w:pPr>
        <w:pStyle w:val="Author-eListParagraph"/>
        <w:numPr>
          <w:ilvl w:val="0"/>
          <w:numId w:val="875"/>
        </w:numPr>
      </w:pPr>
      <w:r>
        <w:t xml:space="preserve">Cadre : bois résineux ou dur densité ≥ : </w:t>
      </w:r>
      <w:r>
        <w:rPr>
          <w:rStyle w:val="optioncarChar"/>
        </w:rPr>
        <w:t>430 / 460</w:t>
      </w:r>
      <w:r>
        <w:t xml:space="preserve"> (par défaut) </w:t>
      </w:r>
      <w:r>
        <w:rPr>
          <w:rStyle w:val="optioncarChar"/>
        </w:rPr>
        <w:t>/ ***</w:t>
      </w:r>
      <w:r>
        <w:t xml:space="preserve"> kg/m³</w:t>
      </w:r>
    </w:p>
    <w:p w14:paraId="20264059" w14:textId="77777777" w:rsidR="004B2808" w:rsidRDefault="00000000">
      <w:pPr>
        <w:pStyle w:val="Author-eListParagraph"/>
        <w:numPr>
          <w:ilvl w:val="0"/>
          <w:numId w:val="875"/>
        </w:numPr>
      </w:pPr>
      <w:r>
        <w:t xml:space="preserve">Panneau de porte : </w:t>
      </w:r>
      <w:r>
        <w:rPr>
          <w:rStyle w:val="optioncarChar"/>
        </w:rPr>
        <w:t>aggloméré</w:t>
      </w:r>
      <w:r>
        <w:t xml:space="preserve"> (par défaut)</w:t>
      </w:r>
      <w:r>
        <w:rPr>
          <w:rStyle w:val="optioncarChar"/>
        </w:rPr>
        <w:t xml:space="preserve"> / aggloméré anas de lin / fibres de bois</w:t>
      </w:r>
    </w:p>
    <w:p w14:paraId="767F5532" w14:textId="77777777" w:rsidR="004B2808" w:rsidRDefault="00000000">
      <w:pPr>
        <w:jc w:val="both"/>
      </w:pPr>
      <w:r>
        <w:rPr>
          <w:b/>
        </w:rPr>
        <w:t>(soit par défaut)</w:t>
      </w:r>
    </w:p>
    <w:p w14:paraId="0DF44838" w14:textId="77777777" w:rsidR="004B2808" w:rsidRDefault="00000000">
      <w:pPr>
        <w:jc w:val="both"/>
      </w:pPr>
      <w:r>
        <w:rPr>
          <w:rStyle w:val="soitChar"/>
          <w:u w:val="single"/>
        </w:rPr>
        <w:t xml:space="preserve">Aggloméré : </w:t>
      </w:r>
      <w:r>
        <w:rPr>
          <w:color w:val="33CCCC"/>
        </w:rPr>
        <w:t xml:space="preserve"> densité : ≥ </w:t>
      </w:r>
      <w:r>
        <w:rPr>
          <w:rStyle w:val="optioncarChar"/>
        </w:rPr>
        <w:t>430 / 465 / ***</w:t>
      </w:r>
      <w:r>
        <w:rPr>
          <w:color w:val="33CCCC"/>
        </w:rPr>
        <w:t xml:space="preserve"> kg/m³</w:t>
      </w:r>
    </w:p>
    <w:p w14:paraId="6F8332EE" w14:textId="77777777" w:rsidR="004B2808" w:rsidRDefault="00000000">
      <w:pPr>
        <w:jc w:val="both"/>
      </w:pPr>
      <w:r>
        <w:rPr>
          <w:b/>
        </w:rPr>
        <w:t>(soit)</w:t>
      </w:r>
    </w:p>
    <w:p w14:paraId="1745C335" w14:textId="77777777" w:rsidR="004B2808" w:rsidRDefault="00000000">
      <w:pPr>
        <w:jc w:val="both"/>
      </w:pPr>
      <w:r>
        <w:rPr>
          <w:rStyle w:val="soitChar"/>
          <w:u w:val="single"/>
        </w:rPr>
        <w:t>Aggloméré anas de lin densité  :</w:t>
      </w:r>
      <w:r>
        <w:rPr>
          <w:color w:val="33CCCC"/>
        </w:rPr>
        <w:t xml:space="preserve"> ≥ </w:t>
      </w:r>
      <w:r>
        <w:rPr>
          <w:rStyle w:val="optioncarChar"/>
        </w:rPr>
        <w:t>365 / 440 / ***</w:t>
      </w:r>
      <w:r>
        <w:rPr>
          <w:color w:val="33CCCC"/>
        </w:rPr>
        <w:t xml:space="preserve"> kg/m³</w:t>
      </w:r>
    </w:p>
    <w:p w14:paraId="6A5E8DB6" w14:textId="77777777" w:rsidR="004B2808" w:rsidRDefault="00000000">
      <w:pPr>
        <w:jc w:val="both"/>
      </w:pPr>
      <w:r>
        <w:rPr>
          <w:b/>
        </w:rPr>
        <w:t>(soit)</w:t>
      </w:r>
    </w:p>
    <w:p w14:paraId="486F6791" w14:textId="77777777" w:rsidR="004B2808" w:rsidRDefault="00000000">
      <w:pPr>
        <w:jc w:val="both"/>
      </w:pPr>
      <w:r>
        <w:rPr>
          <w:rStyle w:val="soitChar"/>
          <w:u w:val="single"/>
        </w:rPr>
        <w:t>Fibres de bois :</w:t>
      </w:r>
      <w:r>
        <w:rPr>
          <w:rStyle w:val="optioncarChar"/>
        </w:rPr>
        <w:t>hardboard densité ≥ 900 kg/m³ / mdf densité ≥ 750 kg/m³</w:t>
      </w:r>
    </w:p>
    <w:p w14:paraId="74E50774" w14:textId="77777777" w:rsidR="004B2808" w:rsidRDefault="00000000">
      <w:pPr>
        <w:pStyle w:val="Author-eListParagraph"/>
        <w:numPr>
          <w:ilvl w:val="0"/>
          <w:numId w:val="876"/>
        </w:numPr>
      </w:pPr>
      <w:r>
        <w:t xml:space="preserve">Finition au moyen d’un panneau de fibres de bois, épaisseur 3 à 5mm, densité ≥ : </w:t>
      </w:r>
      <w:r>
        <w:rPr>
          <w:rStyle w:val="optioncarChar"/>
        </w:rPr>
        <w:t xml:space="preserve">870 </w:t>
      </w:r>
      <w:r>
        <w:t>(par défaut)</w:t>
      </w:r>
      <w:r>
        <w:rPr>
          <w:rStyle w:val="optioncarChar"/>
        </w:rPr>
        <w:t xml:space="preserve"> / ***</w:t>
      </w:r>
      <w:r>
        <w:t xml:space="preserve"> kg/m³</w:t>
      </w:r>
    </w:p>
    <w:p w14:paraId="115BEEEB" w14:textId="77777777" w:rsidR="004B2808" w:rsidRDefault="00000000">
      <w:pPr>
        <w:pStyle w:val="Author-eListParagraph"/>
        <w:numPr>
          <w:ilvl w:val="0"/>
          <w:numId w:val="876"/>
        </w:numPr>
      </w:pPr>
      <w:r>
        <w:t>En cas de portes EI : produit intumescent : type et dimensions suivant rapports d’essai feu.</w:t>
      </w:r>
    </w:p>
    <w:p w14:paraId="0EE977EE" w14:textId="77777777" w:rsidR="004B2808" w:rsidRDefault="00000000">
      <w:r>
        <w:t>Caractéristiques des vantaux de porte :</w:t>
      </w:r>
    </w:p>
    <w:p w14:paraId="2DAA8EAC" w14:textId="77777777" w:rsidR="004B2808" w:rsidRDefault="00000000">
      <w:pPr>
        <w:pStyle w:val="Author-eListParagraph"/>
        <w:numPr>
          <w:ilvl w:val="0"/>
          <w:numId w:val="877"/>
        </w:numPr>
      </w:pPr>
      <w:r>
        <w:t xml:space="preserve">Hauteur : </w:t>
      </w:r>
      <w:r>
        <w:rPr>
          <w:rStyle w:val="optioncarChar"/>
        </w:rPr>
        <w:t xml:space="preserve">211,5 </w:t>
      </w:r>
      <w:r>
        <w:t>(par défaut)</w:t>
      </w:r>
      <w:r>
        <w:rPr>
          <w:rStyle w:val="optioncarChar"/>
        </w:rPr>
        <w:t xml:space="preserve"> / 201,5 / ***</w:t>
      </w:r>
      <w:r>
        <w:t xml:space="preserve"> cm</w:t>
      </w:r>
    </w:p>
    <w:p w14:paraId="03303295" w14:textId="77777777" w:rsidR="004B2808" w:rsidRDefault="00000000">
      <w:pPr>
        <w:pStyle w:val="Author-eListParagraph"/>
        <w:numPr>
          <w:ilvl w:val="0"/>
          <w:numId w:val="877"/>
        </w:numPr>
      </w:pPr>
      <w:r>
        <w:t xml:space="preserve">Largeur : </w:t>
      </w:r>
      <w:r>
        <w:rPr>
          <w:rStyle w:val="optioncarChar"/>
        </w:rPr>
        <w:t xml:space="preserve">suivant plans </w:t>
      </w:r>
      <w:r>
        <w:t>(par défaut)</w:t>
      </w:r>
      <w:r>
        <w:rPr>
          <w:rStyle w:val="optioncarChar"/>
        </w:rPr>
        <w:t xml:space="preserve"> / ***</w:t>
      </w:r>
      <w:r>
        <w:t xml:space="preserve"> cm</w:t>
      </w:r>
    </w:p>
    <w:p w14:paraId="6B11264A" w14:textId="77777777" w:rsidR="004B2808" w:rsidRDefault="00000000">
      <w:pPr>
        <w:pStyle w:val="Author-eListParagraph"/>
        <w:numPr>
          <w:ilvl w:val="0"/>
          <w:numId w:val="877"/>
        </w:numPr>
      </w:pPr>
      <w:r>
        <w:t xml:space="preserve">Détalonnage pour ventilation : </w:t>
      </w:r>
      <w:r>
        <w:rPr>
          <w:rStyle w:val="optioncarChar"/>
        </w:rPr>
        <w:t xml:space="preserve">non </w:t>
      </w:r>
      <w:r>
        <w:t>(par défaut) /</w:t>
      </w:r>
      <w:r>
        <w:rPr>
          <w:rStyle w:val="optioncarChar"/>
        </w:rPr>
        <w:t xml:space="preserve"> oui</w:t>
      </w:r>
    </w:p>
    <w:p w14:paraId="0BF6CC84" w14:textId="77777777" w:rsidR="004B2808" w:rsidRDefault="00000000">
      <w:pPr>
        <w:pStyle w:val="Author-eListParagraph"/>
        <w:numPr>
          <w:ilvl w:val="0"/>
          <w:numId w:val="877"/>
        </w:numPr>
      </w:pPr>
      <w:r>
        <w:t xml:space="preserve">Epaisseur  : ≥ </w:t>
      </w:r>
      <w:r>
        <w:rPr>
          <w:rStyle w:val="optioncarChar"/>
        </w:rPr>
        <w:t>50</w:t>
      </w:r>
      <w:r>
        <w:t xml:space="preserve"> (par défaut) </w:t>
      </w:r>
      <w:r>
        <w:rPr>
          <w:rStyle w:val="optioncarChar"/>
        </w:rPr>
        <w:t>/ 40 / 60 / ***</w:t>
      </w:r>
      <w:r>
        <w:t xml:space="preserve"> mm</w:t>
      </w:r>
    </w:p>
    <w:p w14:paraId="16109017" w14:textId="77777777" w:rsidR="004B2808" w:rsidRDefault="00000000">
      <w:pPr>
        <w:pStyle w:val="Author-eListParagraph"/>
        <w:numPr>
          <w:ilvl w:val="0"/>
          <w:numId w:val="877"/>
        </w:numPr>
      </w:pPr>
      <w:r>
        <w:t xml:space="preserve">Dimensions - classe de tolérance [NBN EN 1530] : </w:t>
      </w:r>
      <w:r>
        <w:rPr>
          <w:rStyle w:val="optioncarChar"/>
        </w:rPr>
        <w:t xml:space="preserve">D2 </w:t>
      </w:r>
      <w:r>
        <w:t>(par défaut)</w:t>
      </w:r>
      <w:r>
        <w:rPr>
          <w:rStyle w:val="optioncarChar"/>
        </w:rPr>
        <w:t xml:space="preserve"> / D1 / D3</w:t>
      </w:r>
    </w:p>
    <w:p w14:paraId="1474754F" w14:textId="77777777" w:rsidR="004B2808" w:rsidRDefault="00000000">
      <w:pPr>
        <w:pStyle w:val="Author-eListParagraph"/>
        <w:numPr>
          <w:ilvl w:val="0"/>
          <w:numId w:val="877"/>
        </w:numPr>
      </w:pPr>
      <w:r>
        <w:t xml:space="preserve">Planéité générale et locale– classe de tolérance [NBN EN 1192] : </w:t>
      </w:r>
      <w:r>
        <w:rPr>
          <w:rStyle w:val="optioncarChar"/>
        </w:rPr>
        <w:t xml:space="preserve">1 / 2 </w:t>
      </w:r>
      <w:r>
        <w:t>(par défaut)</w:t>
      </w:r>
      <w:r>
        <w:rPr>
          <w:rStyle w:val="optioncarChar"/>
        </w:rPr>
        <w:t xml:space="preserve"> / 3 / 4</w:t>
      </w:r>
    </w:p>
    <w:p w14:paraId="52C51EF5" w14:textId="77777777" w:rsidR="004B2808" w:rsidRDefault="00000000">
      <w:pPr>
        <w:pStyle w:val="Author-eListParagraph"/>
        <w:numPr>
          <w:ilvl w:val="0"/>
          <w:numId w:val="877"/>
        </w:numPr>
      </w:pPr>
      <w:r>
        <w:t xml:space="preserve">Fréquence d’utilisation selon [NBN EN 12400] classe : </w:t>
      </w:r>
      <w:r>
        <w:rPr>
          <w:rStyle w:val="optioncarChar"/>
        </w:rPr>
        <w:t xml:space="preserve">1 / 2 / 3 / 4 / 5 </w:t>
      </w:r>
      <w:r>
        <w:t>(par défaut)</w:t>
      </w:r>
      <w:r>
        <w:rPr>
          <w:rStyle w:val="optioncarChar"/>
        </w:rPr>
        <w:t xml:space="preserve"> / 6 / 7 / 8</w:t>
      </w:r>
    </w:p>
    <w:p w14:paraId="6F416CE0" w14:textId="77777777" w:rsidR="004B2808" w:rsidRDefault="00000000">
      <w:pPr>
        <w:pStyle w:val="Author-eListParagraph"/>
        <w:numPr>
          <w:ilvl w:val="0"/>
          <w:numId w:val="877"/>
        </w:numPr>
      </w:pPr>
      <w:r>
        <w:t xml:space="preserve">Intégration de grilles pour transfert d’air tel que décrit au </w:t>
      </w:r>
      <w:hyperlink w:anchor="1319" w:history="1">
        <w:r w:rsidR="004B2808">
          <w:rPr>
            <w:color w:val="0000EE"/>
          </w:rPr>
          <w:t>55.65.9 Dispositifs de transfert d'air pour la ventilation</w:t>
        </w:r>
      </w:hyperlink>
      <w:r>
        <w:t xml:space="preserve"> : </w:t>
      </w:r>
      <w:r>
        <w:rPr>
          <w:rStyle w:val="optioncarChar"/>
        </w:rPr>
        <w:t>non</w:t>
      </w:r>
      <w:r>
        <w:t xml:space="preserve"> (par défaut)</w:t>
      </w:r>
      <w:r>
        <w:rPr>
          <w:rStyle w:val="optioncarChar"/>
        </w:rPr>
        <w:t xml:space="preserve"> / oui</w:t>
      </w:r>
    </w:p>
    <w:p w14:paraId="3BFABF57" w14:textId="77777777" w:rsidR="004B2808" w:rsidRDefault="00000000">
      <w:pPr>
        <w:jc w:val="both"/>
      </w:pPr>
      <w:r>
        <w:t xml:space="preserve">Partie vitrée : </w:t>
      </w:r>
      <w:r>
        <w:rPr>
          <w:rStyle w:val="optioncarChar"/>
        </w:rPr>
        <w:t>non</w:t>
      </w:r>
      <w:r>
        <w:t xml:space="preserve"> (par défaut)</w:t>
      </w:r>
      <w:r>
        <w:rPr>
          <w:rStyle w:val="optioncarChar"/>
        </w:rPr>
        <w:t xml:space="preserve"> / oui</w:t>
      </w:r>
    </w:p>
    <w:p w14:paraId="1D8B5116" w14:textId="77777777" w:rsidR="004B2808" w:rsidRDefault="00000000">
      <w:pPr>
        <w:jc w:val="both"/>
      </w:pPr>
      <w:r>
        <w:rPr>
          <w:b/>
        </w:rPr>
        <w:t>(soit par défaut)</w:t>
      </w:r>
    </w:p>
    <w:p w14:paraId="04B282BA" w14:textId="77777777" w:rsidR="004B2808" w:rsidRDefault="00000000">
      <w:pPr>
        <w:jc w:val="both"/>
      </w:pPr>
      <w:r>
        <w:rPr>
          <w:rStyle w:val="soitChar"/>
          <w:u w:val="single"/>
        </w:rPr>
        <w:t>Non :</w:t>
      </w:r>
      <w:r>
        <w:rPr>
          <w:color w:val="33CCCC"/>
        </w:rPr>
        <w:t xml:space="preserve"> pas de zone vitrée</w:t>
      </w:r>
    </w:p>
    <w:p w14:paraId="4F4DC2DB" w14:textId="77777777" w:rsidR="004B2808" w:rsidRDefault="00000000">
      <w:pPr>
        <w:jc w:val="both"/>
      </w:pPr>
      <w:r>
        <w:rPr>
          <w:b/>
        </w:rPr>
        <w:t>(soit)</w:t>
      </w:r>
    </w:p>
    <w:p w14:paraId="7539289E" w14:textId="77777777" w:rsidR="004B2808" w:rsidRDefault="00000000">
      <w:pPr>
        <w:jc w:val="both"/>
      </w:pPr>
      <w:r>
        <w:rPr>
          <w:rStyle w:val="soitChar"/>
          <w:u w:val="single"/>
        </w:rPr>
        <w:t>Oui :</w:t>
      </w:r>
    </w:p>
    <w:p w14:paraId="2CD8262B" w14:textId="77777777" w:rsidR="004B2808" w:rsidRDefault="00000000">
      <w:pPr>
        <w:pStyle w:val="Author-eListParagraph"/>
        <w:numPr>
          <w:ilvl w:val="0"/>
          <w:numId w:val="878"/>
        </w:numPr>
      </w:pPr>
      <w:r>
        <w:rPr>
          <w:rStyle w:val="soitChar"/>
        </w:rPr>
        <w:t xml:space="preserve">Vitrage : </w:t>
      </w:r>
      <w:r>
        <w:rPr>
          <w:rStyle w:val="optioncarChar"/>
        </w:rPr>
        <w:t xml:space="preserve">feuilleté </w:t>
      </w:r>
      <w:r>
        <w:t xml:space="preserve">(par défaut) </w:t>
      </w:r>
      <w:r>
        <w:rPr>
          <w:rStyle w:val="optioncarChar"/>
        </w:rPr>
        <w:t>/ EI30 / EI60 / ***</w:t>
      </w:r>
    </w:p>
    <w:p w14:paraId="7B3D0154" w14:textId="77777777" w:rsidR="004B2808" w:rsidRDefault="00000000">
      <w:pPr>
        <w:pStyle w:val="Author-eListParagraph"/>
        <w:numPr>
          <w:ilvl w:val="0"/>
          <w:numId w:val="878"/>
        </w:numPr>
      </w:pPr>
      <w:r>
        <w:rPr>
          <w:rStyle w:val="soitChar"/>
        </w:rPr>
        <w:t>Aspect :</w:t>
      </w:r>
      <w:r>
        <w:rPr>
          <w:rStyle w:val="optioncarChar"/>
        </w:rPr>
        <w:t xml:space="preserve"> transparent </w:t>
      </w:r>
      <w:r>
        <w:t xml:space="preserve">(par défaut) </w:t>
      </w:r>
      <w:r>
        <w:rPr>
          <w:rStyle w:val="optioncarChar"/>
        </w:rPr>
        <w:t>/ translucide / ***</w:t>
      </w:r>
    </w:p>
    <w:p w14:paraId="6E68FF2E" w14:textId="77777777" w:rsidR="004B2808" w:rsidRDefault="00000000">
      <w:pPr>
        <w:pStyle w:val="Author-eListParagraph"/>
        <w:numPr>
          <w:ilvl w:val="0"/>
          <w:numId w:val="878"/>
        </w:numPr>
      </w:pPr>
      <w:r>
        <w:rPr>
          <w:rStyle w:val="soitChar"/>
        </w:rPr>
        <w:t xml:space="preserve">Dimensions : </w:t>
      </w:r>
      <w:r>
        <w:rPr>
          <w:rStyle w:val="optioncarChar"/>
        </w:rPr>
        <w:t>suivant détail</w:t>
      </w:r>
      <w:r>
        <w:t xml:space="preserve"> (par défaut)</w:t>
      </w:r>
      <w:r>
        <w:rPr>
          <w:rStyle w:val="optioncarChar"/>
        </w:rPr>
        <w:t xml:space="preserve"> / ***</w:t>
      </w:r>
    </w:p>
    <w:p w14:paraId="4D1277BA" w14:textId="77777777" w:rsidR="004B2808" w:rsidRDefault="00000000">
      <w:pPr>
        <w:pStyle w:val="Author-eListParagraph"/>
        <w:numPr>
          <w:ilvl w:val="0"/>
          <w:numId w:val="878"/>
        </w:numPr>
      </w:pPr>
      <w:r>
        <w:rPr>
          <w:rStyle w:val="soitChar"/>
        </w:rPr>
        <w:t>En cas de porte EI, le vitrage est dimensionné et placé conformément à l’essai de résistance au feu.</w:t>
      </w:r>
    </w:p>
    <w:p w14:paraId="588809B0" w14:textId="77777777" w:rsidR="004B2808" w:rsidRDefault="00000000">
      <w:pPr>
        <w:pStyle w:val="Author-eListParagraph"/>
        <w:numPr>
          <w:ilvl w:val="0"/>
          <w:numId w:val="878"/>
        </w:numPr>
      </w:pPr>
      <w:r>
        <w:rPr>
          <w:rStyle w:val="soitChar"/>
        </w:rPr>
        <w:t>Le vitrage répond aux exigences de la [STS 23-002]</w:t>
      </w:r>
      <w:r>
        <w:br/>
      </w:r>
    </w:p>
    <w:p w14:paraId="75E88D16" w14:textId="77777777" w:rsidR="004B2808" w:rsidRDefault="00000000">
      <w:pPr>
        <w:jc w:val="both"/>
      </w:pPr>
      <w:r>
        <w:rPr>
          <w:b/>
        </w:rPr>
        <w:t>Huisserie :</w:t>
      </w:r>
    </w:p>
    <w:p w14:paraId="75797143" w14:textId="77777777" w:rsidR="004B2808" w:rsidRDefault="00000000">
      <w:pPr>
        <w:jc w:val="both"/>
      </w:pPr>
      <w:r>
        <w:lastRenderedPageBreak/>
        <w:t xml:space="preserve">Type : </w:t>
      </w:r>
      <w:r>
        <w:rPr>
          <w:rStyle w:val="optioncarChar"/>
        </w:rPr>
        <w:t xml:space="preserve">ébrasement avec chambranle </w:t>
      </w:r>
      <w:r>
        <w:t>(par défaut)</w:t>
      </w:r>
      <w:r>
        <w:rPr>
          <w:rStyle w:val="optioncarChar"/>
        </w:rPr>
        <w:t xml:space="preserve"> / bâti dormant</w:t>
      </w:r>
    </w:p>
    <w:p w14:paraId="4EFB0350" w14:textId="77777777" w:rsidR="004B2808" w:rsidRDefault="00000000">
      <w:pPr>
        <w:jc w:val="both"/>
      </w:pPr>
      <w:r>
        <w:rPr>
          <w:b/>
        </w:rPr>
        <w:t>(soit par défaut)</w:t>
      </w:r>
    </w:p>
    <w:p w14:paraId="0EBAE42A" w14:textId="77777777" w:rsidR="004B2808" w:rsidRDefault="00000000">
      <w:pPr>
        <w:jc w:val="both"/>
      </w:pPr>
      <w:r>
        <w:rPr>
          <w:color w:val="33CCCC"/>
        </w:rPr>
        <w:t>Ebrasement avec chambranle :</w:t>
      </w:r>
    </w:p>
    <w:p w14:paraId="32CFD967" w14:textId="77777777" w:rsidR="004B2808" w:rsidRDefault="00000000">
      <w:pPr>
        <w:pStyle w:val="Author-eListParagraph"/>
        <w:numPr>
          <w:ilvl w:val="0"/>
          <w:numId w:val="879"/>
        </w:numPr>
      </w:pPr>
      <w:r>
        <w:rPr>
          <w:rStyle w:val="soitChar"/>
        </w:rPr>
        <w:t xml:space="preserve">Matériau : </w:t>
      </w:r>
      <w:r>
        <w:rPr>
          <w:rStyle w:val="optioncarChar"/>
        </w:rPr>
        <w:t xml:space="preserve">bois dur densité ≥ 550 kg/m³ </w:t>
      </w:r>
      <w:r>
        <w:t xml:space="preserve">(par défaut) </w:t>
      </w:r>
      <w:r>
        <w:rPr>
          <w:rStyle w:val="optioncarChar"/>
        </w:rPr>
        <w:t>/ lamellé densité ≥ 675 kg/m³ / multiplex WBP / fibres de bois mdf densité ≥ 600 kg/m³ / ***</w:t>
      </w:r>
    </w:p>
    <w:p w14:paraId="6AD41C75" w14:textId="77777777" w:rsidR="004B2808" w:rsidRDefault="00000000">
      <w:pPr>
        <w:pStyle w:val="Author-eListParagraph"/>
        <w:numPr>
          <w:ilvl w:val="0"/>
          <w:numId w:val="879"/>
        </w:numPr>
      </w:pPr>
      <w:r>
        <w:rPr>
          <w:rStyle w:val="soitChar"/>
        </w:rPr>
        <w:t xml:space="preserve">Epaisseur  : ≥ </w:t>
      </w:r>
      <w:r>
        <w:rPr>
          <w:rStyle w:val="optioncarChar"/>
        </w:rPr>
        <w:t xml:space="preserve">18 </w:t>
      </w:r>
      <w:r>
        <w:t>(par défaut)</w:t>
      </w:r>
      <w:r>
        <w:rPr>
          <w:rStyle w:val="optioncarChar"/>
        </w:rPr>
        <w:t xml:space="preserve"> / ***</w:t>
      </w:r>
      <w:r>
        <w:rPr>
          <w:rStyle w:val="soitChar"/>
        </w:rPr>
        <w:t xml:space="preserve"> mm</w:t>
      </w:r>
    </w:p>
    <w:p w14:paraId="66549EC0" w14:textId="77777777" w:rsidR="004B2808" w:rsidRDefault="00000000">
      <w:pPr>
        <w:pStyle w:val="Author-eListParagraph"/>
        <w:numPr>
          <w:ilvl w:val="0"/>
          <w:numId w:val="879"/>
        </w:numPr>
      </w:pPr>
      <w:r>
        <w:rPr>
          <w:rStyle w:val="soitChar"/>
        </w:rPr>
        <w:t xml:space="preserve">Listel : </w:t>
      </w:r>
      <w:r>
        <w:rPr>
          <w:rStyle w:val="optioncarChar"/>
        </w:rPr>
        <w:t>22x22</w:t>
      </w:r>
      <w:r>
        <w:t xml:space="preserve"> (par défaut) </w:t>
      </w:r>
      <w:r>
        <w:rPr>
          <w:rStyle w:val="optioncarChar"/>
        </w:rPr>
        <w:t>/ 26x22 / ***</w:t>
      </w:r>
      <w:r>
        <w:rPr>
          <w:rStyle w:val="soitChar"/>
        </w:rPr>
        <w:t xml:space="preserve"> mm</w:t>
      </w:r>
    </w:p>
    <w:p w14:paraId="575B1B78" w14:textId="77777777" w:rsidR="004B2808" w:rsidRDefault="00000000">
      <w:pPr>
        <w:jc w:val="both"/>
      </w:pPr>
      <w:r>
        <w:rPr>
          <w:b/>
        </w:rPr>
        <w:t>(soit)</w:t>
      </w:r>
    </w:p>
    <w:p w14:paraId="5D399DC3" w14:textId="77777777" w:rsidR="004B2808" w:rsidRDefault="00000000">
      <w:pPr>
        <w:jc w:val="both"/>
      </w:pPr>
      <w:r>
        <w:rPr>
          <w:rStyle w:val="soitChar"/>
          <w:u w:val="single"/>
        </w:rPr>
        <w:t>Bâti dormant :</w:t>
      </w:r>
    </w:p>
    <w:p w14:paraId="06663383" w14:textId="77777777" w:rsidR="004B2808" w:rsidRDefault="00000000">
      <w:pPr>
        <w:pStyle w:val="Author-eListParagraph"/>
        <w:numPr>
          <w:ilvl w:val="0"/>
          <w:numId w:val="880"/>
        </w:numPr>
      </w:pPr>
      <w:r>
        <w:rPr>
          <w:rStyle w:val="soitChar"/>
        </w:rPr>
        <w:t xml:space="preserve">Matériau : </w:t>
      </w:r>
      <w:r>
        <w:rPr>
          <w:rStyle w:val="optioncarChar"/>
        </w:rPr>
        <w:t xml:space="preserve">bois dur densité ≥ 550 kg/m³ </w:t>
      </w:r>
      <w:r>
        <w:t>(par défaut)</w:t>
      </w:r>
      <w:r>
        <w:rPr>
          <w:rStyle w:val="optioncarChar"/>
        </w:rPr>
        <w:t xml:space="preserve"> / lamellé densité ≥ 675 kg/m³ / ***</w:t>
      </w:r>
    </w:p>
    <w:p w14:paraId="19D2CAC3" w14:textId="77777777" w:rsidR="004B2808" w:rsidRDefault="00000000">
      <w:pPr>
        <w:pStyle w:val="Author-eListParagraph"/>
        <w:numPr>
          <w:ilvl w:val="0"/>
          <w:numId w:val="880"/>
        </w:numPr>
      </w:pPr>
      <w:r>
        <w:rPr>
          <w:rStyle w:val="soitChar"/>
        </w:rPr>
        <w:t xml:space="preserve">Dimensions : </w:t>
      </w:r>
      <w:r>
        <w:rPr>
          <w:rStyle w:val="optioncarChar"/>
        </w:rPr>
        <w:t>60x55 / 37x75</w:t>
      </w:r>
      <w:r>
        <w:t xml:space="preserve"> (par défaut)</w:t>
      </w:r>
      <w:r>
        <w:rPr>
          <w:rStyle w:val="optioncarChar"/>
        </w:rPr>
        <w:t xml:space="preserve"> / 90x38 / ***</w:t>
      </w:r>
      <w:r>
        <w:rPr>
          <w:rStyle w:val="soitChar"/>
        </w:rPr>
        <w:t xml:space="preserve"> mm</w:t>
      </w:r>
    </w:p>
    <w:p w14:paraId="46B947B9" w14:textId="77777777" w:rsidR="004B2808" w:rsidRDefault="00000000">
      <w:pPr>
        <w:pStyle w:val="Author-eListParagraph"/>
        <w:numPr>
          <w:ilvl w:val="0"/>
          <w:numId w:val="880"/>
        </w:numPr>
      </w:pPr>
      <w:r>
        <w:rPr>
          <w:rStyle w:val="soitChar"/>
        </w:rPr>
        <w:t xml:space="preserve">Feuillure  : ≥ </w:t>
      </w:r>
      <w:r>
        <w:rPr>
          <w:rStyle w:val="optioncarChar"/>
        </w:rPr>
        <w:t>20</w:t>
      </w:r>
      <w:r>
        <w:t xml:space="preserve"> (par défaut)</w:t>
      </w:r>
      <w:r>
        <w:rPr>
          <w:rStyle w:val="optioncarChar"/>
        </w:rPr>
        <w:t xml:space="preserve"> / ***</w:t>
      </w:r>
      <w:r>
        <w:rPr>
          <w:rStyle w:val="soitChar"/>
        </w:rPr>
        <w:t xml:space="preserve"> mm</w:t>
      </w:r>
      <w:r>
        <w:br/>
      </w:r>
    </w:p>
    <w:p w14:paraId="4D01567A" w14:textId="77777777" w:rsidR="004B2808" w:rsidRDefault="00000000">
      <w:pPr>
        <w:jc w:val="both"/>
      </w:pPr>
      <w:r>
        <w:rPr>
          <w:b/>
        </w:rPr>
        <w:t>Imposte :</w:t>
      </w:r>
      <w:r>
        <w:rPr>
          <w:rStyle w:val="optioncarChar"/>
        </w:rPr>
        <w:t xml:space="preserve">non </w:t>
      </w:r>
      <w:r>
        <w:t xml:space="preserve">(par défaut) </w:t>
      </w:r>
      <w:r>
        <w:rPr>
          <w:rStyle w:val="optioncarChar"/>
        </w:rPr>
        <w:t>/ oui</w:t>
      </w:r>
    </w:p>
    <w:p w14:paraId="475F7118" w14:textId="77777777" w:rsidR="004B2808" w:rsidRDefault="00000000">
      <w:pPr>
        <w:jc w:val="both"/>
      </w:pPr>
      <w:r>
        <w:rPr>
          <w:b/>
        </w:rPr>
        <w:t>(soit par défaut)</w:t>
      </w:r>
    </w:p>
    <w:p w14:paraId="33827957" w14:textId="77777777" w:rsidR="004B2808" w:rsidRDefault="00000000">
      <w:pPr>
        <w:jc w:val="both"/>
      </w:pPr>
      <w:r>
        <w:rPr>
          <w:rStyle w:val="soitChar"/>
          <w:u w:val="single"/>
        </w:rPr>
        <w:t>Non :</w:t>
      </w:r>
      <w:r>
        <w:rPr>
          <w:color w:val="33CCCC"/>
        </w:rPr>
        <w:t xml:space="preserve"> pas d’imposte</w:t>
      </w:r>
    </w:p>
    <w:p w14:paraId="2F75CD5B" w14:textId="77777777" w:rsidR="004B2808" w:rsidRDefault="00000000">
      <w:pPr>
        <w:jc w:val="both"/>
      </w:pPr>
      <w:r>
        <w:rPr>
          <w:b/>
        </w:rPr>
        <w:t>(soit)</w:t>
      </w:r>
    </w:p>
    <w:p w14:paraId="5553F23A" w14:textId="77777777" w:rsidR="004B2808" w:rsidRDefault="00000000">
      <w:pPr>
        <w:jc w:val="both"/>
      </w:pPr>
      <w:r>
        <w:rPr>
          <w:rStyle w:val="soitChar"/>
          <w:u w:val="single"/>
        </w:rPr>
        <w:t>Oui :</w:t>
      </w:r>
    </w:p>
    <w:p w14:paraId="10807091" w14:textId="77777777" w:rsidR="004B2808" w:rsidRDefault="00000000">
      <w:pPr>
        <w:pStyle w:val="Author-eListParagraph"/>
        <w:numPr>
          <w:ilvl w:val="0"/>
          <w:numId w:val="881"/>
        </w:numPr>
      </w:pPr>
      <w:r>
        <w:rPr>
          <w:rStyle w:val="soitChar"/>
        </w:rPr>
        <w:t xml:space="preserve">Bois, densité : ≥ </w:t>
      </w:r>
      <w:r>
        <w:rPr>
          <w:rStyle w:val="optioncarChar"/>
        </w:rPr>
        <w:t xml:space="preserve">675 kg/m³ </w:t>
      </w:r>
      <w:r>
        <w:t xml:space="preserve">(par défaut) </w:t>
      </w:r>
      <w:r>
        <w:rPr>
          <w:rStyle w:val="optioncarChar"/>
        </w:rPr>
        <w:t>/ ***</w:t>
      </w:r>
    </w:p>
    <w:p w14:paraId="2A6B27D2" w14:textId="77777777" w:rsidR="004B2808" w:rsidRDefault="00000000">
      <w:pPr>
        <w:pStyle w:val="Author-eListParagraph"/>
        <w:numPr>
          <w:ilvl w:val="0"/>
          <w:numId w:val="881"/>
        </w:numPr>
      </w:pPr>
      <w:r>
        <w:rPr>
          <w:rStyle w:val="soitChar"/>
        </w:rPr>
        <w:t xml:space="preserve">Vitrage suivant [NBN EN 13501-2] : </w:t>
      </w:r>
      <w:r>
        <w:rPr>
          <w:rStyle w:val="optioncarChar"/>
        </w:rPr>
        <w:t xml:space="preserve">EI0 </w:t>
      </w:r>
      <w:r>
        <w:t xml:space="preserve">(par défaut) </w:t>
      </w:r>
      <w:r>
        <w:rPr>
          <w:rStyle w:val="optioncarChar"/>
        </w:rPr>
        <w:t>/ EI30 / EI60</w:t>
      </w:r>
    </w:p>
    <w:p w14:paraId="6BE35F28" w14:textId="77777777" w:rsidR="004B2808" w:rsidRDefault="00000000">
      <w:pPr>
        <w:pStyle w:val="Author-eListParagraph"/>
        <w:numPr>
          <w:ilvl w:val="0"/>
          <w:numId w:val="881"/>
        </w:numPr>
      </w:pPr>
      <w:r>
        <w:rPr>
          <w:rStyle w:val="soitChar"/>
        </w:rPr>
        <w:t xml:space="preserve">Vitrage : </w:t>
      </w:r>
      <w:r>
        <w:rPr>
          <w:rStyle w:val="optioncarChar"/>
        </w:rPr>
        <w:t>transparent</w:t>
      </w:r>
      <w:r>
        <w:t xml:space="preserve"> (par défaut) </w:t>
      </w:r>
      <w:r>
        <w:rPr>
          <w:rStyle w:val="optioncarChar"/>
        </w:rPr>
        <w:t>/ translucide / ***</w:t>
      </w:r>
      <w:r>
        <w:br/>
      </w:r>
    </w:p>
    <w:p w14:paraId="0CC66065" w14:textId="77777777" w:rsidR="004B2808" w:rsidRDefault="00000000">
      <w:pPr>
        <w:jc w:val="both"/>
      </w:pPr>
      <w:r>
        <w:rPr>
          <w:b/>
        </w:rPr>
        <w:t>Caractéristiques de l’ensemble :</w:t>
      </w:r>
      <w:r>
        <w:t xml:space="preserve"> huisserie et vantail</w:t>
      </w:r>
    </w:p>
    <w:p w14:paraId="316CB4AB" w14:textId="77777777" w:rsidR="004B2808" w:rsidRDefault="00000000">
      <w:pPr>
        <w:jc w:val="both"/>
      </w:pPr>
      <w:r>
        <w:t xml:space="preserve">Porte : </w:t>
      </w:r>
      <w:r>
        <w:rPr>
          <w:rStyle w:val="optioncarChar"/>
        </w:rPr>
        <w:t>simple</w:t>
      </w:r>
      <w:r>
        <w:t xml:space="preserve"> (par défaut)</w:t>
      </w:r>
      <w:r>
        <w:rPr>
          <w:rStyle w:val="optioncarChar"/>
        </w:rPr>
        <w:t xml:space="preserve"> / double</w:t>
      </w:r>
    </w:p>
    <w:p w14:paraId="325BE3E1" w14:textId="77777777" w:rsidR="004B2808" w:rsidRDefault="00000000">
      <w:pPr>
        <w:jc w:val="both"/>
      </w:pPr>
      <w:r>
        <w:rPr>
          <w:b/>
        </w:rPr>
        <w:t>(soit par défaut)</w:t>
      </w:r>
    </w:p>
    <w:p w14:paraId="0A420DD3" w14:textId="77777777" w:rsidR="004B2808" w:rsidRDefault="00000000">
      <w:pPr>
        <w:jc w:val="both"/>
      </w:pPr>
      <w:r>
        <w:rPr>
          <w:rStyle w:val="soitChar"/>
          <w:u w:val="single"/>
        </w:rPr>
        <w:t>Simple :</w:t>
      </w:r>
    </w:p>
    <w:p w14:paraId="23191E63" w14:textId="77777777" w:rsidR="004B2808" w:rsidRDefault="00000000">
      <w:pPr>
        <w:jc w:val="both"/>
      </w:pPr>
      <w:r>
        <w:rPr>
          <w:b/>
        </w:rPr>
        <w:t>(soit)</w:t>
      </w:r>
    </w:p>
    <w:p w14:paraId="15AF816D" w14:textId="77777777" w:rsidR="004B2808" w:rsidRDefault="00000000">
      <w:pPr>
        <w:jc w:val="both"/>
      </w:pPr>
      <w:r>
        <w:rPr>
          <w:rStyle w:val="soitChar"/>
          <w:u w:val="single"/>
        </w:rPr>
        <w:t>Double :</w:t>
      </w:r>
      <w:r>
        <w:rPr>
          <w:rStyle w:val="soitChar"/>
        </w:rPr>
        <w:t>  r</w:t>
      </w:r>
      <w:r>
        <w:rPr>
          <w:color w:val="33CCCC"/>
        </w:rPr>
        <w:t xml:space="preserve">accord entre les battants : </w:t>
      </w:r>
      <w:r>
        <w:rPr>
          <w:rStyle w:val="optioncarChar"/>
        </w:rPr>
        <w:t xml:space="preserve">avec mauclair </w:t>
      </w:r>
      <w:r>
        <w:t>(par défaut)</w:t>
      </w:r>
      <w:r>
        <w:rPr>
          <w:rStyle w:val="optioncarChar"/>
        </w:rPr>
        <w:t xml:space="preserve"> / à feuillure de recouvrement</w:t>
      </w:r>
    </w:p>
    <w:p w14:paraId="0904F4B0" w14:textId="77777777" w:rsidR="004B2808" w:rsidRDefault="00000000">
      <w:pPr>
        <w:pStyle w:val="Author-eListParagraph"/>
        <w:numPr>
          <w:ilvl w:val="0"/>
          <w:numId w:val="882"/>
        </w:numPr>
      </w:pPr>
      <w:r>
        <w:t xml:space="preserve">Résistance au feu selon [NBN B 25-002-7] : </w:t>
      </w:r>
      <w:r>
        <w:rPr>
          <w:rStyle w:val="optioncarChar"/>
        </w:rPr>
        <w:t>EI10 / EI130 / EI160</w:t>
      </w:r>
    </w:p>
    <w:p w14:paraId="1E2BBF5C" w14:textId="77777777" w:rsidR="004B2808" w:rsidRDefault="00000000">
      <w:pPr>
        <w:pStyle w:val="Author-eListParagraph"/>
        <w:numPr>
          <w:ilvl w:val="0"/>
          <w:numId w:val="882"/>
        </w:numPr>
      </w:pPr>
      <w:r>
        <w:t>L’ensemble de porte, huisserie et quincaillerie satisfont à la résistance au feu prescrite, selon [NBN EN 13501-1]. Leur résistance au feu est attestée par une déclaration d'aptitude conformément au chapitre 02.42.1 Critères d'acceptabilité</w:t>
      </w:r>
    </w:p>
    <w:p w14:paraId="0F58E179" w14:textId="77777777" w:rsidR="004B2808" w:rsidRDefault="00000000">
      <w:pPr>
        <w:pStyle w:val="Author-eListParagraph"/>
        <w:numPr>
          <w:ilvl w:val="0"/>
          <w:numId w:val="882"/>
        </w:numPr>
      </w:pPr>
      <w:r>
        <w:t xml:space="preserve">Etanchéité à la fumée [NBN B 25-002-7] : </w:t>
      </w:r>
      <w:r>
        <w:rPr>
          <w:rStyle w:val="optioncarChar"/>
        </w:rPr>
        <w:t>sans exigence</w:t>
      </w:r>
      <w:r>
        <w:t xml:space="preserve"> (par défaut) </w:t>
      </w:r>
      <w:r>
        <w:rPr>
          <w:rStyle w:val="optioncarChar"/>
        </w:rPr>
        <w:t>/ Sm / Sa</w:t>
      </w:r>
    </w:p>
    <w:p w14:paraId="5FCEA982" w14:textId="77777777" w:rsidR="004B2808" w:rsidRDefault="00000000">
      <w:pPr>
        <w:pStyle w:val="Author-eListParagraph"/>
        <w:numPr>
          <w:ilvl w:val="0"/>
          <w:numId w:val="882"/>
        </w:numPr>
      </w:pPr>
      <w:r>
        <w:t xml:space="preserve">Caractéristiques anti-effraction [NBN EN 1627] : </w:t>
      </w:r>
      <w:r>
        <w:rPr>
          <w:rStyle w:val="optioncarChar"/>
        </w:rPr>
        <w:t xml:space="preserve">CR1 </w:t>
      </w:r>
      <w:r>
        <w:t xml:space="preserve">(par défaut) </w:t>
      </w:r>
      <w:r>
        <w:rPr>
          <w:rStyle w:val="optioncarChar"/>
        </w:rPr>
        <w:t>/ CR2 / CR3</w:t>
      </w:r>
    </w:p>
    <w:p w14:paraId="1649D62B" w14:textId="77777777" w:rsidR="004B2808" w:rsidRDefault="00000000">
      <w:pPr>
        <w:pStyle w:val="Author-eListParagraph"/>
        <w:numPr>
          <w:ilvl w:val="0"/>
          <w:numId w:val="882"/>
        </w:numPr>
      </w:pPr>
      <w:r>
        <w:t xml:space="preserve">Etanchéité à l’air selon [NBN EN 12207] débit de fuite à 50 Pa ≤ : </w:t>
      </w:r>
      <w:r>
        <w:rPr>
          <w:rStyle w:val="optioncarChar"/>
        </w:rPr>
        <w:t xml:space="preserve">pas d’exigence </w:t>
      </w:r>
      <w:r>
        <w:t>(par défaut)</w:t>
      </w:r>
      <w:r>
        <w:rPr>
          <w:rStyle w:val="optioncarChar"/>
        </w:rPr>
        <w:t xml:space="preserve"> / 50 / 30 / *** m³/h</w:t>
      </w:r>
    </w:p>
    <w:p w14:paraId="29A9DF5A" w14:textId="77777777" w:rsidR="004B2808" w:rsidRDefault="00000000">
      <w:pPr>
        <w:pStyle w:val="Author-eListParagraph"/>
        <w:numPr>
          <w:ilvl w:val="0"/>
          <w:numId w:val="882"/>
        </w:numPr>
      </w:pPr>
      <w:r>
        <w:t xml:space="preserve">Effort de manœuvre selon [NBN EN 12217] classe : </w:t>
      </w:r>
      <w:r>
        <w:rPr>
          <w:rStyle w:val="optioncarChar"/>
        </w:rPr>
        <w:t xml:space="preserve">1 / 2 </w:t>
      </w:r>
      <w:r>
        <w:t>(par défaut) /</w:t>
      </w:r>
      <w:r>
        <w:rPr>
          <w:rStyle w:val="optioncarChar"/>
        </w:rPr>
        <w:t xml:space="preserve"> 3</w:t>
      </w:r>
    </w:p>
    <w:p w14:paraId="74EA4E38" w14:textId="77777777" w:rsidR="004B2808" w:rsidRDefault="00000000">
      <w:pPr>
        <w:pStyle w:val="Author-eListParagraph"/>
        <w:numPr>
          <w:ilvl w:val="0"/>
          <w:numId w:val="882"/>
        </w:numPr>
      </w:pPr>
      <w:r>
        <w:t xml:space="preserve">Performances acoustiques [NBN EN ISO 717-1] Rw : </w:t>
      </w:r>
      <w:r>
        <w:rPr>
          <w:rStyle w:val="optioncarChar"/>
        </w:rPr>
        <w:t xml:space="preserve">30 </w:t>
      </w:r>
      <w:r>
        <w:t>(par défaut)</w:t>
      </w:r>
      <w:r>
        <w:rPr>
          <w:rStyle w:val="optioncarChar"/>
        </w:rPr>
        <w:t xml:space="preserve"> / 33 / 38 / 40 / 42 / ***</w:t>
      </w:r>
      <w:r>
        <w:t xml:space="preserve"> dB</w:t>
      </w:r>
    </w:p>
    <w:p w14:paraId="5BC7A1F8" w14:textId="77777777" w:rsidR="004B2808" w:rsidRDefault="00000000">
      <w:pPr>
        <w:pStyle w:val="Author-eListParagraph"/>
        <w:numPr>
          <w:ilvl w:val="0"/>
          <w:numId w:val="882"/>
        </w:numPr>
      </w:pPr>
      <w:r>
        <w:t xml:space="preserve">Endurance mécanique selon [NBN EN 12400] : classe : </w:t>
      </w:r>
      <w:r>
        <w:rPr>
          <w:rStyle w:val="optioncarChar"/>
        </w:rPr>
        <w:t xml:space="preserve">1 / 4 </w:t>
      </w:r>
      <w:r>
        <w:t xml:space="preserve">(par défaut) </w:t>
      </w:r>
      <w:r>
        <w:rPr>
          <w:rStyle w:val="optioncarChar"/>
        </w:rPr>
        <w:t>/ 5</w:t>
      </w:r>
    </w:p>
    <w:p w14:paraId="149D8907" w14:textId="77777777" w:rsidR="004B2808" w:rsidRDefault="00000000">
      <w:pPr>
        <w:pStyle w:val="Author-eListParagraph"/>
        <w:numPr>
          <w:ilvl w:val="0"/>
          <w:numId w:val="882"/>
        </w:numPr>
      </w:pPr>
      <w:r>
        <w:t xml:space="preserve">Classe de résistance mécanique aux chocs selon [NBN EN 1192] : </w:t>
      </w:r>
      <w:r>
        <w:rPr>
          <w:rStyle w:val="optioncarChar"/>
        </w:rPr>
        <w:t>3</w:t>
      </w:r>
      <w:r>
        <w:t xml:space="preserve"> (par défaut)</w:t>
      </w:r>
      <w:r>
        <w:rPr>
          <w:rStyle w:val="optioncarChar"/>
        </w:rPr>
        <w:t xml:space="preserve"> / 4</w:t>
      </w:r>
    </w:p>
    <w:p w14:paraId="7A9E9487" w14:textId="77777777" w:rsidR="004B2808" w:rsidRDefault="00000000">
      <w:pPr>
        <w:pStyle w:val="Author-eListParagraph"/>
        <w:numPr>
          <w:ilvl w:val="0"/>
          <w:numId w:val="882"/>
        </w:numPr>
      </w:pPr>
      <w:r>
        <w:t xml:space="preserve">Classe de résistance mécanique aux abus selon [NBN EN 1192] : </w:t>
      </w:r>
      <w:r>
        <w:rPr>
          <w:rStyle w:val="optioncarChar"/>
        </w:rPr>
        <w:t xml:space="preserve">1 / 2 / 3 </w:t>
      </w:r>
      <w:r>
        <w:t xml:space="preserve">(par défaut) </w:t>
      </w:r>
      <w:r>
        <w:rPr>
          <w:rStyle w:val="optioncarChar"/>
        </w:rPr>
        <w:t>/ 4</w:t>
      </w:r>
    </w:p>
    <w:p w14:paraId="30B4E7B8" w14:textId="77777777" w:rsidR="004B2808" w:rsidRDefault="00000000">
      <w:pPr>
        <w:pStyle w:val="Author-eListParagraph"/>
        <w:numPr>
          <w:ilvl w:val="0"/>
          <w:numId w:val="882"/>
        </w:numPr>
      </w:pPr>
      <w:r>
        <w:t xml:space="preserve">Effort de manœuvre selon [NBN EN 12217] classe : </w:t>
      </w:r>
      <w:r>
        <w:rPr>
          <w:rStyle w:val="optioncarChar"/>
        </w:rPr>
        <w:t>1 / 2</w:t>
      </w:r>
      <w:r>
        <w:t xml:space="preserve"> (par défaut)</w:t>
      </w:r>
      <w:r>
        <w:rPr>
          <w:rStyle w:val="optioncarChar"/>
        </w:rPr>
        <w:t xml:space="preserve"> / 3</w:t>
      </w:r>
    </w:p>
    <w:p w14:paraId="272A4E3E" w14:textId="77777777" w:rsidR="004B2808" w:rsidRDefault="00000000">
      <w:pPr>
        <w:pStyle w:val="Author-eListParagraph"/>
        <w:numPr>
          <w:ilvl w:val="0"/>
          <w:numId w:val="882"/>
        </w:numPr>
      </w:pPr>
      <w:r>
        <w:t xml:space="preserve">Comportement entre 2 climats selon [NBN EN 1530] classe : </w:t>
      </w:r>
      <w:r>
        <w:rPr>
          <w:rStyle w:val="optioncarChar"/>
        </w:rPr>
        <w:t>1 / 2</w:t>
      </w:r>
      <w:r>
        <w:t xml:space="preserve"> (par défaut)</w:t>
      </w:r>
      <w:r>
        <w:rPr>
          <w:rStyle w:val="optioncarChar"/>
        </w:rPr>
        <w:t xml:space="preserve"> / 3</w:t>
      </w:r>
    </w:p>
    <w:p w14:paraId="1D08768B" w14:textId="77777777" w:rsidR="004B2808" w:rsidRDefault="00000000">
      <w:pPr>
        <w:pStyle w:val="Author-eListParagraph"/>
        <w:numPr>
          <w:ilvl w:val="0"/>
          <w:numId w:val="882"/>
        </w:numPr>
      </w:pPr>
      <w:r>
        <w:t xml:space="preserve">Quincaillerie tel que décrit au </w:t>
      </w:r>
      <w:hyperlink w:anchor="1316" w:history="1">
        <w:r w:rsidR="004B2808">
          <w:rPr>
            <w:color w:val="0000EE"/>
          </w:rPr>
          <w:t>55.62 Quincaillerie complémentaire ou particulière</w:t>
        </w:r>
      </w:hyperlink>
      <w:r>
        <w:t xml:space="preserve"> : </w:t>
      </w:r>
      <w:r>
        <w:rPr>
          <w:rStyle w:val="optioncarChar"/>
        </w:rPr>
        <w:t>conforme à la documentation technique du produit</w:t>
      </w:r>
      <w:r>
        <w:t xml:space="preserve"> (par défaut)</w:t>
      </w:r>
      <w:r>
        <w:rPr>
          <w:rStyle w:val="optioncarChar"/>
        </w:rPr>
        <w:t xml:space="preserve"> / ***</w:t>
      </w:r>
    </w:p>
    <w:p w14:paraId="68B87A0D" w14:textId="77777777" w:rsidR="004B2808" w:rsidRDefault="00000000">
      <w:pPr>
        <w:pStyle w:val="Author-eListParagraph"/>
        <w:numPr>
          <w:ilvl w:val="0"/>
          <w:numId w:val="882"/>
        </w:numPr>
      </w:pPr>
      <w:r>
        <w:lastRenderedPageBreak/>
        <w:t xml:space="preserve">Système de fermeture suivant </w:t>
      </w:r>
      <w:hyperlink w:anchor="1321" w:history="1">
        <w:r w:rsidR="004B2808">
          <w:rPr>
            <w:color w:val="0000EE"/>
          </w:rPr>
          <w:t>55.65.5a Eléments intégrés ou externes à une menuiserie de porte/de fenêtre intérieure - Plaque de protection</w:t>
        </w:r>
      </w:hyperlink>
      <w:r>
        <w:t xml:space="preserve"> : </w:t>
      </w:r>
      <w:r>
        <w:rPr>
          <w:rStyle w:val="optioncarChar"/>
        </w:rPr>
        <w:t>non</w:t>
      </w:r>
      <w:r>
        <w:t xml:space="preserve"> (par défaut)</w:t>
      </w:r>
      <w:r>
        <w:rPr>
          <w:rStyle w:val="optioncarChar"/>
        </w:rPr>
        <w:t xml:space="preserve"> / oui</w:t>
      </w:r>
    </w:p>
    <w:p w14:paraId="082F3079" w14:textId="77777777" w:rsidR="004B2808" w:rsidRDefault="00000000">
      <w:pPr>
        <w:pStyle w:val="Author-eListParagraph"/>
        <w:numPr>
          <w:ilvl w:val="0"/>
          <w:numId w:val="882"/>
        </w:numPr>
      </w:pPr>
      <w:r>
        <w:t xml:space="preserve">Fonctionnement : </w:t>
      </w:r>
      <w:r>
        <w:rPr>
          <w:rStyle w:val="optioncarChar"/>
        </w:rPr>
        <w:t xml:space="preserve">battant </w:t>
      </w:r>
      <w:r>
        <w:t>(par défaut)</w:t>
      </w:r>
      <w:r>
        <w:rPr>
          <w:rStyle w:val="optioncarChar"/>
        </w:rPr>
        <w:t xml:space="preserve"> / va-et-vient</w:t>
      </w:r>
    </w:p>
    <w:p w14:paraId="15634D14" w14:textId="77777777" w:rsidR="004B2808" w:rsidRDefault="00000000">
      <w:pPr>
        <w:pStyle w:val="Author-eListParagraph"/>
        <w:numPr>
          <w:ilvl w:val="0"/>
          <w:numId w:val="882"/>
        </w:numPr>
      </w:pPr>
      <w:r>
        <w:t xml:space="preserve">Aptitude à la fermeture automatique selon [NBN B 25-002-7] : </w:t>
      </w:r>
      <w:r>
        <w:rPr>
          <w:rStyle w:val="optioncarChar"/>
        </w:rPr>
        <w:t xml:space="preserve">C3 </w:t>
      </w:r>
      <w:r>
        <w:t>(par défaut)</w:t>
      </w:r>
      <w:r>
        <w:rPr>
          <w:rStyle w:val="optioncarChar"/>
        </w:rPr>
        <w:t xml:space="preserve"> / C1 / C2 / C4 / C5</w:t>
      </w:r>
    </w:p>
    <w:p w14:paraId="1D90B7CF" w14:textId="77777777" w:rsidR="004B2808" w:rsidRDefault="00000000">
      <w:pPr>
        <w:pStyle w:val="Author-eListParagraph"/>
        <w:numPr>
          <w:ilvl w:val="0"/>
          <w:numId w:val="882"/>
        </w:numPr>
      </w:pPr>
      <w:r>
        <w:t xml:space="preserve">Plinthe automatique : </w:t>
      </w:r>
      <w:r>
        <w:rPr>
          <w:rStyle w:val="optioncarChar"/>
        </w:rPr>
        <w:t xml:space="preserve">non </w:t>
      </w:r>
      <w:r>
        <w:t>(par défaut)</w:t>
      </w:r>
      <w:r>
        <w:rPr>
          <w:rStyle w:val="optioncarChar"/>
        </w:rPr>
        <w:t xml:space="preserve"> / oui</w:t>
      </w:r>
    </w:p>
    <w:p w14:paraId="53E834DF" w14:textId="77777777" w:rsidR="004B2808" w:rsidRDefault="00000000">
      <w:pPr>
        <w:jc w:val="both"/>
      </w:pPr>
      <w:r>
        <w:rPr>
          <w:b/>
        </w:rPr>
        <w:t>Aspects environnementaux :</w:t>
      </w:r>
    </w:p>
    <w:p w14:paraId="0E414374" w14:textId="77777777" w:rsidR="004B2808" w:rsidRDefault="00000000">
      <w:pPr>
        <w:jc w:val="both"/>
      </w:pPr>
      <w:r>
        <w:t xml:space="preserve">Bois issus de forêts gérées durablement suivant les prescriptions de l'élément 02.42.4 Bois provenant de forêts gérées durablement : </w:t>
      </w:r>
      <w:r>
        <w:rPr>
          <w:rStyle w:val="optioncarChar"/>
        </w:rPr>
        <w:t xml:space="preserve">oui </w:t>
      </w:r>
      <w:r>
        <w:t>(par défaut)</w:t>
      </w:r>
      <w:r>
        <w:rPr>
          <w:rStyle w:val="optioncarChar"/>
        </w:rPr>
        <w:t xml:space="preserve"> / non</w:t>
      </w:r>
    </w:p>
    <w:p w14:paraId="78C576F4" w14:textId="77777777" w:rsidR="004B2808" w:rsidRDefault="00000000">
      <w:pPr>
        <w:ind w:left="750"/>
      </w:pPr>
      <w:r>
        <w:t> </w:t>
      </w:r>
    </w:p>
    <w:p w14:paraId="4A716939" w14:textId="77777777" w:rsidR="004B2808" w:rsidRDefault="00000000">
      <w:pPr>
        <w:pStyle w:val="pheading"/>
      </w:pPr>
      <w:r>
        <w:t>- Finitions</w:t>
      </w:r>
    </w:p>
    <w:p w14:paraId="7BDE8FD6" w14:textId="77777777" w:rsidR="004B2808" w:rsidRDefault="00000000">
      <w:pPr>
        <w:jc w:val="both"/>
      </w:pPr>
      <w:r>
        <w:t xml:space="preserve">Finition du vantail : </w:t>
      </w:r>
      <w:r>
        <w:rPr>
          <w:rStyle w:val="optioncarChar"/>
        </w:rPr>
        <w:t>peinture / stratifié HPL / placage vernis</w:t>
      </w:r>
    </w:p>
    <w:p w14:paraId="244106AB" w14:textId="77777777" w:rsidR="004B2808" w:rsidRDefault="00000000">
      <w:pPr>
        <w:jc w:val="both"/>
      </w:pPr>
      <w:r>
        <w:rPr>
          <w:b/>
        </w:rPr>
        <w:t>(soit)</w:t>
      </w:r>
    </w:p>
    <w:p w14:paraId="6DA9A6C2" w14:textId="77777777" w:rsidR="004B2808" w:rsidRDefault="00000000">
      <w:pPr>
        <w:jc w:val="both"/>
      </w:pPr>
      <w:r>
        <w:rPr>
          <w:rStyle w:val="soitChar"/>
          <w:u w:val="single"/>
        </w:rPr>
        <w:t>Peinture</w:t>
      </w:r>
      <w:r>
        <w:rPr>
          <w:rStyle w:val="soitChar"/>
        </w:rPr>
        <w:t xml:space="preserve"> tel que décrit au 81.2 Peintures intérieures sur subjectiles en bois et dérivés du bois (feuillus, résineux, bois exotiques, panneaux)</w:t>
      </w:r>
    </w:p>
    <w:p w14:paraId="206F5C1C" w14:textId="77777777" w:rsidR="004B2808" w:rsidRDefault="00000000">
      <w:pPr>
        <w:jc w:val="both"/>
      </w:pPr>
      <w:r>
        <w:rPr>
          <w:b/>
        </w:rPr>
        <w:t>(soit)</w:t>
      </w:r>
    </w:p>
    <w:p w14:paraId="6B2D6CEB" w14:textId="77777777" w:rsidR="004B2808" w:rsidRDefault="00000000">
      <w:pPr>
        <w:jc w:val="both"/>
      </w:pPr>
      <w:r>
        <w:rPr>
          <w:rStyle w:val="soitChar"/>
          <w:u w:val="single"/>
        </w:rPr>
        <w:t>Stratifié HPL :</w:t>
      </w:r>
    </w:p>
    <w:p w14:paraId="48B86FE7" w14:textId="77777777" w:rsidR="004B2808" w:rsidRDefault="00000000">
      <w:pPr>
        <w:pStyle w:val="Author-eListParagraph"/>
        <w:numPr>
          <w:ilvl w:val="0"/>
          <w:numId w:val="883"/>
        </w:numPr>
      </w:pPr>
      <w:r>
        <w:rPr>
          <w:rStyle w:val="soitChar"/>
        </w:rPr>
        <w:t xml:space="preserve">Epaisseur: ≥ </w:t>
      </w:r>
      <w:r>
        <w:rPr>
          <w:rStyle w:val="optioncarChar"/>
        </w:rPr>
        <w:t>3 </w:t>
      </w:r>
      <w:r>
        <w:t>(par défaut)</w:t>
      </w:r>
      <w:r>
        <w:rPr>
          <w:rStyle w:val="optioncarChar"/>
        </w:rPr>
        <w:t xml:space="preserve"> / ***</w:t>
      </w:r>
      <w:r>
        <w:rPr>
          <w:rStyle w:val="soitChar"/>
        </w:rPr>
        <w:t xml:space="preserve"> mm</w:t>
      </w:r>
    </w:p>
    <w:p w14:paraId="66A9C68F" w14:textId="77777777" w:rsidR="004B2808" w:rsidRDefault="00000000">
      <w:pPr>
        <w:pStyle w:val="Author-eListParagraph"/>
        <w:numPr>
          <w:ilvl w:val="0"/>
          <w:numId w:val="883"/>
        </w:numPr>
      </w:pPr>
      <w:r>
        <w:rPr>
          <w:rStyle w:val="soitChar"/>
        </w:rPr>
        <w:t xml:space="preserve">Aspect : </w:t>
      </w:r>
      <w:r>
        <w:rPr>
          <w:rStyle w:val="optioncarChar"/>
        </w:rPr>
        <w:t xml:space="preserve">uni </w:t>
      </w:r>
      <w:r>
        <w:t xml:space="preserve">(par défaut) </w:t>
      </w:r>
      <w:r>
        <w:rPr>
          <w:rStyle w:val="optioncarChar"/>
        </w:rPr>
        <w:t>/ structuré / bois / ***</w:t>
      </w:r>
    </w:p>
    <w:p w14:paraId="1A334D65" w14:textId="77777777" w:rsidR="004B2808" w:rsidRDefault="00000000">
      <w:pPr>
        <w:pStyle w:val="Author-eListParagraph"/>
        <w:numPr>
          <w:ilvl w:val="0"/>
          <w:numId w:val="883"/>
        </w:numPr>
      </w:pPr>
      <w:r>
        <w:rPr>
          <w:rStyle w:val="soitChar"/>
        </w:rPr>
        <w:t xml:space="preserve">Teinte : </w:t>
      </w:r>
      <w:r>
        <w:rPr>
          <w:rStyle w:val="optioncarChar"/>
        </w:rPr>
        <w:t>au choix de la direction de chantier dans la gamme du fabricant</w:t>
      </w:r>
      <w:r>
        <w:t xml:space="preserve"> (par défaut) </w:t>
      </w:r>
      <w:r>
        <w:rPr>
          <w:rStyle w:val="optioncarChar"/>
        </w:rPr>
        <w:t>/ ***</w:t>
      </w:r>
    </w:p>
    <w:p w14:paraId="3D2CCF51" w14:textId="77777777" w:rsidR="004B2808" w:rsidRDefault="00000000">
      <w:pPr>
        <w:jc w:val="both"/>
      </w:pPr>
      <w:r>
        <w:rPr>
          <w:b/>
        </w:rPr>
        <w:t>(soit)</w:t>
      </w:r>
    </w:p>
    <w:p w14:paraId="7B1A3608" w14:textId="77777777" w:rsidR="004B2808" w:rsidRDefault="00000000">
      <w:pPr>
        <w:jc w:val="both"/>
      </w:pPr>
      <w:r>
        <w:rPr>
          <w:rStyle w:val="soitChar"/>
          <w:u w:val="single"/>
        </w:rPr>
        <w:t>Placage vernis :</w:t>
      </w:r>
    </w:p>
    <w:p w14:paraId="3797C86B" w14:textId="77777777" w:rsidR="004B2808" w:rsidRDefault="00000000">
      <w:pPr>
        <w:pStyle w:val="Author-eListParagraph"/>
        <w:numPr>
          <w:ilvl w:val="0"/>
          <w:numId w:val="884"/>
        </w:numPr>
      </w:pPr>
      <w:r>
        <w:rPr>
          <w:rStyle w:val="soitChar"/>
        </w:rPr>
        <w:t xml:space="preserve">Epaisseur : ≥ </w:t>
      </w:r>
      <w:r>
        <w:rPr>
          <w:rStyle w:val="optioncarChar"/>
        </w:rPr>
        <w:t>0,8 </w:t>
      </w:r>
      <w:r>
        <w:t>(par défaut)</w:t>
      </w:r>
      <w:r>
        <w:rPr>
          <w:rStyle w:val="optioncarChar"/>
        </w:rPr>
        <w:t xml:space="preserve"> / ***</w:t>
      </w:r>
      <w:r>
        <w:rPr>
          <w:rStyle w:val="soitChar"/>
        </w:rPr>
        <w:t xml:space="preserve"> mm</w:t>
      </w:r>
    </w:p>
    <w:p w14:paraId="54F07FEB" w14:textId="77777777" w:rsidR="004B2808" w:rsidRDefault="00000000">
      <w:pPr>
        <w:pStyle w:val="Author-eListParagraph"/>
        <w:numPr>
          <w:ilvl w:val="0"/>
          <w:numId w:val="884"/>
        </w:numPr>
      </w:pPr>
      <w:r>
        <w:rPr>
          <w:rStyle w:val="soitChar"/>
        </w:rPr>
        <w:t xml:space="preserve">Essence : </w:t>
      </w:r>
      <w:r>
        <w:rPr>
          <w:rStyle w:val="optioncarChar"/>
        </w:rPr>
        <w:t>hêtre </w:t>
      </w:r>
      <w:r>
        <w:t xml:space="preserve">(par défaut) </w:t>
      </w:r>
      <w:r>
        <w:rPr>
          <w:rStyle w:val="optioncarChar"/>
        </w:rPr>
        <w:t>/ chêne / ***</w:t>
      </w:r>
    </w:p>
    <w:p w14:paraId="29684C6A" w14:textId="77777777" w:rsidR="004B2808" w:rsidRDefault="00000000">
      <w:pPr>
        <w:pStyle w:val="Author-eListParagraph"/>
        <w:numPr>
          <w:ilvl w:val="0"/>
          <w:numId w:val="884"/>
        </w:numPr>
      </w:pPr>
      <w:r>
        <w:rPr>
          <w:rStyle w:val="soitChar"/>
        </w:rPr>
        <w:t xml:space="preserve">Vernis : </w:t>
      </w:r>
      <w:r>
        <w:rPr>
          <w:rStyle w:val="optioncarChar"/>
        </w:rPr>
        <w:t xml:space="preserve">mat </w:t>
      </w:r>
      <w:r>
        <w:t>(par défaut)</w:t>
      </w:r>
      <w:r>
        <w:rPr>
          <w:rStyle w:val="optioncarChar"/>
        </w:rPr>
        <w:t xml:space="preserve"> / satiné / ***</w:t>
      </w:r>
    </w:p>
    <w:p w14:paraId="21484385" w14:textId="77777777" w:rsidR="004B2808" w:rsidRDefault="00000000">
      <w:pPr>
        <w:jc w:val="both"/>
      </w:pPr>
      <w:r>
        <w:t xml:space="preserve">Finition de la huisserie : </w:t>
      </w:r>
      <w:r>
        <w:rPr>
          <w:rStyle w:val="optioncarChar"/>
        </w:rPr>
        <w:t>peinture / vernis</w:t>
      </w:r>
    </w:p>
    <w:p w14:paraId="6C5303F4" w14:textId="77777777" w:rsidR="004B2808" w:rsidRDefault="00000000">
      <w:pPr>
        <w:jc w:val="both"/>
      </w:pPr>
      <w:r>
        <w:rPr>
          <w:b/>
        </w:rPr>
        <w:t>(soit)</w:t>
      </w:r>
    </w:p>
    <w:p w14:paraId="47CBA226" w14:textId="77777777" w:rsidR="004B2808" w:rsidRDefault="00000000">
      <w:pPr>
        <w:jc w:val="both"/>
      </w:pPr>
      <w:r>
        <w:rPr>
          <w:rStyle w:val="soitChar"/>
          <w:u w:val="single"/>
        </w:rPr>
        <w:t>Peinture</w:t>
      </w:r>
      <w:r>
        <w:rPr>
          <w:rStyle w:val="soitChar"/>
        </w:rPr>
        <w:t xml:space="preserve"> tel que décrit au 81.2 Peintures intérieures sur subjectiles en bois et dérivés du bois (feuillus, résineux, bois exotiques, panneaux)</w:t>
      </w:r>
    </w:p>
    <w:p w14:paraId="6A18650B" w14:textId="77777777" w:rsidR="004B2808" w:rsidRDefault="00000000">
      <w:pPr>
        <w:jc w:val="both"/>
      </w:pPr>
      <w:r>
        <w:rPr>
          <w:b/>
        </w:rPr>
        <w:t>(soit)</w:t>
      </w:r>
    </w:p>
    <w:p w14:paraId="44E93DA6" w14:textId="77777777" w:rsidR="004B2808" w:rsidRDefault="00000000">
      <w:pPr>
        <w:jc w:val="both"/>
      </w:pPr>
      <w:r>
        <w:rPr>
          <w:rStyle w:val="soitChar"/>
          <w:u w:val="single"/>
        </w:rPr>
        <w:t>Vernis :</w:t>
      </w:r>
      <w:r>
        <w:t xml:space="preserve">  </w:t>
      </w:r>
      <w:r>
        <w:rPr>
          <w:rStyle w:val="optioncarChar"/>
        </w:rPr>
        <w:t>mat</w:t>
      </w:r>
      <w:r>
        <w:t xml:space="preserve"> (par défaut) </w:t>
      </w:r>
      <w:r>
        <w:rPr>
          <w:rStyle w:val="optioncarChar"/>
        </w:rPr>
        <w:t>/ satiné / ***</w:t>
      </w:r>
    </w:p>
    <w:p w14:paraId="42EEDD4D" w14:textId="77777777" w:rsidR="004B2808" w:rsidRDefault="00000000">
      <w:pPr>
        <w:pStyle w:val="pheading"/>
      </w:pPr>
      <w:r>
        <w:t>EXÉCUTION / MISE EN ŒUVRE</w:t>
      </w:r>
    </w:p>
    <w:p w14:paraId="60AC9E33" w14:textId="77777777" w:rsidR="004B2808" w:rsidRDefault="00000000">
      <w:pPr>
        <w:pStyle w:val="pheading"/>
      </w:pPr>
      <w:r>
        <w:t>- Prescriptions générales</w:t>
      </w:r>
    </w:p>
    <w:p w14:paraId="593DF274" w14:textId="77777777" w:rsidR="004B2808" w:rsidRDefault="00000000">
      <w:pPr>
        <w:jc w:val="both"/>
      </w:pPr>
      <w:r>
        <w:t>En cas de portes EI :</w:t>
      </w:r>
    </w:p>
    <w:p w14:paraId="388B2382" w14:textId="77777777" w:rsidR="004B2808" w:rsidRDefault="00000000">
      <w:pPr>
        <w:pStyle w:val="Author-eListParagraph"/>
        <w:numPr>
          <w:ilvl w:val="0"/>
          <w:numId w:val="885"/>
        </w:numPr>
        <w:jc w:val="both"/>
      </w:pPr>
      <w:r>
        <w:t xml:space="preserve">Jour entre huisserie et faces de la baie : ≤ </w:t>
      </w:r>
      <w:r>
        <w:rPr>
          <w:rStyle w:val="optioncarChar"/>
        </w:rPr>
        <w:t xml:space="preserve">10 à 30 </w:t>
      </w:r>
      <w:r>
        <w:t xml:space="preserve">(par défaut) </w:t>
      </w:r>
      <w:r>
        <w:rPr>
          <w:rStyle w:val="optioncarChar"/>
        </w:rPr>
        <w:t>/ 8 à 30 / 8 / ***</w:t>
      </w:r>
      <w:r>
        <w:t xml:space="preserve"> mm</w:t>
      </w:r>
    </w:p>
    <w:p w14:paraId="4CDE041F" w14:textId="77777777" w:rsidR="004B2808" w:rsidRDefault="00000000">
      <w:pPr>
        <w:pStyle w:val="Author-eListParagraph"/>
        <w:numPr>
          <w:ilvl w:val="0"/>
          <w:numId w:val="885"/>
        </w:numPr>
        <w:jc w:val="both"/>
      </w:pPr>
      <w:r>
        <w:t xml:space="preserve">Remplissage adapté à la largeur du jour conformément aux prescriptions du rapport d’essai au feu : </w:t>
      </w:r>
      <w:r>
        <w:rPr>
          <w:rStyle w:val="optioncarChar"/>
        </w:rPr>
        <w:t xml:space="preserve">laine de roche densité 45kg/m³ comprimée à 80 à 100 kg/m³ </w:t>
      </w:r>
      <w:r>
        <w:t xml:space="preserve">(par défaut) </w:t>
      </w:r>
      <w:r>
        <w:rPr>
          <w:rStyle w:val="optioncarChar"/>
        </w:rPr>
        <w:t>/ mousse PUR ignifugée / joint intumescent avec finition silicone RF</w:t>
      </w:r>
    </w:p>
    <w:p w14:paraId="7C51078E" w14:textId="77777777" w:rsidR="004B2808" w:rsidRDefault="00000000">
      <w:pPr>
        <w:pStyle w:val="pheading"/>
      </w:pPr>
      <w:r>
        <w:t>MESURAGE</w:t>
      </w:r>
    </w:p>
    <w:p w14:paraId="4B9BBAD0" w14:textId="77777777" w:rsidR="004B2808" w:rsidRDefault="00000000">
      <w:pPr>
        <w:pStyle w:val="pheading"/>
      </w:pPr>
      <w:r>
        <w:t>- unité de mesure:</w:t>
      </w:r>
    </w:p>
    <w:p w14:paraId="305A8A84" w14:textId="77777777" w:rsidR="004B2808" w:rsidRDefault="00000000">
      <w:r>
        <w:t>pc</w:t>
      </w:r>
    </w:p>
    <w:p w14:paraId="1C80B256" w14:textId="77777777" w:rsidR="004B2808" w:rsidRDefault="00000000">
      <w:pPr>
        <w:pStyle w:val="pheading"/>
      </w:pPr>
      <w:r>
        <w:t>- code de mesurage:</w:t>
      </w:r>
    </w:p>
    <w:p w14:paraId="1046528E" w14:textId="77777777" w:rsidR="004B2808" w:rsidRDefault="00000000">
      <w:pPr>
        <w:jc w:val="both"/>
      </w:pPr>
      <w:r>
        <w:t>Quantité nette, distinction faite du type et des dimensions des portes.</w:t>
      </w:r>
    </w:p>
    <w:p w14:paraId="74D9C5BC" w14:textId="77777777" w:rsidR="004B2808" w:rsidRDefault="00000000">
      <w:pPr>
        <w:pStyle w:val="pheading"/>
      </w:pPr>
      <w:r>
        <w:lastRenderedPageBreak/>
        <w:t>- nature du marché:</w:t>
      </w:r>
    </w:p>
    <w:p w14:paraId="6183A752" w14:textId="77777777" w:rsidR="004B2808" w:rsidRDefault="00000000">
      <w:r>
        <w:t>QF</w:t>
      </w:r>
    </w:p>
    <w:p w14:paraId="12B6CF88" w14:textId="77777777" w:rsidR="004B2808" w:rsidRDefault="00000000">
      <w:pPr>
        <w:pStyle w:val="pheading"/>
      </w:pPr>
      <w:r>
        <w:t>AIDE</w:t>
      </w:r>
    </w:p>
    <w:p w14:paraId="0A44469D" w14:textId="77777777" w:rsidR="004B2808" w:rsidRDefault="00000000">
      <w:pPr>
        <w:jc w:val="both"/>
      </w:pPr>
      <w:r>
        <w:t>En cas de portes EI, le revêtement de sol dans les baies est dur et plan, tel qu’un carrelage, un parquet, du béton, du linoléum.</w:t>
      </w:r>
    </w:p>
    <w:p w14:paraId="78559CF8" w14:textId="77777777" w:rsidR="004B2808" w:rsidRDefault="00000000">
      <w:pPr>
        <w:jc w:val="both"/>
      </w:pPr>
      <w:r>
        <w:t>Certains agréments techniques autorisent le tapis plain (épaisseur max. : 6 mm ; réaction au feu : classe Bfl).</w:t>
      </w:r>
    </w:p>
    <w:p w14:paraId="0773CF2F" w14:textId="77777777" w:rsidR="004B2808" w:rsidRDefault="00000000">
      <w:pPr>
        <w:pStyle w:val="Author-eSectionHeading5Numberless"/>
      </w:pPr>
      <w:bookmarkStart w:id="1061" w:name="_Toc220491188"/>
      <w:r>
        <w:t>55.21.3 Portes intérieures à cadre apparent</w:t>
      </w:r>
      <w:bookmarkEnd w:id="1061"/>
    </w:p>
    <w:p w14:paraId="00DFDF92" w14:textId="77777777" w:rsidR="004B2808" w:rsidRDefault="00000000">
      <w:pPr>
        <w:pStyle w:val="Author-eSectionHeading6Numberless"/>
      </w:pPr>
      <w:bookmarkStart w:id="1062" w:name="_Toc220491189"/>
      <w:r>
        <w:t>55.21.3a Portes intérieures à cadre apparent CCTB 01.12</w:t>
      </w:r>
      <w:bookmarkEnd w:id="1062"/>
    </w:p>
    <w:p w14:paraId="27909EEF" w14:textId="77777777" w:rsidR="004B2808" w:rsidRDefault="00000000">
      <w:pPr>
        <w:pStyle w:val="Author-eSectionHeading5Numberless"/>
      </w:pPr>
      <w:bookmarkStart w:id="1063" w:name="_Toc220491190"/>
      <w:r>
        <w:t>55.21.4 Portes intérieures isolantes CCTB 01.12</w:t>
      </w:r>
      <w:bookmarkEnd w:id="1063"/>
    </w:p>
    <w:p w14:paraId="722E07D2" w14:textId="77777777" w:rsidR="004B2808" w:rsidRDefault="00000000">
      <w:pPr>
        <w:pStyle w:val="pheading"/>
      </w:pPr>
      <w:r>
        <w:t>EXÉCUTION / MISE EN ŒUVRE</w:t>
      </w:r>
    </w:p>
    <w:p w14:paraId="6AEEF630" w14:textId="77777777" w:rsidR="004B2808" w:rsidRDefault="00000000">
      <w:pPr>
        <w:jc w:val="both"/>
      </w:pPr>
      <w:r>
        <w:t xml:space="preserve">La mise en œuvre est exécutée conformément à la documentation technique accompagnant les produits et au </w:t>
      </w:r>
      <w:hyperlink w:anchor="1320" w:history="1">
        <w:r w:rsidR="004B2808">
          <w:rPr>
            <w:color w:val="0000EE"/>
          </w:rPr>
          <w:t>55.2 Portes intérieures</w:t>
        </w:r>
      </w:hyperlink>
    </w:p>
    <w:p w14:paraId="6C679170" w14:textId="77777777" w:rsidR="004B2808" w:rsidRDefault="00000000">
      <w:pPr>
        <w:jc w:val="both"/>
      </w:pPr>
      <w:r>
        <w:t>L’entrepreneur présente les plans d’exécution pour approbation à la direction des travaux.</w:t>
      </w:r>
    </w:p>
    <w:p w14:paraId="5C435538" w14:textId="77777777" w:rsidR="004B2808" w:rsidRDefault="00000000">
      <w:pPr>
        <w:pStyle w:val="pheading"/>
      </w:pPr>
      <w:r>
        <w:t>DOCUMENTS DE RÉFÉRENCE</w:t>
      </w:r>
    </w:p>
    <w:p w14:paraId="1E2935F7" w14:textId="77777777" w:rsidR="004B2808" w:rsidRDefault="00000000">
      <w:pPr>
        <w:pStyle w:val="pheading"/>
      </w:pPr>
      <w:r>
        <w:t>- Matériau</w:t>
      </w:r>
    </w:p>
    <w:p w14:paraId="2E07F86F" w14:textId="77777777" w:rsidR="004B2808" w:rsidRDefault="00000000">
      <w:r>
        <w:t>[NBN EN 1192, Portes - Classification des exigences de résistance mécanique]</w:t>
      </w:r>
    </w:p>
    <w:p w14:paraId="02D27A8B" w14:textId="77777777" w:rsidR="004B2808" w:rsidRDefault="00000000">
      <w:r>
        <w:t>[NBN EN 1530, Vantaux de portes - Planéité générale et planéité locale - Classes de tolérances]</w:t>
      </w:r>
    </w:p>
    <w:p w14:paraId="5FB3CD28" w14:textId="77777777" w:rsidR="004B2808" w:rsidRDefault="00000000">
      <w:r>
        <w:t>[NBN EN 12207, Fenêtres et portes - Perméabilité à l'air - Classification]</w:t>
      </w:r>
    </w:p>
    <w:p w14:paraId="0FD26D40" w14:textId="77777777" w:rsidR="004B2808" w:rsidRDefault="00000000">
      <w:r>
        <w:t>[NBN EN 12217, Portes - Forces de manœuvre - Prescriptions et classification]</w:t>
      </w:r>
    </w:p>
    <w:p w14:paraId="16B5E215" w14:textId="77777777" w:rsidR="004B2808" w:rsidRDefault="00000000">
      <w:r>
        <w:t>[NBN EN 12400, Fenêtres et portes - Durabilité mécanique - Prescriptions et classification]</w:t>
      </w:r>
    </w:p>
    <w:p w14:paraId="5AAEEB16" w14:textId="77777777" w:rsidR="004B2808" w:rsidRDefault="00000000">
      <w:pPr>
        <w:pStyle w:val="Author-eSectionHeading6Numberless"/>
      </w:pPr>
      <w:bookmarkStart w:id="1064" w:name="_Toc220491191"/>
      <w:r>
        <w:t>55.21.4a Portes intérieures isolantes CCTB 01.12</w:t>
      </w:r>
      <w:bookmarkEnd w:id="1064"/>
    </w:p>
    <w:p w14:paraId="037D9253" w14:textId="77777777" w:rsidR="004B2808" w:rsidRDefault="00000000">
      <w:pPr>
        <w:pStyle w:val="pheading"/>
      </w:pPr>
      <w:r>
        <w:t>DESCRIPTION</w:t>
      </w:r>
    </w:p>
    <w:p w14:paraId="036319C7" w14:textId="77777777" w:rsidR="004B2808" w:rsidRDefault="00000000">
      <w:pPr>
        <w:pStyle w:val="pheading"/>
      </w:pPr>
      <w:r>
        <w:t>- Définition / Comprend</w:t>
      </w:r>
    </w:p>
    <w:p w14:paraId="0BE08D6F" w14:textId="77777777" w:rsidR="004B2808" w:rsidRDefault="00000000">
      <w:pPr>
        <w:jc w:val="both"/>
      </w:pPr>
      <w:r>
        <w:t>Il s’agit de la fourniture et la pose de portes intérieures isolantes.</w:t>
      </w:r>
    </w:p>
    <w:p w14:paraId="409EA042" w14:textId="77777777" w:rsidR="004B2808" w:rsidRDefault="00000000">
      <w:pPr>
        <w:jc w:val="both"/>
      </w:pPr>
      <w:r>
        <w:t xml:space="preserve">Voir </w:t>
      </w:r>
      <w:hyperlink w:anchor="1320" w:history="1">
        <w:r w:rsidR="004B2808">
          <w:rPr>
            <w:color w:val="0000EE"/>
          </w:rPr>
          <w:t>55.2 Portes intérieures</w:t>
        </w:r>
      </w:hyperlink>
    </w:p>
    <w:p w14:paraId="2076E204" w14:textId="77777777" w:rsidR="004B2808" w:rsidRDefault="00000000">
      <w:pPr>
        <w:pStyle w:val="pheading"/>
      </w:pPr>
      <w:r>
        <w:t>MATÉRIAUX</w:t>
      </w:r>
    </w:p>
    <w:p w14:paraId="0BC9655C" w14:textId="77777777" w:rsidR="004B2808" w:rsidRDefault="00000000">
      <w:pPr>
        <w:pStyle w:val="pheading"/>
      </w:pPr>
      <w:r>
        <w:t>- Caractéristiques générales</w:t>
      </w:r>
    </w:p>
    <w:p w14:paraId="48422CD9" w14:textId="77777777" w:rsidR="004B2808" w:rsidRDefault="00000000">
      <w:pPr>
        <w:jc w:val="both"/>
      </w:pPr>
      <w:r>
        <w:t xml:space="preserve">Huisserie et vantaux de portes intérieures isolantes suivant </w:t>
      </w:r>
      <w:hyperlink w:anchor="1318" w:history="1">
        <w:r w:rsidR="004B2808">
          <w:rPr>
            <w:color w:val="0000EE"/>
          </w:rPr>
          <w:t>55.21 Portes intérieures en bois</w:t>
        </w:r>
      </w:hyperlink>
    </w:p>
    <w:p w14:paraId="2DBF640A" w14:textId="77777777" w:rsidR="004B2808" w:rsidRDefault="00000000">
      <w:pPr>
        <w:jc w:val="both"/>
      </w:pPr>
      <w:r>
        <w:rPr>
          <w:b/>
        </w:rPr>
        <w:t>Vantaux de portes :</w:t>
      </w:r>
      <w:r>
        <w:t xml:space="preserve"> composition : cadre avec remplissage panneau de particules et finition en panneau fibre de bois.</w:t>
      </w:r>
    </w:p>
    <w:p w14:paraId="226D99FE" w14:textId="77777777" w:rsidR="004B2808" w:rsidRDefault="00000000">
      <w:pPr>
        <w:pStyle w:val="Author-eListParagraph"/>
        <w:numPr>
          <w:ilvl w:val="0"/>
          <w:numId w:val="886"/>
        </w:numPr>
      </w:pPr>
      <w:r>
        <w:t xml:space="preserve">Cadre : bois résineux ou dur densité  : ≥ </w:t>
      </w:r>
      <w:r>
        <w:rPr>
          <w:rStyle w:val="optioncarChar"/>
        </w:rPr>
        <w:t xml:space="preserve">450 / 460 </w:t>
      </w:r>
      <w:r>
        <w:t xml:space="preserve">(par défaut) </w:t>
      </w:r>
      <w:r>
        <w:rPr>
          <w:rStyle w:val="optioncarChar"/>
        </w:rPr>
        <w:t>/ ***</w:t>
      </w:r>
      <w:r>
        <w:t xml:space="preserve"> kg/m³</w:t>
      </w:r>
    </w:p>
    <w:p w14:paraId="61B96E40" w14:textId="77777777" w:rsidR="004B2808" w:rsidRDefault="00000000">
      <w:pPr>
        <w:pStyle w:val="Author-eListParagraph"/>
        <w:numPr>
          <w:ilvl w:val="0"/>
          <w:numId w:val="886"/>
        </w:numPr>
      </w:pPr>
      <w:r>
        <w:t xml:space="preserve">Panneau de porte : </w:t>
      </w:r>
      <w:r>
        <w:rPr>
          <w:rStyle w:val="optioncarChar"/>
        </w:rPr>
        <w:t>PUR</w:t>
      </w:r>
      <w:r>
        <w:t xml:space="preserve"> (par défaut)</w:t>
      </w:r>
      <w:r>
        <w:rPr>
          <w:rStyle w:val="optioncarChar"/>
        </w:rPr>
        <w:t xml:space="preserve"> / aggloméré densité 430 kg/m³ / ***</w:t>
      </w:r>
    </w:p>
    <w:p w14:paraId="21C78A4F" w14:textId="77777777" w:rsidR="004B2808" w:rsidRDefault="00000000">
      <w:pPr>
        <w:ind w:left="567"/>
        <w:jc w:val="both"/>
      </w:pPr>
      <w:r>
        <w:rPr>
          <w:b/>
        </w:rPr>
        <w:t>(soit par défaut)</w:t>
      </w:r>
    </w:p>
    <w:p w14:paraId="7F11B23E" w14:textId="77777777" w:rsidR="004B2808" w:rsidRDefault="00000000">
      <w:pPr>
        <w:ind w:left="567"/>
        <w:jc w:val="both"/>
      </w:pPr>
      <w:r>
        <w:rPr>
          <w:rStyle w:val="soitChar"/>
          <w:u w:val="single"/>
        </w:rPr>
        <w:t>PUR  densité  :</w:t>
      </w:r>
      <w:r>
        <w:rPr>
          <w:rStyle w:val="soitChar"/>
        </w:rPr>
        <w:t xml:space="preserve"> ≥ </w:t>
      </w:r>
      <w:r>
        <w:rPr>
          <w:rStyle w:val="optioncarChar"/>
        </w:rPr>
        <w:t>35 / ***</w:t>
      </w:r>
      <w:r>
        <w:rPr>
          <w:rStyle w:val="soitChar"/>
        </w:rPr>
        <w:t xml:space="preserve"> kg/m³</w:t>
      </w:r>
    </w:p>
    <w:p w14:paraId="64EFE18B" w14:textId="77777777" w:rsidR="004B2808" w:rsidRDefault="00000000">
      <w:pPr>
        <w:ind w:left="567"/>
        <w:jc w:val="both"/>
      </w:pPr>
      <w:r>
        <w:rPr>
          <w:b/>
        </w:rPr>
        <w:t>(soit)</w:t>
      </w:r>
    </w:p>
    <w:p w14:paraId="61AC766C" w14:textId="77777777" w:rsidR="004B2808" w:rsidRDefault="00000000">
      <w:pPr>
        <w:ind w:left="567"/>
        <w:jc w:val="both"/>
      </w:pPr>
      <w:r>
        <w:rPr>
          <w:rStyle w:val="soitChar"/>
          <w:u w:val="single"/>
        </w:rPr>
        <w:t>Aggloméré :</w:t>
      </w:r>
      <w:r>
        <w:rPr>
          <w:rStyle w:val="soitChar"/>
        </w:rPr>
        <w:t xml:space="preserve"> densité: ≥  </w:t>
      </w:r>
      <w:r>
        <w:rPr>
          <w:rStyle w:val="optioncarChar"/>
        </w:rPr>
        <w:t>430 / ***</w:t>
      </w:r>
      <w:r>
        <w:t>  </w:t>
      </w:r>
      <w:r>
        <w:rPr>
          <w:rStyle w:val="soitChar"/>
        </w:rPr>
        <w:t>kg/m³</w:t>
      </w:r>
    </w:p>
    <w:p w14:paraId="304800C6" w14:textId="77777777" w:rsidR="004B2808" w:rsidRDefault="00000000">
      <w:pPr>
        <w:pStyle w:val="Author-eListParagraph"/>
        <w:numPr>
          <w:ilvl w:val="0"/>
          <w:numId w:val="887"/>
        </w:numPr>
      </w:pPr>
      <w:r>
        <w:t xml:space="preserve">Finition au moyen : </w:t>
      </w:r>
      <w:r>
        <w:rPr>
          <w:rStyle w:val="optioncarChar"/>
        </w:rPr>
        <w:t xml:space="preserve">d’un panneau de particules, épaisseur 3 à 5 mm, densité ≥ 900 kg/m³ recouvert d’une feuille d’aluminium de 1,2 mm </w:t>
      </w:r>
      <w:r>
        <w:t>(par défaut)</w:t>
      </w:r>
      <w:r>
        <w:rPr>
          <w:rStyle w:val="optioncarChar"/>
        </w:rPr>
        <w:t xml:space="preserve"> / d’un panneau de particules, épaisseur 3 à 5 mm, densité ≥ 900 kg/m³ recouvert d’une tôle d’aluminium de 0,8 mm / ***</w:t>
      </w:r>
      <w:r>
        <w:t xml:space="preserve">  </w:t>
      </w:r>
    </w:p>
    <w:p w14:paraId="55528937" w14:textId="77777777" w:rsidR="004B2808" w:rsidRDefault="00000000">
      <w:pPr>
        <w:jc w:val="both"/>
      </w:pPr>
      <w:r>
        <w:lastRenderedPageBreak/>
        <w:t>Caractéristiques des vantaux de porte :</w:t>
      </w:r>
    </w:p>
    <w:p w14:paraId="5A66E24A" w14:textId="77777777" w:rsidR="004B2808" w:rsidRDefault="00000000">
      <w:pPr>
        <w:pStyle w:val="Author-eListParagraph"/>
        <w:numPr>
          <w:ilvl w:val="0"/>
          <w:numId w:val="888"/>
        </w:numPr>
      </w:pPr>
      <w:r>
        <w:t xml:space="preserve">Hauteur : </w:t>
      </w:r>
      <w:r>
        <w:rPr>
          <w:rStyle w:val="optioncarChar"/>
        </w:rPr>
        <w:t xml:space="preserve">211,5 </w:t>
      </w:r>
      <w:r>
        <w:t xml:space="preserve">(par défaut) </w:t>
      </w:r>
      <w:r>
        <w:rPr>
          <w:rStyle w:val="optioncarChar"/>
        </w:rPr>
        <w:t>/ 201,5 / ***</w:t>
      </w:r>
      <w:r>
        <w:t xml:space="preserve"> cm</w:t>
      </w:r>
    </w:p>
    <w:p w14:paraId="38040C85" w14:textId="77777777" w:rsidR="004B2808" w:rsidRDefault="00000000">
      <w:pPr>
        <w:pStyle w:val="Author-eListParagraph"/>
        <w:numPr>
          <w:ilvl w:val="0"/>
          <w:numId w:val="888"/>
        </w:numPr>
      </w:pPr>
      <w:r>
        <w:t xml:space="preserve">Largeur : </w:t>
      </w:r>
      <w:r>
        <w:rPr>
          <w:rStyle w:val="optioncarChar"/>
        </w:rPr>
        <w:t xml:space="preserve">suivant plans </w:t>
      </w:r>
      <w:r>
        <w:t xml:space="preserve">(par défaut) </w:t>
      </w:r>
      <w:r>
        <w:rPr>
          <w:rStyle w:val="optioncarChar"/>
        </w:rPr>
        <w:t>/ ***</w:t>
      </w:r>
      <w:r>
        <w:t xml:space="preserve"> cm</w:t>
      </w:r>
    </w:p>
    <w:p w14:paraId="0E6129C7" w14:textId="77777777" w:rsidR="004B2808" w:rsidRDefault="00000000">
      <w:pPr>
        <w:pStyle w:val="Author-eListParagraph"/>
        <w:numPr>
          <w:ilvl w:val="0"/>
          <w:numId w:val="888"/>
        </w:numPr>
      </w:pPr>
      <w:r>
        <w:t xml:space="preserve">Épaisseur: ≥ </w:t>
      </w:r>
      <w:r>
        <w:rPr>
          <w:rStyle w:val="optioncarChar"/>
        </w:rPr>
        <w:t xml:space="preserve">40 </w:t>
      </w:r>
      <w:r>
        <w:t>(par défaut)</w:t>
      </w:r>
      <w:r>
        <w:rPr>
          <w:rStyle w:val="optioncarChar"/>
        </w:rPr>
        <w:t xml:space="preserve"> / 55 / ***</w:t>
      </w:r>
      <w:r>
        <w:t xml:space="preserve"> mm</w:t>
      </w:r>
    </w:p>
    <w:p w14:paraId="408C7A81" w14:textId="77777777" w:rsidR="004B2808" w:rsidRDefault="00000000">
      <w:pPr>
        <w:pStyle w:val="Author-eListParagraph"/>
        <w:numPr>
          <w:ilvl w:val="0"/>
          <w:numId w:val="888"/>
        </w:numPr>
      </w:pPr>
      <w:r>
        <w:t xml:space="preserve">Battée avec joint d’étanchéité : </w:t>
      </w:r>
      <w:r>
        <w:rPr>
          <w:rStyle w:val="optioncarChar"/>
        </w:rPr>
        <w:t xml:space="preserve">oui </w:t>
      </w:r>
      <w:r>
        <w:t>(par défaut)</w:t>
      </w:r>
      <w:r>
        <w:rPr>
          <w:rStyle w:val="optioncarChar"/>
        </w:rPr>
        <w:t xml:space="preserve"> / non</w:t>
      </w:r>
    </w:p>
    <w:p w14:paraId="68447E14" w14:textId="77777777" w:rsidR="004B2808" w:rsidRDefault="00000000">
      <w:pPr>
        <w:ind w:left="567"/>
        <w:jc w:val="both"/>
      </w:pPr>
      <w:r>
        <w:rPr>
          <w:b/>
        </w:rPr>
        <w:t>(soit par défaut)</w:t>
      </w:r>
    </w:p>
    <w:p w14:paraId="26A5AF97" w14:textId="77777777" w:rsidR="004B2808" w:rsidRDefault="00000000">
      <w:pPr>
        <w:ind w:left="567"/>
        <w:jc w:val="both"/>
      </w:pPr>
      <w:r>
        <w:rPr>
          <w:rStyle w:val="soitChar"/>
          <w:u w:val="single"/>
        </w:rPr>
        <w:t>Oui :</w:t>
      </w:r>
    </w:p>
    <w:p w14:paraId="3D4E0407" w14:textId="77777777" w:rsidR="004B2808" w:rsidRDefault="004B2808">
      <w:pPr>
        <w:pStyle w:val="Author-eListParagraph"/>
        <w:numPr>
          <w:ilvl w:val="0"/>
          <w:numId w:val="889"/>
        </w:numPr>
      </w:pPr>
    </w:p>
    <w:p w14:paraId="74FD6804" w14:textId="77777777" w:rsidR="004B2808" w:rsidRDefault="00000000">
      <w:pPr>
        <w:pStyle w:val="Author-eListParagraph"/>
        <w:numPr>
          <w:ilvl w:val="1"/>
          <w:numId w:val="890"/>
        </w:numPr>
      </w:pPr>
      <w:r>
        <w:rPr>
          <w:rStyle w:val="soitChar"/>
        </w:rPr>
        <w:t>Battée sur les 4 faces avec joint d’étanchéité</w:t>
      </w:r>
    </w:p>
    <w:p w14:paraId="388C5BBD" w14:textId="77777777" w:rsidR="004B2808" w:rsidRDefault="00000000">
      <w:pPr>
        <w:pStyle w:val="Author-eListParagraph"/>
        <w:numPr>
          <w:ilvl w:val="1"/>
          <w:numId w:val="890"/>
        </w:numPr>
      </w:pPr>
      <w:r>
        <w:rPr>
          <w:rStyle w:val="soitChar"/>
        </w:rPr>
        <w:t>Fourniture et pose d’un seuil en bois massif recouvert d’inox</w:t>
      </w:r>
    </w:p>
    <w:p w14:paraId="7BA825EB" w14:textId="77777777" w:rsidR="004B2808" w:rsidRDefault="00000000">
      <w:pPr>
        <w:ind w:left="567"/>
        <w:jc w:val="both"/>
      </w:pPr>
      <w:r>
        <w:rPr>
          <w:b/>
        </w:rPr>
        <w:t>(soit)</w:t>
      </w:r>
    </w:p>
    <w:p w14:paraId="7CC3946A" w14:textId="77777777" w:rsidR="004B2808" w:rsidRDefault="00000000">
      <w:pPr>
        <w:ind w:left="567"/>
        <w:jc w:val="both"/>
      </w:pPr>
      <w:r>
        <w:rPr>
          <w:rStyle w:val="soitChar"/>
          <w:u w:val="single"/>
        </w:rPr>
        <w:t>Non :</w:t>
      </w:r>
      <w:r>
        <w:rPr>
          <w:rStyle w:val="soitChar"/>
        </w:rPr>
        <w:t> pas de battée</w:t>
      </w:r>
    </w:p>
    <w:p w14:paraId="7621A402" w14:textId="77777777" w:rsidR="004B2808" w:rsidRDefault="00000000">
      <w:pPr>
        <w:pStyle w:val="Author-eListParagraph"/>
        <w:numPr>
          <w:ilvl w:val="0"/>
          <w:numId w:val="891"/>
        </w:numPr>
      </w:pPr>
      <w:r>
        <w:t xml:space="preserve">Dimensions - classe de tolérance [NBN EN 1530] : </w:t>
      </w:r>
      <w:r>
        <w:rPr>
          <w:rStyle w:val="optioncarChar"/>
        </w:rPr>
        <w:t>D2</w:t>
      </w:r>
      <w:r>
        <w:t xml:space="preserve"> (par défaut)</w:t>
      </w:r>
      <w:r>
        <w:rPr>
          <w:rStyle w:val="optioncarChar"/>
        </w:rPr>
        <w:t xml:space="preserve"> / D1 / D3</w:t>
      </w:r>
    </w:p>
    <w:p w14:paraId="039DEA86" w14:textId="77777777" w:rsidR="004B2808" w:rsidRDefault="00000000">
      <w:pPr>
        <w:pStyle w:val="Author-eListParagraph"/>
        <w:numPr>
          <w:ilvl w:val="0"/>
          <w:numId w:val="891"/>
        </w:numPr>
      </w:pPr>
      <w:r>
        <w:t xml:space="preserve">Planéité générale et locale – classe de tolérance [NBN EN 1192] : </w:t>
      </w:r>
      <w:r>
        <w:rPr>
          <w:rStyle w:val="optioncarChar"/>
        </w:rPr>
        <w:t xml:space="preserve">1 / 2 </w:t>
      </w:r>
      <w:r>
        <w:t xml:space="preserve">(par défaut) </w:t>
      </w:r>
      <w:r>
        <w:rPr>
          <w:rStyle w:val="optioncarChar"/>
        </w:rPr>
        <w:t>/ 3 / 4</w:t>
      </w:r>
    </w:p>
    <w:p w14:paraId="5C3ACBA7" w14:textId="77777777" w:rsidR="004B2808" w:rsidRDefault="00000000">
      <w:pPr>
        <w:pStyle w:val="Author-eListParagraph"/>
        <w:numPr>
          <w:ilvl w:val="0"/>
          <w:numId w:val="891"/>
        </w:numPr>
      </w:pPr>
      <w:r>
        <w:t>Fréquence d’utilisation selon [NBN EN 12400] classe :</w:t>
      </w:r>
      <w:r>
        <w:rPr>
          <w:rStyle w:val="optioncarChar"/>
        </w:rPr>
        <w:t xml:space="preserve"> 1 / 2 / 3 / 4 / 5</w:t>
      </w:r>
      <w:r>
        <w:t xml:space="preserve"> (par défaut)</w:t>
      </w:r>
      <w:r>
        <w:rPr>
          <w:rStyle w:val="optioncarChar"/>
        </w:rPr>
        <w:t xml:space="preserve"> / 6 / 7 / 8</w:t>
      </w:r>
    </w:p>
    <w:p w14:paraId="56A3AF9E" w14:textId="77777777" w:rsidR="004B2808" w:rsidRDefault="00000000">
      <w:pPr>
        <w:jc w:val="both"/>
      </w:pPr>
      <w:r>
        <w:rPr>
          <w:b/>
        </w:rPr>
        <w:t>Huisserie :</w:t>
      </w:r>
    </w:p>
    <w:p w14:paraId="60951417" w14:textId="77777777" w:rsidR="004B2808" w:rsidRDefault="00000000">
      <w:pPr>
        <w:jc w:val="both"/>
      </w:pPr>
      <w:r>
        <w:t xml:space="preserve">Type : </w:t>
      </w:r>
      <w:r>
        <w:rPr>
          <w:rStyle w:val="optioncarChar"/>
        </w:rPr>
        <w:t>ébrasement avec chambranle</w:t>
      </w:r>
      <w:r>
        <w:t xml:space="preserve"> (par défaut)</w:t>
      </w:r>
      <w:r>
        <w:rPr>
          <w:rStyle w:val="optioncarChar"/>
        </w:rPr>
        <w:t xml:space="preserve"> / bâti dormant</w:t>
      </w:r>
    </w:p>
    <w:p w14:paraId="5230B270" w14:textId="77777777" w:rsidR="004B2808" w:rsidRDefault="00000000">
      <w:pPr>
        <w:jc w:val="both"/>
      </w:pPr>
      <w:r>
        <w:rPr>
          <w:b/>
        </w:rPr>
        <w:t>(soit par défaut)</w:t>
      </w:r>
    </w:p>
    <w:p w14:paraId="313A44BC" w14:textId="77777777" w:rsidR="004B2808" w:rsidRDefault="00000000">
      <w:pPr>
        <w:jc w:val="both"/>
      </w:pPr>
      <w:r>
        <w:rPr>
          <w:rStyle w:val="soitChar"/>
          <w:u w:val="single"/>
        </w:rPr>
        <w:t>Ébrasement avec chambranle :</w:t>
      </w:r>
    </w:p>
    <w:p w14:paraId="236BB62B" w14:textId="77777777" w:rsidR="004B2808" w:rsidRDefault="00000000">
      <w:pPr>
        <w:pStyle w:val="Author-eListParagraph"/>
        <w:numPr>
          <w:ilvl w:val="0"/>
          <w:numId w:val="892"/>
        </w:numPr>
      </w:pPr>
      <w:r>
        <w:rPr>
          <w:rStyle w:val="soitChar"/>
        </w:rPr>
        <w:t xml:space="preserve">Matériau : </w:t>
      </w:r>
      <w:r>
        <w:rPr>
          <w:rStyle w:val="optioncarChar"/>
        </w:rPr>
        <w:t xml:space="preserve">bois dur </w:t>
      </w:r>
      <w:r>
        <w:t>(par défaut)</w:t>
      </w:r>
      <w:r>
        <w:rPr>
          <w:rStyle w:val="optioncarChar"/>
        </w:rPr>
        <w:t xml:space="preserve"> / lamellé / multiplex WBP / fibres de bois mdf / ***</w:t>
      </w:r>
    </w:p>
    <w:p w14:paraId="7638493D" w14:textId="77777777" w:rsidR="004B2808" w:rsidRDefault="00000000">
      <w:pPr>
        <w:pStyle w:val="Author-eListParagraph"/>
        <w:numPr>
          <w:ilvl w:val="0"/>
          <w:numId w:val="892"/>
        </w:numPr>
      </w:pPr>
      <w:r>
        <w:rPr>
          <w:rStyle w:val="soitChar"/>
        </w:rPr>
        <w:t xml:space="preserve">Épaisseur: ≥ </w:t>
      </w:r>
      <w:r>
        <w:rPr>
          <w:rStyle w:val="optioncarChar"/>
        </w:rPr>
        <w:t xml:space="preserve">18 </w:t>
      </w:r>
      <w:r>
        <w:t>(par défaut)</w:t>
      </w:r>
      <w:r>
        <w:rPr>
          <w:rStyle w:val="optioncarChar"/>
        </w:rPr>
        <w:t xml:space="preserve"> / ***</w:t>
      </w:r>
      <w:r>
        <w:rPr>
          <w:rStyle w:val="soitChar"/>
        </w:rPr>
        <w:t xml:space="preserve"> mm</w:t>
      </w:r>
    </w:p>
    <w:p w14:paraId="685E9D26" w14:textId="77777777" w:rsidR="004B2808" w:rsidRDefault="00000000">
      <w:pPr>
        <w:pStyle w:val="Author-eListParagraph"/>
        <w:numPr>
          <w:ilvl w:val="0"/>
          <w:numId w:val="892"/>
        </w:numPr>
      </w:pPr>
      <w:r>
        <w:rPr>
          <w:rStyle w:val="soitChar"/>
        </w:rPr>
        <w:t xml:space="preserve">Listel : </w:t>
      </w:r>
      <w:r>
        <w:rPr>
          <w:rStyle w:val="optioncarChar"/>
        </w:rPr>
        <w:t xml:space="preserve">22x22 </w:t>
      </w:r>
      <w:r>
        <w:t xml:space="preserve">(par défaut) </w:t>
      </w:r>
      <w:r>
        <w:rPr>
          <w:rStyle w:val="optioncarChar"/>
        </w:rPr>
        <w:t>/ 26x22 / ***</w:t>
      </w:r>
      <w:r>
        <w:rPr>
          <w:rStyle w:val="soitChar"/>
        </w:rPr>
        <w:t xml:space="preserve"> mm</w:t>
      </w:r>
    </w:p>
    <w:p w14:paraId="10BF9B8A" w14:textId="77777777" w:rsidR="004B2808" w:rsidRDefault="00000000">
      <w:pPr>
        <w:jc w:val="both"/>
      </w:pPr>
      <w:r>
        <w:rPr>
          <w:b/>
        </w:rPr>
        <w:t>(soit)</w:t>
      </w:r>
    </w:p>
    <w:p w14:paraId="21BEC3B8" w14:textId="77777777" w:rsidR="004B2808" w:rsidRDefault="00000000">
      <w:pPr>
        <w:jc w:val="both"/>
      </w:pPr>
      <w:r>
        <w:rPr>
          <w:rStyle w:val="soitChar"/>
          <w:u w:val="single"/>
        </w:rPr>
        <w:t>Bâti dormant :</w:t>
      </w:r>
    </w:p>
    <w:p w14:paraId="2E67215E" w14:textId="77777777" w:rsidR="004B2808" w:rsidRDefault="00000000">
      <w:pPr>
        <w:pStyle w:val="Author-eListParagraph"/>
        <w:numPr>
          <w:ilvl w:val="0"/>
          <w:numId w:val="893"/>
        </w:numPr>
      </w:pPr>
      <w:r>
        <w:rPr>
          <w:rStyle w:val="soitChar"/>
        </w:rPr>
        <w:t xml:space="preserve">Matériau : </w:t>
      </w:r>
      <w:r>
        <w:rPr>
          <w:rStyle w:val="optioncarChar"/>
        </w:rPr>
        <w:t>bois dur</w:t>
      </w:r>
      <w:r>
        <w:t xml:space="preserve"> (par défaut) </w:t>
      </w:r>
      <w:r>
        <w:rPr>
          <w:rStyle w:val="optioncarChar"/>
        </w:rPr>
        <w:t>/ lamellé / ***</w:t>
      </w:r>
    </w:p>
    <w:p w14:paraId="4577DD7A" w14:textId="77777777" w:rsidR="004B2808" w:rsidRDefault="00000000">
      <w:pPr>
        <w:pStyle w:val="Author-eListParagraph"/>
        <w:numPr>
          <w:ilvl w:val="0"/>
          <w:numId w:val="893"/>
        </w:numPr>
      </w:pPr>
      <w:r>
        <w:rPr>
          <w:rStyle w:val="soitChar"/>
        </w:rPr>
        <w:t xml:space="preserve">Dimensions : </w:t>
      </w:r>
      <w:r>
        <w:rPr>
          <w:rStyle w:val="optioncarChar"/>
        </w:rPr>
        <w:t xml:space="preserve">55x70 </w:t>
      </w:r>
      <w:r>
        <w:t>(par défaut)</w:t>
      </w:r>
      <w:r>
        <w:rPr>
          <w:rStyle w:val="optioncarChar"/>
        </w:rPr>
        <w:t xml:space="preserve"> / ***</w:t>
      </w:r>
      <w:r>
        <w:rPr>
          <w:rStyle w:val="soitChar"/>
        </w:rPr>
        <w:t xml:space="preserve"> mm</w:t>
      </w:r>
    </w:p>
    <w:p w14:paraId="2278725B" w14:textId="77777777" w:rsidR="004B2808" w:rsidRDefault="00000000">
      <w:pPr>
        <w:pStyle w:val="Author-eListParagraph"/>
        <w:numPr>
          <w:ilvl w:val="0"/>
          <w:numId w:val="893"/>
        </w:numPr>
      </w:pPr>
      <w:r>
        <w:rPr>
          <w:rStyle w:val="soitChar"/>
        </w:rPr>
        <w:t xml:space="preserve">Feuillure: ≥ </w:t>
      </w:r>
      <w:r>
        <w:rPr>
          <w:rStyle w:val="optioncarChar"/>
        </w:rPr>
        <w:t>20</w:t>
      </w:r>
      <w:r>
        <w:t xml:space="preserve"> (par défaut) </w:t>
      </w:r>
      <w:r>
        <w:rPr>
          <w:rStyle w:val="optioncarChar"/>
        </w:rPr>
        <w:t>/ *** </w:t>
      </w:r>
      <w:r>
        <w:rPr>
          <w:rStyle w:val="soitChar"/>
        </w:rPr>
        <w:t>mm</w:t>
      </w:r>
    </w:p>
    <w:p w14:paraId="01C7C928" w14:textId="77777777" w:rsidR="004B2808" w:rsidRDefault="00000000">
      <w:pPr>
        <w:pStyle w:val="Author-eListParagraph"/>
        <w:numPr>
          <w:ilvl w:val="0"/>
          <w:numId w:val="893"/>
        </w:numPr>
      </w:pPr>
      <w:r>
        <w:rPr>
          <w:rStyle w:val="soitChar"/>
        </w:rPr>
        <w:t xml:space="preserve">Chambranle : </w:t>
      </w:r>
      <w:r>
        <w:rPr>
          <w:rStyle w:val="optioncarChar"/>
        </w:rPr>
        <w:t xml:space="preserve">oui </w:t>
      </w:r>
      <w:r>
        <w:t xml:space="preserve">(par défaut) </w:t>
      </w:r>
      <w:r>
        <w:rPr>
          <w:rStyle w:val="optioncarChar"/>
        </w:rPr>
        <w:t>/ non</w:t>
      </w:r>
    </w:p>
    <w:p w14:paraId="687CAA91" w14:textId="77777777" w:rsidR="004B2808" w:rsidRDefault="00000000">
      <w:pPr>
        <w:jc w:val="both"/>
      </w:pPr>
      <w:r>
        <w:t xml:space="preserve">Joint d’étanchéité : </w:t>
      </w:r>
      <w:r>
        <w:rPr>
          <w:rStyle w:val="optioncarChar"/>
        </w:rPr>
        <w:t>oui</w:t>
      </w:r>
      <w:r>
        <w:t xml:space="preserve"> (par défaut)</w:t>
      </w:r>
      <w:r>
        <w:rPr>
          <w:rStyle w:val="optioncarChar"/>
        </w:rPr>
        <w:t xml:space="preserve"> / non</w:t>
      </w:r>
    </w:p>
    <w:p w14:paraId="11A86EDF" w14:textId="77777777" w:rsidR="004B2808" w:rsidRDefault="00000000">
      <w:pPr>
        <w:jc w:val="both"/>
      </w:pPr>
      <w:r>
        <w:rPr>
          <w:b/>
        </w:rPr>
        <w:t>Caractéristiques de l’ensemble :</w:t>
      </w:r>
      <w:r>
        <w:t xml:space="preserve"> huisserie et vantail</w:t>
      </w:r>
    </w:p>
    <w:p w14:paraId="05B2249A" w14:textId="77777777" w:rsidR="004B2808" w:rsidRDefault="00000000">
      <w:pPr>
        <w:jc w:val="both"/>
      </w:pPr>
      <w:r>
        <w:t xml:space="preserve">Porte : </w:t>
      </w:r>
      <w:r>
        <w:rPr>
          <w:rStyle w:val="optioncarChar"/>
        </w:rPr>
        <w:t xml:space="preserve">simple </w:t>
      </w:r>
      <w:r>
        <w:t>(par défaut)</w:t>
      </w:r>
      <w:r>
        <w:rPr>
          <w:rStyle w:val="optioncarChar"/>
        </w:rPr>
        <w:t xml:space="preserve"> / double</w:t>
      </w:r>
    </w:p>
    <w:p w14:paraId="1E32D548" w14:textId="77777777" w:rsidR="004B2808" w:rsidRDefault="00000000">
      <w:pPr>
        <w:jc w:val="both"/>
      </w:pPr>
      <w:r>
        <w:rPr>
          <w:b/>
        </w:rPr>
        <w:t>(soit par défaut)</w:t>
      </w:r>
    </w:p>
    <w:p w14:paraId="1F2CDA83" w14:textId="77777777" w:rsidR="004B2808" w:rsidRDefault="00000000">
      <w:pPr>
        <w:jc w:val="both"/>
      </w:pPr>
      <w:r>
        <w:rPr>
          <w:rStyle w:val="soitChar"/>
          <w:u w:val="single"/>
        </w:rPr>
        <w:t>Simple</w:t>
      </w:r>
    </w:p>
    <w:p w14:paraId="16C7A5A4" w14:textId="77777777" w:rsidR="004B2808" w:rsidRDefault="00000000">
      <w:pPr>
        <w:jc w:val="both"/>
      </w:pPr>
      <w:r>
        <w:rPr>
          <w:b/>
        </w:rPr>
        <w:t>(soit)</w:t>
      </w:r>
    </w:p>
    <w:p w14:paraId="042A3416" w14:textId="77777777" w:rsidR="004B2808" w:rsidRDefault="00000000">
      <w:pPr>
        <w:jc w:val="both"/>
      </w:pPr>
      <w:r>
        <w:rPr>
          <w:rStyle w:val="soitChar"/>
          <w:u w:val="single"/>
        </w:rPr>
        <w:t>Double :</w:t>
      </w:r>
      <w:r>
        <w:rPr>
          <w:rStyle w:val="soitChar"/>
        </w:rPr>
        <w:t> raccord entre les battants : avec mauclair (par défaut) / à feuillure de recouvrement</w:t>
      </w:r>
    </w:p>
    <w:p w14:paraId="621CE99C" w14:textId="77777777" w:rsidR="004B2808" w:rsidRDefault="00000000">
      <w:pPr>
        <w:pStyle w:val="Author-eListParagraph"/>
        <w:numPr>
          <w:ilvl w:val="0"/>
          <w:numId w:val="894"/>
        </w:numPr>
        <w:jc w:val="both"/>
      </w:pPr>
      <w:r>
        <w:t>Étanchéité à l’air selon [NBN EN 12207] débit de fuite à 50 Pa ≤ :</w:t>
      </w:r>
      <w:r>
        <w:rPr>
          <w:rStyle w:val="optioncarChar"/>
        </w:rPr>
        <w:t xml:space="preserve"> pas d’exigence / 50 </w:t>
      </w:r>
      <w:r>
        <w:t>(par défaut)</w:t>
      </w:r>
      <w:r>
        <w:rPr>
          <w:rStyle w:val="optioncarChar"/>
        </w:rPr>
        <w:t xml:space="preserve"> / 30 / ***</w:t>
      </w:r>
      <w:r>
        <w:t xml:space="preserve"> m³/h</w:t>
      </w:r>
    </w:p>
    <w:p w14:paraId="0A3AF9AA" w14:textId="77777777" w:rsidR="004B2808" w:rsidRDefault="00000000">
      <w:pPr>
        <w:pStyle w:val="Author-eListParagraph"/>
        <w:numPr>
          <w:ilvl w:val="0"/>
          <w:numId w:val="894"/>
        </w:numPr>
        <w:jc w:val="both"/>
      </w:pPr>
      <w:r>
        <w:t xml:space="preserve">Effort de manœuvre selon [NBN EN 12217] classe : </w:t>
      </w:r>
      <w:r>
        <w:rPr>
          <w:rStyle w:val="optioncarChar"/>
        </w:rPr>
        <w:t xml:space="preserve">1 / 2 </w:t>
      </w:r>
      <w:r>
        <w:t>(par défaut)</w:t>
      </w:r>
      <w:r>
        <w:rPr>
          <w:rStyle w:val="optioncarChar"/>
        </w:rPr>
        <w:t xml:space="preserve"> / 3</w:t>
      </w:r>
    </w:p>
    <w:p w14:paraId="1388A921" w14:textId="77777777" w:rsidR="004B2808" w:rsidRDefault="00000000">
      <w:pPr>
        <w:pStyle w:val="Author-eListParagraph"/>
        <w:numPr>
          <w:ilvl w:val="0"/>
          <w:numId w:val="894"/>
        </w:numPr>
        <w:jc w:val="both"/>
      </w:pPr>
      <w:r>
        <w:t xml:space="preserve">Performances thermiques ± : </w:t>
      </w:r>
      <w:r>
        <w:rPr>
          <w:rStyle w:val="optioncarChar"/>
        </w:rPr>
        <w:t xml:space="preserve">1,57 / 1,45 / 1,2 </w:t>
      </w:r>
      <w:r>
        <w:t>(par défaut)</w:t>
      </w:r>
      <w:r>
        <w:rPr>
          <w:rStyle w:val="optioncarChar"/>
        </w:rPr>
        <w:t xml:space="preserve"> / 1 / 0,9 / 0,8 / ***</w:t>
      </w:r>
      <w:r>
        <w:t xml:space="preserve"> W/m²K</w:t>
      </w:r>
    </w:p>
    <w:p w14:paraId="7CCD1D91" w14:textId="77777777" w:rsidR="004B2808" w:rsidRDefault="00000000">
      <w:pPr>
        <w:pStyle w:val="Author-eListParagraph"/>
        <w:numPr>
          <w:ilvl w:val="0"/>
          <w:numId w:val="894"/>
        </w:numPr>
        <w:jc w:val="both"/>
      </w:pPr>
      <w:r>
        <w:t xml:space="preserve">Performances acoustiques [NBN EN ISO 717-1] Rw : </w:t>
      </w:r>
      <w:r>
        <w:rPr>
          <w:rStyle w:val="optioncarChar"/>
        </w:rPr>
        <w:t xml:space="preserve">27 </w:t>
      </w:r>
      <w:r>
        <w:t>(par défaut)</w:t>
      </w:r>
      <w:r>
        <w:rPr>
          <w:rStyle w:val="optioncarChar"/>
        </w:rPr>
        <w:t xml:space="preserve"> / 30 / 37 / 38 / 39 / ***</w:t>
      </w:r>
      <w:r>
        <w:t xml:space="preserve"> dB</w:t>
      </w:r>
    </w:p>
    <w:p w14:paraId="63F447EC" w14:textId="77777777" w:rsidR="004B2808" w:rsidRDefault="00000000">
      <w:pPr>
        <w:pStyle w:val="Author-eListParagraph"/>
        <w:numPr>
          <w:ilvl w:val="0"/>
          <w:numId w:val="894"/>
        </w:numPr>
        <w:jc w:val="both"/>
      </w:pPr>
      <w:r>
        <w:t xml:space="preserve">Endurance mécanique selon [NBN EN 12400] classe : </w:t>
      </w:r>
      <w:r>
        <w:rPr>
          <w:rStyle w:val="optioncarChar"/>
        </w:rPr>
        <w:t>1 / 4</w:t>
      </w:r>
      <w:r>
        <w:t xml:space="preserve"> (par défaut) </w:t>
      </w:r>
      <w:r>
        <w:rPr>
          <w:rStyle w:val="optioncarChar"/>
        </w:rPr>
        <w:t>/ 5</w:t>
      </w:r>
    </w:p>
    <w:p w14:paraId="2D781981" w14:textId="77777777" w:rsidR="004B2808" w:rsidRDefault="00000000">
      <w:pPr>
        <w:pStyle w:val="Author-eListParagraph"/>
        <w:numPr>
          <w:ilvl w:val="0"/>
          <w:numId w:val="894"/>
        </w:numPr>
        <w:jc w:val="both"/>
      </w:pPr>
      <w:r>
        <w:t xml:space="preserve">Classe de résistance mécanique aux chocs selon [NBN EN 1192] : </w:t>
      </w:r>
      <w:r>
        <w:rPr>
          <w:rStyle w:val="optioncarChar"/>
        </w:rPr>
        <w:t xml:space="preserve">3 </w:t>
      </w:r>
      <w:r>
        <w:t xml:space="preserve">(par défaut) </w:t>
      </w:r>
      <w:r>
        <w:rPr>
          <w:rStyle w:val="optioncarChar"/>
        </w:rPr>
        <w:t>/ 4</w:t>
      </w:r>
    </w:p>
    <w:p w14:paraId="73772B7F" w14:textId="77777777" w:rsidR="004B2808" w:rsidRDefault="00000000">
      <w:pPr>
        <w:pStyle w:val="Author-eListParagraph"/>
        <w:numPr>
          <w:ilvl w:val="0"/>
          <w:numId w:val="894"/>
        </w:numPr>
        <w:jc w:val="both"/>
      </w:pPr>
      <w:r>
        <w:t xml:space="preserve">Classe de résistance mécanique aux abus selon [NBN EN 1192] : </w:t>
      </w:r>
      <w:r>
        <w:rPr>
          <w:rStyle w:val="optioncarChar"/>
        </w:rPr>
        <w:t xml:space="preserve">1 / 2 / 3 </w:t>
      </w:r>
      <w:r>
        <w:t>(par défaut)</w:t>
      </w:r>
      <w:r>
        <w:rPr>
          <w:rStyle w:val="optioncarChar"/>
        </w:rPr>
        <w:t xml:space="preserve"> / 4</w:t>
      </w:r>
    </w:p>
    <w:p w14:paraId="3DCCABD6" w14:textId="77777777" w:rsidR="004B2808" w:rsidRDefault="00000000">
      <w:pPr>
        <w:pStyle w:val="Author-eListParagraph"/>
        <w:numPr>
          <w:ilvl w:val="0"/>
          <w:numId w:val="894"/>
        </w:numPr>
        <w:jc w:val="both"/>
      </w:pPr>
      <w:r>
        <w:t xml:space="preserve">Effort de manœuvre selon [NBN EN 12217] classe : </w:t>
      </w:r>
      <w:r>
        <w:rPr>
          <w:rStyle w:val="optioncarChar"/>
        </w:rPr>
        <w:t xml:space="preserve">1 / 2 </w:t>
      </w:r>
      <w:r>
        <w:t>(par défaut)</w:t>
      </w:r>
      <w:r>
        <w:rPr>
          <w:rStyle w:val="optioncarChar"/>
        </w:rPr>
        <w:t xml:space="preserve"> / 3</w:t>
      </w:r>
    </w:p>
    <w:p w14:paraId="6FE8FE97" w14:textId="77777777" w:rsidR="004B2808" w:rsidRDefault="00000000">
      <w:pPr>
        <w:pStyle w:val="Author-eListParagraph"/>
        <w:numPr>
          <w:ilvl w:val="0"/>
          <w:numId w:val="894"/>
        </w:numPr>
        <w:jc w:val="both"/>
      </w:pPr>
      <w:r>
        <w:lastRenderedPageBreak/>
        <w:t xml:space="preserve">Comportement entre 2 climats selon [NBN EN 1530] classe : </w:t>
      </w:r>
      <w:r>
        <w:rPr>
          <w:rStyle w:val="optioncarChar"/>
        </w:rPr>
        <w:t xml:space="preserve">1 / 2 </w:t>
      </w:r>
      <w:r>
        <w:t xml:space="preserve">(par défaut) </w:t>
      </w:r>
      <w:r>
        <w:rPr>
          <w:rStyle w:val="optioncarChar"/>
        </w:rPr>
        <w:t>/ 3</w:t>
      </w:r>
    </w:p>
    <w:p w14:paraId="587BDC7E" w14:textId="77777777" w:rsidR="004B2808" w:rsidRDefault="00000000">
      <w:pPr>
        <w:jc w:val="both"/>
      </w:pPr>
      <w:r>
        <w:rPr>
          <w:b/>
        </w:rPr>
        <w:t>Quincaillerie</w:t>
      </w:r>
      <w:r>
        <w:t xml:space="preserve"> tel que décrit au </w:t>
      </w:r>
      <w:hyperlink w:anchor="1316" w:history="1">
        <w:r w:rsidR="004B2808">
          <w:rPr>
            <w:color w:val="0000EE"/>
          </w:rPr>
          <w:t>55.62 Quincaillerie complémentaire ou particulière</w:t>
        </w:r>
      </w:hyperlink>
      <w:r>
        <w:t xml:space="preserve"> : </w:t>
      </w:r>
      <w:r>
        <w:rPr>
          <w:rStyle w:val="optioncarChar"/>
        </w:rPr>
        <w:t xml:space="preserve">conforme à la documentation technique du produit </w:t>
      </w:r>
      <w:r>
        <w:t>(par défaut)</w:t>
      </w:r>
      <w:r>
        <w:rPr>
          <w:rStyle w:val="optioncarChar"/>
        </w:rPr>
        <w:t xml:space="preserve"> / ***</w:t>
      </w:r>
    </w:p>
    <w:p w14:paraId="22C6AE82" w14:textId="77777777" w:rsidR="004B2808" w:rsidRDefault="00000000">
      <w:pPr>
        <w:jc w:val="both"/>
      </w:pPr>
      <w:r>
        <w:t xml:space="preserve">Plinthe automatique : </w:t>
      </w:r>
      <w:r>
        <w:rPr>
          <w:rStyle w:val="optioncarChar"/>
        </w:rPr>
        <w:t xml:space="preserve">oui </w:t>
      </w:r>
      <w:r>
        <w:t xml:space="preserve">(par défaut) </w:t>
      </w:r>
      <w:r>
        <w:rPr>
          <w:rStyle w:val="optioncarChar"/>
        </w:rPr>
        <w:t>/ non</w:t>
      </w:r>
    </w:p>
    <w:p w14:paraId="3B2177CF" w14:textId="77777777" w:rsidR="004B2808" w:rsidRDefault="00000000">
      <w:pPr>
        <w:jc w:val="both"/>
      </w:pPr>
      <w:r>
        <w:rPr>
          <w:b/>
        </w:rPr>
        <w:t>Aspects environnementaux :</w:t>
      </w:r>
    </w:p>
    <w:p w14:paraId="0DFE1E16" w14:textId="77777777" w:rsidR="004B2808" w:rsidRDefault="00000000">
      <w:pPr>
        <w:jc w:val="both"/>
      </w:pPr>
      <w:r>
        <w:t xml:space="preserve">Bois issus de forêts gérées durablement suivant les prescriptions de l'élément 02.42.4 Bois provenant de forêts gérées durablement : </w:t>
      </w:r>
      <w:r>
        <w:rPr>
          <w:rStyle w:val="optioncarChar"/>
        </w:rPr>
        <w:t xml:space="preserve">oui </w:t>
      </w:r>
      <w:r>
        <w:t>(par défaut)</w:t>
      </w:r>
      <w:r>
        <w:rPr>
          <w:rStyle w:val="optioncarChar"/>
        </w:rPr>
        <w:t xml:space="preserve"> / non</w:t>
      </w:r>
    </w:p>
    <w:p w14:paraId="68D4FC52" w14:textId="77777777" w:rsidR="004B2808" w:rsidRDefault="00000000">
      <w:pPr>
        <w:pStyle w:val="pheading"/>
      </w:pPr>
      <w:r>
        <w:t>- Finitions</w:t>
      </w:r>
    </w:p>
    <w:p w14:paraId="4DE0B6D2" w14:textId="77777777" w:rsidR="004B2808" w:rsidRDefault="00000000">
      <w:pPr>
        <w:jc w:val="both"/>
      </w:pPr>
      <w:r>
        <w:t xml:space="preserve">Finition du vantail : </w:t>
      </w:r>
      <w:r>
        <w:rPr>
          <w:rStyle w:val="optioncarChar"/>
        </w:rPr>
        <w:t>peinture / stratifié HPL / placage vernis</w:t>
      </w:r>
    </w:p>
    <w:p w14:paraId="40D278BF" w14:textId="77777777" w:rsidR="004B2808" w:rsidRDefault="00000000">
      <w:pPr>
        <w:jc w:val="both"/>
      </w:pPr>
      <w:r>
        <w:rPr>
          <w:b/>
        </w:rPr>
        <w:t>(soit)</w:t>
      </w:r>
    </w:p>
    <w:p w14:paraId="656F04C9" w14:textId="77777777" w:rsidR="004B2808" w:rsidRDefault="00000000">
      <w:pPr>
        <w:jc w:val="both"/>
      </w:pPr>
      <w:r>
        <w:rPr>
          <w:rStyle w:val="soitChar"/>
          <w:u w:val="single"/>
        </w:rPr>
        <w:t>Peinture</w:t>
      </w:r>
      <w:r>
        <w:rPr>
          <w:rStyle w:val="soitChar"/>
        </w:rPr>
        <w:t xml:space="preserve"> tel que décrit au 81.2 Peintures intérieures sur subjectiles en bois et dérivés du bois (feuillus, résineux, bois exotiques, panneaux)</w:t>
      </w:r>
    </w:p>
    <w:p w14:paraId="6F178535" w14:textId="77777777" w:rsidR="004B2808" w:rsidRDefault="00000000">
      <w:pPr>
        <w:jc w:val="both"/>
      </w:pPr>
      <w:r>
        <w:rPr>
          <w:b/>
        </w:rPr>
        <w:t>(soit)</w:t>
      </w:r>
    </w:p>
    <w:p w14:paraId="745E3B8F" w14:textId="77777777" w:rsidR="004B2808" w:rsidRDefault="00000000">
      <w:pPr>
        <w:jc w:val="both"/>
      </w:pPr>
      <w:r>
        <w:rPr>
          <w:rStyle w:val="soitChar"/>
          <w:u w:val="single"/>
        </w:rPr>
        <w:t>Stratifié HPL :</w:t>
      </w:r>
    </w:p>
    <w:p w14:paraId="5E1FE026" w14:textId="77777777" w:rsidR="004B2808" w:rsidRDefault="00000000">
      <w:pPr>
        <w:pStyle w:val="Author-eListParagraph"/>
        <w:numPr>
          <w:ilvl w:val="0"/>
          <w:numId w:val="895"/>
        </w:numPr>
      </w:pPr>
      <w:r>
        <w:rPr>
          <w:rStyle w:val="soitChar"/>
        </w:rPr>
        <w:t xml:space="preserve">Épaisseur: ≥ </w:t>
      </w:r>
      <w:r>
        <w:rPr>
          <w:rStyle w:val="optioncarChar"/>
        </w:rPr>
        <w:t xml:space="preserve">0,6 </w:t>
      </w:r>
      <w:r>
        <w:t xml:space="preserve">(par défaut) </w:t>
      </w:r>
      <w:r>
        <w:rPr>
          <w:rStyle w:val="optioncarChar"/>
        </w:rPr>
        <w:t>/ ***</w:t>
      </w:r>
      <w:r>
        <w:rPr>
          <w:rStyle w:val="soitChar"/>
        </w:rPr>
        <w:t xml:space="preserve"> mm</w:t>
      </w:r>
    </w:p>
    <w:p w14:paraId="07E6EDBF" w14:textId="77777777" w:rsidR="004B2808" w:rsidRDefault="00000000">
      <w:pPr>
        <w:pStyle w:val="Author-eListParagraph"/>
        <w:numPr>
          <w:ilvl w:val="0"/>
          <w:numId w:val="895"/>
        </w:numPr>
      </w:pPr>
      <w:r>
        <w:rPr>
          <w:rStyle w:val="soitChar"/>
        </w:rPr>
        <w:t xml:space="preserve">Aspect : </w:t>
      </w:r>
      <w:r>
        <w:rPr>
          <w:rStyle w:val="optioncarChar"/>
        </w:rPr>
        <w:t xml:space="preserve">uni </w:t>
      </w:r>
      <w:r>
        <w:t xml:space="preserve">(par défaut) </w:t>
      </w:r>
      <w:r>
        <w:rPr>
          <w:rStyle w:val="optioncarChar"/>
        </w:rPr>
        <w:t>/ structuré / bois / ***</w:t>
      </w:r>
    </w:p>
    <w:p w14:paraId="413B66FE" w14:textId="77777777" w:rsidR="004B2808" w:rsidRDefault="00000000">
      <w:pPr>
        <w:pStyle w:val="Author-eListParagraph"/>
        <w:numPr>
          <w:ilvl w:val="0"/>
          <w:numId w:val="895"/>
        </w:numPr>
      </w:pPr>
      <w:r>
        <w:rPr>
          <w:rStyle w:val="soitChar"/>
        </w:rPr>
        <w:t xml:space="preserve">Teinte : </w:t>
      </w:r>
      <w:r>
        <w:rPr>
          <w:rStyle w:val="optioncarChar"/>
        </w:rPr>
        <w:t xml:space="preserve">au choix de la direction de chantier dans la gamme du fabricant </w:t>
      </w:r>
      <w:r>
        <w:t xml:space="preserve">(par défaut) </w:t>
      </w:r>
      <w:r>
        <w:rPr>
          <w:rStyle w:val="optioncarChar"/>
        </w:rPr>
        <w:t>/ ***</w:t>
      </w:r>
    </w:p>
    <w:p w14:paraId="1EEAF75E" w14:textId="77777777" w:rsidR="004B2808" w:rsidRDefault="00000000">
      <w:pPr>
        <w:jc w:val="both"/>
      </w:pPr>
      <w:r>
        <w:rPr>
          <w:b/>
        </w:rPr>
        <w:t>(soit)</w:t>
      </w:r>
    </w:p>
    <w:p w14:paraId="37208380" w14:textId="77777777" w:rsidR="004B2808" w:rsidRDefault="00000000">
      <w:pPr>
        <w:jc w:val="both"/>
      </w:pPr>
      <w:r>
        <w:rPr>
          <w:rStyle w:val="soitChar"/>
          <w:u w:val="single"/>
        </w:rPr>
        <w:t>Placage vernis :</w:t>
      </w:r>
    </w:p>
    <w:p w14:paraId="7561A1BC" w14:textId="77777777" w:rsidR="004B2808" w:rsidRDefault="00000000">
      <w:pPr>
        <w:pStyle w:val="Author-eListParagraph"/>
        <w:numPr>
          <w:ilvl w:val="0"/>
          <w:numId w:val="896"/>
        </w:numPr>
      </w:pPr>
      <w:r>
        <w:rPr>
          <w:rStyle w:val="soitChar"/>
        </w:rPr>
        <w:t xml:space="preserve">Couvre-chant : </w:t>
      </w:r>
      <w:r>
        <w:rPr>
          <w:rStyle w:val="optioncarChar"/>
        </w:rPr>
        <w:t>caché (</w:t>
      </w:r>
      <w:r>
        <w:t>par défaut)</w:t>
      </w:r>
      <w:r>
        <w:rPr>
          <w:rStyle w:val="optioncarChar"/>
        </w:rPr>
        <w:t xml:space="preserve"> / visible</w:t>
      </w:r>
    </w:p>
    <w:p w14:paraId="3D869A24" w14:textId="77777777" w:rsidR="004B2808" w:rsidRDefault="00000000">
      <w:pPr>
        <w:pStyle w:val="Author-eListParagraph"/>
        <w:numPr>
          <w:ilvl w:val="0"/>
          <w:numId w:val="896"/>
        </w:numPr>
      </w:pPr>
      <w:r>
        <w:rPr>
          <w:rStyle w:val="soitChar"/>
        </w:rPr>
        <w:t xml:space="preserve">Épaisseur: ≥ </w:t>
      </w:r>
      <w:r>
        <w:rPr>
          <w:rStyle w:val="optioncarChar"/>
        </w:rPr>
        <w:t xml:space="preserve">0,6 </w:t>
      </w:r>
      <w:r>
        <w:t xml:space="preserve">(par défaut) </w:t>
      </w:r>
      <w:r>
        <w:rPr>
          <w:rStyle w:val="optioncarChar"/>
        </w:rPr>
        <w:t>/ ***</w:t>
      </w:r>
      <w:r>
        <w:rPr>
          <w:rStyle w:val="soitChar"/>
        </w:rPr>
        <w:t>mm</w:t>
      </w:r>
    </w:p>
    <w:p w14:paraId="6FD41FD5" w14:textId="77777777" w:rsidR="004B2808" w:rsidRDefault="00000000">
      <w:pPr>
        <w:pStyle w:val="Author-eListParagraph"/>
        <w:numPr>
          <w:ilvl w:val="0"/>
          <w:numId w:val="896"/>
        </w:numPr>
      </w:pPr>
      <w:r>
        <w:rPr>
          <w:rStyle w:val="soitChar"/>
        </w:rPr>
        <w:t xml:space="preserve">Essence : </w:t>
      </w:r>
      <w:r>
        <w:rPr>
          <w:rStyle w:val="optioncarChar"/>
        </w:rPr>
        <w:t xml:space="preserve">hêtre </w:t>
      </w:r>
      <w:r>
        <w:t>(par défaut)</w:t>
      </w:r>
      <w:r>
        <w:rPr>
          <w:rStyle w:val="optioncarChar"/>
        </w:rPr>
        <w:t xml:space="preserve"> / chêne / ***</w:t>
      </w:r>
    </w:p>
    <w:p w14:paraId="37D61688" w14:textId="77777777" w:rsidR="004B2808" w:rsidRDefault="00000000">
      <w:pPr>
        <w:pStyle w:val="Author-eListParagraph"/>
        <w:numPr>
          <w:ilvl w:val="0"/>
          <w:numId w:val="896"/>
        </w:numPr>
      </w:pPr>
      <w:r>
        <w:rPr>
          <w:rStyle w:val="soitChar"/>
        </w:rPr>
        <w:t xml:space="preserve">Vernis : </w:t>
      </w:r>
      <w:r>
        <w:rPr>
          <w:rStyle w:val="optioncarChar"/>
        </w:rPr>
        <w:t xml:space="preserve">mat </w:t>
      </w:r>
      <w:r>
        <w:t xml:space="preserve">(par défaut) </w:t>
      </w:r>
      <w:r>
        <w:rPr>
          <w:rStyle w:val="optioncarChar"/>
        </w:rPr>
        <w:t>/ satiné / ***</w:t>
      </w:r>
    </w:p>
    <w:p w14:paraId="2B2B2577" w14:textId="77777777" w:rsidR="004B2808" w:rsidRDefault="00000000">
      <w:pPr>
        <w:jc w:val="both"/>
      </w:pPr>
      <w:r>
        <w:t xml:space="preserve">Finition de l’huisserie : </w:t>
      </w:r>
      <w:r>
        <w:rPr>
          <w:rStyle w:val="optioncarChar"/>
        </w:rPr>
        <w:t>peinture / vernis</w:t>
      </w:r>
    </w:p>
    <w:p w14:paraId="314919B4" w14:textId="77777777" w:rsidR="004B2808" w:rsidRDefault="00000000">
      <w:pPr>
        <w:jc w:val="both"/>
      </w:pPr>
      <w:r>
        <w:rPr>
          <w:b/>
        </w:rPr>
        <w:t>(soit)</w:t>
      </w:r>
    </w:p>
    <w:p w14:paraId="5C6BCF34" w14:textId="77777777" w:rsidR="004B2808" w:rsidRDefault="00000000">
      <w:pPr>
        <w:jc w:val="both"/>
      </w:pPr>
      <w:r>
        <w:rPr>
          <w:rStyle w:val="soitChar"/>
          <w:u w:val="single"/>
        </w:rPr>
        <w:t>Peinture</w:t>
      </w:r>
      <w:r>
        <w:rPr>
          <w:rStyle w:val="soitChar"/>
        </w:rPr>
        <w:t xml:space="preserve"> tel que décrit au 81.2 Peintures intérieures sur subjectiles en bois et dérivés du bois (feuillus, résineux, bois exotiques, panneaux)</w:t>
      </w:r>
    </w:p>
    <w:p w14:paraId="2EF8DC4D" w14:textId="77777777" w:rsidR="004B2808" w:rsidRDefault="00000000">
      <w:pPr>
        <w:jc w:val="both"/>
      </w:pPr>
      <w:r>
        <w:rPr>
          <w:b/>
        </w:rPr>
        <w:t>(soit)</w:t>
      </w:r>
    </w:p>
    <w:p w14:paraId="1C284AB8" w14:textId="77777777" w:rsidR="004B2808" w:rsidRDefault="00000000">
      <w:pPr>
        <w:jc w:val="both"/>
      </w:pPr>
      <w:r>
        <w:rPr>
          <w:rStyle w:val="soitChar"/>
          <w:u w:val="single"/>
        </w:rPr>
        <w:t>Vernis :</w:t>
      </w:r>
      <w:r>
        <w:rPr>
          <w:rStyle w:val="optioncarChar"/>
        </w:rPr>
        <w:t>mat</w:t>
      </w:r>
      <w:r>
        <w:t xml:space="preserve"> (par défaut) </w:t>
      </w:r>
      <w:r>
        <w:rPr>
          <w:rStyle w:val="optioncarChar"/>
        </w:rPr>
        <w:t>/ satiné / ***</w:t>
      </w:r>
    </w:p>
    <w:p w14:paraId="50C73907" w14:textId="77777777" w:rsidR="004B2808" w:rsidRDefault="00000000">
      <w:pPr>
        <w:pStyle w:val="pheading"/>
      </w:pPr>
      <w:r>
        <w:t>EXÉCUTION / MISE EN ŒUVRE</w:t>
      </w:r>
    </w:p>
    <w:p w14:paraId="05E3A6A0" w14:textId="77777777" w:rsidR="004B2808" w:rsidRDefault="00000000">
      <w:pPr>
        <w:pStyle w:val="pheading"/>
      </w:pPr>
      <w:r>
        <w:t>- Prescriptions générales</w:t>
      </w:r>
    </w:p>
    <w:p w14:paraId="097BFCE1" w14:textId="77777777" w:rsidR="004B2808" w:rsidRDefault="00000000">
      <w:pPr>
        <w:jc w:val="both"/>
      </w:pPr>
      <w:r>
        <w:t xml:space="preserve">L’huisserie est posée avec insertion d’une membrane d’étanchéité à l’air et à la vapeur collée sur le gros œuvre et sur l’huisserie : </w:t>
      </w:r>
      <w:r>
        <w:rPr>
          <w:rStyle w:val="optioncarChar"/>
        </w:rPr>
        <w:t xml:space="preserve">oui </w:t>
      </w:r>
      <w:r>
        <w:t>(par défaut)</w:t>
      </w:r>
      <w:r>
        <w:rPr>
          <w:rStyle w:val="optioncarChar"/>
        </w:rPr>
        <w:t xml:space="preserve"> / non</w:t>
      </w:r>
    </w:p>
    <w:p w14:paraId="74A0F26A" w14:textId="77777777" w:rsidR="004B2808" w:rsidRDefault="00000000">
      <w:pPr>
        <w:jc w:val="both"/>
      </w:pPr>
      <w:r>
        <w:rPr>
          <w:b/>
        </w:rPr>
        <w:t>(soit par défaut)</w:t>
      </w:r>
    </w:p>
    <w:p w14:paraId="5D80D2ED" w14:textId="77777777" w:rsidR="004B2808" w:rsidRDefault="00000000">
      <w:pPr>
        <w:jc w:val="both"/>
      </w:pPr>
      <w:r>
        <w:rPr>
          <w:rStyle w:val="soitChar"/>
          <w:u w:val="single"/>
        </w:rPr>
        <w:t>Oui :</w:t>
      </w:r>
      <w:r>
        <w:rPr>
          <w:rStyle w:val="soitChar"/>
        </w:rPr>
        <w:t xml:space="preserve"> la membrane d’étanchéité est </w:t>
      </w:r>
      <w:r>
        <w:rPr>
          <w:rStyle w:val="optioncarChar"/>
        </w:rPr>
        <w:t>intégrée dans le plâtre de finition / collée sur le gros œuvre</w:t>
      </w:r>
    </w:p>
    <w:p w14:paraId="3228C935" w14:textId="77777777" w:rsidR="004B2808" w:rsidRDefault="00000000">
      <w:pPr>
        <w:jc w:val="both"/>
      </w:pPr>
      <w:r>
        <w:rPr>
          <w:b/>
        </w:rPr>
        <w:t>(soit)</w:t>
      </w:r>
    </w:p>
    <w:p w14:paraId="61BBBA70" w14:textId="77777777" w:rsidR="004B2808" w:rsidRDefault="00000000">
      <w:pPr>
        <w:jc w:val="both"/>
      </w:pPr>
      <w:r>
        <w:rPr>
          <w:rStyle w:val="soitChar"/>
          <w:u w:val="single"/>
        </w:rPr>
        <w:t>Non :</w:t>
      </w:r>
      <w:r>
        <w:rPr>
          <w:rStyle w:val="soitChar"/>
        </w:rPr>
        <w:t xml:space="preserve"> pas de membrane </w:t>
      </w:r>
    </w:p>
    <w:p w14:paraId="79EC3FC3" w14:textId="77777777" w:rsidR="004B2808" w:rsidRDefault="00000000">
      <w:pPr>
        <w:jc w:val="both"/>
      </w:pPr>
      <w:r>
        <w:t>Le vide entre menuiserie et gros œuvre est rempli au moyen d’une mousse PU restant élastique.</w:t>
      </w:r>
    </w:p>
    <w:p w14:paraId="77571D50" w14:textId="77777777" w:rsidR="004B2808" w:rsidRDefault="00000000">
      <w:pPr>
        <w:jc w:val="both"/>
      </w:pPr>
      <w:r>
        <w:t>En cas de pose d’un entre-porte, celui-ci est collé au sol au moyen d’un mastic polymère.</w:t>
      </w:r>
    </w:p>
    <w:p w14:paraId="640C8178" w14:textId="77777777" w:rsidR="004B2808" w:rsidRDefault="00000000">
      <w:pPr>
        <w:pStyle w:val="pheading"/>
      </w:pPr>
      <w:r>
        <w:t>MESURAGE</w:t>
      </w:r>
    </w:p>
    <w:p w14:paraId="4ECFB8BA" w14:textId="77777777" w:rsidR="004B2808" w:rsidRDefault="00000000">
      <w:pPr>
        <w:pStyle w:val="pheading"/>
      </w:pPr>
      <w:r>
        <w:t>- unité de mesure:</w:t>
      </w:r>
    </w:p>
    <w:p w14:paraId="11EE9323" w14:textId="77777777" w:rsidR="004B2808" w:rsidRDefault="00000000">
      <w:r>
        <w:t>pc</w:t>
      </w:r>
    </w:p>
    <w:p w14:paraId="088F57D8" w14:textId="77777777" w:rsidR="004B2808" w:rsidRDefault="00000000">
      <w:pPr>
        <w:pStyle w:val="pheading"/>
      </w:pPr>
      <w:r>
        <w:lastRenderedPageBreak/>
        <w:t>- code de mesurage:</w:t>
      </w:r>
    </w:p>
    <w:p w14:paraId="7E29C0CC" w14:textId="77777777" w:rsidR="004B2808" w:rsidRDefault="00000000">
      <w:pPr>
        <w:jc w:val="both"/>
      </w:pPr>
      <w:r>
        <w:t>Quantité nette, distinction faite du type et des dimensions des portes.</w:t>
      </w:r>
    </w:p>
    <w:p w14:paraId="22D64F51" w14:textId="77777777" w:rsidR="004B2808" w:rsidRDefault="00000000">
      <w:pPr>
        <w:pStyle w:val="pheading"/>
      </w:pPr>
      <w:r>
        <w:t>- nature du marché:</w:t>
      </w:r>
    </w:p>
    <w:p w14:paraId="12AD9DFC" w14:textId="77777777" w:rsidR="004B2808" w:rsidRDefault="00000000">
      <w:r>
        <w:t>QF</w:t>
      </w:r>
    </w:p>
    <w:p w14:paraId="299291EF" w14:textId="77777777" w:rsidR="004B2808" w:rsidRDefault="00000000">
      <w:pPr>
        <w:pStyle w:val="Author-eSectionHeading5Numberless"/>
      </w:pPr>
      <w:bookmarkStart w:id="1065" w:name="_Toc220491192"/>
      <w:r>
        <w:t>55.21.5 Portes intérieures en bois massif ou lamellé-collé  CCTB 01.02</w:t>
      </w:r>
      <w:bookmarkEnd w:id="1065"/>
    </w:p>
    <w:p w14:paraId="76F538F1" w14:textId="77777777" w:rsidR="004B2808" w:rsidRDefault="00000000">
      <w:pPr>
        <w:pStyle w:val="Author-eSectionHeading6Numberless"/>
      </w:pPr>
      <w:bookmarkStart w:id="1066" w:name="_Toc220491193"/>
      <w:r>
        <w:t>55.21.5a Portes intérieures en bois massif CCTB 01.12</w:t>
      </w:r>
      <w:bookmarkEnd w:id="1066"/>
    </w:p>
    <w:p w14:paraId="38965B74" w14:textId="77777777" w:rsidR="004B2808" w:rsidRDefault="00000000">
      <w:pPr>
        <w:pStyle w:val="pheading"/>
      </w:pPr>
      <w:r>
        <w:t>DESCRIPTION</w:t>
      </w:r>
    </w:p>
    <w:p w14:paraId="7B3F4C2D" w14:textId="77777777" w:rsidR="004B2808" w:rsidRDefault="00000000">
      <w:pPr>
        <w:pStyle w:val="pheading"/>
      </w:pPr>
      <w:r>
        <w:t>- Définition / Comprend</w:t>
      </w:r>
    </w:p>
    <w:p w14:paraId="465A4EC9" w14:textId="77777777" w:rsidR="004B2808" w:rsidRDefault="00000000">
      <w:pPr>
        <w:jc w:val="both"/>
      </w:pPr>
      <w:r>
        <w:t>Il s’agit de la fourniture (hors matériaux récupérés du même site) et la pose de portes intérieures en bois massif.</w:t>
      </w:r>
    </w:p>
    <w:p w14:paraId="118D595A" w14:textId="77777777" w:rsidR="004B2808" w:rsidRDefault="00000000">
      <w:pPr>
        <w:pStyle w:val="pheading"/>
      </w:pPr>
      <w:r>
        <w:t>MATÉRIAUX</w:t>
      </w:r>
    </w:p>
    <w:p w14:paraId="76A98D7C" w14:textId="77777777" w:rsidR="004B2808" w:rsidRDefault="00000000">
      <w:pPr>
        <w:pStyle w:val="pheading"/>
      </w:pPr>
      <w:r>
        <w:t>- Caractéristiques générales</w:t>
      </w:r>
    </w:p>
    <w:p w14:paraId="61A5CC4D" w14:textId="77777777" w:rsidR="004B2808" w:rsidRDefault="00000000">
      <w:pPr>
        <w:jc w:val="both"/>
      </w:pPr>
      <w:r>
        <w:t xml:space="preserve">Les profilés et montants des vantaux sont en bois massif : </w:t>
      </w:r>
      <w:r>
        <w:rPr>
          <w:rStyle w:val="optioncarChar"/>
        </w:rPr>
        <w:t>Hêtre (Fagus sylvatica) / Chêne d’Europe -(Quercus robur et Q. Petraea)</w:t>
      </w:r>
      <w:r>
        <w:t xml:space="preserve"> (par défaut)</w:t>
      </w:r>
      <w:r>
        <w:rPr>
          <w:rStyle w:val="optioncarChar"/>
        </w:rPr>
        <w:t xml:space="preserve"> / Frêne (Fraxinus excelsior) / Douglas (Pseudotsuga menziesii) / ***.</w:t>
      </w:r>
    </w:p>
    <w:p w14:paraId="309B825C" w14:textId="77777777" w:rsidR="004B2808" w:rsidRDefault="00000000">
      <w:pPr>
        <w:jc w:val="both"/>
      </w:pPr>
      <w:r>
        <w:t xml:space="preserve">Les profilés et montants de la huisserie sont en bois massif : </w:t>
      </w:r>
      <w:r>
        <w:rPr>
          <w:rStyle w:val="optioncarChar"/>
        </w:rPr>
        <w:t xml:space="preserve">Hêtre (Fagus sylvatica) / Chêne d’Europe -(Quercus robur et Q. Petraea) </w:t>
      </w:r>
      <w:r>
        <w:t xml:space="preserve">(par défaut) </w:t>
      </w:r>
      <w:r>
        <w:rPr>
          <w:rStyle w:val="optioncarChar"/>
        </w:rPr>
        <w:t>/ Frêne (Fraxinus excelsior) / Douglas (Pseudotsuga menziesii) / ***.</w:t>
      </w:r>
    </w:p>
    <w:p w14:paraId="58E4DBD6" w14:textId="77777777" w:rsidR="004B2808" w:rsidRDefault="00000000">
      <w:pPr>
        <w:jc w:val="both"/>
      </w:pPr>
      <w:r>
        <w:t>Les huisseries de portes sont prévues : </w:t>
      </w:r>
      <w:r>
        <w:rPr>
          <w:rStyle w:val="optioncarChar"/>
        </w:rPr>
        <w:t xml:space="preserve">avec </w:t>
      </w:r>
      <w:r>
        <w:t>(par défaut)</w:t>
      </w:r>
      <w:r>
        <w:rPr>
          <w:rStyle w:val="optioncarChar"/>
        </w:rPr>
        <w:t xml:space="preserve"> / sans</w:t>
      </w:r>
      <w:r>
        <w:t> couvre-joint.</w:t>
      </w:r>
    </w:p>
    <w:p w14:paraId="5ED28778" w14:textId="77777777" w:rsidR="004B2808" w:rsidRDefault="004B2808"/>
    <w:p w14:paraId="4DA3E18E" w14:textId="77777777" w:rsidR="004B2808" w:rsidRDefault="00000000">
      <w:pPr>
        <w:ind w:left="567"/>
        <w:jc w:val="both"/>
      </w:pPr>
      <w:r>
        <w:rPr>
          <w:b/>
          <w:i/>
        </w:rPr>
        <w:t>(Soit par défaut) </w:t>
      </w:r>
    </w:p>
    <w:p w14:paraId="2310F20F" w14:textId="77777777" w:rsidR="004B2808" w:rsidRDefault="00000000">
      <w:pPr>
        <w:ind w:left="567"/>
        <w:jc w:val="both"/>
      </w:pPr>
      <w:r>
        <w:rPr>
          <w:rStyle w:val="soitChar"/>
          <w:u w:val="single"/>
        </w:rPr>
        <w:t>Avec couvre-joints</w:t>
      </w:r>
      <w:r>
        <w:rPr>
          <w:rStyle w:val="soitChar"/>
        </w:rPr>
        <w:t> d'au moins</w:t>
      </w:r>
      <w:r>
        <w:t> </w:t>
      </w:r>
      <w:r>
        <w:rPr>
          <w:rStyle w:val="optioncarChar"/>
        </w:rPr>
        <w:t>15 x 60 </w:t>
      </w:r>
      <w:r>
        <w:t>(par défaut)</w:t>
      </w:r>
      <w:r>
        <w:rPr>
          <w:rStyle w:val="optioncarChar"/>
        </w:rPr>
        <w:t> / ***</w:t>
      </w:r>
      <w:r>
        <w:t> </w:t>
      </w:r>
      <w:r>
        <w:rPr>
          <w:rStyle w:val="soitChar"/>
        </w:rPr>
        <w:t>mm.</w:t>
      </w:r>
    </w:p>
    <w:p w14:paraId="5C22EB62" w14:textId="77777777" w:rsidR="004B2808" w:rsidRDefault="00000000">
      <w:pPr>
        <w:ind w:left="567"/>
        <w:jc w:val="both"/>
      </w:pPr>
      <w:r>
        <w:rPr>
          <w:b/>
          <w:i/>
        </w:rPr>
        <w:t>(Soit)</w:t>
      </w:r>
    </w:p>
    <w:p w14:paraId="42AD08CF" w14:textId="77777777" w:rsidR="004B2808" w:rsidRDefault="00000000">
      <w:pPr>
        <w:ind w:left="567"/>
        <w:jc w:val="both"/>
      </w:pPr>
      <w:r>
        <w:rPr>
          <w:rStyle w:val="soitChar"/>
          <w:u w:val="single"/>
        </w:rPr>
        <w:t>Sans couvre-joints</w:t>
      </w:r>
      <w:r>
        <w:rPr>
          <w:rStyle w:val="soitChar"/>
        </w:rPr>
        <w:t>, selon le dessin de détail,</w:t>
      </w:r>
      <w:r>
        <w:t> </w:t>
      </w:r>
      <w:r>
        <w:rPr>
          <w:rStyle w:val="optioncarChar"/>
        </w:rPr>
        <w:t>avec joints en retrait </w:t>
      </w:r>
      <w:r>
        <w:t>(par défaut)</w:t>
      </w:r>
      <w:r>
        <w:rPr>
          <w:rStyle w:val="optioncarChar"/>
        </w:rPr>
        <w:t> / ***</w:t>
      </w:r>
    </w:p>
    <w:p w14:paraId="0337D0DC" w14:textId="77777777" w:rsidR="004B2808" w:rsidRDefault="00000000">
      <w:pPr>
        <w:jc w:val="both"/>
      </w:pPr>
      <w:r>
        <w:t>Type de porte : </w:t>
      </w:r>
      <w:r>
        <w:rPr>
          <w:rStyle w:val="optioncarChar"/>
        </w:rPr>
        <w:t>porte ouvrante simple type 1-porte à feuillure </w:t>
      </w:r>
      <w:r>
        <w:t>(par défaut)</w:t>
      </w:r>
      <w:r>
        <w:rPr>
          <w:rStyle w:val="optioncarChar"/>
        </w:rPr>
        <w:t> / double portes battantes / porte coulissante simple / porte coulissante double / porte simple pivotante / ***.</w:t>
      </w:r>
    </w:p>
    <w:p w14:paraId="0F542B5E" w14:textId="77777777" w:rsidR="004B2808" w:rsidRDefault="00000000">
      <w:pPr>
        <w:jc w:val="both"/>
      </w:pPr>
      <w:r>
        <w:t xml:space="preserve">Les mécanismes des portes coulissantes et pivotantes sont en </w:t>
      </w:r>
      <w:r>
        <w:rPr>
          <w:rStyle w:val="optioncarChar"/>
        </w:rPr>
        <w:t xml:space="preserve">acier galvanisé </w:t>
      </w:r>
      <w:r>
        <w:t xml:space="preserve">(par défaut) </w:t>
      </w:r>
      <w:r>
        <w:rPr>
          <w:rStyle w:val="optioncarChar"/>
        </w:rPr>
        <w:t>/ inox / ***</w:t>
      </w:r>
      <w:r>
        <w:t xml:space="preserve">. Les galets sont en </w:t>
      </w:r>
      <w:r>
        <w:rPr>
          <w:rStyle w:val="optioncarChar"/>
        </w:rPr>
        <w:t>nylon</w:t>
      </w:r>
      <w:r>
        <w:t xml:space="preserve"> (par défaut)</w:t>
      </w:r>
      <w:r>
        <w:rPr>
          <w:rStyle w:val="optioncarChar"/>
        </w:rPr>
        <w:t xml:space="preserve"> / ***</w:t>
      </w:r>
      <w:r>
        <w:t>. </w:t>
      </w:r>
    </w:p>
    <w:p w14:paraId="2B106568" w14:textId="77777777" w:rsidR="004B2808" w:rsidRDefault="00000000">
      <w:pPr>
        <w:jc w:val="both"/>
      </w:pPr>
      <w:r>
        <w:t xml:space="preserve">Les portes coulissantes et pivotantes sont composées </w:t>
      </w:r>
      <w:r>
        <w:rPr>
          <w:rStyle w:val="optioncarChar"/>
        </w:rPr>
        <w:t xml:space="preserve">d’un </w:t>
      </w:r>
      <w:r>
        <w:t>(par défaut) </w:t>
      </w:r>
      <w:r>
        <w:rPr>
          <w:rStyle w:val="optioncarChar"/>
        </w:rPr>
        <w:t>/ de deux / ***</w:t>
      </w:r>
      <w:r>
        <w:t xml:space="preserve"> panneaux. Les modèles sont présentés au maître d’œuvre pour acceptation.</w:t>
      </w:r>
    </w:p>
    <w:p w14:paraId="2F0F105D" w14:textId="77777777" w:rsidR="004B2808" w:rsidRDefault="00000000">
      <w:pPr>
        <w:jc w:val="both"/>
      </w:pPr>
      <w:r>
        <w:t>Les dimensions totales de la menuiserie comprennent le vantail et la huisserie (mais ne comprennent pas les retours éventuels d’ébrasement) :</w:t>
      </w:r>
    </w:p>
    <w:p w14:paraId="6FF3817F" w14:textId="77777777" w:rsidR="004B2808" w:rsidRDefault="00000000">
      <w:pPr>
        <w:pStyle w:val="Author-eListParagraph"/>
        <w:numPr>
          <w:ilvl w:val="0"/>
          <w:numId w:val="897"/>
        </w:numPr>
      </w:pPr>
      <w:r>
        <w:t>Hauteur : </w:t>
      </w:r>
      <w:r>
        <w:rPr>
          <w:rStyle w:val="optioncarChar"/>
        </w:rPr>
        <w:t>2015 </w:t>
      </w:r>
      <w:r>
        <w:t>(par défaut) </w:t>
      </w:r>
      <w:r>
        <w:rPr>
          <w:rStyle w:val="optioncarChar"/>
        </w:rPr>
        <w:t>/ 2030 / 2100 / 2115 / ***</w:t>
      </w:r>
      <w:r>
        <w:t> mm </w:t>
      </w:r>
      <w:r>
        <w:rPr>
          <w:rStyle w:val="optioncarChar"/>
        </w:rPr>
        <w:t>sans </w:t>
      </w:r>
      <w:r>
        <w:t>(par défaut)</w:t>
      </w:r>
      <w:r>
        <w:rPr>
          <w:rStyle w:val="optioncarChar"/>
        </w:rPr>
        <w:t> / avec</w:t>
      </w:r>
      <w:r>
        <w:t> imposte intégrée.</w:t>
      </w:r>
      <w:r>
        <w:br/>
      </w:r>
    </w:p>
    <w:p w14:paraId="6BBBCA70" w14:textId="77777777" w:rsidR="004B2808" w:rsidRDefault="00000000">
      <w:pPr>
        <w:pStyle w:val="Author-eListParagraph"/>
        <w:numPr>
          <w:ilvl w:val="0"/>
          <w:numId w:val="897"/>
        </w:numPr>
      </w:pPr>
      <w:r>
        <w:t>Largeur : </w:t>
      </w:r>
      <w:r>
        <w:rPr>
          <w:rStyle w:val="optioncarChar"/>
        </w:rPr>
        <w:t>selon les indications sur les plans </w:t>
      </w:r>
      <w:r>
        <w:t>(par défaut)</w:t>
      </w:r>
      <w:r>
        <w:rPr>
          <w:rStyle w:val="optioncarChar"/>
        </w:rPr>
        <w:t> / 730 / 780 / 830 / 880 / 930 / 980 / 1030 / ***</w:t>
      </w:r>
      <w:r>
        <w:t> mm les largeurs au-delà de 930 mm répondent à une utilisation PMR.</w:t>
      </w:r>
      <w:r>
        <w:br/>
      </w:r>
    </w:p>
    <w:p w14:paraId="1E521AB5" w14:textId="77777777" w:rsidR="004B2808" w:rsidRDefault="00000000">
      <w:pPr>
        <w:jc w:val="both"/>
      </w:pPr>
      <w:r>
        <w:t>Finition des feuilles de porte : </w:t>
      </w:r>
      <w:r>
        <w:rPr>
          <w:rStyle w:val="optioncarChar"/>
        </w:rPr>
        <w:t>couche de fond à peindre </w:t>
      </w:r>
      <w:r>
        <w:t>(par défaut)</w:t>
      </w:r>
      <w:r>
        <w:rPr>
          <w:rStyle w:val="optioncarChar"/>
        </w:rPr>
        <w:t> / laqué en usine avec une peinture à base de résine synthétique / revêtement laminé sans joints.</w:t>
      </w:r>
    </w:p>
    <w:p w14:paraId="4ED75A82" w14:textId="77777777" w:rsidR="004B2808" w:rsidRDefault="004B2808">
      <w:pPr>
        <w:jc w:val="both"/>
      </w:pPr>
    </w:p>
    <w:p w14:paraId="36B81561" w14:textId="77777777" w:rsidR="004B2808" w:rsidRDefault="00000000">
      <w:pPr>
        <w:jc w:val="both"/>
      </w:pPr>
      <w:r>
        <w:t xml:space="preserve"> Finition des bords longitudinaux :</w:t>
      </w:r>
      <w:r>
        <w:rPr>
          <w:rStyle w:val="optioncarChar"/>
        </w:rPr>
        <w:t> non revêtus </w:t>
      </w:r>
      <w:r>
        <w:t>(par défaut)</w:t>
      </w:r>
      <w:r>
        <w:rPr>
          <w:rStyle w:val="optioncarChar"/>
        </w:rPr>
        <w:t> / idem aux plaques extérieures / montants verticaux en bois massif dur</w:t>
      </w:r>
      <w:r>
        <w:t>.</w:t>
      </w:r>
    </w:p>
    <w:p w14:paraId="4F18F025" w14:textId="77777777" w:rsidR="004B2808" w:rsidRDefault="00000000">
      <w:pPr>
        <w:jc w:val="both"/>
      </w:pPr>
      <w:r>
        <w:lastRenderedPageBreak/>
        <w:t> </w:t>
      </w:r>
    </w:p>
    <w:p w14:paraId="0AC1A757" w14:textId="77777777" w:rsidR="004B2808" w:rsidRDefault="00000000">
      <w:pPr>
        <w:jc w:val="both"/>
      </w:pPr>
      <w:r>
        <w:t xml:space="preserve">Les portes intérieures en bois massif sont </w:t>
      </w:r>
      <w:r>
        <w:rPr>
          <w:rStyle w:val="optioncarChar"/>
        </w:rPr>
        <w:t>neuves</w:t>
      </w:r>
      <w:r>
        <w:t xml:space="preserve"> (par défaut)</w:t>
      </w:r>
      <w:r>
        <w:rPr>
          <w:rStyle w:val="optioncarChar"/>
        </w:rPr>
        <w:t xml:space="preserve"> / de réemploi.</w:t>
      </w:r>
    </w:p>
    <w:p w14:paraId="423D7DA9" w14:textId="77777777" w:rsidR="004B2808" w:rsidRDefault="00000000">
      <w:pPr>
        <w:ind w:left="567"/>
        <w:jc w:val="both"/>
      </w:pPr>
      <w:r>
        <w:rPr>
          <w:b/>
          <w:i/>
        </w:rPr>
        <w:t>(Soit par défaut)             </w:t>
      </w:r>
      <w:r>
        <w:t>                                                            </w:t>
      </w:r>
    </w:p>
    <w:p w14:paraId="4C0A9A0E" w14:textId="77777777" w:rsidR="004B2808" w:rsidRDefault="00000000">
      <w:pPr>
        <w:ind w:left="567"/>
        <w:jc w:val="both"/>
      </w:pPr>
      <w:r>
        <w:rPr>
          <w:rStyle w:val="soitChar"/>
          <w:u w:val="single"/>
        </w:rPr>
        <w:t>Neuves :</w:t>
      </w:r>
    </w:p>
    <w:p w14:paraId="4DC4E6DF" w14:textId="77777777" w:rsidR="004B2808" w:rsidRDefault="00000000">
      <w:pPr>
        <w:ind w:left="567"/>
        <w:jc w:val="both"/>
      </w:pPr>
      <w:r>
        <w:rPr>
          <w:rStyle w:val="soitChar"/>
        </w:rPr>
        <w:t>Forme et dimensions des profils</w:t>
      </w:r>
    </w:p>
    <w:p w14:paraId="15D9E669" w14:textId="77777777" w:rsidR="004B2808" w:rsidRDefault="00000000">
      <w:pPr>
        <w:ind w:left="567"/>
        <w:jc w:val="both"/>
      </w:pPr>
      <w:r>
        <w:rPr>
          <w:rStyle w:val="soitChar"/>
        </w:rPr>
        <w:t>Les dimensions nominales des pièces mises en œuvre sont exprimées en mm (sans décimales) et tiennent compte des performances exigées, des notes de calculs, de la composition des parties fixes et mobiles, de la quincaillerie ainsi que de l'épaisseur des vitrages et des panneautages. </w:t>
      </w:r>
    </w:p>
    <w:p w14:paraId="6369051C" w14:textId="77777777" w:rsidR="004B2808" w:rsidRDefault="00000000">
      <w:pPr>
        <w:pStyle w:val="Author-eListParagraph"/>
        <w:numPr>
          <w:ilvl w:val="1"/>
          <w:numId w:val="898"/>
        </w:numPr>
      </w:pPr>
      <w:r>
        <w:rPr>
          <w:rStyle w:val="soitChar"/>
        </w:rPr>
        <w:t xml:space="preserve">Les panneaux de remplissage sont en </w:t>
      </w:r>
      <w:r>
        <w:rPr>
          <w:rStyle w:val="optioncarChar"/>
        </w:rPr>
        <w:t xml:space="preserve">planchette juxtaposée </w:t>
      </w:r>
      <w:r>
        <w:t>(par défaut)</w:t>
      </w:r>
      <w:r>
        <w:rPr>
          <w:rStyle w:val="optioncarChar"/>
        </w:rPr>
        <w:t xml:space="preserve"> / lamellé-collé / contrecollé / panneau de fibre / panneau ce particule / panneau contrecollé / panneau à âme creuse / ***</w:t>
      </w:r>
      <w:r>
        <w:rPr>
          <w:rStyle w:val="soitChar"/>
        </w:rPr>
        <w:t>.</w:t>
      </w:r>
      <w:r>
        <w:br/>
      </w:r>
    </w:p>
    <w:p w14:paraId="4EF60180" w14:textId="77777777" w:rsidR="004B2808" w:rsidRDefault="00000000">
      <w:pPr>
        <w:pStyle w:val="Author-eListParagraph"/>
        <w:numPr>
          <w:ilvl w:val="1"/>
          <w:numId w:val="898"/>
        </w:numPr>
      </w:pPr>
      <w:r>
        <w:rPr>
          <w:rStyle w:val="soitChar"/>
        </w:rPr>
        <w:t>Le profil des ébrasements est réalisé de manière indéformable par : </w:t>
      </w:r>
      <w:r>
        <w:rPr>
          <w:rStyle w:val="optioncarChar"/>
        </w:rPr>
        <w:t xml:space="preserve">batée embrevée, épaisseur minimale de l’embrasement de18 </w:t>
      </w:r>
      <w:r>
        <w:t>(par défaut)</w:t>
      </w:r>
      <w:r>
        <w:rPr>
          <w:rStyle w:val="optioncarChar"/>
        </w:rPr>
        <w:t xml:space="preserve"> / *** mm  /  feuillure fraisée, épaisseur minimale de l'ébrasement : 22 </w:t>
      </w:r>
      <w:r>
        <w:t>(par défaut)</w:t>
      </w:r>
      <w:r>
        <w:rPr>
          <w:rStyle w:val="optioncarChar"/>
        </w:rPr>
        <w:t> / *** mm</w:t>
      </w:r>
      <w:r>
        <w:rPr>
          <w:rStyle w:val="soitChar"/>
        </w:rPr>
        <w:t>.</w:t>
      </w:r>
      <w:r>
        <w:br/>
      </w:r>
    </w:p>
    <w:p w14:paraId="4EA46EC8" w14:textId="77777777" w:rsidR="004B2808" w:rsidRDefault="00000000">
      <w:pPr>
        <w:pStyle w:val="Author-eListParagraph"/>
        <w:numPr>
          <w:ilvl w:val="1"/>
          <w:numId w:val="898"/>
        </w:numPr>
      </w:pPr>
      <w:r>
        <w:rPr>
          <w:rStyle w:val="soitChar"/>
        </w:rPr>
        <w:t>Lorsque le chambranle de porte est destiné à contenir la porte, il est pourvu d'une batée dont la section est d'au moins </w:t>
      </w:r>
      <w:r>
        <w:rPr>
          <w:rStyle w:val="optioncarChar"/>
        </w:rPr>
        <w:t>15 x 15</w:t>
      </w:r>
      <w:r>
        <w:t xml:space="preserve"> (par défaut)</w:t>
      </w:r>
      <w:r>
        <w:rPr>
          <w:rStyle w:val="optioncarChar"/>
        </w:rPr>
        <w:t xml:space="preserve"> / 15 x 20 </w:t>
      </w:r>
      <w:r>
        <w:rPr>
          <w:rStyle w:val="soitChar"/>
        </w:rPr>
        <w:t> mm et qui est embrevée dans l'ébrasement d'environ 5 mm.</w:t>
      </w:r>
      <w:r>
        <w:br/>
      </w:r>
    </w:p>
    <w:p w14:paraId="153ABBFC" w14:textId="77777777" w:rsidR="004B2808" w:rsidRDefault="00000000">
      <w:pPr>
        <w:pStyle w:val="Author-eListParagraph"/>
        <w:numPr>
          <w:ilvl w:val="1"/>
          <w:numId w:val="898"/>
        </w:numPr>
      </w:pPr>
      <w:r>
        <w:rPr>
          <w:rStyle w:val="soitChar"/>
        </w:rPr>
        <w:t>Epaisseur : l'épaisseur totale du vantail est de </w:t>
      </w:r>
      <w:r>
        <w:rPr>
          <w:rStyle w:val="optioncarChar"/>
        </w:rPr>
        <w:t>39</w:t>
      </w:r>
      <w:r>
        <w:t> (par défaut)</w:t>
      </w:r>
      <w:r>
        <w:rPr>
          <w:rStyle w:val="optioncarChar"/>
        </w:rPr>
        <w:t> / ***</w:t>
      </w:r>
      <w:r>
        <w:rPr>
          <w:rStyle w:val="soitChar"/>
        </w:rPr>
        <w:t>.+1 mm.</w:t>
      </w:r>
      <w:r>
        <w:br/>
      </w:r>
    </w:p>
    <w:p w14:paraId="094A7769" w14:textId="77777777" w:rsidR="004B2808" w:rsidRDefault="00000000">
      <w:pPr>
        <w:pStyle w:val="Author-eListParagraph"/>
        <w:numPr>
          <w:ilvl w:val="1"/>
          <w:numId w:val="898"/>
        </w:numPr>
      </w:pPr>
      <w:r>
        <w:rPr>
          <w:rStyle w:val="soitChar"/>
        </w:rPr>
        <w:t xml:space="preserve">Remplissage vitré: </w:t>
      </w:r>
      <w:r>
        <w:rPr>
          <w:rStyle w:val="optioncarChar"/>
        </w:rPr>
        <w:t>non disponible</w:t>
      </w:r>
      <w:r>
        <w:t xml:space="preserve"> (par défaut)</w:t>
      </w:r>
      <w:r>
        <w:rPr>
          <w:rStyle w:val="optioncarChar"/>
        </w:rPr>
        <w:t xml:space="preserve"> / vitrages trempé clair / vitrage trempé mat / feuilleté clair  conforme aux [NBN S 23-002/A1] / ***</w:t>
      </w:r>
      <w:r>
        <w:rPr>
          <w:rStyle w:val="soitChar"/>
        </w:rPr>
        <w:t>.</w:t>
      </w:r>
      <w:r>
        <w:br/>
      </w:r>
    </w:p>
    <w:p w14:paraId="08D3A7DA" w14:textId="77777777" w:rsidR="004B2808" w:rsidRDefault="00000000">
      <w:pPr>
        <w:pStyle w:val="Author-eListParagraph"/>
        <w:numPr>
          <w:ilvl w:val="1"/>
          <w:numId w:val="898"/>
        </w:numPr>
      </w:pPr>
      <w:r>
        <w:rPr>
          <w:rStyle w:val="soitChar"/>
        </w:rPr>
        <w:t xml:space="preserve">Réservation dans le vantail de porte : </w:t>
      </w:r>
      <w:r>
        <w:rPr>
          <w:rStyle w:val="optioncarChar"/>
        </w:rPr>
        <w:t>rectangulaire</w:t>
      </w:r>
      <w:r>
        <w:t xml:space="preserve"> (par défaut)</w:t>
      </w:r>
      <w:r>
        <w:rPr>
          <w:rStyle w:val="optioncarChar"/>
        </w:rPr>
        <w:t xml:space="preserve"> / ronde / conformément aux dessins de détail / selon le modèle / ***</w:t>
      </w:r>
      <w:r>
        <w:rPr>
          <w:rStyle w:val="soitChar"/>
        </w:rPr>
        <w:t> à soumettre pour approbation (pour les réservations dans les portes à âme creuse, un cadre en bois est appliqué et collé).</w:t>
      </w:r>
      <w:r>
        <w:br/>
      </w:r>
    </w:p>
    <w:p w14:paraId="3ADB0C38" w14:textId="77777777" w:rsidR="004B2808" w:rsidRDefault="00000000">
      <w:pPr>
        <w:pStyle w:val="Author-eListParagraph"/>
        <w:numPr>
          <w:ilvl w:val="1"/>
          <w:numId w:val="898"/>
        </w:numPr>
      </w:pPr>
      <w:r>
        <w:rPr>
          <w:rStyle w:val="soitChar"/>
        </w:rPr>
        <w:t xml:space="preserve">Fixation de la vitre dans la réservation à l'aide de :  </w:t>
      </w:r>
      <w:r>
        <w:rPr>
          <w:rStyle w:val="optioncarChar"/>
        </w:rPr>
        <w:t xml:space="preserve">mastic plastique </w:t>
      </w:r>
      <w:r>
        <w:t>(par défaut)</w:t>
      </w:r>
      <w:r>
        <w:rPr>
          <w:rStyle w:val="optioncarChar"/>
        </w:rPr>
        <w:t xml:space="preserve"> / profils de fixation à enclenchement en bois / profils de fixation à enclenchement synthétique / ***</w:t>
      </w:r>
      <w:r>
        <w:rPr>
          <w:rStyle w:val="soitChar"/>
        </w:rPr>
        <w:t>.</w:t>
      </w:r>
      <w:r>
        <w:br/>
      </w:r>
    </w:p>
    <w:p w14:paraId="007098C3" w14:textId="77777777" w:rsidR="004B2808" w:rsidRDefault="00000000">
      <w:pPr>
        <w:pStyle w:val="Author-eListParagraph"/>
        <w:numPr>
          <w:ilvl w:val="1"/>
          <w:numId w:val="898"/>
        </w:numPr>
      </w:pPr>
      <w:r>
        <w:rPr>
          <w:rStyle w:val="soitChar"/>
        </w:rPr>
        <w:t>Les vitres sont encadrées par : </w:t>
      </w:r>
      <w:r>
        <w:rPr>
          <w:rStyle w:val="optioncarChar"/>
        </w:rPr>
        <w:t xml:space="preserve">des lattes en bois dur, finition prête à peindre </w:t>
      </w:r>
      <w:r>
        <w:t>(par défaut)</w:t>
      </w:r>
      <w:r>
        <w:rPr>
          <w:rStyle w:val="optioncarChar"/>
        </w:rPr>
        <w:t xml:space="preserve"> / ***.</w:t>
      </w:r>
      <w:r>
        <w:br/>
      </w:r>
    </w:p>
    <w:p w14:paraId="7AA13133" w14:textId="77777777" w:rsidR="004B2808" w:rsidRDefault="00000000">
      <w:pPr>
        <w:pStyle w:val="Author-eListParagraph"/>
        <w:numPr>
          <w:ilvl w:val="1"/>
          <w:numId w:val="898"/>
        </w:numPr>
      </w:pPr>
      <w:r>
        <w:rPr>
          <w:rStyle w:val="soitChar"/>
        </w:rPr>
        <w:t xml:space="preserve">Les portes </w:t>
      </w:r>
      <w:r>
        <w:rPr>
          <w:rStyle w:val="optioncarChar"/>
        </w:rPr>
        <w:t xml:space="preserve">ne sont pas </w:t>
      </w:r>
      <w:r>
        <w:t>(par défaut)</w:t>
      </w:r>
      <w:r>
        <w:rPr>
          <w:rStyle w:val="optioncarChar"/>
        </w:rPr>
        <w:t xml:space="preserve"> / sont</w:t>
      </w:r>
      <w:r>
        <w:rPr>
          <w:rStyle w:val="soitChar"/>
        </w:rPr>
        <w:t> pourvues d'une grille encastrée, selon l'élément </w:t>
      </w:r>
      <w:hyperlink w:anchor="1322" w:history="1">
        <w:r w:rsidR="004B2808">
          <w:rPr>
            <w:rStyle w:val="soitChar"/>
            <w:color w:val="0000EE"/>
          </w:rPr>
          <w:t>55.68.1 Grilles de transfert dans les portes</w:t>
        </w:r>
      </w:hyperlink>
      <w:r>
        <w:rPr>
          <w:rStyle w:val="soitChar"/>
        </w:rPr>
        <w:t>, ouverture d'aération conformément à la [NBN D 50-001].</w:t>
      </w:r>
      <w:r>
        <w:br/>
      </w:r>
    </w:p>
    <w:p w14:paraId="14E972DC" w14:textId="77777777" w:rsidR="004B2808" w:rsidRDefault="00000000">
      <w:pPr>
        <w:pStyle w:val="Author-eListParagraph"/>
        <w:numPr>
          <w:ilvl w:val="1"/>
          <w:numId w:val="898"/>
        </w:numPr>
      </w:pPr>
      <w:r>
        <w:rPr>
          <w:rStyle w:val="soitChar"/>
        </w:rPr>
        <w:t>Les portes sont pourvues d'une fente de ventilation d'environ </w:t>
      </w:r>
      <w:r>
        <w:rPr>
          <w:rStyle w:val="optioncarChar"/>
        </w:rPr>
        <w:t xml:space="preserve">1 </w:t>
      </w:r>
      <w:r>
        <w:t xml:space="preserve">(par défaut) </w:t>
      </w:r>
      <w:r>
        <w:rPr>
          <w:rStyle w:val="optioncarChar"/>
        </w:rPr>
        <w:t>/ ***</w:t>
      </w:r>
      <w:r>
        <w:rPr>
          <w:rStyle w:val="soitChar"/>
        </w:rPr>
        <w:t> cm dans le bas, de façon telle que l'ouverture d'aération soit conforme à la [NBN D 50-001] ;</w:t>
      </w:r>
    </w:p>
    <w:p w14:paraId="5AE80E34" w14:textId="77777777" w:rsidR="004B2808" w:rsidRDefault="00000000">
      <w:pPr>
        <w:ind w:left="567"/>
        <w:jc w:val="both"/>
      </w:pPr>
      <w:r>
        <w:rPr>
          <w:rStyle w:val="soitChar"/>
        </w:rPr>
        <w:t> </w:t>
      </w:r>
    </w:p>
    <w:p w14:paraId="1375C825" w14:textId="77777777" w:rsidR="004B2808" w:rsidRDefault="00000000">
      <w:pPr>
        <w:ind w:left="567"/>
        <w:jc w:val="both"/>
      </w:pPr>
      <w:r>
        <w:rPr>
          <w:rStyle w:val="soitChar"/>
          <w:b/>
        </w:rPr>
        <w:t>Assemblage des profils</w:t>
      </w:r>
    </w:p>
    <w:p w14:paraId="288BF275" w14:textId="77777777" w:rsidR="004B2808" w:rsidRDefault="00000000">
      <w:pPr>
        <w:ind w:left="567"/>
        <w:jc w:val="both"/>
      </w:pPr>
      <w:r>
        <w:rPr>
          <w:rStyle w:val="soitChar"/>
        </w:rPr>
        <w:t xml:space="preserve">Les assemblages des angles et des extrémités sont exécutés </w:t>
      </w:r>
      <w:r>
        <w:rPr>
          <w:rStyle w:val="optioncarChar"/>
        </w:rPr>
        <w:t>par collage d’angle et panneau de finition / tenons</w:t>
      </w:r>
      <w:r>
        <w:t xml:space="preserve"> (par défaut)</w:t>
      </w:r>
      <w:r>
        <w:rPr>
          <w:rStyle w:val="optioncarChar"/>
        </w:rPr>
        <w:t xml:space="preserve"> / par entures multiples / par assemblage mécanique / ***</w:t>
      </w:r>
      <w:r>
        <w:rPr>
          <w:rStyle w:val="soitChar"/>
        </w:rPr>
        <w:t xml:space="preserve"> et collés avec une colle synthétique minimum D2.</w:t>
      </w:r>
    </w:p>
    <w:p w14:paraId="1BE14321" w14:textId="77777777" w:rsidR="004B2808" w:rsidRDefault="00000000">
      <w:pPr>
        <w:ind w:left="567"/>
        <w:jc w:val="both"/>
      </w:pPr>
      <w:r>
        <w:rPr>
          <w:rStyle w:val="soitChar"/>
        </w:rPr>
        <w:lastRenderedPageBreak/>
        <w:t>Après collage, les pièces de bois sont assemblées mécaniquement, les trous ainsi pratiqués sont comblés par un mastic approprié à la finition décrite par ailleurs.</w:t>
      </w:r>
    </w:p>
    <w:p w14:paraId="2BD90D8D" w14:textId="77777777" w:rsidR="004B2808" w:rsidRDefault="004B2808">
      <w:pPr>
        <w:ind w:left="567"/>
        <w:jc w:val="both"/>
      </w:pPr>
    </w:p>
    <w:p w14:paraId="40E9956B" w14:textId="77777777" w:rsidR="004B2808" w:rsidRDefault="00000000">
      <w:pPr>
        <w:ind w:left="567"/>
        <w:jc w:val="both"/>
      </w:pPr>
      <w:r>
        <w:rPr>
          <w:rStyle w:val="soitChar"/>
          <w:b/>
        </w:rPr>
        <w:t>Performances</w:t>
      </w:r>
    </w:p>
    <w:p w14:paraId="5C15F061" w14:textId="77777777" w:rsidR="004B2808" w:rsidRDefault="00000000">
      <w:pPr>
        <w:pStyle w:val="Author-eListParagraph"/>
        <w:numPr>
          <w:ilvl w:val="1"/>
          <w:numId w:val="899"/>
        </w:numPr>
      </w:pPr>
      <w:r>
        <w:rPr>
          <w:rStyle w:val="soitChar"/>
        </w:rPr>
        <w:t xml:space="preserve">Etanchéité à l’air : </w:t>
      </w:r>
      <w:r>
        <w:rPr>
          <w:rStyle w:val="optioncarChar"/>
        </w:rPr>
        <w:t xml:space="preserve">sans performance </w:t>
      </w:r>
      <w:r>
        <w:t>(par défaut)</w:t>
      </w:r>
      <w:r>
        <w:rPr>
          <w:rStyle w:val="optioncarChar"/>
        </w:rPr>
        <w:t xml:space="preserve"> / classe 4 / dont le débit à 50 Pa est inférieur à 0.8 m³/h/m²  /  classe *** / ***.</w:t>
      </w:r>
      <w:r>
        <w:br/>
      </w:r>
    </w:p>
    <w:p w14:paraId="50B39028" w14:textId="77777777" w:rsidR="004B2808" w:rsidRDefault="00000000">
      <w:pPr>
        <w:pStyle w:val="Author-eListParagraph"/>
        <w:numPr>
          <w:ilvl w:val="1"/>
          <w:numId w:val="899"/>
        </w:numPr>
      </w:pPr>
      <w:r>
        <w:rPr>
          <w:rStyle w:val="soitChar"/>
        </w:rPr>
        <w:t xml:space="preserve">D’effort de manœuvre :classe </w:t>
      </w:r>
      <w:r>
        <w:rPr>
          <w:rStyle w:val="optioncarChar"/>
        </w:rPr>
        <w:t xml:space="preserve">1 </w:t>
      </w:r>
      <w:r>
        <w:t>(par défaut)</w:t>
      </w:r>
      <w:r>
        <w:rPr>
          <w:rStyle w:val="optioncarChar"/>
        </w:rPr>
        <w:t xml:space="preserve"> / 2 (PMR) / ***</w:t>
      </w:r>
      <w:r>
        <w:rPr>
          <w:rStyle w:val="soitChar"/>
        </w:rPr>
        <w:t>.</w:t>
      </w:r>
    </w:p>
    <w:p w14:paraId="13AE1CFC" w14:textId="77777777" w:rsidR="004B2808" w:rsidRDefault="00000000">
      <w:pPr>
        <w:pStyle w:val="Author-eListParagraph"/>
        <w:numPr>
          <w:ilvl w:val="1"/>
          <w:numId w:val="900"/>
        </w:numPr>
      </w:pPr>
      <w:r>
        <w:rPr>
          <w:rStyle w:val="soitChar"/>
        </w:rPr>
        <w:t xml:space="preserve">Abus d’utilisation : classe </w:t>
      </w:r>
      <w:r>
        <w:rPr>
          <w:rStyle w:val="optioncarChar"/>
        </w:rPr>
        <w:t>3</w:t>
      </w:r>
      <w:r>
        <w:t xml:space="preserve"> (par défaut)</w:t>
      </w:r>
      <w:r>
        <w:rPr>
          <w:rStyle w:val="optioncarChar"/>
        </w:rPr>
        <w:t xml:space="preserve"> / 4 (écoles, bâtiments publics) / ***</w:t>
      </w:r>
      <w:r>
        <w:rPr>
          <w:rStyle w:val="soitChar"/>
        </w:rPr>
        <w:t>.</w:t>
      </w:r>
      <w:r>
        <w:br/>
      </w:r>
    </w:p>
    <w:p w14:paraId="199AA9D8" w14:textId="77777777" w:rsidR="004B2808" w:rsidRDefault="00000000">
      <w:pPr>
        <w:pStyle w:val="Author-eListParagraph"/>
        <w:numPr>
          <w:ilvl w:val="1"/>
          <w:numId w:val="900"/>
        </w:numPr>
      </w:pPr>
      <w:r>
        <w:rPr>
          <w:rStyle w:val="soitChar"/>
        </w:rPr>
        <w:t xml:space="preserve">Résistance à l’effraction : classe </w:t>
      </w:r>
      <w:r>
        <w:rPr>
          <w:rStyle w:val="optioncarChar"/>
        </w:rPr>
        <w:t xml:space="preserve">0 </w:t>
      </w:r>
      <w:r>
        <w:t>(par défaut)</w:t>
      </w:r>
      <w:r>
        <w:rPr>
          <w:rStyle w:val="optioncarChar"/>
        </w:rPr>
        <w:t xml:space="preserve"> / 1 (sans performances particulière) / 2 (résistance à l’effraction de base) / ***.</w:t>
      </w:r>
    </w:p>
    <w:p w14:paraId="5D728315" w14:textId="77777777" w:rsidR="004B2808" w:rsidRDefault="00000000">
      <w:pPr>
        <w:ind w:left="567"/>
        <w:jc w:val="both"/>
      </w:pPr>
      <w:r>
        <w:rPr>
          <w:b/>
          <w:i/>
        </w:rPr>
        <w:t>(Soit)</w:t>
      </w:r>
    </w:p>
    <w:p w14:paraId="0D1B9EA3" w14:textId="77777777" w:rsidR="004B2808" w:rsidRDefault="00000000">
      <w:pPr>
        <w:ind w:left="567"/>
        <w:jc w:val="both"/>
      </w:pPr>
      <w:r>
        <w:rPr>
          <w:rStyle w:val="soitChar"/>
          <w:u w:val="single"/>
        </w:rPr>
        <w:t>Réemploi :</w:t>
      </w:r>
    </w:p>
    <w:p w14:paraId="77A19D2A" w14:textId="77777777" w:rsidR="004B2808" w:rsidRDefault="00000000">
      <w:pPr>
        <w:ind w:left="567"/>
        <w:jc w:val="both"/>
      </w:pPr>
      <w:r>
        <w:rPr>
          <w:rStyle w:val="soitChar"/>
        </w:rPr>
        <w:t xml:space="preserve">Il s’agit de portes issues </w:t>
      </w:r>
      <w:r>
        <w:rPr>
          <w:rStyle w:val="optioncarChar"/>
        </w:rPr>
        <w:t xml:space="preserve">du démontage de menuiseries existantes </w:t>
      </w:r>
      <w:r>
        <w:t xml:space="preserve">(par défaut) </w:t>
      </w:r>
      <w:r>
        <w:rPr>
          <w:rStyle w:val="optioncarChar"/>
        </w:rPr>
        <w:t>/ ***.</w:t>
      </w:r>
    </w:p>
    <w:p w14:paraId="0E175F2E" w14:textId="77777777" w:rsidR="004B2808" w:rsidRDefault="00000000">
      <w:pPr>
        <w:ind w:left="567"/>
        <w:jc w:val="both"/>
      </w:pPr>
      <w:r>
        <w:rPr>
          <w:rStyle w:val="soitChar"/>
        </w:rPr>
        <w:t>Si la menuiserie intérieure est issue du même chantier, celle-ci est reconditionnée via :  </w:t>
      </w:r>
      <w:r>
        <w:rPr>
          <w:rStyle w:val="optioncarChar"/>
        </w:rPr>
        <w:t xml:space="preserve">un procédé présenté au maitre d’ouvrage </w:t>
      </w:r>
      <w:r>
        <w:t>(par défaut)</w:t>
      </w:r>
      <w:r>
        <w:rPr>
          <w:rStyle w:val="optioncarChar"/>
        </w:rPr>
        <w:t xml:space="preserve"> / le remplacement des joints / le remplacement et le renfort de la quincailleries  / ***.</w:t>
      </w:r>
    </w:p>
    <w:p w14:paraId="31AB1232" w14:textId="77777777" w:rsidR="004B2808" w:rsidRDefault="00000000">
      <w:pPr>
        <w:ind w:left="567"/>
        <w:jc w:val="both"/>
      </w:pPr>
      <w:r>
        <w:rPr>
          <w:rStyle w:val="soitChar"/>
        </w:rPr>
        <w:t>Une menuiserie intérieure témoin est soumise à banc d’essais pour atteindre les performances suivantes :</w:t>
      </w:r>
    </w:p>
    <w:p w14:paraId="0AE5E1A2" w14:textId="77777777" w:rsidR="004B2808" w:rsidRDefault="00000000">
      <w:pPr>
        <w:pStyle w:val="Author-eListParagraph"/>
        <w:numPr>
          <w:ilvl w:val="1"/>
          <w:numId w:val="901"/>
        </w:numPr>
      </w:pPr>
      <w:r>
        <w:rPr>
          <w:rStyle w:val="soitChar"/>
        </w:rPr>
        <w:t>Etanchéité à l’air :</w:t>
      </w:r>
      <w:r>
        <w:rPr>
          <w:rStyle w:val="optioncarChar"/>
        </w:rPr>
        <w:t xml:space="preserve"> sans performance</w:t>
      </w:r>
      <w:r>
        <w:t xml:space="preserve"> (par défaut)</w:t>
      </w:r>
      <w:r>
        <w:rPr>
          <w:rStyle w:val="optioncarChar"/>
        </w:rPr>
        <w:t xml:space="preserve"> / classe 4 / dont le débit à 50 Pa est inférieur à 0.8 m³/h/m²  /  classe ***./ ***</w:t>
      </w:r>
      <w:r>
        <w:br/>
      </w:r>
    </w:p>
    <w:p w14:paraId="300DB2AF" w14:textId="77777777" w:rsidR="004B2808" w:rsidRDefault="00000000">
      <w:pPr>
        <w:pStyle w:val="Author-eListParagraph"/>
        <w:numPr>
          <w:ilvl w:val="1"/>
          <w:numId w:val="901"/>
        </w:numPr>
      </w:pPr>
      <w:r>
        <w:rPr>
          <w:rStyle w:val="soitChar"/>
        </w:rPr>
        <w:t xml:space="preserve">Effort de manœuvre de classe </w:t>
      </w:r>
      <w:r>
        <w:rPr>
          <w:rStyle w:val="optioncarChar"/>
        </w:rPr>
        <w:t xml:space="preserve">1 </w:t>
      </w:r>
      <w:r>
        <w:t xml:space="preserve">(par défaut) </w:t>
      </w:r>
      <w:r>
        <w:rPr>
          <w:rStyle w:val="optioncarChar"/>
        </w:rPr>
        <w:t>/ 2 (PMR) / ***.</w:t>
      </w:r>
      <w:r>
        <w:br/>
      </w:r>
    </w:p>
    <w:p w14:paraId="188CAB35" w14:textId="77777777" w:rsidR="004B2808" w:rsidRDefault="00000000">
      <w:pPr>
        <w:ind w:left="567"/>
        <w:jc w:val="both"/>
      </w:pPr>
      <w:r>
        <w:rPr>
          <w:rStyle w:val="soitChar"/>
        </w:rPr>
        <w:t xml:space="preserve">Quincailleries : </w:t>
      </w:r>
      <w:r>
        <w:rPr>
          <w:rStyle w:val="optioncarChar"/>
        </w:rPr>
        <w:t>conforme à la documentation technique du produit</w:t>
      </w:r>
      <w:r>
        <w:t xml:space="preserve"> (par défaut)</w:t>
      </w:r>
      <w:r>
        <w:rPr>
          <w:rStyle w:val="optioncarChar"/>
        </w:rPr>
        <w:t xml:space="preserve"> / ***</w:t>
      </w:r>
    </w:p>
    <w:p w14:paraId="6790DC9B" w14:textId="77777777" w:rsidR="004B2808" w:rsidRDefault="00000000">
      <w:pPr>
        <w:pStyle w:val="Author-eListParagraph"/>
        <w:numPr>
          <w:ilvl w:val="1"/>
          <w:numId w:val="902"/>
        </w:numPr>
      </w:pPr>
      <w:r>
        <w:rPr>
          <w:rStyle w:val="soitChar"/>
        </w:rPr>
        <w:t xml:space="preserve">Cf. Article </w:t>
      </w:r>
      <w:hyperlink w:anchor="1323" w:history="1">
        <w:r w:rsidR="004B2808">
          <w:rPr>
            <w:rStyle w:val="soitChar"/>
            <w:color w:val="0000EE"/>
          </w:rPr>
          <w:t>55.62.1a Charnières et paumelles</w:t>
        </w:r>
      </w:hyperlink>
    </w:p>
    <w:p w14:paraId="3B6C03AB" w14:textId="77777777" w:rsidR="004B2808" w:rsidRDefault="00000000">
      <w:pPr>
        <w:pStyle w:val="Author-eListParagraph"/>
        <w:numPr>
          <w:ilvl w:val="1"/>
          <w:numId w:val="902"/>
        </w:numPr>
      </w:pPr>
      <w:r>
        <w:rPr>
          <w:rStyle w:val="soitChar"/>
        </w:rPr>
        <w:t xml:space="preserve">Cf. Article </w:t>
      </w:r>
      <w:hyperlink w:anchor="1324" w:history="1">
        <w:r w:rsidR="004B2808">
          <w:rPr>
            <w:rStyle w:val="soitChar"/>
            <w:color w:val="0000EE"/>
          </w:rPr>
          <w:t>55.62.3a Poignées de portes</w:t>
        </w:r>
      </w:hyperlink>
    </w:p>
    <w:p w14:paraId="39D59D66" w14:textId="77777777" w:rsidR="004B2808" w:rsidRDefault="00000000">
      <w:pPr>
        <w:ind w:left="1134"/>
        <w:jc w:val="both"/>
      </w:pPr>
      <w:r>
        <w:rPr>
          <w:rStyle w:val="soitChar"/>
        </w:rPr>
        <w:t>La quincaillerie permet d’atteindre les performances définies ci-dessus et sont conformes aux spécifications du produit.</w:t>
      </w:r>
    </w:p>
    <w:p w14:paraId="53042992" w14:textId="77777777" w:rsidR="004B2808" w:rsidRDefault="004B2808"/>
    <w:p w14:paraId="61BBA5DF" w14:textId="77777777" w:rsidR="004B2808" w:rsidRDefault="00000000">
      <w:pPr>
        <w:ind w:left="567"/>
        <w:jc w:val="both"/>
      </w:pPr>
      <w:r>
        <w:rPr>
          <w:b/>
        </w:rPr>
        <w:t> </w:t>
      </w:r>
      <w:r>
        <w:rPr>
          <w:rStyle w:val="soitChar"/>
          <w:b/>
        </w:rPr>
        <w:t>Vitrages</w:t>
      </w:r>
    </w:p>
    <w:p w14:paraId="76D74210" w14:textId="77777777" w:rsidR="004B2808" w:rsidRDefault="00000000">
      <w:pPr>
        <w:ind w:left="567"/>
        <w:jc w:val="both"/>
      </w:pPr>
      <w:r>
        <w:rPr>
          <w:rStyle w:val="soitChar"/>
        </w:rPr>
        <w:t xml:space="preserve">Remplissage complémentaire : </w:t>
      </w:r>
      <w:r>
        <w:rPr>
          <w:rStyle w:val="optioncarChar"/>
        </w:rPr>
        <w:t xml:space="preserve">pas d’application </w:t>
      </w:r>
      <w:r>
        <w:t>(par défaut)</w:t>
      </w:r>
      <w:r>
        <w:rPr>
          <w:rStyle w:val="optioncarChar"/>
        </w:rPr>
        <w:t xml:space="preserve"> / vitrages trempé clair / vitrage trempé mat /  feuilleté clair  conforme aux [NBN S 23-002/A1] / ***.</w:t>
      </w:r>
    </w:p>
    <w:p w14:paraId="3B0E48CA" w14:textId="77777777" w:rsidR="004B2808" w:rsidRDefault="00000000">
      <w:pPr>
        <w:ind w:left="567"/>
        <w:jc w:val="both"/>
      </w:pPr>
      <w:r>
        <w:rPr>
          <w:rStyle w:val="soitChar"/>
        </w:rPr>
        <w:t xml:space="preserve">(voir section </w:t>
      </w:r>
      <w:hyperlink w:anchor="1315" w:history="1">
        <w:r w:rsidR="004B2808">
          <w:rPr>
            <w:rStyle w:val="soitChar"/>
            <w:color w:val="0000EE"/>
          </w:rPr>
          <w:t>56 Vitrage intérieur &amp; éléments de remplissage</w:t>
        </w:r>
      </w:hyperlink>
      <w:r>
        <w:rPr>
          <w:rStyle w:val="soitChar"/>
        </w:rPr>
        <w:t>)</w:t>
      </w:r>
    </w:p>
    <w:p w14:paraId="2E0B334B" w14:textId="77777777" w:rsidR="004B2808" w:rsidRDefault="00000000">
      <w:pPr>
        <w:jc w:val="both"/>
      </w:pPr>
      <w:r>
        <w:rPr>
          <w:b/>
        </w:rPr>
        <w:t>Ensembles De Porte / Résistant Au Feu</w:t>
      </w:r>
    </w:p>
    <w:p w14:paraId="7EBB89C7" w14:textId="77777777" w:rsidR="004B2808" w:rsidRDefault="00000000">
      <w:pPr>
        <w:jc w:val="both"/>
      </w:pPr>
      <w:r>
        <w:t>Résistance au feu de l'ensemble : </w:t>
      </w:r>
      <w:r>
        <w:rPr>
          <w:rStyle w:val="optioncarChar"/>
        </w:rPr>
        <w:t xml:space="preserve"> EI</w:t>
      </w:r>
      <w:r>
        <w:rPr>
          <w:rStyle w:val="optioncarChar"/>
          <w:vertAlign w:val="subscript"/>
        </w:rPr>
        <w:t>1</w:t>
      </w:r>
      <w:r>
        <w:rPr>
          <w:rStyle w:val="optioncarChar"/>
        </w:rPr>
        <w:t> 30min / EI</w:t>
      </w:r>
      <w:r>
        <w:rPr>
          <w:rStyle w:val="optioncarChar"/>
          <w:vertAlign w:val="subscript"/>
        </w:rPr>
        <w:t>1</w:t>
      </w:r>
      <w:r>
        <w:rPr>
          <w:rStyle w:val="optioncarChar"/>
        </w:rPr>
        <w:t> 60min / EI</w:t>
      </w:r>
      <w:r>
        <w:rPr>
          <w:rStyle w:val="optioncarChar"/>
          <w:vertAlign w:val="subscript"/>
        </w:rPr>
        <w:t>1</w:t>
      </w:r>
      <w:r>
        <w:rPr>
          <w:rStyle w:val="optioncarChar"/>
        </w:rPr>
        <w:t> 90min / ***</w:t>
      </w:r>
      <w:r>
        <w:t>. La résistance au feu des portes ne s’applique que pour les portes neuves. Les portes de réemploi ne peuvent pas fournir cette performance.</w:t>
      </w:r>
    </w:p>
    <w:p w14:paraId="7BA186B5" w14:textId="77777777" w:rsidR="004B2808" w:rsidRDefault="00000000">
      <w:pPr>
        <w:jc w:val="both"/>
      </w:pPr>
      <w:r>
        <w:t>Les portes résistant au feu sont :</w:t>
      </w:r>
    </w:p>
    <w:p w14:paraId="7EB9D1D9" w14:textId="77777777" w:rsidR="004B2808" w:rsidRDefault="00000000">
      <w:pPr>
        <w:pStyle w:val="Author-eListParagraph"/>
        <w:numPr>
          <w:ilvl w:val="0"/>
          <w:numId w:val="903"/>
        </w:numPr>
      </w:pPr>
      <w:r>
        <w:t>Calculées selon les critères de performance des conditions de sollicitation de la catégorie III (Note : il s'agit généralement de vantaux de portes intérieures et/ou d'impostes en bois renforcés destinés à un usage intense qui, en raison de leur application dans le bâtiment, résistent à des exigences plus élevées que lors d'un usage normal ou intensif).</w:t>
      </w:r>
      <w:r>
        <w:br/>
      </w:r>
    </w:p>
    <w:p w14:paraId="39B47B07" w14:textId="77777777" w:rsidR="004B2808" w:rsidRDefault="00000000">
      <w:pPr>
        <w:pStyle w:val="Author-eListParagraph"/>
        <w:numPr>
          <w:ilvl w:val="0"/>
          <w:numId w:val="903"/>
        </w:numPr>
      </w:pPr>
      <w:r>
        <w:t xml:space="preserve">Equipées d'un vitrage résistant au feu en verre de sécurité conforme au rapport d'essai. Une réservation est faite dans le vantail de porte :  </w:t>
      </w:r>
      <w:r>
        <w:rPr>
          <w:rStyle w:val="optioncarChar"/>
        </w:rPr>
        <w:t>rectangulaire</w:t>
      </w:r>
      <w:r>
        <w:t xml:space="preserve"> (par défaut) </w:t>
      </w:r>
      <w:r>
        <w:rPr>
          <w:rStyle w:val="optioncarChar"/>
        </w:rPr>
        <w:t>/ ronde / ***</w:t>
      </w:r>
      <w:r>
        <w:t xml:space="preserve">, selon le </w:t>
      </w:r>
      <w:r>
        <w:lastRenderedPageBreak/>
        <w:t>modèle à soumettre pour approbation. Le vitrage est incorporé en usine conformément au mode appliqué sur la porte d'essai. Les éventuelles parcloses sont </w:t>
      </w:r>
      <w:r>
        <w:rPr>
          <w:rStyle w:val="optioncarChar"/>
        </w:rPr>
        <w:t xml:space="preserve">peintes </w:t>
      </w:r>
      <w:r>
        <w:t>(par défaut)</w:t>
      </w:r>
      <w:r>
        <w:rPr>
          <w:rStyle w:val="optioncarChar"/>
        </w:rPr>
        <w:t> / vernies / ***</w:t>
      </w:r>
      <w:r>
        <w:t xml:space="preserve"> comme les chanlattes. Le vitrage est toujours délimité sur toute sa périphérie par des sections en bois plein d'une largeur minimale de 140 mm pour les côtés et au-dessus et de 220 mm dans le bas.</w:t>
      </w:r>
    </w:p>
    <w:p w14:paraId="5BE0857F" w14:textId="77777777" w:rsidR="004B2808" w:rsidRDefault="004B2808"/>
    <w:p w14:paraId="4F6E3DB1" w14:textId="77777777" w:rsidR="004B2808" w:rsidRDefault="00000000">
      <w:pPr>
        <w:jc w:val="both"/>
      </w:pPr>
      <w:r>
        <w:t>Note : Pour les portes ayant une résistance au feu de EI 60min, seules des vitres armées d'une épaisseur d'au moins 6,5 mm sont autorisées et les dimensions du vitrage ne dépassent pas 0,5 m². Les joints des battées et des parcloses sont obturés avec un matériau gonflant sous l'effet de la chaleur.</w:t>
      </w:r>
    </w:p>
    <w:p w14:paraId="53417FFF" w14:textId="77777777" w:rsidR="004B2808" w:rsidRDefault="00000000">
      <w:pPr>
        <w:pStyle w:val="Author-eListParagraph"/>
        <w:numPr>
          <w:ilvl w:val="0"/>
          <w:numId w:val="904"/>
        </w:numPr>
      </w:pPr>
      <w:r>
        <w:t xml:space="preserve">Pourvus d'une imposte </w:t>
      </w:r>
      <w:r>
        <w:rPr>
          <w:rStyle w:val="optioncarChar"/>
        </w:rPr>
        <w:t>*** / avec</w:t>
      </w:r>
      <w:r>
        <w:t xml:space="preserve"> (par défaut)</w:t>
      </w:r>
      <w:r>
        <w:rPr>
          <w:rStyle w:val="optioncarChar"/>
        </w:rPr>
        <w:t xml:space="preserve"> / sans </w:t>
      </w:r>
      <w:r>
        <w:t>traverse intermédiaire</w:t>
      </w:r>
      <w:r>
        <w:br/>
      </w:r>
    </w:p>
    <w:p w14:paraId="12D84B88" w14:textId="77777777" w:rsidR="004B2808" w:rsidRDefault="00000000">
      <w:pPr>
        <w:pStyle w:val="Author-eListParagraph"/>
        <w:numPr>
          <w:ilvl w:val="0"/>
          <w:numId w:val="904"/>
        </w:numPr>
      </w:pPr>
      <w:r>
        <w:t>Pourvus d'une bande brise-bise et butoir continue.</w:t>
      </w:r>
      <w:r>
        <w:br/>
      </w:r>
    </w:p>
    <w:p w14:paraId="0ED6577B" w14:textId="77777777" w:rsidR="004B2808" w:rsidRDefault="00000000">
      <w:pPr>
        <w:pStyle w:val="Author-eListParagraph"/>
        <w:numPr>
          <w:ilvl w:val="0"/>
          <w:numId w:val="904"/>
        </w:numPr>
      </w:pPr>
      <w:r>
        <w:t xml:space="preserve">Pourvus d'un cadre approprié pour la fixation d'un ferme-porte, prévu au chapitre </w:t>
      </w:r>
      <w:hyperlink w:anchor="1325" w:history="1">
        <w:r w:rsidR="004B2808">
          <w:rPr>
            <w:color w:val="0000EE"/>
          </w:rPr>
          <w:t>55.62.5 Système de fermeture</w:t>
        </w:r>
      </w:hyperlink>
      <w:r>
        <w:t>.</w:t>
      </w:r>
      <w:r>
        <w:br/>
      </w:r>
    </w:p>
    <w:p w14:paraId="4FE6D091" w14:textId="77777777" w:rsidR="004B2808" w:rsidRDefault="00000000">
      <w:pPr>
        <w:pStyle w:val="Author-eListParagraph"/>
        <w:numPr>
          <w:ilvl w:val="0"/>
          <w:numId w:val="904"/>
        </w:numPr>
      </w:pPr>
      <w:r>
        <w:t>Conçus comme portes </w:t>
      </w:r>
      <w:r>
        <w:rPr>
          <w:rStyle w:val="optioncarChar"/>
        </w:rPr>
        <w:t>pivotantes </w:t>
      </w:r>
      <w:r>
        <w:t>(par défaut)</w:t>
      </w:r>
      <w:r>
        <w:rPr>
          <w:rStyle w:val="optioncarChar"/>
        </w:rPr>
        <w:t xml:space="preserve"> / va-et-vient / ***</w:t>
      </w:r>
      <w:r>
        <w:t>. Elles se composent de </w:t>
      </w:r>
      <w:r>
        <w:rPr>
          <w:rStyle w:val="optioncarChar"/>
        </w:rPr>
        <w:t xml:space="preserve">un panneau </w:t>
      </w:r>
      <w:r>
        <w:t>(par défaut)</w:t>
      </w:r>
      <w:r>
        <w:rPr>
          <w:rStyle w:val="optioncarChar"/>
        </w:rPr>
        <w:t xml:space="preserve"> / deux panneaux / ***</w:t>
      </w:r>
      <w:r>
        <w:t>, les vantaux des portes et les huisseries sont semblables aux portes ouvrantes ordinaires, seuls le mode de suspension et les quincailleries correspondantes sont adaptés au concept des portes battantes.</w:t>
      </w:r>
      <w:r>
        <w:br/>
      </w:r>
    </w:p>
    <w:p w14:paraId="64DC1E12" w14:textId="77777777" w:rsidR="004B2808" w:rsidRDefault="00000000">
      <w:pPr>
        <w:pStyle w:val="Author-eListParagraph"/>
        <w:numPr>
          <w:ilvl w:val="0"/>
          <w:numId w:val="904"/>
        </w:numPr>
      </w:pPr>
      <w:r>
        <w:t>L'ensemble porte résistant au feu est conforme à la [NIT 234]. </w:t>
      </w:r>
    </w:p>
    <w:p w14:paraId="6B7A78BF" w14:textId="77777777" w:rsidR="004B2808" w:rsidRDefault="00000000">
      <w:pPr>
        <w:pStyle w:val="pheading"/>
      </w:pPr>
      <w:r>
        <w:t>- Finitions</w:t>
      </w:r>
    </w:p>
    <w:p w14:paraId="547719EB" w14:textId="77777777" w:rsidR="004B2808" w:rsidRDefault="00000000">
      <w:pPr>
        <w:jc w:val="both"/>
      </w:pPr>
      <w:r>
        <w:t>L'ensemble est destiné à être </w:t>
      </w:r>
      <w:r>
        <w:rPr>
          <w:rStyle w:val="optioncarChar"/>
        </w:rPr>
        <w:t xml:space="preserve">peint </w:t>
      </w:r>
      <w:r>
        <w:t xml:space="preserve">(par défaut) </w:t>
      </w:r>
      <w:r>
        <w:rPr>
          <w:rStyle w:val="optioncarChar"/>
        </w:rPr>
        <w:t>/ vernis / ***</w:t>
      </w:r>
      <w:r>
        <w:t> selon l'élément 81.22 Finitions / décorations intérieures de surface en bois (menuiseries intérieures, murs, plafonds).</w:t>
      </w:r>
    </w:p>
    <w:p w14:paraId="782A20D0" w14:textId="77777777" w:rsidR="004B2808" w:rsidRDefault="00000000">
      <w:pPr>
        <w:jc w:val="both"/>
      </w:pPr>
      <w:r>
        <w:t>Pour les menuiseries, les défauts des menuiseries bois définis dans les [STS 52.1] sont acceptables.</w:t>
      </w:r>
    </w:p>
    <w:p w14:paraId="0339C09B" w14:textId="77777777" w:rsidR="004B2808" w:rsidRDefault="00000000">
      <w:pPr>
        <w:jc w:val="both"/>
      </w:pPr>
      <w:r>
        <w:t>Pour les menuiseries de réemploi, les défauts complémentaires sont présentés au maitre d’ouvrage pour acceptation.</w:t>
      </w:r>
    </w:p>
    <w:p w14:paraId="599EA34B" w14:textId="77777777" w:rsidR="004B2808" w:rsidRDefault="00000000">
      <w:pPr>
        <w:pStyle w:val="pheading"/>
      </w:pPr>
      <w:r>
        <w:t>EXÉCUTION / MISE EN ŒUVRE</w:t>
      </w:r>
    </w:p>
    <w:p w14:paraId="35EB5BCD" w14:textId="77777777" w:rsidR="004B2808" w:rsidRDefault="00000000">
      <w:pPr>
        <w:pStyle w:val="pheading"/>
      </w:pPr>
      <w:r>
        <w:t>- Prescriptions générales</w:t>
      </w:r>
    </w:p>
    <w:p w14:paraId="212D9301" w14:textId="77777777" w:rsidR="004B2808" w:rsidRDefault="00000000">
      <w:pPr>
        <w:jc w:val="both"/>
      </w:pPr>
      <w:r>
        <w:t xml:space="preserve">La pose des portes en bois massif correspond aux prescriptions telles que décrites dans l'élément </w:t>
      </w:r>
      <w:hyperlink w:anchor="1320" w:history="1">
        <w:r w:rsidR="004B2808">
          <w:rPr>
            <w:color w:val="0000EE"/>
          </w:rPr>
          <w:t>55.2 Portes intérieures</w:t>
        </w:r>
      </w:hyperlink>
      <w:r>
        <w:t>.</w:t>
      </w:r>
    </w:p>
    <w:p w14:paraId="6C6D446F" w14:textId="77777777" w:rsidR="004B2808" w:rsidRDefault="00000000">
      <w:pPr>
        <w:pStyle w:val="pheading"/>
      </w:pPr>
      <w:r>
        <w:t>- Notes d’exécution complémentaires</w:t>
      </w:r>
    </w:p>
    <w:p w14:paraId="36E74392" w14:textId="77777777" w:rsidR="004B2808" w:rsidRDefault="00000000">
      <w:pPr>
        <w:jc w:val="both"/>
      </w:pPr>
      <w:r>
        <w:rPr>
          <w:rStyle w:val="facultChar"/>
        </w:rPr>
        <w:t xml:space="preserve">Pour la continuité de l’étanchéité à l’air, le resserrage est muni </w:t>
      </w:r>
      <w:r>
        <w:rPr>
          <w:rStyle w:val="optioncarChar"/>
        </w:rPr>
        <w:t>d’un kit de mastic </w:t>
      </w:r>
      <w:r>
        <w:t>(par défaut)</w:t>
      </w:r>
      <w:r>
        <w:rPr>
          <w:rStyle w:val="optioncarChar"/>
        </w:rPr>
        <w:t> / d’une membrane / d’un profilé de resserrage / ***</w:t>
      </w:r>
      <w:r>
        <w:rPr>
          <w:rStyle w:val="facultChar"/>
        </w:rPr>
        <w:t>.</w:t>
      </w:r>
    </w:p>
    <w:p w14:paraId="61180B95" w14:textId="77777777" w:rsidR="004B2808" w:rsidRDefault="00000000">
      <w:pPr>
        <w:jc w:val="both"/>
      </w:pPr>
      <w:r>
        <w:rPr>
          <w:rStyle w:val="facultChar"/>
        </w:rPr>
        <w:t>Pour la continuité de l’isolation acoustique le resserrage est muni d’une </w:t>
      </w:r>
      <w:r>
        <w:rPr>
          <w:rStyle w:val="optioncarChar"/>
        </w:rPr>
        <w:t>laine de roche </w:t>
      </w:r>
      <w:r>
        <w:t>(par défaut)</w:t>
      </w:r>
      <w:r>
        <w:rPr>
          <w:rStyle w:val="optioncarChar"/>
        </w:rPr>
        <w:t> / mousse acoustique / plaque massive / ***</w:t>
      </w:r>
      <w:r>
        <w:rPr>
          <w:rStyle w:val="facultChar"/>
        </w:rPr>
        <w:t>.</w:t>
      </w:r>
    </w:p>
    <w:p w14:paraId="72814145" w14:textId="77777777" w:rsidR="004B2808" w:rsidRDefault="00000000">
      <w:pPr>
        <w:pStyle w:val="pheading"/>
      </w:pPr>
      <w:r>
        <w:t>DOCUMENTS DE RÉFÉRENCE COMPLÉMENTAIRES</w:t>
      </w:r>
    </w:p>
    <w:p w14:paraId="63B1F4B7" w14:textId="77777777" w:rsidR="004B2808" w:rsidRDefault="00000000">
      <w:pPr>
        <w:pStyle w:val="pheading"/>
      </w:pPr>
      <w:r>
        <w:t>- Matériau</w:t>
      </w:r>
    </w:p>
    <w:p w14:paraId="3D060C0A" w14:textId="77777777" w:rsidR="004B2808" w:rsidRDefault="00000000">
      <w:r>
        <w:t>[STS 52.1, Menuiseries extérieures en bois]</w:t>
      </w:r>
    </w:p>
    <w:p w14:paraId="2C08A344" w14:textId="77777777" w:rsidR="004B2808" w:rsidRDefault="00000000">
      <w:pPr>
        <w:pStyle w:val="pheading"/>
      </w:pPr>
      <w:r>
        <w:t>MESURAGE</w:t>
      </w:r>
    </w:p>
    <w:p w14:paraId="626C340E" w14:textId="77777777" w:rsidR="004B2808" w:rsidRDefault="00000000">
      <w:pPr>
        <w:pStyle w:val="pheading"/>
      </w:pPr>
      <w:r>
        <w:t>- unité de mesure:</w:t>
      </w:r>
    </w:p>
    <w:p w14:paraId="6C15DA72" w14:textId="77777777" w:rsidR="004B2808" w:rsidRDefault="00000000">
      <w:r>
        <w:rPr>
          <w:rStyle w:val="optioncarChar"/>
        </w:rPr>
        <w:t xml:space="preserve">pc </w:t>
      </w:r>
      <w:r>
        <w:t>(par défaut)</w:t>
      </w:r>
      <w:r>
        <w:rPr>
          <w:rStyle w:val="optioncarChar"/>
        </w:rPr>
        <w:t xml:space="preserve"> / m² / m </w:t>
      </w:r>
    </w:p>
    <w:p w14:paraId="1D6A2DB2" w14:textId="77777777" w:rsidR="004B2808" w:rsidRDefault="00000000">
      <w:r>
        <w:rPr>
          <w:b/>
          <w:i/>
        </w:rPr>
        <w:t>(Soit par défaut)</w:t>
      </w:r>
    </w:p>
    <w:p w14:paraId="0D67B6E5" w14:textId="77777777" w:rsidR="004B2808" w:rsidRDefault="00000000">
      <w:r>
        <w:rPr>
          <w:rStyle w:val="soitChar"/>
        </w:rPr>
        <w:lastRenderedPageBreak/>
        <w:t>1. pc, tout compris</w:t>
      </w:r>
    </w:p>
    <w:p w14:paraId="5EE02FA1" w14:textId="77777777" w:rsidR="004B2808" w:rsidRDefault="00000000">
      <w:r>
        <w:rPr>
          <w:b/>
          <w:i/>
        </w:rPr>
        <w:t>(Soit)</w:t>
      </w:r>
    </w:p>
    <w:p w14:paraId="5990156B" w14:textId="77777777" w:rsidR="004B2808" w:rsidRDefault="00000000">
      <w:r>
        <w:rPr>
          <w:rStyle w:val="soitChar"/>
        </w:rPr>
        <w:t>2. m²</w:t>
      </w:r>
    </w:p>
    <w:p w14:paraId="07929339" w14:textId="77777777" w:rsidR="004B2808" w:rsidRDefault="00000000">
      <w:r>
        <w:rPr>
          <w:b/>
          <w:i/>
        </w:rPr>
        <w:t>(Soit)</w:t>
      </w:r>
    </w:p>
    <w:p w14:paraId="1D26B405" w14:textId="77777777" w:rsidR="004B2808" w:rsidRDefault="00000000">
      <w:r>
        <w:rPr>
          <w:rStyle w:val="soitChar"/>
        </w:rPr>
        <w:t>3. m pour l’encadrement</w:t>
      </w:r>
    </w:p>
    <w:p w14:paraId="70D4F423" w14:textId="77777777" w:rsidR="004B2808" w:rsidRDefault="00000000">
      <w:pPr>
        <w:pStyle w:val="pheading"/>
      </w:pPr>
      <w:r>
        <w:t>- code de mesurage:</w:t>
      </w:r>
    </w:p>
    <w:p w14:paraId="34A6D821" w14:textId="77777777" w:rsidR="004B2808" w:rsidRDefault="00000000">
      <w:pPr>
        <w:jc w:val="both"/>
      </w:pPr>
      <w:r>
        <w:rPr>
          <w:rStyle w:val="optioncarChar"/>
        </w:rPr>
        <w:t>A la pièce - ensemble menuisé tout compris </w:t>
      </w:r>
      <w:r>
        <w:t>(par défaut)</w:t>
      </w:r>
      <w:r>
        <w:rPr>
          <w:rStyle w:val="optioncarChar"/>
        </w:rPr>
        <w:t xml:space="preserve"> / Surface nette / Longueur nette - éléments séparés</w:t>
      </w:r>
    </w:p>
    <w:p w14:paraId="7FBE35BD" w14:textId="77777777" w:rsidR="004B2808" w:rsidRDefault="00000000">
      <w:pPr>
        <w:ind w:left="567"/>
        <w:jc w:val="both"/>
      </w:pPr>
      <w:r>
        <w:rPr>
          <w:b/>
          <w:i/>
        </w:rPr>
        <w:t>(Soit par défaut)</w:t>
      </w:r>
    </w:p>
    <w:p w14:paraId="3F208600" w14:textId="77777777" w:rsidR="004B2808" w:rsidRDefault="00000000">
      <w:pPr>
        <w:ind w:left="567"/>
        <w:jc w:val="both"/>
      </w:pPr>
      <w:r>
        <w:rPr>
          <w:rStyle w:val="soitChar"/>
        </w:rPr>
        <w:t xml:space="preserve">1. </w:t>
      </w:r>
      <w:r>
        <w:rPr>
          <w:rStyle w:val="soitChar"/>
          <w:u w:val="single"/>
        </w:rPr>
        <w:t>A la pièce - ensemble menuisé tout compris :</w:t>
      </w:r>
      <w:r>
        <w:rPr>
          <w:rStyle w:val="soitChar"/>
        </w:rPr>
        <w:t> les portes intérieures sont considérées comme un ensemble complet, y compris tous les accessoires, encadrements, feuilles de porte, quincaillerie, vitrage, impostes, … (portes résistant au feu). Quantité nette, ventilé selon les dimensions des portes et l'épaisseur des cloisons intérieures et, le cas échéant, selon la classification (nature, sens d'ouverture, emplacement, prestations particulières, dimensions, forme et aspect) ventilé selon neuf et/ou de réemploi. S’il s’agit de réemploi, distinguer : avec ou sans fourniture.</w:t>
      </w:r>
    </w:p>
    <w:p w14:paraId="5DC18F08" w14:textId="77777777" w:rsidR="004B2808" w:rsidRDefault="00000000">
      <w:pPr>
        <w:ind w:left="567"/>
        <w:jc w:val="both"/>
      </w:pPr>
      <w:r>
        <w:rPr>
          <w:b/>
          <w:i/>
        </w:rPr>
        <w:t>(Soit)</w:t>
      </w:r>
    </w:p>
    <w:p w14:paraId="6599085C" w14:textId="77777777" w:rsidR="004B2808" w:rsidRDefault="00000000">
      <w:pPr>
        <w:ind w:left="567"/>
        <w:jc w:val="both"/>
      </w:pPr>
      <w:r>
        <w:rPr>
          <w:rStyle w:val="soitChar"/>
        </w:rPr>
        <w:t xml:space="preserve">2. </w:t>
      </w:r>
      <w:r>
        <w:rPr>
          <w:rStyle w:val="soitChar"/>
          <w:u w:val="single"/>
        </w:rPr>
        <w:t>Surface nette</w:t>
      </w:r>
      <w:r>
        <w:rPr>
          <w:rStyle w:val="soitChar"/>
        </w:rPr>
        <w:t xml:space="preserve"> en développement des dimensions dans l'œuvre (le cas échéant, ventilé selon le type ou le modèle conformément aux indications dans le métré récapitulatif annexé au dossier d'adjudication, ventilé selon neuf et/ou de réemploi. S’il s’agit de réemploi, distinguer : avec ou sans fourniture.</w:t>
      </w:r>
    </w:p>
    <w:p w14:paraId="3AE2A530" w14:textId="77777777" w:rsidR="004B2808" w:rsidRDefault="00000000">
      <w:pPr>
        <w:ind w:left="567"/>
        <w:jc w:val="both"/>
      </w:pPr>
      <w:r>
        <w:rPr>
          <w:b/>
          <w:i/>
        </w:rPr>
        <w:t>(Soit)</w:t>
      </w:r>
    </w:p>
    <w:p w14:paraId="23E7EE44" w14:textId="77777777" w:rsidR="004B2808" w:rsidRDefault="00000000">
      <w:pPr>
        <w:ind w:left="567"/>
        <w:jc w:val="both"/>
      </w:pPr>
      <w:r>
        <w:rPr>
          <w:rStyle w:val="soitChar"/>
        </w:rPr>
        <w:t xml:space="preserve">3. </w:t>
      </w:r>
      <w:r>
        <w:rPr>
          <w:rStyle w:val="soitChar"/>
          <w:u w:val="single"/>
        </w:rPr>
        <w:t>Longueur nette - éléments séparés :</w:t>
      </w:r>
      <w:r>
        <w:rPr>
          <w:rStyle w:val="soitChar"/>
        </w:rPr>
        <w:t xml:space="preserve"> les encadrements et les feuilles de portes sont considérés séparément.</w:t>
      </w:r>
    </w:p>
    <w:p w14:paraId="13AC79A7" w14:textId="77777777" w:rsidR="004B2808" w:rsidRDefault="00000000">
      <w:pPr>
        <w:ind w:left="567"/>
        <w:jc w:val="both"/>
      </w:pPr>
      <w:r>
        <w:rPr>
          <w:rStyle w:val="soitChar"/>
        </w:rPr>
        <w:t>Encadrements : éventuellement ventilés selon le type ou modèle, ventilé selon les dimensions de la porte et l'épaisseur de la paroi intérieure et, le cas échéant, selon le type ou le modèle (nature, sens d'ouverture, emplacement, prestations particulières, dimensions, forme et aspect), y compris les trous pour les gâches et les caches en métal ainsi que les suspensions.</w:t>
      </w:r>
    </w:p>
    <w:p w14:paraId="5AC3B211" w14:textId="77777777" w:rsidR="004B2808" w:rsidRDefault="00000000">
      <w:pPr>
        <w:ind w:left="567"/>
        <w:jc w:val="both"/>
      </w:pPr>
      <w:r>
        <w:rPr>
          <w:rStyle w:val="soitChar"/>
        </w:rPr>
        <w:t>Feuilles de porte : le cas échéant, ventilé selon le type ou le modèle, ventilé selon les dimensions des portes (indépendamment de la hauteur) et l'épaisseur des cloisons intérieures  et, le cas échéant, selon le type ou le modèle (nature, sens d'ouverture, emplacement, prestations particulières, dimensions, forme et aspect). Toute la quincaillerie, les éléments de remplissage sont compris dans le prix unitaire.</w:t>
      </w:r>
    </w:p>
    <w:p w14:paraId="20930B12" w14:textId="77777777" w:rsidR="004B2808" w:rsidRDefault="00000000">
      <w:pPr>
        <w:ind w:left="567"/>
        <w:jc w:val="both"/>
      </w:pPr>
      <w:r>
        <w:rPr>
          <w:rStyle w:val="soitChar"/>
        </w:rPr>
        <w:t>Ventilé selon neuf et/ou de réemploi. S’il s’agit de réemploi, distinguer : avec ou sans fourniture.</w:t>
      </w:r>
    </w:p>
    <w:p w14:paraId="441C83A9" w14:textId="77777777" w:rsidR="004B2808" w:rsidRDefault="004B2808"/>
    <w:p w14:paraId="14F3C73C" w14:textId="77777777" w:rsidR="004B2808" w:rsidRDefault="00000000">
      <w:pPr>
        <w:jc w:val="both"/>
      </w:pPr>
      <w:r>
        <w:t>Les vantaux de portes de 630 - 730 et 830 mm de largeur peuvent être pris ensemble pour le mesurage.</w:t>
      </w:r>
    </w:p>
    <w:p w14:paraId="672EFE4B" w14:textId="77777777" w:rsidR="004B2808" w:rsidRDefault="00000000">
      <w:pPr>
        <w:jc w:val="both"/>
      </w:pPr>
      <w:r>
        <w:t>Les quincailleries dont la fourniture et la mise en œuvre sont comprises peuvent être décrites dans d'autres postes mais sont toujours comprises dans le prix des portes.</w:t>
      </w:r>
    </w:p>
    <w:p w14:paraId="10DE779D" w14:textId="77777777" w:rsidR="004B2808" w:rsidRDefault="00000000">
      <w:pPr>
        <w:pStyle w:val="pheading"/>
      </w:pPr>
      <w:r>
        <w:t>- nature du marché:</w:t>
      </w:r>
    </w:p>
    <w:p w14:paraId="419F78E2" w14:textId="77777777" w:rsidR="004B2808" w:rsidRDefault="00000000">
      <w:r>
        <w:rPr>
          <w:rStyle w:val="optioncarChar"/>
        </w:rPr>
        <w:t xml:space="preserve">QF </w:t>
      </w:r>
      <w:r>
        <w:t xml:space="preserve">(par défaut) </w:t>
      </w:r>
      <w:r>
        <w:rPr>
          <w:rStyle w:val="optioncarChar"/>
        </w:rPr>
        <w:t>/ QP</w:t>
      </w:r>
    </w:p>
    <w:p w14:paraId="1DED4E72" w14:textId="77777777" w:rsidR="004B2808" w:rsidRDefault="00000000">
      <w:r>
        <w:rPr>
          <w:b/>
          <w:i/>
        </w:rPr>
        <w:t>(Soit par défaut)</w:t>
      </w:r>
    </w:p>
    <w:p w14:paraId="33E724CF" w14:textId="77777777" w:rsidR="004B2808" w:rsidRDefault="00000000">
      <w:r>
        <w:rPr>
          <w:rStyle w:val="soitChar"/>
        </w:rPr>
        <w:t>1. 2. 3 QF</w:t>
      </w:r>
    </w:p>
    <w:p w14:paraId="457BF849" w14:textId="77777777" w:rsidR="004B2808" w:rsidRDefault="00000000">
      <w:r>
        <w:rPr>
          <w:b/>
          <w:i/>
        </w:rPr>
        <w:t>(Soit)</w:t>
      </w:r>
    </w:p>
    <w:p w14:paraId="3FF0CF41" w14:textId="77777777" w:rsidR="004B2808" w:rsidRDefault="00000000">
      <w:r>
        <w:rPr>
          <w:rStyle w:val="soitChar"/>
        </w:rPr>
        <w:t>1. 2. 3. QP</w:t>
      </w:r>
    </w:p>
    <w:p w14:paraId="144BB613" w14:textId="77777777" w:rsidR="004B2808" w:rsidRDefault="00000000">
      <w:pPr>
        <w:pStyle w:val="Author-eSectionHeading6Numberless"/>
      </w:pPr>
      <w:bookmarkStart w:id="1067" w:name="_Toc220491194"/>
      <w:r>
        <w:lastRenderedPageBreak/>
        <w:t>55.21.5b Portes intérieures en bois lamellé-collé CCTB 01.10</w:t>
      </w:r>
      <w:bookmarkEnd w:id="1067"/>
    </w:p>
    <w:p w14:paraId="3794B8FD" w14:textId="77777777" w:rsidR="004B2808" w:rsidRDefault="00000000">
      <w:pPr>
        <w:pStyle w:val="pheading"/>
      </w:pPr>
      <w:r>
        <w:t>MATÉRIAUX</w:t>
      </w:r>
    </w:p>
    <w:p w14:paraId="5F89A3B1" w14:textId="77777777" w:rsidR="004B2808" w:rsidRDefault="00000000">
      <w:pPr>
        <w:pStyle w:val="pheading"/>
      </w:pPr>
      <w:r>
        <w:t>- Prescriptions complémentaires</w:t>
      </w:r>
    </w:p>
    <w:p w14:paraId="3E5998B7" w14:textId="77777777" w:rsidR="004B2808" w:rsidRDefault="00000000">
      <w:pPr>
        <w:pStyle w:val="heading"/>
      </w:pPr>
      <w:r>
        <w:t>(critères de performance)  Vantaux de porte</w:t>
      </w:r>
    </w:p>
    <w:p w14:paraId="0E446F0A" w14:textId="77777777" w:rsidR="004B2808" w:rsidRDefault="00000000">
      <w:r>
        <w:t>Conformément aux indications supplémentaires dans le cahier spécial des charges, les dispositions supplémentaires suivantes sont d'application :</w:t>
      </w:r>
    </w:p>
    <w:p w14:paraId="72647BD7" w14:textId="77777777" w:rsidR="004B2808" w:rsidRDefault="00000000">
      <w:pPr>
        <w:pStyle w:val="Author-eListParagraph"/>
        <w:numPr>
          <w:ilvl w:val="0"/>
          <w:numId w:val="905"/>
        </w:numPr>
      </w:pPr>
      <w:r>
        <w:t>Les dispositions des [STS 53.1] pour les portes intérieures planes dans les salles de bains et les autres locaux humides.</w:t>
      </w:r>
    </w:p>
    <w:p w14:paraId="13EFE390" w14:textId="77777777" w:rsidR="004B2808" w:rsidRDefault="00000000">
      <w:r>
        <w:br/>
        <w:t>Attention  : Les ensembles de porte résistant au feu sont toujours considérés dans un poste séparé.</w:t>
      </w:r>
    </w:p>
    <w:p w14:paraId="74F9D9E9" w14:textId="77777777" w:rsidR="004B2808" w:rsidRDefault="00000000">
      <w:pPr>
        <w:pStyle w:val="heading"/>
      </w:pPr>
      <w:r>
        <w:t>(Accessoires) Vantaux de porte</w:t>
      </w:r>
    </w:p>
    <w:p w14:paraId="3029AE3D"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4A0E37E5" w14:textId="77777777" w:rsidR="004B2808" w:rsidRDefault="00000000">
      <w:pPr>
        <w:pStyle w:val="Author-eListParagraph"/>
        <w:numPr>
          <w:ilvl w:val="0"/>
          <w:numId w:val="906"/>
        </w:numPr>
      </w:pPr>
      <w:r>
        <w:t>Equipés d'un vitrage :</w:t>
      </w:r>
    </w:p>
    <w:p w14:paraId="1E832EF3" w14:textId="77777777" w:rsidR="004B2808" w:rsidRDefault="00000000">
      <w:pPr>
        <w:pStyle w:val="Author-eListParagraph"/>
        <w:numPr>
          <w:ilvl w:val="0"/>
          <w:numId w:val="906"/>
        </w:numPr>
      </w:pPr>
      <w:r>
        <w:t xml:space="preserve">En verre de sécurité </w:t>
      </w:r>
      <w:r>
        <w:rPr>
          <w:rStyle w:val="optioncarChar"/>
        </w:rPr>
        <w:t>simple</w:t>
      </w:r>
      <w:r>
        <w:t> (par défaut)</w:t>
      </w:r>
      <w:r>
        <w:rPr>
          <w:rStyle w:val="optioncarChar"/>
        </w:rPr>
        <w:t xml:space="preserve"> / clair / mat / opale / ***</w:t>
      </w:r>
      <w:r>
        <w:t xml:space="preserve"> , selon la [NBN S 23-002]</w:t>
      </w:r>
    </w:p>
    <w:p w14:paraId="29ACE331" w14:textId="77777777" w:rsidR="004B2808" w:rsidRDefault="00000000">
      <w:pPr>
        <w:pStyle w:val="Author-eListParagraph"/>
        <w:numPr>
          <w:ilvl w:val="0"/>
          <w:numId w:val="906"/>
        </w:numPr>
      </w:pPr>
      <w:r>
        <w:t xml:space="preserve">Réservation dans le vantail de porte : </w:t>
      </w:r>
      <w:r>
        <w:rPr>
          <w:rStyle w:val="optioncarChar"/>
        </w:rPr>
        <w:t>rectangulaire </w:t>
      </w:r>
      <w:r>
        <w:t>(par défaut)</w:t>
      </w:r>
      <w:r>
        <w:rPr>
          <w:rStyle w:val="optioncarChar"/>
        </w:rPr>
        <w:t> / ronde / conformément aux dessins de détail / selon le modèle / *** </w:t>
      </w:r>
      <w:r>
        <w:t>à soumettre pour approbation (pour les réservations dans les portes à âme creuse, un cadre en bois est appliqué et collé).</w:t>
      </w:r>
    </w:p>
    <w:p w14:paraId="68948A24" w14:textId="77777777" w:rsidR="004B2808" w:rsidRDefault="00000000">
      <w:pPr>
        <w:pStyle w:val="Author-eListParagraph"/>
        <w:numPr>
          <w:ilvl w:val="0"/>
          <w:numId w:val="906"/>
        </w:numPr>
      </w:pPr>
      <w:r>
        <w:t xml:space="preserve">Fixation de la vitre dans la réservation à l'aide de : </w:t>
      </w:r>
      <w:r>
        <w:rPr>
          <w:rStyle w:val="optioncarChar"/>
        </w:rPr>
        <w:t>mastic plastique</w:t>
      </w:r>
      <w:r>
        <w:t xml:space="preserve"> (par défaut) </w:t>
      </w:r>
      <w:r>
        <w:rPr>
          <w:rStyle w:val="optioncarChar"/>
        </w:rPr>
        <w:t>/ profils de fixation à enclenchement en PVC / ***</w:t>
      </w:r>
    </w:p>
    <w:p w14:paraId="258481E3" w14:textId="77777777" w:rsidR="004B2808" w:rsidRDefault="00000000">
      <w:pPr>
        <w:pStyle w:val="Author-eListParagraph"/>
        <w:numPr>
          <w:ilvl w:val="0"/>
          <w:numId w:val="906"/>
        </w:numPr>
      </w:pPr>
      <w:r>
        <w:t xml:space="preserve">Les vitres sont encadrées par : </w:t>
      </w:r>
      <w:r>
        <w:rPr>
          <w:rStyle w:val="optioncarChar"/>
        </w:rPr>
        <w:t>des lattes en bois dur, finition prête à peindre</w:t>
      </w:r>
      <w:r>
        <w:t> (par défaut)</w:t>
      </w:r>
      <w:r>
        <w:rPr>
          <w:rStyle w:val="optioncarChar"/>
        </w:rPr>
        <w:t xml:space="preserve"> / ***.</w:t>
      </w:r>
    </w:p>
    <w:p w14:paraId="6777B023" w14:textId="77777777" w:rsidR="004B2808" w:rsidRDefault="00000000">
      <w:pPr>
        <w:pStyle w:val="Author-eListParagraph"/>
        <w:numPr>
          <w:ilvl w:val="0"/>
          <w:numId w:val="906"/>
        </w:numPr>
      </w:pPr>
      <w:r>
        <w:t xml:space="preserve">Pourvus d'une grille encastrée, selon l'article </w:t>
      </w:r>
      <w:hyperlink w:anchor="1322" w:history="1">
        <w:r w:rsidR="004B2808">
          <w:rPr>
            <w:color w:val="0000EE"/>
          </w:rPr>
          <w:t>55.68.1 Grilles de transfert dans les portes</w:t>
        </w:r>
      </w:hyperlink>
      <w:r>
        <w:t xml:space="preserve"> grilles de transfert dans les portes, ouverture d'aération conformément à la [NBN D 50-001] ;</w:t>
      </w:r>
    </w:p>
    <w:p w14:paraId="75AD2446" w14:textId="77777777" w:rsidR="004B2808" w:rsidRDefault="00000000">
      <w:pPr>
        <w:pStyle w:val="Author-eListParagraph"/>
        <w:numPr>
          <w:ilvl w:val="0"/>
          <w:numId w:val="906"/>
        </w:numPr>
      </w:pPr>
      <w:r>
        <w:t xml:space="preserve">Pourvus d'une fente de ventilation d'environ </w:t>
      </w:r>
      <w:r>
        <w:rPr>
          <w:rStyle w:val="optioncarChar"/>
        </w:rPr>
        <w:t>1</w:t>
      </w:r>
      <w:r>
        <w:t> (par défaut)</w:t>
      </w:r>
      <w:r>
        <w:rPr>
          <w:rStyle w:val="optioncarChar"/>
        </w:rPr>
        <w:t> / ***</w:t>
      </w:r>
      <w:r>
        <w:t xml:space="preserve"> cm dans le bas, de façon telle que l'ouverture d'aération soit conformé à la [NBN D 50-001]</w:t>
      </w:r>
    </w:p>
    <w:p w14:paraId="0E559169" w14:textId="77777777" w:rsidR="004B2808" w:rsidRDefault="00000000">
      <w:pPr>
        <w:pStyle w:val="Author-eListParagraph"/>
        <w:numPr>
          <w:ilvl w:val="0"/>
          <w:numId w:val="906"/>
        </w:numPr>
      </w:pPr>
      <w:r>
        <w:t>Conçues comme portes coulissantes (les vantaux de porte et les huisseries sont conformes aux portes ouvrantes ordinaires. Seuls le mode de suspension et la quincaillerie concernée sont adaptés au concept des vantaux de porte coulissants).</w:t>
      </w:r>
    </w:p>
    <w:p w14:paraId="03B825EA" w14:textId="77777777" w:rsidR="004B2808" w:rsidRDefault="00000000">
      <w:pPr>
        <w:pStyle w:val="Author-eListParagraph"/>
        <w:numPr>
          <w:ilvl w:val="0"/>
          <w:numId w:val="906"/>
        </w:numPr>
      </w:pPr>
      <w:r>
        <w:t xml:space="preserve">Portes coulissantes </w:t>
      </w:r>
      <w:r>
        <w:rPr>
          <w:rStyle w:val="optioncarChar"/>
        </w:rPr>
        <w:t>simples</w:t>
      </w:r>
      <w:r>
        <w:t xml:space="preserve"> (par défaut) </w:t>
      </w:r>
      <w:r>
        <w:rPr>
          <w:rStyle w:val="optioncarChar"/>
        </w:rPr>
        <w:t>/ doubles / ***</w:t>
      </w:r>
    </w:p>
    <w:p w14:paraId="4A934166" w14:textId="77777777" w:rsidR="004B2808" w:rsidRDefault="00000000">
      <w:pPr>
        <w:pStyle w:val="Author-eListParagraph"/>
        <w:numPr>
          <w:ilvl w:val="0"/>
          <w:numId w:val="906"/>
        </w:numPr>
      </w:pPr>
      <w:r>
        <w:t>Composées de</w:t>
      </w:r>
      <w:r>
        <w:rPr>
          <w:rStyle w:val="optioncarChar"/>
        </w:rPr>
        <w:t> un panneau</w:t>
      </w:r>
      <w:r>
        <w:t xml:space="preserve"> (par défaut) </w:t>
      </w:r>
      <w:r>
        <w:rPr>
          <w:rStyle w:val="optioncarChar"/>
        </w:rPr>
        <w:t>/ deux panneaux / ***</w:t>
      </w:r>
    </w:p>
    <w:p w14:paraId="0E40B329" w14:textId="77777777" w:rsidR="004B2808" w:rsidRDefault="00000000">
      <w:pPr>
        <w:pStyle w:val="Author-eListParagraph"/>
        <w:numPr>
          <w:ilvl w:val="0"/>
          <w:numId w:val="906"/>
        </w:numPr>
      </w:pPr>
      <w:r>
        <w:t>Mécanisme de coulisse : rails en acier galvanisé; galets en nylon de première qualité; type et modèle en fonction du type et du poids des vantaux coulissants.</w:t>
      </w:r>
    </w:p>
    <w:p w14:paraId="6325DBD9" w14:textId="77777777" w:rsidR="004B2808" w:rsidRDefault="00000000">
      <w:pPr>
        <w:pStyle w:val="Author-eListParagraph"/>
        <w:numPr>
          <w:ilvl w:val="0"/>
          <w:numId w:val="906"/>
        </w:numPr>
      </w:pPr>
      <w:r>
        <w:t xml:space="preserve">Conçues comme </w:t>
      </w:r>
      <w:r>
        <w:rPr>
          <w:rStyle w:val="optioncarChar"/>
        </w:rPr>
        <w:t>portes battantes</w:t>
      </w:r>
      <w:r>
        <w:t xml:space="preserve"> (par défaut) </w:t>
      </w:r>
      <w:r>
        <w:rPr>
          <w:rStyle w:val="optioncarChar"/>
        </w:rPr>
        <w:t>/ pivotantes / *** </w:t>
      </w:r>
      <w:r>
        <w:t xml:space="preserve">(les vantaux de porte et les huisseries sont conformes aux portes ouvrantes ordinaires. Seuls le mode de suspension et la quincaillerie concernée sont adaptés au concept des vantaux de porte </w:t>
      </w:r>
      <w:r>
        <w:rPr>
          <w:rStyle w:val="optioncarChar"/>
        </w:rPr>
        <w:t>battante </w:t>
      </w:r>
      <w:r>
        <w:t>(par défaut)</w:t>
      </w:r>
      <w:r>
        <w:rPr>
          <w:rStyle w:val="optioncarChar"/>
        </w:rPr>
        <w:t xml:space="preserve"> / pivotante / *** </w:t>
      </w:r>
      <w:r>
        <w:t>)</w:t>
      </w:r>
    </w:p>
    <w:p w14:paraId="3E6FF743" w14:textId="77777777" w:rsidR="004B2808" w:rsidRDefault="00000000">
      <w:pPr>
        <w:pStyle w:val="Author-eListParagraph"/>
        <w:numPr>
          <w:ilvl w:val="0"/>
          <w:numId w:val="906"/>
        </w:numPr>
      </w:pPr>
      <w:r>
        <w:t xml:space="preserve">Composées de </w:t>
      </w:r>
      <w:r>
        <w:rPr>
          <w:rStyle w:val="optioncarChar"/>
        </w:rPr>
        <w:t>un panneau</w:t>
      </w:r>
      <w:r>
        <w:t xml:space="preserve"> (par défaut) </w:t>
      </w:r>
      <w:r>
        <w:rPr>
          <w:rStyle w:val="optioncarChar"/>
        </w:rPr>
        <w:t>/ deux panneaux / ***</w:t>
      </w:r>
    </w:p>
    <w:p w14:paraId="686DA09A" w14:textId="77777777" w:rsidR="004B2808" w:rsidRDefault="00000000">
      <w:pPr>
        <w:pStyle w:val="heading"/>
      </w:pPr>
      <w:r>
        <w:t>Ensembles de porte / résistant au feu</w:t>
      </w:r>
    </w:p>
    <w:p w14:paraId="50B716ED"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1AF759EB" w14:textId="77777777" w:rsidR="004B2808" w:rsidRDefault="00000000">
      <w:pPr>
        <w:pStyle w:val="Author-eListParagraph"/>
        <w:numPr>
          <w:ilvl w:val="0"/>
          <w:numId w:val="907"/>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1E413B5B" w14:textId="77777777" w:rsidR="004B2808" w:rsidRDefault="00000000">
      <w:pPr>
        <w:pStyle w:val="Author-eListParagraph"/>
        <w:numPr>
          <w:ilvl w:val="0"/>
          <w:numId w:val="907"/>
        </w:numPr>
      </w:pPr>
      <w:r>
        <w:t xml:space="preserve">Equipés d'un vitrage résistant au feu en verre de sécurité conforme au rapport d'essai. Une réservation est faite dans le vantail de porte : </w:t>
      </w:r>
      <w:r>
        <w:rPr>
          <w:rStyle w:val="optioncarChar"/>
        </w:rPr>
        <w:t>rectangulaire</w:t>
      </w:r>
      <w:r>
        <w:t xml:space="preserve"> (par défaut) </w:t>
      </w:r>
      <w:r>
        <w:rPr>
          <w:rStyle w:val="optioncarChar"/>
        </w:rPr>
        <w:t>/ ronde / *** </w:t>
      </w:r>
      <w:r>
        <w:t xml:space="preserve">, selon le modèle à soumettre pour approbation. Le vitrage est incorporé en usine conformément au mode appliqué sur la porte d'essai. Les éventuelles parcloses sont </w:t>
      </w:r>
      <w:r>
        <w:rPr>
          <w:rStyle w:val="optioncarChar"/>
        </w:rPr>
        <w:t>vernies</w:t>
      </w:r>
      <w:r>
        <w:t xml:space="preserve"> (par défaut) </w:t>
      </w:r>
      <w:r>
        <w:rPr>
          <w:rStyle w:val="optioncarChar"/>
        </w:rPr>
        <w:t xml:space="preserve">/ </w:t>
      </w:r>
      <w:r>
        <w:rPr>
          <w:rStyle w:val="optioncarChar"/>
        </w:rPr>
        <w:lastRenderedPageBreak/>
        <w:t>peintes</w:t>
      </w:r>
      <w:r>
        <w:t xml:space="preserve"> comme les chanlattes. Le vitrage est toujours délimité sur toute sa périphérie par des sections en bois plein d'une largeur minimale de 140 mm pour les côtés et au-dessus et de 220 mm dans le bas.</w:t>
      </w:r>
    </w:p>
    <w:p w14:paraId="478EC143" w14:textId="77777777" w:rsidR="004B2808"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4A9911D0" w14:textId="77777777" w:rsidR="004B2808" w:rsidRDefault="00000000">
      <w:pPr>
        <w:pStyle w:val="Author-eListParagraph"/>
        <w:numPr>
          <w:ilvl w:val="0"/>
          <w:numId w:val="908"/>
        </w:numPr>
      </w:pPr>
      <w:r>
        <w:t xml:space="preserve">Pourvus d'une imposte </w:t>
      </w:r>
      <w:r>
        <w:rPr>
          <w:rStyle w:val="optioncarChar"/>
        </w:rPr>
        <w:t>avec </w:t>
      </w:r>
      <w:r>
        <w:t>(par défaut)</w:t>
      </w:r>
      <w:r>
        <w:rPr>
          <w:rStyle w:val="optioncarChar"/>
        </w:rPr>
        <w:t xml:space="preserve"> / sans </w:t>
      </w:r>
      <w:r>
        <w:t>traverse intermédiaire.</w:t>
      </w:r>
    </w:p>
    <w:p w14:paraId="6D4D36AC" w14:textId="77777777" w:rsidR="004B2808" w:rsidRDefault="00000000">
      <w:pPr>
        <w:pStyle w:val="Author-eListParagraph"/>
        <w:numPr>
          <w:ilvl w:val="0"/>
          <w:numId w:val="908"/>
        </w:numPr>
      </w:pPr>
      <w:r>
        <w:t>Pourvus d'une bande brise-bise et butoir continue.</w:t>
      </w:r>
    </w:p>
    <w:p w14:paraId="463743B8" w14:textId="77777777" w:rsidR="004B2808" w:rsidRDefault="00000000">
      <w:pPr>
        <w:pStyle w:val="Author-eListParagraph"/>
        <w:numPr>
          <w:ilvl w:val="0"/>
          <w:numId w:val="908"/>
        </w:numPr>
      </w:pPr>
      <w:r>
        <w:t>Pourvus d'un cadre approprié pour la fixation d'un ferme-porte, prévu à l'art. </w:t>
      </w:r>
      <w:hyperlink w:anchor="1325" w:history="1">
        <w:r w:rsidR="004B2808">
          <w:rPr>
            <w:color w:val="0000EE"/>
          </w:rPr>
          <w:t>55.62.5 Système de fermeture</w:t>
        </w:r>
      </w:hyperlink>
    </w:p>
    <w:p w14:paraId="512DBE96" w14:textId="77777777" w:rsidR="004B2808" w:rsidRDefault="00000000">
      <w:pPr>
        <w:pStyle w:val="Author-eListParagraph"/>
        <w:numPr>
          <w:ilvl w:val="0"/>
          <w:numId w:val="908"/>
        </w:numPr>
      </w:pPr>
      <w:r>
        <w:t xml:space="preserve">Conçus comme portes </w:t>
      </w:r>
      <w:r>
        <w:rPr>
          <w:rStyle w:val="optioncarChar"/>
        </w:rPr>
        <w:t>va-et-vient </w:t>
      </w:r>
      <w:r>
        <w:t>(par défaut)</w:t>
      </w:r>
      <w:r>
        <w:rPr>
          <w:rStyle w:val="optioncarChar"/>
        </w:rPr>
        <w:t xml:space="preserve"> / pivotantes </w:t>
      </w:r>
      <w:r>
        <w:t xml:space="preserve">. Elles se composent de </w:t>
      </w:r>
      <w:r>
        <w:rPr>
          <w:rStyle w:val="optioncarChar"/>
        </w:rPr>
        <w:t>un panneau </w:t>
      </w:r>
      <w:r>
        <w:t>(par défaut)</w:t>
      </w:r>
      <w:r>
        <w:rPr>
          <w:rStyle w:val="optioncarChar"/>
        </w:rPr>
        <w:t xml:space="preserve"> / deux panneaux</w:t>
      </w:r>
      <w:r>
        <w:t xml:space="preserve"> , les vantaux des portes et les huisseries sont semblables aux portes ouvrantes ordinaires, seuls le mode de suspension et les quincailleries correspondantes sont adaptés au concept des portes battantes.</w:t>
      </w:r>
    </w:p>
    <w:p w14:paraId="62F56B0A" w14:textId="77777777" w:rsidR="004B2808" w:rsidRDefault="00000000">
      <w:pPr>
        <w:pStyle w:val="Author-eListParagraph"/>
        <w:numPr>
          <w:ilvl w:val="0"/>
          <w:numId w:val="908"/>
        </w:numPr>
      </w:pPr>
      <w:r>
        <w:t>L'ensemble porte résistant au feu est conforme à la [NIT 234].</w:t>
      </w:r>
    </w:p>
    <w:p w14:paraId="7C1843B5" w14:textId="77777777" w:rsidR="004B2808" w:rsidRDefault="00000000">
      <w:pPr>
        <w:pStyle w:val="heading"/>
      </w:pPr>
      <w:r>
        <w:t>Options (biffer la mention inutile) huisseries de portes - bois</w:t>
      </w:r>
    </w:p>
    <w:p w14:paraId="49EA783B" w14:textId="77777777" w:rsidR="004B2808" w:rsidRDefault="00000000">
      <w:pPr>
        <w:pStyle w:val="Author-eListParagraph"/>
        <w:numPr>
          <w:ilvl w:val="0"/>
          <w:numId w:val="909"/>
        </w:numPr>
      </w:pPr>
      <w:r>
        <w:t>Les portes sont conçues comme un châssis à pose affleurante jusqu'au plafond (avec</w:t>
      </w:r>
      <w:r>
        <w:rPr>
          <w:rStyle w:val="optioncarChar"/>
        </w:rPr>
        <w:t> vantaux vitrés (par défaut) / imposte / ***</w:t>
      </w:r>
      <w:r>
        <w:t xml:space="preserve">). La feuillure des portes est embrevée sur une profondeur de </w:t>
      </w:r>
      <w:r>
        <w:rPr>
          <w:rStyle w:val="optioncarChar"/>
        </w:rPr>
        <w:t xml:space="preserve">*** / 10 / *** </w:t>
      </w:r>
      <w:r>
        <w:t>mm dans le chambranle. Les ébrasements latéraux vont jusqu'au plafond, la traverse supérieure horizontale est :</w:t>
      </w:r>
      <w:r>
        <w:rPr>
          <w:rStyle w:val="optioncarChar"/>
        </w:rPr>
        <w:t xml:space="preserve"> posée aussi près que possible du plafond </w:t>
      </w:r>
      <w:r>
        <w:t>(par défaut) </w:t>
      </w:r>
      <w:r>
        <w:rPr>
          <w:rStyle w:val="optioncarChar"/>
        </w:rPr>
        <w:t>/ absente / ***</w:t>
      </w:r>
    </w:p>
    <w:p w14:paraId="4313447A" w14:textId="77777777" w:rsidR="004B2808" w:rsidRDefault="00000000">
      <w:pPr>
        <w:pStyle w:val="Author-eListParagraph"/>
        <w:numPr>
          <w:ilvl w:val="0"/>
          <w:numId w:val="909"/>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5536DC61" w14:textId="77777777" w:rsidR="004B2808" w:rsidRDefault="00000000">
      <w:pPr>
        <w:pStyle w:val="Author-eListParagraph"/>
        <w:numPr>
          <w:ilvl w:val="0"/>
          <w:numId w:val="909"/>
        </w:numPr>
      </w:pPr>
      <w:r>
        <w:t>Les impostes sont fabriquées dans un morceau de vantail de porte, conformément à la description de l'article </w:t>
      </w:r>
      <w:hyperlink w:anchor="1315" w:history="1">
        <w:r w:rsidR="004B2808">
          <w:rPr>
            <w:color w:val="0000EE"/>
          </w:rPr>
          <w:t>56 Vitrage intérieur &amp; éléments de remplissage</w:t>
        </w:r>
      </w:hyperlink>
      <w:r>
        <w:t>(voir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34B149D5" w14:textId="77777777" w:rsidR="004B2808" w:rsidRDefault="00000000">
      <w:pPr>
        <w:pStyle w:val="Author-eListParagraph"/>
        <w:numPr>
          <w:ilvl w:val="0"/>
          <w:numId w:val="909"/>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106A4CFE" w14:textId="77777777" w:rsidR="004B2808" w:rsidRDefault="00000000">
      <w:pPr>
        <w:pStyle w:val="heading"/>
      </w:pPr>
      <w:r>
        <w:t>Options (biffer la mention inutile)  ensembles de porte / résistant au feu - porte pleine / huisserie en bois</w:t>
      </w:r>
    </w:p>
    <w:p w14:paraId="5918733B" w14:textId="77777777" w:rsidR="004B2808" w:rsidRDefault="00000000">
      <w:r>
        <w:t xml:space="preserve">Conformément aux indications sur le plan ou le dessin de détail, les vantaux de porte suivants </w:t>
      </w:r>
      <w:r>
        <w:rPr>
          <w:rStyle w:val="optioncarChar"/>
        </w:rPr>
        <w:t xml:space="preserve">*** </w:t>
      </w:r>
      <w:r>
        <w:t>sont :</w:t>
      </w:r>
    </w:p>
    <w:p w14:paraId="1A0978CD" w14:textId="77777777" w:rsidR="004B2808" w:rsidRDefault="00000000">
      <w:pPr>
        <w:pStyle w:val="Author-eListParagraph"/>
        <w:numPr>
          <w:ilvl w:val="0"/>
          <w:numId w:val="910"/>
        </w:numPr>
      </w:pPr>
      <w:r>
        <w:t>Calculés selon les critères de performance des conditions de sollicitation de la catégorie III</w:t>
      </w:r>
    </w:p>
    <w:p w14:paraId="786C0631" w14:textId="77777777" w:rsidR="004B2808" w:rsidRDefault="00000000">
      <w:pPr>
        <w:pStyle w:val="Author-eListParagraph"/>
        <w:numPr>
          <w:ilvl w:val="0"/>
          <w:numId w:val="910"/>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 </w:t>
      </w:r>
      <w:r>
        <w:t xml:space="preserve">, selon le modèle à soumettre pour approbation. Le vitrage est incorporé en usine conformément au mode appliqué sur la porte d'essai. Les éventuelles parcloses sont </w:t>
      </w:r>
      <w:r>
        <w:rPr>
          <w:rStyle w:val="optioncarChar"/>
        </w:rPr>
        <w:t>vernies</w:t>
      </w:r>
      <w:r>
        <w:t xml:space="preserve"> (par défaut)</w:t>
      </w:r>
      <w:r>
        <w:rPr>
          <w:rStyle w:val="optioncarChar"/>
        </w:rPr>
        <w:t> / peintes</w:t>
      </w:r>
      <w:r>
        <w:t xml:space="preserve"> comme les chanlattes. Le vitrage est toujours délimité sur toute sa périphérie par des sections en bois plein d'une largeur minimale de 140 mm pour les côtés et au-dessus et de 220 mm dans le bas.</w:t>
      </w:r>
    </w:p>
    <w:p w14:paraId="63368F11" w14:textId="77777777" w:rsidR="004B2808" w:rsidRDefault="00000000">
      <w:r>
        <w:br/>
        <w:t xml:space="preserve">Note : Pour les portes ayant une résistance au feu de Rf 1h ou EI 60min, seules des vitres armées d'une épaisseur d'au moins 6,5 mm sont autorisées et les dimensions du vitrage ne dépassent pas </w:t>
      </w:r>
      <w:r>
        <w:lastRenderedPageBreak/>
        <w:t>0,5 m². Les joints des battées et des parcloses sont colmatés avec un matériau gonflant sous l'effet de la chaleur.</w:t>
      </w:r>
    </w:p>
    <w:p w14:paraId="3F1B7663" w14:textId="77777777" w:rsidR="004B2808" w:rsidRDefault="00000000">
      <w:pPr>
        <w:pStyle w:val="Author-eListParagraph"/>
        <w:numPr>
          <w:ilvl w:val="0"/>
          <w:numId w:val="911"/>
        </w:numPr>
      </w:pPr>
      <w:r>
        <w:t>Pourvus d'une imposte</w:t>
      </w:r>
      <w:r>
        <w:rPr>
          <w:rStyle w:val="optioncarChar"/>
        </w:rPr>
        <w:t> avec </w:t>
      </w:r>
      <w:r>
        <w:t>(par défaut)</w:t>
      </w:r>
      <w:r>
        <w:rPr>
          <w:rStyle w:val="optioncarChar"/>
        </w:rPr>
        <w:t xml:space="preserve"> / sans / *** </w:t>
      </w:r>
      <w:r>
        <w:t>traverse intermédiaire.</w:t>
      </w:r>
    </w:p>
    <w:p w14:paraId="1B998D6F" w14:textId="77777777" w:rsidR="004B2808" w:rsidRDefault="00000000">
      <w:pPr>
        <w:pStyle w:val="Author-eListParagraph"/>
        <w:numPr>
          <w:ilvl w:val="0"/>
          <w:numId w:val="911"/>
        </w:numPr>
      </w:pPr>
      <w:r>
        <w:t>Pourvus d'une bande brise-bise et butoir continue.</w:t>
      </w:r>
    </w:p>
    <w:p w14:paraId="6CD38A27" w14:textId="77777777" w:rsidR="004B2808" w:rsidRDefault="00000000">
      <w:pPr>
        <w:pStyle w:val="Author-eListParagraph"/>
        <w:numPr>
          <w:ilvl w:val="0"/>
          <w:numId w:val="911"/>
        </w:numPr>
      </w:pPr>
      <w:r>
        <w:t>Pourvus d'un cadre approprié pour la fixation d'un ferme-porte, prévu à l'art. </w:t>
      </w:r>
      <w:hyperlink w:anchor="1325" w:history="1">
        <w:r w:rsidR="004B2808">
          <w:rPr>
            <w:color w:val="0000EE"/>
          </w:rPr>
          <w:t>55.62.5 Système de fermeture</w:t>
        </w:r>
      </w:hyperlink>
    </w:p>
    <w:p w14:paraId="0A67E82B" w14:textId="77777777" w:rsidR="004B2808" w:rsidRDefault="00000000">
      <w:pPr>
        <w:pStyle w:val="Author-eListParagraph"/>
        <w:numPr>
          <w:ilvl w:val="0"/>
          <w:numId w:val="911"/>
        </w:numPr>
      </w:pPr>
      <w:r>
        <w:t xml:space="preserve">Conçus comme portes </w:t>
      </w:r>
      <w:r>
        <w:rPr>
          <w:rStyle w:val="optioncarChar"/>
        </w:rPr>
        <w:t>va-et-vient </w:t>
      </w:r>
      <w:r>
        <w:t>(par défaut)</w:t>
      </w:r>
      <w:r>
        <w:rPr>
          <w:rStyle w:val="optioncarChar"/>
        </w:rPr>
        <w:t xml:space="preserve"> / pivotantes / ***</w:t>
      </w:r>
      <w:r>
        <w:t xml:space="preserve"> . Elles se composent de </w:t>
      </w:r>
      <w:r>
        <w:rPr>
          <w:rStyle w:val="optioncarChar"/>
        </w:rPr>
        <w:t>un panneau</w:t>
      </w:r>
      <w:r>
        <w:t> (par défaut)</w:t>
      </w:r>
      <w:r>
        <w:rPr>
          <w:rStyle w:val="optioncarChar"/>
        </w:rPr>
        <w:t xml:space="preserve"> / deux panneaux / ***</w:t>
      </w:r>
      <w:r>
        <w:t xml:space="preserve"> , les vantaux des portes et les huisseries sont semblables aux portes ouvrantes ordinaires, seuls le mode de suspension et les quincailleries correspondantes sont adaptés au concept des portes battantes.</w:t>
      </w:r>
    </w:p>
    <w:p w14:paraId="4F425F9C" w14:textId="77777777" w:rsidR="004B2808" w:rsidRDefault="00000000">
      <w:pPr>
        <w:pStyle w:val="heading"/>
      </w:pPr>
      <w:r>
        <w:t>Options (biffer la mention inutile) ensembles de porte / résistant au feu - porte pleine / huisserie en acier</w:t>
      </w:r>
    </w:p>
    <w:p w14:paraId="405AC108" w14:textId="77777777" w:rsidR="004B2808" w:rsidRDefault="00000000">
      <w:r>
        <w:t xml:space="preserve">Conformément aux indications sur le plan ou les dessins de détail, les vantaux de porte suivants </w:t>
      </w:r>
      <w:r>
        <w:rPr>
          <w:rStyle w:val="optioncarChar"/>
        </w:rPr>
        <w:t xml:space="preserve">*** </w:t>
      </w:r>
      <w:r>
        <w:t>sont :</w:t>
      </w:r>
    </w:p>
    <w:p w14:paraId="74AC362E" w14:textId="77777777" w:rsidR="004B2808" w:rsidRDefault="00000000">
      <w:pPr>
        <w:pStyle w:val="Author-eListParagraph"/>
        <w:numPr>
          <w:ilvl w:val="0"/>
          <w:numId w:val="912"/>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0DA78098" w14:textId="77777777" w:rsidR="004B2808" w:rsidRDefault="00000000">
      <w:pPr>
        <w:pStyle w:val="Author-eListParagraph"/>
        <w:numPr>
          <w:ilvl w:val="0"/>
          <w:numId w:val="912"/>
        </w:numPr>
      </w:pPr>
      <w:r>
        <w:t xml:space="preserve">Equipés d'un vitrage résistant au feu en verre de sécurité conforme au rapport d'essai. Une réservation est faite dans le vantail de porte : </w:t>
      </w:r>
      <w:r>
        <w:rPr>
          <w:rStyle w:val="optioncarChar"/>
        </w:rPr>
        <w:t>rectangulaire</w:t>
      </w:r>
      <w:r>
        <w:t xml:space="preserve"> (par défaut) </w:t>
      </w:r>
      <w:r>
        <w:rPr>
          <w:rStyle w:val="optioncarChar"/>
        </w:rPr>
        <w:t>/ ronde / ***</w:t>
      </w:r>
      <w:r>
        <w:t xml:space="preserve"> ,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6DFD00B0" w14:textId="77777777" w:rsidR="004B2808"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1E1045FE" w14:textId="77777777" w:rsidR="004B2808" w:rsidRDefault="00000000">
      <w:pPr>
        <w:pStyle w:val="Author-eListParagraph"/>
        <w:numPr>
          <w:ilvl w:val="0"/>
          <w:numId w:val="913"/>
        </w:numPr>
      </w:pPr>
      <w:r>
        <w:t xml:space="preserve">Pourvus d'une imposte </w:t>
      </w:r>
      <w:r>
        <w:rPr>
          <w:rStyle w:val="optioncarChar"/>
        </w:rPr>
        <w:t>avec </w:t>
      </w:r>
      <w:r>
        <w:t>(par défaut)</w:t>
      </w:r>
      <w:r>
        <w:rPr>
          <w:rStyle w:val="optioncarChar"/>
        </w:rPr>
        <w:t xml:space="preserve"> / sans / *** </w:t>
      </w:r>
      <w:r>
        <w:t>traverse intermédiaire.</w:t>
      </w:r>
    </w:p>
    <w:p w14:paraId="7159E408" w14:textId="77777777" w:rsidR="004B2808" w:rsidRDefault="00000000">
      <w:pPr>
        <w:pStyle w:val="Author-eListParagraph"/>
        <w:numPr>
          <w:ilvl w:val="0"/>
          <w:numId w:val="913"/>
        </w:numPr>
      </w:pPr>
      <w:r>
        <w:t>Pourvus d'une bande brise-bise et butoir continue.</w:t>
      </w:r>
    </w:p>
    <w:p w14:paraId="208E010B" w14:textId="77777777" w:rsidR="004B2808" w:rsidRDefault="00000000">
      <w:pPr>
        <w:pStyle w:val="Author-eListParagraph"/>
        <w:numPr>
          <w:ilvl w:val="0"/>
          <w:numId w:val="913"/>
        </w:numPr>
      </w:pPr>
      <w:r>
        <w:t>Pourvus d'un cadre approprié pour la fixation d'un ferme-porte, prévu à l'art. </w:t>
      </w:r>
      <w:hyperlink w:anchor="1325" w:history="1">
        <w:r w:rsidR="004B2808">
          <w:rPr>
            <w:color w:val="0000EE"/>
          </w:rPr>
          <w:t>55.62.5 Système de fermeture</w:t>
        </w:r>
      </w:hyperlink>
    </w:p>
    <w:p w14:paraId="02CAB979" w14:textId="77777777" w:rsidR="004B2808" w:rsidRDefault="00000000">
      <w:pPr>
        <w:pStyle w:val="Author-eListParagraph"/>
        <w:numPr>
          <w:ilvl w:val="0"/>
          <w:numId w:val="913"/>
        </w:numPr>
      </w:pPr>
      <w:r>
        <w:t xml:space="preserve">Conçus comme portes </w:t>
      </w:r>
      <w:r>
        <w:rPr>
          <w:rStyle w:val="optioncarChar"/>
        </w:rPr>
        <w:t>va-et-vient</w:t>
      </w:r>
      <w:r>
        <w:t> (par défaut)</w:t>
      </w:r>
      <w:r>
        <w:rPr>
          <w:rStyle w:val="optioncarChar"/>
        </w:rPr>
        <w:t xml:space="preserve"> / pivotantes / ***</w:t>
      </w:r>
      <w:r>
        <w:t xml:space="preserve"> . Elles se composent de </w:t>
      </w:r>
      <w:r>
        <w:rPr>
          <w:rStyle w:val="optioncarChar"/>
        </w:rPr>
        <w:t>un panneau</w:t>
      </w:r>
      <w:r>
        <w:t> (par défaut)</w:t>
      </w:r>
      <w:r>
        <w:rPr>
          <w:rStyle w:val="optioncarChar"/>
        </w:rPr>
        <w:t xml:space="preserve"> / deux panneaux / *** </w:t>
      </w:r>
      <w:r>
        <w:t>, les vantaux des portes et les huisseries sont semblables aux portes ouvrantes ordinaires, seuls le mode de suspension et les quincailleries correspondantes sont adaptés au concept des portes battantes.</w:t>
      </w:r>
    </w:p>
    <w:p w14:paraId="363A0C75" w14:textId="77777777" w:rsidR="004B2808" w:rsidRDefault="00000000">
      <w:pPr>
        <w:pStyle w:val="pheading"/>
      </w:pPr>
      <w:r>
        <w:t>MESURAGE</w:t>
      </w:r>
    </w:p>
    <w:p w14:paraId="6BFCB281" w14:textId="77777777" w:rsidR="004B2808" w:rsidRDefault="00000000">
      <w:r>
        <w:t>Conformément aux indications spécifiques dans le cahier spécial des charges et/ou le métré récapitulatif, le mesurage peut être conçu comme suit, en fonction de la nature des portes intérieures :</w:t>
      </w:r>
    </w:p>
    <w:p w14:paraId="5858F313" w14:textId="77777777" w:rsidR="004B2808" w:rsidRDefault="00000000">
      <w:pPr>
        <w:pStyle w:val="pheading"/>
      </w:pPr>
      <w:r>
        <w:t>- unité de mesure:</w:t>
      </w:r>
    </w:p>
    <w:p w14:paraId="6772159D" w14:textId="77777777" w:rsidR="004B2808" w:rsidRDefault="00000000">
      <w:r>
        <w:t>p</w:t>
      </w:r>
    </w:p>
    <w:p w14:paraId="1EB40F97" w14:textId="77777777" w:rsidR="004B2808" w:rsidRDefault="00000000">
      <w:pPr>
        <w:pStyle w:val="pheading"/>
      </w:pPr>
      <w:r>
        <w:t>- code de mesurage:</w:t>
      </w:r>
    </w:p>
    <w:p w14:paraId="7CC6C860" w14:textId="77777777" w:rsidR="004B2808" w:rsidRDefault="00000000">
      <w:r>
        <w:t>Choix opéré:</w:t>
      </w:r>
      <w:r>
        <w:rPr>
          <w:rStyle w:val="optioncarChar"/>
          <w:b/>
        </w:rPr>
        <w:t>*** / OPTION 1 (un ensemble) </w:t>
      </w:r>
      <w:r>
        <w:t>(par défaut)</w:t>
      </w:r>
      <w:r>
        <w:rPr>
          <w:rStyle w:val="optioncarChar"/>
          <w:b/>
        </w:rPr>
        <w:t xml:space="preserve"> / OPTION 2 (séparément)</w:t>
      </w:r>
    </w:p>
    <w:p w14:paraId="710217BD" w14:textId="77777777" w:rsidR="004B2808"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r>
      <w:r>
        <w:lastRenderedPageBreak/>
        <w:t>Quantité nette, ventilé selon les dimensions des portes et l'épaisseur des cloisons intérieures (</w:t>
      </w:r>
      <w:r>
        <w:rPr>
          <w:rStyle w:val="optioncarChar"/>
        </w:rPr>
        <w:t>9 </w:t>
      </w:r>
      <w:r>
        <w:t>(par défaut)</w:t>
      </w:r>
      <w:r>
        <w:rPr>
          <w:rStyle w:val="optioncarChar"/>
        </w:rPr>
        <w:t xml:space="preserve"> / 14 / 19 / ***</w:t>
      </w:r>
      <w:r>
        <w:t xml:space="preserve"> ) et, le cas échéant, selon la classification (nature, sens d'ouverture, emplacement,  prestations particulières, dimensions, forme et aspect).</w:t>
      </w:r>
    </w:p>
    <w:p w14:paraId="78559A14" w14:textId="77777777" w:rsidR="004B2808" w:rsidRDefault="00000000">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7 </w:t>
      </w:r>
      <w:r>
        <w:t xml:space="preserve">(par défaut) </w:t>
      </w:r>
      <w:r>
        <w:rPr>
          <w:rStyle w:val="optioncarChar"/>
        </w:rPr>
        <w:t>/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le cas échéant, ventilé selon le type ou le modèle, ventilé selon les dimensions des portes (indépendamment de la hauteur) et l'épaisseur des cloisons intérieures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0704EB2E" w14:textId="77777777" w:rsidR="004B2808" w:rsidRDefault="00000000">
      <w:r>
        <w:rPr>
          <w:u w:val="single"/>
        </w:rPr>
        <w:t xml:space="preserve">Attention </w:t>
      </w:r>
    </w:p>
    <w:p w14:paraId="62BEE534" w14:textId="77777777" w:rsidR="004B2808" w:rsidRDefault="00000000">
      <w:pPr>
        <w:pStyle w:val="Author-eListParagraph"/>
        <w:numPr>
          <w:ilvl w:val="0"/>
          <w:numId w:val="914"/>
        </w:numPr>
      </w:pPr>
      <w:r>
        <w:t>Les vantaux de portes de 630 - 730 et 830 mm de largeur peuvent être pris ensemble pour le mesurage.</w:t>
      </w:r>
    </w:p>
    <w:p w14:paraId="506BDD26" w14:textId="77777777" w:rsidR="004B2808" w:rsidRDefault="00000000">
      <w:pPr>
        <w:pStyle w:val="Author-eListParagraph"/>
        <w:numPr>
          <w:ilvl w:val="0"/>
          <w:numId w:val="914"/>
        </w:numPr>
      </w:pPr>
      <w:r>
        <w:t>Les quincailleries dont la fourniture et la mise en œuvre sont comprises peuvent être décrites dans d'autres postes mais sont toujours comprises dans le prix des portes.</w:t>
      </w:r>
    </w:p>
    <w:p w14:paraId="550FCBCD" w14:textId="77777777" w:rsidR="004B2808" w:rsidRDefault="00000000">
      <w:pPr>
        <w:pStyle w:val="Author-eSectionHeading5Numberless"/>
      </w:pPr>
      <w:bookmarkStart w:id="1068" w:name="_Toc220491195"/>
      <w:r>
        <w:t>55.21.6 Portes intérieures en bois, massif / lamellé-collé, à composition mixte - profilé collaborant CCTB 01.02</w:t>
      </w:r>
      <w:bookmarkEnd w:id="1068"/>
    </w:p>
    <w:p w14:paraId="5A0A5EDF" w14:textId="77777777" w:rsidR="004B2808" w:rsidRDefault="00000000">
      <w:pPr>
        <w:pStyle w:val="Author-eSectionHeading6Numberless"/>
      </w:pPr>
      <w:bookmarkStart w:id="1069" w:name="_Toc220491196"/>
      <w:r>
        <w:t>55.21.6a Portes intérieures en bois massif + aluminium CCTB 01.10</w:t>
      </w:r>
      <w:bookmarkEnd w:id="1069"/>
    </w:p>
    <w:p w14:paraId="5AE68453" w14:textId="77777777" w:rsidR="004B2808" w:rsidRDefault="00000000">
      <w:pPr>
        <w:pStyle w:val="pheading"/>
      </w:pPr>
      <w:r>
        <w:t>MATÉRIAUX</w:t>
      </w:r>
    </w:p>
    <w:p w14:paraId="586F52E5" w14:textId="77777777" w:rsidR="004B2808" w:rsidRDefault="00000000">
      <w:pPr>
        <w:pStyle w:val="pheading"/>
      </w:pPr>
      <w:r>
        <w:t>- Prescriptions complémentaires</w:t>
      </w:r>
    </w:p>
    <w:p w14:paraId="41CC06DD" w14:textId="77777777" w:rsidR="004B2808" w:rsidRDefault="00000000">
      <w:pPr>
        <w:pStyle w:val="heading"/>
      </w:pPr>
      <w:r>
        <w:t>(critères de performance)  Vantaux de porte</w:t>
      </w:r>
    </w:p>
    <w:p w14:paraId="4B3026CC" w14:textId="77777777" w:rsidR="004B2808" w:rsidRDefault="00000000">
      <w:r>
        <w:t>Conformément aux indications supplémentaires dans le cahier spécial des charges, les dispositions supplémentaires suivantes sont d'application :</w:t>
      </w:r>
    </w:p>
    <w:p w14:paraId="114D4A23" w14:textId="77777777" w:rsidR="004B2808" w:rsidRDefault="00000000">
      <w:pPr>
        <w:pStyle w:val="Author-eListParagraph"/>
        <w:numPr>
          <w:ilvl w:val="0"/>
          <w:numId w:val="915"/>
        </w:numPr>
      </w:pPr>
      <w:r>
        <w:t>Les dispositions des [STS 53.1] pour les portes intérieures planes dans les salles de bains et les autres locaux humides.</w:t>
      </w:r>
    </w:p>
    <w:p w14:paraId="5D21D503" w14:textId="77777777" w:rsidR="004B2808" w:rsidRDefault="00000000">
      <w:r>
        <w:br/>
        <w:t>Attention  : Les ensembles de porte résistant au feu sont toujours considérés dans un poste séparé.</w:t>
      </w:r>
    </w:p>
    <w:p w14:paraId="75F5CC0C" w14:textId="77777777" w:rsidR="004B2808" w:rsidRDefault="00000000">
      <w:pPr>
        <w:pStyle w:val="heading"/>
      </w:pPr>
      <w:r>
        <w:t>(Accessoires) Vantaux de porte</w:t>
      </w:r>
    </w:p>
    <w:p w14:paraId="71A1E124"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6A471AC9" w14:textId="77777777" w:rsidR="004B2808" w:rsidRDefault="00000000">
      <w:pPr>
        <w:pStyle w:val="Author-eListParagraph"/>
        <w:numPr>
          <w:ilvl w:val="0"/>
          <w:numId w:val="916"/>
        </w:numPr>
      </w:pPr>
      <w:r>
        <w:t>Equipés d'un vitrage :</w:t>
      </w:r>
    </w:p>
    <w:p w14:paraId="44DB82D6" w14:textId="77777777" w:rsidR="004B2808" w:rsidRDefault="00000000">
      <w:pPr>
        <w:pStyle w:val="Author-eListParagraph"/>
        <w:numPr>
          <w:ilvl w:val="0"/>
          <w:numId w:val="916"/>
        </w:numPr>
      </w:pPr>
      <w:r>
        <w:t xml:space="preserve">En verre de sécurité </w:t>
      </w:r>
      <w:r>
        <w:rPr>
          <w:rStyle w:val="optioncarChar"/>
        </w:rPr>
        <w:t>simple</w:t>
      </w:r>
      <w:r>
        <w:t> (par défaut)</w:t>
      </w:r>
      <w:r>
        <w:rPr>
          <w:rStyle w:val="optioncarChar"/>
        </w:rPr>
        <w:t xml:space="preserve"> / clair / mat / opale / ***</w:t>
      </w:r>
      <w:r>
        <w:t xml:space="preserve"> , selon la [NBN S 23-002]</w:t>
      </w:r>
    </w:p>
    <w:p w14:paraId="34372236" w14:textId="77777777" w:rsidR="004B2808" w:rsidRDefault="00000000">
      <w:pPr>
        <w:pStyle w:val="Author-eListParagraph"/>
        <w:numPr>
          <w:ilvl w:val="0"/>
          <w:numId w:val="916"/>
        </w:numPr>
      </w:pPr>
      <w:r>
        <w:t xml:space="preserve">Réservation dans le vantail de porte : </w:t>
      </w:r>
      <w:r>
        <w:rPr>
          <w:rStyle w:val="optioncarChar"/>
        </w:rPr>
        <w:t>rectangulaire </w:t>
      </w:r>
      <w:r>
        <w:t>(par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42283C9F" w14:textId="77777777" w:rsidR="004B2808" w:rsidRDefault="00000000">
      <w:pPr>
        <w:pStyle w:val="Author-eListParagraph"/>
        <w:numPr>
          <w:ilvl w:val="0"/>
          <w:numId w:val="916"/>
        </w:numPr>
      </w:pPr>
      <w:r>
        <w:t xml:space="preserve">Fixation de la vitre dans la réservation à l'aide de : </w:t>
      </w:r>
      <w:r>
        <w:rPr>
          <w:rStyle w:val="optioncarChar"/>
        </w:rPr>
        <w:t>mastic plastique </w:t>
      </w:r>
      <w:r>
        <w:t>(par défaut)</w:t>
      </w:r>
      <w:r>
        <w:rPr>
          <w:rStyle w:val="optioncarChar"/>
        </w:rPr>
        <w:t xml:space="preserve"> / profils de fixation à enclenchement en PVC / ***</w:t>
      </w:r>
    </w:p>
    <w:p w14:paraId="1CAA72C9" w14:textId="77777777" w:rsidR="004B2808" w:rsidRDefault="00000000">
      <w:pPr>
        <w:pStyle w:val="Author-eListParagraph"/>
        <w:numPr>
          <w:ilvl w:val="0"/>
          <w:numId w:val="916"/>
        </w:numPr>
      </w:pPr>
      <w:r>
        <w:t xml:space="preserve">Les vitres sont encadrées par : </w:t>
      </w:r>
      <w:r>
        <w:rPr>
          <w:rStyle w:val="optioncarChar"/>
        </w:rPr>
        <w:t>des lattes en bois dur, finition prête à peindre</w:t>
      </w:r>
      <w:r>
        <w:t xml:space="preserve"> (par défaut)</w:t>
      </w:r>
      <w:r>
        <w:rPr>
          <w:rStyle w:val="optioncarChar"/>
        </w:rPr>
        <w:t> / ***.</w:t>
      </w:r>
    </w:p>
    <w:p w14:paraId="52024663" w14:textId="77777777" w:rsidR="004B2808" w:rsidRDefault="00000000">
      <w:pPr>
        <w:pStyle w:val="Author-eListParagraph"/>
        <w:numPr>
          <w:ilvl w:val="0"/>
          <w:numId w:val="916"/>
        </w:numPr>
      </w:pPr>
      <w:r>
        <w:t xml:space="preserve">Pourvus d'une grille encastrée, selon l'article </w:t>
      </w:r>
      <w:hyperlink w:anchor="1322" w:history="1">
        <w:r w:rsidR="004B2808">
          <w:rPr>
            <w:color w:val="0000EE"/>
          </w:rPr>
          <w:t>55.68.1 Grilles de transfert dans les portes</w:t>
        </w:r>
      </w:hyperlink>
      <w:r>
        <w:t xml:space="preserve"> grilles de transfert dans les portes, ouverture d'aération conformément à la [NBN D 50-001]</w:t>
      </w:r>
    </w:p>
    <w:p w14:paraId="3C5314BD" w14:textId="77777777" w:rsidR="004B2808" w:rsidRDefault="00000000">
      <w:pPr>
        <w:pStyle w:val="Author-eListParagraph"/>
        <w:numPr>
          <w:ilvl w:val="0"/>
          <w:numId w:val="916"/>
        </w:numPr>
      </w:pPr>
      <w:r>
        <w:t xml:space="preserve">Pourvus d'une fente de ventilation d'environ </w:t>
      </w:r>
      <w:r>
        <w:rPr>
          <w:rStyle w:val="optioncarChar"/>
        </w:rPr>
        <w:t>1 </w:t>
      </w:r>
      <w:r>
        <w:t>(par défaut)</w:t>
      </w:r>
      <w:r>
        <w:rPr>
          <w:rStyle w:val="optioncarChar"/>
        </w:rPr>
        <w:t> / ***</w:t>
      </w:r>
      <w:r>
        <w:t xml:space="preserve"> cm dans le bas, de façon telle que l'ouverture d'aération soit conformé à la [NBN D 50-001]</w:t>
      </w:r>
    </w:p>
    <w:p w14:paraId="5A4F6928" w14:textId="77777777" w:rsidR="004B2808" w:rsidRDefault="00000000">
      <w:pPr>
        <w:pStyle w:val="Author-eListParagraph"/>
        <w:numPr>
          <w:ilvl w:val="0"/>
          <w:numId w:val="916"/>
        </w:numPr>
      </w:pPr>
      <w:r>
        <w:lastRenderedPageBreak/>
        <w:t>Conçues comme portes coulissantes (les vantaux de porte et les huisseries sont conformes aux portes ouvrantes ordinaires. Seuls le mode de suspension et la quincaillerie concernée sont adaptés au concept des vantaux de porte coulissants).</w:t>
      </w:r>
    </w:p>
    <w:p w14:paraId="3381FCD9" w14:textId="77777777" w:rsidR="004B2808" w:rsidRDefault="00000000">
      <w:pPr>
        <w:pStyle w:val="Author-eListParagraph"/>
        <w:numPr>
          <w:ilvl w:val="0"/>
          <w:numId w:val="916"/>
        </w:numPr>
      </w:pPr>
      <w:r>
        <w:t xml:space="preserve">Portes coulissantes </w:t>
      </w:r>
      <w:r>
        <w:rPr>
          <w:rStyle w:val="optioncarChar"/>
        </w:rPr>
        <w:t>simples </w:t>
      </w:r>
      <w:r>
        <w:t xml:space="preserve">(par défaut) </w:t>
      </w:r>
      <w:r>
        <w:rPr>
          <w:rStyle w:val="optioncarChar"/>
        </w:rPr>
        <w:t>/ doubles / ***</w:t>
      </w:r>
    </w:p>
    <w:p w14:paraId="1CCDD817" w14:textId="77777777" w:rsidR="004B2808" w:rsidRDefault="00000000">
      <w:pPr>
        <w:pStyle w:val="Author-eListParagraph"/>
        <w:numPr>
          <w:ilvl w:val="0"/>
          <w:numId w:val="916"/>
        </w:numPr>
      </w:pPr>
      <w:r>
        <w:t>Composées de</w:t>
      </w:r>
      <w:r>
        <w:rPr>
          <w:rStyle w:val="optioncarChar"/>
        </w:rPr>
        <w:t> un panneau</w:t>
      </w:r>
      <w:r>
        <w:t> (par défaut)</w:t>
      </w:r>
      <w:r>
        <w:rPr>
          <w:rStyle w:val="optioncarChar"/>
        </w:rPr>
        <w:t xml:space="preserve"> / deux panneaux / ***</w:t>
      </w:r>
    </w:p>
    <w:p w14:paraId="1FE7BA3B" w14:textId="77777777" w:rsidR="004B2808" w:rsidRDefault="00000000">
      <w:pPr>
        <w:pStyle w:val="Author-eListParagraph"/>
        <w:numPr>
          <w:ilvl w:val="0"/>
          <w:numId w:val="916"/>
        </w:numPr>
      </w:pPr>
      <w:r>
        <w:t>Mécanisme de coulisse : rails en acier galvanisé; galets en nylon de première qualité; type et modèle en fonction du type et du poids des vantaux coulissants.</w:t>
      </w:r>
    </w:p>
    <w:p w14:paraId="17E0350A" w14:textId="77777777" w:rsidR="004B2808" w:rsidRDefault="00000000">
      <w:pPr>
        <w:pStyle w:val="Author-eListParagraph"/>
        <w:numPr>
          <w:ilvl w:val="0"/>
          <w:numId w:val="916"/>
        </w:numPr>
      </w:pPr>
      <w:r>
        <w:t xml:space="preserve">Conçues comme </w:t>
      </w:r>
      <w:r>
        <w:rPr>
          <w:rStyle w:val="optioncarChar"/>
        </w:rPr>
        <w:t>portes battantes </w:t>
      </w:r>
      <w:r>
        <w:t>(par défaut)</w:t>
      </w:r>
      <w:r>
        <w:rPr>
          <w:rStyle w:val="optioncarChar"/>
        </w:rPr>
        <w:t xml:space="preserve"> / pivotantes / *** </w:t>
      </w:r>
      <w:r>
        <w:t xml:space="preserve">(les vantaux de porte et les huisseries sont conformes aux portes ouvrantes ordinaires. Seuls le mode de suspension et la quincaillerie concernée sont adaptés au concept des vantaux de porte </w:t>
      </w:r>
      <w:r>
        <w:rPr>
          <w:rStyle w:val="optioncarChar"/>
        </w:rPr>
        <w:t>battante </w:t>
      </w:r>
      <w:r>
        <w:t xml:space="preserve">(par défaut) </w:t>
      </w:r>
      <w:r>
        <w:rPr>
          <w:rStyle w:val="optioncarChar"/>
        </w:rPr>
        <w:t>/ pivotante / ***</w:t>
      </w:r>
      <w:r>
        <w:t>)</w:t>
      </w:r>
    </w:p>
    <w:p w14:paraId="0F5F7EAD" w14:textId="77777777" w:rsidR="004B2808" w:rsidRDefault="00000000">
      <w:pPr>
        <w:pStyle w:val="Author-eListParagraph"/>
        <w:numPr>
          <w:ilvl w:val="0"/>
          <w:numId w:val="916"/>
        </w:numPr>
      </w:pPr>
      <w:r>
        <w:t xml:space="preserve">Composées de </w:t>
      </w:r>
      <w:r>
        <w:rPr>
          <w:rStyle w:val="optioncarChar"/>
        </w:rPr>
        <w:t xml:space="preserve">un panneau </w:t>
      </w:r>
      <w:r>
        <w:t>(par défaut) </w:t>
      </w:r>
      <w:r>
        <w:rPr>
          <w:rStyle w:val="optioncarChar"/>
        </w:rPr>
        <w:t>/ deux panneaux / ***</w:t>
      </w:r>
    </w:p>
    <w:p w14:paraId="5D8B759B" w14:textId="77777777" w:rsidR="004B2808" w:rsidRDefault="00000000">
      <w:pPr>
        <w:pStyle w:val="heading"/>
      </w:pPr>
      <w:r>
        <w:t>Ensembles de porte / résistant au feu</w:t>
      </w:r>
    </w:p>
    <w:p w14:paraId="4A2BB571"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09DC8CBE" w14:textId="77777777" w:rsidR="004B2808" w:rsidRDefault="00000000">
      <w:pPr>
        <w:pStyle w:val="Author-eListParagraph"/>
        <w:numPr>
          <w:ilvl w:val="0"/>
          <w:numId w:val="917"/>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6D0FFC95" w14:textId="77777777" w:rsidR="004B2808" w:rsidRDefault="00000000">
      <w:pPr>
        <w:pStyle w:val="Author-eListParagraph"/>
        <w:numPr>
          <w:ilvl w:val="0"/>
          <w:numId w:val="917"/>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w:t>
      </w:r>
      <w:r>
        <w:t xml:space="preserve"> comme les chanlattes. Le vitrage est toujours délimité sur toute sa périphérie par des sections en bois plein d'une largeur minimale de 140 mm pour les côtés et au-dessus et de 220 mm dans le bas.</w:t>
      </w:r>
    </w:p>
    <w:p w14:paraId="1959DCBD" w14:textId="77777777" w:rsidR="004B2808"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2775F4D6" w14:textId="77777777" w:rsidR="004B2808" w:rsidRDefault="00000000">
      <w:pPr>
        <w:pStyle w:val="Author-eListParagraph"/>
        <w:numPr>
          <w:ilvl w:val="0"/>
          <w:numId w:val="918"/>
        </w:numPr>
      </w:pPr>
      <w:r>
        <w:t xml:space="preserve">Pourvus d'une imposte </w:t>
      </w:r>
      <w:r>
        <w:rPr>
          <w:rStyle w:val="optioncarChar"/>
        </w:rPr>
        <w:t>avec</w:t>
      </w:r>
      <w:r>
        <w:t> (par défaut)</w:t>
      </w:r>
      <w:r>
        <w:rPr>
          <w:rStyle w:val="optioncarChar"/>
        </w:rPr>
        <w:t xml:space="preserve"> / sans / *** </w:t>
      </w:r>
      <w:r>
        <w:t>traverse intermédiaire.</w:t>
      </w:r>
    </w:p>
    <w:p w14:paraId="733E75BA" w14:textId="77777777" w:rsidR="004B2808" w:rsidRDefault="00000000">
      <w:pPr>
        <w:pStyle w:val="Author-eListParagraph"/>
        <w:numPr>
          <w:ilvl w:val="0"/>
          <w:numId w:val="918"/>
        </w:numPr>
      </w:pPr>
      <w:r>
        <w:t>Pourvus d'une bande brise-bise et butoir continue.</w:t>
      </w:r>
    </w:p>
    <w:p w14:paraId="3E37656B" w14:textId="77777777" w:rsidR="004B2808" w:rsidRDefault="00000000">
      <w:pPr>
        <w:pStyle w:val="Author-eListParagraph"/>
        <w:numPr>
          <w:ilvl w:val="0"/>
          <w:numId w:val="918"/>
        </w:numPr>
      </w:pPr>
      <w:r>
        <w:t>Pourvus d'un cadre approprié pour la fixation d'un ferme-porte, prévu à l'art. </w:t>
      </w:r>
      <w:hyperlink w:anchor="1325" w:history="1">
        <w:r w:rsidR="004B2808">
          <w:rPr>
            <w:color w:val="0000EE"/>
          </w:rPr>
          <w:t>55.62.5 Système de fermeture</w:t>
        </w:r>
      </w:hyperlink>
    </w:p>
    <w:p w14:paraId="6E3A95A8" w14:textId="77777777" w:rsidR="004B2808" w:rsidRDefault="00000000">
      <w:pPr>
        <w:pStyle w:val="Author-eListParagraph"/>
        <w:numPr>
          <w:ilvl w:val="0"/>
          <w:numId w:val="918"/>
        </w:numPr>
      </w:pPr>
      <w:r>
        <w:t xml:space="preserve">Conçus comme portes </w:t>
      </w:r>
      <w:r>
        <w:rPr>
          <w:rStyle w:val="optioncarChar"/>
        </w:rPr>
        <w:t>va-et-vient</w:t>
      </w:r>
      <w:r>
        <w:t xml:space="preserve"> (par défaut)</w:t>
      </w:r>
      <w:r>
        <w:rPr>
          <w:rStyle w:val="optioncarChar"/>
        </w:rPr>
        <w:t> / pivotantes / *** </w:t>
      </w:r>
      <w:r>
        <w:t xml:space="preserve">. Elles se composent de </w:t>
      </w:r>
      <w:r>
        <w:rPr>
          <w:rStyle w:val="optioncarChar"/>
        </w:rPr>
        <w:t>un panneau</w:t>
      </w:r>
      <w:r>
        <w:t> (par défaut)</w:t>
      </w:r>
      <w:r>
        <w:rPr>
          <w:rStyle w:val="optioncarChar"/>
        </w:rPr>
        <w:t xml:space="preserve"> / deux panneaux / ***</w:t>
      </w:r>
      <w:r>
        <w:t xml:space="preserve"> , les vantaux des portes et les huisseries sont semblables aux portes ouvrantes ordinaires, seuls le mode de suspension et les quincailleries correspondantes sont adaptés au concept des portes battantes.</w:t>
      </w:r>
    </w:p>
    <w:p w14:paraId="588C3B6D" w14:textId="77777777" w:rsidR="004B2808" w:rsidRDefault="00000000">
      <w:pPr>
        <w:pStyle w:val="Author-eListParagraph"/>
        <w:numPr>
          <w:ilvl w:val="0"/>
          <w:numId w:val="918"/>
        </w:numPr>
      </w:pPr>
      <w:r>
        <w:t>L'ensemble porte résistant au feu est conforme à la [NIT 234].</w:t>
      </w:r>
    </w:p>
    <w:p w14:paraId="16D0A5EF" w14:textId="77777777" w:rsidR="004B2808" w:rsidRDefault="00000000">
      <w:pPr>
        <w:pStyle w:val="heading"/>
      </w:pPr>
      <w:r>
        <w:t>Options (biffer la mention inutile) huisseries de portes - bois</w:t>
      </w:r>
    </w:p>
    <w:p w14:paraId="5D7A736D" w14:textId="77777777" w:rsidR="004B2808" w:rsidRDefault="00000000">
      <w:pPr>
        <w:pStyle w:val="Author-eListParagraph"/>
        <w:numPr>
          <w:ilvl w:val="0"/>
          <w:numId w:val="919"/>
        </w:numPr>
      </w:pPr>
      <w:r>
        <w:t>Les portes sont conçues comme un châssis à pose affleurante jusqu'au plafond (avec</w:t>
      </w:r>
      <w:r>
        <w:rPr>
          <w:rStyle w:val="optioncarChar"/>
        </w:rPr>
        <w:t> vantaux vitrés </w:t>
      </w:r>
      <w:r>
        <w:t>(par défaut)</w:t>
      </w:r>
      <w:r>
        <w:rPr>
          <w:rStyle w:val="optioncarChar"/>
        </w:rPr>
        <w:t xml:space="preserve"> / imposte / ***</w:t>
      </w:r>
      <w:r>
        <w:t xml:space="preserve">). La feuillure des portes est embrevée sur une profondeur de </w:t>
      </w:r>
      <w:r>
        <w:rPr>
          <w:rStyle w:val="optioncarChar"/>
        </w:rPr>
        <w:t>10</w:t>
      </w:r>
      <w:r>
        <w:t xml:space="preserve"> (par défaut) </w:t>
      </w:r>
      <w:r>
        <w:rPr>
          <w:rStyle w:val="optioncarChar"/>
        </w:rPr>
        <w:t xml:space="preserve">/ *** </w:t>
      </w:r>
      <w:r>
        <w:t>mm dans le chambranle. Les ébrasements latéraux vont jusqu'au plafond, la traverse supérieure horizontale est :</w:t>
      </w:r>
      <w:r>
        <w:rPr>
          <w:rStyle w:val="optioncarChar"/>
        </w:rPr>
        <w:t> posée aussi près que possible du plafond</w:t>
      </w:r>
      <w:r>
        <w:t> (par défaut)</w:t>
      </w:r>
      <w:r>
        <w:rPr>
          <w:rStyle w:val="optioncarChar"/>
        </w:rPr>
        <w:t xml:space="preserve"> / absente / ***</w:t>
      </w:r>
    </w:p>
    <w:p w14:paraId="3DAAFFE1" w14:textId="77777777" w:rsidR="004B2808" w:rsidRDefault="00000000">
      <w:pPr>
        <w:pStyle w:val="Author-eListParagraph"/>
        <w:numPr>
          <w:ilvl w:val="0"/>
          <w:numId w:val="919"/>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64272810" w14:textId="77777777" w:rsidR="004B2808" w:rsidRDefault="00000000">
      <w:pPr>
        <w:pStyle w:val="Author-eListParagraph"/>
        <w:numPr>
          <w:ilvl w:val="0"/>
          <w:numId w:val="919"/>
        </w:numPr>
      </w:pPr>
      <w:r>
        <w:t xml:space="preserve">Les impostes sont fabriquées dans un morceau de vantail de porte, conformément à la description de l'article </w:t>
      </w:r>
      <w:hyperlink w:anchor="1315" w:history="1">
        <w:r w:rsidR="004B2808">
          <w:rPr>
            <w:color w:val="0000EE"/>
          </w:rPr>
          <w:t>56 Vitrage intérieur &amp; éléments de remplissage</w:t>
        </w:r>
      </w:hyperlink>
      <w:r>
        <w:t xml:space="preserve"> (voir article spécifique en fonction du remplissage). Après la mise à dimension du panneau, une latte en bois dur </w:t>
      </w:r>
      <w:r>
        <w:lastRenderedPageBreak/>
        <w:t>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4D38D909" w14:textId="77777777" w:rsidR="004B2808" w:rsidRDefault="00000000">
      <w:pPr>
        <w:pStyle w:val="Author-eListParagraph"/>
        <w:numPr>
          <w:ilvl w:val="0"/>
          <w:numId w:val="919"/>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18EB0557" w14:textId="77777777" w:rsidR="004B2808" w:rsidRDefault="00000000">
      <w:pPr>
        <w:pStyle w:val="heading"/>
      </w:pPr>
      <w:r>
        <w:t>Options (biffer la mention inutile) ensembles de porte / résistant au feu - porte pleine / huisserie en acier</w:t>
      </w:r>
    </w:p>
    <w:p w14:paraId="0B3890A2" w14:textId="77777777" w:rsidR="004B2808" w:rsidRDefault="00000000">
      <w:r>
        <w:t xml:space="preserve">Conformément aux indications sur le plan ou les dessins de détail, les vantaux de porte suivants </w:t>
      </w:r>
      <w:r>
        <w:rPr>
          <w:rStyle w:val="optioncarChar"/>
        </w:rPr>
        <w:t xml:space="preserve">*** </w:t>
      </w:r>
      <w:r>
        <w:t>sont :</w:t>
      </w:r>
    </w:p>
    <w:p w14:paraId="141148E8" w14:textId="77777777" w:rsidR="004B2808" w:rsidRDefault="00000000">
      <w:pPr>
        <w:pStyle w:val="Author-eListParagraph"/>
        <w:numPr>
          <w:ilvl w:val="0"/>
          <w:numId w:val="920"/>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7626ACA4" w14:textId="77777777" w:rsidR="004B2808" w:rsidRDefault="00000000">
      <w:pPr>
        <w:pStyle w:val="Author-eListParagraph"/>
        <w:numPr>
          <w:ilvl w:val="0"/>
          <w:numId w:val="920"/>
        </w:numPr>
      </w:pPr>
      <w:r>
        <w:t xml:space="preserve">Equipés d'un vitrage résistant au feu en verre de sécurité conforme au rapport d'essai. Une réservation est faite dans le vantail de porte : </w:t>
      </w:r>
      <w:r>
        <w:rPr>
          <w:rStyle w:val="optioncarChar"/>
        </w:rPr>
        <w:t>rectangulaire</w:t>
      </w:r>
      <w:r>
        <w:t xml:space="preserve"> (par défaut) </w:t>
      </w:r>
      <w:r>
        <w:rPr>
          <w:rStyle w:val="optioncarChar"/>
        </w:rPr>
        <w:t>/ ronde / ***</w:t>
      </w:r>
      <w:r>
        <w:t xml:space="preserve"> ,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44BA10E8" w14:textId="77777777" w:rsidR="004B2808"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31275B8A" w14:textId="77777777" w:rsidR="004B2808" w:rsidRDefault="00000000">
      <w:pPr>
        <w:pStyle w:val="Author-eListParagraph"/>
        <w:numPr>
          <w:ilvl w:val="0"/>
          <w:numId w:val="921"/>
        </w:numPr>
      </w:pPr>
      <w:r>
        <w:t xml:space="preserve">Pourvus d'une imposte </w:t>
      </w:r>
      <w:r>
        <w:rPr>
          <w:rStyle w:val="optioncarChar"/>
        </w:rPr>
        <w:t>avec</w:t>
      </w:r>
      <w:r>
        <w:t xml:space="preserve"> (par défaut) </w:t>
      </w:r>
      <w:r>
        <w:rPr>
          <w:rStyle w:val="optioncarChar"/>
        </w:rPr>
        <w:t>/ sans / *** </w:t>
      </w:r>
      <w:r>
        <w:t>traverse intermédiaire.</w:t>
      </w:r>
    </w:p>
    <w:p w14:paraId="4DEF8D01" w14:textId="77777777" w:rsidR="004B2808" w:rsidRDefault="00000000">
      <w:pPr>
        <w:pStyle w:val="Author-eListParagraph"/>
        <w:numPr>
          <w:ilvl w:val="0"/>
          <w:numId w:val="921"/>
        </w:numPr>
      </w:pPr>
      <w:r>
        <w:t>Pourvus d'une bande brise-bise et butoir continue.</w:t>
      </w:r>
    </w:p>
    <w:p w14:paraId="7A015153" w14:textId="77777777" w:rsidR="004B2808" w:rsidRDefault="00000000">
      <w:pPr>
        <w:pStyle w:val="Author-eListParagraph"/>
        <w:numPr>
          <w:ilvl w:val="0"/>
          <w:numId w:val="921"/>
        </w:numPr>
      </w:pPr>
      <w:r>
        <w:t>Pourvus d'un cadre approprié pour la fixation d'un ferme-porte, prévu à l'art. </w:t>
      </w:r>
      <w:hyperlink w:anchor="1325" w:history="1">
        <w:r w:rsidR="004B2808">
          <w:rPr>
            <w:color w:val="0000EE"/>
          </w:rPr>
          <w:t>55.62.5 Système de fermeture</w:t>
        </w:r>
      </w:hyperlink>
    </w:p>
    <w:p w14:paraId="1F99E7EC" w14:textId="77777777" w:rsidR="004B2808" w:rsidRDefault="00000000">
      <w:pPr>
        <w:pStyle w:val="Author-eListParagraph"/>
        <w:numPr>
          <w:ilvl w:val="0"/>
          <w:numId w:val="921"/>
        </w:numPr>
      </w:pPr>
      <w:r>
        <w:t xml:space="preserve">Conçus comme portes </w:t>
      </w:r>
      <w:r>
        <w:rPr>
          <w:rStyle w:val="optioncarChar"/>
        </w:rPr>
        <w:t>va-et-vient </w:t>
      </w:r>
      <w:r>
        <w:t>(par défaut)</w:t>
      </w:r>
      <w:r>
        <w:rPr>
          <w:rStyle w:val="optioncarChar"/>
        </w:rPr>
        <w:t xml:space="preserve"> / pivotantes / ***</w:t>
      </w:r>
      <w:r>
        <w:t xml:space="preserve"> . Elles se composent de </w:t>
      </w:r>
      <w:r>
        <w:rPr>
          <w:rStyle w:val="optioncarChar"/>
        </w:rPr>
        <w:t>un panneau</w:t>
      </w:r>
      <w:r>
        <w:t> (par défaut)</w:t>
      </w:r>
      <w:r>
        <w:rPr>
          <w:rStyle w:val="optioncarChar"/>
        </w:rPr>
        <w:t xml:space="preserve"> / deux panneaux / *** </w:t>
      </w:r>
      <w:r>
        <w:t>, les vantaux des portes et les huisseries sont semblables aux portes ouvrantes ordinaires, seuls le mode de suspension et les quincailleries correspondantes sont adaptés au concept des portes battantes.</w:t>
      </w:r>
    </w:p>
    <w:p w14:paraId="6E630B7E" w14:textId="77777777" w:rsidR="004B2808" w:rsidRDefault="00000000">
      <w:pPr>
        <w:pStyle w:val="pheading"/>
      </w:pPr>
      <w:r>
        <w:t>MESURAGE</w:t>
      </w:r>
    </w:p>
    <w:p w14:paraId="68BCDAE8" w14:textId="77777777" w:rsidR="004B2808" w:rsidRDefault="00000000">
      <w:r>
        <w:t>Conformément aux indications spécifiques dans le cahier spécial des charges et/ou le métré récapitulatif, le mesurage peut être conçu comme suit, en fonction de la nature des portes intérieures :</w:t>
      </w:r>
    </w:p>
    <w:p w14:paraId="3026D31E" w14:textId="77777777" w:rsidR="004B2808" w:rsidRDefault="00000000">
      <w:pPr>
        <w:pStyle w:val="pheading"/>
      </w:pPr>
      <w:r>
        <w:t>- unité de mesure:</w:t>
      </w:r>
    </w:p>
    <w:p w14:paraId="5C7E01C2" w14:textId="77777777" w:rsidR="004B2808" w:rsidRDefault="00000000">
      <w:r>
        <w:t>p</w:t>
      </w:r>
    </w:p>
    <w:p w14:paraId="691663D7" w14:textId="77777777" w:rsidR="004B2808" w:rsidRDefault="00000000">
      <w:pPr>
        <w:pStyle w:val="pheading"/>
      </w:pPr>
      <w:r>
        <w:t>- code de mesurage:</w:t>
      </w:r>
    </w:p>
    <w:p w14:paraId="1B010C52" w14:textId="77777777" w:rsidR="004B2808" w:rsidRDefault="00000000">
      <w:r>
        <w:t>Choix opéré:</w:t>
      </w:r>
      <w:r>
        <w:rPr>
          <w:rStyle w:val="optioncarChar"/>
          <w:b/>
        </w:rPr>
        <w:t>*** / OPTION 1 (un ensemble)</w:t>
      </w:r>
      <w:r>
        <w:t> (par défaut)</w:t>
      </w:r>
      <w:r>
        <w:rPr>
          <w:rStyle w:val="optioncarChar"/>
          <w:b/>
        </w:rPr>
        <w:t xml:space="preserve"> / OPTION 2 (séparément)</w:t>
      </w:r>
    </w:p>
    <w:p w14:paraId="124257C5" w14:textId="77777777" w:rsidR="004B2808"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w:t>
      </w:r>
      <w:r>
        <w:t xml:space="preserve"> (par défaut)</w:t>
      </w:r>
      <w:r>
        <w:rPr>
          <w:rStyle w:val="optioncarChar"/>
        </w:rPr>
        <w:t> / 14 / 19 / ***</w:t>
      </w:r>
      <w:r>
        <w:t xml:space="preserve"> ) et, le cas échéant, selon la classification (nature, sens d'ouverture, emplacement,  prestations particulières, dimensions, forme et aspect).</w:t>
      </w:r>
    </w:p>
    <w:p w14:paraId="162DD9F7" w14:textId="77777777" w:rsidR="004B2808" w:rsidRDefault="00000000">
      <w:r>
        <w:rPr>
          <w:b/>
        </w:rPr>
        <w:lastRenderedPageBreak/>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7</w:t>
      </w:r>
      <w:r>
        <w:t> (par défaut)</w:t>
      </w:r>
      <w:r>
        <w:rPr>
          <w:rStyle w:val="optioncarChar"/>
        </w:rPr>
        <w:t xml:space="preserve"> / 9 / 14 / ***</w:t>
      </w:r>
      <w:r>
        <w:t xml:space="preserve"> ) et, le cas échéant, selon le type ou le modèle (nature, sens d'ouverture, emplacement,  prestations particulières, dimensions, forme et aspect). Toute la quincaillerie, les éléments de remplissage sont compris dans le prix unitaire.</w:t>
      </w:r>
      <w:r>
        <w:rPr>
          <w:rStyle w:val="optioncarChar"/>
        </w:rPr>
        <w:t> </w:t>
      </w:r>
    </w:p>
    <w:p w14:paraId="780F9173" w14:textId="77777777" w:rsidR="004B2808" w:rsidRDefault="00000000">
      <w:r>
        <w:rPr>
          <w:u w:val="single"/>
        </w:rPr>
        <w:t xml:space="preserve">Attention </w:t>
      </w:r>
    </w:p>
    <w:p w14:paraId="084BD5E0" w14:textId="77777777" w:rsidR="004B2808" w:rsidRDefault="00000000">
      <w:pPr>
        <w:pStyle w:val="Author-eListParagraph"/>
        <w:numPr>
          <w:ilvl w:val="0"/>
          <w:numId w:val="922"/>
        </w:numPr>
      </w:pPr>
      <w:r>
        <w:t>Les vantaux de portes de 630 - 730 et 830 mm de largeur peuvent être pris ensemble pour le mesurage.</w:t>
      </w:r>
    </w:p>
    <w:p w14:paraId="6058B7D5" w14:textId="77777777" w:rsidR="004B2808" w:rsidRDefault="00000000">
      <w:pPr>
        <w:pStyle w:val="Author-eListParagraph"/>
        <w:numPr>
          <w:ilvl w:val="0"/>
          <w:numId w:val="922"/>
        </w:numPr>
      </w:pPr>
      <w:r>
        <w:t>Les quincailleries dont la fourniture et la mise en œuvre sont comprises peuvent être décrites dans d'autres postes mais sont toujours comprises dans le prix des portes.</w:t>
      </w:r>
    </w:p>
    <w:p w14:paraId="46914ED4" w14:textId="77777777" w:rsidR="004B2808" w:rsidRDefault="00000000">
      <w:pPr>
        <w:pStyle w:val="pheading"/>
      </w:pPr>
      <w:r>
        <w:t>- nature du marché:</w:t>
      </w:r>
    </w:p>
    <w:p w14:paraId="4F89FCCC" w14:textId="77777777" w:rsidR="004B2808" w:rsidRDefault="00000000">
      <w:r>
        <w:t>QF</w:t>
      </w:r>
    </w:p>
    <w:p w14:paraId="7BB3F985" w14:textId="77777777" w:rsidR="004B2808" w:rsidRDefault="00000000">
      <w:pPr>
        <w:pStyle w:val="Author-eSectionHeading6Numberless"/>
      </w:pPr>
      <w:bookmarkStart w:id="1070" w:name="_Toc220491197"/>
      <w:r>
        <w:t>55.21.6b Portes intérieures en bois lamellé-collé + aluminium CCTB 01.10</w:t>
      </w:r>
      <w:bookmarkEnd w:id="1070"/>
    </w:p>
    <w:p w14:paraId="4278543C" w14:textId="77777777" w:rsidR="004B2808" w:rsidRDefault="00000000">
      <w:pPr>
        <w:pStyle w:val="pheading"/>
      </w:pPr>
      <w:r>
        <w:t>MATÉRIAUX</w:t>
      </w:r>
    </w:p>
    <w:p w14:paraId="1D445173" w14:textId="77777777" w:rsidR="004B2808" w:rsidRDefault="00000000">
      <w:pPr>
        <w:pStyle w:val="pheading"/>
      </w:pPr>
      <w:r>
        <w:t>- Prescriptions complémentaires</w:t>
      </w:r>
    </w:p>
    <w:p w14:paraId="60F55F79" w14:textId="77777777" w:rsidR="004B2808" w:rsidRDefault="00000000">
      <w:pPr>
        <w:pStyle w:val="heading"/>
      </w:pPr>
      <w:r>
        <w:t>(critères de performance)  Vantaux de porte</w:t>
      </w:r>
    </w:p>
    <w:p w14:paraId="405C95B9" w14:textId="77777777" w:rsidR="004B2808" w:rsidRDefault="00000000">
      <w:r>
        <w:t>Conformément aux indications supplémentaires dans le cahier spécial des charges, les dispositions supplémentaires suivantes sont d'application :</w:t>
      </w:r>
    </w:p>
    <w:p w14:paraId="3AE8C235" w14:textId="77777777" w:rsidR="004B2808" w:rsidRDefault="00000000">
      <w:pPr>
        <w:pStyle w:val="Author-eListParagraph"/>
        <w:numPr>
          <w:ilvl w:val="0"/>
          <w:numId w:val="923"/>
        </w:numPr>
      </w:pPr>
      <w:r>
        <w:t>Les dispositions des [STS 53.1] pour les portes intérieures planes dans les salles de bains et les autres locaux humides.</w:t>
      </w:r>
    </w:p>
    <w:p w14:paraId="0E6F4998" w14:textId="77777777" w:rsidR="004B2808" w:rsidRDefault="00000000">
      <w:r>
        <w:br/>
        <w:t>Attention  : Les ensembles de porte résistant au feu sont toujours considérés dans un poste séparé.</w:t>
      </w:r>
    </w:p>
    <w:p w14:paraId="5E66F3A1" w14:textId="77777777" w:rsidR="004B2808" w:rsidRDefault="00000000">
      <w:pPr>
        <w:pStyle w:val="heading"/>
      </w:pPr>
      <w:r>
        <w:t>(Accessoires) Vantaux de porte</w:t>
      </w:r>
    </w:p>
    <w:p w14:paraId="2E9D5629"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64FF213C" w14:textId="77777777" w:rsidR="004B2808" w:rsidRDefault="00000000">
      <w:pPr>
        <w:pStyle w:val="Author-eListParagraph"/>
        <w:numPr>
          <w:ilvl w:val="0"/>
          <w:numId w:val="924"/>
        </w:numPr>
      </w:pPr>
      <w:r>
        <w:t>Equipés d'un vitrage :</w:t>
      </w:r>
    </w:p>
    <w:p w14:paraId="2AAAD96F" w14:textId="77777777" w:rsidR="004B2808" w:rsidRDefault="00000000">
      <w:pPr>
        <w:pStyle w:val="Author-eListParagraph"/>
        <w:numPr>
          <w:ilvl w:val="0"/>
          <w:numId w:val="924"/>
        </w:numPr>
      </w:pPr>
      <w:r>
        <w:t xml:space="preserve">En verre de sécurité </w:t>
      </w:r>
      <w:r>
        <w:rPr>
          <w:rStyle w:val="optioncarChar"/>
        </w:rPr>
        <w:t>simple</w:t>
      </w:r>
      <w:r>
        <w:t> (par défaut)</w:t>
      </w:r>
      <w:r>
        <w:rPr>
          <w:rStyle w:val="optioncarChar"/>
        </w:rPr>
        <w:t xml:space="preserve"> / clair / mat / opale / ***</w:t>
      </w:r>
      <w:r>
        <w:t xml:space="preserve"> , selon la [NBN S 23-002]</w:t>
      </w:r>
    </w:p>
    <w:p w14:paraId="77643A9B" w14:textId="77777777" w:rsidR="004B2808" w:rsidRDefault="00000000">
      <w:pPr>
        <w:pStyle w:val="Author-eListParagraph"/>
        <w:numPr>
          <w:ilvl w:val="0"/>
          <w:numId w:val="924"/>
        </w:numPr>
      </w:pPr>
      <w:r>
        <w:t xml:space="preserve">Réservation dans le vantail de porte : </w:t>
      </w:r>
      <w:r>
        <w:rPr>
          <w:rStyle w:val="optioncarChar"/>
        </w:rPr>
        <w:t>rectangulaire </w:t>
      </w:r>
      <w:r>
        <w:t>(par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5B2950DB" w14:textId="77777777" w:rsidR="004B2808" w:rsidRDefault="00000000">
      <w:pPr>
        <w:pStyle w:val="Author-eListParagraph"/>
        <w:numPr>
          <w:ilvl w:val="0"/>
          <w:numId w:val="924"/>
        </w:numPr>
      </w:pPr>
      <w:r>
        <w:t>Fixation de la vitre dans la réservation à l'aide de :</w:t>
      </w:r>
      <w:r>
        <w:rPr>
          <w:rStyle w:val="optioncarChar"/>
        </w:rPr>
        <w:t> mastic plastique</w:t>
      </w:r>
      <w:r>
        <w:t> (par défaut)</w:t>
      </w:r>
      <w:r>
        <w:rPr>
          <w:rStyle w:val="optioncarChar"/>
        </w:rPr>
        <w:t xml:space="preserve"> / profils de fixation à enclenchement en PVC / ***</w:t>
      </w:r>
    </w:p>
    <w:p w14:paraId="5B0FC7D6" w14:textId="77777777" w:rsidR="004B2808" w:rsidRDefault="00000000">
      <w:pPr>
        <w:pStyle w:val="Author-eListParagraph"/>
        <w:numPr>
          <w:ilvl w:val="0"/>
          <w:numId w:val="924"/>
        </w:numPr>
      </w:pPr>
      <w:r>
        <w:t xml:space="preserve">Les vitres sont encadrées par : </w:t>
      </w:r>
      <w:r>
        <w:rPr>
          <w:rStyle w:val="optioncarChar"/>
        </w:rPr>
        <w:t>des lattes en bois dur, finition prête à peindre </w:t>
      </w:r>
      <w:r>
        <w:t>(par défaut)</w:t>
      </w:r>
      <w:r>
        <w:rPr>
          <w:rStyle w:val="optioncarChar"/>
        </w:rPr>
        <w:t xml:space="preserve"> / ***.</w:t>
      </w:r>
    </w:p>
    <w:p w14:paraId="07723443" w14:textId="77777777" w:rsidR="004B2808" w:rsidRDefault="00000000">
      <w:pPr>
        <w:pStyle w:val="Author-eListParagraph"/>
        <w:numPr>
          <w:ilvl w:val="0"/>
          <w:numId w:val="924"/>
        </w:numPr>
      </w:pPr>
      <w:r>
        <w:t xml:space="preserve">Pourvus d'une grille encastrée, selon l'article </w:t>
      </w:r>
      <w:hyperlink w:anchor="1322" w:history="1">
        <w:r w:rsidR="004B2808">
          <w:rPr>
            <w:color w:val="0000EE"/>
          </w:rPr>
          <w:t>55.68.1 Grilles de transfert dans les portes</w:t>
        </w:r>
      </w:hyperlink>
      <w:r>
        <w:t xml:space="preserve"> grilles de transfert dans les portes, ouverture d'aération conformément à la [NBN D 50-001]</w:t>
      </w:r>
    </w:p>
    <w:p w14:paraId="434BA7CF" w14:textId="77777777" w:rsidR="004B2808" w:rsidRDefault="00000000">
      <w:pPr>
        <w:pStyle w:val="Author-eListParagraph"/>
        <w:numPr>
          <w:ilvl w:val="0"/>
          <w:numId w:val="924"/>
        </w:numPr>
      </w:pPr>
      <w:r>
        <w:t>Pourvus d'une fente de ventilation d'environ </w:t>
      </w:r>
      <w:r>
        <w:rPr>
          <w:rStyle w:val="optioncarChar"/>
        </w:rPr>
        <w:t>1 </w:t>
      </w:r>
      <w:r>
        <w:t>(par défaut) / *** cm dans le bas, de façon telle que l'ouverture d'aération soit conformé à la [NBN D 50-001]</w:t>
      </w:r>
    </w:p>
    <w:p w14:paraId="48719640" w14:textId="77777777" w:rsidR="004B2808" w:rsidRDefault="00000000">
      <w:pPr>
        <w:pStyle w:val="Author-eListParagraph"/>
        <w:numPr>
          <w:ilvl w:val="0"/>
          <w:numId w:val="924"/>
        </w:numPr>
      </w:pPr>
      <w:r>
        <w:t>Conçues comme portes coulissantes (les vantaux de porte et les huisseries sont conformes aux portes ouvrantes ordinaires. Seuls le mode de suspension et la quincaillerie concernée sont adaptés au concept des vantaux de porte coulissants).</w:t>
      </w:r>
    </w:p>
    <w:p w14:paraId="489DFE39" w14:textId="77777777" w:rsidR="004B2808" w:rsidRDefault="00000000">
      <w:pPr>
        <w:pStyle w:val="Author-eListParagraph"/>
        <w:numPr>
          <w:ilvl w:val="0"/>
          <w:numId w:val="924"/>
        </w:numPr>
      </w:pPr>
      <w:r>
        <w:lastRenderedPageBreak/>
        <w:t xml:space="preserve">Portes coulissantes </w:t>
      </w:r>
      <w:r>
        <w:rPr>
          <w:rStyle w:val="optioncarChar"/>
        </w:rPr>
        <w:t>simples </w:t>
      </w:r>
      <w:r>
        <w:t>(par défaut)</w:t>
      </w:r>
      <w:r>
        <w:rPr>
          <w:rStyle w:val="optioncarChar"/>
        </w:rPr>
        <w:t> / doubles / ***</w:t>
      </w:r>
    </w:p>
    <w:p w14:paraId="702EBCE7" w14:textId="77777777" w:rsidR="004B2808" w:rsidRDefault="00000000">
      <w:pPr>
        <w:pStyle w:val="Author-eListParagraph"/>
        <w:numPr>
          <w:ilvl w:val="0"/>
          <w:numId w:val="924"/>
        </w:numPr>
      </w:pPr>
      <w:r>
        <w:t>Composées de</w:t>
      </w:r>
      <w:r>
        <w:rPr>
          <w:rStyle w:val="optioncarChar"/>
        </w:rPr>
        <w:t> un panneau </w:t>
      </w:r>
      <w:r>
        <w:t>(par défaut)</w:t>
      </w:r>
      <w:r>
        <w:rPr>
          <w:rStyle w:val="optioncarChar"/>
        </w:rPr>
        <w:t xml:space="preserve"> / deux panneaux / ***</w:t>
      </w:r>
    </w:p>
    <w:p w14:paraId="4C11CED9" w14:textId="77777777" w:rsidR="004B2808" w:rsidRDefault="00000000">
      <w:pPr>
        <w:pStyle w:val="Author-eListParagraph"/>
        <w:numPr>
          <w:ilvl w:val="0"/>
          <w:numId w:val="924"/>
        </w:numPr>
      </w:pPr>
      <w:r>
        <w:t>Mécanisme de coulisse : rails en acier galvanisé; galets en nylon de première qualité; type et modèle en fonction du type et du poids des vantaux coulissants.</w:t>
      </w:r>
    </w:p>
    <w:p w14:paraId="62392815" w14:textId="77777777" w:rsidR="004B2808" w:rsidRDefault="00000000">
      <w:pPr>
        <w:pStyle w:val="Author-eListParagraph"/>
        <w:numPr>
          <w:ilvl w:val="0"/>
          <w:numId w:val="924"/>
        </w:numPr>
      </w:pPr>
      <w:r>
        <w:t xml:space="preserve">Conçues comme </w:t>
      </w:r>
      <w:r>
        <w:rPr>
          <w:rStyle w:val="optioncarChar"/>
        </w:rPr>
        <w:t>portes battantes </w:t>
      </w:r>
      <w:r>
        <w:t>(par défaut)</w:t>
      </w:r>
      <w:r>
        <w:rPr>
          <w:rStyle w:val="optioncarChar"/>
        </w:rPr>
        <w:t xml:space="preserve"> / pivotantes / *** </w:t>
      </w:r>
      <w:r>
        <w:t xml:space="preserve">(les vantaux de porte et les huisseries sont conformes aux portes ouvrantes ordinaires. Seuls le mode de suspension et la quincaillerie concernée sont adaptés au concept des vantaux de porte </w:t>
      </w:r>
      <w:r>
        <w:rPr>
          <w:rStyle w:val="optioncarChar"/>
        </w:rPr>
        <w:t>battante</w:t>
      </w:r>
      <w:r>
        <w:t> (par défaut) </w:t>
      </w:r>
      <w:r>
        <w:rPr>
          <w:rStyle w:val="optioncarChar"/>
        </w:rPr>
        <w:t>/ pivotante</w:t>
      </w:r>
      <w:r>
        <w:t>)</w:t>
      </w:r>
    </w:p>
    <w:p w14:paraId="45C391E2" w14:textId="77777777" w:rsidR="004B2808" w:rsidRDefault="00000000">
      <w:pPr>
        <w:pStyle w:val="Author-eListParagraph"/>
        <w:numPr>
          <w:ilvl w:val="0"/>
          <w:numId w:val="924"/>
        </w:numPr>
      </w:pPr>
      <w:r>
        <w:t xml:space="preserve">Composées de </w:t>
      </w:r>
      <w:r>
        <w:rPr>
          <w:rStyle w:val="optioncarChar"/>
        </w:rPr>
        <w:t>un panneau</w:t>
      </w:r>
      <w:r>
        <w:t xml:space="preserve"> (par défaut)</w:t>
      </w:r>
      <w:r>
        <w:rPr>
          <w:rStyle w:val="optioncarChar"/>
        </w:rPr>
        <w:t> / deux panneaux / *** </w:t>
      </w:r>
    </w:p>
    <w:p w14:paraId="7AC06649" w14:textId="77777777" w:rsidR="004B2808" w:rsidRDefault="00000000">
      <w:pPr>
        <w:pStyle w:val="heading"/>
      </w:pPr>
      <w:r>
        <w:t>Ensembles de porte / résistant au feu</w:t>
      </w:r>
    </w:p>
    <w:p w14:paraId="422100E5"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072C2D22" w14:textId="77777777" w:rsidR="004B2808" w:rsidRDefault="00000000">
      <w:pPr>
        <w:pStyle w:val="Author-eListParagraph"/>
        <w:numPr>
          <w:ilvl w:val="0"/>
          <w:numId w:val="925"/>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44CC1FF5" w14:textId="77777777" w:rsidR="004B2808" w:rsidRDefault="00000000">
      <w:pPr>
        <w:pStyle w:val="Author-eListParagraph"/>
        <w:numPr>
          <w:ilvl w:val="0"/>
          <w:numId w:val="925"/>
        </w:numPr>
      </w:pPr>
      <w:r>
        <w:t xml:space="preserve">Equipés d'un vitrage résistant au feu en verre de sécurité conforme au rapport d'essai. Une réservation est faite dans le vantail de porte : </w:t>
      </w:r>
      <w:r>
        <w:rPr>
          <w:rStyle w:val="optioncarChar"/>
        </w:rPr>
        <w:t>rectangulaire </w:t>
      </w:r>
      <w:r>
        <w:t xml:space="preserve">(par défaut) </w:t>
      </w:r>
      <w:r>
        <w:rPr>
          <w:rStyle w:val="optioncarChar"/>
        </w:rPr>
        <w:t>/ ronde / ***</w:t>
      </w:r>
      <w:r>
        <w:t xml:space="preserve">,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w:t>
      </w:r>
      <w:r>
        <w:t> comme les chanlattes. Le vitrage est toujours délimité sur toute sa périphérie par des sections en bois plein d'une largeur minimale de 140 mm pour les côtés et au-dessus et de 220 mm dans le bas.</w:t>
      </w:r>
    </w:p>
    <w:p w14:paraId="65F2D317" w14:textId="77777777" w:rsidR="004B2808"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2F99186F" w14:textId="77777777" w:rsidR="004B2808" w:rsidRDefault="00000000">
      <w:pPr>
        <w:pStyle w:val="Author-eListParagraph"/>
        <w:numPr>
          <w:ilvl w:val="0"/>
          <w:numId w:val="926"/>
        </w:numPr>
      </w:pPr>
      <w:r>
        <w:t xml:space="preserve">Pourvus d'une imposte </w:t>
      </w:r>
      <w:r>
        <w:rPr>
          <w:rStyle w:val="optioncarChar"/>
        </w:rPr>
        <w:t>avec </w:t>
      </w:r>
      <w:r>
        <w:t>(par défaut)</w:t>
      </w:r>
      <w:r>
        <w:rPr>
          <w:rStyle w:val="optioncarChar"/>
        </w:rPr>
        <w:t xml:space="preserve"> / sans / *** </w:t>
      </w:r>
      <w:r>
        <w:t>traverse intermédiaire.</w:t>
      </w:r>
    </w:p>
    <w:p w14:paraId="1F4B3690" w14:textId="77777777" w:rsidR="004B2808" w:rsidRDefault="00000000">
      <w:pPr>
        <w:pStyle w:val="Author-eListParagraph"/>
        <w:numPr>
          <w:ilvl w:val="0"/>
          <w:numId w:val="926"/>
        </w:numPr>
      </w:pPr>
      <w:r>
        <w:t>Pourvus d'une bande brise-bise et butoir continue.</w:t>
      </w:r>
    </w:p>
    <w:p w14:paraId="2378FCCB" w14:textId="77777777" w:rsidR="004B2808" w:rsidRDefault="00000000">
      <w:pPr>
        <w:pStyle w:val="Author-eListParagraph"/>
        <w:numPr>
          <w:ilvl w:val="0"/>
          <w:numId w:val="926"/>
        </w:numPr>
      </w:pPr>
      <w:r>
        <w:t>Pourvus d'un cadre approprié pour la fixation d'un ferme-porte, prévu à l'art. </w:t>
      </w:r>
      <w:hyperlink w:anchor="1325" w:history="1">
        <w:r w:rsidR="004B2808">
          <w:rPr>
            <w:color w:val="0000EE"/>
          </w:rPr>
          <w:t>55.62.5 Système de fermeture</w:t>
        </w:r>
      </w:hyperlink>
    </w:p>
    <w:p w14:paraId="7386C059" w14:textId="77777777" w:rsidR="004B2808" w:rsidRDefault="00000000">
      <w:pPr>
        <w:pStyle w:val="Author-eListParagraph"/>
        <w:numPr>
          <w:ilvl w:val="0"/>
          <w:numId w:val="926"/>
        </w:numPr>
      </w:pPr>
      <w:r>
        <w:t xml:space="preserve">Conçus comme portes </w:t>
      </w:r>
      <w:r>
        <w:rPr>
          <w:rStyle w:val="optioncarChar"/>
        </w:rPr>
        <w:t>va-et-vient (par défaut) / pivotantes / *** </w:t>
      </w:r>
      <w:r>
        <w:t xml:space="preserve">. Elles se composent de </w:t>
      </w:r>
      <w:r>
        <w:rPr>
          <w:rStyle w:val="optioncarChar"/>
        </w:rPr>
        <w:t>un panneau</w:t>
      </w:r>
      <w:r>
        <w:t xml:space="preserve"> (par défaut) </w:t>
      </w:r>
      <w:r>
        <w:rPr>
          <w:rStyle w:val="optioncarChar"/>
        </w:rPr>
        <w:t>/ deux panneaux / ***</w:t>
      </w:r>
      <w:r>
        <w:t xml:space="preserve"> , les vantaux des portes et les huisseries sont semblables aux portes ouvrantes ordinaires, seuls le mode de suspension et les quincailleries correspondantes sont adaptés au concept des portes battantes.</w:t>
      </w:r>
    </w:p>
    <w:p w14:paraId="138E16E9" w14:textId="77777777" w:rsidR="004B2808" w:rsidRDefault="00000000">
      <w:pPr>
        <w:pStyle w:val="Author-eListParagraph"/>
        <w:numPr>
          <w:ilvl w:val="0"/>
          <w:numId w:val="926"/>
        </w:numPr>
      </w:pPr>
      <w:r>
        <w:t>L'ensemble porte résistant au feu est conforme à la [NIT 234].</w:t>
      </w:r>
    </w:p>
    <w:p w14:paraId="4D11B6CB" w14:textId="77777777" w:rsidR="004B2808" w:rsidRDefault="00000000">
      <w:pPr>
        <w:pStyle w:val="heading"/>
      </w:pPr>
      <w:r>
        <w:t>Options (biffer la mention inutile) huisseries de portes - bois</w:t>
      </w:r>
    </w:p>
    <w:p w14:paraId="3B9E74E5" w14:textId="77777777" w:rsidR="004B2808" w:rsidRDefault="00000000">
      <w:pPr>
        <w:pStyle w:val="Author-eListParagraph"/>
        <w:numPr>
          <w:ilvl w:val="0"/>
          <w:numId w:val="927"/>
        </w:numPr>
      </w:pPr>
      <w:r>
        <w:t>Les portes sont conçues comme un châssis à pose affleurante jusqu'au plafond (avec</w:t>
      </w:r>
      <w:r>
        <w:rPr>
          <w:rStyle w:val="optioncarChar"/>
        </w:rPr>
        <w:t> vantaux vitrés </w:t>
      </w:r>
      <w:r>
        <w:t>(par défaut)</w:t>
      </w:r>
      <w:r>
        <w:rPr>
          <w:rStyle w:val="optioncarChar"/>
        </w:rPr>
        <w:t xml:space="preserve"> / imposte / ***</w:t>
      </w:r>
      <w:r>
        <w:t>). La feuillure des portes est embrevée sur une profondeur de </w:t>
      </w:r>
      <w:r>
        <w:rPr>
          <w:rStyle w:val="optioncarChar"/>
        </w:rPr>
        <w:t>10</w:t>
      </w:r>
      <w:r>
        <w:t xml:space="preserve"> (par défaut)</w:t>
      </w:r>
      <w:r>
        <w:rPr>
          <w:rStyle w:val="optioncarChar"/>
        </w:rPr>
        <w:t xml:space="preserve"> / *** </w:t>
      </w:r>
      <w:r>
        <w:t>mm dans le chambranle. Les ébrasements latéraux vont jusqu'au plafond, la traverse supérieure horizontale est :</w:t>
      </w:r>
      <w:r>
        <w:rPr>
          <w:rStyle w:val="optioncarChar"/>
        </w:rPr>
        <w:t> posée aussi près que possible du plafond </w:t>
      </w:r>
      <w:r>
        <w:t>(par défaut)</w:t>
      </w:r>
      <w:r>
        <w:rPr>
          <w:rStyle w:val="optioncarChar"/>
        </w:rPr>
        <w:t xml:space="preserve"> / absente / ***</w:t>
      </w:r>
    </w:p>
    <w:p w14:paraId="48F7454A" w14:textId="77777777" w:rsidR="004B2808" w:rsidRDefault="00000000">
      <w:pPr>
        <w:pStyle w:val="Author-eListParagraph"/>
        <w:numPr>
          <w:ilvl w:val="0"/>
          <w:numId w:val="927"/>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512A0864" w14:textId="77777777" w:rsidR="004B2808" w:rsidRDefault="00000000">
      <w:pPr>
        <w:pStyle w:val="Author-eListParagraph"/>
        <w:numPr>
          <w:ilvl w:val="0"/>
          <w:numId w:val="927"/>
        </w:numPr>
      </w:pPr>
      <w:r>
        <w:t xml:space="preserve">Les impostes sont fabriquées dans un morceau de vantail de porte, conformément à la description de l'article </w:t>
      </w:r>
      <w:hyperlink w:anchor="1315" w:history="1">
        <w:r w:rsidR="004B2808">
          <w:rPr>
            <w:color w:val="0000EE"/>
          </w:rP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w:t>
      </w:r>
      <w:r>
        <w:lastRenderedPageBreak/>
        <w:t>prix unitaire doit comprendre aussi bien le panneau de l'imposte que la batée dans la feuille de porte.</w:t>
      </w:r>
    </w:p>
    <w:p w14:paraId="5490BC5E" w14:textId="77777777" w:rsidR="004B2808" w:rsidRDefault="00000000">
      <w:pPr>
        <w:pStyle w:val="Author-eListParagraph"/>
        <w:numPr>
          <w:ilvl w:val="0"/>
          <w:numId w:val="927"/>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4F974C65" w14:textId="77777777" w:rsidR="004B2808" w:rsidRDefault="00000000">
      <w:pPr>
        <w:pStyle w:val="heading"/>
      </w:pPr>
      <w:r>
        <w:t>Options (biffer la mention inutile) ensembles de porte / résistant au feu - porte pleine / huisserie en acier</w:t>
      </w:r>
    </w:p>
    <w:p w14:paraId="7A5AAE42" w14:textId="77777777" w:rsidR="004B2808" w:rsidRDefault="00000000">
      <w:r>
        <w:t xml:space="preserve">Conformément aux indications sur le plan ou les dessins de détail, les vantaux de porte suivants </w:t>
      </w:r>
      <w:r>
        <w:rPr>
          <w:rStyle w:val="optioncarChar"/>
        </w:rPr>
        <w:t xml:space="preserve">*** </w:t>
      </w:r>
      <w:r>
        <w:t>sont :</w:t>
      </w:r>
    </w:p>
    <w:p w14:paraId="03DC0594" w14:textId="77777777" w:rsidR="004B2808" w:rsidRDefault="00000000">
      <w:pPr>
        <w:pStyle w:val="Author-eListParagraph"/>
        <w:numPr>
          <w:ilvl w:val="0"/>
          <w:numId w:val="928"/>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2ACEABF3" w14:textId="77777777" w:rsidR="004B2808" w:rsidRDefault="00000000">
      <w:pPr>
        <w:pStyle w:val="Author-eListParagraph"/>
        <w:numPr>
          <w:ilvl w:val="0"/>
          <w:numId w:val="928"/>
        </w:numPr>
      </w:pPr>
      <w:r>
        <w:t xml:space="preserve">Equipés d'un vitrage résistant au feu en verre de sécurité conforme au rapport d'essai. Une réservation est faite dans le vantail de porte : </w:t>
      </w:r>
      <w:r>
        <w:rPr>
          <w:rStyle w:val="optioncarChar"/>
        </w:rPr>
        <w:t>rectangulaire</w:t>
      </w:r>
      <w:r>
        <w:t> (par défaut)</w:t>
      </w:r>
      <w:r>
        <w:rPr>
          <w:rStyle w:val="optioncarChar"/>
        </w:rPr>
        <w:t xml:space="preserve"> / ronde / ***</w:t>
      </w:r>
      <w:r>
        <w:t xml:space="preserve"> ,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55A7510F" w14:textId="77777777" w:rsidR="004B2808"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0EDD86BE" w14:textId="77777777" w:rsidR="004B2808" w:rsidRDefault="00000000">
      <w:pPr>
        <w:pStyle w:val="Author-eListParagraph"/>
        <w:numPr>
          <w:ilvl w:val="0"/>
          <w:numId w:val="929"/>
        </w:numPr>
      </w:pPr>
      <w:r>
        <w:t xml:space="preserve">Pourvus d'une imposte </w:t>
      </w:r>
      <w:r>
        <w:rPr>
          <w:rStyle w:val="optioncarChar"/>
        </w:rPr>
        <w:t>avec</w:t>
      </w:r>
      <w:r>
        <w:t> (par défaut)</w:t>
      </w:r>
      <w:r>
        <w:rPr>
          <w:rStyle w:val="optioncarChar"/>
        </w:rPr>
        <w:t xml:space="preserve"> / sans / *** </w:t>
      </w:r>
      <w:r>
        <w:t>traverse intermédiaire.</w:t>
      </w:r>
    </w:p>
    <w:p w14:paraId="6386D5C7" w14:textId="77777777" w:rsidR="004B2808" w:rsidRDefault="00000000">
      <w:pPr>
        <w:pStyle w:val="Author-eListParagraph"/>
        <w:numPr>
          <w:ilvl w:val="0"/>
          <w:numId w:val="929"/>
        </w:numPr>
      </w:pPr>
      <w:r>
        <w:t>Pourvus d'une bande brise-bise et butoir continue.</w:t>
      </w:r>
    </w:p>
    <w:p w14:paraId="46C41A52" w14:textId="77777777" w:rsidR="004B2808" w:rsidRDefault="00000000">
      <w:pPr>
        <w:pStyle w:val="Author-eListParagraph"/>
        <w:numPr>
          <w:ilvl w:val="0"/>
          <w:numId w:val="929"/>
        </w:numPr>
      </w:pPr>
      <w:r>
        <w:t>Pourvus d'un cadre approprié pour la fixation d'un ferme-porte, prévu à l'art. </w:t>
      </w:r>
      <w:hyperlink w:anchor="1325" w:history="1">
        <w:r w:rsidR="004B2808">
          <w:rPr>
            <w:color w:val="0000EE"/>
          </w:rPr>
          <w:t>55.62.5 Système de fermeture</w:t>
        </w:r>
      </w:hyperlink>
    </w:p>
    <w:p w14:paraId="6C328C42" w14:textId="77777777" w:rsidR="004B2808" w:rsidRDefault="00000000">
      <w:pPr>
        <w:pStyle w:val="Author-eListParagraph"/>
        <w:numPr>
          <w:ilvl w:val="0"/>
          <w:numId w:val="929"/>
        </w:numPr>
      </w:pPr>
      <w:r>
        <w:t xml:space="preserve">Conçus comme portes </w:t>
      </w:r>
      <w:r>
        <w:rPr>
          <w:rStyle w:val="optioncarChar"/>
        </w:rPr>
        <w:t>va-et-vient</w:t>
      </w:r>
      <w:r>
        <w:t> (par défaut)</w:t>
      </w:r>
      <w:r>
        <w:rPr>
          <w:rStyle w:val="optioncarChar"/>
        </w:rPr>
        <w:t xml:space="preserve"> / pivotantes / ***</w:t>
      </w:r>
      <w:r>
        <w:t xml:space="preserve"> . Elles se composent de </w:t>
      </w:r>
      <w:r>
        <w:rPr>
          <w:rStyle w:val="optioncarChar"/>
        </w:rPr>
        <w:t>un panneau</w:t>
      </w:r>
      <w:r>
        <w:t xml:space="preserve"> (par défaut) </w:t>
      </w:r>
      <w:r>
        <w:rPr>
          <w:rStyle w:val="optioncarChar"/>
        </w:rPr>
        <w:t>/ deux panneaux / *** </w:t>
      </w:r>
      <w:r>
        <w:t>, les vantaux des portes et les huisseries sont semblables aux portes ouvrantes ordinaires, seuls le mode de suspension et les quincailleries correspondantes sont adaptés au concept des portes battantes.</w:t>
      </w:r>
    </w:p>
    <w:p w14:paraId="6A3BC353" w14:textId="77777777" w:rsidR="004B2808" w:rsidRDefault="00000000">
      <w:pPr>
        <w:pStyle w:val="pheading"/>
      </w:pPr>
      <w:r>
        <w:t>MESURAGE</w:t>
      </w:r>
    </w:p>
    <w:p w14:paraId="11C13107" w14:textId="77777777" w:rsidR="004B2808" w:rsidRDefault="00000000">
      <w:r>
        <w:t>Conformément aux indications spécifiques dans le cahier spécial des charges et/ou le métré récapitulatif, le mesurage peut être conçu comme suit, en fonction de la nature des portes intérieures :</w:t>
      </w:r>
    </w:p>
    <w:p w14:paraId="3B82A645" w14:textId="77777777" w:rsidR="004B2808" w:rsidRDefault="00000000">
      <w:pPr>
        <w:pStyle w:val="pheading"/>
      </w:pPr>
      <w:r>
        <w:t>- unité de mesure:</w:t>
      </w:r>
    </w:p>
    <w:p w14:paraId="1E317EE8" w14:textId="77777777" w:rsidR="004B2808" w:rsidRDefault="00000000">
      <w:r>
        <w:t>p</w:t>
      </w:r>
    </w:p>
    <w:p w14:paraId="6BDE5BF3" w14:textId="77777777" w:rsidR="004B2808" w:rsidRDefault="00000000">
      <w:pPr>
        <w:pStyle w:val="pheading"/>
      </w:pPr>
      <w:r>
        <w:t>- code de mesurage:</w:t>
      </w:r>
    </w:p>
    <w:p w14:paraId="4C7A7908" w14:textId="77777777" w:rsidR="004B2808" w:rsidRDefault="00000000">
      <w:r>
        <w:t>Choix opéré:</w:t>
      </w:r>
      <w:r>
        <w:rPr>
          <w:rStyle w:val="optioncarChar"/>
          <w:b/>
        </w:rPr>
        <w:t>*** / OPTION 1 (un ensemble) </w:t>
      </w:r>
      <w:r>
        <w:t>(par défaut)</w:t>
      </w:r>
      <w:r>
        <w:rPr>
          <w:rStyle w:val="optioncarChar"/>
          <w:b/>
        </w:rPr>
        <w:t xml:space="preserve"> / OPTION 2 (séparément)</w:t>
      </w:r>
    </w:p>
    <w:p w14:paraId="1181F636" w14:textId="77777777" w:rsidR="004B2808"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14:paraId="41CF21FA" w14:textId="77777777" w:rsidR="004B2808" w:rsidRDefault="00000000">
      <w:r>
        <w:rPr>
          <w:b/>
        </w:rPr>
        <w:t>***OPTION 2</w:t>
      </w:r>
      <w:r>
        <w:t xml:space="preserve"> : les encadrements et les feuilles de portes sont considérés séparément</w:t>
      </w:r>
      <w:r>
        <w:br/>
      </w:r>
      <w:r>
        <w:rPr>
          <w:u w:val="single"/>
        </w:rPr>
        <w:t>encadrements</w:t>
      </w:r>
      <w:r>
        <w:t xml:space="preserve"> :</w:t>
      </w:r>
      <w:r>
        <w:br/>
      </w:r>
      <w:r>
        <w:lastRenderedPageBreak/>
        <w:t>éventuellement ventilés selon le type ou modèle, ventilé selon les dimensions de la porte et l'épaisseur de la paroi intérieure (</w:t>
      </w:r>
      <w:r>
        <w:rPr>
          <w:rStyle w:val="optioncarChar"/>
        </w:rPr>
        <w:t>7</w:t>
      </w:r>
      <w:r>
        <w:t xml:space="preserve"> (par défaut) </w:t>
      </w:r>
      <w:r>
        <w:rPr>
          <w:rStyle w:val="optioncarChar"/>
        </w:rPr>
        <w:t>/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le cas échéant, ventilé selon le type ou le modèle, ventilé selon les dimensions des portes (indépendamment de la hauteur) et l'épaisseur des cloisons intérieures (</w:t>
      </w:r>
      <w:r>
        <w:rPr>
          <w:rStyle w:val="optioncarChar"/>
        </w:rPr>
        <w:t>7</w:t>
      </w:r>
      <w:r>
        <w:t xml:space="preserve"> (par défaut)</w:t>
      </w:r>
      <w:r>
        <w:rPr>
          <w:rStyle w:val="optioncarChar"/>
        </w:rPr>
        <w:t>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42573BAD" w14:textId="77777777" w:rsidR="004B2808" w:rsidRDefault="00000000">
      <w:r>
        <w:rPr>
          <w:u w:val="single"/>
        </w:rPr>
        <w:t xml:space="preserve">Attention </w:t>
      </w:r>
    </w:p>
    <w:p w14:paraId="27993D1B" w14:textId="77777777" w:rsidR="004B2808" w:rsidRDefault="00000000">
      <w:pPr>
        <w:pStyle w:val="Author-eListParagraph"/>
        <w:numPr>
          <w:ilvl w:val="0"/>
          <w:numId w:val="930"/>
        </w:numPr>
      </w:pPr>
      <w:r>
        <w:t>Les vantaux de portes de 630 - 730 et 830 mm de largeur peuvent être pris ensemble pour le mesurage.</w:t>
      </w:r>
    </w:p>
    <w:p w14:paraId="3CCA05CE" w14:textId="77777777" w:rsidR="004B2808" w:rsidRDefault="00000000">
      <w:pPr>
        <w:pStyle w:val="Author-eListParagraph"/>
        <w:numPr>
          <w:ilvl w:val="0"/>
          <w:numId w:val="930"/>
        </w:numPr>
      </w:pPr>
      <w:r>
        <w:t>Les quincailleries dont la fourniture et la mise en œuvre sont comprises peuvent être décrites dans d'autres postes mais sont toujours comprises dans le prix des portes.</w:t>
      </w:r>
    </w:p>
    <w:p w14:paraId="2D4D973D" w14:textId="77777777" w:rsidR="004B2808" w:rsidRDefault="00000000">
      <w:pPr>
        <w:pStyle w:val="pheading"/>
      </w:pPr>
      <w:r>
        <w:t>- nature du marché:</w:t>
      </w:r>
    </w:p>
    <w:p w14:paraId="14AFCC1D" w14:textId="77777777" w:rsidR="004B2808" w:rsidRDefault="00000000">
      <w:r>
        <w:t>QF</w:t>
      </w:r>
    </w:p>
    <w:p w14:paraId="37363CEB" w14:textId="77777777" w:rsidR="004B2808" w:rsidRDefault="00000000">
      <w:pPr>
        <w:pStyle w:val="Author-eSectionHeading5Numberless"/>
      </w:pPr>
      <w:bookmarkStart w:id="1071" w:name="_Toc220491198"/>
      <w:r>
        <w:t>55.21.7 Portes intérieures, massif / lamellé-collé, en bois à composition mixte - profilé de finition CCTB 01.02</w:t>
      </w:r>
      <w:bookmarkEnd w:id="1071"/>
    </w:p>
    <w:p w14:paraId="36CBC8AE" w14:textId="77777777" w:rsidR="004B2808" w:rsidRDefault="00000000">
      <w:pPr>
        <w:pStyle w:val="Author-eSectionHeading6Numberless"/>
      </w:pPr>
      <w:bookmarkStart w:id="1072" w:name="_Toc220491199"/>
      <w:r>
        <w:t>55.21.7a Portes intérieures en bois massif + finition aluminium CCTB 01.10</w:t>
      </w:r>
      <w:bookmarkEnd w:id="1072"/>
    </w:p>
    <w:p w14:paraId="42DE95B9" w14:textId="77777777" w:rsidR="004B2808" w:rsidRDefault="00000000">
      <w:pPr>
        <w:pStyle w:val="pheading"/>
      </w:pPr>
      <w:r>
        <w:t>MATÉRIAUX</w:t>
      </w:r>
    </w:p>
    <w:p w14:paraId="7022C43A" w14:textId="77777777" w:rsidR="004B2808" w:rsidRDefault="00000000">
      <w:pPr>
        <w:pStyle w:val="pheading"/>
      </w:pPr>
      <w:r>
        <w:t>- Prescriptions complémentaires</w:t>
      </w:r>
    </w:p>
    <w:p w14:paraId="00CEE61A" w14:textId="77777777" w:rsidR="004B2808" w:rsidRDefault="00000000">
      <w:pPr>
        <w:pStyle w:val="heading"/>
      </w:pPr>
      <w:r>
        <w:t>(critères de performance)  Vantaux de porte</w:t>
      </w:r>
    </w:p>
    <w:p w14:paraId="1C5E1ED5" w14:textId="77777777" w:rsidR="004B2808" w:rsidRDefault="00000000">
      <w:r>
        <w:t>Conformément aux indications supplémentaires dans le cahier spécial des charges, les dispositions supplémentaires suivantes sont d'application :</w:t>
      </w:r>
    </w:p>
    <w:p w14:paraId="61D18B5F" w14:textId="77777777" w:rsidR="004B2808" w:rsidRDefault="00000000">
      <w:pPr>
        <w:pStyle w:val="Author-eListParagraph"/>
        <w:numPr>
          <w:ilvl w:val="0"/>
          <w:numId w:val="931"/>
        </w:numPr>
      </w:pPr>
      <w:r>
        <w:t>Les dispositions des [STS 53.1] pour les portes intérieures planes dans les salles de bains et les autres locaux humides.</w:t>
      </w:r>
    </w:p>
    <w:p w14:paraId="3EDCB77B" w14:textId="77777777" w:rsidR="004B2808" w:rsidRDefault="00000000">
      <w:r>
        <w:br/>
        <w:t>Attention  : Les ensembles de porte résistant au feu sont toujours considérés dans un poste séparé.</w:t>
      </w:r>
    </w:p>
    <w:p w14:paraId="3477C47F" w14:textId="77777777" w:rsidR="004B2808" w:rsidRDefault="00000000">
      <w:pPr>
        <w:pStyle w:val="heading"/>
      </w:pPr>
      <w:r>
        <w:t>(Accessoires) Vantaux de porte</w:t>
      </w:r>
    </w:p>
    <w:p w14:paraId="71BA1BAB"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0BC45FAB" w14:textId="77777777" w:rsidR="004B2808" w:rsidRDefault="00000000">
      <w:pPr>
        <w:pStyle w:val="Author-eListParagraph"/>
        <w:numPr>
          <w:ilvl w:val="0"/>
          <w:numId w:val="932"/>
        </w:numPr>
      </w:pPr>
      <w:r>
        <w:t>Equipés d'un vitrage :</w:t>
      </w:r>
    </w:p>
    <w:p w14:paraId="0796D002" w14:textId="77777777" w:rsidR="004B2808" w:rsidRDefault="00000000">
      <w:pPr>
        <w:pStyle w:val="Author-eListParagraph"/>
        <w:numPr>
          <w:ilvl w:val="0"/>
          <w:numId w:val="932"/>
        </w:numPr>
      </w:pPr>
      <w:r>
        <w:t xml:space="preserve">En verre de sécurité </w:t>
      </w:r>
      <w:r>
        <w:rPr>
          <w:rStyle w:val="optioncarChar"/>
        </w:rPr>
        <w:t>simple</w:t>
      </w:r>
      <w:r>
        <w:t xml:space="preserve"> (par défaut)</w:t>
      </w:r>
      <w:r>
        <w:rPr>
          <w:rStyle w:val="optioncarChar"/>
        </w:rPr>
        <w:t> / clair / mat / opale / ***</w:t>
      </w:r>
      <w:r>
        <w:t xml:space="preserve"> , selon la [NBN S 23-002]</w:t>
      </w:r>
    </w:p>
    <w:p w14:paraId="3FB688A3" w14:textId="77777777" w:rsidR="004B2808" w:rsidRDefault="00000000">
      <w:pPr>
        <w:pStyle w:val="Author-eListParagraph"/>
        <w:numPr>
          <w:ilvl w:val="0"/>
          <w:numId w:val="932"/>
        </w:numPr>
      </w:pPr>
      <w:r>
        <w:t xml:space="preserve">Réservation dans le vantail de porte : </w:t>
      </w:r>
      <w:r>
        <w:rPr>
          <w:rStyle w:val="optioncarChar"/>
        </w:rPr>
        <w:t>rectangulaire</w:t>
      </w:r>
      <w:r>
        <w:t> (par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58A499A0" w14:textId="77777777" w:rsidR="004B2808" w:rsidRDefault="00000000">
      <w:pPr>
        <w:pStyle w:val="Author-eListParagraph"/>
        <w:numPr>
          <w:ilvl w:val="0"/>
          <w:numId w:val="932"/>
        </w:numPr>
      </w:pPr>
      <w:r>
        <w:t xml:space="preserve">Fixation de la vitre dans la réservation à l'aide de : </w:t>
      </w:r>
      <w:r>
        <w:rPr>
          <w:rStyle w:val="optioncarChar"/>
        </w:rPr>
        <w:t>mastic plastique</w:t>
      </w:r>
      <w:r>
        <w:t> (par défaut) </w:t>
      </w:r>
      <w:r>
        <w:rPr>
          <w:rStyle w:val="optioncarChar"/>
        </w:rPr>
        <w:t>/ profils de fixation à enclenchement en PVC / ***</w:t>
      </w:r>
    </w:p>
    <w:p w14:paraId="3DA662BF" w14:textId="77777777" w:rsidR="004B2808" w:rsidRDefault="00000000">
      <w:pPr>
        <w:pStyle w:val="Author-eListParagraph"/>
        <w:numPr>
          <w:ilvl w:val="0"/>
          <w:numId w:val="932"/>
        </w:numPr>
      </w:pPr>
      <w:r>
        <w:t xml:space="preserve">Les vitres sont encadrées par : </w:t>
      </w:r>
      <w:r>
        <w:rPr>
          <w:rStyle w:val="optioncarChar"/>
        </w:rPr>
        <w:t>des lattes en bois dur, finition prête à peindre</w:t>
      </w:r>
      <w:r>
        <w:t xml:space="preserve"> (par défaut) </w:t>
      </w:r>
      <w:r>
        <w:rPr>
          <w:rStyle w:val="optioncarChar"/>
        </w:rPr>
        <w:t>/ ***.</w:t>
      </w:r>
    </w:p>
    <w:p w14:paraId="33270823" w14:textId="77777777" w:rsidR="004B2808" w:rsidRDefault="00000000">
      <w:pPr>
        <w:pStyle w:val="Author-eListParagraph"/>
        <w:numPr>
          <w:ilvl w:val="0"/>
          <w:numId w:val="932"/>
        </w:numPr>
      </w:pPr>
      <w:r>
        <w:t xml:space="preserve">Pourvus d'une grille encastrée, selon l'article </w:t>
      </w:r>
      <w:hyperlink w:anchor="1322" w:history="1">
        <w:r w:rsidR="004B2808">
          <w:rPr>
            <w:color w:val="0000EE"/>
          </w:rPr>
          <w:t>55.68.1 Grilles de transfert dans les portes</w:t>
        </w:r>
      </w:hyperlink>
      <w:r>
        <w:t xml:space="preserve"> grilles de transfert dans les portes, ouverture d'aération conformément à la [NBN D 50-001]</w:t>
      </w:r>
    </w:p>
    <w:p w14:paraId="7B6FFCE1" w14:textId="77777777" w:rsidR="004B2808" w:rsidRDefault="00000000">
      <w:pPr>
        <w:pStyle w:val="Author-eListParagraph"/>
        <w:numPr>
          <w:ilvl w:val="0"/>
          <w:numId w:val="932"/>
        </w:numPr>
      </w:pPr>
      <w:r>
        <w:t xml:space="preserve">Pourvus d'une fente de ventilation d'environ </w:t>
      </w:r>
      <w:r>
        <w:rPr>
          <w:rStyle w:val="optioncarChar"/>
        </w:rPr>
        <w:t>1</w:t>
      </w:r>
      <w:r>
        <w:t> (par défaut)</w:t>
      </w:r>
      <w:r>
        <w:rPr>
          <w:rStyle w:val="optioncarChar"/>
        </w:rPr>
        <w:t> / ***</w:t>
      </w:r>
      <w:r>
        <w:t xml:space="preserve"> cm dans le bas, de façon telle que l'ouverture d'aération soit conformé à la [NBN D 50-001]</w:t>
      </w:r>
    </w:p>
    <w:p w14:paraId="12453F99" w14:textId="77777777" w:rsidR="004B2808" w:rsidRDefault="00000000">
      <w:pPr>
        <w:pStyle w:val="Author-eListParagraph"/>
        <w:numPr>
          <w:ilvl w:val="0"/>
          <w:numId w:val="932"/>
        </w:numPr>
      </w:pPr>
      <w:r>
        <w:lastRenderedPageBreak/>
        <w:t>Conçues comme portes coulissantes (les vantaux de porte et les huisseries sont conformes aux portes ouvrantes ordinaires. Seuls le mode de suspension et la quincaillerie concernée sont adaptés au concept des vantaux de porte coulissants).</w:t>
      </w:r>
    </w:p>
    <w:p w14:paraId="05A58DCD" w14:textId="77777777" w:rsidR="004B2808" w:rsidRDefault="00000000">
      <w:pPr>
        <w:pStyle w:val="Author-eListParagraph"/>
        <w:numPr>
          <w:ilvl w:val="0"/>
          <w:numId w:val="932"/>
        </w:numPr>
      </w:pPr>
      <w:r>
        <w:t xml:space="preserve">Portes coulissantes </w:t>
      </w:r>
      <w:r>
        <w:rPr>
          <w:rStyle w:val="optioncarChar"/>
        </w:rPr>
        <w:t>simples </w:t>
      </w:r>
      <w:r>
        <w:t>(par défaut)</w:t>
      </w:r>
      <w:r>
        <w:rPr>
          <w:rStyle w:val="optioncarChar"/>
        </w:rPr>
        <w:t xml:space="preserve"> / doubles / ***</w:t>
      </w:r>
    </w:p>
    <w:p w14:paraId="3B3DB44F" w14:textId="77777777" w:rsidR="004B2808" w:rsidRDefault="00000000">
      <w:pPr>
        <w:pStyle w:val="Author-eListParagraph"/>
        <w:numPr>
          <w:ilvl w:val="0"/>
          <w:numId w:val="932"/>
        </w:numPr>
      </w:pPr>
      <w:r>
        <w:t>Composées de</w:t>
      </w:r>
      <w:r>
        <w:rPr>
          <w:rStyle w:val="optioncarChar"/>
        </w:rPr>
        <w:t> un panneau </w:t>
      </w:r>
      <w:r>
        <w:t>(par défaut)</w:t>
      </w:r>
      <w:r>
        <w:rPr>
          <w:rStyle w:val="optioncarChar"/>
        </w:rPr>
        <w:t> / deux panneaux / ***</w:t>
      </w:r>
    </w:p>
    <w:p w14:paraId="493B1570" w14:textId="77777777" w:rsidR="004B2808" w:rsidRDefault="00000000">
      <w:pPr>
        <w:pStyle w:val="Author-eListParagraph"/>
        <w:numPr>
          <w:ilvl w:val="0"/>
          <w:numId w:val="932"/>
        </w:numPr>
      </w:pPr>
      <w:r>
        <w:t>Mécanisme de coulisse : rails en acier galvanisé; galets en nylon de première qualité; type et modèle en fonction du type et du poids des vantaux coulissants.</w:t>
      </w:r>
    </w:p>
    <w:p w14:paraId="7AB24240" w14:textId="77777777" w:rsidR="004B2808" w:rsidRDefault="00000000">
      <w:pPr>
        <w:pStyle w:val="Author-eListParagraph"/>
        <w:numPr>
          <w:ilvl w:val="0"/>
          <w:numId w:val="932"/>
        </w:numPr>
      </w:pPr>
      <w:r>
        <w:t xml:space="preserve">Conçues comme </w:t>
      </w:r>
      <w:r>
        <w:rPr>
          <w:rStyle w:val="optioncarChar"/>
        </w:rPr>
        <w:t>portes battantes </w:t>
      </w:r>
      <w:r>
        <w:t>(par défaut)</w:t>
      </w:r>
      <w:r>
        <w:rPr>
          <w:rStyle w:val="optioncarChar"/>
        </w:rPr>
        <w:t xml:space="preserve"> / pivotantes / ***</w:t>
      </w:r>
      <w:r>
        <w:t xml:space="preserve">(les vantaux de porte et les huisseries sont conformes aux portes ouvrantes ordinaires. Seuls le mode de suspension et la quincaillerie concernée sont adaptés au concept des vantaux de porte </w:t>
      </w:r>
      <w:r>
        <w:rPr>
          <w:rStyle w:val="optioncarChar"/>
        </w:rPr>
        <w:t>battante</w:t>
      </w:r>
      <w:r>
        <w:t xml:space="preserve"> (par défaut)</w:t>
      </w:r>
      <w:r>
        <w:rPr>
          <w:rStyle w:val="optioncarChar"/>
        </w:rPr>
        <w:t> / pivotante / ***</w:t>
      </w:r>
      <w:r>
        <w:t>)</w:t>
      </w:r>
    </w:p>
    <w:p w14:paraId="23A485EA" w14:textId="77777777" w:rsidR="004B2808" w:rsidRDefault="00000000">
      <w:pPr>
        <w:pStyle w:val="Author-eListParagraph"/>
        <w:numPr>
          <w:ilvl w:val="0"/>
          <w:numId w:val="932"/>
        </w:numPr>
      </w:pPr>
      <w:r>
        <w:t xml:space="preserve">Composées de </w:t>
      </w:r>
      <w:r>
        <w:rPr>
          <w:rStyle w:val="optioncarChar"/>
        </w:rPr>
        <w:t>un panneau (par défaut) / deux panneaux / ***</w:t>
      </w:r>
    </w:p>
    <w:p w14:paraId="79B234CD" w14:textId="77777777" w:rsidR="004B2808" w:rsidRDefault="00000000">
      <w:pPr>
        <w:pStyle w:val="heading"/>
      </w:pPr>
      <w:r>
        <w:t>Ensembles de porte / résistant au feu</w:t>
      </w:r>
    </w:p>
    <w:p w14:paraId="44A091A9"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5F00DD87" w14:textId="77777777" w:rsidR="004B2808" w:rsidRDefault="00000000">
      <w:pPr>
        <w:pStyle w:val="Author-eListParagraph"/>
        <w:numPr>
          <w:ilvl w:val="0"/>
          <w:numId w:val="933"/>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3F3F7BC7" w14:textId="77777777" w:rsidR="004B2808" w:rsidRDefault="00000000">
      <w:pPr>
        <w:pStyle w:val="Author-eListParagraph"/>
        <w:numPr>
          <w:ilvl w:val="0"/>
          <w:numId w:val="933"/>
        </w:numPr>
      </w:pPr>
      <w:r>
        <w:t xml:space="preserve">Equipés d'un vitrage résistant au feu en verre de sécurité conforme au rapport d'essai. Une réservation est faite dans le vantail de porte : </w:t>
      </w:r>
      <w:r>
        <w:rPr>
          <w:rStyle w:val="optioncarChar"/>
        </w:rPr>
        <w:t>rectangulaire</w:t>
      </w:r>
      <w:r>
        <w:t> (par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w:t>
      </w:r>
      <w:r>
        <w:t xml:space="preserve"> (par défaut)</w:t>
      </w:r>
      <w:r>
        <w:rPr>
          <w:rStyle w:val="optioncarChar"/>
        </w:rPr>
        <w:t> /  peintes / ***</w:t>
      </w:r>
      <w:r>
        <w:t xml:space="preserve"> comme les chanlattes. Le vitrage est toujours délimité sur toute sa périphérie par des sections en bois plein d'une largeur minimale de 140 mm pour les côtés et au-dessus et de 220 mm dans le bas.</w:t>
      </w:r>
    </w:p>
    <w:p w14:paraId="017C652D" w14:textId="77777777" w:rsidR="004B2808" w:rsidRDefault="00000000">
      <w:r>
        <w:br/>
        <w:t>Note : Pour les portes ayant une résistance au feu de Rf 1h ou EI 60min, seules des vitres armées d'une épaisseur d'au moins 6,5 mm sont autorisées et les dimensions du vitrage ne dépasseront pas 0,5 m². Les joints des battées et des parcloses sont obturés avec un matériau gonflant sous l'effet de la chaleur.</w:t>
      </w:r>
    </w:p>
    <w:p w14:paraId="1C4227B2" w14:textId="77777777" w:rsidR="004B2808" w:rsidRDefault="00000000">
      <w:pPr>
        <w:pStyle w:val="Author-eListParagraph"/>
        <w:numPr>
          <w:ilvl w:val="0"/>
          <w:numId w:val="934"/>
        </w:numPr>
      </w:pPr>
      <w:r>
        <w:t xml:space="preserve">Pourvus d'une imposte </w:t>
      </w:r>
      <w:r>
        <w:rPr>
          <w:rStyle w:val="optioncarChar"/>
        </w:rPr>
        <w:t>avec</w:t>
      </w:r>
      <w:r>
        <w:t> (par défaut)</w:t>
      </w:r>
      <w:r>
        <w:rPr>
          <w:rStyle w:val="optioncarChar"/>
        </w:rPr>
        <w:t> / sans / *** </w:t>
      </w:r>
      <w:r>
        <w:t>traverse intermédiaire.</w:t>
      </w:r>
    </w:p>
    <w:p w14:paraId="30F9A1EC" w14:textId="77777777" w:rsidR="004B2808" w:rsidRDefault="00000000">
      <w:pPr>
        <w:pStyle w:val="Author-eListParagraph"/>
        <w:numPr>
          <w:ilvl w:val="0"/>
          <w:numId w:val="934"/>
        </w:numPr>
      </w:pPr>
      <w:r>
        <w:t>Pourvus d'une bande brise-bise et butoir continue.</w:t>
      </w:r>
    </w:p>
    <w:p w14:paraId="73C599EF" w14:textId="77777777" w:rsidR="004B2808" w:rsidRDefault="00000000">
      <w:pPr>
        <w:pStyle w:val="Author-eListParagraph"/>
        <w:numPr>
          <w:ilvl w:val="0"/>
          <w:numId w:val="934"/>
        </w:numPr>
      </w:pPr>
      <w:r>
        <w:t xml:space="preserve">Pourvus d'un cadre approprié pour la fixation d'un ferme-porte, prévu à l'art. </w:t>
      </w:r>
      <w:hyperlink w:anchor="1325" w:history="1">
        <w:r w:rsidR="004B2808">
          <w:rPr>
            <w:color w:val="0000EE"/>
          </w:rPr>
          <w:t>55.62.5 Système de fermeture</w:t>
        </w:r>
      </w:hyperlink>
    </w:p>
    <w:p w14:paraId="7EAF5B0C" w14:textId="77777777" w:rsidR="004B2808" w:rsidRDefault="00000000">
      <w:pPr>
        <w:pStyle w:val="Author-eListParagraph"/>
        <w:numPr>
          <w:ilvl w:val="0"/>
          <w:numId w:val="934"/>
        </w:numPr>
      </w:pPr>
      <w:r>
        <w:t xml:space="preserve">Conçus comme portes </w:t>
      </w:r>
      <w:r>
        <w:rPr>
          <w:rStyle w:val="optioncarChar"/>
        </w:rPr>
        <w:t>va-et-vient </w:t>
      </w:r>
      <w:r>
        <w:t xml:space="preserve">(par défaut) </w:t>
      </w:r>
      <w:r>
        <w:rPr>
          <w:rStyle w:val="optioncarChar"/>
        </w:rPr>
        <w:t>/ pivotantes / *** </w:t>
      </w:r>
      <w:r>
        <w:t xml:space="preserve">. Elles se composent de </w:t>
      </w:r>
      <w:r>
        <w:rPr>
          <w:rStyle w:val="optioncarChar"/>
        </w:rPr>
        <w:t>un panneau</w:t>
      </w:r>
      <w:r>
        <w:t> (par défaut)</w:t>
      </w:r>
      <w:r>
        <w:rPr>
          <w:rStyle w:val="optioncarChar"/>
        </w:rPr>
        <w:t xml:space="preserve"> / deux panneaux / ***</w:t>
      </w:r>
      <w:r>
        <w:t xml:space="preserve"> , les vantaux des portes et les huisseries sont semblables aux portes ouvrantes ordinaires, seuls le mode de suspension et les quincailleries correspondantes sont adaptés au concept des portes battantes.</w:t>
      </w:r>
    </w:p>
    <w:p w14:paraId="2844CF46" w14:textId="77777777" w:rsidR="004B2808" w:rsidRDefault="00000000">
      <w:pPr>
        <w:pStyle w:val="Author-eListParagraph"/>
        <w:numPr>
          <w:ilvl w:val="0"/>
          <w:numId w:val="934"/>
        </w:numPr>
      </w:pPr>
      <w:r>
        <w:t>L'ensemble porte résistant au feu est conforme à la [NIT 234].</w:t>
      </w:r>
    </w:p>
    <w:p w14:paraId="72D08A44" w14:textId="77777777" w:rsidR="004B2808" w:rsidRDefault="00000000">
      <w:pPr>
        <w:pStyle w:val="heading"/>
      </w:pPr>
      <w:r>
        <w:t>Options (biffer la mention inutile) huisseries de portes - bois</w:t>
      </w:r>
    </w:p>
    <w:p w14:paraId="45554ABD" w14:textId="77777777" w:rsidR="004B2808" w:rsidRDefault="00000000">
      <w:pPr>
        <w:pStyle w:val="Author-eListParagraph"/>
        <w:numPr>
          <w:ilvl w:val="0"/>
          <w:numId w:val="935"/>
        </w:numPr>
      </w:pPr>
      <w:r>
        <w:t>Les portes sont conçues comme un châssis à pose affleurante jusqu'au plafond (avec</w:t>
      </w:r>
      <w:r>
        <w:rPr>
          <w:rStyle w:val="optioncarChar"/>
        </w:rPr>
        <w:t> vantaux vitrés</w:t>
      </w:r>
      <w:r>
        <w:t> (par défaut</w:t>
      </w:r>
      <w:r>
        <w:rPr>
          <w:rStyle w:val="optioncarChar"/>
        </w:rPr>
        <w:t>) / imposte / ***</w:t>
      </w:r>
      <w:r>
        <w:t xml:space="preserve">). La feuillure des portes est embrevée sur une profondeur de </w:t>
      </w:r>
      <w:r>
        <w:rPr>
          <w:rStyle w:val="optioncarChar"/>
        </w:rPr>
        <w:t xml:space="preserve">*** / 10 / *** </w:t>
      </w:r>
      <w:r>
        <w:t>mm dans le chambranle. Les ébrasements latéraux vont jusqu'au plafond, la traverse supérieure horizontale est :</w:t>
      </w:r>
      <w:r>
        <w:rPr>
          <w:rStyle w:val="optioncarChar"/>
        </w:rPr>
        <w:t> posée aussi près que possible du plafond </w:t>
      </w:r>
      <w:r>
        <w:t>(par défaut)</w:t>
      </w:r>
      <w:r>
        <w:rPr>
          <w:rStyle w:val="optioncarChar"/>
        </w:rPr>
        <w:t xml:space="preserve"> / absente / ***</w:t>
      </w:r>
    </w:p>
    <w:p w14:paraId="74210E32" w14:textId="77777777" w:rsidR="004B2808" w:rsidRDefault="00000000">
      <w:pPr>
        <w:pStyle w:val="Author-eListParagraph"/>
        <w:numPr>
          <w:ilvl w:val="0"/>
          <w:numId w:val="935"/>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332A96B1" w14:textId="77777777" w:rsidR="004B2808" w:rsidRDefault="00000000">
      <w:pPr>
        <w:pStyle w:val="Author-eListParagraph"/>
        <w:numPr>
          <w:ilvl w:val="0"/>
          <w:numId w:val="935"/>
        </w:numPr>
      </w:pPr>
      <w:r>
        <w:t xml:space="preserve">Les impostes sont fabriquées dans un morceau de vantail de porte, conformément à la description de l'article </w:t>
      </w:r>
      <w:hyperlink w:anchor="1315" w:history="1">
        <w:r w:rsidR="004B2808">
          <w:rPr>
            <w:color w:val="0000EE"/>
          </w:rPr>
          <w:t>56 Vitrage intérieur &amp; éléments de remplissage</w:t>
        </w:r>
      </w:hyperlink>
      <w:r>
        <w:t xml:space="preserve"> (voir article spécifique en fonction du remplissage). Après la mise à dimension du panneau, une latte en bois dur </w:t>
      </w:r>
      <w:r>
        <w:lastRenderedPageBreak/>
        <w:t>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03E3C7F7" w14:textId="77777777" w:rsidR="004B2808" w:rsidRDefault="00000000">
      <w:pPr>
        <w:pStyle w:val="Author-eListParagraph"/>
        <w:numPr>
          <w:ilvl w:val="0"/>
          <w:numId w:val="935"/>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547B0308" w14:textId="77777777" w:rsidR="004B2808" w:rsidRDefault="00000000">
      <w:pPr>
        <w:pStyle w:val="heading"/>
      </w:pPr>
      <w:r>
        <w:t>Options (biffer la mention inutile) ensembles de porte / résistant au feu - porte pleine / huisserie en acier</w:t>
      </w:r>
    </w:p>
    <w:p w14:paraId="0E301B82" w14:textId="77777777" w:rsidR="004B2808" w:rsidRDefault="00000000">
      <w:r>
        <w:t xml:space="preserve">Conformément aux indications sur le plan ou les dessins de détail, les vantaux de porte suivants </w:t>
      </w:r>
      <w:r>
        <w:rPr>
          <w:rStyle w:val="optioncarChar"/>
        </w:rPr>
        <w:t xml:space="preserve">*** </w:t>
      </w:r>
      <w:r>
        <w:t>sont :</w:t>
      </w:r>
    </w:p>
    <w:p w14:paraId="669BF648" w14:textId="77777777" w:rsidR="004B2808" w:rsidRDefault="00000000">
      <w:pPr>
        <w:pStyle w:val="Author-eListParagraph"/>
        <w:numPr>
          <w:ilvl w:val="0"/>
          <w:numId w:val="936"/>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084420DF" w14:textId="77777777" w:rsidR="004B2808" w:rsidRDefault="00000000">
      <w:pPr>
        <w:pStyle w:val="Author-eListParagraph"/>
        <w:numPr>
          <w:ilvl w:val="0"/>
          <w:numId w:val="936"/>
        </w:numPr>
      </w:pPr>
      <w:r>
        <w:t xml:space="preserve">Equipés d'un vitrage résistant au feu en verre de sécurité conforme au rapport d'essai. Une réservation est faite dans le vantail de porte : </w:t>
      </w:r>
      <w:r>
        <w:rPr>
          <w:rStyle w:val="optioncarChar"/>
        </w:rPr>
        <w:t>rectangulaire</w:t>
      </w:r>
      <w:r>
        <w:t xml:space="preserve"> (par défaut) </w:t>
      </w:r>
      <w:r>
        <w:rPr>
          <w:rStyle w:val="optioncarChar"/>
        </w:rPr>
        <w:t>/ ronde / ***</w:t>
      </w:r>
      <w:r>
        <w:t xml:space="preserve"> ,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38ADB007" w14:textId="77777777" w:rsidR="004B2808"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7A46CC0A" w14:textId="77777777" w:rsidR="004B2808" w:rsidRDefault="00000000">
      <w:pPr>
        <w:pStyle w:val="Author-eListParagraph"/>
        <w:numPr>
          <w:ilvl w:val="0"/>
          <w:numId w:val="937"/>
        </w:numPr>
      </w:pPr>
      <w:r>
        <w:t xml:space="preserve">Pourvus d'une imposte </w:t>
      </w:r>
      <w:r>
        <w:rPr>
          <w:rStyle w:val="optioncarChar"/>
        </w:rPr>
        <w:t>avec </w:t>
      </w:r>
      <w:r>
        <w:t>(par défaut)</w:t>
      </w:r>
      <w:r>
        <w:rPr>
          <w:rStyle w:val="optioncarChar"/>
        </w:rPr>
        <w:t xml:space="preserve"> / sans / *** </w:t>
      </w:r>
      <w:r>
        <w:t>traverse intermédiaire.</w:t>
      </w:r>
    </w:p>
    <w:p w14:paraId="090E9120" w14:textId="77777777" w:rsidR="004B2808" w:rsidRDefault="00000000">
      <w:pPr>
        <w:pStyle w:val="Author-eListParagraph"/>
        <w:numPr>
          <w:ilvl w:val="0"/>
          <w:numId w:val="937"/>
        </w:numPr>
      </w:pPr>
      <w:r>
        <w:t>Pourvus d'une bande brise-bise et butoir continue.</w:t>
      </w:r>
    </w:p>
    <w:p w14:paraId="0EE224E9" w14:textId="77777777" w:rsidR="004B2808" w:rsidRDefault="00000000">
      <w:pPr>
        <w:pStyle w:val="Author-eListParagraph"/>
        <w:numPr>
          <w:ilvl w:val="0"/>
          <w:numId w:val="937"/>
        </w:numPr>
      </w:pPr>
      <w:r>
        <w:t xml:space="preserve">Pourvus d'un cadre approprié pour la fixation d'un ferme-porte, prévu à l'art. </w:t>
      </w:r>
      <w:hyperlink w:anchor="1325" w:history="1">
        <w:r w:rsidR="004B2808">
          <w:rPr>
            <w:color w:val="0000EE"/>
          </w:rPr>
          <w:t>55.62.5 Système de fermeture</w:t>
        </w:r>
      </w:hyperlink>
    </w:p>
    <w:p w14:paraId="14AEBF89" w14:textId="77777777" w:rsidR="004B2808" w:rsidRDefault="00000000">
      <w:pPr>
        <w:pStyle w:val="Author-eListParagraph"/>
        <w:numPr>
          <w:ilvl w:val="0"/>
          <w:numId w:val="937"/>
        </w:numPr>
      </w:pPr>
      <w:r>
        <w:t xml:space="preserve">Conçus comme portes </w:t>
      </w:r>
      <w:r>
        <w:rPr>
          <w:rStyle w:val="optioncarChar"/>
        </w:rPr>
        <w:t>va-et-vient </w:t>
      </w:r>
      <w:r>
        <w:t>(par défaut)</w:t>
      </w:r>
      <w:r>
        <w:rPr>
          <w:rStyle w:val="optioncarChar"/>
        </w:rPr>
        <w:t xml:space="preserve"> / pivotantes / ***</w:t>
      </w:r>
      <w:r>
        <w:t xml:space="preserve"> . Elles se composent de </w:t>
      </w:r>
      <w:r>
        <w:rPr>
          <w:rStyle w:val="optioncarChar"/>
        </w:rPr>
        <w:t>un panneau</w:t>
      </w:r>
      <w:r>
        <w:t> (par défaut)</w:t>
      </w:r>
      <w:r>
        <w:rPr>
          <w:rStyle w:val="optioncarChar"/>
        </w:rPr>
        <w:t xml:space="preserve"> / deux panneaux / *** </w:t>
      </w:r>
      <w:r>
        <w:t>, les vantaux des portes et les huisseries sont semblables aux portes ouvrantes ordinaires, seuls le mode de suspension et les quincailleries correspondantes sont adaptés au concept des portes battantes.</w:t>
      </w:r>
    </w:p>
    <w:p w14:paraId="0EF6A9CA" w14:textId="77777777" w:rsidR="004B2808" w:rsidRDefault="00000000">
      <w:pPr>
        <w:pStyle w:val="pheading"/>
      </w:pPr>
      <w:r>
        <w:t>MESURAGE</w:t>
      </w:r>
    </w:p>
    <w:p w14:paraId="27DC54A5" w14:textId="77777777" w:rsidR="004B2808" w:rsidRDefault="00000000">
      <w:r>
        <w:t>Conformément aux indications spécifiques dans le cahier spécial des charges et/ou le métré récapitulatif, le mesurage peut être conçu comme suit, en fonction de la nature des portes intérieures :</w:t>
      </w:r>
    </w:p>
    <w:p w14:paraId="4AA80280" w14:textId="77777777" w:rsidR="004B2808" w:rsidRDefault="00000000">
      <w:pPr>
        <w:pStyle w:val="pheading"/>
      </w:pPr>
      <w:r>
        <w:t>- unité de mesure:</w:t>
      </w:r>
    </w:p>
    <w:p w14:paraId="2A74CA0F" w14:textId="77777777" w:rsidR="004B2808" w:rsidRDefault="00000000">
      <w:r>
        <w:t>p</w:t>
      </w:r>
    </w:p>
    <w:p w14:paraId="5D7867F5" w14:textId="77777777" w:rsidR="004B2808" w:rsidRDefault="00000000">
      <w:pPr>
        <w:pStyle w:val="pheading"/>
      </w:pPr>
      <w:r>
        <w:t>- code de mesurage:</w:t>
      </w:r>
    </w:p>
    <w:p w14:paraId="6F38F8EB" w14:textId="77777777" w:rsidR="004B2808" w:rsidRDefault="00000000">
      <w:r>
        <w:t>Choix opéré:</w:t>
      </w:r>
      <w:r>
        <w:rPr>
          <w:rStyle w:val="optioncarChar"/>
          <w:b/>
        </w:rPr>
        <w:t>*** / OPTION 1 (un ensemble) </w:t>
      </w:r>
      <w:r>
        <w:t xml:space="preserve">(par défaut) </w:t>
      </w:r>
      <w:r>
        <w:rPr>
          <w:rStyle w:val="optioncarChar"/>
          <w:b/>
        </w:rPr>
        <w:t>/ OPTION 2 (séparément)</w:t>
      </w:r>
    </w:p>
    <w:p w14:paraId="77B2442E" w14:textId="77777777" w:rsidR="004B2808"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9 </w:t>
      </w:r>
      <w:r>
        <w:t>(par défaut)</w:t>
      </w:r>
      <w:r>
        <w:rPr>
          <w:rStyle w:val="optioncarChar"/>
        </w:rPr>
        <w:t xml:space="preserve"> / 14 / 19 / ***</w:t>
      </w:r>
      <w:r>
        <w:t xml:space="preserve"> ) et, le cas échéant, selon la classification (nature, sens d'ouverture, emplacement,  prestations particulières, dimensions, forme et aspect).</w:t>
      </w:r>
    </w:p>
    <w:p w14:paraId="0CEE9FCF" w14:textId="77777777" w:rsidR="004B2808" w:rsidRDefault="00000000">
      <w:r>
        <w:rPr>
          <w:b/>
        </w:rPr>
        <w:lastRenderedPageBreak/>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w:t>
      </w:r>
      <w:r>
        <w:t> (par défaut)</w:t>
      </w:r>
      <w:r>
        <w:rPr>
          <w:rStyle w:val="optioncarChar"/>
        </w:rPr>
        <w:t xml:space="preserve">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le cas échéant, ventilé selon le type ou le modèle, ventilé selon les dimensions des portes (indépendamment de la hauteur) et l'épaisseur des cloisons intérieures (</w:t>
      </w:r>
      <w:r>
        <w:rPr>
          <w:rStyle w:val="optioncarChar"/>
        </w:rPr>
        <w:t>7 </w:t>
      </w:r>
      <w:r>
        <w:t>(par défaut) </w:t>
      </w:r>
      <w:r>
        <w:rPr>
          <w:rStyle w:val="optioncarChar"/>
        </w:rPr>
        <w:t>/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39758EDB" w14:textId="77777777" w:rsidR="004B2808" w:rsidRDefault="00000000">
      <w:r>
        <w:rPr>
          <w:u w:val="single"/>
        </w:rPr>
        <w:t xml:space="preserve">Attention </w:t>
      </w:r>
    </w:p>
    <w:p w14:paraId="6DF64C69" w14:textId="77777777" w:rsidR="004B2808" w:rsidRDefault="00000000">
      <w:pPr>
        <w:pStyle w:val="Author-eListParagraph"/>
        <w:numPr>
          <w:ilvl w:val="0"/>
          <w:numId w:val="938"/>
        </w:numPr>
      </w:pPr>
      <w:r>
        <w:t>Les vantaux de portes de 630 - 730 et 830 mm de largeur peuvent être pris ensemble pour le mesurage.</w:t>
      </w:r>
    </w:p>
    <w:p w14:paraId="1CDE44B8" w14:textId="77777777" w:rsidR="004B2808" w:rsidRDefault="00000000">
      <w:pPr>
        <w:pStyle w:val="Author-eListParagraph"/>
        <w:numPr>
          <w:ilvl w:val="0"/>
          <w:numId w:val="938"/>
        </w:numPr>
      </w:pPr>
      <w:r>
        <w:t>Les quincailleries dont la fourniture et la mise en œuvre sont comprises peuvent être décrites dans d'autres postes mais sont toujours comprises dans le prix des portes.</w:t>
      </w:r>
    </w:p>
    <w:p w14:paraId="15FF01F7" w14:textId="77777777" w:rsidR="004B2808" w:rsidRDefault="00000000">
      <w:pPr>
        <w:pStyle w:val="pheading"/>
      </w:pPr>
      <w:r>
        <w:t>- nature du marché:</w:t>
      </w:r>
    </w:p>
    <w:p w14:paraId="72FB2044" w14:textId="77777777" w:rsidR="004B2808" w:rsidRDefault="00000000">
      <w:r>
        <w:t>QF</w:t>
      </w:r>
    </w:p>
    <w:p w14:paraId="2711D21B" w14:textId="77777777" w:rsidR="004B2808" w:rsidRDefault="00000000">
      <w:pPr>
        <w:pStyle w:val="Author-eSectionHeading6Numberless"/>
      </w:pPr>
      <w:bookmarkStart w:id="1073" w:name="_Toc220491200"/>
      <w:r>
        <w:t>55.21.7b Portes intérieures en bois lamellé-collé + finition aluminium CCTB 01.10</w:t>
      </w:r>
      <w:bookmarkEnd w:id="1073"/>
    </w:p>
    <w:p w14:paraId="71B623F5" w14:textId="77777777" w:rsidR="004B2808" w:rsidRDefault="00000000">
      <w:pPr>
        <w:pStyle w:val="pheading"/>
      </w:pPr>
      <w:r>
        <w:t>MATÉRIAUX</w:t>
      </w:r>
    </w:p>
    <w:p w14:paraId="738E5926" w14:textId="77777777" w:rsidR="004B2808" w:rsidRDefault="00000000">
      <w:pPr>
        <w:pStyle w:val="pheading"/>
      </w:pPr>
      <w:r>
        <w:t>- Prescriptions complémentaires</w:t>
      </w:r>
    </w:p>
    <w:p w14:paraId="36FEFD6B" w14:textId="77777777" w:rsidR="004B2808" w:rsidRDefault="00000000">
      <w:pPr>
        <w:pStyle w:val="heading"/>
      </w:pPr>
      <w:r>
        <w:t>(critères de performance)  Vantaux de porte</w:t>
      </w:r>
    </w:p>
    <w:p w14:paraId="6F4CBA06" w14:textId="77777777" w:rsidR="004B2808" w:rsidRDefault="00000000">
      <w:r>
        <w:t>Conformément aux indications supplémentaires dans le cahier spécial des charges, les dispositions supplémentaires suivantes sont d'application :</w:t>
      </w:r>
    </w:p>
    <w:p w14:paraId="6D89754F" w14:textId="77777777" w:rsidR="004B2808" w:rsidRDefault="00000000">
      <w:pPr>
        <w:pStyle w:val="Author-eListParagraph"/>
        <w:numPr>
          <w:ilvl w:val="0"/>
          <w:numId w:val="939"/>
        </w:numPr>
      </w:pPr>
      <w:r>
        <w:t>Les dispositions des [STS 53.1] pour les portes intérieures planes dans les salles de bains et les autres locaux humides.</w:t>
      </w:r>
    </w:p>
    <w:p w14:paraId="4D663EBA" w14:textId="77777777" w:rsidR="004B2808" w:rsidRDefault="00000000">
      <w:r>
        <w:br/>
        <w:t>Attention  : Les ensembles de porte résistant au feu sont toujours considérés dans un poste séparé.</w:t>
      </w:r>
    </w:p>
    <w:p w14:paraId="6681361E" w14:textId="77777777" w:rsidR="004B2808" w:rsidRDefault="00000000">
      <w:pPr>
        <w:pStyle w:val="heading"/>
      </w:pPr>
      <w:r>
        <w:t>(Accessoires) Vantaux de porte</w:t>
      </w:r>
    </w:p>
    <w:p w14:paraId="060600DB"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2F5B90E0" w14:textId="77777777" w:rsidR="004B2808" w:rsidRDefault="00000000">
      <w:pPr>
        <w:pStyle w:val="Author-eListParagraph"/>
        <w:numPr>
          <w:ilvl w:val="0"/>
          <w:numId w:val="940"/>
        </w:numPr>
      </w:pPr>
      <w:r>
        <w:t>Equipés d'un vitrage :</w:t>
      </w:r>
    </w:p>
    <w:p w14:paraId="66D1A781" w14:textId="77777777" w:rsidR="004B2808" w:rsidRDefault="00000000">
      <w:pPr>
        <w:pStyle w:val="Author-eListParagraph"/>
        <w:numPr>
          <w:ilvl w:val="0"/>
          <w:numId w:val="940"/>
        </w:numPr>
      </w:pPr>
      <w:r>
        <w:t xml:space="preserve">En verre de sécurité </w:t>
      </w:r>
      <w:r>
        <w:rPr>
          <w:rStyle w:val="optioncarChar"/>
        </w:rPr>
        <w:t>simple</w:t>
      </w:r>
      <w:r>
        <w:t> (par défaut)</w:t>
      </w:r>
      <w:r>
        <w:rPr>
          <w:rStyle w:val="optioncarChar"/>
        </w:rPr>
        <w:t xml:space="preserve"> / clair / mat / opale / ***</w:t>
      </w:r>
      <w:r>
        <w:t xml:space="preserve"> , selon la [NBN S 23-002]</w:t>
      </w:r>
    </w:p>
    <w:p w14:paraId="141400AB" w14:textId="77777777" w:rsidR="004B2808" w:rsidRDefault="00000000">
      <w:pPr>
        <w:pStyle w:val="Author-eListParagraph"/>
        <w:numPr>
          <w:ilvl w:val="0"/>
          <w:numId w:val="940"/>
        </w:numPr>
      </w:pPr>
      <w:r>
        <w:t xml:space="preserve">Réservation dans le vantail de porte : </w:t>
      </w:r>
      <w:r>
        <w:rPr>
          <w:rStyle w:val="optioncarChar"/>
        </w:rPr>
        <w:t>rectangulaire </w:t>
      </w:r>
      <w:r>
        <w:t>(par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5E6A5CD0" w14:textId="77777777" w:rsidR="004B2808" w:rsidRDefault="00000000">
      <w:pPr>
        <w:pStyle w:val="Author-eListParagraph"/>
        <w:numPr>
          <w:ilvl w:val="0"/>
          <w:numId w:val="940"/>
        </w:numPr>
      </w:pPr>
      <w:r>
        <w:t xml:space="preserve">Fixation de la vitre dans la réservation à l'aide de : </w:t>
      </w:r>
      <w:r>
        <w:rPr>
          <w:rStyle w:val="optioncarChar"/>
        </w:rPr>
        <w:t>mastic plastique </w:t>
      </w:r>
      <w:r>
        <w:t>(par défaut)</w:t>
      </w:r>
      <w:r>
        <w:rPr>
          <w:rStyle w:val="optioncarChar"/>
        </w:rPr>
        <w:t xml:space="preserve"> / profils de fixation à enclenchement en PVC / ***</w:t>
      </w:r>
    </w:p>
    <w:p w14:paraId="31777659" w14:textId="77777777" w:rsidR="004B2808" w:rsidRDefault="00000000">
      <w:pPr>
        <w:pStyle w:val="Author-eListParagraph"/>
        <w:numPr>
          <w:ilvl w:val="0"/>
          <w:numId w:val="940"/>
        </w:numPr>
      </w:pPr>
      <w:r>
        <w:t xml:space="preserve">Les vitres sont encadrées par : </w:t>
      </w:r>
      <w:r>
        <w:rPr>
          <w:rStyle w:val="optioncarChar"/>
        </w:rPr>
        <w:t>des lattes en bois dur, finition prête à peindre </w:t>
      </w:r>
      <w:r>
        <w:t>(par défaut)</w:t>
      </w:r>
      <w:r>
        <w:rPr>
          <w:rStyle w:val="optioncarChar"/>
        </w:rPr>
        <w:t xml:space="preserve"> / ***.</w:t>
      </w:r>
    </w:p>
    <w:p w14:paraId="4F04058E" w14:textId="77777777" w:rsidR="004B2808" w:rsidRDefault="00000000">
      <w:pPr>
        <w:pStyle w:val="Author-eListParagraph"/>
        <w:numPr>
          <w:ilvl w:val="0"/>
          <w:numId w:val="940"/>
        </w:numPr>
      </w:pPr>
      <w:r>
        <w:t xml:space="preserve">Pourvus d'une grille encastrée, selon l'article </w:t>
      </w:r>
      <w:hyperlink w:anchor="1322" w:history="1">
        <w:r w:rsidR="004B2808">
          <w:rPr>
            <w:color w:val="0000EE"/>
          </w:rPr>
          <w:t>55.68.1 Grilles de transfert dans les portes</w:t>
        </w:r>
      </w:hyperlink>
      <w:r>
        <w:t xml:space="preserve"> grilles de transfert dans les portes, ouverture d'aération conformément à la [NBN D 50-001]</w:t>
      </w:r>
    </w:p>
    <w:p w14:paraId="6855EE87" w14:textId="77777777" w:rsidR="004B2808" w:rsidRDefault="00000000">
      <w:pPr>
        <w:pStyle w:val="Author-eListParagraph"/>
        <w:numPr>
          <w:ilvl w:val="0"/>
          <w:numId w:val="940"/>
        </w:numPr>
      </w:pPr>
      <w:r>
        <w:t xml:space="preserve">Pourvus d'une fente de ventilation d'environ </w:t>
      </w:r>
      <w:r>
        <w:rPr>
          <w:rStyle w:val="optioncarChar"/>
        </w:rPr>
        <w:t>1</w:t>
      </w:r>
      <w:r>
        <w:t> (par défaut) </w:t>
      </w:r>
      <w:r>
        <w:rPr>
          <w:rStyle w:val="optioncarChar"/>
        </w:rPr>
        <w:t>/ ***</w:t>
      </w:r>
      <w:r>
        <w:t xml:space="preserve"> cm dans le bas, de façon telle que l'ouverture d'aération soit conforme à la [NBN D 50-001]</w:t>
      </w:r>
    </w:p>
    <w:p w14:paraId="43AC97FF" w14:textId="77777777" w:rsidR="004B2808" w:rsidRDefault="00000000">
      <w:pPr>
        <w:pStyle w:val="Author-eListParagraph"/>
        <w:numPr>
          <w:ilvl w:val="0"/>
          <w:numId w:val="940"/>
        </w:numPr>
      </w:pPr>
      <w:r>
        <w:t>Conçues comme portes coulissantes (les vantaux de porte et les huisseries sont conformes aux portes ouvrantes ordinaires. Seul le mode de suspension et la quincaillerie concernée sont adaptés au concept des vantaux de porte coulissants).</w:t>
      </w:r>
    </w:p>
    <w:p w14:paraId="4F4FDB24" w14:textId="77777777" w:rsidR="004B2808" w:rsidRDefault="00000000">
      <w:pPr>
        <w:pStyle w:val="Author-eListParagraph"/>
        <w:numPr>
          <w:ilvl w:val="0"/>
          <w:numId w:val="940"/>
        </w:numPr>
      </w:pPr>
      <w:r>
        <w:lastRenderedPageBreak/>
        <w:t xml:space="preserve">Portes coulissantes </w:t>
      </w:r>
      <w:r>
        <w:rPr>
          <w:rStyle w:val="optioncarChar"/>
        </w:rPr>
        <w:t>simples</w:t>
      </w:r>
      <w:r>
        <w:t> (par défaut)</w:t>
      </w:r>
      <w:r>
        <w:rPr>
          <w:rStyle w:val="optioncarChar"/>
        </w:rPr>
        <w:t xml:space="preserve"> / doubles / ***</w:t>
      </w:r>
    </w:p>
    <w:p w14:paraId="4596D52F" w14:textId="77777777" w:rsidR="004B2808" w:rsidRDefault="00000000">
      <w:pPr>
        <w:pStyle w:val="Author-eListParagraph"/>
        <w:numPr>
          <w:ilvl w:val="0"/>
          <w:numId w:val="940"/>
        </w:numPr>
      </w:pPr>
      <w:r>
        <w:t>Composées de</w:t>
      </w:r>
      <w:r>
        <w:rPr>
          <w:rStyle w:val="optioncarChar"/>
        </w:rPr>
        <w:t> un panneau </w:t>
      </w:r>
      <w:r>
        <w:t>(par défaut)</w:t>
      </w:r>
      <w:r>
        <w:rPr>
          <w:rStyle w:val="optioncarChar"/>
        </w:rPr>
        <w:t xml:space="preserve"> / deux panneaux8 / ***</w:t>
      </w:r>
    </w:p>
    <w:p w14:paraId="467D5580" w14:textId="77777777" w:rsidR="004B2808" w:rsidRDefault="00000000">
      <w:pPr>
        <w:pStyle w:val="Author-eListParagraph"/>
        <w:numPr>
          <w:ilvl w:val="0"/>
          <w:numId w:val="940"/>
        </w:numPr>
      </w:pPr>
      <w:r>
        <w:t>Mécanisme de coulisse : rails en acier galvanisé; galets en nylon de première qualité; type et modèle en fonction du type et du poids des vantaux coulissants.</w:t>
      </w:r>
    </w:p>
    <w:p w14:paraId="5145D8C7" w14:textId="77777777" w:rsidR="004B2808" w:rsidRDefault="00000000">
      <w:pPr>
        <w:pStyle w:val="Author-eListParagraph"/>
        <w:numPr>
          <w:ilvl w:val="0"/>
          <w:numId w:val="940"/>
        </w:numPr>
      </w:pPr>
      <w:r>
        <w:t xml:space="preserve">Conçues comme </w:t>
      </w:r>
      <w:r>
        <w:rPr>
          <w:rStyle w:val="optioncarChar"/>
        </w:rPr>
        <w:t>portes battantes</w:t>
      </w:r>
      <w:r>
        <w:t> (par défaut)</w:t>
      </w:r>
      <w:r>
        <w:rPr>
          <w:rStyle w:val="optioncarChar"/>
        </w:rPr>
        <w:t xml:space="preserve"> / pivotantes / *** </w:t>
      </w:r>
      <w:r>
        <w:t xml:space="preserve">(les vantaux de porte et les huisseries sont conformes aux portes ouvrantes ordinaires. Seul le mode de suspension et la quincaillerie concernée sont adaptés au concept des vantaux de porte </w:t>
      </w:r>
      <w:r>
        <w:rPr>
          <w:rStyle w:val="optioncarChar"/>
        </w:rPr>
        <w:t>battante (par défaut) / pivotante / *** </w:t>
      </w:r>
      <w:r>
        <w:t>)</w:t>
      </w:r>
    </w:p>
    <w:p w14:paraId="7F9A3CDB" w14:textId="77777777" w:rsidR="004B2808" w:rsidRDefault="00000000">
      <w:pPr>
        <w:pStyle w:val="Author-eListParagraph"/>
        <w:numPr>
          <w:ilvl w:val="0"/>
          <w:numId w:val="940"/>
        </w:numPr>
      </w:pPr>
      <w:r>
        <w:t xml:space="preserve">Composées de </w:t>
      </w:r>
      <w:r>
        <w:rPr>
          <w:rStyle w:val="optioncarChar"/>
        </w:rPr>
        <w:t>un panneau </w:t>
      </w:r>
      <w:r>
        <w:t xml:space="preserve">(par défaut) </w:t>
      </w:r>
      <w:r>
        <w:rPr>
          <w:rStyle w:val="optioncarChar"/>
        </w:rPr>
        <w:t>/ deux panneaux / ***</w:t>
      </w:r>
    </w:p>
    <w:p w14:paraId="5B1D9358" w14:textId="77777777" w:rsidR="004B2808" w:rsidRDefault="00000000">
      <w:pPr>
        <w:pStyle w:val="heading"/>
      </w:pPr>
      <w:r>
        <w:t>Ensembles de porte / résistant au feu</w:t>
      </w:r>
    </w:p>
    <w:p w14:paraId="18AA857E"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60CFE32D" w14:textId="77777777" w:rsidR="004B2808" w:rsidRDefault="00000000">
      <w:pPr>
        <w:pStyle w:val="Author-eListParagraph"/>
        <w:numPr>
          <w:ilvl w:val="0"/>
          <w:numId w:val="941"/>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224B1C3A" w14:textId="77777777" w:rsidR="004B2808" w:rsidRDefault="00000000">
      <w:pPr>
        <w:pStyle w:val="Author-eListParagraph"/>
        <w:numPr>
          <w:ilvl w:val="0"/>
          <w:numId w:val="941"/>
        </w:numPr>
      </w:pPr>
      <w:r>
        <w:t xml:space="preserve">Equipés d'un vitrage résistant au feu en verre de sécurité conforme au rapport d'essai. Une réservation est faite dans le vantail de porte : </w:t>
      </w:r>
      <w:r>
        <w:rPr>
          <w:rStyle w:val="optioncarChar"/>
        </w:rPr>
        <w:t>rectangulaire</w:t>
      </w:r>
      <w:r>
        <w:t> (par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 </w:t>
      </w:r>
      <w:r>
        <w:t xml:space="preserve">(par défaut) </w:t>
      </w:r>
      <w:r>
        <w:rPr>
          <w:rStyle w:val="optioncarChar"/>
        </w:rPr>
        <w:t>/ peintes / ***</w:t>
      </w:r>
      <w:r>
        <w:t xml:space="preserve"> comme les chanlattes. Le vitrage est toujours délimité sur toute sa périphérie par des sections en bois plein d'une largeur minimale de 140 mm pour les côtés et au-dessus et de 220 mm dans le bas.</w:t>
      </w:r>
    </w:p>
    <w:p w14:paraId="36869F9C" w14:textId="77777777" w:rsidR="004B2808"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65A5E289" w14:textId="77777777" w:rsidR="004B2808" w:rsidRDefault="00000000">
      <w:pPr>
        <w:pStyle w:val="Author-eListParagraph"/>
        <w:numPr>
          <w:ilvl w:val="0"/>
          <w:numId w:val="942"/>
        </w:numPr>
      </w:pPr>
      <w:r>
        <w:t xml:space="preserve">Pourvus d'une imposte </w:t>
      </w:r>
      <w:r>
        <w:rPr>
          <w:rStyle w:val="optioncarChar"/>
        </w:rPr>
        <w:t>avec </w:t>
      </w:r>
      <w:r>
        <w:t>(par défaut)</w:t>
      </w:r>
      <w:r>
        <w:rPr>
          <w:rStyle w:val="optioncarChar"/>
        </w:rPr>
        <w:t xml:space="preserve"> / sans / *** </w:t>
      </w:r>
      <w:r>
        <w:t>traverse intermédiaire.</w:t>
      </w:r>
    </w:p>
    <w:p w14:paraId="27F08AD2" w14:textId="77777777" w:rsidR="004B2808" w:rsidRDefault="00000000">
      <w:pPr>
        <w:pStyle w:val="Author-eListParagraph"/>
        <w:numPr>
          <w:ilvl w:val="0"/>
          <w:numId w:val="942"/>
        </w:numPr>
      </w:pPr>
      <w:r>
        <w:t>Pourvus d'une bande brise-bise et butoir continue.</w:t>
      </w:r>
    </w:p>
    <w:p w14:paraId="520A6717" w14:textId="77777777" w:rsidR="004B2808" w:rsidRDefault="00000000">
      <w:pPr>
        <w:pStyle w:val="Author-eListParagraph"/>
        <w:numPr>
          <w:ilvl w:val="0"/>
          <w:numId w:val="942"/>
        </w:numPr>
      </w:pPr>
      <w:r>
        <w:t xml:space="preserve">Pourvus d'un cadre approprié pour la fixation d'un ferme-porte, prévu à l'art. </w:t>
      </w:r>
      <w:hyperlink w:anchor="1325" w:history="1">
        <w:r w:rsidR="004B2808">
          <w:rPr>
            <w:color w:val="0000EE"/>
          </w:rPr>
          <w:t>55.62.5 Système de fermeture</w:t>
        </w:r>
      </w:hyperlink>
    </w:p>
    <w:p w14:paraId="7421BE29" w14:textId="77777777" w:rsidR="004B2808" w:rsidRDefault="00000000">
      <w:pPr>
        <w:pStyle w:val="Author-eListParagraph"/>
        <w:numPr>
          <w:ilvl w:val="0"/>
          <w:numId w:val="942"/>
        </w:numPr>
      </w:pPr>
      <w:r>
        <w:t xml:space="preserve">Conçus comme portes </w:t>
      </w:r>
      <w:r>
        <w:rPr>
          <w:rStyle w:val="optioncarChar"/>
        </w:rPr>
        <w:t>va-et-vient</w:t>
      </w:r>
      <w:r>
        <w:t> (par défaut)</w:t>
      </w:r>
      <w:r>
        <w:rPr>
          <w:rStyle w:val="optioncarChar"/>
        </w:rPr>
        <w:t xml:space="preserve"> / pivotantes / *** </w:t>
      </w:r>
      <w:r>
        <w:t xml:space="preserve">. Elles se composent de </w:t>
      </w:r>
      <w:r>
        <w:rPr>
          <w:rStyle w:val="optioncarChar"/>
        </w:rPr>
        <w:t>un panneau </w:t>
      </w:r>
      <w:r>
        <w:t>(par défaut)</w:t>
      </w:r>
      <w:r>
        <w:rPr>
          <w:rStyle w:val="optioncarChar"/>
        </w:rPr>
        <w:t xml:space="preserve"> / deux panneaux / ***</w:t>
      </w:r>
      <w:r>
        <w:t xml:space="preserve"> , les vantaux des portes et les huisseries sont semblables aux portes ouvrantes ordinaires, seuls le mode de suspension et les quincailleries correspondantes sont adaptés au concept des portes battantes.</w:t>
      </w:r>
    </w:p>
    <w:p w14:paraId="4D891ECF" w14:textId="77777777" w:rsidR="004B2808" w:rsidRDefault="00000000">
      <w:pPr>
        <w:pStyle w:val="Author-eListParagraph"/>
        <w:numPr>
          <w:ilvl w:val="0"/>
          <w:numId w:val="942"/>
        </w:numPr>
      </w:pPr>
      <w:r>
        <w:t>L'ensemble porte résistant au feu est conforme à la [NIT 234].</w:t>
      </w:r>
    </w:p>
    <w:p w14:paraId="206FC50A" w14:textId="77777777" w:rsidR="004B2808" w:rsidRDefault="00000000">
      <w:pPr>
        <w:pStyle w:val="heading"/>
      </w:pPr>
      <w:r>
        <w:t>Options (biffer la mention inutile) huisseries de portes - bois</w:t>
      </w:r>
    </w:p>
    <w:p w14:paraId="7AE6E24D" w14:textId="77777777" w:rsidR="004B2808" w:rsidRDefault="00000000">
      <w:pPr>
        <w:pStyle w:val="Author-eListParagraph"/>
        <w:numPr>
          <w:ilvl w:val="0"/>
          <w:numId w:val="943"/>
        </w:numPr>
      </w:pPr>
      <w:r>
        <w:t>Les portes sont conçues comme un châssis à pose affleurante jusqu'au plafond (avec</w:t>
      </w:r>
      <w:r>
        <w:rPr>
          <w:rStyle w:val="optioncarChar"/>
        </w:rPr>
        <w:t> vantaux vitrés</w:t>
      </w:r>
      <w:r>
        <w:t> (par défaut)</w:t>
      </w:r>
      <w:r>
        <w:rPr>
          <w:rStyle w:val="optioncarChar"/>
        </w:rPr>
        <w:t xml:space="preserve"> / imposte / ***</w:t>
      </w:r>
      <w:r>
        <w:t xml:space="preserve">). La feuillure des portes est embrevée sur une profondeur de </w:t>
      </w:r>
      <w:r>
        <w:rPr>
          <w:rStyle w:val="optioncarChar"/>
        </w:rPr>
        <w:t>10 </w:t>
      </w:r>
      <w:r>
        <w:t xml:space="preserve">(par défaut) </w:t>
      </w:r>
      <w:r>
        <w:rPr>
          <w:rStyle w:val="optioncarChar"/>
        </w:rPr>
        <w:t xml:space="preserve">/ *** </w:t>
      </w:r>
      <w:r>
        <w:t>mm dans le chambranle. Les ébrasements latéraux vont jusqu'au plafond, la traverse supérieure horizontale est :</w:t>
      </w:r>
      <w:r>
        <w:rPr>
          <w:rStyle w:val="optioncarChar"/>
        </w:rPr>
        <w:t> posée aussi près que possible du plafond</w:t>
      </w:r>
      <w:r>
        <w:t> (par défaut)</w:t>
      </w:r>
      <w:r>
        <w:rPr>
          <w:rStyle w:val="optioncarChar"/>
        </w:rPr>
        <w:t xml:space="preserve"> / absente / ***</w:t>
      </w:r>
    </w:p>
    <w:p w14:paraId="0684A3BB" w14:textId="77777777" w:rsidR="004B2808" w:rsidRDefault="00000000">
      <w:pPr>
        <w:pStyle w:val="Author-eListParagraph"/>
        <w:numPr>
          <w:ilvl w:val="0"/>
          <w:numId w:val="943"/>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2989E4DF" w14:textId="77777777" w:rsidR="004B2808" w:rsidRDefault="00000000">
      <w:pPr>
        <w:pStyle w:val="Author-eListParagraph"/>
        <w:numPr>
          <w:ilvl w:val="0"/>
          <w:numId w:val="943"/>
        </w:numPr>
      </w:pPr>
      <w:r>
        <w:t xml:space="preserve">Les impostes sont fabriquées dans un morceau de vantail de porte, conformément à la description de l'article </w:t>
      </w:r>
      <w:hyperlink w:anchor="1315" w:history="1">
        <w:r w:rsidR="004B2808">
          <w:rPr>
            <w:color w:val="0000EE"/>
          </w:rP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w:t>
      </w:r>
      <w:r>
        <w:lastRenderedPageBreak/>
        <w:t>prix unitaire doit comprendre aussi bien le panneau de l'imposte que la batée dans la feuille de porte.</w:t>
      </w:r>
    </w:p>
    <w:p w14:paraId="2A1E11BC" w14:textId="77777777" w:rsidR="004B2808" w:rsidRDefault="00000000">
      <w:pPr>
        <w:pStyle w:val="Author-eListParagraph"/>
        <w:numPr>
          <w:ilvl w:val="0"/>
          <w:numId w:val="943"/>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5E9B2127" w14:textId="77777777" w:rsidR="004B2808" w:rsidRDefault="00000000">
      <w:pPr>
        <w:pStyle w:val="heading"/>
      </w:pPr>
      <w:r>
        <w:t>Options (biffer la mention inutile) ensembles de porte / résistant au feu - porte pleine / huisserie en acier</w:t>
      </w:r>
    </w:p>
    <w:p w14:paraId="0053B66E" w14:textId="77777777" w:rsidR="004B2808" w:rsidRDefault="00000000">
      <w:r>
        <w:t xml:space="preserve">Conformément aux indications sur le plan ou les dessins de détail, les vantaux de porte suivants </w:t>
      </w:r>
      <w:r>
        <w:rPr>
          <w:rStyle w:val="optioncarChar"/>
        </w:rPr>
        <w:t xml:space="preserve">*** </w:t>
      </w:r>
      <w:r>
        <w:t>sont :</w:t>
      </w:r>
    </w:p>
    <w:p w14:paraId="268A4499" w14:textId="77777777" w:rsidR="004B2808" w:rsidRDefault="00000000">
      <w:pPr>
        <w:pStyle w:val="Author-eListParagraph"/>
        <w:numPr>
          <w:ilvl w:val="0"/>
          <w:numId w:val="944"/>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217662A0" w14:textId="77777777" w:rsidR="004B2808" w:rsidRDefault="00000000">
      <w:pPr>
        <w:pStyle w:val="Author-eListParagraph"/>
        <w:numPr>
          <w:ilvl w:val="0"/>
          <w:numId w:val="944"/>
        </w:numPr>
      </w:pPr>
      <w:r>
        <w:t xml:space="preserve">Equipés d'un vitrage résistant au feu en verre de sécurité conforme au rapport d'essai. Une réservation est faite dans le vantail de porte : </w:t>
      </w:r>
      <w:r>
        <w:rPr>
          <w:rStyle w:val="optioncarChar"/>
        </w:rPr>
        <w:t>rectangulaire </w:t>
      </w:r>
      <w:r>
        <w:t>(par défaut) </w:t>
      </w:r>
      <w:r>
        <w:rPr>
          <w:rStyle w:val="optioncarChar"/>
        </w:rPr>
        <w:t>/ ronde / *** </w:t>
      </w:r>
      <w:r>
        <w:t xml:space="preserve"> ,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55B24919" w14:textId="77777777" w:rsidR="004B2808"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33AB2E08" w14:textId="77777777" w:rsidR="004B2808" w:rsidRDefault="00000000">
      <w:pPr>
        <w:pStyle w:val="Author-eListParagraph"/>
        <w:numPr>
          <w:ilvl w:val="0"/>
          <w:numId w:val="945"/>
        </w:numPr>
      </w:pPr>
      <w:r>
        <w:t xml:space="preserve">Pourvus d'une imposte </w:t>
      </w:r>
      <w:r>
        <w:rPr>
          <w:rStyle w:val="optioncarChar"/>
        </w:rPr>
        <w:t>avec</w:t>
      </w:r>
      <w:r>
        <w:t> (par défaut)</w:t>
      </w:r>
      <w:r>
        <w:rPr>
          <w:rStyle w:val="optioncarChar"/>
        </w:rPr>
        <w:t xml:space="preserve"> / sans / *** </w:t>
      </w:r>
      <w:r>
        <w:t>traverse intermédiaire.</w:t>
      </w:r>
    </w:p>
    <w:p w14:paraId="4911BC9A" w14:textId="77777777" w:rsidR="004B2808" w:rsidRDefault="00000000">
      <w:pPr>
        <w:pStyle w:val="Author-eListParagraph"/>
        <w:numPr>
          <w:ilvl w:val="0"/>
          <w:numId w:val="945"/>
        </w:numPr>
      </w:pPr>
      <w:r>
        <w:t>Pourvus d'une bande brise-bise et butoir continue.</w:t>
      </w:r>
    </w:p>
    <w:p w14:paraId="487D35AA" w14:textId="77777777" w:rsidR="004B2808" w:rsidRDefault="00000000">
      <w:pPr>
        <w:pStyle w:val="Author-eListParagraph"/>
        <w:numPr>
          <w:ilvl w:val="0"/>
          <w:numId w:val="945"/>
        </w:numPr>
      </w:pPr>
      <w:r>
        <w:t xml:space="preserve">Pourvus d'un cadre approprié pour la fixation d'un ferme-porte, prévu à l'art. </w:t>
      </w:r>
      <w:hyperlink w:anchor="1325" w:history="1">
        <w:r w:rsidR="004B2808">
          <w:rPr>
            <w:color w:val="0000EE"/>
          </w:rPr>
          <w:t>55.62.5 Système de fermeture</w:t>
        </w:r>
      </w:hyperlink>
    </w:p>
    <w:p w14:paraId="06808CCF" w14:textId="77777777" w:rsidR="004B2808" w:rsidRDefault="00000000">
      <w:pPr>
        <w:pStyle w:val="Author-eListParagraph"/>
        <w:numPr>
          <w:ilvl w:val="0"/>
          <w:numId w:val="945"/>
        </w:numPr>
      </w:pPr>
      <w:r>
        <w:t xml:space="preserve">Conçus comme portes </w:t>
      </w:r>
      <w:r>
        <w:rPr>
          <w:rStyle w:val="optioncarChar"/>
        </w:rPr>
        <w:t>va-et-vient</w:t>
      </w:r>
      <w:r>
        <w:t> (par défaut)</w:t>
      </w:r>
      <w:r>
        <w:rPr>
          <w:rStyle w:val="optioncarChar"/>
        </w:rPr>
        <w:t xml:space="preserve"> / pivotantes / ***</w:t>
      </w:r>
      <w:r>
        <w:t xml:space="preserve"> . Elles se composent de </w:t>
      </w:r>
      <w:r>
        <w:rPr>
          <w:rStyle w:val="optioncarChar"/>
        </w:rPr>
        <w:t>un panneau</w:t>
      </w:r>
      <w:r>
        <w:t> (par défaut)</w:t>
      </w:r>
      <w:r>
        <w:rPr>
          <w:rStyle w:val="optioncarChar"/>
        </w:rPr>
        <w:t xml:space="preserve"> / deux panneaux / *** </w:t>
      </w:r>
      <w:r>
        <w:t>, les vantaux des portes et les huisseries sont semblables aux portes ouvrantes ordinaires, seul le mode de suspension et les quincailleries correspondantes sont adaptés au concept des portes battantes.</w:t>
      </w:r>
    </w:p>
    <w:p w14:paraId="0CA690B5" w14:textId="77777777" w:rsidR="004B2808" w:rsidRDefault="00000000">
      <w:pPr>
        <w:pStyle w:val="pheading"/>
      </w:pPr>
      <w:r>
        <w:t>MESURAGE</w:t>
      </w:r>
    </w:p>
    <w:p w14:paraId="6D0A295F" w14:textId="77777777" w:rsidR="004B2808" w:rsidRDefault="00000000">
      <w:r>
        <w:t>Conformément aux indications spécifiques dans le cahier spécial des charges et/ou le métré récapitulatif, le mesurage peut être conçu comme suit, en fonction de la nature des portes intérieures :</w:t>
      </w:r>
    </w:p>
    <w:p w14:paraId="39E21580" w14:textId="77777777" w:rsidR="004B2808" w:rsidRDefault="00000000">
      <w:pPr>
        <w:pStyle w:val="pheading"/>
      </w:pPr>
      <w:r>
        <w:t>- unité de mesure:</w:t>
      </w:r>
    </w:p>
    <w:p w14:paraId="315FB03C" w14:textId="77777777" w:rsidR="004B2808" w:rsidRDefault="00000000">
      <w:r>
        <w:t>p</w:t>
      </w:r>
    </w:p>
    <w:p w14:paraId="3EF8B461" w14:textId="77777777" w:rsidR="004B2808" w:rsidRDefault="00000000">
      <w:pPr>
        <w:pStyle w:val="pheading"/>
      </w:pPr>
      <w:r>
        <w:t>- code de mesurage:</w:t>
      </w:r>
    </w:p>
    <w:p w14:paraId="662CCB1F" w14:textId="77777777" w:rsidR="004B2808" w:rsidRDefault="00000000">
      <w:r>
        <w:t xml:space="preserve">Choix opéré: </w:t>
      </w:r>
      <w:r>
        <w:rPr>
          <w:rStyle w:val="optioncarChar"/>
        </w:rPr>
        <w:t> </w:t>
      </w:r>
      <w:r>
        <w:rPr>
          <w:rStyle w:val="optioncarChar"/>
          <w:b/>
        </w:rPr>
        <w:t>*** / OPTION 1 (un ensemble) </w:t>
      </w:r>
      <w:r>
        <w:t>(par défaut)</w:t>
      </w:r>
      <w:r>
        <w:rPr>
          <w:rStyle w:val="optioncarChar"/>
          <w:b/>
        </w:rPr>
        <w:t xml:space="preserve"> / OPTION 2 (séparément)</w:t>
      </w:r>
    </w:p>
    <w:p w14:paraId="5F7954F4" w14:textId="77777777" w:rsidR="004B2808"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14:paraId="4CBCF5AC" w14:textId="77777777" w:rsidR="004B2808" w:rsidRDefault="00000000">
      <w:r>
        <w:rPr>
          <w:b/>
        </w:rPr>
        <w:t>***OPTION 2</w:t>
      </w:r>
      <w:r>
        <w:t xml:space="preserve"> : les encadrements et les feuilles de portes sont considérés séparément</w:t>
      </w:r>
      <w:r>
        <w:br/>
      </w:r>
      <w:r>
        <w:rPr>
          <w:u w:val="single"/>
        </w:rPr>
        <w:t>encadrements</w:t>
      </w:r>
      <w:r>
        <w:t xml:space="preserve"> :</w:t>
      </w:r>
      <w:r>
        <w:br/>
      </w:r>
      <w:r>
        <w:lastRenderedPageBreak/>
        <w:t>éventuellement ventilés selon le type ou modèle, ventilé selon les dimensions de la porte et l'épaisseur de la paroi intérieure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le cas échéant, ventilé selon le type ou le modèle, ventilé selon les dimensions des portes (indépendamment de la hauteur) et l'épaisseur des cloisons intérieures (</w:t>
      </w:r>
      <w:r>
        <w:rPr>
          <w:rStyle w:val="optioncarChar"/>
        </w:rPr>
        <w:t>7 </w:t>
      </w:r>
      <w:r>
        <w:t xml:space="preserve">(par défaut) </w:t>
      </w:r>
      <w:r>
        <w:rPr>
          <w:rStyle w:val="optioncarChar"/>
        </w:rPr>
        <w:t>/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0829A9F2" w14:textId="77777777" w:rsidR="004B2808" w:rsidRDefault="00000000">
      <w:r>
        <w:rPr>
          <w:u w:val="single"/>
        </w:rPr>
        <w:t xml:space="preserve">Attention </w:t>
      </w:r>
    </w:p>
    <w:p w14:paraId="41694FF4" w14:textId="77777777" w:rsidR="004B2808" w:rsidRDefault="00000000">
      <w:pPr>
        <w:pStyle w:val="Author-eListParagraph"/>
        <w:numPr>
          <w:ilvl w:val="0"/>
          <w:numId w:val="946"/>
        </w:numPr>
      </w:pPr>
      <w:r>
        <w:t>Les vantaux de portes de 630 - 730 et 830 mm de largeur peuvent être pris ensemble pour le mesurage.</w:t>
      </w:r>
    </w:p>
    <w:p w14:paraId="002D0F79" w14:textId="77777777" w:rsidR="004B2808" w:rsidRDefault="00000000">
      <w:pPr>
        <w:pStyle w:val="Author-eListParagraph"/>
        <w:numPr>
          <w:ilvl w:val="0"/>
          <w:numId w:val="946"/>
        </w:numPr>
      </w:pPr>
      <w:r>
        <w:t>Les quincailleries dont la fourniture et la mise en œuvre sont comprises peuvent être décrites dans d'autres postes mais sont toujours comprises dans le prix des portes.</w:t>
      </w:r>
    </w:p>
    <w:p w14:paraId="5BB7418A" w14:textId="77777777" w:rsidR="004B2808" w:rsidRDefault="00000000">
      <w:pPr>
        <w:pStyle w:val="pheading"/>
      </w:pPr>
      <w:r>
        <w:t>- nature du marché:</w:t>
      </w:r>
    </w:p>
    <w:p w14:paraId="205A27E6" w14:textId="77777777" w:rsidR="004B2808" w:rsidRDefault="00000000">
      <w:r>
        <w:t>QF</w:t>
      </w:r>
    </w:p>
    <w:p w14:paraId="3DB95F79" w14:textId="77777777" w:rsidR="004B2808" w:rsidRDefault="00000000">
      <w:pPr>
        <w:pStyle w:val="Author-eSectionHeading6Numberless"/>
      </w:pPr>
      <w:bookmarkStart w:id="1074" w:name="_Toc220491201"/>
      <w:r>
        <w:t>55.21.7c Portes intérieures en bois massif + finition inox CCTB 01.10</w:t>
      </w:r>
      <w:bookmarkEnd w:id="1074"/>
    </w:p>
    <w:p w14:paraId="0B907249" w14:textId="77777777" w:rsidR="004B2808" w:rsidRDefault="00000000">
      <w:pPr>
        <w:pStyle w:val="pheading"/>
      </w:pPr>
      <w:r>
        <w:t>MATÉRIAUX</w:t>
      </w:r>
    </w:p>
    <w:p w14:paraId="3F7D1F61" w14:textId="77777777" w:rsidR="004B2808" w:rsidRDefault="00000000">
      <w:pPr>
        <w:pStyle w:val="pheading"/>
      </w:pPr>
      <w:r>
        <w:t>- Prescriptions complémentaires</w:t>
      </w:r>
    </w:p>
    <w:p w14:paraId="3E29A34E" w14:textId="77777777" w:rsidR="004B2808" w:rsidRDefault="00000000">
      <w:pPr>
        <w:pStyle w:val="heading"/>
      </w:pPr>
      <w:r>
        <w:t>(critères de performance)  Vantaux de porte</w:t>
      </w:r>
    </w:p>
    <w:p w14:paraId="5E6AC3B9" w14:textId="77777777" w:rsidR="004B2808" w:rsidRDefault="00000000">
      <w:r>
        <w:t>Conformément aux indications supplémentaires dans le cahier spécial des charges, les dispositions supplémentaires suivantes sont d'application :</w:t>
      </w:r>
    </w:p>
    <w:p w14:paraId="40E3689F" w14:textId="77777777" w:rsidR="004B2808" w:rsidRDefault="00000000">
      <w:pPr>
        <w:pStyle w:val="Author-eListParagraph"/>
        <w:numPr>
          <w:ilvl w:val="0"/>
          <w:numId w:val="947"/>
        </w:numPr>
      </w:pPr>
      <w:r>
        <w:t>Les dispositions des [STS 53.1] pour les portes intérieures planes dans les salles de bains et les autres locaux humides.</w:t>
      </w:r>
    </w:p>
    <w:p w14:paraId="6F31827C" w14:textId="77777777" w:rsidR="004B2808" w:rsidRDefault="00000000">
      <w:r>
        <w:br/>
        <w:t>Attention  : Les ensembles de porte résistant au feu sont toujours considérés dans un poste séparé.</w:t>
      </w:r>
    </w:p>
    <w:p w14:paraId="5967D05F" w14:textId="77777777" w:rsidR="004B2808" w:rsidRDefault="00000000">
      <w:pPr>
        <w:pStyle w:val="heading"/>
      </w:pPr>
      <w:r>
        <w:t>(Accessoires) Vantaux de porte</w:t>
      </w:r>
    </w:p>
    <w:p w14:paraId="7EB1BA21"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033E7A3B" w14:textId="77777777" w:rsidR="004B2808" w:rsidRDefault="00000000">
      <w:pPr>
        <w:pStyle w:val="Author-eListParagraph"/>
        <w:numPr>
          <w:ilvl w:val="0"/>
          <w:numId w:val="948"/>
        </w:numPr>
      </w:pPr>
      <w:r>
        <w:t>Equipés d'un vitrage :</w:t>
      </w:r>
    </w:p>
    <w:p w14:paraId="0EE3CED3" w14:textId="77777777" w:rsidR="004B2808" w:rsidRDefault="00000000">
      <w:pPr>
        <w:pStyle w:val="Author-eListParagraph"/>
        <w:numPr>
          <w:ilvl w:val="0"/>
          <w:numId w:val="948"/>
        </w:numPr>
      </w:pPr>
      <w:r>
        <w:t xml:space="preserve">En verre de sécurité </w:t>
      </w:r>
      <w:r>
        <w:rPr>
          <w:rStyle w:val="optioncarChar"/>
        </w:rPr>
        <w:t>simple</w:t>
      </w:r>
      <w:r>
        <w:t> (par défaut)</w:t>
      </w:r>
      <w:r>
        <w:rPr>
          <w:rStyle w:val="optioncarChar"/>
        </w:rPr>
        <w:t xml:space="preserve"> / clair / mat / opale / ***</w:t>
      </w:r>
      <w:r>
        <w:t xml:space="preserve"> , selon la [NBN S 23-002]</w:t>
      </w:r>
    </w:p>
    <w:p w14:paraId="548240A2" w14:textId="77777777" w:rsidR="004B2808" w:rsidRDefault="00000000">
      <w:pPr>
        <w:pStyle w:val="Author-eListParagraph"/>
        <w:numPr>
          <w:ilvl w:val="0"/>
          <w:numId w:val="948"/>
        </w:numPr>
      </w:pPr>
      <w:r>
        <w:t xml:space="preserve">Réservation dans le vantail de porte : </w:t>
      </w:r>
      <w:r>
        <w:rPr>
          <w:rStyle w:val="optioncarChar"/>
        </w:rPr>
        <w:t>rectangulaire</w:t>
      </w:r>
      <w:r>
        <w:t> (par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23F65860" w14:textId="77777777" w:rsidR="004B2808" w:rsidRDefault="00000000">
      <w:pPr>
        <w:pStyle w:val="Author-eListParagraph"/>
        <w:numPr>
          <w:ilvl w:val="0"/>
          <w:numId w:val="948"/>
        </w:numPr>
      </w:pPr>
      <w:r>
        <w:t xml:space="preserve">Fixation de la vitre dans la réservation à l'aide de : </w:t>
      </w:r>
      <w:r>
        <w:rPr>
          <w:rStyle w:val="optioncarChar"/>
        </w:rPr>
        <w:t>mastic plastique </w:t>
      </w:r>
      <w:r>
        <w:t>(par défaut)</w:t>
      </w:r>
      <w:r>
        <w:rPr>
          <w:rStyle w:val="optioncarChar"/>
        </w:rPr>
        <w:t xml:space="preserve"> / profils de fixation à enclenchement en PVC / ***</w:t>
      </w:r>
    </w:p>
    <w:p w14:paraId="3CA92654" w14:textId="77777777" w:rsidR="004B2808" w:rsidRDefault="00000000">
      <w:pPr>
        <w:pStyle w:val="Author-eListParagraph"/>
        <w:numPr>
          <w:ilvl w:val="0"/>
          <w:numId w:val="948"/>
        </w:numPr>
      </w:pPr>
      <w:r>
        <w:t xml:space="preserve">Les vitres sont encadrées par : </w:t>
      </w:r>
      <w:r>
        <w:rPr>
          <w:rStyle w:val="optioncarChar"/>
        </w:rPr>
        <w:t xml:space="preserve">des lattes en bois dur, finition prête à peindre </w:t>
      </w:r>
      <w:r>
        <w:t>(par défaut) </w:t>
      </w:r>
      <w:r>
        <w:rPr>
          <w:rStyle w:val="optioncarChar"/>
        </w:rPr>
        <w:t>/ ***.</w:t>
      </w:r>
    </w:p>
    <w:p w14:paraId="40303AFC" w14:textId="77777777" w:rsidR="004B2808" w:rsidRDefault="00000000">
      <w:pPr>
        <w:pStyle w:val="Author-eListParagraph"/>
        <w:numPr>
          <w:ilvl w:val="0"/>
          <w:numId w:val="948"/>
        </w:numPr>
      </w:pPr>
      <w:r>
        <w:t xml:space="preserve">Pourvus d'une grille encastrée, selon l'article </w:t>
      </w:r>
      <w:hyperlink w:anchor="1322" w:history="1">
        <w:r w:rsidR="004B2808">
          <w:rPr>
            <w:color w:val="0000EE"/>
          </w:rPr>
          <w:t>55.68.1 Grilles de transfert dans les portes</w:t>
        </w:r>
      </w:hyperlink>
      <w:r>
        <w:t xml:space="preserve"> grilles de transfert dans les portes, ouverture d'aération conformément à la [NBN D 50-001]</w:t>
      </w:r>
    </w:p>
    <w:p w14:paraId="1553A08E" w14:textId="77777777" w:rsidR="004B2808" w:rsidRDefault="00000000">
      <w:pPr>
        <w:pStyle w:val="Author-eListParagraph"/>
        <w:numPr>
          <w:ilvl w:val="0"/>
          <w:numId w:val="948"/>
        </w:numPr>
      </w:pPr>
      <w:r>
        <w:t>Pourvus d'une fente de ventilation d'environ </w:t>
      </w:r>
      <w:r>
        <w:rPr>
          <w:rStyle w:val="optioncarChar"/>
        </w:rPr>
        <w:t>1</w:t>
      </w:r>
      <w:r>
        <w:t> (par défaut)</w:t>
      </w:r>
      <w:r>
        <w:rPr>
          <w:rStyle w:val="optioncarChar"/>
        </w:rPr>
        <w:t> / ***</w:t>
      </w:r>
      <w:r>
        <w:t xml:space="preserve"> cm dans le bas, de façon telle que l'ouverture d'aération soit conformé à la [NBN D 50-001]</w:t>
      </w:r>
    </w:p>
    <w:p w14:paraId="4443143E" w14:textId="77777777" w:rsidR="004B2808" w:rsidRDefault="00000000">
      <w:pPr>
        <w:pStyle w:val="Author-eListParagraph"/>
        <w:numPr>
          <w:ilvl w:val="0"/>
          <w:numId w:val="948"/>
        </w:numPr>
      </w:pPr>
      <w:r>
        <w:t>Conçues comme portes coulissantes (les vantaux de porte et les huisseries sont conformes aux portes ouvrantes ordinaires. Seuls le mode de suspension et la quincaillerie concernée sont adaptés au concept des vantaux de porte coulissants).</w:t>
      </w:r>
    </w:p>
    <w:p w14:paraId="5C6C7240" w14:textId="77777777" w:rsidR="004B2808" w:rsidRDefault="00000000">
      <w:pPr>
        <w:pStyle w:val="Author-eListParagraph"/>
        <w:numPr>
          <w:ilvl w:val="0"/>
          <w:numId w:val="948"/>
        </w:numPr>
      </w:pPr>
      <w:r>
        <w:t xml:space="preserve">Portes coulissantes </w:t>
      </w:r>
      <w:r>
        <w:rPr>
          <w:rStyle w:val="optioncarChar"/>
        </w:rPr>
        <w:t>simples</w:t>
      </w:r>
      <w:r>
        <w:t> (par défaut)</w:t>
      </w:r>
      <w:r>
        <w:rPr>
          <w:rStyle w:val="optioncarChar"/>
        </w:rPr>
        <w:t xml:space="preserve"> / doubles / ***</w:t>
      </w:r>
    </w:p>
    <w:p w14:paraId="4767F863" w14:textId="77777777" w:rsidR="004B2808" w:rsidRDefault="00000000">
      <w:pPr>
        <w:pStyle w:val="Author-eListParagraph"/>
        <w:numPr>
          <w:ilvl w:val="0"/>
          <w:numId w:val="948"/>
        </w:numPr>
      </w:pPr>
      <w:r>
        <w:t>Composées de</w:t>
      </w:r>
      <w:r>
        <w:rPr>
          <w:rStyle w:val="optioncarChar"/>
        </w:rPr>
        <w:t> un panneau</w:t>
      </w:r>
      <w:r>
        <w:t xml:space="preserve"> (par défaut) </w:t>
      </w:r>
      <w:r>
        <w:rPr>
          <w:rStyle w:val="optioncarChar"/>
        </w:rPr>
        <w:t>/ deux panneaux / ***</w:t>
      </w:r>
    </w:p>
    <w:p w14:paraId="7AB0C075" w14:textId="77777777" w:rsidR="004B2808" w:rsidRDefault="00000000">
      <w:pPr>
        <w:pStyle w:val="Author-eListParagraph"/>
        <w:numPr>
          <w:ilvl w:val="0"/>
          <w:numId w:val="948"/>
        </w:numPr>
      </w:pPr>
      <w:r>
        <w:lastRenderedPageBreak/>
        <w:t>Mécanisme de coulisse : rails en acier galvanisé; galets en nylon de première qualité; type et modèle en fonction du type et du poids des vantaux coulissants.</w:t>
      </w:r>
    </w:p>
    <w:p w14:paraId="69D4482E" w14:textId="77777777" w:rsidR="004B2808" w:rsidRDefault="00000000">
      <w:pPr>
        <w:pStyle w:val="Author-eListParagraph"/>
        <w:numPr>
          <w:ilvl w:val="0"/>
          <w:numId w:val="948"/>
        </w:numPr>
      </w:pPr>
      <w:r>
        <w:t xml:space="preserve">Conçues comme </w:t>
      </w:r>
      <w:r>
        <w:rPr>
          <w:rStyle w:val="optioncarChar"/>
        </w:rPr>
        <w:t>portes battantes</w:t>
      </w:r>
      <w:r>
        <w:t xml:space="preserve"> (par défaut) </w:t>
      </w:r>
      <w:r>
        <w:rPr>
          <w:rStyle w:val="optioncarChar"/>
        </w:rPr>
        <w:t>/ pivotantes / ***  </w:t>
      </w:r>
      <w:r>
        <w:t xml:space="preserve">(les vantaux de porte et les huisseries sont conformes aux portes ouvrantes ordinaires. Seuls le mode de suspension et la quincaillerie concernée sont adaptés au concept des vantaux de porte </w:t>
      </w:r>
      <w:r>
        <w:rPr>
          <w:rStyle w:val="optioncarChar"/>
        </w:rPr>
        <w:t>battante</w:t>
      </w:r>
      <w:r>
        <w:t> (par défaut)</w:t>
      </w:r>
      <w:r>
        <w:rPr>
          <w:rStyle w:val="optioncarChar"/>
        </w:rPr>
        <w:t xml:space="preserve"> / pivotante / ***</w:t>
      </w:r>
      <w:r>
        <w:t>)</w:t>
      </w:r>
    </w:p>
    <w:p w14:paraId="0FE1FA56" w14:textId="77777777" w:rsidR="004B2808" w:rsidRDefault="00000000">
      <w:pPr>
        <w:pStyle w:val="Author-eListParagraph"/>
        <w:numPr>
          <w:ilvl w:val="0"/>
          <w:numId w:val="948"/>
        </w:numPr>
      </w:pPr>
      <w:r>
        <w:t xml:space="preserve">Composées de </w:t>
      </w:r>
      <w:r>
        <w:rPr>
          <w:rStyle w:val="optioncarChar"/>
        </w:rPr>
        <w:t>un panneau </w:t>
      </w:r>
      <w:r>
        <w:t>(par défaut)</w:t>
      </w:r>
      <w:r>
        <w:rPr>
          <w:rStyle w:val="optioncarChar"/>
        </w:rPr>
        <w:t xml:space="preserve"> / deux panneaux / ***</w:t>
      </w:r>
    </w:p>
    <w:p w14:paraId="6B4D5EC0" w14:textId="77777777" w:rsidR="004B2808" w:rsidRDefault="00000000">
      <w:pPr>
        <w:pStyle w:val="heading"/>
      </w:pPr>
      <w:r>
        <w:t>Ensembles de porte / résistant au feu</w:t>
      </w:r>
    </w:p>
    <w:p w14:paraId="1238DDB8"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2A9E99F6" w14:textId="77777777" w:rsidR="004B2808" w:rsidRDefault="00000000">
      <w:pPr>
        <w:pStyle w:val="Author-eListParagraph"/>
        <w:numPr>
          <w:ilvl w:val="0"/>
          <w:numId w:val="949"/>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21853C19" w14:textId="77777777" w:rsidR="004B2808" w:rsidRDefault="00000000">
      <w:pPr>
        <w:pStyle w:val="Author-eListParagraph"/>
        <w:numPr>
          <w:ilvl w:val="0"/>
          <w:numId w:val="949"/>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 xml:space="preserve">vernies </w:t>
      </w:r>
      <w:r>
        <w:t>(par défaut) </w:t>
      </w:r>
      <w:r>
        <w:rPr>
          <w:rStyle w:val="optioncarChar"/>
        </w:rPr>
        <w:t>/ peintes / ***</w:t>
      </w:r>
      <w:r>
        <w:t xml:space="preserve"> comme les chanlattes. Le vitrage est toujours délimité sur toute sa périphérie par des sections en bois plein d'une largeur minimale de 140 mm pour les côtés et au-dessus et de 220 mm dans le bas.</w:t>
      </w:r>
    </w:p>
    <w:p w14:paraId="0F5F5ABC" w14:textId="77777777" w:rsidR="004B2808"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582894FE" w14:textId="77777777" w:rsidR="004B2808" w:rsidRDefault="00000000">
      <w:pPr>
        <w:pStyle w:val="Author-eListParagraph"/>
        <w:numPr>
          <w:ilvl w:val="0"/>
          <w:numId w:val="950"/>
        </w:numPr>
      </w:pPr>
      <w:r>
        <w:t xml:space="preserve">Pourvus d'une imposte </w:t>
      </w:r>
      <w:r>
        <w:rPr>
          <w:rStyle w:val="optioncarChar"/>
        </w:rPr>
        <w:t>avec </w:t>
      </w:r>
      <w:r>
        <w:t>(par défaut)</w:t>
      </w:r>
      <w:r>
        <w:rPr>
          <w:rStyle w:val="optioncarChar"/>
        </w:rPr>
        <w:t xml:space="preserve"> / sans / *** </w:t>
      </w:r>
      <w:r>
        <w:t>traverse intermédiaire.</w:t>
      </w:r>
    </w:p>
    <w:p w14:paraId="27E8C50B" w14:textId="77777777" w:rsidR="004B2808" w:rsidRDefault="00000000">
      <w:pPr>
        <w:pStyle w:val="Author-eListParagraph"/>
        <w:numPr>
          <w:ilvl w:val="0"/>
          <w:numId w:val="950"/>
        </w:numPr>
      </w:pPr>
      <w:r>
        <w:t>Pourvus d'une bande brise-bise et butoir continue.</w:t>
      </w:r>
    </w:p>
    <w:p w14:paraId="27DBF8A3" w14:textId="77777777" w:rsidR="004B2808" w:rsidRDefault="00000000">
      <w:pPr>
        <w:pStyle w:val="Author-eListParagraph"/>
        <w:numPr>
          <w:ilvl w:val="0"/>
          <w:numId w:val="950"/>
        </w:numPr>
      </w:pPr>
      <w:r>
        <w:t xml:space="preserve">Pourvus d'un cadre approprié pour la fixation d'un ferme-porte, prévu à l'art. </w:t>
      </w:r>
      <w:hyperlink w:anchor="1325" w:history="1">
        <w:r w:rsidR="004B2808">
          <w:rPr>
            <w:color w:val="0000EE"/>
          </w:rPr>
          <w:t>55.62.5 Système de fermeture</w:t>
        </w:r>
      </w:hyperlink>
    </w:p>
    <w:p w14:paraId="3CDE3D30" w14:textId="77777777" w:rsidR="004B2808" w:rsidRDefault="00000000">
      <w:pPr>
        <w:pStyle w:val="Author-eListParagraph"/>
        <w:numPr>
          <w:ilvl w:val="0"/>
          <w:numId w:val="950"/>
        </w:numPr>
      </w:pPr>
      <w:r>
        <w:t xml:space="preserve">Conçus comme portes </w:t>
      </w:r>
      <w:r>
        <w:rPr>
          <w:rStyle w:val="optioncarChar"/>
        </w:rPr>
        <w:t>va-et-vient </w:t>
      </w:r>
      <w:r>
        <w:t>(par défaut)</w:t>
      </w:r>
      <w:r>
        <w:rPr>
          <w:rStyle w:val="optioncarChar"/>
        </w:rPr>
        <w:t xml:space="preserve"> / pivotantes </w:t>
      </w:r>
      <w:r>
        <w:t xml:space="preserve">. Elles se composent de </w:t>
      </w:r>
      <w:r>
        <w:rPr>
          <w:rStyle w:val="optioncarChar"/>
        </w:rPr>
        <w:t>un panneau </w:t>
      </w:r>
      <w:r>
        <w:t>(par défaut)</w:t>
      </w:r>
      <w:r>
        <w:rPr>
          <w:rStyle w:val="optioncarChar"/>
        </w:rPr>
        <w:t xml:space="preserve"> / deux panneaux / ***</w:t>
      </w:r>
      <w:r>
        <w:t xml:space="preserve"> , les vantaux des portes et les huisseries sont semblables aux portes ouvrantes ordinaires, seul le mode de suspension et les quincailleries correspondantes sont adaptés au concept des portes battantes.</w:t>
      </w:r>
    </w:p>
    <w:p w14:paraId="34DE2837" w14:textId="77777777" w:rsidR="004B2808" w:rsidRDefault="00000000">
      <w:pPr>
        <w:pStyle w:val="Author-eListParagraph"/>
        <w:numPr>
          <w:ilvl w:val="0"/>
          <w:numId w:val="950"/>
        </w:numPr>
      </w:pPr>
      <w:r>
        <w:t>L'ensemble porte résistant au feu est conforme à la [NIT 234].</w:t>
      </w:r>
    </w:p>
    <w:p w14:paraId="49B98E49" w14:textId="77777777" w:rsidR="004B2808" w:rsidRDefault="00000000">
      <w:pPr>
        <w:pStyle w:val="heading"/>
      </w:pPr>
      <w:r>
        <w:t>Options (biffer la mention inutile) huisseries de portes - bois</w:t>
      </w:r>
    </w:p>
    <w:p w14:paraId="6E946B38" w14:textId="77777777" w:rsidR="004B2808" w:rsidRDefault="00000000">
      <w:pPr>
        <w:pStyle w:val="Author-eListParagraph"/>
        <w:numPr>
          <w:ilvl w:val="0"/>
          <w:numId w:val="951"/>
        </w:numPr>
      </w:pPr>
      <w:r>
        <w:t>Les portes sont conçues comme un châssis à pose affleurante jusqu'au plafond (avec</w:t>
      </w:r>
      <w:r>
        <w:rPr>
          <w:rStyle w:val="optioncarChar"/>
        </w:rPr>
        <w:t xml:space="preserve"> vantaux vitrés </w:t>
      </w:r>
      <w:r>
        <w:t>(par défaut) </w:t>
      </w:r>
      <w:r>
        <w:rPr>
          <w:rStyle w:val="optioncarChar"/>
        </w:rPr>
        <w:t>/ imposte/ ***</w:t>
      </w:r>
      <w:r>
        <w:t xml:space="preserve">). La feuillure des portes est embrevée sur une profondeur de </w:t>
      </w:r>
      <w:r>
        <w:rPr>
          <w:rStyle w:val="optioncarChar"/>
        </w:rPr>
        <w:t>10</w:t>
      </w:r>
      <w:r>
        <w:t xml:space="preserve"> (par défaut) </w:t>
      </w:r>
      <w:r>
        <w:rPr>
          <w:rStyle w:val="optioncarChar"/>
        </w:rPr>
        <w:t xml:space="preserve">/ *** </w:t>
      </w:r>
      <w:r>
        <w:t>mm dans le chambranle. Les ébrasements latéraux vont jusqu'au plafond, la traverse supérieure horizontale est :</w:t>
      </w:r>
      <w:r>
        <w:rPr>
          <w:rStyle w:val="optioncarChar"/>
        </w:rPr>
        <w:t> posée aussi près que possible du plafond </w:t>
      </w:r>
      <w:r>
        <w:t>(par défaut)</w:t>
      </w:r>
      <w:r>
        <w:rPr>
          <w:rStyle w:val="optioncarChar"/>
        </w:rPr>
        <w:t xml:space="preserve"> / absente / ***</w:t>
      </w:r>
    </w:p>
    <w:p w14:paraId="4EE24857" w14:textId="77777777" w:rsidR="004B2808" w:rsidRDefault="00000000">
      <w:pPr>
        <w:pStyle w:val="Author-eListParagraph"/>
        <w:numPr>
          <w:ilvl w:val="0"/>
          <w:numId w:val="951"/>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59FE1B54" w14:textId="77777777" w:rsidR="004B2808" w:rsidRDefault="00000000">
      <w:pPr>
        <w:pStyle w:val="Author-eListParagraph"/>
        <w:numPr>
          <w:ilvl w:val="0"/>
          <w:numId w:val="951"/>
        </w:numPr>
      </w:pPr>
      <w:r>
        <w:t xml:space="preserve">Les impostes sont fabriquées dans un morceau de vantail de porte, conformément à la description de l'article </w:t>
      </w:r>
      <w:hyperlink w:anchor="1315" w:history="1">
        <w:r w:rsidR="004B2808">
          <w:rPr>
            <w:color w:val="0000EE"/>
          </w:rP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046B4AAC" w14:textId="77777777" w:rsidR="004B2808" w:rsidRDefault="00000000">
      <w:pPr>
        <w:pStyle w:val="Author-eListParagraph"/>
        <w:numPr>
          <w:ilvl w:val="0"/>
          <w:numId w:val="951"/>
        </w:numPr>
      </w:pPr>
      <w:r>
        <w:lastRenderedPageBreak/>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231C6434" w14:textId="77777777" w:rsidR="004B2808" w:rsidRDefault="00000000">
      <w:pPr>
        <w:pStyle w:val="heading"/>
      </w:pPr>
      <w:r>
        <w:t>Options (biffer la mention inutile) ensembles de porte / résistant au feu - porte pleine / huisserie en acier</w:t>
      </w:r>
    </w:p>
    <w:p w14:paraId="133CEFD1" w14:textId="77777777" w:rsidR="004B2808" w:rsidRDefault="00000000">
      <w:r>
        <w:t xml:space="preserve">Conformément aux indications sur le plan ou les dessins de détail, les vantaux de porte suivants </w:t>
      </w:r>
      <w:r>
        <w:rPr>
          <w:rStyle w:val="optioncarChar"/>
        </w:rPr>
        <w:t xml:space="preserve">*** </w:t>
      </w:r>
      <w:r>
        <w:t>sont :</w:t>
      </w:r>
    </w:p>
    <w:p w14:paraId="23C8DEFF" w14:textId="77777777" w:rsidR="004B2808" w:rsidRDefault="00000000">
      <w:pPr>
        <w:pStyle w:val="Author-eListParagraph"/>
        <w:numPr>
          <w:ilvl w:val="0"/>
          <w:numId w:val="952"/>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6C1FADB5" w14:textId="77777777" w:rsidR="004B2808" w:rsidRDefault="00000000">
      <w:pPr>
        <w:pStyle w:val="Author-eListParagraph"/>
        <w:numPr>
          <w:ilvl w:val="0"/>
          <w:numId w:val="952"/>
        </w:numPr>
      </w:pPr>
      <w:r>
        <w:t xml:space="preserve">Equipés d'un vitrage résistant au feu en verre de sécurité conforme au rapport d'essai. Une réservation est faite dans le vantail de porte : </w:t>
      </w:r>
      <w:r>
        <w:rPr>
          <w:rStyle w:val="optioncarChar"/>
        </w:rPr>
        <w:t>rectangulaire</w:t>
      </w:r>
      <w:r>
        <w:t xml:space="preserve"> (par défaut) </w:t>
      </w:r>
      <w:r>
        <w:rPr>
          <w:rStyle w:val="optioncarChar"/>
        </w:rPr>
        <w:t>/ ronde / ***</w:t>
      </w:r>
      <w:r>
        <w:t xml:space="preserve"> ,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1657E720" w14:textId="77777777" w:rsidR="004B2808"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454A7F88" w14:textId="77777777" w:rsidR="004B2808" w:rsidRDefault="00000000">
      <w:pPr>
        <w:pStyle w:val="Author-eListParagraph"/>
        <w:numPr>
          <w:ilvl w:val="0"/>
          <w:numId w:val="953"/>
        </w:numPr>
      </w:pPr>
      <w:r>
        <w:t xml:space="preserve">Pourvus d'une imposte </w:t>
      </w:r>
      <w:r>
        <w:rPr>
          <w:rStyle w:val="optioncarChar"/>
        </w:rPr>
        <w:t>avec</w:t>
      </w:r>
      <w:r>
        <w:t> (par défaut) </w:t>
      </w:r>
      <w:r>
        <w:rPr>
          <w:rStyle w:val="optioncarChar"/>
        </w:rPr>
        <w:t>/ sans / *** </w:t>
      </w:r>
      <w:r>
        <w:t>traverse intermédiaire.</w:t>
      </w:r>
    </w:p>
    <w:p w14:paraId="560B5421" w14:textId="77777777" w:rsidR="004B2808" w:rsidRDefault="00000000">
      <w:pPr>
        <w:pStyle w:val="Author-eListParagraph"/>
        <w:numPr>
          <w:ilvl w:val="0"/>
          <w:numId w:val="953"/>
        </w:numPr>
      </w:pPr>
      <w:r>
        <w:t>Pourvus d'une bande brise-bise et butoir continue.</w:t>
      </w:r>
    </w:p>
    <w:p w14:paraId="0BA75A05" w14:textId="77777777" w:rsidR="004B2808" w:rsidRDefault="00000000">
      <w:pPr>
        <w:pStyle w:val="Author-eListParagraph"/>
        <w:numPr>
          <w:ilvl w:val="0"/>
          <w:numId w:val="953"/>
        </w:numPr>
      </w:pPr>
      <w:r>
        <w:t xml:space="preserve">Pourvus d'un cadre approprié pour la fixation d'un ferme-porte, prévu à l'art. </w:t>
      </w:r>
      <w:hyperlink w:anchor="1325" w:history="1">
        <w:r w:rsidR="004B2808">
          <w:rPr>
            <w:color w:val="0000EE"/>
          </w:rPr>
          <w:t>55.62.5 Système de fermeture</w:t>
        </w:r>
      </w:hyperlink>
    </w:p>
    <w:p w14:paraId="2E35381A" w14:textId="77777777" w:rsidR="004B2808" w:rsidRDefault="00000000">
      <w:pPr>
        <w:pStyle w:val="Author-eListParagraph"/>
        <w:numPr>
          <w:ilvl w:val="0"/>
          <w:numId w:val="953"/>
        </w:numPr>
      </w:pPr>
      <w:r>
        <w:t xml:space="preserve">Conçus comme portes </w:t>
      </w:r>
      <w:r>
        <w:rPr>
          <w:rStyle w:val="optioncarChar"/>
        </w:rPr>
        <w:t>va-et-vient </w:t>
      </w:r>
      <w:r>
        <w:t>(par défaut)</w:t>
      </w:r>
      <w:r>
        <w:rPr>
          <w:rStyle w:val="optioncarChar"/>
        </w:rPr>
        <w:t xml:space="preserve"> / pivotantes</w:t>
      </w:r>
      <w:r>
        <w:t xml:space="preserve"> . Elles se composent de </w:t>
      </w:r>
      <w:r>
        <w:rPr>
          <w:rStyle w:val="optioncarChar"/>
        </w:rPr>
        <w:t>un panneau </w:t>
      </w:r>
      <w:r>
        <w:t>(par défaut)</w:t>
      </w:r>
      <w:r>
        <w:rPr>
          <w:rStyle w:val="optioncarChar"/>
        </w:rPr>
        <w:t xml:space="preserve"> / deux panneaux / *** </w:t>
      </w:r>
      <w:r>
        <w:t>, les vantaux des portes et les huisseries sont semblables aux portes ouvrantes ordinaires, seuls le mode de suspension et les quincailleries correspondantes sont adaptés au concept des portes battantes.</w:t>
      </w:r>
    </w:p>
    <w:p w14:paraId="4AB5FF75" w14:textId="77777777" w:rsidR="004B2808" w:rsidRDefault="00000000">
      <w:pPr>
        <w:pStyle w:val="pheading"/>
      </w:pPr>
      <w:r>
        <w:t>MESURAGE</w:t>
      </w:r>
    </w:p>
    <w:p w14:paraId="43160651" w14:textId="77777777" w:rsidR="004B2808" w:rsidRDefault="00000000">
      <w:r>
        <w:t>Conformément aux indications spécifiques dans le cahier spécial des charges et/ou le métré récapitulatif, le mesurage peut être conçu comme suit, en fonction de la nature des portes intérieures :</w:t>
      </w:r>
    </w:p>
    <w:p w14:paraId="3EFD30F6" w14:textId="77777777" w:rsidR="004B2808" w:rsidRDefault="00000000">
      <w:pPr>
        <w:pStyle w:val="pheading"/>
      </w:pPr>
      <w:r>
        <w:t>- unité de mesure:</w:t>
      </w:r>
    </w:p>
    <w:p w14:paraId="124C178D" w14:textId="77777777" w:rsidR="004B2808" w:rsidRDefault="00000000">
      <w:r>
        <w:t>p</w:t>
      </w:r>
    </w:p>
    <w:p w14:paraId="0C3028F5" w14:textId="77777777" w:rsidR="004B2808" w:rsidRDefault="00000000">
      <w:pPr>
        <w:pStyle w:val="pheading"/>
      </w:pPr>
      <w:r>
        <w:t>- code de mesurage:</w:t>
      </w:r>
    </w:p>
    <w:p w14:paraId="2EA00357" w14:textId="77777777" w:rsidR="004B2808" w:rsidRDefault="00000000">
      <w:r>
        <w:t>Choix opéré:</w:t>
      </w:r>
      <w:r>
        <w:rPr>
          <w:rStyle w:val="optioncarChar"/>
          <w:b/>
        </w:rPr>
        <w:t>*** / OPTION 1 (un ensemble) </w:t>
      </w:r>
      <w:r>
        <w:t>(par défaut)</w:t>
      </w:r>
      <w:r>
        <w:rPr>
          <w:rStyle w:val="optioncarChar"/>
          <w:b/>
        </w:rPr>
        <w:t xml:space="preserve"> / OPTION 2 (séparément)</w:t>
      </w:r>
    </w:p>
    <w:p w14:paraId="4BACED42" w14:textId="77777777" w:rsidR="004B2808"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w:t>
      </w:r>
      <w:r>
        <w:t xml:space="preserve"> (par défaut) </w:t>
      </w:r>
      <w:r>
        <w:rPr>
          <w:rStyle w:val="optioncarChar"/>
        </w:rPr>
        <w:t>/ 14 / 19 / ***</w:t>
      </w:r>
      <w:r>
        <w:t xml:space="preserve"> ) et, le cas échéant, selon la classification (nature, sens d'ouverture, emplacement,  prestations particulières, dimensions, forme et aspect).</w:t>
      </w:r>
    </w:p>
    <w:p w14:paraId="4416CFD9" w14:textId="77777777" w:rsidR="004B2808" w:rsidRDefault="00000000">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w:t>
      </w:r>
      <w:r>
        <w:t> (par défaut)</w:t>
      </w:r>
      <w:r>
        <w:rPr>
          <w:rStyle w:val="optioncarChar"/>
        </w:rPr>
        <w:t xml:space="preserve"> / 9 / 14 / ***</w:t>
      </w:r>
      <w:r>
        <w:t xml:space="preserve"> ) et, le cas échéant, selon le type ou le </w:t>
      </w:r>
      <w:r>
        <w:lastRenderedPageBreak/>
        <w:t>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le cas échéant, ventilé selon le type ou le modèle, ventilé selon les dimensions des portes (indépendamment de la hauteur) et l'épaisseur des cloisons intérieures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3A308DA0" w14:textId="77777777" w:rsidR="004B2808" w:rsidRDefault="00000000">
      <w:r>
        <w:rPr>
          <w:u w:val="single"/>
        </w:rPr>
        <w:t xml:space="preserve">Attention </w:t>
      </w:r>
    </w:p>
    <w:p w14:paraId="73B60C23" w14:textId="77777777" w:rsidR="004B2808" w:rsidRDefault="00000000">
      <w:pPr>
        <w:pStyle w:val="Author-eListParagraph"/>
        <w:numPr>
          <w:ilvl w:val="0"/>
          <w:numId w:val="954"/>
        </w:numPr>
      </w:pPr>
      <w:r>
        <w:t>Les vantaux de portes de 630 - 730 et 830 mm de largeur peuvent être pris ensemble pour le mesurage.</w:t>
      </w:r>
    </w:p>
    <w:p w14:paraId="29FC92D4" w14:textId="77777777" w:rsidR="004B2808" w:rsidRDefault="00000000">
      <w:pPr>
        <w:pStyle w:val="Author-eListParagraph"/>
        <w:numPr>
          <w:ilvl w:val="0"/>
          <w:numId w:val="954"/>
        </w:numPr>
      </w:pPr>
      <w:r>
        <w:t>Les quincailleries dont la fourniture et la mise en œuvre sont comprises peuvent être décrites dans d'autres postes mais sont toujours comprises dans le prix des portes.</w:t>
      </w:r>
    </w:p>
    <w:p w14:paraId="59998915" w14:textId="77777777" w:rsidR="004B2808" w:rsidRDefault="00000000">
      <w:pPr>
        <w:pStyle w:val="pheading"/>
      </w:pPr>
      <w:r>
        <w:t>- nature du marché:</w:t>
      </w:r>
    </w:p>
    <w:p w14:paraId="722CE210" w14:textId="77777777" w:rsidR="004B2808" w:rsidRDefault="00000000">
      <w:r>
        <w:t>QF</w:t>
      </w:r>
    </w:p>
    <w:p w14:paraId="3EE96E2F" w14:textId="77777777" w:rsidR="004B2808" w:rsidRDefault="00000000">
      <w:pPr>
        <w:pStyle w:val="Author-eSectionHeading6Numberless"/>
      </w:pPr>
      <w:bookmarkStart w:id="1075" w:name="_Toc220491202"/>
      <w:r>
        <w:t>55.21.7d Portes intérieures en bois lamelle-collé + finition inox CCTB 01.11</w:t>
      </w:r>
      <w:bookmarkEnd w:id="1075"/>
    </w:p>
    <w:p w14:paraId="1C34C9FB" w14:textId="77777777" w:rsidR="004B2808" w:rsidRDefault="00000000">
      <w:pPr>
        <w:pStyle w:val="pheading"/>
      </w:pPr>
      <w:r>
        <w:t>MATÉRIAUX</w:t>
      </w:r>
    </w:p>
    <w:p w14:paraId="303571E9" w14:textId="77777777" w:rsidR="004B2808" w:rsidRDefault="00000000">
      <w:pPr>
        <w:pStyle w:val="pheading"/>
      </w:pPr>
      <w:r>
        <w:t>- Prescriptions complémentaires</w:t>
      </w:r>
    </w:p>
    <w:p w14:paraId="0D5FB550" w14:textId="77777777" w:rsidR="004B2808" w:rsidRDefault="00000000">
      <w:pPr>
        <w:pStyle w:val="heading"/>
      </w:pPr>
      <w:r>
        <w:t>(critères de performance)  Vantaux de porte</w:t>
      </w:r>
    </w:p>
    <w:p w14:paraId="2BBB8459" w14:textId="77777777" w:rsidR="004B2808" w:rsidRDefault="00000000">
      <w:r>
        <w:t>Conformément aux indications supplémentaires dans le cahier spécial des charges, les dispositions supplémentaires suivantes sont d'application :</w:t>
      </w:r>
    </w:p>
    <w:p w14:paraId="53D10C58" w14:textId="77777777" w:rsidR="004B2808" w:rsidRDefault="00000000">
      <w:pPr>
        <w:pStyle w:val="Author-eListParagraph"/>
        <w:numPr>
          <w:ilvl w:val="0"/>
          <w:numId w:val="955"/>
        </w:numPr>
      </w:pPr>
      <w:r>
        <w:t>Les dispositions des [STS 53.1] pour les portes intérieures planes dans les salles de bains et les autres locaux humides.</w:t>
      </w:r>
    </w:p>
    <w:p w14:paraId="15D366C9" w14:textId="77777777" w:rsidR="004B2808" w:rsidRDefault="00000000">
      <w:r>
        <w:br/>
        <w:t>Attention  : Les ensembles de porte résistant au feu sont toujours considérés dans un poste séparé.</w:t>
      </w:r>
    </w:p>
    <w:p w14:paraId="6A1AE630" w14:textId="77777777" w:rsidR="004B2808" w:rsidRDefault="00000000">
      <w:pPr>
        <w:pStyle w:val="heading"/>
      </w:pPr>
      <w:r>
        <w:t>(Accessoires) Vantaux de porte</w:t>
      </w:r>
    </w:p>
    <w:p w14:paraId="24FDAFFB"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33550348" w14:textId="77777777" w:rsidR="004B2808" w:rsidRDefault="00000000">
      <w:pPr>
        <w:pStyle w:val="Author-eListParagraph"/>
        <w:numPr>
          <w:ilvl w:val="0"/>
          <w:numId w:val="956"/>
        </w:numPr>
      </w:pPr>
      <w:r>
        <w:t>Equipés d'un vitrage :</w:t>
      </w:r>
    </w:p>
    <w:p w14:paraId="5F6BA57D" w14:textId="77777777" w:rsidR="004B2808" w:rsidRDefault="00000000">
      <w:pPr>
        <w:pStyle w:val="Author-eListParagraph"/>
        <w:numPr>
          <w:ilvl w:val="0"/>
          <w:numId w:val="956"/>
        </w:numPr>
      </w:pPr>
      <w:r>
        <w:t xml:space="preserve">En verre de sécurité </w:t>
      </w:r>
      <w:r>
        <w:rPr>
          <w:rStyle w:val="optioncarChar"/>
        </w:rPr>
        <w:t>simple </w:t>
      </w:r>
      <w:r>
        <w:t xml:space="preserve">(par défaut) </w:t>
      </w:r>
      <w:r>
        <w:rPr>
          <w:rStyle w:val="optioncarChar"/>
        </w:rPr>
        <w:t>/ clair / mat / opale / ***</w:t>
      </w:r>
      <w:r>
        <w:t xml:space="preserve"> , selon la [NBN S 23-002]</w:t>
      </w:r>
    </w:p>
    <w:p w14:paraId="3FB89F6D" w14:textId="77777777" w:rsidR="004B2808" w:rsidRDefault="00000000">
      <w:pPr>
        <w:pStyle w:val="Author-eListParagraph"/>
        <w:numPr>
          <w:ilvl w:val="0"/>
          <w:numId w:val="956"/>
        </w:numPr>
      </w:pPr>
      <w:r>
        <w:t xml:space="preserve">Réservation dans le vantail de porte : </w:t>
      </w:r>
      <w:r>
        <w:rPr>
          <w:rStyle w:val="optioncarChar"/>
        </w:rPr>
        <w:t>rectangulaire</w:t>
      </w:r>
      <w:r>
        <w:t xml:space="preserve"> (par défaut)</w:t>
      </w:r>
      <w:r>
        <w:rPr>
          <w:rStyle w:val="optioncarChar"/>
        </w:rPr>
        <w:t> / ronde / conformément aux dessins de détail / selon le modèle / *** </w:t>
      </w:r>
      <w:r>
        <w:t>à soumettre pour approbation (pour les réservations dans les portes à âme creuse, un cadre en bois est appliqué et collé).</w:t>
      </w:r>
    </w:p>
    <w:p w14:paraId="28C8EB78" w14:textId="77777777" w:rsidR="004B2808" w:rsidRDefault="00000000">
      <w:pPr>
        <w:pStyle w:val="Author-eListParagraph"/>
        <w:numPr>
          <w:ilvl w:val="0"/>
          <w:numId w:val="956"/>
        </w:numPr>
      </w:pPr>
      <w:r>
        <w:t xml:space="preserve">Fixation de la vitre dans la réservation à l'aide de : </w:t>
      </w:r>
      <w:r>
        <w:rPr>
          <w:rStyle w:val="optioncarChar"/>
        </w:rPr>
        <w:t>mastic plastique</w:t>
      </w:r>
      <w:r>
        <w:t> (par défaut)</w:t>
      </w:r>
      <w:r>
        <w:rPr>
          <w:rStyle w:val="optioncarChar"/>
        </w:rPr>
        <w:t xml:space="preserve"> / profils de fixation à enclenchement en PVC / ***</w:t>
      </w:r>
    </w:p>
    <w:p w14:paraId="3EFE3063" w14:textId="77777777" w:rsidR="004B2808" w:rsidRDefault="00000000">
      <w:pPr>
        <w:pStyle w:val="Author-eListParagraph"/>
        <w:numPr>
          <w:ilvl w:val="0"/>
          <w:numId w:val="956"/>
        </w:numPr>
      </w:pPr>
      <w:r>
        <w:t xml:space="preserve">Les vitres sont encadrées par : </w:t>
      </w:r>
      <w:r>
        <w:rPr>
          <w:rStyle w:val="optioncarChar"/>
        </w:rPr>
        <w:t>des lattes en bois dur, finition prête à peindre</w:t>
      </w:r>
      <w:r>
        <w:t> (par défaut)</w:t>
      </w:r>
      <w:r>
        <w:rPr>
          <w:rStyle w:val="optioncarChar"/>
        </w:rPr>
        <w:t xml:space="preserve"> / ***.</w:t>
      </w:r>
    </w:p>
    <w:p w14:paraId="38931EFB" w14:textId="77777777" w:rsidR="004B2808" w:rsidRDefault="00000000">
      <w:pPr>
        <w:pStyle w:val="Author-eListParagraph"/>
        <w:numPr>
          <w:ilvl w:val="0"/>
          <w:numId w:val="956"/>
        </w:numPr>
      </w:pPr>
      <w:r>
        <w:t xml:space="preserve">Pourvus d'une grille encastrée, selon l'article </w:t>
      </w:r>
      <w:hyperlink w:anchor="1322" w:history="1">
        <w:r w:rsidR="004B2808">
          <w:rPr>
            <w:color w:val="0000EE"/>
          </w:rPr>
          <w:t>55.68.1 Grilles de transfert dans les portes</w:t>
        </w:r>
      </w:hyperlink>
      <w:r>
        <w:t xml:space="preserve"> grilles de transfert dans les portes, ouverture d'aération conformément à la [NBN D 50-001]</w:t>
      </w:r>
    </w:p>
    <w:p w14:paraId="7F1854ED" w14:textId="77777777" w:rsidR="004B2808" w:rsidRDefault="00000000">
      <w:pPr>
        <w:pStyle w:val="Author-eListParagraph"/>
        <w:numPr>
          <w:ilvl w:val="0"/>
          <w:numId w:val="956"/>
        </w:numPr>
      </w:pPr>
      <w:r>
        <w:t>Pourvus d'une fente de ventilation d'environ </w:t>
      </w:r>
      <w:r>
        <w:rPr>
          <w:rStyle w:val="optioncarChar"/>
        </w:rPr>
        <w:t>1</w:t>
      </w:r>
      <w:r>
        <w:t> (par défaut)</w:t>
      </w:r>
      <w:r>
        <w:rPr>
          <w:rStyle w:val="optioncarChar"/>
        </w:rPr>
        <w:t> / ***</w:t>
      </w:r>
      <w:r>
        <w:t>(par défaut)cm dans le bas, de façon telle que l'ouverture d'aération soit conforme à la [NBN D 50-001]</w:t>
      </w:r>
    </w:p>
    <w:p w14:paraId="637F0ED1" w14:textId="77777777" w:rsidR="004B2808" w:rsidRDefault="00000000">
      <w:pPr>
        <w:pStyle w:val="Author-eListParagraph"/>
        <w:numPr>
          <w:ilvl w:val="0"/>
          <w:numId w:val="956"/>
        </w:numPr>
      </w:pPr>
      <w:r>
        <w:t>Conçues comme portes coulissantes (les vantaux de porte et les huisseries sont conformes aux portes ouvrantes ordinaires. Seuls le mode de suspension et la quincaillerie concernée sont adaptés au concept des vantaux de porte coulissants).</w:t>
      </w:r>
    </w:p>
    <w:p w14:paraId="1C68588C" w14:textId="77777777" w:rsidR="004B2808" w:rsidRDefault="00000000">
      <w:pPr>
        <w:pStyle w:val="Author-eListParagraph"/>
        <w:numPr>
          <w:ilvl w:val="0"/>
          <w:numId w:val="956"/>
        </w:numPr>
      </w:pPr>
      <w:r>
        <w:t xml:space="preserve">Portes coulissantes </w:t>
      </w:r>
      <w:r>
        <w:rPr>
          <w:rStyle w:val="optioncarChar"/>
        </w:rPr>
        <w:t>simples</w:t>
      </w:r>
      <w:r>
        <w:t> (par défaut)</w:t>
      </w:r>
      <w:r>
        <w:rPr>
          <w:rStyle w:val="optioncarChar"/>
        </w:rPr>
        <w:t xml:space="preserve"> / doubles / ***</w:t>
      </w:r>
    </w:p>
    <w:p w14:paraId="6A19A68F" w14:textId="77777777" w:rsidR="004B2808" w:rsidRDefault="00000000">
      <w:pPr>
        <w:pStyle w:val="Author-eListParagraph"/>
        <w:numPr>
          <w:ilvl w:val="0"/>
          <w:numId w:val="956"/>
        </w:numPr>
      </w:pPr>
      <w:r>
        <w:t>Composées de</w:t>
      </w:r>
      <w:r>
        <w:rPr>
          <w:rStyle w:val="optioncarChar"/>
        </w:rPr>
        <w:t> un panneau </w:t>
      </w:r>
      <w:r>
        <w:t>(par défaut)</w:t>
      </w:r>
      <w:r>
        <w:rPr>
          <w:rStyle w:val="optioncarChar"/>
        </w:rPr>
        <w:t xml:space="preserve"> / deux panneaux / ***</w:t>
      </w:r>
    </w:p>
    <w:p w14:paraId="7517A286" w14:textId="77777777" w:rsidR="004B2808" w:rsidRDefault="00000000">
      <w:pPr>
        <w:pStyle w:val="Author-eListParagraph"/>
        <w:numPr>
          <w:ilvl w:val="0"/>
          <w:numId w:val="956"/>
        </w:numPr>
      </w:pPr>
      <w:r>
        <w:t>Mécanisme de coulisse : rails en acier galvanisé; galets en nylon de première qualité; type et modèle en fonction du type et du poids des vantaux coulissants.</w:t>
      </w:r>
    </w:p>
    <w:p w14:paraId="26C2E212" w14:textId="77777777" w:rsidR="004B2808" w:rsidRDefault="00000000">
      <w:pPr>
        <w:pStyle w:val="Author-eListParagraph"/>
        <w:numPr>
          <w:ilvl w:val="0"/>
          <w:numId w:val="956"/>
        </w:numPr>
      </w:pPr>
      <w:r>
        <w:lastRenderedPageBreak/>
        <w:t xml:space="preserve">Conçues comme </w:t>
      </w:r>
      <w:r>
        <w:rPr>
          <w:rStyle w:val="optioncarChar"/>
        </w:rPr>
        <w:t>portes battantes </w:t>
      </w:r>
      <w:r>
        <w:t>(par défaut)</w:t>
      </w:r>
      <w:r>
        <w:rPr>
          <w:rStyle w:val="optioncarChar"/>
        </w:rPr>
        <w:t xml:space="preserve"> / pivotantes / *** </w:t>
      </w:r>
      <w:r>
        <w:t>(les vantaux de porte et les huisseries sont conformes aux portes ouvrantes ordinaires. Seuls le mode de suspension et la quincaillerie concernée sont adaptés au concept des vantaux de porte battante (par défaut)</w:t>
      </w:r>
      <w:r>
        <w:rPr>
          <w:rStyle w:val="optioncarChar"/>
        </w:rPr>
        <w:t xml:space="preserve"> / pivotante / ***</w:t>
      </w:r>
      <w:r>
        <w:t>)</w:t>
      </w:r>
    </w:p>
    <w:p w14:paraId="1D679BE4" w14:textId="77777777" w:rsidR="004B2808" w:rsidRDefault="00000000">
      <w:pPr>
        <w:pStyle w:val="Author-eListParagraph"/>
        <w:numPr>
          <w:ilvl w:val="0"/>
          <w:numId w:val="956"/>
        </w:numPr>
      </w:pPr>
      <w:r>
        <w:t xml:space="preserve">Composées de </w:t>
      </w:r>
      <w:r>
        <w:rPr>
          <w:rStyle w:val="optioncarChar"/>
        </w:rPr>
        <w:t>un panneau </w:t>
      </w:r>
      <w:r>
        <w:t>(par défaut)</w:t>
      </w:r>
      <w:r>
        <w:rPr>
          <w:rStyle w:val="optioncarChar"/>
        </w:rPr>
        <w:t xml:space="preserve"> / deux panneaux</w:t>
      </w:r>
    </w:p>
    <w:p w14:paraId="2AD43B04" w14:textId="77777777" w:rsidR="004B2808" w:rsidRDefault="00000000">
      <w:pPr>
        <w:pStyle w:val="heading"/>
      </w:pPr>
      <w:r>
        <w:t>Ensembles de porte / résistant au feu</w:t>
      </w:r>
    </w:p>
    <w:p w14:paraId="2AE8E358"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4366671C" w14:textId="77777777" w:rsidR="004B2808" w:rsidRDefault="00000000">
      <w:pPr>
        <w:pStyle w:val="Author-eListParagraph"/>
        <w:numPr>
          <w:ilvl w:val="0"/>
          <w:numId w:val="957"/>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4A8E633B" w14:textId="77777777" w:rsidR="004B2808" w:rsidRDefault="00000000">
      <w:pPr>
        <w:pStyle w:val="Author-eListParagraph"/>
        <w:numPr>
          <w:ilvl w:val="0"/>
          <w:numId w:val="957"/>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w:t>
      </w:r>
      <w:r>
        <w:t xml:space="preserve"> comme les chanlattes. Le vitrage est toujours délimité sur toute sa périphérie par des sections en bois plein d'une largeur minimale de 140 mm pour les côtés et au-dessus et de 220 mm dans le bas.</w:t>
      </w:r>
    </w:p>
    <w:p w14:paraId="5381A1E7" w14:textId="77777777" w:rsidR="004B2808"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2F2D0218" w14:textId="77777777" w:rsidR="004B2808" w:rsidRDefault="00000000">
      <w:pPr>
        <w:pStyle w:val="Author-eListParagraph"/>
        <w:numPr>
          <w:ilvl w:val="0"/>
          <w:numId w:val="958"/>
        </w:numPr>
      </w:pPr>
      <w:r>
        <w:t xml:space="preserve">Pourvus d'une imposte </w:t>
      </w:r>
      <w:r>
        <w:rPr>
          <w:rStyle w:val="optioncarChar"/>
        </w:rPr>
        <w:t>avec </w:t>
      </w:r>
      <w:r>
        <w:t xml:space="preserve">(par défaut) </w:t>
      </w:r>
      <w:r>
        <w:rPr>
          <w:rStyle w:val="optioncarChar"/>
        </w:rPr>
        <w:t>/ sans / *** </w:t>
      </w:r>
      <w:r>
        <w:t>traverse intermédiaire.</w:t>
      </w:r>
    </w:p>
    <w:p w14:paraId="6CB63120" w14:textId="77777777" w:rsidR="004B2808" w:rsidRDefault="00000000">
      <w:pPr>
        <w:pStyle w:val="Author-eListParagraph"/>
        <w:numPr>
          <w:ilvl w:val="0"/>
          <w:numId w:val="958"/>
        </w:numPr>
      </w:pPr>
      <w:r>
        <w:t>Pourvus d'une bande brise-bise et butoir continue.</w:t>
      </w:r>
    </w:p>
    <w:p w14:paraId="248793BC" w14:textId="77777777" w:rsidR="004B2808" w:rsidRDefault="00000000">
      <w:pPr>
        <w:pStyle w:val="Author-eListParagraph"/>
        <w:numPr>
          <w:ilvl w:val="0"/>
          <w:numId w:val="958"/>
        </w:numPr>
      </w:pPr>
      <w:r>
        <w:t xml:space="preserve">Pourvus d'un cadre approprié pour la fixation d'un ferme-porte, prévu à l'art. </w:t>
      </w:r>
      <w:hyperlink w:anchor="1325" w:history="1">
        <w:r w:rsidR="004B2808">
          <w:rPr>
            <w:color w:val="0000EE"/>
          </w:rPr>
          <w:t>55.62.5 Système de fermeture</w:t>
        </w:r>
      </w:hyperlink>
    </w:p>
    <w:p w14:paraId="003B5790" w14:textId="77777777" w:rsidR="004B2808" w:rsidRDefault="00000000">
      <w:pPr>
        <w:pStyle w:val="Author-eListParagraph"/>
        <w:numPr>
          <w:ilvl w:val="0"/>
          <w:numId w:val="958"/>
        </w:numPr>
      </w:pPr>
      <w:r>
        <w:t xml:space="preserve">Conçus comme portes </w:t>
      </w:r>
      <w:r>
        <w:rPr>
          <w:rStyle w:val="optioncarChar"/>
        </w:rPr>
        <w:t>va-et-vient </w:t>
      </w:r>
      <w:r>
        <w:t>(par défaut)</w:t>
      </w:r>
      <w:r>
        <w:rPr>
          <w:rStyle w:val="optioncarChar"/>
        </w:rPr>
        <w:t xml:space="preserve"> / pivotantes / ***  </w:t>
      </w:r>
      <w:r>
        <w:t xml:space="preserve">. Elles se composent de </w:t>
      </w:r>
      <w:r>
        <w:rPr>
          <w:rStyle w:val="optioncarChar"/>
        </w:rPr>
        <w:t>*** / un panneau / deux panneaux</w:t>
      </w:r>
      <w:r>
        <w:t xml:space="preserve"> , les vantaux des portes et les huisseries sont semblables aux portes ouvrantes ordinaires, seuls le mode de suspension et les quincailleries correspondantes sont adaptés au concept des portes battantes.</w:t>
      </w:r>
    </w:p>
    <w:p w14:paraId="7F9ACEA1" w14:textId="77777777" w:rsidR="004B2808" w:rsidRDefault="00000000">
      <w:pPr>
        <w:pStyle w:val="Author-eListParagraph"/>
        <w:numPr>
          <w:ilvl w:val="0"/>
          <w:numId w:val="958"/>
        </w:numPr>
      </w:pPr>
      <w:r>
        <w:t>L'ensemble porte résistant au feu est conforme à la [NIT 234].</w:t>
      </w:r>
    </w:p>
    <w:p w14:paraId="70F5F3D8" w14:textId="77777777" w:rsidR="004B2808" w:rsidRDefault="00000000">
      <w:pPr>
        <w:pStyle w:val="heading"/>
      </w:pPr>
      <w:r>
        <w:t>Options (biffer la mention inutile) huisseries de portes - bois</w:t>
      </w:r>
    </w:p>
    <w:p w14:paraId="2698895A" w14:textId="77777777" w:rsidR="004B2808" w:rsidRDefault="00000000">
      <w:pPr>
        <w:pStyle w:val="Author-eListParagraph"/>
        <w:numPr>
          <w:ilvl w:val="0"/>
          <w:numId w:val="959"/>
        </w:numPr>
      </w:pPr>
      <w:r>
        <w:t xml:space="preserve">Les portes sont conçues comme un châssis à pose affleurante jusqu'au plafond (avec </w:t>
      </w:r>
      <w:r>
        <w:rPr>
          <w:rStyle w:val="optioncarChar"/>
        </w:rPr>
        <w:t>vantaux  vitrés </w:t>
      </w:r>
      <w:r>
        <w:t>(par défaut)</w:t>
      </w:r>
      <w:r>
        <w:rPr>
          <w:rStyle w:val="optioncarChar"/>
        </w:rPr>
        <w:t xml:space="preserve"> / imposte / ***</w:t>
      </w:r>
      <w:r>
        <w:t xml:space="preserve">). La feuillure des portes est embrevée sur une profondeur de </w:t>
      </w:r>
      <w:r>
        <w:rPr>
          <w:rStyle w:val="optioncarChar"/>
        </w:rPr>
        <w:t xml:space="preserve">10 </w:t>
      </w:r>
      <w:r>
        <w:t>(par défaut) </w:t>
      </w:r>
      <w:r>
        <w:rPr>
          <w:rStyle w:val="optioncarChar"/>
        </w:rPr>
        <w:t xml:space="preserve">/ *** </w:t>
      </w:r>
      <w:r>
        <w:t>mm dans le chambranle. Les ébrasements latéraux vont jusqu'au plafond, la traverse supérieure horizontale est :</w:t>
      </w:r>
      <w:r>
        <w:rPr>
          <w:rStyle w:val="optioncarChar"/>
        </w:rPr>
        <w:t> posée aussi près que possible du plafond</w:t>
      </w:r>
      <w:r>
        <w:t> (par défaut)</w:t>
      </w:r>
      <w:r>
        <w:rPr>
          <w:rStyle w:val="optioncarChar"/>
        </w:rPr>
        <w:t xml:space="preserve"> / absente / ***</w:t>
      </w:r>
    </w:p>
    <w:p w14:paraId="44D9FA1E" w14:textId="77777777" w:rsidR="004B2808" w:rsidRDefault="00000000">
      <w:pPr>
        <w:pStyle w:val="Author-eListParagraph"/>
        <w:numPr>
          <w:ilvl w:val="0"/>
          <w:numId w:val="959"/>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795D221E" w14:textId="77777777" w:rsidR="004B2808" w:rsidRDefault="00000000">
      <w:pPr>
        <w:pStyle w:val="Author-eListParagraph"/>
        <w:numPr>
          <w:ilvl w:val="0"/>
          <w:numId w:val="959"/>
        </w:numPr>
      </w:pPr>
      <w:r>
        <w:t xml:space="preserve">Les impostes sont fabriquées dans un morceau de vantail de porte, conformément à la description de l'article </w:t>
      </w:r>
      <w:hyperlink w:anchor="1315" w:history="1">
        <w:r w:rsidR="004B2808">
          <w:rPr>
            <w:color w:val="0000EE"/>
          </w:rP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04F2D535" w14:textId="77777777" w:rsidR="004B2808" w:rsidRDefault="00000000">
      <w:pPr>
        <w:pStyle w:val="Author-eListParagraph"/>
        <w:numPr>
          <w:ilvl w:val="0"/>
          <w:numId w:val="959"/>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72EA12EA" w14:textId="77777777" w:rsidR="004B2808" w:rsidRDefault="00000000">
      <w:pPr>
        <w:pStyle w:val="heading"/>
      </w:pPr>
      <w:r>
        <w:lastRenderedPageBreak/>
        <w:t>Options (biffer la mention inutile) ensembles de porte / résistant au feu - porte pleine / huisserie en acier</w:t>
      </w:r>
    </w:p>
    <w:p w14:paraId="18E491D9" w14:textId="77777777" w:rsidR="004B2808" w:rsidRDefault="00000000">
      <w:r>
        <w:t xml:space="preserve">Conformément aux indications sur le plan ou les dessins de détail, les vantaux de porte suivants </w:t>
      </w:r>
      <w:r>
        <w:rPr>
          <w:rStyle w:val="optioncarChar"/>
        </w:rPr>
        <w:t xml:space="preserve">*** </w:t>
      </w:r>
      <w:r>
        <w:t>sont :</w:t>
      </w:r>
    </w:p>
    <w:p w14:paraId="13BBE89C" w14:textId="77777777" w:rsidR="004B2808" w:rsidRDefault="00000000">
      <w:pPr>
        <w:pStyle w:val="Author-eListParagraph"/>
        <w:numPr>
          <w:ilvl w:val="0"/>
          <w:numId w:val="960"/>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2AD753AF" w14:textId="77777777" w:rsidR="004B2808" w:rsidRDefault="00000000">
      <w:pPr>
        <w:pStyle w:val="Author-eListParagraph"/>
        <w:numPr>
          <w:ilvl w:val="0"/>
          <w:numId w:val="960"/>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21B21E18" w14:textId="77777777" w:rsidR="004B2808"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49393711" w14:textId="77777777" w:rsidR="004B2808" w:rsidRDefault="00000000">
      <w:pPr>
        <w:pStyle w:val="Author-eListParagraph"/>
        <w:numPr>
          <w:ilvl w:val="0"/>
          <w:numId w:val="961"/>
        </w:numPr>
      </w:pPr>
      <w:r>
        <w:t xml:space="preserve">Pourvus d'une imposte </w:t>
      </w:r>
      <w:r>
        <w:rPr>
          <w:rStyle w:val="optioncarChar"/>
        </w:rPr>
        <w:t>avec </w:t>
      </w:r>
      <w:r>
        <w:t>(par défaut)</w:t>
      </w:r>
      <w:r>
        <w:rPr>
          <w:rStyle w:val="optioncarChar"/>
        </w:rPr>
        <w:t xml:space="preserve"> / sans / *** </w:t>
      </w:r>
      <w:r>
        <w:t>traverse intermédiaire.</w:t>
      </w:r>
    </w:p>
    <w:p w14:paraId="3302516E" w14:textId="77777777" w:rsidR="004B2808" w:rsidRDefault="00000000">
      <w:pPr>
        <w:pStyle w:val="Author-eListParagraph"/>
        <w:numPr>
          <w:ilvl w:val="0"/>
          <w:numId w:val="961"/>
        </w:numPr>
      </w:pPr>
      <w:r>
        <w:t>Pourvus d'une bande brise-bise et butoir continue.</w:t>
      </w:r>
    </w:p>
    <w:p w14:paraId="7AFAC305" w14:textId="77777777" w:rsidR="004B2808" w:rsidRDefault="00000000">
      <w:pPr>
        <w:pStyle w:val="Author-eListParagraph"/>
        <w:numPr>
          <w:ilvl w:val="0"/>
          <w:numId w:val="961"/>
        </w:numPr>
      </w:pPr>
      <w:r>
        <w:t xml:space="preserve">Pourvus d'un cadre approprié pour la fixation d'un ferme-porte, prévu à l'art. </w:t>
      </w:r>
      <w:hyperlink w:anchor="1325" w:history="1">
        <w:r w:rsidR="004B2808">
          <w:rPr>
            <w:color w:val="0000EE"/>
          </w:rPr>
          <w:t>55.62.5 Système de fermeture</w:t>
        </w:r>
      </w:hyperlink>
    </w:p>
    <w:p w14:paraId="0118A3C3" w14:textId="77777777" w:rsidR="004B2808" w:rsidRDefault="00000000">
      <w:pPr>
        <w:pStyle w:val="Author-eListParagraph"/>
        <w:numPr>
          <w:ilvl w:val="0"/>
          <w:numId w:val="961"/>
        </w:numPr>
      </w:pPr>
      <w:r>
        <w:t xml:space="preserve">Conçus comme portes </w:t>
      </w:r>
      <w:r>
        <w:rPr>
          <w:rStyle w:val="optioncarChar"/>
        </w:rPr>
        <w:t>va-et-vient </w:t>
      </w:r>
      <w:r>
        <w:t>(par défaut)</w:t>
      </w:r>
      <w:r>
        <w:rPr>
          <w:rStyle w:val="optioncarChar"/>
        </w:rPr>
        <w:t xml:space="preserve"> / pivotantes</w:t>
      </w:r>
      <w:r>
        <w:rPr>
          <w:rStyle w:val="optioncarChar"/>
          <w:color w:val="000000"/>
        </w:rPr>
        <w:t> </w:t>
      </w:r>
      <w:r>
        <w:rPr>
          <w:rStyle w:val="optioncarChar"/>
        </w:rPr>
        <w:t>/ ***</w:t>
      </w:r>
      <w:r>
        <w:t xml:space="preserve"> . Elles se composent de </w:t>
      </w:r>
      <w:r>
        <w:rPr>
          <w:rStyle w:val="optioncarChar"/>
        </w:rPr>
        <w:t xml:space="preserve">un panneau </w:t>
      </w:r>
      <w:r>
        <w:t>(par défaut) </w:t>
      </w:r>
      <w:r>
        <w:rPr>
          <w:rStyle w:val="optioncarChar"/>
        </w:rPr>
        <w:t>/ deux panneaux / ***</w:t>
      </w:r>
      <w:r>
        <w:t>, les vantaux des portes et les huisseries sont semblables aux portes ouvrantes ordinaires, seul le mode de suspension et les quincailleries correspondantes sont adaptés au concept des portes battantes.</w:t>
      </w:r>
    </w:p>
    <w:p w14:paraId="294F1694" w14:textId="77777777" w:rsidR="004B2808" w:rsidRDefault="00000000">
      <w:pPr>
        <w:pStyle w:val="pheading"/>
      </w:pPr>
      <w:r>
        <w:t>MESURAGE</w:t>
      </w:r>
    </w:p>
    <w:p w14:paraId="5A220215" w14:textId="77777777" w:rsidR="004B2808" w:rsidRDefault="00000000">
      <w:r>
        <w:t>Conformément aux indications spécifiques dans le cahier spécial des charges et/ou le métré récapitulatif, le mesurage peut être conçu comme suit, en fonction de la nature des portes intérieures :</w:t>
      </w:r>
    </w:p>
    <w:p w14:paraId="65B6CE8F" w14:textId="77777777" w:rsidR="004B2808" w:rsidRDefault="00000000">
      <w:pPr>
        <w:pStyle w:val="pheading"/>
      </w:pPr>
      <w:r>
        <w:t>- unité de mesure:</w:t>
      </w:r>
    </w:p>
    <w:p w14:paraId="311F2DE6" w14:textId="77777777" w:rsidR="004B2808" w:rsidRDefault="00000000">
      <w:r>
        <w:t>p</w:t>
      </w:r>
    </w:p>
    <w:p w14:paraId="1430A441" w14:textId="77777777" w:rsidR="004B2808" w:rsidRDefault="00000000">
      <w:pPr>
        <w:pStyle w:val="pheading"/>
      </w:pPr>
      <w:r>
        <w:t>- code de mesurage:</w:t>
      </w:r>
    </w:p>
    <w:p w14:paraId="291A00F8" w14:textId="77777777" w:rsidR="004B2808" w:rsidRDefault="00000000">
      <w:r>
        <w:t>Choix opéré:</w:t>
      </w:r>
      <w:r>
        <w:rPr>
          <w:rStyle w:val="optioncarChar"/>
          <w:b/>
        </w:rPr>
        <w:t>*** / OPTION 1 (un ensemble)</w:t>
      </w:r>
      <w:r>
        <w:t xml:space="preserve"> (par défaut) </w:t>
      </w:r>
      <w:r>
        <w:rPr>
          <w:rStyle w:val="optioncarChar"/>
          <w:b/>
        </w:rPr>
        <w:t>/ OPTION 2 (séparément)</w:t>
      </w:r>
    </w:p>
    <w:p w14:paraId="65A3FC23" w14:textId="77777777" w:rsidR="004B2808"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w:t>
      </w:r>
      <w:r>
        <w:t> (par défaut)</w:t>
      </w:r>
      <w:r>
        <w:rPr>
          <w:rStyle w:val="optioncarChar"/>
        </w:rPr>
        <w:t xml:space="preserve"> / 14 / 19 / ***</w:t>
      </w:r>
      <w:r>
        <w:t xml:space="preserve"> ) et, le cas échéant, selon la classification (nature, sens d'ouverture, emplacement,  prestations particulières, dimensions, forme et aspect).</w:t>
      </w:r>
    </w:p>
    <w:p w14:paraId="5F0CC6F2" w14:textId="77777777" w:rsidR="004B2808" w:rsidRDefault="00000000">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r>
      <w:r>
        <w:lastRenderedPageBreak/>
        <w:t xml:space="preserve">le cas échéant, ventilé selon le type ou le modèle, ventilé selon les dimensions des portes (indépendamment de la hauteur) et l'épaisseur des cloisons intérieures ( </w:t>
      </w:r>
      <w:r>
        <w:rPr>
          <w:rStyle w:val="optioncarChar"/>
        </w:rPr>
        <w:t xml:space="preserve">7  </w:t>
      </w:r>
      <w:r>
        <w:t>(par défaut) </w:t>
      </w:r>
      <w:r>
        <w:rPr>
          <w:rStyle w:val="optioncarChar"/>
        </w:rPr>
        <w:t>/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083911E7" w14:textId="77777777" w:rsidR="004B2808" w:rsidRDefault="00000000">
      <w:r>
        <w:rPr>
          <w:u w:val="single"/>
        </w:rPr>
        <w:t xml:space="preserve">Attention </w:t>
      </w:r>
    </w:p>
    <w:p w14:paraId="1070722F" w14:textId="77777777" w:rsidR="004B2808" w:rsidRDefault="00000000">
      <w:pPr>
        <w:pStyle w:val="Author-eListParagraph"/>
        <w:numPr>
          <w:ilvl w:val="0"/>
          <w:numId w:val="962"/>
        </w:numPr>
      </w:pPr>
      <w:r>
        <w:t>Les vantaux de portes de 630 - 730 et 830 mm de largeur peuvent être pris ensemble pour le mesurage.</w:t>
      </w:r>
    </w:p>
    <w:p w14:paraId="44D92F72" w14:textId="77777777" w:rsidR="004B2808" w:rsidRDefault="00000000">
      <w:pPr>
        <w:pStyle w:val="Author-eListParagraph"/>
        <w:numPr>
          <w:ilvl w:val="0"/>
          <w:numId w:val="962"/>
        </w:numPr>
      </w:pPr>
      <w:r>
        <w:t>Les quincailleries dont la fourniture et la mise en œuvre sont comprises peuvent être décrites dans d'autres postes mais sont toujours comprises dans le prix des portes.</w:t>
      </w:r>
    </w:p>
    <w:p w14:paraId="5AFDEEFF" w14:textId="77777777" w:rsidR="004B2808" w:rsidRDefault="00000000">
      <w:r>
        <w:t> </w:t>
      </w:r>
    </w:p>
    <w:p w14:paraId="5AC68A85" w14:textId="77777777" w:rsidR="004B2808" w:rsidRDefault="00000000">
      <w:pPr>
        <w:pStyle w:val="pheading"/>
      </w:pPr>
      <w:r>
        <w:t>- nature du marché:</w:t>
      </w:r>
    </w:p>
    <w:p w14:paraId="0DBD0103" w14:textId="77777777" w:rsidR="004B2808" w:rsidRDefault="00000000">
      <w:r>
        <w:t>QF</w:t>
      </w:r>
    </w:p>
    <w:p w14:paraId="26DC8AC3" w14:textId="77777777" w:rsidR="004B2808" w:rsidRDefault="00000000">
      <w:pPr>
        <w:pStyle w:val="Author-eSectionHeading6Numberless"/>
      </w:pPr>
      <w:bookmarkStart w:id="1076" w:name="_Toc220491203"/>
      <w:r>
        <w:t>55.21.7e Portes intérieures en bois massif + finition PVC CCTB 01.10</w:t>
      </w:r>
      <w:bookmarkEnd w:id="1076"/>
    </w:p>
    <w:p w14:paraId="75C416EE" w14:textId="77777777" w:rsidR="004B2808" w:rsidRDefault="00000000">
      <w:pPr>
        <w:pStyle w:val="pheading"/>
      </w:pPr>
      <w:r>
        <w:t>MATÉRIAUX</w:t>
      </w:r>
    </w:p>
    <w:p w14:paraId="7EB09C39" w14:textId="77777777" w:rsidR="004B2808" w:rsidRDefault="00000000">
      <w:pPr>
        <w:pStyle w:val="pheading"/>
      </w:pPr>
      <w:r>
        <w:t>- Prescriptions complémentaires</w:t>
      </w:r>
    </w:p>
    <w:p w14:paraId="586628F9" w14:textId="77777777" w:rsidR="004B2808" w:rsidRDefault="00000000">
      <w:pPr>
        <w:pStyle w:val="heading"/>
      </w:pPr>
      <w:r>
        <w:t>(critères de performance)  Vantaux de porte</w:t>
      </w:r>
    </w:p>
    <w:p w14:paraId="623EB272" w14:textId="77777777" w:rsidR="004B2808" w:rsidRDefault="00000000">
      <w:r>
        <w:t>Conformément aux indications supplémentaires dans le cahier spécial des charges, les dispositions supplémentaires suivantes sont d'application :</w:t>
      </w:r>
    </w:p>
    <w:p w14:paraId="1A509F06" w14:textId="77777777" w:rsidR="004B2808" w:rsidRDefault="00000000">
      <w:pPr>
        <w:pStyle w:val="Author-eListParagraph"/>
        <w:numPr>
          <w:ilvl w:val="0"/>
          <w:numId w:val="963"/>
        </w:numPr>
      </w:pPr>
      <w:r>
        <w:t>Les dispositions des [STS 53.1] pour les portes intérieures planes dans les salles de bains et les autres locaux humides.</w:t>
      </w:r>
    </w:p>
    <w:p w14:paraId="21F17A54" w14:textId="77777777" w:rsidR="004B2808" w:rsidRDefault="00000000">
      <w:r>
        <w:br/>
        <w:t>Attention  : Les ensembles de porte résistant au feu sont toujours considérés dans un poste séparé.</w:t>
      </w:r>
    </w:p>
    <w:p w14:paraId="47EEB77D" w14:textId="77777777" w:rsidR="004B2808" w:rsidRDefault="00000000">
      <w:pPr>
        <w:pStyle w:val="heading"/>
      </w:pPr>
      <w:r>
        <w:t>(Accessoires) Vantaux de porte</w:t>
      </w:r>
    </w:p>
    <w:p w14:paraId="2C02217C"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68CB5B2D" w14:textId="77777777" w:rsidR="004B2808" w:rsidRDefault="00000000">
      <w:pPr>
        <w:pStyle w:val="Author-eListParagraph"/>
        <w:numPr>
          <w:ilvl w:val="0"/>
          <w:numId w:val="964"/>
        </w:numPr>
      </w:pPr>
      <w:r>
        <w:t>Equipés d'un vitrage :</w:t>
      </w:r>
    </w:p>
    <w:p w14:paraId="5C75B1FA" w14:textId="77777777" w:rsidR="004B2808" w:rsidRDefault="00000000">
      <w:pPr>
        <w:pStyle w:val="Author-eListParagraph"/>
        <w:numPr>
          <w:ilvl w:val="0"/>
          <w:numId w:val="964"/>
        </w:numPr>
      </w:pPr>
      <w:r>
        <w:t xml:space="preserve">En verre de sécurité </w:t>
      </w:r>
      <w:r>
        <w:rPr>
          <w:rStyle w:val="optioncarChar"/>
        </w:rPr>
        <w:t>simple </w:t>
      </w:r>
      <w:r>
        <w:t>(par défaut)</w:t>
      </w:r>
      <w:r>
        <w:rPr>
          <w:rStyle w:val="optioncarChar"/>
        </w:rPr>
        <w:t xml:space="preserve"> / clair / mat / opale / ***</w:t>
      </w:r>
      <w:r>
        <w:t xml:space="preserve"> , selon la [NBN S 23-002]</w:t>
      </w:r>
    </w:p>
    <w:p w14:paraId="2A399B7D" w14:textId="77777777" w:rsidR="004B2808" w:rsidRDefault="00000000">
      <w:pPr>
        <w:pStyle w:val="Author-eListParagraph"/>
        <w:numPr>
          <w:ilvl w:val="0"/>
          <w:numId w:val="964"/>
        </w:numPr>
      </w:pPr>
      <w:r>
        <w:t xml:space="preserve">Réservation dans le vantail de porte : </w:t>
      </w:r>
      <w:r>
        <w:rPr>
          <w:rStyle w:val="optioncarChar"/>
        </w:rPr>
        <w:t>rectangulaire </w:t>
      </w:r>
      <w:r>
        <w:t>(par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7F0ED1D0" w14:textId="77777777" w:rsidR="004B2808" w:rsidRDefault="00000000">
      <w:pPr>
        <w:pStyle w:val="Author-eListParagraph"/>
        <w:numPr>
          <w:ilvl w:val="0"/>
          <w:numId w:val="964"/>
        </w:numPr>
      </w:pPr>
      <w:r>
        <w:t xml:space="preserve">Fixation de la vitre dans la réservation à l'aide de : </w:t>
      </w:r>
      <w:r>
        <w:rPr>
          <w:rStyle w:val="optioncarChar"/>
        </w:rPr>
        <w:t>mastic plastique</w:t>
      </w:r>
      <w:r>
        <w:t xml:space="preserve"> (par défaut) </w:t>
      </w:r>
      <w:r>
        <w:rPr>
          <w:rStyle w:val="optioncarChar"/>
        </w:rPr>
        <w:t>/ profils de fixation à enclenchement en PVC / ***</w:t>
      </w:r>
    </w:p>
    <w:p w14:paraId="76941CBC" w14:textId="77777777" w:rsidR="004B2808" w:rsidRDefault="00000000">
      <w:pPr>
        <w:pStyle w:val="Author-eListParagraph"/>
        <w:numPr>
          <w:ilvl w:val="0"/>
          <w:numId w:val="964"/>
        </w:numPr>
      </w:pPr>
      <w:r>
        <w:t xml:space="preserve">Les vitres sont encadrées par : </w:t>
      </w:r>
      <w:r>
        <w:rPr>
          <w:rStyle w:val="optioncarChar"/>
        </w:rPr>
        <w:t>des lattes en bois dur, finition prête à peindre </w:t>
      </w:r>
      <w:r>
        <w:t xml:space="preserve">(par défaut) </w:t>
      </w:r>
      <w:r>
        <w:rPr>
          <w:rStyle w:val="optioncarChar"/>
        </w:rPr>
        <w:t>/ ***.</w:t>
      </w:r>
    </w:p>
    <w:p w14:paraId="2B1F4206" w14:textId="77777777" w:rsidR="004B2808" w:rsidRDefault="00000000">
      <w:pPr>
        <w:pStyle w:val="Author-eListParagraph"/>
        <w:numPr>
          <w:ilvl w:val="0"/>
          <w:numId w:val="964"/>
        </w:numPr>
      </w:pPr>
      <w:r>
        <w:t xml:space="preserve">Pourvus d'une grille encastrée, selon l'article </w:t>
      </w:r>
      <w:hyperlink w:anchor="1322" w:history="1">
        <w:r w:rsidR="004B2808">
          <w:rPr>
            <w:color w:val="0000EE"/>
          </w:rPr>
          <w:t>55.68.1 Grilles de transfert dans les portes</w:t>
        </w:r>
      </w:hyperlink>
      <w:r>
        <w:t xml:space="preserve"> grilles de transfert dans les portes, ouverture d'aération conformément à la [NBN D 50-001]</w:t>
      </w:r>
    </w:p>
    <w:p w14:paraId="69349F0B" w14:textId="77777777" w:rsidR="004B2808" w:rsidRDefault="00000000">
      <w:pPr>
        <w:pStyle w:val="Author-eListParagraph"/>
        <w:numPr>
          <w:ilvl w:val="0"/>
          <w:numId w:val="964"/>
        </w:numPr>
      </w:pPr>
      <w:r>
        <w:t xml:space="preserve">Pourvus d'une fente de ventilation d'environ </w:t>
      </w:r>
      <w:r>
        <w:rPr>
          <w:rStyle w:val="optioncarChar"/>
        </w:rPr>
        <w:t>1</w:t>
      </w:r>
      <w:r>
        <w:t> (par défaut)</w:t>
      </w:r>
      <w:r>
        <w:rPr>
          <w:rStyle w:val="optioncarChar"/>
        </w:rPr>
        <w:t> / ***</w:t>
      </w:r>
      <w:r>
        <w:t xml:space="preserve"> cm dans le bas, de façon telle que l'ouverture d'aération soit conformé à la [NBN D 50-001]</w:t>
      </w:r>
    </w:p>
    <w:p w14:paraId="22C6520C" w14:textId="77777777" w:rsidR="004B2808" w:rsidRDefault="00000000">
      <w:pPr>
        <w:pStyle w:val="Author-eListParagraph"/>
        <w:numPr>
          <w:ilvl w:val="0"/>
          <w:numId w:val="964"/>
        </w:numPr>
      </w:pPr>
      <w:r>
        <w:t>Conçues comme portes coulissantes (les vantaux de porte et les huisseries sont conformes aux portes ouvrantes ordinaires. Seuls le mode de suspension et la quincaillerie concernée sont adaptés au concept des vantaux de porte coulissants).</w:t>
      </w:r>
    </w:p>
    <w:p w14:paraId="2D46632A" w14:textId="77777777" w:rsidR="004B2808" w:rsidRDefault="00000000">
      <w:pPr>
        <w:pStyle w:val="Author-eListParagraph"/>
        <w:numPr>
          <w:ilvl w:val="0"/>
          <w:numId w:val="964"/>
        </w:numPr>
      </w:pPr>
      <w:r>
        <w:t xml:space="preserve">Portes coulissantes </w:t>
      </w:r>
      <w:r>
        <w:rPr>
          <w:rStyle w:val="optioncarChar"/>
        </w:rPr>
        <w:t>simples </w:t>
      </w:r>
      <w:r>
        <w:t>(par défaut)</w:t>
      </w:r>
      <w:r>
        <w:rPr>
          <w:rStyle w:val="optioncarChar"/>
        </w:rPr>
        <w:t xml:space="preserve"> / doubles </w:t>
      </w:r>
      <w:r>
        <w:t>(par défaut)</w:t>
      </w:r>
    </w:p>
    <w:p w14:paraId="0056FCB5" w14:textId="77777777" w:rsidR="004B2808" w:rsidRDefault="00000000">
      <w:pPr>
        <w:pStyle w:val="Author-eListParagraph"/>
        <w:numPr>
          <w:ilvl w:val="0"/>
          <w:numId w:val="964"/>
        </w:numPr>
      </w:pPr>
      <w:r>
        <w:t>Composées de</w:t>
      </w:r>
      <w:r>
        <w:rPr>
          <w:rStyle w:val="optioncarChar"/>
        </w:rPr>
        <w:t> un panneau </w:t>
      </w:r>
      <w:r>
        <w:t>(par défaut)</w:t>
      </w:r>
      <w:r>
        <w:rPr>
          <w:rStyle w:val="optioncarChar"/>
        </w:rPr>
        <w:t xml:space="preserve"> / deux panneaux / ***</w:t>
      </w:r>
    </w:p>
    <w:p w14:paraId="242952F2" w14:textId="77777777" w:rsidR="004B2808" w:rsidRDefault="00000000">
      <w:pPr>
        <w:pStyle w:val="Author-eListParagraph"/>
        <w:numPr>
          <w:ilvl w:val="0"/>
          <w:numId w:val="964"/>
        </w:numPr>
      </w:pPr>
      <w:r>
        <w:t>Mécanisme de coulisse : rails en acier galvanisé; galets en nylon de première qualité; type et modèle en fonction du type et du poids des vantaux coulissants.</w:t>
      </w:r>
    </w:p>
    <w:p w14:paraId="605FC151" w14:textId="77777777" w:rsidR="004B2808" w:rsidRDefault="00000000">
      <w:pPr>
        <w:pStyle w:val="Author-eListParagraph"/>
        <w:numPr>
          <w:ilvl w:val="0"/>
          <w:numId w:val="964"/>
        </w:numPr>
      </w:pPr>
      <w:r>
        <w:t xml:space="preserve">Conçues comme </w:t>
      </w:r>
      <w:r>
        <w:rPr>
          <w:rStyle w:val="optioncarChar"/>
        </w:rPr>
        <w:t>portes battantes</w:t>
      </w:r>
      <w:r>
        <w:t xml:space="preserve"> (par défaut)</w:t>
      </w:r>
      <w:r>
        <w:rPr>
          <w:rStyle w:val="optioncarChar"/>
        </w:rPr>
        <w:t> / pivotantes / *** </w:t>
      </w:r>
      <w:r>
        <w:t xml:space="preserve">(les vantaux de porte et les huisseries sont conformes aux portes ouvrantes ordinaires. Seuls le mode de suspension et </w:t>
      </w:r>
      <w:r>
        <w:lastRenderedPageBreak/>
        <w:t xml:space="preserve">la quincaillerie concernée sont adaptés au concept des vantaux de porte </w:t>
      </w:r>
      <w:r>
        <w:rPr>
          <w:rStyle w:val="optioncarChar"/>
        </w:rPr>
        <w:t>battante</w:t>
      </w:r>
      <w:r>
        <w:t> (par défaut)</w:t>
      </w:r>
      <w:r>
        <w:rPr>
          <w:rStyle w:val="optioncarChar"/>
        </w:rPr>
        <w:t xml:space="preserve"> / pivotante</w:t>
      </w:r>
      <w:r>
        <w:t>)</w:t>
      </w:r>
    </w:p>
    <w:p w14:paraId="54881984" w14:textId="77777777" w:rsidR="004B2808" w:rsidRDefault="00000000">
      <w:pPr>
        <w:pStyle w:val="Author-eListParagraph"/>
        <w:numPr>
          <w:ilvl w:val="0"/>
          <w:numId w:val="964"/>
        </w:numPr>
      </w:pPr>
      <w:r>
        <w:t xml:space="preserve">Composées de </w:t>
      </w:r>
      <w:r>
        <w:rPr>
          <w:rStyle w:val="optioncarChar"/>
        </w:rPr>
        <w:t>un panneau </w:t>
      </w:r>
      <w:r>
        <w:t>(par défaut)</w:t>
      </w:r>
      <w:r>
        <w:rPr>
          <w:rStyle w:val="optioncarChar"/>
        </w:rPr>
        <w:t xml:space="preserve"> / deux panneaux / ***</w:t>
      </w:r>
    </w:p>
    <w:p w14:paraId="0447B5AC" w14:textId="77777777" w:rsidR="004B2808" w:rsidRDefault="00000000">
      <w:pPr>
        <w:pStyle w:val="heading"/>
      </w:pPr>
      <w:r>
        <w:t>Ensembles de porte / résistant au feu</w:t>
      </w:r>
    </w:p>
    <w:p w14:paraId="4E113D5B"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066BBCE8" w14:textId="77777777" w:rsidR="004B2808" w:rsidRDefault="00000000">
      <w:pPr>
        <w:pStyle w:val="Author-eListParagraph"/>
        <w:numPr>
          <w:ilvl w:val="0"/>
          <w:numId w:val="965"/>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6E3AB285" w14:textId="77777777" w:rsidR="004B2808" w:rsidRDefault="00000000">
      <w:pPr>
        <w:pStyle w:val="Author-eListParagraph"/>
        <w:numPr>
          <w:ilvl w:val="0"/>
          <w:numId w:val="965"/>
        </w:numPr>
      </w:pPr>
      <w:r>
        <w:t xml:space="preserve">Equipés d'un vitrage résistant au feu en verre de sécurité conforme au rapport d'essai. Une réservation est faite dans le vantail de porte : </w:t>
      </w:r>
      <w:r>
        <w:rPr>
          <w:rStyle w:val="optioncarChar"/>
        </w:rPr>
        <w:t>rectangulaire</w:t>
      </w:r>
      <w:r>
        <w:t xml:space="preserve"> (par défaut)</w:t>
      </w:r>
      <w:r>
        <w:rPr>
          <w:rStyle w:val="optioncarChar"/>
        </w:rPr>
        <w:t> / ronde / ***</w:t>
      </w:r>
      <w:r>
        <w:t xml:space="preserve">, selon le modèle à soumettre pour approbation. Le vitrage est incorporé en usine conformément au mode appliqué sur la porte d'essai. Les éventuelles parcloses sont </w:t>
      </w:r>
      <w:r>
        <w:rPr>
          <w:rStyle w:val="optioncarChar"/>
        </w:rPr>
        <w:t>*** / vernies / peintes</w:t>
      </w:r>
      <w:r>
        <w:t xml:space="preserve"> comme les chanlattes. Le vitrage est toujours délimité sur toute sa périphérie par des sections en bois plein d'une largeur minimale de 140 mm pour les côtés et au-dessus et de 220 mm dans le bas.</w:t>
      </w:r>
    </w:p>
    <w:p w14:paraId="5CDF98E4" w14:textId="77777777" w:rsidR="004B2808"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08F95758" w14:textId="77777777" w:rsidR="004B2808" w:rsidRDefault="00000000">
      <w:pPr>
        <w:pStyle w:val="Author-eListParagraph"/>
        <w:numPr>
          <w:ilvl w:val="0"/>
          <w:numId w:val="966"/>
        </w:numPr>
      </w:pPr>
      <w:r>
        <w:t xml:space="preserve">Pourvus d'une imposte </w:t>
      </w:r>
      <w:r>
        <w:rPr>
          <w:rStyle w:val="optioncarChar"/>
        </w:rPr>
        <w:t>avec </w:t>
      </w:r>
      <w:r>
        <w:t>(par défaut)</w:t>
      </w:r>
      <w:r>
        <w:rPr>
          <w:rStyle w:val="optioncarChar"/>
        </w:rPr>
        <w:t xml:space="preserve"> / sans / *** </w:t>
      </w:r>
      <w:r>
        <w:t>traverse intermédiaire.</w:t>
      </w:r>
    </w:p>
    <w:p w14:paraId="60988FC0" w14:textId="77777777" w:rsidR="004B2808" w:rsidRDefault="00000000">
      <w:pPr>
        <w:pStyle w:val="Author-eListParagraph"/>
        <w:numPr>
          <w:ilvl w:val="0"/>
          <w:numId w:val="966"/>
        </w:numPr>
      </w:pPr>
      <w:r>
        <w:t>Pourvus d'une bande brise-bise et butoir continue.</w:t>
      </w:r>
    </w:p>
    <w:p w14:paraId="57CFAF36" w14:textId="77777777" w:rsidR="004B2808" w:rsidRDefault="00000000">
      <w:pPr>
        <w:pStyle w:val="Author-eListParagraph"/>
        <w:numPr>
          <w:ilvl w:val="0"/>
          <w:numId w:val="966"/>
        </w:numPr>
      </w:pPr>
      <w:r>
        <w:t xml:space="preserve">Pourvus d'un cadre approprié pour la fixation d'un ferme-porte, prévu à l'art. </w:t>
      </w:r>
      <w:hyperlink w:anchor="1325" w:history="1">
        <w:r w:rsidR="004B2808">
          <w:rPr>
            <w:color w:val="0000EE"/>
          </w:rPr>
          <w:t>55.62.5 Système de fermeture</w:t>
        </w:r>
      </w:hyperlink>
    </w:p>
    <w:p w14:paraId="55818B20" w14:textId="77777777" w:rsidR="004B2808" w:rsidRDefault="00000000">
      <w:pPr>
        <w:pStyle w:val="Author-eListParagraph"/>
        <w:numPr>
          <w:ilvl w:val="0"/>
          <w:numId w:val="966"/>
        </w:numPr>
      </w:pPr>
      <w:r>
        <w:t xml:space="preserve">Conçus comme portes </w:t>
      </w:r>
      <w:r>
        <w:rPr>
          <w:rStyle w:val="optioncarChar"/>
        </w:rPr>
        <w:t>va-et-vient </w:t>
      </w:r>
      <w:r>
        <w:t>(par défaut)</w:t>
      </w:r>
      <w:r>
        <w:rPr>
          <w:rStyle w:val="optioncarChar"/>
        </w:rPr>
        <w:t xml:space="preserve"> / pivotantes / *** </w:t>
      </w:r>
      <w:r>
        <w:t xml:space="preserve">. Elles se composent de </w:t>
      </w:r>
      <w:r>
        <w:rPr>
          <w:rStyle w:val="optioncarChar"/>
        </w:rPr>
        <w:t>un panneau </w:t>
      </w:r>
      <w:r>
        <w:t>(par défaut) </w:t>
      </w:r>
      <w:r>
        <w:rPr>
          <w:rStyle w:val="optioncarChar"/>
        </w:rPr>
        <w:t>/ deux panneaux / ***</w:t>
      </w:r>
      <w:r>
        <w:t xml:space="preserve"> , les vantaux des portes et les huisseries sont semblables aux portes ouvrantes ordinaires, seul le mode de suspension et les quincailleries correspondantes sont adaptés au concept des portes battantes.</w:t>
      </w:r>
    </w:p>
    <w:p w14:paraId="65C322AA" w14:textId="77777777" w:rsidR="004B2808" w:rsidRDefault="00000000">
      <w:pPr>
        <w:pStyle w:val="Author-eListParagraph"/>
        <w:numPr>
          <w:ilvl w:val="0"/>
          <w:numId w:val="966"/>
        </w:numPr>
      </w:pPr>
      <w:r>
        <w:t>L'ensemble porte résistant au feu est conforme à la [NIT 234].</w:t>
      </w:r>
    </w:p>
    <w:p w14:paraId="0A15BE02" w14:textId="77777777" w:rsidR="004B2808" w:rsidRDefault="00000000">
      <w:pPr>
        <w:pStyle w:val="heading"/>
      </w:pPr>
      <w:r>
        <w:t>Options (biffer la mention inutile) huisseries de portes - bois</w:t>
      </w:r>
    </w:p>
    <w:p w14:paraId="7F271BEE" w14:textId="77777777" w:rsidR="004B2808" w:rsidRDefault="00000000">
      <w:pPr>
        <w:pStyle w:val="Author-eListParagraph"/>
        <w:numPr>
          <w:ilvl w:val="0"/>
          <w:numId w:val="967"/>
        </w:numPr>
      </w:pPr>
      <w:r>
        <w:t xml:space="preserve">Les portes sont conçues comme un châssis à pose affleurante jusqu'au plafond (avec </w:t>
      </w:r>
      <w:r>
        <w:rPr>
          <w:rStyle w:val="optioncarChar"/>
        </w:rPr>
        <w:t>vantaux vitrés</w:t>
      </w:r>
      <w:r>
        <w:t> (par défaut)</w:t>
      </w:r>
      <w:r>
        <w:rPr>
          <w:rStyle w:val="optioncarChar"/>
        </w:rPr>
        <w:t xml:space="preserve"> / imposte / ***</w:t>
      </w:r>
      <w:r>
        <w:t>). La feuillure des portes est embrevée sur une profondeur de </w:t>
      </w:r>
      <w:r>
        <w:rPr>
          <w:rStyle w:val="optioncarChar"/>
        </w:rPr>
        <w:t xml:space="preserve">10 </w:t>
      </w:r>
      <w:r>
        <w:t>(par défaut) </w:t>
      </w:r>
      <w:r>
        <w:rPr>
          <w:rStyle w:val="optioncarChar"/>
        </w:rPr>
        <w:t xml:space="preserve">/ *** </w:t>
      </w:r>
      <w:r>
        <w:t>mm dans le chambranle. Les ébrasements latéraux vont jusqu'au plafond, la traverse supérieure horizontale est :</w:t>
      </w:r>
      <w:r>
        <w:rPr>
          <w:rStyle w:val="optioncarChar"/>
        </w:rPr>
        <w:t> posée aussi près que possible du plafond </w:t>
      </w:r>
      <w:r>
        <w:t xml:space="preserve">(par défaut) </w:t>
      </w:r>
      <w:r>
        <w:rPr>
          <w:rStyle w:val="optioncarChar"/>
        </w:rPr>
        <w:t>/ absente / ***</w:t>
      </w:r>
    </w:p>
    <w:p w14:paraId="1A676510" w14:textId="77777777" w:rsidR="004B2808" w:rsidRDefault="00000000">
      <w:pPr>
        <w:pStyle w:val="Author-eListParagraph"/>
        <w:numPr>
          <w:ilvl w:val="0"/>
          <w:numId w:val="967"/>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0B9CC3FF" w14:textId="77777777" w:rsidR="004B2808" w:rsidRDefault="00000000">
      <w:pPr>
        <w:pStyle w:val="Author-eListParagraph"/>
        <w:numPr>
          <w:ilvl w:val="0"/>
          <w:numId w:val="967"/>
        </w:numPr>
      </w:pPr>
      <w:r>
        <w:t xml:space="preserve">Les impostes sont fabriquées dans un morceau de vantail de porte, conformément à la description de l'article </w:t>
      </w:r>
      <w:hyperlink w:anchor="1315" w:history="1">
        <w:r w:rsidR="004B2808">
          <w:rPr>
            <w:color w:val="0000EE"/>
          </w:rP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1817D56C" w14:textId="77777777" w:rsidR="004B2808" w:rsidRDefault="00000000">
      <w:pPr>
        <w:pStyle w:val="Author-eListParagraph"/>
        <w:numPr>
          <w:ilvl w:val="0"/>
          <w:numId w:val="967"/>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65634428" w14:textId="77777777" w:rsidR="004B2808" w:rsidRDefault="00000000">
      <w:pPr>
        <w:pStyle w:val="heading"/>
      </w:pPr>
      <w:r>
        <w:lastRenderedPageBreak/>
        <w:t>Options (biffer la mention inutile) ensembles de porte / résistant au feu - porte pleine / huisserie en acier</w:t>
      </w:r>
    </w:p>
    <w:p w14:paraId="2C3AAE04" w14:textId="77777777" w:rsidR="004B2808" w:rsidRDefault="00000000">
      <w:r>
        <w:t xml:space="preserve">Conformément aux indications sur le plan ou les dessins de détail, les vantaux de porte suivants </w:t>
      </w:r>
      <w:r>
        <w:rPr>
          <w:rStyle w:val="optioncarChar"/>
        </w:rPr>
        <w:t xml:space="preserve">*** </w:t>
      </w:r>
      <w:r>
        <w:t>sont :</w:t>
      </w:r>
    </w:p>
    <w:p w14:paraId="6232901D" w14:textId="77777777" w:rsidR="004B2808" w:rsidRDefault="00000000">
      <w:pPr>
        <w:pStyle w:val="Author-eListParagraph"/>
        <w:numPr>
          <w:ilvl w:val="0"/>
          <w:numId w:val="968"/>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48CF9F5F" w14:textId="77777777" w:rsidR="004B2808" w:rsidRDefault="00000000">
      <w:pPr>
        <w:pStyle w:val="Author-eListParagraph"/>
        <w:numPr>
          <w:ilvl w:val="0"/>
          <w:numId w:val="968"/>
        </w:numPr>
      </w:pPr>
      <w:r>
        <w:t xml:space="preserve">Equipés d'un vitrage résistant au feu en verre de sécurité conforme au rapport d'essai. Une réservation est faite dans le vantail de porte : </w:t>
      </w:r>
      <w:r>
        <w:rPr>
          <w:rStyle w:val="optioncarChar"/>
        </w:rPr>
        <w:t>rectangulaire</w:t>
      </w:r>
      <w:r>
        <w:t> (par défaut)</w:t>
      </w:r>
      <w:r>
        <w:rPr>
          <w:rStyle w:val="optioncarChar"/>
        </w:rPr>
        <w:t xml:space="preserve"> / ronde / ***</w:t>
      </w:r>
      <w:r>
        <w:t xml:space="preserve"> , selon le modèle à soumettre pour approbation. Le vitrage est incorporé en usine conformément au mode appliqué sur la porte d'essai. Les éventuelles parcloses sont </w:t>
      </w:r>
      <w:r>
        <w:rPr>
          <w:rStyle w:val="optioncarChar"/>
        </w:rPr>
        <w:t xml:space="preserve">vernies </w:t>
      </w:r>
      <w:r>
        <w:t>(par défaut) </w:t>
      </w:r>
      <w:r>
        <w:rPr>
          <w:rStyle w:val="optioncarChar"/>
        </w:rPr>
        <w:t>/ peintes / *** </w:t>
      </w:r>
      <w:r>
        <w:t>comme les chanlattes. Le vitrage est toujours délimité sur toute sa périphérie par des sections en bois plein d'une largeur minimale de 140 mm pour les côtés et au-dessus et de 220 mm dans le bas.</w:t>
      </w:r>
    </w:p>
    <w:p w14:paraId="6021DC7F" w14:textId="77777777" w:rsidR="004B2808"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0E14DDF0" w14:textId="77777777" w:rsidR="004B2808" w:rsidRDefault="00000000">
      <w:pPr>
        <w:pStyle w:val="Author-eListParagraph"/>
        <w:numPr>
          <w:ilvl w:val="0"/>
          <w:numId w:val="969"/>
        </w:numPr>
      </w:pPr>
      <w:r>
        <w:t xml:space="preserve">Pourvus d'une imposte </w:t>
      </w:r>
      <w:r>
        <w:rPr>
          <w:rStyle w:val="optioncarChar"/>
        </w:rPr>
        <w:t>avec</w:t>
      </w:r>
      <w:r>
        <w:t> (par défaut</w:t>
      </w:r>
      <w:r>
        <w:rPr>
          <w:rStyle w:val="optioncarChar"/>
        </w:rPr>
        <w:t>) / sans / *** </w:t>
      </w:r>
      <w:r>
        <w:t>traverse intermédiaire.</w:t>
      </w:r>
    </w:p>
    <w:p w14:paraId="519305F2" w14:textId="77777777" w:rsidR="004B2808" w:rsidRDefault="00000000">
      <w:pPr>
        <w:pStyle w:val="Author-eListParagraph"/>
        <w:numPr>
          <w:ilvl w:val="0"/>
          <w:numId w:val="969"/>
        </w:numPr>
      </w:pPr>
      <w:r>
        <w:t>Pourvus d'une bande brise-bise et butoir continue.</w:t>
      </w:r>
    </w:p>
    <w:p w14:paraId="1057F2E1" w14:textId="77777777" w:rsidR="004B2808" w:rsidRDefault="00000000">
      <w:pPr>
        <w:pStyle w:val="Author-eListParagraph"/>
        <w:numPr>
          <w:ilvl w:val="0"/>
          <w:numId w:val="969"/>
        </w:numPr>
      </w:pPr>
      <w:r>
        <w:t xml:space="preserve">Pourvus d'un cadre approprié pour la fixation d'un ferme-porte, prévu à l'art. </w:t>
      </w:r>
      <w:hyperlink w:anchor="1325" w:history="1">
        <w:r w:rsidR="004B2808">
          <w:rPr>
            <w:color w:val="0000EE"/>
          </w:rPr>
          <w:t>55.62.5 Système de fermeture</w:t>
        </w:r>
      </w:hyperlink>
    </w:p>
    <w:p w14:paraId="190D4CAD" w14:textId="77777777" w:rsidR="004B2808" w:rsidRDefault="00000000">
      <w:pPr>
        <w:pStyle w:val="Author-eListParagraph"/>
        <w:numPr>
          <w:ilvl w:val="0"/>
          <w:numId w:val="969"/>
        </w:numPr>
      </w:pPr>
      <w:r>
        <w:t xml:space="preserve">Conçus comme portes </w:t>
      </w:r>
      <w:r>
        <w:rPr>
          <w:rStyle w:val="optioncarChar"/>
        </w:rPr>
        <w:t>va-et-vient</w:t>
      </w:r>
      <w:r>
        <w:t> (par défaut)</w:t>
      </w:r>
      <w:r>
        <w:rPr>
          <w:rStyle w:val="optioncarChar"/>
        </w:rPr>
        <w:t xml:space="preserve"> / pivotantes / ***</w:t>
      </w:r>
      <w:r>
        <w:t xml:space="preserve"> . Elles se composent de </w:t>
      </w:r>
      <w:r>
        <w:rPr>
          <w:rStyle w:val="optioncarChar"/>
        </w:rPr>
        <w:t>un panneau</w:t>
      </w:r>
      <w:r>
        <w:t> (par défaut)</w:t>
      </w:r>
      <w:r>
        <w:rPr>
          <w:rStyle w:val="optioncarChar"/>
        </w:rPr>
        <w:t xml:space="preserve"> / deux panneaux / *** </w:t>
      </w:r>
      <w:r>
        <w:t>, les vantaux des portes et les huisseries sont semblables aux portes ouvrantes ordinaires, seul le mode de suspension et les quincailleries correspondantes sont adaptés au concept des portes battantes.</w:t>
      </w:r>
    </w:p>
    <w:p w14:paraId="2E433F66" w14:textId="77777777" w:rsidR="004B2808" w:rsidRDefault="00000000">
      <w:pPr>
        <w:pStyle w:val="pheading"/>
      </w:pPr>
      <w:r>
        <w:t>MESURAGE</w:t>
      </w:r>
    </w:p>
    <w:p w14:paraId="64E3E885" w14:textId="77777777" w:rsidR="004B2808" w:rsidRDefault="00000000">
      <w:r>
        <w:t>Conformément aux indications spécifiques dans le cahier spécial des charges et/ou le métré récapitulatif, le mesurage peut être conçu comme suit, en fonction de la nature des portes intérieures :</w:t>
      </w:r>
    </w:p>
    <w:p w14:paraId="165C2690" w14:textId="77777777" w:rsidR="004B2808" w:rsidRDefault="00000000">
      <w:pPr>
        <w:pStyle w:val="pheading"/>
      </w:pPr>
      <w:r>
        <w:t>- unité de mesure:</w:t>
      </w:r>
    </w:p>
    <w:p w14:paraId="68401988" w14:textId="77777777" w:rsidR="004B2808" w:rsidRDefault="00000000">
      <w:r>
        <w:t>p</w:t>
      </w:r>
    </w:p>
    <w:p w14:paraId="7E207196" w14:textId="77777777" w:rsidR="004B2808" w:rsidRDefault="00000000">
      <w:pPr>
        <w:pStyle w:val="pheading"/>
      </w:pPr>
      <w:r>
        <w:t>- code de mesurage:</w:t>
      </w:r>
    </w:p>
    <w:p w14:paraId="3DB27902" w14:textId="77777777" w:rsidR="004B2808" w:rsidRDefault="00000000">
      <w:r>
        <w:t>Choix opéré:</w:t>
      </w:r>
      <w:r>
        <w:rPr>
          <w:rStyle w:val="optioncarChar"/>
          <w:b/>
        </w:rPr>
        <w:t>*** / OPTION 1 (un ensemble) </w:t>
      </w:r>
      <w:r>
        <w:t>(par défaut)</w:t>
      </w:r>
      <w:r>
        <w:rPr>
          <w:rStyle w:val="optioncarChar"/>
          <w:b/>
        </w:rPr>
        <w:t> / OPTION 2 (séparément)</w:t>
      </w:r>
    </w:p>
    <w:p w14:paraId="02D922C3" w14:textId="77777777" w:rsidR="004B2808"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9 </w:t>
      </w:r>
      <w:r>
        <w:t>(par défaut)</w:t>
      </w:r>
      <w:r>
        <w:rPr>
          <w:rStyle w:val="optioncarChar"/>
        </w:rPr>
        <w:t xml:space="preserve"> / 14 / 19 / ***</w:t>
      </w:r>
      <w:r>
        <w:t xml:space="preserve"> ) et, le cas échéant, selon la classification (nature, sens d'ouverture, emplacement,  prestations particulières, dimensions, forme et aspect).</w:t>
      </w:r>
    </w:p>
    <w:p w14:paraId="5F174EEE" w14:textId="77777777" w:rsidR="004B2808" w:rsidRDefault="00000000">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r>
      <w:r>
        <w:lastRenderedPageBreak/>
        <w:t>le cas échéant, ventilé selon le type ou le modèle, ventilé selon les dimensions des portes (indépendamment de la hauteur) et l'épaisseur des cloisons intérieures (</w:t>
      </w:r>
      <w:r>
        <w:rPr>
          <w:rStyle w:val="optioncarChar"/>
        </w:rPr>
        <w:t>7 </w:t>
      </w:r>
      <w:r>
        <w:t xml:space="preserve">(par défaut) </w:t>
      </w:r>
      <w:r>
        <w:rPr>
          <w:rStyle w:val="optioncarChar"/>
        </w:rPr>
        <w:t>/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1C3BF43B" w14:textId="77777777" w:rsidR="004B2808" w:rsidRDefault="00000000">
      <w:r>
        <w:rPr>
          <w:u w:val="single"/>
        </w:rPr>
        <w:t xml:space="preserve">Attention </w:t>
      </w:r>
    </w:p>
    <w:p w14:paraId="431537E7" w14:textId="77777777" w:rsidR="004B2808" w:rsidRDefault="00000000">
      <w:pPr>
        <w:pStyle w:val="Author-eListParagraph"/>
        <w:numPr>
          <w:ilvl w:val="0"/>
          <w:numId w:val="970"/>
        </w:numPr>
      </w:pPr>
      <w:r>
        <w:t>Les vantaux de portes de 630 - 730 et 830 mm de largeur peuvent être pris ensemble pour le mesurage.</w:t>
      </w:r>
    </w:p>
    <w:p w14:paraId="200E62CD" w14:textId="77777777" w:rsidR="004B2808" w:rsidRDefault="00000000">
      <w:pPr>
        <w:pStyle w:val="Author-eListParagraph"/>
        <w:numPr>
          <w:ilvl w:val="0"/>
          <w:numId w:val="970"/>
        </w:numPr>
      </w:pPr>
      <w:r>
        <w:t>Les quincailleries dont la fourniture et la mise en œuvre sont comprises peuvent être décrites dans d'autres postes mais sont toujours comprises dans le prix des portes.</w:t>
      </w:r>
    </w:p>
    <w:p w14:paraId="62F109B1" w14:textId="77777777" w:rsidR="004B2808" w:rsidRDefault="00000000">
      <w:r>
        <w:t> </w:t>
      </w:r>
    </w:p>
    <w:p w14:paraId="540DC67B" w14:textId="77777777" w:rsidR="004B2808" w:rsidRDefault="00000000">
      <w:pPr>
        <w:pStyle w:val="pheading"/>
      </w:pPr>
      <w:r>
        <w:t>- nature du marché:</w:t>
      </w:r>
    </w:p>
    <w:p w14:paraId="2F844E34" w14:textId="77777777" w:rsidR="004B2808" w:rsidRDefault="00000000">
      <w:r>
        <w:t>QF</w:t>
      </w:r>
    </w:p>
    <w:p w14:paraId="01B8DB7D" w14:textId="77777777" w:rsidR="004B2808" w:rsidRDefault="00000000">
      <w:pPr>
        <w:pStyle w:val="Author-eSectionHeading6Numberless"/>
      </w:pPr>
      <w:bookmarkStart w:id="1077" w:name="_Toc220491204"/>
      <w:r>
        <w:t>55.21.7f Portes intérieures en bois lamellé-collé + finition PVC CCTB 01.10</w:t>
      </w:r>
      <w:bookmarkEnd w:id="1077"/>
    </w:p>
    <w:p w14:paraId="2BC8FF89" w14:textId="77777777" w:rsidR="004B2808" w:rsidRDefault="00000000">
      <w:pPr>
        <w:pStyle w:val="pheading"/>
      </w:pPr>
      <w:r>
        <w:t>MATÉRIAUX</w:t>
      </w:r>
    </w:p>
    <w:p w14:paraId="58FFFC4B" w14:textId="77777777" w:rsidR="004B2808" w:rsidRDefault="00000000">
      <w:pPr>
        <w:pStyle w:val="pheading"/>
      </w:pPr>
      <w:r>
        <w:t>- Prescriptions complémentaires</w:t>
      </w:r>
    </w:p>
    <w:p w14:paraId="6F7EABB3" w14:textId="77777777" w:rsidR="004B2808" w:rsidRDefault="00000000">
      <w:pPr>
        <w:pStyle w:val="heading"/>
      </w:pPr>
      <w:r>
        <w:t>(critères de performance)  Vantaux de porte</w:t>
      </w:r>
    </w:p>
    <w:p w14:paraId="698DE5CA" w14:textId="77777777" w:rsidR="004B2808" w:rsidRDefault="00000000">
      <w:r>
        <w:t>Conformément aux indications supplémentaires dans le cahier spécial des charges, les dispositions supplémentaires suivantes sont d'application :</w:t>
      </w:r>
    </w:p>
    <w:p w14:paraId="03B568A7" w14:textId="77777777" w:rsidR="004B2808" w:rsidRDefault="00000000">
      <w:pPr>
        <w:pStyle w:val="Author-eListParagraph"/>
        <w:numPr>
          <w:ilvl w:val="0"/>
          <w:numId w:val="971"/>
        </w:numPr>
      </w:pPr>
      <w:r>
        <w:t>Les dispositions des [STS 53.1] pour les portes intérieures planes dans les salles de bains et les autres locaux humides.</w:t>
      </w:r>
    </w:p>
    <w:p w14:paraId="617C8238" w14:textId="77777777" w:rsidR="004B2808" w:rsidRDefault="00000000">
      <w:r>
        <w:br/>
        <w:t>Attention  : Les ensembles de porte résistant au feu sont toujours considérés dans un poste séparé.</w:t>
      </w:r>
    </w:p>
    <w:p w14:paraId="009C76FD" w14:textId="77777777" w:rsidR="004B2808" w:rsidRDefault="00000000">
      <w:pPr>
        <w:pStyle w:val="heading"/>
      </w:pPr>
      <w:r>
        <w:t>(Accessoires) Vantaux de porte</w:t>
      </w:r>
    </w:p>
    <w:p w14:paraId="0D8D76D2"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0713FE88" w14:textId="77777777" w:rsidR="004B2808" w:rsidRDefault="00000000">
      <w:pPr>
        <w:pStyle w:val="Author-eListParagraph"/>
        <w:numPr>
          <w:ilvl w:val="0"/>
          <w:numId w:val="972"/>
        </w:numPr>
      </w:pPr>
      <w:r>
        <w:t>Equipés d'un vitrage :</w:t>
      </w:r>
    </w:p>
    <w:p w14:paraId="251854C7" w14:textId="77777777" w:rsidR="004B2808" w:rsidRDefault="00000000">
      <w:pPr>
        <w:pStyle w:val="Author-eListParagraph"/>
        <w:numPr>
          <w:ilvl w:val="0"/>
          <w:numId w:val="972"/>
        </w:numPr>
      </w:pPr>
      <w:r>
        <w:t xml:space="preserve">En verre de sécurité </w:t>
      </w:r>
      <w:r>
        <w:rPr>
          <w:rStyle w:val="optioncarChar"/>
        </w:rPr>
        <w:t>simple </w:t>
      </w:r>
      <w:r>
        <w:t>(par défaut)</w:t>
      </w:r>
      <w:r>
        <w:rPr>
          <w:rStyle w:val="optioncarChar"/>
        </w:rPr>
        <w:t xml:space="preserve"> / clair / mat / opale / ***</w:t>
      </w:r>
      <w:r>
        <w:t xml:space="preserve"> , selon la [NBN S 23-002]</w:t>
      </w:r>
    </w:p>
    <w:p w14:paraId="31791C51" w14:textId="77777777" w:rsidR="004B2808" w:rsidRDefault="00000000">
      <w:pPr>
        <w:pStyle w:val="Author-eListParagraph"/>
        <w:numPr>
          <w:ilvl w:val="0"/>
          <w:numId w:val="972"/>
        </w:numPr>
      </w:pPr>
      <w:r>
        <w:t xml:space="preserve">Réservation dans le vantail de porte : </w:t>
      </w:r>
      <w:r>
        <w:rPr>
          <w:rStyle w:val="optioncarChar"/>
        </w:rPr>
        <w:t>rectangulaire</w:t>
      </w:r>
      <w:r>
        <w:t> (par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0E400C3C" w14:textId="77777777" w:rsidR="004B2808" w:rsidRDefault="00000000">
      <w:pPr>
        <w:pStyle w:val="Author-eListParagraph"/>
        <w:numPr>
          <w:ilvl w:val="0"/>
          <w:numId w:val="972"/>
        </w:numPr>
      </w:pPr>
      <w:r>
        <w:t xml:space="preserve">Fixation de la vitre dans la réservation à l'aide de : </w:t>
      </w:r>
      <w:r>
        <w:rPr>
          <w:rStyle w:val="optioncarChar"/>
        </w:rPr>
        <w:t>mastic plastique</w:t>
      </w:r>
      <w:r>
        <w:t> (par défaut)</w:t>
      </w:r>
      <w:r>
        <w:rPr>
          <w:rStyle w:val="optioncarChar"/>
        </w:rPr>
        <w:t xml:space="preserve"> / profils de fixation à enclenchement en PVC</w:t>
      </w:r>
    </w:p>
    <w:p w14:paraId="4A22097D" w14:textId="77777777" w:rsidR="004B2808" w:rsidRDefault="00000000">
      <w:pPr>
        <w:pStyle w:val="Author-eListParagraph"/>
        <w:numPr>
          <w:ilvl w:val="0"/>
          <w:numId w:val="972"/>
        </w:numPr>
      </w:pPr>
      <w:r>
        <w:t xml:space="preserve">Les vitres sont encadrées par : </w:t>
      </w:r>
      <w:r>
        <w:rPr>
          <w:rStyle w:val="optioncarChar"/>
        </w:rPr>
        <w:t>des lattes en bois dur, finition prête à peindre</w:t>
      </w:r>
      <w:r>
        <w:t> (par défaut)</w:t>
      </w:r>
      <w:r>
        <w:rPr>
          <w:rStyle w:val="optioncarChar"/>
        </w:rPr>
        <w:t xml:space="preserve"> / ***.</w:t>
      </w:r>
    </w:p>
    <w:p w14:paraId="16D2DEA3" w14:textId="77777777" w:rsidR="004B2808" w:rsidRDefault="00000000">
      <w:pPr>
        <w:pStyle w:val="Author-eListParagraph"/>
        <w:numPr>
          <w:ilvl w:val="0"/>
          <w:numId w:val="972"/>
        </w:numPr>
      </w:pPr>
      <w:r>
        <w:t xml:space="preserve">Pourvus d'une grille encastrée, selon l'article </w:t>
      </w:r>
      <w:hyperlink w:anchor="1322" w:history="1">
        <w:r w:rsidR="004B2808">
          <w:rPr>
            <w:color w:val="0000EE"/>
          </w:rPr>
          <w:t>55.68.1 Grilles de transfert dans les portes</w:t>
        </w:r>
      </w:hyperlink>
      <w:r>
        <w:t xml:space="preserve"> grilles de transfert dans les portes, ouverture d'aération conformément à la [NBN D 50-001]</w:t>
      </w:r>
    </w:p>
    <w:p w14:paraId="32B3C352" w14:textId="77777777" w:rsidR="004B2808" w:rsidRDefault="00000000">
      <w:pPr>
        <w:pStyle w:val="Author-eListParagraph"/>
        <w:numPr>
          <w:ilvl w:val="0"/>
          <w:numId w:val="972"/>
        </w:numPr>
      </w:pPr>
      <w:r>
        <w:t xml:space="preserve">Pourvus d'une fente de ventilation d'environ </w:t>
      </w:r>
      <w:r>
        <w:rPr>
          <w:rStyle w:val="optioncarChar"/>
        </w:rPr>
        <w:t>1</w:t>
      </w:r>
      <w:r>
        <w:t> (par défaut) </w:t>
      </w:r>
      <w:r>
        <w:rPr>
          <w:rStyle w:val="optioncarChar"/>
        </w:rPr>
        <w:t>/ ***</w:t>
      </w:r>
      <w:r>
        <w:t xml:space="preserve"> cm dans le bas, de façon telle que l'ouverture d'aération soit conformé à la [NBN D 50-001]</w:t>
      </w:r>
    </w:p>
    <w:p w14:paraId="3558EBCB" w14:textId="77777777" w:rsidR="004B2808" w:rsidRDefault="00000000">
      <w:pPr>
        <w:pStyle w:val="Author-eListParagraph"/>
        <w:numPr>
          <w:ilvl w:val="0"/>
          <w:numId w:val="972"/>
        </w:numPr>
      </w:pPr>
      <w:r>
        <w:t>Conçues comme portes coulissantes (les vantaux de porte et les huisseries sont conformes aux portes ouvrantes ordinaires. Seuls le mode de suspension et la quincaillerie concernée sont adaptés au concept des vantaux de porte coulissants).</w:t>
      </w:r>
    </w:p>
    <w:p w14:paraId="2F5A9DC5" w14:textId="77777777" w:rsidR="004B2808" w:rsidRDefault="00000000">
      <w:pPr>
        <w:pStyle w:val="Author-eListParagraph"/>
        <w:numPr>
          <w:ilvl w:val="0"/>
          <w:numId w:val="972"/>
        </w:numPr>
      </w:pPr>
      <w:r>
        <w:t xml:space="preserve">Portes coulissantes </w:t>
      </w:r>
      <w:r>
        <w:rPr>
          <w:rStyle w:val="optioncarChar"/>
        </w:rPr>
        <w:t xml:space="preserve">simples </w:t>
      </w:r>
      <w:r>
        <w:t>(par défaut) </w:t>
      </w:r>
      <w:r>
        <w:rPr>
          <w:rStyle w:val="optioncarChar"/>
        </w:rPr>
        <w:t>/ doubles / ***</w:t>
      </w:r>
    </w:p>
    <w:p w14:paraId="42634BEF" w14:textId="77777777" w:rsidR="004B2808" w:rsidRDefault="00000000">
      <w:pPr>
        <w:pStyle w:val="Author-eListParagraph"/>
        <w:numPr>
          <w:ilvl w:val="0"/>
          <w:numId w:val="972"/>
        </w:numPr>
      </w:pPr>
      <w:r>
        <w:t>Composées de</w:t>
      </w:r>
      <w:r>
        <w:rPr>
          <w:rStyle w:val="optioncarChar"/>
        </w:rPr>
        <w:t> un panneau </w:t>
      </w:r>
      <w:r>
        <w:t>(par défaut)</w:t>
      </w:r>
      <w:r>
        <w:rPr>
          <w:rStyle w:val="optioncarChar"/>
        </w:rPr>
        <w:t xml:space="preserve"> / deux panneaux / ***</w:t>
      </w:r>
    </w:p>
    <w:p w14:paraId="7664E098" w14:textId="77777777" w:rsidR="004B2808" w:rsidRDefault="00000000">
      <w:pPr>
        <w:pStyle w:val="Author-eListParagraph"/>
        <w:numPr>
          <w:ilvl w:val="0"/>
          <w:numId w:val="972"/>
        </w:numPr>
      </w:pPr>
      <w:r>
        <w:t>Mécanisme de coulisse : rails en acier galvanisé; galets en nylon de première qualité; type et modèle en fonction du type et du poids des vantaux coulissants.</w:t>
      </w:r>
    </w:p>
    <w:p w14:paraId="17092015" w14:textId="77777777" w:rsidR="004B2808" w:rsidRDefault="00000000">
      <w:pPr>
        <w:pStyle w:val="Author-eListParagraph"/>
        <w:numPr>
          <w:ilvl w:val="0"/>
          <w:numId w:val="972"/>
        </w:numPr>
      </w:pPr>
      <w:r>
        <w:t xml:space="preserve">Conçues comme </w:t>
      </w:r>
      <w:r>
        <w:rPr>
          <w:rStyle w:val="optioncarChar"/>
        </w:rPr>
        <w:t>portes battantes</w:t>
      </w:r>
      <w:r>
        <w:t xml:space="preserve"> (par défaut) </w:t>
      </w:r>
      <w:r>
        <w:rPr>
          <w:rStyle w:val="optioncarChar"/>
        </w:rPr>
        <w:t>/ pivotantes / *** </w:t>
      </w:r>
      <w:r>
        <w:t xml:space="preserve">(les vantaux de porte et les huisseries sont conformes aux portes ouvrantes ordinaires. Seuls le mode de suspension et </w:t>
      </w:r>
      <w:r>
        <w:lastRenderedPageBreak/>
        <w:t xml:space="preserve">la quincaillerie concernée sont adaptés au concept des vantaux de porte </w:t>
      </w:r>
      <w:r>
        <w:rPr>
          <w:rStyle w:val="optioncarChar"/>
        </w:rPr>
        <w:t>battante </w:t>
      </w:r>
      <w:r>
        <w:t>(par défaut)</w:t>
      </w:r>
      <w:r>
        <w:rPr>
          <w:rStyle w:val="optioncarChar"/>
        </w:rPr>
        <w:t xml:space="preserve"> / pivotante / ***</w:t>
      </w:r>
      <w:r>
        <w:t>)</w:t>
      </w:r>
    </w:p>
    <w:p w14:paraId="542078A7" w14:textId="77777777" w:rsidR="004B2808" w:rsidRDefault="00000000">
      <w:pPr>
        <w:pStyle w:val="Author-eListParagraph"/>
        <w:numPr>
          <w:ilvl w:val="0"/>
          <w:numId w:val="972"/>
        </w:numPr>
      </w:pPr>
      <w:r>
        <w:t xml:space="preserve">Composées de </w:t>
      </w:r>
      <w:r>
        <w:rPr>
          <w:rStyle w:val="optioncarChar"/>
        </w:rPr>
        <w:t>un panneau </w:t>
      </w:r>
      <w:r>
        <w:t>(par défaut)</w:t>
      </w:r>
      <w:r>
        <w:rPr>
          <w:rStyle w:val="optioncarChar"/>
        </w:rPr>
        <w:t xml:space="preserve"> / deux panneaux / ***</w:t>
      </w:r>
    </w:p>
    <w:p w14:paraId="7CC19341" w14:textId="77777777" w:rsidR="004B2808" w:rsidRDefault="00000000">
      <w:pPr>
        <w:pStyle w:val="heading"/>
      </w:pPr>
      <w:r>
        <w:t>Ensembles de porte / résistant au feu</w:t>
      </w:r>
    </w:p>
    <w:p w14:paraId="293B16BB"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5AE3CFFC" w14:textId="77777777" w:rsidR="004B2808" w:rsidRDefault="00000000">
      <w:pPr>
        <w:pStyle w:val="Author-eListParagraph"/>
        <w:numPr>
          <w:ilvl w:val="0"/>
          <w:numId w:val="973"/>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70AEDE65" w14:textId="77777777" w:rsidR="004B2808" w:rsidRDefault="00000000">
      <w:pPr>
        <w:pStyle w:val="Author-eListParagraph"/>
        <w:numPr>
          <w:ilvl w:val="0"/>
          <w:numId w:val="973"/>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 </w:t>
      </w:r>
      <w:r>
        <w:t xml:space="preserve"> comme les chanlattes. Le vitrage est toujours délimité sur toute sa périphérie par des sections en bois plein d'une largeur minimale de 140 mm pour les côtés et au-dessus et de 220 mm dans le bas.</w:t>
      </w:r>
    </w:p>
    <w:p w14:paraId="7F96BF73" w14:textId="77777777" w:rsidR="004B2808"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553B9B3B" w14:textId="77777777" w:rsidR="004B2808" w:rsidRDefault="00000000">
      <w:pPr>
        <w:pStyle w:val="Author-eListParagraph"/>
        <w:numPr>
          <w:ilvl w:val="0"/>
          <w:numId w:val="974"/>
        </w:numPr>
      </w:pPr>
      <w:r>
        <w:t xml:space="preserve">Pourvus d'une imposte </w:t>
      </w:r>
      <w:r>
        <w:rPr>
          <w:rStyle w:val="optioncarChar"/>
        </w:rPr>
        <w:t>avec</w:t>
      </w:r>
      <w:r>
        <w:t> (par défaut)</w:t>
      </w:r>
      <w:r>
        <w:rPr>
          <w:rStyle w:val="optioncarChar"/>
        </w:rPr>
        <w:t xml:space="preserve"> / sans / *** </w:t>
      </w:r>
      <w:r>
        <w:t>traverse intermédiaire.</w:t>
      </w:r>
    </w:p>
    <w:p w14:paraId="6ABF1B65" w14:textId="77777777" w:rsidR="004B2808" w:rsidRDefault="00000000">
      <w:pPr>
        <w:pStyle w:val="Author-eListParagraph"/>
        <w:numPr>
          <w:ilvl w:val="0"/>
          <w:numId w:val="974"/>
        </w:numPr>
      </w:pPr>
      <w:r>
        <w:t>Pourvus d'une bande brise-bise et butoir continue.</w:t>
      </w:r>
    </w:p>
    <w:p w14:paraId="408AE049" w14:textId="77777777" w:rsidR="004B2808" w:rsidRDefault="00000000">
      <w:pPr>
        <w:pStyle w:val="Author-eListParagraph"/>
        <w:numPr>
          <w:ilvl w:val="0"/>
          <w:numId w:val="974"/>
        </w:numPr>
      </w:pPr>
      <w:r>
        <w:t xml:space="preserve">Pourvus d'un cadre approprié pour la fixation d'un ferme-porte, prévu à l'art. </w:t>
      </w:r>
      <w:hyperlink w:anchor="1325" w:history="1">
        <w:r w:rsidR="004B2808">
          <w:rPr>
            <w:color w:val="0000EE"/>
          </w:rPr>
          <w:t>55.62.5 Système de fermeture</w:t>
        </w:r>
      </w:hyperlink>
    </w:p>
    <w:p w14:paraId="2ACB2E42" w14:textId="77777777" w:rsidR="004B2808" w:rsidRDefault="00000000">
      <w:pPr>
        <w:pStyle w:val="Author-eListParagraph"/>
        <w:numPr>
          <w:ilvl w:val="0"/>
          <w:numId w:val="974"/>
        </w:numPr>
      </w:pPr>
      <w:r>
        <w:t xml:space="preserve">Conçus comme portes </w:t>
      </w:r>
      <w:r>
        <w:rPr>
          <w:rStyle w:val="optioncarChar"/>
        </w:rPr>
        <w:t xml:space="preserve">va-et-vient </w:t>
      </w:r>
      <w:r>
        <w:t>(par défaut) </w:t>
      </w:r>
      <w:r>
        <w:rPr>
          <w:rStyle w:val="optioncarChar"/>
        </w:rPr>
        <w:t>/ pivotantes / ***  </w:t>
      </w:r>
      <w:r>
        <w:t xml:space="preserve">. Elles se composent de </w:t>
      </w:r>
      <w:r>
        <w:rPr>
          <w:rStyle w:val="optioncarChar"/>
        </w:rPr>
        <w:t>un panneau</w:t>
      </w:r>
      <w:r>
        <w:t> (par défaut)</w:t>
      </w:r>
      <w:r>
        <w:rPr>
          <w:rStyle w:val="optioncarChar"/>
        </w:rPr>
        <w:t xml:space="preserve"> / deux panneaux / ***</w:t>
      </w:r>
      <w:r>
        <w:t xml:space="preserve"> , les vantaux des portes et les huisseries sont semblables aux portes ouvrantes ordinaires, seul le mode de suspension et les quincailleries correspondantes sont adaptés au concept des portes battantes.</w:t>
      </w:r>
    </w:p>
    <w:p w14:paraId="4FBA565E" w14:textId="77777777" w:rsidR="004B2808" w:rsidRDefault="00000000">
      <w:pPr>
        <w:pStyle w:val="Author-eListParagraph"/>
        <w:numPr>
          <w:ilvl w:val="0"/>
          <w:numId w:val="974"/>
        </w:numPr>
      </w:pPr>
      <w:r>
        <w:t>L'ensemble porte résistant au feu est conforme à la [NIT 234].</w:t>
      </w:r>
    </w:p>
    <w:p w14:paraId="3A903D6C" w14:textId="77777777" w:rsidR="004B2808" w:rsidRDefault="00000000">
      <w:pPr>
        <w:pStyle w:val="heading"/>
      </w:pPr>
      <w:r>
        <w:t>Options (biffer la mention inutile) huisseries de portes - bois</w:t>
      </w:r>
    </w:p>
    <w:p w14:paraId="4A9139F1" w14:textId="77777777" w:rsidR="004B2808" w:rsidRDefault="00000000">
      <w:pPr>
        <w:pStyle w:val="Author-eListParagraph"/>
        <w:numPr>
          <w:ilvl w:val="0"/>
          <w:numId w:val="975"/>
        </w:numPr>
      </w:pPr>
      <w:r>
        <w:t>Les portes sont conçues comme un châssis à pose affleurante jusqu'au plafond (avec</w:t>
      </w:r>
      <w:r>
        <w:rPr>
          <w:rStyle w:val="optioncarChar"/>
        </w:rPr>
        <w:t> vantaux vitrés </w:t>
      </w:r>
      <w:r>
        <w:t>(par défaut)</w:t>
      </w:r>
      <w:r>
        <w:rPr>
          <w:rStyle w:val="optioncarChar"/>
        </w:rPr>
        <w:t xml:space="preserve"> / imposte / ***</w:t>
      </w:r>
      <w:r>
        <w:t xml:space="preserve">). La feuillure des portes est embrevée sur une profondeur de </w:t>
      </w:r>
      <w:r>
        <w:rPr>
          <w:rStyle w:val="optioncarChar"/>
        </w:rPr>
        <w:t>10 </w:t>
      </w:r>
      <w:r>
        <w:t xml:space="preserve">(par défaut) </w:t>
      </w:r>
      <w:r>
        <w:rPr>
          <w:rStyle w:val="optioncarChar"/>
        </w:rPr>
        <w:t xml:space="preserve">/ *** </w:t>
      </w:r>
      <w:r>
        <w:t>mm dans le chambranle. Les ébrasements latéraux vont jusqu'au plafond, la traverse supérieure horizontale est :</w:t>
      </w:r>
      <w:r>
        <w:rPr>
          <w:rStyle w:val="optioncarChar"/>
        </w:rPr>
        <w:t> posée aussi près que possible du plafond </w:t>
      </w:r>
      <w:r>
        <w:t>(par défaut)</w:t>
      </w:r>
      <w:r>
        <w:rPr>
          <w:rStyle w:val="optioncarChar"/>
        </w:rPr>
        <w:t xml:space="preserve"> / absente / ***</w:t>
      </w:r>
    </w:p>
    <w:p w14:paraId="4068A6FF" w14:textId="77777777" w:rsidR="004B2808" w:rsidRDefault="00000000">
      <w:pPr>
        <w:pStyle w:val="Author-eListParagraph"/>
        <w:numPr>
          <w:ilvl w:val="0"/>
          <w:numId w:val="975"/>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09DB5351" w14:textId="77777777" w:rsidR="004B2808" w:rsidRDefault="00000000">
      <w:pPr>
        <w:pStyle w:val="Author-eListParagraph"/>
        <w:numPr>
          <w:ilvl w:val="0"/>
          <w:numId w:val="975"/>
        </w:numPr>
      </w:pPr>
      <w:r>
        <w:t xml:space="preserve">Les impostes sont fabriquées dans un morceau de vantail de porte, conformément à la description de l'article </w:t>
      </w:r>
      <w:hyperlink w:anchor="1315" w:history="1">
        <w:r w:rsidR="004B2808">
          <w:rPr>
            <w:color w:val="0000EE"/>
          </w:rP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3E17F343" w14:textId="77777777" w:rsidR="004B2808" w:rsidRDefault="00000000">
      <w:pPr>
        <w:pStyle w:val="Author-eListParagraph"/>
        <w:numPr>
          <w:ilvl w:val="0"/>
          <w:numId w:val="975"/>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37DC2AF4" w14:textId="77777777" w:rsidR="004B2808" w:rsidRDefault="00000000">
      <w:pPr>
        <w:pStyle w:val="heading"/>
      </w:pPr>
      <w:r>
        <w:lastRenderedPageBreak/>
        <w:t>Options (biffer la mention inutile) ensembles de porte / résistant au feu - porte pleine / huisserie en acier</w:t>
      </w:r>
    </w:p>
    <w:p w14:paraId="1468B5C6" w14:textId="77777777" w:rsidR="004B2808" w:rsidRDefault="00000000">
      <w:r>
        <w:t xml:space="preserve">Conformément aux indications sur le plan ou les dessins de détail, les vantaux de porte suivants </w:t>
      </w:r>
      <w:r>
        <w:rPr>
          <w:rStyle w:val="optioncarChar"/>
        </w:rPr>
        <w:t xml:space="preserve">*** </w:t>
      </w:r>
      <w:r>
        <w:t>sont :</w:t>
      </w:r>
    </w:p>
    <w:p w14:paraId="10122C53" w14:textId="77777777" w:rsidR="004B2808" w:rsidRDefault="00000000">
      <w:pPr>
        <w:pStyle w:val="Author-eListParagraph"/>
        <w:numPr>
          <w:ilvl w:val="0"/>
          <w:numId w:val="976"/>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243B12E4" w14:textId="77777777" w:rsidR="004B2808" w:rsidRDefault="00000000">
      <w:pPr>
        <w:pStyle w:val="Author-eListParagraph"/>
        <w:numPr>
          <w:ilvl w:val="0"/>
          <w:numId w:val="976"/>
        </w:numPr>
      </w:pPr>
      <w:r>
        <w:t xml:space="preserve">Equipés d'un vitrage résistant au feu en verre de sécurité conforme au rapport d'essai. Une réservation est faite dans le vantail de porte : </w:t>
      </w:r>
      <w:r>
        <w:rPr>
          <w:rStyle w:val="optioncarChar"/>
        </w:rPr>
        <w:t>rectangulaire </w:t>
      </w:r>
      <w:r>
        <w:t xml:space="preserve">(par défaut) </w:t>
      </w:r>
      <w:r>
        <w:rPr>
          <w:rStyle w:val="optioncarChar"/>
        </w:rPr>
        <w:t>/ ronde / ***</w:t>
      </w:r>
      <w:r>
        <w:t xml:space="preserve"> ,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09508B26" w14:textId="77777777" w:rsidR="004B2808"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71F6EDDE" w14:textId="77777777" w:rsidR="004B2808" w:rsidRDefault="00000000">
      <w:pPr>
        <w:pStyle w:val="Author-eListParagraph"/>
        <w:numPr>
          <w:ilvl w:val="0"/>
          <w:numId w:val="977"/>
        </w:numPr>
      </w:pPr>
      <w:r>
        <w:t xml:space="preserve">Pourvus d'une imposte </w:t>
      </w:r>
      <w:r>
        <w:rPr>
          <w:rStyle w:val="optioncarChar"/>
        </w:rPr>
        <w:t>avec </w:t>
      </w:r>
      <w:r>
        <w:t xml:space="preserve">(par défaut) </w:t>
      </w:r>
      <w:r>
        <w:rPr>
          <w:rStyle w:val="optioncarChar"/>
        </w:rPr>
        <w:t>/ sans / *** </w:t>
      </w:r>
      <w:r>
        <w:t>traverse intermédiaire.</w:t>
      </w:r>
    </w:p>
    <w:p w14:paraId="29105F47" w14:textId="77777777" w:rsidR="004B2808" w:rsidRDefault="00000000">
      <w:pPr>
        <w:pStyle w:val="Author-eListParagraph"/>
        <w:numPr>
          <w:ilvl w:val="0"/>
          <w:numId w:val="977"/>
        </w:numPr>
      </w:pPr>
      <w:r>
        <w:t>Pourvus d'une bande brise-bise et butoir continue.</w:t>
      </w:r>
    </w:p>
    <w:p w14:paraId="7423E38F" w14:textId="77777777" w:rsidR="004B2808" w:rsidRDefault="00000000">
      <w:pPr>
        <w:pStyle w:val="Author-eListParagraph"/>
        <w:numPr>
          <w:ilvl w:val="0"/>
          <w:numId w:val="977"/>
        </w:numPr>
      </w:pPr>
      <w:r>
        <w:t xml:space="preserve">Pourvus d'un cadre approprié pour la fixation d'un ferme-porte, prévu à l'art. </w:t>
      </w:r>
      <w:hyperlink w:anchor="1325" w:history="1">
        <w:r w:rsidR="004B2808">
          <w:rPr>
            <w:color w:val="0000EE"/>
          </w:rPr>
          <w:t>55.62.5 Système de fermeture</w:t>
        </w:r>
      </w:hyperlink>
    </w:p>
    <w:p w14:paraId="1FDDCAB4" w14:textId="77777777" w:rsidR="004B2808" w:rsidRDefault="00000000">
      <w:pPr>
        <w:pStyle w:val="Author-eListParagraph"/>
        <w:numPr>
          <w:ilvl w:val="0"/>
          <w:numId w:val="977"/>
        </w:numPr>
      </w:pPr>
      <w:r>
        <w:t xml:space="preserve">Conçus comme portes </w:t>
      </w:r>
      <w:r>
        <w:rPr>
          <w:rStyle w:val="optioncarChar"/>
        </w:rPr>
        <w:t>va-et-vient </w:t>
      </w:r>
      <w:r>
        <w:t>(par défaut)</w:t>
      </w:r>
      <w:r>
        <w:rPr>
          <w:rStyle w:val="optioncarChar"/>
        </w:rPr>
        <w:t xml:space="preserve"> / pivotantes / ***</w:t>
      </w:r>
      <w:r>
        <w:t xml:space="preserve"> . Elles se composent de </w:t>
      </w:r>
      <w:r>
        <w:rPr>
          <w:rStyle w:val="optioncarChar"/>
        </w:rPr>
        <w:t>un panneau</w:t>
      </w:r>
      <w:r>
        <w:t> (par défaut)</w:t>
      </w:r>
      <w:r>
        <w:rPr>
          <w:rStyle w:val="optioncarChar"/>
        </w:rPr>
        <w:t xml:space="preserve"> / deux panneaux / *** </w:t>
      </w:r>
      <w:r>
        <w:t>, les vantaux des portes et les huisseries sont semblables aux portes ouvrantes ordinaires, seul le mode de suspension et les quincailleries correspondantes sont adaptés au concept des portes battantes.</w:t>
      </w:r>
    </w:p>
    <w:p w14:paraId="1AB628A5" w14:textId="77777777" w:rsidR="004B2808" w:rsidRDefault="00000000">
      <w:pPr>
        <w:pStyle w:val="pheading"/>
      </w:pPr>
      <w:r>
        <w:t>MESURAGE</w:t>
      </w:r>
    </w:p>
    <w:p w14:paraId="5941FFD5" w14:textId="77777777" w:rsidR="004B2808" w:rsidRDefault="00000000">
      <w:r>
        <w:t>Conformément aux indications spécifiques dans le cahier spécial des charges et/ou le métré récapitulatif, le mesurage peut être conçu comme suit, en fonction de la nature des portes intérieures :</w:t>
      </w:r>
    </w:p>
    <w:p w14:paraId="54006991" w14:textId="77777777" w:rsidR="004B2808" w:rsidRDefault="00000000">
      <w:pPr>
        <w:pStyle w:val="pheading"/>
      </w:pPr>
      <w:r>
        <w:t>- unité de mesure:</w:t>
      </w:r>
    </w:p>
    <w:p w14:paraId="2EDEBBB0" w14:textId="77777777" w:rsidR="004B2808" w:rsidRDefault="00000000">
      <w:r>
        <w:t>p</w:t>
      </w:r>
    </w:p>
    <w:p w14:paraId="31D32AE0" w14:textId="77777777" w:rsidR="004B2808" w:rsidRDefault="00000000">
      <w:pPr>
        <w:pStyle w:val="pheading"/>
      </w:pPr>
      <w:r>
        <w:t>- code de mesurage:</w:t>
      </w:r>
    </w:p>
    <w:p w14:paraId="0D20A859" w14:textId="77777777" w:rsidR="004B2808" w:rsidRDefault="00000000">
      <w:r>
        <w:t>Choix opéré:</w:t>
      </w:r>
      <w:r>
        <w:rPr>
          <w:rStyle w:val="optioncarChar"/>
          <w:b/>
        </w:rPr>
        <w:t>*** / OPTION 1 (un ensemble)</w:t>
      </w:r>
      <w:r>
        <w:t> (par défaut)</w:t>
      </w:r>
      <w:r>
        <w:rPr>
          <w:rStyle w:val="optioncarChar"/>
          <w:b/>
        </w:rPr>
        <w:t xml:space="preserve"> / OPTION 2 (séparément)</w:t>
      </w:r>
    </w:p>
    <w:p w14:paraId="38E7110F" w14:textId="77777777" w:rsidR="004B2808"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w:t>
      </w:r>
      <w:r>
        <w:t xml:space="preserve"> (par défaut)</w:t>
      </w:r>
      <w:r>
        <w:rPr>
          <w:rStyle w:val="optioncarChar"/>
        </w:rPr>
        <w:t> / 14 / 19 / ***</w:t>
      </w:r>
      <w:r>
        <w:t xml:space="preserve"> ) et, le cas échéant, selon la classification (nature, sens d'ouverture, emplacement,  prestations particulières, dimensions, forme et aspect).</w:t>
      </w:r>
    </w:p>
    <w:p w14:paraId="1386452B" w14:textId="77777777" w:rsidR="004B2808" w:rsidRDefault="00000000">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r>
      <w:r>
        <w:lastRenderedPageBreak/>
        <w:t>le cas échéant, ventilé selon le type ou le modèle, ventilé selon les dimensions des portes (indépendamment de la hauteur) et l'épaisseur des cloisons intérieures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2118387F" w14:textId="77777777" w:rsidR="004B2808" w:rsidRDefault="00000000">
      <w:r>
        <w:rPr>
          <w:u w:val="single"/>
        </w:rPr>
        <w:t xml:space="preserve">Attention </w:t>
      </w:r>
    </w:p>
    <w:p w14:paraId="393C2A9E" w14:textId="77777777" w:rsidR="004B2808" w:rsidRDefault="00000000">
      <w:pPr>
        <w:pStyle w:val="Author-eListParagraph"/>
        <w:numPr>
          <w:ilvl w:val="0"/>
          <w:numId w:val="978"/>
        </w:numPr>
      </w:pPr>
      <w:r>
        <w:t>Les vantaux de portes de 630 - 730 et 830 mm de largeur peuvent être pris ensemble pour le mesurage.</w:t>
      </w:r>
    </w:p>
    <w:p w14:paraId="543BB801" w14:textId="77777777" w:rsidR="004B2808" w:rsidRDefault="00000000">
      <w:pPr>
        <w:pStyle w:val="Author-eListParagraph"/>
        <w:numPr>
          <w:ilvl w:val="0"/>
          <w:numId w:val="978"/>
        </w:numPr>
      </w:pPr>
      <w:r>
        <w:t>Les quincailleries dont la fourniture et la mise en œuvre sont comprises peuvent être décrites dans d'autres postes mais sont toujours comprises dans le prix des portes.</w:t>
      </w:r>
    </w:p>
    <w:p w14:paraId="120ED894" w14:textId="77777777" w:rsidR="004B2808" w:rsidRDefault="00000000">
      <w:pPr>
        <w:pStyle w:val="pheading"/>
      </w:pPr>
      <w:r>
        <w:t>- nature du marché:</w:t>
      </w:r>
    </w:p>
    <w:p w14:paraId="5E9773EA" w14:textId="77777777" w:rsidR="004B2808" w:rsidRDefault="00000000">
      <w:r>
        <w:t>QF</w:t>
      </w:r>
    </w:p>
    <w:p w14:paraId="7346C327" w14:textId="77777777" w:rsidR="004B2808" w:rsidRDefault="00000000">
      <w:pPr>
        <w:pStyle w:val="Author-eSectionHeading5Numberless"/>
      </w:pPr>
      <w:bookmarkStart w:id="1078" w:name="_Toc220491205"/>
      <w:r>
        <w:t>55.21.8 Portes intérieures en bois, massif / lamellé-collé, à composition mixte - isolation intégrée CCTB 01.02</w:t>
      </w:r>
      <w:bookmarkEnd w:id="1078"/>
    </w:p>
    <w:p w14:paraId="7CB9A5A0" w14:textId="77777777" w:rsidR="004B2808" w:rsidRDefault="00000000">
      <w:pPr>
        <w:pStyle w:val="Author-eSectionHeading6Numberless"/>
      </w:pPr>
      <w:bookmarkStart w:id="1079" w:name="_Toc220491206"/>
      <w:r>
        <w:t>55.21.8a Portes intérieures en bois massif + isolant + bois massif CCTB 01.12</w:t>
      </w:r>
      <w:bookmarkEnd w:id="1079"/>
    </w:p>
    <w:p w14:paraId="7913F211" w14:textId="77777777" w:rsidR="004B2808" w:rsidRDefault="00000000">
      <w:pPr>
        <w:pStyle w:val="pheading"/>
      </w:pPr>
      <w:r>
        <w:t>MATÉRIAUX</w:t>
      </w:r>
    </w:p>
    <w:p w14:paraId="0D3A7BA0" w14:textId="77777777" w:rsidR="004B2808" w:rsidRDefault="00000000">
      <w:pPr>
        <w:pStyle w:val="pheading"/>
      </w:pPr>
      <w:r>
        <w:t>- Prescriptions complémentaires</w:t>
      </w:r>
    </w:p>
    <w:p w14:paraId="17A56FEF" w14:textId="77777777" w:rsidR="004B2808" w:rsidRDefault="00000000">
      <w:pPr>
        <w:pStyle w:val="heading"/>
      </w:pPr>
      <w:r>
        <w:t>(critères de performance)  Vantaux de porte</w:t>
      </w:r>
    </w:p>
    <w:p w14:paraId="40C3F040" w14:textId="77777777" w:rsidR="004B2808" w:rsidRDefault="00000000">
      <w:r>
        <w:t>Conformément aux indications supplémentaires dans le cahier spécial des charges, les dispositions supplémentaires suivantes sont d'application :</w:t>
      </w:r>
    </w:p>
    <w:p w14:paraId="37E4AB94" w14:textId="77777777" w:rsidR="004B2808" w:rsidRDefault="00000000">
      <w:pPr>
        <w:pStyle w:val="Author-eListParagraph"/>
        <w:numPr>
          <w:ilvl w:val="0"/>
          <w:numId w:val="979"/>
        </w:numPr>
      </w:pPr>
      <w:r>
        <w:t>Les dispositions des [STS 53.1] pour les portes intérieures planes dans les salles de bains et les autres locaux humides.</w:t>
      </w:r>
    </w:p>
    <w:p w14:paraId="5A972EEC" w14:textId="77777777" w:rsidR="004B2808" w:rsidRDefault="00000000">
      <w:r>
        <w:br/>
        <w:t>Attention  : Les ensembles de porte résistant au feu sont toujours considérés dans un poste séparé.</w:t>
      </w:r>
    </w:p>
    <w:p w14:paraId="74EFEB9F" w14:textId="77777777" w:rsidR="004B2808" w:rsidRDefault="00000000">
      <w:pPr>
        <w:pStyle w:val="heading"/>
      </w:pPr>
      <w:r>
        <w:t>(Accessoires) Vantaux de porte</w:t>
      </w:r>
    </w:p>
    <w:p w14:paraId="332F3570"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3521DB23" w14:textId="77777777" w:rsidR="004B2808" w:rsidRDefault="00000000">
      <w:pPr>
        <w:pStyle w:val="Author-eListParagraph"/>
        <w:numPr>
          <w:ilvl w:val="0"/>
          <w:numId w:val="980"/>
        </w:numPr>
      </w:pPr>
      <w:r>
        <w:t>Equipés d'un vitrage :</w:t>
      </w:r>
    </w:p>
    <w:p w14:paraId="6EE09232" w14:textId="77777777" w:rsidR="004B2808" w:rsidRDefault="00000000">
      <w:pPr>
        <w:pStyle w:val="Author-eListParagraph"/>
        <w:numPr>
          <w:ilvl w:val="0"/>
          <w:numId w:val="980"/>
        </w:numPr>
      </w:pPr>
      <w:r>
        <w:t xml:space="preserve">En verre de sécurité </w:t>
      </w:r>
      <w:r>
        <w:rPr>
          <w:rStyle w:val="optioncarChar"/>
        </w:rPr>
        <w:t>simple </w:t>
      </w:r>
      <w:r>
        <w:t xml:space="preserve">(par défaut) </w:t>
      </w:r>
      <w:r>
        <w:rPr>
          <w:rStyle w:val="optioncarChar"/>
        </w:rPr>
        <w:t>/ clair / mat / opale / ***</w:t>
      </w:r>
      <w:r>
        <w:t xml:space="preserve"> , selon la [NBN S 23-002]</w:t>
      </w:r>
    </w:p>
    <w:p w14:paraId="3855891E" w14:textId="77777777" w:rsidR="004B2808" w:rsidRDefault="00000000">
      <w:pPr>
        <w:pStyle w:val="Author-eListParagraph"/>
        <w:numPr>
          <w:ilvl w:val="0"/>
          <w:numId w:val="980"/>
        </w:numPr>
      </w:pPr>
      <w:r>
        <w:t xml:space="preserve">Réservation dans le vantail de porte : </w:t>
      </w:r>
      <w:r>
        <w:rPr>
          <w:rStyle w:val="optioncarChar"/>
        </w:rPr>
        <w:t>rectangulaire</w:t>
      </w:r>
      <w:r>
        <w:t> (par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447A0E9A" w14:textId="77777777" w:rsidR="004B2808" w:rsidRDefault="00000000">
      <w:pPr>
        <w:pStyle w:val="Author-eListParagraph"/>
        <w:numPr>
          <w:ilvl w:val="0"/>
          <w:numId w:val="980"/>
        </w:numPr>
      </w:pPr>
      <w:r>
        <w:t xml:space="preserve">Fixation de la vitre dans la réservation à l'aide de : </w:t>
      </w:r>
      <w:r>
        <w:rPr>
          <w:rStyle w:val="optioncarChar"/>
        </w:rPr>
        <w:t>mastic plastique </w:t>
      </w:r>
      <w:r>
        <w:t>(par défaut)</w:t>
      </w:r>
      <w:r>
        <w:rPr>
          <w:rStyle w:val="optioncarChar"/>
        </w:rPr>
        <w:t xml:space="preserve"> / profils de fixation à enclenchement en PVC / ***</w:t>
      </w:r>
    </w:p>
    <w:p w14:paraId="198F0775" w14:textId="77777777" w:rsidR="004B2808" w:rsidRDefault="00000000">
      <w:pPr>
        <w:pStyle w:val="Author-eListParagraph"/>
        <w:numPr>
          <w:ilvl w:val="0"/>
          <w:numId w:val="980"/>
        </w:numPr>
      </w:pPr>
      <w:r>
        <w:t xml:space="preserve">Les vitres sont encadrées par : </w:t>
      </w:r>
      <w:r>
        <w:rPr>
          <w:rStyle w:val="optioncarChar"/>
        </w:rPr>
        <w:t>des lattes en bois dur, finition prête à peindre </w:t>
      </w:r>
      <w:r>
        <w:t>(par défaut)</w:t>
      </w:r>
      <w:r>
        <w:rPr>
          <w:rStyle w:val="optioncarChar"/>
        </w:rPr>
        <w:t xml:space="preserve"> / ***.</w:t>
      </w:r>
    </w:p>
    <w:p w14:paraId="1F1DE15B" w14:textId="77777777" w:rsidR="004B2808" w:rsidRDefault="00000000">
      <w:pPr>
        <w:pStyle w:val="Author-eListParagraph"/>
        <w:numPr>
          <w:ilvl w:val="0"/>
          <w:numId w:val="980"/>
        </w:numPr>
      </w:pPr>
      <w:r>
        <w:t xml:space="preserve">Pourvus d'une grille encastrée, selon l'article </w:t>
      </w:r>
      <w:hyperlink w:anchor="1322" w:history="1">
        <w:r w:rsidR="004B2808">
          <w:rPr>
            <w:color w:val="0000EE"/>
          </w:rPr>
          <w:t>55.68.1 Grilles de transfert dans les portes</w:t>
        </w:r>
      </w:hyperlink>
      <w:r>
        <w:t xml:space="preserve"> grilles de transfert dans les portes, ouverture d'aération conformément à la [NBN D 50-001]</w:t>
      </w:r>
    </w:p>
    <w:p w14:paraId="585B2F55" w14:textId="77777777" w:rsidR="004B2808" w:rsidRDefault="00000000">
      <w:pPr>
        <w:pStyle w:val="Author-eListParagraph"/>
        <w:numPr>
          <w:ilvl w:val="0"/>
          <w:numId w:val="980"/>
        </w:numPr>
      </w:pPr>
      <w:r>
        <w:t xml:space="preserve">Pourvus d'une fente de ventilation d'environ </w:t>
      </w:r>
      <w:r>
        <w:rPr>
          <w:rStyle w:val="optioncarChar"/>
        </w:rPr>
        <w:t>1</w:t>
      </w:r>
      <w:r>
        <w:t> (par défaut) </w:t>
      </w:r>
      <w:r>
        <w:rPr>
          <w:rStyle w:val="optioncarChar"/>
        </w:rPr>
        <w:t>/ ***</w:t>
      </w:r>
      <w:r>
        <w:t xml:space="preserve"> cm dans le bas, de façon telle que l'ouverture d'aération soit conforme à la [NBN D 50-001]</w:t>
      </w:r>
    </w:p>
    <w:p w14:paraId="3D33B076" w14:textId="77777777" w:rsidR="004B2808" w:rsidRDefault="00000000">
      <w:pPr>
        <w:pStyle w:val="Author-eListParagraph"/>
        <w:numPr>
          <w:ilvl w:val="0"/>
          <w:numId w:val="980"/>
        </w:numPr>
      </w:pPr>
      <w:r>
        <w:t>Conçues comme portes coulissantes (les vantaux de porte et les huisseries sont conformes aux portes ouvrantes ordinaires. Seuls le mode de suspension et la quincaillerie concernée sont adaptés au concept des vantaux de porte coulissants).</w:t>
      </w:r>
    </w:p>
    <w:p w14:paraId="03057DE1" w14:textId="77777777" w:rsidR="004B2808" w:rsidRDefault="00000000">
      <w:pPr>
        <w:pStyle w:val="Author-eListParagraph"/>
        <w:numPr>
          <w:ilvl w:val="0"/>
          <w:numId w:val="980"/>
        </w:numPr>
      </w:pPr>
      <w:r>
        <w:t xml:space="preserve">Portes coulissantes </w:t>
      </w:r>
      <w:r>
        <w:rPr>
          <w:rStyle w:val="optioncarChar"/>
        </w:rPr>
        <w:t>simples</w:t>
      </w:r>
      <w:r>
        <w:t> (par défaut)</w:t>
      </w:r>
      <w:r>
        <w:rPr>
          <w:rStyle w:val="optioncarChar"/>
        </w:rPr>
        <w:t xml:space="preserve"> / doubles / ***</w:t>
      </w:r>
    </w:p>
    <w:p w14:paraId="04BAE082" w14:textId="77777777" w:rsidR="004B2808" w:rsidRDefault="00000000">
      <w:pPr>
        <w:pStyle w:val="Author-eListParagraph"/>
        <w:numPr>
          <w:ilvl w:val="0"/>
          <w:numId w:val="980"/>
        </w:numPr>
      </w:pPr>
      <w:r>
        <w:t>Composées de</w:t>
      </w:r>
      <w:r>
        <w:rPr>
          <w:rStyle w:val="optioncarChar"/>
        </w:rPr>
        <w:t> un panneau</w:t>
      </w:r>
      <w:r>
        <w:t> (par défaut)</w:t>
      </w:r>
      <w:r>
        <w:rPr>
          <w:rStyle w:val="optioncarChar"/>
        </w:rPr>
        <w:t xml:space="preserve"> / deux panneaux / ***</w:t>
      </w:r>
    </w:p>
    <w:p w14:paraId="10437E73" w14:textId="77777777" w:rsidR="004B2808" w:rsidRDefault="00000000">
      <w:pPr>
        <w:pStyle w:val="Author-eListParagraph"/>
        <w:numPr>
          <w:ilvl w:val="0"/>
          <w:numId w:val="980"/>
        </w:numPr>
      </w:pPr>
      <w:r>
        <w:t>Mécanisme de coulisse : rails en acier galvanisé; galets en nylon de première qualité; type et modèle en fonction du type et du poids des vantaux coulissants.</w:t>
      </w:r>
    </w:p>
    <w:p w14:paraId="0856B420" w14:textId="77777777" w:rsidR="004B2808" w:rsidRDefault="00000000">
      <w:pPr>
        <w:pStyle w:val="Author-eListParagraph"/>
        <w:numPr>
          <w:ilvl w:val="0"/>
          <w:numId w:val="980"/>
        </w:numPr>
      </w:pPr>
      <w:r>
        <w:lastRenderedPageBreak/>
        <w:t xml:space="preserve">Conçues comme </w:t>
      </w:r>
      <w:r>
        <w:rPr>
          <w:rStyle w:val="optioncarChar"/>
        </w:rPr>
        <w:t>portes battantes</w:t>
      </w:r>
      <w:r>
        <w:t xml:space="preserve"> (par défaut)</w:t>
      </w:r>
      <w:r>
        <w:rPr>
          <w:rStyle w:val="optioncarChar"/>
        </w:rPr>
        <w:t> / pivotantes / *** </w:t>
      </w:r>
      <w:r>
        <w:t xml:space="preserve">(les vantaux de porte et les huisseries sont conformes aux portes ouvrantes ordinaires. Seul le mode de suspension et la quincaillerie concernée sont adaptés au concept des vantaux de porte </w:t>
      </w:r>
      <w:r>
        <w:rPr>
          <w:rStyle w:val="optioncarChar"/>
        </w:rPr>
        <w:t>battante </w:t>
      </w:r>
      <w:r>
        <w:t>(par défaut)</w:t>
      </w:r>
      <w:r>
        <w:rPr>
          <w:rStyle w:val="optioncarChar"/>
        </w:rPr>
        <w:t xml:space="preserve"> / pivotante / *** </w:t>
      </w:r>
      <w:r>
        <w:t>)</w:t>
      </w:r>
    </w:p>
    <w:p w14:paraId="0148D641" w14:textId="77777777" w:rsidR="004B2808" w:rsidRDefault="00000000">
      <w:pPr>
        <w:pStyle w:val="Author-eListParagraph"/>
        <w:numPr>
          <w:ilvl w:val="0"/>
          <w:numId w:val="980"/>
        </w:numPr>
      </w:pPr>
      <w:r>
        <w:t xml:space="preserve">Composées de </w:t>
      </w:r>
      <w:r>
        <w:rPr>
          <w:rStyle w:val="optioncarChar"/>
        </w:rPr>
        <w:t>un panneau</w:t>
      </w:r>
      <w:r>
        <w:t> (par défaut)</w:t>
      </w:r>
      <w:r>
        <w:rPr>
          <w:rStyle w:val="optioncarChar"/>
        </w:rPr>
        <w:t xml:space="preserve"> / deux panneaux / ***</w:t>
      </w:r>
    </w:p>
    <w:p w14:paraId="6250344B" w14:textId="77777777" w:rsidR="004B2808" w:rsidRDefault="00000000">
      <w:pPr>
        <w:pStyle w:val="heading"/>
      </w:pPr>
      <w:r>
        <w:t>Ensembles de porte / résistant au feu</w:t>
      </w:r>
    </w:p>
    <w:p w14:paraId="39F31E0B"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3ED44BD6" w14:textId="77777777" w:rsidR="004B2808" w:rsidRDefault="00000000">
      <w:pPr>
        <w:pStyle w:val="Author-eListParagraph"/>
        <w:numPr>
          <w:ilvl w:val="0"/>
          <w:numId w:val="981"/>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716E214A" w14:textId="77777777" w:rsidR="004B2808" w:rsidRDefault="00000000">
      <w:pPr>
        <w:pStyle w:val="Author-eListParagraph"/>
        <w:numPr>
          <w:ilvl w:val="0"/>
          <w:numId w:val="981"/>
        </w:numPr>
      </w:pPr>
      <w:r>
        <w:t xml:space="preserve">Equipés d'un vitrage résistant au feu en verre de sécurité conforme au rapport d'essai. Une réservation est faite dans le vantail de porte : </w:t>
      </w:r>
      <w:r>
        <w:rPr>
          <w:rStyle w:val="optioncarChar"/>
        </w:rPr>
        <w:t>rectangulaire</w:t>
      </w:r>
      <w:r>
        <w:t> (par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w:t>
      </w:r>
      <w:r>
        <w:t xml:space="preserve"> comme les chanlattes. Le vitrage est toujours délimité sur toute sa périphérie par des sections en bois plein d'une largeur minimale de 140 mm pour les côtés et au-dessus et de 220 mm dans le bas.</w:t>
      </w:r>
    </w:p>
    <w:p w14:paraId="28FFF7D7" w14:textId="77777777" w:rsidR="004B2808"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7ED3B291" w14:textId="77777777" w:rsidR="004B2808" w:rsidRDefault="00000000">
      <w:pPr>
        <w:pStyle w:val="Author-eListParagraph"/>
        <w:numPr>
          <w:ilvl w:val="0"/>
          <w:numId w:val="982"/>
        </w:numPr>
      </w:pPr>
      <w:r>
        <w:t xml:space="preserve">Pourvus d'une imposte </w:t>
      </w:r>
      <w:r>
        <w:rPr>
          <w:rStyle w:val="optioncarChar"/>
        </w:rPr>
        <w:t>avec</w:t>
      </w:r>
      <w:r>
        <w:t> (par défaut)</w:t>
      </w:r>
      <w:r>
        <w:rPr>
          <w:rStyle w:val="optioncarChar"/>
        </w:rPr>
        <w:t xml:space="preserve"> / sans / *** </w:t>
      </w:r>
      <w:r>
        <w:t>traverse intermédiaire.</w:t>
      </w:r>
    </w:p>
    <w:p w14:paraId="1A765F1C" w14:textId="77777777" w:rsidR="004B2808" w:rsidRDefault="00000000">
      <w:pPr>
        <w:pStyle w:val="Author-eListParagraph"/>
        <w:numPr>
          <w:ilvl w:val="0"/>
          <w:numId w:val="982"/>
        </w:numPr>
      </w:pPr>
      <w:r>
        <w:t>Pourvus d'une bande brise-bise et butoir continue.</w:t>
      </w:r>
    </w:p>
    <w:p w14:paraId="4A2B8785" w14:textId="77777777" w:rsidR="004B2808" w:rsidRDefault="00000000">
      <w:pPr>
        <w:pStyle w:val="Author-eListParagraph"/>
        <w:numPr>
          <w:ilvl w:val="0"/>
          <w:numId w:val="982"/>
        </w:numPr>
      </w:pPr>
      <w:r>
        <w:t xml:space="preserve">Pourvus d'un cadre approprié pour la fixation d'un ferme-porte, prévu à l'art. </w:t>
      </w:r>
      <w:hyperlink w:anchor="1325" w:history="1">
        <w:r w:rsidR="004B2808">
          <w:rPr>
            <w:color w:val="0000EE"/>
          </w:rPr>
          <w:t>55.62.5 Système de fermeture</w:t>
        </w:r>
      </w:hyperlink>
    </w:p>
    <w:p w14:paraId="02FAC4B3" w14:textId="77777777" w:rsidR="004B2808" w:rsidRDefault="00000000">
      <w:pPr>
        <w:pStyle w:val="Author-eListParagraph"/>
        <w:numPr>
          <w:ilvl w:val="0"/>
          <w:numId w:val="982"/>
        </w:numPr>
      </w:pPr>
      <w:r>
        <w:t xml:space="preserve">Conçus comme portes </w:t>
      </w:r>
      <w:r>
        <w:rPr>
          <w:rStyle w:val="optioncarChar"/>
        </w:rPr>
        <w:t>va-et-vient </w:t>
      </w:r>
      <w:r>
        <w:t>(par défaut)</w:t>
      </w:r>
      <w:r>
        <w:rPr>
          <w:rStyle w:val="optioncarChar"/>
        </w:rPr>
        <w:t xml:space="preserve"> / pivotantes / *** </w:t>
      </w:r>
      <w:r>
        <w:t xml:space="preserve">. Elles se composent de </w:t>
      </w:r>
      <w:r>
        <w:rPr>
          <w:rStyle w:val="optioncarChar"/>
        </w:rPr>
        <w:t>un panneau</w:t>
      </w:r>
      <w:r>
        <w:t> (par défaut)</w:t>
      </w:r>
      <w:r>
        <w:rPr>
          <w:rStyle w:val="optioncarChar"/>
        </w:rPr>
        <w:t xml:space="preserve"> / deux panneaux</w:t>
      </w:r>
      <w:r>
        <w:t> </w:t>
      </w:r>
      <w:r>
        <w:rPr>
          <w:rStyle w:val="optioncarChar"/>
        </w:rPr>
        <w:t xml:space="preserve"> / ***</w:t>
      </w:r>
      <w:r>
        <w:t>, les vantaux des portes et les huisseries sont semblables aux portes ouvrantes ordinaires, seul le mode de suspension et les quincailleries correspondantes sont adaptés au concept des portes battantes.</w:t>
      </w:r>
    </w:p>
    <w:p w14:paraId="6958B029" w14:textId="77777777" w:rsidR="004B2808" w:rsidRDefault="00000000">
      <w:pPr>
        <w:pStyle w:val="Author-eListParagraph"/>
        <w:numPr>
          <w:ilvl w:val="0"/>
          <w:numId w:val="982"/>
        </w:numPr>
      </w:pPr>
      <w:r>
        <w:t>L'ensemble porte résistant au feu est conforme à la [NIT 234].</w:t>
      </w:r>
    </w:p>
    <w:p w14:paraId="0A6B0A63" w14:textId="77777777" w:rsidR="004B2808" w:rsidRDefault="00000000">
      <w:pPr>
        <w:pStyle w:val="heading"/>
      </w:pPr>
      <w:r>
        <w:t>Options (biffer la mention inutile) huisseries de portes - bois</w:t>
      </w:r>
    </w:p>
    <w:p w14:paraId="477A3B40" w14:textId="77777777" w:rsidR="004B2808" w:rsidRDefault="00000000">
      <w:pPr>
        <w:pStyle w:val="Author-eListParagraph"/>
        <w:numPr>
          <w:ilvl w:val="0"/>
          <w:numId w:val="983"/>
        </w:numPr>
      </w:pPr>
      <w:r>
        <w:t xml:space="preserve">Les portes sont conçues comme un châssis à pose affleurante jusqu'au plafond (avec </w:t>
      </w:r>
      <w:r>
        <w:rPr>
          <w:rStyle w:val="optioncarChar"/>
        </w:rPr>
        <w:t>vantaux vitrés</w:t>
      </w:r>
      <w:r>
        <w:t> (par défaut)</w:t>
      </w:r>
      <w:r>
        <w:rPr>
          <w:rStyle w:val="optioncarChar"/>
        </w:rPr>
        <w:t xml:space="preserve"> / imposte</w:t>
      </w:r>
      <w:r>
        <w:t xml:space="preserve">). La feuillure des portes est embrevée sur une profondeur de </w:t>
      </w:r>
      <w:r>
        <w:rPr>
          <w:rStyle w:val="optioncarChar"/>
        </w:rPr>
        <w:t>10 </w:t>
      </w:r>
      <w:r>
        <w:t>(par défaut)</w:t>
      </w:r>
      <w:r>
        <w:rPr>
          <w:rStyle w:val="optioncarChar"/>
        </w:rPr>
        <w:t xml:space="preserve"> / *** </w:t>
      </w:r>
      <w:r>
        <w:t>mm dans le chambranle. Les ébrasements latéraux vont jusqu'au plafond, la traverse supérieure horizontale est :</w:t>
      </w:r>
      <w:r>
        <w:rPr>
          <w:rStyle w:val="optioncarChar"/>
        </w:rPr>
        <w:t xml:space="preserve"> posée aussi près que possible du plafond </w:t>
      </w:r>
      <w:r>
        <w:t>(par défaut) </w:t>
      </w:r>
      <w:r>
        <w:rPr>
          <w:rStyle w:val="optioncarChar"/>
        </w:rPr>
        <w:t>/ absente / ***</w:t>
      </w:r>
    </w:p>
    <w:p w14:paraId="373FE470" w14:textId="77777777" w:rsidR="004B2808" w:rsidRDefault="00000000">
      <w:pPr>
        <w:pStyle w:val="Author-eListParagraph"/>
        <w:numPr>
          <w:ilvl w:val="0"/>
          <w:numId w:val="983"/>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292B5C87" w14:textId="77777777" w:rsidR="004B2808" w:rsidRDefault="00000000">
      <w:pPr>
        <w:pStyle w:val="Author-eListParagraph"/>
        <w:numPr>
          <w:ilvl w:val="0"/>
          <w:numId w:val="983"/>
        </w:numPr>
      </w:pPr>
      <w:r>
        <w:t xml:space="preserve">Les impostes sont fabriquées dans un morceau de vantail de porte, conformément à la description de l'article </w:t>
      </w:r>
      <w:hyperlink w:anchor="1315" w:history="1">
        <w:r w:rsidR="004B2808">
          <w:rPr>
            <w:color w:val="0000EE"/>
          </w:rP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7F897796" w14:textId="77777777" w:rsidR="004B2808" w:rsidRDefault="00000000">
      <w:pPr>
        <w:pStyle w:val="Author-eListParagraph"/>
        <w:numPr>
          <w:ilvl w:val="0"/>
          <w:numId w:val="983"/>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57BDBFCF" w14:textId="77777777" w:rsidR="004B2808" w:rsidRDefault="00000000">
      <w:pPr>
        <w:pStyle w:val="heading"/>
      </w:pPr>
      <w:r>
        <w:lastRenderedPageBreak/>
        <w:t>Options (biffer la mention inutile) ensembles de porte / résistant au feu - porte pleine / huisserie en acier</w:t>
      </w:r>
    </w:p>
    <w:p w14:paraId="25744E07" w14:textId="77777777" w:rsidR="004B2808" w:rsidRDefault="00000000">
      <w:r>
        <w:t xml:space="preserve">Conformément aux indications sur le plan ou les dessins de détail, les vantaux de porte suivants </w:t>
      </w:r>
      <w:r>
        <w:rPr>
          <w:rStyle w:val="optioncarChar"/>
        </w:rPr>
        <w:t xml:space="preserve">*** </w:t>
      </w:r>
      <w:r>
        <w:t>sont :</w:t>
      </w:r>
    </w:p>
    <w:p w14:paraId="79E2369C" w14:textId="77777777" w:rsidR="004B2808" w:rsidRDefault="00000000">
      <w:pPr>
        <w:pStyle w:val="Author-eListParagraph"/>
        <w:numPr>
          <w:ilvl w:val="0"/>
          <w:numId w:val="984"/>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7655F73A" w14:textId="77777777" w:rsidR="004B2808" w:rsidRDefault="00000000">
      <w:pPr>
        <w:pStyle w:val="Author-eListParagraph"/>
        <w:numPr>
          <w:ilvl w:val="0"/>
          <w:numId w:val="984"/>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w:t>
      </w:r>
      <w:r>
        <w:t>comme les chanlattes. Le vitrage est toujours délimité sur toute sa périphérie par des sections en bois plein d'une largeur minimale de 140 mm pour les côtés et au-dessus et de 220 mm dans le bas.</w:t>
      </w:r>
    </w:p>
    <w:p w14:paraId="5AFA7650" w14:textId="77777777" w:rsidR="004B2808"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5599B9D9" w14:textId="77777777" w:rsidR="004B2808" w:rsidRDefault="00000000">
      <w:pPr>
        <w:pStyle w:val="Author-eListParagraph"/>
        <w:numPr>
          <w:ilvl w:val="0"/>
          <w:numId w:val="985"/>
        </w:numPr>
      </w:pPr>
      <w:r>
        <w:t xml:space="preserve">Pourvus d'une imposte </w:t>
      </w:r>
      <w:r>
        <w:rPr>
          <w:rStyle w:val="optioncarChar"/>
        </w:rPr>
        <w:t>avec </w:t>
      </w:r>
      <w:r>
        <w:t>(par défaut)</w:t>
      </w:r>
      <w:r>
        <w:rPr>
          <w:rStyle w:val="optioncarChar"/>
        </w:rPr>
        <w:t xml:space="preserve"> / sans / *** </w:t>
      </w:r>
      <w:r>
        <w:t>traverse intermédiaire.</w:t>
      </w:r>
    </w:p>
    <w:p w14:paraId="057B8B0F" w14:textId="77777777" w:rsidR="004B2808" w:rsidRDefault="00000000">
      <w:pPr>
        <w:pStyle w:val="Author-eListParagraph"/>
        <w:numPr>
          <w:ilvl w:val="0"/>
          <w:numId w:val="985"/>
        </w:numPr>
      </w:pPr>
      <w:r>
        <w:t>Pourvus d'une bande brise-bise et butoir continue.</w:t>
      </w:r>
    </w:p>
    <w:p w14:paraId="6F926E07" w14:textId="77777777" w:rsidR="004B2808" w:rsidRDefault="00000000">
      <w:pPr>
        <w:pStyle w:val="Author-eListParagraph"/>
        <w:numPr>
          <w:ilvl w:val="0"/>
          <w:numId w:val="985"/>
        </w:numPr>
      </w:pPr>
      <w:r>
        <w:t xml:space="preserve">Pourvus d'un cadre approprié pour la fixation d'un ferme-porte, prévu à l'art. </w:t>
      </w:r>
      <w:hyperlink w:anchor="1325" w:history="1">
        <w:r w:rsidR="004B2808">
          <w:rPr>
            <w:color w:val="0000EE"/>
          </w:rPr>
          <w:t>55.62.5 Système de fermeture</w:t>
        </w:r>
      </w:hyperlink>
    </w:p>
    <w:p w14:paraId="5F93E97E" w14:textId="77777777" w:rsidR="004B2808" w:rsidRDefault="00000000">
      <w:pPr>
        <w:pStyle w:val="Author-eListParagraph"/>
        <w:numPr>
          <w:ilvl w:val="0"/>
          <w:numId w:val="985"/>
        </w:numPr>
      </w:pPr>
      <w:r>
        <w:t xml:space="preserve">Conçus comme portes </w:t>
      </w:r>
      <w:r>
        <w:rPr>
          <w:rStyle w:val="optioncarChar"/>
        </w:rPr>
        <w:t>va-et-vient</w:t>
      </w:r>
      <w:r>
        <w:t xml:space="preserve"> (par défaut) </w:t>
      </w:r>
      <w:r>
        <w:rPr>
          <w:rStyle w:val="optioncarChar"/>
        </w:rPr>
        <w:t>/ pivotantes / ***</w:t>
      </w:r>
      <w:r>
        <w:t xml:space="preserve"> . Elles se composent de </w:t>
      </w:r>
      <w:r>
        <w:rPr>
          <w:rStyle w:val="optioncarChar"/>
        </w:rPr>
        <w:t>un panneau </w:t>
      </w:r>
      <w:r>
        <w:t>(par défaut)</w:t>
      </w:r>
      <w:r>
        <w:rPr>
          <w:rStyle w:val="optioncarChar"/>
        </w:rPr>
        <w:t xml:space="preserve"> / deux panneaux / *** </w:t>
      </w:r>
      <w:r>
        <w:t>, les vantaux des portes et les huisseries sont semblables aux portes ouvrantes ordinaires, seuls le mode de suspension et les quincailleries correspondantes sont adaptés au concept des portes battantes.</w:t>
      </w:r>
    </w:p>
    <w:p w14:paraId="487176CB" w14:textId="77777777" w:rsidR="004B2808" w:rsidRDefault="00000000">
      <w:pPr>
        <w:pStyle w:val="pheading"/>
      </w:pPr>
      <w:r>
        <w:t>MESURAGE</w:t>
      </w:r>
    </w:p>
    <w:p w14:paraId="43E7126D" w14:textId="77777777" w:rsidR="004B2808" w:rsidRDefault="00000000">
      <w:r>
        <w:t>Conformément aux indications spécifiques dans le cahier spécial des charges et/ou le métré récapitulatif, le mesurage peut être conçu comme suit, en fonction de la nature des portes intérieures :</w:t>
      </w:r>
    </w:p>
    <w:p w14:paraId="12BAC0C8" w14:textId="77777777" w:rsidR="004B2808" w:rsidRDefault="00000000">
      <w:pPr>
        <w:pStyle w:val="pheading"/>
      </w:pPr>
      <w:r>
        <w:t>- unité de mesure:</w:t>
      </w:r>
    </w:p>
    <w:p w14:paraId="218282B0" w14:textId="77777777" w:rsidR="004B2808" w:rsidRDefault="00000000">
      <w:r>
        <w:t>p</w:t>
      </w:r>
    </w:p>
    <w:p w14:paraId="26DC5F19" w14:textId="77777777" w:rsidR="004B2808" w:rsidRDefault="00000000">
      <w:pPr>
        <w:pStyle w:val="pheading"/>
      </w:pPr>
      <w:r>
        <w:t>- code de mesurage:</w:t>
      </w:r>
    </w:p>
    <w:p w14:paraId="6F390EA8" w14:textId="77777777" w:rsidR="004B2808" w:rsidRDefault="00000000">
      <w:r>
        <w:t>Choix opéré</w:t>
      </w:r>
      <w:r>
        <w:rPr>
          <w:b/>
        </w:rPr>
        <w:t xml:space="preserve">: </w:t>
      </w:r>
      <w:r>
        <w:rPr>
          <w:rStyle w:val="optioncarChar"/>
          <w:b/>
        </w:rPr>
        <w:t>*** / OPTION 1 (un ensemble)</w:t>
      </w:r>
      <w:r>
        <w:t> (par défaut)</w:t>
      </w:r>
      <w:r>
        <w:rPr>
          <w:rStyle w:val="optioncarChar"/>
          <w:b/>
        </w:rPr>
        <w:t xml:space="preserve"> / OPTION 2 (séparément)</w:t>
      </w:r>
    </w:p>
    <w:p w14:paraId="7AF4354B" w14:textId="77777777" w:rsidR="004B2808"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w:t>
      </w:r>
      <w:r>
        <w:t xml:space="preserve"> (par défaut)</w:t>
      </w:r>
      <w:r>
        <w:rPr>
          <w:rStyle w:val="optioncarChar"/>
        </w:rPr>
        <w:t> / 14 / 19 / ***</w:t>
      </w:r>
      <w:r>
        <w:t xml:space="preserve"> ) et, le cas échéant, selon la classification (nature, sens d'ouverture, emplacement,  prestations particulières, dimensions, forme et aspect).</w:t>
      </w:r>
    </w:p>
    <w:p w14:paraId="05AD7E9A" w14:textId="77777777" w:rsidR="004B2808" w:rsidRDefault="00000000">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w:t>
      </w:r>
      <w:r>
        <w:t xml:space="preserve"> (par défaut) </w:t>
      </w:r>
      <w:r>
        <w:rPr>
          <w:rStyle w:val="optioncarChar"/>
        </w:rPr>
        <w:t>/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r>
      <w:r>
        <w:lastRenderedPageBreak/>
        <w:t>le cas échéant, ventilé selon le type ou le modèle, ventilé selon les dimensions des portes (indépendamment de la hauteur) et l'épaisseur des cloisons intérieures (</w:t>
      </w:r>
      <w:r>
        <w:rPr>
          <w:rStyle w:val="optioncarChar"/>
        </w:rPr>
        <w:t>7</w:t>
      </w:r>
      <w:r>
        <w:t xml:space="preserve"> (par défaut) </w:t>
      </w:r>
      <w:r>
        <w:rPr>
          <w:rStyle w:val="optioncarChar"/>
        </w:rPr>
        <w:t>/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6BDE9343" w14:textId="77777777" w:rsidR="004B2808" w:rsidRDefault="00000000">
      <w:r>
        <w:rPr>
          <w:u w:val="single"/>
        </w:rPr>
        <w:t xml:space="preserve">Attention </w:t>
      </w:r>
    </w:p>
    <w:p w14:paraId="54C46FD1" w14:textId="77777777" w:rsidR="004B2808" w:rsidRDefault="00000000">
      <w:pPr>
        <w:pStyle w:val="Author-eListParagraph"/>
        <w:numPr>
          <w:ilvl w:val="0"/>
          <w:numId w:val="986"/>
        </w:numPr>
      </w:pPr>
      <w:r>
        <w:t>Les vantaux de portes de 630 - 730 et 830 mm de largeur peuvent être pris ensemble pour le mesurage.</w:t>
      </w:r>
    </w:p>
    <w:p w14:paraId="0F029625" w14:textId="77777777" w:rsidR="004B2808" w:rsidRDefault="00000000">
      <w:pPr>
        <w:pStyle w:val="Author-eListParagraph"/>
        <w:numPr>
          <w:ilvl w:val="0"/>
          <w:numId w:val="986"/>
        </w:numPr>
      </w:pPr>
      <w:r>
        <w:t>Les quincailleries dont la fourniture et la mise en œuvre sont comprises peuvent être décrites dans d'autres postes mais sont toujours comprises dans le prix des portes.</w:t>
      </w:r>
    </w:p>
    <w:p w14:paraId="7146CE86" w14:textId="77777777" w:rsidR="004B2808" w:rsidRDefault="00000000">
      <w:r>
        <w:t> </w:t>
      </w:r>
    </w:p>
    <w:p w14:paraId="446DD6A7" w14:textId="77777777" w:rsidR="004B2808" w:rsidRDefault="00000000">
      <w:pPr>
        <w:pStyle w:val="pheading"/>
      </w:pPr>
      <w:r>
        <w:t>- nature du marché:</w:t>
      </w:r>
    </w:p>
    <w:p w14:paraId="44D094C4" w14:textId="77777777" w:rsidR="004B2808" w:rsidRDefault="00000000">
      <w:r>
        <w:t>QF</w:t>
      </w:r>
    </w:p>
    <w:p w14:paraId="10E803B7" w14:textId="77777777" w:rsidR="004B2808" w:rsidRDefault="00000000">
      <w:pPr>
        <w:pStyle w:val="Author-eSectionHeading6Numberless"/>
      </w:pPr>
      <w:bookmarkStart w:id="1080" w:name="_Toc220491207"/>
      <w:r>
        <w:t>55.21.8b Portes intérieures en bois lamellé-collé + isolant + bois lamellé-collé CCTB 01.12</w:t>
      </w:r>
      <w:bookmarkEnd w:id="1080"/>
    </w:p>
    <w:p w14:paraId="2FE33529" w14:textId="77777777" w:rsidR="004B2808" w:rsidRDefault="00000000">
      <w:pPr>
        <w:pStyle w:val="pheading"/>
      </w:pPr>
      <w:r>
        <w:t>MATÉRIAUX</w:t>
      </w:r>
    </w:p>
    <w:p w14:paraId="3A7B29C8" w14:textId="77777777" w:rsidR="004B2808" w:rsidRDefault="00000000">
      <w:pPr>
        <w:pStyle w:val="pheading"/>
      </w:pPr>
      <w:r>
        <w:t>- Prescriptions complémentaires</w:t>
      </w:r>
    </w:p>
    <w:p w14:paraId="21FEA6DD" w14:textId="77777777" w:rsidR="004B2808" w:rsidRDefault="00000000">
      <w:pPr>
        <w:pStyle w:val="heading"/>
      </w:pPr>
      <w:r>
        <w:t>(critères de performance)  Vantaux de porte</w:t>
      </w:r>
    </w:p>
    <w:p w14:paraId="41543185" w14:textId="77777777" w:rsidR="004B2808" w:rsidRDefault="00000000">
      <w:r>
        <w:t>Conformément aux indications supplémentaires dans le cahier spécial des charges, les dispositions supplémentaires suivantes sont d'application :</w:t>
      </w:r>
    </w:p>
    <w:p w14:paraId="55FC8EDC" w14:textId="77777777" w:rsidR="004B2808" w:rsidRDefault="00000000">
      <w:pPr>
        <w:pStyle w:val="Author-eListParagraph"/>
        <w:numPr>
          <w:ilvl w:val="0"/>
          <w:numId w:val="987"/>
        </w:numPr>
      </w:pPr>
      <w:r>
        <w:t>Les dispositions des [STS 53.1] pour les portes intérieures planes dans les salles de bains et les autres locaux humides.</w:t>
      </w:r>
    </w:p>
    <w:p w14:paraId="55017C11" w14:textId="77777777" w:rsidR="004B2808" w:rsidRDefault="00000000">
      <w:r>
        <w:br/>
        <w:t>Attention  : Les ensembles de porte résistant au feu sont toujours considérés dans un poste séparé.</w:t>
      </w:r>
    </w:p>
    <w:p w14:paraId="35017277" w14:textId="77777777" w:rsidR="004B2808" w:rsidRDefault="00000000">
      <w:pPr>
        <w:pStyle w:val="heading"/>
      </w:pPr>
      <w:r>
        <w:t>(Accessoires) Vantaux de porte</w:t>
      </w:r>
    </w:p>
    <w:p w14:paraId="1391145A"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3FC6815C" w14:textId="77777777" w:rsidR="004B2808" w:rsidRDefault="00000000">
      <w:pPr>
        <w:pStyle w:val="Author-eListParagraph"/>
        <w:numPr>
          <w:ilvl w:val="0"/>
          <w:numId w:val="988"/>
        </w:numPr>
      </w:pPr>
      <w:r>
        <w:t>Equipés d'un vitrage :</w:t>
      </w:r>
    </w:p>
    <w:p w14:paraId="3D5D76E5" w14:textId="77777777" w:rsidR="004B2808" w:rsidRDefault="00000000">
      <w:pPr>
        <w:pStyle w:val="Author-eListParagraph"/>
        <w:numPr>
          <w:ilvl w:val="0"/>
          <w:numId w:val="988"/>
        </w:numPr>
      </w:pPr>
      <w:r>
        <w:t xml:space="preserve">En verre de sécurité </w:t>
      </w:r>
      <w:r>
        <w:rPr>
          <w:rStyle w:val="optioncarChar"/>
        </w:rPr>
        <w:t>simple </w:t>
      </w:r>
      <w:r>
        <w:t>(par défaut)</w:t>
      </w:r>
      <w:r>
        <w:rPr>
          <w:rStyle w:val="optioncarChar"/>
        </w:rPr>
        <w:t xml:space="preserve"> / clair / mat / opale / ***</w:t>
      </w:r>
      <w:r>
        <w:t xml:space="preserve"> , selon la [NBN S 23-002]</w:t>
      </w:r>
    </w:p>
    <w:p w14:paraId="45A70C2D" w14:textId="77777777" w:rsidR="004B2808" w:rsidRDefault="00000000">
      <w:pPr>
        <w:pStyle w:val="Author-eListParagraph"/>
        <w:numPr>
          <w:ilvl w:val="0"/>
          <w:numId w:val="988"/>
        </w:numPr>
      </w:pPr>
      <w:r>
        <w:t xml:space="preserve">Réservation dans le vantail de porte : </w:t>
      </w:r>
      <w:r>
        <w:rPr>
          <w:rStyle w:val="optioncarChar"/>
        </w:rPr>
        <w:t>rectangulaire </w:t>
      </w:r>
      <w:r>
        <w:t xml:space="preserve">(par défaut) </w:t>
      </w:r>
      <w:r>
        <w:rPr>
          <w:rStyle w:val="optioncarChar"/>
        </w:rPr>
        <w:t>/ ronde / conformément aux dessins de détail / selon le modèle / *** </w:t>
      </w:r>
      <w:r>
        <w:t>à soumettre pour approbation (pour les réservations dans les portes à âme creuse, un cadre en bois est appliqué et collé).</w:t>
      </w:r>
    </w:p>
    <w:p w14:paraId="348B0426" w14:textId="77777777" w:rsidR="004B2808" w:rsidRDefault="00000000">
      <w:pPr>
        <w:pStyle w:val="Author-eListParagraph"/>
        <w:numPr>
          <w:ilvl w:val="0"/>
          <w:numId w:val="988"/>
        </w:numPr>
      </w:pPr>
      <w:r>
        <w:t xml:space="preserve">Fixation de la vitre dans la réservation à l'aide de : </w:t>
      </w:r>
      <w:r>
        <w:rPr>
          <w:rStyle w:val="optioncarChar"/>
        </w:rPr>
        <w:t>mastic plastique </w:t>
      </w:r>
      <w:r>
        <w:t>(par défaut)</w:t>
      </w:r>
      <w:r>
        <w:rPr>
          <w:rStyle w:val="optioncarChar"/>
        </w:rPr>
        <w:t xml:space="preserve"> / profils de fixation à enclenchement en PVC / ***</w:t>
      </w:r>
    </w:p>
    <w:p w14:paraId="542AEB90" w14:textId="77777777" w:rsidR="004B2808" w:rsidRDefault="00000000">
      <w:pPr>
        <w:pStyle w:val="Author-eListParagraph"/>
        <w:numPr>
          <w:ilvl w:val="0"/>
          <w:numId w:val="988"/>
        </w:numPr>
      </w:pPr>
      <w:r>
        <w:t xml:space="preserve">Les vitres sont encadrées par : </w:t>
      </w:r>
      <w:r>
        <w:rPr>
          <w:rStyle w:val="optioncarChar"/>
        </w:rPr>
        <w:t>des lattes en bois dur, finition prête à peindre</w:t>
      </w:r>
      <w:r>
        <w:t xml:space="preserve"> (par défaut) </w:t>
      </w:r>
      <w:r>
        <w:rPr>
          <w:rStyle w:val="optioncarChar"/>
        </w:rPr>
        <w:t>/ ***.</w:t>
      </w:r>
    </w:p>
    <w:p w14:paraId="0D9BD147" w14:textId="77777777" w:rsidR="004B2808" w:rsidRDefault="00000000">
      <w:pPr>
        <w:pStyle w:val="Author-eListParagraph"/>
        <w:numPr>
          <w:ilvl w:val="0"/>
          <w:numId w:val="988"/>
        </w:numPr>
      </w:pPr>
      <w:r>
        <w:t xml:space="preserve">Pourvus d'une grille encastrée, selon l'article </w:t>
      </w:r>
      <w:hyperlink w:anchor="1322" w:history="1">
        <w:r w:rsidR="004B2808">
          <w:rPr>
            <w:color w:val="0000EE"/>
          </w:rPr>
          <w:t>55.68.1 Grilles de transfert dans les portes</w:t>
        </w:r>
      </w:hyperlink>
      <w:r>
        <w:t xml:space="preserve"> grilles de transfert dans les portes, ouverture d'aération conformément à la [NBN D 50-001]</w:t>
      </w:r>
    </w:p>
    <w:p w14:paraId="2DB83BBA" w14:textId="77777777" w:rsidR="004B2808" w:rsidRDefault="00000000">
      <w:pPr>
        <w:pStyle w:val="Author-eListParagraph"/>
        <w:numPr>
          <w:ilvl w:val="0"/>
          <w:numId w:val="988"/>
        </w:numPr>
      </w:pPr>
      <w:r>
        <w:t>Pourvus d'une fente de ventilation d'environ</w:t>
      </w:r>
      <w:r>
        <w:rPr>
          <w:rStyle w:val="optioncarChar"/>
        </w:rPr>
        <w:t> 1</w:t>
      </w:r>
      <w:r>
        <w:t> (par défaut)</w:t>
      </w:r>
      <w:r>
        <w:rPr>
          <w:rStyle w:val="optioncarChar"/>
        </w:rPr>
        <w:t> / ***</w:t>
      </w:r>
      <w:r>
        <w:t xml:space="preserve"> cm dans le bas, de façon telle que l'ouverture d'aération soit conformé à la [NBN D 50-001]</w:t>
      </w:r>
    </w:p>
    <w:p w14:paraId="0FD82B7C" w14:textId="77777777" w:rsidR="004B2808" w:rsidRDefault="00000000">
      <w:pPr>
        <w:pStyle w:val="Author-eListParagraph"/>
        <w:numPr>
          <w:ilvl w:val="0"/>
          <w:numId w:val="988"/>
        </w:numPr>
      </w:pPr>
      <w:r>
        <w:t>Conçues comme portes coulissantes (les vantaux de porte et les huisseries sont conformes aux portes ouvrantes ordinaires. Seuls le mode de suspension et la quincaillerie concernée sont adaptés au concept des vantaux de porte coulissants).</w:t>
      </w:r>
    </w:p>
    <w:p w14:paraId="7308F083" w14:textId="77777777" w:rsidR="004B2808" w:rsidRDefault="00000000">
      <w:pPr>
        <w:pStyle w:val="Author-eListParagraph"/>
        <w:numPr>
          <w:ilvl w:val="0"/>
          <w:numId w:val="988"/>
        </w:numPr>
      </w:pPr>
      <w:r>
        <w:t xml:space="preserve">Portes coulissantes </w:t>
      </w:r>
      <w:r>
        <w:rPr>
          <w:rStyle w:val="optioncarChar"/>
        </w:rPr>
        <w:t>simples </w:t>
      </w:r>
      <w:r>
        <w:t>(par défaut)</w:t>
      </w:r>
      <w:r>
        <w:rPr>
          <w:rStyle w:val="optioncarChar"/>
        </w:rPr>
        <w:t xml:space="preserve"> / doubles / ***</w:t>
      </w:r>
    </w:p>
    <w:p w14:paraId="38FFC1D5" w14:textId="77777777" w:rsidR="004B2808" w:rsidRDefault="00000000">
      <w:pPr>
        <w:pStyle w:val="Author-eListParagraph"/>
        <w:numPr>
          <w:ilvl w:val="0"/>
          <w:numId w:val="988"/>
        </w:numPr>
      </w:pPr>
      <w:r>
        <w:t>Composées de</w:t>
      </w:r>
      <w:r>
        <w:rPr>
          <w:rStyle w:val="optioncarChar"/>
        </w:rPr>
        <w:t> un panneau </w:t>
      </w:r>
      <w:r>
        <w:t>(par défaut)</w:t>
      </w:r>
      <w:r>
        <w:rPr>
          <w:rStyle w:val="optioncarChar"/>
        </w:rPr>
        <w:t xml:space="preserve"> / deux panneaux / ***</w:t>
      </w:r>
    </w:p>
    <w:p w14:paraId="46BBE61D" w14:textId="77777777" w:rsidR="004B2808" w:rsidRDefault="00000000">
      <w:pPr>
        <w:pStyle w:val="Author-eListParagraph"/>
        <w:numPr>
          <w:ilvl w:val="0"/>
          <w:numId w:val="988"/>
        </w:numPr>
      </w:pPr>
      <w:r>
        <w:t>Mécanisme de coulisse : rails en acier galvanisé; galets en nylon de première qualité; type et modèle en fonction du type et du poids des vantaux coulissants.</w:t>
      </w:r>
    </w:p>
    <w:p w14:paraId="3177C94B" w14:textId="77777777" w:rsidR="004B2808" w:rsidRDefault="00000000">
      <w:pPr>
        <w:pStyle w:val="Author-eListParagraph"/>
        <w:numPr>
          <w:ilvl w:val="0"/>
          <w:numId w:val="988"/>
        </w:numPr>
      </w:pPr>
      <w:r>
        <w:lastRenderedPageBreak/>
        <w:t xml:space="preserve">Conçues comme </w:t>
      </w:r>
      <w:r>
        <w:rPr>
          <w:rStyle w:val="optioncarChar"/>
        </w:rPr>
        <w:t>portes battantes</w:t>
      </w:r>
      <w:r>
        <w:t xml:space="preserve"> (par défaut)</w:t>
      </w:r>
      <w:r>
        <w:rPr>
          <w:rStyle w:val="optioncarChar"/>
        </w:rPr>
        <w:t> / pivotantes / *** </w:t>
      </w:r>
      <w:r>
        <w:t xml:space="preserve">(les vantaux de porte et les huisseries sont conformes aux portes ouvrantes ordinaires. Seuls le mode de suspension et la quincaillerie concernée sont adaptés au concept des vantaux de porte </w:t>
      </w:r>
      <w:r>
        <w:rPr>
          <w:rStyle w:val="optioncarChar"/>
        </w:rPr>
        <w:t>battante</w:t>
      </w:r>
      <w:r>
        <w:t xml:space="preserve"> (par défaut)</w:t>
      </w:r>
      <w:r>
        <w:rPr>
          <w:rStyle w:val="optioncarChar"/>
        </w:rPr>
        <w:t> / pivotante / ***</w:t>
      </w:r>
      <w:r>
        <w:t>)</w:t>
      </w:r>
    </w:p>
    <w:p w14:paraId="5B720528" w14:textId="77777777" w:rsidR="004B2808" w:rsidRDefault="00000000">
      <w:pPr>
        <w:pStyle w:val="Author-eListParagraph"/>
        <w:numPr>
          <w:ilvl w:val="0"/>
          <w:numId w:val="988"/>
        </w:numPr>
      </w:pPr>
      <w:r>
        <w:t xml:space="preserve">Composées de </w:t>
      </w:r>
      <w:r>
        <w:rPr>
          <w:rStyle w:val="optioncarChar"/>
        </w:rPr>
        <w:t>un panneau </w:t>
      </w:r>
      <w:r>
        <w:t xml:space="preserve">(par défaut) </w:t>
      </w:r>
      <w:r>
        <w:rPr>
          <w:rStyle w:val="optioncarChar"/>
        </w:rPr>
        <w:t>/ deux panneaux / ***</w:t>
      </w:r>
    </w:p>
    <w:p w14:paraId="403CB13D" w14:textId="77777777" w:rsidR="004B2808" w:rsidRDefault="00000000">
      <w:pPr>
        <w:pStyle w:val="heading"/>
      </w:pPr>
      <w:r>
        <w:t>Ensembles de porte / résistant au feu</w:t>
      </w:r>
    </w:p>
    <w:p w14:paraId="7368459A"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024319FD" w14:textId="77777777" w:rsidR="004B2808" w:rsidRDefault="00000000">
      <w:pPr>
        <w:pStyle w:val="Author-eListParagraph"/>
        <w:numPr>
          <w:ilvl w:val="0"/>
          <w:numId w:val="989"/>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6348A7E5" w14:textId="77777777" w:rsidR="004B2808" w:rsidRDefault="00000000">
      <w:pPr>
        <w:pStyle w:val="Author-eListParagraph"/>
        <w:numPr>
          <w:ilvl w:val="0"/>
          <w:numId w:val="989"/>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 </w:t>
      </w:r>
      <w:r>
        <w:t xml:space="preserve">(par défaut) </w:t>
      </w:r>
      <w:r>
        <w:rPr>
          <w:rStyle w:val="optioncarChar"/>
        </w:rPr>
        <w:t>/ peintes / ***</w:t>
      </w:r>
      <w:r>
        <w:t xml:space="preserve"> comme les chanlattes. Le vitrage est toujours délimité sur toute sa périphérie par des sections en bois plein d'une largeur minimale de 140 mm pour les côtés et au-dessus et de 220 mm dans le bas.</w:t>
      </w:r>
    </w:p>
    <w:p w14:paraId="755DE3BE" w14:textId="77777777" w:rsidR="004B2808"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2DF6E1EA" w14:textId="77777777" w:rsidR="004B2808" w:rsidRDefault="00000000">
      <w:pPr>
        <w:pStyle w:val="Author-eListParagraph"/>
        <w:numPr>
          <w:ilvl w:val="0"/>
          <w:numId w:val="990"/>
        </w:numPr>
      </w:pPr>
      <w:r>
        <w:t xml:space="preserve">Pourvus d'une imposte </w:t>
      </w:r>
      <w:r>
        <w:rPr>
          <w:rStyle w:val="optioncarChar"/>
        </w:rPr>
        <w:t>avec</w:t>
      </w:r>
      <w:r>
        <w:t xml:space="preserve"> (par défaut) </w:t>
      </w:r>
      <w:r>
        <w:rPr>
          <w:rStyle w:val="optioncarChar"/>
        </w:rPr>
        <w:t>/ sans / ***  </w:t>
      </w:r>
      <w:r>
        <w:t>traverse intermédiaire.</w:t>
      </w:r>
    </w:p>
    <w:p w14:paraId="7345AB71" w14:textId="77777777" w:rsidR="004B2808" w:rsidRDefault="00000000">
      <w:pPr>
        <w:pStyle w:val="Author-eListParagraph"/>
        <w:numPr>
          <w:ilvl w:val="0"/>
          <w:numId w:val="990"/>
        </w:numPr>
      </w:pPr>
      <w:r>
        <w:t>Pourvus d'une bande brise-bise et butoir continue.</w:t>
      </w:r>
    </w:p>
    <w:p w14:paraId="52CEFB4C" w14:textId="77777777" w:rsidR="004B2808" w:rsidRDefault="00000000">
      <w:pPr>
        <w:pStyle w:val="Author-eListParagraph"/>
        <w:numPr>
          <w:ilvl w:val="0"/>
          <w:numId w:val="990"/>
        </w:numPr>
      </w:pPr>
      <w:r>
        <w:t xml:space="preserve">Pourvus d'un cadre approprié pour la fixation d'un ferme-porte, prévu à l'art. </w:t>
      </w:r>
      <w:hyperlink w:anchor="1325" w:history="1">
        <w:r w:rsidR="004B2808">
          <w:rPr>
            <w:color w:val="0000EE"/>
          </w:rPr>
          <w:t>55.62.5 Système de fermeture</w:t>
        </w:r>
      </w:hyperlink>
    </w:p>
    <w:p w14:paraId="698B6627" w14:textId="77777777" w:rsidR="004B2808" w:rsidRDefault="00000000">
      <w:pPr>
        <w:pStyle w:val="Author-eListParagraph"/>
        <w:numPr>
          <w:ilvl w:val="0"/>
          <w:numId w:val="990"/>
        </w:numPr>
      </w:pPr>
      <w:r>
        <w:t xml:space="preserve">Conçus comme portes </w:t>
      </w:r>
      <w:r>
        <w:rPr>
          <w:rStyle w:val="optioncarChar"/>
        </w:rPr>
        <w:t>va-et-vient</w:t>
      </w:r>
      <w:r>
        <w:t> (par défaut)</w:t>
      </w:r>
      <w:r>
        <w:rPr>
          <w:rStyle w:val="optioncarChar"/>
        </w:rPr>
        <w:t xml:space="preserve"> / pivotantes </w:t>
      </w:r>
      <w:r>
        <w:t xml:space="preserve">. Elles se composent de </w:t>
      </w:r>
      <w:r>
        <w:rPr>
          <w:rStyle w:val="optioncarChar"/>
        </w:rPr>
        <w:t>un panneau </w:t>
      </w:r>
      <w:r>
        <w:t xml:space="preserve">(par défaut) </w:t>
      </w:r>
      <w:r>
        <w:rPr>
          <w:rStyle w:val="optioncarChar"/>
        </w:rPr>
        <w:t>/ deux panneaux / ***</w:t>
      </w:r>
      <w:r>
        <w:t xml:space="preserve"> , les vantaux des portes et les huisseries sont semblables aux portes ouvrantes ordinaires, seul le mode de suspension et les quincailleries correspondantes sont adaptés au concept des portes battantes.</w:t>
      </w:r>
    </w:p>
    <w:p w14:paraId="23DAD451" w14:textId="77777777" w:rsidR="004B2808" w:rsidRDefault="00000000">
      <w:pPr>
        <w:pStyle w:val="Author-eListParagraph"/>
        <w:numPr>
          <w:ilvl w:val="0"/>
          <w:numId w:val="990"/>
        </w:numPr>
      </w:pPr>
      <w:r>
        <w:t>L'ensemble porte résistant au feu est conforme à la [NIT 234].</w:t>
      </w:r>
    </w:p>
    <w:p w14:paraId="1D0FDB5B" w14:textId="77777777" w:rsidR="004B2808" w:rsidRDefault="00000000">
      <w:pPr>
        <w:pStyle w:val="heading"/>
      </w:pPr>
      <w:r>
        <w:t>Options (biffer la mention inutile) huisseries de portes - bois</w:t>
      </w:r>
    </w:p>
    <w:p w14:paraId="045EE0D1" w14:textId="77777777" w:rsidR="004B2808" w:rsidRDefault="00000000">
      <w:pPr>
        <w:pStyle w:val="Author-eListParagraph"/>
        <w:numPr>
          <w:ilvl w:val="0"/>
          <w:numId w:val="991"/>
        </w:numPr>
      </w:pPr>
      <w:r>
        <w:t xml:space="preserve">Les portes sont conçues comme un châssis à pose affleurante jusqu'au plafond (avec </w:t>
      </w:r>
      <w:r>
        <w:rPr>
          <w:rStyle w:val="optioncarChar"/>
        </w:rPr>
        <w:t xml:space="preserve">vantaux vitrés </w:t>
      </w:r>
      <w:r>
        <w:t>(par défaut) </w:t>
      </w:r>
      <w:r>
        <w:rPr>
          <w:rStyle w:val="optioncarChar"/>
        </w:rPr>
        <w:t>/ imposte / ***</w:t>
      </w:r>
      <w:r>
        <w:t xml:space="preserve">). La feuillure des portes est embrevée sur une profondeur de </w:t>
      </w:r>
      <w:r>
        <w:rPr>
          <w:rStyle w:val="optioncarChar"/>
        </w:rPr>
        <w:t>10 </w:t>
      </w:r>
      <w:r>
        <w:t>(par défaut)</w:t>
      </w:r>
      <w:r>
        <w:rPr>
          <w:rStyle w:val="optioncarChar"/>
        </w:rPr>
        <w:t xml:space="preserve"> / *** </w:t>
      </w:r>
      <w:r>
        <w:t>mm dans le chambranle. Les ébrasements latéraux vont jusqu'au plafond, la traverse supérieure horizontale est :</w:t>
      </w:r>
      <w:r>
        <w:rPr>
          <w:rStyle w:val="optioncarChar"/>
        </w:rPr>
        <w:t> posée aussi près que possible du plafond</w:t>
      </w:r>
      <w:r>
        <w:t> (par défaut)</w:t>
      </w:r>
      <w:r>
        <w:rPr>
          <w:rStyle w:val="optioncarChar"/>
        </w:rPr>
        <w:t xml:space="preserve"> / absente / ***</w:t>
      </w:r>
    </w:p>
    <w:p w14:paraId="46E37297" w14:textId="77777777" w:rsidR="004B2808" w:rsidRDefault="00000000">
      <w:pPr>
        <w:pStyle w:val="Author-eListParagraph"/>
        <w:numPr>
          <w:ilvl w:val="0"/>
          <w:numId w:val="991"/>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1EAFDB55" w14:textId="77777777" w:rsidR="004B2808" w:rsidRDefault="00000000">
      <w:pPr>
        <w:pStyle w:val="Author-eListParagraph"/>
        <w:numPr>
          <w:ilvl w:val="0"/>
          <w:numId w:val="991"/>
        </w:numPr>
      </w:pPr>
      <w:r>
        <w:t xml:space="preserve">Les impostes sont fabriquées dans un morceau de vantail de porte, conformément à la description de l'article </w:t>
      </w:r>
      <w:hyperlink w:anchor="1315" w:history="1">
        <w:r w:rsidR="004B2808">
          <w:rPr>
            <w:color w:val="0000EE"/>
          </w:rP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5B7E0280" w14:textId="77777777" w:rsidR="004B2808" w:rsidRDefault="00000000">
      <w:pPr>
        <w:pStyle w:val="Author-eListParagraph"/>
        <w:numPr>
          <w:ilvl w:val="0"/>
          <w:numId w:val="991"/>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0C32D24D" w14:textId="77777777" w:rsidR="004B2808" w:rsidRDefault="00000000">
      <w:pPr>
        <w:pStyle w:val="heading"/>
      </w:pPr>
      <w:r>
        <w:lastRenderedPageBreak/>
        <w:t>Options (biffer la mention inutile) ensembles de porte / résistant au feu - porte pleine / huisserie en acier</w:t>
      </w:r>
    </w:p>
    <w:p w14:paraId="14BA99BC" w14:textId="77777777" w:rsidR="004B2808" w:rsidRDefault="00000000">
      <w:r>
        <w:t xml:space="preserve">Conformément aux indications sur le plan ou les dessins de détail, les vantaux de porte suivants </w:t>
      </w:r>
      <w:r>
        <w:rPr>
          <w:rStyle w:val="optioncarChar"/>
        </w:rPr>
        <w:t xml:space="preserve">*** </w:t>
      </w:r>
      <w:r>
        <w:t>sont :</w:t>
      </w:r>
    </w:p>
    <w:p w14:paraId="55A878E5" w14:textId="77777777" w:rsidR="004B2808" w:rsidRDefault="00000000">
      <w:pPr>
        <w:pStyle w:val="Author-eListParagraph"/>
        <w:numPr>
          <w:ilvl w:val="0"/>
          <w:numId w:val="992"/>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3B32BA7D" w14:textId="77777777" w:rsidR="004B2808" w:rsidRDefault="00000000">
      <w:pPr>
        <w:pStyle w:val="Author-eListParagraph"/>
        <w:numPr>
          <w:ilvl w:val="0"/>
          <w:numId w:val="992"/>
        </w:numPr>
      </w:pPr>
      <w:r>
        <w:t xml:space="preserve">Equipés d'un vitrage résistant au feu en verre de sécurité conforme au rapport d'essai. Une réservation est faite dans le vantail de porte : </w:t>
      </w:r>
      <w:r>
        <w:rPr>
          <w:rStyle w:val="optioncarChar"/>
        </w:rPr>
        <w:t>rectangulaire</w:t>
      </w:r>
      <w:r>
        <w:t> (par défaut)</w:t>
      </w:r>
      <w:r>
        <w:rPr>
          <w:rStyle w:val="optioncarChar"/>
        </w:rPr>
        <w:t xml:space="preserve"> / ronde / ***</w:t>
      </w:r>
      <w:r>
        <w:t xml:space="preserve"> ,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 </w:t>
      </w:r>
      <w:r>
        <w:t>comme les chanlattes. Le vitrage est toujours délimité sur toute sa périphérie par des sections en bois plein d'une largeur minimale de 140 mm pour les côtés et au-us et de 220 mm dans le bas.</w:t>
      </w:r>
    </w:p>
    <w:p w14:paraId="24292A53" w14:textId="77777777" w:rsidR="004B2808"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5A496E9E" w14:textId="77777777" w:rsidR="004B2808" w:rsidRDefault="00000000">
      <w:pPr>
        <w:pStyle w:val="Author-eListParagraph"/>
        <w:numPr>
          <w:ilvl w:val="0"/>
          <w:numId w:val="993"/>
        </w:numPr>
      </w:pPr>
      <w:r>
        <w:t xml:space="preserve">Pourvus d'une imposte </w:t>
      </w:r>
      <w:r>
        <w:rPr>
          <w:rStyle w:val="optioncarChar"/>
        </w:rPr>
        <w:t>avec </w:t>
      </w:r>
      <w:r>
        <w:t xml:space="preserve">(par défaut) </w:t>
      </w:r>
      <w:r>
        <w:rPr>
          <w:rStyle w:val="optioncarChar"/>
        </w:rPr>
        <w:t>/ sans / *** </w:t>
      </w:r>
      <w:r>
        <w:t>traverse intermédiaire.</w:t>
      </w:r>
    </w:p>
    <w:p w14:paraId="4E2593A4" w14:textId="77777777" w:rsidR="004B2808" w:rsidRDefault="00000000">
      <w:pPr>
        <w:pStyle w:val="Author-eListParagraph"/>
        <w:numPr>
          <w:ilvl w:val="0"/>
          <w:numId w:val="993"/>
        </w:numPr>
      </w:pPr>
      <w:r>
        <w:t>Pourvus d'une bande brise-bise et butoir continue.</w:t>
      </w:r>
    </w:p>
    <w:p w14:paraId="129DD82B" w14:textId="77777777" w:rsidR="004B2808" w:rsidRDefault="00000000">
      <w:pPr>
        <w:pStyle w:val="Author-eListParagraph"/>
        <w:numPr>
          <w:ilvl w:val="0"/>
          <w:numId w:val="993"/>
        </w:numPr>
      </w:pPr>
      <w:r>
        <w:t xml:space="preserve">Pourvus d'un cadre approprié pour la fixation d'un ferme-porte, prévu à l'art. </w:t>
      </w:r>
      <w:hyperlink w:anchor="1325" w:history="1">
        <w:r w:rsidR="004B2808">
          <w:rPr>
            <w:color w:val="0000EE"/>
          </w:rPr>
          <w:t>55.62.5 Système de fermeture</w:t>
        </w:r>
      </w:hyperlink>
    </w:p>
    <w:p w14:paraId="4C7A9814" w14:textId="77777777" w:rsidR="004B2808" w:rsidRDefault="00000000">
      <w:pPr>
        <w:pStyle w:val="Author-eListParagraph"/>
        <w:numPr>
          <w:ilvl w:val="0"/>
          <w:numId w:val="993"/>
        </w:numPr>
      </w:pPr>
      <w:r>
        <w:t>Conçus comme portes</w:t>
      </w:r>
      <w:r>
        <w:rPr>
          <w:rStyle w:val="optioncarChar"/>
        </w:rPr>
        <w:t> va-et-vient</w:t>
      </w:r>
      <w:r>
        <w:t xml:space="preserve"> (par défaut) </w:t>
      </w:r>
      <w:r>
        <w:rPr>
          <w:rStyle w:val="optioncarChar"/>
        </w:rPr>
        <w:t>/ pivotantes / ***</w:t>
      </w:r>
      <w:r>
        <w:t xml:space="preserve"> . Elles se composent de </w:t>
      </w:r>
      <w:r>
        <w:rPr>
          <w:rStyle w:val="optioncarChar"/>
        </w:rPr>
        <w:t>un panneau</w:t>
      </w:r>
      <w:r>
        <w:t> (par défaut)</w:t>
      </w:r>
      <w:r>
        <w:rPr>
          <w:rStyle w:val="optioncarChar"/>
        </w:rPr>
        <w:t xml:space="preserve"> / deux panneaux / *** </w:t>
      </w:r>
      <w:r>
        <w:t>, les vantaux des portes et les huisseries sont semblables aux portes ouvrantes ordinaires, seul le mode de suspension et les quincailleries correspondantes sont adaptés au concept des portes battantes.</w:t>
      </w:r>
    </w:p>
    <w:p w14:paraId="1629026C" w14:textId="77777777" w:rsidR="004B2808" w:rsidRDefault="00000000">
      <w:pPr>
        <w:pStyle w:val="pheading"/>
      </w:pPr>
      <w:r>
        <w:t>MESURAGE</w:t>
      </w:r>
    </w:p>
    <w:p w14:paraId="3E4EA3D4" w14:textId="77777777" w:rsidR="004B2808" w:rsidRDefault="00000000">
      <w:r>
        <w:t>Conformément aux indications spécifiques dans le cahier spécial des charges et/ou le métré récapitulatif, le mesurage peut être conçu comme suit, en fonction de la nature des portes intérieures :</w:t>
      </w:r>
    </w:p>
    <w:p w14:paraId="69EFD780" w14:textId="77777777" w:rsidR="004B2808" w:rsidRDefault="00000000">
      <w:pPr>
        <w:pStyle w:val="pheading"/>
      </w:pPr>
      <w:r>
        <w:t>- unité de mesure:</w:t>
      </w:r>
    </w:p>
    <w:p w14:paraId="312B4163" w14:textId="77777777" w:rsidR="004B2808" w:rsidRDefault="00000000">
      <w:r>
        <w:t>p</w:t>
      </w:r>
    </w:p>
    <w:p w14:paraId="63783E6A" w14:textId="77777777" w:rsidR="004B2808" w:rsidRDefault="00000000">
      <w:pPr>
        <w:pStyle w:val="pheading"/>
      </w:pPr>
      <w:r>
        <w:t>- code de mesurage:</w:t>
      </w:r>
    </w:p>
    <w:p w14:paraId="16FF6557" w14:textId="77777777" w:rsidR="004B2808" w:rsidRDefault="00000000">
      <w:r>
        <w:t xml:space="preserve">Choix opéré: </w:t>
      </w:r>
      <w:r>
        <w:rPr>
          <w:rStyle w:val="optioncarChar"/>
          <w:b/>
        </w:rPr>
        <w:t>*** / OPTION 1 (un ensemble) / OPTION 2 (séparément)</w:t>
      </w:r>
    </w:p>
    <w:p w14:paraId="5EDF859B" w14:textId="77777777" w:rsidR="004B2808" w:rsidRDefault="00000000">
      <w:r>
        <w:rPr>
          <w:b/>
        </w:rPr>
        <w:t>***OPTION 1 (par défaut)</w:t>
      </w:r>
      <w:r>
        <w:t xml:space="preserve"> : Les portes intérieures seront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14:paraId="401584B1" w14:textId="77777777" w:rsidR="004B2808" w:rsidRDefault="00000000">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r>
      <w:r>
        <w:lastRenderedPageBreak/>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14905E09" w14:textId="77777777" w:rsidR="004B2808" w:rsidRDefault="00000000">
      <w:r>
        <w:rPr>
          <w:rStyle w:val="optioncarChar"/>
        </w:rPr>
        <w:t> </w:t>
      </w:r>
    </w:p>
    <w:p w14:paraId="017429AF" w14:textId="77777777" w:rsidR="004B2808" w:rsidRDefault="00000000">
      <w:r>
        <w:rPr>
          <w:u w:val="single"/>
        </w:rPr>
        <w:t xml:space="preserve">Attention </w:t>
      </w:r>
    </w:p>
    <w:p w14:paraId="606FCAB5" w14:textId="77777777" w:rsidR="004B2808" w:rsidRDefault="00000000">
      <w:pPr>
        <w:pStyle w:val="Author-eListParagraph"/>
        <w:numPr>
          <w:ilvl w:val="0"/>
          <w:numId w:val="994"/>
        </w:numPr>
      </w:pPr>
      <w:r>
        <w:t>Les vantaux de portes de 630 - 730 et 830 mm de largeur peuvent être pris ensemble pour le mesurage.</w:t>
      </w:r>
    </w:p>
    <w:p w14:paraId="3BC05B12" w14:textId="77777777" w:rsidR="004B2808" w:rsidRDefault="00000000">
      <w:pPr>
        <w:pStyle w:val="Author-eListParagraph"/>
        <w:numPr>
          <w:ilvl w:val="0"/>
          <w:numId w:val="994"/>
        </w:numPr>
      </w:pPr>
      <w:r>
        <w:t>Les quincailleries dont la fourniture et la mise en œuvre sont comprises peuvent être décrites dans d'autres postes mais sont toujours comprises dans le prix des portes.</w:t>
      </w:r>
    </w:p>
    <w:p w14:paraId="5D729442" w14:textId="77777777" w:rsidR="004B2808" w:rsidRDefault="00000000">
      <w:r>
        <w:t> </w:t>
      </w:r>
    </w:p>
    <w:p w14:paraId="0FAE9633" w14:textId="77777777" w:rsidR="004B2808" w:rsidRDefault="00000000">
      <w:pPr>
        <w:pStyle w:val="pheading"/>
      </w:pPr>
      <w:r>
        <w:t>- nature du marché:</w:t>
      </w:r>
    </w:p>
    <w:p w14:paraId="37C4DD6C" w14:textId="77777777" w:rsidR="004B2808" w:rsidRDefault="00000000">
      <w:r>
        <w:t>QF</w:t>
      </w:r>
    </w:p>
    <w:p w14:paraId="166F493C" w14:textId="77777777" w:rsidR="004B2808" w:rsidRDefault="00000000">
      <w:pPr>
        <w:pStyle w:val="Author-eSectionHeading6Numberless"/>
      </w:pPr>
      <w:bookmarkStart w:id="1081" w:name="_Toc220491208"/>
      <w:r>
        <w:t>55.21.8c Portes intérieures en bois massif + isolant + finition aluminium CCTB 01.10</w:t>
      </w:r>
      <w:bookmarkEnd w:id="1081"/>
    </w:p>
    <w:p w14:paraId="465943D6" w14:textId="77777777" w:rsidR="004B2808" w:rsidRDefault="00000000">
      <w:pPr>
        <w:pStyle w:val="pheading"/>
      </w:pPr>
      <w:r>
        <w:t>MATÉRIAUX</w:t>
      </w:r>
    </w:p>
    <w:p w14:paraId="698C35B1" w14:textId="77777777" w:rsidR="004B2808" w:rsidRDefault="00000000">
      <w:pPr>
        <w:pStyle w:val="pheading"/>
      </w:pPr>
      <w:r>
        <w:t>- Prescriptions complémentaires</w:t>
      </w:r>
    </w:p>
    <w:p w14:paraId="42F4B60C" w14:textId="77777777" w:rsidR="004B2808" w:rsidRDefault="00000000">
      <w:pPr>
        <w:pStyle w:val="heading"/>
      </w:pPr>
      <w:r>
        <w:t>(critères de performance)  Vantaux de porte</w:t>
      </w:r>
    </w:p>
    <w:p w14:paraId="40F8AFAB" w14:textId="77777777" w:rsidR="004B2808" w:rsidRDefault="00000000">
      <w:r>
        <w:t>Conformément aux indications supplémentaires dans le cahier spécial des charges, les dispositions supplémentaires suivantes sont d'application :</w:t>
      </w:r>
    </w:p>
    <w:p w14:paraId="1F780DA3" w14:textId="77777777" w:rsidR="004B2808" w:rsidRDefault="00000000">
      <w:pPr>
        <w:pStyle w:val="Author-eListParagraph"/>
        <w:numPr>
          <w:ilvl w:val="0"/>
          <w:numId w:val="995"/>
        </w:numPr>
      </w:pPr>
      <w:r>
        <w:t>Les dispositions des [STS 53.1] pour les portes intérieures planes dans les salles de bains et les autres locaux humides.</w:t>
      </w:r>
    </w:p>
    <w:p w14:paraId="5BAFE9E0" w14:textId="77777777" w:rsidR="004B2808" w:rsidRDefault="00000000">
      <w:r>
        <w:br/>
        <w:t>Attention  : Les ensembles de porte résistant au feu sont toujours considérés dans un poste séparé.</w:t>
      </w:r>
    </w:p>
    <w:p w14:paraId="06AC110B" w14:textId="77777777" w:rsidR="004B2808" w:rsidRDefault="00000000">
      <w:pPr>
        <w:pStyle w:val="heading"/>
      </w:pPr>
      <w:r>
        <w:t>(Accessoires) Vantaux de porte</w:t>
      </w:r>
    </w:p>
    <w:p w14:paraId="12167E3C"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03F56FDC" w14:textId="77777777" w:rsidR="004B2808" w:rsidRDefault="00000000">
      <w:pPr>
        <w:pStyle w:val="Author-eListParagraph"/>
        <w:numPr>
          <w:ilvl w:val="0"/>
          <w:numId w:val="996"/>
        </w:numPr>
      </w:pPr>
      <w:r>
        <w:t>Equipés d'un vitrage :</w:t>
      </w:r>
    </w:p>
    <w:p w14:paraId="79D0F6E7" w14:textId="77777777" w:rsidR="004B2808" w:rsidRDefault="00000000">
      <w:pPr>
        <w:pStyle w:val="Author-eListParagraph"/>
        <w:numPr>
          <w:ilvl w:val="0"/>
          <w:numId w:val="996"/>
        </w:numPr>
      </w:pPr>
      <w:r>
        <w:t xml:space="preserve">En verre de sécurité </w:t>
      </w:r>
      <w:r>
        <w:rPr>
          <w:rStyle w:val="optioncarChar"/>
        </w:rPr>
        <w:t>simple </w:t>
      </w:r>
      <w:r>
        <w:t>(par défaut)</w:t>
      </w:r>
      <w:r>
        <w:rPr>
          <w:rStyle w:val="optioncarChar"/>
        </w:rPr>
        <w:t> / clair / mat / opale / ***</w:t>
      </w:r>
      <w:r>
        <w:t xml:space="preserve"> , selon la [NBN S 23-002]</w:t>
      </w:r>
    </w:p>
    <w:p w14:paraId="609CEDA8" w14:textId="77777777" w:rsidR="004B2808" w:rsidRDefault="00000000">
      <w:pPr>
        <w:pStyle w:val="Author-eListParagraph"/>
        <w:numPr>
          <w:ilvl w:val="0"/>
          <w:numId w:val="996"/>
        </w:numPr>
      </w:pPr>
      <w:r>
        <w:t xml:space="preserve">Réservation dans le vantail de porte : </w:t>
      </w:r>
      <w:r>
        <w:rPr>
          <w:rStyle w:val="optioncarChar"/>
        </w:rPr>
        <w:t xml:space="preserve">rectangulaire </w:t>
      </w:r>
      <w:r>
        <w:t>(par défaut) </w:t>
      </w:r>
      <w:r>
        <w:rPr>
          <w:rStyle w:val="optioncarChar"/>
        </w:rPr>
        <w:t>/ ronde / conformément aux dessins de détail / selon le modèle / *** </w:t>
      </w:r>
      <w:r>
        <w:t>à soumettre pour approbation (pour les réservations dans les portes à âme creuse, un cadre en bois est appliqué et collé).</w:t>
      </w:r>
    </w:p>
    <w:p w14:paraId="7F563C0A" w14:textId="77777777" w:rsidR="004B2808" w:rsidRDefault="00000000">
      <w:pPr>
        <w:pStyle w:val="Author-eListParagraph"/>
        <w:numPr>
          <w:ilvl w:val="0"/>
          <w:numId w:val="996"/>
        </w:numPr>
      </w:pPr>
      <w:r>
        <w:t xml:space="preserve">Fixation de la vitre dans la réservation à l'aide de : </w:t>
      </w:r>
      <w:r>
        <w:rPr>
          <w:rStyle w:val="optioncarChar"/>
        </w:rPr>
        <w:t>mastic plastique </w:t>
      </w:r>
      <w:r>
        <w:t>(par défaut)</w:t>
      </w:r>
      <w:r>
        <w:rPr>
          <w:rStyle w:val="optioncarChar"/>
        </w:rPr>
        <w:t xml:space="preserve"> / profils de fixation à enclenchement en PVC / ***</w:t>
      </w:r>
    </w:p>
    <w:p w14:paraId="2A4A4F0F" w14:textId="77777777" w:rsidR="004B2808" w:rsidRDefault="00000000">
      <w:pPr>
        <w:pStyle w:val="Author-eListParagraph"/>
        <w:numPr>
          <w:ilvl w:val="0"/>
          <w:numId w:val="996"/>
        </w:numPr>
      </w:pPr>
      <w:r>
        <w:t xml:space="preserve">Les vitres sont encadrées par : </w:t>
      </w:r>
      <w:r>
        <w:rPr>
          <w:rStyle w:val="optioncarChar"/>
        </w:rPr>
        <w:t>des lattes en bois dur, finition prête à peindre </w:t>
      </w:r>
      <w:r>
        <w:t>(par défaut)</w:t>
      </w:r>
      <w:r>
        <w:rPr>
          <w:rStyle w:val="optioncarChar"/>
        </w:rPr>
        <w:t xml:space="preserve"> / ***.</w:t>
      </w:r>
    </w:p>
    <w:p w14:paraId="7FC7BD00" w14:textId="77777777" w:rsidR="004B2808" w:rsidRDefault="00000000">
      <w:pPr>
        <w:pStyle w:val="Author-eListParagraph"/>
        <w:numPr>
          <w:ilvl w:val="0"/>
          <w:numId w:val="996"/>
        </w:numPr>
      </w:pPr>
      <w:r>
        <w:t xml:space="preserve">Pourvus d'une grille encastrée, selon l'article </w:t>
      </w:r>
      <w:hyperlink w:anchor="1322" w:history="1">
        <w:r w:rsidR="004B2808">
          <w:rPr>
            <w:color w:val="0000EE"/>
          </w:rPr>
          <w:t>55.68.1 Grilles de transfert dans les portes</w:t>
        </w:r>
      </w:hyperlink>
      <w:r>
        <w:t xml:space="preserve"> grilles de transfert dans les portes, ouverture d'aération conformément à la [NBN D 50-001]</w:t>
      </w:r>
    </w:p>
    <w:p w14:paraId="2CAA9EF0" w14:textId="77777777" w:rsidR="004B2808" w:rsidRDefault="00000000">
      <w:pPr>
        <w:pStyle w:val="Author-eListParagraph"/>
        <w:numPr>
          <w:ilvl w:val="0"/>
          <w:numId w:val="996"/>
        </w:numPr>
      </w:pPr>
      <w:r>
        <w:t xml:space="preserve">Pourvus d'une fente de ventilation d'environ </w:t>
      </w:r>
      <w:r>
        <w:rPr>
          <w:rStyle w:val="optioncarChar"/>
        </w:rPr>
        <w:t>1</w:t>
      </w:r>
      <w:r>
        <w:t>(par défaut)</w:t>
      </w:r>
      <w:r>
        <w:rPr>
          <w:rStyle w:val="optioncarChar"/>
        </w:rPr>
        <w:t> / *** </w:t>
      </w:r>
      <w:r>
        <w:t>cm dans le bas, de façon telle que l'ouverture d'aération soit conformé à la [NBN D 50-001]</w:t>
      </w:r>
    </w:p>
    <w:p w14:paraId="28A0336F" w14:textId="77777777" w:rsidR="004B2808" w:rsidRDefault="00000000">
      <w:pPr>
        <w:pStyle w:val="Author-eListParagraph"/>
        <w:numPr>
          <w:ilvl w:val="0"/>
          <w:numId w:val="996"/>
        </w:numPr>
      </w:pPr>
      <w:r>
        <w:t>Conçues comme portes coulissantes (les vantaux de porte et les huisseries sont conformes aux portes ouvrantes ordinaires. Seul le mode de suspension et la quincaillerie concernée sont adaptés au concept des vantaux de porte coulissants).</w:t>
      </w:r>
    </w:p>
    <w:p w14:paraId="24E1DF6D" w14:textId="77777777" w:rsidR="004B2808" w:rsidRDefault="00000000">
      <w:pPr>
        <w:pStyle w:val="Author-eListParagraph"/>
        <w:numPr>
          <w:ilvl w:val="0"/>
          <w:numId w:val="996"/>
        </w:numPr>
      </w:pPr>
      <w:r>
        <w:t xml:space="preserve">Portes coulissantes </w:t>
      </w:r>
      <w:r>
        <w:rPr>
          <w:rStyle w:val="optioncarChar"/>
        </w:rPr>
        <w:t>simples</w:t>
      </w:r>
      <w:r>
        <w:t> (par défaut)</w:t>
      </w:r>
      <w:r>
        <w:rPr>
          <w:rStyle w:val="optioncarChar"/>
        </w:rPr>
        <w:t xml:space="preserve"> / doubles / ***</w:t>
      </w:r>
    </w:p>
    <w:p w14:paraId="0845119F" w14:textId="77777777" w:rsidR="004B2808" w:rsidRDefault="00000000">
      <w:pPr>
        <w:pStyle w:val="Author-eListParagraph"/>
        <w:numPr>
          <w:ilvl w:val="0"/>
          <w:numId w:val="996"/>
        </w:numPr>
      </w:pPr>
      <w:r>
        <w:t>Composées de</w:t>
      </w:r>
      <w:r>
        <w:rPr>
          <w:rStyle w:val="optioncarChar"/>
        </w:rPr>
        <w:t> un panneau </w:t>
      </w:r>
      <w:r>
        <w:t xml:space="preserve">(par défaut) </w:t>
      </w:r>
      <w:r>
        <w:rPr>
          <w:rStyle w:val="optioncarChar"/>
        </w:rPr>
        <w:t>/ deux panneaux / ***</w:t>
      </w:r>
    </w:p>
    <w:p w14:paraId="5CC1BD01" w14:textId="77777777" w:rsidR="004B2808" w:rsidRDefault="00000000">
      <w:pPr>
        <w:pStyle w:val="Author-eListParagraph"/>
        <w:numPr>
          <w:ilvl w:val="0"/>
          <w:numId w:val="996"/>
        </w:numPr>
      </w:pPr>
      <w:r>
        <w:t>Mécanisme de coulisse : rails en acier galvanisé; galets en nylon de première qualité; type et modèle en fonction du type et du poids des vantaux coulissants.</w:t>
      </w:r>
    </w:p>
    <w:p w14:paraId="0F7CAAB4" w14:textId="77777777" w:rsidR="004B2808" w:rsidRDefault="00000000">
      <w:pPr>
        <w:pStyle w:val="Author-eListParagraph"/>
        <w:numPr>
          <w:ilvl w:val="0"/>
          <w:numId w:val="996"/>
        </w:numPr>
      </w:pPr>
      <w:r>
        <w:lastRenderedPageBreak/>
        <w:t xml:space="preserve">Conçues comme </w:t>
      </w:r>
      <w:r>
        <w:rPr>
          <w:rStyle w:val="optioncarChar"/>
        </w:rPr>
        <w:t>portes battantes</w:t>
      </w:r>
      <w:r>
        <w:t> (par défaut) </w:t>
      </w:r>
      <w:r>
        <w:rPr>
          <w:rStyle w:val="optioncarChar"/>
        </w:rPr>
        <w:t>/ pivotantes / *** </w:t>
      </w:r>
      <w:r>
        <w:t xml:space="preserve">(les vantaux de porte et les huisseries sont conformes aux portes ouvrantes ordinaires. Seul le mode de suspension et la quincaillerie concernée sont adaptés au concept des vantaux de porte </w:t>
      </w:r>
      <w:r>
        <w:rPr>
          <w:rStyle w:val="optioncarChar"/>
        </w:rPr>
        <w:t>battante </w:t>
      </w:r>
      <w:r>
        <w:t>(par défaut)</w:t>
      </w:r>
      <w:r>
        <w:rPr>
          <w:rStyle w:val="optioncarChar"/>
        </w:rPr>
        <w:t xml:space="preserve"> / pivotante / ***</w:t>
      </w:r>
      <w:r>
        <w:t>)</w:t>
      </w:r>
    </w:p>
    <w:p w14:paraId="3CAD7EFA" w14:textId="77777777" w:rsidR="004B2808" w:rsidRDefault="00000000">
      <w:pPr>
        <w:pStyle w:val="Author-eListParagraph"/>
        <w:numPr>
          <w:ilvl w:val="0"/>
          <w:numId w:val="996"/>
        </w:numPr>
      </w:pPr>
      <w:r>
        <w:t xml:space="preserve">Composées de </w:t>
      </w:r>
      <w:r>
        <w:rPr>
          <w:rStyle w:val="optioncarChar"/>
        </w:rPr>
        <w:t xml:space="preserve">un panneau </w:t>
      </w:r>
      <w:r>
        <w:t>(par défaut) </w:t>
      </w:r>
      <w:r>
        <w:rPr>
          <w:rStyle w:val="optioncarChar"/>
        </w:rPr>
        <w:t>/ deux panneaux / ***</w:t>
      </w:r>
    </w:p>
    <w:p w14:paraId="66ED1083" w14:textId="77777777" w:rsidR="004B2808" w:rsidRDefault="00000000">
      <w:pPr>
        <w:pStyle w:val="heading"/>
      </w:pPr>
      <w:r>
        <w:t>Ensembles de porte / résistant au feu</w:t>
      </w:r>
    </w:p>
    <w:p w14:paraId="2F9F6DAC"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123F3189" w14:textId="77777777" w:rsidR="004B2808" w:rsidRDefault="00000000">
      <w:pPr>
        <w:pStyle w:val="Author-eListParagraph"/>
        <w:numPr>
          <w:ilvl w:val="0"/>
          <w:numId w:val="997"/>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1D5C0447" w14:textId="77777777" w:rsidR="004B2808" w:rsidRDefault="00000000">
      <w:pPr>
        <w:pStyle w:val="Author-eListParagraph"/>
        <w:numPr>
          <w:ilvl w:val="0"/>
          <w:numId w:val="997"/>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w:t>
      </w:r>
      <w:r>
        <w:t xml:space="preserve"> comme les chanlattes. Le vitrage est toujours délimité sur toute sa périphérie par des sections en bois plein d'une largeur minimale de 140 mm pour les côtés et au-dessus et de 220 mm dans le bas.</w:t>
      </w:r>
    </w:p>
    <w:p w14:paraId="6E1CD169" w14:textId="77777777" w:rsidR="004B2808"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629A9D22" w14:textId="77777777" w:rsidR="004B2808" w:rsidRDefault="00000000">
      <w:pPr>
        <w:pStyle w:val="Author-eListParagraph"/>
        <w:numPr>
          <w:ilvl w:val="0"/>
          <w:numId w:val="998"/>
        </w:numPr>
      </w:pPr>
      <w:r>
        <w:t xml:space="preserve">Pourvus d'une imposte </w:t>
      </w:r>
      <w:r>
        <w:rPr>
          <w:rStyle w:val="optioncarChar"/>
        </w:rPr>
        <w:t>avec </w:t>
      </w:r>
      <w:r>
        <w:t>(par défaut)</w:t>
      </w:r>
      <w:r>
        <w:rPr>
          <w:rStyle w:val="optioncarChar"/>
        </w:rPr>
        <w:t xml:space="preserve"> / sans / *** </w:t>
      </w:r>
      <w:r>
        <w:t>traverse intermédiaire.</w:t>
      </w:r>
    </w:p>
    <w:p w14:paraId="608B0215" w14:textId="77777777" w:rsidR="004B2808" w:rsidRDefault="00000000">
      <w:pPr>
        <w:pStyle w:val="Author-eListParagraph"/>
        <w:numPr>
          <w:ilvl w:val="0"/>
          <w:numId w:val="998"/>
        </w:numPr>
      </w:pPr>
      <w:r>
        <w:t>Pourvus d'une bande brise-bise et butoir continue.</w:t>
      </w:r>
    </w:p>
    <w:p w14:paraId="4FDBCC93" w14:textId="77777777" w:rsidR="004B2808" w:rsidRDefault="00000000">
      <w:pPr>
        <w:pStyle w:val="Author-eListParagraph"/>
        <w:numPr>
          <w:ilvl w:val="0"/>
          <w:numId w:val="998"/>
        </w:numPr>
      </w:pPr>
      <w:r>
        <w:t xml:space="preserve">Pourvus d'un cadre approprié pour la fixation d'un ferme-porte, prévu à l'art. </w:t>
      </w:r>
      <w:hyperlink w:anchor="1325" w:history="1">
        <w:r w:rsidR="004B2808">
          <w:rPr>
            <w:color w:val="0000EE"/>
          </w:rPr>
          <w:t>55.62.5 Système de fermeture</w:t>
        </w:r>
      </w:hyperlink>
    </w:p>
    <w:p w14:paraId="3E44014A" w14:textId="77777777" w:rsidR="004B2808" w:rsidRDefault="00000000">
      <w:pPr>
        <w:pStyle w:val="Author-eListParagraph"/>
        <w:numPr>
          <w:ilvl w:val="0"/>
          <w:numId w:val="998"/>
        </w:numPr>
      </w:pPr>
      <w:r>
        <w:t xml:space="preserve">Conçus comme portes </w:t>
      </w:r>
      <w:r>
        <w:rPr>
          <w:rStyle w:val="optioncarChar"/>
        </w:rPr>
        <w:t>va-et-vient</w:t>
      </w:r>
      <w:r>
        <w:t> (par défaut)</w:t>
      </w:r>
      <w:r>
        <w:rPr>
          <w:rStyle w:val="optioncarChar"/>
        </w:rPr>
        <w:t xml:space="preserve"> / pivotantes / *** </w:t>
      </w:r>
      <w:r>
        <w:t xml:space="preserve">. Elles se composent de </w:t>
      </w:r>
      <w:r>
        <w:rPr>
          <w:rStyle w:val="optioncarChar"/>
        </w:rPr>
        <w:t>un panneau </w:t>
      </w:r>
      <w:r>
        <w:t>(par défaut)</w:t>
      </w:r>
      <w:r>
        <w:rPr>
          <w:rStyle w:val="optioncarChar"/>
        </w:rPr>
        <w:t xml:space="preserve"> / deux panneaux / ***</w:t>
      </w:r>
      <w:r>
        <w:t xml:space="preserve"> , les vantaux des portes et les huisseries sont semblables aux portes ouvrantes ordinaires, seul le mode de suspension et les quincailleries correspondantes sont adaptés au concept des portes battantes.</w:t>
      </w:r>
    </w:p>
    <w:p w14:paraId="51F23E36" w14:textId="77777777" w:rsidR="004B2808" w:rsidRDefault="00000000">
      <w:pPr>
        <w:pStyle w:val="Author-eListParagraph"/>
        <w:numPr>
          <w:ilvl w:val="0"/>
          <w:numId w:val="998"/>
        </w:numPr>
      </w:pPr>
      <w:r>
        <w:t>L'ensemble porte résistant au feu est conforme à la [NIT 234].</w:t>
      </w:r>
    </w:p>
    <w:p w14:paraId="55497EA6" w14:textId="77777777" w:rsidR="004B2808" w:rsidRDefault="00000000">
      <w:pPr>
        <w:pStyle w:val="heading"/>
      </w:pPr>
      <w:r>
        <w:t>Options (biffer la mention inutile) huisseries de portes - bois</w:t>
      </w:r>
    </w:p>
    <w:p w14:paraId="7F8C88C2" w14:textId="77777777" w:rsidR="004B2808" w:rsidRDefault="00000000">
      <w:pPr>
        <w:pStyle w:val="Author-eListParagraph"/>
        <w:numPr>
          <w:ilvl w:val="0"/>
          <w:numId w:val="999"/>
        </w:numPr>
      </w:pPr>
      <w:r>
        <w:t xml:space="preserve">Les portes sont conçues comme un châssis à pose affleurante jusqu'au plafond (avec </w:t>
      </w:r>
      <w:r>
        <w:rPr>
          <w:rStyle w:val="optioncarChar"/>
        </w:rPr>
        <w:t xml:space="preserve">vantaux vitrés </w:t>
      </w:r>
      <w:r>
        <w:t>(par défaut) </w:t>
      </w:r>
      <w:r>
        <w:rPr>
          <w:rStyle w:val="optioncarChar"/>
        </w:rPr>
        <w:t>/ imposte / ***</w:t>
      </w:r>
      <w:r>
        <w:t xml:space="preserve">). La feuillure des portes est embrevée sur une profondeur de </w:t>
      </w:r>
      <w:r>
        <w:rPr>
          <w:rStyle w:val="optioncarChar"/>
        </w:rPr>
        <w:t>10</w:t>
      </w:r>
      <w:r>
        <w:t> (par défaut)</w:t>
      </w:r>
      <w:r>
        <w:rPr>
          <w:rStyle w:val="optioncarChar"/>
        </w:rPr>
        <w:t xml:space="preserve"> / *** </w:t>
      </w:r>
      <w:r>
        <w:t>mm dans le chambranle. Les ébrasements latéraux vont jusqu'au plafond, la traverse supérieure horizontale est :</w:t>
      </w:r>
      <w:r>
        <w:rPr>
          <w:rStyle w:val="optioncarChar"/>
        </w:rPr>
        <w:t> posée aussi près que possible du plafond </w:t>
      </w:r>
      <w:r>
        <w:t>(par défaut)</w:t>
      </w:r>
      <w:r>
        <w:rPr>
          <w:rStyle w:val="optioncarChar"/>
        </w:rPr>
        <w:t xml:space="preserve"> / absente / ***</w:t>
      </w:r>
    </w:p>
    <w:p w14:paraId="4D676E3E" w14:textId="77777777" w:rsidR="004B2808" w:rsidRDefault="00000000">
      <w:pPr>
        <w:pStyle w:val="Author-eListParagraph"/>
        <w:numPr>
          <w:ilvl w:val="0"/>
          <w:numId w:val="999"/>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13FD0C6E" w14:textId="77777777" w:rsidR="004B2808" w:rsidRDefault="00000000">
      <w:pPr>
        <w:pStyle w:val="Author-eListParagraph"/>
        <w:numPr>
          <w:ilvl w:val="0"/>
          <w:numId w:val="999"/>
        </w:numPr>
      </w:pPr>
      <w:r>
        <w:t xml:space="preserve">Les impostes sont fabriquées dans un morceau de vantail de porte, conformément à la description de l'article </w:t>
      </w:r>
      <w:hyperlink w:anchor="1315" w:history="1">
        <w:r w:rsidR="004B2808">
          <w:rPr>
            <w:color w:val="0000EE"/>
          </w:rP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6DD28B82" w14:textId="77777777" w:rsidR="004B2808" w:rsidRDefault="00000000">
      <w:pPr>
        <w:pStyle w:val="Author-eListParagraph"/>
        <w:numPr>
          <w:ilvl w:val="0"/>
          <w:numId w:val="999"/>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413EF93B" w14:textId="77777777" w:rsidR="004B2808" w:rsidRDefault="00000000">
      <w:pPr>
        <w:pStyle w:val="heading"/>
      </w:pPr>
      <w:r>
        <w:lastRenderedPageBreak/>
        <w:t>Options (biffer la mention inutile) ensembles de porte / résistant au feu - porte pleine / huisserie en acier</w:t>
      </w:r>
    </w:p>
    <w:p w14:paraId="27EC21C7" w14:textId="77777777" w:rsidR="004B2808" w:rsidRDefault="00000000">
      <w:r>
        <w:t xml:space="preserve">Conformément aux indications sur le plan ou les dessins de détail, les vantaux de porte suivants </w:t>
      </w:r>
      <w:r>
        <w:rPr>
          <w:rStyle w:val="optioncarChar"/>
        </w:rPr>
        <w:t xml:space="preserve">*** </w:t>
      </w:r>
      <w:r>
        <w:t>sont :</w:t>
      </w:r>
    </w:p>
    <w:p w14:paraId="28D8A4DD" w14:textId="77777777" w:rsidR="004B2808" w:rsidRDefault="00000000">
      <w:pPr>
        <w:pStyle w:val="Author-eListParagraph"/>
        <w:numPr>
          <w:ilvl w:val="0"/>
          <w:numId w:val="1000"/>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1A397666" w14:textId="77777777" w:rsidR="004B2808" w:rsidRDefault="00000000">
      <w:pPr>
        <w:pStyle w:val="Author-eListParagraph"/>
        <w:numPr>
          <w:ilvl w:val="0"/>
          <w:numId w:val="1000"/>
        </w:numPr>
      </w:pPr>
      <w:r>
        <w:t xml:space="preserve">Equipés d'un vitrage résistant au feu en verre de sécurité conforme au rapport d'essai. Une réservation est faite dans le vantail de porte : </w:t>
      </w:r>
      <w:r>
        <w:rPr>
          <w:rStyle w:val="optioncarChar"/>
        </w:rPr>
        <w:t>*** / rectangulaire / ronde</w:t>
      </w:r>
      <w:r>
        <w:t xml:space="preserve"> , selon le modèle à soumettre pour approbation. Le vitrage est incorporé en usine conformément au mode appliqué sur la porte d'essai. Les éventuelles parcloses sont </w:t>
      </w:r>
      <w:r>
        <w:rPr>
          <w:rStyle w:val="optioncarChar"/>
        </w:rPr>
        <w:t xml:space="preserve">*** / vernies / peintes </w:t>
      </w:r>
      <w:r>
        <w:t>comme les chanlattes. Le vitrage est toujours délimité sur toute sa périphérie par des sections en bois plein d'une largeur minimale de 140 mm pour les côtés et au-dessus et de 220 mm dans le bas.</w:t>
      </w:r>
    </w:p>
    <w:p w14:paraId="297FDECE" w14:textId="77777777" w:rsidR="004B2808"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29933DB5" w14:textId="77777777" w:rsidR="004B2808" w:rsidRDefault="00000000">
      <w:pPr>
        <w:pStyle w:val="Author-eListParagraph"/>
        <w:numPr>
          <w:ilvl w:val="0"/>
          <w:numId w:val="1001"/>
        </w:numPr>
      </w:pPr>
      <w:r>
        <w:t xml:space="preserve">Pourvus d'une imposte </w:t>
      </w:r>
      <w:r>
        <w:rPr>
          <w:rStyle w:val="optioncarChar"/>
        </w:rPr>
        <w:t xml:space="preserve">avec </w:t>
      </w:r>
      <w:r>
        <w:t>(par défaut) </w:t>
      </w:r>
      <w:r>
        <w:rPr>
          <w:rStyle w:val="optioncarChar"/>
        </w:rPr>
        <w:t xml:space="preserve">/ sans </w:t>
      </w:r>
      <w:r>
        <w:t>traverse intermédiaire.</w:t>
      </w:r>
    </w:p>
    <w:p w14:paraId="10B31D6D" w14:textId="77777777" w:rsidR="004B2808" w:rsidRDefault="00000000">
      <w:pPr>
        <w:pStyle w:val="Author-eListParagraph"/>
        <w:numPr>
          <w:ilvl w:val="0"/>
          <w:numId w:val="1001"/>
        </w:numPr>
      </w:pPr>
      <w:r>
        <w:t>Pourvus d'une bande brise-bise et butoir continue.</w:t>
      </w:r>
    </w:p>
    <w:p w14:paraId="427C9BD0" w14:textId="77777777" w:rsidR="004B2808" w:rsidRDefault="00000000">
      <w:pPr>
        <w:pStyle w:val="Author-eListParagraph"/>
        <w:numPr>
          <w:ilvl w:val="0"/>
          <w:numId w:val="1001"/>
        </w:numPr>
      </w:pPr>
      <w:r>
        <w:t xml:space="preserve">Pourvus d'un cadre approprié pour la fixation d'un ferme-porte, prévu à l'art. </w:t>
      </w:r>
      <w:hyperlink w:anchor="1325" w:history="1">
        <w:r w:rsidR="004B2808">
          <w:rPr>
            <w:color w:val="0000EE"/>
          </w:rPr>
          <w:t>55.62.5 Système de fermeture</w:t>
        </w:r>
      </w:hyperlink>
    </w:p>
    <w:p w14:paraId="417263C3" w14:textId="77777777" w:rsidR="004B2808" w:rsidRDefault="00000000">
      <w:pPr>
        <w:pStyle w:val="Author-eListParagraph"/>
        <w:numPr>
          <w:ilvl w:val="0"/>
          <w:numId w:val="1001"/>
        </w:numPr>
      </w:pPr>
      <w:r>
        <w:t xml:space="preserve">Conçus comme portes </w:t>
      </w:r>
      <w:r>
        <w:rPr>
          <w:rStyle w:val="optioncarChar"/>
        </w:rPr>
        <w:t>va-et-vient </w:t>
      </w:r>
      <w:r>
        <w:t xml:space="preserve">(par défaut) </w:t>
      </w:r>
      <w:r>
        <w:rPr>
          <w:rStyle w:val="optioncarChar"/>
        </w:rPr>
        <w:t>/ pivotantes / ***</w:t>
      </w:r>
      <w:r>
        <w:t xml:space="preserve"> . Elles se composent de </w:t>
      </w:r>
      <w:r>
        <w:rPr>
          <w:rStyle w:val="optioncarChar"/>
        </w:rPr>
        <w:t>un panneau </w:t>
      </w:r>
      <w:r>
        <w:t>(par défaut)</w:t>
      </w:r>
      <w:r>
        <w:rPr>
          <w:rStyle w:val="optioncarChar"/>
        </w:rPr>
        <w:t xml:space="preserve"> / deux panneaux / *** </w:t>
      </w:r>
      <w:r>
        <w:t>, les vantaux des portes et les huisseries sont semblables aux portes ouvrantes ordinaires, seul le mode de suspension et les quincailleries correspondantes sont adaptés au concept des portes battantes.</w:t>
      </w:r>
    </w:p>
    <w:p w14:paraId="5C6A0A94" w14:textId="77777777" w:rsidR="004B2808" w:rsidRDefault="00000000">
      <w:pPr>
        <w:pStyle w:val="pheading"/>
      </w:pPr>
      <w:r>
        <w:t>MESURAGE</w:t>
      </w:r>
    </w:p>
    <w:p w14:paraId="6B24A854" w14:textId="77777777" w:rsidR="004B2808" w:rsidRDefault="00000000">
      <w:r>
        <w:t>Conformément aux indications spécifiques dans le cahier spécial des charges et/ou le métré récapitulatif, le mesurage peut être conçu comme suit, en fonction de la nature des portes intérieures :</w:t>
      </w:r>
    </w:p>
    <w:p w14:paraId="785A932D" w14:textId="77777777" w:rsidR="004B2808" w:rsidRDefault="00000000">
      <w:pPr>
        <w:pStyle w:val="pheading"/>
      </w:pPr>
      <w:r>
        <w:t>- unité de mesure:</w:t>
      </w:r>
    </w:p>
    <w:p w14:paraId="45CD1E82" w14:textId="77777777" w:rsidR="004B2808" w:rsidRDefault="00000000">
      <w:r>
        <w:t>p</w:t>
      </w:r>
    </w:p>
    <w:p w14:paraId="69183020" w14:textId="77777777" w:rsidR="004B2808" w:rsidRDefault="00000000">
      <w:pPr>
        <w:pStyle w:val="pheading"/>
      </w:pPr>
      <w:r>
        <w:t>- code de mesurage:</w:t>
      </w:r>
    </w:p>
    <w:p w14:paraId="5FFB1FBA" w14:textId="77777777" w:rsidR="004B2808" w:rsidRDefault="00000000">
      <w:r>
        <w:t>Choix opéré:</w:t>
      </w:r>
      <w:r>
        <w:rPr>
          <w:rStyle w:val="optioncarChar"/>
          <w:b/>
        </w:rPr>
        <w:t xml:space="preserve">*** / OPTION 1 (un ensemble) </w:t>
      </w:r>
      <w:r>
        <w:t>(par défaut) </w:t>
      </w:r>
      <w:r>
        <w:rPr>
          <w:rStyle w:val="optioncarChar"/>
          <w:b/>
        </w:rPr>
        <w:t>/ OPTION 2 (séparément)</w:t>
      </w:r>
    </w:p>
    <w:p w14:paraId="3FFD162F" w14:textId="77777777" w:rsidR="004B2808"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9 </w:t>
      </w:r>
      <w:r>
        <w:t>(par défaut)</w:t>
      </w:r>
      <w:r>
        <w:rPr>
          <w:rStyle w:val="optioncarChar"/>
        </w:rPr>
        <w:t xml:space="preserve"> / 14 / 19 / ***</w:t>
      </w:r>
      <w:r>
        <w:t xml:space="preserve"> ) et, le cas échéant, selon la classification (nature, sens d'ouverture, emplacement,  prestations particulières, dimensions, forme et aspect).</w:t>
      </w:r>
    </w:p>
    <w:p w14:paraId="6B48ED53" w14:textId="77777777" w:rsidR="004B2808" w:rsidRDefault="00000000">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r>
      <w:r>
        <w:lastRenderedPageBreak/>
        <w:t>le cas échéant, ventilé selon le type ou le modèle, ventilé selon les dimensions des portes (indépendamment de la hauteur) et l'épaisseur des cloisons intérieures (</w:t>
      </w:r>
      <w:r>
        <w:rPr>
          <w:rStyle w:val="optioncarChar"/>
        </w:rPr>
        <w:t>7</w:t>
      </w:r>
      <w:r>
        <w:t xml:space="preserve"> (par défaut) </w:t>
      </w:r>
      <w:r>
        <w:rPr>
          <w:rStyle w:val="optioncarChar"/>
        </w:rPr>
        <w:t>/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67C58AB4" w14:textId="77777777" w:rsidR="004B2808" w:rsidRDefault="00000000">
      <w:r>
        <w:rPr>
          <w:u w:val="single"/>
        </w:rPr>
        <w:t xml:space="preserve">Attention </w:t>
      </w:r>
    </w:p>
    <w:p w14:paraId="2066F77B" w14:textId="77777777" w:rsidR="004B2808" w:rsidRDefault="00000000">
      <w:pPr>
        <w:pStyle w:val="Author-eListParagraph"/>
        <w:numPr>
          <w:ilvl w:val="0"/>
          <w:numId w:val="1002"/>
        </w:numPr>
      </w:pPr>
      <w:r>
        <w:t>Les vantaux de portes de 630 - 730 et 830 mm de largeur peuvent être pris ensemble pour le mesurage.</w:t>
      </w:r>
    </w:p>
    <w:p w14:paraId="2930E63A" w14:textId="77777777" w:rsidR="004B2808" w:rsidRDefault="00000000">
      <w:pPr>
        <w:pStyle w:val="Author-eListParagraph"/>
        <w:numPr>
          <w:ilvl w:val="0"/>
          <w:numId w:val="1002"/>
        </w:numPr>
      </w:pPr>
      <w:r>
        <w:t>Les quincailleries dont la fourniture et la mise en œuvre sont comprises peuvent être décrites dans d'autres postes mais sont toujours comprises dans le prix des portes.</w:t>
      </w:r>
    </w:p>
    <w:p w14:paraId="53FD0FEB" w14:textId="77777777" w:rsidR="004B2808" w:rsidRDefault="00000000">
      <w:pPr>
        <w:pStyle w:val="pheading"/>
      </w:pPr>
      <w:r>
        <w:t>- nature du marché:</w:t>
      </w:r>
    </w:p>
    <w:p w14:paraId="2E5883D6" w14:textId="77777777" w:rsidR="004B2808" w:rsidRDefault="00000000">
      <w:r>
        <w:t>QF</w:t>
      </w:r>
    </w:p>
    <w:p w14:paraId="14C67DF0" w14:textId="77777777" w:rsidR="004B2808" w:rsidRDefault="00000000">
      <w:pPr>
        <w:pStyle w:val="Author-eSectionHeading6Numberless"/>
      </w:pPr>
      <w:bookmarkStart w:id="1082" w:name="_Toc220491209"/>
      <w:r>
        <w:t>55.21.8d Portes intérieures en bois lamellé-collé + isolant + finition aluminium CCTB 01.10</w:t>
      </w:r>
      <w:bookmarkEnd w:id="1082"/>
    </w:p>
    <w:p w14:paraId="1DDA27D2" w14:textId="77777777" w:rsidR="004B2808" w:rsidRDefault="00000000">
      <w:pPr>
        <w:pStyle w:val="pheading"/>
      </w:pPr>
      <w:r>
        <w:t>MATÉRIAUX</w:t>
      </w:r>
    </w:p>
    <w:p w14:paraId="55366FA4" w14:textId="77777777" w:rsidR="004B2808" w:rsidRDefault="00000000">
      <w:pPr>
        <w:pStyle w:val="pheading"/>
      </w:pPr>
      <w:r>
        <w:t>- Prescriptions complémentaires</w:t>
      </w:r>
    </w:p>
    <w:p w14:paraId="2465C3F1" w14:textId="77777777" w:rsidR="004B2808" w:rsidRDefault="00000000">
      <w:pPr>
        <w:pStyle w:val="heading"/>
      </w:pPr>
      <w:r>
        <w:t>(critères de performance)  Vantaux de porte</w:t>
      </w:r>
    </w:p>
    <w:p w14:paraId="6F1AB476" w14:textId="77777777" w:rsidR="004B2808" w:rsidRDefault="00000000">
      <w:r>
        <w:t>Conformément aux indications supplémentaires dans le cahier spécial des charges, les dispositions supplémentaires suivantes sont d'application :</w:t>
      </w:r>
    </w:p>
    <w:p w14:paraId="6E8A10BF" w14:textId="77777777" w:rsidR="004B2808" w:rsidRDefault="00000000">
      <w:pPr>
        <w:pStyle w:val="Author-eListParagraph"/>
        <w:numPr>
          <w:ilvl w:val="0"/>
          <w:numId w:val="1003"/>
        </w:numPr>
      </w:pPr>
      <w:r>
        <w:t>Les dispositions des [STS 53.1] pour les portes intérieures planes dans les salles de bains et les autres locaux humides.</w:t>
      </w:r>
    </w:p>
    <w:p w14:paraId="41B14F38" w14:textId="77777777" w:rsidR="004B2808" w:rsidRDefault="00000000">
      <w:r>
        <w:br/>
        <w:t>Attention  : Les ensembles de porte résistant au feu sont toujours considérés dans un poste séparé.</w:t>
      </w:r>
    </w:p>
    <w:p w14:paraId="4A38FD79" w14:textId="77777777" w:rsidR="004B2808" w:rsidRDefault="00000000">
      <w:pPr>
        <w:pStyle w:val="heading"/>
      </w:pPr>
      <w:r>
        <w:t>(Accessoires) Vantaux de porte</w:t>
      </w:r>
    </w:p>
    <w:p w14:paraId="0760D48A"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28C673D9" w14:textId="77777777" w:rsidR="004B2808" w:rsidRDefault="00000000">
      <w:pPr>
        <w:pStyle w:val="Author-eListParagraph"/>
        <w:numPr>
          <w:ilvl w:val="0"/>
          <w:numId w:val="1004"/>
        </w:numPr>
      </w:pPr>
      <w:r>
        <w:t>Equipés d'un vitrage :</w:t>
      </w:r>
    </w:p>
    <w:p w14:paraId="60570AC5" w14:textId="77777777" w:rsidR="004B2808" w:rsidRDefault="00000000">
      <w:pPr>
        <w:pStyle w:val="Author-eListParagraph"/>
        <w:numPr>
          <w:ilvl w:val="0"/>
          <w:numId w:val="1004"/>
        </w:numPr>
      </w:pPr>
      <w:r>
        <w:t xml:space="preserve">En verre de sécurité </w:t>
      </w:r>
      <w:r>
        <w:rPr>
          <w:rStyle w:val="optioncarChar"/>
        </w:rPr>
        <w:t>simple</w:t>
      </w:r>
      <w:r>
        <w:t> (par défaut)</w:t>
      </w:r>
      <w:r>
        <w:rPr>
          <w:rStyle w:val="optioncarChar"/>
        </w:rPr>
        <w:t xml:space="preserve"> / clair / mat / opale / ***</w:t>
      </w:r>
      <w:r>
        <w:t xml:space="preserve"> , selon la [NBN S 23-002]</w:t>
      </w:r>
    </w:p>
    <w:p w14:paraId="06451797" w14:textId="77777777" w:rsidR="004B2808" w:rsidRDefault="00000000">
      <w:pPr>
        <w:pStyle w:val="Author-eListParagraph"/>
        <w:numPr>
          <w:ilvl w:val="0"/>
          <w:numId w:val="1004"/>
        </w:numPr>
      </w:pPr>
      <w:r>
        <w:t xml:space="preserve">Réservation dans le vantail de porte : </w:t>
      </w:r>
      <w:r>
        <w:rPr>
          <w:rStyle w:val="optioncarChar"/>
        </w:rPr>
        <w:t>rectangulaire</w:t>
      </w:r>
      <w:r>
        <w:t xml:space="preserve"> (par défaut)</w:t>
      </w:r>
      <w:r>
        <w:rPr>
          <w:rStyle w:val="optioncarChar"/>
        </w:rPr>
        <w:t> / ronde / conformément aux dessins de détail / selon le modèle / ***</w:t>
      </w:r>
      <w:r>
        <w:t>à soumettre pour approbation (pour les réservations dans les portes à âme creuse, un cadre en bois est appliqué et collé).</w:t>
      </w:r>
    </w:p>
    <w:p w14:paraId="23A69E2D" w14:textId="77777777" w:rsidR="004B2808" w:rsidRDefault="00000000">
      <w:pPr>
        <w:pStyle w:val="Author-eListParagraph"/>
        <w:numPr>
          <w:ilvl w:val="0"/>
          <w:numId w:val="1004"/>
        </w:numPr>
      </w:pPr>
      <w:r>
        <w:t xml:space="preserve">Fixation de la vitre dans la réservation à l'aide de : </w:t>
      </w:r>
      <w:r>
        <w:rPr>
          <w:rStyle w:val="optioncarChar"/>
        </w:rPr>
        <w:t>mastic plastique</w:t>
      </w:r>
      <w:r>
        <w:t> (par défaut)</w:t>
      </w:r>
      <w:r>
        <w:rPr>
          <w:rStyle w:val="optioncarChar"/>
        </w:rPr>
        <w:t xml:space="preserve"> / profils de fixation à enclenchement en PVC / ***</w:t>
      </w:r>
    </w:p>
    <w:p w14:paraId="4A0EDF2B" w14:textId="77777777" w:rsidR="004B2808" w:rsidRDefault="00000000">
      <w:pPr>
        <w:pStyle w:val="Author-eListParagraph"/>
        <w:numPr>
          <w:ilvl w:val="0"/>
          <w:numId w:val="1004"/>
        </w:numPr>
      </w:pPr>
      <w:r>
        <w:t xml:space="preserve">Les vitres sont encadrées par : </w:t>
      </w:r>
      <w:r>
        <w:rPr>
          <w:rStyle w:val="optioncarChar"/>
        </w:rPr>
        <w:t>des lattes en bois dur, finition prête à peindre </w:t>
      </w:r>
      <w:r>
        <w:t>(par défaut)</w:t>
      </w:r>
      <w:r>
        <w:rPr>
          <w:rStyle w:val="optioncarChar"/>
        </w:rPr>
        <w:t xml:space="preserve"> / ***.</w:t>
      </w:r>
    </w:p>
    <w:p w14:paraId="37943EA7" w14:textId="77777777" w:rsidR="004B2808" w:rsidRDefault="00000000">
      <w:pPr>
        <w:pStyle w:val="Author-eListParagraph"/>
        <w:numPr>
          <w:ilvl w:val="0"/>
          <w:numId w:val="1004"/>
        </w:numPr>
      </w:pPr>
      <w:r>
        <w:t xml:space="preserve">Pourvus d'une grille encastrée, selon l'article </w:t>
      </w:r>
      <w:hyperlink w:anchor="1322" w:history="1">
        <w:r w:rsidR="004B2808">
          <w:rPr>
            <w:color w:val="0000EE"/>
          </w:rPr>
          <w:t>55.68.1 Grilles de transfert dans les portes</w:t>
        </w:r>
      </w:hyperlink>
      <w:r>
        <w:t xml:space="preserve"> grilles de transfert dans les portes, ouverture d'aération conformément à la [NBN D 50-001]</w:t>
      </w:r>
    </w:p>
    <w:p w14:paraId="4D3451D4" w14:textId="77777777" w:rsidR="004B2808" w:rsidRDefault="00000000">
      <w:pPr>
        <w:pStyle w:val="Author-eListParagraph"/>
        <w:numPr>
          <w:ilvl w:val="0"/>
          <w:numId w:val="1004"/>
        </w:numPr>
      </w:pPr>
      <w:r>
        <w:t xml:space="preserve">Pourvus d'une fente de ventilation d'environ </w:t>
      </w:r>
      <w:r>
        <w:rPr>
          <w:rStyle w:val="optioncarChar"/>
        </w:rPr>
        <w:t>1 </w:t>
      </w:r>
      <w:r>
        <w:t>(par défaut) / *** cm dans le bas, de façon telle que l'ouverture d'aération soit conformé à la[NBN D 50-001]</w:t>
      </w:r>
    </w:p>
    <w:p w14:paraId="6B33FE97" w14:textId="77777777" w:rsidR="004B2808" w:rsidRDefault="00000000">
      <w:pPr>
        <w:pStyle w:val="Author-eListParagraph"/>
        <w:numPr>
          <w:ilvl w:val="0"/>
          <w:numId w:val="1004"/>
        </w:numPr>
      </w:pPr>
      <w:r>
        <w:t>Conçues comme portes coulissantes (les vantaux de porte et les huisseries sont conformes aux portes ouvrantes ordinaires. Seul le mode de suspension et la quincaillerie concernée sont adaptés au concept des vantaux de porte coulissants).</w:t>
      </w:r>
    </w:p>
    <w:p w14:paraId="44BAD91F" w14:textId="77777777" w:rsidR="004B2808" w:rsidRDefault="00000000">
      <w:pPr>
        <w:pStyle w:val="Author-eListParagraph"/>
        <w:numPr>
          <w:ilvl w:val="0"/>
          <w:numId w:val="1004"/>
        </w:numPr>
      </w:pPr>
      <w:r>
        <w:t xml:space="preserve">Portes coulissantes </w:t>
      </w:r>
      <w:r>
        <w:rPr>
          <w:rStyle w:val="optioncarChar"/>
        </w:rPr>
        <w:t>simples </w:t>
      </w:r>
      <w:r>
        <w:t>(par défaut)</w:t>
      </w:r>
      <w:r>
        <w:rPr>
          <w:rStyle w:val="optioncarChar"/>
        </w:rPr>
        <w:t xml:space="preserve"> / doubles / ***</w:t>
      </w:r>
    </w:p>
    <w:p w14:paraId="4F285440" w14:textId="77777777" w:rsidR="004B2808" w:rsidRDefault="00000000">
      <w:pPr>
        <w:pStyle w:val="Author-eListParagraph"/>
        <w:numPr>
          <w:ilvl w:val="0"/>
          <w:numId w:val="1004"/>
        </w:numPr>
      </w:pPr>
      <w:r>
        <w:t>Composées de</w:t>
      </w:r>
      <w:r>
        <w:rPr>
          <w:rStyle w:val="optioncarChar"/>
        </w:rPr>
        <w:t> un panneau </w:t>
      </w:r>
      <w:r>
        <w:t>(par défaut)</w:t>
      </w:r>
      <w:r>
        <w:rPr>
          <w:rStyle w:val="optioncarChar"/>
        </w:rPr>
        <w:t xml:space="preserve"> / deux panneaux / ***</w:t>
      </w:r>
    </w:p>
    <w:p w14:paraId="5934FADB" w14:textId="77777777" w:rsidR="004B2808" w:rsidRDefault="00000000">
      <w:pPr>
        <w:pStyle w:val="Author-eListParagraph"/>
        <w:numPr>
          <w:ilvl w:val="0"/>
          <w:numId w:val="1004"/>
        </w:numPr>
      </w:pPr>
      <w:r>
        <w:t>Mécanisme de coulisse : rails en acier galvanisé; galets en nylon de première qualité; type et modèle en fonction du type et du poids des vantaux coulissants.</w:t>
      </w:r>
    </w:p>
    <w:p w14:paraId="60889B11" w14:textId="77777777" w:rsidR="004B2808" w:rsidRDefault="00000000">
      <w:pPr>
        <w:pStyle w:val="Author-eListParagraph"/>
        <w:numPr>
          <w:ilvl w:val="0"/>
          <w:numId w:val="1004"/>
        </w:numPr>
      </w:pPr>
      <w:r>
        <w:t xml:space="preserve">Conçues comme </w:t>
      </w:r>
      <w:r>
        <w:rPr>
          <w:rStyle w:val="optioncarChar"/>
        </w:rPr>
        <w:t>portes battantes </w:t>
      </w:r>
      <w:r>
        <w:t>(par défaut)</w:t>
      </w:r>
      <w:r>
        <w:rPr>
          <w:rStyle w:val="optioncarChar"/>
        </w:rPr>
        <w:t xml:space="preserve"> / pivotantes / *** </w:t>
      </w:r>
      <w:r>
        <w:t xml:space="preserve">(les vantaux de porte et les huisseries sont conformes aux portes ouvrantes ordinaires. Seul le mode de suspension et la </w:t>
      </w:r>
      <w:r>
        <w:lastRenderedPageBreak/>
        <w:t xml:space="preserve">quincaillerie concernée sont adaptés au concept des vantaux de porte </w:t>
      </w:r>
      <w:r>
        <w:rPr>
          <w:rStyle w:val="optioncarChar"/>
        </w:rPr>
        <w:t>battante </w:t>
      </w:r>
      <w:r>
        <w:t xml:space="preserve">(par défaut) </w:t>
      </w:r>
      <w:r>
        <w:rPr>
          <w:rStyle w:val="optioncarChar"/>
        </w:rPr>
        <w:t>/ pivotante / ***</w:t>
      </w:r>
      <w:r>
        <w:t>)</w:t>
      </w:r>
    </w:p>
    <w:p w14:paraId="73B1D083" w14:textId="77777777" w:rsidR="004B2808" w:rsidRDefault="00000000">
      <w:pPr>
        <w:pStyle w:val="Author-eListParagraph"/>
        <w:numPr>
          <w:ilvl w:val="0"/>
          <w:numId w:val="1004"/>
        </w:numPr>
      </w:pPr>
      <w:r>
        <w:t xml:space="preserve">Composées de </w:t>
      </w:r>
      <w:r>
        <w:rPr>
          <w:rStyle w:val="optioncarChar"/>
        </w:rPr>
        <w:t>un panneau</w:t>
      </w:r>
      <w:r>
        <w:t> (par défaut)</w:t>
      </w:r>
      <w:r>
        <w:rPr>
          <w:rStyle w:val="optioncarChar"/>
        </w:rPr>
        <w:t xml:space="preserve"> / deux panneaux / ***</w:t>
      </w:r>
    </w:p>
    <w:p w14:paraId="07991CAB" w14:textId="77777777" w:rsidR="004B2808" w:rsidRDefault="00000000">
      <w:pPr>
        <w:pStyle w:val="heading"/>
      </w:pPr>
      <w:r>
        <w:t>Ensembles de porte / résistant au feu</w:t>
      </w:r>
    </w:p>
    <w:p w14:paraId="17ED6EF7"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0AC6BEF8" w14:textId="77777777" w:rsidR="004B2808" w:rsidRDefault="00000000">
      <w:pPr>
        <w:pStyle w:val="Author-eListParagraph"/>
        <w:numPr>
          <w:ilvl w:val="0"/>
          <w:numId w:val="1005"/>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0598DD48" w14:textId="77777777" w:rsidR="004B2808" w:rsidRDefault="00000000">
      <w:pPr>
        <w:pStyle w:val="Author-eListParagraph"/>
        <w:numPr>
          <w:ilvl w:val="0"/>
          <w:numId w:val="1005"/>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 </w:t>
      </w:r>
      <w:r>
        <w:t xml:space="preserve">(par défaut) </w:t>
      </w:r>
      <w:r>
        <w:rPr>
          <w:rStyle w:val="optioncarChar"/>
        </w:rPr>
        <w:t>/ peintes / ***</w:t>
      </w:r>
      <w:r>
        <w:t xml:space="preserve"> comme les chanlattes. Le vitrage est toujours délimité sur toute sa périphérie par des sections en bois plein d'une largeur minimale de 140 mm pour les côtés et au-dessus et de 220 mm dans le bas.</w:t>
      </w:r>
    </w:p>
    <w:p w14:paraId="546DB493" w14:textId="77777777" w:rsidR="004B2808"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0FB545B2" w14:textId="77777777" w:rsidR="004B2808" w:rsidRDefault="00000000">
      <w:pPr>
        <w:pStyle w:val="Author-eListParagraph"/>
        <w:numPr>
          <w:ilvl w:val="0"/>
          <w:numId w:val="1006"/>
        </w:numPr>
      </w:pPr>
      <w:r>
        <w:t xml:space="preserve">Pourvus d'une imposte </w:t>
      </w:r>
      <w:r>
        <w:rPr>
          <w:rStyle w:val="optioncarChar"/>
        </w:rPr>
        <w:t>avec </w:t>
      </w:r>
      <w:r>
        <w:t xml:space="preserve">(par défaut) </w:t>
      </w:r>
      <w:r>
        <w:rPr>
          <w:rStyle w:val="optioncarChar"/>
        </w:rPr>
        <w:t>/ sans / *** </w:t>
      </w:r>
      <w:r>
        <w:t>traverse intermédiaire.</w:t>
      </w:r>
    </w:p>
    <w:p w14:paraId="383F6C6C" w14:textId="77777777" w:rsidR="004B2808" w:rsidRDefault="00000000">
      <w:pPr>
        <w:pStyle w:val="Author-eListParagraph"/>
        <w:numPr>
          <w:ilvl w:val="0"/>
          <w:numId w:val="1006"/>
        </w:numPr>
      </w:pPr>
      <w:r>
        <w:t>Pourvus d'une bande brise-bise et butoir continue.</w:t>
      </w:r>
    </w:p>
    <w:p w14:paraId="742F2BE5" w14:textId="77777777" w:rsidR="004B2808" w:rsidRDefault="00000000">
      <w:pPr>
        <w:pStyle w:val="Author-eListParagraph"/>
        <w:numPr>
          <w:ilvl w:val="0"/>
          <w:numId w:val="1006"/>
        </w:numPr>
      </w:pPr>
      <w:r>
        <w:t xml:space="preserve">Pourvus d'un cadre approprié pour la fixation d'un ferme-porte, prévu à l'art. </w:t>
      </w:r>
      <w:hyperlink w:anchor="1325" w:history="1">
        <w:r w:rsidR="004B2808">
          <w:rPr>
            <w:color w:val="0000EE"/>
          </w:rPr>
          <w:t>55.62.5 Système de fermeture</w:t>
        </w:r>
      </w:hyperlink>
    </w:p>
    <w:p w14:paraId="50B3E707" w14:textId="77777777" w:rsidR="004B2808" w:rsidRDefault="00000000">
      <w:pPr>
        <w:pStyle w:val="Author-eListParagraph"/>
        <w:numPr>
          <w:ilvl w:val="0"/>
          <w:numId w:val="1006"/>
        </w:numPr>
      </w:pPr>
      <w:r>
        <w:t xml:space="preserve">Conçus comme portes </w:t>
      </w:r>
      <w:r>
        <w:rPr>
          <w:rStyle w:val="optioncarChar"/>
        </w:rPr>
        <w:t xml:space="preserve">va-et-vient </w:t>
      </w:r>
      <w:r>
        <w:t>(par défaut) </w:t>
      </w:r>
      <w:r>
        <w:rPr>
          <w:rStyle w:val="optioncarChar"/>
        </w:rPr>
        <w:t>/ pivotantes / ***</w:t>
      </w:r>
      <w:r>
        <w:t xml:space="preserve">. Elles se composent de </w:t>
      </w:r>
      <w:r>
        <w:rPr>
          <w:rStyle w:val="optioncarChar"/>
        </w:rPr>
        <w:t>un panneau</w:t>
      </w:r>
      <w:r>
        <w:t xml:space="preserve"> (par défaut)</w:t>
      </w:r>
      <w:r>
        <w:rPr>
          <w:rStyle w:val="optioncarChar"/>
        </w:rPr>
        <w:t> / deux panneaux / ***</w:t>
      </w:r>
      <w:r>
        <w:t xml:space="preserve"> , les vantaux des portes et les huisseries sont semblables aux portes ouvrantes ordinaires, seul le mode de suspension et les quincailleries correspondantes sont adaptés au concept des portes battantes.</w:t>
      </w:r>
    </w:p>
    <w:p w14:paraId="20B2D4AE" w14:textId="77777777" w:rsidR="004B2808" w:rsidRDefault="00000000">
      <w:pPr>
        <w:pStyle w:val="Author-eListParagraph"/>
        <w:numPr>
          <w:ilvl w:val="0"/>
          <w:numId w:val="1006"/>
        </w:numPr>
      </w:pPr>
      <w:r>
        <w:t>L'ensemble porte résistant au feu est conforme à la [NIT 234].</w:t>
      </w:r>
    </w:p>
    <w:p w14:paraId="0795E896" w14:textId="77777777" w:rsidR="004B2808" w:rsidRDefault="00000000">
      <w:pPr>
        <w:pStyle w:val="heading"/>
      </w:pPr>
      <w:r>
        <w:t>Options (biffer la mention inutile) huisseries de portes - bois</w:t>
      </w:r>
    </w:p>
    <w:p w14:paraId="1D088003" w14:textId="77777777" w:rsidR="004B2808" w:rsidRDefault="00000000">
      <w:pPr>
        <w:pStyle w:val="Author-eListParagraph"/>
        <w:numPr>
          <w:ilvl w:val="0"/>
          <w:numId w:val="1007"/>
        </w:numPr>
      </w:pPr>
      <w:r>
        <w:t xml:space="preserve">Les portes sont conçues comme un châssis à pose affleurante jusqu'au plafond (avec </w:t>
      </w:r>
      <w:r>
        <w:rPr>
          <w:rStyle w:val="optioncarChar"/>
        </w:rPr>
        <w:t xml:space="preserve">vantaux vitrés </w:t>
      </w:r>
      <w:r>
        <w:t>(par défaut) </w:t>
      </w:r>
      <w:r>
        <w:rPr>
          <w:rStyle w:val="optioncarChar"/>
        </w:rPr>
        <w:t>/ imposte</w:t>
      </w:r>
      <w:r>
        <w:t xml:space="preserve">). La feuillure des portes est embrevée sur une profondeur de </w:t>
      </w:r>
      <w:r>
        <w:rPr>
          <w:rStyle w:val="optioncarChar"/>
        </w:rPr>
        <w:t>10</w:t>
      </w:r>
      <w:r>
        <w:t> (par défaut)</w:t>
      </w:r>
      <w:r>
        <w:rPr>
          <w:rStyle w:val="optioncarChar"/>
        </w:rPr>
        <w:t xml:space="preserve"> / *** </w:t>
      </w:r>
      <w:r>
        <w:t>mm dans le chambranle. Les ébrasements latéraux vont jusqu'au plafond, la traverse supérieure horizontale est :</w:t>
      </w:r>
      <w:r>
        <w:rPr>
          <w:rStyle w:val="optioncarChar"/>
        </w:rPr>
        <w:t> posée aussi près que possible du plafond</w:t>
      </w:r>
      <w:r>
        <w:t> (par défaut)</w:t>
      </w:r>
      <w:r>
        <w:rPr>
          <w:rStyle w:val="optioncarChar"/>
        </w:rPr>
        <w:t xml:space="preserve"> / absente / ***</w:t>
      </w:r>
    </w:p>
    <w:p w14:paraId="6A23AB6F" w14:textId="77777777" w:rsidR="004B2808" w:rsidRDefault="00000000">
      <w:pPr>
        <w:pStyle w:val="Author-eListParagraph"/>
        <w:numPr>
          <w:ilvl w:val="0"/>
          <w:numId w:val="1007"/>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7574B1F0" w14:textId="77777777" w:rsidR="004B2808" w:rsidRDefault="00000000">
      <w:pPr>
        <w:pStyle w:val="Author-eListParagraph"/>
        <w:numPr>
          <w:ilvl w:val="0"/>
          <w:numId w:val="1007"/>
        </w:numPr>
      </w:pPr>
      <w:r>
        <w:t xml:space="preserve">Les impostes sont fabriquées dans un morceau de vantail de porte, conformément à la description de l'article </w:t>
      </w:r>
      <w:hyperlink w:anchor="1315" w:history="1">
        <w:r w:rsidR="004B2808">
          <w:rPr>
            <w:color w:val="0000EE"/>
          </w:rP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18DB449E" w14:textId="77777777" w:rsidR="004B2808" w:rsidRDefault="00000000">
      <w:pPr>
        <w:pStyle w:val="Author-eListParagraph"/>
        <w:numPr>
          <w:ilvl w:val="0"/>
          <w:numId w:val="1007"/>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2EE421C3" w14:textId="77777777" w:rsidR="004B2808" w:rsidRDefault="00000000">
      <w:pPr>
        <w:pStyle w:val="heading"/>
      </w:pPr>
      <w:r>
        <w:lastRenderedPageBreak/>
        <w:t>Options (biffer la mention inutile) ensembles de porte / résistant au feu - porte pleine / huisserie en acier</w:t>
      </w:r>
    </w:p>
    <w:p w14:paraId="00F010CF" w14:textId="77777777" w:rsidR="004B2808" w:rsidRDefault="00000000">
      <w:r>
        <w:t xml:space="preserve">Conformément aux indications sur le plan ou les dessins de détail, les vantaux de porte suivants </w:t>
      </w:r>
      <w:r>
        <w:rPr>
          <w:rStyle w:val="optioncarChar"/>
        </w:rPr>
        <w:t xml:space="preserve">*** </w:t>
      </w:r>
      <w:r>
        <w:t>sont :</w:t>
      </w:r>
    </w:p>
    <w:p w14:paraId="14C175F2" w14:textId="77777777" w:rsidR="004B2808" w:rsidRDefault="00000000">
      <w:pPr>
        <w:pStyle w:val="Author-eListParagraph"/>
        <w:numPr>
          <w:ilvl w:val="0"/>
          <w:numId w:val="1008"/>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5CD686DA" w14:textId="77777777" w:rsidR="004B2808" w:rsidRDefault="00000000">
      <w:pPr>
        <w:pStyle w:val="Author-eListParagraph"/>
        <w:numPr>
          <w:ilvl w:val="0"/>
          <w:numId w:val="1008"/>
        </w:numPr>
      </w:pPr>
      <w:r>
        <w:t xml:space="preserve">Equipés d'un vitrage résistant au feu en verre de sécurité conforme au rapport d'essai. Une réservation est faite dans le vantail de porte : </w:t>
      </w:r>
      <w:r>
        <w:rPr>
          <w:rStyle w:val="optioncarChar"/>
        </w:rPr>
        <w:t xml:space="preserve">rectangulaire </w:t>
      </w:r>
      <w:r>
        <w:t>(par défaut) </w:t>
      </w:r>
      <w:r>
        <w:rPr>
          <w:rStyle w:val="optioncarChar"/>
        </w:rPr>
        <w:t>/ ronde / ***</w:t>
      </w:r>
      <w:r>
        <w:t xml:space="preserve"> ,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2D00388B" w14:textId="77777777" w:rsidR="004B2808"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7C85F878" w14:textId="77777777" w:rsidR="004B2808" w:rsidRDefault="00000000">
      <w:pPr>
        <w:pStyle w:val="Author-eListParagraph"/>
        <w:numPr>
          <w:ilvl w:val="0"/>
          <w:numId w:val="1009"/>
        </w:numPr>
      </w:pPr>
      <w:r>
        <w:t xml:space="preserve">Pourvus d'une imposte </w:t>
      </w:r>
      <w:r>
        <w:rPr>
          <w:rStyle w:val="optioncarChar"/>
        </w:rPr>
        <w:t>avec </w:t>
      </w:r>
      <w:r>
        <w:t>(par défaut)</w:t>
      </w:r>
      <w:r>
        <w:rPr>
          <w:rStyle w:val="optioncarChar"/>
        </w:rPr>
        <w:t xml:space="preserve"> / sans / *** </w:t>
      </w:r>
      <w:r>
        <w:t>traverse intermédiaire.</w:t>
      </w:r>
    </w:p>
    <w:p w14:paraId="3A9A1AD7" w14:textId="77777777" w:rsidR="004B2808" w:rsidRDefault="00000000">
      <w:pPr>
        <w:pStyle w:val="Author-eListParagraph"/>
        <w:numPr>
          <w:ilvl w:val="0"/>
          <w:numId w:val="1009"/>
        </w:numPr>
      </w:pPr>
      <w:r>
        <w:t>Pourvus d'une bande brise-bise et butoir continue.</w:t>
      </w:r>
    </w:p>
    <w:p w14:paraId="45047EB3" w14:textId="77777777" w:rsidR="004B2808" w:rsidRDefault="00000000">
      <w:pPr>
        <w:pStyle w:val="Author-eListParagraph"/>
        <w:numPr>
          <w:ilvl w:val="0"/>
          <w:numId w:val="1009"/>
        </w:numPr>
      </w:pPr>
      <w:r>
        <w:t xml:space="preserve">Pourvus d'un cadre approprié pour la fixation d'un ferme-porte, prévu à l'art. </w:t>
      </w:r>
      <w:hyperlink w:anchor="1325" w:history="1">
        <w:r w:rsidR="004B2808">
          <w:rPr>
            <w:color w:val="0000EE"/>
          </w:rPr>
          <w:t>55.62.5 Système de fermeture</w:t>
        </w:r>
      </w:hyperlink>
    </w:p>
    <w:p w14:paraId="587D75A3" w14:textId="77777777" w:rsidR="004B2808" w:rsidRDefault="00000000">
      <w:pPr>
        <w:pStyle w:val="Author-eListParagraph"/>
        <w:numPr>
          <w:ilvl w:val="0"/>
          <w:numId w:val="1009"/>
        </w:numPr>
      </w:pPr>
      <w:r>
        <w:t xml:space="preserve">Conçus comme portes </w:t>
      </w:r>
      <w:r>
        <w:rPr>
          <w:rStyle w:val="optioncarChar"/>
        </w:rPr>
        <w:t>va-et-vient </w:t>
      </w:r>
      <w:r>
        <w:t>(par défaut)</w:t>
      </w:r>
      <w:r>
        <w:rPr>
          <w:rStyle w:val="optioncarChar"/>
        </w:rPr>
        <w:t xml:space="preserve"> / pivotantes / ***</w:t>
      </w:r>
      <w:r>
        <w:t xml:space="preserve"> . Elles se composent de </w:t>
      </w:r>
      <w:r>
        <w:rPr>
          <w:rStyle w:val="optioncarChar"/>
        </w:rPr>
        <w:t>un panneau</w:t>
      </w:r>
      <w:r>
        <w:t xml:space="preserve"> (par défaut)</w:t>
      </w:r>
      <w:r>
        <w:rPr>
          <w:rStyle w:val="optioncarChar"/>
        </w:rPr>
        <w:t> / deux panneaux / *** </w:t>
      </w:r>
      <w:r>
        <w:t>, les vantaux des portes et les huisseries sont semblables aux portes ouvrantes ordinaires, seul le mode de suspension et les quincailleries correspondantes sont adaptés au concept des portes battantes.</w:t>
      </w:r>
    </w:p>
    <w:p w14:paraId="6016DB89" w14:textId="77777777" w:rsidR="004B2808" w:rsidRDefault="00000000">
      <w:pPr>
        <w:pStyle w:val="pheading"/>
      </w:pPr>
      <w:r>
        <w:t>MESURAGE</w:t>
      </w:r>
    </w:p>
    <w:p w14:paraId="67F0F122" w14:textId="77777777" w:rsidR="004B2808" w:rsidRDefault="00000000">
      <w:r>
        <w:t>Conformément aux indications spécifiques dans le cahier spécial des charges et/ou le métré récapitulatif, le mesurage peut être conçu comme suit, en fonction de la nature des portes intérieures :</w:t>
      </w:r>
    </w:p>
    <w:p w14:paraId="215F8171" w14:textId="77777777" w:rsidR="004B2808" w:rsidRDefault="00000000">
      <w:pPr>
        <w:pStyle w:val="pheading"/>
      </w:pPr>
      <w:r>
        <w:t>- unité de mesure:</w:t>
      </w:r>
    </w:p>
    <w:p w14:paraId="67F58897" w14:textId="77777777" w:rsidR="004B2808" w:rsidRDefault="00000000">
      <w:r>
        <w:t>p</w:t>
      </w:r>
    </w:p>
    <w:p w14:paraId="51860011" w14:textId="77777777" w:rsidR="004B2808" w:rsidRDefault="00000000">
      <w:pPr>
        <w:pStyle w:val="pheading"/>
      </w:pPr>
      <w:r>
        <w:t>- code de mesurage:</w:t>
      </w:r>
    </w:p>
    <w:p w14:paraId="1CBD65A5" w14:textId="77777777" w:rsidR="004B2808" w:rsidRDefault="00000000">
      <w:r>
        <w:t>Choix opéré:</w:t>
      </w:r>
      <w:r>
        <w:rPr>
          <w:rStyle w:val="optioncarChar"/>
          <w:b/>
        </w:rPr>
        <w:t>*** / OPTION 1 (un ensemble) </w:t>
      </w:r>
      <w:r>
        <w:t>(par défaut)</w:t>
      </w:r>
      <w:r>
        <w:rPr>
          <w:rStyle w:val="optioncarChar"/>
          <w:b/>
        </w:rPr>
        <w:t xml:space="preserve"> / OPTION 2 (séparément)</w:t>
      </w:r>
    </w:p>
    <w:p w14:paraId="28F119C6" w14:textId="77777777" w:rsidR="004B2808"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w:t>
      </w:r>
      <w:r>
        <w:t> (par défaut)</w:t>
      </w:r>
      <w:r>
        <w:rPr>
          <w:rStyle w:val="optioncarChar"/>
        </w:rPr>
        <w:t xml:space="preserve"> / 14 / 19 / ***</w:t>
      </w:r>
      <w:r>
        <w:t xml:space="preserve"> ) et, le cas échéant, selon la classification (nature, sens d'ouverture, emplacement,  prestations particulières, dimensions, forme et aspect).</w:t>
      </w:r>
    </w:p>
    <w:p w14:paraId="44768890" w14:textId="77777777" w:rsidR="004B2808" w:rsidRDefault="00000000">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7 </w:t>
      </w:r>
      <w:r>
        <w:t>(par défaut) </w:t>
      </w:r>
      <w:r>
        <w:rPr>
          <w:rStyle w:val="optioncarChar"/>
        </w:rPr>
        <w:t>/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r>
      <w:r>
        <w:lastRenderedPageBreak/>
        <w:t>le cas échéant, ventilé selon le type ou le modèle, ventilé selon les dimensions des portes (indépendamment de la hauteur) et l'épaisseur des cloisons intérieures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1261C8AB" w14:textId="77777777" w:rsidR="004B2808" w:rsidRDefault="00000000">
      <w:r>
        <w:rPr>
          <w:u w:val="single"/>
        </w:rPr>
        <w:t xml:space="preserve">Attention </w:t>
      </w:r>
    </w:p>
    <w:p w14:paraId="4C5BFF1E" w14:textId="77777777" w:rsidR="004B2808" w:rsidRDefault="00000000">
      <w:pPr>
        <w:pStyle w:val="Author-eListParagraph"/>
        <w:numPr>
          <w:ilvl w:val="0"/>
          <w:numId w:val="1010"/>
        </w:numPr>
      </w:pPr>
      <w:r>
        <w:t>Les vantaux de portes de 630 - 730 et 830 mm de largeur peuvent être pris ensemble pour le mesurage.</w:t>
      </w:r>
    </w:p>
    <w:p w14:paraId="0057082E" w14:textId="77777777" w:rsidR="004B2808" w:rsidRDefault="00000000">
      <w:pPr>
        <w:pStyle w:val="Author-eListParagraph"/>
        <w:numPr>
          <w:ilvl w:val="0"/>
          <w:numId w:val="1010"/>
        </w:numPr>
      </w:pPr>
      <w:r>
        <w:t>Les quincailleries dont la fourniture et la mise en œuvre sont comprises peuvent être décrites dans d'autres postes mais sont toujours comprises dans le prix des portes.</w:t>
      </w:r>
    </w:p>
    <w:p w14:paraId="25E17DDE" w14:textId="77777777" w:rsidR="004B2808" w:rsidRDefault="00000000">
      <w:pPr>
        <w:pStyle w:val="pheading"/>
      </w:pPr>
      <w:r>
        <w:t>- nature du marché:</w:t>
      </w:r>
    </w:p>
    <w:p w14:paraId="56A6671E" w14:textId="77777777" w:rsidR="004B2808" w:rsidRDefault="00000000">
      <w:r>
        <w:t>QF</w:t>
      </w:r>
    </w:p>
    <w:p w14:paraId="48CEDE56" w14:textId="77777777" w:rsidR="004B2808" w:rsidRDefault="00000000">
      <w:pPr>
        <w:pStyle w:val="Author-eSectionHeading6Numberless"/>
      </w:pPr>
      <w:bookmarkStart w:id="1083" w:name="_Toc220491210"/>
      <w:r>
        <w:t>55.21.8e Portes intérieures en bois massif + isolant + finition inox CCTB 01.10</w:t>
      </w:r>
      <w:bookmarkEnd w:id="1083"/>
    </w:p>
    <w:p w14:paraId="43346D6C" w14:textId="77777777" w:rsidR="004B2808" w:rsidRDefault="00000000">
      <w:pPr>
        <w:pStyle w:val="pheading"/>
      </w:pPr>
      <w:r>
        <w:t>MATÉRIAUX</w:t>
      </w:r>
    </w:p>
    <w:p w14:paraId="4D569C74" w14:textId="77777777" w:rsidR="004B2808" w:rsidRDefault="00000000">
      <w:pPr>
        <w:pStyle w:val="pheading"/>
      </w:pPr>
      <w:r>
        <w:t>- Prescriptions complémentaires</w:t>
      </w:r>
    </w:p>
    <w:p w14:paraId="0EBCEE47" w14:textId="77777777" w:rsidR="004B2808" w:rsidRDefault="00000000">
      <w:pPr>
        <w:pStyle w:val="heading"/>
      </w:pPr>
      <w:r>
        <w:t>(critères de performance)  Vantaux de porte</w:t>
      </w:r>
    </w:p>
    <w:p w14:paraId="010DCEFF" w14:textId="77777777" w:rsidR="004B2808" w:rsidRDefault="00000000">
      <w:r>
        <w:t>Conformément aux indications supplémentaires dans le cahier spécial des charges, les dispositions supplémentaires suivantes sont d'application :</w:t>
      </w:r>
    </w:p>
    <w:p w14:paraId="09CABEC4" w14:textId="77777777" w:rsidR="004B2808" w:rsidRDefault="00000000">
      <w:pPr>
        <w:pStyle w:val="Author-eListParagraph"/>
        <w:numPr>
          <w:ilvl w:val="0"/>
          <w:numId w:val="1011"/>
        </w:numPr>
      </w:pPr>
      <w:r>
        <w:t>Les dispositions des [STS 53.1] pour les portes intérieures planes dans les salles de bains et les autres locaux humides.</w:t>
      </w:r>
    </w:p>
    <w:p w14:paraId="42052C89" w14:textId="77777777" w:rsidR="004B2808" w:rsidRDefault="00000000">
      <w:r>
        <w:br/>
        <w:t>Attention  : Les ensembles de porte résistant au feu sont toujours considérés dans un poste séparé.</w:t>
      </w:r>
    </w:p>
    <w:p w14:paraId="5B8A661D" w14:textId="77777777" w:rsidR="004B2808" w:rsidRDefault="00000000">
      <w:pPr>
        <w:pStyle w:val="heading"/>
      </w:pPr>
      <w:r>
        <w:t>(Accessoires) Vantaux de porte</w:t>
      </w:r>
    </w:p>
    <w:p w14:paraId="677C3CB3"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24319AE3" w14:textId="77777777" w:rsidR="004B2808" w:rsidRDefault="00000000">
      <w:pPr>
        <w:pStyle w:val="Author-eListParagraph"/>
        <w:numPr>
          <w:ilvl w:val="0"/>
          <w:numId w:val="1012"/>
        </w:numPr>
      </w:pPr>
      <w:r>
        <w:t>Equipés d'un vitrage :</w:t>
      </w:r>
    </w:p>
    <w:p w14:paraId="1E0FB39C" w14:textId="77777777" w:rsidR="004B2808" w:rsidRDefault="00000000">
      <w:pPr>
        <w:pStyle w:val="Author-eListParagraph"/>
        <w:numPr>
          <w:ilvl w:val="0"/>
          <w:numId w:val="1012"/>
        </w:numPr>
      </w:pPr>
      <w:r>
        <w:t xml:space="preserve">En verre de sécurité </w:t>
      </w:r>
      <w:r>
        <w:rPr>
          <w:rStyle w:val="optioncarChar"/>
        </w:rPr>
        <w:t>simple</w:t>
      </w:r>
      <w:r>
        <w:t> (par défaut)</w:t>
      </w:r>
      <w:r>
        <w:rPr>
          <w:rStyle w:val="optioncarChar"/>
        </w:rPr>
        <w:t xml:space="preserve"> / clair / mat / opale / ***</w:t>
      </w:r>
      <w:r>
        <w:t xml:space="preserve"> , selon la [NBN S 23-002]</w:t>
      </w:r>
    </w:p>
    <w:p w14:paraId="5B6A238A" w14:textId="77777777" w:rsidR="004B2808" w:rsidRDefault="00000000">
      <w:pPr>
        <w:pStyle w:val="Author-eListParagraph"/>
        <w:numPr>
          <w:ilvl w:val="0"/>
          <w:numId w:val="1012"/>
        </w:numPr>
      </w:pPr>
      <w:r>
        <w:t xml:space="preserve">Réservation dans le vantail de porte : </w:t>
      </w:r>
      <w:r>
        <w:rPr>
          <w:rStyle w:val="optioncarChar"/>
        </w:rPr>
        <w:t>rectangulaire </w:t>
      </w:r>
      <w:r>
        <w:t>(par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11E243FF" w14:textId="77777777" w:rsidR="004B2808" w:rsidRDefault="00000000">
      <w:pPr>
        <w:pStyle w:val="Author-eListParagraph"/>
        <w:numPr>
          <w:ilvl w:val="0"/>
          <w:numId w:val="1012"/>
        </w:numPr>
      </w:pPr>
      <w:r>
        <w:t xml:space="preserve">Fixation de la vitre dans la réservation à l'aide de : </w:t>
      </w:r>
      <w:r>
        <w:rPr>
          <w:rStyle w:val="optioncarChar"/>
        </w:rPr>
        <w:t>mastic plastique</w:t>
      </w:r>
      <w:r>
        <w:t xml:space="preserve"> (par défaut)</w:t>
      </w:r>
      <w:r>
        <w:rPr>
          <w:rStyle w:val="optioncarChar"/>
        </w:rPr>
        <w:t> / profils de fixation à enclenchement en PVC / ***</w:t>
      </w:r>
    </w:p>
    <w:p w14:paraId="30573F77" w14:textId="77777777" w:rsidR="004B2808" w:rsidRDefault="00000000">
      <w:pPr>
        <w:pStyle w:val="Author-eListParagraph"/>
        <w:numPr>
          <w:ilvl w:val="0"/>
          <w:numId w:val="1012"/>
        </w:numPr>
      </w:pPr>
      <w:r>
        <w:t xml:space="preserve">Les vitres sont encadrées par : </w:t>
      </w:r>
      <w:r>
        <w:rPr>
          <w:rStyle w:val="optioncarChar"/>
        </w:rPr>
        <w:t>des lattes en bois dur, finition prête à peindre</w:t>
      </w:r>
      <w:r>
        <w:t> (par défaut)</w:t>
      </w:r>
      <w:r>
        <w:rPr>
          <w:rStyle w:val="optioncarChar"/>
        </w:rPr>
        <w:t xml:space="preserve"> / ***.</w:t>
      </w:r>
    </w:p>
    <w:p w14:paraId="1E2A8A0E" w14:textId="77777777" w:rsidR="004B2808" w:rsidRDefault="00000000">
      <w:pPr>
        <w:pStyle w:val="Author-eListParagraph"/>
        <w:numPr>
          <w:ilvl w:val="0"/>
          <w:numId w:val="1012"/>
        </w:numPr>
      </w:pPr>
      <w:r>
        <w:t xml:space="preserve">Pourvus d'une grille encastrée, selon l'article </w:t>
      </w:r>
      <w:hyperlink w:anchor="1322" w:history="1">
        <w:r w:rsidR="004B2808">
          <w:rPr>
            <w:color w:val="0000EE"/>
          </w:rPr>
          <w:t>55.68.1 Grilles de transfert dans les portes</w:t>
        </w:r>
      </w:hyperlink>
      <w:r>
        <w:t xml:space="preserve"> grilles de transfert dans les portes, ouverture d'aération conformément à la [NBN D 50-001]</w:t>
      </w:r>
    </w:p>
    <w:p w14:paraId="60FEFC0C" w14:textId="77777777" w:rsidR="004B2808" w:rsidRDefault="00000000">
      <w:pPr>
        <w:pStyle w:val="Author-eListParagraph"/>
        <w:numPr>
          <w:ilvl w:val="0"/>
          <w:numId w:val="1012"/>
        </w:numPr>
      </w:pPr>
      <w:r>
        <w:t xml:space="preserve">Pourvus d'une fente de ventilation d'environ </w:t>
      </w:r>
      <w:r>
        <w:rPr>
          <w:rStyle w:val="optioncarChar"/>
        </w:rPr>
        <w:t>1</w:t>
      </w:r>
      <w:r>
        <w:t> (par défaut)</w:t>
      </w:r>
      <w:r>
        <w:rPr>
          <w:rStyle w:val="optioncarChar"/>
        </w:rPr>
        <w:t> / ***</w:t>
      </w:r>
      <w:r>
        <w:t xml:space="preserve"> cm dans le bas, de façon telle que l'ouverture d'aération soit conformé à la [NBN D 50-001]</w:t>
      </w:r>
    </w:p>
    <w:p w14:paraId="311844B5" w14:textId="77777777" w:rsidR="004B2808" w:rsidRDefault="00000000">
      <w:pPr>
        <w:pStyle w:val="Author-eListParagraph"/>
        <w:numPr>
          <w:ilvl w:val="0"/>
          <w:numId w:val="1012"/>
        </w:numPr>
      </w:pPr>
      <w:r>
        <w:t>Conçues comme portes coulissantes (les vantaux de porte et les huisseries sont conformes aux portes ouvrantes ordinaires. Seuls le mode de suspension et la quincaillerie concernée sont adaptés au concept des vantaux de porte coulissants).</w:t>
      </w:r>
    </w:p>
    <w:p w14:paraId="0B10A042" w14:textId="77777777" w:rsidR="004B2808" w:rsidRDefault="00000000">
      <w:pPr>
        <w:pStyle w:val="Author-eListParagraph"/>
        <w:numPr>
          <w:ilvl w:val="0"/>
          <w:numId w:val="1012"/>
        </w:numPr>
      </w:pPr>
      <w:r>
        <w:t xml:space="preserve">Portes coulissantes </w:t>
      </w:r>
      <w:r>
        <w:rPr>
          <w:rStyle w:val="optioncarChar"/>
        </w:rPr>
        <w:t xml:space="preserve">simples </w:t>
      </w:r>
      <w:r>
        <w:t>(par défaut) </w:t>
      </w:r>
      <w:r>
        <w:rPr>
          <w:rStyle w:val="optioncarChar"/>
        </w:rPr>
        <w:t>/ doubles / ***</w:t>
      </w:r>
    </w:p>
    <w:p w14:paraId="17E0C8EA" w14:textId="77777777" w:rsidR="004B2808" w:rsidRDefault="00000000">
      <w:pPr>
        <w:pStyle w:val="Author-eListParagraph"/>
        <w:numPr>
          <w:ilvl w:val="0"/>
          <w:numId w:val="1012"/>
        </w:numPr>
      </w:pPr>
      <w:r>
        <w:t>Composées de</w:t>
      </w:r>
      <w:r>
        <w:rPr>
          <w:rStyle w:val="optioncarChar"/>
        </w:rPr>
        <w:t> un panneau </w:t>
      </w:r>
      <w:r>
        <w:t>(par défaut)</w:t>
      </w:r>
      <w:r>
        <w:rPr>
          <w:rStyle w:val="optioncarChar"/>
        </w:rPr>
        <w:t xml:space="preserve"> / deux panneaux / ***</w:t>
      </w:r>
    </w:p>
    <w:p w14:paraId="258870AE" w14:textId="77777777" w:rsidR="004B2808" w:rsidRDefault="00000000">
      <w:pPr>
        <w:pStyle w:val="Author-eListParagraph"/>
        <w:numPr>
          <w:ilvl w:val="0"/>
          <w:numId w:val="1012"/>
        </w:numPr>
      </w:pPr>
      <w:r>
        <w:t>Mécanisme de coulisse : rails en acier galvanisé; galets en nylon de première qualité; type et modèle en fonction du type et du poids des vantaux coulissants.</w:t>
      </w:r>
    </w:p>
    <w:p w14:paraId="7E579B79" w14:textId="77777777" w:rsidR="004B2808" w:rsidRDefault="00000000">
      <w:pPr>
        <w:pStyle w:val="Author-eListParagraph"/>
        <w:numPr>
          <w:ilvl w:val="0"/>
          <w:numId w:val="1012"/>
        </w:numPr>
      </w:pPr>
      <w:r>
        <w:t xml:space="preserve">Conçues comme </w:t>
      </w:r>
      <w:r>
        <w:rPr>
          <w:rStyle w:val="optioncarChar"/>
        </w:rPr>
        <w:t>portes battantes </w:t>
      </w:r>
      <w:r>
        <w:t>(par défaut)</w:t>
      </w:r>
      <w:r>
        <w:rPr>
          <w:rStyle w:val="optioncarChar"/>
        </w:rPr>
        <w:t xml:space="preserve"> / pivotantes / *** </w:t>
      </w:r>
      <w:r>
        <w:t xml:space="preserve">(les vantaux de porte et les huisseries sont conformes aux portes ouvrantes ordinaires. Seuls le mode de suspension et </w:t>
      </w:r>
      <w:r>
        <w:lastRenderedPageBreak/>
        <w:t xml:space="preserve">la quincaillerie concernée sont adaptés au concept des vantaux de porte </w:t>
      </w:r>
      <w:r>
        <w:rPr>
          <w:rStyle w:val="optioncarChar"/>
        </w:rPr>
        <w:t>battante </w:t>
      </w:r>
      <w:r>
        <w:t>(par défaut)</w:t>
      </w:r>
      <w:r>
        <w:rPr>
          <w:rStyle w:val="optioncarChar"/>
        </w:rPr>
        <w:t xml:space="preserve"> / pivotante / ***</w:t>
      </w:r>
      <w:r>
        <w:t>)</w:t>
      </w:r>
    </w:p>
    <w:p w14:paraId="01F4701D" w14:textId="77777777" w:rsidR="004B2808" w:rsidRDefault="00000000">
      <w:pPr>
        <w:pStyle w:val="Author-eListParagraph"/>
        <w:numPr>
          <w:ilvl w:val="0"/>
          <w:numId w:val="1012"/>
        </w:numPr>
      </w:pPr>
      <w:r>
        <w:t xml:space="preserve">Composées de </w:t>
      </w:r>
      <w:r>
        <w:rPr>
          <w:rStyle w:val="optioncarChar"/>
        </w:rPr>
        <w:t>un panneau </w:t>
      </w:r>
      <w:r>
        <w:t>(par défaut)</w:t>
      </w:r>
      <w:r>
        <w:rPr>
          <w:rStyle w:val="optioncarChar"/>
        </w:rPr>
        <w:t xml:space="preserve"> / deux panneaux / ***</w:t>
      </w:r>
    </w:p>
    <w:p w14:paraId="197DC574" w14:textId="77777777" w:rsidR="004B2808" w:rsidRDefault="00000000">
      <w:pPr>
        <w:pStyle w:val="heading"/>
      </w:pPr>
      <w:r>
        <w:t>Ensembles de porte / résistant au feu</w:t>
      </w:r>
    </w:p>
    <w:p w14:paraId="090CC079"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49409775" w14:textId="77777777" w:rsidR="004B2808" w:rsidRDefault="00000000">
      <w:pPr>
        <w:pStyle w:val="Author-eListParagraph"/>
        <w:numPr>
          <w:ilvl w:val="0"/>
          <w:numId w:val="1013"/>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4DFF3181" w14:textId="77777777" w:rsidR="004B2808" w:rsidRDefault="00000000">
      <w:pPr>
        <w:pStyle w:val="Author-eListParagraph"/>
        <w:numPr>
          <w:ilvl w:val="0"/>
          <w:numId w:val="1013"/>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 </w:t>
      </w:r>
      <w:r>
        <w:t xml:space="preserve">(par défaut) </w:t>
      </w:r>
      <w:r>
        <w:rPr>
          <w:rStyle w:val="optioncarChar"/>
        </w:rPr>
        <w:t>/ peintes / ***</w:t>
      </w:r>
      <w:r>
        <w:t xml:space="preserve"> comme les chanlattes. Le vitrage est toujours délimité sur toute sa périphérie par des sections en bois plein d'une largeur minimale de 140 mm pour les côtés et au-dessus et de 220 mm dans le bas.</w:t>
      </w:r>
    </w:p>
    <w:p w14:paraId="521AFF13" w14:textId="77777777" w:rsidR="004B2808"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70B8543D" w14:textId="77777777" w:rsidR="004B2808" w:rsidRDefault="00000000">
      <w:pPr>
        <w:pStyle w:val="Author-eListParagraph"/>
        <w:numPr>
          <w:ilvl w:val="0"/>
          <w:numId w:val="1014"/>
        </w:numPr>
      </w:pPr>
      <w:r>
        <w:t xml:space="preserve">Pourvus d'une imposte </w:t>
      </w:r>
      <w:r>
        <w:rPr>
          <w:rStyle w:val="optioncarChar"/>
        </w:rPr>
        <w:t>avec</w:t>
      </w:r>
      <w:r>
        <w:t xml:space="preserve"> (par défaut) </w:t>
      </w:r>
      <w:r>
        <w:rPr>
          <w:rStyle w:val="optioncarChar"/>
        </w:rPr>
        <w:t>/ sans / *** </w:t>
      </w:r>
      <w:r>
        <w:t>traverse intermédiaire.</w:t>
      </w:r>
    </w:p>
    <w:p w14:paraId="6A84AE48" w14:textId="77777777" w:rsidR="004B2808" w:rsidRDefault="00000000">
      <w:pPr>
        <w:pStyle w:val="Author-eListParagraph"/>
        <w:numPr>
          <w:ilvl w:val="0"/>
          <w:numId w:val="1014"/>
        </w:numPr>
      </w:pPr>
      <w:r>
        <w:t>Pourvus d'une bande brise-bise et butoir continue.</w:t>
      </w:r>
    </w:p>
    <w:p w14:paraId="7F1EDF63" w14:textId="77777777" w:rsidR="004B2808" w:rsidRDefault="00000000">
      <w:pPr>
        <w:pStyle w:val="Author-eListParagraph"/>
        <w:numPr>
          <w:ilvl w:val="0"/>
          <w:numId w:val="1014"/>
        </w:numPr>
      </w:pPr>
      <w:r>
        <w:t xml:space="preserve">Pourvus d'un cadre approprié pour la fixation d'un ferme-porte, prévu à l'art. </w:t>
      </w:r>
      <w:hyperlink w:anchor="1325" w:history="1">
        <w:r w:rsidR="004B2808">
          <w:rPr>
            <w:color w:val="0000EE"/>
          </w:rPr>
          <w:t>55.62.5 Système de fermeture</w:t>
        </w:r>
      </w:hyperlink>
    </w:p>
    <w:p w14:paraId="5E6CD3FF" w14:textId="77777777" w:rsidR="004B2808" w:rsidRDefault="00000000">
      <w:pPr>
        <w:pStyle w:val="Author-eListParagraph"/>
        <w:numPr>
          <w:ilvl w:val="0"/>
          <w:numId w:val="1014"/>
        </w:numPr>
      </w:pPr>
      <w:r>
        <w:t xml:space="preserve">Conçus comme portes </w:t>
      </w:r>
      <w:r>
        <w:rPr>
          <w:rStyle w:val="optioncarChar"/>
        </w:rPr>
        <w:t>va-et-vient </w:t>
      </w:r>
      <w:r>
        <w:t>(par défaut)</w:t>
      </w:r>
      <w:r>
        <w:rPr>
          <w:rStyle w:val="optioncarChar"/>
        </w:rPr>
        <w:t xml:space="preserve"> / pivotantes / *** </w:t>
      </w:r>
      <w:r>
        <w:t xml:space="preserve">. Elles se composent de </w:t>
      </w:r>
      <w:r>
        <w:rPr>
          <w:rStyle w:val="optioncarChar"/>
        </w:rPr>
        <w:t xml:space="preserve">un panneau </w:t>
      </w:r>
      <w:r>
        <w:t>(par défaut) </w:t>
      </w:r>
      <w:r>
        <w:rPr>
          <w:rStyle w:val="optioncarChar"/>
        </w:rPr>
        <w:t>/ deux panneaux / *** </w:t>
      </w:r>
      <w:r>
        <w:t>, les vantaux des portes et les huisseries sont semblables aux portes ouvrantes ordinaires, seul le mode de suspension et les quincailleries correspondantes sont adaptés au concept des portes battantes.</w:t>
      </w:r>
    </w:p>
    <w:p w14:paraId="100DC15F" w14:textId="77777777" w:rsidR="004B2808" w:rsidRDefault="00000000">
      <w:pPr>
        <w:pStyle w:val="Author-eListParagraph"/>
        <w:numPr>
          <w:ilvl w:val="0"/>
          <w:numId w:val="1014"/>
        </w:numPr>
      </w:pPr>
      <w:r>
        <w:t>L'ensemble porte résistant au feu est conforme à la [NIT 234].</w:t>
      </w:r>
    </w:p>
    <w:p w14:paraId="7AC003EB" w14:textId="77777777" w:rsidR="004B2808" w:rsidRDefault="00000000">
      <w:pPr>
        <w:pStyle w:val="heading"/>
      </w:pPr>
      <w:r>
        <w:t>Options (biffer la mention inutile) huisseries de portes - bois</w:t>
      </w:r>
    </w:p>
    <w:p w14:paraId="3363473B" w14:textId="77777777" w:rsidR="004B2808" w:rsidRDefault="00000000">
      <w:pPr>
        <w:pStyle w:val="Author-eListParagraph"/>
        <w:numPr>
          <w:ilvl w:val="0"/>
          <w:numId w:val="1015"/>
        </w:numPr>
      </w:pPr>
      <w:r>
        <w:t>Les portes sont conçues comme un châssis à pose affleurante jusqu'au plafond (avec</w:t>
      </w:r>
      <w:r>
        <w:rPr>
          <w:rStyle w:val="optioncarChar"/>
        </w:rPr>
        <w:t> vantaux vitrés </w:t>
      </w:r>
      <w:r>
        <w:t>(par défaut)</w:t>
      </w:r>
      <w:r>
        <w:rPr>
          <w:rStyle w:val="optioncarChar"/>
        </w:rPr>
        <w:t xml:space="preserve"> / imposte</w:t>
      </w:r>
      <w:r>
        <w:t>). La feuillure des portes est embrevée sur une profondeur de </w:t>
      </w:r>
      <w:r>
        <w:rPr>
          <w:rStyle w:val="optioncarChar"/>
        </w:rPr>
        <w:t>10 </w:t>
      </w:r>
      <w:r>
        <w:t>(par défaut)</w:t>
      </w:r>
      <w:r>
        <w:rPr>
          <w:rStyle w:val="optioncarChar"/>
        </w:rPr>
        <w:t xml:space="preserve"> / *** </w:t>
      </w:r>
      <w:r>
        <w:t>mm dans le chambranle. Les ébrasements latéraux vont jusqu'au plafond, la traverse supérieure horizontale est :</w:t>
      </w:r>
      <w:r>
        <w:rPr>
          <w:rStyle w:val="optioncarChar"/>
        </w:rPr>
        <w:t> posée aussi près que possible du plafond </w:t>
      </w:r>
      <w:r>
        <w:t>(par défaut)</w:t>
      </w:r>
      <w:r>
        <w:rPr>
          <w:rStyle w:val="optioncarChar"/>
        </w:rPr>
        <w:t xml:space="preserve"> / absente / ***</w:t>
      </w:r>
    </w:p>
    <w:p w14:paraId="02B07BD4" w14:textId="77777777" w:rsidR="004B2808" w:rsidRDefault="00000000">
      <w:pPr>
        <w:pStyle w:val="Author-eListParagraph"/>
        <w:numPr>
          <w:ilvl w:val="0"/>
          <w:numId w:val="1015"/>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478B1BE1" w14:textId="77777777" w:rsidR="004B2808" w:rsidRDefault="00000000">
      <w:pPr>
        <w:pStyle w:val="Author-eListParagraph"/>
        <w:numPr>
          <w:ilvl w:val="0"/>
          <w:numId w:val="1015"/>
        </w:numPr>
      </w:pPr>
      <w:r>
        <w:t xml:space="preserve">Les impostes sont fabriquées dans un morceau de vantail de porte, conformément à la description de l'article </w:t>
      </w:r>
      <w:hyperlink w:anchor="1315" w:history="1">
        <w:r w:rsidR="004B2808">
          <w:rPr>
            <w:color w:val="0000EE"/>
          </w:rP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3EB9527E" w14:textId="77777777" w:rsidR="004B2808" w:rsidRDefault="00000000">
      <w:pPr>
        <w:pStyle w:val="Author-eListParagraph"/>
        <w:numPr>
          <w:ilvl w:val="0"/>
          <w:numId w:val="1015"/>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669E8EC0" w14:textId="77777777" w:rsidR="004B2808" w:rsidRDefault="00000000">
      <w:pPr>
        <w:pStyle w:val="heading"/>
      </w:pPr>
      <w:r>
        <w:lastRenderedPageBreak/>
        <w:t>Options (biffer la mention inutile) ensembles de porte / résistant au feu - porte pleine / huisserie en acier</w:t>
      </w:r>
    </w:p>
    <w:p w14:paraId="6BD759ED" w14:textId="77777777" w:rsidR="004B2808" w:rsidRDefault="00000000">
      <w:r>
        <w:t xml:space="preserve">Conformément aux indications sur le plan ou les dessins de détail, les vantaux de porte suivants </w:t>
      </w:r>
      <w:r>
        <w:rPr>
          <w:rStyle w:val="optioncarChar"/>
        </w:rPr>
        <w:t xml:space="preserve">*** </w:t>
      </w:r>
      <w:r>
        <w:t>sont :</w:t>
      </w:r>
    </w:p>
    <w:p w14:paraId="3FA1D4CE" w14:textId="77777777" w:rsidR="004B2808" w:rsidRDefault="00000000">
      <w:pPr>
        <w:pStyle w:val="Author-eListParagraph"/>
        <w:numPr>
          <w:ilvl w:val="0"/>
          <w:numId w:val="1016"/>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3E6DB87B" w14:textId="77777777" w:rsidR="004B2808" w:rsidRDefault="00000000">
      <w:pPr>
        <w:pStyle w:val="Author-eListParagraph"/>
        <w:numPr>
          <w:ilvl w:val="0"/>
          <w:numId w:val="1016"/>
        </w:numPr>
      </w:pPr>
      <w:r>
        <w:t xml:space="preserve">Equipés d'un vitrage résistant au feu en verre de sécurité conforme au rapport d'essai. Une réservation est faite dans le vantail de porte : </w:t>
      </w:r>
      <w:r>
        <w:rPr>
          <w:rStyle w:val="optioncarChar"/>
        </w:rPr>
        <w:t>rectangulaire</w:t>
      </w:r>
      <w:r>
        <w:t xml:space="preserve"> (par défaut)</w:t>
      </w:r>
      <w:r>
        <w:rPr>
          <w:rStyle w:val="optioncarChar"/>
        </w:rPr>
        <w:t> / ronde / ***</w:t>
      </w:r>
      <w:r>
        <w:t xml:space="preserve"> ,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124B11C4" w14:textId="77777777" w:rsidR="004B2808"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64F53FD4" w14:textId="77777777" w:rsidR="004B2808" w:rsidRDefault="00000000">
      <w:pPr>
        <w:pStyle w:val="Author-eListParagraph"/>
        <w:numPr>
          <w:ilvl w:val="0"/>
          <w:numId w:val="1017"/>
        </w:numPr>
      </w:pPr>
      <w:r>
        <w:t xml:space="preserve">Pourvus d'une imposte </w:t>
      </w:r>
      <w:r>
        <w:rPr>
          <w:rStyle w:val="optioncarChar"/>
        </w:rPr>
        <w:t>avec </w:t>
      </w:r>
      <w:r>
        <w:t>(par défaut)</w:t>
      </w:r>
      <w:r>
        <w:rPr>
          <w:rStyle w:val="optioncarChar"/>
        </w:rPr>
        <w:t xml:space="preserve"> / sans / *** </w:t>
      </w:r>
      <w:r>
        <w:t>traverse intermédiaire.</w:t>
      </w:r>
    </w:p>
    <w:p w14:paraId="2F9E87A0" w14:textId="77777777" w:rsidR="004B2808" w:rsidRDefault="00000000">
      <w:pPr>
        <w:pStyle w:val="Author-eListParagraph"/>
        <w:numPr>
          <w:ilvl w:val="0"/>
          <w:numId w:val="1017"/>
        </w:numPr>
      </w:pPr>
      <w:r>
        <w:t>Pourvus d'une bande brise-bise et butoir continue.</w:t>
      </w:r>
    </w:p>
    <w:p w14:paraId="6FC5D645" w14:textId="77777777" w:rsidR="004B2808" w:rsidRDefault="00000000">
      <w:pPr>
        <w:pStyle w:val="Author-eListParagraph"/>
        <w:numPr>
          <w:ilvl w:val="0"/>
          <w:numId w:val="1017"/>
        </w:numPr>
      </w:pPr>
      <w:r>
        <w:t xml:space="preserve">Pourvus d'un cadre approprié pour la fixation d'un ferme-porte, prévu à l'art. </w:t>
      </w:r>
      <w:hyperlink w:anchor="1325" w:history="1">
        <w:r w:rsidR="004B2808">
          <w:rPr>
            <w:color w:val="0000EE"/>
          </w:rPr>
          <w:t>55.62.5 Système de fermeture</w:t>
        </w:r>
      </w:hyperlink>
    </w:p>
    <w:p w14:paraId="13BA0A68" w14:textId="77777777" w:rsidR="004B2808" w:rsidRDefault="00000000">
      <w:pPr>
        <w:pStyle w:val="Author-eListParagraph"/>
        <w:numPr>
          <w:ilvl w:val="0"/>
          <w:numId w:val="1017"/>
        </w:numPr>
      </w:pPr>
      <w:r>
        <w:t xml:space="preserve">Conçus comme portes </w:t>
      </w:r>
      <w:r>
        <w:rPr>
          <w:rStyle w:val="optioncarChar"/>
        </w:rPr>
        <w:t>va-et-vient </w:t>
      </w:r>
      <w:r>
        <w:t>(par défaut)</w:t>
      </w:r>
      <w:r>
        <w:rPr>
          <w:rStyle w:val="optioncarChar"/>
        </w:rPr>
        <w:t xml:space="preserve"> / pivotantes</w:t>
      </w:r>
      <w:r>
        <w:t xml:space="preserve"> . Elles se composent de </w:t>
      </w:r>
      <w:r>
        <w:rPr>
          <w:rStyle w:val="optioncarChar"/>
        </w:rPr>
        <w:t>un panneau </w:t>
      </w:r>
      <w:r>
        <w:t>(par défaut)</w:t>
      </w:r>
      <w:r>
        <w:rPr>
          <w:rStyle w:val="optioncarChar"/>
        </w:rPr>
        <w:t xml:space="preserve"> / deux panneaux / *** </w:t>
      </w:r>
      <w:r>
        <w:t>, les vantaux des portes et les huisseries sont semblables aux portes ouvrantes ordinaires, seul le mode de suspension et les quincailleries correspondantes sont adaptés au concept des portes battantes.</w:t>
      </w:r>
    </w:p>
    <w:p w14:paraId="632DFCA3" w14:textId="77777777" w:rsidR="004B2808" w:rsidRDefault="00000000">
      <w:pPr>
        <w:pStyle w:val="pheading"/>
      </w:pPr>
      <w:r>
        <w:t>MESURAGE</w:t>
      </w:r>
    </w:p>
    <w:p w14:paraId="7641F6A4" w14:textId="77777777" w:rsidR="004B2808" w:rsidRDefault="00000000">
      <w:r>
        <w:t>Conformément aux indications spécifiques dans le cahier spécial des charges et/ou le métré récapitulatif, le mesurage peut être conçu comme suit, en fonction de la nature des portes intérieures :</w:t>
      </w:r>
    </w:p>
    <w:p w14:paraId="5B9FF454" w14:textId="77777777" w:rsidR="004B2808" w:rsidRDefault="00000000">
      <w:pPr>
        <w:pStyle w:val="pheading"/>
      </w:pPr>
      <w:r>
        <w:t>- unité de mesure:</w:t>
      </w:r>
    </w:p>
    <w:p w14:paraId="226D1302" w14:textId="77777777" w:rsidR="004B2808" w:rsidRDefault="00000000">
      <w:r>
        <w:t>p</w:t>
      </w:r>
    </w:p>
    <w:p w14:paraId="4D7EFB0F" w14:textId="77777777" w:rsidR="004B2808" w:rsidRDefault="00000000">
      <w:pPr>
        <w:pStyle w:val="pheading"/>
      </w:pPr>
      <w:r>
        <w:t>- code de mesurage:</w:t>
      </w:r>
    </w:p>
    <w:p w14:paraId="1B72454B" w14:textId="77777777" w:rsidR="004B2808" w:rsidRDefault="00000000">
      <w:r>
        <w:t>Choix opéré:</w:t>
      </w:r>
      <w:r>
        <w:rPr>
          <w:rStyle w:val="optioncarChar"/>
          <w:b/>
        </w:rPr>
        <w:t>*** / OPTION 1 (un ensemble) / OPTION 2 (séparément)</w:t>
      </w:r>
    </w:p>
    <w:p w14:paraId="09D915BB" w14:textId="77777777" w:rsidR="004B2808"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14:paraId="68236559" w14:textId="77777777" w:rsidR="004B2808" w:rsidRDefault="00000000">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r>
      <w:r>
        <w:lastRenderedPageBreak/>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30F3ECF0" w14:textId="77777777" w:rsidR="004B2808" w:rsidRDefault="00000000">
      <w:r>
        <w:rPr>
          <w:rStyle w:val="optioncarChar"/>
        </w:rPr>
        <w:t> </w:t>
      </w:r>
    </w:p>
    <w:p w14:paraId="18D5725B" w14:textId="77777777" w:rsidR="004B2808" w:rsidRDefault="00000000">
      <w:r>
        <w:rPr>
          <w:u w:val="single"/>
        </w:rPr>
        <w:t xml:space="preserve">Attention </w:t>
      </w:r>
    </w:p>
    <w:p w14:paraId="4F90C541" w14:textId="77777777" w:rsidR="004B2808" w:rsidRDefault="00000000">
      <w:pPr>
        <w:pStyle w:val="Author-eListParagraph"/>
        <w:numPr>
          <w:ilvl w:val="0"/>
          <w:numId w:val="1018"/>
        </w:numPr>
      </w:pPr>
      <w:r>
        <w:t>Les vantaux de portes de 630 - 730 et 830 mm de largeur peuvent être pris ensemble pour le mesurage.</w:t>
      </w:r>
    </w:p>
    <w:p w14:paraId="7FEC314A" w14:textId="77777777" w:rsidR="004B2808" w:rsidRDefault="00000000">
      <w:pPr>
        <w:pStyle w:val="Author-eListParagraph"/>
        <w:numPr>
          <w:ilvl w:val="0"/>
          <w:numId w:val="1018"/>
        </w:numPr>
      </w:pPr>
      <w:r>
        <w:t>Les quincailleries dont la fourniture et la mise en œuvre sont comprises peuvent être décrites dans d'autres postes mais sont toujours comprises dans le prix des portes.</w:t>
      </w:r>
    </w:p>
    <w:p w14:paraId="232BEC8E" w14:textId="77777777" w:rsidR="004B2808" w:rsidRDefault="00000000">
      <w:r>
        <w:t> </w:t>
      </w:r>
    </w:p>
    <w:p w14:paraId="671EC30C" w14:textId="77777777" w:rsidR="004B2808" w:rsidRDefault="00000000">
      <w:pPr>
        <w:pStyle w:val="pheading"/>
      </w:pPr>
      <w:r>
        <w:t>- nature du marché:</w:t>
      </w:r>
    </w:p>
    <w:p w14:paraId="222D9DCB" w14:textId="77777777" w:rsidR="004B2808" w:rsidRDefault="00000000">
      <w:r>
        <w:t>QF</w:t>
      </w:r>
    </w:p>
    <w:p w14:paraId="4B0B46F1" w14:textId="77777777" w:rsidR="004B2808" w:rsidRDefault="00000000">
      <w:pPr>
        <w:pStyle w:val="Author-eSectionHeading6Numberless"/>
      </w:pPr>
      <w:bookmarkStart w:id="1084" w:name="_Toc220491211"/>
      <w:r>
        <w:t>55.21.8f Portes intérieures en bois lamellé collé + isolant + finition inox CCTB 01.12</w:t>
      </w:r>
      <w:bookmarkEnd w:id="1084"/>
    </w:p>
    <w:p w14:paraId="0AAD6F5C" w14:textId="77777777" w:rsidR="004B2808" w:rsidRDefault="00000000">
      <w:pPr>
        <w:pStyle w:val="pheading"/>
      </w:pPr>
      <w:r>
        <w:t>MATÉRIAUX</w:t>
      </w:r>
    </w:p>
    <w:p w14:paraId="3A95CDCD" w14:textId="77777777" w:rsidR="004B2808" w:rsidRDefault="00000000">
      <w:pPr>
        <w:pStyle w:val="pheading"/>
      </w:pPr>
      <w:r>
        <w:t>- Prescriptions complémentaires</w:t>
      </w:r>
    </w:p>
    <w:p w14:paraId="2004FFDA" w14:textId="77777777" w:rsidR="004B2808" w:rsidRDefault="00000000">
      <w:pPr>
        <w:pStyle w:val="heading"/>
      </w:pPr>
      <w:r>
        <w:t>(critères de performance)  Vantaux de porte</w:t>
      </w:r>
    </w:p>
    <w:p w14:paraId="7AD80185" w14:textId="77777777" w:rsidR="004B2808" w:rsidRDefault="00000000">
      <w:r>
        <w:t>Conformément aux indications supplémentaires dans le cahier spécial des charges, les dispositions supplémentaires suivantes sont d'application :</w:t>
      </w:r>
    </w:p>
    <w:p w14:paraId="4BBF356A" w14:textId="77777777" w:rsidR="004B2808" w:rsidRDefault="00000000">
      <w:pPr>
        <w:pStyle w:val="Author-eListParagraph"/>
        <w:numPr>
          <w:ilvl w:val="0"/>
          <w:numId w:val="1019"/>
        </w:numPr>
      </w:pPr>
      <w:r>
        <w:t>Les dispositions des [STS 53.1] pour les portes intérieures planes dans les salles de bains et les autres locaux humides.</w:t>
      </w:r>
    </w:p>
    <w:p w14:paraId="01710525" w14:textId="77777777" w:rsidR="004B2808" w:rsidRDefault="00000000">
      <w:r>
        <w:br/>
        <w:t>Attention  : Les ensembles de porte résistant au feu sont toujours considérés dans un poste séparé.</w:t>
      </w:r>
    </w:p>
    <w:p w14:paraId="67DF038D" w14:textId="77777777" w:rsidR="004B2808" w:rsidRDefault="00000000">
      <w:pPr>
        <w:pStyle w:val="heading"/>
      </w:pPr>
      <w:r>
        <w:t>(Accessoires) Vantaux de porte</w:t>
      </w:r>
    </w:p>
    <w:p w14:paraId="71983161"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76AB56E3" w14:textId="77777777" w:rsidR="004B2808" w:rsidRDefault="00000000">
      <w:pPr>
        <w:pStyle w:val="Author-eListParagraph"/>
        <w:numPr>
          <w:ilvl w:val="0"/>
          <w:numId w:val="1020"/>
        </w:numPr>
      </w:pPr>
      <w:r>
        <w:t>Equipés d'un vitrage :</w:t>
      </w:r>
    </w:p>
    <w:p w14:paraId="26313E06" w14:textId="77777777" w:rsidR="004B2808" w:rsidRDefault="00000000">
      <w:pPr>
        <w:pStyle w:val="Author-eListParagraph"/>
        <w:numPr>
          <w:ilvl w:val="0"/>
          <w:numId w:val="1020"/>
        </w:numPr>
      </w:pPr>
      <w:r>
        <w:t xml:space="preserve">En verre de sécurité </w:t>
      </w:r>
      <w:r>
        <w:rPr>
          <w:rStyle w:val="optioncarChar"/>
        </w:rPr>
        <w:t>simple </w:t>
      </w:r>
      <w:r>
        <w:t xml:space="preserve">(par défaut) </w:t>
      </w:r>
      <w:r>
        <w:rPr>
          <w:rStyle w:val="optioncarChar"/>
        </w:rPr>
        <w:t>/ clair / mat / opale / ***</w:t>
      </w:r>
      <w:r>
        <w:t xml:space="preserve"> , selon la [NBN S 23-002]</w:t>
      </w:r>
    </w:p>
    <w:p w14:paraId="4A2533E3" w14:textId="77777777" w:rsidR="004B2808" w:rsidRDefault="00000000">
      <w:pPr>
        <w:pStyle w:val="Author-eListParagraph"/>
        <w:numPr>
          <w:ilvl w:val="0"/>
          <w:numId w:val="1020"/>
        </w:numPr>
      </w:pPr>
      <w:r>
        <w:t xml:space="preserve">Réservation dans le vantail de porte : </w:t>
      </w:r>
      <w:r>
        <w:rPr>
          <w:rStyle w:val="optioncarChar"/>
        </w:rPr>
        <w:t>rectangulaire </w:t>
      </w:r>
      <w:r>
        <w:t>(par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10445ECA" w14:textId="77777777" w:rsidR="004B2808" w:rsidRDefault="00000000">
      <w:pPr>
        <w:pStyle w:val="Author-eListParagraph"/>
        <w:numPr>
          <w:ilvl w:val="0"/>
          <w:numId w:val="1020"/>
        </w:numPr>
      </w:pPr>
      <w:r>
        <w:t xml:space="preserve">Fixation de la vitre dans la réservation à l'aide de : </w:t>
      </w:r>
      <w:r>
        <w:rPr>
          <w:rStyle w:val="optioncarChar"/>
        </w:rPr>
        <w:t>mastic plastique</w:t>
      </w:r>
      <w:r>
        <w:t> (par défaut)</w:t>
      </w:r>
      <w:r>
        <w:rPr>
          <w:rStyle w:val="optioncarChar"/>
        </w:rPr>
        <w:t xml:space="preserve"> / profils de fixation à enclenchement en PVC / ***</w:t>
      </w:r>
    </w:p>
    <w:p w14:paraId="29F51E43" w14:textId="77777777" w:rsidR="004B2808" w:rsidRDefault="00000000">
      <w:pPr>
        <w:pStyle w:val="Author-eListParagraph"/>
        <w:numPr>
          <w:ilvl w:val="0"/>
          <w:numId w:val="1020"/>
        </w:numPr>
      </w:pPr>
      <w:r>
        <w:t xml:space="preserve">Les vitres sont encadrées par : </w:t>
      </w:r>
      <w:r>
        <w:rPr>
          <w:rStyle w:val="optioncarChar"/>
        </w:rPr>
        <w:t xml:space="preserve">des lattes en bois dur, finition prête à peindre </w:t>
      </w:r>
      <w:r>
        <w:t>(par défaut) </w:t>
      </w:r>
      <w:r>
        <w:rPr>
          <w:rStyle w:val="optioncarChar"/>
        </w:rPr>
        <w:t>/ ***.</w:t>
      </w:r>
    </w:p>
    <w:p w14:paraId="3B96B0A1" w14:textId="77777777" w:rsidR="004B2808" w:rsidRDefault="00000000">
      <w:pPr>
        <w:pStyle w:val="Author-eListParagraph"/>
        <w:numPr>
          <w:ilvl w:val="0"/>
          <w:numId w:val="1020"/>
        </w:numPr>
      </w:pPr>
      <w:r>
        <w:t xml:space="preserve">Pourvus d'une grille encastrée, selon l'article </w:t>
      </w:r>
      <w:hyperlink w:anchor="1322" w:history="1">
        <w:r w:rsidR="004B2808">
          <w:rPr>
            <w:color w:val="0000EE"/>
          </w:rPr>
          <w:t>55.68.1 Grilles de transfert dans les portes</w:t>
        </w:r>
      </w:hyperlink>
      <w:r>
        <w:t xml:space="preserve"> grilles de transfert dans les portes, ouverture d'aération conformément à la [NBN D 50-001]</w:t>
      </w:r>
    </w:p>
    <w:p w14:paraId="1F02E47C" w14:textId="77777777" w:rsidR="004B2808" w:rsidRDefault="00000000">
      <w:pPr>
        <w:pStyle w:val="Author-eListParagraph"/>
        <w:numPr>
          <w:ilvl w:val="0"/>
          <w:numId w:val="1020"/>
        </w:numPr>
      </w:pPr>
      <w:r>
        <w:t>Pourvus d'une fente de ventilation d'environ</w:t>
      </w:r>
      <w:r>
        <w:rPr>
          <w:rStyle w:val="optioncarChar"/>
        </w:rPr>
        <w:t> 1 </w:t>
      </w:r>
      <w:r>
        <w:t>(par défaut) / *** cm dans le bas, de façon telle que l'ouverture d'aération soit conformé à la [NBN D 50-001]</w:t>
      </w:r>
    </w:p>
    <w:p w14:paraId="4D043446" w14:textId="77777777" w:rsidR="004B2808" w:rsidRDefault="00000000">
      <w:pPr>
        <w:pStyle w:val="Author-eListParagraph"/>
        <w:numPr>
          <w:ilvl w:val="0"/>
          <w:numId w:val="1020"/>
        </w:numPr>
      </w:pPr>
      <w:r>
        <w:t>Conçues comme portes coulissantes (les vantaux de porte et les huisseries sont conformes aux portes ouvrantes ordinaires. Seul le mode de suspension et la quincaillerie concernée sont adaptés au concept des vantaux de porte coulissants).</w:t>
      </w:r>
    </w:p>
    <w:p w14:paraId="3556495B" w14:textId="77777777" w:rsidR="004B2808" w:rsidRDefault="00000000">
      <w:pPr>
        <w:pStyle w:val="Author-eListParagraph"/>
        <w:numPr>
          <w:ilvl w:val="0"/>
          <w:numId w:val="1020"/>
        </w:numPr>
      </w:pPr>
      <w:r>
        <w:t xml:space="preserve">Portes coulissantes </w:t>
      </w:r>
      <w:r>
        <w:rPr>
          <w:rStyle w:val="optioncarChar"/>
        </w:rPr>
        <w:t>simples / doubles</w:t>
      </w:r>
    </w:p>
    <w:p w14:paraId="4A48FF6D" w14:textId="77777777" w:rsidR="004B2808" w:rsidRDefault="00000000">
      <w:pPr>
        <w:pStyle w:val="Author-eListParagraph"/>
        <w:numPr>
          <w:ilvl w:val="0"/>
          <w:numId w:val="1020"/>
        </w:numPr>
      </w:pPr>
      <w:r>
        <w:t>Composées de </w:t>
      </w:r>
      <w:r>
        <w:rPr>
          <w:rStyle w:val="optioncarChar"/>
        </w:rPr>
        <w:t>un panneau</w:t>
      </w:r>
      <w:r>
        <w:t> (par défaut)</w:t>
      </w:r>
      <w:r>
        <w:rPr>
          <w:rStyle w:val="optioncarChar"/>
        </w:rPr>
        <w:t xml:space="preserve"> / deux panneaux / ***</w:t>
      </w:r>
    </w:p>
    <w:p w14:paraId="6D7BCA7E" w14:textId="77777777" w:rsidR="004B2808" w:rsidRDefault="00000000">
      <w:pPr>
        <w:pStyle w:val="Author-eListParagraph"/>
        <w:numPr>
          <w:ilvl w:val="0"/>
          <w:numId w:val="1020"/>
        </w:numPr>
      </w:pPr>
      <w:r>
        <w:t>Mécanisme de coulisse : rails en acier galvanisé; galets en nylon de première qualité; type et modèle en fonction du type et du poids des vantaux coulissants.</w:t>
      </w:r>
    </w:p>
    <w:p w14:paraId="41143211" w14:textId="77777777" w:rsidR="004B2808" w:rsidRDefault="00000000">
      <w:pPr>
        <w:pStyle w:val="Author-eListParagraph"/>
        <w:numPr>
          <w:ilvl w:val="0"/>
          <w:numId w:val="1020"/>
        </w:numPr>
      </w:pPr>
      <w:r>
        <w:lastRenderedPageBreak/>
        <w:t xml:space="preserve">Conçues comme </w:t>
      </w:r>
      <w:r>
        <w:rPr>
          <w:rStyle w:val="optioncarChar"/>
        </w:rPr>
        <w:t>portes battantes</w:t>
      </w:r>
      <w:r>
        <w:t> (par défaut)</w:t>
      </w:r>
      <w:r>
        <w:rPr>
          <w:rStyle w:val="optioncarChar"/>
        </w:rPr>
        <w:t xml:space="preserve"> / pivotantes / *** </w:t>
      </w:r>
      <w:r>
        <w:t xml:space="preserve">(les vantaux de porte et les huisseries sont conformes aux portes ouvrantes ordinaires. Seul le mode de suspension et la quincaillerie concernée sont adaptés au concept des vantaux de porte </w:t>
      </w:r>
      <w:r>
        <w:rPr>
          <w:rStyle w:val="optioncarChar"/>
        </w:rPr>
        <w:t>battante</w:t>
      </w:r>
      <w:r>
        <w:t> (par défaut)</w:t>
      </w:r>
      <w:r>
        <w:rPr>
          <w:rStyle w:val="optioncarChar"/>
        </w:rPr>
        <w:t xml:space="preserve"> / pivotante / ***</w:t>
      </w:r>
      <w:r>
        <w:t>)</w:t>
      </w:r>
    </w:p>
    <w:p w14:paraId="3ED19E67" w14:textId="77777777" w:rsidR="004B2808" w:rsidRDefault="00000000">
      <w:pPr>
        <w:pStyle w:val="Author-eListParagraph"/>
        <w:numPr>
          <w:ilvl w:val="0"/>
          <w:numId w:val="1020"/>
        </w:numPr>
      </w:pPr>
      <w:r>
        <w:t xml:space="preserve">Composées de </w:t>
      </w:r>
      <w:r>
        <w:rPr>
          <w:rStyle w:val="optioncarChar"/>
        </w:rPr>
        <w:t>un panneau</w:t>
      </w:r>
      <w:r>
        <w:t xml:space="preserve"> (par défaut) </w:t>
      </w:r>
      <w:r>
        <w:rPr>
          <w:rStyle w:val="optioncarChar"/>
        </w:rPr>
        <w:t>/ deux panneaux / ***</w:t>
      </w:r>
    </w:p>
    <w:p w14:paraId="0AB6A24C" w14:textId="77777777" w:rsidR="004B2808" w:rsidRDefault="00000000">
      <w:pPr>
        <w:pStyle w:val="heading"/>
      </w:pPr>
      <w:r>
        <w:t>Ensembles de porte / résistant au feu</w:t>
      </w:r>
    </w:p>
    <w:p w14:paraId="1B7CFF06"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2550529D" w14:textId="77777777" w:rsidR="004B2808" w:rsidRDefault="00000000">
      <w:pPr>
        <w:pStyle w:val="Author-eListParagraph"/>
        <w:numPr>
          <w:ilvl w:val="0"/>
          <w:numId w:val="1021"/>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157E04D0" w14:textId="77777777" w:rsidR="004B2808" w:rsidRDefault="00000000">
      <w:pPr>
        <w:pStyle w:val="Author-eListParagraph"/>
        <w:numPr>
          <w:ilvl w:val="0"/>
          <w:numId w:val="1021"/>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w:t>
      </w:r>
      <w:r>
        <w:t xml:space="preserve"> comme les chanlattes. Le vitrage est toujours délimité sur toute sa périphérie par des sections en bois plein d'une largeur minimale de 140 mm pour les côtés et au-dessus et de 220 mm dans le bas.</w:t>
      </w:r>
    </w:p>
    <w:p w14:paraId="1E8B66BF" w14:textId="77777777" w:rsidR="004B2808"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64F1764A" w14:textId="77777777" w:rsidR="004B2808" w:rsidRDefault="00000000">
      <w:pPr>
        <w:pStyle w:val="Author-eListParagraph"/>
        <w:numPr>
          <w:ilvl w:val="0"/>
          <w:numId w:val="1022"/>
        </w:numPr>
      </w:pPr>
      <w:r>
        <w:t xml:space="preserve">Pourvus d'une imposte </w:t>
      </w:r>
      <w:r>
        <w:rPr>
          <w:rStyle w:val="optioncarChar"/>
        </w:rPr>
        <w:t>avec </w:t>
      </w:r>
      <w:r>
        <w:t>(par défaut)</w:t>
      </w:r>
      <w:r>
        <w:rPr>
          <w:rStyle w:val="optioncarChar"/>
        </w:rPr>
        <w:t xml:space="preserve"> / sans / *** </w:t>
      </w:r>
      <w:r>
        <w:t>traverse intermédiaire.</w:t>
      </w:r>
    </w:p>
    <w:p w14:paraId="1E53EAF9" w14:textId="77777777" w:rsidR="004B2808" w:rsidRDefault="00000000">
      <w:pPr>
        <w:pStyle w:val="Author-eListParagraph"/>
        <w:numPr>
          <w:ilvl w:val="0"/>
          <w:numId w:val="1022"/>
        </w:numPr>
      </w:pPr>
      <w:r>
        <w:t>Pourvus d'une bande brise-bise et butoir continue.</w:t>
      </w:r>
    </w:p>
    <w:p w14:paraId="146A1020" w14:textId="77777777" w:rsidR="004B2808" w:rsidRDefault="00000000">
      <w:pPr>
        <w:pStyle w:val="Author-eListParagraph"/>
        <w:numPr>
          <w:ilvl w:val="0"/>
          <w:numId w:val="1022"/>
        </w:numPr>
      </w:pPr>
      <w:r>
        <w:t xml:space="preserve">Pourvus d'un cadre approprié pour la fixation d'un ferme-porte, prévu à l'art. </w:t>
      </w:r>
      <w:hyperlink w:anchor="1325" w:history="1">
        <w:r w:rsidR="004B2808">
          <w:rPr>
            <w:color w:val="0000EE"/>
          </w:rPr>
          <w:t>55.62.5 Système de fermeture</w:t>
        </w:r>
      </w:hyperlink>
    </w:p>
    <w:p w14:paraId="43F961E8" w14:textId="77777777" w:rsidR="004B2808" w:rsidRDefault="00000000">
      <w:pPr>
        <w:pStyle w:val="Author-eListParagraph"/>
        <w:numPr>
          <w:ilvl w:val="0"/>
          <w:numId w:val="1022"/>
        </w:numPr>
      </w:pPr>
      <w:r>
        <w:t xml:space="preserve">Conçus comme portes </w:t>
      </w:r>
      <w:r>
        <w:rPr>
          <w:rStyle w:val="optioncarChar"/>
        </w:rPr>
        <w:t>va-et-vient </w:t>
      </w:r>
      <w:r>
        <w:t xml:space="preserve">(par défaut) </w:t>
      </w:r>
      <w:r>
        <w:rPr>
          <w:rStyle w:val="optioncarChar"/>
        </w:rPr>
        <w:t>/ pivotantes / *** </w:t>
      </w:r>
      <w:r>
        <w:t xml:space="preserve">. Elles se composent de </w:t>
      </w:r>
      <w:r>
        <w:rPr>
          <w:rStyle w:val="optioncarChar"/>
        </w:rPr>
        <w:t>un panneau</w:t>
      </w:r>
      <w:r>
        <w:t> (par défaut) </w:t>
      </w:r>
      <w:r>
        <w:rPr>
          <w:rStyle w:val="optioncarChar"/>
        </w:rPr>
        <w:t>/ deux panneaux / ***</w:t>
      </w:r>
      <w:r>
        <w:t xml:space="preserve"> , les vantaux des portes et les huisseries sont semblables aux portes ouvrantes ordinaires, seul le mode de suspension et les quincailleries correspondantes sont adaptés au concept des portes battantes.</w:t>
      </w:r>
    </w:p>
    <w:p w14:paraId="512DE9A8" w14:textId="77777777" w:rsidR="004B2808" w:rsidRDefault="00000000">
      <w:pPr>
        <w:pStyle w:val="Author-eListParagraph"/>
        <w:numPr>
          <w:ilvl w:val="0"/>
          <w:numId w:val="1022"/>
        </w:numPr>
      </w:pPr>
      <w:r>
        <w:t>L'ensemble porte résistant au feu est conforme à la [NIT 234].</w:t>
      </w:r>
    </w:p>
    <w:p w14:paraId="6969ACD8" w14:textId="77777777" w:rsidR="004B2808" w:rsidRDefault="00000000">
      <w:pPr>
        <w:pStyle w:val="heading"/>
      </w:pPr>
      <w:r>
        <w:t>Options (biffer la mention inutile) huisseries de portes - bois</w:t>
      </w:r>
    </w:p>
    <w:p w14:paraId="1618BA01" w14:textId="77777777" w:rsidR="004B2808" w:rsidRDefault="00000000">
      <w:pPr>
        <w:pStyle w:val="Author-eListParagraph"/>
        <w:numPr>
          <w:ilvl w:val="0"/>
          <w:numId w:val="1023"/>
        </w:numPr>
      </w:pPr>
      <w:r>
        <w:t xml:space="preserve">Les portes sont conçues comme un châssis à pose affleurante jusqu'au plafond (avec </w:t>
      </w:r>
      <w:r>
        <w:rPr>
          <w:rStyle w:val="optioncarChar"/>
        </w:rPr>
        <w:t>vantaux vitrés </w:t>
      </w:r>
      <w:r>
        <w:t>(par défaut)</w:t>
      </w:r>
      <w:r>
        <w:rPr>
          <w:rStyle w:val="optioncarChar"/>
        </w:rPr>
        <w:t xml:space="preserve"> / imposte / ***</w:t>
      </w:r>
      <w:r>
        <w:t xml:space="preserve">). La feuillure des portes est embrevée sur une profondeur de </w:t>
      </w:r>
      <w:r>
        <w:rPr>
          <w:rStyle w:val="optioncarChar"/>
        </w:rPr>
        <w:t>10 </w:t>
      </w:r>
      <w:r>
        <w:t>(par défaut)</w:t>
      </w:r>
      <w:r>
        <w:rPr>
          <w:rStyle w:val="optioncarChar"/>
        </w:rPr>
        <w:t xml:space="preserve"> / *** </w:t>
      </w:r>
      <w:r>
        <w:t>mm dans le chambranle. Les ébrasements latéraux vont jusqu'au plafond, la traverse supérieure horizontale est :</w:t>
      </w:r>
      <w:r>
        <w:rPr>
          <w:rStyle w:val="optioncarChar"/>
        </w:rPr>
        <w:t xml:space="preserve"> posée aussi près que possible du plafond </w:t>
      </w:r>
      <w:r>
        <w:t>(par défaut) </w:t>
      </w:r>
      <w:r>
        <w:rPr>
          <w:rStyle w:val="optioncarChar"/>
        </w:rPr>
        <w:t>/ absente / ***</w:t>
      </w:r>
    </w:p>
    <w:p w14:paraId="4DA4828B" w14:textId="77777777" w:rsidR="004B2808" w:rsidRDefault="00000000">
      <w:pPr>
        <w:pStyle w:val="Author-eListParagraph"/>
        <w:numPr>
          <w:ilvl w:val="0"/>
          <w:numId w:val="1023"/>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3B30E198" w14:textId="77777777" w:rsidR="004B2808" w:rsidRDefault="00000000">
      <w:pPr>
        <w:pStyle w:val="Author-eListParagraph"/>
        <w:numPr>
          <w:ilvl w:val="0"/>
          <w:numId w:val="1023"/>
        </w:numPr>
      </w:pPr>
      <w:r>
        <w:t xml:space="preserve">Les impostes sont fabriquées dans un morceau de vantail de porte, conformément à la description de l'article </w:t>
      </w:r>
      <w:hyperlink w:anchor="1315" w:history="1">
        <w:r w:rsidR="004B2808">
          <w:rPr>
            <w:color w:val="0000EE"/>
          </w:rP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5D4B488D" w14:textId="77777777" w:rsidR="004B2808" w:rsidRDefault="00000000">
      <w:pPr>
        <w:pStyle w:val="Author-eListParagraph"/>
        <w:numPr>
          <w:ilvl w:val="0"/>
          <w:numId w:val="1023"/>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2C2B3C3D" w14:textId="77777777" w:rsidR="004B2808" w:rsidRDefault="00000000">
      <w:pPr>
        <w:pStyle w:val="heading"/>
      </w:pPr>
      <w:r>
        <w:lastRenderedPageBreak/>
        <w:t>Options (biffer la mention inutile) ensembles de porte / résistant au feu - porte pleine / huisserie en acier</w:t>
      </w:r>
    </w:p>
    <w:p w14:paraId="11B2C309" w14:textId="77777777" w:rsidR="004B2808" w:rsidRDefault="00000000">
      <w:r>
        <w:t xml:space="preserve">Conformément aux indications sur le plan ou les dessins de détail, les vantaux de porte suivants </w:t>
      </w:r>
      <w:r>
        <w:rPr>
          <w:rStyle w:val="optioncarChar"/>
        </w:rPr>
        <w:t xml:space="preserve">*** </w:t>
      </w:r>
      <w:r>
        <w:t>sont :</w:t>
      </w:r>
    </w:p>
    <w:p w14:paraId="11F0DFB4" w14:textId="77777777" w:rsidR="004B2808" w:rsidRDefault="00000000">
      <w:pPr>
        <w:pStyle w:val="Author-eListParagraph"/>
        <w:numPr>
          <w:ilvl w:val="0"/>
          <w:numId w:val="1024"/>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60C2AF0A" w14:textId="77777777" w:rsidR="004B2808" w:rsidRDefault="00000000">
      <w:pPr>
        <w:pStyle w:val="Author-eListParagraph"/>
        <w:numPr>
          <w:ilvl w:val="0"/>
          <w:numId w:val="1024"/>
        </w:numPr>
      </w:pPr>
      <w:r>
        <w:t xml:space="preserve">Equipés d'un vitrage résistant au feu en verre de sécurité conforme au rapport d'essai. Une réservation est faite dans le vantail de porte : </w:t>
      </w:r>
      <w:r>
        <w:rPr>
          <w:rStyle w:val="optioncarChar"/>
        </w:rPr>
        <w:t xml:space="preserve">rectangulaire </w:t>
      </w:r>
      <w:r>
        <w:t>(par défaut) </w:t>
      </w:r>
      <w:r>
        <w:rPr>
          <w:rStyle w:val="optioncarChar"/>
        </w:rPr>
        <w:t>/ ronde / ***</w:t>
      </w:r>
      <w:r>
        <w:t xml:space="preserve"> ,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27C20ABF" w14:textId="77777777" w:rsidR="004B2808"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5A22FB61" w14:textId="77777777" w:rsidR="004B2808" w:rsidRDefault="00000000">
      <w:pPr>
        <w:pStyle w:val="Author-eListParagraph"/>
        <w:numPr>
          <w:ilvl w:val="0"/>
          <w:numId w:val="1025"/>
        </w:numPr>
      </w:pPr>
      <w:r>
        <w:t xml:space="preserve">Pourvus d'une imposte </w:t>
      </w:r>
      <w:r>
        <w:rPr>
          <w:rStyle w:val="optioncarChar"/>
        </w:rPr>
        <w:t>avec </w:t>
      </w:r>
      <w:r>
        <w:t>(par défaut)</w:t>
      </w:r>
      <w:r>
        <w:rPr>
          <w:rStyle w:val="optioncarChar"/>
        </w:rPr>
        <w:t xml:space="preserve"> / sans / *** </w:t>
      </w:r>
      <w:r>
        <w:t>traverse intermédiaire.</w:t>
      </w:r>
    </w:p>
    <w:p w14:paraId="0B12A8B6" w14:textId="77777777" w:rsidR="004B2808" w:rsidRDefault="00000000">
      <w:pPr>
        <w:pStyle w:val="Author-eListParagraph"/>
        <w:numPr>
          <w:ilvl w:val="0"/>
          <w:numId w:val="1025"/>
        </w:numPr>
      </w:pPr>
      <w:r>
        <w:t>Pourvus d'une bande brise-bise et butoir continue.</w:t>
      </w:r>
    </w:p>
    <w:p w14:paraId="65DEF3E1" w14:textId="77777777" w:rsidR="004B2808" w:rsidRDefault="00000000">
      <w:pPr>
        <w:pStyle w:val="Author-eListParagraph"/>
        <w:numPr>
          <w:ilvl w:val="0"/>
          <w:numId w:val="1025"/>
        </w:numPr>
      </w:pPr>
      <w:r>
        <w:t xml:space="preserve">Pourvus d'un cadre approprié pour la fixation d'un ferme-porte, prévu à l'art. </w:t>
      </w:r>
      <w:hyperlink w:anchor="1325" w:history="1">
        <w:r w:rsidR="004B2808">
          <w:rPr>
            <w:color w:val="0000EE"/>
          </w:rPr>
          <w:t>55.62.5 Système de fermeture</w:t>
        </w:r>
      </w:hyperlink>
    </w:p>
    <w:p w14:paraId="353EED8F" w14:textId="77777777" w:rsidR="004B2808" w:rsidRDefault="00000000">
      <w:pPr>
        <w:pStyle w:val="Author-eListParagraph"/>
        <w:numPr>
          <w:ilvl w:val="0"/>
          <w:numId w:val="1025"/>
        </w:numPr>
      </w:pPr>
      <w:r>
        <w:t xml:space="preserve">Conçus comme portes </w:t>
      </w:r>
      <w:r>
        <w:rPr>
          <w:rStyle w:val="optioncarChar"/>
        </w:rPr>
        <w:t>va-et-vient </w:t>
      </w:r>
      <w:r>
        <w:t>(par défaut)</w:t>
      </w:r>
      <w:r>
        <w:rPr>
          <w:rStyle w:val="optioncarChar"/>
        </w:rPr>
        <w:t xml:space="preserve"> / pivotantes / ***</w:t>
      </w:r>
      <w:r>
        <w:t xml:space="preserve"> . Elles se composent de </w:t>
      </w:r>
      <w:r>
        <w:rPr>
          <w:rStyle w:val="optioncarChar"/>
        </w:rPr>
        <w:t>un panneau</w:t>
      </w:r>
      <w:r>
        <w:t> (par défaut)</w:t>
      </w:r>
      <w:r>
        <w:rPr>
          <w:rStyle w:val="optioncarChar"/>
        </w:rPr>
        <w:t xml:space="preserve"> / deux panneaux </w:t>
      </w:r>
      <w:r>
        <w:t>, les vantaux des portes et les huisseries sont semblables aux portes ouvrantes ordinaires, seuls le mode de suspension et les quincailleries correspondantes sont adaptés au concept des portes battantes.</w:t>
      </w:r>
    </w:p>
    <w:p w14:paraId="4A2C533A" w14:textId="77777777" w:rsidR="004B2808" w:rsidRDefault="00000000">
      <w:pPr>
        <w:pStyle w:val="pheading"/>
      </w:pPr>
      <w:r>
        <w:t>MESURAGE</w:t>
      </w:r>
    </w:p>
    <w:p w14:paraId="2181AE77" w14:textId="77777777" w:rsidR="004B2808" w:rsidRDefault="00000000">
      <w:r>
        <w:t>Conformément aux indications spécifiques dans le cahier spécial des charges et/ou le métré récapitulatif, le mesurage peut être conçu comme suit, en fonction de la nature des portes intérieures :</w:t>
      </w:r>
    </w:p>
    <w:p w14:paraId="070ECF45" w14:textId="77777777" w:rsidR="004B2808" w:rsidRDefault="00000000">
      <w:pPr>
        <w:pStyle w:val="pheading"/>
      </w:pPr>
      <w:r>
        <w:t>- unité de mesure:</w:t>
      </w:r>
    </w:p>
    <w:p w14:paraId="5E323AD8" w14:textId="77777777" w:rsidR="004B2808" w:rsidRDefault="00000000">
      <w:r>
        <w:t>p</w:t>
      </w:r>
    </w:p>
    <w:p w14:paraId="480853D3" w14:textId="77777777" w:rsidR="004B2808" w:rsidRDefault="00000000">
      <w:pPr>
        <w:pStyle w:val="pheading"/>
      </w:pPr>
      <w:r>
        <w:t>- code de mesurage:</w:t>
      </w:r>
    </w:p>
    <w:p w14:paraId="028499F3" w14:textId="77777777" w:rsidR="004B2808" w:rsidRDefault="00000000">
      <w:r>
        <w:t>Choix opéré:</w:t>
      </w:r>
      <w:r>
        <w:rPr>
          <w:rStyle w:val="optioncarChar"/>
          <w:b/>
        </w:rPr>
        <w:t xml:space="preserve">*** / OPTION 1 (un ensemble) </w:t>
      </w:r>
      <w:r>
        <w:t>(par défaut) </w:t>
      </w:r>
      <w:r>
        <w:rPr>
          <w:rStyle w:val="optioncarChar"/>
          <w:b/>
        </w:rPr>
        <w:t>/ OPTION 2 (séparément)</w:t>
      </w:r>
    </w:p>
    <w:p w14:paraId="3412C004" w14:textId="77777777" w:rsidR="004B2808"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w:t>
      </w:r>
      <w:r>
        <w:t> (par défaut)</w:t>
      </w:r>
      <w:r>
        <w:rPr>
          <w:rStyle w:val="optioncarChar"/>
        </w:rPr>
        <w:t xml:space="preserve"> / 14 / 19 / ***</w:t>
      </w:r>
      <w:r>
        <w:t xml:space="preserve"> ) et, le cas échéant, selon la classification (nature, sens d'ouverture, emplacement,  prestations particulières, dimensions, forme et aspect).</w:t>
      </w:r>
    </w:p>
    <w:p w14:paraId="4E5D30E5" w14:textId="77777777" w:rsidR="004B2808" w:rsidRDefault="00000000">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 xml:space="preserve">7 </w:t>
      </w:r>
      <w:r>
        <w:t>(par défaut) </w:t>
      </w:r>
      <w:r>
        <w:rPr>
          <w:rStyle w:val="optioncarChar"/>
        </w:rPr>
        <w:t>/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r>
      <w:r>
        <w:lastRenderedPageBreak/>
        <w:t>le cas échéant, ventilé selon le type ou le modèle, ventilé selon les dimensions des portes (indépendamment de la hauteur) et l'épaisseur des cloisons intérieures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6829B10F" w14:textId="77777777" w:rsidR="004B2808" w:rsidRDefault="00000000">
      <w:r>
        <w:rPr>
          <w:u w:val="single"/>
        </w:rPr>
        <w:t xml:space="preserve">Attention </w:t>
      </w:r>
    </w:p>
    <w:p w14:paraId="227A6D8F" w14:textId="77777777" w:rsidR="004B2808" w:rsidRDefault="00000000">
      <w:pPr>
        <w:pStyle w:val="Author-eListParagraph"/>
        <w:numPr>
          <w:ilvl w:val="0"/>
          <w:numId w:val="1026"/>
        </w:numPr>
      </w:pPr>
      <w:r>
        <w:t>Les vantaux de portes de 630 - 730 et 830 mm de largeur peuvent être pris ensemble pour le mesurage.</w:t>
      </w:r>
    </w:p>
    <w:p w14:paraId="4DC9CA02" w14:textId="77777777" w:rsidR="004B2808" w:rsidRDefault="00000000">
      <w:pPr>
        <w:pStyle w:val="Author-eListParagraph"/>
        <w:numPr>
          <w:ilvl w:val="0"/>
          <w:numId w:val="1026"/>
        </w:numPr>
      </w:pPr>
      <w:r>
        <w:t>Les quincailleries dont la fourniture et la mise en œuvre sont comprises peuvent être décrites dans d'autres postes mais sont toujours comprises dans le prix des portes.</w:t>
      </w:r>
    </w:p>
    <w:p w14:paraId="51579E5E" w14:textId="77777777" w:rsidR="004B2808" w:rsidRDefault="00000000">
      <w:pPr>
        <w:pStyle w:val="pheading"/>
      </w:pPr>
      <w:r>
        <w:t>- nature du marché:</w:t>
      </w:r>
    </w:p>
    <w:p w14:paraId="29636EB7" w14:textId="77777777" w:rsidR="004B2808" w:rsidRDefault="00000000">
      <w:r>
        <w:t>QF</w:t>
      </w:r>
    </w:p>
    <w:p w14:paraId="669B31E7" w14:textId="77777777" w:rsidR="004B2808" w:rsidRDefault="00000000">
      <w:pPr>
        <w:pStyle w:val="Author-eSectionHeading6Numberless"/>
      </w:pPr>
      <w:bookmarkStart w:id="1085" w:name="_Toc220491212"/>
      <w:r>
        <w:t>55.21.8g Portes intérieures en bois massif + isolant + finition PVC CCTB 01.10</w:t>
      </w:r>
      <w:bookmarkEnd w:id="1085"/>
    </w:p>
    <w:p w14:paraId="6AD6596F" w14:textId="77777777" w:rsidR="004B2808" w:rsidRDefault="00000000">
      <w:pPr>
        <w:pStyle w:val="pheading"/>
      </w:pPr>
      <w:r>
        <w:t>MATÉRIAUX</w:t>
      </w:r>
    </w:p>
    <w:p w14:paraId="3C31F474" w14:textId="77777777" w:rsidR="004B2808" w:rsidRDefault="00000000">
      <w:pPr>
        <w:pStyle w:val="pheading"/>
      </w:pPr>
      <w:r>
        <w:t>- Prescriptions complémentaires</w:t>
      </w:r>
    </w:p>
    <w:p w14:paraId="637BED2A" w14:textId="77777777" w:rsidR="004B2808" w:rsidRDefault="00000000">
      <w:pPr>
        <w:pStyle w:val="heading"/>
      </w:pPr>
      <w:r>
        <w:t>(critères de performance)  Vantaux de porte</w:t>
      </w:r>
    </w:p>
    <w:p w14:paraId="24465B19" w14:textId="77777777" w:rsidR="004B2808" w:rsidRDefault="00000000">
      <w:r>
        <w:t>Conformément aux indications supplémentaires dans le cahier spécial des charges, les dispositions supplémentaires suivantes sont d'application :</w:t>
      </w:r>
    </w:p>
    <w:p w14:paraId="3A2184B5" w14:textId="77777777" w:rsidR="004B2808" w:rsidRDefault="00000000">
      <w:pPr>
        <w:pStyle w:val="Author-eListParagraph"/>
        <w:numPr>
          <w:ilvl w:val="0"/>
          <w:numId w:val="1027"/>
        </w:numPr>
      </w:pPr>
      <w:r>
        <w:t>Les dispositions des [STS 53.1] pour les portes intérieures planes dans les salles de bains et les autres locaux humides.</w:t>
      </w:r>
    </w:p>
    <w:p w14:paraId="32ECD731" w14:textId="77777777" w:rsidR="004B2808" w:rsidRDefault="00000000">
      <w:r>
        <w:br/>
        <w:t>Attention  : Les ensembles de porte résistant au feu sont toujours considérés dans un poste séparé.</w:t>
      </w:r>
    </w:p>
    <w:p w14:paraId="4308388F" w14:textId="77777777" w:rsidR="004B2808" w:rsidRDefault="00000000">
      <w:pPr>
        <w:pStyle w:val="heading"/>
      </w:pPr>
      <w:r>
        <w:t>(Accessoires) Vantaux de porte</w:t>
      </w:r>
    </w:p>
    <w:p w14:paraId="2D6EA3E9"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0892F2F2" w14:textId="77777777" w:rsidR="004B2808" w:rsidRDefault="00000000">
      <w:pPr>
        <w:pStyle w:val="Author-eListParagraph"/>
        <w:numPr>
          <w:ilvl w:val="0"/>
          <w:numId w:val="1028"/>
        </w:numPr>
      </w:pPr>
      <w:r>
        <w:t>Equipés d'un vitrage :</w:t>
      </w:r>
    </w:p>
    <w:p w14:paraId="087EE477" w14:textId="77777777" w:rsidR="004B2808" w:rsidRDefault="00000000">
      <w:pPr>
        <w:pStyle w:val="Author-eListParagraph"/>
        <w:numPr>
          <w:ilvl w:val="0"/>
          <w:numId w:val="1028"/>
        </w:numPr>
      </w:pPr>
      <w:r>
        <w:t xml:space="preserve">En verre de sécurité </w:t>
      </w:r>
      <w:r>
        <w:rPr>
          <w:rStyle w:val="optioncarChar"/>
        </w:rPr>
        <w:t>simple </w:t>
      </w:r>
      <w:r>
        <w:t xml:space="preserve">(par défaut) </w:t>
      </w:r>
      <w:r>
        <w:rPr>
          <w:rStyle w:val="optioncarChar"/>
        </w:rPr>
        <w:t>/ clair / mat / opale / ***</w:t>
      </w:r>
      <w:r>
        <w:t xml:space="preserve"> , selon la [NBN S 23-002]</w:t>
      </w:r>
    </w:p>
    <w:p w14:paraId="070F65B4" w14:textId="77777777" w:rsidR="004B2808" w:rsidRDefault="00000000">
      <w:pPr>
        <w:pStyle w:val="Author-eListParagraph"/>
        <w:numPr>
          <w:ilvl w:val="0"/>
          <w:numId w:val="1028"/>
        </w:numPr>
      </w:pPr>
      <w:r>
        <w:t xml:space="preserve">Réservation dans le vantail de porte : </w:t>
      </w:r>
      <w:r>
        <w:rPr>
          <w:rStyle w:val="optioncarChar"/>
        </w:rPr>
        <w:t>rectangulaire </w:t>
      </w:r>
      <w:r>
        <w:t>(par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74BD4DE7" w14:textId="77777777" w:rsidR="004B2808" w:rsidRDefault="00000000">
      <w:pPr>
        <w:pStyle w:val="Author-eListParagraph"/>
        <w:numPr>
          <w:ilvl w:val="0"/>
          <w:numId w:val="1028"/>
        </w:numPr>
      </w:pPr>
      <w:r>
        <w:t xml:space="preserve">Fixation de la vitre dans la réservation à l'aide de : </w:t>
      </w:r>
      <w:r>
        <w:rPr>
          <w:rStyle w:val="optioncarChar"/>
        </w:rPr>
        <w:t>mastic plastique</w:t>
      </w:r>
      <w:r>
        <w:t> (par défaut)</w:t>
      </w:r>
      <w:r>
        <w:rPr>
          <w:rStyle w:val="optioncarChar"/>
        </w:rPr>
        <w:t xml:space="preserve"> / profils de fixation à enclenchement en PVC / ***</w:t>
      </w:r>
    </w:p>
    <w:p w14:paraId="1D629ADE" w14:textId="77777777" w:rsidR="004B2808" w:rsidRDefault="00000000">
      <w:pPr>
        <w:pStyle w:val="Author-eListParagraph"/>
        <w:numPr>
          <w:ilvl w:val="0"/>
          <w:numId w:val="1028"/>
        </w:numPr>
      </w:pPr>
      <w:r>
        <w:t xml:space="preserve">Les vitres sont encadrées par : </w:t>
      </w:r>
      <w:r>
        <w:rPr>
          <w:rStyle w:val="optioncarChar"/>
        </w:rPr>
        <w:t>des lattes en bois dur, finition prête à peindre </w:t>
      </w:r>
      <w:r>
        <w:t>(par défaut)</w:t>
      </w:r>
      <w:r>
        <w:rPr>
          <w:rStyle w:val="optioncarChar"/>
        </w:rPr>
        <w:t xml:space="preserve"> / ***.</w:t>
      </w:r>
    </w:p>
    <w:p w14:paraId="6ADC0B8A" w14:textId="77777777" w:rsidR="004B2808" w:rsidRDefault="00000000">
      <w:pPr>
        <w:pStyle w:val="Author-eListParagraph"/>
        <w:numPr>
          <w:ilvl w:val="0"/>
          <w:numId w:val="1028"/>
        </w:numPr>
      </w:pPr>
      <w:r>
        <w:t xml:space="preserve">Pourvus d'une grille encastrée, selon l'article </w:t>
      </w:r>
      <w:hyperlink w:anchor="1322" w:history="1">
        <w:r w:rsidR="004B2808">
          <w:rPr>
            <w:color w:val="0000EE"/>
          </w:rPr>
          <w:t>55.68.1 Grilles de transfert dans les portes</w:t>
        </w:r>
      </w:hyperlink>
      <w:r>
        <w:t xml:space="preserve"> grilles de transfert dans les portes, ouverture d'aération conformément à la [NBN D 50-001]</w:t>
      </w:r>
    </w:p>
    <w:p w14:paraId="16B3A59F" w14:textId="77777777" w:rsidR="004B2808" w:rsidRDefault="00000000">
      <w:pPr>
        <w:pStyle w:val="Author-eListParagraph"/>
        <w:numPr>
          <w:ilvl w:val="0"/>
          <w:numId w:val="1028"/>
        </w:numPr>
      </w:pPr>
      <w:r>
        <w:t xml:space="preserve">Pourvus d'une fente de ventilation d'environ </w:t>
      </w:r>
      <w:r>
        <w:rPr>
          <w:rStyle w:val="optioncarChar"/>
        </w:rPr>
        <w:t>1</w:t>
      </w:r>
      <w:r>
        <w:t> (par défaut)</w:t>
      </w:r>
      <w:r>
        <w:rPr>
          <w:rStyle w:val="optioncarChar"/>
        </w:rPr>
        <w:t> / *** </w:t>
      </w:r>
      <w:r>
        <w:t xml:space="preserve"> cm dans le bas, de façon telle que l'ouverture d'aération soit conformé à la [NBN D 50-001]</w:t>
      </w:r>
    </w:p>
    <w:p w14:paraId="04E57B3D" w14:textId="77777777" w:rsidR="004B2808" w:rsidRDefault="00000000">
      <w:pPr>
        <w:pStyle w:val="Author-eListParagraph"/>
        <w:numPr>
          <w:ilvl w:val="0"/>
          <w:numId w:val="1028"/>
        </w:numPr>
      </w:pPr>
      <w:r>
        <w:t>Conçues comme portes coulissantes (les vantaux de porte et les huisseries sont conformes aux portes ouvrantes ordinaires. Seul le mode de suspension et la quincaillerie concernée sont adaptés au concept des vantaux de porte coulissants).</w:t>
      </w:r>
    </w:p>
    <w:p w14:paraId="72B588A8" w14:textId="77777777" w:rsidR="004B2808" w:rsidRDefault="00000000">
      <w:pPr>
        <w:pStyle w:val="Author-eListParagraph"/>
        <w:numPr>
          <w:ilvl w:val="0"/>
          <w:numId w:val="1028"/>
        </w:numPr>
      </w:pPr>
      <w:r>
        <w:t xml:space="preserve">Portes coulissantes </w:t>
      </w:r>
      <w:r>
        <w:rPr>
          <w:rStyle w:val="optioncarChar"/>
        </w:rPr>
        <w:t>simples</w:t>
      </w:r>
      <w:r>
        <w:t> (par défaut)</w:t>
      </w:r>
      <w:r>
        <w:rPr>
          <w:rStyle w:val="optioncarChar"/>
        </w:rPr>
        <w:t xml:space="preserve"> / doubles / ***</w:t>
      </w:r>
    </w:p>
    <w:p w14:paraId="39488965" w14:textId="77777777" w:rsidR="004B2808" w:rsidRDefault="00000000">
      <w:pPr>
        <w:pStyle w:val="Author-eListParagraph"/>
        <w:numPr>
          <w:ilvl w:val="0"/>
          <w:numId w:val="1028"/>
        </w:numPr>
      </w:pPr>
      <w:r>
        <w:t>Composées de</w:t>
      </w:r>
      <w:r>
        <w:rPr>
          <w:rStyle w:val="optioncarChar"/>
        </w:rPr>
        <w:t> un panneau</w:t>
      </w:r>
      <w:r>
        <w:t xml:space="preserve"> (par défaut)</w:t>
      </w:r>
      <w:r>
        <w:rPr>
          <w:rStyle w:val="optioncarChar"/>
        </w:rPr>
        <w:t> / deux panneaux / ***</w:t>
      </w:r>
    </w:p>
    <w:p w14:paraId="2ECBC4FA" w14:textId="77777777" w:rsidR="004B2808" w:rsidRDefault="00000000">
      <w:pPr>
        <w:pStyle w:val="Author-eListParagraph"/>
        <w:numPr>
          <w:ilvl w:val="0"/>
          <w:numId w:val="1028"/>
        </w:numPr>
      </w:pPr>
      <w:r>
        <w:t>Mécanisme de coulisse : rails en acier galvanisé; galets en nylon de première qualité; type et modèle en fonction du type et du poids des vantaux coulissants.</w:t>
      </w:r>
    </w:p>
    <w:p w14:paraId="5A508A21" w14:textId="77777777" w:rsidR="004B2808" w:rsidRDefault="00000000">
      <w:pPr>
        <w:pStyle w:val="Author-eListParagraph"/>
        <w:numPr>
          <w:ilvl w:val="0"/>
          <w:numId w:val="1028"/>
        </w:numPr>
      </w:pPr>
      <w:r>
        <w:t xml:space="preserve">Conçues comme </w:t>
      </w:r>
      <w:r>
        <w:rPr>
          <w:rStyle w:val="optioncarChar"/>
        </w:rPr>
        <w:t>portes battantes</w:t>
      </w:r>
      <w:r>
        <w:t> (par défaut)</w:t>
      </w:r>
      <w:r>
        <w:rPr>
          <w:rStyle w:val="optioncarChar"/>
        </w:rPr>
        <w:t xml:space="preserve"> / pivotantes / *** </w:t>
      </w:r>
      <w:r>
        <w:t xml:space="preserve">(les vantaux de porte et les huisseries sont conformes aux portes ouvrantes ordinaires. Seul le mode de suspension et la </w:t>
      </w:r>
      <w:r>
        <w:lastRenderedPageBreak/>
        <w:t xml:space="preserve">quincaillerie concernée sont adaptés au concept des vantaux de porte </w:t>
      </w:r>
      <w:r>
        <w:rPr>
          <w:rStyle w:val="optioncarChar"/>
        </w:rPr>
        <w:t>battante </w:t>
      </w:r>
      <w:r>
        <w:t>(par défaut)</w:t>
      </w:r>
      <w:r>
        <w:rPr>
          <w:rStyle w:val="optioncarChar"/>
        </w:rPr>
        <w:t xml:space="preserve"> / pivotante / ***</w:t>
      </w:r>
      <w:r>
        <w:t>)</w:t>
      </w:r>
    </w:p>
    <w:p w14:paraId="5ECFEFA0" w14:textId="77777777" w:rsidR="004B2808" w:rsidRDefault="00000000">
      <w:pPr>
        <w:pStyle w:val="Author-eListParagraph"/>
        <w:numPr>
          <w:ilvl w:val="0"/>
          <w:numId w:val="1028"/>
        </w:numPr>
      </w:pPr>
      <w:r>
        <w:t xml:space="preserve">Composées de </w:t>
      </w:r>
      <w:r>
        <w:rPr>
          <w:rStyle w:val="optioncarChar"/>
        </w:rPr>
        <w:t>un panneau</w:t>
      </w:r>
      <w:r>
        <w:t> (par défaut)</w:t>
      </w:r>
      <w:r>
        <w:rPr>
          <w:rStyle w:val="optioncarChar"/>
        </w:rPr>
        <w:t xml:space="preserve"> / deux panneaux / ***</w:t>
      </w:r>
    </w:p>
    <w:p w14:paraId="6A28AC95" w14:textId="77777777" w:rsidR="004B2808" w:rsidRDefault="00000000">
      <w:pPr>
        <w:pStyle w:val="heading"/>
      </w:pPr>
      <w:r>
        <w:t>Ensembles de porte / résistant au feu</w:t>
      </w:r>
    </w:p>
    <w:p w14:paraId="3571B9B4"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66EE059B" w14:textId="77777777" w:rsidR="004B2808" w:rsidRDefault="00000000">
      <w:pPr>
        <w:pStyle w:val="Author-eListParagraph"/>
        <w:numPr>
          <w:ilvl w:val="0"/>
          <w:numId w:val="1029"/>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5459F5A2" w14:textId="77777777" w:rsidR="004B2808" w:rsidRDefault="00000000">
      <w:pPr>
        <w:pStyle w:val="Author-eListParagraph"/>
        <w:numPr>
          <w:ilvl w:val="0"/>
          <w:numId w:val="1029"/>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 ronde</w:t>
      </w:r>
      <w:r>
        <w:t xml:space="preserve">,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w:t>
      </w:r>
      <w:r>
        <w:t xml:space="preserve"> comme les chanlattes. Le vitrage est toujours délimité sur toute sa périphérie par des sections en bois plein d'une largeur minimale de 140 mm pour les côtés et au-dessus et de 220 mm dans le bas.</w:t>
      </w:r>
    </w:p>
    <w:p w14:paraId="1A311807" w14:textId="77777777" w:rsidR="004B2808"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687385A7" w14:textId="77777777" w:rsidR="004B2808" w:rsidRDefault="00000000">
      <w:pPr>
        <w:pStyle w:val="Author-eListParagraph"/>
        <w:numPr>
          <w:ilvl w:val="0"/>
          <w:numId w:val="1030"/>
        </w:numPr>
      </w:pPr>
      <w:r>
        <w:t xml:space="preserve">Pourvus d'une imposte </w:t>
      </w:r>
      <w:r>
        <w:rPr>
          <w:rStyle w:val="optioncarChar"/>
        </w:rPr>
        <w:t>avec</w:t>
      </w:r>
      <w:r>
        <w:t> (par défaut)</w:t>
      </w:r>
      <w:r>
        <w:rPr>
          <w:rStyle w:val="optioncarChar"/>
        </w:rPr>
        <w:t xml:space="preserve"> / sans / *** </w:t>
      </w:r>
      <w:r>
        <w:t>traverse intermédiaire.</w:t>
      </w:r>
    </w:p>
    <w:p w14:paraId="32DB51F4" w14:textId="77777777" w:rsidR="004B2808" w:rsidRDefault="00000000">
      <w:pPr>
        <w:pStyle w:val="Author-eListParagraph"/>
        <w:numPr>
          <w:ilvl w:val="0"/>
          <w:numId w:val="1030"/>
        </w:numPr>
      </w:pPr>
      <w:r>
        <w:t>Pourvus d'une bande brise-bise et butoir continue.</w:t>
      </w:r>
    </w:p>
    <w:p w14:paraId="22E3C1E7" w14:textId="77777777" w:rsidR="004B2808" w:rsidRDefault="00000000">
      <w:pPr>
        <w:pStyle w:val="Author-eListParagraph"/>
        <w:numPr>
          <w:ilvl w:val="0"/>
          <w:numId w:val="1030"/>
        </w:numPr>
      </w:pPr>
      <w:r>
        <w:t xml:space="preserve">Pourvus d'un cadre approprié pour la fixation d'un ferme-porte, prévu à l'art. </w:t>
      </w:r>
      <w:hyperlink w:anchor="1325" w:history="1">
        <w:r w:rsidR="004B2808">
          <w:rPr>
            <w:color w:val="0000EE"/>
          </w:rPr>
          <w:t>55.62.5 Système de fermeture</w:t>
        </w:r>
      </w:hyperlink>
    </w:p>
    <w:p w14:paraId="1692809B" w14:textId="77777777" w:rsidR="004B2808" w:rsidRDefault="00000000">
      <w:pPr>
        <w:pStyle w:val="Author-eListParagraph"/>
        <w:numPr>
          <w:ilvl w:val="0"/>
          <w:numId w:val="1030"/>
        </w:numPr>
      </w:pPr>
      <w:r>
        <w:t xml:space="preserve">Conçus comme portes </w:t>
      </w:r>
      <w:r>
        <w:rPr>
          <w:rStyle w:val="optioncarChar"/>
        </w:rPr>
        <w:t xml:space="preserve">va-et-vient </w:t>
      </w:r>
      <w:r>
        <w:t>(par défaut) </w:t>
      </w:r>
      <w:r>
        <w:rPr>
          <w:rStyle w:val="optioncarChar"/>
        </w:rPr>
        <w:t>/ pivotantes / *** </w:t>
      </w:r>
      <w:r>
        <w:t xml:space="preserve">. Elles se composent de </w:t>
      </w:r>
      <w:r>
        <w:rPr>
          <w:rStyle w:val="optioncarChar"/>
        </w:rPr>
        <w:t>un panneau</w:t>
      </w:r>
      <w:r>
        <w:t xml:space="preserve"> (par défaut) </w:t>
      </w:r>
      <w:r>
        <w:rPr>
          <w:rStyle w:val="optioncarChar"/>
        </w:rPr>
        <w:t>/ deux panneaux / ***</w:t>
      </w:r>
      <w:r>
        <w:t xml:space="preserve"> , les vantaux des portes et les huisseries sont semblables aux portes ouvrantes ordinaires, seuls le mode de suspension et les quincailleries correspondantes sont adaptés au concept des portes battantes.</w:t>
      </w:r>
    </w:p>
    <w:p w14:paraId="0D5C6AF1" w14:textId="77777777" w:rsidR="004B2808" w:rsidRDefault="00000000">
      <w:pPr>
        <w:pStyle w:val="Author-eListParagraph"/>
        <w:numPr>
          <w:ilvl w:val="0"/>
          <w:numId w:val="1030"/>
        </w:numPr>
      </w:pPr>
      <w:r>
        <w:t>L'ensemble porte résistant au feu est conforme à la [NIT 234].</w:t>
      </w:r>
    </w:p>
    <w:p w14:paraId="2D7F4E9B" w14:textId="77777777" w:rsidR="004B2808" w:rsidRDefault="00000000">
      <w:pPr>
        <w:pStyle w:val="heading"/>
      </w:pPr>
      <w:r>
        <w:t>Options (biffer la mention inutile) huisseries de portes - bois</w:t>
      </w:r>
    </w:p>
    <w:p w14:paraId="07F76CD9" w14:textId="77777777" w:rsidR="004B2808" w:rsidRDefault="00000000">
      <w:pPr>
        <w:pStyle w:val="Author-eListParagraph"/>
        <w:numPr>
          <w:ilvl w:val="0"/>
          <w:numId w:val="1031"/>
        </w:numPr>
      </w:pPr>
      <w:r>
        <w:t>Les portes sont conçues comme un châssis à pose affleurante jusqu'au plafond (avec</w:t>
      </w:r>
      <w:r>
        <w:rPr>
          <w:rStyle w:val="optioncarChar"/>
        </w:rPr>
        <w:t> vantaux vitrés </w:t>
      </w:r>
      <w:r>
        <w:t>(par défaut)</w:t>
      </w:r>
      <w:r>
        <w:rPr>
          <w:rStyle w:val="optioncarChar"/>
        </w:rPr>
        <w:t xml:space="preserve"> / imposte / ***</w:t>
      </w:r>
      <w:r>
        <w:t xml:space="preserve">). La feuillure des portes est embrevée sur une profondeur de </w:t>
      </w:r>
      <w:r>
        <w:rPr>
          <w:rStyle w:val="optioncarChar"/>
        </w:rPr>
        <w:t>10</w:t>
      </w:r>
      <w:r>
        <w:t> (par défaut)</w:t>
      </w:r>
      <w:r>
        <w:rPr>
          <w:rStyle w:val="optioncarChar"/>
        </w:rPr>
        <w:t xml:space="preserve"> / *** </w:t>
      </w:r>
      <w:r>
        <w:t>mm dans le chambranle. Les ébrasements latéraux vont jusqu'au plafond, la traverse supérieure horizontale est :</w:t>
      </w:r>
      <w:r>
        <w:rPr>
          <w:rStyle w:val="optioncarChar"/>
        </w:rPr>
        <w:t> posée aussi près que possible du plafond </w:t>
      </w:r>
      <w:r>
        <w:t xml:space="preserve">(par défaut) </w:t>
      </w:r>
      <w:r>
        <w:rPr>
          <w:rStyle w:val="optioncarChar"/>
        </w:rPr>
        <w:t>/ absente / ***</w:t>
      </w:r>
    </w:p>
    <w:p w14:paraId="3A1780D2" w14:textId="77777777" w:rsidR="004B2808" w:rsidRDefault="00000000">
      <w:pPr>
        <w:pStyle w:val="Author-eListParagraph"/>
        <w:numPr>
          <w:ilvl w:val="0"/>
          <w:numId w:val="1031"/>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32B5D6C6" w14:textId="77777777" w:rsidR="004B2808" w:rsidRDefault="00000000">
      <w:pPr>
        <w:pStyle w:val="Author-eListParagraph"/>
        <w:numPr>
          <w:ilvl w:val="0"/>
          <w:numId w:val="1031"/>
        </w:numPr>
      </w:pPr>
      <w:r>
        <w:t xml:space="preserve">Les impostes sont fabriquées dans un morceau de vantail de porte, conformément à la description de l'article </w:t>
      </w:r>
      <w:hyperlink w:anchor="1315" w:history="1">
        <w:r w:rsidR="004B2808">
          <w:rPr>
            <w:color w:val="0000EE"/>
          </w:rP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04FD45A5" w14:textId="77777777" w:rsidR="004B2808" w:rsidRDefault="00000000">
      <w:pPr>
        <w:pStyle w:val="Author-eListParagraph"/>
        <w:numPr>
          <w:ilvl w:val="0"/>
          <w:numId w:val="1031"/>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03658B02" w14:textId="77777777" w:rsidR="004B2808" w:rsidRDefault="00000000">
      <w:pPr>
        <w:pStyle w:val="heading"/>
      </w:pPr>
      <w:r>
        <w:lastRenderedPageBreak/>
        <w:t>Options (biffer la mention inutile) ensembles de porte / résistant au feu - porte pleine / huisserie en acier</w:t>
      </w:r>
    </w:p>
    <w:p w14:paraId="69928AD0" w14:textId="77777777" w:rsidR="004B2808" w:rsidRDefault="00000000">
      <w:r>
        <w:t xml:space="preserve">Conformément aux indications sur le plan ou les dessins de détail, les vantaux de porte suivants </w:t>
      </w:r>
      <w:r>
        <w:rPr>
          <w:rStyle w:val="optioncarChar"/>
        </w:rPr>
        <w:t xml:space="preserve">*** </w:t>
      </w:r>
      <w:r>
        <w:t>sont :</w:t>
      </w:r>
    </w:p>
    <w:p w14:paraId="35E44B85" w14:textId="77777777" w:rsidR="004B2808" w:rsidRDefault="00000000">
      <w:pPr>
        <w:pStyle w:val="Author-eListParagraph"/>
        <w:numPr>
          <w:ilvl w:val="0"/>
          <w:numId w:val="1032"/>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1231EDC2" w14:textId="77777777" w:rsidR="004B2808" w:rsidRDefault="00000000">
      <w:pPr>
        <w:pStyle w:val="Author-eListParagraph"/>
        <w:numPr>
          <w:ilvl w:val="0"/>
          <w:numId w:val="1032"/>
        </w:numPr>
      </w:pPr>
      <w:r>
        <w:t xml:space="preserve">Equipés d'un vitrage résistant au feu en verre de sécurité conforme au rapport d'essai. Une réservation est faite dans le vantail de porte : </w:t>
      </w:r>
      <w:r>
        <w:rPr>
          <w:rStyle w:val="optioncarChar"/>
        </w:rPr>
        <w:t>rectangulaire</w:t>
      </w:r>
      <w:r>
        <w:t> (par défaut)</w:t>
      </w:r>
      <w:r>
        <w:rPr>
          <w:rStyle w:val="optioncarChar"/>
        </w:rPr>
        <w:t xml:space="preserve"> / ronde / ***</w:t>
      </w:r>
      <w:r>
        <w:t xml:space="preserve"> ,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207AE70C" w14:textId="77777777" w:rsidR="004B2808"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25FE7A59" w14:textId="77777777" w:rsidR="004B2808" w:rsidRDefault="00000000">
      <w:pPr>
        <w:pStyle w:val="Author-eListParagraph"/>
        <w:numPr>
          <w:ilvl w:val="0"/>
          <w:numId w:val="1033"/>
        </w:numPr>
      </w:pPr>
      <w:r>
        <w:t xml:space="preserve">Pourvus d'une imposte </w:t>
      </w:r>
      <w:r>
        <w:rPr>
          <w:rStyle w:val="optioncarChar"/>
        </w:rPr>
        <w:t>avec</w:t>
      </w:r>
      <w:r>
        <w:t> (par défaut)</w:t>
      </w:r>
      <w:r>
        <w:rPr>
          <w:rStyle w:val="optioncarChar"/>
        </w:rPr>
        <w:t xml:space="preserve"> / sans / *** </w:t>
      </w:r>
      <w:r>
        <w:t>traverse intermédiaire.</w:t>
      </w:r>
    </w:p>
    <w:p w14:paraId="2EA86AA5" w14:textId="77777777" w:rsidR="004B2808" w:rsidRDefault="00000000">
      <w:pPr>
        <w:pStyle w:val="Author-eListParagraph"/>
        <w:numPr>
          <w:ilvl w:val="0"/>
          <w:numId w:val="1033"/>
        </w:numPr>
      </w:pPr>
      <w:r>
        <w:t>Pourvus d'une bande brise-bise et butoir continue.</w:t>
      </w:r>
    </w:p>
    <w:p w14:paraId="0E100C45" w14:textId="77777777" w:rsidR="004B2808" w:rsidRDefault="00000000">
      <w:pPr>
        <w:pStyle w:val="Author-eListParagraph"/>
        <w:numPr>
          <w:ilvl w:val="0"/>
          <w:numId w:val="1033"/>
        </w:numPr>
      </w:pPr>
      <w:r>
        <w:t xml:space="preserve">Pourvus d'un cadre approprié pour la fixation d'un ferme-porte, prévu à l'art. </w:t>
      </w:r>
      <w:hyperlink w:anchor="1325" w:history="1">
        <w:r w:rsidR="004B2808">
          <w:rPr>
            <w:color w:val="0000EE"/>
          </w:rPr>
          <w:t>55.62.5 Système de fermeture</w:t>
        </w:r>
      </w:hyperlink>
    </w:p>
    <w:p w14:paraId="18B35BC1" w14:textId="77777777" w:rsidR="004B2808" w:rsidRDefault="00000000">
      <w:pPr>
        <w:pStyle w:val="Author-eListParagraph"/>
        <w:numPr>
          <w:ilvl w:val="0"/>
          <w:numId w:val="1033"/>
        </w:numPr>
      </w:pPr>
      <w:r>
        <w:t xml:space="preserve">Conçus comme portes </w:t>
      </w:r>
      <w:r>
        <w:rPr>
          <w:rStyle w:val="optioncarChar"/>
        </w:rPr>
        <w:t>va-et-vient</w:t>
      </w:r>
      <w:r>
        <w:t> (par défaut)</w:t>
      </w:r>
      <w:r>
        <w:rPr>
          <w:rStyle w:val="optioncarChar"/>
        </w:rPr>
        <w:t xml:space="preserve"> / pivotantes / ***</w:t>
      </w:r>
      <w:r>
        <w:t xml:space="preserve"> . Elles se composent de </w:t>
      </w:r>
      <w:r>
        <w:rPr>
          <w:rStyle w:val="optioncarChar"/>
        </w:rPr>
        <w:t>un panneau</w:t>
      </w:r>
      <w:r>
        <w:t xml:space="preserve"> (par défaut)</w:t>
      </w:r>
      <w:r>
        <w:rPr>
          <w:rStyle w:val="optioncarChar"/>
        </w:rPr>
        <w:t> / deux panneaux / *** </w:t>
      </w:r>
      <w:r>
        <w:t>, les vantaux des portes et les huisseries sont semblables aux portes ouvrantes ordinaires, seul le mode de suspension et les quincailleries correspondantes sont adaptés au concept des portes battantes.</w:t>
      </w:r>
    </w:p>
    <w:p w14:paraId="33D3C6CB" w14:textId="77777777" w:rsidR="004B2808" w:rsidRDefault="00000000">
      <w:pPr>
        <w:pStyle w:val="pheading"/>
      </w:pPr>
      <w:r>
        <w:t>MESURAGE</w:t>
      </w:r>
    </w:p>
    <w:p w14:paraId="5E7E1EC1" w14:textId="77777777" w:rsidR="004B2808" w:rsidRDefault="00000000">
      <w:r>
        <w:t>Conformément aux indications spécifiques dans le cahier spécial des charges et/ou le métré récapitulatif, le mesurage peut être conçu comme suit, en fonction de la nature des portes intérieures :</w:t>
      </w:r>
    </w:p>
    <w:p w14:paraId="276EB71E" w14:textId="77777777" w:rsidR="004B2808" w:rsidRDefault="00000000">
      <w:pPr>
        <w:pStyle w:val="pheading"/>
      </w:pPr>
      <w:r>
        <w:t>- unité de mesure:</w:t>
      </w:r>
    </w:p>
    <w:p w14:paraId="5D73CE0B" w14:textId="77777777" w:rsidR="004B2808" w:rsidRDefault="00000000">
      <w:r>
        <w:t>p</w:t>
      </w:r>
    </w:p>
    <w:p w14:paraId="3EB45529" w14:textId="77777777" w:rsidR="004B2808" w:rsidRDefault="00000000">
      <w:pPr>
        <w:pStyle w:val="pheading"/>
      </w:pPr>
      <w:r>
        <w:t>- code de mesurage:</w:t>
      </w:r>
    </w:p>
    <w:p w14:paraId="2733E594" w14:textId="77777777" w:rsidR="004B2808" w:rsidRDefault="00000000">
      <w:r>
        <w:t>Choix opéré:</w:t>
      </w:r>
      <w:r>
        <w:rPr>
          <w:rStyle w:val="optioncarChar"/>
          <w:b/>
        </w:rPr>
        <w:t>*** / OPTION 1 (un ensemble)</w:t>
      </w:r>
      <w:r>
        <w:t> (par défaut)</w:t>
      </w:r>
      <w:r>
        <w:rPr>
          <w:rStyle w:val="optioncarChar"/>
          <w:b/>
        </w:rPr>
        <w:t xml:space="preserve"> / OPTION 2 (séparément)</w:t>
      </w:r>
    </w:p>
    <w:p w14:paraId="0CFB36E2" w14:textId="77777777" w:rsidR="004B2808"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14:paraId="1C7546F5" w14:textId="77777777" w:rsidR="004B2808" w:rsidRDefault="00000000">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w:t>
      </w:r>
      <w:r>
        <w:t> (par défaut)</w:t>
      </w:r>
      <w:r>
        <w:rPr>
          <w:rStyle w:val="optioncarChar"/>
        </w:rPr>
        <w:t xml:space="preserve">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r>
      <w:r>
        <w:lastRenderedPageBreak/>
        <w:t>le cas échéant, ventilé selon le type ou le modèle, ventilé selon les dimensions des portes (indépendamment de la hauteur) et l'épaisseur des cloisons intérieures (</w:t>
      </w:r>
      <w:r>
        <w:rPr>
          <w:rStyle w:val="optioncarChar"/>
        </w:rPr>
        <w:t xml:space="preserve">7 </w:t>
      </w:r>
      <w:r>
        <w:t>(par défaut) </w:t>
      </w:r>
      <w:r>
        <w:rPr>
          <w:rStyle w:val="optioncarChar"/>
        </w:rPr>
        <w:t>/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5A2FEA16" w14:textId="77777777" w:rsidR="004B2808" w:rsidRDefault="00000000">
      <w:r>
        <w:rPr>
          <w:u w:val="single"/>
        </w:rPr>
        <w:t xml:space="preserve">Attention </w:t>
      </w:r>
    </w:p>
    <w:p w14:paraId="7B3439F6" w14:textId="77777777" w:rsidR="004B2808" w:rsidRDefault="00000000">
      <w:pPr>
        <w:pStyle w:val="Author-eListParagraph"/>
        <w:numPr>
          <w:ilvl w:val="0"/>
          <w:numId w:val="1034"/>
        </w:numPr>
      </w:pPr>
      <w:r>
        <w:t>Les vantaux de portes de 630 - 730 et 830 mm de largeur peuvent être pris ensemble pour le mesurage.</w:t>
      </w:r>
    </w:p>
    <w:p w14:paraId="1DA088C2" w14:textId="77777777" w:rsidR="004B2808" w:rsidRDefault="00000000">
      <w:pPr>
        <w:pStyle w:val="Author-eListParagraph"/>
        <w:numPr>
          <w:ilvl w:val="0"/>
          <w:numId w:val="1034"/>
        </w:numPr>
      </w:pPr>
      <w:r>
        <w:t>Les quincailleries dont la fourniture et la mise en œuvre sont comprises peuvent être décrites dans d'autres postes mais sont toujours comprises dans le prix des portes.</w:t>
      </w:r>
    </w:p>
    <w:p w14:paraId="32AB2DA7" w14:textId="77777777" w:rsidR="004B2808" w:rsidRDefault="00000000">
      <w:pPr>
        <w:pStyle w:val="pheading"/>
      </w:pPr>
      <w:r>
        <w:t>- nature du marché:</w:t>
      </w:r>
    </w:p>
    <w:p w14:paraId="6C033BD4" w14:textId="77777777" w:rsidR="004B2808" w:rsidRDefault="00000000">
      <w:r>
        <w:t>QF</w:t>
      </w:r>
    </w:p>
    <w:p w14:paraId="531B1DE3" w14:textId="77777777" w:rsidR="004B2808" w:rsidRDefault="00000000">
      <w:pPr>
        <w:pStyle w:val="Author-eSectionHeading6Numberless"/>
      </w:pPr>
      <w:bookmarkStart w:id="1086" w:name="_Toc220491213"/>
      <w:r>
        <w:t>55.21.8h Portes intérieures en bois lamellé collé + isolant + finition PVC CCTB 01.10</w:t>
      </w:r>
      <w:bookmarkEnd w:id="1086"/>
    </w:p>
    <w:p w14:paraId="525680A1" w14:textId="77777777" w:rsidR="004B2808" w:rsidRDefault="00000000">
      <w:pPr>
        <w:pStyle w:val="pheading"/>
      </w:pPr>
      <w:r>
        <w:t>MATÉRIAUX</w:t>
      </w:r>
    </w:p>
    <w:p w14:paraId="5B91814B" w14:textId="77777777" w:rsidR="004B2808" w:rsidRDefault="00000000">
      <w:pPr>
        <w:pStyle w:val="pheading"/>
      </w:pPr>
      <w:r>
        <w:t>- Prescriptions complémentaires</w:t>
      </w:r>
    </w:p>
    <w:p w14:paraId="781A0E28" w14:textId="77777777" w:rsidR="004B2808" w:rsidRDefault="00000000">
      <w:pPr>
        <w:pStyle w:val="heading"/>
      </w:pPr>
      <w:r>
        <w:t>(critères de performance)  Vantaux de porte</w:t>
      </w:r>
    </w:p>
    <w:p w14:paraId="1A9E14A9" w14:textId="77777777" w:rsidR="004B2808" w:rsidRDefault="00000000">
      <w:r>
        <w:t>Conformément aux indications supplémentaires dans le cahier spécial des charges, les dispositions supplémentaires suivantes sont d'application :</w:t>
      </w:r>
    </w:p>
    <w:p w14:paraId="3D8B6240" w14:textId="77777777" w:rsidR="004B2808" w:rsidRDefault="00000000">
      <w:pPr>
        <w:pStyle w:val="Author-eListParagraph"/>
        <w:numPr>
          <w:ilvl w:val="0"/>
          <w:numId w:val="1035"/>
        </w:numPr>
      </w:pPr>
      <w:r>
        <w:t>Les dispositions des [STS 53.1] pour les portes intérieures planes dans les salles de bains et les autres locaux humides.</w:t>
      </w:r>
    </w:p>
    <w:p w14:paraId="2744F656" w14:textId="77777777" w:rsidR="004B2808" w:rsidRDefault="00000000">
      <w:r>
        <w:br/>
        <w:t>Attention  : Les ensembles de porte résistant au feu sont toujours considérés dans un poste séparé.</w:t>
      </w:r>
    </w:p>
    <w:p w14:paraId="1BAB06DA" w14:textId="77777777" w:rsidR="004B2808" w:rsidRDefault="00000000">
      <w:pPr>
        <w:pStyle w:val="heading"/>
      </w:pPr>
      <w:r>
        <w:t>(Accessoires) Vantaux de porte</w:t>
      </w:r>
    </w:p>
    <w:p w14:paraId="0B32A939"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3192A2E2" w14:textId="77777777" w:rsidR="004B2808" w:rsidRDefault="00000000">
      <w:pPr>
        <w:pStyle w:val="Author-eListParagraph"/>
        <w:numPr>
          <w:ilvl w:val="0"/>
          <w:numId w:val="1036"/>
        </w:numPr>
      </w:pPr>
      <w:r>
        <w:t>Equipés d'un vitrage :</w:t>
      </w:r>
    </w:p>
    <w:p w14:paraId="617F9443" w14:textId="77777777" w:rsidR="004B2808" w:rsidRDefault="00000000">
      <w:pPr>
        <w:pStyle w:val="Author-eListParagraph"/>
        <w:numPr>
          <w:ilvl w:val="0"/>
          <w:numId w:val="1036"/>
        </w:numPr>
      </w:pPr>
      <w:r>
        <w:t xml:space="preserve">En verre de sécurité </w:t>
      </w:r>
      <w:r>
        <w:rPr>
          <w:rStyle w:val="optioncarChar"/>
        </w:rPr>
        <w:t>simple</w:t>
      </w:r>
      <w:r>
        <w:t xml:space="preserve"> (par défaut) </w:t>
      </w:r>
      <w:r>
        <w:rPr>
          <w:rStyle w:val="optioncarChar"/>
        </w:rPr>
        <w:t>/ clair / mat / opale / ***</w:t>
      </w:r>
      <w:r>
        <w:t xml:space="preserve"> , selon la [NBN S 23-002]</w:t>
      </w:r>
    </w:p>
    <w:p w14:paraId="7667B836" w14:textId="77777777" w:rsidR="004B2808" w:rsidRDefault="00000000">
      <w:pPr>
        <w:pStyle w:val="Author-eListParagraph"/>
        <w:numPr>
          <w:ilvl w:val="0"/>
          <w:numId w:val="1036"/>
        </w:numPr>
      </w:pPr>
      <w:r>
        <w:t xml:space="preserve">Réservation dans le vantail de porte : </w:t>
      </w:r>
      <w:r>
        <w:rPr>
          <w:rStyle w:val="optioncarChar"/>
        </w:rPr>
        <w:t>rectangulaire </w:t>
      </w:r>
      <w:r>
        <w:t>(par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0412E2B6" w14:textId="77777777" w:rsidR="004B2808" w:rsidRDefault="00000000">
      <w:pPr>
        <w:pStyle w:val="Author-eListParagraph"/>
        <w:numPr>
          <w:ilvl w:val="0"/>
          <w:numId w:val="1036"/>
        </w:numPr>
      </w:pPr>
      <w:r>
        <w:t xml:space="preserve">Fixation de la vitre dans la réservation à l'aide de : </w:t>
      </w:r>
      <w:r>
        <w:rPr>
          <w:rStyle w:val="optioncarChar"/>
        </w:rPr>
        <w:t>mastic plastique</w:t>
      </w:r>
      <w:r>
        <w:t xml:space="preserve"> (par défaut)</w:t>
      </w:r>
      <w:r>
        <w:rPr>
          <w:rStyle w:val="optioncarChar"/>
        </w:rPr>
        <w:t> / profils de fixation à enclenchement en PVC / ***</w:t>
      </w:r>
    </w:p>
    <w:p w14:paraId="63901397" w14:textId="77777777" w:rsidR="004B2808" w:rsidRDefault="00000000">
      <w:pPr>
        <w:pStyle w:val="Author-eListParagraph"/>
        <w:numPr>
          <w:ilvl w:val="0"/>
          <w:numId w:val="1036"/>
        </w:numPr>
      </w:pPr>
      <w:r>
        <w:t xml:space="preserve">Les vitres sont encadrées par : </w:t>
      </w:r>
      <w:r>
        <w:rPr>
          <w:rStyle w:val="optioncarChar"/>
        </w:rPr>
        <w:t>des lattes en bois dur, finition prête à peindre</w:t>
      </w:r>
      <w:r>
        <w:t> (par défaut)</w:t>
      </w:r>
      <w:r>
        <w:rPr>
          <w:rStyle w:val="optioncarChar"/>
        </w:rPr>
        <w:t xml:space="preserve"> / ***.</w:t>
      </w:r>
    </w:p>
    <w:p w14:paraId="294C7FE4" w14:textId="77777777" w:rsidR="004B2808" w:rsidRDefault="00000000">
      <w:pPr>
        <w:pStyle w:val="Author-eListParagraph"/>
        <w:numPr>
          <w:ilvl w:val="0"/>
          <w:numId w:val="1036"/>
        </w:numPr>
      </w:pPr>
      <w:r>
        <w:t xml:space="preserve">Pourvus d'une grille encastrée, selon l'article </w:t>
      </w:r>
      <w:hyperlink w:anchor="1322" w:history="1">
        <w:r w:rsidR="004B2808">
          <w:rPr>
            <w:color w:val="0000EE"/>
          </w:rPr>
          <w:t>55.68.1 Grilles de transfert dans les portes</w:t>
        </w:r>
      </w:hyperlink>
      <w:r>
        <w:t xml:space="preserve"> grilles de transfert dans les portes, ouverture d'aération conformément à la [NBN D 50-001]</w:t>
      </w:r>
    </w:p>
    <w:p w14:paraId="76D32737" w14:textId="77777777" w:rsidR="004B2808" w:rsidRDefault="00000000">
      <w:pPr>
        <w:pStyle w:val="Author-eListParagraph"/>
        <w:numPr>
          <w:ilvl w:val="0"/>
          <w:numId w:val="1036"/>
        </w:numPr>
      </w:pPr>
      <w:r>
        <w:t xml:space="preserve">Pourvus d'une fente de ventilation d'environ </w:t>
      </w:r>
      <w:r>
        <w:rPr>
          <w:rStyle w:val="optioncarChar"/>
        </w:rPr>
        <w:t>1</w:t>
      </w:r>
      <w:r>
        <w:t> (par défaut) </w:t>
      </w:r>
      <w:r>
        <w:rPr>
          <w:rStyle w:val="optioncarChar"/>
        </w:rPr>
        <w:t>/ ***</w:t>
      </w:r>
      <w:r>
        <w:t xml:space="preserve"> cm dans le bas, de façon telle que l'ouverture d'aération soit conformé à la [NBN D 50-001]</w:t>
      </w:r>
    </w:p>
    <w:p w14:paraId="1D945D92" w14:textId="77777777" w:rsidR="004B2808" w:rsidRDefault="00000000">
      <w:pPr>
        <w:pStyle w:val="Author-eListParagraph"/>
        <w:numPr>
          <w:ilvl w:val="0"/>
          <w:numId w:val="1036"/>
        </w:numPr>
      </w:pPr>
      <w:r>
        <w:t>Conçues comme portes coulissantes (les vantaux de porte et les huisseries sont conformes aux portes ouvrantes ordinaires. Seuls le mode de suspension et la quincaillerie concernée sont adaptés au concept des vantaux de porte coulissants).</w:t>
      </w:r>
    </w:p>
    <w:p w14:paraId="5FD675CA" w14:textId="77777777" w:rsidR="004B2808" w:rsidRDefault="00000000">
      <w:pPr>
        <w:pStyle w:val="Author-eListParagraph"/>
        <w:numPr>
          <w:ilvl w:val="0"/>
          <w:numId w:val="1036"/>
        </w:numPr>
      </w:pPr>
      <w:r>
        <w:t xml:space="preserve">Portes coulissantes </w:t>
      </w:r>
      <w:r>
        <w:rPr>
          <w:rStyle w:val="optioncarChar"/>
        </w:rPr>
        <w:t>simples</w:t>
      </w:r>
      <w:r>
        <w:t> (par défaut)</w:t>
      </w:r>
      <w:r>
        <w:rPr>
          <w:rStyle w:val="optioncarChar"/>
        </w:rPr>
        <w:t xml:space="preserve"> / doubles / ***</w:t>
      </w:r>
    </w:p>
    <w:p w14:paraId="4171B8B9" w14:textId="77777777" w:rsidR="004B2808" w:rsidRDefault="00000000">
      <w:pPr>
        <w:pStyle w:val="Author-eListParagraph"/>
        <w:numPr>
          <w:ilvl w:val="0"/>
          <w:numId w:val="1036"/>
        </w:numPr>
      </w:pPr>
      <w:r>
        <w:t>Composées de</w:t>
      </w:r>
      <w:r>
        <w:rPr>
          <w:rStyle w:val="optioncarChar"/>
        </w:rPr>
        <w:t> un panneau </w:t>
      </w:r>
      <w:r>
        <w:t>(par défaut)</w:t>
      </w:r>
      <w:r>
        <w:rPr>
          <w:rStyle w:val="optioncarChar"/>
        </w:rPr>
        <w:t> / deux panneaux / ***</w:t>
      </w:r>
    </w:p>
    <w:p w14:paraId="42C87217" w14:textId="77777777" w:rsidR="004B2808" w:rsidRDefault="00000000">
      <w:pPr>
        <w:pStyle w:val="Author-eListParagraph"/>
        <w:numPr>
          <w:ilvl w:val="0"/>
          <w:numId w:val="1036"/>
        </w:numPr>
      </w:pPr>
      <w:r>
        <w:t>Mécanisme de coulisse : rails en acier galvanisé; galets en nylon de première qualité; type et modèle en fonction du type et du poids des vantaux coulissants.</w:t>
      </w:r>
    </w:p>
    <w:p w14:paraId="1ECDB0E0" w14:textId="77777777" w:rsidR="004B2808" w:rsidRDefault="00000000">
      <w:pPr>
        <w:pStyle w:val="Author-eListParagraph"/>
        <w:numPr>
          <w:ilvl w:val="0"/>
          <w:numId w:val="1036"/>
        </w:numPr>
      </w:pPr>
      <w:r>
        <w:t xml:space="preserve">Conçues comme </w:t>
      </w:r>
      <w:r>
        <w:rPr>
          <w:rStyle w:val="optioncarChar"/>
        </w:rPr>
        <w:t>portes battantes </w:t>
      </w:r>
      <w:r>
        <w:t xml:space="preserve">(par défaut) </w:t>
      </w:r>
      <w:r>
        <w:rPr>
          <w:rStyle w:val="optioncarChar"/>
        </w:rPr>
        <w:t>/ pivotantes / *** </w:t>
      </w:r>
      <w:r>
        <w:t xml:space="preserve">(les vantaux de porte et les huisseries sont conformes aux portes ouvrantes ordinaires. Seuls le mode de suspension et </w:t>
      </w:r>
      <w:r>
        <w:lastRenderedPageBreak/>
        <w:t xml:space="preserve">la quincaillerie concernée sont adaptés au concept des vantaux de porte </w:t>
      </w:r>
      <w:r>
        <w:rPr>
          <w:rStyle w:val="optioncarChar"/>
        </w:rPr>
        <w:t>battante</w:t>
      </w:r>
      <w:r>
        <w:t xml:space="preserve"> (par défaut) </w:t>
      </w:r>
      <w:r>
        <w:rPr>
          <w:rStyle w:val="optioncarChar"/>
        </w:rPr>
        <w:t>/ pivotante / ***</w:t>
      </w:r>
      <w:r>
        <w:t>)</w:t>
      </w:r>
    </w:p>
    <w:p w14:paraId="54075704" w14:textId="77777777" w:rsidR="004B2808" w:rsidRDefault="00000000">
      <w:pPr>
        <w:pStyle w:val="Author-eListParagraph"/>
        <w:numPr>
          <w:ilvl w:val="0"/>
          <w:numId w:val="1036"/>
        </w:numPr>
      </w:pPr>
      <w:r>
        <w:t xml:space="preserve">Composées de </w:t>
      </w:r>
      <w:r>
        <w:rPr>
          <w:rStyle w:val="optioncarChar"/>
        </w:rPr>
        <w:t>un panneau (par défaut) / deux panneaux / ***</w:t>
      </w:r>
    </w:p>
    <w:p w14:paraId="38A225E5" w14:textId="77777777" w:rsidR="004B2808" w:rsidRDefault="00000000">
      <w:pPr>
        <w:pStyle w:val="heading"/>
      </w:pPr>
      <w:r>
        <w:t>Ensembles de porte / résistant au feu</w:t>
      </w:r>
    </w:p>
    <w:p w14:paraId="3F949C2E"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43387052" w14:textId="77777777" w:rsidR="004B2808" w:rsidRDefault="00000000">
      <w:pPr>
        <w:pStyle w:val="Author-eListParagraph"/>
        <w:numPr>
          <w:ilvl w:val="0"/>
          <w:numId w:val="1037"/>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6739CAEF" w14:textId="77777777" w:rsidR="004B2808" w:rsidRDefault="00000000">
      <w:pPr>
        <w:pStyle w:val="Author-eListParagraph"/>
        <w:numPr>
          <w:ilvl w:val="0"/>
          <w:numId w:val="1037"/>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w:t>
      </w:r>
      <w:r>
        <w:t xml:space="preserve"> comme les chanlattes. Le vitrage est toujours délimité sur toute sa périphérie par des sections en bois plein d'une largeur minimale de 140 mm pour les côtés et au-dessus et de 220 mm dans le bas.</w:t>
      </w:r>
    </w:p>
    <w:p w14:paraId="2F2B282A" w14:textId="77777777" w:rsidR="004B2808"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25B097F8" w14:textId="77777777" w:rsidR="004B2808" w:rsidRDefault="00000000">
      <w:pPr>
        <w:pStyle w:val="Author-eListParagraph"/>
        <w:numPr>
          <w:ilvl w:val="0"/>
          <w:numId w:val="1038"/>
        </w:numPr>
      </w:pPr>
      <w:r>
        <w:t xml:space="preserve">Pourvus d'une imposte </w:t>
      </w:r>
      <w:r>
        <w:rPr>
          <w:rStyle w:val="optioncarChar"/>
        </w:rPr>
        <w:t>avec</w:t>
      </w:r>
      <w:r>
        <w:t> (par défaut)</w:t>
      </w:r>
      <w:r>
        <w:rPr>
          <w:rStyle w:val="optioncarChar"/>
        </w:rPr>
        <w:t xml:space="preserve"> / sans / *** </w:t>
      </w:r>
      <w:r>
        <w:t>traverse intermédiaire.</w:t>
      </w:r>
    </w:p>
    <w:p w14:paraId="02C2CE3A" w14:textId="77777777" w:rsidR="004B2808" w:rsidRDefault="00000000">
      <w:pPr>
        <w:pStyle w:val="Author-eListParagraph"/>
        <w:numPr>
          <w:ilvl w:val="0"/>
          <w:numId w:val="1038"/>
        </w:numPr>
      </w:pPr>
      <w:r>
        <w:t>Pourvus d'une bande brise-bise et butoir continue.</w:t>
      </w:r>
    </w:p>
    <w:p w14:paraId="066E4557" w14:textId="77777777" w:rsidR="004B2808" w:rsidRDefault="00000000">
      <w:pPr>
        <w:pStyle w:val="Author-eListParagraph"/>
        <w:numPr>
          <w:ilvl w:val="0"/>
          <w:numId w:val="1038"/>
        </w:numPr>
      </w:pPr>
      <w:r>
        <w:t xml:space="preserve">Pourvus d'un cadre approprié pour la fixation d'un ferme-porte, prévu à l'art. </w:t>
      </w:r>
      <w:hyperlink w:anchor="1325" w:history="1">
        <w:r w:rsidR="004B2808">
          <w:rPr>
            <w:color w:val="0000EE"/>
          </w:rPr>
          <w:t>55.62.5 Système de fermeture</w:t>
        </w:r>
      </w:hyperlink>
    </w:p>
    <w:p w14:paraId="4F66CBE9" w14:textId="77777777" w:rsidR="004B2808" w:rsidRDefault="00000000">
      <w:pPr>
        <w:pStyle w:val="Author-eListParagraph"/>
        <w:numPr>
          <w:ilvl w:val="0"/>
          <w:numId w:val="1038"/>
        </w:numPr>
      </w:pPr>
      <w:r>
        <w:t xml:space="preserve">Conçus comme portes </w:t>
      </w:r>
      <w:r>
        <w:rPr>
          <w:rStyle w:val="optioncarChar"/>
        </w:rPr>
        <w:t>va-et-vient</w:t>
      </w:r>
      <w:r>
        <w:t> (par défaut)</w:t>
      </w:r>
      <w:r>
        <w:rPr>
          <w:rStyle w:val="optioncarChar"/>
        </w:rPr>
        <w:t xml:space="preserve"> / pivotantes / *** </w:t>
      </w:r>
      <w:r>
        <w:t xml:space="preserve">. Elles se composent de </w:t>
      </w:r>
      <w:r>
        <w:rPr>
          <w:rStyle w:val="optioncarChar"/>
        </w:rPr>
        <w:t>un panneau</w:t>
      </w:r>
      <w:r>
        <w:t xml:space="preserve"> (par défaut) </w:t>
      </w:r>
      <w:r>
        <w:rPr>
          <w:rStyle w:val="optioncarChar"/>
        </w:rPr>
        <w:t>/ deux panneaux / ***</w:t>
      </w:r>
      <w:r>
        <w:t xml:space="preserve"> , les vantaux des portes et les huisseries sont semblables aux portes ouvrantes ordinaires, seul le mode de suspension et les quincailleries correspondantes sont adaptés au concept des portes battantes.</w:t>
      </w:r>
    </w:p>
    <w:p w14:paraId="35A9880C" w14:textId="77777777" w:rsidR="004B2808" w:rsidRDefault="00000000">
      <w:pPr>
        <w:pStyle w:val="Author-eListParagraph"/>
        <w:numPr>
          <w:ilvl w:val="0"/>
          <w:numId w:val="1038"/>
        </w:numPr>
      </w:pPr>
      <w:r>
        <w:t>L'ensemble porte résistant au feu est conforme à la [NIT 234].</w:t>
      </w:r>
    </w:p>
    <w:p w14:paraId="43D4F9D1" w14:textId="77777777" w:rsidR="004B2808" w:rsidRDefault="00000000">
      <w:pPr>
        <w:pStyle w:val="heading"/>
      </w:pPr>
      <w:r>
        <w:t>Options (biffer la mention inutile) huisseries de portes - bois</w:t>
      </w:r>
    </w:p>
    <w:p w14:paraId="5C80AF60" w14:textId="77777777" w:rsidR="004B2808" w:rsidRDefault="00000000">
      <w:pPr>
        <w:pStyle w:val="Author-eListParagraph"/>
        <w:numPr>
          <w:ilvl w:val="0"/>
          <w:numId w:val="1039"/>
        </w:numPr>
      </w:pPr>
      <w:r>
        <w:t xml:space="preserve">Les portes sont conçues comme un châssis à pose affleurante jusqu'au plafond (avec </w:t>
      </w:r>
      <w:r>
        <w:rPr>
          <w:rStyle w:val="optioncarChar"/>
        </w:rPr>
        <w:t>vantaux vitrés </w:t>
      </w:r>
      <w:r>
        <w:t>(par défaut)</w:t>
      </w:r>
      <w:r>
        <w:rPr>
          <w:rStyle w:val="optioncarChar"/>
        </w:rPr>
        <w:t xml:space="preserve"> / imposte / ***</w:t>
      </w:r>
      <w:r>
        <w:t xml:space="preserve">). La feuillure des portes est embrevée sur une profondeur de </w:t>
      </w:r>
      <w:r>
        <w:rPr>
          <w:rStyle w:val="optioncarChar"/>
        </w:rPr>
        <w:t>10 </w:t>
      </w:r>
      <w:r>
        <w:t>(par défaut)</w:t>
      </w:r>
      <w:r>
        <w:rPr>
          <w:rStyle w:val="optioncarChar"/>
        </w:rPr>
        <w:t xml:space="preserve"> / *** </w:t>
      </w:r>
      <w:r>
        <w:t>mm dans le chambranle. Les ébrasements latéraux vont jusqu'au plafond, la traverse supérieure horizontale est :</w:t>
      </w:r>
      <w:r>
        <w:rPr>
          <w:rStyle w:val="optioncarChar"/>
        </w:rPr>
        <w:t> posée aussi près que possible du plafond </w:t>
      </w:r>
      <w:r>
        <w:t>(par défaut)</w:t>
      </w:r>
      <w:r>
        <w:rPr>
          <w:rStyle w:val="optioncarChar"/>
        </w:rPr>
        <w:t xml:space="preserve"> / absente / ***</w:t>
      </w:r>
    </w:p>
    <w:p w14:paraId="4FD4D7A8" w14:textId="77777777" w:rsidR="004B2808" w:rsidRDefault="00000000">
      <w:pPr>
        <w:pStyle w:val="Author-eListParagraph"/>
        <w:numPr>
          <w:ilvl w:val="0"/>
          <w:numId w:val="1039"/>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33622372" w14:textId="77777777" w:rsidR="004B2808" w:rsidRDefault="00000000">
      <w:pPr>
        <w:pStyle w:val="Author-eListParagraph"/>
        <w:numPr>
          <w:ilvl w:val="0"/>
          <w:numId w:val="1039"/>
        </w:numPr>
      </w:pPr>
      <w:r>
        <w:t xml:space="preserve">Les impostes sont fabriquées dans un morceau de vantail de porte, conformément à la description de l'article </w:t>
      </w:r>
      <w:hyperlink w:anchor="1315" w:history="1">
        <w:r w:rsidR="004B2808">
          <w:rPr>
            <w:color w:val="0000EE"/>
          </w:rP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56F696F7" w14:textId="77777777" w:rsidR="004B2808" w:rsidRDefault="00000000">
      <w:pPr>
        <w:pStyle w:val="Author-eListParagraph"/>
        <w:numPr>
          <w:ilvl w:val="0"/>
          <w:numId w:val="1039"/>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4D0A77AB" w14:textId="77777777" w:rsidR="004B2808" w:rsidRDefault="00000000">
      <w:pPr>
        <w:pStyle w:val="heading"/>
      </w:pPr>
      <w:r>
        <w:lastRenderedPageBreak/>
        <w:t>Options (biffer la mention inutile) ensembles de porte / résistant au feu - porte pleine / huisserie en acier</w:t>
      </w:r>
    </w:p>
    <w:p w14:paraId="259DB137" w14:textId="77777777" w:rsidR="004B2808" w:rsidRDefault="00000000">
      <w:r>
        <w:t xml:space="preserve">Conformément aux indications sur le plan ou les dessins de détail, les vantaux de porte suivants </w:t>
      </w:r>
      <w:r>
        <w:rPr>
          <w:rStyle w:val="optioncarChar"/>
        </w:rPr>
        <w:t xml:space="preserve">*** </w:t>
      </w:r>
      <w:r>
        <w:t>sont :</w:t>
      </w:r>
    </w:p>
    <w:p w14:paraId="2DA45982" w14:textId="77777777" w:rsidR="004B2808" w:rsidRDefault="00000000">
      <w:pPr>
        <w:pStyle w:val="Author-eListParagraph"/>
        <w:numPr>
          <w:ilvl w:val="0"/>
          <w:numId w:val="1040"/>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150A917E" w14:textId="77777777" w:rsidR="004B2808" w:rsidRDefault="00000000">
      <w:pPr>
        <w:pStyle w:val="Author-eListParagraph"/>
        <w:numPr>
          <w:ilvl w:val="0"/>
          <w:numId w:val="1040"/>
        </w:numPr>
      </w:pPr>
      <w:r>
        <w:t xml:space="preserve">Equipés d'un vitrage résistant au feu en verre de sécurité conforme au rapport d'essai. Une réservation est faite dans le vantail de porte : </w:t>
      </w:r>
      <w:r>
        <w:rPr>
          <w:rStyle w:val="optioncarChar"/>
        </w:rPr>
        <w:t>rectangulaire</w:t>
      </w:r>
      <w:r>
        <w:t> (par défaut)</w:t>
      </w:r>
      <w:r>
        <w:rPr>
          <w:rStyle w:val="optioncarChar"/>
        </w:rPr>
        <w:t xml:space="preserve"> / ronde / ***</w:t>
      </w:r>
      <w:r>
        <w:t xml:space="preserve"> ,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517C4A44" w14:textId="77777777" w:rsidR="004B2808"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dépasseront pas 0,5 m². Les joints des battées et des parcloses sont obturés avec un matériau gonflant sous l'effet de la chaleur.</w:t>
      </w:r>
    </w:p>
    <w:p w14:paraId="2839F516" w14:textId="77777777" w:rsidR="004B2808" w:rsidRDefault="00000000">
      <w:pPr>
        <w:pStyle w:val="Author-eListParagraph"/>
        <w:numPr>
          <w:ilvl w:val="0"/>
          <w:numId w:val="1041"/>
        </w:numPr>
      </w:pPr>
      <w:r>
        <w:t xml:space="preserve">Pourvus d'une imposte </w:t>
      </w:r>
      <w:r>
        <w:rPr>
          <w:rStyle w:val="optioncarChar"/>
        </w:rPr>
        <w:t>avec </w:t>
      </w:r>
      <w:r>
        <w:t>(par défaut)</w:t>
      </w:r>
      <w:r>
        <w:rPr>
          <w:rStyle w:val="optioncarChar"/>
        </w:rPr>
        <w:t xml:space="preserve"> / sans / *** </w:t>
      </w:r>
      <w:r>
        <w:t>traverse intermédiaire.</w:t>
      </w:r>
    </w:p>
    <w:p w14:paraId="527C136D" w14:textId="77777777" w:rsidR="004B2808" w:rsidRDefault="00000000">
      <w:pPr>
        <w:pStyle w:val="Author-eListParagraph"/>
        <w:numPr>
          <w:ilvl w:val="0"/>
          <w:numId w:val="1041"/>
        </w:numPr>
      </w:pPr>
      <w:r>
        <w:t>Pourvus d'une bande brise-bise et butoir continue.</w:t>
      </w:r>
    </w:p>
    <w:p w14:paraId="7D020C8B" w14:textId="77777777" w:rsidR="004B2808" w:rsidRDefault="00000000">
      <w:pPr>
        <w:pStyle w:val="Author-eListParagraph"/>
        <w:numPr>
          <w:ilvl w:val="0"/>
          <w:numId w:val="1041"/>
        </w:numPr>
      </w:pPr>
      <w:r>
        <w:t xml:space="preserve">Pourvus d'un cadre approprié pour la fixation d'un ferme-porte, prévu à l'art. </w:t>
      </w:r>
      <w:hyperlink w:anchor="1325" w:history="1">
        <w:r w:rsidR="004B2808">
          <w:rPr>
            <w:color w:val="0000EE"/>
          </w:rPr>
          <w:t>55.62.5 Système de fermeture</w:t>
        </w:r>
      </w:hyperlink>
    </w:p>
    <w:p w14:paraId="52A8296E" w14:textId="77777777" w:rsidR="004B2808" w:rsidRDefault="00000000">
      <w:pPr>
        <w:pStyle w:val="Author-eListParagraph"/>
        <w:numPr>
          <w:ilvl w:val="0"/>
          <w:numId w:val="1041"/>
        </w:numPr>
      </w:pPr>
      <w:r>
        <w:t xml:space="preserve">Conçus comme portes </w:t>
      </w:r>
      <w:r>
        <w:rPr>
          <w:rStyle w:val="optioncarChar"/>
        </w:rPr>
        <w:t>va-et-vient </w:t>
      </w:r>
      <w:r>
        <w:t xml:space="preserve">(par défaut) </w:t>
      </w:r>
      <w:r>
        <w:rPr>
          <w:rStyle w:val="optioncarChar"/>
        </w:rPr>
        <w:t>/ pivotantes / ***</w:t>
      </w:r>
      <w:r>
        <w:t xml:space="preserve"> . Elles se composent de </w:t>
      </w:r>
      <w:r>
        <w:rPr>
          <w:rStyle w:val="optioncarChar"/>
        </w:rPr>
        <w:t>un panneau </w:t>
      </w:r>
      <w:r>
        <w:t>(par défaut)</w:t>
      </w:r>
      <w:r>
        <w:rPr>
          <w:rStyle w:val="optioncarChar"/>
        </w:rPr>
        <w:t xml:space="preserve"> / deux panneaux / *** </w:t>
      </w:r>
      <w:r>
        <w:t>, les vantaux des portes et les huisseries sont semblables aux portes ouvrantes ordinaires, seul le mode de suspension et les quincailleries correspondantes sont adaptés au concept des portes battantes.</w:t>
      </w:r>
    </w:p>
    <w:p w14:paraId="184A4165" w14:textId="77777777" w:rsidR="004B2808" w:rsidRDefault="00000000">
      <w:pPr>
        <w:pStyle w:val="pheading"/>
      </w:pPr>
      <w:r>
        <w:t>MESURAGE</w:t>
      </w:r>
    </w:p>
    <w:p w14:paraId="73BB90C3" w14:textId="77777777" w:rsidR="004B2808" w:rsidRDefault="00000000">
      <w:r>
        <w:t>Conformément aux indications spécifiques dans le cahier spécial des charges et/ou le métré récapitulatif, le mesurage peut être conçu comme suit, en fonction de la nature des portes intérieures :</w:t>
      </w:r>
    </w:p>
    <w:p w14:paraId="7DAD7735" w14:textId="77777777" w:rsidR="004B2808" w:rsidRDefault="00000000">
      <w:pPr>
        <w:pStyle w:val="pheading"/>
      </w:pPr>
      <w:r>
        <w:t>- unité de mesure:</w:t>
      </w:r>
    </w:p>
    <w:p w14:paraId="02C31B87" w14:textId="77777777" w:rsidR="004B2808" w:rsidRDefault="00000000">
      <w:r>
        <w:t>p</w:t>
      </w:r>
    </w:p>
    <w:p w14:paraId="1203B37B" w14:textId="77777777" w:rsidR="004B2808" w:rsidRDefault="00000000">
      <w:pPr>
        <w:pStyle w:val="pheading"/>
      </w:pPr>
      <w:r>
        <w:t>- code de mesurage:</w:t>
      </w:r>
    </w:p>
    <w:p w14:paraId="33093A52" w14:textId="77777777" w:rsidR="004B2808" w:rsidRDefault="00000000">
      <w:r>
        <w:t>Choix opéré:</w:t>
      </w:r>
      <w:r>
        <w:rPr>
          <w:rStyle w:val="optioncarChar"/>
          <w:b/>
        </w:rPr>
        <w:t>*** / OPTION 1 (un ensemble) / OPTION 2 (séparément)</w:t>
      </w:r>
    </w:p>
    <w:p w14:paraId="040F34F5" w14:textId="77777777" w:rsidR="004B2808"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14:paraId="566F5453" w14:textId="77777777" w:rsidR="004B2808" w:rsidRDefault="00000000">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r>
      <w:r>
        <w:lastRenderedPageBreak/>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0802CC46" w14:textId="77777777" w:rsidR="004B2808" w:rsidRDefault="00000000">
      <w:r>
        <w:rPr>
          <w:rStyle w:val="optioncarChar"/>
        </w:rPr>
        <w:t> </w:t>
      </w:r>
    </w:p>
    <w:p w14:paraId="6E633DEB" w14:textId="77777777" w:rsidR="004B2808" w:rsidRDefault="00000000">
      <w:r>
        <w:rPr>
          <w:u w:val="single"/>
        </w:rPr>
        <w:t xml:space="preserve">Attention </w:t>
      </w:r>
    </w:p>
    <w:p w14:paraId="704B4BD1" w14:textId="77777777" w:rsidR="004B2808" w:rsidRDefault="00000000">
      <w:pPr>
        <w:pStyle w:val="Author-eListParagraph"/>
        <w:numPr>
          <w:ilvl w:val="0"/>
          <w:numId w:val="1042"/>
        </w:numPr>
      </w:pPr>
      <w:r>
        <w:t>Les vantaux de portes de 630 - 730 et 830 mm de largeur peuvent être pris ensemble pour le mesurage.</w:t>
      </w:r>
    </w:p>
    <w:p w14:paraId="13A87D0D" w14:textId="77777777" w:rsidR="004B2808" w:rsidRDefault="00000000">
      <w:pPr>
        <w:pStyle w:val="Author-eListParagraph"/>
        <w:numPr>
          <w:ilvl w:val="0"/>
          <w:numId w:val="1042"/>
        </w:numPr>
      </w:pPr>
      <w:r>
        <w:t>Les quincailleries dont la fourniture et la mise en œuvre sont comprises peuvent être décrites dans d'autres postes mais sont toujours comprises dans le prix des portes.</w:t>
      </w:r>
    </w:p>
    <w:p w14:paraId="41D21365" w14:textId="77777777" w:rsidR="004B2808" w:rsidRDefault="00000000">
      <w:r>
        <w:t> </w:t>
      </w:r>
    </w:p>
    <w:p w14:paraId="333EE1F5" w14:textId="77777777" w:rsidR="004B2808" w:rsidRDefault="00000000">
      <w:pPr>
        <w:pStyle w:val="pheading"/>
      </w:pPr>
      <w:r>
        <w:t>- nature du marché:</w:t>
      </w:r>
    </w:p>
    <w:p w14:paraId="0E6F4CCC" w14:textId="77777777" w:rsidR="004B2808" w:rsidRDefault="00000000">
      <w:r>
        <w:t>QF</w:t>
      </w:r>
    </w:p>
    <w:p w14:paraId="5EE1EAF3" w14:textId="77777777" w:rsidR="004B2808" w:rsidRDefault="00000000">
      <w:pPr>
        <w:pStyle w:val="Author-eSectionHeading4Numberless"/>
      </w:pPr>
      <w:bookmarkStart w:id="1087" w:name="_Toc220491214"/>
      <w:r>
        <w:t>55.22 Portes intérieures métalliques CCTB 01.10</w:t>
      </w:r>
      <w:bookmarkEnd w:id="1087"/>
    </w:p>
    <w:p w14:paraId="1BFF5900" w14:textId="77777777" w:rsidR="004B2808" w:rsidRDefault="00000000">
      <w:pPr>
        <w:pStyle w:val="Author-eSectionHeading5Numberless"/>
      </w:pPr>
      <w:bookmarkStart w:id="1088" w:name="_Toc220491215"/>
      <w:r>
        <w:t>55.22.1 Portes intérieures en acier CCTB 01.10</w:t>
      </w:r>
      <w:bookmarkEnd w:id="1088"/>
    </w:p>
    <w:p w14:paraId="2E061DFB" w14:textId="77777777" w:rsidR="004B2808" w:rsidRDefault="00000000">
      <w:pPr>
        <w:pStyle w:val="pheading"/>
      </w:pPr>
      <w:r>
        <w:t>DESCRIPTION</w:t>
      </w:r>
    </w:p>
    <w:p w14:paraId="3BB8FCE0" w14:textId="77777777" w:rsidR="004B2808" w:rsidRDefault="00000000">
      <w:pPr>
        <w:pStyle w:val="pheading"/>
      </w:pPr>
      <w:r>
        <w:t>- Définition / Comprend</w:t>
      </w:r>
    </w:p>
    <w:p w14:paraId="42C9FD49" w14:textId="77777777" w:rsidR="004B2808" w:rsidRDefault="00000000">
      <w:pPr>
        <w:jc w:val="both"/>
      </w:pPr>
      <w:r>
        <w:t>Ce sous-titre comprend la fourniture (hors matériaux récupérés du même site) et la pose de tous les éléments nécessaires à la composition des portes intérieures en acier, y compris toutes les pièces qui en font intrinsèquement partie. Conformément aux dispositions générales et/ou spécifiques du cahier spécial des charges, les prix unitaires compris dans les articles suivants comprennent toujours, soit selon la ventilation dans le métré récapitulatif, soit dans leur totalité :  </w:t>
      </w:r>
    </w:p>
    <w:p w14:paraId="5A06A02D" w14:textId="77777777" w:rsidR="004B2808" w:rsidRDefault="00000000">
      <w:pPr>
        <w:pStyle w:val="Author-eListParagraph"/>
        <w:numPr>
          <w:ilvl w:val="0"/>
          <w:numId w:val="1043"/>
        </w:numPr>
      </w:pPr>
      <w:r>
        <w:t>le relevé, soit la vérification sur place des dimensions exactes;</w:t>
      </w:r>
    </w:p>
    <w:p w14:paraId="4B3BC333" w14:textId="77777777" w:rsidR="004B2808" w:rsidRDefault="00000000">
      <w:pPr>
        <w:pStyle w:val="Author-eListParagraph"/>
        <w:numPr>
          <w:ilvl w:val="0"/>
          <w:numId w:val="1043"/>
        </w:numPr>
      </w:pPr>
      <w:r>
        <w:t>le montage des profils de portes et leur encrage , y compris toute la quincaillerie;</w:t>
      </w:r>
    </w:p>
    <w:p w14:paraId="4EBC6819" w14:textId="77777777" w:rsidR="004B2808" w:rsidRDefault="00000000">
      <w:pPr>
        <w:pStyle w:val="Author-eListParagraph"/>
        <w:numPr>
          <w:ilvl w:val="0"/>
          <w:numId w:val="1043"/>
        </w:numPr>
      </w:pPr>
      <w:r>
        <w:t>la fourniture et la pose des éléments de remplissage, y compris les cales, les parcloses et les étanchéités;</w:t>
      </w:r>
    </w:p>
    <w:p w14:paraId="2CF2687E" w14:textId="77777777" w:rsidR="004B2808" w:rsidRDefault="00000000">
      <w:pPr>
        <w:pStyle w:val="Author-eListParagraph"/>
        <w:numPr>
          <w:ilvl w:val="0"/>
          <w:numId w:val="1043"/>
        </w:numPr>
      </w:pPr>
      <w:r>
        <w:t>la fourniture et la pose, y compris tous les moyens de fixation et/ou de suspension, ainsi que tous les ragréages étanches, la huisserie et la finition des joints entre la menuiserie et le gros-œuvre, … ;</w:t>
      </w:r>
    </w:p>
    <w:p w14:paraId="6A9F6258" w14:textId="77777777" w:rsidR="004B2808" w:rsidRDefault="00000000">
      <w:pPr>
        <w:pStyle w:val="pheading"/>
      </w:pPr>
      <w:r>
        <w:t>- Remarques importantes</w:t>
      </w:r>
    </w:p>
    <w:p w14:paraId="7F8CA920" w14:textId="77777777" w:rsidR="004B2808" w:rsidRDefault="00000000">
      <w:pPr>
        <w:jc w:val="both"/>
      </w:pPr>
      <w:r>
        <w:t>Il est possible que certains de ces éléments soient décrits dans des articles séparés (quincaillerie, vitrage, …). Toutefois, sauf indication contraire dans le métré récapitulatif, ils sont toujours compris dans le prix unitaire.</w:t>
      </w:r>
    </w:p>
    <w:p w14:paraId="524124B0" w14:textId="77777777" w:rsidR="004B2808" w:rsidRDefault="00000000">
      <w:pPr>
        <w:jc w:val="both"/>
      </w:pPr>
      <w:r>
        <w:t>Les éventuels travaux de démontage de la menuiserie extérieure existante, sont compris dans un poste séparé.</w:t>
      </w:r>
    </w:p>
    <w:p w14:paraId="28295BB7" w14:textId="77777777" w:rsidR="004B2808" w:rsidRDefault="00000000">
      <w:pPr>
        <w:pStyle w:val="pheading"/>
      </w:pPr>
      <w:r>
        <w:t>MATÉRIAUX</w:t>
      </w:r>
    </w:p>
    <w:p w14:paraId="55B044E9" w14:textId="77777777" w:rsidR="004B2808" w:rsidRDefault="00000000">
      <w:pPr>
        <w:jc w:val="both"/>
      </w:pPr>
      <w:r>
        <w:t>Les portes se composent d'un ou de plusieurs vantaux en acier dans une huisserie en acier. Les profils des portes sont des profils tubulaires ou pliés en acier composite ou non traité laminés à froid, exempts de défauts de laminage, de compression ou de coulage et sans soudures extérieures visibles.</w:t>
      </w:r>
    </w:p>
    <w:p w14:paraId="665078C8" w14:textId="77777777" w:rsidR="004B2808" w:rsidRDefault="00000000">
      <w:pPr>
        <w:jc w:val="both"/>
      </w:pPr>
      <w:r>
        <w:t>Pour l'usinage, le traitement et la pose des profils préformés, il y a lieu de tenir compte de la documentation technique accompagnant le produit.  </w:t>
      </w:r>
    </w:p>
    <w:p w14:paraId="38367E34" w14:textId="77777777" w:rsidR="004B2808" w:rsidRDefault="00000000">
      <w:pPr>
        <w:jc w:val="both"/>
      </w:pPr>
      <w:r>
        <w:t>Les tôles utilisées pour les vantaux et pour les huisseries sont en tôles d’acier électrozinguée, galvanisée ou en acier inoxydable.</w:t>
      </w:r>
    </w:p>
    <w:p w14:paraId="1D9459CC" w14:textId="77777777" w:rsidR="004B2808" w:rsidRDefault="00000000">
      <w:pPr>
        <w:jc w:val="both"/>
      </w:pPr>
      <w:r>
        <w:lastRenderedPageBreak/>
        <w:t>Le remplissage des vantaux est composé de laine de roche, de panneaux en polymère de nids d’abeille ou de panneaux composites Ces compositions permettre d’atteindre les performances définies dans la [NBN EN 14351 série] et reprise dans les [STS 53.1], de résistance au feu, de résistance à l’effraction, aux balles ou à l’explosion.</w:t>
      </w:r>
    </w:p>
    <w:p w14:paraId="5F45B6D5" w14:textId="77777777" w:rsidR="004B2808" w:rsidRDefault="00000000">
      <w:pPr>
        <w:jc w:val="both"/>
      </w:pPr>
      <w:r>
        <w:t>Les portes sont munies de plaques de renforts éventuelles pour atteindre la résistance voulue.</w:t>
      </w:r>
    </w:p>
    <w:p w14:paraId="1083ED69" w14:textId="77777777" w:rsidR="004B2808" w:rsidRDefault="00000000">
      <w:pPr>
        <w:jc w:val="both"/>
      </w:pPr>
      <w:r>
        <w:t>Pour des performances de résistance au feu, un produit intumescent est placé sur le pourtour du cadre et ou le pourtour du vantail.</w:t>
      </w:r>
    </w:p>
    <w:p w14:paraId="30379B6E" w14:textId="77777777" w:rsidR="004B2808" w:rsidRDefault="00000000">
      <w:pPr>
        <w:jc w:val="both"/>
      </w:pPr>
      <w:r>
        <w:t>Le produit intumescent est protégé pour éviter toute dégradation due à l’humidité ou aux produits de nettoyage.</w:t>
      </w:r>
    </w:p>
    <w:p w14:paraId="60528CF9" w14:textId="77777777" w:rsidR="004B2808" w:rsidRDefault="00000000">
      <w:pPr>
        <w:jc w:val="both"/>
      </w:pPr>
      <w:r>
        <w:t>Les éléments de remplissage (panneaux, vitrages,… ) et tout élément d’intégration garantissent la continuité des performances ‘de la porte.</w:t>
      </w:r>
    </w:p>
    <w:p w14:paraId="59F70745" w14:textId="77777777" w:rsidR="004B2808" w:rsidRDefault="00000000">
      <w:pPr>
        <w:jc w:val="both"/>
      </w:pPr>
      <w:r>
        <w:t>Les portes doubles sont munies de mauclair au niveau du profil de contact.</w:t>
      </w:r>
    </w:p>
    <w:p w14:paraId="74DEC199" w14:textId="77777777" w:rsidR="004B2808" w:rsidRDefault="00000000">
      <w:pPr>
        <w:jc w:val="both"/>
      </w:pPr>
      <w:r>
        <w:t>Les mauclairs sont vissés ou soudés aux profils du vantail.</w:t>
      </w:r>
    </w:p>
    <w:p w14:paraId="20B5FB20" w14:textId="77777777" w:rsidR="004B2808" w:rsidRDefault="00000000">
      <w:pPr>
        <w:jc w:val="both"/>
      </w:pPr>
      <w:r>
        <w:t>Chaque porte neuve ou de réemploi répondent aux exigences d’efforts de manœuvre définies selon les [STS 53.1].</w:t>
      </w:r>
    </w:p>
    <w:p w14:paraId="006FCDE0" w14:textId="77777777" w:rsidR="004B2808" w:rsidRDefault="00000000">
      <w:pPr>
        <w:jc w:val="both"/>
      </w:pPr>
      <w:r>
        <w:t>L'ensemble constitué de la porte et de l'encadrement satisfait à la résistance au feu prescrite selon la [NBN EN 13501-2]. Leur résistance au feu est attestée par une déclaration d'aptitude à l'utilisation selon le chapitre 02.42.1 Critères d'acceptabilité (voir également [AR 1994-07-07]).</w:t>
      </w:r>
    </w:p>
    <w:p w14:paraId="5C39B648" w14:textId="77777777" w:rsidR="004B2808" w:rsidRDefault="00000000">
      <w:pPr>
        <w:pStyle w:val="pheading"/>
      </w:pPr>
      <w:r>
        <w:t>EXÉCUTION / MISE EN ŒUVRE</w:t>
      </w:r>
    </w:p>
    <w:p w14:paraId="2D12D2EF" w14:textId="77777777" w:rsidR="004B2808" w:rsidRDefault="00000000">
      <w:pPr>
        <w:jc w:val="both"/>
      </w:pPr>
      <w:r>
        <w:t>Afin d’obtenir les performances de résistance à l’effraction ou de résistance au feu, les épaisseurs et les compositions sont vérifiées. Ces épaisseurs satisfont aux spécifications reprises pour les performances.</w:t>
      </w:r>
    </w:p>
    <w:p w14:paraId="4632D38B" w14:textId="77777777" w:rsidR="004B2808" w:rsidRDefault="00000000">
      <w:pPr>
        <w:jc w:val="both"/>
      </w:pPr>
      <w:r>
        <w:t>La mise en œuvre est effectuée conformément aux prescriptions de critères d'accessibilité tels que définis dans le chapitre 02.42.1 Critères d'acceptabilité et de la documentation technique accompagnant le produit ainsi que selon les indications sur les plans et les dessins de détail.</w:t>
      </w:r>
    </w:p>
    <w:p w14:paraId="26EA6898" w14:textId="77777777" w:rsidR="004B2808" w:rsidRDefault="00000000">
      <w:pPr>
        <w:jc w:val="both"/>
      </w:pPr>
      <w:r>
        <w:t>Si les portes sont installées en réseau, les trumeaux installés entre les portes comportent les mêmes caractéristiques que les cadres des portes et la rigidité est vérifiée par calcul. Si l’encadrement est injecté, tout profilé intermédiaire (trumeau,…) est également injecté.  </w:t>
      </w:r>
    </w:p>
    <w:p w14:paraId="09BB54AE" w14:textId="77777777" w:rsidR="004B2808" w:rsidRDefault="00000000">
      <w:pPr>
        <w:jc w:val="both"/>
      </w:pPr>
      <w:r>
        <w:t>L’huisserie est posée afin que le vantail s’appuie sur la battée de l’huisserie. L'huisserie est positionnée dans la baie du plancher à l'aide de pattes de formes adaptées fixées au plancher à l'aide de vis et de chevilles ou coulées.</w:t>
      </w:r>
    </w:p>
    <w:p w14:paraId="72AC594C" w14:textId="77777777" w:rsidR="004B2808" w:rsidRDefault="00000000">
      <w:pPr>
        <w:jc w:val="both"/>
      </w:pPr>
      <w:r>
        <w:t>Le placement des portes résistant au feu est conforme à la [NIT 234].</w:t>
      </w:r>
    </w:p>
    <w:p w14:paraId="58EA9A64" w14:textId="77777777" w:rsidR="004B2808" w:rsidRDefault="00000000">
      <w:pPr>
        <w:jc w:val="both"/>
      </w:pPr>
      <w:r>
        <w:t>La pose des portes de réemploi est effectuée de manière conforme aux spécifications de la documentation technique originale ou aux [NIT 234] et [STS 53.1].</w:t>
      </w:r>
    </w:p>
    <w:p w14:paraId="3B31C9D1" w14:textId="77777777" w:rsidR="004B2808" w:rsidRDefault="00000000">
      <w:pPr>
        <w:pStyle w:val="pheading"/>
      </w:pPr>
      <w:r>
        <w:t>CONTRÔLES</w:t>
      </w:r>
    </w:p>
    <w:p w14:paraId="00182874" w14:textId="77777777" w:rsidR="004B2808" w:rsidRDefault="00000000">
      <w:r>
        <w:t>Les contrôles de placement sont repris dans la [STS 53.1].</w:t>
      </w:r>
    </w:p>
    <w:p w14:paraId="39D48F3B" w14:textId="77777777" w:rsidR="004B2808" w:rsidRDefault="00000000">
      <w:pPr>
        <w:ind w:left="750"/>
      </w:pPr>
      <w:r>
        <w:t> </w:t>
      </w:r>
    </w:p>
    <w:p w14:paraId="2A87A0E7" w14:textId="77777777" w:rsidR="004B2808" w:rsidRDefault="00000000">
      <w:pPr>
        <w:pStyle w:val="pheading"/>
      </w:pPr>
      <w:r>
        <w:t>DOCUMENTS DE RÉFÉRENCE</w:t>
      </w:r>
    </w:p>
    <w:p w14:paraId="3034968F" w14:textId="77777777" w:rsidR="004B2808" w:rsidRDefault="00000000">
      <w:pPr>
        <w:pStyle w:val="pheading"/>
      </w:pPr>
      <w:r>
        <w:t>- Matériau</w:t>
      </w:r>
    </w:p>
    <w:p w14:paraId="6C80C137" w14:textId="77777777" w:rsidR="004B2808" w:rsidRDefault="00000000">
      <w:r>
        <w:t>[STS 53.1, Portes]</w:t>
      </w:r>
    </w:p>
    <w:p w14:paraId="22814FF2" w14:textId="77777777" w:rsidR="004B280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55E4BF38" w14:textId="77777777" w:rsidR="004B2808" w:rsidRDefault="00000000">
      <w:r>
        <w:t>[AR 1994-07-07, Arrêté royal fixant les normes de base en matière de prévention contre l'incendie et l'explosion, auxquelles les bâtiments nouveaux doivent satisfaire]</w:t>
      </w:r>
    </w:p>
    <w:p w14:paraId="4388AC0C" w14:textId="77777777" w:rsidR="004B2808" w:rsidRDefault="00000000">
      <w:pPr>
        <w:pStyle w:val="pheading"/>
      </w:pPr>
      <w:r>
        <w:lastRenderedPageBreak/>
        <w:t>- Exécution</w:t>
      </w:r>
    </w:p>
    <w:p w14:paraId="6D3D26FE" w14:textId="77777777" w:rsidR="004B2808" w:rsidRDefault="00000000">
      <w:r>
        <w:t>[NIT 234, Le placement des portes résistant au feu (remplace la NIT 185).]</w:t>
      </w:r>
    </w:p>
    <w:p w14:paraId="5E0DC7EC" w14:textId="77777777" w:rsidR="004B2808" w:rsidRDefault="00000000">
      <w:r>
        <w:t>[STS 53.1, Portes]</w:t>
      </w:r>
    </w:p>
    <w:p w14:paraId="51BB8711" w14:textId="77777777" w:rsidR="004B2808" w:rsidRDefault="00000000">
      <w:pPr>
        <w:ind w:left="750"/>
      </w:pPr>
      <w:r>
        <w:t> </w:t>
      </w:r>
    </w:p>
    <w:p w14:paraId="22398B51" w14:textId="77777777" w:rsidR="004B2808" w:rsidRDefault="00000000">
      <w:pPr>
        <w:pStyle w:val="Author-eSectionHeading6Numberless"/>
      </w:pPr>
      <w:bookmarkStart w:id="1089" w:name="_Toc220491216"/>
      <w:r>
        <w:t>55.22.1a Portes intérieures en acier SANS coupure thermique CCTB 01.10</w:t>
      </w:r>
      <w:bookmarkEnd w:id="1089"/>
    </w:p>
    <w:p w14:paraId="14A26ABC" w14:textId="77777777" w:rsidR="004B2808" w:rsidRDefault="00000000">
      <w:pPr>
        <w:pStyle w:val="pheading"/>
      </w:pPr>
      <w:r>
        <w:t>DESCRIPTION</w:t>
      </w:r>
    </w:p>
    <w:p w14:paraId="35E56CA3" w14:textId="77777777" w:rsidR="004B2808" w:rsidRDefault="00000000">
      <w:pPr>
        <w:pStyle w:val="pheading"/>
      </w:pPr>
      <w:r>
        <w:t>- Définition / Comprend</w:t>
      </w:r>
    </w:p>
    <w:p w14:paraId="3D8587DA" w14:textId="77777777" w:rsidR="004B2808" w:rsidRDefault="00000000">
      <w:pPr>
        <w:jc w:val="both"/>
      </w:pPr>
      <w:r>
        <w:t>Il s’agit de la fourniture (hors matériaux récupérés du même site) et la pose de portes intérieures en acier sans coupure thermique</w:t>
      </w:r>
    </w:p>
    <w:p w14:paraId="46B9797B" w14:textId="77777777" w:rsidR="004B2808" w:rsidRDefault="00000000">
      <w:pPr>
        <w:jc w:val="both"/>
      </w:pPr>
      <w:r>
        <w:t>Le travail comprend notamment :</w:t>
      </w:r>
    </w:p>
    <w:p w14:paraId="547641DE" w14:textId="77777777" w:rsidR="004B2808" w:rsidRDefault="00000000">
      <w:pPr>
        <w:pStyle w:val="Author-eListParagraph"/>
        <w:numPr>
          <w:ilvl w:val="0"/>
          <w:numId w:val="1044"/>
        </w:numPr>
        <w:jc w:val="both"/>
      </w:pPr>
      <w:r>
        <w:t>la fourniture (hors matériaux récupérés du même site)</w:t>
      </w:r>
    </w:p>
    <w:p w14:paraId="57C9C7D9" w14:textId="77777777" w:rsidR="004B2808" w:rsidRDefault="00000000">
      <w:pPr>
        <w:pStyle w:val="Author-eListParagraph"/>
        <w:numPr>
          <w:ilvl w:val="0"/>
          <w:numId w:val="1044"/>
        </w:numPr>
        <w:jc w:val="both"/>
      </w:pPr>
      <w:r>
        <w:t>le stockage</w:t>
      </w:r>
    </w:p>
    <w:p w14:paraId="7304C6BE" w14:textId="77777777" w:rsidR="004B2808" w:rsidRDefault="00000000">
      <w:pPr>
        <w:pStyle w:val="Author-eListParagraph"/>
        <w:numPr>
          <w:ilvl w:val="0"/>
          <w:numId w:val="1044"/>
        </w:numPr>
        <w:jc w:val="both"/>
      </w:pPr>
      <w:r>
        <w:t>la préparation de la baie</w:t>
      </w:r>
    </w:p>
    <w:p w14:paraId="19494AFB" w14:textId="77777777" w:rsidR="004B2808" w:rsidRDefault="00000000">
      <w:pPr>
        <w:pStyle w:val="Author-eListParagraph"/>
        <w:numPr>
          <w:ilvl w:val="0"/>
          <w:numId w:val="1044"/>
        </w:numPr>
        <w:jc w:val="both"/>
      </w:pPr>
      <w:r>
        <w:t>la pose</w:t>
      </w:r>
    </w:p>
    <w:p w14:paraId="2BCE3EA6" w14:textId="77777777" w:rsidR="004B2808" w:rsidRDefault="00000000">
      <w:pPr>
        <w:pStyle w:val="pheading"/>
      </w:pPr>
      <w:r>
        <w:t>MATÉRIAUX</w:t>
      </w:r>
    </w:p>
    <w:p w14:paraId="22463A60" w14:textId="77777777" w:rsidR="004B2808" w:rsidRDefault="00000000">
      <w:pPr>
        <w:pStyle w:val="pheading"/>
      </w:pPr>
      <w:r>
        <w:t>- Caractéristiques générales</w:t>
      </w:r>
    </w:p>
    <w:p w14:paraId="7B3A4711" w14:textId="77777777" w:rsidR="004B2808" w:rsidRDefault="00000000">
      <w:pPr>
        <w:jc w:val="both"/>
      </w:pPr>
      <w:r>
        <w:t xml:space="preserve">L’assemblage des angles est </w:t>
      </w:r>
      <w:r>
        <w:rPr>
          <w:rStyle w:val="optioncarChar"/>
        </w:rPr>
        <w:t>soudé</w:t>
      </w:r>
      <w:r>
        <w:t> (par défaut)</w:t>
      </w:r>
      <w:r>
        <w:rPr>
          <w:rStyle w:val="optioncarChar"/>
        </w:rPr>
        <w:t xml:space="preserve"> / fixé mécaniquement / collé / ***</w:t>
      </w:r>
      <w:r>
        <w:t xml:space="preserve"> et renforcé à l’aide d’une équerre métallique.</w:t>
      </w:r>
    </w:p>
    <w:p w14:paraId="05C56159" w14:textId="77777777" w:rsidR="004B2808" w:rsidRDefault="00000000">
      <w:pPr>
        <w:jc w:val="both"/>
      </w:pPr>
      <w:r>
        <w:t xml:space="preserve">Les portes en aciers sont </w:t>
      </w:r>
      <w:r>
        <w:rPr>
          <w:rStyle w:val="optioncarChar"/>
        </w:rPr>
        <w:t xml:space="preserve">neuves </w:t>
      </w:r>
      <w:r>
        <w:t>(par défaut)</w:t>
      </w:r>
      <w:r>
        <w:rPr>
          <w:rStyle w:val="optioncarChar"/>
        </w:rPr>
        <w:t xml:space="preserve"> / de réemploi.</w:t>
      </w:r>
    </w:p>
    <w:p w14:paraId="003444B7" w14:textId="77777777" w:rsidR="004B2808" w:rsidRDefault="00000000">
      <w:pPr>
        <w:ind w:left="567"/>
        <w:jc w:val="both"/>
      </w:pPr>
      <w:r>
        <w:rPr>
          <w:b/>
          <w:i/>
        </w:rPr>
        <w:t>(Soit par défaut)</w:t>
      </w:r>
    </w:p>
    <w:p w14:paraId="703CC87D" w14:textId="77777777" w:rsidR="004B2808" w:rsidRDefault="00000000">
      <w:pPr>
        <w:ind w:left="567"/>
        <w:jc w:val="both"/>
      </w:pPr>
      <w:r>
        <w:rPr>
          <w:rStyle w:val="soitChar"/>
          <w:u w:val="single"/>
        </w:rPr>
        <w:t>Neuves :</w:t>
      </w:r>
      <w:r>
        <w:rPr>
          <w:rStyle w:val="soitChar"/>
        </w:rPr>
        <w:t xml:space="preserve"> Les portes sont conformes aux exigences décrites dans les [STS 53.1].   </w:t>
      </w:r>
    </w:p>
    <w:p w14:paraId="66E46376" w14:textId="77777777" w:rsidR="004B2808" w:rsidRDefault="00000000">
      <w:pPr>
        <w:ind w:left="567"/>
        <w:jc w:val="both"/>
      </w:pPr>
      <w:r>
        <w:rPr>
          <w:rStyle w:val="soitChar"/>
        </w:rPr>
        <w:t>La composition de l’acier pour les menuiseries intérieures est conforme aux exigences de la [STS 36].</w:t>
      </w:r>
    </w:p>
    <w:p w14:paraId="62C89E6D" w14:textId="77777777" w:rsidR="004B2808" w:rsidRDefault="00000000">
      <w:pPr>
        <w:ind w:left="567"/>
        <w:jc w:val="both"/>
      </w:pPr>
      <w:r>
        <w:rPr>
          <w:rStyle w:val="soitChar"/>
        </w:rPr>
        <w:t>En fonction de l’exposition ou l’agressivité de l’environnement, les différents types d’acier suivants sont utilisés : </w:t>
      </w:r>
      <w:r>
        <w:rPr>
          <w:rStyle w:val="optioncarChar"/>
        </w:rPr>
        <w:t>Acier S235 </w:t>
      </w:r>
      <w:r>
        <w:t>(par défaut)</w:t>
      </w:r>
      <w:r>
        <w:rPr>
          <w:rStyle w:val="optioncarChar"/>
        </w:rPr>
        <w:t> / Acier Inox A2 / Acier autopatinable / ***</w:t>
      </w:r>
      <w:r>
        <w:rPr>
          <w:rStyle w:val="soitChar"/>
        </w:rPr>
        <w:t>. Les qualités d’aciers sont définies selon la norme [NBN EN 10020].</w:t>
      </w:r>
    </w:p>
    <w:p w14:paraId="45729F67" w14:textId="77777777" w:rsidR="004B2808" w:rsidRDefault="00000000">
      <w:pPr>
        <w:ind w:left="567"/>
        <w:jc w:val="both"/>
      </w:pPr>
      <w:r>
        <w:rPr>
          <w:rStyle w:val="soitChar"/>
        </w:rPr>
        <w:t>Les profilés en acier sont laminés à froid aux galets et/ou soudés en continu, les profilés sont conformes à la norme [NBN EN 10025 série], la nuance de l’acier est </w:t>
      </w:r>
      <w:r>
        <w:rPr>
          <w:rStyle w:val="optioncarChar"/>
        </w:rPr>
        <w:t>DD12 </w:t>
      </w:r>
      <w:r>
        <w:t>(par défaut)</w:t>
      </w:r>
      <w:r>
        <w:rPr>
          <w:rStyle w:val="optioncarChar"/>
        </w:rPr>
        <w:t> / ***.</w:t>
      </w:r>
    </w:p>
    <w:p w14:paraId="595A0A28" w14:textId="77777777" w:rsidR="004B2808" w:rsidRDefault="00000000">
      <w:pPr>
        <w:ind w:left="567"/>
        <w:jc w:val="both"/>
      </w:pPr>
      <w:r>
        <w:rPr>
          <w:rStyle w:val="soitChar"/>
          <w:b/>
        </w:rPr>
        <w:t>Performances des menuiseries</w:t>
      </w:r>
    </w:p>
    <w:p w14:paraId="6E449544" w14:textId="77777777" w:rsidR="004B2808" w:rsidRDefault="00000000">
      <w:pPr>
        <w:pStyle w:val="Author-eListParagraph"/>
        <w:numPr>
          <w:ilvl w:val="1"/>
          <w:numId w:val="1045"/>
        </w:numPr>
      </w:pPr>
      <w:r>
        <w:rPr>
          <w:rStyle w:val="soitChar"/>
        </w:rPr>
        <w:t xml:space="preserve">La résistance mécanique (sollicitations) : </w:t>
      </w:r>
      <w:r>
        <w:rPr>
          <w:rStyle w:val="optioncarChar"/>
        </w:rPr>
        <w:t xml:space="preserve">M1 </w:t>
      </w:r>
      <w:r>
        <w:t>(par défaut)</w:t>
      </w:r>
      <w:r>
        <w:rPr>
          <w:rStyle w:val="optioncarChar"/>
        </w:rPr>
        <w:t xml:space="preserve"> / M2 / M3 / M4 / ***</w:t>
      </w:r>
      <w:r>
        <w:rPr>
          <w:rStyle w:val="soitChar"/>
        </w:rPr>
        <w:t xml:space="preserve"> selon [STS 53.1]</w:t>
      </w:r>
    </w:p>
    <w:p w14:paraId="581F51C1" w14:textId="77777777" w:rsidR="004B2808" w:rsidRDefault="00000000">
      <w:pPr>
        <w:pStyle w:val="Author-eListParagraph"/>
        <w:numPr>
          <w:ilvl w:val="1"/>
          <w:numId w:val="1045"/>
        </w:numPr>
      </w:pPr>
      <w:r>
        <w:rPr>
          <w:rStyle w:val="soitChar"/>
        </w:rPr>
        <w:t xml:space="preserve">La fréquence d’utilisation : </w:t>
      </w:r>
      <w:r>
        <w:rPr>
          <w:rStyle w:val="optioncarChar"/>
        </w:rPr>
        <w:t xml:space="preserve">f1 </w:t>
      </w:r>
      <w:r>
        <w:t>(par défaut)</w:t>
      </w:r>
      <w:r>
        <w:rPr>
          <w:rStyle w:val="optioncarChar"/>
        </w:rPr>
        <w:t xml:space="preserve"> / f2 / f3 / f4 / f5 / ***</w:t>
      </w:r>
      <w:r>
        <w:rPr>
          <w:rStyle w:val="soitChar"/>
        </w:rPr>
        <w:t xml:space="preserve"> selon [STS 53.1]</w:t>
      </w:r>
    </w:p>
    <w:p w14:paraId="44904349" w14:textId="77777777" w:rsidR="004B2808" w:rsidRDefault="00000000">
      <w:pPr>
        <w:pStyle w:val="Author-eListParagraph"/>
        <w:numPr>
          <w:ilvl w:val="1"/>
          <w:numId w:val="1045"/>
        </w:numPr>
      </w:pPr>
      <w:r>
        <w:rPr>
          <w:rStyle w:val="soitChar"/>
        </w:rPr>
        <w:t xml:space="preserve">La résistance aux conditions hygrothermiques : </w:t>
      </w:r>
      <w:r>
        <w:rPr>
          <w:rStyle w:val="optioncarChar"/>
        </w:rPr>
        <w:t>sans exigence </w:t>
      </w:r>
      <w:r>
        <w:t xml:space="preserve">(par défaut) </w:t>
      </w:r>
      <w:r>
        <w:rPr>
          <w:rStyle w:val="optioncarChar"/>
        </w:rPr>
        <w:t>/ HbV1 / HbV2 / HcV2 / ***selon [STS 53.1]</w:t>
      </w:r>
    </w:p>
    <w:p w14:paraId="6D72301E" w14:textId="77777777" w:rsidR="004B2808" w:rsidRDefault="00000000">
      <w:pPr>
        <w:pStyle w:val="Author-eListParagraph"/>
        <w:numPr>
          <w:ilvl w:val="1"/>
          <w:numId w:val="1045"/>
        </w:numPr>
      </w:pPr>
      <w:r>
        <w:rPr>
          <w:rStyle w:val="soitChar"/>
        </w:rPr>
        <w:t xml:space="preserve">La planéité : </w:t>
      </w:r>
      <w:r>
        <w:rPr>
          <w:rStyle w:val="optioncarChar"/>
        </w:rPr>
        <w:t>V1</w:t>
      </w:r>
      <w:r>
        <w:t xml:space="preserve"> (par défaut)</w:t>
      </w:r>
      <w:r>
        <w:rPr>
          <w:rStyle w:val="optioncarChar"/>
        </w:rPr>
        <w:t xml:space="preserve"> / V2 / ***</w:t>
      </w:r>
      <w:r>
        <w:t> </w:t>
      </w:r>
      <w:r>
        <w:rPr>
          <w:rStyle w:val="soitChar"/>
        </w:rPr>
        <w:t>selon [STS 53.1]</w:t>
      </w:r>
    </w:p>
    <w:p w14:paraId="50ACDE9E" w14:textId="77777777" w:rsidR="004B2808" w:rsidRDefault="00000000">
      <w:pPr>
        <w:pStyle w:val="Author-eListParagraph"/>
        <w:numPr>
          <w:ilvl w:val="1"/>
          <w:numId w:val="1045"/>
        </w:numPr>
      </w:pPr>
      <w:r>
        <w:rPr>
          <w:rStyle w:val="soitChar"/>
        </w:rPr>
        <w:t xml:space="preserve">Isolation thermique : </w:t>
      </w:r>
      <w:r>
        <w:rPr>
          <w:rStyle w:val="optioncarChar"/>
        </w:rPr>
        <w:t xml:space="preserve">sans performance </w:t>
      </w:r>
      <w:r>
        <w:t>(par défaut)</w:t>
      </w:r>
      <w:r>
        <w:rPr>
          <w:rStyle w:val="optioncarChar"/>
        </w:rPr>
        <w:t xml:space="preserve"> /  T1 / T2 / ***selon [STS 53.1]</w:t>
      </w:r>
    </w:p>
    <w:p w14:paraId="12E526A6" w14:textId="77777777" w:rsidR="004B2808" w:rsidRDefault="00000000">
      <w:pPr>
        <w:pStyle w:val="Author-eListParagraph"/>
        <w:numPr>
          <w:ilvl w:val="1"/>
          <w:numId w:val="1045"/>
        </w:numPr>
      </w:pPr>
      <w:r>
        <w:rPr>
          <w:rStyle w:val="soitChar"/>
        </w:rPr>
        <w:t xml:space="preserve">Isolation acoustique : </w:t>
      </w:r>
      <w:r>
        <w:rPr>
          <w:rStyle w:val="optioncarChar"/>
        </w:rPr>
        <w:t>sans performance (par défaut) / AIVb / AIVa / AVC / ***selon [STS 53.1]</w:t>
      </w:r>
    </w:p>
    <w:p w14:paraId="7C085A36" w14:textId="77777777" w:rsidR="004B2808" w:rsidRDefault="00000000">
      <w:pPr>
        <w:pStyle w:val="Author-eListParagraph"/>
        <w:numPr>
          <w:ilvl w:val="1"/>
          <w:numId w:val="1045"/>
        </w:numPr>
      </w:pPr>
      <w:r>
        <w:rPr>
          <w:rStyle w:val="soitChar"/>
        </w:rPr>
        <w:t xml:space="preserve">Protection contre l’effraction  </w:t>
      </w:r>
      <w:r>
        <w:rPr>
          <w:rStyle w:val="optioncarChar"/>
        </w:rPr>
        <w:t xml:space="preserve">I1 </w:t>
      </w:r>
      <w:r>
        <w:t>(par défaut)</w:t>
      </w:r>
      <w:r>
        <w:rPr>
          <w:rStyle w:val="optioncarChar"/>
        </w:rPr>
        <w:t xml:space="preserve"> / I2 / I3 / I4 / ***</w:t>
      </w:r>
      <w:r>
        <w:rPr>
          <w:rStyle w:val="soitChar"/>
        </w:rPr>
        <w:t>  selon [STS 53.1]</w:t>
      </w:r>
    </w:p>
    <w:p w14:paraId="6779B463" w14:textId="77777777" w:rsidR="004B2808" w:rsidRDefault="00000000">
      <w:pPr>
        <w:pStyle w:val="Author-eListParagraph"/>
        <w:numPr>
          <w:ilvl w:val="1"/>
          <w:numId w:val="1045"/>
        </w:numPr>
      </w:pPr>
      <w:r>
        <w:rPr>
          <w:rStyle w:val="soitChar"/>
        </w:rPr>
        <w:t xml:space="preserve">Etanchéité à l’air </w:t>
      </w:r>
      <w:r>
        <w:rPr>
          <w:rStyle w:val="optioncarChar"/>
        </w:rPr>
        <w:t xml:space="preserve">S1 </w:t>
      </w:r>
      <w:r>
        <w:t xml:space="preserve">(par défaut) </w:t>
      </w:r>
      <w:r>
        <w:rPr>
          <w:rStyle w:val="optioncarChar"/>
        </w:rPr>
        <w:t>/ S2 / ***</w:t>
      </w:r>
      <w:r>
        <w:rPr>
          <w:rStyle w:val="soitChar"/>
        </w:rPr>
        <w:t xml:space="preserve"> selon [STS 53.1]</w:t>
      </w:r>
    </w:p>
    <w:p w14:paraId="430A3406" w14:textId="77777777" w:rsidR="004B2808" w:rsidRDefault="00000000">
      <w:pPr>
        <w:pStyle w:val="Author-eListParagraph"/>
        <w:numPr>
          <w:ilvl w:val="1"/>
          <w:numId w:val="1045"/>
        </w:numPr>
      </w:pPr>
      <w:r>
        <w:rPr>
          <w:rStyle w:val="soitChar"/>
        </w:rPr>
        <w:t xml:space="preserve">Résistance au feu : </w:t>
      </w:r>
      <w:r>
        <w:rPr>
          <w:rStyle w:val="optioncarChar"/>
        </w:rPr>
        <w:t xml:space="preserve">sans performance </w:t>
      </w:r>
      <w:r>
        <w:t xml:space="preserve">(par défaut) </w:t>
      </w:r>
      <w:r>
        <w:rPr>
          <w:rStyle w:val="optioncarChar"/>
        </w:rPr>
        <w:t>/ EI 30 / EI 60 / ***</w:t>
      </w:r>
      <w:r>
        <w:rPr>
          <w:rStyle w:val="soitChar"/>
        </w:rPr>
        <w:t xml:space="preserve"> selon [STS 53.1]</w:t>
      </w:r>
    </w:p>
    <w:p w14:paraId="797A9FE5" w14:textId="77777777" w:rsidR="004B2808" w:rsidRDefault="00000000">
      <w:pPr>
        <w:ind w:left="567"/>
        <w:jc w:val="both"/>
      </w:pPr>
      <w:r>
        <w:rPr>
          <w:rStyle w:val="soitChar"/>
          <w:b/>
        </w:rPr>
        <w:t>Types de portes</w:t>
      </w:r>
    </w:p>
    <w:p w14:paraId="70550C99" w14:textId="77777777" w:rsidR="004B2808" w:rsidRDefault="00000000">
      <w:pPr>
        <w:pStyle w:val="Author-eListParagraph"/>
        <w:numPr>
          <w:ilvl w:val="1"/>
          <w:numId w:val="1046"/>
        </w:numPr>
      </w:pPr>
      <w:r>
        <w:rPr>
          <w:rStyle w:val="soitChar"/>
        </w:rPr>
        <w:t xml:space="preserve">Porte </w:t>
      </w:r>
      <w:r>
        <w:rPr>
          <w:rStyle w:val="optioncarChar"/>
        </w:rPr>
        <w:t>simple / double / composée / ***</w:t>
      </w:r>
    </w:p>
    <w:p w14:paraId="09D145E4" w14:textId="77777777" w:rsidR="004B2808" w:rsidRDefault="00000000">
      <w:pPr>
        <w:pStyle w:val="Author-eListParagraph"/>
        <w:numPr>
          <w:ilvl w:val="1"/>
          <w:numId w:val="1046"/>
        </w:numPr>
      </w:pPr>
      <w:r>
        <w:rPr>
          <w:rStyle w:val="soitChar"/>
        </w:rPr>
        <w:lastRenderedPageBreak/>
        <w:t xml:space="preserve">Remplissage : </w:t>
      </w:r>
      <w:r>
        <w:rPr>
          <w:rStyle w:val="optioncarChar"/>
        </w:rPr>
        <w:t xml:space="preserve">panneau de remplissage (cfr </w:t>
      </w:r>
      <w:hyperlink w:anchor="1329" w:history="1">
        <w:r w:rsidR="004B2808">
          <w:rPr>
            <w:rStyle w:val="optioncarChar"/>
            <w:color w:val="0000EE"/>
          </w:rPr>
          <w:t>56.3 Eléments de remplissage</w:t>
        </w:r>
      </w:hyperlink>
      <w:r>
        <w:rPr>
          <w:rStyle w:val="optioncarChar"/>
        </w:rPr>
        <w:t xml:space="preserve">) </w:t>
      </w:r>
      <w:r>
        <w:t>(par défaut)</w:t>
      </w:r>
      <w:r>
        <w:rPr>
          <w:rStyle w:val="optioncarChar"/>
        </w:rPr>
        <w:t xml:space="preserve"> / vitrages simples (cfr </w:t>
      </w:r>
      <w:hyperlink w:anchor="1330" w:history="1">
        <w:r w:rsidR="004B2808">
          <w:rPr>
            <w:rStyle w:val="optioncarChar"/>
            <w:color w:val="0000EE"/>
          </w:rPr>
          <w:t>56.1 Vitrages simples</w:t>
        </w:r>
      </w:hyperlink>
      <w:r>
        <w:rPr>
          <w:rStyle w:val="optioncarChar"/>
        </w:rPr>
        <w:t xml:space="preserve">) / vitrages doubles (cfr </w:t>
      </w:r>
      <w:hyperlink w:anchor="1331" w:history="1">
        <w:r w:rsidR="004B2808">
          <w:rPr>
            <w:rStyle w:val="optioncarChar"/>
            <w:color w:val="0000EE"/>
          </w:rPr>
          <w:t>56.2 Vitrages (isolants) doubles</w:t>
        </w:r>
      </w:hyperlink>
      <w:r>
        <w:rPr>
          <w:rStyle w:val="optioncarChar"/>
        </w:rPr>
        <w:t>) ***</w:t>
      </w:r>
    </w:p>
    <w:p w14:paraId="3C72FC7E" w14:textId="77777777" w:rsidR="004B2808" w:rsidRDefault="00000000">
      <w:pPr>
        <w:pStyle w:val="Author-eListParagraph"/>
        <w:numPr>
          <w:ilvl w:val="1"/>
          <w:numId w:val="1046"/>
        </w:numPr>
      </w:pPr>
      <w:r>
        <w:rPr>
          <w:rStyle w:val="soitChar"/>
        </w:rPr>
        <w:t xml:space="preserve">Quincailleries : </w:t>
      </w:r>
      <w:r>
        <w:rPr>
          <w:rStyle w:val="optioncarChar"/>
        </w:rPr>
        <w:t xml:space="preserve">conformes aux prescriptions du fabricant </w:t>
      </w:r>
      <w:r>
        <w:t>(par défaut)</w:t>
      </w:r>
      <w:r>
        <w:rPr>
          <w:rStyle w:val="optioncarChar"/>
        </w:rPr>
        <w:t xml:space="preserve"> / ***</w:t>
      </w:r>
    </w:p>
    <w:p w14:paraId="224D3E40" w14:textId="77777777" w:rsidR="004B2808" w:rsidRDefault="00000000">
      <w:pPr>
        <w:pStyle w:val="Author-eListParagraph"/>
        <w:numPr>
          <w:ilvl w:val="2"/>
          <w:numId w:val="1047"/>
        </w:numPr>
      </w:pPr>
      <w:r>
        <w:rPr>
          <w:rStyle w:val="soitChar"/>
        </w:rPr>
        <w:t xml:space="preserve">Cfr. </w:t>
      </w:r>
      <w:hyperlink w:anchor="1332" w:history="1">
        <w:r w:rsidR="004B2808">
          <w:rPr>
            <w:rStyle w:val="soitChar"/>
            <w:color w:val="0000EE"/>
          </w:rPr>
          <w:t>55.62.1 Charnières et paumelles</w:t>
        </w:r>
      </w:hyperlink>
    </w:p>
    <w:p w14:paraId="0859D3E0" w14:textId="77777777" w:rsidR="004B2808" w:rsidRDefault="00000000">
      <w:pPr>
        <w:pStyle w:val="Author-eListParagraph"/>
        <w:numPr>
          <w:ilvl w:val="2"/>
          <w:numId w:val="1047"/>
        </w:numPr>
      </w:pPr>
      <w:r>
        <w:rPr>
          <w:rStyle w:val="soitChar"/>
        </w:rPr>
        <w:t xml:space="preserve">Cfr. </w:t>
      </w:r>
      <w:hyperlink w:anchor="1333" w:history="1">
        <w:r w:rsidR="004B2808">
          <w:rPr>
            <w:rStyle w:val="soitChar"/>
            <w:color w:val="0000EE"/>
          </w:rPr>
          <w:t>55.62.2 Serrures de portes</w:t>
        </w:r>
      </w:hyperlink>
    </w:p>
    <w:p w14:paraId="7921FBCF" w14:textId="77777777" w:rsidR="004B2808" w:rsidRDefault="00000000">
      <w:pPr>
        <w:pStyle w:val="Author-eListParagraph"/>
        <w:numPr>
          <w:ilvl w:val="2"/>
          <w:numId w:val="1047"/>
        </w:numPr>
      </w:pPr>
      <w:r>
        <w:rPr>
          <w:rStyle w:val="soitChar"/>
        </w:rPr>
        <w:t xml:space="preserve">Cfr. </w:t>
      </w:r>
      <w:hyperlink w:anchor="1334" w:history="1">
        <w:r w:rsidR="004B2808">
          <w:rPr>
            <w:rStyle w:val="soitChar"/>
            <w:color w:val="0000EE"/>
          </w:rPr>
          <w:t>55.62.3 Poignées de portes</w:t>
        </w:r>
      </w:hyperlink>
    </w:p>
    <w:p w14:paraId="27C62053" w14:textId="77777777" w:rsidR="004B2808" w:rsidRDefault="00000000">
      <w:pPr>
        <w:jc w:val="both"/>
      </w:pPr>
      <w:r>
        <w:t> </w:t>
      </w:r>
    </w:p>
    <w:p w14:paraId="76D2C7D2" w14:textId="77777777" w:rsidR="004B2808" w:rsidRDefault="00000000">
      <w:pPr>
        <w:ind w:left="567"/>
        <w:jc w:val="both"/>
      </w:pPr>
      <w:r>
        <w:rPr>
          <w:b/>
          <w:i/>
        </w:rPr>
        <w:t>(Soit)</w:t>
      </w:r>
    </w:p>
    <w:p w14:paraId="0F48C1EC" w14:textId="77777777" w:rsidR="004B2808" w:rsidRDefault="00000000">
      <w:pPr>
        <w:ind w:left="567"/>
        <w:jc w:val="both"/>
      </w:pPr>
      <w:r>
        <w:rPr>
          <w:rStyle w:val="soitChar"/>
          <w:u w:val="single"/>
        </w:rPr>
        <w:t>Réemploi :</w:t>
      </w:r>
      <w:r>
        <w:rPr>
          <w:rStyle w:val="soitChar"/>
        </w:rPr>
        <w:t xml:space="preserve"> il s’agit de portes en acier comme alternative aux portes neuves. Lorsque seuls des éléments de portes sont de réemploi, ces éléments sont décrits dans les articles correspondant à ces éléments.</w:t>
      </w:r>
    </w:p>
    <w:p w14:paraId="75442D4F" w14:textId="77777777" w:rsidR="004B2808" w:rsidRDefault="00000000">
      <w:pPr>
        <w:ind w:left="567"/>
        <w:jc w:val="both"/>
      </w:pPr>
      <w:r>
        <w:rPr>
          <w:rStyle w:val="soitChar"/>
        </w:rPr>
        <w:t>Les références, fiches et déclarations d’aptitude à l’utilisation décrites au chapitre 02.42.1 Critères d'acceptabilité déposées dans le cadre du chantier initial sont soumises à l’analyse du maitre d’ouvrage avant validation</w:t>
      </w:r>
    </w:p>
    <w:p w14:paraId="538B20D7" w14:textId="77777777" w:rsidR="004B2808" w:rsidRDefault="00000000">
      <w:pPr>
        <w:pStyle w:val="Author-eListParagraph"/>
        <w:numPr>
          <w:ilvl w:val="1"/>
          <w:numId w:val="1048"/>
        </w:numPr>
      </w:pPr>
      <w:r>
        <w:rPr>
          <w:rStyle w:val="soitChar"/>
        </w:rPr>
        <w:t xml:space="preserve">La planéité : </w:t>
      </w:r>
      <w:r>
        <w:rPr>
          <w:rStyle w:val="optioncarChar"/>
        </w:rPr>
        <w:t xml:space="preserve">V1 </w:t>
      </w:r>
      <w:r>
        <w:t>(par défaut)</w:t>
      </w:r>
      <w:r>
        <w:rPr>
          <w:rStyle w:val="optioncarChar"/>
        </w:rPr>
        <w:t xml:space="preserve"> / V2 / ***</w:t>
      </w:r>
      <w:r>
        <w:rPr>
          <w:rStyle w:val="soitChar"/>
        </w:rPr>
        <w:t xml:space="preserve"> selon [STS 53.1]</w:t>
      </w:r>
    </w:p>
    <w:p w14:paraId="1B77BCBD" w14:textId="77777777" w:rsidR="004B2808" w:rsidRDefault="00000000">
      <w:pPr>
        <w:jc w:val="both"/>
      </w:pPr>
      <w:r>
        <w:t> </w:t>
      </w:r>
    </w:p>
    <w:p w14:paraId="5B904FF6" w14:textId="77777777" w:rsidR="004B2808" w:rsidRDefault="00000000">
      <w:pPr>
        <w:jc w:val="both"/>
      </w:pPr>
      <w:r>
        <w:t xml:space="preserve">Pour les portes de réemploi, il s’agit </w:t>
      </w:r>
      <w:r>
        <w:rPr>
          <w:rStyle w:val="optioncarChar"/>
        </w:rPr>
        <w:t xml:space="preserve">de la fourniture et de la pose </w:t>
      </w:r>
      <w:r>
        <w:t>(par défaut)</w:t>
      </w:r>
      <w:r>
        <w:rPr>
          <w:rStyle w:val="optioncarChar"/>
        </w:rPr>
        <w:t xml:space="preserve"> / uniquement de la pose</w:t>
      </w:r>
    </w:p>
    <w:p w14:paraId="4A587E23" w14:textId="77777777" w:rsidR="004B2808" w:rsidRDefault="00000000">
      <w:pPr>
        <w:ind w:left="567"/>
        <w:jc w:val="both"/>
      </w:pPr>
      <w:r>
        <w:rPr>
          <w:b/>
          <w:i/>
        </w:rPr>
        <w:t>(Soit par défaut)</w:t>
      </w:r>
    </w:p>
    <w:p w14:paraId="3FEBE287" w14:textId="77777777" w:rsidR="004B2808" w:rsidRDefault="00000000">
      <w:pPr>
        <w:ind w:left="567"/>
        <w:jc w:val="both"/>
      </w:pPr>
      <w:r>
        <w:rPr>
          <w:rStyle w:val="soitChar"/>
          <w:u w:val="single"/>
        </w:rPr>
        <w:t>Fourniture et pose :</w:t>
      </w:r>
      <w:r>
        <w:rPr>
          <w:rStyle w:val="soitChar"/>
        </w:rPr>
        <w:t xml:space="preserve"> Les portes sont fournies par l’entreprise.</w:t>
      </w:r>
    </w:p>
    <w:p w14:paraId="575E1867" w14:textId="77777777" w:rsidR="004B2808" w:rsidRDefault="00000000">
      <w:pPr>
        <w:ind w:left="567"/>
        <w:jc w:val="both"/>
      </w:pPr>
      <w:r>
        <w:rPr>
          <w:b/>
          <w:i/>
        </w:rPr>
        <w:t>(Soit)</w:t>
      </w:r>
    </w:p>
    <w:p w14:paraId="4FDB0C92" w14:textId="77777777" w:rsidR="004B2808" w:rsidRDefault="00000000">
      <w:pPr>
        <w:ind w:left="567"/>
        <w:jc w:val="both"/>
      </w:pPr>
      <w:r>
        <w:rPr>
          <w:rStyle w:val="soitChar"/>
          <w:u w:val="single"/>
        </w:rPr>
        <w:t>Pose :</w:t>
      </w:r>
      <w:r>
        <w:rPr>
          <w:rStyle w:val="soitChar"/>
        </w:rPr>
        <w:t xml:space="preserve"> Les portes sont fournies par le Maitre d’ouvrage. Dans le cas d’un démontage sur chantier pour réutilisation du matériau, se référer aux éléments du 06.44.4 Démontages de menuiseries et vitrages intérieurs, 06.44.4b Démontages des portes et huisseries intérieures, 06.54.4 Démontages de menuiseries et vitrages intérieurs, 06.54.4b Démontages des portes et huisseries intérieures</w:t>
      </w:r>
    </w:p>
    <w:p w14:paraId="217E1F1F" w14:textId="77777777" w:rsidR="004B2808" w:rsidRDefault="004B2808"/>
    <w:p w14:paraId="7E7CB92E" w14:textId="77777777" w:rsidR="004B2808" w:rsidRDefault="00000000">
      <w:pPr>
        <w:jc w:val="both"/>
      </w:pPr>
      <w:r>
        <w:rPr>
          <w:b/>
          <w:u w:val="single"/>
        </w:rPr>
        <w:t>Quincaillerie </w:t>
      </w:r>
    </w:p>
    <w:p w14:paraId="11D92083" w14:textId="77777777" w:rsidR="004B2808" w:rsidRDefault="00000000">
      <w:pPr>
        <w:jc w:val="both"/>
      </w:pPr>
      <w:r>
        <w:t>Les poignées de porte ou tirant sont vissé(es) à l'aide d'au moins </w:t>
      </w:r>
      <w:r>
        <w:rPr>
          <w:rStyle w:val="optioncarChar"/>
        </w:rPr>
        <w:t xml:space="preserve">2 </w:t>
      </w:r>
      <w:r>
        <w:t>(par défaut) </w:t>
      </w:r>
      <w:r>
        <w:rPr>
          <w:rStyle w:val="optioncarChar"/>
        </w:rPr>
        <w:t>/ 3 / ***</w:t>
      </w:r>
      <w:r>
        <w:t> vis et sont monté(es) </w:t>
      </w:r>
      <w:r>
        <w:rPr>
          <w:rStyle w:val="optioncarChar"/>
        </w:rPr>
        <w:t>sans </w:t>
      </w:r>
      <w:r>
        <w:t>(par défaut)</w:t>
      </w:r>
      <w:r>
        <w:rPr>
          <w:rStyle w:val="optioncarChar"/>
        </w:rPr>
        <w:t xml:space="preserve"> / avec</w:t>
      </w:r>
      <w:r>
        <w:t xml:space="preserve"> plaquettes de protection.</w:t>
      </w:r>
    </w:p>
    <w:p w14:paraId="51C0EC60" w14:textId="77777777" w:rsidR="004B2808" w:rsidRDefault="00000000">
      <w:pPr>
        <w:jc w:val="both"/>
      </w:pPr>
      <w:r>
        <w:t xml:space="preserve">Le vantail de porte est équipé d’une serrure </w:t>
      </w:r>
      <w:r>
        <w:rPr>
          <w:rStyle w:val="optioncarChar"/>
        </w:rPr>
        <w:t xml:space="preserve">à cylindre profilé </w:t>
      </w:r>
      <w:r>
        <w:t>(par défaut)</w:t>
      </w:r>
      <w:r>
        <w:rPr>
          <w:rStyle w:val="optioncarChar"/>
        </w:rPr>
        <w:t xml:space="preserve"> / à cylindre de sécurité / électromagnétique</w:t>
      </w:r>
      <w:r>
        <w:t>.</w:t>
      </w:r>
    </w:p>
    <w:p w14:paraId="7138EDD9" w14:textId="77777777" w:rsidR="004B2808" w:rsidRDefault="00000000">
      <w:pPr>
        <w:ind w:left="567"/>
        <w:jc w:val="both"/>
      </w:pPr>
      <w:r>
        <w:rPr>
          <w:b/>
          <w:i/>
        </w:rPr>
        <w:t>(Soit par défaut)</w:t>
      </w:r>
    </w:p>
    <w:p w14:paraId="300988E8" w14:textId="77777777" w:rsidR="004B2808" w:rsidRDefault="004B2808">
      <w:pPr>
        <w:ind w:left="567"/>
        <w:jc w:val="both"/>
      </w:pPr>
    </w:p>
    <w:p w14:paraId="78D5F57C" w14:textId="77777777" w:rsidR="004B2808" w:rsidRDefault="00000000">
      <w:pPr>
        <w:ind w:left="567"/>
        <w:jc w:val="both"/>
      </w:pPr>
      <w:r>
        <w:rPr>
          <w:rStyle w:val="soitChar"/>
          <w:u w:val="single"/>
        </w:rPr>
        <w:t>Serrure à cylindre profilé</w:t>
      </w:r>
      <w:r>
        <w:rPr>
          <w:rStyle w:val="soitChar"/>
        </w:rPr>
        <w:t xml:space="preserve"> en </w:t>
      </w:r>
      <w:r>
        <w:rPr>
          <w:rStyle w:val="optioncarChar"/>
        </w:rPr>
        <w:t>inox</w:t>
      </w:r>
      <w:r>
        <w:t xml:space="preserve"> (par défaut) </w:t>
      </w:r>
      <w:r>
        <w:rPr>
          <w:rStyle w:val="optioncarChar"/>
        </w:rPr>
        <w:t>/ laiton</w:t>
      </w:r>
      <w:r>
        <w:rPr>
          <w:rStyle w:val="soitChar"/>
        </w:rPr>
        <w:t>  avec </w:t>
      </w:r>
      <w:r>
        <w:rPr>
          <w:rStyle w:val="optioncarChar"/>
        </w:rPr>
        <w:t xml:space="preserve">trois </w:t>
      </w:r>
      <w:r>
        <w:t>(par défaut)</w:t>
      </w:r>
      <w:r>
        <w:rPr>
          <w:rStyle w:val="optioncarChar"/>
        </w:rPr>
        <w:t xml:space="preserve"> / quatre / cinq</w:t>
      </w:r>
      <w:r>
        <w:rPr>
          <w:rStyle w:val="soitChar"/>
        </w:rPr>
        <w:t> points de fermeture.</w:t>
      </w:r>
    </w:p>
    <w:p w14:paraId="433781A5" w14:textId="77777777" w:rsidR="004B2808" w:rsidRDefault="00000000">
      <w:pPr>
        <w:ind w:left="567"/>
        <w:jc w:val="both"/>
      </w:pPr>
      <w:r>
        <w:rPr>
          <w:rStyle w:val="soitChar"/>
        </w:rPr>
        <w:t xml:space="preserve">Par cylindre,  </w:t>
      </w:r>
      <w:r>
        <w:rPr>
          <w:rStyle w:val="optioncarChar"/>
        </w:rPr>
        <w:t xml:space="preserve">trois </w:t>
      </w:r>
      <w:r>
        <w:t>(par défaut)</w:t>
      </w:r>
      <w:r>
        <w:rPr>
          <w:rStyle w:val="optioncarChar"/>
        </w:rPr>
        <w:t xml:space="preserve"> / ***</w:t>
      </w:r>
      <w:r>
        <w:rPr>
          <w:rStyle w:val="soitChar"/>
        </w:rPr>
        <w:t xml:space="preserve"> clés avec bague et une plaquette d’identification en matière synthétique sont fournies. Le cylindre s’adapte dans la combinaison de clés de l’ensemble, à convenir avec l'administration. Les cylindres utilisés ne peuvent dépasser de plus de 2 mm. Afin de satisfaire à cette imposition, il peut suffire d'ajouter une rosette de sécurité.</w:t>
      </w:r>
    </w:p>
    <w:p w14:paraId="43756A7D" w14:textId="77777777" w:rsidR="004B2808" w:rsidRDefault="00000000">
      <w:pPr>
        <w:ind w:left="567"/>
        <w:jc w:val="both"/>
      </w:pPr>
      <w:r>
        <w:rPr>
          <w:b/>
          <w:i/>
        </w:rPr>
        <w:t>(Soit)</w:t>
      </w:r>
    </w:p>
    <w:p w14:paraId="0A830532" w14:textId="77777777" w:rsidR="004B2808" w:rsidRDefault="004B2808">
      <w:pPr>
        <w:ind w:left="567"/>
        <w:jc w:val="both"/>
      </w:pPr>
    </w:p>
    <w:p w14:paraId="5F6B0316" w14:textId="77777777" w:rsidR="004B2808" w:rsidRDefault="00000000">
      <w:pPr>
        <w:ind w:left="567"/>
        <w:jc w:val="both"/>
      </w:pPr>
      <w:r>
        <w:rPr>
          <w:rStyle w:val="soitChar"/>
          <w:u w:val="single"/>
        </w:rPr>
        <w:t>Serrure à cylindre de sécurité</w:t>
      </w:r>
      <w:r>
        <w:rPr>
          <w:rStyle w:val="soitChar"/>
        </w:rPr>
        <w:t xml:space="preserve"> en </w:t>
      </w:r>
      <w:r>
        <w:rPr>
          <w:rStyle w:val="optioncarChar"/>
        </w:rPr>
        <w:t xml:space="preserve">inox  </w:t>
      </w:r>
      <w:r>
        <w:t>(par défaut)</w:t>
      </w:r>
      <w:r>
        <w:rPr>
          <w:rStyle w:val="optioncarChar"/>
        </w:rPr>
        <w:t>  / laiton</w:t>
      </w:r>
      <w:r>
        <w:rPr>
          <w:rStyle w:val="soitChar"/>
        </w:rPr>
        <w:t>  avec </w:t>
      </w:r>
      <w:r>
        <w:rPr>
          <w:rStyle w:val="optioncarChar"/>
        </w:rPr>
        <w:t>trois </w:t>
      </w:r>
      <w:r>
        <w:t xml:space="preserve"> (par défaut)</w:t>
      </w:r>
      <w:r>
        <w:rPr>
          <w:rStyle w:val="optioncarChar"/>
        </w:rPr>
        <w:t>  / quatre  / cinq </w:t>
      </w:r>
      <w:r>
        <w:rPr>
          <w:rStyle w:val="soitChar"/>
        </w:rPr>
        <w:t>points de fermeture.</w:t>
      </w:r>
    </w:p>
    <w:p w14:paraId="27625E7A" w14:textId="77777777" w:rsidR="004B2808" w:rsidRDefault="00000000">
      <w:pPr>
        <w:ind w:left="567"/>
        <w:jc w:val="both"/>
      </w:pPr>
      <w:r>
        <w:rPr>
          <w:rStyle w:val="soitChar"/>
        </w:rPr>
        <w:lastRenderedPageBreak/>
        <w:t xml:space="preserve">Par cylindre, </w:t>
      </w:r>
      <w:r>
        <w:rPr>
          <w:rStyle w:val="optioncarChar"/>
        </w:rPr>
        <w:t>trois</w:t>
      </w:r>
      <w:r>
        <w:t xml:space="preserve"> (par défaut) </w:t>
      </w:r>
      <w:r>
        <w:rPr>
          <w:rStyle w:val="optioncarChar"/>
        </w:rPr>
        <w:t>/ ***</w:t>
      </w:r>
      <w:r>
        <w:rPr>
          <w:rStyle w:val="soitChar"/>
        </w:rPr>
        <w:t xml:space="preserve"> clés avec bague et une plaquette d’identification en matière synthétique sont fournies. Le cylindre s’adapte dans la combinaison de clés de l’ensemble, à convenir avec l'administration. Les cylindres utilisés ne peuvent dépasser de plus de 2 mm. Afin de satisfaire à cette imposition, il peut suffire d'ajouter une rosette de sécurité.</w:t>
      </w:r>
    </w:p>
    <w:p w14:paraId="03CF2EFD" w14:textId="77777777" w:rsidR="004B2808" w:rsidRDefault="00000000">
      <w:pPr>
        <w:ind w:left="567"/>
        <w:jc w:val="both"/>
      </w:pPr>
      <w:r>
        <w:rPr>
          <w:b/>
          <w:i/>
        </w:rPr>
        <w:t>(Soit)</w:t>
      </w:r>
    </w:p>
    <w:p w14:paraId="3E4A4A05" w14:textId="77777777" w:rsidR="004B2808" w:rsidRDefault="004B2808">
      <w:pPr>
        <w:ind w:left="567"/>
        <w:jc w:val="both"/>
      </w:pPr>
    </w:p>
    <w:p w14:paraId="43067ECD" w14:textId="77777777" w:rsidR="004B2808" w:rsidRDefault="00000000">
      <w:pPr>
        <w:ind w:left="567"/>
        <w:jc w:val="both"/>
      </w:pPr>
      <w:r>
        <w:rPr>
          <w:rStyle w:val="soitChar"/>
          <w:u w:val="single"/>
        </w:rPr>
        <w:t>Serrure électromagnétique</w:t>
      </w:r>
      <w:r>
        <w:rPr>
          <w:rStyle w:val="soitChar"/>
        </w:rPr>
        <w:t xml:space="preserve"> - standard lorsqu'un parlophone est prévu.</w:t>
      </w:r>
    </w:p>
    <w:p w14:paraId="6B3B6845" w14:textId="77777777" w:rsidR="004B2808" w:rsidRDefault="00000000">
      <w:pPr>
        <w:ind w:left="567"/>
        <w:jc w:val="both"/>
      </w:pPr>
      <w:r>
        <w:t> </w:t>
      </w:r>
    </w:p>
    <w:p w14:paraId="611C0B30" w14:textId="77777777" w:rsidR="004B2808" w:rsidRDefault="00000000">
      <w:pPr>
        <w:jc w:val="both"/>
      </w:pPr>
      <w:r>
        <w:t>Les parties visibles de la quincaillerie sont </w:t>
      </w:r>
      <w:r>
        <w:rPr>
          <w:rStyle w:val="optioncarChar"/>
        </w:rPr>
        <w:t xml:space="preserve">dans une couleur harmonisée à celle des profils principaux </w:t>
      </w:r>
      <w:r>
        <w:t xml:space="preserve">(par défaut) </w:t>
      </w:r>
      <w:r>
        <w:rPr>
          <w:rStyle w:val="optioncarChar"/>
        </w:rPr>
        <w:t>/ de couleur identique à celle des profils principaux / dans la couleur RAL ***</w:t>
      </w:r>
      <w:r>
        <w:t>. La quincaillerie est soumise pour approbation à l'auteur de projet ou au maître de l'ouvrage.</w:t>
      </w:r>
    </w:p>
    <w:p w14:paraId="0BE60E7A" w14:textId="77777777" w:rsidR="004B2808" w:rsidRDefault="004B2808">
      <w:pPr>
        <w:jc w:val="both"/>
      </w:pPr>
    </w:p>
    <w:p w14:paraId="13C6103A" w14:textId="77777777" w:rsidR="004B2808" w:rsidRDefault="00000000">
      <w:pPr>
        <w:jc w:val="both"/>
      </w:pPr>
      <w:r>
        <w:t>La porte d'entrée (principale) est actionnée avec une poignée à l'intérieur et avec une clé et un tirant à l'extérieur. Les autres portes sont actionnées à l'aide d'une poignée à l'intérieur et à l'extérieur. Les commandes de portes sont soumises pour approbation à l'auteur de projet ou au maître de l'ouvrage.</w:t>
      </w:r>
    </w:p>
    <w:p w14:paraId="30693380" w14:textId="77777777" w:rsidR="004B2808" w:rsidRDefault="00000000">
      <w:pPr>
        <w:pStyle w:val="pheading"/>
      </w:pPr>
      <w:r>
        <w:t>- Finitions</w:t>
      </w:r>
    </w:p>
    <w:p w14:paraId="4EE97257" w14:textId="77777777" w:rsidR="004B2808" w:rsidRDefault="00000000">
      <w:pPr>
        <w:jc w:val="both"/>
      </w:pPr>
      <w:r>
        <w:t>Protection de la surface : </w:t>
      </w:r>
      <w:r>
        <w:rPr>
          <w:rStyle w:val="optioncarChar"/>
        </w:rPr>
        <w:t xml:space="preserve">métallisation par pulvérisation de zinc </w:t>
      </w:r>
      <w:r>
        <w:t>(par défaut)</w:t>
      </w:r>
      <w:r>
        <w:rPr>
          <w:rStyle w:val="optioncarChar"/>
        </w:rPr>
        <w:t xml:space="preserve"> / phosphatage / galvanisation par immersion suivie d'une mise en peinture / ***</w:t>
      </w:r>
    </w:p>
    <w:p w14:paraId="6CD46053" w14:textId="77777777" w:rsidR="004B2808" w:rsidRDefault="004B2808">
      <w:pPr>
        <w:jc w:val="both"/>
      </w:pPr>
    </w:p>
    <w:p w14:paraId="2A803F7F" w14:textId="77777777" w:rsidR="004B2808" w:rsidRDefault="00000000">
      <w:pPr>
        <w:jc w:val="both"/>
      </w:pPr>
      <w:r>
        <w:t>Finition de la surface : </w:t>
      </w:r>
      <w:r>
        <w:rPr>
          <w:rStyle w:val="optioncarChar"/>
        </w:rPr>
        <w:t>revêtement par poudrage</w:t>
      </w:r>
      <w:r>
        <w:t xml:space="preserve"> (par défaut) </w:t>
      </w:r>
      <w:r>
        <w:rPr>
          <w:rStyle w:val="optioncarChar"/>
        </w:rPr>
        <w:t>/ ***</w:t>
      </w:r>
    </w:p>
    <w:p w14:paraId="1510C1FB" w14:textId="77777777" w:rsidR="004B2808" w:rsidRDefault="004B2808">
      <w:pPr>
        <w:jc w:val="both"/>
      </w:pPr>
    </w:p>
    <w:p w14:paraId="3EEE81AA" w14:textId="77777777" w:rsidR="004B2808" w:rsidRDefault="00000000">
      <w:pPr>
        <w:jc w:val="both"/>
      </w:pPr>
      <w:r>
        <w:t>Les couches de peinture résistent aux chocs et ne s’écaillent pas aux bords lors d’opérations mécaniques (forage, sciage, fraisage, poinçonnage, ...). Les échantillons de profilés nécessaires sont préalablement soumis à l’auteur de projet.</w:t>
      </w:r>
    </w:p>
    <w:p w14:paraId="5EF13B89" w14:textId="77777777" w:rsidR="004B2808" w:rsidRDefault="004B2808">
      <w:pPr>
        <w:jc w:val="both"/>
      </w:pPr>
    </w:p>
    <w:p w14:paraId="6785DC5F" w14:textId="77777777" w:rsidR="004B2808" w:rsidRDefault="00000000">
      <w:pPr>
        <w:jc w:val="both"/>
      </w:pPr>
      <w:r>
        <w:t>Pour les couleurs RAL, l’épaisseur de couche atteint en moyenne 60 microns minimum.</w:t>
      </w:r>
    </w:p>
    <w:p w14:paraId="15640E0B" w14:textId="77777777" w:rsidR="004B2808" w:rsidRDefault="00000000">
      <w:pPr>
        <w:jc w:val="both"/>
      </w:pPr>
      <w:r>
        <w:t xml:space="preserve"> Pour les couleurs métallisées, le pigment de couleur est ‘fondu’ avec la poudre de base (Bonding process). Un mélange homogène de l’aluminium ou des particules en inox n’est pas autorisé afin d’éviter la formation de nuages.</w:t>
      </w:r>
    </w:p>
    <w:p w14:paraId="3A7B7431" w14:textId="77777777" w:rsidR="004B2808" w:rsidRDefault="00000000">
      <w:pPr>
        <w:jc w:val="both"/>
      </w:pPr>
      <w:r>
        <w:t>La teinte du traitement de surface du profilé est soumise pour validation au FD ou à l’architecte, sur base d’un échantillon. </w:t>
      </w:r>
    </w:p>
    <w:p w14:paraId="2D255E7C" w14:textId="77777777" w:rsidR="004B2808" w:rsidRDefault="004B2808">
      <w:pPr>
        <w:jc w:val="both"/>
      </w:pPr>
    </w:p>
    <w:p w14:paraId="0DA676FE" w14:textId="77777777" w:rsidR="004B2808" w:rsidRDefault="00000000">
      <w:pPr>
        <w:jc w:val="both"/>
      </w:pPr>
      <w:r>
        <w:t xml:space="preserve">Les finitions de surface permettent en outre les combinaisons de couleurs </w:t>
      </w:r>
      <w:r>
        <w:rPr>
          <w:rStyle w:val="optioncarChar"/>
        </w:rPr>
        <w:t>intérieures / extérieures.</w:t>
      </w:r>
    </w:p>
    <w:p w14:paraId="462FADBD" w14:textId="77777777" w:rsidR="004B2808" w:rsidRDefault="004B2808">
      <w:pPr>
        <w:jc w:val="both"/>
      </w:pPr>
    </w:p>
    <w:p w14:paraId="2E28FFBB" w14:textId="77777777" w:rsidR="004B2808" w:rsidRDefault="00000000">
      <w:pPr>
        <w:jc w:val="both"/>
      </w:pPr>
      <w:r>
        <w:t>Teinte du profilé extérieur : </w:t>
      </w:r>
      <w:r>
        <w:rPr>
          <w:rStyle w:val="optioncarChar"/>
        </w:rPr>
        <w:t>à choisir dans la gamme standard du fabricant</w:t>
      </w:r>
      <w:r>
        <w:t xml:space="preserve"> (par défaut)</w:t>
      </w:r>
      <w:r>
        <w:rPr>
          <w:rStyle w:val="optioncarChar"/>
        </w:rPr>
        <w:t xml:space="preserve"> / Couleur RAL ***.</w:t>
      </w:r>
    </w:p>
    <w:p w14:paraId="75E77B21" w14:textId="77777777" w:rsidR="004B2808" w:rsidRDefault="004B2808">
      <w:pPr>
        <w:jc w:val="both"/>
      </w:pPr>
    </w:p>
    <w:p w14:paraId="4C6B84CB" w14:textId="77777777" w:rsidR="004B2808" w:rsidRDefault="00000000">
      <w:pPr>
        <w:jc w:val="both"/>
      </w:pPr>
      <w:r>
        <w:t xml:space="preserve">Degré de brillance : </w:t>
      </w:r>
      <w:r>
        <w:rPr>
          <w:rStyle w:val="optioncarChar"/>
        </w:rPr>
        <w:t>30 % </w:t>
      </w:r>
      <w:r>
        <w:t>(par défaut)</w:t>
      </w:r>
      <w:r>
        <w:rPr>
          <w:rStyle w:val="optioncarChar"/>
        </w:rPr>
        <w:t> / 70 % / 90 % / ***</w:t>
      </w:r>
      <w:r>
        <w:t xml:space="preserve">  sous un angle de 60 ° </w:t>
      </w:r>
      <w:r>
        <w:rPr>
          <w:rStyle w:val="optioncarChar"/>
        </w:rPr>
        <w:t>mat </w:t>
      </w:r>
      <w:r>
        <w:t>(par défaut) </w:t>
      </w:r>
      <w:r>
        <w:rPr>
          <w:rStyle w:val="optioncarChar"/>
        </w:rPr>
        <w:t>/ métallisée / ***</w:t>
      </w:r>
    </w:p>
    <w:p w14:paraId="53D2377C" w14:textId="77777777" w:rsidR="004B2808" w:rsidRDefault="00000000">
      <w:pPr>
        <w:jc w:val="both"/>
      </w:pPr>
      <w:r>
        <w:t xml:space="preserve">La porte comporte un </w:t>
      </w:r>
      <w:r>
        <w:rPr>
          <w:rStyle w:val="optioncarChar"/>
        </w:rPr>
        <w:t xml:space="preserve">arrêt – fin de course </w:t>
      </w:r>
      <w:r>
        <w:t xml:space="preserve">(par défaut) </w:t>
      </w:r>
      <w:r>
        <w:rPr>
          <w:rStyle w:val="optioncarChar"/>
        </w:rPr>
        <w:t> / ***</w:t>
      </w:r>
    </w:p>
    <w:p w14:paraId="42A784C9" w14:textId="77777777" w:rsidR="004B2808" w:rsidRDefault="00000000">
      <w:pPr>
        <w:pStyle w:val="pheading"/>
      </w:pPr>
      <w:r>
        <w:t>EXÉCUTION / MISE EN ŒUVRE</w:t>
      </w:r>
    </w:p>
    <w:p w14:paraId="2F9DECB6" w14:textId="77777777" w:rsidR="004B2808" w:rsidRDefault="00000000">
      <w:pPr>
        <w:pStyle w:val="pheading"/>
      </w:pPr>
      <w:r>
        <w:t>- Prescriptions générales</w:t>
      </w:r>
    </w:p>
    <w:p w14:paraId="588EC5DA" w14:textId="77777777" w:rsidR="004B2808" w:rsidRDefault="00000000">
      <w:pPr>
        <w:jc w:val="both"/>
      </w:pPr>
      <w:r>
        <w:t xml:space="preserve">Le cadre de porte est fixé au gros œuvre par </w:t>
      </w:r>
      <w:r>
        <w:rPr>
          <w:rStyle w:val="optioncarChar"/>
        </w:rPr>
        <w:t>patte de fixation</w:t>
      </w:r>
      <w:r>
        <w:t xml:space="preserve"> (par défaut) </w:t>
      </w:r>
      <w:r>
        <w:rPr>
          <w:rStyle w:val="optioncarChar"/>
        </w:rPr>
        <w:t>/ cheville / ***.</w:t>
      </w:r>
    </w:p>
    <w:p w14:paraId="78491DD3" w14:textId="77777777" w:rsidR="004B2808" w:rsidRDefault="00000000">
      <w:pPr>
        <w:jc w:val="both"/>
      </w:pPr>
      <w:r>
        <w:lastRenderedPageBreak/>
        <w:t xml:space="preserve">La porte comporte des ancrages </w:t>
      </w:r>
      <w:r>
        <w:rPr>
          <w:rStyle w:val="optioncarChar"/>
        </w:rPr>
        <w:t xml:space="preserve">horizontaux </w:t>
      </w:r>
      <w:r>
        <w:t>(par défaut)</w:t>
      </w:r>
      <w:r>
        <w:rPr>
          <w:rStyle w:val="optioncarChar"/>
        </w:rPr>
        <w:t xml:space="preserve"> / horizontaux et dans la dalle de sol / horizontaux, dans le linteau et la dalle de sol / ***.</w:t>
      </w:r>
    </w:p>
    <w:p w14:paraId="280A1B7E" w14:textId="77777777" w:rsidR="004B2808" w:rsidRDefault="00000000">
      <w:pPr>
        <w:jc w:val="both"/>
      </w:pPr>
      <w:r>
        <w:t xml:space="preserve">L'huisserie est placée d'équerre et d'aplomb. L’huisserie est remplie de </w:t>
      </w:r>
      <w:r>
        <w:rPr>
          <w:rStyle w:val="optioncarChar"/>
        </w:rPr>
        <w:t xml:space="preserve">laine de roche </w:t>
      </w:r>
      <w:r>
        <w:t>(par défaut)</w:t>
      </w:r>
      <w:r>
        <w:rPr>
          <w:rStyle w:val="optioncarChar"/>
        </w:rPr>
        <w:t xml:space="preserve"> / béton / mousse de polyuréthane résistant au feu / ***.</w:t>
      </w:r>
    </w:p>
    <w:p w14:paraId="26CD83B9" w14:textId="77777777" w:rsidR="004B2808" w:rsidRDefault="00000000">
      <w:pPr>
        <w:jc w:val="both"/>
      </w:pPr>
      <w:r>
        <w:t>Les matériaux de resserrage et de remplissage sont conformes et mis en œuvre suivant les spécifications de la documentation technique accompagnant le produit, aux [STS 53.1], à la [NIT 234] pour des portes résistant au feu, [NIT 206] pour la résistance à l’effraction.</w:t>
      </w:r>
    </w:p>
    <w:p w14:paraId="3543069B" w14:textId="77777777" w:rsidR="004B2808" w:rsidRDefault="00000000">
      <w:pPr>
        <w:pStyle w:val="pheading"/>
      </w:pPr>
      <w:r>
        <w:t>DOCUMENTS DE RÉFÉRENCE COMPLÉMENTAIRES</w:t>
      </w:r>
    </w:p>
    <w:p w14:paraId="67613D33" w14:textId="77777777" w:rsidR="004B2808" w:rsidRDefault="00000000">
      <w:pPr>
        <w:pStyle w:val="pheading"/>
      </w:pPr>
      <w:r>
        <w:t>- Matériau</w:t>
      </w:r>
    </w:p>
    <w:p w14:paraId="1875C604" w14:textId="77777777" w:rsidR="004B2808" w:rsidRDefault="00000000">
      <w:r>
        <w:t>[STS 36, Menuiseries métalliques : fenêtres, façades légères et huisseries]</w:t>
      </w:r>
    </w:p>
    <w:p w14:paraId="793A3DEC" w14:textId="77777777" w:rsidR="004B2808" w:rsidRDefault="00000000">
      <w:r>
        <w:t>[NBN EN 10020, Définition et classification des nuances d'acier]</w:t>
      </w:r>
    </w:p>
    <w:p w14:paraId="4A6688F6" w14:textId="77777777" w:rsidR="004B2808" w:rsidRDefault="00000000">
      <w:r>
        <w:t>[NBN EN 10025 série, Produits laminés à chaud en aciers de construction] </w:t>
      </w:r>
    </w:p>
    <w:p w14:paraId="5AA11384" w14:textId="77777777" w:rsidR="004B2808" w:rsidRDefault="00000000">
      <w:r>
        <w:t>[STS 53.1, Portes]</w:t>
      </w:r>
    </w:p>
    <w:p w14:paraId="70769A19" w14:textId="77777777" w:rsidR="004B2808" w:rsidRDefault="00000000">
      <w:pPr>
        <w:pStyle w:val="pheading"/>
      </w:pPr>
      <w:r>
        <w:t>- Exécution</w:t>
      </w:r>
    </w:p>
    <w:p w14:paraId="1102A78C" w14:textId="77777777" w:rsidR="004B2808" w:rsidRDefault="00000000">
      <w:r>
        <w:t>[STS 53.1, Portes]</w:t>
      </w:r>
    </w:p>
    <w:p w14:paraId="2DE26015" w14:textId="77777777" w:rsidR="004B2808" w:rsidRDefault="00000000">
      <w:r>
        <w:t>[NIT 234, Le placement des portes résistant au feu (remplace la NIT 185).]</w:t>
      </w:r>
    </w:p>
    <w:p w14:paraId="608CBE46" w14:textId="77777777" w:rsidR="004B2808" w:rsidRDefault="00000000">
      <w:r>
        <w:t xml:space="preserve">[NIT 206, </w:t>
      </w:r>
      <w:r>
        <w:tab/>
        <w:t>Protection mécanique de la menuiserie et des vitrages contre l'effraction]</w:t>
      </w:r>
    </w:p>
    <w:p w14:paraId="126C698F" w14:textId="77777777" w:rsidR="004B2808" w:rsidRDefault="00000000">
      <w:pPr>
        <w:pStyle w:val="pheading"/>
      </w:pPr>
      <w:r>
        <w:t>MESURAGE</w:t>
      </w:r>
    </w:p>
    <w:p w14:paraId="641A5C87" w14:textId="77777777" w:rsidR="004B2808" w:rsidRDefault="00000000">
      <w:pPr>
        <w:pStyle w:val="pheading"/>
      </w:pPr>
      <w:r>
        <w:t>- unité de mesure:</w:t>
      </w:r>
    </w:p>
    <w:p w14:paraId="625C8F1E" w14:textId="77777777" w:rsidR="004B2808" w:rsidRDefault="00000000">
      <w:r>
        <w:rPr>
          <w:rStyle w:val="optioncarChar"/>
        </w:rPr>
        <w:t xml:space="preserve">pc </w:t>
      </w:r>
      <w:r>
        <w:t>(par défaut)</w:t>
      </w:r>
      <w:r>
        <w:rPr>
          <w:rStyle w:val="optioncarChar"/>
        </w:rPr>
        <w:t xml:space="preserve"> / m²</w:t>
      </w:r>
    </w:p>
    <w:p w14:paraId="13EB5734" w14:textId="77777777" w:rsidR="004B2808" w:rsidRDefault="00000000">
      <w:r>
        <w:rPr>
          <w:b/>
          <w:i/>
        </w:rPr>
        <w:t>(Soit par défaut)</w:t>
      </w:r>
    </w:p>
    <w:p w14:paraId="467D2F8C" w14:textId="77777777" w:rsidR="004B2808" w:rsidRDefault="00000000">
      <w:r>
        <w:rPr>
          <w:rStyle w:val="soitChar"/>
        </w:rPr>
        <w:t>1. pc</w:t>
      </w:r>
    </w:p>
    <w:p w14:paraId="4B95D68A" w14:textId="77777777" w:rsidR="004B2808" w:rsidRDefault="00000000">
      <w:r>
        <w:rPr>
          <w:b/>
          <w:i/>
        </w:rPr>
        <w:t>(Soit)</w:t>
      </w:r>
    </w:p>
    <w:p w14:paraId="4E544D50" w14:textId="77777777" w:rsidR="004B2808" w:rsidRDefault="00000000">
      <w:r>
        <w:rPr>
          <w:rStyle w:val="soitChar"/>
        </w:rPr>
        <w:t>2. m²</w:t>
      </w:r>
    </w:p>
    <w:p w14:paraId="1326E675" w14:textId="77777777" w:rsidR="004B2808" w:rsidRDefault="00000000">
      <w:pPr>
        <w:pStyle w:val="pheading"/>
      </w:pPr>
      <w:r>
        <w:t>- code de mesurage:</w:t>
      </w:r>
    </w:p>
    <w:p w14:paraId="5663DBA9" w14:textId="77777777" w:rsidR="004B2808" w:rsidRDefault="00000000">
      <w:pPr>
        <w:jc w:val="both"/>
      </w:pPr>
      <w:r>
        <w:rPr>
          <w:rStyle w:val="optioncarChar"/>
        </w:rPr>
        <w:t xml:space="preserve">Par pièce </w:t>
      </w:r>
      <w:r>
        <w:t xml:space="preserve">(par défaut) </w:t>
      </w:r>
      <w:r>
        <w:rPr>
          <w:rStyle w:val="optioncarChar"/>
        </w:rPr>
        <w:t>/ Surface Nette</w:t>
      </w:r>
    </w:p>
    <w:p w14:paraId="4FEED555" w14:textId="77777777" w:rsidR="004B2808" w:rsidRDefault="00000000">
      <w:pPr>
        <w:jc w:val="both"/>
      </w:pPr>
      <w:r>
        <w:rPr>
          <w:b/>
          <w:i/>
        </w:rPr>
        <w:t>(Soit par défaut)</w:t>
      </w:r>
    </w:p>
    <w:p w14:paraId="187B1026" w14:textId="77777777" w:rsidR="004B2808" w:rsidRDefault="00000000">
      <w:pPr>
        <w:jc w:val="both"/>
      </w:pPr>
      <w:r>
        <w:rPr>
          <w:rStyle w:val="soitChar"/>
        </w:rPr>
        <w:t>1.</w:t>
      </w:r>
      <w:r>
        <w:rPr>
          <w:rStyle w:val="soitChar"/>
          <w:u w:val="single"/>
        </w:rPr>
        <w:t xml:space="preserve"> Par pièce</w:t>
      </w:r>
      <w:r>
        <w:rPr>
          <w:rStyle w:val="soitChar"/>
        </w:rPr>
        <w:t xml:space="preserve"> incluant les accessoires</w:t>
      </w:r>
    </w:p>
    <w:p w14:paraId="4427355B" w14:textId="77777777" w:rsidR="004B2808" w:rsidRDefault="00000000">
      <w:pPr>
        <w:jc w:val="both"/>
      </w:pPr>
      <w:r>
        <w:rPr>
          <w:b/>
          <w:i/>
        </w:rPr>
        <w:t>(Soit)</w:t>
      </w:r>
    </w:p>
    <w:p w14:paraId="2F36BCB3" w14:textId="77777777" w:rsidR="004B2808" w:rsidRDefault="00000000">
      <w:pPr>
        <w:jc w:val="both"/>
      </w:pPr>
      <w:r>
        <w:rPr>
          <w:rStyle w:val="soitChar"/>
        </w:rPr>
        <w:t>2.</w:t>
      </w:r>
      <w:r>
        <w:rPr>
          <w:rStyle w:val="soitChar"/>
          <w:u w:val="single"/>
        </w:rPr>
        <w:t xml:space="preserve"> Surface nette</w:t>
      </w:r>
      <w:r>
        <w:rPr>
          <w:rStyle w:val="soitChar"/>
        </w:rPr>
        <w:t xml:space="preserve"> en développement des dimensions dans l'œuvre. (Le cas échéant, ventilé selon le type ou le modèle conformément aux indications dans le métré récapitulatif annexé au dossier d'adjudication). Distinction faite entre portes neuves et de réemploi, avec ou sans fourniture pour ces dernières.</w:t>
      </w:r>
    </w:p>
    <w:p w14:paraId="61F1F44B" w14:textId="77777777" w:rsidR="004B2808" w:rsidRDefault="00000000">
      <w:pPr>
        <w:pStyle w:val="pheading"/>
      </w:pPr>
      <w:r>
        <w:t>- nature du marché:</w:t>
      </w:r>
    </w:p>
    <w:p w14:paraId="1A35D636" w14:textId="77777777" w:rsidR="004B2808" w:rsidRDefault="00000000">
      <w:r>
        <w:t>QF</w:t>
      </w:r>
    </w:p>
    <w:p w14:paraId="1E679DDA" w14:textId="77777777" w:rsidR="004B2808" w:rsidRDefault="00000000">
      <w:pPr>
        <w:pStyle w:val="Author-eSectionHeading6Numberless"/>
      </w:pPr>
      <w:bookmarkStart w:id="1090" w:name="_Toc220491217"/>
      <w:r>
        <w:t>55.22.1b Portes intérieures en acier AVEC coupure thermique CCTB 01.07</w:t>
      </w:r>
      <w:bookmarkEnd w:id="1090"/>
    </w:p>
    <w:p w14:paraId="081F6B92" w14:textId="77777777" w:rsidR="004B2808" w:rsidRDefault="00000000">
      <w:pPr>
        <w:pStyle w:val="pheading"/>
      </w:pPr>
      <w:r>
        <w:t>MATÉRIAUX</w:t>
      </w:r>
    </w:p>
    <w:p w14:paraId="386E7C6F" w14:textId="77777777" w:rsidR="004B2808" w:rsidRDefault="00000000">
      <w:pPr>
        <w:pStyle w:val="pheading"/>
      </w:pPr>
      <w:r>
        <w:t>- Prescriptions complémentaires</w:t>
      </w:r>
    </w:p>
    <w:p w14:paraId="01A8713D" w14:textId="77777777" w:rsidR="004B2808" w:rsidRDefault="00000000">
      <w:pPr>
        <w:pStyle w:val="heading"/>
      </w:pPr>
      <w:r>
        <w:t>(critères de performance)  Vantaux de porte</w:t>
      </w:r>
    </w:p>
    <w:p w14:paraId="360CEC81" w14:textId="77777777" w:rsidR="004B2808" w:rsidRDefault="00000000">
      <w:r>
        <w:t>Conformément aux indications supplémentaires dans le cahier spécial des charges, les dispositions supplémentaires suivantes sont d'application :</w:t>
      </w:r>
    </w:p>
    <w:p w14:paraId="28D9E54F" w14:textId="77777777" w:rsidR="004B2808" w:rsidRDefault="00000000">
      <w:pPr>
        <w:pStyle w:val="Author-eListParagraph"/>
        <w:numPr>
          <w:ilvl w:val="0"/>
          <w:numId w:val="1049"/>
        </w:numPr>
      </w:pPr>
      <w:r>
        <w:lastRenderedPageBreak/>
        <w:t>Les dispositions des [STS 53.1] pour les portes intérieures planes dans les salles de bains et les autres locaux humides.</w:t>
      </w:r>
    </w:p>
    <w:p w14:paraId="4A3EE1D6" w14:textId="77777777" w:rsidR="004B2808" w:rsidRDefault="00000000">
      <w:r>
        <w:br/>
        <w:t>Attention  : Les ensembles de porte résistant au feu sont toujours considérés dans un poste séparé.</w:t>
      </w:r>
    </w:p>
    <w:p w14:paraId="696ABC49" w14:textId="77777777" w:rsidR="004B2808" w:rsidRDefault="00000000">
      <w:pPr>
        <w:pStyle w:val="heading"/>
      </w:pPr>
      <w:r>
        <w:t>(Accessoires) Vantaux de porte</w:t>
      </w:r>
    </w:p>
    <w:p w14:paraId="3EC62BCA"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538AB41B" w14:textId="77777777" w:rsidR="004B2808" w:rsidRDefault="00000000">
      <w:pPr>
        <w:pStyle w:val="Author-eListParagraph"/>
        <w:numPr>
          <w:ilvl w:val="0"/>
          <w:numId w:val="1050"/>
        </w:numPr>
      </w:pPr>
      <w:r>
        <w:t>Equipés d'un vitrage :</w:t>
      </w:r>
    </w:p>
    <w:p w14:paraId="0B2C53D7" w14:textId="77777777" w:rsidR="004B2808" w:rsidRDefault="00000000">
      <w:pPr>
        <w:pStyle w:val="Author-eListParagraph"/>
        <w:numPr>
          <w:ilvl w:val="0"/>
          <w:numId w:val="1050"/>
        </w:numPr>
      </w:pPr>
      <w:r>
        <w:t xml:space="preserve">En verre de sécurité </w:t>
      </w:r>
      <w:r>
        <w:rPr>
          <w:rStyle w:val="optioncarChar"/>
        </w:rPr>
        <w:t>*** / simple / clair / mat / opale / ***</w:t>
      </w:r>
      <w:r>
        <w:t xml:space="preserve"> , selon la [NBN S 23-002]</w:t>
      </w:r>
    </w:p>
    <w:p w14:paraId="3E992563" w14:textId="77777777" w:rsidR="004B2808" w:rsidRDefault="00000000">
      <w:pPr>
        <w:pStyle w:val="Author-eListParagraph"/>
        <w:numPr>
          <w:ilvl w:val="0"/>
          <w:numId w:val="1050"/>
        </w:numPr>
      </w:pPr>
      <w:r>
        <w:t xml:space="preserve">Réservation dans le vantail de porte : </w:t>
      </w:r>
      <w:r>
        <w:rPr>
          <w:rStyle w:val="optioncarChar"/>
        </w:rPr>
        <w:t xml:space="preserve">*** / rectangulaire / ronde / conformément aux dessins de détail / selon le modèle </w:t>
      </w:r>
      <w:r>
        <w:t>à soumettre pour approbation (pour les réservations dans les portes à âme creuse, un cadre en bois est appliqué et collé).</w:t>
      </w:r>
    </w:p>
    <w:p w14:paraId="143C2F58" w14:textId="77777777" w:rsidR="004B2808" w:rsidRDefault="00000000">
      <w:pPr>
        <w:pStyle w:val="Author-eListParagraph"/>
        <w:numPr>
          <w:ilvl w:val="0"/>
          <w:numId w:val="1050"/>
        </w:numPr>
      </w:pPr>
      <w:r>
        <w:t xml:space="preserve">Fixation de la vitre dans la réservation à l'aide de : </w:t>
      </w:r>
      <w:r>
        <w:rPr>
          <w:rStyle w:val="optioncarChar"/>
        </w:rPr>
        <w:t>*** / mastic plastique / profils de fixation à enclenchement en PVC</w:t>
      </w:r>
    </w:p>
    <w:p w14:paraId="63F0F76B" w14:textId="77777777" w:rsidR="004B2808" w:rsidRDefault="00000000">
      <w:pPr>
        <w:pStyle w:val="Author-eListParagraph"/>
        <w:numPr>
          <w:ilvl w:val="0"/>
          <w:numId w:val="1050"/>
        </w:numPr>
      </w:pPr>
      <w:r>
        <w:t xml:space="preserve">Les vitres sont encadrées par : </w:t>
      </w:r>
      <w:r>
        <w:rPr>
          <w:rStyle w:val="optioncarChar"/>
        </w:rPr>
        <w:t>*** / des lattes en acier de la même qualité, même finition que les profilés de la porte / ***.</w:t>
      </w:r>
    </w:p>
    <w:p w14:paraId="2E50A368" w14:textId="77777777" w:rsidR="004B2808" w:rsidRDefault="00000000">
      <w:pPr>
        <w:pStyle w:val="Author-eListParagraph"/>
        <w:numPr>
          <w:ilvl w:val="0"/>
          <w:numId w:val="1050"/>
        </w:numPr>
      </w:pPr>
      <w:r>
        <w:t xml:space="preserve">Pourvus d'une grille encastrée, selon l'article </w:t>
      </w:r>
      <w:hyperlink w:anchor="1322" w:history="1">
        <w:r w:rsidR="004B2808">
          <w:rPr>
            <w:color w:val="0000EE"/>
          </w:rPr>
          <w:t>55.68.1 Grilles de transfert dans les portes</w:t>
        </w:r>
      </w:hyperlink>
      <w:r>
        <w:t xml:space="preserve"> grilles de transfert dans les portes, ouverture d'aération conformément à la[NBN D 50-001]</w:t>
      </w:r>
    </w:p>
    <w:p w14:paraId="669996F5" w14:textId="77777777" w:rsidR="004B2808" w:rsidRDefault="00000000">
      <w:pPr>
        <w:pStyle w:val="Author-eListParagraph"/>
        <w:numPr>
          <w:ilvl w:val="0"/>
          <w:numId w:val="1050"/>
        </w:numPr>
      </w:pPr>
      <w:r>
        <w:t xml:space="preserve">Pourvus d'une fente de ventilation d'environ </w:t>
      </w:r>
      <w:r>
        <w:rPr>
          <w:rStyle w:val="optioncarChar"/>
        </w:rPr>
        <w:t>*** / 1</w:t>
      </w:r>
      <w:r>
        <w:t xml:space="preserve"> cm dans le bas, de façon telle que l'ouverture d'aération soit conformé à la [NBN D 50-001]</w:t>
      </w:r>
    </w:p>
    <w:p w14:paraId="2D412E77" w14:textId="77777777" w:rsidR="004B2808" w:rsidRDefault="00000000">
      <w:pPr>
        <w:pStyle w:val="Author-eListParagraph"/>
        <w:numPr>
          <w:ilvl w:val="0"/>
          <w:numId w:val="1050"/>
        </w:numPr>
      </w:pPr>
      <w:r>
        <w:t>Conçues comme portes coulissantes (les vantaux de porte et les huisseries sont conformes aux portes ouvrantes ordinaires. Seuls le mode de suspension et la quincaillerie concernée sont adaptés au concept des vantaux de porte coulissants).</w:t>
      </w:r>
    </w:p>
    <w:p w14:paraId="38A04F91" w14:textId="77777777" w:rsidR="004B2808" w:rsidRDefault="00000000">
      <w:pPr>
        <w:pStyle w:val="Author-eListParagraph"/>
        <w:numPr>
          <w:ilvl w:val="0"/>
          <w:numId w:val="1050"/>
        </w:numPr>
      </w:pPr>
      <w:r>
        <w:t xml:space="preserve">Portes coulissantes </w:t>
      </w:r>
      <w:r>
        <w:rPr>
          <w:rStyle w:val="optioncarChar"/>
        </w:rPr>
        <w:t>*** / simples / doubles</w:t>
      </w:r>
    </w:p>
    <w:p w14:paraId="79193A53" w14:textId="77777777" w:rsidR="004B2808" w:rsidRDefault="00000000">
      <w:pPr>
        <w:pStyle w:val="Author-eListParagraph"/>
        <w:numPr>
          <w:ilvl w:val="0"/>
          <w:numId w:val="1050"/>
        </w:numPr>
      </w:pPr>
      <w:r>
        <w:t>Composées de</w:t>
      </w:r>
      <w:r>
        <w:rPr>
          <w:rStyle w:val="optioncarChar"/>
        </w:rPr>
        <w:t xml:space="preserve"> *** / un panneau / deux panneaux</w:t>
      </w:r>
    </w:p>
    <w:p w14:paraId="57DF7B63" w14:textId="77777777" w:rsidR="004B2808" w:rsidRDefault="00000000">
      <w:pPr>
        <w:pStyle w:val="Author-eListParagraph"/>
        <w:numPr>
          <w:ilvl w:val="0"/>
          <w:numId w:val="1050"/>
        </w:numPr>
      </w:pPr>
      <w:r>
        <w:t>Mécanisme de coulisse : rails en acier galvanisé; galets en nylon de première qualité; type et modèle en fonction du type et du poids des vantaux coulissants.</w:t>
      </w:r>
    </w:p>
    <w:p w14:paraId="338D5AE9" w14:textId="77777777" w:rsidR="004B2808" w:rsidRDefault="00000000">
      <w:pPr>
        <w:pStyle w:val="Author-eListParagraph"/>
        <w:numPr>
          <w:ilvl w:val="0"/>
          <w:numId w:val="1050"/>
        </w:numPr>
      </w:pPr>
      <w:r>
        <w:t xml:space="preserve">Conçues comme </w:t>
      </w:r>
      <w:r>
        <w:rPr>
          <w:rStyle w:val="optioncarChar"/>
        </w:rPr>
        <w:t xml:space="preserve">*** / portes battantes / pivotantes </w:t>
      </w:r>
      <w:r>
        <w:t xml:space="preserve">(les vantaux de porte et les huisseries sont conformes aux portes ouvrantes ordinaires. Seuls le mode de suspension et la quincaillerie concernée sont adaptés au concept des vantaux de porte </w:t>
      </w:r>
      <w:r>
        <w:rPr>
          <w:rStyle w:val="optioncarChar"/>
        </w:rPr>
        <w:t>*** / battante / pivotante</w:t>
      </w:r>
      <w:r>
        <w:t>)</w:t>
      </w:r>
    </w:p>
    <w:p w14:paraId="50E55D3B" w14:textId="77777777" w:rsidR="004B2808" w:rsidRDefault="00000000">
      <w:pPr>
        <w:pStyle w:val="Author-eListParagraph"/>
        <w:numPr>
          <w:ilvl w:val="0"/>
          <w:numId w:val="1050"/>
        </w:numPr>
      </w:pPr>
      <w:r>
        <w:t xml:space="preserve">Composées de </w:t>
      </w:r>
      <w:r>
        <w:rPr>
          <w:rStyle w:val="optioncarChar"/>
        </w:rPr>
        <w:t>*** / un panneau / deux panneaux</w:t>
      </w:r>
    </w:p>
    <w:p w14:paraId="0A36904E" w14:textId="77777777" w:rsidR="004B2808" w:rsidRDefault="00000000">
      <w:pPr>
        <w:pStyle w:val="heading"/>
      </w:pPr>
      <w:r>
        <w:t>Ensembles de porte / résistant au feu</w:t>
      </w:r>
    </w:p>
    <w:p w14:paraId="6A4ABB14"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4FF7D7B0" w14:textId="77777777" w:rsidR="004B2808" w:rsidRDefault="00000000">
      <w:pPr>
        <w:pStyle w:val="Author-eListParagraph"/>
        <w:numPr>
          <w:ilvl w:val="0"/>
          <w:numId w:val="1051"/>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721A6A94" w14:textId="77777777" w:rsidR="004B2808" w:rsidRDefault="00000000">
      <w:pPr>
        <w:pStyle w:val="Author-eListParagraph"/>
        <w:numPr>
          <w:ilvl w:val="0"/>
          <w:numId w:val="1051"/>
        </w:numPr>
      </w:pPr>
      <w:r>
        <w:t xml:space="preserve">Equipés d'un vitrage résistant au feu en verre de sécurité conforme au rapport d'essai. Une réservation est faite dans le vantail de porte : </w:t>
      </w:r>
      <w:r>
        <w:rPr>
          <w:rStyle w:val="optioncarChar"/>
        </w:rPr>
        <w:t>*** / rectangulaire / ronde</w:t>
      </w:r>
      <w:r>
        <w:t xml:space="preserve">, selon le modèle à soumettre pour approbation. Le vitrage est incorporé en usine conformément au mode appliqué sur la porte d'essai. Les éventuelles parcloses sont </w:t>
      </w:r>
      <w:r>
        <w:rPr>
          <w:rStyle w:val="optioncarChar"/>
        </w:rPr>
        <w:t>*** / vernies / peintes</w:t>
      </w:r>
      <w:r>
        <w:t xml:space="preserve"> comme les chanlattes. Le vitrage est toujours délimité sur toute sa périphérie par des sections en bois plein d'une largeur minimale de 140 mm pour les côtés et au-dessus et de 220 mm dans le bas.</w:t>
      </w:r>
    </w:p>
    <w:p w14:paraId="7A77A254" w14:textId="77777777" w:rsidR="004B2808"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5A9B6660" w14:textId="77777777" w:rsidR="004B2808" w:rsidRDefault="00000000">
      <w:pPr>
        <w:pStyle w:val="Author-eListParagraph"/>
        <w:numPr>
          <w:ilvl w:val="0"/>
          <w:numId w:val="1052"/>
        </w:numPr>
      </w:pPr>
      <w:r>
        <w:lastRenderedPageBreak/>
        <w:t xml:space="preserve">Pourvus d'une imposte </w:t>
      </w:r>
      <w:r>
        <w:rPr>
          <w:rStyle w:val="optioncarChar"/>
        </w:rPr>
        <w:t xml:space="preserve">*** / avec / sans </w:t>
      </w:r>
      <w:r>
        <w:t>traverse intermédiaire.</w:t>
      </w:r>
    </w:p>
    <w:p w14:paraId="16B36671" w14:textId="77777777" w:rsidR="004B2808" w:rsidRDefault="00000000">
      <w:pPr>
        <w:pStyle w:val="Author-eListParagraph"/>
        <w:numPr>
          <w:ilvl w:val="0"/>
          <w:numId w:val="1052"/>
        </w:numPr>
      </w:pPr>
      <w:r>
        <w:t>Pourvus d'une bande brise-bise et butoir continue.</w:t>
      </w:r>
    </w:p>
    <w:p w14:paraId="7B6DB04C" w14:textId="77777777" w:rsidR="004B2808" w:rsidRDefault="00000000">
      <w:pPr>
        <w:pStyle w:val="Author-eListParagraph"/>
        <w:numPr>
          <w:ilvl w:val="0"/>
          <w:numId w:val="1052"/>
        </w:numPr>
      </w:pPr>
      <w:r>
        <w:t xml:space="preserve">Pourvus d'un cadre approprié pour la fixation d'un ferme-porte, prévu à l'art. </w:t>
      </w:r>
      <w:hyperlink w:anchor="1325" w:history="1">
        <w:r w:rsidR="004B2808">
          <w:rPr>
            <w:color w:val="0000EE"/>
          </w:rPr>
          <w:t>55.62.5 Système de fermeture</w:t>
        </w:r>
      </w:hyperlink>
    </w:p>
    <w:p w14:paraId="3A115D1A" w14:textId="77777777" w:rsidR="004B2808" w:rsidRDefault="00000000">
      <w:pPr>
        <w:pStyle w:val="Author-eListParagraph"/>
        <w:numPr>
          <w:ilvl w:val="0"/>
          <w:numId w:val="1052"/>
        </w:numPr>
      </w:pPr>
      <w:r>
        <w:t xml:space="preserve">Conçus comme portes </w:t>
      </w:r>
      <w:r>
        <w:rPr>
          <w:rStyle w:val="optioncarChar"/>
        </w:rPr>
        <w:t xml:space="preserve">*** / va-et-vient / pivotantes </w:t>
      </w:r>
      <w:r>
        <w:t xml:space="preserve">. Elles se composent de </w:t>
      </w:r>
      <w:r>
        <w:rPr>
          <w:rStyle w:val="optioncarChar"/>
        </w:rPr>
        <w:t>*** / un panneau / deux panneaux</w:t>
      </w:r>
      <w:r>
        <w:t xml:space="preserve"> , les vantaux des portes et les huisseries sont semblables aux portes ouvrantes ordinaires, seuls le mode de suspension et les quincailleries correspondantes sont adaptés au concept des portes battantes.</w:t>
      </w:r>
    </w:p>
    <w:p w14:paraId="472D9446" w14:textId="77777777" w:rsidR="004B2808" w:rsidRDefault="00000000">
      <w:pPr>
        <w:pStyle w:val="Author-eListParagraph"/>
        <w:numPr>
          <w:ilvl w:val="0"/>
          <w:numId w:val="1052"/>
        </w:numPr>
      </w:pPr>
      <w:r>
        <w:t>L'ensemble porte résistant au feu est conforme aux spécifications de la [NIT 234].</w:t>
      </w:r>
    </w:p>
    <w:p w14:paraId="3A9E1580" w14:textId="77777777" w:rsidR="004B2808" w:rsidRDefault="00000000">
      <w:pPr>
        <w:pStyle w:val="heading"/>
      </w:pPr>
      <w:r>
        <w:t>Options (biffer la mention inutile) ensembles de porte / résistant au feu - porte en acier / huisserie en acier</w:t>
      </w:r>
    </w:p>
    <w:p w14:paraId="5DABA1B2" w14:textId="77777777" w:rsidR="004B2808" w:rsidRDefault="00000000">
      <w:r>
        <w:t xml:space="preserve">Conformément aux indications sur le plan ou les dessins de détail, les vantaux de porte suivants </w:t>
      </w:r>
      <w:r>
        <w:rPr>
          <w:rStyle w:val="optioncarChar"/>
        </w:rPr>
        <w:t xml:space="preserve">*** </w:t>
      </w:r>
      <w:r>
        <w:t>sont :</w:t>
      </w:r>
    </w:p>
    <w:p w14:paraId="1C670D79" w14:textId="77777777" w:rsidR="004B2808" w:rsidRDefault="00000000">
      <w:pPr>
        <w:pStyle w:val="Author-eListParagraph"/>
        <w:numPr>
          <w:ilvl w:val="0"/>
          <w:numId w:val="1053"/>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387C8C56" w14:textId="77777777" w:rsidR="004B2808" w:rsidRDefault="00000000">
      <w:pPr>
        <w:pStyle w:val="Author-eListParagraph"/>
        <w:numPr>
          <w:ilvl w:val="0"/>
          <w:numId w:val="1053"/>
        </w:numPr>
      </w:pPr>
      <w:r>
        <w:t xml:space="preserve">Equipés d'un vitrage résistant au feu en verre de sécurité conforme au rapport d'essai. Une réservation est faite dans le vantail de porte : </w:t>
      </w:r>
      <w:r>
        <w:rPr>
          <w:rStyle w:val="optioncarChar"/>
        </w:rPr>
        <w:t>*** / rectangulaire / ronde</w:t>
      </w:r>
      <w:r>
        <w:t xml:space="preserve"> , selon le modèle à soumettre pour approbation. Le vitrage est incorporé en usine conformément au mode appliqué sur la porte d'essai. Les éventuelles parcloses sont </w:t>
      </w:r>
      <w:r>
        <w:rPr>
          <w:rStyle w:val="optioncarChar"/>
        </w:rPr>
        <w:t xml:space="preserve">*** / vernies / peintes </w:t>
      </w:r>
      <w:r>
        <w:t>comme les chanlattes. Le vitrage est toujours délimité sur toute sa périphérie par des sections en bois plein d'une largeur minimale de 140 mm pour les côtés et au-dessus et de 220 mm dans le bas.</w:t>
      </w:r>
    </w:p>
    <w:p w14:paraId="1D208D9F" w14:textId="77777777" w:rsidR="004B2808"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04E5C017" w14:textId="77777777" w:rsidR="004B2808" w:rsidRDefault="00000000">
      <w:pPr>
        <w:pStyle w:val="Author-eListParagraph"/>
        <w:numPr>
          <w:ilvl w:val="0"/>
          <w:numId w:val="1054"/>
        </w:numPr>
      </w:pPr>
      <w:r>
        <w:t xml:space="preserve">Pourvus d'une imposte </w:t>
      </w:r>
      <w:r>
        <w:rPr>
          <w:rStyle w:val="optioncarChar"/>
        </w:rPr>
        <w:t xml:space="preserve">*** / avec / sans </w:t>
      </w:r>
      <w:r>
        <w:t>traverse intermédiaire.</w:t>
      </w:r>
    </w:p>
    <w:p w14:paraId="7D06F616" w14:textId="77777777" w:rsidR="004B2808" w:rsidRDefault="00000000">
      <w:pPr>
        <w:pStyle w:val="Author-eListParagraph"/>
        <w:numPr>
          <w:ilvl w:val="0"/>
          <w:numId w:val="1054"/>
        </w:numPr>
      </w:pPr>
      <w:r>
        <w:t>Pourvus d'une bande brise-bise et butoir continue.</w:t>
      </w:r>
    </w:p>
    <w:p w14:paraId="0F1BB1FE" w14:textId="77777777" w:rsidR="004B2808" w:rsidRDefault="00000000">
      <w:pPr>
        <w:pStyle w:val="Author-eListParagraph"/>
        <w:numPr>
          <w:ilvl w:val="0"/>
          <w:numId w:val="1054"/>
        </w:numPr>
      </w:pPr>
      <w:r>
        <w:t xml:space="preserve">Pourvus d'un cadre approprié pour la fixation d'un ferme-porte, prévu à l'art. </w:t>
      </w:r>
      <w:hyperlink w:anchor="1325" w:history="1">
        <w:r w:rsidR="004B2808">
          <w:rPr>
            <w:color w:val="0000EE"/>
          </w:rPr>
          <w:t>55.62.5 Système de fermeture</w:t>
        </w:r>
      </w:hyperlink>
    </w:p>
    <w:p w14:paraId="34880476" w14:textId="77777777" w:rsidR="004B2808" w:rsidRDefault="00000000">
      <w:pPr>
        <w:pStyle w:val="Author-eListParagraph"/>
        <w:numPr>
          <w:ilvl w:val="0"/>
          <w:numId w:val="1054"/>
        </w:numPr>
      </w:pPr>
      <w:r>
        <w:t xml:space="preserve">Conçus comme portes </w:t>
      </w:r>
      <w:r>
        <w:rPr>
          <w:rStyle w:val="optioncarChar"/>
        </w:rPr>
        <w:t>*** / va-et-vient / pivotantes</w:t>
      </w:r>
      <w:r>
        <w:t xml:space="preserve"> . Elles se composent de </w:t>
      </w:r>
      <w:r>
        <w:rPr>
          <w:rStyle w:val="optioncarChar"/>
        </w:rPr>
        <w:t xml:space="preserve">*** / un panneau / deux panneaux </w:t>
      </w:r>
      <w:r>
        <w:t>, les vantaux des portes et les huisseries sont semblables aux portes ouvrantes ordinaires, seuls le mode de suspension et les quincailleries correspondantes sont adaptés au concept des portes battantes.</w:t>
      </w:r>
    </w:p>
    <w:p w14:paraId="611FFCA1" w14:textId="77777777" w:rsidR="004B2808" w:rsidRDefault="00000000">
      <w:pPr>
        <w:pStyle w:val="Author-eListParagraph"/>
        <w:numPr>
          <w:ilvl w:val="0"/>
          <w:numId w:val="1054"/>
        </w:numPr>
      </w:pPr>
      <w:r>
        <w:t>Les profilés à rupture thermique en acier sont conformes aux prescriptions de la norme [NBN EN 14024]. </w:t>
      </w:r>
    </w:p>
    <w:p w14:paraId="232B9D8F" w14:textId="77777777" w:rsidR="004B2808" w:rsidRDefault="00000000">
      <w:pPr>
        <w:pStyle w:val="pheading"/>
      </w:pPr>
      <w:r>
        <w:t>MESURAGE</w:t>
      </w:r>
    </w:p>
    <w:p w14:paraId="5B482E18" w14:textId="77777777" w:rsidR="004B2808" w:rsidRDefault="00000000">
      <w:r>
        <w:t>Conformément aux indications spécifiques dans le cahier spécial des charges et/ou le métré récapitulatif, le mesurage peut être conçu comme suit, en fonction de la nature des portes intérieures :</w:t>
      </w:r>
    </w:p>
    <w:p w14:paraId="7B1D42EE" w14:textId="77777777" w:rsidR="004B2808" w:rsidRDefault="00000000">
      <w:pPr>
        <w:pStyle w:val="pheading"/>
      </w:pPr>
      <w:r>
        <w:t>- unité de mesure:</w:t>
      </w:r>
    </w:p>
    <w:p w14:paraId="2C9D9A1A" w14:textId="77777777" w:rsidR="004B2808" w:rsidRDefault="00000000">
      <w:r>
        <w:t>p</w:t>
      </w:r>
    </w:p>
    <w:p w14:paraId="352D91D1" w14:textId="77777777" w:rsidR="004B2808" w:rsidRDefault="00000000">
      <w:pPr>
        <w:pStyle w:val="pheading"/>
      </w:pPr>
      <w:r>
        <w:t>- code de mesurage:</w:t>
      </w:r>
    </w:p>
    <w:p w14:paraId="303FC582" w14:textId="77777777" w:rsidR="004B2808" w:rsidRDefault="00000000">
      <w:r>
        <w:t>Choix opéré:</w:t>
      </w:r>
      <w:r>
        <w:rPr>
          <w:rStyle w:val="optioncarChar"/>
          <w:b/>
        </w:rPr>
        <w:t>*** / OPTION 1 (un ensemble) / OPTION 2 (séparément)</w:t>
      </w:r>
    </w:p>
    <w:p w14:paraId="1988EA1D" w14:textId="77777777" w:rsidR="004B2808" w:rsidRDefault="00000000">
      <w:r>
        <w:rPr>
          <w:b/>
        </w:rPr>
        <w:t>***OPTION 1 (par défaut)</w:t>
      </w:r>
      <w:r>
        <w:t xml:space="preserve"> : Les portes intérieures sont considérées comme un ensemble complet, y compris tous les accessoires, encadrements, feuilles de porte, quincaillerie, vitrage, impostes, … </w:t>
      </w:r>
      <w:r>
        <w:lastRenderedPageBreak/>
        <w:t>(portes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14:paraId="348A24DD" w14:textId="77777777" w:rsidR="004B2808" w:rsidRDefault="00000000">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32B51352" w14:textId="77777777" w:rsidR="004B2808" w:rsidRDefault="00000000">
      <w:r>
        <w:rPr>
          <w:rStyle w:val="optioncarChar"/>
        </w:rPr>
        <w:t> </w:t>
      </w:r>
    </w:p>
    <w:p w14:paraId="67B2ECE1" w14:textId="77777777" w:rsidR="004B2808" w:rsidRDefault="00000000">
      <w:r>
        <w:rPr>
          <w:u w:val="single"/>
        </w:rPr>
        <w:t xml:space="preserve">Attention </w:t>
      </w:r>
    </w:p>
    <w:p w14:paraId="56366780" w14:textId="77777777" w:rsidR="004B2808" w:rsidRDefault="00000000">
      <w:pPr>
        <w:pStyle w:val="Author-eListParagraph"/>
        <w:numPr>
          <w:ilvl w:val="0"/>
          <w:numId w:val="1055"/>
        </w:numPr>
      </w:pPr>
      <w:r>
        <w:t>Les vantaux de portes de 630 - 730 et 830 mm de largeur peuvent être pris ensemble pour le mesurage.</w:t>
      </w:r>
    </w:p>
    <w:p w14:paraId="002D8BB2" w14:textId="77777777" w:rsidR="004B2808" w:rsidRDefault="00000000">
      <w:pPr>
        <w:pStyle w:val="Author-eListParagraph"/>
        <w:numPr>
          <w:ilvl w:val="0"/>
          <w:numId w:val="1055"/>
        </w:numPr>
      </w:pPr>
      <w:r>
        <w:t>Les quincailleries dont la fourniture et la mise en œuvre sont comprises peuvent être décrites dans d'autres postes mais sont toujours comprises dans le prix des portes.</w:t>
      </w:r>
    </w:p>
    <w:p w14:paraId="6E54D83E" w14:textId="77777777" w:rsidR="004B2808" w:rsidRDefault="00000000">
      <w:pPr>
        <w:pStyle w:val="pheading"/>
      </w:pPr>
      <w:r>
        <w:t>- nature du marché:</w:t>
      </w:r>
    </w:p>
    <w:p w14:paraId="47F8C5A6" w14:textId="77777777" w:rsidR="004B2808" w:rsidRDefault="00000000">
      <w:r>
        <w:t>QF</w:t>
      </w:r>
    </w:p>
    <w:p w14:paraId="2DC35496" w14:textId="77777777" w:rsidR="004B2808" w:rsidRDefault="00000000">
      <w:pPr>
        <w:pStyle w:val="Author-eSectionHeading5Numberless"/>
      </w:pPr>
      <w:bookmarkStart w:id="1091" w:name="_Toc220491218"/>
      <w:r>
        <w:t>55.22.2 Portes intérieures en aluminium CCTB 01.02</w:t>
      </w:r>
      <w:bookmarkEnd w:id="1091"/>
    </w:p>
    <w:p w14:paraId="3990CBD2" w14:textId="77777777" w:rsidR="004B2808" w:rsidRDefault="00000000">
      <w:pPr>
        <w:pStyle w:val="Author-eSectionHeading6Numberless"/>
      </w:pPr>
      <w:bookmarkStart w:id="1092" w:name="_Toc220491219"/>
      <w:r>
        <w:t>55.22.2a Portes intérieures en aluminium SANS coupure thermique CCTB 01.10</w:t>
      </w:r>
      <w:bookmarkEnd w:id="1092"/>
    </w:p>
    <w:p w14:paraId="02E7FC27" w14:textId="77777777" w:rsidR="004B2808" w:rsidRDefault="00000000">
      <w:pPr>
        <w:pStyle w:val="pheading"/>
      </w:pPr>
      <w:r>
        <w:t>MATÉRIAUX</w:t>
      </w:r>
    </w:p>
    <w:p w14:paraId="18C114E0" w14:textId="77777777" w:rsidR="004B2808" w:rsidRDefault="00000000">
      <w:pPr>
        <w:pStyle w:val="pheading"/>
      </w:pPr>
      <w:r>
        <w:t>- Prescriptions complémentaires</w:t>
      </w:r>
    </w:p>
    <w:p w14:paraId="424A8B67" w14:textId="77777777" w:rsidR="004B2808" w:rsidRDefault="00000000">
      <w:pPr>
        <w:pStyle w:val="heading"/>
      </w:pPr>
      <w:r>
        <w:t>(critères de performance)  Vantaux de porte</w:t>
      </w:r>
    </w:p>
    <w:p w14:paraId="40D2B779" w14:textId="77777777" w:rsidR="004B2808" w:rsidRDefault="00000000">
      <w:r>
        <w:t>Conformément aux indications supplémentaires dans le cahier spécial des charges, les dispositions supplémentaires suivantes sont d'application :</w:t>
      </w:r>
    </w:p>
    <w:p w14:paraId="6ED57A9D" w14:textId="77777777" w:rsidR="004B2808" w:rsidRDefault="00000000">
      <w:pPr>
        <w:pStyle w:val="Author-eListParagraph"/>
        <w:numPr>
          <w:ilvl w:val="0"/>
          <w:numId w:val="1056"/>
        </w:numPr>
      </w:pPr>
      <w:r>
        <w:t>Les dispositions des [STS 53.1] pour les portes intérieures planes dans les salles de bains et les autres locaux humides.</w:t>
      </w:r>
    </w:p>
    <w:p w14:paraId="0ECDDB30" w14:textId="77777777" w:rsidR="004B2808" w:rsidRDefault="00000000">
      <w:r>
        <w:br/>
        <w:t>Attention  : Les ensembles de porte résistant au feu sont toujours considérés dans un poste séparé.</w:t>
      </w:r>
    </w:p>
    <w:p w14:paraId="0A5E878C" w14:textId="77777777" w:rsidR="004B2808" w:rsidRDefault="00000000">
      <w:pPr>
        <w:pStyle w:val="heading"/>
      </w:pPr>
      <w:r>
        <w:t>(Accessoires) Vantaux de porte</w:t>
      </w:r>
    </w:p>
    <w:p w14:paraId="6782C7CB"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1F37B0F5" w14:textId="77777777" w:rsidR="004B2808" w:rsidRDefault="00000000">
      <w:pPr>
        <w:pStyle w:val="Author-eListParagraph"/>
        <w:numPr>
          <w:ilvl w:val="0"/>
          <w:numId w:val="1057"/>
        </w:numPr>
      </w:pPr>
      <w:r>
        <w:t>Equipés d'un vitrage :</w:t>
      </w:r>
    </w:p>
    <w:p w14:paraId="368C644C" w14:textId="77777777" w:rsidR="004B2808" w:rsidRDefault="00000000">
      <w:pPr>
        <w:pStyle w:val="Author-eListParagraph"/>
        <w:numPr>
          <w:ilvl w:val="0"/>
          <w:numId w:val="1057"/>
        </w:numPr>
      </w:pPr>
      <w:r>
        <w:t xml:space="preserve">En verre de sécurité </w:t>
      </w:r>
      <w:r>
        <w:rPr>
          <w:rStyle w:val="optioncarChar"/>
        </w:rPr>
        <w:t>simple </w:t>
      </w:r>
      <w:r>
        <w:t>(par défaut)</w:t>
      </w:r>
      <w:r>
        <w:rPr>
          <w:rStyle w:val="optioncarChar"/>
        </w:rPr>
        <w:t xml:space="preserve"> / clair / mat / opale / ***</w:t>
      </w:r>
      <w:r>
        <w:t xml:space="preserve"> , selon la [NBN S 23-002]</w:t>
      </w:r>
    </w:p>
    <w:p w14:paraId="42F0816A" w14:textId="77777777" w:rsidR="004B2808" w:rsidRDefault="00000000">
      <w:pPr>
        <w:pStyle w:val="Author-eListParagraph"/>
        <w:numPr>
          <w:ilvl w:val="0"/>
          <w:numId w:val="1057"/>
        </w:numPr>
      </w:pPr>
      <w:r>
        <w:t xml:space="preserve">Réservation dans le vantail de porte : </w:t>
      </w:r>
      <w:r>
        <w:rPr>
          <w:rStyle w:val="optioncarChar"/>
        </w:rPr>
        <w:t>rectangulaire </w:t>
      </w:r>
      <w:r>
        <w:t xml:space="preserve">(par défaut) </w:t>
      </w:r>
      <w:r>
        <w:rPr>
          <w:rStyle w:val="optioncarChar"/>
        </w:rPr>
        <w:t>/ ronde / conformément aux dessins de détail / selon le modèle / *** </w:t>
      </w:r>
      <w:r>
        <w:t>à soumettre pour approbation (pour les réservations dans les portes à âme creuse, un cadre en bois est appliqué et collé).</w:t>
      </w:r>
    </w:p>
    <w:p w14:paraId="1FA19621" w14:textId="77777777" w:rsidR="004B2808" w:rsidRDefault="00000000">
      <w:pPr>
        <w:pStyle w:val="Author-eListParagraph"/>
        <w:numPr>
          <w:ilvl w:val="0"/>
          <w:numId w:val="1057"/>
        </w:numPr>
      </w:pPr>
      <w:r>
        <w:t xml:space="preserve">Fixation de la vitre dans la réservation à l'aide de : </w:t>
      </w:r>
      <w:r>
        <w:rPr>
          <w:rStyle w:val="optioncarChar"/>
        </w:rPr>
        <w:t>mastic plastique</w:t>
      </w:r>
      <w:r>
        <w:t> (par défaut)</w:t>
      </w:r>
      <w:r>
        <w:rPr>
          <w:rStyle w:val="optioncarChar"/>
        </w:rPr>
        <w:t xml:space="preserve"> / profils de fixation à enclenchement en PVC / ***</w:t>
      </w:r>
    </w:p>
    <w:p w14:paraId="15092291" w14:textId="77777777" w:rsidR="004B2808" w:rsidRDefault="00000000">
      <w:pPr>
        <w:pStyle w:val="Author-eListParagraph"/>
        <w:numPr>
          <w:ilvl w:val="0"/>
          <w:numId w:val="1057"/>
        </w:numPr>
      </w:pPr>
      <w:r>
        <w:t xml:space="preserve">Les vitres sont encadrées par : </w:t>
      </w:r>
      <w:r>
        <w:rPr>
          <w:rStyle w:val="optioncarChar"/>
        </w:rPr>
        <w:t xml:space="preserve">des lattes en aluminium de la même qualité, même finition que les profilés de la porte </w:t>
      </w:r>
      <w:r>
        <w:t>(par défaut) </w:t>
      </w:r>
      <w:r>
        <w:rPr>
          <w:rStyle w:val="optioncarChar"/>
        </w:rPr>
        <w:t>/ ***.</w:t>
      </w:r>
    </w:p>
    <w:p w14:paraId="1A7FDF75" w14:textId="77777777" w:rsidR="004B2808" w:rsidRDefault="00000000">
      <w:pPr>
        <w:pStyle w:val="Author-eListParagraph"/>
        <w:numPr>
          <w:ilvl w:val="0"/>
          <w:numId w:val="1057"/>
        </w:numPr>
      </w:pPr>
      <w:r>
        <w:lastRenderedPageBreak/>
        <w:t xml:space="preserve">Pourvus d'une grille encastrée, selon l'article </w:t>
      </w:r>
      <w:hyperlink w:anchor="1322" w:history="1">
        <w:r w:rsidR="004B2808">
          <w:rPr>
            <w:color w:val="0000EE"/>
          </w:rPr>
          <w:t>55.68.1 Grilles de transfert dans les portes</w:t>
        </w:r>
      </w:hyperlink>
      <w:r>
        <w:t xml:space="preserve"> grilles de transfert dans les portes, ouverture d'aération conformément à la [NBN D 50-001]</w:t>
      </w:r>
    </w:p>
    <w:p w14:paraId="36AC499F" w14:textId="77777777" w:rsidR="004B2808" w:rsidRDefault="00000000">
      <w:pPr>
        <w:pStyle w:val="Author-eListParagraph"/>
        <w:numPr>
          <w:ilvl w:val="0"/>
          <w:numId w:val="1057"/>
        </w:numPr>
      </w:pPr>
      <w:r>
        <w:t xml:space="preserve">Pourvus d'une fente de ventilation d'environ </w:t>
      </w:r>
      <w:r>
        <w:rPr>
          <w:rStyle w:val="optioncarChar"/>
        </w:rPr>
        <w:t>1</w:t>
      </w:r>
      <w:r>
        <w:t> (par défaut)</w:t>
      </w:r>
      <w:r>
        <w:rPr>
          <w:rStyle w:val="optioncarChar"/>
        </w:rPr>
        <w:t> / ***</w:t>
      </w:r>
      <w:r>
        <w:t xml:space="preserve"> cm dans le bas, de façon telle que l'ouverture d'aération soit conformé à la [NBN D 50-001]</w:t>
      </w:r>
    </w:p>
    <w:p w14:paraId="0A91227F" w14:textId="77777777" w:rsidR="004B2808" w:rsidRDefault="00000000">
      <w:pPr>
        <w:pStyle w:val="Author-eListParagraph"/>
        <w:numPr>
          <w:ilvl w:val="0"/>
          <w:numId w:val="1057"/>
        </w:numPr>
      </w:pPr>
      <w:r>
        <w:t>Conçues comme portes coulissantes (les vantaux de porte et les huisseries sont conformes aux portes ouvrantes ordinaires. Seul le mode de suspension et la quincaillerie concernée sont adaptés au concept des vantaux de porte coulissants).</w:t>
      </w:r>
    </w:p>
    <w:p w14:paraId="7CE50B6B" w14:textId="77777777" w:rsidR="004B2808" w:rsidRDefault="00000000">
      <w:pPr>
        <w:pStyle w:val="Author-eListParagraph"/>
        <w:numPr>
          <w:ilvl w:val="0"/>
          <w:numId w:val="1057"/>
        </w:numPr>
      </w:pPr>
      <w:r>
        <w:t xml:space="preserve">Portes coulissantes </w:t>
      </w:r>
      <w:r>
        <w:rPr>
          <w:rStyle w:val="optioncarChar"/>
        </w:rPr>
        <w:t>simples (</w:t>
      </w:r>
      <w:r>
        <w:t>par défaut)</w:t>
      </w:r>
      <w:r>
        <w:rPr>
          <w:rStyle w:val="optioncarChar"/>
        </w:rPr>
        <w:t xml:space="preserve"> / doubles / ***</w:t>
      </w:r>
    </w:p>
    <w:p w14:paraId="79F40B4B" w14:textId="77777777" w:rsidR="004B2808" w:rsidRDefault="00000000">
      <w:pPr>
        <w:pStyle w:val="Author-eListParagraph"/>
        <w:numPr>
          <w:ilvl w:val="0"/>
          <w:numId w:val="1057"/>
        </w:numPr>
      </w:pPr>
      <w:r>
        <w:t>Composées de</w:t>
      </w:r>
      <w:r>
        <w:rPr>
          <w:rStyle w:val="optioncarChar"/>
        </w:rPr>
        <w:t> un panneau </w:t>
      </w:r>
      <w:r>
        <w:t>(par défaut)</w:t>
      </w:r>
      <w:r>
        <w:rPr>
          <w:rStyle w:val="optioncarChar"/>
        </w:rPr>
        <w:t xml:space="preserve"> / deux panneaux / ***</w:t>
      </w:r>
    </w:p>
    <w:p w14:paraId="22622D2A" w14:textId="77777777" w:rsidR="004B2808" w:rsidRDefault="00000000">
      <w:pPr>
        <w:pStyle w:val="Author-eListParagraph"/>
        <w:numPr>
          <w:ilvl w:val="0"/>
          <w:numId w:val="1057"/>
        </w:numPr>
      </w:pPr>
      <w:r>
        <w:t>Mécanisme de coulisse : rails en acier galvanisé; galets en nylon de première qualité; type et modèle en fonction du type et du poids des vantaux coulissants.</w:t>
      </w:r>
    </w:p>
    <w:p w14:paraId="2B6B73E8" w14:textId="77777777" w:rsidR="004B2808" w:rsidRDefault="00000000">
      <w:pPr>
        <w:pStyle w:val="Author-eListParagraph"/>
        <w:numPr>
          <w:ilvl w:val="0"/>
          <w:numId w:val="1057"/>
        </w:numPr>
      </w:pPr>
      <w:r>
        <w:t xml:space="preserve">Conçues comme </w:t>
      </w:r>
      <w:r>
        <w:rPr>
          <w:rStyle w:val="optioncarChar"/>
        </w:rPr>
        <w:t>portes battantes </w:t>
      </w:r>
      <w:r>
        <w:t xml:space="preserve">(par défaut) </w:t>
      </w:r>
      <w:r>
        <w:rPr>
          <w:rStyle w:val="optioncarChar"/>
        </w:rPr>
        <w:t>/ pivotantes / *** </w:t>
      </w:r>
      <w:r>
        <w:t xml:space="preserve">(les vantaux de porte et les huisseries sont conformes aux portes ouvrantes ordinaires. Seul le mode de suspension et la quincaillerie concernée sont adaptés au concept des vantaux de porte </w:t>
      </w:r>
      <w:r>
        <w:rPr>
          <w:rStyle w:val="optioncarChar"/>
        </w:rPr>
        <w:t>battante </w:t>
      </w:r>
      <w:r>
        <w:t xml:space="preserve">(par défaut) </w:t>
      </w:r>
      <w:r>
        <w:rPr>
          <w:rStyle w:val="optioncarChar"/>
        </w:rPr>
        <w:t>/ pivotante / ***</w:t>
      </w:r>
      <w:r>
        <w:t>)</w:t>
      </w:r>
    </w:p>
    <w:p w14:paraId="544A6857" w14:textId="77777777" w:rsidR="004B2808" w:rsidRDefault="00000000">
      <w:pPr>
        <w:pStyle w:val="Author-eListParagraph"/>
        <w:numPr>
          <w:ilvl w:val="0"/>
          <w:numId w:val="1057"/>
        </w:numPr>
      </w:pPr>
      <w:r>
        <w:t xml:space="preserve">Composées de </w:t>
      </w:r>
      <w:r>
        <w:rPr>
          <w:rStyle w:val="optioncarChar"/>
        </w:rPr>
        <w:t>un panneau </w:t>
      </w:r>
      <w:r>
        <w:t xml:space="preserve">(par défaut) </w:t>
      </w:r>
      <w:r>
        <w:rPr>
          <w:rStyle w:val="optioncarChar"/>
        </w:rPr>
        <w:t>/ deux panneaux / ***</w:t>
      </w:r>
    </w:p>
    <w:p w14:paraId="4591C25F" w14:textId="77777777" w:rsidR="004B2808" w:rsidRDefault="00000000">
      <w:pPr>
        <w:pStyle w:val="heading"/>
      </w:pPr>
      <w:r>
        <w:t>Ensembles de porte / résistant au feu</w:t>
      </w:r>
    </w:p>
    <w:p w14:paraId="03DA9E84"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74FFE5EC" w14:textId="77777777" w:rsidR="004B2808" w:rsidRDefault="00000000">
      <w:pPr>
        <w:pStyle w:val="Author-eListParagraph"/>
        <w:numPr>
          <w:ilvl w:val="0"/>
          <w:numId w:val="1058"/>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182482E0" w14:textId="77777777" w:rsidR="004B2808" w:rsidRDefault="00000000">
      <w:pPr>
        <w:pStyle w:val="Author-eListParagraph"/>
        <w:numPr>
          <w:ilvl w:val="0"/>
          <w:numId w:val="1058"/>
        </w:numPr>
      </w:pPr>
      <w:r>
        <w:t xml:space="preserve">Equipés d'un vitrage résistant au feu en verre de sécurité conforme au rapport d'essai. Une réservation est faite dans le vantail de porte : </w:t>
      </w:r>
      <w:r>
        <w:rPr>
          <w:rStyle w:val="optioncarChar"/>
        </w:rPr>
        <w:t>rectangulaire</w:t>
      </w:r>
      <w:r>
        <w:t> (par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 (par défaut) / peintes / ***</w:t>
      </w:r>
      <w:r>
        <w:t xml:space="preserve"> comme les chanlattes. Le vitrage est toujours délimité sur toute sa périphérie par des sections en bois plein d'une largeur minimale de 140 mm pour les côtés et au-dessus et de 220 mm dans le bas.</w:t>
      </w:r>
    </w:p>
    <w:p w14:paraId="4BBD93D5" w14:textId="77777777" w:rsidR="004B2808"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42DD1EA8" w14:textId="77777777" w:rsidR="004B2808" w:rsidRDefault="00000000">
      <w:pPr>
        <w:pStyle w:val="Author-eListParagraph"/>
        <w:numPr>
          <w:ilvl w:val="0"/>
          <w:numId w:val="1059"/>
        </w:numPr>
      </w:pPr>
      <w:r>
        <w:t xml:space="preserve">Pourvus d'une imposte </w:t>
      </w:r>
      <w:r>
        <w:rPr>
          <w:rStyle w:val="optioncarChar"/>
        </w:rPr>
        <w:t>avec (par défaut) / sans / *** </w:t>
      </w:r>
      <w:r>
        <w:t>traverse intermédiaire.</w:t>
      </w:r>
    </w:p>
    <w:p w14:paraId="37EDE96D" w14:textId="77777777" w:rsidR="004B2808" w:rsidRDefault="00000000">
      <w:pPr>
        <w:pStyle w:val="Author-eListParagraph"/>
        <w:numPr>
          <w:ilvl w:val="0"/>
          <w:numId w:val="1059"/>
        </w:numPr>
      </w:pPr>
      <w:r>
        <w:t>Pourvus d'une bande brise-bise et butoir continue.</w:t>
      </w:r>
    </w:p>
    <w:p w14:paraId="3D20BEA2" w14:textId="77777777" w:rsidR="004B2808" w:rsidRDefault="00000000">
      <w:pPr>
        <w:pStyle w:val="Author-eListParagraph"/>
        <w:numPr>
          <w:ilvl w:val="0"/>
          <w:numId w:val="1059"/>
        </w:numPr>
      </w:pPr>
      <w:r>
        <w:t xml:space="preserve">Pourvus d'un cadre approprié pour la fixation d'un ferme-porte, prévu à l'art. </w:t>
      </w:r>
      <w:hyperlink w:anchor="1325" w:history="1">
        <w:r w:rsidR="004B2808">
          <w:rPr>
            <w:color w:val="0000EE"/>
          </w:rPr>
          <w:t>55.62.5 Système de fermeture</w:t>
        </w:r>
      </w:hyperlink>
    </w:p>
    <w:p w14:paraId="2C3E23FF" w14:textId="77777777" w:rsidR="004B2808" w:rsidRDefault="00000000">
      <w:pPr>
        <w:pStyle w:val="Author-eListParagraph"/>
        <w:numPr>
          <w:ilvl w:val="0"/>
          <w:numId w:val="1059"/>
        </w:numPr>
      </w:pPr>
      <w:r>
        <w:t xml:space="preserve">Conçus comme portes </w:t>
      </w:r>
      <w:r>
        <w:rPr>
          <w:rStyle w:val="optioncarChar"/>
        </w:rPr>
        <w:t xml:space="preserve">va-et-vient </w:t>
      </w:r>
      <w:r>
        <w:t>(par défaut) </w:t>
      </w:r>
      <w:r>
        <w:rPr>
          <w:rStyle w:val="optioncarChar"/>
        </w:rPr>
        <w:t xml:space="preserve">/ pivotantes </w:t>
      </w:r>
      <w:r>
        <w:t xml:space="preserve">. Elles se composent de </w:t>
      </w:r>
      <w:r>
        <w:rPr>
          <w:rStyle w:val="optioncarChar"/>
        </w:rPr>
        <w:t>un panneau</w:t>
      </w:r>
      <w:r>
        <w:t> (par défaut)</w:t>
      </w:r>
      <w:r>
        <w:rPr>
          <w:rStyle w:val="optioncarChar"/>
        </w:rPr>
        <w:t xml:space="preserve"> / deux panneaux</w:t>
      </w:r>
      <w:r>
        <w:t xml:space="preserve"> , les vantaux des portes et les huisseries sont semblables aux portes ouvrantes ordinaires, seul le mode de suspension et les quincailleries correspondantes sont adaptés au concept des portes battantes.</w:t>
      </w:r>
    </w:p>
    <w:p w14:paraId="66F7AAA0" w14:textId="77777777" w:rsidR="004B2808" w:rsidRDefault="00000000">
      <w:pPr>
        <w:pStyle w:val="Author-eListParagraph"/>
        <w:numPr>
          <w:ilvl w:val="0"/>
          <w:numId w:val="1059"/>
        </w:numPr>
      </w:pPr>
      <w:r>
        <w:t>L'ensemble porte résistant au feu est conforme à la [NIT 234].</w:t>
      </w:r>
    </w:p>
    <w:p w14:paraId="4659B6C8" w14:textId="77777777" w:rsidR="004B2808" w:rsidRDefault="00000000">
      <w:pPr>
        <w:pStyle w:val="heading"/>
      </w:pPr>
      <w:r>
        <w:t>Options (biffer la mention inutile) ensembles de porte / résistant au feu - porte pleine / huisserie en acier</w:t>
      </w:r>
    </w:p>
    <w:p w14:paraId="7AC5FDC1" w14:textId="77777777" w:rsidR="004B2808" w:rsidRDefault="00000000">
      <w:r>
        <w:t xml:space="preserve">Conformément aux indications sur le plan ou les dessins de détail, les vantaux de porte suivants </w:t>
      </w:r>
      <w:r>
        <w:rPr>
          <w:rStyle w:val="optioncarChar"/>
        </w:rPr>
        <w:t xml:space="preserve">*** </w:t>
      </w:r>
      <w:r>
        <w:t>sont :</w:t>
      </w:r>
    </w:p>
    <w:p w14:paraId="18A4D2EC" w14:textId="77777777" w:rsidR="004B2808" w:rsidRDefault="00000000">
      <w:pPr>
        <w:pStyle w:val="Author-eListParagraph"/>
        <w:numPr>
          <w:ilvl w:val="0"/>
          <w:numId w:val="1060"/>
        </w:numPr>
      </w:pPr>
      <w:r>
        <w:t xml:space="preserve">Calculés selon les critères de performance des conditions de sollicitation de la catégorie III (Note : il s'agit généralement de vantaux de portes intérieures et/ou d'impostes en bois </w:t>
      </w:r>
      <w:r>
        <w:lastRenderedPageBreak/>
        <w:t>renforcés destinés à un usage intense qui, en raison de leur application dans le bâtiment, doivent résister à des exigences plus élevées que lors d'un usage normal ou intensif).</w:t>
      </w:r>
    </w:p>
    <w:p w14:paraId="063C5A51" w14:textId="77777777" w:rsidR="004B2808" w:rsidRDefault="00000000">
      <w:pPr>
        <w:pStyle w:val="Author-eListParagraph"/>
        <w:numPr>
          <w:ilvl w:val="0"/>
          <w:numId w:val="1060"/>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546179D7" w14:textId="77777777" w:rsidR="004B2808"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3A8C1196" w14:textId="77777777" w:rsidR="004B2808" w:rsidRDefault="00000000">
      <w:pPr>
        <w:pStyle w:val="Author-eListParagraph"/>
        <w:numPr>
          <w:ilvl w:val="0"/>
          <w:numId w:val="1061"/>
        </w:numPr>
      </w:pPr>
      <w:r>
        <w:t xml:space="preserve">Pourvus d'une imposte </w:t>
      </w:r>
      <w:r>
        <w:rPr>
          <w:rStyle w:val="optioncarChar"/>
        </w:rPr>
        <w:t xml:space="preserve">avec </w:t>
      </w:r>
      <w:r>
        <w:t>(par défaut) </w:t>
      </w:r>
      <w:r>
        <w:rPr>
          <w:rStyle w:val="optioncarChar"/>
        </w:rPr>
        <w:t>/ sans / *** </w:t>
      </w:r>
      <w:r>
        <w:t>traverse intermédiaire.</w:t>
      </w:r>
    </w:p>
    <w:p w14:paraId="2A8B7139" w14:textId="77777777" w:rsidR="004B2808" w:rsidRDefault="00000000">
      <w:pPr>
        <w:pStyle w:val="Author-eListParagraph"/>
        <w:numPr>
          <w:ilvl w:val="0"/>
          <w:numId w:val="1061"/>
        </w:numPr>
      </w:pPr>
      <w:r>
        <w:t>Pourvus d'une bande brise-bise et butoir continue.</w:t>
      </w:r>
    </w:p>
    <w:p w14:paraId="4283675B" w14:textId="77777777" w:rsidR="004B2808" w:rsidRDefault="00000000">
      <w:pPr>
        <w:pStyle w:val="Author-eListParagraph"/>
        <w:numPr>
          <w:ilvl w:val="0"/>
          <w:numId w:val="1061"/>
        </w:numPr>
      </w:pPr>
      <w:r>
        <w:t xml:space="preserve">Pourvus d'un cadre approprié pour la fixation d'un ferme-porte, prévu à l'art. </w:t>
      </w:r>
      <w:hyperlink w:anchor="1325" w:history="1">
        <w:r w:rsidR="004B2808">
          <w:rPr>
            <w:color w:val="0000EE"/>
          </w:rPr>
          <w:t>55.62.5 Système de fermeture</w:t>
        </w:r>
      </w:hyperlink>
    </w:p>
    <w:p w14:paraId="4620EB1F" w14:textId="77777777" w:rsidR="004B2808" w:rsidRDefault="00000000">
      <w:pPr>
        <w:pStyle w:val="Author-eListParagraph"/>
        <w:numPr>
          <w:ilvl w:val="0"/>
          <w:numId w:val="1061"/>
        </w:numPr>
      </w:pPr>
      <w:r>
        <w:t xml:space="preserve">Conçus comme portes </w:t>
      </w:r>
      <w:r>
        <w:rPr>
          <w:rStyle w:val="optioncarChar"/>
        </w:rPr>
        <w:t xml:space="preserve">va-et-vient </w:t>
      </w:r>
      <w:r>
        <w:t>(par défaut) </w:t>
      </w:r>
      <w:r>
        <w:rPr>
          <w:rStyle w:val="optioncarChar"/>
        </w:rPr>
        <w:t>/ pivotantes / ***</w:t>
      </w:r>
      <w:r>
        <w:t xml:space="preserve"> . Elles se composent de </w:t>
      </w:r>
      <w:r>
        <w:rPr>
          <w:rStyle w:val="optioncarChar"/>
        </w:rPr>
        <w:t>un panneau </w:t>
      </w:r>
      <w:r>
        <w:t>(par défaut)</w:t>
      </w:r>
      <w:r>
        <w:rPr>
          <w:rStyle w:val="optioncarChar"/>
        </w:rPr>
        <w:t xml:space="preserve"> / deux panneaux / *** </w:t>
      </w:r>
      <w:r>
        <w:t>, les vantaux des portes et les huisseries sont semblables aux portes ouvrantes ordinaires, seul le mode de suspension et les quincailleries correspondantes sont adaptés au concept des portes battantes.</w:t>
      </w:r>
    </w:p>
    <w:p w14:paraId="77E8CEAA" w14:textId="77777777" w:rsidR="004B2808" w:rsidRDefault="00000000">
      <w:pPr>
        <w:pStyle w:val="pheading"/>
      </w:pPr>
      <w:r>
        <w:t>MESURAGE</w:t>
      </w:r>
    </w:p>
    <w:p w14:paraId="394D37C2" w14:textId="77777777" w:rsidR="004B2808" w:rsidRDefault="00000000">
      <w:r>
        <w:t>Conformément aux indications spécifiques dans le cahier spécial des charges et/ou le métré récapitulatif, le mesurage peut être conçu comme suit, en fonction de la nature des portes intérieures :</w:t>
      </w:r>
    </w:p>
    <w:p w14:paraId="6260EBCF" w14:textId="77777777" w:rsidR="004B2808" w:rsidRDefault="00000000">
      <w:pPr>
        <w:pStyle w:val="pheading"/>
      </w:pPr>
      <w:r>
        <w:t>- unité de mesure:</w:t>
      </w:r>
    </w:p>
    <w:p w14:paraId="3B435857" w14:textId="77777777" w:rsidR="004B2808" w:rsidRDefault="00000000">
      <w:r>
        <w:t>p</w:t>
      </w:r>
    </w:p>
    <w:p w14:paraId="21A0C9EA" w14:textId="77777777" w:rsidR="004B2808" w:rsidRDefault="00000000">
      <w:pPr>
        <w:pStyle w:val="pheading"/>
      </w:pPr>
      <w:r>
        <w:t>- code de mesurage:</w:t>
      </w:r>
    </w:p>
    <w:p w14:paraId="306ED459" w14:textId="77777777" w:rsidR="004B2808" w:rsidRDefault="00000000">
      <w:r>
        <w:t>Choix opéré:</w:t>
      </w:r>
      <w:r>
        <w:rPr>
          <w:rStyle w:val="optioncarChar"/>
          <w:b/>
        </w:rPr>
        <w:t>*** / OPTION 1 (un ensemble)</w:t>
      </w:r>
      <w:r>
        <w:t xml:space="preserve"> (par défaut)</w:t>
      </w:r>
      <w:r>
        <w:rPr>
          <w:rStyle w:val="optioncarChar"/>
          <w:b/>
        </w:rPr>
        <w:t> / OPTION 2 (séparément)</w:t>
      </w:r>
    </w:p>
    <w:p w14:paraId="26D538F8" w14:textId="77777777" w:rsidR="004B2808"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w:t>
      </w:r>
      <w:r>
        <w:t> (par défaut)</w:t>
      </w:r>
      <w:r>
        <w:rPr>
          <w:rStyle w:val="optioncarChar"/>
        </w:rPr>
        <w:t xml:space="preserve"> / 14 / 19 / ***</w:t>
      </w:r>
      <w:r>
        <w:t xml:space="preserve"> ) et, le cas échéant, selon la classification (nature, sens d'ouverture, emplacement,  prestations particulières, dimensions, forme et aspect).</w:t>
      </w:r>
    </w:p>
    <w:p w14:paraId="5CF74561" w14:textId="77777777" w:rsidR="004B2808" w:rsidRDefault="00000000">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7</w:t>
      </w:r>
      <w:r>
        <w:t> (par défaut)</w:t>
      </w:r>
      <w:r>
        <w:rPr>
          <w:rStyle w:val="optioncarChar"/>
        </w:rPr>
        <w:t xml:space="preserve">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152D786D" w14:textId="77777777" w:rsidR="004B2808" w:rsidRDefault="00000000">
      <w:r>
        <w:rPr>
          <w:u w:val="single"/>
        </w:rPr>
        <w:t xml:space="preserve">Attention </w:t>
      </w:r>
    </w:p>
    <w:p w14:paraId="0C71AD71" w14:textId="77777777" w:rsidR="004B2808" w:rsidRDefault="00000000">
      <w:pPr>
        <w:pStyle w:val="Author-eListParagraph"/>
        <w:numPr>
          <w:ilvl w:val="0"/>
          <w:numId w:val="1062"/>
        </w:numPr>
      </w:pPr>
      <w:r>
        <w:lastRenderedPageBreak/>
        <w:t>Les vantaux de portes de 630 - 730 et 830 mm de largeur peuvent être pris ensemble pour le mesurage.</w:t>
      </w:r>
    </w:p>
    <w:p w14:paraId="0017723D" w14:textId="77777777" w:rsidR="004B2808" w:rsidRDefault="00000000">
      <w:pPr>
        <w:pStyle w:val="Author-eListParagraph"/>
        <w:numPr>
          <w:ilvl w:val="0"/>
          <w:numId w:val="1062"/>
        </w:numPr>
      </w:pPr>
      <w:r>
        <w:t>Les quincailleries dont la fourniture et la mise en œuvre sont comprises peuvent être décrites dans d'autres postes mais sont toujours comprises dans le prix des portes.</w:t>
      </w:r>
    </w:p>
    <w:p w14:paraId="1E864BC1" w14:textId="77777777" w:rsidR="004B2808" w:rsidRDefault="00000000">
      <w:pPr>
        <w:pStyle w:val="pheading"/>
      </w:pPr>
      <w:r>
        <w:t>- nature du marché:</w:t>
      </w:r>
    </w:p>
    <w:p w14:paraId="2114EA6E" w14:textId="77777777" w:rsidR="004B2808" w:rsidRDefault="00000000">
      <w:r>
        <w:t>QF </w:t>
      </w:r>
    </w:p>
    <w:p w14:paraId="3A7251BB" w14:textId="77777777" w:rsidR="004B2808" w:rsidRDefault="00000000">
      <w:pPr>
        <w:pStyle w:val="Author-eSectionHeading6Numberless"/>
      </w:pPr>
      <w:bookmarkStart w:id="1093" w:name="_Toc220491220"/>
      <w:r>
        <w:t>55.22.2b Portes intérieures en aluminium AVEC coupure thermique CCTB 01.12</w:t>
      </w:r>
      <w:bookmarkEnd w:id="1093"/>
    </w:p>
    <w:p w14:paraId="4EB64F9F" w14:textId="77777777" w:rsidR="004B2808" w:rsidRDefault="00000000">
      <w:pPr>
        <w:pStyle w:val="pheading"/>
      </w:pPr>
      <w:r>
        <w:t>MATÉRIAUX</w:t>
      </w:r>
    </w:p>
    <w:p w14:paraId="431954B0" w14:textId="77777777" w:rsidR="004B2808" w:rsidRDefault="00000000">
      <w:pPr>
        <w:pStyle w:val="pheading"/>
      </w:pPr>
      <w:r>
        <w:t>- Prescriptions complémentaires</w:t>
      </w:r>
    </w:p>
    <w:p w14:paraId="3DD2BA2E" w14:textId="77777777" w:rsidR="004B2808" w:rsidRDefault="00000000">
      <w:pPr>
        <w:pStyle w:val="heading"/>
      </w:pPr>
      <w:r>
        <w:t>(critères de performance)  Vantaux de porte</w:t>
      </w:r>
    </w:p>
    <w:p w14:paraId="583D532C" w14:textId="77777777" w:rsidR="004B2808" w:rsidRDefault="00000000">
      <w:r>
        <w:t>Conformément aux indications supplémentaires dans le cahier spécial des charges, les dispositions supplémentaires suivantes sont d'application :</w:t>
      </w:r>
    </w:p>
    <w:p w14:paraId="43AC9E5E" w14:textId="77777777" w:rsidR="004B2808" w:rsidRDefault="00000000">
      <w:pPr>
        <w:pStyle w:val="Author-eListParagraph"/>
        <w:numPr>
          <w:ilvl w:val="0"/>
          <w:numId w:val="1063"/>
        </w:numPr>
      </w:pPr>
      <w:r>
        <w:t>Les dispositions des [STS 53.1] pour les portes intérieures planes dans les salles de bains et les autres locaux humides.</w:t>
      </w:r>
    </w:p>
    <w:p w14:paraId="50445EC1" w14:textId="77777777" w:rsidR="004B2808" w:rsidRDefault="00000000">
      <w:r>
        <w:br/>
        <w:t>Attention  : Les ensembles de porte résistant au feu sont toujours considérés dans un poste séparé.</w:t>
      </w:r>
    </w:p>
    <w:p w14:paraId="69F3ED73" w14:textId="77777777" w:rsidR="004B2808" w:rsidRDefault="00000000">
      <w:pPr>
        <w:pStyle w:val="heading"/>
      </w:pPr>
      <w:r>
        <w:t>(Accessoires) Vantaux de porte</w:t>
      </w:r>
    </w:p>
    <w:p w14:paraId="4DE93EBA"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08183945" w14:textId="77777777" w:rsidR="004B2808" w:rsidRDefault="00000000">
      <w:pPr>
        <w:pStyle w:val="Author-eListParagraph"/>
        <w:numPr>
          <w:ilvl w:val="0"/>
          <w:numId w:val="1064"/>
        </w:numPr>
      </w:pPr>
      <w:r>
        <w:t>Equipés d'un vitrage :</w:t>
      </w:r>
    </w:p>
    <w:p w14:paraId="2459BB6C" w14:textId="77777777" w:rsidR="004B2808" w:rsidRDefault="00000000">
      <w:pPr>
        <w:pStyle w:val="Author-eListParagraph"/>
        <w:numPr>
          <w:ilvl w:val="0"/>
          <w:numId w:val="1064"/>
        </w:numPr>
      </w:pPr>
      <w:r>
        <w:t xml:space="preserve">En verre de sécurité </w:t>
      </w:r>
      <w:r>
        <w:rPr>
          <w:rStyle w:val="optioncarChar"/>
        </w:rPr>
        <w:t>simple </w:t>
      </w:r>
      <w:r>
        <w:t xml:space="preserve">(par défaut) </w:t>
      </w:r>
      <w:r>
        <w:rPr>
          <w:rStyle w:val="optioncarChar"/>
        </w:rPr>
        <w:t>/ clair / mat / opale / ***</w:t>
      </w:r>
      <w:r>
        <w:t xml:space="preserve"> , selon la [NBN S 23-002]</w:t>
      </w:r>
    </w:p>
    <w:p w14:paraId="2177F048" w14:textId="77777777" w:rsidR="004B2808" w:rsidRDefault="00000000">
      <w:pPr>
        <w:pStyle w:val="Author-eListParagraph"/>
        <w:numPr>
          <w:ilvl w:val="0"/>
          <w:numId w:val="1064"/>
        </w:numPr>
      </w:pPr>
      <w:r>
        <w:t xml:space="preserve">Réservation dans le vantail de porte : </w:t>
      </w:r>
      <w:r>
        <w:rPr>
          <w:rStyle w:val="optioncarChar"/>
        </w:rPr>
        <w:t xml:space="preserve">rectangulaire </w:t>
      </w:r>
      <w:r>
        <w:t>(par défaut)</w:t>
      </w:r>
      <w:r>
        <w:rPr>
          <w:rStyle w:val="optioncarChar"/>
        </w:rPr>
        <w:t> / ronde / conformément aux dessins de détail / selon le modèle / *** </w:t>
      </w:r>
      <w:r>
        <w:t>à soumettre pour approbation (pour les réservations dans les portes à âme creuse, un cadre en bois est appliqué et collé).</w:t>
      </w:r>
    </w:p>
    <w:p w14:paraId="1149D007" w14:textId="77777777" w:rsidR="004B2808" w:rsidRDefault="00000000">
      <w:pPr>
        <w:pStyle w:val="Author-eListParagraph"/>
        <w:numPr>
          <w:ilvl w:val="0"/>
          <w:numId w:val="1064"/>
        </w:numPr>
      </w:pPr>
      <w:r>
        <w:t xml:space="preserve">Fixation de la vitre dans la réservation à l'aide de : </w:t>
      </w:r>
      <w:r>
        <w:rPr>
          <w:rStyle w:val="optioncarChar"/>
        </w:rPr>
        <w:t>mastic plastique</w:t>
      </w:r>
      <w:r>
        <w:t> (par défaut)</w:t>
      </w:r>
      <w:r>
        <w:rPr>
          <w:rStyle w:val="optioncarChar"/>
        </w:rPr>
        <w:t xml:space="preserve"> / profils de fixation à enclenchement en PVC / ***</w:t>
      </w:r>
    </w:p>
    <w:p w14:paraId="57BE5629" w14:textId="77777777" w:rsidR="004B2808" w:rsidRDefault="00000000">
      <w:pPr>
        <w:pStyle w:val="Author-eListParagraph"/>
        <w:numPr>
          <w:ilvl w:val="0"/>
          <w:numId w:val="1064"/>
        </w:numPr>
      </w:pPr>
      <w:r>
        <w:t xml:space="preserve">Les vitres sont encadrées par : </w:t>
      </w:r>
      <w:r>
        <w:rPr>
          <w:rStyle w:val="optioncarChar"/>
        </w:rPr>
        <w:t>des lattes en aluminium de la même qualité, même finition que les profils de la porte </w:t>
      </w:r>
      <w:r>
        <w:t>(par défaut)</w:t>
      </w:r>
      <w:r>
        <w:rPr>
          <w:rStyle w:val="optioncarChar"/>
        </w:rPr>
        <w:t xml:space="preserve"> / ***.</w:t>
      </w:r>
    </w:p>
    <w:p w14:paraId="3BFC56E2" w14:textId="77777777" w:rsidR="004B2808" w:rsidRDefault="00000000">
      <w:pPr>
        <w:pStyle w:val="Author-eListParagraph"/>
        <w:numPr>
          <w:ilvl w:val="0"/>
          <w:numId w:val="1064"/>
        </w:numPr>
      </w:pPr>
      <w:r>
        <w:t xml:space="preserve">Pourvus d'une grille encastrée, selon l'article </w:t>
      </w:r>
      <w:hyperlink w:anchor="1322" w:history="1">
        <w:r w:rsidR="004B2808">
          <w:rPr>
            <w:color w:val="0000EE"/>
          </w:rPr>
          <w:t>55.68.1 Grilles de transfert dans les portes</w:t>
        </w:r>
      </w:hyperlink>
      <w:r>
        <w:t xml:space="preserve"> grilles de transfert dans les portes, ouverture d'aération conformément à la [NBN D 50-001]</w:t>
      </w:r>
    </w:p>
    <w:p w14:paraId="5A9DFCD5" w14:textId="77777777" w:rsidR="004B2808" w:rsidRDefault="00000000">
      <w:pPr>
        <w:pStyle w:val="Author-eListParagraph"/>
        <w:numPr>
          <w:ilvl w:val="0"/>
          <w:numId w:val="1064"/>
        </w:numPr>
      </w:pPr>
      <w:r>
        <w:t xml:space="preserve">Pourvus d'une fente de ventilation d'environ </w:t>
      </w:r>
      <w:r>
        <w:rPr>
          <w:rStyle w:val="optioncarChar"/>
        </w:rPr>
        <w:t>1</w:t>
      </w:r>
      <w:r>
        <w:t> (par défaut)</w:t>
      </w:r>
      <w:r>
        <w:rPr>
          <w:rStyle w:val="optioncarChar"/>
        </w:rPr>
        <w:t> / ***</w:t>
      </w:r>
      <w:r>
        <w:t xml:space="preserve"> cm dans le bas, de façon telle que l'ouverture d'aération soit conformé à la [NBN D 50-001]</w:t>
      </w:r>
    </w:p>
    <w:p w14:paraId="79F96452" w14:textId="77777777" w:rsidR="004B2808" w:rsidRDefault="00000000">
      <w:pPr>
        <w:pStyle w:val="Author-eListParagraph"/>
        <w:numPr>
          <w:ilvl w:val="0"/>
          <w:numId w:val="1064"/>
        </w:numPr>
      </w:pPr>
      <w:r>
        <w:t>Conçues comme portes coulissantes (les vantaux de porte et les huisseries sont conformes aux portes ouvrantes ordinaires. Seul le mode de suspension et la quincaillerie concernée sont adaptés au concept des vantaux de porte coulissants).</w:t>
      </w:r>
    </w:p>
    <w:p w14:paraId="6F8AA209" w14:textId="77777777" w:rsidR="004B2808" w:rsidRDefault="00000000">
      <w:pPr>
        <w:pStyle w:val="Author-eListParagraph"/>
        <w:numPr>
          <w:ilvl w:val="0"/>
          <w:numId w:val="1064"/>
        </w:numPr>
      </w:pPr>
      <w:r>
        <w:t xml:space="preserve">Portes coulissantes </w:t>
      </w:r>
      <w:r>
        <w:rPr>
          <w:rStyle w:val="optioncarChar"/>
        </w:rPr>
        <w:t>simples</w:t>
      </w:r>
      <w:r>
        <w:t> (par défaut)</w:t>
      </w:r>
      <w:r>
        <w:rPr>
          <w:rStyle w:val="optioncarChar"/>
        </w:rPr>
        <w:t xml:space="preserve"> / doubles / ***</w:t>
      </w:r>
    </w:p>
    <w:p w14:paraId="3477240A" w14:textId="77777777" w:rsidR="004B2808" w:rsidRDefault="00000000">
      <w:pPr>
        <w:pStyle w:val="Author-eListParagraph"/>
        <w:numPr>
          <w:ilvl w:val="0"/>
          <w:numId w:val="1064"/>
        </w:numPr>
      </w:pPr>
      <w:r>
        <w:t>Composées de</w:t>
      </w:r>
      <w:r>
        <w:rPr>
          <w:rStyle w:val="optioncarChar"/>
        </w:rPr>
        <w:t> un panneau </w:t>
      </w:r>
      <w:r>
        <w:t>(par défaut)</w:t>
      </w:r>
      <w:r>
        <w:rPr>
          <w:rStyle w:val="optioncarChar"/>
        </w:rPr>
        <w:t xml:space="preserve"> / deux panneaux / ***</w:t>
      </w:r>
    </w:p>
    <w:p w14:paraId="59AE5558" w14:textId="77777777" w:rsidR="004B2808" w:rsidRDefault="00000000">
      <w:pPr>
        <w:pStyle w:val="Author-eListParagraph"/>
        <w:numPr>
          <w:ilvl w:val="0"/>
          <w:numId w:val="1064"/>
        </w:numPr>
      </w:pPr>
      <w:r>
        <w:t>Mécanisme de coulisse : rails en acier galvanisé; galets en nylon de première qualité; type et modèle en fonction du type et du poids des vantaux coulissants.</w:t>
      </w:r>
    </w:p>
    <w:p w14:paraId="100CF646" w14:textId="77777777" w:rsidR="004B2808" w:rsidRDefault="00000000">
      <w:pPr>
        <w:pStyle w:val="Author-eListParagraph"/>
        <w:numPr>
          <w:ilvl w:val="0"/>
          <w:numId w:val="1064"/>
        </w:numPr>
      </w:pPr>
      <w:r>
        <w:t xml:space="preserve">Conçues comme </w:t>
      </w:r>
      <w:r>
        <w:rPr>
          <w:rStyle w:val="optioncarChar"/>
        </w:rPr>
        <w:t>portes battantes</w:t>
      </w:r>
      <w:r>
        <w:t> (par défaut)</w:t>
      </w:r>
      <w:r>
        <w:rPr>
          <w:rStyle w:val="optioncarChar"/>
        </w:rPr>
        <w:t xml:space="preserve"> / pivotantes / *** </w:t>
      </w:r>
      <w:r>
        <w:t xml:space="preserve">(les vantaux de porte et les huisseries sont conformes aux portes ouvrantes ordinaires. Seul le mode de suspension et la quincaillerie concernée sont adaptés au concept des vantaux de porte </w:t>
      </w:r>
      <w:r>
        <w:rPr>
          <w:rStyle w:val="optioncarChar"/>
        </w:rPr>
        <w:t>battante (</w:t>
      </w:r>
      <w:r>
        <w:t>par défaut)</w:t>
      </w:r>
      <w:r>
        <w:rPr>
          <w:rStyle w:val="optioncarChar"/>
        </w:rPr>
        <w:t> / pivotante</w:t>
      </w:r>
      <w:r>
        <w:t>)</w:t>
      </w:r>
    </w:p>
    <w:p w14:paraId="5C50A515" w14:textId="77777777" w:rsidR="004B2808" w:rsidRDefault="00000000">
      <w:pPr>
        <w:pStyle w:val="Author-eListParagraph"/>
        <w:numPr>
          <w:ilvl w:val="0"/>
          <w:numId w:val="1064"/>
        </w:numPr>
      </w:pPr>
      <w:r>
        <w:t xml:space="preserve">Composées de </w:t>
      </w:r>
      <w:r>
        <w:rPr>
          <w:rStyle w:val="optioncarChar"/>
        </w:rPr>
        <w:t>un panneau</w:t>
      </w:r>
      <w:r>
        <w:t xml:space="preserve"> (par défaut)</w:t>
      </w:r>
      <w:r>
        <w:rPr>
          <w:rStyle w:val="optioncarChar"/>
        </w:rPr>
        <w:t> / deux panneaux / ***</w:t>
      </w:r>
    </w:p>
    <w:p w14:paraId="1CDA05AD" w14:textId="77777777" w:rsidR="004B2808" w:rsidRDefault="00000000">
      <w:pPr>
        <w:pStyle w:val="heading"/>
      </w:pPr>
      <w:r>
        <w:t>Ensembles de porte / résistant au feu</w:t>
      </w:r>
    </w:p>
    <w:p w14:paraId="731878AA"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0CDA0227" w14:textId="77777777" w:rsidR="004B2808" w:rsidRDefault="00000000">
      <w:pPr>
        <w:pStyle w:val="Author-eListParagraph"/>
        <w:numPr>
          <w:ilvl w:val="0"/>
          <w:numId w:val="1065"/>
        </w:numPr>
      </w:pPr>
      <w:r>
        <w:lastRenderedPageBreak/>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22915754" w14:textId="77777777" w:rsidR="004B2808" w:rsidRDefault="00000000">
      <w:pPr>
        <w:pStyle w:val="Author-eListParagraph"/>
        <w:numPr>
          <w:ilvl w:val="0"/>
          <w:numId w:val="1065"/>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w:t>
      </w:r>
      <w:r>
        <w:t xml:space="preserve"> comme les chanlattes. Le vitrage est toujours délimité sur toute sa périphérie par des sections en bois plein d'une largeur minimale de 140 mm pour les côtés et au-dessus et de 220 mm dans le bas.</w:t>
      </w:r>
    </w:p>
    <w:p w14:paraId="3CCFFE18" w14:textId="77777777" w:rsidR="004B2808"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1253AAA0" w14:textId="77777777" w:rsidR="004B2808" w:rsidRDefault="00000000">
      <w:pPr>
        <w:pStyle w:val="Author-eListParagraph"/>
        <w:numPr>
          <w:ilvl w:val="0"/>
          <w:numId w:val="1066"/>
        </w:numPr>
      </w:pPr>
      <w:r>
        <w:t xml:space="preserve">Pourvus d'une imposte </w:t>
      </w:r>
      <w:r>
        <w:rPr>
          <w:rStyle w:val="optioncarChar"/>
        </w:rPr>
        <w:t>avec</w:t>
      </w:r>
      <w:r>
        <w:t> (par défaut)</w:t>
      </w:r>
      <w:r>
        <w:rPr>
          <w:rStyle w:val="optioncarChar"/>
        </w:rPr>
        <w:t xml:space="preserve"> / sans / *** </w:t>
      </w:r>
      <w:r>
        <w:t>traverse intermédiaire.</w:t>
      </w:r>
    </w:p>
    <w:p w14:paraId="2EC56FAD" w14:textId="77777777" w:rsidR="004B2808" w:rsidRDefault="00000000">
      <w:pPr>
        <w:pStyle w:val="Author-eListParagraph"/>
        <w:numPr>
          <w:ilvl w:val="0"/>
          <w:numId w:val="1066"/>
        </w:numPr>
      </w:pPr>
      <w:r>
        <w:t>Pourvus d'une bande brise-bise et butoir continue.</w:t>
      </w:r>
    </w:p>
    <w:p w14:paraId="675A187C" w14:textId="77777777" w:rsidR="004B2808" w:rsidRDefault="00000000">
      <w:pPr>
        <w:pStyle w:val="Author-eListParagraph"/>
        <w:numPr>
          <w:ilvl w:val="0"/>
          <w:numId w:val="1066"/>
        </w:numPr>
      </w:pPr>
      <w:r>
        <w:t xml:space="preserve">Pourvus d'un cadre approprié pour la fixation d'un ferme-porte, prévu à l'art. </w:t>
      </w:r>
      <w:hyperlink w:anchor="1325" w:history="1">
        <w:r w:rsidR="004B2808">
          <w:rPr>
            <w:color w:val="0000EE"/>
          </w:rPr>
          <w:t>55.62.5 Système de fermeture</w:t>
        </w:r>
      </w:hyperlink>
    </w:p>
    <w:p w14:paraId="066A48AF" w14:textId="77777777" w:rsidR="004B2808" w:rsidRDefault="00000000">
      <w:pPr>
        <w:pStyle w:val="Author-eListParagraph"/>
        <w:numPr>
          <w:ilvl w:val="0"/>
          <w:numId w:val="1066"/>
        </w:numPr>
      </w:pPr>
      <w:r>
        <w:t xml:space="preserve">Conçus comme portes </w:t>
      </w:r>
      <w:r>
        <w:rPr>
          <w:rStyle w:val="optioncarChar"/>
        </w:rPr>
        <w:t>va-et-vient </w:t>
      </w:r>
      <w:r>
        <w:t>(par défaut)</w:t>
      </w:r>
      <w:r>
        <w:rPr>
          <w:rStyle w:val="optioncarChar"/>
        </w:rPr>
        <w:t xml:space="preserve"> / pivotantes / *** </w:t>
      </w:r>
      <w:r>
        <w:t xml:space="preserve">. Elles se composent de </w:t>
      </w:r>
      <w:r>
        <w:rPr>
          <w:rStyle w:val="optioncarChar"/>
        </w:rPr>
        <w:t>un panneau</w:t>
      </w:r>
      <w:r>
        <w:t xml:space="preserve"> (par défaut)</w:t>
      </w:r>
      <w:r>
        <w:rPr>
          <w:rStyle w:val="optioncarChar"/>
        </w:rPr>
        <w:t> / deux panneaux / ***</w:t>
      </w:r>
      <w:r>
        <w:t xml:space="preserve"> , les vantaux des portes et les huisseries sont semblables aux portes ouvrantes ordinaires, seul le mode de suspension et les quincailleries correspondantes sont adaptés au concept des portes battantes.</w:t>
      </w:r>
    </w:p>
    <w:p w14:paraId="367309D0" w14:textId="77777777" w:rsidR="004B2808" w:rsidRDefault="00000000">
      <w:pPr>
        <w:pStyle w:val="Author-eListParagraph"/>
        <w:numPr>
          <w:ilvl w:val="0"/>
          <w:numId w:val="1066"/>
        </w:numPr>
      </w:pPr>
      <w:r>
        <w:t>L'ensemble porte résistant au feu est conforme à la [NIT 234].</w:t>
      </w:r>
    </w:p>
    <w:p w14:paraId="764C38CA" w14:textId="77777777" w:rsidR="004B2808" w:rsidRDefault="00000000">
      <w:pPr>
        <w:pStyle w:val="heading"/>
      </w:pPr>
      <w:r>
        <w:t>Options (biffer la mention inutile) ensembles de porte / résistant au feu - porte pleine / huisserie en acier</w:t>
      </w:r>
    </w:p>
    <w:p w14:paraId="652BA17B" w14:textId="77777777" w:rsidR="004B2808" w:rsidRDefault="00000000">
      <w:r>
        <w:t xml:space="preserve">Conformément aux indications sur le plan ou les dessins de détail, les vantaux de porte suivants </w:t>
      </w:r>
      <w:r>
        <w:rPr>
          <w:rStyle w:val="optioncarChar"/>
        </w:rPr>
        <w:t xml:space="preserve">*** </w:t>
      </w:r>
      <w:r>
        <w:t>sont :</w:t>
      </w:r>
    </w:p>
    <w:p w14:paraId="55DECE83" w14:textId="77777777" w:rsidR="004B2808" w:rsidRDefault="00000000">
      <w:pPr>
        <w:pStyle w:val="Author-eListParagraph"/>
        <w:numPr>
          <w:ilvl w:val="0"/>
          <w:numId w:val="1067"/>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5FA567D5" w14:textId="77777777" w:rsidR="004B2808" w:rsidRDefault="00000000">
      <w:pPr>
        <w:pStyle w:val="Author-eListParagraph"/>
        <w:numPr>
          <w:ilvl w:val="0"/>
          <w:numId w:val="1067"/>
        </w:numPr>
      </w:pPr>
      <w:r>
        <w:t xml:space="preserve">Equipés d'un vitrage résistant au feu en verre de sécurité conforme au rapport d'essai. Une réservation est faite dans le vantail de porte : </w:t>
      </w:r>
      <w:r>
        <w:rPr>
          <w:rStyle w:val="optioncarChar"/>
        </w:rPr>
        <w:t>rectangulaire</w:t>
      </w:r>
      <w:r>
        <w:t xml:space="preserve"> (par défaut) </w:t>
      </w:r>
      <w:r>
        <w:rPr>
          <w:rStyle w:val="optioncarChar"/>
        </w:rPr>
        <w:t>/ ronde / ***</w:t>
      </w:r>
      <w:r>
        <w:t xml:space="preserve"> ,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678D33F6" w14:textId="77777777" w:rsidR="004B2808"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2F0F5F8D" w14:textId="77777777" w:rsidR="004B2808" w:rsidRDefault="00000000">
      <w:pPr>
        <w:pStyle w:val="Author-eListParagraph"/>
        <w:numPr>
          <w:ilvl w:val="0"/>
          <w:numId w:val="1068"/>
        </w:numPr>
      </w:pPr>
      <w:r>
        <w:t xml:space="preserve">Pourvus d'une imposte </w:t>
      </w:r>
      <w:r>
        <w:rPr>
          <w:rStyle w:val="optioncarChar"/>
        </w:rPr>
        <w:t>avec </w:t>
      </w:r>
      <w:r>
        <w:t>(par défaut)</w:t>
      </w:r>
      <w:r>
        <w:rPr>
          <w:rStyle w:val="optioncarChar"/>
        </w:rPr>
        <w:t xml:space="preserve"> / sans / *** </w:t>
      </w:r>
      <w:r>
        <w:t>traverse intermédiaire.</w:t>
      </w:r>
    </w:p>
    <w:p w14:paraId="7BD16F5F" w14:textId="77777777" w:rsidR="004B2808" w:rsidRDefault="00000000">
      <w:pPr>
        <w:pStyle w:val="Author-eListParagraph"/>
        <w:numPr>
          <w:ilvl w:val="0"/>
          <w:numId w:val="1068"/>
        </w:numPr>
      </w:pPr>
      <w:r>
        <w:t>Pourvus d'une bande brise-bise et butoir continue.</w:t>
      </w:r>
    </w:p>
    <w:p w14:paraId="2CAA96D5" w14:textId="77777777" w:rsidR="004B2808" w:rsidRDefault="00000000">
      <w:pPr>
        <w:pStyle w:val="Author-eListParagraph"/>
        <w:numPr>
          <w:ilvl w:val="0"/>
          <w:numId w:val="1068"/>
        </w:numPr>
      </w:pPr>
      <w:r>
        <w:t xml:space="preserve">Pourvus d'un cadre approprié pour la fixation d'un ferme-porte, prévu à l'art. </w:t>
      </w:r>
      <w:hyperlink w:anchor="1325" w:history="1">
        <w:r w:rsidR="004B2808">
          <w:rPr>
            <w:color w:val="0000EE"/>
          </w:rPr>
          <w:t>55.62.5 Système de fermeture</w:t>
        </w:r>
      </w:hyperlink>
    </w:p>
    <w:p w14:paraId="27694505" w14:textId="77777777" w:rsidR="004B2808" w:rsidRDefault="00000000">
      <w:pPr>
        <w:pStyle w:val="Author-eListParagraph"/>
        <w:numPr>
          <w:ilvl w:val="0"/>
          <w:numId w:val="1068"/>
        </w:numPr>
      </w:pPr>
      <w:r>
        <w:t xml:space="preserve">Conçus comme portes </w:t>
      </w:r>
      <w:r>
        <w:rPr>
          <w:rStyle w:val="optioncarChar"/>
        </w:rPr>
        <w:t>va-et-vient </w:t>
      </w:r>
      <w:r>
        <w:t>(par défaut)</w:t>
      </w:r>
      <w:r>
        <w:rPr>
          <w:rStyle w:val="optioncarChar"/>
        </w:rPr>
        <w:t xml:space="preserve"> / pivotantes / ***</w:t>
      </w:r>
      <w:r>
        <w:t xml:space="preserve"> . Elles se composent de </w:t>
      </w:r>
      <w:r>
        <w:rPr>
          <w:rStyle w:val="optioncarChar"/>
        </w:rPr>
        <w:t>un panneau </w:t>
      </w:r>
      <w:r>
        <w:t>(par défaut)</w:t>
      </w:r>
      <w:r>
        <w:rPr>
          <w:rStyle w:val="optioncarChar"/>
        </w:rPr>
        <w:t xml:space="preserve"> / deux panneaux / *** </w:t>
      </w:r>
      <w:r>
        <w:t xml:space="preserve">, les vantaux des portes et les huisseries sont </w:t>
      </w:r>
      <w:r>
        <w:lastRenderedPageBreak/>
        <w:t>semblables aux portes ouvrantes ordinaires, seul le mode de suspension et les quincailleries correspondantes sont adaptés au concept des portes battantes.</w:t>
      </w:r>
    </w:p>
    <w:p w14:paraId="0C8989EA" w14:textId="77777777" w:rsidR="004B2808" w:rsidRDefault="00000000">
      <w:pPr>
        <w:pStyle w:val="Author-eListParagraph"/>
        <w:numPr>
          <w:ilvl w:val="0"/>
          <w:numId w:val="1068"/>
        </w:numPr>
      </w:pPr>
      <w:r>
        <w:t>Les profilés à rupture thermique sont conformes aux spécifications de la norme [NBN EN 14024]. </w:t>
      </w:r>
    </w:p>
    <w:p w14:paraId="137C9939" w14:textId="77777777" w:rsidR="004B2808" w:rsidRDefault="00000000">
      <w:pPr>
        <w:pStyle w:val="pheading"/>
      </w:pPr>
      <w:r>
        <w:t>MESURAGE</w:t>
      </w:r>
    </w:p>
    <w:p w14:paraId="2E0ED090" w14:textId="77777777" w:rsidR="004B2808" w:rsidRDefault="00000000">
      <w:r>
        <w:t>Conformément aux indications spécifiques dans le cahier spécial des charges et/ou le métré récapitulatif, le mesurage peut être conçu comme suit, en fonction de la nature des portes intérieures :</w:t>
      </w:r>
    </w:p>
    <w:p w14:paraId="0963E847" w14:textId="77777777" w:rsidR="004B2808" w:rsidRDefault="00000000">
      <w:pPr>
        <w:pStyle w:val="pheading"/>
      </w:pPr>
      <w:r>
        <w:t>- unité de mesure:</w:t>
      </w:r>
    </w:p>
    <w:p w14:paraId="58D2959A" w14:textId="77777777" w:rsidR="004B2808" w:rsidRDefault="00000000">
      <w:r>
        <w:t>pc</w:t>
      </w:r>
    </w:p>
    <w:p w14:paraId="21C21C6C" w14:textId="77777777" w:rsidR="004B2808" w:rsidRDefault="00000000">
      <w:pPr>
        <w:pStyle w:val="pheading"/>
      </w:pPr>
      <w:r>
        <w:t>- code de mesurage:</w:t>
      </w:r>
    </w:p>
    <w:p w14:paraId="2EC92F28" w14:textId="77777777" w:rsidR="004B2808" w:rsidRDefault="00000000">
      <w:r>
        <w:rPr>
          <w:rStyle w:val="optioncarChar"/>
          <w:b/>
        </w:rPr>
        <w:t xml:space="preserve">un ensemble complet </w:t>
      </w:r>
      <w:r>
        <w:t>(par défaut)</w:t>
      </w:r>
      <w:r>
        <w:rPr>
          <w:rStyle w:val="optioncarChar"/>
          <w:b/>
        </w:rPr>
        <w:t xml:space="preserve"> / encadrements et vantaux séparément</w:t>
      </w:r>
    </w:p>
    <w:p w14:paraId="7722D5CA" w14:textId="77777777" w:rsidR="004B2808" w:rsidRDefault="00000000">
      <w:r>
        <w:rPr>
          <w:b/>
        </w:rPr>
        <w:t>soit (par défaut)</w:t>
      </w:r>
      <w:r>
        <w:t xml:space="preserve"> : </w:t>
      </w:r>
      <w:r>
        <w:rPr>
          <w:rStyle w:val="soitChar"/>
        </w:rPr>
        <w:t xml:space="preserve">Les portes intérieures sont considérées comme un </w:t>
      </w:r>
      <w:r>
        <w:rPr>
          <w:rStyle w:val="soitChar"/>
          <w:u w:val="single"/>
        </w:rPr>
        <w:t>ensemble complet</w:t>
      </w:r>
      <w:r>
        <w:rPr>
          <w:rStyle w:val="soitChar"/>
        </w:rPr>
        <w:t>, y compris tous les accessoires, encadrements, feuilles de porte, quincaillerie, vitrage, impostes, … (portes résistant au feu).</w:t>
      </w:r>
      <w:r>
        <w:br/>
      </w:r>
      <w:r>
        <w:rPr>
          <w:rStyle w:val="soitChar"/>
        </w:rPr>
        <w:t>Quantité nette, ventilé selon les dimensions des portes et l'épaisseur des cloisons intérieures (</w:t>
      </w:r>
      <w:r>
        <w:rPr>
          <w:rStyle w:val="optioncarChar"/>
        </w:rPr>
        <w:t>9</w:t>
      </w:r>
      <w:r>
        <w:t> (par défaut)</w:t>
      </w:r>
      <w:r>
        <w:rPr>
          <w:rStyle w:val="optioncarChar"/>
        </w:rPr>
        <w:t xml:space="preserve"> / 14 / 19 / ***</w:t>
      </w:r>
      <w:r>
        <w:t xml:space="preserve"> ) </w:t>
      </w:r>
      <w:r>
        <w:rPr>
          <w:rStyle w:val="soitChar"/>
        </w:rPr>
        <w:t>et, le cas échéant, selon la classification (nature, sens d'ouverture, emplacement,  prestations particulières, dimensions, forme et aspect).</w:t>
      </w:r>
    </w:p>
    <w:p w14:paraId="0E70926F" w14:textId="77777777" w:rsidR="004B2808" w:rsidRDefault="00000000">
      <w:r>
        <w:rPr>
          <w:b/>
        </w:rPr>
        <w:t>soit</w:t>
      </w:r>
      <w:r>
        <w:t xml:space="preserve"> : </w:t>
      </w:r>
      <w:r>
        <w:rPr>
          <w:rStyle w:val="soitChar"/>
        </w:rPr>
        <w:t xml:space="preserve">les encadrements et les feuilles de portes sont considérés </w:t>
      </w:r>
      <w:r>
        <w:rPr>
          <w:rStyle w:val="soitChar"/>
          <w:u w:val="single"/>
        </w:rPr>
        <w:t>séparément</w:t>
      </w:r>
      <w:r>
        <w:br/>
      </w:r>
      <w:r>
        <w:rPr>
          <w:rStyle w:val="soitChar"/>
          <w:u w:val="single"/>
        </w:rPr>
        <w:t>encadrements</w:t>
      </w:r>
      <w:r>
        <w:rPr>
          <w:rStyle w:val="soitChar"/>
        </w:rPr>
        <w:t xml:space="preserve"> :</w:t>
      </w:r>
      <w:r>
        <w:br/>
      </w:r>
      <w:r>
        <w:rPr>
          <w:rStyle w:val="soitChar"/>
        </w:rPr>
        <w:t xml:space="preserve">éventuellement ventilés selon le type ou modèle, ventilé selon les dimensions de la porte et l'épaisseur de la paroi intérieure ( </w:t>
      </w:r>
      <w:r>
        <w:rPr>
          <w:rStyle w:val="optioncarChar"/>
        </w:rPr>
        <w:t>7 </w:t>
      </w:r>
      <w:r>
        <w:t xml:space="preserve">(par défaut) </w:t>
      </w:r>
      <w:r>
        <w:rPr>
          <w:rStyle w:val="optioncarChar"/>
        </w:rPr>
        <w:t>/ 9 / 14 / ***</w:t>
      </w:r>
      <w:r>
        <w:rPr>
          <w:rStyle w:val="soitChar"/>
        </w:rPr>
        <w:t xml:space="preserve"> ) et, le cas échéant, selon le type ou le modèle (nature, sens d'ouverture, emplacement,  prestations particulières, dimensions, forme et aspect), y compris les trous pour les gâches et les caches en métal ainsi que les suspensions.</w:t>
      </w:r>
      <w:r>
        <w:br/>
      </w:r>
      <w:r>
        <w:rPr>
          <w:rStyle w:val="soitChar"/>
          <w:u w:val="single"/>
        </w:rPr>
        <w:t>feuilles de porte</w:t>
      </w:r>
      <w:r>
        <w:rPr>
          <w:rStyle w:val="soitChar"/>
        </w:rPr>
        <w:t xml:space="preserve"> :   </w:t>
      </w:r>
      <w:r>
        <w:br/>
      </w:r>
      <w:r>
        <w:rPr>
          <w:rStyle w:val="soitChar"/>
        </w:rPr>
        <w:t>le cas échéant, ventilé selon le type ou le modèle, ventilé selon les dimensions des portes (indépendamment de la hauteur) et l'épaisseur des cloisons intérieures (</w:t>
      </w:r>
      <w:r>
        <w:rPr>
          <w:rStyle w:val="optioncarChar"/>
        </w:rPr>
        <w:t>7</w:t>
      </w:r>
      <w:r>
        <w:rPr>
          <w:rStyle w:val="soitChar"/>
        </w:rPr>
        <w:t> </w:t>
      </w:r>
      <w:r>
        <w:t>(par défaut)</w:t>
      </w:r>
      <w:r>
        <w:rPr>
          <w:rStyle w:val="optioncarChar"/>
        </w:rPr>
        <w:t xml:space="preserve"> / 9 / 14 / ***</w:t>
      </w:r>
      <w:r>
        <w:rPr>
          <w:rStyle w:val="soitChar"/>
        </w:rPr>
        <w:t xml:space="preserve"> ) et, le cas échéant, selon le type ou le modèle (nature, sens d'ouverture, emplacement,  prestations particulières, dimensions, forme et aspect). Toute la quincaillerie, les éléments de remplissage sont compris dans le prix unitaire.</w:t>
      </w:r>
    </w:p>
    <w:p w14:paraId="0FAE5D1B" w14:textId="77777777" w:rsidR="004B2808" w:rsidRDefault="00000000">
      <w:r>
        <w:rPr>
          <w:u w:val="single"/>
        </w:rPr>
        <w:t xml:space="preserve">Attention </w:t>
      </w:r>
    </w:p>
    <w:p w14:paraId="2F3691CD" w14:textId="77777777" w:rsidR="004B2808" w:rsidRDefault="00000000">
      <w:pPr>
        <w:pStyle w:val="Author-eListParagraph"/>
        <w:numPr>
          <w:ilvl w:val="0"/>
          <w:numId w:val="1069"/>
        </w:numPr>
      </w:pPr>
      <w:r>
        <w:t>Les vantaux de portes de 630 - 730 et 830 mm de largeur peuvent être pris ensemble pour le mesurage.</w:t>
      </w:r>
    </w:p>
    <w:p w14:paraId="5B8439C4" w14:textId="77777777" w:rsidR="004B2808" w:rsidRDefault="00000000">
      <w:pPr>
        <w:pStyle w:val="Author-eListParagraph"/>
        <w:numPr>
          <w:ilvl w:val="0"/>
          <w:numId w:val="1069"/>
        </w:numPr>
      </w:pPr>
      <w:r>
        <w:t>Les quincailleries dont la fourniture et la mise en œuvre sont comprises peuvent être décrites dans d'autres postes mais sont toujours comprises dans le prix des portes.</w:t>
      </w:r>
    </w:p>
    <w:p w14:paraId="7AA8FB4D" w14:textId="77777777" w:rsidR="004B2808" w:rsidRDefault="00000000">
      <w:pPr>
        <w:pStyle w:val="pheading"/>
      </w:pPr>
      <w:r>
        <w:t>- nature du marché:</w:t>
      </w:r>
    </w:p>
    <w:p w14:paraId="3FBDB6C7" w14:textId="77777777" w:rsidR="004B2808" w:rsidRDefault="00000000">
      <w:r>
        <w:t>QF </w:t>
      </w:r>
    </w:p>
    <w:p w14:paraId="6C19C93B" w14:textId="77777777" w:rsidR="004B2808" w:rsidRDefault="00000000">
      <w:pPr>
        <w:pStyle w:val="Author-eSectionHeading4Numberless"/>
      </w:pPr>
      <w:bookmarkStart w:id="1094" w:name="_Toc220491221"/>
      <w:r>
        <w:t>55.23 Portes intérieures en PVC CCTB 01.10</w:t>
      </w:r>
      <w:bookmarkEnd w:id="1094"/>
    </w:p>
    <w:p w14:paraId="3449CD94" w14:textId="77777777" w:rsidR="004B2808" w:rsidRDefault="00000000">
      <w:pPr>
        <w:pStyle w:val="Author-eSectionHeading5Numberless"/>
      </w:pPr>
      <w:bookmarkStart w:id="1095" w:name="_Toc220491222"/>
      <w:r>
        <w:t>55.23.1 Portes intérieures en PVC CCTB 01.02</w:t>
      </w:r>
      <w:bookmarkEnd w:id="1095"/>
    </w:p>
    <w:p w14:paraId="0E606509" w14:textId="77777777" w:rsidR="004B2808" w:rsidRDefault="00000000">
      <w:pPr>
        <w:pStyle w:val="Author-eSectionHeading6Numberless"/>
      </w:pPr>
      <w:bookmarkStart w:id="1096" w:name="_Toc220491223"/>
      <w:r>
        <w:t>55.23.1a Portes intérieures en PVC CCTB 01.10</w:t>
      </w:r>
      <w:bookmarkEnd w:id="1096"/>
    </w:p>
    <w:p w14:paraId="2310BB93" w14:textId="77777777" w:rsidR="004B2808" w:rsidRDefault="00000000">
      <w:pPr>
        <w:pStyle w:val="pheading"/>
      </w:pPr>
      <w:r>
        <w:t>MATÉRIAUX</w:t>
      </w:r>
    </w:p>
    <w:p w14:paraId="53F8BDCF" w14:textId="77777777" w:rsidR="004B2808" w:rsidRDefault="00000000">
      <w:pPr>
        <w:pStyle w:val="pheading"/>
      </w:pPr>
      <w:r>
        <w:t>- Prescriptions complémentaires</w:t>
      </w:r>
    </w:p>
    <w:p w14:paraId="08968C03" w14:textId="77777777" w:rsidR="004B2808" w:rsidRDefault="00000000">
      <w:pPr>
        <w:pStyle w:val="heading"/>
      </w:pPr>
      <w:r>
        <w:t>(critères de performance)  Vantaux de porte</w:t>
      </w:r>
    </w:p>
    <w:p w14:paraId="12861274" w14:textId="77777777" w:rsidR="004B2808" w:rsidRDefault="00000000">
      <w:r>
        <w:t>Conformément aux indications supplémentaires dans le cahier spécial des charges, les dispositions supplémentaires suivantes sont d'application :</w:t>
      </w:r>
    </w:p>
    <w:p w14:paraId="3C7EAAEE" w14:textId="77777777" w:rsidR="004B2808" w:rsidRDefault="00000000">
      <w:pPr>
        <w:pStyle w:val="Author-eListParagraph"/>
        <w:numPr>
          <w:ilvl w:val="0"/>
          <w:numId w:val="1070"/>
        </w:numPr>
      </w:pPr>
      <w:r>
        <w:lastRenderedPageBreak/>
        <w:t>Les dispositions des [STS 53.1] pour les portes intérieures planes dans les salles de bains et les autres locaux humides.</w:t>
      </w:r>
    </w:p>
    <w:p w14:paraId="62704E8A" w14:textId="77777777" w:rsidR="004B2808" w:rsidRDefault="00000000">
      <w:r>
        <w:br/>
        <w:t>Attention  : Les ensembles de porte résistant au feu sont toujours considérés dans un poste séparé.</w:t>
      </w:r>
    </w:p>
    <w:p w14:paraId="0981FB6C" w14:textId="77777777" w:rsidR="004B2808" w:rsidRDefault="00000000">
      <w:pPr>
        <w:pStyle w:val="heading"/>
      </w:pPr>
      <w:r>
        <w:t>(Accessoires) Vantaux de porte</w:t>
      </w:r>
    </w:p>
    <w:p w14:paraId="5A97184D"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718C3968" w14:textId="77777777" w:rsidR="004B2808" w:rsidRDefault="00000000">
      <w:pPr>
        <w:pStyle w:val="Author-eListParagraph"/>
        <w:numPr>
          <w:ilvl w:val="0"/>
          <w:numId w:val="1071"/>
        </w:numPr>
      </w:pPr>
      <w:r>
        <w:t>Equipés d'un vitrage :</w:t>
      </w:r>
    </w:p>
    <w:p w14:paraId="2B833927" w14:textId="77777777" w:rsidR="004B2808" w:rsidRDefault="00000000">
      <w:pPr>
        <w:pStyle w:val="Author-eListParagraph"/>
        <w:numPr>
          <w:ilvl w:val="0"/>
          <w:numId w:val="1071"/>
        </w:numPr>
      </w:pPr>
      <w:r>
        <w:t xml:space="preserve">En verre de sécurité </w:t>
      </w:r>
      <w:r>
        <w:rPr>
          <w:rStyle w:val="optioncarChar"/>
        </w:rPr>
        <w:t>simple</w:t>
      </w:r>
      <w:r>
        <w:t> (par défaut)</w:t>
      </w:r>
      <w:r>
        <w:rPr>
          <w:rStyle w:val="optioncarChar"/>
        </w:rPr>
        <w:t xml:space="preserve"> / clair / mat / opale / ***</w:t>
      </w:r>
      <w:r>
        <w:t xml:space="preserve"> , selon la [NBN S 23-002]</w:t>
      </w:r>
    </w:p>
    <w:p w14:paraId="64345612" w14:textId="77777777" w:rsidR="004B2808" w:rsidRDefault="00000000">
      <w:pPr>
        <w:pStyle w:val="Author-eListParagraph"/>
        <w:numPr>
          <w:ilvl w:val="0"/>
          <w:numId w:val="1071"/>
        </w:numPr>
      </w:pPr>
      <w:r>
        <w:t xml:space="preserve">Réservation dans le vantail de porte : </w:t>
      </w:r>
      <w:r>
        <w:rPr>
          <w:rStyle w:val="optioncarChar"/>
        </w:rPr>
        <w:t>rectangulaire </w:t>
      </w:r>
      <w:r>
        <w:t>(par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46D6E6A0" w14:textId="77777777" w:rsidR="004B2808" w:rsidRDefault="00000000">
      <w:pPr>
        <w:pStyle w:val="Author-eListParagraph"/>
        <w:numPr>
          <w:ilvl w:val="0"/>
          <w:numId w:val="1071"/>
        </w:numPr>
      </w:pPr>
      <w:r>
        <w:t xml:space="preserve">Fixation de la vitre dans la réservation à l'aide de : </w:t>
      </w:r>
      <w:r>
        <w:rPr>
          <w:rStyle w:val="optioncarChar"/>
        </w:rPr>
        <w:t>mastic plastique </w:t>
      </w:r>
      <w:r>
        <w:t>(par défaut)</w:t>
      </w:r>
      <w:r>
        <w:rPr>
          <w:rStyle w:val="optioncarChar"/>
        </w:rPr>
        <w:t xml:space="preserve"> / profils de fixation à enclenchement en PVC / ***</w:t>
      </w:r>
    </w:p>
    <w:p w14:paraId="3D5A6C28" w14:textId="77777777" w:rsidR="004B2808" w:rsidRDefault="00000000">
      <w:pPr>
        <w:pStyle w:val="Author-eListParagraph"/>
        <w:numPr>
          <w:ilvl w:val="0"/>
          <w:numId w:val="1071"/>
        </w:numPr>
      </w:pPr>
      <w:r>
        <w:t xml:space="preserve">Les vitres sont encadrées par : </w:t>
      </w:r>
      <w:r>
        <w:rPr>
          <w:rStyle w:val="optioncarChar"/>
        </w:rPr>
        <w:t>des lattes en PVC de qualité, finition similaire aux profils de la porte </w:t>
      </w:r>
      <w:r>
        <w:t>(par défaut)</w:t>
      </w:r>
      <w:r>
        <w:rPr>
          <w:rStyle w:val="optioncarChar"/>
        </w:rPr>
        <w:t xml:space="preserve"> / ***.</w:t>
      </w:r>
    </w:p>
    <w:p w14:paraId="50F400D0" w14:textId="77777777" w:rsidR="004B2808" w:rsidRDefault="00000000">
      <w:pPr>
        <w:pStyle w:val="Author-eListParagraph"/>
        <w:numPr>
          <w:ilvl w:val="0"/>
          <w:numId w:val="1071"/>
        </w:numPr>
      </w:pPr>
      <w:r>
        <w:t xml:space="preserve">Pourvus d'une grille encastrée, selon l'article </w:t>
      </w:r>
      <w:hyperlink w:anchor="1322" w:history="1">
        <w:r w:rsidR="004B2808">
          <w:rPr>
            <w:color w:val="0000EE"/>
          </w:rPr>
          <w:t>55.68.1 Grilles de transfert dans les portes</w:t>
        </w:r>
      </w:hyperlink>
      <w:r>
        <w:t xml:space="preserve"> grilles de transfert dans les portes, ouverture d'aération conformément à la [NBN D 50-001]</w:t>
      </w:r>
    </w:p>
    <w:p w14:paraId="3BD013F0" w14:textId="77777777" w:rsidR="004B2808" w:rsidRDefault="00000000">
      <w:pPr>
        <w:pStyle w:val="Author-eListParagraph"/>
        <w:numPr>
          <w:ilvl w:val="0"/>
          <w:numId w:val="1071"/>
        </w:numPr>
      </w:pPr>
      <w:r>
        <w:t xml:space="preserve">Pourvus d'une fente de ventilation d'environ </w:t>
      </w:r>
      <w:r>
        <w:rPr>
          <w:rStyle w:val="optioncarChar"/>
        </w:rPr>
        <w:t>1</w:t>
      </w:r>
      <w:r>
        <w:t> (par défaut) </w:t>
      </w:r>
      <w:r>
        <w:rPr>
          <w:rStyle w:val="optioncarChar"/>
        </w:rPr>
        <w:t>/ ***</w:t>
      </w:r>
      <w:r>
        <w:t xml:space="preserve"> cm dans le bas, de façon telle que l'ouverture d'aération soit conformé à la [NBN D 50-001]</w:t>
      </w:r>
    </w:p>
    <w:p w14:paraId="3899B900" w14:textId="77777777" w:rsidR="004B2808" w:rsidRDefault="00000000">
      <w:pPr>
        <w:pStyle w:val="Author-eListParagraph"/>
        <w:numPr>
          <w:ilvl w:val="0"/>
          <w:numId w:val="1071"/>
        </w:numPr>
      </w:pPr>
      <w:r>
        <w:t>Conçues comme portes coulissantes (les vantaux de porte et les huisseries sont conformes aux portes ouvrantes ordinaires. Seul le mode de suspension et la quincaillerie concernée sont adaptés au concept des vantaux de porte coulissants).</w:t>
      </w:r>
    </w:p>
    <w:p w14:paraId="7C5B1488" w14:textId="77777777" w:rsidR="004B2808" w:rsidRDefault="00000000">
      <w:pPr>
        <w:pStyle w:val="Author-eListParagraph"/>
        <w:numPr>
          <w:ilvl w:val="0"/>
          <w:numId w:val="1071"/>
        </w:numPr>
      </w:pPr>
      <w:r>
        <w:t xml:space="preserve">Portes coulissantes </w:t>
      </w:r>
      <w:r>
        <w:rPr>
          <w:rStyle w:val="optioncarChar"/>
        </w:rPr>
        <w:t>simples </w:t>
      </w:r>
      <w:r>
        <w:t>(par défaut)</w:t>
      </w:r>
      <w:r>
        <w:rPr>
          <w:rStyle w:val="optioncarChar"/>
        </w:rPr>
        <w:t xml:space="preserve"> / doubles / ***</w:t>
      </w:r>
    </w:p>
    <w:p w14:paraId="4D2F95F3" w14:textId="77777777" w:rsidR="004B2808" w:rsidRDefault="00000000">
      <w:pPr>
        <w:pStyle w:val="Author-eListParagraph"/>
        <w:numPr>
          <w:ilvl w:val="0"/>
          <w:numId w:val="1071"/>
        </w:numPr>
      </w:pPr>
      <w:r>
        <w:t>Composées de</w:t>
      </w:r>
      <w:r>
        <w:rPr>
          <w:rStyle w:val="optioncarChar"/>
        </w:rPr>
        <w:t> un panneau</w:t>
      </w:r>
      <w:r>
        <w:t> (par défaut)</w:t>
      </w:r>
      <w:r>
        <w:rPr>
          <w:rStyle w:val="optioncarChar"/>
        </w:rPr>
        <w:t xml:space="preserve"> / deux panneaux / ***</w:t>
      </w:r>
    </w:p>
    <w:p w14:paraId="35985E86" w14:textId="77777777" w:rsidR="004B2808" w:rsidRDefault="00000000">
      <w:pPr>
        <w:pStyle w:val="Author-eListParagraph"/>
        <w:numPr>
          <w:ilvl w:val="0"/>
          <w:numId w:val="1071"/>
        </w:numPr>
      </w:pPr>
      <w:r>
        <w:t>Mécanisme de coulisse : rails en acier galvanisé; galets en nylon de première qualité; type et modèle en fonction du type et du poids des vantaux coulissants.</w:t>
      </w:r>
    </w:p>
    <w:p w14:paraId="316F0CF4" w14:textId="77777777" w:rsidR="004B2808" w:rsidRDefault="00000000">
      <w:pPr>
        <w:pStyle w:val="Author-eListParagraph"/>
        <w:numPr>
          <w:ilvl w:val="0"/>
          <w:numId w:val="1071"/>
        </w:numPr>
      </w:pPr>
      <w:r>
        <w:t xml:space="preserve">Conçues comme </w:t>
      </w:r>
      <w:r>
        <w:rPr>
          <w:rStyle w:val="optioncarChar"/>
        </w:rPr>
        <w:t>portes battantes</w:t>
      </w:r>
      <w:r>
        <w:t> (par défaut)</w:t>
      </w:r>
      <w:r>
        <w:rPr>
          <w:rStyle w:val="optioncarChar"/>
        </w:rPr>
        <w:t xml:space="preserve"> / pivotantes / *** </w:t>
      </w:r>
      <w:r>
        <w:t xml:space="preserve">(les vantaux de porte et les huisseries sont conformes aux portes ouvrantes ordinaires. Seul le mode de suspension et la quincaillerie concernée sont adaptés au concept des vantaux de porte </w:t>
      </w:r>
      <w:r>
        <w:rPr>
          <w:rStyle w:val="optioncarChar"/>
        </w:rPr>
        <w:t>battante</w:t>
      </w:r>
      <w:r>
        <w:t> (par défaut)</w:t>
      </w:r>
      <w:r>
        <w:rPr>
          <w:rStyle w:val="optioncarChar"/>
        </w:rPr>
        <w:t xml:space="preserve"> / pivotante / ***</w:t>
      </w:r>
      <w:r>
        <w:t>)</w:t>
      </w:r>
    </w:p>
    <w:p w14:paraId="0C50B10E" w14:textId="77777777" w:rsidR="004B2808" w:rsidRDefault="00000000">
      <w:pPr>
        <w:pStyle w:val="Author-eListParagraph"/>
        <w:numPr>
          <w:ilvl w:val="0"/>
          <w:numId w:val="1071"/>
        </w:numPr>
      </w:pPr>
      <w:r>
        <w:t xml:space="preserve">Composées de </w:t>
      </w:r>
      <w:r>
        <w:rPr>
          <w:rStyle w:val="optioncarChar"/>
        </w:rPr>
        <w:t xml:space="preserve">un panneau </w:t>
      </w:r>
      <w:r>
        <w:t>(par défaut) </w:t>
      </w:r>
      <w:r>
        <w:rPr>
          <w:rStyle w:val="optioncarChar"/>
        </w:rPr>
        <w:t>/ deux panneaux / ***</w:t>
      </w:r>
    </w:p>
    <w:p w14:paraId="0EA51359" w14:textId="77777777" w:rsidR="004B2808" w:rsidRDefault="00000000">
      <w:pPr>
        <w:pStyle w:val="Author-eListParagraph"/>
        <w:numPr>
          <w:ilvl w:val="0"/>
          <w:numId w:val="1072"/>
        </w:numPr>
      </w:pPr>
      <w:r>
        <w:t xml:space="preserve">Pourvus d'une imposte </w:t>
      </w:r>
      <w:r>
        <w:rPr>
          <w:rStyle w:val="optioncarChar"/>
        </w:rPr>
        <w:t>avec</w:t>
      </w:r>
      <w:r>
        <w:t xml:space="preserve"> (par défaut) </w:t>
      </w:r>
      <w:r>
        <w:rPr>
          <w:rStyle w:val="optioncarChar"/>
        </w:rPr>
        <w:t>/ sans / *** </w:t>
      </w:r>
      <w:r>
        <w:t>traverse intermédiaire.</w:t>
      </w:r>
    </w:p>
    <w:p w14:paraId="6DE3E5B7" w14:textId="77777777" w:rsidR="004B2808" w:rsidRDefault="00000000">
      <w:pPr>
        <w:pStyle w:val="Author-eListParagraph"/>
        <w:numPr>
          <w:ilvl w:val="0"/>
          <w:numId w:val="1072"/>
        </w:numPr>
      </w:pPr>
      <w:r>
        <w:t>Pourvus d'une bande brise-bise et butoir continue.</w:t>
      </w:r>
    </w:p>
    <w:p w14:paraId="5AF09A03" w14:textId="77777777" w:rsidR="004B2808" w:rsidRDefault="00000000">
      <w:pPr>
        <w:pStyle w:val="Author-eListParagraph"/>
        <w:numPr>
          <w:ilvl w:val="0"/>
          <w:numId w:val="1072"/>
        </w:numPr>
      </w:pPr>
      <w:r>
        <w:t xml:space="preserve">Pourvus d'un cadre approprié pour la fixation d'un ferme-porte, prévu à l'art. </w:t>
      </w:r>
      <w:hyperlink w:anchor="1325" w:history="1">
        <w:r w:rsidR="004B2808">
          <w:rPr>
            <w:color w:val="0000EE"/>
          </w:rPr>
          <w:t>55.62.5 Système de fermeture</w:t>
        </w:r>
      </w:hyperlink>
    </w:p>
    <w:p w14:paraId="5B513ABB" w14:textId="77777777" w:rsidR="004B2808" w:rsidRDefault="00000000">
      <w:pPr>
        <w:pStyle w:val="Author-eListParagraph"/>
        <w:numPr>
          <w:ilvl w:val="0"/>
          <w:numId w:val="1072"/>
        </w:numPr>
      </w:pPr>
      <w:r>
        <w:t xml:space="preserve">Conçus comme portes </w:t>
      </w:r>
      <w:r>
        <w:rPr>
          <w:rStyle w:val="optioncarChar"/>
        </w:rPr>
        <w:t>va-et-vient </w:t>
      </w:r>
      <w:r>
        <w:t>(par défaut)</w:t>
      </w:r>
      <w:r>
        <w:rPr>
          <w:rStyle w:val="optioncarChar"/>
        </w:rPr>
        <w:t xml:space="preserve"> / pivotantes / ***</w:t>
      </w:r>
      <w:r>
        <w:t xml:space="preserve"> . Elles se composent de </w:t>
      </w:r>
      <w:r>
        <w:rPr>
          <w:rStyle w:val="optioncarChar"/>
        </w:rPr>
        <w:t>un panneau</w:t>
      </w:r>
      <w:r>
        <w:t> (par défaut)</w:t>
      </w:r>
      <w:r>
        <w:rPr>
          <w:rStyle w:val="optioncarChar"/>
        </w:rPr>
        <w:t xml:space="preserve"> / deux panneaux / *** </w:t>
      </w:r>
      <w:r>
        <w:t>, les vantaux des portes et les huisseries sont semblables aux portes ouvrantes ordinaires, seul le mode de suspension et les quincailleries correspondantes sont adaptés au concept des portes battantes.</w:t>
      </w:r>
    </w:p>
    <w:p w14:paraId="56470960" w14:textId="77777777" w:rsidR="004B2808" w:rsidRDefault="00000000">
      <w:pPr>
        <w:pStyle w:val="Author-eListParagraph"/>
        <w:numPr>
          <w:ilvl w:val="0"/>
          <w:numId w:val="1072"/>
        </w:numPr>
      </w:pPr>
      <w:r>
        <w:t>Les prolifés en PVC sont conformes aux prescriptions de la norme [NBN EN 514]</w:t>
      </w:r>
    </w:p>
    <w:p w14:paraId="7E3F81DC" w14:textId="77777777" w:rsidR="004B2808" w:rsidRDefault="00000000">
      <w:pPr>
        <w:pStyle w:val="pheading"/>
      </w:pPr>
      <w:r>
        <w:t>MESURAGE</w:t>
      </w:r>
    </w:p>
    <w:p w14:paraId="6565DAE4" w14:textId="77777777" w:rsidR="004B2808" w:rsidRDefault="00000000">
      <w:pPr>
        <w:pStyle w:val="pheading"/>
      </w:pPr>
      <w:r>
        <w:t>- unité de mesure:</w:t>
      </w:r>
    </w:p>
    <w:p w14:paraId="0F8B5458" w14:textId="77777777" w:rsidR="004B2808" w:rsidRDefault="00000000">
      <w:r>
        <w:t>p</w:t>
      </w:r>
    </w:p>
    <w:p w14:paraId="6F2F5C94" w14:textId="77777777" w:rsidR="004B2808" w:rsidRDefault="00000000">
      <w:pPr>
        <w:pStyle w:val="pheading"/>
      </w:pPr>
      <w:r>
        <w:t>- code de mesurage:</w:t>
      </w:r>
    </w:p>
    <w:p w14:paraId="06FF84D8" w14:textId="77777777" w:rsidR="004B2808"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w:t>
      </w:r>
      <w:r>
        <w:t xml:space="preserve"> (par </w:t>
      </w:r>
      <w:r>
        <w:lastRenderedPageBreak/>
        <w:t>défaut)</w:t>
      </w:r>
      <w:r>
        <w:rPr>
          <w:rStyle w:val="optioncarChar"/>
        </w:rPr>
        <w:t xml:space="preserve"> / 14 / 19 / ***</w:t>
      </w:r>
      <w:r>
        <w:t xml:space="preserve"> ) et, le cas échéant, selon la classification (nature, sens d'ouverture, emplacement,  prestations particulières, dimensions, forme et aspect).</w:t>
      </w:r>
    </w:p>
    <w:p w14:paraId="1397F550" w14:textId="77777777" w:rsidR="004B2808" w:rsidRDefault="00000000">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w:t>
      </w:r>
      <w:r>
        <w:t xml:space="preserve"> (par défaut)</w:t>
      </w:r>
      <w:r>
        <w:rPr>
          <w:rStyle w:val="optioncarChar"/>
        </w:rPr>
        <w:t>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7</w:t>
      </w:r>
      <w:r>
        <w:t> (par défaut)</w:t>
      </w:r>
      <w:r>
        <w:rPr>
          <w:rStyle w:val="optioncarChar"/>
        </w:rPr>
        <w:t xml:space="preserve">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47AAC34C" w14:textId="77777777" w:rsidR="004B2808" w:rsidRDefault="00000000">
      <w:r>
        <w:rPr>
          <w:b/>
        </w:rPr>
        <w:t>Choix opéré</w:t>
      </w:r>
      <w:r>
        <w:t xml:space="preserve">: </w:t>
      </w:r>
      <w:r>
        <w:rPr>
          <w:rStyle w:val="optioncarChar"/>
        </w:rPr>
        <w:t>*** / OPTION 1 (un ensemble) </w:t>
      </w:r>
      <w:r>
        <w:t>(par défaut)</w:t>
      </w:r>
      <w:r>
        <w:rPr>
          <w:rStyle w:val="optioncarChar"/>
        </w:rPr>
        <w:t xml:space="preserve"> / OPTION 2 (séparément)</w:t>
      </w:r>
    </w:p>
    <w:p w14:paraId="7D130E27" w14:textId="77777777" w:rsidR="004B2808" w:rsidRDefault="00000000">
      <w:r>
        <w:rPr>
          <w:u w:val="single"/>
        </w:rPr>
        <w:t xml:space="preserve">Attention </w:t>
      </w:r>
    </w:p>
    <w:p w14:paraId="5F12DC50" w14:textId="77777777" w:rsidR="004B2808" w:rsidRDefault="00000000">
      <w:pPr>
        <w:pStyle w:val="Author-eListParagraph"/>
        <w:numPr>
          <w:ilvl w:val="0"/>
          <w:numId w:val="1073"/>
        </w:numPr>
      </w:pPr>
      <w:r>
        <w:t>Les vantaux de portes de 630 - 730 et 830 mm de largeur peuvent être pris ensemble pour le mesurage.</w:t>
      </w:r>
    </w:p>
    <w:p w14:paraId="719AC380" w14:textId="77777777" w:rsidR="004B2808" w:rsidRDefault="00000000">
      <w:pPr>
        <w:pStyle w:val="Author-eListParagraph"/>
        <w:numPr>
          <w:ilvl w:val="0"/>
          <w:numId w:val="1073"/>
        </w:numPr>
      </w:pPr>
      <w:r>
        <w:t>Les quincailleries dont la fourniture et la mise en œuvre sont comprises peuvent être décrites dans d'autres postes mais sont toujours comprises dans le prix des portes.</w:t>
      </w:r>
    </w:p>
    <w:p w14:paraId="594AE88E" w14:textId="77777777" w:rsidR="004B2808" w:rsidRDefault="00000000">
      <w:pPr>
        <w:pStyle w:val="pheading"/>
      </w:pPr>
      <w:r>
        <w:t>- nature du marché:</w:t>
      </w:r>
    </w:p>
    <w:p w14:paraId="29C86E86" w14:textId="77777777" w:rsidR="004B2808" w:rsidRDefault="00000000">
      <w:r>
        <w:t>QF</w:t>
      </w:r>
    </w:p>
    <w:p w14:paraId="0944C37B" w14:textId="77777777" w:rsidR="004B2808" w:rsidRDefault="00000000">
      <w:pPr>
        <w:pStyle w:val="Author-eSectionHeading4Numberless"/>
      </w:pPr>
      <w:bookmarkStart w:id="1097" w:name="_Toc220491224"/>
      <w:r>
        <w:t>55.24 Portes intérieures en PUR CCTB 01.02</w:t>
      </w:r>
      <w:bookmarkEnd w:id="1097"/>
    </w:p>
    <w:p w14:paraId="2E0BED06" w14:textId="77777777" w:rsidR="004B2808" w:rsidRDefault="00000000">
      <w:pPr>
        <w:pStyle w:val="Author-eSectionHeading5Numberless"/>
      </w:pPr>
      <w:bookmarkStart w:id="1098" w:name="_Toc220491225"/>
      <w:r>
        <w:t>55.24.1 Portes intérieures en PUR CCTB 01.02</w:t>
      </w:r>
      <w:bookmarkEnd w:id="1098"/>
    </w:p>
    <w:p w14:paraId="1A90C085" w14:textId="77777777" w:rsidR="004B2808" w:rsidRDefault="00000000">
      <w:pPr>
        <w:pStyle w:val="Author-eSectionHeading6Numberless"/>
      </w:pPr>
      <w:bookmarkStart w:id="1099" w:name="_Toc220491226"/>
      <w:r>
        <w:t>55.24.1a Portes intérieures en PUR CCTB 01.11</w:t>
      </w:r>
      <w:bookmarkEnd w:id="1099"/>
    </w:p>
    <w:p w14:paraId="3E3670C7" w14:textId="77777777" w:rsidR="004B2808" w:rsidRDefault="00000000">
      <w:pPr>
        <w:pStyle w:val="pheading"/>
      </w:pPr>
      <w:r>
        <w:t>MATÉRIAUX</w:t>
      </w:r>
    </w:p>
    <w:p w14:paraId="4991608D" w14:textId="77777777" w:rsidR="004B2808" w:rsidRDefault="00000000">
      <w:pPr>
        <w:pStyle w:val="pheading"/>
      </w:pPr>
      <w:r>
        <w:t>- Prescriptions complémentaires</w:t>
      </w:r>
    </w:p>
    <w:p w14:paraId="6931EE64" w14:textId="77777777" w:rsidR="004B2808" w:rsidRDefault="00000000">
      <w:pPr>
        <w:pStyle w:val="heading"/>
      </w:pPr>
      <w:r>
        <w:t>(critères de performance)  Vantaux de porte</w:t>
      </w:r>
    </w:p>
    <w:p w14:paraId="3B93651E" w14:textId="77777777" w:rsidR="004B2808" w:rsidRDefault="00000000">
      <w:r>
        <w:t>Conformément aux indications supplémentaires dans le cahier spécial des charges, les dispositions supplémentaires suivantes sont d'application :</w:t>
      </w:r>
    </w:p>
    <w:p w14:paraId="209B143B" w14:textId="77777777" w:rsidR="004B2808" w:rsidRDefault="00000000">
      <w:pPr>
        <w:pStyle w:val="Author-eListParagraph"/>
        <w:numPr>
          <w:ilvl w:val="0"/>
          <w:numId w:val="1074"/>
        </w:numPr>
      </w:pPr>
      <w:r>
        <w:t>Les dispositions des [STS 53.1] pour les portes intérieures planes dans les salles de bains et les autres locaux humides.</w:t>
      </w:r>
    </w:p>
    <w:p w14:paraId="7863D739" w14:textId="77777777" w:rsidR="004B2808" w:rsidRDefault="00000000">
      <w:r>
        <w:br/>
        <w:t>Attention  : Les ensembles de porte résistant au feu sont toujours considérés dans un poste séparé.</w:t>
      </w:r>
    </w:p>
    <w:p w14:paraId="2944A3F7" w14:textId="77777777" w:rsidR="004B2808" w:rsidRDefault="00000000">
      <w:pPr>
        <w:pStyle w:val="heading"/>
      </w:pPr>
      <w:r>
        <w:t>(Accessoires) Vantaux de porte</w:t>
      </w:r>
    </w:p>
    <w:p w14:paraId="4952F0C1"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0DEAF488" w14:textId="77777777" w:rsidR="004B2808" w:rsidRDefault="00000000">
      <w:pPr>
        <w:pStyle w:val="Author-eListParagraph"/>
        <w:numPr>
          <w:ilvl w:val="0"/>
          <w:numId w:val="1075"/>
        </w:numPr>
      </w:pPr>
      <w:r>
        <w:t>Equipés d'un vitrage :</w:t>
      </w:r>
    </w:p>
    <w:p w14:paraId="09B3C5C6" w14:textId="77777777" w:rsidR="004B2808" w:rsidRDefault="00000000">
      <w:pPr>
        <w:pStyle w:val="Author-eListParagraph"/>
        <w:numPr>
          <w:ilvl w:val="0"/>
          <w:numId w:val="1075"/>
        </w:numPr>
      </w:pPr>
      <w:r>
        <w:t xml:space="preserve">En verre de sécurité </w:t>
      </w:r>
      <w:r>
        <w:rPr>
          <w:rStyle w:val="optioncarChar"/>
        </w:rPr>
        <w:t>*** / simple / clair / mat / opale / ***</w:t>
      </w:r>
      <w:r>
        <w:t xml:space="preserve"> , selon la [NBN S 23-002]</w:t>
      </w:r>
    </w:p>
    <w:p w14:paraId="50B6F187" w14:textId="77777777" w:rsidR="004B2808" w:rsidRDefault="00000000">
      <w:pPr>
        <w:pStyle w:val="Author-eListParagraph"/>
        <w:numPr>
          <w:ilvl w:val="0"/>
          <w:numId w:val="1075"/>
        </w:numPr>
      </w:pPr>
      <w:r>
        <w:t xml:space="preserve">Réservation dans le vantail de porte : </w:t>
      </w:r>
      <w:r>
        <w:rPr>
          <w:rStyle w:val="optioncarChar"/>
        </w:rPr>
        <w:t xml:space="preserve">*** / rectangulaire / ronde / conformément aux dessins de détail / selon le modèle </w:t>
      </w:r>
      <w:r>
        <w:t>à soumettre pour approbation (pour les réservations dans les portes à âme creuse, un cadre en bois est appliqué et collé).</w:t>
      </w:r>
    </w:p>
    <w:p w14:paraId="155CB584" w14:textId="77777777" w:rsidR="004B2808" w:rsidRDefault="00000000">
      <w:pPr>
        <w:pStyle w:val="Author-eListParagraph"/>
        <w:numPr>
          <w:ilvl w:val="0"/>
          <w:numId w:val="1075"/>
        </w:numPr>
      </w:pPr>
      <w:r>
        <w:t xml:space="preserve">Fixation de la vitre dans la réservation à l'aide de : </w:t>
      </w:r>
      <w:r>
        <w:rPr>
          <w:rStyle w:val="optioncarChar"/>
        </w:rPr>
        <w:t>*** / mastic plastique / profils de fixation à enclenchement en PVC</w:t>
      </w:r>
    </w:p>
    <w:p w14:paraId="20AC4AE4" w14:textId="77777777" w:rsidR="004B2808" w:rsidRDefault="00000000">
      <w:pPr>
        <w:pStyle w:val="Author-eListParagraph"/>
        <w:numPr>
          <w:ilvl w:val="0"/>
          <w:numId w:val="1075"/>
        </w:numPr>
      </w:pPr>
      <w:r>
        <w:t xml:space="preserve">Les vitres sont encadrées par : </w:t>
      </w:r>
      <w:r>
        <w:rPr>
          <w:rStyle w:val="optioncarChar"/>
        </w:rPr>
        <w:t>*** / des lattes en bois dur, finition prête à peindre / ***.</w:t>
      </w:r>
    </w:p>
    <w:p w14:paraId="0CC1E0AD" w14:textId="77777777" w:rsidR="004B2808" w:rsidRDefault="00000000">
      <w:pPr>
        <w:pStyle w:val="Author-eListParagraph"/>
        <w:numPr>
          <w:ilvl w:val="0"/>
          <w:numId w:val="1075"/>
        </w:numPr>
      </w:pPr>
      <w:r>
        <w:lastRenderedPageBreak/>
        <w:t xml:space="preserve">Pourvus d'une grille encastrée, selon l'article </w:t>
      </w:r>
      <w:hyperlink w:anchor="1322" w:history="1">
        <w:r w:rsidR="004B2808">
          <w:rPr>
            <w:color w:val="0000EE"/>
          </w:rPr>
          <w:t>55.68.1 Grilles de transfert dans les portes</w:t>
        </w:r>
      </w:hyperlink>
      <w:r>
        <w:t xml:space="preserve"> grilles de transfert dans les portes, ouverture d'aération conformément à la [NBN D 50-001]</w:t>
      </w:r>
    </w:p>
    <w:p w14:paraId="04D50A25" w14:textId="77777777" w:rsidR="004B2808" w:rsidRDefault="00000000">
      <w:pPr>
        <w:pStyle w:val="Author-eListParagraph"/>
        <w:numPr>
          <w:ilvl w:val="0"/>
          <w:numId w:val="1075"/>
        </w:numPr>
      </w:pPr>
      <w:r>
        <w:t xml:space="preserve">Pourvus d'une fente de ventilation d'environ </w:t>
      </w:r>
      <w:r>
        <w:rPr>
          <w:rStyle w:val="optioncarChar"/>
        </w:rPr>
        <w:t>*** / 1</w:t>
      </w:r>
      <w:r>
        <w:t xml:space="preserve"> cm dans le bas, de façon telle que l'ouverture d'aération soit conformé à la [NBN D 50-001]</w:t>
      </w:r>
    </w:p>
    <w:p w14:paraId="7BF2D0E1" w14:textId="77777777" w:rsidR="004B2808" w:rsidRDefault="00000000">
      <w:pPr>
        <w:pStyle w:val="Author-eListParagraph"/>
        <w:numPr>
          <w:ilvl w:val="0"/>
          <w:numId w:val="1075"/>
        </w:numPr>
      </w:pPr>
      <w:r>
        <w:t>Conçues comme portes coulissantes (les vantaux de porte et les huisseries sont conformes aux portes ouvrantes ordinaires. Seuls le mode de suspension et la quincaillerie concernée sont adaptés au concept des vantaux de porte coulissants).</w:t>
      </w:r>
    </w:p>
    <w:p w14:paraId="2D4444B8" w14:textId="77777777" w:rsidR="004B2808" w:rsidRDefault="00000000">
      <w:pPr>
        <w:pStyle w:val="Author-eListParagraph"/>
        <w:numPr>
          <w:ilvl w:val="0"/>
          <w:numId w:val="1075"/>
        </w:numPr>
      </w:pPr>
      <w:r>
        <w:t xml:space="preserve">Portes coulissantes </w:t>
      </w:r>
      <w:r>
        <w:rPr>
          <w:rStyle w:val="optioncarChar"/>
        </w:rPr>
        <w:t>*** / simples / doubles</w:t>
      </w:r>
    </w:p>
    <w:p w14:paraId="2F0D1FC9" w14:textId="77777777" w:rsidR="004B2808" w:rsidRDefault="00000000">
      <w:pPr>
        <w:pStyle w:val="Author-eListParagraph"/>
        <w:numPr>
          <w:ilvl w:val="0"/>
          <w:numId w:val="1075"/>
        </w:numPr>
      </w:pPr>
      <w:r>
        <w:t>Composées de</w:t>
      </w:r>
      <w:r>
        <w:rPr>
          <w:rStyle w:val="optioncarChar"/>
        </w:rPr>
        <w:t xml:space="preserve"> *** / un panneau / deux panneaux</w:t>
      </w:r>
    </w:p>
    <w:p w14:paraId="25892CCD" w14:textId="77777777" w:rsidR="004B2808" w:rsidRDefault="00000000">
      <w:pPr>
        <w:pStyle w:val="Author-eListParagraph"/>
        <w:numPr>
          <w:ilvl w:val="0"/>
          <w:numId w:val="1075"/>
        </w:numPr>
      </w:pPr>
      <w:r>
        <w:t>Mécanisme de coulisse : rails en acier galvanisé; galets en nylon de première qualité; type et modèle en fonction du type et du poids des vantaux coulissants.</w:t>
      </w:r>
    </w:p>
    <w:p w14:paraId="1A887297" w14:textId="77777777" w:rsidR="004B2808" w:rsidRDefault="00000000">
      <w:pPr>
        <w:pStyle w:val="Author-eListParagraph"/>
        <w:numPr>
          <w:ilvl w:val="0"/>
          <w:numId w:val="1075"/>
        </w:numPr>
      </w:pPr>
      <w:r>
        <w:t xml:space="preserve">Conçues comme </w:t>
      </w:r>
      <w:r>
        <w:rPr>
          <w:rStyle w:val="optioncarChar"/>
        </w:rPr>
        <w:t xml:space="preserve">*** / portes battantes / pivotantes </w:t>
      </w:r>
      <w:r>
        <w:t xml:space="preserve">(les vantaux de porte et les huisseries sont conformes aux portes ouvrantes ordinaires. Seuls le mode de suspension et la quincaillerie concernée sont adaptés au concept des vantaux de porte </w:t>
      </w:r>
      <w:r>
        <w:rPr>
          <w:rStyle w:val="optioncarChar"/>
        </w:rPr>
        <w:t>*** / battante / pivotante</w:t>
      </w:r>
      <w:r>
        <w:t>)</w:t>
      </w:r>
    </w:p>
    <w:p w14:paraId="7FA0D495" w14:textId="77777777" w:rsidR="004B2808" w:rsidRDefault="00000000">
      <w:pPr>
        <w:pStyle w:val="Author-eListParagraph"/>
        <w:numPr>
          <w:ilvl w:val="0"/>
          <w:numId w:val="1075"/>
        </w:numPr>
      </w:pPr>
      <w:r>
        <w:t xml:space="preserve">Composées de </w:t>
      </w:r>
      <w:r>
        <w:rPr>
          <w:rStyle w:val="optioncarChar"/>
        </w:rPr>
        <w:t>*** / un panneau / deux panneaux</w:t>
      </w:r>
    </w:p>
    <w:p w14:paraId="58084E24" w14:textId="77777777" w:rsidR="004B2808" w:rsidRDefault="00000000">
      <w:pPr>
        <w:pStyle w:val="heading"/>
      </w:pPr>
      <w:r>
        <w:t>Ensembles de porte / résistant au feu</w:t>
      </w:r>
    </w:p>
    <w:p w14:paraId="51AA9837"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189E475B" w14:textId="77777777" w:rsidR="004B2808" w:rsidRDefault="00000000">
      <w:pPr>
        <w:pStyle w:val="Author-eListParagraph"/>
        <w:numPr>
          <w:ilvl w:val="0"/>
          <w:numId w:val="1076"/>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0B242B94" w14:textId="77777777" w:rsidR="004B2808" w:rsidRDefault="00000000">
      <w:pPr>
        <w:pStyle w:val="Author-eListParagraph"/>
        <w:numPr>
          <w:ilvl w:val="0"/>
          <w:numId w:val="1076"/>
        </w:numPr>
      </w:pPr>
      <w:r>
        <w:t xml:space="preserve">Equipés d'un vitrage résistant au feu en verre de sécurité conforme au rapport d'essai. Une réservation est faite dans le vantail de porte : </w:t>
      </w:r>
      <w:r>
        <w:rPr>
          <w:rStyle w:val="optioncarChar"/>
        </w:rPr>
        <w:t>*** / rectangulaire / ronde</w:t>
      </w:r>
      <w:r>
        <w:t xml:space="preserve">, selon le modèle à soumettre pour approbation. Le vitrage est incorporé en usine conformément au mode appliqué sur la porte d'essai. Les éventuelles parcloses sont </w:t>
      </w:r>
      <w:r>
        <w:rPr>
          <w:rStyle w:val="optioncarChar"/>
        </w:rPr>
        <w:t>*** / vernies / peintes</w:t>
      </w:r>
      <w:r>
        <w:t xml:space="preserve"> comme les chanlattes. Le vitrage est toujours délimité sur toute sa périphérie par des sections en bois plein d'une largeur minimale de 140 mm pour les côtés et au-dessus et de 220 mm dans le bas.</w:t>
      </w:r>
    </w:p>
    <w:p w14:paraId="05A8851E" w14:textId="77777777" w:rsidR="004B2808" w:rsidRDefault="00000000">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2D0773CA" w14:textId="77777777" w:rsidR="004B2808" w:rsidRDefault="00000000">
      <w:pPr>
        <w:pStyle w:val="Author-eListParagraph"/>
        <w:numPr>
          <w:ilvl w:val="0"/>
          <w:numId w:val="1077"/>
        </w:numPr>
      </w:pPr>
      <w:r>
        <w:t xml:space="preserve">Pourvus d'une imposte </w:t>
      </w:r>
      <w:r>
        <w:rPr>
          <w:rStyle w:val="optioncarChar"/>
        </w:rPr>
        <w:t xml:space="preserve">*** / avec / sans </w:t>
      </w:r>
      <w:r>
        <w:t>traverse intermédiaire.</w:t>
      </w:r>
    </w:p>
    <w:p w14:paraId="11F1E673" w14:textId="77777777" w:rsidR="004B2808" w:rsidRDefault="00000000">
      <w:pPr>
        <w:pStyle w:val="Author-eListParagraph"/>
        <w:numPr>
          <w:ilvl w:val="0"/>
          <w:numId w:val="1077"/>
        </w:numPr>
      </w:pPr>
      <w:r>
        <w:t>Pourvus d'une bande brise-bise et butoir continue.</w:t>
      </w:r>
    </w:p>
    <w:p w14:paraId="082289FF" w14:textId="77777777" w:rsidR="004B2808" w:rsidRDefault="00000000">
      <w:pPr>
        <w:pStyle w:val="Author-eListParagraph"/>
        <w:numPr>
          <w:ilvl w:val="0"/>
          <w:numId w:val="1077"/>
        </w:numPr>
      </w:pPr>
      <w:r>
        <w:t xml:space="preserve">Pourvus d'un cadre approprié pour la fixation d'un ferme-porte, prévu à l'art. </w:t>
      </w:r>
      <w:hyperlink w:anchor="1325" w:history="1">
        <w:r w:rsidR="004B2808">
          <w:rPr>
            <w:color w:val="0000EE"/>
          </w:rPr>
          <w:t>55.62.5 Système de fermeture</w:t>
        </w:r>
      </w:hyperlink>
    </w:p>
    <w:p w14:paraId="3014A24D" w14:textId="77777777" w:rsidR="004B2808" w:rsidRDefault="00000000">
      <w:pPr>
        <w:pStyle w:val="Author-eListParagraph"/>
        <w:numPr>
          <w:ilvl w:val="0"/>
          <w:numId w:val="1077"/>
        </w:numPr>
      </w:pPr>
      <w:r>
        <w:t xml:space="preserve">Conçus comme portes </w:t>
      </w:r>
      <w:r>
        <w:rPr>
          <w:rStyle w:val="optioncarChar"/>
        </w:rPr>
        <w:t xml:space="preserve">*** / va-et-vient / pivotantes </w:t>
      </w:r>
      <w:r>
        <w:t xml:space="preserve">. Elles se composent de </w:t>
      </w:r>
      <w:r>
        <w:rPr>
          <w:rStyle w:val="optioncarChar"/>
        </w:rPr>
        <w:t>*** / un panneau / deux panneaux</w:t>
      </w:r>
      <w:r>
        <w:t xml:space="preserve"> , les vantaux des portes et les huisseries sont semblables aux portes ouvrantes ordinaires, seuls le mode de suspension et les quincailleries correspondantes sont adaptés au concept des portes battantes.</w:t>
      </w:r>
    </w:p>
    <w:p w14:paraId="22A33353" w14:textId="77777777" w:rsidR="004B2808" w:rsidRDefault="00000000">
      <w:pPr>
        <w:pStyle w:val="Author-eListParagraph"/>
        <w:numPr>
          <w:ilvl w:val="0"/>
          <w:numId w:val="1077"/>
        </w:numPr>
      </w:pPr>
      <w:r>
        <w:t>L'ensemble porte résistant au feu est conforme à la [NIT 234].</w:t>
      </w:r>
    </w:p>
    <w:p w14:paraId="69F4B856" w14:textId="77777777" w:rsidR="004B2808" w:rsidRDefault="00000000">
      <w:pPr>
        <w:pStyle w:val="heading"/>
      </w:pPr>
      <w:r>
        <w:t>Options (biffer la mention inutile) huisseries de portes - bois</w:t>
      </w:r>
    </w:p>
    <w:p w14:paraId="6C50BC7E" w14:textId="77777777" w:rsidR="004B2808" w:rsidRDefault="00000000">
      <w:pPr>
        <w:pStyle w:val="Author-eListParagraph"/>
        <w:numPr>
          <w:ilvl w:val="0"/>
          <w:numId w:val="1078"/>
        </w:numPr>
      </w:pPr>
      <w:r>
        <w:t xml:space="preserve">Les portes sont conçues comme un châssis à pose affleurante jusqu'au plafond (avec </w:t>
      </w:r>
      <w:r>
        <w:rPr>
          <w:rStyle w:val="optioncarChar"/>
        </w:rPr>
        <w:t>*** / vantaux vitrés / imposte</w:t>
      </w:r>
      <w:r>
        <w:t xml:space="preserve">). La feuillure des portes est embrevée sur une profondeur de </w:t>
      </w:r>
      <w:r>
        <w:rPr>
          <w:rStyle w:val="optioncarChar"/>
        </w:rPr>
        <w:t xml:space="preserve">*** / 10 / *** </w:t>
      </w:r>
      <w:r>
        <w:t>mm dans le chambranle. Les ébrasements latéraux vont jusqu'au plafond, la traverse supérieure horizontale est :</w:t>
      </w:r>
      <w:r>
        <w:rPr>
          <w:rStyle w:val="optioncarChar"/>
        </w:rPr>
        <w:t xml:space="preserve"> *** / posée aussi près que possible du plafond / absente / ***</w:t>
      </w:r>
    </w:p>
    <w:p w14:paraId="705C1446" w14:textId="77777777" w:rsidR="004B2808" w:rsidRDefault="00000000">
      <w:pPr>
        <w:pStyle w:val="Author-eListParagraph"/>
        <w:numPr>
          <w:ilvl w:val="0"/>
          <w:numId w:val="1078"/>
        </w:numPr>
      </w:pPr>
      <w:r>
        <w:lastRenderedPageBreak/>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1782ADDB" w14:textId="77777777" w:rsidR="004B2808" w:rsidRDefault="00000000">
      <w:pPr>
        <w:pStyle w:val="Author-eListParagraph"/>
        <w:numPr>
          <w:ilvl w:val="0"/>
          <w:numId w:val="1078"/>
        </w:numPr>
      </w:pPr>
      <w:r>
        <w:t xml:space="preserve">Les impostes sont fabriquées dans un morceau de vantail de porte, conformément à la description de l'article </w:t>
      </w:r>
      <w:hyperlink w:anchor="1315" w:history="1">
        <w:r w:rsidR="004B2808">
          <w:rPr>
            <w:color w:val="0000EE"/>
          </w:rP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0B5457BE" w14:textId="77777777" w:rsidR="004B2808" w:rsidRDefault="00000000">
      <w:pPr>
        <w:pStyle w:val="Author-eListParagraph"/>
        <w:numPr>
          <w:ilvl w:val="0"/>
          <w:numId w:val="1078"/>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3DB6DBCE" w14:textId="77777777" w:rsidR="004B2808" w:rsidRDefault="00000000">
      <w:pPr>
        <w:pStyle w:val="heading"/>
      </w:pPr>
      <w:r>
        <w:t>Options (biffer la mention inutile) ensembles de porte / résistant au feu - porte pleine / huisserie en acier</w:t>
      </w:r>
    </w:p>
    <w:p w14:paraId="2B1B4820" w14:textId="77777777" w:rsidR="004B2808" w:rsidRDefault="00000000">
      <w:r>
        <w:t xml:space="preserve">Conformément aux indications sur le plan ou les dessins de détail, les vantaux de porte suivants </w:t>
      </w:r>
      <w:r>
        <w:rPr>
          <w:rStyle w:val="optioncarChar"/>
        </w:rPr>
        <w:t xml:space="preserve">*** </w:t>
      </w:r>
      <w:r>
        <w:t>sont :</w:t>
      </w:r>
    </w:p>
    <w:p w14:paraId="50AAC8BE" w14:textId="77777777" w:rsidR="004B2808" w:rsidRDefault="00000000">
      <w:pPr>
        <w:pStyle w:val="Author-eListParagraph"/>
        <w:numPr>
          <w:ilvl w:val="0"/>
          <w:numId w:val="1079"/>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42E4080D" w14:textId="77777777" w:rsidR="004B2808" w:rsidRDefault="00000000">
      <w:pPr>
        <w:pStyle w:val="Author-eListParagraph"/>
        <w:numPr>
          <w:ilvl w:val="0"/>
          <w:numId w:val="1079"/>
        </w:numPr>
      </w:pPr>
      <w:r>
        <w:t xml:space="preserve">Equipés d'un vitrage résistant au feu en verre de sécurité conforme au rapport d'essai. Une réservation est faite dans le vantail de porte : </w:t>
      </w:r>
      <w:r>
        <w:rPr>
          <w:rStyle w:val="optioncarChar"/>
        </w:rPr>
        <w:t>*** / rectangulaire / ronde</w:t>
      </w:r>
      <w:r>
        <w:t xml:space="preserve"> , selon le modèle à soumettre pour approbation. Le vitrage est incorporé en usine conformément au mode appliqué sur la porte d'essai. Les éventuelles parcloses sont </w:t>
      </w:r>
      <w:r>
        <w:rPr>
          <w:rStyle w:val="optioncarChar"/>
        </w:rPr>
        <w:t xml:space="preserve">*** / vernies / peintes </w:t>
      </w:r>
      <w:r>
        <w:t>comme les chanlattes. Le vitrage est toujours délimité sur toute sa périphérie par des sections en bois plein d'une largeur minimale de 140 mm pour les côtés et au-dessus et de 220 mm dans le bas.</w:t>
      </w:r>
    </w:p>
    <w:p w14:paraId="4115AB32" w14:textId="77777777" w:rsidR="004B2808"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77557A26" w14:textId="77777777" w:rsidR="004B2808" w:rsidRDefault="00000000">
      <w:pPr>
        <w:pStyle w:val="Author-eListParagraph"/>
        <w:numPr>
          <w:ilvl w:val="0"/>
          <w:numId w:val="1080"/>
        </w:numPr>
      </w:pPr>
      <w:r>
        <w:t xml:space="preserve">Pourvus d'une imposte </w:t>
      </w:r>
      <w:r>
        <w:rPr>
          <w:rStyle w:val="optioncarChar"/>
        </w:rPr>
        <w:t xml:space="preserve">*** / avec / sans </w:t>
      </w:r>
      <w:r>
        <w:t>traverse intermédiaire.</w:t>
      </w:r>
    </w:p>
    <w:p w14:paraId="253BED9B" w14:textId="77777777" w:rsidR="004B2808" w:rsidRDefault="00000000">
      <w:pPr>
        <w:pStyle w:val="Author-eListParagraph"/>
        <w:numPr>
          <w:ilvl w:val="0"/>
          <w:numId w:val="1080"/>
        </w:numPr>
      </w:pPr>
      <w:r>
        <w:t>Pourvus d'une bande brise-bise et butoir continue.</w:t>
      </w:r>
    </w:p>
    <w:p w14:paraId="07171912" w14:textId="77777777" w:rsidR="004B2808" w:rsidRDefault="00000000">
      <w:pPr>
        <w:pStyle w:val="Author-eListParagraph"/>
        <w:numPr>
          <w:ilvl w:val="0"/>
          <w:numId w:val="1080"/>
        </w:numPr>
      </w:pPr>
      <w:r>
        <w:t xml:space="preserve">Pourvus d'un cadre approprié pour la fixation d'un ferme-porte, prévu à l'art. </w:t>
      </w:r>
      <w:hyperlink w:anchor="1325" w:history="1">
        <w:r w:rsidR="004B2808">
          <w:rPr>
            <w:color w:val="0000EE"/>
          </w:rPr>
          <w:t>55.62.5 Système de fermeture</w:t>
        </w:r>
      </w:hyperlink>
    </w:p>
    <w:p w14:paraId="1C297F23" w14:textId="77777777" w:rsidR="004B2808" w:rsidRDefault="00000000">
      <w:pPr>
        <w:pStyle w:val="Author-eListParagraph"/>
        <w:numPr>
          <w:ilvl w:val="0"/>
          <w:numId w:val="1080"/>
        </w:numPr>
      </w:pPr>
      <w:r>
        <w:t xml:space="preserve">Conçus comme portes </w:t>
      </w:r>
      <w:r>
        <w:rPr>
          <w:rStyle w:val="optioncarChar"/>
        </w:rPr>
        <w:t>*** / va-et-vient / pivotantes</w:t>
      </w:r>
      <w:r>
        <w:t xml:space="preserve"> . Elles se composent de </w:t>
      </w:r>
      <w:r>
        <w:rPr>
          <w:rStyle w:val="optioncarChar"/>
        </w:rPr>
        <w:t xml:space="preserve">*** / un panneau / deux panneaux </w:t>
      </w:r>
      <w:r>
        <w:t>, les vantaux des portes et les huisseries sont semblables aux portes ouvrantes ordinaires, seuls le mode de suspension et les quincailleries correspondantes sont adaptés au concept des portes battantes.</w:t>
      </w:r>
    </w:p>
    <w:p w14:paraId="7EFF3302" w14:textId="77777777" w:rsidR="004B2808" w:rsidRDefault="00000000">
      <w:pPr>
        <w:pStyle w:val="pheading"/>
      </w:pPr>
      <w:r>
        <w:t>MESURAGE</w:t>
      </w:r>
    </w:p>
    <w:p w14:paraId="1F54D701" w14:textId="77777777" w:rsidR="004B2808" w:rsidRDefault="00000000">
      <w:pPr>
        <w:pStyle w:val="pheading"/>
      </w:pPr>
      <w:r>
        <w:t>- unité de mesure:</w:t>
      </w:r>
    </w:p>
    <w:p w14:paraId="14C8FDD5" w14:textId="77777777" w:rsidR="004B2808" w:rsidRDefault="00000000">
      <w:r>
        <w:t>p</w:t>
      </w:r>
    </w:p>
    <w:p w14:paraId="7DBE9E41" w14:textId="77777777" w:rsidR="004B2808" w:rsidRDefault="00000000">
      <w:pPr>
        <w:pStyle w:val="pheading"/>
      </w:pPr>
      <w:r>
        <w:t>- code de mesurage:</w:t>
      </w:r>
    </w:p>
    <w:p w14:paraId="14CA2791" w14:textId="77777777" w:rsidR="004B2808" w:rsidRDefault="00000000">
      <w:r>
        <w:t>Choix opéré:</w:t>
      </w:r>
      <w:r>
        <w:rPr>
          <w:rStyle w:val="optioncarChar"/>
          <w:b/>
        </w:rPr>
        <w:t>*** / OPTION 1 (un ensemble) / OPTION 2 (séparément)</w:t>
      </w:r>
    </w:p>
    <w:p w14:paraId="2A5C9435" w14:textId="77777777" w:rsidR="004B2808"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xml:space="preserve">*** / 9 / </w:t>
      </w:r>
      <w:r>
        <w:rPr>
          <w:rStyle w:val="optioncarChar"/>
        </w:rPr>
        <w:lastRenderedPageBreak/>
        <w:t>14 / 19 / ***</w:t>
      </w:r>
      <w:r>
        <w:t xml:space="preserve"> ) et, le cas échéant, selon la classification (nature, sens d'ouverture, emplacement,  prestations particulières, dimensions, forme et aspect).</w:t>
      </w:r>
    </w:p>
    <w:p w14:paraId="3CAE8760" w14:textId="77777777" w:rsidR="004B2808" w:rsidRDefault="00000000">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0E8C4AB7" w14:textId="77777777" w:rsidR="004B2808" w:rsidRDefault="00000000">
      <w:r>
        <w:rPr>
          <w:rStyle w:val="optioncarChar"/>
        </w:rPr>
        <w:t> </w:t>
      </w:r>
    </w:p>
    <w:p w14:paraId="371B03FB" w14:textId="77777777" w:rsidR="004B2808" w:rsidRDefault="00000000">
      <w:r>
        <w:rPr>
          <w:u w:val="single"/>
        </w:rPr>
        <w:t xml:space="preserve">Attention </w:t>
      </w:r>
    </w:p>
    <w:p w14:paraId="22748230" w14:textId="77777777" w:rsidR="004B2808" w:rsidRDefault="00000000">
      <w:pPr>
        <w:pStyle w:val="Author-eListParagraph"/>
        <w:numPr>
          <w:ilvl w:val="0"/>
          <w:numId w:val="1081"/>
        </w:numPr>
      </w:pPr>
      <w:r>
        <w:t>Les vantaux de portes de 630 - 730 et 830 mm de largeur peuvent être pris ensemble pour le mesurage.</w:t>
      </w:r>
    </w:p>
    <w:p w14:paraId="6AB32248" w14:textId="77777777" w:rsidR="004B2808" w:rsidRDefault="00000000">
      <w:pPr>
        <w:pStyle w:val="Author-eListParagraph"/>
        <w:numPr>
          <w:ilvl w:val="0"/>
          <w:numId w:val="1081"/>
        </w:numPr>
      </w:pPr>
      <w:r>
        <w:t>Les quincailleries dont la fourniture et la mise en œuvre sont comprises peuvent être décrites dans d'autres postes mais sont toujours comprises dans le prix des portes.</w:t>
      </w:r>
    </w:p>
    <w:p w14:paraId="753722DB" w14:textId="77777777" w:rsidR="004B2808" w:rsidRDefault="00000000">
      <w:pPr>
        <w:pStyle w:val="pheading"/>
      </w:pPr>
      <w:r>
        <w:t>- nature du marché:</w:t>
      </w:r>
    </w:p>
    <w:p w14:paraId="5F4131AE" w14:textId="77777777" w:rsidR="004B2808" w:rsidRDefault="00000000">
      <w:r>
        <w:t>QF</w:t>
      </w:r>
    </w:p>
    <w:p w14:paraId="631BBF71" w14:textId="77777777" w:rsidR="004B2808" w:rsidRDefault="00000000">
      <w:pPr>
        <w:pStyle w:val="Author-eSectionHeading4Numberless"/>
      </w:pPr>
      <w:bookmarkStart w:id="1100" w:name="_Toc220491227"/>
      <w:r>
        <w:t>55.25 Portes intérieures en verre CCTB 01.02</w:t>
      </w:r>
      <w:bookmarkEnd w:id="1100"/>
    </w:p>
    <w:p w14:paraId="3A8C4D15" w14:textId="77777777" w:rsidR="004B2808" w:rsidRDefault="00000000">
      <w:pPr>
        <w:pStyle w:val="pheading"/>
      </w:pPr>
      <w:bookmarkStart w:id="1101" w:name="1339"/>
      <w:bookmarkEnd w:id="1101"/>
      <w:r>
        <w:t>AIDE</w:t>
      </w:r>
    </w:p>
    <w:p w14:paraId="33760236" w14:textId="77777777" w:rsidR="004B2808" w:rsidRDefault="00000000">
      <w:r>
        <w:t>NOTE A L’AUTEUR DE PROJET</w:t>
      </w:r>
    </w:p>
    <w:p w14:paraId="513F9474" w14:textId="77777777" w:rsidR="004B2808" w:rsidRDefault="00000000">
      <w:r>
        <w:t> </w:t>
      </w:r>
    </w:p>
    <w:p w14:paraId="0F2F00E2" w14:textId="77777777" w:rsidR="004B2808" w:rsidRDefault="00000000">
      <w:r>
        <w:rPr>
          <w:b/>
        </w:rPr>
        <w:t>Accessibilité aux personnes à mobilité réduite (PMR)</w:t>
      </w:r>
    </w:p>
    <w:p w14:paraId="1941904E" w14:textId="77777777" w:rsidR="004B2808" w:rsidRDefault="00000000">
      <w:r>
        <w:t> </w:t>
      </w:r>
    </w:p>
    <w:p w14:paraId="0349CEA4" w14:textId="77777777" w:rsidR="004B2808" w:rsidRDefault="00000000">
      <w:r>
        <w:t>Repères visuels : [SWL CALA], [BS 8300] et [NBN ISO 21542]</w:t>
      </w:r>
    </w:p>
    <w:p w14:paraId="418915F0" w14:textId="77777777" w:rsidR="004B2808" w:rsidRDefault="00000000">
      <w:pPr>
        <w:pStyle w:val="Author-eListParagraph"/>
        <w:numPr>
          <w:ilvl w:val="0"/>
          <w:numId w:val="1082"/>
        </w:numPr>
      </w:pPr>
      <w:r>
        <w:t>Présence de deux bandes colorées</w:t>
      </w:r>
    </w:p>
    <w:p w14:paraId="431B600C" w14:textId="77777777" w:rsidR="004B2808" w:rsidRDefault="00000000">
      <w:pPr>
        <w:pStyle w:val="Author-eListParagraph"/>
        <w:numPr>
          <w:ilvl w:val="0"/>
          <w:numId w:val="1083"/>
        </w:numPr>
      </w:pPr>
      <w:r>
        <w:t>Hauteurs des bandes : l’une entre 85 et 100 cm au-dessus du niveau du sol et l’autre entre 140 et 160 cm au-dessus du niveau du sol</w:t>
      </w:r>
    </w:p>
    <w:p w14:paraId="0C407E42" w14:textId="77777777" w:rsidR="004B2808" w:rsidRDefault="00000000">
      <w:pPr>
        <w:pStyle w:val="Author-eListParagraph"/>
        <w:numPr>
          <w:ilvl w:val="0"/>
          <w:numId w:val="1083"/>
        </w:numPr>
      </w:pPr>
      <w:r>
        <w:t>Contraste : différence de coefficient de réflexion (LRV) de minimum 30% entre les bandes et l’arrière-plan</w:t>
      </w:r>
    </w:p>
    <w:p w14:paraId="213871E9" w14:textId="77777777" w:rsidR="004B2808" w:rsidRDefault="00000000">
      <w:r>
        <w:t> </w:t>
      </w:r>
    </w:p>
    <w:p w14:paraId="0D76B983" w14:textId="77777777" w:rsidR="004B2808" w:rsidRDefault="00000000">
      <w:r>
        <w:t> </w:t>
      </w:r>
    </w:p>
    <w:p w14:paraId="1EB77D1B" w14:textId="77777777" w:rsidR="004B2808" w:rsidRDefault="00000000">
      <w:pPr>
        <w:pStyle w:val="Author-eSectionHeading5Numberless"/>
      </w:pPr>
      <w:bookmarkStart w:id="1102" w:name="_Toc220491228"/>
      <w:r>
        <w:t>55.25.1 Portes intérieures en verre CCTB 01.02</w:t>
      </w:r>
      <w:bookmarkEnd w:id="1102"/>
    </w:p>
    <w:p w14:paraId="0047363A" w14:textId="77777777" w:rsidR="004B2808" w:rsidRDefault="00000000">
      <w:pPr>
        <w:pStyle w:val="Author-eSectionHeading6Numberless"/>
      </w:pPr>
      <w:bookmarkStart w:id="1103" w:name="_Toc220491229"/>
      <w:r>
        <w:t>55.25.1a Portes intérieures en verre CCTB 01.10</w:t>
      </w:r>
      <w:bookmarkEnd w:id="1103"/>
    </w:p>
    <w:p w14:paraId="46F7F223" w14:textId="77777777" w:rsidR="004B2808" w:rsidRDefault="00000000">
      <w:pPr>
        <w:pStyle w:val="pheading"/>
      </w:pPr>
      <w:r>
        <w:t>MATÉRIAUX</w:t>
      </w:r>
    </w:p>
    <w:p w14:paraId="311102DB" w14:textId="77777777" w:rsidR="004B2808" w:rsidRDefault="00000000">
      <w:pPr>
        <w:pStyle w:val="pheading"/>
      </w:pPr>
      <w:r>
        <w:t>- Prescriptions complémentaires</w:t>
      </w:r>
    </w:p>
    <w:p w14:paraId="74A76120" w14:textId="77777777" w:rsidR="004B2808" w:rsidRDefault="00000000">
      <w:pPr>
        <w:pStyle w:val="heading"/>
      </w:pPr>
      <w:r>
        <w:t>(critères de performance)  Vantaux de porte</w:t>
      </w:r>
    </w:p>
    <w:p w14:paraId="5445F319" w14:textId="77777777" w:rsidR="004B2808" w:rsidRDefault="00000000">
      <w:r>
        <w:t>Conformément aux indications supplémentaires dans le cahier spécial des charges, les dispositions supplémentaires suivantes sont d'application :</w:t>
      </w:r>
    </w:p>
    <w:p w14:paraId="1A8BE445" w14:textId="77777777" w:rsidR="004B2808" w:rsidRDefault="00000000">
      <w:pPr>
        <w:pStyle w:val="Author-eListParagraph"/>
        <w:numPr>
          <w:ilvl w:val="0"/>
          <w:numId w:val="1084"/>
        </w:numPr>
      </w:pPr>
      <w:r>
        <w:lastRenderedPageBreak/>
        <w:t>Les dispositions des [STS 53.1] pour les portes intérieures planes dans les salles de bains et les autres locaux humides.</w:t>
      </w:r>
    </w:p>
    <w:p w14:paraId="03C0EAE9" w14:textId="77777777" w:rsidR="004B2808" w:rsidRDefault="00000000">
      <w:r>
        <w:br/>
        <w:t>Attention  : Les ensembles de porte résistant au feu sont toujours considérés dans un poste séparé.</w:t>
      </w:r>
    </w:p>
    <w:p w14:paraId="1B0096D5" w14:textId="77777777" w:rsidR="004B2808" w:rsidRDefault="00000000">
      <w:pPr>
        <w:pStyle w:val="heading"/>
      </w:pPr>
      <w:r>
        <w:t>(Accessoires) Vantaux de porte</w:t>
      </w:r>
    </w:p>
    <w:p w14:paraId="00A726F9"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278EDDC6" w14:textId="77777777" w:rsidR="004B2808" w:rsidRDefault="00000000">
      <w:pPr>
        <w:pStyle w:val="Author-eListParagraph"/>
        <w:numPr>
          <w:ilvl w:val="0"/>
          <w:numId w:val="1085"/>
        </w:numPr>
      </w:pPr>
      <w:r>
        <w:t>Equipés d'un vitrage :</w:t>
      </w:r>
    </w:p>
    <w:p w14:paraId="2EDEBB11" w14:textId="77777777" w:rsidR="004B2808" w:rsidRDefault="00000000">
      <w:pPr>
        <w:pStyle w:val="Author-eListParagraph"/>
        <w:numPr>
          <w:ilvl w:val="0"/>
          <w:numId w:val="1085"/>
        </w:numPr>
      </w:pPr>
      <w:r>
        <w:t xml:space="preserve">En verre de sécurité </w:t>
      </w:r>
      <w:r>
        <w:rPr>
          <w:rStyle w:val="optioncarChar"/>
        </w:rPr>
        <w:t>simple </w:t>
      </w:r>
      <w:r>
        <w:t>(par défaut)</w:t>
      </w:r>
      <w:r>
        <w:rPr>
          <w:rStyle w:val="optioncarChar"/>
        </w:rPr>
        <w:t xml:space="preserve"> / clair / mat / opale / ***</w:t>
      </w:r>
      <w:r>
        <w:t xml:space="preserve"> , selon la [NBN S 23-002]</w:t>
      </w:r>
    </w:p>
    <w:p w14:paraId="31BB3AC1" w14:textId="77777777" w:rsidR="004B2808" w:rsidRDefault="00000000">
      <w:pPr>
        <w:pStyle w:val="Author-eListParagraph"/>
        <w:numPr>
          <w:ilvl w:val="0"/>
          <w:numId w:val="1085"/>
        </w:numPr>
      </w:pPr>
      <w:r>
        <w:t xml:space="preserve">Réservation dans le vantail de porte : </w:t>
      </w:r>
      <w:r>
        <w:rPr>
          <w:rStyle w:val="optioncarChar"/>
        </w:rPr>
        <w:t>rectangulaire</w:t>
      </w:r>
      <w:r>
        <w:t> (par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76C9C973" w14:textId="77777777" w:rsidR="004B2808" w:rsidRDefault="00000000">
      <w:pPr>
        <w:pStyle w:val="Author-eListParagraph"/>
        <w:numPr>
          <w:ilvl w:val="0"/>
          <w:numId w:val="1085"/>
        </w:numPr>
      </w:pPr>
      <w:r>
        <w:t xml:space="preserve">Fixation de la vitre dans la réservation à l'aide de : </w:t>
      </w:r>
      <w:r>
        <w:rPr>
          <w:rStyle w:val="optioncarChar"/>
        </w:rPr>
        <w:t>mastic plastique</w:t>
      </w:r>
      <w:r>
        <w:t> (par défaut)</w:t>
      </w:r>
      <w:r>
        <w:rPr>
          <w:rStyle w:val="optioncarChar"/>
        </w:rPr>
        <w:t xml:space="preserve"> / profils de fixation à enclenchement en PVC / ***</w:t>
      </w:r>
    </w:p>
    <w:p w14:paraId="36424657" w14:textId="77777777" w:rsidR="004B2808" w:rsidRDefault="00000000">
      <w:pPr>
        <w:pStyle w:val="Author-eListParagraph"/>
        <w:numPr>
          <w:ilvl w:val="0"/>
          <w:numId w:val="1085"/>
        </w:numPr>
      </w:pPr>
      <w:r>
        <w:t xml:space="preserve">Les vitres sont encadrées par : </w:t>
      </w:r>
      <w:r>
        <w:rPr>
          <w:rStyle w:val="optioncarChar"/>
        </w:rPr>
        <w:t>des lattes en bois dur, finition prête à peindre</w:t>
      </w:r>
      <w:r>
        <w:t> (par défaut)</w:t>
      </w:r>
      <w:r>
        <w:rPr>
          <w:rStyle w:val="optioncarChar"/>
        </w:rPr>
        <w:t xml:space="preserve"> / ***.</w:t>
      </w:r>
    </w:p>
    <w:p w14:paraId="279135B9" w14:textId="77777777" w:rsidR="004B2808" w:rsidRDefault="00000000">
      <w:pPr>
        <w:pStyle w:val="Author-eListParagraph"/>
        <w:numPr>
          <w:ilvl w:val="0"/>
          <w:numId w:val="1085"/>
        </w:numPr>
      </w:pPr>
      <w:r>
        <w:t>Pourvus d'une grille encastrée, selon le chapitre </w:t>
      </w:r>
      <w:hyperlink w:anchor="1322" w:history="1">
        <w:r w:rsidR="004B2808">
          <w:rPr>
            <w:color w:val="0000EE"/>
          </w:rPr>
          <w:t>55.68.1 Grilles de transfert dans les portes</w:t>
        </w:r>
      </w:hyperlink>
      <w:r>
        <w:t xml:space="preserve"> grilles de transfert dans les portes, ouverture d'aération conformément à la [NBN D 50-001]</w:t>
      </w:r>
    </w:p>
    <w:p w14:paraId="08C6C3F1" w14:textId="77777777" w:rsidR="004B2808" w:rsidRDefault="00000000">
      <w:pPr>
        <w:pStyle w:val="Author-eListParagraph"/>
        <w:numPr>
          <w:ilvl w:val="0"/>
          <w:numId w:val="1085"/>
        </w:numPr>
      </w:pPr>
      <w:r>
        <w:t xml:space="preserve">Pourvus d'une fente de ventilation d'environ </w:t>
      </w:r>
      <w:r>
        <w:rPr>
          <w:rStyle w:val="optioncarChar"/>
        </w:rPr>
        <w:t>1</w:t>
      </w:r>
      <w:r>
        <w:t> (par défaut)</w:t>
      </w:r>
      <w:r>
        <w:rPr>
          <w:rStyle w:val="optioncarChar"/>
        </w:rPr>
        <w:t> / ***</w:t>
      </w:r>
      <w:r>
        <w:t xml:space="preserve"> cm dans le bas, de façon telle que l'ouverture d'aération soit conformé à la[NBN D 50-001]</w:t>
      </w:r>
    </w:p>
    <w:p w14:paraId="4C579DD6" w14:textId="77777777" w:rsidR="004B2808" w:rsidRDefault="00000000">
      <w:pPr>
        <w:pStyle w:val="Author-eListParagraph"/>
        <w:numPr>
          <w:ilvl w:val="0"/>
          <w:numId w:val="1085"/>
        </w:numPr>
      </w:pPr>
      <w:r>
        <w:t>Conçues comme portes coulissantes (les vantaux de porte et les huisseries sont conformes aux portes ouvrantes ordinaires. Seul le mode de suspension et la quincaillerie concernée sont adaptés au concept des vantaux de porte coulissants).</w:t>
      </w:r>
    </w:p>
    <w:p w14:paraId="584EF7CD" w14:textId="77777777" w:rsidR="004B2808" w:rsidRDefault="00000000">
      <w:pPr>
        <w:pStyle w:val="Author-eListParagraph"/>
        <w:numPr>
          <w:ilvl w:val="0"/>
          <w:numId w:val="1085"/>
        </w:numPr>
      </w:pPr>
      <w:r>
        <w:t xml:space="preserve">Portes coulissantes </w:t>
      </w:r>
      <w:r>
        <w:rPr>
          <w:rStyle w:val="optioncarChar"/>
        </w:rPr>
        <w:t>simples</w:t>
      </w:r>
      <w:r>
        <w:t> (par défaut)</w:t>
      </w:r>
      <w:r>
        <w:rPr>
          <w:rStyle w:val="optioncarChar"/>
        </w:rPr>
        <w:t xml:space="preserve"> / doubles / ***</w:t>
      </w:r>
    </w:p>
    <w:p w14:paraId="6885643D" w14:textId="77777777" w:rsidR="004B2808" w:rsidRDefault="00000000">
      <w:pPr>
        <w:pStyle w:val="Author-eListParagraph"/>
        <w:numPr>
          <w:ilvl w:val="0"/>
          <w:numId w:val="1085"/>
        </w:numPr>
      </w:pPr>
      <w:r>
        <w:t>Composées de</w:t>
      </w:r>
      <w:r>
        <w:rPr>
          <w:rStyle w:val="optioncarChar"/>
        </w:rPr>
        <w:t> un panneau</w:t>
      </w:r>
      <w:r>
        <w:t xml:space="preserve"> (par défaut) </w:t>
      </w:r>
      <w:r>
        <w:rPr>
          <w:rStyle w:val="optioncarChar"/>
        </w:rPr>
        <w:t>/ deux panneaux / ***</w:t>
      </w:r>
    </w:p>
    <w:p w14:paraId="60636029" w14:textId="77777777" w:rsidR="004B2808" w:rsidRDefault="00000000">
      <w:pPr>
        <w:pStyle w:val="Author-eListParagraph"/>
        <w:numPr>
          <w:ilvl w:val="0"/>
          <w:numId w:val="1085"/>
        </w:numPr>
      </w:pPr>
      <w:r>
        <w:t>Mécanisme de coulisse : rails en acier galvanisé; galets en nylon de première qualité; type et modèle en fonction du type et du poids des vantaux coulissants.</w:t>
      </w:r>
    </w:p>
    <w:p w14:paraId="5F6CE33A" w14:textId="77777777" w:rsidR="004B2808" w:rsidRDefault="00000000">
      <w:pPr>
        <w:pStyle w:val="Author-eListParagraph"/>
        <w:numPr>
          <w:ilvl w:val="0"/>
          <w:numId w:val="1085"/>
        </w:numPr>
      </w:pPr>
      <w:r>
        <w:t xml:space="preserve">Conçues comme </w:t>
      </w:r>
      <w:r>
        <w:rPr>
          <w:rStyle w:val="optioncarChar"/>
        </w:rPr>
        <w:t>portes battantes</w:t>
      </w:r>
      <w:r>
        <w:t> (par défaut)</w:t>
      </w:r>
      <w:r>
        <w:rPr>
          <w:rStyle w:val="optioncarChar"/>
        </w:rPr>
        <w:t xml:space="preserve"> / pivotantes / *** </w:t>
      </w:r>
      <w:r>
        <w:t xml:space="preserve">(les vantaux de porte et les huisseries seront conformes aux portes ouvrantes ordinaires. Seul le mode de suspension et la quincaillerie concernée sont adaptés au concept des vantaux de porte </w:t>
      </w:r>
      <w:r>
        <w:rPr>
          <w:rStyle w:val="optioncarChar"/>
        </w:rPr>
        <w:t>battante</w:t>
      </w:r>
      <w:r>
        <w:t> (par défaut)</w:t>
      </w:r>
      <w:r>
        <w:rPr>
          <w:rStyle w:val="optioncarChar"/>
        </w:rPr>
        <w:t xml:space="preserve"> / pivotante / ***</w:t>
      </w:r>
      <w:r>
        <w:t>)</w:t>
      </w:r>
    </w:p>
    <w:p w14:paraId="6F561C35" w14:textId="77777777" w:rsidR="004B2808" w:rsidRDefault="00000000">
      <w:pPr>
        <w:pStyle w:val="Author-eListParagraph"/>
        <w:numPr>
          <w:ilvl w:val="0"/>
          <w:numId w:val="1085"/>
        </w:numPr>
      </w:pPr>
      <w:r>
        <w:t xml:space="preserve">Composées de </w:t>
      </w:r>
      <w:r>
        <w:rPr>
          <w:rStyle w:val="optioncarChar"/>
        </w:rPr>
        <w:t>un panneau</w:t>
      </w:r>
      <w:r>
        <w:t> (par défaut)</w:t>
      </w:r>
      <w:r>
        <w:rPr>
          <w:rStyle w:val="optioncarChar"/>
        </w:rPr>
        <w:t xml:space="preserve"> / deux panneaux / ***</w:t>
      </w:r>
    </w:p>
    <w:p w14:paraId="55850BEC" w14:textId="77777777" w:rsidR="004B2808" w:rsidRDefault="00000000">
      <w:pPr>
        <w:pStyle w:val="Author-eListParagraph"/>
        <w:numPr>
          <w:ilvl w:val="0"/>
          <w:numId w:val="1085"/>
        </w:numPr>
      </w:pPr>
      <w:r>
        <w:t xml:space="preserve">Equipés de repères visuels (voir spécifications au chapitre </w:t>
      </w:r>
      <w:hyperlink w:anchor="1339" w:history="1">
        <w:r w:rsidR="004B2808">
          <w:rPr>
            <w:color w:val="0000EE"/>
          </w:rPr>
          <w:t>55.25 Portes intérieures en verre</w:t>
        </w:r>
      </w:hyperlink>
      <w:r>
        <w:t xml:space="preserve">) : 2 bandes de couleur contrastée placées à </w:t>
      </w:r>
      <w:r>
        <w:rPr>
          <w:rStyle w:val="optioncarChar"/>
        </w:rPr>
        <w:t>85-100 (PMR) </w:t>
      </w:r>
      <w:r>
        <w:t xml:space="preserve">(par défaut) / *** cm du sol et à </w:t>
      </w:r>
      <w:r>
        <w:rPr>
          <w:rStyle w:val="optioncarChar"/>
        </w:rPr>
        <w:t>140-160 (PMR)</w:t>
      </w:r>
      <w:r>
        <w:t> (par défaut)</w:t>
      </w:r>
      <w:r>
        <w:rPr>
          <w:rStyle w:val="optioncarChar"/>
        </w:rPr>
        <w:t> / ***</w:t>
      </w:r>
      <w:r>
        <w:t> cm du sol</w:t>
      </w:r>
    </w:p>
    <w:p w14:paraId="6C274183" w14:textId="77777777" w:rsidR="004B2808" w:rsidRDefault="00000000">
      <w:pPr>
        <w:pStyle w:val="heading"/>
      </w:pPr>
      <w:r>
        <w:t>Ensembles de porte / résistant au feu</w:t>
      </w:r>
    </w:p>
    <w:p w14:paraId="39092431"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2EBE5154" w14:textId="77777777" w:rsidR="004B2808" w:rsidRDefault="00000000">
      <w:pPr>
        <w:pStyle w:val="Author-eListParagraph"/>
        <w:numPr>
          <w:ilvl w:val="0"/>
          <w:numId w:val="1086"/>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5642E213" w14:textId="77777777" w:rsidR="004B2808" w:rsidRDefault="00000000">
      <w:pPr>
        <w:pStyle w:val="Author-eListParagraph"/>
        <w:numPr>
          <w:ilvl w:val="0"/>
          <w:numId w:val="1086"/>
        </w:numPr>
      </w:pPr>
      <w:r>
        <w:t xml:space="preserve">Equipés d'un vitrage résistant au feu en verre de sécurité conforme au rapport d'essai. Une réservation est faite dans le vantail de porte : </w:t>
      </w:r>
      <w:r>
        <w:rPr>
          <w:rStyle w:val="optioncarChar"/>
        </w:rPr>
        <w:t>rectangulaire</w:t>
      </w:r>
      <w:r>
        <w:t> (par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w:t>
      </w:r>
      <w:r>
        <w:t xml:space="preserve"> (par défaut) </w:t>
      </w:r>
      <w:r>
        <w:rPr>
          <w:rStyle w:val="optioncarChar"/>
        </w:rPr>
        <w:t>/ peintes / ***</w:t>
      </w:r>
      <w:r>
        <w:t xml:space="preserve"> comme les chanlattes. Le vitrage sera toujours délimité sur toute sa périphérie par des sections en bois plein d'une largeur minimale de 140 mm pour les côtés et au-dessus et de 220 mm dans le bas.</w:t>
      </w:r>
    </w:p>
    <w:p w14:paraId="5EE7D595" w14:textId="77777777" w:rsidR="004B2808" w:rsidRDefault="00000000">
      <w:r>
        <w:br/>
        <w:t xml:space="preserve">Note : Pour les portes ayant une résistance au feu de Rf 1h ou EI 60min, seules des vitres armées </w:t>
      </w:r>
      <w:r>
        <w:lastRenderedPageBreak/>
        <w:t>d'une épaisseur d'au moins 6,5 mm sont autorisées et les dimensions du vitrage ne dépassent pas 0,5 m². Les joints des battées et des parcloses sont obturés avec un matériau gonflant sous l'effet de la chaleur.</w:t>
      </w:r>
    </w:p>
    <w:p w14:paraId="7EF9976E" w14:textId="77777777" w:rsidR="004B2808" w:rsidRDefault="00000000">
      <w:pPr>
        <w:pStyle w:val="Author-eListParagraph"/>
        <w:numPr>
          <w:ilvl w:val="0"/>
          <w:numId w:val="1087"/>
        </w:numPr>
      </w:pPr>
      <w:r>
        <w:t xml:space="preserve">Pourvus d'une imposte </w:t>
      </w:r>
      <w:r>
        <w:rPr>
          <w:rStyle w:val="optioncarChar"/>
        </w:rPr>
        <w:t>avec </w:t>
      </w:r>
      <w:r>
        <w:t>(par défaut)</w:t>
      </w:r>
      <w:r>
        <w:rPr>
          <w:rStyle w:val="optioncarChar"/>
        </w:rPr>
        <w:t xml:space="preserve"> / sans / *** </w:t>
      </w:r>
      <w:r>
        <w:t>traverse intermédiaire.</w:t>
      </w:r>
    </w:p>
    <w:p w14:paraId="48336327" w14:textId="77777777" w:rsidR="004B2808" w:rsidRDefault="00000000">
      <w:pPr>
        <w:pStyle w:val="Author-eListParagraph"/>
        <w:numPr>
          <w:ilvl w:val="0"/>
          <w:numId w:val="1087"/>
        </w:numPr>
      </w:pPr>
      <w:r>
        <w:t>Pourvus d'une bande brise-bise et butoir continue.</w:t>
      </w:r>
    </w:p>
    <w:p w14:paraId="766FA34F" w14:textId="77777777" w:rsidR="004B2808" w:rsidRDefault="00000000">
      <w:pPr>
        <w:pStyle w:val="Author-eListParagraph"/>
        <w:numPr>
          <w:ilvl w:val="0"/>
          <w:numId w:val="1087"/>
        </w:numPr>
      </w:pPr>
      <w:r>
        <w:t xml:space="preserve">Pourvus d'un cadre approprié pour la fixation d'un ferme-porte, prévu au chapitre. </w:t>
      </w:r>
      <w:hyperlink w:anchor="1325" w:history="1">
        <w:r w:rsidR="004B2808">
          <w:rPr>
            <w:color w:val="0000EE"/>
          </w:rPr>
          <w:t>55.62.5 Système de fermeture</w:t>
        </w:r>
      </w:hyperlink>
    </w:p>
    <w:p w14:paraId="33D90D3A" w14:textId="77777777" w:rsidR="004B2808" w:rsidRDefault="00000000">
      <w:pPr>
        <w:pStyle w:val="Author-eListParagraph"/>
        <w:numPr>
          <w:ilvl w:val="0"/>
          <w:numId w:val="1087"/>
        </w:numPr>
      </w:pPr>
      <w:r>
        <w:t xml:space="preserve">Conçus comme portes </w:t>
      </w:r>
      <w:r>
        <w:rPr>
          <w:rStyle w:val="optioncarChar"/>
        </w:rPr>
        <w:t>va-et-vient</w:t>
      </w:r>
      <w:r>
        <w:t xml:space="preserve"> (par défaut)</w:t>
      </w:r>
      <w:r>
        <w:rPr>
          <w:rStyle w:val="optioncarChar"/>
        </w:rPr>
        <w:t> / pivotantes / *** </w:t>
      </w:r>
      <w:r>
        <w:t xml:space="preserve">. Elles se composent de </w:t>
      </w:r>
      <w:r>
        <w:rPr>
          <w:rStyle w:val="optioncarChar"/>
        </w:rPr>
        <w:t>un panneau</w:t>
      </w:r>
      <w:r>
        <w:t> (par défaut)</w:t>
      </w:r>
      <w:r>
        <w:rPr>
          <w:rStyle w:val="optioncarChar"/>
        </w:rPr>
        <w:t xml:space="preserve"> / deux panneaux / ***</w:t>
      </w:r>
      <w:r>
        <w:t xml:space="preserve"> , les vantaux des portes et les huisseries sont semblables aux portes ouvrantes ordinaires, seul le mode de suspension et les quincailleries correspondantes seront adaptés au concept des portes battantes.</w:t>
      </w:r>
    </w:p>
    <w:p w14:paraId="28DD49E8" w14:textId="77777777" w:rsidR="004B2808" w:rsidRDefault="00000000">
      <w:pPr>
        <w:pStyle w:val="Author-eListParagraph"/>
        <w:numPr>
          <w:ilvl w:val="0"/>
          <w:numId w:val="1087"/>
        </w:numPr>
      </w:pPr>
      <w:r>
        <w:t>L'ensemble porte résistant au feu est conforme à la [NIT 234].</w:t>
      </w:r>
    </w:p>
    <w:p w14:paraId="4C6908F8" w14:textId="77777777" w:rsidR="004B2808" w:rsidRDefault="00000000">
      <w:pPr>
        <w:pStyle w:val="heading"/>
      </w:pPr>
      <w:r>
        <w:t>Options (biffer la mention inutile) huisseries de portes - bois</w:t>
      </w:r>
    </w:p>
    <w:p w14:paraId="7489FB11" w14:textId="77777777" w:rsidR="004B2808" w:rsidRDefault="00000000">
      <w:pPr>
        <w:pStyle w:val="Author-eListParagraph"/>
        <w:numPr>
          <w:ilvl w:val="0"/>
          <w:numId w:val="1088"/>
        </w:numPr>
      </w:pPr>
      <w:r>
        <w:t xml:space="preserve">Les portes seront conçues comme un châssis à pose affleurante jusqu'au plafond (avec </w:t>
      </w:r>
      <w:r>
        <w:rPr>
          <w:rStyle w:val="optioncarChar"/>
        </w:rPr>
        <w:t>vantaux vitrés</w:t>
      </w:r>
      <w:r>
        <w:t xml:space="preserve"> (par défaut)</w:t>
      </w:r>
      <w:r>
        <w:rPr>
          <w:rStyle w:val="optioncarChar"/>
        </w:rPr>
        <w:t> / imposte / ***</w:t>
      </w:r>
      <w:r>
        <w:t xml:space="preserve">). La feuillure des portes est embrevée sur une profondeur de </w:t>
      </w:r>
      <w:r>
        <w:rPr>
          <w:rStyle w:val="optioncarChar"/>
        </w:rPr>
        <w:t>10 </w:t>
      </w:r>
      <w:r>
        <w:t>(par défaut)</w:t>
      </w:r>
      <w:r>
        <w:rPr>
          <w:rStyle w:val="optioncarChar"/>
        </w:rPr>
        <w:t xml:space="preserve"> / *** </w:t>
      </w:r>
      <w:r>
        <w:t>mm dans le chambranle. Les ébrasements latéraux vont jusqu'au plafond, la traverse supérieure horizontale est :</w:t>
      </w:r>
      <w:r>
        <w:rPr>
          <w:rStyle w:val="optioncarChar"/>
        </w:rPr>
        <w:t xml:space="preserve"> posée aussi près que possible du plafond </w:t>
      </w:r>
      <w:r>
        <w:t>(par défaut) </w:t>
      </w:r>
      <w:r>
        <w:rPr>
          <w:rStyle w:val="optioncarChar"/>
        </w:rPr>
        <w:t>/ absente / ***</w:t>
      </w:r>
    </w:p>
    <w:p w14:paraId="6C71A75F" w14:textId="77777777" w:rsidR="004B2808" w:rsidRDefault="00000000">
      <w:pPr>
        <w:pStyle w:val="Author-eListParagraph"/>
        <w:numPr>
          <w:ilvl w:val="0"/>
          <w:numId w:val="1088"/>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5F2ECC70" w14:textId="77777777" w:rsidR="004B2808" w:rsidRDefault="00000000">
      <w:pPr>
        <w:pStyle w:val="Author-eListParagraph"/>
        <w:numPr>
          <w:ilvl w:val="0"/>
          <w:numId w:val="1088"/>
        </w:numPr>
      </w:pPr>
      <w:r>
        <w:t xml:space="preserve">Les portes suivantes </w:t>
      </w:r>
      <w:r>
        <w:rPr>
          <w:rStyle w:val="optioncarChar"/>
        </w:rPr>
        <w:t xml:space="preserve">*** </w:t>
      </w:r>
      <w:r>
        <w:t>sont équipées de part et d'autre d'un mécanisme pour porte coulissante, qui est caché par une planche de</w:t>
      </w:r>
      <w:r>
        <w:rPr>
          <w:rStyle w:val="optioncarChar"/>
        </w:rPr>
        <w:t xml:space="preserve"> ***</w:t>
      </w:r>
      <w:r>
        <w:t xml:space="preserve"> mm d'épaisseur, de la même essence que les encadrements de porte.</w:t>
      </w:r>
    </w:p>
    <w:p w14:paraId="2165D84E" w14:textId="77777777" w:rsidR="004B2808" w:rsidRDefault="00000000">
      <w:pPr>
        <w:pStyle w:val="heading"/>
      </w:pPr>
      <w:r>
        <w:t>Options (biffer la mention inutile) ensembles de porte / résistant au feu - porte pleine / huisserie en acier</w:t>
      </w:r>
    </w:p>
    <w:p w14:paraId="5B27E63A" w14:textId="77777777" w:rsidR="004B2808" w:rsidRDefault="00000000">
      <w:r>
        <w:t xml:space="preserve">Conformément aux indications sur le plan ou les dessins de détail, les vantaux de porte suivants </w:t>
      </w:r>
      <w:r>
        <w:rPr>
          <w:rStyle w:val="optioncarChar"/>
        </w:rPr>
        <w:t xml:space="preserve">*** </w:t>
      </w:r>
      <w:r>
        <w:t>sont :</w:t>
      </w:r>
    </w:p>
    <w:p w14:paraId="24B81A43" w14:textId="77777777" w:rsidR="004B2808" w:rsidRDefault="00000000">
      <w:pPr>
        <w:pStyle w:val="Author-eListParagraph"/>
        <w:numPr>
          <w:ilvl w:val="0"/>
          <w:numId w:val="1089"/>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45D431FD" w14:textId="77777777" w:rsidR="004B2808" w:rsidRDefault="00000000">
      <w:pPr>
        <w:pStyle w:val="Author-eListParagraph"/>
        <w:numPr>
          <w:ilvl w:val="0"/>
          <w:numId w:val="1089"/>
        </w:numPr>
      </w:pPr>
      <w:r>
        <w:t xml:space="preserve">Equipés d'un vitrage résistant au feu en verre de sécurité conforme au rapport d'essai. Une réservation est faite dans le vantail de porte : </w:t>
      </w:r>
      <w:r>
        <w:rPr>
          <w:rStyle w:val="optioncarChar"/>
        </w:rPr>
        <w:t>rectangulaire</w:t>
      </w:r>
      <w:r>
        <w:t> (par défaut)</w:t>
      </w:r>
      <w:r>
        <w:rPr>
          <w:rStyle w:val="optioncarChar"/>
        </w:rPr>
        <w:t> / ronde / ***</w:t>
      </w:r>
      <w:r>
        <w:t xml:space="preserve"> , selon le modèle à soumettre pour approbation. Le vitrage est incorporé en usine conformément au mode appliqué sur la porte d'essai. Les éventuelles parcloses sont </w:t>
      </w:r>
      <w:r>
        <w:rPr>
          <w:rStyle w:val="optioncarChar"/>
        </w:rPr>
        <w:t xml:space="preserve">vernies </w:t>
      </w:r>
      <w:r>
        <w:t>(par défaut) </w:t>
      </w:r>
      <w:r>
        <w:rPr>
          <w:rStyle w:val="optioncarChar"/>
        </w:rPr>
        <w:t>/ peintes / *** </w:t>
      </w:r>
      <w:r>
        <w:t>comme les chanlattes. Le vitrage est toujours délimité sur toute sa périphérie par des sections en bois plein d'une largeur minimale de 140 mm pour les côtés et au-dessus et de 220 mm dans le bas.</w:t>
      </w:r>
    </w:p>
    <w:p w14:paraId="788E92D8" w14:textId="77777777" w:rsidR="004B2808" w:rsidRDefault="00000000">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10A463CE" w14:textId="77777777" w:rsidR="004B2808" w:rsidRDefault="00000000">
      <w:pPr>
        <w:pStyle w:val="Author-eListParagraph"/>
        <w:numPr>
          <w:ilvl w:val="0"/>
          <w:numId w:val="1090"/>
        </w:numPr>
      </w:pPr>
      <w:r>
        <w:t xml:space="preserve">Pourvus d'une imposte </w:t>
      </w:r>
      <w:r>
        <w:rPr>
          <w:rStyle w:val="optioncarChar"/>
        </w:rPr>
        <w:t>avec</w:t>
      </w:r>
      <w:r>
        <w:t xml:space="preserve"> (par défaut) </w:t>
      </w:r>
      <w:r>
        <w:rPr>
          <w:rStyle w:val="optioncarChar"/>
        </w:rPr>
        <w:t>/ sans / *** </w:t>
      </w:r>
      <w:r>
        <w:t>traverse intermédiaire.</w:t>
      </w:r>
    </w:p>
    <w:p w14:paraId="0D9588B7" w14:textId="77777777" w:rsidR="004B2808" w:rsidRDefault="00000000">
      <w:pPr>
        <w:pStyle w:val="Author-eListParagraph"/>
        <w:numPr>
          <w:ilvl w:val="0"/>
          <w:numId w:val="1090"/>
        </w:numPr>
      </w:pPr>
      <w:r>
        <w:t>Pourvus d'une bande brise-bise et butoir continue.</w:t>
      </w:r>
    </w:p>
    <w:p w14:paraId="3CAA94C5" w14:textId="77777777" w:rsidR="004B2808" w:rsidRDefault="00000000">
      <w:pPr>
        <w:pStyle w:val="Author-eListParagraph"/>
        <w:numPr>
          <w:ilvl w:val="0"/>
          <w:numId w:val="1090"/>
        </w:numPr>
      </w:pPr>
      <w:r>
        <w:t>Pourvus d'un cadre approprié pour la fixation d'un ferme-porte, prévu au chapitre </w:t>
      </w:r>
      <w:hyperlink w:anchor="1325" w:history="1">
        <w:r w:rsidR="004B2808">
          <w:rPr>
            <w:color w:val="0000EE"/>
          </w:rPr>
          <w:t>55.62.5 Système de fermeture</w:t>
        </w:r>
      </w:hyperlink>
    </w:p>
    <w:p w14:paraId="771A1D8F" w14:textId="77777777" w:rsidR="004B2808" w:rsidRDefault="00000000">
      <w:pPr>
        <w:pStyle w:val="Author-eListParagraph"/>
        <w:numPr>
          <w:ilvl w:val="0"/>
          <w:numId w:val="1090"/>
        </w:numPr>
      </w:pPr>
      <w:r>
        <w:t xml:space="preserve">Conçus comme portes </w:t>
      </w:r>
      <w:r>
        <w:rPr>
          <w:rStyle w:val="optioncarChar"/>
        </w:rPr>
        <w:t xml:space="preserve">va-et-vient </w:t>
      </w:r>
      <w:r>
        <w:t>(par défaut) </w:t>
      </w:r>
      <w:r>
        <w:rPr>
          <w:rStyle w:val="optioncarChar"/>
        </w:rPr>
        <w:t>/ pivotantes / ***</w:t>
      </w:r>
      <w:r>
        <w:t xml:space="preserve"> . Elles se composent de </w:t>
      </w:r>
      <w:r>
        <w:rPr>
          <w:rStyle w:val="optioncarChar"/>
        </w:rPr>
        <w:t>un panneau </w:t>
      </w:r>
      <w:r>
        <w:t>(par défaut)</w:t>
      </w:r>
      <w:r>
        <w:rPr>
          <w:rStyle w:val="optioncarChar"/>
        </w:rPr>
        <w:t xml:space="preserve"> / deux panneaux / *** </w:t>
      </w:r>
      <w:r>
        <w:t xml:space="preserve">, les vantaux des portes et les huisseries sont </w:t>
      </w:r>
      <w:r>
        <w:lastRenderedPageBreak/>
        <w:t>semblables aux portes ouvrantes ordinaires, seuls le mode de suspension et les quincailleries correspondantes sont adaptés au concept des portes battantes.</w:t>
      </w:r>
    </w:p>
    <w:p w14:paraId="3FECE88A" w14:textId="77777777" w:rsidR="004B2808" w:rsidRDefault="00000000">
      <w:pPr>
        <w:pStyle w:val="pheading"/>
      </w:pPr>
      <w:r>
        <w:t>MESURAGE</w:t>
      </w:r>
    </w:p>
    <w:p w14:paraId="7EA1DE0E" w14:textId="77777777" w:rsidR="004B2808" w:rsidRDefault="00000000">
      <w:r>
        <w:t>Conformément aux indications spécifiques dans le cahier spécial des charges et/ou le métré récapitulatif, le mesurage peut être conçu comme suit, en fonction de la nature des portes intérieures :</w:t>
      </w:r>
    </w:p>
    <w:p w14:paraId="22D0BCD1" w14:textId="77777777" w:rsidR="004B2808" w:rsidRDefault="00000000">
      <w:pPr>
        <w:pStyle w:val="pheading"/>
      </w:pPr>
      <w:r>
        <w:t>- unité de mesure:</w:t>
      </w:r>
    </w:p>
    <w:p w14:paraId="3CE86FF9" w14:textId="77777777" w:rsidR="004B2808" w:rsidRDefault="00000000">
      <w:r>
        <w:t>p</w:t>
      </w:r>
    </w:p>
    <w:p w14:paraId="3C1C7953" w14:textId="77777777" w:rsidR="004B2808" w:rsidRDefault="00000000">
      <w:pPr>
        <w:pStyle w:val="pheading"/>
      </w:pPr>
      <w:r>
        <w:t>- code de mesurage:</w:t>
      </w:r>
    </w:p>
    <w:p w14:paraId="2B674523" w14:textId="77777777" w:rsidR="004B2808" w:rsidRDefault="00000000">
      <w:r>
        <w:t xml:space="preserve">Choix opéré: </w:t>
      </w:r>
      <w:r>
        <w:rPr>
          <w:rStyle w:val="optioncarChar"/>
          <w:b/>
        </w:rPr>
        <w:t>*** / OPTION 1 (un ensemble) </w:t>
      </w:r>
      <w:r>
        <w:t>(par défaut)</w:t>
      </w:r>
      <w:r>
        <w:rPr>
          <w:rStyle w:val="optioncarChar"/>
          <w:b/>
        </w:rPr>
        <w:t xml:space="preserve"> / OPTION 2 (séparément)</w:t>
      </w:r>
    </w:p>
    <w:p w14:paraId="33D41D57" w14:textId="77777777" w:rsidR="004B2808"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w:t>
      </w:r>
      <w:r>
        <w:t xml:space="preserve"> (par défaut) </w:t>
      </w:r>
      <w:r>
        <w:rPr>
          <w:rStyle w:val="optioncarChar"/>
        </w:rPr>
        <w:t>/ 14 / 19 / ***</w:t>
      </w:r>
      <w:r>
        <w:t xml:space="preserve"> ) et, le cas échéant, selon la classification (nature, sens d'ouverture, emplacement,  prestations particulières, dimensions, forme et aspect).</w:t>
      </w:r>
    </w:p>
    <w:p w14:paraId="6B767356" w14:textId="77777777" w:rsidR="004B2808" w:rsidRDefault="00000000">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xml:space="preserve">7 </w:t>
      </w:r>
      <w:r>
        <w:t>(par défaut) </w:t>
      </w:r>
      <w:r>
        <w:rPr>
          <w:rStyle w:val="optioncarChar"/>
        </w:rPr>
        <w:t>/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le cas échéant, ventilé selon le type ou le modèle, ventilé selon les dimensions des portes (indépendamment de la hauteur) et l'épaisseur des cloisons intérieures (</w:t>
      </w:r>
      <w:r>
        <w:rPr>
          <w:rStyle w:val="optioncarChar"/>
        </w:rPr>
        <w:t>7</w:t>
      </w:r>
      <w:r>
        <w:t> (par défaut)</w:t>
      </w:r>
      <w:r>
        <w:rPr>
          <w:rStyle w:val="optioncarChar"/>
        </w:rPr>
        <w:t xml:space="preserve">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3A339730" w14:textId="77777777" w:rsidR="004B2808" w:rsidRDefault="00000000">
      <w:r>
        <w:rPr>
          <w:rStyle w:val="optioncarChar"/>
        </w:rPr>
        <w:t> </w:t>
      </w:r>
    </w:p>
    <w:p w14:paraId="683BEA78" w14:textId="77777777" w:rsidR="004B2808" w:rsidRDefault="00000000">
      <w:r>
        <w:rPr>
          <w:u w:val="single"/>
        </w:rPr>
        <w:t xml:space="preserve">Attention </w:t>
      </w:r>
    </w:p>
    <w:p w14:paraId="5D9EFC39" w14:textId="77777777" w:rsidR="004B2808" w:rsidRDefault="00000000">
      <w:pPr>
        <w:pStyle w:val="Author-eListParagraph"/>
        <w:numPr>
          <w:ilvl w:val="0"/>
          <w:numId w:val="1091"/>
        </w:numPr>
      </w:pPr>
      <w:r>
        <w:t>Les vantaux de portes de 630 - 730 et 830 mm de largeur peuvent être pris ensemble pour le mesurage.</w:t>
      </w:r>
    </w:p>
    <w:p w14:paraId="373EEF7F" w14:textId="77777777" w:rsidR="004B2808" w:rsidRDefault="00000000">
      <w:pPr>
        <w:pStyle w:val="Author-eListParagraph"/>
        <w:numPr>
          <w:ilvl w:val="0"/>
          <w:numId w:val="1091"/>
        </w:numPr>
      </w:pPr>
      <w:r>
        <w:t>Les quincailleries dont la fourniture et la mise en œuvre sont comprises peuvent être décrites dans d'autres postes mais sont toujours comprises dans le prix des portes.</w:t>
      </w:r>
    </w:p>
    <w:p w14:paraId="0476BE59" w14:textId="77777777" w:rsidR="004B2808" w:rsidRDefault="00000000">
      <w:pPr>
        <w:pStyle w:val="pheading"/>
      </w:pPr>
      <w:r>
        <w:t>- nature du marché:</w:t>
      </w:r>
    </w:p>
    <w:p w14:paraId="5A70FC53" w14:textId="77777777" w:rsidR="004B2808" w:rsidRDefault="00000000">
      <w:r>
        <w:t>QF</w:t>
      </w:r>
    </w:p>
    <w:p w14:paraId="3B8CEB7F" w14:textId="77777777" w:rsidR="004B2808" w:rsidRDefault="00000000">
      <w:pPr>
        <w:pStyle w:val="Author-eSectionHeading4Numberless"/>
      </w:pPr>
      <w:bookmarkStart w:id="1104" w:name="_Toc220491230"/>
      <w:r>
        <w:t>55.26 Portes intérieures matériaux composites CCTB 01.02</w:t>
      </w:r>
      <w:bookmarkEnd w:id="1104"/>
    </w:p>
    <w:p w14:paraId="28333DD5" w14:textId="77777777" w:rsidR="004B2808" w:rsidRDefault="00000000">
      <w:pPr>
        <w:pStyle w:val="Author-eSectionHeading5Numberless"/>
      </w:pPr>
      <w:bookmarkStart w:id="1105" w:name="_Toc220491231"/>
      <w:r>
        <w:t>55.26.1 Portes intérieures en mélange PVC/bois (dans la masse) CCTB 01.02</w:t>
      </w:r>
      <w:bookmarkEnd w:id="1105"/>
    </w:p>
    <w:p w14:paraId="50D7CDEC" w14:textId="77777777" w:rsidR="004B2808" w:rsidRDefault="00000000">
      <w:pPr>
        <w:pStyle w:val="Author-eSectionHeading6Numberless"/>
      </w:pPr>
      <w:bookmarkStart w:id="1106" w:name="_Toc220491232"/>
      <w:r>
        <w:t>55.26.1a Portes intérieures en mélange PVC/bois (dans la masse) CCTB 01.10</w:t>
      </w:r>
      <w:bookmarkEnd w:id="1106"/>
    </w:p>
    <w:p w14:paraId="0203C3C2" w14:textId="77777777" w:rsidR="004B2808" w:rsidRDefault="00000000">
      <w:pPr>
        <w:pStyle w:val="pheading"/>
      </w:pPr>
      <w:r>
        <w:t>MATÉRIAUX</w:t>
      </w:r>
    </w:p>
    <w:p w14:paraId="6579A7F7" w14:textId="77777777" w:rsidR="004B2808" w:rsidRDefault="00000000">
      <w:pPr>
        <w:pStyle w:val="pheading"/>
      </w:pPr>
      <w:r>
        <w:t>- Prescriptions complémentaires</w:t>
      </w:r>
    </w:p>
    <w:p w14:paraId="072D9B4F" w14:textId="77777777" w:rsidR="004B2808" w:rsidRDefault="00000000">
      <w:pPr>
        <w:pStyle w:val="heading"/>
      </w:pPr>
      <w:r>
        <w:t>(critères de performance)  Vantaux de porte</w:t>
      </w:r>
    </w:p>
    <w:p w14:paraId="7BABD161" w14:textId="77777777" w:rsidR="004B2808" w:rsidRDefault="00000000">
      <w:r>
        <w:t>Conformément aux indications supplémentaires dans le cahier spécial des charges, les dispositions supplémentaires suivantes sont d'application :</w:t>
      </w:r>
    </w:p>
    <w:p w14:paraId="098C7279" w14:textId="77777777" w:rsidR="004B2808" w:rsidRDefault="00000000">
      <w:pPr>
        <w:pStyle w:val="Author-eListParagraph"/>
        <w:numPr>
          <w:ilvl w:val="0"/>
          <w:numId w:val="1092"/>
        </w:numPr>
      </w:pPr>
      <w:r>
        <w:lastRenderedPageBreak/>
        <w:t>Les dispositions des [STS 53.1] pour les portes intérieures planes dans les salles de bains et les autres locaux humides.</w:t>
      </w:r>
    </w:p>
    <w:p w14:paraId="6C1045B9" w14:textId="77777777" w:rsidR="004B2808" w:rsidRDefault="00000000">
      <w:r>
        <w:br/>
        <w:t>Attention  : Les ensembles de porte résistant au feu sont toujours considérés dans un poste séparé.</w:t>
      </w:r>
    </w:p>
    <w:p w14:paraId="474FCC22" w14:textId="77777777" w:rsidR="004B2808" w:rsidRDefault="00000000">
      <w:pPr>
        <w:pStyle w:val="heading"/>
      </w:pPr>
      <w:r>
        <w:t>(Accessoires) Vantaux de porte</w:t>
      </w:r>
    </w:p>
    <w:p w14:paraId="5B570CFE" w14:textId="77777777" w:rsidR="004B2808" w:rsidRDefault="00000000">
      <w:r>
        <w:t xml:space="preserve">Conformément aux indications sur les plans ou les dessins de détail, les vantaux de porte suivants </w:t>
      </w:r>
      <w:r>
        <w:rPr>
          <w:rStyle w:val="optioncarChar"/>
        </w:rPr>
        <w:t xml:space="preserve">*** </w:t>
      </w:r>
      <w:r>
        <w:t>sont :</w:t>
      </w:r>
    </w:p>
    <w:p w14:paraId="359A418B" w14:textId="77777777" w:rsidR="004B2808" w:rsidRDefault="00000000">
      <w:pPr>
        <w:pStyle w:val="Author-eListParagraph"/>
        <w:numPr>
          <w:ilvl w:val="0"/>
          <w:numId w:val="1093"/>
        </w:numPr>
      </w:pPr>
      <w:r>
        <w:t>Equipés d'un vitrage :</w:t>
      </w:r>
    </w:p>
    <w:p w14:paraId="79D14018" w14:textId="77777777" w:rsidR="004B2808" w:rsidRDefault="00000000">
      <w:pPr>
        <w:pStyle w:val="Author-eListParagraph"/>
        <w:numPr>
          <w:ilvl w:val="0"/>
          <w:numId w:val="1093"/>
        </w:numPr>
      </w:pPr>
      <w:r>
        <w:t xml:space="preserve">En verre de sécurité </w:t>
      </w:r>
      <w:r>
        <w:rPr>
          <w:rStyle w:val="optioncarChar"/>
        </w:rPr>
        <w:t>simple</w:t>
      </w:r>
      <w:r>
        <w:t xml:space="preserve"> (par défaut)</w:t>
      </w:r>
      <w:r>
        <w:rPr>
          <w:rStyle w:val="optioncarChar"/>
        </w:rPr>
        <w:t> / clair / mat / opale / ***</w:t>
      </w:r>
      <w:r>
        <w:t xml:space="preserve"> , selon la [NBN S 23-002]</w:t>
      </w:r>
    </w:p>
    <w:p w14:paraId="6B94C750" w14:textId="77777777" w:rsidR="004B2808" w:rsidRDefault="00000000">
      <w:pPr>
        <w:pStyle w:val="Author-eListParagraph"/>
        <w:numPr>
          <w:ilvl w:val="0"/>
          <w:numId w:val="1093"/>
        </w:numPr>
      </w:pPr>
      <w:r>
        <w:t xml:space="preserve">Réservation dans le vantail de porte : </w:t>
      </w:r>
      <w:r>
        <w:rPr>
          <w:rStyle w:val="optioncarChar"/>
        </w:rPr>
        <w:t>rectangulaire </w:t>
      </w:r>
      <w:r>
        <w:t>(par défaut)</w:t>
      </w:r>
      <w:r>
        <w:rPr>
          <w:rStyle w:val="optioncarChar"/>
        </w:rPr>
        <w:t xml:space="preserve"> / ronde / conformément aux dessins de détail / selon le modèle </w:t>
      </w:r>
      <w:r>
        <w:t>à soumettre pour approbation (pour les réservations dans les portes à âme creuse, un cadre en bois est appliqué et collé).</w:t>
      </w:r>
    </w:p>
    <w:p w14:paraId="45AF25CC" w14:textId="77777777" w:rsidR="004B2808" w:rsidRDefault="00000000">
      <w:pPr>
        <w:pStyle w:val="Author-eListParagraph"/>
        <w:numPr>
          <w:ilvl w:val="0"/>
          <w:numId w:val="1093"/>
        </w:numPr>
      </w:pPr>
      <w:r>
        <w:t xml:space="preserve">Fixation de la vitre dans la réservation à l'aide de : </w:t>
      </w:r>
      <w:r>
        <w:rPr>
          <w:rStyle w:val="optioncarChar"/>
        </w:rPr>
        <w:t>mastic plastique</w:t>
      </w:r>
      <w:r>
        <w:t> (par défaut)</w:t>
      </w:r>
      <w:r>
        <w:rPr>
          <w:rStyle w:val="optioncarChar"/>
        </w:rPr>
        <w:t xml:space="preserve"> / profils de fixation à enclenchement en PVC</w:t>
      </w:r>
    </w:p>
    <w:p w14:paraId="6B49E5F0" w14:textId="77777777" w:rsidR="004B2808" w:rsidRDefault="00000000">
      <w:pPr>
        <w:pStyle w:val="Author-eListParagraph"/>
        <w:numPr>
          <w:ilvl w:val="0"/>
          <w:numId w:val="1093"/>
        </w:numPr>
      </w:pPr>
      <w:r>
        <w:t xml:space="preserve">Les vitres sont encadrées par : </w:t>
      </w:r>
      <w:r>
        <w:rPr>
          <w:rStyle w:val="optioncarChar"/>
        </w:rPr>
        <w:t>des lattes en matériau identique au profilé de la porte</w:t>
      </w:r>
      <w:r>
        <w:t> (par défaut)</w:t>
      </w:r>
      <w:r>
        <w:rPr>
          <w:rStyle w:val="optioncarChar"/>
        </w:rPr>
        <w:t xml:space="preserve"> / ***.</w:t>
      </w:r>
    </w:p>
    <w:p w14:paraId="0D07186F" w14:textId="77777777" w:rsidR="004B2808" w:rsidRDefault="00000000">
      <w:pPr>
        <w:pStyle w:val="Author-eListParagraph"/>
        <w:numPr>
          <w:ilvl w:val="0"/>
          <w:numId w:val="1093"/>
        </w:numPr>
      </w:pPr>
      <w:r>
        <w:t xml:space="preserve">Pourvus d'une grille encastrée, selon l'article </w:t>
      </w:r>
      <w:hyperlink w:anchor="1322" w:history="1">
        <w:r w:rsidR="004B2808">
          <w:rPr>
            <w:color w:val="0000EE"/>
          </w:rPr>
          <w:t>55.68.1 Grilles de transfert dans les portes</w:t>
        </w:r>
      </w:hyperlink>
      <w:r>
        <w:t xml:space="preserve"> grilles de transfert dans les portes, ouverture d'aération conformément à la [NBN D 50-001]</w:t>
      </w:r>
    </w:p>
    <w:p w14:paraId="644111B2" w14:textId="77777777" w:rsidR="004B2808" w:rsidRDefault="00000000">
      <w:pPr>
        <w:pStyle w:val="Author-eListParagraph"/>
        <w:numPr>
          <w:ilvl w:val="0"/>
          <w:numId w:val="1093"/>
        </w:numPr>
      </w:pPr>
      <w:r>
        <w:t>Pourvus d'une fente de ventilation d'environ</w:t>
      </w:r>
      <w:r>
        <w:rPr>
          <w:rStyle w:val="optioncarChar"/>
        </w:rPr>
        <w:t> 1</w:t>
      </w:r>
      <w:r>
        <w:t> (par défaut)</w:t>
      </w:r>
      <w:r>
        <w:rPr>
          <w:rStyle w:val="optioncarChar"/>
        </w:rPr>
        <w:t> / ***</w:t>
      </w:r>
      <w:r>
        <w:t xml:space="preserve"> cm dans le bas, de façon telle que l'ouverture d'aération soit conformé à la [NBN D 50-001]</w:t>
      </w:r>
    </w:p>
    <w:p w14:paraId="2F50BC6C" w14:textId="77777777" w:rsidR="004B2808" w:rsidRDefault="00000000">
      <w:pPr>
        <w:pStyle w:val="Author-eListParagraph"/>
        <w:numPr>
          <w:ilvl w:val="0"/>
          <w:numId w:val="1093"/>
        </w:numPr>
      </w:pPr>
      <w:r>
        <w:t>Conçues comme portes coulissantes (les vantaux de porte et les huisseries sont conformes aux portes ouvrantes ordinaires. Seul le mode de suspension et la quincaillerie concernée sont adaptés au concept des vantaux de porte coulissants).</w:t>
      </w:r>
    </w:p>
    <w:p w14:paraId="47593E25" w14:textId="77777777" w:rsidR="004B2808" w:rsidRDefault="00000000">
      <w:pPr>
        <w:pStyle w:val="Author-eListParagraph"/>
        <w:numPr>
          <w:ilvl w:val="0"/>
          <w:numId w:val="1093"/>
        </w:numPr>
      </w:pPr>
      <w:r>
        <w:t xml:space="preserve">Portes coulissantes </w:t>
      </w:r>
      <w:r>
        <w:rPr>
          <w:rStyle w:val="optioncarChar"/>
        </w:rPr>
        <w:t>simples</w:t>
      </w:r>
      <w:r>
        <w:t> (par défaut)</w:t>
      </w:r>
      <w:r>
        <w:rPr>
          <w:rStyle w:val="optioncarChar"/>
        </w:rPr>
        <w:t xml:space="preserve"> / doubles / ***</w:t>
      </w:r>
    </w:p>
    <w:p w14:paraId="45B1F326" w14:textId="77777777" w:rsidR="004B2808" w:rsidRDefault="00000000">
      <w:pPr>
        <w:pStyle w:val="Author-eListParagraph"/>
        <w:numPr>
          <w:ilvl w:val="0"/>
          <w:numId w:val="1093"/>
        </w:numPr>
      </w:pPr>
      <w:r>
        <w:t>Composées de</w:t>
      </w:r>
      <w:r>
        <w:rPr>
          <w:rStyle w:val="optioncarChar"/>
        </w:rPr>
        <w:t> un panneau </w:t>
      </w:r>
      <w:r>
        <w:t>(par défaut)</w:t>
      </w:r>
      <w:r>
        <w:rPr>
          <w:rStyle w:val="optioncarChar"/>
        </w:rPr>
        <w:t xml:space="preserve"> / deux panneaux / ***</w:t>
      </w:r>
    </w:p>
    <w:p w14:paraId="56C9CD3F" w14:textId="77777777" w:rsidR="004B2808" w:rsidRDefault="00000000">
      <w:pPr>
        <w:pStyle w:val="Author-eListParagraph"/>
        <w:numPr>
          <w:ilvl w:val="0"/>
          <w:numId w:val="1093"/>
        </w:numPr>
      </w:pPr>
      <w:r>
        <w:t>Mécanisme de coulisse : rails en acier galvanisé; galets en nylon de première qualité; type et modèle en fonction du type et du poids des vantaux coulissants.</w:t>
      </w:r>
    </w:p>
    <w:p w14:paraId="16D3DEED" w14:textId="77777777" w:rsidR="004B2808" w:rsidRDefault="00000000">
      <w:pPr>
        <w:pStyle w:val="Author-eListParagraph"/>
        <w:numPr>
          <w:ilvl w:val="0"/>
          <w:numId w:val="1093"/>
        </w:numPr>
      </w:pPr>
      <w:r>
        <w:t xml:space="preserve">Conçues comme </w:t>
      </w:r>
      <w:r>
        <w:rPr>
          <w:rStyle w:val="optioncarChar"/>
        </w:rPr>
        <w:t>portes battantes</w:t>
      </w:r>
      <w:r>
        <w:t> (par défaut)</w:t>
      </w:r>
      <w:r>
        <w:rPr>
          <w:rStyle w:val="optioncarChar"/>
        </w:rPr>
        <w:t xml:space="preserve"> / pivotantes / *** </w:t>
      </w:r>
      <w:r>
        <w:t xml:space="preserve">(les vantaux de porte et les huisseries sont conformes aux portes ouvrantes ordinaires. Seul le mode de suspension et la quincaillerie concernée sont adaptés au concept des vantaux de porte </w:t>
      </w:r>
      <w:r>
        <w:rPr>
          <w:rStyle w:val="optioncarChar"/>
        </w:rPr>
        <w:t>battante</w:t>
      </w:r>
      <w:r>
        <w:t> (par défaut)</w:t>
      </w:r>
      <w:r>
        <w:rPr>
          <w:rStyle w:val="optioncarChar"/>
        </w:rPr>
        <w:t xml:space="preserve"> / pivotante / ***</w:t>
      </w:r>
      <w:r>
        <w:t>)</w:t>
      </w:r>
    </w:p>
    <w:p w14:paraId="591BF94C" w14:textId="77777777" w:rsidR="004B2808" w:rsidRDefault="00000000">
      <w:pPr>
        <w:pStyle w:val="Author-eListParagraph"/>
        <w:numPr>
          <w:ilvl w:val="0"/>
          <w:numId w:val="1093"/>
        </w:numPr>
      </w:pPr>
      <w:r>
        <w:t xml:space="preserve">Composées de </w:t>
      </w:r>
      <w:r>
        <w:rPr>
          <w:rStyle w:val="optioncarChar"/>
        </w:rPr>
        <w:t>un panneau </w:t>
      </w:r>
      <w:r>
        <w:t>(par défaut)</w:t>
      </w:r>
      <w:r>
        <w:rPr>
          <w:rStyle w:val="optioncarChar"/>
        </w:rPr>
        <w:t xml:space="preserve"> / deux panneaux / ***</w:t>
      </w:r>
    </w:p>
    <w:p w14:paraId="2137B23A" w14:textId="77777777" w:rsidR="004B2808" w:rsidRDefault="00000000">
      <w:pPr>
        <w:pStyle w:val="pheading"/>
      </w:pPr>
      <w:r>
        <w:t>MESURAGE</w:t>
      </w:r>
    </w:p>
    <w:p w14:paraId="70BD17D6" w14:textId="77777777" w:rsidR="004B2808" w:rsidRDefault="00000000">
      <w:r>
        <w:t>Conformément aux indications spécifiques dans le cahier spécial des charges et/ou le métré récapitulatif, le mesurage peut être conçu comme suit, en fonction de la nature des portes intérieures :</w:t>
      </w:r>
    </w:p>
    <w:p w14:paraId="2148527F" w14:textId="77777777" w:rsidR="004B2808" w:rsidRDefault="00000000">
      <w:pPr>
        <w:pStyle w:val="pheading"/>
      </w:pPr>
      <w:r>
        <w:t>- unité de mesure:</w:t>
      </w:r>
    </w:p>
    <w:p w14:paraId="6E919F63" w14:textId="77777777" w:rsidR="004B2808" w:rsidRDefault="00000000">
      <w:r>
        <w:t>p </w:t>
      </w:r>
    </w:p>
    <w:p w14:paraId="639C7D38" w14:textId="77777777" w:rsidR="004B2808" w:rsidRDefault="00000000">
      <w:pPr>
        <w:pStyle w:val="pheading"/>
      </w:pPr>
      <w:r>
        <w:t>- code de mesurage:</w:t>
      </w:r>
    </w:p>
    <w:p w14:paraId="057CA8AF" w14:textId="77777777" w:rsidR="004B2808" w:rsidRDefault="00000000">
      <w:r>
        <w:t>Choix opéré:</w:t>
      </w:r>
      <w:r>
        <w:rPr>
          <w:rStyle w:val="optioncarChar"/>
          <w:b/>
        </w:rPr>
        <w:t xml:space="preserve">*** / OPTION 1 (un ensemble) </w:t>
      </w:r>
      <w:r>
        <w:t>(par défaut) </w:t>
      </w:r>
      <w:r>
        <w:rPr>
          <w:rStyle w:val="optioncarChar"/>
          <w:b/>
        </w:rPr>
        <w:t>/ OPTION 2 (séparément)</w:t>
      </w:r>
    </w:p>
    <w:p w14:paraId="1A60052A" w14:textId="77777777" w:rsidR="004B2808" w:rsidRDefault="00000000">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w:t>
      </w:r>
      <w:r>
        <w:t> (par défaut)</w:t>
      </w:r>
      <w:r>
        <w:rPr>
          <w:rStyle w:val="optioncarChar"/>
        </w:rPr>
        <w:t xml:space="preserve"> / 14 / 19 / ***</w:t>
      </w:r>
      <w:r>
        <w:t xml:space="preserve"> ) et, le cas échéant, selon la classification (nature, sens d'ouverture, emplacement,  prestations particulières, dimensions, forme et aspect).</w:t>
      </w:r>
    </w:p>
    <w:p w14:paraId="70B2C996" w14:textId="77777777" w:rsidR="004B2808" w:rsidRDefault="00000000">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w:t>
      </w:r>
      <w:r>
        <w:lastRenderedPageBreak/>
        <w:t>l'épaisseur de la paroi intérieure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7</w:t>
      </w:r>
      <w:r>
        <w:t xml:space="preserve"> (par défaut) </w:t>
      </w:r>
      <w:r>
        <w:rPr>
          <w:rStyle w:val="optioncarChar"/>
        </w:rPr>
        <w:t>/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15EC7B94" w14:textId="77777777" w:rsidR="004B2808" w:rsidRDefault="00000000">
      <w:r>
        <w:rPr>
          <w:rStyle w:val="optioncarChar"/>
        </w:rPr>
        <w:t> </w:t>
      </w:r>
    </w:p>
    <w:p w14:paraId="2C4D8873" w14:textId="77777777" w:rsidR="004B2808" w:rsidRDefault="00000000">
      <w:r>
        <w:rPr>
          <w:u w:val="single"/>
        </w:rPr>
        <w:t xml:space="preserve">Attention </w:t>
      </w:r>
    </w:p>
    <w:p w14:paraId="357879A5" w14:textId="77777777" w:rsidR="004B2808" w:rsidRDefault="00000000">
      <w:pPr>
        <w:pStyle w:val="Author-eListParagraph"/>
        <w:numPr>
          <w:ilvl w:val="0"/>
          <w:numId w:val="1094"/>
        </w:numPr>
      </w:pPr>
      <w:r>
        <w:t>Les vantaux de portes de 630 - 730 et 830 mm de largeur peuvent être pris ensemble pour le mesurage.</w:t>
      </w:r>
    </w:p>
    <w:p w14:paraId="69DF8EEC" w14:textId="77777777" w:rsidR="004B2808" w:rsidRDefault="00000000">
      <w:pPr>
        <w:pStyle w:val="Author-eListParagraph"/>
        <w:numPr>
          <w:ilvl w:val="0"/>
          <w:numId w:val="1094"/>
        </w:numPr>
      </w:pPr>
      <w:r>
        <w:t>Les quincailleries dont la fourniture et la mise en œuvre sont comprises peuvent être décrites dans d'autres postes mais sont toujours comprises dans le prix des portes.</w:t>
      </w:r>
    </w:p>
    <w:p w14:paraId="407AE7B9" w14:textId="77777777" w:rsidR="004B2808" w:rsidRDefault="00000000">
      <w:pPr>
        <w:pStyle w:val="pheading"/>
      </w:pPr>
      <w:r>
        <w:t>- nature du marché:</w:t>
      </w:r>
    </w:p>
    <w:p w14:paraId="461884F0" w14:textId="77777777" w:rsidR="004B2808" w:rsidRDefault="00000000">
      <w:r>
        <w:t>QF </w:t>
      </w:r>
    </w:p>
    <w:p w14:paraId="35B0D822" w14:textId="77777777" w:rsidR="004B2808" w:rsidRDefault="00000000">
      <w:pPr>
        <w:pStyle w:val="Author-eSectionHeading3Numberless"/>
      </w:pPr>
      <w:bookmarkStart w:id="1107" w:name="_Toc220491233"/>
      <w:r>
        <w:t>55.3 Portes intérieures à système CCTB 01.02</w:t>
      </w:r>
      <w:bookmarkEnd w:id="1107"/>
    </w:p>
    <w:p w14:paraId="5C606E3C" w14:textId="77777777" w:rsidR="004B2808" w:rsidRDefault="00000000">
      <w:pPr>
        <w:pStyle w:val="Author-eSectionHeading4Numberless"/>
      </w:pPr>
      <w:bookmarkStart w:id="1108" w:name="1375"/>
      <w:bookmarkStart w:id="1109" w:name="_Toc220491234"/>
      <w:bookmarkEnd w:id="1108"/>
      <w:r>
        <w:t>55.31 Portes intérieures, à tambour CCTB 01.02</w:t>
      </w:r>
      <w:bookmarkEnd w:id="1109"/>
    </w:p>
    <w:p w14:paraId="7A71E47C" w14:textId="77777777" w:rsidR="004B2808" w:rsidRDefault="00000000">
      <w:pPr>
        <w:pStyle w:val="Author-eSectionHeading5Numberless"/>
      </w:pPr>
      <w:bookmarkStart w:id="1110" w:name="_Toc220491235"/>
      <w:r>
        <w:t>55.31.1 Portes intérieures, à tambour, en bois CCTB 01.02</w:t>
      </w:r>
      <w:bookmarkEnd w:id="1110"/>
    </w:p>
    <w:p w14:paraId="7E577070" w14:textId="77777777" w:rsidR="004B2808" w:rsidRDefault="00000000">
      <w:pPr>
        <w:pStyle w:val="Author-eSectionHeading6Numberless"/>
      </w:pPr>
      <w:bookmarkStart w:id="1111" w:name="_Toc220491236"/>
      <w:r>
        <w:t>55.31.1a Portes intérieures, à tambour, en bois, manuelles CCTB 01.02</w:t>
      </w:r>
      <w:bookmarkEnd w:id="1111"/>
    </w:p>
    <w:p w14:paraId="7B818194" w14:textId="77777777" w:rsidR="004B2808" w:rsidRDefault="00000000">
      <w:pPr>
        <w:pStyle w:val="Author-eSectionHeading6Numberless"/>
      </w:pPr>
      <w:bookmarkStart w:id="1112" w:name="_Toc220491237"/>
      <w:r>
        <w:t>55.31.1b Portes intérieures, à tambour, en bois, motorisées CCTB 01.02</w:t>
      </w:r>
      <w:bookmarkEnd w:id="1112"/>
    </w:p>
    <w:p w14:paraId="32550593" w14:textId="77777777" w:rsidR="004B2808" w:rsidRDefault="00000000">
      <w:pPr>
        <w:pStyle w:val="Author-eSectionHeading5Numberless"/>
      </w:pPr>
      <w:bookmarkStart w:id="1113" w:name="_Toc220491238"/>
      <w:r>
        <w:t>55.31.2 Portes intérieures, à tambour, en aluminium CCTB 01.02</w:t>
      </w:r>
      <w:bookmarkEnd w:id="1113"/>
    </w:p>
    <w:p w14:paraId="02C3A728" w14:textId="77777777" w:rsidR="004B2808" w:rsidRDefault="00000000">
      <w:pPr>
        <w:pStyle w:val="Author-eSectionHeading6Numberless"/>
      </w:pPr>
      <w:bookmarkStart w:id="1114" w:name="_Toc220491239"/>
      <w:r>
        <w:t>55.31.2a Portes intérieures, à tambour, en aluminium, manuelles CCTB 01.02</w:t>
      </w:r>
      <w:bookmarkEnd w:id="1114"/>
    </w:p>
    <w:p w14:paraId="26F05956" w14:textId="77777777" w:rsidR="004B2808" w:rsidRDefault="00000000">
      <w:pPr>
        <w:pStyle w:val="Author-eSectionHeading6Numberless"/>
      </w:pPr>
      <w:bookmarkStart w:id="1115" w:name="_Toc220491240"/>
      <w:r>
        <w:t>55.31.2b Portes intérieures, à tambour, en aluminium, motorisées CCTB 01.02</w:t>
      </w:r>
      <w:bookmarkEnd w:id="1115"/>
    </w:p>
    <w:p w14:paraId="6DA00DBC" w14:textId="77777777" w:rsidR="004B2808" w:rsidRDefault="00000000">
      <w:pPr>
        <w:pStyle w:val="Author-eSectionHeading5Numberless"/>
      </w:pPr>
      <w:bookmarkStart w:id="1116" w:name="_Toc220491241"/>
      <w:r>
        <w:t>55.31.3 Portes intérieures, à tambour, en acier CCTB 01.02</w:t>
      </w:r>
      <w:bookmarkEnd w:id="1116"/>
    </w:p>
    <w:p w14:paraId="303BDFCE" w14:textId="77777777" w:rsidR="004B2808" w:rsidRDefault="00000000">
      <w:pPr>
        <w:pStyle w:val="Author-eSectionHeading6Numberless"/>
      </w:pPr>
      <w:bookmarkStart w:id="1117" w:name="_Toc220491242"/>
      <w:r>
        <w:t>55.31.3a Portes intérieures, à tambour, en acier, manuelles CCTB 01.02</w:t>
      </w:r>
      <w:bookmarkEnd w:id="1117"/>
    </w:p>
    <w:p w14:paraId="0405BB14" w14:textId="77777777" w:rsidR="004B2808" w:rsidRDefault="00000000">
      <w:pPr>
        <w:pStyle w:val="Author-eSectionHeading6Numberless"/>
      </w:pPr>
      <w:bookmarkStart w:id="1118" w:name="_Toc220491243"/>
      <w:r>
        <w:t>55.31.3b Portes intérieures, à tambour, en acier, motorisées CCTB 01.02</w:t>
      </w:r>
      <w:bookmarkEnd w:id="1118"/>
    </w:p>
    <w:p w14:paraId="6AE6AE8D" w14:textId="77777777" w:rsidR="004B2808" w:rsidRDefault="00000000">
      <w:pPr>
        <w:pStyle w:val="Author-eSectionHeading5Numberless"/>
      </w:pPr>
      <w:bookmarkStart w:id="1119" w:name="_Toc220491244"/>
      <w:r>
        <w:t>55.31.4 Portes intérieures, à tambour, en PVC CCTB 01.02</w:t>
      </w:r>
      <w:bookmarkEnd w:id="1119"/>
    </w:p>
    <w:p w14:paraId="2EC35195" w14:textId="77777777" w:rsidR="004B2808" w:rsidRDefault="00000000">
      <w:pPr>
        <w:pStyle w:val="Author-eSectionHeading6Numberless"/>
      </w:pPr>
      <w:bookmarkStart w:id="1120" w:name="_Toc220491245"/>
      <w:r>
        <w:t>55.31.4a Portes intérieures, à tambour, en PVC, manuelles CCTB 01.02</w:t>
      </w:r>
      <w:bookmarkEnd w:id="1120"/>
    </w:p>
    <w:p w14:paraId="161D8C6F" w14:textId="77777777" w:rsidR="004B2808" w:rsidRDefault="00000000">
      <w:pPr>
        <w:pStyle w:val="Author-eSectionHeading6Numberless"/>
      </w:pPr>
      <w:bookmarkStart w:id="1121" w:name="_Toc220491246"/>
      <w:r>
        <w:t>55.31.4b Portes intérieures, à tambour, en PVC, motorisées CCTB 01.02</w:t>
      </w:r>
      <w:bookmarkEnd w:id="1121"/>
    </w:p>
    <w:p w14:paraId="06A146DC" w14:textId="77777777" w:rsidR="004B2808" w:rsidRDefault="00000000">
      <w:pPr>
        <w:pStyle w:val="Author-eSectionHeading5Numberless"/>
      </w:pPr>
      <w:bookmarkStart w:id="1122" w:name="_Toc220491247"/>
      <w:r>
        <w:t>55.31.5 Portes intérieures, à tambour, en verre CCTB 01.02</w:t>
      </w:r>
      <w:bookmarkEnd w:id="1122"/>
    </w:p>
    <w:p w14:paraId="742812CD" w14:textId="77777777" w:rsidR="004B2808" w:rsidRDefault="00000000">
      <w:pPr>
        <w:pStyle w:val="Author-eSectionHeading6Numberless"/>
      </w:pPr>
      <w:bookmarkStart w:id="1123" w:name="_Toc220491248"/>
      <w:r>
        <w:t>55.31.5a Portes intérieures, à tambour, en verre CCTB 01.02</w:t>
      </w:r>
      <w:bookmarkEnd w:id="1123"/>
    </w:p>
    <w:p w14:paraId="40663B1C" w14:textId="77777777" w:rsidR="004B2808" w:rsidRDefault="00000000">
      <w:pPr>
        <w:pStyle w:val="Author-eSectionHeading4Numberless"/>
      </w:pPr>
      <w:bookmarkStart w:id="1124" w:name="_Toc220491249"/>
      <w:r>
        <w:t>55.32 Portes intérieures, à accordéon CCTB 01.02</w:t>
      </w:r>
      <w:bookmarkEnd w:id="1124"/>
    </w:p>
    <w:p w14:paraId="2CF665BC" w14:textId="77777777" w:rsidR="004B2808" w:rsidRDefault="00000000">
      <w:pPr>
        <w:pStyle w:val="Author-eSectionHeading5Numberless"/>
      </w:pPr>
      <w:bookmarkStart w:id="1125" w:name="_Toc220491250"/>
      <w:r>
        <w:t>55.32.1 Portes intérieures, à accordéon, en bois CCTB 01.02</w:t>
      </w:r>
      <w:bookmarkEnd w:id="1125"/>
    </w:p>
    <w:p w14:paraId="03A9987F" w14:textId="77777777" w:rsidR="004B2808" w:rsidRDefault="00000000">
      <w:pPr>
        <w:pStyle w:val="Author-eSectionHeading6Numberless"/>
      </w:pPr>
      <w:bookmarkStart w:id="1126" w:name="_Toc220491251"/>
      <w:r>
        <w:t>55.32.1a Portes intérieures, à accordéon, en bois, manuelles CCTB 01.02</w:t>
      </w:r>
      <w:bookmarkEnd w:id="1126"/>
    </w:p>
    <w:p w14:paraId="1C4BE049" w14:textId="77777777" w:rsidR="004B2808" w:rsidRDefault="00000000">
      <w:pPr>
        <w:pStyle w:val="Author-eSectionHeading6Numberless"/>
      </w:pPr>
      <w:bookmarkStart w:id="1127" w:name="_Toc220491252"/>
      <w:r>
        <w:t>55.32.1b Portes intérieures, à accordéon, en bois, motorisées CCTB 01.02</w:t>
      </w:r>
      <w:bookmarkEnd w:id="1127"/>
    </w:p>
    <w:p w14:paraId="25E80113" w14:textId="77777777" w:rsidR="004B2808" w:rsidRDefault="00000000">
      <w:pPr>
        <w:pStyle w:val="Author-eSectionHeading5Numberless"/>
      </w:pPr>
      <w:bookmarkStart w:id="1128" w:name="_Toc220491253"/>
      <w:r>
        <w:t>55.32.2 Portes intérieures, à accordéon, en aluminium CCTB 01.02</w:t>
      </w:r>
      <w:bookmarkEnd w:id="1128"/>
    </w:p>
    <w:p w14:paraId="507E045A" w14:textId="77777777" w:rsidR="004B2808" w:rsidRDefault="00000000">
      <w:pPr>
        <w:pStyle w:val="Author-eSectionHeading6Numberless"/>
      </w:pPr>
      <w:bookmarkStart w:id="1129" w:name="_Toc220491254"/>
      <w:r>
        <w:lastRenderedPageBreak/>
        <w:t>55.32.2a Portes intérieures, à accordéon, en aluminium, manuelles CCTB 01.02</w:t>
      </w:r>
      <w:bookmarkEnd w:id="1129"/>
    </w:p>
    <w:p w14:paraId="0D79D15B" w14:textId="77777777" w:rsidR="004B2808" w:rsidRDefault="00000000">
      <w:pPr>
        <w:pStyle w:val="Author-eSectionHeading6Numberless"/>
      </w:pPr>
      <w:bookmarkStart w:id="1130" w:name="_Toc220491255"/>
      <w:r>
        <w:t>55.32.2b Portes intérieures, à accordéon, en aluminium, motorisées CCTB 01.02</w:t>
      </w:r>
      <w:bookmarkEnd w:id="1130"/>
    </w:p>
    <w:p w14:paraId="15614FAD" w14:textId="77777777" w:rsidR="004B2808" w:rsidRDefault="00000000">
      <w:pPr>
        <w:pStyle w:val="Author-eSectionHeading5Numberless"/>
      </w:pPr>
      <w:bookmarkStart w:id="1131" w:name="_Toc220491256"/>
      <w:r>
        <w:t>55.32.3 Portes intérieures, à accordéon, en acier CCTB 01.02</w:t>
      </w:r>
      <w:bookmarkEnd w:id="1131"/>
    </w:p>
    <w:p w14:paraId="513A5B7D" w14:textId="77777777" w:rsidR="004B2808" w:rsidRDefault="00000000">
      <w:pPr>
        <w:pStyle w:val="Author-eSectionHeading6Numberless"/>
      </w:pPr>
      <w:bookmarkStart w:id="1132" w:name="_Toc220491257"/>
      <w:r>
        <w:t>55.32.3a Portes intérieures, à accordéon, en acier, manuelles CCTB 01.02</w:t>
      </w:r>
      <w:bookmarkEnd w:id="1132"/>
    </w:p>
    <w:p w14:paraId="46D4BABA" w14:textId="77777777" w:rsidR="004B2808" w:rsidRDefault="00000000">
      <w:pPr>
        <w:pStyle w:val="Author-eSectionHeading6Numberless"/>
      </w:pPr>
      <w:bookmarkStart w:id="1133" w:name="_Toc220491258"/>
      <w:r>
        <w:t>55.32.3b Portes intérieures, à accordéon, en acier, motorisées CCTB 01.02</w:t>
      </w:r>
      <w:bookmarkEnd w:id="1133"/>
    </w:p>
    <w:p w14:paraId="6A0C561F" w14:textId="77777777" w:rsidR="004B2808" w:rsidRDefault="00000000">
      <w:pPr>
        <w:pStyle w:val="Author-eSectionHeading5Numberless"/>
      </w:pPr>
      <w:bookmarkStart w:id="1134" w:name="_Toc220491259"/>
      <w:r>
        <w:t>55.32.4 Portes intérieures, à accordéon, en PVC / matière synthétique CCTB 01.10</w:t>
      </w:r>
      <w:bookmarkEnd w:id="1134"/>
    </w:p>
    <w:p w14:paraId="7650DA52" w14:textId="77777777" w:rsidR="004B2808" w:rsidRDefault="00000000">
      <w:pPr>
        <w:pStyle w:val="pheading"/>
      </w:pPr>
      <w:r>
        <w:t>DESCRIPTION</w:t>
      </w:r>
    </w:p>
    <w:p w14:paraId="16D46DAF" w14:textId="77777777" w:rsidR="004B2808" w:rsidRDefault="00000000">
      <w:pPr>
        <w:pStyle w:val="pheading"/>
      </w:pPr>
      <w:r>
        <w:t>- Définition / Comprend</w:t>
      </w:r>
    </w:p>
    <w:p w14:paraId="6E8089A5" w14:textId="77777777" w:rsidR="004B2808" w:rsidRDefault="00000000">
      <w:r>
        <w:t xml:space="preserve">Il s'agit de portes accordéon, constituées d'une ossature en métal repliable, revêtue de </w:t>
      </w:r>
      <w:r>
        <w:rPr>
          <w:rStyle w:val="optioncarChar"/>
        </w:rPr>
        <w:t>planchettes en PVC articulées / cuir synthétique souple et épais</w:t>
      </w:r>
      <w:r>
        <w:t xml:space="preserve"> (coloris à choisir dans la gamme standard du fabricant) et pourvues d'un mécanisme coulissant approprié. L'entrepreneur soumet au préalable à l'approbation de la direction, une documentation technique reprenant les caractéristiques.</w:t>
      </w:r>
    </w:p>
    <w:p w14:paraId="542D6C30" w14:textId="77777777" w:rsidR="004B2808" w:rsidRDefault="00000000">
      <w:pPr>
        <w:pStyle w:val="Author-eSectionHeading6Numberless"/>
      </w:pPr>
      <w:bookmarkStart w:id="1135" w:name="_Toc220491260"/>
      <w:r>
        <w:t>55.32.4a Portes intérieures, à accordéon, en PVC, manuelles CCTB 01.02</w:t>
      </w:r>
      <w:bookmarkEnd w:id="1135"/>
    </w:p>
    <w:p w14:paraId="6D9C40FB" w14:textId="77777777" w:rsidR="004B2808" w:rsidRDefault="00000000">
      <w:pPr>
        <w:pStyle w:val="Author-eSectionHeading6Numberless"/>
      </w:pPr>
      <w:bookmarkStart w:id="1136" w:name="_Toc220491261"/>
      <w:r>
        <w:t>55.32.4b Portes intérieures, à accordéon, en PVC, motorisées CCTB 01.02</w:t>
      </w:r>
      <w:bookmarkEnd w:id="1136"/>
    </w:p>
    <w:p w14:paraId="1E75CB55" w14:textId="77777777" w:rsidR="004B2808" w:rsidRDefault="00000000">
      <w:pPr>
        <w:pStyle w:val="Author-eSectionHeading6Numberless"/>
      </w:pPr>
      <w:bookmarkStart w:id="1137" w:name="_Toc220491262"/>
      <w:r>
        <w:t>55.32.4c Portes intérieures, à accordéon, en cuir synthétique souple et épais, manuelles CCTB 01.02</w:t>
      </w:r>
      <w:bookmarkEnd w:id="1137"/>
    </w:p>
    <w:p w14:paraId="28062FF5" w14:textId="77777777" w:rsidR="004B2808" w:rsidRDefault="00000000">
      <w:pPr>
        <w:pStyle w:val="Author-eSectionHeading6Numberless"/>
      </w:pPr>
      <w:bookmarkStart w:id="1138" w:name="_Toc220491263"/>
      <w:r>
        <w:t>55.32.4d Portes intérieures, à accordéon, en cuir synthétique souple et épais, motorisées CCTB 01.02</w:t>
      </w:r>
      <w:bookmarkEnd w:id="1138"/>
    </w:p>
    <w:p w14:paraId="106A86B3" w14:textId="77777777" w:rsidR="004B2808" w:rsidRDefault="00000000">
      <w:pPr>
        <w:pStyle w:val="Author-eSectionHeading5Numberless"/>
      </w:pPr>
      <w:bookmarkStart w:id="1139" w:name="_Toc220491264"/>
      <w:r>
        <w:t>55.32.5 Portes intérieures, à accordéon, en verre CCTB 01.02</w:t>
      </w:r>
      <w:bookmarkEnd w:id="1139"/>
    </w:p>
    <w:p w14:paraId="61BE3972" w14:textId="77777777" w:rsidR="004B2808" w:rsidRDefault="00000000">
      <w:pPr>
        <w:pStyle w:val="Author-eSectionHeading6Numberless"/>
      </w:pPr>
      <w:bookmarkStart w:id="1140" w:name="_Toc220491265"/>
      <w:r>
        <w:t>55.32.5a Portes intérieures, à accordéon, en verre CCTB 01.02</w:t>
      </w:r>
      <w:bookmarkEnd w:id="1140"/>
    </w:p>
    <w:p w14:paraId="59AEC200" w14:textId="77777777" w:rsidR="004B2808" w:rsidRDefault="00000000">
      <w:pPr>
        <w:pStyle w:val="Author-eSectionHeading4Numberless"/>
      </w:pPr>
      <w:bookmarkStart w:id="1141" w:name="_Toc220491266"/>
      <w:r>
        <w:t>55.33 Portes intérieures, coulissantes</w:t>
      </w:r>
      <w:bookmarkEnd w:id="1141"/>
    </w:p>
    <w:p w14:paraId="20554FF2" w14:textId="77777777" w:rsidR="004B2808" w:rsidRDefault="00000000">
      <w:pPr>
        <w:pStyle w:val="Author-eSectionHeading5Numberless"/>
      </w:pPr>
      <w:bookmarkStart w:id="1142" w:name="_Toc220491267"/>
      <w:r>
        <w:t>55.33.1 Portes intérieures, coulissantes, en bois CCTB 01.11</w:t>
      </w:r>
      <w:bookmarkEnd w:id="1142"/>
    </w:p>
    <w:p w14:paraId="03E8B782" w14:textId="77777777" w:rsidR="004B2808" w:rsidRDefault="00000000">
      <w:pPr>
        <w:pStyle w:val="pheading"/>
      </w:pPr>
      <w:r>
        <w:t>DESCRIPTION</w:t>
      </w:r>
    </w:p>
    <w:p w14:paraId="11D4995F" w14:textId="77777777" w:rsidR="004B2808" w:rsidRDefault="00000000">
      <w:pPr>
        <w:pStyle w:val="pheading"/>
      </w:pPr>
      <w:r>
        <w:t>- Définition / Comprend</w:t>
      </w:r>
    </w:p>
    <w:p w14:paraId="240C8C42" w14:textId="77777777" w:rsidR="004B2808" w:rsidRDefault="00000000">
      <w:pPr>
        <w:jc w:val="both"/>
      </w:pPr>
      <w:r>
        <w:t>Le travail comprend notamment :</w:t>
      </w:r>
    </w:p>
    <w:p w14:paraId="106D830A" w14:textId="77777777" w:rsidR="004B2808" w:rsidRDefault="00000000">
      <w:pPr>
        <w:pStyle w:val="Author-eListParagraph"/>
        <w:numPr>
          <w:ilvl w:val="0"/>
          <w:numId w:val="1095"/>
        </w:numPr>
        <w:jc w:val="both"/>
      </w:pPr>
      <w:r>
        <w:t>la prise de mesures ;</w:t>
      </w:r>
    </w:p>
    <w:p w14:paraId="5448DFE9" w14:textId="77777777" w:rsidR="004B2808" w:rsidRDefault="00000000">
      <w:pPr>
        <w:pStyle w:val="Author-eListParagraph"/>
        <w:numPr>
          <w:ilvl w:val="0"/>
          <w:numId w:val="1095"/>
        </w:numPr>
        <w:jc w:val="both"/>
      </w:pPr>
      <w:r>
        <w:t>l’établissement des plans d’exécution avec huisserie et galandage éventuel ;</w:t>
      </w:r>
    </w:p>
    <w:p w14:paraId="0AC2E037" w14:textId="77777777" w:rsidR="004B2808" w:rsidRDefault="00000000">
      <w:pPr>
        <w:pStyle w:val="Author-eListParagraph"/>
        <w:numPr>
          <w:ilvl w:val="0"/>
          <w:numId w:val="1095"/>
        </w:numPr>
        <w:jc w:val="both"/>
      </w:pPr>
      <w:r>
        <w:t xml:space="preserve">la fourniture et pose du mécanisme pour porte coulissante tel que décrit au </w:t>
      </w:r>
      <w:hyperlink w:anchor="1342" w:history="1">
        <w:r w:rsidR="004B2808">
          <w:rPr>
            <w:color w:val="0000EE"/>
          </w:rPr>
          <w:t>55.62.6 Mécanisme pour porte coulissante</w:t>
        </w:r>
      </w:hyperlink>
      <w:r>
        <w:t> ;</w:t>
      </w:r>
    </w:p>
    <w:p w14:paraId="7120470A" w14:textId="77777777" w:rsidR="004B2808" w:rsidRDefault="00000000">
      <w:pPr>
        <w:pStyle w:val="Author-eListParagraph"/>
        <w:numPr>
          <w:ilvl w:val="0"/>
          <w:numId w:val="1095"/>
        </w:numPr>
        <w:jc w:val="both"/>
      </w:pPr>
      <w:r>
        <w:t>la fourniture et pose des vantaux de portes et huisserie ;</w:t>
      </w:r>
    </w:p>
    <w:p w14:paraId="7E523926" w14:textId="77777777" w:rsidR="004B2808" w:rsidRDefault="00000000">
      <w:pPr>
        <w:pStyle w:val="Author-eListParagraph"/>
        <w:numPr>
          <w:ilvl w:val="0"/>
          <w:numId w:val="1095"/>
        </w:numPr>
        <w:jc w:val="both"/>
      </w:pPr>
      <w:r>
        <w:t>les ragréages et réparations de revêtement de murs si nécessaires ;</w:t>
      </w:r>
    </w:p>
    <w:p w14:paraId="33676403" w14:textId="77777777" w:rsidR="004B2808" w:rsidRDefault="00000000">
      <w:pPr>
        <w:pStyle w:val="Author-eListParagraph"/>
        <w:numPr>
          <w:ilvl w:val="0"/>
          <w:numId w:val="1095"/>
        </w:numPr>
        <w:jc w:val="both"/>
      </w:pPr>
      <w:r>
        <w:t>mesures de protection des sols, mobiliers, revêtements existants, …</w:t>
      </w:r>
    </w:p>
    <w:p w14:paraId="20748EA6" w14:textId="77777777" w:rsidR="004B2808" w:rsidRDefault="00000000">
      <w:pPr>
        <w:pStyle w:val="Author-eListParagraph"/>
        <w:numPr>
          <w:ilvl w:val="0"/>
          <w:numId w:val="1095"/>
        </w:numPr>
        <w:jc w:val="both"/>
      </w:pPr>
      <w:r>
        <w:t xml:space="preserve">l’habillage du mécanisme : </w:t>
      </w:r>
      <w:r>
        <w:rPr>
          <w:rStyle w:val="optioncarChar"/>
        </w:rPr>
        <w:t>non</w:t>
      </w:r>
      <w:r>
        <w:t xml:space="preserve"> (par défaut) </w:t>
      </w:r>
      <w:r>
        <w:rPr>
          <w:rStyle w:val="optioncarChar"/>
        </w:rPr>
        <w:t>/ oui</w:t>
      </w:r>
    </w:p>
    <w:p w14:paraId="32913BB0" w14:textId="77777777" w:rsidR="004B2808" w:rsidRDefault="00000000">
      <w:pPr>
        <w:pStyle w:val="Author-eListParagraph"/>
        <w:numPr>
          <w:ilvl w:val="0"/>
          <w:numId w:val="1095"/>
        </w:numPr>
        <w:jc w:val="both"/>
      </w:pPr>
      <w:r>
        <w:t xml:space="preserve">le raccordement à l’installation de détection incendie : </w:t>
      </w:r>
      <w:r>
        <w:rPr>
          <w:rStyle w:val="optioncarChar"/>
        </w:rPr>
        <w:t xml:space="preserve">non </w:t>
      </w:r>
      <w:r>
        <w:t>(par défaut)</w:t>
      </w:r>
      <w:r>
        <w:rPr>
          <w:rStyle w:val="optioncarChar"/>
        </w:rPr>
        <w:t xml:space="preserve"> / oui ;</w:t>
      </w:r>
    </w:p>
    <w:p w14:paraId="08ABB06C" w14:textId="77777777" w:rsidR="004B2808" w:rsidRDefault="00000000">
      <w:pPr>
        <w:pStyle w:val="Author-eListParagraph"/>
        <w:numPr>
          <w:ilvl w:val="0"/>
          <w:numId w:val="1095"/>
        </w:numPr>
        <w:jc w:val="both"/>
      </w:pPr>
      <w:r>
        <w:t>le galandage éventuel.</w:t>
      </w:r>
    </w:p>
    <w:p w14:paraId="3D9BDEC6" w14:textId="77777777" w:rsidR="004B2808" w:rsidRDefault="00000000">
      <w:pPr>
        <w:pStyle w:val="pheading"/>
      </w:pPr>
      <w:r>
        <w:t>EXÉCUTION / MISE EN ŒUVRE</w:t>
      </w:r>
    </w:p>
    <w:p w14:paraId="1FBE2CF8" w14:textId="77777777" w:rsidR="004B2808" w:rsidRDefault="00000000">
      <w:pPr>
        <w:jc w:val="both"/>
      </w:pPr>
      <w:r>
        <w:t xml:space="preserve">La mise en œuvre est exécutée conformément à la documentation technique accompagnant les produits, au </w:t>
      </w:r>
      <w:hyperlink w:anchor="1320" w:history="1">
        <w:r w:rsidR="004B2808">
          <w:rPr>
            <w:color w:val="0000EE"/>
          </w:rPr>
          <w:t>55.2 Portes intérieures</w:t>
        </w:r>
      </w:hyperlink>
      <w:r>
        <w:t xml:space="preserve"> et au </w:t>
      </w:r>
      <w:hyperlink w:anchor="1342" w:history="1">
        <w:r w:rsidR="004B2808">
          <w:rPr>
            <w:color w:val="0000EE"/>
          </w:rPr>
          <w:t>55.62.6 Mécanisme pour porte coulissante</w:t>
        </w:r>
      </w:hyperlink>
      <w:r>
        <w:t>.</w:t>
      </w:r>
    </w:p>
    <w:p w14:paraId="5DCFF42B" w14:textId="77777777" w:rsidR="004B2808" w:rsidRDefault="00000000">
      <w:pPr>
        <w:jc w:val="both"/>
      </w:pPr>
      <w:r>
        <w:t>L’entrepreneur présente les plans d’exécution pour approbation à la direction des travaux.</w:t>
      </w:r>
    </w:p>
    <w:p w14:paraId="0DD6F9CE" w14:textId="77777777" w:rsidR="004B2808" w:rsidRDefault="00000000">
      <w:pPr>
        <w:pStyle w:val="pheading"/>
      </w:pPr>
      <w:r>
        <w:lastRenderedPageBreak/>
        <w:t>DOCUMENTS DE RÉFÉRENCE</w:t>
      </w:r>
    </w:p>
    <w:p w14:paraId="0B3A01B2" w14:textId="77777777" w:rsidR="004B2808" w:rsidRDefault="00000000">
      <w:pPr>
        <w:pStyle w:val="pheading"/>
      </w:pPr>
      <w:r>
        <w:t>- Matériau</w:t>
      </w:r>
    </w:p>
    <w:p w14:paraId="4B5FC36F" w14:textId="77777777" w:rsidR="004B2808" w:rsidRDefault="00000000">
      <w:r>
        <w:t>[STS 53.1, Portes]</w:t>
      </w:r>
    </w:p>
    <w:p w14:paraId="33D954E3" w14:textId="77777777" w:rsidR="004B2808" w:rsidRDefault="00000000">
      <w:r>
        <w:t>[NIT 234, Le placement des portes résistant au feu (remplace la NIT 185).]</w:t>
      </w:r>
    </w:p>
    <w:p w14:paraId="339A60F5" w14:textId="77777777" w:rsidR="004B2808" w:rsidRDefault="00000000">
      <w:r>
        <w:t>[AR 1994-07-07, Arrêté royal fixant les normes de base en matière de prévention contre l'incendie et l'explosion, auxquelles les bâtiments nouveaux doivent satisfaire]</w:t>
      </w:r>
    </w:p>
    <w:p w14:paraId="44865E56" w14:textId="77777777" w:rsidR="004B2808" w:rsidRDefault="00000000">
      <w:r>
        <w:t>[NBN S 01-400-1, Critères acoustiques pour les immeubles d'habitation]</w:t>
      </w:r>
    </w:p>
    <w:p w14:paraId="71DDE015" w14:textId="77777777" w:rsidR="004B2808" w:rsidRDefault="00000000">
      <w:r>
        <w:t>[NBN EN 1529, Vantaux de portes - Hauteur, largeur, épaisseur et équerrage - Classes de tolérances]</w:t>
      </w:r>
    </w:p>
    <w:p w14:paraId="67EA7379" w14:textId="77777777" w:rsidR="004B2808" w:rsidRDefault="00000000">
      <w:r>
        <w:t>[NBN EN 1634-1 :2014+A1, Essais de résistance au feu et d'étanchéité aux fumées des portes, fermetures, fenêtres et éléments de quincailleries - Partie 1: Essais de résistance au feu des portes, fermetures et fenêtres]</w:t>
      </w:r>
    </w:p>
    <w:p w14:paraId="285CCDE3" w14:textId="77777777" w:rsidR="004B2808" w:rsidRDefault="00000000">
      <w:pPr>
        <w:pStyle w:val="Author-eSectionHeading6Numberless"/>
      </w:pPr>
      <w:bookmarkStart w:id="1143" w:name="_Toc220491268"/>
      <w:r>
        <w:t>55.33.1a Portes intérieures, coulissantes, en bois, apparentes CCTB 01.11</w:t>
      </w:r>
      <w:bookmarkEnd w:id="1143"/>
    </w:p>
    <w:p w14:paraId="0B534AA5" w14:textId="77777777" w:rsidR="004B2808" w:rsidRDefault="00000000">
      <w:pPr>
        <w:pStyle w:val="pheading"/>
      </w:pPr>
      <w:r>
        <w:t>DESCRIPTION</w:t>
      </w:r>
    </w:p>
    <w:p w14:paraId="156352DE" w14:textId="77777777" w:rsidR="004B2808" w:rsidRDefault="00000000">
      <w:pPr>
        <w:pStyle w:val="pheading"/>
      </w:pPr>
      <w:r>
        <w:t>- Définition / Comprend</w:t>
      </w:r>
    </w:p>
    <w:p w14:paraId="1E6EC799" w14:textId="77777777" w:rsidR="004B2808" w:rsidRDefault="00000000">
      <w:pPr>
        <w:jc w:val="both"/>
      </w:pPr>
      <w:r>
        <w:t>Il s’agit de la fourniture et la pose de portes intérieures, coulissantes, en bois, apparentes.</w:t>
      </w:r>
    </w:p>
    <w:p w14:paraId="1AEBEDDC" w14:textId="77777777" w:rsidR="004B2808" w:rsidRDefault="00000000">
      <w:pPr>
        <w:pStyle w:val="pheading"/>
      </w:pPr>
      <w:r>
        <w:t>MATÉRIAUX</w:t>
      </w:r>
    </w:p>
    <w:p w14:paraId="6810CA04" w14:textId="77777777" w:rsidR="004B2808" w:rsidRDefault="00000000">
      <w:pPr>
        <w:pStyle w:val="pheading"/>
      </w:pPr>
      <w:r>
        <w:t>- Caractéristiques générales</w:t>
      </w:r>
    </w:p>
    <w:p w14:paraId="6722E506" w14:textId="77777777" w:rsidR="004B2808" w:rsidRDefault="00000000">
      <w:pPr>
        <w:jc w:val="both"/>
      </w:pPr>
      <w:r>
        <w:t xml:space="preserve">Résistance au feu suivant [NBN EN 1634-1 :2014+A1] : </w:t>
      </w:r>
      <w:r>
        <w:rPr>
          <w:rStyle w:val="optioncarChar"/>
        </w:rPr>
        <w:t>EI</w:t>
      </w:r>
      <w:r>
        <w:rPr>
          <w:rStyle w:val="optioncarChar"/>
          <w:vertAlign w:val="subscript"/>
        </w:rPr>
        <w:t>1</w:t>
      </w:r>
      <w:r>
        <w:rPr>
          <w:rStyle w:val="optioncarChar"/>
        </w:rPr>
        <w:t xml:space="preserve"> 00 </w:t>
      </w:r>
      <w:r>
        <w:t>(par défaut)</w:t>
      </w:r>
      <w:r>
        <w:rPr>
          <w:rStyle w:val="optioncarChar"/>
        </w:rPr>
        <w:t xml:space="preserve"> / EI</w:t>
      </w:r>
      <w:r>
        <w:rPr>
          <w:rStyle w:val="optioncarChar"/>
          <w:vertAlign w:val="subscript"/>
        </w:rPr>
        <w:t>1</w:t>
      </w:r>
      <w:r>
        <w:rPr>
          <w:rStyle w:val="optioncarChar"/>
        </w:rPr>
        <w:t xml:space="preserve"> 30 / EI</w:t>
      </w:r>
      <w:r>
        <w:rPr>
          <w:rStyle w:val="optioncarChar"/>
          <w:vertAlign w:val="subscript"/>
        </w:rPr>
        <w:t>1</w:t>
      </w:r>
      <w:r>
        <w:rPr>
          <w:rStyle w:val="optioncarChar"/>
        </w:rPr>
        <w:t xml:space="preserve"> 60 / ***</w:t>
      </w:r>
    </w:p>
    <w:p w14:paraId="40B914C3" w14:textId="77777777" w:rsidR="004B2808" w:rsidRDefault="00000000">
      <w:pPr>
        <w:jc w:val="both"/>
      </w:pPr>
      <w:r>
        <w:t>L’ensemble de porte, système coulissant, huisserie et quincaillerie satisfont à la résistance au feu prescrite, selon la [NBN EN 13501-1].  Leur résistance au feu est attestée par une déclaration d'aptitude conformément au chapitre 02.42.1 Critères d'acceptabilité </w:t>
      </w:r>
    </w:p>
    <w:p w14:paraId="175E40CD" w14:textId="77777777" w:rsidR="004B2808" w:rsidRDefault="00000000">
      <w:pPr>
        <w:jc w:val="both"/>
      </w:pPr>
      <w:r>
        <w:t>Performance acoustique R</w:t>
      </w:r>
      <w:r>
        <w:rPr>
          <w:vertAlign w:val="subscript"/>
        </w:rPr>
        <w:t>w</w:t>
      </w:r>
      <w:r>
        <w:t xml:space="preserve"> : </w:t>
      </w:r>
      <w:r>
        <w:rPr>
          <w:rStyle w:val="optioncarChar"/>
        </w:rPr>
        <w:t xml:space="preserve">20 </w:t>
      </w:r>
      <w:r>
        <w:t>(par défaut)</w:t>
      </w:r>
      <w:r>
        <w:rPr>
          <w:rStyle w:val="optioncarChar"/>
        </w:rPr>
        <w:t xml:space="preserve"> / 32 / 43 / ***</w:t>
      </w:r>
      <w:r>
        <w:t xml:space="preserve"> dB</w:t>
      </w:r>
    </w:p>
    <w:p w14:paraId="15E8C8A6" w14:textId="77777777" w:rsidR="004B2808" w:rsidRDefault="00000000">
      <w:pPr>
        <w:jc w:val="both"/>
      </w:pPr>
      <w:r>
        <w:t xml:space="preserve">Porte : </w:t>
      </w:r>
      <w:r>
        <w:rPr>
          <w:rStyle w:val="optioncarChar"/>
        </w:rPr>
        <w:t>simple / double</w:t>
      </w:r>
    </w:p>
    <w:p w14:paraId="1E66496B" w14:textId="77777777" w:rsidR="004B2808" w:rsidRDefault="00000000">
      <w:pPr>
        <w:pStyle w:val="Author-eListParagraph"/>
        <w:numPr>
          <w:ilvl w:val="0"/>
          <w:numId w:val="1096"/>
        </w:numPr>
      </w:pPr>
      <w:r>
        <w:t xml:space="preserve">Vantail de porte tel que décrit au </w:t>
      </w:r>
      <w:hyperlink w:anchor="1318" w:history="1">
        <w:r w:rsidR="004B2808">
          <w:rPr>
            <w:color w:val="0000EE"/>
          </w:rPr>
          <w:t>55.21 Portes intérieures en bois</w:t>
        </w:r>
      </w:hyperlink>
      <w:r>
        <w:t xml:space="preserve"> : </w:t>
      </w:r>
      <w:r>
        <w:rPr>
          <w:rStyle w:val="optioncarChar"/>
        </w:rPr>
        <w:t>âme alvéolaire / âme tubulaire / âme pleine</w:t>
      </w:r>
    </w:p>
    <w:p w14:paraId="551B61CA" w14:textId="77777777" w:rsidR="004B2808" w:rsidRDefault="00000000">
      <w:pPr>
        <w:pStyle w:val="Author-eListParagraph"/>
        <w:numPr>
          <w:ilvl w:val="0"/>
          <w:numId w:val="1096"/>
        </w:numPr>
      </w:pPr>
      <w:r>
        <w:t xml:space="preserve">Dimensions : </w:t>
      </w:r>
      <w:r>
        <w:rPr>
          <w:rStyle w:val="optioncarChar"/>
        </w:rPr>
        <w:t xml:space="preserve">suivant plans </w:t>
      </w:r>
      <w:r>
        <w:t xml:space="preserve">(par défaut) </w:t>
      </w:r>
      <w:r>
        <w:rPr>
          <w:rStyle w:val="optioncarChar"/>
        </w:rPr>
        <w:t>/ ***</w:t>
      </w:r>
    </w:p>
    <w:p w14:paraId="16836D02" w14:textId="77777777" w:rsidR="004B2808" w:rsidRDefault="00000000">
      <w:pPr>
        <w:pStyle w:val="Author-eListParagraph"/>
        <w:numPr>
          <w:ilvl w:val="0"/>
          <w:numId w:val="1096"/>
        </w:numPr>
      </w:pPr>
      <w:r>
        <w:t xml:space="preserve">Dimensions - classe de tolérance : </w:t>
      </w:r>
      <w:r>
        <w:rPr>
          <w:rStyle w:val="optioncarChar"/>
        </w:rPr>
        <w:t>D1</w:t>
      </w:r>
      <w:r>
        <w:t xml:space="preserve"> (par défaut)</w:t>
      </w:r>
      <w:r>
        <w:rPr>
          <w:rStyle w:val="optioncarChar"/>
        </w:rPr>
        <w:t xml:space="preserve"> / D2 / D3</w:t>
      </w:r>
    </w:p>
    <w:p w14:paraId="4AF9AB69" w14:textId="77777777" w:rsidR="004B2808" w:rsidRDefault="00000000">
      <w:pPr>
        <w:pStyle w:val="Author-eListParagraph"/>
        <w:numPr>
          <w:ilvl w:val="0"/>
          <w:numId w:val="1096"/>
        </w:numPr>
      </w:pPr>
      <w:r>
        <w:t xml:space="preserve">Planéité - classe de tolérance : </w:t>
      </w:r>
      <w:r>
        <w:rPr>
          <w:rStyle w:val="optioncarChar"/>
        </w:rPr>
        <w:t>V1 /</w:t>
      </w:r>
      <w:r>
        <w:t> </w:t>
      </w:r>
      <w:r>
        <w:rPr>
          <w:rStyle w:val="optioncarChar"/>
        </w:rPr>
        <w:t>V2</w:t>
      </w:r>
      <w:r>
        <w:t xml:space="preserve"> (par défaut)</w:t>
      </w:r>
      <w:r>
        <w:rPr>
          <w:rStyle w:val="optioncarChar"/>
        </w:rPr>
        <w:t xml:space="preserve"> / V3</w:t>
      </w:r>
    </w:p>
    <w:p w14:paraId="6731B222" w14:textId="77777777" w:rsidR="004B2808" w:rsidRDefault="00000000">
      <w:pPr>
        <w:pStyle w:val="Author-eListParagraph"/>
        <w:numPr>
          <w:ilvl w:val="0"/>
          <w:numId w:val="1096"/>
        </w:numPr>
      </w:pPr>
      <w:r>
        <w:t xml:space="preserve">Classe de résistance mécanique : </w:t>
      </w:r>
      <w:r>
        <w:rPr>
          <w:rStyle w:val="optioncarChar"/>
        </w:rPr>
        <w:t xml:space="preserve">M1 </w:t>
      </w:r>
      <w:r>
        <w:t>(par défaut)</w:t>
      </w:r>
      <w:r>
        <w:rPr>
          <w:rStyle w:val="optioncarChar"/>
        </w:rPr>
        <w:t xml:space="preserve"> / M2 / M3 / M4</w:t>
      </w:r>
    </w:p>
    <w:p w14:paraId="788BBE21" w14:textId="77777777" w:rsidR="004B2808" w:rsidRDefault="00000000">
      <w:pPr>
        <w:jc w:val="both"/>
      </w:pPr>
      <w:r>
        <w:t xml:space="preserve">Mécanisme tel que décrit au </w:t>
      </w:r>
      <w:hyperlink w:anchor="1342" w:history="1">
        <w:r w:rsidR="004B2808">
          <w:rPr>
            <w:color w:val="0000EE"/>
          </w:rPr>
          <w:t>55.62.6 Mécanisme pour porte coulissante</w:t>
        </w:r>
      </w:hyperlink>
    </w:p>
    <w:p w14:paraId="2409FAE4" w14:textId="77777777" w:rsidR="004B2808" w:rsidRDefault="00000000">
      <w:pPr>
        <w:pStyle w:val="Author-eListParagraph"/>
        <w:numPr>
          <w:ilvl w:val="0"/>
          <w:numId w:val="1097"/>
        </w:numPr>
      </w:pPr>
      <w:r>
        <w:t xml:space="preserve">Force de manipulation : </w:t>
      </w:r>
      <w:r>
        <w:rPr>
          <w:rStyle w:val="optioncarChar"/>
        </w:rPr>
        <w:t>F1 / F2</w:t>
      </w:r>
      <w:r>
        <w:t xml:space="preserve"> (par défaut) </w:t>
      </w:r>
      <w:r>
        <w:rPr>
          <w:rStyle w:val="optioncarChar"/>
        </w:rPr>
        <w:t>/ F3 / F4</w:t>
      </w:r>
    </w:p>
    <w:p w14:paraId="2DEABCE5" w14:textId="77777777" w:rsidR="004B2808" w:rsidRDefault="00000000">
      <w:pPr>
        <w:pStyle w:val="Author-eListParagraph"/>
        <w:numPr>
          <w:ilvl w:val="0"/>
          <w:numId w:val="1097"/>
        </w:numPr>
      </w:pPr>
      <w:r>
        <w:t xml:space="preserve">Fréquence d’utilisation : </w:t>
      </w:r>
      <w:r>
        <w:rPr>
          <w:rStyle w:val="optioncarChar"/>
        </w:rPr>
        <w:t xml:space="preserve"> f1 / f2 / f3 / f4 </w:t>
      </w:r>
      <w:r>
        <w:t>(par défaut)</w:t>
      </w:r>
      <w:r>
        <w:rPr>
          <w:rStyle w:val="optioncarChar"/>
        </w:rPr>
        <w:t xml:space="preserve"> / ***</w:t>
      </w:r>
    </w:p>
    <w:p w14:paraId="215D5C49" w14:textId="77777777" w:rsidR="004B2808" w:rsidRDefault="00000000">
      <w:pPr>
        <w:pStyle w:val="Author-eListParagraph"/>
        <w:numPr>
          <w:ilvl w:val="0"/>
          <w:numId w:val="1097"/>
        </w:numPr>
      </w:pPr>
      <w:r>
        <w:t xml:space="preserve">Dispositif de fermeture freinée : </w:t>
      </w:r>
      <w:r>
        <w:rPr>
          <w:rStyle w:val="optioncarChar"/>
        </w:rPr>
        <w:t>oui / non</w:t>
      </w:r>
    </w:p>
    <w:p w14:paraId="15AA0DC0" w14:textId="77777777" w:rsidR="004B2808" w:rsidRDefault="00000000">
      <w:pPr>
        <w:jc w:val="both"/>
      </w:pPr>
      <w:r>
        <w:t>Fonctionnement :</w:t>
      </w:r>
      <w:r>
        <w:rPr>
          <w:rStyle w:val="optioncarChar"/>
        </w:rPr>
        <w:t xml:space="preserve"> manuel </w:t>
      </w:r>
      <w:r>
        <w:t>(par défaut)</w:t>
      </w:r>
      <w:r>
        <w:rPr>
          <w:rStyle w:val="optioncarChar"/>
        </w:rPr>
        <w:t xml:space="preserve"> / sur rétenteur raccordé à la détection incendie / motorisé</w:t>
      </w:r>
    </w:p>
    <w:p w14:paraId="37DE3F30" w14:textId="77777777" w:rsidR="004B2808" w:rsidRDefault="00000000">
      <w:pPr>
        <w:jc w:val="both"/>
      </w:pPr>
      <w:r>
        <w:rPr>
          <w:b/>
        </w:rPr>
        <w:t>(soit par défaut)</w:t>
      </w:r>
    </w:p>
    <w:p w14:paraId="642AF65E" w14:textId="77777777" w:rsidR="004B2808" w:rsidRDefault="00000000">
      <w:pPr>
        <w:jc w:val="both"/>
      </w:pPr>
      <w:r>
        <w:rPr>
          <w:rStyle w:val="soitChar"/>
          <w:u w:val="single"/>
        </w:rPr>
        <w:t>Manuel</w:t>
      </w:r>
    </w:p>
    <w:p w14:paraId="5F3A5D7F" w14:textId="77777777" w:rsidR="004B2808" w:rsidRDefault="00000000">
      <w:pPr>
        <w:jc w:val="both"/>
      </w:pPr>
      <w:r>
        <w:rPr>
          <w:b/>
        </w:rPr>
        <w:t>(soit)</w:t>
      </w:r>
    </w:p>
    <w:p w14:paraId="5D21B9CF" w14:textId="77777777" w:rsidR="004B2808" w:rsidRDefault="00000000">
      <w:pPr>
        <w:jc w:val="both"/>
      </w:pPr>
      <w:r>
        <w:rPr>
          <w:rStyle w:val="soitChar"/>
          <w:u w:val="single"/>
        </w:rPr>
        <w:t>Sur rétenteur raccordé à la détection incendie :</w:t>
      </w:r>
    </w:p>
    <w:p w14:paraId="71E230E2" w14:textId="77777777" w:rsidR="004B2808" w:rsidRDefault="00000000">
      <w:pPr>
        <w:pStyle w:val="Author-eListParagraph"/>
        <w:numPr>
          <w:ilvl w:val="0"/>
          <w:numId w:val="1098"/>
        </w:numPr>
      </w:pPr>
      <w:r>
        <w:rPr>
          <w:rStyle w:val="soitChar"/>
        </w:rPr>
        <w:t>Rétenteur magnétique</w:t>
      </w:r>
    </w:p>
    <w:p w14:paraId="0D7A4385" w14:textId="77777777" w:rsidR="004B2808" w:rsidRDefault="00000000">
      <w:pPr>
        <w:pStyle w:val="Author-eListParagraph"/>
        <w:numPr>
          <w:ilvl w:val="0"/>
          <w:numId w:val="1098"/>
        </w:numPr>
      </w:pPr>
      <w:r>
        <w:rPr>
          <w:rStyle w:val="soitChar"/>
        </w:rPr>
        <w:t>Raccordé à l’installation de détection incendie telle que décrite au 72.25.1 Systèmes de détection incendie</w:t>
      </w:r>
    </w:p>
    <w:p w14:paraId="267CEAB5" w14:textId="77777777" w:rsidR="004B2808" w:rsidRDefault="00000000">
      <w:pPr>
        <w:jc w:val="both"/>
      </w:pPr>
      <w:r>
        <w:rPr>
          <w:b/>
        </w:rPr>
        <w:t>(soit)</w:t>
      </w:r>
    </w:p>
    <w:p w14:paraId="2144EDBC" w14:textId="77777777" w:rsidR="004B2808" w:rsidRDefault="00000000">
      <w:pPr>
        <w:jc w:val="both"/>
      </w:pPr>
      <w:r>
        <w:rPr>
          <w:rStyle w:val="soitChar"/>
          <w:u w:val="single"/>
        </w:rPr>
        <w:lastRenderedPageBreak/>
        <w:t>Motorisé :</w:t>
      </w:r>
    </w:p>
    <w:p w14:paraId="6C60FFD0" w14:textId="77777777" w:rsidR="004B2808" w:rsidRDefault="00000000">
      <w:pPr>
        <w:pStyle w:val="Author-eListParagraph"/>
        <w:numPr>
          <w:ilvl w:val="0"/>
          <w:numId w:val="1099"/>
        </w:numPr>
      </w:pPr>
      <w:r>
        <w:rPr>
          <w:rStyle w:val="soitChar"/>
        </w:rPr>
        <w:t xml:space="preserve">Raccordé à l’Installation de détection incendie telle que décrite au 72.25.1 Systèmes de détection incendie : </w:t>
      </w:r>
      <w:r>
        <w:rPr>
          <w:rStyle w:val="optioncarChar"/>
        </w:rPr>
        <w:t>oui / non</w:t>
      </w:r>
    </w:p>
    <w:p w14:paraId="6042C971" w14:textId="77777777" w:rsidR="004B2808" w:rsidRDefault="00000000">
      <w:pPr>
        <w:pStyle w:val="Author-eListParagraph"/>
        <w:numPr>
          <w:ilvl w:val="0"/>
          <w:numId w:val="1099"/>
        </w:numPr>
      </w:pPr>
      <w:r>
        <w:rPr>
          <w:rStyle w:val="soitChar"/>
        </w:rPr>
        <w:t xml:space="preserve">Commande : </w:t>
      </w:r>
      <w:r>
        <w:rPr>
          <w:rStyle w:val="optioncarChar"/>
        </w:rPr>
        <w:t>radar</w:t>
      </w:r>
      <w:r>
        <w:t xml:space="preserve"> (par défaut)</w:t>
      </w:r>
      <w:r>
        <w:rPr>
          <w:rStyle w:val="optioncarChar"/>
        </w:rPr>
        <w:t xml:space="preserve"> / contrôle d’accès tel que décrit au 72.26 Contrôles d'accès - équipements / ***</w:t>
      </w:r>
    </w:p>
    <w:p w14:paraId="7D36F00E" w14:textId="77777777" w:rsidR="004B2808" w:rsidRDefault="00000000">
      <w:pPr>
        <w:pStyle w:val="Author-eListParagraph"/>
        <w:numPr>
          <w:ilvl w:val="0"/>
          <w:numId w:val="1099"/>
        </w:numPr>
      </w:pPr>
      <w:r>
        <w:rPr>
          <w:rStyle w:val="soitChar"/>
        </w:rPr>
        <w:t xml:space="preserve">Radar détecteur de mouvement : </w:t>
      </w:r>
      <w:r>
        <w:rPr>
          <w:rStyle w:val="optioncarChar"/>
        </w:rPr>
        <w:t xml:space="preserve">0 / 1 / 2 </w:t>
      </w:r>
      <w:r>
        <w:rPr>
          <w:rStyle w:val="soitChar"/>
        </w:rPr>
        <w:t>face(s)</w:t>
      </w:r>
    </w:p>
    <w:p w14:paraId="3FA43A87" w14:textId="77777777" w:rsidR="004B2808" w:rsidRDefault="004B2808"/>
    <w:p w14:paraId="1A66272F" w14:textId="77777777" w:rsidR="004B2808" w:rsidRDefault="00000000">
      <w:pPr>
        <w:jc w:val="both"/>
      </w:pPr>
      <w:r>
        <w:t xml:space="preserve">Habillage du mécanisme : </w:t>
      </w:r>
      <w:r>
        <w:rPr>
          <w:rStyle w:val="optioncarChar"/>
        </w:rPr>
        <w:t xml:space="preserve">non </w:t>
      </w:r>
      <w:r>
        <w:t>(par défaut)</w:t>
      </w:r>
      <w:r>
        <w:rPr>
          <w:rStyle w:val="optioncarChar"/>
        </w:rPr>
        <w:t xml:space="preserve"> / MDF peint / MDF avec placage / ***</w:t>
      </w:r>
    </w:p>
    <w:p w14:paraId="5BF9FD41" w14:textId="77777777" w:rsidR="004B2808" w:rsidRDefault="00000000">
      <w:pPr>
        <w:jc w:val="both"/>
      </w:pPr>
      <w:r>
        <w:rPr>
          <w:b/>
        </w:rPr>
        <w:t>(soit par défaut)</w:t>
      </w:r>
    </w:p>
    <w:p w14:paraId="207595E2" w14:textId="77777777" w:rsidR="004B2808" w:rsidRDefault="00000000">
      <w:pPr>
        <w:jc w:val="both"/>
      </w:pPr>
      <w:r>
        <w:rPr>
          <w:rStyle w:val="soitChar"/>
          <w:u w:val="single"/>
        </w:rPr>
        <w:t>Non :</w:t>
      </w:r>
      <w:r>
        <w:rPr>
          <w:rStyle w:val="soitChar"/>
        </w:rPr>
        <w:t xml:space="preserve"> pas d'application</w:t>
      </w:r>
    </w:p>
    <w:p w14:paraId="5A03CED3" w14:textId="77777777" w:rsidR="004B2808" w:rsidRDefault="00000000">
      <w:pPr>
        <w:jc w:val="both"/>
      </w:pPr>
      <w:r>
        <w:rPr>
          <w:b/>
        </w:rPr>
        <w:t>(soit)</w:t>
      </w:r>
    </w:p>
    <w:p w14:paraId="5F2258AE" w14:textId="77777777" w:rsidR="004B2808" w:rsidRDefault="00000000">
      <w:pPr>
        <w:jc w:val="both"/>
      </w:pPr>
      <w:r>
        <w:rPr>
          <w:rStyle w:val="soitChar"/>
          <w:u w:val="single"/>
        </w:rPr>
        <w:t>MDF peint :</w:t>
      </w:r>
    </w:p>
    <w:p w14:paraId="43B0F7DB" w14:textId="77777777" w:rsidR="004B2808" w:rsidRDefault="00000000">
      <w:pPr>
        <w:pStyle w:val="Author-eListParagraph"/>
        <w:numPr>
          <w:ilvl w:val="0"/>
          <w:numId w:val="1100"/>
        </w:numPr>
      </w:pPr>
      <w:r>
        <w:rPr>
          <w:rStyle w:val="soitChar"/>
        </w:rPr>
        <w:t xml:space="preserve">Épaisseur : </w:t>
      </w:r>
      <w:r>
        <w:rPr>
          <w:rStyle w:val="optioncarChar"/>
        </w:rPr>
        <w:t>18</w:t>
      </w:r>
      <w:r>
        <w:t xml:space="preserve"> (par défaut)</w:t>
      </w:r>
      <w:r>
        <w:rPr>
          <w:rStyle w:val="optioncarChar"/>
        </w:rPr>
        <w:t xml:space="preserve"> / 20 / ***</w:t>
      </w:r>
      <w:r>
        <w:rPr>
          <w:rStyle w:val="soitChar"/>
        </w:rPr>
        <w:t xml:space="preserve"> mm</w:t>
      </w:r>
    </w:p>
    <w:p w14:paraId="772174EE" w14:textId="77777777" w:rsidR="004B2808" w:rsidRDefault="00000000">
      <w:pPr>
        <w:pStyle w:val="Author-eListParagraph"/>
        <w:numPr>
          <w:ilvl w:val="0"/>
          <w:numId w:val="1100"/>
        </w:numPr>
      </w:pPr>
      <w:r>
        <w:rPr>
          <w:rStyle w:val="soitChar"/>
        </w:rPr>
        <w:t>Peinture tel que décrit au 81.2 Peintures intérieures sur subjectiles en bois et dérivés du bois (feuillus, résineux, bois exotiques, panneaux)</w:t>
      </w:r>
    </w:p>
    <w:p w14:paraId="598FCFA3" w14:textId="77777777" w:rsidR="004B2808" w:rsidRDefault="00000000">
      <w:pPr>
        <w:jc w:val="both"/>
      </w:pPr>
      <w:r>
        <w:rPr>
          <w:b/>
        </w:rPr>
        <w:t>(soit)</w:t>
      </w:r>
    </w:p>
    <w:p w14:paraId="7D1D7FBF" w14:textId="77777777" w:rsidR="004B2808" w:rsidRDefault="00000000">
      <w:pPr>
        <w:jc w:val="both"/>
      </w:pPr>
      <w:r>
        <w:rPr>
          <w:rStyle w:val="soitChar"/>
          <w:u w:val="single"/>
        </w:rPr>
        <w:t>MDF avec placage :</w:t>
      </w:r>
    </w:p>
    <w:p w14:paraId="6FBAB2ED" w14:textId="77777777" w:rsidR="004B2808" w:rsidRDefault="00000000">
      <w:pPr>
        <w:pStyle w:val="Author-eListParagraph"/>
        <w:numPr>
          <w:ilvl w:val="0"/>
          <w:numId w:val="1101"/>
        </w:numPr>
      </w:pPr>
      <w:r>
        <w:rPr>
          <w:rStyle w:val="soitChar"/>
        </w:rPr>
        <w:t xml:space="preserve">Épaisseur du panneau de MDF : </w:t>
      </w:r>
      <w:r>
        <w:rPr>
          <w:rStyle w:val="optioncarChar"/>
        </w:rPr>
        <w:t xml:space="preserve">18 </w:t>
      </w:r>
      <w:r>
        <w:t>(par défaut)</w:t>
      </w:r>
      <w:r>
        <w:rPr>
          <w:rStyle w:val="optioncarChar"/>
        </w:rPr>
        <w:t xml:space="preserve"> / 20 / ***</w:t>
      </w:r>
      <w:r>
        <w:rPr>
          <w:rStyle w:val="soitChar"/>
        </w:rPr>
        <w:t xml:space="preserve"> mm</w:t>
      </w:r>
    </w:p>
    <w:p w14:paraId="686F27B4" w14:textId="77777777" w:rsidR="004B2808" w:rsidRDefault="00000000">
      <w:pPr>
        <w:pStyle w:val="Author-eListParagraph"/>
        <w:numPr>
          <w:ilvl w:val="0"/>
          <w:numId w:val="1101"/>
        </w:numPr>
      </w:pPr>
      <w:r>
        <w:rPr>
          <w:rStyle w:val="soitChar"/>
        </w:rPr>
        <w:t xml:space="preserve">Essence : </w:t>
      </w:r>
      <w:r>
        <w:rPr>
          <w:rStyle w:val="optioncarChar"/>
        </w:rPr>
        <w:t>hêtre</w:t>
      </w:r>
      <w:r>
        <w:t> (par défaut)</w:t>
      </w:r>
      <w:r>
        <w:rPr>
          <w:rStyle w:val="optioncarChar"/>
        </w:rPr>
        <w:t xml:space="preserve"> / chêne / ***</w:t>
      </w:r>
    </w:p>
    <w:p w14:paraId="0B531D1B" w14:textId="77777777" w:rsidR="004B2808" w:rsidRDefault="00000000">
      <w:pPr>
        <w:pStyle w:val="Author-eListParagraph"/>
        <w:numPr>
          <w:ilvl w:val="0"/>
          <w:numId w:val="1101"/>
        </w:numPr>
      </w:pPr>
      <w:r>
        <w:rPr>
          <w:rStyle w:val="soitChar"/>
        </w:rPr>
        <w:t xml:space="preserve">Vernis : </w:t>
      </w:r>
      <w:r>
        <w:rPr>
          <w:rStyle w:val="optioncarChar"/>
        </w:rPr>
        <w:t>mat</w:t>
      </w:r>
      <w:r>
        <w:t xml:space="preserve"> (par défaut) </w:t>
      </w:r>
      <w:r>
        <w:rPr>
          <w:rStyle w:val="optioncarChar"/>
        </w:rPr>
        <w:t>/ satiné / ***</w:t>
      </w:r>
      <w:r>
        <w:br/>
      </w:r>
    </w:p>
    <w:p w14:paraId="0E9039D4" w14:textId="77777777" w:rsidR="004B2808" w:rsidRDefault="00000000">
      <w:r>
        <w:rPr>
          <w:b/>
        </w:rPr>
        <w:t>(soit)</w:t>
      </w:r>
      <w:r>
        <w:br/>
      </w:r>
      <w:r>
        <w:rPr>
          <w:rStyle w:val="optioncarChar"/>
        </w:rPr>
        <w:t>***</w:t>
      </w:r>
    </w:p>
    <w:p w14:paraId="4E072327" w14:textId="77777777" w:rsidR="004B2808" w:rsidRDefault="00000000">
      <w:pPr>
        <w:jc w:val="both"/>
      </w:pPr>
      <w:r>
        <w:t>Quincaillerie :</w:t>
      </w:r>
    </w:p>
    <w:p w14:paraId="02DC5E4C" w14:textId="77777777" w:rsidR="004B2808" w:rsidRDefault="00000000">
      <w:pPr>
        <w:pStyle w:val="Author-eListParagraph"/>
        <w:numPr>
          <w:ilvl w:val="0"/>
          <w:numId w:val="1102"/>
        </w:numPr>
        <w:jc w:val="both"/>
      </w:pPr>
      <w:r>
        <w:t>Poignée intégrée :</w:t>
      </w:r>
      <w:r>
        <w:rPr>
          <w:rStyle w:val="optioncarChar"/>
        </w:rPr>
        <w:t xml:space="preserve"> inox satiné</w:t>
      </w:r>
      <w:r>
        <w:t xml:space="preserve"> (par défaut)</w:t>
      </w:r>
      <w:r>
        <w:rPr>
          <w:rStyle w:val="optioncarChar"/>
        </w:rPr>
        <w:t xml:space="preserve"> / chromé / laiton / noir / blanc / ***</w:t>
      </w:r>
    </w:p>
    <w:p w14:paraId="5B1A35E4" w14:textId="77777777" w:rsidR="004B2808" w:rsidRDefault="00000000">
      <w:pPr>
        <w:pStyle w:val="Author-eListParagraph"/>
        <w:numPr>
          <w:ilvl w:val="0"/>
          <w:numId w:val="1102"/>
        </w:numPr>
        <w:jc w:val="both"/>
      </w:pPr>
      <w:r>
        <w:t xml:space="preserve">Serrure : </w:t>
      </w:r>
      <w:r>
        <w:rPr>
          <w:rStyle w:val="optioncarChar"/>
        </w:rPr>
        <w:t>sans / à clef / à condamnation</w:t>
      </w:r>
    </w:p>
    <w:p w14:paraId="17925316" w14:textId="77777777" w:rsidR="004B2808" w:rsidRDefault="00000000">
      <w:pPr>
        <w:pStyle w:val="Author-eListParagraph"/>
        <w:numPr>
          <w:ilvl w:val="0"/>
          <w:numId w:val="1102"/>
        </w:numPr>
        <w:jc w:val="both"/>
      </w:pPr>
      <w:r>
        <w:t xml:space="preserve">Plinthe automatique à fonction acoustique : </w:t>
      </w:r>
      <w:r>
        <w:rPr>
          <w:rStyle w:val="optioncarChar"/>
        </w:rPr>
        <w:t>non / oui</w:t>
      </w:r>
    </w:p>
    <w:p w14:paraId="638A22A5" w14:textId="77777777" w:rsidR="004B2808" w:rsidRDefault="00000000">
      <w:pPr>
        <w:pStyle w:val="pheading"/>
      </w:pPr>
      <w:r>
        <w:t>- Finitions</w:t>
      </w:r>
    </w:p>
    <w:p w14:paraId="456001DC" w14:textId="77777777" w:rsidR="004B2808" w:rsidRDefault="00000000">
      <w:pPr>
        <w:jc w:val="both"/>
      </w:pPr>
      <w:r>
        <w:t xml:space="preserve">Finition du vantail : </w:t>
      </w:r>
      <w:r>
        <w:rPr>
          <w:rStyle w:val="optioncarChar"/>
        </w:rPr>
        <w:t>peinture / stratifié / placage</w:t>
      </w:r>
    </w:p>
    <w:p w14:paraId="0F3440AC" w14:textId="77777777" w:rsidR="004B2808" w:rsidRDefault="00000000">
      <w:pPr>
        <w:jc w:val="both"/>
      </w:pPr>
      <w:r>
        <w:rPr>
          <w:b/>
        </w:rPr>
        <w:t>(soit)</w:t>
      </w:r>
    </w:p>
    <w:p w14:paraId="62A1C19A" w14:textId="77777777" w:rsidR="004B2808" w:rsidRDefault="00000000">
      <w:pPr>
        <w:jc w:val="both"/>
      </w:pPr>
      <w:r>
        <w:rPr>
          <w:rStyle w:val="soitChar"/>
          <w:u w:val="single"/>
        </w:rPr>
        <w:t>Peinture</w:t>
      </w:r>
      <w:r>
        <w:rPr>
          <w:rStyle w:val="soitChar"/>
        </w:rPr>
        <w:t xml:space="preserve"> tel que décrit au 81.2 Peintures intérieures sur subjectiles en bois et dérivés du bois (feuillus, résineux, bois exotiques, panneaux)</w:t>
      </w:r>
    </w:p>
    <w:p w14:paraId="728D16D8" w14:textId="77777777" w:rsidR="004B2808" w:rsidRDefault="00000000">
      <w:pPr>
        <w:jc w:val="both"/>
      </w:pPr>
      <w:r>
        <w:rPr>
          <w:b/>
        </w:rPr>
        <w:t>(soit)</w:t>
      </w:r>
    </w:p>
    <w:p w14:paraId="29B25DDF" w14:textId="77777777" w:rsidR="004B2808" w:rsidRDefault="00000000">
      <w:pPr>
        <w:jc w:val="both"/>
      </w:pPr>
      <w:r>
        <w:rPr>
          <w:rStyle w:val="soitChar"/>
          <w:u w:val="single"/>
        </w:rPr>
        <w:t>Stratifié :</w:t>
      </w:r>
    </w:p>
    <w:p w14:paraId="3AC8022A" w14:textId="77777777" w:rsidR="004B2808" w:rsidRDefault="00000000">
      <w:pPr>
        <w:pStyle w:val="Author-eListParagraph"/>
        <w:numPr>
          <w:ilvl w:val="0"/>
          <w:numId w:val="1103"/>
        </w:numPr>
      </w:pPr>
      <w:r>
        <w:rPr>
          <w:rStyle w:val="soitChar"/>
        </w:rPr>
        <w:t xml:space="preserve">Aspect : </w:t>
      </w:r>
      <w:r>
        <w:rPr>
          <w:rStyle w:val="optioncarChar"/>
        </w:rPr>
        <w:t xml:space="preserve">uni </w:t>
      </w:r>
      <w:r>
        <w:t>(par défaut)</w:t>
      </w:r>
      <w:r>
        <w:rPr>
          <w:rStyle w:val="optioncarChar"/>
        </w:rPr>
        <w:t xml:space="preserve"> / structuré / bois / ***</w:t>
      </w:r>
    </w:p>
    <w:p w14:paraId="2607CA0B" w14:textId="77777777" w:rsidR="004B2808" w:rsidRDefault="00000000">
      <w:pPr>
        <w:pStyle w:val="Author-eListParagraph"/>
        <w:numPr>
          <w:ilvl w:val="0"/>
          <w:numId w:val="1103"/>
        </w:numPr>
      </w:pPr>
      <w:r>
        <w:rPr>
          <w:rStyle w:val="soitChar"/>
        </w:rPr>
        <w:t xml:space="preserve">Teinte : </w:t>
      </w:r>
      <w:r>
        <w:rPr>
          <w:rStyle w:val="optioncarChar"/>
        </w:rPr>
        <w:t>au choix de la direction de chantier dans la gamme du fabricant</w:t>
      </w:r>
      <w:r>
        <w:t xml:space="preserve"> (par défaut)</w:t>
      </w:r>
      <w:r>
        <w:rPr>
          <w:rStyle w:val="optioncarChar"/>
        </w:rPr>
        <w:t xml:space="preserve"> / ***</w:t>
      </w:r>
    </w:p>
    <w:p w14:paraId="13DED819" w14:textId="77777777" w:rsidR="004B2808" w:rsidRDefault="00000000">
      <w:pPr>
        <w:jc w:val="both"/>
      </w:pPr>
      <w:r>
        <w:rPr>
          <w:b/>
        </w:rPr>
        <w:t>(soit)</w:t>
      </w:r>
    </w:p>
    <w:p w14:paraId="6714F139" w14:textId="77777777" w:rsidR="004B2808" w:rsidRDefault="00000000">
      <w:pPr>
        <w:jc w:val="both"/>
      </w:pPr>
      <w:r>
        <w:rPr>
          <w:rStyle w:val="soitChar"/>
          <w:u w:val="single"/>
        </w:rPr>
        <w:t>Placage vernis :</w:t>
      </w:r>
    </w:p>
    <w:p w14:paraId="2977161D" w14:textId="77777777" w:rsidR="004B2808" w:rsidRDefault="00000000">
      <w:pPr>
        <w:pStyle w:val="Author-eListParagraph"/>
        <w:numPr>
          <w:ilvl w:val="0"/>
          <w:numId w:val="1104"/>
        </w:numPr>
        <w:jc w:val="both"/>
      </w:pPr>
      <w:r>
        <w:rPr>
          <w:rStyle w:val="soitChar"/>
        </w:rPr>
        <w:t xml:space="preserve">Essence : </w:t>
      </w:r>
      <w:r>
        <w:rPr>
          <w:rStyle w:val="optioncarChar"/>
        </w:rPr>
        <w:t>hêtre </w:t>
      </w:r>
      <w:r>
        <w:t>(par défaut)</w:t>
      </w:r>
      <w:r>
        <w:rPr>
          <w:rStyle w:val="optioncarChar"/>
        </w:rPr>
        <w:t xml:space="preserve"> / chêne / ***</w:t>
      </w:r>
    </w:p>
    <w:p w14:paraId="58981A6B" w14:textId="77777777" w:rsidR="004B2808" w:rsidRDefault="00000000">
      <w:pPr>
        <w:pStyle w:val="Author-eListParagraph"/>
        <w:numPr>
          <w:ilvl w:val="0"/>
          <w:numId w:val="1104"/>
        </w:numPr>
        <w:jc w:val="both"/>
      </w:pPr>
      <w:r>
        <w:rPr>
          <w:rStyle w:val="soitChar"/>
        </w:rPr>
        <w:t xml:space="preserve">Vernis : </w:t>
      </w:r>
      <w:r>
        <w:rPr>
          <w:rStyle w:val="optioncarChar"/>
        </w:rPr>
        <w:t xml:space="preserve">mat </w:t>
      </w:r>
      <w:r>
        <w:t>(par défaut)</w:t>
      </w:r>
      <w:r>
        <w:rPr>
          <w:rStyle w:val="optioncarChar"/>
        </w:rPr>
        <w:t xml:space="preserve"> / satiné / ***</w:t>
      </w:r>
    </w:p>
    <w:p w14:paraId="5E3A6A70" w14:textId="77777777" w:rsidR="004B2808" w:rsidRDefault="00000000">
      <w:pPr>
        <w:pStyle w:val="pheading"/>
      </w:pPr>
      <w:r>
        <w:t>MESURAGE</w:t>
      </w:r>
    </w:p>
    <w:p w14:paraId="0212364A" w14:textId="77777777" w:rsidR="004B2808" w:rsidRDefault="00000000">
      <w:pPr>
        <w:pStyle w:val="pheading"/>
      </w:pPr>
      <w:r>
        <w:t>- unité de mesure:</w:t>
      </w:r>
    </w:p>
    <w:p w14:paraId="0FB96211" w14:textId="77777777" w:rsidR="004B2808" w:rsidRDefault="00000000">
      <w:r>
        <w:t>pc</w:t>
      </w:r>
    </w:p>
    <w:p w14:paraId="55F3EDF5" w14:textId="77777777" w:rsidR="004B2808" w:rsidRDefault="00000000">
      <w:pPr>
        <w:pStyle w:val="pheading"/>
      </w:pPr>
      <w:r>
        <w:lastRenderedPageBreak/>
        <w:t>- code de mesurage:</w:t>
      </w:r>
    </w:p>
    <w:p w14:paraId="09FCC14D" w14:textId="77777777" w:rsidR="004B2808" w:rsidRDefault="00000000">
      <w:pPr>
        <w:jc w:val="both"/>
      </w:pPr>
      <w:r>
        <w:t>Quantité nette : ensemble tout compris, distinction faite du type et des dimensions des portes</w:t>
      </w:r>
    </w:p>
    <w:p w14:paraId="40904CA9" w14:textId="77777777" w:rsidR="004B2808" w:rsidRDefault="00000000">
      <w:pPr>
        <w:pStyle w:val="pheading"/>
      </w:pPr>
      <w:r>
        <w:t>- nature du marché:</w:t>
      </w:r>
    </w:p>
    <w:p w14:paraId="7AD9D73E" w14:textId="77777777" w:rsidR="004B2808" w:rsidRDefault="00000000">
      <w:r>
        <w:t>QF</w:t>
      </w:r>
    </w:p>
    <w:p w14:paraId="12235C4A" w14:textId="77777777" w:rsidR="004B2808" w:rsidRDefault="00000000">
      <w:pPr>
        <w:pStyle w:val="Author-eSectionHeading6Numberless"/>
      </w:pPr>
      <w:bookmarkStart w:id="1144" w:name="_Toc220491269"/>
      <w:r>
        <w:t>55.33.1b Portes intérieures, coulissantes, en bois, à galandage CCTB 01.11</w:t>
      </w:r>
      <w:bookmarkEnd w:id="1144"/>
    </w:p>
    <w:p w14:paraId="7198329C" w14:textId="77777777" w:rsidR="004B2808" w:rsidRDefault="00000000">
      <w:pPr>
        <w:pStyle w:val="pheading"/>
      </w:pPr>
      <w:r>
        <w:t>DESCRIPTION</w:t>
      </w:r>
    </w:p>
    <w:p w14:paraId="76DA7F8F" w14:textId="77777777" w:rsidR="004B2808" w:rsidRDefault="00000000">
      <w:pPr>
        <w:pStyle w:val="pheading"/>
      </w:pPr>
      <w:r>
        <w:t>- Définition / Comprend</w:t>
      </w:r>
    </w:p>
    <w:p w14:paraId="375C7893" w14:textId="77777777" w:rsidR="004B2808" w:rsidRDefault="00000000">
      <w:pPr>
        <w:jc w:val="both"/>
      </w:pPr>
      <w:r>
        <w:t>Il s’agit de la fourniture et la pose de portes intérieures, coulissantes, en bois, à galandage.</w:t>
      </w:r>
    </w:p>
    <w:p w14:paraId="718A8155" w14:textId="77777777" w:rsidR="004B2808" w:rsidRDefault="00000000">
      <w:pPr>
        <w:pStyle w:val="pheading"/>
      </w:pPr>
      <w:r>
        <w:t>MATÉRIAUX</w:t>
      </w:r>
    </w:p>
    <w:p w14:paraId="6990833A" w14:textId="77777777" w:rsidR="004B2808" w:rsidRDefault="00000000">
      <w:pPr>
        <w:pStyle w:val="pheading"/>
      </w:pPr>
      <w:r>
        <w:t>- Caractéristiques générales</w:t>
      </w:r>
    </w:p>
    <w:p w14:paraId="680730E5" w14:textId="77777777" w:rsidR="004B2808" w:rsidRDefault="00000000">
      <w:pPr>
        <w:jc w:val="both"/>
      </w:pPr>
      <w:r>
        <w:t xml:space="preserve">Résistance au feu suivant [NBN EN 1634-1 :2014+A1] : </w:t>
      </w:r>
      <w:r>
        <w:rPr>
          <w:rStyle w:val="optioncarChar"/>
        </w:rPr>
        <w:t>EI</w:t>
      </w:r>
      <w:r>
        <w:rPr>
          <w:rStyle w:val="optioncarChar"/>
          <w:vertAlign w:val="subscript"/>
        </w:rPr>
        <w:t>1</w:t>
      </w:r>
      <w:r>
        <w:rPr>
          <w:rStyle w:val="optioncarChar"/>
        </w:rPr>
        <w:t xml:space="preserve"> 00 (</w:t>
      </w:r>
      <w:r>
        <w:t>par défaut)</w:t>
      </w:r>
      <w:r>
        <w:rPr>
          <w:rStyle w:val="optioncarChar"/>
        </w:rPr>
        <w:t xml:space="preserve"> / EI</w:t>
      </w:r>
      <w:r>
        <w:rPr>
          <w:rStyle w:val="optioncarChar"/>
          <w:vertAlign w:val="subscript"/>
        </w:rPr>
        <w:t>1</w:t>
      </w:r>
      <w:r>
        <w:rPr>
          <w:rStyle w:val="optioncarChar"/>
        </w:rPr>
        <w:t xml:space="preserve"> 30 / ***</w:t>
      </w:r>
    </w:p>
    <w:p w14:paraId="76EB9F73" w14:textId="77777777" w:rsidR="004B2808" w:rsidRDefault="00000000">
      <w:pPr>
        <w:jc w:val="both"/>
      </w:pPr>
      <w:r>
        <w:t>L’ensemble de porte, système coulissant, huisserie, galandage et quincaillerie satisfont à la résistance au feu prescrite, selon la [NBN EN 13501-1].  Leur résistance au feu est attestée par une déclaration d'aptitude conformément au chapitre 02.42.1 Critères d'acceptabilité. </w:t>
      </w:r>
    </w:p>
    <w:p w14:paraId="4850EBF3" w14:textId="77777777" w:rsidR="004B2808" w:rsidRDefault="00000000">
      <w:pPr>
        <w:jc w:val="both"/>
      </w:pPr>
      <w:r>
        <w:t>Performance acoustique R</w:t>
      </w:r>
      <w:r>
        <w:rPr>
          <w:vertAlign w:val="subscript"/>
        </w:rPr>
        <w:t>w</w:t>
      </w:r>
      <w:r>
        <w:t xml:space="preserve"> : </w:t>
      </w:r>
      <w:r>
        <w:rPr>
          <w:rStyle w:val="optioncarChar"/>
        </w:rPr>
        <w:t xml:space="preserve">20 </w:t>
      </w:r>
      <w:r>
        <w:t>(par défaut)</w:t>
      </w:r>
      <w:r>
        <w:rPr>
          <w:rStyle w:val="optioncarChar"/>
        </w:rPr>
        <w:t xml:space="preserve"> / 32 / 43 / ***</w:t>
      </w:r>
      <w:r>
        <w:t xml:space="preserve"> dB</w:t>
      </w:r>
    </w:p>
    <w:p w14:paraId="637895C7" w14:textId="77777777" w:rsidR="004B2808" w:rsidRDefault="00000000">
      <w:pPr>
        <w:jc w:val="both"/>
      </w:pPr>
      <w:r>
        <w:t>Galandage composé de :</w:t>
      </w:r>
    </w:p>
    <w:p w14:paraId="2416DE98" w14:textId="77777777" w:rsidR="004B2808" w:rsidRDefault="00000000">
      <w:pPr>
        <w:pStyle w:val="Author-eListParagraph"/>
        <w:numPr>
          <w:ilvl w:val="0"/>
          <w:numId w:val="1105"/>
        </w:numPr>
      </w:pPr>
      <w:r>
        <w:t xml:space="preserve">Ossature : </w:t>
      </w:r>
      <w:r>
        <w:rPr>
          <w:rStyle w:val="optioncarChar"/>
        </w:rPr>
        <w:t xml:space="preserve">50 </w:t>
      </w:r>
      <w:r>
        <w:t>(par défaut)</w:t>
      </w:r>
      <w:r>
        <w:rPr>
          <w:rStyle w:val="optioncarChar"/>
        </w:rPr>
        <w:t xml:space="preserve"> / 75 / ***</w:t>
      </w:r>
      <w:r>
        <w:t xml:space="preserve"> mm</w:t>
      </w:r>
    </w:p>
    <w:p w14:paraId="1C6624E5" w14:textId="77777777" w:rsidR="004B2808" w:rsidRDefault="00000000">
      <w:pPr>
        <w:pStyle w:val="Author-eListParagraph"/>
        <w:numPr>
          <w:ilvl w:val="0"/>
          <w:numId w:val="1105"/>
        </w:numPr>
      </w:pPr>
      <w:r>
        <w:t xml:space="preserve">Plaques de plâtre par face : </w:t>
      </w:r>
      <w:r>
        <w:rPr>
          <w:rStyle w:val="optioncarChar"/>
        </w:rPr>
        <w:t>1 / 2</w:t>
      </w:r>
    </w:p>
    <w:p w14:paraId="15A21719" w14:textId="77777777" w:rsidR="004B2808" w:rsidRDefault="00000000">
      <w:pPr>
        <w:pStyle w:val="Author-eListParagraph"/>
        <w:numPr>
          <w:ilvl w:val="0"/>
          <w:numId w:val="1105"/>
        </w:numPr>
      </w:pPr>
      <w:r>
        <w:t xml:space="preserve">Type de plaque : </w:t>
      </w:r>
      <w:r>
        <w:rPr>
          <w:rStyle w:val="optioncarChar"/>
        </w:rPr>
        <w:t>A</w:t>
      </w:r>
      <w:r>
        <w:t xml:space="preserve"> (par défaut) </w:t>
      </w:r>
      <w:r>
        <w:rPr>
          <w:rStyle w:val="optioncarChar"/>
        </w:rPr>
        <w:t>/ H / F</w:t>
      </w:r>
    </w:p>
    <w:p w14:paraId="065CCC83" w14:textId="77777777" w:rsidR="004B2808" w:rsidRDefault="00000000">
      <w:pPr>
        <w:pStyle w:val="Author-eListParagraph"/>
        <w:numPr>
          <w:ilvl w:val="0"/>
          <w:numId w:val="1105"/>
        </w:numPr>
      </w:pPr>
      <w:r>
        <w:t xml:space="preserve">Épaisseur des plaques : </w:t>
      </w:r>
      <w:r>
        <w:rPr>
          <w:rStyle w:val="optioncarChar"/>
        </w:rPr>
        <w:t xml:space="preserve">9 </w:t>
      </w:r>
      <w:r>
        <w:t>(par défaut)</w:t>
      </w:r>
      <w:r>
        <w:rPr>
          <w:rStyle w:val="optioncarChar"/>
        </w:rPr>
        <w:t xml:space="preserve"> / 12,5 / *** </w:t>
      </w:r>
      <w:r>
        <w:t>mm</w:t>
      </w:r>
    </w:p>
    <w:p w14:paraId="311E7A6F" w14:textId="77777777" w:rsidR="004B2808" w:rsidRDefault="00000000">
      <w:pPr>
        <w:jc w:val="both"/>
      </w:pPr>
      <w:r>
        <w:t xml:space="preserve">Porte : </w:t>
      </w:r>
      <w:r>
        <w:rPr>
          <w:rStyle w:val="optioncarChar"/>
        </w:rPr>
        <w:t>simple / double</w:t>
      </w:r>
    </w:p>
    <w:p w14:paraId="794BBAAE" w14:textId="77777777" w:rsidR="004B2808" w:rsidRDefault="00000000">
      <w:pPr>
        <w:pStyle w:val="Author-eListParagraph"/>
        <w:numPr>
          <w:ilvl w:val="0"/>
          <w:numId w:val="1106"/>
        </w:numPr>
      </w:pPr>
      <w:r>
        <w:t xml:space="preserve">Vantail de porte suivant </w:t>
      </w:r>
      <w:hyperlink w:anchor="1318" w:history="1">
        <w:r w:rsidR="004B2808">
          <w:rPr>
            <w:color w:val="0000EE"/>
          </w:rPr>
          <w:t>55.21 Portes intérieures en bois</w:t>
        </w:r>
      </w:hyperlink>
      <w:r>
        <w:t xml:space="preserve"> : </w:t>
      </w:r>
      <w:r>
        <w:rPr>
          <w:rStyle w:val="optioncarChar"/>
        </w:rPr>
        <w:t>âme alvéolaire / âme tubulaire / âme pleine</w:t>
      </w:r>
    </w:p>
    <w:p w14:paraId="6945948D" w14:textId="77777777" w:rsidR="004B2808" w:rsidRDefault="00000000">
      <w:pPr>
        <w:pStyle w:val="Author-eListParagraph"/>
        <w:numPr>
          <w:ilvl w:val="0"/>
          <w:numId w:val="1106"/>
        </w:numPr>
      </w:pPr>
      <w:r>
        <w:t xml:space="preserve">Dimensions : </w:t>
      </w:r>
      <w:r>
        <w:rPr>
          <w:rStyle w:val="optioncarChar"/>
        </w:rPr>
        <w:t>suivant plans</w:t>
      </w:r>
      <w:r>
        <w:t xml:space="preserve"> (par défaut)</w:t>
      </w:r>
      <w:r>
        <w:rPr>
          <w:rStyle w:val="optioncarChar"/>
        </w:rPr>
        <w:t xml:space="preserve"> / ***</w:t>
      </w:r>
    </w:p>
    <w:p w14:paraId="2D60E26E" w14:textId="77777777" w:rsidR="004B2808" w:rsidRDefault="00000000">
      <w:pPr>
        <w:pStyle w:val="Author-eListParagraph"/>
        <w:numPr>
          <w:ilvl w:val="0"/>
          <w:numId w:val="1106"/>
        </w:numPr>
      </w:pPr>
      <w:r>
        <w:t xml:space="preserve">Dimensions - classe de tolérance : </w:t>
      </w:r>
      <w:r>
        <w:rPr>
          <w:rStyle w:val="optioncarChar"/>
        </w:rPr>
        <w:t xml:space="preserve">D1 </w:t>
      </w:r>
      <w:r>
        <w:t xml:space="preserve">(par défaut) </w:t>
      </w:r>
      <w:r>
        <w:rPr>
          <w:rStyle w:val="optioncarChar"/>
        </w:rPr>
        <w:t>/ D2 / D3</w:t>
      </w:r>
    </w:p>
    <w:p w14:paraId="78DB5D70" w14:textId="77777777" w:rsidR="004B2808" w:rsidRDefault="00000000">
      <w:pPr>
        <w:pStyle w:val="Author-eListParagraph"/>
        <w:numPr>
          <w:ilvl w:val="0"/>
          <w:numId w:val="1106"/>
        </w:numPr>
      </w:pPr>
      <w:r>
        <w:t xml:space="preserve">Planéité - classe de tolérance : </w:t>
      </w:r>
      <w:r>
        <w:rPr>
          <w:rStyle w:val="optioncarChar"/>
        </w:rPr>
        <w:t>V1 / V2</w:t>
      </w:r>
      <w:r>
        <w:t xml:space="preserve"> (par défaut)</w:t>
      </w:r>
      <w:r>
        <w:rPr>
          <w:rStyle w:val="optioncarChar"/>
        </w:rPr>
        <w:t xml:space="preserve"> / V3</w:t>
      </w:r>
    </w:p>
    <w:p w14:paraId="129C9CD5" w14:textId="77777777" w:rsidR="004B2808" w:rsidRDefault="00000000">
      <w:pPr>
        <w:pStyle w:val="Author-eListParagraph"/>
        <w:numPr>
          <w:ilvl w:val="0"/>
          <w:numId w:val="1106"/>
        </w:numPr>
      </w:pPr>
      <w:r>
        <w:t xml:space="preserve">Classe de résistance mécanique : </w:t>
      </w:r>
      <w:r>
        <w:rPr>
          <w:rStyle w:val="optioncarChar"/>
        </w:rPr>
        <w:t>M1</w:t>
      </w:r>
      <w:r>
        <w:t xml:space="preserve"> (par défaut)</w:t>
      </w:r>
      <w:r>
        <w:rPr>
          <w:rStyle w:val="optioncarChar"/>
        </w:rPr>
        <w:t xml:space="preserve"> / M2 / M3 / M4</w:t>
      </w:r>
    </w:p>
    <w:p w14:paraId="1D3956B2" w14:textId="77777777" w:rsidR="004B2808" w:rsidRDefault="00000000">
      <w:pPr>
        <w:jc w:val="both"/>
      </w:pPr>
      <w:r>
        <w:t xml:space="preserve">Mécanisme suivant </w:t>
      </w:r>
      <w:hyperlink w:anchor="1342" w:history="1">
        <w:r w:rsidR="004B2808">
          <w:rPr>
            <w:color w:val="0000EE"/>
          </w:rPr>
          <w:t>55.62.6 Mécanisme pour porte coulissante</w:t>
        </w:r>
      </w:hyperlink>
    </w:p>
    <w:p w14:paraId="3BBFB0CC" w14:textId="77777777" w:rsidR="004B2808" w:rsidRDefault="00000000">
      <w:pPr>
        <w:pStyle w:val="Author-eListParagraph"/>
        <w:numPr>
          <w:ilvl w:val="0"/>
          <w:numId w:val="1107"/>
        </w:numPr>
      </w:pPr>
      <w:r>
        <w:t xml:space="preserve">Force de manipulation : </w:t>
      </w:r>
      <w:r>
        <w:rPr>
          <w:rStyle w:val="optioncarChar"/>
        </w:rPr>
        <w:t>F1 / F2</w:t>
      </w:r>
      <w:r>
        <w:t xml:space="preserve"> (par défaut)</w:t>
      </w:r>
      <w:r>
        <w:rPr>
          <w:rStyle w:val="optioncarChar"/>
        </w:rPr>
        <w:t xml:space="preserve"> / F3 / F4</w:t>
      </w:r>
    </w:p>
    <w:p w14:paraId="43EE5C8C" w14:textId="77777777" w:rsidR="004B2808" w:rsidRDefault="00000000">
      <w:pPr>
        <w:pStyle w:val="Author-eListParagraph"/>
        <w:numPr>
          <w:ilvl w:val="0"/>
          <w:numId w:val="1107"/>
        </w:numPr>
      </w:pPr>
      <w:r>
        <w:t xml:space="preserve">Fréquence d’utilisation : </w:t>
      </w:r>
      <w:r>
        <w:rPr>
          <w:rStyle w:val="optioncarChar"/>
        </w:rPr>
        <w:t>f1 / f2 / f3 / f4</w:t>
      </w:r>
      <w:r>
        <w:t xml:space="preserve"> (par défaut)</w:t>
      </w:r>
      <w:r>
        <w:rPr>
          <w:rStyle w:val="optioncarChar"/>
        </w:rPr>
        <w:t xml:space="preserve"> / ***</w:t>
      </w:r>
    </w:p>
    <w:p w14:paraId="2A6149EB" w14:textId="77777777" w:rsidR="004B2808" w:rsidRDefault="00000000">
      <w:pPr>
        <w:pStyle w:val="Author-eListParagraph"/>
        <w:numPr>
          <w:ilvl w:val="0"/>
          <w:numId w:val="1107"/>
        </w:numPr>
      </w:pPr>
      <w:r>
        <w:t xml:space="preserve">Dispositif de fermeture freinée : </w:t>
      </w:r>
      <w:r>
        <w:rPr>
          <w:rStyle w:val="optioncarChar"/>
        </w:rPr>
        <w:t>oui / non</w:t>
      </w:r>
    </w:p>
    <w:p w14:paraId="715D74CA" w14:textId="77777777" w:rsidR="004B2808" w:rsidRDefault="00000000">
      <w:pPr>
        <w:jc w:val="both"/>
      </w:pPr>
      <w:r>
        <w:t xml:space="preserve">Fonctionnement : </w:t>
      </w:r>
      <w:r>
        <w:rPr>
          <w:rStyle w:val="optioncarChar"/>
        </w:rPr>
        <w:t>manuel (</w:t>
      </w:r>
      <w:r>
        <w:t xml:space="preserve">par défaut) </w:t>
      </w:r>
      <w:r>
        <w:rPr>
          <w:rStyle w:val="optioncarChar"/>
        </w:rPr>
        <w:t>/ sur rétenteur raccordé à la détection incendie / motorisé</w:t>
      </w:r>
    </w:p>
    <w:p w14:paraId="295660F8" w14:textId="77777777" w:rsidR="004B2808" w:rsidRDefault="00000000">
      <w:pPr>
        <w:jc w:val="both"/>
      </w:pPr>
      <w:r>
        <w:rPr>
          <w:b/>
        </w:rPr>
        <w:t>(soit par défaut)</w:t>
      </w:r>
    </w:p>
    <w:p w14:paraId="71D2E009" w14:textId="77777777" w:rsidR="004B2808" w:rsidRDefault="00000000">
      <w:pPr>
        <w:jc w:val="both"/>
      </w:pPr>
      <w:r>
        <w:rPr>
          <w:rStyle w:val="soitChar"/>
          <w:u w:val="single"/>
        </w:rPr>
        <w:t>Manuel</w:t>
      </w:r>
    </w:p>
    <w:p w14:paraId="41E9A039" w14:textId="77777777" w:rsidR="004B2808" w:rsidRDefault="00000000">
      <w:pPr>
        <w:jc w:val="both"/>
      </w:pPr>
      <w:r>
        <w:rPr>
          <w:b/>
        </w:rPr>
        <w:t>(soit)</w:t>
      </w:r>
    </w:p>
    <w:p w14:paraId="3AB4745D" w14:textId="77777777" w:rsidR="004B2808" w:rsidRDefault="00000000">
      <w:pPr>
        <w:jc w:val="both"/>
      </w:pPr>
      <w:r>
        <w:rPr>
          <w:rStyle w:val="soitChar"/>
          <w:u w:val="single"/>
        </w:rPr>
        <w:t>Sur rétenteur raccordé à la détection incendie :</w:t>
      </w:r>
    </w:p>
    <w:p w14:paraId="37E0DC77" w14:textId="77777777" w:rsidR="004B2808" w:rsidRDefault="00000000">
      <w:pPr>
        <w:pStyle w:val="Author-eListParagraph"/>
        <w:numPr>
          <w:ilvl w:val="0"/>
          <w:numId w:val="1108"/>
        </w:numPr>
      </w:pPr>
      <w:r>
        <w:rPr>
          <w:rStyle w:val="soitChar"/>
        </w:rPr>
        <w:t>Rétenteur magnétique</w:t>
      </w:r>
    </w:p>
    <w:p w14:paraId="4876A26A" w14:textId="77777777" w:rsidR="004B2808" w:rsidRDefault="00000000">
      <w:pPr>
        <w:pStyle w:val="Author-eListParagraph"/>
        <w:numPr>
          <w:ilvl w:val="0"/>
          <w:numId w:val="1108"/>
        </w:numPr>
      </w:pPr>
      <w:r>
        <w:rPr>
          <w:rStyle w:val="soitChar"/>
        </w:rPr>
        <w:t>Raccordé à l’installation de détection incendie telle que décrite au 72.25.1 Systèmes de détection incendie</w:t>
      </w:r>
    </w:p>
    <w:p w14:paraId="0A41868A" w14:textId="77777777" w:rsidR="004B2808" w:rsidRDefault="00000000">
      <w:pPr>
        <w:jc w:val="both"/>
      </w:pPr>
      <w:r>
        <w:rPr>
          <w:b/>
        </w:rPr>
        <w:t>(soit)</w:t>
      </w:r>
    </w:p>
    <w:p w14:paraId="0ED3214C" w14:textId="77777777" w:rsidR="004B2808" w:rsidRDefault="00000000">
      <w:pPr>
        <w:jc w:val="both"/>
      </w:pPr>
      <w:r>
        <w:rPr>
          <w:rStyle w:val="soitChar"/>
          <w:u w:val="single"/>
        </w:rPr>
        <w:t>Motorisé :</w:t>
      </w:r>
    </w:p>
    <w:p w14:paraId="54B106D2" w14:textId="77777777" w:rsidR="004B2808" w:rsidRDefault="00000000">
      <w:pPr>
        <w:pStyle w:val="Author-eListParagraph"/>
        <w:numPr>
          <w:ilvl w:val="0"/>
          <w:numId w:val="1109"/>
        </w:numPr>
      </w:pPr>
      <w:r>
        <w:rPr>
          <w:rStyle w:val="soitChar"/>
        </w:rPr>
        <w:t xml:space="preserve">Raccordé à l’Installation de détection incendie telle que décrite au 72.25.1 Systèmes de détection incendie : </w:t>
      </w:r>
      <w:r>
        <w:rPr>
          <w:rStyle w:val="optioncarChar"/>
        </w:rPr>
        <w:t>oui / non</w:t>
      </w:r>
    </w:p>
    <w:p w14:paraId="265F988E" w14:textId="77777777" w:rsidR="004B2808" w:rsidRDefault="00000000">
      <w:pPr>
        <w:pStyle w:val="Author-eListParagraph"/>
        <w:numPr>
          <w:ilvl w:val="0"/>
          <w:numId w:val="1109"/>
        </w:numPr>
      </w:pPr>
      <w:r>
        <w:rPr>
          <w:rStyle w:val="soitChar"/>
        </w:rPr>
        <w:lastRenderedPageBreak/>
        <w:t xml:space="preserve">Commande : </w:t>
      </w:r>
      <w:r>
        <w:rPr>
          <w:rStyle w:val="optioncarChar"/>
        </w:rPr>
        <w:t xml:space="preserve">radar </w:t>
      </w:r>
      <w:r>
        <w:t>(par défaut)</w:t>
      </w:r>
      <w:r>
        <w:rPr>
          <w:rStyle w:val="optioncarChar"/>
        </w:rPr>
        <w:t xml:space="preserve"> / contrôle d’accès tel que décrit au 72.26 Contrôles d'accès - équipements / ***</w:t>
      </w:r>
    </w:p>
    <w:p w14:paraId="3C6C5980" w14:textId="77777777" w:rsidR="004B2808" w:rsidRDefault="00000000">
      <w:pPr>
        <w:pStyle w:val="Author-eListParagraph"/>
        <w:numPr>
          <w:ilvl w:val="0"/>
          <w:numId w:val="1109"/>
        </w:numPr>
      </w:pPr>
      <w:r>
        <w:rPr>
          <w:rStyle w:val="soitChar"/>
        </w:rPr>
        <w:t xml:space="preserve">Radar détecteur de mouvement : </w:t>
      </w:r>
      <w:r>
        <w:rPr>
          <w:rStyle w:val="optioncarChar"/>
        </w:rPr>
        <w:t>0 / 1 / 2</w:t>
      </w:r>
      <w:r>
        <w:t>  </w:t>
      </w:r>
      <w:r>
        <w:rPr>
          <w:rStyle w:val="soitChar"/>
        </w:rPr>
        <w:t>face(s)</w:t>
      </w:r>
    </w:p>
    <w:p w14:paraId="23B25C24" w14:textId="77777777" w:rsidR="004B2808" w:rsidRDefault="00000000">
      <w:pPr>
        <w:jc w:val="both"/>
      </w:pPr>
      <w:r>
        <w:t> </w:t>
      </w:r>
    </w:p>
    <w:p w14:paraId="0C85A65A" w14:textId="77777777" w:rsidR="004B2808" w:rsidRDefault="00000000">
      <w:pPr>
        <w:jc w:val="both"/>
      </w:pPr>
      <w:r>
        <w:t>Quincaillerie</w:t>
      </w:r>
    </w:p>
    <w:p w14:paraId="7E4B72EE" w14:textId="77777777" w:rsidR="004B2808" w:rsidRDefault="00000000">
      <w:pPr>
        <w:pStyle w:val="Author-eListParagraph"/>
        <w:numPr>
          <w:ilvl w:val="0"/>
          <w:numId w:val="1110"/>
        </w:numPr>
        <w:jc w:val="both"/>
      </w:pPr>
      <w:r>
        <w:t>Poignée intégrée :</w:t>
      </w:r>
      <w:r>
        <w:rPr>
          <w:rStyle w:val="optioncarChar"/>
        </w:rPr>
        <w:t xml:space="preserve"> inox satiné </w:t>
      </w:r>
      <w:r>
        <w:t>(par défaut)</w:t>
      </w:r>
      <w:r>
        <w:rPr>
          <w:rStyle w:val="optioncarChar"/>
        </w:rPr>
        <w:t xml:space="preserve"> / chromé / laiton / noir / blanc / ***</w:t>
      </w:r>
    </w:p>
    <w:p w14:paraId="2F85030E" w14:textId="77777777" w:rsidR="004B2808" w:rsidRDefault="00000000">
      <w:pPr>
        <w:pStyle w:val="Author-eListParagraph"/>
        <w:numPr>
          <w:ilvl w:val="0"/>
          <w:numId w:val="1110"/>
        </w:numPr>
        <w:jc w:val="both"/>
      </w:pPr>
      <w:r>
        <w:t xml:space="preserve">Serrure : </w:t>
      </w:r>
      <w:r>
        <w:rPr>
          <w:rStyle w:val="optioncarChar"/>
        </w:rPr>
        <w:t>sans / à clef / à condamnation</w:t>
      </w:r>
    </w:p>
    <w:p w14:paraId="1CD30DD3" w14:textId="77777777" w:rsidR="004B2808" w:rsidRDefault="00000000">
      <w:pPr>
        <w:pStyle w:val="Author-eListParagraph"/>
        <w:numPr>
          <w:ilvl w:val="0"/>
          <w:numId w:val="1110"/>
        </w:numPr>
        <w:jc w:val="both"/>
      </w:pPr>
      <w:r>
        <w:t xml:space="preserve">Plinthe automatique à fonction acoustique : </w:t>
      </w:r>
      <w:r>
        <w:rPr>
          <w:rStyle w:val="optioncarChar"/>
        </w:rPr>
        <w:t>non / oui</w:t>
      </w:r>
    </w:p>
    <w:p w14:paraId="67C6140B" w14:textId="77777777" w:rsidR="004B2808" w:rsidRDefault="00000000">
      <w:pPr>
        <w:pStyle w:val="pheading"/>
      </w:pPr>
      <w:r>
        <w:t>- Finitions</w:t>
      </w:r>
    </w:p>
    <w:p w14:paraId="34FBD345" w14:textId="77777777" w:rsidR="004B2808" w:rsidRDefault="00000000">
      <w:pPr>
        <w:jc w:val="both"/>
      </w:pPr>
      <w:r>
        <w:t xml:space="preserve">Finition du vantail : </w:t>
      </w:r>
      <w:r>
        <w:rPr>
          <w:rStyle w:val="optioncarChar"/>
        </w:rPr>
        <w:t>peinture / stratifié / placage</w:t>
      </w:r>
    </w:p>
    <w:p w14:paraId="3BE4DFC6" w14:textId="77777777" w:rsidR="004B2808" w:rsidRDefault="00000000">
      <w:pPr>
        <w:jc w:val="both"/>
      </w:pPr>
      <w:r>
        <w:rPr>
          <w:b/>
        </w:rPr>
        <w:t xml:space="preserve"> (soit)</w:t>
      </w:r>
    </w:p>
    <w:p w14:paraId="5669835F" w14:textId="77777777" w:rsidR="004B2808" w:rsidRDefault="00000000">
      <w:pPr>
        <w:jc w:val="both"/>
      </w:pPr>
      <w:r>
        <w:rPr>
          <w:rStyle w:val="soitChar"/>
          <w:u w:val="single"/>
        </w:rPr>
        <w:t>Peinture</w:t>
      </w:r>
      <w:r>
        <w:rPr>
          <w:rStyle w:val="soitChar"/>
        </w:rPr>
        <w:t xml:space="preserve"> tel que décrit au 81.2 Peintures intérieures sur subjectiles en bois et dérivés du bois (feuillus, résineux, bois exotiques, panneaux)</w:t>
      </w:r>
    </w:p>
    <w:p w14:paraId="28E1C88D" w14:textId="77777777" w:rsidR="004B2808" w:rsidRDefault="00000000">
      <w:pPr>
        <w:jc w:val="both"/>
      </w:pPr>
      <w:r>
        <w:rPr>
          <w:b/>
        </w:rPr>
        <w:t>(soit)</w:t>
      </w:r>
    </w:p>
    <w:p w14:paraId="78D7986B" w14:textId="77777777" w:rsidR="004B2808" w:rsidRDefault="00000000">
      <w:pPr>
        <w:jc w:val="both"/>
      </w:pPr>
      <w:r>
        <w:rPr>
          <w:rStyle w:val="soitChar"/>
          <w:u w:val="single"/>
        </w:rPr>
        <w:t>Stratifié :</w:t>
      </w:r>
    </w:p>
    <w:p w14:paraId="01FF40DA" w14:textId="77777777" w:rsidR="004B2808" w:rsidRDefault="00000000">
      <w:pPr>
        <w:pStyle w:val="Author-eListParagraph"/>
        <w:numPr>
          <w:ilvl w:val="0"/>
          <w:numId w:val="1111"/>
        </w:numPr>
      </w:pPr>
      <w:r>
        <w:rPr>
          <w:rStyle w:val="soitChar"/>
        </w:rPr>
        <w:t xml:space="preserve">Aspect : </w:t>
      </w:r>
      <w:r>
        <w:rPr>
          <w:rStyle w:val="optioncarChar"/>
        </w:rPr>
        <w:t xml:space="preserve">uni </w:t>
      </w:r>
      <w:r>
        <w:t>(par défaut)</w:t>
      </w:r>
      <w:r>
        <w:rPr>
          <w:rStyle w:val="optioncarChar"/>
        </w:rPr>
        <w:t xml:space="preserve"> / structuré / aspect bois / ***</w:t>
      </w:r>
    </w:p>
    <w:p w14:paraId="3867A7F7" w14:textId="77777777" w:rsidR="004B2808" w:rsidRDefault="00000000">
      <w:pPr>
        <w:pStyle w:val="Author-eListParagraph"/>
        <w:numPr>
          <w:ilvl w:val="0"/>
          <w:numId w:val="1111"/>
        </w:numPr>
      </w:pPr>
      <w:r>
        <w:rPr>
          <w:rStyle w:val="soitChar"/>
        </w:rPr>
        <w:t xml:space="preserve">Teinte : </w:t>
      </w:r>
      <w:r>
        <w:rPr>
          <w:rStyle w:val="optioncarChar"/>
        </w:rPr>
        <w:t xml:space="preserve">au choix de la direction de chantier dans la gamme du fabricant </w:t>
      </w:r>
      <w:r>
        <w:t>(par défaut)</w:t>
      </w:r>
      <w:r>
        <w:rPr>
          <w:rStyle w:val="optioncarChar"/>
        </w:rPr>
        <w:t xml:space="preserve"> / ***</w:t>
      </w:r>
    </w:p>
    <w:p w14:paraId="7BA36E1E" w14:textId="77777777" w:rsidR="004B2808" w:rsidRDefault="00000000">
      <w:pPr>
        <w:jc w:val="both"/>
      </w:pPr>
      <w:r>
        <w:rPr>
          <w:b/>
        </w:rPr>
        <w:t>(soit)</w:t>
      </w:r>
    </w:p>
    <w:p w14:paraId="47C47F5E" w14:textId="77777777" w:rsidR="004B2808" w:rsidRDefault="00000000">
      <w:pPr>
        <w:jc w:val="both"/>
      </w:pPr>
      <w:r>
        <w:rPr>
          <w:rStyle w:val="soitChar"/>
          <w:u w:val="single"/>
        </w:rPr>
        <w:t>Placage vernis :</w:t>
      </w:r>
    </w:p>
    <w:p w14:paraId="58570666" w14:textId="77777777" w:rsidR="004B2808" w:rsidRDefault="00000000">
      <w:pPr>
        <w:pStyle w:val="Author-eListParagraph"/>
        <w:numPr>
          <w:ilvl w:val="0"/>
          <w:numId w:val="1112"/>
        </w:numPr>
      </w:pPr>
      <w:r>
        <w:rPr>
          <w:rStyle w:val="soitChar"/>
        </w:rPr>
        <w:t xml:space="preserve">Essence : </w:t>
      </w:r>
      <w:r>
        <w:rPr>
          <w:rStyle w:val="optioncarChar"/>
        </w:rPr>
        <w:t>hêtre</w:t>
      </w:r>
      <w:r>
        <w:t> (par défaut)</w:t>
      </w:r>
      <w:r>
        <w:rPr>
          <w:rStyle w:val="optioncarChar"/>
        </w:rPr>
        <w:t xml:space="preserve"> / chêne / ***</w:t>
      </w:r>
    </w:p>
    <w:p w14:paraId="1D9D5B50" w14:textId="77777777" w:rsidR="004B2808" w:rsidRDefault="00000000">
      <w:pPr>
        <w:pStyle w:val="Author-eListParagraph"/>
        <w:numPr>
          <w:ilvl w:val="0"/>
          <w:numId w:val="1112"/>
        </w:numPr>
      </w:pPr>
      <w:r>
        <w:rPr>
          <w:rStyle w:val="soitChar"/>
        </w:rPr>
        <w:t xml:space="preserve">Vernis : </w:t>
      </w:r>
      <w:r>
        <w:rPr>
          <w:rStyle w:val="optioncarChar"/>
        </w:rPr>
        <w:t xml:space="preserve">mat </w:t>
      </w:r>
      <w:r>
        <w:t xml:space="preserve">(par défaut) </w:t>
      </w:r>
      <w:r>
        <w:rPr>
          <w:rStyle w:val="optioncarChar"/>
        </w:rPr>
        <w:t>/ satiné / ***</w:t>
      </w:r>
      <w:r>
        <w:br/>
        <w:t> </w:t>
      </w:r>
    </w:p>
    <w:p w14:paraId="38C4C0E3" w14:textId="77777777" w:rsidR="004B2808" w:rsidRDefault="00000000">
      <w:pPr>
        <w:jc w:val="both"/>
      </w:pPr>
      <w:r>
        <w:t>Finition du galandage : peinture tel que décrit au 81.1 Peintures intérieures sur subjectiles minéraux poreux (béton, blocs de béton, terre cuite, enduits, plaques de plâtre)</w:t>
      </w:r>
    </w:p>
    <w:p w14:paraId="6F28A079" w14:textId="77777777" w:rsidR="004B2808" w:rsidRDefault="00000000">
      <w:pPr>
        <w:pStyle w:val="pheading"/>
      </w:pPr>
      <w:r>
        <w:t>EXÉCUTION / MISE EN ŒUVRE</w:t>
      </w:r>
    </w:p>
    <w:p w14:paraId="04A14443" w14:textId="77777777" w:rsidR="004B2808" w:rsidRDefault="00000000">
      <w:pPr>
        <w:pStyle w:val="pheading"/>
      </w:pPr>
      <w:r>
        <w:t>- Prescriptions générales</w:t>
      </w:r>
    </w:p>
    <w:p w14:paraId="39C46D05" w14:textId="77777777" w:rsidR="004B2808" w:rsidRDefault="00000000">
      <w:pPr>
        <w:jc w:val="both"/>
      </w:pPr>
      <w:r>
        <w:t>L’enduisage complet du galandage est réalisé dans l’alignement de la paroi dans laquelle il est intégré moyen du produit d’enduisage conformément à la documentation technique accompagnant les matériaux :</w:t>
      </w:r>
    </w:p>
    <w:p w14:paraId="3F9738E0" w14:textId="77777777" w:rsidR="004B2808" w:rsidRDefault="00000000">
      <w:pPr>
        <w:pStyle w:val="Author-eListParagraph"/>
        <w:numPr>
          <w:ilvl w:val="0"/>
          <w:numId w:val="1113"/>
        </w:numPr>
        <w:jc w:val="both"/>
      </w:pPr>
      <w:r>
        <w:t xml:space="preserve">Degré de finition : </w:t>
      </w:r>
      <w:r>
        <w:rPr>
          <w:rStyle w:val="optioncarChar"/>
        </w:rPr>
        <w:t>F1 / F2a / F2b / F3</w:t>
      </w:r>
    </w:p>
    <w:p w14:paraId="276DBDF9" w14:textId="77777777" w:rsidR="004B2808" w:rsidRDefault="00000000">
      <w:pPr>
        <w:pStyle w:val="Author-eListParagraph"/>
        <w:numPr>
          <w:ilvl w:val="0"/>
          <w:numId w:val="1113"/>
        </w:numPr>
        <w:jc w:val="both"/>
      </w:pPr>
      <w:r>
        <w:t xml:space="preserve">Planéité : </w:t>
      </w:r>
      <w:r>
        <w:rPr>
          <w:rStyle w:val="optioncarChar"/>
        </w:rPr>
        <w:t>N / S</w:t>
      </w:r>
    </w:p>
    <w:p w14:paraId="381DAFB5" w14:textId="77777777" w:rsidR="004B2808" w:rsidRDefault="00000000">
      <w:pPr>
        <w:pStyle w:val="pheading"/>
      </w:pPr>
      <w:r>
        <w:t>MESURAGE</w:t>
      </w:r>
    </w:p>
    <w:p w14:paraId="65EA79B6" w14:textId="77777777" w:rsidR="004B2808" w:rsidRDefault="00000000">
      <w:pPr>
        <w:pStyle w:val="pheading"/>
      </w:pPr>
      <w:r>
        <w:t>- unité de mesure:</w:t>
      </w:r>
    </w:p>
    <w:p w14:paraId="6F4C157A" w14:textId="77777777" w:rsidR="004B2808" w:rsidRDefault="00000000">
      <w:r>
        <w:t>pc</w:t>
      </w:r>
    </w:p>
    <w:p w14:paraId="54E0EBC5" w14:textId="77777777" w:rsidR="004B2808" w:rsidRDefault="00000000">
      <w:pPr>
        <w:pStyle w:val="pheading"/>
      </w:pPr>
      <w:r>
        <w:t>- code de mesurage:</w:t>
      </w:r>
    </w:p>
    <w:p w14:paraId="53C1C78C" w14:textId="77777777" w:rsidR="004B2808" w:rsidRDefault="00000000">
      <w:pPr>
        <w:jc w:val="both"/>
      </w:pPr>
      <w:r>
        <w:t>Quantité nette : ensemble tout compris, distinction faite du type et des dimensions des portes.</w:t>
      </w:r>
    </w:p>
    <w:p w14:paraId="4C111DAD" w14:textId="77777777" w:rsidR="004B2808" w:rsidRDefault="00000000">
      <w:pPr>
        <w:pStyle w:val="pheading"/>
      </w:pPr>
      <w:r>
        <w:t>- nature du marché:</w:t>
      </w:r>
    </w:p>
    <w:p w14:paraId="47AC4B31" w14:textId="77777777" w:rsidR="004B2808" w:rsidRDefault="00000000">
      <w:r>
        <w:t>QF</w:t>
      </w:r>
    </w:p>
    <w:p w14:paraId="37CD6C5F" w14:textId="77777777" w:rsidR="004B2808" w:rsidRDefault="00000000">
      <w:pPr>
        <w:pStyle w:val="Author-eSectionHeading5Numberless"/>
      </w:pPr>
      <w:bookmarkStart w:id="1145" w:name="_Toc220491270"/>
      <w:r>
        <w:t>55.33.2 Portes intérieures, coulissantes, en aluminium</w:t>
      </w:r>
      <w:bookmarkEnd w:id="1145"/>
    </w:p>
    <w:p w14:paraId="5EC33C9F" w14:textId="77777777" w:rsidR="004B2808" w:rsidRDefault="00000000">
      <w:pPr>
        <w:pStyle w:val="Author-eSectionHeading5Numberless"/>
      </w:pPr>
      <w:bookmarkStart w:id="1146" w:name="_Toc220491271"/>
      <w:r>
        <w:t>55.33.3 Portes intérieures, coulissantes, en acier</w:t>
      </w:r>
      <w:bookmarkEnd w:id="1146"/>
    </w:p>
    <w:p w14:paraId="02F97DE0" w14:textId="77777777" w:rsidR="004B2808" w:rsidRDefault="00000000">
      <w:pPr>
        <w:pStyle w:val="Author-eSectionHeading5Numberless"/>
      </w:pPr>
      <w:bookmarkStart w:id="1147" w:name="_Toc220491272"/>
      <w:r>
        <w:t>55.33.4 Portes intérieures, coulissantes, en PVC</w:t>
      </w:r>
      <w:bookmarkEnd w:id="1147"/>
    </w:p>
    <w:p w14:paraId="385EB33F" w14:textId="77777777" w:rsidR="004B2808" w:rsidRDefault="00000000">
      <w:pPr>
        <w:pStyle w:val="Author-eSectionHeading5Numberless"/>
      </w:pPr>
      <w:bookmarkStart w:id="1148" w:name="_Toc220491273"/>
      <w:r>
        <w:lastRenderedPageBreak/>
        <w:t>55.33.5 Portes intérieures, coulissantes, en verre</w:t>
      </w:r>
      <w:bookmarkEnd w:id="1148"/>
    </w:p>
    <w:p w14:paraId="240F4C8F" w14:textId="77777777" w:rsidR="004B2808" w:rsidRDefault="00000000">
      <w:pPr>
        <w:pStyle w:val="Author-eSectionHeading3Numberless"/>
      </w:pPr>
      <w:bookmarkStart w:id="1149" w:name="_Toc220491274"/>
      <w:r>
        <w:t>55.4 Stores / Volets (protection visuelle/solaire) - manuels ou motorisés CCTB 01.07</w:t>
      </w:r>
      <w:bookmarkEnd w:id="1149"/>
    </w:p>
    <w:p w14:paraId="79F8DE2A" w14:textId="77777777" w:rsidR="004B2808" w:rsidRDefault="00000000">
      <w:pPr>
        <w:pStyle w:val="pheading"/>
      </w:pPr>
      <w:r>
        <w:t>DESCRIPTION</w:t>
      </w:r>
    </w:p>
    <w:p w14:paraId="5B6FF7C1" w14:textId="77777777" w:rsidR="004B2808" w:rsidRDefault="00000000">
      <w:pPr>
        <w:pStyle w:val="pheading"/>
      </w:pPr>
      <w:r>
        <w:t>- Définition / Comprend</w:t>
      </w:r>
    </w:p>
    <w:p w14:paraId="718082BF" w14:textId="77777777" w:rsidR="004B2808" w:rsidRDefault="00000000">
      <w:r>
        <w:t>Renvoi au § 41.5 Volets et protections solaires extérieures</w:t>
      </w:r>
    </w:p>
    <w:p w14:paraId="6A24DF35" w14:textId="77777777" w:rsidR="004B2808" w:rsidRDefault="00000000">
      <w:pPr>
        <w:pStyle w:val="Author-eSectionHeading4Numberless"/>
      </w:pPr>
      <w:bookmarkStart w:id="1150" w:name="_Toc220491275"/>
      <w:r>
        <w:t>55.41 Store / volet (protection visuelle/solaire) roulant encastré CCTB 01.02</w:t>
      </w:r>
      <w:bookmarkEnd w:id="1150"/>
    </w:p>
    <w:p w14:paraId="2393DDFB" w14:textId="77777777" w:rsidR="004B2808" w:rsidRDefault="00000000">
      <w:pPr>
        <w:pStyle w:val="Author-eSectionHeading5Numberless"/>
      </w:pPr>
      <w:bookmarkStart w:id="1151" w:name="_Toc220491276"/>
      <w:r>
        <w:t>55.41.1 Store / volet (protection visuelle/solaire) roulant encastré en bois massif / lamellé-collé CCTB 01.02</w:t>
      </w:r>
      <w:bookmarkEnd w:id="1151"/>
    </w:p>
    <w:p w14:paraId="7AB7A4F8" w14:textId="77777777" w:rsidR="004B2808" w:rsidRDefault="00000000">
      <w:pPr>
        <w:pStyle w:val="Author-eSectionHeading6Numberless"/>
      </w:pPr>
      <w:bookmarkStart w:id="1152" w:name="_Toc220491277"/>
      <w:r>
        <w:t>55.41.1a Manuel CCTB 01.02</w:t>
      </w:r>
      <w:bookmarkEnd w:id="1152"/>
    </w:p>
    <w:p w14:paraId="7240C689" w14:textId="77777777" w:rsidR="004B2808" w:rsidRDefault="00000000">
      <w:pPr>
        <w:pStyle w:val="Author-eSectionHeading6Numberless"/>
      </w:pPr>
      <w:bookmarkStart w:id="1153" w:name="_Toc220491278"/>
      <w:r>
        <w:t>55.41.1b Motorisé CCTB 01.02</w:t>
      </w:r>
      <w:bookmarkEnd w:id="1153"/>
    </w:p>
    <w:p w14:paraId="3A0D6D22" w14:textId="77777777" w:rsidR="004B2808" w:rsidRDefault="00000000">
      <w:pPr>
        <w:pStyle w:val="Author-eSectionHeading5Numberless"/>
      </w:pPr>
      <w:bookmarkStart w:id="1154" w:name="_Toc220491279"/>
      <w:r>
        <w:t>55.41.2 Store / volet (protection visuelle/solaire) roulant encastré en aluminium  CCTB 01.02</w:t>
      </w:r>
      <w:bookmarkEnd w:id="1154"/>
    </w:p>
    <w:p w14:paraId="30207277" w14:textId="77777777" w:rsidR="004B2808" w:rsidRDefault="00000000">
      <w:pPr>
        <w:pStyle w:val="Author-eSectionHeading6Numberless"/>
      </w:pPr>
      <w:bookmarkStart w:id="1155" w:name="_Toc220491280"/>
      <w:r>
        <w:t>55.41.2a Manuel CCTB 01.02</w:t>
      </w:r>
      <w:bookmarkEnd w:id="1155"/>
    </w:p>
    <w:p w14:paraId="67D41326" w14:textId="77777777" w:rsidR="004B2808" w:rsidRDefault="00000000">
      <w:pPr>
        <w:pStyle w:val="Author-eSectionHeading6Numberless"/>
      </w:pPr>
      <w:bookmarkStart w:id="1156" w:name="_Toc220491281"/>
      <w:r>
        <w:t>55.41.2b Motorisé CCTB 01.02</w:t>
      </w:r>
      <w:bookmarkEnd w:id="1156"/>
    </w:p>
    <w:p w14:paraId="4DEF836D" w14:textId="77777777" w:rsidR="004B2808" w:rsidRDefault="00000000">
      <w:pPr>
        <w:pStyle w:val="Author-eSectionHeading5Numberless"/>
      </w:pPr>
      <w:bookmarkStart w:id="1157" w:name="_Toc220491282"/>
      <w:r>
        <w:t>55.41.3 Store / volet (protection visuelle/solaire) roulant encastré en acier  CCTB 01.02</w:t>
      </w:r>
      <w:bookmarkEnd w:id="1157"/>
    </w:p>
    <w:p w14:paraId="7891D8A4" w14:textId="77777777" w:rsidR="004B2808" w:rsidRDefault="00000000">
      <w:pPr>
        <w:pStyle w:val="Author-eSectionHeading6Numberless"/>
      </w:pPr>
      <w:bookmarkStart w:id="1158" w:name="_Toc220491283"/>
      <w:r>
        <w:t>55.41.3a Manuel CCTB 01.02</w:t>
      </w:r>
      <w:bookmarkEnd w:id="1158"/>
    </w:p>
    <w:p w14:paraId="0E3108F0" w14:textId="77777777" w:rsidR="004B2808" w:rsidRDefault="00000000">
      <w:pPr>
        <w:pStyle w:val="Author-eSectionHeading6Numberless"/>
      </w:pPr>
      <w:bookmarkStart w:id="1159" w:name="_Toc220491284"/>
      <w:r>
        <w:t>55.41.3b Motorisé CCTB 01.02</w:t>
      </w:r>
      <w:bookmarkEnd w:id="1159"/>
    </w:p>
    <w:p w14:paraId="0A308E52" w14:textId="77777777" w:rsidR="004B2808" w:rsidRDefault="00000000">
      <w:pPr>
        <w:pStyle w:val="Author-eSectionHeading5Numberless"/>
      </w:pPr>
      <w:bookmarkStart w:id="1160" w:name="_Toc220491285"/>
      <w:r>
        <w:t>55.41.4 Store / volet (protection visuelle/solaire) roulant encastré en PVC CCTB 01.10</w:t>
      </w:r>
      <w:bookmarkEnd w:id="1160"/>
    </w:p>
    <w:p w14:paraId="03D09CEF" w14:textId="77777777" w:rsidR="004B2808" w:rsidRDefault="00000000">
      <w:pPr>
        <w:pStyle w:val="pheading"/>
      </w:pPr>
      <w:r>
        <w:t>DESCRIPTION</w:t>
      </w:r>
    </w:p>
    <w:p w14:paraId="752138B0" w14:textId="77777777" w:rsidR="004B2808" w:rsidRDefault="00000000">
      <w:pPr>
        <w:pStyle w:val="pheading"/>
      </w:pPr>
      <w:r>
        <w:t>- Définition / Comprend</w:t>
      </w:r>
    </w:p>
    <w:p w14:paraId="1688BD2A" w14:textId="77777777" w:rsidR="004B2808" w:rsidRDefault="00000000">
      <w:r>
        <w:t>Les volets extérieurs doivent être munis d'un marquage CE. S'ils sont destinés au passage de personnes, les performances sont définies par la norme[NBN EN 13241:2003+A2].  S'ils ne sont pas destinés au passage de personnes, les performances sont définies par la norme [NBN EN 13659] .</w:t>
      </w:r>
    </w:p>
    <w:p w14:paraId="16CDA63D" w14:textId="77777777" w:rsidR="004B2808" w:rsidRDefault="00000000">
      <w:r>
        <w:t xml:space="preserve">Les stores extérieurs doivent répondre aux exigences de la </w:t>
      </w:r>
      <w:r>
        <w:rPr>
          <w:shd w:val="clear" w:color="auto" w:fill="FFFFFF"/>
        </w:rPr>
        <w:t>norme [NBN EN 12216].</w:t>
      </w:r>
    </w:p>
    <w:p w14:paraId="6A6F2B8E" w14:textId="77777777" w:rsidR="004B2808" w:rsidRDefault="00000000">
      <w:pPr>
        <w:pStyle w:val="pheading"/>
      </w:pPr>
      <w:r>
        <w:t>MATÉRIAUX</w:t>
      </w:r>
    </w:p>
    <w:p w14:paraId="45E6C5AB" w14:textId="77777777" w:rsidR="004B2808" w:rsidRDefault="00000000">
      <w:r>
        <w:t>Les tableaux de volet sont réalisés en profilés tubulaires en PVC coloré dans la masse (lattes). Les lattes du volet sont assemblées au moyen d’un système d’agrafage qui forme une charnière de manière à assurer l'enroulement souple du volet. Des encoches fraisées ou des broches galvanisées empêchent le déplacement latéral des lattes. Les assemblages peuvent être pourvus de fentes qui laissent pénétrer l’air et la lumière lorsque le volet est légèrement levé. A partir d’une largeur de fenêtre supérieure à 2,00 m, les lattes sont pourvues de profils de renfort en métal non corrosif, selon les prescriptions du fabricant. En ce qui concerne la stabilité des couleurs, une garantie de dix ans est accordée pendant laquelle la décoloration ne peut excéder le niveau 3 à l'échelle des gris, selon [ISO 105/A02] .</w:t>
      </w:r>
    </w:p>
    <w:p w14:paraId="413A1E38" w14:textId="77777777" w:rsidR="004B2808" w:rsidRDefault="00000000">
      <w:pPr>
        <w:pStyle w:val="heading"/>
      </w:pPr>
      <w:r>
        <w:t>Spécifications</w:t>
      </w:r>
    </w:p>
    <w:p w14:paraId="6DA60FCD" w14:textId="77777777" w:rsidR="004B2808" w:rsidRDefault="00000000">
      <w:r>
        <w:lastRenderedPageBreak/>
        <w:t xml:space="preserve">Type de volet : </w:t>
      </w:r>
      <w:r>
        <w:rPr>
          <w:rStyle w:val="optioncarChar"/>
        </w:rPr>
        <w:t>encastré</w:t>
      </w:r>
      <w:r>
        <w:t> (par défaut)</w:t>
      </w:r>
      <w:r>
        <w:rPr>
          <w:rStyle w:val="optioncarChar"/>
        </w:rPr>
        <w:t xml:space="preserve"> / ***</w:t>
      </w:r>
    </w:p>
    <w:p w14:paraId="16B913ED" w14:textId="77777777" w:rsidR="004B2808" w:rsidRDefault="00000000">
      <w:r>
        <w:t xml:space="preserve">Commande : </w:t>
      </w:r>
      <w:r>
        <w:rPr>
          <w:rStyle w:val="optioncarChar"/>
        </w:rPr>
        <w:t>manuelle</w:t>
      </w:r>
      <w:r>
        <w:t> (par défaut)</w:t>
      </w:r>
      <w:r>
        <w:rPr>
          <w:rStyle w:val="optioncarChar"/>
        </w:rPr>
        <w:t xml:space="preserve"> / électrique</w:t>
      </w:r>
    </w:p>
    <w:p w14:paraId="553E26AA" w14:textId="77777777" w:rsidR="004B2808" w:rsidRDefault="00000000">
      <w:r>
        <w:t xml:space="preserve">Forme des lattes : </w:t>
      </w:r>
      <w:r>
        <w:rPr>
          <w:rStyle w:val="optioncarChar"/>
        </w:rPr>
        <w:t>courbées</w:t>
      </w:r>
      <w:r>
        <w:t> (par défaut)</w:t>
      </w:r>
      <w:r>
        <w:rPr>
          <w:rStyle w:val="optioncarChar"/>
        </w:rPr>
        <w:t xml:space="preserve"> / côtés arrière et avant planes / ***</w:t>
      </w:r>
    </w:p>
    <w:p w14:paraId="4C5E311B" w14:textId="77777777" w:rsidR="004B2808" w:rsidRDefault="00000000">
      <w:r>
        <w:t>Dimensions des lattes  : hauteur  au moins </w:t>
      </w:r>
      <w:r>
        <w:rPr>
          <w:rStyle w:val="optioncarChar"/>
        </w:rPr>
        <w:t>30</w:t>
      </w:r>
      <w:r>
        <w:t> (par défaut)</w:t>
      </w:r>
      <w:r>
        <w:rPr>
          <w:rStyle w:val="optioncarChar"/>
        </w:rPr>
        <w:t xml:space="preserve"> / 40 / 50 / 60 / ***</w:t>
      </w:r>
      <w:r>
        <w:t xml:space="preserve"> mm, épaisseur au moins  </w:t>
      </w:r>
      <w:r>
        <w:rPr>
          <w:rStyle w:val="optioncarChar"/>
        </w:rPr>
        <w:t>8 </w:t>
      </w:r>
      <w:r>
        <w:t>(par défaut)</w:t>
      </w:r>
      <w:r>
        <w:rPr>
          <w:rStyle w:val="optioncarChar"/>
        </w:rPr>
        <w:t xml:space="preserve"> / 10 / 12 / 14 / ***</w:t>
      </w:r>
      <w:r>
        <w:t xml:space="preserve"> mm</w:t>
      </w:r>
    </w:p>
    <w:p w14:paraId="548EC17C" w14:textId="77777777" w:rsidR="004B2808" w:rsidRDefault="00000000">
      <w:r>
        <w:t xml:space="preserve">Fermetures latérales : </w:t>
      </w:r>
      <w:r>
        <w:rPr>
          <w:rStyle w:val="optioncarChar"/>
        </w:rPr>
        <w:t>non prévues</w:t>
      </w:r>
      <w:r>
        <w:t> (par défaut)</w:t>
      </w:r>
      <w:r>
        <w:rPr>
          <w:rStyle w:val="optioncarChar"/>
        </w:rPr>
        <w:t xml:space="preserve"> / clips en matière synthétique  ou en métal à prévoir à l'extrémité des lattes / ***</w:t>
      </w:r>
    </w:p>
    <w:p w14:paraId="03A18260" w14:textId="77777777" w:rsidR="004B2808" w:rsidRDefault="00000000">
      <w:r>
        <w:t xml:space="preserve">Couleur des lattes : </w:t>
      </w:r>
      <w:r>
        <w:rPr>
          <w:rStyle w:val="optioncarChar"/>
        </w:rPr>
        <w:t>blanc</w:t>
      </w:r>
      <w:r>
        <w:t> (par défaut)</w:t>
      </w:r>
      <w:r>
        <w:rPr>
          <w:rStyle w:val="optioncarChar"/>
        </w:rPr>
        <w:t xml:space="preserve"> / ivoire / brun foncé  / ***</w:t>
      </w:r>
      <w:r>
        <w:t xml:space="preserve"> (coloré dans la masse)</w:t>
      </w:r>
    </w:p>
    <w:p w14:paraId="6613458F" w14:textId="77777777" w:rsidR="004B2808" w:rsidRDefault="00000000">
      <w:r>
        <w:t xml:space="preserve">Fentes de ventilation : </w:t>
      </w:r>
      <w:r>
        <w:rPr>
          <w:rStyle w:val="optioncarChar"/>
        </w:rPr>
        <w:t>non prévues</w:t>
      </w:r>
      <w:r>
        <w:t> (par défaut)</w:t>
      </w:r>
      <w:r>
        <w:rPr>
          <w:rStyle w:val="optioncarChar"/>
        </w:rPr>
        <w:t xml:space="preserve"> / sur toute la hauteur  / uniquement dans la partie inférieure</w:t>
      </w:r>
      <w:r>
        <w:t xml:space="preserve"> (1/3) </w:t>
      </w:r>
      <w:r>
        <w:rPr>
          <w:rStyle w:val="optioncarChar"/>
        </w:rPr>
        <w:t>/ ***</w:t>
      </w:r>
    </w:p>
    <w:p w14:paraId="0C6070FE" w14:textId="77777777" w:rsidR="004B2808" w:rsidRDefault="00000000">
      <w:r>
        <w:t xml:space="preserve">Latte inférieure : </w:t>
      </w:r>
      <w:r>
        <w:rPr>
          <w:rStyle w:val="optioncarChar"/>
        </w:rPr>
        <w:t>renforcée au moyen d’un profil en matière synthétique avec butoirs</w:t>
      </w:r>
      <w:r>
        <w:t> (par défaut)</w:t>
      </w:r>
      <w:r>
        <w:rPr>
          <w:rStyle w:val="optioncarChar"/>
        </w:rPr>
        <w:t xml:space="preserve"> / insérée dans une cornière en aluminium continue / ***</w:t>
      </w:r>
    </w:p>
    <w:p w14:paraId="6ADB8548" w14:textId="77777777" w:rsidR="004B2808" w:rsidRDefault="00000000">
      <w:r>
        <w:t xml:space="preserve">Butoirs : </w:t>
      </w:r>
      <w:r>
        <w:rPr>
          <w:rStyle w:val="optioncarChar"/>
        </w:rPr>
        <w:t>en forme de L en PVC injecté</w:t>
      </w:r>
      <w:r>
        <w:t> (par défaut)</w:t>
      </w:r>
      <w:r>
        <w:rPr>
          <w:rStyle w:val="optioncarChar"/>
        </w:rPr>
        <w:t xml:space="preserve"> / polystyrène anti-chocs / Nylon / métal avec film de protection en plastic / ***</w:t>
      </w:r>
    </w:p>
    <w:p w14:paraId="0295002A" w14:textId="77777777" w:rsidR="004B2808" w:rsidRDefault="00000000">
      <w:r>
        <w:t xml:space="preserve">Glissières latérales : </w:t>
      </w:r>
      <w:r>
        <w:rPr>
          <w:rStyle w:val="optioncarChar"/>
        </w:rPr>
        <w:t>en PVC apparentes ou cachées</w:t>
      </w:r>
      <w:r>
        <w:t> (par défaut)</w:t>
      </w:r>
      <w:r>
        <w:rPr>
          <w:rStyle w:val="optioncarChar"/>
        </w:rPr>
        <w:t xml:space="preserve"> / profils en aluminium / intégrées dans les profilés de la menuiserie extérieure / ***</w:t>
      </w:r>
    </w:p>
    <w:p w14:paraId="2933F90A" w14:textId="77777777" w:rsidR="004B2808" w:rsidRDefault="00000000">
      <w:r>
        <w:t>Mécanisme d'enroulement : (pour les systèmes plus chers à manivelle, voir la rubrique 41.5 Volets et protections solaires extérieures</w:t>
      </w:r>
    </w:p>
    <w:p w14:paraId="49E5CDCD" w14:textId="77777777" w:rsidR="004B2808" w:rsidRDefault="00000000">
      <w:pPr>
        <w:ind w:left="675"/>
      </w:pPr>
      <w:r>
        <w:t>⇒ pivot enrouleur en PVC ou acier, d'au moins 60 mm de diamètre , sur roulements à billes;</w:t>
      </w:r>
    </w:p>
    <w:p w14:paraId="101501CD" w14:textId="77777777" w:rsidR="004B2808" w:rsidRDefault="00000000">
      <w:pPr>
        <w:ind w:left="675"/>
      </w:pPr>
      <w:r>
        <w:t>⇒ poulie en matière synthétique  ou tôle d'acier galvanisé;</w:t>
      </w:r>
    </w:p>
    <w:p w14:paraId="10F2BE29" w14:textId="77777777" w:rsidR="004B2808" w:rsidRDefault="00000000">
      <w:pPr>
        <w:ind w:left="675"/>
      </w:pPr>
      <w:r>
        <w:t>⇒ ruban en Nylon (environ  22 mm de largeur) guide-ruban avec enrouleur automatique;</w:t>
      </w:r>
    </w:p>
    <w:p w14:paraId="4B75F692" w14:textId="77777777" w:rsidR="004B2808" w:rsidRDefault="00000000">
      <w:pPr>
        <w:ind w:left="675"/>
      </w:pPr>
      <w:r>
        <w:t>⇒ l'ouverture pour le ruban sera fermée à l'aide d'une plaquette en laiton  ou matière synthétique .</w:t>
      </w:r>
      <w:r>
        <w:br/>
      </w:r>
      <w:r>
        <w:br/>
        <w:t>La conception et la mise en oeuvre des volets roulant sont conformes à la [NIT 143] et à la norme [NBN EN 13659] .</w:t>
      </w:r>
    </w:p>
    <w:p w14:paraId="07812A6A" w14:textId="77777777" w:rsidR="004B2808" w:rsidRDefault="00000000">
      <w:pPr>
        <w:pStyle w:val="pheading"/>
      </w:pPr>
      <w:r>
        <w:t>EXÉCUTION / MISE EN ŒUVRE</w:t>
      </w:r>
    </w:p>
    <w:p w14:paraId="0144E327" w14:textId="77777777" w:rsidR="004B2808" w:rsidRDefault="00000000">
      <w:r>
        <w:t>Les glissières latérales sont </w:t>
      </w:r>
      <w:r>
        <w:rPr>
          <w:rStyle w:val="optioncarChar"/>
        </w:rPr>
        <w:t>encastrées de manière invisible entre le mur et le châssis </w:t>
      </w:r>
      <w:r>
        <w:t>(par défaut)</w:t>
      </w:r>
      <w:r>
        <w:rPr>
          <w:rStyle w:val="optioncarChar"/>
        </w:rPr>
        <w:t xml:space="preserve"> / placées en apparent à côté de la batée de la baie de fenêtre / ***</w:t>
      </w:r>
    </w:p>
    <w:p w14:paraId="4ACAFCF3" w14:textId="77777777" w:rsidR="004B2808" w:rsidRDefault="00000000">
      <w:r>
        <w:rPr>
          <w:i/>
          <w:u w:val="single"/>
        </w:rPr>
        <w:t>Notes d'exécution complémentaires (biffer la mention inutile)</w:t>
      </w:r>
    </w:p>
    <w:p w14:paraId="6856CF71" w14:textId="77777777" w:rsidR="004B2808" w:rsidRDefault="00000000">
      <w:r>
        <w:t xml:space="preserve">Caisses à volets : voir les options à l'article </w:t>
      </w:r>
      <w:hyperlink w:anchor="940" w:history="1">
        <w:r w:rsidR="004B2808">
          <w:rPr>
            <w:color w:val="0000EE"/>
          </w:rPr>
          <w:t>55.51.3a Habillage de fenêtres en matière synthétique</w:t>
        </w:r>
      </w:hyperlink>
      <w:r>
        <w:t xml:space="preserve"> et </w:t>
      </w:r>
      <w:hyperlink w:anchor="941" w:history="1">
        <w:r w:rsidR="004B2808">
          <w:rPr>
            <w:color w:val="0000EE"/>
          </w:rPr>
          <w:t>55.52.3a Habillage de portes en matière synthétique</w:t>
        </w:r>
      </w:hyperlink>
    </w:p>
    <w:p w14:paraId="65610D32" w14:textId="77777777" w:rsidR="004B2808" w:rsidRDefault="00000000">
      <w:pPr>
        <w:pStyle w:val="Author-eSectionHeading6Numberless"/>
      </w:pPr>
      <w:bookmarkStart w:id="1161" w:name="_Toc220491286"/>
      <w:r>
        <w:t>55.41.4a Manuel CCTB 01.10</w:t>
      </w:r>
      <w:bookmarkEnd w:id="1161"/>
    </w:p>
    <w:p w14:paraId="57442DA0" w14:textId="77777777" w:rsidR="004B2808" w:rsidRDefault="00000000">
      <w:pPr>
        <w:pStyle w:val="pheading"/>
      </w:pPr>
      <w:r>
        <w:t>MATÉRIAUX</w:t>
      </w:r>
    </w:p>
    <w:p w14:paraId="6D9733A1" w14:textId="77777777" w:rsidR="004B2808" w:rsidRDefault="00000000">
      <w:pPr>
        <w:pStyle w:val="pheading"/>
      </w:pPr>
      <w:r>
        <w:t>- Prescriptions complémentaires</w:t>
      </w:r>
    </w:p>
    <w:p w14:paraId="5CA4A5E4" w14:textId="77777777" w:rsidR="004B2808" w:rsidRDefault="00000000">
      <w:r>
        <w:t>Les glissières latérales sont pourvues de bandes ou de brosses absorbant le bruit.</w:t>
      </w:r>
      <w:r>
        <w:br/>
        <w:t>Sur la latte inférieure, un profil en caoutchouc anti-bruit ou en PVC est fixé.</w:t>
      </w:r>
      <w:r>
        <w:br/>
        <w:t>Sur le volet, des crochets à pitons sont fixés pour éviter le déploiement en cas de forte poussée du vent.</w:t>
      </w:r>
      <w:r>
        <w:br/>
        <w:t xml:space="preserve">Verrouillage de sécurité : </w:t>
      </w:r>
      <w:r>
        <w:rPr>
          <w:rStyle w:val="optioncarChar"/>
        </w:rPr>
        <w:t>système à soumettre à l'auteur de projet </w:t>
      </w:r>
      <w:r>
        <w:t>(par défaut)</w:t>
      </w:r>
      <w:r>
        <w:rPr>
          <w:rStyle w:val="optioncarChar"/>
        </w:rPr>
        <w:t> / ***.</w:t>
      </w:r>
      <w:r>
        <w:br/>
        <w:t>Les volets sont du type expansible, les glissières latérales sont adaptées</w:t>
      </w:r>
    </w:p>
    <w:p w14:paraId="337D0627" w14:textId="77777777" w:rsidR="004B2808" w:rsidRDefault="00000000">
      <w:pPr>
        <w:pStyle w:val="Author-eSectionHeading6Numberless"/>
      </w:pPr>
      <w:bookmarkStart w:id="1162" w:name="_Toc220491287"/>
      <w:r>
        <w:t>55.41.4b Motorisé CCTB 01.10</w:t>
      </w:r>
      <w:bookmarkEnd w:id="1162"/>
    </w:p>
    <w:p w14:paraId="5E61D657" w14:textId="77777777" w:rsidR="004B2808" w:rsidRDefault="00000000">
      <w:pPr>
        <w:pStyle w:val="pheading"/>
      </w:pPr>
      <w:r>
        <w:t>MATÉRIAUX</w:t>
      </w:r>
    </w:p>
    <w:p w14:paraId="6A68AF14" w14:textId="77777777" w:rsidR="004B2808" w:rsidRDefault="00000000">
      <w:pPr>
        <w:pStyle w:val="pheading"/>
      </w:pPr>
      <w:r>
        <w:t>- Prescriptions complémentaires</w:t>
      </w:r>
    </w:p>
    <w:p w14:paraId="4D118C8C" w14:textId="77777777" w:rsidR="004B2808" w:rsidRDefault="00000000">
      <w:r>
        <w:lastRenderedPageBreak/>
        <w:t>Les glissières latérales sont pourvues de bandes ou de brosses absorbant le bruit.</w:t>
      </w:r>
      <w:r>
        <w:br/>
        <w:t>Sur la latte inférieure, un profil en caoutchouc anti-bruit ou en PVC est fixé.</w:t>
      </w:r>
      <w:r>
        <w:br/>
        <w:t>Sur le volet, des crochets à pitons sont fixés pour éviter le déploiement en cas de forte poussée du vent.</w:t>
      </w:r>
      <w:r>
        <w:br/>
        <w:t xml:space="preserve">Verrouillage de sécurité : </w:t>
      </w:r>
      <w:r>
        <w:rPr>
          <w:rStyle w:val="optioncarChar"/>
        </w:rPr>
        <w:t>système à soumettre à l'auteur de projet</w:t>
      </w:r>
      <w:r>
        <w:t> (par défaut)</w:t>
      </w:r>
      <w:r>
        <w:rPr>
          <w:rStyle w:val="optioncarChar"/>
        </w:rPr>
        <w:t> / ***</w:t>
      </w:r>
      <w:r>
        <w:t>.</w:t>
      </w:r>
      <w:r>
        <w:br/>
        <w:t>Les volets sont du type expansible, les glissières latérales sont adaptées</w:t>
      </w:r>
    </w:p>
    <w:p w14:paraId="3549C17C" w14:textId="77777777" w:rsidR="004B2808" w:rsidRDefault="00000000">
      <w:pPr>
        <w:pStyle w:val="Author-eSectionHeading5Numberless"/>
      </w:pPr>
      <w:bookmarkStart w:id="1163" w:name="_Toc220491288"/>
      <w:r>
        <w:t>55.41.5 Store / volet (protection visuelle/solaire) roulant encastré en matériaux composites CCTB 01.02</w:t>
      </w:r>
      <w:bookmarkEnd w:id="1163"/>
    </w:p>
    <w:p w14:paraId="699077BA" w14:textId="77777777" w:rsidR="004B2808" w:rsidRDefault="00000000">
      <w:pPr>
        <w:pStyle w:val="Author-eSectionHeading6Numberless"/>
      </w:pPr>
      <w:bookmarkStart w:id="1164" w:name="_Toc220491289"/>
      <w:r>
        <w:t>55.41.5a Store / volet (protection visuelle/solaire) roulant encastré en matériaux composites CCTB 01.02</w:t>
      </w:r>
      <w:bookmarkEnd w:id="1164"/>
    </w:p>
    <w:p w14:paraId="664E17EC" w14:textId="77777777" w:rsidR="004B2808" w:rsidRDefault="00000000">
      <w:pPr>
        <w:pStyle w:val="Author-eSectionHeading4Numberless"/>
      </w:pPr>
      <w:bookmarkStart w:id="1165" w:name="_Toc220491290"/>
      <w:r>
        <w:t>55.42 Store / volet (protection visuelle/solaire) roulant appliqué CCTB 01.02</w:t>
      </w:r>
      <w:bookmarkEnd w:id="1165"/>
    </w:p>
    <w:p w14:paraId="5CF8B484" w14:textId="77777777" w:rsidR="004B2808" w:rsidRDefault="00000000">
      <w:pPr>
        <w:pStyle w:val="Author-eSectionHeading5Numberless"/>
      </w:pPr>
      <w:bookmarkStart w:id="1166" w:name="_Toc220491291"/>
      <w:r>
        <w:t>55.42.1 Store / volet (protection visuelle/solaire) roulant appliqué en bois massif / lamellé-collé CCTB 01.02</w:t>
      </w:r>
      <w:bookmarkEnd w:id="1166"/>
    </w:p>
    <w:p w14:paraId="4C32087D" w14:textId="77777777" w:rsidR="004B2808" w:rsidRDefault="00000000">
      <w:pPr>
        <w:pStyle w:val="Author-eSectionHeading6Numberless"/>
      </w:pPr>
      <w:bookmarkStart w:id="1167" w:name="_Toc220491292"/>
      <w:r>
        <w:t>55.42.1a Manuel CCTB 01.02</w:t>
      </w:r>
      <w:bookmarkEnd w:id="1167"/>
    </w:p>
    <w:p w14:paraId="367C89C3" w14:textId="77777777" w:rsidR="004B2808" w:rsidRDefault="00000000">
      <w:pPr>
        <w:pStyle w:val="Author-eSectionHeading6Numberless"/>
      </w:pPr>
      <w:bookmarkStart w:id="1168" w:name="_Toc220491293"/>
      <w:r>
        <w:t>55.42.1b Motorisé CCTB 01.02</w:t>
      </w:r>
      <w:bookmarkEnd w:id="1168"/>
    </w:p>
    <w:p w14:paraId="62BDDC53" w14:textId="77777777" w:rsidR="004B2808" w:rsidRDefault="00000000">
      <w:pPr>
        <w:pStyle w:val="Author-eSectionHeading5Numberless"/>
      </w:pPr>
      <w:bookmarkStart w:id="1169" w:name="_Toc220491294"/>
      <w:r>
        <w:t>55.42.2 Store / volet (protection visuelle/solaire) roulant appliqué en aluminium  CCTB 01.02</w:t>
      </w:r>
      <w:bookmarkEnd w:id="1169"/>
    </w:p>
    <w:p w14:paraId="28BA37DE" w14:textId="77777777" w:rsidR="004B2808" w:rsidRDefault="00000000">
      <w:pPr>
        <w:pStyle w:val="Author-eSectionHeading6Numberless"/>
      </w:pPr>
      <w:bookmarkStart w:id="1170" w:name="_Toc220491295"/>
      <w:r>
        <w:t>55.42.2a Manuel CCTB 01.02</w:t>
      </w:r>
      <w:bookmarkEnd w:id="1170"/>
    </w:p>
    <w:p w14:paraId="0AFDFFB7" w14:textId="77777777" w:rsidR="004B2808" w:rsidRDefault="00000000">
      <w:pPr>
        <w:pStyle w:val="Author-eSectionHeading6Numberless"/>
      </w:pPr>
      <w:bookmarkStart w:id="1171" w:name="_Toc220491296"/>
      <w:r>
        <w:t>55.42.2b Motorisé CCTB 01.02</w:t>
      </w:r>
      <w:bookmarkEnd w:id="1171"/>
    </w:p>
    <w:p w14:paraId="4D47CE92" w14:textId="77777777" w:rsidR="004B2808" w:rsidRDefault="00000000">
      <w:pPr>
        <w:pStyle w:val="Author-eSectionHeading5Numberless"/>
      </w:pPr>
      <w:bookmarkStart w:id="1172" w:name="_Toc220491297"/>
      <w:r>
        <w:t>55.42.3 Store / volet (protection visuelle/solaire) roulant appliqué en acier  CCTB 01.02</w:t>
      </w:r>
      <w:bookmarkEnd w:id="1172"/>
    </w:p>
    <w:p w14:paraId="56CC8EA1" w14:textId="77777777" w:rsidR="004B2808" w:rsidRDefault="00000000">
      <w:pPr>
        <w:pStyle w:val="Author-eSectionHeading6Numberless"/>
      </w:pPr>
      <w:bookmarkStart w:id="1173" w:name="_Toc220491298"/>
      <w:r>
        <w:t>55.42.3a Manuel CCTB 01.02</w:t>
      </w:r>
      <w:bookmarkEnd w:id="1173"/>
    </w:p>
    <w:p w14:paraId="00889D4B" w14:textId="77777777" w:rsidR="004B2808" w:rsidRDefault="00000000">
      <w:pPr>
        <w:pStyle w:val="Author-eSectionHeading6Numberless"/>
      </w:pPr>
      <w:bookmarkStart w:id="1174" w:name="_Toc220491299"/>
      <w:r>
        <w:t>55.42.3b Motorisé CCTB 01.02</w:t>
      </w:r>
      <w:bookmarkEnd w:id="1174"/>
    </w:p>
    <w:p w14:paraId="140701D1" w14:textId="77777777" w:rsidR="004B2808" w:rsidRDefault="00000000">
      <w:pPr>
        <w:pStyle w:val="Author-eSectionHeading5Numberless"/>
      </w:pPr>
      <w:bookmarkStart w:id="1175" w:name="_Toc220491300"/>
      <w:r>
        <w:t>55.42.4 Store / volet (protection visuelle/solaire) roulant appliqué en PVC CCTB 01.10</w:t>
      </w:r>
      <w:bookmarkEnd w:id="1175"/>
    </w:p>
    <w:p w14:paraId="6BDD71E9" w14:textId="77777777" w:rsidR="004B2808" w:rsidRDefault="00000000">
      <w:pPr>
        <w:pStyle w:val="pheading"/>
      </w:pPr>
      <w:r>
        <w:t>DESCRIPTION</w:t>
      </w:r>
    </w:p>
    <w:p w14:paraId="2967EBD3" w14:textId="77777777" w:rsidR="004B2808" w:rsidRDefault="00000000">
      <w:pPr>
        <w:pStyle w:val="pheading"/>
      </w:pPr>
      <w:r>
        <w:t>- Définition / Comprend</w:t>
      </w:r>
    </w:p>
    <w:p w14:paraId="12CEB660" w14:textId="77777777" w:rsidR="004B2808" w:rsidRDefault="00000000">
      <w:r>
        <w:t xml:space="preserve">Les volets extérieurs doivent être munis d'un marquage CE dont les performances sont définies par la norme [NBN EN 13241:2003+A2] ou s'ils sont destinés au passage de personnes [NBN EN 13659] .  S'ils ne sont pas destinés au passage de personnes, les stores doivent avoir un marquage CE conformément à la </w:t>
      </w:r>
      <w:r>
        <w:rPr>
          <w:shd w:val="clear" w:color="auto" w:fill="FFFFFF"/>
        </w:rPr>
        <w:t>norme [NBN EN 12216] .</w:t>
      </w:r>
    </w:p>
    <w:p w14:paraId="1F37479C" w14:textId="77777777" w:rsidR="004B2808" w:rsidRDefault="00000000">
      <w:pPr>
        <w:pStyle w:val="pheading"/>
      </w:pPr>
      <w:r>
        <w:t>MATÉRIAUX</w:t>
      </w:r>
    </w:p>
    <w:p w14:paraId="26C2F122" w14:textId="77777777" w:rsidR="004B2808" w:rsidRDefault="00000000">
      <w:r>
        <w:t xml:space="preserve">Les tableaux de volet sont réalisés en profilés tubulaires en PVC coloré dans la masse (lattes). Les lattes du volet sont assemblées au moyen d’un système d’agrafage qui forme une charnière de manière à assurer l'enroulement souple du volet. Des encoches fraisées ou des broches galvanisées empêchent le déplacement latéral des lattes. Les assemblages peuvent être pourvus de fentes qui laissent pénétrer l’air et la lumière lorsque le volet est légèrement levé. A partir d’une largeur de fenêtre supérieure à 2,00 m, les lattes sont pourvues de profils de renfort en métal non corrosif, selon les prescriptions du fabricant. En ce qui concerne la stabilité des couleurs, une garantie de dix ans est </w:t>
      </w:r>
      <w:r>
        <w:lastRenderedPageBreak/>
        <w:t>accordée pendant laquelle la décoloration ne peut excéder le niveau 3 à l'échelle des gris, selon l' [ISO 105/A02] .</w:t>
      </w:r>
    </w:p>
    <w:p w14:paraId="1FA96771" w14:textId="77777777" w:rsidR="004B2808" w:rsidRDefault="00000000">
      <w:pPr>
        <w:pStyle w:val="heading"/>
      </w:pPr>
      <w:r>
        <w:t>Spécifications</w:t>
      </w:r>
    </w:p>
    <w:p w14:paraId="40F21578" w14:textId="77777777" w:rsidR="004B2808" w:rsidRDefault="00000000">
      <w:r>
        <w:t xml:space="preserve">Type de volet : </w:t>
      </w:r>
      <w:r>
        <w:rPr>
          <w:rStyle w:val="optioncarChar"/>
        </w:rPr>
        <w:t>encastré </w:t>
      </w:r>
      <w:r>
        <w:t>(par défaut)</w:t>
      </w:r>
      <w:r>
        <w:rPr>
          <w:rStyle w:val="optioncarChar"/>
        </w:rPr>
        <w:t xml:space="preserve"> / ***</w:t>
      </w:r>
    </w:p>
    <w:p w14:paraId="222E7802" w14:textId="77777777" w:rsidR="004B2808" w:rsidRDefault="00000000">
      <w:r>
        <w:t xml:space="preserve">Commande : </w:t>
      </w:r>
      <w:r>
        <w:rPr>
          <w:rStyle w:val="optioncarChar"/>
        </w:rPr>
        <w:t>manuelle </w:t>
      </w:r>
      <w:r>
        <w:t>(par défaut)</w:t>
      </w:r>
      <w:r>
        <w:rPr>
          <w:rStyle w:val="optioncarChar"/>
        </w:rPr>
        <w:t xml:space="preserve"> / électrique / ***</w:t>
      </w:r>
    </w:p>
    <w:p w14:paraId="6BBEAF47" w14:textId="77777777" w:rsidR="004B2808" w:rsidRDefault="00000000">
      <w:r>
        <w:t xml:space="preserve">Forme des lattes : </w:t>
      </w:r>
      <w:r>
        <w:rPr>
          <w:rStyle w:val="optioncarChar"/>
        </w:rPr>
        <w:t>courbées</w:t>
      </w:r>
      <w:r>
        <w:t> (par défaut)</w:t>
      </w:r>
      <w:r>
        <w:rPr>
          <w:rStyle w:val="optioncarChar"/>
        </w:rPr>
        <w:t xml:space="preserve"> / côtés arrière et avant planes / ***</w:t>
      </w:r>
    </w:p>
    <w:p w14:paraId="0D572CBC" w14:textId="77777777" w:rsidR="004B2808" w:rsidRDefault="00000000">
      <w:r>
        <w:t xml:space="preserve">Dimensions des lattes  : hauteur au moins </w:t>
      </w:r>
      <w:r>
        <w:rPr>
          <w:rStyle w:val="optioncarChar"/>
        </w:rPr>
        <w:t>30</w:t>
      </w:r>
      <w:r>
        <w:t> (par défaut)</w:t>
      </w:r>
      <w:r>
        <w:rPr>
          <w:rStyle w:val="optioncarChar"/>
        </w:rPr>
        <w:t xml:space="preserve"> / 40 / 50 / 60 / ***</w:t>
      </w:r>
      <w:r>
        <w:t xml:space="preserve"> mm, épaisseur au moins  </w:t>
      </w:r>
      <w:r>
        <w:rPr>
          <w:rStyle w:val="optioncarChar"/>
        </w:rPr>
        <w:t>8 </w:t>
      </w:r>
      <w:r>
        <w:t>(par défaut)</w:t>
      </w:r>
      <w:r>
        <w:rPr>
          <w:rStyle w:val="optioncarChar"/>
        </w:rPr>
        <w:t xml:space="preserve"> / 10 / 12 / 14 / ***</w:t>
      </w:r>
      <w:r>
        <w:t xml:space="preserve"> mm</w:t>
      </w:r>
    </w:p>
    <w:p w14:paraId="645BD82D" w14:textId="77777777" w:rsidR="004B2808" w:rsidRDefault="00000000">
      <w:r>
        <w:t xml:space="preserve">Fermetures latérales : </w:t>
      </w:r>
      <w:r>
        <w:rPr>
          <w:rStyle w:val="optioncarChar"/>
        </w:rPr>
        <w:t>non prévues</w:t>
      </w:r>
      <w:r>
        <w:t xml:space="preserve"> (par défaut)</w:t>
      </w:r>
      <w:r>
        <w:rPr>
          <w:rStyle w:val="optioncarChar"/>
        </w:rPr>
        <w:t> / clips en matière synthétique ou en métal à prévoir à l'extrémité des lattes / ***</w:t>
      </w:r>
    </w:p>
    <w:p w14:paraId="328112CF" w14:textId="77777777" w:rsidR="004B2808" w:rsidRDefault="00000000">
      <w:r>
        <w:t xml:space="preserve">Couleur des lattes : </w:t>
      </w:r>
      <w:r>
        <w:rPr>
          <w:rStyle w:val="optioncarChar"/>
        </w:rPr>
        <w:t>blanc</w:t>
      </w:r>
      <w:r>
        <w:t> (par défaut)</w:t>
      </w:r>
      <w:r>
        <w:rPr>
          <w:rStyle w:val="optioncarChar"/>
        </w:rPr>
        <w:t xml:space="preserve"> / ivoire / brun foncé / ***</w:t>
      </w:r>
      <w:r>
        <w:t xml:space="preserve"> (coloré dans la masse)</w:t>
      </w:r>
    </w:p>
    <w:p w14:paraId="1CBB6E96" w14:textId="77777777" w:rsidR="004B2808" w:rsidRDefault="00000000">
      <w:r>
        <w:t xml:space="preserve">Fentes de ventilation : </w:t>
      </w:r>
      <w:r>
        <w:rPr>
          <w:rStyle w:val="optioncarChar"/>
        </w:rPr>
        <w:t>non prévues</w:t>
      </w:r>
      <w:r>
        <w:t> (par défaut)</w:t>
      </w:r>
      <w:r>
        <w:rPr>
          <w:rStyle w:val="optioncarChar"/>
        </w:rPr>
        <w:t xml:space="preserve"> / sur toute la hauteur / uniquement dans la partie inférieure</w:t>
      </w:r>
      <w:r>
        <w:t xml:space="preserve"> (1/3)</w:t>
      </w:r>
      <w:r>
        <w:rPr>
          <w:rStyle w:val="optioncarChar"/>
        </w:rPr>
        <w:t> / ***</w:t>
      </w:r>
    </w:p>
    <w:p w14:paraId="5D8E2CBC" w14:textId="77777777" w:rsidR="004B2808" w:rsidRDefault="00000000">
      <w:r>
        <w:t xml:space="preserve">Latte inférieure : </w:t>
      </w:r>
      <w:r>
        <w:rPr>
          <w:rStyle w:val="optioncarChar"/>
        </w:rPr>
        <w:t>renforcée au moyen d’un profil en matière synthétique avec butoirs</w:t>
      </w:r>
      <w:r>
        <w:t> (par défaut)</w:t>
      </w:r>
      <w:r>
        <w:rPr>
          <w:rStyle w:val="optioncarChar"/>
        </w:rPr>
        <w:t xml:space="preserve"> / insérée dans une cornière en aluminium continue / ***</w:t>
      </w:r>
    </w:p>
    <w:p w14:paraId="325703A3" w14:textId="77777777" w:rsidR="004B2808" w:rsidRDefault="00000000">
      <w:r>
        <w:t xml:space="preserve">Butoirs : </w:t>
      </w:r>
      <w:r>
        <w:rPr>
          <w:rStyle w:val="optioncarChar"/>
        </w:rPr>
        <w:t>en forme de L en PVC injecté</w:t>
      </w:r>
      <w:r>
        <w:t> (par défaut)</w:t>
      </w:r>
      <w:r>
        <w:rPr>
          <w:rStyle w:val="optioncarChar"/>
        </w:rPr>
        <w:t xml:space="preserve"> / polystyrène anti-chocs / Nylon / métal avec film de protection en plastic / ***</w:t>
      </w:r>
    </w:p>
    <w:p w14:paraId="4F3347CD" w14:textId="77777777" w:rsidR="004B2808" w:rsidRDefault="00000000">
      <w:r>
        <w:t xml:space="preserve">Glissières latérales : </w:t>
      </w:r>
      <w:r>
        <w:rPr>
          <w:rStyle w:val="optioncarChar"/>
        </w:rPr>
        <w:t>en PVC apparentes ou cachées</w:t>
      </w:r>
      <w:r>
        <w:t xml:space="preserve"> (par défaut) </w:t>
      </w:r>
      <w:r>
        <w:rPr>
          <w:rStyle w:val="optioncarChar"/>
        </w:rPr>
        <w:t>/ profils en aluminium / intégrées dans les profilés de la menuiserie extérieure / ***</w:t>
      </w:r>
    </w:p>
    <w:p w14:paraId="7D56572A" w14:textId="77777777" w:rsidR="004B2808" w:rsidRDefault="00000000">
      <w:r>
        <w:t>Mécanisme d'enroulement : (pour les systèmes plus chers à manivelle, voir la rubrique 41.5 Volets et protections solaires extérieures</w:t>
      </w:r>
    </w:p>
    <w:p w14:paraId="745AE256" w14:textId="77777777" w:rsidR="004B2808" w:rsidRDefault="00000000">
      <w:pPr>
        <w:ind w:left="675"/>
      </w:pPr>
      <w:r>
        <w:t>⇒ pivot enrouleur en PVC ou acier, d'au moins 60 mm de diamètre , sur roulements à billes;</w:t>
      </w:r>
    </w:p>
    <w:p w14:paraId="5DA9F5A7" w14:textId="77777777" w:rsidR="004B2808" w:rsidRDefault="00000000">
      <w:pPr>
        <w:ind w:left="675"/>
      </w:pPr>
      <w:r>
        <w:t>⇒ poulie en matière synthétique ou tôle d'acier galvanisé;</w:t>
      </w:r>
    </w:p>
    <w:p w14:paraId="5C41DD9C" w14:textId="77777777" w:rsidR="004B2808" w:rsidRDefault="00000000">
      <w:pPr>
        <w:ind w:left="675"/>
      </w:pPr>
      <w:r>
        <w:t>⇒ ruban en Nylon (environ 22 mm de largeur) guide-ruban avec enrouleur automatique;</w:t>
      </w:r>
    </w:p>
    <w:p w14:paraId="65DF909F" w14:textId="77777777" w:rsidR="004B2808" w:rsidRDefault="00000000">
      <w:pPr>
        <w:ind w:left="675"/>
      </w:pPr>
      <w:r>
        <w:t>⇒ l'ouverture pour le ruban est fermée à l'aide d'une plaquette en laiton  ou matière synthétique .</w:t>
      </w:r>
      <w:r>
        <w:br/>
      </w:r>
      <w:r>
        <w:br/>
        <w:t>La conception et la mise en œuvre des volets roulant sont conformes à la [NIT 143] et à la norme [NBN EN 13659]</w:t>
      </w:r>
    </w:p>
    <w:p w14:paraId="4CBC13A1" w14:textId="77777777" w:rsidR="004B2808" w:rsidRDefault="00000000">
      <w:pPr>
        <w:pStyle w:val="pheading"/>
      </w:pPr>
      <w:r>
        <w:t>EXÉCUTION / MISE EN ŒUVRE</w:t>
      </w:r>
    </w:p>
    <w:p w14:paraId="6649E898" w14:textId="77777777" w:rsidR="004B2808" w:rsidRDefault="00000000">
      <w:r>
        <w:t xml:space="preserve">Les glissières latérales sont </w:t>
      </w:r>
      <w:r>
        <w:rPr>
          <w:rStyle w:val="optioncarChar"/>
        </w:rPr>
        <w:t>encastrées de manière invisible entre le mur et le châssis</w:t>
      </w:r>
      <w:r>
        <w:t> (par défaut)</w:t>
      </w:r>
      <w:r>
        <w:rPr>
          <w:rStyle w:val="optioncarChar"/>
        </w:rPr>
        <w:t xml:space="preserve"> / placées en apparent à côté de la batée de la baie de fenêtre / ***. </w:t>
      </w:r>
    </w:p>
    <w:p w14:paraId="3C6CF8A5" w14:textId="77777777" w:rsidR="004B2808" w:rsidRDefault="00000000">
      <w:r>
        <w:rPr>
          <w:i/>
          <w:u w:val="single"/>
        </w:rPr>
        <w:t>Notes d'exécution complémentaires(biffer la mention inutile)</w:t>
      </w:r>
    </w:p>
    <w:p w14:paraId="3B8B9B39" w14:textId="77777777" w:rsidR="004B2808" w:rsidRDefault="00000000">
      <w:r>
        <w:t xml:space="preserve">Caisses à volets : voir les options à l'article </w:t>
      </w:r>
      <w:hyperlink w:anchor="1165" w:history="1">
        <w:r w:rsidR="004B2808">
          <w:rPr>
            <w:color w:val="0000EE"/>
          </w:rPr>
          <w:t>51.52 Préparation du support</w:t>
        </w:r>
      </w:hyperlink>
      <w:r>
        <w:t xml:space="preserve">. </w:t>
      </w:r>
    </w:p>
    <w:p w14:paraId="75CEA5E8" w14:textId="77777777" w:rsidR="004B2808" w:rsidRDefault="00000000">
      <w:pPr>
        <w:pStyle w:val="Author-eSectionHeading6Numberless"/>
      </w:pPr>
      <w:bookmarkStart w:id="1176" w:name="_Toc220491301"/>
      <w:r>
        <w:t>55.42.4a Manuel CCTB 01.10</w:t>
      </w:r>
      <w:bookmarkEnd w:id="1176"/>
    </w:p>
    <w:p w14:paraId="13BFAB12" w14:textId="77777777" w:rsidR="004B2808" w:rsidRDefault="00000000">
      <w:pPr>
        <w:pStyle w:val="pheading"/>
      </w:pPr>
      <w:r>
        <w:t>MATÉRIAUX</w:t>
      </w:r>
    </w:p>
    <w:p w14:paraId="3B1299B2" w14:textId="77777777" w:rsidR="004B2808" w:rsidRDefault="00000000">
      <w:pPr>
        <w:pStyle w:val="pheading"/>
      </w:pPr>
      <w:r>
        <w:t>- Prescriptions complémentaires</w:t>
      </w:r>
    </w:p>
    <w:p w14:paraId="539F186E" w14:textId="77777777" w:rsidR="004B2808" w:rsidRDefault="00000000">
      <w:r>
        <w:t>Les glissières latérales sont pourvues de bandes ou de brosses absorbant le bruit.</w:t>
      </w:r>
      <w:r>
        <w:br/>
        <w:t>Sur la latte inférieure, un profil en caoutchouc anti-bruit ou en PVC est fixé.</w:t>
      </w:r>
      <w:r>
        <w:br/>
        <w:t>Sur le volet, des crochets à pitons sont fixés pour éviter le déploiement en cas de forte poussée du vent.</w:t>
      </w:r>
      <w:r>
        <w:br/>
        <w:t xml:space="preserve">Verrouillage de sécurité : </w:t>
      </w:r>
      <w:r>
        <w:rPr>
          <w:rStyle w:val="optioncarChar"/>
        </w:rPr>
        <w:t>système à soumettre à l'auteur de projet</w:t>
      </w:r>
      <w:r>
        <w:t> (par défaut)</w:t>
      </w:r>
      <w:r>
        <w:rPr>
          <w:rStyle w:val="optioncarChar"/>
        </w:rPr>
        <w:t> / ***</w:t>
      </w:r>
      <w:r>
        <w:t>.</w:t>
      </w:r>
      <w:r>
        <w:br/>
        <w:t>Les volets sont du type expansible, les glissières latérales sont adaptées</w:t>
      </w:r>
    </w:p>
    <w:p w14:paraId="19791AD7" w14:textId="77777777" w:rsidR="004B2808" w:rsidRDefault="00000000">
      <w:pPr>
        <w:pStyle w:val="Author-eSectionHeading6Numberless"/>
      </w:pPr>
      <w:bookmarkStart w:id="1177" w:name="_Toc220491302"/>
      <w:r>
        <w:t>55.42.4b Motorisé CCTB 01.10</w:t>
      </w:r>
      <w:bookmarkEnd w:id="1177"/>
    </w:p>
    <w:p w14:paraId="56076CA4" w14:textId="77777777" w:rsidR="004B2808" w:rsidRDefault="00000000">
      <w:pPr>
        <w:pStyle w:val="pheading"/>
      </w:pPr>
      <w:r>
        <w:lastRenderedPageBreak/>
        <w:t>MATÉRIAUX</w:t>
      </w:r>
    </w:p>
    <w:p w14:paraId="75DFB4CE" w14:textId="77777777" w:rsidR="004B2808" w:rsidRDefault="00000000">
      <w:pPr>
        <w:pStyle w:val="pheading"/>
      </w:pPr>
      <w:r>
        <w:t>- Prescriptions complémentaires</w:t>
      </w:r>
    </w:p>
    <w:p w14:paraId="22282BE3" w14:textId="77777777" w:rsidR="004B2808" w:rsidRDefault="00000000">
      <w:r>
        <w:t>Les glissières latérales sont pourvues de bandes ou de brosses absorbant le bruit.</w:t>
      </w:r>
      <w:r>
        <w:br/>
        <w:t>Sur la latte inférieure, un profil en caoutchouc anti-bruit ou en PVC est fixé.</w:t>
      </w:r>
      <w:r>
        <w:br/>
        <w:t>Sur le volet, des crochets à pitons sont fixés pour éviter le déploiement en cas de forte poussée du vent.</w:t>
      </w:r>
      <w:r>
        <w:br/>
        <w:t xml:space="preserve">Verrouillage de sécurité : </w:t>
      </w:r>
      <w:r>
        <w:rPr>
          <w:rStyle w:val="optioncarChar"/>
        </w:rPr>
        <w:t>système à soumettre à l'auteur de projet</w:t>
      </w:r>
      <w:r>
        <w:t xml:space="preserve"> (par défaut)</w:t>
      </w:r>
      <w:r>
        <w:rPr>
          <w:rStyle w:val="optioncarChar"/>
        </w:rPr>
        <w:t> / ***.</w:t>
      </w:r>
      <w:r>
        <w:br/>
        <w:t>Les volets sont du type expansible, les glissières latérales sont adaptées :</w:t>
      </w:r>
    </w:p>
    <w:p w14:paraId="7A28706A" w14:textId="77777777" w:rsidR="004B2808" w:rsidRDefault="00000000">
      <w:pPr>
        <w:pStyle w:val="Author-eSectionHeading5Numberless"/>
      </w:pPr>
      <w:bookmarkStart w:id="1178" w:name="_Toc220491303"/>
      <w:r>
        <w:t>55.42.5 Store / volet (protection visuelle/solaire) roulant appliqué en matériaux composites CCTB 01.02</w:t>
      </w:r>
      <w:bookmarkEnd w:id="1178"/>
    </w:p>
    <w:p w14:paraId="7C6D8140" w14:textId="77777777" w:rsidR="004B2808" w:rsidRDefault="00000000">
      <w:pPr>
        <w:pStyle w:val="Author-eSectionHeading6Numberless"/>
      </w:pPr>
      <w:bookmarkStart w:id="1179" w:name="_Toc220491304"/>
      <w:r>
        <w:t>55.42.5a Store / volet (protection visuelle/solaire) roulant appliqué en matériaux composites CCTB 01.02</w:t>
      </w:r>
      <w:bookmarkEnd w:id="1179"/>
    </w:p>
    <w:p w14:paraId="10046013" w14:textId="77777777" w:rsidR="004B2808" w:rsidRDefault="00000000">
      <w:pPr>
        <w:pStyle w:val="Author-eSectionHeading4Numberless"/>
      </w:pPr>
      <w:bookmarkStart w:id="1180" w:name="_Toc220491305"/>
      <w:r>
        <w:t>55.43 Store / volet (protection visuelle/solaire) roulant projetant CCTB 01.02</w:t>
      </w:r>
      <w:bookmarkEnd w:id="1180"/>
    </w:p>
    <w:p w14:paraId="12E67B11" w14:textId="77777777" w:rsidR="004B2808" w:rsidRDefault="00000000">
      <w:pPr>
        <w:pStyle w:val="Author-eSectionHeading5Numberless"/>
      </w:pPr>
      <w:bookmarkStart w:id="1181" w:name="_Toc220491306"/>
      <w:r>
        <w:t>55.43.1 Store / volet (protection visuelle/solaire) roulant projetant en bois CCTB 01.02</w:t>
      </w:r>
      <w:bookmarkEnd w:id="1181"/>
    </w:p>
    <w:p w14:paraId="2F0BFD90" w14:textId="77777777" w:rsidR="004B2808" w:rsidRDefault="00000000">
      <w:pPr>
        <w:pStyle w:val="Author-eSectionHeading6Numberless"/>
      </w:pPr>
      <w:bookmarkStart w:id="1182" w:name="_Toc220491307"/>
      <w:r>
        <w:t>55.43.1a Manuel CCTB 01.02</w:t>
      </w:r>
      <w:bookmarkEnd w:id="1182"/>
    </w:p>
    <w:p w14:paraId="7A0B549A" w14:textId="77777777" w:rsidR="004B2808" w:rsidRDefault="00000000">
      <w:pPr>
        <w:pStyle w:val="Author-eSectionHeading6Numberless"/>
      </w:pPr>
      <w:bookmarkStart w:id="1183" w:name="_Toc220491308"/>
      <w:r>
        <w:t>55.43.1b Motorisé CCTB 01.02</w:t>
      </w:r>
      <w:bookmarkEnd w:id="1183"/>
    </w:p>
    <w:p w14:paraId="1FB9893D" w14:textId="77777777" w:rsidR="004B2808" w:rsidRDefault="00000000">
      <w:pPr>
        <w:pStyle w:val="Author-eSectionHeading5Numberless"/>
      </w:pPr>
      <w:bookmarkStart w:id="1184" w:name="_Toc220491309"/>
      <w:r>
        <w:t>55.43.2 Store / volet (protection visuelle/solaire) roulant projetant en aluminium  CCTB 01.02</w:t>
      </w:r>
      <w:bookmarkEnd w:id="1184"/>
    </w:p>
    <w:p w14:paraId="2BD2B537" w14:textId="77777777" w:rsidR="004B2808" w:rsidRDefault="00000000">
      <w:pPr>
        <w:pStyle w:val="Author-eSectionHeading6Numberless"/>
      </w:pPr>
      <w:bookmarkStart w:id="1185" w:name="_Toc220491310"/>
      <w:r>
        <w:t>55.43.2a Manuel CCTB 01.02</w:t>
      </w:r>
      <w:bookmarkEnd w:id="1185"/>
    </w:p>
    <w:p w14:paraId="4D7EC078" w14:textId="77777777" w:rsidR="004B2808" w:rsidRDefault="00000000">
      <w:pPr>
        <w:pStyle w:val="Author-eSectionHeading6Numberless"/>
      </w:pPr>
      <w:bookmarkStart w:id="1186" w:name="_Toc220491311"/>
      <w:r>
        <w:t>55.43.2b Motorisé CCTB 01.02</w:t>
      </w:r>
      <w:bookmarkEnd w:id="1186"/>
    </w:p>
    <w:p w14:paraId="12AA8BFF" w14:textId="77777777" w:rsidR="004B2808" w:rsidRDefault="00000000">
      <w:pPr>
        <w:pStyle w:val="Author-eSectionHeading5Numberless"/>
      </w:pPr>
      <w:bookmarkStart w:id="1187" w:name="_Toc220491312"/>
      <w:r>
        <w:t>55.43.3 Store / volet (protection visuelle/solaire) roulant projetant en acier  CCTB 01.02</w:t>
      </w:r>
      <w:bookmarkEnd w:id="1187"/>
    </w:p>
    <w:p w14:paraId="33C9654B" w14:textId="77777777" w:rsidR="004B2808" w:rsidRDefault="00000000">
      <w:pPr>
        <w:pStyle w:val="Author-eSectionHeading6Numberless"/>
      </w:pPr>
      <w:bookmarkStart w:id="1188" w:name="_Toc220491313"/>
      <w:r>
        <w:t>55.43.3a Manuel CCTB 01.02</w:t>
      </w:r>
      <w:bookmarkEnd w:id="1188"/>
    </w:p>
    <w:p w14:paraId="503FB5CD" w14:textId="77777777" w:rsidR="004B2808" w:rsidRDefault="00000000">
      <w:pPr>
        <w:pStyle w:val="Author-eSectionHeading6Numberless"/>
      </w:pPr>
      <w:bookmarkStart w:id="1189" w:name="_Toc220491314"/>
      <w:r>
        <w:t>55.43.3b Motorisé CCTB 01.02</w:t>
      </w:r>
      <w:bookmarkEnd w:id="1189"/>
    </w:p>
    <w:p w14:paraId="372E6538" w14:textId="77777777" w:rsidR="004B2808" w:rsidRDefault="00000000">
      <w:pPr>
        <w:pStyle w:val="Author-eSectionHeading5Numberless"/>
      </w:pPr>
      <w:bookmarkStart w:id="1190" w:name="_Toc220491315"/>
      <w:r>
        <w:t>55.43.4 Store / volet (protection visuelle/solaire) roulant projetant en PVC CCTB 01.10</w:t>
      </w:r>
      <w:bookmarkEnd w:id="1190"/>
    </w:p>
    <w:p w14:paraId="09EDF6D4" w14:textId="77777777" w:rsidR="004B2808" w:rsidRDefault="00000000">
      <w:pPr>
        <w:pStyle w:val="pheading"/>
      </w:pPr>
      <w:r>
        <w:t>DESCRIPTION</w:t>
      </w:r>
    </w:p>
    <w:p w14:paraId="0922E28F" w14:textId="77777777" w:rsidR="004B2808" w:rsidRDefault="00000000">
      <w:pPr>
        <w:pStyle w:val="pheading"/>
      </w:pPr>
      <w:r>
        <w:t>- Définition / Comprend</w:t>
      </w:r>
    </w:p>
    <w:p w14:paraId="1A5A3CA0" w14:textId="77777777" w:rsidR="004B2808" w:rsidRDefault="00000000">
      <w:r>
        <w:t xml:space="preserve">Les volets extérieurs doivent être munis d'un marquage CE dont les performances sont définies par la norme [NBN EN 13241:2003+A2] ou s'ils sont destinés au passage de personnes [NBN EN 13659] .  S'ils ne sont pas destinés au passage de personnes, les stores doivent avoir un marquage CE conformément à la </w:t>
      </w:r>
      <w:r>
        <w:rPr>
          <w:shd w:val="clear" w:color="auto" w:fill="FFFFFF"/>
        </w:rPr>
        <w:t>norme [NBN EN 12216] .</w:t>
      </w:r>
    </w:p>
    <w:p w14:paraId="12D49434" w14:textId="77777777" w:rsidR="004B2808" w:rsidRDefault="00000000">
      <w:pPr>
        <w:pStyle w:val="pheading"/>
      </w:pPr>
      <w:r>
        <w:t>MATÉRIAUX</w:t>
      </w:r>
    </w:p>
    <w:p w14:paraId="00464CB6" w14:textId="77777777" w:rsidR="004B2808" w:rsidRDefault="00000000">
      <w:r>
        <w:t xml:space="preserve">Les tableaux de volet sont réalisés en profilés tubulaires en PVC coloré dans la masse (lattes). Les lattes du volet sont assemblées au moyen d’un système d’agrafage qui forme une charnière de manière à assurer l'enroulement souple du volet. Des encoches fraisées ou des broches galvanisées empêchent le déplacement latéral des lattes. Les assemblages peuvent être pourvus de fentes qui laissent pénétrer l’air et la lumière lorsque le volet est légèrement levé. A partir d’une largeur de </w:t>
      </w:r>
      <w:r>
        <w:lastRenderedPageBreak/>
        <w:t>fenêtre supérieure à 2,00 m, les lattes sont pourvues de profils de renfort en métal non corrosif, selon les prescriptions du fabricant. En ce qui concerne la stabilité des couleurs, une garantie de dix ans est accordée pendant laquelle la décoloration ne peut excéder le niveau 3 à l'échelle des gris, selon l' [ISO 105/A02] .</w:t>
      </w:r>
    </w:p>
    <w:p w14:paraId="23F98FFA" w14:textId="77777777" w:rsidR="004B2808" w:rsidRDefault="00000000">
      <w:pPr>
        <w:pStyle w:val="heading"/>
      </w:pPr>
      <w:r>
        <w:t>Spécifications</w:t>
      </w:r>
    </w:p>
    <w:p w14:paraId="38152398" w14:textId="77777777" w:rsidR="004B2808" w:rsidRDefault="00000000">
      <w:r>
        <w:t xml:space="preserve">Type de volet : </w:t>
      </w:r>
      <w:r>
        <w:rPr>
          <w:rStyle w:val="optioncarChar"/>
        </w:rPr>
        <w:t>encastré </w:t>
      </w:r>
      <w:r>
        <w:t>(par défaut)</w:t>
      </w:r>
      <w:r>
        <w:rPr>
          <w:rStyle w:val="optioncarChar"/>
        </w:rPr>
        <w:t xml:space="preserve"> / ***</w:t>
      </w:r>
    </w:p>
    <w:p w14:paraId="1E0341CE" w14:textId="77777777" w:rsidR="004B2808" w:rsidRDefault="00000000">
      <w:r>
        <w:t xml:space="preserve">Commande : </w:t>
      </w:r>
      <w:r>
        <w:rPr>
          <w:rStyle w:val="optioncarChar"/>
        </w:rPr>
        <w:t>manuelle </w:t>
      </w:r>
      <w:r>
        <w:t>(par défaut)</w:t>
      </w:r>
      <w:r>
        <w:rPr>
          <w:rStyle w:val="optioncarChar"/>
        </w:rPr>
        <w:t xml:space="preserve"> / électrique / ***</w:t>
      </w:r>
    </w:p>
    <w:p w14:paraId="7E004F87" w14:textId="77777777" w:rsidR="004B2808" w:rsidRDefault="00000000">
      <w:r>
        <w:t xml:space="preserve">Forme des lattes : </w:t>
      </w:r>
      <w:r>
        <w:rPr>
          <w:rStyle w:val="optioncarChar"/>
        </w:rPr>
        <w:t>courbées</w:t>
      </w:r>
      <w:r>
        <w:t> (par défaut)</w:t>
      </w:r>
      <w:r>
        <w:rPr>
          <w:rStyle w:val="optioncarChar"/>
        </w:rPr>
        <w:t xml:space="preserve"> / côtés arrière et avant planes / ***</w:t>
      </w:r>
    </w:p>
    <w:p w14:paraId="6CF7EA1F" w14:textId="77777777" w:rsidR="004B2808" w:rsidRDefault="00000000">
      <w:r>
        <w:t xml:space="preserve">Dimensions des lattes  : hauteur  au moins </w:t>
      </w:r>
      <w:r>
        <w:rPr>
          <w:rStyle w:val="optioncarChar"/>
        </w:rPr>
        <w:t>30</w:t>
      </w:r>
      <w:r>
        <w:t> (par défaut)</w:t>
      </w:r>
      <w:r>
        <w:rPr>
          <w:rStyle w:val="optioncarChar"/>
        </w:rPr>
        <w:t xml:space="preserve"> / 40 / 50 / 60 / ***</w:t>
      </w:r>
      <w:r>
        <w:t xml:space="preserve"> mm, épaisseur au moins  </w:t>
      </w:r>
      <w:r>
        <w:rPr>
          <w:rStyle w:val="optioncarChar"/>
        </w:rPr>
        <w:t>8 </w:t>
      </w:r>
      <w:r>
        <w:t>(par défaut)</w:t>
      </w:r>
      <w:r>
        <w:rPr>
          <w:rStyle w:val="optioncarChar"/>
        </w:rPr>
        <w:t xml:space="preserve"> / 10 / 12 / 14 / ***</w:t>
      </w:r>
      <w:r>
        <w:t xml:space="preserve"> mm</w:t>
      </w:r>
    </w:p>
    <w:p w14:paraId="7DDD9FAB" w14:textId="77777777" w:rsidR="004B2808" w:rsidRDefault="00000000">
      <w:r>
        <w:t xml:space="preserve">Fermetures latérales : </w:t>
      </w:r>
      <w:r>
        <w:rPr>
          <w:rStyle w:val="optioncarChar"/>
        </w:rPr>
        <w:t>non prévues</w:t>
      </w:r>
      <w:r>
        <w:t> (par défaut)</w:t>
      </w:r>
      <w:r>
        <w:rPr>
          <w:rStyle w:val="optioncarChar"/>
        </w:rPr>
        <w:t xml:space="preserve"> / clips en matière synthétique ou en métal à prévoir à l'extrémité des lattes</w:t>
      </w:r>
    </w:p>
    <w:p w14:paraId="3A435F6E" w14:textId="77777777" w:rsidR="004B2808" w:rsidRDefault="00000000">
      <w:r>
        <w:t xml:space="preserve">Couleur des lattes : </w:t>
      </w:r>
      <w:r>
        <w:rPr>
          <w:rStyle w:val="optioncarChar"/>
        </w:rPr>
        <w:t>blanc</w:t>
      </w:r>
      <w:r>
        <w:t> (par défaut)</w:t>
      </w:r>
      <w:r>
        <w:rPr>
          <w:rStyle w:val="optioncarChar"/>
        </w:rPr>
        <w:t xml:space="preserve"> / ivoire / brun foncé / ***</w:t>
      </w:r>
      <w:r>
        <w:t xml:space="preserve"> (coloré dans la masse)</w:t>
      </w:r>
    </w:p>
    <w:p w14:paraId="45B0BFA0" w14:textId="77777777" w:rsidR="004B2808" w:rsidRDefault="00000000">
      <w:r>
        <w:t xml:space="preserve">Fentes de ventilation : </w:t>
      </w:r>
      <w:r>
        <w:rPr>
          <w:rStyle w:val="optioncarChar"/>
        </w:rPr>
        <w:t>non prévues </w:t>
      </w:r>
      <w:r>
        <w:t>(par défaut)</w:t>
      </w:r>
      <w:r>
        <w:rPr>
          <w:rStyle w:val="optioncarChar"/>
        </w:rPr>
        <w:t xml:space="preserve"> / sur toute la hauteur / uniquement dans la partie inférieure</w:t>
      </w:r>
      <w:r>
        <w:t xml:space="preserve"> (1/3)</w:t>
      </w:r>
    </w:p>
    <w:p w14:paraId="28B42D9A" w14:textId="77777777" w:rsidR="004B2808" w:rsidRDefault="00000000">
      <w:r>
        <w:t xml:space="preserve">Latte inférieure : </w:t>
      </w:r>
      <w:r>
        <w:rPr>
          <w:rStyle w:val="optioncarChar"/>
        </w:rPr>
        <w:t>renforcée au moyen d’un profil en matière synthétique avec butoirs</w:t>
      </w:r>
      <w:r>
        <w:t xml:space="preserve"> (par défaut) </w:t>
      </w:r>
      <w:r>
        <w:rPr>
          <w:rStyle w:val="optioncarChar"/>
        </w:rPr>
        <w:t>/ insérée dans une cornière en aluminium continue</w:t>
      </w:r>
    </w:p>
    <w:p w14:paraId="23462392" w14:textId="77777777" w:rsidR="004B2808" w:rsidRDefault="00000000">
      <w:r>
        <w:t xml:space="preserve">Butoirs : </w:t>
      </w:r>
      <w:r>
        <w:rPr>
          <w:rStyle w:val="optioncarChar"/>
        </w:rPr>
        <w:t>en forme de L en PVC injecté</w:t>
      </w:r>
      <w:r>
        <w:t xml:space="preserve"> (par défaut) </w:t>
      </w:r>
      <w:r>
        <w:rPr>
          <w:rStyle w:val="optioncarChar"/>
        </w:rPr>
        <w:t>/ polystyrène anti-chocs / Nylon / métal avec film de protection en plastic / ***</w:t>
      </w:r>
    </w:p>
    <w:p w14:paraId="54CF5B79" w14:textId="77777777" w:rsidR="004B2808" w:rsidRDefault="00000000">
      <w:r>
        <w:t xml:space="preserve">Glissières latérales : </w:t>
      </w:r>
      <w:r>
        <w:rPr>
          <w:rStyle w:val="optioncarChar"/>
        </w:rPr>
        <w:t>en PVC apparentes ou cachées</w:t>
      </w:r>
      <w:r>
        <w:t> (par défaut)</w:t>
      </w:r>
      <w:r>
        <w:rPr>
          <w:rStyle w:val="optioncarChar"/>
        </w:rPr>
        <w:t xml:space="preserve"> / profils en aluminium / intégrées dans les profilés de la menuiserie extérieure / ***</w:t>
      </w:r>
    </w:p>
    <w:p w14:paraId="31F51D14" w14:textId="77777777" w:rsidR="004B2808" w:rsidRDefault="00000000">
      <w:r>
        <w:t>Mécanisme d'enroulement : (pour les systèmes plus chers à manivelle, voir la rubrique 41.5 Volets et protections solaires extérieures</w:t>
      </w:r>
    </w:p>
    <w:p w14:paraId="2369663A" w14:textId="77777777" w:rsidR="004B2808" w:rsidRDefault="00000000">
      <w:pPr>
        <w:ind w:left="675"/>
      </w:pPr>
      <w:r>
        <w:t>⇒ pivot enrouleur en PVC ou acier, d'au moins 60 mm de diamètre , sur roulements à billes;</w:t>
      </w:r>
    </w:p>
    <w:p w14:paraId="1D83905F" w14:textId="77777777" w:rsidR="004B2808" w:rsidRDefault="00000000">
      <w:pPr>
        <w:ind w:left="675"/>
      </w:pPr>
      <w:r>
        <w:t>⇒ poulie en matière synthétique ou tôle d'acier galvanisé;</w:t>
      </w:r>
    </w:p>
    <w:p w14:paraId="5B46430F" w14:textId="77777777" w:rsidR="004B2808" w:rsidRDefault="00000000">
      <w:pPr>
        <w:ind w:left="675"/>
      </w:pPr>
      <w:r>
        <w:t>⇒ ruban en Nylon (environ  22 mm de largeur) guide-ruban avec enrouleur automatique;</w:t>
      </w:r>
    </w:p>
    <w:p w14:paraId="31877948" w14:textId="77777777" w:rsidR="004B2808" w:rsidRDefault="00000000">
      <w:pPr>
        <w:ind w:left="675"/>
      </w:pPr>
      <w:r>
        <w:t>⇒ l'ouverture pour le ruban est fermée à l'aide d'une plaquette en laiton ou matière synthétique .</w:t>
      </w:r>
      <w:r>
        <w:br/>
      </w:r>
      <w:r>
        <w:br/>
        <w:t>La conception et la mise en œuvre des volets roulant sont conformes à la [NIT 143] et à la norme[NBN EN 13659] .</w:t>
      </w:r>
    </w:p>
    <w:p w14:paraId="35448909" w14:textId="77777777" w:rsidR="004B2808" w:rsidRDefault="00000000">
      <w:pPr>
        <w:pStyle w:val="Author-eSectionHeading6Numberless"/>
      </w:pPr>
      <w:bookmarkStart w:id="1191" w:name="_Toc220491316"/>
      <w:r>
        <w:t>55.43.4a Manuel CCTB 01.10</w:t>
      </w:r>
      <w:bookmarkEnd w:id="1191"/>
    </w:p>
    <w:p w14:paraId="2149FBDB" w14:textId="77777777" w:rsidR="004B2808" w:rsidRDefault="00000000">
      <w:pPr>
        <w:pStyle w:val="pheading"/>
      </w:pPr>
      <w:r>
        <w:t>MATÉRIAUX</w:t>
      </w:r>
    </w:p>
    <w:p w14:paraId="2E4FD561" w14:textId="77777777" w:rsidR="004B2808" w:rsidRDefault="00000000">
      <w:pPr>
        <w:pStyle w:val="pheading"/>
      </w:pPr>
      <w:r>
        <w:t>- Prescriptions complémentaires</w:t>
      </w:r>
    </w:p>
    <w:p w14:paraId="47B9B564" w14:textId="77777777" w:rsidR="004B2808" w:rsidRDefault="00000000">
      <w:r>
        <w:t>Les glissières latérales sont pourvues de bandes ou de brosses absorbant le bruit.</w:t>
      </w:r>
      <w:r>
        <w:br/>
        <w:t>Sur la latte inférieure, un profil en caoutchouc anti-bruit ou en PVC est fixé.</w:t>
      </w:r>
      <w:r>
        <w:br/>
        <w:t>Sur le volet, des crochets à pitons sont fixés pour éviter le déploiement en cas de forte poussée du vent.</w:t>
      </w:r>
      <w:r>
        <w:br/>
        <w:t xml:space="preserve">Verrouillage de sécurité : </w:t>
      </w:r>
      <w:r>
        <w:rPr>
          <w:rStyle w:val="optioncarChar"/>
        </w:rPr>
        <w:t>système à soumettre à l'auteur de projet</w:t>
      </w:r>
      <w:r>
        <w:t> (par défaut)</w:t>
      </w:r>
      <w:r>
        <w:rPr>
          <w:rStyle w:val="optioncarChar"/>
        </w:rPr>
        <w:t> / ***</w:t>
      </w:r>
      <w:r>
        <w:t>.</w:t>
      </w:r>
      <w:r>
        <w:br/>
        <w:t>Les volets sont du type expansible, les glissières latérales sont adaptées :</w:t>
      </w:r>
    </w:p>
    <w:p w14:paraId="3A709E49" w14:textId="77777777" w:rsidR="004B2808" w:rsidRDefault="00000000">
      <w:pPr>
        <w:pStyle w:val="Author-eSectionHeading6Numberless"/>
      </w:pPr>
      <w:bookmarkStart w:id="1192" w:name="_Toc220491317"/>
      <w:r>
        <w:t>55.43.4b Motorisé CCTB 01.10</w:t>
      </w:r>
      <w:bookmarkEnd w:id="1192"/>
    </w:p>
    <w:p w14:paraId="0D753203" w14:textId="77777777" w:rsidR="004B2808" w:rsidRDefault="00000000">
      <w:pPr>
        <w:pStyle w:val="pheading"/>
      </w:pPr>
      <w:r>
        <w:t>MATÉRIAUX</w:t>
      </w:r>
    </w:p>
    <w:p w14:paraId="640C483F" w14:textId="77777777" w:rsidR="004B2808" w:rsidRDefault="00000000">
      <w:pPr>
        <w:pStyle w:val="pheading"/>
      </w:pPr>
      <w:r>
        <w:t>- Prescriptions complémentaires</w:t>
      </w:r>
    </w:p>
    <w:p w14:paraId="463C8AB4" w14:textId="77777777" w:rsidR="004B2808" w:rsidRDefault="00000000">
      <w:r>
        <w:lastRenderedPageBreak/>
        <w:t>Les glissières latérales sont pourvues de bandes ou de brosses absorbant le bruit.</w:t>
      </w:r>
      <w:r>
        <w:br/>
        <w:t>Sur la latte inférieure, un profil en caoutchouc anti-bruit ou en PVC est fixé.</w:t>
      </w:r>
      <w:r>
        <w:br/>
        <w:t>Sur le volet, des crochets à pitons sont fixés pour éviter le déploiement en cas de forte poussée du vent.</w:t>
      </w:r>
      <w:r>
        <w:br/>
        <w:t xml:space="preserve">Verrouillage de sécurité : </w:t>
      </w:r>
      <w:r>
        <w:rPr>
          <w:rStyle w:val="optioncarChar"/>
        </w:rPr>
        <w:t>système à soumettre à l'auteur de projet</w:t>
      </w:r>
      <w:r>
        <w:t> (par défaut)</w:t>
      </w:r>
      <w:r>
        <w:rPr>
          <w:rStyle w:val="optioncarChar"/>
        </w:rPr>
        <w:t> / ***</w:t>
      </w:r>
      <w:r>
        <w:t>.</w:t>
      </w:r>
      <w:r>
        <w:br/>
        <w:t>Les volets sont du type expansible, les glissières latérales sont adaptées :</w:t>
      </w:r>
    </w:p>
    <w:p w14:paraId="1BA1F1DC" w14:textId="77777777" w:rsidR="004B2808" w:rsidRDefault="00000000">
      <w:pPr>
        <w:pStyle w:val="Author-eSectionHeading5Numberless"/>
      </w:pPr>
      <w:bookmarkStart w:id="1193" w:name="_Toc220491318"/>
      <w:r>
        <w:t>55.43.5 Store / volet (protection visuelle/solaire) roulant projetant en matériaux composites CCTB 01.02</w:t>
      </w:r>
      <w:bookmarkEnd w:id="1193"/>
    </w:p>
    <w:p w14:paraId="2EC84FED" w14:textId="77777777" w:rsidR="004B2808" w:rsidRDefault="00000000">
      <w:pPr>
        <w:pStyle w:val="Author-eSectionHeading6Numberless"/>
      </w:pPr>
      <w:bookmarkStart w:id="1194" w:name="_Toc220491319"/>
      <w:r>
        <w:t>55.43.5a Store / volet (protection visuelle/solaire) roulant projetant en matériaux composites CCTB 01.02</w:t>
      </w:r>
      <w:bookmarkEnd w:id="1194"/>
    </w:p>
    <w:p w14:paraId="55AF0A1E" w14:textId="77777777" w:rsidR="004B2808" w:rsidRDefault="00000000">
      <w:pPr>
        <w:pStyle w:val="Author-eSectionHeading4Numberless"/>
      </w:pPr>
      <w:bookmarkStart w:id="1195" w:name="_Toc220491320"/>
      <w:r>
        <w:t>55.44 Store / volet (protection visuelle/solaire) battant CCTB 01.02</w:t>
      </w:r>
      <w:bookmarkEnd w:id="1195"/>
    </w:p>
    <w:p w14:paraId="372404A1" w14:textId="77777777" w:rsidR="004B2808" w:rsidRDefault="00000000">
      <w:pPr>
        <w:pStyle w:val="Author-eSectionHeading5Numberless"/>
      </w:pPr>
      <w:bookmarkStart w:id="1196" w:name="_Toc220491321"/>
      <w:r>
        <w:t>55.44.1 Store / volet (protection visuelle/solaire) battant en bois  CCTB 01.02</w:t>
      </w:r>
      <w:bookmarkEnd w:id="1196"/>
    </w:p>
    <w:p w14:paraId="7BD26542" w14:textId="77777777" w:rsidR="004B2808" w:rsidRDefault="00000000">
      <w:pPr>
        <w:pStyle w:val="Author-eSectionHeading6Numberless"/>
      </w:pPr>
      <w:bookmarkStart w:id="1197" w:name="_Toc220491322"/>
      <w:r>
        <w:t>55.44.1a Manuel CCTB 01.02</w:t>
      </w:r>
      <w:bookmarkEnd w:id="1197"/>
    </w:p>
    <w:p w14:paraId="51838DD6" w14:textId="77777777" w:rsidR="004B2808" w:rsidRDefault="00000000">
      <w:pPr>
        <w:pStyle w:val="Author-eSectionHeading6Numberless"/>
      </w:pPr>
      <w:bookmarkStart w:id="1198" w:name="_Toc220491323"/>
      <w:r>
        <w:t>55.44.1b Motorisé CCTB 01.02</w:t>
      </w:r>
      <w:bookmarkEnd w:id="1198"/>
    </w:p>
    <w:p w14:paraId="3EE52422" w14:textId="77777777" w:rsidR="004B2808" w:rsidRDefault="00000000">
      <w:pPr>
        <w:pStyle w:val="Author-eSectionHeading5Numberless"/>
      </w:pPr>
      <w:bookmarkStart w:id="1199" w:name="_Toc220491324"/>
      <w:r>
        <w:t>55.44.2 Store / volet (protection visuelle/solaire) battant en aluminium  CCTB 01.02</w:t>
      </w:r>
      <w:bookmarkEnd w:id="1199"/>
    </w:p>
    <w:p w14:paraId="77A7FA93" w14:textId="77777777" w:rsidR="004B2808" w:rsidRDefault="00000000">
      <w:pPr>
        <w:pStyle w:val="Author-eSectionHeading6Numberless"/>
      </w:pPr>
      <w:bookmarkStart w:id="1200" w:name="_Toc220491325"/>
      <w:r>
        <w:t>55.44.2a Manuel CCTB 01.02</w:t>
      </w:r>
      <w:bookmarkEnd w:id="1200"/>
    </w:p>
    <w:p w14:paraId="0244CB86" w14:textId="77777777" w:rsidR="004B2808" w:rsidRDefault="00000000">
      <w:pPr>
        <w:pStyle w:val="Author-eSectionHeading6Numberless"/>
      </w:pPr>
      <w:bookmarkStart w:id="1201" w:name="_Toc220491326"/>
      <w:r>
        <w:t>55.44.2b Motorisé CCTB 01.02</w:t>
      </w:r>
      <w:bookmarkEnd w:id="1201"/>
    </w:p>
    <w:p w14:paraId="2440795F" w14:textId="77777777" w:rsidR="004B2808" w:rsidRDefault="00000000">
      <w:pPr>
        <w:pStyle w:val="Author-eSectionHeading5Numberless"/>
      </w:pPr>
      <w:bookmarkStart w:id="1202" w:name="_Toc220491327"/>
      <w:r>
        <w:t>55.44.3 Store / volet (protection visuelle/solaire) battant en acier  CCTB 01.02</w:t>
      </w:r>
      <w:bookmarkEnd w:id="1202"/>
    </w:p>
    <w:p w14:paraId="587CF300" w14:textId="77777777" w:rsidR="004B2808" w:rsidRDefault="00000000">
      <w:pPr>
        <w:pStyle w:val="Author-eSectionHeading6Numberless"/>
      </w:pPr>
      <w:bookmarkStart w:id="1203" w:name="_Toc220491328"/>
      <w:r>
        <w:t>55.44.3a Manuel CCTB 01.02</w:t>
      </w:r>
      <w:bookmarkEnd w:id="1203"/>
    </w:p>
    <w:p w14:paraId="4C832E67" w14:textId="77777777" w:rsidR="004B2808" w:rsidRDefault="00000000">
      <w:pPr>
        <w:pStyle w:val="Author-eSectionHeading6Numberless"/>
      </w:pPr>
      <w:bookmarkStart w:id="1204" w:name="_Toc220491329"/>
      <w:r>
        <w:t>55.44.3b Motorisé CCTB 01.02</w:t>
      </w:r>
      <w:bookmarkEnd w:id="1204"/>
    </w:p>
    <w:p w14:paraId="5F97F25E" w14:textId="77777777" w:rsidR="004B2808" w:rsidRDefault="00000000">
      <w:pPr>
        <w:pStyle w:val="Author-eSectionHeading5Numberless"/>
      </w:pPr>
      <w:bookmarkStart w:id="1205" w:name="_Toc220491330"/>
      <w:r>
        <w:t>55.44.4 Store / volet (protection visuelle/solaire) battant en PVC CCTB 01.02</w:t>
      </w:r>
      <w:bookmarkEnd w:id="1205"/>
    </w:p>
    <w:p w14:paraId="6339EEE4" w14:textId="77777777" w:rsidR="004B2808" w:rsidRDefault="00000000">
      <w:pPr>
        <w:pStyle w:val="Author-eSectionHeading6Numberless"/>
      </w:pPr>
      <w:bookmarkStart w:id="1206" w:name="_Toc220491331"/>
      <w:r>
        <w:t>55.44.4a Manuel CCTB 01.02</w:t>
      </w:r>
      <w:bookmarkEnd w:id="1206"/>
    </w:p>
    <w:p w14:paraId="408E8C80" w14:textId="77777777" w:rsidR="004B2808" w:rsidRDefault="00000000">
      <w:pPr>
        <w:pStyle w:val="Author-eSectionHeading6Numberless"/>
      </w:pPr>
      <w:bookmarkStart w:id="1207" w:name="_Toc220491332"/>
      <w:r>
        <w:t>55.44.4b Motorisé CCTB 01.02</w:t>
      </w:r>
      <w:bookmarkEnd w:id="1207"/>
    </w:p>
    <w:p w14:paraId="37B0E504" w14:textId="77777777" w:rsidR="004B2808" w:rsidRDefault="00000000">
      <w:pPr>
        <w:pStyle w:val="Author-eSectionHeading5Numberless"/>
      </w:pPr>
      <w:bookmarkStart w:id="1208" w:name="_Toc220491333"/>
      <w:r>
        <w:t>55.44.5 Store / volet (protection visuelle/solaire) coulissant en matériaux composites CCTB 01.02</w:t>
      </w:r>
      <w:bookmarkEnd w:id="1208"/>
    </w:p>
    <w:p w14:paraId="184E8E1E" w14:textId="77777777" w:rsidR="004B2808" w:rsidRDefault="00000000">
      <w:pPr>
        <w:pStyle w:val="Author-eSectionHeading6Numberless"/>
      </w:pPr>
      <w:bookmarkStart w:id="1209" w:name="_Toc220491334"/>
      <w:r>
        <w:t>55.44.5a Store / volet (protection visuelle/solaire) coulissant en matériaux composites CCTB 01.02</w:t>
      </w:r>
      <w:bookmarkEnd w:id="1209"/>
    </w:p>
    <w:p w14:paraId="18AEC933" w14:textId="77777777" w:rsidR="004B2808" w:rsidRDefault="00000000">
      <w:pPr>
        <w:pStyle w:val="Author-eSectionHeading4Numberless"/>
      </w:pPr>
      <w:bookmarkStart w:id="1210" w:name="_Toc220491335"/>
      <w:r>
        <w:t>55.45 Store / volet (protection visuelle/solaire) coulissant CCTB 01.02</w:t>
      </w:r>
      <w:bookmarkEnd w:id="1210"/>
    </w:p>
    <w:p w14:paraId="04697B21" w14:textId="77777777" w:rsidR="004B2808" w:rsidRDefault="00000000">
      <w:pPr>
        <w:pStyle w:val="Author-eSectionHeading5Numberless"/>
      </w:pPr>
      <w:bookmarkStart w:id="1211" w:name="_Toc220491336"/>
      <w:r>
        <w:t>55.45.1 Store / volet (protection visuelle/solaire) coulissant en bois CCTB 01.12</w:t>
      </w:r>
      <w:bookmarkEnd w:id="1211"/>
    </w:p>
    <w:p w14:paraId="5DA54D0B" w14:textId="77777777" w:rsidR="004B2808" w:rsidRDefault="00000000">
      <w:pPr>
        <w:pStyle w:val="pheading"/>
      </w:pPr>
      <w:r>
        <w:t>DESCRIPTION</w:t>
      </w:r>
    </w:p>
    <w:p w14:paraId="298997B5" w14:textId="77777777" w:rsidR="004B2808" w:rsidRDefault="00000000">
      <w:pPr>
        <w:pStyle w:val="pheading"/>
      </w:pPr>
      <w:r>
        <w:t>- Définition / Comprend</w:t>
      </w:r>
    </w:p>
    <w:p w14:paraId="1E8DC622" w14:textId="77777777" w:rsidR="004B2808" w:rsidRDefault="00000000">
      <w:pPr>
        <w:jc w:val="both"/>
      </w:pPr>
      <w:r>
        <w:rPr>
          <w:b/>
        </w:rPr>
        <w:lastRenderedPageBreak/>
        <w:t>Définitions :</w:t>
      </w:r>
    </w:p>
    <w:p w14:paraId="3FF6D5DA" w14:textId="77777777" w:rsidR="004B2808" w:rsidRDefault="00000000">
      <w:pPr>
        <w:jc w:val="both"/>
      </w:pPr>
      <w:r>
        <w:t>Volets coulissants : les volets dont les tabliers sont constitués de vantaux rigides et dont le déplacement se fait par glissement horizontal.</w:t>
      </w:r>
    </w:p>
    <w:p w14:paraId="7B76DB51" w14:textId="77777777" w:rsidR="004B2808" w:rsidRDefault="00000000">
      <w:pPr>
        <w:jc w:val="both"/>
      </w:pPr>
      <w:r>
        <w:t>Volets en bois : les volets dont la structure des tabliers (cadre) et leur remplissage sont réalisés en bois.</w:t>
      </w:r>
    </w:p>
    <w:p w14:paraId="19C8AB70" w14:textId="77777777" w:rsidR="004B2808" w:rsidRDefault="00000000">
      <w:pPr>
        <w:jc w:val="both"/>
      </w:pPr>
      <w:r>
        <w:t>Le travail comprend notamment :</w:t>
      </w:r>
    </w:p>
    <w:p w14:paraId="4265A8A7" w14:textId="77777777" w:rsidR="004B2808" w:rsidRDefault="00000000">
      <w:pPr>
        <w:pStyle w:val="Author-eListParagraph"/>
        <w:numPr>
          <w:ilvl w:val="0"/>
          <w:numId w:val="1114"/>
        </w:numPr>
      </w:pPr>
      <w:r>
        <w:t xml:space="preserve">Les prestations et travaux préparatoires dont : </w:t>
      </w:r>
    </w:p>
    <w:p w14:paraId="5103D4A6" w14:textId="77777777" w:rsidR="004B2808" w:rsidRDefault="00000000">
      <w:pPr>
        <w:pStyle w:val="Author-eListParagraph"/>
        <w:numPr>
          <w:ilvl w:val="1"/>
          <w:numId w:val="1115"/>
        </w:numPr>
      </w:pPr>
      <w:r>
        <w:t>La prise et / ou la vérification des mesures in situ</w:t>
      </w:r>
    </w:p>
    <w:p w14:paraId="1B01D72C" w14:textId="77777777" w:rsidR="004B2808" w:rsidRDefault="00000000">
      <w:pPr>
        <w:pStyle w:val="Author-eListParagraph"/>
        <w:numPr>
          <w:ilvl w:val="1"/>
          <w:numId w:val="1115"/>
        </w:numPr>
      </w:pPr>
      <w:r>
        <w:t>La vérification du support (planéité, aplomb, équerrage, …)</w:t>
      </w:r>
    </w:p>
    <w:p w14:paraId="30A877EB" w14:textId="77777777" w:rsidR="004B2808" w:rsidRDefault="00000000">
      <w:pPr>
        <w:pStyle w:val="Author-eListParagraph"/>
        <w:numPr>
          <w:ilvl w:val="0"/>
          <w:numId w:val="1114"/>
        </w:numPr>
      </w:pPr>
      <w:r>
        <w:t>Les mesures de sécurité</w:t>
      </w:r>
    </w:p>
    <w:p w14:paraId="4A0D5068" w14:textId="77777777" w:rsidR="004B2808" w:rsidRDefault="00000000">
      <w:pPr>
        <w:pStyle w:val="Author-eListParagraph"/>
        <w:numPr>
          <w:ilvl w:val="0"/>
          <w:numId w:val="1114"/>
        </w:numPr>
      </w:pPr>
      <w:r>
        <w:t>Les moyens d’accès (échelles, …)</w:t>
      </w:r>
    </w:p>
    <w:p w14:paraId="7BD27E0B" w14:textId="77777777" w:rsidR="004B2808" w:rsidRDefault="00000000">
      <w:pPr>
        <w:pStyle w:val="Author-eListParagraph"/>
        <w:numPr>
          <w:ilvl w:val="0"/>
          <w:numId w:val="1114"/>
        </w:numPr>
      </w:pPr>
      <w:r>
        <w:t>Les moyens de manutention,</w:t>
      </w:r>
    </w:p>
    <w:p w14:paraId="553A6B26" w14:textId="77777777" w:rsidR="004B2808" w:rsidRDefault="00000000">
      <w:pPr>
        <w:pStyle w:val="Author-eListParagraph"/>
        <w:numPr>
          <w:ilvl w:val="0"/>
          <w:numId w:val="1114"/>
        </w:numPr>
      </w:pPr>
      <w:r>
        <w:t>Les moyens de protection du bâtiment, des parois, ...</w:t>
      </w:r>
    </w:p>
    <w:p w14:paraId="3D2D7416" w14:textId="77777777" w:rsidR="004B2808" w:rsidRDefault="00000000">
      <w:pPr>
        <w:pStyle w:val="Author-eListParagraph"/>
        <w:numPr>
          <w:ilvl w:val="0"/>
          <w:numId w:val="1114"/>
        </w:numPr>
      </w:pPr>
      <w:r>
        <w:t>L’entretien des moyens cités ci-avant et leur enlèvement complet en fin de chantier</w:t>
      </w:r>
    </w:p>
    <w:p w14:paraId="13CB3D52" w14:textId="77777777" w:rsidR="004B2808" w:rsidRDefault="00000000">
      <w:pPr>
        <w:pStyle w:val="Author-eListParagraph"/>
        <w:numPr>
          <w:ilvl w:val="0"/>
          <w:numId w:val="1114"/>
        </w:numPr>
      </w:pPr>
      <w:r>
        <w:t>La coordination avec les différents intervenants</w:t>
      </w:r>
    </w:p>
    <w:p w14:paraId="76FC37A5" w14:textId="77777777" w:rsidR="004B2808" w:rsidRDefault="00000000">
      <w:pPr>
        <w:pStyle w:val="Author-eListParagraph"/>
        <w:numPr>
          <w:ilvl w:val="0"/>
          <w:numId w:val="1114"/>
        </w:numPr>
      </w:pPr>
      <w:r>
        <w:t>La fourniture et la mise en œuvre des stores / volets, accessoires, équipements, …</w:t>
      </w:r>
    </w:p>
    <w:p w14:paraId="44EFB25F" w14:textId="77777777" w:rsidR="004B2808" w:rsidRDefault="00000000">
      <w:pPr>
        <w:pStyle w:val="Author-eListParagraph"/>
        <w:numPr>
          <w:ilvl w:val="0"/>
          <w:numId w:val="1114"/>
        </w:numPr>
      </w:pPr>
      <w:r>
        <w:t>La finition des bords, les raccordements aux parois adjacentes, …</w:t>
      </w:r>
    </w:p>
    <w:p w14:paraId="3A9AC30C" w14:textId="77777777" w:rsidR="004B2808" w:rsidRDefault="00000000">
      <w:pPr>
        <w:pStyle w:val="Author-eListParagraph"/>
        <w:numPr>
          <w:ilvl w:val="0"/>
          <w:numId w:val="1114"/>
        </w:numPr>
      </w:pPr>
      <w:r>
        <w:t>La réfection des parois suite aux percements, à la mise en place des différents éléments, …</w:t>
      </w:r>
    </w:p>
    <w:p w14:paraId="5E3989B6" w14:textId="77777777" w:rsidR="004B2808" w:rsidRDefault="00000000">
      <w:pPr>
        <w:pStyle w:val="Author-eListParagraph"/>
        <w:numPr>
          <w:ilvl w:val="0"/>
          <w:numId w:val="1114"/>
        </w:numPr>
      </w:pPr>
      <w:r>
        <w:t>La gestion des déchets (collecte, tri, traitement, évacuation en dehors du chantier, …), conformément aux 07 Déchets, matériaux et éléments réemployables et suivants.</w:t>
      </w:r>
    </w:p>
    <w:p w14:paraId="6064E99A" w14:textId="77777777" w:rsidR="004B2808" w:rsidRDefault="00000000">
      <w:pPr>
        <w:pStyle w:val="Author-eListParagraph"/>
        <w:numPr>
          <w:ilvl w:val="0"/>
          <w:numId w:val="1114"/>
        </w:numPr>
      </w:pPr>
      <w:r>
        <w:t>Le nettoyage en fin de chantier</w:t>
      </w:r>
    </w:p>
    <w:p w14:paraId="1A6294A9" w14:textId="77777777" w:rsidR="004B2808" w:rsidRDefault="00000000">
      <w:pPr>
        <w:jc w:val="both"/>
      </w:pPr>
      <w:r>
        <w:t>Livraison, stockage, manutention, fournitures et mise en œuvre sont toujours conformes à la documentation technique qui accompagne les produits.</w:t>
      </w:r>
    </w:p>
    <w:p w14:paraId="52EDD775" w14:textId="77777777" w:rsidR="004B2808" w:rsidRDefault="00000000">
      <w:pPr>
        <w:pStyle w:val="pheading"/>
      </w:pPr>
      <w:r>
        <w:t>MATÉRIAUX</w:t>
      </w:r>
    </w:p>
    <w:p w14:paraId="096F88F6" w14:textId="77777777" w:rsidR="004B2808" w:rsidRDefault="00000000">
      <w:pPr>
        <w:jc w:val="both"/>
      </w:pPr>
      <w:r>
        <w:t>Le système de volet comprend notamment :</w:t>
      </w:r>
    </w:p>
    <w:p w14:paraId="16E5F699" w14:textId="77777777" w:rsidR="004B2808" w:rsidRDefault="00000000">
      <w:pPr>
        <w:pStyle w:val="Author-eListParagraph"/>
        <w:numPr>
          <w:ilvl w:val="0"/>
          <w:numId w:val="1116"/>
        </w:numPr>
      </w:pPr>
      <w:r>
        <w:t>Un ou plusieurs tablier(s) coulissant(s) en bois ;</w:t>
      </w:r>
    </w:p>
    <w:p w14:paraId="0F320C06" w14:textId="77777777" w:rsidR="004B2808" w:rsidRDefault="00000000">
      <w:pPr>
        <w:pStyle w:val="Author-eListParagraph"/>
        <w:numPr>
          <w:ilvl w:val="0"/>
          <w:numId w:val="1116"/>
        </w:numPr>
      </w:pPr>
      <w:r>
        <w:t>Les traitements de finition (peinture, …) et de protection décrits aux 8 T8 Travaux de peinture / Traitements de surface et suivants ;</w:t>
      </w:r>
    </w:p>
    <w:p w14:paraId="0E03FDC0" w14:textId="77777777" w:rsidR="004B2808" w:rsidRDefault="00000000">
      <w:pPr>
        <w:pStyle w:val="Author-eListParagraph"/>
        <w:numPr>
          <w:ilvl w:val="0"/>
          <w:numId w:val="1116"/>
        </w:numPr>
      </w:pPr>
      <w:r>
        <w:t>Le système de guides ;</w:t>
      </w:r>
    </w:p>
    <w:p w14:paraId="4A2A71BC" w14:textId="77777777" w:rsidR="004B2808" w:rsidRDefault="00000000">
      <w:pPr>
        <w:pStyle w:val="Author-eListParagraph"/>
        <w:numPr>
          <w:ilvl w:val="0"/>
          <w:numId w:val="1116"/>
        </w:numPr>
      </w:pPr>
      <w:r>
        <w:t>Le mécanisme de commande ;</w:t>
      </w:r>
    </w:p>
    <w:p w14:paraId="595A21F8" w14:textId="77777777" w:rsidR="004B2808" w:rsidRDefault="00000000">
      <w:pPr>
        <w:pStyle w:val="Author-eListParagraph"/>
        <w:numPr>
          <w:ilvl w:val="0"/>
          <w:numId w:val="1116"/>
        </w:numPr>
      </w:pPr>
      <w:r>
        <w:t>Les éventuels accessoires (habillages - coffres, …) ;</w:t>
      </w:r>
    </w:p>
    <w:p w14:paraId="71D61DC7" w14:textId="77777777" w:rsidR="004B2808" w:rsidRDefault="00000000">
      <w:pPr>
        <w:pStyle w:val="Author-eListParagraph"/>
        <w:numPr>
          <w:ilvl w:val="0"/>
          <w:numId w:val="1116"/>
        </w:numPr>
      </w:pPr>
      <w:r>
        <w:t>Tous les moyens de fixation et/ou d’ancrage nécessaires.</w:t>
      </w:r>
    </w:p>
    <w:p w14:paraId="3E4150B5" w14:textId="77777777" w:rsidR="004B2808" w:rsidRDefault="00000000">
      <w:pPr>
        <w:jc w:val="both"/>
      </w:pPr>
      <w:r>
        <w:rPr>
          <w:b/>
        </w:rPr>
        <w:t>Généralités :</w:t>
      </w:r>
    </w:p>
    <w:p w14:paraId="6AC1FB81" w14:textId="77777777" w:rsidR="004B2808" w:rsidRDefault="00000000">
      <w:pPr>
        <w:jc w:val="both"/>
      </w:pPr>
      <w:r>
        <w:t>Le tablier ou les lames des volets satisfont aux critères de résistance aux fausses manœuvres définis dans la [NBN EN 13120+A1] sur base des efforts mentionnés dans les classes de manœuvre ci-après. </w:t>
      </w:r>
    </w:p>
    <w:p w14:paraId="2EDA7635" w14:textId="77777777" w:rsidR="004B2808" w:rsidRDefault="00000000">
      <w:pPr>
        <w:jc w:val="both"/>
      </w:pPr>
      <w:r>
        <w:t>Les organes de manœuvres sont conformes à la [NBN EN 13120+A1].</w:t>
      </w:r>
    </w:p>
    <w:p w14:paraId="0DF589C7" w14:textId="77777777" w:rsidR="004B2808" w:rsidRDefault="00000000">
      <w:pPr>
        <w:jc w:val="both"/>
      </w:pPr>
      <w:r>
        <w:t xml:space="preserve">Performances d’endurance mécanique – Classe : </w:t>
      </w:r>
      <w:r>
        <w:rPr>
          <w:rStyle w:val="optioncarChar"/>
        </w:rPr>
        <w:t>1 (2000 cycles d’ouverture et 4000 orientations) </w:t>
      </w:r>
      <w:r>
        <w:t>(par défaut) </w:t>
      </w:r>
      <w:r>
        <w:rPr>
          <w:rStyle w:val="optioncarChar"/>
        </w:rPr>
        <w:t>/ 2 (5000 cycles d’ouverture et 10000 cycles d’orientation) / 3 (10000 cycles d’ouverture et 20000 cycles d’orientation) / ***,</w:t>
      </w:r>
      <w:r>
        <w:t xml:space="preserve"> selon la [NBN EN 14201] pour une manœuvre manuelle et la [NBN EN 14202] pour une manœuvre motorisée.</w:t>
      </w:r>
    </w:p>
    <w:p w14:paraId="1FB34573" w14:textId="77777777" w:rsidR="004B2808" w:rsidRDefault="00000000">
      <w:pPr>
        <w:jc w:val="both"/>
      </w:pPr>
      <w:r>
        <w:t>Les volets satisfont aux exigences de sécurité d’utilisation telles que définies dans la [NBN EN 13120+A1]. </w:t>
      </w:r>
    </w:p>
    <w:p w14:paraId="3B7C226C" w14:textId="77777777" w:rsidR="004B2808" w:rsidRDefault="00000000">
      <w:pPr>
        <w:jc w:val="both"/>
      </w:pPr>
      <w:r>
        <w:t xml:space="preserve">Le bois provient de forêts gérées durablement selon le 02.42.4 Bois provenant de forêts gérées durablement : </w:t>
      </w:r>
      <w:r>
        <w:rPr>
          <w:rStyle w:val="optioncarChar"/>
        </w:rPr>
        <w:t xml:space="preserve">oui </w:t>
      </w:r>
      <w:r>
        <w:t xml:space="preserve">(par défaut) </w:t>
      </w:r>
      <w:r>
        <w:rPr>
          <w:rStyle w:val="optioncarChar"/>
        </w:rPr>
        <w:t>/ non</w:t>
      </w:r>
    </w:p>
    <w:p w14:paraId="24415451" w14:textId="77777777" w:rsidR="004B2808" w:rsidRDefault="00000000">
      <w:pPr>
        <w:jc w:val="both"/>
      </w:pPr>
      <w:r>
        <w:t>Le bois mis en œuvre est droit. Il exempt d’anomalies, de défauts, de vices, …</w:t>
      </w:r>
    </w:p>
    <w:p w14:paraId="794C5B0C" w14:textId="77777777" w:rsidR="004B2808" w:rsidRDefault="00000000">
      <w:pPr>
        <w:jc w:val="both"/>
      </w:pPr>
      <w:r>
        <w:rPr>
          <w:b/>
        </w:rPr>
        <w:t>Système de guides :</w:t>
      </w:r>
    </w:p>
    <w:p w14:paraId="014DE156" w14:textId="77777777" w:rsidR="004B2808" w:rsidRDefault="00000000">
      <w:pPr>
        <w:jc w:val="both"/>
      </w:pPr>
      <w:r>
        <w:lastRenderedPageBreak/>
        <w:t>Il est constitué notamment d’un rail supérieur + chariots, de rails de guidage inférieur + patins de guidage, d’arrêts (butées).</w:t>
      </w:r>
    </w:p>
    <w:p w14:paraId="23CA4B07" w14:textId="77777777" w:rsidR="004B2808" w:rsidRDefault="00000000">
      <w:pPr>
        <w:jc w:val="both"/>
      </w:pPr>
      <w:r>
        <w:t>Le nombre de chariots et de patins sont adaptés aux dimensions du volet / des tabliers, selon la documentation technique qui accompagne le produit.</w:t>
      </w:r>
    </w:p>
    <w:p w14:paraId="22AD1A85" w14:textId="77777777" w:rsidR="004B2808" w:rsidRDefault="00000000">
      <w:pPr>
        <w:pStyle w:val="pheading"/>
      </w:pPr>
      <w:r>
        <w:t>EXÉCUTION / MISE EN ŒUVRE</w:t>
      </w:r>
    </w:p>
    <w:p w14:paraId="65DF3086" w14:textId="77777777" w:rsidR="004B2808" w:rsidRDefault="00000000">
      <w:pPr>
        <w:jc w:val="both"/>
      </w:pPr>
      <w:r>
        <w:rPr>
          <w:b/>
        </w:rPr>
        <w:t>Généralités :</w:t>
      </w:r>
    </w:p>
    <w:p w14:paraId="3E5582D2" w14:textId="77777777" w:rsidR="004B2808" w:rsidRDefault="00000000">
      <w:pPr>
        <w:jc w:val="both"/>
      </w:pPr>
      <w:r>
        <w:t>Après avoir effectué un relevé précis des parois et ouvrages concernés, l’entrepreneur soumet à la direction des travaux les plans détaillés des différents éléments qui constituent les volets intérieurs.</w:t>
      </w:r>
    </w:p>
    <w:p w14:paraId="7188974A" w14:textId="77777777" w:rsidR="004B2808" w:rsidRDefault="00000000">
      <w:pPr>
        <w:jc w:val="both"/>
      </w:pPr>
      <w:r>
        <w:t xml:space="preserve"> L’entrepreneur donne suite aux différentes remarques.</w:t>
      </w:r>
    </w:p>
    <w:p w14:paraId="2020EC65" w14:textId="77777777" w:rsidR="004B2808" w:rsidRDefault="00000000">
      <w:pPr>
        <w:jc w:val="both"/>
      </w:pPr>
      <w:r>
        <w:t xml:space="preserve"> La mise en production et / ou les commandes se font uniquement après approbation de l’ensemble.</w:t>
      </w:r>
    </w:p>
    <w:p w14:paraId="2A199192" w14:textId="77777777" w:rsidR="004B2808" w:rsidRDefault="00000000">
      <w:pPr>
        <w:jc w:val="both"/>
      </w:pPr>
      <w:r>
        <w:t>Les volets sont posés parfaitement d'aplomb et de niveau.</w:t>
      </w:r>
    </w:p>
    <w:p w14:paraId="31F24E54" w14:textId="77777777" w:rsidR="004B2808" w:rsidRDefault="00000000">
      <w:pPr>
        <w:jc w:val="both"/>
      </w:pPr>
      <w:r>
        <w:t>Le bois est raboté sur toutes les faces. Les faces vues sont en outre poncées lisses.</w:t>
      </w:r>
    </w:p>
    <w:p w14:paraId="37B3C083" w14:textId="77777777" w:rsidR="004B2808" w:rsidRDefault="00000000">
      <w:pPr>
        <w:jc w:val="both"/>
      </w:pPr>
      <w:r>
        <w:t>La documentation technique qui accompagne les volets et leurs accessoires (dont les modes d’emploi, …) alimente le DIU.</w:t>
      </w:r>
    </w:p>
    <w:p w14:paraId="05ED2CD2" w14:textId="77777777" w:rsidR="004B2808" w:rsidRDefault="00000000">
      <w:pPr>
        <w:jc w:val="both"/>
      </w:pPr>
      <w:r>
        <w:rPr>
          <w:b/>
        </w:rPr>
        <w:t>Timing - Influence de l'environnement :</w:t>
      </w:r>
    </w:p>
    <w:p w14:paraId="76DD35D9" w14:textId="77777777" w:rsidR="004B2808" w:rsidRDefault="00000000">
      <w:pPr>
        <w:jc w:val="both"/>
      </w:pPr>
      <w:r>
        <w:t>Les volets intérieurs ne sont mis en œuvre que lorsque les conditions de pose le permettent.</w:t>
      </w:r>
    </w:p>
    <w:p w14:paraId="1F67C390" w14:textId="77777777" w:rsidR="004B2808" w:rsidRDefault="00000000">
      <w:pPr>
        <w:jc w:val="both"/>
      </w:pPr>
      <w:r>
        <w:t xml:space="preserve"> A ce sujet, la [NIT 166] est d’application.</w:t>
      </w:r>
    </w:p>
    <w:p w14:paraId="6AC63D5B" w14:textId="77777777" w:rsidR="004B2808" w:rsidRDefault="00000000">
      <w:pPr>
        <w:jc w:val="both"/>
      </w:pPr>
      <w:r>
        <w:t>Pour rappel, les conditions de mise en œuvre sont généralement considérées comme normales lorsque :</w:t>
      </w:r>
    </w:p>
    <w:p w14:paraId="522CC84A" w14:textId="77777777" w:rsidR="004B2808" w:rsidRDefault="00000000">
      <w:pPr>
        <w:pStyle w:val="Author-eListParagraph"/>
        <w:numPr>
          <w:ilvl w:val="0"/>
          <w:numId w:val="1117"/>
        </w:numPr>
      </w:pPr>
      <w:r>
        <w:t>  la température ambiante est comprise entre 15 et 25 °C</w:t>
      </w:r>
    </w:p>
    <w:p w14:paraId="1B0C9F05" w14:textId="77777777" w:rsidR="004B2808" w:rsidRDefault="00000000">
      <w:pPr>
        <w:pStyle w:val="Author-eListParagraph"/>
        <w:numPr>
          <w:ilvl w:val="0"/>
          <w:numId w:val="1117"/>
        </w:numPr>
      </w:pPr>
      <w:r>
        <w:t>  le degré d'humidité de l’air ambient se situe entre 40 et 70 % HR.</w:t>
      </w:r>
    </w:p>
    <w:p w14:paraId="4E3D3804" w14:textId="77777777" w:rsidR="004B2808" w:rsidRDefault="00000000">
      <w:pPr>
        <w:jc w:val="both"/>
      </w:pPr>
      <w:r>
        <w:t>Les volets intérieurs ne peuvent en aucun cas être posées lorsque les circonstances sont de nature à pouvoir provoquer le gonflement, le voilement ou le retrait des portes.</w:t>
      </w:r>
    </w:p>
    <w:p w14:paraId="1D9AC9F2" w14:textId="77777777" w:rsidR="004B2808" w:rsidRDefault="00000000">
      <w:pPr>
        <w:jc w:val="both"/>
      </w:pPr>
      <w:r>
        <w:t xml:space="preserve">Lorsque l’entrepreneur constate que les ouvrages risquent d'être soumis à des conditions anormales et défavorables ou ayant des effets irréversibles (par ex. le gonflement, la corrosion, la décomposition…) entrainant une cause de refus, il en avertit immédiatement la direction des travaux. </w:t>
      </w:r>
    </w:p>
    <w:p w14:paraId="5642103F" w14:textId="77777777" w:rsidR="004B2808" w:rsidRDefault="00000000">
      <w:pPr>
        <w:jc w:val="both"/>
      </w:pPr>
      <w:r>
        <w:t xml:space="preserve"> Les mesures nécessaires pour remédier à ces difficultés sont déterminées en concertation avec la direction des travaux et les différents intervenants.</w:t>
      </w:r>
    </w:p>
    <w:p w14:paraId="3F7617BB" w14:textId="77777777" w:rsidR="004B2808" w:rsidRDefault="00000000">
      <w:pPr>
        <w:pStyle w:val="pheading"/>
      </w:pPr>
      <w:r>
        <w:t>DOCUMENTS DE RÉFÉRENCE</w:t>
      </w:r>
    </w:p>
    <w:p w14:paraId="3079286B" w14:textId="77777777" w:rsidR="004B2808" w:rsidRDefault="00000000">
      <w:pPr>
        <w:pStyle w:val="pheading"/>
      </w:pPr>
      <w:r>
        <w:t>- Matériau</w:t>
      </w:r>
    </w:p>
    <w:p w14:paraId="33104F4A" w14:textId="77777777" w:rsidR="004B2808" w:rsidRDefault="00000000">
      <w:r>
        <w:t>[NBN EN 942, Bois dans les menuiseries - Exigences générales]</w:t>
      </w:r>
    </w:p>
    <w:p w14:paraId="13BE8920" w14:textId="77777777" w:rsidR="004B2808" w:rsidRDefault="00000000">
      <w:r>
        <w:t>[NBN EN 12045] Fermetures, stores extérieurs et stores intérieurs motorisés - Sécurité d'utilisation - Mesure de l'effort de poussée</w:t>
      </w:r>
    </w:p>
    <w:p w14:paraId="0F9F4FCB" w14:textId="77777777" w:rsidR="004B2808" w:rsidRDefault="00000000">
      <w:r>
        <w:t>[NBN EN 12194, Fermetures pour baies équipées de fenêtres, stores extérieurs et intérieurs - Fausses manoeuvres - Méthodes d'essais]</w:t>
      </w:r>
    </w:p>
    <w:p w14:paraId="6DC4D6F1" w14:textId="77777777" w:rsidR="004B2808" w:rsidRDefault="00000000">
      <w:r>
        <w:t>[NBN EN 12216, Fermetures, stores extérieurs et stores intérieurs - Terminologie, glossaire et définitions]</w:t>
      </w:r>
    </w:p>
    <w:p w14:paraId="3376BE3C" w14:textId="77777777" w:rsidR="004B2808" w:rsidRDefault="00000000">
      <w:r>
        <w:t>[NBN EN 13120+A1, Stores intérieurs - Exigences de performance, y compris la sécurité]</w:t>
      </w:r>
    </w:p>
    <w:p w14:paraId="6D6CBFD0" w14:textId="77777777" w:rsidR="004B2808" w:rsidRDefault="00000000">
      <w:r>
        <w:t>[NBN EN 13125, Fermetures pour baies équipées de fenêtres, stores intérieurs et extérieurs - Résistance thermique additionnelle - Attribution d'une classe de perméabilité à l'air à un produit]</w:t>
      </w:r>
    </w:p>
    <w:p w14:paraId="00077B5D" w14:textId="77777777" w:rsidR="004B2808" w:rsidRDefault="00000000">
      <w:r>
        <w:t>[NBN EN 13330, Fermetures - Chocs de corps dur et protection de l'accès - Méthodes d'essai ]</w:t>
      </w:r>
    </w:p>
    <w:p w14:paraId="3A14485F" w14:textId="77777777" w:rsidR="004B2808" w:rsidRDefault="00000000">
      <w:r>
        <w:t>[NBN EN 13501-1, Classement au feu des produits et éléments de construction - Partie 1: Classement à partir des données d'essais de réaction au feu]</w:t>
      </w:r>
    </w:p>
    <w:p w14:paraId="37293716" w14:textId="77777777" w:rsidR="004B2808" w:rsidRDefault="00000000">
      <w:r>
        <w:lastRenderedPageBreak/>
        <w:t>[NBN EN 13527, Fermetures pour baies équipées de fenêtres, stores intérieurs et extérieurs - Détermination de l'effort de manoeuvre - Méthodes d'essai]</w:t>
      </w:r>
    </w:p>
    <w:p w14:paraId="43330E8D" w14:textId="77777777" w:rsidR="004B2808" w:rsidRDefault="00000000">
      <w:r>
        <w:t>[NBN EN 14201, Fermetures pour baies équipées de fenêtres, stores intérieurs et stores extérieurs - Résistance aux manoeuvres répétées (endurance mécanique) - Méthodes d'essai]</w:t>
      </w:r>
    </w:p>
    <w:p w14:paraId="18C1FC9C" w14:textId="77777777" w:rsidR="004B2808" w:rsidRDefault="00000000">
      <w:r>
        <w:t>[NBN EN 14202, Stores extérieurs et fermetures pour baies équipées de fenêtres - Aptitude à l'emploi des actionneurs électriques tubulaires ou carrés - Exigences et méthodes d'essais]</w:t>
      </w:r>
    </w:p>
    <w:p w14:paraId="6504A7CA" w14:textId="77777777" w:rsidR="004B2808" w:rsidRDefault="00000000">
      <w:r>
        <w:t>[NBN EN 14203, Fermetures pour baies équipées de fenêtres, stores intérieurs et stores extérieurs - Aptitude à l'emploi des treuils avec manivelle à tige oscillante - Exigences et méthodes d'essai]</w:t>
      </w:r>
    </w:p>
    <w:p w14:paraId="7EA5D648" w14:textId="77777777" w:rsidR="004B2808" w:rsidRDefault="00000000">
      <w:r>
        <w:t>[NBN EN 14500, Fermetures et stores - Confort thermique et lumineux - Méthodes d'essai et de calcul]</w:t>
      </w:r>
    </w:p>
    <w:p w14:paraId="3B1A898F" w14:textId="77777777" w:rsidR="004B2808" w:rsidRDefault="00000000">
      <w:r>
        <w:t>[NBN EN 14501, Fermetures et stores - Confort thermique et lumineux - Caractérisation des performances et classification]</w:t>
      </w:r>
    </w:p>
    <w:p w14:paraId="041C011A" w14:textId="77777777" w:rsidR="004B2808" w:rsidRDefault="00000000">
      <w:r>
        <w:t>[NBN EN 61310-1, Sécurité des machines - Indication, marquage et manoeuvre - Partie 1 : Exigences pour les signaux visuels, acoustiques et tactiles]</w:t>
      </w:r>
    </w:p>
    <w:p w14:paraId="4163073B" w14:textId="77777777" w:rsidR="004B2808" w:rsidRDefault="00000000">
      <w:r>
        <w:t>[NBN S 01-400-1, Critères acoustiques pour les immeubles d'habitation]</w:t>
      </w:r>
    </w:p>
    <w:p w14:paraId="0F193289" w14:textId="77777777" w:rsidR="004B2808" w:rsidRDefault="00000000">
      <w:r>
        <w:t>[NBN EN ISO 717-1, Acoustique - Évaluation de l'isolement acoustique des immeubles et des éléments de construction - Partie 1: Isolement aux bruits aériens (ISO 717-1:2020)]</w:t>
      </w:r>
    </w:p>
    <w:p w14:paraId="54B46BEA" w14:textId="77777777" w:rsidR="004B2808" w:rsidRDefault="00000000">
      <w:r>
        <w:t>[NBN EN ISO 12100, Sécurité des machines - Principes généraux de conception - Appréciation du risque et réduction du risque (ISO 12100:2010)]</w:t>
      </w:r>
    </w:p>
    <w:p w14:paraId="289CC80D" w14:textId="77777777" w:rsidR="004B2808" w:rsidRDefault="00000000">
      <w:r>
        <w:t>[NBN EN ISO 52022-1, Performance énergétique des bâtiments - Propriétés thermiques, solaires et lumineuses des composants et éléments du bâtiment - Partie 1: Méthode de calcul simplifiée des caractéristiques solaires et lumineuses pour les dispositifs de protection solaire combinés à des vitrages (ISO 52022-1:2017)]</w:t>
      </w:r>
    </w:p>
    <w:p w14:paraId="21B35E9C" w14:textId="77777777" w:rsidR="004B2808" w:rsidRDefault="00000000">
      <w:r>
        <w:t>[Buildwise Innovation paper 19] Guide pour le marquage CE. Stores et volets roulants - 2014.</w:t>
      </w:r>
    </w:p>
    <w:p w14:paraId="79414FE0" w14:textId="77777777" w:rsidR="004B2808" w:rsidRDefault="00000000">
      <w:r>
        <w:t>[STS 04.2, Bois et panneaux à base de bois : bois de menuiserie]</w:t>
      </w:r>
    </w:p>
    <w:p w14:paraId="59A22FF9" w14:textId="77777777" w:rsidR="004B2808" w:rsidRDefault="00000000">
      <w:pPr>
        <w:pStyle w:val="pheading"/>
      </w:pPr>
      <w:r>
        <w:t>- Exécution</w:t>
      </w:r>
    </w:p>
    <w:p w14:paraId="3E173701" w14:textId="77777777" w:rsidR="004B2808" w:rsidRDefault="00000000">
      <w:r>
        <w:t>[NIT 166, Menuiseries intérieures en bois. Code de bonne pratique pour la mise en oeuvre, compte tenu des conditions hygrothermiques (remplacée par la NIT 218 pour ce qui concerne les parquets).]</w:t>
      </w:r>
    </w:p>
    <w:p w14:paraId="1BA5E926" w14:textId="77777777" w:rsidR="004B2808" w:rsidRDefault="00000000">
      <w:pPr>
        <w:pStyle w:val="pheading"/>
      </w:pPr>
      <w:r>
        <w:t>AIDE</w:t>
      </w:r>
    </w:p>
    <w:p w14:paraId="46EE0ABB" w14:textId="77777777" w:rsidR="004B2808" w:rsidRDefault="00000000">
      <w:pPr>
        <w:jc w:val="both"/>
      </w:pPr>
      <w:r>
        <w:rPr>
          <w:b/>
        </w:rPr>
        <w:t>Facteur solaire :</w:t>
      </w:r>
    </w:p>
    <w:p w14:paraId="351E7D0E" w14:textId="77777777" w:rsidR="004B2808" w:rsidRDefault="00000000">
      <w:pPr>
        <w:jc w:val="both"/>
      </w:pPr>
      <w:r>
        <w:t xml:space="preserve"> Le facteur solaire d’un ensemble vitrage-store intérieur dépend entre autres des caractéristiques (couleur, coefficient d’ouverture) des stores / volets.</w:t>
      </w:r>
    </w:p>
    <w:p w14:paraId="6DB042BF" w14:textId="77777777" w:rsidR="004B2808" w:rsidRDefault="00000000">
      <w:pPr>
        <w:jc w:val="both"/>
      </w:pPr>
      <w:r>
        <w:t xml:space="preserve"> Pour que la protection solaire soit la plus efficace possible contre les surchauffes, des stores / volets de couleurs claires sont notamment à privilégier.</w:t>
      </w:r>
    </w:p>
    <w:p w14:paraId="1DFD903A" w14:textId="77777777" w:rsidR="004B2808" w:rsidRDefault="00000000">
      <w:pPr>
        <w:jc w:val="both"/>
      </w:pPr>
      <w:r>
        <w:rPr>
          <w:b/>
        </w:rPr>
        <w:t>Transmission lumineuse :</w:t>
      </w:r>
    </w:p>
    <w:p w14:paraId="2392B7D8" w14:textId="77777777" w:rsidR="004B2808" w:rsidRDefault="00000000">
      <w:pPr>
        <w:jc w:val="both"/>
      </w:pPr>
      <w:r>
        <w:t xml:space="preserve"> Elle dépend également de la couleur et du coefficient d’ouverture du store.</w:t>
      </w:r>
    </w:p>
    <w:p w14:paraId="4EA3AAD7" w14:textId="77777777" w:rsidR="004B2808" w:rsidRDefault="00000000">
      <w:pPr>
        <w:jc w:val="both"/>
      </w:pPr>
      <w:r>
        <w:rPr>
          <w:b/>
        </w:rPr>
        <w:t>Impact visuel / Intimité des occupants :</w:t>
      </w:r>
    </w:p>
    <w:p w14:paraId="77DDDDFB" w14:textId="77777777" w:rsidR="004B2808" w:rsidRDefault="00000000">
      <w:pPr>
        <w:jc w:val="both"/>
      </w:pPr>
      <w:r>
        <w:t xml:space="preserve"> Elle dépend notamment du coefficient d’ouverture du store.</w:t>
      </w:r>
    </w:p>
    <w:p w14:paraId="1599EB42" w14:textId="77777777" w:rsidR="004B2808" w:rsidRDefault="00000000">
      <w:pPr>
        <w:pStyle w:val="Author-eSectionHeading6Numberless"/>
      </w:pPr>
      <w:bookmarkStart w:id="1212" w:name="_Toc220491337"/>
      <w:r>
        <w:t>55.45.1a Manuel CCTB 01.12</w:t>
      </w:r>
      <w:bookmarkEnd w:id="1212"/>
    </w:p>
    <w:p w14:paraId="4CE30D3B" w14:textId="77777777" w:rsidR="004B2808" w:rsidRDefault="00000000">
      <w:pPr>
        <w:pStyle w:val="pheading"/>
      </w:pPr>
      <w:r>
        <w:t>DESCRIPTION</w:t>
      </w:r>
    </w:p>
    <w:p w14:paraId="3D7F6A7F" w14:textId="77777777" w:rsidR="004B2808" w:rsidRDefault="00000000">
      <w:pPr>
        <w:pStyle w:val="pheading"/>
      </w:pPr>
      <w:r>
        <w:t>- Définition / Comprend</w:t>
      </w:r>
    </w:p>
    <w:p w14:paraId="5C2570B6" w14:textId="77777777" w:rsidR="004B2808" w:rsidRDefault="00000000">
      <w:pPr>
        <w:jc w:val="both"/>
      </w:pPr>
      <w:r>
        <w:t xml:space="preserve">Il s’agit de la fourniture et de la pose de volets intérieurs coulissants, en bois, commandés manuellement. </w:t>
      </w:r>
    </w:p>
    <w:p w14:paraId="2361E982" w14:textId="77777777" w:rsidR="004B2808" w:rsidRDefault="00000000">
      <w:pPr>
        <w:jc w:val="both"/>
      </w:pPr>
      <w:r>
        <w:t>Il sont entre autres destinés à la protection visuelle et/ou solaire de baies intérieures et/ou de façade.</w:t>
      </w:r>
    </w:p>
    <w:p w14:paraId="7E47EF92" w14:textId="77777777" w:rsidR="004B2808" w:rsidRDefault="00000000">
      <w:pPr>
        <w:pStyle w:val="pheading"/>
      </w:pPr>
      <w:r>
        <w:lastRenderedPageBreak/>
        <w:t>MATÉRIAUX</w:t>
      </w:r>
    </w:p>
    <w:p w14:paraId="28BEC1F4" w14:textId="77777777" w:rsidR="004B2808" w:rsidRDefault="00000000">
      <w:pPr>
        <w:pStyle w:val="pheading"/>
      </w:pPr>
      <w:r>
        <w:t>- Caractéristiques générales</w:t>
      </w:r>
    </w:p>
    <w:p w14:paraId="392388AE" w14:textId="77777777" w:rsidR="004B2808" w:rsidRDefault="00000000">
      <w:pPr>
        <w:jc w:val="both"/>
      </w:pPr>
      <w:r>
        <w:rPr>
          <w:b/>
        </w:rPr>
        <w:t>Généralités : </w:t>
      </w:r>
    </w:p>
    <w:p w14:paraId="233F494A" w14:textId="77777777" w:rsidR="004B2808" w:rsidRDefault="00000000">
      <w:pPr>
        <w:jc w:val="both"/>
      </w:pPr>
      <w:r>
        <w:t xml:space="preserve">Les efforts de manœuvres sont conformes à la classe : </w:t>
      </w:r>
      <w:r>
        <w:rPr>
          <w:rStyle w:val="optioncarChar"/>
        </w:rPr>
        <w:t>1</w:t>
      </w:r>
      <w:r>
        <w:t xml:space="preserve"> (par défaut)</w:t>
      </w:r>
      <w:r>
        <w:rPr>
          <w:rStyle w:val="optioncarChar"/>
        </w:rPr>
        <w:t xml:space="preserve"> / 2 (efforts réduits - PMR)</w:t>
      </w:r>
      <w:r>
        <w:t>, selon la [NBN EN 13527]. </w:t>
      </w:r>
    </w:p>
    <w:p w14:paraId="4DEB59B3" w14:textId="77777777" w:rsidR="004B2808" w:rsidRDefault="00000000">
      <w:pPr>
        <w:jc w:val="both"/>
      </w:pPr>
      <w:r>
        <w:t xml:space="preserve">Les performances thermiques additionnelles sont : </w:t>
      </w:r>
      <w:r>
        <w:rPr>
          <w:rStyle w:val="optioncarChar"/>
        </w:rPr>
        <w:t>négligées</w:t>
      </w:r>
      <w:r>
        <w:t> (par défaut)</w:t>
      </w:r>
      <w:r>
        <w:rPr>
          <w:rStyle w:val="optioncarChar"/>
        </w:rPr>
        <w:t xml:space="preserve"> / ≤ *** W/m²K</w:t>
      </w:r>
      <w:r>
        <w:t>, selon la [NBN EN 13125].</w:t>
      </w:r>
      <w:r>
        <w:rPr>
          <w:rStyle w:val="optioncarChar"/>
        </w:rPr>
        <w:t> </w:t>
      </w:r>
    </w:p>
    <w:p w14:paraId="58DCFC3F" w14:textId="77777777" w:rsidR="004B2808" w:rsidRDefault="00000000">
      <w:pPr>
        <w:jc w:val="both"/>
      </w:pPr>
      <w:r>
        <w:t>Valeur thermique et optique – Classe :</w:t>
      </w:r>
      <w:r>
        <w:rPr>
          <w:rStyle w:val="optioncarChar"/>
        </w:rPr>
        <w:t xml:space="preserve"> 0 (très peu d’effet) / 1(peu d’effet) </w:t>
      </w:r>
      <w:r>
        <w:t>(par défaut)</w:t>
      </w:r>
      <w:r>
        <w:rPr>
          <w:rStyle w:val="optioncarChar"/>
        </w:rPr>
        <w:t xml:space="preserve"> / 2 (effet moyen) / 3 (bon effet) / 4 (très bon effet),</w:t>
      </w:r>
      <w:r>
        <w:t xml:space="preserve"> classification de confort selon la norme [NBN EN 14501] - Échantillons testés selon la norme [NBN EN 14500]</w:t>
      </w:r>
    </w:p>
    <w:p w14:paraId="30C5DD05" w14:textId="77777777" w:rsidR="004B2808" w:rsidRDefault="004B2808">
      <w:pPr>
        <w:jc w:val="both"/>
      </w:pPr>
    </w:p>
    <w:p w14:paraId="31BCE461" w14:textId="77777777" w:rsidR="004B2808" w:rsidRDefault="00000000">
      <w:pPr>
        <w:jc w:val="both"/>
      </w:pPr>
      <w:r>
        <w:rPr>
          <w:b/>
        </w:rPr>
        <w:t>Caractéristiques : </w:t>
      </w:r>
    </w:p>
    <w:p w14:paraId="369235BB" w14:textId="77777777" w:rsidR="004B2808" w:rsidRDefault="00000000">
      <w:pPr>
        <w:jc w:val="both"/>
      </w:pPr>
      <w:r>
        <w:rPr>
          <w:u w:val="single"/>
        </w:rPr>
        <w:t>Généralités : </w:t>
      </w:r>
    </w:p>
    <w:p w14:paraId="22240E44" w14:textId="77777777" w:rsidR="004B2808" w:rsidRDefault="00000000">
      <w:pPr>
        <w:jc w:val="both"/>
      </w:pPr>
      <w:r>
        <w:t xml:space="preserve">Les volets sont réalisés selon les dessins : </w:t>
      </w:r>
      <w:r>
        <w:rPr>
          <w:rStyle w:val="optioncarChar"/>
        </w:rPr>
        <w:t>qui figurent aux plans</w:t>
      </w:r>
      <w:r>
        <w:t xml:space="preserve"> (par défaut)</w:t>
      </w:r>
      <w:r>
        <w:rPr>
          <w:rStyle w:val="optioncarChar"/>
        </w:rPr>
        <w:t xml:space="preserve"> / *** </w:t>
      </w:r>
    </w:p>
    <w:p w14:paraId="5C441D8B" w14:textId="77777777" w:rsidR="004B2808" w:rsidRDefault="00000000">
      <w:pPr>
        <w:jc w:val="both"/>
      </w:pPr>
      <w:r>
        <w:t>Classe de réaction au feu :</w:t>
      </w:r>
      <w:r>
        <w:rPr>
          <w:rStyle w:val="optioncarChar"/>
        </w:rPr>
        <w:t xml:space="preserve"> A2-s2,d0 / B-s1, d0 / ***</w:t>
      </w:r>
      <w:r>
        <w:t xml:space="preserve"> selon [NBN EN 13501-1]</w:t>
      </w:r>
    </w:p>
    <w:p w14:paraId="3C2E4B57" w14:textId="77777777" w:rsidR="004B2808" w:rsidRDefault="00000000">
      <w:pPr>
        <w:jc w:val="both"/>
      </w:pPr>
      <w:r>
        <w:rPr>
          <w:u w:val="single"/>
        </w:rPr>
        <w:t>Matériau principal : </w:t>
      </w:r>
    </w:p>
    <w:p w14:paraId="570D2D62" w14:textId="77777777" w:rsidR="004B2808" w:rsidRDefault="00000000">
      <w:pPr>
        <w:jc w:val="both"/>
      </w:pPr>
      <w:r>
        <w:t xml:space="preserve">Essence – Bois massif (sauf indications complémentaires ci-après) : </w:t>
      </w:r>
      <w:r>
        <w:rPr>
          <w:rStyle w:val="optioncarChar"/>
        </w:rPr>
        <w:t>Douglas (Pseudotsuga menziesii) / Epicéa (Picéa abies) / Mélèze (Larix decidua) / Pin sylvestre (Pinus sylvestria) / Hêtre (Fagus sylvatica) / Chêne d’Europe (Quercus Robur ou Petraea) / Frêne (Fraxinus excelsior) / Meranti (Dark Red) / Afzelia (Doussié) / Paulownia / *** </w:t>
      </w:r>
    </w:p>
    <w:p w14:paraId="2F92EE35" w14:textId="77777777" w:rsidR="004B2808" w:rsidRDefault="00000000">
      <w:pPr>
        <w:jc w:val="both"/>
      </w:pPr>
      <w:r>
        <w:rPr>
          <w:u w:val="single"/>
        </w:rPr>
        <w:t>Tablier(s) : </w:t>
      </w:r>
    </w:p>
    <w:p w14:paraId="32C9266B" w14:textId="77777777" w:rsidR="004B2808" w:rsidRDefault="00000000">
      <w:pPr>
        <w:jc w:val="both"/>
      </w:pPr>
      <w:r>
        <w:t xml:space="preserve">L’ensemble comprend : </w:t>
      </w:r>
      <w:r>
        <w:rPr>
          <w:rStyle w:val="optioncarChar"/>
        </w:rPr>
        <w:t>1 / 2 / 4 / ***</w:t>
      </w:r>
      <w:r>
        <w:t xml:space="preserve"> tabliers </w:t>
      </w:r>
    </w:p>
    <w:p w14:paraId="69D3B56E" w14:textId="77777777" w:rsidR="004B2808" w:rsidRDefault="00000000">
      <w:pPr>
        <w:jc w:val="both"/>
      </w:pPr>
      <w:r>
        <w:t xml:space="preserve">Dimensions nominales </w:t>
      </w:r>
      <w:r>
        <w:rPr>
          <w:rStyle w:val="optioncarChar"/>
        </w:rPr>
        <w:t>d’un tablier / du volet fermé</w:t>
      </w:r>
      <w:r>
        <w:t xml:space="preserve"> (L x H) :</w:t>
      </w:r>
      <w:r>
        <w:rPr>
          <w:rStyle w:val="optioncarChar"/>
        </w:rPr>
        <w:t xml:space="preserve"> 50 x 250 / ***</w:t>
      </w:r>
      <w:r>
        <w:t xml:space="preserve"> cm </w:t>
      </w:r>
    </w:p>
    <w:p w14:paraId="79E41FA3" w14:textId="77777777" w:rsidR="004B2808" w:rsidRDefault="00000000">
      <w:pPr>
        <w:jc w:val="both"/>
      </w:pPr>
      <w:r>
        <w:t xml:space="preserve">En position fermé, le recouvrement de la baie est en tout point ≥ : </w:t>
      </w:r>
      <w:r>
        <w:rPr>
          <w:rStyle w:val="optioncarChar"/>
        </w:rPr>
        <w:t xml:space="preserve">30 / 40 </w:t>
      </w:r>
      <w:r>
        <w:t>(par défaut)</w:t>
      </w:r>
      <w:r>
        <w:rPr>
          <w:rStyle w:val="optioncarChar"/>
        </w:rPr>
        <w:t xml:space="preserve"> / 50 / ***</w:t>
      </w:r>
      <w:r>
        <w:t xml:space="preserve"> mm </w:t>
      </w:r>
    </w:p>
    <w:p w14:paraId="3F9EB8E2" w14:textId="77777777" w:rsidR="004B2808" w:rsidRDefault="00000000">
      <w:pPr>
        <w:jc w:val="both"/>
      </w:pPr>
      <w:r>
        <w:t xml:space="preserve">L’écart entre tablier(s) et parois est : ≤ </w:t>
      </w:r>
      <w:r>
        <w:rPr>
          <w:rStyle w:val="optioncarChar"/>
        </w:rPr>
        <w:t xml:space="preserve">10 / 15 </w:t>
      </w:r>
      <w:r>
        <w:t>(par défaut)</w:t>
      </w:r>
      <w:r>
        <w:rPr>
          <w:rStyle w:val="optioncarChar"/>
        </w:rPr>
        <w:t xml:space="preserve"> / 20 / ***</w:t>
      </w:r>
      <w:r>
        <w:t xml:space="preserve"> mm </w:t>
      </w:r>
    </w:p>
    <w:p w14:paraId="47279BEE" w14:textId="77777777" w:rsidR="004B2808" w:rsidRDefault="00000000">
      <w:pPr>
        <w:jc w:val="both"/>
      </w:pPr>
      <w:r>
        <w:t xml:space="preserve">Section du cadre (lrg x ép.) : </w:t>
      </w:r>
      <w:r>
        <w:rPr>
          <w:rStyle w:val="optioncarChar"/>
        </w:rPr>
        <w:t>60x27 / 70x30 / ***</w:t>
      </w:r>
      <w:r>
        <w:t xml:space="preserve"> mm </w:t>
      </w:r>
    </w:p>
    <w:p w14:paraId="5595CD88" w14:textId="77777777" w:rsidR="004B2808" w:rsidRDefault="00000000">
      <w:pPr>
        <w:jc w:val="both"/>
      </w:pPr>
      <w:r>
        <w:t>Le remplissage est réalisé à l’aide :</w:t>
      </w:r>
      <w:r>
        <w:rPr>
          <w:rStyle w:val="optioncarChar"/>
        </w:rPr>
        <w:t xml:space="preserve"> d’éléments fixes </w:t>
      </w:r>
      <w:r>
        <w:t>(par défaut)</w:t>
      </w:r>
      <w:r>
        <w:rPr>
          <w:rStyle w:val="optioncarChar"/>
        </w:rPr>
        <w:t xml:space="preserve"> / de lames orientables / *** </w:t>
      </w:r>
    </w:p>
    <w:p w14:paraId="6EFAAC9A" w14:textId="77777777" w:rsidR="004B2808" w:rsidRDefault="004B2808">
      <w:pPr>
        <w:jc w:val="both"/>
      </w:pPr>
    </w:p>
    <w:p w14:paraId="21BC73C1" w14:textId="77777777" w:rsidR="004B2808" w:rsidRDefault="00000000">
      <w:pPr>
        <w:jc w:val="both"/>
      </w:pPr>
      <w:r>
        <w:rPr>
          <w:b/>
        </w:rPr>
        <w:t>(soit par défaut) </w:t>
      </w:r>
    </w:p>
    <w:p w14:paraId="55B1647D" w14:textId="77777777" w:rsidR="004B2808" w:rsidRDefault="00000000">
      <w:pPr>
        <w:jc w:val="both"/>
      </w:pPr>
      <w:r>
        <w:rPr>
          <w:rStyle w:val="soitChar"/>
          <w:u w:val="single"/>
        </w:rPr>
        <w:t>D’éléments fixes : </w:t>
      </w:r>
    </w:p>
    <w:p w14:paraId="11690427" w14:textId="77777777" w:rsidR="004B2808" w:rsidRDefault="00000000">
      <w:pPr>
        <w:jc w:val="both"/>
      </w:pPr>
      <w:r>
        <w:rPr>
          <w:rStyle w:val="soitChar"/>
        </w:rPr>
        <w:t xml:space="preserve">Le remplissage est réalisé à l’aide de : </w:t>
      </w:r>
      <w:r>
        <w:rPr>
          <w:rStyle w:val="optioncarChar"/>
        </w:rPr>
        <w:t>lames fixes</w:t>
      </w:r>
      <w:r>
        <w:t xml:space="preserve"> (par défaut)</w:t>
      </w:r>
      <w:r>
        <w:rPr>
          <w:rStyle w:val="optioncarChar"/>
        </w:rPr>
        <w:t xml:space="preserve"> / panneaux / *** </w:t>
      </w:r>
    </w:p>
    <w:p w14:paraId="04D0FF7F" w14:textId="77777777" w:rsidR="004B2808" w:rsidRDefault="00000000">
      <w:pPr>
        <w:ind w:left="567"/>
        <w:jc w:val="both"/>
      </w:pPr>
      <w:r>
        <w:rPr>
          <w:b/>
        </w:rPr>
        <w:t>(soit par défaut)  </w:t>
      </w:r>
    </w:p>
    <w:p w14:paraId="60E66EDF" w14:textId="77777777" w:rsidR="004B2808" w:rsidRDefault="00000000">
      <w:pPr>
        <w:ind w:left="567"/>
        <w:jc w:val="both"/>
      </w:pPr>
      <w:r>
        <w:rPr>
          <w:rStyle w:val="soitChar"/>
          <w:u w:val="single"/>
        </w:rPr>
        <w:t xml:space="preserve">Lames fixes :  </w:t>
      </w:r>
    </w:p>
    <w:p w14:paraId="033842A6" w14:textId="77777777" w:rsidR="004B2808" w:rsidRDefault="00000000">
      <w:pPr>
        <w:ind w:left="567"/>
        <w:jc w:val="both"/>
      </w:pPr>
      <w:r>
        <w:rPr>
          <w:rStyle w:val="soitChar"/>
        </w:rPr>
        <w:t xml:space="preserve">Section nominale des lames (ep. x lrg) : </w:t>
      </w:r>
      <w:r>
        <w:rPr>
          <w:rStyle w:val="optioncarChar"/>
        </w:rPr>
        <w:t>12 x 50 / ***</w:t>
      </w:r>
      <w:r>
        <w:rPr>
          <w:rStyle w:val="soitChar"/>
        </w:rPr>
        <w:t>mm </w:t>
      </w:r>
    </w:p>
    <w:p w14:paraId="2061816B" w14:textId="77777777" w:rsidR="004B2808" w:rsidRDefault="00000000">
      <w:pPr>
        <w:ind w:left="567"/>
        <w:jc w:val="both"/>
      </w:pPr>
      <w:r>
        <w:rPr>
          <w:rStyle w:val="soitChar"/>
        </w:rPr>
        <w:t>Orientation des lames :</w:t>
      </w:r>
      <w:r>
        <w:rPr>
          <w:rStyle w:val="optioncarChar"/>
        </w:rPr>
        <w:t> selon les indications aux plans</w:t>
      </w:r>
      <w:r>
        <w:t> (par défaut)</w:t>
      </w:r>
      <w:r>
        <w:rPr>
          <w:rStyle w:val="optioncarChar"/>
        </w:rPr>
        <w:t> / verticales, espacées de 5 / 10 / 20 / 30 / *** mm / de biais à 30 / 45 / *** °, espacées de 10 / 20 / 30 / *** mm / *** </w:t>
      </w:r>
    </w:p>
    <w:p w14:paraId="57AEB8AB" w14:textId="77777777" w:rsidR="004B2808" w:rsidRDefault="00000000">
      <w:pPr>
        <w:ind w:left="567"/>
        <w:jc w:val="both"/>
      </w:pPr>
      <w:r>
        <w:rPr>
          <w:b/>
        </w:rPr>
        <w:t>(soit) </w:t>
      </w:r>
    </w:p>
    <w:p w14:paraId="64EF5DF2" w14:textId="77777777" w:rsidR="004B2808" w:rsidRDefault="00000000">
      <w:pPr>
        <w:ind w:left="567"/>
        <w:jc w:val="both"/>
      </w:pPr>
      <w:r>
        <w:rPr>
          <w:rStyle w:val="soitChar"/>
          <w:u w:val="single"/>
        </w:rPr>
        <w:t>Panneaux: </w:t>
      </w:r>
    </w:p>
    <w:p w14:paraId="4DF40759" w14:textId="77777777" w:rsidR="004B2808" w:rsidRDefault="00000000">
      <w:pPr>
        <w:ind w:left="567"/>
        <w:jc w:val="both"/>
      </w:pPr>
      <w:r>
        <w:rPr>
          <w:rStyle w:val="soitChar"/>
        </w:rPr>
        <w:t xml:space="preserve">Epaisseur nominale : </w:t>
      </w:r>
      <w:r>
        <w:rPr>
          <w:rStyle w:val="optioncarChar"/>
        </w:rPr>
        <w:t>8 / 10 / 12 / ***</w:t>
      </w:r>
      <w:r>
        <w:rPr>
          <w:rStyle w:val="soitChar"/>
        </w:rPr>
        <w:t xml:space="preserve"> mm </w:t>
      </w:r>
    </w:p>
    <w:p w14:paraId="25CAB388" w14:textId="77777777" w:rsidR="004B2808" w:rsidRDefault="00000000">
      <w:pPr>
        <w:ind w:left="567"/>
        <w:jc w:val="both"/>
      </w:pPr>
      <w:r>
        <w:rPr>
          <w:rStyle w:val="soitChar"/>
        </w:rPr>
        <w:t xml:space="preserve">Type : </w:t>
      </w:r>
      <w:r>
        <w:rPr>
          <w:rStyle w:val="optioncarChar"/>
        </w:rPr>
        <w:t>planchette massive rainurée - languetée / panneaux multiplex / ***  </w:t>
      </w:r>
    </w:p>
    <w:p w14:paraId="6C5625D8" w14:textId="77777777" w:rsidR="004B2808" w:rsidRDefault="00000000">
      <w:pPr>
        <w:ind w:left="567"/>
        <w:jc w:val="both"/>
      </w:pPr>
      <w:r>
        <w:rPr>
          <w:rStyle w:val="soitChar"/>
        </w:rPr>
        <w:t xml:space="preserve">Essence : </w:t>
      </w:r>
      <w:r>
        <w:rPr>
          <w:rStyle w:val="optioncarChar"/>
        </w:rPr>
        <w:t>identique aux autres éléments du volet / *** </w:t>
      </w:r>
    </w:p>
    <w:p w14:paraId="3FF6CD93" w14:textId="77777777" w:rsidR="004B2808" w:rsidRDefault="00000000">
      <w:pPr>
        <w:ind w:left="567"/>
        <w:jc w:val="both"/>
      </w:pPr>
      <w:r>
        <w:rPr>
          <w:rStyle w:val="soitChar"/>
        </w:rPr>
        <w:t xml:space="preserve">Motif : </w:t>
      </w:r>
      <w:r>
        <w:rPr>
          <w:rStyle w:val="optioncarChar"/>
        </w:rPr>
        <w:t>plein lisse / plein rainurée / perforé / *** </w:t>
      </w:r>
    </w:p>
    <w:p w14:paraId="7A394ED9" w14:textId="77777777" w:rsidR="004B2808" w:rsidRDefault="004B2808"/>
    <w:p w14:paraId="0392E1DB" w14:textId="77777777" w:rsidR="004B2808" w:rsidRDefault="00000000">
      <w:pPr>
        <w:jc w:val="both"/>
      </w:pPr>
      <w:r>
        <w:rPr>
          <w:b/>
        </w:rPr>
        <w:t>(soit) </w:t>
      </w:r>
    </w:p>
    <w:p w14:paraId="34EF4E53" w14:textId="77777777" w:rsidR="004B2808" w:rsidRDefault="00000000">
      <w:pPr>
        <w:jc w:val="both"/>
      </w:pPr>
      <w:r>
        <w:rPr>
          <w:rStyle w:val="soitChar"/>
          <w:u w:val="single"/>
        </w:rPr>
        <w:t xml:space="preserve">De lames orientables :  </w:t>
      </w:r>
    </w:p>
    <w:p w14:paraId="5B9C8FBB" w14:textId="77777777" w:rsidR="004B2808" w:rsidRDefault="00000000">
      <w:pPr>
        <w:jc w:val="both"/>
      </w:pPr>
      <w:r>
        <w:rPr>
          <w:rStyle w:val="soitChar"/>
        </w:rPr>
        <w:t xml:space="preserve">Section nominale des lames (ep. x lrg) : </w:t>
      </w:r>
      <w:r>
        <w:rPr>
          <w:rStyle w:val="optioncarChar"/>
        </w:rPr>
        <w:t>12 x 50 / ***</w:t>
      </w:r>
      <w:r>
        <w:rPr>
          <w:rStyle w:val="soitChar"/>
        </w:rPr>
        <w:t xml:space="preserve"> mm </w:t>
      </w:r>
    </w:p>
    <w:p w14:paraId="2042E103" w14:textId="77777777" w:rsidR="004B2808" w:rsidRDefault="00000000">
      <w:pPr>
        <w:jc w:val="both"/>
      </w:pPr>
      <w:r>
        <w:rPr>
          <w:rStyle w:val="soitChar"/>
        </w:rPr>
        <w:t xml:space="preserve">Les lames sont commandées manuellement via un système </w:t>
      </w:r>
      <w:r>
        <w:rPr>
          <w:rStyle w:val="optioncarChar"/>
        </w:rPr>
        <w:t>visible</w:t>
      </w:r>
      <w:r>
        <w:t xml:space="preserve"> (par défaut) </w:t>
      </w:r>
      <w:r>
        <w:rPr>
          <w:rStyle w:val="optioncarChar"/>
        </w:rPr>
        <w:t>/ invisible.</w:t>
      </w:r>
    </w:p>
    <w:p w14:paraId="40BEEF08" w14:textId="77777777" w:rsidR="004B2808" w:rsidRDefault="00000000">
      <w:pPr>
        <w:ind w:left="567"/>
        <w:jc w:val="both"/>
      </w:pPr>
      <w:r>
        <w:rPr>
          <w:b/>
        </w:rPr>
        <w:t>(soit par défaut) </w:t>
      </w:r>
    </w:p>
    <w:p w14:paraId="77E4CF8F" w14:textId="77777777" w:rsidR="004B2808" w:rsidRDefault="00000000">
      <w:pPr>
        <w:ind w:left="567"/>
        <w:jc w:val="both"/>
      </w:pPr>
      <w:r>
        <w:rPr>
          <w:rStyle w:val="soitChar"/>
          <w:u w:val="single"/>
        </w:rPr>
        <w:t xml:space="preserve">Visible :  </w:t>
      </w:r>
    </w:p>
    <w:p w14:paraId="1FFB8FFF" w14:textId="77777777" w:rsidR="004B2808" w:rsidRDefault="00000000">
      <w:pPr>
        <w:ind w:left="567"/>
        <w:jc w:val="both"/>
      </w:pPr>
      <w:r>
        <w:rPr>
          <w:rStyle w:val="soitChar"/>
        </w:rPr>
        <w:t xml:space="preserve">Une baguette de manœuvre verticale est placée à l'avant des lames, en position : </w:t>
      </w:r>
      <w:r>
        <w:rPr>
          <w:rStyle w:val="optioncarChar"/>
        </w:rPr>
        <w:t>centrale</w:t>
      </w:r>
      <w:r>
        <w:t xml:space="preserve"> (par défaut) </w:t>
      </w:r>
      <w:r>
        <w:rPr>
          <w:rStyle w:val="optioncarChar"/>
        </w:rPr>
        <w:t>/ latérale / *** </w:t>
      </w:r>
    </w:p>
    <w:p w14:paraId="10CFE49C" w14:textId="77777777" w:rsidR="004B2808" w:rsidRDefault="00000000">
      <w:pPr>
        <w:ind w:left="567"/>
        <w:jc w:val="both"/>
      </w:pPr>
      <w:r>
        <w:rPr>
          <w:b/>
        </w:rPr>
        <w:t>(soit)  </w:t>
      </w:r>
    </w:p>
    <w:p w14:paraId="1281E647" w14:textId="77777777" w:rsidR="004B2808" w:rsidRDefault="00000000">
      <w:pPr>
        <w:ind w:left="567"/>
        <w:jc w:val="both"/>
      </w:pPr>
      <w:r>
        <w:rPr>
          <w:rStyle w:val="soitChar"/>
          <w:u w:val="single"/>
        </w:rPr>
        <w:t>Invisible : </w:t>
      </w:r>
    </w:p>
    <w:p w14:paraId="1C6BEEB6" w14:textId="77777777" w:rsidR="004B2808" w:rsidRDefault="00000000">
      <w:pPr>
        <w:ind w:left="567"/>
        <w:jc w:val="both"/>
      </w:pPr>
      <w:r>
        <w:rPr>
          <w:rStyle w:val="soitChar"/>
        </w:rPr>
        <w:t>Un mécanisme de commande est dissimulé dans le montant latéral. </w:t>
      </w:r>
    </w:p>
    <w:p w14:paraId="73B18971" w14:textId="77777777" w:rsidR="004B2808" w:rsidRDefault="004B2808"/>
    <w:p w14:paraId="7CF29F45" w14:textId="77777777" w:rsidR="004B2808" w:rsidRDefault="00000000">
      <w:pPr>
        <w:jc w:val="both"/>
      </w:pPr>
      <w:r>
        <w:rPr>
          <w:u w:val="single"/>
        </w:rPr>
        <w:t>Système de guides : </w:t>
      </w:r>
    </w:p>
    <w:p w14:paraId="02D51793" w14:textId="77777777" w:rsidR="004B2808" w:rsidRDefault="00000000">
      <w:pPr>
        <w:jc w:val="both"/>
      </w:pPr>
      <w:r>
        <w:t xml:space="preserve">Mécanismes en : </w:t>
      </w:r>
      <w:r>
        <w:rPr>
          <w:rStyle w:val="optioncarChar"/>
        </w:rPr>
        <w:t>acier galvanisé </w:t>
      </w:r>
      <w:r>
        <w:t>(par défaut)</w:t>
      </w:r>
      <w:r>
        <w:rPr>
          <w:rStyle w:val="optioncarChar"/>
        </w:rPr>
        <w:t> / acier laqué / inox / *** </w:t>
      </w:r>
    </w:p>
    <w:p w14:paraId="43F61F78" w14:textId="77777777" w:rsidR="004B2808" w:rsidRDefault="00000000">
      <w:pPr>
        <w:jc w:val="both"/>
      </w:pPr>
      <w:r>
        <w:t xml:space="preserve">Galets en : </w:t>
      </w:r>
      <w:r>
        <w:rPr>
          <w:rStyle w:val="optioncarChar"/>
        </w:rPr>
        <w:t>nylon </w:t>
      </w:r>
      <w:r>
        <w:t>(par défaut)</w:t>
      </w:r>
      <w:r>
        <w:rPr>
          <w:rStyle w:val="optioncarChar"/>
        </w:rPr>
        <w:t> / inox / ***, montés sur roulements à billes</w:t>
      </w:r>
      <w:r>
        <w:t xml:space="preserve"> (par défaut)</w:t>
      </w:r>
      <w:r>
        <w:rPr>
          <w:rStyle w:val="optioncarChar"/>
        </w:rPr>
        <w:t xml:space="preserve"> / *** </w:t>
      </w:r>
    </w:p>
    <w:p w14:paraId="542219DC" w14:textId="77777777" w:rsidR="004B2808" w:rsidRDefault="00000000">
      <w:pPr>
        <w:jc w:val="both"/>
      </w:pPr>
      <w:r>
        <w:t xml:space="preserve">Les mouvements sont amortis : </w:t>
      </w:r>
      <w:r>
        <w:rPr>
          <w:rStyle w:val="optioncarChar"/>
        </w:rPr>
        <w:t>oui</w:t>
      </w:r>
      <w:r>
        <w:t xml:space="preserve"> (par défaut)</w:t>
      </w:r>
      <w:r>
        <w:rPr>
          <w:rStyle w:val="optioncarChar"/>
        </w:rPr>
        <w:t xml:space="preserve"> / non </w:t>
      </w:r>
    </w:p>
    <w:p w14:paraId="3B46E08B" w14:textId="77777777" w:rsidR="004B2808" w:rsidRDefault="00000000">
      <w:pPr>
        <w:jc w:val="both"/>
      </w:pPr>
      <w:r>
        <w:t xml:space="preserve">Le système de guides est : </w:t>
      </w:r>
      <w:r>
        <w:rPr>
          <w:rStyle w:val="optioncarChar"/>
        </w:rPr>
        <w:t xml:space="preserve">apparent </w:t>
      </w:r>
      <w:r>
        <w:t xml:space="preserve">(par défaut) </w:t>
      </w:r>
      <w:r>
        <w:rPr>
          <w:rStyle w:val="optioncarChar"/>
        </w:rPr>
        <w:t>/ dissimulé / *** </w:t>
      </w:r>
    </w:p>
    <w:p w14:paraId="2921033F" w14:textId="77777777" w:rsidR="004B2808" w:rsidRDefault="004B2808">
      <w:pPr>
        <w:jc w:val="both"/>
      </w:pPr>
    </w:p>
    <w:p w14:paraId="72865E0D" w14:textId="77777777" w:rsidR="004B2808" w:rsidRDefault="00000000">
      <w:pPr>
        <w:jc w:val="both"/>
      </w:pPr>
      <w:r>
        <w:rPr>
          <w:b/>
        </w:rPr>
        <w:t>(soit par défaut) </w:t>
      </w:r>
    </w:p>
    <w:p w14:paraId="27D31495" w14:textId="77777777" w:rsidR="004B2808" w:rsidRDefault="00000000">
      <w:pPr>
        <w:jc w:val="both"/>
      </w:pPr>
      <w:r>
        <w:rPr>
          <w:rStyle w:val="soitChar"/>
          <w:u w:val="single"/>
        </w:rPr>
        <w:t>Apparent : </w:t>
      </w:r>
    </w:p>
    <w:p w14:paraId="67C95558" w14:textId="77777777" w:rsidR="004B2808" w:rsidRDefault="00000000">
      <w:pPr>
        <w:jc w:val="both"/>
      </w:pPr>
      <w:r>
        <w:rPr>
          <w:rStyle w:val="soitChar"/>
        </w:rPr>
        <w:t>Aucun accessoire n’est prévu. </w:t>
      </w:r>
    </w:p>
    <w:p w14:paraId="31DBFA2B" w14:textId="77777777" w:rsidR="004B2808" w:rsidRDefault="00000000">
      <w:pPr>
        <w:jc w:val="both"/>
      </w:pPr>
      <w:r>
        <w:rPr>
          <w:b/>
        </w:rPr>
        <w:t>(soit) </w:t>
      </w:r>
    </w:p>
    <w:p w14:paraId="5F191E5C" w14:textId="77777777" w:rsidR="004B2808" w:rsidRDefault="00000000">
      <w:pPr>
        <w:jc w:val="both"/>
      </w:pPr>
      <w:r>
        <w:rPr>
          <w:rStyle w:val="soitChar"/>
          <w:u w:val="single"/>
        </w:rPr>
        <w:t>Dissimulé : </w:t>
      </w:r>
    </w:p>
    <w:p w14:paraId="61AE87FC" w14:textId="77777777" w:rsidR="004B2808" w:rsidRDefault="00000000">
      <w:pPr>
        <w:jc w:val="both"/>
      </w:pPr>
      <w:r>
        <w:rPr>
          <w:rStyle w:val="soitChar"/>
        </w:rPr>
        <w:t>Une coiffe (coffre) recouvre le rail supérieur. </w:t>
      </w:r>
    </w:p>
    <w:p w14:paraId="7FA3C335" w14:textId="77777777" w:rsidR="004B2808" w:rsidRDefault="00000000">
      <w:pPr>
        <w:jc w:val="both"/>
      </w:pPr>
      <w:r>
        <w:rPr>
          <w:rStyle w:val="soitChar"/>
        </w:rPr>
        <w:t xml:space="preserve">Matériau : </w:t>
      </w:r>
      <w:r>
        <w:rPr>
          <w:rStyle w:val="optioncarChar"/>
        </w:rPr>
        <w:t>bois</w:t>
      </w:r>
      <w:r>
        <w:t xml:space="preserve"> (par défaut)</w:t>
      </w:r>
      <w:r>
        <w:rPr>
          <w:rStyle w:val="optioncarChar"/>
        </w:rPr>
        <w:t xml:space="preserve"> / acier laqué / *** </w:t>
      </w:r>
    </w:p>
    <w:p w14:paraId="4884C156" w14:textId="77777777" w:rsidR="004B2808" w:rsidRDefault="00000000">
      <w:pPr>
        <w:ind w:left="567"/>
        <w:jc w:val="both"/>
      </w:pPr>
      <w:r>
        <w:rPr>
          <w:b/>
        </w:rPr>
        <w:t>(soit par défaut) </w:t>
      </w:r>
    </w:p>
    <w:p w14:paraId="27F9EE77" w14:textId="77777777" w:rsidR="004B2808" w:rsidRDefault="00000000">
      <w:pPr>
        <w:ind w:left="567"/>
        <w:jc w:val="both"/>
      </w:pPr>
      <w:r>
        <w:rPr>
          <w:rStyle w:val="soitChar"/>
          <w:u w:val="single"/>
        </w:rPr>
        <w:t xml:space="preserve">Bois :  </w:t>
      </w:r>
    </w:p>
    <w:p w14:paraId="3A3E0620" w14:textId="77777777" w:rsidR="004B2808" w:rsidRDefault="00000000">
      <w:pPr>
        <w:ind w:left="567"/>
        <w:jc w:val="both"/>
      </w:pPr>
      <w:r>
        <w:rPr>
          <w:rStyle w:val="soitChar"/>
        </w:rPr>
        <w:t xml:space="preserve">Matériau - Finition : </w:t>
      </w:r>
      <w:r>
        <w:rPr>
          <w:rStyle w:val="optioncarChar"/>
        </w:rPr>
        <w:t xml:space="preserve">identique au volet </w:t>
      </w:r>
      <w:r>
        <w:t>(par défaut)</w:t>
      </w:r>
      <w:r>
        <w:rPr>
          <w:rStyle w:val="optioncarChar"/>
        </w:rPr>
        <w:t xml:space="preserve"> / *** </w:t>
      </w:r>
    </w:p>
    <w:p w14:paraId="787DCA9F" w14:textId="77777777" w:rsidR="004B2808" w:rsidRDefault="00000000">
      <w:pPr>
        <w:ind w:left="567"/>
        <w:jc w:val="both"/>
      </w:pPr>
      <w:r>
        <w:rPr>
          <w:b/>
        </w:rPr>
        <w:t>(soit) </w:t>
      </w:r>
    </w:p>
    <w:p w14:paraId="0CD31D2B" w14:textId="77777777" w:rsidR="004B2808" w:rsidRDefault="00000000">
      <w:pPr>
        <w:ind w:left="567"/>
        <w:jc w:val="both"/>
      </w:pPr>
      <w:r>
        <w:rPr>
          <w:rStyle w:val="soitChar"/>
          <w:u w:val="single"/>
        </w:rPr>
        <w:t>Acier laqué :</w:t>
      </w:r>
    </w:p>
    <w:p w14:paraId="1A12A136" w14:textId="77777777" w:rsidR="004B2808" w:rsidRDefault="00000000">
      <w:pPr>
        <w:ind w:left="567"/>
        <w:jc w:val="both"/>
      </w:pPr>
      <w:r>
        <w:rPr>
          <w:rStyle w:val="soitChar"/>
        </w:rPr>
        <w:t xml:space="preserve">Ton : </w:t>
      </w:r>
      <w:r>
        <w:rPr>
          <w:rStyle w:val="optioncarChar"/>
        </w:rPr>
        <w:t>blanc</w:t>
      </w:r>
      <w:r>
        <w:t xml:space="preserve"> (par défaut)</w:t>
      </w:r>
      <w:r>
        <w:rPr>
          <w:rStyle w:val="optioncarChar"/>
        </w:rPr>
        <w:t xml:space="preserve"> / au choix de la direction des travaux dans la gamme standard du fabricant / *** </w:t>
      </w:r>
    </w:p>
    <w:p w14:paraId="57BF5CFF" w14:textId="77777777" w:rsidR="004B2808" w:rsidRDefault="00000000">
      <w:pPr>
        <w:ind w:left="567"/>
        <w:jc w:val="both"/>
      </w:pPr>
      <w:r>
        <w:rPr>
          <w:b/>
        </w:rPr>
        <w:t>(soit) </w:t>
      </w:r>
    </w:p>
    <w:p w14:paraId="635F8E4F" w14:textId="77777777" w:rsidR="004B2808" w:rsidRDefault="00000000">
      <w:pPr>
        <w:ind w:left="567"/>
        <w:jc w:val="both"/>
      </w:pPr>
      <w:r>
        <w:rPr>
          <w:rStyle w:val="optioncarChar"/>
        </w:rPr>
        <w:t>*** </w:t>
      </w:r>
    </w:p>
    <w:p w14:paraId="63E34736" w14:textId="77777777" w:rsidR="004B2808" w:rsidRDefault="004B2808"/>
    <w:p w14:paraId="212FCCA5" w14:textId="77777777" w:rsidR="004B2808" w:rsidRDefault="00000000">
      <w:pPr>
        <w:jc w:val="both"/>
      </w:pPr>
      <w:r>
        <w:rPr>
          <w:u w:val="single"/>
        </w:rPr>
        <w:t>Moyens de fixations : </w:t>
      </w:r>
    </w:p>
    <w:p w14:paraId="41CA8A3E" w14:textId="77777777" w:rsidR="004B2808" w:rsidRDefault="00000000">
      <w:pPr>
        <w:jc w:val="both"/>
      </w:pPr>
      <w:r>
        <w:t xml:space="preserve">Matériau : </w:t>
      </w:r>
      <w:r>
        <w:rPr>
          <w:rStyle w:val="optioncarChar"/>
        </w:rPr>
        <w:t>acier inoxydable</w:t>
      </w:r>
      <w:r>
        <w:t xml:space="preserve"> (par défaut)</w:t>
      </w:r>
      <w:r>
        <w:rPr>
          <w:rStyle w:val="optioncarChar"/>
        </w:rPr>
        <w:t xml:space="preserve"> / selon les indications de la documentation qui accompagne le produit / *** </w:t>
      </w:r>
    </w:p>
    <w:p w14:paraId="12263E20" w14:textId="77777777" w:rsidR="004B2808" w:rsidRDefault="00000000">
      <w:pPr>
        <w:jc w:val="both"/>
      </w:pPr>
      <w:r>
        <w:rPr>
          <w:u w:val="single"/>
        </w:rPr>
        <w:t>Quincailleries / Mécanisme de commande manuelle :  </w:t>
      </w:r>
    </w:p>
    <w:p w14:paraId="6029FDAE" w14:textId="77777777" w:rsidR="004B2808" w:rsidRDefault="00000000">
      <w:pPr>
        <w:pStyle w:val="Author-eListParagraph"/>
        <w:numPr>
          <w:ilvl w:val="0"/>
          <w:numId w:val="1118"/>
        </w:numPr>
      </w:pPr>
      <w:r>
        <w:lastRenderedPageBreak/>
        <w:t xml:space="preserve">Chaque tablier comprend : </w:t>
      </w:r>
      <w:r>
        <w:rPr>
          <w:rStyle w:val="optioncarChar"/>
        </w:rPr>
        <w:t xml:space="preserve">une poignée fixe (bouton) </w:t>
      </w:r>
      <w:r>
        <w:t>(par défaut)</w:t>
      </w:r>
      <w:r>
        <w:rPr>
          <w:rStyle w:val="optioncarChar"/>
        </w:rPr>
        <w:t xml:space="preserve"> / une cuvette encastrée / *** </w:t>
      </w:r>
    </w:p>
    <w:p w14:paraId="45F5F4EC" w14:textId="77777777" w:rsidR="004B2808" w:rsidRDefault="00000000">
      <w:pPr>
        <w:pStyle w:val="Author-eListParagraph"/>
        <w:numPr>
          <w:ilvl w:val="0"/>
          <w:numId w:val="1118"/>
        </w:numPr>
      </w:pPr>
      <w:r>
        <w:t xml:space="preserve">Modèle / Finition : </w:t>
      </w:r>
      <w:r>
        <w:rPr>
          <w:rStyle w:val="optioncarChar"/>
        </w:rPr>
        <w:t xml:space="preserve">au choix de la direction des travaux dans la gamme standard du fabricant </w:t>
      </w:r>
      <w:r>
        <w:t>(par défaut)</w:t>
      </w:r>
      <w:r>
        <w:rPr>
          <w:rStyle w:val="optioncarChar"/>
        </w:rPr>
        <w:t xml:space="preserve"> / *** </w:t>
      </w:r>
    </w:p>
    <w:p w14:paraId="07C1CD1E" w14:textId="77777777" w:rsidR="004B2808" w:rsidRDefault="00000000">
      <w:pPr>
        <w:pStyle w:val="Author-eListParagraph"/>
        <w:numPr>
          <w:ilvl w:val="0"/>
          <w:numId w:val="1118"/>
        </w:numPr>
      </w:pPr>
      <w:r>
        <w:t xml:space="preserve">Système de blocage à l’ouverture : </w:t>
      </w:r>
      <w:r>
        <w:rPr>
          <w:rStyle w:val="optioncarChar"/>
        </w:rPr>
        <w:t>oui ; via verrous / loqueteaux / *** / non</w:t>
      </w:r>
      <w:r>
        <w:br/>
        <w:t xml:space="preserve">Modèle / Finition : </w:t>
      </w:r>
      <w:r>
        <w:rPr>
          <w:rStyle w:val="optioncarChar"/>
        </w:rPr>
        <w:t xml:space="preserve">au choix de la direction des travaux dans la gamme standard du fabricant </w:t>
      </w:r>
      <w:r>
        <w:t>(par défaut)</w:t>
      </w:r>
      <w:r>
        <w:rPr>
          <w:rStyle w:val="optioncarChar"/>
        </w:rPr>
        <w:t xml:space="preserve"> / *** </w:t>
      </w:r>
    </w:p>
    <w:p w14:paraId="30E6A109" w14:textId="77777777" w:rsidR="004B2808" w:rsidRDefault="00000000">
      <w:pPr>
        <w:jc w:val="both"/>
      </w:pPr>
      <w:r>
        <w:t>Les différents équipements sont faciles à manipuler et peu encombrants. </w:t>
      </w:r>
    </w:p>
    <w:p w14:paraId="1ABCA565" w14:textId="77777777" w:rsidR="004B2808" w:rsidRDefault="00000000">
      <w:pPr>
        <w:pStyle w:val="pheading"/>
      </w:pPr>
      <w:r>
        <w:t>- Finitions</w:t>
      </w:r>
    </w:p>
    <w:p w14:paraId="5221E656" w14:textId="77777777" w:rsidR="004B2808" w:rsidRDefault="00000000">
      <w:pPr>
        <w:jc w:val="both"/>
      </w:pPr>
      <w:r>
        <w:rPr>
          <w:u w:val="single"/>
        </w:rPr>
        <w:t>Tablier(s) :</w:t>
      </w:r>
      <w:r>
        <w:t> </w:t>
      </w:r>
    </w:p>
    <w:p w14:paraId="798E587D" w14:textId="77777777" w:rsidR="004B2808" w:rsidRDefault="00000000">
      <w:pPr>
        <w:jc w:val="both"/>
      </w:pPr>
      <w:r>
        <w:t xml:space="preserve">Ton : </w:t>
      </w:r>
      <w:r>
        <w:rPr>
          <w:rStyle w:val="optioncarChar"/>
        </w:rPr>
        <w:t>blanc</w:t>
      </w:r>
      <w:r>
        <w:t xml:space="preserve"> (par défaut)</w:t>
      </w:r>
      <w:r>
        <w:rPr>
          <w:rStyle w:val="optioncarChar"/>
        </w:rPr>
        <w:t xml:space="preserve"> / au choix de la direction des travaux dans le catalogue standard du fabricant / *** </w:t>
      </w:r>
    </w:p>
    <w:p w14:paraId="64E5BF26" w14:textId="77777777" w:rsidR="004B2808" w:rsidRDefault="00000000">
      <w:pPr>
        <w:jc w:val="both"/>
      </w:pPr>
      <w:r>
        <w:rPr>
          <w:u w:val="single"/>
        </w:rPr>
        <w:t>Système de guides apparents : </w:t>
      </w:r>
    </w:p>
    <w:p w14:paraId="5CE30BDD" w14:textId="77777777" w:rsidR="004B2808" w:rsidRDefault="00000000">
      <w:pPr>
        <w:jc w:val="both"/>
      </w:pPr>
      <w:r>
        <w:t xml:space="preserve">Ton : </w:t>
      </w:r>
      <w:r>
        <w:rPr>
          <w:rStyle w:val="optioncarChar"/>
        </w:rPr>
        <w:t>blanc</w:t>
      </w:r>
      <w:r>
        <w:t xml:space="preserve"> (par défaut) </w:t>
      </w:r>
      <w:r>
        <w:rPr>
          <w:rStyle w:val="optioncarChar"/>
        </w:rPr>
        <w:t>/ au choix de la direction des travaux dans le catalogue standard du fabricant / *** </w:t>
      </w:r>
    </w:p>
    <w:p w14:paraId="0D4B0F2E" w14:textId="77777777" w:rsidR="004B2808" w:rsidRDefault="00000000">
      <w:pPr>
        <w:jc w:val="both"/>
      </w:pPr>
      <w:r>
        <w:rPr>
          <w:u w:val="single"/>
        </w:rPr>
        <w:t>Coiffe (si d’application) : </w:t>
      </w:r>
    </w:p>
    <w:p w14:paraId="13920EC9" w14:textId="77777777" w:rsidR="004B2808" w:rsidRDefault="00000000">
      <w:pPr>
        <w:jc w:val="both"/>
      </w:pPr>
      <w:r>
        <w:t>Voir ci-avant. </w:t>
      </w:r>
    </w:p>
    <w:p w14:paraId="654DFBE6" w14:textId="77777777" w:rsidR="004B2808" w:rsidRDefault="00000000">
      <w:pPr>
        <w:jc w:val="both"/>
      </w:pPr>
      <w:r>
        <w:rPr>
          <w:u w:val="single"/>
        </w:rPr>
        <w:t>Quincailleries / Mécanisme de commande manuelle :  </w:t>
      </w:r>
    </w:p>
    <w:p w14:paraId="7BC5A04F" w14:textId="77777777" w:rsidR="004B2808" w:rsidRDefault="00000000">
      <w:pPr>
        <w:jc w:val="both"/>
      </w:pPr>
      <w:r>
        <w:t xml:space="preserve">Matériau : </w:t>
      </w:r>
      <w:r>
        <w:rPr>
          <w:rStyle w:val="optioncarChar"/>
        </w:rPr>
        <w:t>acier laqué</w:t>
      </w:r>
      <w:r>
        <w:t xml:space="preserve"> (par défaut)</w:t>
      </w:r>
      <w:r>
        <w:rPr>
          <w:rStyle w:val="optioncarChar"/>
        </w:rPr>
        <w:t xml:space="preserve"> / Inox / *** </w:t>
      </w:r>
    </w:p>
    <w:p w14:paraId="67A3FD45" w14:textId="77777777" w:rsidR="004B2808" w:rsidRDefault="00000000">
      <w:pPr>
        <w:jc w:val="both"/>
      </w:pPr>
      <w:r>
        <w:t xml:space="preserve">Ton : </w:t>
      </w:r>
      <w:r>
        <w:rPr>
          <w:rStyle w:val="optioncarChar"/>
        </w:rPr>
        <w:t xml:space="preserve">blanc </w:t>
      </w:r>
      <w:r>
        <w:t>(par défaut)</w:t>
      </w:r>
      <w:r>
        <w:rPr>
          <w:rStyle w:val="optioncarChar"/>
        </w:rPr>
        <w:t xml:space="preserve"> / naturel / *** </w:t>
      </w:r>
    </w:p>
    <w:p w14:paraId="1938229A" w14:textId="77777777" w:rsidR="004B2808" w:rsidRDefault="00000000">
      <w:pPr>
        <w:pStyle w:val="pheading"/>
      </w:pPr>
      <w:r>
        <w:t>EXÉCUTION / MISE EN ŒUVRE</w:t>
      </w:r>
    </w:p>
    <w:p w14:paraId="19941BF4" w14:textId="77777777" w:rsidR="004B2808" w:rsidRDefault="00000000">
      <w:pPr>
        <w:pStyle w:val="pheading"/>
      </w:pPr>
      <w:r>
        <w:t>- Prescriptions générales</w:t>
      </w:r>
    </w:p>
    <w:p w14:paraId="62012758" w14:textId="77777777" w:rsidR="004B2808" w:rsidRDefault="00000000">
      <w:pPr>
        <w:jc w:val="both"/>
      </w:pPr>
      <w:r>
        <w:rPr>
          <w:b/>
        </w:rPr>
        <w:t>Disposition : </w:t>
      </w:r>
    </w:p>
    <w:p w14:paraId="614F54A7" w14:textId="77777777" w:rsidR="004B2808" w:rsidRDefault="00000000">
      <w:pPr>
        <w:jc w:val="both"/>
      </w:pPr>
      <w:r>
        <w:t xml:space="preserve">Les volets et le système de guides sont placés : </w:t>
      </w:r>
      <w:r>
        <w:rPr>
          <w:rStyle w:val="optioncarChar"/>
        </w:rPr>
        <w:t>selon les indications aux plans</w:t>
      </w:r>
      <w:r>
        <w:t xml:space="preserve"> (par défaut)</w:t>
      </w:r>
      <w:r>
        <w:rPr>
          <w:rStyle w:val="optioncarChar"/>
        </w:rPr>
        <w:t xml:space="preserve"> / devant la paroi concernée / *** </w:t>
      </w:r>
    </w:p>
    <w:p w14:paraId="3B6F63E8" w14:textId="77777777" w:rsidR="004B2808" w:rsidRDefault="00000000">
      <w:pPr>
        <w:pStyle w:val="pheading"/>
      </w:pPr>
      <w:r>
        <w:t>MESURAGE</w:t>
      </w:r>
    </w:p>
    <w:p w14:paraId="3B58A1EF" w14:textId="77777777" w:rsidR="004B2808" w:rsidRDefault="00000000">
      <w:pPr>
        <w:pStyle w:val="pheading"/>
      </w:pPr>
      <w:r>
        <w:t>- unité de mesure:</w:t>
      </w:r>
    </w:p>
    <w:p w14:paraId="524921D1" w14:textId="77777777" w:rsidR="004B2808" w:rsidRDefault="00000000">
      <w:pPr>
        <w:jc w:val="both"/>
      </w:pPr>
      <w:r>
        <w:rPr>
          <w:rStyle w:val="optioncarChar"/>
        </w:rPr>
        <w:t xml:space="preserve">m² </w:t>
      </w:r>
      <w:r>
        <w:t xml:space="preserve">(par défaut) </w:t>
      </w:r>
      <w:r>
        <w:rPr>
          <w:rStyle w:val="optioncarChar"/>
        </w:rPr>
        <w:t>/ pc </w:t>
      </w:r>
    </w:p>
    <w:p w14:paraId="5AA34084" w14:textId="77777777" w:rsidR="004B2808" w:rsidRDefault="004B2808">
      <w:pPr>
        <w:jc w:val="both"/>
      </w:pPr>
    </w:p>
    <w:p w14:paraId="43EEEFE1" w14:textId="77777777" w:rsidR="004B2808" w:rsidRDefault="00000000">
      <w:pPr>
        <w:jc w:val="both"/>
      </w:pPr>
      <w:r>
        <w:rPr>
          <w:b/>
        </w:rPr>
        <w:t>(soit par défaut) </w:t>
      </w:r>
    </w:p>
    <w:p w14:paraId="4075621B" w14:textId="77777777" w:rsidR="004B2808" w:rsidRDefault="00000000">
      <w:pPr>
        <w:jc w:val="both"/>
      </w:pPr>
      <w:r>
        <w:rPr>
          <w:rStyle w:val="soitChar"/>
        </w:rPr>
        <w:t>1. m² </w:t>
      </w:r>
    </w:p>
    <w:p w14:paraId="724177B4" w14:textId="77777777" w:rsidR="004B2808" w:rsidRDefault="00000000">
      <w:pPr>
        <w:jc w:val="both"/>
      </w:pPr>
      <w:r>
        <w:rPr>
          <w:b/>
        </w:rPr>
        <w:t>(soit) </w:t>
      </w:r>
    </w:p>
    <w:p w14:paraId="549A22AF" w14:textId="77777777" w:rsidR="004B2808" w:rsidRDefault="00000000">
      <w:pPr>
        <w:jc w:val="both"/>
      </w:pPr>
      <w:r>
        <w:rPr>
          <w:rStyle w:val="soitChar"/>
        </w:rPr>
        <w:t>2. pc </w:t>
      </w:r>
    </w:p>
    <w:p w14:paraId="38317BCD" w14:textId="77777777" w:rsidR="004B2808" w:rsidRDefault="00000000">
      <w:pPr>
        <w:pStyle w:val="pheading"/>
      </w:pPr>
      <w:r>
        <w:t>- code de mesurage:</w:t>
      </w:r>
    </w:p>
    <w:p w14:paraId="5D673459" w14:textId="77777777" w:rsidR="004B2808" w:rsidRDefault="00000000">
      <w:pPr>
        <w:jc w:val="both"/>
      </w:pPr>
      <w:r>
        <w:rPr>
          <w:rStyle w:val="optioncarChar"/>
        </w:rPr>
        <w:t xml:space="preserve">Longueur nette </w:t>
      </w:r>
      <w:r>
        <w:t>(par défaut)</w:t>
      </w:r>
      <w:r>
        <w:rPr>
          <w:rStyle w:val="optioncarChar"/>
        </w:rPr>
        <w:t xml:space="preserve"> / Quantité nette</w:t>
      </w:r>
      <w:r>
        <w:t> </w:t>
      </w:r>
    </w:p>
    <w:p w14:paraId="5B50221B" w14:textId="77777777" w:rsidR="004B2808" w:rsidRDefault="004B2808">
      <w:pPr>
        <w:jc w:val="both"/>
      </w:pPr>
    </w:p>
    <w:p w14:paraId="2C39559A" w14:textId="77777777" w:rsidR="004B2808" w:rsidRDefault="00000000">
      <w:pPr>
        <w:jc w:val="both"/>
      </w:pPr>
      <w:r>
        <w:rPr>
          <w:b/>
        </w:rPr>
        <w:t>(soit par défaut) </w:t>
      </w:r>
    </w:p>
    <w:p w14:paraId="2E95CF16" w14:textId="77777777" w:rsidR="004B2808" w:rsidRDefault="00000000">
      <w:pPr>
        <w:jc w:val="both"/>
      </w:pPr>
      <w:r>
        <w:rPr>
          <w:rStyle w:val="soitChar"/>
        </w:rPr>
        <w:t xml:space="preserve">1. </w:t>
      </w:r>
      <w:r>
        <w:rPr>
          <w:rStyle w:val="soitChar"/>
          <w:u w:val="single"/>
        </w:rPr>
        <w:t>Surface nette :  </w:t>
      </w:r>
    </w:p>
    <w:p w14:paraId="4436462D" w14:textId="77777777" w:rsidR="004B2808" w:rsidRDefault="00000000">
      <w:pPr>
        <w:jc w:val="both"/>
      </w:pPr>
      <w:r>
        <w:rPr>
          <w:rStyle w:val="soitChar"/>
        </w:rPr>
        <w:t>Selon les dimensions hors tout du(des) panneau(x) :</w:t>
      </w:r>
      <w:r>
        <w:rPr>
          <w:rStyle w:val="optioncarChar"/>
        </w:rPr>
        <w:t xml:space="preserve"> indiquées aux plans</w:t>
      </w:r>
      <w:r>
        <w:t xml:space="preserve"> (par défaut)</w:t>
      </w:r>
      <w:r>
        <w:rPr>
          <w:rStyle w:val="optioncarChar"/>
        </w:rPr>
        <w:t xml:space="preserve"> / ***. </w:t>
      </w:r>
    </w:p>
    <w:p w14:paraId="712EF540" w14:textId="77777777" w:rsidR="004B2808" w:rsidRDefault="00000000">
      <w:pPr>
        <w:jc w:val="both"/>
      </w:pPr>
      <w:r>
        <w:rPr>
          <w:rStyle w:val="soitChar"/>
        </w:rPr>
        <w:t xml:space="preserve">Lorsque le store / volet est constitué de plusieurs panneaux : </w:t>
      </w:r>
      <w:r>
        <w:rPr>
          <w:rStyle w:val="optioncarChar"/>
        </w:rPr>
        <w:t xml:space="preserve">les surfaces des différents panneaux sont comptées </w:t>
      </w:r>
      <w:r>
        <w:t>(par défaut)</w:t>
      </w:r>
      <w:r>
        <w:rPr>
          <w:rStyle w:val="optioncarChar"/>
        </w:rPr>
        <w:t xml:space="preserve"> / *** </w:t>
      </w:r>
    </w:p>
    <w:p w14:paraId="31838E57" w14:textId="77777777" w:rsidR="004B2808" w:rsidRDefault="00000000">
      <w:pPr>
        <w:jc w:val="both"/>
      </w:pPr>
      <w:r>
        <w:rPr>
          <w:rStyle w:val="soitChar"/>
        </w:rPr>
        <w:t>Eventuellement scindée dans différents postes selon le type, le lieu, … </w:t>
      </w:r>
    </w:p>
    <w:p w14:paraId="1EF85D46" w14:textId="77777777" w:rsidR="004B2808" w:rsidRDefault="00000000">
      <w:pPr>
        <w:jc w:val="both"/>
      </w:pPr>
      <w:r>
        <w:rPr>
          <w:b/>
        </w:rPr>
        <w:lastRenderedPageBreak/>
        <w:t>(soit) </w:t>
      </w:r>
    </w:p>
    <w:p w14:paraId="391F0CB7" w14:textId="77777777" w:rsidR="004B2808" w:rsidRDefault="00000000">
      <w:pPr>
        <w:jc w:val="both"/>
      </w:pPr>
      <w:r>
        <w:rPr>
          <w:rStyle w:val="soitChar"/>
        </w:rPr>
        <w:t xml:space="preserve">2. </w:t>
      </w:r>
      <w:r>
        <w:rPr>
          <w:rStyle w:val="soitChar"/>
          <w:u w:val="single"/>
        </w:rPr>
        <w:t>Quantité nette :  </w:t>
      </w:r>
    </w:p>
    <w:p w14:paraId="77378A7D" w14:textId="77777777" w:rsidR="004B2808" w:rsidRDefault="00000000">
      <w:pPr>
        <w:jc w:val="both"/>
      </w:pPr>
      <w:r>
        <w:rPr>
          <w:rStyle w:val="soitChar"/>
        </w:rPr>
        <w:t>Mesurée selon le nombre d’éléments à réaliser. </w:t>
      </w:r>
    </w:p>
    <w:p w14:paraId="28C8DE97" w14:textId="77777777" w:rsidR="004B2808" w:rsidRDefault="00000000">
      <w:pPr>
        <w:jc w:val="both"/>
      </w:pPr>
      <w:r>
        <w:rPr>
          <w:rStyle w:val="soitChar"/>
        </w:rPr>
        <w:t xml:space="preserve">Lorsque le store / volet est constitué de plusieurs panneaux : </w:t>
      </w:r>
      <w:r>
        <w:rPr>
          <w:rStyle w:val="optioncarChar"/>
        </w:rPr>
        <w:t>les différents panneaux sont comptés comme une seule pièce</w:t>
      </w:r>
      <w:r>
        <w:t xml:space="preserve"> (par défaut) </w:t>
      </w:r>
      <w:r>
        <w:rPr>
          <w:rStyle w:val="optioncarChar"/>
        </w:rPr>
        <w:t>/ chaque panneau est compté séparément / ***</w:t>
      </w:r>
      <w:r>
        <w:rPr>
          <w:rStyle w:val="soitChar"/>
        </w:rPr>
        <w:t>. </w:t>
      </w:r>
    </w:p>
    <w:p w14:paraId="3D100007" w14:textId="77777777" w:rsidR="004B2808" w:rsidRDefault="00000000">
      <w:pPr>
        <w:jc w:val="both"/>
      </w:pPr>
      <w:r>
        <w:rPr>
          <w:rStyle w:val="soitChar"/>
        </w:rPr>
        <w:t>Eventuellement scindée dans différents postes selon le type, le lieu, … </w:t>
      </w:r>
    </w:p>
    <w:p w14:paraId="29DDD6B9" w14:textId="77777777" w:rsidR="004B2808" w:rsidRDefault="00000000">
      <w:pPr>
        <w:pStyle w:val="pheading"/>
      </w:pPr>
      <w:r>
        <w:t>- nature du marché:</w:t>
      </w:r>
    </w:p>
    <w:p w14:paraId="3E834A4E" w14:textId="77777777" w:rsidR="004B2808" w:rsidRDefault="00000000">
      <w:r>
        <w:rPr>
          <w:rStyle w:val="optioncarChar"/>
        </w:rPr>
        <w:t xml:space="preserve">QF </w:t>
      </w:r>
      <w:r>
        <w:t xml:space="preserve">(par défaut) </w:t>
      </w:r>
      <w:r>
        <w:rPr>
          <w:rStyle w:val="optioncarChar"/>
        </w:rPr>
        <w:t>/ QP </w:t>
      </w:r>
      <w:r>
        <w:br/>
      </w:r>
      <w:r>
        <w:br/>
      </w:r>
      <w:r>
        <w:rPr>
          <w:b/>
        </w:rPr>
        <w:t>(soit par défaut) </w:t>
      </w:r>
      <w:r>
        <w:br/>
      </w:r>
      <w:r>
        <w:rPr>
          <w:rStyle w:val="soitChar"/>
        </w:rPr>
        <w:t>1. 2. QF </w:t>
      </w:r>
      <w:r>
        <w:br/>
      </w:r>
      <w:r>
        <w:rPr>
          <w:b/>
        </w:rPr>
        <w:t>(soit) </w:t>
      </w:r>
      <w:r>
        <w:br/>
      </w:r>
      <w:r>
        <w:rPr>
          <w:rStyle w:val="soitChar"/>
        </w:rPr>
        <w:t>1. 2. QP </w:t>
      </w:r>
    </w:p>
    <w:p w14:paraId="4DC656AC" w14:textId="77777777" w:rsidR="004B2808" w:rsidRDefault="00000000">
      <w:pPr>
        <w:pStyle w:val="Author-eSectionHeading6Numberless"/>
      </w:pPr>
      <w:bookmarkStart w:id="1213" w:name="_Toc220491338"/>
      <w:r>
        <w:t>55.45.1b Motorisé CCTB 01.12</w:t>
      </w:r>
      <w:bookmarkEnd w:id="1213"/>
    </w:p>
    <w:p w14:paraId="4CF7D123" w14:textId="77777777" w:rsidR="004B2808" w:rsidRDefault="00000000">
      <w:pPr>
        <w:pStyle w:val="pheading"/>
      </w:pPr>
      <w:r>
        <w:t>DESCRIPTION</w:t>
      </w:r>
    </w:p>
    <w:p w14:paraId="5A1EFE96" w14:textId="77777777" w:rsidR="004B2808" w:rsidRDefault="00000000">
      <w:pPr>
        <w:pStyle w:val="pheading"/>
      </w:pPr>
      <w:r>
        <w:t>- Définition / Comprend</w:t>
      </w:r>
    </w:p>
    <w:p w14:paraId="72199648" w14:textId="77777777" w:rsidR="004B2808" w:rsidRDefault="00000000">
      <w:pPr>
        <w:jc w:val="both"/>
      </w:pPr>
      <w:r>
        <w:t xml:space="preserve">Il s’agit de la fourniture et de la pose de volets intérieurs coulissants, en bois, motorisés. </w:t>
      </w:r>
    </w:p>
    <w:p w14:paraId="5AA74788" w14:textId="77777777" w:rsidR="004B2808" w:rsidRDefault="00000000">
      <w:pPr>
        <w:jc w:val="both"/>
      </w:pPr>
      <w:r>
        <w:t>Il sont entre autres destinés à la protection visuelle et/ou solaire de baies intérieures et/ou de façade.</w:t>
      </w:r>
    </w:p>
    <w:p w14:paraId="5E702484" w14:textId="77777777" w:rsidR="004B2808" w:rsidRDefault="00000000">
      <w:pPr>
        <w:pStyle w:val="pheading"/>
      </w:pPr>
      <w:r>
        <w:t>MATÉRIAUX</w:t>
      </w:r>
    </w:p>
    <w:p w14:paraId="0F35BC50" w14:textId="77777777" w:rsidR="004B2808" w:rsidRDefault="00000000">
      <w:pPr>
        <w:pStyle w:val="pheading"/>
      </w:pPr>
      <w:r>
        <w:t>- Caractéristiques générales</w:t>
      </w:r>
    </w:p>
    <w:p w14:paraId="1B86132B" w14:textId="77777777" w:rsidR="004B2808" w:rsidRDefault="00000000">
      <w:pPr>
        <w:jc w:val="both"/>
      </w:pPr>
      <w:r>
        <w:rPr>
          <w:b/>
        </w:rPr>
        <w:t>Généralités : </w:t>
      </w:r>
    </w:p>
    <w:p w14:paraId="019A24C1" w14:textId="77777777" w:rsidR="004B2808" w:rsidRDefault="00000000">
      <w:pPr>
        <w:jc w:val="both"/>
      </w:pPr>
      <w:r>
        <w:t>Les efforts de manœuvres sont conformes à la classe : </w:t>
      </w:r>
      <w:r>
        <w:rPr>
          <w:rStyle w:val="optioncarChar"/>
        </w:rPr>
        <w:t>1</w:t>
      </w:r>
      <w:r>
        <w:t> (par défaut)</w:t>
      </w:r>
      <w:r>
        <w:rPr>
          <w:rStyle w:val="optioncarChar"/>
        </w:rPr>
        <w:t> / 2 (efforts réduits - PMR)</w:t>
      </w:r>
      <w:r>
        <w:t>, selon la [NBN EN 13527]. </w:t>
      </w:r>
    </w:p>
    <w:p w14:paraId="1180A235" w14:textId="77777777" w:rsidR="004B2808" w:rsidRDefault="00000000">
      <w:pPr>
        <w:jc w:val="both"/>
      </w:pPr>
      <w:r>
        <w:t>Les performances thermiques additionnelles sont : </w:t>
      </w:r>
      <w:r>
        <w:rPr>
          <w:rStyle w:val="optioncarChar"/>
        </w:rPr>
        <w:t>négligées</w:t>
      </w:r>
      <w:r>
        <w:t> (par défaut)</w:t>
      </w:r>
      <w:r>
        <w:rPr>
          <w:rStyle w:val="optioncarChar"/>
        </w:rPr>
        <w:t> / ≤ *** W/m²K</w:t>
      </w:r>
      <w:r>
        <w:t>, selon la [NBN EN 13125].</w:t>
      </w:r>
      <w:r>
        <w:rPr>
          <w:rStyle w:val="optioncarChar"/>
        </w:rPr>
        <w:t> </w:t>
      </w:r>
    </w:p>
    <w:p w14:paraId="0EDB9789" w14:textId="77777777" w:rsidR="004B2808" w:rsidRDefault="00000000">
      <w:pPr>
        <w:jc w:val="both"/>
      </w:pPr>
      <w:r>
        <w:t>Valeur thermique et optique – Classe :</w:t>
      </w:r>
      <w:r>
        <w:rPr>
          <w:rStyle w:val="optioncarChar"/>
        </w:rPr>
        <w:t> 0 (très peu d’effet) / 1(peu d’effet) </w:t>
      </w:r>
      <w:r>
        <w:t>(par défaut)</w:t>
      </w:r>
      <w:r>
        <w:rPr>
          <w:rStyle w:val="optioncarChar"/>
        </w:rPr>
        <w:t> / 2 (effet moyen) / 3 (bon effet) / 4 (très bon effet),</w:t>
      </w:r>
      <w:r>
        <w:t> classification de confort selon la norme [NBN EN 14501] - Échantillons testés selon la norme [NBN EN 14500]</w:t>
      </w:r>
    </w:p>
    <w:p w14:paraId="19511E4E" w14:textId="77777777" w:rsidR="004B2808" w:rsidRDefault="00000000">
      <w:pPr>
        <w:jc w:val="both"/>
      </w:pPr>
      <w:r>
        <w:t>Les divers accessoires électriques sont conformes à la [Directive 2006/42/CE] (voir AIDE).</w:t>
      </w:r>
    </w:p>
    <w:p w14:paraId="580442A8" w14:textId="77777777" w:rsidR="004B2808" w:rsidRDefault="00000000">
      <w:pPr>
        <w:jc w:val="both"/>
      </w:pPr>
      <w:r>
        <w:rPr>
          <w:b/>
        </w:rPr>
        <w:t>Compatibilité électromagnétique :</w:t>
      </w:r>
    </w:p>
    <w:p w14:paraId="367DFE96" w14:textId="77777777" w:rsidR="004B2808" w:rsidRDefault="00000000">
      <w:pPr>
        <w:jc w:val="both"/>
      </w:pPr>
      <w:r>
        <w:t>Les perturbations électromagnétiques générées par les systèmes d’ouverture ne dépassent en aucun cas les niveaux spécifiés dans la [NBN EN IEC 61000-6-3].</w:t>
      </w:r>
    </w:p>
    <w:p w14:paraId="1A9C90AB" w14:textId="77777777" w:rsidR="004B2808" w:rsidRDefault="00000000">
      <w:pPr>
        <w:jc w:val="both"/>
      </w:pPr>
      <w:r>
        <w:t>L’immunité des moteurs par rapport aux perturbations électromagnétiques est suffisante pour les perturbations du réseau spécifiée dans la [NBN EN IEC 61000-6-2].</w:t>
      </w:r>
    </w:p>
    <w:p w14:paraId="0366B13D" w14:textId="77777777" w:rsidR="004B2808" w:rsidRDefault="004B2808">
      <w:pPr>
        <w:jc w:val="both"/>
      </w:pPr>
    </w:p>
    <w:p w14:paraId="15AA1EB8" w14:textId="77777777" w:rsidR="004B2808" w:rsidRDefault="00000000">
      <w:pPr>
        <w:jc w:val="both"/>
      </w:pPr>
      <w:r>
        <w:rPr>
          <w:b/>
        </w:rPr>
        <w:t>Caractéristiques : </w:t>
      </w:r>
    </w:p>
    <w:p w14:paraId="3A693D1B" w14:textId="77777777" w:rsidR="004B2808" w:rsidRDefault="00000000">
      <w:pPr>
        <w:jc w:val="both"/>
      </w:pPr>
      <w:r>
        <w:rPr>
          <w:u w:val="single"/>
        </w:rPr>
        <w:t>Généralités : </w:t>
      </w:r>
    </w:p>
    <w:p w14:paraId="7259FA7D" w14:textId="77777777" w:rsidR="004B2808" w:rsidRDefault="00000000">
      <w:pPr>
        <w:jc w:val="both"/>
      </w:pPr>
      <w:r>
        <w:t>Les volets sont réalisés selon les dessins : </w:t>
      </w:r>
      <w:r>
        <w:rPr>
          <w:rStyle w:val="optioncarChar"/>
        </w:rPr>
        <w:t>qui figurent aux plans</w:t>
      </w:r>
      <w:r>
        <w:t> (par défaut)</w:t>
      </w:r>
      <w:r>
        <w:rPr>
          <w:rStyle w:val="optioncarChar"/>
        </w:rPr>
        <w:t> / *** </w:t>
      </w:r>
    </w:p>
    <w:p w14:paraId="00EB8AC5" w14:textId="77777777" w:rsidR="004B2808" w:rsidRDefault="00000000">
      <w:pPr>
        <w:jc w:val="both"/>
      </w:pPr>
      <w:r>
        <w:t>Classe de réaction au feu :</w:t>
      </w:r>
      <w:r>
        <w:rPr>
          <w:rStyle w:val="optioncarChar"/>
        </w:rPr>
        <w:t> A2-s2,d0 / B-s1, d0 / ***</w:t>
      </w:r>
      <w:r>
        <w:t> selon [NBN EN 13501-1]</w:t>
      </w:r>
    </w:p>
    <w:p w14:paraId="673756B2" w14:textId="77777777" w:rsidR="004B2808" w:rsidRDefault="00000000">
      <w:pPr>
        <w:jc w:val="both"/>
      </w:pPr>
      <w:r>
        <w:rPr>
          <w:u w:val="single"/>
        </w:rPr>
        <w:t>Matériau principal : </w:t>
      </w:r>
    </w:p>
    <w:p w14:paraId="5105CE2B" w14:textId="77777777" w:rsidR="004B2808" w:rsidRDefault="00000000">
      <w:pPr>
        <w:jc w:val="both"/>
      </w:pPr>
      <w:r>
        <w:t>Essence – Bois massif (sauf indications complémentaires ci-après) : </w:t>
      </w:r>
      <w:r>
        <w:rPr>
          <w:rStyle w:val="optioncarChar"/>
        </w:rPr>
        <w:t xml:space="preserve">Douglas (Pseudotsuga menziesii) / Epicéa (Picéa abies) / Mélèze (Larix decidua) / Pin sylvestre (Pinus sylvestria) / Hêtre </w:t>
      </w:r>
      <w:r>
        <w:rPr>
          <w:rStyle w:val="optioncarChar"/>
        </w:rPr>
        <w:lastRenderedPageBreak/>
        <w:t>(Fagus sylvatica) / Chêne d’Europe (Quercus Robur ou Petraea) / Frêne (Fraxinus excelsior) / Meranti (Dark Red) / Afzelia (Doussié) / Paulownia / *** </w:t>
      </w:r>
    </w:p>
    <w:p w14:paraId="66C33550" w14:textId="77777777" w:rsidR="004B2808" w:rsidRDefault="00000000">
      <w:pPr>
        <w:jc w:val="both"/>
      </w:pPr>
      <w:r>
        <w:rPr>
          <w:u w:val="single"/>
        </w:rPr>
        <w:t>Tablier(s) : </w:t>
      </w:r>
    </w:p>
    <w:p w14:paraId="69E13B44" w14:textId="77777777" w:rsidR="004B2808" w:rsidRDefault="00000000">
      <w:pPr>
        <w:jc w:val="both"/>
      </w:pPr>
      <w:r>
        <w:t>L’ensemble comprend : </w:t>
      </w:r>
      <w:r>
        <w:rPr>
          <w:rStyle w:val="optioncarChar"/>
        </w:rPr>
        <w:t>1 / 2 / 4 / ***</w:t>
      </w:r>
      <w:r>
        <w:t> tabliers </w:t>
      </w:r>
    </w:p>
    <w:p w14:paraId="00AB8D8D" w14:textId="77777777" w:rsidR="004B2808" w:rsidRDefault="00000000">
      <w:pPr>
        <w:jc w:val="both"/>
      </w:pPr>
      <w:r>
        <w:t>Dimensions nominales </w:t>
      </w:r>
      <w:r>
        <w:rPr>
          <w:rStyle w:val="optioncarChar"/>
        </w:rPr>
        <w:t>d’un tablier / du volet fermé</w:t>
      </w:r>
      <w:r>
        <w:t> (L x H) :</w:t>
      </w:r>
      <w:r>
        <w:rPr>
          <w:rStyle w:val="optioncarChar"/>
        </w:rPr>
        <w:t> 50 x 250 / ***</w:t>
      </w:r>
      <w:r>
        <w:t> cm </w:t>
      </w:r>
    </w:p>
    <w:p w14:paraId="506218A3" w14:textId="77777777" w:rsidR="004B2808" w:rsidRDefault="00000000">
      <w:pPr>
        <w:jc w:val="both"/>
      </w:pPr>
      <w:r>
        <w:t>En position fermé, le recouvrement de la baie est en tout point ≥ : </w:t>
      </w:r>
      <w:r>
        <w:rPr>
          <w:rStyle w:val="optioncarChar"/>
        </w:rPr>
        <w:t>30 / 40 </w:t>
      </w:r>
      <w:r>
        <w:t>(par défaut)</w:t>
      </w:r>
      <w:r>
        <w:rPr>
          <w:rStyle w:val="optioncarChar"/>
        </w:rPr>
        <w:t> / 50 / ***</w:t>
      </w:r>
      <w:r>
        <w:t> mm </w:t>
      </w:r>
    </w:p>
    <w:p w14:paraId="5E580AD1" w14:textId="77777777" w:rsidR="004B2808" w:rsidRDefault="00000000">
      <w:pPr>
        <w:jc w:val="both"/>
      </w:pPr>
      <w:r>
        <w:t>L’écart entre tablier(s) et parois est : ≤ </w:t>
      </w:r>
      <w:r>
        <w:rPr>
          <w:rStyle w:val="optioncarChar"/>
        </w:rPr>
        <w:t>10 / 15 </w:t>
      </w:r>
      <w:r>
        <w:t>(par défaut)</w:t>
      </w:r>
      <w:r>
        <w:rPr>
          <w:rStyle w:val="optioncarChar"/>
        </w:rPr>
        <w:t> / 20 / ***</w:t>
      </w:r>
      <w:r>
        <w:t> mm </w:t>
      </w:r>
    </w:p>
    <w:p w14:paraId="72A3E4EA" w14:textId="77777777" w:rsidR="004B2808" w:rsidRDefault="00000000">
      <w:pPr>
        <w:jc w:val="both"/>
      </w:pPr>
      <w:r>
        <w:t>Section du cadre (lrg x ép.) : </w:t>
      </w:r>
      <w:r>
        <w:rPr>
          <w:rStyle w:val="optioncarChar"/>
        </w:rPr>
        <w:t>60x27 / 70x30 / ***</w:t>
      </w:r>
      <w:r>
        <w:t> mm </w:t>
      </w:r>
    </w:p>
    <w:p w14:paraId="1491E1EB" w14:textId="77777777" w:rsidR="004B2808" w:rsidRDefault="00000000">
      <w:pPr>
        <w:jc w:val="both"/>
      </w:pPr>
      <w:r>
        <w:t>Le remplissage est réalisé à l’aide :</w:t>
      </w:r>
      <w:r>
        <w:rPr>
          <w:rStyle w:val="optioncarChar"/>
        </w:rPr>
        <w:t> d’éléments fixes </w:t>
      </w:r>
      <w:r>
        <w:t>(par défaut)</w:t>
      </w:r>
      <w:r>
        <w:rPr>
          <w:rStyle w:val="optioncarChar"/>
        </w:rPr>
        <w:t> / de lames orientables / *** </w:t>
      </w:r>
    </w:p>
    <w:p w14:paraId="3B94A00E" w14:textId="77777777" w:rsidR="004B2808" w:rsidRDefault="004B2808">
      <w:pPr>
        <w:jc w:val="both"/>
      </w:pPr>
    </w:p>
    <w:p w14:paraId="4FCD0EF4" w14:textId="77777777" w:rsidR="004B2808" w:rsidRDefault="00000000">
      <w:pPr>
        <w:jc w:val="both"/>
      </w:pPr>
      <w:r>
        <w:rPr>
          <w:b/>
        </w:rPr>
        <w:t>(soit par défaut) </w:t>
      </w:r>
    </w:p>
    <w:p w14:paraId="08C386A1" w14:textId="77777777" w:rsidR="004B2808" w:rsidRDefault="00000000">
      <w:pPr>
        <w:jc w:val="both"/>
      </w:pPr>
      <w:r>
        <w:rPr>
          <w:rStyle w:val="soitChar"/>
          <w:u w:val="single"/>
        </w:rPr>
        <w:t>D’éléments fixes : </w:t>
      </w:r>
    </w:p>
    <w:p w14:paraId="501075C0" w14:textId="77777777" w:rsidR="004B2808" w:rsidRDefault="00000000">
      <w:pPr>
        <w:jc w:val="both"/>
      </w:pPr>
      <w:r>
        <w:rPr>
          <w:rStyle w:val="soitChar"/>
        </w:rPr>
        <w:t>Le remplissage est réalisé à l’aide de : </w:t>
      </w:r>
      <w:r>
        <w:rPr>
          <w:rStyle w:val="optioncarChar"/>
        </w:rPr>
        <w:t>lames fixes</w:t>
      </w:r>
      <w:r>
        <w:t> (par défaut)</w:t>
      </w:r>
      <w:r>
        <w:rPr>
          <w:rStyle w:val="optioncarChar"/>
        </w:rPr>
        <w:t> / panneaux / *** </w:t>
      </w:r>
    </w:p>
    <w:p w14:paraId="2282277C" w14:textId="77777777" w:rsidR="004B2808" w:rsidRDefault="00000000">
      <w:pPr>
        <w:ind w:left="567"/>
        <w:jc w:val="both"/>
      </w:pPr>
      <w:r>
        <w:rPr>
          <w:b/>
        </w:rPr>
        <w:t>(soit par défaut)  </w:t>
      </w:r>
    </w:p>
    <w:p w14:paraId="763186A0" w14:textId="77777777" w:rsidR="004B2808" w:rsidRDefault="00000000">
      <w:pPr>
        <w:ind w:left="567"/>
        <w:jc w:val="both"/>
      </w:pPr>
      <w:r>
        <w:rPr>
          <w:rStyle w:val="soitChar"/>
          <w:u w:val="single"/>
        </w:rPr>
        <w:t>Lames fixes : </w:t>
      </w:r>
    </w:p>
    <w:p w14:paraId="6506AC5F" w14:textId="77777777" w:rsidR="004B2808" w:rsidRDefault="00000000">
      <w:pPr>
        <w:ind w:left="567"/>
        <w:jc w:val="both"/>
      </w:pPr>
      <w:r>
        <w:rPr>
          <w:rStyle w:val="soitChar"/>
        </w:rPr>
        <w:t>Section nominale des lames (ep. x lrg) : </w:t>
      </w:r>
      <w:r>
        <w:rPr>
          <w:rStyle w:val="optioncarChar"/>
        </w:rPr>
        <w:t>12 x 50 / ***</w:t>
      </w:r>
      <w:r>
        <w:t> </w:t>
      </w:r>
      <w:r>
        <w:rPr>
          <w:rStyle w:val="soitChar"/>
        </w:rPr>
        <w:t>mm </w:t>
      </w:r>
    </w:p>
    <w:p w14:paraId="4C0FA947" w14:textId="77777777" w:rsidR="004B2808" w:rsidRDefault="00000000">
      <w:pPr>
        <w:ind w:left="567"/>
        <w:jc w:val="both"/>
      </w:pPr>
      <w:r>
        <w:rPr>
          <w:rStyle w:val="soitChar"/>
        </w:rPr>
        <w:t>Orientation des lames :</w:t>
      </w:r>
      <w:r>
        <w:t> </w:t>
      </w:r>
      <w:r>
        <w:rPr>
          <w:rStyle w:val="optioncarChar"/>
        </w:rPr>
        <w:t> selon les indications aux plans</w:t>
      </w:r>
      <w:r>
        <w:t> (par défaut)</w:t>
      </w:r>
      <w:r>
        <w:rPr>
          <w:rStyle w:val="optioncarChar"/>
        </w:rPr>
        <w:t> / verticales, espacées de 5 / 10 / 20 / 30 / *** mm / de biais à 30 / 45 / *** °, espacées de 10 / 20 / 30 / *** mm / *** </w:t>
      </w:r>
    </w:p>
    <w:p w14:paraId="0FDDF0CC" w14:textId="77777777" w:rsidR="004B2808" w:rsidRDefault="00000000">
      <w:pPr>
        <w:ind w:left="567"/>
        <w:jc w:val="both"/>
      </w:pPr>
      <w:r>
        <w:rPr>
          <w:b/>
        </w:rPr>
        <w:t>(soit) </w:t>
      </w:r>
    </w:p>
    <w:p w14:paraId="506B7A15" w14:textId="77777777" w:rsidR="004B2808" w:rsidRDefault="00000000">
      <w:pPr>
        <w:ind w:left="567"/>
        <w:jc w:val="both"/>
      </w:pPr>
      <w:r>
        <w:rPr>
          <w:rStyle w:val="soitChar"/>
          <w:u w:val="single"/>
        </w:rPr>
        <w:t>Panneaux: </w:t>
      </w:r>
    </w:p>
    <w:p w14:paraId="46374568" w14:textId="77777777" w:rsidR="004B2808" w:rsidRDefault="00000000">
      <w:pPr>
        <w:ind w:left="567"/>
        <w:jc w:val="both"/>
      </w:pPr>
      <w:r>
        <w:rPr>
          <w:rStyle w:val="soitChar"/>
        </w:rPr>
        <w:t>Epaisseur nominale : </w:t>
      </w:r>
      <w:r>
        <w:rPr>
          <w:rStyle w:val="optioncarChar"/>
        </w:rPr>
        <w:t>8 / 10 / 12 / ***</w:t>
      </w:r>
      <w:r>
        <w:rPr>
          <w:rStyle w:val="soitChar"/>
        </w:rPr>
        <w:t> mm </w:t>
      </w:r>
    </w:p>
    <w:p w14:paraId="516E6F16" w14:textId="77777777" w:rsidR="004B2808" w:rsidRDefault="00000000">
      <w:pPr>
        <w:ind w:left="567"/>
        <w:jc w:val="both"/>
      </w:pPr>
      <w:r>
        <w:rPr>
          <w:rStyle w:val="soitChar"/>
        </w:rPr>
        <w:t>Type : </w:t>
      </w:r>
      <w:r>
        <w:rPr>
          <w:rStyle w:val="optioncarChar"/>
        </w:rPr>
        <w:t>planchette massive rainurée - languetée / panneaux multiplex / ***  </w:t>
      </w:r>
    </w:p>
    <w:p w14:paraId="14A883B3" w14:textId="77777777" w:rsidR="004B2808" w:rsidRDefault="00000000">
      <w:pPr>
        <w:ind w:left="567"/>
        <w:jc w:val="both"/>
      </w:pPr>
      <w:r>
        <w:rPr>
          <w:rStyle w:val="soitChar"/>
        </w:rPr>
        <w:t>Essence : </w:t>
      </w:r>
      <w:r>
        <w:rPr>
          <w:rStyle w:val="optioncarChar"/>
        </w:rPr>
        <w:t>identique aux autres éléments du volet / *** </w:t>
      </w:r>
    </w:p>
    <w:p w14:paraId="1FD1224D" w14:textId="77777777" w:rsidR="004B2808" w:rsidRDefault="00000000">
      <w:pPr>
        <w:ind w:left="567"/>
        <w:jc w:val="both"/>
      </w:pPr>
      <w:r>
        <w:rPr>
          <w:rStyle w:val="soitChar"/>
        </w:rPr>
        <w:t>Motif : </w:t>
      </w:r>
      <w:r>
        <w:rPr>
          <w:rStyle w:val="optioncarChar"/>
        </w:rPr>
        <w:t>plein lisse / plein rainurée / perforé / *** </w:t>
      </w:r>
    </w:p>
    <w:p w14:paraId="351DA742" w14:textId="77777777" w:rsidR="004B2808" w:rsidRDefault="004B2808"/>
    <w:p w14:paraId="4DA66D29" w14:textId="77777777" w:rsidR="004B2808" w:rsidRDefault="00000000">
      <w:pPr>
        <w:jc w:val="both"/>
      </w:pPr>
      <w:r>
        <w:rPr>
          <w:b/>
        </w:rPr>
        <w:t>(soit) </w:t>
      </w:r>
    </w:p>
    <w:p w14:paraId="04B6A41A" w14:textId="77777777" w:rsidR="004B2808" w:rsidRDefault="00000000">
      <w:pPr>
        <w:jc w:val="both"/>
      </w:pPr>
      <w:r>
        <w:rPr>
          <w:rStyle w:val="soitChar"/>
          <w:u w:val="single"/>
        </w:rPr>
        <w:t>De lames orientables : </w:t>
      </w:r>
    </w:p>
    <w:p w14:paraId="6DC223A1" w14:textId="77777777" w:rsidR="004B2808" w:rsidRDefault="00000000">
      <w:pPr>
        <w:jc w:val="both"/>
      </w:pPr>
      <w:r>
        <w:rPr>
          <w:rStyle w:val="soitChar"/>
        </w:rPr>
        <w:t>Section nominale des lames (ep. x lrg) : </w:t>
      </w:r>
      <w:r>
        <w:rPr>
          <w:rStyle w:val="optioncarChar"/>
        </w:rPr>
        <w:t>12 x 50 / ***</w:t>
      </w:r>
      <w:r>
        <w:t> </w:t>
      </w:r>
      <w:r>
        <w:rPr>
          <w:rStyle w:val="soitChar"/>
        </w:rPr>
        <w:t>mm </w:t>
      </w:r>
    </w:p>
    <w:p w14:paraId="4BDDBB71" w14:textId="77777777" w:rsidR="004B2808" w:rsidRDefault="00000000">
      <w:pPr>
        <w:jc w:val="both"/>
      </w:pPr>
      <w:r>
        <w:rPr>
          <w:rStyle w:val="soitChar"/>
        </w:rPr>
        <w:t>Les lames sont commandées manuellement via un système </w:t>
      </w:r>
      <w:r>
        <w:rPr>
          <w:rStyle w:val="optioncarChar"/>
        </w:rPr>
        <w:t>visible</w:t>
      </w:r>
      <w:r>
        <w:t> (par défaut) </w:t>
      </w:r>
      <w:r>
        <w:rPr>
          <w:rStyle w:val="optioncarChar"/>
        </w:rPr>
        <w:t>/ invisible.</w:t>
      </w:r>
    </w:p>
    <w:p w14:paraId="146CC3E2" w14:textId="77777777" w:rsidR="004B2808" w:rsidRDefault="00000000">
      <w:pPr>
        <w:ind w:left="567"/>
        <w:jc w:val="both"/>
      </w:pPr>
      <w:r>
        <w:rPr>
          <w:b/>
        </w:rPr>
        <w:t>(soit par défaut) </w:t>
      </w:r>
    </w:p>
    <w:p w14:paraId="2BA362CF" w14:textId="77777777" w:rsidR="004B2808" w:rsidRDefault="00000000">
      <w:pPr>
        <w:ind w:left="567"/>
        <w:jc w:val="both"/>
      </w:pPr>
      <w:r>
        <w:rPr>
          <w:rStyle w:val="soitChar"/>
          <w:u w:val="single"/>
        </w:rPr>
        <w:t>Visible : </w:t>
      </w:r>
    </w:p>
    <w:p w14:paraId="36127166" w14:textId="77777777" w:rsidR="004B2808" w:rsidRDefault="00000000">
      <w:pPr>
        <w:ind w:left="567"/>
        <w:jc w:val="both"/>
      </w:pPr>
      <w:r>
        <w:rPr>
          <w:rStyle w:val="soitChar"/>
        </w:rPr>
        <w:t>Une baguette de manœuvre verticale est placée à l'avant des lames, en position : </w:t>
      </w:r>
      <w:r>
        <w:rPr>
          <w:rStyle w:val="optioncarChar"/>
        </w:rPr>
        <w:t>centrale</w:t>
      </w:r>
      <w:r>
        <w:t> (par défaut) </w:t>
      </w:r>
      <w:r>
        <w:rPr>
          <w:rStyle w:val="optioncarChar"/>
        </w:rPr>
        <w:t>/ latérale / *** </w:t>
      </w:r>
    </w:p>
    <w:p w14:paraId="7C95137E" w14:textId="77777777" w:rsidR="004B2808" w:rsidRDefault="00000000">
      <w:pPr>
        <w:ind w:left="567"/>
        <w:jc w:val="both"/>
      </w:pPr>
      <w:r>
        <w:rPr>
          <w:b/>
        </w:rPr>
        <w:t>(soit)  </w:t>
      </w:r>
    </w:p>
    <w:p w14:paraId="7E19C6E0" w14:textId="77777777" w:rsidR="004B2808" w:rsidRDefault="00000000">
      <w:pPr>
        <w:ind w:left="567"/>
        <w:jc w:val="both"/>
      </w:pPr>
      <w:r>
        <w:rPr>
          <w:rStyle w:val="soitChar"/>
          <w:u w:val="single"/>
        </w:rPr>
        <w:t>Invisible : </w:t>
      </w:r>
    </w:p>
    <w:p w14:paraId="3DEF7430" w14:textId="77777777" w:rsidR="004B2808" w:rsidRDefault="00000000">
      <w:pPr>
        <w:ind w:left="567"/>
        <w:jc w:val="both"/>
      </w:pPr>
      <w:r>
        <w:rPr>
          <w:rStyle w:val="soitChar"/>
        </w:rPr>
        <w:t>Un mécanisme de commande est dissimulé dans le montant latéral. </w:t>
      </w:r>
    </w:p>
    <w:p w14:paraId="2649362C" w14:textId="77777777" w:rsidR="004B2808" w:rsidRDefault="004B2808"/>
    <w:p w14:paraId="61AFFC91" w14:textId="77777777" w:rsidR="004B2808" w:rsidRDefault="00000000">
      <w:pPr>
        <w:jc w:val="both"/>
      </w:pPr>
      <w:r>
        <w:rPr>
          <w:u w:val="single"/>
        </w:rPr>
        <w:t>Système de guides : </w:t>
      </w:r>
    </w:p>
    <w:p w14:paraId="37792490" w14:textId="77777777" w:rsidR="004B2808" w:rsidRDefault="00000000">
      <w:pPr>
        <w:jc w:val="both"/>
      </w:pPr>
      <w:r>
        <w:t>Mécanismes en : </w:t>
      </w:r>
      <w:r>
        <w:rPr>
          <w:rStyle w:val="optioncarChar"/>
        </w:rPr>
        <w:t>acier galvanisé </w:t>
      </w:r>
      <w:r>
        <w:t>(par défaut)</w:t>
      </w:r>
      <w:r>
        <w:rPr>
          <w:rStyle w:val="optioncarChar"/>
        </w:rPr>
        <w:t> / acier laqué / inox / *** </w:t>
      </w:r>
    </w:p>
    <w:p w14:paraId="3D7C72A4" w14:textId="77777777" w:rsidR="004B2808" w:rsidRDefault="00000000">
      <w:pPr>
        <w:jc w:val="both"/>
      </w:pPr>
      <w:r>
        <w:t>Galets en : </w:t>
      </w:r>
      <w:r>
        <w:rPr>
          <w:rStyle w:val="optioncarChar"/>
        </w:rPr>
        <w:t>nylon </w:t>
      </w:r>
      <w:r>
        <w:t>(par défaut)</w:t>
      </w:r>
      <w:r>
        <w:rPr>
          <w:rStyle w:val="optioncarChar"/>
        </w:rPr>
        <w:t> / inox / ***, montés sur roulements à billes</w:t>
      </w:r>
      <w:r>
        <w:t> (par défaut)</w:t>
      </w:r>
      <w:r>
        <w:rPr>
          <w:rStyle w:val="optioncarChar"/>
        </w:rPr>
        <w:t> / *** </w:t>
      </w:r>
    </w:p>
    <w:p w14:paraId="6A46DE9C" w14:textId="77777777" w:rsidR="004B2808" w:rsidRDefault="00000000">
      <w:pPr>
        <w:jc w:val="both"/>
      </w:pPr>
      <w:r>
        <w:t>Les mouvements sont amortis : </w:t>
      </w:r>
      <w:r>
        <w:rPr>
          <w:rStyle w:val="optioncarChar"/>
        </w:rPr>
        <w:t>oui</w:t>
      </w:r>
      <w:r>
        <w:t> (par défaut)</w:t>
      </w:r>
      <w:r>
        <w:rPr>
          <w:rStyle w:val="optioncarChar"/>
        </w:rPr>
        <w:t> / non </w:t>
      </w:r>
    </w:p>
    <w:p w14:paraId="3BD6E921" w14:textId="77777777" w:rsidR="004B2808" w:rsidRDefault="00000000">
      <w:pPr>
        <w:jc w:val="both"/>
      </w:pPr>
      <w:r>
        <w:lastRenderedPageBreak/>
        <w:t>Le système de guides est : </w:t>
      </w:r>
      <w:r>
        <w:rPr>
          <w:rStyle w:val="optioncarChar"/>
        </w:rPr>
        <w:t>apparent </w:t>
      </w:r>
      <w:r>
        <w:t>(par défaut) </w:t>
      </w:r>
      <w:r>
        <w:rPr>
          <w:rStyle w:val="optioncarChar"/>
        </w:rPr>
        <w:t>/ dissimulé / *** </w:t>
      </w:r>
    </w:p>
    <w:p w14:paraId="3EBA6464" w14:textId="77777777" w:rsidR="004B2808" w:rsidRDefault="004B2808">
      <w:pPr>
        <w:jc w:val="both"/>
      </w:pPr>
    </w:p>
    <w:p w14:paraId="0FAA1C29" w14:textId="77777777" w:rsidR="004B2808" w:rsidRDefault="00000000">
      <w:pPr>
        <w:jc w:val="both"/>
      </w:pPr>
      <w:r>
        <w:rPr>
          <w:b/>
        </w:rPr>
        <w:t>(soit par défaut) </w:t>
      </w:r>
    </w:p>
    <w:p w14:paraId="0C06FD7B" w14:textId="77777777" w:rsidR="004B2808" w:rsidRDefault="00000000">
      <w:pPr>
        <w:jc w:val="both"/>
      </w:pPr>
      <w:r>
        <w:rPr>
          <w:rStyle w:val="soitChar"/>
          <w:u w:val="single"/>
        </w:rPr>
        <w:t>Apparent : </w:t>
      </w:r>
    </w:p>
    <w:p w14:paraId="03370E16" w14:textId="77777777" w:rsidR="004B2808" w:rsidRDefault="00000000">
      <w:pPr>
        <w:jc w:val="both"/>
      </w:pPr>
      <w:r>
        <w:rPr>
          <w:rStyle w:val="soitChar"/>
        </w:rPr>
        <w:t>Aucun accessoire n’est prévu. </w:t>
      </w:r>
    </w:p>
    <w:p w14:paraId="72241085" w14:textId="77777777" w:rsidR="004B2808" w:rsidRDefault="00000000">
      <w:pPr>
        <w:jc w:val="both"/>
      </w:pPr>
      <w:r>
        <w:rPr>
          <w:b/>
        </w:rPr>
        <w:t>(soit) </w:t>
      </w:r>
    </w:p>
    <w:p w14:paraId="6C9AB6CD" w14:textId="77777777" w:rsidR="004B2808" w:rsidRDefault="00000000">
      <w:pPr>
        <w:jc w:val="both"/>
      </w:pPr>
      <w:r>
        <w:rPr>
          <w:rStyle w:val="soitChar"/>
          <w:u w:val="single"/>
        </w:rPr>
        <w:t>Dissimulé : </w:t>
      </w:r>
    </w:p>
    <w:p w14:paraId="0663CA64" w14:textId="77777777" w:rsidR="004B2808" w:rsidRDefault="00000000">
      <w:pPr>
        <w:jc w:val="both"/>
      </w:pPr>
      <w:r>
        <w:rPr>
          <w:rStyle w:val="soitChar"/>
        </w:rPr>
        <w:t>Une coiffe (coffre) recouvre le rail supérieur. </w:t>
      </w:r>
    </w:p>
    <w:p w14:paraId="3D5811CE" w14:textId="77777777" w:rsidR="004B2808" w:rsidRDefault="00000000">
      <w:pPr>
        <w:jc w:val="both"/>
      </w:pPr>
      <w:r>
        <w:rPr>
          <w:rStyle w:val="soitChar"/>
        </w:rPr>
        <w:t>Matériau : </w:t>
      </w:r>
      <w:r>
        <w:rPr>
          <w:rStyle w:val="optioncarChar"/>
        </w:rPr>
        <w:t>bois</w:t>
      </w:r>
      <w:r>
        <w:t> (par défaut)</w:t>
      </w:r>
      <w:r>
        <w:rPr>
          <w:rStyle w:val="optioncarChar"/>
        </w:rPr>
        <w:t> / acier laqué / *** </w:t>
      </w:r>
    </w:p>
    <w:p w14:paraId="76AFDD81" w14:textId="77777777" w:rsidR="004B2808" w:rsidRDefault="00000000">
      <w:pPr>
        <w:ind w:left="567"/>
        <w:jc w:val="both"/>
      </w:pPr>
      <w:r>
        <w:rPr>
          <w:b/>
        </w:rPr>
        <w:t>(soit par défaut) </w:t>
      </w:r>
    </w:p>
    <w:p w14:paraId="53D19D9D" w14:textId="77777777" w:rsidR="004B2808" w:rsidRDefault="00000000">
      <w:pPr>
        <w:ind w:left="567"/>
        <w:jc w:val="both"/>
      </w:pPr>
      <w:r>
        <w:rPr>
          <w:rStyle w:val="soitChar"/>
          <w:u w:val="single"/>
        </w:rPr>
        <w:t>Bois : </w:t>
      </w:r>
    </w:p>
    <w:p w14:paraId="2B9884B3" w14:textId="77777777" w:rsidR="004B2808" w:rsidRDefault="00000000">
      <w:pPr>
        <w:ind w:left="567"/>
        <w:jc w:val="both"/>
      </w:pPr>
      <w:r>
        <w:rPr>
          <w:rStyle w:val="soitChar"/>
        </w:rPr>
        <w:t>Matériau - Finition : </w:t>
      </w:r>
      <w:r>
        <w:rPr>
          <w:rStyle w:val="optioncarChar"/>
        </w:rPr>
        <w:t>identique au volet </w:t>
      </w:r>
      <w:r>
        <w:t>(par défaut)</w:t>
      </w:r>
      <w:r>
        <w:rPr>
          <w:rStyle w:val="optioncarChar"/>
        </w:rPr>
        <w:t> / *** </w:t>
      </w:r>
    </w:p>
    <w:p w14:paraId="152799C0" w14:textId="77777777" w:rsidR="004B2808" w:rsidRDefault="00000000">
      <w:pPr>
        <w:ind w:left="567"/>
        <w:jc w:val="both"/>
      </w:pPr>
      <w:r>
        <w:rPr>
          <w:b/>
        </w:rPr>
        <w:t>(soit) </w:t>
      </w:r>
    </w:p>
    <w:p w14:paraId="2B42229C" w14:textId="77777777" w:rsidR="004B2808" w:rsidRDefault="00000000">
      <w:pPr>
        <w:ind w:left="567"/>
        <w:jc w:val="both"/>
      </w:pPr>
      <w:r>
        <w:rPr>
          <w:rStyle w:val="soitChar"/>
          <w:u w:val="single"/>
        </w:rPr>
        <w:t>Acier laqué :</w:t>
      </w:r>
    </w:p>
    <w:p w14:paraId="23367591" w14:textId="77777777" w:rsidR="004B2808" w:rsidRDefault="00000000">
      <w:pPr>
        <w:ind w:left="567"/>
        <w:jc w:val="both"/>
      </w:pPr>
      <w:r>
        <w:rPr>
          <w:rStyle w:val="soitChar"/>
        </w:rPr>
        <w:t>Ton : </w:t>
      </w:r>
      <w:r>
        <w:rPr>
          <w:rStyle w:val="optioncarChar"/>
        </w:rPr>
        <w:t>blanc</w:t>
      </w:r>
      <w:r>
        <w:t> (par défaut)</w:t>
      </w:r>
      <w:r>
        <w:rPr>
          <w:rStyle w:val="optioncarChar"/>
        </w:rPr>
        <w:t> / au choix de la direction des travaux dans la gamme standard du fabricant / *** </w:t>
      </w:r>
    </w:p>
    <w:p w14:paraId="7B490CAC" w14:textId="77777777" w:rsidR="004B2808" w:rsidRDefault="00000000">
      <w:pPr>
        <w:ind w:left="567"/>
        <w:jc w:val="both"/>
      </w:pPr>
      <w:r>
        <w:rPr>
          <w:b/>
        </w:rPr>
        <w:t>(soit) </w:t>
      </w:r>
    </w:p>
    <w:p w14:paraId="3C7809E3" w14:textId="77777777" w:rsidR="004B2808" w:rsidRDefault="00000000">
      <w:pPr>
        <w:ind w:left="567"/>
        <w:jc w:val="both"/>
      </w:pPr>
      <w:r>
        <w:rPr>
          <w:rStyle w:val="optioncarChar"/>
        </w:rPr>
        <w:t>*** </w:t>
      </w:r>
    </w:p>
    <w:p w14:paraId="6420166A" w14:textId="77777777" w:rsidR="004B2808" w:rsidRDefault="004B2808"/>
    <w:p w14:paraId="3E08CF41" w14:textId="77777777" w:rsidR="004B2808" w:rsidRDefault="00000000">
      <w:pPr>
        <w:jc w:val="both"/>
      </w:pPr>
      <w:r>
        <w:rPr>
          <w:u w:val="single"/>
        </w:rPr>
        <w:t>Moyens de fixations : </w:t>
      </w:r>
    </w:p>
    <w:p w14:paraId="7303B5EB" w14:textId="77777777" w:rsidR="004B2808" w:rsidRDefault="00000000">
      <w:pPr>
        <w:jc w:val="both"/>
      </w:pPr>
      <w:r>
        <w:t>Matériau : </w:t>
      </w:r>
      <w:r>
        <w:rPr>
          <w:rStyle w:val="optioncarChar"/>
        </w:rPr>
        <w:t>acier inoxydable</w:t>
      </w:r>
      <w:r>
        <w:t> (par défaut)</w:t>
      </w:r>
      <w:r>
        <w:rPr>
          <w:rStyle w:val="optioncarChar"/>
        </w:rPr>
        <w:t> / selon les indications de la documentation qui accompagne le produit / *** </w:t>
      </w:r>
    </w:p>
    <w:p w14:paraId="7066F93F" w14:textId="77777777" w:rsidR="004B2808" w:rsidRDefault="00000000">
      <w:pPr>
        <w:jc w:val="both"/>
      </w:pPr>
      <w:r>
        <w:rPr>
          <w:u w:val="single"/>
        </w:rPr>
        <w:t>Quincailleries / Mécanisme de commande motorisé :</w:t>
      </w:r>
    </w:p>
    <w:p w14:paraId="3974CFE9" w14:textId="77777777" w:rsidR="004B2808" w:rsidRDefault="00000000">
      <w:pPr>
        <w:jc w:val="both"/>
      </w:pPr>
      <w:r>
        <w:t>Les volets sont équipés d’un système motorisé, parfaitement compatible avec les différents éléments mis en œuvre dont les tabliers (poids, épaisseur, configuration, …).</w:t>
      </w:r>
    </w:p>
    <w:p w14:paraId="5158F862" w14:textId="77777777" w:rsidR="004B2808" w:rsidRDefault="00000000">
      <w:pPr>
        <w:jc w:val="both"/>
      </w:pPr>
      <w:r>
        <w:t>L’entrepreneur coordonne le choix des différentes fournitures.</w:t>
      </w:r>
    </w:p>
    <w:p w14:paraId="5D3DA02A" w14:textId="77777777" w:rsidR="004B2808" w:rsidRDefault="00000000">
      <w:pPr>
        <w:jc w:val="both"/>
      </w:pPr>
      <w:r>
        <w:t>Les différents tubages – câblages et l’alimentation électrique sont décrits et comptés aux 7 T7 Electricité et suivants.</w:t>
      </w:r>
    </w:p>
    <w:p w14:paraId="20365FEC" w14:textId="77777777" w:rsidR="004B2808" w:rsidRDefault="00000000">
      <w:pPr>
        <w:jc w:val="both"/>
      </w:pPr>
      <w:r>
        <w:t>L’emplacement des différents équipements est déterminé avant le début des travaux (y compris ceux d’électricité) en concertation avec la direction des travaux.</w:t>
      </w:r>
    </w:p>
    <w:p w14:paraId="610AB374" w14:textId="77777777" w:rsidR="004B2808" w:rsidRDefault="00000000">
      <w:pPr>
        <w:jc w:val="both"/>
      </w:pPr>
      <w:r>
        <w:t xml:space="preserve">Technologie : </w:t>
      </w:r>
      <w:r>
        <w:rPr>
          <w:rStyle w:val="optioncarChar"/>
        </w:rPr>
        <w:t>magnétique linéaire - entraînement sans contact / à moteur Brushless / ***</w:t>
      </w:r>
    </w:p>
    <w:p w14:paraId="7293575B" w14:textId="77777777" w:rsidR="004B2808" w:rsidRDefault="00000000">
      <w:pPr>
        <w:jc w:val="both"/>
      </w:pPr>
      <w:r>
        <w:t xml:space="preserve">Tension d’alimentation du moteur : </w:t>
      </w:r>
      <w:r>
        <w:rPr>
          <w:rStyle w:val="optioncarChar"/>
        </w:rPr>
        <w:t xml:space="preserve">110-230 V AC - 50/60 Hz </w:t>
      </w:r>
      <w:r>
        <w:t>(par défaut)</w:t>
      </w:r>
      <w:r>
        <w:rPr>
          <w:rStyle w:val="optioncarChar"/>
        </w:rPr>
        <w:t xml:space="preserve"> / ***</w:t>
      </w:r>
    </w:p>
    <w:p w14:paraId="198B45AE" w14:textId="77777777" w:rsidR="004B2808" w:rsidRDefault="00000000">
      <w:pPr>
        <w:jc w:val="both"/>
      </w:pPr>
      <w:r>
        <w:t xml:space="preserve">Le système s’intègre dans un système domotique : </w:t>
      </w:r>
      <w:r>
        <w:rPr>
          <w:rStyle w:val="optioncarChar"/>
        </w:rPr>
        <w:t>non</w:t>
      </w:r>
      <w:r>
        <w:t xml:space="preserve"> (par défaut) </w:t>
      </w:r>
      <w:r>
        <w:rPr>
          <w:rStyle w:val="optioncarChar"/>
        </w:rPr>
        <w:t>/ oui selon descriptions aux 7 T7 Electricité et suivants.</w:t>
      </w:r>
    </w:p>
    <w:p w14:paraId="0EFCF55D" w14:textId="77777777" w:rsidR="004B2808" w:rsidRDefault="00000000">
      <w:pPr>
        <w:jc w:val="both"/>
      </w:pPr>
      <w:r>
        <w:t xml:space="preserve">Le contrôle se fait via : </w:t>
      </w:r>
      <w:r>
        <w:rPr>
          <w:rStyle w:val="optioncarChar"/>
        </w:rPr>
        <w:t>télécommande</w:t>
      </w:r>
      <w:r>
        <w:t xml:space="preserve"> (par défaut)</w:t>
      </w:r>
      <w:r>
        <w:rPr>
          <w:rStyle w:val="optioncarChar"/>
        </w:rPr>
        <w:t xml:space="preserve"> / interrupteurs – bouton poussoirs / ***</w:t>
      </w:r>
    </w:p>
    <w:p w14:paraId="195D9966" w14:textId="77777777" w:rsidR="004B2808" w:rsidRDefault="00000000">
      <w:pPr>
        <w:jc w:val="both"/>
      </w:pPr>
      <w:r>
        <w:rPr>
          <w:b/>
        </w:rPr>
        <w:t>(soit par défaut)</w:t>
      </w:r>
    </w:p>
    <w:p w14:paraId="36D2A2C4" w14:textId="77777777" w:rsidR="004B2808" w:rsidRDefault="00000000">
      <w:pPr>
        <w:jc w:val="both"/>
      </w:pPr>
      <w:r>
        <w:rPr>
          <w:rStyle w:val="soitChar"/>
          <w:u w:val="single"/>
        </w:rPr>
        <w:t>Télécommande :</w:t>
      </w:r>
    </w:p>
    <w:p w14:paraId="49BB0255" w14:textId="77777777" w:rsidR="004B2808" w:rsidRDefault="00000000">
      <w:pPr>
        <w:jc w:val="both"/>
      </w:pPr>
      <w:r>
        <w:rPr>
          <w:rStyle w:val="soitChar"/>
        </w:rPr>
        <w:t>Elle livrée avec le système motorisé.</w:t>
      </w:r>
    </w:p>
    <w:p w14:paraId="26555B82" w14:textId="77777777" w:rsidR="004B2808" w:rsidRDefault="00000000">
      <w:pPr>
        <w:jc w:val="both"/>
      </w:pPr>
      <w:r>
        <w:rPr>
          <w:rStyle w:val="soitChar"/>
        </w:rPr>
        <w:t xml:space="preserve"> Elle provient du même fabricant et est parfaitement compatible avec le système posé.</w:t>
      </w:r>
    </w:p>
    <w:p w14:paraId="33A461E5" w14:textId="77777777" w:rsidR="004B2808" w:rsidRDefault="00000000">
      <w:pPr>
        <w:jc w:val="both"/>
      </w:pPr>
      <w:r>
        <w:rPr>
          <w:rStyle w:val="soitChar"/>
        </w:rPr>
        <w:t xml:space="preserve">Modèle : </w:t>
      </w:r>
      <w:r>
        <w:rPr>
          <w:rStyle w:val="optioncarChar"/>
        </w:rPr>
        <w:t xml:space="preserve">au choix de la direction des travaux dans la gamme standard du fabricant </w:t>
      </w:r>
      <w:r>
        <w:t>(par défaut)</w:t>
      </w:r>
      <w:r>
        <w:rPr>
          <w:rStyle w:val="optioncarChar"/>
        </w:rPr>
        <w:t xml:space="preserve"> / ***</w:t>
      </w:r>
    </w:p>
    <w:p w14:paraId="444C5599" w14:textId="77777777" w:rsidR="004B2808" w:rsidRDefault="00000000">
      <w:pPr>
        <w:jc w:val="both"/>
      </w:pPr>
      <w:r>
        <w:rPr>
          <w:b/>
        </w:rPr>
        <w:t>(soit)</w:t>
      </w:r>
    </w:p>
    <w:p w14:paraId="3F7CAC65" w14:textId="77777777" w:rsidR="004B2808" w:rsidRDefault="00000000">
      <w:pPr>
        <w:jc w:val="both"/>
      </w:pPr>
      <w:r>
        <w:rPr>
          <w:rStyle w:val="soitChar"/>
          <w:u w:val="single"/>
        </w:rPr>
        <w:t>Interrupteurs – Bouton poussoir :</w:t>
      </w:r>
    </w:p>
    <w:p w14:paraId="2CEE620E" w14:textId="77777777" w:rsidR="004B2808" w:rsidRDefault="00000000">
      <w:pPr>
        <w:jc w:val="both"/>
      </w:pPr>
      <w:r>
        <w:rPr>
          <w:rStyle w:val="soitChar"/>
        </w:rPr>
        <w:lastRenderedPageBreak/>
        <w:t>Ils sont décrits et comptés aux 7 T7 Electricité et suivants.</w:t>
      </w:r>
    </w:p>
    <w:p w14:paraId="503471E0" w14:textId="77777777" w:rsidR="004B2808" w:rsidRDefault="00000000">
      <w:pPr>
        <w:jc w:val="both"/>
      </w:pPr>
      <w:r>
        <w:rPr>
          <w:rStyle w:val="soitChar"/>
        </w:rPr>
        <w:t xml:space="preserve">Modèle : </w:t>
      </w:r>
      <w:r>
        <w:rPr>
          <w:rStyle w:val="optioncarChar"/>
        </w:rPr>
        <w:t xml:space="preserve">au choix de la direction des travaux dans la gamme standard du fabricant </w:t>
      </w:r>
      <w:r>
        <w:t>(par défaut)</w:t>
      </w:r>
      <w:r>
        <w:rPr>
          <w:rStyle w:val="optioncarChar"/>
        </w:rPr>
        <w:t xml:space="preserve"> / ***</w:t>
      </w:r>
    </w:p>
    <w:p w14:paraId="07018076" w14:textId="77777777" w:rsidR="004B2808" w:rsidRDefault="00000000">
      <w:pPr>
        <w:jc w:val="both"/>
      </w:pPr>
      <w:r>
        <w:rPr>
          <w:b/>
        </w:rPr>
        <w:t>(soit)</w:t>
      </w:r>
    </w:p>
    <w:p w14:paraId="5FA9D96D" w14:textId="77777777" w:rsidR="004B2808" w:rsidRDefault="00000000">
      <w:pPr>
        <w:jc w:val="both"/>
      </w:pPr>
      <w:r>
        <w:rPr>
          <w:rStyle w:val="optioncarChar"/>
        </w:rPr>
        <w:t>***</w:t>
      </w:r>
    </w:p>
    <w:p w14:paraId="12070B09" w14:textId="77777777" w:rsidR="004B2808" w:rsidRDefault="00000000">
      <w:pPr>
        <w:pStyle w:val="pheading"/>
      </w:pPr>
      <w:r>
        <w:t>- Finitions</w:t>
      </w:r>
    </w:p>
    <w:p w14:paraId="333F02FB" w14:textId="77777777" w:rsidR="004B2808" w:rsidRDefault="00000000">
      <w:pPr>
        <w:jc w:val="both"/>
      </w:pPr>
      <w:r>
        <w:rPr>
          <w:u w:val="single"/>
        </w:rPr>
        <w:t>Tablier(s) : </w:t>
      </w:r>
    </w:p>
    <w:p w14:paraId="13621F31" w14:textId="77777777" w:rsidR="004B2808" w:rsidRDefault="00000000">
      <w:pPr>
        <w:jc w:val="both"/>
      </w:pPr>
      <w:r>
        <w:t xml:space="preserve">Ton : </w:t>
      </w:r>
      <w:r>
        <w:rPr>
          <w:rStyle w:val="optioncarChar"/>
        </w:rPr>
        <w:t xml:space="preserve">blanc </w:t>
      </w:r>
      <w:r>
        <w:t>(par défaut)</w:t>
      </w:r>
      <w:r>
        <w:rPr>
          <w:rStyle w:val="optioncarChar"/>
        </w:rPr>
        <w:t xml:space="preserve"> / au choix de la direction des travaux dans le catalogue standard du fabricant / *** </w:t>
      </w:r>
    </w:p>
    <w:p w14:paraId="365363A2" w14:textId="77777777" w:rsidR="004B2808" w:rsidRDefault="00000000">
      <w:pPr>
        <w:jc w:val="both"/>
      </w:pPr>
      <w:r>
        <w:rPr>
          <w:u w:val="single"/>
        </w:rPr>
        <w:t>Système de guides apparents : </w:t>
      </w:r>
    </w:p>
    <w:p w14:paraId="3822069C" w14:textId="77777777" w:rsidR="004B2808" w:rsidRDefault="00000000">
      <w:pPr>
        <w:jc w:val="both"/>
      </w:pPr>
      <w:r>
        <w:t xml:space="preserve">Ton : </w:t>
      </w:r>
      <w:r>
        <w:rPr>
          <w:rStyle w:val="optioncarChar"/>
        </w:rPr>
        <w:t xml:space="preserve">blanc </w:t>
      </w:r>
      <w:r>
        <w:t>(par défaut)</w:t>
      </w:r>
      <w:r>
        <w:rPr>
          <w:rStyle w:val="optioncarChar"/>
        </w:rPr>
        <w:t xml:space="preserve"> / au choix de la direction des travaux dans le catalogue standard du fabricant / *** </w:t>
      </w:r>
    </w:p>
    <w:p w14:paraId="0C645076" w14:textId="77777777" w:rsidR="004B2808" w:rsidRDefault="00000000">
      <w:pPr>
        <w:jc w:val="both"/>
      </w:pPr>
      <w:r>
        <w:rPr>
          <w:u w:val="single"/>
        </w:rPr>
        <w:t>Coiffe (si d’application) : </w:t>
      </w:r>
    </w:p>
    <w:p w14:paraId="7F6F84C6" w14:textId="77777777" w:rsidR="004B2808" w:rsidRDefault="00000000">
      <w:pPr>
        <w:jc w:val="both"/>
      </w:pPr>
      <w:r>
        <w:t>Voir ci-avant. </w:t>
      </w:r>
    </w:p>
    <w:p w14:paraId="74458BD3" w14:textId="77777777" w:rsidR="004B2808" w:rsidRDefault="00000000">
      <w:pPr>
        <w:jc w:val="both"/>
      </w:pPr>
      <w:r>
        <w:rPr>
          <w:u w:val="single"/>
        </w:rPr>
        <w:t>Quincailleries / Mécanisme de commande motorisé :  </w:t>
      </w:r>
    </w:p>
    <w:p w14:paraId="2B120D13" w14:textId="77777777" w:rsidR="004B2808" w:rsidRDefault="00000000">
      <w:pPr>
        <w:jc w:val="both"/>
      </w:pPr>
      <w:r>
        <w:t xml:space="preserve">Interrupteurs – Bouton poussoir – Modèle / Ton / Finition : </w:t>
      </w:r>
      <w:r>
        <w:rPr>
          <w:rStyle w:val="optioncarChar"/>
        </w:rPr>
        <w:t xml:space="preserve">voir description aux 7 T7 Electricité et suivants </w:t>
      </w:r>
      <w:r>
        <w:t xml:space="preserve">(par défaut) </w:t>
      </w:r>
      <w:r>
        <w:rPr>
          <w:rStyle w:val="optioncarChar"/>
        </w:rPr>
        <w:t>/ au choix de la direction des travaux dans le catalogue standard du fabricant / *** </w:t>
      </w:r>
    </w:p>
    <w:p w14:paraId="6E8C4946" w14:textId="77777777" w:rsidR="004B2808" w:rsidRDefault="00000000">
      <w:pPr>
        <w:pStyle w:val="pheading"/>
      </w:pPr>
      <w:r>
        <w:t>EXÉCUTION / MISE EN ŒUVRE</w:t>
      </w:r>
    </w:p>
    <w:p w14:paraId="16E3E530" w14:textId="77777777" w:rsidR="004B2808" w:rsidRDefault="00000000">
      <w:pPr>
        <w:pStyle w:val="pheading"/>
      </w:pPr>
      <w:r>
        <w:t>- Prescriptions générales</w:t>
      </w:r>
    </w:p>
    <w:p w14:paraId="3FDC2580" w14:textId="77777777" w:rsidR="004B2808" w:rsidRDefault="00000000">
      <w:pPr>
        <w:jc w:val="both"/>
      </w:pPr>
      <w:r>
        <w:rPr>
          <w:b/>
        </w:rPr>
        <w:t>Disposition : </w:t>
      </w:r>
    </w:p>
    <w:p w14:paraId="7B9768C7" w14:textId="77777777" w:rsidR="004B2808" w:rsidRDefault="00000000">
      <w:pPr>
        <w:jc w:val="both"/>
      </w:pPr>
      <w:r>
        <w:t xml:space="preserve">Les volets et le système de guides sont placés : </w:t>
      </w:r>
      <w:r>
        <w:rPr>
          <w:rStyle w:val="optioncarChar"/>
        </w:rPr>
        <w:t>selon les indications aux plans</w:t>
      </w:r>
      <w:r>
        <w:t xml:space="preserve"> (par défaut)</w:t>
      </w:r>
      <w:r>
        <w:rPr>
          <w:rStyle w:val="optioncarChar"/>
        </w:rPr>
        <w:t xml:space="preserve"> / devant la paroi concernée / *** </w:t>
      </w:r>
    </w:p>
    <w:p w14:paraId="7A9B8CDB" w14:textId="77777777" w:rsidR="004B2808" w:rsidRDefault="00000000">
      <w:pPr>
        <w:pStyle w:val="pheading"/>
      </w:pPr>
      <w:r>
        <w:t>DOCUMENTS DE RÉFÉRENCE COMPLÉMENTAIRES</w:t>
      </w:r>
    </w:p>
    <w:p w14:paraId="3C77A36C" w14:textId="77777777" w:rsidR="004B2808" w:rsidRDefault="00000000">
      <w:pPr>
        <w:pStyle w:val="pheading"/>
      </w:pPr>
      <w:r>
        <w:t>- Matériau</w:t>
      </w:r>
    </w:p>
    <w:p w14:paraId="54C5356F" w14:textId="77777777" w:rsidR="004B2808" w:rsidRDefault="00000000">
      <w:r>
        <w:t>[NBN EN IEC 61000-6-3, Compatibilité électromagnétique (CEM) - Partie 6-3: Normes génériques - Norme sur l'émission relative aux appareils utilisés dans les environnements résidentiels]</w:t>
      </w:r>
      <w:r>
        <w:br/>
      </w:r>
      <w:r>
        <w:br/>
        <w:t>[NBN EN IEC 61000-6-2, Compatibilité électromagnétique (CEM) - Partie 6-2: Normes génériques - Norme d'immunité pour les environnements industriels]</w:t>
      </w:r>
      <w:r>
        <w:br/>
      </w:r>
      <w:r>
        <w:br/>
        <w:t>[Directive 73/23/CEE, Directive du Conseil concernant le rapprochement des législations des États membres relatives au matériel électrique destiné à être employé dans certaines limites de tension]</w:t>
      </w:r>
      <w:r>
        <w:br/>
      </w:r>
      <w:r>
        <w:br/>
        <w:t>[Directive 2004/108/CE, Directive du Parlement européen et du Conseil relative au rapprochement des législations des États membres concernant la compatibilité électromagnétique et abrogeant la directive 89/336/CEE]</w:t>
      </w:r>
      <w:r>
        <w:br/>
        <w:t> </w:t>
      </w:r>
      <w:r>
        <w:br/>
        <w:t>[Directive 2006/42/CE, Directive du Parlement européen et du Conseil relative aux machines et modifiant la directive 95/16/CE (refonte)]</w:t>
      </w:r>
    </w:p>
    <w:p w14:paraId="2C9FBCF1" w14:textId="77777777" w:rsidR="004B2808" w:rsidRDefault="00000000">
      <w:pPr>
        <w:pStyle w:val="pheading"/>
      </w:pPr>
      <w:r>
        <w:t>MESURAGE</w:t>
      </w:r>
    </w:p>
    <w:p w14:paraId="07202652" w14:textId="77777777" w:rsidR="004B2808" w:rsidRDefault="00000000">
      <w:pPr>
        <w:pStyle w:val="pheading"/>
      </w:pPr>
      <w:r>
        <w:t>- unité de mesure:</w:t>
      </w:r>
    </w:p>
    <w:p w14:paraId="776AD72D" w14:textId="77777777" w:rsidR="004B2808" w:rsidRDefault="00000000">
      <w:r>
        <w:rPr>
          <w:rStyle w:val="optioncarChar"/>
        </w:rPr>
        <w:t xml:space="preserve">m² </w:t>
      </w:r>
      <w:r>
        <w:t>(par défaut)</w:t>
      </w:r>
      <w:r>
        <w:rPr>
          <w:rStyle w:val="optioncarChar"/>
        </w:rPr>
        <w:t xml:space="preserve"> / pc </w:t>
      </w:r>
      <w:r>
        <w:br/>
      </w:r>
      <w:r>
        <w:br/>
      </w:r>
      <w:r>
        <w:rPr>
          <w:b/>
        </w:rPr>
        <w:t>(soit par défaut) </w:t>
      </w:r>
      <w:r>
        <w:br/>
      </w:r>
      <w:r>
        <w:rPr>
          <w:rStyle w:val="soitChar"/>
        </w:rPr>
        <w:t>1. m² </w:t>
      </w:r>
      <w:r>
        <w:br/>
      </w:r>
      <w:r>
        <w:rPr>
          <w:b/>
        </w:rPr>
        <w:lastRenderedPageBreak/>
        <w:t>(soit) </w:t>
      </w:r>
      <w:r>
        <w:br/>
      </w:r>
      <w:r>
        <w:rPr>
          <w:rStyle w:val="soitChar"/>
        </w:rPr>
        <w:t>2. pc </w:t>
      </w:r>
    </w:p>
    <w:p w14:paraId="58CDCCD0" w14:textId="77777777" w:rsidR="004B2808" w:rsidRDefault="00000000">
      <w:pPr>
        <w:pStyle w:val="pheading"/>
      </w:pPr>
      <w:r>
        <w:t>- code de mesurage:</w:t>
      </w:r>
    </w:p>
    <w:p w14:paraId="6A371DF4" w14:textId="77777777" w:rsidR="004B2808" w:rsidRDefault="00000000">
      <w:pPr>
        <w:jc w:val="both"/>
      </w:pPr>
      <w:r>
        <w:rPr>
          <w:rStyle w:val="optioncarChar"/>
        </w:rPr>
        <w:t>Longueur nette </w:t>
      </w:r>
      <w:r>
        <w:t>(par défaut)</w:t>
      </w:r>
      <w:r>
        <w:rPr>
          <w:rStyle w:val="optioncarChar"/>
        </w:rPr>
        <w:t> / Quantité nette</w:t>
      </w:r>
      <w:r>
        <w:t> </w:t>
      </w:r>
    </w:p>
    <w:p w14:paraId="5F85040A" w14:textId="77777777" w:rsidR="004B2808" w:rsidRDefault="004B2808">
      <w:pPr>
        <w:jc w:val="both"/>
      </w:pPr>
    </w:p>
    <w:p w14:paraId="0CF8CAC7" w14:textId="77777777" w:rsidR="004B2808" w:rsidRDefault="00000000">
      <w:pPr>
        <w:jc w:val="both"/>
      </w:pPr>
      <w:r>
        <w:rPr>
          <w:b/>
        </w:rPr>
        <w:t>(soit par défaut) </w:t>
      </w:r>
    </w:p>
    <w:p w14:paraId="3F87F149" w14:textId="77777777" w:rsidR="004B2808" w:rsidRDefault="00000000">
      <w:pPr>
        <w:jc w:val="both"/>
      </w:pPr>
      <w:r>
        <w:rPr>
          <w:rStyle w:val="soitChar"/>
        </w:rPr>
        <w:t>1. </w:t>
      </w:r>
      <w:r>
        <w:rPr>
          <w:rStyle w:val="soitChar"/>
          <w:u w:val="single"/>
        </w:rPr>
        <w:t>Surface nette :  </w:t>
      </w:r>
    </w:p>
    <w:p w14:paraId="5D4051D0" w14:textId="77777777" w:rsidR="004B2808" w:rsidRDefault="00000000">
      <w:pPr>
        <w:jc w:val="both"/>
      </w:pPr>
      <w:r>
        <w:rPr>
          <w:rStyle w:val="soitChar"/>
        </w:rPr>
        <w:t>Selon les dimensions hors tout du(des) panneau(x) :</w:t>
      </w:r>
      <w:r>
        <w:rPr>
          <w:rStyle w:val="optioncarChar"/>
        </w:rPr>
        <w:t> indiquées aux plans</w:t>
      </w:r>
      <w:r>
        <w:t> (par défaut)</w:t>
      </w:r>
      <w:r>
        <w:rPr>
          <w:rStyle w:val="optioncarChar"/>
        </w:rPr>
        <w:t> / ***. </w:t>
      </w:r>
    </w:p>
    <w:p w14:paraId="078F7FAB" w14:textId="77777777" w:rsidR="004B2808" w:rsidRDefault="00000000">
      <w:pPr>
        <w:jc w:val="both"/>
      </w:pPr>
      <w:r>
        <w:rPr>
          <w:rStyle w:val="soitChar"/>
        </w:rPr>
        <w:t>Lorsque le store / volet est constitué de plusieurs panneaux : </w:t>
      </w:r>
      <w:r>
        <w:rPr>
          <w:rStyle w:val="optioncarChar"/>
        </w:rPr>
        <w:t>les surfaces des différents panneaux sont comptées </w:t>
      </w:r>
      <w:r>
        <w:t>(par défaut)</w:t>
      </w:r>
      <w:r>
        <w:rPr>
          <w:rStyle w:val="optioncarChar"/>
        </w:rPr>
        <w:t> / *** </w:t>
      </w:r>
    </w:p>
    <w:p w14:paraId="27217433" w14:textId="77777777" w:rsidR="004B2808" w:rsidRDefault="00000000">
      <w:pPr>
        <w:jc w:val="both"/>
      </w:pPr>
      <w:r>
        <w:rPr>
          <w:rStyle w:val="soitChar"/>
        </w:rPr>
        <w:t>Eventuellement scindée dans différents postes selon le type, le lieu, … </w:t>
      </w:r>
    </w:p>
    <w:p w14:paraId="4973A164" w14:textId="77777777" w:rsidR="004B2808" w:rsidRDefault="00000000">
      <w:pPr>
        <w:jc w:val="both"/>
      </w:pPr>
      <w:r>
        <w:rPr>
          <w:b/>
        </w:rPr>
        <w:t>(soit) </w:t>
      </w:r>
    </w:p>
    <w:p w14:paraId="74036380" w14:textId="77777777" w:rsidR="004B2808" w:rsidRDefault="00000000">
      <w:pPr>
        <w:jc w:val="both"/>
      </w:pPr>
      <w:r>
        <w:rPr>
          <w:rStyle w:val="soitChar"/>
        </w:rPr>
        <w:t>2. </w:t>
      </w:r>
      <w:r>
        <w:rPr>
          <w:rStyle w:val="soitChar"/>
          <w:u w:val="single"/>
        </w:rPr>
        <w:t>Quantité nette :  </w:t>
      </w:r>
    </w:p>
    <w:p w14:paraId="410D0E1A" w14:textId="77777777" w:rsidR="004B2808" w:rsidRDefault="00000000">
      <w:pPr>
        <w:jc w:val="both"/>
      </w:pPr>
      <w:r>
        <w:rPr>
          <w:rStyle w:val="soitChar"/>
        </w:rPr>
        <w:t>Mesurée selon le nombre d’éléments à réaliser. </w:t>
      </w:r>
    </w:p>
    <w:p w14:paraId="2CE2C4CD" w14:textId="77777777" w:rsidR="004B2808" w:rsidRDefault="00000000">
      <w:pPr>
        <w:jc w:val="both"/>
      </w:pPr>
      <w:r>
        <w:rPr>
          <w:rStyle w:val="soitChar"/>
        </w:rPr>
        <w:t>Lorsque le store / volet est constitué de plusieurs panneaux : </w:t>
      </w:r>
      <w:r>
        <w:rPr>
          <w:rStyle w:val="optioncarChar"/>
        </w:rPr>
        <w:t>les différents panneaux sont comptés comme une seule pièce</w:t>
      </w:r>
      <w:r>
        <w:t> (par défaut) </w:t>
      </w:r>
      <w:r>
        <w:rPr>
          <w:rStyle w:val="optioncarChar"/>
        </w:rPr>
        <w:t>/ chaque panneau est compté séparément / ***</w:t>
      </w:r>
      <w:r>
        <w:rPr>
          <w:rStyle w:val="soitChar"/>
        </w:rPr>
        <w:t>. </w:t>
      </w:r>
    </w:p>
    <w:p w14:paraId="12A4BFA5" w14:textId="77777777" w:rsidR="004B2808" w:rsidRDefault="00000000">
      <w:pPr>
        <w:jc w:val="both"/>
      </w:pPr>
      <w:r>
        <w:rPr>
          <w:rStyle w:val="soitChar"/>
        </w:rPr>
        <w:t>Eventuellement scindée dans différents postes selon le type, le lieu, … </w:t>
      </w:r>
    </w:p>
    <w:p w14:paraId="5558E83E" w14:textId="77777777" w:rsidR="004B2808" w:rsidRDefault="00000000">
      <w:pPr>
        <w:pStyle w:val="pheading"/>
      </w:pPr>
      <w:r>
        <w:t>- nature du marché:</w:t>
      </w:r>
    </w:p>
    <w:p w14:paraId="4ED2816B" w14:textId="77777777" w:rsidR="004B2808" w:rsidRDefault="00000000">
      <w:r>
        <w:rPr>
          <w:rStyle w:val="optioncarChar"/>
        </w:rPr>
        <w:t>QF</w:t>
      </w:r>
      <w:r>
        <w:t xml:space="preserve"> (par défaut) </w:t>
      </w:r>
      <w:r>
        <w:rPr>
          <w:rStyle w:val="optioncarChar"/>
        </w:rPr>
        <w:t>/ QP </w:t>
      </w:r>
      <w:r>
        <w:br/>
      </w:r>
      <w:r>
        <w:br/>
      </w:r>
      <w:r>
        <w:rPr>
          <w:b/>
        </w:rPr>
        <w:t>(soit par défaut) </w:t>
      </w:r>
      <w:r>
        <w:br/>
      </w:r>
      <w:r>
        <w:rPr>
          <w:rStyle w:val="soitChar"/>
        </w:rPr>
        <w:t>1. 2. QF </w:t>
      </w:r>
      <w:r>
        <w:br/>
      </w:r>
      <w:r>
        <w:rPr>
          <w:b/>
        </w:rPr>
        <w:t>(soit) </w:t>
      </w:r>
      <w:r>
        <w:br/>
      </w:r>
      <w:r>
        <w:rPr>
          <w:rStyle w:val="soitChar"/>
        </w:rPr>
        <w:t>1. 2. QP </w:t>
      </w:r>
    </w:p>
    <w:p w14:paraId="7CBBB91D" w14:textId="77777777" w:rsidR="004B2808" w:rsidRDefault="00000000">
      <w:pPr>
        <w:pStyle w:val="pheading"/>
      </w:pPr>
      <w:r>
        <w:t>AIDE</w:t>
      </w:r>
    </w:p>
    <w:p w14:paraId="48B9862B" w14:textId="77777777" w:rsidR="004B2808" w:rsidRDefault="00000000">
      <w:r>
        <w:t>La [Directive 2006/42/CE] (directive machines) sera remplacée par le [Règlement (UE) 2023/1230] à partir du 20 janvier 2027.</w:t>
      </w:r>
    </w:p>
    <w:p w14:paraId="105D0A8C" w14:textId="77777777" w:rsidR="004B2808" w:rsidRDefault="00000000">
      <w:pPr>
        <w:pStyle w:val="Author-eSectionHeading5Numberless"/>
      </w:pPr>
      <w:bookmarkStart w:id="1214" w:name="_Toc220491339"/>
      <w:r>
        <w:t>55.45.2 Store / volet (protection visuelle/solaire) coulissant en aluminium  CCTB 01.02</w:t>
      </w:r>
      <w:bookmarkEnd w:id="1214"/>
    </w:p>
    <w:p w14:paraId="5C6A580D" w14:textId="77777777" w:rsidR="004B2808" w:rsidRDefault="00000000">
      <w:pPr>
        <w:pStyle w:val="Author-eSectionHeading6Numberless"/>
      </w:pPr>
      <w:bookmarkStart w:id="1215" w:name="_Toc220491340"/>
      <w:r>
        <w:t>55.45.2a Manuel CCTB 01.02</w:t>
      </w:r>
      <w:bookmarkEnd w:id="1215"/>
    </w:p>
    <w:p w14:paraId="76C0D797" w14:textId="77777777" w:rsidR="004B2808" w:rsidRDefault="00000000">
      <w:pPr>
        <w:pStyle w:val="Author-eSectionHeading6Numberless"/>
      </w:pPr>
      <w:bookmarkStart w:id="1216" w:name="_Toc220491341"/>
      <w:r>
        <w:t>55.45.2b Motorisé CCTB 01.02</w:t>
      </w:r>
      <w:bookmarkEnd w:id="1216"/>
    </w:p>
    <w:p w14:paraId="5F1BB922" w14:textId="77777777" w:rsidR="004B2808" w:rsidRDefault="00000000">
      <w:pPr>
        <w:pStyle w:val="Author-eSectionHeading5Numberless"/>
      </w:pPr>
      <w:bookmarkStart w:id="1217" w:name="_Toc220491342"/>
      <w:r>
        <w:t>55.45.3 Store / volet (protection visuelle/solaire) coulissant en acier  CCTB 01.02</w:t>
      </w:r>
      <w:bookmarkEnd w:id="1217"/>
    </w:p>
    <w:p w14:paraId="459A422A" w14:textId="77777777" w:rsidR="004B2808" w:rsidRDefault="00000000">
      <w:pPr>
        <w:pStyle w:val="Author-eSectionHeading6Numberless"/>
      </w:pPr>
      <w:bookmarkStart w:id="1218" w:name="_Toc220491343"/>
      <w:r>
        <w:t>55.45.3a Manuel CCTB 01.02</w:t>
      </w:r>
      <w:bookmarkEnd w:id="1218"/>
    </w:p>
    <w:p w14:paraId="49E925EA" w14:textId="77777777" w:rsidR="004B2808" w:rsidRDefault="00000000">
      <w:pPr>
        <w:pStyle w:val="Author-eSectionHeading6Numberless"/>
      </w:pPr>
      <w:bookmarkStart w:id="1219" w:name="_Toc220491344"/>
      <w:r>
        <w:t>55.45.3b Motorisé CCTB 01.02</w:t>
      </w:r>
      <w:bookmarkEnd w:id="1219"/>
    </w:p>
    <w:p w14:paraId="106067FD" w14:textId="77777777" w:rsidR="004B2808" w:rsidRDefault="00000000">
      <w:pPr>
        <w:pStyle w:val="Author-eSectionHeading5Numberless"/>
      </w:pPr>
      <w:bookmarkStart w:id="1220" w:name="_Toc220491345"/>
      <w:r>
        <w:t>55.45.4 Store / volet (protection visuelle/solaire) coulissant en PVC CCTB 01.02</w:t>
      </w:r>
      <w:bookmarkEnd w:id="1220"/>
    </w:p>
    <w:p w14:paraId="5D82108D" w14:textId="77777777" w:rsidR="004B2808" w:rsidRDefault="00000000">
      <w:pPr>
        <w:pStyle w:val="Author-eSectionHeading6Numberless"/>
      </w:pPr>
      <w:bookmarkStart w:id="1221" w:name="_Toc220491346"/>
      <w:r>
        <w:t>55.45.4a Manuel CCTB 01.02</w:t>
      </w:r>
      <w:bookmarkEnd w:id="1221"/>
    </w:p>
    <w:p w14:paraId="61C1E18A" w14:textId="77777777" w:rsidR="004B2808" w:rsidRDefault="00000000">
      <w:pPr>
        <w:pStyle w:val="Author-eSectionHeading6Numberless"/>
      </w:pPr>
      <w:bookmarkStart w:id="1222" w:name="_Toc220491347"/>
      <w:r>
        <w:t>55.45.4b Motorisé CCTB 01.02</w:t>
      </w:r>
      <w:bookmarkEnd w:id="1222"/>
    </w:p>
    <w:p w14:paraId="65F64FAF" w14:textId="77777777" w:rsidR="004B2808" w:rsidRDefault="00000000">
      <w:pPr>
        <w:pStyle w:val="Author-eSectionHeading5Numberless"/>
      </w:pPr>
      <w:bookmarkStart w:id="1223" w:name="_Toc220491348"/>
      <w:r>
        <w:lastRenderedPageBreak/>
        <w:t>55.45.5 Store / volet (protection visuelle/solaire) coulissant en matériaux composites CCTB 01.02</w:t>
      </w:r>
      <w:bookmarkEnd w:id="1223"/>
    </w:p>
    <w:p w14:paraId="355BE3A3" w14:textId="77777777" w:rsidR="004B2808" w:rsidRDefault="00000000">
      <w:pPr>
        <w:pStyle w:val="Author-eSectionHeading6Numberless"/>
      </w:pPr>
      <w:bookmarkStart w:id="1224" w:name="_Toc220491349"/>
      <w:r>
        <w:t>55.45.5a Store / volet (protection visuelle/solaire) coulissant en matériaux composites CCTB 01.02</w:t>
      </w:r>
      <w:bookmarkEnd w:id="1224"/>
    </w:p>
    <w:p w14:paraId="2138AFBF" w14:textId="77777777" w:rsidR="004B2808" w:rsidRDefault="00000000">
      <w:pPr>
        <w:pStyle w:val="Author-eSectionHeading4Numberless"/>
      </w:pPr>
      <w:bookmarkStart w:id="1225" w:name="_Toc220491350"/>
      <w:r>
        <w:t>55.46 Store / volet (protection visuelle/solaire) pliant ou à accordéons CCTB 01.02</w:t>
      </w:r>
      <w:bookmarkEnd w:id="1225"/>
    </w:p>
    <w:p w14:paraId="16BAE976" w14:textId="77777777" w:rsidR="004B2808" w:rsidRDefault="00000000">
      <w:pPr>
        <w:pStyle w:val="Author-eSectionHeading5Numberless"/>
      </w:pPr>
      <w:bookmarkStart w:id="1226" w:name="_Toc220491351"/>
      <w:r>
        <w:t>55.46.1 Store / volet (protection visuelle/solaire) pliant ou à accordéons en bois CCTB 01.02</w:t>
      </w:r>
      <w:bookmarkEnd w:id="1226"/>
    </w:p>
    <w:p w14:paraId="1B9B1AC0" w14:textId="77777777" w:rsidR="004B2808" w:rsidRDefault="00000000">
      <w:pPr>
        <w:pStyle w:val="Author-eSectionHeading6Numberless"/>
      </w:pPr>
      <w:bookmarkStart w:id="1227" w:name="_Toc220491352"/>
      <w:r>
        <w:t>55.46.1a Manuel CCTB 01.02</w:t>
      </w:r>
      <w:bookmarkEnd w:id="1227"/>
    </w:p>
    <w:p w14:paraId="285E0B26" w14:textId="77777777" w:rsidR="004B2808" w:rsidRDefault="00000000">
      <w:pPr>
        <w:pStyle w:val="Author-eSectionHeading6Numberless"/>
      </w:pPr>
      <w:bookmarkStart w:id="1228" w:name="_Toc220491353"/>
      <w:r>
        <w:t>55.46.1b Motorisé CCTB 01.02</w:t>
      </w:r>
      <w:bookmarkEnd w:id="1228"/>
    </w:p>
    <w:p w14:paraId="3ADE6AA6" w14:textId="77777777" w:rsidR="004B2808" w:rsidRDefault="00000000">
      <w:pPr>
        <w:pStyle w:val="Author-eSectionHeading5Numberless"/>
      </w:pPr>
      <w:bookmarkStart w:id="1229" w:name="_Toc220491354"/>
      <w:r>
        <w:t>55.46.2 Store / volet (protection visuelle/solaire) pliant ou à accordéons en aluminium  CCTB 01.02</w:t>
      </w:r>
      <w:bookmarkEnd w:id="1229"/>
    </w:p>
    <w:p w14:paraId="01AE44D7" w14:textId="77777777" w:rsidR="004B2808" w:rsidRDefault="00000000">
      <w:pPr>
        <w:pStyle w:val="Author-eSectionHeading6Numberless"/>
      </w:pPr>
      <w:bookmarkStart w:id="1230" w:name="_Toc220491355"/>
      <w:r>
        <w:t>55.46.2a Manuel CCTB 01.02</w:t>
      </w:r>
      <w:bookmarkEnd w:id="1230"/>
    </w:p>
    <w:p w14:paraId="15939A1D" w14:textId="77777777" w:rsidR="004B2808" w:rsidRDefault="00000000">
      <w:pPr>
        <w:pStyle w:val="Author-eSectionHeading6Numberless"/>
      </w:pPr>
      <w:bookmarkStart w:id="1231" w:name="_Toc220491356"/>
      <w:r>
        <w:t>55.46.2b Motorisé CCTB 01.02</w:t>
      </w:r>
      <w:bookmarkEnd w:id="1231"/>
    </w:p>
    <w:p w14:paraId="5A8C123E" w14:textId="77777777" w:rsidR="004B2808" w:rsidRDefault="00000000">
      <w:pPr>
        <w:pStyle w:val="Author-eSectionHeading5Numberless"/>
      </w:pPr>
      <w:bookmarkStart w:id="1232" w:name="_Toc220491357"/>
      <w:r>
        <w:t>55.46.3 Store / volet (protection visuelle/solaire) pliant ou à accordéons en acier  CCTB 01.02</w:t>
      </w:r>
      <w:bookmarkEnd w:id="1232"/>
    </w:p>
    <w:p w14:paraId="4AA4BED9" w14:textId="77777777" w:rsidR="004B2808" w:rsidRDefault="00000000">
      <w:pPr>
        <w:pStyle w:val="Author-eSectionHeading6Numberless"/>
      </w:pPr>
      <w:bookmarkStart w:id="1233" w:name="_Toc220491358"/>
      <w:r>
        <w:t>55.46.3a Manuel CCTB 01.02</w:t>
      </w:r>
      <w:bookmarkEnd w:id="1233"/>
    </w:p>
    <w:p w14:paraId="2D3A5B02" w14:textId="77777777" w:rsidR="004B2808" w:rsidRDefault="00000000">
      <w:pPr>
        <w:pStyle w:val="Author-eSectionHeading6Numberless"/>
      </w:pPr>
      <w:bookmarkStart w:id="1234" w:name="_Toc220491359"/>
      <w:r>
        <w:t>55.46.3b Motorisé CCTB 01.02</w:t>
      </w:r>
      <w:bookmarkEnd w:id="1234"/>
    </w:p>
    <w:p w14:paraId="32C21CD7" w14:textId="77777777" w:rsidR="004B2808" w:rsidRDefault="00000000">
      <w:pPr>
        <w:pStyle w:val="Author-eSectionHeading5Numberless"/>
      </w:pPr>
      <w:bookmarkStart w:id="1235" w:name="_Toc220491360"/>
      <w:r>
        <w:t>55.46.4 Store / volet (protection visuelle/solaire) pliant ou à accordéons en PVC CCTB 01.02</w:t>
      </w:r>
      <w:bookmarkEnd w:id="1235"/>
    </w:p>
    <w:p w14:paraId="5BD93806" w14:textId="77777777" w:rsidR="004B2808" w:rsidRDefault="00000000">
      <w:pPr>
        <w:pStyle w:val="Author-eSectionHeading6Numberless"/>
      </w:pPr>
      <w:bookmarkStart w:id="1236" w:name="_Toc220491361"/>
      <w:r>
        <w:t>55.46.4a Manuel CCTB 01.02</w:t>
      </w:r>
      <w:bookmarkEnd w:id="1236"/>
    </w:p>
    <w:p w14:paraId="374728CE" w14:textId="77777777" w:rsidR="004B2808" w:rsidRDefault="00000000">
      <w:pPr>
        <w:pStyle w:val="Author-eSectionHeading6Numberless"/>
      </w:pPr>
      <w:bookmarkStart w:id="1237" w:name="_Toc220491362"/>
      <w:r>
        <w:t>55.46.4b Motorisé CCTB 01.02</w:t>
      </w:r>
      <w:bookmarkEnd w:id="1237"/>
    </w:p>
    <w:p w14:paraId="3FF52C85" w14:textId="77777777" w:rsidR="004B2808" w:rsidRDefault="00000000">
      <w:pPr>
        <w:pStyle w:val="Author-eSectionHeading5Numberless"/>
      </w:pPr>
      <w:bookmarkStart w:id="1238" w:name="_Toc220491363"/>
      <w:r>
        <w:t>55.46.5 Store / volet (protection visuelle/solaire) pliant ou à accordéons en matériaux composites CCTB 01.02</w:t>
      </w:r>
      <w:bookmarkEnd w:id="1238"/>
    </w:p>
    <w:p w14:paraId="3BB9C14F" w14:textId="77777777" w:rsidR="004B2808" w:rsidRDefault="00000000">
      <w:pPr>
        <w:pStyle w:val="Author-eSectionHeading6Numberless"/>
      </w:pPr>
      <w:bookmarkStart w:id="1239" w:name="_Toc220491364"/>
      <w:r>
        <w:t>55.46.5a Store / volet (protection visuelle/solaire) pliant ou à accordéons en matériaux composites CCTB 01.02</w:t>
      </w:r>
      <w:bookmarkEnd w:id="1239"/>
    </w:p>
    <w:p w14:paraId="6039C91E" w14:textId="77777777" w:rsidR="004B2808" w:rsidRDefault="00000000">
      <w:pPr>
        <w:pStyle w:val="Author-eSectionHeading4Numberless"/>
      </w:pPr>
      <w:bookmarkStart w:id="1240" w:name="_Toc220491365"/>
      <w:r>
        <w:t>55.47 Store - volet (protection visuelle/solaire) - lamelles verticales</w:t>
      </w:r>
      <w:bookmarkEnd w:id="1240"/>
    </w:p>
    <w:p w14:paraId="23E56070" w14:textId="77777777" w:rsidR="004B2808" w:rsidRDefault="00000000">
      <w:pPr>
        <w:pStyle w:val="Author-eSectionHeading5Numberless"/>
      </w:pPr>
      <w:bookmarkStart w:id="1241" w:name="_Toc220491366"/>
      <w:r>
        <w:t>55.47.1 Store - volet (protection visuelle / solaire) - lamelles verticales</w:t>
      </w:r>
      <w:bookmarkEnd w:id="1241"/>
    </w:p>
    <w:p w14:paraId="31B168AD" w14:textId="77777777" w:rsidR="004B2808" w:rsidRDefault="00000000">
      <w:pPr>
        <w:pStyle w:val="Author-eSectionHeading6Numberless"/>
      </w:pPr>
      <w:bookmarkStart w:id="1242" w:name="_Toc220491367"/>
      <w:r>
        <w:t>55.47.1a Store intérieur - lamelles verticales CCTB 01.11</w:t>
      </w:r>
      <w:bookmarkEnd w:id="1242"/>
    </w:p>
    <w:p w14:paraId="7E099354" w14:textId="77777777" w:rsidR="004B2808" w:rsidRDefault="00000000">
      <w:pPr>
        <w:pStyle w:val="pheading"/>
      </w:pPr>
      <w:r>
        <w:t>DESCRIPTION</w:t>
      </w:r>
    </w:p>
    <w:p w14:paraId="5065FF97" w14:textId="77777777" w:rsidR="004B2808" w:rsidRDefault="00000000">
      <w:pPr>
        <w:pStyle w:val="pheading"/>
      </w:pPr>
      <w:r>
        <w:t>- Définition / Comprend</w:t>
      </w:r>
    </w:p>
    <w:p w14:paraId="740B2A48" w14:textId="77777777" w:rsidR="004B2808" w:rsidRDefault="00000000">
      <w:pPr>
        <w:jc w:val="both"/>
      </w:pPr>
      <w:r>
        <w:t>Il s’agit de la fourniture et la pose de stores intérieurs à lamelles verticales.</w:t>
      </w:r>
    </w:p>
    <w:p w14:paraId="6B61F19B" w14:textId="77777777" w:rsidR="004B2808" w:rsidRDefault="00000000">
      <w:pPr>
        <w:jc w:val="both"/>
      </w:pPr>
      <w:r>
        <w:t>Le travail comprend notamment :</w:t>
      </w:r>
    </w:p>
    <w:p w14:paraId="277EC56A" w14:textId="77777777" w:rsidR="004B2808" w:rsidRDefault="00000000">
      <w:pPr>
        <w:pStyle w:val="Author-eListParagraph"/>
        <w:numPr>
          <w:ilvl w:val="0"/>
          <w:numId w:val="1119"/>
        </w:numPr>
        <w:jc w:val="both"/>
      </w:pPr>
      <w:r>
        <w:t>la prise de mesures ;</w:t>
      </w:r>
    </w:p>
    <w:p w14:paraId="456841F5" w14:textId="77777777" w:rsidR="004B2808" w:rsidRDefault="00000000">
      <w:pPr>
        <w:pStyle w:val="Author-eListParagraph"/>
        <w:numPr>
          <w:ilvl w:val="0"/>
          <w:numId w:val="1119"/>
        </w:numPr>
        <w:jc w:val="both"/>
      </w:pPr>
      <w:r>
        <w:t>la fixation dans le gros œuvre ;</w:t>
      </w:r>
    </w:p>
    <w:p w14:paraId="4BB734A9" w14:textId="77777777" w:rsidR="004B2808" w:rsidRDefault="00000000">
      <w:pPr>
        <w:pStyle w:val="Author-eListParagraph"/>
        <w:numPr>
          <w:ilvl w:val="0"/>
          <w:numId w:val="1119"/>
        </w:numPr>
        <w:jc w:val="both"/>
      </w:pPr>
      <w:r>
        <w:t>le raccordement en cas de commande motorisée ;</w:t>
      </w:r>
    </w:p>
    <w:p w14:paraId="4E6C1D5F" w14:textId="77777777" w:rsidR="004B2808" w:rsidRDefault="00000000">
      <w:pPr>
        <w:pStyle w:val="Author-eListParagraph"/>
        <w:numPr>
          <w:ilvl w:val="0"/>
          <w:numId w:val="1119"/>
        </w:numPr>
        <w:jc w:val="both"/>
      </w:pPr>
      <w:r>
        <w:lastRenderedPageBreak/>
        <w:t>le raccordement à l’installation électrique suivant 71.2 BT- Distribution</w:t>
      </w:r>
    </w:p>
    <w:p w14:paraId="24AFA785" w14:textId="77777777" w:rsidR="004B2808" w:rsidRDefault="00000000">
      <w:pPr>
        <w:pStyle w:val="pheading"/>
      </w:pPr>
      <w:r>
        <w:t>MATÉRIAUX</w:t>
      </w:r>
    </w:p>
    <w:p w14:paraId="01BA6346" w14:textId="77777777" w:rsidR="004B2808" w:rsidRDefault="00000000">
      <w:pPr>
        <w:pStyle w:val="pheading"/>
      </w:pPr>
      <w:r>
        <w:t>- Caractéristiques générales</w:t>
      </w:r>
    </w:p>
    <w:p w14:paraId="667F329E" w14:textId="77777777" w:rsidR="004B2808" w:rsidRDefault="00000000">
      <w:pPr>
        <w:jc w:val="both"/>
      </w:pPr>
      <w:r>
        <w:t>Stores intérieurs à lamelles verticales composés de  :</w:t>
      </w:r>
    </w:p>
    <w:p w14:paraId="38C5CE76" w14:textId="77777777" w:rsidR="004B2808" w:rsidRDefault="00000000">
      <w:pPr>
        <w:pStyle w:val="Author-eListParagraph"/>
        <w:numPr>
          <w:ilvl w:val="0"/>
          <w:numId w:val="1120"/>
        </w:numPr>
      </w:pPr>
      <w:r>
        <w:t>lamelles</w:t>
      </w:r>
    </w:p>
    <w:p w14:paraId="178E6767" w14:textId="77777777" w:rsidR="004B2808" w:rsidRDefault="00000000">
      <w:pPr>
        <w:pStyle w:val="Author-eListParagraph"/>
        <w:numPr>
          <w:ilvl w:val="0"/>
          <w:numId w:val="1120"/>
        </w:numPr>
      </w:pPr>
      <w:r>
        <w:t>rail</w:t>
      </w:r>
    </w:p>
    <w:p w14:paraId="4D21886C" w14:textId="77777777" w:rsidR="004B2808" w:rsidRDefault="00000000">
      <w:pPr>
        <w:pStyle w:val="Author-eListParagraph"/>
        <w:numPr>
          <w:ilvl w:val="0"/>
          <w:numId w:val="1120"/>
        </w:numPr>
      </w:pPr>
      <w:r>
        <w:t>dispositif d’entrainement et d’orientation des lames</w:t>
      </w:r>
    </w:p>
    <w:p w14:paraId="1A7B854F" w14:textId="77777777" w:rsidR="004B2808" w:rsidRDefault="00000000">
      <w:pPr>
        <w:pStyle w:val="Author-eListParagraph"/>
        <w:numPr>
          <w:ilvl w:val="0"/>
          <w:numId w:val="1120"/>
        </w:numPr>
      </w:pPr>
      <w:r>
        <w:t>dispositif de manœuvre</w:t>
      </w:r>
    </w:p>
    <w:p w14:paraId="0FB5D4A9" w14:textId="77777777" w:rsidR="004B2808" w:rsidRDefault="00000000">
      <w:pPr>
        <w:jc w:val="both"/>
      </w:pPr>
      <w:r>
        <w:t xml:space="preserve">Classe d’endurance : </w:t>
      </w:r>
      <w:r>
        <w:rPr>
          <w:rStyle w:val="optioncarChar"/>
        </w:rPr>
        <w:t>1 / 2 / 3</w:t>
      </w:r>
    </w:p>
    <w:p w14:paraId="4DAC0A45" w14:textId="77777777" w:rsidR="004B2808" w:rsidRDefault="00000000">
      <w:pPr>
        <w:jc w:val="both"/>
      </w:pPr>
      <w:r>
        <w:t xml:space="preserve">Classe d’hygrométrie intérieure : </w:t>
      </w:r>
      <w:r>
        <w:rPr>
          <w:rStyle w:val="optioncarChar"/>
        </w:rPr>
        <w:t>I</w:t>
      </w:r>
      <w:r>
        <w:rPr>
          <w:rStyle w:val="optioncarChar"/>
          <w:vertAlign w:val="superscript"/>
        </w:rPr>
        <w:t>1</w:t>
      </w:r>
      <w:r>
        <w:rPr>
          <w:rStyle w:val="optioncarChar"/>
        </w:rPr>
        <w:t xml:space="preserve"> / I</w:t>
      </w:r>
      <w:r>
        <w:rPr>
          <w:rStyle w:val="optioncarChar"/>
          <w:vertAlign w:val="superscript"/>
        </w:rPr>
        <w:t>2</w:t>
      </w:r>
      <w:r>
        <w:rPr>
          <w:rStyle w:val="optioncarChar"/>
        </w:rPr>
        <w:t xml:space="preserve"> / I</w:t>
      </w:r>
      <w:r>
        <w:rPr>
          <w:rStyle w:val="optioncarChar"/>
          <w:vertAlign w:val="superscript"/>
        </w:rPr>
        <w:t>3</w:t>
      </w:r>
      <w:r>
        <w:rPr>
          <w:rStyle w:val="optioncarChar"/>
        </w:rPr>
        <w:t xml:space="preserve"> / I</w:t>
      </w:r>
      <w:r>
        <w:rPr>
          <w:rStyle w:val="optioncarChar"/>
          <w:vertAlign w:val="superscript"/>
        </w:rPr>
        <w:t>4 </w:t>
      </w:r>
      <w:r>
        <w:rPr>
          <w:rStyle w:val="optioncarChar"/>
        </w:rPr>
        <w:t>/ I</w:t>
      </w:r>
      <w:r>
        <w:rPr>
          <w:rStyle w:val="optioncarChar"/>
          <w:vertAlign w:val="superscript"/>
        </w:rPr>
        <w:t>5</w:t>
      </w:r>
    </w:p>
    <w:p w14:paraId="5C12DFB7" w14:textId="77777777" w:rsidR="004B2808" w:rsidRDefault="00000000">
      <w:pPr>
        <w:jc w:val="both"/>
      </w:pPr>
      <w:r>
        <w:t xml:space="preserve">Rail en aluminium extrudé : </w:t>
      </w:r>
      <w:r>
        <w:rPr>
          <w:rStyle w:val="optioncarChar"/>
        </w:rPr>
        <w:t>thermolaqué</w:t>
      </w:r>
      <w:r>
        <w:t xml:space="preserve"> (par défaut)</w:t>
      </w:r>
      <w:r>
        <w:rPr>
          <w:rStyle w:val="optioncarChar"/>
        </w:rPr>
        <w:t xml:space="preserve"> / anodisé / ***</w:t>
      </w:r>
    </w:p>
    <w:p w14:paraId="5B1D69D6" w14:textId="77777777" w:rsidR="004B2808" w:rsidRDefault="00000000">
      <w:pPr>
        <w:pStyle w:val="Author-eListParagraph"/>
        <w:numPr>
          <w:ilvl w:val="0"/>
          <w:numId w:val="1121"/>
        </w:numPr>
      </w:pPr>
      <w:r>
        <w:t xml:space="preserve">Hauteur : </w:t>
      </w:r>
      <w:r>
        <w:rPr>
          <w:rStyle w:val="optioncarChar"/>
        </w:rPr>
        <w:t xml:space="preserve">25 </w:t>
      </w:r>
      <w:r>
        <w:t>(par défaut)</w:t>
      </w:r>
      <w:r>
        <w:rPr>
          <w:rStyle w:val="optioncarChar"/>
        </w:rPr>
        <w:t xml:space="preserve"> / ***</w:t>
      </w:r>
      <w:r>
        <w:t xml:space="preserve"> mm</w:t>
      </w:r>
    </w:p>
    <w:p w14:paraId="12722856" w14:textId="77777777" w:rsidR="004B2808" w:rsidRDefault="00000000">
      <w:pPr>
        <w:pStyle w:val="Author-eListParagraph"/>
        <w:numPr>
          <w:ilvl w:val="0"/>
          <w:numId w:val="1121"/>
        </w:numPr>
      </w:pPr>
      <w:r>
        <w:t xml:space="preserve">Largeur : </w:t>
      </w:r>
      <w:r>
        <w:rPr>
          <w:rStyle w:val="optioncarChar"/>
        </w:rPr>
        <w:t xml:space="preserve">40 </w:t>
      </w:r>
      <w:r>
        <w:t>(par défaut)</w:t>
      </w:r>
      <w:r>
        <w:rPr>
          <w:rStyle w:val="optioncarChar"/>
        </w:rPr>
        <w:t xml:space="preserve"> / ***</w:t>
      </w:r>
      <w:r>
        <w:t xml:space="preserve"> mm</w:t>
      </w:r>
    </w:p>
    <w:p w14:paraId="40822CCE" w14:textId="77777777" w:rsidR="004B2808" w:rsidRDefault="00000000">
      <w:pPr>
        <w:pStyle w:val="Author-eListParagraph"/>
        <w:numPr>
          <w:ilvl w:val="0"/>
          <w:numId w:val="1121"/>
        </w:numPr>
      </w:pPr>
      <w:r>
        <w:t xml:space="preserve">Teinte : </w:t>
      </w:r>
      <w:r>
        <w:rPr>
          <w:rStyle w:val="optioncarChar"/>
        </w:rPr>
        <w:t xml:space="preserve">blanc </w:t>
      </w:r>
      <w:r>
        <w:t xml:space="preserve">(par défaut) </w:t>
      </w:r>
      <w:r>
        <w:rPr>
          <w:rStyle w:val="optioncarChar"/>
        </w:rPr>
        <w:t>/ blanc mat / gris anthracite / noir mat / naturel / ***</w:t>
      </w:r>
    </w:p>
    <w:p w14:paraId="5CFDB233" w14:textId="77777777" w:rsidR="004B2808" w:rsidRDefault="00000000">
      <w:pPr>
        <w:pStyle w:val="Author-eListParagraph"/>
        <w:numPr>
          <w:ilvl w:val="0"/>
          <w:numId w:val="1121"/>
        </w:numPr>
      </w:pPr>
      <w:r>
        <w:t xml:space="preserve">Chariots : </w:t>
      </w:r>
      <w:r>
        <w:rPr>
          <w:rStyle w:val="optioncarChar"/>
        </w:rPr>
        <w:t xml:space="preserve">PVC à roulettes autolubrifiées </w:t>
      </w:r>
      <w:r>
        <w:t xml:space="preserve">(par défaut) </w:t>
      </w:r>
      <w:r>
        <w:rPr>
          <w:rStyle w:val="optioncarChar"/>
        </w:rPr>
        <w:t>/ ***</w:t>
      </w:r>
    </w:p>
    <w:p w14:paraId="0BAA46CA" w14:textId="77777777" w:rsidR="004B2808" w:rsidRDefault="00000000">
      <w:pPr>
        <w:pStyle w:val="Author-eListParagraph"/>
        <w:numPr>
          <w:ilvl w:val="0"/>
          <w:numId w:val="1121"/>
        </w:numPr>
      </w:pPr>
      <w:r>
        <w:t xml:space="preserve">Type : </w:t>
      </w:r>
      <w:r>
        <w:rPr>
          <w:rStyle w:val="optioncarChar"/>
        </w:rPr>
        <w:t>droit / pente / cintré vertical / cintré horizontal</w:t>
      </w:r>
    </w:p>
    <w:p w14:paraId="1E6A7B51" w14:textId="77777777" w:rsidR="004B2808" w:rsidRDefault="00000000">
      <w:pPr>
        <w:pStyle w:val="Author-eListParagraph"/>
        <w:numPr>
          <w:ilvl w:val="0"/>
          <w:numId w:val="1121"/>
        </w:numPr>
      </w:pPr>
      <w:r>
        <w:t xml:space="preserve">Encastré : </w:t>
      </w:r>
      <w:r>
        <w:rPr>
          <w:rStyle w:val="optioncarChar"/>
        </w:rPr>
        <w:t xml:space="preserve">non </w:t>
      </w:r>
      <w:r>
        <w:t>(par défaut)</w:t>
      </w:r>
      <w:r>
        <w:rPr>
          <w:rStyle w:val="optioncarChar"/>
        </w:rPr>
        <w:t xml:space="preserve"> / oui</w:t>
      </w:r>
    </w:p>
    <w:p w14:paraId="76099449" w14:textId="77777777" w:rsidR="004B2808" w:rsidRDefault="00000000">
      <w:pPr>
        <w:jc w:val="both"/>
      </w:pPr>
      <w:r>
        <w:t>Lamelles :</w:t>
      </w:r>
    </w:p>
    <w:p w14:paraId="688AA7C2" w14:textId="77777777" w:rsidR="004B2808" w:rsidRDefault="00000000">
      <w:pPr>
        <w:pStyle w:val="Author-eListParagraph"/>
        <w:numPr>
          <w:ilvl w:val="0"/>
          <w:numId w:val="1122"/>
        </w:numPr>
      </w:pPr>
      <w:r>
        <w:t>Composition :</w:t>
      </w:r>
      <w:r>
        <w:rPr>
          <w:rStyle w:val="optioncarChar"/>
        </w:rPr>
        <w:t xml:space="preserve"> textile / polyester / PVC / aluminium / polyester + coton / polyester + PVC</w:t>
      </w:r>
    </w:p>
    <w:p w14:paraId="2A52A567" w14:textId="77777777" w:rsidR="004B2808" w:rsidRDefault="00000000">
      <w:pPr>
        <w:pStyle w:val="Author-eListParagraph"/>
        <w:numPr>
          <w:ilvl w:val="0"/>
          <w:numId w:val="1122"/>
        </w:numPr>
      </w:pPr>
      <w:r>
        <w:t xml:space="preserve">Épaisseur : </w:t>
      </w:r>
      <w:r>
        <w:rPr>
          <w:rStyle w:val="optioncarChar"/>
        </w:rPr>
        <w:t>0,25 /</w:t>
      </w:r>
      <w:r>
        <w:t> </w:t>
      </w:r>
      <w:r>
        <w:rPr>
          <w:rStyle w:val="optioncarChar"/>
        </w:rPr>
        <w:t xml:space="preserve">0,40 </w:t>
      </w:r>
      <w:r>
        <w:t>(par défaut)</w:t>
      </w:r>
      <w:r>
        <w:rPr>
          <w:rStyle w:val="optioncarChar"/>
        </w:rPr>
        <w:t xml:space="preserve"> / 0,45 / 0,58 / 0,59 / ***</w:t>
      </w:r>
      <w:r>
        <w:t xml:space="preserve"> mm</w:t>
      </w:r>
    </w:p>
    <w:p w14:paraId="3FA037C9" w14:textId="77777777" w:rsidR="004B2808" w:rsidRDefault="00000000">
      <w:pPr>
        <w:pStyle w:val="Author-eListParagraph"/>
        <w:numPr>
          <w:ilvl w:val="0"/>
          <w:numId w:val="1122"/>
        </w:numPr>
      </w:pPr>
      <w:r>
        <w:t xml:space="preserve">Largeur : </w:t>
      </w:r>
      <w:r>
        <w:rPr>
          <w:rStyle w:val="optioncarChar"/>
        </w:rPr>
        <w:t xml:space="preserve">127 </w:t>
      </w:r>
      <w:r>
        <w:t>(par défaut)</w:t>
      </w:r>
      <w:r>
        <w:rPr>
          <w:rStyle w:val="optioncarChar"/>
        </w:rPr>
        <w:t xml:space="preserve"> / 89 / 63 / ***</w:t>
      </w:r>
      <w:r>
        <w:t xml:space="preserve"> mm</w:t>
      </w:r>
    </w:p>
    <w:p w14:paraId="0088EBEC" w14:textId="77777777" w:rsidR="004B2808" w:rsidRDefault="00000000">
      <w:pPr>
        <w:pStyle w:val="Author-eListParagraph"/>
        <w:numPr>
          <w:ilvl w:val="0"/>
          <w:numId w:val="1122"/>
        </w:numPr>
      </w:pPr>
      <w:r>
        <w:t xml:space="preserve">Hauteur : </w:t>
      </w:r>
      <w:r>
        <w:rPr>
          <w:rStyle w:val="optioncarChar"/>
        </w:rPr>
        <w:t>***</w:t>
      </w:r>
      <w:r>
        <w:t xml:space="preserve"> mm</w:t>
      </w:r>
    </w:p>
    <w:p w14:paraId="1FCF5E4E" w14:textId="77777777" w:rsidR="004B2808" w:rsidRDefault="00000000">
      <w:pPr>
        <w:pStyle w:val="Author-eListParagraph"/>
        <w:numPr>
          <w:ilvl w:val="0"/>
          <w:numId w:val="1122"/>
        </w:numPr>
      </w:pPr>
      <w:r>
        <w:t xml:space="preserve">Masse surfacique : </w:t>
      </w:r>
      <w:r>
        <w:rPr>
          <w:rStyle w:val="optioncarChar"/>
        </w:rPr>
        <w:t xml:space="preserve">128 / 240 / 250 </w:t>
      </w:r>
      <w:r>
        <w:t>(par défaut)</w:t>
      </w:r>
      <w:r>
        <w:rPr>
          <w:rStyle w:val="optioncarChar"/>
        </w:rPr>
        <w:t xml:space="preserve"> / 280 / ***</w:t>
      </w:r>
      <w:r>
        <w:t xml:space="preserve"> g/m2</w:t>
      </w:r>
    </w:p>
    <w:p w14:paraId="71619832" w14:textId="77777777" w:rsidR="004B2808" w:rsidRDefault="00000000">
      <w:pPr>
        <w:pStyle w:val="Author-eListParagraph"/>
        <w:numPr>
          <w:ilvl w:val="0"/>
          <w:numId w:val="1122"/>
        </w:numPr>
      </w:pPr>
      <w:r>
        <w:t xml:space="preserve">Réaction au feu : </w:t>
      </w:r>
      <w:r>
        <w:rPr>
          <w:rStyle w:val="optioncarChar"/>
        </w:rPr>
        <w:t>F</w:t>
      </w:r>
      <w:r>
        <w:t xml:space="preserve"> (par défaut)</w:t>
      </w:r>
      <w:r>
        <w:rPr>
          <w:rStyle w:val="optioncarChar"/>
        </w:rPr>
        <w:t xml:space="preserve"> / B1 / ***</w:t>
      </w:r>
    </w:p>
    <w:p w14:paraId="4818B4E8" w14:textId="77777777" w:rsidR="004B2808" w:rsidRDefault="00000000">
      <w:pPr>
        <w:pStyle w:val="Author-eListParagraph"/>
        <w:numPr>
          <w:ilvl w:val="0"/>
          <w:numId w:val="1122"/>
        </w:numPr>
      </w:pPr>
      <w:r>
        <w:t xml:space="preserve">Plaquettes de lestage : </w:t>
      </w:r>
      <w:r>
        <w:rPr>
          <w:rStyle w:val="optioncarChar"/>
        </w:rPr>
        <w:t>plaquettes de lestage insérées / plaquettes de lestage soudées</w:t>
      </w:r>
    </w:p>
    <w:p w14:paraId="76E0F860" w14:textId="77777777" w:rsidR="004B2808" w:rsidRDefault="00000000">
      <w:pPr>
        <w:pStyle w:val="Author-eListParagraph"/>
        <w:numPr>
          <w:ilvl w:val="0"/>
          <w:numId w:val="1122"/>
        </w:numPr>
      </w:pPr>
      <w:r>
        <w:t xml:space="preserve">Chaînettes de liaison : </w:t>
      </w:r>
      <w:r>
        <w:rPr>
          <w:rStyle w:val="optioncarChar"/>
        </w:rPr>
        <w:t>oui / non</w:t>
      </w:r>
    </w:p>
    <w:p w14:paraId="2FA581BF" w14:textId="77777777" w:rsidR="004B2808" w:rsidRDefault="00000000">
      <w:pPr>
        <w:jc w:val="both"/>
      </w:pPr>
      <w:r>
        <w:t xml:space="preserve">Dispositif de manœuvre : </w:t>
      </w:r>
      <w:r>
        <w:rPr>
          <w:rStyle w:val="optioncarChar"/>
        </w:rPr>
        <w:t>chaînette de manœuvre / tige de tirage et d’orientation / tige d’orientation + cordon lesté</w:t>
      </w:r>
    </w:p>
    <w:p w14:paraId="7B6F546D" w14:textId="77777777" w:rsidR="004B2808" w:rsidRDefault="00000000">
      <w:pPr>
        <w:jc w:val="both"/>
      </w:pPr>
      <w:r>
        <w:t xml:space="preserve">Protection contre la strangulation : </w:t>
      </w:r>
      <w:r>
        <w:rPr>
          <w:rStyle w:val="optioncarChar"/>
        </w:rPr>
        <w:t xml:space="preserve">oui </w:t>
      </w:r>
      <w:r>
        <w:t xml:space="preserve">(par défaut) </w:t>
      </w:r>
      <w:r>
        <w:rPr>
          <w:rStyle w:val="optioncarChar"/>
        </w:rPr>
        <w:t>/ non</w:t>
      </w:r>
    </w:p>
    <w:p w14:paraId="7906C3D8" w14:textId="77777777" w:rsidR="004B2808" w:rsidRDefault="00000000">
      <w:pPr>
        <w:jc w:val="both"/>
      </w:pPr>
      <w:r>
        <w:t xml:space="preserve">Motorisation : </w:t>
      </w:r>
      <w:r>
        <w:rPr>
          <w:rStyle w:val="optioncarChar"/>
        </w:rPr>
        <w:t xml:space="preserve">non </w:t>
      </w:r>
      <w:r>
        <w:t xml:space="preserve">(par défaut) </w:t>
      </w:r>
      <w:r>
        <w:rPr>
          <w:rStyle w:val="optioncarChar"/>
        </w:rPr>
        <w:t>/ oui</w:t>
      </w:r>
    </w:p>
    <w:p w14:paraId="13942531" w14:textId="77777777" w:rsidR="004B2808" w:rsidRDefault="00000000">
      <w:pPr>
        <w:jc w:val="both"/>
      </w:pPr>
      <w:r>
        <w:rPr>
          <w:b/>
        </w:rPr>
        <w:t>(soit par défaut)</w:t>
      </w:r>
    </w:p>
    <w:p w14:paraId="356375AF" w14:textId="77777777" w:rsidR="004B2808" w:rsidRDefault="00000000">
      <w:pPr>
        <w:jc w:val="both"/>
      </w:pPr>
      <w:r>
        <w:rPr>
          <w:rStyle w:val="soitChar"/>
          <w:u w:val="single"/>
        </w:rPr>
        <w:t>Non :</w:t>
      </w:r>
      <w:r>
        <w:rPr>
          <w:rStyle w:val="soitChar"/>
        </w:rPr>
        <w:t xml:space="preserve"> pas d’application</w:t>
      </w:r>
    </w:p>
    <w:p w14:paraId="43A68CD8" w14:textId="77777777" w:rsidR="004B2808" w:rsidRDefault="00000000">
      <w:pPr>
        <w:jc w:val="both"/>
      </w:pPr>
      <w:r>
        <w:rPr>
          <w:b/>
        </w:rPr>
        <w:t>(soit)</w:t>
      </w:r>
    </w:p>
    <w:p w14:paraId="6776253D" w14:textId="77777777" w:rsidR="004B2808" w:rsidRDefault="00000000">
      <w:pPr>
        <w:jc w:val="both"/>
      </w:pPr>
      <w:r>
        <w:rPr>
          <w:rStyle w:val="soitChar"/>
          <w:u w:val="single"/>
        </w:rPr>
        <w:t>Oui :</w:t>
      </w:r>
    </w:p>
    <w:p w14:paraId="3A7F8F25" w14:textId="77777777" w:rsidR="004B2808" w:rsidRDefault="00000000">
      <w:pPr>
        <w:jc w:val="both"/>
      </w:pPr>
      <w:r>
        <w:rPr>
          <w:rStyle w:val="soitChar"/>
        </w:rPr>
        <w:t xml:space="preserve">Moteur électrique : </w:t>
      </w:r>
      <w:r>
        <w:rPr>
          <w:rStyle w:val="optioncarChar"/>
        </w:rPr>
        <w:t>18 / 24 / 220</w:t>
      </w:r>
      <w:r>
        <w:rPr>
          <w:rStyle w:val="soitChar"/>
        </w:rPr>
        <w:t xml:space="preserve"> V</w:t>
      </w:r>
    </w:p>
    <w:p w14:paraId="4AA34D31" w14:textId="77777777" w:rsidR="004B2808" w:rsidRDefault="00000000">
      <w:pPr>
        <w:jc w:val="both"/>
      </w:pPr>
      <w:r>
        <w:rPr>
          <w:rStyle w:val="soitChar"/>
        </w:rPr>
        <w:t>Raccordement de la motorisation à l’alimentation électrique placée par l’entreprise d’électricité à</w:t>
      </w:r>
    </w:p>
    <w:p w14:paraId="75D526F7" w14:textId="77777777" w:rsidR="004B2808" w:rsidRDefault="00000000">
      <w:pPr>
        <w:jc w:val="both"/>
      </w:pPr>
      <w:r>
        <w:rPr>
          <w:rStyle w:val="soitChar"/>
        </w:rPr>
        <w:t>proximité du store suivant 71.2 BT- Distribution</w:t>
      </w:r>
    </w:p>
    <w:p w14:paraId="0D44CD97" w14:textId="77777777" w:rsidR="004B2808" w:rsidRDefault="00000000">
      <w:pPr>
        <w:jc w:val="both"/>
      </w:pPr>
      <w:r>
        <w:rPr>
          <w:rStyle w:val="soitChar"/>
        </w:rPr>
        <w:t xml:space="preserve">Télécommande : </w:t>
      </w:r>
      <w:r>
        <w:rPr>
          <w:rStyle w:val="optioncarChar"/>
        </w:rPr>
        <w:t>par smartphone</w:t>
      </w:r>
      <w:r>
        <w:t xml:space="preserve"> (par défaut)</w:t>
      </w:r>
      <w:r>
        <w:rPr>
          <w:rStyle w:val="optioncarChar"/>
        </w:rPr>
        <w:t xml:space="preserve"> / ***</w:t>
      </w:r>
    </w:p>
    <w:p w14:paraId="238FD713" w14:textId="77777777" w:rsidR="004B2808" w:rsidRDefault="004B2808"/>
    <w:p w14:paraId="603AB6BD" w14:textId="77777777" w:rsidR="004B2808" w:rsidRDefault="00000000">
      <w:pPr>
        <w:jc w:val="both"/>
      </w:pPr>
      <w:r>
        <w:rPr>
          <w:b/>
        </w:rPr>
        <w:t>Aspects environnementaux :</w:t>
      </w:r>
    </w:p>
    <w:p w14:paraId="47814B66" w14:textId="77777777" w:rsidR="004B2808" w:rsidRDefault="00000000">
      <w:pPr>
        <w:jc w:val="both"/>
      </w:pPr>
      <w:r>
        <w:t xml:space="preserve">Pourcentage de matériaux recyclés : </w:t>
      </w:r>
      <w:r>
        <w:rPr>
          <w:rStyle w:val="optioncarChar"/>
        </w:rPr>
        <w:t>oui</w:t>
      </w:r>
      <w:r>
        <w:t xml:space="preserve"> (par défaut)</w:t>
      </w:r>
      <w:r>
        <w:rPr>
          <w:rStyle w:val="optioncarChar"/>
        </w:rPr>
        <w:t xml:space="preserve"> / non</w:t>
      </w:r>
    </w:p>
    <w:p w14:paraId="4636609F" w14:textId="77777777" w:rsidR="004B2808" w:rsidRDefault="00000000">
      <w:pPr>
        <w:jc w:val="both"/>
      </w:pPr>
      <w:r>
        <w:rPr>
          <w:b/>
        </w:rPr>
        <w:t>(soit par défaut)</w:t>
      </w:r>
    </w:p>
    <w:p w14:paraId="2F258210" w14:textId="77777777" w:rsidR="004B2808" w:rsidRDefault="00000000">
      <w:pPr>
        <w:jc w:val="both"/>
      </w:pPr>
      <w:r>
        <w:rPr>
          <w:rStyle w:val="soitChar"/>
          <w:u w:val="single"/>
        </w:rPr>
        <w:t>Oui :</w:t>
      </w:r>
      <w:r>
        <w:rPr>
          <w:rStyle w:val="soitChar"/>
        </w:rPr>
        <w:t xml:space="preserve"> ≥ </w:t>
      </w:r>
      <w:r>
        <w:rPr>
          <w:rStyle w:val="optioncarChar"/>
        </w:rPr>
        <w:t>50</w:t>
      </w:r>
      <w:r>
        <w:t xml:space="preserve"> (par défaut) </w:t>
      </w:r>
      <w:r>
        <w:rPr>
          <w:rStyle w:val="optioncarChar"/>
        </w:rPr>
        <w:t>/  90 / ***</w:t>
      </w:r>
      <w:r>
        <w:rPr>
          <w:rStyle w:val="soitChar"/>
        </w:rPr>
        <w:t xml:space="preserve"> %</w:t>
      </w:r>
    </w:p>
    <w:p w14:paraId="4CFB7288" w14:textId="77777777" w:rsidR="004B2808" w:rsidRDefault="00000000">
      <w:pPr>
        <w:jc w:val="both"/>
      </w:pPr>
      <w:r>
        <w:rPr>
          <w:b/>
        </w:rPr>
        <w:lastRenderedPageBreak/>
        <w:t>(soit)</w:t>
      </w:r>
    </w:p>
    <w:p w14:paraId="6565B9A0" w14:textId="77777777" w:rsidR="004B2808" w:rsidRDefault="00000000">
      <w:pPr>
        <w:jc w:val="both"/>
      </w:pPr>
      <w:r>
        <w:rPr>
          <w:rStyle w:val="soitChar"/>
          <w:u w:val="single"/>
        </w:rPr>
        <w:t>Non :</w:t>
      </w:r>
      <w:r>
        <w:rPr>
          <w:rStyle w:val="soitChar"/>
        </w:rPr>
        <w:t xml:space="preserve"> pas d'application</w:t>
      </w:r>
    </w:p>
    <w:p w14:paraId="0A8F1063" w14:textId="77777777" w:rsidR="004B2808" w:rsidRDefault="004B2808">
      <w:pPr>
        <w:jc w:val="both"/>
      </w:pPr>
    </w:p>
    <w:p w14:paraId="2D74509A" w14:textId="77777777" w:rsidR="004B2808" w:rsidRDefault="004B2808">
      <w:pPr>
        <w:jc w:val="both"/>
      </w:pPr>
    </w:p>
    <w:p w14:paraId="6244E4FB" w14:textId="77777777" w:rsidR="004B2808" w:rsidRDefault="00000000">
      <w:pPr>
        <w:jc w:val="both"/>
      </w:pPr>
      <w:r>
        <w:t xml:space="preserve">Lamelles certifiées Cradle to Cradle : </w:t>
      </w:r>
      <w:r>
        <w:rPr>
          <w:rStyle w:val="optioncarChar"/>
        </w:rPr>
        <w:t>oui / non</w:t>
      </w:r>
    </w:p>
    <w:p w14:paraId="08116481" w14:textId="77777777" w:rsidR="004B2808" w:rsidRDefault="00000000">
      <w:pPr>
        <w:pStyle w:val="pheading"/>
      </w:pPr>
      <w:r>
        <w:t>- Finitions</w:t>
      </w:r>
    </w:p>
    <w:p w14:paraId="1E494AE2" w14:textId="77777777" w:rsidR="004B2808" w:rsidRDefault="00000000">
      <w:pPr>
        <w:pStyle w:val="Author-eListParagraph"/>
        <w:numPr>
          <w:ilvl w:val="0"/>
          <w:numId w:val="1123"/>
        </w:numPr>
        <w:jc w:val="both"/>
      </w:pPr>
      <w:r>
        <w:t xml:space="preserve">Type : </w:t>
      </w:r>
      <w:r>
        <w:rPr>
          <w:rStyle w:val="optioncarChar"/>
        </w:rPr>
        <w:t>tamisant</w:t>
      </w:r>
      <w:r>
        <w:t xml:space="preserve"> (par défaut)</w:t>
      </w:r>
      <w:r>
        <w:rPr>
          <w:rStyle w:val="optioncarChar"/>
        </w:rPr>
        <w:t xml:space="preserve"> / occultant / absorbant acoustique / microperforé / microperforé avec dos alu / ***</w:t>
      </w:r>
    </w:p>
    <w:p w14:paraId="7CCA8568" w14:textId="77777777" w:rsidR="004B2808" w:rsidRDefault="00000000">
      <w:pPr>
        <w:pStyle w:val="Author-eListParagraph"/>
        <w:numPr>
          <w:ilvl w:val="0"/>
          <w:numId w:val="1123"/>
        </w:numPr>
        <w:jc w:val="both"/>
      </w:pPr>
      <w:r>
        <w:t xml:space="preserve">Motif : </w:t>
      </w:r>
      <w:r>
        <w:rPr>
          <w:rStyle w:val="optioncarChar"/>
        </w:rPr>
        <w:t xml:space="preserve">uni </w:t>
      </w:r>
      <w:r>
        <w:t>(par défaut)</w:t>
      </w:r>
      <w:r>
        <w:rPr>
          <w:rStyle w:val="optioncarChar"/>
        </w:rPr>
        <w:t xml:space="preserve"> / impression dans la gamme du fabricant / impression au choix de la direction des travaux / ***</w:t>
      </w:r>
    </w:p>
    <w:p w14:paraId="006CE7AA" w14:textId="77777777" w:rsidR="004B2808" w:rsidRDefault="00000000">
      <w:pPr>
        <w:pStyle w:val="Author-eListParagraph"/>
        <w:numPr>
          <w:ilvl w:val="0"/>
          <w:numId w:val="1123"/>
        </w:numPr>
        <w:jc w:val="both"/>
      </w:pPr>
      <w:r>
        <w:t xml:space="preserve">Aspect : </w:t>
      </w:r>
      <w:r>
        <w:rPr>
          <w:rStyle w:val="optioncarChar"/>
        </w:rPr>
        <w:t xml:space="preserve">mat </w:t>
      </w:r>
      <w:r>
        <w:t xml:space="preserve">(par défaut) </w:t>
      </w:r>
      <w:r>
        <w:rPr>
          <w:rStyle w:val="optioncarChar"/>
        </w:rPr>
        <w:t>/ arrière nacré / arrière revêtu d’aluminium / tissage marqué / ***</w:t>
      </w:r>
    </w:p>
    <w:p w14:paraId="6D00020D" w14:textId="77777777" w:rsidR="004B2808" w:rsidRDefault="00000000">
      <w:pPr>
        <w:pStyle w:val="Author-eListParagraph"/>
        <w:numPr>
          <w:ilvl w:val="0"/>
          <w:numId w:val="1123"/>
        </w:numPr>
        <w:jc w:val="both"/>
      </w:pPr>
      <w:r>
        <w:t xml:space="preserve">Teinte : </w:t>
      </w:r>
      <w:r>
        <w:rPr>
          <w:rStyle w:val="optioncarChar"/>
        </w:rPr>
        <w:t xml:space="preserve">au choix de la direction des travaux dans la gamme du fabricant </w:t>
      </w:r>
      <w:r>
        <w:t xml:space="preserve">(par défaut) </w:t>
      </w:r>
      <w:r>
        <w:rPr>
          <w:rStyle w:val="optioncarChar"/>
        </w:rPr>
        <w:t>/ ***</w:t>
      </w:r>
    </w:p>
    <w:p w14:paraId="345BADC0" w14:textId="77777777" w:rsidR="004B2808" w:rsidRDefault="00000000">
      <w:pPr>
        <w:pStyle w:val="pheading"/>
      </w:pPr>
      <w:r>
        <w:t>EXÉCUTION / MISE EN ŒUVRE</w:t>
      </w:r>
    </w:p>
    <w:p w14:paraId="3C257BE3" w14:textId="77777777" w:rsidR="004B2808" w:rsidRDefault="00000000">
      <w:pPr>
        <w:pStyle w:val="pheading"/>
      </w:pPr>
      <w:r>
        <w:t>- Prescriptions générales</w:t>
      </w:r>
    </w:p>
    <w:p w14:paraId="050E84D7" w14:textId="77777777" w:rsidR="004B2808" w:rsidRDefault="00000000">
      <w:r>
        <w:t xml:space="preserve">Pose du rail au moyen : </w:t>
      </w:r>
      <w:r>
        <w:rPr>
          <w:rStyle w:val="optioncarChar"/>
        </w:rPr>
        <w:t>d’équerre de déport / de clips au plafond</w:t>
      </w:r>
    </w:p>
    <w:p w14:paraId="190AE9A0" w14:textId="77777777" w:rsidR="004B2808" w:rsidRDefault="00000000">
      <w:r>
        <w:t>Stockage :</w:t>
      </w:r>
      <w:r>
        <w:rPr>
          <w:rStyle w:val="optioncarChar"/>
        </w:rPr>
        <w:t xml:space="preserve"> latéral / des 2 côtés / au centre</w:t>
      </w:r>
    </w:p>
    <w:p w14:paraId="52B15778" w14:textId="77777777" w:rsidR="004B2808" w:rsidRDefault="00000000">
      <w:pPr>
        <w:pStyle w:val="pheading"/>
      </w:pPr>
      <w:r>
        <w:t>DOCUMENTS DE RÉFÉRENCE COMPLÉMENTAIRES</w:t>
      </w:r>
    </w:p>
    <w:p w14:paraId="78758735" w14:textId="77777777" w:rsidR="004B2808" w:rsidRDefault="00000000">
      <w:pPr>
        <w:pStyle w:val="pheading"/>
      </w:pPr>
      <w:r>
        <w:t>- Matériau</w:t>
      </w:r>
    </w:p>
    <w:p w14:paraId="4FD0FCAE" w14:textId="77777777" w:rsidR="004B2808" w:rsidRDefault="00000000">
      <w:r>
        <w:t>[NBN EN 13120+A1, Stores intérieurs - Exigences de performance, y compris la sécurité]</w:t>
      </w:r>
    </w:p>
    <w:p w14:paraId="1F7A85F1" w14:textId="77777777" w:rsidR="004B2808" w:rsidRDefault="00000000">
      <w:r>
        <w:t>[NBN EN 14501, Fermetures et stores - Confort thermique et lumineux - Caractérisation des performances et classification]</w:t>
      </w:r>
    </w:p>
    <w:p w14:paraId="3A712327" w14:textId="77777777" w:rsidR="004B2808" w:rsidRDefault="00000000">
      <w:pPr>
        <w:pStyle w:val="pheading"/>
      </w:pPr>
      <w:r>
        <w:t>MESURAGE</w:t>
      </w:r>
    </w:p>
    <w:p w14:paraId="215E5647" w14:textId="77777777" w:rsidR="004B2808" w:rsidRDefault="00000000">
      <w:pPr>
        <w:pStyle w:val="pheading"/>
      </w:pPr>
      <w:r>
        <w:t>- unité de mesure:</w:t>
      </w:r>
    </w:p>
    <w:p w14:paraId="3B20A3BB" w14:textId="77777777" w:rsidR="004B2808" w:rsidRDefault="00000000">
      <w:r>
        <w:rPr>
          <w:rStyle w:val="optioncarChar"/>
        </w:rPr>
        <w:t xml:space="preserve">pc </w:t>
      </w:r>
      <w:r>
        <w:t>(par défaut)</w:t>
      </w:r>
      <w:r>
        <w:rPr>
          <w:rStyle w:val="optioncarChar"/>
        </w:rPr>
        <w:t xml:space="preserve"> / m²</w:t>
      </w:r>
    </w:p>
    <w:p w14:paraId="6E3610C7" w14:textId="77777777" w:rsidR="004B2808" w:rsidRDefault="00000000">
      <w:r>
        <w:rPr>
          <w:b/>
        </w:rPr>
        <w:t>(soit par défaut)</w:t>
      </w:r>
      <w:r>
        <w:br/>
      </w:r>
      <w:r>
        <w:rPr>
          <w:rStyle w:val="soitChar"/>
        </w:rPr>
        <w:t>1. pc</w:t>
      </w:r>
      <w:r>
        <w:br/>
      </w:r>
      <w:r>
        <w:rPr>
          <w:b/>
        </w:rPr>
        <w:t>(soit)</w:t>
      </w:r>
      <w:r>
        <w:br/>
      </w:r>
      <w:r>
        <w:rPr>
          <w:rStyle w:val="soitChar"/>
        </w:rPr>
        <w:t>2. m²</w:t>
      </w:r>
    </w:p>
    <w:p w14:paraId="2B2E85F3" w14:textId="77777777" w:rsidR="004B2808" w:rsidRDefault="00000000">
      <w:pPr>
        <w:pStyle w:val="pheading"/>
      </w:pPr>
      <w:r>
        <w:t>- code de mesurage:</w:t>
      </w:r>
    </w:p>
    <w:p w14:paraId="32D5853C" w14:textId="77777777" w:rsidR="004B2808" w:rsidRDefault="00000000">
      <w:pPr>
        <w:jc w:val="both"/>
      </w:pPr>
      <w:r>
        <w:rPr>
          <w:rStyle w:val="optioncarChar"/>
        </w:rPr>
        <w:t xml:space="preserve">Quantité nette </w:t>
      </w:r>
      <w:r>
        <w:t>(par défaut)</w:t>
      </w:r>
      <w:r>
        <w:rPr>
          <w:rStyle w:val="optioncarChar"/>
        </w:rPr>
        <w:t xml:space="preserve"> / Surface nette</w:t>
      </w:r>
    </w:p>
    <w:p w14:paraId="44650CFD" w14:textId="77777777" w:rsidR="004B2808" w:rsidRDefault="00000000">
      <w:pPr>
        <w:jc w:val="both"/>
      </w:pPr>
      <w:r>
        <w:rPr>
          <w:b/>
        </w:rPr>
        <w:t>(soit par défaut)</w:t>
      </w:r>
    </w:p>
    <w:p w14:paraId="73B0169B" w14:textId="77777777" w:rsidR="004B2808" w:rsidRDefault="00000000">
      <w:pPr>
        <w:jc w:val="both"/>
      </w:pPr>
      <w:r>
        <w:rPr>
          <w:rStyle w:val="soitChar"/>
        </w:rPr>
        <w:t xml:space="preserve">1.   </w:t>
      </w:r>
      <w:r>
        <w:rPr>
          <w:rStyle w:val="soitChar"/>
          <w:u w:val="single"/>
        </w:rPr>
        <w:t>Quantité nette</w:t>
      </w:r>
      <w:r>
        <w:rPr>
          <w:rStyle w:val="soitChar"/>
        </w:rPr>
        <w:t xml:space="preserve"> à mettre en œuvre, distinction faite suivant les dimensions et le type</w:t>
      </w:r>
    </w:p>
    <w:p w14:paraId="45602A33" w14:textId="77777777" w:rsidR="004B2808" w:rsidRDefault="00000000">
      <w:pPr>
        <w:jc w:val="both"/>
      </w:pPr>
      <w:r>
        <w:rPr>
          <w:b/>
        </w:rPr>
        <w:t>(soit)</w:t>
      </w:r>
    </w:p>
    <w:p w14:paraId="153FC3F7" w14:textId="77777777" w:rsidR="004B2808" w:rsidRDefault="00000000">
      <w:pPr>
        <w:jc w:val="both"/>
      </w:pPr>
      <w:r>
        <w:rPr>
          <w:rStyle w:val="soitChar"/>
        </w:rPr>
        <w:t xml:space="preserve">2. </w:t>
      </w:r>
      <w:r>
        <w:rPr>
          <w:rStyle w:val="soitChar"/>
          <w:u w:val="single"/>
        </w:rPr>
        <w:t>Surface nette</w:t>
      </w:r>
      <w:r>
        <w:rPr>
          <w:rStyle w:val="soitChar"/>
        </w:rPr>
        <w:t xml:space="preserve"> à mettre en œuvre, distinction faite suivant le type</w:t>
      </w:r>
    </w:p>
    <w:p w14:paraId="4A4DA19D" w14:textId="77777777" w:rsidR="004B2808" w:rsidRDefault="00000000">
      <w:pPr>
        <w:pStyle w:val="pheading"/>
      </w:pPr>
      <w:r>
        <w:t>- nature du marché:</w:t>
      </w:r>
    </w:p>
    <w:p w14:paraId="1F3DD76F" w14:textId="77777777" w:rsidR="004B2808" w:rsidRDefault="00000000">
      <w:r>
        <w:t>QF</w:t>
      </w:r>
    </w:p>
    <w:p w14:paraId="227E772C" w14:textId="77777777" w:rsidR="004B2808" w:rsidRDefault="00000000">
      <w:pPr>
        <w:pStyle w:val="Author-eSectionHeading3Numberless"/>
      </w:pPr>
      <w:bookmarkStart w:id="1243" w:name="_Toc220491368"/>
      <w:r>
        <w:t>55.5 Habillage particulier de baies / de gaines CCTB 01.02</w:t>
      </w:r>
      <w:bookmarkEnd w:id="1243"/>
    </w:p>
    <w:p w14:paraId="68AE8F26" w14:textId="77777777" w:rsidR="004B2808" w:rsidRDefault="00000000">
      <w:pPr>
        <w:pStyle w:val="Author-eSectionHeading4Numberless"/>
      </w:pPr>
      <w:bookmarkStart w:id="1244" w:name="_Toc220491369"/>
      <w:r>
        <w:t>55.51 Habillage de fenêtres CCTB 01.11</w:t>
      </w:r>
      <w:bookmarkEnd w:id="1244"/>
    </w:p>
    <w:p w14:paraId="0BB69F8A" w14:textId="77777777" w:rsidR="004B2808" w:rsidRDefault="00000000">
      <w:pPr>
        <w:pStyle w:val="pheading"/>
      </w:pPr>
      <w:bookmarkStart w:id="1245" w:name="847"/>
      <w:bookmarkEnd w:id="1245"/>
      <w:r>
        <w:t>DESCRIPTION</w:t>
      </w:r>
    </w:p>
    <w:p w14:paraId="781338D6" w14:textId="77777777" w:rsidR="004B2808" w:rsidRDefault="00000000">
      <w:pPr>
        <w:pStyle w:val="pheading"/>
      </w:pPr>
      <w:r>
        <w:t>- Définition / Comprend</w:t>
      </w:r>
    </w:p>
    <w:p w14:paraId="1478636E" w14:textId="77777777" w:rsidR="004B2808" w:rsidRDefault="00000000">
      <w:r>
        <w:rPr>
          <w:b/>
          <w:sz w:val="24"/>
        </w:rPr>
        <w:lastRenderedPageBreak/>
        <w:t>Habillage / baies de fenêtres de toiture</w:t>
      </w:r>
    </w:p>
    <w:p w14:paraId="698B25D6" w14:textId="77777777" w:rsidR="004B2808" w:rsidRDefault="00000000">
      <w:r>
        <w:t>Il s'agit de la finition des costières des baies de fenêtres de toiture (fenêtres de pan de toiture / coupoles) dans les toitures plates ou inclinées, y compris le lattage en bois et les bandes de revêtement prévues.</w:t>
      </w:r>
    </w:p>
    <w:p w14:paraId="1A376966" w14:textId="77777777" w:rsidR="004B2808" w:rsidRDefault="00000000">
      <w:r>
        <w:rPr>
          <w:b/>
          <w:sz w:val="24"/>
        </w:rPr>
        <w:t>Habillage / fenêtres extérieures</w:t>
      </w:r>
    </w:p>
    <w:p w14:paraId="5AD31BAF" w14:textId="77777777" w:rsidR="004B2808" w:rsidRDefault="00000000">
      <w:r>
        <w:t>Il s'agit de la fourniture et de la pose de tous les matériaux en vue de la réalisation d'une finition soignée des ébrasements des baies de fenêtres, y compris la structure en bois, l'isolation prescrite, les bandes d'habillage et les couvre-joints.</w:t>
      </w:r>
    </w:p>
    <w:p w14:paraId="6FD9FA2A" w14:textId="77777777" w:rsidR="004B2808" w:rsidRDefault="00000000">
      <w:r>
        <w:t>Le resserrage des fenêtres est conforme à la [NIT 283].</w:t>
      </w:r>
    </w:p>
    <w:p w14:paraId="185F0530" w14:textId="77777777" w:rsidR="004B2808" w:rsidRDefault="00000000">
      <w:pPr>
        <w:ind w:left="750"/>
      </w:pPr>
      <w:r>
        <w:t> </w:t>
      </w:r>
    </w:p>
    <w:p w14:paraId="1056B385" w14:textId="77777777" w:rsidR="004B2808" w:rsidRDefault="00000000">
      <w:pPr>
        <w:pStyle w:val="pheading"/>
      </w:pPr>
      <w:r>
        <w:t>- Remarques importantes</w:t>
      </w:r>
    </w:p>
    <w:p w14:paraId="6931A7D1" w14:textId="77777777" w:rsidR="004B2808" w:rsidRDefault="00000000">
      <w:r>
        <w:t>Attention : L'habillage des caisses à volets est prévu en option séparée ou doit être décrit séparément.</w:t>
      </w:r>
    </w:p>
    <w:p w14:paraId="30FFE71A" w14:textId="77777777" w:rsidR="004B2808" w:rsidRDefault="00000000">
      <w:pPr>
        <w:pStyle w:val="pheading"/>
      </w:pPr>
      <w:r>
        <w:t>EXÉCUTION / MISE EN ŒUVRE</w:t>
      </w:r>
    </w:p>
    <w:p w14:paraId="645192AE" w14:textId="77777777" w:rsidR="004B2808" w:rsidRDefault="00000000">
      <w:r>
        <w:rPr>
          <w:b/>
          <w:sz w:val="24"/>
        </w:rPr>
        <w:t>    Habillage / baies de fenêtres de toiture</w:t>
      </w:r>
    </w:p>
    <w:p w14:paraId="28750CEE" w14:textId="77777777" w:rsidR="004B2808" w:rsidRDefault="00000000">
      <w:r>
        <w:t>La finition de l'ouverture pour la fenêtre de toiture est constituée d'un caisson</w:t>
      </w:r>
      <w:r>
        <w:rPr>
          <w:rStyle w:val="optioncarChar"/>
        </w:rPr>
        <w:t> rectangulaire</w:t>
      </w:r>
      <w:r>
        <w:t> (par défaut)</w:t>
      </w:r>
      <w:r>
        <w:rPr>
          <w:rStyle w:val="optioncarChar"/>
        </w:rPr>
        <w:t xml:space="preserve"> / oblique / ***</w:t>
      </w:r>
      <w:r>
        <w:t xml:space="preserve"> . </w:t>
      </w:r>
      <w:r>
        <w:br/>
        <w:t>Un col pare-vapeur en polyéthylène, avec joint butyle, clips de montage sertis et ruban adhésif est placé pour une liaison parfaite avec le pare-vapeur de la toiture ( produit dimensionné au format de la fenêtre de toit).</w:t>
      </w:r>
    </w:p>
    <w:p w14:paraId="2D7DD9A2" w14:textId="77777777" w:rsidR="004B2808" w:rsidRDefault="00000000">
      <w:r>
        <w:rPr>
          <w:b/>
          <w:sz w:val="24"/>
        </w:rPr>
        <w:t>    Habillage / fenêtres extérieures</w:t>
      </w:r>
    </w:p>
    <w:p w14:paraId="5012E727" w14:textId="77777777" w:rsidR="004B2808" w:rsidRDefault="00000000">
      <w:pPr>
        <w:pStyle w:val="Author-eListParagraph"/>
        <w:numPr>
          <w:ilvl w:val="0"/>
          <w:numId w:val="1124"/>
        </w:numPr>
      </w:pPr>
      <w:r>
        <w:t>Les ouvertures dans le gros-œuvre qui sont destinées à être revêtues d'un habillage doivent se situer de telle façon dans le mur qu'un habillage complet puisse être mis en place.</w:t>
      </w:r>
    </w:p>
    <w:p w14:paraId="003AB211" w14:textId="77777777" w:rsidR="004B2808" w:rsidRDefault="00000000">
      <w:pPr>
        <w:pStyle w:val="Author-eListParagraph"/>
        <w:numPr>
          <w:ilvl w:val="0"/>
          <w:numId w:val="1124"/>
        </w:numPr>
      </w:pPr>
      <w:r>
        <w:t>Les ébrasements des ouvrages en maçonnerie sont revêtus d'un encadrement de fenêtre en bois, posé dans la rainure du châssis par assemblage à rainures et languettes. L'encadrement est indirectement cloué aux blochets de mur par interposition de lattes de réglage.</w:t>
      </w:r>
    </w:p>
    <w:p w14:paraId="66CDE30E" w14:textId="77777777" w:rsidR="004B2808" w:rsidRDefault="00000000">
      <w:pPr>
        <w:pStyle w:val="Author-eListParagraph"/>
        <w:numPr>
          <w:ilvl w:val="0"/>
          <w:numId w:val="1124"/>
        </w:numPr>
      </w:pPr>
      <w:r>
        <w:t>L'encadrement est posé à fleur avec la face du mur. L'ouverture entre la planche et le mur est fermée par une moulure. Dans les angles, ces moulures sont coupées à onglet.</w:t>
      </w:r>
    </w:p>
    <w:p w14:paraId="038C88BA" w14:textId="77777777" w:rsidR="004B2808" w:rsidRDefault="00000000">
      <w:pPr>
        <w:pStyle w:val="Author-eListParagraph"/>
        <w:numPr>
          <w:ilvl w:val="0"/>
          <w:numId w:val="1124"/>
        </w:numPr>
      </w:pPr>
      <w:r>
        <w:t xml:space="preserve">Avant la pose du revêtement, l'espace entre l'encadrement et le gros-œuvre doit être isolé au moyen </w:t>
      </w:r>
      <w:r>
        <w:rPr>
          <w:rStyle w:val="optioncarChar"/>
        </w:rPr>
        <w:t>de polyuréthane appliqué au pistolet</w:t>
      </w:r>
      <w:r>
        <w:t xml:space="preserve"> (par défaut)</w:t>
      </w:r>
      <w:r>
        <w:rPr>
          <w:rStyle w:val="optioncarChar"/>
        </w:rPr>
        <w:t> / laine minérale / ***</w:t>
      </w:r>
      <w:r>
        <w:t xml:space="preserve"> afin d'assurer une bonne isolation thermique et acoustique. L'objectif est d'obtenir un ouvrage bien isolé et sans courants d'air; les ponts thermiques sont évités en veillant à ce qu' il n'y ait pas de contact direct entre l'isolation et le parement extérieur.</w:t>
      </w:r>
    </w:p>
    <w:p w14:paraId="4165F401" w14:textId="77777777" w:rsidR="004B2808" w:rsidRDefault="00000000">
      <w:pPr>
        <w:pStyle w:val="Author-eSectionHeading5Numberless"/>
      </w:pPr>
      <w:bookmarkStart w:id="1246" w:name="_Toc220491370"/>
      <w:r>
        <w:t>55.51.1 Habillage de fenêtres en plaques de plâtre enrobées de carton CCTB 01.02</w:t>
      </w:r>
      <w:bookmarkEnd w:id="1246"/>
    </w:p>
    <w:p w14:paraId="7F4E992F" w14:textId="77777777" w:rsidR="004B2808" w:rsidRDefault="00000000">
      <w:pPr>
        <w:pStyle w:val="Author-eSectionHeading6Numberless"/>
      </w:pPr>
      <w:bookmarkStart w:id="1247" w:name="_Toc220491371"/>
      <w:r>
        <w:t>55.51.1a Habillage de fenêtres en plaques de plâtre enrobées de carton CCTB 01.10</w:t>
      </w:r>
      <w:bookmarkEnd w:id="1247"/>
    </w:p>
    <w:p w14:paraId="0557A394" w14:textId="77777777" w:rsidR="004B2808" w:rsidRDefault="00000000">
      <w:pPr>
        <w:pStyle w:val="pheading"/>
      </w:pPr>
      <w:r>
        <w:t>MATÉRIAUX</w:t>
      </w:r>
    </w:p>
    <w:p w14:paraId="0E2B0FDA" w14:textId="77777777" w:rsidR="004B2808" w:rsidRDefault="00000000">
      <w:pPr>
        <w:pStyle w:val="pheading"/>
      </w:pPr>
      <w:r>
        <w:t>- Caractéristiques générales</w:t>
      </w:r>
    </w:p>
    <w:p w14:paraId="250BE2AF" w14:textId="77777777" w:rsidR="004B2808" w:rsidRDefault="00000000">
      <w:r>
        <w:t>Les plaques de plâtre enrobées de carton ordinaire se composent d'une âme en plâtre dont les deux faces sont revêtues d'un carton gris clair résistant. Elles doivent satisfaire aux exigences de qualité de la norme [NBN EN 520+A1] . En raison des risques élevés d'humidité, on prévoit pour les ouvertures de fenêtre de toiture des plaques de plâtre enrobées de carton avec une résistance à l'eau améliorée et un faible pouvoir absorbant (l'âme en plâtre est alors traitée avec une émulsion au bitume et revêtue de carton à marquage et/ou couleur spécifiques ).</w:t>
      </w:r>
    </w:p>
    <w:p w14:paraId="540407CC" w14:textId="77777777" w:rsidR="004B2808" w:rsidRDefault="00000000">
      <w:pPr>
        <w:pStyle w:val="heading"/>
      </w:pPr>
      <w:r>
        <w:lastRenderedPageBreak/>
        <w:t>Spécifications</w:t>
      </w:r>
    </w:p>
    <w:p w14:paraId="39AC0E1A" w14:textId="77777777" w:rsidR="004B2808" w:rsidRDefault="00000000">
      <w:pPr>
        <w:pStyle w:val="Author-eListParagraph"/>
        <w:numPr>
          <w:ilvl w:val="0"/>
          <w:numId w:val="1125"/>
        </w:numPr>
      </w:pPr>
      <w:r>
        <w:t xml:space="preserve">Epaisseur : </w:t>
      </w:r>
      <w:r>
        <w:rPr>
          <w:rStyle w:val="optioncarChar"/>
        </w:rPr>
        <w:t>9,5 </w:t>
      </w:r>
      <w:r>
        <w:t>(par défaut)</w:t>
      </w:r>
      <w:r>
        <w:rPr>
          <w:rStyle w:val="optioncarChar"/>
        </w:rPr>
        <w:t xml:space="preserve"> / 12,5 / ***</w:t>
      </w:r>
      <w:r>
        <w:t xml:space="preserve"> mm</w:t>
      </w:r>
    </w:p>
    <w:p w14:paraId="18A5D1FD" w14:textId="77777777" w:rsidR="004B2808" w:rsidRDefault="00000000">
      <w:pPr>
        <w:pStyle w:val="Author-eListParagraph"/>
        <w:numPr>
          <w:ilvl w:val="0"/>
          <w:numId w:val="1125"/>
        </w:numPr>
      </w:pPr>
      <w:r>
        <w:t xml:space="preserve">Matériau d'isolation : </w:t>
      </w:r>
      <w:r>
        <w:rPr>
          <w:rStyle w:val="optioncarChar"/>
        </w:rPr>
        <w:t>laine minérale</w:t>
      </w:r>
      <w:r>
        <w:t> (par défaut)</w:t>
      </w:r>
      <w:r>
        <w:rPr>
          <w:rStyle w:val="optioncarChar"/>
        </w:rPr>
        <w:t xml:space="preserve"> / ***</w:t>
      </w:r>
    </w:p>
    <w:p w14:paraId="2C75A8E2" w14:textId="77777777" w:rsidR="004B2808" w:rsidRDefault="00000000">
      <w:pPr>
        <w:pStyle w:val="pheading"/>
      </w:pPr>
      <w:r>
        <w:t>EXÉCUTION / MISE EN ŒUVRE</w:t>
      </w:r>
    </w:p>
    <w:p w14:paraId="38DCB500" w14:textId="77777777" w:rsidR="004B2808" w:rsidRDefault="00000000">
      <w:pPr>
        <w:pStyle w:val="pheading"/>
      </w:pPr>
      <w:r>
        <w:t>- Prescriptions générales</w:t>
      </w:r>
    </w:p>
    <w:p w14:paraId="0618A51C" w14:textId="77777777" w:rsidR="004B2808" w:rsidRDefault="00000000">
      <w:r>
        <w:t xml:space="preserve">L'habillage des ouvertures de fenêtres de toiture est effectué conformément aux prescriptions d'exécution de l'article </w:t>
      </w:r>
      <w:hyperlink w:anchor="1348" w:history="1">
        <w:r w:rsidR="004B2808">
          <w:rPr>
            <w:color w:val="0000EE"/>
          </w:rPr>
          <w:t>51.31 Cloisons à système monobloc (dont cloisons frigorifiques)</w:t>
        </w:r>
      </w:hyperlink>
      <w:r>
        <w:t xml:space="preserve"> revêtements de plafonds - plâtre enrobé de carton / habillage des pans de toitures inclinées. L'habillage se compose d'un caisson rectangulaire / oblique conformément aux coupes sur les plans. L'habillage est indirectement fixé aux chevrons à l'aide de cales appropriées en PNB ou conformément aux indications sur les dessins de détail. Toutes les ouvertures et les creux sont remplis de laine minérale. L'habillage est parachevé sans joints apparents (à peindre ou à tapisser ultérieurement). Sur tous les angles saillants, on fixe des cornières de protection aux angles arrondis et ailes en fin métal déployé. Les angles rentrants et les joints sont parachevés avec des bandes de recouvrement et enduits en même temps que les têtes de vis avec un matériau approprié.</w:t>
      </w:r>
    </w:p>
    <w:p w14:paraId="7A82CA0E" w14:textId="77777777" w:rsidR="004B2808" w:rsidRDefault="00000000">
      <w:pPr>
        <w:pStyle w:val="pheading"/>
      </w:pPr>
      <w:r>
        <w:t>MESURAGE</w:t>
      </w:r>
    </w:p>
    <w:p w14:paraId="068E85B5" w14:textId="77777777" w:rsidR="004B2808" w:rsidRDefault="00000000">
      <w:r>
        <w:t>Conformément aux indications spécifiques dans le cahier spécial des charges et/ou le métré récapitulatif, le mesurage doit être conçu comme suit :</w:t>
      </w:r>
    </w:p>
    <w:p w14:paraId="24AC25BB" w14:textId="77777777" w:rsidR="004B2808" w:rsidRDefault="00000000">
      <w:pPr>
        <w:pStyle w:val="pheading"/>
      </w:pPr>
      <w:r>
        <w:t>- unité de mesure:</w:t>
      </w:r>
    </w:p>
    <w:p w14:paraId="7B303A84" w14:textId="77777777" w:rsidR="004B2808" w:rsidRDefault="00000000">
      <w:r>
        <w:rPr>
          <w:rStyle w:val="optioncarChar"/>
        </w:rPr>
        <w:t>-</w:t>
      </w:r>
      <w:r>
        <w:t> (par défaut)</w:t>
      </w:r>
      <w:r>
        <w:rPr>
          <w:rStyle w:val="optioncarChar"/>
        </w:rPr>
        <w:t xml:space="preserve"> / m²</w:t>
      </w:r>
      <w:r>
        <w:t> </w:t>
      </w:r>
      <w:r>
        <w:rPr>
          <w:rStyle w:val="optioncarChar"/>
        </w:rPr>
        <w:t>/ p / m</w:t>
      </w:r>
    </w:p>
    <w:p w14:paraId="0441D404" w14:textId="77777777" w:rsidR="004B2808" w:rsidRDefault="00000000">
      <w:pPr>
        <w:pStyle w:val="pheading"/>
      </w:pPr>
      <w:r>
        <w:t>- code de mesurage:</w:t>
      </w:r>
    </w:p>
    <w:p w14:paraId="6C6F4CE1" w14:textId="77777777" w:rsidR="004B2808" w:rsidRDefault="00000000">
      <w:r>
        <w:rPr>
          <w:rStyle w:val="optioncarChar"/>
        </w:rPr>
        <w:t>Compris dans le prix des revêtements de surface de la paroi; à titre de compensation, la surface des ouvertures de fenêtres n'est pas déduite</w:t>
      </w:r>
      <w:r>
        <w:t> (par défaut)</w:t>
      </w:r>
      <w:r>
        <w:rPr>
          <w:rStyle w:val="optioncarChar"/>
        </w:rPr>
        <w:t xml:space="preserve"> /   Surface nette à exécuter. /  Selon les dimensions, éventuellement ventilé selon le type /  Longueur nette à exécuter, éventuellement ventilé selon la largeur de bande d'habillage / ***</w:t>
      </w:r>
    </w:p>
    <w:p w14:paraId="04E5531F" w14:textId="77777777" w:rsidR="004B2808" w:rsidRDefault="00000000">
      <w:pPr>
        <w:pStyle w:val="pheading"/>
      </w:pPr>
      <w:r>
        <w:t>- nature du marché:</w:t>
      </w:r>
    </w:p>
    <w:p w14:paraId="6CB277A5" w14:textId="77777777" w:rsidR="004B2808" w:rsidRDefault="00000000">
      <w:r>
        <w:rPr>
          <w:color w:val="FF0000"/>
        </w:rPr>
        <w:t>PM</w:t>
      </w:r>
      <w:r>
        <w:t xml:space="preserve"> (par défaut)</w:t>
      </w:r>
      <w:r>
        <w:rPr>
          <w:rStyle w:val="optioncarChar"/>
        </w:rPr>
        <w:t xml:space="preserve"> / QF</w:t>
      </w:r>
    </w:p>
    <w:p w14:paraId="15A4D54D" w14:textId="77777777" w:rsidR="004B2808" w:rsidRDefault="00000000">
      <w:pPr>
        <w:pStyle w:val="Author-eSectionHeading5Numberless"/>
      </w:pPr>
      <w:bookmarkStart w:id="1248" w:name="_Toc220491372"/>
      <w:r>
        <w:t>55.51.2 Habillage de fenêtres en bois CCTB 01.02</w:t>
      </w:r>
      <w:bookmarkEnd w:id="1248"/>
    </w:p>
    <w:p w14:paraId="6F97B539" w14:textId="77777777" w:rsidR="004B2808" w:rsidRDefault="00000000">
      <w:pPr>
        <w:pStyle w:val="Author-eSectionHeading6Numberless"/>
      </w:pPr>
      <w:bookmarkStart w:id="1249" w:name="_Toc220491373"/>
      <w:r>
        <w:t>55.51.2a Habillage de fenêtres en bois CCTB 01.11</w:t>
      </w:r>
      <w:bookmarkEnd w:id="1249"/>
    </w:p>
    <w:p w14:paraId="2A104C23" w14:textId="77777777" w:rsidR="004B2808" w:rsidRDefault="00000000">
      <w:pPr>
        <w:pStyle w:val="pheading"/>
      </w:pPr>
      <w:bookmarkStart w:id="1250" w:name="1306"/>
      <w:bookmarkEnd w:id="1250"/>
      <w:r>
        <w:t>MATÉRIAUX</w:t>
      </w:r>
    </w:p>
    <w:p w14:paraId="4E459B14" w14:textId="77777777" w:rsidR="004B2808" w:rsidRDefault="00000000">
      <w:pPr>
        <w:pStyle w:val="pheading"/>
      </w:pPr>
      <w:r>
        <w:t>- Caractéristiques générales</w:t>
      </w:r>
    </w:p>
    <w:p w14:paraId="5F5B293A" w14:textId="77777777" w:rsidR="004B2808" w:rsidRDefault="00000000">
      <w:pPr>
        <w:pStyle w:val="heading"/>
      </w:pPr>
      <w:r>
        <w:t>Spécifications</w:t>
      </w:r>
    </w:p>
    <w:p w14:paraId="4749838A" w14:textId="77777777" w:rsidR="004B2808" w:rsidRDefault="00000000">
      <w:pPr>
        <w:pStyle w:val="Author-eListParagraph"/>
        <w:numPr>
          <w:ilvl w:val="0"/>
          <w:numId w:val="1126"/>
        </w:numPr>
      </w:pPr>
      <w:r>
        <w:t xml:space="preserve">Epaisseur des panneaux : minimum </w:t>
      </w:r>
      <w:r>
        <w:rPr>
          <w:rStyle w:val="optioncarChar"/>
        </w:rPr>
        <w:t>12</w:t>
      </w:r>
      <w:r>
        <w:t> (par défaut)</w:t>
      </w:r>
      <w:r>
        <w:rPr>
          <w:rStyle w:val="optioncarChar"/>
        </w:rPr>
        <w:t xml:space="preserve"> / 15 / 18 / *** </w:t>
      </w:r>
      <w:r>
        <w:t>mm</w:t>
      </w:r>
    </w:p>
    <w:p w14:paraId="6A482D6E" w14:textId="77777777" w:rsidR="004B2808" w:rsidRDefault="00000000">
      <w:pPr>
        <w:pStyle w:val="Author-eListParagraph"/>
        <w:numPr>
          <w:ilvl w:val="0"/>
          <w:numId w:val="1126"/>
        </w:numPr>
      </w:pPr>
      <w:r>
        <w:t>Classe de collage :</w:t>
      </w:r>
      <w:r>
        <w:rPr>
          <w:rStyle w:val="optioncarChar"/>
        </w:rPr>
        <w:t> résistant aux intempéries et à la chaleur, type 72-100 (WBP)</w:t>
      </w:r>
      <w:r>
        <w:t> (par défaut)</w:t>
      </w:r>
      <w:r>
        <w:rPr>
          <w:rStyle w:val="optioncarChar"/>
        </w:rPr>
        <w:t xml:space="preserve"> / ***</w:t>
      </w:r>
    </w:p>
    <w:p w14:paraId="6E03CF2B" w14:textId="77777777" w:rsidR="004B2808" w:rsidRDefault="00000000">
      <w:pPr>
        <w:pStyle w:val="Author-eListParagraph"/>
        <w:numPr>
          <w:ilvl w:val="0"/>
          <w:numId w:val="1126"/>
        </w:numPr>
      </w:pPr>
      <w:r>
        <w:t>Couvre-joint : section  </w:t>
      </w:r>
      <w:r>
        <w:rPr>
          <w:rStyle w:val="optioncarChar"/>
        </w:rPr>
        <w:t>60 x 14</w:t>
      </w:r>
      <w:r>
        <w:t xml:space="preserve"> (par défaut)</w:t>
      </w:r>
      <w:r>
        <w:rPr>
          <w:rStyle w:val="optioncarChar"/>
        </w:rPr>
        <w:t> / ***</w:t>
      </w:r>
      <w:r>
        <w:t xml:space="preserve"> mm. Profil : </w:t>
      </w:r>
      <w:r>
        <w:rPr>
          <w:rStyle w:val="optioncarChar"/>
        </w:rPr>
        <w:t>arrondi</w:t>
      </w:r>
      <w:r>
        <w:t> (par défaut) </w:t>
      </w:r>
      <w:r>
        <w:rPr>
          <w:rStyle w:val="optioncarChar"/>
        </w:rPr>
        <w:t>/ *** </w:t>
      </w:r>
      <w:r>
        <w:t xml:space="preserve">. Dans les angles, les couvre-joints sont sciés à onglet. Essence de bois : </w:t>
      </w:r>
      <w:r>
        <w:rPr>
          <w:rStyle w:val="optioncarChar"/>
        </w:rPr>
        <w:t>PNG</w:t>
      </w:r>
      <w:r>
        <w:t> (par défaut)</w:t>
      </w:r>
      <w:r>
        <w:rPr>
          <w:rStyle w:val="optioncarChar"/>
        </w:rPr>
        <w:t xml:space="preserve"> / Dark Red Meranti / ***</w:t>
      </w:r>
    </w:p>
    <w:p w14:paraId="232F8847" w14:textId="77777777" w:rsidR="004B2808" w:rsidRDefault="00000000">
      <w:pPr>
        <w:pStyle w:val="Author-eListParagraph"/>
        <w:numPr>
          <w:ilvl w:val="0"/>
          <w:numId w:val="1126"/>
        </w:numPr>
      </w:pPr>
      <w:r>
        <w:t xml:space="preserve">Matériau d'isolation : rempli de </w:t>
      </w:r>
      <w:r>
        <w:rPr>
          <w:rStyle w:val="optioncarChar"/>
        </w:rPr>
        <w:t>polyuréthane</w:t>
      </w:r>
      <w:r>
        <w:t> (par défaut)</w:t>
      </w:r>
      <w:r>
        <w:rPr>
          <w:rStyle w:val="optioncarChar"/>
        </w:rPr>
        <w:t xml:space="preserve"> / laine minérale / ***</w:t>
      </w:r>
    </w:p>
    <w:p w14:paraId="718BD5BF" w14:textId="77777777" w:rsidR="004B2808" w:rsidRDefault="00000000">
      <w:pPr>
        <w:spacing w:before="0" w:after="0"/>
      </w:pPr>
      <w:r>
        <w:rPr>
          <w:b/>
        </w:rPr>
        <w:t>Baies de fenêtre - bois</w:t>
      </w:r>
    </w:p>
    <w:p w14:paraId="1C93E4F1" w14:textId="77777777" w:rsidR="004B2808" w:rsidRDefault="00000000">
      <w:r>
        <w:t>L'habillage des fenêtres de toiture / coupoles sera exécuté</w:t>
      </w:r>
    </w:p>
    <w:p w14:paraId="70C2C265" w14:textId="77777777" w:rsidR="004B2808" w:rsidRDefault="00000000">
      <w:r>
        <w:rPr>
          <w:b/>
        </w:rPr>
        <w:t>OPTION 1</w:t>
      </w:r>
      <w:r>
        <w:t xml:space="preserve"> : en lames de bois massif </w:t>
      </w:r>
      <w:r>
        <w:br/>
        <w:t xml:space="preserve">- Essence : </w:t>
      </w:r>
      <w:r>
        <w:rPr>
          <w:rStyle w:val="optioncarChar"/>
        </w:rPr>
        <w:t>Sapin Rouge du Nord </w:t>
      </w:r>
      <w:r>
        <w:t>(par défaut)</w:t>
      </w:r>
      <w:r>
        <w:rPr>
          <w:rStyle w:val="optioncarChar"/>
        </w:rPr>
        <w:t xml:space="preserve"> / ***</w:t>
      </w:r>
      <w:r>
        <w:br/>
        <w:t xml:space="preserve">- Protection du bois : une couche de fond protège le bois contre la pourriture et les insectes; elle est </w:t>
      </w:r>
      <w:r>
        <w:lastRenderedPageBreak/>
        <w:t>appliquée sur toutes les faces avant la mise en place; cette couche de fond doit être compatible avec les finitions de peinture ultérieures</w:t>
      </w:r>
      <w:r>
        <w:br/>
      </w:r>
      <w:r>
        <w:rPr>
          <w:b/>
        </w:rPr>
        <w:t>OPTION 2</w:t>
      </w:r>
      <w:r>
        <w:t xml:space="preserve"> : en plaques de contre-plaqué conformément aux spécifications de la norme [NBN EN 636+A1] et finition de type</w:t>
      </w:r>
      <w:r>
        <w:rPr>
          <w:rStyle w:val="optioncarChar"/>
        </w:rPr>
        <w:t> I </w:t>
      </w:r>
      <w:r>
        <w:t>(par défaut)</w:t>
      </w:r>
      <w:r>
        <w:rPr>
          <w:rStyle w:val="optioncarChar"/>
        </w:rPr>
        <w:t xml:space="preserve"> / II / ***</w:t>
      </w:r>
      <w:r>
        <w:t xml:space="preserve"> selon la [NBN EN 635 série].</w:t>
      </w:r>
      <w:r>
        <w:br/>
        <w:t xml:space="preserve">- Classe de colle : </w:t>
      </w:r>
      <w:r>
        <w:rPr>
          <w:rStyle w:val="optioncarChar"/>
        </w:rPr>
        <w:t>type 72-100 (WBP)</w:t>
      </w:r>
      <w:r>
        <w:t> (par défaut) </w:t>
      </w:r>
      <w:r>
        <w:rPr>
          <w:rStyle w:val="optioncarChar"/>
        </w:rPr>
        <w:t>/ ***</w:t>
      </w:r>
      <w:r>
        <w:br/>
        <w:t xml:space="preserve">- Finition de la couche de placage extérieure : </w:t>
      </w:r>
      <w:r>
        <w:rPr>
          <w:rStyle w:val="optioncarChar"/>
        </w:rPr>
        <w:t xml:space="preserve">*** </w:t>
      </w:r>
      <w:r>
        <w:br/>
        <w:t>- Finition de la surface :</w:t>
      </w:r>
      <w:r>
        <w:br/>
      </w:r>
      <w:r>
        <w:rPr>
          <w:b/>
        </w:rPr>
        <w:t>OPTION 3</w:t>
      </w:r>
      <w:r>
        <w:t xml:space="preserve">: au moyen de plaques stratifiées imprégnées de résine mélamine décorative sous haute pression, selon la [NBN EN 438-7], de la classe HPL-EN 438 - S333 ou HPL-EN 438 - HGS, Type S avec une résistance à l'usure 3, une résistance aux chocs 3 et une résistance aux rayures 3. Epaisseur minimale </w:t>
      </w:r>
      <w:r>
        <w:rPr>
          <w:rStyle w:val="optioncarChar"/>
        </w:rPr>
        <w:t>0,8</w:t>
      </w:r>
      <w:r>
        <w:t> (par défaut)</w:t>
      </w:r>
      <w:r>
        <w:rPr>
          <w:rStyle w:val="optioncarChar"/>
        </w:rPr>
        <w:t> / ***  mm</w:t>
      </w:r>
      <w:r>
        <w:t xml:space="preserve">. Aspect : </w:t>
      </w:r>
      <w:r>
        <w:rPr>
          <w:rStyle w:val="optioncarChar"/>
        </w:rPr>
        <w:t>couleur unie, surface légèrement structurée</w:t>
      </w:r>
      <w:r>
        <w:t> (par défaut)</w:t>
      </w:r>
      <w:r>
        <w:rPr>
          <w:rStyle w:val="optioncarChar"/>
        </w:rPr>
        <w:t xml:space="preserve"> / choix de la couleur parmi au moins 50 coloris / ***.</w:t>
      </w:r>
      <w:r>
        <w:br/>
      </w:r>
      <w:r>
        <w:rPr>
          <w:b/>
        </w:rPr>
        <w:t>OPTION 4</w:t>
      </w:r>
      <w:r>
        <w:t xml:space="preserve"> : en MDF (Medium Density Fiberboard) / MDFH selon les prescriptions de la norme [NBN EN 622-5].</w:t>
      </w:r>
      <w:r>
        <w:br/>
      </w:r>
      <w:r>
        <w:rPr>
          <w:b/>
        </w:rPr>
        <w:t>OPTION 5</w:t>
      </w:r>
      <w:r>
        <w:t xml:space="preserve"> : en panneaux de particules de type </w:t>
      </w:r>
      <w:r>
        <w:rPr>
          <w:rStyle w:val="optioncarChar"/>
        </w:rPr>
        <w:t>P2</w:t>
      </w:r>
      <w:r>
        <w:t> (par défaut)</w:t>
      </w:r>
      <w:r>
        <w:rPr>
          <w:rStyle w:val="optioncarChar"/>
        </w:rPr>
        <w:t xml:space="preserve"> / P3 / P5 / ***</w:t>
      </w:r>
      <w:r>
        <w:br/>
      </w:r>
      <w:r>
        <w:rPr>
          <w:b/>
        </w:rPr>
        <w:t>Choix opéré</w:t>
      </w:r>
      <w:r>
        <w:t xml:space="preserve"> :</w:t>
      </w:r>
      <w:r>
        <w:rPr>
          <w:rStyle w:val="optioncarChar"/>
        </w:rPr>
        <w:t xml:space="preserve"> *** / OPTION 1 (lames de bois)</w:t>
      </w:r>
      <w:r>
        <w:t xml:space="preserve"> (par défaut) </w:t>
      </w:r>
      <w:r>
        <w:rPr>
          <w:rStyle w:val="optioncarChar"/>
        </w:rPr>
        <w:t>/ OPTION 2 (plaques de contre-plaqué) / OPTION 3 (plaques stratifiées) / OPTION 4 (MDF) / OPTION 5 (panneaux de particules) / ***</w:t>
      </w:r>
    </w:p>
    <w:p w14:paraId="7AA89C84" w14:textId="77777777" w:rsidR="004B2808" w:rsidRDefault="00000000">
      <w:pPr>
        <w:pStyle w:val="pheading"/>
      </w:pPr>
      <w:r>
        <w:t>- Finitions</w:t>
      </w:r>
    </w:p>
    <w:p w14:paraId="31896FA9" w14:textId="77777777" w:rsidR="004B2808" w:rsidRDefault="00000000">
      <w:r>
        <w:t>Couches de finition: voir l'article 81.2 Peintures intérieures sur subjectiles en bois et dérivés du bois (feuillus, résineux, bois exotiques, panneaux)</w:t>
      </w:r>
    </w:p>
    <w:p w14:paraId="008D7C0B" w14:textId="77777777" w:rsidR="004B2808" w:rsidRDefault="00000000">
      <w:pPr>
        <w:pStyle w:val="pheading"/>
      </w:pPr>
      <w:r>
        <w:t>EXÉCUTION / MISE EN ŒUVRE</w:t>
      </w:r>
    </w:p>
    <w:p w14:paraId="4EDC56B6" w14:textId="77777777" w:rsidR="004B2808" w:rsidRDefault="00000000">
      <w:pPr>
        <w:pStyle w:val="pheading"/>
      </w:pPr>
      <w:r>
        <w:t>- Prescriptions générales</w:t>
      </w:r>
    </w:p>
    <w:p w14:paraId="75F75E1B" w14:textId="77777777" w:rsidR="004B2808" w:rsidRDefault="00000000">
      <w:r>
        <w:t>Les têtes de clous/vis sont enfoncées et les trous seront obturés à l'aide de pâte à bois.</w:t>
      </w:r>
    </w:p>
    <w:p w14:paraId="2DE21CE2" w14:textId="77777777" w:rsidR="004B2808" w:rsidRDefault="00000000">
      <w:r>
        <w:rPr>
          <w:b/>
          <w:sz w:val="24"/>
        </w:rPr>
        <w:t>Baies de fenêtre de toiture - bois</w:t>
      </w:r>
    </w:p>
    <w:p w14:paraId="567AD34E" w14:textId="77777777" w:rsidR="004B2808" w:rsidRDefault="00000000">
      <w:r>
        <w:t xml:space="preserve">L'habillage des ouvertures de fenêtre de toiture se compose d'un caisson </w:t>
      </w:r>
      <w:r>
        <w:rPr>
          <w:rStyle w:val="optioncarChar"/>
        </w:rPr>
        <w:t>rectangulaire</w:t>
      </w:r>
      <w:r>
        <w:t> (par défaut)</w:t>
      </w:r>
      <w:r>
        <w:rPr>
          <w:rStyle w:val="optioncarChar"/>
        </w:rPr>
        <w:t> / oblique / *** </w:t>
      </w:r>
      <w:r>
        <w:t>conformément aux coupes sur les plans. Avant la fixation des plaques, tous les vides sont remplis de laine minérale. L'habillage est indirectement fixé aux chevrons à l'aide de cales appropriées en PNG.</w:t>
      </w:r>
    </w:p>
    <w:p w14:paraId="410942EF" w14:textId="77777777" w:rsidR="004B2808" w:rsidRDefault="00000000">
      <w:r>
        <w:rPr>
          <w:b/>
          <w:sz w:val="24"/>
        </w:rPr>
        <w:t>Fenêtres extérieures – bois</w:t>
      </w:r>
    </w:p>
    <w:p w14:paraId="1B599E5F" w14:textId="77777777" w:rsidR="004B2808" w:rsidRDefault="00000000">
      <w:r>
        <w:t xml:space="preserve">L'encadrement sera indirectement cloué aux blochets de mur par interposition de lattes de réglage en PNG </w:t>
      </w:r>
      <w:r>
        <w:rPr>
          <w:rStyle w:val="optioncarChar"/>
        </w:rPr>
        <w:t>30 x 60</w:t>
      </w:r>
      <w:r>
        <w:t xml:space="preserve"> (par défaut)</w:t>
      </w:r>
      <w:r>
        <w:rPr>
          <w:rStyle w:val="optioncarChar"/>
        </w:rPr>
        <w:t xml:space="preserve"> / *** </w:t>
      </w:r>
      <w:r>
        <w:t>mm ou conformément aux indications sur les dessins de détail.</w:t>
      </w:r>
    </w:p>
    <w:p w14:paraId="581D6A4B" w14:textId="77777777" w:rsidR="004B2808" w:rsidRDefault="00000000">
      <w:r>
        <w:t>L'encadrement sera posé à fleur avec la face du mur. L'ouverture entre la planche et le mur sera fermée par une moulure. Dans les angles, ces moulures seront coupées à onglet.</w:t>
      </w:r>
    </w:p>
    <w:p w14:paraId="7B839988" w14:textId="77777777" w:rsidR="004B2808" w:rsidRDefault="00000000">
      <w:pPr>
        <w:pStyle w:val="pheading"/>
      </w:pPr>
      <w:r>
        <w:t>- Notes d’exécution complémentaires</w:t>
      </w:r>
    </w:p>
    <w:p w14:paraId="02A5F1E4" w14:textId="77777777" w:rsidR="004B2808" w:rsidRDefault="00000000">
      <w:pPr>
        <w:pStyle w:val="heading"/>
      </w:pPr>
      <w:r>
        <w:t>Fenêtres extérieures – bois</w:t>
      </w:r>
    </w:p>
    <w:p w14:paraId="333D787E" w14:textId="77777777" w:rsidR="004B2808" w:rsidRDefault="00000000">
      <w:pPr>
        <w:pStyle w:val="Author-eListParagraph"/>
        <w:numPr>
          <w:ilvl w:val="0"/>
          <w:numId w:val="1127"/>
        </w:numPr>
      </w:pPr>
      <w:r>
        <w:t>Lorsque les moulures entrent en contact avec le sol, elles sont terminées dans le bas par une latte en bois dur assemblée à la moulure avec une languette. L'ouverture entre la planche et le mur est fermée avec une moulure (profil selon les indications sur les plans de détail).</w:t>
      </w:r>
    </w:p>
    <w:p w14:paraId="58444A3F" w14:textId="77777777" w:rsidR="004B2808" w:rsidRDefault="00000000">
      <w:pPr>
        <w:pStyle w:val="Author-eListParagraph"/>
        <w:numPr>
          <w:ilvl w:val="0"/>
          <w:numId w:val="1127"/>
        </w:numPr>
      </w:pPr>
      <w:r>
        <w:t xml:space="preserve">Pour les fenêtres ouvrantes, il faut prévoir l'espace pour la pose d'un rail à tentures. L'espace minimal à respecter entre le vantail ouvrant et l'encadrement est de : </w:t>
      </w:r>
      <w:r>
        <w:rPr>
          <w:rStyle w:val="optioncarChar"/>
        </w:rPr>
        <w:t>***</w:t>
      </w:r>
    </w:p>
    <w:p w14:paraId="4EE146E0" w14:textId="77777777" w:rsidR="004B2808" w:rsidRDefault="00000000">
      <w:pPr>
        <w:pStyle w:val="Author-eListParagraph"/>
        <w:numPr>
          <w:ilvl w:val="0"/>
          <w:numId w:val="1127"/>
        </w:numPr>
      </w:pPr>
      <w:r>
        <w:t>Caisses à volets intégrées : les dimensions intérieures sont déterminées en fonction du diamètre du tableau du volet enroulé et de l'épaisseur du matériau d'isolation prescrit. Le mécanisme du volet doit toujours rester accessible par panneau dévissable. Type et aspect conformément aux plans de détail).</w:t>
      </w:r>
    </w:p>
    <w:p w14:paraId="3368E01C" w14:textId="77777777" w:rsidR="004B2808" w:rsidRDefault="00000000">
      <w:pPr>
        <w:pStyle w:val="pheading"/>
      </w:pPr>
      <w:r>
        <w:t>MESURAGE</w:t>
      </w:r>
    </w:p>
    <w:p w14:paraId="596A58C1" w14:textId="77777777" w:rsidR="004B2808" w:rsidRDefault="00000000">
      <w:r>
        <w:t>Conformément aux indications spécifiques dans le cahier spécial des charges et/ou le métré récapitulatif, le mesurage doit être conçu comme suit :</w:t>
      </w:r>
    </w:p>
    <w:p w14:paraId="5FDBC1FF" w14:textId="77777777" w:rsidR="004B2808" w:rsidRDefault="00000000">
      <w:pPr>
        <w:pStyle w:val="pheading"/>
      </w:pPr>
      <w:r>
        <w:lastRenderedPageBreak/>
        <w:t>- unité de mesure:</w:t>
      </w:r>
    </w:p>
    <w:p w14:paraId="0CAE4455" w14:textId="77777777" w:rsidR="004B2808" w:rsidRDefault="00000000">
      <w:r>
        <w:rPr>
          <w:rStyle w:val="optioncarChar"/>
        </w:rPr>
        <w:t>m²</w:t>
      </w:r>
      <w:r>
        <w:t xml:space="preserve"> (par défaut)</w:t>
      </w:r>
      <w:r>
        <w:rPr>
          <w:rStyle w:val="optioncarChar"/>
        </w:rPr>
        <w:t> / p / m</w:t>
      </w:r>
    </w:p>
    <w:p w14:paraId="14802B8D" w14:textId="77777777" w:rsidR="004B2808" w:rsidRDefault="00000000">
      <w:pPr>
        <w:pStyle w:val="pheading"/>
      </w:pPr>
      <w:r>
        <w:t>- code de mesurage:</w:t>
      </w:r>
    </w:p>
    <w:p w14:paraId="14137C51" w14:textId="77777777" w:rsidR="004B2808" w:rsidRDefault="00000000">
      <w:r>
        <w:rPr>
          <w:rStyle w:val="optioncarChar"/>
        </w:rPr>
        <w:t>Surface nette à exécuter</w:t>
      </w:r>
      <w:r>
        <w:t> (par défaut)</w:t>
      </w:r>
      <w:r>
        <w:rPr>
          <w:rStyle w:val="optioncarChar"/>
        </w:rPr>
        <w:t> / Selon les dimensions, éventuellement ventilé selon le type /  Longueur nette à exécuter, éventuellement ventilé selon la largeur de bande d'habillage / ***</w:t>
      </w:r>
    </w:p>
    <w:p w14:paraId="4A94FCD4" w14:textId="77777777" w:rsidR="004B2808" w:rsidRDefault="00000000">
      <w:pPr>
        <w:pStyle w:val="pheading"/>
      </w:pPr>
      <w:r>
        <w:t>- nature du marché:</w:t>
      </w:r>
    </w:p>
    <w:p w14:paraId="50B41CD8" w14:textId="77777777" w:rsidR="004B2808" w:rsidRDefault="00000000">
      <w:r>
        <w:t>QF</w:t>
      </w:r>
    </w:p>
    <w:p w14:paraId="28C35D6B" w14:textId="77777777" w:rsidR="004B2808" w:rsidRDefault="00000000">
      <w:pPr>
        <w:pStyle w:val="Author-eSectionHeading5Numberless"/>
      </w:pPr>
      <w:bookmarkStart w:id="1251" w:name="_Toc220491374"/>
      <w:r>
        <w:t>55.51.3 Habillage de fenêtres en matière synthétique CCTB 01.02</w:t>
      </w:r>
      <w:bookmarkEnd w:id="1251"/>
    </w:p>
    <w:p w14:paraId="69E38844" w14:textId="77777777" w:rsidR="004B2808" w:rsidRDefault="00000000">
      <w:pPr>
        <w:pStyle w:val="Author-eSectionHeading6Numberless"/>
      </w:pPr>
      <w:bookmarkStart w:id="1252" w:name="_Toc220491375"/>
      <w:r>
        <w:t>55.51.3a Habillage de fenêtres en matière synthétique CCTB 01.10</w:t>
      </w:r>
      <w:bookmarkEnd w:id="1252"/>
    </w:p>
    <w:p w14:paraId="58EF93F5" w14:textId="77777777" w:rsidR="004B2808" w:rsidRDefault="00000000">
      <w:pPr>
        <w:pStyle w:val="pheading"/>
      </w:pPr>
      <w:bookmarkStart w:id="1253" w:name="940"/>
      <w:bookmarkEnd w:id="1253"/>
      <w:r>
        <w:t>DESCRIPTION</w:t>
      </w:r>
    </w:p>
    <w:p w14:paraId="7A0C167C" w14:textId="77777777" w:rsidR="004B2808" w:rsidRDefault="00000000">
      <w:pPr>
        <w:pStyle w:val="pheading"/>
      </w:pPr>
      <w:r>
        <w:t>- Définition / Comprend</w:t>
      </w:r>
    </w:p>
    <w:p w14:paraId="3CC7963F" w14:textId="77777777" w:rsidR="004B2808" w:rsidRDefault="00000000">
      <w:r>
        <w:t>Habillage à base de :</w:t>
      </w:r>
    </w:p>
    <w:p w14:paraId="4FDBCAD3" w14:textId="77777777" w:rsidR="004B2808" w:rsidRDefault="00000000">
      <w:pPr>
        <w:pStyle w:val="Author-eListParagraph"/>
        <w:numPr>
          <w:ilvl w:val="0"/>
          <w:numId w:val="1128"/>
        </w:numPr>
      </w:pPr>
      <w:r>
        <w:t xml:space="preserve">Matière synthétique/PVC </w:t>
      </w:r>
    </w:p>
    <w:p w14:paraId="3E00D59F" w14:textId="77777777" w:rsidR="004B2808" w:rsidRDefault="00000000">
      <w:pPr>
        <w:pStyle w:val="Author-eListParagraph"/>
        <w:numPr>
          <w:ilvl w:val="0"/>
          <w:numId w:val="1128"/>
        </w:numPr>
      </w:pPr>
      <w:r>
        <w:t>Silicate de calcium  </w:t>
      </w:r>
    </w:p>
    <w:p w14:paraId="41100DDA" w14:textId="77777777" w:rsidR="004B2808" w:rsidRDefault="00000000">
      <w:pPr>
        <w:pStyle w:val="pheading"/>
      </w:pPr>
      <w:r>
        <w:t>MATÉRIAUX</w:t>
      </w:r>
    </w:p>
    <w:p w14:paraId="1FF03CEA" w14:textId="77777777" w:rsidR="004B2808" w:rsidRDefault="00000000">
      <w:pPr>
        <w:pStyle w:val="pheading"/>
      </w:pPr>
      <w:r>
        <w:t>- Caractéristiques générales</w:t>
      </w:r>
    </w:p>
    <w:p w14:paraId="5E5D92E1" w14:textId="77777777" w:rsidR="004B2808" w:rsidRDefault="00000000">
      <w:r>
        <w:rPr>
          <w:b/>
          <w:sz w:val="24"/>
        </w:rPr>
        <w:t>    Fenêtres extérieures</w:t>
      </w:r>
    </w:p>
    <w:p w14:paraId="46D8B295" w14:textId="77777777" w:rsidR="004B2808" w:rsidRDefault="00000000">
      <w:r>
        <w:t>Le revêtement est réalisé en bandes de PVC préfabriquées, antichocs, non plastifiées, adaptées à l'épaisseur du mur. Les châssis, les profils d'habillage et les couvre-joints correspondants proviennent tous du même fabricant et sont de couleur uniforme. Les profils ne présentent aucune griffe ou ébarbure.</w:t>
      </w:r>
    </w:p>
    <w:p w14:paraId="0247C6BD" w14:textId="77777777" w:rsidR="004B2808" w:rsidRDefault="00000000">
      <w:pPr>
        <w:pStyle w:val="heading"/>
      </w:pPr>
      <w:r>
        <w:t>Spécifications</w:t>
      </w:r>
    </w:p>
    <w:p w14:paraId="169FF483" w14:textId="77777777" w:rsidR="004B2808" w:rsidRDefault="00000000">
      <w:pPr>
        <w:pStyle w:val="Author-eListParagraph"/>
        <w:numPr>
          <w:ilvl w:val="0"/>
          <w:numId w:val="1129"/>
        </w:numPr>
      </w:pPr>
      <w:r>
        <w:t xml:space="preserve">Matériau : PVC, coloris : </w:t>
      </w:r>
      <w:r>
        <w:rPr>
          <w:rStyle w:val="optioncarChar"/>
        </w:rPr>
        <w:t>blanc</w:t>
      </w:r>
      <w:r>
        <w:t> (par défaut)</w:t>
      </w:r>
      <w:r>
        <w:rPr>
          <w:rStyle w:val="optioncarChar"/>
        </w:rPr>
        <w:t xml:space="preserve"> / ***</w:t>
      </w:r>
    </w:p>
    <w:p w14:paraId="117413BF" w14:textId="77777777" w:rsidR="004B2808" w:rsidRDefault="00000000">
      <w:pPr>
        <w:pStyle w:val="Author-eListParagraph"/>
        <w:numPr>
          <w:ilvl w:val="0"/>
          <w:numId w:val="1129"/>
        </w:numPr>
      </w:pPr>
      <w:r>
        <w:t xml:space="preserve">Panneaux d'isolation : </w:t>
      </w:r>
      <w:r>
        <w:rPr>
          <w:rStyle w:val="optioncarChar"/>
        </w:rPr>
        <w:t>laine minérale rigide</w:t>
      </w:r>
      <w:r>
        <w:t xml:space="preserve"> (par défaut)</w:t>
      </w:r>
      <w:r>
        <w:rPr>
          <w:rStyle w:val="optioncarChar"/>
        </w:rPr>
        <w:t> / plaques de polyuréthane / plaques de polystyrène / ***</w:t>
      </w:r>
    </w:p>
    <w:p w14:paraId="2D263BD0" w14:textId="77777777" w:rsidR="004B2808" w:rsidRDefault="00000000">
      <w:pPr>
        <w:pStyle w:val="Author-eListParagraph"/>
        <w:numPr>
          <w:ilvl w:val="0"/>
          <w:numId w:val="1129"/>
        </w:numPr>
      </w:pPr>
      <w:r>
        <w:t xml:space="preserve">Epaisseur de l'isolation : </w:t>
      </w:r>
      <w:r>
        <w:rPr>
          <w:rStyle w:val="optioncarChar"/>
        </w:rPr>
        <w:t>30</w:t>
      </w:r>
      <w:r>
        <w:t> (par défaut) </w:t>
      </w:r>
      <w:r>
        <w:rPr>
          <w:rStyle w:val="optioncarChar"/>
        </w:rPr>
        <w:t>/ 40 / 50 / ***</w:t>
      </w:r>
      <w:r>
        <w:t xml:space="preserve"> mm.</w:t>
      </w:r>
    </w:p>
    <w:p w14:paraId="2ED16199" w14:textId="77777777" w:rsidR="004B2808" w:rsidRDefault="00000000">
      <w:pPr>
        <w:pStyle w:val="pheading"/>
      </w:pPr>
      <w:r>
        <w:t>- Prescriptions complémentaires</w:t>
      </w:r>
    </w:p>
    <w:p w14:paraId="3199E58D" w14:textId="77777777" w:rsidR="004B2808" w:rsidRDefault="00000000">
      <w:pPr>
        <w:pStyle w:val="heading"/>
      </w:pPr>
      <w:r>
        <w:t>Fenêtres extérieures</w:t>
      </w:r>
    </w:p>
    <w:p w14:paraId="78082A2F" w14:textId="77777777" w:rsidR="004B2808" w:rsidRDefault="00000000">
      <w:r>
        <w:t xml:space="preserve">Avec les caisses à volets intégrées, non autoportantes en profils préfabriqués. Type et aspect </w:t>
      </w:r>
      <w:r>
        <w:rPr>
          <w:rStyle w:val="optioncarChar"/>
        </w:rPr>
        <w:t>selon le dessin de détail</w:t>
      </w:r>
      <w:r>
        <w:t xml:space="preserve"> (par défaut)</w:t>
      </w:r>
      <w:r>
        <w:rPr>
          <w:rStyle w:val="optioncarChar"/>
        </w:rPr>
        <w:t> / conformément aux informations du fournisseur du système</w:t>
      </w:r>
      <w:r>
        <w:t xml:space="preserve">. Les caisses à volets sont isolées avec un isolant absorbant et de </w:t>
      </w:r>
      <w:r>
        <w:rPr>
          <w:rStyle w:val="optioncarChar"/>
        </w:rPr>
        <w:t>masse</w:t>
      </w:r>
      <w:r>
        <w:t> (par défaut)</w:t>
      </w:r>
      <w:r>
        <w:rPr>
          <w:rStyle w:val="optioncarChar"/>
        </w:rPr>
        <w:t xml:space="preserve"> / laminé de plomb / ***</w:t>
      </w:r>
    </w:p>
    <w:p w14:paraId="6C4756B7" w14:textId="77777777" w:rsidR="004B2808" w:rsidRDefault="00000000">
      <w:pPr>
        <w:pStyle w:val="pheading"/>
      </w:pPr>
      <w:r>
        <w:t>EXÉCUTION / MISE EN ŒUVRE</w:t>
      </w:r>
    </w:p>
    <w:p w14:paraId="07D69E40" w14:textId="77777777" w:rsidR="004B2808" w:rsidRDefault="00000000">
      <w:pPr>
        <w:pStyle w:val="pheading"/>
      </w:pPr>
      <w:r>
        <w:t>- Prescriptions générales</w:t>
      </w:r>
    </w:p>
    <w:p w14:paraId="4F81A2CA" w14:textId="77777777" w:rsidR="004B2808" w:rsidRDefault="00000000">
      <w:r>
        <w:rPr>
          <w:b/>
          <w:sz w:val="24"/>
        </w:rPr>
        <w:t>    Fenêtres extérieures</w:t>
      </w:r>
    </w:p>
    <w:p w14:paraId="3B4EF94C" w14:textId="77777777" w:rsidR="004B2808" w:rsidRDefault="00000000">
      <w:pPr>
        <w:pStyle w:val="Author-eListParagraph"/>
        <w:numPr>
          <w:ilvl w:val="0"/>
          <w:numId w:val="1130"/>
        </w:numPr>
      </w:pPr>
      <w:r>
        <w:t xml:space="preserve">A un nombre suffisant d' endroits, l'encadrement de fenêtre est fixé de manière invisible aux blochets de mur selon le système préconisé par le fabricant, </w:t>
      </w:r>
      <w:r>
        <w:rPr>
          <w:rStyle w:val="optioncarChar"/>
        </w:rPr>
        <w:t>clips aveugles à base de Nylon</w:t>
      </w:r>
      <w:r>
        <w:t> (par défaut)</w:t>
      </w:r>
      <w:r>
        <w:rPr>
          <w:rStyle w:val="optioncarChar"/>
        </w:rPr>
        <w:t> / ***</w:t>
      </w:r>
      <w:r>
        <w:t>. Ils sont glissés de façon invisible dans la batée des cadres extérieurs de la menuiserie en PVC.</w:t>
      </w:r>
    </w:p>
    <w:p w14:paraId="5FBEB13F" w14:textId="77777777" w:rsidR="004B2808" w:rsidRDefault="00000000">
      <w:pPr>
        <w:pStyle w:val="Author-eListParagraph"/>
        <w:numPr>
          <w:ilvl w:val="0"/>
          <w:numId w:val="1130"/>
        </w:numPr>
      </w:pPr>
      <w:r>
        <w:t>Les points de fixation doivent permettre une certaine dilatation pour reprendre les efforts de dilatation des matériaux.</w:t>
      </w:r>
    </w:p>
    <w:p w14:paraId="31A2B985" w14:textId="77777777" w:rsidR="004B2808" w:rsidRDefault="00000000">
      <w:pPr>
        <w:pStyle w:val="Author-eListParagraph"/>
        <w:numPr>
          <w:ilvl w:val="0"/>
          <w:numId w:val="1130"/>
        </w:numPr>
      </w:pPr>
      <w:r>
        <w:lastRenderedPageBreak/>
        <w:t>Les moulures sont soigneusement fixées aux panneaux de l'encadrement par un assemblage à enclenchement de façon à être bien jointives avec le plafonnage. Dans les onglets de l'encadrement de fenêtre, on pose une cornière de façon telle que les deux pièces de l'encadrement se situent dans le même plan.</w:t>
      </w:r>
    </w:p>
    <w:p w14:paraId="4AB3F1EA" w14:textId="77777777" w:rsidR="004B2808" w:rsidRDefault="00000000">
      <w:pPr>
        <w:pStyle w:val="Author-eListParagraph"/>
        <w:numPr>
          <w:ilvl w:val="0"/>
          <w:numId w:val="1130"/>
        </w:numPr>
      </w:pPr>
      <w:r>
        <w:t xml:space="preserve">Les panneaux sont parfaitement jointifs. Il ne peut y avoir de joints ouverts. Tous les joints visibles sont colmatés avec du silicone </w:t>
      </w:r>
      <w:r>
        <w:rPr>
          <w:rStyle w:val="optioncarChar"/>
        </w:rPr>
        <w:t>blanc</w:t>
      </w:r>
      <w:r>
        <w:t> (par défaut)</w:t>
      </w:r>
      <w:r>
        <w:rPr>
          <w:rStyle w:val="optioncarChar"/>
        </w:rPr>
        <w:t xml:space="preserve"> / incolore / ***</w:t>
      </w:r>
      <w:r>
        <w:t xml:space="preserve"> .</w:t>
      </w:r>
    </w:p>
    <w:p w14:paraId="74548C99" w14:textId="77777777" w:rsidR="004B2808" w:rsidRDefault="00000000">
      <w:pPr>
        <w:pStyle w:val="pheading"/>
      </w:pPr>
      <w:r>
        <w:t>- Notes d’exécution complémentaires</w:t>
      </w:r>
    </w:p>
    <w:p w14:paraId="6AA2CDAE" w14:textId="77777777" w:rsidR="004B2808" w:rsidRDefault="00000000">
      <w:pPr>
        <w:pStyle w:val="heading"/>
      </w:pPr>
      <w:r>
        <w:t>Fenêtres extérieures</w:t>
      </w:r>
    </w:p>
    <w:p w14:paraId="02B96F0C" w14:textId="77777777" w:rsidR="004B2808" w:rsidRDefault="00000000">
      <w:pPr>
        <w:pStyle w:val="Author-eListParagraph"/>
        <w:numPr>
          <w:ilvl w:val="0"/>
          <w:numId w:val="1131"/>
        </w:numPr>
      </w:pPr>
      <w:r>
        <w:t>Lorsque les moulures entrent en contact avec le sol, elles sont terminées dans le bas par une latte en bois dur assemblée à la moulure avec une languette. L'ouverture entre la planche et le mur est fermée avec une moulure (profil selon les indications sur les plans de détail).</w:t>
      </w:r>
    </w:p>
    <w:p w14:paraId="1EE5C2E1" w14:textId="77777777" w:rsidR="004B2808" w:rsidRDefault="00000000">
      <w:pPr>
        <w:pStyle w:val="Author-eListParagraph"/>
        <w:numPr>
          <w:ilvl w:val="0"/>
          <w:numId w:val="1131"/>
        </w:numPr>
      </w:pPr>
      <w:r>
        <w:t xml:space="preserve">Pour les fenêtres ouvrantes, il faut prévoir l'espace pour la pose d'un rail à tentures. L'espace minimal à respecter entre le vantail ouvrant et l'encadrement est de : </w:t>
      </w:r>
      <w:r>
        <w:rPr>
          <w:rStyle w:val="optioncarChar"/>
        </w:rPr>
        <w:t xml:space="preserve">*** </w:t>
      </w:r>
    </w:p>
    <w:p w14:paraId="6F71E8F6" w14:textId="77777777" w:rsidR="004B2808" w:rsidRDefault="00000000">
      <w:pPr>
        <w:pStyle w:val="Author-eListParagraph"/>
        <w:numPr>
          <w:ilvl w:val="0"/>
          <w:numId w:val="1131"/>
        </w:numPr>
      </w:pPr>
      <w:r>
        <w:t>Caisses à volets intégrées : les dimensions intérieures sont déterminées en fonction du diamètre du tableau du volet enroulé et de l'épaisseur du matériau d'isolation prescrit. Le mécanisme du volet doit toujours rester accessible par panneau dévissable. Type et aspect conformément aux plans de détail).</w:t>
      </w:r>
    </w:p>
    <w:p w14:paraId="00031131" w14:textId="77777777" w:rsidR="004B2808" w:rsidRDefault="00000000">
      <w:pPr>
        <w:pStyle w:val="pheading"/>
      </w:pPr>
      <w:r>
        <w:t>MESURAGE</w:t>
      </w:r>
    </w:p>
    <w:p w14:paraId="10B746F7" w14:textId="77777777" w:rsidR="004B2808" w:rsidRDefault="00000000">
      <w:r>
        <w:t>Conformément aux indications spécifiques dans le cahier spécial des charges et/ou le métré récapitulatif, le mesurage doit être conçu comme suit :</w:t>
      </w:r>
    </w:p>
    <w:p w14:paraId="622A341E" w14:textId="77777777" w:rsidR="004B2808" w:rsidRDefault="00000000">
      <w:pPr>
        <w:pStyle w:val="pheading"/>
      </w:pPr>
      <w:r>
        <w:t>- unité de mesure:</w:t>
      </w:r>
    </w:p>
    <w:p w14:paraId="081E4805" w14:textId="77777777" w:rsidR="004B2808" w:rsidRDefault="00000000">
      <w:r>
        <w:rPr>
          <w:rStyle w:val="optioncarChar"/>
        </w:rPr>
        <w:t>m²</w:t>
      </w:r>
      <w:r>
        <w:t> (par défaut)</w:t>
      </w:r>
      <w:r>
        <w:rPr>
          <w:rStyle w:val="optioncarChar"/>
        </w:rPr>
        <w:t xml:space="preserve"> / p / m</w:t>
      </w:r>
    </w:p>
    <w:p w14:paraId="0CBD8CD6" w14:textId="77777777" w:rsidR="004B2808" w:rsidRDefault="00000000">
      <w:pPr>
        <w:pStyle w:val="pheading"/>
      </w:pPr>
      <w:r>
        <w:t>- code de mesurage:</w:t>
      </w:r>
    </w:p>
    <w:p w14:paraId="5ED096E0" w14:textId="77777777" w:rsidR="004B2808" w:rsidRDefault="00000000">
      <w:r>
        <w:rPr>
          <w:rStyle w:val="optioncarChar"/>
        </w:rPr>
        <w:t>Surface nette à exécuter</w:t>
      </w:r>
      <w:r>
        <w:t xml:space="preserve"> (par défaut)</w:t>
      </w:r>
      <w:r>
        <w:rPr>
          <w:rStyle w:val="optioncarChar"/>
        </w:rPr>
        <w:t> / Selon les dimensions, éventuellement ventilé selon le type / Longueur nette à exécuter, éventuellement ventilé selon la largeur de bande d'habillage / ***</w:t>
      </w:r>
    </w:p>
    <w:p w14:paraId="033904DE" w14:textId="77777777" w:rsidR="004B2808" w:rsidRDefault="00000000">
      <w:pPr>
        <w:pStyle w:val="pheading"/>
      </w:pPr>
      <w:r>
        <w:t>- nature du marché:</w:t>
      </w:r>
    </w:p>
    <w:p w14:paraId="3D7C64EE" w14:textId="77777777" w:rsidR="004B2808" w:rsidRDefault="00000000">
      <w:r>
        <w:t>QF</w:t>
      </w:r>
    </w:p>
    <w:p w14:paraId="6838E5B6" w14:textId="77777777" w:rsidR="004B2808" w:rsidRDefault="00000000">
      <w:pPr>
        <w:pStyle w:val="Author-eSectionHeading4Numberless"/>
      </w:pPr>
      <w:bookmarkStart w:id="1254" w:name="_Toc220491376"/>
      <w:r>
        <w:t>55.52 Habillage de portes CCTB 01.10</w:t>
      </w:r>
      <w:bookmarkEnd w:id="1254"/>
    </w:p>
    <w:p w14:paraId="69D1737F" w14:textId="77777777" w:rsidR="004B2808" w:rsidRDefault="00000000">
      <w:pPr>
        <w:pStyle w:val="pheading"/>
      </w:pPr>
      <w:bookmarkStart w:id="1255" w:name="942"/>
      <w:bookmarkEnd w:id="1255"/>
      <w:r>
        <w:t>DESCRIPTION</w:t>
      </w:r>
    </w:p>
    <w:p w14:paraId="2348BD0F" w14:textId="77777777" w:rsidR="004B2808" w:rsidRDefault="00000000">
      <w:pPr>
        <w:pStyle w:val="pheading"/>
      </w:pPr>
      <w:r>
        <w:t>- Définition / Comprend</w:t>
      </w:r>
    </w:p>
    <w:p w14:paraId="3889ADD5" w14:textId="77777777" w:rsidR="004B2808" w:rsidRDefault="00000000">
      <w:r>
        <w:t>Il s'agit de la fourniture et de la pose de tous les matériaux en vue de la réalisation d'une finition soignée des ébrasements des baies de portes et fenêtres, y compris la structure en bois, l'isolation prescrite, les bandes d'habillage et les couvre-joints.  </w:t>
      </w:r>
    </w:p>
    <w:p w14:paraId="14DEA5DD" w14:textId="77777777" w:rsidR="004B2808" w:rsidRDefault="00000000">
      <w:pPr>
        <w:pStyle w:val="pheading"/>
      </w:pPr>
      <w:r>
        <w:t>- Remarques importantes</w:t>
      </w:r>
    </w:p>
    <w:p w14:paraId="3C8DCED3" w14:textId="77777777" w:rsidR="004B2808" w:rsidRDefault="00000000">
      <w:r>
        <w:t>Attention : L'habillage des caisses à volets est prévu en option séparée ou doit être décrit séparément.</w:t>
      </w:r>
    </w:p>
    <w:p w14:paraId="27444FB1" w14:textId="77777777" w:rsidR="004B2808" w:rsidRDefault="00000000">
      <w:pPr>
        <w:pStyle w:val="pheading"/>
      </w:pPr>
      <w:r>
        <w:t>EXÉCUTION / MISE EN ŒUVRE</w:t>
      </w:r>
    </w:p>
    <w:p w14:paraId="02B20761" w14:textId="77777777" w:rsidR="004B2808" w:rsidRDefault="00000000">
      <w:r>
        <w:t>Les ouvertures dans le gros-œuvre qui sont destinées à être revêtues d'un habillage doivent se situer de telle façon dans le mur qu'un habillage complet puisse être mis en place.</w:t>
      </w:r>
      <w:r>
        <w:br/>
        <w:t>Les ébrasements des ouvrages en maçonnerie sont revêtus d'un encadrement de fenêtre en bois, posé dans la rainure du châssis par assemblage à rainures et languettes. L'encadrement est indirectement cloué aux blochets de mur par interposition de lattes de réglage.</w:t>
      </w:r>
      <w:r>
        <w:br/>
        <w:t>L'encadrement est posé à fleur avec la face du mur. L'ouverture entre la planche et le mur est fermée par une moulure. Dans les angles, ces moulures sont coupées à onglet.</w:t>
      </w:r>
      <w:r>
        <w:br/>
        <w:t xml:space="preserve">Avant la pose du revêtement, l'espace entre l'encadrement et le gros-œuvre doit être isolé au moyen </w:t>
      </w:r>
      <w:r>
        <w:lastRenderedPageBreak/>
        <w:t xml:space="preserve">de </w:t>
      </w:r>
      <w:r>
        <w:rPr>
          <w:rStyle w:val="optioncarChar"/>
        </w:rPr>
        <w:t>polyuréthane appliqué au pistolet </w:t>
      </w:r>
      <w:r>
        <w:t xml:space="preserve">(par défaut) </w:t>
      </w:r>
      <w:r>
        <w:rPr>
          <w:rStyle w:val="optioncarChar"/>
        </w:rPr>
        <w:t>/ laine minérale / ***</w:t>
      </w:r>
      <w:r>
        <w:t xml:space="preserve"> afin d'assurer une bonne isolation thermique et acoustique. L'objectif est d'obtenir un ouvrage bien isolé et sans courants d'air; les ponts thermiques sont évités en veillant à ce qu' il n'y ait pas de contact direct entre l'isolation et le parement extérieur.</w:t>
      </w:r>
    </w:p>
    <w:p w14:paraId="02D1D20F" w14:textId="77777777" w:rsidR="004B2808" w:rsidRDefault="00000000">
      <w:pPr>
        <w:pStyle w:val="Author-eSectionHeading5Numberless"/>
      </w:pPr>
      <w:bookmarkStart w:id="1256" w:name="_Toc220491377"/>
      <w:r>
        <w:t>55.52.1 Habillage de portes en plaques de plâtre enrobées de carton CCTB 01.02</w:t>
      </w:r>
      <w:bookmarkEnd w:id="1256"/>
    </w:p>
    <w:p w14:paraId="4674374F" w14:textId="77777777" w:rsidR="004B2808" w:rsidRDefault="00000000">
      <w:pPr>
        <w:pStyle w:val="Author-eSectionHeading6Numberless"/>
      </w:pPr>
      <w:bookmarkStart w:id="1257" w:name="_Toc220491378"/>
      <w:r>
        <w:t>55.52.1a Habillage de portes en plaques de plâtre enrobées de carton CCTB 01.10</w:t>
      </w:r>
      <w:bookmarkEnd w:id="1257"/>
    </w:p>
    <w:p w14:paraId="737AA277" w14:textId="77777777" w:rsidR="004B2808" w:rsidRDefault="00000000">
      <w:pPr>
        <w:pStyle w:val="Author-eSectionHeading5Numberless"/>
      </w:pPr>
      <w:bookmarkStart w:id="1258" w:name="_Toc220491379"/>
      <w:r>
        <w:t>55.52.2 Habillage de portes en bois CCTB 01.02</w:t>
      </w:r>
      <w:bookmarkEnd w:id="1258"/>
    </w:p>
    <w:p w14:paraId="42B7A073" w14:textId="77777777" w:rsidR="004B2808" w:rsidRDefault="00000000">
      <w:pPr>
        <w:pStyle w:val="Author-eSectionHeading6Numberless"/>
      </w:pPr>
      <w:bookmarkStart w:id="1259" w:name="_Toc220491380"/>
      <w:r>
        <w:t>55.52.2a Habillage de portes en bois CCTB 01.10</w:t>
      </w:r>
      <w:bookmarkEnd w:id="1259"/>
    </w:p>
    <w:p w14:paraId="199320F0" w14:textId="77777777" w:rsidR="004B2808" w:rsidRDefault="00000000">
      <w:pPr>
        <w:pStyle w:val="pheading"/>
      </w:pPr>
      <w:bookmarkStart w:id="1260" w:name="1307"/>
      <w:bookmarkEnd w:id="1260"/>
      <w:r>
        <w:t>MATÉRIAUX</w:t>
      </w:r>
    </w:p>
    <w:p w14:paraId="3C6363C4" w14:textId="77777777" w:rsidR="004B2808" w:rsidRDefault="00000000">
      <w:pPr>
        <w:pStyle w:val="pheading"/>
      </w:pPr>
      <w:r>
        <w:t>- Caractéristiques générales</w:t>
      </w:r>
    </w:p>
    <w:p w14:paraId="4BF7221B" w14:textId="77777777" w:rsidR="004B2808" w:rsidRDefault="00000000">
      <w:pPr>
        <w:pStyle w:val="heading"/>
      </w:pPr>
      <w:r>
        <w:t>Spécifications</w:t>
      </w:r>
    </w:p>
    <w:p w14:paraId="62E43FB9" w14:textId="77777777" w:rsidR="004B2808" w:rsidRDefault="00000000">
      <w:r>
        <w:t>L'encadrement des portes extérieures est réalisé en panneaux de:</w:t>
      </w:r>
    </w:p>
    <w:p w14:paraId="696D74D8" w14:textId="77777777" w:rsidR="004B2808" w:rsidRDefault="00000000">
      <w:r>
        <w:t xml:space="preserve">Choix opéré : </w:t>
      </w:r>
      <w:r>
        <w:rPr>
          <w:rStyle w:val="optioncarChar"/>
          <w:b/>
        </w:rPr>
        <w:t>*** / OPTION 1 (lames de bois)</w:t>
      </w:r>
      <w:r>
        <w:t> (par défaut)</w:t>
      </w:r>
      <w:r>
        <w:rPr>
          <w:rStyle w:val="optioncarChar"/>
          <w:b/>
        </w:rPr>
        <w:t xml:space="preserve"> / OPTION 2 (plaques de contre-plaqué) / OPTION 3 (plaques stratifiées) / OPTION 4 (MDF) / OPTION 5 (panneaux de particules)</w:t>
      </w:r>
    </w:p>
    <w:p w14:paraId="27287E1A" w14:textId="77777777" w:rsidR="004B2808" w:rsidRDefault="00000000">
      <w:r>
        <w:rPr>
          <w:b/>
        </w:rPr>
        <w:t xml:space="preserve">***OPTION 1 </w:t>
      </w:r>
      <w:r>
        <w:t xml:space="preserve">: en lames de bois massif </w:t>
      </w:r>
      <w:r>
        <w:br/>
        <w:t xml:space="preserve">- Essence : </w:t>
      </w:r>
      <w:r>
        <w:rPr>
          <w:rStyle w:val="optioncarChar"/>
        </w:rPr>
        <w:t xml:space="preserve">Sapin Rouge du Nord </w:t>
      </w:r>
      <w:r>
        <w:t>(par défaut) </w:t>
      </w:r>
      <w:r>
        <w:rPr>
          <w:rStyle w:val="optioncarChar"/>
        </w:rPr>
        <w:t>/ ***</w:t>
      </w:r>
      <w:r>
        <w:br/>
        <w:t>- Protection du bois : une couche de fond protége le bois contre la pourriture et les insectes; elle est appliquée sur toutes les faces avant la mise en place; cette couche de fond doit être compatible avec les finitions de peinture ultérieures</w:t>
      </w:r>
      <w:r>
        <w:br/>
      </w:r>
      <w:r>
        <w:rPr>
          <w:b/>
        </w:rPr>
        <w:t xml:space="preserve">***OPTION 2 </w:t>
      </w:r>
      <w:r>
        <w:t xml:space="preserve">: en plaques de contre-plaqué conformément aux spécifications de la norme [NBN EN 636+A1]et finition de type </w:t>
      </w:r>
      <w:r>
        <w:rPr>
          <w:rStyle w:val="optioncarChar"/>
        </w:rPr>
        <w:t>I</w:t>
      </w:r>
      <w:r>
        <w:t> (par défaut)</w:t>
      </w:r>
      <w:r>
        <w:rPr>
          <w:rStyle w:val="optioncarChar"/>
        </w:rPr>
        <w:t xml:space="preserve"> / II / *** </w:t>
      </w:r>
      <w:r>
        <w:t>selon la norme [NBN EN 635 série] .</w:t>
      </w:r>
      <w:r>
        <w:br/>
        <w:t xml:space="preserve">- Classe de colle : </w:t>
      </w:r>
      <w:r>
        <w:rPr>
          <w:rStyle w:val="optioncarChar"/>
        </w:rPr>
        <w:t>type 72-100 (WBP) </w:t>
      </w:r>
      <w:r>
        <w:t>(par défaut)</w:t>
      </w:r>
      <w:r>
        <w:rPr>
          <w:rStyle w:val="optioncarChar"/>
        </w:rPr>
        <w:t xml:space="preserve"> / ***</w:t>
      </w:r>
      <w:r>
        <w:br/>
        <w:t xml:space="preserve">- Finition de la couche de placage extérieure : </w:t>
      </w:r>
      <w:r>
        <w:rPr>
          <w:rStyle w:val="optioncarChar"/>
        </w:rPr>
        <w:t xml:space="preserve">*** </w:t>
      </w:r>
      <w:r>
        <w:br/>
        <w:t>- Finition de la surface :</w:t>
      </w:r>
      <w:r>
        <w:br/>
      </w:r>
      <w:r>
        <w:rPr>
          <w:b/>
        </w:rPr>
        <w:t xml:space="preserve">***OPTION 3 </w:t>
      </w:r>
      <w:r>
        <w:t xml:space="preserve">: au moyen de plaques stratifiées imprégnées de résine mélamine décorative sous haute pression, selon la [NBN EN 438-7], de la classe HPL-EN 438 - S333 ou HPL-EN 438 - HGS, Type S avec une résistance à l'usure 3, une résistance aux chocs 3 et une résistance aux rayures 3. Epaisseur minimale </w:t>
      </w:r>
      <w:r>
        <w:rPr>
          <w:rStyle w:val="optioncarChar"/>
        </w:rPr>
        <w:t>0,8</w:t>
      </w:r>
      <w:r>
        <w:t> (par défaut) </w:t>
      </w:r>
      <w:r>
        <w:rPr>
          <w:rStyle w:val="optioncarChar"/>
        </w:rPr>
        <w:t>/ ***</w:t>
      </w:r>
      <w:r>
        <w:t xml:space="preserve"> mm. Aspect : </w:t>
      </w:r>
      <w:r>
        <w:rPr>
          <w:rStyle w:val="optioncarChar"/>
        </w:rPr>
        <w:t>couleur unie, surface légèrement structurée, choix de la couleur parmi au moins 50 coloris</w:t>
      </w:r>
      <w:r>
        <w:t xml:space="preserve"> (par défaut)</w:t>
      </w:r>
      <w:r>
        <w:rPr>
          <w:rStyle w:val="optioncarChar"/>
        </w:rPr>
        <w:t> / ***</w:t>
      </w:r>
      <w:r>
        <w:t>.</w:t>
      </w:r>
      <w:r>
        <w:br/>
      </w:r>
      <w:r>
        <w:rPr>
          <w:b/>
        </w:rPr>
        <w:t xml:space="preserve">***OPTION 4 </w:t>
      </w:r>
      <w:r>
        <w:t>: en MDF (Medium Density Fiberboard) / MDFH selon les prescriptions de la norme [NBN EN 622-5].</w:t>
      </w:r>
      <w:r>
        <w:br/>
      </w:r>
      <w:r>
        <w:rPr>
          <w:b/>
        </w:rPr>
        <w:t xml:space="preserve">***OPTION 5 </w:t>
      </w:r>
      <w:r>
        <w:t xml:space="preserve">: en panneaux de particules de type </w:t>
      </w:r>
      <w:r>
        <w:rPr>
          <w:rStyle w:val="optioncarChar"/>
        </w:rPr>
        <w:t>P2 </w:t>
      </w:r>
      <w:r>
        <w:t>(par défaut)</w:t>
      </w:r>
      <w:r>
        <w:rPr>
          <w:rStyle w:val="optioncarChar"/>
        </w:rPr>
        <w:t xml:space="preserve"> / P3 / P5 / ***</w:t>
      </w:r>
    </w:p>
    <w:p w14:paraId="577A7A0B" w14:textId="77777777" w:rsidR="004B2808" w:rsidRDefault="00000000">
      <w:pPr>
        <w:pStyle w:val="pheading"/>
      </w:pPr>
      <w:r>
        <w:t>- Finitions</w:t>
      </w:r>
    </w:p>
    <w:p w14:paraId="10A8E698" w14:textId="77777777" w:rsidR="004B2808" w:rsidRDefault="00000000">
      <w:r>
        <w:t>Couches de finition : voir l'article 81.2 Peintures intérieures sur subjectiles en bois et dérivés du bois (feuillus, résineux, bois exotiques, panneaux)</w:t>
      </w:r>
    </w:p>
    <w:p w14:paraId="3AA30C97" w14:textId="77777777" w:rsidR="004B2808" w:rsidRDefault="00000000">
      <w:pPr>
        <w:pStyle w:val="pheading"/>
      </w:pPr>
      <w:r>
        <w:t>EXÉCUTION / MISE EN ŒUVRE</w:t>
      </w:r>
    </w:p>
    <w:p w14:paraId="1C26DF9D" w14:textId="77777777" w:rsidR="004B2808" w:rsidRDefault="00000000">
      <w:pPr>
        <w:pStyle w:val="pheading"/>
      </w:pPr>
      <w:r>
        <w:t>- Prescriptions générales</w:t>
      </w:r>
    </w:p>
    <w:p w14:paraId="1A5D4CF3" w14:textId="77777777" w:rsidR="004B2808" w:rsidRDefault="00000000">
      <w:r>
        <w:t xml:space="preserve">L'encadrement est indirectement cloué aux blochets de mur par interposition de lattes de réglage en PNG </w:t>
      </w:r>
      <w:r>
        <w:rPr>
          <w:rStyle w:val="optioncarChar"/>
        </w:rPr>
        <w:t>30 x 60</w:t>
      </w:r>
      <w:r>
        <w:t xml:space="preserve"> (par défaut) </w:t>
      </w:r>
      <w:r>
        <w:rPr>
          <w:rStyle w:val="optioncarChar"/>
        </w:rPr>
        <w:t>/ ***</w:t>
      </w:r>
      <w:r>
        <w:t xml:space="preserve"> mm ou conformément aux indications sur les dessins de détail.</w:t>
      </w:r>
      <w:r>
        <w:br/>
        <w:t>L'encadrement est posé à fleur avec la face du mur. L'ouverture entre la planche et le mur est fermée par une moulure. Dans les angles, ces moulures sont coupées à onglet. Les têtes de clous/vis sont enfoncées et les trous sont obturés à l'aide de pâte à bois.</w:t>
      </w:r>
    </w:p>
    <w:p w14:paraId="085DC1A0" w14:textId="77777777" w:rsidR="004B2808" w:rsidRDefault="00000000">
      <w:pPr>
        <w:pStyle w:val="pheading"/>
      </w:pPr>
      <w:r>
        <w:t>- Notes d’exécution complémentaires</w:t>
      </w:r>
    </w:p>
    <w:p w14:paraId="0FD9C536" w14:textId="77777777" w:rsidR="004B2808" w:rsidRDefault="00000000">
      <w:r>
        <w:t xml:space="preserve">Lorsque les moulures entrent en contact avec le sol, elles sont terminées dans le bas par une latte en bois dur assemblée à la moulure avec une languette. L'ouverture entre la planche et le mur est </w:t>
      </w:r>
      <w:r>
        <w:lastRenderedPageBreak/>
        <w:t>fermée avec une moulure (profil selon les indications sur les plans de détail).</w:t>
      </w:r>
      <w:r>
        <w:br/>
        <w:t>Caisses à volets intégrées : les dimensions intérieures sont déterminées en fonction du diamètre du tableau du volet enroulé et de l'épaisseur du matériau d'isolation prescrit. Le mécanisme du volet doit toujours rester accessible par panneau dévissable. Type et aspect conformément aux plans de détail).</w:t>
      </w:r>
    </w:p>
    <w:p w14:paraId="306F50EE" w14:textId="77777777" w:rsidR="004B2808" w:rsidRDefault="00000000">
      <w:pPr>
        <w:pStyle w:val="pheading"/>
      </w:pPr>
      <w:r>
        <w:t>MESURAGE</w:t>
      </w:r>
    </w:p>
    <w:p w14:paraId="398089A9" w14:textId="77777777" w:rsidR="004B2808" w:rsidRDefault="00000000">
      <w:r>
        <w:t>Conformément aux indications spécifiques dans le cahier spécial des charges et/ou le métré récapitulatif, le mesurage doit être conçu comme suit :</w:t>
      </w:r>
    </w:p>
    <w:p w14:paraId="132DF203" w14:textId="77777777" w:rsidR="004B2808" w:rsidRDefault="00000000">
      <w:pPr>
        <w:pStyle w:val="pheading"/>
      </w:pPr>
      <w:r>
        <w:t>- unité de mesure:</w:t>
      </w:r>
    </w:p>
    <w:p w14:paraId="64AA19DB" w14:textId="77777777" w:rsidR="004B2808" w:rsidRDefault="00000000">
      <w:r>
        <w:rPr>
          <w:rStyle w:val="optioncarChar"/>
        </w:rPr>
        <w:t xml:space="preserve">m² </w:t>
      </w:r>
      <w:r>
        <w:t>(par défaut) </w:t>
      </w:r>
      <w:r>
        <w:rPr>
          <w:rStyle w:val="optioncarChar"/>
        </w:rPr>
        <w:t>/ p / m</w:t>
      </w:r>
    </w:p>
    <w:p w14:paraId="6CAECC4F" w14:textId="77777777" w:rsidR="004B2808" w:rsidRDefault="00000000">
      <w:pPr>
        <w:pStyle w:val="pheading"/>
      </w:pPr>
      <w:r>
        <w:t>- code de mesurage:</w:t>
      </w:r>
    </w:p>
    <w:p w14:paraId="08E0E62B" w14:textId="77777777" w:rsidR="004B2808" w:rsidRDefault="00000000">
      <w:r>
        <w:rPr>
          <w:rStyle w:val="optioncarChar"/>
        </w:rPr>
        <w:t>Surface nette à exécuter</w:t>
      </w:r>
      <w:r>
        <w:t> (par défaut)</w:t>
      </w:r>
      <w:r>
        <w:rPr>
          <w:rStyle w:val="optioncarChar"/>
        </w:rPr>
        <w:t xml:space="preserve"> / Selon les dimensions, éventuellement ventilé selon le type / Longueur nette à exécuter, éventuellement ventilé selon la largeur de bande d'habillage / ***</w:t>
      </w:r>
    </w:p>
    <w:p w14:paraId="36EAAFA7" w14:textId="77777777" w:rsidR="004B2808" w:rsidRDefault="00000000">
      <w:pPr>
        <w:pStyle w:val="pheading"/>
      </w:pPr>
      <w:r>
        <w:t>- nature du marché:</w:t>
      </w:r>
    </w:p>
    <w:p w14:paraId="64615DB3" w14:textId="77777777" w:rsidR="004B2808" w:rsidRDefault="00000000">
      <w:r>
        <w:t>QF</w:t>
      </w:r>
    </w:p>
    <w:p w14:paraId="06549989" w14:textId="77777777" w:rsidR="004B2808" w:rsidRDefault="00000000">
      <w:pPr>
        <w:pStyle w:val="Author-eSectionHeading5Numberless"/>
      </w:pPr>
      <w:bookmarkStart w:id="1261" w:name="_Toc220491381"/>
      <w:r>
        <w:t>55.52.3 Habillage de portes en matière synthétique CCTB 01.02</w:t>
      </w:r>
      <w:bookmarkEnd w:id="1261"/>
    </w:p>
    <w:p w14:paraId="7692D9C2" w14:textId="77777777" w:rsidR="004B2808" w:rsidRDefault="00000000">
      <w:pPr>
        <w:pStyle w:val="Author-eSectionHeading6Numberless"/>
      </w:pPr>
      <w:bookmarkStart w:id="1262" w:name="_Toc220491382"/>
      <w:r>
        <w:t>55.52.3a Habillage de portes en matière synthétique CCTB 01.10</w:t>
      </w:r>
      <w:bookmarkEnd w:id="1262"/>
    </w:p>
    <w:p w14:paraId="7AB8E222" w14:textId="77777777" w:rsidR="004B2808" w:rsidRDefault="00000000">
      <w:pPr>
        <w:pStyle w:val="pheading"/>
      </w:pPr>
      <w:bookmarkStart w:id="1263" w:name="941"/>
      <w:bookmarkEnd w:id="1263"/>
      <w:r>
        <w:t>MATÉRIAUX</w:t>
      </w:r>
    </w:p>
    <w:p w14:paraId="21C81988" w14:textId="77777777" w:rsidR="004B2808" w:rsidRDefault="00000000">
      <w:pPr>
        <w:pStyle w:val="pheading"/>
      </w:pPr>
      <w:r>
        <w:t>- Caractéristiques générales</w:t>
      </w:r>
    </w:p>
    <w:p w14:paraId="14882E88" w14:textId="77777777" w:rsidR="004B2808" w:rsidRDefault="00000000">
      <w:r>
        <w:t>Le revêtement est réalisé en bandes de PVC préfabriquées, antichocs, non plastifiées, adaptées à l'épaisseur du mur. Les châssis, les profils d'habillage et les couvre-joints correspondants proviennent tous du même fabricant et sont de couleur uniforme. Les profils ne présentent aucune griffe ou ébarbure.</w:t>
      </w:r>
    </w:p>
    <w:p w14:paraId="476DCCC1" w14:textId="77777777" w:rsidR="004B2808" w:rsidRDefault="00000000">
      <w:pPr>
        <w:pStyle w:val="heading"/>
      </w:pPr>
      <w:r>
        <w:t>Spécifications</w:t>
      </w:r>
    </w:p>
    <w:p w14:paraId="5A54EE8A" w14:textId="77777777" w:rsidR="004B2808" w:rsidRDefault="00000000">
      <w:pPr>
        <w:pStyle w:val="Author-eListParagraph"/>
        <w:numPr>
          <w:ilvl w:val="0"/>
          <w:numId w:val="1132"/>
        </w:numPr>
      </w:pPr>
      <w:r>
        <w:t>Matériau : PVC, coloris :</w:t>
      </w:r>
      <w:r>
        <w:rPr>
          <w:rStyle w:val="optioncarChar"/>
        </w:rPr>
        <w:t> blanc</w:t>
      </w:r>
      <w:r>
        <w:t> (par défaut) </w:t>
      </w:r>
      <w:r>
        <w:rPr>
          <w:rStyle w:val="optioncarChar"/>
        </w:rPr>
        <w:t>/ ***</w:t>
      </w:r>
    </w:p>
    <w:p w14:paraId="07500997" w14:textId="77777777" w:rsidR="004B2808" w:rsidRDefault="00000000">
      <w:pPr>
        <w:pStyle w:val="Author-eListParagraph"/>
        <w:numPr>
          <w:ilvl w:val="0"/>
          <w:numId w:val="1132"/>
        </w:numPr>
      </w:pPr>
      <w:r>
        <w:t xml:space="preserve">Panneaux d'isolation : </w:t>
      </w:r>
      <w:r>
        <w:rPr>
          <w:rStyle w:val="optioncarChar"/>
        </w:rPr>
        <w:t>laine minérale rigide</w:t>
      </w:r>
      <w:r>
        <w:t> (par défaut)</w:t>
      </w:r>
      <w:r>
        <w:rPr>
          <w:rStyle w:val="optioncarChar"/>
        </w:rPr>
        <w:t xml:space="preserve"> / plaques de polyuréthane / plaques de polystyrène / *** </w:t>
      </w:r>
    </w:p>
    <w:p w14:paraId="248C9716" w14:textId="77777777" w:rsidR="004B2808" w:rsidRDefault="00000000">
      <w:pPr>
        <w:pStyle w:val="Author-eListParagraph"/>
        <w:numPr>
          <w:ilvl w:val="0"/>
          <w:numId w:val="1132"/>
        </w:numPr>
      </w:pPr>
      <w:r>
        <w:t>Epaisseur de l'isolation : </w:t>
      </w:r>
      <w:r>
        <w:rPr>
          <w:rStyle w:val="optioncarChar"/>
        </w:rPr>
        <w:t>30 </w:t>
      </w:r>
      <w:r>
        <w:t xml:space="preserve">(par défaut) </w:t>
      </w:r>
      <w:r>
        <w:rPr>
          <w:rStyle w:val="optioncarChar"/>
        </w:rPr>
        <w:t>/ 40 / 50 / ***</w:t>
      </w:r>
      <w:r>
        <w:t xml:space="preserve"> mm.</w:t>
      </w:r>
    </w:p>
    <w:p w14:paraId="408CE76E" w14:textId="77777777" w:rsidR="004B2808" w:rsidRDefault="00000000">
      <w:pPr>
        <w:pStyle w:val="pheading"/>
      </w:pPr>
      <w:r>
        <w:t>- Prescriptions complémentaires</w:t>
      </w:r>
    </w:p>
    <w:p w14:paraId="789748E4" w14:textId="77777777" w:rsidR="004B2808" w:rsidRDefault="00000000">
      <w:r>
        <w:t>Avec les caisses à volets intégrées, non autoportantes en profils préfabriqués. Type et aspect </w:t>
      </w:r>
      <w:r>
        <w:rPr>
          <w:rStyle w:val="optioncarChar"/>
        </w:rPr>
        <w:t>selon le dessin de détail</w:t>
      </w:r>
      <w:r>
        <w:t xml:space="preserve"> (par défaut)</w:t>
      </w:r>
      <w:r>
        <w:rPr>
          <w:rStyle w:val="optioncarChar"/>
        </w:rPr>
        <w:t> / conformément aux informations du fournisseur du système / ***</w:t>
      </w:r>
      <w:r>
        <w:t xml:space="preserve">. Les caisses à volets sont isolées avec un isolant absorbant et de </w:t>
      </w:r>
      <w:r>
        <w:rPr>
          <w:rStyle w:val="optioncarChar"/>
        </w:rPr>
        <w:t>masse</w:t>
      </w:r>
      <w:r>
        <w:t xml:space="preserve"> (par défaut)</w:t>
      </w:r>
      <w:r>
        <w:rPr>
          <w:rStyle w:val="optioncarChar"/>
        </w:rPr>
        <w:t xml:space="preserve"> / laminé de plomb / *** </w:t>
      </w:r>
      <w:r>
        <w:t>.</w:t>
      </w:r>
    </w:p>
    <w:p w14:paraId="5ED43C2D" w14:textId="77777777" w:rsidR="004B2808" w:rsidRDefault="00000000">
      <w:pPr>
        <w:pStyle w:val="pheading"/>
      </w:pPr>
      <w:r>
        <w:t>EXÉCUTION / MISE EN ŒUVRE</w:t>
      </w:r>
    </w:p>
    <w:p w14:paraId="0F15732D" w14:textId="77777777" w:rsidR="004B2808" w:rsidRDefault="00000000">
      <w:pPr>
        <w:pStyle w:val="pheading"/>
      </w:pPr>
      <w:r>
        <w:t>- Prescriptions générales</w:t>
      </w:r>
    </w:p>
    <w:p w14:paraId="44F03D3F" w14:textId="77777777" w:rsidR="004B2808" w:rsidRDefault="00000000">
      <w:r>
        <w:t xml:space="preserve">A un nombre suffisant d'endroits, l'encadrement de porte est fixé de manière invisible aux blochets de mur selon le système préconisé par le fabricant, </w:t>
      </w:r>
      <w:r>
        <w:rPr>
          <w:rStyle w:val="optioncarChar"/>
        </w:rPr>
        <w:t>clips aveugles à base de Nylon</w:t>
      </w:r>
      <w:r>
        <w:t> (par défaut)</w:t>
      </w:r>
      <w:r>
        <w:rPr>
          <w:rStyle w:val="optioncarChar"/>
        </w:rPr>
        <w:t xml:space="preserve"> / ***</w:t>
      </w:r>
      <w:r>
        <w:t xml:space="preserve"> . Ils sont glissés de façon invisible dans la batée des cadres extérieurs de la menuiserie en PVC.</w:t>
      </w:r>
      <w:r>
        <w:br/>
        <w:t>Les points de fixation doivent permettre une certaine dilatation pour reprendre les efforts de dilatation des matériaux.</w:t>
      </w:r>
      <w:r>
        <w:br/>
        <w:t>Les moulures sont soigneusement fixées aux panneaux de l'encadrement par un assemblage à enclenchement de façon à être bien jointives avec le plafonnage. Dans les onglets de l'encadrement de fenêtre, on pose une cornière de façon telle que les deux pièces de l'encadrement se situent dans le même plan.</w:t>
      </w:r>
      <w:r>
        <w:br/>
      </w:r>
      <w:r>
        <w:lastRenderedPageBreak/>
        <w:t xml:space="preserve">Les panneaux sont parfaitement jointifs. Il ne peut y avoir de joints ouverts. Tous les joints visibles sont colmatés avec du silicone </w:t>
      </w:r>
      <w:r>
        <w:rPr>
          <w:rStyle w:val="optioncarChar"/>
        </w:rPr>
        <w:t>blanc</w:t>
      </w:r>
      <w:r>
        <w:t> (par défaut)</w:t>
      </w:r>
      <w:r>
        <w:rPr>
          <w:rStyle w:val="optioncarChar"/>
        </w:rPr>
        <w:t xml:space="preserve"> / incolore.</w:t>
      </w:r>
    </w:p>
    <w:p w14:paraId="4F6A60B1" w14:textId="77777777" w:rsidR="004B2808" w:rsidRDefault="00000000">
      <w:pPr>
        <w:pStyle w:val="pheading"/>
      </w:pPr>
      <w:r>
        <w:t>- Notes d’exécution complémentaires</w:t>
      </w:r>
    </w:p>
    <w:p w14:paraId="3F0C5917" w14:textId="77777777" w:rsidR="004B2808" w:rsidRDefault="00000000">
      <w:r>
        <w:t>Lorsque les moulures entrent en contact avec le sol, elles sont terminées dans le bas par une latte en bois dur assemblée à la moulure avec une languette. L'ouverture entre la planche et le mur est fermée avec une moulure (profil selon les indications sur les plans de détail).</w:t>
      </w:r>
      <w:r>
        <w:br/>
        <w:t xml:space="preserve">Pour les fenêtres ouvrantes, il faut prévoir l'espace pour la pose d'un rail à tentures. L'espace minimal à respecter entre le vantail ouvrant et l'encadrement est de : </w:t>
      </w:r>
      <w:r>
        <w:rPr>
          <w:rStyle w:val="optioncarChar"/>
        </w:rPr>
        <w:t>***</w:t>
      </w:r>
      <w:r>
        <w:br/>
        <w:t>Caisses à volets intégrées : les dimensions intérieures sont déterminées en fonction du diamètre du tableau du volet enroulé et de l'épaisseur du matériau d'isolation prescrit. Le mécanisme du volet doit toujours rester accessible par panneau dévissable. Type et aspect conformément aux plans de détail).</w:t>
      </w:r>
    </w:p>
    <w:p w14:paraId="57C2ABAF" w14:textId="77777777" w:rsidR="004B2808" w:rsidRDefault="00000000">
      <w:pPr>
        <w:pStyle w:val="pheading"/>
      </w:pPr>
      <w:r>
        <w:t>MESURAGE</w:t>
      </w:r>
    </w:p>
    <w:p w14:paraId="62413ABA" w14:textId="77777777" w:rsidR="004B2808" w:rsidRDefault="00000000">
      <w:r>
        <w:t>Conformément aux indications spécifiques dans le cahier spécial des charges et/ou le métré récapitulatif, le mesurage doit être conçu comme suit :</w:t>
      </w:r>
    </w:p>
    <w:p w14:paraId="7B76EFD2" w14:textId="77777777" w:rsidR="004B2808" w:rsidRDefault="00000000">
      <w:pPr>
        <w:pStyle w:val="pheading"/>
      </w:pPr>
      <w:r>
        <w:t>- unité de mesure:</w:t>
      </w:r>
    </w:p>
    <w:p w14:paraId="1CDB4DF7" w14:textId="77777777" w:rsidR="004B2808" w:rsidRDefault="00000000">
      <w:r>
        <w:rPr>
          <w:color w:val="FF0000"/>
        </w:rPr>
        <w:t>m²</w:t>
      </w:r>
      <w:r>
        <w:t> (par défaut)</w:t>
      </w:r>
      <w:r>
        <w:rPr>
          <w:color w:val="FF0000"/>
        </w:rPr>
        <w:t xml:space="preserve"> / p / m </w:t>
      </w:r>
    </w:p>
    <w:p w14:paraId="244ACE2E" w14:textId="77777777" w:rsidR="004B2808" w:rsidRDefault="00000000">
      <w:pPr>
        <w:pStyle w:val="pheading"/>
      </w:pPr>
      <w:r>
        <w:t>- code de mesurage:</w:t>
      </w:r>
    </w:p>
    <w:p w14:paraId="64D47F32" w14:textId="77777777" w:rsidR="004B2808" w:rsidRDefault="00000000">
      <w:r>
        <w:rPr>
          <w:color w:val="FF0000"/>
        </w:rPr>
        <w:t>Surface nette à exécuter</w:t>
      </w:r>
      <w:r>
        <w:t> (par défaut)</w:t>
      </w:r>
      <w:r>
        <w:rPr>
          <w:color w:val="FF0000"/>
        </w:rPr>
        <w:t xml:space="preserve"> /  Selon les dimensions, éventuellement ventilé selon le type /  Longueur nette à exécuter, éventuellement ventilé selon la largeur de bande d'habillage / ***</w:t>
      </w:r>
    </w:p>
    <w:p w14:paraId="47207BC1" w14:textId="77777777" w:rsidR="004B2808" w:rsidRDefault="00000000">
      <w:pPr>
        <w:pStyle w:val="pheading"/>
      </w:pPr>
      <w:r>
        <w:t>- nature du marché:</w:t>
      </w:r>
    </w:p>
    <w:p w14:paraId="443865BE" w14:textId="77777777" w:rsidR="004B2808" w:rsidRDefault="00000000">
      <w:r>
        <w:t>QF</w:t>
      </w:r>
    </w:p>
    <w:p w14:paraId="42A40091" w14:textId="77777777" w:rsidR="004B2808" w:rsidRDefault="00000000">
      <w:pPr>
        <w:pStyle w:val="Author-eSectionHeading4Numberless"/>
      </w:pPr>
      <w:bookmarkStart w:id="1264" w:name="_Toc220491383"/>
      <w:r>
        <w:t>55.53 Habillage de gaines CCTB 01.07</w:t>
      </w:r>
      <w:bookmarkEnd w:id="1264"/>
    </w:p>
    <w:p w14:paraId="28B68CA6" w14:textId="77777777" w:rsidR="004B2808" w:rsidRDefault="00000000">
      <w:pPr>
        <w:pStyle w:val="pheading"/>
      </w:pPr>
      <w:r>
        <w:t>DESCRIPTION</w:t>
      </w:r>
    </w:p>
    <w:p w14:paraId="7E3E8B33" w14:textId="77777777" w:rsidR="004B2808" w:rsidRDefault="00000000">
      <w:pPr>
        <w:pStyle w:val="pheading"/>
      </w:pPr>
      <w:r>
        <w:t>- Définition / Comprend</w:t>
      </w:r>
    </w:p>
    <w:p w14:paraId="406F2DFF" w14:textId="77777777" w:rsidR="004B2808" w:rsidRDefault="00000000">
      <w:r>
        <w:t>Il s'agit de la fourniture et de la pose des matériaux nécessaires à la réalisation d'un habillage soigné des conduites intérieures posées en apparent dans des caissons simples, y compris le cadre en bois ou en métal et les plaques de revêtement.</w:t>
      </w:r>
    </w:p>
    <w:p w14:paraId="04445CE4" w14:textId="77777777" w:rsidR="004B2808" w:rsidRDefault="00000000">
      <w:pPr>
        <w:pStyle w:val="pheading"/>
      </w:pPr>
      <w:r>
        <w:t>- Remarques importantes</w:t>
      </w:r>
    </w:p>
    <w:p w14:paraId="4DAC54B8" w14:textId="77777777" w:rsidR="004B2808" w:rsidRDefault="00000000">
      <w:r>
        <w:t xml:space="preserve">Attention </w:t>
      </w:r>
    </w:p>
    <w:p w14:paraId="673AF208" w14:textId="77777777" w:rsidR="004B2808" w:rsidRDefault="00000000">
      <w:r>
        <w:t>Les caissons peuvent, le cas échéant, être intégrés dans les cloisons creuses, les plafonds</w:t>
      </w:r>
      <w:r>
        <w:rPr>
          <w:rStyle w:val="optioncarChar"/>
        </w:rPr>
        <w:t xml:space="preserve"> suspendus</w:t>
      </w:r>
      <w:r>
        <w:t xml:space="preserve"> (pour les conduites horizontales) et/ou le mobilier de cuisine (pour les conduites verticales).</w:t>
      </w:r>
    </w:p>
    <w:p w14:paraId="5B63F8EB" w14:textId="77777777" w:rsidR="004B2808" w:rsidRDefault="00000000">
      <w:pPr>
        <w:pStyle w:val="pheading"/>
      </w:pPr>
      <w:r>
        <w:t>MATÉRIAUX</w:t>
      </w:r>
    </w:p>
    <w:p w14:paraId="25512B4F" w14:textId="77777777" w:rsidR="004B2808" w:rsidRDefault="00000000">
      <w:r>
        <w:t>La composition et les matériaux utilisés doivent répondre aux exigences en matière d'isolation acoustique et de résistance au feu.</w:t>
      </w:r>
    </w:p>
    <w:p w14:paraId="35F74AAB" w14:textId="77777777" w:rsidR="004B2808" w:rsidRDefault="00000000">
      <w:pPr>
        <w:pStyle w:val="pheading"/>
      </w:pPr>
      <w:r>
        <w:t>EXÉCUTION / MISE EN ŒUVRE</w:t>
      </w:r>
    </w:p>
    <w:p w14:paraId="6AF85B35" w14:textId="77777777" w:rsidR="004B2808" w:rsidRDefault="00000000">
      <w:r>
        <w:t xml:space="preserve">Conformément au sous-titre </w:t>
      </w:r>
      <w:hyperlink w:anchor="1349" w:history="1">
        <w:r w:rsidR="004B2808">
          <w:rPr>
            <w:color w:val="0000EE"/>
          </w:rPr>
          <w:t>51.11 Cloison fixe légère creuse</w:t>
        </w:r>
      </w:hyperlink>
    </w:p>
    <w:p w14:paraId="54CFFF55" w14:textId="77777777" w:rsidR="004B2808" w:rsidRDefault="00000000">
      <w:pPr>
        <w:pStyle w:val="Author-eSectionHeading5Numberless"/>
      </w:pPr>
      <w:bookmarkStart w:id="1265" w:name="_Toc220491384"/>
      <w:r>
        <w:t>55.53.1 Habillage de gaines en plaques de plâtre enrobées de carton CCTB 01.02</w:t>
      </w:r>
      <w:bookmarkEnd w:id="1265"/>
    </w:p>
    <w:p w14:paraId="4A833C1E" w14:textId="77777777" w:rsidR="004B2808" w:rsidRDefault="00000000">
      <w:pPr>
        <w:pStyle w:val="Author-eSectionHeading6Numberless"/>
      </w:pPr>
      <w:bookmarkStart w:id="1266" w:name="_Toc220491385"/>
      <w:r>
        <w:t>55.53.1a Habillage de gaines en plaques de plâtre enrobées de carton CCTB 01.11</w:t>
      </w:r>
      <w:bookmarkEnd w:id="1266"/>
    </w:p>
    <w:p w14:paraId="27A61561" w14:textId="77777777" w:rsidR="004B2808" w:rsidRDefault="00000000">
      <w:pPr>
        <w:pStyle w:val="pheading"/>
      </w:pPr>
      <w:r>
        <w:t>MATÉRIAUX</w:t>
      </w:r>
    </w:p>
    <w:p w14:paraId="298EF2D8" w14:textId="77777777" w:rsidR="004B2808" w:rsidRDefault="00000000">
      <w:pPr>
        <w:pStyle w:val="pheading"/>
      </w:pPr>
      <w:r>
        <w:lastRenderedPageBreak/>
        <w:t>- Caractéristiques générales</w:t>
      </w:r>
    </w:p>
    <w:p w14:paraId="6C0722AE" w14:textId="77777777" w:rsidR="004B2808" w:rsidRDefault="00000000">
      <w:r>
        <w:t>Les plaques de plâtre enrobées de carton ordinaire se composent d'une âme en plâtre dont les deux faces sont revêtues d'un carton gris clair résistant. Elles doivent satisfaire aux exigences de qualité de la norme [NBN EN 520+A1] . En raison des risques élevés d'humidité en contact avec les conduites d'eau et les évacuations sanitaires, on prévoit des plaques de plâtre enrobées de carton avec une résistance à l'eau améliorée et un faible pouvoir absorbant (l'âme en plâtre est alors traitée avec une émulsion au bitume et revêtue de carton à marquage et/ou de couleur spécifiques).</w:t>
      </w:r>
    </w:p>
    <w:p w14:paraId="68CA61B9" w14:textId="77777777" w:rsidR="004B2808" w:rsidRDefault="00000000">
      <w:pPr>
        <w:pStyle w:val="heading"/>
      </w:pPr>
      <w:r>
        <w:t>Spécifications</w:t>
      </w:r>
    </w:p>
    <w:p w14:paraId="3713E16E" w14:textId="77777777" w:rsidR="004B2808" w:rsidRDefault="00000000">
      <w:pPr>
        <w:pStyle w:val="Author-eListParagraph"/>
        <w:numPr>
          <w:ilvl w:val="0"/>
          <w:numId w:val="1133"/>
        </w:numPr>
      </w:pPr>
      <w:r>
        <w:t xml:space="preserve">Type : </w:t>
      </w:r>
      <w:r>
        <w:rPr>
          <w:rStyle w:val="optioncarChar"/>
        </w:rPr>
        <w:t>Type A </w:t>
      </w:r>
      <w:r>
        <w:t xml:space="preserve">(par défaut) </w:t>
      </w:r>
      <w:r>
        <w:rPr>
          <w:rStyle w:val="optioncarChar"/>
        </w:rPr>
        <w:t>/ Type F (à cohésion améliorée de l’âme à haute température aussi appelée « plaque Rf ») / Type P (plaques aptes à recevoir un enduit au plâtre) / Type H (à taux d’absorption d’eau réduit) selon [NBN EN 520+A1] / ***</w:t>
      </w:r>
    </w:p>
    <w:p w14:paraId="10BC1008" w14:textId="77777777" w:rsidR="004B2808" w:rsidRDefault="00000000">
      <w:pPr>
        <w:pStyle w:val="Author-eListParagraph"/>
        <w:numPr>
          <w:ilvl w:val="0"/>
          <w:numId w:val="1133"/>
        </w:numPr>
      </w:pPr>
      <w:r>
        <w:t xml:space="preserve">Epaisseur des plaques : </w:t>
      </w:r>
      <w:r>
        <w:rPr>
          <w:rStyle w:val="optioncarChar"/>
        </w:rPr>
        <w:t>9,5 </w:t>
      </w:r>
      <w:r>
        <w:t>(par défaut)</w:t>
      </w:r>
      <w:r>
        <w:rPr>
          <w:rStyle w:val="optioncarChar"/>
        </w:rPr>
        <w:t xml:space="preserve"> / 12,5 / 15 / ***</w:t>
      </w:r>
      <w:r>
        <w:t xml:space="preserve"> mm</w:t>
      </w:r>
    </w:p>
    <w:p w14:paraId="19BFB8EF" w14:textId="77777777" w:rsidR="004B2808" w:rsidRDefault="00000000">
      <w:pPr>
        <w:pStyle w:val="Author-eListParagraph"/>
        <w:numPr>
          <w:ilvl w:val="0"/>
          <w:numId w:val="1133"/>
        </w:numPr>
      </w:pPr>
      <w:r>
        <w:t xml:space="preserve">Bords longitudinaux selon [NBN EN 520+A1] : </w:t>
      </w:r>
    </w:p>
    <w:p w14:paraId="6B265AE0" w14:textId="77777777" w:rsidR="004B2808" w:rsidRDefault="00000000">
      <w:pPr>
        <w:pStyle w:val="Author-eListParagraph"/>
        <w:numPr>
          <w:ilvl w:val="1"/>
          <w:numId w:val="1134"/>
        </w:numPr>
      </w:pPr>
      <w:r>
        <w:t>pour les plaques de type A, F et H :</w:t>
      </w:r>
      <w:r>
        <w:rPr>
          <w:rStyle w:val="optioncarChar"/>
        </w:rPr>
        <w:t> droit</w:t>
      </w:r>
      <w:r>
        <w:t> (par défaut)</w:t>
      </w:r>
      <w:r>
        <w:rPr>
          <w:rStyle w:val="optioncarChar"/>
        </w:rPr>
        <w:t xml:space="preserve"> / biseauté / aminci / semi-arrondi / aminci semi-arrondi / arrondi / ***</w:t>
      </w:r>
    </w:p>
    <w:p w14:paraId="39792A1A" w14:textId="77777777" w:rsidR="004B2808" w:rsidRDefault="00000000">
      <w:pPr>
        <w:pStyle w:val="Author-eListParagraph"/>
        <w:numPr>
          <w:ilvl w:val="1"/>
          <w:numId w:val="1134"/>
        </w:numPr>
      </w:pPr>
      <w:r>
        <w:t xml:space="preserve">pour les plaques de type P : </w:t>
      </w:r>
      <w:r>
        <w:rPr>
          <w:rStyle w:val="optioncarChar"/>
        </w:rPr>
        <w:t>droit </w:t>
      </w:r>
      <w:r>
        <w:t>(par défaut)</w:t>
      </w:r>
      <w:r>
        <w:rPr>
          <w:rStyle w:val="optioncarChar"/>
        </w:rPr>
        <w:t xml:space="preserve"> / arrondi / ***</w:t>
      </w:r>
    </w:p>
    <w:p w14:paraId="7851027B" w14:textId="77777777" w:rsidR="004B2808" w:rsidRDefault="00000000">
      <w:pPr>
        <w:pStyle w:val="Author-eListParagraph"/>
        <w:numPr>
          <w:ilvl w:val="0"/>
          <w:numId w:val="1133"/>
        </w:numPr>
      </w:pPr>
      <w:r>
        <w:t xml:space="preserve">Selon la [Décision 2003/593/CE] du 7 août 2003 et les conditions qui y sont reprises, les plaques de parement en plâtre (sauf plaques perforées) appartiennent à la classe de réaction au feu A2-s1, d0 pour autant que ces plaques soient montées et fixées in situ selon des conditions bien précises : </w:t>
      </w:r>
    </w:p>
    <w:p w14:paraId="56D91D1F" w14:textId="77777777" w:rsidR="004B2808" w:rsidRDefault="00000000">
      <w:pPr>
        <w:pStyle w:val="Author-eListParagraph"/>
        <w:numPr>
          <w:ilvl w:val="1"/>
          <w:numId w:val="1135"/>
        </w:numPr>
      </w:pPr>
      <w:r>
        <w:t>Fixation mécanique sur une sous-structure en métal ou en bois ; la cavité entre les plaques et l’ossature peut rester libre ou être comblée au moyen d’un matériau isolant de la classe de réaction au feu A2-s1, d0.</w:t>
      </w:r>
    </w:p>
    <w:p w14:paraId="623F1297" w14:textId="77777777" w:rsidR="004B2808" w:rsidRDefault="00000000">
      <w:pPr>
        <w:pStyle w:val="Author-eListParagraph"/>
        <w:numPr>
          <w:ilvl w:val="1"/>
          <w:numId w:val="1135"/>
        </w:numPr>
      </w:pPr>
      <w:r>
        <w:t>Fixation directe ou collage sur un support continu présentant au moins une réaction au feu de classe A2-s1, d0.</w:t>
      </w:r>
    </w:p>
    <w:p w14:paraId="28B90D03" w14:textId="77777777" w:rsidR="004B2808" w:rsidRDefault="00000000">
      <w:pPr>
        <w:pStyle w:val="heading"/>
      </w:pPr>
      <w:r>
        <w:t>Spécifications - matériau d'isolation</w:t>
      </w:r>
    </w:p>
    <w:p w14:paraId="5E3503FB" w14:textId="77777777" w:rsidR="004B2808" w:rsidRDefault="00000000">
      <w:pPr>
        <w:pStyle w:val="Author-eListParagraph"/>
        <w:numPr>
          <w:ilvl w:val="0"/>
          <w:numId w:val="1136"/>
        </w:numPr>
      </w:pPr>
      <w:r>
        <w:t>Nature : </w:t>
      </w:r>
      <w:r>
        <w:rPr>
          <w:rStyle w:val="optioncarChar"/>
        </w:rPr>
        <w:t>pas d'isolation </w:t>
      </w:r>
      <w:r>
        <w:t>(par défaut) </w:t>
      </w:r>
      <w:r>
        <w:rPr>
          <w:rStyle w:val="optioncarChar"/>
        </w:rPr>
        <w:t>/ isolation / ***</w:t>
      </w:r>
      <w:r>
        <w:t xml:space="preserve">  conforme à l'article </w:t>
      </w:r>
      <w:hyperlink w:anchor="73" w:history="1">
        <w:r w:rsidR="004B2808">
          <w:rPr>
            <w:color w:val="0000EE"/>
          </w:rPr>
          <w:t>52.4 Isolation</w:t>
        </w:r>
      </w:hyperlink>
    </w:p>
    <w:p w14:paraId="32E6907F" w14:textId="77777777" w:rsidR="004B2808" w:rsidRDefault="00000000">
      <w:pPr>
        <w:pStyle w:val="Author-eListParagraph"/>
        <w:numPr>
          <w:ilvl w:val="0"/>
          <w:numId w:val="1136"/>
        </w:numPr>
      </w:pPr>
      <w:r>
        <w:t>Conductibilité thermique : maximum</w:t>
      </w:r>
      <w:r>
        <w:rPr>
          <w:rStyle w:val="optioncarChar"/>
        </w:rPr>
        <w:t> 0,034 </w:t>
      </w:r>
      <w:r>
        <w:t>(par défaut) </w:t>
      </w:r>
      <w:r>
        <w:rPr>
          <w:rStyle w:val="optioncarChar"/>
        </w:rPr>
        <w:t>/ *** </w:t>
      </w:r>
      <w:r>
        <w:t>W/mk à 10°C (selon la [NBN B 62-201] )</w:t>
      </w:r>
    </w:p>
    <w:p w14:paraId="52422995" w14:textId="77777777" w:rsidR="004B2808" w:rsidRDefault="00000000">
      <w:pPr>
        <w:pStyle w:val="Author-eListParagraph"/>
        <w:numPr>
          <w:ilvl w:val="0"/>
          <w:numId w:val="1136"/>
        </w:numPr>
      </w:pPr>
      <w:r>
        <w:t xml:space="preserve">Masse volumique : </w:t>
      </w:r>
      <w:r>
        <w:rPr>
          <w:rStyle w:val="optioncarChar"/>
        </w:rPr>
        <w:t>laine de verre au moins 16 kg\m²</w:t>
      </w:r>
      <w:r>
        <w:t> (par défaut)</w:t>
      </w:r>
      <w:r>
        <w:rPr>
          <w:rStyle w:val="optioncarChar"/>
        </w:rPr>
        <w:t xml:space="preserve"> / laine de roche au moins 30 kg\m² / ***.</w:t>
      </w:r>
    </w:p>
    <w:p w14:paraId="4F4223FA" w14:textId="77777777" w:rsidR="004B2808" w:rsidRDefault="00000000">
      <w:pPr>
        <w:pStyle w:val="Author-eListParagraph"/>
        <w:numPr>
          <w:ilvl w:val="0"/>
          <w:numId w:val="1136"/>
        </w:numPr>
      </w:pPr>
      <w:r>
        <w:t>Selon la [Décision 96/603/CE] du 4 octobre 1996 et les conditions qui y sont reprises, la laine minérale appartient à la classe de réaction au feu A1.</w:t>
      </w:r>
    </w:p>
    <w:p w14:paraId="376B0869" w14:textId="77777777" w:rsidR="004B2808" w:rsidRDefault="00000000">
      <w:pPr>
        <w:pStyle w:val="Author-eListParagraph"/>
        <w:numPr>
          <w:ilvl w:val="0"/>
          <w:numId w:val="1136"/>
        </w:numPr>
      </w:pPr>
      <w:r>
        <w:t xml:space="preserve">Epaisseur des plaques : minimum </w:t>
      </w:r>
      <w:r>
        <w:rPr>
          <w:rStyle w:val="optioncarChar"/>
        </w:rPr>
        <w:t>50</w:t>
      </w:r>
      <w:r>
        <w:t> (par défaut) </w:t>
      </w:r>
      <w:r>
        <w:rPr>
          <w:rStyle w:val="optioncarChar"/>
        </w:rPr>
        <w:t>/ *** </w:t>
      </w:r>
      <w:r>
        <w:t>mm.</w:t>
      </w:r>
    </w:p>
    <w:p w14:paraId="202E6EC6" w14:textId="77777777" w:rsidR="004B2808" w:rsidRDefault="00000000">
      <w:pPr>
        <w:pStyle w:val="pheading"/>
      </w:pPr>
      <w:r>
        <w:t>- Prescriptions complémentaires</w:t>
      </w:r>
    </w:p>
    <w:p w14:paraId="305C7879" w14:textId="77777777" w:rsidR="004B2808" w:rsidRDefault="00000000">
      <w:r>
        <w:t xml:space="preserve">L’ensemble du caisson présente une résistance au feu de </w:t>
      </w:r>
      <w:r>
        <w:rPr>
          <w:rStyle w:val="optioncarChar"/>
        </w:rPr>
        <w:t>REI 30</w:t>
      </w:r>
      <w:r>
        <w:t>(par défaut)</w:t>
      </w:r>
      <w:r>
        <w:rPr>
          <w:rStyle w:val="optioncarChar"/>
        </w:rPr>
        <w:t> / REI 60/ REI 120 / ***</w:t>
      </w:r>
      <w:r>
        <w:t xml:space="preserve"> selon la [NBN EN 13501-2] ou </w:t>
      </w:r>
      <w:r>
        <w:rPr>
          <w:rStyle w:val="optioncarChar"/>
        </w:rPr>
        <w:t>Rf 1\2 h</w:t>
      </w:r>
      <w:r>
        <w:t> (par défaut)</w:t>
      </w:r>
      <w:r>
        <w:rPr>
          <w:rStyle w:val="optioncarChar"/>
        </w:rPr>
        <w:t>/ Rf 1 h / Rf 2 h / ***</w:t>
      </w:r>
      <w:r>
        <w:t xml:space="preserve"> selon la [NBN 713-020] tant qu’elle est encore d’application. La performance de résistance au feu est attestée conformément prescriptions reprises dans l’arrêté royal Normes de base du 13 juin 2007 modifiant l’arrêté royal du 7 juillet 1994. Le caisson est posé en conformité totale avec les conditions de pose mentionnées dans le(s) rapport(s) d'essai. Le nombre de fixations et l'espacement des supports sont déterminés par le fabricant en respect de la stabilité au feu imposée.</w:t>
      </w:r>
      <w:r>
        <w:br/>
      </w:r>
      <w:r>
        <w:br/>
        <w:t xml:space="preserve">Les caissons appartiennent à la classe acoustique </w:t>
      </w:r>
      <w:r>
        <w:rPr>
          <w:rStyle w:val="optioncarChar"/>
        </w:rPr>
        <w:t xml:space="preserve">Ia </w:t>
      </w:r>
      <w:r>
        <w:t>(par défaut) </w:t>
      </w:r>
      <w:r>
        <w:rPr>
          <w:rStyle w:val="optioncarChar"/>
        </w:rPr>
        <w:t>/ IB/ Iia / IIB / ***</w:t>
      </w:r>
      <w:r>
        <w:t xml:space="preserve"> selon la [NBN S 01-400] . Les caissons sont pourvus d'une isolation acoustique adaptée conforme aux exigences d'isolation acoustique. Un certificat remis par un laboratoire belge agréé est soumis. Les caissons sont posés en conformité totale avec les conditions de pose mentionnées dans le rapport d'essai. </w:t>
      </w:r>
    </w:p>
    <w:p w14:paraId="66868BED" w14:textId="77777777" w:rsidR="004B2808" w:rsidRDefault="00000000">
      <w:pPr>
        <w:pStyle w:val="pheading"/>
      </w:pPr>
      <w:r>
        <w:t>EXÉCUTION / MISE EN ŒUVRE</w:t>
      </w:r>
    </w:p>
    <w:p w14:paraId="52B2F85C" w14:textId="77777777" w:rsidR="004B2808" w:rsidRDefault="00000000">
      <w:pPr>
        <w:pStyle w:val="pheading"/>
      </w:pPr>
      <w:r>
        <w:t>- Prescriptions générales</w:t>
      </w:r>
    </w:p>
    <w:p w14:paraId="36EEC587" w14:textId="77777777" w:rsidR="004B2808" w:rsidRDefault="00000000">
      <w:pPr>
        <w:pStyle w:val="heading"/>
      </w:pPr>
      <w:r>
        <w:lastRenderedPageBreak/>
        <w:t>Composition du caisson</w:t>
      </w:r>
    </w:p>
    <w:p w14:paraId="011C994C" w14:textId="77777777" w:rsidR="004B2808" w:rsidRDefault="00000000">
      <w:pPr>
        <w:pStyle w:val="Author-eListParagraph"/>
        <w:numPr>
          <w:ilvl w:val="0"/>
          <w:numId w:val="1137"/>
        </w:numPr>
      </w:pPr>
      <w:r>
        <w:t xml:space="preserve">Le cadre est réalisé au moyen d'une ossature en </w:t>
      </w:r>
      <w:r>
        <w:rPr>
          <w:rStyle w:val="optioncarChar"/>
        </w:rPr>
        <w:t xml:space="preserve">bois, (PNG, section *** x *** mm)  </w:t>
      </w:r>
      <w:r>
        <w:t>(par défaut) </w:t>
      </w:r>
      <w:r>
        <w:rPr>
          <w:rStyle w:val="optioncarChar"/>
        </w:rPr>
        <w:t>/ métal / ***</w:t>
      </w:r>
    </w:p>
    <w:p w14:paraId="4131B680" w14:textId="77777777" w:rsidR="004B2808" w:rsidRDefault="00000000">
      <w:pPr>
        <w:pStyle w:val="Author-eListParagraph"/>
        <w:numPr>
          <w:ilvl w:val="0"/>
          <w:numId w:val="1137"/>
        </w:numPr>
      </w:pPr>
      <w:r>
        <w:t xml:space="preserve">Le caisson est réalisé de </w:t>
      </w:r>
      <w:r>
        <w:rPr>
          <w:rStyle w:val="optioncarChar"/>
        </w:rPr>
        <w:t>plancher à plancher</w:t>
      </w:r>
      <w:r>
        <w:t> (par défaut)</w:t>
      </w:r>
      <w:r>
        <w:rPr>
          <w:rStyle w:val="optioncarChar"/>
        </w:rPr>
        <w:t xml:space="preserve"> / jusqu'à la hauteur du plafond suspendu / ***</w:t>
      </w:r>
    </w:p>
    <w:p w14:paraId="2B3327B1" w14:textId="77777777" w:rsidR="004B2808" w:rsidRDefault="00000000">
      <w:pPr>
        <w:pStyle w:val="Author-eListParagraph"/>
        <w:numPr>
          <w:ilvl w:val="0"/>
          <w:numId w:val="1137"/>
        </w:numPr>
      </w:pPr>
      <w:r>
        <w:t xml:space="preserve">Le caisson est placé </w:t>
      </w:r>
      <w:r>
        <w:rPr>
          <w:rStyle w:val="optioncarChar"/>
        </w:rPr>
        <w:t>sur la chape</w:t>
      </w:r>
      <w:r>
        <w:t> (par défaut)</w:t>
      </w:r>
      <w:r>
        <w:rPr>
          <w:rStyle w:val="optioncarChar"/>
        </w:rPr>
        <w:t xml:space="preserve"> / sur le revêtement de sol / ***</w:t>
      </w:r>
    </w:p>
    <w:p w14:paraId="64867269" w14:textId="77777777" w:rsidR="004B2808" w:rsidRDefault="00000000">
      <w:pPr>
        <w:pStyle w:val="heading"/>
      </w:pPr>
      <w:r>
        <w:t>Finition des plaques et des joints</w:t>
      </w:r>
    </w:p>
    <w:p w14:paraId="14E0206E" w14:textId="77777777" w:rsidR="004B2808" w:rsidRDefault="00000000">
      <w:r>
        <w:t>Choix opéré :</w:t>
      </w:r>
      <w:r>
        <w:rPr>
          <w:b/>
        </w:rPr>
        <w:t xml:space="preserve">  </w:t>
      </w:r>
      <w:r>
        <w:rPr>
          <w:rStyle w:val="optioncarChar"/>
          <w:b/>
        </w:rPr>
        <w:t>*** / OPTION 1 (joints longitudinaux ouverts) </w:t>
      </w:r>
      <w:r>
        <w:t>(par défaut)</w:t>
      </w:r>
      <w:r>
        <w:rPr>
          <w:rStyle w:val="optioncarChar"/>
          <w:b/>
        </w:rPr>
        <w:t xml:space="preserve"> / OPTION 2 (sans joints visibles)</w:t>
      </w:r>
    </w:p>
    <w:p w14:paraId="7548E038" w14:textId="77777777" w:rsidR="004B2808" w:rsidRDefault="00000000">
      <w:r>
        <w:rPr>
          <w:b/>
        </w:rPr>
        <w:t>***OPTION 1 (par défaut)</w:t>
      </w:r>
      <w:r>
        <w:t xml:space="preserve"> : Les plaques sont posées à joints longitudinaux ouverts sur une largeur de 3 à 4 mm et ensuite plafonnées. Le plafonnage est prévu dans un article séparé (voir art. </w:t>
      </w:r>
      <w:hyperlink w:anchor="1164" w:history="1">
        <w:r w:rsidR="004B2808">
          <w:rPr>
            <w:color w:val="0000EE"/>
          </w:rPr>
          <w:t>51.5 Revêtements intérieurs enduits</w:t>
        </w:r>
      </w:hyperlink>
      <w:r>
        <w:t>).</w:t>
      </w:r>
      <w:r>
        <w:br/>
      </w:r>
      <w:r>
        <w:rPr>
          <w:b/>
        </w:rPr>
        <w:t>***OPTION 2</w:t>
      </w:r>
      <w:r>
        <w:t xml:space="preserve"> : Les plaques sont parachevées sans joints visibles (destinées à être peintes, tapissées ou carrelées ultérieurement). Sur tous les angles extérieurs, on fixe des cornières de protection à angle arrondi plein et des ailes en métal fin déployé. Les angles extérieurs et intérieurs sont achevés avec des bandes de recouvrement et enduits en même temps que les têtes de vis avec un matériau approprié.</w:t>
      </w:r>
    </w:p>
    <w:p w14:paraId="07CEB065" w14:textId="77777777" w:rsidR="004B2808" w:rsidRDefault="00000000">
      <w:pPr>
        <w:pStyle w:val="pheading"/>
      </w:pPr>
      <w:r>
        <w:t>- Notes d’exécution complémentaires</w:t>
      </w:r>
    </w:p>
    <w:p w14:paraId="1F51C379" w14:textId="77777777" w:rsidR="004B2808" w:rsidRDefault="00000000">
      <w:r>
        <w:t>Couche de fond : les plaques sont achevées avec une couche de fond à base de résines</w:t>
      </w:r>
      <w:r>
        <w:rPr>
          <w:rStyle w:val="optioncarChar"/>
        </w:rPr>
        <w:t> synthétiques </w:t>
      </w:r>
      <w:r>
        <w:t>(par défaut)</w:t>
      </w:r>
      <w:r>
        <w:rPr>
          <w:rStyle w:val="optioncarChar"/>
        </w:rPr>
        <w:t xml:space="preserve"> / minérales / *** </w:t>
      </w:r>
      <w:r>
        <w:t>L'entrepreneur soumet les informations techniques de son produit avant de l'appliquer.</w:t>
      </w:r>
    </w:p>
    <w:p w14:paraId="1EC4B5F3" w14:textId="77777777" w:rsidR="004B2808" w:rsidRDefault="00000000">
      <w:pPr>
        <w:pStyle w:val="pheading"/>
      </w:pPr>
      <w:r>
        <w:t>MESURAGE</w:t>
      </w:r>
    </w:p>
    <w:p w14:paraId="7B84FF92" w14:textId="77777777" w:rsidR="004B2808" w:rsidRDefault="00000000">
      <w:r>
        <w:t>Conformément aux indications spécifiques dans le cahier spécial des charges et/ou le métré récapitulatif, le mesurage doit être conçu comme suit :</w:t>
      </w:r>
    </w:p>
    <w:p w14:paraId="384D6B24" w14:textId="77777777" w:rsidR="004B2808" w:rsidRDefault="00000000">
      <w:pPr>
        <w:pStyle w:val="pheading"/>
      </w:pPr>
      <w:r>
        <w:t>- unité de mesure:</w:t>
      </w:r>
    </w:p>
    <w:p w14:paraId="0D141B86" w14:textId="77777777" w:rsidR="004B2808" w:rsidRDefault="00000000">
      <w:r>
        <w:t>m²</w:t>
      </w:r>
    </w:p>
    <w:p w14:paraId="5770962E" w14:textId="77777777" w:rsidR="004B2808" w:rsidRDefault="00000000">
      <w:pPr>
        <w:pStyle w:val="pheading"/>
      </w:pPr>
      <w:r>
        <w:t>- code de mesurage:</w:t>
      </w:r>
    </w:p>
    <w:p w14:paraId="153E4CE3" w14:textId="77777777" w:rsidR="004B2808" w:rsidRDefault="00000000">
      <w:r>
        <w:t>Surface nette à exécuter.</w:t>
      </w:r>
    </w:p>
    <w:p w14:paraId="121862B4" w14:textId="77777777" w:rsidR="004B2808" w:rsidRDefault="00000000">
      <w:pPr>
        <w:pStyle w:val="pheading"/>
      </w:pPr>
      <w:r>
        <w:t>- nature du marché:</w:t>
      </w:r>
    </w:p>
    <w:p w14:paraId="4C8F5CBF" w14:textId="77777777" w:rsidR="004B2808" w:rsidRDefault="00000000">
      <w:r>
        <w:t>QF</w:t>
      </w:r>
    </w:p>
    <w:p w14:paraId="32E5DE8F" w14:textId="77777777" w:rsidR="004B2808" w:rsidRDefault="00000000">
      <w:pPr>
        <w:pStyle w:val="Author-eSectionHeading5Numberless"/>
      </w:pPr>
      <w:bookmarkStart w:id="1267" w:name="_Toc220491386"/>
      <w:r>
        <w:t>55.53.2 Habillage de gaines en bois CCTB 01.02</w:t>
      </w:r>
      <w:bookmarkEnd w:id="1267"/>
    </w:p>
    <w:p w14:paraId="3797DF41" w14:textId="77777777" w:rsidR="004B2808" w:rsidRDefault="00000000">
      <w:pPr>
        <w:pStyle w:val="Author-eSectionHeading6Numberless"/>
      </w:pPr>
      <w:bookmarkStart w:id="1268" w:name="_Toc220491387"/>
      <w:r>
        <w:t>55.53.2a Habillage de gaines en bois CCTB 01.11</w:t>
      </w:r>
      <w:bookmarkEnd w:id="1268"/>
    </w:p>
    <w:p w14:paraId="585C8925" w14:textId="77777777" w:rsidR="004B2808" w:rsidRDefault="00000000">
      <w:pPr>
        <w:pStyle w:val="pheading"/>
      </w:pPr>
      <w:r>
        <w:t>MATÉRIAUX</w:t>
      </w:r>
    </w:p>
    <w:p w14:paraId="710623AF" w14:textId="77777777" w:rsidR="004B2808" w:rsidRDefault="00000000">
      <w:pPr>
        <w:pStyle w:val="pheading"/>
      </w:pPr>
      <w:r>
        <w:t>- Caractéristiques générales</w:t>
      </w:r>
    </w:p>
    <w:p w14:paraId="1393E936" w14:textId="77777777" w:rsidR="004B2808" w:rsidRDefault="00000000">
      <w:pPr>
        <w:pStyle w:val="Author-eListParagraph"/>
        <w:numPr>
          <w:ilvl w:val="0"/>
          <w:numId w:val="1138"/>
        </w:numPr>
      </w:pPr>
      <w:r>
        <w:t>L'habillage des gaines pour les conduites est réalisé au moyen de:</w:t>
      </w:r>
    </w:p>
    <w:p w14:paraId="2C66812E" w14:textId="77777777" w:rsidR="004B2808" w:rsidRDefault="00000000">
      <w:pPr>
        <w:ind w:left="454"/>
      </w:pPr>
      <w:r>
        <w:t xml:space="preserve">Choix opéré: </w:t>
      </w:r>
      <w:r>
        <w:rPr>
          <w:rStyle w:val="optioncarChar"/>
        </w:rPr>
        <w:t>*** / OPTION 1 (lames de bois) </w:t>
      </w:r>
      <w:r>
        <w:t>(par défaut)</w:t>
      </w:r>
      <w:r>
        <w:rPr>
          <w:rStyle w:val="optioncarChar"/>
        </w:rPr>
        <w:t xml:space="preserve"> / OPTION 2 (plaques de contre-plaqué) / OPTION 3 (plaques stratifiées) / OPTION 4 (MDF) / OPTION 5 (panneaux de particules) / ***</w:t>
      </w:r>
    </w:p>
    <w:p w14:paraId="73767CE7" w14:textId="77777777" w:rsidR="004B2808" w:rsidRDefault="00000000">
      <w:pPr>
        <w:ind w:left="454"/>
      </w:pPr>
      <w:r>
        <w:rPr>
          <w:b/>
        </w:rPr>
        <w:t>***OPTION 1</w:t>
      </w:r>
      <w:r>
        <w:t xml:space="preserve">: en lames de bois massif </w:t>
      </w:r>
      <w:r>
        <w:br/>
        <w:t xml:space="preserve">- Essence : </w:t>
      </w:r>
      <w:r>
        <w:rPr>
          <w:rStyle w:val="optioncarChar"/>
        </w:rPr>
        <w:t>Sapin Rouge du Nord</w:t>
      </w:r>
      <w:r>
        <w:t> (par défaut)</w:t>
      </w:r>
      <w:r>
        <w:rPr>
          <w:rStyle w:val="optioncarChar"/>
        </w:rPr>
        <w:t xml:space="preserve"> / ***</w:t>
      </w:r>
      <w:r>
        <w:br/>
        <w:t>- Protection du bois : une couche de fond protège le bois contre la pourriture et les insectes; elle est appliquée sur toutes les faces avant la mise en place; cette couche de fond doit être compatible avec les finitions de peinture ultérieures</w:t>
      </w:r>
      <w:r>
        <w:br/>
      </w:r>
      <w:r>
        <w:rPr>
          <w:b/>
        </w:rPr>
        <w:t>***OPTION 2</w:t>
      </w:r>
      <w:r>
        <w:t xml:space="preserve">: en plaques de contre-plaqué conformément aux spécifications de la norme [NBN EN 636+A1] et finition de type </w:t>
      </w:r>
      <w:r>
        <w:rPr>
          <w:rStyle w:val="optioncarChar"/>
        </w:rPr>
        <w:t>I</w:t>
      </w:r>
      <w:r>
        <w:t xml:space="preserve"> (par défaut) </w:t>
      </w:r>
      <w:r>
        <w:rPr>
          <w:rStyle w:val="optioncarChar"/>
        </w:rPr>
        <w:t xml:space="preserve">/ II / *** </w:t>
      </w:r>
      <w:r>
        <w:t>selon la norme [NBN EN 635 série] .</w:t>
      </w:r>
      <w:r>
        <w:br/>
      </w:r>
      <w:r>
        <w:lastRenderedPageBreak/>
        <w:t xml:space="preserve">- Classe de colle : </w:t>
      </w:r>
      <w:r>
        <w:rPr>
          <w:rStyle w:val="optioncarChar"/>
        </w:rPr>
        <w:t>type 72-100 (WBP)</w:t>
      </w:r>
      <w:r>
        <w:t xml:space="preserve"> (par défaut)</w:t>
      </w:r>
      <w:r>
        <w:rPr>
          <w:rStyle w:val="optioncarChar"/>
        </w:rPr>
        <w:t> / ***</w:t>
      </w:r>
      <w:r>
        <w:br/>
        <w:t xml:space="preserve">- Finition de la couche de placage extérieure : </w:t>
      </w:r>
      <w:r>
        <w:rPr>
          <w:rStyle w:val="optioncarChar"/>
        </w:rPr>
        <w:t xml:space="preserve">*** </w:t>
      </w:r>
      <w:r>
        <w:br/>
        <w:t>- Finition de la surface :</w:t>
      </w:r>
      <w:r>
        <w:br/>
      </w:r>
      <w:r>
        <w:rPr>
          <w:b/>
        </w:rPr>
        <w:t>***OPTION 3</w:t>
      </w:r>
      <w:r>
        <w:t xml:space="preserve">: au moyen de plaques stratifiées imprégnées de résine mélamine décorative sous haute pression, selon la [NBN EN 438-7], de la classe HPL-EN 438 - S333 ou HPL-EN 438 - HGS, Type S avec une résistance à l'usure 3, une résistance aux chocs 3 et une résistance aux rayures 3. Epaisseur minimale </w:t>
      </w:r>
      <w:r>
        <w:rPr>
          <w:rStyle w:val="optioncarChar"/>
        </w:rPr>
        <w:t>0,8</w:t>
      </w:r>
      <w:r>
        <w:t> (par défaut) </w:t>
      </w:r>
      <w:r>
        <w:rPr>
          <w:rStyle w:val="optioncarChar"/>
        </w:rPr>
        <w:t>/ ***</w:t>
      </w:r>
      <w:r>
        <w:t>  mm. Aspect :</w:t>
      </w:r>
      <w:r>
        <w:rPr>
          <w:rStyle w:val="optioncarChar"/>
        </w:rPr>
        <w:t> couleur unie, surface légèrement structurée, choix de la couleur parmi au moins 50 coloris</w:t>
      </w:r>
      <w:r>
        <w:t xml:space="preserve"> (par défaut) </w:t>
      </w:r>
      <w:r>
        <w:rPr>
          <w:rStyle w:val="optioncarChar"/>
        </w:rPr>
        <w:t>/ ***.</w:t>
      </w:r>
      <w:r>
        <w:br/>
      </w:r>
      <w:r>
        <w:rPr>
          <w:b/>
        </w:rPr>
        <w:t>***OPTION 4</w:t>
      </w:r>
      <w:r>
        <w:t xml:space="preserve">: en </w:t>
      </w:r>
      <w:r>
        <w:rPr>
          <w:rStyle w:val="optioncarChar"/>
        </w:rPr>
        <w:t>MDF (Medium Density Fiberboard)</w:t>
      </w:r>
      <w:r>
        <w:t xml:space="preserve"> (par défaut) </w:t>
      </w:r>
      <w:r>
        <w:rPr>
          <w:rStyle w:val="optioncarChar"/>
        </w:rPr>
        <w:t>/ MDFH selon les prescriptions de la norme</w:t>
      </w:r>
      <w:r>
        <w:t>[NBN EN 622-5]</w:t>
      </w:r>
      <w:r>
        <w:rPr>
          <w:rStyle w:val="optioncarChar"/>
        </w:rPr>
        <w:t> / ***</w:t>
      </w:r>
      <w:r>
        <w:t>.</w:t>
      </w:r>
      <w:r>
        <w:br/>
      </w:r>
      <w:r>
        <w:rPr>
          <w:b/>
        </w:rPr>
        <w:t>***OPTION 5</w:t>
      </w:r>
      <w:r>
        <w:t xml:space="preserve">: en panneaux de particules de type </w:t>
      </w:r>
      <w:r>
        <w:rPr>
          <w:rStyle w:val="optioncarChar"/>
        </w:rPr>
        <w:t>P2</w:t>
      </w:r>
      <w:r>
        <w:t xml:space="preserve"> (par défaut) </w:t>
      </w:r>
      <w:r>
        <w:rPr>
          <w:rStyle w:val="optioncarChar"/>
        </w:rPr>
        <w:t>/ P3 / P5 / ***</w:t>
      </w:r>
    </w:p>
    <w:p w14:paraId="23A296CA" w14:textId="77777777" w:rsidR="004B2808" w:rsidRDefault="00000000">
      <w:pPr>
        <w:pStyle w:val="Author-eListParagraph"/>
        <w:numPr>
          <w:ilvl w:val="0"/>
          <w:numId w:val="1139"/>
        </w:numPr>
      </w:pPr>
      <w:r>
        <w:t xml:space="preserve">Réaction au feu : classe </w:t>
      </w:r>
      <w:r>
        <w:rPr>
          <w:rStyle w:val="optioncarChar"/>
        </w:rPr>
        <w:t>A1</w:t>
      </w:r>
      <w:r>
        <w:t> (par défaut)</w:t>
      </w:r>
      <w:r>
        <w:rPr>
          <w:rStyle w:val="optioncarChar"/>
        </w:rPr>
        <w:t xml:space="preserve"> / A2 / B / C / D / E / F / *** </w:t>
      </w:r>
      <w:r>
        <w:t xml:space="preserve"> selon la [NBN EN 13501-1].</w:t>
      </w:r>
    </w:p>
    <w:p w14:paraId="2F7F9A60" w14:textId="77777777" w:rsidR="004B2808" w:rsidRDefault="00000000">
      <w:pPr>
        <w:pStyle w:val="Author-eListParagraph"/>
        <w:numPr>
          <w:ilvl w:val="0"/>
          <w:numId w:val="1139"/>
        </w:numPr>
      </w:pPr>
      <w:r>
        <w:t>Classes additionnelles :</w:t>
      </w:r>
    </w:p>
    <w:p w14:paraId="4D522A4B" w14:textId="77777777" w:rsidR="004B2808" w:rsidRDefault="00000000">
      <w:pPr>
        <w:pStyle w:val="Author-eListParagraph"/>
        <w:numPr>
          <w:ilvl w:val="0"/>
          <w:numId w:val="1139"/>
        </w:numPr>
      </w:pPr>
      <w:r>
        <w:t xml:space="preserve">Production de fumée : exigence </w:t>
      </w:r>
      <w:r>
        <w:rPr>
          <w:rStyle w:val="optioncarChar"/>
        </w:rPr>
        <w:t>s1</w:t>
      </w:r>
      <w:r>
        <w:t> (par défaut)</w:t>
      </w:r>
      <w:r>
        <w:rPr>
          <w:rStyle w:val="optioncarChar"/>
        </w:rPr>
        <w:t xml:space="preserve"> / s2 / s3 / ***.</w:t>
      </w:r>
    </w:p>
    <w:p w14:paraId="642D5BC8" w14:textId="77777777" w:rsidR="004B2808" w:rsidRDefault="00000000">
      <w:pPr>
        <w:pStyle w:val="Author-eListParagraph"/>
        <w:numPr>
          <w:ilvl w:val="0"/>
          <w:numId w:val="1139"/>
        </w:numPr>
      </w:pPr>
      <w:r>
        <w:t xml:space="preserve">Gouttelettes et particules en feu : </w:t>
      </w:r>
      <w:r>
        <w:rPr>
          <w:rStyle w:val="optioncarChar"/>
        </w:rPr>
        <w:t>d0</w:t>
      </w:r>
      <w:r>
        <w:t> (par défaut)</w:t>
      </w:r>
      <w:r>
        <w:rPr>
          <w:rStyle w:val="optioncarChar"/>
        </w:rPr>
        <w:t xml:space="preserve"> / d1 / d2.</w:t>
      </w:r>
      <w:r>
        <w:t>  </w:t>
      </w:r>
    </w:p>
    <w:p w14:paraId="3B26EE02" w14:textId="77777777" w:rsidR="004B2808" w:rsidRDefault="00000000">
      <w:pPr>
        <w:pStyle w:val="heading"/>
      </w:pPr>
      <w:r>
        <w:t>Spécifications - matériau d'isolation</w:t>
      </w:r>
    </w:p>
    <w:p w14:paraId="5F85A136" w14:textId="77777777" w:rsidR="004B2808" w:rsidRDefault="00000000">
      <w:pPr>
        <w:pStyle w:val="Author-eListParagraph"/>
        <w:numPr>
          <w:ilvl w:val="0"/>
          <w:numId w:val="1140"/>
        </w:numPr>
      </w:pPr>
      <w:r>
        <w:t xml:space="preserve">Nature : </w:t>
      </w:r>
      <w:r>
        <w:rPr>
          <w:rStyle w:val="optioncarChar"/>
        </w:rPr>
        <w:t>pas d'isolation </w:t>
      </w:r>
      <w:r>
        <w:t>(par défaut)</w:t>
      </w:r>
      <w:r>
        <w:rPr>
          <w:rStyle w:val="optioncarChar"/>
        </w:rPr>
        <w:t xml:space="preserve"> / laine minérale selon les [STS 08.82] type TS / ***</w:t>
      </w:r>
    </w:p>
    <w:p w14:paraId="24867055" w14:textId="77777777" w:rsidR="004B2808" w:rsidRDefault="00000000">
      <w:pPr>
        <w:pStyle w:val="Author-eListParagraph"/>
        <w:numPr>
          <w:ilvl w:val="0"/>
          <w:numId w:val="1140"/>
        </w:numPr>
      </w:pPr>
      <w:r>
        <w:t>Conductibilité thermique : maximum 0,034 W/mk à 10°C (selon la [NBN B 62-201]</w:t>
      </w:r>
    </w:p>
    <w:p w14:paraId="54902CF1" w14:textId="77777777" w:rsidR="004B2808" w:rsidRDefault="00000000">
      <w:pPr>
        <w:pStyle w:val="Author-eListParagraph"/>
        <w:numPr>
          <w:ilvl w:val="0"/>
          <w:numId w:val="1140"/>
        </w:numPr>
      </w:pPr>
      <w:r>
        <w:t xml:space="preserve">Masse volumique : </w:t>
      </w:r>
      <w:r>
        <w:rPr>
          <w:rStyle w:val="optioncarChar"/>
        </w:rPr>
        <w:t>laine de verre d’au moins 16 kg\m3 </w:t>
      </w:r>
      <w:r>
        <w:t xml:space="preserve">(par défaut) </w:t>
      </w:r>
      <w:r>
        <w:rPr>
          <w:rStyle w:val="optioncarChar"/>
        </w:rPr>
        <w:t>/ laine de roche d’au moins 30 kg\m³</w:t>
      </w:r>
      <w:r>
        <w:t>.</w:t>
      </w:r>
    </w:p>
    <w:p w14:paraId="3A18FF01" w14:textId="77777777" w:rsidR="004B2808" w:rsidRDefault="00000000">
      <w:pPr>
        <w:pStyle w:val="Author-eListParagraph"/>
        <w:numPr>
          <w:ilvl w:val="0"/>
          <w:numId w:val="1140"/>
        </w:numPr>
      </w:pPr>
      <w:r>
        <w:t xml:space="preserve">Réaction au feu de l’habillage : peu combustible, </w:t>
      </w:r>
      <w:r>
        <w:rPr>
          <w:rStyle w:val="optioncarChar"/>
        </w:rPr>
        <w:t>A1</w:t>
      </w:r>
      <w:r>
        <w:t> (par défaut)</w:t>
      </w:r>
      <w:r>
        <w:rPr>
          <w:rStyle w:val="optioncarChar"/>
        </w:rPr>
        <w:t xml:space="preserve"> / A2 / B / ***</w:t>
      </w:r>
      <w:r>
        <w:t xml:space="preserve"> selon la [NBN EN 13501-1].</w:t>
      </w:r>
    </w:p>
    <w:p w14:paraId="6BFBA0F4" w14:textId="77777777" w:rsidR="004B2808" w:rsidRDefault="00000000">
      <w:pPr>
        <w:pStyle w:val="Author-eListParagraph"/>
        <w:numPr>
          <w:ilvl w:val="0"/>
          <w:numId w:val="1140"/>
        </w:numPr>
      </w:pPr>
      <w:r>
        <w:t xml:space="preserve">Epaisseur des plaques : minimum </w:t>
      </w:r>
      <w:r>
        <w:rPr>
          <w:rStyle w:val="optioncarChar"/>
        </w:rPr>
        <w:t>50</w:t>
      </w:r>
      <w:r>
        <w:t> (par défaut)</w:t>
      </w:r>
      <w:r>
        <w:rPr>
          <w:rStyle w:val="optioncarChar"/>
        </w:rPr>
        <w:t> / ***</w:t>
      </w:r>
      <w:r>
        <w:t>  mm.</w:t>
      </w:r>
    </w:p>
    <w:p w14:paraId="2F5A9772" w14:textId="77777777" w:rsidR="004B2808" w:rsidRDefault="00000000">
      <w:pPr>
        <w:pStyle w:val="pheading"/>
      </w:pPr>
      <w:r>
        <w:t>- Prescriptions complémentaires</w:t>
      </w:r>
    </w:p>
    <w:p w14:paraId="4170ABFB" w14:textId="77777777" w:rsidR="004B2808" w:rsidRDefault="00000000">
      <w:r>
        <w:t xml:space="preserve">Les caissons appartiennent à la classe acoustique </w:t>
      </w:r>
      <w:r>
        <w:rPr>
          <w:rStyle w:val="optioncarChar"/>
        </w:rPr>
        <w:t>IIIa </w:t>
      </w:r>
      <w:r>
        <w:t>(par défaut)</w:t>
      </w:r>
      <w:r>
        <w:rPr>
          <w:rStyle w:val="optioncarChar"/>
        </w:rPr>
        <w:t xml:space="preserve"> / IIa / ***</w:t>
      </w:r>
      <w:r>
        <w:t>selon la [NBN S 01-400] . L'ensemble est pourvu d'une isolation acoustique adaptée conforme aux exigences d'isolation acoustique. Un certificat remis par un laboratoire belge agréé est soumis. Les caissons sont posés en conformité totale avec les conditions de pose mentionnées dans le rapport d'essai.</w:t>
      </w:r>
    </w:p>
    <w:p w14:paraId="1A82A589" w14:textId="77777777" w:rsidR="004B2808" w:rsidRDefault="00000000">
      <w:pPr>
        <w:pStyle w:val="pheading"/>
      </w:pPr>
      <w:r>
        <w:t>EXÉCUTION / MISE EN ŒUVRE</w:t>
      </w:r>
    </w:p>
    <w:p w14:paraId="21153B15" w14:textId="77777777" w:rsidR="004B2808" w:rsidRDefault="00000000">
      <w:pPr>
        <w:pStyle w:val="pheading"/>
      </w:pPr>
      <w:r>
        <w:t>- Prescriptions générales</w:t>
      </w:r>
    </w:p>
    <w:p w14:paraId="468864F4" w14:textId="77777777" w:rsidR="004B2808" w:rsidRDefault="00000000">
      <w:pPr>
        <w:pStyle w:val="heading"/>
      </w:pPr>
      <w:r>
        <w:t>Composition des parois</w:t>
      </w:r>
    </w:p>
    <w:p w14:paraId="7995B3B0" w14:textId="77777777" w:rsidR="004B2808" w:rsidRDefault="00000000">
      <w:pPr>
        <w:pStyle w:val="Author-eListParagraph"/>
        <w:numPr>
          <w:ilvl w:val="0"/>
          <w:numId w:val="1141"/>
        </w:numPr>
      </w:pPr>
      <w:r>
        <w:t>Le cadre est construit sur la base d'une ossature en</w:t>
      </w:r>
      <w:r>
        <w:rPr>
          <w:rStyle w:val="optioncarChar"/>
        </w:rPr>
        <w:t xml:space="preserve"> bois, (PNG, section *** x *** mm) </w:t>
      </w:r>
      <w:r>
        <w:t>(par défaut) </w:t>
      </w:r>
      <w:r>
        <w:rPr>
          <w:rStyle w:val="optioncarChar"/>
        </w:rPr>
        <w:t>/ métal</w:t>
      </w:r>
      <w:r>
        <w:t>.</w:t>
      </w:r>
    </w:p>
    <w:p w14:paraId="7F1B58FA" w14:textId="77777777" w:rsidR="004B2808" w:rsidRDefault="00000000">
      <w:pPr>
        <w:pStyle w:val="Author-eListParagraph"/>
        <w:numPr>
          <w:ilvl w:val="0"/>
          <w:numId w:val="1141"/>
        </w:numPr>
      </w:pPr>
      <w:r>
        <w:t xml:space="preserve">L'habillage est exécuté </w:t>
      </w:r>
      <w:r>
        <w:rPr>
          <w:rStyle w:val="optioncarChar"/>
        </w:rPr>
        <w:t>de plancher à plancher</w:t>
      </w:r>
      <w:r>
        <w:t xml:space="preserve"> (par défaut) </w:t>
      </w:r>
      <w:r>
        <w:rPr>
          <w:rStyle w:val="optioncarChar"/>
        </w:rPr>
        <w:t>/ jusqu'au niveau du plafond suspendu / ***</w:t>
      </w:r>
    </w:p>
    <w:p w14:paraId="57315A57" w14:textId="77777777" w:rsidR="004B2808" w:rsidRDefault="00000000">
      <w:pPr>
        <w:pStyle w:val="Author-eListParagraph"/>
        <w:numPr>
          <w:ilvl w:val="0"/>
          <w:numId w:val="1141"/>
        </w:numPr>
      </w:pPr>
      <w:r>
        <w:t xml:space="preserve">Le caisson est placé sur </w:t>
      </w:r>
      <w:r>
        <w:rPr>
          <w:rStyle w:val="optioncarChar"/>
        </w:rPr>
        <w:t>la chape</w:t>
      </w:r>
      <w:r>
        <w:t> (par défaut)</w:t>
      </w:r>
      <w:r>
        <w:rPr>
          <w:rStyle w:val="optioncarChar"/>
        </w:rPr>
        <w:t xml:space="preserve"> / le revêtement de sol / ***</w:t>
      </w:r>
    </w:p>
    <w:p w14:paraId="1B63AE9F" w14:textId="77777777" w:rsidR="004B2808" w:rsidRDefault="00000000">
      <w:pPr>
        <w:pStyle w:val="heading"/>
      </w:pPr>
      <w:r>
        <w:t>Finition des plaques et des joints</w:t>
      </w:r>
    </w:p>
    <w:p w14:paraId="5A2EDCA2" w14:textId="77777777" w:rsidR="004B2808" w:rsidRDefault="00000000">
      <w:r>
        <w:t>Les têtes des clous sont enfoncées, les trous sont ensuite bouchés avec de la pâte à bois.</w:t>
      </w:r>
    </w:p>
    <w:p w14:paraId="52D308A5" w14:textId="77777777" w:rsidR="004B2808" w:rsidRDefault="00000000">
      <w:pPr>
        <w:pStyle w:val="pheading"/>
      </w:pPr>
      <w:r>
        <w:t>MESURAGE</w:t>
      </w:r>
    </w:p>
    <w:p w14:paraId="04FF7AF6" w14:textId="77777777" w:rsidR="004B2808" w:rsidRDefault="00000000">
      <w:r>
        <w:t>Conformément aux indications spécifiques dans le cahier spécial des charges et/ou le métré récapitulatif, le mesurage doit être conçu comme suit :</w:t>
      </w:r>
    </w:p>
    <w:p w14:paraId="581CDAC0" w14:textId="77777777" w:rsidR="004B2808" w:rsidRDefault="00000000">
      <w:pPr>
        <w:pStyle w:val="pheading"/>
      </w:pPr>
      <w:r>
        <w:t>- unité de mesure:</w:t>
      </w:r>
    </w:p>
    <w:p w14:paraId="6600D81B" w14:textId="77777777" w:rsidR="004B2808" w:rsidRDefault="00000000">
      <w:r>
        <w:t>m²</w:t>
      </w:r>
    </w:p>
    <w:p w14:paraId="496F7447" w14:textId="77777777" w:rsidR="004B2808" w:rsidRDefault="00000000">
      <w:pPr>
        <w:pStyle w:val="pheading"/>
      </w:pPr>
      <w:r>
        <w:t>- code de mesurage:</w:t>
      </w:r>
    </w:p>
    <w:p w14:paraId="53CC93EB" w14:textId="77777777" w:rsidR="004B2808" w:rsidRDefault="00000000">
      <w:r>
        <w:t>Surface nette à exécuter.</w:t>
      </w:r>
    </w:p>
    <w:p w14:paraId="6A538D30" w14:textId="77777777" w:rsidR="004B2808" w:rsidRDefault="00000000">
      <w:pPr>
        <w:pStyle w:val="pheading"/>
      </w:pPr>
      <w:r>
        <w:lastRenderedPageBreak/>
        <w:t>- nature du marché:</w:t>
      </w:r>
    </w:p>
    <w:p w14:paraId="225C5D14" w14:textId="77777777" w:rsidR="004B2808" w:rsidRDefault="00000000">
      <w:r>
        <w:t>QF</w:t>
      </w:r>
    </w:p>
    <w:p w14:paraId="4C6B9EA8" w14:textId="77777777" w:rsidR="004B2808" w:rsidRDefault="00000000">
      <w:pPr>
        <w:pStyle w:val="Author-eSectionHeading5Numberless"/>
      </w:pPr>
      <w:bookmarkStart w:id="1269" w:name="_Toc220491388"/>
      <w:r>
        <w:t>55.53.3 Habillage de gaines en matière synthétique CCTB 01.02</w:t>
      </w:r>
      <w:bookmarkEnd w:id="1269"/>
    </w:p>
    <w:p w14:paraId="57B27D6E" w14:textId="77777777" w:rsidR="004B2808" w:rsidRDefault="00000000">
      <w:pPr>
        <w:pStyle w:val="Author-eSectionHeading6Numberless"/>
      </w:pPr>
      <w:bookmarkStart w:id="1270" w:name="_Toc220491389"/>
      <w:r>
        <w:t>55.53.3a Habillage de gaines en matière synthétique CCTB 01.10</w:t>
      </w:r>
      <w:bookmarkEnd w:id="1270"/>
    </w:p>
    <w:p w14:paraId="7582BC19" w14:textId="77777777" w:rsidR="004B2808" w:rsidRDefault="00000000">
      <w:pPr>
        <w:pStyle w:val="pheading"/>
      </w:pPr>
      <w:r>
        <w:t>MATÉRIAUX</w:t>
      </w:r>
    </w:p>
    <w:p w14:paraId="337714CD" w14:textId="77777777" w:rsidR="004B2808" w:rsidRDefault="00000000">
      <w:pPr>
        <w:pStyle w:val="pheading"/>
      </w:pPr>
      <w:r>
        <w:t>- Caractéristiques générales</w:t>
      </w:r>
    </w:p>
    <w:p w14:paraId="7A65D0EA" w14:textId="77777777" w:rsidR="004B2808" w:rsidRDefault="00000000">
      <w:r>
        <w:t>Panneau de résine synthétique avec une âme massive et une densité de 1400 kg/m³. Le matériau doit être résistant aux coups, aux chocs et à l'usure. Il ne nécessite pas d'entretien et ne doit pas être encadré.</w:t>
      </w:r>
    </w:p>
    <w:p w14:paraId="2F0C960C" w14:textId="77777777" w:rsidR="004B2808" w:rsidRDefault="00000000">
      <w:pPr>
        <w:pStyle w:val="heading"/>
      </w:pPr>
      <w:r>
        <w:t>Spécifications</w:t>
      </w:r>
    </w:p>
    <w:p w14:paraId="10E519B6" w14:textId="77777777" w:rsidR="004B2808" w:rsidRDefault="00000000">
      <w:pPr>
        <w:pStyle w:val="Author-eListParagraph"/>
        <w:numPr>
          <w:ilvl w:val="0"/>
          <w:numId w:val="1142"/>
        </w:numPr>
      </w:pPr>
      <w:r>
        <w:t xml:space="preserve">Dimensions : </w:t>
      </w:r>
      <w:r>
        <w:rPr>
          <w:rStyle w:val="optioncarChar"/>
        </w:rPr>
        <w:t xml:space="preserve">*** </w:t>
      </w:r>
      <w:r>
        <w:t xml:space="preserve">x </w:t>
      </w:r>
      <w:r>
        <w:rPr>
          <w:rStyle w:val="optioncarChar"/>
        </w:rPr>
        <w:t xml:space="preserve">*** </w:t>
      </w:r>
      <w:r>
        <w:t>mm</w:t>
      </w:r>
    </w:p>
    <w:p w14:paraId="40181C4E" w14:textId="77777777" w:rsidR="004B2808" w:rsidRDefault="00000000">
      <w:pPr>
        <w:pStyle w:val="Author-eListParagraph"/>
        <w:numPr>
          <w:ilvl w:val="0"/>
          <w:numId w:val="1142"/>
        </w:numPr>
      </w:pPr>
      <w:r>
        <w:t xml:space="preserve">Epaisseur des panneaux : minimum </w:t>
      </w:r>
      <w:r>
        <w:rPr>
          <w:rStyle w:val="optioncarChar"/>
        </w:rPr>
        <w:t>8 </w:t>
      </w:r>
      <w:r>
        <w:t>(par défaut)</w:t>
      </w:r>
      <w:r>
        <w:rPr>
          <w:rStyle w:val="optioncarChar"/>
        </w:rPr>
        <w:t> / ***</w:t>
      </w:r>
      <w:r>
        <w:t> mm</w:t>
      </w:r>
    </w:p>
    <w:p w14:paraId="7802B739" w14:textId="77777777" w:rsidR="004B2808" w:rsidRDefault="00000000">
      <w:pPr>
        <w:pStyle w:val="pheading"/>
      </w:pPr>
      <w:r>
        <w:t>- Finitions</w:t>
      </w:r>
    </w:p>
    <w:p w14:paraId="1B3BEC36" w14:textId="77777777" w:rsidR="004B2808" w:rsidRDefault="00000000">
      <w:r>
        <w:t xml:space="preserve">Coloris : </w:t>
      </w:r>
      <w:r>
        <w:rPr>
          <w:rStyle w:val="optioncarChar"/>
        </w:rPr>
        <w:t>blanc</w:t>
      </w:r>
      <w:r>
        <w:t> (par défaut)</w:t>
      </w:r>
      <w:r>
        <w:rPr>
          <w:rStyle w:val="optioncarChar"/>
        </w:rPr>
        <w:t xml:space="preserve"> / à choisir dans la gamme standard du fabricant / ***</w:t>
      </w:r>
    </w:p>
    <w:p w14:paraId="64E199AC" w14:textId="77777777" w:rsidR="004B2808" w:rsidRDefault="00000000">
      <w:pPr>
        <w:pStyle w:val="pheading"/>
      </w:pPr>
      <w:r>
        <w:t>- Prescriptions complémentaires</w:t>
      </w:r>
    </w:p>
    <w:p w14:paraId="3DD15551" w14:textId="77777777" w:rsidR="004B2808" w:rsidRDefault="00000000">
      <w:r>
        <w:t xml:space="preserve">Les trappes de visite présentent une résistance au feu de </w:t>
      </w:r>
      <w:r>
        <w:rPr>
          <w:rStyle w:val="optioncarChar"/>
        </w:rPr>
        <w:t>EI 30</w:t>
      </w:r>
      <w:r>
        <w:t xml:space="preserve"> (par défaut)</w:t>
      </w:r>
      <w:r>
        <w:rPr>
          <w:rStyle w:val="optioncarChar"/>
        </w:rPr>
        <w:t> / EI 60 selon la [NBN EN 13501-2] ou Rf 1/2 h / Rf 1 h / Rf 2 h</w:t>
      </w:r>
      <w:r>
        <w:t xml:space="preserve"> selon la [NBN 713-020]. La performance de résistance au feu est attestée conformément à l’arrêté royal Normes de base du 13 juin 2007 modifiant l’arrêté royal du 7 juillet 1994. Les trappes de visite sont posées en conformité totale avec les conditions de pose mentionnées dans le(s) rapport(s) d'essai.</w:t>
      </w:r>
      <w:r>
        <w:br/>
      </w:r>
      <w:r>
        <w:br/>
        <w:t xml:space="preserve">Les trappes de visite appartiennent à la classe acoustique </w:t>
      </w:r>
      <w:r>
        <w:rPr>
          <w:rStyle w:val="optioncarChar"/>
        </w:rPr>
        <w:t>IIIa </w:t>
      </w:r>
      <w:r>
        <w:t>(par défaut)</w:t>
      </w:r>
      <w:r>
        <w:rPr>
          <w:rStyle w:val="optioncarChar"/>
        </w:rPr>
        <w:t xml:space="preserve"> / IIa / *** </w:t>
      </w:r>
      <w:r>
        <w:t>selon la[NBN S 01-400]. L'ensemble est pourvu d'une isolation acoustique adaptée conforme aux exigences d'isolation acoustique. Un certificat remis par un laboratoire belge agréé est soumis. Les trappes de visite sont posées en conformité totale avec les conditions de pose mentionnées dans le rapport d'essai. </w:t>
      </w:r>
    </w:p>
    <w:p w14:paraId="22C2EB9B" w14:textId="77777777" w:rsidR="004B2808" w:rsidRDefault="00000000">
      <w:pPr>
        <w:pStyle w:val="pheading"/>
      </w:pPr>
      <w:r>
        <w:t>EXÉCUTION / MISE EN ŒUVRE</w:t>
      </w:r>
    </w:p>
    <w:p w14:paraId="2AD5515B" w14:textId="77777777" w:rsidR="004B2808" w:rsidRDefault="00000000">
      <w:pPr>
        <w:pStyle w:val="pheading"/>
      </w:pPr>
      <w:r>
        <w:t>- Prescriptions générales</w:t>
      </w:r>
    </w:p>
    <w:p w14:paraId="549EE4CD" w14:textId="77777777" w:rsidR="004B2808" w:rsidRDefault="00000000">
      <w:r>
        <w:t xml:space="preserve">Le cadre est fixé dans l'ouverture de manière telle que la face avant des panneaux se situe </w:t>
      </w:r>
      <w:r>
        <w:rPr>
          <w:rStyle w:val="optioncarChar"/>
        </w:rPr>
        <w:t>dans le même plan</w:t>
      </w:r>
      <w:r>
        <w:t> (par défaut)</w:t>
      </w:r>
      <w:r>
        <w:rPr>
          <w:rStyle w:val="optioncarChar"/>
        </w:rPr>
        <w:t> / ***</w:t>
      </w:r>
      <w:r>
        <w:t xml:space="preserve"> que la surface du mur attenante.</w:t>
      </w:r>
      <w:r>
        <w:br/>
        <w:t xml:space="preserve">Les panneaux sont fixés </w:t>
      </w:r>
      <w:r>
        <w:rPr>
          <w:rStyle w:val="optioncarChar"/>
        </w:rPr>
        <w:t>par vissage</w:t>
      </w:r>
      <w:r>
        <w:t xml:space="preserve"> (par défaut) </w:t>
      </w:r>
      <w:r>
        <w:rPr>
          <w:rStyle w:val="optioncarChar"/>
        </w:rPr>
        <w:t>/ avec des charnières / ***</w:t>
      </w:r>
      <w:r>
        <w:t xml:space="preserve"> .</w:t>
      </w:r>
    </w:p>
    <w:p w14:paraId="6EBC7705" w14:textId="77777777" w:rsidR="004B2808" w:rsidRDefault="00000000">
      <w:pPr>
        <w:pStyle w:val="pheading"/>
      </w:pPr>
      <w:r>
        <w:t>MESURAGE</w:t>
      </w:r>
    </w:p>
    <w:p w14:paraId="4F2EDFE5" w14:textId="77777777" w:rsidR="004B2808" w:rsidRDefault="00000000">
      <w:r>
        <w:t>Conformément aux indications spécifiques dans le cahier spécial des charges et/ou le métré récapitulatif, le mesurage doit être conçu comme suit :</w:t>
      </w:r>
    </w:p>
    <w:p w14:paraId="54502F61" w14:textId="77777777" w:rsidR="004B2808" w:rsidRDefault="00000000">
      <w:pPr>
        <w:pStyle w:val="pheading"/>
      </w:pPr>
      <w:r>
        <w:t>- unité de mesure:</w:t>
      </w:r>
    </w:p>
    <w:p w14:paraId="23367841" w14:textId="77777777" w:rsidR="004B2808" w:rsidRDefault="00000000">
      <w:r>
        <w:t>m²</w:t>
      </w:r>
    </w:p>
    <w:p w14:paraId="7BB00B2F" w14:textId="77777777" w:rsidR="004B2808" w:rsidRDefault="00000000">
      <w:pPr>
        <w:pStyle w:val="pheading"/>
      </w:pPr>
      <w:r>
        <w:t>- code de mesurage:</w:t>
      </w:r>
    </w:p>
    <w:p w14:paraId="2BAA0568" w14:textId="77777777" w:rsidR="004B2808" w:rsidRDefault="00000000">
      <w:r>
        <w:t>Surface nette à exécuter.</w:t>
      </w:r>
    </w:p>
    <w:p w14:paraId="349E4006" w14:textId="77777777" w:rsidR="004B2808" w:rsidRDefault="00000000">
      <w:pPr>
        <w:pStyle w:val="pheading"/>
      </w:pPr>
      <w:r>
        <w:t>- nature du marché:</w:t>
      </w:r>
    </w:p>
    <w:p w14:paraId="360AE678" w14:textId="77777777" w:rsidR="004B2808" w:rsidRDefault="00000000">
      <w:r>
        <w:t>QF</w:t>
      </w:r>
    </w:p>
    <w:p w14:paraId="5B385D96" w14:textId="77777777" w:rsidR="004B2808" w:rsidRDefault="00000000">
      <w:pPr>
        <w:pStyle w:val="Author-eSectionHeading5Numberless"/>
      </w:pPr>
      <w:bookmarkStart w:id="1271" w:name="_Toc220491390"/>
      <w:r>
        <w:t>55.53.4 Habillage de gaines en fibres ciments CCTB 01.02</w:t>
      </w:r>
      <w:bookmarkEnd w:id="1271"/>
    </w:p>
    <w:p w14:paraId="1C6B3516" w14:textId="77777777" w:rsidR="004B2808" w:rsidRDefault="00000000">
      <w:pPr>
        <w:pStyle w:val="Author-eSectionHeading6Numberless"/>
      </w:pPr>
      <w:bookmarkStart w:id="1272" w:name="_Toc220491391"/>
      <w:r>
        <w:t>55.53.4a Habillage de gaines en fibres ciments CCTB 01.07</w:t>
      </w:r>
      <w:bookmarkEnd w:id="1272"/>
    </w:p>
    <w:p w14:paraId="57E04E8E" w14:textId="77777777" w:rsidR="004B2808" w:rsidRDefault="00000000">
      <w:pPr>
        <w:pStyle w:val="pheading"/>
      </w:pPr>
      <w:r>
        <w:lastRenderedPageBreak/>
        <w:t>MATÉRIAUX</w:t>
      </w:r>
    </w:p>
    <w:p w14:paraId="533274F4" w14:textId="77777777" w:rsidR="004B2808" w:rsidRDefault="00000000">
      <w:pPr>
        <w:pStyle w:val="pheading"/>
      </w:pPr>
      <w:r>
        <w:t>- Caractéristiques générales</w:t>
      </w:r>
    </w:p>
    <w:p w14:paraId="51BD8689" w14:textId="77777777" w:rsidR="004B2808" w:rsidRDefault="00000000">
      <w:r>
        <w:t>Panneaux de fibres-ciment autoclavés, doublement comprimés, d'une densité d'environ 1600 kg/m³. Le matériau doit être résistant aux coups, aux chocs et à l'usure. Il ne nécessite pas d'entretien et ne doit pas être encadré.</w:t>
      </w:r>
    </w:p>
    <w:p w14:paraId="6EDF2410" w14:textId="77777777" w:rsidR="004B2808" w:rsidRDefault="00000000">
      <w:pPr>
        <w:pStyle w:val="heading"/>
      </w:pPr>
      <w:r>
        <w:t>Spécifications</w:t>
      </w:r>
    </w:p>
    <w:p w14:paraId="0177620B" w14:textId="77777777" w:rsidR="004B2808" w:rsidRDefault="00000000">
      <w:pPr>
        <w:pStyle w:val="Author-eListParagraph"/>
        <w:numPr>
          <w:ilvl w:val="0"/>
          <w:numId w:val="1143"/>
        </w:numPr>
      </w:pPr>
      <w:r>
        <w:t xml:space="preserve">Dimensions : </w:t>
      </w:r>
      <w:r>
        <w:rPr>
          <w:rStyle w:val="optioncarChar"/>
        </w:rPr>
        <w:t xml:space="preserve">*** </w:t>
      </w:r>
      <w:r>
        <w:t xml:space="preserve">x </w:t>
      </w:r>
      <w:r>
        <w:rPr>
          <w:rStyle w:val="optioncarChar"/>
        </w:rPr>
        <w:t xml:space="preserve">*** </w:t>
      </w:r>
      <w:r>
        <w:t>mm</w:t>
      </w:r>
    </w:p>
    <w:p w14:paraId="5BF8E695" w14:textId="77777777" w:rsidR="004B2808" w:rsidRDefault="00000000">
      <w:pPr>
        <w:pStyle w:val="Author-eListParagraph"/>
        <w:numPr>
          <w:ilvl w:val="0"/>
          <w:numId w:val="1143"/>
        </w:numPr>
      </w:pPr>
      <w:r>
        <w:t xml:space="preserve">Epaisseur des panneaux : minimum </w:t>
      </w:r>
      <w:r>
        <w:rPr>
          <w:rStyle w:val="optioncarChar"/>
        </w:rPr>
        <w:t>*** / 6 / 8 / 10 / 12 / 15 / 18 / 20 / 25 / *** </w:t>
      </w:r>
    </w:p>
    <w:p w14:paraId="76B2D0DF" w14:textId="77777777" w:rsidR="004B2808" w:rsidRDefault="00000000">
      <w:pPr>
        <w:pStyle w:val="Author-eListParagraph"/>
        <w:numPr>
          <w:ilvl w:val="0"/>
          <w:numId w:val="1143"/>
        </w:numPr>
      </w:pPr>
      <w:r>
        <w:t xml:space="preserve">Traitement de surface : </w:t>
      </w:r>
      <w:r>
        <w:rPr>
          <w:rStyle w:val="optioncarChar"/>
        </w:rPr>
        <w:t>***</w:t>
      </w:r>
    </w:p>
    <w:p w14:paraId="4503F226" w14:textId="77777777" w:rsidR="004B2808" w:rsidRDefault="00000000">
      <w:pPr>
        <w:pStyle w:val="pheading"/>
      </w:pPr>
      <w:r>
        <w:t>- Finitions</w:t>
      </w:r>
    </w:p>
    <w:p w14:paraId="436D6E73" w14:textId="77777777" w:rsidR="004B2808" w:rsidRDefault="00000000">
      <w:r>
        <w:t>Coloris :  </w:t>
      </w:r>
      <w:r>
        <w:rPr>
          <w:rStyle w:val="optioncarChar"/>
        </w:rPr>
        <w:t>*** / gris </w:t>
      </w:r>
      <w:r>
        <w:t> </w:t>
      </w:r>
    </w:p>
    <w:p w14:paraId="58331907" w14:textId="77777777" w:rsidR="004B2808" w:rsidRDefault="00000000">
      <w:pPr>
        <w:pStyle w:val="pheading"/>
      </w:pPr>
      <w:r>
        <w:t>- Prescriptions complémentaires</w:t>
      </w:r>
    </w:p>
    <w:p w14:paraId="3B5406EC" w14:textId="77777777" w:rsidR="004B2808" w:rsidRDefault="00000000">
      <w:pPr>
        <w:pStyle w:val="Author-eListParagraph"/>
        <w:numPr>
          <w:ilvl w:val="0"/>
          <w:numId w:val="1144"/>
        </w:numPr>
      </w:pPr>
      <w:r>
        <w:t xml:space="preserve">Les trappes de visite présentent une résistance au feu de </w:t>
      </w:r>
      <w:r>
        <w:rPr>
          <w:rStyle w:val="optioncarChar"/>
        </w:rPr>
        <w:t xml:space="preserve">*** / EI 30 / EI 60 </w:t>
      </w:r>
      <w:r>
        <w:t xml:space="preserve">selon la [NBN EN 13501-2] ou </w:t>
      </w:r>
      <w:r>
        <w:rPr>
          <w:rStyle w:val="optioncarChar"/>
        </w:rPr>
        <w:t>Rf 1\2 h / Rf 1 h / Rf 2 h</w:t>
      </w:r>
      <w:r>
        <w:t xml:space="preserve"> selon la [NBN 713-020]. La performance de résistance au feu est attestée conformément à l’arrêté royal Normes de base du 13 juin 2007 modifiant l’arrêté royal du 7 juillet 1994. Les trappes de visite sont posées en conformité totale avec les conditions de pose mentionnées dans le(s) rapport(s) d'essai.</w:t>
      </w:r>
    </w:p>
    <w:p w14:paraId="219A5C5C" w14:textId="77777777" w:rsidR="004B2808" w:rsidRDefault="00000000">
      <w:pPr>
        <w:pStyle w:val="Author-eListParagraph"/>
        <w:numPr>
          <w:ilvl w:val="0"/>
          <w:numId w:val="1144"/>
        </w:numPr>
      </w:pPr>
      <w:r>
        <w:t>Les trappes de visite appartiennent à la classe acoustique </w:t>
      </w:r>
      <w:r>
        <w:rPr>
          <w:rStyle w:val="optioncarChar"/>
        </w:rPr>
        <w:t>*** /  IIIa / IIa / ***</w:t>
      </w:r>
      <w:r>
        <w:t xml:space="preserve"> selon la [NBN S 01-400] . L'ensemble est pourvu d'une isolation acoustique adaptée conforme aux exigences d'isolation acoustique. Un certificat remis par un laboratoire belge agréé est soumis. Les trappes de visite sont posées en conformité totale avec les conditions de pose mentionnées dans le rapport d'essai.</w:t>
      </w:r>
    </w:p>
    <w:p w14:paraId="39D5F9FB" w14:textId="77777777" w:rsidR="004B2808" w:rsidRDefault="00000000">
      <w:pPr>
        <w:pStyle w:val="pheading"/>
      </w:pPr>
      <w:r>
        <w:t>EXÉCUTION / MISE EN ŒUVRE</w:t>
      </w:r>
    </w:p>
    <w:p w14:paraId="60E3F3BD" w14:textId="77777777" w:rsidR="004B2808" w:rsidRDefault="00000000">
      <w:pPr>
        <w:pStyle w:val="pheading"/>
      </w:pPr>
      <w:r>
        <w:t>- Prescriptions générales</w:t>
      </w:r>
    </w:p>
    <w:p w14:paraId="240A8688" w14:textId="77777777" w:rsidR="004B2808" w:rsidRDefault="00000000">
      <w:pPr>
        <w:pStyle w:val="Author-eListParagraph"/>
        <w:numPr>
          <w:ilvl w:val="0"/>
          <w:numId w:val="1145"/>
        </w:numPr>
      </w:pPr>
      <w:r>
        <w:t xml:space="preserve"> Le cadre est fixé dans l'ouverture de manière telle que la face avant des panneaux se situe </w:t>
      </w:r>
      <w:r>
        <w:rPr>
          <w:rStyle w:val="optioncarChar"/>
        </w:rPr>
        <w:t>*** / dans le même plan</w:t>
      </w:r>
      <w:r>
        <w:t xml:space="preserve"> que la surface du mur attenante. </w:t>
      </w:r>
    </w:p>
    <w:p w14:paraId="42D7E653" w14:textId="77777777" w:rsidR="004B2808" w:rsidRDefault="00000000">
      <w:pPr>
        <w:pStyle w:val="Author-eListParagraph"/>
        <w:numPr>
          <w:ilvl w:val="0"/>
          <w:numId w:val="1145"/>
        </w:numPr>
      </w:pPr>
      <w:r>
        <w:t xml:space="preserve">Les panneaux sont fixés </w:t>
      </w:r>
      <w:r>
        <w:rPr>
          <w:rStyle w:val="optioncarChar"/>
        </w:rPr>
        <w:t>*** / par vissage / avec des charnières</w:t>
      </w:r>
    </w:p>
    <w:p w14:paraId="6FABCC9A" w14:textId="77777777" w:rsidR="004B2808" w:rsidRDefault="00000000">
      <w:pPr>
        <w:pStyle w:val="pheading"/>
      </w:pPr>
      <w:r>
        <w:t>MESURAGE</w:t>
      </w:r>
    </w:p>
    <w:p w14:paraId="2CD5109B" w14:textId="77777777" w:rsidR="004B2808" w:rsidRDefault="00000000">
      <w:r>
        <w:t>Conformément aux indications spécifiques dans le cahier spécial des charges et/ou le métré récapitulatif, le mesurage doit être conçu comme suit :</w:t>
      </w:r>
    </w:p>
    <w:p w14:paraId="04EACA14" w14:textId="77777777" w:rsidR="004B2808" w:rsidRDefault="00000000">
      <w:pPr>
        <w:pStyle w:val="pheading"/>
      </w:pPr>
      <w:r>
        <w:t>- unité de mesure:</w:t>
      </w:r>
    </w:p>
    <w:p w14:paraId="3E57047B" w14:textId="77777777" w:rsidR="004B2808" w:rsidRDefault="00000000">
      <w:r>
        <w:t>m²</w:t>
      </w:r>
    </w:p>
    <w:p w14:paraId="2B53CAC3" w14:textId="77777777" w:rsidR="004B2808" w:rsidRDefault="00000000">
      <w:pPr>
        <w:pStyle w:val="pheading"/>
      </w:pPr>
      <w:r>
        <w:t>- code de mesurage:</w:t>
      </w:r>
    </w:p>
    <w:p w14:paraId="489659C8" w14:textId="77777777" w:rsidR="004B2808" w:rsidRDefault="00000000">
      <w:r>
        <w:t>Surface nette à exécuter.</w:t>
      </w:r>
    </w:p>
    <w:p w14:paraId="4AFF174F" w14:textId="77777777" w:rsidR="004B2808" w:rsidRDefault="00000000">
      <w:pPr>
        <w:pStyle w:val="pheading"/>
      </w:pPr>
      <w:r>
        <w:t>- nature du marché:</w:t>
      </w:r>
    </w:p>
    <w:p w14:paraId="372E20BE" w14:textId="77777777" w:rsidR="004B2808" w:rsidRDefault="00000000">
      <w:r>
        <w:t>QF</w:t>
      </w:r>
    </w:p>
    <w:p w14:paraId="7FAAFA34" w14:textId="77777777" w:rsidR="004B2808" w:rsidRDefault="00000000">
      <w:pPr>
        <w:pStyle w:val="Author-eSectionHeading4Numberless"/>
      </w:pPr>
      <w:bookmarkStart w:id="1273" w:name="_Toc220491392"/>
      <w:r>
        <w:t>55.54 Trappes de visite CCTB 01.11</w:t>
      </w:r>
      <w:bookmarkEnd w:id="1273"/>
    </w:p>
    <w:p w14:paraId="5D4D8D48" w14:textId="77777777" w:rsidR="004B2808" w:rsidRDefault="00000000">
      <w:pPr>
        <w:pStyle w:val="pheading"/>
      </w:pPr>
      <w:r>
        <w:t>DESCRIPTION</w:t>
      </w:r>
    </w:p>
    <w:p w14:paraId="0331EEAF" w14:textId="77777777" w:rsidR="004B2808" w:rsidRDefault="00000000">
      <w:pPr>
        <w:pStyle w:val="pheading"/>
      </w:pPr>
      <w:r>
        <w:t>- Définition / Comprend</w:t>
      </w:r>
    </w:p>
    <w:p w14:paraId="2D9E55CA" w14:textId="77777777" w:rsidR="004B2808" w:rsidRDefault="00000000">
      <w:r>
        <w:t>Il s'agit de la fourniture et de la pose de tous les matériaux en vue de la réalisation des trappes de visite pour l'inspection des gaines des conduites, construites en maçonnerie et/ou revêtues de matériaux en plaques.</w:t>
      </w:r>
    </w:p>
    <w:p w14:paraId="2E4DF24A" w14:textId="77777777" w:rsidR="004B2808" w:rsidRDefault="00000000">
      <w:pPr>
        <w:pStyle w:val="pheading"/>
      </w:pPr>
      <w:r>
        <w:lastRenderedPageBreak/>
        <w:t>MATÉRIAUX</w:t>
      </w:r>
    </w:p>
    <w:p w14:paraId="7F54CB6F" w14:textId="77777777" w:rsidR="004B2808" w:rsidRDefault="00000000">
      <w:r>
        <w:t>La composition et les matériaux utilisés doivent correspondre aux exigences en matière d'isolation acoustique et de résistance au feu. Les panneaux conviennent pour usage en milieu humide et sont livrés prêts à peindre.</w:t>
      </w:r>
    </w:p>
    <w:p w14:paraId="730D5742" w14:textId="77777777" w:rsidR="004B2808" w:rsidRDefault="00000000">
      <w:pPr>
        <w:pStyle w:val="pheading"/>
      </w:pPr>
      <w:r>
        <w:t>EXÉCUTION / MISE EN ŒUVRE</w:t>
      </w:r>
    </w:p>
    <w:p w14:paraId="61D97B95" w14:textId="77777777" w:rsidR="004B2808" w:rsidRDefault="00000000">
      <w:r>
        <w:t xml:space="preserve">Les trappes de visite sont disposées judicieusement et ergonomiquement, à la hauteur des bouchons de visite, robinets d'installation, </w:t>
      </w:r>
      <w:r>
        <w:rPr>
          <w:rStyle w:val="optioncarChar"/>
        </w:rPr>
        <w:t>***</w:t>
      </w:r>
      <w:r>
        <w:br/>
        <w:t xml:space="preserve">Le cadre est posé de façon telle que la face avant des panneaux se situe dans le même plan que la face finie du mur </w:t>
      </w:r>
      <w:r>
        <w:rPr>
          <w:rStyle w:val="optioncarChar"/>
        </w:rPr>
        <w:t>en maçonnerie plafonnée</w:t>
      </w:r>
      <w:r>
        <w:t> (par défaut)</w:t>
      </w:r>
      <w:r>
        <w:rPr>
          <w:rStyle w:val="optioncarChar"/>
        </w:rPr>
        <w:t xml:space="preserve"> / de l'habillage prescrit / ***.</w:t>
      </w:r>
      <w:r>
        <w:br/>
        <w:t xml:space="preserve">Les panneaux de visite sont fixés avec </w:t>
      </w:r>
      <w:r>
        <w:rPr>
          <w:rStyle w:val="optioncarChar"/>
        </w:rPr>
        <w:t>des charnières</w:t>
      </w:r>
      <w:r>
        <w:t> (par défaut)</w:t>
      </w:r>
      <w:r>
        <w:rPr>
          <w:rStyle w:val="optioncarChar"/>
        </w:rPr>
        <w:t>/ des vis décoratives en laiton chromé avec les rondelles correspondantes / ***.</w:t>
      </w:r>
      <w:r>
        <w:br/>
        <w:t>Les panneaux sont fixés soigneusement. Les panneaux articulés sont suspendus soigneusement afin que le panneau ne coince pas. Les éventuels carrelages attenants sont toujours terminés avec un profil de finition approprié.</w:t>
      </w:r>
    </w:p>
    <w:p w14:paraId="6F66DFAA" w14:textId="77777777" w:rsidR="004B2808" w:rsidRDefault="00000000">
      <w:pPr>
        <w:pStyle w:val="Author-eSectionHeading5Numberless"/>
      </w:pPr>
      <w:bookmarkStart w:id="1274" w:name="_Toc220491393"/>
      <w:r>
        <w:t>55.54.1 Trappes de visite en bois CCTB 01.02</w:t>
      </w:r>
      <w:bookmarkEnd w:id="1274"/>
    </w:p>
    <w:p w14:paraId="589F631C" w14:textId="77777777" w:rsidR="004B2808" w:rsidRDefault="00000000">
      <w:pPr>
        <w:pStyle w:val="Author-eSectionHeading6Numberless"/>
      </w:pPr>
      <w:bookmarkStart w:id="1275" w:name="_Toc220491394"/>
      <w:r>
        <w:t>55.54.1a Trappes de visite en bois CCTB 01.11</w:t>
      </w:r>
      <w:bookmarkEnd w:id="1275"/>
    </w:p>
    <w:p w14:paraId="75AA07CE" w14:textId="77777777" w:rsidR="004B2808" w:rsidRDefault="00000000">
      <w:pPr>
        <w:pStyle w:val="pheading"/>
      </w:pPr>
      <w:r>
        <w:t>MATÉRIAUX</w:t>
      </w:r>
    </w:p>
    <w:p w14:paraId="16FA537D" w14:textId="77777777" w:rsidR="004B2808" w:rsidRDefault="00000000">
      <w:pPr>
        <w:pStyle w:val="pheading"/>
      </w:pPr>
      <w:r>
        <w:t>- Caractéristiques générales</w:t>
      </w:r>
    </w:p>
    <w:p w14:paraId="1C619A62" w14:textId="77777777" w:rsidR="004B2808" w:rsidRDefault="00000000">
      <w:r>
        <w:t>L'habillage des gaines pour les conduites est réalisé au moyen de:</w:t>
      </w:r>
    </w:p>
    <w:p w14:paraId="676C6F60" w14:textId="77777777" w:rsidR="004B2808" w:rsidRDefault="00000000">
      <w:r>
        <w:t>Choix opéré</w:t>
      </w:r>
      <w:r>
        <w:rPr>
          <w:b/>
        </w:rPr>
        <w:t xml:space="preserve">: </w:t>
      </w:r>
      <w:r>
        <w:rPr>
          <w:rStyle w:val="optioncarChar"/>
          <w:b/>
        </w:rPr>
        <w:t>*** / OPTION 1 (lames de bois) </w:t>
      </w:r>
      <w:r>
        <w:t xml:space="preserve">(par défaut) </w:t>
      </w:r>
      <w:r>
        <w:rPr>
          <w:rStyle w:val="optioncarChar"/>
          <w:b/>
        </w:rPr>
        <w:t>/ OPTION 2 (plaques de contre-plaqué) / OPTION 3 (plaques stratifiées) / OPTION 4 (MDF) / OPTION 5 (panneaux de particules) / ***</w:t>
      </w:r>
    </w:p>
    <w:p w14:paraId="45F9A48B" w14:textId="77777777" w:rsidR="004B2808" w:rsidRDefault="00000000">
      <w:r>
        <w:rPr>
          <w:b/>
        </w:rPr>
        <w:t>***OPTION 1</w:t>
      </w:r>
      <w:r>
        <w:t> (par défaut)</w:t>
      </w:r>
      <w:r>
        <w:rPr>
          <w:b/>
        </w:rPr>
        <w:t> </w:t>
      </w:r>
      <w:r>
        <w:t xml:space="preserve">: en lames de bois massif </w:t>
      </w:r>
      <w:r>
        <w:br/>
        <w:t xml:space="preserve">- Essence : </w:t>
      </w:r>
      <w:r>
        <w:rPr>
          <w:rStyle w:val="optioncarChar"/>
        </w:rPr>
        <w:t>Sapin Rouge du Nord</w:t>
      </w:r>
      <w:r>
        <w:t xml:space="preserve"> (par défaut)</w:t>
      </w:r>
      <w:r>
        <w:rPr>
          <w:rStyle w:val="optioncarChar"/>
        </w:rPr>
        <w:t> / ***</w:t>
      </w:r>
      <w:r>
        <w:br/>
        <w:t>- Protection du bois : une couche de fond protège le bois contre la pourriture et les insectes; elle est appliquée sur toutes les faces avant la mise en place; cette couche de fond doit être compatible avec les finitions de peinture ultérieures</w:t>
      </w:r>
      <w:r>
        <w:br/>
      </w:r>
      <w:r>
        <w:rPr>
          <w:b/>
        </w:rPr>
        <w:t>***OPTION 2</w:t>
      </w:r>
      <w:r>
        <w:t>: en plaques de contre-plaqué conformément aux spécifications de la norme[NBN EN 636+A1] et finition de type</w:t>
      </w:r>
      <w:r>
        <w:rPr>
          <w:rStyle w:val="optioncarChar"/>
        </w:rPr>
        <w:t> I </w:t>
      </w:r>
      <w:r>
        <w:t>(par défaut)</w:t>
      </w:r>
      <w:r>
        <w:rPr>
          <w:rStyle w:val="optioncarChar"/>
        </w:rPr>
        <w:t xml:space="preserve"> / II / *** </w:t>
      </w:r>
      <w:r>
        <w:t>selon la norme [NBN EN 635 série] .</w:t>
      </w:r>
      <w:r>
        <w:br/>
        <w:t>- Classe de colle :</w:t>
      </w:r>
      <w:r>
        <w:rPr>
          <w:rStyle w:val="optioncarChar"/>
        </w:rPr>
        <w:t xml:space="preserve"> type 72-100 (WBP) </w:t>
      </w:r>
      <w:r>
        <w:t>(par défaut) </w:t>
      </w:r>
      <w:r>
        <w:rPr>
          <w:rStyle w:val="optioncarChar"/>
        </w:rPr>
        <w:t>/ ***</w:t>
      </w:r>
      <w:r>
        <w:br/>
        <w:t xml:space="preserve">- Finition de la couche de placage extérieure : </w:t>
      </w:r>
      <w:r>
        <w:rPr>
          <w:rStyle w:val="optioncarChar"/>
        </w:rPr>
        <w:t xml:space="preserve">*** </w:t>
      </w:r>
      <w:r>
        <w:br/>
        <w:t>- Finition de la surface :</w:t>
      </w:r>
      <w:r>
        <w:br/>
      </w:r>
      <w:r>
        <w:rPr>
          <w:b/>
        </w:rPr>
        <w:t>***OPTION 3</w:t>
      </w:r>
      <w:r>
        <w:t xml:space="preserve">: au moyen de plaques stratifiées imprégnées de résine mélamine décorative sous haute pression, selon la [NBN EN 438-7], de la classe HPL-EN 438 - S333 ou HPL-EN 438 - HGS, Type S avec une résistance à l'usure 3, une résistance aux chocs 3 et une résistance aux rayures 3. Epaisseur minimale </w:t>
      </w:r>
      <w:r>
        <w:rPr>
          <w:rStyle w:val="optioncarChar"/>
        </w:rPr>
        <w:t>0,8</w:t>
      </w:r>
      <w:r>
        <w:t> (par défaut) </w:t>
      </w:r>
      <w:r>
        <w:rPr>
          <w:rStyle w:val="optioncarChar"/>
        </w:rPr>
        <w:t>/ ***</w:t>
      </w:r>
      <w:r>
        <w:t>  mm. Aspect :</w:t>
      </w:r>
      <w:r>
        <w:rPr>
          <w:rStyle w:val="optioncarChar"/>
        </w:rPr>
        <w:t> couleur unie, surface légèrement structurée, choix de la couleur parmi au moins 50 coloris</w:t>
      </w:r>
      <w:r>
        <w:t> (par défaut)</w:t>
      </w:r>
      <w:r>
        <w:rPr>
          <w:rStyle w:val="optioncarChar"/>
        </w:rPr>
        <w:t xml:space="preserve"> / ***.</w:t>
      </w:r>
      <w:r>
        <w:br/>
      </w:r>
      <w:r>
        <w:rPr>
          <w:b/>
        </w:rPr>
        <w:t>***OPTION 4</w:t>
      </w:r>
      <w:r>
        <w:t xml:space="preserve">: </w:t>
      </w:r>
      <w:r>
        <w:rPr>
          <w:rStyle w:val="optioncarChar"/>
        </w:rPr>
        <w:t>MDF (Medium Density Fiberboard)</w:t>
      </w:r>
      <w:r>
        <w:t xml:space="preserve"> (par défaut) </w:t>
      </w:r>
      <w:r>
        <w:rPr>
          <w:rStyle w:val="optioncarChar"/>
        </w:rPr>
        <w:t>/ MDFH selon les prescriptions de la norme</w:t>
      </w:r>
      <w:r>
        <w:t>[NBN EN 622-5] </w:t>
      </w:r>
      <w:r>
        <w:rPr>
          <w:rStyle w:val="optioncarChar"/>
        </w:rPr>
        <w:t>/ ***</w:t>
      </w:r>
      <w:r>
        <w:t>.</w:t>
      </w:r>
      <w:r>
        <w:br/>
      </w:r>
      <w:r>
        <w:rPr>
          <w:b/>
        </w:rPr>
        <w:t>***OPTION 5</w:t>
      </w:r>
      <w:r>
        <w:t xml:space="preserve">: en panneaux de particules de type </w:t>
      </w:r>
      <w:r>
        <w:rPr>
          <w:rStyle w:val="optioncarChar"/>
        </w:rPr>
        <w:t>P2</w:t>
      </w:r>
      <w:r>
        <w:t xml:space="preserve"> (par défaut)</w:t>
      </w:r>
      <w:r>
        <w:rPr>
          <w:rStyle w:val="optioncarChar"/>
        </w:rPr>
        <w:t> / P3 / P5 / ***</w:t>
      </w:r>
    </w:p>
    <w:p w14:paraId="152A4D34" w14:textId="77777777" w:rsidR="004B2808" w:rsidRDefault="00000000">
      <w:r>
        <w:t> </w:t>
      </w:r>
    </w:p>
    <w:p w14:paraId="12E07C2A" w14:textId="77777777" w:rsidR="004B2808" w:rsidRDefault="00000000">
      <w:pPr>
        <w:pStyle w:val="heading"/>
      </w:pPr>
      <w:r>
        <w:t>Spécifications</w:t>
      </w:r>
    </w:p>
    <w:p w14:paraId="49081A8B" w14:textId="77777777" w:rsidR="004B2808" w:rsidRDefault="00000000">
      <w:pPr>
        <w:pStyle w:val="Author-eListParagraph"/>
        <w:numPr>
          <w:ilvl w:val="0"/>
          <w:numId w:val="1146"/>
        </w:numPr>
      </w:pPr>
      <w:r>
        <w:t xml:space="preserve">Dimensions : </w:t>
      </w:r>
      <w:r>
        <w:rPr>
          <w:rStyle w:val="optioncarChar"/>
        </w:rPr>
        <w:t xml:space="preserve">*** </w:t>
      </w:r>
      <w:r>
        <w:t xml:space="preserve">x </w:t>
      </w:r>
      <w:r>
        <w:rPr>
          <w:rStyle w:val="optioncarChar"/>
        </w:rPr>
        <w:t xml:space="preserve">*** </w:t>
      </w:r>
      <w:r>
        <w:t>mm</w:t>
      </w:r>
    </w:p>
    <w:p w14:paraId="56EF24AE" w14:textId="77777777" w:rsidR="004B2808" w:rsidRDefault="00000000">
      <w:pPr>
        <w:pStyle w:val="Author-eListParagraph"/>
        <w:numPr>
          <w:ilvl w:val="0"/>
          <w:numId w:val="1146"/>
        </w:numPr>
      </w:pPr>
      <w:r>
        <w:t>Epaisseur des panneaux : minimum</w:t>
      </w:r>
      <w:r>
        <w:rPr>
          <w:rStyle w:val="optioncarChar"/>
        </w:rPr>
        <w:t> 15 </w:t>
      </w:r>
      <w:r>
        <w:t>(par défaut)</w:t>
      </w:r>
      <w:r>
        <w:rPr>
          <w:rStyle w:val="optioncarChar"/>
        </w:rPr>
        <w:t xml:space="preserve"> / 18 / 20 / 22 / *** </w:t>
      </w:r>
      <w:r>
        <w:t>mm</w:t>
      </w:r>
    </w:p>
    <w:p w14:paraId="2F5F0D6A" w14:textId="77777777" w:rsidR="004B2808" w:rsidRDefault="00000000">
      <w:pPr>
        <w:pStyle w:val="Author-eListParagraph"/>
        <w:numPr>
          <w:ilvl w:val="0"/>
          <w:numId w:val="1146"/>
        </w:numPr>
      </w:pPr>
      <w:r>
        <w:t xml:space="preserve">Le cadre est fabriqué en bois résineux raboté et traité, 2° choix, sections min. </w:t>
      </w:r>
      <w:r>
        <w:rPr>
          <w:rStyle w:val="optioncarChar"/>
        </w:rPr>
        <w:t>19 x 50 </w:t>
      </w:r>
      <w:r>
        <w:t>(par défaut)</w:t>
      </w:r>
      <w:r>
        <w:rPr>
          <w:rStyle w:val="optioncarChar"/>
        </w:rPr>
        <w:t xml:space="preserve"> / ***</w:t>
      </w:r>
      <w:r>
        <w:t> mm.</w:t>
      </w:r>
    </w:p>
    <w:p w14:paraId="6C926C0E" w14:textId="77777777" w:rsidR="004B2808" w:rsidRDefault="00000000">
      <w:pPr>
        <w:pStyle w:val="pheading"/>
      </w:pPr>
      <w:r>
        <w:t>- Prescriptions complémentaires</w:t>
      </w:r>
    </w:p>
    <w:p w14:paraId="4848390A" w14:textId="77777777" w:rsidR="004B2808" w:rsidRDefault="00000000">
      <w:r>
        <w:t xml:space="preserve">Les trappes de visite présentent une résistance au feu de </w:t>
      </w:r>
      <w:r>
        <w:rPr>
          <w:rStyle w:val="optioncarChar"/>
        </w:rPr>
        <w:t>EI 30</w:t>
      </w:r>
      <w:r>
        <w:t>(par défaut)</w:t>
      </w:r>
      <w:r>
        <w:rPr>
          <w:rStyle w:val="optioncarChar"/>
        </w:rPr>
        <w:t xml:space="preserve"> / EI 60 </w:t>
      </w:r>
      <w:r>
        <w:t xml:space="preserve">selon la [NBN EN 13501-2] ou </w:t>
      </w:r>
      <w:r>
        <w:rPr>
          <w:rStyle w:val="optioncarChar"/>
        </w:rPr>
        <w:t>Rf 1/2 h </w:t>
      </w:r>
      <w:r>
        <w:t>(par défaut)</w:t>
      </w:r>
      <w:r>
        <w:rPr>
          <w:rStyle w:val="optioncarChar"/>
        </w:rPr>
        <w:t xml:space="preserve"> / Rf 1 h / Rf 2 h / ***</w:t>
      </w:r>
      <w:r>
        <w:t xml:space="preserve"> selon la [NBN 713-020]. La performance de </w:t>
      </w:r>
      <w:r>
        <w:lastRenderedPageBreak/>
        <w:t>résistance au feu est attestée conformément à l’arrêté royal Normes de base du 13 juin 2007 modifiant l’arrêté royal du 7 juillet 1994. Les trappes de visite sont posées en conformité totale avec les conditions de pose mentionnées dans le(s) rapport(s) d'essai.</w:t>
      </w:r>
    </w:p>
    <w:p w14:paraId="15C11A77" w14:textId="77777777" w:rsidR="004B2808" w:rsidRDefault="00000000">
      <w:r>
        <w:br/>
        <w:t xml:space="preserve">Les trappes de visite appartiennent à la classe acoustique </w:t>
      </w:r>
      <w:r>
        <w:rPr>
          <w:rStyle w:val="optioncarChar"/>
        </w:rPr>
        <w:t>IIIa</w:t>
      </w:r>
      <w:r>
        <w:t> (par défaut)</w:t>
      </w:r>
      <w:r>
        <w:rPr>
          <w:rStyle w:val="optioncarChar"/>
        </w:rPr>
        <w:t xml:space="preserve"> / IIa / *** </w:t>
      </w:r>
      <w:r>
        <w:t>selon la [NBN S 01-400] . L'ensemble est pourvu d'une isolation acoustique adaptée conforme aux exigences d'isolation acoustique. Un certificat remis par un laboratoire belge agréé est soumis. Les trappes de visite sont posées en conformité totale avec les conditions de pose mentionnées dans le rapport d'essai.</w:t>
      </w:r>
    </w:p>
    <w:p w14:paraId="2C20F4F0" w14:textId="77777777" w:rsidR="004B2808" w:rsidRDefault="00000000">
      <w:pPr>
        <w:pStyle w:val="pheading"/>
      </w:pPr>
      <w:r>
        <w:t>EXÉCUTION / MISE EN ŒUVRE</w:t>
      </w:r>
    </w:p>
    <w:p w14:paraId="07616D63" w14:textId="77777777" w:rsidR="004B2808" w:rsidRDefault="00000000">
      <w:pPr>
        <w:pStyle w:val="pheading"/>
      </w:pPr>
      <w:r>
        <w:t>- Prescriptions générales</w:t>
      </w:r>
    </w:p>
    <w:p w14:paraId="3FAE2C68" w14:textId="77777777" w:rsidR="004B2808" w:rsidRDefault="00000000">
      <w:r>
        <w:t xml:space="preserve">Le cadre est fixé dans l'ouverture de manière telle que la face avant des panneaux se situe </w:t>
      </w:r>
      <w:r>
        <w:rPr>
          <w:rStyle w:val="optioncarChar"/>
        </w:rPr>
        <w:t>dans le même plan</w:t>
      </w:r>
      <w:r>
        <w:t> (par défaut)</w:t>
      </w:r>
      <w:r>
        <w:rPr>
          <w:rStyle w:val="optioncarChar"/>
        </w:rPr>
        <w:t> / ***</w:t>
      </w:r>
      <w:r>
        <w:t> que la surface du mur attenante.</w:t>
      </w:r>
      <w:r>
        <w:br/>
        <w:t xml:space="preserve">Les panneaux sont fixés </w:t>
      </w:r>
      <w:r>
        <w:rPr>
          <w:rStyle w:val="optioncarChar"/>
        </w:rPr>
        <w:t>par vissage</w:t>
      </w:r>
      <w:r>
        <w:t xml:space="preserve"> (par défaut)</w:t>
      </w:r>
      <w:r>
        <w:rPr>
          <w:rStyle w:val="optioncarChar"/>
        </w:rPr>
        <w:t> / avec des charnières / ***</w:t>
      </w:r>
      <w:r>
        <w:t>.</w:t>
      </w:r>
    </w:p>
    <w:p w14:paraId="17EA6986" w14:textId="77777777" w:rsidR="004B2808" w:rsidRDefault="00000000">
      <w:pPr>
        <w:pStyle w:val="pheading"/>
      </w:pPr>
      <w:r>
        <w:t>- Notes d’exécution complémentaires</w:t>
      </w:r>
    </w:p>
    <w:p w14:paraId="16DF080F" w14:textId="77777777" w:rsidR="004B2808" w:rsidRDefault="00000000">
      <w:r>
        <w:t>Les bords visibles des panneaux de contre-plaqué sont terminés par des chanlattes en PNG, au moins 15 mm d'épaisseur et de largeur égale à celle de la plaque terminée.</w:t>
      </w:r>
    </w:p>
    <w:p w14:paraId="0544DAC7" w14:textId="77777777" w:rsidR="004B2808" w:rsidRDefault="00000000">
      <w:pPr>
        <w:pStyle w:val="pheading"/>
      </w:pPr>
      <w:r>
        <w:t>MESURAGE</w:t>
      </w:r>
    </w:p>
    <w:p w14:paraId="3D89C807" w14:textId="77777777" w:rsidR="004B2808" w:rsidRDefault="00000000">
      <w:r>
        <w:t>Conformément aux indications spécifiques dans le cahier spécial des charges et/ou le métré récapitulatif, le mesurage doit être conçu comme suit :</w:t>
      </w:r>
    </w:p>
    <w:p w14:paraId="69CB962C" w14:textId="77777777" w:rsidR="004B2808" w:rsidRDefault="00000000">
      <w:pPr>
        <w:pStyle w:val="pheading"/>
      </w:pPr>
      <w:r>
        <w:t>- unité de mesure:</w:t>
      </w:r>
    </w:p>
    <w:p w14:paraId="424D09D3" w14:textId="77777777" w:rsidR="004B2808" w:rsidRDefault="00000000">
      <w:r>
        <w:rPr>
          <w:rStyle w:val="optioncarChar"/>
        </w:rPr>
        <w:t xml:space="preserve">- </w:t>
      </w:r>
      <w:r>
        <w:t>(par défaut) </w:t>
      </w:r>
      <w:r>
        <w:rPr>
          <w:rStyle w:val="optioncarChar"/>
        </w:rPr>
        <w:t>/ p</w:t>
      </w:r>
    </w:p>
    <w:p w14:paraId="207EB673" w14:textId="77777777" w:rsidR="004B2808" w:rsidRDefault="00000000">
      <w:pPr>
        <w:pStyle w:val="pheading"/>
      </w:pPr>
      <w:r>
        <w:t>- code de mesurage:</w:t>
      </w:r>
    </w:p>
    <w:p w14:paraId="382A289A" w14:textId="77777777" w:rsidR="004B2808" w:rsidRDefault="00000000">
      <w:r>
        <w:rPr>
          <w:rStyle w:val="optioncarChar"/>
        </w:rPr>
        <w:t xml:space="preserve">Compris dans le prix de l'habillage prévu pour les gaines des conduites </w:t>
      </w:r>
      <w:r>
        <w:t>(par défaut) </w:t>
      </w:r>
      <w:r>
        <w:rPr>
          <w:rStyle w:val="optioncarChar"/>
        </w:rPr>
        <w:t xml:space="preserve">/ le cas échéant ventilé selon le type et les dimensions / ***. </w:t>
      </w:r>
    </w:p>
    <w:p w14:paraId="44647915" w14:textId="77777777" w:rsidR="004B2808" w:rsidRDefault="00000000">
      <w:pPr>
        <w:pStyle w:val="pheading"/>
      </w:pPr>
      <w:r>
        <w:t>- nature du marché:</w:t>
      </w:r>
    </w:p>
    <w:p w14:paraId="5D85EC00" w14:textId="77777777" w:rsidR="004B2808" w:rsidRDefault="00000000">
      <w:r>
        <w:t> </w:t>
      </w:r>
      <w:r>
        <w:rPr>
          <w:rStyle w:val="optioncarChar"/>
        </w:rPr>
        <w:t>PM</w:t>
      </w:r>
      <w:r>
        <w:t xml:space="preserve"> (par défaut)</w:t>
      </w:r>
      <w:r>
        <w:rPr>
          <w:rStyle w:val="optioncarChar"/>
        </w:rPr>
        <w:t xml:space="preserve"> / QF </w:t>
      </w:r>
    </w:p>
    <w:p w14:paraId="75BB9FE0" w14:textId="77777777" w:rsidR="004B2808" w:rsidRDefault="00000000">
      <w:pPr>
        <w:pStyle w:val="Author-eSectionHeading5Numberless"/>
      </w:pPr>
      <w:bookmarkStart w:id="1276" w:name="_Toc220491395"/>
      <w:r>
        <w:t>55.54.2 Trappes de visite en matériau synthétique CCTB 01.02</w:t>
      </w:r>
      <w:bookmarkEnd w:id="1276"/>
    </w:p>
    <w:p w14:paraId="39F15973" w14:textId="77777777" w:rsidR="004B2808" w:rsidRDefault="00000000">
      <w:pPr>
        <w:pStyle w:val="Author-eSectionHeading6Numberless"/>
      </w:pPr>
      <w:bookmarkStart w:id="1277" w:name="_Toc220491396"/>
      <w:r>
        <w:t>55.54.2a Trappes de visite en matériau synthétique CCTB 01.10</w:t>
      </w:r>
      <w:bookmarkEnd w:id="1277"/>
    </w:p>
    <w:p w14:paraId="7B015B07" w14:textId="77777777" w:rsidR="004B2808" w:rsidRDefault="00000000">
      <w:pPr>
        <w:pStyle w:val="pheading"/>
      </w:pPr>
      <w:r>
        <w:t>MATÉRIAUX</w:t>
      </w:r>
    </w:p>
    <w:p w14:paraId="7E0E1BF7" w14:textId="77777777" w:rsidR="004B2808" w:rsidRDefault="00000000">
      <w:pPr>
        <w:pStyle w:val="pheading"/>
      </w:pPr>
      <w:r>
        <w:t>- Caractéristiques générales</w:t>
      </w:r>
    </w:p>
    <w:p w14:paraId="7E53DFD1" w14:textId="77777777" w:rsidR="004B2808" w:rsidRDefault="00000000">
      <w:r>
        <w:t>Panneau de résine synthétique avec une âme massive et une densité de 1400 kg/m³. Le matériau doit être résistant aux coups, aux chocs et à l'usure. Il ne nécessite pas d'entretien et ne doit pas être encadré.</w:t>
      </w:r>
    </w:p>
    <w:p w14:paraId="72BE5653" w14:textId="77777777" w:rsidR="004B2808" w:rsidRDefault="00000000">
      <w:pPr>
        <w:pStyle w:val="heading"/>
      </w:pPr>
      <w:r>
        <w:t>Spécifications</w:t>
      </w:r>
    </w:p>
    <w:p w14:paraId="0B02A2AB" w14:textId="77777777" w:rsidR="004B2808" w:rsidRDefault="00000000">
      <w:pPr>
        <w:pStyle w:val="Author-eListParagraph"/>
        <w:numPr>
          <w:ilvl w:val="0"/>
          <w:numId w:val="1147"/>
        </w:numPr>
      </w:pPr>
      <w:r>
        <w:t xml:space="preserve">Dimensions : </w:t>
      </w:r>
      <w:r>
        <w:rPr>
          <w:rStyle w:val="optioncarChar"/>
        </w:rPr>
        <w:t xml:space="preserve">*** </w:t>
      </w:r>
      <w:r>
        <w:t xml:space="preserve">x </w:t>
      </w:r>
      <w:r>
        <w:rPr>
          <w:rStyle w:val="optioncarChar"/>
        </w:rPr>
        <w:t xml:space="preserve">*** </w:t>
      </w:r>
      <w:r>
        <w:t>mm</w:t>
      </w:r>
    </w:p>
    <w:p w14:paraId="7F273EFA" w14:textId="77777777" w:rsidR="004B2808" w:rsidRDefault="00000000">
      <w:pPr>
        <w:pStyle w:val="Author-eListParagraph"/>
        <w:numPr>
          <w:ilvl w:val="0"/>
          <w:numId w:val="1147"/>
        </w:numPr>
      </w:pPr>
      <w:r>
        <w:t xml:space="preserve">Epaisseur des panneaux : minimum </w:t>
      </w:r>
      <w:r>
        <w:rPr>
          <w:rStyle w:val="optioncarChar"/>
        </w:rPr>
        <w:t>8 </w:t>
      </w:r>
      <w:r>
        <w:t>(par défaut)</w:t>
      </w:r>
      <w:r>
        <w:rPr>
          <w:rStyle w:val="optioncarChar"/>
        </w:rPr>
        <w:t> / *** </w:t>
      </w:r>
      <w:r>
        <w:t>mm</w:t>
      </w:r>
    </w:p>
    <w:p w14:paraId="1FA7FA41" w14:textId="77777777" w:rsidR="004B2808" w:rsidRDefault="00000000">
      <w:pPr>
        <w:pStyle w:val="pheading"/>
      </w:pPr>
      <w:r>
        <w:t>- Finitions</w:t>
      </w:r>
    </w:p>
    <w:p w14:paraId="0A3845CA" w14:textId="77777777" w:rsidR="004B2808" w:rsidRDefault="00000000">
      <w:r>
        <w:t xml:space="preserve">Coloris : </w:t>
      </w:r>
      <w:r>
        <w:rPr>
          <w:rStyle w:val="optioncarChar"/>
        </w:rPr>
        <w:t>blanc</w:t>
      </w:r>
      <w:r>
        <w:t> (par défaut)</w:t>
      </w:r>
      <w:r>
        <w:rPr>
          <w:rStyle w:val="optioncarChar"/>
        </w:rPr>
        <w:t xml:space="preserve"> / à choisir dans la gamme standard du fabricant / ***</w:t>
      </w:r>
    </w:p>
    <w:p w14:paraId="2BDA1660" w14:textId="77777777" w:rsidR="004B2808" w:rsidRDefault="00000000">
      <w:pPr>
        <w:pStyle w:val="pheading"/>
      </w:pPr>
      <w:r>
        <w:t>- Prescriptions complémentaires</w:t>
      </w:r>
    </w:p>
    <w:p w14:paraId="689918FF" w14:textId="77777777" w:rsidR="004B2808" w:rsidRDefault="00000000">
      <w:r>
        <w:t xml:space="preserve">Les trappes de visite présentent une résistance au feu de </w:t>
      </w:r>
      <w:r>
        <w:rPr>
          <w:rStyle w:val="optioncarChar"/>
        </w:rPr>
        <w:t>EI 30</w:t>
      </w:r>
      <w:r>
        <w:t>(par défaut)</w:t>
      </w:r>
      <w:r>
        <w:rPr>
          <w:rStyle w:val="optioncarChar"/>
        </w:rPr>
        <w:t> / EI 60</w:t>
      </w:r>
      <w:r>
        <w:t xml:space="preserve"> selon la [NBN EN 13501-2] ou </w:t>
      </w:r>
      <w:r>
        <w:rPr>
          <w:rStyle w:val="optioncarChar"/>
        </w:rPr>
        <w:t>Rf 1/2 h</w:t>
      </w:r>
      <w:r>
        <w:t> (par défaut)</w:t>
      </w:r>
      <w:r>
        <w:rPr>
          <w:rStyle w:val="optioncarChar"/>
        </w:rPr>
        <w:t>/ Rf 1 h / Rf 2 h / ***</w:t>
      </w:r>
      <w:r>
        <w:t xml:space="preserve"> selon la [NBN 713-020]. La performance de </w:t>
      </w:r>
      <w:r>
        <w:lastRenderedPageBreak/>
        <w:t>résistance au feu est attestée conformément à l’arrêté royal Normes de base du 13 juin 2007 modifiant l’arrêté royal du 7 juillet 1994. Les trappes de visite sont posées en conformité totale avec les conditions de pose mentionnées dans le(s) rapport(s) d'essai.</w:t>
      </w:r>
      <w:r>
        <w:br/>
      </w:r>
      <w:r>
        <w:br/>
        <w:t xml:space="preserve">Les trappes de visite appartiennent à la classe acoustique </w:t>
      </w:r>
      <w:r>
        <w:rPr>
          <w:rStyle w:val="optioncarChar"/>
        </w:rPr>
        <w:t>IIIa</w:t>
      </w:r>
      <w:r>
        <w:t> (par défaut)</w:t>
      </w:r>
      <w:r>
        <w:rPr>
          <w:rStyle w:val="optioncarChar"/>
        </w:rPr>
        <w:t xml:space="preserve"> / IIa / *** </w:t>
      </w:r>
      <w:r>
        <w:t>selon la [NBN S 01-400] . L'ensemble est pourvu d'une isolation acoustique adaptée conforme aux exigences d'isolation acoustique. Un certificat remis par un laboratoire belge agréé est soumis. Les trappes de visite sont posées en conformité totale avec les conditions de pose mentionnées dans le rapport d'essai.</w:t>
      </w:r>
    </w:p>
    <w:p w14:paraId="5460CA59" w14:textId="77777777" w:rsidR="004B2808" w:rsidRDefault="00000000">
      <w:pPr>
        <w:pStyle w:val="pheading"/>
      </w:pPr>
      <w:r>
        <w:t>EXÉCUTION / MISE EN ŒUVRE</w:t>
      </w:r>
    </w:p>
    <w:p w14:paraId="203F9EC3" w14:textId="77777777" w:rsidR="004B2808" w:rsidRDefault="00000000">
      <w:pPr>
        <w:pStyle w:val="pheading"/>
      </w:pPr>
      <w:r>
        <w:t>- Prescriptions générales</w:t>
      </w:r>
    </w:p>
    <w:p w14:paraId="43BA5DEE" w14:textId="77777777" w:rsidR="004B2808" w:rsidRDefault="00000000">
      <w:r>
        <w:t>Le cadre est fixé dans l'ouverture de manière telle que la face avant des panneaux se situe </w:t>
      </w:r>
      <w:r>
        <w:rPr>
          <w:rStyle w:val="optioncarChar"/>
        </w:rPr>
        <w:t>dans le même plan</w:t>
      </w:r>
      <w:r>
        <w:t> (par défaut)</w:t>
      </w:r>
      <w:r>
        <w:rPr>
          <w:rStyle w:val="optioncarChar"/>
        </w:rPr>
        <w:t> / ***</w:t>
      </w:r>
      <w:r>
        <w:t> que la surface du mur attenante.</w:t>
      </w:r>
      <w:r>
        <w:br/>
        <w:t xml:space="preserve">Les panneaux sont fixés </w:t>
      </w:r>
      <w:r>
        <w:rPr>
          <w:rStyle w:val="optioncarChar"/>
        </w:rPr>
        <w:t>par vissage</w:t>
      </w:r>
      <w:r>
        <w:t> (par défaut)</w:t>
      </w:r>
      <w:r>
        <w:rPr>
          <w:rStyle w:val="optioncarChar"/>
        </w:rPr>
        <w:t xml:space="preserve"> / avec des charnières / ***.</w:t>
      </w:r>
    </w:p>
    <w:p w14:paraId="5FB24B0D" w14:textId="77777777" w:rsidR="004B2808" w:rsidRDefault="00000000">
      <w:pPr>
        <w:pStyle w:val="Author-eSectionHeading5Numberless"/>
      </w:pPr>
      <w:bookmarkStart w:id="1278" w:name="_Toc220491397"/>
      <w:r>
        <w:t>55.54.3 Trappes de visite en fibres-ciment CCTB 01.02</w:t>
      </w:r>
      <w:bookmarkEnd w:id="1278"/>
    </w:p>
    <w:p w14:paraId="55F61886" w14:textId="77777777" w:rsidR="004B2808" w:rsidRDefault="00000000">
      <w:pPr>
        <w:pStyle w:val="Author-eSectionHeading6Numberless"/>
      </w:pPr>
      <w:bookmarkStart w:id="1279" w:name="_Toc220491398"/>
      <w:r>
        <w:t>55.54.3a Trappes de visite en fibres-ciment CCTB 01.10</w:t>
      </w:r>
      <w:bookmarkEnd w:id="1279"/>
    </w:p>
    <w:p w14:paraId="5D17AE9C" w14:textId="77777777" w:rsidR="004B2808" w:rsidRDefault="00000000">
      <w:pPr>
        <w:pStyle w:val="pheading"/>
      </w:pPr>
      <w:r>
        <w:t>MATÉRIAUX</w:t>
      </w:r>
    </w:p>
    <w:p w14:paraId="70928005" w14:textId="77777777" w:rsidR="004B2808" w:rsidRDefault="00000000">
      <w:pPr>
        <w:pStyle w:val="pheading"/>
      </w:pPr>
      <w:r>
        <w:t>- Caractéristiques générales</w:t>
      </w:r>
    </w:p>
    <w:p w14:paraId="3F46287E" w14:textId="77777777" w:rsidR="004B2808" w:rsidRDefault="00000000">
      <w:r>
        <w:t>Panneaux de fibres-ciment autoclavés, doublement comprimés, d'une densité d'environ 1600 kg/m³. Le matériau doit être résistant aux coups, aux chocs et à l'usure. Il ne nécessite pas d'entretien et ne doit pas être encadré.</w:t>
      </w:r>
    </w:p>
    <w:p w14:paraId="018C3A2D" w14:textId="77777777" w:rsidR="004B2808" w:rsidRDefault="00000000">
      <w:pPr>
        <w:pStyle w:val="heading"/>
      </w:pPr>
      <w:r>
        <w:t>Spécifications</w:t>
      </w:r>
    </w:p>
    <w:p w14:paraId="7BA08000" w14:textId="77777777" w:rsidR="004B2808" w:rsidRDefault="00000000">
      <w:pPr>
        <w:pStyle w:val="Author-eListParagraph"/>
        <w:numPr>
          <w:ilvl w:val="0"/>
          <w:numId w:val="1148"/>
        </w:numPr>
      </w:pPr>
      <w:r>
        <w:t xml:space="preserve">Dimensions : </w:t>
      </w:r>
      <w:r>
        <w:rPr>
          <w:rStyle w:val="optioncarChar"/>
        </w:rPr>
        <w:t xml:space="preserve">*** </w:t>
      </w:r>
      <w:r>
        <w:t xml:space="preserve">x </w:t>
      </w:r>
      <w:r>
        <w:rPr>
          <w:rStyle w:val="optioncarChar"/>
        </w:rPr>
        <w:t xml:space="preserve">*** </w:t>
      </w:r>
      <w:r>
        <w:t>mm</w:t>
      </w:r>
    </w:p>
    <w:p w14:paraId="575B6DEB" w14:textId="77777777" w:rsidR="004B2808" w:rsidRDefault="00000000">
      <w:pPr>
        <w:pStyle w:val="Author-eListParagraph"/>
        <w:numPr>
          <w:ilvl w:val="0"/>
          <w:numId w:val="1148"/>
        </w:numPr>
      </w:pPr>
      <w:r>
        <w:t xml:space="preserve">Epaisseur des panneaux : minimum </w:t>
      </w:r>
      <w:r>
        <w:rPr>
          <w:rStyle w:val="optioncarChar"/>
        </w:rPr>
        <w:t xml:space="preserve">6 </w:t>
      </w:r>
      <w:r>
        <w:t>(par défaut) </w:t>
      </w:r>
      <w:r>
        <w:rPr>
          <w:rStyle w:val="optioncarChar"/>
        </w:rPr>
        <w:t>/ 8 / 10 / 12 / 15 / 18 / 20 / 25 / ***</w:t>
      </w:r>
    </w:p>
    <w:p w14:paraId="6994C7BB" w14:textId="77777777" w:rsidR="004B2808" w:rsidRDefault="00000000">
      <w:pPr>
        <w:pStyle w:val="pheading"/>
      </w:pPr>
      <w:r>
        <w:t>- Finitions</w:t>
      </w:r>
    </w:p>
    <w:p w14:paraId="0BBF3857" w14:textId="77777777" w:rsidR="004B2808" w:rsidRDefault="00000000">
      <w:r>
        <w:t xml:space="preserve">Coloris : </w:t>
      </w:r>
      <w:r>
        <w:rPr>
          <w:rStyle w:val="optioncarChar"/>
        </w:rPr>
        <w:t>gris</w:t>
      </w:r>
      <w:r>
        <w:t> (par défaut)</w:t>
      </w:r>
      <w:r>
        <w:rPr>
          <w:rStyle w:val="optioncarChar"/>
        </w:rPr>
        <w:t> / ***</w:t>
      </w:r>
      <w:r>
        <w:br/>
        <w:t xml:space="preserve">Traitement de surface : </w:t>
      </w:r>
      <w:r>
        <w:rPr>
          <w:rStyle w:val="optioncarChar"/>
        </w:rPr>
        <w:t>***</w:t>
      </w:r>
    </w:p>
    <w:p w14:paraId="41E10832" w14:textId="77777777" w:rsidR="004B2808" w:rsidRDefault="00000000">
      <w:pPr>
        <w:pStyle w:val="pheading"/>
      </w:pPr>
      <w:r>
        <w:t>- Prescriptions complémentaires</w:t>
      </w:r>
    </w:p>
    <w:p w14:paraId="71042E8B" w14:textId="77777777" w:rsidR="004B2808" w:rsidRDefault="00000000">
      <w:r>
        <w:t xml:space="preserve">Les trappes de visite présentent une résistance au feu de </w:t>
      </w:r>
      <w:r>
        <w:rPr>
          <w:rStyle w:val="optioncarChar"/>
        </w:rPr>
        <w:t>EI 30</w:t>
      </w:r>
      <w:r>
        <w:t xml:space="preserve"> (par défaut)</w:t>
      </w:r>
      <w:r>
        <w:rPr>
          <w:rStyle w:val="optioncarChar"/>
        </w:rPr>
        <w:t> / EI 60</w:t>
      </w:r>
      <w:r>
        <w:t xml:space="preserve"> selon la [NBN EN 13501-2] ou </w:t>
      </w:r>
      <w:r>
        <w:rPr>
          <w:rStyle w:val="optioncarChar"/>
        </w:rPr>
        <w:t>Rf 1/2 h</w:t>
      </w:r>
      <w:r>
        <w:t> (par défaut)</w:t>
      </w:r>
      <w:r>
        <w:rPr>
          <w:rStyle w:val="optioncarChar"/>
        </w:rPr>
        <w:t xml:space="preserve"> / Rf 1 h / Rf 2 h / ***</w:t>
      </w:r>
      <w:r>
        <w:t xml:space="preserve"> selon la [NBN 713-020]. La performance de résistance au feu est attestée conformément à l’arrêté royal Normes de base du 13 juin 2007 modifiant l’arrêté royal du 7 juillet 1994. Les trappes de visite sont posées en conformité totale avec les conditions de pose mentionnées dans le(s) rapport(s) d'essai.</w:t>
      </w:r>
      <w:r>
        <w:br/>
      </w:r>
      <w:r>
        <w:br/>
        <w:t xml:space="preserve">Les trappes de visite appartiennent à la classe acoustique </w:t>
      </w:r>
      <w:r>
        <w:rPr>
          <w:rStyle w:val="optioncarChar"/>
        </w:rPr>
        <w:t>IIIa </w:t>
      </w:r>
      <w:r>
        <w:t>(par défaut)</w:t>
      </w:r>
      <w:r>
        <w:rPr>
          <w:rStyle w:val="optioncarChar"/>
        </w:rPr>
        <w:t xml:space="preserve"> / IIa / ***</w:t>
      </w:r>
      <w:r>
        <w:t xml:space="preserve"> selon la [NBN S 01-400] . L'ensemble est pourvu d'une isolation acoustique adaptée conforme aux exigences d'isolation acoustique. Un certificat remis par un laboratoire belge agréé est soumis. Les trappes de visite sont posées en conformité totale avec les conditions de pose mentionnées dans le rapport d'essai. </w:t>
      </w:r>
    </w:p>
    <w:p w14:paraId="487A762B" w14:textId="77777777" w:rsidR="004B2808" w:rsidRDefault="00000000">
      <w:pPr>
        <w:pStyle w:val="pheading"/>
      </w:pPr>
      <w:r>
        <w:t>EXÉCUTION / MISE EN ŒUVRE</w:t>
      </w:r>
    </w:p>
    <w:p w14:paraId="1D142A36" w14:textId="77777777" w:rsidR="004B2808" w:rsidRDefault="00000000">
      <w:pPr>
        <w:pStyle w:val="pheading"/>
      </w:pPr>
      <w:r>
        <w:t>- Prescriptions générales</w:t>
      </w:r>
    </w:p>
    <w:p w14:paraId="29A4243F" w14:textId="77777777" w:rsidR="004B2808" w:rsidRDefault="00000000">
      <w:r>
        <w:t xml:space="preserve">Le cadre est fixé dans l'ouverture de manière telle que la face avant des panneaux se situe </w:t>
      </w:r>
      <w:r>
        <w:rPr>
          <w:rStyle w:val="optioncarChar"/>
        </w:rPr>
        <w:t>dans le même plan</w:t>
      </w:r>
      <w:r>
        <w:t> (par défaut)</w:t>
      </w:r>
      <w:r>
        <w:rPr>
          <w:rStyle w:val="optioncarChar"/>
        </w:rPr>
        <w:t> / *** </w:t>
      </w:r>
      <w:r>
        <w:t>que la surface du mur attenante.</w:t>
      </w:r>
      <w:r>
        <w:br/>
        <w:t xml:space="preserve">Les panneaux sont fixés </w:t>
      </w:r>
      <w:r>
        <w:rPr>
          <w:rStyle w:val="optioncarChar"/>
        </w:rPr>
        <w:t>par vissage</w:t>
      </w:r>
      <w:r>
        <w:t> (par défaut)</w:t>
      </w:r>
      <w:r>
        <w:rPr>
          <w:rStyle w:val="optioncarChar"/>
        </w:rPr>
        <w:t xml:space="preserve"> / avec des charnières / *** </w:t>
      </w:r>
      <w:r>
        <w:t>.</w:t>
      </w:r>
    </w:p>
    <w:p w14:paraId="190F5B6E" w14:textId="77777777" w:rsidR="004B2808" w:rsidRDefault="00000000">
      <w:pPr>
        <w:pStyle w:val="pheading"/>
      </w:pPr>
      <w:r>
        <w:t>MESURAGE</w:t>
      </w:r>
    </w:p>
    <w:p w14:paraId="7D335CEE" w14:textId="77777777" w:rsidR="004B2808" w:rsidRDefault="00000000">
      <w:r>
        <w:lastRenderedPageBreak/>
        <w:t>Conformément aux indications spécifiques dans le cahier spécial des charges et/ou le métré récapitulatif, le mesurage doit être conçu comme suit :</w:t>
      </w:r>
    </w:p>
    <w:p w14:paraId="36810BBA" w14:textId="77777777" w:rsidR="004B2808" w:rsidRDefault="00000000">
      <w:pPr>
        <w:pStyle w:val="pheading"/>
      </w:pPr>
      <w:r>
        <w:t>- unité de mesure:</w:t>
      </w:r>
    </w:p>
    <w:p w14:paraId="0FAB9C64" w14:textId="77777777" w:rsidR="004B2808" w:rsidRDefault="00000000">
      <w:r>
        <w:rPr>
          <w:rStyle w:val="optioncarChar"/>
        </w:rPr>
        <w:t xml:space="preserve">- </w:t>
      </w:r>
      <w:r>
        <w:t>(par défaut) </w:t>
      </w:r>
      <w:r>
        <w:rPr>
          <w:rStyle w:val="optioncarChar"/>
        </w:rPr>
        <w:t>/ p </w:t>
      </w:r>
    </w:p>
    <w:p w14:paraId="459B562F" w14:textId="77777777" w:rsidR="004B2808" w:rsidRDefault="00000000">
      <w:pPr>
        <w:pStyle w:val="pheading"/>
      </w:pPr>
      <w:r>
        <w:t>- code de mesurage:</w:t>
      </w:r>
    </w:p>
    <w:p w14:paraId="73462934" w14:textId="77777777" w:rsidR="004B2808" w:rsidRDefault="00000000">
      <w:r>
        <w:rPr>
          <w:rStyle w:val="optioncarChar"/>
        </w:rPr>
        <w:t>Compris dans le prix de l'habillage prévu pour les gaines des conduites</w:t>
      </w:r>
      <w:r>
        <w:t xml:space="preserve"> (par défaut)</w:t>
      </w:r>
      <w:r>
        <w:rPr>
          <w:rStyle w:val="optioncarChar"/>
        </w:rPr>
        <w:t xml:space="preserve"> / le cas échéant ventilé selon le type et les dimensions. </w:t>
      </w:r>
    </w:p>
    <w:p w14:paraId="65A7B1D0" w14:textId="77777777" w:rsidR="004B2808" w:rsidRDefault="00000000">
      <w:pPr>
        <w:pStyle w:val="pheading"/>
      </w:pPr>
      <w:r>
        <w:t>- nature du marché:</w:t>
      </w:r>
    </w:p>
    <w:p w14:paraId="6D5D7790" w14:textId="77777777" w:rsidR="004B2808" w:rsidRDefault="00000000">
      <w:r>
        <w:rPr>
          <w:rStyle w:val="optioncarChar"/>
        </w:rPr>
        <w:t xml:space="preserve"> PM </w:t>
      </w:r>
      <w:r>
        <w:t>(par défaut) </w:t>
      </w:r>
      <w:r>
        <w:rPr>
          <w:rStyle w:val="optioncarChar"/>
        </w:rPr>
        <w:t xml:space="preserve">/ QF  </w:t>
      </w:r>
    </w:p>
    <w:p w14:paraId="35C0CAF2" w14:textId="77777777" w:rsidR="004B2808" w:rsidRDefault="00000000">
      <w:pPr>
        <w:pStyle w:val="Author-eSectionHeading3Numberless"/>
      </w:pPr>
      <w:bookmarkStart w:id="1280" w:name="_Toc220491399"/>
      <w:r>
        <w:t>55.6 Eléments particuliers et accessoires CCTB 01.11</w:t>
      </w:r>
      <w:bookmarkEnd w:id="1280"/>
    </w:p>
    <w:p w14:paraId="403674AA" w14:textId="77777777" w:rsidR="004B2808" w:rsidRDefault="00000000">
      <w:pPr>
        <w:pStyle w:val="Author-eSectionHeading4Numberless"/>
      </w:pPr>
      <w:bookmarkStart w:id="1281" w:name="_Toc220491400"/>
      <w:r>
        <w:t>55.61 Tablettes (de fenêtres et autres) CCTB 01.10</w:t>
      </w:r>
      <w:bookmarkEnd w:id="1281"/>
    </w:p>
    <w:p w14:paraId="042673EE" w14:textId="77777777" w:rsidR="004B2808" w:rsidRDefault="00000000">
      <w:pPr>
        <w:pStyle w:val="pheading"/>
      </w:pPr>
      <w:bookmarkStart w:id="1282" w:name="900"/>
      <w:bookmarkEnd w:id="1282"/>
      <w:r>
        <w:t>DESCRIPTION</w:t>
      </w:r>
    </w:p>
    <w:p w14:paraId="523A2097" w14:textId="77777777" w:rsidR="004B2808" w:rsidRDefault="00000000">
      <w:pPr>
        <w:pStyle w:val="pheading"/>
      </w:pPr>
      <w:r>
        <w:t>- Définition / Comprend</w:t>
      </w:r>
    </w:p>
    <w:p w14:paraId="1B01245D" w14:textId="77777777" w:rsidR="004B2808" w:rsidRDefault="00000000">
      <w:pPr>
        <w:jc w:val="both"/>
      </w:pPr>
      <w:r>
        <w:t>Il s'agit de toutes les fournitures et travaux nécessaires pour la réalisation des tablettes horizontales à l'intérieur des baies afin de former un ouvrage fini. Cet élément et les suivants comprennent :</w:t>
      </w:r>
    </w:p>
    <w:p w14:paraId="15DCBFA8" w14:textId="77777777" w:rsidR="004B2808" w:rsidRDefault="00000000">
      <w:pPr>
        <w:pStyle w:val="Author-eListParagraph"/>
        <w:numPr>
          <w:ilvl w:val="0"/>
          <w:numId w:val="1149"/>
        </w:numPr>
        <w:jc w:val="both"/>
      </w:pPr>
      <w:r>
        <w:t>le relevé des dimensions exactes en tenant compte de la mise en œuvre de la menuiserie et du plafonnage;</w:t>
      </w:r>
    </w:p>
    <w:p w14:paraId="50B14887" w14:textId="77777777" w:rsidR="004B2808" w:rsidRDefault="00000000">
      <w:pPr>
        <w:pStyle w:val="Author-eListParagraph"/>
        <w:numPr>
          <w:ilvl w:val="0"/>
          <w:numId w:val="1149"/>
        </w:numPr>
        <w:jc w:val="both"/>
      </w:pPr>
      <w:r>
        <w:t>la préparation du support, c'est-à-dire l'enlèvement de toutes les salissures et des parties non adhérentes;</w:t>
      </w:r>
    </w:p>
    <w:p w14:paraId="3C383B3C" w14:textId="77777777" w:rsidR="004B2808" w:rsidRDefault="00000000">
      <w:pPr>
        <w:pStyle w:val="Author-eListParagraph"/>
        <w:numPr>
          <w:ilvl w:val="0"/>
          <w:numId w:val="1149"/>
        </w:numPr>
        <w:jc w:val="both"/>
      </w:pPr>
      <w:r>
        <w:t>l’intégration des tablettes dans les murs attenants ou le plafonnage;</w:t>
      </w:r>
    </w:p>
    <w:p w14:paraId="54453E9E" w14:textId="77777777" w:rsidR="004B2808" w:rsidRDefault="00000000">
      <w:pPr>
        <w:pStyle w:val="Author-eListParagraph"/>
        <w:numPr>
          <w:ilvl w:val="0"/>
          <w:numId w:val="1149"/>
        </w:numPr>
        <w:jc w:val="both"/>
      </w:pPr>
      <w:r>
        <w:t>les travaux de raccord entre la tablette, le mur et la menuiserie;</w:t>
      </w:r>
    </w:p>
    <w:p w14:paraId="7F801AB9" w14:textId="77777777" w:rsidR="004B2808" w:rsidRDefault="00000000">
      <w:pPr>
        <w:pStyle w:val="Author-eListParagraph"/>
        <w:numPr>
          <w:ilvl w:val="0"/>
          <w:numId w:val="1149"/>
        </w:numPr>
        <w:jc w:val="both"/>
      </w:pPr>
      <w:r>
        <w:t>la fourniture (hors matériaux récupérés du même site), la pose  et l'éventuel support supplémentaire des tablettes y compris les pattes de fixations éventuelles;</w:t>
      </w:r>
    </w:p>
    <w:p w14:paraId="708E178D" w14:textId="77777777" w:rsidR="004B2808" w:rsidRDefault="00000000">
      <w:pPr>
        <w:pStyle w:val="Author-eListParagraph"/>
        <w:numPr>
          <w:ilvl w:val="0"/>
          <w:numId w:val="1149"/>
        </w:numPr>
        <w:jc w:val="both"/>
      </w:pPr>
      <w:r>
        <w:t>la réparation du plafonnage alentours et l'achèvement des joints au mastic élastique;</w:t>
      </w:r>
    </w:p>
    <w:p w14:paraId="162A6F3E" w14:textId="77777777" w:rsidR="004B2808" w:rsidRDefault="00000000">
      <w:pPr>
        <w:pStyle w:val="Author-eListParagraph"/>
        <w:numPr>
          <w:ilvl w:val="0"/>
          <w:numId w:val="1149"/>
        </w:numPr>
        <w:jc w:val="both"/>
      </w:pPr>
      <w:r>
        <w:t>le nettoyage des tablettes, y compris l'enlèvement de tous les restes de mortier ou de plafonnage.</w:t>
      </w:r>
    </w:p>
    <w:p w14:paraId="74FA4A1A" w14:textId="77777777" w:rsidR="004B2808" w:rsidRDefault="00000000">
      <w:pPr>
        <w:pStyle w:val="pheading"/>
      </w:pPr>
      <w:r>
        <w:t>- Remarques importantes</w:t>
      </w:r>
    </w:p>
    <w:p w14:paraId="40F9CA92" w14:textId="77777777" w:rsidR="004B2808" w:rsidRDefault="00000000">
      <w:pPr>
        <w:jc w:val="both"/>
      </w:pPr>
      <w:r>
        <w:t>Les seuils extérieurs sont traités séparément dans le chapitre 21.36.1 Seuils (éléments de façade) et/ou le sous-titre 41.71 Seuils (fenêtres et portes extérieures).</w:t>
      </w:r>
    </w:p>
    <w:p w14:paraId="49DD1815" w14:textId="77777777" w:rsidR="004B2808" w:rsidRDefault="00000000">
      <w:pPr>
        <w:pStyle w:val="pheading"/>
      </w:pPr>
      <w:r>
        <w:t>MATÉRIAUX</w:t>
      </w:r>
    </w:p>
    <w:p w14:paraId="41F1BDB0" w14:textId="77777777" w:rsidR="004B2808" w:rsidRDefault="00000000">
      <w:pPr>
        <w:jc w:val="both"/>
      </w:pPr>
      <w:r>
        <w:t>Les tablettes se composent soit de matériaux pierreux, soit ligneux, soit synthétiques.</w:t>
      </w:r>
    </w:p>
    <w:p w14:paraId="7206DD87" w14:textId="77777777" w:rsidR="004B2808" w:rsidRDefault="00000000">
      <w:pPr>
        <w:jc w:val="both"/>
      </w:pPr>
      <w:r>
        <w:t>Pour les tablettes neuves, toutes les tablettes d’un seul et même local, sont réalisées dans le même matériau, elles ont toutes la même épaisseur et leur surface a le même aspect et le même profil, sauf indications contraires dans le cahier spécial des charges ou sur les plans.</w:t>
      </w:r>
    </w:p>
    <w:p w14:paraId="0C6D8705" w14:textId="77777777" w:rsidR="004B2808" w:rsidRDefault="00000000">
      <w:pPr>
        <w:jc w:val="both"/>
      </w:pPr>
      <w:r>
        <w:t>Pour les tablettes de réemploi, elles sont réparties afin de donner une uniformité de teinte et de forme. Si les tablettes présentent des disparités de teinte, de texture ou de forme, l’agencement des tablettes de réemploi est proposé au maître de l’ouvrage avant mise en œuvre. Sauf accord du maitre de l’ouvrage, les tablettes de réemploi sont fournies en une seule pièce pour les dimensions inférieures à 150 cm</w:t>
      </w:r>
    </w:p>
    <w:p w14:paraId="60E191C6" w14:textId="77777777" w:rsidR="004B2808" w:rsidRDefault="00000000">
      <w:pPr>
        <w:jc w:val="both"/>
      </w:pPr>
      <w:r>
        <w:t>Les mortiers de pose et/ou les mastics et matériaux de fixation sont compatibles avec la nature des tablettes. Une série complète d'échantillons et/ou de couleurs est soumis préalablement à l'approbation de l'auteur de projet, ainsi qu'une documentation technique des mastics élastiques.</w:t>
      </w:r>
    </w:p>
    <w:p w14:paraId="48A2334B" w14:textId="77777777" w:rsidR="004B2808" w:rsidRDefault="00000000">
      <w:pPr>
        <w:jc w:val="both"/>
      </w:pPr>
      <w:r>
        <w:t>Les caractéristiques des mastics élastiques répondent au tableau 33 de la [NIT 237] ainsi qu'à la [STS 56]. L'utilisation de mastics au caoutchouc bitume n'est pas admise. La couleur des mastics est adaptée à la couleur des tablettes ou est choisie par l'auteur de projet.</w:t>
      </w:r>
    </w:p>
    <w:p w14:paraId="1196A056" w14:textId="77777777" w:rsidR="004B2808" w:rsidRDefault="00000000">
      <w:pPr>
        <w:ind w:left="750"/>
      </w:pPr>
      <w:r>
        <w:lastRenderedPageBreak/>
        <w:t> </w:t>
      </w:r>
    </w:p>
    <w:p w14:paraId="5A91BFC8" w14:textId="77777777" w:rsidR="004B2808" w:rsidRDefault="00000000">
      <w:pPr>
        <w:pStyle w:val="pheading"/>
      </w:pPr>
      <w:r>
        <w:t>EXÉCUTION / MISE EN ŒUVRE</w:t>
      </w:r>
    </w:p>
    <w:p w14:paraId="247752DF" w14:textId="77777777" w:rsidR="004B2808" w:rsidRDefault="00000000">
      <w:pPr>
        <w:jc w:val="both"/>
      </w:pPr>
      <w:r>
        <w:t>Après la mise en œuvre de la menuiserie et du plafonnage, l'entrepreneur prend les dimensions exactes.</w:t>
      </w:r>
    </w:p>
    <w:p w14:paraId="10B2E81E" w14:textId="77777777" w:rsidR="004B2808" w:rsidRDefault="004B2808">
      <w:pPr>
        <w:jc w:val="both"/>
      </w:pPr>
    </w:p>
    <w:p w14:paraId="3A7F75BB" w14:textId="77777777" w:rsidR="004B2808" w:rsidRDefault="00000000">
      <w:pPr>
        <w:jc w:val="both"/>
      </w:pPr>
      <w:r>
        <w:t>Avant la mise en œuvre, l'aire de pose et les faces de contact sont débarrassées de tous déchets, matières étrangères, restes de mortier ou de plâtre, graisses, etc.</w:t>
      </w:r>
    </w:p>
    <w:p w14:paraId="46D44E91" w14:textId="77777777" w:rsidR="004B2808" w:rsidRDefault="004B2808">
      <w:pPr>
        <w:jc w:val="both"/>
      </w:pPr>
    </w:p>
    <w:p w14:paraId="59D6DD07" w14:textId="77777777" w:rsidR="004B2808" w:rsidRDefault="00000000">
      <w:pPr>
        <w:jc w:val="both"/>
      </w:pPr>
      <w:r>
        <w:t>Il ne peut en aucun cas se former de ponts thermiques ou d'humidité entre le mur intérieur et extérieur. A cet effet, avant la mise en œuvre, on vérifie si la rupture thermique à cet endroit reste garantie. Si nécessaire, les vides subséquents à un raccord défectueux des matériaux d'isolation sont remplis d'isolant approprié, compatible avec l'isolation de la coulisse du mur.</w:t>
      </w:r>
    </w:p>
    <w:p w14:paraId="22EA32E8" w14:textId="77777777" w:rsidR="004B2808" w:rsidRDefault="004B2808">
      <w:pPr>
        <w:jc w:val="both"/>
      </w:pPr>
    </w:p>
    <w:p w14:paraId="0DAFAE33" w14:textId="77777777" w:rsidR="004B2808" w:rsidRDefault="00000000">
      <w:pPr>
        <w:jc w:val="both"/>
      </w:pPr>
      <w:r>
        <w:t>Les tablettes ne sont pas en contact direct avec le seuil. Une isolation et les étanchéités sont disposées avant la pose de la tablette.</w:t>
      </w:r>
    </w:p>
    <w:p w14:paraId="27BA8BAF" w14:textId="77777777" w:rsidR="004B2808" w:rsidRDefault="004B2808">
      <w:pPr>
        <w:jc w:val="both"/>
      </w:pPr>
    </w:p>
    <w:p w14:paraId="3A8D720B" w14:textId="77777777" w:rsidR="004B2808" w:rsidRDefault="00000000">
      <w:pPr>
        <w:jc w:val="both"/>
      </w:pPr>
      <w:r>
        <w:t>Les tablettes sont posées parfaitement horizontales et de niveau. Elles sont solidement soutenues et fixées et, sauf prescriptions spécifiques, elles sont</w:t>
      </w:r>
    </w:p>
    <w:p w14:paraId="5F5CF60C" w14:textId="77777777" w:rsidR="004B2808" w:rsidRDefault="004B2808">
      <w:pPr>
        <w:jc w:val="both"/>
      </w:pPr>
    </w:p>
    <w:p w14:paraId="0C581356" w14:textId="77777777" w:rsidR="004B2808" w:rsidRDefault="00000000">
      <w:pPr>
        <w:pStyle w:val="Author-eListParagraph"/>
        <w:numPr>
          <w:ilvl w:val="0"/>
          <w:numId w:val="1150"/>
        </w:numPr>
      </w:pPr>
      <w:r>
        <w:t>posées avec un débordement d'environ 1,5 à 2 cm par rapport à la surface finie du mur. Les tablettes qui débordent de plus de 8 cm par rapport à l'aire de pose sont en plus soutenues avec des profils appropriés;</w:t>
      </w:r>
    </w:p>
    <w:p w14:paraId="29EA9014" w14:textId="77777777" w:rsidR="004B2808" w:rsidRDefault="00000000">
      <w:pPr>
        <w:pStyle w:val="Author-eListParagraph"/>
        <w:numPr>
          <w:ilvl w:val="0"/>
          <w:numId w:val="1150"/>
        </w:numPr>
      </w:pPr>
      <w:r>
        <w:t>embrevées dans la face vue des ébrasements sur environ 1 cm (épaisseur du plafonnage, jusque contre le face non enduite du mur intérieur);</w:t>
      </w:r>
    </w:p>
    <w:p w14:paraId="26A60DD5" w14:textId="77777777" w:rsidR="004B2808" w:rsidRDefault="00000000">
      <w:pPr>
        <w:pStyle w:val="Author-eListParagraph"/>
        <w:numPr>
          <w:ilvl w:val="0"/>
          <w:numId w:val="1150"/>
        </w:numPr>
      </w:pPr>
      <w:r>
        <w:t>insérées dans les rainures prévues à cet effet dans les profils des châssis de fenêtre;</w:t>
      </w:r>
    </w:p>
    <w:p w14:paraId="4B6D718E" w14:textId="77777777" w:rsidR="004B2808" w:rsidRDefault="00000000">
      <w:pPr>
        <w:pStyle w:val="Author-eListParagraph"/>
        <w:numPr>
          <w:ilvl w:val="0"/>
          <w:numId w:val="1150"/>
        </w:numPr>
      </w:pPr>
      <w:r>
        <w:t xml:space="preserve">un jeu minimum de 25 mm est disposé entre la tablette et l’ouvrant durant toute sa manœuvre. </w:t>
      </w:r>
    </w:p>
    <w:p w14:paraId="40AA31DF" w14:textId="77777777" w:rsidR="004B2808" w:rsidRDefault="00000000">
      <w:pPr>
        <w:jc w:val="both"/>
      </w:pPr>
      <w:r>
        <w:t>Les joints entre les tablettes et les matériaux et structures attenants sont colmatés avec un produit de rejointoiement approprié. Le joint au droit du châssis est colmaté avec un mastic fongicide à élasticité permanente.</w:t>
      </w:r>
    </w:p>
    <w:p w14:paraId="5C481752" w14:textId="77777777" w:rsidR="004B2808" w:rsidRDefault="004B2808">
      <w:pPr>
        <w:jc w:val="both"/>
      </w:pPr>
    </w:p>
    <w:p w14:paraId="54B3806D" w14:textId="77777777" w:rsidR="004B2808" w:rsidRDefault="00000000">
      <w:pPr>
        <w:jc w:val="both"/>
      </w:pPr>
      <w:r>
        <w:t>Après la finition, les tablettes sont nettoyées et débarrassées des taches de mastic, de mortier et de produit de jointoiement. L'entrepreneur prend toutes les mesures qui s'imposent afin de protéger les tablettes jusqu'à la réception provisoire.</w:t>
      </w:r>
    </w:p>
    <w:p w14:paraId="0552B50F" w14:textId="77777777" w:rsidR="004B2808" w:rsidRDefault="00000000">
      <w:pPr>
        <w:pStyle w:val="pheading"/>
      </w:pPr>
      <w:r>
        <w:t>CONTRÔLES</w:t>
      </w:r>
    </w:p>
    <w:p w14:paraId="50F8C3A9" w14:textId="77777777" w:rsidR="004B2808" w:rsidRDefault="00000000">
      <w:pPr>
        <w:jc w:val="both"/>
      </w:pPr>
      <w:r>
        <w:t>L'auteur de projet se réserve le droit de refuser toute pièce défectueuse. Les tablettes mal posées, endommagées, présentant des fissures ou des rayures, sont remplacées aux frais de l'entrepreneur.</w:t>
      </w:r>
    </w:p>
    <w:p w14:paraId="7277019C" w14:textId="77777777" w:rsidR="004B2808" w:rsidRDefault="00000000">
      <w:pPr>
        <w:pStyle w:val="Author-eSectionHeading5Numberless"/>
      </w:pPr>
      <w:bookmarkStart w:id="1283" w:name="_Toc220491401"/>
      <w:r>
        <w:t>55.61.1 Tablettes (de fenêtres et autres) en bois CCTB 01.02</w:t>
      </w:r>
      <w:bookmarkEnd w:id="1283"/>
    </w:p>
    <w:p w14:paraId="5A85A7FE" w14:textId="77777777" w:rsidR="004B2808" w:rsidRDefault="00000000">
      <w:pPr>
        <w:pStyle w:val="Author-eSectionHeading6Numberless"/>
      </w:pPr>
      <w:bookmarkStart w:id="1284" w:name="_Toc220491402"/>
      <w:r>
        <w:t>55.61.1a Tablettes (de fenêtres et autres) en bois massif CCTB 01.11</w:t>
      </w:r>
      <w:bookmarkEnd w:id="1284"/>
    </w:p>
    <w:p w14:paraId="548AB1E2" w14:textId="77777777" w:rsidR="004B2808" w:rsidRDefault="00000000">
      <w:pPr>
        <w:pStyle w:val="pheading"/>
      </w:pPr>
      <w:r>
        <w:t>DESCRIPTION</w:t>
      </w:r>
    </w:p>
    <w:p w14:paraId="67D7198B" w14:textId="77777777" w:rsidR="004B2808" w:rsidRDefault="00000000">
      <w:pPr>
        <w:pStyle w:val="pheading"/>
      </w:pPr>
      <w:r>
        <w:t>- Définition / Comprend</w:t>
      </w:r>
    </w:p>
    <w:p w14:paraId="41FBDFA9" w14:textId="77777777" w:rsidR="004B2808" w:rsidRDefault="00000000">
      <w:pPr>
        <w:jc w:val="both"/>
      </w:pPr>
      <w:r>
        <w:t>Il s’agit de la fourniture (hors matériaux récupérés du site) et la pose des tablettes de fenêtres et autres ouvertures en bois massif.</w:t>
      </w:r>
    </w:p>
    <w:p w14:paraId="76C01B07" w14:textId="77777777" w:rsidR="004B2808" w:rsidRDefault="00000000">
      <w:pPr>
        <w:pStyle w:val="pheading"/>
      </w:pPr>
      <w:r>
        <w:t>MATÉRIAUX</w:t>
      </w:r>
    </w:p>
    <w:p w14:paraId="42D9C411" w14:textId="77777777" w:rsidR="004B2808" w:rsidRDefault="00000000">
      <w:pPr>
        <w:pStyle w:val="pheading"/>
      </w:pPr>
      <w:r>
        <w:lastRenderedPageBreak/>
        <w:t>- Caractéristiques générales</w:t>
      </w:r>
    </w:p>
    <w:p w14:paraId="3743A900" w14:textId="77777777" w:rsidR="004B2808" w:rsidRDefault="00000000">
      <w:pPr>
        <w:jc w:val="both"/>
      </w:pPr>
      <w:r>
        <w:t>Le bois et le matériau des tablettes en bois massif satisfont aux dispositions de la [STS 04 série]. </w:t>
      </w:r>
    </w:p>
    <w:p w14:paraId="39B74343" w14:textId="77777777" w:rsidR="004B2808" w:rsidRDefault="00000000">
      <w:pPr>
        <w:jc w:val="both"/>
      </w:pPr>
      <w:r>
        <w:t xml:space="preserve">La tablette est constituée de </w:t>
      </w:r>
      <w:r>
        <w:rPr>
          <w:rStyle w:val="optioncarChar"/>
        </w:rPr>
        <w:t xml:space="preserve">Hêtre (Fagus sylvatica) / Chêne d’Europe (Quercus robur et Q. Petraea) </w:t>
      </w:r>
      <w:r>
        <w:t>(par défaut)</w:t>
      </w:r>
      <w:r>
        <w:rPr>
          <w:rStyle w:val="optioncarChar"/>
        </w:rPr>
        <w:t xml:space="preserve"> / Frêne (Fraxinus excelsior) / Douglas (Pseudotsuga menziesii) / ***</w:t>
      </w:r>
      <w:r>
        <w:t xml:space="preserve"> dont les caractéristiques de masse volumique sont reprises dans la [STS 04 série].</w:t>
      </w:r>
    </w:p>
    <w:p w14:paraId="469C2826" w14:textId="77777777" w:rsidR="004B2808" w:rsidRDefault="00000000">
      <w:pPr>
        <w:jc w:val="both"/>
      </w:pPr>
      <w:r>
        <w:t>Largeur de la tablette : </w:t>
      </w:r>
      <w:r>
        <w:rPr>
          <w:rStyle w:val="optioncarChar"/>
        </w:rPr>
        <w:t>19</w:t>
      </w:r>
      <w:r>
        <w:t> (par défaut)</w:t>
      </w:r>
      <w:r>
        <w:rPr>
          <w:rStyle w:val="optioncarChar"/>
        </w:rPr>
        <w:t xml:space="preserve"> / 25 / 36 / ***</w:t>
      </w:r>
      <w:r>
        <w:t> cm</w:t>
      </w:r>
    </w:p>
    <w:p w14:paraId="6FBD063B" w14:textId="77777777" w:rsidR="004B2808" w:rsidRDefault="00000000">
      <w:pPr>
        <w:jc w:val="both"/>
      </w:pPr>
      <w:r>
        <w:t xml:space="preserve">Les tablettes en bois massif sont </w:t>
      </w:r>
      <w:r>
        <w:rPr>
          <w:rStyle w:val="optioncarChar"/>
        </w:rPr>
        <w:t xml:space="preserve">neuves </w:t>
      </w:r>
      <w:r>
        <w:t>(par défaut)</w:t>
      </w:r>
      <w:r>
        <w:rPr>
          <w:rStyle w:val="optioncarChar"/>
        </w:rPr>
        <w:t xml:space="preserve"> / de réemploi.</w:t>
      </w:r>
    </w:p>
    <w:p w14:paraId="41A4E9C3" w14:textId="77777777" w:rsidR="004B2808" w:rsidRDefault="00000000">
      <w:pPr>
        <w:ind w:left="567"/>
        <w:jc w:val="both"/>
      </w:pPr>
      <w:r>
        <w:rPr>
          <w:b/>
          <w:i/>
        </w:rPr>
        <w:t>(Soit par défaut)</w:t>
      </w:r>
    </w:p>
    <w:p w14:paraId="6EA8C011" w14:textId="77777777" w:rsidR="004B2808" w:rsidRDefault="00000000">
      <w:pPr>
        <w:ind w:left="567"/>
        <w:jc w:val="both"/>
      </w:pPr>
      <w:r>
        <w:rPr>
          <w:rStyle w:val="soitChar"/>
          <w:u w:val="single"/>
        </w:rPr>
        <w:t>Neuves :</w:t>
      </w:r>
      <w:r>
        <w:rPr>
          <w:rStyle w:val="soitChar"/>
        </w:rPr>
        <w:t xml:space="preserve"> Les tablettes sont en bois massif</w:t>
      </w:r>
      <w:r>
        <w:rPr>
          <w:rStyle w:val="optioncarChar"/>
        </w:rPr>
        <w:t xml:space="preserve"> d’une seule section </w:t>
      </w:r>
      <w:r>
        <w:t>(par défaut)</w:t>
      </w:r>
      <w:r>
        <w:rPr>
          <w:rStyle w:val="optioncarChar"/>
        </w:rPr>
        <w:t xml:space="preserve"> / lamellé collé.</w:t>
      </w:r>
    </w:p>
    <w:p w14:paraId="5ADD5166" w14:textId="77777777" w:rsidR="004B2808" w:rsidRDefault="00000000">
      <w:pPr>
        <w:pStyle w:val="Author-eListParagraph"/>
        <w:numPr>
          <w:ilvl w:val="1"/>
          <w:numId w:val="1151"/>
        </w:numPr>
      </w:pPr>
      <w:r>
        <w:rPr>
          <w:rStyle w:val="soitChar"/>
        </w:rPr>
        <w:t>Masse volumique : au moins </w:t>
      </w:r>
      <w:r>
        <w:rPr>
          <w:rStyle w:val="optioncarChar"/>
        </w:rPr>
        <w:t>650</w:t>
      </w:r>
      <w:r>
        <w:t xml:space="preserve"> (par défaut) </w:t>
      </w:r>
      <w:r>
        <w:rPr>
          <w:rStyle w:val="optioncarChar"/>
        </w:rPr>
        <w:t>/ 725 / ***</w:t>
      </w:r>
      <w:r>
        <w:rPr>
          <w:rStyle w:val="soitChar"/>
        </w:rPr>
        <w:t> kg/m³</w:t>
      </w:r>
    </w:p>
    <w:p w14:paraId="77888E64" w14:textId="77777777" w:rsidR="004B2808" w:rsidRDefault="00000000">
      <w:pPr>
        <w:pStyle w:val="Author-eListParagraph"/>
        <w:numPr>
          <w:ilvl w:val="1"/>
          <w:numId w:val="1151"/>
        </w:numPr>
      </w:pPr>
      <w:r>
        <w:rPr>
          <w:rStyle w:val="soitChar"/>
        </w:rPr>
        <w:t>Forme et modèle de type : </w:t>
      </w:r>
      <w:r>
        <w:rPr>
          <w:rStyle w:val="optioncarChar"/>
        </w:rPr>
        <w:t>***</w:t>
      </w:r>
      <w:r>
        <w:rPr>
          <w:rStyle w:val="soitChar"/>
        </w:rPr>
        <w:t xml:space="preserve">  (Le modèle est présenté par l’entrepreneur à l’auteur de projet pour approbation)</w:t>
      </w:r>
    </w:p>
    <w:p w14:paraId="4CCB9873" w14:textId="77777777" w:rsidR="004B2808" w:rsidRDefault="00000000">
      <w:pPr>
        <w:pStyle w:val="Author-eListParagraph"/>
        <w:numPr>
          <w:ilvl w:val="1"/>
          <w:numId w:val="1151"/>
        </w:numPr>
      </w:pPr>
      <w:r>
        <w:rPr>
          <w:rStyle w:val="soitChar"/>
        </w:rPr>
        <w:t xml:space="preserve">Épaisseur : </w:t>
      </w:r>
      <w:r>
        <w:rPr>
          <w:rStyle w:val="optioncarChar"/>
        </w:rPr>
        <w:t>18 / 20 / 22 </w:t>
      </w:r>
      <w:r>
        <w:t>(par défaut)</w:t>
      </w:r>
      <w:r>
        <w:rPr>
          <w:rStyle w:val="optioncarChar"/>
        </w:rPr>
        <w:t xml:space="preserve"> / ***</w:t>
      </w:r>
      <w:r>
        <w:rPr>
          <w:rStyle w:val="soitChar"/>
        </w:rPr>
        <w:t>mm</w:t>
      </w:r>
    </w:p>
    <w:p w14:paraId="39A45303" w14:textId="77777777" w:rsidR="004B2808" w:rsidRDefault="00000000">
      <w:pPr>
        <w:pStyle w:val="Author-eListParagraph"/>
        <w:numPr>
          <w:ilvl w:val="1"/>
          <w:numId w:val="1151"/>
        </w:numPr>
      </w:pPr>
      <w:r>
        <w:rPr>
          <w:rStyle w:val="soitChar"/>
        </w:rPr>
        <w:t>La face avant de la tablette est </w:t>
      </w:r>
      <w:r>
        <w:rPr>
          <w:rStyle w:val="optioncarChar"/>
        </w:rPr>
        <w:t xml:space="preserve">à double arrondi / à simple arrondi / droite </w:t>
      </w:r>
      <w:r>
        <w:t>(par défaut)</w:t>
      </w:r>
      <w:r>
        <w:rPr>
          <w:rStyle w:val="optioncarChar"/>
        </w:rPr>
        <w:t xml:space="preserve"> / ***.</w:t>
      </w:r>
    </w:p>
    <w:p w14:paraId="70116EC2" w14:textId="77777777" w:rsidR="004B2808" w:rsidRDefault="00000000">
      <w:pPr>
        <w:ind w:left="567"/>
        <w:jc w:val="both"/>
      </w:pPr>
      <w:r>
        <w:rPr>
          <w:b/>
          <w:i/>
        </w:rPr>
        <w:t>(Soit)</w:t>
      </w:r>
    </w:p>
    <w:p w14:paraId="67D2EC0E" w14:textId="77777777" w:rsidR="004B2808" w:rsidRDefault="00000000">
      <w:pPr>
        <w:ind w:left="567"/>
        <w:jc w:val="both"/>
      </w:pPr>
      <w:r>
        <w:rPr>
          <w:rStyle w:val="soitChar"/>
          <w:u w:val="single"/>
        </w:rPr>
        <w:t>Réemploi :</w:t>
      </w:r>
      <w:r>
        <w:rPr>
          <w:rStyle w:val="soitChar"/>
        </w:rPr>
        <w:t xml:space="preserve"> il s’agit de tablettes de réemploi comme alternative aux tablettes neuves. Tablettes récupérées sur place ou modèle à proposer par l’entrepreneur et soumis à l’approbation de l’auteur de projet.</w:t>
      </w:r>
    </w:p>
    <w:p w14:paraId="21B6BE5D" w14:textId="77777777" w:rsidR="004B2808" w:rsidRDefault="00000000">
      <w:pPr>
        <w:ind w:left="567"/>
        <w:jc w:val="both"/>
      </w:pPr>
      <w:r>
        <w:rPr>
          <w:rStyle w:val="soitChar"/>
        </w:rPr>
        <w:t xml:space="preserve">Les tablettes de réemploi sont </w:t>
      </w:r>
      <w:r>
        <w:rPr>
          <w:rStyle w:val="optioncarChar"/>
        </w:rPr>
        <w:t xml:space="preserve">brossées / sablées / poncées brutes </w:t>
      </w:r>
      <w:r>
        <w:t>(par défaut)</w:t>
      </w:r>
      <w:r>
        <w:rPr>
          <w:rStyle w:val="optioncarChar"/>
        </w:rPr>
        <w:t xml:space="preserve"> / poncées finement / ***.</w:t>
      </w:r>
    </w:p>
    <w:p w14:paraId="7AB1B120" w14:textId="77777777" w:rsidR="004B2808" w:rsidRDefault="00000000">
      <w:pPr>
        <w:ind w:left="567"/>
        <w:jc w:val="both"/>
      </w:pPr>
      <w:r>
        <w:rPr>
          <w:rStyle w:val="soitChar"/>
        </w:rPr>
        <w:t>Les tablettes sont recoupées.</w:t>
      </w:r>
    </w:p>
    <w:p w14:paraId="0DE51370" w14:textId="77777777" w:rsidR="004B2808" w:rsidRDefault="00000000">
      <w:pPr>
        <w:ind w:left="567"/>
        <w:jc w:val="both"/>
      </w:pPr>
      <w:r>
        <w:t xml:space="preserve">  </w:t>
      </w:r>
    </w:p>
    <w:p w14:paraId="28275813" w14:textId="77777777" w:rsidR="004B2808" w:rsidRDefault="00000000">
      <w:pPr>
        <w:jc w:val="both"/>
      </w:pPr>
      <w:r>
        <w:t xml:space="preserve">Dans le cas d’utilisation de tablettes de réemploi, il s’agit </w:t>
      </w:r>
      <w:r>
        <w:rPr>
          <w:rStyle w:val="optioncarChar"/>
        </w:rPr>
        <w:t>de la fourniture et de la pose / uniquement de la pose</w:t>
      </w:r>
      <w:r>
        <w:t xml:space="preserve"> des tablettes.</w:t>
      </w:r>
    </w:p>
    <w:p w14:paraId="086AA713" w14:textId="77777777" w:rsidR="004B2808" w:rsidRDefault="00000000">
      <w:pPr>
        <w:ind w:left="567"/>
        <w:jc w:val="both"/>
      </w:pPr>
      <w:r>
        <w:rPr>
          <w:b/>
          <w:i/>
        </w:rPr>
        <w:t>(Soit)</w:t>
      </w:r>
    </w:p>
    <w:p w14:paraId="7E983307" w14:textId="77777777" w:rsidR="004B2808" w:rsidRDefault="00000000">
      <w:pPr>
        <w:ind w:left="567"/>
        <w:jc w:val="both"/>
      </w:pPr>
      <w:r>
        <w:rPr>
          <w:rStyle w:val="soitChar"/>
          <w:u w:val="single"/>
        </w:rPr>
        <w:t>Fourniture et pose :</w:t>
      </w:r>
      <w:r>
        <w:rPr>
          <w:rStyle w:val="soitChar"/>
        </w:rPr>
        <w:t xml:space="preserve"> Les tablettes sont fournies par l’entreprise.</w:t>
      </w:r>
    </w:p>
    <w:p w14:paraId="2FEA9D6A" w14:textId="77777777" w:rsidR="004B2808" w:rsidRDefault="00000000">
      <w:pPr>
        <w:ind w:left="567"/>
        <w:jc w:val="both"/>
      </w:pPr>
      <w:r>
        <w:rPr>
          <w:b/>
          <w:i/>
        </w:rPr>
        <w:t>(Soit)</w:t>
      </w:r>
    </w:p>
    <w:p w14:paraId="56A5A760" w14:textId="77777777" w:rsidR="004B2808" w:rsidRDefault="00000000">
      <w:pPr>
        <w:ind w:left="567"/>
        <w:jc w:val="both"/>
      </w:pPr>
      <w:r>
        <w:rPr>
          <w:rStyle w:val="soitChar"/>
          <w:u w:val="single"/>
        </w:rPr>
        <w:t>Pose :</w:t>
      </w:r>
      <w:r>
        <w:rPr>
          <w:rStyle w:val="soitChar"/>
        </w:rPr>
        <w:t xml:space="preserve"> Les tablettes sont fournies par le MO</w:t>
      </w:r>
    </w:p>
    <w:p w14:paraId="2C12ECBC" w14:textId="77777777" w:rsidR="004B2808" w:rsidRDefault="00000000">
      <w:pPr>
        <w:ind w:left="750"/>
      </w:pPr>
      <w:r>
        <w:t> </w:t>
      </w:r>
    </w:p>
    <w:p w14:paraId="6D10C07C" w14:textId="77777777" w:rsidR="004B2808" w:rsidRDefault="00000000">
      <w:pPr>
        <w:pStyle w:val="pheading"/>
      </w:pPr>
      <w:r>
        <w:t>- Finitions</w:t>
      </w:r>
    </w:p>
    <w:p w14:paraId="36B54D3C" w14:textId="77777777" w:rsidR="004B2808" w:rsidRDefault="00000000">
      <w:pPr>
        <w:jc w:val="both"/>
      </w:pPr>
      <w:r>
        <w:rPr>
          <w:b/>
          <w:u w:val="single"/>
        </w:rPr>
        <w:t>Traitement  de préservation</w:t>
      </w:r>
    </w:p>
    <w:p w14:paraId="6460B7C2" w14:textId="77777777" w:rsidR="004B2808" w:rsidRDefault="00000000">
      <w:pPr>
        <w:jc w:val="both"/>
      </w:pPr>
      <w:r>
        <w:t>Les produits de préservation du bois sont conformes aux exigences de performances données dans la [NBN EN 599-2] appropriées à la classe d'utilisation. L'usinage, le perçage, le rabotage etc. sont terminés avant le traitement de préservation. En cas de flache, trace d’écorce (rhytidome) l’élément est retiré.</w:t>
      </w:r>
    </w:p>
    <w:p w14:paraId="6D7679D2" w14:textId="77777777" w:rsidR="004B2808" w:rsidRDefault="00000000">
      <w:pPr>
        <w:jc w:val="both"/>
      </w:pPr>
      <w:r>
        <w:rPr>
          <w:b/>
          <w:u w:val="single"/>
        </w:rPr>
        <w:t>Finition</w:t>
      </w:r>
    </w:p>
    <w:p w14:paraId="752C6027" w14:textId="77777777" w:rsidR="004B2808" w:rsidRDefault="00000000">
      <w:pPr>
        <w:jc w:val="both"/>
      </w:pPr>
      <w:r>
        <w:t>La préparation et la finition de surface sont définis dans le 8 T8 Travaux de peinture / Traitements de surface.</w:t>
      </w:r>
    </w:p>
    <w:p w14:paraId="4271A38A" w14:textId="77777777" w:rsidR="004B2808" w:rsidRDefault="00000000">
      <w:pPr>
        <w:jc w:val="both"/>
      </w:pPr>
      <w:r>
        <w:t>Les différences de couleurs d’une même essence sont acceptées.</w:t>
      </w:r>
    </w:p>
    <w:p w14:paraId="1C9BCA37" w14:textId="77777777" w:rsidR="004B2808" w:rsidRDefault="00000000">
      <w:pPr>
        <w:pStyle w:val="pheading"/>
      </w:pPr>
      <w:r>
        <w:t>EXÉCUTION / MISE EN ŒUVRE</w:t>
      </w:r>
    </w:p>
    <w:p w14:paraId="1FA954BB" w14:textId="77777777" w:rsidR="004B2808" w:rsidRDefault="00000000">
      <w:pPr>
        <w:pStyle w:val="pheading"/>
      </w:pPr>
      <w:r>
        <w:t>- Prescriptions générales</w:t>
      </w:r>
    </w:p>
    <w:p w14:paraId="3E245EFA" w14:textId="77777777" w:rsidR="004B2808" w:rsidRDefault="00000000">
      <w:pPr>
        <w:jc w:val="both"/>
      </w:pPr>
      <w:r>
        <w:t>La face arrière est protégée contre la pénétration d'humidité.</w:t>
      </w:r>
    </w:p>
    <w:p w14:paraId="145C7CE2" w14:textId="77777777" w:rsidR="004B2808" w:rsidRDefault="00000000">
      <w:pPr>
        <w:jc w:val="both"/>
      </w:pPr>
      <w:r>
        <w:lastRenderedPageBreak/>
        <w:t>Pour le transport, l'entreposage et le montage, les directives du fabricant ou les dispositions de la [NIT 283] sont prises en compte.</w:t>
      </w:r>
    </w:p>
    <w:p w14:paraId="3B2F9855" w14:textId="77777777" w:rsidR="004B2808" w:rsidRDefault="004B2808">
      <w:pPr>
        <w:jc w:val="both"/>
      </w:pPr>
    </w:p>
    <w:p w14:paraId="2BF3D17E" w14:textId="77777777" w:rsidR="004B2808" w:rsidRDefault="00000000">
      <w:pPr>
        <w:jc w:val="both"/>
      </w:pPr>
      <w:r>
        <w:t>Les tablettes ne sont pas en contacts direct avec des sources de chaleur ou d’humidité, un calage adapté est prévu lors du placement.</w:t>
      </w:r>
    </w:p>
    <w:p w14:paraId="43B895BB" w14:textId="77777777" w:rsidR="004B2808" w:rsidRDefault="004B2808">
      <w:pPr>
        <w:jc w:val="both"/>
      </w:pPr>
    </w:p>
    <w:p w14:paraId="1B55014D" w14:textId="77777777" w:rsidR="004B2808" w:rsidRDefault="00000000">
      <w:pPr>
        <w:jc w:val="both"/>
      </w:pPr>
      <w:r>
        <w:t>Lorsque l'aire de pose n'est pas suffisamment plane, celle-ci est d'abord nivelée au mortier de ciment.</w:t>
      </w:r>
    </w:p>
    <w:p w14:paraId="271F9CB3" w14:textId="77777777" w:rsidR="004B2808" w:rsidRDefault="004B2808">
      <w:pPr>
        <w:jc w:val="both"/>
      </w:pPr>
    </w:p>
    <w:p w14:paraId="02CB3B93" w14:textId="77777777" w:rsidR="004B2808" w:rsidRDefault="00000000">
      <w:pPr>
        <w:jc w:val="both"/>
      </w:pPr>
      <w:r>
        <w:t>Le joint avec la menuiserie est réalisé à l'aide d'un mastic élastique, selon la [NIT 283]. L'utilisation d'un mastic au caoutchouc bitumé est interdite.</w:t>
      </w:r>
    </w:p>
    <w:p w14:paraId="49B920E3" w14:textId="77777777" w:rsidR="004B2808" w:rsidRDefault="00000000">
      <w:pPr>
        <w:ind w:left="750"/>
      </w:pPr>
      <w:r>
        <w:t> </w:t>
      </w:r>
    </w:p>
    <w:p w14:paraId="5E2F7DEE" w14:textId="77777777" w:rsidR="004B2808" w:rsidRDefault="00000000">
      <w:pPr>
        <w:pStyle w:val="pheading"/>
      </w:pPr>
      <w:r>
        <w:t>- Notes d’exécution complémentaires</w:t>
      </w:r>
    </w:p>
    <w:p w14:paraId="5EFEFFA8" w14:textId="77777777" w:rsidR="004B2808" w:rsidRDefault="00000000">
      <w:pPr>
        <w:jc w:val="both"/>
      </w:pPr>
      <w:r>
        <w:rPr>
          <w:rStyle w:val="facultChar"/>
        </w:rPr>
        <w:t xml:space="preserve">Les tablettes sont posées </w:t>
      </w:r>
      <w:r>
        <w:rPr>
          <w:rStyle w:val="optioncarChar"/>
        </w:rPr>
        <w:t>d'un seul tenant sans joints  /  en deux pièces</w:t>
      </w:r>
      <w:r>
        <w:t> </w:t>
      </w:r>
      <w:r>
        <w:rPr>
          <w:rStyle w:val="optioncarChar"/>
        </w:rPr>
        <w:t xml:space="preserve">pour les tablettes d'une longueur supérieure 150 cm </w:t>
      </w:r>
      <w:r>
        <w:t>(par défaut) </w:t>
      </w:r>
      <w:r>
        <w:rPr>
          <w:rStyle w:val="optioncarChar"/>
        </w:rPr>
        <w:t>/ *** cm</w:t>
      </w:r>
      <w:r>
        <w:rPr>
          <w:rStyle w:val="facultChar"/>
        </w:rPr>
        <w:t xml:space="preserve">. Lorsque les tablettes se composent d'une ou de plusieurs parties, les joints sont assemblés par </w:t>
      </w:r>
      <w:r>
        <w:rPr>
          <w:rStyle w:val="optioncarChar"/>
        </w:rPr>
        <w:t xml:space="preserve">joints de mastic </w:t>
      </w:r>
      <w:r>
        <w:t>(par défaut)</w:t>
      </w:r>
      <w:r>
        <w:rPr>
          <w:rStyle w:val="optioncarChar"/>
        </w:rPr>
        <w:t xml:space="preserve"> / recouvrement / ***</w:t>
      </w:r>
      <w:r>
        <w:rPr>
          <w:rStyle w:val="facultChar"/>
        </w:rPr>
        <w:t>, adapté à la teinte de la tablette ; il n'a pas d'influence néfaste sur la tablette, ni en ce qui concerne la résistance ni au niveau de l'aspect esthétique.</w:t>
      </w:r>
    </w:p>
    <w:p w14:paraId="77A2B4F5" w14:textId="77777777" w:rsidR="004B2808" w:rsidRDefault="004B2808">
      <w:pPr>
        <w:jc w:val="both"/>
      </w:pPr>
    </w:p>
    <w:p w14:paraId="38050E8B" w14:textId="77777777" w:rsidR="004B2808" w:rsidRDefault="00000000">
      <w:pPr>
        <w:jc w:val="both"/>
      </w:pPr>
      <w:r>
        <w:rPr>
          <w:rStyle w:val="facultChar"/>
        </w:rPr>
        <w:t xml:space="preserve">Les tablettes débordent de </w:t>
      </w:r>
      <w:r>
        <w:rPr>
          <w:rStyle w:val="optioncarChar"/>
        </w:rPr>
        <w:t>1,5 / 2 / 4</w:t>
      </w:r>
      <w:r>
        <w:t xml:space="preserve"> (par défaut)</w:t>
      </w:r>
      <w:r>
        <w:rPr>
          <w:rStyle w:val="optioncarChar"/>
        </w:rPr>
        <w:t xml:space="preserve"> / 6 / 8 / ***</w:t>
      </w:r>
      <w:r>
        <w:rPr>
          <w:rStyle w:val="facultChar"/>
        </w:rPr>
        <w:t xml:space="preserve"> cm par rapport à la face finie du mur intérieur. Les tablettes de fenêtre dont le débordement dépasse 8 cm sont soutenues par des profils métallisés ancrés dans le mur. La fixation sur ces fers se fait par collage à l'aide d'un mastic élastique approprié.</w:t>
      </w:r>
    </w:p>
    <w:p w14:paraId="350BC7EF" w14:textId="77777777" w:rsidR="004B2808" w:rsidRDefault="004B2808">
      <w:pPr>
        <w:jc w:val="both"/>
      </w:pPr>
    </w:p>
    <w:p w14:paraId="2001E2B5" w14:textId="77777777" w:rsidR="004B2808" w:rsidRDefault="00000000">
      <w:pPr>
        <w:jc w:val="both"/>
      </w:pPr>
      <w:r>
        <w:rPr>
          <w:rStyle w:val="facultChar"/>
        </w:rPr>
        <w:t xml:space="preserve">Les tablettes </w:t>
      </w:r>
      <w:r>
        <w:rPr>
          <w:rStyle w:val="optioncarChar"/>
        </w:rPr>
        <w:t>sont insérées / ne sont pas insérées / ***</w:t>
      </w:r>
      <w:r>
        <w:rPr>
          <w:rStyle w:val="facultChar"/>
        </w:rPr>
        <w:t xml:space="preserve"> dans l'enduit des ébrasements sur environ </w:t>
      </w:r>
      <w:r>
        <w:rPr>
          <w:rStyle w:val="optioncarChar"/>
        </w:rPr>
        <w:t>1 / 1,5 / 2 / ***</w:t>
      </w:r>
      <w:r>
        <w:rPr>
          <w:rStyle w:val="facultChar"/>
        </w:rPr>
        <w:t xml:space="preserve"> cm.</w:t>
      </w:r>
    </w:p>
    <w:p w14:paraId="03630D27" w14:textId="77777777" w:rsidR="004B2808" w:rsidRDefault="00000000">
      <w:pPr>
        <w:pStyle w:val="pheading"/>
      </w:pPr>
      <w:r>
        <w:t>DOCUMENTS DE RÉFÉRENCE COMPLÉMENTAIRES</w:t>
      </w:r>
    </w:p>
    <w:p w14:paraId="09FC4B04" w14:textId="77777777" w:rsidR="004B2808" w:rsidRDefault="00000000">
      <w:pPr>
        <w:pStyle w:val="pheading"/>
      </w:pPr>
      <w:r>
        <w:t>- Exécution</w:t>
      </w:r>
    </w:p>
    <w:p w14:paraId="2ED6949F" w14:textId="77777777" w:rsidR="004B2808" w:rsidRDefault="00000000">
      <w:r>
        <w:t>[NIT 213, Les revêtements de sol intérieurs en pierre naturelle (remplace la NIT 137 pour les travaux de dallage en pierre naturelle).]</w:t>
      </w:r>
    </w:p>
    <w:p w14:paraId="79106C21" w14:textId="77777777" w:rsidR="004B2808" w:rsidRDefault="00000000">
      <w:r>
        <w:t>[NIT 237, Revêtements de sol intérieurs en carreaux céramiques (remplace la NIT 137 pour les travaux de carrelage en céramique).]</w:t>
      </w:r>
    </w:p>
    <w:p w14:paraId="06111C10" w14:textId="77777777" w:rsidR="004B2808" w:rsidRDefault="00000000">
      <w:r>
        <w:t>[STS 56.1, Mastics d’étanchéité des façades]</w:t>
      </w:r>
    </w:p>
    <w:p w14:paraId="596E3ED8" w14:textId="77777777" w:rsidR="004B2808" w:rsidRDefault="00000000">
      <w:pPr>
        <w:pStyle w:val="pheading"/>
      </w:pPr>
      <w:r>
        <w:t>MESURAGE</w:t>
      </w:r>
    </w:p>
    <w:p w14:paraId="756DC4AC" w14:textId="77777777" w:rsidR="004B2808" w:rsidRDefault="00000000">
      <w:pPr>
        <w:pStyle w:val="pheading"/>
      </w:pPr>
      <w:r>
        <w:t>- unité de mesure:</w:t>
      </w:r>
    </w:p>
    <w:p w14:paraId="0F1F0362" w14:textId="77777777" w:rsidR="004B2808" w:rsidRDefault="00000000">
      <w:r>
        <w:rPr>
          <w:rStyle w:val="optioncarChar"/>
        </w:rPr>
        <w:t xml:space="preserve">m </w:t>
      </w:r>
      <w:r>
        <w:t>(par défaut)</w:t>
      </w:r>
      <w:r>
        <w:rPr>
          <w:rStyle w:val="optioncarChar"/>
        </w:rPr>
        <w:t xml:space="preserve"> / m²</w:t>
      </w:r>
    </w:p>
    <w:p w14:paraId="33D174AF" w14:textId="77777777" w:rsidR="004B2808" w:rsidRDefault="00000000">
      <w:r>
        <w:rPr>
          <w:b/>
          <w:i/>
        </w:rPr>
        <w:t>(Soit par défaut)</w:t>
      </w:r>
    </w:p>
    <w:p w14:paraId="05762C41" w14:textId="77777777" w:rsidR="004B2808" w:rsidRDefault="00000000">
      <w:r>
        <w:rPr>
          <w:rStyle w:val="soitChar"/>
        </w:rPr>
        <w:t>1. m</w:t>
      </w:r>
    </w:p>
    <w:p w14:paraId="218C6274" w14:textId="77777777" w:rsidR="004B2808" w:rsidRDefault="00000000">
      <w:r>
        <w:rPr>
          <w:b/>
          <w:i/>
        </w:rPr>
        <w:t>(Soit)</w:t>
      </w:r>
    </w:p>
    <w:p w14:paraId="21A9AF65" w14:textId="77777777" w:rsidR="004B2808" w:rsidRDefault="00000000">
      <w:r>
        <w:rPr>
          <w:rStyle w:val="soitChar"/>
        </w:rPr>
        <w:t>2. m²</w:t>
      </w:r>
    </w:p>
    <w:p w14:paraId="05BA7276" w14:textId="77777777" w:rsidR="004B2808" w:rsidRDefault="00000000">
      <w:pPr>
        <w:pStyle w:val="pheading"/>
      </w:pPr>
      <w:r>
        <w:t>- code de mesurage:</w:t>
      </w:r>
    </w:p>
    <w:p w14:paraId="5CC5D841" w14:textId="77777777" w:rsidR="004B2808" w:rsidRDefault="00000000">
      <w:pPr>
        <w:jc w:val="both"/>
      </w:pPr>
      <w:r>
        <w:rPr>
          <w:rStyle w:val="optioncarChar"/>
        </w:rPr>
        <w:t xml:space="preserve">Longueur nette </w:t>
      </w:r>
      <w:r>
        <w:t>(par défaut)</w:t>
      </w:r>
      <w:r>
        <w:rPr>
          <w:rStyle w:val="optioncarChar"/>
        </w:rPr>
        <w:t xml:space="preserve"> / Surface nette</w:t>
      </w:r>
    </w:p>
    <w:p w14:paraId="2D062914" w14:textId="77777777" w:rsidR="004B2808" w:rsidRDefault="00000000">
      <w:pPr>
        <w:jc w:val="both"/>
      </w:pPr>
      <w:r>
        <w:rPr>
          <w:b/>
          <w:i/>
        </w:rPr>
        <w:t>(Soit par défaut)</w:t>
      </w:r>
    </w:p>
    <w:p w14:paraId="6062BA95" w14:textId="77777777" w:rsidR="004B2808" w:rsidRDefault="00000000">
      <w:pPr>
        <w:jc w:val="both"/>
      </w:pPr>
      <w:r>
        <w:rPr>
          <w:rStyle w:val="soitChar"/>
          <w:u w:val="single"/>
        </w:rPr>
        <w:t>1. Longueur nette</w:t>
      </w:r>
    </w:p>
    <w:p w14:paraId="469CC98F" w14:textId="77777777" w:rsidR="004B2808" w:rsidRDefault="00000000">
      <w:pPr>
        <w:jc w:val="both"/>
      </w:pPr>
      <w:r>
        <w:rPr>
          <w:b/>
          <w:i/>
        </w:rPr>
        <w:lastRenderedPageBreak/>
        <w:t>(Soit)</w:t>
      </w:r>
    </w:p>
    <w:p w14:paraId="07ED4E37" w14:textId="77777777" w:rsidR="004B2808" w:rsidRDefault="00000000">
      <w:pPr>
        <w:jc w:val="both"/>
      </w:pPr>
      <w:r>
        <w:rPr>
          <w:rStyle w:val="soitChar"/>
          <w:u w:val="single"/>
        </w:rPr>
        <w:t>2. Surface nette</w:t>
      </w:r>
    </w:p>
    <w:p w14:paraId="35DE5099" w14:textId="77777777" w:rsidR="004B2808" w:rsidRDefault="00000000">
      <w:pPr>
        <w:jc w:val="both"/>
      </w:pPr>
      <w:r>
        <w:rPr>
          <w:rStyle w:val="soitChar"/>
        </w:rPr>
        <w:t>Distinction faite entre tablettes neuves et/ou de réemploi – avec ou sans fourniture pour ces dernières.  Ventilé suivant le type de tablette et de finition.</w:t>
      </w:r>
    </w:p>
    <w:p w14:paraId="2CC6D566" w14:textId="77777777" w:rsidR="004B2808" w:rsidRDefault="00000000">
      <w:pPr>
        <w:pStyle w:val="pheading"/>
      </w:pPr>
      <w:r>
        <w:t>- nature du marché:</w:t>
      </w:r>
    </w:p>
    <w:p w14:paraId="62F57F65" w14:textId="77777777" w:rsidR="004B2808" w:rsidRDefault="00000000">
      <w:r>
        <w:rPr>
          <w:rStyle w:val="optioncarChar"/>
        </w:rPr>
        <w:t xml:space="preserve">QF </w:t>
      </w:r>
      <w:r>
        <w:t>(par défaut)</w:t>
      </w:r>
      <w:r>
        <w:rPr>
          <w:rStyle w:val="optioncarChar"/>
        </w:rPr>
        <w:t xml:space="preserve"> / QP  </w:t>
      </w:r>
    </w:p>
    <w:p w14:paraId="7F25419F" w14:textId="77777777" w:rsidR="004B2808" w:rsidRDefault="00000000">
      <w:r>
        <w:rPr>
          <w:b/>
          <w:i/>
        </w:rPr>
        <w:t>(Soit par défaut)</w:t>
      </w:r>
    </w:p>
    <w:p w14:paraId="53535B3C" w14:textId="77777777" w:rsidR="004B2808" w:rsidRDefault="00000000">
      <w:r>
        <w:rPr>
          <w:rStyle w:val="soitChar"/>
        </w:rPr>
        <w:t>1.2. QF</w:t>
      </w:r>
    </w:p>
    <w:p w14:paraId="3FDFEAFB" w14:textId="77777777" w:rsidR="004B2808" w:rsidRDefault="00000000">
      <w:r>
        <w:rPr>
          <w:b/>
          <w:i/>
        </w:rPr>
        <w:t>(Soit)</w:t>
      </w:r>
    </w:p>
    <w:p w14:paraId="0C468564" w14:textId="77777777" w:rsidR="004B2808" w:rsidRDefault="00000000">
      <w:r>
        <w:rPr>
          <w:rStyle w:val="soitChar"/>
        </w:rPr>
        <w:t>1.2. QP</w:t>
      </w:r>
    </w:p>
    <w:p w14:paraId="0877F784" w14:textId="77777777" w:rsidR="004B2808" w:rsidRDefault="00000000">
      <w:pPr>
        <w:pStyle w:val="pheading"/>
      </w:pPr>
      <w:r>
        <w:t>AIDE</w:t>
      </w:r>
    </w:p>
    <w:p w14:paraId="7D5F408A" w14:textId="77777777" w:rsidR="004B2808" w:rsidRDefault="00000000">
      <w:pPr>
        <w:jc w:val="both"/>
      </w:pPr>
      <w:r>
        <w:t>Les tablettes sont fixées solidement de manière invisible. Tous les accessoires de fixation sont résistants à la corrosion et compatibles avec les différents matériaux utilisés.</w:t>
      </w:r>
    </w:p>
    <w:p w14:paraId="4A3BFA2C" w14:textId="77777777" w:rsidR="004B2808" w:rsidRDefault="00000000">
      <w:pPr>
        <w:pStyle w:val="Author-eSectionHeading6Numberless"/>
      </w:pPr>
      <w:bookmarkStart w:id="1285" w:name="_Toc220491403"/>
      <w:r>
        <w:t>55.61.1b Tablettes (de fenêtres et autres) en bois lamellé collé CCTB 01.02</w:t>
      </w:r>
      <w:bookmarkEnd w:id="1285"/>
    </w:p>
    <w:p w14:paraId="79F9568D" w14:textId="77777777" w:rsidR="004B2808" w:rsidRDefault="00000000">
      <w:pPr>
        <w:pStyle w:val="Author-eSectionHeading6Numberless"/>
      </w:pPr>
      <w:bookmarkStart w:id="1286" w:name="_Toc220491404"/>
      <w:r>
        <w:t>55.61.1c Tablettes (de fenêtres et autres) en panneau de bois et dérivés de bois CCTB 01.02</w:t>
      </w:r>
      <w:bookmarkEnd w:id="1286"/>
    </w:p>
    <w:p w14:paraId="6D7A66FE" w14:textId="77777777" w:rsidR="004B2808" w:rsidRDefault="00000000">
      <w:pPr>
        <w:pStyle w:val="Author-eSectionHeading5Numberless"/>
      </w:pPr>
      <w:bookmarkStart w:id="1287" w:name="_Toc220491405"/>
      <w:r>
        <w:t>55.61.2 Tablettes (de fenêtres et autres) en pierre naturelle CCTB 01.02</w:t>
      </w:r>
      <w:bookmarkEnd w:id="1287"/>
    </w:p>
    <w:p w14:paraId="0BCDFD36" w14:textId="77777777" w:rsidR="004B2808" w:rsidRDefault="00000000">
      <w:pPr>
        <w:pStyle w:val="Author-eSectionHeading6Numberless"/>
      </w:pPr>
      <w:bookmarkStart w:id="1288" w:name="_Toc220491406"/>
      <w:r>
        <w:t>55.61.2a Tablettes (de fenêtres et autres) en pierre naturelle CCTB 01.11</w:t>
      </w:r>
      <w:bookmarkEnd w:id="1288"/>
    </w:p>
    <w:p w14:paraId="7877B97C" w14:textId="77777777" w:rsidR="004B2808" w:rsidRDefault="00000000">
      <w:pPr>
        <w:pStyle w:val="pheading"/>
      </w:pPr>
      <w:r>
        <w:t>DESCRIPTION</w:t>
      </w:r>
    </w:p>
    <w:p w14:paraId="2413C515" w14:textId="77777777" w:rsidR="004B2808" w:rsidRDefault="00000000">
      <w:pPr>
        <w:pStyle w:val="pheading"/>
      </w:pPr>
      <w:r>
        <w:t>- Définition / Comprend</w:t>
      </w:r>
    </w:p>
    <w:p w14:paraId="257C73FF" w14:textId="77777777" w:rsidR="004B2808" w:rsidRDefault="00000000">
      <w:pPr>
        <w:jc w:val="both"/>
      </w:pPr>
      <w:r>
        <w:t>Il s’agit de la fourniture (hors matériaux récupérés du site) et de la pose de tablettes de fenêtres et autres ouvertures en pierre naturelle.</w:t>
      </w:r>
    </w:p>
    <w:p w14:paraId="327ACE69" w14:textId="77777777" w:rsidR="004B2808" w:rsidRDefault="00000000">
      <w:pPr>
        <w:pStyle w:val="pheading"/>
      </w:pPr>
      <w:r>
        <w:t>MATÉRIAUX</w:t>
      </w:r>
    </w:p>
    <w:p w14:paraId="2C4D64A4" w14:textId="77777777" w:rsidR="004B2808" w:rsidRDefault="00000000">
      <w:pPr>
        <w:pStyle w:val="pheading"/>
      </w:pPr>
      <w:r>
        <w:t>- Caractéristiques générales</w:t>
      </w:r>
    </w:p>
    <w:p w14:paraId="301AC0E5" w14:textId="77777777" w:rsidR="004B2808" w:rsidRDefault="00000000">
      <w:pPr>
        <w:jc w:val="both"/>
      </w:pPr>
      <w:r>
        <w:t>La pierre naturelle pour les tablettes de fenêtre satisfait aux dispositions des [STS 45 série]. La pierre est exempte de toutes impuretés telles que taches (graisse, huile, rouille, etc.) et est débarrassée de toute gangue ou terre, est écorcée jusqu'au cœur et complètement nettoyée. Les pièces sont parfaitement finies</w:t>
      </w:r>
    </w:p>
    <w:p w14:paraId="0D66D874" w14:textId="77777777" w:rsidR="004B2808" w:rsidRDefault="00000000">
      <w:pPr>
        <w:jc w:val="both"/>
      </w:pPr>
      <w:r>
        <w:t xml:space="preserve">Largeur de la tablette de fenêtre :  </w:t>
      </w:r>
      <w:r>
        <w:rPr>
          <w:rStyle w:val="optioncarChar"/>
        </w:rPr>
        <w:t>19</w:t>
      </w:r>
      <w:r>
        <w:t> (par défaut)</w:t>
      </w:r>
      <w:r>
        <w:rPr>
          <w:rStyle w:val="optioncarChar"/>
        </w:rPr>
        <w:t xml:space="preserve"> / 25 / 36 / *** </w:t>
      </w:r>
      <w:r>
        <w:t>cm</w:t>
      </w:r>
    </w:p>
    <w:p w14:paraId="3D8A83A7" w14:textId="77777777" w:rsidR="004B2808" w:rsidRDefault="00000000">
      <w:pPr>
        <w:jc w:val="both"/>
      </w:pPr>
      <w:r>
        <w:t xml:space="preserve">Les tablettes de fenêtre en pierre naturelle sont </w:t>
      </w:r>
      <w:r>
        <w:rPr>
          <w:rStyle w:val="optioncarChar"/>
        </w:rPr>
        <w:t>neuves</w:t>
      </w:r>
      <w:r>
        <w:t xml:space="preserve"> (par défaut)</w:t>
      </w:r>
      <w:r>
        <w:rPr>
          <w:rStyle w:val="optioncarChar"/>
        </w:rPr>
        <w:t xml:space="preserve"> / de réemploi</w:t>
      </w:r>
    </w:p>
    <w:p w14:paraId="05E96946" w14:textId="77777777" w:rsidR="004B2808" w:rsidRDefault="00000000">
      <w:pPr>
        <w:ind w:left="567"/>
        <w:jc w:val="both"/>
      </w:pPr>
      <w:r>
        <w:rPr>
          <w:b/>
          <w:i/>
        </w:rPr>
        <w:t>(Soit par défaut)</w:t>
      </w:r>
    </w:p>
    <w:p w14:paraId="66786078" w14:textId="77777777" w:rsidR="004B2808" w:rsidRDefault="00000000">
      <w:pPr>
        <w:ind w:left="567"/>
        <w:jc w:val="both"/>
      </w:pPr>
      <w:r>
        <w:rPr>
          <w:rStyle w:val="soitChar"/>
          <w:u w:val="single"/>
        </w:rPr>
        <w:t>Neuves :</w:t>
      </w:r>
      <w:r>
        <w:rPr>
          <w:rStyle w:val="soitChar"/>
        </w:rPr>
        <w:t xml:space="preserve">         </w:t>
      </w:r>
    </w:p>
    <w:p w14:paraId="3319C4B8" w14:textId="77777777" w:rsidR="004B2808" w:rsidRDefault="00000000">
      <w:pPr>
        <w:pStyle w:val="Author-eListParagraph"/>
        <w:numPr>
          <w:ilvl w:val="1"/>
          <w:numId w:val="1152"/>
        </w:numPr>
      </w:pPr>
      <w:r>
        <w:rPr>
          <w:rStyle w:val="soitChar"/>
        </w:rPr>
        <w:t>Origine : </w:t>
      </w:r>
      <w:r>
        <w:rPr>
          <w:rStyle w:val="optioncarChar"/>
        </w:rPr>
        <w:t>belge</w:t>
      </w:r>
      <w:r>
        <w:t xml:space="preserve"> (par défaut)</w:t>
      </w:r>
      <w:r>
        <w:rPr>
          <w:rStyle w:val="optioncarChar"/>
        </w:rPr>
        <w:t xml:space="preserve"> / étrangère</w:t>
      </w:r>
    </w:p>
    <w:p w14:paraId="7E9C9A9C" w14:textId="77777777" w:rsidR="004B2808" w:rsidRDefault="00000000">
      <w:pPr>
        <w:pStyle w:val="Author-eListParagraph"/>
        <w:numPr>
          <w:ilvl w:val="1"/>
          <w:numId w:val="1152"/>
        </w:numPr>
      </w:pPr>
      <w:r>
        <w:rPr>
          <w:rStyle w:val="soitChar"/>
        </w:rPr>
        <w:t xml:space="preserve">Matériau : </w:t>
      </w:r>
      <w:r>
        <w:rPr>
          <w:rStyle w:val="optioncarChar"/>
        </w:rPr>
        <w:t xml:space="preserve">pierre (sédimentaire) calcaire marbrière  bleue </w:t>
      </w:r>
      <w:r>
        <w:t>(par défaut)</w:t>
      </w:r>
      <w:r>
        <w:rPr>
          <w:rStyle w:val="optioncarChar"/>
        </w:rPr>
        <w:t xml:space="preserve"> / pierre (sédimentaire) calcaire marbrière  noire / pierre (sédimentaire)calcaire non marbrière blanche / pierre (sédimentaire) calcaire gréseux / pierre (sédimentaire) siliceuse - gres /  pierre (sédimentaire) siliceuse - schiste / pierre (magmatique) granit / pierre (métamorphique) marbre/ pierre (métamorphique) gneiss / ***</w:t>
      </w:r>
    </w:p>
    <w:p w14:paraId="58E455B8" w14:textId="77777777" w:rsidR="004B2808" w:rsidRDefault="00000000">
      <w:pPr>
        <w:pStyle w:val="Author-eListParagraph"/>
        <w:numPr>
          <w:ilvl w:val="1"/>
          <w:numId w:val="1152"/>
        </w:numPr>
      </w:pPr>
      <w:r>
        <w:rPr>
          <w:rStyle w:val="soitChar"/>
        </w:rPr>
        <w:t xml:space="preserve">Épaisseur : </w:t>
      </w:r>
      <w:r>
        <w:rPr>
          <w:rStyle w:val="optioncarChar"/>
        </w:rPr>
        <w:t>15 / 20 / 22 </w:t>
      </w:r>
      <w:r>
        <w:t>(par défaut)</w:t>
      </w:r>
      <w:r>
        <w:rPr>
          <w:rStyle w:val="optioncarChar"/>
        </w:rPr>
        <w:t xml:space="preserve"> / ***</w:t>
      </w:r>
      <w:r>
        <w:rPr>
          <w:rStyle w:val="soitChar"/>
        </w:rPr>
        <w:t xml:space="preserve"> mm</w:t>
      </w:r>
    </w:p>
    <w:p w14:paraId="4AB96835" w14:textId="77777777" w:rsidR="004B2808" w:rsidRDefault="00000000">
      <w:pPr>
        <w:pStyle w:val="Author-eListParagraph"/>
        <w:numPr>
          <w:ilvl w:val="1"/>
          <w:numId w:val="1152"/>
        </w:numPr>
      </w:pPr>
      <w:r>
        <w:rPr>
          <w:rStyle w:val="soitChar"/>
        </w:rPr>
        <w:t>Forme et modèle de type : </w:t>
      </w:r>
      <w:r>
        <w:rPr>
          <w:rStyle w:val="optioncarChar"/>
        </w:rPr>
        <w:t>***</w:t>
      </w:r>
      <w:r>
        <w:rPr>
          <w:rStyle w:val="soitChar"/>
        </w:rPr>
        <w:t xml:space="preserve"> (Le modèle est présenté par l’entrepreneur à l’auteur de projet pour approbation)</w:t>
      </w:r>
    </w:p>
    <w:p w14:paraId="45DF9677" w14:textId="77777777" w:rsidR="004B2808" w:rsidRDefault="00000000">
      <w:pPr>
        <w:pStyle w:val="Author-eListParagraph"/>
        <w:numPr>
          <w:ilvl w:val="1"/>
          <w:numId w:val="1152"/>
        </w:numPr>
      </w:pPr>
      <w:r>
        <w:rPr>
          <w:rStyle w:val="soitChar"/>
        </w:rPr>
        <w:t>La face avant de la tablette de fenêtre est </w:t>
      </w:r>
      <w:r>
        <w:rPr>
          <w:rStyle w:val="optioncarChar"/>
        </w:rPr>
        <w:t>à double arrondi / à simple arrondi / droite</w:t>
      </w:r>
      <w:r>
        <w:t xml:space="preserve"> (par défaut) </w:t>
      </w:r>
      <w:r>
        <w:rPr>
          <w:rStyle w:val="optioncarChar"/>
        </w:rPr>
        <w:t>/ ***</w:t>
      </w:r>
    </w:p>
    <w:p w14:paraId="2D9C2B93" w14:textId="77777777" w:rsidR="004B2808" w:rsidRDefault="00000000">
      <w:pPr>
        <w:pStyle w:val="Author-eListParagraph"/>
        <w:numPr>
          <w:ilvl w:val="1"/>
          <w:numId w:val="1152"/>
        </w:numPr>
      </w:pPr>
      <w:r>
        <w:rPr>
          <w:rStyle w:val="soitChar"/>
        </w:rPr>
        <w:lastRenderedPageBreak/>
        <w:t>Défauts admissibles : </w:t>
      </w:r>
      <w:r>
        <w:rPr>
          <w:rStyle w:val="optioncarChar"/>
        </w:rPr>
        <w:t>l'utilisation d'un mastic ou d'une pâte quelconque pour cacher les défauts dans les faces vues est interdite / les petits défauts dans les faces vues peuvent être réparés</w:t>
      </w:r>
      <w:r>
        <w:t xml:space="preserve"> (par défaut)</w:t>
      </w:r>
      <w:r>
        <w:rPr>
          <w:rStyle w:val="optioncarChar"/>
        </w:rPr>
        <w:t xml:space="preserve"> / ***</w:t>
      </w:r>
    </w:p>
    <w:p w14:paraId="5B405FCC" w14:textId="77777777" w:rsidR="004B2808" w:rsidRDefault="00000000">
      <w:pPr>
        <w:ind w:left="567"/>
        <w:jc w:val="both"/>
      </w:pPr>
      <w:r>
        <w:rPr>
          <w:b/>
          <w:i/>
        </w:rPr>
        <w:t>(Soit)</w:t>
      </w:r>
    </w:p>
    <w:p w14:paraId="4FA7F431" w14:textId="77777777" w:rsidR="004B2808" w:rsidRDefault="00000000">
      <w:pPr>
        <w:ind w:left="567"/>
        <w:jc w:val="both"/>
      </w:pPr>
      <w:r>
        <w:rPr>
          <w:rStyle w:val="soitChar"/>
          <w:u w:val="single"/>
        </w:rPr>
        <w:t>Réemploi :</w:t>
      </w:r>
      <w:r>
        <w:rPr>
          <w:rStyle w:val="soitChar"/>
        </w:rPr>
        <w:t xml:space="preserve"> il s’agit de tablettes de réemploi comme alternative aux tablettes neuves. Tablettes récupérées sur place ou modèle à proposer par l’entrepreneur et soumis à l’approbation de l’auteur de projet.</w:t>
      </w:r>
    </w:p>
    <w:p w14:paraId="794FE8E5" w14:textId="77777777" w:rsidR="004B2808" w:rsidRDefault="00000000">
      <w:pPr>
        <w:pStyle w:val="Author-eListParagraph"/>
        <w:numPr>
          <w:ilvl w:val="1"/>
          <w:numId w:val="1153"/>
        </w:numPr>
      </w:pPr>
      <w:r>
        <w:rPr>
          <w:rStyle w:val="soitChar"/>
        </w:rPr>
        <w:t xml:space="preserve">Épaisseur : </w:t>
      </w:r>
      <w:r>
        <w:rPr>
          <w:rStyle w:val="optioncarChar"/>
        </w:rPr>
        <w:t>15 / 20 / 22 </w:t>
      </w:r>
      <w:r>
        <w:t>(par défaut)</w:t>
      </w:r>
      <w:r>
        <w:rPr>
          <w:rStyle w:val="optioncarChar"/>
        </w:rPr>
        <w:t xml:space="preserve"> / ***</w:t>
      </w:r>
      <w:r>
        <w:rPr>
          <w:rStyle w:val="soitChar"/>
        </w:rPr>
        <w:t xml:space="preserve"> mm</w:t>
      </w:r>
    </w:p>
    <w:p w14:paraId="09A68504" w14:textId="77777777" w:rsidR="004B2808" w:rsidRDefault="00000000">
      <w:pPr>
        <w:jc w:val="both"/>
      </w:pPr>
      <w:r>
        <w:t> </w:t>
      </w:r>
    </w:p>
    <w:p w14:paraId="5449AC9D" w14:textId="77777777" w:rsidR="004B2808" w:rsidRDefault="00000000">
      <w:pPr>
        <w:jc w:val="both"/>
      </w:pPr>
      <w:r>
        <w:t xml:space="preserve">Dans le cas d’utilisation de tablettes de réemploi, il s’agit </w:t>
      </w:r>
      <w:r>
        <w:rPr>
          <w:rStyle w:val="optioncarChar"/>
        </w:rPr>
        <w:t xml:space="preserve">de la fourniture et de la pose </w:t>
      </w:r>
      <w:r>
        <w:t xml:space="preserve">(par défaut) </w:t>
      </w:r>
      <w:r>
        <w:rPr>
          <w:rStyle w:val="optioncarChar"/>
        </w:rPr>
        <w:t>/ uniquement de la pose</w:t>
      </w:r>
      <w:r>
        <w:t xml:space="preserve"> des tablettes.</w:t>
      </w:r>
    </w:p>
    <w:p w14:paraId="296FEBC9" w14:textId="77777777" w:rsidR="004B2808" w:rsidRDefault="00000000">
      <w:pPr>
        <w:ind w:left="567"/>
        <w:jc w:val="both"/>
      </w:pPr>
      <w:r>
        <w:rPr>
          <w:b/>
          <w:i/>
        </w:rPr>
        <w:t>(Soit)</w:t>
      </w:r>
    </w:p>
    <w:p w14:paraId="45B55550" w14:textId="77777777" w:rsidR="004B2808" w:rsidRDefault="00000000">
      <w:pPr>
        <w:ind w:left="567"/>
        <w:jc w:val="both"/>
      </w:pPr>
      <w:r>
        <w:rPr>
          <w:rStyle w:val="soitChar"/>
          <w:u w:val="single"/>
        </w:rPr>
        <w:t>Fourniture et pose :</w:t>
      </w:r>
      <w:r>
        <w:rPr>
          <w:rStyle w:val="soitChar"/>
        </w:rPr>
        <w:t xml:space="preserve"> Les tablettes sont fournies par l’entreprise.</w:t>
      </w:r>
    </w:p>
    <w:p w14:paraId="5896A8FD" w14:textId="77777777" w:rsidR="004B2808" w:rsidRDefault="00000000">
      <w:pPr>
        <w:ind w:left="567"/>
        <w:jc w:val="both"/>
      </w:pPr>
      <w:r>
        <w:rPr>
          <w:b/>
          <w:i/>
        </w:rPr>
        <w:t>(Soit)</w:t>
      </w:r>
    </w:p>
    <w:p w14:paraId="26DDE454" w14:textId="77777777" w:rsidR="004B2808" w:rsidRDefault="00000000">
      <w:pPr>
        <w:ind w:left="567"/>
        <w:jc w:val="both"/>
      </w:pPr>
      <w:r>
        <w:rPr>
          <w:rStyle w:val="soitChar"/>
          <w:u w:val="single"/>
        </w:rPr>
        <w:t>Pose :</w:t>
      </w:r>
      <w:r>
        <w:rPr>
          <w:rStyle w:val="soitChar"/>
        </w:rPr>
        <w:t xml:space="preserve"> Les tablettes sont fournies par le MO</w:t>
      </w:r>
    </w:p>
    <w:p w14:paraId="298D2C01" w14:textId="77777777" w:rsidR="004B2808" w:rsidRDefault="00000000">
      <w:pPr>
        <w:pStyle w:val="pheading"/>
      </w:pPr>
      <w:r>
        <w:t>- Finitions</w:t>
      </w:r>
    </w:p>
    <w:p w14:paraId="27DDF2C3" w14:textId="77777777" w:rsidR="004B2808" w:rsidRDefault="00000000">
      <w:r>
        <w:t>Finition de la surface : toutes les faces vues sont </w:t>
      </w:r>
      <w:r>
        <w:rPr>
          <w:rStyle w:val="optioncarChar"/>
        </w:rPr>
        <w:t>polies lisses </w:t>
      </w:r>
      <w:r>
        <w:t>(par défaut)</w:t>
      </w:r>
      <w:r>
        <w:rPr>
          <w:rStyle w:val="optioncarChar"/>
        </w:rPr>
        <w:t xml:space="preserve"> / adoucies / ***</w:t>
      </w:r>
      <w:r>
        <w:t>.</w:t>
      </w:r>
    </w:p>
    <w:p w14:paraId="08B6F8DC" w14:textId="77777777" w:rsidR="004B2808" w:rsidRDefault="00000000">
      <w:r>
        <w:t>Finition des bords : les bords et les angles sont </w:t>
      </w:r>
      <w:r>
        <w:rPr>
          <w:rStyle w:val="optioncarChar"/>
        </w:rPr>
        <w:t>légèrement biseautés</w:t>
      </w:r>
      <w:r>
        <w:t> (par défaut)</w:t>
      </w:r>
      <w:r>
        <w:rPr>
          <w:rStyle w:val="optioncarChar"/>
        </w:rPr>
        <w:t xml:space="preserve"> / arrondis</w:t>
      </w:r>
      <w:r>
        <w:t>.</w:t>
      </w:r>
    </w:p>
    <w:p w14:paraId="6E75D77A" w14:textId="77777777" w:rsidR="004B2808" w:rsidRDefault="00000000">
      <w:pPr>
        <w:pStyle w:val="pheading"/>
      </w:pPr>
      <w:r>
        <w:t>EXÉCUTION / MISE EN ŒUVRE</w:t>
      </w:r>
    </w:p>
    <w:p w14:paraId="39D84F11" w14:textId="77777777" w:rsidR="004B2808" w:rsidRDefault="00000000">
      <w:pPr>
        <w:pStyle w:val="pheading"/>
      </w:pPr>
      <w:r>
        <w:t>- Prescriptions générales</w:t>
      </w:r>
    </w:p>
    <w:p w14:paraId="3A5E20CF" w14:textId="77777777" w:rsidR="004B2808" w:rsidRDefault="00000000">
      <w:pPr>
        <w:jc w:val="both"/>
      </w:pPr>
      <w:r>
        <w:t>Les tablettes de fenêtre sont posées à bain plein de mortier également réparti d'une épaisseur minimale de 15 à 20 mm. Le mortier ou le mortier-colle est adapté à la pierre utilisée. Il est réparti afin d’éviter toute mise en flexion de la tablette.</w:t>
      </w:r>
    </w:p>
    <w:p w14:paraId="481D72AD" w14:textId="77777777" w:rsidR="004B2808" w:rsidRDefault="00000000">
      <w:pPr>
        <w:jc w:val="both"/>
      </w:pPr>
      <w:r>
        <w:t>Le joint avec le châssis est réalisé à l'aide d'un mastic élastique, selon le tableau 10 de la [NIT 213] ou [NIT 237]. L'utilisation d'un mastic au caoutchouc bitumé est interdite.</w:t>
      </w:r>
    </w:p>
    <w:p w14:paraId="2CC529A5" w14:textId="77777777" w:rsidR="004B2808" w:rsidRDefault="00000000">
      <w:pPr>
        <w:pStyle w:val="pheading"/>
      </w:pPr>
      <w:r>
        <w:t>- Notes d’exécution complémentaires</w:t>
      </w:r>
    </w:p>
    <w:p w14:paraId="22DB6DC5" w14:textId="77777777" w:rsidR="004B2808" w:rsidRDefault="00000000">
      <w:pPr>
        <w:jc w:val="both"/>
      </w:pPr>
      <w:r>
        <w:rPr>
          <w:rStyle w:val="facultChar"/>
        </w:rPr>
        <w:t>Les tablettes sont posées </w:t>
      </w:r>
      <w:r>
        <w:rPr>
          <w:rStyle w:val="optioncarChar"/>
        </w:rPr>
        <w:t xml:space="preserve">d'un seul tenant sans joints  /  en deux pièces pour les tablettes d'une longueur supérieure à 150 </w:t>
      </w:r>
      <w:r>
        <w:t>(par défaut)</w:t>
      </w:r>
      <w:r>
        <w:rPr>
          <w:rStyle w:val="optioncarChar"/>
        </w:rPr>
        <w:t xml:space="preserve"> / *** cm</w:t>
      </w:r>
      <w:r>
        <w:rPr>
          <w:rStyle w:val="facultChar"/>
        </w:rPr>
        <w:t>. Lorsque les tablettes se composent d'une ou de plusieurs parties, les joints sont remplis au mortier de jointoiement, adapté à la teinte de la tablette ; il n'a pas d'influence néfaste sur la tablette, ni en ce qui concerne la résistance ni au niveau de l'aspect esthétique.</w:t>
      </w:r>
    </w:p>
    <w:p w14:paraId="570ED557" w14:textId="77777777" w:rsidR="004B2808" w:rsidRDefault="00000000">
      <w:pPr>
        <w:jc w:val="both"/>
      </w:pPr>
      <w:r>
        <w:rPr>
          <w:rStyle w:val="facultChar"/>
        </w:rPr>
        <w:t>Les tablettes débordent de </w:t>
      </w:r>
      <w:r>
        <w:rPr>
          <w:rStyle w:val="optioncarChar"/>
        </w:rPr>
        <w:t>1,5 / 2 / 4 </w:t>
      </w:r>
      <w:r>
        <w:t>(par défaut)</w:t>
      </w:r>
      <w:r>
        <w:rPr>
          <w:rStyle w:val="optioncarChar"/>
        </w:rPr>
        <w:t xml:space="preserve"> / 6 / 8 / ***</w:t>
      </w:r>
      <w:r>
        <w:rPr>
          <w:rStyle w:val="facultChar"/>
        </w:rPr>
        <w:t> cm par rapport à la face finie du mur intérieur. Les tablettes de fenêtre dont le débordement dépasse </w:t>
      </w:r>
      <w:r>
        <w:rPr>
          <w:rStyle w:val="optioncarChar"/>
        </w:rPr>
        <w:t>8 / *** </w:t>
      </w:r>
      <w:r>
        <w:rPr>
          <w:rStyle w:val="facultChar"/>
        </w:rPr>
        <w:t>cm sont soutenues par des profils métallisés ancrés dans le mur. La fixation sur ces fers se fait par collage à l'aide d'un mastic élastique approprié.</w:t>
      </w:r>
    </w:p>
    <w:p w14:paraId="6F1B3BFA" w14:textId="77777777" w:rsidR="004B2808" w:rsidRDefault="00000000">
      <w:pPr>
        <w:jc w:val="both"/>
      </w:pPr>
      <w:r>
        <w:rPr>
          <w:rStyle w:val="facultChar"/>
        </w:rPr>
        <w:t xml:space="preserve">Les tablettes </w:t>
      </w:r>
      <w:r>
        <w:rPr>
          <w:rStyle w:val="optioncarChar"/>
        </w:rPr>
        <w:t>sont intégrées dans l'enduit des ébrasements sur environ 1 / 1,5</w:t>
      </w:r>
      <w:r>
        <w:t xml:space="preserve"> (par défaut) </w:t>
      </w:r>
      <w:r>
        <w:rPr>
          <w:rStyle w:val="optioncarChar"/>
        </w:rPr>
        <w:t>/ 2 / *** cm  /  ne sont pas intégrées</w:t>
      </w:r>
      <w:r>
        <w:rPr>
          <w:rStyle w:val="facultChar"/>
        </w:rPr>
        <w:t>. Le cas échéant, les tablettes sont embrevées dans le plafonnage et l'enduit est retouché.</w:t>
      </w:r>
    </w:p>
    <w:p w14:paraId="02D8C9B4" w14:textId="77777777" w:rsidR="004B2808" w:rsidRDefault="00000000">
      <w:pPr>
        <w:pStyle w:val="pheading"/>
      </w:pPr>
      <w:r>
        <w:t>DOCUMENTS DE RÉFÉRENCE COMPLÉMENTAIRES</w:t>
      </w:r>
    </w:p>
    <w:p w14:paraId="51BEB6D0" w14:textId="77777777" w:rsidR="004B2808" w:rsidRDefault="00000000">
      <w:pPr>
        <w:pStyle w:val="pheading"/>
      </w:pPr>
      <w:r>
        <w:t>- Matériau</w:t>
      </w:r>
    </w:p>
    <w:p w14:paraId="1C781ACA" w14:textId="77777777" w:rsidR="004B2808" w:rsidRDefault="00000000">
      <w:r>
        <w:t>[STS 45 série, Parachèvement de sol intérieur : généralités, mortiers-collés, mosaïque de simili-porcelaine et de verre.]</w:t>
      </w:r>
    </w:p>
    <w:p w14:paraId="46A87DF7" w14:textId="77777777" w:rsidR="004B2808" w:rsidRDefault="00000000">
      <w:pPr>
        <w:pStyle w:val="pheading"/>
      </w:pPr>
      <w:r>
        <w:t>- Exécution</w:t>
      </w:r>
    </w:p>
    <w:p w14:paraId="48F54A9E" w14:textId="77777777" w:rsidR="004B2808" w:rsidRDefault="00000000">
      <w:r>
        <w:lastRenderedPageBreak/>
        <w:t>[NBN EN 998-2, Définitions et spécifications des mortiers pour maçonnerie - Partie 2: Mortiers de montage des éléments de maçonnerie]</w:t>
      </w:r>
    </w:p>
    <w:p w14:paraId="053C59BB" w14:textId="77777777" w:rsidR="004B2808" w:rsidRDefault="00000000">
      <w:r>
        <w:t>[NIT 213, Les revêtements de sol intérieurs en pierre naturelle (remplace la NIT 137 pour les travaux de dallage en pierre naturelle).]</w:t>
      </w:r>
    </w:p>
    <w:p w14:paraId="774B1599" w14:textId="77777777" w:rsidR="004B2808" w:rsidRDefault="00000000">
      <w:r>
        <w:t>[NIT 237, Revêtements de sol intérieurs en carreaux céramiques (remplace la NIT 137 pour les travaux de carrelage en céramique).]</w:t>
      </w:r>
    </w:p>
    <w:p w14:paraId="16889767" w14:textId="77777777" w:rsidR="004B2808" w:rsidRDefault="00000000">
      <w:r>
        <w:t>[NIT 283, La pose des menuiseries extérieures. Partie 1 : aspects généraux.]</w:t>
      </w:r>
    </w:p>
    <w:p w14:paraId="112517F9" w14:textId="77777777" w:rsidR="004B2808" w:rsidRDefault="00000000">
      <w:r>
        <w:t>[STS 56.1, Mastics d’étanchéité des façades]</w:t>
      </w:r>
    </w:p>
    <w:p w14:paraId="57155EDB" w14:textId="77777777" w:rsidR="004B2808" w:rsidRDefault="00000000">
      <w:pPr>
        <w:ind w:left="750"/>
      </w:pPr>
      <w:r>
        <w:t> </w:t>
      </w:r>
    </w:p>
    <w:p w14:paraId="69E4E8A0" w14:textId="77777777" w:rsidR="004B2808" w:rsidRDefault="00000000">
      <w:pPr>
        <w:pStyle w:val="pheading"/>
      </w:pPr>
      <w:r>
        <w:t>MESURAGE</w:t>
      </w:r>
    </w:p>
    <w:p w14:paraId="0DBD1FA4" w14:textId="77777777" w:rsidR="004B2808" w:rsidRDefault="00000000">
      <w:pPr>
        <w:pStyle w:val="pheading"/>
      </w:pPr>
      <w:r>
        <w:t>- unité de mesure:</w:t>
      </w:r>
    </w:p>
    <w:p w14:paraId="2B737E11" w14:textId="77777777" w:rsidR="004B2808" w:rsidRDefault="00000000">
      <w:r>
        <w:rPr>
          <w:rStyle w:val="optioncarChar"/>
        </w:rPr>
        <w:t>m</w:t>
      </w:r>
      <w:r>
        <w:t xml:space="preserve">  (par défaut)</w:t>
      </w:r>
      <w:r>
        <w:rPr>
          <w:rStyle w:val="optioncarChar"/>
        </w:rPr>
        <w:t xml:space="preserve"> / m²</w:t>
      </w:r>
    </w:p>
    <w:p w14:paraId="08B82174" w14:textId="77777777" w:rsidR="004B2808" w:rsidRDefault="00000000">
      <w:r>
        <w:rPr>
          <w:b/>
          <w:i/>
        </w:rPr>
        <w:t>(Soit par défaut)</w:t>
      </w:r>
    </w:p>
    <w:p w14:paraId="1AE8195D" w14:textId="77777777" w:rsidR="004B2808" w:rsidRDefault="00000000">
      <w:r>
        <w:rPr>
          <w:rStyle w:val="soitChar"/>
        </w:rPr>
        <w:t>1. m</w:t>
      </w:r>
    </w:p>
    <w:p w14:paraId="5521BD6E" w14:textId="77777777" w:rsidR="004B2808" w:rsidRDefault="00000000">
      <w:r>
        <w:rPr>
          <w:b/>
          <w:i/>
        </w:rPr>
        <w:t>(Soit)</w:t>
      </w:r>
    </w:p>
    <w:p w14:paraId="0A6D0B17" w14:textId="77777777" w:rsidR="004B2808" w:rsidRDefault="00000000">
      <w:r>
        <w:rPr>
          <w:rStyle w:val="soitChar"/>
        </w:rPr>
        <w:t>2. m²</w:t>
      </w:r>
    </w:p>
    <w:p w14:paraId="144F3AF0" w14:textId="77777777" w:rsidR="004B2808" w:rsidRDefault="00000000">
      <w:pPr>
        <w:pStyle w:val="pheading"/>
      </w:pPr>
      <w:r>
        <w:t>- code de mesurage:</w:t>
      </w:r>
    </w:p>
    <w:p w14:paraId="3E94CAE6" w14:textId="77777777" w:rsidR="004B2808" w:rsidRDefault="00000000">
      <w:pPr>
        <w:jc w:val="both"/>
      </w:pPr>
      <w:r>
        <w:rPr>
          <w:rStyle w:val="optioncarChar"/>
        </w:rPr>
        <w:t>Longueur nette</w:t>
      </w:r>
      <w:r>
        <w:t xml:space="preserve"> (par défaut) </w:t>
      </w:r>
      <w:r>
        <w:rPr>
          <w:rStyle w:val="optioncarChar"/>
        </w:rPr>
        <w:t>/ Surface nette</w:t>
      </w:r>
    </w:p>
    <w:p w14:paraId="6D38BEDB" w14:textId="77777777" w:rsidR="004B2808" w:rsidRDefault="00000000">
      <w:pPr>
        <w:jc w:val="both"/>
      </w:pPr>
      <w:r>
        <w:rPr>
          <w:b/>
          <w:i/>
        </w:rPr>
        <w:t>(Soit par défaut)</w:t>
      </w:r>
    </w:p>
    <w:p w14:paraId="34FEC794" w14:textId="77777777" w:rsidR="004B2808" w:rsidRDefault="00000000">
      <w:pPr>
        <w:jc w:val="both"/>
      </w:pPr>
      <w:r>
        <w:rPr>
          <w:rStyle w:val="soitChar"/>
          <w:u w:val="single"/>
        </w:rPr>
        <w:t>1. Longueur nette</w:t>
      </w:r>
    </w:p>
    <w:p w14:paraId="2D3B4186" w14:textId="77777777" w:rsidR="004B2808" w:rsidRDefault="00000000">
      <w:pPr>
        <w:jc w:val="both"/>
      </w:pPr>
      <w:r>
        <w:rPr>
          <w:b/>
          <w:i/>
        </w:rPr>
        <w:t>(Soit)</w:t>
      </w:r>
    </w:p>
    <w:p w14:paraId="554D7377" w14:textId="77777777" w:rsidR="004B2808" w:rsidRDefault="00000000">
      <w:pPr>
        <w:jc w:val="both"/>
      </w:pPr>
      <w:r>
        <w:rPr>
          <w:rStyle w:val="soitChar"/>
          <w:u w:val="single"/>
        </w:rPr>
        <w:t>2. Surface nette :</w:t>
      </w:r>
    </w:p>
    <w:p w14:paraId="17538881" w14:textId="77777777" w:rsidR="004B2808" w:rsidRDefault="00000000">
      <w:pPr>
        <w:jc w:val="both"/>
      </w:pPr>
      <w:r>
        <w:rPr>
          <w:rStyle w:val="soitChar"/>
        </w:rPr>
        <w:t>Distinction faite entre tablettes neuves et/ou de réemploi – avec ou sans fourniture pour ces dernières.  Ventilé suivant le type de tablette et de finition.</w:t>
      </w:r>
    </w:p>
    <w:p w14:paraId="7AA88265" w14:textId="77777777" w:rsidR="004B2808" w:rsidRDefault="00000000">
      <w:pPr>
        <w:pStyle w:val="pheading"/>
      </w:pPr>
      <w:r>
        <w:t>- nature du marché:</w:t>
      </w:r>
    </w:p>
    <w:p w14:paraId="2D9F4C1C" w14:textId="77777777" w:rsidR="004B2808" w:rsidRDefault="00000000">
      <w:r>
        <w:rPr>
          <w:rStyle w:val="optioncarChar"/>
        </w:rPr>
        <w:t>QF </w:t>
      </w:r>
      <w:r>
        <w:t xml:space="preserve">(par défaut) </w:t>
      </w:r>
      <w:r>
        <w:rPr>
          <w:rStyle w:val="optioncarChar"/>
        </w:rPr>
        <w:t>/ QP  </w:t>
      </w:r>
    </w:p>
    <w:p w14:paraId="5337ABE8" w14:textId="77777777" w:rsidR="004B2808" w:rsidRDefault="00000000">
      <w:r>
        <w:rPr>
          <w:b/>
          <w:i/>
        </w:rPr>
        <w:t>(Soit par défaut)</w:t>
      </w:r>
    </w:p>
    <w:p w14:paraId="19CAC60A" w14:textId="77777777" w:rsidR="004B2808" w:rsidRDefault="00000000">
      <w:r>
        <w:rPr>
          <w:rStyle w:val="soitChar"/>
        </w:rPr>
        <w:t>1.2. QF</w:t>
      </w:r>
    </w:p>
    <w:p w14:paraId="131C308C" w14:textId="77777777" w:rsidR="004B2808" w:rsidRDefault="00000000">
      <w:r>
        <w:rPr>
          <w:b/>
          <w:i/>
        </w:rPr>
        <w:t>(Soit)</w:t>
      </w:r>
    </w:p>
    <w:p w14:paraId="3B7F2634" w14:textId="77777777" w:rsidR="004B2808" w:rsidRDefault="00000000">
      <w:r>
        <w:rPr>
          <w:rStyle w:val="soitChar"/>
        </w:rPr>
        <w:t>1.2 QP</w:t>
      </w:r>
    </w:p>
    <w:p w14:paraId="17E96D56" w14:textId="77777777" w:rsidR="004B2808" w:rsidRDefault="00000000">
      <w:pPr>
        <w:pStyle w:val="Author-eSectionHeading5Numberless"/>
      </w:pPr>
      <w:bookmarkStart w:id="1289" w:name="_Toc220491407"/>
      <w:r>
        <w:t>55.61.3 Tablettes (de fenêtres et autres) en mosaïque de marbre CCTB 01.02</w:t>
      </w:r>
      <w:bookmarkEnd w:id="1289"/>
    </w:p>
    <w:p w14:paraId="71144AEA" w14:textId="77777777" w:rsidR="004B2808" w:rsidRDefault="00000000">
      <w:pPr>
        <w:pStyle w:val="Author-eSectionHeading6Numberless"/>
      </w:pPr>
      <w:bookmarkStart w:id="1290" w:name="_Toc220491408"/>
      <w:r>
        <w:t>55.61.3a Tablettes (de fenêtres et autres) en mosaïque de marbre CCTB 01.10</w:t>
      </w:r>
      <w:bookmarkEnd w:id="1290"/>
    </w:p>
    <w:p w14:paraId="328AE892" w14:textId="77777777" w:rsidR="004B2808" w:rsidRDefault="00000000">
      <w:pPr>
        <w:pStyle w:val="pheading"/>
      </w:pPr>
      <w:r>
        <w:t>MATÉRIAUX</w:t>
      </w:r>
    </w:p>
    <w:p w14:paraId="160902BB" w14:textId="77777777" w:rsidR="004B2808" w:rsidRDefault="00000000">
      <w:pPr>
        <w:pStyle w:val="pheading"/>
      </w:pPr>
      <w:r>
        <w:t>- Caractéristiques générales</w:t>
      </w:r>
    </w:p>
    <w:p w14:paraId="72BA83AA" w14:textId="77777777" w:rsidR="004B2808" w:rsidRDefault="00000000">
      <w:r>
        <w:t>La face vue polie des tablettes de fenêtres se compose de granulés de marbre (fins), liés avec un ciment blanc ou gris, de façon à obtenir l'aspect d'une mosaïque.</w:t>
      </w:r>
    </w:p>
    <w:p w14:paraId="785A18C0" w14:textId="77777777" w:rsidR="004B2808" w:rsidRDefault="00000000">
      <w:r>
        <w:t xml:space="preserve">Voir aussi l'article </w:t>
      </w:r>
      <w:hyperlink w:anchor="1350" w:history="1">
        <w:r w:rsidR="004B2808">
          <w:rPr>
            <w:color w:val="0000EE"/>
          </w:rPr>
          <w:t>53.53 Revêtements en carreaux en mosaïque</w:t>
        </w:r>
      </w:hyperlink>
      <w:r>
        <w:t xml:space="preserve"> revêtements de sol en carreaux - mosaïque </w:t>
      </w:r>
    </w:p>
    <w:p w14:paraId="337471AA" w14:textId="77777777" w:rsidR="004B2808" w:rsidRDefault="00000000">
      <w:pPr>
        <w:pStyle w:val="heading"/>
      </w:pPr>
      <w:r>
        <w:t>Spécifications</w:t>
      </w:r>
    </w:p>
    <w:p w14:paraId="1539609A" w14:textId="77777777" w:rsidR="004B2808" w:rsidRDefault="00000000">
      <w:r>
        <w:lastRenderedPageBreak/>
        <w:t xml:space="preserve">Granulométrie : granulométrie fine </w:t>
      </w:r>
      <w:r>
        <w:rPr>
          <w:rStyle w:val="optioncarChar"/>
        </w:rPr>
        <w:t>2-4 </w:t>
      </w:r>
      <w:r>
        <w:t>(par défaut)</w:t>
      </w:r>
      <w:r>
        <w:rPr>
          <w:rStyle w:val="optioncarChar"/>
        </w:rPr>
        <w:t xml:space="preserve"> / ***.</w:t>
      </w:r>
    </w:p>
    <w:p w14:paraId="553B9F41" w14:textId="77777777" w:rsidR="004B2808" w:rsidRDefault="00000000">
      <w:r>
        <w:t xml:space="preserve">Type : </w:t>
      </w:r>
      <w:r>
        <w:rPr>
          <w:rStyle w:val="optioncarChar"/>
        </w:rPr>
        <w:t>flammé / non flammé</w:t>
      </w:r>
    </w:p>
    <w:p w14:paraId="6B595A00" w14:textId="77777777" w:rsidR="004B2808" w:rsidRDefault="00000000">
      <w:r>
        <w:t xml:space="preserve">Teinte : </w:t>
      </w:r>
      <w:r>
        <w:rPr>
          <w:rStyle w:val="optioncarChar"/>
        </w:rPr>
        <w:t>***</w:t>
      </w:r>
    </w:p>
    <w:p w14:paraId="5DDEA696" w14:textId="77777777" w:rsidR="004B2808" w:rsidRDefault="00000000">
      <w:r>
        <w:t>Epaisseur des plaques :</w:t>
      </w:r>
    </w:p>
    <w:p w14:paraId="41A9BA9C" w14:textId="77777777" w:rsidR="004B2808" w:rsidRDefault="00000000">
      <w:r>
        <w:t xml:space="preserve">Choix opéré : </w:t>
      </w:r>
      <w:r>
        <w:rPr>
          <w:rStyle w:val="optioncarChar"/>
        </w:rPr>
        <w:t>OPTION 1 (avec tolérance)</w:t>
      </w:r>
      <w:r>
        <w:t xml:space="preserve"> (par défaut)</w:t>
      </w:r>
      <w:r>
        <w:rPr>
          <w:rStyle w:val="optioncarChar"/>
        </w:rPr>
        <w:t> / OPTION 2 (avec surépaisseur)</w:t>
      </w:r>
    </w:p>
    <w:p w14:paraId="2768BEA7" w14:textId="77777777" w:rsidR="004B2808" w:rsidRDefault="00000000">
      <w:r>
        <w:t>***OPTION 1 : avec une tolérance de 10 %, épaisseur de</w:t>
      </w:r>
      <w:r>
        <w:rPr>
          <w:rStyle w:val="optioncarChar"/>
        </w:rPr>
        <w:t xml:space="preserve"> 20 </w:t>
      </w:r>
      <w:r>
        <w:t>(par défaut)</w:t>
      </w:r>
      <w:r>
        <w:rPr>
          <w:rStyle w:val="optioncarChar"/>
        </w:rPr>
        <w:t xml:space="preserve"> / *** </w:t>
      </w:r>
      <w:r>
        <w:t>mm</w:t>
      </w:r>
    </w:p>
    <w:p w14:paraId="7866C72F" w14:textId="77777777" w:rsidR="004B2808" w:rsidRDefault="00000000">
      <w:r>
        <w:t xml:space="preserve">***OPTION 2: avec une surépaisseur de </w:t>
      </w:r>
      <w:r>
        <w:rPr>
          <w:rStyle w:val="optioncarChar"/>
        </w:rPr>
        <w:t>20 x 40</w:t>
      </w:r>
      <w:r>
        <w:t xml:space="preserve"> (par défaut)</w:t>
      </w:r>
      <w:r>
        <w:rPr>
          <w:rStyle w:val="optioncarChar"/>
        </w:rPr>
        <w:t> / ***</w:t>
      </w:r>
      <w:r>
        <w:t xml:space="preserve"> mm, épaisseur de </w:t>
      </w:r>
      <w:r>
        <w:rPr>
          <w:rStyle w:val="optioncarChar"/>
        </w:rPr>
        <w:t>20</w:t>
      </w:r>
      <w:r>
        <w:t> (par défaut)</w:t>
      </w:r>
      <w:r>
        <w:rPr>
          <w:rStyle w:val="optioncarChar"/>
        </w:rPr>
        <w:t xml:space="preserve"> / ***</w:t>
      </w:r>
      <w:r>
        <w:t xml:space="preserve"> mm</w:t>
      </w:r>
    </w:p>
    <w:p w14:paraId="19F450F6" w14:textId="77777777" w:rsidR="004B2808" w:rsidRDefault="00000000">
      <w:pPr>
        <w:pStyle w:val="pheading"/>
      </w:pPr>
      <w:r>
        <w:t>- Finitions</w:t>
      </w:r>
    </w:p>
    <w:p w14:paraId="4CD29CA6" w14:textId="77777777" w:rsidR="004B2808" w:rsidRDefault="00000000">
      <w:r>
        <w:t xml:space="preserve">Finition de la surface : </w:t>
      </w:r>
      <w:r>
        <w:rPr>
          <w:rStyle w:val="optioncarChar"/>
        </w:rPr>
        <w:t>polie</w:t>
      </w:r>
      <w:r>
        <w:t xml:space="preserve"> (par défaut) </w:t>
      </w:r>
      <w:r>
        <w:rPr>
          <w:rStyle w:val="optioncarChar"/>
        </w:rPr>
        <w:t>/ ***</w:t>
      </w:r>
    </w:p>
    <w:p w14:paraId="46D05762" w14:textId="77777777" w:rsidR="004B2808" w:rsidRDefault="00000000">
      <w:r>
        <w:t xml:space="preserve">Finition des bords : les angles et les bords sont </w:t>
      </w:r>
      <w:r>
        <w:rPr>
          <w:rStyle w:val="optioncarChar"/>
        </w:rPr>
        <w:t>légèrement arrondis</w:t>
      </w:r>
      <w:r>
        <w:t> (par défaut)</w:t>
      </w:r>
      <w:r>
        <w:rPr>
          <w:rStyle w:val="optioncarChar"/>
        </w:rPr>
        <w:t xml:space="preserve"> / à facettes / ***</w:t>
      </w:r>
    </w:p>
    <w:p w14:paraId="41B52497" w14:textId="77777777" w:rsidR="004B2808" w:rsidRDefault="00000000">
      <w:pPr>
        <w:pStyle w:val="pheading"/>
      </w:pPr>
      <w:r>
        <w:t>EXÉCUTION / MISE EN ŒUVRE</w:t>
      </w:r>
    </w:p>
    <w:p w14:paraId="5D499476" w14:textId="77777777" w:rsidR="004B2808" w:rsidRDefault="00000000">
      <w:pPr>
        <w:pStyle w:val="pheading"/>
      </w:pPr>
      <w:r>
        <w:t>- Prescriptions générales</w:t>
      </w:r>
    </w:p>
    <w:p w14:paraId="6AD16A60" w14:textId="77777777" w:rsidR="004B2808" w:rsidRDefault="00000000">
      <w:r>
        <w:t>Les tablettes de fenêtre sont posées à bain plein de mortier également réparti d'une épaisseur minimale de 15 à 20 mm. Le mortier est de la catégorie M3 selon la [NBN EN 998-2]</w:t>
      </w:r>
      <w:r>
        <w:rPr>
          <w:i/>
        </w:rPr>
        <w:t xml:space="preserve"> (composition de la catégorie M3 : 250 kg de ciment, classe de résistance 32,5, et 50 kg de chaux grasse par m3 de sable mi-rude soit 2 parts de ciment, 1 part de chaux grasse en poudre pour 9 parts de sable ).</w:t>
      </w:r>
    </w:p>
    <w:p w14:paraId="7EEADA36" w14:textId="77777777" w:rsidR="004B2808" w:rsidRDefault="00000000">
      <w:r>
        <w:t>Le joint avec le châssis est réalisé à l'aide d'un mastic élastique, selon le tableau 33 de la [NIT 237]. L'utilisation d'un mastic au caoutchouc bitumé est interdite.</w:t>
      </w:r>
    </w:p>
    <w:p w14:paraId="12C234D8" w14:textId="77777777" w:rsidR="004B2808" w:rsidRDefault="00000000">
      <w:pPr>
        <w:ind w:left="750"/>
      </w:pPr>
      <w:r>
        <w:t> </w:t>
      </w:r>
    </w:p>
    <w:p w14:paraId="3F71F33F" w14:textId="77777777" w:rsidR="004B2808" w:rsidRDefault="00000000">
      <w:pPr>
        <w:pStyle w:val="pheading"/>
      </w:pPr>
      <w:r>
        <w:t>- Notes d’exécution complémentaires</w:t>
      </w:r>
    </w:p>
    <w:p w14:paraId="118D9B3F" w14:textId="77777777" w:rsidR="004B2808" w:rsidRDefault="00000000">
      <w:r>
        <w:t>Les tablettes sont posées</w:t>
      </w:r>
      <w:r>
        <w:rPr>
          <w:rStyle w:val="optioncarChar"/>
        </w:rPr>
        <w:t xml:space="preserve"> d'un seul tenant sans joints</w:t>
      </w:r>
      <w:r>
        <w:t xml:space="preserve"> (par défaut) </w:t>
      </w:r>
      <w:r>
        <w:rPr>
          <w:rStyle w:val="optioncarChar"/>
        </w:rPr>
        <w:t xml:space="preserve">/ en deux pièces pour les tablettes d'une longueur supérieure à 180 / 200 / ***. cm. </w:t>
      </w:r>
      <w:r>
        <w:t>Lorsque les tablettes se composent d'une ou de plusieurs parties, les joints sont remplis au mortier de jointoiement, adapté à la teinte de la tablette; il n'a pas d'influence néfaste sur la tablette, ni en ce qui concerne la résistance ni au niveau de l'aspect esthétique.</w:t>
      </w:r>
    </w:p>
    <w:p w14:paraId="00896DD2" w14:textId="77777777" w:rsidR="004B2808" w:rsidRDefault="00000000">
      <w:r>
        <w:t xml:space="preserve">Les tablettes débordent de </w:t>
      </w:r>
      <w:r>
        <w:rPr>
          <w:rStyle w:val="optioncarChar"/>
        </w:rPr>
        <w:t>1,5 / 2 / 4 </w:t>
      </w:r>
      <w:r>
        <w:t xml:space="preserve">(par défaut) </w:t>
      </w:r>
      <w:r>
        <w:rPr>
          <w:rStyle w:val="optioncarChar"/>
        </w:rPr>
        <w:t>/ 6 / 8 / ***</w:t>
      </w:r>
      <w:r>
        <w:t xml:space="preserve"> cm par rapport à la face finie du mur intérieur. Les tablettes de fenêtre dont le débordement dépasse </w:t>
      </w:r>
      <w:r>
        <w:rPr>
          <w:rStyle w:val="optioncarChar"/>
        </w:rPr>
        <w:t>8 </w:t>
      </w:r>
      <w:r>
        <w:t>(par défaut)</w:t>
      </w:r>
      <w:r>
        <w:rPr>
          <w:rStyle w:val="optioncarChar"/>
        </w:rPr>
        <w:t xml:space="preserve"> / ***</w:t>
      </w:r>
      <w:r>
        <w:t xml:space="preserve"> cm sont soutenues par des profils métallisés ancrés dans le mur. La fixation sur ces fers se fait par collage à l'aide d'un mastic élastique approprié.</w:t>
      </w:r>
    </w:p>
    <w:p w14:paraId="3346D207" w14:textId="77777777" w:rsidR="004B2808" w:rsidRDefault="00000000">
      <w:r>
        <w:t xml:space="preserve">Les tablettes sont intégrées dans l'enduit des ébrasements sur </w:t>
      </w:r>
      <w:r>
        <w:rPr>
          <w:rStyle w:val="optioncarChar"/>
        </w:rPr>
        <w:t>environ 1 / 1,5</w:t>
      </w:r>
      <w:r>
        <w:t> (par défaut)</w:t>
      </w:r>
      <w:r>
        <w:rPr>
          <w:rStyle w:val="optioncarChar"/>
        </w:rPr>
        <w:t xml:space="preserve"> / 2 / *** cm / ne sont pas enserrées.</w:t>
      </w:r>
      <w:r>
        <w:t xml:space="preserve"> Le cas échéant, les tablettes sont embrevées dans le plafonnage et l'enduit est retouché.</w:t>
      </w:r>
    </w:p>
    <w:p w14:paraId="3EF42DFC" w14:textId="77777777" w:rsidR="004B2808" w:rsidRDefault="00000000">
      <w:pPr>
        <w:pStyle w:val="pheading"/>
      </w:pPr>
      <w:r>
        <w:t>MESURAGE</w:t>
      </w:r>
    </w:p>
    <w:p w14:paraId="389500EA" w14:textId="77777777" w:rsidR="004B2808" w:rsidRDefault="00000000">
      <w:r>
        <w:t>Conformément aux indications spécifiques dans le cahier spécial des charges et/ou le métré récapitulatif, le mesurage doit être conçu comme suit :</w:t>
      </w:r>
    </w:p>
    <w:p w14:paraId="4750E36E" w14:textId="77777777" w:rsidR="004B2808" w:rsidRDefault="00000000">
      <w:pPr>
        <w:pStyle w:val="pheading"/>
      </w:pPr>
      <w:r>
        <w:t>- unité de mesure:</w:t>
      </w:r>
    </w:p>
    <w:p w14:paraId="0531C550" w14:textId="77777777" w:rsidR="004B2808" w:rsidRDefault="00000000">
      <w:pPr>
        <w:pStyle w:val="optioncar"/>
      </w:pPr>
      <w:r>
        <w:t>m² (par défaut) / m</w:t>
      </w:r>
    </w:p>
    <w:p w14:paraId="616B3313" w14:textId="77777777" w:rsidR="004B2808" w:rsidRDefault="00000000">
      <w:pPr>
        <w:pStyle w:val="pheading"/>
      </w:pPr>
      <w:r>
        <w:t>- code de mesurage:</w:t>
      </w:r>
    </w:p>
    <w:p w14:paraId="689355C3" w14:textId="77777777" w:rsidR="004B2808" w:rsidRDefault="00000000">
      <w:r>
        <w:t>Choix opéré:</w:t>
      </w:r>
      <w:r>
        <w:rPr>
          <w:rStyle w:val="optioncarChar"/>
        </w:rPr>
        <w:t xml:space="preserve"> OPTION 1 (Surface nette) </w:t>
      </w:r>
      <w:r>
        <w:t>(par défaut)</w:t>
      </w:r>
      <w:r>
        <w:rPr>
          <w:rStyle w:val="optioncarChar"/>
        </w:rPr>
        <w:t xml:space="preserve"> / OPTION 2 (Longueur nette)</w:t>
      </w:r>
    </w:p>
    <w:p w14:paraId="774E0F53" w14:textId="77777777" w:rsidR="004B2808" w:rsidRDefault="00000000">
      <w:r>
        <w:rPr>
          <w:b/>
        </w:rPr>
        <w:t>***OPTION 1( par défaut):</w:t>
      </w:r>
      <w:r>
        <w:t xml:space="preserve">  </w:t>
      </w:r>
      <w:r>
        <w:rPr>
          <w:u w:val="single"/>
        </w:rPr>
        <w:t>Surface nette</w:t>
      </w:r>
      <w:r>
        <w:t xml:space="preserve"> à exécuter, mesurée horizontalement selon le plus petit rectangle circonscrit. Les pièces inférieures à 10 dm2 sont comptées pour 10 dm2.</w:t>
      </w:r>
    </w:p>
    <w:p w14:paraId="08AEDC2A" w14:textId="77777777" w:rsidR="004B2808" w:rsidRDefault="00000000">
      <w:r>
        <w:rPr>
          <w:b/>
        </w:rPr>
        <w:t>***OPTION 2:</w:t>
      </w:r>
      <w:r>
        <w:rPr>
          <w:u w:val="single"/>
        </w:rPr>
        <w:t>Longueur nette</w:t>
      </w:r>
      <w:r>
        <w:t>, mesurée dans l'œuvre de la baie de fenêtre.</w:t>
      </w:r>
    </w:p>
    <w:p w14:paraId="3740F839" w14:textId="77777777" w:rsidR="004B2808" w:rsidRDefault="00000000">
      <w:pPr>
        <w:pStyle w:val="pheading"/>
      </w:pPr>
      <w:r>
        <w:lastRenderedPageBreak/>
        <w:t>- nature du marché:</w:t>
      </w:r>
    </w:p>
    <w:p w14:paraId="527F68B0" w14:textId="77777777" w:rsidR="004B2808" w:rsidRDefault="00000000">
      <w:r>
        <w:t>QF</w:t>
      </w:r>
    </w:p>
    <w:p w14:paraId="7CE01ACD" w14:textId="77777777" w:rsidR="004B2808" w:rsidRDefault="00000000">
      <w:pPr>
        <w:pStyle w:val="Author-eSectionHeading5Numberless"/>
      </w:pPr>
      <w:bookmarkStart w:id="1291" w:name="_Toc220491409"/>
      <w:r>
        <w:t>55.61.4 Tablettes (de fenêtres et autres) en céramique CCTB 01.02</w:t>
      </w:r>
      <w:bookmarkEnd w:id="1291"/>
    </w:p>
    <w:p w14:paraId="3C7115C5" w14:textId="77777777" w:rsidR="004B2808" w:rsidRDefault="00000000">
      <w:pPr>
        <w:pStyle w:val="Author-eSectionHeading6Numberless"/>
      </w:pPr>
      <w:bookmarkStart w:id="1292" w:name="_Toc220491410"/>
      <w:r>
        <w:t>55.61.4a Tablettes (de fenêtres et autres) en céramique CCTB 01.02</w:t>
      </w:r>
      <w:bookmarkEnd w:id="1292"/>
    </w:p>
    <w:p w14:paraId="595D049A" w14:textId="77777777" w:rsidR="004B2808" w:rsidRDefault="00000000">
      <w:pPr>
        <w:pStyle w:val="Author-eSectionHeading5Numberless"/>
      </w:pPr>
      <w:bookmarkStart w:id="1293" w:name="_Toc220491411"/>
      <w:r>
        <w:t>55.61.5 Tablettes (de fenêtres et autres) métalliques CCTB 01.02</w:t>
      </w:r>
      <w:bookmarkEnd w:id="1293"/>
    </w:p>
    <w:p w14:paraId="60866036" w14:textId="77777777" w:rsidR="004B2808" w:rsidRDefault="00000000">
      <w:pPr>
        <w:pStyle w:val="Author-eSectionHeading6Numberless"/>
      </w:pPr>
      <w:bookmarkStart w:id="1294" w:name="_Toc220491412"/>
      <w:r>
        <w:t>55.61.5a Tablettes (de fenêtres et autres) en acier CCTB 01.02</w:t>
      </w:r>
      <w:bookmarkEnd w:id="1294"/>
    </w:p>
    <w:p w14:paraId="1E25D069" w14:textId="77777777" w:rsidR="004B2808" w:rsidRDefault="00000000">
      <w:pPr>
        <w:pStyle w:val="Author-eSectionHeading6Numberless"/>
      </w:pPr>
      <w:bookmarkStart w:id="1295" w:name="_Toc220491413"/>
      <w:r>
        <w:t>55.61.5b Tablettes (de fenêtres et autres) en acier inoxydable CCTB 01.02</w:t>
      </w:r>
      <w:bookmarkEnd w:id="1295"/>
    </w:p>
    <w:p w14:paraId="2BB908FD" w14:textId="77777777" w:rsidR="004B2808" w:rsidRDefault="00000000">
      <w:pPr>
        <w:pStyle w:val="Author-eSectionHeading6Numberless"/>
      </w:pPr>
      <w:bookmarkStart w:id="1296" w:name="_Toc220491414"/>
      <w:r>
        <w:t>55.61.5c Tablettes (de fenêtres et autres) en aluminium CCTB 01.12</w:t>
      </w:r>
      <w:bookmarkEnd w:id="1296"/>
    </w:p>
    <w:p w14:paraId="749A9844" w14:textId="77777777" w:rsidR="004B2808" w:rsidRDefault="00000000">
      <w:pPr>
        <w:pStyle w:val="pheading"/>
      </w:pPr>
      <w:r>
        <w:t>DESCRIPTION</w:t>
      </w:r>
    </w:p>
    <w:p w14:paraId="69D0580B" w14:textId="77777777" w:rsidR="004B2808" w:rsidRDefault="00000000">
      <w:pPr>
        <w:pStyle w:val="pheading"/>
      </w:pPr>
      <w:r>
        <w:t>- Définition / Comprend</w:t>
      </w:r>
    </w:p>
    <w:p w14:paraId="78CE9B33" w14:textId="77777777" w:rsidR="004B2808" w:rsidRDefault="00000000">
      <w:pPr>
        <w:jc w:val="both"/>
      </w:pPr>
      <w:r>
        <w:t>Il s’agit de la fourniture (hors matériaux de réemploi) et la pose de tablettes de fenêtres et autres ouvertures à l’intérieur.</w:t>
      </w:r>
    </w:p>
    <w:p w14:paraId="2924E160" w14:textId="77777777" w:rsidR="004B2808" w:rsidRDefault="00000000">
      <w:pPr>
        <w:jc w:val="both"/>
      </w:pPr>
      <w:r>
        <w:t xml:space="preserve">La portée des travaux est décrite au </w:t>
      </w:r>
      <w:hyperlink w:anchor="900" w:history="1">
        <w:r w:rsidR="004B2808">
          <w:rPr>
            <w:color w:val="0000EE"/>
          </w:rPr>
          <w:t>55.61 Tablettes (de fenêtres et autres)</w:t>
        </w:r>
      </w:hyperlink>
    </w:p>
    <w:p w14:paraId="06E6DE72" w14:textId="77777777" w:rsidR="004B2808" w:rsidRDefault="00000000">
      <w:pPr>
        <w:pStyle w:val="pheading"/>
      </w:pPr>
      <w:r>
        <w:t>MATÉRIAUX</w:t>
      </w:r>
    </w:p>
    <w:p w14:paraId="61F0623A" w14:textId="77777777" w:rsidR="004B2808" w:rsidRDefault="00000000">
      <w:pPr>
        <w:pStyle w:val="pheading"/>
      </w:pPr>
      <w:r>
        <w:t>- Caractéristiques générales</w:t>
      </w:r>
    </w:p>
    <w:p w14:paraId="5DF5285B" w14:textId="77777777" w:rsidR="004B2808" w:rsidRDefault="00000000">
      <w:pPr>
        <w:jc w:val="both"/>
      </w:pPr>
      <w:r>
        <w:t xml:space="preserve">Tablettes en aluminium : </w:t>
      </w:r>
      <w:r>
        <w:rPr>
          <w:rStyle w:val="optioncarChar"/>
        </w:rPr>
        <w:t xml:space="preserve">neuves </w:t>
      </w:r>
      <w:r>
        <w:t>(par défaut)</w:t>
      </w:r>
      <w:r>
        <w:rPr>
          <w:rStyle w:val="optioncarChar"/>
        </w:rPr>
        <w:t xml:space="preserve"> / de réemploi</w:t>
      </w:r>
    </w:p>
    <w:p w14:paraId="211A0A5F" w14:textId="77777777" w:rsidR="004B2808" w:rsidRDefault="00000000">
      <w:pPr>
        <w:jc w:val="both"/>
      </w:pPr>
      <w:r>
        <w:rPr>
          <w:b/>
        </w:rPr>
        <w:t>(soit par défaut)</w:t>
      </w:r>
    </w:p>
    <w:p w14:paraId="7F0C93C8" w14:textId="77777777" w:rsidR="004B2808" w:rsidRDefault="00000000">
      <w:pPr>
        <w:jc w:val="both"/>
      </w:pPr>
      <w:r>
        <w:rPr>
          <w:rStyle w:val="soitChar"/>
          <w:u w:val="single"/>
        </w:rPr>
        <w:t>Neuves :</w:t>
      </w:r>
    </w:p>
    <w:p w14:paraId="208E657B" w14:textId="77777777" w:rsidR="004B2808" w:rsidRDefault="00000000">
      <w:pPr>
        <w:jc w:val="both"/>
      </w:pPr>
      <w:r>
        <w:rPr>
          <w:rStyle w:val="soitChar"/>
        </w:rPr>
        <w:t>Forme et modèle :</w:t>
      </w:r>
    </w:p>
    <w:p w14:paraId="11D7E30C" w14:textId="77777777" w:rsidR="004B2808" w:rsidRDefault="00000000">
      <w:pPr>
        <w:pStyle w:val="Author-eListParagraph"/>
        <w:numPr>
          <w:ilvl w:val="0"/>
          <w:numId w:val="1154"/>
        </w:numPr>
      </w:pPr>
      <w:r>
        <w:rPr>
          <w:rStyle w:val="soitChar"/>
        </w:rPr>
        <w:t xml:space="preserve">Épaisseur :  </w:t>
      </w:r>
      <w:r>
        <w:rPr>
          <w:rStyle w:val="optioncarChar"/>
        </w:rPr>
        <w:t xml:space="preserve">2 </w:t>
      </w:r>
      <w:r>
        <w:t>(par défaut)</w:t>
      </w:r>
      <w:r>
        <w:rPr>
          <w:rStyle w:val="optioncarChar"/>
        </w:rPr>
        <w:t xml:space="preserve"> / 3 / ***</w:t>
      </w:r>
      <w:r>
        <w:rPr>
          <w:rStyle w:val="soitChar"/>
        </w:rPr>
        <w:t xml:space="preserve"> mm</w:t>
      </w:r>
    </w:p>
    <w:p w14:paraId="222E0227" w14:textId="77777777" w:rsidR="004B2808" w:rsidRDefault="00000000">
      <w:pPr>
        <w:pStyle w:val="Author-eListParagraph"/>
        <w:numPr>
          <w:ilvl w:val="0"/>
          <w:numId w:val="1154"/>
        </w:numPr>
      </w:pPr>
      <w:r>
        <w:rPr>
          <w:rStyle w:val="soitChar"/>
        </w:rPr>
        <w:t xml:space="preserve">Longueur :  </w:t>
      </w:r>
      <w:r>
        <w:rPr>
          <w:rStyle w:val="optioncarChar"/>
        </w:rPr>
        <w:t>toute la largeur d’un seul tenant (</w:t>
      </w:r>
      <w:r>
        <w:t>par défaut)</w:t>
      </w:r>
      <w:r>
        <w:rPr>
          <w:rStyle w:val="optioncarChar"/>
        </w:rPr>
        <w:t xml:space="preserve"> / ***</w:t>
      </w:r>
    </w:p>
    <w:p w14:paraId="5A154DE2" w14:textId="77777777" w:rsidR="004B2808" w:rsidRDefault="00000000">
      <w:pPr>
        <w:pStyle w:val="Author-eListParagraph"/>
        <w:numPr>
          <w:ilvl w:val="0"/>
          <w:numId w:val="1154"/>
        </w:numPr>
      </w:pPr>
      <w:r>
        <w:rPr>
          <w:rStyle w:val="soitChar"/>
        </w:rPr>
        <w:t xml:space="preserve">Largeur ± : </w:t>
      </w:r>
      <w:r>
        <w:rPr>
          <w:rStyle w:val="optioncarChar"/>
        </w:rPr>
        <w:t>20</w:t>
      </w:r>
      <w:r>
        <w:t xml:space="preserve"> (par défaut)</w:t>
      </w:r>
      <w:r>
        <w:rPr>
          <w:rStyle w:val="optioncarChar"/>
        </w:rPr>
        <w:t xml:space="preserve"> / 25 / 30 / ***</w:t>
      </w:r>
      <w:r>
        <w:rPr>
          <w:rStyle w:val="soitChar"/>
        </w:rPr>
        <w:t xml:space="preserve"> cm</w:t>
      </w:r>
    </w:p>
    <w:p w14:paraId="7E59CE62" w14:textId="77777777" w:rsidR="004B2808" w:rsidRDefault="00000000">
      <w:pPr>
        <w:pStyle w:val="Author-eListParagraph"/>
        <w:numPr>
          <w:ilvl w:val="0"/>
          <w:numId w:val="1154"/>
        </w:numPr>
      </w:pPr>
      <w:r>
        <w:rPr>
          <w:rStyle w:val="soitChar"/>
        </w:rPr>
        <w:t xml:space="preserve">La face avant de la tablette présente : </w:t>
      </w:r>
      <w:r>
        <w:rPr>
          <w:rStyle w:val="optioncarChar"/>
        </w:rPr>
        <w:t>un pli droit avec retour</w:t>
      </w:r>
      <w:r>
        <w:t xml:space="preserve"> (par défaut) </w:t>
      </w:r>
      <w:r>
        <w:rPr>
          <w:rStyle w:val="optioncarChar"/>
        </w:rPr>
        <w:t>/ un profil U / ***</w:t>
      </w:r>
    </w:p>
    <w:p w14:paraId="564F8C66" w14:textId="77777777" w:rsidR="004B2808" w:rsidRDefault="00000000">
      <w:pPr>
        <w:pStyle w:val="Author-eListParagraph"/>
        <w:numPr>
          <w:ilvl w:val="0"/>
          <w:numId w:val="1154"/>
        </w:numPr>
      </w:pPr>
      <w:r>
        <w:rPr>
          <w:rStyle w:val="soitChar"/>
        </w:rPr>
        <w:t xml:space="preserve">Hauteur de la face avant : </w:t>
      </w:r>
      <w:r>
        <w:rPr>
          <w:rStyle w:val="optioncarChar"/>
        </w:rPr>
        <w:t xml:space="preserve">30 </w:t>
      </w:r>
      <w:r>
        <w:t xml:space="preserve">(par défaut) </w:t>
      </w:r>
      <w:r>
        <w:rPr>
          <w:rStyle w:val="optioncarChar"/>
        </w:rPr>
        <w:t>/ 40 / 50 / ***</w:t>
      </w:r>
      <w:r>
        <w:rPr>
          <w:rStyle w:val="soitChar"/>
        </w:rPr>
        <w:t xml:space="preserve"> mm</w:t>
      </w:r>
    </w:p>
    <w:p w14:paraId="44C9F634" w14:textId="77777777" w:rsidR="004B2808" w:rsidRDefault="00000000">
      <w:pPr>
        <w:pStyle w:val="Author-eListParagraph"/>
        <w:numPr>
          <w:ilvl w:val="0"/>
          <w:numId w:val="1154"/>
        </w:numPr>
      </w:pPr>
      <w:r>
        <w:rPr>
          <w:rStyle w:val="soitChar"/>
        </w:rPr>
        <w:t xml:space="preserve">L'arrière de la tablette présente : </w:t>
      </w:r>
      <w:r>
        <w:rPr>
          <w:rStyle w:val="optioncarChar"/>
        </w:rPr>
        <w:t xml:space="preserve">un relevé </w:t>
      </w:r>
      <w:r>
        <w:t xml:space="preserve">(par défaut) </w:t>
      </w:r>
      <w:r>
        <w:rPr>
          <w:rStyle w:val="optioncarChar"/>
        </w:rPr>
        <w:t>/ sans relevé / un profil U / ***</w:t>
      </w:r>
    </w:p>
    <w:p w14:paraId="12F6F7DE" w14:textId="77777777" w:rsidR="004B2808" w:rsidRDefault="00000000">
      <w:pPr>
        <w:jc w:val="both"/>
      </w:pPr>
      <w:r>
        <w:rPr>
          <w:b/>
        </w:rPr>
        <w:t>(soit)</w:t>
      </w:r>
    </w:p>
    <w:p w14:paraId="278FC45C" w14:textId="77777777" w:rsidR="004B2808" w:rsidRDefault="00000000">
      <w:pPr>
        <w:jc w:val="both"/>
      </w:pPr>
      <w:r>
        <w:rPr>
          <w:rStyle w:val="soitChar"/>
          <w:u w:val="single"/>
        </w:rPr>
        <w:t>De réemploi :</w:t>
      </w:r>
    </w:p>
    <w:p w14:paraId="516CC68D" w14:textId="77777777" w:rsidR="004B2808" w:rsidRDefault="00000000">
      <w:pPr>
        <w:pStyle w:val="Author-eListParagraph"/>
        <w:numPr>
          <w:ilvl w:val="0"/>
          <w:numId w:val="1155"/>
        </w:numPr>
      </w:pPr>
      <w:r>
        <w:rPr>
          <w:rStyle w:val="soitChar"/>
        </w:rPr>
        <w:t xml:space="preserve">Tablettes : </w:t>
      </w:r>
      <w:r>
        <w:rPr>
          <w:rStyle w:val="optioncarChar"/>
        </w:rPr>
        <w:t>récupérées sur place / fournies par MO / fournies par l’entrepreneur et soumises à l’approbation de l’auteur de projet.</w:t>
      </w:r>
    </w:p>
    <w:p w14:paraId="5509F3DA" w14:textId="77777777" w:rsidR="004B2808" w:rsidRDefault="00000000">
      <w:pPr>
        <w:jc w:val="both"/>
      </w:pPr>
      <w:r>
        <w:t xml:space="preserve">Largeur de la tablette : </w:t>
      </w:r>
      <w:r>
        <w:rPr>
          <w:rStyle w:val="optioncarChar"/>
        </w:rPr>
        <w:t>dépassant de l’alignement de l'allège </w:t>
      </w:r>
      <w:r>
        <w:t>(par défaut)</w:t>
      </w:r>
      <w:r>
        <w:rPr>
          <w:rStyle w:val="optioncarChar"/>
        </w:rPr>
        <w:t xml:space="preserve"> / alignée à l'allège</w:t>
      </w:r>
    </w:p>
    <w:p w14:paraId="79DCC9DC" w14:textId="77777777" w:rsidR="004B2808" w:rsidRDefault="00000000">
      <w:pPr>
        <w:jc w:val="both"/>
      </w:pPr>
      <w:r>
        <w:rPr>
          <w:b/>
        </w:rPr>
        <w:t>(soit par défaut)</w:t>
      </w:r>
    </w:p>
    <w:p w14:paraId="2638EAB2" w14:textId="77777777" w:rsidR="004B2808" w:rsidRDefault="00000000">
      <w:pPr>
        <w:jc w:val="both"/>
      </w:pPr>
      <w:r>
        <w:rPr>
          <w:rStyle w:val="soitChar"/>
          <w:u w:val="single"/>
        </w:rPr>
        <w:t>Dépassant de l’alignement de l’allège :</w:t>
      </w:r>
    </w:p>
    <w:p w14:paraId="7090662F" w14:textId="77777777" w:rsidR="004B2808" w:rsidRDefault="00000000">
      <w:pPr>
        <w:pStyle w:val="Author-eListParagraph"/>
        <w:numPr>
          <w:ilvl w:val="0"/>
          <w:numId w:val="1156"/>
        </w:numPr>
      </w:pPr>
      <w:r>
        <w:rPr>
          <w:rStyle w:val="soitChar"/>
        </w:rPr>
        <w:t xml:space="preserve">Dépassement de : </w:t>
      </w:r>
      <w:r>
        <w:rPr>
          <w:rStyle w:val="optioncarChar"/>
        </w:rPr>
        <w:t>3</w:t>
      </w:r>
      <w:r>
        <w:t xml:space="preserve"> (par défaut)</w:t>
      </w:r>
      <w:r>
        <w:rPr>
          <w:rStyle w:val="optioncarChar"/>
        </w:rPr>
        <w:t xml:space="preserve"> / 5 / ***</w:t>
      </w:r>
      <w:r>
        <w:rPr>
          <w:rStyle w:val="soitChar"/>
        </w:rPr>
        <w:t>cm</w:t>
      </w:r>
    </w:p>
    <w:p w14:paraId="6EAD09C4" w14:textId="77777777" w:rsidR="004B2808" w:rsidRDefault="00000000">
      <w:pPr>
        <w:jc w:val="both"/>
      </w:pPr>
      <w:r>
        <w:rPr>
          <w:b/>
        </w:rPr>
        <w:t>(soit)</w:t>
      </w:r>
    </w:p>
    <w:p w14:paraId="7F5C853B" w14:textId="77777777" w:rsidR="004B2808" w:rsidRDefault="00000000">
      <w:pPr>
        <w:jc w:val="both"/>
      </w:pPr>
      <w:r>
        <w:rPr>
          <w:rStyle w:val="soitChar"/>
          <w:u w:val="single"/>
        </w:rPr>
        <w:t>Alignée à l’allège :</w:t>
      </w:r>
    </w:p>
    <w:p w14:paraId="1B703155" w14:textId="77777777" w:rsidR="004B2808" w:rsidRDefault="00000000">
      <w:pPr>
        <w:pStyle w:val="Author-eListParagraph"/>
        <w:numPr>
          <w:ilvl w:val="0"/>
          <w:numId w:val="1157"/>
        </w:numPr>
        <w:jc w:val="both"/>
      </w:pPr>
      <w:r>
        <w:rPr>
          <w:rStyle w:val="soitChar"/>
        </w:rPr>
        <w:t xml:space="preserve">Raccord avec l‘allège : </w:t>
      </w:r>
      <w:r>
        <w:rPr>
          <w:rStyle w:val="optioncarChar"/>
        </w:rPr>
        <w:t>joint creux / joint souple</w:t>
      </w:r>
    </w:p>
    <w:p w14:paraId="3A2137F6" w14:textId="77777777" w:rsidR="004B2808" w:rsidRDefault="00000000">
      <w:pPr>
        <w:pStyle w:val="pheading"/>
      </w:pPr>
      <w:r>
        <w:t>- Finitions</w:t>
      </w:r>
    </w:p>
    <w:p w14:paraId="276CA70B" w14:textId="77777777" w:rsidR="004B2808" w:rsidRDefault="00000000">
      <w:pPr>
        <w:jc w:val="both"/>
      </w:pPr>
      <w:r>
        <w:t xml:space="preserve">Matériau :  </w:t>
      </w:r>
      <w:r>
        <w:rPr>
          <w:rStyle w:val="optioncarChar"/>
        </w:rPr>
        <w:t>aluminium thermolaqué</w:t>
      </w:r>
      <w:r>
        <w:t xml:space="preserve"> (par défaut)</w:t>
      </w:r>
      <w:r>
        <w:rPr>
          <w:rStyle w:val="optioncarChar"/>
        </w:rPr>
        <w:t xml:space="preserve"> / aluminium anodisé</w:t>
      </w:r>
    </w:p>
    <w:p w14:paraId="0E512033" w14:textId="77777777" w:rsidR="004B2808" w:rsidRDefault="00000000">
      <w:pPr>
        <w:jc w:val="both"/>
      </w:pPr>
      <w:r>
        <w:rPr>
          <w:b/>
        </w:rPr>
        <w:t>(soit par défaut)</w:t>
      </w:r>
    </w:p>
    <w:p w14:paraId="594CF7C7" w14:textId="77777777" w:rsidR="004B2808" w:rsidRDefault="00000000">
      <w:pPr>
        <w:jc w:val="both"/>
      </w:pPr>
      <w:r>
        <w:rPr>
          <w:rStyle w:val="soitChar"/>
          <w:u w:val="single"/>
        </w:rPr>
        <w:lastRenderedPageBreak/>
        <w:t>Aluminium thermolaqué :</w:t>
      </w:r>
    </w:p>
    <w:p w14:paraId="78CA706C" w14:textId="77777777" w:rsidR="004B2808" w:rsidRDefault="00000000">
      <w:pPr>
        <w:pStyle w:val="Author-eListParagraph"/>
        <w:numPr>
          <w:ilvl w:val="0"/>
          <w:numId w:val="1158"/>
        </w:numPr>
      </w:pPr>
      <w:r>
        <w:rPr>
          <w:rStyle w:val="soitChar"/>
        </w:rPr>
        <w:t>Teinte :</w:t>
      </w:r>
      <w:r>
        <w:t xml:space="preserve">  </w:t>
      </w:r>
      <w:r>
        <w:rPr>
          <w:rStyle w:val="optioncarChar"/>
        </w:rPr>
        <w:t xml:space="preserve">blanc </w:t>
      </w:r>
      <w:r>
        <w:t>(par défaut)</w:t>
      </w:r>
      <w:r>
        <w:rPr>
          <w:rStyle w:val="optioncarChar"/>
        </w:rPr>
        <w:t xml:space="preserve"> / noir / teinte au choix de la direction des travaux / ***</w:t>
      </w:r>
    </w:p>
    <w:p w14:paraId="0947C4FE" w14:textId="77777777" w:rsidR="004B2808" w:rsidRDefault="00000000">
      <w:pPr>
        <w:jc w:val="both"/>
      </w:pPr>
      <w:r>
        <w:rPr>
          <w:b/>
        </w:rPr>
        <w:t>(soit)</w:t>
      </w:r>
    </w:p>
    <w:p w14:paraId="215CEB2A" w14:textId="77777777" w:rsidR="004B2808" w:rsidRDefault="00000000">
      <w:pPr>
        <w:jc w:val="both"/>
      </w:pPr>
      <w:r>
        <w:rPr>
          <w:rStyle w:val="soitChar"/>
          <w:u w:val="single"/>
        </w:rPr>
        <w:t>Aluminium anodisé :</w:t>
      </w:r>
    </w:p>
    <w:p w14:paraId="04B66827" w14:textId="77777777" w:rsidR="004B2808" w:rsidRDefault="00000000">
      <w:pPr>
        <w:pStyle w:val="Author-eListParagraph"/>
        <w:numPr>
          <w:ilvl w:val="0"/>
          <w:numId w:val="1159"/>
        </w:numPr>
        <w:jc w:val="both"/>
      </w:pPr>
      <w:r>
        <w:rPr>
          <w:rStyle w:val="soitChar"/>
        </w:rPr>
        <w:t>Teinte :</w:t>
      </w:r>
      <w:r>
        <w:t xml:space="preserve">  </w:t>
      </w:r>
      <w:r>
        <w:rPr>
          <w:rStyle w:val="optioncarChar"/>
        </w:rPr>
        <w:t xml:space="preserve">naturel </w:t>
      </w:r>
      <w:r>
        <w:t xml:space="preserve">(par défaut) </w:t>
      </w:r>
      <w:r>
        <w:rPr>
          <w:rStyle w:val="optioncarChar"/>
        </w:rPr>
        <w:t>/ bronze / noir / teinte au choix de la direction des travaux / ***</w:t>
      </w:r>
    </w:p>
    <w:p w14:paraId="64C654FE" w14:textId="77777777" w:rsidR="004B2808" w:rsidRDefault="00000000">
      <w:pPr>
        <w:pStyle w:val="pheading"/>
      </w:pPr>
      <w:r>
        <w:t>EXÉCUTION / MISE EN ŒUVRE</w:t>
      </w:r>
    </w:p>
    <w:p w14:paraId="27B7704A" w14:textId="77777777" w:rsidR="004B2808" w:rsidRDefault="00000000">
      <w:pPr>
        <w:pStyle w:val="pheading"/>
      </w:pPr>
      <w:r>
        <w:t>- Prescriptions générales</w:t>
      </w:r>
    </w:p>
    <w:p w14:paraId="435B7C75" w14:textId="77777777" w:rsidR="004B2808" w:rsidRDefault="00000000">
      <w:r>
        <w:t xml:space="preserve">Préparation de l’aire de pose : nivelée </w:t>
      </w:r>
      <w:r>
        <w:rPr>
          <w:rStyle w:val="optioncarChar"/>
        </w:rPr>
        <w:t xml:space="preserve">au moyen d’enduit au plâtre </w:t>
      </w:r>
      <w:r>
        <w:t>(par défaut)</w:t>
      </w:r>
      <w:r>
        <w:rPr>
          <w:rStyle w:val="optioncarChar"/>
        </w:rPr>
        <w:t xml:space="preserve"> / mortier de ciment</w:t>
      </w:r>
      <w:r>
        <w:br/>
        <w:t xml:space="preserve">Pose collée : </w:t>
      </w:r>
      <w:r>
        <w:rPr>
          <w:rStyle w:val="optioncarChar"/>
        </w:rPr>
        <w:t xml:space="preserve">pose sur un panneau de contreplaqué </w:t>
      </w:r>
      <w:r>
        <w:t>(par défaut)</w:t>
      </w:r>
      <w:r>
        <w:rPr>
          <w:rStyle w:val="optioncarChar"/>
        </w:rPr>
        <w:t xml:space="preserve"> / sur des profilés en acier galvanisé fixés dans l’allège.</w:t>
      </w:r>
      <w:r>
        <w:br/>
        <w:t xml:space="preserve">Les tablettes sont embrevées dans l'enduit des ébrasements : </w:t>
      </w:r>
      <w:r>
        <w:rPr>
          <w:rStyle w:val="optioncarChar"/>
        </w:rPr>
        <w:t xml:space="preserve">non </w:t>
      </w:r>
      <w:r>
        <w:t>(par défaut)</w:t>
      </w:r>
      <w:r>
        <w:rPr>
          <w:rStyle w:val="optioncarChar"/>
        </w:rPr>
        <w:t xml:space="preserve"> / oui </w:t>
      </w:r>
    </w:p>
    <w:p w14:paraId="27C26979" w14:textId="77777777" w:rsidR="004B2808" w:rsidRDefault="00000000">
      <w:r>
        <w:rPr>
          <w:b/>
        </w:rPr>
        <w:t>(soit par défaut)</w:t>
      </w:r>
      <w:r>
        <w:br/>
      </w:r>
      <w:r>
        <w:rPr>
          <w:rStyle w:val="soitChar"/>
          <w:u w:val="single"/>
        </w:rPr>
        <w:t>Non</w:t>
      </w:r>
      <w:r>
        <w:br/>
      </w:r>
      <w:r>
        <w:rPr>
          <w:b/>
        </w:rPr>
        <w:t>(soit)</w:t>
      </w:r>
      <w:r>
        <w:br/>
      </w:r>
      <w:r>
        <w:rPr>
          <w:rStyle w:val="soitChar"/>
          <w:u w:val="single"/>
        </w:rPr>
        <w:t>Oui :</w:t>
      </w:r>
      <w:r>
        <w:rPr>
          <w:rStyle w:val="soitChar"/>
        </w:rPr>
        <w:t xml:space="preserve"> Profondeur : </w:t>
      </w:r>
      <w:r>
        <w:rPr>
          <w:rStyle w:val="optioncarChar"/>
        </w:rPr>
        <w:t>1</w:t>
      </w:r>
      <w:r>
        <w:t xml:space="preserve"> (par défaut) </w:t>
      </w:r>
      <w:r>
        <w:rPr>
          <w:rStyle w:val="optioncarChar"/>
        </w:rPr>
        <w:t>/ 1,5 / 2 / ***</w:t>
      </w:r>
      <w:r>
        <w:rPr>
          <w:rStyle w:val="soitChar"/>
        </w:rPr>
        <w:t xml:space="preserve"> cm.</w:t>
      </w:r>
    </w:p>
    <w:p w14:paraId="6855200B" w14:textId="77777777" w:rsidR="004B2808" w:rsidRDefault="00000000">
      <w:r>
        <w:t>Finition :</w:t>
      </w:r>
    </w:p>
    <w:p w14:paraId="24BB4514" w14:textId="77777777" w:rsidR="004B2808" w:rsidRDefault="00000000">
      <w:pPr>
        <w:pStyle w:val="Author-eListParagraph"/>
        <w:numPr>
          <w:ilvl w:val="0"/>
          <w:numId w:val="1160"/>
        </w:numPr>
      </w:pPr>
      <w:r>
        <w:t xml:space="preserve">Latéralement : joint souple </w:t>
      </w:r>
      <w:r>
        <w:rPr>
          <w:rStyle w:val="optioncarChar"/>
        </w:rPr>
        <w:t xml:space="preserve">à peindre </w:t>
      </w:r>
      <w:r>
        <w:t>(par défaut)</w:t>
      </w:r>
      <w:r>
        <w:rPr>
          <w:rStyle w:val="optioncarChar"/>
        </w:rPr>
        <w:t xml:space="preserve"> / teinte au choix de la direction des travaux.</w:t>
      </w:r>
    </w:p>
    <w:p w14:paraId="3F55C624" w14:textId="77777777" w:rsidR="004B2808" w:rsidRDefault="00000000">
      <w:pPr>
        <w:pStyle w:val="Author-eListParagraph"/>
        <w:numPr>
          <w:ilvl w:val="0"/>
          <w:numId w:val="1160"/>
        </w:numPr>
      </w:pPr>
      <w:r>
        <w:t>Arrière le long de la fenêtre : joint souple teinte au choix de la direction des travaux.</w:t>
      </w:r>
    </w:p>
    <w:p w14:paraId="589F1D8E" w14:textId="77777777" w:rsidR="004B2808" w:rsidRDefault="00000000">
      <w:pPr>
        <w:pStyle w:val="pheading"/>
      </w:pPr>
      <w:r>
        <w:t>MESURAGE</w:t>
      </w:r>
    </w:p>
    <w:p w14:paraId="6B3DBF8D" w14:textId="77777777" w:rsidR="004B2808" w:rsidRDefault="00000000">
      <w:pPr>
        <w:pStyle w:val="pheading"/>
      </w:pPr>
      <w:r>
        <w:t>- unité de mesure:</w:t>
      </w:r>
    </w:p>
    <w:p w14:paraId="3AEA84CD" w14:textId="77777777" w:rsidR="004B2808" w:rsidRDefault="00000000">
      <w:r>
        <w:rPr>
          <w:rStyle w:val="optioncarChar"/>
        </w:rPr>
        <w:t xml:space="preserve">m </w:t>
      </w:r>
      <w:r>
        <w:t>(par défaut)</w:t>
      </w:r>
      <w:r>
        <w:rPr>
          <w:rStyle w:val="optioncarChar"/>
        </w:rPr>
        <w:t xml:space="preserve"> / m²</w:t>
      </w:r>
    </w:p>
    <w:p w14:paraId="51F57A9F" w14:textId="77777777" w:rsidR="004B2808" w:rsidRDefault="00000000">
      <w:r>
        <w:rPr>
          <w:b/>
        </w:rPr>
        <w:t>(soit par défaut)</w:t>
      </w:r>
      <w:r>
        <w:br/>
      </w:r>
      <w:r>
        <w:rPr>
          <w:rStyle w:val="soitChar"/>
        </w:rPr>
        <w:t>1. m</w:t>
      </w:r>
      <w:r>
        <w:br/>
      </w:r>
      <w:r>
        <w:rPr>
          <w:b/>
        </w:rPr>
        <w:t>(soit)</w:t>
      </w:r>
      <w:r>
        <w:br/>
      </w:r>
      <w:r>
        <w:rPr>
          <w:rStyle w:val="soitChar"/>
        </w:rPr>
        <w:t>2. m²</w:t>
      </w:r>
    </w:p>
    <w:p w14:paraId="516E10E9" w14:textId="77777777" w:rsidR="004B2808" w:rsidRDefault="00000000">
      <w:pPr>
        <w:pStyle w:val="pheading"/>
      </w:pPr>
      <w:r>
        <w:t>- code de mesurage:</w:t>
      </w:r>
    </w:p>
    <w:p w14:paraId="068B8ABF" w14:textId="77777777" w:rsidR="004B2808" w:rsidRDefault="00000000">
      <w:pPr>
        <w:jc w:val="both"/>
      </w:pPr>
      <w:r>
        <w:rPr>
          <w:rStyle w:val="optioncarChar"/>
        </w:rPr>
        <w:t xml:space="preserve">Longueur nette </w:t>
      </w:r>
      <w:r>
        <w:t>(par défaut)</w:t>
      </w:r>
      <w:r>
        <w:rPr>
          <w:rStyle w:val="optioncarChar"/>
        </w:rPr>
        <w:t xml:space="preserve"> / Surface nette</w:t>
      </w:r>
    </w:p>
    <w:p w14:paraId="32567B88" w14:textId="77777777" w:rsidR="004B2808" w:rsidRDefault="00000000">
      <w:pPr>
        <w:jc w:val="both"/>
      </w:pPr>
      <w:r>
        <w:rPr>
          <w:b/>
        </w:rPr>
        <w:t>(soit par défaut)</w:t>
      </w:r>
    </w:p>
    <w:p w14:paraId="3ACDE873" w14:textId="77777777" w:rsidR="004B2808" w:rsidRDefault="00000000">
      <w:pPr>
        <w:jc w:val="both"/>
      </w:pPr>
      <w:r>
        <w:rPr>
          <w:rStyle w:val="soitChar"/>
        </w:rPr>
        <w:t xml:space="preserve">1. </w:t>
      </w:r>
      <w:r>
        <w:rPr>
          <w:rStyle w:val="soitChar"/>
          <w:u w:val="single"/>
        </w:rPr>
        <w:t>Longueur nette</w:t>
      </w:r>
      <w:r>
        <w:rPr>
          <w:rStyle w:val="soitChar"/>
        </w:rPr>
        <w:t>, distinction faite entre tablettes neuves et/ou de réemploi – avec ou sans fourniture pour ces dernières, distinction faite de la largeur.</w:t>
      </w:r>
    </w:p>
    <w:p w14:paraId="085B47AB" w14:textId="77777777" w:rsidR="004B2808" w:rsidRDefault="00000000">
      <w:pPr>
        <w:jc w:val="both"/>
      </w:pPr>
      <w:r>
        <w:rPr>
          <w:b/>
        </w:rPr>
        <w:t>(soit)</w:t>
      </w:r>
    </w:p>
    <w:p w14:paraId="30D90DF7" w14:textId="77777777" w:rsidR="004B2808" w:rsidRDefault="00000000">
      <w:pPr>
        <w:jc w:val="both"/>
      </w:pPr>
      <w:r>
        <w:rPr>
          <w:rStyle w:val="soitChar"/>
        </w:rPr>
        <w:t xml:space="preserve">2. </w:t>
      </w:r>
      <w:r>
        <w:rPr>
          <w:rStyle w:val="soitChar"/>
          <w:u w:val="single"/>
        </w:rPr>
        <w:t>Surface nette</w:t>
      </w:r>
      <w:r>
        <w:rPr>
          <w:rStyle w:val="soitChar"/>
        </w:rPr>
        <w:t>, distinction faite entre tablettes neuves et/ou de réemploi – avec ou sans fourniture pour ces dernières.</w:t>
      </w:r>
    </w:p>
    <w:p w14:paraId="11F981F8" w14:textId="77777777" w:rsidR="004B2808" w:rsidRDefault="00000000">
      <w:pPr>
        <w:pStyle w:val="pheading"/>
      </w:pPr>
      <w:r>
        <w:t>- nature du marché:</w:t>
      </w:r>
    </w:p>
    <w:p w14:paraId="2BFBB447" w14:textId="77777777" w:rsidR="004B2808" w:rsidRDefault="00000000">
      <w:r>
        <w:t>QF</w:t>
      </w:r>
    </w:p>
    <w:p w14:paraId="723FCF92" w14:textId="77777777" w:rsidR="004B2808" w:rsidRDefault="00000000">
      <w:pPr>
        <w:pStyle w:val="Author-eSectionHeading5Numberless"/>
      </w:pPr>
      <w:bookmarkStart w:id="1297" w:name="_Toc220491415"/>
      <w:r>
        <w:t>55.61.6 Tablettes (de fenêtres et autres) en matériau à base de liants minéraux CCTB 01.02</w:t>
      </w:r>
      <w:bookmarkEnd w:id="1297"/>
    </w:p>
    <w:p w14:paraId="150B14B2" w14:textId="77777777" w:rsidR="004B2808" w:rsidRDefault="00000000">
      <w:pPr>
        <w:pStyle w:val="Author-eSectionHeading6Numberless"/>
      </w:pPr>
      <w:bookmarkStart w:id="1298" w:name="_Toc220491416"/>
      <w:r>
        <w:t>55.61.6a Tablettes (de fenêtres et autres) en fibro-ciment CCTB 01.10</w:t>
      </w:r>
      <w:bookmarkEnd w:id="1298"/>
    </w:p>
    <w:p w14:paraId="65259F7E" w14:textId="77777777" w:rsidR="004B2808" w:rsidRDefault="00000000">
      <w:pPr>
        <w:pStyle w:val="pheading"/>
      </w:pPr>
      <w:r>
        <w:t>MATÉRIAUX</w:t>
      </w:r>
    </w:p>
    <w:p w14:paraId="6F6492C4" w14:textId="77777777" w:rsidR="004B2808" w:rsidRDefault="00000000">
      <w:pPr>
        <w:pStyle w:val="pheading"/>
      </w:pPr>
      <w:r>
        <w:t>- Caractéristiques générales</w:t>
      </w:r>
    </w:p>
    <w:p w14:paraId="005F5BEC" w14:textId="77777777" w:rsidR="004B2808" w:rsidRDefault="00000000">
      <w:r>
        <w:t xml:space="preserve">Les tablettes de fenêtre préfabriquées sont des plaques des fibres-ciment plates pressées, autoclavées et fabriquées à base d'un mélange homogène de ciment Portland, de fibres minérales et </w:t>
      </w:r>
      <w:r>
        <w:lastRenderedPageBreak/>
        <w:t>d'adjuvants minéraux sélectionnés. Elles sont intégralement colorées dans la masse. Toutes les faces destinées à rester apparentes sont polies, la face inférieure est légèrement rainurée. A la livraison des tablettes de fenêtre, l'entrepreneur remet un certificat signé par le fabricant, attestant que les plaques ont au moins 28 jours.</w:t>
      </w:r>
    </w:p>
    <w:p w14:paraId="655623CE" w14:textId="77777777" w:rsidR="004B2808" w:rsidRDefault="00000000">
      <w:pPr>
        <w:pStyle w:val="heading"/>
      </w:pPr>
      <w:r>
        <w:t>Spécifications</w:t>
      </w:r>
    </w:p>
    <w:p w14:paraId="34A88315" w14:textId="77777777" w:rsidR="004B2808" w:rsidRDefault="00000000">
      <w:pPr>
        <w:pStyle w:val="Author-eListParagraph"/>
        <w:numPr>
          <w:ilvl w:val="0"/>
          <w:numId w:val="1161"/>
        </w:numPr>
      </w:pPr>
      <w:r>
        <w:t xml:space="preserve">Type : </w:t>
      </w:r>
      <w:r>
        <w:rPr>
          <w:rStyle w:val="optioncarChar"/>
        </w:rPr>
        <w:t>flammé </w:t>
      </w:r>
      <w:r>
        <w:t>(par défaut)</w:t>
      </w:r>
      <w:r>
        <w:rPr>
          <w:rStyle w:val="optioncarChar"/>
        </w:rPr>
        <w:t xml:space="preserve"> / non flammé</w:t>
      </w:r>
    </w:p>
    <w:p w14:paraId="3FB99E69" w14:textId="77777777" w:rsidR="004B2808" w:rsidRDefault="00000000">
      <w:pPr>
        <w:pStyle w:val="Author-eListParagraph"/>
        <w:numPr>
          <w:ilvl w:val="0"/>
          <w:numId w:val="1161"/>
        </w:numPr>
      </w:pPr>
      <w:r>
        <w:t xml:space="preserve">Teinte : </w:t>
      </w:r>
      <w:r>
        <w:rPr>
          <w:rStyle w:val="optioncarChar"/>
        </w:rPr>
        <w:t>gris clair </w:t>
      </w:r>
      <w:r>
        <w:t>(par défaut)</w:t>
      </w:r>
      <w:r>
        <w:rPr>
          <w:rStyle w:val="optioncarChar"/>
        </w:rPr>
        <w:t xml:space="preserve"> / gris foncé / *** </w:t>
      </w:r>
    </w:p>
    <w:p w14:paraId="4EFEFD8E" w14:textId="77777777" w:rsidR="004B2808" w:rsidRDefault="00000000">
      <w:pPr>
        <w:pStyle w:val="Author-eListParagraph"/>
        <w:numPr>
          <w:ilvl w:val="0"/>
          <w:numId w:val="1161"/>
        </w:numPr>
      </w:pPr>
      <w:r>
        <w:t xml:space="preserve">Epaisseur des plaques : </w:t>
      </w:r>
    </w:p>
    <w:p w14:paraId="27522181" w14:textId="77777777" w:rsidR="004B2808" w:rsidRDefault="00000000">
      <w:pPr>
        <w:pStyle w:val="Author-eListParagraph"/>
        <w:numPr>
          <w:ilvl w:val="1"/>
          <w:numId w:val="1162"/>
        </w:numPr>
      </w:pPr>
      <w:r>
        <w:rPr>
          <w:rStyle w:val="optioncarChar"/>
        </w:rPr>
        <w:t>20</w:t>
      </w:r>
      <w:r>
        <w:t> (par défaut)</w:t>
      </w:r>
      <w:r>
        <w:rPr>
          <w:rStyle w:val="optioncarChar"/>
        </w:rPr>
        <w:t> / ***</w:t>
      </w:r>
      <w:r>
        <w:t> mm avec une tolérance de 10 %.</w:t>
      </w:r>
    </w:p>
    <w:p w14:paraId="14DC2171" w14:textId="77777777" w:rsidR="004B2808" w:rsidRDefault="00000000">
      <w:pPr>
        <w:pStyle w:val="Author-eListParagraph"/>
        <w:numPr>
          <w:ilvl w:val="1"/>
          <w:numId w:val="1162"/>
        </w:numPr>
      </w:pPr>
      <w:r>
        <w:rPr>
          <w:rStyle w:val="optioncarChar"/>
        </w:rPr>
        <w:t>20</w:t>
      </w:r>
      <w:r>
        <w:t> (par défaut)</w:t>
      </w:r>
      <w:r>
        <w:rPr>
          <w:rStyle w:val="optioncarChar"/>
        </w:rPr>
        <w:t> / ***</w:t>
      </w:r>
      <w:r>
        <w:t xml:space="preserve"> mm avec une surépaisseur de </w:t>
      </w:r>
      <w:r>
        <w:rPr>
          <w:rStyle w:val="optioncarChar"/>
        </w:rPr>
        <w:t>20 x 40</w:t>
      </w:r>
      <w:r>
        <w:t> (par défaut)</w:t>
      </w:r>
      <w:r>
        <w:rPr>
          <w:rStyle w:val="optioncarChar"/>
        </w:rPr>
        <w:t> / ***</w:t>
      </w:r>
      <w:r>
        <w:t>  mm.</w:t>
      </w:r>
    </w:p>
    <w:p w14:paraId="5BFB9BC7" w14:textId="77777777" w:rsidR="004B2808" w:rsidRDefault="00000000">
      <w:pPr>
        <w:pStyle w:val="pheading"/>
      </w:pPr>
      <w:r>
        <w:t>- Finitions</w:t>
      </w:r>
    </w:p>
    <w:p w14:paraId="5E94162E" w14:textId="77777777" w:rsidR="004B2808" w:rsidRDefault="00000000">
      <w:r>
        <w:t xml:space="preserve">Finition de la surface : </w:t>
      </w:r>
      <w:r>
        <w:rPr>
          <w:rStyle w:val="optioncarChar"/>
        </w:rPr>
        <w:t>polie</w:t>
      </w:r>
      <w:r>
        <w:t> (par défaut)</w:t>
      </w:r>
      <w:r>
        <w:rPr>
          <w:rStyle w:val="optioncarChar"/>
        </w:rPr>
        <w:t xml:space="preserve"> / satinée / ***</w:t>
      </w:r>
      <w:r>
        <w:br/>
        <w:t xml:space="preserve">Finition des bords : les angles et les bords sont </w:t>
      </w:r>
      <w:r>
        <w:rPr>
          <w:rStyle w:val="optioncarChar"/>
        </w:rPr>
        <w:t>légèrement arrondis</w:t>
      </w:r>
      <w:r>
        <w:t>(par défaut)</w:t>
      </w:r>
      <w:r>
        <w:rPr>
          <w:rStyle w:val="optioncarChar"/>
        </w:rPr>
        <w:t> / à facettes / *** </w:t>
      </w:r>
    </w:p>
    <w:p w14:paraId="7223CA56" w14:textId="77777777" w:rsidR="004B2808" w:rsidRDefault="00000000">
      <w:pPr>
        <w:pStyle w:val="pheading"/>
      </w:pPr>
      <w:r>
        <w:t>EXÉCUTION / MISE EN ŒUVRE</w:t>
      </w:r>
    </w:p>
    <w:p w14:paraId="62162719" w14:textId="77777777" w:rsidR="004B2808" w:rsidRDefault="00000000">
      <w:pPr>
        <w:pStyle w:val="pheading"/>
      </w:pPr>
      <w:r>
        <w:t>- Prescriptions générales</w:t>
      </w:r>
    </w:p>
    <w:p w14:paraId="06E6CC9E" w14:textId="77777777" w:rsidR="004B2808" w:rsidRDefault="00000000">
      <w:r>
        <w:t>Les plaques sont sciées sur mesure par le fabricant. Les adaptations locales se font à l'aide d'un outillage produisant peu de poussière.</w:t>
      </w:r>
      <w:r>
        <w:br/>
        <w:t>Les tablettes de fenêtre sont posées à bain plein de mortier également réparti d'une épaisseur minimale de 15 à 20 mm.</w:t>
      </w:r>
      <w:r>
        <w:br/>
        <w:t>Le joint avec le châssis est réalisé à l'aide d'un mastic élastique, selon le tableau 10 de la [NIT 237]. L'utilisation d'un mastic au caoutchouc bitumé est interdite. Après la mise en œuvre, les tablettes sont pourvues d'une couche d'usure à base de résines de polyuréthane. Cette couche de finition est comprise dans le présent article.</w:t>
      </w:r>
    </w:p>
    <w:p w14:paraId="5F447767" w14:textId="77777777" w:rsidR="004B2808" w:rsidRDefault="00000000">
      <w:pPr>
        <w:pStyle w:val="pheading"/>
      </w:pPr>
      <w:r>
        <w:t>- Notes d’exécution complémentaires</w:t>
      </w:r>
    </w:p>
    <w:p w14:paraId="60A5987C" w14:textId="77777777" w:rsidR="004B2808" w:rsidRDefault="00000000">
      <w:r>
        <w:t xml:space="preserve">Les tablettes sont posées </w:t>
      </w:r>
      <w:r>
        <w:rPr>
          <w:rStyle w:val="optioncarChar"/>
        </w:rPr>
        <w:t xml:space="preserve">d'un seul tenant sans joints </w:t>
      </w:r>
      <w:r>
        <w:t>(par défaut) </w:t>
      </w:r>
      <w:r>
        <w:rPr>
          <w:rStyle w:val="optioncarChar"/>
        </w:rPr>
        <w:t>/ en deux pièces</w:t>
      </w:r>
      <w:r>
        <w:t xml:space="preserve"> pour les tablettes d'une longueur supérieure à </w:t>
      </w:r>
      <w:r>
        <w:rPr>
          <w:rStyle w:val="optioncarChar"/>
        </w:rPr>
        <w:t>180</w:t>
      </w:r>
      <w:r>
        <w:t> (par défaut)</w:t>
      </w:r>
      <w:r>
        <w:rPr>
          <w:rStyle w:val="optioncarChar"/>
        </w:rPr>
        <w:t xml:space="preserve"> / 200 / ***. </w:t>
      </w:r>
      <w:r>
        <w:t>cm. Lorsque les tablettes se composent d'une ou de plusieurs parties, les joints sont remplis au mortier de jointoiement, adapté à la teinte de la tablette; il n'a pas d'influence néfaste sur la tablette, ni en ce qui concerne la résistance ni au niveau de l'aspect esthétique.</w:t>
      </w:r>
      <w:r>
        <w:br/>
        <w:t>Les tablettes débordent de </w:t>
      </w:r>
      <w:r>
        <w:rPr>
          <w:rStyle w:val="optioncarChar"/>
        </w:rPr>
        <w:t>1,5 / 2 / 4</w:t>
      </w:r>
      <w:r>
        <w:t> (par défaut)</w:t>
      </w:r>
      <w:r>
        <w:rPr>
          <w:rStyle w:val="optioncarChar"/>
        </w:rPr>
        <w:t xml:space="preserve"> / 6 / 8 / *** </w:t>
      </w:r>
      <w:r>
        <w:t xml:space="preserve">cm par rapport à la face finie du mur intérieur. Les tablettes de fenêtre dont le débordement dépasse </w:t>
      </w:r>
      <w:r>
        <w:rPr>
          <w:rStyle w:val="optioncarChar"/>
        </w:rPr>
        <w:t>8</w:t>
      </w:r>
      <w:r>
        <w:t> (par défaut)</w:t>
      </w:r>
      <w:r>
        <w:rPr>
          <w:rStyle w:val="optioncarChar"/>
        </w:rPr>
        <w:t> / ***</w:t>
      </w:r>
      <w:r>
        <w:t> cm sont soutenues par des profils métallisés ancrés dans le mur. La fixation sur ces fers se fait par collage à l'aide d'un mastic élastique approprié.</w:t>
      </w:r>
      <w:r>
        <w:br/>
        <w:t xml:space="preserve">Les tablettes </w:t>
      </w:r>
      <w:r>
        <w:rPr>
          <w:rStyle w:val="optioncarChar"/>
        </w:rPr>
        <w:t>sont intégrées</w:t>
      </w:r>
      <w:r>
        <w:t> (par défaut)</w:t>
      </w:r>
      <w:r>
        <w:rPr>
          <w:rStyle w:val="optioncarChar"/>
        </w:rPr>
        <w:t xml:space="preserve"> / ne sont pas insérées / ***</w:t>
      </w:r>
      <w:r>
        <w:t xml:space="preserve"> dans l'enduit des ébrasements sur environ </w:t>
      </w:r>
      <w:r>
        <w:rPr>
          <w:rStyle w:val="optioncarChar"/>
        </w:rPr>
        <w:t>1 / 1,5 </w:t>
      </w:r>
      <w:r>
        <w:t>(par défaut)</w:t>
      </w:r>
      <w:r>
        <w:rPr>
          <w:rStyle w:val="optioncarChar"/>
        </w:rPr>
        <w:t xml:space="preserve"> / 2 / *** </w:t>
      </w:r>
      <w:r>
        <w:t>cm. Le cas échéant, les tablettes sont embrevées dans le plafonnage et l'enduit est retouché.</w:t>
      </w:r>
    </w:p>
    <w:p w14:paraId="4BD7C6BB" w14:textId="77777777" w:rsidR="004B2808" w:rsidRDefault="00000000">
      <w:pPr>
        <w:pStyle w:val="pheading"/>
      </w:pPr>
      <w:r>
        <w:t>MESURAGE</w:t>
      </w:r>
    </w:p>
    <w:p w14:paraId="2FEFCD2D" w14:textId="77777777" w:rsidR="004B2808" w:rsidRDefault="00000000">
      <w:r>
        <w:t>Conformément aux indications spécifiques dans le cahier spécial des charges et/ou le métré récapitulatif, le mesurage doit être conçu comme suit :</w:t>
      </w:r>
    </w:p>
    <w:p w14:paraId="1D9EF7A3" w14:textId="77777777" w:rsidR="004B2808" w:rsidRDefault="00000000">
      <w:pPr>
        <w:pStyle w:val="pheading"/>
      </w:pPr>
      <w:r>
        <w:t>- unité de mesure:</w:t>
      </w:r>
    </w:p>
    <w:p w14:paraId="768EFC35" w14:textId="77777777" w:rsidR="004B2808" w:rsidRDefault="00000000">
      <w:r>
        <w:t>   </w:t>
      </w:r>
      <w:r>
        <w:rPr>
          <w:rStyle w:val="optioncarChar"/>
        </w:rPr>
        <w:t>m² </w:t>
      </w:r>
      <w:r>
        <w:t>(par défaut)</w:t>
      </w:r>
      <w:r>
        <w:rPr>
          <w:rStyle w:val="optioncarChar"/>
        </w:rPr>
        <w:t xml:space="preserve"> / m </w:t>
      </w:r>
    </w:p>
    <w:p w14:paraId="666E6ED8" w14:textId="77777777" w:rsidR="004B2808" w:rsidRDefault="00000000">
      <w:pPr>
        <w:pStyle w:val="pheading"/>
      </w:pPr>
      <w:r>
        <w:t>- code de mesurage:</w:t>
      </w:r>
    </w:p>
    <w:p w14:paraId="359F3C65" w14:textId="77777777" w:rsidR="004B2808" w:rsidRDefault="00000000">
      <w:r>
        <w:rPr>
          <w:rStyle w:val="optioncarChar"/>
        </w:rPr>
        <w:t>Surface nette à exécuter, mesurée horizontalement selon le plus petit rectangle circonscrit. Les pièces inférieures à 10 dm2 sont comptées pour 10 dm²</w:t>
      </w:r>
      <w:r>
        <w:t> (par défaut)</w:t>
      </w:r>
      <w:r>
        <w:rPr>
          <w:rStyle w:val="optioncarChar"/>
        </w:rPr>
        <w:t xml:space="preserve"> / Longueur nette, mesurée dans l'œuvre de la baie de fenêtre  </w:t>
      </w:r>
    </w:p>
    <w:p w14:paraId="38DCC60F" w14:textId="77777777" w:rsidR="004B2808" w:rsidRDefault="00000000">
      <w:pPr>
        <w:pStyle w:val="pheading"/>
      </w:pPr>
      <w:r>
        <w:t>- nature du marché:</w:t>
      </w:r>
    </w:p>
    <w:p w14:paraId="08A6FF59" w14:textId="77777777" w:rsidR="004B2808" w:rsidRDefault="00000000">
      <w:r>
        <w:t>QF </w:t>
      </w:r>
    </w:p>
    <w:p w14:paraId="099EC144" w14:textId="77777777" w:rsidR="004B2808" w:rsidRDefault="00000000">
      <w:pPr>
        <w:pStyle w:val="Author-eSectionHeading6Numberless"/>
      </w:pPr>
      <w:bookmarkStart w:id="1299" w:name="_Toc220491417"/>
      <w:r>
        <w:lastRenderedPageBreak/>
        <w:t>55.61.6b Tablettes (de fenêtres et autres) en béton CCTB 01.02</w:t>
      </w:r>
      <w:bookmarkEnd w:id="1299"/>
    </w:p>
    <w:p w14:paraId="2A690F91" w14:textId="77777777" w:rsidR="004B2808" w:rsidRDefault="00000000">
      <w:pPr>
        <w:pStyle w:val="Author-eSectionHeading5Numberless"/>
      </w:pPr>
      <w:bookmarkStart w:id="1300" w:name="_Toc220491418"/>
      <w:r>
        <w:t>55.61.7 Tablettes (de fenêtres et autres) en matériau synthétique CCTB 01.11</w:t>
      </w:r>
      <w:bookmarkEnd w:id="1300"/>
    </w:p>
    <w:p w14:paraId="1B86FA8E" w14:textId="77777777" w:rsidR="004B2808" w:rsidRDefault="00000000">
      <w:pPr>
        <w:pStyle w:val="pheading"/>
      </w:pPr>
      <w:r>
        <w:t>MATÉRIAUX</w:t>
      </w:r>
    </w:p>
    <w:p w14:paraId="2446DB00" w14:textId="77777777" w:rsidR="004B2808" w:rsidRDefault="00000000">
      <w:r>
        <w:t>Les tablettes de fenêtre ne matière synthétique sont constituées de:</w:t>
      </w:r>
    </w:p>
    <w:p w14:paraId="4D4C586E" w14:textId="77777777" w:rsidR="004B2808" w:rsidRDefault="00000000">
      <w:r>
        <w:br/>
        <w:t>Choix opéré :</w:t>
      </w:r>
      <w:r>
        <w:rPr>
          <w:rStyle w:val="optioncarChar"/>
          <w:b/>
        </w:rPr>
        <w:t>*** / OPTION 1 (âme pleine) </w:t>
      </w:r>
      <w:r>
        <w:t>(par défaut)</w:t>
      </w:r>
      <w:r>
        <w:rPr>
          <w:rStyle w:val="optioncarChar"/>
          <w:b/>
        </w:rPr>
        <w:t xml:space="preserve"> / OPTION 2 (profil)</w:t>
      </w:r>
    </w:p>
    <w:p w14:paraId="04E94E1B" w14:textId="77777777" w:rsidR="004B2808" w:rsidRDefault="00000000">
      <w:r>
        <w:rPr>
          <w:b/>
        </w:rPr>
        <w:t>***OPTION 1</w:t>
      </w:r>
      <w:r>
        <w:t>  (par défaut) : une âme pleine en mousse de PVC extrudé, avec sur la face vue une couche de PVC étanche d'une épaisseur d'environ 1 mm. L'âme et la couche de finition forment un tout par extrusion. Les chants visibles sont recouverts de bandes de PVC collées.</w:t>
      </w:r>
      <w:r>
        <w:br/>
      </w:r>
      <w:r>
        <w:rPr>
          <w:b/>
        </w:rPr>
        <w:t>***OPTION 2</w:t>
      </w:r>
      <w:r>
        <w:t> : un profil de PVC dur, à double paroi, revêtu d'une feuille de stratifié de qualité supérieure, imprégnée de résines et achevée par une couche de résine. La face de pose est profilée en forme de queue d'aronde afin d'augmenter l'adhérence au mortier de pose.</w:t>
      </w:r>
    </w:p>
    <w:p w14:paraId="056602A2" w14:textId="77777777" w:rsidR="004B2808" w:rsidRDefault="00000000">
      <w:pPr>
        <w:pStyle w:val="heading"/>
      </w:pPr>
      <w:r>
        <w:t>Spécifications</w:t>
      </w:r>
    </w:p>
    <w:p w14:paraId="357FA365" w14:textId="77777777" w:rsidR="004B2808" w:rsidRDefault="00000000">
      <w:pPr>
        <w:pStyle w:val="Author-eListParagraph"/>
        <w:numPr>
          <w:ilvl w:val="0"/>
          <w:numId w:val="1163"/>
        </w:numPr>
      </w:pPr>
      <w:r>
        <w:t xml:space="preserve">Dimensions : </w:t>
      </w:r>
    </w:p>
    <w:p w14:paraId="7CAC2969" w14:textId="77777777" w:rsidR="004B2808" w:rsidRDefault="00000000">
      <w:pPr>
        <w:pStyle w:val="Author-eListParagraph"/>
        <w:numPr>
          <w:ilvl w:val="1"/>
          <w:numId w:val="1164"/>
        </w:numPr>
      </w:pPr>
      <w:r>
        <w:t xml:space="preserve">Epaisseur : minimum </w:t>
      </w:r>
      <w:r>
        <w:rPr>
          <w:rStyle w:val="optioncarChar"/>
        </w:rPr>
        <w:t>18</w:t>
      </w:r>
      <w:r>
        <w:t> (par défaut)</w:t>
      </w:r>
      <w:r>
        <w:rPr>
          <w:rStyle w:val="optioncarChar"/>
        </w:rPr>
        <w:t xml:space="preserve"> / 22 / ***</w:t>
      </w:r>
      <w:r>
        <w:t xml:space="preserve"> mm</w:t>
      </w:r>
    </w:p>
    <w:p w14:paraId="73BDAB89" w14:textId="77777777" w:rsidR="004B2808" w:rsidRDefault="00000000">
      <w:pPr>
        <w:pStyle w:val="Author-eListParagraph"/>
        <w:numPr>
          <w:ilvl w:val="1"/>
          <w:numId w:val="1164"/>
        </w:numPr>
      </w:pPr>
      <w:r>
        <w:t xml:space="preserve">Largeur : environ </w:t>
      </w:r>
      <w:r>
        <w:rPr>
          <w:rStyle w:val="optioncarChar"/>
        </w:rPr>
        <w:t>17 </w:t>
      </w:r>
      <w:r>
        <w:t>(par défaut)</w:t>
      </w:r>
      <w:r>
        <w:rPr>
          <w:rStyle w:val="optioncarChar"/>
        </w:rPr>
        <w:t xml:space="preserve"> / 23 / 30 / *** </w:t>
      </w:r>
      <w:r>
        <w:t>cm</w:t>
      </w:r>
    </w:p>
    <w:p w14:paraId="4E6A937D" w14:textId="77777777" w:rsidR="004B2808" w:rsidRDefault="00000000">
      <w:pPr>
        <w:pStyle w:val="Author-eListParagraph"/>
        <w:numPr>
          <w:ilvl w:val="0"/>
          <w:numId w:val="1163"/>
        </w:numPr>
      </w:pPr>
      <w:r>
        <w:t xml:space="preserve">Face avant : avec une surépaisseur ( </w:t>
      </w:r>
      <w:r>
        <w:rPr>
          <w:rStyle w:val="optioncarChar"/>
        </w:rPr>
        <w:t>25</w:t>
      </w:r>
      <w:r>
        <w:t> (par défaut)</w:t>
      </w:r>
      <w:r>
        <w:rPr>
          <w:rStyle w:val="optioncarChar"/>
        </w:rPr>
        <w:t xml:space="preserve"> / 35 / *** </w:t>
      </w:r>
      <w:r>
        <w:t>mm),</w:t>
      </w:r>
      <w:r>
        <w:rPr>
          <w:rStyle w:val="optioncarChar"/>
        </w:rPr>
        <w:t> arrondie</w:t>
      </w:r>
      <w:r>
        <w:t> (par défaut)</w:t>
      </w:r>
      <w:r>
        <w:rPr>
          <w:rStyle w:val="optioncarChar"/>
        </w:rPr>
        <w:t xml:space="preserve"> / droite / ***</w:t>
      </w:r>
    </w:p>
    <w:p w14:paraId="69A911D4" w14:textId="77777777" w:rsidR="004B2808" w:rsidRDefault="00000000">
      <w:pPr>
        <w:pStyle w:val="Author-eListParagraph"/>
        <w:numPr>
          <w:ilvl w:val="0"/>
          <w:numId w:val="1163"/>
        </w:numPr>
      </w:pPr>
      <w:r>
        <w:t xml:space="preserve">Aspect : </w:t>
      </w:r>
      <w:r>
        <w:rPr>
          <w:rStyle w:val="optioncarChar"/>
        </w:rPr>
        <w:t>surface légèrement structurée</w:t>
      </w:r>
      <w:r>
        <w:t xml:space="preserve"> (par défaut) </w:t>
      </w:r>
      <w:r>
        <w:rPr>
          <w:rStyle w:val="optioncarChar"/>
        </w:rPr>
        <w:t xml:space="preserve">/ *** </w:t>
      </w:r>
    </w:p>
    <w:p w14:paraId="161DCFAE" w14:textId="77777777" w:rsidR="004B2808" w:rsidRDefault="00000000">
      <w:pPr>
        <w:pStyle w:val="Author-eListParagraph"/>
        <w:numPr>
          <w:ilvl w:val="0"/>
          <w:numId w:val="1163"/>
        </w:numPr>
      </w:pPr>
      <w:r>
        <w:t xml:space="preserve">Coloris : </w:t>
      </w:r>
      <w:r>
        <w:rPr>
          <w:rStyle w:val="optioncarChar"/>
        </w:rPr>
        <w:t>blanc</w:t>
      </w:r>
      <w:r>
        <w:t xml:space="preserve"> (par défaut)</w:t>
      </w:r>
      <w:r>
        <w:rPr>
          <w:rStyle w:val="optioncarChar"/>
        </w:rPr>
        <w:t> / à choisir par l'auteur de projet dans la gamme standard proposée par le fabricant / ***</w:t>
      </w:r>
      <w:r>
        <w:t>.</w:t>
      </w:r>
    </w:p>
    <w:p w14:paraId="10B4FBA3" w14:textId="77777777" w:rsidR="004B2808" w:rsidRDefault="00000000">
      <w:r>
        <w:t xml:space="preserve">Note à l'attention de l'auteur de projet </w:t>
      </w:r>
      <w:r>
        <w:br/>
        <w:t>Lorsque les tablettes de fenêtre en PVC sont posées en combinaison avec la menuiserie extérieure en PVC, les deux forment un ensemble et les tablettes sont, en principe, livrées par le producteur des châssis.</w:t>
      </w:r>
    </w:p>
    <w:p w14:paraId="0A266340" w14:textId="77777777" w:rsidR="004B2808" w:rsidRDefault="00000000">
      <w:pPr>
        <w:pStyle w:val="pheading"/>
      </w:pPr>
      <w:r>
        <w:t>EXÉCUTION / MISE EN ŒUVRE</w:t>
      </w:r>
    </w:p>
    <w:p w14:paraId="7DBA4937" w14:textId="77777777" w:rsidR="004B2808" w:rsidRDefault="00000000">
      <w:pPr>
        <w:pStyle w:val="Author-eListParagraph"/>
        <w:numPr>
          <w:ilvl w:val="0"/>
          <w:numId w:val="1165"/>
        </w:numPr>
      </w:pPr>
      <w:r>
        <w:t>Pour le transport, l'entreposage et le montage, il faut tenir compte des directives du fabricant. En vue d'une fixation invisible à la maçonnerie:</w:t>
      </w:r>
    </w:p>
    <w:p w14:paraId="6E97C14F" w14:textId="77777777" w:rsidR="004B2808" w:rsidRDefault="00000000">
      <w:r>
        <w:t>Choix opéré :</w:t>
      </w:r>
      <w:r>
        <w:rPr>
          <w:rStyle w:val="optioncarChar"/>
          <w:b/>
        </w:rPr>
        <w:t>*** / OPTION 1</w:t>
      </w:r>
      <w:r>
        <w:t> (par défaut)</w:t>
      </w:r>
      <w:r>
        <w:rPr>
          <w:rStyle w:val="optioncarChar"/>
          <w:b/>
        </w:rPr>
        <w:t xml:space="preserve"> / OPTION 2 / OPTION 3</w:t>
      </w:r>
    </w:p>
    <w:p w14:paraId="4EDFD721" w14:textId="77777777" w:rsidR="004B2808" w:rsidRDefault="00000000">
      <w:r>
        <w:rPr>
          <w:b/>
        </w:rPr>
        <w:t>***OPTION 1</w:t>
      </w:r>
      <w:r>
        <w:t> (par défaut)</w:t>
      </w:r>
      <w:r>
        <w:rPr>
          <w:b/>
        </w:rPr>
        <w:t> </w:t>
      </w:r>
      <w:r>
        <w:t>: on visse sur la face de pose de la tablette de fenêtre des accessoires appropriés en acier galvanisé (par ex. un nombre suffisant de vis parker), qui sont ensuite enfoncés dans le mortier de pose.</w:t>
      </w:r>
      <w:r>
        <w:br/>
      </w:r>
      <w:r>
        <w:rPr>
          <w:b/>
        </w:rPr>
        <w:t>***OPTION 2</w:t>
      </w:r>
      <w:r>
        <w:t xml:space="preserve"> : les tablettes de fenêtre sont </w:t>
      </w:r>
      <w:r>
        <w:rPr>
          <w:rStyle w:val="optioncarChar"/>
        </w:rPr>
        <w:t>collées</w:t>
      </w:r>
      <w:r>
        <w:t xml:space="preserve"> (par défaut) </w:t>
      </w:r>
      <w:r>
        <w:rPr>
          <w:rStyle w:val="optioncarChar"/>
        </w:rPr>
        <w:t xml:space="preserve">/ enfoncées dans le mortier de pose </w:t>
      </w:r>
      <w:r>
        <w:t>(en utilisant les rainures d'adhérence ménagées dans le profil).</w:t>
      </w:r>
      <w:r>
        <w:br/>
      </w:r>
      <w:r>
        <w:rPr>
          <w:b/>
        </w:rPr>
        <w:t xml:space="preserve">***OPTION 3 </w:t>
      </w:r>
      <w:r>
        <w:t>: les tablettes sont fixées à l'aide de pièces de scellement de radiateurs espacées de 60 cm.</w:t>
      </w:r>
    </w:p>
    <w:p w14:paraId="7C4CE853" w14:textId="77777777" w:rsidR="004B2808" w:rsidRDefault="00000000">
      <w:pPr>
        <w:pStyle w:val="Author-eListParagraph"/>
        <w:numPr>
          <w:ilvl w:val="0"/>
          <w:numId w:val="1166"/>
        </w:numPr>
      </w:pPr>
      <w:r>
        <w:t>Lorsque l'aire de pose n'est pas suffisamment plane, celle-ci doit d'abord être nivelée au mortier de ciment.</w:t>
      </w:r>
    </w:p>
    <w:p w14:paraId="2D79A21A" w14:textId="77777777" w:rsidR="004B2808" w:rsidRDefault="00000000">
      <w:pPr>
        <w:pStyle w:val="Author-eListParagraph"/>
        <w:numPr>
          <w:ilvl w:val="0"/>
          <w:numId w:val="1166"/>
        </w:numPr>
      </w:pPr>
      <w:r>
        <w:t>Le joint avec la menuiserie est réalisé à l'aide d'un mastic élastique, selon le tableau 10 de la [NIT 237]. L'utilisation d'un mastic au caoutchouc bitumé est interdite.</w:t>
      </w:r>
    </w:p>
    <w:p w14:paraId="2E4C934B" w14:textId="77777777" w:rsidR="004B2808" w:rsidRDefault="00000000">
      <w:pPr>
        <w:pStyle w:val="heading"/>
      </w:pPr>
      <w:r>
        <w:t>Notes d'exécution complémentaires</w:t>
      </w:r>
    </w:p>
    <w:p w14:paraId="4ABB618A" w14:textId="77777777" w:rsidR="004B2808" w:rsidRDefault="00000000">
      <w:pPr>
        <w:pStyle w:val="Author-eListParagraph"/>
        <w:numPr>
          <w:ilvl w:val="0"/>
          <w:numId w:val="1167"/>
        </w:numPr>
      </w:pPr>
      <w:r>
        <w:t>Les tablettes sont posées</w:t>
      </w:r>
      <w:r>
        <w:rPr>
          <w:rStyle w:val="optioncarChar"/>
        </w:rPr>
        <w:t xml:space="preserve"> d'un seul tenant sans joints / en deux pièces </w:t>
      </w:r>
      <w:r>
        <w:t xml:space="preserve">pour les tablettes d'une longueur supérieure à </w:t>
      </w:r>
      <w:r>
        <w:rPr>
          <w:rStyle w:val="optioncarChar"/>
        </w:rPr>
        <w:t>180</w:t>
      </w:r>
      <w:r>
        <w:t> (par défaut)</w:t>
      </w:r>
      <w:r>
        <w:rPr>
          <w:rStyle w:val="optioncarChar"/>
        </w:rPr>
        <w:t xml:space="preserve"> / 200 / ***</w:t>
      </w:r>
      <w:r>
        <w:t>. cm. Lorsque les tablettes se composent d'une ou de plusieurs parties, les joints sont remplis au mortier de jointoiement, adapté à la teinte de la tablette; il n'a pas d'influence néfaste sur la tablette, ni en ce qui concerne la résistance ni au niveau de l'aspect esthétique.</w:t>
      </w:r>
    </w:p>
    <w:p w14:paraId="1199B4F1" w14:textId="77777777" w:rsidR="004B2808" w:rsidRDefault="00000000">
      <w:pPr>
        <w:pStyle w:val="Author-eListParagraph"/>
        <w:numPr>
          <w:ilvl w:val="0"/>
          <w:numId w:val="1167"/>
        </w:numPr>
      </w:pPr>
      <w:r>
        <w:lastRenderedPageBreak/>
        <w:t>Les tablettes débordent de </w:t>
      </w:r>
      <w:r>
        <w:rPr>
          <w:rStyle w:val="optioncarChar"/>
        </w:rPr>
        <w:t>1,5 / 2 / 4 </w:t>
      </w:r>
      <w:r>
        <w:t>(par défaut)</w:t>
      </w:r>
      <w:r>
        <w:rPr>
          <w:rStyle w:val="optioncarChar"/>
        </w:rPr>
        <w:t xml:space="preserve"> / 6 / 8 / *** </w:t>
      </w:r>
      <w:r>
        <w:t>cm par rapport à la face finie du mur intérieur. Les tablettes de fenêtre dont le débordement dépasse </w:t>
      </w:r>
      <w:r>
        <w:rPr>
          <w:rStyle w:val="optioncarChar"/>
        </w:rPr>
        <w:t>8 </w:t>
      </w:r>
      <w:r>
        <w:t>(par défaut)</w:t>
      </w:r>
      <w:r>
        <w:rPr>
          <w:rStyle w:val="optioncarChar"/>
        </w:rPr>
        <w:t> / *** </w:t>
      </w:r>
      <w:r>
        <w:t>cm sont soutenues par des profils métallisés ancrés dans le mur. La fixation sur ces fers se fait par collage à l'aide d'un mastic élastique approprié.</w:t>
      </w:r>
    </w:p>
    <w:p w14:paraId="50BF31CE" w14:textId="77777777" w:rsidR="004B2808" w:rsidRDefault="00000000">
      <w:pPr>
        <w:pStyle w:val="Author-eListParagraph"/>
        <w:numPr>
          <w:ilvl w:val="0"/>
          <w:numId w:val="1167"/>
        </w:numPr>
      </w:pPr>
      <w:r>
        <w:t xml:space="preserve">Les tablettes </w:t>
      </w:r>
      <w:r>
        <w:rPr>
          <w:rStyle w:val="optioncarChar"/>
        </w:rPr>
        <w:t>sont intégrées</w:t>
      </w:r>
      <w:r>
        <w:t> (par défaut)</w:t>
      </w:r>
      <w:r>
        <w:rPr>
          <w:rStyle w:val="optioncarChar"/>
        </w:rPr>
        <w:t xml:space="preserve"> / ne sont pas insérées / *** </w:t>
      </w:r>
      <w:r>
        <w:t xml:space="preserve">dans l'enduit des ébrasements sur environ </w:t>
      </w:r>
      <w:r>
        <w:rPr>
          <w:rStyle w:val="optioncarChar"/>
        </w:rPr>
        <w:t>1 / 1,5 </w:t>
      </w:r>
      <w:r>
        <w:t>(par défaut)</w:t>
      </w:r>
      <w:r>
        <w:rPr>
          <w:rStyle w:val="optioncarChar"/>
        </w:rPr>
        <w:t xml:space="preserve"> / 2 / *** </w:t>
      </w:r>
      <w:r>
        <w:t>cm. Le cas échéant, les tablettes sont embrevées dans le plafonnage et l'enduit est retouché.</w:t>
      </w:r>
    </w:p>
    <w:p w14:paraId="51E684C6" w14:textId="77777777" w:rsidR="004B2808" w:rsidRDefault="00000000">
      <w:pPr>
        <w:pStyle w:val="Author-eSectionHeading6Numberless"/>
      </w:pPr>
      <w:bookmarkStart w:id="1301" w:name="_Toc220491419"/>
      <w:r>
        <w:t>55.61.7a Tablettes (de fenêtres et autres) en PVC CCTB 01.02</w:t>
      </w:r>
      <w:bookmarkEnd w:id="1301"/>
    </w:p>
    <w:p w14:paraId="13809113" w14:textId="77777777" w:rsidR="004B2808" w:rsidRDefault="00000000">
      <w:pPr>
        <w:pStyle w:val="Author-eSectionHeading5Numberless"/>
      </w:pPr>
      <w:bookmarkStart w:id="1302" w:name="_Toc220491420"/>
      <w:r>
        <w:t>55.61.8 Tablettes (de fenêtres et autres) en matériaux mixtes CCTB 01.02</w:t>
      </w:r>
      <w:bookmarkEnd w:id="1302"/>
    </w:p>
    <w:p w14:paraId="464A4405" w14:textId="77777777" w:rsidR="004B2808" w:rsidRDefault="00000000">
      <w:pPr>
        <w:pStyle w:val="Author-eSectionHeading6Numberless"/>
      </w:pPr>
      <w:bookmarkStart w:id="1303" w:name="_Toc220491421"/>
      <w:r>
        <w:t>55.61.8a Tablettes (de fenêtres et autres) en panneaux sandwich CCTB 01.02</w:t>
      </w:r>
      <w:bookmarkEnd w:id="1303"/>
    </w:p>
    <w:p w14:paraId="2A203D8C" w14:textId="77777777" w:rsidR="004B2808" w:rsidRDefault="00000000">
      <w:pPr>
        <w:pStyle w:val="Author-eSectionHeading4Numberless"/>
      </w:pPr>
      <w:bookmarkStart w:id="1304" w:name="_Toc220491422"/>
      <w:r>
        <w:t>55.62 Quincaillerie complémentaire ou particulière CCTB 01.10</w:t>
      </w:r>
      <w:bookmarkEnd w:id="1304"/>
    </w:p>
    <w:p w14:paraId="31E5F382" w14:textId="77777777" w:rsidR="004B2808" w:rsidRDefault="00000000">
      <w:pPr>
        <w:pStyle w:val="pheading"/>
      </w:pPr>
      <w:bookmarkStart w:id="1305" w:name="1316"/>
      <w:bookmarkEnd w:id="1305"/>
      <w:r>
        <w:t>DESCRIPTION</w:t>
      </w:r>
    </w:p>
    <w:p w14:paraId="5DBB9F49" w14:textId="77777777" w:rsidR="004B2808" w:rsidRDefault="00000000">
      <w:pPr>
        <w:pStyle w:val="pheading"/>
      </w:pPr>
      <w:r>
        <w:t>- Définition / Comprend</w:t>
      </w:r>
    </w:p>
    <w:p w14:paraId="01DAA44A" w14:textId="77777777" w:rsidR="004B2808" w:rsidRDefault="00000000">
      <w:pPr>
        <w:jc w:val="both"/>
      </w:pPr>
      <w:r>
        <w:t>Ce sous-titre comprend la fourniture (hors matériaux récupérés du même site) et la pose de tous les éléments nécessaires de quincaillerie , c'est-à-dire tous les organes de commande, d'équilibrage, de suspension, de fermeture et de verrouillage, …</w:t>
      </w:r>
    </w:p>
    <w:p w14:paraId="3BDD6C85" w14:textId="77777777" w:rsidR="004B2808" w:rsidRDefault="00000000">
      <w:pPr>
        <w:jc w:val="both"/>
      </w:pPr>
      <w:r>
        <w:t>Conformément aux prescriptions dans le cahier spécial des charges, toutes les portes intérieures sont d'office équipées de trois paumelles, d'une serrure à gorges (y compris deux clés par serrure), de poignées de porte avec les rosaces correspondantes.</w:t>
      </w:r>
    </w:p>
    <w:p w14:paraId="389908A7" w14:textId="77777777" w:rsidR="004B2808" w:rsidRDefault="00000000">
      <w:pPr>
        <w:jc w:val="both"/>
      </w:pPr>
      <w:r>
        <w:t>Ce sous-titre comprend également la fourniture et la pose, y compris tous les moyens de fixation et/ou de liaison, ainsi que tous les réglages au niveau de la menuiserie.</w:t>
      </w:r>
    </w:p>
    <w:p w14:paraId="61EDD372" w14:textId="77777777" w:rsidR="004B2808" w:rsidRDefault="00000000">
      <w:pPr>
        <w:pStyle w:val="pheading"/>
      </w:pPr>
      <w:r>
        <w:t>MATÉRIAUX</w:t>
      </w:r>
    </w:p>
    <w:p w14:paraId="7BD5A203" w14:textId="77777777" w:rsidR="004B2808" w:rsidRDefault="00000000">
      <w:pPr>
        <w:jc w:val="both"/>
      </w:pPr>
      <w:r>
        <w:t>La quincaillerie permet l'ouverture dans le sens prescrit. On utilise des paumelles, charnières, crapaudines, dispositifs de fermeture et de blocage. Ces éléments sont fabriqués en matériaux adaptés à la fonction qu'ils doivent remplir et sont compatibles avec le matériau des profilés. Dans le cas de profilés en métal, ils sont efficacement protégés afin d'éviter les couples électrolytiques. Tous les accessoires de fixation et autres goupilles, vis, etc. sont en acier inoxydable.</w:t>
      </w:r>
    </w:p>
    <w:p w14:paraId="4DB558FB" w14:textId="77777777" w:rsidR="004B2808" w:rsidRDefault="00000000">
      <w:pPr>
        <w:jc w:val="both"/>
      </w:pPr>
      <w:r>
        <w:t>La quincaillerie est proposée par le fabricant des châssis en fonction du poids et des dimensions des portes et fenêtres. Le constructeur peut être obligé de motiver le choix de la quincaillerie.</w:t>
      </w:r>
    </w:p>
    <w:p w14:paraId="412373D1" w14:textId="77777777" w:rsidR="004B2808" w:rsidRDefault="00000000">
      <w:pPr>
        <w:jc w:val="both"/>
      </w:pPr>
      <w:r>
        <w:t>Sur simple demande, les modèles de toute la quincaillerie, des poignées, rosaces, serrures et autres accessoires sont soumis pour approbation au maître d’ouvrage</w:t>
      </w:r>
    </w:p>
    <w:p w14:paraId="081F0294" w14:textId="77777777" w:rsidR="004B2808" w:rsidRDefault="00000000">
      <w:pPr>
        <w:jc w:val="both"/>
      </w:pPr>
      <w:r>
        <w:t>La quincaillerie satisfait aux dispositions des [STS 53.1] et [STS 53.2].Toute la quincaillerie a le même design et la même couleur.</w:t>
      </w:r>
    </w:p>
    <w:p w14:paraId="28B29F97" w14:textId="77777777" w:rsidR="004B2808" w:rsidRDefault="00000000">
      <w:pPr>
        <w:jc w:val="both"/>
      </w:pPr>
      <w:r>
        <w:t>Dans le cas des ensembles résistant au feu, la quincaillerie à prévoir (paumelles, serrures encastrées, etc) répond au rapport d'essai conformément à l'application et à la nature du vantail de porte.</w:t>
      </w:r>
    </w:p>
    <w:p w14:paraId="67A123B1" w14:textId="77777777" w:rsidR="004B2808" w:rsidRDefault="00000000">
      <w:pPr>
        <w:jc w:val="both"/>
      </w:pPr>
      <w:r>
        <w:t>(voir l'élément </w:t>
      </w:r>
      <w:hyperlink w:anchor="1320" w:history="1">
        <w:r w:rsidR="004B2808">
          <w:rPr>
            <w:color w:val="0000EE"/>
          </w:rPr>
          <w:t>55.2 Portes intérieures</w:t>
        </w:r>
      </w:hyperlink>
      <w:r>
        <w:t>).</w:t>
      </w:r>
    </w:p>
    <w:p w14:paraId="2BE33437" w14:textId="77777777" w:rsidR="004B2808" w:rsidRDefault="00000000">
      <w:pPr>
        <w:jc w:val="both"/>
      </w:pPr>
      <w:r>
        <w:t>Lorsque les portes sont à recouvrement, les paumelles sont adaptées à la forme de la porte.</w:t>
      </w:r>
    </w:p>
    <w:p w14:paraId="4656DF92" w14:textId="77777777" w:rsidR="004B2808" w:rsidRDefault="00000000">
      <w:pPr>
        <w:jc w:val="both"/>
      </w:pPr>
      <w:r>
        <w:t>Les clés à gorges ordinaires sont livrées avec au moins 2 clés attachées à un porte-clés sur lequel figure l'indication du local.</w:t>
      </w:r>
    </w:p>
    <w:p w14:paraId="0DCBC9B8" w14:textId="77777777" w:rsidR="004B2808" w:rsidRDefault="00000000">
      <w:pPr>
        <w:jc w:val="both"/>
      </w:pPr>
      <w:r>
        <w:t>Les portes intérieures sont d'office pourvues de simples poignées de porte à tige carrée bichromatée. Elles sont livrées avec les rosaces correspondantes et/ou avec une plaque, combinant clé et poignée, dans la même exécution.</w:t>
      </w:r>
    </w:p>
    <w:p w14:paraId="5E065DFA" w14:textId="77777777" w:rsidR="004B2808" w:rsidRDefault="00000000">
      <w:pPr>
        <w:jc w:val="both"/>
      </w:pPr>
      <w:r>
        <w:t>Le type et les modèles sont soumis préalablement à l'approbation de la direction de chantier.</w:t>
      </w:r>
    </w:p>
    <w:p w14:paraId="35501A42" w14:textId="77777777" w:rsidR="004B2808" w:rsidRDefault="00000000">
      <w:pPr>
        <w:pStyle w:val="pheading"/>
      </w:pPr>
      <w:r>
        <w:lastRenderedPageBreak/>
        <w:t>EXÉCUTION / MISE EN ŒUVRE</w:t>
      </w:r>
    </w:p>
    <w:p w14:paraId="5D0C3908" w14:textId="77777777" w:rsidR="004B2808" w:rsidRDefault="00000000">
      <w:pPr>
        <w:jc w:val="both"/>
      </w:pPr>
      <w:r>
        <w:t>La porte est suspendue au moyen des pentures prévues dans les huisseries.</w:t>
      </w:r>
    </w:p>
    <w:p w14:paraId="38F4C6B1" w14:textId="77777777" w:rsidR="004B2808" w:rsidRDefault="00000000">
      <w:pPr>
        <w:jc w:val="both"/>
      </w:pPr>
      <w:r>
        <w:t>On pose au moins 3 paumelles par feuille de porte. Les charnières supérieure et inférieure se situent à ± 25 cm respectivement du haut et du bas du vantail. La troisième charnière est placée au centre. Les vantaux de porte massifs sont posés avec au moins quatre charnières dont deux sont rapprochées dans le haut. Si le poids de la porte est supérieur à 20 kg, l'entrepreneur vérifie les spécifications du fabricant de paumelles.  Les spécifications sont conformes à la norme [NBN EN 1935]. </w:t>
      </w:r>
    </w:p>
    <w:p w14:paraId="21774586" w14:textId="77777777" w:rsidR="004B2808" w:rsidRDefault="00000000">
      <w:pPr>
        <w:jc w:val="both"/>
      </w:pPr>
      <w:r>
        <w:t>Chaque charnière est fixée avec au moins 3 vis par aile de charnière.</w:t>
      </w:r>
    </w:p>
    <w:p w14:paraId="77B2FB9F" w14:textId="77777777" w:rsidR="004B2808" w:rsidRDefault="00000000">
      <w:pPr>
        <w:jc w:val="both"/>
      </w:pPr>
      <w:r>
        <w:t>La quincaillerie est principalement encastrée mais reste facilement remplaçable.</w:t>
      </w:r>
    </w:p>
    <w:p w14:paraId="286BE9B7" w14:textId="77777777" w:rsidR="004B2808" w:rsidRDefault="00000000">
      <w:pPr>
        <w:jc w:val="both"/>
      </w:pPr>
      <w:r>
        <w:t xml:space="preserve">Les organes de fermeture sont disposés de manière telle à permettre l'actionnement ergonomique par une seule personne, les forces d'actionnement étant toujours inférieures à 200 N et la force de déplacement des vantaux de fenêtre est inférieure à </w:t>
      </w:r>
      <w:r>
        <w:rPr>
          <w:rStyle w:val="optioncarChar"/>
        </w:rPr>
        <w:t>100 N (10Nm)</w:t>
      </w:r>
      <w:r>
        <w:t xml:space="preserve"> (par défaut)</w:t>
      </w:r>
      <w:r>
        <w:rPr>
          <w:rStyle w:val="optioncarChar"/>
        </w:rPr>
        <w:t xml:space="preserve"> / 50 N (5 Nm)</w:t>
      </w:r>
      <w:r>
        <w:t>. Lorsqu'il est nécessaire de prévoir plusieurs points de fermeture, ils sont actionnés par une espagnolette à pompe qui commande des tringles cachées dans les profilés.</w:t>
      </w:r>
    </w:p>
    <w:p w14:paraId="4EF1DB22" w14:textId="77777777" w:rsidR="004B2808" w:rsidRDefault="00000000">
      <w:pPr>
        <w:pStyle w:val="pheading"/>
      </w:pPr>
      <w:r>
        <w:t>CONTRÔLES</w:t>
      </w:r>
    </w:p>
    <w:p w14:paraId="2F709666" w14:textId="77777777" w:rsidR="004B2808" w:rsidRDefault="00000000">
      <w:r>
        <w:t>Essais de performance des pentures et serrures</w:t>
      </w:r>
    </w:p>
    <w:p w14:paraId="0D4681E0" w14:textId="77777777" w:rsidR="004B2808" w:rsidRDefault="00000000">
      <w:pPr>
        <w:pStyle w:val="Author-eListParagraph"/>
        <w:numPr>
          <w:ilvl w:val="0"/>
          <w:numId w:val="1168"/>
        </w:numPr>
      </w:pPr>
      <w:r>
        <w:t>charnières - paumelles : [NBN EN 1935]</w:t>
      </w:r>
    </w:p>
    <w:p w14:paraId="64F13867" w14:textId="77777777" w:rsidR="004B2808" w:rsidRDefault="00000000">
      <w:pPr>
        <w:pStyle w:val="Author-eListParagraph"/>
        <w:numPr>
          <w:ilvl w:val="0"/>
          <w:numId w:val="1168"/>
        </w:numPr>
      </w:pPr>
      <w:r>
        <w:t>cylindres : [NBN EN 1303]</w:t>
      </w:r>
    </w:p>
    <w:p w14:paraId="150DB2F1" w14:textId="77777777" w:rsidR="004B2808" w:rsidRDefault="00000000">
      <w:pPr>
        <w:pStyle w:val="Author-eListParagraph"/>
        <w:numPr>
          <w:ilvl w:val="0"/>
          <w:numId w:val="1168"/>
        </w:numPr>
      </w:pPr>
      <w:r>
        <w:t>poignées : [NBN EN 1906]</w:t>
      </w:r>
    </w:p>
    <w:p w14:paraId="49969421" w14:textId="77777777" w:rsidR="004B2808" w:rsidRDefault="00000000">
      <w:pPr>
        <w:pStyle w:val="Author-eListParagraph"/>
        <w:numPr>
          <w:ilvl w:val="0"/>
          <w:numId w:val="1168"/>
        </w:numPr>
      </w:pPr>
      <w:r>
        <w:t>verrous : [NBN EN 1935]</w:t>
      </w:r>
    </w:p>
    <w:p w14:paraId="30BD81E4" w14:textId="77777777" w:rsidR="004B2808" w:rsidRDefault="00000000">
      <w:pPr>
        <w:pStyle w:val="pheading"/>
      </w:pPr>
      <w:r>
        <w:t>DOCUMENTS DE RÉFÉRENCE</w:t>
      </w:r>
    </w:p>
    <w:p w14:paraId="712CE1BD" w14:textId="77777777" w:rsidR="004B2808" w:rsidRDefault="00000000">
      <w:pPr>
        <w:pStyle w:val="pheading"/>
      </w:pPr>
      <w:r>
        <w:t>- Matériau</w:t>
      </w:r>
    </w:p>
    <w:p w14:paraId="61DD0EA9" w14:textId="77777777" w:rsidR="004B2808" w:rsidRDefault="00000000">
      <w:r>
        <w:t>[STS 53.1, Portes]</w:t>
      </w:r>
    </w:p>
    <w:p w14:paraId="78886519" w14:textId="77777777" w:rsidR="004B2808" w:rsidRDefault="00000000">
      <w:r>
        <w:t>[STS 53.2, Portes industrielles, commerciales et résidentielles]</w:t>
      </w:r>
    </w:p>
    <w:p w14:paraId="239B6C04" w14:textId="77777777" w:rsidR="004B2808" w:rsidRDefault="00000000">
      <w:pPr>
        <w:pStyle w:val="pheading"/>
      </w:pPr>
      <w:r>
        <w:t>- Exécution</w:t>
      </w:r>
    </w:p>
    <w:p w14:paraId="1C8B99B7" w14:textId="77777777" w:rsidR="004B2808" w:rsidRDefault="00000000">
      <w:r>
        <w:t>[NBN EN 1935, Quincaillerie pour le bâtiment - Charnières axe simple - Prescriptions et méthodes d'essai]</w:t>
      </w:r>
    </w:p>
    <w:p w14:paraId="3294C72A" w14:textId="77777777" w:rsidR="004B2808" w:rsidRDefault="00000000">
      <w:r>
        <w:t>[NBN EN 1303, Quincaillerie pour le bâtiment - Cylindres de serrures - Exigences et méthodes d'essai]</w:t>
      </w:r>
    </w:p>
    <w:p w14:paraId="10A96D41" w14:textId="77777777" w:rsidR="004B2808" w:rsidRDefault="00000000">
      <w:r>
        <w:t>[NBN EN 1906, Quincaillerie pour le bâtiment - Béquilles et boutons de porte - Exigences et méthodes d'essai]</w:t>
      </w:r>
    </w:p>
    <w:p w14:paraId="4ED105AB" w14:textId="77777777" w:rsidR="004B2808" w:rsidRDefault="00000000">
      <w:pPr>
        <w:pStyle w:val="Author-eSectionHeading5Numberless"/>
      </w:pPr>
      <w:bookmarkStart w:id="1306" w:name="_Toc220491423"/>
      <w:r>
        <w:t>55.62.1 Charnières et paumelles CCTB 01.02</w:t>
      </w:r>
      <w:bookmarkEnd w:id="1306"/>
    </w:p>
    <w:p w14:paraId="43D34DA8" w14:textId="77777777" w:rsidR="004B2808" w:rsidRDefault="00000000">
      <w:pPr>
        <w:pStyle w:val="Author-eSectionHeading6Numberless"/>
      </w:pPr>
      <w:bookmarkStart w:id="1307" w:name="1332"/>
      <w:bookmarkStart w:id="1308" w:name="_Toc220491424"/>
      <w:bookmarkEnd w:id="1307"/>
      <w:r>
        <w:t>55.62.1a Charnières et paumelles CCTB 01.10</w:t>
      </w:r>
      <w:bookmarkEnd w:id="1308"/>
    </w:p>
    <w:p w14:paraId="1C570C63" w14:textId="77777777" w:rsidR="004B2808" w:rsidRDefault="00000000">
      <w:pPr>
        <w:pStyle w:val="pheading"/>
      </w:pPr>
      <w:bookmarkStart w:id="1309" w:name="1323"/>
      <w:bookmarkEnd w:id="1309"/>
      <w:r>
        <w:t>DESCRIPTION</w:t>
      </w:r>
    </w:p>
    <w:p w14:paraId="5282EA16" w14:textId="77777777" w:rsidR="004B2808" w:rsidRDefault="00000000">
      <w:pPr>
        <w:pStyle w:val="pheading"/>
      </w:pPr>
      <w:r>
        <w:t>- Définition / Comprend</w:t>
      </w:r>
    </w:p>
    <w:p w14:paraId="035B29B5" w14:textId="77777777" w:rsidR="004B2808" w:rsidRDefault="00000000">
      <w:pPr>
        <w:jc w:val="both"/>
      </w:pPr>
      <w:r>
        <w:t>Il s’agit de la fourniture (hors matériaux récupérés du même site) et la pose de charnières et paumelles.</w:t>
      </w:r>
    </w:p>
    <w:p w14:paraId="5B5BC4D1" w14:textId="77777777" w:rsidR="004B2808" w:rsidRDefault="00000000">
      <w:pPr>
        <w:jc w:val="both"/>
      </w:pPr>
      <w:r>
        <w:t>Le travail comprend notamment :</w:t>
      </w:r>
    </w:p>
    <w:p w14:paraId="6A9A6B60" w14:textId="77777777" w:rsidR="004B2808" w:rsidRDefault="00000000">
      <w:pPr>
        <w:pStyle w:val="Author-eListParagraph"/>
        <w:numPr>
          <w:ilvl w:val="0"/>
          <w:numId w:val="1169"/>
        </w:numPr>
        <w:jc w:val="both"/>
      </w:pPr>
      <w:r>
        <w:t>la fourniture (hors matériaux récupérés du même site)</w:t>
      </w:r>
    </w:p>
    <w:p w14:paraId="41163FD4" w14:textId="77777777" w:rsidR="004B2808" w:rsidRDefault="00000000">
      <w:pPr>
        <w:pStyle w:val="Author-eListParagraph"/>
        <w:numPr>
          <w:ilvl w:val="0"/>
          <w:numId w:val="1169"/>
        </w:numPr>
        <w:jc w:val="both"/>
      </w:pPr>
      <w:r>
        <w:t>la préparation de surface, l’adaptation de la porte</w:t>
      </w:r>
    </w:p>
    <w:p w14:paraId="0D9B8ED2" w14:textId="77777777" w:rsidR="004B2808" w:rsidRDefault="00000000">
      <w:pPr>
        <w:pStyle w:val="Author-eListParagraph"/>
        <w:numPr>
          <w:ilvl w:val="0"/>
          <w:numId w:val="1169"/>
        </w:numPr>
        <w:jc w:val="both"/>
      </w:pPr>
      <w:r>
        <w:t>la pose et le réglage</w:t>
      </w:r>
    </w:p>
    <w:p w14:paraId="23C2C9DC" w14:textId="77777777" w:rsidR="004B2808" w:rsidRDefault="00000000">
      <w:pPr>
        <w:pStyle w:val="Author-eListParagraph"/>
        <w:numPr>
          <w:ilvl w:val="0"/>
          <w:numId w:val="1169"/>
        </w:numPr>
        <w:jc w:val="both"/>
      </w:pPr>
      <w:r>
        <w:t>le nettoyage de la surface</w:t>
      </w:r>
    </w:p>
    <w:p w14:paraId="02C6BFE9" w14:textId="77777777" w:rsidR="004B2808" w:rsidRDefault="00000000">
      <w:pPr>
        <w:pStyle w:val="pheading"/>
      </w:pPr>
      <w:r>
        <w:lastRenderedPageBreak/>
        <w:t>MATÉRIAUX</w:t>
      </w:r>
    </w:p>
    <w:p w14:paraId="1DBD0FF5" w14:textId="77777777" w:rsidR="004B2808" w:rsidRDefault="00000000">
      <w:pPr>
        <w:pStyle w:val="pheading"/>
      </w:pPr>
      <w:r>
        <w:t>- Caractéristiques générales</w:t>
      </w:r>
    </w:p>
    <w:p w14:paraId="7919FA54" w14:textId="77777777" w:rsidR="004B2808" w:rsidRDefault="00000000">
      <w:pPr>
        <w:jc w:val="both"/>
      </w:pPr>
      <w:r>
        <w:t xml:space="preserve">Les charnières et paumelles sont principalement constituées en : </w:t>
      </w:r>
      <w:r>
        <w:rPr>
          <w:rStyle w:val="optioncarChar"/>
        </w:rPr>
        <w:t xml:space="preserve">aluminium </w:t>
      </w:r>
      <w:r>
        <w:t>(par défaut)</w:t>
      </w:r>
      <w:r>
        <w:rPr>
          <w:rStyle w:val="optioncarChar"/>
        </w:rPr>
        <w:t xml:space="preserve"> /acier inoxydable / fer-forgé-fonte / acier bichromaté / nylon / ***</w:t>
      </w:r>
    </w:p>
    <w:p w14:paraId="74A54E91" w14:textId="77777777" w:rsidR="004B2808" w:rsidRDefault="00000000">
      <w:pPr>
        <w:ind w:left="567"/>
        <w:jc w:val="both"/>
      </w:pPr>
      <w:r>
        <w:rPr>
          <w:b/>
          <w:i/>
        </w:rPr>
        <w:t>(Soit par défaut)</w:t>
      </w:r>
    </w:p>
    <w:p w14:paraId="04C3F9CE" w14:textId="77777777" w:rsidR="004B2808" w:rsidRDefault="00000000">
      <w:pPr>
        <w:ind w:left="567"/>
        <w:jc w:val="both"/>
      </w:pPr>
      <w:r>
        <w:rPr>
          <w:rStyle w:val="soitChar"/>
          <w:u w:val="single"/>
        </w:rPr>
        <w:t>Aluminium</w:t>
      </w:r>
      <w:r>
        <w:rPr>
          <w:rStyle w:val="soitChar"/>
        </w:rPr>
        <w:t xml:space="preserve"> : paumelles en alu standard en forme de </w:t>
      </w:r>
      <w:r>
        <w:rPr>
          <w:rStyle w:val="optioncarChar"/>
        </w:rPr>
        <w:t xml:space="preserve">H </w:t>
      </w:r>
      <w:r>
        <w:t>(par défaut)</w:t>
      </w:r>
      <w:r>
        <w:rPr>
          <w:rStyle w:val="optioncarChar"/>
        </w:rPr>
        <w:t xml:space="preserve"> / ***</w:t>
      </w:r>
      <w:r>
        <w:rPr>
          <w:rStyle w:val="soitChar"/>
        </w:rPr>
        <w:t xml:space="preserve">, à bague en </w:t>
      </w:r>
      <w:r>
        <w:rPr>
          <w:rStyle w:val="optioncarChar"/>
        </w:rPr>
        <w:t xml:space="preserve">nylon </w:t>
      </w:r>
      <w:r>
        <w:t>(par défaut)</w:t>
      </w:r>
      <w:r>
        <w:rPr>
          <w:rStyle w:val="optioncarChar"/>
        </w:rPr>
        <w:t xml:space="preserve"> / ***</w:t>
      </w:r>
      <w:r>
        <w:rPr>
          <w:rStyle w:val="soitChar"/>
        </w:rPr>
        <w:t xml:space="preserve"> et nœud </w:t>
      </w:r>
      <w:r>
        <w:rPr>
          <w:rStyle w:val="optioncarChar"/>
        </w:rPr>
        <w:t xml:space="preserve">inox </w:t>
      </w:r>
      <w:r>
        <w:t>(par défaut)</w:t>
      </w:r>
      <w:r>
        <w:rPr>
          <w:rStyle w:val="optioncarChar"/>
        </w:rPr>
        <w:t xml:space="preserve"> / acier bichromaté / ***</w:t>
      </w:r>
      <w:r>
        <w:rPr>
          <w:rStyle w:val="soitChar"/>
        </w:rPr>
        <w:t>.</w:t>
      </w:r>
    </w:p>
    <w:p w14:paraId="6D530151" w14:textId="77777777" w:rsidR="004B2808" w:rsidRDefault="00000000">
      <w:pPr>
        <w:ind w:left="567"/>
        <w:jc w:val="both"/>
      </w:pPr>
      <w:r>
        <w:rPr>
          <w:b/>
          <w:i/>
        </w:rPr>
        <w:t>(Soit)</w:t>
      </w:r>
    </w:p>
    <w:p w14:paraId="24666415" w14:textId="77777777" w:rsidR="004B2808" w:rsidRDefault="00000000">
      <w:pPr>
        <w:ind w:left="567"/>
        <w:jc w:val="both"/>
      </w:pPr>
      <w:r>
        <w:rPr>
          <w:rStyle w:val="soitChar"/>
          <w:u w:val="single"/>
        </w:rPr>
        <w:t>Acier inoxydable</w:t>
      </w:r>
      <w:r>
        <w:rPr>
          <w:rStyle w:val="soitChar"/>
        </w:rPr>
        <w:t xml:space="preserve">  selon la norme [NBN EN 10088 série] et sont en </w:t>
      </w:r>
      <w:r>
        <w:rPr>
          <w:rStyle w:val="optioncarChar"/>
        </w:rPr>
        <w:t xml:space="preserve">acier austénitique au chrome nickel X5 Cr Ni 18/-10 </w:t>
      </w:r>
      <w:r>
        <w:t>(par défaut)</w:t>
      </w:r>
      <w:r>
        <w:rPr>
          <w:rStyle w:val="optioncarChar"/>
        </w:rPr>
        <w:t xml:space="preserve"> / acier inoxydable au chrome nickel molybdène X2 Cr Ni Mo 17-12-2 / acier inoxydable au chrome nickel molybdène X 5 Cr Ni Mo 17-12-2 / ***. </w:t>
      </w:r>
    </w:p>
    <w:p w14:paraId="071A4396" w14:textId="77777777" w:rsidR="004B2808" w:rsidRDefault="00000000">
      <w:pPr>
        <w:ind w:left="567"/>
        <w:jc w:val="both"/>
      </w:pPr>
      <w:r>
        <w:rPr>
          <w:b/>
        </w:rPr>
        <w:t>(</w:t>
      </w:r>
      <w:r>
        <w:rPr>
          <w:b/>
          <w:i/>
        </w:rPr>
        <w:t>Soit)</w:t>
      </w:r>
    </w:p>
    <w:p w14:paraId="159F8FB0" w14:textId="77777777" w:rsidR="004B2808" w:rsidRDefault="00000000">
      <w:pPr>
        <w:ind w:left="567"/>
        <w:jc w:val="both"/>
      </w:pPr>
      <w:r>
        <w:rPr>
          <w:rStyle w:val="soitChar"/>
          <w:u w:val="single"/>
        </w:rPr>
        <w:t>Fer forgé-fonte </w:t>
      </w:r>
      <w:r>
        <w:rPr>
          <w:rStyle w:val="soitChar"/>
        </w:rPr>
        <w:t xml:space="preserve">: paumelles en </w:t>
      </w:r>
      <w:r>
        <w:rPr>
          <w:rStyle w:val="optioncarChar"/>
        </w:rPr>
        <w:t>fer forgé</w:t>
      </w:r>
      <w:r>
        <w:t xml:space="preserve"> (par défaut)</w:t>
      </w:r>
      <w:r>
        <w:rPr>
          <w:rStyle w:val="optioncarChar"/>
        </w:rPr>
        <w:t xml:space="preserve"> / fonte / ***</w:t>
      </w:r>
      <w:r>
        <w:t> </w:t>
      </w:r>
      <w:r>
        <w:rPr>
          <w:rStyle w:val="soitChar"/>
        </w:rPr>
        <w:t xml:space="preserve">ayant un traitement antirouille, Les paumelles sont </w:t>
      </w:r>
      <w:r>
        <w:rPr>
          <w:rStyle w:val="optioncarChar"/>
        </w:rPr>
        <w:t>soigneusement entaillées </w:t>
      </w:r>
      <w:r>
        <w:t>(par défaut)</w:t>
      </w:r>
      <w:r>
        <w:rPr>
          <w:rStyle w:val="optioncarChar"/>
        </w:rPr>
        <w:t xml:space="preserve"> / ***</w:t>
      </w:r>
      <w:r>
        <w:rPr>
          <w:rStyle w:val="soitChar"/>
        </w:rPr>
        <w:t xml:space="preserve">. Les angles sont arrondis et pourvus d'une bague en </w:t>
      </w:r>
      <w:r>
        <w:rPr>
          <w:rStyle w:val="optioncarChar"/>
        </w:rPr>
        <w:t xml:space="preserve">cuivre </w:t>
      </w:r>
      <w:r>
        <w:t xml:space="preserve">(par défaut) </w:t>
      </w:r>
      <w:r>
        <w:rPr>
          <w:rStyle w:val="optioncarChar"/>
        </w:rPr>
        <w:t>/ ***</w:t>
      </w:r>
      <w:r>
        <w:rPr>
          <w:rStyle w:val="soitChar"/>
        </w:rPr>
        <w:t>.   </w:t>
      </w:r>
    </w:p>
    <w:p w14:paraId="2557FD46" w14:textId="77777777" w:rsidR="004B2808" w:rsidRDefault="00000000">
      <w:pPr>
        <w:ind w:left="567"/>
        <w:jc w:val="both"/>
      </w:pPr>
      <w:r>
        <w:rPr>
          <w:b/>
          <w:i/>
        </w:rPr>
        <w:t>(Soit)</w:t>
      </w:r>
    </w:p>
    <w:p w14:paraId="3B9C31F5" w14:textId="77777777" w:rsidR="004B2808" w:rsidRDefault="00000000">
      <w:pPr>
        <w:ind w:left="567"/>
        <w:jc w:val="both"/>
      </w:pPr>
      <w:r>
        <w:rPr>
          <w:rStyle w:val="soitChar"/>
          <w:u w:val="single"/>
        </w:rPr>
        <w:t>Acier bichromaté</w:t>
      </w:r>
    </w:p>
    <w:p w14:paraId="72356170" w14:textId="77777777" w:rsidR="004B2808" w:rsidRDefault="00000000">
      <w:pPr>
        <w:ind w:left="567"/>
        <w:jc w:val="both"/>
      </w:pPr>
      <w:r>
        <w:rPr>
          <w:b/>
          <w:i/>
        </w:rPr>
        <w:t>(Soit)</w:t>
      </w:r>
    </w:p>
    <w:p w14:paraId="04E7F2F0" w14:textId="77777777" w:rsidR="004B2808" w:rsidRDefault="00000000">
      <w:pPr>
        <w:ind w:left="567"/>
        <w:jc w:val="both"/>
      </w:pPr>
      <w:r>
        <w:rPr>
          <w:rStyle w:val="soitChar"/>
          <w:u w:val="single"/>
        </w:rPr>
        <w:t>Nylon</w:t>
      </w:r>
      <w:r>
        <w:rPr>
          <w:rStyle w:val="soitChar"/>
        </w:rPr>
        <w:t xml:space="preserve"> :  les paumelles sont colorées dans la masse avec une âme en </w:t>
      </w:r>
      <w:r>
        <w:rPr>
          <w:rStyle w:val="optioncarChar"/>
        </w:rPr>
        <w:t xml:space="preserve">acier </w:t>
      </w:r>
      <w:r>
        <w:t>(par défaut)</w:t>
      </w:r>
      <w:r>
        <w:rPr>
          <w:rStyle w:val="optioncarChar"/>
        </w:rPr>
        <w:t xml:space="preserve"> / ***</w:t>
      </w:r>
      <w:r>
        <w:rPr>
          <w:rStyle w:val="soitChar"/>
        </w:rPr>
        <w:t> de la même couleur que les profilés  </w:t>
      </w:r>
    </w:p>
    <w:p w14:paraId="515F8E5E" w14:textId="77777777" w:rsidR="004B2808" w:rsidRDefault="00000000">
      <w:pPr>
        <w:ind w:left="567"/>
        <w:jc w:val="both"/>
      </w:pPr>
      <w:r>
        <w:rPr>
          <w:b/>
          <w:i/>
        </w:rPr>
        <w:t>(Soit)</w:t>
      </w:r>
    </w:p>
    <w:p w14:paraId="59E59A4B" w14:textId="77777777" w:rsidR="004B2808" w:rsidRDefault="00000000">
      <w:pPr>
        <w:ind w:left="567"/>
        <w:jc w:val="both"/>
      </w:pPr>
      <w:r>
        <w:rPr>
          <w:rStyle w:val="optioncarChar"/>
        </w:rPr>
        <w:t>***  </w:t>
      </w:r>
    </w:p>
    <w:p w14:paraId="585D0989" w14:textId="77777777" w:rsidR="004B2808" w:rsidRDefault="004B2808">
      <w:pPr>
        <w:ind w:left="567"/>
        <w:jc w:val="both"/>
      </w:pPr>
    </w:p>
    <w:p w14:paraId="0443A1E4" w14:textId="77777777" w:rsidR="004B2808" w:rsidRDefault="00000000">
      <w:pPr>
        <w:jc w:val="both"/>
      </w:pPr>
      <w:r>
        <w:t xml:space="preserve">L'acier chromaté (simple) n'est en aucun cas autorisé. Les pivots sont en </w:t>
      </w:r>
      <w:r>
        <w:rPr>
          <w:rStyle w:val="optioncarChar"/>
        </w:rPr>
        <w:t xml:space="preserve">acier inoxydable </w:t>
      </w:r>
      <w:r>
        <w:t xml:space="preserve">(par défaut) </w:t>
      </w:r>
      <w:r>
        <w:rPr>
          <w:rStyle w:val="optioncarChar"/>
        </w:rPr>
        <w:t>/ ***</w:t>
      </w:r>
      <w:r>
        <w:t xml:space="preserve"> dans une bague de roulement en nylon.</w:t>
      </w:r>
    </w:p>
    <w:p w14:paraId="31A6687E" w14:textId="77777777" w:rsidR="004B2808" w:rsidRDefault="00000000">
      <w:pPr>
        <w:jc w:val="both"/>
      </w:pPr>
      <w:r>
        <w:t> </w:t>
      </w:r>
    </w:p>
    <w:p w14:paraId="58037A3F" w14:textId="77777777" w:rsidR="004B2808" w:rsidRDefault="00000000">
      <w:pPr>
        <w:jc w:val="both"/>
      </w:pPr>
      <w:r>
        <w:t xml:space="preserve">Les charnières et paumelles sont </w:t>
      </w:r>
      <w:r>
        <w:rPr>
          <w:rStyle w:val="optioncarChar"/>
        </w:rPr>
        <w:t>neuves</w:t>
      </w:r>
      <w:r>
        <w:t xml:space="preserve"> (par défaut)</w:t>
      </w:r>
      <w:r>
        <w:rPr>
          <w:rStyle w:val="optioncarChar"/>
        </w:rPr>
        <w:t xml:space="preserve"> / de réemploi.</w:t>
      </w:r>
    </w:p>
    <w:p w14:paraId="18759FE0" w14:textId="77777777" w:rsidR="004B2808" w:rsidRDefault="00000000">
      <w:pPr>
        <w:ind w:left="567"/>
        <w:jc w:val="both"/>
      </w:pPr>
      <w:r>
        <w:rPr>
          <w:b/>
          <w:i/>
        </w:rPr>
        <w:t>(Soit par défaut)</w:t>
      </w:r>
    </w:p>
    <w:p w14:paraId="738317CF" w14:textId="77777777" w:rsidR="004B2808" w:rsidRDefault="00000000">
      <w:pPr>
        <w:ind w:left="567"/>
        <w:jc w:val="both"/>
      </w:pPr>
      <w:r>
        <w:rPr>
          <w:rStyle w:val="soitChar"/>
          <w:u w:val="single"/>
        </w:rPr>
        <w:t>Neuves</w:t>
      </w:r>
      <w:r>
        <w:rPr>
          <w:rStyle w:val="soitChar"/>
        </w:rPr>
        <w:t> : La hauteur et le diamètre du nœud des paumelles et le nombre de nœuds des charnières sont déterminés par le fabricant des châssis en fonction du poids des parties ouvrantes.</w:t>
      </w:r>
    </w:p>
    <w:p w14:paraId="07354C53" w14:textId="77777777" w:rsidR="004B2808" w:rsidRDefault="00000000">
      <w:pPr>
        <w:ind w:left="567"/>
        <w:jc w:val="both"/>
      </w:pPr>
      <w:r>
        <w:rPr>
          <w:rStyle w:val="soitChar"/>
        </w:rPr>
        <w:t>Les charnières sont conformes à la norme [NBN EN 1935].    </w:t>
      </w:r>
    </w:p>
    <w:p w14:paraId="22BDC3D4" w14:textId="77777777" w:rsidR="004B2808" w:rsidRDefault="00000000">
      <w:pPr>
        <w:ind w:left="567"/>
        <w:jc w:val="both"/>
      </w:pPr>
      <w:r>
        <w:rPr>
          <w:b/>
          <w:i/>
        </w:rPr>
        <w:t>(Soit)</w:t>
      </w:r>
    </w:p>
    <w:p w14:paraId="650E4DEA" w14:textId="77777777" w:rsidR="004B2808" w:rsidRDefault="00000000">
      <w:pPr>
        <w:ind w:left="567"/>
        <w:jc w:val="both"/>
      </w:pPr>
      <w:r>
        <w:rPr>
          <w:rStyle w:val="soitChar"/>
          <w:u w:val="single"/>
        </w:rPr>
        <w:t>Réemploi </w:t>
      </w:r>
      <w:r>
        <w:rPr>
          <w:rStyle w:val="soitChar"/>
        </w:rPr>
        <w:t>: il s’agit de charnières et paumelles de réemploi comme alternative aux éléments neufs.</w:t>
      </w:r>
    </w:p>
    <w:p w14:paraId="70D00929" w14:textId="77777777" w:rsidR="004B2808" w:rsidRDefault="00000000">
      <w:pPr>
        <w:ind w:left="567"/>
        <w:jc w:val="both"/>
      </w:pPr>
      <w:r>
        <w:rPr>
          <w:rStyle w:val="soitChar"/>
        </w:rPr>
        <w:t>Les références, fiches et déclarations d’aptitude à l’utilisation décrite au chapitre 02.42.1 Critères d'acceptabilité déposés dans le cadre du chantier initial sont soumis à l’analyse du maitre d’ouvrage avant validation</w:t>
      </w:r>
    </w:p>
    <w:p w14:paraId="77FC4D19" w14:textId="77777777" w:rsidR="004B2808" w:rsidRDefault="00000000">
      <w:pPr>
        <w:ind w:left="567"/>
        <w:jc w:val="both"/>
      </w:pPr>
      <w:r>
        <w:rPr>
          <w:rStyle w:val="soitChar"/>
        </w:rPr>
        <w:t>Les charnières et paumelles de réemploi sont nettoyées et graissées avant mise en œuvre.</w:t>
      </w:r>
    </w:p>
    <w:p w14:paraId="2526A4CE" w14:textId="77777777" w:rsidR="004B2808" w:rsidRDefault="004B2808"/>
    <w:p w14:paraId="568D3BE4" w14:textId="77777777" w:rsidR="004B2808" w:rsidRDefault="00000000">
      <w:pPr>
        <w:jc w:val="both"/>
      </w:pPr>
      <w:r>
        <w:t xml:space="preserve">Pour les charnières et paumelles de réemploi, il s’agit </w:t>
      </w:r>
      <w:r>
        <w:rPr>
          <w:rStyle w:val="optioncarChar"/>
        </w:rPr>
        <w:t xml:space="preserve">de la fourniture et de la pose </w:t>
      </w:r>
      <w:r>
        <w:t>(par défaut)</w:t>
      </w:r>
      <w:r>
        <w:rPr>
          <w:rStyle w:val="optioncarChar"/>
        </w:rPr>
        <w:t xml:space="preserve"> / uniquement de la pose.  </w:t>
      </w:r>
    </w:p>
    <w:p w14:paraId="033F777E" w14:textId="77777777" w:rsidR="004B2808" w:rsidRDefault="00000000">
      <w:pPr>
        <w:ind w:left="567"/>
        <w:jc w:val="both"/>
      </w:pPr>
      <w:r>
        <w:rPr>
          <w:b/>
          <w:i/>
        </w:rPr>
        <w:t>(Soit par défaut)</w:t>
      </w:r>
    </w:p>
    <w:p w14:paraId="34D7D233" w14:textId="77777777" w:rsidR="004B2808" w:rsidRDefault="00000000">
      <w:pPr>
        <w:ind w:left="567"/>
        <w:jc w:val="both"/>
      </w:pPr>
      <w:r>
        <w:rPr>
          <w:rStyle w:val="soitChar"/>
          <w:u w:val="single"/>
        </w:rPr>
        <w:t>Fourniture et pose</w:t>
      </w:r>
      <w:r>
        <w:rPr>
          <w:rStyle w:val="soitChar"/>
        </w:rPr>
        <w:t> : Les charnières et paumelles sont fournies par l’entreprise.</w:t>
      </w:r>
    </w:p>
    <w:p w14:paraId="56A7B590" w14:textId="77777777" w:rsidR="004B2808" w:rsidRDefault="00000000">
      <w:pPr>
        <w:ind w:left="567"/>
        <w:jc w:val="both"/>
      </w:pPr>
      <w:r>
        <w:rPr>
          <w:b/>
          <w:i/>
        </w:rPr>
        <w:lastRenderedPageBreak/>
        <w:t>(Soit)</w:t>
      </w:r>
    </w:p>
    <w:p w14:paraId="7AED2748" w14:textId="77777777" w:rsidR="004B2808" w:rsidRDefault="00000000">
      <w:pPr>
        <w:ind w:left="567"/>
        <w:jc w:val="both"/>
      </w:pPr>
      <w:r>
        <w:rPr>
          <w:rStyle w:val="soitChar"/>
          <w:u w:val="single"/>
        </w:rPr>
        <w:t>Pose </w:t>
      </w:r>
      <w:r>
        <w:rPr>
          <w:rStyle w:val="soitChar"/>
        </w:rPr>
        <w:t>: Les charnières et paumelles sont fournies par le maitre d’ouvrage. Dans le cas d’un démontage sur chantier pour réutilisation du matériau, se référer aux éléments du 06.44.4 Démontages de menuiseries et vitrages intérieurs, 06.44.4b Démontages des portes et huisseries intérieures, 06.54.4 Démontages de menuiseries et vitrages intérieurs, 06.54.4b Démontages des portes et huisseries intérieures</w:t>
      </w:r>
    </w:p>
    <w:p w14:paraId="7708EA6A" w14:textId="77777777" w:rsidR="004B2808" w:rsidRDefault="00000000">
      <w:pPr>
        <w:pStyle w:val="pheading"/>
      </w:pPr>
      <w:r>
        <w:t>- Finitions</w:t>
      </w:r>
    </w:p>
    <w:p w14:paraId="2C15EF0D" w14:textId="77777777" w:rsidR="004B2808" w:rsidRDefault="00000000">
      <w:r>
        <w:t xml:space="preserve">La finition est </w:t>
      </w:r>
      <w:r>
        <w:rPr>
          <w:rStyle w:val="optioncarChar"/>
        </w:rPr>
        <w:t xml:space="preserve">anodisée </w:t>
      </w:r>
      <w:r>
        <w:t xml:space="preserve">(par défaut) </w:t>
      </w:r>
      <w:r>
        <w:rPr>
          <w:rStyle w:val="optioncarChar"/>
        </w:rPr>
        <w:t>/ aluminium brossé / laqué RAL n° ***  / ***.</w:t>
      </w:r>
    </w:p>
    <w:p w14:paraId="60809A04" w14:textId="77777777" w:rsidR="004B2808" w:rsidRDefault="00000000">
      <w:pPr>
        <w:pStyle w:val="pheading"/>
      </w:pPr>
      <w:r>
        <w:t>EXÉCUTION / MISE EN ŒUVRE</w:t>
      </w:r>
    </w:p>
    <w:p w14:paraId="40A1728E" w14:textId="77777777" w:rsidR="004B2808" w:rsidRDefault="00000000">
      <w:pPr>
        <w:pStyle w:val="pheading"/>
      </w:pPr>
      <w:r>
        <w:t>- Prescriptions générales</w:t>
      </w:r>
    </w:p>
    <w:p w14:paraId="0CB48908" w14:textId="77777777" w:rsidR="004B2808" w:rsidRDefault="00000000">
      <w:pPr>
        <w:jc w:val="both"/>
      </w:pPr>
      <w:r>
        <w:t>En fonction de la hauteur des portes, on place au moins le nombre suivant de charnières :</w:t>
      </w:r>
    </w:p>
    <w:p w14:paraId="04F9AA69" w14:textId="77777777" w:rsidR="004B2808" w:rsidRDefault="00000000">
      <w:pPr>
        <w:pStyle w:val="Author-eListParagraph"/>
        <w:numPr>
          <w:ilvl w:val="0"/>
          <w:numId w:val="1170"/>
        </w:numPr>
        <w:jc w:val="both"/>
      </w:pPr>
      <w:r>
        <w:t>hauteur de 50 à 120 cm : minimum 2 charnières</w:t>
      </w:r>
    </w:p>
    <w:p w14:paraId="790B41F4" w14:textId="77777777" w:rsidR="004B2808" w:rsidRDefault="00000000">
      <w:pPr>
        <w:pStyle w:val="Author-eListParagraph"/>
        <w:numPr>
          <w:ilvl w:val="0"/>
          <w:numId w:val="1170"/>
        </w:numPr>
        <w:jc w:val="both"/>
      </w:pPr>
      <w:r>
        <w:t>hauteur de 120 à 180 cm : minimum 3 charnières</w:t>
      </w:r>
    </w:p>
    <w:p w14:paraId="3FEE163E" w14:textId="77777777" w:rsidR="004B2808" w:rsidRDefault="00000000">
      <w:pPr>
        <w:pStyle w:val="Author-eListParagraph"/>
        <w:numPr>
          <w:ilvl w:val="0"/>
          <w:numId w:val="1170"/>
        </w:numPr>
        <w:jc w:val="both"/>
      </w:pPr>
      <w:r>
        <w:t>hauteur de 180 à 220 cm : minimum 4 charnières</w:t>
      </w:r>
    </w:p>
    <w:p w14:paraId="2BD811E1" w14:textId="77777777" w:rsidR="004B2808" w:rsidRDefault="00000000">
      <w:pPr>
        <w:pStyle w:val="pheading"/>
      </w:pPr>
      <w:r>
        <w:t>DOCUMENTS DE RÉFÉRENCE COMPLÉMENTAIRES</w:t>
      </w:r>
    </w:p>
    <w:p w14:paraId="1B32B7E9" w14:textId="77777777" w:rsidR="004B2808" w:rsidRDefault="00000000">
      <w:pPr>
        <w:pStyle w:val="pheading"/>
      </w:pPr>
      <w:r>
        <w:t>- Matériau</w:t>
      </w:r>
    </w:p>
    <w:p w14:paraId="03C630F4" w14:textId="77777777" w:rsidR="004B2808" w:rsidRDefault="00000000">
      <w:r>
        <w:t>[NBN EN 1935, Quincaillerie pour le bâtiment - Charnières axe simple - Prescriptions et méthodes d'essai]   </w:t>
      </w:r>
    </w:p>
    <w:p w14:paraId="6550A2CE" w14:textId="77777777" w:rsidR="004B2808" w:rsidRDefault="00000000">
      <w:pPr>
        <w:pStyle w:val="pheading"/>
      </w:pPr>
      <w:r>
        <w:t>MESURAGE</w:t>
      </w:r>
    </w:p>
    <w:p w14:paraId="6182B271" w14:textId="77777777" w:rsidR="004B2808" w:rsidRDefault="00000000">
      <w:pPr>
        <w:pStyle w:val="pheading"/>
      </w:pPr>
      <w:r>
        <w:t>- unité de mesure:</w:t>
      </w:r>
    </w:p>
    <w:p w14:paraId="6E0491AF" w14:textId="77777777" w:rsidR="004B2808" w:rsidRDefault="00000000">
      <w:r>
        <w:rPr>
          <w:rStyle w:val="optioncarChar"/>
        </w:rPr>
        <w:t xml:space="preserve">- </w:t>
      </w:r>
      <w:r>
        <w:t xml:space="preserve">(par défaut) </w:t>
      </w:r>
      <w:r>
        <w:rPr>
          <w:rStyle w:val="optioncarChar"/>
        </w:rPr>
        <w:t>/ pc</w:t>
      </w:r>
    </w:p>
    <w:p w14:paraId="4055D159" w14:textId="77777777" w:rsidR="004B2808" w:rsidRDefault="00000000">
      <w:r>
        <w:rPr>
          <w:b/>
          <w:i/>
        </w:rPr>
        <w:t>(Soit par défaut)</w:t>
      </w:r>
    </w:p>
    <w:p w14:paraId="374D1707" w14:textId="77777777" w:rsidR="004B2808" w:rsidRDefault="00000000">
      <w:r>
        <w:rPr>
          <w:rStyle w:val="soitChar"/>
        </w:rPr>
        <w:t>1. -</w:t>
      </w:r>
    </w:p>
    <w:p w14:paraId="23793D43" w14:textId="77777777" w:rsidR="004B2808" w:rsidRDefault="00000000">
      <w:r>
        <w:rPr>
          <w:b/>
          <w:i/>
        </w:rPr>
        <w:t>(Soit)</w:t>
      </w:r>
    </w:p>
    <w:p w14:paraId="7D300562" w14:textId="77777777" w:rsidR="004B2808" w:rsidRDefault="00000000">
      <w:r>
        <w:rPr>
          <w:rStyle w:val="soitChar"/>
        </w:rPr>
        <w:t>2. 3 pc</w:t>
      </w:r>
    </w:p>
    <w:p w14:paraId="364B7CD5" w14:textId="77777777" w:rsidR="004B2808" w:rsidRDefault="00000000">
      <w:pPr>
        <w:pStyle w:val="pheading"/>
      </w:pPr>
      <w:r>
        <w:t>- code de mesurage:</w:t>
      </w:r>
    </w:p>
    <w:p w14:paraId="0900D784" w14:textId="77777777" w:rsidR="004B2808" w:rsidRDefault="00000000">
      <w:pPr>
        <w:jc w:val="both"/>
      </w:pPr>
      <w:r>
        <w:t>Sauf indications spécifique contraire dans le cahier spécial des charges et/ou le métré récapitulatif, exceptionnellement et moyennant mention expresse dans le cahier spécial des charges et le métré récapitulatif, la quincaillerie spéciale peut être reprise comme poste séparé (par ex. ferme-porte / barre anti-panique / serrures électriques / ...).</w:t>
      </w:r>
    </w:p>
    <w:p w14:paraId="00589828" w14:textId="77777777" w:rsidR="004B2808" w:rsidRDefault="00000000">
      <w:pPr>
        <w:jc w:val="both"/>
      </w:pPr>
      <w:r>
        <w:t>Distinction faite entre éléments neufs et de réemploi, avec ou sans fourniture pour ces derniers.</w:t>
      </w:r>
    </w:p>
    <w:p w14:paraId="61D1E8A8" w14:textId="77777777" w:rsidR="004B2808" w:rsidRDefault="004B2808">
      <w:pPr>
        <w:jc w:val="both"/>
      </w:pPr>
    </w:p>
    <w:p w14:paraId="4CD762BA" w14:textId="77777777" w:rsidR="004B2808" w:rsidRDefault="004B2808">
      <w:pPr>
        <w:jc w:val="both"/>
      </w:pPr>
    </w:p>
    <w:p w14:paraId="7DF35ECC" w14:textId="77777777" w:rsidR="004B2808" w:rsidRDefault="00000000">
      <w:pPr>
        <w:jc w:val="both"/>
      </w:pPr>
      <w:r>
        <w:rPr>
          <w:rStyle w:val="optioncarChar"/>
        </w:rPr>
        <w:t xml:space="preserve">Compris </w:t>
      </w:r>
      <w:r>
        <w:t>(par défaut)</w:t>
      </w:r>
      <w:r>
        <w:rPr>
          <w:rStyle w:val="optioncarChar"/>
        </w:rPr>
        <w:t xml:space="preserve"> / Quantité nette</w:t>
      </w:r>
    </w:p>
    <w:p w14:paraId="7C88A128" w14:textId="77777777" w:rsidR="004B2808" w:rsidRDefault="00000000">
      <w:pPr>
        <w:jc w:val="both"/>
      </w:pPr>
      <w:r>
        <w:rPr>
          <w:b/>
          <w:i/>
        </w:rPr>
        <w:t>(Soit par défaut)</w:t>
      </w:r>
    </w:p>
    <w:p w14:paraId="209B6ED9" w14:textId="77777777" w:rsidR="004B2808" w:rsidRDefault="00000000">
      <w:pPr>
        <w:jc w:val="both"/>
      </w:pPr>
      <w:r>
        <w:rPr>
          <w:rStyle w:val="soitChar"/>
        </w:rPr>
        <w:t xml:space="preserve">1. </w:t>
      </w:r>
      <w:r>
        <w:rPr>
          <w:rStyle w:val="soitChar"/>
          <w:u w:val="single"/>
        </w:rPr>
        <w:t>Compris :</w:t>
      </w:r>
      <w:r>
        <w:rPr>
          <w:rStyle w:val="soitChar"/>
        </w:rPr>
        <w:t xml:space="preserve"> Le prix de toute la quincaillerie est compris dans le prix unitaire de la menuiserie extérieure (profilés) dans l’/les article(s) </w:t>
      </w:r>
      <w:r>
        <w:rPr>
          <w:rStyle w:val="optioncarChar"/>
        </w:rPr>
        <w:t>***</w:t>
      </w:r>
      <w:r>
        <w:rPr>
          <w:rStyle w:val="soitChar"/>
        </w:rPr>
        <w:t>.</w:t>
      </w:r>
    </w:p>
    <w:p w14:paraId="05F8434B" w14:textId="77777777" w:rsidR="004B2808" w:rsidRDefault="00000000">
      <w:pPr>
        <w:jc w:val="both"/>
      </w:pPr>
      <w:r>
        <w:rPr>
          <w:b/>
          <w:i/>
        </w:rPr>
        <w:t>(Soit)</w:t>
      </w:r>
    </w:p>
    <w:p w14:paraId="203A3A29" w14:textId="77777777" w:rsidR="004B2808" w:rsidRDefault="00000000">
      <w:pPr>
        <w:jc w:val="both"/>
      </w:pPr>
      <w:r>
        <w:rPr>
          <w:rStyle w:val="soitChar"/>
        </w:rPr>
        <w:t>2. 3.  </w:t>
      </w:r>
      <w:r>
        <w:rPr>
          <w:rStyle w:val="soitChar"/>
          <w:u w:val="single"/>
        </w:rPr>
        <w:t>Quantité nette </w:t>
      </w:r>
    </w:p>
    <w:p w14:paraId="74D60D49" w14:textId="77777777" w:rsidR="004B2808" w:rsidRDefault="00000000">
      <w:pPr>
        <w:pStyle w:val="pheading"/>
      </w:pPr>
      <w:r>
        <w:t>- nature du marché:</w:t>
      </w:r>
    </w:p>
    <w:p w14:paraId="52C893EB" w14:textId="77777777" w:rsidR="004B2808" w:rsidRDefault="00000000">
      <w:r>
        <w:rPr>
          <w:rStyle w:val="optioncarChar"/>
        </w:rPr>
        <w:t>PM</w:t>
      </w:r>
      <w:r>
        <w:t xml:space="preserve"> (par défaut) </w:t>
      </w:r>
      <w:r>
        <w:rPr>
          <w:rStyle w:val="optioncarChar"/>
        </w:rPr>
        <w:t>/ QF / QP</w:t>
      </w:r>
    </w:p>
    <w:p w14:paraId="73DF7583" w14:textId="77777777" w:rsidR="004B2808" w:rsidRDefault="00000000">
      <w:r>
        <w:rPr>
          <w:b/>
          <w:i/>
        </w:rPr>
        <w:t>(Soit par défaut)</w:t>
      </w:r>
    </w:p>
    <w:p w14:paraId="5EAC05F1" w14:textId="77777777" w:rsidR="004B2808" w:rsidRDefault="00000000">
      <w:r>
        <w:rPr>
          <w:rStyle w:val="soitChar"/>
        </w:rPr>
        <w:lastRenderedPageBreak/>
        <w:t>1. PM</w:t>
      </w:r>
    </w:p>
    <w:p w14:paraId="086CE95D" w14:textId="77777777" w:rsidR="004B2808" w:rsidRDefault="00000000">
      <w:r>
        <w:rPr>
          <w:b/>
          <w:i/>
        </w:rPr>
        <w:t>(Soit)</w:t>
      </w:r>
    </w:p>
    <w:p w14:paraId="55413D18" w14:textId="77777777" w:rsidR="004B2808" w:rsidRDefault="00000000">
      <w:r>
        <w:rPr>
          <w:rStyle w:val="soitChar"/>
        </w:rPr>
        <w:t>2. QF</w:t>
      </w:r>
    </w:p>
    <w:p w14:paraId="42D1B748" w14:textId="77777777" w:rsidR="004B2808" w:rsidRDefault="00000000">
      <w:r>
        <w:rPr>
          <w:b/>
          <w:i/>
        </w:rPr>
        <w:t>(Soit)</w:t>
      </w:r>
    </w:p>
    <w:p w14:paraId="02711EC6" w14:textId="77777777" w:rsidR="004B2808" w:rsidRDefault="00000000">
      <w:r>
        <w:rPr>
          <w:rStyle w:val="soitChar"/>
        </w:rPr>
        <w:t>3. QP</w:t>
      </w:r>
    </w:p>
    <w:p w14:paraId="48B64EB2" w14:textId="77777777" w:rsidR="004B2808" w:rsidRDefault="00000000">
      <w:pPr>
        <w:pStyle w:val="Author-eSectionHeading5Numberless"/>
      </w:pPr>
      <w:bookmarkStart w:id="1310" w:name="_Toc220491425"/>
      <w:r>
        <w:t>55.62.2 Serrures de portes CCTB 01.02</w:t>
      </w:r>
      <w:bookmarkEnd w:id="1310"/>
    </w:p>
    <w:p w14:paraId="14F5E86C" w14:textId="77777777" w:rsidR="004B2808" w:rsidRDefault="00000000">
      <w:pPr>
        <w:pStyle w:val="Author-eSectionHeading6Numberless"/>
      </w:pPr>
      <w:bookmarkStart w:id="1311" w:name="1333"/>
      <w:bookmarkStart w:id="1312" w:name="_Toc220491426"/>
      <w:bookmarkEnd w:id="1311"/>
      <w:r>
        <w:t>55.62.2a Serrures de portes CCTB 01.10</w:t>
      </w:r>
      <w:bookmarkEnd w:id="1312"/>
    </w:p>
    <w:p w14:paraId="38E234FA" w14:textId="77777777" w:rsidR="004B2808" w:rsidRDefault="00000000">
      <w:pPr>
        <w:pStyle w:val="pheading"/>
      </w:pPr>
      <w:bookmarkStart w:id="1313" w:name="1354"/>
      <w:bookmarkEnd w:id="1313"/>
      <w:r>
        <w:t>DESCRIPTION</w:t>
      </w:r>
    </w:p>
    <w:p w14:paraId="59172812" w14:textId="77777777" w:rsidR="004B2808" w:rsidRDefault="00000000">
      <w:pPr>
        <w:pStyle w:val="pheading"/>
      </w:pPr>
      <w:r>
        <w:t>- Définition / Comprend</w:t>
      </w:r>
    </w:p>
    <w:p w14:paraId="68691ECA" w14:textId="77777777" w:rsidR="004B2808" w:rsidRDefault="00000000">
      <w:pPr>
        <w:jc w:val="both"/>
      </w:pPr>
      <w:r>
        <w:t>Il s’agit de la fourniture (hors matériaux récupérés du même site) et la pose de serrures de portes.</w:t>
      </w:r>
    </w:p>
    <w:p w14:paraId="23CF2CF0" w14:textId="77777777" w:rsidR="004B2808" w:rsidRDefault="00000000">
      <w:pPr>
        <w:jc w:val="both"/>
      </w:pPr>
      <w:r>
        <w:t>Le travail comprend notamment :</w:t>
      </w:r>
    </w:p>
    <w:p w14:paraId="5DFBA8D6" w14:textId="77777777" w:rsidR="004B2808" w:rsidRDefault="00000000">
      <w:pPr>
        <w:pStyle w:val="Author-eListParagraph"/>
        <w:numPr>
          <w:ilvl w:val="0"/>
          <w:numId w:val="1171"/>
        </w:numPr>
        <w:jc w:val="both"/>
      </w:pPr>
      <w:r>
        <w:t>la fourniture (hors matériaux récupérés du même site)</w:t>
      </w:r>
    </w:p>
    <w:p w14:paraId="1A88F5AF" w14:textId="77777777" w:rsidR="004B2808" w:rsidRDefault="00000000">
      <w:pPr>
        <w:pStyle w:val="Author-eListParagraph"/>
        <w:numPr>
          <w:ilvl w:val="0"/>
          <w:numId w:val="1171"/>
        </w:numPr>
        <w:jc w:val="both"/>
      </w:pPr>
      <w:r>
        <w:t>la préparation de surface, l’adaptation de la porte</w:t>
      </w:r>
    </w:p>
    <w:p w14:paraId="1345E92F" w14:textId="77777777" w:rsidR="004B2808" w:rsidRDefault="00000000">
      <w:pPr>
        <w:pStyle w:val="Author-eListParagraph"/>
        <w:numPr>
          <w:ilvl w:val="0"/>
          <w:numId w:val="1171"/>
        </w:numPr>
        <w:jc w:val="both"/>
      </w:pPr>
      <w:r>
        <w:t>la pose et le réglage</w:t>
      </w:r>
    </w:p>
    <w:p w14:paraId="7C0F62CC" w14:textId="77777777" w:rsidR="004B2808" w:rsidRDefault="00000000">
      <w:pPr>
        <w:pStyle w:val="Author-eListParagraph"/>
        <w:numPr>
          <w:ilvl w:val="0"/>
          <w:numId w:val="1171"/>
        </w:numPr>
        <w:jc w:val="both"/>
      </w:pPr>
      <w:r>
        <w:t>le nettoyage de la surface</w:t>
      </w:r>
    </w:p>
    <w:p w14:paraId="754E2B2F" w14:textId="77777777" w:rsidR="004B2808" w:rsidRDefault="00000000">
      <w:pPr>
        <w:pStyle w:val="pheading"/>
      </w:pPr>
      <w:r>
        <w:t>MATÉRIAUX</w:t>
      </w:r>
    </w:p>
    <w:p w14:paraId="52DBACAC" w14:textId="77777777" w:rsidR="004B2808" w:rsidRDefault="00000000">
      <w:pPr>
        <w:pStyle w:val="pheading"/>
      </w:pPr>
      <w:r>
        <w:t>- Caractéristiques générales</w:t>
      </w:r>
    </w:p>
    <w:p w14:paraId="507C3367" w14:textId="77777777" w:rsidR="004B2808" w:rsidRDefault="00000000">
      <w:pPr>
        <w:pStyle w:val="Author-eListParagraph"/>
        <w:numPr>
          <w:ilvl w:val="0"/>
          <w:numId w:val="1172"/>
        </w:numPr>
      </w:pPr>
      <w:r>
        <w:t>Les serrures pour les portes des toilettes et des salles de bains disposent d'une garniture </w:t>
      </w:r>
      <w:r>
        <w:rPr>
          <w:rStyle w:val="optioncarChar"/>
        </w:rPr>
        <w:t xml:space="preserve"> libre </w:t>
      </w:r>
      <w:r>
        <w:t>(par défaut)</w:t>
      </w:r>
      <w:r>
        <w:rPr>
          <w:rStyle w:val="optioncarChar"/>
        </w:rPr>
        <w:t xml:space="preserve"> / occupé / ***</w:t>
      </w:r>
      <w:r>
        <w:t>.  La porte se ferme avec une poignée ordinaire (identique à celles des autres portes intérieures). Dans le cas où un dispositif de garniture est mis en place, le voyant "libre-occupé" dans la rosace est pourvu d'une rainure qui permet d'ouvrir la porte de l'extérieur en cas de nécessité.</w:t>
      </w:r>
    </w:p>
    <w:p w14:paraId="47CCC5FE" w14:textId="77777777" w:rsidR="004B2808" w:rsidRDefault="00000000">
      <w:pPr>
        <w:pStyle w:val="Author-eListParagraph"/>
        <w:numPr>
          <w:ilvl w:val="0"/>
          <w:numId w:val="1172"/>
        </w:numPr>
      </w:pPr>
      <w:r>
        <w:t>Les portes suivantes sont équipées d'une serrure </w:t>
      </w:r>
      <w:r>
        <w:rPr>
          <w:rStyle w:val="optioncarChar"/>
        </w:rPr>
        <w:t xml:space="preserve">à pêne lançant </w:t>
      </w:r>
      <w:r>
        <w:t>(par défaut)</w:t>
      </w:r>
      <w:r>
        <w:rPr>
          <w:rStyle w:val="optioncarChar"/>
        </w:rPr>
        <w:t xml:space="preserve"> / à rouleaux / à balancier / ***</w:t>
      </w:r>
      <w:r>
        <w:t>.</w:t>
      </w:r>
    </w:p>
    <w:p w14:paraId="15D4775E" w14:textId="77777777" w:rsidR="004B2808" w:rsidRDefault="00000000">
      <w:pPr>
        <w:pStyle w:val="Author-eListParagraph"/>
        <w:numPr>
          <w:ilvl w:val="0"/>
          <w:numId w:val="1172"/>
        </w:numPr>
      </w:pPr>
      <w:r>
        <w:t>Les serrures des portes intérieures sont des serrures à gorges.</w:t>
      </w:r>
    </w:p>
    <w:p w14:paraId="12F41FAD" w14:textId="77777777" w:rsidR="004B2808" w:rsidRDefault="00000000">
      <w:pPr>
        <w:pStyle w:val="Author-eListParagraph"/>
        <w:numPr>
          <w:ilvl w:val="0"/>
          <w:numId w:val="1172"/>
        </w:numPr>
      </w:pPr>
      <w:r>
        <w:t xml:space="preserve">Les serrures des portes d'entrée des appartements (intérieur) sont des serrures </w:t>
      </w:r>
      <w:r>
        <w:rPr>
          <w:rStyle w:val="optioncarChar"/>
        </w:rPr>
        <w:t xml:space="preserve">sécurité à cylindre </w:t>
      </w:r>
      <w:r>
        <w:t>(par défaut)</w:t>
      </w:r>
      <w:r>
        <w:rPr>
          <w:rStyle w:val="optioncarChar"/>
        </w:rPr>
        <w:t xml:space="preserve"> / ***</w:t>
      </w:r>
      <w:r>
        <w:t>.</w:t>
      </w:r>
      <w:r>
        <w:br/>
      </w:r>
    </w:p>
    <w:p w14:paraId="3A6FF11C" w14:textId="77777777" w:rsidR="004B2808" w:rsidRDefault="00000000">
      <w:r>
        <w:t>Les serrures et cylindres sont conformes à la norme [NBN EN 1303] ou [NBN EN 12209] ou [NBN EN 14846].</w:t>
      </w:r>
    </w:p>
    <w:p w14:paraId="7381A107" w14:textId="77777777" w:rsidR="004B2808" w:rsidRDefault="00000000">
      <w:pPr>
        <w:pStyle w:val="Author-eListParagraph"/>
        <w:numPr>
          <w:ilvl w:val="0"/>
          <w:numId w:val="1173"/>
        </w:numPr>
      </w:pPr>
      <w:r>
        <w:t>Gâche : </w:t>
      </w:r>
      <w:r>
        <w:rPr>
          <w:rStyle w:val="optioncarChar"/>
        </w:rPr>
        <w:t xml:space="preserve"> acier inoxydable </w:t>
      </w:r>
      <w:r>
        <w:t xml:space="preserve">(défaut) </w:t>
      </w:r>
      <w:r>
        <w:rPr>
          <w:rStyle w:val="optioncarChar"/>
        </w:rPr>
        <w:t>/ acier laqué / laiton / ***</w:t>
      </w:r>
      <w:r>
        <w:t>.</w:t>
      </w:r>
    </w:p>
    <w:p w14:paraId="4F0B6BEC" w14:textId="77777777" w:rsidR="004B2808" w:rsidRDefault="00000000">
      <w:pPr>
        <w:pStyle w:val="Author-eListParagraph"/>
        <w:numPr>
          <w:ilvl w:val="0"/>
          <w:numId w:val="1173"/>
        </w:numPr>
      </w:pPr>
      <w:r>
        <w:t>Pêne lançant : </w:t>
      </w:r>
      <w:r>
        <w:rPr>
          <w:rStyle w:val="optioncarChar"/>
        </w:rPr>
        <w:t>acier inoxydable </w:t>
      </w:r>
      <w:r>
        <w:t xml:space="preserve">(défaut) </w:t>
      </w:r>
      <w:r>
        <w:rPr>
          <w:rStyle w:val="optioncarChar"/>
        </w:rPr>
        <w:t>/ laiton / ***</w:t>
      </w:r>
      <w:r>
        <w:t>.</w:t>
      </w:r>
    </w:p>
    <w:p w14:paraId="0438299C" w14:textId="77777777" w:rsidR="004B2808" w:rsidRDefault="00000000">
      <w:pPr>
        <w:pStyle w:val="Author-eListParagraph"/>
        <w:numPr>
          <w:ilvl w:val="0"/>
          <w:numId w:val="1173"/>
        </w:numPr>
      </w:pPr>
      <w:r>
        <w:t xml:space="preserve">Pêne dormant : </w:t>
      </w:r>
      <w:r>
        <w:rPr>
          <w:rStyle w:val="optioncarChar"/>
        </w:rPr>
        <w:t xml:space="preserve">acier inoxydable </w:t>
      </w:r>
      <w:r>
        <w:t>(défaut)</w:t>
      </w:r>
      <w:r>
        <w:rPr>
          <w:rStyle w:val="optioncarChar"/>
        </w:rPr>
        <w:t xml:space="preserve"> / laiton / ***.</w:t>
      </w:r>
    </w:p>
    <w:p w14:paraId="79A0F639" w14:textId="77777777" w:rsidR="004B2808" w:rsidRDefault="00000000">
      <w:pPr>
        <w:jc w:val="both"/>
      </w:pPr>
      <w:r>
        <w:t xml:space="preserve">Les serrures sont </w:t>
      </w:r>
      <w:r>
        <w:rPr>
          <w:rStyle w:val="optioncarChar"/>
        </w:rPr>
        <w:t xml:space="preserve">neuves </w:t>
      </w:r>
      <w:r>
        <w:t>(par défaut)</w:t>
      </w:r>
      <w:r>
        <w:rPr>
          <w:rStyle w:val="optioncarChar"/>
        </w:rPr>
        <w:t xml:space="preserve"> / de réemploi</w:t>
      </w:r>
    </w:p>
    <w:p w14:paraId="2F12DD86" w14:textId="77777777" w:rsidR="004B2808" w:rsidRDefault="00000000">
      <w:pPr>
        <w:ind w:left="567"/>
        <w:jc w:val="both"/>
      </w:pPr>
      <w:r>
        <w:rPr>
          <w:b/>
          <w:i/>
        </w:rPr>
        <w:t>(Soit par défaut)</w:t>
      </w:r>
    </w:p>
    <w:p w14:paraId="01C9180E" w14:textId="77777777" w:rsidR="004B2808" w:rsidRDefault="00000000">
      <w:pPr>
        <w:ind w:left="567"/>
        <w:jc w:val="both"/>
      </w:pPr>
      <w:r>
        <w:rPr>
          <w:rStyle w:val="soitChar"/>
          <w:u w:val="single"/>
        </w:rPr>
        <w:t>Neuves :</w:t>
      </w:r>
      <w:r>
        <w:rPr>
          <w:rStyle w:val="soitChar"/>
        </w:rPr>
        <w:t xml:space="preserve"> La hauteur et l’intégration de la serrure sont déterminées par le fabricant des portes.</w:t>
      </w:r>
    </w:p>
    <w:p w14:paraId="1AAC714F" w14:textId="77777777" w:rsidR="004B2808" w:rsidRDefault="00000000">
      <w:pPr>
        <w:ind w:left="567"/>
        <w:jc w:val="both"/>
      </w:pPr>
      <w:r>
        <w:rPr>
          <w:rStyle w:val="soitChar"/>
        </w:rPr>
        <w:t>Les serrures mécaniques et gâches sont conformes aux exigences des [NBN EN 12209] et [NBN EN 1303].</w:t>
      </w:r>
    </w:p>
    <w:p w14:paraId="64839B39" w14:textId="77777777" w:rsidR="004B2808" w:rsidRDefault="00000000">
      <w:pPr>
        <w:ind w:left="567"/>
        <w:jc w:val="both"/>
      </w:pPr>
      <w:r>
        <w:rPr>
          <w:b/>
          <w:i/>
        </w:rPr>
        <w:t>(Soit)</w:t>
      </w:r>
    </w:p>
    <w:p w14:paraId="27E6BB0A" w14:textId="77777777" w:rsidR="004B2808" w:rsidRDefault="00000000">
      <w:pPr>
        <w:ind w:left="567"/>
        <w:jc w:val="both"/>
      </w:pPr>
      <w:r>
        <w:rPr>
          <w:rStyle w:val="soitChar"/>
          <w:u w:val="single"/>
        </w:rPr>
        <w:t>Réemploi :</w:t>
      </w:r>
      <w:r>
        <w:rPr>
          <w:rStyle w:val="soitChar"/>
        </w:rPr>
        <w:t xml:space="preserve"> il s’agit de serrures de réemploi comme alternative aux éléments neufs.</w:t>
      </w:r>
    </w:p>
    <w:p w14:paraId="59A24699" w14:textId="77777777" w:rsidR="004B2808" w:rsidRDefault="00000000">
      <w:pPr>
        <w:ind w:left="567"/>
        <w:jc w:val="both"/>
      </w:pPr>
      <w:r>
        <w:rPr>
          <w:rStyle w:val="soitChar"/>
        </w:rPr>
        <w:t>Les références, fiches et déclarations d’aptitude à l’utilisation décrite au chapitre 02.42.1 Critères d'acceptabilité déposés dans le cadre du chantier initial sont soumis à l’analyse du maitre d’ouvrage avant validation</w:t>
      </w:r>
    </w:p>
    <w:p w14:paraId="417B3EDD" w14:textId="77777777" w:rsidR="004B2808" w:rsidRDefault="00000000">
      <w:pPr>
        <w:ind w:left="567"/>
        <w:jc w:val="both"/>
      </w:pPr>
      <w:r>
        <w:rPr>
          <w:rStyle w:val="soitChar"/>
        </w:rPr>
        <w:t>Les serrures de réemploi sont nettoyées et graissées avant mise en œuvre</w:t>
      </w:r>
    </w:p>
    <w:p w14:paraId="3027719D" w14:textId="77777777" w:rsidR="004B2808" w:rsidRDefault="004B2808"/>
    <w:p w14:paraId="743E58E4" w14:textId="77777777" w:rsidR="004B2808" w:rsidRDefault="00000000">
      <w:pPr>
        <w:jc w:val="both"/>
      </w:pPr>
      <w:r>
        <w:t xml:space="preserve">Pour les serrures de réemploi, il s’agit </w:t>
      </w:r>
      <w:r>
        <w:rPr>
          <w:rStyle w:val="optioncarChar"/>
        </w:rPr>
        <w:t>de la fourniture et de la pose</w:t>
      </w:r>
      <w:r>
        <w:t xml:space="preserve"> (par défaut)</w:t>
      </w:r>
      <w:r>
        <w:rPr>
          <w:rStyle w:val="optioncarChar"/>
        </w:rPr>
        <w:t xml:space="preserve"> / uniquement de la pose.</w:t>
      </w:r>
      <w:r>
        <w:t xml:space="preserve">  </w:t>
      </w:r>
    </w:p>
    <w:p w14:paraId="16E52043" w14:textId="77777777" w:rsidR="004B2808" w:rsidRDefault="00000000">
      <w:pPr>
        <w:ind w:left="567"/>
        <w:jc w:val="both"/>
      </w:pPr>
      <w:r>
        <w:rPr>
          <w:b/>
          <w:i/>
        </w:rPr>
        <w:t>(Soit par défaut)</w:t>
      </w:r>
    </w:p>
    <w:p w14:paraId="6F136083" w14:textId="77777777" w:rsidR="004B2808" w:rsidRDefault="00000000">
      <w:pPr>
        <w:ind w:left="567"/>
        <w:jc w:val="both"/>
      </w:pPr>
      <w:r>
        <w:rPr>
          <w:rStyle w:val="soitChar"/>
          <w:u w:val="single"/>
        </w:rPr>
        <w:t>Fourniture et pose :</w:t>
      </w:r>
      <w:r>
        <w:rPr>
          <w:rStyle w:val="soitChar"/>
        </w:rPr>
        <w:t xml:space="preserve"> Les serrures sont fournies par l’entreprise.</w:t>
      </w:r>
    </w:p>
    <w:p w14:paraId="556A67F1" w14:textId="77777777" w:rsidR="004B2808" w:rsidRDefault="00000000">
      <w:pPr>
        <w:ind w:left="567"/>
        <w:jc w:val="both"/>
      </w:pPr>
      <w:r>
        <w:rPr>
          <w:b/>
          <w:i/>
        </w:rPr>
        <w:t>(Soit)</w:t>
      </w:r>
    </w:p>
    <w:p w14:paraId="6E22672F" w14:textId="77777777" w:rsidR="004B2808" w:rsidRDefault="00000000">
      <w:pPr>
        <w:ind w:left="567"/>
        <w:jc w:val="both"/>
      </w:pPr>
      <w:r>
        <w:rPr>
          <w:rStyle w:val="soitChar"/>
          <w:u w:val="single"/>
        </w:rPr>
        <w:t>Pose :</w:t>
      </w:r>
      <w:r>
        <w:rPr>
          <w:rStyle w:val="soitChar"/>
        </w:rPr>
        <w:t xml:space="preserve"> Les serrures sont fournies par le Maitre d’ouvrage. Dans le cas d’un démontage sur chantier pour réutilisation du matériau, se référer aux éléments du 06.44.4 Démontages de menuiseries et vitrages intérieurs, 06.44.4b Démontages des portes et huisseries intérieures, 06.54.4 Démontages de menuiseries et vitrages intérieurs, 06.54.4b Démontages des portes et huisseries intérieures</w:t>
      </w:r>
    </w:p>
    <w:p w14:paraId="38DD5FB9" w14:textId="77777777" w:rsidR="004B2808" w:rsidRDefault="004B2808"/>
    <w:p w14:paraId="1FAE1A8B" w14:textId="77777777" w:rsidR="004B2808" w:rsidRDefault="00000000">
      <w:pPr>
        <w:jc w:val="both"/>
      </w:pPr>
      <w:r>
        <w:t xml:space="preserve">Toutes les serrures sont encloisonnées dans un boîtier universel de façon que la réservation à prévoir dans la porte puisse aussi, le cas échéant, être utilisée pour d'autres applications. Les serrures conviennent aussi bien pour les portes extérieures s'ouvrant vers la gauche que vers la droite. Les boîtiers sont fabriqués en acier et sont laqués à l'intérieur comme à l'extérieur afin de les protéger contre la corrosion. Toutes les autres parties métallisées sont achevées par galvanisation ou par application d'une couche de cadmium. Toutes les fixations et assemblages sont protégés contre l'enlèvement par forage et sont pourvus de tiges anti-manipulation. Les fouillots sont à palier. Les pênes de jour et dormant sont en laiton. Les clés des cylindres actionnent aussi bien le pêne de jour que le pêne dormant. </w:t>
      </w:r>
    </w:p>
    <w:p w14:paraId="753D1445" w14:textId="77777777" w:rsidR="004B2808" w:rsidRDefault="00000000">
      <w:pPr>
        <w:jc w:val="both"/>
      </w:pPr>
      <w:r>
        <w:t>Par cylindre, on fournit toujours </w:t>
      </w:r>
      <w:r>
        <w:rPr>
          <w:rStyle w:val="optioncarChar"/>
        </w:rPr>
        <w:t>trois </w:t>
      </w:r>
      <w:r>
        <w:t>(par défaut)</w:t>
      </w:r>
      <w:r>
        <w:rPr>
          <w:rStyle w:val="optioncarChar"/>
        </w:rPr>
        <w:t xml:space="preserve"> / ***</w:t>
      </w:r>
      <w:r>
        <w:t xml:space="preserve"> clés avec bague et plaquette d'identification en matière synthétique.</w:t>
      </w:r>
    </w:p>
    <w:p w14:paraId="433F89BC" w14:textId="77777777" w:rsidR="004B2808" w:rsidRDefault="00000000">
      <w:pPr>
        <w:jc w:val="both"/>
      </w:pPr>
      <w:r>
        <w:t>En concertation avec l'administration, les serrures sont intégrées dans un plan de fermeture. Les combinaisons de clés demandées sont soumises pour approbation au plus tard trois mois avant la réception.</w:t>
      </w:r>
    </w:p>
    <w:p w14:paraId="7793D613" w14:textId="77777777" w:rsidR="004B2808" w:rsidRDefault="00000000">
      <w:pPr>
        <w:jc w:val="both"/>
      </w:pPr>
      <w:r>
        <w:t xml:space="preserve">Dans le cas d’appartements, l’organisation des gestions des serrures sont basées sur un fonctionnement en  </w:t>
      </w:r>
      <w:r>
        <w:rPr>
          <w:rStyle w:val="optioncarChar"/>
        </w:rPr>
        <w:t xml:space="preserve">ouverture centrale / passe général </w:t>
      </w:r>
      <w:r>
        <w:t>(par défaut)</w:t>
      </w:r>
      <w:r>
        <w:rPr>
          <w:rStyle w:val="optioncarChar"/>
        </w:rPr>
        <w:t xml:space="preserve"> / passe général et passes partiels / ***. </w:t>
      </w:r>
    </w:p>
    <w:p w14:paraId="7D887C80" w14:textId="77777777" w:rsidR="004B2808" w:rsidRDefault="00000000">
      <w:pPr>
        <w:ind w:left="567"/>
        <w:jc w:val="both"/>
      </w:pPr>
      <w:r>
        <w:rPr>
          <w:b/>
          <w:i/>
        </w:rPr>
        <w:t>(Soit)</w:t>
      </w:r>
    </w:p>
    <w:p w14:paraId="781D4663" w14:textId="77777777" w:rsidR="004B2808" w:rsidRDefault="00000000">
      <w:pPr>
        <w:ind w:left="567"/>
        <w:jc w:val="both"/>
      </w:pPr>
      <w:r>
        <w:rPr>
          <w:rStyle w:val="soitChar"/>
          <w:u w:val="single"/>
        </w:rPr>
        <w:t>Ouverture Centrale :</w:t>
      </w:r>
      <w:r>
        <w:rPr>
          <w:rStyle w:val="soitChar"/>
        </w:rPr>
        <w:t xml:space="preserve"> Les clés individuelles de plusieurs portes différentes ouvrent toutes une serrure  dite “centrale” : celle de l’accès à une cage d’escalier ainsi que l’accès aux parkings par exemple, sans réciprocité. Les clefs de l’ouverture centrale n’ouvrent pas les clés individuelles. Plusieurs serrures peuvent être ouvertes avec la même clé.</w:t>
      </w:r>
    </w:p>
    <w:p w14:paraId="162248F7" w14:textId="77777777" w:rsidR="004B2808" w:rsidRDefault="00000000">
      <w:pPr>
        <w:ind w:left="567"/>
        <w:jc w:val="both"/>
      </w:pPr>
      <w:r>
        <w:rPr>
          <w:b/>
          <w:i/>
        </w:rPr>
        <w:t>(Soit)</w:t>
      </w:r>
    </w:p>
    <w:p w14:paraId="3C55EF17" w14:textId="77777777" w:rsidR="004B2808" w:rsidRDefault="00000000">
      <w:pPr>
        <w:ind w:left="567"/>
        <w:jc w:val="both"/>
      </w:pPr>
      <w:r>
        <w:rPr>
          <w:rStyle w:val="soitChar"/>
          <w:u w:val="single"/>
        </w:rPr>
        <w:t>Passe Général :</w:t>
      </w:r>
      <w:r>
        <w:rPr>
          <w:rStyle w:val="soitChar"/>
        </w:rPr>
        <w:t xml:space="preserve"> Chaque serrure a ses propres clés individuelles, mais une clef de passe général peut ouvrir la totalité des portes qui figurent sur le plan de combinaison.</w:t>
      </w:r>
    </w:p>
    <w:p w14:paraId="47C22A82" w14:textId="77777777" w:rsidR="004B2808" w:rsidRDefault="00000000">
      <w:pPr>
        <w:ind w:left="567"/>
        <w:jc w:val="both"/>
      </w:pPr>
      <w:r>
        <w:rPr>
          <w:b/>
          <w:i/>
        </w:rPr>
        <w:t>(Soit)</w:t>
      </w:r>
    </w:p>
    <w:p w14:paraId="7EE59F4E" w14:textId="77777777" w:rsidR="004B2808" w:rsidRDefault="00000000">
      <w:pPr>
        <w:ind w:left="567"/>
        <w:jc w:val="both"/>
      </w:pPr>
      <w:r>
        <w:rPr>
          <w:rStyle w:val="soitChar"/>
          <w:u w:val="single"/>
        </w:rPr>
        <w:t>Passe Général et passes partiels :</w:t>
      </w:r>
      <w:r>
        <w:rPr>
          <w:rStyle w:val="soitChar"/>
        </w:rPr>
        <w:t xml:space="preserve"> Chaque serrure a ses propres clés individuelles, une clef de passe général peut ouvrir la totalité des portes qui figurent sur le plan de combinaison. Mais il existe des clés « passe partiel » qui ouvrent des groupes limités de portes du tableau de combinaison.</w:t>
      </w:r>
    </w:p>
    <w:p w14:paraId="4A1D6A9F" w14:textId="77777777" w:rsidR="004B2808" w:rsidRDefault="00000000">
      <w:pPr>
        <w:pStyle w:val="pheading"/>
      </w:pPr>
      <w:r>
        <w:t>- Finitions</w:t>
      </w:r>
    </w:p>
    <w:p w14:paraId="65903631" w14:textId="77777777" w:rsidR="004B2808" w:rsidRDefault="00000000">
      <w:r>
        <w:t>La finition est : </w:t>
      </w:r>
      <w:r>
        <w:rPr>
          <w:rStyle w:val="optioncarChar"/>
        </w:rPr>
        <w:t>anodisé </w:t>
      </w:r>
      <w:r>
        <w:t>(par défaut)</w:t>
      </w:r>
      <w:r>
        <w:rPr>
          <w:rStyle w:val="optioncarChar"/>
        </w:rPr>
        <w:t xml:space="preserve"> / aluminium brossé / laqué RAL n° ***  / ***.</w:t>
      </w:r>
    </w:p>
    <w:p w14:paraId="687BED3C" w14:textId="77777777" w:rsidR="004B2808" w:rsidRDefault="00000000">
      <w:pPr>
        <w:pStyle w:val="pheading"/>
      </w:pPr>
      <w:r>
        <w:t>- Prescriptions complémentaires</w:t>
      </w:r>
    </w:p>
    <w:p w14:paraId="7549052A" w14:textId="77777777" w:rsidR="004B2808" w:rsidRDefault="00000000">
      <w:pPr>
        <w:jc w:val="both"/>
      </w:pPr>
      <w:r>
        <w:rPr>
          <w:rStyle w:val="facultChar"/>
        </w:rPr>
        <w:t>Les portes d'entrée des appartements sont équipées de cylindres de sécurité avec une fermeture </w:t>
      </w:r>
      <w:r>
        <w:rPr>
          <w:rStyle w:val="optioncarChar"/>
        </w:rPr>
        <w:t xml:space="preserve">à trois points </w:t>
      </w:r>
      <w:r>
        <w:t>(par défaut)</w:t>
      </w:r>
      <w:r>
        <w:rPr>
          <w:rStyle w:val="optioncarChar"/>
        </w:rPr>
        <w:t xml:space="preserve"> / ***</w:t>
      </w:r>
      <w:r>
        <w:rPr>
          <w:rStyle w:val="facultChar"/>
        </w:rPr>
        <w:t xml:space="preserve">. </w:t>
      </w:r>
    </w:p>
    <w:p w14:paraId="0D580B74" w14:textId="77777777" w:rsidR="004B2808" w:rsidRDefault="00000000">
      <w:pPr>
        <w:jc w:val="both"/>
      </w:pPr>
      <w:r>
        <w:rPr>
          <w:rStyle w:val="facultChar"/>
        </w:rPr>
        <w:lastRenderedPageBreak/>
        <w:t>Une combinaison de clés est prévue et se compose de </w:t>
      </w:r>
      <w:r>
        <w:rPr>
          <w:rStyle w:val="optioncarChar"/>
        </w:rPr>
        <w:t>***</w:t>
      </w:r>
      <w:r>
        <w:rPr>
          <w:rStyle w:val="facultChar"/>
        </w:rPr>
        <w:t>.</w:t>
      </w:r>
    </w:p>
    <w:p w14:paraId="05BC29E6" w14:textId="77777777" w:rsidR="004B2808" w:rsidRDefault="00000000">
      <w:pPr>
        <w:pStyle w:val="pheading"/>
      </w:pPr>
      <w:r>
        <w:t>EXÉCUTION / MISE EN ŒUVRE</w:t>
      </w:r>
    </w:p>
    <w:p w14:paraId="1EA01E58" w14:textId="77777777" w:rsidR="004B2808" w:rsidRDefault="00000000">
      <w:pPr>
        <w:pStyle w:val="pheading"/>
      </w:pPr>
      <w:r>
        <w:t>- Prescriptions générales</w:t>
      </w:r>
    </w:p>
    <w:p w14:paraId="7FB8DBE0" w14:textId="77777777" w:rsidR="004B2808" w:rsidRDefault="00000000">
      <w:pPr>
        <w:jc w:val="both"/>
      </w:pPr>
      <w:r>
        <w:t>Portes résistant au feu : lorsque les serrures sont placées par le menuisier, il y a lieu d’incorporer préalablement le produit moussant livré dans l’ouverture de mortaise. Les serrures des portes résistantes au feu sont posées selon la [NIT 234] pour les portes retardatrice d’extraction, les serrures  sont conformes à la [NIT 206].</w:t>
      </w:r>
    </w:p>
    <w:p w14:paraId="71D80C45" w14:textId="77777777" w:rsidR="004B2808" w:rsidRDefault="00000000">
      <w:pPr>
        <w:pStyle w:val="pheading"/>
      </w:pPr>
      <w:r>
        <w:t>DOCUMENTS DE RÉFÉRENCE COMPLÉMENTAIRES</w:t>
      </w:r>
    </w:p>
    <w:p w14:paraId="085BA27D" w14:textId="77777777" w:rsidR="004B2808" w:rsidRDefault="00000000">
      <w:pPr>
        <w:pStyle w:val="pheading"/>
      </w:pPr>
      <w:r>
        <w:t>- Matériau</w:t>
      </w:r>
    </w:p>
    <w:p w14:paraId="3E754CC8" w14:textId="77777777" w:rsidR="004B2808" w:rsidRDefault="00000000">
      <w:r>
        <w:t>[NBN EN 12209, Quincaillerie pour le bâtiment - Serrures mécaniques et gâches - Exigences et méthodes d'essai]</w:t>
      </w:r>
    </w:p>
    <w:p w14:paraId="350F776A" w14:textId="77777777" w:rsidR="004B2808" w:rsidRDefault="00000000">
      <w:r>
        <w:t>[NBN EN 1303, Quincaillerie pour le bâtiment - Cylindres de serrures - Exigences et méthodes d'essai] </w:t>
      </w:r>
    </w:p>
    <w:p w14:paraId="2D64E06C" w14:textId="77777777" w:rsidR="004B2808" w:rsidRDefault="00000000">
      <w:pPr>
        <w:pStyle w:val="pheading"/>
      </w:pPr>
      <w:r>
        <w:t>- Exécution</w:t>
      </w:r>
    </w:p>
    <w:p w14:paraId="12024A95" w14:textId="77777777" w:rsidR="004B2808" w:rsidRDefault="00000000">
      <w:r>
        <w:t>[NIT 234, Le placement des portes résistant au feu (remplace la NIT 185).]</w:t>
      </w:r>
    </w:p>
    <w:p w14:paraId="7CF3E435" w14:textId="77777777" w:rsidR="004B2808" w:rsidRDefault="00000000">
      <w:r>
        <w:t xml:space="preserve">[NIT 206, </w:t>
      </w:r>
      <w:r>
        <w:tab/>
        <w:t>Protection mécanique de la menuiserie et des vitrages contre l'effraction]</w:t>
      </w:r>
    </w:p>
    <w:p w14:paraId="3386BA4B" w14:textId="77777777" w:rsidR="004B2808" w:rsidRDefault="00000000">
      <w:pPr>
        <w:pStyle w:val="pheading"/>
      </w:pPr>
      <w:r>
        <w:t>MESURAGE</w:t>
      </w:r>
    </w:p>
    <w:p w14:paraId="52A59E98" w14:textId="77777777" w:rsidR="004B2808" w:rsidRDefault="00000000">
      <w:pPr>
        <w:pStyle w:val="pheading"/>
      </w:pPr>
      <w:r>
        <w:t>- unité de mesure:</w:t>
      </w:r>
    </w:p>
    <w:p w14:paraId="36C214C5" w14:textId="77777777" w:rsidR="004B2808" w:rsidRDefault="00000000">
      <w:r>
        <w:rPr>
          <w:rStyle w:val="optioncarChar"/>
        </w:rPr>
        <w:t xml:space="preserve">- </w:t>
      </w:r>
      <w:r>
        <w:t xml:space="preserve">(par défaut) </w:t>
      </w:r>
      <w:r>
        <w:rPr>
          <w:rStyle w:val="optioncarChar"/>
        </w:rPr>
        <w:t>/ pc</w:t>
      </w:r>
    </w:p>
    <w:p w14:paraId="4EA3A474" w14:textId="77777777" w:rsidR="004B2808" w:rsidRDefault="00000000">
      <w:r>
        <w:rPr>
          <w:b/>
          <w:i/>
        </w:rPr>
        <w:t>(Soit par défaut)</w:t>
      </w:r>
    </w:p>
    <w:p w14:paraId="76E8DCA4" w14:textId="77777777" w:rsidR="004B2808" w:rsidRDefault="00000000">
      <w:r>
        <w:rPr>
          <w:rStyle w:val="soitChar"/>
        </w:rPr>
        <w:t>1.   –</w:t>
      </w:r>
    </w:p>
    <w:p w14:paraId="5E656BFF" w14:textId="77777777" w:rsidR="004B2808" w:rsidRDefault="00000000">
      <w:r>
        <w:rPr>
          <w:b/>
          <w:i/>
        </w:rPr>
        <w:t>(Soit)</w:t>
      </w:r>
    </w:p>
    <w:p w14:paraId="73ED0F8B" w14:textId="77777777" w:rsidR="004B2808" w:rsidRDefault="00000000">
      <w:r>
        <w:rPr>
          <w:rStyle w:val="soitChar"/>
        </w:rPr>
        <w:t>2. 3.   pc</w:t>
      </w:r>
    </w:p>
    <w:p w14:paraId="687A35A3" w14:textId="77777777" w:rsidR="004B2808" w:rsidRDefault="00000000">
      <w:pPr>
        <w:pStyle w:val="pheading"/>
      </w:pPr>
      <w:r>
        <w:t>- code de mesurage:</w:t>
      </w:r>
    </w:p>
    <w:p w14:paraId="3368AF05" w14:textId="77777777" w:rsidR="004B2808" w:rsidRDefault="00000000">
      <w:pPr>
        <w:jc w:val="both"/>
      </w:pPr>
      <w:r>
        <w:rPr>
          <w:rStyle w:val="optioncarChar"/>
        </w:rPr>
        <w:t xml:space="preserve">Compris </w:t>
      </w:r>
      <w:r>
        <w:t>(par défaut)</w:t>
      </w:r>
      <w:r>
        <w:rPr>
          <w:rStyle w:val="optioncarChar"/>
        </w:rPr>
        <w:t xml:space="preserve"> / Quantité nette</w:t>
      </w:r>
    </w:p>
    <w:p w14:paraId="520F0F82" w14:textId="77777777" w:rsidR="004B2808" w:rsidRDefault="00000000">
      <w:pPr>
        <w:jc w:val="both"/>
      </w:pPr>
      <w:r>
        <w:rPr>
          <w:b/>
          <w:i/>
        </w:rPr>
        <w:t>(Soit par défaut)</w:t>
      </w:r>
    </w:p>
    <w:p w14:paraId="26D2CD03" w14:textId="77777777" w:rsidR="004B2808" w:rsidRDefault="00000000">
      <w:pPr>
        <w:jc w:val="both"/>
      </w:pPr>
      <w:r>
        <w:rPr>
          <w:rStyle w:val="soitChar"/>
        </w:rPr>
        <w:t>1.  </w:t>
      </w:r>
      <w:r>
        <w:rPr>
          <w:rStyle w:val="soitChar"/>
          <w:u w:val="single"/>
        </w:rPr>
        <w:t>Compris </w:t>
      </w:r>
      <w:r>
        <w:rPr>
          <w:rStyle w:val="soitChar"/>
        </w:rPr>
        <w:t xml:space="preserve">: Le prix de toute la serrure est compris dans le prix unitaire de la menuiserie extérieure (profilés) dans l’/les article(s) </w:t>
      </w:r>
      <w:r>
        <w:rPr>
          <w:rStyle w:val="optioncarChar"/>
        </w:rPr>
        <w:t>***</w:t>
      </w:r>
      <w:r>
        <w:rPr>
          <w:rStyle w:val="soitChar"/>
        </w:rPr>
        <w:t>.</w:t>
      </w:r>
    </w:p>
    <w:p w14:paraId="000FBD51" w14:textId="77777777" w:rsidR="004B2808" w:rsidRDefault="00000000">
      <w:pPr>
        <w:jc w:val="both"/>
      </w:pPr>
      <w:r>
        <w:rPr>
          <w:b/>
          <w:i/>
        </w:rPr>
        <w:t>(Soit)</w:t>
      </w:r>
    </w:p>
    <w:p w14:paraId="76DE7C01" w14:textId="77777777" w:rsidR="004B2808" w:rsidRDefault="00000000">
      <w:pPr>
        <w:jc w:val="both"/>
      </w:pPr>
      <w:r>
        <w:rPr>
          <w:rStyle w:val="soitChar"/>
        </w:rPr>
        <w:t>2. 3.   </w:t>
      </w:r>
      <w:r>
        <w:rPr>
          <w:rStyle w:val="soitChar"/>
          <w:u w:val="single"/>
        </w:rPr>
        <w:t>Quantité nette </w:t>
      </w:r>
    </w:p>
    <w:p w14:paraId="50481951" w14:textId="77777777" w:rsidR="004B2808" w:rsidRDefault="004B2808"/>
    <w:p w14:paraId="79000FB7" w14:textId="77777777" w:rsidR="004B2808" w:rsidRDefault="00000000">
      <w:pPr>
        <w:jc w:val="both"/>
      </w:pPr>
      <w:r>
        <w:t>Sauf indications spécifique contraire dans le cahier spécial des charges et/ou le métré récapitulatif, le prix de toute la quincaillerie sera compris dans le prix unitaire de la menuiserie extérieure (profilés).</w:t>
      </w:r>
    </w:p>
    <w:p w14:paraId="1267D0C6" w14:textId="77777777" w:rsidR="004B2808" w:rsidRDefault="00000000">
      <w:pPr>
        <w:jc w:val="both"/>
      </w:pPr>
      <w:r>
        <w:t>Exceptionnellement et moyennant mention expresse dans le cahier spécial des charges et le métré récapitulatif, la quincaillerie spéciale peut être reprise comme poste séparé (par ex. ferme-porte / barre anti-panique / serrures électriques / ...).</w:t>
      </w:r>
    </w:p>
    <w:p w14:paraId="33C107FC" w14:textId="77777777" w:rsidR="004B2808" w:rsidRDefault="00000000">
      <w:pPr>
        <w:jc w:val="both"/>
      </w:pPr>
      <w:r>
        <w:t>Distinction faite entre serrures neuves et de réemploi, avec ou sans fournitures pour ces dernières.</w:t>
      </w:r>
    </w:p>
    <w:p w14:paraId="0F5C100A" w14:textId="77777777" w:rsidR="004B2808" w:rsidRDefault="00000000">
      <w:pPr>
        <w:pStyle w:val="pheading"/>
      </w:pPr>
      <w:r>
        <w:t>- nature du marché:</w:t>
      </w:r>
    </w:p>
    <w:p w14:paraId="59DFF9AB" w14:textId="77777777" w:rsidR="004B2808" w:rsidRDefault="00000000">
      <w:pPr>
        <w:jc w:val="both"/>
      </w:pPr>
      <w:r>
        <w:rPr>
          <w:rStyle w:val="optioncarChar"/>
        </w:rPr>
        <w:t xml:space="preserve">PM </w:t>
      </w:r>
      <w:r>
        <w:t>(par défaut)</w:t>
      </w:r>
      <w:r>
        <w:rPr>
          <w:rStyle w:val="optioncarChar"/>
        </w:rPr>
        <w:t xml:space="preserve"> / QP / QF  </w:t>
      </w:r>
    </w:p>
    <w:p w14:paraId="0079EB25" w14:textId="77777777" w:rsidR="004B2808" w:rsidRDefault="00000000">
      <w:pPr>
        <w:jc w:val="both"/>
      </w:pPr>
      <w:r>
        <w:rPr>
          <w:b/>
          <w:i/>
        </w:rPr>
        <w:t>(Soit par défaut)</w:t>
      </w:r>
    </w:p>
    <w:p w14:paraId="603E8BA2" w14:textId="77777777" w:rsidR="004B2808" w:rsidRDefault="00000000">
      <w:pPr>
        <w:jc w:val="both"/>
      </w:pPr>
      <w:r>
        <w:rPr>
          <w:rStyle w:val="soitChar"/>
        </w:rPr>
        <w:t>1.  PM</w:t>
      </w:r>
    </w:p>
    <w:p w14:paraId="5A7FB199" w14:textId="77777777" w:rsidR="004B2808" w:rsidRDefault="00000000">
      <w:pPr>
        <w:jc w:val="both"/>
      </w:pPr>
      <w:r>
        <w:rPr>
          <w:b/>
          <w:i/>
        </w:rPr>
        <w:lastRenderedPageBreak/>
        <w:t>(Soit)</w:t>
      </w:r>
    </w:p>
    <w:p w14:paraId="6FCD2786" w14:textId="77777777" w:rsidR="004B2808" w:rsidRDefault="00000000">
      <w:pPr>
        <w:jc w:val="both"/>
      </w:pPr>
      <w:r>
        <w:rPr>
          <w:rStyle w:val="soitChar"/>
        </w:rPr>
        <w:t>2.  QP</w:t>
      </w:r>
    </w:p>
    <w:p w14:paraId="2C7243EE" w14:textId="77777777" w:rsidR="004B2808" w:rsidRDefault="00000000">
      <w:pPr>
        <w:jc w:val="both"/>
      </w:pPr>
      <w:r>
        <w:rPr>
          <w:b/>
          <w:i/>
        </w:rPr>
        <w:t>(Soit)</w:t>
      </w:r>
    </w:p>
    <w:p w14:paraId="36A4CBDE" w14:textId="77777777" w:rsidR="004B2808" w:rsidRDefault="00000000">
      <w:pPr>
        <w:jc w:val="both"/>
      </w:pPr>
      <w:r>
        <w:rPr>
          <w:rStyle w:val="soitChar"/>
        </w:rPr>
        <w:t>3. QF</w:t>
      </w:r>
    </w:p>
    <w:p w14:paraId="6B2DC549" w14:textId="77777777" w:rsidR="004B2808" w:rsidRDefault="00000000">
      <w:pPr>
        <w:pStyle w:val="pheading"/>
      </w:pPr>
      <w:r>
        <w:t>AIDE</w:t>
      </w:r>
    </w:p>
    <w:p w14:paraId="55F65FDA" w14:textId="77777777" w:rsidR="004B2808" w:rsidRDefault="00000000">
      <w:pPr>
        <w:jc w:val="both"/>
      </w:pPr>
      <w:r>
        <w:rPr>
          <w:b/>
          <w:u w:val="single"/>
        </w:rPr>
        <w:t>Principes De Base</w:t>
      </w:r>
    </w:p>
    <w:p w14:paraId="67C82268" w14:textId="77777777" w:rsidR="004B2808" w:rsidRDefault="00000000">
      <w:pPr>
        <w:jc w:val="both"/>
      </w:pPr>
      <w:r>
        <w:rPr>
          <w:b/>
        </w:rPr>
        <w:t>Dans le cas  d’appartements : </w:t>
      </w:r>
    </w:p>
    <w:p w14:paraId="03DCE56C" w14:textId="77777777" w:rsidR="004B2808" w:rsidRDefault="00000000">
      <w:pPr>
        <w:pStyle w:val="Author-eListParagraph"/>
        <w:numPr>
          <w:ilvl w:val="0"/>
          <w:numId w:val="1174"/>
        </w:numPr>
        <w:jc w:val="both"/>
      </w:pPr>
      <w:r>
        <w:t>Les portes du sas d'entrée, de la cage d'escalier, du local à vélos, du local poubelles et des locaux à compteurs sont ouvertes avec chaque clé d'appartement.</w:t>
      </w:r>
    </w:p>
    <w:p w14:paraId="4C5A1A74" w14:textId="77777777" w:rsidR="004B2808" w:rsidRDefault="004B2808">
      <w:pPr>
        <w:pStyle w:val="Author-eListParagraph"/>
        <w:numPr>
          <w:ilvl w:val="0"/>
          <w:numId w:val="1174"/>
        </w:numPr>
        <w:jc w:val="both"/>
      </w:pPr>
    </w:p>
    <w:p w14:paraId="37B5B327" w14:textId="77777777" w:rsidR="004B2808" w:rsidRDefault="00000000">
      <w:pPr>
        <w:pStyle w:val="Author-eListParagraph"/>
        <w:numPr>
          <w:ilvl w:val="0"/>
          <w:numId w:val="1174"/>
        </w:numPr>
        <w:jc w:val="both"/>
      </w:pPr>
      <w:r>
        <w:t>Les locaux techniques, la machinerie d'ascenseur et les caves réservées à l'organisme en charge du bâtiment, ne peuvent être ouvertes qu'avec une seule clé qui s'adapte également aux autres serrures, telle qu'une clé d'appartement supplémentaire.</w:t>
      </w:r>
    </w:p>
    <w:p w14:paraId="50A69EEE" w14:textId="77777777" w:rsidR="004B2808" w:rsidRDefault="004B2808">
      <w:pPr>
        <w:pStyle w:val="Author-eListParagraph"/>
        <w:numPr>
          <w:ilvl w:val="0"/>
          <w:numId w:val="1174"/>
        </w:numPr>
        <w:jc w:val="both"/>
      </w:pPr>
    </w:p>
    <w:p w14:paraId="232C0068" w14:textId="77777777" w:rsidR="004B2808" w:rsidRDefault="00000000">
      <w:pPr>
        <w:pStyle w:val="Author-eListParagraph"/>
        <w:numPr>
          <w:ilvl w:val="0"/>
          <w:numId w:val="1174"/>
        </w:numPr>
        <w:jc w:val="both"/>
      </w:pPr>
      <w:r>
        <w:t>Il est recommandé d'utiliser des serrures de sécurité en combinaison avec une fermeture multipoints et un plan de fermeture. Lorsque l'on préconise une combinaison de clés, les spécifications nécessaires doivent être mentionnées en ce qui concerne le type de clé, la clé générale principale, les clés principales, les clés de groupe, etc. Dans ce cas, les serrures à cylindre sont des clés accompagnées d'un certificat.</w:t>
      </w:r>
    </w:p>
    <w:p w14:paraId="6A18577E" w14:textId="77777777" w:rsidR="004B2808" w:rsidRDefault="00000000">
      <w:pPr>
        <w:pStyle w:val="Author-eSectionHeading5Numberless"/>
      </w:pPr>
      <w:bookmarkStart w:id="1314" w:name="_Toc220491427"/>
      <w:r>
        <w:t>55.62.3 Poignées de portes CCTB 01.11</w:t>
      </w:r>
      <w:bookmarkEnd w:id="1314"/>
    </w:p>
    <w:p w14:paraId="42E16214" w14:textId="77777777" w:rsidR="004B2808" w:rsidRDefault="00000000">
      <w:pPr>
        <w:pStyle w:val="pheading"/>
      </w:pPr>
      <w:bookmarkStart w:id="1315" w:name="1334"/>
      <w:bookmarkEnd w:id="1315"/>
      <w:r>
        <w:t>MATÉRIAUX</w:t>
      </w:r>
    </w:p>
    <w:p w14:paraId="5B7C62EB" w14:textId="77777777" w:rsidR="004B2808" w:rsidRDefault="00000000">
      <w:r>
        <w:t>PERFORMANCES</w:t>
      </w:r>
    </w:p>
    <w:p w14:paraId="4DEBC06A" w14:textId="77777777" w:rsidR="004B2808" w:rsidRDefault="00000000">
      <w:r>
        <w:rPr>
          <w:b/>
        </w:rPr>
        <w:t>Efforts de manœuvre</w:t>
      </w:r>
    </w:p>
    <w:p w14:paraId="684183B0" w14:textId="77777777" w:rsidR="004B2808" w:rsidRDefault="00000000">
      <w:r>
        <w:rPr>
          <w:i/>
          <w:u w:val="single"/>
        </w:rPr>
        <w:t>Poignées de portes</w:t>
      </w:r>
    </w:p>
    <w:p w14:paraId="3465E755" w14:textId="77777777" w:rsidR="004B2808" w:rsidRDefault="00000000">
      <w:r>
        <w:t>La classification des forces et couples de manœuvre des portes, ainsi que de leur quincaillerie, est définie dans la norme [NBN EN 12217] (voir Tableau X).</w:t>
      </w:r>
    </w:p>
    <w:p w14:paraId="44686D0A" w14:textId="77777777" w:rsidR="004B2808" w:rsidRDefault="00000000">
      <w:r>
        <w:t>Comme l'indique la [STS 53.1], la Classe 2 est celle que l'on prend lorsque le cahier spécial des charges ne prescrit pas de classe spécifique. Les Classes 3 et 4 sont recommandées pour une utilisation notamment par des personnes à mobilité réduite (PMR).</w:t>
      </w:r>
    </w:p>
    <w:p w14:paraId="752BE535" w14:textId="77777777" w:rsidR="004B2808" w:rsidRDefault="00000000">
      <w:pPr>
        <w:jc w:val="center"/>
      </w:pPr>
      <w:r>
        <w:t>Tableau X – Classification des forces et couples de manœuvre selon la norme [NBN EN 12217] </w:t>
      </w:r>
    </w:p>
    <w:tbl>
      <w:tblPr>
        <w:tblStyle w:val="Author-eTableGrid"/>
        <w:tblW w:w="9060" w:type="dxa"/>
        <w:tblLayout w:type="fixed"/>
        <w:tblLook w:val="04A0" w:firstRow="1" w:lastRow="0" w:firstColumn="1" w:lastColumn="0" w:noHBand="0" w:noVBand="1"/>
      </w:tblPr>
      <w:tblGrid>
        <w:gridCol w:w="1812"/>
        <w:gridCol w:w="1812"/>
        <w:gridCol w:w="1812"/>
        <w:gridCol w:w="1812"/>
        <w:gridCol w:w="1812"/>
      </w:tblGrid>
      <w:tr w:rsidR="004B2808" w14:paraId="492F3876" w14:textId="77777777">
        <w:trPr>
          <w:trHeight w:val="150"/>
        </w:trPr>
        <w:tc>
          <w:tcPr>
            <w:tcW w:w="1800" w:type="dxa"/>
            <w:shd w:val="clear" w:color="auto" w:fill="C0C0C0"/>
            <w:noWrap/>
          </w:tcPr>
          <w:p w14:paraId="30051485" w14:textId="77777777" w:rsidR="004B2808" w:rsidRDefault="00000000">
            <w:r>
              <w:rPr>
                <w:shd w:val="clear" w:color="auto" w:fill="C0C0C0"/>
              </w:rPr>
              <w:t> </w:t>
            </w:r>
          </w:p>
          <w:p w14:paraId="4DF10C4E" w14:textId="77777777" w:rsidR="004B2808" w:rsidRDefault="00000000">
            <w:r>
              <w:rPr>
                <w:b/>
                <w:shd w:val="clear" w:color="auto" w:fill="C0C0C0"/>
              </w:rPr>
              <w:t>Résistance à :</w:t>
            </w:r>
            <w:r>
              <w:rPr>
                <w:shd w:val="clear" w:color="auto" w:fill="C0C0C0"/>
              </w:rPr>
              <w:t>        </w:t>
            </w:r>
          </w:p>
          <w:p w14:paraId="3371EBF2" w14:textId="77777777" w:rsidR="004B2808" w:rsidRDefault="00000000">
            <w:r>
              <w:rPr>
                <w:shd w:val="clear" w:color="auto" w:fill="C0C0C0"/>
              </w:rPr>
              <w:t> </w:t>
            </w:r>
          </w:p>
        </w:tc>
        <w:tc>
          <w:tcPr>
            <w:tcW w:w="1800" w:type="dxa"/>
            <w:shd w:val="clear" w:color="auto" w:fill="C0C0C0"/>
            <w:noWrap/>
          </w:tcPr>
          <w:p w14:paraId="34757410" w14:textId="77777777" w:rsidR="004B2808" w:rsidRDefault="00000000">
            <w:pPr>
              <w:jc w:val="center"/>
            </w:pPr>
            <w:r>
              <w:rPr>
                <w:b/>
                <w:shd w:val="clear" w:color="auto" w:fill="C0C0C0"/>
              </w:rPr>
              <w:t>Classe 1</w:t>
            </w:r>
          </w:p>
        </w:tc>
        <w:tc>
          <w:tcPr>
            <w:tcW w:w="1800" w:type="dxa"/>
            <w:shd w:val="clear" w:color="auto" w:fill="C0C0C0"/>
            <w:noWrap/>
          </w:tcPr>
          <w:p w14:paraId="18F258CA" w14:textId="77777777" w:rsidR="004B2808" w:rsidRDefault="00000000">
            <w:pPr>
              <w:jc w:val="center"/>
            </w:pPr>
            <w:r>
              <w:rPr>
                <w:b/>
                <w:shd w:val="clear" w:color="auto" w:fill="C0C0C0"/>
              </w:rPr>
              <w:t>Classe 2</w:t>
            </w:r>
          </w:p>
        </w:tc>
        <w:tc>
          <w:tcPr>
            <w:tcW w:w="1800" w:type="dxa"/>
            <w:shd w:val="clear" w:color="auto" w:fill="C0C0C0"/>
            <w:noWrap/>
          </w:tcPr>
          <w:p w14:paraId="24450218" w14:textId="77777777" w:rsidR="004B2808" w:rsidRDefault="00000000">
            <w:pPr>
              <w:jc w:val="center"/>
            </w:pPr>
            <w:r>
              <w:rPr>
                <w:b/>
                <w:shd w:val="clear" w:color="auto" w:fill="C0C0C0"/>
              </w:rPr>
              <w:t>Classe 3</w:t>
            </w:r>
          </w:p>
        </w:tc>
        <w:tc>
          <w:tcPr>
            <w:tcW w:w="1800" w:type="dxa"/>
            <w:shd w:val="clear" w:color="auto" w:fill="C0C0C0"/>
            <w:noWrap/>
          </w:tcPr>
          <w:p w14:paraId="066E1BDA" w14:textId="77777777" w:rsidR="004B2808" w:rsidRDefault="00000000">
            <w:pPr>
              <w:jc w:val="center"/>
            </w:pPr>
            <w:r>
              <w:rPr>
                <w:b/>
                <w:shd w:val="clear" w:color="auto" w:fill="C0C0C0"/>
              </w:rPr>
              <w:t>Classe 4</w:t>
            </w:r>
          </w:p>
        </w:tc>
      </w:tr>
      <w:tr w:rsidR="004B2808" w14:paraId="1786F52E" w14:textId="77777777">
        <w:tc>
          <w:tcPr>
            <w:tcW w:w="9000" w:type="dxa"/>
            <w:gridSpan w:val="5"/>
            <w:noWrap/>
          </w:tcPr>
          <w:p w14:paraId="3395DE89" w14:textId="77777777" w:rsidR="004B2808" w:rsidRDefault="00000000">
            <w:pPr>
              <w:jc w:val="center"/>
            </w:pPr>
            <w:r>
              <w:t>Portes</w:t>
            </w:r>
          </w:p>
        </w:tc>
      </w:tr>
      <w:tr w:rsidR="004B2808" w14:paraId="2C4CE07C" w14:textId="77777777">
        <w:tc>
          <w:tcPr>
            <w:tcW w:w="1800" w:type="dxa"/>
            <w:noWrap/>
          </w:tcPr>
          <w:p w14:paraId="2F789D29" w14:textId="77777777" w:rsidR="004B2808" w:rsidRDefault="00000000">
            <w:r>
              <w:t>Force de fermeture ou force destinée à initier le mouvement, valeur maximale, (N)</w:t>
            </w:r>
          </w:p>
        </w:tc>
        <w:tc>
          <w:tcPr>
            <w:tcW w:w="1800" w:type="dxa"/>
            <w:noWrap/>
          </w:tcPr>
          <w:p w14:paraId="4131F141" w14:textId="77777777" w:rsidR="004B2808" w:rsidRDefault="00000000">
            <w:pPr>
              <w:jc w:val="center"/>
            </w:pPr>
            <w:r>
              <w:t>75</w:t>
            </w:r>
          </w:p>
        </w:tc>
        <w:tc>
          <w:tcPr>
            <w:tcW w:w="1800" w:type="dxa"/>
            <w:noWrap/>
          </w:tcPr>
          <w:p w14:paraId="34012FC4" w14:textId="77777777" w:rsidR="004B2808" w:rsidRDefault="00000000">
            <w:pPr>
              <w:jc w:val="center"/>
            </w:pPr>
            <w:r>
              <w:t>50</w:t>
            </w:r>
          </w:p>
        </w:tc>
        <w:tc>
          <w:tcPr>
            <w:tcW w:w="1800" w:type="dxa"/>
            <w:noWrap/>
          </w:tcPr>
          <w:p w14:paraId="2C925449" w14:textId="77777777" w:rsidR="004B2808" w:rsidRDefault="00000000">
            <w:pPr>
              <w:jc w:val="center"/>
            </w:pPr>
            <w:r>
              <w:t>25</w:t>
            </w:r>
          </w:p>
        </w:tc>
        <w:tc>
          <w:tcPr>
            <w:tcW w:w="1800" w:type="dxa"/>
            <w:noWrap/>
          </w:tcPr>
          <w:p w14:paraId="04B84572" w14:textId="77777777" w:rsidR="004B2808" w:rsidRDefault="00000000">
            <w:pPr>
              <w:jc w:val="center"/>
            </w:pPr>
            <w:r>
              <w:t>10</w:t>
            </w:r>
          </w:p>
        </w:tc>
      </w:tr>
      <w:tr w:rsidR="004B2808" w14:paraId="48595B45" w14:textId="77777777">
        <w:tc>
          <w:tcPr>
            <w:tcW w:w="9000" w:type="dxa"/>
            <w:gridSpan w:val="5"/>
            <w:noWrap/>
          </w:tcPr>
          <w:p w14:paraId="1C4CC61F" w14:textId="77777777" w:rsidR="004B2808" w:rsidRDefault="00000000">
            <w:pPr>
              <w:jc w:val="center"/>
            </w:pPr>
            <w:r>
              <w:t>Quincaillerie manœuvrée à la main</w:t>
            </w:r>
          </w:p>
        </w:tc>
      </w:tr>
      <w:tr w:rsidR="004B2808" w14:paraId="6966A3F8" w14:textId="77777777">
        <w:tc>
          <w:tcPr>
            <w:tcW w:w="1800" w:type="dxa"/>
            <w:noWrap/>
          </w:tcPr>
          <w:p w14:paraId="270F2EE6" w14:textId="77777777" w:rsidR="004B2808" w:rsidRDefault="00000000">
            <w:r>
              <w:t>Force maximale, (N)</w:t>
            </w:r>
          </w:p>
          <w:p w14:paraId="0C86F650" w14:textId="77777777" w:rsidR="004B2808" w:rsidRDefault="00000000">
            <w:r>
              <w:t>Couple maximal, (Nm)</w:t>
            </w:r>
          </w:p>
        </w:tc>
        <w:tc>
          <w:tcPr>
            <w:tcW w:w="1800" w:type="dxa"/>
            <w:noWrap/>
          </w:tcPr>
          <w:p w14:paraId="30A41CDA" w14:textId="77777777" w:rsidR="004B2808" w:rsidRDefault="00000000">
            <w:pPr>
              <w:jc w:val="center"/>
            </w:pPr>
            <w:r>
              <w:t>100</w:t>
            </w:r>
          </w:p>
          <w:p w14:paraId="22F39D1B" w14:textId="77777777" w:rsidR="004B2808" w:rsidRDefault="00000000">
            <w:pPr>
              <w:jc w:val="center"/>
            </w:pPr>
            <w:r>
              <w:t>10</w:t>
            </w:r>
          </w:p>
        </w:tc>
        <w:tc>
          <w:tcPr>
            <w:tcW w:w="1800" w:type="dxa"/>
            <w:noWrap/>
          </w:tcPr>
          <w:p w14:paraId="76DEDA57" w14:textId="77777777" w:rsidR="004B2808" w:rsidRDefault="00000000">
            <w:pPr>
              <w:jc w:val="center"/>
            </w:pPr>
            <w:r>
              <w:t>50</w:t>
            </w:r>
          </w:p>
          <w:p w14:paraId="5E6B2B06" w14:textId="77777777" w:rsidR="004B2808" w:rsidRDefault="00000000">
            <w:pPr>
              <w:jc w:val="center"/>
            </w:pPr>
            <w:r>
              <w:t>5</w:t>
            </w:r>
          </w:p>
        </w:tc>
        <w:tc>
          <w:tcPr>
            <w:tcW w:w="1800" w:type="dxa"/>
            <w:noWrap/>
          </w:tcPr>
          <w:p w14:paraId="505E62EA" w14:textId="77777777" w:rsidR="004B2808" w:rsidRDefault="00000000">
            <w:pPr>
              <w:jc w:val="center"/>
            </w:pPr>
            <w:r>
              <w:t>25</w:t>
            </w:r>
          </w:p>
          <w:p w14:paraId="50058DC3" w14:textId="77777777" w:rsidR="004B2808" w:rsidRDefault="00000000">
            <w:pPr>
              <w:jc w:val="center"/>
            </w:pPr>
            <w:r>
              <w:t>2.5</w:t>
            </w:r>
          </w:p>
        </w:tc>
        <w:tc>
          <w:tcPr>
            <w:tcW w:w="1800" w:type="dxa"/>
            <w:noWrap/>
          </w:tcPr>
          <w:p w14:paraId="001C5B1E" w14:textId="77777777" w:rsidR="004B2808" w:rsidRDefault="00000000">
            <w:pPr>
              <w:jc w:val="center"/>
            </w:pPr>
            <w:r>
              <w:t>10</w:t>
            </w:r>
          </w:p>
          <w:p w14:paraId="5AE0493E" w14:textId="77777777" w:rsidR="004B2808" w:rsidRDefault="00000000">
            <w:pPr>
              <w:jc w:val="center"/>
            </w:pPr>
            <w:r>
              <w:t>1</w:t>
            </w:r>
          </w:p>
        </w:tc>
      </w:tr>
      <w:tr w:rsidR="004B2808" w14:paraId="0E364EF0" w14:textId="77777777">
        <w:tc>
          <w:tcPr>
            <w:tcW w:w="9000" w:type="dxa"/>
            <w:gridSpan w:val="5"/>
            <w:noWrap/>
          </w:tcPr>
          <w:p w14:paraId="21AD3E28" w14:textId="77777777" w:rsidR="004B2808" w:rsidRDefault="00000000">
            <w:pPr>
              <w:jc w:val="center"/>
            </w:pPr>
            <w:r>
              <w:t>Quincaillerie manœuvrée avec le doigt</w:t>
            </w:r>
          </w:p>
        </w:tc>
      </w:tr>
      <w:tr w:rsidR="004B2808" w14:paraId="78278C1C" w14:textId="77777777">
        <w:tc>
          <w:tcPr>
            <w:tcW w:w="1800" w:type="dxa"/>
            <w:noWrap/>
          </w:tcPr>
          <w:p w14:paraId="547F0ED3" w14:textId="77777777" w:rsidR="004B2808" w:rsidRDefault="00000000">
            <w:r>
              <w:t xml:space="preserve">Force maximale, </w:t>
            </w:r>
            <w:r>
              <w:lastRenderedPageBreak/>
              <w:t>(N)</w:t>
            </w:r>
          </w:p>
          <w:p w14:paraId="296892FD" w14:textId="77777777" w:rsidR="004B2808" w:rsidRDefault="00000000">
            <w:r>
              <w:t>Couple maximal, (Nm)</w:t>
            </w:r>
          </w:p>
        </w:tc>
        <w:tc>
          <w:tcPr>
            <w:tcW w:w="1800" w:type="dxa"/>
            <w:noWrap/>
          </w:tcPr>
          <w:p w14:paraId="2BDBC1B0" w14:textId="77777777" w:rsidR="004B2808" w:rsidRDefault="00000000">
            <w:pPr>
              <w:jc w:val="center"/>
            </w:pPr>
            <w:r>
              <w:lastRenderedPageBreak/>
              <w:t>20</w:t>
            </w:r>
          </w:p>
          <w:p w14:paraId="28A2453F" w14:textId="77777777" w:rsidR="004B2808" w:rsidRDefault="00000000">
            <w:pPr>
              <w:jc w:val="center"/>
            </w:pPr>
            <w:r>
              <w:lastRenderedPageBreak/>
              <w:t>5</w:t>
            </w:r>
          </w:p>
        </w:tc>
        <w:tc>
          <w:tcPr>
            <w:tcW w:w="1800" w:type="dxa"/>
            <w:noWrap/>
          </w:tcPr>
          <w:p w14:paraId="74474039" w14:textId="77777777" w:rsidR="004B2808" w:rsidRDefault="00000000">
            <w:pPr>
              <w:jc w:val="center"/>
            </w:pPr>
            <w:r>
              <w:lastRenderedPageBreak/>
              <w:t>10</w:t>
            </w:r>
          </w:p>
          <w:p w14:paraId="6C77CFB4" w14:textId="77777777" w:rsidR="004B2808" w:rsidRDefault="00000000">
            <w:pPr>
              <w:jc w:val="center"/>
            </w:pPr>
            <w:r>
              <w:lastRenderedPageBreak/>
              <w:t>2.5</w:t>
            </w:r>
          </w:p>
        </w:tc>
        <w:tc>
          <w:tcPr>
            <w:tcW w:w="1800" w:type="dxa"/>
            <w:noWrap/>
          </w:tcPr>
          <w:p w14:paraId="4B68161D" w14:textId="77777777" w:rsidR="004B2808" w:rsidRDefault="00000000">
            <w:pPr>
              <w:jc w:val="center"/>
            </w:pPr>
            <w:r>
              <w:lastRenderedPageBreak/>
              <w:t>6</w:t>
            </w:r>
          </w:p>
          <w:p w14:paraId="73253BC3" w14:textId="77777777" w:rsidR="004B2808" w:rsidRDefault="00000000">
            <w:pPr>
              <w:jc w:val="center"/>
            </w:pPr>
            <w:r>
              <w:lastRenderedPageBreak/>
              <w:t>1.5</w:t>
            </w:r>
          </w:p>
        </w:tc>
        <w:tc>
          <w:tcPr>
            <w:tcW w:w="1800" w:type="dxa"/>
            <w:noWrap/>
          </w:tcPr>
          <w:p w14:paraId="767290E3" w14:textId="77777777" w:rsidR="004B2808" w:rsidRDefault="00000000">
            <w:pPr>
              <w:jc w:val="center"/>
            </w:pPr>
            <w:r>
              <w:lastRenderedPageBreak/>
              <w:t>4</w:t>
            </w:r>
          </w:p>
          <w:p w14:paraId="242D47C8" w14:textId="77777777" w:rsidR="004B2808" w:rsidRDefault="00000000">
            <w:pPr>
              <w:jc w:val="center"/>
            </w:pPr>
            <w:r>
              <w:lastRenderedPageBreak/>
              <w:t>1</w:t>
            </w:r>
          </w:p>
        </w:tc>
      </w:tr>
    </w:tbl>
    <w:p w14:paraId="203700D0" w14:textId="77777777" w:rsidR="004B2808" w:rsidRDefault="00000000">
      <w:r>
        <w:lastRenderedPageBreak/>
        <w:t> </w:t>
      </w:r>
    </w:p>
    <w:p w14:paraId="7927021A" w14:textId="77777777" w:rsidR="004B2808" w:rsidRDefault="00000000">
      <w:r>
        <w:t xml:space="preserve">Les poignées de portes sont de : </w:t>
      </w:r>
      <w:r>
        <w:rPr>
          <w:rStyle w:val="optioncarChar"/>
        </w:rPr>
        <w:t>Classe 1</w:t>
      </w:r>
      <w:r>
        <w:t> (par défaut)</w:t>
      </w:r>
      <w:r>
        <w:rPr>
          <w:rStyle w:val="optioncarChar"/>
        </w:rPr>
        <w:t xml:space="preserve"> / Classe 2 / Classe 3 (PMR) / Classe 4 (PMR)</w:t>
      </w:r>
    </w:p>
    <w:p w14:paraId="688897C7" w14:textId="77777777" w:rsidR="004B2808" w:rsidRDefault="00000000">
      <w:r>
        <w:t> </w:t>
      </w:r>
    </w:p>
    <w:p w14:paraId="5B33A2B4" w14:textId="77777777" w:rsidR="004B2808" w:rsidRDefault="00000000">
      <w:r>
        <w:rPr>
          <w:i/>
          <w:u w:val="single"/>
        </w:rPr>
        <w:t>Poignées de (portes-)fenêtres</w:t>
      </w:r>
    </w:p>
    <w:p w14:paraId="66F5C56E" w14:textId="77777777" w:rsidR="004B2808" w:rsidRDefault="00000000">
      <w:r>
        <w:t>La classification des efforts de manœuvre des (portes-)fenêtres battantes et coulissantes, ainsi que de leur quincaillerie, est définie dans la norme [NBN B 25-002-1] (voir Tableau Y).</w:t>
      </w:r>
    </w:p>
    <w:p w14:paraId="7DA3F854" w14:textId="77777777" w:rsidR="004B2808" w:rsidRDefault="00000000">
      <w:r>
        <w:t>Comme indiqué dans ce tableau, la Classe 2 est recommandée pour une utilisation notamment par des personnes à mobilité réduite (PMR).</w:t>
      </w:r>
    </w:p>
    <w:p w14:paraId="167AB9E3" w14:textId="77777777" w:rsidR="004B2808" w:rsidRDefault="00000000">
      <w:pPr>
        <w:jc w:val="center"/>
      </w:pPr>
      <w:r>
        <w:t>Tableau Y – Classification des efforts de manœuvre selon la norme [NBN B 25-002-1] </w:t>
      </w:r>
    </w:p>
    <w:tbl>
      <w:tblPr>
        <w:tblStyle w:val="Author-eTableGrid"/>
        <w:tblW w:w="9060" w:type="dxa"/>
        <w:tblLayout w:type="fixed"/>
        <w:tblLook w:val="04A0" w:firstRow="1" w:lastRow="0" w:firstColumn="1" w:lastColumn="0" w:noHBand="0" w:noVBand="1"/>
      </w:tblPr>
      <w:tblGrid>
        <w:gridCol w:w="3020"/>
        <w:gridCol w:w="3020"/>
        <w:gridCol w:w="3020"/>
      </w:tblGrid>
      <w:tr w:rsidR="004B2808" w14:paraId="1B080FA3" w14:textId="77777777">
        <w:trPr>
          <w:trHeight w:val="150"/>
        </w:trPr>
        <w:tc>
          <w:tcPr>
            <w:tcW w:w="3015" w:type="dxa"/>
            <w:shd w:val="clear" w:color="auto" w:fill="C0C0C0"/>
            <w:noWrap/>
          </w:tcPr>
          <w:p w14:paraId="7D39E73E" w14:textId="77777777" w:rsidR="004B2808" w:rsidRDefault="00000000">
            <w:r>
              <w:rPr>
                <w:shd w:val="clear" w:color="auto" w:fill="C0C0C0"/>
              </w:rPr>
              <w:t> </w:t>
            </w:r>
          </w:p>
          <w:p w14:paraId="3169350D" w14:textId="77777777" w:rsidR="004B2808" w:rsidRDefault="00000000">
            <w:r>
              <w:rPr>
                <w:b/>
                <w:shd w:val="clear" w:color="auto" w:fill="C0C0C0"/>
              </w:rPr>
              <w:t xml:space="preserve">Résistance aux efforts de manœuvre  </w:t>
            </w:r>
          </w:p>
          <w:p w14:paraId="2C25138F" w14:textId="77777777" w:rsidR="004B2808" w:rsidRDefault="00000000">
            <w:r>
              <w:rPr>
                <w:shd w:val="clear" w:color="auto" w:fill="C0C0C0"/>
              </w:rPr>
              <w:t> </w:t>
            </w:r>
          </w:p>
        </w:tc>
        <w:tc>
          <w:tcPr>
            <w:tcW w:w="3015" w:type="dxa"/>
            <w:shd w:val="clear" w:color="auto" w:fill="C0C0C0"/>
            <w:noWrap/>
          </w:tcPr>
          <w:p w14:paraId="256C14A4" w14:textId="77777777" w:rsidR="004B2808" w:rsidRDefault="00000000">
            <w:pPr>
              <w:jc w:val="center"/>
            </w:pPr>
            <w:r>
              <w:rPr>
                <w:b/>
                <w:shd w:val="clear" w:color="auto" w:fill="C0C0C0"/>
              </w:rPr>
              <w:t>Classe 1</w:t>
            </w:r>
          </w:p>
        </w:tc>
        <w:tc>
          <w:tcPr>
            <w:tcW w:w="3015" w:type="dxa"/>
            <w:shd w:val="clear" w:color="auto" w:fill="C0C0C0"/>
            <w:noWrap/>
          </w:tcPr>
          <w:p w14:paraId="3E609A31" w14:textId="77777777" w:rsidR="004B2808" w:rsidRDefault="00000000">
            <w:pPr>
              <w:jc w:val="center"/>
            </w:pPr>
            <w:r>
              <w:rPr>
                <w:b/>
                <w:shd w:val="clear" w:color="auto" w:fill="C0C0C0"/>
              </w:rPr>
              <w:t xml:space="preserve">Classe 2 </w:t>
            </w:r>
          </w:p>
        </w:tc>
      </w:tr>
      <w:tr w:rsidR="004B2808" w14:paraId="59742BD5" w14:textId="77777777">
        <w:tc>
          <w:tcPr>
            <w:tcW w:w="9045" w:type="dxa"/>
            <w:gridSpan w:val="3"/>
            <w:noWrap/>
          </w:tcPr>
          <w:p w14:paraId="1F4C9EC8" w14:textId="77777777" w:rsidR="004B2808" w:rsidRDefault="00000000">
            <w:pPr>
              <w:jc w:val="center"/>
            </w:pPr>
            <w:r>
              <w:t>Fenêtres battantes ou coulissantes</w:t>
            </w:r>
          </w:p>
        </w:tc>
      </w:tr>
      <w:tr w:rsidR="004B2808" w14:paraId="42235A05" w14:textId="77777777">
        <w:tc>
          <w:tcPr>
            <w:tcW w:w="3015" w:type="dxa"/>
            <w:noWrap/>
          </w:tcPr>
          <w:p w14:paraId="58C267AA" w14:textId="77777777" w:rsidR="004B2808" w:rsidRDefault="00000000">
            <w:r>
              <w:t>Force de fermeture ou force destinée à initier le mouvement, valeur maximale, (N)</w:t>
            </w:r>
          </w:p>
        </w:tc>
        <w:tc>
          <w:tcPr>
            <w:tcW w:w="3015" w:type="dxa"/>
            <w:noWrap/>
          </w:tcPr>
          <w:p w14:paraId="350FC411" w14:textId="77777777" w:rsidR="004B2808" w:rsidRDefault="00000000">
            <w:pPr>
              <w:jc w:val="center"/>
            </w:pPr>
            <w:r>
              <w:t>100</w:t>
            </w:r>
          </w:p>
        </w:tc>
        <w:tc>
          <w:tcPr>
            <w:tcW w:w="3015" w:type="dxa"/>
            <w:noWrap/>
          </w:tcPr>
          <w:p w14:paraId="38E19BD0" w14:textId="77777777" w:rsidR="004B2808" w:rsidRDefault="00000000">
            <w:pPr>
              <w:jc w:val="center"/>
            </w:pPr>
            <w:r>
              <w:t>30</w:t>
            </w:r>
          </w:p>
        </w:tc>
      </w:tr>
      <w:tr w:rsidR="004B2808" w14:paraId="235BE28C" w14:textId="77777777">
        <w:tc>
          <w:tcPr>
            <w:tcW w:w="9045" w:type="dxa"/>
            <w:gridSpan w:val="3"/>
            <w:noWrap/>
          </w:tcPr>
          <w:p w14:paraId="61415B63" w14:textId="77777777" w:rsidR="004B2808" w:rsidRDefault="00000000">
            <w:pPr>
              <w:jc w:val="center"/>
            </w:pPr>
            <w:r>
              <w:t>Quincaillerie manœuvrée à la main</w:t>
            </w:r>
          </w:p>
        </w:tc>
      </w:tr>
      <w:tr w:rsidR="004B2808" w14:paraId="527141E3" w14:textId="77777777">
        <w:tc>
          <w:tcPr>
            <w:tcW w:w="3015" w:type="dxa"/>
            <w:noWrap/>
          </w:tcPr>
          <w:p w14:paraId="170ED8D2" w14:textId="77777777" w:rsidR="004B2808" w:rsidRDefault="00000000">
            <w:r>
              <w:t>Force maximale, (N)</w:t>
            </w:r>
          </w:p>
        </w:tc>
        <w:tc>
          <w:tcPr>
            <w:tcW w:w="3015" w:type="dxa"/>
            <w:noWrap/>
          </w:tcPr>
          <w:p w14:paraId="2FA0C077" w14:textId="77777777" w:rsidR="004B2808" w:rsidRDefault="00000000">
            <w:pPr>
              <w:jc w:val="center"/>
            </w:pPr>
            <w:r>
              <w:t>100</w:t>
            </w:r>
          </w:p>
        </w:tc>
        <w:tc>
          <w:tcPr>
            <w:tcW w:w="3015" w:type="dxa"/>
            <w:noWrap/>
          </w:tcPr>
          <w:p w14:paraId="45045658" w14:textId="77777777" w:rsidR="004B2808" w:rsidRDefault="00000000">
            <w:pPr>
              <w:jc w:val="center"/>
            </w:pPr>
            <w:r>
              <w:t>30</w:t>
            </w:r>
          </w:p>
        </w:tc>
      </w:tr>
      <w:tr w:rsidR="004B2808" w14:paraId="4071C18B" w14:textId="77777777">
        <w:tc>
          <w:tcPr>
            <w:tcW w:w="3015" w:type="dxa"/>
            <w:noWrap/>
          </w:tcPr>
          <w:p w14:paraId="5DF98C16" w14:textId="77777777" w:rsidR="004B2808" w:rsidRDefault="00000000">
            <w:r>
              <w:t>Couple maximal, (Nm)</w:t>
            </w:r>
          </w:p>
        </w:tc>
        <w:tc>
          <w:tcPr>
            <w:tcW w:w="3015" w:type="dxa"/>
            <w:noWrap/>
          </w:tcPr>
          <w:p w14:paraId="4980140A" w14:textId="77777777" w:rsidR="004B2808" w:rsidRDefault="00000000">
            <w:pPr>
              <w:jc w:val="center"/>
            </w:pPr>
            <w:r>
              <w:t>10</w:t>
            </w:r>
          </w:p>
        </w:tc>
        <w:tc>
          <w:tcPr>
            <w:tcW w:w="3015" w:type="dxa"/>
            <w:noWrap/>
          </w:tcPr>
          <w:p w14:paraId="518D9AA0" w14:textId="77777777" w:rsidR="004B2808" w:rsidRDefault="00000000">
            <w:pPr>
              <w:jc w:val="center"/>
            </w:pPr>
            <w:r>
              <w:t>5</w:t>
            </w:r>
          </w:p>
        </w:tc>
      </w:tr>
      <w:tr w:rsidR="004B2808" w14:paraId="0A5EEF43" w14:textId="77777777">
        <w:tc>
          <w:tcPr>
            <w:tcW w:w="9045" w:type="dxa"/>
            <w:gridSpan w:val="3"/>
            <w:noWrap/>
          </w:tcPr>
          <w:p w14:paraId="671ACE08" w14:textId="77777777" w:rsidR="004B2808" w:rsidRDefault="00000000">
            <w:pPr>
              <w:jc w:val="center"/>
            </w:pPr>
            <w:r>
              <w:t>Quincaillerie manœuvrée avec le doigt</w:t>
            </w:r>
          </w:p>
        </w:tc>
      </w:tr>
      <w:tr w:rsidR="004B2808" w14:paraId="3752C441" w14:textId="77777777">
        <w:tc>
          <w:tcPr>
            <w:tcW w:w="3015" w:type="dxa"/>
            <w:noWrap/>
          </w:tcPr>
          <w:p w14:paraId="770D9575" w14:textId="77777777" w:rsidR="004B2808" w:rsidRDefault="00000000">
            <w:r>
              <w:t>Force maximale, (N)</w:t>
            </w:r>
          </w:p>
        </w:tc>
        <w:tc>
          <w:tcPr>
            <w:tcW w:w="3015" w:type="dxa"/>
            <w:noWrap/>
          </w:tcPr>
          <w:p w14:paraId="5F2BAB94" w14:textId="77777777" w:rsidR="004B2808" w:rsidRDefault="00000000">
            <w:pPr>
              <w:jc w:val="center"/>
            </w:pPr>
            <w:r>
              <w:t>50</w:t>
            </w:r>
          </w:p>
        </w:tc>
        <w:tc>
          <w:tcPr>
            <w:tcW w:w="3015" w:type="dxa"/>
            <w:noWrap/>
          </w:tcPr>
          <w:p w14:paraId="29623332" w14:textId="77777777" w:rsidR="004B2808" w:rsidRDefault="00000000">
            <w:pPr>
              <w:jc w:val="center"/>
            </w:pPr>
            <w:r>
              <w:t>20</w:t>
            </w:r>
          </w:p>
        </w:tc>
      </w:tr>
      <w:tr w:rsidR="004B2808" w14:paraId="5D096EC8" w14:textId="77777777">
        <w:tc>
          <w:tcPr>
            <w:tcW w:w="3015" w:type="dxa"/>
            <w:noWrap/>
          </w:tcPr>
          <w:p w14:paraId="7D3FC933" w14:textId="77777777" w:rsidR="004B2808" w:rsidRDefault="00000000">
            <w:r>
              <w:t>Couple maximal, (Nm)</w:t>
            </w:r>
          </w:p>
        </w:tc>
        <w:tc>
          <w:tcPr>
            <w:tcW w:w="3015" w:type="dxa"/>
            <w:noWrap/>
          </w:tcPr>
          <w:p w14:paraId="1316B6B2" w14:textId="77777777" w:rsidR="004B2808" w:rsidRDefault="00000000">
            <w:pPr>
              <w:jc w:val="center"/>
            </w:pPr>
            <w:r>
              <w:t>5</w:t>
            </w:r>
          </w:p>
        </w:tc>
        <w:tc>
          <w:tcPr>
            <w:tcW w:w="3015" w:type="dxa"/>
            <w:noWrap/>
          </w:tcPr>
          <w:p w14:paraId="696B863B" w14:textId="77777777" w:rsidR="004B2808" w:rsidRDefault="00000000">
            <w:pPr>
              <w:jc w:val="center"/>
            </w:pPr>
            <w:r>
              <w:t>2</w:t>
            </w:r>
          </w:p>
        </w:tc>
      </w:tr>
      <w:tr w:rsidR="004B2808" w14:paraId="521E664D" w14:textId="77777777">
        <w:tc>
          <w:tcPr>
            <w:tcW w:w="3015" w:type="dxa"/>
            <w:noWrap/>
          </w:tcPr>
          <w:p w14:paraId="4DEBD755" w14:textId="77777777" w:rsidR="004B2808" w:rsidRDefault="00000000">
            <w:r>
              <w:rPr>
                <w:b/>
              </w:rPr>
              <w:t>Applications</w:t>
            </w:r>
          </w:p>
        </w:tc>
        <w:tc>
          <w:tcPr>
            <w:tcW w:w="3015" w:type="dxa"/>
            <w:noWrap/>
          </w:tcPr>
          <w:p w14:paraId="6BB0A833" w14:textId="77777777" w:rsidR="004B2808" w:rsidRDefault="00000000">
            <w:pPr>
              <w:jc w:val="center"/>
            </w:pPr>
            <w:r>
              <w:t>Toutes applications normales où la manœuvre de la fenêtre ne pose pas de problème particulier à l’opérateur</w:t>
            </w:r>
          </w:p>
        </w:tc>
        <w:tc>
          <w:tcPr>
            <w:tcW w:w="3015" w:type="dxa"/>
            <w:noWrap/>
          </w:tcPr>
          <w:p w14:paraId="7331A1F0" w14:textId="77777777" w:rsidR="004B2808" w:rsidRDefault="00000000">
            <w:pPr>
              <w:jc w:val="center"/>
            </w:pPr>
            <w:r>
              <w:t>Toutes applications non reprises à la classe 1, par exemple, opérateur physiquement handicapé, …, en fonction de la situation</w:t>
            </w:r>
          </w:p>
        </w:tc>
      </w:tr>
    </w:tbl>
    <w:p w14:paraId="73478A63" w14:textId="77777777" w:rsidR="004B2808" w:rsidRDefault="00000000">
      <w:r>
        <w:t> </w:t>
      </w:r>
    </w:p>
    <w:p w14:paraId="1A94DFD1" w14:textId="77777777" w:rsidR="004B2808" w:rsidRDefault="00000000">
      <w:r>
        <w:t xml:space="preserve">Les poignées de (portes-)fenêtres sont de : </w:t>
      </w:r>
      <w:r>
        <w:rPr>
          <w:rStyle w:val="optioncarChar"/>
        </w:rPr>
        <w:t>Classe 1 </w:t>
      </w:r>
      <w:r>
        <w:t>(par défaut)</w:t>
      </w:r>
      <w:r>
        <w:rPr>
          <w:rStyle w:val="optioncarChar"/>
        </w:rPr>
        <w:t xml:space="preserve"> / Classe 2 (PMR)</w:t>
      </w:r>
      <w:r>
        <w:t> </w:t>
      </w:r>
    </w:p>
    <w:p w14:paraId="5C5B2579" w14:textId="77777777" w:rsidR="004B2808" w:rsidRDefault="00000000">
      <w:pPr>
        <w:pStyle w:val="pheading"/>
      </w:pPr>
      <w:r>
        <w:t>AIDE</w:t>
      </w:r>
    </w:p>
    <w:p w14:paraId="2FB976EA" w14:textId="77777777" w:rsidR="004B2808" w:rsidRDefault="00000000">
      <w:r>
        <w:t>NOTE A L’AUTEUR DE PROJET</w:t>
      </w:r>
    </w:p>
    <w:p w14:paraId="7913AE52" w14:textId="77777777" w:rsidR="004B2808" w:rsidRDefault="00000000">
      <w:r>
        <w:t> </w:t>
      </w:r>
    </w:p>
    <w:p w14:paraId="03136C4A" w14:textId="77777777" w:rsidR="004B2808" w:rsidRDefault="00000000">
      <w:r>
        <w:rPr>
          <w:b/>
        </w:rPr>
        <w:t>Accessibilité aux personnes à mobilité réduite (PMR)</w:t>
      </w:r>
    </w:p>
    <w:p w14:paraId="1B2E06F6" w14:textId="77777777" w:rsidR="004B2808" w:rsidRDefault="00000000">
      <w:r>
        <w:rPr>
          <w:i/>
          <w:u w:val="single"/>
        </w:rPr>
        <w:t>Poignées de portes :</w:t>
      </w:r>
    </w:p>
    <w:p w14:paraId="4FCDC810" w14:textId="77777777" w:rsidR="004B2808" w:rsidRDefault="00000000">
      <w:r>
        <w:t>Hauteur de la poignée : entre 90 et 110 cm au-dessus du niveau du sol   [SWL CALA]                 </w:t>
      </w:r>
    </w:p>
    <w:p w14:paraId="2480DD3D" w14:textId="77777777" w:rsidR="004B2808" w:rsidRDefault="00000000">
      <w:r>
        <w:t>Forme de la poignée : type levier (utilisable le poing fermé)   [SWL CALA]      </w:t>
      </w:r>
    </w:p>
    <w:p w14:paraId="7EB43550" w14:textId="77777777" w:rsidR="004B2808" w:rsidRDefault="00000000">
      <w:r>
        <w:t>Ergonomie du levier : [BS 8300]</w:t>
      </w:r>
    </w:p>
    <w:p w14:paraId="626E3B31" w14:textId="77777777" w:rsidR="004B2808" w:rsidRDefault="00000000">
      <w:pPr>
        <w:pStyle w:val="Author-eListParagraph"/>
        <w:numPr>
          <w:ilvl w:val="0"/>
          <w:numId w:val="1175"/>
        </w:numPr>
      </w:pPr>
      <w:r>
        <w:t>Diamètre de la zone de préhension : minimum 19 mm</w:t>
      </w:r>
    </w:p>
    <w:p w14:paraId="39E1ADD4" w14:textId="77777777" w:rsidR="004B2808" w:rsidRDefault="00000000">
      <w:pPr>
        <w:pStyle w:val="Author-eListParagraph"/>
        <w:numPr>
          <w:ilvl w:val="0"/>
          <w:numId w:val="1175"/>
        </w:numPr>
      </w:pPr>
      <w:r>
        <w:t>Distance entre la zone de préhension et la feuille de porte : minimum 45 mm</w:t>
      </w:r>
    </w:p>
    <w:p w14:paraId="21D66E7E" w14:textId="77777777" w:rsidR="004B2808" w:rsidRDefault="00000000">
      <w:pPr>
        <w:pStyle w:val="Author-eListParagraph"/>
        <w:numPr>
          <w:ilvl w:val="0"/>
          <w:numId w:val="1175"/>
        </w:numPr>
      </w:pPr>
      <w:r>
        <w:t>Longueur de la zone de préhension : minimum 95 mm</w:t>
      </w:r>
    </w:p>
    <w:p w14:paraId="3A598E66" w14:textId="77777777" w:rsidR="004B2808" w:rsidRDefault="00000000">
      <w:r>
        <w:lastRenderedPageBreak/>
        <w:t>Efforts de man</w:t>
      </w:r>
      <w:r>
        <w:rPr>
          <w:b/>
        </w:rPr>
        <w:t>œ</w:t>
      </w:r>
      <w:r>
        <w:t>uvre : Classe 3 ou 4 (Quincaillerie) de la norme [NBN EN 12217]   [SWL CALA] et [STS 53.1]</w:t>
      </w:r>
    </w:p>
    <w:p w14:paraId="18B8A27E" w14:textId="77777777" w:rsidR="004B2808" w:rsidRDefault="00000000">
      <w:r>
        <w:t>Contraste : différence de coefficient de réflexion (LRV) entre la poignée et la porte de minimum 15%   [SWL CALA] et [NBN ISO 21542]</w:t>
      </w:r>
    </w:p>
    <w:p w14:paraId="7E3E8187" w14:textId="77777777" w:rsidR="004B2808" w:rsidRDefault="00000000">
      <w:r>
        <w:rPr>
          <w:i/>
          <w:u w:val="single"/>
        </w:rPr>
        <w:t>Poignées de (portes-)fenêtres </w:t>
      </w:r>
      <w:r>
        <w:br/>
        <w:t>Hauteur de la poignée : entre 80 et 110 cm au-dessus du niveau du sol   [SWL CALA]</w:t>
      </w:r>
    </w:p>
    <w:p w14:paraId="3EFC1C5E" w14:textId="77777777" w:rsidR="004B2808" w:rsidRDefault="00000000">
      <w:r>
        <w:t>Forme de la poignée : type levier (utilisable le poing fermé)   [SWL CALA]</w:t>
      </w:r>
    </w:p>
    <w:p w14:paraId="68D91398" w14:textId="77777777" w:rsidR="004B2808" w:rsidRDefault="00000000">
      <w:r>
        <w:t>Efforts de manœuvre : Classe 2 (Quincaillerie) de la norme [NBN B 25-002-1]</w:t>
      </w:r>
    </w:p>
    <w:p w14:paraId="6AD19910" w14:textId="77777777" w:rsidR="004B2808" w:rsidRDefault="00000000">
      <w:r>
        <w:t>Contraste : différence de coefficient de réflexion (LRV) entre la poignée et la (porte-)fenêtre de minimum 15%   [SWL CALA] et [NBN ISO 21542]</w:t>
      </w:r>
    </w:p>
    <w:p w14:paraId="05E9FBC5" w14:textId="77777777" w:rsidR="004B2808" w:rsidRDefault="00000000">
      <w:pPr>
        <w:pStyle w:val="Author-eSectionHeading6Numberless"/>
      </w:pPr>
      <w:bookmarkStart w:id="1316" w:name="_Toc220491428"/>
      <w:r>
        <w:t>55.62.3a Poignées de portes CCTB 01.11</w:t>
      </w:r>
      <w:bookmarkEnd w:id="1316"/>
    </w:p>
    <w:p w14:paraId="7C6C58E7" w14:textId="77777777" w:rsidR="004B2808" w:rsidRDefault="00000000">
      <w:pPr>
        <w:pStyle w:val="pheading"/>
      </w:pPr>
      <w:bookmarkStart w:id="1317" w:name="1324"/>
      <w:bookmarkEnd w:id="1317"/>
      <w:r>
        <w:t>DESCRIPTION</w:t>
      </w:r>
    </w:p>
    <w:p w14:paraId="639B99CA" w14:textId="77777777" w:rsidR="004B2808" w:rsidRDefault="00000000">
      <w:pPr>
        <w:pStyle w:val="pheading"/>
      </w:pPr>
      <w:r>
        <w:t>- Définition / Comprend</w:t>
      </w:r>
    </w:p>
    <w:p w14:paraId="6367CE98" w14:textId="77777777" w:rsidR="004B2808" w:rsidRDefault="00000000">
      <w:pPr>
        <w:jc w:val="both"/>
      </w:pPr>
      <w:r>
        <w:t>Il s’agit de la fourniture (hors matériaux récupérés du même site) et la pose de poignées de porte.</w:t>
      </w:r>
    </w:p>
    <w:p w14:paraId="206D92DC" w14:textId="77777777" w:rsidR="004B2808" w:rsidRDefault="00000000">
      <w:pPr>
        <w:jc w:val="both"/>
      </w:pPr>
      <w:r>
        <w:t>Le travail comprend notamment :</w:t>
      </w:r>
    </w:p>
    <w:p w14:paraId="26A7BC25" w14:textId="77777777" w:rsidR="004B2808" w:rsidRDefault="00000000">
      <w:pPr>
        <w:pStyle w:val="Author-eListParagraph"/>
        <w:numPr>
          <w:ilvl w:val="0"/>
          <w:numId w:val="1176"/>
        </w:numPr>
        <w:jc w:val="both"/>
      </w:pPr>
      <w:r>
        <w:t>la fourniture (hors matériaux récupérés du même site)</w:t>
      </w:r>
    </w:p>
    <w:p w14:paraId="0BE99017" w14:textId="77777777" w:rsidR="004B2808" w:rsidRDefault="00000000">
      <w:pPr>
        <w:pStyle w:val="Author-eListParagraph"/>
        <w:numPr>
          <w:ilvl w:val="0"/>
          <w:numId w:val="1176"/>
        </w:numPr>
        <w:jc w:val="both"/>
      </w:pPr>
      <w:r>
        <w:t>la préparation de surface, l’adaptation de la porte</w:t>
      </w:r>
    </w:p>
    <w:p w14:paraId="1A49821F" w14:textId="77777777" w:rsidR="004B2808" w:rsidRDefault="00000000">
      <w:pPr>
        <w:pStyle w:val="Author-eListParagraph"/>
        <w:numPr>
          <w:ilvl w:val="0"/>
          <w:numId w:val="1176"/>
        </w:numPr>
        <w:jc w:val="both"/>
      </w:pPr>
      <w:r>
        <w:t>la pose et le réglage</w:t>
      </w:r>
    </w:p>
    <w:p w14:paraId="1111A8D8" w14:textId="77777777" w:rsidR="004B2808" w:rsidRDefault="00000000">
      <w:pPr>
        <w:pStyle w:val="Author-eListParagraph"/>
        <w:numPr>
          <w:ilvl w:val="0"/>
          <w:numId w:val="1176"/>
        </w:numPr>
        <w:jc w:val="both"/>
      </w:pPr>
      <w:r>
        <w:t>le nettoyage de la surface</w:t>
      </w:r>
    </w:p>
    <w:p w14:paraId="6D87282E" w14:textId="77777777" w:rsidR="004B2808" w:rsidRDefault="00000000">
      <w:pPr>
        <w:pStyle w:val="pheading"/>
      </w:pPr>
      <w:r>
        <w:t>MATÉRIAUX</w:t>
      </w:r>
    </w:p>
    <w:p w14:paraId="751D5203" w14:textId="77777777" w:rsidR="004B2808" w:rsidRDefault="00000000">
      <w:pPr>
        <w:pStyle w:val="pheading"/>
      </w:pPr>
      <w:r>
        <w:t>- Caractéristiques générales</w:t>
      </w:r>
    </w:p>
    <w:p w14:paraId="00E02D1D" w14:textId="77777777" w:rsidR="004B2808" w:rsidRDefault="00000000">
      <w:pPr>
        <w:jc w:val="both"/>
      </w:pPr>
      <w:r>
        <w:t xml:space="preserve">Les poignées de porte sont  principalement constituées en </w:t>
      </w:r>
      <w:r>
        <w:rPr>
          <w:rStyle w:val="optioncarChar"/>
        </w:rPr>
        <w:t xml:space="preserve">aluminium </w:t>
      </w:r>
      <w:r>
        <w:t>(par défaut)</w:t>
      </w:r>
      <w:r>
        <w:rPr>
          <w:rStyle w:val="optioncarChar"/>
        </w:rPr>
        <w:t xml:space="preserve"> / acier inoxydable / fer forgé-fonte / acier bichromaté / laiton / ***.</w:t>
      </w:r>
    </w:p>
    <w:p w14:paraId="332F53EE" w14:textId="77777777" w:rsidR="004B2808" w:rsidRDefault="00000000">
      <w:pPr>
        <w:ind w:left="567"/>
        <w:jc w:val="both"/>
      </w:pPr>
      <w:r>
        <w:rPr>
          <w:b/>
        </w:rPr>
        <w:t>(soit par défaut)</w:t>
      </w:r>
    </w:p>
    <w:p w14:paraId="39B39340" w14:textId="77777777" w:rsidR="004B2808" w:rsidRDefault="00000000">
      <w:pPr>
        <w:ind w:left="567"/>
        <w:jc w:val="both"/>
      </w:pPr>
      <w:r>
        <w:rPr>
          <w:rStyle w:val="soitChar"/>
          <w:u w:val="single"/>
        </w:rPr>
        <w:t>Aluminium</w:t>
      </w:r>
      <w:r>
        <w:rPr>
          <w:rStyle w:val="soitChar"/>
        </w:rPr>
        <w:t xml:space="preserve"> : poignées en alu standard en forme de </w:t>
      </w:r>
      <w:r>
        <w:rPr>
          <w:rStyle w:val="optioncarChar"/>
        </w:rPr>
        <w:t>H</w:t>
      </w:r>
      <w:r>
        <w:t xml:space="preserve"> (par défaut) </w:t>
      </w:r>
      <w:r>
        <w:rPr>
          <w:rStyle w:val="optioncarChar"/>
        </w:rPr>
        <w:t>/ ***</w:t>
      </w:r>
      <w:r>
        <w:rPr>
          <w:rStyle w:val="soitChar"/>
        </w:rPr>
        <w:t xml:space="preserve">, à bague en </w:t>
      </w:r>
      <w:r>
        <w:rPr>
          <w:rStyle w:val="optioncarChar"/>
        </w:rPr>
        <w:t xml:space="preserve">nylon </w:t>
      </w:r>
      <w:r>
        <w:t xml:space="preserve">(par défaut) </w:t>
      </w:r>
      <w:r>
        <w:rPr>
          <w:rStyle w:val="optioncarChar"/>
        </w:rPr>
        <w:t>/ ***</w:t>
      </w:r>
      <w:r>
        <w:t> </w:t>
      </w:r>
      <w:r>
        <w:rPr>
          <w:rStyle w:val="soitChar"/>
        </w:rPr>
        <w:t xml:space="preserve">et nœud </w:t>
      </w:r>
      <w:r>
        <w:rPr>
          <w:rStyle w:val="optioncarChar"/>
        </w:rPr>
        <w:t>inox</w:t>
      </w:r>
      <w:r>
        <w:t xml:space="preserve"> (par défaut)</w:t>
      </w:r>
      <w:r>
        <w:rPr>
          <w:rStyle w:val="optioncarChar"/>
        </w:rPr>
        <w:t xml:space="preserve"> / acier bichromaté / ***.</w:t>
      </w:r>
    </w:p>
    <w:p w14:paraId="3924CFA9" w14:textId="77777777" w:rsidR="004B2808" w:rsidRDefault="00000000">
      <w:pPr>
        <w:ind w:left="567"/>
        <w:jc w:val="both"/>
      </w:pPr>
      <w:r>
        <w:rPr>
          <w:b/>
        </w:rPr>
        <w:t>(soit)</w:t>
      </w:r>
    </w:p>
    <w:p w14:paraId="543F5A9D" w14:textId="77777777" w:rsidR="004B2808" w:rsidRDefault="00000000">
      <w:pPr>
        <w:ind w:left="567"/>
        <w:jc w:val="both"/>
      </w:pPr>
      <w:r>
        <w:rPr>
          <w:rStyle w:val="soitChar"/>
          <w:u w:val="single"/>
        </w:rPr>
        <w:t>Acier inoxydable</w:t>
      </w:r>
      <w:r>
        <w:rPr>
          <w:rStyle w:val="soitChar"/>
        </w:rPr>
        <w:t xml:space="preserve"> : acier inoxydable d’acier inoxydable selon la norme [NBN EN 10088 série] et sont en : </w:t>
      </w:r>
      <w:r>
        <w:rPr>
          <w:rStyle w:val="optioncarChar"/>
        </w:rPr>
        <w:t xml:space="preserve">acier austénitique au chrome nickel X5 Cr Ni 18/-10 </w:t>
      </w:r>
      <w:r>
        <w:t>(par défaut)</w:t>
      </w:r>
      <w:r>
        <w:rPr>
          <w:rStyle w:val="optioncarChar"/>
        </w:rPr>
        <w:t xml:space="preserve"> / acier inoxydable au chrome nickel molybdène X2 Cr Ni Mo 17-12-2 / acier inoxydable au chrome nickel molybdène X 5 Cr Ni Mo 17-12-2 / ***.</w:t>
      </w:r>
    </w:p>
    <w:p w14:paraId="1D84192C" w14:textId="77777777" w:rsidR="004B2808" w:rsidRDefault="00000000">
      <w:pPr>
        <w:ind w:left="567"/>
        <w:jc w:val="both"/>
      </w:pPr>
      <w:r>
        <w:rPr>
          <w:b/>
        </w:rPr>
        <w:t>(soit)</w:t>
      </w:r>
    </w:p>
    <w:p w14:paraId="6FC6622E" w14:textId="77777777" w:rsidR="004B2808" w:rsidRDefault="00000000">
      <w:pPr>
        <w:ind w:left="567"/>
        <w:jc w:val="both"/>
      </w:pPr>
      <w:r>
        <w:rPr>
          <w:rStyle w:val="soitChar"/>
          <w:u w:val="single"/>
        </w:rPr>
        <w:t>Fer forgé-fonte</w:t>
      </w:r>
      <w:r>
        <w:rPr>
          <w:rStyle w:val="soitChar"/>
        </w:rPr>
        <w:t xml:space="preserve"> : poignées en </w:t>
      </w:r>
      <w:r>
        <w:rPr>
          <w:rStyle w:val="optioncarChar"/>
        </w:rPr>
        <w:t>fer forgé</w:t>
      </w:r>
      <w:r>
        <w:t xml:space="preserve"> (par défaut)</w:t>
      </w:r>
      <w:r>
        <w:rPr>
          <w:rStyle w:val="optioncarChar"/>
        </w:rPr>
        <w:t xml:space="preserve"> / fonte / ***</w:t>
      </w:r>
      <w:r>
        <w:rPr>
          <w:rStyle w:val="soitChar"/>
        </w:rPr>
        <w:t> ayant un traitement antirouille.</w:t>
      </w:r>
    </w:p>
    <w:p w14:paraId="28B17D91" w14:textId="77777777" w:rsidR="004B2808" w:rsidRDefault="00000000">
      <w:pPr>
        <w:ind w:left="567"/>
        <w:jc w:val="both"/>
      </w:pPr>
      <w:r>
        <w:rPr>
          <w:b/>
        </w:rPr>
        <w:t>(soit)</w:t>
      </w:r>
    </w:p>
    <w:p w14:paraId="3C2AEB15" w14:textId="77777777" w:rsidR="004B2808" w:rsidRDefault="00000000">
      <w:pPr>
        <w:ind w:left="567"/>
        <w:jc w:val="both"/>
      </w:pPr>
      <w:r>
        <w:rPr>
          <w:rStyle w:val="soitChar"/>
          <w:u w:val="single"/>
        </w:rPr>
        <w:t>Acier bichromaté</w:t>
      </w:r>
    </w:p>
    <w:p w14:paraId="55896270" w14:textId="77777777" w:rsidR="004B2808" w:rsidRDefault="00000000">
      <w:pPr>
        <w:ind w:left="567"/>
        <w:jc w:val="both"/>
      </w:pPr>
      <w:r>
        <w:rPr>
          <w:b/>
        </w:rPr>
        <w:t>(soit)</w:t>
      </w:r>
    </w:p>
    <w:p w14:paraId="12924C6A" w14:textId="77777777" w:rsidR="004B2808" w:rsidRDefault="00000000">
      <w:pPr>
        <w:ind w:left="567"/>
        <w:jc w:val="both"/>
      </w:pPr>
      <w:r>
        <w:rPr>
          <w:rStyle w:val="soitChar"/>
          <w:u w:val="single"/>
        </w:rPr>
        <w:t xml:space="preserve">Laiton </w:t>
      </w:r>
      <w:r>
        <w:rPr>
          <w:color w:val="33CCCC"/>
        </w:rPr>
        <w:t> </w:t>
      </w:r>
    </w:p>
    <w:p w14:paraId="118A3D4D" w14:textId="77777777" w:rsidR="004B2808" w:rsidRDefault="00000000">
      <w:pPr>
        <w:ind w:left="567"/>
        <w:jc w:val="both"/>
      </w:pPr>
      <w:r>
        <w:rPr>
          <w:b/>
        </w:rPr>
        <w:t>(soit)</w:t>
      </w:r>
    </w:p>
    <w:p w14:paraId="7F5E6EB0" w14:textId="77777777" w:rsidR="004B2808" w:rsidRDefault="00000000">
      <w:pPr>
        <w:ind w:left="567"/>
        <w:jc w:val="both"/>
      </w:pPr>
      <w:r>
        <w:rPr>
          <w:rStyle w:val="optioncarChar"/>
        </w:rPr>
        <w:t>***  </w:t>
      </w:r>
    </w:p>
    <w:p w14:paraId="64C94D39" w14:textId="77777777" w:rsidR="004B2808" w:rsidRDefault="00000000">
      <w:pPr>
        <w:jc w:val="both"/>
      </w:pPr>
      <w:r>
        <w:t xml:space="preserve">Les poignées sont </w:t>
      </w:r>
      <w:r>
        <w:rPr>
          <w:rStyle w:val="optioncarChar"/>
        </w:rPr>
        <w:t>neuves</w:t>
      </w:r>
      <w:r>
        <w:t xml:space="preserve"> (par défaut)</w:t>
      </w:r>
      <w:r>
        <w:rPr>
          <w:rStyle w:val="optioncarChar"/>
        </w:rPr>
        <w:t xml:space="preserve"> / de réemploi.</w:t>
      </w:r>
    </w:p>
    <w:p w14:paraId="19A46424" w14:textId="77777777" w:rsidR="004B2808" w:rsidRDefault="00000000">
      <w:pPr>
        <w:ind w:left="567"/>
        <w:jc w:val="both"/>
      </w:pPr>
      <w:r>
        <w:rPr>
          <w:b/>
        </w:rPr>
        <w:t>(soit par défaut)</w:t>
      </w:r>
    </w:p>
    <w:p w14:paraId="52A28A26" w14:textId="77777777" w:rsidR="004B2808" w:rsidRDefault="00000000">
      <w:pPr>
        <w:ind w:left="567"/>
        <w:jc w:val="both"/>
      </w:pPr>
      <w:r>
        <w:rPr>
          <w:color w:val="33CCCC"/>
        </w:rPr>
        <w:t>Neuves :</w:t>
      </w:r>
    </w:p>
    <w:p w14:paraId="409AC22D" w14:textId="77777777" w:rsidR="004B2808" w:rsidRDefault="00000000">
      <w:pPr>
        <w:ind w:left="567"/>
        <w:jc w:val="both"/>
      </w:pPr>
      <w:r>
        <w:rPr>
          <w:rStyle w:val="soitChar"/>
        </w:rPr>
        <w:lastRenderedPageBreak/>
        <w:t>Les poignées sont conformes aux exigences de la [NBN EN 12217]. Les poignées mécatroniques ou biométriques sont conformes à la norme [NBN EN 16867].</w:t>
      </w:r>
    </w:p>
    <w:p w14:paraId="0C18012E" w14:textId="77777777" w:rsidR="004B2808" w:rsidRDefault="00000000">
      <w:pPr>
        <w:ind w:left="567"/>
        <w:jc w:val="both"/>
      </w:pPr>
      <w:r>
        <w:rPr>
          <w:b/>
        </w:rPr>
        <w:t>(soit)</w:t>
      </w:r>
    </w:p>
    <w:p w14:paraId="0FF20A78" w14:textId="77777777" w:rsidR="004B2808" w:rsidRDefault="00000000">
      <w:pPr>
        <w:ind w:left="567"/>
        <w:jc w:val="both"/>
      </w:pPr>
      <w:r>
        <w:rPr>
          <w:rStyle w:val="soitChar"/>
          <w:u w:val="single"/>
        </w:rPr>
        <w:t xml:space="preserve">Réemploi : </w:t>
      </w:r>
      <w:r>
        <w:rPr>
          <w:rStyle w:val="soitChar"/>
        </w:rPr>
        <w:t xml:space="preserve"> il</w:t>
      </w:r>
      <w:r>
        <w:rPr>
          <w:color w:val="33CCCC"/>
        </w:rPr>
        <w:t xml:space="preserve"> s’agit de poignées de réemploi comme alternative aux éléments neufs.</w:t>
      </w:r>
    </w:p>
    <w:p w14:paraId="53885F61" w14:textId="77777777" w:rsidR="004B2808" w:rsidRDefault="00000000">
      <w:pPr>
        <w:ind w:left="567"/>
        <w:jc w:val="both"/>
      </w:pPr>
      <w:r>
        <w:rPr>
          <w:color w:val="33CCCC"/>
        </w:rPr>
        <w:t xml:space="preserve">Les références, fiches et déclarations d’aptitude à l’utilisation décrite au chapitre </w:t>
      </w:r>
      <w:r>
        <w:t>02.42.1 Critères d'acceptabilité</w:t>
      </w:r>
      <w:r>
        <w:rPr>
          <w:color w:val="33CCCC"/>
        </w:rPr>
        <w:t xml:space="preserve"> déposées dans le cadre du chantier initial sont soumises à l’analyse du maitre d’ouvrage avant validation.</w:t>
      </w:r>
    </w:p>
    <w:p w14:paraId="31BFF883" w14:textId="77777777" w:rsidR="004B2808" w:rsidRDefault="00000000">
      <w:pPr>
        <w:ind w:left="567"/>
        <w:jc w:val="both"/>
      </w:pPr>
      <w:r>
        <w:rPr>
          <w:color w:val="33CCCC"/>
        </w:rPr>
        <w:t>Les poignées de réemploi sont nettoyées et graissées avant mise en œuvre.</w:t>
      </w:r>
    </w:p>
    <w:p w14:paraId="2CAD7F20" w14:textId="77777777" w:rsidR="004B2808" w:rsidRDefault="00000000">
      <w:pPr>
        <w:jc w:val="both"/>
      </w:pPr>
      <w:r>
        <w:t xml:space="preserve">Pour les poignées de réemploi, il s’agit </w:t>
      </w:r>
      <w:r>
        <w:rPr>
          <w:rStyle w:val="optioncarChar"/>
        </w:rPr>
        <w:t xml:space="preserve">de la fourniture et de la pose </w:t>
      </w:r>
      <w:r>
        <w:t xml:space="preserve">(par défaut) </w:t>
      </w:r>
      <w:r>
        <w:rPr>
          <w:rStyle w:val="optioncarChar"/>
        </w:rPr>
        <w:t>/ uniquement de la pose.  </w:t>
      </w:r>
    </w:p>
    <w:p w14:paraId="16F2B7AF" w14:textId="77777777" w:rsidR="004B2808" w:rsidRDefault="00000000">
      <w:pPr>
        <w:ind w:left="567"/>
        <w:jc w:val="both"/>
      </w:pPr>
      <w:r>
        <w:rPr>
          <w:b/>
        </w:rPr>
        <w:t>(soit par défaut)</w:t>
      </w:r>
    </w:p>
    <w:p w14:paraId="787D6BDE" w14:textId="77777777" w:rsidR="004B2808" w:rsidRDefault="00000000">
      <w:pPr>
        <w:ind w:left="567"/>
        <w:jc w:val="both"/>
      </w:pPr>
      <w:r>
        <w:rPr>
          <w:rStyle w:val="soitChar"/>
          <w:u w:val="single"/>
        </w:rPr>
        <w:t xml:space="preserve">Fourniture et pose </w:t>
      </w:r>
      <w:r>
        <w:rPr>
          <w:rStyle w:val="soitChar"/>
        </w:rPr>
        <w:t> </w:t>
      </w:r>
      <w:r>
        <w:rPr>
          <w:color w:val="33CCCC"/>
        </w:rPr>
        <w:t>: Les poignées sont fournies par l’entreprise.</w:t>
      </w:r>
    </w:p>
    <w:p w14:paraId="7EA025CC" w14:textId="77777777" w:rsidR="004B2808" w:rsidRDefault="00000000">
      <w:pPr>
        <w:ind w:left="567"/>
        <w:jc w:val="both"/>
      </w:pPr>
      <w:r>
        <w:rPr>
          <w:b/>
        </w:rPr>
        <w:t>(soit)</w:t>
      </w:r>
    </w:p>
    <w:p w14:paraId="60D6F094" w14:textId="77777777" w:rsidR="004B2808" w:rsidRDefault="00000000">
      <w:pPr>
        <w:ind w:left="567"/>
        <w:jc w:val="both"/>
      </w:pPr>
      <w:r>
        <w:rPr>
          <w:rStyle w:val="soitChar"/>
          <w:u w:val="single"/>
        </w:rPr>
        <w:t xml:space="preserve">Pose  </w:t>
      </w:r>
      <w:r>
        <w:rPr>
          <w:rStyle w:val="soitChar"/>
        </w:rPr>
        <w:t>:</w:t>
      </w:r>
      <w:r>
        <w:rPr>
          <w:color w:val="33CCCC"/>
        </w:rPr>
        <w:t xml:space="preserve"> Les poignées sont fournies par le Maitre d’ouvrage. Dans le cas d’un démontage sur chantier pour réutilisation du matériau, se référer aux éléments du </w:t>
      </w:r>
      <w:r>
        <w:t>06.44.4 Démontages de menuiseries et vitrages intérieurs</w:t>
      </w:r>
      <w:r>
        <w:rPr>
          <w:color w:val="33CCCC"/>
        </w:rPr>
        <w:t xml:space="preserve">, </w:t>
      </w:r>
      <w:r>
        <w:t>06.44.4b Démontages des portes et huisseries intérieures</w:t>
      </w:r>
      <w:r>
        <w:rPr>
          <w:color w:val="33CCCC"/>
        </w:rPr>
        <w:t xml:space="preserve">, </w:t>
      </w:r>
      <w:r>
        <w:t>06.54.4 Démontages de menuiseries et vitrages intérieurs</w:t>
      </w:r>
      <w:r>
        <w:rPr>
          <w:color w:val="33CCCC"/>
        </w:rPr>
        <w:t xml:space="preserve">, </w:t>
      </w:r>
      <w:r>
        <w:t>06.54.4b Démontages des portes et huisseries intérieures</w:t>
      </w:r>
      <w:r>
        <w:rPr>
          <w:color w:val="33CCCC"/>
        </w:rPr>
        <w:t>.</w:t>
      </w:r>
    </w:p>
    <w:p w14:paraId="30D84624" w14:textId="77777777" w:rsidR="004B2808" w:rsidRDefault="00000000">
      <w:pPr>
        <w:pStyle w:val="pheading"/>
      </w:pPr>
      <w:r>
        <w:t>- Finitions</w:t>
      </w:r>
    </w:p>
    <w:p w14:paraId="7407ADE3" w14:textId="77777777" w:rsidR="004B2808" w:rsidRDefault="00000000">
      <w:pPr>
        <w:jc w:val="both"/>
      </w:pPr>
      <w:r>
        <w:t xml:space="preserve">La finition est </w:t>
      </w:r>
      <w:r>
        <w:rPr>
          <w:rStyle w:val="optioncarChar"/>
        </w:rPr>
        <w:t xml:space="preserve">anodisé </w:t>
      </w:r>
      <w:r>
        <w:t>(par défaut)</w:t>
      </w:r>
      <w:r>
        <w:rPr>
          <w:rStyle w:val="optioncarChar"/>
        </w:rPr>
        <w:t xml:space="preserve"> / aluminium brossé / laqué RAL n° ***  / ***</w:t>
      </w:r>
      <w:r>
        <w:t>.</w:t>
      </w:r>
    </w:p>
    <w:p w14:paraId="65A6E35C" w14:textId="77777777" w:rsidR="004B2808" w:rsidRDefault="00000000">
      <w:pPr>
        <w:pStyle w:val="pheading"/>
      </w:pPr>
      <w:r>
        <w:t>EXÉCUTION / MISE EN ŒUVRE</w:t>
      </w:r>
    </w:p>
    <w:p w14:paraId="4E6D310A" w14:textId="77777777" w:rsidR="004B2808" w:rsidRDefault="00000000">
      <w:pPr>
        <w:pStyle w:val="pheading"/>
      </w:pPr>
      <w:r>
        <w:t>- Notes d’exécution complémentaires</w:t>
      </w:r>
    </w:p>
    <w:p w14:paraId="4DFF26B2" w14:textId="77777777" w:rsidR="004B2808" w:rsidRDefault="00000000">
      <w:pPr>
        <w:jc w:val="both"/>
      </w:pPr>
      <w:r>
        <w:rPr>
          <w:rStyle w:val="facultChar"/>
          <w:b/>
        </w:rPr>
        <w:t>Accessibilité aux personnes à mobilité réduite (PMR)  </w:t>
      </w:r>
    </w:p>
    <w:p w14:paraId="507C613D" w14:textId="77777777" w:rsidR="004B2808" w:rsidRDefault="00000000">
      <w:pPr>
        <w:jc w:val="both"/>
      </w:pPr>
      <w:r>
        <w:rPr>
          <w:rStyle w:val="facultChar"/>
          <w:u w:val="single"/>
        </w:rPr>
        <w:t>Poignées de portes : </w:t>
      </w:r>
      <w:r>
        <w:rPr>
          <w:rStyle w:val="facultChar"/>
        </w:rPr>
        <w:t>  </w:t>
      </w:r>
    </w:p>
    <w:p w14:paraId="4EAB548D" w14:textId="77777777" w:rsidR="004B2808" w:rsidRDefault="00000000">
      <w:pPr>
        <w:pStyle w:val="Author-eListParagraph"/>
        <w:numPr>
          <w:ilvl w:val="0"/>
          <w:numId w:val="1177"/>
        </w:numPr>
      </w:pPr>
      <w:r>
        <w:rPr>
          <w:rStyle w:val="facultChar"/>
        </w:rPr>
        <w:t>Hauteur de la poignée : entre 90 et 110 cm au-dessus du niveau du sol [SWL CALA]   </w:t>
      </w:r>
    </w:p>
    <w:p w14:paraId="1DD77493" w14:textId="77777777" w:rsidR="004B2808" w:rsidRDefault="00000000">
      <w:pPr>
        <w:pStyle w:val="Author-eListParagraph"/>
        <w:numPr>
          <w:ilvl w:val="0"/>
          <w:numId w:val="1177"/>
        </w:numPr>
      </w:pPr>
      <w:r>
        <w:rPr>
          <w:rStyle w:val="facultChar"/>
        </w:rPr>
        <w:t>Forme de la poignée : type levier (utilisable le poing fermé) [SWL CALA]              </w:t>
      </w:r>
    </w:p>
    <w:p w14:paraId="6D9FEC96" w14:textId="77777777" w:rsidR="004B2808" w:rsidRDefault="00000000">
      <w:pPr>
        <w:pStyle w:val="Author-eListParagraph"/>
        <w:numPr>
          <w:ilvl w:val="0"/>
          <w:numId w:val="1177"/>
        </w:numPr>
      </w:pPr>
      <w:r>
        <w:rPr>
          <w:rStyle w:val="facultChar"/>
        </w:rPr>
        <w:t>Ergonomie du levier : [BS 8300] </w:t>
      </w:r>
    </w:p>
    <w:p w14:paraId="2B4437BF" w14:textId="77777777" w:rsidR="004B2808" w:rsidRDefault="00000000">
      <w:pPr>
        <w:pStyle w:val="Author-eListParagraph"/>
        <w:numPr>
          <w:ilvl w:val="1"/>
          <w:numId w:val="1178"/>
        </w:numPr>
      </w:pPr>
      <w:r>
        <w:rPr>
          <w:rStyle w:val="facultChar"/>
        </w:rPr>
        <w:t>Diamètre de la zone de préhension : minimum 19 mm</w:t>
      </w:r>
    </w:p>
    <w:p w14:paraId="731B5A99" w14:textId="77777777" w:rsidR="004B2808" w:rsidRDefault="00000000">
      <w:pPr>
        <w:pStyle w:val="Author-eListParagraph"/>
        <w:numPr>
          <w:ilvl w:val="1"/>
          <w:numId w:val="1178"/>
        </w:numPr>
      </w:pPr>
      <w:r>
        <w:rPr>
          <w:rStyle w:val="facultChar"/>
        </w:rPr>
        <w:t>Distance entre la zone de préhension et la feuille de porte : minimum 45 mm</w:t>
      </w:r>
    </w:p>
    <w:p w14:paraId="7B6F92F8" w14:textId="77777777" w:rsidR="004B2808" w:rsidRDefault="00000000">
      <w:pPr>
        <w:pStyle w:val="Author-eListParagraph"/>
        <w:numPr>
          <w:ilvl w:val="1"/>
          <w:numId w:val="1178"/>
        </w:numPr>
      </w:pPr>
      <w:r>
        <w:rPr>
          <w:rStyle w:val="facultChar"/>
        </w:rPr>
        <w:t>Longueur de la zone de préhension : minimum 95 mm</w:t>
      </w:r>
    </w:p>
    <w:p w14:paraId="026629CF" w14:textId="77777777" w:rsidR="004B2808" w:rsidRDefault="00000000">
      <w:pPr>
        <w:pStyle w:val="Author-eListParagraph"/>
        <w:numPr>
          <w:ilvl w:val="0"/>
          <w:numId w:val="1177"/>
        </w:numPr>
      </w:pPr>
      <w:r>
        <w:rPr>
          <w:rStyle w:val="facultChar"/>
        </w:rPr>
        <w:t>Efforts de man</w:t>
      </w:r>
      <w:r>
        <w:rPr>
          <w:rStyle w:val="facultChar"/>
          <w:b/>
        </w:rPr>
        <w:t>œ</w:t>
      </w:r>
      <w:r>
        <w:rPr>
          <w:rStyle w:val="facultChar"/>
        </w:rPr>
        <w:t>uvre : Classe 3 ou 4 (Quincaillerie) de la norme [NBN EN 12217], [SWL CALA] et [STS 53.1]</w:t>
      </w:r>
    </w:p>
    <w:p w14:paraId="245EAB77" w14:textId="77777777" w:rsidR="004B2808" w:rsidRDefault="00000000">
      <w:pPr>
        <w:pStyle w:val="Author-eListParagraph"/>
        <w:numPr>
          <w:ilvl w:val="0"/>
          <w:numId w:val="1177"/>
        </w:numPr>
      </w:pPr>
      <w:r>
        <w:rPr>
          <w:rStyle w:val="facultChar"/>
        </w:rPr>
        <w:t>Contraste : différence de coefficient de réflexion (LRV) entre la poignée et la porte de minimum 15%   [SWL CALA] et [NBN ISO 21542]</w:t>
      </w:r>
    </w:p>
    <w:p w14:paraId="5EE4AFB9" w14:textId="77777777" w:rsidR="004B2808" w:rsidRDefault="00000000">
      <w:pPr>
        <w:jc w:val="both"/>
      </w:pPr>
      <w:r>
        <w:rPr>
          <w:rStyle w:val="facultChar"/>
          <w:u w:val="single"/>
        </w:rPr>
        <w:t>Poignées de (portes-)fenêtres :</w:t>
      </w:r>
    </w:p>
    <w:p w14:paraId="06364598" w14:textId="77777777" w:rsidR="004B2808" w:rsidRDefault="00000000">
      <w:pPr>
        <w:pStyle w:val="Author-eListParagraph"/>
        <w:numPr>
          <w:ilvl w:val="0"/>
          <w:numId w:val="1179"/>
        </w:numPr>
        <w:jc w:val="both"/>
      </w:pPr>
      <w:r>
        <w:rPr>
          <w:rStyle w:val="facultChar"/>
        </w:rPr>
        <w:t>Hauteur de la poignée : entre 80 et 110 cm au-dessus du niveau du sol [SWL CALA]</w:t>
      </w:r>
    </w:p>
    <w:p w14:paraId="6B189595" w14:textId="77777777" w:rsidR="004B2808" w:rsidRDefault="00000000">
      <w:pPr>
        <w:pStyle w:val="Author-eListParagraph"/>
        <w:numPr>
          <w:ilvl w:val="0"/>
          <w:numId w:val="1179"/>
        </w:numPr>
        <w:jc w:val="both"/>
      </w:pPr>
      <w:r>
        <w:rPr>
          <w:rStyle w:val="facultChar"/>
        </w:rPr>
        <w:t>Forme de la poignée : type levier (utilisable le poing fermé)  [SWL CALA]</w:t>
      </w:r>
    </w:p>
    <w:p w14:paraId="292F6C44" w14:textId="77777777" w:rsidR="004B2808" w:rsidRDefault="00000000">
      <w:pPr>
        <w:pStyle w:val="Author-eListParagraph"/>
        <w:numPr>
          <w:ilvl w:val="0"/>
          <w:numId w:val="1179"/>
        </w:numPr>
        <w:jc w:val="both"/>
      </w:pPr>
      <w:r>
        <w:rPr>
          <w:rStyle w:val="facultChar"/>
        </w:rPr>
        <w:t>Efforts de manœuvre : Classe 2 (Quincaillerie) de la norme [NBN B 25-002-1]</w:t>
      </w:r>
    </w:p>
    <w:p w14:paraId="1B593F5A" w14:textId="77777777" w:rsidR="004B2808" w:rsidRDefault="00000000">
      <w:pPr>
        <w:pStyle w:val="Author-eListParagraph"/>
        <w:numPr>
          <w:ilvl w:val="0"/>
          <w:numId w:val="1179"/>
        </w:numPr>
        <w:jc w:val="both"/>
      </w:pPr>
      <w:r>
        <w:rPr>
          <w:rStyle w:val="facultChar"/>
        </w:rPr>
        <w:t>Contraste : différence de coefficient de réflexion (LRV) entre la poignée et la (porte-)fenêtre de minimum 15%   [SWL CALA] et [NBN ISO 21542]</w:t>
      </w:r>
    </w:p>
    <w:p w14:paraId="49E02095" w14:textId="77777777" w:rsidR="004B2808" w:rsidRDefault="00000000">
      <w:pPr>
        <w:pStyle w:val="pheading"/>
      </w:pPr>
      <w:r>
        <w:t>DOCUMENTS DE RÉFÉRENCE COMPLÉMENTAIRES</w:t>
      </w:r>
    </w:p>
    <w:p w14:paraId="364ED982" w14:textId="77777777" w:rsidR="004B2808" w:rsidRDefault="00000000">
      <w:pPr>
        <w:pStyle w:val="pheading"/>
      </w:pPr>
      <w:r>
        <w:t>- Matériau</w:t>
      </w:r>
    </w:p>
    <w:p w14:paraId="09FB20DA" w14:textId="77777777" w:rsidR="004B2808" w:rsidRDefault="00000000">
      <w:r>
        <w:t>[NBN EN 10088 série, Aciers inoxydables]</w:t>
      </w:r>
    </w:p>
    <w:p w14:paraId="02280FC2" w14:textId="77777777" w:rsidR="004B2808" w:rsidRDefault="00000000">
      <w:r>
        <w:t>[NBN EN 16867, Quincaillerie pour le bâtiment - Poignée de porte mécatronique - Exigences et méthodes d'essai]</w:t>
      </w:r>
    </w:p>
    <w:p w14:paraId="55F140AB" w14:textId="77777777" w:rsidR="004B2808" w:rsidRDefault="00000000">
      <w:r>
        <w:lastRenderedPageBreak/>
        <w:t>[STS 53.1, Portes]</w:t>
      </w:r>
    </w:p>
    <w:p w14:paraId="234ACCFF" w14:textId="77777777" w:rsidR="004B2808" w:rsidRDefault="00000000">
      <w:r>
        <w:t>[NBN EN 12217, Portes - Forces de manœuvre - Prescriptions et classification]</w:t>
      </w:r>
    </w:p>
    <w:p w14:paraId="07A71A32" w14:textId="77777777" w:rsidR="004B2808" w:rsidRDefault="00000000">
      <w:pPr>
        <w:pStyle w:val="pheading"/>
      </w:pPr>
      <w:r>
        <w:t>- Exécution</w:t>
      </w:r>
    </w:p>
    <w:p w14:paraId="30A4B58D" w14:textId="77777777" w:rsidR="004B2808" w:rsidRDefault="00000000">
      <w:r>
        <w:t>[BS 8300, Design of buildings and their approaches to meet the needs of disabled people. Code of Practice]</w:t>
      </w:r>
    </w:p>
    <w:p w14:paraId="39D59D57" w14:textId="77777777" w:rsidR="004B2808" w:rsidRDefault="00000000">
      <w:r>
        <w:t>[NBN EN 12217, Portes - Forces de manœuvre - Prescriptions et classification] </w:t>
      </w:r>
    </w:p>
    <w:p w14:paraId="5301F882" w14:textId="77777777" w:rsidR="004B2808" w:rsidRDefault="00000000">
      <w:r>
        <w:t>[STS 53.1, Portes]</w:t>
      </w:r>
    </w:p>
    <w:p w14:paraId="0DA76E45" w14:textId="77777777" w:rsidR="004B2808" w:rsidRDefault="00000000">
      <w:r>
        <w:t>[NBN B 25-002-1, Menuiserie extérieure - Partie 1: Prescription des performances générales – Fenêtres et façades rideaux]</w:t>
      </w:r>
    </w:p>
    <w:p w14:paraId="6B3DF4C7" w14:textId="77777777" w:rsidR="004B2808" w:rsidRDefault="00000000">
      <w:r>
        <w:t>[SWL CALA, Guide d’aide à la conception d’un logement adaptable]</w:t>
      </w:r>
    </w:p>
    <w:p w14:paraId="42E45A79" w14:textId="77777777" w:rsidR="004B2808" w:rsidRDefault="00000000">
      <w:r>
        <w:t>[NBN ISO 21542, Construction immobilière — Accessibilité et facilité d'utilisation de l'environnement bâti (ISO 21542:2011)]</w:t>
      </w:r>
    </w:p>
    <w:p w14:paraId="4D6FA840" w14:textId="77777777" w:rsidR="004B2808" w:rsidRDefault="00000000">
      <w:pPr>
        <w:pStyle w:val="pheading"/>
      </w:pPr>
      <w:r>
        <w:t>MESURAGE</w:t>
      </w:r>
    </w:p>
    <w:p w14:paraId="4F96865A" w14:textId="77777777" w:rsidR="004B2808" w:rsidRDefault="00000000">
      <w:pPr>
        <w:pStyle w:val="pheading"/>
      </w:pPr>
      <w:r>
        <w:t>- unité de mesure:</w:t>
      </w:r>
    </w:p>
    <w:p w14:paraId="5CAD0223" w14:textId="77777777" w:rsidR="004B2808" w:rsidRDefault="00000000">
      <w:r>
        <w:rPr>
          <w:rStyle w:val="optioncarChar"/>
        </w:rPr>
        <w:t xml:space="preserve">- </w:t>
      </w:r>
      <w:r>
        <w:t xml:space="preserve">(par défaut) </w:t>
      </w:r>
      <w:r>
        <w:rPr>
          <w:rStyle w:val="optioncarChar"/>
        </w:rPr>
        <w:t>/ pc</w:t>
      </w:r>
    </w:p>
    <w:p w14:paraId="7437D194" w14:textId="77777777" w:rsidR="004B2808" w:rsidRDefault="00000000">
      <w:r>
        <w:rPr>
          <w:b/>
        </w:rPr>
        <w:t>(soit par défaut)</w:t>
      </w:r>
      <w:r>
        <w:br/>
      </w:r>
      <w:r>
        <w:rPr>
          <w:rStyle w:val="soitChar"/>
        </w:rPr>
        <w:t>1. -</w:t>
      </w:r>
      <w:r>
        <w:br/>
      </w:r>
      <w:r>
        <w:rPr>
          <w:b/>
        </w:rPr>
        <w:t>(soit)</w:t>
      </w:r>
      <w:r>
        <w:br/>
      </w:r>
      <w:r>
        <w:rPr>
          <w:rStyle w:val="soitChar"/>
        </w:rPr>
        <w:t>2. 3. pc</w:t>
      </w:r>
    </w:p>
    <w:p w14:paraId="1C7004F1" w14:textId="77777777" w:rsidR="004B2808" w:rsidRDefault="00000000">
      <w:pPr>
        <w:pStyle w:val="pheading"/>
      </w:pPr>
      <w:r>
        <w:t>- code de mesurage:</w:t>
      </w:r>
    </w:p>
    <w:p w14:paraId="107A53DE" w14:textId="77777777" w:rsidR="004B2808" w:rsidRDefault="00000000">
      <w:pPr>
        <w:jc w:val="both"/>
      </w:pPr>
      <w:r>
        <w:t>Sauf indications spécifique contraire dans le cahier spécial des charges et./ou le métré récapitulatif, le prix de toute la quincaillerie sera compris dans le prix unitaire de la menuiserie extérieure (profilés).</w:t>
      </w:r>
    </w:p>
    <w:p w14:paraId="3FF0159C" w14:textId="77777777" w:rsidR="004B2808" w:rsidRDefault="00000000">
      <w:pPr>
        <w:jc w:val="both"/>
      </w:pPr>
      <w:r>
        <w:t>Exceptionnellement et moyennant mention expresse dans le cahier spécial des charges et le métré récapitulatif, la quincaillerie spéciale peut être reprise comme poste séparé (par ex. ferme-porte / barre anti-panique / serrures électriques /...).</w:t>
      </w:r>
    </w:p>
    <w:p w14:paraId="7879D0B8" w14:textId="77777777" w:rsidR="004B2808" w:rsidRDefault="00000000">
      <w:pPr>
        <w:jc w:val="both"/>
      </w:pPr>
      <w:r>
        <w:t>Distinction faire entre poignées neuves et de réemploi, avec ou sans fourniture pour ces dernières.</w:t>
      </w:r>
    </w:p>
    <w:p w14:paraId="744914E2" w14:textId="77777777" w:rsidR="004B2808" w:rsidRDefault="00000000">
      <w:pPr>
        <w:jc w:val="both"/>
      </w:pPr>
      <w:r>
        <w:rPr>
          <w:rStyle w:val="optioncarChar"/>
        </w:rPr>
        <w:t xml:space="preserve">Compris </w:t>
      </w:r>
      <w:r>
        <w:t>(par défaut)</w:t>
      </w:r>
      <w:r>
        <w:rPr>
          <w:rStyle w:val="optioncarChar"/>
        </w:rPr>
        <w:t xml:space="preserve"> / Quantité nette</w:t>
      </w:r>
    </w:p>
    <w:p w14:paraId="32B30DA0" w14:textId="77777777" w:rsidR="004B2808" w:rsidRDefault="00000000">
      <w:pPr>
        <w:jc w:val="both"/>
      </w:pPr>
      <w:r>
        <w:rPr>
          <w:b/>
        </w:rPr>
        <w:t>(soit par défaut)</w:t>
      </w:r>
    </w:p>
    <w:p w14:paraId="1A1E7FC7" w14:textId="77777777" w:rsidR="004B2808" w:rsidRDefault="00000000">
      <w:pPr>
        <w:jc w:val="both"/>
      </w:pPr>
      <w:r>
        <w:rPr>
          <w:rStyle w:val="soitChar"/>
        </w:rPr>
        <w:t xml:space="preserve">1. </w:t>
      </w:r>
      <w:r>
        <w:rPr>
          <w:rStyle w:val="soitChar"/>
          <w:u w:val="single"/>
        </w:rPr>
        <w:t>Compris</w:t>
      </w:r>
      <w:r>
        <w:rPr>
          <w:rStyle w:val="soitChar"/>
        </w:rPr>
        <w:t xml:space="preserve"> : Le prix de toute la poignée est compris dans le prix unitaire de la menuiserie extérieure (profilés) dans l’/les article(s) </w:t>
      </w:r>
      <w:r>
        <w:rPr>
          <w:rStyle w:val="optioncarChar"/>
        </w:rPr>
        <w:t>***.</w:t>
      </w:r>
    </w:p>
    <w:p w14:paraId="1F18C82A" w14:textId="77777777" w:rsidR="004B2808" w:rsidRDefault="00000000">
      <w:pPr>
        <w:jc w:val="both"/>
      </w:pPr>
      <w:r>
        <w:rPr>
          <w:b/>
        </w:rPr>
        <w:t>(soit)</w:t>
      </w:r>
    </w:p>
    <w:p w14:paraId="14C3C90E" w14:textId="77777777" w:rsidR="004B2808" w:rsidRDefault="00000000">
      <w:pPr>
        <w:jc w:val="both"/>
      </w:pPr>
      <w:r>
        <w:rPr>
          <w:rStyle w:val="soitChar"/>
        </w:rPr>
        <w:t>2. 3.  </w:t>
      </w:r>
      <w:r>
        <w:rPr>
          <w:rStyle w:val="soitChar"/>
          <w:u w:val="single"/>
        </w:rPr>
        <w:t>Quantité nette</w:t>
      </w:r>
      <w:r>
        <w:rPr>
          <w:rStyle w:val="soitChar"/>
        </w:rPr>
        <w:t> </w:t>
      </w:r>
    </w:p>
    <w:p w14:paraId="3604D0BD" w14:textId="77777777" w:rsidR="004B2808" w:rsidRDefault="00000000">
      <w:pPr>
        <w:pStyle w:val="pheading"/>
      </w:pPr>
      <w:r>
        <w:t>- nature du marché:</w:t>
      </w:r>
    </w:p>
    <w:p w14:paraId="71C8B467" w14:textId="77777777" w:rsidR="004B2808" w:rsidRDefault="00000000">
      <w:r>
        <w:rPr>
          <w:rStyle w:val="optioncarChar"/>
        </w:rPr>
        <w:t>PM</w:t>
      </w:r>
      <w:r>
        <w:t xml:space="preserve"> (par défaut) </w:t>
      </w:r>
      <w:r>
        <w:rPr>
          <w:rStyle w:val="optioncarChar"/>
        </w:rPr>
        <w:t>/ QF / QP  </w:t>
      </w:r>
    </w:p>
    <w:p w14:paraId="3BBDDA24" w14:textId="77777777" w:rsidR="004B2808" w:rsidRDefault="00000000">
      <w:r>
        <w:rPr>
          <w:b/>
        </w:rPr>
        <w:t>(soit par défaut)</w:t>
      </w:r>
      <w:r>
        <w:br/>
      </w:r>
      <w:r>
        <w:rPr>
          <w:rStyle w:val="soitChar"/>
        </w:rPr>
        <w:t>1. PM</w:t>
      </w:r>
      <w:r>
        <w:br/>
      </w:r>
      <w:r>
        <w:rPr>
          <w:b/>
        </w:rPr>
        <w:t>(soit)</w:t>
      </w:r>
      <w:r>
        <w:br/>
      </w:r>
      <w:r>
        <w:rPr>
          <w:rStyle w:val="soitChar"/>
        </w:rPr>
        <w:t>2. QF</w:t>
      </w:r>
      <w:r>
        <w:br/>
      </w:r>
      <w:r>
        <w:rPr>
          <w:b/>
        </w:rPr>
        <w:t>(soit)</w:t>
      </w:r>
      <w:r>
        <w:br/>
      </w:r>
      <w:r>
        <w:rPr>
          <w:rStyle w:val="soitChar"/>
        </w:rPr>
        <w:t>3. QP</w:t>
      </w:r>
    </w:p>
    <w:p w14:paraId="7D666154" w14:textId="77777777" w:rsidR="004B2808" w:rsidRDefault="00000000">
      <w:pPr>
        <w:pStyle w:val="Author-eSectionHeading5Numberless"/>
      </w:pPr>
      <w:bookmarkStart w:id="1318" w:name="_Toc220491429"/>
      <w:r>
        <w:t>55.62.4 Système d'ouverture CCTB 01.02</w:t>
      </w:r>
      <w:bookmarkEnd w:id="1318"/>
    </w:p>
    <w:p w14:paraId="5BB0D3F1" w14:textId="77777777" w:rsidR="004B2808" w:rsidRDefault="00000000">
      <w:pPr>
        <w:pStyle w:val="Author-eSectionHeading6Numberless"/>
      </w:pPr>
      <w:bookmarkStart w:id="1319" w:name="_Toc220491430"/>
      <w:r>
        <w:t>55.62.4a Système d'ouverture mécanique CCTB 01.02</w:t>
      </w:r>
      <w:bookmarkEnd w:id="1319"/>
    </w:p>
    <w:p w14:paraId="29BFAB47" w14:textId="77777777" w:rsidR="004B2808" w:rsidRDefault="00000000">
      <w:pPr>
        <w:pStyle w:val="Author-eSectionHeading6Numberless"/>
      </w:pPr>
      <w:bookmarkStart w:id="1320" w:name="_Toc220491431"/>
      <w:r>
        <w:t>55.62.4b Système d'ouverture - barres anti-panique CCTB 01.11</w:t>
      </w:r>
      <w:bookmarkEnd w:id="1320"/>
    </w:p>
    <w:p w14:paraId="391A9DC2" w14:textId="77777777" w:rsidR="004B2808" w:rsidRDefault="00000000">
      <w:pPr>
        <w:pStyle w:val="pheading"/>
      </w:pPr>
      <w:r>
        <w:lastRenderedPageBreak/>
        <w:t>DESCRIPTION</w:t>
      </w:r>
    </w:p>
    <w:p w14:paraId="4D22E295" w14:textId="77777777" w:rsidR="004B2808" w:rsidRDefault="00000000">
      <w:pPr>
        <w:pStyle w:val="pheading"/>
      </w:pPr>
      <w:r>
        <w:t>- Définition / Comprend</w:t>
      </w:r>
    </w:p>
    <w:p w14:paraId="4E5B566E" w14:textId="77777777" w:rsidR="004B2808" w:rsidRDefault="00000000">
      <w:pPr>
        <w:jc w:val="both"/>
      </w:pPr>
      <w:r>
        <w:t>Il s’agit de la fourniture (hors matériaux récupérés du même site) et la pose de barres anti-panique .</w:t>
      </w:r>
    </w:p>
    <w:p w14:paraId="210F8DCF" w14:textId="77777777" w:rsidR="004B2808" w:rsidRDefault="00000000">
      <w:pPr>
        <w:jc w:val="both"/>
      </w:pPr>
      <w:r>
        <w:t>Le travail comprend notamment :</w:t>
      </w:r>
    </w:p>
    <w:p w14:paraId="6CBFFB7D" w14:textId="77777777" w:rsidR="004B2808" w:rsidRDefault="00000000">
      <w:pPr>
        <w:pStyle w:val="Author-eListParagraph"/>
        <w:numPr>
          <w:ilvl w:val="0"/>
          <w:numId w:val="1180"/>
        </w:numPr>
        <w:jc w:val="both"/>
      </w:pPr>
      <w:r>
        <w:t>la prise de mesures ;</w:t>
      </w:r>
    </w:p>
    <w:p w14:paraId="1C1FDA95" w14:textId="77777777" w:rsidR="004B2808" w:rsidRDefault="00000000">
      <w:pPr>
        <w:pStyle w:val="Author-eListParagraph"/>
        <w:numPr>
          <w:ilvl w:val="0"/>
          <w:numId w:val="1180"/>
        </w:numPr>
        <w:jc w:val="both"/>
      </w:pPr>
      <w:r>
        <w:t>les plans de fabrication à soumettre à l’auteur de projet pour approbation ;</w:t>
      </w:r>
    </w:p>
    <w:p w14:paraId="0D113676" w14:textId="77777777" w:rsidR="004B2808" w:rsidRDefault="00000000">
      <w:pPr>
        <w:pStyle w:val="Author-eListParagraph"/>
        <w:numPr>
          <w:ilvl w:val="0"/>
          <w:numId w:val="1180"/>
        </w:numPr>
        <w:jc w:val="both"/>
      </w:pPr>
      <w:r>
        <w:t>la fourniture (hors matériaux récupérés du même site) ;</w:t>
      </w:r>
    </w:p>
    <w:p w14:paraId="68630669" w14:textId="77777777" w:rsidR="004B2808" w:rsidRDefault="00000000">
      <w:pPr>
        <w:pStyle w:val="Author-eListParagraph"/>
        <w:numPr>
          <w:ilvl w:val="0"/>
          <w:numId w:val="1180"/>
        </w:numPr>
        <w:jc w:val="both"/>
      </w:pPr>
      <w:r>
        <w:t>la préparation de surface, l’adaptation de la porte, huisserie ;  </w:t>
      </w:r>
    </w:p>
    <w:p w14:paraId="39F9D72A" w14:textId="77777777" w:rsidR="004B2808" w:rsidRDefault="00000000">
      <w:pPr>
        <w:pStyle w:val="Author-eListParagraph"/>
        <w:numPr>
          <w:ilvl w:val="0"/>
          <w:numId w:val="1180"/>
        </w:numPr>
        <w:jc w:val="both"/>
      </w:pPr>
      <w:r>
        <w:t>la pose et le réglage ,  le placement des ensembles et des éléments de raccords ;</w:t>
      </w:r>
    </w:p>
    <w:p w14:paraId="40C04B1D" w14:textId="77777777" w:rsidR="004B2808" w:rsidRDefault="00000000">
      <w:pPr>
        <w:pStyle w:val="Author-eListParagraph"/>
        <w:numPr>
          <w:ilvl w:val="0"/>
          <w:numId w:val="1180"/>
        </w:numPr>
        <w:jc w:val="both"/>
      </w:pPr>
      <w:r>
        <w:t>les éventuelles mesures de protection provisoires ;</w:t>
      </w:r>
    </w:p>
    <w:p w14:paraId="2C0E5DBF" w14:textId="77777777" w:rsidR="004B2808" w:rsidRDefault="00000000">
      <w:pPr>
        <w:pStyle w:val="Author-eListParagraph"/>
        <w:numPr>
          <w:ilvl w:val="0"/>
          <w:numId w:val="1180"/>
        </w:numPr>
        <w:jc w:val="both"/>
      </w:pPr>
      <w:r>
        <w:t>le nettoyage de la surface.</w:t>
      </w:r>
    </w:p>
    <w:p w14:paraId="3E2F236E" w14:textId="77777777" w:rsidR="004B2808" w:rsidRDefault="00000000">
      <w:pPr>
        <w:pStyle w:val="pheading"/>
      </w:pPr>
      <w:r>
        <w:t>MATÉRIAUX</w:t>
      </w:r>
    </w:p>
    <w:p w14:paraId="316F11E5" w14:textId="77777777" w:rsidR="004B2808" w:rsidRDefault="00000000">
      <w:pPr>
        <w:pStyle w:val="pheading"/>
      </w:pPr>
      <w:r>
        <w:t>- Caractéristiques générales</w:t>
      </w:r>
    </w:p>
    <w:p w14:paraId="0D0E5D5B" w14:textId="77777777" w:rsidR="004B2808" w:rsidRDefault="00000000">
      <w:pPr>
        <w:jc w:val="both"/>
      </w:pPr>
      <w:r>
        <w:t>Les systèmes de fermeture anti-panique sont définis dans la norme [NBN EN 1125].</w:t>
      </w:r>
    </w:p>
    <w:p w14:paraId="7B201365" w14:textId="77777777" w:rsidR="004B2808" w:rsidRDefault="00000000">
      <w:pPr>
        <w:jc w:val="both"/>
      </w:pPr>
      <w:r>
        <w:t>Les dispositifs anti-panique sont de : </w:t>
      </w:r>
      <w:r>
        <w:rPr>
          <w:rStyle w:val="optioncarChar"/>
        </w:rPr>
        <w:t>type A </w:t>
      </w:r>
      <w:r>
        <w:t>(par défaut)</w:t>
      </w:r>
      <w:r>
        <w:rPr>
          <w:rStyle w:val="optioncarChar"/>
        </w:rPr>
        <w:t> / type B</w:t>
      </w:r>
    </w:p>
    <w:p w14:paraId="1894F165" w14:textId="77777777" w:rsidR="004B2808" w:rsidRDefault="00000000">
      <w:pPr>
        <w:ind w:left="567"/>
        <w:jc w:val="both"/>
      </w:pPr>
      <w:r>
        <w:rPr>
          <w:b/>
          <w:i/>
        </w:rPr>
        <w:t>(Soit par défaut)</w:t>
      </w:r>
    </w:p>
    <w:p w14:paraId="24FD7228" w14:textId="77777777" w:rsidR="004B2808" w:rsidRDefault="00000000">
      <w:pPr>
        <w:ind w:left="567"/>
        <w:jc w:val="both"/>
      </w:pPr>
      <w:r>
        <w:rPr>
          <w:rStyle w:val="soitChar"/>
          <w:u w:val="single"/>
        </w:rPr>
        <w:t>Type A :</w:t>
      </w:r>
      <w:r>
        <w:rPr>
          <w:rStyle w:val="soitChar"/>
        </w:rPr>
        <w:t xml:space="preserve">  le dispositif est muni d’une barre de poussée fixée entre des leviers support pivotants et qui fonctionne dans la direction de la sortie et/ou dans un arc de cercle vers le bas. </w:t>
      </w:r>
    </w:p>
    <w:p w14:paraId="2A11206E" w14:textId="77777777" w:rsidR="004B2808" w:rsidRDefault="00000000">
      <w:pPr>
        <w:ind w:left="567"/>
        <w:jc w:val="both"/>
      </w:pPr>
      <w:r>
        <w:rPr>
          <w:b/>
          <w:i/>
        </w:rPr>
        <w:t>(Soit)</w:t>
      </w:r>
    </w:p>
    <w:p w14:paraId="6E15E2C4" w14:textId="77777777" w:rsidR="004B2808" w:rsidRDefault="00000000">
      <w:pPr>
        <w:ind w:left="567"/>
        <w:jc w:val="both"/>
      </w:pPr>
      <w:r>
        <w:rPr>
          <w:rStyle w:val="soitChar"/>
          <w:u w:val="single"/>
        </w:rPr>
        <w:t>Type B :</w:t>
      </w:r>
      <w:r>
        <w:rPr>
          <w:rStyle w:val="soitChar"/>
        </w:rPr>
        <w:t xml:space="preserve">  le dispositif est muni d’une barre d’enfoncement conçue pour faire partie d’un support ou d’un autre système de montage et qui fonctionne dans la direction de la sortie. </w:t>
      </w:r>
    </w:p>
    <w:p w14:paraId="58A96BFE" w14:textId="77777777" w:rsidR="004B2808" w:rsidRDefault="00000000">
      <w:pPr>
        <w:jc w:val="both"/>
      </w:pPr>
      <w:r>
        <w:t> </w:t>
      </w:r>
    </w:p>
    <w:p w14:paraId="76A0D399" w14:textId="77777777" w:rsidR="004B2808" w:rsidRDefault="00000000">
      <w:pPr>
        <w:pStyle w:val="Author-eListParagraph"/>
        <w:numPr>
          <w:ilvl w:val="0"/>
          <w:numId w:val="1181"/>
        </w:numPr>
      </w:pPr>
      <w:r>
        <w:t>Pêne(s) en</w:t>
      </w:r>
      <w:r>
        <w:rPr>
          <w:rStyle w:val="optioncarChar"/>
        </w:rPr>
        <w:t> acier </w:t>
      </w:r>
      <w:r>
        <w:t>(par défaut)</w:t>
      </w:r>
      <w:r>
        <w:rPr>
          <w:rStyle w:val="optioncarChar"/>
        </w:rPr>
        <w:t> / zinc / alliage d’aluminium chromé / ***</w:t>
      </w:r>
      <w:r>
        <w:t>.</w:t>
      </w:r>
    </w:p>
    <w:p w14:paraId="12E29D1B" w14:textId="77777777" w:rsidR="004B2808" w:rsidRDefault="00000000">
      <w:pPr>
        <w:pStyle w:val="Author-eListParagraph"/>
        <w:numPr>
          <w:ilvl w:val="0"/>
          <w:numId w:val="1181"/>
        </w:numPr>
      </w:pPr>
      <w:r>
        <w:t xml:space="preserve">Gâche(s) en </w:t>
      </w:r>
      <w:r>
        <w:rPr>
          <w:rStyle w:val="optioncarChar"/>
        </w:rPr>
        <w:t>acier</w:t>
      </w:r>
      <w:r>
        <w:t> (par défaut) </w:t>
      </w:r>
      <w:r>
        <w:rPr>
          <w:rStyle w:val="optioncarChar"/>
        </w:rPr>
        <w:t>/ zinc / alliage d’aluminium chromé / ***</w:t>
      </w:r>
      <w:r>
        <w:t>.</w:t>
      </w:r>
    </w:p>
    <w:p w14:paraId="1AB1C67D" w14:textId="77777777" w:rsidR="004B2808" w:rsidRDefault="00000000">
      <w:pPr>
        <w:pStyle w:val="Author-eListParagraph"/>
        <w:numPr>
          <w:ilvl w:val="0"/>
          <w:numId w:val="1181"/>
        </w:numPr>
      </w:pPr>
      <w:r>
        <w:t>Forme de la barre : </w:t>
      </w:r>
      <w:r>
        <w:rPr>
          <w:rStyle w:val="optioncarChar"/>
        </w:rPr>
        <w:t>ovale </w:t>
      </w:r>
      <w:r>
        <w:t xml:space="preserve">(par défaut) </w:t>
      </w:r>
      <w:r>
        <w:rPr>
          <w:rStyle w:val="optioncarChar"/>
        </w:rPr>
        <w:t> / carrée (barre de pression).</w:t>
      </w:r>
    </w:p>
    <w:p w14:paraId="31186D4C" w14:textId="77777777" w:rsidR="004B2808" w:rsidRDefault="00000000">
      <w:pPr>
        <w:pStyle w:val="Author-eListParagraph"/>
        <w:numPr>
          <w:ilvl w:val="0"/>
          <w:numId w:val="1181"/>
        </w:numPr>
      </w:pPr>
      <w:r>
        <w:rPr>
          <w:rStyle w:val="optioncarChar"/>
        </w:rPr>
        <w:t>Réversible</w:t>
      </w:r>
      <w:r>
        <w:t xml:space="preserve"> (par défaut)</w:t>
      </w:r>
      <w:r>
        <w:rPr>
          <w:rStyle w:val="optioncarChar"/>
        </w:rPr>
        <w:t xml:space="preserve"> / droite / gauche</w:t>
      </w:r>
      <w:r>
        <w:t>.</w:t>
      </w:r>
    </w:p>
    <w:p w14:paraId="1125C5D1" w14:textId="77777777" w:rsidR="004B2808" w:rsidRDefault="00000000">
      <w:pPr>
        <w:pStyle w:val="Author-eListParagraph"/>
        <w:numPr>
          <w:ilvl w:val="0"/>
          <w:numId w:val="1181"/>
        </w:numPr>
      </w:pPr>
      <w:r>
        <w:t>Dispositif de sécurité anti-intrusion empêchant de pousser le pêne de la serrure extérieur : </w:t>
      </w:r>
      <w:r>
        <w:rPr>
          <w:rStyle w:val="optioncarChar"/>
        </w:rPr>
        <w:t>oui</w:t>
      </w:r>
      <w:r>
        <w:t> (par défaut)</w:t>
      </w:r>
      <w:r>
        <w:rPr>
          <w:rStyle w:val="optioncarChar"/>
        </w:rPr>
        <w:t> / non.</w:t>
      </w:r>
    </w:p>
    <w:p w14:paraId="7122A828" w14:textId="77777777" w:rsidR="004B2808" w:rsidRDefault="00000000">
      <w:pPr>
        <w:pStyle w:val="Author-eListParagraph"/>
        <w:numPr>
          <w:ilvl w:val="0"/>
          <w:numId w:val="1181"/>
        </w:numPr>
      </w:pPr>
      <w:r>
        <w:t>Possibilité de maintenir la barre anti-panique déverrouillée : </w:t>
      </w:r>
      <w:r>
        <w:rPr>
          <w:rStyle w:val="optioncarChar"/>
        </w:rPr>
        <w:t>oui </w:t>
      </w:r>
      <w:r>
        <w:t>(par défaut) </w:t>
      </w:r>
      <w:r>
        <w:rPr>
          <w:rStyle w:val="optioncarChar"/>
        </w:rPr>
        <w:t>/ non</w:t>
      </w:r>
      <w:r>
        <w:t>.</w:t>
      </w:r>
    </w:p>
    <w:p w14:paraId="599A0070" w14:textId="77777777" w:rsidR="004B2808" w:rsidRDefault="00000000">
      <w:pPr>
        <w:pStyle w:val="Author-eListParagraph"/>
        <w:numPr>
          <w:ilvl w:val="0"/>
          <w:numId w:val="1181"/>
        </w:numPr>
      </w:pPr>
      <w:r>
        <w:t>Nombre de points de verrouillage :</w:t>
      </w:r>
    </w:p>
    <w:p w14:paraId="040FB6E9" w14:textId="77777777" w:rsidR="004B2808" w:rsidRDefault="00000000">
      <w:pPr>
        <w:ind w:left="567"/>
      </w:pPr>
      <w:r>
        <w:rPr>
          <w:b/>
        </w:rPr>
        <w:t>Portes à un vantail :</w:t>
      </w:r>
    </w:p>
    <w:p w14:paraId="69E8C389" w14:textId="77777777" w:rsidR="004B2808" w:rsidRDefault="00000000">
      <w:pPr>
        <w:ind w:left="567"/>
        <w:jc w:val="both"/>
      </w:pPr>
      <w:r>
        <w:t>Nombre de points de verrouillage : </w:t>
      </w:r>
      <w:r>
        <w:rPr>
          <w:rStyle w:val="optioncarChar"/>
        </w:rPr>
        <w:t>1 </w:t>
      </w:r>
      <w:r>
        <w:t>(par défaut)</w:t>
      </w:r>
      <w:r>
        <w:rPr>
          <w:rStyle w:val="optioncarChar"/>
        </w:rPr>
        <w:t> / 2 / 3</w:t>
      </w:r>
      <w:r>
        <w:t>.</w:t>
      </w:r>
    </w:p>
    <w:p w14:paraId="21A25622" w14:textId="77777777" w:rsidR="004B2808" w:rsidRDefault="004B2808"/>
    <w:p w14:paraId="6BCF1763" w14:textId="77777777" w:rsidR="004B2808" w:rsidRDefault="00000000">
      <w:pPr>
        <w:ind w:left="1134"/>
        <w:jc w:val="both"/>
      </w:pPr>
      <w:r>
        <w:rPr>
          <w:b/>
          <w:i/>
        </w:rPr>
        <w:t>(Soit par défaut) </w:t>
      </w:r>
    </w:p>
    <w:p w14:paraId="02C12449" w14:textId="77777777" w:rsidR="004B2808" w:rsidRDefault="00000000">
      <w:pPr>
        <w:ind w:left="1134"/>
        <w:jc w:val="both"/>
      </w:pPr>
      <w:r>
        <w:rPr>
          <w:rStyle w:val="soitChar"/>
          <w:u w:val="single"/>
        </w:rPr>
        <w:t>1 point de verrouillage</w:t>
      </w:r>
      <w:r>
        <w:rPr>
          <w:rStyle w:val="soitChar"/>
        </w:rPr>
        <w:t>, orienté horizontalement. </w:t>
      </w:r>
    </w:p>
    <w:p w14:paraId="4699A69D" w14:textId="77777777" w:rsidR="004B2808" w:rsidRDefault="004B2808">
      <w:pPr>
        <w:ind w:left="1134"/>
        <w:jc w:val="both"/>
      </w:pPr>
    </w:p>
    <w:p w14:paraId="0F99A151" w14:textId="77777777" w:rsidR="004B2808" w:rsidRDefault="00000000">
      <w:pPr>
        <w:ind w:left="1134"/>
        <w:jc w:val="both"/>
      </w:pPr>
      <w:r>
        <w:rPr>
          <w:b/>
          <w:i/>
        </w:rPr>
        <w:t>(Soit)</w:t>
      </w:r>
    </w:p>
    <w:p w14:paraId="13CE6776" w14:textId="77777777" w:rsidR="004B2808" w:rsidRDefault="00000000">
      <w:pPr>
        <w:ind w:left="1134"/>
        <w:jc w:val="both"/>
      </w:pPr>
      <w:r>
        <w:rPr>
          <w:rStyle w:val="soitChar"/>
          <w:u w:val="single"/>
        </w:rPr>
        <w:t> 2 points de verrouillage</w:t>
      </w:r>
      <w:r>
        <w:rPr>
          <w:rStyle w:val="soitChar"/>
        </w:rPr>
        <w:t xml:space="preserve"> (haut et bas), orientés horizontalement / verticalement.</w:t>
      </w:r>
    </w:p>
    <w:p w14:paraId="7063D4D5" w14:textId="77777777" w:rsidR="004B2808" w:rsidRDefault="00000000">
      <w:pPr>
        <w:ind w:left="1134"/>
        <w:jc w:val="both"/>
      </w:pPr>
      <w:r>
        <w:rPr>
          <w:b/>
          <w:i/>
        </w:rPr>
        <w:t>(Soit)</w:t>
      </w:r>
    </w:p>
    <w:p w14:paraId="40E8EDB5" w14:textId="77777777" w:rsidR="004B2808" w:rsidRDefault="00000000">
      <w:pPr>
        <w:ind w:left="1134"/>
        <w:jc w:val="both"/>
      </w:pPr>
      <w:r>
        <w:rPr>
          <w:rStyle w:val="soitChar"/>
          <w:u w:val="single"/>
        </w:rPr>
        <w:t>3 points de verrouillage</w:t>
      </w:r>
      <w:r>
        <w:rPr>
          <w:rStyle w:val="soitChar"/>
        </w:rPr>
        <w:t xml:space="preserve"> (central, haut et bas), orientés horizontalement pour le central, horizontalement / verticalement aux extrémités.</w:t>
      </w:r>
    </w:p>
    <w:p w14:paraId="42F41C2F" w14:textId="77777777" w:rsidR="004B2808" w:rsidRDefault="004B2808">
      <w:pPr>
        <w:ind w:left="1134"/>
        <w:jc w:val="both"/>
      </w:pPr>
    </w:p>
    <w:p w14:paraId="29EA1257" w14:textId="77777777" w:rsidR="004B2808" w:rsidRDefault="00000000">
      <w:pPr>
        <w:ind w:left="567"/>
        <w:jc w:val="both"/>
      </w:pPr>
      <w:r>
        <w:rPr>
          <w:b/>
        </w:rPr>
        <w:t>Portes à deux vantaux :</w:t>
      </w:r>
    </w:p>
    <w:p w14:paraId="13CE503A" w14:textId="77777777" w:rsidR="004B2808" w:rsidRDefault="00000000">
      <w:pPr>
        <w:pStyle w:val="Author-eListParagraph"/>
        <w:numPr>
          <w:ilvl w:val="1"/>
          <w:numId w:val="1182"/>
        </w:numPr>
      </w:pPr>
      <w:r>
        <w:lastRenderedPageBreak/>
        <w:t>Vantail secondaire (semi-fixe) : 2 points de verrouillage (haut et bas), orientés verticalement.</w:t>
      </w:r>
    </w:p>
    <w:p w14:paraId="6CE87285" w14:textId="77777777" w:rsidR="004B2808" w:rsidRDefault="00000000">
      <w:pPr>
        <w:pStyle w:val="Author-eListParagraph"/>
        <w:numPr>
          <w:ilvl w:val="1"/>
          <w:numId w:val="1183"/>
        </w:numPr>
      </w:pPr>
      <w:r>
        <w:t>Vantail principal (de service) :</w:t>
      </w:r>
    </w:p>
    <w:p w14:paraId="2C7E5406" w14:textId="77777777" w:rsidR="004B2808" w:rsidRDefault="00000000">
      <w:pPr>
        <w:ind w:left="1134"/>
        <w:jc w:val="both"/>
      </w:pPr>
      <w:r>
        <w:t>Nombre de points de verrouillage : </w:t>
      </w:r>
      <w:r>
        <w:rPr>
          <w:rStyle w:val="optioncarChar"/>
        </w:rPr>
        <w:t>1</w:t>
      </w:r>
      <w:r>
        <w:t> (par défaut)</w:t>
      </w:r>
      <w:r>
        <w:rPr>
          <w:rStyle w:val="optioncarChar"/>
        </w:rPr>
        <w:t> / 2 / 3</w:t>
      </w:r>
      <w:r>
        <w:t>.</w:t>
      </w:r>
    </w:p>
    <w:p w14:paraId="056A3FD4" w14:textId="77777777" w:rsidR="004B2808" w:rsidRDefault="004B2808"/>
    <w:p w14:paraId="581F4CBB" w14:textId="77777777" w:rsidR="004B2808" w:rsidRDefault="00000000">
      <w:pPr>
        <w:ind w:left="1701"/>
        <w:jc w:val="both"/>
      </w:pPr>
      <w:r>
        <w:rPr>
          <w:b/>
          <w:i/>
        </w:rPr>
        <w:t>(Soit par défaut)</w:t>
      </w:r>
    </w:p>
    <w:p w14:paraId="43CF7BEC" w14:textId="77777777" w:rsidR="004B2808" w:rsidRDefault="00000000">
      <w:pPr>
        <w:ind w:left="1701"/>
        <w:jc w:val="both"/>
      </w:pPr>
      <w:r>
        <w:rPr>
          <w:rStyle w:val="soitChar"/>
        </w:rPr>
        <w:t> </w:t>
      </w:r>
      <w:r>
        <w:rPr>
          <w:rStyle w:val="soitChar"/>
          <w:u w:val="single"/>
        </w:rPr>
        <w:t>1 point de verrouillage</w:t>
      </w:r>
      <w:r>
        <w:rPr>
          <w:rStyle w:val="soitChar"/>
        </w:rPr>
        <w:t>, orienté horizontalement.</w:t>
      </w:r>
    </w:p>
    <w:p w14:paraId="09D1EC59" w14:textId="77777777" w:rsidR="004B2808" w:rsidRDefault="004B2808">
      <w:pPr>
        <w:ind w:left="1701"/>
        <w:jc w:val="both"/>
      </w:pPr>
    </w:p>
    <w:p w14:paraId="5564BD1D" w14:textId="77777777" w:rsidR="004B2808" w:rsidRDefault="00000000">
      <w:pPr>
        <w:ind w:left="1701"/>
        <w:jc w:val="both"/>
      </w:pPr>
      <w:r>
        <w:rPr>
          <w:b/>
          <w:i/>
        </w:rPr>
        <w:t>(Soit)</w:t>
      </w:r>
    </w:p>
    <w:p w14:paraId="14B7F6E0" w14:textId="77777777" w:rsidR="004B2808" w:rsidRDefault="00000000">
      <w:pPr>
        <w:ind w:left="1701"/>
        <w:jc w:val="both"/>
      </w:pPr>
      <w:r>
        <w:rPr>
          <w:rStyle w:val="soitChar"/>
          <w:u w:val="single"/>
        </w:rPr>
        <w:t>2 points de verrouillage</w:t>
      </w:r>
      <w:r>
        <w:rPr>
          <w:rStyle w:val="soitChar"/>
        </w:rPr>
        <w:t xml:space="preserve"> (haut et bas), orientés horizontalement.</w:t>
      </w:r>
    </w:p>
    <w:p w14:paraId="7086B415" w14:textId="77777777" w:rsidR="004B2808" w:rsidRDefault="004B2808">
      <w:pPr>
        <w:ind w:left="1701"/>
        <w:jc w:val="both"/>
      </w:pPr>
    </w:p>
    <w:p w14:paraId="7AB7791E" w14:textId="77777777" w:rsidR="004B2808" w:rsidRDefault="00000000">
      <w:pPr>
        <w:ind w:left="1701"/>
        <w:jc w:val="both"/>
      </w:pPr>
      <w:r>
        <w:rPr>
          <w:b/>
          <w:i/>
        </w:rPr>
        <w:t>(Soit)</w:t>
      </w:r>
    </w:p>
    <w:p w14:paraId="6BAE7EE3" w14:textId="77777777" w:rsidR="004B2808" w:rsidRDefault="00000000">
      <w:pPr>
        <w:ind w:left="1701"/>
        <w:jc w:val="both"/>
      </w:pPr>
      <w:r>
        <w:rPr>
          <w:rStyle w:val="soitChar"/>
          <w:u w:val="single"/>
        </w:rPr>
        <w:t>3 points de verrouillage</w:t>
      </w:r>
      <w:r>
        <w:rPr>
          <w:rStyle w:val="soitChar"/>
        </w:rPr>
        <w:t xml:space="preserve"> (central, haut et bas), orientés horizontalement</w:t>
      </w:r>
    </w:p>
    <w:p w14:paraId="2046C892" w14:textId="77777777" w:rsidR="004B2808" w:rsidRDefault="004B2808"/>
    <w:p w14:paraId="5689577D" w14:textId="77777777" w:rsidR="004B2808" w:rsidRDefault="00000000">
      <w:pPr>
        <w:jc w:val="both"/>
      </w:pPr>
      <w:r>
        <w:t>Les dispositifs anti-panique sont :</w:t>
      </w:r>
    </w:p>
    <w:p w14:paraId="6DEE3711" w14:textId="77777777" w:rsidR="004B2808" w:rsidRDefault="00000000">
      <w:pPr>
        <w:pStyle w:val="Author-eListParagraph"/>
        <w:numPr>
          <w:ilvl w:val="0"/>
          <w:numId w:val="1184"/>
        </w:numPr>
      </w:pPr>
      <w:r>
        <w:t>Le dispositive est muni de système anti-pincement.</w:t>
      </w:r>
    </w:p>
    <w:p w14:paraId="66C36D27" w14:textId="77777777" w:rsidR="004B2808" w:rsidRDefault="00000000">
      <w:pPr>
        <w:pStyle w:val="Author-eListParagraph"/>
        <w:numPr>
          <w:ilvl w:val="0"/>
          <w:numId w:val="1184"/>
        </w:numPr>
      </w:pPr>
      <w:r>
        <w:t xml:space="preserve">Les dispositifs de fixations sont </w:t>
      </w:r>
      <w:r>
        <w:rPr>
          <w:rStyle w:val="optioncarChar"/>
        </w:rPr>
        <w:t xml:space="preserve">non-visibles </w:t>
      </w:r>
      <w:r>
        <w:t>(par défaut)</w:t>
      </w:r>
      <w:r>
        <w:rPr>
          <w:rStyle w:val="optioncarChar"/>
        </w:rPr>
        <w:t xml:space="preserve"> / visibles</w:t>
      </w:r>
      <w:r>
        <w:t>.</w:t>
      </w:r>
    </w:p>
    <w:p w14:paraId="723F533F" w14:textId="77777777" w:rsidR="004B2808" w:rsidRDefault="00000000">
      <w:pPr>
        <w:pStyle w:val="Author-eListParagraph"/>
        <w:numPr>
          <w:ilvl w:val="0"/>
          <w:numId w:val="1184"/>
        </w:numPr>
      </w:pPr>
      <w:r>
        <w:t>La gâche de sol est réglable pour verrouillage de la crémone basse.</w:t>
      </w:r>
    </w:p>
    <w:p w14:paraId="02698F2D" w14:textId="77777777" w:rsidR="004B2808" w:rsidRDefault="00000000">
      <w:pPr>
        <w:pStyle w:val="Author-eListParagraph"/>
        <w:numPr>
          <w:ilvl w:val="0"/>
          <w:numId w:val="1184"/>
        </w:numPr>
      </w:pPr>
      <w:r>
        <w:t>Pour les portes à deux vantaux, la gâche de sol pour verrouillage de la crémone basse est prévue sur le vantail semi-fixe.</w:t>
      </w:r>
    </w:p>
    <w:p w14:paraId="26A66B6B" w14:textId="77777777" w:rsidR="004B2808" w:rsidRDefault="00000000">
      <w:pPr>
        <w:pStyle w:val="Author-eListParagraph"/>
        <w:numPr>
          <w:ilvl w:val="0"/>
          <w:numId w:val="1184"/>
        </w:numPr>
      </w:pPr>
      <w:r>
        <w:t>Fonctions de la serrure : </w:t>
      </w:r>
      <w:r>
        <w:rPr>
          <w:rStyle w:val="optioncarChar"/>
        </w:rPr>
        <w:t>accès contrôlé / passage libre / accès commutable </w:t>
      </w:r>
      <w:r>
        <w:t>(par défaut)</w:t>
      </w:r>
      <w:r>
        <w:rPr>
          <w:rStyle w:val="optioncarChar"/>
        </w:rPr>
        <w:t> / ***</w:t>
      </w:r>
      <w:r>
        <w:t>.</w:t>
      </w:r>
      <w:r>
        <w:br/>
      </w:r>
    </w:p>
    <w:p w14:paraId="5973B8F2" w14:textId="77777777" w:rsidR="004B2808" w:rsidRDefault="00000000">
      <w:pPr>
        <w:jc w:val="both"/>
      </w:pPr>
      <w:r>
        <w:t xml:space="preserve">Les systèmes d’ouverture anti-panique sont </w:t>
      </w:r>
      <w:r>
        <w:rPr>
          <w:rStyle w:val="optioncarChar"/>
        </w:rPr>
        <w:t xml:space="preserve">neufs </w:t>
      </w:r>
      <w:r>
        <w:t xml:space="preserve">(par défaut) </w:t>
      </w:r>
      <w:r>
        <w:rPr>
          <w:rStyle w:val="optioncarChar"/>
        </w:rPr>
        <w:t>/ de réemploi.</w:t>
      </w:r>
    </w:p>
    <w:p w14:paraId="478AFAEC" w14:textId="77777777" w:rsidR="004B2808" w:rsidRDefault="00000000">
      <w:pPr>
        <w:ind w:left="567"/>
        <w:jc w:val="both"/>
      </w:pPr>
      <w:r>
        <w:rPr>
          <w:b/>
          <w:i/>
        </w:rPr>
        <w:t>(Soit par défaut)</w:t>
      </w:r>
    </w:p>
    <w:p w14:paraId="39C915DD" w14:textId="77777777" w:rsidR="004B2808" w:rsidRDefault="00000000">
      <w:pPr>
        <w:ind w:left="567"/>
        <w:jc w:val="both"/>
      </w:pPr>
      <w:r>
        <w:rPr>
          <w:rStyle w:val="soitChar"/>
          <w:u w:val="single"/>
        </w:rPr>
        <w:t>Neufs :</w:t>
      </w:r>
    </w:p>
    <w:p w14:paraId="725888DD" w14:textId="77777777" w:rsidR="004B2808" w:rsidRDefault="00000000">
      <w:pPr>
        <w:ind w:left="567"/>
        <w:jc w:val="both"/>
      </w:pPr>
      <w:r>
        <w:rPr>
          <w:rStyle w:val="soitChar"/>
        </w:rPr>
        <w:t>Barre horizontale de man</w:t>
      </w:r>
      <w:r>
        <w:rPr>
          <w:rStyle w:val="soitChar"/>
          <w:b/>
        </w:rPr>
        <w:t>œ</w:t>
      </w:r>
      <w:r>
        <w:rPr>
          <w:rStyle w:val="soitChar"/>
        </w:rPr>
        <w:t>uvre anti-panique avec une barre de poussée fixée sur des leviers de supports pivotants et qui fonctionne dans la direction de la sortie et/ou dans un arc de cercle vers le bas.  Les portes neuves sont conformes à la norme [NBN EN 1125]</w:t>
      </w:r>
    </w:p>
    <w:p w14:paraId="49876E5C" w14:textId="77777777" w:rsidR="004B2808" w:rsidRDefault="00000000">
      <w:pPr>
        <w:ind w:left="567"/>
        <w:jc w:val="both"/>
      </w:pPr>
      <w:r>
        <w:rPr>
          <w:rStyle w:val="soitChar"/>
        </w:rPr>
        <w:t xml:space="preserve">Les dispositifs automatiques d’empennage répondent à une résistance à l’endurance </w:t>
      </w:r>
      <w:r>
        <w:rPr>
          <w:rStyle w:val="optioncarChar"/>
        </w:rPr>
        <w:t xml:space="preserve">grade 6 (100 000 cycles) </w:t>
      </w:r>
      <w:r>
        <w:t>(par défaut)</w:t>
      </w:r>
      <w:r>
        <w:rPr>
          <w:rStyle w:val="optioncarChar"/>
        </w:rPr>
        <w:t xml:space="preserve"> / grade 7 (200 000 cycles)</w:t>
      </w:r>
    </w:p>
    <w:p w14:paraId="6BA1A4CC" w14:textId="77777777" w:rsidR="004B2808" w:rsidRDefault="00000000">
      <w:pPr>
        <w:ind w:left="567"/>
        <w:jc w:val="both"/>
      </w:pPr>
      <w:r>
        <w:rPr>
          <w:rStyle w:val="soitChar"/>
        </w:rPr>
        <w:t>Résistance à la surcharge: la barre résiste à une force de 1000N ; la tringle verticale montée en applique résiste à une force de traction de 500 N.</w:t>
      </w:r>
    </w:p>
    <w:p w14:paraId="333C1D19" w14:textId="77777777" w:rsidR="004B2808" w:rsidRDefault="00000000">
      <w:pPr>
        <w:ind w:left="567"/>
        <w:jc w:val="both"/>
      </w:pPr>
      <w:r>
        <w:rPr>
          <w:rStyle w:val="soitChar"/>
        </w:rPr>
        <w:t>Sécurité des biens: la fermeture d’urgence reste en position verrouillée et  conserve la porte en position verrouillée lorsqu’elle est soumise à une force de 1000 N pour atteindre le grade 2 conformément à la [NBN EN 1125].</w:t>
      </w:r>
    </w:p>
    <w:p w14:paraId="24350CA5" w14:textId="77777777" w:rsidR="004B2808" w:rsidRDefault="00000000">
      <w:pPr>
        <w:ind w:left="567"/>
        <w:jc w:val="both"/>
      </w:pPr>
      <w:r>
        <w:rPr>
          <w:rStyle w:val="soitChar"/>
        </w:rPr>
        <w:t>Résistance à la corrosion: Les béquilles ou plaque de poussée résiste à la corrosion telle que définie dans la norme [NBN EN 179].</w:t>
      </w:r>
    </w:p>
    <w:p w14:paraId="2232D123" w14:textId="77777777" w:rsidR="004B2808" w:rsidRDefault="00000000">
      <w:pPr>
        <w:ind w:left="567"/>
        <w:jc w:val="both"/>
      </w:pPr>
      <w:r>
        <w:rPr>
          <w:rStyle w:val="soitChar"/>
          <w:b/>
        </w:rPr>
        <w:t>Béquille :</w:t>
      </w:r>
      <w:r>
        <w:rPr>
          <w:rStyle w:val="soitChar"/>
        </w:rPr>
        <w:t xml:space="preserve"> Dispositif d’ouverture d’urgence avec manœuvre par béquille. Il s’agit du dispositif de type A selon la norme [NBN EN 179].</w:t>
      </w:r>
    </w:p>
    <w:p w14:paraId="128DF23A" w14:textId="77777777" w:rsidR="004B2808" w:rsidRDefault="00000000">
      <w:pPr>
        <w:ind w:left="567"/>
        <w:jc w:val="both"/>
      </w:pPr>
      <w:r>
        <w:rPr>
          <w:rStyle w:val="soitChar"/>
          <w:b/>
        </w:rPr>
        <w:t>Plaque de poussée :</w:t>
      </w:r>
      <w:r>
        <w:rPr>
          <w:rStyle w:val="soitChar"/>
        </w:rPr>
        <w:t xml:space="preserve"> Dispositif d’ouverture d’urgence avec manœuvre par plaque de poussée. Il s’agit du dispositif de type B selon la norme [NBN EN 179].</w:t>
      </w:r>
    </w:p>
    <w:p w14:paraId="6A924B9F" w14:textId="77777777" w:rsidR="004B2808" w:rsidRDefault="00000000">
      <w:pPr>
        <w:pStyle w:val="Author-eListParagraph"/>
        <w:numPr>
          <w:ilvl w:val="1"/>
          <w:numId w:val="1185"/>
        </w:numPr>
      </w:pPr>
      <w:r>
        <w:rPr>
          <w:rStyle w:val="soitChar"/>
        </w:rPr>
        <w:t>Les dispositifs béquilles ou plaque de poussée répondent à une résistance à l’endurance </w:t>
      </w:r>
      <w:r>
        <w:rPr>
          <w:rStyle w:val="optioncarChar"/>
        </w:rPr>
        <w:t>grade 6 (100 000 cyles)</w:t>
      </w:r>
      <w:r>
        <w:t> (par défaut) </w:t>
      </w:r>
      <w:r>
        <w:rPr>
          <w:rStyle w:val="optioncarChar"/>
        </w:rPr>
        <w:t>/ grade 7 (200 000 cycles).</w:t>
      </w:r>
    </w:p>
    <w:p w14:paraId="096C0794" w14:textId="77777777" w:rsidR="004B2808" w:rsidRDefault="00000000">
      <w:pPr>
        <w:pStyle w:val="Author-eListParagraph"/>
        <w:numPr>
          <w:ilvl w:val="1"/>
          <w:numId w:val="1185"/>
        </w:numPr>
      </w:pPr>
      <w:r>
        <w:rPr>
          <w:rStyle w:val="soitChar"/>
        </w:rPr>
        <w:t>Fermeture d’urgence manœuvrée: l’élément résiste à une force perpendiculaire de 1000 N et à une force verticale de 500 N.</w:t>
      </w:r>
    </w:p>
    <w:p w14:paraId="106B7310" w14:textId="77777777" w:rsidR="004B2808" w:rsidRDefault="00000000">
      <w:pPr>
        <w:pStyle w:val="Author-eListParagraph"/>
        <w:numPr>
          <w:ilvl w:val="1"/>
          <w:numId w:val="1185"/>
        </w:numPr>
      </w:pPr>
      <w:r>
        <w:rPr>
          <w:rStyle w:val="soitChar"/>
        </w:rPr>
        <w:lastRenderedPageBreak/>
        <w:t>La tringle verticale est montée </w:t>
      </w:r>
      <w:r>
        <w:rPr>
          <w:rStyle w:val="optioncarChar"/>
        </w:rPr>
        <w:t>en applique sans capot</w:t>
      </w:r>
      <w:r>
        <w:t> (par défaut)</w:t>
      </w:r>
      <w:r>
        <w:rPr>
          <w:rStyle w:val="optioncarChar"/>
        </w:rPr>
        <w:t> / en applique sans capot / intégrée à l’élément / ***.</w:t>
      </w:r>
    </w:p>
    <w:p w14:paraId="0529EC6E" w14:textId="77777777" w:rsidR="004B2808" w:rsidRDefault="00000000">
      <w:pPr>
        <w:pStyle w:val="Author-eListParagraph"/>
        <w:numPr>
          <w:ilvl w:val="1"/>
          <w:numId w:val="1185"/>
        </w:numPr>
      </w:pPr>
      <w:r>
        <w:rPr>
          <w:rStyle w:val="soitChar"/>
        </w:rPr>
        <w:t>Sécurité des biens: la fermeture d’urgence reste en position verrouillée et  conserve la porte en position verrouillée lorsqu’elle est soumise à une force de  </w:t>
      </w:r>
      <w:r>
        <w:rPr>
          <w:rStyle w:val="optioncarChar"/>
        </w:rPr>
        <w:t>1000 N pour atteindre le grade 2 </w:t>
      </w:r>
      <w:r>
        <w:t>(par défaut)</w:t>
      </w:r>
      <w:r>
        <w:rPr>
          <w:rStyle w:val="optioncarChar"/>
        </w:rPr>
        <w:t> / 2000 N pour atteindre le grade 3 / 3000 N pour atteindre le grade 4 / 5000 N pour atteindre le grade 5.</w:t>
      </w:r>
    </w:p>
    <w:p w14:paraId="345FF39B" w14:textId="77777777" w:rsidR="004B2808" w:rsidRDefault="00000000">
      <w:pPr>
        <w:pStyle w:val="Author-eListParagraph"/>
        <w:numPr>
          <w:ilvl w:val="1"/>
          <w:numId w:val="1185"/>
        </w:numPr>
      </w:pPr>
      <w:r>
        <w:rPr>
          <w:rStyle w:val="soitChar"/>
        </w:rPr>
        <w:t>Résistance à la corrosion: Les béquilles ou plaque de poussée résiste à la corrosion telle que définie dans la norme [NBN EN 179].</w:t>
      </w:r>
    </w:p>
    <w:p w14:paraId="60114B43" w14:textId="77777777" w:rsidR="004B2808" w:rsidRDefault="00000000">
      <w:pPr>
        <w:ind w:left="567"/>
        <w:jc w:val="both"/>
      </w:pPr>
      <w:r>
        <w:rPr>
          <w:b/>
          <w:i/>
        </w:rPr>
        <w:t>(Soit)</w:t>
      </w:r>
    </w:p>
    <w:p w14:paraId="12812DE6" w14:textId="77777777" w:rsidR="004B2808" w:rsidRDefault="00000000">
      <w:pPr>
        <w:ind w:left="567"/>
        <w:jc w:val="both"/>
      </w:pPr>
      <w:r>
        <w:rPr>
          <w:rStyle w:val="soitChar"/>
          <w:u w:val="single"/>
        </w:rPr>
        <w:t>Réemploi :</w:t>
      </w:r>
      <w:r>
        <w:rPr>
          <w:rStyle w:val="soitChar"/>
        </w:rPr>
        <w:t xml:space="preserve"> il s’agit de barres antipaniques de réemploi comme alternative aux éléments neufs.</w:t>
      </w:r>
    </w:p>
    <w:p w14:paraId="00CA7AE5" w14:textId="77777777" w:rsidR="004B2808" w:rsidRDefault="00000000">
      <w:pPr>
        <w:ind w:left="567"/>
        <w:jc w:val="both"/>
      </w:pPr>
      <w:r>
        <w:rPr>
          <w:rStyle w:val="soitChar"/>
        </w:rPr>
        <w:t>Résistance à la surcharge: la barre résiste à une force de 1000N ; la tringle verticale montée en applique résiste à une force de traction de 500 N.</w:t>
      </w:r>
    </w:p>
    <w:p w14:paraId="72D9485A" w14:textId="77777777" w:rsidR="004B2808" w:rsidRDefault="00000000">
      <w:pPr>
        <w:ind w:left="567"/>
        <w:jc w:val="both"/>
      </w:pPr>
      <w:r>
        <w:rPr>
          <w:rStyle w:val="soitChar"/>
        </w:rPr>
        <w:t>Les références, fiches et déclarations d’aptitude à l’utilisation décrite au chapitre 02.42.1 Critères d'acceptabilité déposés dans le cadre du chantier initial sont soumis à l’analyse du maitre d’ouvrage avant validation</w:t>
      </w:r>
    </w:p>
    <w:p w14:paraId="14B9A880" w14:textId="77777777" w:rsidR="004B2808" w:rsidRDefault="00000000">
      <w:pPr>
        <w:ind w:left="567"/>
        <w:jc w:val="both"/>
      </w:pPr>
      <w:r>
        <w:rPr>
          <w:rStyle w:val="soitChar"/>
        </w:rPr>
        <w:t>Les barres antipanique de réemploi sont nettoyées et graissées avant mise en œuvre.</w:t>
      </w:r>
    </w:p>
    <w:p w14:paraId="3181E2A2" w14:textId="77777777" w:rsidR="004B2808" w:rsidRDefault="004B2808"/>
    <w:p w14:paraId="5EE03A2A" w14:textId="77777777" w:rsidR="004B2808" w:rsidRDefault="00000000">
      <w:pPr>
        <w:jc w:val="both"/>
      </w:pPr>
      <w:r>
        <w:t>Type de barre anti-panique : </w:t>
      </w:r>
      <w:r>
        <w:rPr>
          <w:rStyle w:val="optioncarChar"/>
        </w:rPr>
        <w:t>modulable ou de pression</w:t>
      </w:r>
      <w:r>
        <w:t> (par défaut)</w:t>
      </w:r>
      <w:r>
        <w:rPr>
          <w:rStyle w:val="optioncarChar"/>
        </w:rPr>
        <w:t> / encastré dans une porte</w:t>
      </w:r>
      <w:r>
        <w:t>. </w:t>
      </w:r>
    </w:p>
    <w:p w14:paraId="5B244AE0" w14:textId="77777777" w:rsidR="004B2808" w:rsidRDefault="004B2808"/>
    <w:p w14:paraId="1A59699D" w14:textId="77777777" w:rsidR="004B2808" w:rsidRDefault="00000000">
      <w:pPr>
        <w:ind w:left="567"/>
        <w:jc w:val="both"/>
      </w:pPr>
      <w:r>
        <w:rPr>
          <w:b/>
          <w:i/>
        </w:rPr>
        <w:t xml:space="preserve"> (Soit par défaut)</w:t>
      </w:r>
    </w:p>
    <w:p w14:paraId="733577A3" w14:textId="77777777" w:rsidR="004B2808" w:rsidRDefault="00000000">
      <w:pPr>
        <w:ind w:left="567"/>
        <w:jc w:val="both"/>
      </w:pPr>
      <w:r>
        <w:rPr>
          <w:rStyle w:val="soitChar"/>
          <w:u w:val="single"/>
        </w:rPr>
        <w:t>Barre anti-panique modulable ou de pression :</w:t>
      </w:r>
    </w:p>
    <w:p w14:paraId="653B8C9E" w14:textId="77777777" w:rsidR="004B2808" w:rsidRDefault="00000000">
      <w:pPr>
        <w:ind w:left="567"/>
        <w:jc w:val="both"/>
      </w:pPr>
      <w:r>
        <w:rPr>
          <w:rStyle w:val="soitChar"/>
        </w:rPr>
        <w:t xml:space="preserve"> La barre anti-panique modulable ou de pression est montée en applique sur la porte avec les points de verrouillage. La commande du mécanisme se fait en poussant la barre horizontale ou de pression qui rétracte le(s) pêne(s) et déverrouille la porte.</w:t>
      </w:r>
    </w:p>
    <w:p w14:paraId="388E7286" w14:textId="77777777" w:rsidR="004B2808" w:rsidRDefault="00000000">
      <w:pPr>
        <w:ind w:left="567"/>
        <w:jc w:val="both"/>
      </w:pPr>
      <w:r>
        <w:rPr>
          <w:b/>
          <w:i/>
        </w:rPr>
        <w:t>(Soit)</w:t>
      </w:r>
    </w:p>
    <w:p w14:paraId="4BCC5273" w14:textId="77777777" w:rsidR="004B2808" w:rsidRDefault="00000000">
      <w:pPr>
        <w:ind w:left="567"/>
        <w:jc w:val="both"/>
      </w:pPr>
      <w:r>
        <w:rPr>
          <w:rStyle w:val="soitChar"/>
          <w:u w:val="single"/>
        </w:rPr>
        <w:t>Dispositif anti-panique encastré dans une porte :</w:t>
      </w:r>
    </w:p>
    <w:p w14:paraId="7883E276" w14:textId="77777777" w:rsidR="004B2808" w:rsidRDefault="00000000">
      <w:pPr>
        <w:ind w:left="567"/>
        <w:jc w:val="both"/>
      </w:pPr>
      <w:r>
        <w:rPr>
          <w:rStyle w:val="soitChar"/>
        </w:rPr>
        <w:t xml:space="preserve"> Le dispositif anti-panique avec serrure et crémone est encastré dans une porte à cadre tubulaire ou isoplane. La commande du mécanisme se fait en poussant la barre horizontale qui rétracte le(s) pêne(s) et déverrouille la porte.</w:t>
      </w:r>
    </w:p>
    <w:p w14:paraId="7693BD27" w14:textId="77777777" w:rsidR="004B2808" w:rsidRDefault="00000000">
      <w:pPr>
        <w:jc w:val="both"/>
      </w:pPr>
      <w:r>
        <w:t xml:space="preserve">Il s’agit </w:t>
      </w:r>
      <w:r>
        <w:rPr>
          <w:rStyle w:val="optioncarChar"/>
        </w:rPr>
        <w:t xml:space="preserve">de la fourniture et de la pose </w:t>
      </w:r>
      <w:r>
        <w:t>(par défaut)</w:t>
      </w:r>
      <w:r>
        <w:rPr>
          <w:rStyle w:val="optioncarChar"/>
        </w:rPr>
        <w:t xml:space="preserve"> / uniquement de la pose  </w:t>
      </w:r>
    </w:p>
    <w:p w14:paraId="1CCC7DC7" w14:textId="77777777" w:rsidR="004B2808" w:rsidRDefault="00000000">
      <w:pPr>
        <w:ind w:left="567"/>
        <w:jc w:val="both"/>
      </w:pPr>
      <w:r>
        <w:rPr>
          <w:b/>
          <w:i/>
        </w:rPr>
        <w:t>(Soit par défaut)</w:t>
      </w:r>
    </w:p>
    <w:p w14:paraId="6C01F177" w14:textId="77777777" w:rsidR="004B2808" w:rsidRDefault="00000000">
      <w:pPr>
        <w:ind w:left="567"/>
        <w:jc w:val="both"/>
      </w:pPr>
      <w:r>
        <w:rPr>
          <w:rStyle w:val="soitChar"/>
          <w:u w:val="single"/>
        </w:rPr>
        <w:t>Fourniture et pose :</w:t>
      </w:r>
      <w:r>
        <w:rPr>
          <w:rStyle w:val="soitChar"/>
        </w:rPr>
        <w:t xml:space="preserve"> Les barres antipaniques sont fournies par l’entreprise.</w:t>
      </w:r>
    </w:p>
    <w:p w14:paraId="21994896" w14:textId="77777777" w:rsidR="004B2808" w:rsidRDefault="00000000">
      <w:pPr>
        <w:ind w:left="567"/>
        <w:jc w:val="both"/>
      </w:pPr>
      <w:r>
        <w:rPr>
          <w:b/>
          <w:i/>
        </w:rPr>
        <w:t>(Soit)</w:t>
      </w:r>
    </w:p>
    <w:p w14:paraId="10825AC4" w14:textId="77777777" w:rsidR="004B2808" w:rsidRDefault="00000000">
      <w:pPr>
        <w:ind w:left="567"/>
        <w:jc w:val="both"/>
      </w:pPr>
      <w:r>
        <w:rPr>
          <w:rStyle w:val="soitChar"/>
          <w:u w:val="single"/>
        </w:rPr>
        <w:t>Pose :</w:t>
      </w:r>
      <w:r>
        <w:rPr>
          <w:rStyle w:val="soitChar"/>
        </w:rPr>
        <w:t xml:space="preserve"> Les barres antipaniques sont fournies par le Maitre d’ouvrage. Dans le cas d’un démontage sur chantier pour réutilisation du matériau, se référer aux éléments du 06.44.4 Démontages de menuiseries et vitrages intérieurs, 06.44.4b Démontages des portes et huisseries intérieures, 06.54.4 Démontages de menuiseries et vitrages intérieurs, 06.54.4b Démontages des portes et huisseries intérieures.</w:t>
      </w:r>
    </w:p>
    <w:p w14:paraId="73E0D47C" w14:textId="77777777" w:rsidR="004B2808" w:rsidRDefault="00000000">
      <w:pPr>
        <w:pStyle w:val="pheading"/>
      </w:pPr>
      <w:r>
        <w:t>- Finitions</w:t>
      </w:r>
    </w:p>
    <w:p w14:paraId="13449D99" w14:textId="77777777" w:rsidR="004B2808" w:rsidRDefault="00000000">
      <w:pPr>
        <w:jc w:val="both"/>
      </w:pPr>
      <w:r>
        <w:t>Les tringles sont de couleur </w:t>
      </w:r>
      <w:r>
        <w:rPr>
          <w:rStyle w:val="optioncarChar"/>
        </w:rPr>
        <w:t>métallisée</w:t>
      </w:r>
      <w:r>
        <w:t> (par défaut) </w:t>
      </w:r>
      <w:r>
        <w:rPr>
          <w:rStyle w:val="optioncarChar"/>
        </w:rPr>
        <w:t>/ grise / blanche / ***</w:t>
      </w:r>
      <w:r>
        <w:t>.</w:t>
      </w:r>
    </w:p>
    <w:p w14:paraId="4A5EB67F" w14:textId="77777777" w:rsidR="004B2808" w:rsidRDefault="00000000">
      <w:pPr>
        <w:jc w:val="both"/>
      </w:pPr>
      <w:r>
        <w:t>Les dispositifs de manœuvre sont de couleur </w:t>
      </w:r>
      <w:r>
        <w:rPr>
          <w:rStyle w:val="optioncarChar"/>
        </w:rPr>
        <w:t>métallisée</w:t>
      </w:r>
      <w:r>
        <w:t> (par défaut)</w:t>
      </w:r>
      <w:r>
        <w:rPr>
          <w:rStyle w:val="optioncarChar"/>
        </w:rPr>
        <w:t> / grise / blanche / ***</w:t>
      </w:r>
      <w:r>
        <w:t>.</w:t>
      </w:r>
    </w:p>
    <w:p w14:paraId="2E8BFDA8" w14:textId="77777777" w:rsidR="004B2808" w:rsidRDefault="00000000">
      <w:pPr>
        <w:jc w:val="both"/>
      </w:pPr>
      <w:r>
        <w:t>Les pattes de fixation dans le vantail de la porte sont de couleur </w:t>
      </w:r>
      <w:r>
        <w:rPr>
          <w:rStyle w:val="optioncarChar"/>
        </w:rPr>
        <w:t>métallisée </w:t>
      </w:r>
      <w:r>
        <w:t>(par défaut) </w:t>
      </w:r>
      <w:r>
        <w:rPr>
          <w:rStyle w:val="optioncarChar"/>
        </w:rPr>
        <w:t>/ noire / grise / blanche / ***</w:t>
      </w:r>
      <w:r>
        <w:t>.</w:t>
      </w:r>
    </w:p>
    <w:p w14:paraId="4B8ECF80" w14:textId="77777777" w:rsidR="004B2808" w:rsidRDefault="00000000">
      <w:pPr>
        <w:pStyle w:val="pheading"/>
      </w:pPr>
      <w:r>
        <w:t>- Prescriptions complémentaires</w:t>
      </w:r>
    </w:p>
    <w:p w14:paraId="40BB478D" w14:textId="77777777" w:rsidR="004B2808" w:rsidRDefault="00000000">
      <w:pPr>
        <w:jc w:val="both"/>
      </w:pPr>
      <w:r>
        <w:rPr>
          <w:rStyle w:val="facultChar"/>
        </w:rPr>
        <w:lastRenderedPageBreak/>
        <w:t>Le présent article comprend également : </w:t>
      </w:r>
      <w:r>
        <w:rPr>
          <w:rStyle w:val="optioncarChar"/>
        </w:rPr>
        <w:t>une poignée extérieure / un micro-interrupteur / une gâche électrique</w:t>
      </w:r>
      <w:r>
        <w:rPr>
          <w:rStyle w:val="facultChar"/>
        </w:rPr>
        <w:t>.</w:t>
      </w:r>
    </w:p>
    <w:p w14:paraId="6BB4D532" w14:textId="77777777" w:rsidR="004B2808" w:rsidRDefault="00000000">
      <w:pPr>
        <w:ind w:left="567"/>
        <w:jc w:val="both"/>
      </w:pPr>
      <w:r>
        <w:rPr>
          <w:b/>
          <w:i/>
        </w:rPr>
        <w:t>(Soit)</w:t>
      </w:r>
    </w:p>
    <w:p w14:paraId="1363CB5D" w14:textId="77777777" w:rsidR="004B2808" w:rsidRDefault="00000000">
      <w:pPr>
        <w:ind w:left="567"/>
        <w:jc w:val="both"/>
      </w:pPr>
      <w:r>
        <w:rPr>
          <w:rStyle w:val="soitChar"/>
          <w:u w:val="single"/>
        </w:rPr>
        <w:t>Poignée extérieure : </w:t>
      </w:r>
      <w:r>
        <w:rPr>
          <w:rStyle w:val="soitChar"/>
        </w:rPr>
        <w:t>À l’extérieur, une garniture avec </w:t>
      </w:r>
      <w:r>
        <w:rPr>
          <w:rStyle w:val="optioncarChar"/>
        </w:rPr>
        <w:t xml:space="preserve">béquille, prévue pour un ½ cylindre </w:t>
      </w:r>
      <w:r>
        <w:t xml:space="preserve">(par défaut) </w:t>
      </w:r>
      <w:r>
        <w:rPr>
          <w:rStyle w:val="optioncarChar"/>
        </w:rPr>
        <w:t>/ béquille, sans verrouillage par clé / bouton fixe, sans verrouillage par clé / ***</w:t>
      </w:r>
      <w:r>
        <w:t>.</w:t>
      </w:r>
    </w:p>
    <w:p w14:paraId="767D6D59" w14:textId="77777777" w:rsidR="004B2808" w:rsidRDefault="004B2808">
      <w:pPr>
        <w:ind w:left="567"/>
        <w:jc w:val="both"/>
      </w:pPr>
    </w:p>
    <w:p w14:paraId="44D8E2DF" w14:textId="77777777" w:rsidR="004B2808" w:rsidRDefault="004B2808">
      <w:pPr>
        <w:ind w:left="567"/>
        <w:jc w:val="both"/>
      </w:pPr>
    </w:p>
    <w:p w14:paraId="4F846272" w14:textId="77777777" w:rsidR="004B2808" w:rsidRDefault="00000000">
      <w:pPr>
        <w:ind w:left="567"/>
        <w:jc w:val="both"/>
      </w:pPr>
      <w:r>
        <w:rPr>
          <w:b/>
          <w:i/>
        </w:rPr>
        <w:t>(Soit)</w:t>
      </w:r>
    </w:p>
    <w:p w14:paraId="24C19CA9" w14:textId="77777777" w:rsidR="004B2808" w:rsidRDefault="00000000">
      <w:pPr>
        <w:ind w:left="567"/>
        <w:jc w:val="both"/>
      </w:pPr>
      <w:r>
        <w:rPr>
          <w:rStyle w:val="soitChar"/>
          <w:u w:val="single"/>
        </w:rPr>
        <w:t>Micro interrupteur :</w:t>
      </w:r>
      <w:r>
        <w:rPr>
          <w:rStyle w:val="soitChar"/>
        </w:rPr>
        <w:t> pour commande d’information sonore ou visuelle.</w:t>
      </w:r>
    </w:p>
    <w:p w14:paraId="32A3D2CA" w14:textId="77777777" w:rsidR="004B2808" w:rsidRDefault="004B2808">
      <w:pPr>
        <w:ind w:left="567"/>
        <w:jc w:val="both"/>
      </w:pPr>
    </w:p>
    <w:p w14:paraId="51DA6F97" w14:textId="77777777" w:rsidR="004B2808" w:rsidRDefault="00000000">
      <w:pPr>
        <w:ind w:left="567"/>
        <w:jc w:val="both"/>
      </w:pPr>
      <w:r>
        <w:rPr>
          <w:b/>
          <w:i/>
        </w:rPr>
        <w:t>(Soit)</w:t>
      </w:r>
    </w:p>
    <w:p w14:paraId="43F7D663" w14:textId="77777777" w:rsidR="004B2808" w:rsidRDefault="00000000">
      <w:pPr>
        <w:ind w:left="567"/>
        <w:jc w:val="both"/>
      </w:pPr>
      <w:r>
        <w:rPr>
          <w:rStyle w:val="soitChar"/>
          <w:u w:val="single"/>
        </w:rPr>
        <w:t>Gâche électrique :</w:t>
      </w:r>
      <w:r>
        <w:rPr>
          <w:rStyle w:val="soitChar"/>
        </w:rPr>
        <w:t> pour contrôle d’accès.</w:t>
      </w:r>
    </w:p>
    <w:p w14:paraId="15E86856" w14:textId="77777777" w:rsidR="004B2808" w:rsidRDefault="004B2808"/>
    <w:p w14:paraId="0FF772F4" w14:textId="77777777" w:rsidR="004B2808" w:rsidRDefault="00000000">
      <w:pPr>
        <w:jc w:val="both"/>
      </w:pPr>
      <w:r>
        <w:rPr>
          <w:rStyle w:val="facultChar"/>
        </w:rPr>
        <w:t>Les alimentations électriques ne sont pas comprises dans cet article. Elles sont prévues dans les articles du 7 T7 Electricité.</w:t>
      </w:r>
    </w:p>
    <w:p w14:paraId="2301A79A" w14:textId="77777777" w:rsidR="004B2808" w:rsidRDefault="004B2808">
      <w:pPr>
        <w:jc w:val="both"/>
      </w:pPr>
    </w:p>
    <w:p w14:paraId="118771D3" w14:textId="77777777" w:rsidR="004B2808" w:rsidRDefault="00000000">
      <w:pPr>
        <w:jc w:val="both"/>
      </w:pPr>
      <w:r>
        <w:rPr>
          <w:rStyle w:val="facultChar"/>
        </w:rPr>
        <w:t xml:space="preserve"> Cet article ne traite pas des serrures.. Elles sont décrites par défaut dans l’article </w:t>
      </w:r>
      <w:hyperlink w:anchor="1354" w:history="1">
        <w:r w:rsidR="004B2808">
          <w:rPr>
            <w:rStyle w:val="facultChar"/>
            <w:color w:val="0000EE"/>
          </w:rPr>
          <w:t>55.62.2a Serrures de portes</w:t>
        </w:r>
      </w:hyperlink>
      <w:r>
        <w:rPr>
          <w:rStyle w:val="facultChar"/>
        </w:rPr>
        <w:t>.</w:t>
      </w:r>
    </w:p>
    <w:p w14:paraId="14266BF2" w14:textId="77777777" w:rsidR="004B2808" w:rsidRDefault="00000000">
      <w:pPr>
        <w:pStyle w:val="pheading"/>
      </w:pPr>
      <w:r>
        <w:t>EXÉCUTION / MISE EN ŒUVRE</w:t>
      </w:r>
    </w:p>
    <w:p w14:paraId="2107D08C" w14:textId="77777777" w:rsidR="004B2808" w:rsidRDefault="00000000">
      <w:pPr>
        <w:pStyle w:val="pheading"/>
      </w:pPr>
      <w:r>
        <w:t>- Prescriptions générales</w:t>
      </w:r>
    </w:p>
    <w:p w14:paraId="43D85616" w14:textId="77777777" w:rsidR="004B2808" w:rsidRDefault="00000000">
      <w:pPr>
        <w:pStyle w:val="Author-eListParagraph"/>
        <w:numPr>
          <w:ilvl w:val="0"/>
          <w:numId w:val="1186"/>
        </w:numPr>
        <w:jc w:val="both"/>
      </w:pPr>
      <w:r>
        <w:t>Les fixations sont réalisées par </w:t>
      </w:r>
      <w:r>
        <w:rPr>
          <w:rStyle w:val="optioncarChar"/>
        </w:rPr>
        <w:t>vis</w:t>
      </w:r>
      <w:r>
        <w:t> (par défaut)</w:t>
      </w:r>
      <w:r>
        <w:rPr>
          <w:rStyle w:val="optioncarChar"/>
        </w:rPr>
        <w:t> / vis traversantes et munies de cache du côté opposé / ***.</w:t>
      </w:r>
    </w:p>
    <w:p w14:paraId="5D6B71EB" w14:textId="77777777" w:rsidR="004B2808" w:rsidRDefault="004B2808">
      <w:pPr>
        <w:pStyle w:val="Author-eListParagraph"/>
        <w:numPr>
          <w:ilvl w:val="0"/>
          <w:numId w:val="1186"/>
        </w:numPr>
        <w:jc w:val="both"/>
      </w:pPr>
    </w:p>
    <w:p w14:paraId="7DFE1BBC" w14:textId="77777777" w:rsidR="004B2808" w:rsidRDefault="00000000">
      <w:pPr>
        <w:pStyle w:val="Author-eListParagraph"/>
        <w:numPr>
          <w:ilvl w:val="0"/>
          <w:numId w:val="1186"/>
        </w:numPr>
        <w:jc w:val="both"/>
      </w:pPr>
      <w:r>
        <w:t>La fermeture anti-panique pour issues de secours est placée en saillie maximale </w:t>
      </w:r>
      <w:r>
        <w:rPr>
          <w:rStyle w:val="optioncarChar"/>
        </w:rPr>
        <w:t>de 150 mm (catégorie 1)</w:t>
      </w:r>
      <w:r>
        <w:t> (par défaut)</w:t>
      </w:r>
      <w:r>
        <w:rPr>
          <w:rStyle w:val="optioncarChar"/>
        </w:rPr>
        <w:t> / ou 100 mm (catégorie 2).</w:t>
      </w:r>
    </w:p>
    <w:p w14:paraId="187AF38F" w14:textId="77777777" w:rsidR="004B2808" w:rsidRDefault="00000000">
      <w:pPr>
        <w:jc w:val="both"/>
      </w:pPr>
      <w:r>
        <w:t>Le réglage du dispositif de fermeture est réalisé afin de ne pas réduire la manœuvre des vantaux.</w:t>
      </w:r>
    </w:p>
    <w:p w14:paraId="3FDE7CF5" w14:textId="77777777" w:rsidR="004B2808" w:rsidRDefault="00000000">
      <w:pPr>
        <w:pStyle w:val="Author-eListParagraph"/>
        <w:numPr>
          <w:ilvl w:val="0"/>
          <w:numId w:val="1187"/>
        </w:numPr>
        <w:jc w:val="both"/>
      </w:pPr>
      <w:r>
        <w:t>Fermetures anti-panique sont montées du côté du chemin de fuite</w:t>
      </w:r>
    </w:p>
    <w:p w14:paraId="556C8BD5" w14:textId="77777777" w:rsidR="004B2808" w:rsidRDefault="00000000">
      <w:pPr>
        <w:pStyle w:val="Author-eListParagraph"/>
        <w:numPr>
          <w:ilvl w:val="0"/>
          <w:numId w:val="1187"/>
        </w:numPr>
        <w:jc w:val="both"/>
      </w:pPr>
      <w:r>
        <w:t>La fermeture permet à la porte de battre librement dans la direction de la sortie une fois la porte déverrouillée</w:t>
      </w:r>
    </w:p>
    <w:p w14:paraId="403D597F" w14:textId="77777777" w:rsidR="004B2808" w:rsidRDefault="00000000">
      <w:pPr>
        <w:pStyle w:val="Author-eListParagraph"/>
        <w:numPr>
          <w:ilvl w:val="0"/>
          <w:numId w:val="1187"/>
        </w:numPr>
        <w:jc w:val="both"/>
      </w:pPr>
      <w:r>
        <w:t xml:space="preserve">La force de fermeture est spécifiée telle que : </w:t>
      </w:r>
    </w:p>
    <w:p w14:paraId="0C9F454A" w14:textId="77777777" w:rsidR="004B2808" w:rsidRDefault="00000000">
      <w:pPr>
        <w:pStyle w:val="Author-eListParagraph"/>
        <w:numPr>
          <w:ilvl w:val="1"/>
          <w:numId w:val="1188"/>
        </w:numPr>
        <w:jc w:val="both"/>
      </w:pPr>
      <w:r>
        <w:t>première ouverture, sans aucune charge sur le vantail. La porte s’ouvre avec un effort inférieur à de 80 N</w:t>
      </w:r>
    </w:p>
    <w:p w14:paraId="5531EDCA" w14:textId="77777777" w:rsidR="004B2808" w:rsidRDefault="00000000">
      <w:pPr>
        <w:pStyle w:val="Author-eListParagraph"/>
        <w:numPr>
          <w:ilvl w:val="1"/>
          <w:numId w:val="1188"/>
        </w:numPr>
        <w:jc w:val="both"/>
      </w:pPr>
      <w:r>
        <w:t>deuxième ouverture, avec  une charge de 1000 N est exercée sur le vantail. La force maximale nécessaire à l’ouverture est inférieure à 220 N</w:t>
      </w:r>
    </w:p>
    <w:p w14:paraId="777C4A47" w14:textId="77777777" w:rsidR="004B2808" w:rsidRDefault="004B2808">
      <w:pPr>
        <w:pStyle w:val="Author-eListParagraph"/>
        <w:numPr>
          <w:ilvl w:val="1"/>
          <w:numId w:val="1188"/>
        </w:numPr>
        <w:jc w:val="both"/>
      </w:pPr>
    </w:p>
    <w:p w14:paraId="763A7535" w14:textId="77777777" w:rsidR="004B2808" w:rsidRDefault="00000000">
      <w:pPr>
        <w:pStyle w:val="Author-eListParagraph"/>
        <w:numPr>
          <w:ilvl w:val="0"/>
          <w:numId w:val="1187"/>
        </w:numPr>
        <w:jc w:val="both"/>
      </w:pPr>
      <w:r>
        <w:t>Force de réengagement: force requise pour enclencher un dispositif automatique d’empennage dans le but de réengager la fermeture anti-panique pour issues de secours en position verrouillée ≤ 50N</w:t>
      </w:r>
    </w:p>
    <w:p w14:paraId="3BAF765A" w14:textId="77777777" w:rsidR="004B2808" w:rsidRDefault="00000000">
      <w:pPr>
        <w:pStyle w:val="Author-eListParagraph"/>
        <w:numPr>
          <w:ilvl w:val="0"/>
          <w:numId w:val="1187"/>
        </w:numPr>
        <w:jc w:val="both"/>
      </w:pPr>
      <w:r>
        <w:t xml:space="preserve">Force d’ouverture: la norme fixe la force requise pour déverrouiller les fermetures d’urgence manœuvrées par </w:t>
      </w:r>
    </w:p>
    <w:p w14:paraId="555C3D86" w14:textId="77777777" w:rsidR="004B2808" w:rsidRDefault="00000000">
      <w:pPr>
        <w:pStyle w:val="Author-eListParagraph"/>
        <w:numPr>
          <w:ilvl w:val="1"/>
          <w:numId w:val="1189"/>
        </w:numPr>
        <w:jc w:val="both"/>
      </w:pPr>
      <w:r>
        <w:t>Béquille (type A) : max. 70 N</w:t>
      </w:r>
    </w:p>
    <w:p w14:paraId="4EB12DEC" w14:textId="77777777" w:rsidR="004B2808" w:rsidRDefault="00000000">
      <w:pPr>
        <w:pStyle w:val="Author-eListParagraph"/>
        <w:numPr>
          <w:ilvl w:val="1"/>
          <w:numId w:val="1189"/>
        </w:numPr>
        <w:jc w:val="both"/>
      </w:pPr>
      <w:r>
        <w:t>Plaque de poussée (type B) : max. 150 N</w:t>
      </w:r>
    </w:p>
    <w:p w14:paraId="7E3B9451" w14:textId="77777777" w:rsidR="004B2808" w:rsidRDefault="00000000">
      <w:pPr>
        <w:pStyle w:val="pheading"/>
      </w:pPr>
      <w:r>
        <w:t>DOCUMENTS DE RÉFÉRENCE COMPLÉMENTAIRES</w:t>
      </w:r>
    </w:p>
    <w:p w14:paraId="4EB5E29B" w14:textId="77777777" w:rsidR="004B2808" w:rsidRDefault="00000000">
      <w:pPr>
        <w:pStyle w:val="pheading"/>
      </w:pPr>
      <w:r>
        <w:t>- Matériau</w:t>
      </w:r>
    </w:p>
    <w:p w14:paraId="32C345D3" w14:textId="77777777" w:rsidR="004B2808" w:rsidRDefault="00000000">
      <w:r>
        <w:lastRenderedPageBreak/>
        <w:t>[NBN EN 179, Quincaillerie pour le bâtiment - Fermetures d'urgence pour issues de secours manœuvrées par une béquille ou une plaque de poussée, destinées à être utilisées sur des voies d'évacuation - Exigences et méthodes d'essai]</w:t>
      </w:r>
    </w:p>
    <w:p w14:paraId="085A909D" w14:textId="77777777" w:rsidR="004B2808" w:rsidRDefault="00000000">
      <w:r>
        <w:t>[NBN EN 1125, Quincaillerie pour le bâtiment - Fermetures anti-panique manœuvrées par une barre horizontale, destinées à être utilisées sur des voies d'évacuation - Exigences et méthodes d'essai]</w:t>
      </w:r>
    </w:p>
    <w:p w14:paraId="156A8C2A" w14:textId="77777777" w:rsidR="004B2808" w:rsidRDefault="00000000">
      <w:pPr>
        <w:pStyle w:val="pheading"/>
      </w:pPr>
      <w:r>
        <w:t>- Exécution</w:t>
      </w:r>
    </w:p>
    <w:p w14:paraId="338FD26B" w14:textId="77777777" w:rsidR="004B2808" w:rsidRDefault="00000000">
      <w:r>
        <w:t>[AR 1994-07-07, Arrêté royal fixant les normes de base en matière de prévention contre l'incendie et l'explosion, auxquelles les bâtiments nouveaux doivent satisfaire]</w:t>
      </w:r>
    </w:p>
    <w:p w14:paraId="2F881E53" w14:textId="77777777" w:rsidR="004B2808" w:rsidRDefault="00000000">
      <w:r>
        <w:t>[SWL GSI/T1/A, Guides sécurité incendie - Tome 1 Prévention passive - Guide A Organisation spatiale des bâtiments]</w:t>
      </w:r>
      <w:r>
        <w:br/>
      </w:r>
      <w:r>
        <w:br/>
        <w:t>[SWL GSI/T1/B, Guides sécurité incendie - Tome 1 Prévention passive - Guide B Réaction au feu]</w:t>
      </w:r>
      <w:r>
        <w:br/>
      </w:r>
      <w:r>
        <w:br/>
        <w:t>[SWL GSI/T1/C, Guides sécurité incendie - Tome 1 Prévention passive - Guide C Résistance au feu]</w:t>
      </w:r>
      <w:r>
        <w:br/>
      </w:r>
      <w:r>
        <w:br/>
        <w:t>[SWL GSI/T2/A, Guides sécurité incendie - Tome 2 Prévention active - Guide A Moyens de détection incendie]</w:t>
      </w:r>
      <w:r>
        <w:br/>
      </w:r>
      <w:r>
        <w:br/>
        <w:t>[SWL GSI/T2/B, Guides sécurité incendie - Tome 2 Prévention active - Guide B Moyens d'extinction]</w:t>
      </w:r>
      <w:r>
        <w:br/>
      </w:r>
      <w:r>
        <w:br/>
        <w:t>[SWL GSI/T2/C, Guides sécurité incendie - Tome 2 Prévention active - Guide C Eclairage de sécurité]</w:t>
      </w:r>
      <w:r>
        <w:br/>
      </w:r>
      <w:r>
        <w:br/>
        <w:t>[SWL CALA, Guide d’aide à la conception d’un logement adaptable]</w:t>
      </w:r>
      <w:r>
        <w:br/>
      </w:r>
      <w:r>
        <w:br/>
        <w:t>[GRU 2016-07-20, Guide Régional d'Urbanisme] (chapitre 4)</w:t>
      </w:r>
    </w:p>
    <w:p w14:paraId="14002C9F" w14:textId="77777777" w:rsidR="004B2808" w:rsidRDefault="00000000">
      <w:pPr>
        <w:pStyle w:val="pheading"/>
      </w:pPr>
      <w:r>
        <w:t>MESURAGE</w:t>
      </w:r>
    </w:p>
    <w:p w14:paraId="65BC9AC3" w14:textId="77777777" w:rsidR="004B2808" w:rsidRDefault="00000000">
      <w:pPr>
        <w:pStyle w:val="pheading"/>
      </w:pPr>
      <w:r>
        <w:t>- unité de mesure:</w:t>
      </w:r>
    </w:p>
    <w:p w14:paraId="0F8A243A" w14:textId="77777777" w:rsidR="004B2808" w:rsidRDefault="00000000">
      <w:r>
        <w:rPr>
          <w:rStyle w:val="optioncarChar"/>
        </w:rPr>
        <w:t>-</w:t>
      </w:r>
      <w:r>
        <w:t xml:space="preserve"> (par défaut)</w:t>
      </w:r>
      <w:r>
        <w:rPr>
          <w:rStyle w:val="optioncarChar"/>
        </w:rPr>
        <w:t xml:space="preserve"> / pc</w:t>
      </w:r>
    </w:p>
    <w:p w14:paraId="419C8270" w14:textId="77777777" w:rsidR="004B2808" w:rsidRDefault="00000000">
      <w:r>
        <w:rPr>
          <w:b/>
          <w:i/>
        </w:rPr>
        <w:t>(Soit par défaut)</w:t>
      </w:r>
    </w:p>
    <w:p w14:paraId="2C44D376" w14:textId="77777777" w:rsidR="004B2808" w:rsidRDefault="00000000">
      <w:r>
        <w:rPr>
          <w:rStyle w:val="soitChar"/>
        </w:rPr>
        <w:t>1.  -</w:t>
      </w:r>
    </w:p>
    <w:p w14:paraId="6771285C" w14:textId="77777777" w:rsidR="004B2808" w:rsidRDefault="00000000">
      <w:r>
        <w:rPr>
          <w:b/>
          <w:i/>
        </w:rPr>
        <w:t>(Soit)</w:t>
      </w:r>
    </w:p>
    <w:p w14:paraId="7B265119" w14:textId="77777777" w:rsidR="004B2808" w:rsidRDefault="00000000">
      <w:r>
        <w:rPr>
          <w:rStyle w:val="soitChar"/>
        </w:rPr>
        <w:t>2.  pc</w:t>
      </w:r>
    </w:p>
    <w:p w14:paraId="080219B5" w14:textId="77777777" w:rsidR="004B2808" w:rsidRDefault="00000000">
      <w:pPr>
        <w:pStyle w:val="pheading"/>
      </w:pPr>
      <w:r>
        <w:t>- code de mesurage:</w:t>
      </w:r>
    </w:p>
    <w:p w14:paraId="53A0DE57" w14:textId="77777777" w:rsidR="004B2808" w:rsidRDefault="00000000">
      <w:pPr>
        <w:jc w:val="both"/>
      </w:pPr>
      <w:r>
        <w:t>Sauf indications spécifique contraire dans le cahier spécial des charges et./ou le métré récapitulatif, le prix de toute la quincaillerie sera compris dans le prix unitaire de la menuiserie extérieure (profilés )</w:t>
      </w:r>
    </w:p>
    <w:p w14:paraId="5D7E822D" w14:textId="77777777" w:rsidR="004B2808" w:rsidRDefault="00000000">
      <w:pPr>
        <w:jc w:val="both"/>
      </w:pPr>
      <w:r>
        <w:t>Exceptionnellement et moyennant mention expresse dans le cahier spécial des charges et le métré récapitulatif, la quincaillerie spéciale peut être reprise comme poste séparé (par ex. ferme-porte / barre anti-panique / serrures électriques / ...).</w:t>
      </w:r>
    </w:p>
    <w:p w14:paraId="5954D8A1" w14:textId="77777777" w:rsidR="004B2808" w:rsidRDefault="00000000">
      <w:pPr>
        <w:jc w:val="both"/>
      </w:pPr>
      <w:r>
        <w:t>Distinction faite entre barres neuves et de réemploi, avec ou sans fourniture pour ces dernières.</w:t>
      </w:r>
    </w:p>
    <w:p w14:paraId="270781FD" w14:textId="77777777" w:rsidR="004B2808" w:rsidRDefault="004B2808">
      <w:pPr>
        <w:jc w:val="both"/>
      </w:pPr>
    </w:p>
    <w:p w14:paraId="66129728" w14:textId="77777777" w:rsidR="004B2808" w:rsidRDefault="004B2808">
      <w:pPr>
        <w:jc w:val="both"/>
      </w:pPr>
    </w:p>
    <w:p w14:paraId="723DC7F9" w14:textId="77777777" w:rsidR="004B2808" w:rsidRDefault="00000000">
      <w:pPr>
        <w:jc w:val="both"/>
      </w:pPr>
      <w:r>
        <w:rPr>
          <w:rStyle w:val="optioncarChar"/>
        </w:rPr>
        <w:t>Compris </w:t>
      </w:r>
      <w:r>
        <w:t>(par défaut)</w:t>
      </w:r>
      <w:r>
        <w:rPr>
          <w:rStyle w:val="optioncarChar"/>
        </w:rPr>
        <w:t> / Quantité nette</w:t>
      </w:r>
    </w:p>
    <w:p w14:paraId="472D919E" w14:textId="77777777" w:rsidR="004B2808" w:rsidRDefault="00000000">
      <w:pPr>
        <w:jc w:val="both"/>
      </w:pPr>
      <w:r>
        <w:rPr>
          <w:b/>
          <w:i/>
        </w:rPr>
        <w:t>(Soit par défaut)</w:t>
      </w:r>
    </w:p>
    <w:p w14:paraId="3A384579" w14:textId="77777777" w:rsidR="004B2808" w:rsidRDefault="004B2808">
      <w:pPr>
        <w:jc w:val="both"/>
      </w:pPr>
    </w:p>
    <w:p w14:paraId="1BCDFC17" w14:textId="77777777" w:rsidR="004B2808" w:rsidRDefault="00000000">
      <w:pPr>
        <w:jc w:val="both"/>
      </w:pPr>
      <w:r>
        <w:rPr>
          <w:rStyle w:val="soitChar"/>
          <w:u w:val="single"/>
        </w:rPr>
        <w:t>1. Compris</w:t>
      </w:r>
      <w:r>
        <w:rPr>
          <w:rStyle w:val="soitChar"/>
        </w:rPr>
        <w:t> dans l'article </w:t>
      </w:r>
      <w:r>
        <w:rPr>
          <w:rStyle w:val="optioncarChar"/>
        </w:rPr>
        <w:t>***</w:t>
      </w:r>
      <w:r>
        <w:rPr>
          <w:rStyle w:val="soitChar"/>
        </w:rPr>
        <w:t> y compris les accessoires, tringlerie, fixations, et caches.</w:t>
      </w:r>
    </w:p>
    <w:p w14:paraId="484CBC9F" w14:textId="77777777" w:rsidR="004B2808" w:rsidRDefault="00000000">
      <w:pPr>
        <w:jc w:val="both"/>
      </w:pPr>
      <w:r>
        <w:rPr>
          <w:b/>
          <w:i/>
        </w:rPr>
        <w:t>(Soit)</w:t>
      </w:r>
    </w:p>
    <w:p w14:paraId="42ECF76E" w14:textId="77777777" w:rsidR="004B2808" w:rsidRDefault="004B2808">
      <w:pPr>
        <w:jc w:val="both"/>
      </w:pPr>
    </w:p>
    <w:p w14:paraId="17DCFE5F" w14:textId="77777777" w:rsidR="004B2808" w:rsidRDefault="00000000">
      <w:pPr>
        <w:jc w:val="both"/>
      </w:pPr>
      <w:r>
        <w:rPr>
          <w:rStyle w:val="soitChar"/>
          <w:u w:val="single"/>
        </w:rPr>
        <w:t>2. Quantité nette</w:t>
      </w:r>
      <w:r>
        <w:rPr>
          <w:rStyle w:val="soitChar"/>
        </w:rPr>
        <w:t> y compris les accessoires, tringlerie, fixations, et caches.</w:t>
      </w:r>
    </w:p>
    <w:p w14:paraId="141739F6" w14:textId="77777777" w:rsidR="004B2808" w:rsidRDefault="00000000">
      <w:pPr>
        <w:pStyle w:val="pheading"/>
      </w:pPr>
      <w:r>
        <w:t>- nature du marché:</w:t>
      </w:r>
    </w:p>
    <w:p w14:paraId="5A1755BA" w14:textId="77777777" w:rsidR="004B2808" w:rsidRDefault="00000000">
      <w:r>
        <w:rPr>
          <w:rStyle w:val="optioncarChar"/>
        </w:rPr>
        <w:t xml:space="preserve">PM </w:t>
      </w:r>
      <w:r>
        <w:t xml:space="preserve">(par défaut) </w:t>
      </w:r>
      <w:r>
        <w:rPr>
          <w:rStyle w:val="optioncarChar"/>
        </w:rPr>
        <w:t>/ QF  </w:t>
      </w:r>
    </w:p>
    <w:p w14:paraId="4C40A5B9" w14:textId="77777777" w:rsidR="004B2808" w:rsidRDefault="00000000">
      <w:r>
        <w:rPr>
          <w:b/>
          <w:i/>
        </w:rPr>
        <w:t>(Soit par défaut)</w:t>
      </w:r>
    </w:p>
    <w:p w14:paraId="67228C49" w14:textId="77777777" w:rsidR="004B2808" w:rsidRDefault="00000000">
      <w:r>
        <w:rPr>
          <w:rStyle w:val="soitChar"/>
        </w:rPr>
        <w:t>1.PM</w:t>
      </w:r>
    </w:p>
    <w:p w14:paraId="336CC3CE" w14:textId="77777777" w:rsidR="004B2808" w:rsidRDefault="00000000">
      <w:r>
        <w:rPr>
          <w:b/>
          <w:i/>
        </w:rPr>
        <w:t>(Soit)</w:t>
      </w:r>
    </w:p>
    <w:p w14:paraId="6EA09644" w14:textId="77777777" w:rsidR="004B2808" w:rsidRDefault="00000000">
      <w:r>
        <w:rPr>
          <w:rStyle w:val="soitChar"/>
        </w:rPr>
        <w:t>2.QP</w:t>
      </w:r>
    </w:p>
    <w:p w14:paraId="21B1A624" w14:textId="77777777" w:rsidR="004B2808" w:rsidRDefault="00000000">
      <w:pPr>
        <w:pStyle w:val="pheading"/>
      </w:pPr>
      <w:r>
        <w:t>AIDE</w:t>
      </w:r>
    </w:p>
    <w:p w14:paraId="373F7B3C" w14:textId="77777777" w:rsidR="004B2808" w:rsidRDefault="00000000">
      <w:pPr>
        <w:jc w:val="both"/>
      </w:pPr>
      <w:r>
        <w:t>Nombre de points de fermeture des systèmes en applique :</w:t>
      </w:r>
    </w:p>
    <w:p w14:paraId="19678391" w14:textId="77777777" w:rsidR="004B2808" w:rsidRDefault="00000000">
      <w:pPr>
        <w:jc w:val="both"/>
      </w:pPr>
      <w:r>
        <w:rPr>
          <w:noProof/>
        </w:rPr>
        <w:drawing>
          <wp:inline distT="0" distB="0" distL="0" distR="0" wp14:anchorId="4DF28A61" wp14:editId="6CB38DD7">
            <wp:extent cx="5715000" cy="923925"/>
            <wp:effectExtent l="0" t="0" r="0" b="0"/>
            <wp:docPr id="3" name="55.62.4b 1.png" descr="55.62.4b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7786" descr=" "/>
                    <pic:cNvPicPr>
                      <a:picLocks noChangeAspect="1" noChangeArrowheads="1"/>
                    </pic:cNvPicPr>
                  </pic:nvPicPr>
                  <pic:blipFill>
                    <a:blip r:embed="rId8"/>
                    <a:srcRect/>
                    <a:stretch>
                      <a:fillRect/>
                    </a:stretch>
                  </pic:blipFill>
                  <pic:spPr bwMode="auto">
                    <a:xfrm>
                      <a:off x="0" y="0"/>
                      <a:ext cx="5715000" cy="923925"/>
                    </a:xfrm>
                    <a:prstGeom prst="rect">
                      <a:avLst/>
                    </a:prstGeom>
                  </pic:spPr>
                </pic:pic>
              </a:graphicData>
            </a:graphic>
          </wp:inline>
        </w:drawing>
      </w:r>
    </w:p>
    <w:p w14:paraId="332F1231" w14:textId="77777777" w:rsidR="004B2808" w:rsidRDefault="00000000">
      <w:pPr>
        <w:jc w:val="both"/>
      </w:pPr>
      <w:r>
        <w:t>Nombre de points de fermeture des systèmes encastrés dans une porte :</w:t>
      </w:r>
    </w:p>
    <w:p w14:paraId="2FD9A457" w14:textId="77777777" w:rsidR="004B2808" w:rsidRDefault="00000000">
      <w:pPr>
        <w:jc w:val="both"/>
      </w:pPr>
      <w:r>
        <w:rPr>
          <w:noProof/>
        </w:rPr>
        <w:drawing>
          <wp:inline distT="0" distB="0" distL="0" distR="0" wp14:anchorId="3F5572CF" wp14:editId="4C2232DC">
            <wp:extent cx="5715000" cy="942975"/>
            <wp:effectExtent l="0" t="0" r="0" b="0"/>
            <wp:docPr id="4" name="55.62.4b 2.png" descr="55.62.4b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7787" descr=" "/>
                    <pic:cNvPicPr>
                      <a:picLocks noChangeAspect="1" noChangeArrowheads="1"/>
                    </pic:cNvPicPr>
                  </pic:nvPicPr>
                  <pic:blipFill>
                    <a:blip r:embed="rId9"/>
                    <a:srcRect/>
                    <a:stretch>
                      <a:fillRect/>
                    </a:stretch>
                  </pic:blipFill>
                  <pic:spPr bwMode="auto">
                    <a:xfrm>
                      <a:off x="0" y="0"/>
                      <a:ext cx="5715000" cy="942975"/>
                    </a:xfrm>
                    <a:prstGeom prst="rect">
                      <a:avLst/>
                    </a:prstGeom>
                  </pic:spPr>
                </pic:pic>
              </a:graphicData>
            </a:graphic>
          </wp:inline>
        </w:drawing>
      </w:r>
    </w:p>
    <w:p w14:paraId="4B825C78" w14:textId="77777777" w:rsidR="004B2808" w:rsidRDefault="004B2808"/>
    <w:p w14:paraId="632250A4" w14:textId="77777777" w:rsidR="004B2808" w:rsidRDefault="00000000">
      <w:pPr>
        <w:jc w:val="both"/>
      </w:pPr>
      <w:r>
        <w:rPr>
          <w:b/>
          <w:u w:val="single"/>
        </w:rPr>
        <w:t>Fonction accès contrôlé :</w:t>
      </w:r>
    </w:p>
    <w:p w14:paraId="367C96BE" w14:textId="77777777" w:rsidR="004B2808" w:rsidRDefault="00000000">
      <w:pPr>
        <w:jc w:val="both"/>
      </w:pPr>
      <w:r>
        <w:t xml:space="preserve"> Pour les portes exigeant un contrôle d’accès systématique de l’extérieur.</w:t>
      </w:r>
    </w:p>
    <w:p w14:paraId="64AFD7D4" w14:textId="77777777" w:rsidR="004B2808" w:rsidRDefault="00000000">
      <w:pPr>
        <w:jc w:val="both"/>
      </w:pPr>
      <w:r>
        <w:t xml:space="preserve"> Un demi-tour de la clé dans le cylindre empêche l’ouverture de la porte depuis l’extérieur.</w:t>
      </w:r>
    </w:p>
    <w:p w14:paraId="48F7D3EE" w14:textId="77777777" w:rsidR="004B2808" w:rsidRDefault="00000000">
      <w:pPr>
        <w:jc w:val="both"/>
      </w:pPr>
      <w:r>
        <w:t xml:space="preserve"> L’ouverture de la porte de l’intérieur, par action sur la barre anti-panique, est toujours possible.</w:t>
      </w:r>
    </w:p>
    <w:p w14:paraId="668A2B39" w14:textId="77777777" w:rsidR="004B2808" w:rsidRDefault="00000000">
      <w:pPr>
        <w:jc w:val="both"/>
      </w:pPr>
      <w:r>
        <w:t xml:space="preserve"> Suite à un déverrouillage anti-panique, le pêne dormant est maintenu rétracté et peut être à nouveau verrouillé par action de la clé dans le cylindre. Le demi-tour empêche toujours l’ouverture de la porte depuis l’extérieur.</w:t>
      </w:r>
    </w:p>
    <w:p w14:paraId="5DA91AC6" w14:textId="77777777" w:rsidR="004B2808" w:rsidRDefault="004B2808">
      <w:pPr>
        <w:jc w:val="both"/>
      </w:pPr>
    </w:p>
    <w:p w14:paraId="3B74FB71" w14:textId="77777777" w:rsidR="004B2808" w:rsidRDefault="004B2808">
      <w:pPr>
        <w:jc w:val="both"/>
      </w:pPr>
    </w:p>
    <w:p w14:paraId="11DEEBE8" w14:textId="77777777" w:rsidR="004B2808" w:rsidRDefault="00000000">
      <w:pPr>
        <w:jc w:val="both"/>
      </w:pPr>
      <w:r>
        <w:rPr>
          <w:b/>
          <w:u w:val="single"/>
        </w:rPr>
        <w:t>Fonction passage libre :</w:t>
      </w:r>
    </w:p>
    <w:p w14:paraId="300CCC32" w14:textId="77777777" w:rsidR="004B2808" w:rsidRDefault="00000000">
      <w:pPr>
        <w:jc w:val="both"/>
      </w:pPr>
      <w:r>
        <w:t xml:space="preserve"> Pour les portes à passage temporaire nécessaire de l’extérieur. L’ouverture de la porte de l’intérieur, par action sur la barre anti-panique, est toujours possible. Un bouton de porte fixe se trouve côté extérieur.</w:t>
      </w:r>
    </w:p>
    <w:p w14:paraId="76025461" w14:textId="77777777" w:rsidR="004B2808" w:rsidRDefault="00000000">
      <w:pPr>
        <w:jc w:val="both"/>
      </w:pPr>
      <w:r>
        <w:t xml:space="preserve"> Après l’activation de la fonction anti-panique, l’accès libre et temporaire du côté extérieur est automatiquement rendu possible. Suite à un déverrouillage anti-panique, le pêne dormant est maintenu rétracté et peut être verrouillé à nouveau par action de la clé dans le cylindre. Une béquille est située côté extérieur, le demi-tour se rétracte systématiquement grâce à l’action sur la béquille. </w:t>
      </w:r>
    </w:p>
    <w:p w14:paraId="526C129C" w14:textId="77777777" w:rsidR="004B2808" w:rsidRDefault="004B2808">
      <w:pPr>
        <w:jc w:val="both"/>
      </w:pPr>
    </w:p>
    <w:p w14:paraId="1712D0CD" w14:textId="77777777" w:rsidR="004B2808" w:rsidRDefault="004B2808">
      <w:pPr>
        <w:jc w:val="both"/>
      </w:pPr>
    </w:p>
    <w:p w14:paraId="47E1120D" w14:textId="77777777" w:rsidR="004B2808" w:rsidRDefault="00000000">
      <w:pPr>
        <w:jc w:val="both"/>
      </w:pPr>
      <w:r>
        <w:rPr>
          <w:b/>
          <w:u w:val="single"/>
        </w:rPr>
        <w:t>Fonction accès commutable :</w:t>
      </w:r>
    </w:p>
    <w:p w14:paraId="207E64CD" w14:textId="77777777" w:rsidR="004B2808" w:rsidRDefault="00000000">
      <w:pPr>
        <w:jc w:val="both"/>
      </w:pPr>
      <w:r>
        <w:lastRenderedPageBreak/>
        <w:t xml:space="preserve"> Pour les portes à contrôle d’accès temporaire de l’extérieur. L’ouverture de la porte de l’intérieur, par action sur la barre anti-panique, est toujours possible. Un bouton de porte fixe se trouve côté extérieur.</w:t>
      </w:r>
    </w:p>
    <w:p w14:paraId="2BEDCB6A" w14:textId="77777777" w:rsidR="004B2808" w:rsidRDefault="00000000">
      <w:pPr>
        <w:jc w:val="both"/>
      </w:pPr>
      <w:r>
        <w:t xml:space="preserve"> Suite à un déverrouillage anti-panique, le pêne dormant est maintenu rétracté et peut être verrouillé à nouveau par action de la clé dans le cylindre. Une béquille est située côté extérieur. La béquille peut être couplée/découplée, à l’aide d’une action spéciale dans la serrure, via la clé. L’accès depuis l’extérieur est alors autorisé, soit en passage libre temporaire, soit en passage contrôlé. La béquille reste couplée en passage libre temporaire jusqu’à ce qu’un nouveau verrouillage ait lieu.</w:t>
      </w:r>
    </w:p>
    <w:p w14:paraId="5CA16B29" w14:textId="77777777" w:rsidR="004B2808" w:rsidRDefault="00000000">
      <w:pPr>
        <w:pStyle w:val="Author-eSectionHeading6Numberless"/>
      </w:pPr>
      <w:bookmarkStart w:id="1321" w:name="_Toc220491432"/>
      <w:r>
        <w:t>55.62.4c Système d'ouverture électronique CCTB 01.11</w:t>
      </w:r>
      <w:bookmarkEnd w:id="1321"/>
    </w:p>
    <w:p w14:paraId="3798F2F0" w14:textId="77777777" w:rsidR="004B2808" w:rsidRDefault="00000000">
      <w:pPr>
        <w:pStyle w:val="pheading"/>
      </w:pPr>
      <w:r>
        <w:t>DESCRIPTION</w:t>
      </w:r>
    </w:p>
    <w:p w14:paraId="01ACC260" w14:textId="77777777" w:rsidR="004B2808" w:rsidRDefault="00000000">
      <w:pPr>
        <w:pStyle w:val="pheading"/>
      </w:pPr>
      <w:r>
        <w:t>- Définition / Comprend</w:t>
      </w:r>
    </w:p>
    <w:p w14:paraId="5BA9808A" w14:textId="77777777" w:rsidR="004B2808" w:rsidRDefault="00000000">
      <w:pPr>
        <w:jc w:val="both"/>
      </w:pPr>
      <w:r>
        <w:t>Il s’agit de la fourniture et la pose de systèmes d’ouverture électronique.</w:t>
      </w:r>
    </w:p>
    <w:p w14:paraId="10B519A9" w14:textId="77777777" w:rsidR="004B2808" w:rsidRDefault="00000000">
      <w:pPr>
        <w:jc w:val="both"/>
      </w:pPr>
      <w:r>
        <w:t>Le travail comprend notamment :</w:t>
      </w:r>
    </w:p>
    <w:p w14:paraId="0EA6259D" w14:textId="77777777" w:rsidR="004B2808" w:rsidRDefault="00000000">
      <w:pPr>
        <w:pStyle w:val="Author-eListParagraph"/>
        <w:numPr>
          <w:ilvl w:val="0"/>
          <w:numId w:val="1190"/>
        </w:numPr>
      </w:pPr>
      <w:r>
        <w:t>l’établissement du bordereau des portes pourvues du système d’ouverture électronique ;</w:t>
      </w:r>
    </w:p>
    <w:p w14:paraId="16FDBAE0" w14:textId="77777777" w:rsidR="004B2808" w:rsidRDefault="00000000">
      <w:pPr>
        <w:pStyle w:val="Author-eListParagraph"/>
        <w:numPr>
          <w:ilvl w:val="0"/>
          <w:numId w:val="1190"/>
        </w:numPr>
      </w:pPr>
      <w:r>
        <w:t>la fourniture du programme de gestion du système d’ouverture électronique ; </w:t>
      </w:r>
    </w:p>
    <w:p w14:paraId="1EF6D7C1" w14:textId="77777777" w:rsidR="004B2808" w:rsidRDefault="00000000">
      <w:pPr>
        <w:pStyle w:val="Author-eListParagraph"/>
        <w:numPr>
          <w:ilvl w:val="0"/>
          <w:numId w:val="1190"/>
        </w:numPr>
      </w:pPr>
      <w:r>
        <w:t>la formation du gestionnaire du bâtiment ;</w:t>
      </w:r>
    </w:p>
    <w:p w14:paraId="7EBFB950" w14:textId="77777777" w:rsidR="004B2808" w:rsidRDefault="00000000">
      <w:pPr>
        <w:pStyle w:val="Author-eListParagraph"/>
        <w:numPr>
          <w:ilvl w:val="0"/>
          <w:numId w:val="1190"/>
        </w:numPr>
      </w:pPr>
      <w:r>
        <w:t xml:space="preserve">la fourniture et pose des </w:t>
      </w:r>
      <w:r>
        <w:rPr>
          <w:rStyle w:val="optioncarChar"/>
        </w:rPr>
        <w:t>serrures / cylindres / lecteurs de badge</w:t>
      </w:r>
      <w:r>
        <w:t xml:space="preserve"> ;</w:t>
      </w:r>
    </w:p>
    <w:p w14:paraId="1C3526BA" w14:textId="77777777" w:rsidR="004B2808" w:rsidRDefault="00000000">
      <w:pPr>
        <w:pStyle w:val="Author-eListParagraph"/>
        <w:numPr>
          <w:ilvl w:val="0"/>
          <w:numId w:val="1190"/>
        </w:numPr>
      </w:pPr>
      <w:r>
        <w:t xml:space="preserve">le raccordement à l’installation de contrôle d’accès : </w:t>
      </w:r>
      <w:r>
        <w:rPr>
          <w:rStyle w:val="optioncarChar"/>
        </w:rPr>
        <w:t>oui / non</w:t>
      </w:r>
      <w:r>
        <w:t xml:space="preserve"> ;</w:t>
      </w:r>
    </w:p>
    <w:p w14:paraId="3E1B805E" w14:textId="77777777" w:rsidR="004B2808" w:rsidRDefault="00000000">
      <w:pPr>
        <w:pStyle w:val="Author-eListParagraph"/>
        <w:numPr>
          <w:ilvl w:val="0"/>
          <w:numId w:val="1190"/>
        </w:numPr>
      </w:pPr>
      <w:r>
        <w:t xml:space="preserve">fourniture des moyens de commande : </w:t>
      </w:r>
      <w:r>
        <w:rPr>
          <w:rStyle w:val="optioncarChar"/>
        </w:rPr>
        <w:t>badges / clés / compris au 76.26 Contrôle d’accès</w:t>
      </w:r>
      <w:r>
        <w:t xml:space="preserve"> ;</w:t>
      </w:r>
    </w:p>
    <w:p w14:paraId="401864F9" w14:textId="77777777" w:rsidR="004B2808" w:rsidRDefault="00000000">
      <w:pPr>
        <w:pStyle w:val="Author-eListParagraph"/>
        <w:numPr>
          <w:ilvl w:val="0"/>
          <w:numId w:val="1190"/>
        </w:numPr>
      </w:pPr>
      <w:r>
        <w:t xml:space="preserve">la formation, par l’entreprise, </w:t>
      </w:r>
      <w:r>
        <w:rPr>
          <w:rStyle w:val="optioncarChar"/>
        </w:rPr>
        <w:t>du gestionnaire du bâtiment / du personnel de l’utilisateur final</w:t>
      </w:r>
      <w:r>
        <w:t>.</w:t>
      </w:r>
    </w:p>
    <w:p w14:paraId="02E68199" w14:textId="77777777" w:rsidR="004B2808" w:rsidRDefault="00000000">
      <w:pPr>
        <w:jc w:val="both"/>
      </w:pPr>
      <w:r>
        <w:t xml:space="preserve">Un contrat d’entretien et de gestion est proposé par l’entreprise : </w:t>
      </w:r>
      <w:r>
        <w:rPr>
          <w:rStyle w:val="optioncarChar"/>
        </w:rPr>
        <w:t>oui / non</w:t>
      </w:r>
    </w:p>
    <w:p w14:paraId="60067597" w14:textId="77777777" w:rsidR="004B2808" w:rsidRDefault="00000000">
      <w:pPr>
        <w:pStyle w:val="pheading"/>
      </w:pPr>
      <w:r>
        <w:t>MATÉRIAUX</w:t>
      </w:r>
    </w:p>
    <w:p w14:paraId="72DA05BC" w14:textId="77777777" w:rsidR="004B2808" w:rsidRDefault="00000000">
      <w:pPr>
        <w:pStyle w:val="pheading"/>
      </w:pPr>
      <w:r>
        <w:t>- Caractéristiques générales</w:t>
      </w:r>
    </w:p>
    <w:p w14:paraId="311AF303" w14:textId="77777777" w:rsidR="004B2808" w:rsidRDefault="00000000">
      <w:pPr>
        <w:jc w:val="both"/>
      </w:pPr>
      <w:r>
        <w:t xml:space="preserve">Usage : </w:t>
      </w:r>
      <w:r>
        <w:rPr>
          <w:rStyle w:val="optioncarChar"/>
        </w:rPr>
        <w:t>intérieur</w:t>
      </w:r>
      <w:r>
        <w:t xml:space="preserve"> (par défaut)</w:t>
      </w:r>
      <w:r>
        <w:rPr>
          <w:rStyle w:val="optioncarChar"/>
        </w:rPr>
        <w:t xml:space="preserve"> / IP54 / IP56 / ***</w:t>
      </w:r>
    </w:p>
    <w:p w14:paraId="71E97B5A" w14:textId="77777777" w:rsidR="004B2808" w:rsidRDefault="00000000">
      <w:pPr>
        <w:jc w:val="both"/>
      </w:pPr>
      <w:r>
        <w:t>Système compatible avec portes suivant [NBN EN 1634-1 :2014+A1] :</w:t>
      </w:r>
      <w:r>
        <w:rPr>
          <w:rStyle w:val="optioncarChar"/>
        </w:rPr>
        <w:t xml:space="preserve"> EI</w:t>
      </w:r>
      <w:r>
        <w:rPr>
          <w:rStyle w:val="optioncarChar"/>
          <w:vertAlign w:val="subscript"/>
        </w:rPr>
        <w:t>1</w:t>
      </w:r>
      <w:r>
        <w:rPr>
          <w:rStyle w:val="optioncarChar"/>
        </w:rPr>
        <w:t xml:space="preserve"> 00 / EI</w:t>
      </w:r>
      <w:r>
        <w:rPr>
          <w:rStyle w:val="optioncarChar"/>
          <w:vertAlign w:val="subscript"/>
        </w:rPr>
        <w:t>1</w:t>
      </w:r>
      <w:r>
        <w:rPr>
          <w:rStyle w:val="optioncarChar"/>
        </w:rPr>
        <w:t xml:space="preserve"> 30 / EI</w:t>
      </w:r>
      <w:r>
        <w:rPr>
          <w:rStyle w:val="optioncarChar"/>
          <w:vertAlign w:val="subscript"/>
        </w:rPr>
        <w:t>1</w:t>
      </w:r>
      <w:r>
        <w:rPr>
          <w:rStyle w:val="optioncarChar"/>
        </w:rPr>
        <w:t xml:space="preserve"> 60</w:t>
      </w:r>
    </w:p>
    <w:p w14:paraId="252E0D8E" w14:textId="77777777" w:rsidR="004B2808" w:rsidRDefault="00000000">
      <w:pPr>
        <w:jc w:val="both"/>
      </w:pPr>
      <w:r>
        <w:t xml:space="preserve">Système : </w:t>
      </w:r>
      <w:r>
        <w:rPr>
          <w:rStyle w:val="optioncarChar"/>
        </w:rPr>
        <w:t>hors ligne / en ligne commandé par le contrôle d’accès suivant 72.26 Contrôles d'accès - équipements</w:t>
      </w:r>
    </w:p>
    <w:p w14:paraId="72CABCC0" w14:textId="77777777" w:rsidR="004B2808" w:rsidRDefault="00000000">
      <w:pPr>
        <w:jc w:val="both"/>
      </w:pPr>
      <w:r>
        <w:t xml:space="preserve">Fonctionnement : </w:t>
      </w:r>
      <w:r>
        <w:rPr>
          <w:rStyle w:val="optioncarChar"/>
        </w:rPr>
        <w:t>application PC / application web / application smartphone / relié au contrôle d'accès</w:t>
      </w:r>
    </w:p>
    <w:p w14:paraId="66B80C7B" w14:textId="77777777" w:rsidR="004B2808" w:rsidRDefault="00000000">
      <w:pPr>
        <w:jc w:val="both"/>
      </w:pPr>
      <w:r>
        <w:t xml:space="preserve">Communication par : </w:t>
      </w:r>
      <w:r>
        <w:rPr>
          <w:rStyle w:val="optioncarChar"/>
        </w:rPr>
        <w:t>Wifi / RFID / Bluetooth / NFC / câblage</w:t>
      </w:r>
    </w:p>
    <w:p w14:paraId="3DC3B8E7" w14:textId="77777777" w:rsidR="004B2808" w:rsidRDefault="00000000">
      <w:pPr>
        <w:jc w:val="both"/>
      </w:pPr>
      <w:r>
        <w:t xml:space="preserve">Possibilité d’ouverture à distance : </w:t>
      </w:r>
      <w:r>
        <w:rPr>
          <w:rStyle w:val="optioncarChar"/>
        </w:rPr>
        <w:t>oui / non</w:t>
      </w:r>
    </w:p>
    <w:p w14:paraId="1899572D" w14:textId="77777777" w:rsidR="004B2808" w:rsidRDefault="00000000">
      <w:pPr>
        <w:jc w:val="both"/>
      </w:pPr>
      <w:r>
        <w:t xml:space="preserve">Alarme intégrée : </w:t>
      </w:r>
      <w:r>
        <w:rPr>
          <w:rStyle w:val="optioncarChar"/>
        </w:rPr>
        <w:t xml:space="preserve">non </w:t>
      </w:r>
      <w:r>
        <w:t>(par défaut)</w:t>
      </w:r>
      <w:r>
        <w:rPr>
          <w:rStyle w:val="optioncarChar"/>
        </w:rPr>
        <w:t xml:space="preserve"> / oui</w:t>
      </w:r>
    </w:p>
    <w:p w14:paraId="4DB22A58" w14:textId="77777777" w:rsidR="004B2808" w:rsidRDefault="00000000">
      <w:pPr>
        <w:jc w:val="both"/>
      </w:pPr>
      <w:r>
        <w:rPr>
          <w:b/>
        </w:rPr>
        <w:t>(soit par défaut)</w:t>
      </w:r>
    </w:p>
    <w:p w14:paraId="470F595F" w14:textId="77777777" w:rsidR="004B2808" w:rsidRDefault="00000000">
      <w:pPr>
        <w:jc w:val="both"/>
      </w:pPr>
      <w:r>
        <w:rPr>
          <w:rStyle w:val="soitChar"/>
          <w:u w:val="single"/>
        </w:rPr>
        <w:t>Non :</w:t>
      </w:r>
      <w:r>
        <w:rPr>
          <w:rStyle w:val="soitChar"/>
        </w:rPr>
        <w:t xml:space="preserve"> pas d’application</w:t>
      </w:r>
    </w:p>
    <w:p w14:paraId="32E45E77" w14:textId="77777777" w:rsidR="004B2808" w:rsidRDefault="00000000">
      <w:pPr>
        <w:jc w:val="both"/>
      </w:pPr>
      <w:r>
        <w:rPr>
          <w:b/>
        </w:rPr>
        <w:t>(soit)</w:t>
      </w:r>
    </w:p>
    <w:p w14:paraId="7E08C39C" w14:textId="77777777" w:rsidR="004B2808" w:rsidRDefault="00000000">
      <w:pPr>
        <w:jc w:val="both"/>
      </w:pPr>
      <w:r>
        <w:rPr>
          <w:rStyle w:val="soitChar"/>
          <w:u w:val="single"/>
        </w:rPr>
        <w:t>Oui :</w:t>
      </w:r>
      <w:r>
        <w:rPr>
          <w:rStyle w:val="soitChar"/>
        </w:rPr>
        <w:t xml:space="preserve"> report d’alarme vers :</w:t>
      </w:r>
      <w:r>
        <w:rPr>
          <w:rStyle w:val="optioncarChar"/>
        </w:rPr>
        <w:t xml:space="preserve"> la centrale de contrôle d’accès </w:t>
      </w:r>
      <w:r>
        <w:t xml:space="preserve">(par défaut) </w:t>
      </w:r>
      <w:r>
        <w:rPr>
          <w:rStyle w:val="optioncarChar"/>
        </w:rPr>
        <w:t>/ un numéro de téléphone / plusieurs numéros de téléphone en cascade</w:t>
      </w:r>
      <w:r>
        <w:rPr>
          <w:rStyle w:val="soitChar"/>
        </w:rPr>
        <w:t>.</w:t>
      </w:r>
    </w:p>
    <w:p w14:paraId="31452358" w14:textId="77777777" w:rsidR="004B2808" w:rsidRDefault="00000000">
      <w:pPr>
        <w:jc w:val="both"/>
      </w:pPr>
      <w:r>
        <w:t>Système :  </w:t>
      </w:r>
      <w:r>
        <w:rPr>
          <w:rStyle w:val="optioncarChar"/>
        </w:rPr>
        <w:t xml:space="preserve">serrure </w:t>
      </w:r>
      <w:r>
        <w:t>(par défaut)</w:t>
      </w:r>
      <w:r>
        <w:rPr>
          <w:rStyle w:val="optioncarChar"/>
        </w:rPr>
        <w:t xml:space="preserve"> / cylindre avec clé électronique / cylindre avec lecteur intégré / béquille à code / serrure électrique commandée suivant 72.26 Contrôles d'accès - équipements</w:t>
      </w:r>
    </w:p>
    <w:p w14:paraId="4469C18F" w14:textId="77777777" w:rsidR="004B2808" w:rsidRDefault="00000000">
      <w:pPr>
        <w:jc w:val="both"/>
      </w:pPr>
      <w:r>
        <w:rPr>
          <w:b/>
        </w:rPr>
        <w:t>(soit par défaut)</w:t>
      </w:r>
    </w:p>
    <w:p w14:paraId="28335594" w14:textId="77777777" w:rsidR="004B2808" w:rsidRDefault="00000000">
      <w:pPr>
        <w:jc w:val="both"/>
      </w:pPr>
      <w:r>
        <w:rPr>
          <w:rStyle w:val="soitChar"/>
          <w:u w:val="single"/>
        </w:rPr>
        <w:t>Serrure :</w:t>
      </w:r>
    </w:p>
    <w:p w14:paraId="5466E54F" w14:textId="77777777" w:rsidR="004B2808" w:rsidRDefault="00000000">
      <w:pPr>
        <w:pStyle w:val="Author-eListParagraph"/>
        <w:numPr>
          <w:ilvl w:val="0"/>
          <w:numId w:val="1191"/>
        </w:numPr>
      </w:pPr>
      <w:r>
        <w:rPr>
          <w:rStyle w:val="soitChar"/>
        </w:rPr>
        <w:t xml:space="preserve">Type de serrure : </w:t>
      </w:r>
      <w:r>
        <w:rPr>
          <w:rStyle w:val="optioncarChar"/>
        </w:rPr>
        <w:t>à pile</w:t>
      </w:r>
      <w:r>
        <w:t xml:space="preserve"> (par défaut)</w:t>
      </w:r>
      <w:r>
        <w:rPr>
          <w:rStyle w:val="optioncarChar"/>
        </w:rPr>
        <w:t xml:space="preserve"> / à batterie rechargeable en usb-C</w:t>
      </w:r>
    </w:p>
    <w:p w14:paraId="0A77D9AD" w14:textId="77777777" w:rsidR="004B2808" w:rsidRDefault="00000000">
      <w:pPr>
        <w:pStyle w:val="Author-eListParagraph"/>
        <w:numPr>
          <w:ilvl w:val="0"/>
          <w:numId w:val="1191"/>
        </w:numPr>
      </w:pPr>
      <w:r>
        <w:rPr>
          <w:rStyle w:val="soitChar"/>
        </w:rPr>
        <w:t xml:space="preserve">Serrure avec projection automatique du pêne dormant : </w:t>
      </w:r>
      <w:r>
        <w:rPr>
          <w:rStyle w:val="optioncarChar"/>
        </w:rPr>
        <w:t>oui / non</w:t>
      </w:r>
    </w:p>
    <w:p w14:paraId="32E66A63" w14:textId="77777777" w:rsidR="004B2808" w:rsidRDefault="00000000">
      <w:pPr>
        <w:pStyle w:val="Author-eListParagraph"/>
        <w:numPr>
          <w:ilvl w:val="0"/>
          <w:numId w:val="1191"/>
        </w:numPr>
      </w:pPr>
      <w:r>
        <w:rPr>
          <w:rStyle w:val="soitChar"/>
        </w:rPr>
        <w:t xml:space="preserve">Fonction antipanique : </w:t>
      </w:r>
      <w:r>
        <w:rPr>
          <w:rStyle w:val="optioncarChar"/>
        </w:rPr>
        <w:t>oui / non</w:t>
      </w:r>
    </w:p>
    <w:p w14:paraId="4C8C15B5" w14:textId="77777777" w:rsidR="004B2808" w:rsidRDefault="00000000">
      <w:pPr>
        <w:pStyle w:val="Author-eListParagraph"/>
        <w:numPr>
          <w:ilvl w:val="0"/>
          <w:numId w:val="1191"/>
        </w:numPr>
      </w:pPr>
      <w:r>
        <w:rPr>
          <w:rStyle w:val="soitChar"/>
        </w:rPr>
        <w:lastRenderedPageBreak/>
        <w:t xml:space="preserve">Lecteur dans : </w:t>
      </w:r>
      <w:r>
        <w:rPr>
          <w:rStyle w:val="optioncarChar"/>
        </w:rPr>
        <w:t xml:space="preserve">la rosace longue </w:t>
      </w:r>
      <w:r>
        <w:t>(par défaut)</w:t>
      </w:r>
      <w:r>
        <w:rPr>
          <w:rStyle w:val="optioncarChar"/>
        </w:rPr>
        <w:t xml:space="preserve"> / la poignée / un boîtier à proximité de la porte / ***</w:t>
      </w:r>
    </w:p>
    <w:p w14:paraId="35298E02" w14:textId="77777777" w:rsidR="004B2808" w:rsidRDefault="00000000">
      <w:pPr>
        <w:pStyle w:val="Author-eListParagraph"/>
        <w:numPr>
          <w:ilvl w:val="0"/>
          <w:numId w:val="1191"/>
        </w:numPr>
      </w:pPr>
      <w:r>
        <w:rPr>
          <w:rStyle w:val="soitChar"/>
        </w:rPr>
        <w:t xml:space="preserve">Signal : </w:t>
      </w:r>
      <w:r>
        <w:rPr>
          <w:rStyle w:val="optioncarChar"/>
        </w:rPr>
        <w:t>led</w:t>
      </w:r>
      <w:r>
        <w:t xml:space="preserve"> (par défaut)</w:t>
      </w:r>
      <w:r>
        <w:rPr>
          <w:rStyle w:val="optioncarChar"/>
        </w:rPr>
        <w:t xml:space="preserve"> / led et sonore / sonore</w:t>
      </w:r>
    </w:p>
    <w:p w14:paraId="1639A09F" w14:textId="77777777" w:rsidR="004B2808" w:rsidRDefault="00000000">
      <w:pPr>
        <w:pStyle w:val="Author-eListParagraph"/>
        <w:numPr>
          <w:ilvl w:val="0"/>
          <w:numId w:val="1191"/>
        </w:numPr>
      </w:pPr>
      <w:r>
        <w:rPr>
          <w:rStyle w:val="soitChar"/>
        </w:rPr>
        <w:t xml:space="preserve">Commande par : </w:t>
      </w:r>
      <w:r>
        <w:rPr>
          <w:rStyle w:val="optioncarChar"/>
        </w:rPr>
        <w:t>badge</w:t>
      </w:r>
      <w:r>
        <w:t xml:space="preserve"> (par défaut)</w:t>
      </w:r>
      <w:r>
        <w:rPr>
          <w:rStyle w:val="optioncarChar"/>
        </w:rPr>
        <w:t xml:space="preserve"> / code / smartphone</w:t>
      </w:r>
    </w:p>
    <w:p w14:paraId="3BD3A896" w14:textId="77777777" w:rsidR="004B2808" w:rsidRDefault="00000000">
      <w:pPr>
        <w:pStyle w:val="Author-eListParagraph"/>
        <w:numPr>
          <w:ilvl w:val="0"/>
          <w:numId w:val="1191"/>
        </w:numPr>
      </w:pPr>
      <w:r>
        <w:rPr>
          <w:rStyle w:val="soitChar"/>
        </w:rPr>
        <w:t xml:space="preserve">Nombre de badges par serrure : </w:t>
      </w:r>
      <w:r>
        <w:rPr>
          <w:rStyle w:val="optioncarChar"/>
        </w:rPr>
        <w:t>3</w:t>
      </w:r>
      <w:r>
        <w:t xml:space="preserve"> (par défaut) </w:t>
      </w:r>
      <w:r>
        <w:rPr>
          <w:rStyle w:val="optioncarChar"/>
        </w:rPr>
        <w:t>/ pas d’application / ***</w:t>
      </w:r>
    </w:p>
    <w:p w14:paraId="41F75E81" w14:textId="77777777" w:rsidR="004B2808" w:rsidRDefault="00000000">
      <w:pPr>
        <w:pStyle w:val="Author-eListParagraph"/>
        <w:numPr>
          <w:ilvl w:val="0"/>
          <w:numId w:val="1191"/>
        </w:numPr>
      </w:pPr>
      <w:r>
        <w:rPr>
          <w:rStyle w:val="soitChar"/>
        </w:rPr>
        <w:t xml:space="preserve">Finition : </w:t>
      </w:r>
      <w:r>
        <w:rPr>
          <w:rStyle w:val="optioncarChar"/>
        </w:rPr>
        <w:t xml:space="preserve">inox mat </w:t>
      </w:r>
      <w:r>
        <w:t xml:space="preserve">(par défaut) </w:t>
      </w:r>
      <w:r>
        <w:rPr>
          <w:rStyle w:val="optioncarChar"/>
        </w:rPr>
        <w:t>/ laiton mat / ***</w:t>
      </w:r>
    </w:p>
    <w:p w14:paraId="49F156CD" w14:textId="77777777" w:rsidR="004B2808" w:rsidRDefault="00000000">
      <w:pPr>
        <w:jc w:val="both"/>
      </w:pPr>
      <w:r>
        <w:rPr>
          <w:b/>
        </w:rPr>
        <w:t>(soit)</w:t>
      </w:r>
    </w:p>
    <w:p w14:paraId="4A9BCB71" w14:textId="77777777" w:rsidR="004B2808" w:rsidRDefault="00000000">
      <w:pPr>
        <w:jc w:val="both"/>
      </w:pPr>
      <w:r>
        <w:rPr>
          <w:rStyle w:val="soitChar"/>
          <w:u w:val="single"/>
        </w:rPr>
        <w:t>Cylindre avec clé électronique :</w:t>
      </w:r>
    </w:p>
    <w:p w14:paraId="55D88724" w14:textId="77777777" w:rsidR="004B2808" w:rsidRDefault="00000000">
      <w:pPr>
        <w:pStyle w:val="Author-eListParagraph"/>
        <w:numPr>
          <w:ilvl w:val="0"/>
          <w:numId w:val="1192"/>
        </w:numPr>
      </w:pPr>
      <w:r>
        <w:rPr>
          <w:rStyle w:val="soitChar"/>
        </w:rPr>
        <w:t xml:space="preserve">Type de cylindre : </w:t>
      </w:r>
      <w:r>
        <w:rPr>
          <w:rStyle w:val="optioncarChar"/>
        </w:rPr>
        <w:t xml:space="preserve">double avec clé électronique côté sécurisé </w:t>
      </w:r>
      <w:r>
        <w:t>(par défaut)</w:t>
      </w:r>
      <w:r>
        <w:rPr>
          <w:rStyle w:val="optioncarChar"/>
        </w:rPr>
        <w:t xml:space="preserve"> / double avec clé électronique des 2 côtés / à bouton du côté non sécurisé / ***</w:t>
      </w:r>
    </w:p>
    <w:p w14:paraId="6EC548CA" w14:textId="77777777" w:rsidR="004B2808" w:rsidRDefault="00000000">
      <w:pPr>
        <w:pStyle w:val="Author-eListParagraph"/>
        <w:numPr>
          <w:ilvl w:val="0"/>
          <w:numId w:val="1192"/>
        </w:numPr>
      </w:pPr>
      <w:r>
        <w:rPr>
          <w:rStyle w:val="soitChar"/>
        </w:rPr>
        <w:t xml:space="preserve">Signal : </w:t>
      </w:r>
      <w:r>
        <w:rPr>
          <w:rStyle w:val="optioncarChar"/>
        </w:rPr>
        <w:t xml:space="preserve">led </w:t>
      </w:r>
      <w:r>
        <w:t>(par défaut)</w:t>
      </w:r>
      <w:r>
        <w:rPr>
          <w:rStyle w:val="optioncarChar"/>
        </w:rPr>
        <w:t xml:space="preserve"> / led et sonore / sonore</w:t>
      </w:r>
    </w:p>
    <w:p w14:paraId="21866FFC" w14:textId="77777777" w:rsidR="004B2808" w:rsidRDefault="00000000">
      <w:pPr>
        <w:pStyle w:val="Author-eListParagraph"/>
        <w:numPr>
          <w:ilvl w:val="0"/>
          <w:numId w:val="1192"/>
        </w:numPr>
      </w:pPr>
      <w:r>
        <w:rPr>
          <w:rStyle w:val="soitChar"/>
        </w:rPr>
        <w:t xml:space="preserve">Moyen de programmation des clés : </w:t>
      </w:r>
      <w:r>
        <w:rPr>
          <w:rStyle w:val="optioncarChar"/>
        </w:rPr>
        <w:t>application smartphone </w:t>
      </w:r>
      <w:r>
        <w:t xml:space="preserve">(par défaut) </w:t>
      </w:r>
      <w:r>
        <w:rPr>
          <w:rStyle w:val="optioncarChar"/>
        </w:rPr>
        <w:t>/ local / mural / ***</w:t>
      </w:r>
    </w:p>
    <w:p w14:paraId="3D82E11A" w14:textId="77777777" w:rsidR="004B2808" w:rsidRDefault="00000000">
      <w:pPr>
        <w:pStyle w:val="Author-eListParagraph"/>
        <w:numPr>
          <w:ilvl w:val="0"/>
          <w:numId w:val="1192"/>
        </w:numPr>
      </w:pPr>
      <w:r>
        <w:rPr>
          <w:rStyle w:val="soitChar"/>
        </w:rPr>
        <w:t xml:space="preserve">Nombre de clés par cylindre : </w:t>
      </w:r>
      <w:r>
        <w:rPr>
          <w:rStyle w:val="optioncarChar"/>
        </w:rPr>
        <w:t>3</w:t>
      </w:r>
      <w:r>
        <w:t xml:space="preserve"> (par défaut) </w:t>
      </w:r>
      <w:r>
        <w:rPr>
          <w:rStyle w:val="optioncarChar"/>
        </w:rPr>
        <w:t>/ ***</w:t>
      </w:r>
    </w:p>
    <w:p w14:paraId="61027204" w14:textId="77777777" w:rsidR="004B2808" w:rsidRDefault="00000000">
      <w:pPr>
        <w:pStyle w:val="Author-eListParagraph"/>
        <w:numPr>
          <w:ilvl w:val="0"/>
          <w:numId w:val="1192"/>
        </w:numPr>
      </w:pPr>
      <w:r>
        <w:rPr>
          <w:rStyle w:val="soitChar"/>
        </w:rPr>
        <w:t xml:space="preserve">Intégré dans la serrure telle que décrite au </w:t>
      </w:r>
      <w:hyperlink w:anchor="1354" w:history="1">
        <w:r w:rsidR="004B2808">
          <w:rPr>
            <w:rStyle w:val="soitChar"/>
            <w:color w:val="0000EE"/>
          </w:rPr>
          <w:t>55.62.2a Serrures de portes</w:t>
        </w:r>
      </w:hyperlink>
    </w:p>
    <w:p w14:paraId="35DCFFE9" w14:textId="77777777" w:rsidR="004B2808" w:rsidRDefault="00000000">
      <w:pPr>
        <w:jc w:val="both"/>
      </w:pPr>
      <w:r>
        <w:rPr>
          <w:b/>
        </w:rPr>
        <w:t>(soit)</w:t>
      </w:r>
    </w:p>
    <w:p w14:paraId="7A525C2B" w14:textId="77777777" w:rsidR="004B2808" w:rsidRDefault="00000000">
      <w:pPr>
        <w:jc w:val="both"/>
      </w:pPr>
      <w:r>
        <w:rPr>
          <w:rStyle w:val="soitChar"/>
          <w:u w:val="single"/>
        </w:rPr>
        <w:t>Cylindre avec lecteur intégré :</w:t>
      </w:r>
    </w:p>
    <w:p w14:paraId="44A6C53F" w14:textId="77777777" w:rsidR="004B2808" w:rsidRDefault="00000000">
      <w:pPr>
        <w:pStyle w:val="Author-eListParagraph"/>
        <w:numPr>
          <w:ilvl w:val="0"/>
          <w:numId w:val="1193"/>
        </w:numPr>
      </w:pPr>
      <w:r>
        <w:rPr>
          <w:rStyle w:val="soitChar"/>
        </w:rPr>
        <w:t xml:space="preserve">Type : </w:t>
      </w:r>
      <w:r>
        <w:rPr>
          <w:rStyle w:val="optioncarChar"/>
        </w:rPr>
        <w:t xml:space="preserve">double avec lecteur côté sécurisé </w:t>
      </w:r>
      <w:r>
        <w:t>(par défaut)</w:t>
      </w:r>
      <w:r>
        <w:rPr>
          <w:rStyle w:val="optioncarChar"/>
        </w:rPr>
        <w:t xml:space="preserve"> / double avec lecteur des 2 côtés / à bouton du côté non sécurisé / ***</w:t>
      </w:r>
    </w:p>
    <w:p w14:paraId="4CE9E3D1" w14:textId="77777777" w:rsidR="004B2808" w:rsidRDefault="00000000">
      <w:pPr>
        <w:pStyle w:val="Author-eListParagraph"/>
        <w:numPr>
          <w:ilvl w:val="0"/>
          <w:numId w:val="1193"/>
        </w:numPr>
      </w:pPr>
      <w:r>
        <w:rPr>
          <w:rStyle w:val="soitChar"/>
        </w:rPr>
        <w:t>Signal :</w:t>
      </w:r>
      <w:r>
        <w:rPr>
          <w:rStyle w:val="optioncarChar"/>
        </w:rPr>
        <w:t xml:space="preserve"> led</w:t>
      </w:r>
      <w:r>
        <w:t xml:space="preserve"> (par défaut)</w:t>
      </w:r>
      <w:r>
        <w:rPr>
          <w:rStyle w:val="optioncarChar"/>
        </w:rPr>
        <w:t xml:space="preserve"> / led et sonore / sonore</w:t>
      </w:r>
    </w:p>
    <w:p w14:paraId="43D5B246" w14:textId="77777777" w:rsidR="004B2808" w:rsidRDefault="00000000">
      <w:pPr>
        <w:pStyle w:val="Author-eListParagraph"/>
        <w:numPr>
          <w:ilvl w:val="0"/>
          <w:numId w:val="1193"/>
        </w:numPr>
      </w:pPr>
      <w:r>
        <w:rPr>
          <w:rStyle w:val="soitChar"/>
        </w:rPr>
        <w:t xml:space="preserve">Commande par : </w:t>
      </w:r>
      <w:r>
        <w:rPr>
          <w:rStyle w:val="optioncarChar"/>
        </w:rPr>
        <w:t xml:space="preserve">badge </w:t>
      </w:r>
      <w:r>
        <w:t>(par défaut)</w:t>
      </w:r>
      <w:r>
        <w:rPr>
          <w:rStyle w:val="optioncarChar"/>
        </w:rPr>
        <w:t xml:space="preserve"> / smartphone</w:t>
      </w:r>
    </w:p>
    <w:p w14:paraId="7825101A" w14:textId="77777777" w:rsidR="004B2808" w:rsidRDefault="00000000">
      <w:pPr>
        <w:pStyle w:val="Author-eListParagraph"/>
        <w:numPr>
          <w:ilvl w:val="0"/>
          <w:numId w:val="1193"/>
        </w:numPr>
      </w:pPr>
      <w:r>
        <w:rPr>
          <w:rStyle w:val="soitChar"/>
        </w:rPr>
        <w:t xml:space="preserve">Nombre de badges par cylindre : </w:t>
      </w:r>
      <w:r>
        <w:rPr>
          <w:rStyle w:val="optioncarChar"/>
        </w:rPr>
        <w:t>3</w:t>
      </w:r>
      <w:r>
        <w:t xml:space="preserve"> (par défaut)</w:t>
      </w:r>
      <w:r>
        <w:rPr>
          <w:rStyle w:val="optioncarChar"/>
        </w:rPr>
        <w:t xml:space="preserve"> / pas d’application / ***</w:t>
      </w:r>
    </w:p>
    <w:p w14:paraId="40E7AC22" w14:textId="77777777" w:rsidR="004B2808" w:rsidRDefault="00000000">
      <w:pPr>
        <w:pStyle w:val="Author-eListParagraph"/>
        <w:numPr>
          <w:ilvl w:val="0"/>
          <w:numId w:val="1193"/>
        </w:numPr>
      </w:pPr>
      <w:r>
        <w:rPr>
          <w:rStyle w:val="soitChar"/>
        </w:rPr>
        <w:t xml:space="preserve">Intégré dans la serrure telle que décrite au </w:t>
      </w:r>
      <w:hyperlink w:anchor="1354" w:history="1">
        <w:r w:rsidR="004B2808">
          <w:rPr>
            <w:rStyle w:val="soitChar"/>
            <w:color w:val="0000EE"/>
          </w:rPr>
          <w:t>55.62.2a Serrures de portes</w:t>
        </w:r>
      </w:hyperlink>
    </w:p>
    <w:p w14:paraId="12C36367" w14:textId="77777777" w:rsidR="004B2808" w:rsidRDefault="00000000">
      <w:pPr>
        <w:jc w:val="both"/>
      </w:pPr>
      <w:r>
        <w:rPr>
          <w:b/>
        </w:rPr>
        <w:t>(soit)</w:t>
      </w:r>
    </w:p>
    <w:p w14:paraId="6CC93218" w14:textId="77777777" w:rsidR="004B2808" w:rsidRDefault="00000000">
      <w:pPr>
        <w:jc w:val="both"/>
      </w:pPr>
      <w:r>
        <w:rPr>
          <w:rStyle w:val="soitChar"/>
          <w:u w:val="single"/>
        </w:rPr>
        <w:t>Béquille à code :</w:t>
      </w:r>
    </w:p>
    <w:p w14:paraId="7D93AE16" w14:textId="77777777" w:rsidR="004B2808" w:rsidRDefault="00000000">
      <w:pPr>
        <w:pStyle w:val="Author-eListParagraph"/>
        <w:numPr>
          <w:ilvl w:val="0"/>
          <w:numId w:val="1194"/>
        </w:numPr>
      </w:pPr>
      <w:r>
        <w:rPr>
          <w:rStyle w:val="soitChar"/>
        </w:rPr>
        <w:t>Type : à piles</w:t>
      </w:r>
    </w:p>
    <w:p w14:paraId="258A8D70" w14:textId="77777777" w:rsidR="004B2808" w:rsidRDefault="00000000">
      <w:pPr>
        <w:pStyle w:val="Author-eListParagraph"/>
        <w:numPr>
          <w:ilvl w:val="0"/>
          <w:numId w:val="1194"/>
        </w:numPr>
      </w:pPr>
      <w:r>
        <w:rPr>
          <w:rStyle w:val="soitChar"/>
        </w:rPr>
        <w:t xml:space="preserve">Signal : </w:t>
      </w:r>
      <w:r>
        <w:rPr>
          <w:rStyle w:val="optioncarChar"/>
        </w:rPr>
        <w:t xml:space="preserve">led </w:t>
      </w:r>
      <w:r>
        <w:t>(par défaut)</w:t>
      </w:r>
      <w:r>
        <w:rPr>
          <w:rStyle w:val="optioncarChar"/>
        </w:rPr>
        <w:t xml:space="preserve"> / led et sonore</w:t>
      </w:r>
    </w:p>
    <w:p w14:paraId="4F60B683" w14:textId="77777777" w:rsidR="004B2808" w:rsidRDefault="00000000">
      <w:pPr>
        <w:pStyle w:val="Author-eListParagraph"/>
        <w:numPr>
          <w:ilvl w:val="0"/>
          <w:numId w:val="1194"/>
        </w:numPr>
      </w:pPr>
      <w:r>
        <w:rPr>
          <w:rStyle w:val="soitChar"/>
        </w:rPr>
        <w:t xml:space="preserve">Finition : </w:t>
      </w:r>
      <w:r>
        <w:rPr>
          <w:rStyle w:val="optioncarChar"/>
        </w:rPr>
        <w:t>acier inox brossé</w:t>
      </w:r>
      <w:r>
        <w:t xml:space="preserve"> (par défaut) </w:t>
      </w:r>
      <w:r>
        <w:rPr>
          <w:rStyle w:val="optioncarChar"/>
        </w:rPr>
        <w:t>/ ***</w:t>
      </w:r>
    </w:p>
    <w:p w14:paraId="4C469B9A" w14:textId="77777777" w:rsidR="004B2808" w:rsidRDefault="00000000">
      <w:pPr>
        <w:pStyle w:val="Author-eListParagraph"/>
        <w:numPr>
          <w:ilvl w:val="0"/>
          <w:numId w:val="1194"/>
        </w:numPr>
      </w:pPr>
      <w:r>
        <w:rPr>
          <w:rStyle w:val="soitChar"/>
        </w:rPr>
        <w:t xml:space="preserve">Placée sur la serrure telle que décrite au </w:t>
      </w:r>
      <w:hyperlink w:anchor="1354" w:history="1">
        <w:r w:rsidR="004B2808">
          <w:rPr>
            <w:rStyle w:val="soitChar"/>
            <w:color w:val="0000EE"/>
          </w:rPr>
          <w:t>55.62.2a Serrures de portes</w:t>
        </w:r>
      </w:hyperlink>
    </w:p>
    <w:p w14:paraId="4BCC3EE2" w14:textId="77777777" w:rsidR="004B2808" w:rsidRDefault="00000000">
      <w:pPr>
        <w:jc w:val="both"/>
      </w:pPr>
      <w:r>
        <w:rPr>
          <w:rStyle w:val="soitChar"/>
          <w:u w:val="single"/>
        </w:rPr>
        <w:t>Serrure électrique commandée par le contrôle d’accès :</w:t>
      </w:r>
    </w:p>
    <w:p w14:paraId="75953911" w14:textId="77777777" w:rsidR="004B2808" w:rsidRDefault="00000000">
      <w:pPr>
        <w:pStyle w:val="Author-eListParagraph"/>
        <w:numPr>
          <w:ilvl w:val="0"/>
          <w:numId w:val="1195"/>
        </w:numPr>
        <w:jc w:val="both"/>
      </w:pPr>
      <w:r>
        <w:rPr>
          <w:rStyle w:val="soitChar"/>
        </w:rPr>
        <w:t xml:space="preserve">Type de serrure : </w:t>
      </w:r>
      <w:r>
        <w:rPr>
          <w:rStyle w:val="optioncarChar"/>
        </w:rPr>
        <w:t>solénoïde / motorisée</w:t>
      </w:r>
    </w:p>
    <w:p w14:paraId="78BB40A0" w14:textId="77777777" w:rsidR="004B2808" w:rsidRDefault="00000000">
      <w:pPr>
        <w:pStyle w:val="Author-eListParagraph"/>
        <w:numPr>
          <w:ilvl w:val="0"/>
          <w:numId w:val="1195"/>
        </w:numPr>
        <w:jc w:val="both"/>
      </w:pPr>
      <w:r>
        <w:rPr>
          <w:rStyle w:val="soitChar"/>
        </w:rPr>
        <w:t xml:space="preserve">Serrure avec projection automatique du pêne dormant : </w:t>
      </w:r>
      <w:r>
        <w:rPr>
          <w:rStyle w:val="optioncarChar"/>
        </w:rPr>
        <w:t>oui / non</w:t>
      </w:r>
    </w:p>
    <w:p w14:paraId="42AB3947" w14:textId="77777777" w:rsidR="004B2808" w:rsidRDefault="00000000">
      <w:pPr>
        <w:pStyle w:val="Author-eListParagraph"/>
        <w:numPr>
          <w:ilvl w:val="0"/>
          <w:numId w:val="1195"/>
        </w:numPr>
        <w:jc w:val="both"/>
      </w:pPr>
      <w:r>
        <w:rPr>
          <w:rStyle w:val="soitChar"/>
        </w:rPr>
        <w:t xml:space="preserve">Point de fermeture : </w:t>
      </w:r>
      <w:r>
        <w:rPr>
          <w:rStyle w:val="optioncarChar"/>
        </w:rPr>
        <w:t>1</w:t>
      </w:r>
      <w:r>
        <w:t xml:space="preserve"> (par défaut)</w:t>
      </w:r>
      <w:r>
        <w:rPr>
          <w:rStyle w:val="optioncarChar"/>
        </w:rPr>
        <w:t xml:space="preserve"> / 3</w:t>
      </w:r>
      <w:r>
        <w:rPr>
          <w:rStyle w:val="soitChar"/>
        </w:rPr>
        <w:t xml:space="preserve"> points</w:t>
      </w:r>
    </w:p>
    <w:p w14:paraId="3DC13C13" w14:textId="77777777" w:rsidR="004B2808" w:rsidRDefault="00000000">
      <w:pPr>
        <w:pStyle w:val="Author-eListParagraph"/>
        <w:numPr>
          <w:ilvl w:val="0"/>
          <w:numId w:val="1195"/>
        </w:numPr>
        <w:jc w:val="both"/>
      </w:pPr>
      <w:r>
        <w:rPr>
          <w:rStyle w:val="soitChar"/>
        </w:rPr>
        <w:t xml:space="preserve">Fonctionnement : </w:t>
      </w:r>
      <w:r>
        <w:rPr>
          <w:rStyle w:val="optioncarChar"/>
        </w:rPr>
        <w:t xml:space="preserve">par rupture de courant </w:t>
      </w:r>
      <w:r>
        <w:t>(par défaut)</w:t>
      </w:r>
      <w:r>
        <w:rPr>
          <w:rStyle w:val="optioncarChar"/>
        </w:rPr>
        <w:t xml:space="preserve"> / par impulsion de courant</w:t>
      </w:r>
    </w:p>
    <w:p w14:paraId="392A723B" w14:textId="77777777" w:rsidR="004B2808" w:rsidRDefault="00000000">
      <w:pPr>
        <w:pStyle w:val="Author-eListParagraph"/>
        <w:numPr>
          <w:ilvl w:val="0"/>
          <w:numId w:val="1195"/>
        </w:numPr>
        <w:jc w:val="both"/>
      </w:pPr>
      <w:r>
        <w:rPr>
          <w:rStyle w:val="soitChar"/>
        </w:rPr>
        <w:t xml:space="preserve">Serrure avec projection automatique du pêne dormant : </w:t>
      </w:r>
      <w:r>
        <w:rPr>
          <w:rStyle w:val="optioncarChar"/>
        </w:rPr>
        <w:t>oui / non</w:t>
      </w:r>
    </w:p>
    <w:p w14:paraId="2C6D064B" w14:textId="77777777" w:rsidR="004B2808" w:rsidRDefault="00000000">
      <w:pPr>
        <w:pStyle w:val="Author-eListParagraph"/>
        <w:numPr>
          <w:ilvl w:val="0"/>
          <w:numId w:val="1195"/>
        </w:numPr>
        <w:jc w:val="both"/>
      </w:pPr>
      <w:r>
        <w:rPr>
          <w:rStyle w:val="soitChar"/>
        </w:rPr>
        <w:t xml:space="preserve">Fonction antipanique : </w:t>
      </w:r>
      <w:r>
        <w:rPr>
          <w:rStyle w:val="optioncarChar"/>
        </w:rPr>
        <w:t>oui / non</w:t>
      </w:r>
    </w:p>
    <w:p w14:paraId="6D97424F" w14:textId="77777777" w:rsidR="004B2808" w:rsidRDefault="00000000">
      <w:pPr>
        <w:pStyle w:val="Author-eListParagraph"/>
        <w:numPr>
          <w:ilvl w:val="0"/>
          <w:numId w:val="1195"/>
        </w:numPr>
        <w:jc w:val="both"/>
      </w:pPr>
      <w:r>
        <w:rPr>
          <w:rStyle w:val="soitChar"/>
        </w:rPr>
        <w:t>Commande par contrôle d’accès suivant 72.26 Contrôles d'accès - équipements</w:t>
      </w:r>
    </w:p>
    <w:p w14:paraId="5ED7D373" w14:textId="77777777" w:rsidR="004B2808" w:rsidRDefault="00000000">
      <w:pPr>
        <w:pStyle w:val="Author-eListParagraph"/>
        <w:numPr>
          <w:ilvl w:val="0"/>
          <w:numId w:val="1195"/>
        </w:numPr>
        <w:jc w:val="both"/>
      </w:pPr>
      <w:r>
        <w:rPr>
          <w:rStyle w:val="soitChar"/>
        </w:rPr>
        <w:t xml:space="preserve">Finition : </w:t>
      </w:r>
      <w:r>
        <w:rPr>
          <w:rStyle w:val="optioncarChar"/>
        </w:rPr>
        <w:t>inox mat</w:t>
      </w:r>
      <w:r>
        <w:t xml:space="preserve"> (par défaut)</w:t>
      </w:r>
      <w:r>
        <w:rPr>
          <w:rStyle w:val="optioncarChar"/>
        </w:rPr>
        <w:t xml:space="preserve"> / laiton mat / ***</w:t>
      </w:r>
    </w:p>
    <w:p w14:paraId="18D7BB45" w14:textId="77777777" w:rsidR="004B2808" w:rsidRDefault="00000000">
      <w:pPr>
        <w:pStyle w:val="pheading"/>
      </w:pPr>
      <w:r>
        <w:t>EXÉCUTION / MISE EN ŒUVRE</w:t>
      </w:r>
    </w:p>
    <w:p w14:paraId="27380D66" w14:textId="77777777" w:rsidR="004B2808" w:rsidRDefault="00000000">
      <w:pPr>
        <w:pStyle w:val="pheading"/>
      </w:pPr>
      <w:r>
        <w:t>- Prescriptions générales</w:t>
      </w:r>
    </w:p>
    <w:p w14:paraId="2C66D8E6" w14:textId="77777777" w:rsidR="004B2808" w:rsidRDefault="00000000">
      <w:pPr>
        <w:jc w:val="both"/>
      </w:pPr>
      <w:r>
        <w:t>Le système d’ouverture électronique est configuré par l’entrepreneur dans le programme de gestion fourni avec le système.</w:t>
      </w:r>
    </w:p>
    <w:p w14:paraId="009BB70A" w14:textId="77777777" w:rsidR="004B2808" w:rsidRDefault="00000000">
      <w:pPr>
        <w:pStyle w:val="pheading"/>
      </w:pPr>
      <w:r>
        <w:t>DOCUMENTS DE RÉFÉRENCE COMPLÉMENTAIRES</w:t>
      </w:r>
    </w:p>
    <w:p w14:paraId="70C9B90C" w14:textId="77777777" w:rsidR="004B2808" w:rsidRDefault="00000000">
      <w:pPr>
        <w:pStyle w:val="pheading"/>
      </w:pPr>
      <w:r>
        <w:t>- Matériau</w:t>
      </w:r>
    </w:p>
    <w:p w14:paraId="05CCE6F8" w14:textId="77777777" w:rsidR="004B2808" w:rsidRDefault="00000000">
      <w:r>
        <w:t>[NBN EN 1634-1 :2014+A1, Essais de résistance au feu et d'étanchéité aux fumées des portes, fermetures, fenêtres et éléments de quincailleries - Partie 1: Essais de résistance au feu des portes, fermetures et fenêtres]</w:t>
      </w:r>
    </w:p>
    <w:p w14:paraId="20C55C70" w14:textId="77777777" w:rsidR="004B2808" w:rsidRDefault="00000000">
      <w:pPr>
        <w:pStyle w:val="pheading"/>
      </w:pPr>
      <w:r>
        <w:lastRenderedPageBreak/>
        <w:t>MESURAGE</w:t>
      </w:r>
    </w:p>
    <w:p w14:paraId="4E77EBD6" w14:textId="77777777" w:rsidR="004B2808" w:rsidRDefault="00000000">
      <w:pPr>
        <w:pStyle w:val="pheading"/>
      </w:pPr>
      <w:r>
        <w:t>- unité de mesure:</w:t>
      </w:r>
    </w:p>
    <w:p w14:paraId="699F3E97" w14:textId="77777777" w:rsidR="004B2808" w:rsidRDefault="00000000">
      <w:r>
        <w:rPr>
          <w:rStyle w:val="optioncarChar"/>
        </w:rPr>
        <w:t xml:space="preserve">pc </w:t>
      </w:r>
      <w:r>
        <w:t>(par défaut)</w:t>
      </w:r>
      <w:r>
        <w:rPr>
          <w:rStyle w:val="optioncarChar"/>
        </w:rPr>
        <w:t xml:space="preserve"> / fft</w:t>
      </w:r>
    </w:p>
    <w:p w14:paraId="1D311C7F" w14:textId="77777777" w:rsidR="004B2808" w:rsidRDefault="00000000">
      <w:r>
        <w:rPr>
          <w:b/>
        </w:rPr>
        <w:t>(soit par défaut)</w:t>
      </w:r>
      <w:r>
        <w:br/>
      </w:r>
      <w:r>
        <w:rPr>
          <w:rStyle w:val="soitChar"/>
        </w:rPr>
        <w:t>1. pc</w:t>
      </w:r>
      <w:r>
        <w:br/>
      </w:r>
      <w:r>
        <w:rPr>
          <w:b/>
        </w:rPr>
        <w:t>(soit)</w:t>
      </w:r>
      <w:r>
        <w:br/>
      </w:r>
      <w:r>
        <w:rPr>
          <w:rStyle w:val="soitChar"/>
        </w:rPr>
        <w:t>2. fft</w:t>
      </w:r>
    </w:p>
    <w:p w14:paraId="001EEE5C" w14:textId="77777777" w:rsidR="004B2808" w:rsidRDefault="00000000">
      <w:pPr>
        <w:pStyle w:val="pheading"/>
      </w:pPr>
      <w:r>
        <w:t>- code de mesurage:</w:t>
      </w:r>
    </w:p>
    <w:p w14:paraId="3DAAF811" w14:textId="77777777" w:rsidR="004B2808" w:rsidRDefault="00000000">
      <w:r>
        <w:rPr>
          <w:rStyle w:val="optioncarChar"/>
        </w:rPr>
        <w:t>A la pièce </w:t>
      </w:r>
      <w:r>
        <w:t>(par défaut)</w:t>
      </w:r>
      <w:r>
        <w:rPr>
          <w:rStyle w:val="optioncarChar"/>
        </w:rPr>
        <w:t> / Pour l'ensemble</w:t>
      </w:r>
    </w:p>
    <w:p w14:paraId="62FB8A4D" w14:textId="77777777" w:rsidR="004B2808" w:rsidRDefault="00000000">
      <w:r>
        <w:rPr>
          <w:b/>
        </w:rPr>
        <w:t>(soit par défaut)</w:t>
      </w:r>
      <w:r>
        <w:br/>
      </w:r>
      <w:r>
        <w:rPr>
          <w:rStyle w:val="soitChar"/>
        </w:rPr>
        <w:t>1.</w:t>
      </w:r>
      <w:r>
        <w:rPr>
          <w:rStyle w:val="soitChar"/>
          <w:u w:val="single"/>
        </w:rPr>
        <w:t xml:space="preserve"> A la pièce :</w:t>
      </w:r>
      <w:r>
        <w:rPr>
          <w:rStyle w:val="soitChar"/>
        </w:rPr>
        <w:t> quantité nette : système d’ouverture électronique : pièce distinction faite du type</w:t>
      </w:r>
      <w:r>
        <w:br/>
      </w:r>
      <w:r>
        <w:rPr>
          <w:b/>
        </w:rPr>
        <w:t>(soit)</w:t>
      </w:r>
      <w:r>
        <w:br/>
      </w:r>
      <w:r>
        <w:rPr>
          <w:rStyle w:val="soitChar"/>
        </w:rPr>
        <w:t>2.</w:t>
      </w:r>
      <w:r>
        <w:rPr>
          <w:rStyle w:val="soitChar"/>
          <w:u w:val="single"/>
        </w:rPr>
        <w:t xml:space="preserve"> Pour l'ensemble :</w:t>
      </w:r>
      <w:r>
        <w:rPr>
          <w:rStyle w:val="soitChar"/>
        </w:rPr>
        <w:t> contrat d’entretien</w:t>
      </w:r>
    </w:p>
    <w:p w14:paraId="66F5AA4D" w14:textId="77777777" w:rsidR="004B2808" w:rsidRDefault="00000000">
      <w:pPr>
        <w:pStyle w:val="pheading"/>
      </w:pPr>
      <w:r>
        <w:t>- nature du marché:</w:t>
      </w:r>
    </w:p>
    <w:p w14:paraId="79932F40" w14:textId="77777777" w:rsidR="004B2808" w:rsidRDefault="00000000">
      <w:r>
        <w:rPr>
          <w:rStyle w:val="optioncarChar"/>
        </w:rPr>
        <w:t>QF </w:t>
      </w:r>
      <w:r>
        <w:t>(par défaut)</w:t>
      </w:r>
      <w:r>
        <w:rPr>
          <w:rStyle w:val="optioncarChar"/>
        </w:rPr>
        <w:t xml:space="preserve"> / PG</w:t>
      </w:r>
    </w:p>
    <w:p w14:paraId="1E889DF1" w14:textId="77777777" w:rsidR="004B2808" w:rsidRDefault="00000000">
      <w:r>
        <w:rPr>
          <w:b/>
        </w:rPr>
        <w:t>(soit par défaut)</w:t>
      </w:r>
      <w:r>
        <w:br/>
      </w:r>
      <w:r>
        <w:rPr>
          <w:rStyle w:val="soitChar"/>
        </w:rPr>
        <w:t>1. QF</w:t>
      </w:r>
      <w:r>
        <w:br/>
      </w:r>
      <w:r>
        <w:rPr>
          <w:b/>
        </w:rPr>
        <w:t>(soit)</w:t>
      </w:r>
      <w:r>
        <w:br/>
      </w:r>
      <w:r>
        <w:rPr>
          <w:rStyle w:val="soitChar"/>
        </w:rPr>
        <w:t>2. PG : prix global / an du contrat d’entretien </w:t>
      </w:r>
    </w:p>
    <w:p w14:paraId="7A1FEB68" w14:textId="77777777" w:rsidR="004B2808" w:rsidRDefault="00000000">
      <w:pPr>
        <w:pStyle w:val="Author-eSectionHeading6Numberless"/>
      </w:pPr>
      <w:bookmarkStart w:id="1322" w:name="_Toc220491433"/>
      <w:r>
        <w:t>55.62.4d Système d'ouverture électromagnétique CCTB 01.13</w:t>
      </w:r>
      <w:bookmarkEnd w:id="1322"/>
    </w:p>
    <w:p w14:paraId="3596F236" w14:textId="77777777" w:rsidR="004B2808" w:rsidRDefault="00000000">
      <w:pPr>
        <w:pStyle w:val="pheading"/>
      </w:pPr>
      <w:r>
        <w:t>DESCRIPTION</w:t>
      </w:r>
    </w:p>
    <w:p w14:paraId="7AD6DE26" w14:textId="77777777" w:rsidR="004B2808" w:rsidRDefault="00000000">
      <w:pPr>
        <w:pStyle w:val="pheading"/>
      </w:pPr>
      <w:r>
        <w:t>- Définition / Comprend</w:t>
      </w:r>
    </w:p>
    <w:p w14:paraId="20156486" w14:textId="77777777" w:rsidR="004B2808" w:rsidRDefault="00000000">
      <w:pPr>
        <w:jc w:val="both"/>
      </w:pPr>
      <w:r>
        <w:t>Il s’agit de la fourniture, de la pose et du raccordement d’un système électromagnétique qui une fois déverrouillé permet l’ouverture de la porte intérieure sur laquelle il est posé.</w:t>
      </w:r>
    </w:p>
    <w:p w14:paraId="6FBE20F3" w14:textId="77777777" w:rsidR="004B2808" w:rsidRDefault="00000000">
      <w:pPr>
        <w:jc w:val="both"/>
      </w:pPr>
      <w:r>
        <w:t>Le travail comprend notamment :</w:t>
      </w:r>
    </w:p>
    <w:p w14:paraId="6C02F3ED" w14:textId="77777777" w:rsidR="004B2808" w:rsidRDefault="00000000">
      <w:pPr>
        <w:pStyle w:val="Author-eListParagraph"/>
        <w:numPr>
          <w:ilvl w:val="0"/>
          <w:numId w:val="1196"/>
        </w:numPr>
      </w:pPr>
      <w:r>
        <w:t>Le dispositif électromagnétique proprement dit</w:t>
      </w:r>
    </w:p>
    <w:p w14:paraId="4854A96F" w14:textId="77777777" w:rsidR="004B2808" w:rsidRDefault="00000000">
      <w:pPr>
        <w:pStyle w:val="Author-eListParagraph"/>
        <w:numPr>
          <w:ilvl w:val="0"/>
          <w:numId w:val="1196"/>
        </w:numPr>
      </w:pPr>
      <w:r>
        <w:t>Les équipements qui y sont associés (contre-plaque, capots, équerres, …)</w:t>
      </w:r>
    </w:p>
    <w:p w14:paraId="72F4D52C" w14:textId="77777777" w:rsidR="004B2808" w:rsidRDefault="00000000">
      <w:pPr>
        <w:pStyle w:val="Author-eListParagraph"/>
        <w:numPr>
          <w:ilvl w:val="0"/>
          <w:numId w:val="1196"/>
        </w:numPr>
      </w:pPr>
      <w:r>
        <w:t>Les éventuels accessoires décrits ci-après.</w:t>
      </w:r>
    </w:p>
    <w:p w14:paraId="35A2EE9F" w14:textId="77777777" w:rsidR="004B2808" w:rsidRDefault="00000000">
      <w:pPr>
        <w:jc w:val="both"/>
      </w:pPr>
      <w:r>
        <w:t>L’alimentation électrique du système est décrite et comptée aux 7 T7 Electricité.et suivants.</w:t>
      </w:r>
    </w:p>
    <w:p w14:paraId="46A92A7E" w14:textId="77777777" w:rsidR="004B2808" w:rsidRDefault="00000000">
      <w:pPr>
        <w:jc w:val="both"/>
      </w:pPr>
      <w:r>
        <w:t>Le dispositif de commande associé au système électromagnétique à mettre en place est notamment décrit et compté aux 66 Lutte contre l'incendie (LCI) et/ou 72.26 Contrôles d'accès - équipements et suivants.</w:t>
      </w:r>
    </w:p>
    <w:p w14:paraId="62D010B8" w14:textId="77777777" w:rsidR="004B2808" w:rsidRDefault="00000000">
      <w:pPr>
        <w:pStyle w:val="pheading"/>
      </w:pPr>
      <w:r>
        <w:t>MATÉRIAUX</w:t>
      </w:r>
    </w:p>
    <w:p w14:paraId="631E40BA" w14:textId="77777777" w:rsidR="004B2808" w:rsidRDefault="00000000">
      <w:pPr>
        <w:pStyle w:val="pheading"/>
      </w:pPr>
      <w:r>
        <w:t>- Caractéristiques générales</w:t>
      </w:r>
    </w:p>
    <w:p w14:paraId="1AA61044" w14:textId="77777777" w:rsidR="004B2808" w:rsidRDefault="00000000">
      <w:pPr>
        <w:jc w:val="both"/>
      </w:pPr>
      <w:r>
        <w:t>Le dispositif d’ouverture (par libération du verrouillage électromagnétique) présente notamment les caractéristiques suivantes :</w:t>
      </w:r>
    </w:p>
    <w:p w14:paraId="6FCABB5F" w14:textId="77777777" w:rsidR="004B2808" w:rsidRDefault="00000000">
      <w:pPr>
        <w:jc w:val="both"/>
      </w:pPr>
      <w:r>
        <w:rPr>
          <w:b/>
        </w:rPr>
        <w:t>Généralités :</w:t>
      </w:r>
    </w:p>
    <w:p w14:paraId="4F830DF8" w14:textId="77777777" w:rsidR="004B2808" w:rsidRDefault="00000000">
      <w:pPr>
        <w:pStyle w:val="Author-eListParagraph"/>
        <w:numPr>
          <w:ilvl w:val="0"/>
          <w:numId w:val="1197"/>
        </w:numPr>
      </w:pPr>
      <w:r>
        <w:t>Principe de fonctionnement : système à rupture de tension.</w:t>
      </w:r>
    </w:p>
    <w:p w14:paraId="71BBB0A4" w14:textId="77777777" w:rsidR="004B2808" w:rsidRDefault="00000000">
      <w:pPr>
        <w:pStyle w:val="Author-eListParagraph"/>
        <w:numPr>
          <w:ilvl w:val="0"/>
          <w:numId w:val="1197"/>
        </w:numPr>
      </w:pPr>
      <w:r>
        <w:t xml:space="preserve">Pour montage : </w:t>
      </w:r>
      <w:r>
        <w:rPr>
          <w:rStyle w:val="optioncarChar"/>
        </w:rPr>
        <w:t>encastré / en applique ; frontal / latéral</w:t>
      </w:r>
    </w:p>
    <w:p w14:paraId="487483B5" w14:textId="77777777" w:rsidR="004B2808" w:rsidRDefault="00000000">
      <w:pPr>
        <w:pStyle w:val="Author-eListParagraph"/>
        <w:numPr>
          <w:ilvl w:val="0"/>
          <w:numId w:val="1197"/>
        </w:numPr>
      </w:pPr>
      <w:r>
        <w:t xml:space="preserve">Pour une porte : </w:t>
      </w:r>
    </w:p>
    <w:p w14:paraId="38ED819C" w14:textId="77777777" w:rsidR="004B2808" w:rsidRDefault="00000000">
      <w:pPr>
        <w:pStyle w:val="Author-eListParagraph"/>
        <w:numPr>
          <w:ilvl w:val="1"/>
          <w:numId w:val="1198"/>
        </w:numPr>
      </w:pPr>
      <w:r>
        <w:t xml:space="preserve">  </w:t>
      </w:r>
      <w:r>
        <w:rPr>
          <w:rStyle w:val="optioncarChar"/>
        </w:rPr>
        <w:t>simple action / coulissante / va et vient / selon les indications aux plans / ***</w:t>
      </w:r>
    </w:p>
    <w:p w14:paraId="0A9202C2" w14:textId="77777777" w:rsidR="004B2808" w:rsidRDefault="00000000">
      <w:pPr>
        <w:pStyle w:val="Author-eListParagraph"/>
        <w:numPr>
          <w:ilvl w:val="1"/>
          <w:numId w:val="1198"/>
        </w:numPr>
      </w:pPr>
      <w:r>
        <w:t xml:space="preserve">  avec </w:t>
      </w:r>
      <w:r>
        <w:rPr>
          <w:rStyle w:val="optioncarChar"/>
        </w:rPr>
        <w:t>1 / 2</w:t>
      </w:r>
      <w:r>
        <w:t xml:space="preserve"> vantail(aux)</w:t>
      </w:r>
    </w:p>
    <w:p w14:paraId="1E809216" w14:textId="77777777" w:rsidR="004B2808" w:rsidRDefault="00000000">
      <w:pPr>
        <w:pStyle w:val="Author-eListParagraph"/>
        <w:numPr>
          <w:ilvl w:val="0"/>
          <w:numId w:val="1197"/>
        </w:numPr>
      </w:pPr>
      <w:r>
        <w:t xml:space="preserve">Modèle destiné à une : </w:t>
      </w:r>
    </w:p>
    <w:p w14:paraId="45712604" w14:textId="77777777" w:rsidR="004B2808" w:rsidRDefault="00000000">
      <w:pPr>
        <w:pStyle w:val="Author-eListParagraph"/>
        <w:numPr>
          <w:ilvl w:val="1"/>
          <w:numId w:val="1199"/>
        </w:numPr>
      </w:pPr>
      <w:r>
        <w:t xml:space="preserve">  issue de secours : </w:t>
      </w:r>
      <w:r>
        <w:rPr>
          <w:rStyle w:val="optioncarChar"/>
        </w:rPr>
        <w:t>oui / non</w:t>
      </w:r>
    </w:p>
    <w:p w14:paraId="20CC40FF" w14:textId="77777777" w:rsidR="004B2808" w:rsidRDefault="00000000">
      <w:pPr>
        <w:pStyle w:val="Author-eListParagraph"/>
        <w:numPr>
          <w:ilvl w:val="1"/>
          <w:numId w:val="1199"/>
        </w:numPr>
      </w:pPr>
      <w:r>
        <w:lastRenderedPageBreak/>
        <w:t xml:space="preserve">  porte résistante au feu : </w:t>
      </w:r>
      <w:r>
        <w:rPr>
          <w:rStyle w:val="optioncarChar"/>
        </w:rPr>
        <w:t>oui / non</w:t>
      </w:r>
    </w:p>
    <w:p w14:paraId="56E62C6F" w14:textId="77777777" w:rsidR="004B2808" w:rsidRDefault="00000000">
      <w:pPr>
        <w:pStyle w:val="Author-eListParagraph"/>
        <w:numPr>
          <w:ilvl w:val="0"/>
          <w:numId w:val="1197"/>
        </w:numPr>
      </w:pPr>
      <w:r>
        <w:t>Corps symétrique, pour montage réversible gauche – droite.</w:t>
      </w:r>
    </w:p>
    <w:p w14:paraId="57438832" w14:textId="77777777" w:rsidR="004B2808" w:rsidRDefault="00000000">
      <w:pPr>
        <w:pStyle w:val="Author-eListParagraph"/>
        <w:numPr>
          <w:ilvl w:val="0"/>
          <w:numId w:val="1197"/>
        </w:numPr>
      </w:pPr>
      <w:r>
        <w:t>Avec protection contre le magnétisme résiduel / effets de self.</w:t>
      </w:r>
    </w:p>
    <w:p w14:paraId="54CCD941" w14:textId="77777777" w:rsidR="004B2808" w:rsidRDefault="00000000">
      <w:pPr>
        <w:pStyle w:val="Author-eListParagraph"/>
        <w:numPr>
          <w:ilvl w:val="0"/>
          <w:numId w:val="1197"/>
        </w:numPr>
      </w:pPr>
      <w:r>
        <w:rPr>
          <w:rStyle w:val="optioncarChar"/>
        </w:rPr>
        <w:t>***</w:t>
      </w:r>
    </w:p>
    <w:p w14:paraId="51B76C74" w14:textId="77777777" w:rsidR="004B2808" w:rsidRDefault="00000000">
      <w:pPr>
        <w:jc w:val="both"/>
      </w:pPr>
      <w:r>
        <w:rPr>
          <w:b/>
        </w:rPr>
        <w:t>Spécifications :</w:t>
      </w:r>
    </w:p>
    <w:p w14:paraId="04C86FD1" w14:textId="77777777" w:rsidR="004B2808" w:rsidRDefault="00000000">
      <w:pPr>
        <w:pStyle w:val="Author-eListParagraph"/>
        <w:numPr>
          <w:ilvl w:val="0"/>
          <w:numId w:val="1200"/>
        </w:numPr>
      </w:pPr>
      <w:r>
        <w:t xml:space="preserve">Tension d’alimentation : </w:t>
      </w:r>
      <w:r>
        <w:rPr>
          <w:rStyle w:val="optioncarChar"/>
        </w:rPr>
        <w:t>12 – 24 / ***</w:t>
      </w:r>
      <w:r>
        <w:t xml:space="preserve"> Vcc</w:t>
      </w:r>
    </w:p>
    <w:p w14:paraId="187657F4" w14:textId="77777777" w:rsidR="004B2808" w:rsidRDefault="00000000">
      <w:pPr>
        <w:pStyle w:val="Author-eListParagraph"/>
        <w:numPr>
          <w:ilvl w:val="0"/>
          <w:numId w:val="1200"/>
        </w:numPr>
      </w:pPr>
      <w:r>
        <w:t xml:space="preserve">Consommation ± : </w:t>
      </w:r>
      <w:r>
        <w:rPr>
          <w:rStyle w:val="optioncarChar"/>
        </w:rPr>
        <w:t>370 / 500 / ***</w:t>
      </w:r>
      <w:r>
        <w:t xml:space="preserve"> mA à 12 Vcc ; </w:t>
      </w:r>
      <w:r>
        <w:rPr>
          <w:rStyle w:val="optioncarChar"/>
        </w:rPr>
        <w:t>185 / 250 / ***</w:t>
      </w:r>
      <w:r>
        <w:t xml:space="preserve"> mA à 24 Vcc</w:t>
      </w:r>
    </w:p>
    <w:p w14:paraId="0F18F9DE" w14:textId="77777777" w:rsidR="004B2808" w:rsidRDefault="00000000">
      <w:pPr>
        <w:pStyle w:val="Author-eListParagraph"/>
        <w:numPr>
          <w:ilvl w:val="0"/>
          <w:numId w:val="1200"/>
        </w:numPr>
      </w:pPr>
      <w:r>
        <w:t xml:space="preserve">Dispositif pré-raccordé : </w:t>
      </w:r>
      <w:r>
        <w:rPr>
          <w:rStyle w:val="optioncarChar"/>
        </w:rPr>
        <w:t>avec un câble ≥ 1 / 5 / *** m / non</w:t>
      </w:r>
    </w:p>
    <w:p w14:paraId="4C368567" w14:textId="77777777" w:rsidR="004B2808" w:rsidRDefault="00000000">
      <w:pPr>
        <w:pStyle w:val="Author-eListParagraph"/>
        <w:numPr>
          <w:ilvl w:val="0"/>
          <w:numId w:val="1200"/>
        </w:numPr>
      </w:pPr>
      <w:r>
        <w:t xml:space="preserve">Force de rétention magnétique ≥ : </w:t>
      </w:r>
      <w:r>
        <w:rPr>
          <w:rStyle w:val="optioncarChar"/>
        </w:rPr>
        <w:t>1800 / 3000 / 7500 / ***</w:t>
      </w:r>
      <w:r>
        <w:t xml:space="preserve"> N</w:t>
      </w:r>
    </w:p>
    <w:p w14:paraId="62A88C65" w14:textId="77777777" w:rsidR="004B2808" w:rsidRDefault="00000000">
      <w:pPr>
        <w:pStyle w:val="Author-eListParagraph"/>
        <w:numPr>
          <w:ilvl w:val="0"/>
          <w:numId w:val="1200"/>
        </w:numPr>
      </w:pPr>
      <w:r>
        <w:t xml:space="preserve">Type à cisaillement (shearlock) : </w:t>
      </w:r>
      <w:r>
        <w:rPr>
          <w:rStyle w:val="optioncarChar"/>
        </w:rPr>
        <w:t>oui / non</w:t>
      </w:r>
    </w:p>
    <w:p w14:paraId="771EDF92" w14:textId="77777777" w:rsidR="004B2808" w:rsidRDefault="00000000">
      <w:pPr>
        <w:pStyle w:val="Author-eListParagraph"/>
        <w:numPr>
          <w:ilvl w:val="0"/>
          <w:numId w:val="1200"/>
        </w:numPr>
      </w:pPr>
      <w:r>
        <w:rPr>
          <w:rStyle w:val="optioncarChar"/>
        </w:rPr>
        <w:t>***</w:t>
      </w:r>
    </w:p>
    <w:p w14:paraId="7673DEEB" w14:textId="77777777" w:rsidR="004B2808" w:rsidRDefault="00000000">
      <w:pPr>
        <w:jc w:val="both"/>
      </w:pPr>
      <w:r>
        <w:rPr>
          <w:b/>
        </w:rPr>
        <w:t>Equipements :</w:t>
      </w:r>
    </w:p>
    <w:p w14:paraId="563BD960" w14:textId="77777777" w:rsidR="004B2808" w:rsidRDefault="00000000">
      <w:pPr>
        <w:pStyle w:val="Author-eListParagraph"/>
        <w:numPr>
          <w:ilvl w:val="0"/>
          <w:numId w:val="1201"/>
        </w:numPr>
      </w:pPr>
      <w:r>
        <w:t xml:space="preserve">Signalisation de l’état : </w:t>
      </w:r>
      <w:r>
        <w:rPr>
          <w:rStyle w:val="optioncarChar"/>
        </w:rPr>
        <w:t>oui, rouge-vert / non / ***</w:t>
      </w:r>
    </w:p>
    <w:p w14:paraId="510F2964" w14:textId="77777777" w:rsidR="004B2808" w:rsidRDefault="00000000">
      <w:pPr>
        <w:pStyle w:val="Author-eListParagraph"/>
        <w:numPr>
          <w:ilvl w:val="0"/>
          <w:numId w:val="1201"/>
        </w:numPr>
      </w:pPr>
      <w:r>
        <w:t xml:space="preserve">Temporisation : </w:t>
      </w:r>
      <w:r>
        <w:rPr>
          <w:rStyle w:val="optioncarChar"/>
        </w:rPr>
        <w:t>oui / non</w:t>
      </w:r>
    </w:p>
    <w:p w14:paraId="4DB3C249" w14:textId="77777777" w:rsidR="004B2808" w:rsidRDefault="00000000">
      <w:pPr>
        <w:pStyle w:val="Author-eListParagraph"/>
        <w:numPr>
          <w:ilvl w:val="0"/>
          <w:numId w:val="1201"/>
        </w:numPr>
      </w:pPr>
      <w:r>
        <w:t xml:space="preserve">Contacts relais : </w:t>
      </w:r>
      <w:r>
        <w:rPr>
          <w:rStyle w:val="optioncarChar"/>
        </w:rPr>
        <w:t>oui, C-NF–NO / non / ***</w:t>
      </w:r>
    </w:p>
    <w:p w14:paraId="04314603" w14:textId="77777777" w:rsidR="004B2808" w:rsidRDefault="00000000">
      <w:pPr>
        <w:pStyle w:val="Author-eListParagraph"/>
        <w:numPr>
          <w:ilvl w:val="0"/>
          <w:numId w:val="1201"/>
        </w:numPr>
      </w:pPr>
      <w:r>
        <w:rPr>
          <w:rStyle w:val="optioncarChar"/>
        </w:rPr>
        <w:t>***</w:t>
      </w:r>
    </w:p>
    <w:p w14:paraId="71578C3F" w14:textId="77777777" w:rsidR="004B2808" w:rsidRDefault="00000000">
      <w:pPr>
        <w:jc w:val="both"/>
      </w:pPr>
      <w:r>
        <w:rPr>
          <w:b/>
        </w:rPr>
        <w:t>Accessoires :</w:t>
      </w:r>
    </w:p>
    <w:p w14:paraId="46AC3EB4" w14:textId="77777777" w:rsidR="004B2808" w:rsidRDefault="00000000">
      <w:pPr>
        <w:pStyle w:val="Author-eListParagraph"/>
        <w:numPr>
          <w:ilvl w:val="0"/>
          <w:numId w:val="1202"/>
        </w:numPr>
      </w:pPr>
      <w:r>
        <w:t xml:space="preserve">Plaque de montage pour porte coupe-feu : </w:t>
      </w:r>
      <w:r>
        <w:rPr>
          <w:rStyle w:val="optioncarChar"/>
        </w:rPr>
        <w:t>oui / non</w:t>
      </w:r>
    </w:p>
    <w:p w14:paraId="58EE55EE" w14:textId="77777777" w:rsidR="004B2808" w:rsidRDefault="00000000">
      <w:pPr>
        <w:pStyle w:val="Author-eListParagraph"/>
        <w:numPr>
          <w:ilvl w:val="0"/>
          <w:numId w:val="1202"/>
        </w:numPr>
      </w:pPr>
      <w:r>
        <w:t xml:space="preserve">Equerre de montage : </w:t>
      </w:r>
      <w:r>
        <w:rPr>
          <w:rStyle w:val="optioncarChar"/>
        </w:rPr>
        <w:t>oui, en L / Z / *** / non</w:t>
      </w:r>
    </w:p>
    <w:p w14:paraId="4A6383CC" w14:textId="77777777" w:rsidR="004B2808" w:rsidRDefault="00000000">
      <w:pPr>
        <w:pStyle w:val="Author-eListParagraph"/>
        <w:numPr>
          <w:ilvl w:val="0"/>
          <w:numId w:val="1202"/>
        </w:numPr>
      </w:pPr>
      <w:r>
        <w:t xml:space="preserve">Cavalier en U pour portes en verre : </w:t>
      </w:r>
      <w:r>
        <w:rPr>
          <w:rStyle w:val="optioncarChar"/>
        </w:rPr>
        <w:t>oui, pour une épaisseur de verre de 8 / 10 / 12 / *** mm / non</w:t>
      </w:r>
    </w:p>
    <w:p w14:paraId="66C3F802" w14:textId="77777777" w:rsidR="004B2808" w:rsidRDefault="00000000">
      <w:pPr>
        <w:pStyle w:val="Author-eListParagraph"/>
        <w:numPr>
          <w:ilvl w:val="0"/>
          <w:numId w:val="1202"/>
        </w:numPr>
      </w:pPr>
      <w:r>
        <w:rPr>
          <w:rStyle w:val="optioncarChar"/>
        </w:rPr>
        <w:t>***</w:t>
      </w:r>
    </w:p>
    <w:p w14:paraId="070E48D6" w14:textId="77777777" w:rsidR="004B2808" w:rsidRDefault="00000000">
      <w:pPr>
        <w:jc w:val="both"/>
      </w:pPr>
      <w:r>
        <w:rPr>
          <w:b/>
        </w:rPr>
        <w:t>Dimensions ± :</w:t>
      </w:r>
    </w:p>
    <w:p w14:paraId="4A0CE0A1" w14:textId="77777777" w:rsidR="004B2808" w:rsidRDefault="00000000">
      <w:pPr>
        <w:pStyle w:val="Author-eListParagraph"/>
        <w:numPr>
          <w:ilvl w:val="0"/>
          <w:numId w:val="1203"/>
        </w:numPr>
      </w:pPr>
      <w:r>
        <w:t xml:space="preserve">Corps ventouse (LxlxP) : </w:t>
      </w:r>
      <w:r>
        <w:rPr>
          <w:rStyle w:val="optioncarChar"/>
        </w:rPr>
        <w:t>165x40x22 / 225x65x45 / ***</w:t>
      </w:r>
      <w:r>
        <w:t xml:space="preserve"> mm</w:t>
      </w:r>
    </w:p>
    <w:p w14:paraId="6B1264BD" w14:textId="77777777" w:rsidR="004B2808" w:rsidRDefault="00000000">
      <w:pPr>
        <w:pStyle w:val="Author-eListParagraph"/>
        <w:numPr>
          <w:ilvl w:val="0"/>
          <w:numId w:val="1203"/>
        </w:numPr>
      </w:pPr>
      <w:r>
        <w:t xml:space="preserve">Contre-plaque (LxlxP) : </w:t>
      </w:r>
      <w:r>
        <w:rPr>
          <w:rStyle w:val="optioncarChar"/>
        </w:rPr>
        <w:t>135x30x8 / 190x60x16 / ***</w:t>
      </w:r>
      <w:r>
        <w:t xml:space="preserve"> mm</w:t>
      </w:r>
    </w:p>
    <w:p w14:paraId="3BAFA836" w14:textId="77777777" w:rsidR="004B2808" w:rsidRDefault="00000000">
      <w:pPr>
        <w:jc w:val="both"/>
      </w:pPr>
      <w:r>
        <w:rPr>
          <w:b/>
        </w:rPr>
        <w:t>Matériau :</w:t>
      </w:r>
    </w:p>
    <w:p w14:paraId="5CD4FBB4" w14:textId="77777777" w:rsidR="004B2808" w:rsidRDefault="00000000">
      <w:pPr>
        <w:pStyle w:val="Author-eListParagraph"/>
        <w:numPr>
          <w:ilvl w:val="0"/>
          <w:numId w:val="1204"/>
        </w:numPr>
        <w:jc w:val="both"/>
      </w:pPr>
      <w:r>
        <w:t xml:space="preserve">Boîtier : </w:t>
      </w:r>
      <w:r>
        <w:rPr>
          <w:rStyle w:val="optioncarChar"/>
        </w:rPr>
        <w:t>aluminium anodisé / acier inox AISI 316 / métal peint / ***</w:t>
      </w:r>
    </w:p>
    <w:p w14:paraId="71C90B4B" w14:textId="77777777" w:rsidR="004B2808" w:rsidRDefault="00000000">
      <w:pPr>
        <w:pStyle w:val="Author-eListParagraph"/>
        <w:numPr>
          <w:ilvl w:val="0"/>
          <w:numId w:val="1204"/>
        </w:numPr>
        <w:jc w:val="both"/>
      </w:pPr>
      <w:r>
        <w:t xml:space="preserve">Contre-plaque : </w:t>
      </w:r>
      <w:r>
        <w:rPr>
          <w:rStyle w:val="optioncarChar"/>
        </w:rPr>
        <w:t>acier haute qualité supprimant toute rémanence, même à long terme / ***</w:t>
      </w:r>
    </w:p>
    <w:p w14:paraId="48C33375" w14:textId="77777777" w:rsidR="004B2808" w:rsidRDefault="00000000">
      <w:pPr>
        <w:pStyle w:val="pheading"/>
      </w:pPr>
      <w:r>
        <w:t>- Finitions</w:t>
      </w:r>
    </w:p>
    <w:p w14:paraId="0399E90C" w14:textId="77777777" w:rsidR="004B2808" w:rsidRDefault="00000000">
      <w:pPr>
        <w:pStyle w:val="Author-eListParagraph"/>
        <w:numPr>
          <w:ilvl w:val="0"/>
          <w:numId w:val="1205"/>
        </w:numPr>
        <w:jc w:val="both"/>
      </w:pPr>
      <w:r>
        <w:t xml:space="preserve">Boîtier : </w:t>
      </w:r>
      <w:r>
        <w:rPr>
          <w:rStyle w:val="optioncarChar"/>
        </w:rPr>
        <w:t>matériau naturel / anodisé bronze / ton au choix de la direction des travaux dans la gamme standard du fabricant / ***</w:t>
      </w:r>
    </w:p>
    <w:p w14:paraId="428E2728" w14:textId="77777777" w:rsidR="004B2808" w:rsidRDefault="00000000">
      <w:pPr>
        <w:pStyle w:val="Author-eListParagraph"/>
        <w:numPr>
          <w:ilvl w:val="0"/>
          <w:numId w:val="1205"/>
        </w:numPr>
        <w:jc w:val="both"/>
      </w:pPr>
      <w:r>
        <w:t xml:space="preserve">Contre-plaque : </w:t>
      </w:r>
      <w:r>
        <w:rPr>
          <w:rStyle w:val="optioncarChar"/>
        </w:rPr>
        <w:t>matériau naturel / ton au choix de la direction des travaux dans la gamme standard du fabricant / ***</w:t>
      </w:r>
    </w:p>
    <w:p w14:paraId="62811367" w14:textId="77777777" w:rsidR="004B2808" w:rsidRDefault="00000000">
      <w:pPr>
        <w:pStyle w:val="pheading"/>
      </w:pPr>
      <w:r>
        <w:t>EXÉCUTION / MISE EN ŒUVRE</w:t>
      </w:r>
    </w:p>
    <w:p w14:paraId="0CD24983" w14:textId="77777777" w:rsidR="004B2808" w:rsidRDefault="00000000">
      <w:pPr>
        <w:pStyle w:val="pheading"/>
      </w:pPr>
      <w:r>
        <w:t>- Prescriptions générales</w:t>
      </w:r>
    </w:p>
    <w:p w14:paraId="7A5ADA10" w14:textId="77777777" w:rsidR="004B2808" w:rsidRDefault="00000000">
      <w:pPr>
        <w:jc w:val="both"/>
      </w:pPr>
      <w:r>
        <w:t>L’entrepreneur s’assure que le dormant et l’ouvrant soient adaptés au dispositif électromagnétique à placer.</w:t>
      </w:r>
    </w:p>
    <w:p w14:paraId="0A6C8FDA" w14:textId="77777777" w:rsidR="004B2808" w:rsidRDefault="00000000">
      <w:pPr>
        <w:jc w:val="both"/>
      </w:pPr>
      <w:r>
        <w:t>Le dispositif électromagnétique n’entrave en rien les mouvements du(des) vantail(aux).</w:t>
      </w:r>
    </w:p>
    <w:p w14:paraId="01D75160" w14:textId="77777777" w:rsidR="004B2808" w:rsidRDefault="00000000">
      <w:pPr>
        <w:jc w:val="both"/>
      </w:pPr>
      <w:r>
        <w:t>Le câblage est entièrement dissimulé.</w:t>
      </w:r>
    </w:p>
    <w:p w14:paraId="3C5985AD" w14:textId="77777777" w:rsidR="004B2808" w:rsidRDefault="00000000">
      <w:pPr>
        <w:jc w:val="both"/>
      </w:pPr>
      <w:r>
        <w:t>Les fixations sont adaptées aux matériaux de la menuiserie et réalisées selon la documentation technique qui accompagne le produit.</w:t>
      </w:r>
    </w:p>
    <w:p w14:paraId="516A015C" w14:textId="77777777" w:rsidR="004B2808" w:rsidRDefault="00000000">
      <w:pPr>
        <w:jc w:val="both"/>
      </w:pPr>
      <w:r>
        <w:t>Porte fermée, la contreplaque est parfaitement alignée à l'électro-aimant et y adhère entièrement.</w:t>
      </w:r>
    </w:p>
    <w:p w14:paraId="6AC30A26" w14:textId="77777777" w:rsidR="004B2808" w:rsidRDefault="00000000">
      <w:pPr>
        <w:jc w:val="both"/>
      </w:pPr>
      <w:r>
        <w:rPr>
          <w:u w:val="single"/>
        </w:rPr>
        <w:t>Raccordement / mise en service / tests / réglages :</w:t>
      </w:r>
    </w:p>
    <w:p w14:paraId="57694AF1" w14:textId="77777777" w:rsidR="004B2808" w:rsidRDefault="00000000">
      <w:pPr>
        <w:jc w:val="both"/>
      </w:pPr>
      <w:r>
        <w:t>L’entrepreneur :</w:t>
      </w:r>
    </w:p>
    <w:p w14:paraId="7D6CD20B" w14:textId="77777777" w:rsidR="004B2808" w:rsidRDefault="00000000">
      <w:pPr>
        <w:pStyle w:val="Author-eListParagraph"/>
        <w:numPr>
          <w:ilvl w:val="0"/>
          <w:numId w:val="1206"/>
        </w:numPr>
      </w:pPr>
      <w:r>
        <w:lastRenderedPageBreak/>
        <w:t> coordonne ses prestations avec les différents intervenants et notamment avec l’entreprise chargée de la mise à disposition de l’alimentation électrique.</w:t>
      </w:r>
    </w:p>
    <w:p w14:paraId="52C2EFAC" w14:textId="77777777" w:rsidR="004B2808" w:rsidRDefault="00000000">
      <w:pPr>
        <w:pStyle w:val="Author-eListParagraph"/>
        <w:numPr>
          <w:ilvl w:val="0"/>
          <w:numId w:val="1206"/>
        </w:numPr>
      </w:pPr>
      <w:r>
        <w:t>  réalise les raccordements nécessaires.</w:t>
      </w:r>
    </w:p>
    <w:p w14:paraId="1B71871B" w14:textId="77777777" w:rsidR="004B2808" w:rsidRDefault="00000000">
      <w:pPr>
        <w:pStyle w:val="Author-eListParagraph"/>
        <w:numPr>
          <w:ilvl w:val="0"/>
          <w:numId w:val="1206"/>
        </w:numPr>
      </w:pPr>
      <w:r>
        <w:t>  met le dispositif en service.</w:t>
      </w:r>
    </w:p>
    <w:p w14:paraId="6D58E6AE" w14:textId="77777777" w:rsidR="004B2808" w:rsidRDefault="00000000">
      <w:pPr>
        <w:pStyle w:val="Author-eListParagraph"/>
        <w:numPr>
          <w:ilvl w:val="0"/>
          <w:numId w:val="1206"/>
        </w:numPr>
      </w:pPr>
      <w:r>
        <w:t>  effectue tous les tests et réglages nécessaires au parfait fonctionnement.</w:t>
      </w:r>
    </w:p>
    <w:p w14:paraId="0696932E" w14:textId="77777777" w:rsidR="004B2808" w:rsidRDefault="00000000">
      <w:pPr>
        <w:pStyle w:val="pheading"/>
      </w:pPr>
      <w:r>
        <w:t>DOCUMENTS DE RÉFÉRENCE COMPLÉMENTAIRES</w:t>
      </w:r>
    </w:p>
    <w:p w14:paraId="599909D3" w14:textId="77777777" w:rsidR="004B2808" w:rsidRDefault="00000000">
      <w:pPr>
        <w:pStyle w:val="pheading"/>
      </w:pPr>
      <w:r>
        <w:t>- Matériau</w:t>
      </w:r>
    </w:p>
    <w:p w14:paraId="5F1AD3BE" w14:textId="77777777" w:rsidR="004B2808" w:rsidRDefault="00000000">
      <w:r>
        <w:t>[NBN EN 13637, Quincaillerie pour le bâtiment - Systèmes de fermeture contrôlés électriquement destinés à être utilisés sur des voies d'évacuation - Exigences et méthodes d'essai]</w:t>
      </w:r>
    </w:p>
    <w:p w14:paraId="233A160A" w14:textId="77777777" w:rsidR="004B2808" w:rsidRDefault="00000000">
      <w:r>
        <w:t>[NBN EN 14637, Quincaillerie pour le bâtiment - Systèmes de retenue contrôlés électriquement pour blocs-portes, coupe-feu ou pare-fumée - Exigences, méthode d'essai, mise en oeuvre et maintenance]</w:t>
      </w:r>
    </w:p>
    <w:p w14:paraId="066C3456" w14:textId="77777777" w:rsidR="004B2808" w:rsidRDefault="00000000">
      <w:pPr>
        <w:pStyle w:val="pheading"/>
      </w:pPr>
      <w:r>
        <w:t>MESURAGE</w:t>
      </w:r>
    </w:p>
    <w:p w14:paraId="00206B49" w14:textId="77777777" w:rsidR="004B2808" w:rsidRDefault="00000000">
      <w:pPr>
        <w:pStyle w:val="pheading"/>
      </w:pPr>
      <w:r>
        <w:t>- unité de mesure:</w:t>
      </w:r>
    </w:p>
    <w:p w14:paraId="76C09127" w14:textId="77777777" w:rsidR="004B2808" w:rsidRDefault="00000000">
      <w:pPr>
        <w:jc w:val="both"/>
      </w:pPr>
      <w:r>
        <w:rPr>
          <w:rStyle w:val="optioncarChar"/>
        </w:rPr>
        <w:t>pc</w:t>
      </w:r>
      <w:r>
        <w:t xml:space="preserve"> (par défaut) </w:t>
      </w:r>
      <w:r>
        <w:rPr>
          <w:rStyle w:val="optioncarChar"/>
        </w:rPr>
        <w:t>/ -</w:t>
      </w:r>
    </w:p>
    <w:p w14:paraId="548D89DE" w14:textId="77777777" w:rsidR="004B2808" w:rsidRDefault="00000000">
      <w:pPr>
        <w:jc w:val="both"/>
      </w:pPr>
      <w:r>
        <w:rPr>
          <w:b/>
        </w:rPr>
        <w:t>(soit par défaut)</w:t>
      </w:r>
    </w:p>
    <w:p w14:paraId="54EEE5E2" w14:textId="77777777" w:rsidR="004B2808" w:rsidRDefault="00000000">
      <w:pPr>
        <w:jc w:val="both"/>
      </w:pPr>
      <w:r>
        <w:rPr>
          <w:rStyle w:val="soitChar"/>
        </w:rPr>
        <w:t>1.2. pc</w:t>
      </w:r>
    </w:p>
    <w:p w14:paraId="6BF5FFF1" w14:textId="77777777" w:rsidR="004B2808" w:rsidRDefault="00000000">
      <w:pPr>
        <w:jc w:val="both"/>
      </w:pPr>
      <w:r>
        <w:rPr>
          <w:b/>
        </w:rPr>
        <w:t>(soit)</w:t>
      </w:r>
    </w:p>
    <w:p w14:paraId="5768AF85" w14:textId="77777777" w:rsidR="004B2808" w:rsidRDefault="00000000">
      <w:pPr>
        <w:jc w:val="both"/>
      </w:pPr>
      <w:r>
        <w:rPr>
          <w:rStyle w:val="soitChar"/>
        </w:rPr>
        <w:t>3. -</w:t>
      </w:r>
    </w:p>
    <w:p w14:paraId="66225B9A" w14:textId="77777777" w:rsidR="004B2808" w:rsidRDefault="00000000">
      <w:pPr>
        <w:pStyle w:val="pheading"/>
      </w:pPr>
      <w:r>
        <w:t>- code de mesurage:</w:t>
      </w:r>
    </w:p>
    <w:p w14:paraId="4F211E6D" w14:textId="77777777" w:rsidR="004B2808" w:rsidRDefault="00000000">
      <w:pPr>
        <w:jc w:val="both"/>
      </w:pPr>
      <w:r>
        <w:rPr>
          <w:rStyle w:val="optioncarChar"/>
        </w:rPr>
        <w:t>Quantité nette</w:t>
      </w:r>
      <w:r>
        <w:t xml:space="preserve"> (par défaut) </w:t>
      </w:r>
      <w:r>
        <w:rPr>
          <w:rStyle w:val="optioncarChar"/>
        </w:rPr>
        <w:t>/ Compris</w:t>
      </w:r>
    </w:p>
    <w:p w14:paraId="449922A0" w14:textId="77777777" w:rsidR="004B2808" w:rsidRDefault="00000000">
      <w:pPr>
        <w:jc w:val="both"/>
      </w:pPr>
      <w:r>
        <w:rPr>
          <w:b/>
        </w:rPr>
        <w:t>(soit par défaut)</w:t>
      </w:r>
    </w:p>
    <w:p w14:paraId="41D22499" w14:textId="77777777" w:rsidR="004B2808" w:rsidRDefault="00000000">
      <w:pPr>
        <w:jc w:val="both"/>
      </w:pPr>
      <w:r>
        <w:rPr>
          <w:rStyle w:val="soitChar"/>
        </w:rPr>
        <w:t>1.2. Q</w:t>
      </w:r>
      <w:r>
        <w:rPr>
          <w:rStyle w:val="soitChar"/>
          <w:u w:val="single"/>
        </w:rPr>
        <w:t>uantité nette :</w:t>
      </w:r>
    </w:p>
    <w:p w14:paraId="35D2DE92" w14:textId="77777777" w:rsidR="004B2808" w:rsidRDefault="00000000">
      <w:pPr>
        <w:jc w:val="both"/>
      </w:pPr>
      <w:r>
        <w:rPr>
          <w:rStyle w:val="soitChar"/>
        </w:rPr>
        <w:t>Comptée selon le nombre d’éléments à placer.</w:t>
      </w:r>
    </w:p>
    <w:p w14:paraId="75B14A79" w14:textId="77777777" w:rsidR="004B2808" w:rsidRDefault="00000000">
      <w:pPr>
        <w:jc w:val="both"/>
      </w:pPr>
      <w:r>
        <w:rPr>
          <w:rStyle w:val="soitChar"/>
        </w:rPr>
        <w:t>Eventuellement scindée dans différents postes selon le type.</w:t>
      </w:r>
    </w:p>
    <w:p w14:paraId="2D82F014" w14:textId="77777777" w:rsidR="004B2808" w:rsidRDefault="00000000">
      <w:pPr>
        <w:jc w:val="both"/>
      </w:pPr>
      <w:r>
        <w:rPr>
          <w:b/>
        </w:rPr>
        <w:t>(soit)</w:t>
      </w:r>
    </w:p>
    <w:p w14:paraId="13410D4E" w14:textId="77777777" w:rsidR="004B2808" w:rsidRDefault="00000000">
      <w:pPr>
        <w:jc w:val="both"/>
      </w:pPr>
      <w:r>
        <w:rPr>
          <w:rStyle w:val="soitChar"/>
        </w:rPr>
        <w:t xml:space="preserve">3. </w:t>
      </w:r>
      <w:r>
        <w:rPr>
          <w:rStyle w:val="soitChar"/>
          <w:u w:val="single"/>
        </w:rPr>
        <w:t>Compris :</w:t>
      </w:r>
    </w:p>
    <w:p w14:paraId="41A81B3D" w14:textId="77777777" w:rsidR="004B2808" w:rsidRDefault="00000000">
      <w:pPr>
        <w:jc w:val="both"/>
      </w:pPr>
      <w:r>
        <w:rPr>
          <w:rStyle w:val="soitChar"/>
        </w:rPr>
        <w:t xml:space="preserve">Tous les frais liés à ces prestations sont </w:t>
      </w:r>
      <w:r>
        <w:rPr>
          <w:rStyle w:val="optioncarChar"/>
        </w:rPr>
        <w:t>compris dans le prix de l’installation électrique</w:t>
      </w:r>
      <w:r>
        <w:t xml:space="preserve"> (par défaut)</w:t>
      </w:r>
      <w:r>
        <w:rPr>
          <w:rStyle w:val="optioncarChar"/>
        </w:rPr>
        <w:t xml:space="preserve"> / compris dans le prix de(s) l’article(s) ***</w:t>
      </w:r>
    </w:p>
    <w:p w14:paraId="6929CBF3" w14:textId="77777777" w:rsidR="004B2808" w:rsidRDefault="00000000">
      <w:pPr>
        <w:pStyle w:val="pheading"/>
      </w:pPr>
      <w:r>
        <w:t>- nature du marché:</w:t>
      </w:r>
    </w:p>
    <w:p w14:paraId="03820C7D" w14:textId="77777777" w:rsidR="004B2808" w:rsidRDefault="00000000">
      <w:r>
        <w:rPr>
          <w:rStyle w:val="optioncarChar"/>
        </w:rPr>
        <w:t>QF</w:t>
      </w:r>
      <w:r>
        <w:t xml:space="preserve"> (par défaut)</w:t>
      </w:r>
      <w:r>
        <w:rPr>
          <w:rStyle w:val="optioncarChar"/>
        </w:rPr>
        <w:t xml:space="preserve"> / QP / PM</w:t>
      </w:r>
    </w:p>
    <w:p w14:paraId="2F25B768" w14:textId="77777777" w:rsidR="004B2808" w:rsidRDefault="00000000">
      <w:r>
        <w:rPr>
          <w:b/>
        </w:rPr>
        <w:t>(soit par défaut)</w:t>
      </w:r>
      <w:r>
        <w:br/>
      </w:r>
      <w:r>
        <w:rPr>
          <w:rStyle w:val="soitChar"/>
        </w:rPr>
        <w:t>1. QF</w:t>
      </w:r>
      <w:r>
        <w:br/>
      </w:r>
      <w:r>
        <w:rPr>
          <w:b/>
        </w:rPr>
        <w:t>(soit)</w:t>
      </w:r>
      <w:r>
        <w:br/>
      </w:r>
      <w:r>
        <w:rPr>
          <w:rStyle w:val="soitChar"/>
        </w:rPr>
        <w:t>2. QP</w:t>
      </w:r>
      <w:r>
        <w:br/>
      </w:r>
      <w:r>
        <w:rPr>
          <w:b/>
        </w:rPr>
        <w:t>(soit)</w:t>
      </w:r>
      <w:r>
        <w:br/>
      </w:r>
      <w:r>
        <w:rPr>
          <w:rStyle w:val="soitChar"/>
        </w:rPr>
        <w:t>3. PM</w:t>
      </w:r>
    </w:p>
    <w:p w14:paraId="54F9D9C3" w14:textId="77777777" w:rsidR="004B2808" w:rsidRDefault="00000000">
      <w:pPr>
        <w:pStyle w:val="Author-eSectionHeading5Numberless"/>
      </w:pPr>
      <w:bookmarkStart w:id="1323" w:name="_Toc220491434"/>
      <w:r>
        <w:t>55.62.5 Système de fermeture CCTB 01.10</w:t>
      </w:r>
      <w:bookmarkEnd w:id="1323"/>
    </w:p>
    <w:p w14:paraId="1023E489" w14:textId="77777777" w:rsidR="004B2808" w:rsidRDefault="00000000">
      <w:pPr>
        <w:pStyle w:val="pheading"/>
      </w:pPr>
      <w:bookmarkStart w:id="1324" w:name="1325"/>
      <w:bookmarkEnd w:id="1324"/>
      <w:r>
        <w:t>DESCRIPTION</w:t>
      </w:r>
    </w:p>
    <w:p w14:paraId="4C031550" w14:textId="77777777" w:rsidR="004B2808" w:rsidRDefault="00000000">
      <w:pPr>
        <w:pStyle w:val="pheading"/>
      </w:pPr>
      <w:r>
        <w:t>- Définition / Comprend</w:t>
      </w:r>
    </w:p>
    <w:p w14:paraId="2D558B16" w14:textId="77777777" w:rsidR="004B2808" w:rsidRDefault="00000000">
      <w:pPr>
        <w:jc w:val="both"/>
      </w:pPr>
      <w:r>
        <w:t>Ce chapitre comprend la fourniture (hors matériaux récupérés du même site) et la pose de tous les éléments nécessaires aux systèmes de fermeture externe c'est-à-dire tous les organes de commande, d’activation, de blocage, de fermeture et de verrouillage, …</w:t>
      </w:r>
    </w:p>
    <w:p w14:paraId="45C5897B" w14:textId="77777777" w:rsidR="004B2808" w:rsidRDefault="00000000">
      <w:pPr>
        <w:pStyle w:val="pheading"/>
      </w:pPr>
      <w:r>
        <w:lastRenderedPageBreak/>
        <w:t>MATÉRIAUX</w:t>
      </w:r>
    </w:p>
    <w:p w14:paraId="46382041" w14:textId="77777777" w:rsidR="004B2808" w:rsidRDefault="00000000">
      <w:pPr>
        <w:jc w:val="both"/>
      </w:pPr>
      <w:r>
        <w:t>Les ferme-portes neufs ou de réemploi répondent à la [NBN EN 1154].</w:t>
      </w:r>
    </w:p>
    <w:p w14:paraId="723A3F04" w14:textId="77777777" w:rsidR="004B2808" w:rsidRDefault="00000000">
      <w:pPr>
        <w:jc w:val="both"/>
      </w:pPr>
      <w:r>
        <w:t>Les ferme-portes sont réglables et adaptés aux différentes sollicitations auxquelles les portes sont soumises en fonction de :</w:t>
      </w:r>
    </w:p>
    <w:p w14:paraId="3F9081C0" w14:textId="77777777" w:rsidR="004B2808" w:rsidRDefault="00000000">
      <w:pPr>
        <w:pStyle w:val="Author-eListParagraph"/>
        <w:numPr>
          <w:ilvl w:val="0"/>
          <w:numId w:val="1207"/>
        </w:numPr>
        <w:jc w:val="both"/>
      </w:pPr>
      <w:r>
        <w:t>la catégorie et du type des portes,</w:t>
      </w:r>
    </w:p>
    <w:p w14:paraId="25CE81FC" w14:textId="77777777" w:rsidR="004B2808" w:rsidRDefault="00000000">
      <w:pPr>
        <w:pStyle w:val="Author-eListParagraph"/>
        <w:numPr>
          <w:ilvl w:val="0"/>
          <w:numId w:val="1207"/>
        </w:numPr>
        <w:jc w:val="both"/>
      </w:pPr>
      <w:r>
        <w:t>la masse des vantaux qui font partie de l'ensemble.</w:t>
      </w:r>
    </w:p>
    <w:p w14:paraId="7E5D7536" w14:textId="77777777" w:rsidR="004B2808" w:rsidRDefault="00000000">
      <w:pPr>
        <w:pStyle w:val="Author-eListParagraph"/>
        <w:numPr>
          <w:ilvl w:val="0"/>
          <w:numId w:val="1207"/>
        </w:numPr>
        <w:jc w:val="both"/>
      </w:pPr>
      <w:r>
        <w:t>la largeur de la porte.</w:t>
      </w:r>
    </w:p>
    <w:p w14:paraId="6266A28F" w14:textId="77777777" w:rsidR="004B2808" w:rsidRDefault="00000000">
      <w:pPr>
        <w:pStyle w:val="pheading"/>
      </w:pPr>
      <w:r>
        <w:t>EXÉCUTION / MISE EN ŒUVRE</w:t>
      </w:r>
    </w:p>
    <w:p w14:paraId="1677313A" w14:textId="77777777" w:rsidR="004B2808" w:rsidRDefault="00000000">
      <w:pPr>
        <w:jc w:val="both"/>
      </w:pPr>
      <w:r>
        <w:t>Le dispositif de fixation est protégé par une plaque ou une coque de protection.</w:t>
      </w:r>
    </w:p>
    <w:p w14:paraId="75A83969" w14:textId="77777777" w:rsidR="004B2808" w:rsidRDefault="00000000">
      <w:pPr>
        <w:pStyle w:val="pheading"/>
      </w:pPr>
      <w:r>
        <w:t>DOCUMENTS DE RÉFÉRENCE</w:t>
      </w:r>
    </w:p>
    <w:p w14:paraId="51AF6BF4" w14:textId="77777777" w:rsidR="004B2808" w:rsidRDefault="00000000">
      <w:pPr>
        <w:pStyle w:val="pheading"/>
      </w:pPr>
      <w:r>
        <w:t>- Matériau</w:t>
      </w:r>
    </w:p>
    <w:p w14:paraId="51CD3E64" w14:textId="77777777" w:rsidR="004B2808" w:rsidRDefault="00000000">
      <w:r>
        <w:t>[NBN EN 1154, Quincaillerie pour le bâtiment - Dispositifs de fermeture de porte avec amortissement - Prescriptions et méthodes d'essai]</w:t>
      </w:r>
    </w:p>
    <w:p w14:paraId="49DF587F" w14:textId="77777777" w:rsidR="004B2808" w:rsidRDefault="00000000">
      <w:pPr>
        <w:pStyle w:val="pheading"/>
      </w:pPr>
      <w:r>
        <w:t>AIDE</w:t>
      </w:r>
    </w:p>
    <w:p w14:paraId="1852D5A2" w14:textId="77777777" w:rsidR="004B2808" w:rsidRDefault="00000000">
      <w:pPr>
        <w:jc w:val="both"/>
      </w:pPr>
      <w:r>
        <w:rPr>
          <w:b/>
        </w:rPr>
        <w:t>Accessibilité aux personnes à mobilité réduite (PMR)</w:t>
      </w:r>
    </w:p>
    <w:p w14:paraId="3CDA64FE" w14:textId="77777777" w:rsidR="004B2808" w:rsidRDefault="00000000">
      <w:pPr>
        <w:jc w:val="both"/>
      </w:pPr>
      <w:r>
        <w:t>D’un point de vue force de manipulation, les fermes-portes adaptés aux PMR sont les fermes-portes de Force 1 et 2 du Tableau 1 de la norme [NBN EN 1154]. Cependant, ces deux types de fermes-portes ne conviennent pas en cas d’incendie. Ainsi, lorsque des fermes-portes conformes aux dispositions incendie doivent être installés, à savoir ceux de Force 3 à 7, il est recommandé de les coupler à un système d’ouverture électronique.</w:t>
      </w:r>
    </w:p>
    <w:p w14:paraId="21614682" w14:textId="77777777" w:rsidR="004B2808" w:rsidRDefault="004B2808">
      <w:pPr>
        <w:jc w:val="both"/>
      </w:pPr>
    </w:p>
    <w:p w14:paraId="2BDAA1B9" w14:textId="77777777" w:rsidR="004B2808" w:rsidRDefault="004B2808">
      <w:pPr>
        <w:jc w:val="both"/>
      </w:pPr>
    </w:p>
    <w:p w14:paraId="7D7B0E65" w14:textId="77777777" w:rsidR="004B2808" w:rsidRDefault="00000000">
      <w:pPr>
        <w:jc w:val="both"/>
      </w:pPr>
      <w:r>
        <w:t>Par ailleurs, il est également recommandé que les fermes-portes présentent les caractéristiques suivantes: [NEN 1814] </w:t>
      </w:r>
    </w:p>
    <w:p w14:paraId="74E430E0" w14:textId="77777777" w:rsidR="004B2808" w:rsidRDefault="00000000">
      <w:pPr>
        <w:pStyle w:val="Author-eListParagraph"/>
        <w:numPr>
          <w:ilvl w:val="0"/>
          <w:numId w:val="1208"/>
        </w:numPr>
        <w:jc w:val="both"/>
      </w:pPr>
      <w:r>
        <w:t>Vitesse de fermeture : 4 m/s maximum</w:t>
      </w:r>
    </w:p>
    <w:p w14:paraId="7133E8B3" w14:textId="77777777" w:rsidR="004B2808" w:rsidRDefault="00000000">
      <w:pPr>
        <w:pStyle w:val="Author-eListParagraph"/>
        <w:numPr>
          <w:ilvl w:val="0"/>
          <w:numId w:val="1208"/>
        </w:numPr>
        <w:jc w:val="both"/>
      </w:pPr>
      <w:r>
        <w:t>Temps de passage (angle d’ouverture d’au moins 75 degrés) : 6 secondes minimum </w:t>
      </w:r>
    </w:p>
    <w:p w14:paraId="6F730772" w14:textId="77777777" w:rsidR="004B2808" w:rsidRDefault="00000000">
      <w:pPr>
        <w:pStyle w:val="Author-eSectionHeading6Numberless"/>
      </w:pPr>
      <w:bookmarkStart w:id="1325" w:name="_Toc220491435"/>
      <w:r>
        <w:t>55.62.5a Système de fermeture mécanique CCTB 01.11</w:t>
      </w:r>
      <w:bookmarkEnd w:id="1325"/>
    </w:p>
    <w:p w14:paraId="2AF19A53" w14:textId="77777777" w:rsidR="004B2808" w:rsidRDefault="00000000">
      <w:pPr>
        <w:pStyle w:val="pheading"/>
      </w:pPr>
      <w:r>
        <w:t>DESCRIPTION</w:t>
      </w:r>
    </w:p>
    <w:p w14:paraId="11BA2A03" w14:textId="77777777" w:rsidR="004B2808" w:rsidRDefault="00000000">
      <w:pPr>
        <w:pStyle w:val="pheading"/>
      </w:pPr>
      <w:r>
        <w:t>- Définition / Comprend</w:t>
      </w:r>
    </w:p>
    <w:p w14:paraId="2DEA6FFC" w14:textId="77777777" w:rsidR="004B2808" w:rsidRDefault="00000000">
      <w:pPr>
        <w:jc w:val="both"/>
      </w:pPr>
      <w:r>
        <w:t>Il s’agit de la fourniture (hors matériaux récupérés du même site) et la pose de systèmes de fermeture mécanique .</w:t>
      </w:r>
    </w:p>
    <w:p w14:paraId="15D6E78C" w14:textId="77777777" w:rsidR="004B2808" w:rsidRDefault="00000000">
      <w:pPr>
        <w:jc w:val="both"/>
      </w:pPr>
      <w:r>
        <w:t>Le travail comprend notamment :</w:t>
      </w:r>
    </w:p>
    <w:p w14:paraId="707DA6E5" w14:textId="77777777" w:rsidR="004B2808" w:rsidRDefault="00000000">
      <w:pPr>
        <w:pStyle w:val="Author-eListParagraph"/>
        <w:numPr>
          <w:ilvl w:val="0"/>
          <w:numId w:val="1209"/>
        </w:numPr>
        <w:jc w:val="both"/>
      </w:pPr>
      <w:r>
        <w:t>la fourniture (hors matériaux récupérés du même site)</w:t>
      </w:r>
    </w:p>
    <w:p w14:paraId="1F789282" w14:textId="77777777" w:rsidR="004B2808" w:rsidRDefault="00000000">
      <w:pPr>
        <w:pStyle w:val="Author-eListParagraph"/>
        <w:numPr>
          <w:ilvl w:val="0"/>
          <w:numId w:val="1209"/>
        </w:numPr>
        <w:jc w:val="both"/>
      </w:pPr>
      <w:r>
        <w:t>la préparation de surface, l’adaptation de la porte</w:t>
      </w:r>
    </w:p>
    <w:p w14:paraId="6F994DAE" w14:textId="77777777" w:rsidR="004B2808" w:rsidRDefault="00000000">
      <w:pPr>
        <w:pStyle w:val="Author-eListParagraph"/>
        <w:numPr>
          <w:ilvl w:val="0"/>
          <w:numId w:val="1209"/>
        </w:numPr>
        <w:jc w:val="both"/>
      </w:pPr>
      <w:r>
        <w:t>la pose et le réglage</w:t>
      </w:r>
    </w:p>
    <w:p w14:paraId="6745FED9" w14:textId="77777777" w:rsidR="004B2808" w:rsidRDefault="00000000">
      <w:pPr>
        <w:pStyle w:val="Author-eListParagraph"/>
        <w:numPr>
          <w:ilvl w:val="0"/>
          <w:numId w:val="1209"/>
        </w:numPr>
        <w:jc w:val="both"/>
      </w:pPr>
      <w:r>
        <w:t>le nettoyage de la surface</w:t>
      </w:r>
    </w:p>
    <w:p w14:paraId="034EC7BE" w14:textId="77777777" w:rsidR="004B2808" w:rsidRDefault="00000000">
      <w:pPr>
        <w:pStyle w:val="pheading"/>
      </w:pPr>
      <w:r>
        <w:t>MATÉRIAUX</w:t>
      </w:r>
    </w:p>
    <w:p w14:paraId="00516FA3" w14:textId="77777777" w:rsidR="004B2808" w:rsidRDefault="00000000">
      <w:pPr>
        <w:pStyle w:val="pheading"/>
      </w:pPr>
      <w:r>
        <w:t>- Caractéristiques générales</w:t>
      </w:r>
    </w:p>
    <w:p w14:paraId="4F3468C1" w14:textId="77777777" w:rsidR="004B2808" w:rsidRDefault="00000000">
      <w:pPr>
        <w:jc w:val="both"/>
      </w:pPr>
      <w:r>
        <w:t>Sur les portes extérieures et/ou des sas, les ferme-portes sont équipés d'un amortisseur hydraulique afin qu'elle ne puisse s'ouvrir brusquement, par le vent.</w:t>
      </w:r>
    </w:p>
    <w:p w14:paraId="28A388DA" w14:textId="77777777" w:rsidR="004B2808" w:rsidRDefault="00000000">
      <w:pPr>
        <w:jc w:val="both"/>
      </w:pPr>
      <w:r>
        <w:t>Les ferme-portes destinés aux doubles portes sont équipés d'un dispositif permettant l'ouverture successive grâce à un sélecteur de porte universel à amortisseur télescopique appliqué.</w:t>
      </w:r>
    </w:p>
    <w:p w14:paraId="24C5ED7C" w14:textId="77777777" w:rsidR="004B2808" w:rsidRDefault="00000000">
      <w:pPr>
        <w:jc w:val="both"/>
      </w:pPr>
      <w:r>
        <w:t>Le ferme-porte est équipé d'un bras permettant de fixer l'ouverture dans n'importe quel angle.</w:t>
      </w:r>
    </w:p>
    <w:p w14:paraId="5834832A" w14:textId="77777777" w:rsidR="004B2808" w:rsidRDefault="00000000">
      <w:pPr>
        <w:jc w:val="both"/>
      </w:pPr>
      <w:r>
        <w:lastRenderedPageBreak/>
        <w:t>Au préalable, l'entrepreneur soumet une documentation technique à l'approbation de l'auteur de projet.</w:t>
      </w:r>
    </w:p>
    <w:p w14:paraId="7198C948" w14:textId="77777777" w:rsidR="004B2808" w:rsidRDefault="00000000">
      <w:pPr>
        <w:jc w:val="both"/>
      </w:pPr>
      <w:r>
        <w:t xml:space="preserve">Les systèmes de fermeture fonctionnent en </w:t>
      </w:r>
      <w:r>
        <w:rPr>
          <w:rStyle w:val="optioncarChar"/>
        </w:rPr>
        <w:t xml:space="preserve">bras articulés </w:t>
      </w:r>
      <w:r>
        <w:t>(par défaut)</w:t>
      </w:r>
      <w:r>
        <w:rPr>
          <w:rStyle w:val="optioncarChar"/>
        </w:rPr>
        <w:t xml:space="preserve"> / bras coulissant.</w:t>
      </w:r>
    </w:p>
    <w:p w14:paraId="0D6EC5FF" w14:textId="77777777" w:rsidR="004B2808" w:rsidRDefault="00000000">
      <w:pPr>
        <w:ind w:left="567"/>
        <w:jc w:val="both"/>
      </w:pPr>
      <w:r>
        <w:rPr>
          <w:b/>
          <w:i/>
        </w:rPr>
        <w:t>(Soit par défaut)</w:t>
      </w:r>
    </w:p>
    <w:p w14:paraId="6DAE7E68" w14:textId="77777777" w:rsidR="004B2808" w:rsidRDefault="00000000">
      <w:pPr>
        <w:ind w:left="567"/>
        <w:jc w:val="both"/>
      </w:pPr>
      <w:r>
        <w:rPr>
          <w:rStyle w:val="soitChar"/>
          <w:u w:val="single"/>
        </w:rPr>
        <w:t>Ferme-porte à bras articulé :</w:t>
      </w:r>
      <w:r>
        <w:rPr>
          <w:rStyle w:val="soitChar"/>
        </w:rPr>
        <w:t xml:space="preserve"> le ferme-porte à bras articulé est de forme parallélépipédique et fabriqué en alliage d'aluminium d'une résistance très élevée à la corrosion ou en fonte recouverte d'un caisson en aluminium. Le ferme-porte est du type à amortisseur hydraulique à crémaillère.</w:t>
      </w:r>
    </w:p>
    <w:p w14:paraId="5A345384" w14:textId="77777777" w:rsidR="004B2808" w:rsidRDefault="00000000">
      <w:pPr>
        <w:ind w:left="567"/>
        <w:jc w:val="both"/>
      </w:pPr>
      <w:r>
        <w:rPr>
          <w:b/>
          <w:i/>
        </w:rPr>
        <w:t>(Soit)</w:t>
      </w:r>
    </w:p>
    <w:p w14:paraId="2474D2FC" w14:textId="77777777" w:rsidR="004B2808" w:rsidRDefault="00000000">
      <w:pPr>
        <w:ind w:left="567"/>
        <w:jc w:val="both"/>
      </w:pPr>
      <w:r>
        <w:rPr>
          <w:rStyle w:val="soitChar"/>
          <w:u w:val="single"/>
        </w:rPr>
        <w:t>Ferme-porte à bras coulissant :</w:t>
      </w:r>
      <w:r>
        <w:rPr>
          <w:rStyle w:val="soitChar"/>
        </w:rPr>
        <w:t xml:space="preserve"> le ferme-porte à bras coulissant est de forme parallélépipédique et fabriqué en alliage d'aluminium d'une résistance très élevée à la corrosion ou en fonte recouverte d'un caisson en aluminium. Le ferme-porte est du type à amortisseur hydraulique à bras coulissant et multifonctionnel.</w:t>
      </w:r>
    </w:p>
    <w:p w14:paraId="30CED3D5" w14:textId="77777777" w:rsidR="004B2808" w:rsidRDefault="00000000">
      <w:pPr>
        <w:jc w:val="both"/>
      </w:pPr>
      <w:r>
        <w:t> </w:t>
      </w:r>
    </w:p>
    <w:p w14:paraId="09A15465" w14:textId="77777777" w:rsidR="004B2808" w:rsidRDefault="00000000">
      <w:pPr>
        <w:jc w:val="both"/>
      </w:pPr>
      <w:r>
        <w:t>La fin de course est réglable en fonction de la largeur de la porte, de façon telle que la force de fermeture puisse être augmentée ou diminuée de </w:t>
      </w:r>
      <w:r>
        <w:rPr>
          <w:rStyle w:val="optioncarChar"/>
        </w:rPr>
        <w:t xml:space="preserve">10 </w:t>
      </w:r>
      <w:r>
        <w:t>(par défaut)</w:t>
      </w:r>
      <w:r>
        <w:rPr>
          <w:rStyle w:val="optioncarChar"/>
        </w:rPr>
        <w:t xml:space="preserve"> / ***</w:t>
      </w:r>
      <w:r>
        <w:t> %.</w:t>
      </w:r>
    </w:p>
    <w:p w14:paraId="0D2F5B25" w14:textId="77777777" w:rsidR="004B2808" w:rsidRDefault="00000000">
      <w:pPr>
        <w:jc w:val="both"/>
      </w:pPr>
      <w:r>
        <w:t xml:space="preserve">La vitesse de fermeture est indépendante des variations de température. Le ferme-porte est équipé d'un </w:t>
      </w:r>
      <w:r>
        <w:rPr>
          <w:rStyle w:val="optioncarChar"/>
        </w:rPr>
        <w:t xml:space="preserve">retardateur de fermeture ordinaire </w:t>
      </w:r>
      <w:r>
        <w:t xml:space="preserve">(par défaut) </w:t>
      </w:r>
      <w:r>
        <w:rPr>
          <w:rStyle w:val="optioncarChar"/>
        </w:rPr>
        <w:t>/ retardateur de fermeture réglable / ***</w:t>
      </w:r>
      <w:r>
        <w:t>.</w:t>
      </w:r>
    </w:p>
    <w:p w14:paraId="6CC8539C" w14:textId="77777777" w:rsidR="004B2808" w:rsidRDefault="00000000">
      <w:pPr>
        <w:jc w:val="both"/>
      </w:pPr>
      <w:r>
        <w:t xml:space="preserve">Les systèmes de fermeture sont  principalement constitués en </w:t>
      </w:r>
      <w:r>
        <w:rPr>
          <w:rStyle w:val="optioncarChar"/>
        </w:rPr>
        <w:t xml:space="preserve">aluminium </w:t>
      </w:r>
      <w:r>
        <w:t>(par défaut)</w:t>
      </w:r>
      <w:r>
        <w:rPr>
          <w:rStyle w:val="optioncarChar"/>
        </w:rPr>
        <w:t xml:space="preserve"> / acier inoxydable / acier bichromaté / nylon / ***.</w:t>
      </w:r>
    </w:p>
    <w:p w14:paraId="5C3C7836" w14:textId="77777777" w:rsidR="004B2808" w:rsidRDefault="00000000">
      <w:pPr>
        <w:jc w:val="both"/>
      </w:pPr>
      <w:r>
        <w:t>L'acier chromaté (simple) n'est en aucun cas autorisé.</w:t>
      </w:r>
    </w:p>
    <w:p w14:paraId="16DCA93B" w14:textId="77777777" w:rsidR="004B2808" w:rsidRDefault="00000000">
      <w:pPr>
        <w:jc w:val="both"/>
      </w:pPr>
      <w:r>
        <w:t>Les dispositifs de fixation et de manœuvre sont déterminés par le fabricant et adaptés aux dimensions et poids des portes.</w:t>
      </w:r>
    </w:p>
    <w:p w14:paraId="2A54E858" w14:textId="77777777" w:rsidR="004B2808" w:rsidRDefault="00000000">
      <w:pPr>
        <w:pStyle w:val="Author-eListParagraph"/>
        <w:numPr>
          <w:ilvl w:val="0"/>
          <w:numId w:val="1210"/>
        </w:numPr>
      </w:pPr>
      <w:r>
        <w:t>Vitesse de fermeture : </w:t>
      </w:r>
      <w:r>
        <w:rPr>
          <w:rStyle w:val="optioncarChar"/>
        </w:rPr>
        <w:t>au plus 4</w:t>
      </w:r>
      <w:r>
        <w:t xml:space="preserve"> (PMR) (par défaut) </w:t>
      </w:r>
      <w:r>
        <w:rPr>
          <w:rStyle w:val="optioncarChar"/>
        </w:rPr>
        <w:t>/ ***</w:t>
      </w:r>
      <w:r>
        <w:t> m/s</w:t>
      </w:r>
    </w:p>
    <w:p w14:paraId="16623C62" w14:textId="77777777" w:rsidR="004B2808" w:rsidRDefault="00000000">
      <w:pPr>
        <w:pStyle w:val="Author-eListParagraph"/>
        <w:numPr>
          <w:ilvl w:val="0"/>
          <w:numId w:val="1210"/>
        </w:numPr>
      </w:pPr>
      <w:r>
        <w:t>Temps de passage (angle d’ouverture de 75 degrés minimum) :</w:t>
      </w:r>
      <w:r>
        <w:rPr>
          <w:rStyle w:val="optioncarChar"/>
        </w:rPr>
        <w:t> au moins 6</w:t>
      </w:r>
      <w:r>
        <w:t xml:space="preserve"> (PMR) (par défaut) </w:t>
      </w:r>
      <w:r>
        <w:rPr>
          <w:rStyle w:val="optioncarChar"/>
        </w:rPr>
        <w:t>/ ***</w:t>
      </w:r>
      <w:r>
        <w:t> secondes  </w:t>
      </w:r>
      <w:r>
        <w:br/>
      </w:r>
    </w:p>
    <w:p w14:paraId="51B328DC" w14:textId="77777777" w:rsidR="004B2808" w:rsidRDefault="00000000">
      <w:pPr>
        <w:jc w:val="both"/>
      </w:pPr>
      <w:r>
        <w:t xml:space="preserve">Les systèmes de fermeture sont </w:t>
      </w:r>
      <w:r>
        <w:rPr>
          <w:rStyle w:val="optioncarChar"/>
        </w:rPr>
        <w:t xml:space="preserve">neufs </w:t>
      </w:r>
      <w:r>
        <w:t>(par défaut)</w:t>
      </w:r>
      <w:r>
        <w:rPr>
          <w:rStyle w:val="optioncarChar"/>
        </w:rPr>
        <w:t xml:space="preserve"> / de réemploi.</w:t>
      </w:r>
    </w:p>
    <w:p w14:paraId="61334EAB" w14:textId="77777777" w:rsidR="004B2808" w:rsidRDefault="00000000">
      <w:pPr>
        <w:ind w:left="567"/>
        <w:jc w:val="both"/>
      </w:pPr>
      <w:r>
        <w:rPr>
          <w:b/>
          <w:i/>
        </w:rPr>
        <w:t>(Soit par défaut)</w:t>
      </w:r>
    </w:p>
    <w:p w14:paraId="085DF2A8" w14:textId="77777777" w:rsidR="004B2808" w:rsidRDefault="00000000">
      <w:pPr>
        <w:ind w:left="567"/>
        <w:jc w:val="both"/>
      </w:pPr>
      <w:r>
        <w:rPr>
          <w:rStyle w:val="soitChar"/>
          <w:u w:val="single"/>
        </w:rPr>
        <w:t>Neufs :</w:t>
      </w:r>
      <w:r>
        <w:rPr>
          <w:rStyle w:val="soitChar"/>
        </w:rPr>
        <w:t xml:space="preserve"> Les systèmes de fermeture sont conformes à la norme [NBN EN 1154].</w:t>
      </w:r>
      <w:r>
        <w:t xml:space="preserve">    </w:t>
      </w:r>
    </w:p>
    <w:p w14:paraId="1732C62A" w14:textId="77777777" w:rsidR="004B2808" w:rsidRDefault="00000000">
      <w:pPr>
        <w:ind w:left="567"/>
        <w:jc w:val="both"/>
      </w:pPr>
      <w:r>
        <w:rPr>
          <w:b/>
          <w:i/>
        </w:rPr>
        <w:t>(Soit)</w:t>
      </w:r>
    </w:p>
    <w:p w14:paraId="11E8F667" w14:textId="77777777" w:rsidR="004B2808" w:rsidRDefault="00000000">
      <w:pPr>
        <w:ind w:left="567"/>
        <w:jc w:val="both"/>
      </w:pPr>
      <w:r>
        <w:rPr>
          <w:rStyle w:val="soitChar"/>
          <w:u w:val="single"/>
        </w:rPr>
        <w:t>Réemploi :</w:t>
      </w:r>
      <w:r>
        <w:rPr>
          <w:rStyle w:val="soitChar"/>
        </w:rPr>
        <w:t xml:space="preserve"> il s’agit de systèmes de fermeture de réemploi comme alternative aux éléments neufs.</w:t>
      </w:r>
    </w:p>
    <w:p w14:paraId="31418949" w14:textId="77777777" w:rsidR="004B2808" w:rsidRDefault="00000000">
      <w:pPr>
        <w:ind w:left="567"/>
        <w:jc w:val="both"/>
      </w:pPr>
      <w:r>
        <w:rPr>
          <w:rStyle w:val="soitChar"/>
        </w:rPr>
        <w:t>Les références, fiches et déclarations d’aptitude à l’utilisation décrite au chapitre 02.42.1 Critères d'acceptabilité déposés dans le cadre du chantier initial sont soumis à l’analyse du maitre d’ouvrage avant validation.</w:t>
      </w:r>
    </w:p>
    <w:p w14:paraId="3A3C9461" w14:textId="77777777" w:rsidR="004B2808" w:rsidRDefault="00000000">
      <w:pPr>
        <w:ind w:left="567"/>
        <w:jc w:val="both"/>
      </w:pPr>
      <w:r>
        <w:rPr>
          <w:rStyle w:val="soitChar"/>
        </w:rPr>
        <w:t>Les systèmes de fermeture de réemploi sont nettoyés et graissés avant mise en œuvre.</w:t>
      </w:r>
    </w:p>
    <w:p w14:paraId="4115256E" w14:textId="77777777" w:rsidR="004B2808" w:rsidRDefault="00000000">
      <w:pPr>
        <w:jc w:val="both"/>
      </w:pPr>
      <w:r>
        <w:t> </w:t>
      </w:r>
    </w:p>
    <w:p w14:paraId="6349BEC8" w14:textId="77777777" w:rsidR="004B2808" w:rsidRDefault="00000000">
      <w:pPr>
        <w:jc w:val="both"/>
      </w:pPr>
      <w:r>
        <w:t xml:space="preserve">Pour les systèmes de fermeture de réemploi, il s’agit </w:t>
      </w:r>
      <w:r>
        <w:rPr>
          <w:rStyle w:val="optioncarChar"/>
        </w:rPr>
        <w:t xml:space="preserve">de la fourniture et de la pose </w:t>
      </w:r>
      <w:r>
        <w:t>(par défaut)</w:t>
      </w:r>
      <w:r>
        <w:rPr>
          <w:rStyle w:val="optioncarChar"/>
        </w:rPr>
        <w:t xml:space="preserve"> / uniquement de la pose.</w:t>
      </w:r>
      <w:r>
        <w:t xml:space="preserve">  </w:t>
      </w:r>
    </w:p>
    <w:p w14:paraId="1F28E5FC" w14:textId="77777777" w:rsidR="004B2808" w:rsidRDefault="00000000">
      <w:pPr>
        <w:ind w:left="567"/>
        <w:jc w:val="both"/>
      </w:pPr>
      <w:r>
        <w:rPr>
          <w:b/>
          <w:i/>
        </w:rPr>
        <w:t>(Soit par défaut)</w:t>
      </w:r>
    </w:p>
    <w:p w14:paraId="7F0BBA87" w14:textId="77777777" w:rsidR="004B2808" w:rsidRDefault="00000000">
      <w:pPr>
        <w:ind w:left="567"/>
        <w:jc w:val="both"/>
      </w:pPr>
      <w:r>
        <w:rPr>
          <w:rStyle w:val="soitChar"/>
          <w:u w:val="single"/>
        </w:rPr>
        <w:t>Fourniture et pose :</w:t>
      </w:r>
      <w:r>
        <w:rPr>
          <w:rStyle w:val="soitChar"/>
        </w:rPr>
        <w:t xml:space="preserve"> Les systèmes de fermeture sont fournis par l’entreprise.</w:t>
      </w:r>
    </w:p>
    <w:p w14:paraId="7FFFBFE8" w14:textId="77777777" w:rsidR="004B2808" w:rsidRDefault="00000000">
      <w:pPr>
        <w:ind w:left="567"/>
        <w:jc w:val="both"/>
      </w:pPr>
      <w:r>
        <w:rPr>
          <w:b/>
          <w:i/>
        </w:rPr>
        <w:t>(Soit)</w:t>
      </w:r>
    </w:p>
    <w:p w14:paraId="117212A8" w14:textId="77777777" w:rsidR="004B2808" w:rsidRDefault="00000000">
      <w:pPr>
        <w:ind w:left="567"/>
        <w:jc w:val="both"/>
      </w:pPr>
      <w:r>
        <w:rPr>
          <w:rStyle w:val="soitChar"/>
          <w:u w:val="single"/>
        </w:rPr>
        <w:t>Pose :</w:t>
      </w:r>
      <w:r>
        <w:rPr>
          <w:rStyle w:val="soitChar"/>
        </w:rPr>
        <w:t xml:space="preserve"> Les systèmes de fermeture sont fournis par le Maitre d’ouvrage. Dans le cas d’un démontage sur chantier pour réutilisation du matériau, se référer aux éléments du 06.44.4 </w:t>
      </w:r>
      <w:r>
        <w:rPr>
          <w:rStyle w:val="soitChar"/>
        </w:rPr>
        <w:lastRenderedPageBreak/>
        <w:t>Démontages de menuiseries et vitrages intérieurs, 06.44.4b Démontages des portes et huisseries intérieures, 06.54.4 Démontages de menuiseries et vitrages intérieurs, 06.54.4b Démontages des portes et huisseries intérieures.</w:t>
      </w:r>
    </w:p>
    <w:p w14:paraId="604275BF" w14:textId="77777777" w:rsidR="004B2808" w:rsidRDefault="00000000">
      <w:pPr>
        <w:pStyle w:val="pheading"/>
      </w:pPr>
      <w:r>
        <w:t>- Finitions</w:t>
      </w:r>
    </w:p>
    <w:p w14:paraId="70ABFB7F" w14:textId="77777777" w:rsidR="004B2808" w:rsidRDefault="00000000">
      <w:r>
        <w:t xml:space="preserve">La finition est </w:t>
      </w:r>
      <w:r>
        <w:rPr>
          <w:rStyle w:val="optioncarChar"/>
        </w:rPr>
        <w:t xml:space="preserve">anodisée </w:t>
      </w:r>
      <w:r>
        <w:t xml:space="preserve">(par défaut) </w:t>
      </w:r>
      <w:r>
        <w:rPr>
          <w:rStyle w:val="optioncarChar"/>
        </w:rPr>
        <w:t>/ aluminium brossé / laqué RAL n° ***  / ***.</w:t>
      </w:r>
    </w:p>
    <w:p w14:paraId="10DC328C" w14:textId="77777777" w:rsidR="004B2808" w:rsidRDefault="00000000">
      <w:pPr>
        <w:pStyle w:val="pheading"/>
      </w:pPr>
      <w:r>
        <w:t>- Prescriptions complémentaires</w:t>
      </w:r>
    </w:p>
    <w:p w14:paraId="6A8BDEA0" w14:textId="77777777" w:rsidR="004B2808" w:rsidRDefault="00000000">
      <w:pPr>
        <w:jc w:val="both"/>
      </w:pPr>
      <w:r>
        <w:rPr>
          <w:rStyle w:val="facultChar"/>
        </w:rPr>
        <w:t>Le ferme-porte sur une porte et/ou de sas est  équipé d'un amortisseur hydraulique afin que la porte ne s'ouvre pas trop brusquement;</w:t>
      </w:r>
    </w:p>
    <w:p w14:paraId="12E8A20E" w14:textId="77777777" w:rsidR="004B2808" w:rsidRDefault="00000000">
      <w:pPr>
        <w:jc w:val="both"/>
      </w:pPr>
      <w:r>
        <w:rPr>
          <w:rStyle w:val="facultChar"/>
        </w:rPr>
        <w:t>Les ferme-porte pour les doubles portes sont équipés d'un régulateur de fermeture avec sélecteur de porte universel avec amortisseur télescopique à ressort.</w:t>
      </w:r>
    </w:p>
    <w:p w14:paraId="019DA538" w14:textId="77777777" w:rsidR="004B2808" w:rsidRDefault="00000000">
      <w:pPr>
        <w:jc w:val="both"/>
      </w:pPr>
      <w:r>
        <w:rPr>
          <w:rStyle w:val="facultChar"/>
        </w:rPr>
        <w:t>Le ferme-porte est équipé d'un bras d'immobilisation réglable pour tout angle d'ouverture.</w:t>
      </w:r>
    </w:p>
    <w:p w14:paraId="17D7F651" w14:textId="77777777" w:rsidR="004B2808" w:rsidRDefault="00000000">
      <w:pPr>
        <w:jc w:val="both"/>
      </w:pPr>
      <w:r>
        <w:rPr>
          <w:rStyle w:val="facultChar"/>
        </w:rPr>
        <w:t>L'entrepreneur soumet préalablement la documentation technique pour approbation à l'auteur de projet.</w:t>
      </w:r>
    </w:p>
    <w:p w14:paraId="531131E8" w14:textId="77777777" w:rsidR="004B2808" w:rsidRDefault="00000000">
      <w:pPr>
        <w:pStyle w:val="pheading"/>
      </w:pPr>
      <w:r>
        <w:t>EXÉCUTION / MISE EN ŒUVRE</w:t>
      </w:r>
    </w:p>
    <w:p w14:paraId="55B46443" w14:textId="77777777" w:rsidR="004B2808" w:rsidRDefault="00000000">
      <w:pPr>
        <w:pStyle w:val="pheading"/>
      </w:pPr>
      <w:r>
        <w:t>- Notes d’exécution complémentaires</w:t>
      </w:r>
    </w:p>
    <w:p w14:paraId="047751BC" w14:textId="77777777" w:rsidR="004B2808" w:rsidRDefault="00000000">
      <w:pPr>
        <w:jc w:val="both"/>
      </w:pPr>
      <w:r>
        <w:rPr>
          <w:rStyle w:val="facultChar"/>
        </w:rPr>
        <w:t>Pour la fixation du ferme-porte sur une porte extérieure où le montage direct est impossible ou non souhaitable, on utilise une plaque de montage spéciale ou une console.</w:t>
      </w:r>
    </w:p>
    <w:p w14:paraId="70874248" w14:textId="77777777" w:rsidR="004B2808" w:rsidRDefault="00000000">
      <w:pPr>
        <w:pStyle w:val="pheading"/>
      </w:pPr>
      <w:r>
        <w:t>DOCUMENTS DE RÉFÉRENCE COMPLÉMENTAIRES</w:t>
      </w:r>
    </w:p>
    <w:p w14:paraId="1006ABB6" w14:textId="77777777" w:rsidR="004B2808" w:rsidRDefault="00000000">
      <w:pPr>
        <w:pStyle w:val="pheading"/>
      </w:pPr>
      <w:r>
        <w:t>- Matériau</w:t>
      </w:r>
    </w:p>
    <w:p w14:paraId="6AF619CA" w14:textId="77777777" w:rsidR="004B2808" w:rsidRDefault="00000000">
      <w:r>
        <w:t>[NBN EN 1154, Quincaillerie pour le bâtiment - Dispositifs de fermeture de porte avec amortissement - Prescriptions et méthodes d'essai]  </w:t>
      </w:r>
    </w:p>
    <w:p w14:paraId="7E484ED1" w14:textId="77777777" w:rsidR="004B2808" w:rsidRDefault="00000000">
      <w:pPr>
        <w:pStyle w:val="pheading"/>
      </w:pPr>
      <w:r>
        <w:t>MESURAGE</w:t>
      </w:r>
    </w:p>
    <w:p w14:paraId="3704B29E" w14:textId="77777777" w:rsidR="004B2808" w:rsidRDefault="00000000">
      <w:pPr>
        <w:pStyle w:val="pheading"/>
      </w:pPr>
      <w:r>
        <w:t>- unité de mesure:</w:t>
      </w:r>
    </w:p>
    <w:p w14:paraId="4A4539A1" w14:textId="77777777" w:rsidR="004B2808" w:rsidRDefault="00000000">
      <w:r>
        <w:rPr>
          <w:rStyle w:val="optioncarChar"/>
        </w:rPr>
        <w:t xml:space="preserve">- </w:t>
      </w:r>
      <w:r>
        <w:t>(par défaut)</w:t>
      </w:r>
      <w:r>
        <w:rPr>
          <w:rStyle w:val="optioncarChar"/>
        </w:rPr>
        <w:t xml:space="preserve"> / pc</w:t>
      </w:r>
    </w:p>
    <w:p w14:paraId="5CC0B459" w14:textId="77777777" w:rsidR="004B2808" w:rsidRDefault="00000000">
      <w:r>
        <w:rPr>
          <w:b/>
          <w:i/>
        </w:rPr>
        <w:t>(Soit par défaut)</w:t>
      </w:r>
    </w:p>
    <w:p w14:paraId="67D39285" w14:textId="77777777" w:rsidR="004B2808" w:rsidRDefault="00000000">
      <w:r>
        <w:rPr>
          <w:rStyle w:val="soitChar"/>
        </w:rPr>
        <w:t>1. -</w:t>
      </w:r>
    </w:p>
    <w:p w14:paraId="3AA8F081" w14:textId="77777777" w:rsidR="004B2808" w:rsidRDefault="00000000">
      <w:r>
        <w:rPr>
          <w:b/>
          <w:i/>
        </w:rPr>
        <w:t>(Soit)</w:t>
      </w:r>
    </w:p>
    <w:p w14:paraId="7E1F45D3" w14:textId="77777777" w:rsidR="004B2808" w:rsidRDefault="00000000">
      <w:r>
        <w:rPr>
          <w:rStyle w:val="soitChar"/>
        </w:rPr>
        <w:t>2. 3. pc</w:t>
      </w:r>
    </w:p>
    <w:p w14:paraId="10C69C00" w14:textId="77777777" w:rsidR="004B2808" w:rsidRDefault="00000000">
      <w:pPr>
        <w:pStyle w:val="pheading"/>
      </w:pPr>
      <w:r>
        <w:t>- code de mesurage:</w:t>
      </w:r>
    </w:p>
    <w:p w14:paraId="2E5B78A7" w14:textId="77777777" w:rsidR="004B2808" w:rsidRDefault="00000000">
      <w:pPr>
        <w:jc w:val="both"/>
      </w:pPr>
      <w:r>
        <w:t>Sauf indications spécifique contraire dans le cahier spécial des charges et./ou le métré récapitulatif, le prix de toute la quincaillerie sera compris dans le prix unitaire de la menuiserie extérieure (profilés).</w:t>
      </w:r>
    </w:p>
    <w:p w14:paraId="0630718B" w14:textId="77777777" w:rsidR="004B2808" w:rsidRDefault="00000000">
      <w:pPr>
        <w:jc w:val="both"/>
      </w:pPr>
      <w:r>
        <w:t>Exceptionnellement et moyennant mention expresse dans le cahier spécial des charges et le métré récapitulatif, la quincaillerie spéciale peut être reprise comme poste séparé (par ex. ferme-porte / barre anti-panique / serrures électriques / ...).</w:t>
      </w:r>
    </w:p>
    <w:p w14:paraId="0B8090EE" w14:textId="77777777" w:rsidR="004B2808" w:rsidRDefault="00000000">
      <w:pPr>
        <w:jc w:val="both"/>
      </w:pPr>
      <w:r>
        <w:t>Distinction faite entre systèmes neufs et de réemploi, avec ou sans fourniture pour ces derniers.</w:t>
      </w:r>
    </w:p>
    <w:p w14:paraId="5E44AD1C" w14:textId="77777777" w:rsidR="004B2808" w:rsidRDefault="00000000">
      <w:pPr>
        <w:jc w:val="both"/>
      </w:pPr>
      <w:r>
        <w:rPr>
          <w:rStyle w:val="optioncarChar"/>
        </w:rPr>
        <w:t>Compris </w:t>
      </w:r>
      <w:r>
        <w:t>(par défaut)</w:t>
      </w:r>
      <w:r>
        <w:rPr>
          <w:rStyle w:val="optioncarChar"/>
        </w:rPr>
        <w:t> / Quantité nette</w:t>
      </w:r>
    </w:p>
    <w:p w14:paraId="0BB20349" w14:textId="77777777" w:rsidR="004B2808" w:rsidRDefault="00000000">
      <w:pPr>
        <w:jc w:val="both"/>
      </w:pPr>
      <w:r>
        <w:rPr>
          <w:b/>
          <w:i/>
        </w:rPr>
        <w:t>(Soit par défaut)</w:t>
      </w:r>
    </w:p>
    <w:p w14:paraId="4734C184" w14:textId="77777777" w:rsidR="004B2808" w:rsidRDefault="00000000">
      <w:pPr>
        <w:jc w:val="both"/>
      </w:pPr>
      <w:r>
        <w:rPr>
          <w:rStyle w:val="soitChar"/>
        </w:rPr>
        <w:t xml:space="preserve">1. </w:t>
      </w:r>
      <w:r>
        <w:rPr>
          <w:rStyle w:val="soitChar"/>
          <w:u w:val="single"/>
        </w:rPr>
        <w:t>Compris</w:t>
      </w:r>
      <w:r>
        <w:rPr>
          <w:rStyle w:val="soitChar"/>
        </w:rPr>
        <w:t> dans le prix des portes concernées dans l’/les article(s) </w:t>
      </w:r>
      <w:r>
        <w:rPr>
          <w:rStyle w:val="optioncarChar"/>
        </w:rPr>
        <w:t>***</w:t>
      </w:r>
      <w:r>
        <w:rPr>
          <w:rStyle w:val="soitChar"/>
        </w:rPr>
        <w:t>, y compris les accessoires, tringlerie, fixations, et caches.</w:t>
      </w:r>
    </w:p>
    <w:p w14:paraId="4DF0AF0F" w14:textId="77777777" w:rsidR="004B2808" w:rsidRDefault="00000000">
      <w:pPr>
        <w:jc w:val="both"/>
      </w:pPr>
      <w:r>
        <w:rPr>
          <w:b/>
          <w:i/>
        </w:rPr>
        <w:t>(Soit)</w:t>
      </w:r>
    </w:p>
    <w:p w14:paraId="25789E94" w14:textId="77777777" w:rsidR="004B2808" w:rsidRDefault="00000000">
      <w:pPr>
        <w:jc w:val="both"/>
      </w:pPr>
      <w:r>
        <w:rPr>
          <w:rStyle w:val="soitChar"/>
        </w:rPr>
        <w:t>2. 3.  </w:t>
      </w:r>
      <w:r>
        <w:rPr>
          <w:rStyle w:val="soitChar"/>
          <w:u w:val="single"/>
        </w:rPr>
        <w:t>Quantité nette</w:t>
      </w:r>
      <w:r>
        <w:rPr>
          <w:rStyle w:val="soitChar"/>
        </w:rPr>
        <w:t> y compris les accessoires, tringlerie, fixations, et caches.</w:t>
      </w:r>
    </w:p>
    <w:p w14:paraId="1F685C39" w14:textId="77777777" w:rsidR="004B2808" w:rsidRDefault="00000000">
      <w:pPr>
        <w:pStyle w:val="pheading"/>
      </w:pPr>
      <w:r>
        <w:t>- nature du marché:</w:t>
      </w:r>
    </w:p>
    <w:p w14:paraId="01A6C2FD" w14:textId="77777777" w:rsidR="004B2808" w:rsidRDefault="00000000">
      <w:r>
        <w:rPr>
          <w:rStyle w:val="optioncarChar"/>
        </w:rPr>
        <w:lastRenderedPageBreak/>
        <w:t xml:space="preserve">PM </w:t>
      </w:r>
      <w:r>
        <w:t>(par défaut) /</w:t>
      </w:r>
      <w:r>
        <w:rPr>
          <w:rStyle w:val="optioncarChar"/>
        </w:rPr>
        <w:t xml:space="preserve"> QF / QP</w:t>
      </w:r>
    </w:p>
    <w:p w14:paraId="759313F0" w14:textId="77777777" w:rsidR="004B2808" w:rsidRDefault="00000000">
      <w:r>
        <w:rPr>
          <w:b/>
          <w:i/>
        </w:rPr>
        <w:t>(Soit par défaut)</w:t>
      </w:r>
    </w:p>
    <w:p w14:paraId="2670C897" w14:textId="77777777" w:rsidR="004B2808" w:rsidRDefault="00000000">
      <w:r>
        <w:rPr>
          <w:rStyle w:val="soitChar"/>
        </w:rPr>
        <w:t>1. PM</w:t>
      </w:r>
    </w:p>
    <w:p w14:paraId="4FCC052C" w14:textId="77777777" w:rsidR="004B2808" w:rsidRDefault="00000000">
      <w:r>
        <w:rPr>
          <w:b/>
          <w:i/>
        </w:rPr>
        <w:t>(Soit)</w:t>
      </w:r>
    </w:p>
    <w:p w14:paraId="60EF4B4A" w14:textId="77777777" w:rsidR="004B2808" w:rsidRDefault="00000000">
      <w:r>
        <w:rPr>
          <w:rStyle w:val="soitChar"/>
        </w:rPr>
        <w:t>2. QF </w:t>
      </w:r>
    </w:p>
    <w:p w14:paraId="57283BB6" w14:textId="77777777" w:rsidR="004B2808" w:rsidRDefault="00000000">
      <w:r>
        <w:rPr>
          <w:b/>
          <w:i/>
        </w:rPr>
        <w:t>(Soit)</w:t>
      </w:r>
    </w:p>
    <w:p w14:paraId="3D878930" w14:textId="77777777" w:rsidR="004B2808" w:rsidRDefault="00000000">
      <w:r>
        <w:rPr>
          <w:rStyle w:val="soitChar"/>
        </w:rPr>
        <w:t>3. QP</w:t>
      </w:r>
    </w:p>
    <w:p w14:paraId="13A6C8A3" w14:textId="77777777" w:rsidR="004B2808" w:rsidRDefault="00000000">
      <w:pPr>
        <w:pStyle w:val="Author-eSectionHeading6Numberless"/>
      </w:pPr>
      <w:bookmarkStart w:id="1326" w:name="_Toc220491436"/>
      <w:r>
        <w:t>55.62.5b Système de fermeture mécanique assistée (détecteur de fumée) CCTB 01.10</w:t>
      </w:r>
      <w:bookmarkEnd w:id="1326"/>
    </w:p>
    <w:p w14:paraId="006BD2A9" w14:textId="77777777" w:rsidR="004B2808" w:rsidRDefault="00000000">
      <w:pPr>
        <w:pStyle w:val="pheading"/>
      </w:pPr>
      <w:r>
        <w:t>MATÉRIAUX</w:t>
      </w:r>
    </w:p>
    <w:p w14:paraId="437D4EC6" w14:textId="77777777" w:rsidR="004B2808" w:rsidRDefault="00000000">
      <w:pPr>
        <w:pStyle w:val="pheading"/>
      </w:pPr>
      <w:r>
        <w:t>- Prescriptions complémentaires</w:t>
      </w:r>
    </w:p>
    <w:p w14:paraId="3943D04E" w14:textId="77777777" w:rsidR="004B2808" w:rsidRDefault="00000000">
      <w:r>
        <w:t>Sur les portes extérieures et/ou des sas, les ferme-portes sont équipés d'un amortisseur hydraulique afin qu'elle ne puisse s'ouvrir brusquement, par le vent.</w:t>
      </w:r>
      <w:r>
        <w:br/>
        <w:t>Les ferme-portes destinés aux doubles portes sont équipés d'un dispositif permettant l'ouverture successive grâce à un sélecteur de porte universel à amortisseur télescopique appliqué.</w:t>
      </w:r>
      <w:r>
        <w:br/>
        <w:t>Le ferme-porte est équipé d'un bras permettant de fixer l'ouverture dans n'importe quel angle.</w:t>
      </w:r>
      <w:r>
        <w:br/>
        <w:t>Au préalable, l'entrepreneur soumet une documentation technique à l'approbation de l'auteur de projet.</w:t>
      </w:r>
    </w:p>
    <w:p w14:paraId="799B257C" w14:textId="77777777" w:rsidR="004B2808" w:rsidRDefault="00000000">
      <w:pPr>
        <w:pStyle w:val="pheading"/>
      </w:pPr>
      <w:r>
        <w:t>MESURAGE</w:t>
      </w:r>
    </w:p>
    <w:p w14:paraId="4FFA0E7E" w14:textId="77777777" w:rsidR="004B2808" w:rsidRDefault="00000000">
      <w:pPr>
        <w:pStyle w:val="pheading"/>
      </w:pPr>
      <w:r>
        <w:t>- unité de mesure:</w:t>
      </w:r>
    </w:p>
    <w:p w14:paraId="470AC8C5" w14:textId="77777777" w:rsidR="004B2808" w:rsidRDefault="00000000">
      <w:r>
        <w:t>-</w:t>
      </w:r>
    </w:p>
    <w:p w14:paraId="03C514F9" w14:textId="77777777" w:rsidR="004B2808" w:rsidRDefault="00000000">
      <w:pPr>
        <w:pStyle w:val="pheading"/>
      </w:pPr>
      <w:r>
        <w:t>- code de mesurage:</w:t>
      </w:r>
    </w:p>
    <w:p w14:paraId="3AC23B0C" w14:textId="77777777" w:rsidR="004B2808" w:rsidRDefault="00000000">
      <w:r>
        <w:t>Compris dans le prix des vantaux de porte.</w:t>
      </w:r>
    </w:p>
    <w:p w14:paraId="486003BD" w14:textId="77777777" w:rsidR="004B2808" w:rsidRDefault="00000000">
      <w:pPr>
        <w:pStyle w:val="pheading"/>
      </w:pPr>
      <w:r>
        <w:t>- nature du marché:</w:t>
      </w:r>
    </w:p>
    <w:p w14:paraId="267C5556" w14:textId="77777777" w:rsidR="004B2808" w:rsidRDefault="00000000">
      <w:r>
        <w:t>PM</w:t>
      </w:r>
    </w:p>
    <w:p w14:paraId="0AE27865" w14:textId="77777777" w:rsidR="004B2808" w:rsidRDefault="00000000">
      <w:pPr>
        <w:pStyle w:val="Author-eSectionHeading6Numberless"/>
      </w:pPr>
      <w:bookmarkStart w:id="1327" w:name="_Toc220491437"/>
      <w:r>
        <w:t>55.62.5c Système de fermeture électronique CCTB 01.10</w:t>
      </w:r>
      <w:bookmarkEnd w:id="1327"/>
    </w:p>
    <w:p w14:paraId="2D317E5A" w14:textId="77777777" w:rsidR="004B2808" w:rsidRDefault="00000000">
      <w:pPr>
        <w:pStyle w:val="pheading"/>
      </w:pPr>
      <w:r>
        <w:t>MATÉRIAUX</w:t>
      </w:r>
    </w:p>
    <w:p w14:paraId="5EC91D5B" w14:textId="77777777" w:rsidR="004B2808" w:rsidRDefault="00000000">
      <w:pPr>
        <w:pStyle w:val="pheading"/>
      </w:pPr>
      <w:r>
        <w:t>- Prescriptions complémentaires</w:t>
      </w:r>
    </w:p>
    <w:p w14:paraId="64782404" w14:textId="77777777" w:rsidR="004B2808" w:rsidRDefault="00000000">
      <w:r>
        <w:t>Sur les portes extérieures et/ou des sas, les ferme-portes sont équipés d'un amortisseur hydraulique afin qu'elle ne puisse s'ouvrir brusquement, par le vent.</w:t>
      </w:r>
      <w:r>
        <w:br/>
        <w:t>Les ferme-portes destinés aux doubles portes sont équipés d'un dispositif permettant l'ouverture successive grâce à un sélecteur de porte universel à amortisseur télescopique appliqué.</w:t>
      </w:r>
      <w:r>
        <w:br/>
        <w:t>Le ferme-porte est équipé d'un bras permettant de fixer l'ouverture dans n'importe quel angle.</w:t>
      </w:r>
      <w:r>
        <w:br/>
        <w:t>Au préalable, l'entrepreneur soumet une documentation technique à l'approbation de l'auteur de projet.</w:t>
      </w:r>
    </w:p>
    <w:p w14:paraId="700AA63C" w14:textId="77777777" w:rsidR="004B2808" w:rsidRDefault="00000000">
      <w:pPr>
        <w:pStyle w:val="pheading"/>
      </w:pPr>
      <w:r>
        <w:t>MESURAGE</w:t>
      </w:r>
    </w:p>
    <w:p w14:paraId="63984481" w14:textId="77777777" w:rsidR="004B2808" w:rsidRDefault="00000000">
      <w:pPr>
        <w:pStyle w:val="pheading"/>
      </w:pPr>
      <w:r>
        <w:t>- unité de mesure:</w:t>
      </w:r>
    </w:p>
    <w:p w14:paraId="6388FAAD" w14:textId="77777777" w:rsidR="004B2808" w:rsidRDefault="00000000">
      <w:r>
        <w:t>-</w:t>
      </w:r>
    </w:p>
    <w:p w14:paraId="1905BBAE" w14:textId="77777777" w:rsidR="004B2808" w:rsidRDefault="00000000">
      <w:pPr>
        <w:pStyle w:val="pheading"/>
      </w:pPr>
      <w:r>
        <w:t>- code de mesurage:</w:t>
      </w:r>
    </w:p>
    <w:p w14:paraId="0BFDCD38" w14:textId="77777777" w:rsidR="004B2808" w:rsidRDefault="00000000">
      <w:r>
        <w:t>Compris dans le prix des vantaux de porte.</w:t>
      </w:r>
    </w:p>
    <w:p w14:paraId="22B68A01" w14:textId="77777777" w:rsidR="004B2808" w:rsidRDefault="00000000">
      <w:pPr>
        <w:pStyle w:val="pheading"/>
      </w:pPr>
      <w:r>
        <w:t>- nature du marché:</w:t>
      </w:r>
    </w:p>
    <w:p w14:paraId="4FD905BB" w14:textId="77777777" w:rsidR="004B2808" w:rsidRDefault="00000000">
      <w:r>
        <w:lastRenderedPageBreak/>
        <w:t>PM</w:t>
      </w:r>
    </w:p>
    <w:p w14:paraId="53BDA7B5" w14:textId="77777777" w:rsidR="004B2808" w:rsidRDefault="00000000">
      <w:pPr>
        <w:pStyle w:val="Author-eSectionHeading5Numberless"/>
      </w:pPr>
      <w:bookmarkStart w:id="1328" w:name="_Toc220491438"/>
      <w:r>
        <w:t>55.62.6 Mécanisme pour porte coulissante CCTB 01.10</w:t>
      </w:r>
      <w:bookmarkEnd w:id="1328"/>
    </w:p>
    <w:p w14:paraId="2DD79D40" w14:textId="77777777" w:rsidR="004B2808" w:rsidRDefault="00000000">
      <w:pPr>
        <w:pStyle w:val="pheading"/>
      </w:pPr>
      <w:bookmarkStart w:id="1329" w:name="1342"/>
      <w:bookmarkEnd w:id="1329"/>
      <w:r>
        <w:t>MATÉRIAUX</w:t>
      </w:r>
    </w:p>
    <w:p w14:paraId="43B87991" w14:textId="77777777" w:rsidR="004B2808" w:rsidRDefault="00000000">
      <w:r>
        <w:t>Les portes coulissantes sont suspendues à un rail de roulement et coulissent sur un guide au sol. Le système doit satisfaire aux prescriptions de la [NBN EN 1527:2019+A1] - Quincaillerie pour le bâtiment - Quincaillerie pour portes coulissantes et portes pliantes - Prescriptions et méthodes d'essai (1998). Y compris les moyens de fixation, les arrêts de porte, l'habillage et le réglage complet pour obtenir un système fonctionnant parfaitement. L'entrepreneur soumet au préalable la documentation technique à l'approbation de l'auteur de projet.</w:t>
      </w:r>
    </w:p>
    <w:p w14:paraId="171C76EF" w14:textId="77777777" w:rsidR="004B2808" w:rsidRDefault="00000000">
      <w:pPr>
        <w:pStyle w:val="heading"/>
      </w:pPr>
      <w:r>
        <w:t>Spécifications</w:t>
      </w:r>
    </w:p>
    <w:p w14:paraId="3A0B7EB3" w14:textId="77777777" w:rsidR="004B2808" w:rsidRDefault="00000000">
      <w:pPr>
        <w:pStyle w:val="Author-eListParagraph"/>
        <w:numPr>
          <w:ilvl w:val="0"/>
          <w:numId w:val="1211"/>
        </w:numPr>
      </w:pPr>
      <w:r>
        <w:t>Rails de guidage : en acier galvanisé plié, la longueur est égale à deux fois la baie de porte</w:t>
      </w:r>
    </w:p>
    <w:p w14:paraId="660864A1" w14:textId="77777777" w:rsidR="004B2808" w:rsidRDefault="00000000">
      <w:pPr>
        <w:pStyle w:val="Author-eListParagraph"/>
        <w:numPr>
          <w:ilvl w:val="0"/>
          <w:numId w:val="1211"/>
        </w:numPr>
      </w:pPr>
      <w:r>
        <w:t>Glissières : doubles roulettes à roulements à billes, fabriquées en matière synthétique inusable pour un fonctionnement silencieux.</w:t>
      </w:r>
    </w:p>
    <w:p w14:paraId="6B0958E4" w14:textId="77777777" w:rsidR="004B2808" w:rsidRDefault="00000000">
      <w:pPr>
        <w:pStyle w:val="Author-eListParagraph"/>
        <w:numPr>
          <w:ilvl w:val="0"/>
          <w:numId w:val="1211"/>
        </w:numPr>
      </w:pPr>
      <w:r>
        <w:t>Hauteur de suspension : réglable, ce dispositif doit toujours rester facilement accessible.</w:t>
      </w:r>
    </w:p>
    <w:p w14:paraId="60A40BF3" w14:textId="77777777" w:rsidR="004B2808" w:rsidRDefault="00000000">
      <w:pPr>
        <w:pStyle w:val="Author-eListParagraph"/>
        <w:numPr>
          <w:ilvl w:val="0"/>
          <w:numId w:val="1211"/>
        </w:numPr>
      </w:pPr>
      <w:r>
        <w:t xml:space="preserve">Mécanisme de fermeture : </w:t>
      </w:r>
      <w:r>
        <w:rPr>
          <w:rStyle w:val="optioncarChar"/>
        </w:rPr>
        <w:t>adapté aux possibilités d'utilisation des portes </w:t>
      </w:r>
      <w:r>
        <w:t>(par défaut) / ***</w:t>
      </w:r>
    </w:p>
    <w:p w14:paraId="106B637D" w14:textId="77777777" w:rsidR="004B2808" w:rsidRDefault="00000000">
      <w:pPr>
        <w:pStyle w:val="Author-eListParagraph"/>
        <w:numPr>
          <w:ilvl w:val="0"/>
          <w:numId w:val="1211"/>
        </w:numPr>
      </w:pPr>
      <w:r>
        <w:t>Habillage : </w:t>
      </w:r>
      <w:r>
        <w:rPr>
          <w:rStyle w:val="optioncarChar"/>
        </w:rPr>
        <w:t>caisson de la largeur de la pièce, dans le même matériau que l'encadrement de porte </w:t>
      </w:r>
      <w:r>
        <w:t>(par défaut)</w:t>
      </w:r>
      <w:r>
        <w:rPr>
          <w:rStyle w:val="optioncarChar"/>
        </w:rPr>
        <w:t> / ***</w:t>
      </w:r>
    </w:p>
    <w:p w14:paraId="02D46FB5" w14:textId="77777777" w:rsidR="004B2808" w:rsidRDefault="00000000">
      <w:pPr>
        <w:pStyle w:val="pheading"/>
      </w:pPr>
      <w:r>
        <w:t>EXÉCUTION / MISE EN ŒUVRE</w:t>
      </w:r>
    </w:p>
    <w:p w14:paraId="2ACE1632" w14:textId="77777777" w:rsidR="004B2808" w:rsidRDefault="00000000">
      <w:pPr>
        <w:pStyle w:val="heading"/>
      </w:pPr>
      <w:r>
        <w:t>Notes d'exécution complémentaires</w:t>
      </w:r>
    </w:p>
    <w:p w14:paraId="3F3652C9" w14:textId="77777777" w:rsidR="004B2808" w:rsidRDefault="00000000">
      <w:pPr>
        <w:pStyle w:val="Author-eListParagraph"/>
        <w:numPr>
          <w:ilvl w:val="0"/>
          <w:numId w:val="1212"/>
        </w:numPr>
      </w:pPr>
      <w:r>
        <w:t>Rainure de guidage : dans le bas du vantail de prote, une rainure est embrevée dans laquelle un profil de guidage en aluminium vient s'insérer. Les portes sont guidées dans un profil de guidage rectiligne en matière synthétique inusable, fixé dans le sol de manière telle que les portes ne puissent jamais déraper.</w:t>
      </w:r>
    </w:p>
    <w:p w14:paraId="2212B29A" w14:textId="77777777" w:rsidR="004B2808" w:rsidRDefault="00000000">
      <w:pPr>
        <w:pStyle w:val="Author-eListParagraph"/>
        <w:numPr>
          <w:ilvl w:val="0"/>
          <w:numId w:val="1212"/>
        </w:numPr>
      </w:pPr>
      <w:r>
        <w:t>Pour les doubles portes coulissantes, la construction est conçue de manière telle que les deux vantaux puissent être fermés ou ouverts indépendamment l'un de l'autre.</w:t>
      </w:r>
    </w:p>
    <w:p w14:paraId="425A7FA8" w14:textId="77777777" w:rsidR="004B2808" w:rsidRDefault="00000000">
      <w:pPr>
        <w:pStyle w:val="Author-eSectionHeading6Numberless"/>
      </w:pPr>
      <w:bookmarkStart w:id="1330" w:name="_Toc220491439"/>
      <w:r>
        <w:t>55.62.6a Mécanisme pour porte coulissante sur rail CCTB 01.11</w:t>
      </w:r>
      <w:bookmarkEnd w:id="1330"/>
    </w:p>
    <w:p w14:paraId="24E03556" w14:textId="77777777" w:rsidR="004B2808" w:rsidRDefault="00000000">
      <w:pPr>
        <w:pStyle w:val="Author-eSectionHeading6Numberless"/>
      </w:pPr>
      <w:bookmarkStart w:id="1331" w:name="_Toc220491440"/>
      <w:r>
        <w:t>55.62.6b Mécanisme pour porte coulissante suspendue CCTB 01.11</w:t>
      </w:r>
      <w:bookmarkEnd w:id="1331"/>
    </w:p>
    <w:p w14:paraId="486AEDE6" w14:textId="77777777" w:rsidR="004B2808" w:rsidRDefault="00000000">
      <w:pPr>
        <w:pStyle w:val="pheading"/>
      </w:pPr>
      <w:r>
        <w:t>DESCRIPTION</w:t>
      </w:r>
    </w:p>
    <w:p w14:paraId="4935593C" w14:textId="77777777" w:rsidR="004B2808" w:rsidRDefault="00000000">
      <w:pPr>
        <w:pStyle w:val="pheading"/>
      </w:pPr>
      <w:r>
        <w:t>- Définition / Comprend</w:t>
      </w:r>
    </w:p>
    <w:p w14:paraId="1EAD33FB" w14:textId="77777777" w:rsidR="004B2808" w:rsidRDefault="00000000">
      <w:pPr>
        <w:jc w:val="both"/>
      </w:pPr>
      <w:r>
        <w:t>Il s’agit du mécanisme pour des portes coulissantes suspendues à un rail de roulement et coulissant dans un guide au sol.</w:t>
      </w:r>
    </w:p>
    <w:p w14:paraId="75AFEE36" w14:textId="77777777" w:rsidR="004B2808" w:rsidRDefault="00000000">
      <w:pPr>
        <w:jc w:val="both"/>
      </w:pPr>
      <w:r>
        <w:t>Le système satisfait aux prescriptions de la norme [NBN EN 1527:2019+A1].</w:t>
      </w:r>
    </w:p>
    <w:p w14:paraId="79527923" w14:textId="77777777" w:rsidR="004B2808" w:rsidRDefault="00000000">
      <w:pPr>
        <w:jc w:val="both"/>
      </w:pPr>
      <w:r>
        <w:t>Ce poste comprend notamment :</w:t>
      </w:r>
    </w:p>
    <w:p w14:paraId="6BFE26BA" w14:textId="77777777" w:rsidR="004B2808" w:rsidRDefault="00000000">
      <w:pPr>
        <w:pStyle w:val="Author-eListParagraph"/>
        <w:numPr>
          <w:ilvl w:val="0"/>
          <w:numId w:val="1213"/>
        </w:numPr>
      </w:pPr>
      <w:r>
        <w:t>la prise de mesures ; </w:t>
      </w:r>
    </w:p>
    <w:p w14:paraId="1020A6E2" w14:textId="77777777" w:rsidR="004B2808" w:rsidRDefault="00000000">
      <w:pPr>
        <w:pStyle w:val="Author-eListParagraph"/>
        <w:numPr>
          <w:ilvl w:val="0"/>
          <w:numId w:val="1213"/>
        </w:numPr>
      </w:pPr>
      <w:r>
        <w:t>la documentation technique et les plans de fabrication à soumettre à l’auteur de projet pour approbation ;</w:t>
      </w:r>
    </w:p>
    <w:p w14:paraId="4FAEE293" w14:textId="77777777" w:rsidR="004B2808" w:rsidRDefault="00000000">
      <w:pPr>
        <w:pStyle w:val="Author-eListParagraph"/>
        <w:numPr>
          <w:ilvl w:val="0"/>
          <w:numId w:val="1213"/>
        </w:numPr>
      </w:pPr>
      <w:r>
        <w:t>l’évaluation du support et le choix adapté des fixations ;</w:t>
      </w:r>
    </w:p>
    <w:p w14:paraId="0336FD45" w14:textId="77777777" w:rsidR="004B2808" w:rsidRDefault="00000000">
      <w:pPr>
        <w:pStyle w:val="Author-eListParagraph"/>
        <w:numPr>
          <w:ilvl w:val="0"/>
          <w:numId w:val="1213"/>
        </w:numPr>
      </w:pPr>
      <w:r>
        <w:t>le placement des ensembles et des éléments de raccords ;</w:t>
      </w:r>
    </w:p>
    <w:p w14:paraId="6F9EE7B3" w14:textId="77777777" w:rsidR="004B2808" w:rsidRDefault="00000000">
      <w:pPr>
        <w:pStyle w:val="Author-eListParagraph"/>
        <w:numPr>
          <w:ilvl w:val="0"/>
          <w:numId w:val="1213"/>
        </w:numPr>
      </w:pPr>
      <w:r>
        <w:t>les éventuelles mesures de protection provisoires jusqu’à la réception du chantier ;</w:t>
      </w:r>
    </w:p>
    <w:p w14:paraId="3E2BC19B" w14:textId="77777777" w:rsidR="004B2808" w:rsidRDefault="00000000">
      <w:pPr>
        <w:pStyle w:val="Author-eListParagraph"/>
        <w:numPr>
          <w:ilvl w:val="0"/>
          <w:numId w:val="1213"/>
        </w:numPr>
      </w:pPr>
      <w:r>
        <w:t>l’enlèvement des protections ;</w:t>
      </w:r>
    </w:p>
    <w:p w14:paraId="2FAF205D" w14:textId="77777777" w:rsidR="004B2808" w:rsidRDefault="00000000">
      <w:pPr>
        <w:pStyle w:val="Author-eListParagraph"/>
        <w:numPr>
          <w:ilvl w:val="0"/>
          <w:numId w:val="1213"/>
        </w:numPr>
      </w:pPr>
      <w:r>
        <w:t>l’évacuation des déchets et le nettoyage du chantier.</w:t>
      </w:r>
    </w:p>
    <w:p w14:paraId="6C796D71" w14:textId="77777777" w:rsidR="004B2808" w:rsidRDefault="00000000">
      <w:pPr>
        <w:jc w:val="both"/>
      </w:pPr>
      <w:r>
        <w:t>Le système est fourni complet, y compris les moyens de fixation et les réglages pour obtenir un fonctionnement parfait.</w:t>
      </w:r>
    </w:p>
    <w:p w14:paraId="09688A34" w14:textId="77777777" w:rsidR="004B2808" w:rsidRDefault="00000000">
      <w:pPr>
        <w:pStyle w:val="pheading"/>
      </w:pPr>
      <w:r>
        <w:t>- Localisation</w:t>
      </w:r>
    </w:p>
    <w:p w14:paraId="0A8AB400" w14:textId="77777777" w:rsidR="004B2808" w:rsidRDefault="00000000">
      <w:r>
        <w:t xml:space="preserve">Les travaux sont localisés : </w:t>
      </w:r>
      <w:r>
        <w:rPr>
          <w:rStyle w:val="optioncarChar"/>
        </w:rPr>
        <w:t>***</w:t>
      </w:r>
      <w:r>
        <w:t>.</w:t>
      </w:r>
    </w:p>
    <w:p w14:paraId="062825F1" w14:textId="77777777" w:rsidR="004B2808" w:rsidRDefault="00000000">
      <w:r>
        <w:lastRenderedPageBreak/>
        <w:t>Voir plans et métrés détaillés.</w:t>
      </w:r>
    </w:p>
    <w:p w14:paraId="4D443C08" w14:textId="77777777" w:rsidR="004B2808" w:rsidRDefault="00000000">
      <w:pPr>
        <w:pStyle w:val="pheading"/>
      </w:pPr>
      <w:r>
        <w:t>MATÉRIAUX</w:t>
      </w:r>
    </w:p>
    <w:p w14:paraId="4DBFE28F" w14:textId="77777777" w:rsidR="004B2808" w:rsidRDefault="00000000">
      <w:pPr>
        <w:pStyle w:val="pheading"/>
      </w:pPr>
      <w:r>
        <w:t>- Caractéristiques générales</w:t>
      </w:r>
    </w:p>
    <w:p w14:paraId="5563781E" w14:textId="77777777" w:rsidR="004B2808" w:rsidRDefault="00000000">
      <w:r>
        <w:t>Conformément à la norme [NBN EN 1527:2019+A1] :</w:t>
      </w:r>
    </w:p>
    <w:p w14:paraId="6403ED83" w14:textId="77777777" w:rsidR="004B2808" w:rsidRDefault="00000000">
      <w:pPr>
        <w:pStyle w:val="Author-eListParagraph"/>
        <w:numPr>
          <w:ilvl w:val="0"/>
          <w:numId w:val="1214"/>
        </w:numPr>
      </w:pPr>
      <w:r>
        <w:t>Endurance : minimum </w:t>
      </w:r>
      <w:r>
        <w:rPr>
          <w:rStyle w:val="optioncarChar"/>
        </w:rPr>
        <w:t xml:space="preserve">50.000 cycles (grade 4) </w:t>
      </w:r>
      <w:r>
        <w:t>(par défaut)</w:t>
      </w:r>
      <w:r>
        <w:rPr>
          <w:rStyle w:val="optioncarChar"/>
        </w:rPr>
        <w:t xml:space="preserve"> / ***.</w:t>
      </w:r>
    </w:p>
    <w:p w14:paraId="05BBB9E6" w14:textId="77777777" w:rsidR="004B2808" w:rsidRDefault="00000000">
      <w:pPr>
        <w:pStyle w:val="Author-eListParagraph"/>
        <w:numPr>
          <w:ilvl w:val="0"/>
          <w:numId w:val="1214"/>
        </w:numPr>
      </w:pPr>
      <w:r>
        <w:t>Masse d’un vantail de porte : maximum</w:t>
      </w:r>
      <w:r>
        <w:rPr>
          <w:rStyle w:val="optioncarChar"/>
        </w:rPr>
        <w:t xml:space="preserve"> 50 (grade 1) / 100 (grade 2) </w:t>
      </w:r>
      <w:r>
        <w:t>(par défaut)</w:t>
      </w:r>
      <w:r>
        <w:rPr>
          <w:rStyle w:val="optioncarChar"/>
        </w:rPr>
        <w:t xml:space="preserve"> / 330 (grade 3)</w:t>
      </w:r>
      <w:r>
        <w:t xml:space="preserve"> kg.</w:t>
      </w:r>
    </w:p>
    <w:p w14:paraId="0DD750F9" w14:textId="77777777" w:rsidR="004B2808" w:rsidRDefault="00000000">
      <w:pPr>
        <w:pStyle w:val="Author-eListParagraph"/>
        <w:numPr>
          <w:ilvl w:val="0"/>
          <w:numId w:val="1214"/>
        </w:numPr>
      </w:pPr>
      <w:r>
        <w:t>Sécurité des personnes : grade 1.</w:t>
      </w:r>
    </w:p>
    <w:p w14:paraId="184A1E93" w14:textId="77777777" w:rsidR="004B2808" w:rsidRDefault="00000000">
      <w:pPr>
        <w:pStyle w:val="Author-eListParagraph"/>
        <w:numPr>
          <w:ilvl w:val="0"/>
          <w:numId w:val="1214"/>
        </w:numPr>
      </w:pPr>
      <w:r>
        <w:t>Résistance à la corrosion : minimum</w:t>
      </w:r>
      <w:r>
        <w:rPr>
          <w:rStyle w:val="optioncarChar"/>
        </w:rPr>
        <w:t xml:space="preserve"> grade 2 (résistance modérée)</w:t>
      </w:r>
      <w:r>
        <w:t xml:space="preserve"> (par défaut) </w:t>
      </w:r>
      <w:r>
        <w:rPr>
          <w:rStyle w:val="optioncarChar"/>
        </w:rPr>
        <w:t>/ ***</w:t>
      </w:r>
      <w:r>
        <w:t>.</w:t>
      </w:r>
    </w:p>
    <w:p w14:paraId="6E83B721" w14:textId="77777777" w:rsidR="004B2808" w:rsidRDefault="00000000">
      <w:pPr>
        <w:pStyle w:val="Author-eListParagraph"/>
        <w:numPr>
          <w:ilvl w:val="0"/>
          <w:numId w:val="1214"/>
        </w:numPr>
      </w:pPr>
      <w:r>
        <w:t>Catégorie de porte : grade 1 (porte coulissante).</w:t>
      </w:r>
    </w:p>
    <w:p w14:paraId="4E156300" w14:textId="77777777" w:rsidR="004B2808" w:rsidRDefault="00000000">
      <w:pPr>
        <w:pStyle w:val="Author-eListParagraph"/>
        <w:numPr>
          <w:ilvl w:val="0"/>
          <w:numId w:val="1214"/>
        </w:numPr>
      </w:pPr>
      <w:r>
        <w:t>Friction initiale à vaincre pour déplacer la masse de la porte : grade</w:t>
      </w:r>
      <w:r>
        <w:rPr>
          <w:rStyle w:val="optioncarChar"/>
        </w:rPr>
        <w:t xml:space="preserve"> 1 / 2 / 3</w:t>
      </w:r>
      <w:r>
        <w:t xml:space="preserve"> (par défaut)</w:t>
      </w:r>
      <w:r>
        <w:rPr>
          <w:rStyle w:val="optioncarChar"/>
        </w:rPr>
        <w:t xml:space="preserve"> / ***</w:t>
      </w:r>
      <w:r>
        <w:t>.</w:t>
      </w:r>
      <w:r>
        <w:br/>
      </w:r>
    </w:p>
    <w:p w14:paraId="2583D423" w14:textId="77777777" w:rsidR="004B2808" w:rsidRDefault="00000000">
      <w:r>
        <w:rPr>
          <w:i/>
        </w:rPr>
        <w:t>Système de suspente</w:t>
      </w:r>
    </w:p>
    <w:p w14:paraId="4D6E1416" w14:textId="77777777" w:rsidR="004B2808" w:rsidRDefault="00000000">
      <w:pPr>
        <w:pStyle w:val="Author-eListParagraph"/>
        <w:numPr>
          <w:ilvl w:val="0"/>
          <w:numId w:val="1215"/>
        </w:numPr>
      </w:pPr>
      <w:r>
        <w:t xml:space="preserve">Largeur maximum de la baie : </w:t>
      </w:r>
      <w:r>
        <w:rPr>
          <w:rStyle w:val="optioncarChar"/>
        </w:rPr>
        <w:t>70 / 80 / 90</w:t>
      </w:r>
      <w:r>
        <w:t xml:space="preserve"> (par défaut)</w:t>
      </w:r>
      <w:r>
        <w:rPr>
          <w:rStyle w:val="optioncarChar"/>
        </w:rPr>
        <w:t xml:space="preserve"> / 105 / 120 / 135 / 150 / ***</w:t>
      </w:r>
      <w:r>
        <w:t xml:space="preserve"> cm.</w:t>
      </w:r>
    </w:p>
    <w:p w14:paraId="130573E0" w14:textId="77777777" w:rsidR="004B2808" w:rsidRDefault="00000000">
      <w:pPr>
        <w:pStyle w:val="Author-eListParagraph"/>
        <w:numPr>
          <w:ilvl w:val="0"/>
          <w:numId w:val="1215"/>
        </w:numPr>
      </w:pPr>
      <w:r>
        <w:t>Longueur du rail : minimum 2x la largeur de la baie.</w:t>
      </w:r>
    </w:p>
    <w:p w14:paraId="533B10B8" w14:textId="77777777" w:rsidR="004B2808" w:rsidRDefault="00000000">
      <w:pPr>
        <w:pStyle w:val="Author-eListParagraph"/>
        <w:numPr>
          <w:ilvl w:val="0"/>
          <w:numId w:val="1215"/>
        </w:numPr>
      </w:pPr>
      <w:r>
        <w:t xml:space="preserve">Nombre de vantaux : </w:t>
      </w:r>
      <w:r>
        <w:rPr>
          <w:rStyle w:val="optioncarChar"/>
        </w:rPr>
        <w:t xml:space="preserve">1 </w:t>
      </w:r>
      <w:r>
        <w:t>(par défaut)</w:t>
      </w:r>
      <w:r>
        <w:rPr>
          <w:rStyle w:val="optioncarChar"/>
        </w:rPr>
        <w:t xml:space="preserve"> / 2 / 3</w:t>
      </w:r>
      <w:r>
        <w:t>.</w:t>
      </w:r>
    </w:p>
    <w:p w14:paraId="1BFD5377" w14:textId="77777777" w:rsidR="004B2808" w:rsidRDefault="00000000">
      <w:pPr>
        <w:pStyle w:val="Author-eListParagraph"/>
        <w:numPr>
          <w:ilvl w:val="0"/>
          <w:numId w:val="1215"/>
        </w:numPr>
      </w:pPr>
      <w:r>
        <w:t>Rail de suspente équipé d’un dispositif anti-dégondage.</w:t>
      </w:r>
    </w:p>
    <w:p w14:paraId="6077AFEE" w14:textId="77777777" w:rsidR="004B2808" w:rsidRDefault="00000000">
      <w:pPr>
        <w:pStyle w:val="Author-eListParagraph"/>
        <w:numPr>
          <w:ilvl w:val="0"/>
          <w:numId w:val="1215"/>
        </w:numPr>
      </w:pPr>
      <w:r>
        <w:t>Butée d’arrêt de chaque côté du rail, équipée d’un embout en matière synthétique.</w:t>
      </w:r>
    </w:p>
    <w:p w14:paraId="6AA52409" w14:textId="77777777" w:rsidR="004B2808" w:rsidRDefault="00000000">
      <w:pPr>
        <w:pStyle w:val="Author-eListParagraph"/>
        <w:numPr>
          <w:ilvl w:val="0"/>
          <w:numId w:val="1215"/>
        </w:numPr>
      </w:pPr>
      <w:r>
        <w:t>Nombre de guides de sol : 1 par vantail.</w:t>
      </w:r>
    </w:p>
    <w:p w14:paraId="5C6460A8" w14:textId="77777777" w:rsidR="004B2808" w:rsidRDefault="00000000">
      <w:pPr>
        <w:pStyle w:val="Author-eListParagraph"/>
        <w:numPr>
          <w:ilvl w:val="0"/>
          <w:numId w:val="1215"/>
        </w:numPr>
      </w:pPr>
      <w:r>
        <w:t xml:space="preserve">Choix du type de vantail : </w:t>
      </w:r>
      <w:r>
        <w:rPr>
          <w:rStyle w:val="optioncarChar"/>
        </w:rPr>
        <w:t xml:space="preserve">vantail mince </w:t>
      </w:r>
      <w:r>
        <w:t xml:space="preserve">(par défaut) </w:t>
      </w:r>
      <w:r>
        <w:rPr>
          <w:rStyle w:val="optioncarChar"/>
        </w:rPr>
        <w:t>/ vantail épais.</w:t>
      </w:r>
    </w:p>
    <w:p w14:paraId="11DD02BF" w14:textId="77777777" w:rsidR="004B2808" w:rsidRDefault="00000000">
      <w:pPr>
        <w:ind w:left="567"/>
      </w:pPr>
      <w:r>
        <w:rPr>
          <w:b/>
          <w:i/>
        </w:rPr>
        <w:t>(Soit par défaut)</w:t>
      </w:r>
    </w:p>
    <w:p w14:paraId="66BF1A93" w14:textId="77777777" w:rsidR="004B2808" w:rsidRDefault="00000000">
      <w:pPr>
        <w:ind w:left="567"/>
      </w:pPr>
      <w:r>
        <w:rPr>
          <w:rStyle w:val="soitChar"/>
          <w:u w:val="single"/>
        </w:rPr>
        <w:t>Vantail mince</w:t>
      </w:r>
    </w:p>
    <w:p w14:paraId="4C6B544A" w14:textId="77777777" w:rsidR="004B2808" w:rsidRDefault="00000000">
      <w:pPr>
        <w:pStyle w:val="Author-eListParagraph"/>
        <w:numPr>
          <w:ilvl w:val="1"/>
          <w:numId w:val="1216"/>
        </w:numPr>
      </w:pPr>
      <w:r>
        <w:rPr>
          <w:rStyle w:val="soitChar"/>
        </w:rPr>
        <w:t>Matériau :</w:t>
      </w:r>
      <w:r>
        <w:rPr>
          <w:rStyle w:val="optioncarChar"/>
        </w:rPr>
        <w:t xml:space="preserve">verre </w:t>
      </w:r>
      <w:r>
        <w:t>(par défaut)</w:t>
      </w:r>
      <w:r>
        <w:rPr>
          <w:rStyle w:val="optioncarChar"/>
        </w:rPr>
        <w:t xml:space="preserve"> / ***</w:t>
      </w:r>
      <w:r>
        <w:t>.</w:t>
      </w:r>
    </w:p>
    <w:p w14:paraId="4C8D8162" w14:textId="77777777" w:rsidR="004B2808" w:rsidRDefault="00000000">
      <w:pPr>
        <w:pStyle w:val="Author-eListParagraph"/>
        <w:numPr>
          <w:ilvl w:val="1"/>
          <w:numId w:val="1216"/>
        </w:numPr>
      </w:pPr>
      <w:r>
        <w:rPr>
          <w:rStyle w:val="soitChar"/>
        </w:rPr>
        <w:t>Epaisseur : maximum</w:t>
      </w:r>
      <w:r>
        <w:rPr>
          <w:rStyle w:val="optioncarChar"/>
        </w:rPr>
        <w:t>10 / 12</w:t>
      </w:r>
      <w:r>
        <w:t xml:space="preserve"> (par défaut) </w:t>
      </w:r>
      <w:r>
        <w:rPr>
          <w:rStyle w:val="optioncarChar"/>
        </w:rPr>
        <w:t>/ ***</w:t>
      </w:r>
      <w:r>
        <w:rPr>
          <w:rStyle w:val="soitChar"/>
        </w:rPr>
        <w:t>mm</w:t>
      </w:r>
      <w:r>
        <w:t>.</w:t>
      </w:r>
    </w:p>
    <w:p w14:paraId="6BA97905" w14:textId="77777777" w:rsidR="004B2808" w:rsidRDefault="00000000">
      <w:pPr>
        <w:pStyle w:val="Author-eListParagraph"/>
        <w:numPr>
          <w:ilvl w:val="1"/>
          <w:numId w:val="1216"/>
        </w:numPr>
      </w:pPr>
      <w:r>
        <w:rPr>
          <w:rStyle w:val="soitChar"/>
        </w:rPr>
        <w:t>Guide de sol :</w:t>
      </w:r>
      <w:r>
        <w:rPr>
          <w:rStyle w:val="optioncarChar"/>
        </w:rPr>
        <w:t xml:space="preserve">profil U en aluminium anodisé avec guide en nylon, adaptable à l’épaisseur du verre </w:t>
      </w:r>
      <w:r>
        <w:t>(par défaut)</w:t>
      </w:r>
      <w:r>
        <w:rPr>
          <w:rStyle w:val="optioncarChar"/>
        </w:rPr>
        <w:t xml:space="preserve"> / ***</w:t>
      </w:r>
      <w:r>
        <w:t>.</w:t>
      </w:r>
      <w:r>
        <w:br/>
      </w:r>
    </w:p>
    <w:p w14:paraId="5F94AEA6" w14:textId="77777777" w:rsidR="004B2808" w:rsidRDefault="00000000">
      <w:pPr>
        <w:ind w:left="567"/>
      </w:pPr>
      <w:r>
        <w:rPr>
          <w:b/>
          <w:i/>
        </w:rPr>
        <w:t>(Soit)</w:t>
      </w:r>
    </w:p>
    <w:p w14:paraId="65FCFDA1" w14:textId="77777777" w:rsidR="004B2808" w:rsidRDefault="00000000">
      <w:pPr>
        <w:ind w:left="567"/>
      </w:pPr>
      <w:r>
        <w:rPr>
          <w:rStyle w:val="soitChar"/>
          <w:u w:val="single"/>
        </w:rPr>
        <w:t>Vantail épais</w:t>
      </w:r>
    </w:p>
    <w:p w14:paraId="359AF5D6" w14:textId="77777777" w:rsidR="004B2808" w:rsidRDefault="00000000">
      <w:pPr>
        <w:pStyle w:val="Author-eListParagraph"/>
        <w:numPr>
          <w:ilvl w:val="1"/>
          <w:numId w:val="1217"/>
        </w:numPr>
      </w:pPr>
      <w:r>
        <w:rPr>
          <w:rStyle w:val="soitChar"/>
        </w:rPr>
        <w:t>Matériau :</w:t>
      </w:r>
      <w:r>
        <w:rPr>
          <w:rStyle w:val="optioncarChar"/>
        </w:rPr>
        <w:t xml:space="preserve"> bois</w:t>
      </w:r>
      <w:r>
        <w:t xml:space="preserve"> (par défaut) </w:t>
      </w:r>
      <w:r>
        <w:rPr>
          <w:rStyle w:val="optioncarChar"/>
        </w:rPr>
        <w:t>/ aluminium / PVC / ***.</w:t>
      </w:r>
    </w:p>
    <w:p w14:paraId="14D5DF3F" w14:textId="77777777" w:rsidR="004B2808" w:rsidRDefault="00000000">
      <w:pPr>
        <w:pStyle w:val="Author-eListParagraph"/>
        <w:numPr>
          <w:ilvl w:val="1"/>
          <w:numId w:val="1217"/>
        </w:numPr>
      </w:pPr>
      <w:r>
        <w:rPr>
          <w:rStyle w:val="soitChar"/>
        </w:rPr>
        <w:t>Epaisseur :</w:t>
      </w:r>
      <w:r>
        <w:rPr>
          <w:rStyle w:val="optioncarChar"/>
        </w:rPr>
        <w:t xml:space="preserve"> 40</w:t>
      </w:r>
      <w:r>
        <w:t xml:space="preserve"> (par défaut) </w:t>
      </w:r>
      <w:r>
        <w:rPr>
          <w:rStyle w:val="optioncarChar"/>
        </w:rPr>
        <w:t>/ 50 / ***</w:t>
      </w:r>
      <w:r>
        <w:rPr>
          <w:rStyle w:val="soitChar"/>
        </w:rPr>
        <w:t>mm.</w:t>
      </w:r>
    </w:p>
    <w:p w14:paraId="6BE238D2" w14:textId="77777777" w:rsidR="004B2808" w:rsidRDefault="00000000">
      <w:pPr>
        <w:pStyle w:val="Author-eListParagraph"/>
        <w:numPr>
          <w:ilvl w:val="1"/>
          <w:numId w:val="1217"/>
        </w:numPr>
      </w:pPr>
      <w:r>
        <w:rPr>
          <w:rStyle w:val="soitChar"/>
        </w:rPr>
        <w:t>Guide de sol :</w:t>
      </w:r>
    </w:p>
    <w:p w14:paraId="60AAAE53" w14:textId="77777777" w:rsidR="004B2808" w:rsidRDefault="00000000">
      <w:pPr>
        <w:pStyle w:val="Author-eListParagraph"/>
        <w:numPr>
          <w:ilvl w:val="2"/>
          <w:numId w:val="1218"/>
        </w:numPr>
      </w:pPr>
      <w:r>
        <w:rPr>
          <w:rStyle w:val="optioncarChar"/>
        </w:rPr>
        <w:t xml:space="preserve">patte avec tenon en nylon </w:t>
      </w:r>
      <w:r>
        <w:t>(par défaut)</w:t>
      </w:r>
      <w:r>
        <w:rPr>
          <w:rStyle w:val="optioncarChar"/>
        </w:rPr>
        <w:t xml:space="preserve"> / ***</w:t>
      </w:r>
      <w:r>
        <w:t>,</w:t>
      </w:r>
    </w:p>
    <w:p w14:paraId="0EEE7E7F" w14:textId="77777777" w:rsidR="004B2808" w:rsidRDefault="00000000">
      <w:pPr>
        <w:pStyle w:val="Author-eListParagraph"/>
        <w:numPr>
          <w:ilvl w:val="2"/>
          <w:numId w:val="1218"/>
        </w:numPr>
      </w:pPr>
      <w:r>
        <w:rPr>
          <w:rStyle w:val="optioncarChar"/>
        </w:rPr>
        <w:t>intégrée dans une rainure sous le vantail de porte</w:t>
      </w:r>
      <w:r>
        <w:t xml:space="preserve"> (par défaut) </w:t>
      </w:r>
      <w:r>
        <w:rPr>
          <w:rStyle w:val="optioncarChar"/>
        </w:rPr>
        <w:t>/ ***</w:t>
      </w:r>
      <w:r>
        <w:t>.</w:t>
      </w:r>
      <w:r>
        <w:br/>
      </w:r>
      <w:r>
        <w:br/>
      </w:r>
    </w:p>
    <w:p w14:paraId="6E778787" w14:textId="77777777" w:rsidR="004B2808" w:rsidRDefault="00000000">
      <w:pPr>
        <w:pStyle w:val="Author-eListParagraph"/>
        <w:numPr>
          <w:ilvl w:val="0"/>
          <w:numId w:val="1219"/>
        </w:numPr>
      </w:pPr>
      <w:r>
        <w:t xml:space="preserve">Choix du type de mécanisme : </w:t>
      </w:r>
      <w:r>
        <w:rPr>
          <w:rStyle w:val="optioncarChar"/>
        </w:rPr>
        <w:t>caché</w:t>
      </w:r>
      <w:r>
        <w:t xml:space="preserve"> (par défaut)</w:t>
      </w:r>
      <w:r>
        <w:rPr>
          <w:rStyle w:val="optioncarChar"/>
        </w:rPr>
        <w:t xml:space="preserve"> / apparent.</w:t>
      </w:r>
      <w:r>
        <w:br/>
      </w:r>
    </w:p>
    <w:p w14:paraId="7A974B7D" w14:textId="77777777" w:rsidR="004B2808" w:rsidRDefault="00000000">
      <w:pPr>
        <w:ind w:left="567"/>
      </w:pPr>
      <w:r>
        <w:rPr>
          <w:b/>
          <w:i/>
        </w:rPr>
        <w:t>(Soit par défaut)</w:t>
      </w:r>
    </w:p>
    <w:p w14:paraId="1937E795" w14:textId="77777777" w:rsidR="004B2808" w:rsidRDefault="00000000">
      <w:pPr>
        <w:ind w:left="567"/>
      </w:pPr>
      <w:r>
        <w:rPr>
          <w:rStyle w:val="soitChar"/>
          <w:u w:val="single"/>
        </w:rPr>
        <w:t>Mécanisme caché</w:t>
      </w:r>
    </w:p>
    <w:p w14:paraId="10BC0BA2" w14:textId="77777777" w:rsidR="004B2808" w:rsidRDefault="00000000">
      <w:pPr>
        <w:pStyle w:val="Author-eListParagraph"/>
        <w:numPr>
          <w:ilvl w:val="1"/>
          <w:numId w:val="1220"/>
        </w:numPr>
      </w:pPr>
      <w:r>
        <w:rPr>
          <w:rStyle w:val="soitChar"/>
        </w:rPr>
        <w:t>Matériau : aluminium extrudé anodisé.</w:t>
      </w:r>
    </w:p>
    <w:p w14:paraId="19170ACA" w14:textId="77777777" w:rsidR="004B2808" w:rsidRDefault="00000000">
      <w:pPr>
        <w:ind w:left="567"/>
      </w:pPr>
      <w:r>
        <w:rPr>
          <w:rStyle w:val="soitChar"/>
          <w:i/>
        </w:rPr>
        <w:t>Rail support supérieur :</w:t>
      </w:r>
    </w:p>
    <w:p w14:paraId="24059F0E" w14:textId="77777777" w:rsidR="004B2808" w:rsidRDefault="00000000">
      <w:pPr>
        <w:pStyle w:val="Author-eListParagraph"/>
        <w:numPr>
          <w:ilvl w:val="1"/>
          <w:numId w:val="1221"/>
        </w:numPr>
      </w:pPr>
      <w:r>
        <w:rPr>
          <w:rStyle w:val="soitChar"/>
        </w:rPr>
        <w:t>Profilé extrudé.</w:t>
      </w:r>
    </w:p>
    <w:p w14:paraId="06B3B45B" w14:textId="77777777" w:rsidR="004B2808" w:rsidRDefault="00000000">
      <w:pPr>
        <w:pStyle w:val="Author-eListParagraph"/>
        <w:numPr>
          <w:ilvl w:val="1"/>
          <w:numId w:val="1221"/>
        </w:numPr>
      </w:pPr>
      <w:r>
        <w:rPr>
          <w:rStyle w:val="soitChar"/>
        </w:rPr>
        <w:t>Montage :</w:t>
      </w:r>
      <w:r>
        <w:rPr>
          <w:rStyle w:val="optioncarChar"/>
        </w:rPr>
        <w:t xml:space="preserve">fixation murale </w:t>
      </w:r>
      <w:r>
        <w:t>(par défaut)</w:t>
      </w:r>
      <w:r>
        <w:rPr>
          <w:rStyle w:val="optioncarChar"/>
        </w:rPr>
        <w:t xml:space="preserve"> / au plafond / encastré dans un plafond suspendu, avec système à rail amovible / sur verre.</w:t>
      </w:r>
    </w:p>
    <w:p w14:paraId="371AB97C" w14:textId="77777777" w:rsidR="004B2808" w:rsidRDefault="00000000">
      <w:pPr>
        <w:ind w:left="567"/>
      </w:pPr>
      <w:r>
        <w:rPr>
          <w:rStyle w:val="soitChar"/>
          <w:i/>
        </w:rPr>
        <w:t>Cache rail :</w:t>
      </w:r>
    </w:p>
    <w:p w14:paraId="174AAD41" w14:textId="77777777" w:rsidR="004B2808" w:rsidRDefault="00000000">
      <w:pPr>
        <w:pStyle w:val="Author-eListParagraph"/>
        <w:numPr>
          <w:ilvl w:val="1"/>
          <w:numId w:val="1222"/>
        </w:numPr>
      </w:pPr>
      <w:r>
        <w:rPr>
          <w:rStyle w:val="soitChar"/>
        </w:rPr>
        <w:lastRenderedPageBreak/>
        <w:t>Profilé extrudé qui couvre :</w:t>
      </w:r>
      <w:r>
        <w:rPr>
          <w:rStyle w:val="optioncarChar"/>
        </w:rPr>
        <w:t xml:space="preserve"> l’ensemble du / séparément le</w:t>
      </w:r>
      <w:r>
        <w:rPr>
          <w:rStyle w:val="optioncarChar"/>
          <w:color w:val="000000"/>
        </w:rPr>
        <w:t> </w:t>
      </w:r>
      <w:r>
        <w:rPr>
          <w:rStyle w:val="soitChar"/>
        </w:rPr>
        <w:t>système de mécanisme et de fixation sur les vantaux.</w:t>
      </w:r>
    </w:p>
    <w:p w14:paraId="26E55CF9" w14:textId="77777777" w:rsidR="004B2808" w:rsidRDefault="00000000">
      <w:pPr>
        <w:pStyle w:val="Author-eListParagraph"/>
        <w:numPr>
          <w:ilvl w:val="1"/>
          <w:numId w:val="1222"/>
        </w:numPr>
      </w:pPr>
      <w:r>
        <w:rPr>
          <w:rStyle w:val="soitChar"/>
        </w:rPr>
        <w:t>Embout de rail : plaque d’about</w:t>
      </w:r>
      <w:r>
        <w:rPr>
          <w:rStyle w:val="soitChar"/>
          <w:color w:val="000000"/>
        </w:rPr>
        <w:t> </w:t>
      </w:r>
      <w:r>
        <w:rPr>
          <w:rStyle w:val="optioncarChar"/>
        </w:rPr>
        <w:t xml:space="preserve">vissée </w:t>
      </w:r>
      <w:r>
        <w:t xml:space="preserve">(par défaut) </w:t>
      </w:r>
      <w:r>
        <w:rPr>
          <w:rStyle w:val="optioncarChar"/>
        </w:rPr>
        <w:t>/ clipsée</w:t>
      </w:r>
      <w:r>
        <w:t>.</w:t>
      </w:r>
    </w:p>
    <w:p w14:paraId="482C8570" w14:textId="77777777" w:rsidR="004B2808" w:rsidRDefault="00000000">
      <w:pPr>
        <w:ind w:left="567"/>
      </w:pPr>
      <w:r>
        <w:rPr>
          <w:rStyle w:val="soitChar"/>
          <w:i/>
        </w:rPr>
        <w:t>Système de suspente :</w:t>
      </w:r>
    </w:p>
    <w:p w14:paraId="6F07F061" w14:textId="77777777" w:rsidR="004B2808" w:rsidRDefault="00000000">
      <w:pPr>
        <w:pStyle w:val="Author-eListParagraph"/>
        <w:numPr>
          <w:ilvl w:val="1"/>
          <w:numId w:val="1223"/>
        </w:numPr>
      </w:pPr>
      <w:r>
        <w:rPr>
          <w:rStyle w:val="soitChar"/>
        </w:rPr>
        <w:t>Charriot de suspente : composé d'un corps en matière</w:t>
      </w:r>
      <w:r>
        <w:rPr>
          <w:rStyle w:val="soitChar"/>
          <w:color w:val="000000"/>
        </w:rPr>
        <w:t> </w:t>
      </w:r>
      <w:r>
        <w:rPr>
          <w:rStyle w:val="optioncarChar"/>
        </w:rPr>
        <w:t xml:space="preserve">synthétique </w:t>
      </w:r>
      <w:r>
        <w:t xml:space="preserve">(par défaut) </w:t>
      </w:r>
      <w:r>
        <w:rPr>
          <w:rStyle w:val="optioncarChar"/>
        </w:rPr>
        <w:t>/ aluminium</w:t>
      </w:r>
      <w:r>
        <w:t xml:space="preserve">, </w:t>
      </w:r>
      <w:r>
        <w:rPr>
          <w:rStyle w:val="soitChar"/>
        </w:rPr>
        <w:t>équipé de roulettes fabriquées en matière synthétique dont l’axe est monté sur roulements à billes pour un fonctionnement silencieux.</w:t>
      </w:r>
    </w:p>
    <w:p w14:paraId="1E9D9926" w14:textId="77777777" w:rsidR="004B2808" w:rsidRDefault="00000000">
      <w:pPr>
        <w:pStyle w:val="Author-eListParagraph"/>
        <w:numPr>
          <w:ilvl w:val="1"/>
          <w:numId w:val="1223"/>
        </w:numPr>
      </w:pPr>
      <w:r>
        <w:rPr>
          <w:rStyle w:val="soitChar"/>
        </w:rPr>
        <w:t>Nombres de roulettes par charriot :</w:t>
      </w:r>
      <w:r>
        <w:rPr>
          <w:rStyle w:val="optioncarChar"/>
        </w:rPr>
        <w:t>2 / 4</w:t>
      </w:r>
      <w:r>
        <w:t xml:space="preserve"> (par défaut).</w:t>
      </w:r>
    </w:p>
    <w:p w14:paraId="1F090D77" w14:textId="77777777" w:rsidR="004B2808" w:rsidRDefault="00000000">
      <w:pPr>
        <w:pStyle w:val="Author-eListParagraph"/>
        <w:numPr>
          <w:ilvl w:val="1"/>
          <w:numId w:val="1224"/>
        </w:numPr>
      </w:pPr>
      <w:r>
        <w:rPr>
          <w:rStyle w:val="soitChar"/>
        </w:rPr>
        <w:t>Nombre de charriots par vantail : 2.</w:t>
      </w:r>
    </w:p>
    <w:p w14:paraId="39564CB9" w14:textId="77777777" w:rsidR="004B2808" w:rsidRDefault="00000000">
      <w:pPr>
        <w:pStyle w:val="Author-eListParagraph"/>
        <w:numPr>
          <w:ilvl w:val="1"/>
          <w:numId w:val="1224"/>
        </w:numPr>
      </w:pPr>
      <w:r>
        <w:rPr>
          <w:rStyle w:val="soitChar"/>
        </w:rPr>
        <w:t>Fixation des charriots sur le vantail de porte :</w:t>
      </w:r>
      <w:r>
        <w:rPr>
          <w:rStyle w:val="optioncarChar"/>
        </w:rPr>
        <w:t>par patte ou profil linéaire fixé sur la tranche supérieure du vantail / par patte qui pince le vantail</w:t>
      </w:r>
      <w:r>
        <w:t xml:space="preserve"> (par défaut).</w:t>
      </w:r>
      <w:r>
        <w:br/>
      </w:r>
    </w:p>
    <w:p w14:paraId="3ECA1B6A" w14:textId="77777777" w:rsidR="004B2808" w:rsidRDefault="00000000">
      <w:pPr>
        <w:ind w:left="567"/>
      </w:pPr>
      <w:r>
        <w:rPr>
          <w:b/>
          <w:i/>
        </w:rPr>
        <w:t>(Soit)</w:t>
      </w:r>
    </w:p>
    <w:p w14:paraId="6A8A92EA" w14:textId="77777777" w:rsidR="004B2808" w:rsidRDefault="00000000">
      <w:pPr>
        <w:ind w:left="567"/>
      </w:pPr>
      <w:r>
        <w:rPr>
          <w:rStyle w:val="soitChar"/>
          <w:u w:val="single"/>
        </w:rPr>
        <w:t>Mécanisme apparent</w:t>
      </w:r>
    </w:p>
    <w:p w14:paraId="6132F9F1" w14:textId="77777777" w:rsidR="004B2808" w:rsidRDefault="00000000">
      <w:pPr>
        <w:ind w:left="567"/>
      </w:pPr>
      <w:r>
        <w:rPr>
          <w:rStyle w:val="soitChar"/>
        </w:rPr>
        <w:t>Mécanisme de suspente apparent composé d’un rail tubulaire cylindrique et de pattes apparentes surmontées de roulettes.</w:t>
      </w:r>
    </w:p>
    <w:p w14:paraId="7BAB71B5" w14:textId="77777777" w:rsidR="004B2808" w:rsidRDefault="00000000">
      <w:pPr>
        <w:ind w:left="567"/>
      </w:pPr>
      <w:r>
        <w:rPr>
          <w:rStyle w:val="soitChar"/>
          <w:i/>
        </w:rPr>
        <w:t>Spécifications</w:t>
      </w:r>
    </w:p>
    <w:p w14:paraId="7B3620D1" w14:textId="77777777" w:rsidR="004B2808" w:rsidRDefault="00000000">
      <w:pPr>
        <w:pStyle w:val="Author-eListParagraph"/>
        <w:numPr>
          <w:ilvl w:val="1"/>
          <w:numId w:val="1225"/>
        </w:numPr>
      </w:pPr>
      <w:r>
        <w:rPr>
          <w:rStyle w:val="soitChar"/>
        </w:rPr>
        <w:t>Matériau :</w:t>
      </w:r>
      <w:r>
        <w:rPr>
          <w:rStyle w:val="optioncarChar"/>
        </w:rPr>
        <w:t>acier inoxydable brossé mat</w:t>
      </w:r>
      <w:r>
        <w:t xml:space="preserve"> (par défaut) </w:t>
      </w:r>
      <w:r>
        <w:rPr>
          <w:rStyle w:val="optioncarChar"/>
        </w:rPr>
        <w:t>/ aluminium extrudé anodisé</w:t>
      </w:r>
      <w:r>
        <w:t>.</w:t>
      </w:r>
    </w:p>
    <w:p w14:paraId="6695D9B3" w14:textId="77777777" w:rsidR="004B2808" w:rsidRDefault="00000000">
      <w:pPr>
        <w:ind w:left="567"/>
      </w:pPr>
      <w:r>
        <w:rPr>
          <w:rStyle w:val="soitChar"/>
          <w:i/>
        </w:rPr>
        <w:t>Rail support supérieur :</w:t>
      </w:r>
    </w:p>
    <w:p w14:paraId="1DCD97E6" w14:textId="77777777" w:rsidR="004B2808" w:rsidRDefault="00000000">
      <w:pPr>
        <w:pStyle w:val="Author-eListParagraph"/>
        <w:numPr>
          <w:ilvl w:val="1"/>
          <w:numId w:val="1226"/>
        </w:numPr>
      </w:pPr>
      <w:r>
        <w:rPr>
          <w:rStyle w:val="soitChar"/>
        </w:rPr>
        <w:t>Rail support : tube cylindrique avec une bande de roulement en matière synthétique.</w:t>
      </w:r>
    </w:p>
    <w:p w14:paraId="73490D4C" w14:textId="77777777" w:rsidR="004B2808" w:rsidRDefault="00000000">
      <w:pPr>
        <w:pStyle w:val="Author-eListParagraph"/>
        <w:numPr>
          <w:ilvl w:val="1"/>
          <w:numId w:val="1226"/>
        </w:numPr>
      </w:pPr>
      <w:r>
        <w:rPr>
          <w:rStyle w:val="soitChar"/>
        </w:rPr>
        <w:t>Montage : fixation</w:t>
      </w:r>
      <w:r>
        <w:rPr>
          <w:rStyle w:val="soitChar"/>
          <w:color w:val="000000"/>
        </w:rPr>
        <w:t> </w:t>
      </w:r>
      <w:r>
        <w:rPr>
          <w:rStyle w:val="optioncarChar"/>
        </w:rPr>
        <w:t xml:space="preserve">murale </w:t>
      </w:r>
      <w:r>
        <w:t xml:space="preserve">(par défaut) </w:t>
      </w:r>
      <w:r>
        <w:rPr>
          <w:rStyle w:val="optioncarChar"/>
        </w:rPr>
        <w:t>/ plafond / sur verre.</w:t>
      </w:r>
    </w:p>
    <w:p w14:paraId="54900608" w14:textId="77777777" w:rsidR="004B2808" w:rsidRDefault="00000000">
      <w:pPr>
        <w:ind w:left="567"/>
      </w:pPr>
      <w:r>
        <w:rPr>
          <w:rStyle w:val="soitChar"/>
          <w:i/>
        </w:rPr>
        <w:t>Système de suspente :</w:t>
      </w:r>
    </w:p>
    <w:p w14:paraId="344450A0" w14:textId="77777777" w:rsidR="004B2808" w:rsidRDefault="00000000">
      <w:pPr>
        <w:pStyle w:val="Author-eListParagraph"/>
        <w:numPr>
          <w:ilvl w:val="1"/>
          <w:numId w:val="1227"/>
        </w:numPr>
      </w:pPr>
      <w:r>
        <w:rPr>
          <w:rStyle w:val="soitChar"/>
        </w:rPr>
        <w:t>Patte de fixation surmontée d’une roulette fabriquée en matière synthétique dont l’axe est monté sur roulements à billes.</w:t>
      </w:r>
    </w:p>
    <w:p w14:paraId="3BD5DD4C" w14:textId="77777777" w:rsidR="004B2808" w:rsidRDefault="00000000">
      <w:pPr>
        <w:pStyle w:val="Author-eListParagraph"/>
        <w:numPr>
          <w:ilvl w:val="1"/>
          <w:numId w:val="1227"/>
        </w:numPr>
      </w:pPr>
      <w:r>
        <w:rPr>
          <w:rStyle w:val="soitChar"/>
        </w:rPr>
        <w:t>La patte est fixée latéralement grâce à des perforations prévues dans le vantail. Le système de fixation permet un réglage. Le contact entre le vantail et les fixations est assuré par un revêtement en matière synthétique pour éviter tout contact « dur ».</w:t>
      </w:r>
    </w:p>
    <w:p w14:paraId="169777EA" w14:textId="77777777" w:rsidR="004B2808" w:rsidRDefault="00000000">
      <w:pPr>
        <w:pStyle w:val="Author-eListParagraph"/>
        <w:numPr>
          <w:ilvl w:val="1"/>
          <w:numId w:val="1227"/>
        </w:numPr>
      </w:pPr>
      <w:r>
        <w:rPr>
          <w:rStyle w:val="soitChar"/>
        </w:rPr>
        <w:t>Nombre de pattes par vantail : 2.</w:t>
      </w:r>
    </w:p>
    <w:p w14:paraId="4BE0148A" w14:textId="77777777" w:rsidR="004B2808" w:rsidRDefault="00000000">
      <w:pPr>
        <w:pStyle w:val="Author-eListParagraph"/>
        <w:numPr>
          <w:ilvl w:val="1"/>
          <w:numId w:val="1227"/>
        </w:numPr>
      </w:pPr>
      <w:r>
        <w:rPr>
          <w:rStyle w:val="soitChar"/>
        </w:rPr>
        <w:t>Les fixations de la patte</w:t>
      </w:r>
      <w:r>
        <w:rPr>
          <w:rStyle w:val="optioncarChar"/>
        </w:rPr>
        <w:t xml:space="preserve"> restent apparentes </w:t>
      </w:r>
      <w:r>
        <w:t>(par défaut)</w:t>
      </w:r>
      <w:r>
        <w:rPr>
          <w:rStyle w:val="optioncarChar"/>
        </w:rPr>
        <w:t xml:space="preserve"> / sont cachées par un capot clipsé sur la patte.</w:t>
      </w:r>
    </w:p>
    <w:p w14:paraId="6E80C560" w14:textId="77777777" w:rsidR="004B2808" w:rsidRDefault="00000000">
      <w:pPr>
        <w:pStyle w:val="pheading"/>
      </w:pPr>
      <w:r>
        <w:t>- Finitions</w:t>
      </w:r>
    </w:p>
    <w:p w14:paraId="5D20EC82" w14:textId="77777777" w:rsidR="004B2808" w:rsidRDefault="00000000">
      <w:r>
        <w:t xml:space="preserve">Teinte des caches rails et embouts : </w:t>
      </w:r>
      <w:r>
        <w:rPr>
          <w:rStyle w:val="optioncarChar"/>
        </w:rPr>
        <w:t xml:space="preserve">aluminium naturel </w:t>
      </w:r>
      <w:r>
        <w:t>(par défaut)</w:t>
      </w:r>
      <w:r>
        <w:rPr>
          <w:rStyle w:val="optioncarChar"/>
        </w:rPr>
        <w:t xml:space="preserve"> / argenté / noir / imitation inox</w:t>
      </w:r>
      <w:r>
        <w:t>.</w:t>
      </w:r>
    </w:p>
    <w:p w14:paraId="531E2226" w14:textId="77777777" w:rsidR="004B2808" w:rsidRDefault="00000000">
      <w:pPr>
        <w:pStyle w:val="pheading"/>
      </w:pPr>
      <w:r>
        <w:t>EXÉCUTION / MISE EN ŒUVRE</w:t>
      </w:r>
    </w:p>
    <w:p w14:paraId="4610ED5C" w14:textId="77777777" w:rsidR="004B2808" w:rsidRDefault="00000000">
      <w:pPr>
        <w:pStyle w:val="pheading"/>
      </w:pPr>
      <w:r>
        <w:t>- Prescriptions générales</w:t>
      </w:r>
    </w:p>
    <w:p w14:paraId="126ECF4C" w14:textId="77777777" w:rsidR="004B2808" w:rsidRDefault="00000000">
      <w:pPr>
        <w:jc w:val="both"/>
      </w:pPr>
      <w:r>
        <w:t>Le rail de suspente est fixé horizontalement, de niveau, au-dessus de la baie et dépasse sur les côtés d’une valeur minimum, suivant les recommandations du fabricant, pour que la porte couvre l’entièreté de la baie une fois fermée. La porte entièrement ouverte ne réduit pas le passage de la baie</w:t>
      </w:r>
    </w:p>
    <w:p w14:paraId="4013472A" w14:textId="77777777" w:rsidR="004B2808" w:rsidRDefault="00000000">
      <w:pPr>
        <w:jc w:val="both"/>
      </w:pPr>
      <w:r>
        <w:t>Les charriots de suspension sont fixés aux vantaux. Ces derniers sont ensuite suspendus d'aplomb au rail de suspente.</w:t>
      </w:r>
    </w:p>
    <w:p w14:paraId="3E9DE4B5" w14:textId="77777777" w:rsidR="004B2808" w:rsidRDefault="00000000">
      <w:pPr>
        <w:jc w:val="both"/>
      </w:pPr>
      <w:r>
        <w:t>Le réglage en hauteur est réalisé de sorte que le jeu entre la porte et le sol soit de 4mm maximum.</w:t>
      </w:r>
    </w:p>
    <w:p w14:paraId="4A5BD469" w14:textId="77777777" w:rsidR="004B2808" w:rsidRDefault="00000000">
      <w:pPr>
        <w:jc w:val="both"/>
      </w:pPr>
      <w:r>
        <w:t>La porte est guidée en bas par des guides de sol, qui sont solidement fixés au sol à l’aide de vis inox, au droit des bords de la baie, sans dépasser de celle-ci pour ne pas obstruer le passage.</w:t>
      </w:r>
    </w:p>
    <w:p w14:paraId="3FF0A61F" w14:textId="77777777" w:rsidR="004B2808" w:rsidRDefault="00000000">
      <w:pPr>
        <w:jc w:val="both"/>
      </w:pPr>
      <w:r>
        <w:t>Les butées sont montées et réglées sur le rail de suspente en fonction de la course des vantaux.</w:t>
      </w:r>
    </w:p>
    <w:p w14:paraId="0E21D545" w14:textId="77777777" w:rsidR="004B2808" w:rsidRDefault="00000000">
      <w:pPr>
        <w:jc w:val="both"/>
      </w:pPr>
      <w:r>
        <w:t>Pour le système à mécanisme intégré, le cache-rail est posé par un système d’encliquetage. Les embouts de rail fixés aux extrémités du rail de suspente.</w:t>
      </w:r>
    </w:p>
    <w:p w14:paraId="42FF8205" w14:textId="77777777" w:rsidR="004B2808" w:rsidRDefault="00000000">
      <w:pPr>
        <w:pStyle w:val="pheading"/>
      </w:pPr>
      <w:r>
        <w:lastRenderedPageBreak/>
        <w:t>- Notes d’exécution complémentaires</w:t>
      </w:r>
    </w:p>
    <w:p w14:paraId="5F2BDE5E" w14:textId="77777777" w:rsidR="004B2808" w:rsidRDefault="00000000">
      <w:pPr>
        <w:jc w:val="both"/>
      </w:pPr>
      <w:r>
        <w:rPr>
          <w:rStyle w:val="facultChar"/>
        </w:rPr>
        <w:t xml:space="preserve">Cet article comprend également : </w:t>
      </w:r>
      <w:r>
        <w:rPr>
          <w:rStyle w:val="optioncarChar"/>
        </w:rPr>
        <w:t>un amortisseur à la fermeture / un amortisseur à l’ouverture / une fermeture automatique / une commande motorisée / des étanchéités acoustiques / des brosses.</w:t>
      </w:r>
    </w:p>
    <w:p w14:paraId="30FEB336" w14:textId="77777777" w:rsidR="004B2808" w:rsidRDefault="00000000">
      <w:pPr>
        <w:pStyle w:val="Author-eListParagraph"/>
        <w:numPr>
          <w:ilvl w:val="0"/>
          <w:numId w:val="1228"/>
        </w:numPr>
      </w:pPr>
      <w:r>
        <w:rPr>
          <w:rStyle w:val="facultChar"/>
          <w:u w:val="single"/>
        </w:rPr>
        <w:t>Amortisseur à la fermeture</w:t>
      </w:r>
      <w:r>
        <w:br/>
      </w:r>
      <w:r>
        <w:rPr>
          <w:rStyle w:val="facultChar"/>
        </w:rPr>
        <w:t>Système d’amortisseur qui ralentit la fermeture de la porte sur les derniers 10 cm (environ) de la fin de course pour ne pas endommager la porte.</w:t>
      </w:r>
    </w:p>
    <w:p w14:paraId="362DEA25" w14:textId="77777777" w:rsidR="004B2808" w:rsidRDefault="00000000">
      <w:pPr>
        <w:pStyle w:val="Author-eListParagraph"/>
        <w:numPr>
          <w:ilvl w:val="0"/>
          <w:numId w:val="1229"/>
        </w:numPr>
      </w:pPr>
      <w:r>
        <w:rPr>
          <w:rStyle w:val="facultChar"/>
          <w:u w:val="single"/>
        </w:rPr>
        <w:t>Amortisseur à l’ouverture</w:t>
      </w:r>
      <w:r>
        <w:br/>
      </w:r>
      <w:r>
        <w:rPr>
          <w:rStyle w:val="facultChar"/>
        </w:rPr>
        <w:t>Système d’amortisseur qui ralentit l’ouverture de la porte sur les derniers 10 cm (environ) de la fin de course pour ne pas endommager la porte.</w:t>
      </w:r>
    </w:p>
    <w:p w14:paraId="1A7C6AE1" w14:textId="77777777" w:rsidR="004B2808" w:rsidRDefault="00000000">
      <w:pPr>
        <w:pStyle w:val="Author-eListParagraph"/>
        <w:numPr>
          <w:ilvl w:val="0"/>
          <w:numId w:val="1230"/>
        </w:numPr>
      </w:pPr>
      <w:r>
        <w:rPr>
          <w:rStyle w:val="facultChar"/>
          <w:u w:val="single"/>
        </w:rPr>
        <w:t>Fermeture automatique</w:t>
      </w:r>
      <w:r>
        <w:br/>
      </w:r>
      <w:r>
        <w:rPr>
          <w:rStyle w:val="facultChar"/>
        </w:rPr>
        <w:t>Système de fermeture automatique de la porte par contre-poids dissimulé derrière le battant de porte.</w:t>
      </w:r>
    </w:p>
    <w:p w14:paraId="321D009F" w14:textId="77777777" w:rsidR="004B2808" w:rsidRDefault="00000000">
      <w:pPr>
        <w:pStyle w:val="Author-eListParagraph"/>
        <w:numPr>
          <w:ilvl w:val="0"/>
          <w:numId w:val="1231"/>
        </w:numPr>
      </w:pPr>
      <w:r>
        <w:rPr>
          <w:rStyle w:val="facultChar"/>
          <w:u w:val="single"/>
        </w:rPr>
        <w:t>Commande motorisée</w:t>
      </w:r>
      <w:r>
        <w:br/>
      </w:r>
      <w:r>
        <w:rPr>
          <w:rStyle w:val="facultChar"/>
        </w:rPr>
        <w:t xml:space="preserve">Système d’ouverture / fermeture de la porte commandée à distance par : </w:t>
      </w:r>
      <w:r>
        <w:rPr>
          <w:rStyle w:val="optioncarChar"/>
        </w:rPr>
        <w:t xml:space="preserve">détecteur de mouvement </w:t>
      </w:r>
      <w:r>
        <w:t>(par défaut)</w:t>
      </w:r>
      <w:r>
        <w:rPr>
          <w:rStyle w:val="optioncarChar"/>
        </w:rPr>
        <w:t xml:space="preserve"> / télécommande (nombre de télécommandes fournies : 1 / 2 </w:t>
      </w:r>
      <w:r>
        <w:t>(par défaut)</w:t>
      </w:r>
      <w:r>
        <w:rPr>
          <w:rStyle w:val="optioncarChar"/>
        </w:rPr>
        <w:t xml:space="preserve"> / ***) / bouton-poussoir / ***.</w:t>
      </w:r>
    </w:p>
    <w:p w14:paraId="1DADA729" w14:textId="77777777" w:rsidR="004B2808" w:rsidRDefault="00000000">
      <w:pPr>
        <w:pStyle w:val="Author-eListParagraph"/>
        <w:numPr>
          <w:ilvl w:val="0"/>
          <w:numId w:val="1232"/>
        </w:numPr>
      </w:pPr>
      <w:r>
        <w:rPr>
          <w:rStyle w:val="facultChar"/>
          <w:u w:val="single"/>
        </w:rPr>
        <w:t>Etanchéité acoustique</w:t>
      </w:r>
      <w:r>
        <w:br/>
      </w:r>
      <w:r>
        <w:rPr>
          <w:rStyle w:val="facultChar"/>
        </w:rPr>
        <w:t>Système de seuils à ressort surmonté de caoutchouc d’étanchéité placés horizontalement en bas et en haut de la porte et qui s’activent quand la porte est fermée. Des joints de caoutchouc sont également placés verticalement aux extrémités gauche et droite de la porte</w:t>
      </w:r>
    </w:p>
    <w:p w14:paraId="29F289BE" w14:textId="77777777" w:rsidR="004B2808" w:rsidRDefault="00000000">
      <w:pPr>
        <w:pStyle w:val="Author-eListParagraph"/>
        <w:numPr>
          <w:ilvl w:val="0"/>
          <w:numId w:val="1233"/>
        </w:numPr>
      </w:pPr>
      <w:r>
        <w:rPr>
          <w:rStyle w:val="facultChar"/>
          <w:u w:val="single"/>
        </w:rPr>
        <w:t>Brosses</w:t>
      </w:r>
      <w:r>
        <w:br/>
      </w:r>
      <w:r>
        <w:rPr>
          <w:rStyle w:val="facultChar"/>
        </w:rPr>
        <w:t>Des brosses sont placées horizontalement en partie supérieure et verticalement aux extrémités latérales gauche et droite de la porte.</w:t>
      </w:r>
    </w:p>
    <w:p w14:paraId="589AFA31" w14:textId="77777777" w:rsidR="004B2808" w:rsidRDefault="00000000">
      <w:pPr>
        <w:pStyle w:val="pheading"/>
      </w:pPr>
      <w:r>
        <w:t>CONTRÔLES PARTICULIERS</w:t>
      </w:r>
    </w:p>
    <w:p w14:paraId="4C7CFE2B" w14:textId="77777777" w:rsidR="004B2808" w:rsidRDefault="00000000">
      <w:r>
        <w:t>Marquage :</w:t>
      </w:r>
    </w:p>
    <w:p w14:paraId="722FA5B0" w14:textId="77777777" w:rsidR="004B2808" w:rsidRDefault="00000000">
      <w:r>
        <w:t>Les montures fabriquées conformément aux prescriptions de la norme [NBN EN 1527:2019+A1]  portent de façon visible une marque d'identification. Lorsque cela n'est pas possible, le marquage figure sur l'emballage du produit.</w:t>
      </w:r>
    </w:p>
    <w:p w14:paraId="28F44A9F" w14:textId="77777777" w:rsidR="004B2808" w:rsidRDefault="00000000">
      <w:r>
        <w:t>Un marquage conforme à la classification de la section 4 de la norme [NBN EN 1527:2019+A1]  est normalement indiqué comme suit :</w:t>
      </w:r>
    </w:p>
    <w:p w14:paraId="3EDF8F00" w14:textId="77777777" w:rsidR="004B2808" w:rsidRDefault="00000000">
      <w:r>
        <w:t> </w:t>
      </w:r>
    </w:p>
    <w:tbl>
      <w:tblPr>
        <w:tblStyle w:val="Author-eTableGrid"/>
        <w:tblW w:w="9030" w:type="dxa"/>
        <w:tblLayout w:type="fixed"/>
        <w:tblLook w:val="04A0" w:firstRow="1" w:lastRow="0" w:firstColumn="1" w:lastColumn="0" w:noHBand="0" w:noVBand="1"/>
      </w:tblPr>
      <w:tblGrid>
        <w:gridCol w:w="1004"/>
        <w:gridCol w:w="1004"/>
        <w:gridCol w:w="1004"/>
        <w:gridCol w:w="1003"/>
        <w:gridCol w:w="1003"/>
        <w:gridCol w:w="1003"/>
        <w:gridCol w:w="1003"/>
        <w:gridCol w:w="1003"/>
        <w:gridCol w:w="1003"/>
      </w:tblGrid>
      <w:tr w:rsidR="004B2808" w14:paraId="7B7996F3" w14:textId="77777777">
        <w:tc>
          <w:tcPr>
            <w:tcW w:w="990" w:type="dxa"/>
            <w:noWrap/>
          </w:tcPr>
          <w:p w14:paraId="217DD9A7" w14:textId="77777777" w:rsidR="004B2808" w:rsidRDefault="00000000">
            <w:r>
              <w:t>1</w:t>
            </w:r>
          </w:p>
        </w:tc>
        <w:tc>
          <w:tcPr>
            <w:tcW w:w="990" w:type="dxa"/>
            <w:noWrap/>
          </w:tcPr>
          <w:p w14:paraId="7413AFA9" w14:textId="77777777" w:rsidR="004B2808" w:rsidRDefault="00000000">
            <w:r>
              <w:t>2</w:t>
            </w:r>
          </w:p>
        </w:tc>
        <w:tc>
          <w:tcPr>
            <w:tcW w:w="990" w:type="dxa"/>
            <w:noWrap/>
          </w:tcPr>
          <w:p w14:paraId="3246D7FD" w14:textId="77777777" w:rsidR="004B2808" w:rsidRDefault="00000000">
            <w:r>
              <w:t>3</w:t>
            </w:r>
          </w:p>
        </w:tc>
        <w:tc>
          <w:tcPr>
            <w:tcW w:w="990" w:type="dxa"/>
            <w:noWrap/>
          </w:tcPr>
          <w:p w14:paraId="62D8C678" w14:textId="77777777" w:rsidR="004B2808" w:rsidRDefault="00000000">
            <w:r>
              <w:t>4</w:t>
            </w:r>
          </w:p>
        </w:tc>
        <w:tc>
          <w:tcPr>
            <w:tcW w:w="990" w:type="dxa"/>
            <w:noWrap/>
          </w:tcPr>
          <w:p w14:paraId="3142E753" w14:textId="77777777" w:rsidR="004B2808" w:rsidRDefault="00000000">
            <w:r>
              <w:t>5</w:t>
            </w:r>
          </w:p>
        </w:tc>
        <w:tc>
          <w:tcPr>
            <w:tcW w:w="990" w:type="dxa"/>
            <w:noWrap/>
          </w:tcPr>
          <w:p w14:paraId="6EB12D0C" w14:textId="77777777" w:rsidR="004B2808" w:rsidRDefault="00000000">
            <w:r>
              <w:t>6</w:t>
            </w:r>
          </w:p>
        </w:tc>
        <w:tc>
          <w:tcPr>
            <w:tcW w:w="990" w:type="dxa"/>
            <w:noWrap/>
          </w:tcPr>
          <w:p w14:paraId="1E1A13A8" w14:textId="77777777" w:rsidR="004B2808" w:rsidRDefault="00000000">
            <w:r>
              <w:t>7</w:t>
            </w:r>
          </w:p>
        </w:tc>
        <w:tc>
          <w:tcPr>
            <w:tcW w:w="990" w:type="dxa"/>
            <w:noWrap/>
          </w:tcPr>
          <w:p w14:paraId="6970D5E4" w14:textId="77777777" w:rsidR="004B2808" w:rsidRDefault="00000000">
            <w:r>
              <w:t>8</w:t>
            </w:r>
          </w:p>
        </w:tc>
        <w:tc>
          <w:tcPr>
            <w:tcW w:w="990" w:type="dxa"/>
            <w:noWrap/>
          </w:tcPr>
          <w:p w14:paraId="28CA7F12" w14:textId="77777777" w:rsidR="004B2808" w:rsidRDefault="00000000">
            <w:r>
              <w:t>9</w:t>
            </w:r>
          </w:p>
        </w:tc>
      </w:tr>
    </w:tbl>
    <w:p w14:paraId="02A0D813" w14:textId="77777777" w:rsidR="004B2808" w:rsidRDefault="00000000">
      <w:r>
        <w:t> </w:t>
      </w:r>
    </w:p>
    <w:p w14:paraId="6F8E04AD" w14:textId="77777777" w:rsidR="004B2808" w:rsidRDefault="00000000">
      <w:r>
        <w:t>Où :</w:t>
      </w:r>
    </w:p>
    <w:p w14:paraId="36564E65" w14:textId="77777777" w:rsidR="004B2808" w:rsidRDefault="00000000">
      <w:pPr>
        <w:pStyle w:val="Author-eListParagraph"/>
        <w:numPr>
          <w:ilvl w:val="0"/>
          <w:numId w:val="1234"/>
        </w:numPr>
      </w:pPr>
      <w:r>
        <w:t>le caractère 1 est la catégorie d'utilisation : aucun grade identifié ;</w:t>
      </w:r>
    </w:p>
    <w:p w14:paraId="280A58AD" w14:textId="77777777" w:rsidR="004B2808" w:rsidRDefault="00000000">
      <w:pPr>
        <w:pStyle w:val="Author-eListParagraph"/>
        <w:numPr>
          <w:ilvl w:val="0"/>
          <w:numId w:val="1234"/>
        </w:numPr>
      </w:pPr>
      <w:r>
        <w:t>le caractère 2 est l'endurance : grades 1 à 6 ;</w:t>
      </w:r>
    </w:p>
    <w:p w14:paraId="2FF8B27A" w14:textId="77777777" w:rsidR="004B2808" w:rsidRDefault="00000000">
      <w:pPr>
        <w:pStyle w:val="Author-eListParagraph"/>
        <w:numPr>
          <w:ilvl w:val="0"/>
          <w:numId w:val="1234"/>
        </w:numPr>
      </w:pPr>
      <w:r>
        <w:t>le caractère 3 est la masse de la porte : grades 1 à 4 ;</w:t>
      </w:r>
    </w:p>
    <w:p w14:paraId="72E3ACB0" w14:textId="77777777" w:rsidR="004B2808" w:rsidRDefault="00000000">
      <w:pPr>
        <w:pStyle w:val="Author-eListParagraph"/>
        <w:numPr>
          <w:ilvl w:val="0"/>
          <w:numId w:val="1234"/>
        </w:numPr>
      </w:pPr>
      <w:r>
        <w:t>le caractère 4 est la résistance au feu : aucun grade identifié ;</w:t>
      </w:r>
    </w:p>
    <w:p w14:paraId="2364C8E3" w14:textId="77777777" w:rsidR="004B2808" w:rsidRDefault="00000000">
      <w:pPr>
        <w:pStyle w:val="Author-eListParagraph"/>
        <w:numPr>
          <w:ilvl w:val="0"/>
          <w:numId w:val="1234"/>
        </w:numPr>
      </w:pPr>
      <w:r>
        <w:t>le caractère 5 est la sécurité des personnes : grade 1 ;</w:t>
      </w:r>
    </w:p>
    <w:p w14:paraId="6C7B6422" w14:textId="77777777" w:rsidR="004B2808" w:rsidRDefault="00000000">
      <w:pPr>
        <w:pStyle w:val="Author-eListParagraph"/>
        <w:numPr>
          <w:ilvl w:val="0"/>
          <w:numId w:val="1234"/>
        </w:numPr>
      </w:pPr>
      <w:r>
        <w:t>le caractère 6 est la résistance à la corrosion : grades 0 à 5 [NBN EN 1670];</w:t>
      </w:r>
    </w:p>
    <w:p w14:paraId="54BD6AFB" w14:textId="77777777" w:rsidR="004B2808" w:rsidRDefault="00000000">
      <w:pPr>
        <w:pStyle w:val="Author-eListParagraph"/>
        <w:numPr>
          <w:ilvl w:val="0"/>
          <w:numId w:val="1234"/>
        </w:numPr>
      </w:pPr>
      <w:r>
        <w:t>le caractère 7 est la sécurité des biens : aucun grade identifié ;</w:t>
      </w:r>
    </w:p>
    <w:p w14:paraId="01BDF821" w14:textId="77777777" w:rsidR="004B2808" w:rsidRDefault="00000000">
      <w:pPr>
        <w:pStyle w:val="Author-eListParagraph"/>
        <w:numPr>
          <w:ilvl w:val="0"/>
          <w:numId w:val="1234"/>
        </w:numPr>
      </w:pPr>
      <w:r>
        <w:t>le caractère 8 est la catégorie de porte : grades 1 à 3 ;</w:t>
      </w:r>
    </w:p>
    <w:p w14:paraId="6FE4AE67" w14:textId="77777777" w:rsidR="004B2808" w:rsidRDefault="00000000">
      <w:pPr>
        <w:pStyle w:val="Author-eListParagraph"/>
        <w:numPr>
          <w:ilvl w:val="0"/>
          <w:numId w:val="1234"/>
        </w:numPr>
      </w:pPr>
      <w:r>
        <w:t>le caractère 9 est la friction initiale : grades 1 à 3.</w:t>
      </w:r>
    </w:p>
    <w:p w14:paraId="330389E6" w14:textId="77777777" w:rsidR="004B2808" w:rsidRDefault="00000000">
      <w:pPr>
        <w:pStyle w:val="pheading"/>
      </w:pPr>
      <w:r>
        <w:t>DOCUMENTS DE RÉFÉRENCE COMPLÉMENTAIRES</w:t>
      </w:r>
    </w:p>
    <w:p w14:paraId="29CE1D4A" w14:textId="77777777" w:rsidR="004B2808" w:rsidRDefault="00000000">
      <w:pPr>
        <w:pStyle w:val="pheading"/>
      </w:pPr>
      <w:r>
        <w:t>- Matériau</w:t>
      </w:r>
    </w:p>
    <w:p w14:paraId="63466677" w14:textId="77777777" w:rsidR="004B2808" w:rsidRDefault="00000000">
      <w:r>
        <w:t>[NBN EN 1527:2019+A1, Quincaillerie pour le bâtiment - Quincaillerie pour portes coulissantes et portes pliantes - Exigences et méthodes d'essai]</w:t>
      </w:r>
    </w:p>
    <w:p w14:paraId="1ED5C11E" w14:textId="77777777" w:rsidR="004B2808" w:rsidRDefault="00000000">
      <w:pPr>
        <w:pStyle w:val="pheading"/>
      </w:pPr>
      <w:r>
        <w:lastRenderedPageBreak/>
        <w:t>MESURAGE</w:t>
      </w:r>
    </w:p>
    <w:p w14:paraId="095E663B" w14:textId="77777777" w:rsidR="004B2808" w:rsidRDefault="00000000">
      <w:pPr>
        <w:pStyle w:val="pheading"/>
      </w:pPr>
      <w:r>
        <w:t>- unité de mesure:</w:t>
      </w:r>
    </w:p>
    <w:p w14:paraId="0584A01B" w14:textId="77777777" w:rsidR="004B2808" w:rsidRDefault="00000000">
      <w:r>
        <w:t>-</w:t>
      </w:r>
    </w:p>
    <w:p w14:paraId="4BFEE7E7" w14:textId="77777777" w:rsidR="004B2808" w:rsidRDefault="00000000">
      <w:pPr>
        <w:pStyle w:val="pheading"/>
      </w:pPr>
      <w:r>
        <w:t>- code de mesurage:</w:t>
      </w:r>
    </w:p>
    <w:p w14:paraId="0D135653" w14:textId="77777777" w:rsidR="004B2808" w:rsidRDefault="00000000">
      <w:r>
        <w:t xml:space="preserve">Compris dans le prix des vantaux de porte à l’élément </w:t>
      </w:r>
      <w:r>
        <w:rPr>
          <w:rStyle w:val="optioncarChar"/>
        </w:rPr>
        <w:t>***</w:t>
      </w:r>
      <w:r>
        <w:t>.</w:t>
      </w:r>
    </w:p>
    <w:p w14:paraId="39E3539E" w14:textId="77777777" w:rsidR="004B2808" w:rsidRDefault="00000000">
      <w:pPr>
        <w:pStyle w:val="pheading"/>
      </w:pPr>
      <w:r>
        <w:t>- nature du marché:</w:t>
      </w:r>
    </w:p>
    <w:p w14:paraId="610BA758" w14:textId="77777777" w:rsidR="004B2808" w:rsidRDefault="00000000">
      <w:r>
        <w:t>PM</w:t>
      </w:r>
    </w:p>
    <w:p w14:paraId="171FB7BC" w14:textId="77777777" w:rsidR="004B2808" w:rsidRDefault="00000000">
      <w:pPr>
        <w:pStyle w:val="pheading"/>
      </w:pPr>
      <w:r>
        <w:t>AIDE</w:t>
      </w:r>
    </w:p>
    <w:p w14:paraId="36D855D4" w14:textId="77777777" w:rsidR="004B2808" w:rsidRDefault="00000000">
      <w:r>
        <w:t>Friction initiale [NBN EN 1527:2019+A1] :</w:t>
      </w:r>
    </w:p>
    <w:p w14:paraId="24617824" w14:textId="77777777" w:rsidR="004B2808" w:rsidRDefault="00000000">
      <w:r>
        <w:rPr>
          <w:noProof/>
        </w:rPr>
        <w:drawing>
          <wp:inline distT="0" distB="0" distL="0" distR="0" wp14:anchorId="5705FC96" wp14:editId="1BB7D817">
            <wp:extent cx="5715000" cy="1400175"/>
            <wp:effectExtent l="0" t="0" r="0" b="0"/>
            <wp:docPr id="5" name="55.62.6b.png" descr="55.62.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7815" descr=" "/>
                    <pic:cNvPicPr>
                      <a:picLocks noChangeAspect="1" noChangeArrowheads="1"/>
                    </pic:cNvPicPr>
                  </pic:nvPicPr>
                  <pic:blipFill>
                    <a:blip r:embed="rId10"/>
                    <a:srcRect/>
                    <a:stretch>
                      <a:fillRect/>
                    </a:stretch>
                  </pic:blipFill>
                  <pic:spPr bwMode="auto">
                    <a:xfrm>
                      <a:off x="0" y="0"/>
                      <a:ext cx="5715000" cy="1400175"/>
                    </a:xfrm>
                    <a:prstGeom prst="rect">
                      <a:avLst/>
                    </a:prstGeom>
                  </pic:spPr>
                </pic:pic>
              </a:graphicData>
            </a:graphic>
          </wp:inline>
        </w:drawing>
      </w:r>
    </w:p>
    <w:p w14:paraId="4A4AB38D" w14:textId="77777777" w:rsidR="004B2808" w:rsidRDefault="004B2808"/>
    <w:p w14:paraId="2ED70416" w14:textId="77777777" w:rsidR="004B2808" w:rsidRDefault="00000000">
      <w:pPr>
        <w:pStyle w:val="Author-eSectionHeading5Numberless"/>
      </w:pPr>
      <w:bookmarkStart w:id="1332" w:name="_Toc220491441"/>
      <w:r>
        <w:t>55.62.7 Axe d'ouverture sur pivots CCTB 01.02</w:t>
      </w:r>
      <w:bookmarkEnd w:id="1332"/>
    </w:p>
    <w:p w14:paraId="09C48DFF" w14:textId="77777777" w:rsidR="004B2808" w:rsidRDefault="00000000">
      <w:pPr>
        <w:pStyle w:val="Author-eSectionHeading6Numberless"/>
      </w:pPr>
      <w:bookmarkStart w:id="1333" w:name="_Toc220491442"/>
      <w:r>
        <w:t>55.62.7a Axe d'ouverture sur pivots CCTB 01.02</w:t>
      </w:r>
      <w:bookmarkEnd w:id="1333"/>
    </w:p>
    <w:p w14:paraId="5488267C" w14:textId="77777777" w:rsidR="004B2808" w:rsidRDefault="00000000">
      <w:pPr>
        <w:pStyle w:val="Author-eSectionHeading4Numberless"/>
      </w:pPr>
      <w:bookmarkStart w:id="1334" w:name="_Toc220491443"/>
      <w:r>
        <w:t>55.63 Huisseries CCTB 01.10</w:t>
      </w:r>
      <w:bookmarkEnd w:id="1334"/>
    </w:p>
    <w:p w14:paraId="06393B64" w14:textId="77777777" w:rsidR="004B2808" w:rsidRDefault="00000000">
      <w:pPr>
        <w:pStyle w:val="pheading"/>
      </w:pPr>
      <w:r>
        <w:t>DESCRIPTION</w:t>
      </w:r>
    </w:p>
    <w:p w14:paraId="5CA824B9" w14:textId="77777777" w:rsidR="004B2808" w:rsidRDefault="00000000">
      <w:pPr>
        <w:pStyle w:val="pheading"/>
      </w:pPr>
      <w:r>
        <w:t>- Définition / Comprend</w:t>
      </w:r>
    </w:p>
    <w:p w14:paraId="3995AC4B" w14:textId="77777777" w:rsidR="004B2808" w:rsidRDefault="00000000">
      <w:r>
        <w:t xml:space="preserve">Les huisseries de portes intérieures comprennent les encadrements, les dormants, les encadrements complémentaires, les couvre-joints et les éventuelles impostes (fixes ou ouvrantes, placées au-dessus des vantaux de portes), y compris tous les organes de suspension décrits dans des postes séparés mais liés au présent article. </w:t>
      </w:r>
      <w:r>
        <w:br/>
        <w:t>Pour les ensembles de portes, les feuilles de portes, la quincaillerie, voir chaque fois l'article concerné.</w:t>
      </w:r>
    </w:p>
    <w:p w14:paraId="3DFF7FFB" w14:textId="77777777" w:rsidR="004B2808" w:rsidRDefault="00000000">
      <w:pPr>
        <w:pStyle w:val="pheading"/>
      </w:pPr>
      <w:r>
        <w:t>MATÉRIAUX</w:t>
      </w:r>
    </w:p>
    <w:p w14:paraId="0DDD85A5" w14:textId="77777777" w:rsidR="004B2808" w:rsidRDefault="00000000">
      <w:pPr>
        <w:pStyle w:val="Author-eListParagraph"/>
        <w:numPr>
          <w:ilvl w:val="0"/>
          <w:numId w:val="1235"/>
        </w:numPr>
      </w:pPr>
      <w:r>
        <w:t>Les huisseries de portes intérieures sont adaptées et posées en fonction de la forme de la porte (</w:t>
      </w:r>
      <w:r>
        <w:rPr>
          <w:rStyle w:val="optioncarChar"/>
        </w:rPr>
        <w:t>porte simple </w:t>
      </w:r>
      <w:r>
        <w:t>(par défaut)</w:t>
      </w:r>
      <w:r>
        <w:rPr>
          <w:rStyle w:val="optioncarChar"/>
        </w:rPr>
        <w:t xml:space="preserve"> / porte à deux vantaux / porte composée / ***</w:t>
      </w:r>
      <w:r>
        <w:t xml:space="preserve"> ), du type de porte (</w:t>
      </w:r>
      <w:r>
        <w:rPr>
          <w:rStyle w:val="optioncarChar"/>
        </w:rPr>
        <w:t>porte ouvrante à feuillure (par défaut) / porte ouvrante à recouvrement / porte va-et-vient / porte pivotante / *** </w:t>
      </w:r>
      <w:r>
        <w:t xml:space="preserve">). Les huisseries de portes intérieures, ainsi que les vantaux de portes, doivent pouvoir supporter les diverses sollicitations imposées aux ensembles de portes en fonction de : </w:t>
      </w:r>
    </w:p>
    <w:p w14:paraId="065CCD08" w14:textId="77777777" w:rsidR="004B2808" w:rsidRDefault="00000000">
      <w:pPr>
        <w:pStyle w:val="Author-eListParagraph"/>
        <w:numPr>
          <w:ilvl w:val="1"/>
          <w:numId w:val="1236"/>
        </w:numPr>
      </w:pPr>
      <w:r>
        <w:t>la catégorie (porte intérieure, porte d'appartement, …) et du type de porte,</w:t>
      </w:r>
    </w:p>
    <w:p w14:paraId="31326753" w14:textId="77777777" w:rsidR="004B2808" w:rsidRDefault="00000000">
      <w:pPr>
        <w:pStyle w:val="Author-eListParagraph"/>
        <w:numPr>
          <w:ilvl w:val="1"/>
          <w:numId w:val="1236"/>
        </w:numPr>
      </w:pPr>
      <w:r>
        <w:t>la masse des vantaux qui composent la porte,</w:t>
      </w:r>
    </w:p>
    <w:p w14:paraId="75B2B690" w14:textId="77777777" w:rsidR="004B2808" w:rsidRDefault="00000000">
      <w:pPr>
        <w:pStyle w:val="Author-eListParagraph"/>
        <w:numPr>
          <w:ilvl w:val="1"/>
          <w:numId w:val="1236"/>
        </w:numPr>
      </w:pPr>
      <w:r>
        <w:t>la nature, la finition et l'épaisseur des murs ou cloisons de la baie.</w:t>
      </w:r>
    </w:p>
    <w:p w14:paraId="6412A33A" w14:textId="77777777" w:rsidR="004B2808" w:rsidRDefault="00000000">
      <w:pPr>
        <w:pStyle w:val="Author-eListParagraph"/>
        <w:numPr>
          <w:ilvl w:val="0"/>
          <w:numId w:val="1237"/>
        </w:numPr>
      </w:pPr>
      <w:r>
        <w:t>Le cahier spécial des charges doit décrire le mode la mise en œuvre dans l'huisserie ou dans le dormant ou d'autres solutions éventuelles, sauf pour les portes pour lesquelles des critères de performance particuliers sont d'application (résistance au feu, isolation acoustique, …) et pour lesquelles la mise en œuvre s'effectue conformément aux articles concernés.</w:t>
      </w:r>
    </w:p>
    <w:p w14:paraId="3A0CDE15" w14:textId="77777777" w:rsidR="004B2808" w:rsidRDefault="00000000">
      <w:pPr>
        <w:pStyle w:val="Author-eListParagraph"/>
        <w:numPr>
          <w:ilvl w:val="0"/>
          <w:numId w:val="1237"/>
        </w:numPr>
      </w:pPr>
      <w:r>
        <w:lastRenderedPageBreak/>
        <w:t>Sauf dispositions spéciales (par ex. portes à recouvrement), tous les vantaux ouvrants des portes intérieures sont conçus avec une simple batée.</w:t>
      </w:r>
    </w:p>
    <w:p w14:paraId="1AB0A8B1" w14:textId="77777777" w:rsidR="004B2808" w:rsidRDefault="00000000">
      <w:pPr>
        <w:pStyle w:val="Author-eListParagraph"/>
        <w:numPr>
          <w:ilvl w:val="0"/>
          <w:numId w:val="1237"/>
        </w:numPr>
      </w:pPr>
      <w:r>
        <w:t>La largeur des encadrements intérieurs est fonction de l'épaisseur respective des murs, y compris le plafonnage.</w:t>
      </w:r>
    </w:p>
    <w:p w14:paraId="064458B5" w14:textId="77777777" w:rsidR="004B2808" w:rsidRDefault="00000000">
      <w:pPr>
        <w:pStyle w:val="Author-eListParagraph"/>
        <w:numPr>
          <w:ilvl w:val="0"/>
          <w:numId w:val="1237"/>
        </w:numPr>
      </w:pPr>
      <w:r>
        <w:t>Les huisseries de portes résistant au feu sont conformes aux spécifications de la [NIT 234].</w:t>
      </w:r>
    </w:p>
    <w:p w14:paraId="070BD965" w14:textId="77777777" w:rsidR="004B2808" w:rsidRDefault="00000000">
      <w:pPr>
        <w:pStyle w:val="Author-eListParagraph"/>
        <w:numPr>
          <w:ilvl w:val="0"/>
          <w:numId w:val="1237"/>
        </w:numPr>
      </w:pPr>
      <w:r>
        <w:t xml:space="preserve">Les huisseries sont équipées des éléments de suspension nécessaires (minimum </w:t>
      </w:r>
      <w:r>
        <w:rPr>
          <w:rStyle w:val="optioncarChar"/>
        </w:rPr>
        <w:t xml:space="preserve">3 </w:t>
      </w:r>
      <w:r>
        <w:t>(par défaut) </w:t>
      </w:r>
      <w:r>
        <w:rPr>
          <w:rStyle w:val="optioncarChar"/>
        </w:rPr>
        <w:t>/ 4 / ***</w:t>
      </w:r>
      <w:r>
        <w:t xml:space="preserve"> paumelles) et des trous de gâche avec cache métallique adaptée aux caractéristiques et à l'emplacement exact de la serrure.</w:t>
      </w:r>
    </w:p>
    <w:p w14:paraId="6C9FAFA9" w14:textId="77777777" w:rsidR="004B2808" w:rsidRDefault="00000000">
      <w:pPr>
        <w:pStyle w:val="Author-eListParagraph"/>
        <w:numPr>
          <w:ilvl w:val="0"/>
          <w:numId w:val="1238"/>
        </w:numPr>
      </w:pPr>
      <w:r>
        <w:t>Les huisseries de portes sont équipées de:</w:t>
      </w:r>
    </w:p>
    <w:p w14:paraId="4522DA89" w14:textId="77777777" w:rsidR="004B2808" w:rsidRDefault="00000000">
      <w:pPr>
        <w:ind w:left="454"/>
      </w:pPr>
      <w:r>
        <w:t>Choix opéré :</w:t>
      </w:r>
      <w:r>
        <w:rPr>
          <w:rStyle w:val="optioncarChar"/>
          <w:b/>
        </w:rPr>
        <w:t xml:space="preserve"> *** / OPTION 1</w:t>
      </w:r>
      <w:r>
        <w:t xml:space="preserve"> (par défaut) </w:t>
      </w:r>
      <w:r>
        <w:rPr>
          <w:rStyle w:val="optioncarChar"/>
          <w:b/>
        </w:rPr>
        <w:t>/ OPTION 2</w:t>
      </w:r>
    </w:p>
    <w:p w14:paraId="65268239" w14:textId="77777777" w:rsidR="004B2808" w:rsidRDefault="00000000">
      <w:pPr>
        <w:ind w:left="454"/>
      </w:pPr>
      <w:r>
        <w:rPr>
          <w:b/>
        </w:rPr>
        <w:t>***OPTION 1 (par défaut)</w:t>
      </w:r>
      <w:r>
        <w:t xml:space="preserve"> : couvre-joints d'au moins </w:t>
      </w:r>
      <w:r>
        <w:rPr>
          <w:rStyle w:val="optioncarChar"/>
        </w:rPr>
        <w:t>15 x 60</w:t>
      </w:r>
      <w:r>
        <w:t> (par défaut)</w:t>
      </w:r>
      <w:r>
        <w:rPr>
          <w:rStyle w:val="optioncarChar"/>
        </w:rPr>
        <w:t> / *** </w:t>
      </w:r>
      <w:r>
        <w:t>mm. Le profil des couvre-joints est adapté en fonction de la mise en œuvre des organes de suspension des vantaux. Sauf dispositions contraires dans les dessins de détail, le bord extérieur est arrondi; le bord intérieur doit être parfaitement aligné sur l’huisserie et est simplement droit ou légèrement convexe, rayon de courbure 8 mm .</w:t>
      </w:r>
      <w:r>
        <w:br/>
      </w:r>
      <w:r>
        <w:rPr>
          <w:b/>
        </w:rPr>
        <w:t>***OPTION 2</w:t>
      </w:r>
      <w:r>
        <w:t xml:space="preserve">: </w:t>
      </w:r>
      <w:r>
        <w:rPr>
          <w:rStyle w:val="optioncarChar"/>
        </w:rPr>
        <w:t>sans couvre-joints avec joints en profondeur (par défaut) / selon le dessin de détail / ***</w:t>
      </w:r>
    </w:p>
    <w:p w14:paraId="115EB75A" w14:textId="77777777" w:rsidR="004B2808" w:rsidRDefault="00000000">
      <w:pPr>
        <w:pStyle w:val="Author-eListParagraph"/>
        <w:numPr>
          <w:ilvl w:val="0"/>
          <w:numId w:val="1239"/>
        </w:numPr>
      </w:pPr>
      <w:r>
        <w:t>Toutes peintures et finitions sont définies dans les articles 82 Travaux de peinture et de traitement extérieurs et suivants.</w:t>
      </w:r>
    </w:p>
    <w:p w14:paraId="79ACA7B9" w14:textId="77777777" w:rsidR="004B2808" w:rsidRDefault="00000000">
      <w:r>
        <w:t> </w:t>
      </w:r>
    </w:p>
    <w:p w14:paraId="6FAB4E9A" w14:textId="77777777" w:rsidR="004B2808" w:rsidRDefault="00000000">
      <w:pPr>
        <w:pStyle w:val="Author-eListParagraph"/>
        <w:numPr>
          <w:ilvl w:val="0"/>
          <w:numId w:val="1240"/>
        </w:numPr>
      </w:pPr>
      <w:r>
        <w:t>Les huisseries se composent, soit d'éléments en une seule pièce, soit en deux éléments tout au plus. Sauf exception, chaque élément est fabriqué par pliage de plaques d'un seul tenant. Les éléments composés sont soudés aux angles.</w:t>
      </w:r>
    </w:p>
    <w:p w14:paraId="19F36774" w14:textId="77777777" w:rsidR="004B2808" w:rsidRDefault="00000000">
      <w:pPr>
        <w:pStyle w:val="Author-eListParagraph"/>
        <w:numPr>
          <w:ilvl w:val="0"/>
          <w:numId w:val="1240"/>
        </w:numPr>
      </w:pPr>
      <w:r>
        <w:t xml:space="preserve">Tôle d'acier : acier galvanisable type A 37 pour les parties non soudées et type A 37 SC pour les parties soudées. Les plaques d'acier parfaitement lisses, sans défaut de laminage, d'extrusion et/ou de coulage, présentent une épaisseur nominale de </w:t>
      </w:r>
      <w:r>
        <w:rPr>
          <w:rStyle w:val="optioncarChar"/>
        </w:rPr>
        <w:t>*** / 1,5</w:t>
      </w:r>
      <w:r>
        <w:t xml:space="preserve"> mm, y compris le revêtement en zinc ou alliage de zinc (écart admissible 0,1mm).</w:t>
      </w:r>
    </w:p>
    <w:p w14:paraId="29D48A35" w14:textId="77777777" w:rsidR="004B2808" w:rsidRDefault="00000000">
      <w:pPr>
        <w:pStyle w:val="Author-eListParagraph"/>
        <w:numPr>
          <w:ilvl w:val="0"/>
          <w:numId w:val="1241"/>
        </w:numPr>
      </w:pPr>
      <w:r>
        <w:t>La protection de l'acier pour les huisseries intérieures se fait au choix en utilisant:</w:t>
      </w:r>
    </w:p>
    <w:p w14:paraId="59C6EE84" w14:textId="77777777" w:rsidR="004B2808" w:rsidRDefault="00000000">
      <w:pPr>
        <w:ind w:left="454"/>
      </w:pPr>
      <w:r>
        <w:t>Choix opéré :</w:t>
      </w:r>
      <w:r>
        <w:rPr>
          <w:rStyle w:val="optioncarChar"/>
          <w:b/>
        </w:rPr>
        <w:t xml:space="preserve"> *** / OPTION 1 </w:t>
      </w:r>
      <w:r>
        <w:t>(par défaut)</w:t>
      </w:r>
      <w:r>
        <w:rPr>
          <w:rStyle w:val="optioncarChar"/>
          <w:b/>
        </w:rPr>
        <w:t xml:space="preserve"> / OPTION 2 / OPTION 3 / OPTION 4</w:t>
      </w:r>
    </w:p>
    <w:p w14:paraId="3FB920EF" w14:textId="77777777" w:rsidR="004B2808" w:rsidRDefault="00000000">
      <w:pPr>
        <w:ind w:left="454"/>
      </w:pPr>
      <w:r>
        <w:rPr>
          <w:b/>
        </w:rPr>
        <w:t>***OPTION 1 (par défaut)</w:t>
      </w:r>
      <w:r>
        <w:t xml:space="preserve"> : des tôles d'acier galvanisées Sendzimir sur les deux faces [NBN EN 10346] classe Zn 275 (soit 275 g/m2) ou ZF 180</w:t>
      </w:r>
      <w:r>
        <w:br/>
      </w:r>
      <w:r>
        <w:rPr>
          <w:b/>
        </w:rPr>
        <w:t>***OPTION 2 </w:t>
      </w:r>
      <w:r>
        <w:t>: de l'acier galvanisé par électrolyse ,</w:t>
      </w:r>
      <w:r>
        <w:br/>
      </w:r>
      <w:r>
        <w:rPr>
          <w:b/>
        </w:rPr>
        <w:t>***OPTION 3</w:t>
      </w:r>
      <w:r>
        <w:t xml:space="preserve"> : des tôles d'acier revêtues, selon la [NBN EN 10130] , métallisées par pulvérisation sur les deux faces d'une couche de zinc classe Zn 20 (soit 125 g/m2) selon la [NBN 755] (attention : ne convient pas pour les peintures à la poudre).</w:t>
      </w:r>
      <w:r>
        <w:br/>
      </w:r>
      <w:r>
        <w:rPr>
          <w:b/>
        </w:rPr>
        <w:t xml:space="preserve">***OPTION 4 </w:t>
      </w:r>
      <w:r>
        <w:t>: de l'acier phosphaté : acier purifié, soit par sablage avec une matière abrasive, soit par décapage chimique ou thermique. Après le traitement, toute trace de peau de laminage ou de rouille doit avoir disparu. Le phosphatage est exécuté jusqu'à saturation dans un bain approprié, chauffé à la température adaptée, en fonction du procédé choisi. Après le rinçage à l'eau d'environ 100°C et le séchage, la menuiserie est traitée avec une couche de peinture au chromate de zinc (attention : ne convient pas pour les peintures par poudrage).</w:t>
      </w:r>
    </w:p>
    <w:p w14:paraId="3C3148A4" w14:textId="77777777" w:rsidR="004B2808" w:rsidRDefault="00000000">
      <w:pPr>
        <w:pStyle w:val="Author-eListParagraph"/>
        <w:numPr>
          <w:ilvl w:val="0"/>
          <w:numId w:val="1242"/>
        </w:numPr>
      </w:pPr>
      <w:r>
        <w:t>Toutes les faces des huisseries sont protégées contre la corrosion par un revêtement au zinc.</w:t>
      </w:r>
    </w:p>
    <w:p w14:paraId="49BC90EC" w14:textId="77777777" w:rsidR="004B2808" w:rsidRDefault="00000000">
      <w:r>
        <w:br/>
        <w:t>Le revêtement par poudrage électrostatique s'effectue comme suit :</w:t>
      </w:r>
    </w:p>
    <w:p w14:paraId="6210834D" w14:textId="77777777" w:rsidR="004B2808" w:rsidRDefault="00000000">
      <w:pPr>
        <w:pStyle w:val="Author-eListParagraph"/>
        <w:numPr>
          <w:ilvl w:val="0"/>
          <w:numId w:val="1243"/>
        </w:numPr>
      </w:pPr>
      <w:r>
        <w:t>Le matériau galvanisé doit être préparé en vue du revêtement par poudrage selon [NBN EN 15773].</w:t>
      </w:r>
    </w:p>
    <w:p w14:paraId="2E8A0B72" w14:textId="77777777" w:rsidR="004B2808" w:rsidRDefault="00000000">
      <w:pPr>
        <w:pStyle w:val="Author-eListParagraph"/>
        <w:numPr>
          <w:ilvl w:val="0"/>
          <w:numId w:val="1243"/>
        </w:numPr>
      </w:pPr>
      <w:r>
        <w:t>Dégraissage dans un bain alcalin chaud et rinçage.</w:t>
      </w:r>
    </w:p>
    <w:p w14:paraId="00E5F287" w14:textId="77777777" w:rsidR="004B2808" w:rsidRDefault="00000000">
      <w:pPr>
        <w:pStyle w:val="Author-eListParagraph"/>
        <w:numPr>
          <w:ilvl w:val="0"/>
          <w:numId w:val="1243"/>
        </w:numPr>
      </w:pPr>
      <w:r>
        <w:t>Mordançage dans de l'acide phosphorique inhibé (élimination des crasses et de la corrosion du zinc par mordançage acide), rinçage à l'eau courante et second rinçage.</w:t>
      </w:r>
    </w:p>
    <w:p w14:paraId="1095DDEB" w14:textId="77777777" w:rsidR="004B2808" w:rsidRDefault="00000000">
      <w:pPr>
        <w:pStyle w:val="Author-eListParagraph"/>
        <w:numPr>
          <w:ilvl w:val="0"/>
          <w:numId w:val="1243"/>
        </w:numPr>
      </w:pPr>
      <w:r>
        <w:t>Chromatage hexavalent par traitement de conversion chimique.</w:t>
      </w:r>
    </w:p>
    <w:p w14:paraId="606F2EAD" w14:textId="77777777" w:rsidR="004B2808" w:rsidRDefault="00000000">
      <w:pPr>
        <w:pStyle w:val="Author-eListParagraph"/>
        <w:numPr>
          <w:ilvl w:val="0"/>
          <w:numId w:val="1243"/>
        </w:numPr>
      </w:pPr>
      <w:r>
        <w:t>Rinçage et second rinçage à l'eau déminéralisée.</w:t>
      </w:r>
    </w:p>
    <w:p w14:paraId="245E91EE" w14:textId="77777777" w:rsidR="004B2808" w:rsidRDefault="00000000">
      <w:pPr>
        <w:pStyle w:val="Author-eListParagraph"/>
        <w:numPr>
          <w:ilvl w:val="0"/>
          <w:numId w:val="1243"/>
        </w:numPr>
      </w:pPr>
      <w:r>
        <w:lastRenderedPageBreak/>
        <w:t>Séchage à environ 65mC à maximum 70mC.</w:t>
      </w:r>
    </w:p>
    <w:p w14:paraId="5B1128FB" w14:textId="77777777" w:rsidR="004B2808" w:rsidRDefault="00000000">
      <w:pPr>
        <w:pStyle w:val="Author-eListParagraph"/>
        <w:numPr>
          <w:ilvl w:val="0"/>
          <w:numId w:val="1243"/>
        </w:numPr>
      </w:pPr>
      <w:r>
        <w:t>Laquage électrostatique à la poudre, la couche ayant une épaisseur moyenne de 80 microns.</w:t>
      </w:r>
    </w:p>
    <w:p w14:paraId="3C5E1700" w14:textId="77777777" w:rsidR="004B2808" w:rsidRDefault="00000000">
      <w:pPr>
        <w:pStyle w:val="Author-eListParagraph"/>
        <w:numPr>
          <w:ilvl w:val="0"/>
          <w:numId w:val="1243"/>
        </w:numPr>
      </w:pPr>
      <w:r>
        <w:t>Le durcissement par convection se fait à la température prescrite par le fabricant de la poudre.  </w:t>
      </w:r>
    </w:p>
    <w:p w14:paraId="00A53179" w14:textId="77777777" w:rsidR="004B2808" w:rsidRDefault="00000000">
      <w:r>
        <w:br/>
        <w:t>Le contrôle de la qualité se fait à l'aide de plaquettes d'essai qui sont soumises aux essais normalisés suivants directement après le durcissement :</w:t>
      </w:r>
    </w:p>
    <w:p w14:paraId="5C679398" w14:textId="77777777" w:rsidR="004B2808" w:rsidRDefault="00000000">
      <w:pPr>
        <w:pStyle w:val="Author-eListParagraph"/>
        <w:numPr>
          <w:ilvl w:val="0"/>
          <w:numId w:val="1244"/>
        </w:numPr>
      </w:pPr>
      <w:r>
        <w:t>Mesurage de l'épaisseur de la couche</w:t>
      </w:r>
    </w:p>
    <w:p w14:paraId="0C96279B" w14:textId="77777777" w:rsidR="004B2808" w:rsidRDefault="00000000">
      <w:pPr>
        <w:pStyle w:val="Author-eListParagraph"/>
        <w:numPr>
          <w:ilvl w:val="0"/>
          <w:numId w:val="1244"/>
        </w:numPr>
      </w:pPr>
      <w:r>
        <w:t>Degré de brillance</w:t>
      </w:r>
    </w:p>
    <w:p w14:paraId="777A2E23" w14:textId="77777777" w:rsidR="004B2808" w:rsidRDefault="00000000">
      <w:pPr>
        <w:pStyle w:val="Author-eListParagraph"/>
        <w:numPr>
          <w:ilvl w:val="0"/>
          <w:numId w:val="1244"/>
        </w:numPr>
      </w:pPr>
      <w:r>
        <w:t>Dureté Buchholz</w:t>
      </w:r>
    </w:p>
    <w:p w14:paraId="2548E3D6" w14:textId="77777777" w:rsidR="004B2808" w:rsidRDefault="00000000">
      <w:pPr>
        <w:pStyle w:val="Author-eListParagraph"/>
        <w:numPr>
          <w:ilvl w:val="0"/>
          <w:numId w:val="1244"/>
        </w:numPr>
      </w:pPr>
      <w:r>
        <w:t>Essai de flexion</w:t>
      </w:r>
    </w:p>
    <w:p w14:paraId="78594A9A" w14:textId="77777777" w:rsidR="004B2808" w:rsidRDefault="00000000">
      <w:pPr>
        <w:pStyle w:val="Author-eListParagraph"/>
        <w:numPr>
          <w:ilvl w:val="0"/>
          <w:numId w:val="1244"/>
        </w:numPr>
      </w:pPr>
      <w:r>
        <w:t>Résistance aux chocs</w:t>
      </w:r>
    </w:p>
    <w:p w14:paraId="148FE930" w14:textId="77777777" w:rsidR="004B2808" w:rsidRDefault="00000000">
      <w:pPr>
        <w:pStyle w:val="Author-eListParagraph"/>
        <w:numPr>
          <w:ilvl w:val="0"/>
          <w:numId w:val="1245"/>
        </w:numPr>
      </w:pPr>
      <w:r>
        <w:t>Les résultats des essais sont mis à la disposition du maître de l'ouvrage.  Le contrôle de la protection est effectué suivant les recommandations de la norme [NBN EN 12502 série].</w:t>
      </w:r>
      <w:r>
        <w:br/>
        <w:t>La couleur de la couche de peinture est une couleur RAL à choisir en cours d'exécution par l'auteur de projet dans la gamme standard du fabricant. Sauf dispositions contraires, la finition est unie et satinée. Les encadrements de portes intérieures sont complètement laqués et protégés jusqu' à la réception. </w:t>
      </w:r>
    </w:p>
    <w:p w14:paraId="6FF197FF" w14:textId="77777777" w:rsidR="004B2808" w:rsidRDefault="00000000">
      <w:r>
        <w:t>Spécifications des huisseries de portes</w:t>
      </w:r>
    </w:p>
    <w:p w14:paraId="22610F5E" w14:textId="77777777" w:rsidR="004B2808" w:rsidRDefault="00000000">
      <w:pPr>
        <w:pStyle w:val="Author-eListParagraph"/>
        <w:numPr>
          <w:ilvl w:val="0"/>
          <w:numId w:val="1246"/>
        </w:numPr>
      </w:pPr>
      <w:r>
        <w:t>Les huisseries de portes sont adaptées à la forme de la porte et au type de vantail prescrits (porte à feuillure / porte à recouvrement). Le retour qui constitue le couvre-joint (encadrement) a au moins une largeur de 30 mm .</w:t>
      </w:r>
    </w:p>
    <w:p w14:paraId="00975B33" w14:textId="77777777" w:rsidR="004B2808" w:rsidRDefault="00000000">
      <w:pPr>
        <w:pStyle w:val="Author-eListParagraph"/>
        <w:numPr>
          <w:ilvl w:val="0"/>
          <w:numId w:val="1246"/>
        </w:numPr>
      </w:pPr>
      <w:r>
        <w:t>Les retours sont de largeur identique des deux côtés et symétriques afin d'éviter toute différence de hauteur. L'ébrasement qui est adapté à l'épaisseur du mur est, en principe, d'un seul tenant, les pièces qui s'emboîtent doivent être fixées de manière invisible.</w:t>
      </w:r>
    </w:p>
    <w:p w14:paraId="49926308" w14:textId="77777777" w:rsidR="004B2808" w:rsidRDefault="00000000">
      <w:pPr>
        <w:pStyle w:val="Author-eListParagraph"/>
        <w:numPr>
          <w:ilvl w:val="0"/>
          <w:numId w:val="1246"/>
        </w:numPr>
      </w:pPr>
      <w:r>
        <w:t>Sauf dispositions spécifiques dans le cahier spécial des charges, l'entrepreneur peut choisir entre les différents types suivants, répartis en fonction du procédé d'assemblage :</w:t>
      </w:r>
    </w:p>
    <w:p w14:paraId="0FEE09E5" w14:textId="77777777" w:rsidR="004B2808" w:rsidRDefault="00000000">
      <w:pPr>
        <w:ind w:left="454"/>
      </w:pPr>
      <w:r>
        <w:t>Choix opéré :</w:t>
      </w:r>
      <w:r>
        <w:rPr>
          <w:rStyle w:val="optioncarChar"/>
          <w:b/>
        </w:rPr>
        <w:t>*** / OPTION 1</w:t>
      </w:r>
      <w:r>
        <w:t> (par défaut)</w:t>
      </w:r>
      <w:r>
        <w:rPr>
          <w:rStyle w:val="optioncarChar"/>
          <w:b/>
        </w:rPr>
        <w:t xml:space="preserve"> / OPTION 2 / OPTION 3 / OPTION 4</w:t>
      </w:r>
    </w:p>
    <w:p w14:paraId="39FE48EB" w14:textId="77777777" w:rsidR="004B2808" w:rsidRDefault="00000000">
      <w:pPr>
        <w:ind w:left="454"/>
      </w:pPr>
      <w:r>
        <w:rPr>
          <w:b/>
        </w:rPr>
        <w:t>***OPTION 1 (par défaut)</w:t>
      </w:r>
      <w:r>
        <w:t xml:space="preserve"> :  huisseries de porte préformées à encastrer.</w:t>
      </w:r>
      <w:r>
        <w:br/>
      </w:r>
      <w:r>
        <w:rPr>
          <w:b/>
        </w:rPr>
        <w:t>***OPTION 2</w:t>
      </w:r>
      <w:r>
        <w:t xml:space="preserve"> : huisseries de porte à assembler, composées d'éléments séparés qui doivent être soudés aux angles. Les soudures sont soigneusement polies et les protections endommagées sont retouchées.</w:t>
      </w:r>
      <w:r>
        <w:br/>
      </w:r>
      <w:r>
        <w:rPr>
          <w:b/>
        </w:rPr>
        <w:t>***OPTION 3</w:t>
      </w:r>
      <w:r>
        <w:t xml:space="preserve"> : huisseries de porte à assembler, composées de deux moitiés en acier qui s'emboîtent de façon à s'adapter à l'épaisseur du mur, avec un jeu de 3 à 4 cm . Les fixations des deux parties sont invisibles.</w:t>
      </w:r>
      <w:r>
        <w:br/>
      </w:r>
      <w:r>
        <w:rPr>
          <w:b/>
        </w:rPr>
        <w:t>***OPTION 4</w:t>
      </w:r>
      <w:r>
        <w:t> : huisseries de porte à assembler, composées de deux côtés et une partie supérieure, attachée à la baie de porte à l'aide d'étriers et de griffes de sécurité, le creux étant rempli de plâtre.</w:t>
      </w:r>
    </w:p>
    <w:p w14:paraId="6B403815" w14:textId="77777777" w:rsidR="004B2808" w:rsidRDefault="00000000">
      <w:pPr>
        <w:pStyle w:val="Author-eListParagraph"/>
        <w:numPr>
          <w:ilvl w:val="0"/>
          <w:numId w:val="1247"/>
        </w:numPr>
      </w:pPr>
      <w:r>
        <w:t xml:space="preserve">Les huisseries de portes sont équipées de : </w:t>
      </w:r>
    </w:p>
    <w:p w14:paraId="19B4803B" w14:textId="77777777" w:rsidR="004B2808" w:rsidRDefault="00000000">
      <w:pPr>
        <w:pStyle w:val="Author-eListParagraph"/>
        <w:numPr>
          <w:ilvl w:val="1"/>
          <w:numId w:val="1248"/>
        </w:numPr>
      </w:pPr>
      <w:r>
        <w:t>au moins 2 tringles d'espacement, fixées au pied des montants et qui dépassent de 3 cm sous le niveau du sol fini (pour les huisseries à encastrer).</w:t>
      </w:r>
    </w:p>
    <w:p w14:paraId="3CA821FD" w14:textId="77777777" w:rsidR="004B2808" w:rsidRDefault="00000000">
      <w:pPr>
        <w:pStyle w:val="Author-eListParagraph"/>
        <w:numPr>
          <w:ilvl w:val="1"/>
          <w:numId w:val="1248"/>
        </w:numPr>
      </w:pPr>
      <w:r>
        <w:t>au moins 2 x 3 pattes d'ancrage, section 15/20 x 1,5 x 300 mm , galvanisées ou métallisées et fixées à l’huisserie à proximité des éléments de suspension et de fermeture. Pour les encadrements de porte dont la largeur est supérieure à 1000 mm , la traverse supérieure est également ancrée. Les pattes d'ancrage pour la fixation au gros-œuvre sont fixées à l'encadrement en usine.</w:t>
      </w:r>
    </w:p>
    <w:p w14:paraId="192CB67D" w14:textId="77777777" w:rsidR="004B2808" w:rsidRDefault="00000000">
      <w:pPr>
        <w:pStyle w:val="Author-eListParagraph"/>
        <w:numPr>
          <w:ilvl w:val="1"/>
          <w:numId w:val="1248"/>
        </w:numPr>
      </w:pPr>
      <w:r>
        <w:t xml:space="preserve">au moins </w:t>
      </w:r>
      <w:r>
        <w:rPr>
          <w:rStyle w:val="optioncarChar"/>
        </w:rPr>
        <w:t>3</w:t>
      </w:r>
      <w:r>
        <w:t> (par défaut)</w:t>
      </w:r>
      <w:r>
        <w:rPr>
          <w:rStyle w:val="optioncarChar"/>
        </w:rPr>
        <w:t> / *** </w:t>
      </w:r>
      <w:r>
        <w:t> paumelles d'acier, avec bague d'usure et un nœud d'une épaisseur de 15 mm ; elles sont fixées par soudage ou vissage, tandis que les huisseries sont localement renforcées et  protégées au droit des points de suspension. Attention : pour les portes ouvrantes dont le vantail présente une largeur supérieure à 900 mm , et pour les portes renforcées, il faut toujours prévoir 4 paumelles. Les paumelles sont dans tous les cas parfaitement alignées .</w:t>
      </w:r>
    </w:p>
    <w:p w14:paraId="63618923" w14:textId="77777777" w:rsidR="004B2808" w:rsidRDefault="00000000">
      <w:pPr>
        <w:pStyle w:val="Author-eListParagraph"/>
        <w:numPr>
          <w:ilvl w:val="1"/>
          <w:numId w:val="1248"/>
        </w:numPr>
      </w:pPr>
      <w:r>
        <w:lastRenderedPageBreak/>
        <w:t>les trous de gâche ajustables sont pourvus de boîtiers de protection fermés .</w:t>
      </w:r>
    </w:p>
    <w:p w14:paraId="2FD6F89B" w14:textId="77777777" w:rsidR="004B2808" w:rsidRDefault="00000000">
      <w:pPr>
        <w:pStyle w:val="Author-eListParagraph"/>
        <w:numPr>
          <w:ilvl w:val="1"/>
          <w:numId w:val="1248"/>
        </w:numPr>
      </w:pPr>
      <w:r>
        <w:t>une latte de batée repliée sur le pourtour de l'ébrasement et prévue pour y insérer une étanchéité continue ou 3 butoirs en élastomère sert de batée pour les vantaux de porte. La latte de batée pour une porte ouvrante présente une largeur d'au moins 15 mm et est fabriquée en:</w:t>
      </w:r>
    </w:p>
    <w:p w14:paraId="650C1392" w14:textId="77777777" w:rsidR="004B2808" w:rsidRDefault="00000000">
      <w:pPr>
        <w:ind w:left="454"/>
      </w:pPr>
      <w:r>
        <w:t xml:space="preserve">Choix opéré : </w:t>
      </w:r>
      <w:r>
        <w:rPr>
          <w:rStyle w:val="optioncarChar"/>
          <w:b/>
        </w:rPr>
        <w:t>*** / OPTION 1 </w:t>
      </w:r>
      <w:r>
        <w:t>(par défaut)</w:t>
      </w:r>
      <w:r>
        <w:rPr>
          <w:rStyle w:val="optioncarChar"/>
          <w:b/>
        </w:rPr>
        <w:t xml:space="preserve"> / OPTION 2 / OPTION 3</w:t>
      </w:r>
    </w:p>
    <w:p w14:paraId="1B57A9E6" w14:textId="77777777" w:rsidR="004B2808" w:rsidRDefault="00000000">
      <w:pPr>
        <w:ind w:left="454"/>
      </w:pPr>
      <w:r>
        <w:rPr>
          <w:b/>
        </w:rPr>
        <w:t>***OPTION 1(par défaut) </w:t>
      </w:r>
      <w:r>
        <w:t>: tôle d'acier, pliée dans la tôle de l'ébrasement et pourvue d'un profil d'étanchéité continu / trois amortisseurs en élastomère.</w:t>
      </w:r>
      <w:r>
        <w:br/>
      </w:r>
      <w:r>
        <w:rPr>
          <w:b/>
        </w:rPr>
        <w:t>***OPTION 2</w:t>
      </w:r>
      <w:r>
        <w:t xml:space="preserve"> : profil d'acier, vissé sur la plaque d'ébrasement et pourvu d'un profil d'étanchéité continu.</w:t>
      </w:r>
      <w:r>
        <w:br/>
      </w:r>
      <w:r>
        <w:rPr>
          <w:b/>
        </w:rPr>
        <w:t>***OPTION 3</w:t>
      </w:r>
      <w:r>
        <w:t xml:space="preserve"> : profil d'aluminium, vissé sur la plaque d'ébrasement et pourvu d'un profil d'étanchéité continu.</w:t>
      </w:r>
    </w:p>
    <w:p w14:paraId="0D1D9893" w14:textId="77777777" w:rsidR="004B2808" w:rsidRDefault="00000000">
      <w:pPr>
        <w:pStyle w:val="Author-eListParagraph"/>
        <w:numPr>
          <w:ilvl w:val="0"/>
          <w:numId w:val="1249"/>
        </w:numPr>
      </w:pPr>
      <w:r>
        <w:t>Lorsqu'un profil d'étanchéité élastomère continu est prévu, celui-ci doit pouvoir être remplacé et, sauf mention contraire, ancré dans la batée autour des vantaux, sans collage.</w:t>
      </w:r>
    </w:p>
    <w:p w14:paraId="437305D6" w14:textId="77777777" w:rsidR="004B2808" w:rsidRDefault="00000000">
      <w:pPr>
        <w:pStyle w:val="Author-eListParagraph"/>
        <w:numPr>
          <w:ilvl w:val="0"/>
          <w:numId w:val="1249"/>
        </w:numPr>
      </w:pPr>
      <w:r>
        <w:t>Le modèle doit être préalablement soumis à l'approbation de la direction de chantier.</w:t>
      </w:r>
    </w:p>
    <w:p w14:paraId="2EB3B2B1" w14:textId="77777777" w:rsidR="004B2808" w:rsidRDefault="00000000">
      <w:pPr>
        <w:pStyle w:val="pheading"/>
      </w:pPr>
      <w:r>
        <w:t>EXÉCUTION / MISE EN ŒUVRE</w:t>
      </w:r>
    </w:p>
    <w:p w14:paraId="3EDB02DF" w14:textId="77777777" w:rsidR="004B2808" w:rsidRDefault="00000000">
      <w:r>
        <w:t>Le montage des huisseries de portes et de leurs accessoires se font selon les prescriptions des [STS 53.1] et [STS 53.2], dans la mesure où elles ne contredisent pas les prescriptions du fabricant et/ou les indications sur les plans et les dessins de détail.</w:t>
      </w:r>
      <w:r>
        <w:br/>
        <w:t>Les huisseries de portes sont posées d'équerre et d'aplomb en respectant scrupuleusement les prescriptions du cahier spécial des charges et/ou du fabricant; celles-ci décrivent entre autres le mode d'ancrage au gros-œuvre, les mesures de prévention à prendre en ce qui concerne l'étanchéité, l'isolation acoustique et la résistance au feu. Les encadrements de portes ou les huisseries sont fixées au gros-œuvre le près possible des organes de suspension ou d'ouverture des vantaux et des éventuels ferme-porte. La fixation centrale au linteau en béton est obligatoire pour toute traverse supérieure dont la longueur excède 1000 mm .</w:t>
      </w:r>
    </w:p>
    <w:p w14:paraId="730A054B" w14:textId="77777777" w:rsidR="004B2808" w:rsidRDefault="00000000">
      <w:pPr>
        <w:pStyle w:val="Author-eSectionHeading5Numberless"/>
      </w:pPr>
      <w:bookmarkStart w:id="1335" w:name="_Toc220491444"/>
      <w:r>
        <w:t>55.63.1 Huisseries en bois CCTB 01.02</w:t>
      </w:r>
      <w:bookmarkEnd w:id="1335"/>
    </w:p>
    <w:p w14:paraId="6279F7BE" w14:textId="77777777" w:rsidR="004B2808" w:rsidRDefault="00000000">
      <w:pPr>
        <w:pStyle w:val="Author-eSectionHeading6Numberless"/>
      </w:pPr>
      <w:bookmarkStart w:id="1336" w:name="_Toc220491445"/>
      <w:r>
        <w:t>55.63.1a Huisseries en bois CCTB 01.10</w:t>
      </w:r>
      <w:bookmarkEnd w:id="1336"/>
    </w:p>
    <w:p w14:paraId="7C222AA2" w14:textId="77777777" w:rsidR="004B2808" w:rsidRDefault="00000000">
      <w:pPr>
        <w:pStyle w:val="pheading"/>
      </w:pPr>
      <w:r>
        <w:t>MATÉRIAUX</w:t>
      </w:r>
    </w:p>
    <w:p w14:paraId="45CA774C" w14:textId="77777777" w:rsidR="004B2808" w:rsidRDefault="00000000">
      <w:pPr>
        <w:pStyle w:val="pheading"/>
      </w:pPr>
      <w:r>
        <w:t>- Caractéristiques générales</w:t>
      </w:r>
    </w:p>
    <w:p w14:paraId="034F6E90" w14:textId="77777777" w:rsidR="004B2808" w:rsidRDefault="00000000">
      <w:r>
        <w:t>Spécifications</w:t>
      </w:r>
    </w:p>
    <w:p w14:paraId="19513686" w14:textId="77777777" w:rsidR="004B2808" w:rsidRDefault="00000000">
      <w:pPr>
        <w:pStyle w:val="Author-eListParagraph"/>
        <w:numPr>
          <w:ilvl w:val="0"/>
          <w:numId w:val="1250"/>
        </w:numPr>
      </w:pPr>
      <w:r>
        <w:t xml:space="preserve">Matériau / essence : </w:t>
      </w:r>
      <w:r>
        <w:rPr>
          <w:rStyle w:val="optioncarChar"/>
        </w:rPr>
        <w:t>contre-plaqué de bois résineux</w:t>
      </w:r>
      <w:r>
        <w:t xml:space="preserve"> (par défaut) </w:t>
      </w:r>
      <w:r>
        <w:rPr>
          <w:rStyle w:val="optioncarChar"/>
        </w:rPr>
        <w:t>/ contre-plaqué de Dark Red Meranti / MDF / résineux massif / panneau de particule / bois massif de feuillu / ***.</w:t>
      </w:r>
    </w:p>
    <w:p w14:paraId="5BA56C9A" w14:textId="77777777" w:rsidR="004B2808" w:rsidRDefault="00000000">
      <w:pPr>
        <w:pStyle w:val="Author-eListParagraph"/>
        <w:numPr>
          <w:ilvl w:val="0"/>
          <w:numId w:val="1250"/>
        </w:numPr>
      </w:pPr>
      <w:r>
        <w:t>Les panneaux de particules sont de type</w:t>
      </w:r>
      <w:r>
        <w:rPr>
          <w:rStyle w:val="optioncarChar"/>
        </w:rPr>
        <w:t> P2 </w:t>
      </w:r>
      <w:r>
        <w:t>(par défaut)</w:t>
      </w:r>
      <w:r>
        <w:rPr>
          <w:rStyle w:val="optioncarChar"/>
        </w:rPr>
        <w:t xml:space="preserve"> / P3 / P4 / P5 / P6 / P7 / ***</w:t>
      </w:r>
      <w:r>
        <w:t xml:space="preserve"> selon [NBN EN 312]</w:t>
      </w:r>
    </w:p>
    <w:p w14:paraId="74442A15" w14:textId="77777777" w:rsidR="004B2808" w:rsidRDefault="00000000">
      <w:pPr>
        <w:pStyle w:val="Author-eListParagraph"/>
        <w:numPr>
          <w:ilvl w:val="0"/>
          <w:numId w:val="1250"/>
        </w:numPr>
      </w:pPr>
      <w:r>
        <w:t>Les panneaux de contre-plaqué sont ou ne sont pas résistant à l'humidité selon la [NBN EN 636+A1].</w:t>
      </w:r>
    </w:p>
    <w:p w14:paraId="760F552C" w14:textId="77777777" w:rsidR="004B2808" w:rsidRDefault="00000000">
      <w:pPr>
        <w:pStyle w:val="Author-eListParagraph"/>
        <w:numPr>
          <w:ilvl w:val="0"/>
          <w:numId w:val="1250"/>
        </w:numPr>
      </w:pPr>
      <w:r>
        <w:t>Les panneaux MDF sont de type</w:t>
      </w:r>
      <w:r>
        <w:rPr>
          <w:rStyle w:val="optioncarChar"/>
        </w:rPr>
        <w:t> MDF</w:t>
      </w:r>
      <w:r>
        <w:t> (par défaut)</w:t>
      </w:r>
      <w:r>
        <w:rPr>
          <w:rStyle w:val="optioncarChar"/>
        </w:rPr>
        <w:t xml:space="preserve"> / MDF.LA / MDF.H / MDF.HIS / ***</w:t>
      </w:r>
      <w:r>
        <w:t xml:space="preserve"> selon [NBN EN 622-5]</w:t>
      </w:r>
    </w:p>
    <w:p w14:paraId="45436867" w14:textId="77777777" w:rsidR="004B2808" w:rsidRDefault="00000000">
      <w:pPr>
        <w:pStyle w:val="Author-eListParagraph"/>
        <w:numPr>
          <w:ilvl w:val="0"/>
          <w:numId w:val="1250"/>
        </w:numPr>
      </w:pPr>
      <w:r>
        <w:t>Le profil des ébrasements est réalisé de manière indéformable par :</w:t>
      </w:r>
      <w:r>
        <w:br/>
      </w:r>
      <w:r>
        <w:br/>
        <w:t xml:space="preserve">Choix opéré : </w:t>
      </w:r>
      <w:r>
        <w:rPr>
          <w:rStyle w:val="optioncarChar"/>
          <w:b/>
        </w:rPr>
        <w:t>*** / OPTION 1</w:t>
      </w:r>
      <w:r>
        <w:t xml:space="preserve"> (par défaut) </w:t>
      </w:r>
      <w:r>
        <w:rPr>
          <w:rStyle w:val="optioncarChar"/>
          <w:b/>
        </w:rPr>
        <w:t>/ OPTION 2</w:t>
      </w:r>
      <w:r>
        <w:rPr>
          <w:b/>
        </w:rPr>
        <w:t>***OPTION 1</w:t>
      </w:r>
      <w:r>
        <w:t xml:space="preserve"> : ébrasements avec batée embrevée, épaisseur minimale de l'ébrasement = </w:t>
      </w:r>
      <w:r>
        <w:rPr>
          <w:rStyle w:val="optioncarChar"/>
        </w:rPr>
        <w:t>18</w:t>
      </w:r>
      <w:r>
        <w:t> (par défaut)</w:t>
      </w:r>
      <w:r>
        <w:rPr>
          <w:rStyle w:val="optioncarChar"/>
        </w:rPr>
        <w:t> / ***</w:t>
      </w:r>
      <w:r>
        <w:t> mm</w:t>
      </w:r>
      <w:r>
        <w:br/>
      </w:r>
      <w:r>
        <w:rPr>
          <w:b/>
        </w:rPr>
        <w:t>***OPTION 2</w:t>
      </w:r>
      <w:r>
        <w:t xml:space="preserve"> : ébrasements avec feuillure fraisée, épaisseur minimale de l'ébrasement = </w:t>
      </w:r>
      <w:r>
        <w:rPr>
          <w:rStyle w:val="optioncarChar"/>
        </w:rPr>
        <w:t>22 </w:t>
      </w:r>
      <w:r>
        <w:t>(par défaut) / ***</w:t>
      </w:r>
      <w:r>
        <w:rPr>
          <w:rStyle w:val="optioncarChar"/>
        </w:rPr>
        <w:t> </w:t>
      </w:r>
      <w:r>
        <w:t>mm</w:t>
      </w:r>
    </w:p>
    <w:p w14:paraId="46091527" w14:textId="77777777" w:rsidR="004B2808" w:rsidRDefault="00000000">
      <w:pPr>
        <w:pStyle w:val="Author-eListParagraph"/>
        <w:numPr>
          <w:ilvl w:val="0"/>
          <w:numId w:val="1250"/>
        </w:numPr>
      </w:pPr>
      <w:r>
        <w:t xml:space="preserve">Lorsque le chambranle de porte est destiné à contenir la porte, il est pourvu d'une batée dont la section est d'au moins </w:t>
      </w:r>
      <w:r>
        <w:rPr>
          <w:rStyle w:val="optioncarChar"/>
        </w:rPr>
        <w:t>15 x 15</w:t>
      </w:r>
      <w:r>
        <w:t> (par défaut)</w:t>
      </w:r>
      <w:r>
        <w:rPr>
          <w:rStyle w:val="optioncarChar"/>
        </w:rPr>
        <w:t xml:space="preserve"> / 15 x 20 / ***</w:t>
      </w:r>
      <w:r>
        <w:t xml:space="preserve"> mm et qui est embrevée dans l'ébrasement d'environ 5 mm .</w:t>
      </w:r>
    </w:p>
    <w:p w14:paraId="657D5BEC" w14:textId="77777777" w:rsidR="004B2808" w:rsidRDefault="00000000">
      <w:pPr>
        <w:pStyle w:val="Author-eListParagraph"/>
        <w:numPr>
          <w:ilvl w:val="0"/>
          <w:numId w:val="1250"/>
        </w:numPr>
      </w:pPr>
      <w:r>
        <w:lastRenderedPageBreak/>
        <w:t>Les huisseries de portes sont prévues:</w:t>
      </w:r>
      <w:r>
        <w:br/>
      </w:r>
      <w:r>
        <w:rPr>
          <w:b/>
        </w:rPr>
        <w:t xml:space="preserve">Choix opéré : </w:t>
      </w:r>
      <w:r>
        <w:rPr>
          <w:rStyle w:val="optioncarChar"/>
          <w:b/>
        </w:rPr>
        <w:t>*** / OPTION 1 </w:t>
      </w:r>
      <w:r>
        <w:t xml:space="preserve">(par défaut) </w:t>
      </w:r>
      <w:r>
        <w:rPr>
          <w:rStyle w:val="optioncarChar"/>
          <w:b/>
        </w:rPr>
        <w:t>/OPTION 2 </w:t>
      </w:r>
    </w:p>
    <w:p w14:paraId="153C5603" w14:textId="77777777" w:rsidR="004B2808" w:rsidRDefault="00000000">
      <w:pPr>
        <w:pStyle w:val="Author-eListParagraph"/>
        <w:numPr>
          <w:ilvl w:val="0"/>
          <w:numId w:val="1250"/>
        </w:numPr>
      </w:pPr>
      <w:r>
        <w:rPr>
          <w:b/>
        </w:rPr>
        <w:t>***OPTION 1 (par défaut)</w:t>
      </w:r>
      <w:r>
        <w:t xml:space="preserve"> : avec couvre-joints d'au moins </w:t>
      </w:r>
      <w:r>
        <w:rPr>
          <w:rStyle w:val="optioncarChar"/>
        </w:rPr>
        <w:t>15 x 60</w:t>
      </w:r>
      <w:r>
        <w:t> (par défaut) </w:t>
      </w:r>
      <w:r>
        <w:rPr>
          <w:rStyle w:val="optioncarChar"/>
        </w:rPr>
        <w:t>/ *** </w:t>
      </w:r>
      <w:r>
        <w:t>mm.</w:t>
      </w:r>
      <w:r>
        <w:br/>
      </w:r>
      <w:r>
        <w:rPr>
          <w:b/>
        </w:rPr>
        <w:t>***OPTION 2</w:t>
      </w:r>
      <w:r>
        <w:t xml:space="preserve"> : </w:t>
      </w:r>
      <w:r>
        <w:rPr>
          <w:rStyle w:val="optioncarChar"/>
        </w:rPr>
        <w:t>sans couvre-joints, selon le dessin de détail, avec joints en retrait </w:t>
      </w:r>
      <w:r>
        <w:t>(par défaut)</w:t>
      </w:r>
      <w:r>
        <w:rPr>
          <w:rStyle w:val="optioncarChar"/>
        </w:rPr>
        <w:t xml:space="preserve"> / ***</w:t>
      </w:r>
      <w:r>
        <w:t> </w:t>
      </w:r>
    </w:p>
    <w:p w14:paraId="46BC6C6F" w14:textId="77777777" w:rsidR="004B2808" w:rsidRDefault="00000000">
      <w:pPr>
        <w:pStyle w:val="pheading"/>
      </w:pPr>
      <w:r>
        <w:t>- Finitions</w:t>
      </w:r>
    </w:p>
    <w:p w14:paraId="4598B2C5" w14:textId="77777777" w:rsidR="004B2808" w:rsidRDefault="00000000">
      <w:r>
        <w:t xml:space="preserve">Finition : l'ensemble est destiné à être </w:t>
      </w:r>
      <w:r>
        <w:rPr>
          <w:rStyle w:val="optioncarChar"/>
        </w:rPr>
        <w:t>peint</w:t>
      </w:r>
      <w:r>
        <w:t> (par défaut)</w:t>
      </w:r>
      <w:r>
        <w:rPr>
          <w:rStyle w:val="optioncarChar"/>
        </w:rPr>
        <w:t xml:space="preserve"> / vernis / ***</w:t>
      </w:r>
      <w:r>
        <w:t xml:space="preserve"> selon l'article 81.22 Finitions / décorations intérieures de surface en bois (menuiseries intérieures, murs, plafonds)</w:t>
      </w:r>
    </w:p>
    <w:p w14:paraId="0E0EFE3F" w14:textId="77777777" w:rsidR="004B2808" w:rsidRDefault="00000000">
      <w:pPr>
        <w:pStyle w:val="pheading"/>
      </w:pPr>
      <w:r>
        <w:t>- Prescriptions complémentaires</w:t>
      </w:r>
    </w:p>
    <w:p w14:paraId="703C5FB8" w14:textId="77777777" w:rsidR="004B2808" w:rsidRDefault="00000000">
      <w:r>
        <w:t xml:space="preserve">Les portes sont conçues comme un châssis à pose affleurante jusqu'au plafond (avec </w:t>
      </w:r>
      <w:r>
        <w:rPr>
          <w:rStyle w:val="optioncarChar"/>
        </w:rPr>
        <w:t>vantaux vitrés </w:t>
      </w:r>
      <w:r>
        <w:t>(par défaut)</w:t>
      </w:r>
      <w:r>
        <w:rPr>
          <w:rStyle w:val="optioncarChar"/>
        </w:rPr>
        <w:t xml:space="preserve"> / imposte / ***</w:t>
      </w:r>
      <w:r>
        <w:t xml:space="preserve">). La feuillure des portes est embrevée sur une profondeur de </w:t>
      </w:r>
      <w:r>
        <w:rPr>
          <w:rStyle w:val="optioncarChar"/>
        </w:rPr>
        <w:t>10</w:t>
      </w:r>
      <w:r>
        <w:t> (par défaut)</w:t>
      </w:r>
      <w:r>
        <w:rPr>
          <w:rStyle w:val="optioncarChar"/>
        </w:rPr>
        <w:t> / ***</w:t>
      </w:r>
      <w:r>
        <w:t> mm dans le chambranle. Les ébrasements latéraux vont jusqu'au plafond, la traverse supérieure horizontale est</w:t>
      </w:r>
      <w:r>
        <w:rPr>
          <w:rStyle w:val="optioncarChar"/>
        </w:rPr>
        <w:t> posée aussi près que possible du plafond </w:t>
      </w:r>
      <w:r>
        <w:t>(par défaut)</w:t>
      </w:r>
      <w:r>
        <w:rPr>
          <w:rStyle w:val="optioncarChar"/>
        </w:rPr>
        <w:t xml:space="preserve"> / absente / ***</w:t>
      </w:r>
      <w:r>
        <w:br/>
        <w:t>La finition des bords se compose de lattes sciées sur mesure, insérées entre les montants latéraux afin de créer un faux joint en creux. Il est déterminé sur le chantier si le chambranle affleurant doit dépasser ou non de la face du mur et de quelle épaisseur.</w:t>
      </w:r>
      <w:r>
        <w:br/>
        <w:t xml:space="preserve">Les impostes sont fabriquées dans un morceau de vantail de porte, conformément à la description de l'article </w:t>
      </w:r>
      <w:r>
        <w:rPr>
          <w:shd w:val="clear" w:color="auto" w:fill="FFFFFF"/>
        </w:rPr>
        <w:t>respectif .</w:t>
      </w:r>
      <w:r>
        <w:t>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r>
        <w:b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573115D2" w14:textId="77777777" w:rsidR="004B2808" w:rsidRDefault="00000000">
      <w:pPr>
        <w:pStyle w:val="pheading"/>
      </w:pPr>
      <w:r>
        <w:t>EXÉCUTION / MISE EN ŒUVRE</w:t>
      </w:r>
    </w:p>
    <w:p w14:paraId="111EFC6C" w14:textId="77777777" w:rsidR="004B2808" w:rsidRDefault="00000000">
      <w:pPr>
        <w:pStyle w:val="pheading"/>
      </w:pPr>
      <w:r>
        <w:t>- Prescriptions générales</w:t>
      </w:r>
    </w:p>
    <w:p w14:paraId="6CC67A9F" w14:textId="77777777" w:rsidR="004B2808" w:rsidRDefault="00000000">
      <w:r>
        <w:t>Les encadrements pour les portes ouvrantes et va-et-vient sont fixés au gros-œuvre le plus près possible des organes de suspension des vantaux et des ferme-porte. Le bois de l’huisserie de porte ne peut entrer directement en contact avec la maçonnerie. Les cales entre le mur/le linteau et les ébrasements sont des pièces de bois massif ou de contre-plaqué, fixées par des clous à longue pointe. L'ébrasement est fixé au gros-œuvre par au moins six points de fixation par baie, sans tenir compte des fixations supplémentaires nécessaires pour un éventuel ferme-porte. La fixation centrale au linteau est obligatoire pour toutes les traverses supérieures dont la longueur dépasse 100 cm . Les doubles portes sont fixées dans le haut en trois points au moins.</w:t>
      </w:r>
      <w:r>
        <w:br/>
        <w:t>La tête des ébrasements est légèrement biseautée afin que les couvre-joints puissent être posés de façon que seuls les bords extérieurs entre en contact avec le plafonnage ou la maçonnerie. Les ébrasements pour les portes prévues avec des couvre-joints présentent donc une surlargeur de 2 à 3 mm par rapport à la face finie du mur.</w:t>
      </w:r>
      <w:r>
        <w:br/>
        <w:t>Les encadrements de portes sont fixés aux ébrasements et/ou aux blochets dans la maçonnerie à l'aide de clous à longue pointe et tête ronde d'une longueur d'au moins 5 cm . Les têtes sont enfoncées dans le bois à l'aide d'un chasse-clou.</w:t>
      </w:r>
      <w:r>
        <w:br/>
        <w:t>Les paumelles sont chaque fois encastrées, alignées et fixées avec au moins 4 vis inoxydables à tête fraisée.</w:t>
      </w:r>
      <w:r>
        <w:br/>
        <w:t xml:space="preserve">Le trous de vis et de clous ainsi que les joints sont remplis d'un </w:t>
      </w:r>
      <w:r>
        <w:rPr>
          <w:rStyle w:val="optioncarChar"/>
        </w:rPr>
        <w:t>mastic</w:t>
      </w:r>
      <w:r>
        <w:t> (par défaut)</w:t>
      </w:r>
      <w:r>
        <w:rPr>
          <w:rStyle w:val="optioncarChar"/>
        </w:rPr>
        <w:t xml:space="preserve"> / pâte à bois / ***</w:t>
      </w:r>
      <w:r>
        <w:t xml:space="preserve"> approprié. L'ensemble est poncé et fini afin d'être prêt à peindre.</w:t>
      </w:r>
    </w:p>
    <w:p w14:paraId="155B193B" w14:textId="77777777" w:rsidR="004B2808" w:rsidRDefault="00000000">
      <w:pPr>
        <w:pStyle w:val="pheading"/>
      </w:pPr>
      <w:r>
        <w:t>MESURAGE</w:t>
      </w:r>
    </w:p>
    <w:p w14:paraId="62E39C76" w14:textId="77777777" w:rsidR="004B2808" w:rsidRDefault="00000000">
      <w:pPr>
        <w:pStyle w:val="pheading"/>
      </w:pPr>
      <w:r>
        <w:t>- unité de mesure:</w:t>
      </w:r>
    </w:p>
    <w:p w14:paraId="50F64544" w14:textId="77777777" w:rsidR="004B2808" w:rsidRDefault="00000000">
      <w:r>
        <w:t>-</w:t>
      </w:r>
    </w:p>
    <w:p w14:paraId="12CC18D9" w14:textId="77777777" w:rsidR="004B2808" w:rsidRDefault="00000000">
      <w:pPr>
        <w:pStyle w:val="pheading"/>
      </w:pPr>
      <w:r>
        <w:t>- code de mesurage:</w:t>
      </w:r>
    </w:p>
    <w:p w14:paraId="3AE1F9D3" w14:textId="77777777" w:rsidR="004B2808" w:rsidRDefault="00000000">
      <w:r>
        <w:lastRenderedPageBreak/>
        <w:t>Compris dans le prix des vantaux de porte.</w:t>
      </w:r>
    </w:p>
    <w:p w14:paraId="0A39E7F3" w14:textId="77777777" w:rsidR="004B2808" w:rsidRDefault="00000000">
      <w:pPr>
        <w:pStyle w:val="pheading"/>
      </w:pPr>
      <w:r>
        <w:t>- nature du marché:</w:t>
      </w:r>
    </w:p>
    <w:p w14:paraId="6A841603" w14:textId="77777777" w:rsidR="004B2808" w:rsidRDefault="00000000">
      <w:r>
        <w:t>PM</w:t>
      </w:r>
    </w:p>
    <w:p w14:paraId="684D6EE4" w14:textId="77777777" w:rsidR="004B2808" w:rsidRDefault="00000000">
      <w:pPr>
        <w:pStyle w:val="Author-eSectionHeading5Numberless"/>
      </w:pPr>
      <w:bookmarkStart w:id="1337" w:name="_Toc220491446"/>
      <w:r>
        <w:t>55.63.2 Huisseries métalliques CCTB 01.02</w:t>
      </w:r>
      <w:bookmarkEnd w:id="1337"/>
    </w:p>
    <w:p w14:paraId="7DA4200E" w14:textId="77777777" w:rsidR="004B2808" w:rsidRDefault="00000000">
      <w:pPr>
        <w:pStyle w:val="Author-eSectionHeading6Numberless"/>
      </w:pPr>
      <w:bookmarkStart w:id="1338" w:name="_Toc220491447"/>
      <w:r>
        <w:t>55.63.2a Huisseries métalliques - en acier CCTB 01.10</w:t>
      </w:r>
      <w:bookmarkEnd w:id="1338"/>
    </w:p>
    <w:p w14:paraId="1C6EA343" w14:textId="77777777" w:rsidR="004B2808" w:rsidRDefault="00000000">
      <w:pPr>
        <w:pStyle w:val="pheading"/>
      </w:pPr>
      <w:r>
        <w:t>MATÉRIAUX</w:t>
      </w:r>
    </w:p>
    <w:p w14:paraId="5B7A03A6" w14:textId="77777777" w:rsidR="004B2808" w:rsidRDefault="00000000">
      <w:pPr>
        <w:pStyle w:val="pheading"/>
      </w:pPr>
      <w:r>
        <w:t>- Caractéristiques générales</w:t>
      </w:r>
    </w:p>
    <w:p w14:paraId="72EAEDFD" w14:textId="77777777" w:rsidR="004B2808" w:rsidRDefault="00000000">
      <w:r>
        <w:t>Spécifications - huisseries de portes</w:t>
      </w:r>
    </w:p>
    <w:p w14:paraId="39B8F853" w14:textId="77777777" w:rsidR="004B2808" w:rsidRDefault="00000000">
      <w:pPr>
        <w:pStyle w:val="Author-eListParagraph"/>
        <w:numPr>
          <w:ilvl w:val="0"/>
          <w:numId w:val="1251"/>
        </w:numPr>
      </w:pPr>
      <w:r>
        <w:t>Largeur du retour (moulure profilée) :</w:t>
      </w:r>
      <w:r>
        <w:rPr>
          <w:rStyle w:val="optioncarChar"/>
        </w:rPr>
        <w:t> 30</w:t>
      </w:r>
      <w:r>
        <w:t> (par défaut)</w:t>
      </w:r>
      <w:r>
        <w:rPr>
          <w:rStyle w:val="optioncarChar"/>
        </w:rPr>
        <w:t> / ***  </w:t>
      </w:r>
      <w:r>
        <w:t>mm.</w:t>
      </w:r>
    </w:p>
    <w:p w14:paraId="081B53E9" w14:textId="77777777" w:rsidR="004B2808" w:rsidRDefault="00000000">
      <w:pPr>
        <w:pStyle w:val="Author-eListParagraph"/>
        <w:numPr>
          <w:ilvl w:val="0"/>
          <w:numId w:val="1251"/>
        </w:numPr>
      </w:pPr>
      <w:r>
        <w:t xml:space="preserve">Epaisseur nominale des plaques : minimum </w:t>
      </w:r>
      <w:r>
        <w:rPr>
          <w:rStyle w:val="optioncarChar"/>
        </w:rPr>
        <w:t>1,5 </w:t>
      </w:r>
      <w:r>
        <w:t>(par défaut) / *** mm (tolérance +/- 0,05 mm )</w:t>
      </w:r>
    </w:p>
    <w:p w14:paraId="1B6EB743" w14:textId="77777777" w:rsidR="004B2808" w:rsidRDefault="00000000">
      <w:pPr>
        <w:pStyle w:val="Author-eListParagraph"/>
        <w:numPr>
          <w:ilvl w:val="0"/>
          <w:numId w:val="1251"/>
        </w:numPr>
      </w:pPr>
      <w:r>
        <w:t xml:space="preserve">Type de feuille de porte : </w:t>
      </w:r>
      <w:r>
        <w:rPr>
          <w:rStyle w:val="optioncarChar"/>
        </w:rPr>
        <w:t>porte à feuillure </w:t>
      </w:r>
      <w:r>
        <w:t>(par défaut)</w:t>
      </w:r>
      <w:r>
        <w:rPr>
          <w:rStyle w:val="optioncarChar"/>
        </w:rPr>
        <w:t xml:space="preserve"> / porte à recouvrement / ***</w:t>
      </w:r>
    </w:p>
    <w:p w14:paraId="01793FDD" w14:textId="77777777" w:rsidR="004B2808" w:rsidRDefault="00000000">
      <w:pPr>
        <w:pStyle w:val="Author-eListParagraph"/>
        <w:numPr>
          <w:ilvl w:val="0"/>
          <w:numId w:val="1251"/>
        </w:numPr>
      </w:pPr>
      <w:r>
        <w:t xml:space="preserve">Type d’huisserie : </w:t>
      </w:r>
      <w:r>
        <w:rPr>
          <w:rStyle w:val="optioncarChar"/>
        </w:rPr>
        <w:t>huisseries de portes préformées à encastrer </w:t>
      </w:r>
      <w:r>
        <w:t>(par défaut)</w:t>
      </w:r>
      <w:r>
        <w:rPr>
          <w:rStyle w:val="optioncarChar"/>
        </w:rPr>
        <w:t xml:space="preserve"> / huisseries de portes à assembler et souder / huisseries de portes à assembler par emboîtement / huisseries de portes à monter à onglet mécanique (composées de trois parties préformées) / ***.</w:t>
      </w:r>
    </w:p>
    <w:p w14:paraId="2393AF71" w14:textId="77777777" w:rsidR="004B2808" w:rsidRDefault="00000000">
      <w:pPr>
        <w:pStyle w:val="Author-eListParagraph"/>
        <w:numPr>
          <w:ilvl w:val="0"/>
          <w:numId w:val="1251"/>
        </w:numPr>
      </w:pPr>
      <w:r>
        <w:t xml:space="preserve">La batée est </w:t>
      </w:r>
      <w:r>
        <w:rPr>
          <w:rStyle w:val="optioncarChar"/>
        </w:rPr>
        <w:t>pliée dans l'ensemble</w:t>
      </w:r>
      <w:r>
        <w:t> (par défaut)</w:t>
      </w:r>
      <w:r>
        <w:rPr>
          <w:rStyle w:val="optioncarChar"/>
        </w:rPr>
        <w:t xml:space="preserve"> / fabriquée dans un profil d'acier vissé sur l'ébrasement / fabriquée dans un profil d'aluminium vissé sur l'ébrasement et pourvu d'un joint d'étanchéité élastomère continu / de trois butoirs élastomères / *** ﻿﻿ </w:t>
      </w:r>
      <w:r>
        <w:t>﻿</w:t>
      </w:r>
    </w:p>
    <w:p w14:paraId="73BE57B1" w14:textId="77777777" w:rsidR="004B2808" w:rsidRDefault="00000000">
      <w:pPr>
        <w:pStyle w:val="Author-eListParagraph"/>
        <w:numPr>
          <w:ilvl w:val="0"/>
          <w:numId w:val="1251"/>
        </w:numPr>
      </w:pPr>
      <w:r>
        <w:t>Les huisseries en acier satisfont aux spécifications des  [STS 53.1] et [STS 36].</w:t>
      </w:r>
    </w:p>
    <w:p w14:paraId="68371E3E" w14:textId="77777777" w:rsidR="004B2808" w:rsidRDefault="00000000">
      <w:pPr>
        <w:pStyle w:val="Author-eListParagraph"/>
        <w:numPr>
          <w:ilvl w:val="0"/>
          <w:numId w:val="1252"/>
        </w:numPr>
      </w:pPr>
      <w:r>
        <w:t>Les huisseries se composent, soit d'éléments en une seule pièce, soit en deux éléments tout au plus. Sauf exception, chaque élément est fabriqué par pliage de plaques d'un seul tenant. Les éléments composés sont soudés aux angles.</w:t>
      </w:r>
    </w:p>
    <w:p w14:paraId="25901933" w14:textId="77777777" w:rsidR="004B2808" w:rsidRDefault="00000000">
      <w:pPr>
        <w:pStyle w:val="Author-eListParagraph"/>
        <w:numPr>
          <w:ilvl w:val="0"/>
          <w:numId w:val="1252"/>
        </w:numPr>
      </w:pPr>
      <w:r>
        <w:t xml:space="preserve">Tôle d'acier : acier galvanisable type A 37 pour les parties non soudées et type A 37 SC pour les parties soudées. Les plaques d'acier parfaitement lisses, sans défaut de laminage, d'extrusion et/ou de coulage, présentent une épaisseur nominale de </w:t>
      </w:r>
      <w:r>
        <w:rPr>
          <w:rStyle w:val="optioncarChar"/>
        </w:rPr>
        <w:t>1,5 </w:t>
      </w:r>
      <w:r>
        <w:t>(par défaut)</w:t>
      </w:r>
      <w:r>
        <w:rPr>
          <w:rStyle w:val="optioncarChar"/>
        </w:rPr>
        <w:t xml:space="preserve"> / *** </w:t>
      </w:r>
      <w:r>
        <w:t>mm, y compris le revêtement en zinc ou alliage de zinc (écart admissible 0,1mm).</w:t>
      </w:r>
    </w:p>
    <w:p w14:paraId="242389DA" w14:textId="77777777" w:rsidR="004B2808" w:rsidRDefault="00000000">
      <w:pPr>
        <w:pStyle w:val="Author-eListParagraph"/>
        <w:numPr>
          <w:ilvl w:val="0"/>
          <w:numId w:val="1253"/>
        </w:numPr>
        <w:ind w:left="450"/>
      </w:pPr>
      <w:r>
        <w:t>La protection de l'acier pour les huisseries intérieures se fait au choix en utilisant:</w:t>
      </w:r>
    </w:p>
    <w:p w14:paraId="026C3F40" w14:textId="77777777" w:rsidR="004B2808" w:rsidRDefault="00000000">
      <w:r>
        <w:t>Choix opéré :</w:t>
      </w:r>
      <w:r>
        <w:rPr>
          <w:rStyle w:val="optioncarChar"/>
          <w:b/>
        </w:rPr>
        <w:t>*** / OPTION 1</w:t>
      </w:r>
      <w:r>
        <w:t xml:space="preserve"> (par défaut) </w:t>
      </w:r>
      <w:r>
        <w:rPr>
          <w:rStyle w:val="optioncarChar"/>
          <w:b/>
        </w:rPr>
        <w:t>/ OPTION 2 / OPTION 3 / OPTION 4</w:t>
      </w:r>
    </w:p>
    <w:p w14:paraId="0DC31F91" w14:textId="77777777" w:rsidR="004B2808" w:rsidRDefault="00000000">
      <w:pPr>
        <w:ind w:left="450"/>
      </w:pPr>
      <w:r>
        <w:rPr>
          <w:b/>
        </w:rPr>
        <w:t>***OPTION 1</w:t>
      </w:r>
      <w:r>
        <w:t xml:space="preserve"> : des tôles d'acier galvanisées Sendzimir sur les deux faces [NBN EN 10346] , classe Zn 275 (soit 275 g/m2) ou ZF 180</w:t>
      </w:r>
      <w:r>
        <w:br/>
      </w:r>
      <w:r>
        <w:rPr>
          <w:b/>
        </w:rPr>
        <w:t xml:space="preserve">***OPTION 2 </w:t>
      </w:r>
      <w:r>
        <w:t>: de l'acier galvanisé par électrolyse ,</w:t>
      </w:r>
      <w:r>
        <w:br/>
      </w:r>
      <w:r>
        <w:rPr>
          <w:b/>
        </w:rPr>
        <w:t>***OPTION 3</w:t>
      </w:r>
      <w:r>
        <w:t xml:space="preserve"> : des tôles d'acier revêtues, selon la [NBN EN 10130] , métallisées par pulvérisation sur les deux faces d'une couche de zinc classe Zn 20 (soit 125 g/m2) selon la [NBN 755] (attention : ne convient pas pour les peintures à la poudre).</w:t>
      </w:r>
      <w:r>
        <w:br/>
      </w:r>
      <w:r>
        <w:rPr>
          <w:b/>
        </w:rPr>
        <w:t xml:space="preserve">***OPTION 4 </w:t>
      </w:r>
      <w:r>
        <w:t>: de l'acier phosphaté : acier purifié, soit par sablage avec une matière abrasive, soit par décapage chimique ou thermique. Après le traitement, toute trace de peau de laminage ou de rouille doit avoir disparu. Le phosphatage est exécuté jusqu' à saturation dans un bain approprié, chauffé à la température adaptée, en fonction du procédé choisi. Après le rinçage à l'eau d'environ 100°C et le séchage, la menuiserie est traitée avec une couche de peinture au chromate de zinc (attention : ne convient pas pour les peintures par poudrage).</w:t>
      </w:r>
    </w:p>
    <w:p w14:paraId="119EC2B1" w14:textId="77777777" w:rsidR="004B2808" w:rsidRDefault="00000000">
      <w:pPr>
        <w:pStyle w:val="Author-eListParagraph"/>
        <w:numPr>
          <w:ilvl w:val="0"/>
          <w:numId w:val="1254"/>
        </w:numPr>
      </w:pPr>
      <w:r>
        <w:t>Toutes les faces des huisseries sont protégées contre la corrosion par un revêtement au zinc.</w:t>
      </w:r>
    </w:p>
    <w:p w14:paraId="129FAF95" w14:textId="77777777" w:rsidR="004B2808" w:rsidRDefault="00000000">
      <w:r>
        <w:br/>
        <w:t>Le revêtement par poudrage électrostatique s'effectue comme suit :   </w:t>
      </w:r>
    </w:p>
    <w:p w14:paraId="131FB236" w14:textId="77777777" w:rsidR="004B2808" w:rsidRDefault="00000000">
      <w:pPr>
        <w:pStyle w:val="Author-eListParagraph"/>
        <w:numPr>
          <w:ilvl w:val="0"/>
          <w:numId w:val="1255"/>
        </w:numPr>
      </w:pPr>
      <w:r>
        <w:t>Le matériau galvanisé doit être préparé en vue du revêtement par poudrage selon [NBN EN 15773].</w:t>
      </w:r>
    </w:p>
    <w:p w14:paraId="4204753E" w14:textId="77777777" w:rsidR="004B2808" w:rsidRDefault="00000000">
      <w:pPr>
        <w:pStyle w:val="Author-eListParagraph"/>
        <w:numPr>
          <w:ilvl w:val="0"/>
          <w:numId w:val="1255"/>
        </w:numPr>
      </w:pPr>
      <w:r>
        <w:t>Dégraissage dans un bain alcalin chaud et rinçage.</w:t>
      </w:r>
    </w:p>
    <w:p w14:paraId="4012AB22" w14:textId="77777777" w:rsidR="004B2808" w:rsidRDefault="00000000">
      <w:pPr>
        <w:pStyle w:val="Author-eListParagraph"/>
        <w:numPr>
          <w:ilvl w:val="0"/>
          <w:numId w:val="1255"/>
        </w:numPr>
      </w:pPr>
      <w:r>
        <w:t>Mordançage dans de l'acide phosphorique inhibé (élimination des crasses et de la corrosion du zinc par mordançage acide), rinçage à l'eau courante et second rinçage.</w:t>
      </w:r>
    </w:p>
    <w:p w14:paraId="273C0880" w14:textId="77777777" w:rsidR="004B2808" w:rsidRDefault="00000000">
      <w:pPr>
        <w:pStyle w:val="Author-eListParagraph"/>
        <w:numPr>
          <w:ilvl w:val="0"/>
          <w:numId w:val="1255"/>
        </w:numPr>
      </w:pPr>
      <w:r>
        <w:lastRenderedPageBreak/>
        <w:t>Chromatage hexavalent par traitement de conversion chimique.</w:t>
      </w:r>
    </w:p>
    <w:p w14:paraId="451EE579" w14:textId="77777777" w:rsidR="004B2808" w:rsidRDefault="00000000">
      <w:pPr>
        <w:pStyle w:val="Author-eListParagraph"/>
        <w:numPr>
          <w:ilvl w:val="0"/>
          <w:numId w:val="1255"/>
        </w:numPr>
      </w:pPr>
      <w:r>
        <w:t>Rinçage et second rinçage à l'eau déminéralisée.</w:t>
      </w:r>
    </w:p>
    <w:p w14:paraId="4D563E07" w14:textId="77777777" w:rsidR="004B2808" w:rsidRDefault="00000000">
      <w:pPr>
        <w:pStyle w:val="Author-eListParagraph"/>
        <w:numPr>
          <w:ilvl w:val="0"/>
          <w:numId w:val="1255"/>
        </w:numPr>
      </w:pPr>
      <w:r>
        <w:t>Séchage à environ 65mC à maximum 70mC.</w:t>
      </w:r>
    </w:p>
    <w:p w14:paraId="0096820A" w14:textId="77777777" w:rsidR="004B2808" w:rsidRDefault="00000000">
      <w:pPr>
        <w:pStyle w:val="Author-eListParagraph"/>
        <w:numPr>
          <w:ilvl w:val="0"/>
          <w:numId w:val="1255"/>
        </w:numPr>
      </w:pPr>
      <w:r>
        <w:t>Laquage électrostatique à la poudre, la couche ayant une épaisseur moyenne de 80 microns.</w:t>
      </w:r>
    </w:p>
    <w:p w14:paraId="290777E6" w14:textId="77777777" w:rsidR="004B2808" w:rsidRDefault="00000000">
      <w:pPr>
        <w:pStyle w:val="Author-eListParagraph"/>
        <w:numPr>
          <w:ilvl w:val="0"/>
          <w:numId w:val="1255"/>
        </w:numPr>
      </w:pPr>
      <w:r>
        <w:t>Le durcissement par convection se fait à la température prescrite par le fabricant de la poudre. </w:t>
      </w:r>
    </w:p>
    <w:p w14:paraId="1E8F8A39" w14:textId="77777777" w:rsidR="004B2808" w:rsidRDefault="00000000">
      <w:r>
        <w:br/>
        <w:t>Le contrôle de la qualité se fait à l'aide de plaquettes d'essai qui sont soumises aux essais normalisés suivants directement après le durcissement :   </w:t>
      </w:r>
    </w:p>
    <w:p w14:paraId="03B67F9F" w14:textId="77777777" w:rsidR="004B2808" w:rsidRDefault="00000000">
      <w:pPr>
        <w:pStyle w:val="Author-eListParagraph"/>
        <w:numPr>
          <w:ilvl w:val="0"/>
          <w:numId w:val="1256"/>
        </w:numPr>
      </w:pPr>
      <w:r>
        <w:t>Mesurage de l'épaisseur de la couche</w:t>
      </w:r>
    </w:p>
    <w:p w14:paraId="0B4A967F" w14:textId="77777777" w:rsidR="004B2808" w:rsidRDefault="00000000">
      <w:pPr>
        <w:pStyle w:val="Author-eListParagraph"/>
        <w:numPr>
          <w:ilvl w:val="0"/>
          <w:numId w:val="1256"/>
        </w:numPr>
      </w:pPr>
      <w:r>
        <w:t>Degré de brillance</w:t>
      </w:r>
    </w:p>
    <w:p w14:paraId="477C49E9" w14:textId="77777777" w:rsidR="004B2808" w:rsidRDefault="00000000">
      <w:pPr>
        <w:pStyle w:val="Author-eListParagraph"/>
        <w:numPr>
          <w:ilvl w:val="0"/>
          <w:numId w:val="1256"/>
        </w:numPr>
      </w:pPr>
      <w:r>
        <w:t>Dureté Buchholz</w:t>
      </w:r>
    </w:p>
    <w:p w14:paraId="062C4195" w14:textId="77777777" w:rsidR="004B2808" w:rsidRDefault="00000000">
      <w:pPr>
        <w:pStyle w:val="Author-eListParagraph"/>
        <w:numPr>
          <w:ilvl w:val="0"/>
          <w:numId w:val="1256"/>
        </w:numPr>
      </w:pPr>
      <w:r>
        <w:t>Essai de flexion</w:t>
      </w:r>
    </w:p>
    <w:p w14:paraId="6ADCA953" w14:textId="77777777" w:rsidR="004B2808" w:rsidRDefault="00000000">
      <w:pPr>
        <w:pStyle w:val="Author-eListParagraph"/>
        <w:numPr>
          <w:ilvl w:val="0"/>
          <w:numId w:val="1256"/>
        </w:numPr>
      </w:pPr>
      <w:r>
        <w:t>Résistance aux chocs</w:t>
      </w:r>
    </w:p>
    <w:p w14:paraId="2E58B7D6" w14:textId="77777777" w:rsidR="004B2808" w:rsidRDefault="00000000">
      <w:pPr>
        <w:pStyle w:val="Author-eListParagraph"/>
        <w:numPr>
          <w:ilvl w:val="0"/>
          <w:numId w:val="1257"/>
        </w:numPr>
      </w:pPr>
      <w:r>
        <w:t>Les résultats des essais sont mis à la disposition du maître de l'ouvrage.  Le contrôle de la protection est effectué suivant les recommandations de la norme [NBN EN 12502 série].</w:t>
      </w:r>
      <w:r>
        <w:br/>
        <w:t>La couleur de la couche de peinture est une couleur RAL à choisir en cours d'exécution par l'auteur de projet dans la gamme standard du fabricant. Sauf dispositions contraires, la finition est unie et satinée. Les encadrements de portes intérieures sont complètement laqués et protégés jusqu' à la réception.</w:t>
      </w:r>
    </w:p>
    <w:p w14:paraId="1C9148C3" w14:textId="77777777" w:rsidR="004B2808" w:rsidRDefault="00000000">
      <w:r>
        <w:t>Spécifications des huisseries de portes</w:t>
      </w:r>
    </w:p>
    <w:p w14:paraId="0CA12747" w14:textId="77777777" w:rsidR="004B2808" w:rsidRDefault="00000000">
      <w:pPr>
        <w:pStyle w:val="Author-eListParagraph"/>
        <w:numPr>
          <w:ilvl w:val="0"/>
          <w:numId w:val="1258"/>
        </w:numPr>
      </w:pPr>
      <w:r>
        <w:t>Les huisseries de portes sont adaptées à la forme de la porte et au type de vantail prescrits (porte à feuillure / porte à recouvrement). Le retour qui constitue le couvre-joint (encadrement) a au moins une largeur de 30 mm .</w:t>
      </w:r>
    </w:p>
    <w:p w14:paraId="1D6C7861" w14:textId="77777777" w:rsidR="004B2808" w:rsidRDefault="00000000">
      <w:pPr>
        <w:pStyle w:val="Author-eListParagraph"/>
        <w:numPr>
          <w:ilvl w:val="0"/>
          <w:numId w:val="1258"/>
        </w:numPr>
      </w:pPr>
      <w:r>
        <w:t>Les retours sont de largeur identique des deux côtés et symétriques afin d'éviter toute différence de hauteur. L'ébrasement qui est adapté à l'épaisseur du mur est, en principe, d'un seul tenant, les pièces qui s'emboîtent doivent être fixées de manière invisible.</w:t>
      </w:r>
    </w:p>
    <w:p w14:paraId="6552F3CF" w14:textId="77777777" w:rsidR="004B2808" w:rsidRDefault="00000000">
      <w:pPr>
        <w:pStyle w:val="Author-eListParagraph"/>
        <w:numPr>
          <w:ilvl w:val="0"/>
          <w:numId w:val="1258"/>
        </w:numPr>
      </w:pPr>
      <w:r>
        <w:t>Sauf dispositions spécifiques dans le cahier spécial des charges, l'entrepreneur peut choisir entre les différents types suivants, répartis en fonction du procédé d'assemblage :</w:t>
      </w:r>
    </w:p>
    <w:p w14:paraId="3A602C7C" w14:textId="77777777" w:rsidR="004B2808" w:rsidRDefault="00000000">
      <w:pPr>
        <w:ind w:left="450"/>
      </w:pPr>
      <w:r>
        <w:t>Choix opéré :</w:t>
      </w:r>
      <w:r>
        <w:rPr>
          <w:rStyle w:val="optioncarChar"/>
          <w:b/>
        </w:rPr>
        <w:t xml:space="preserve"> *** / OPTION 1 </w:t>
      </w:r>
      <w:r>
        <w:t xml:space="preserve">(par défaut) </w:t>
      </w:r>
      <w:r>
        <w:rPr>
          <w:rStyle w:val="optioncarChar"/>
          <w:b/>
        </w:rPr>
        <w:t>/ OPTION 2 / OPTION 3 / OPTION 4</w:t>
      </w:r>
    </w:p>
    <w:p w14:paraId="1697542F" w14:textId="77777777" w:rsidR="004B2808" w:rsidRDefault="00000000">
      <w:pPr>
        <w:ind w:left="450"/>
      </w:pPr>
      <w:r>
        <w:rPr>
          <w:b/>
        </w:rPr>
        <w:t>***OPTION 1</w:t>
      </w:r>
      <w:r>
        <w:t> (par défaut)</w:t>
      </w:r>
      <w:r>
        <w:rPr>
          <w:b/>
        </w:rPr>
        <w:t> </w:t>
      </w:r>
      <w:r>
        <w:t xml:space="preserve"> :  huisseries de porte préformées à encastrer.</w:t>
      </w:r>
      <w:r>
        <w:br/>
      </w:r>
      <w:r>
        <w:rPr>
          <w:b/>
        </w:rPr>
        <w:t>***OPTION 2</w:t>
      </w:r>
      <w:r>
        <w:t xml:space="preserve"> : huisseries de porte à assembler, composées d'éléments séparés qui doivent être soudés aux angles. Les soudures sont soigneusement polies et les protections endommagées sont retouchées.</w:t>
      </w:r>
      <w:r>
        <w:br/>
      </w:r>
      <w:r>
        <w:rPr>
          <w:b/>
        </w:rPr>
        <w:t>***OPTION 3</w:t>
      </w:r>
      <w:r>
        <w:t xml:space="preserve"> : huisseries de porte à assembler, composées de deux moitiés en acier qui s'emboîtent de façon à s'adapter à l'épaisseur du mur, avec un jeu de 3 à 4 cm . Les fixations des deux parties sont invisibles.</w:t>
      </w:r>
      <w:r>
        <w:br/>
      </w:r>
      <w:r>
        <w:rPr>
          <w:b/>
        </w:rPr>
        <w:t>***OPTION 4</w:t>
      </w:r>
      <w:r>
        <w:t xml:space="preserve"> : huisseries de porte à assembler, composées de deux côtés et une partie supérieure, attachée à la baie de porte à l'aide d'étriers et de griffes de sécurité, le creux étant rempli de plâtre.</w:t>
      </w:r>
    </w:p>
    <w:p w14:paraId="46855F53" w14:textId="77777777" w:rsidR="004B2808" w:rsidRDefault="00000000">
      <w:pPr>
        <w:pStyle w:val="Author-eListParagraph"/>
        <w:numPr>
          <w:ilvl w:val="0"/>
          <w:numId w:val="1259"/>
        </w:numPr>
      </w:pPr>
      <w:r>
        <w:t xml:space="preserve">Les huisseries de portes sont équipées de :     </w:t>
      </w:r>
    </w:p>
    <w:p w14:paraId="05A6BB3D" w14:textId="77777777" w:rsidR="004B2808" w:rsidRDefault="00000000">
      <w:pPr>
        <w:pStyle w:val="Author-eListParagraph"/>
        <w:numPr>
          <w:ilvl w:val="1"/>
          <w:numId w:val="1260"/>
        </w:numPr>
      </w:pPr>
      <w:r>
        <w:t>au moins 2 tringles d'espacement, fixées au pied des montants et qui dépassent de 3 cm sous le niveau du sol fini (pour les huisseries à encastrer).</w:t>
      </w:r>
    </w:p>
    <w:p w14:paraId="6869BC98" w14:textId="77777777" w:rsidR="004B2808" w:rsidRDefault="00000000">
      <w:pPr>
        <w:pStyle w:val="Author-eListParagraph"/>
        <w:numPr>
          <w:ilvl w:val="1"/>
          <w:numId w:val="1260"/>
        </w:numPr>
      </w:pPr>
      <w:r>
        <w:t>au moins 2 x 3 pattes d'ancrage, section 15/20 x 1,5 x 300 mm , galvanisées ou métallisées et fixées à l’huisserie à proximité des éléments de suspension et de fermeture. Pour les encadrements de porte dont la largeur est supérieure à 1000 mm , la traverse supérieure est également ancrée. Les pattes d'ancrage pour la fixation au gros-œuvre sont fixées à l'encadrement en usine.</w:t>
      </w:r>
    </w:p>
    <w:p w14:paraId="3B74FE38" w14:textId="77777777" w:rsidR="004B2808" w:rsidRDefault="00000000">
      <w:pPr>
        <w:pStyle w:val="Author-eListParagraph"/>
        <w:numPr>
          <w:ilvl w:val="1"/>
          <w:numId w:val="1260"/>
        </w:numPr>
      </w:pPr>
      <w:r>
        <w:t xml:space="preserve">au moins </w:t>
      </w:r>
      <w:r>
        <w:rPr>
          <w:rStyle w:val="optioncarChar"/>
        </w:rPr>
        <w:t>3 </w:t>
      </w:r>
      <w:r>
        <w:t>(par défaut)</w:t>
      </w:r>
      <w:r>
        <w:rPr>
          <w:rStyle w:val="optioncarChar"/>
        </w:rPr>
        <w:t xml:space="preserve"> / *** </w:t>
      </w:r>
      <w:r>
        <w:t xml:space="preserve">paumelles d'acier, avec bague d'usure et un nœud d'une épaisseur de 15 mm ; elles sont fixées par soudage ou vissage, tandis que les huisseries sont localement renforcées et protégées au droit des points de suspension. Attention : pour les portes ouvrantes dont le vantail présente une largeur </w:t>
      </w:r>
      <w:r>
        <w:lastRenderedPageBreak/>
        <w:t>supérieure à 900 mm , et pour les portes renforcées, il faut toujours prévoir 4 paumelles. Les paumelles sont dans tous les cas parfaitement alignées .</w:t>
      </w:r>
    </w:p>
    <w:p w14:paraId="12496C82" w14:textId="77777777" w:rsidR="004B2808" w:rsidRDefault="00000000">
      <w:pPr>
        <w:pStyle w:val="Author-eListParagraph"/>
        <w:numPr>
          <w:ilvl w:val="1"/>
          <w:numId w:val="1260"/>
        </w:numPr>
      </w:pPr>
      <w:r>
        <w:t>les trous de gâche ajustables sont pourvus de boîtiers de protection fermés .</w:t>
      </w:r>
    </w:p>
    <w:p w14:paraId="25D4799D" w14:textId="77777777" w:rsidR="004B2808" w:rsidRDefault="00000000">
      <w:pPr>
        <w:pStyle w:val="Author-eListParagraph"/>
        <w:numPr>
          <w:ilvl w:val="1"/>
          <w:numId w:val="1260"/>
        </w:numPr>
      </w:pPr>
      <w:r>
        <w:t>une latte de batée repliée sur le pourtour de l'ébrasement et prévue pour y insérer une étanchéité continue ou 3 butoirs en élastomère sert de batée pour les vantaux de porte. La latte de batée pour une porte ouvrante présente une largeur d'au moins 15 mm et est fabriquée en :</w:t>
      </w:r>
    </w:p>
    <w:p w14:paraId="634A5353" w14:textId="77777777" w:rsidR="004B2808" w:rsidRDefault="00000000">
      <w:pPr>
        <w:ind w:left="450"/>
      </w:pPr>
      <w:r>
        <w:t xml:space="preserve">Choix opéré </w:t>
      </w:r>
      <w:r>
        <w:rPr>
          <w:b/>
        </w:rPr>
        <w:t xml:space="preserve">: </w:t>
      </w:r>
      <w:r>
        <w:rPr>
          <w:rStyle w:val="optioncarChar"/>
          <w:b/>
        </w:rPr>
        <w:t>*** / OPTION 1</w:t>
      </w:r>
      <w:r>
        <w:t xml:space="preserve"> (par défaut)</w:t>
      </w:r>
      <w:r>
        <w:rPr>
          <w:rStyle w:val="optioncarChar"/>
          <w:b/>
        </w:rPr>
        <w:t> / OPTION 2 / OPTION 3</w:t>
      </w:r>
    </w:p>
    <w:p w14:paraId="356B8872" w14:textId="77777777" w:rsidR="004B2808" w:rsidRDefault="00000000">
      <w:pPr>
        <w:ind w:left="450"/>
      </w:pPr>
      <w:r>
        <w:rPr>
          <w:b/>
        </w:rPr>
        <w:t>***OPTION 1 </w:t>
      </w:r>
      <w:r>
        <w:t>(par défaut) : tôle d'acier, pliée dans la tôle de l'ébrasement et pourvue d'un profil d'étanchéité continu / trois amortisseurs en élastomère.</w:t>
      </w:r>
      <w:r>
        <w:br/>
      </w:r>
      <w:r>
        <w:rPr>
          <w:b/>
        </w:rPr>
        <w:t>***OPTION 2</w:t>
      </w:r>
      <w:r>
        <w:t xml:space="preserve"> : profil d'acier, vissé sur la plaque d'ébrasement et pourvu d'un profil d'étanchéité continu.</w:t>
      </w:r>
      <w:r>
        <w:br/>
      </w:r>
      <w:r>
        <w:rPr>
          <w:b/>
        </w:rPr>
        <w:t>***OPTION 3</w:t>
      </w:r>
      <w:r>
        <w:t xml:space="preserve"> : profil d'aluminium, vissé sur la plaque d'ébrasement et pourvu d'un profil d'étanchéité continu.</w:t>
      </w:r>
    </w:p>
    <w:p w14:paraId="795E4977" w14:textId="77777777" w:rsidR="004B2808" w:rsidRDefault="00000000">
      <w:pPr>
        <w:pStyle w:val="Author-eListParagraph"/>
        <w:numPr>
          <w:ilvl w:val="0"/>
          <w:numId w:val="1261"/>
        </w:numPr>
      </w:pPr>
      <w:r>
        <w:t>Lorsqu'un profil d'étanchéité élastomère continu est prévu, celui-ci doit pouvoir être remplacé et, sauf mention contraire, ancré dans la batée autour des vantaux, sans collage.</w:t>
      </w:r>
    </w:p>
    <w:p w14:paraId="31354215" w14:textId="77777777" w:rsidR="004B2808" w:rsidRDefault="00000000">
      <w:pPr>
        <w:pStyle w:val="Author-eListParagraph"/>
        <w:numPr>
          <w:ilvl w:val="0"/>
          <w:numId w:val="1261"/>
        </w:numPr>
      </w:pPr>
      <w:r>
        <w:t>Le modèle doit être préalablement soumis à l'approbation de la direction de chantier.</w:t>
      </w:r>
    </w:p>
    <w:p w14:paraId="6334F02D" w14:textId="77777777" w:rsidR="004B2808" w:rsidRDefault="00000000">
      <w:pPr>
        <w:pStyle w:val="pheading"/>
      </w:pPr>
      <w:r>
        <w:t>- Finitions</w:t>
      </w:r>
    </w:p>
    <w:p w14:paraId="00EED24E" w14:textId="77777777" w:rsidR="004B2808" w:rsidRDefault="00000000">
      <w:r>
        <w:t>Avant la mise en œuvre, les huisseries de portes sont: </w:t>
      </w:r>
    </w:p>
    <w:p w14:paraId="6506B9A6" w14:textId="77777777" w:rsidR="004B2808" w:rsidRDefault="00000000">
      <w:r>
        <w:t>Choix opéré :</w:t>
      </w:r>
      <w:r>
        <w:rPr>
          <w:rStyle w:val="optioncarChar"/>
          <w:b/>
        </w:rPr>
        <w:t xml:space="preserve">*** / OPTION 1 </w:t>
      </w:r>
      <w:r>
        <w:t>(par défaut) </w:t>
      </w:r>
      <w:r>
        <w:rPr>
          <w:rStyle w:val="optioncarChar"/>
          <w:b/>
        </w:rPr>
        <w:t>/ OPTION 2</w:t>
      </w:r>
    </w:p>
    <w:p w14:paraId="4E0D01CD" w14:textId="77777777" w:rsidR="004B2808" w:rsidRDefault="00000000">
      <w:r>
        <w:rPr>
          <w:b/>
        </w:rPr>
        <w:t>***OPTION 1</w:t>
      </w:r>
      <w:r>
        <w:t> </w:t>
      </w:r>
      <w:r>
        <w:rPr>
          <w:b/>
        </w:rPr>
        <w:t>(par défaut)</w:t>
      </w:r>
      <w:r>
        <w:t xml:space="preserve"> : entièrement enduites d'une couche de fond avec une peinture à base de phosphate de zinc ou pigmentée au minium de plomb et de fer, afin de pouvoir être peintes par la suite.</w:t>
      </w:r>
      <w:r>
        <w:br/>
      </w:r>
      <w:r>
        <w:rPr>
          <w:b/>
        </w:rPr>
        <w:t>***OPTION 2</w:t>
      </w:r>
      <w:r>
        <w:t xml:space="preserve"> : pourvues d'une laque polyester en une couche. La teinte de la laque est une couleur RAL déterminée pendant l'exécution par le maître de l'ouvrage dans la gamme de coloris standard proposés par le fabricant. Sauf dispositions contraires, la finition est unie et satinée. Les huisseries de portes sont entièrement laquées et dûment protégées jusqu'à la réception.</w:t>
      </w:r>
    </w:p>
    <w:p w14:paraId="640AFB60" w14:textId="77777777" w:rsidR="004B2808" w:rsidRDefault="00000000">
      <w:pPr>
        <w:pStyle w:val="pheading"/>
      </w:pPr>
      <w:r>
        <w:t>- Prescriptions complémentaires</w:t>
      </w:r>
    </w:p>
    <w:p w14:paraId="145A6CEA" w14:textId="77777777" w:rsidR="004B2808" w:rsidRDefault="00000000">
      <w:r>
        <w:t>Trous de gâche adaptés pour recevoir une serrure électrique.</w:t>
      </w:r>
    </w:p>
    <w:p w14:paraId="6C111B15" w14:textId="77777777" w:rsidR="004B2808" w:rsidRDefault="00000000">
      <w:pPr>
        <w:pStyle w:val="pheading"/>
      </w:pPr>
      <w:r>
        <w:t>EXÉCUTION / MISE EN ŒUVRE</w:t>
      </w:r>
    </w:p>
    <w:p w14:paraId="6748D8CE" w14:textId="77777777" w:rsidR="004B2808" w:rsidRDefault="00000000">
      <w:pPr>
        <w:pStyle w:val="pheading"/>
      </w:pPr>
      <w:r>
        <w:t>- Prescriptions générales</w:t>
      </w:r>
    </w:p>
    <w:p w14:paraId="70B2517E" w14:textId="77777777" w:rsidR="004B2808" w:rsidRDefault="00000000">
      <w:r>
        <w:t xml:space="preserve">Les huisseries de portes en acier sont posées d'aplomb et d'équerre. Les points de suspension sont alignés. En fonction du type, les huisseries de porte sont : </w:t>
      </w:r>
    </w:p>
    <w:p w14:paraId="03ED35E1" w14:textId="77777777" w:rsidR="004B2808" w:rsidRDefault="00000000">
      <w:r>
        <w:t>Choix opéré :</w:t>
      </w:r>
      <w:r>
        <w:rPr>
          <w:rStyle w:val="optioncarChar"/>
          <w:b/>
        </w:rPr>
        <w:t xml:space="preserve"> *** / OPTION 1 (intégré) </w:t>
      </w:r>
      <w:r>
        <w:t>(par défaut)</w:t>
      </w:r>
      <w:r>
        <w:rPr>
          <w:rStyle w:val="optioncarChar"/>
          <w:b/>
        </w:rPr>
        <w:t xml:space="preserve"> / OPTION 2 (posé) / OPTION 3 (vissé)</w:t>
      </w:r>
    </w:p>
    <w:p w14:paraId="3E38A9D1" w14:textId="77777777" w:rsidR="004B2808" w:rsidRDefault="00000000">
      <w:r>
        <w:rPr>
          <w:b/>
        </w:rPr>
        <w:t xml:space="preserve">***OPTION 1 </w:t>
      </w:r>
      <w:r>
        <w:t xml:space="preserve">: intégrées dans la maçonnerie et ragréées au mortier de maçonnerie. En cours d'exécution, elles ne peuvent subir aucune déformation; le cas échéant, elles sont provisoirement renforcées par un coffrage indéformable. </w:t>
      </w:r>
      <w:r>
        <w:br/>
      </w:r>
      <w:r>
        <w:rPr>
          <w:b/>
        </w:rPr>
        <w:t>***OPTION 2</w:t>
      </w:r>
      <w:r>
        <w:t> : posées dans le gros-œuvre et ragréées au mortier ou au béton. Après leur mise en œuvre, les vides entre les huisseries et les murs en béton ou maçonnés sont remplis de mortier de ciment ou de béton. Le liant à utiliser lorsque les huisseries sont placées dans un autre type de mur est, soit du mortier de ciment, soit un matériau prescrit dans le cahier spécial des charges.</w:t>
      </w:r>
      <w:r>
        <w:br/>
      </w:r>
      <w:r>
        <w:rPr>
          <w:b/>
        </w:rPr>
        <w:t>***OPTION 3</w:t>
      </w:r>
      <w:r>
        <w:t xml:space="preserve"> : vissées aux cloisons (légères) à l'aide de profils spéciaux en forme de U. Le vide entre la cloison et les huisseries est rempli de mousse de polyuréthane. Les joints entre l'encadrement et les finitions intérieures sont obturés au mastic.</w:t>
      </w:r>
    </w:p>
    <w:p w14:paraId="1ED78FCB" w14:textId="77777777" w:rsidR="004B2808" w:rsidRDefault="00000000">
      <w:pPr>
        <w:pStyle w:val="pheading"/>
      </w:pPr>
      <w:r>
        <w:t>MESURAGE</w:t>
      </w:r>
    </w:p>
    <w:p w14:paraId="4EB4228E" w14:textId="77777777" w:rsidR="004B2808" w:rsidRDefault="00000000">
      <w:pPr>
        <w:pStyle w:val="pheading"/>
      </w:pPr>
      <w:r>
        <w:t>- unité de mesure:</w:t>
      </w:r>
    </w:p>
    <w:p w14:paraId="6F9E8A2F" w14:textId="77777777" w:rsidR="004B2808" w:rsidRDefault="00000000">
      <w:r>
        <w:t>-</w:t>
      </w:r>
    </w:p>
    <w:p w14:paraId="30281CCB" w14:textId="77777777" w:rsidR="004B2808" w:rsidRDefault="00000000">
      <w:pPr>
        <w:pStyle w:val="pheading"/>
      </w:pPr>
      <w:r>
        <w:lastRenderedPageBreak/>
        <w:t>- code de mesurage:</w:t>
      </w:r>
    </w:p>
    <w:p w14:paraId="0DE56AFF" w14:textId="77777777" w:rsidR="004B2808" w:rsidRDefault="00000000">
      <w:r>
        <w:t>Compris dans le prix des vantaux de porte.</w:t>
      </w:r>
    </w:p>
    <w:p w14:paraId="3546648C" w14:textId="77777777" w:rsidR="004B2808" w:rsidRDefault="00000000">
      <w:pPr>
        <w:pStyle w:val="pheading"/>
      </w:pPr>
      <w:r>
        <w:t>- nature du marché:</w:t>
      </w:r>
    </w:p>
    <w:p w14:paraId="688C1344" w14:textId="77777777" w:rsidR="004B2808" w:rsidRDefault="00000000">
      <w:r>
        <w:t>PM</w:t>
      </w:r>
    </w:p>
    <w:p w14:paraId="60CC11AF" w14:textId="77777777" w:rsidR="004B2808" w:rsidRDefault="00000000">
      <w:pPr>
        <w:pStyle w:val="Author-eSectionHeading6Numberless"/>
      </w:pPr>
      <w:bookmarkStart w:id="1339" w:name="_Toc220491448"/>
      <w:r>
        <w:t>55.63.2b Huisseries métalliques - en aluminium CCTB 01.02</w:t>
      </w:r>
      <w:bookmarkEnd w:id="1339"/>
    </w:p>
    <w:p w14:paraId="0FCF5BB1" w14:textId="77777777" w:rsidR="004B2808" w:rsidRDefault="00000000">
      <w:pPr>
        <w:pStyle w:val="Author-eSectionHeading5Numberless"/>
      </w:pPr>
      <w:bookmarkStart w:id="1340" w:name="_Toc220491449"/>
      <w:r>
        <w:t>55.63.3 Huisseries en matériaux synthétiques CCTB 01.02</w:t>
      </w:r>
      <w:bookmarkEnd w:id="1340"/>
    </w:p>
    <w:p w14:paraId="20FD451B" w14:textId="77777777" w:rsidR="004B2808" w:rsidRDefault="00000000">
      <w:pPr>
        <w:pStyle w:val="Author-eSectionHeading6Numberless"/>
      </w:pPr>
      <w:bookmarkStart w:id="1341" w:name="_Toc220491450"/>
      <w:r>
        <w:t>55.63.3a Huisseries en matériaux synthétiques CCTB 01.02</w:t>
      </w:r>
      <w:bookmarkEnd w:id="1341"/>
    </w:p>
    <w:p w14:paraId="2F50F24E" w14:textId="77777777" w:rsidR="004B2808" w:rsidRDefault="00000000">
      <w:pPr>
        <w:pStyle w:val="Author-eSectionHeading5Numberless"/>
      </w:pPr>
      <w:bookmarkStart w:id="1342" w:name="_Toc220491451"/>
      <w:r>
        <w:t>55.63.4 Huisseries en matériaux mixtes CCTB 01.02</w:t>
      </w:r>
      <w:bookmarkEnd w:id="1342"/>
    </w:p>
    <w:p w14:paraId="4F6C577A" w14:textId="77777777" w:rsidR="004B2808" w:rsidRDefault="00000000">
      <w:pPr>
        <w:pStyle w:val="Author-eSectionHeading6Numberless"/>
      </w:pPr>
      <w:bookmarkStart w:id="1343" w:name="_Toc220491452"/>
      <w:r>
        <w:t>55.63.4a Huisseries en matériaux mixtes CCTB 01.02</w:t>
      </w:r>
      <w:bookmarkEnd w:id="1343"/>
    </w:p>
    <w:p w14:paraId="0A64C58E" w14:textId="77777777" w:rsidR="004B2808" w:rsidRDefault="00000000">
      <w:pPr>
        <w:pStyle w:val="Author-eSectionHeading4Numberless"/>
      </w:pPr>
      <w:bookmarkStart w:id="1344" w:name="_Toc220491453"/>
      <w:r>
        <w:t>55.64 Ouvrages de raccord et finition CCTB 01.02</w:t>
      </w:r>
      <w:bookmarkEnd w:id="1344"/>
    </w:p>
    <w:p w14:paraId="56FB9115" w14:textId="77777777" w:rsidR="004B2808" w:rsidRDefault="00000000">
      <w:pPr>
        <w:pStyle w:val="Author-eSectionHeading5Numberless"/>
      </w:pPr>
      <w:bookmarkStart w:id="1345" w:name="_Toc220491454"/>
      <w:r>
        <w:t>55.64.1 Joints de resserrage  CCTB 01.07</w:t>
      </w:r>
      <w:bookmarkEnd w:id="1345"/>
    </w:p>
    <w:p w14:paraId="0BF9AAD3" w14:textId="77777777" w:rsidR="004B2808" w:rsidRDefault="00000000">
      <w:pPr>
        <w:pStyle w:val="pheading"/>
      </w:pPr>
      <w:r>
        <w:t>DESCRIPTION</w:t>
      </w:r>
    </w:p>
    <w:p w14:paraId="041B0C1D" w14:textId="77777777" w:rsidR="004B2808" w:rsidRDefault="00000000">
      <w:pPr>
        <w:pStyle w:val="pheading"/>
      </w:pPr>
      <w:r>
        <w:t>- Définition / Comprend</w:t>
      </w:r>
    </w:p>
    <w:p w14:paraId="1CAC7580" w14:textId="77777777" w:rsidR="004B2808" w:rsidRDefault="00000000">
      <w:r>
        <w:t xml:space="preserve">Renvoi au § </w:t>
      </w:r>
      <w:hyperlink w:anchor="1357" w:history="1">
        <w:r w:rsidR="004B2808">
          <w:rPr>
            <w:color w:val="0000EE"/>
          </w:rPr>
          <w:t>52.15 Etanchéisation de joints</w:t>
        </w:r>
      </w:hyperlink>
    </w:p>
    <w:p w14:paraId="1F24757C" w14:textId="77777777" w:rsidR="004B2808" w:rsidRDefault="00000000">
      <w:pPr>
        <w:pStyle w:val="Author-eSectionHeading6Numberless"/>
      </w:pPr>
      <w:bookmarkStart w:id="1346" w:name="_Toc220491455"/>
      <w:r>
        <w:t>55.64.1a Joints de resserrage  CCTB 01.07</w:t>
      </w:r>
      <w:bookmarkEnd w:id="1346"/>
    </w:p>
    <w:p w14:paraId="54BBE28C" w14:textId="77777777" w:rsidR="004B2808" w:rsidRDefault="00000000">
      <w:pPr>
        <w:pStyle w:val="pheading"/>
      </w:pPr>
      <w:r>
        <w:t>DESCRIPTION</w:t>
      </w:r>
    </w:p>
    <w:p w14:paraId="46EF0028" w14:textId="77777777" w:rsidR="004B2808" w:rsidRDefault="00000000">
      <w:pPr>
        <w:pStyle w:val="pheading"/>
      </w:pPr>
      <w:r>
        <w:t>- Définition / Comprend</w:t>
      </w:r>
    </w:p>
    <w:p w14:paraId="59E5DC91" w14:textId="77777777" w:rsidR="004B2808" w:rsidRDefault="00000000">
      <w:r>
        <w:t>Renvoi au §</w:t>
      </w:r>
      <w:hyperlink w:anchor="1357" w:history="1">
        <w:r w:rsidR="004B2808">
          <w:rPr>
            <w:color w:val="0000EE"/>
          </w:rPr>
          <w:t>52.15 Etanchéisation de joints</w:t>
        </w:r>
      </w:hyperlink>
    </w:p>
    <w:p w14:paraId="624B7EF1" w14:textId="77777777" w:rsidR="004B2808" w:rsidRDefault="00000000">
      <w:pPr>
        <w:pStyle w:val="Author-eSectionHeading5Numberless"/>
      </w:pPr>
      <w:bookmarkStart w:id="1347" w:name="_Toc220491456"/>
      <w:r>
        <w:t>55.64.2 Profilés de resserrage CCTB 01.02</w:t>
      </w:r>
      <w:bookmarkEnd w:id="1347"/>
    </w:p>
    <w:p w14:paraId="0551BC58" w14:textId="77777777" w:rsidR="004B2808" w:rsidRDefault="00000000">
      <w:pPr>
        <w:pStyle w:val="Author-eSectionHeading6Numberless"/>
      </w:pPr>
      <w:bookmarkStart w:id="1348" w:name="_Toc220491457"/>
      <w:r>
        <w:t>55.64.2a Profilés de resserrage en bois CCTB 01.02</w:t>
      </w:r>
      <w:bookmarkEnd w:id="1348"/>
    </w:p>
    <w:p w14:paraId="2BB338D0" w14:textId="77777777" w:rsidR="004B2808" w:rsidRDefault="00000000">
      <w:pPr>
        <w:pStyle w:val="Author-eSectionHeading6Numberless"/>
      </w:pPr>
      <w:bookmarkStart w:id="1349" w:name="_Toc220491458"/>
      <w:r>
        <w:t>55.64.2b Profilés de resserrage en métal CCTB 01.02</w:t>
      </w:r>
      <w:bookmarkEnd w:id="1349"/>
    </w:p>
    <w:p w14:paraId="159749EC" w14:textId="77777777" w:rsidR="004B2808" w:rsidRDefault="00000000">
      <w:pPr>
        <w:pStyle w:val="Author-eSectionHeading6Numberless"/>
      </w:pPr>
      <w:bookmarkStart w:id="1350" w:name="_Toc220491459"/>
      <w:r>
        <w:t>55.64.2c Profilés de resserrage en synthétique CCTB 01.02</w:t>
      </w:r>
      <w:bookmarkEnd w:id="1350"/>
    </w:p>
    <w:p w14:paraId="67FBABB6" w14:textId="77777777" w:rsidR="004B2808" w:rsidRDefault="00000000">
      <w:pPr>
        <w:pStyle w:val="Author-eSectionHeading4Numberless"/>
      </w:pPr>
      <w:bookmarkStart w:id="1351" w:name="_Toc220491460"/>
      <w:r>
        <w:t>55.65 Eléments intégrés ou externes à une menuiserie de porte/de fenêtre intérieure CCTB 01.11</w:t>
      </w:r>
      <w:bookmarkEnd w:id="1351"/>
    </w:p>
    <w:p w14:paraId="3CF7622C" w14:textId="77777777" w:rsidR="004B2808" w:rsidRDefault="00000000">
      <w:pPr>
        <w:pStyle w:val="Author-eSectionHeading5Numberless"/>
      </w:pPr>
      <w:bookmarkStart w:id="1352" w:name="_Toc220491461"/>
      <w:r>
        <w:t>55.65.1 Eléments intégrés ou externes à une menuiserie de porte/de fenêtre intérieure - Espions CCTB 01.02</w:t>
      </w:r>
      <w:bookmarkEnd w:id="1352"/>
    </w:p>
    <w:p w14:paraId="797E11E4" w14:textId="77777777" w:rsidR="004B2808" w:rsidRDefault="00000000">
      <w:pPr>
        <w:pStyle w:val="Author-eSectionHeading6Numberless"/>
      </w:pPr>
      <w:bookmarkStart w:id="1353" w:name="_Toc220491462"/>
      <w:r>
        <w:t>55.65.1a Eléments intégrés ou externes à une menuiserie de porte/de fenêtre intérieure - Espions CCTB 01.02</w:t>
      </w:r>
      <w:bookmarkEnd w:id="1353"/>
    </w:p>
    <w:p w14:paraId="748144D9" w14:textId="77777777" w:rsidR="004B2808" w:rsidRDefault="00000000">
      <w:pPr>
        <w:pStyle w:val="Author-eSectionHeading5Numberless"/>
      </w:pPr>
      <w:bookmarkStart w:id="1354" w:name="_Toc220491463"/>
      <w:r>
        <w:t>55.65.2 Eléments intégrés ou externes à une menuiserie de porte/de fenêtre intérieure - Chatière CCTB 01.02</w:t>
      </w:r>
      <w:bookmarkEnd w:id="1354"/>
    </w:p>
    <w:p w14:paraId="1E3B1DC3" w14:textId="77777777" w:rsidR="004B2808" w:rsidRDefault="00000000">
      <w:pPr>
        <w:pStyle w:val="Author-eSectionHeading6Numberless"/>
      </w:pPr>
      <w:bookmarkStart w:id="1355" w:name="_Toc220491464"/>
      <w:r>
        <w:t>55.65.2a Eléments intégrés ou externes à une menuiserie de porte/de fenêtre intérieure - Chatière CCTB 01.02</w:t>
      </w:r>
      <w:bookmarkEnd w:id="1355"/>
    </w:p>
    <w:p w14:paraId="5CF18F17" w14:textId="77777777" w:rsidR="004B2808" w:rsidRDefault="00000000">
      <w:pPr>
        <w:pStyle w:val="Author-eSectionHeading5Numberless"/>
      </w:pPr>
      <w:bookmarkStart w:id="1356" w:name="_Toc220491465"/>
      <w:r>
        <w:t>55.65.3 Eléments intégrés ou externes à une menuiserie de porte/de fenêtre intérieure - Guichet CCTB 01.02</w:t>
      </w:r>
      <w:bookmarkEnd w:id="1356"/>
    </w:p>
    <w:p w14:paraId="3A0B499C" w14:textId="77777777" w:rsidR="004B2808" w:rsidRDefault="00000000">
      <w:pPr>
        <w:pStyle w:val="Author-eSectionHeading6Numberless"/>
      </w:pPr>
      <w:bookmarkStart w:id="1357" w:name="_Toc220491466"/>
      <w:r>
        <w:lastRenderedPageBreak/>
        <w:t>55.65.3a Eléments intégrés ou externes à une menuiserie de porte/de fenêtre intérieure - Guichet CCTB 01.02</w:t>
      </w:r>
      <w:bookmarkEnd w:id="1357"/>
    </w:p>
    <w:p w14:paraId="5E13C0DC" w14:textId="77777777" w:rsidR="004B2808" w:rsidRDefault="00000000">
      <w:pPr>
        <w:pStyle w:val="Author-eSectionHeading5Numberless"/>
      </w:pPr>
      <w:bookmarkStart w:id="1358" w:name="_Toc220491467"/>
      <w:r>
        <w:t>55.65.4 Eléments intégrés ou externes à une menuiserie de porte/de fenêtre intérieure - Hublot CCTB 01.11</w:t>
      </w:r>
      <w:bookmarkEnd w:id="1358"/>
    </w:p>
    <w:p w14:paraId="36DA93EF" w14:textId="77777777" w:rsidR="004B2808" w:rsidRDefault="00000000">
      <w:pPr>
        <w:pStyle w:val="pheading"/>
      </w:pPr>
      <w:r>
        <w:t>EXÉCUTION / MISE EN ŒUVRE</w:t>
      </w:r>
    </w:p>
    <w:p w14:paraId="7A6A13C2" w14:textId="77777777" w:rsidR="004B2808" w:rsidRDefault="00000000">
      <w:pPr>
        <w:jc w:val="both"/>
      </w:pPr>
      <w:r>
        <w:t>La mise en œuvre et les assemblages sont exécutés conformément à la documentation technique accompagnant le produit.</w:t>
      </w:r>
    </w:p>
    <w:p w14:paraId="5284F4CF" w14:textId="77777777" w:rsidR="004B2808" w:rsidRDefault="00000000">
      <w:pPr>
        <w:jc w:val="both"/>
      </w:pPr>
      <w:r>
        <w:t>Pour les éléments possédant des caractéristiques particulières au niveau acoustique, thermique ou de résistance au feu, le vitrage est incorporé en usine conformément au mode appliqué sur la porte d'essai.</w:t>
      </w:r>
    </w:p>
    <w:p w14:paraId="51B08270" w14:textId="77777777" w:rsidR="004B2808" w:rsidRDefault="00000000">
      <w:pPr>
        <w:pStyle w:val="pheading"/>
      </w:pPr>
      <w:r>
        <w:t>DOCUMENTS DE RÉFÉRENCE</w:t>
      </w:r>
    </w:p>
    <w:p w14:paraId="7B88E956" w14:textId="77777777" w:rsidR="004B2808" w:rsidRDefault="00000000">
      <w:pPr>
        <w:pStyle w:val="pheading"/>
      </w:pPr>
      <w:r>
        <w:t>- Matériau</w:t>
      </w:r>
    </w:p>
    <w:p w14:paraId="4E6C8299" w14:textId="77777777" w:rsidR="004B2808" w:rsidRDefault="00000000">
      <w:r>
        <w:t>[STS 53.1, Portes]</w:t>
      </w:r>
    </w:p>
    <w:p w14:paraId="33DB1940" w14:textId="77777777" w:rsidR="004B2808" w:rsidRDefault="00000000">
      <w:r>
        <w:t>[NBN S 23-002/A1, Vitrerie (+ AC:2010)]</w:t>
      </w:r>
    </w:p>
    <w:p w14:paraId="776474C7" w14:textId="77777777" w:rsidR="004B2808" w:rsidRDefault="00000000">
      <w:r>
        <w:t>[AR 1994-07-07, Arrêté royal fixant les normes de base en matière de prévention contre l'incendie et l'explosion, auxquelles les bâtiments nouveaux doivent satisfaire] Voir annexes 2/1,3/1 et 4/1 suivant hauteur du bâtiment</w:t>
      </w:r>
    </w:p>
    <w:p w14:paraId="63E0EFE6" w14:textId="77777777" w:rsidR="004B2808" w:rsidRDefault="00000000">
      <w:pPr>
        <w:pStyle w:val="Author-eSectionHeading6Numberless"/>
      </w:pPr>
      <w:bookmarkStart w:id="1359" w:name="_Toc220491468"/>
      <w:r>
        <w:t>55.65.4a Eléments intégrés ou externes à une menuiserie de porte/de fenêtre intérieure - Hublot CCTB 01.11</w:t>
      </w:r>
      <w:bookmarkEnd w:id="1359"/>
    </w:p>
    <w:p w14:paraId="47604344" w14:textId="77777777" w:rsidR="004B2808" w:rsidRDefault="00000000">
      <w:pPr>
        <w:pStyle w:val="pheading"/>
      </w:pPr>
      <w:r>
        <w:t>DESCRIPTION</w:t>
      </w:r>
    </w:p>
    <w:p w14:paraId="53015315" w14:textId="77777777" w:rsidR="004B2808" w:rsidRDefault="00000000">
      <w:pPr>
        <w:pStyle w:val="pheading"/>
      </w:pPr>
      <w:r>
        <w:t>- Définition / Comprend</w:t>
      </w:r>
    </w:p>
    <w:p w14:paraId="74DD1C20" w14:textId="77777777" w:rsidR="004B2808" w:rsidRDefault="00000000">
      <w:pPr>
        <w:jc w:val="both"/>
      </w:pPr>
      <w:r>
        <w:t xml:space="preserve">Il s’agit de la fourniture et de la pose de hublots vitrés s’intégrant dans des vantaux de porte décrits au </w:t>
      </w:r>
      <w:hyperlink w:anchor="1320" w:history="1">
        <w:r w:rsidR="004B2808">
          <w:rPr>
            <w:color w:val="0000EE"/>
          </w:rPr>
          <w:t>55.2 Portes intérieures</w:t>
        </w:r>
      </w:hyperlink>
      <w:r>
        <w:t>.</w:t>
      </w:r>
    </w:p>
    <w:p w14:paraId="618CED1C" w14:textId="77777777" w:rsidR="004B2808" w:rsidRDefault="00000000">
      <w:pPr>
        <w:pStyle w:val="pheading"/>
      </w:pPr>
      <w:r>
        <w:t>MATÉRIAUX</w:t>
      </w:r>
    </w:p>
    <w:p w14:paraId="7671442E" w14:textId="77777777" w:rsidR="004B2808" w:rsidRDefault="00000000">
      <w:pPr>
        <w:pStyle w:val="pheading"/>
      </w:pPr>
      <w:r>
        <w:t>- Caractéristiques générales</w:t>
      </w:r>
    </w:p>
    <w:p w14:paraId="72517FF6" w14:textId="77777777" w:rsidR="004B2808" w:rsidRDefault="00000000">
      <w:pPr>
        <w:jc w:val="both"/>
      </w:pPr>
      <w:r>
        <w:t>Il s’agit de vitrage en verre de sécurité conforme à la [NBN S 23-002/A1].</w:t>
      </w:r>
    </w:p>
    <w:p w14:paraId="3BA6E5E5" w14:textId="77777777" w:rsidR="004B2808" w:rsidRDefault="00000000">
      <w:pPr>
        <w:pStyle w:val="Author-eListParagraph"/>
        <w:numPr>
          <w:ilvl w:val="0"/>
          <w:numId w:val="1262"/>
        </w:numPr>
      </w:pPr>
      <w:r>
        <w:t xml:space="preserve">Réservation dans le vantail de porte : </w:t>
      </w:r>
      <w:r>
        <w:rPr>
          <w:rStyle w:val="optioncarChar"/>
        </w:rPr>
        <w:t>conformément aux plans</w:t>
      </w:r>
      <w:r>
        <w:t xml:space="preserve"> (par défaut)</w:t>
      </w:r>
      <w:r>
        <w:rPr>
          <w:rStyle w:val="optioncarChar"/>
        </w:rPr>
        <w:t xml:space="preserve"> / ronde / rectangulaire / ***.</w:t>
      </w:r>
    </w:p>
    <w:p w14:paraId="0CCE60D4" w14:textId="77777777" w:rsidR="004B2808" w:rsidRDefault="00000000">
      <w:pPr>
        <w:pStyle w:val="Author-eListParagraph"/>
        <w:numPr>
          <w:ilvl w:val="0"/>
          <w:numId w:val="1262"/>
        </w:numPr>
      </w:pPr>
      <w:r>
        <w:t xml:space="preserve">Dimension : </w:t>
      </w:r>
      <w:r>
        <w:rPr>
          <w:rStyle w:val="optioncarChar"/>
        </w:rPr>
        <w:t xml:space="preserve">conformément aux plans </w:t>
      </w:r>
      <w:r>
        <w:t>(par défaut)</w:t>
      </w:r>
      <w:r>
        <w:rPr>
          <w:rStyle w:val="optioncarChar"/>
        </w:rPr>
        <w:t xml:space="preserve"> / diamètre *** cm / *** x *** cm / ***.</w:t>
      </w:r>
    </w:p>
    <w:p w14:paraId="6465684D" w14:textId="77777777" w:rsidR="004B2808" w:rsidRDefault="00000000">
      <w:pPr>
        <w:pStyle w:val="Author-eListParagraph"/>
        <w:numPr>
          <w:ilvl w:val="0"/>
          <w:numId w:val="1262"/>
        </w:numPr>
      </w:pPr>
      <w:r>
        <w:t xml:space="preserve">Type de vitrage : </w:t>
      </w:r>
      <w:r>
        <w:rPr>
          <w:rStyle w:val="optioncarChar"/>
        </w:rPr>
        <w:t xml:space="preserve">verre de sécurité simple </w:t>
      </w:r>
      <w:r>
        <w:t>(par défaut)</w:t>
      </w:r>
      <w:r>
        <w:rPr>
          <w:rStyle w:val="optioncarChar"/>
        </w:rPr>
        <w:t xml:space="preserve"> / double / ***.</w:t>
      </w:r>
    </w:p>
    <w:p w14:paraId="215F3029" w14:textId="77777777" w:rsidR="004B2808" w:rsidRDefault="00000000">
      <w:pPr>
        <w:pStyle w:val="Author-eListParagraph"/>
        <w:numPr>
          <w:ilvl w:val="0"/>
          <w:numId w:val="1262"/>
        </w:numPr>
      </w:pPr>
      <w:r>
        <w:t>Valeur Ug [NBN EN 673] :</w:t>
      </w:r>
      <w:r>
        <w:rPr>
          <w:rStyle w:val="optioncarChar"/>
        </w:rPr>
        <w:t xml:space="preserve"> non précisée</w:t>
      </w:r>
      <w:r>
        <w:t xml:space="preserve"> (par défaut)</w:t>
      </w:r>
      <w:r>
        <w:rPr>
          <w:rStyle w:val="optioncarChar"/>
        </w:rPr>
        <w:t xml:space="preserve"> / *** W/(m²/K)</w:t>
      </w:r>
      <w:r>
        <w:t>.</w:t>
      </w:r>
    </w:p>
    <w:p w14:paraId="5BC754BB" w14:textId="77777777" w:rsidR="004B2808" w:rsidRDefault="00000000">
      <w:pPr>
        <w:pStyle w:val="Author-eListParagraph"/>
        <w:numPr>
          <w:ilvl w:val="0"/>
          <w:numId w:val="1262"/>
        </w:numPr>
      </w:pPr>
      <w:r>
        <w:t xml:space="preserve">Les vitres sont encadrées par : </w:t>
      </w:r>
      <w:r>
        <w:rPr>
          <w:rStyle w:val="optioncarChar"/>
        </w:rPr>
        <w:t>des lattes en bois dur</w:t>
      </w:r>
      <w:r>
        <w:t xml:space="preserve"> (par défaut) </w:t>
      </w:r>
      <w:r>
        <w:rPr>
          <w:rStyle w:val="optioncarChar"/>
        </w:rPr>
        <w:t>/ des parcloses en acier / des profils de fixation à enclenchement synthétique / ***</w:t>
      </w:r>
      <w:r>
        <w:t>. Pour les réservations dans les portes à âme creuse, un cadre en bois est appliqué et collé.</w:t>
      </w:r>
    </w:p>
    <w:p w14:paraId="090A80D9" w14:textId="77777777" w:rsidR="004B2808" w:rsidRDefault="00000000">
      <w:pPr>
        <w:pStyle w:val="Author-eListParagraph"/>
        <w:numPr>
          <w:ilvl w:val="0"/>
          <w:numId w:val="1262"/>
        </w:numPr>
      </w:pPr>
      <w:r>
        <w:t xml:space="preserve">Fixation de la vitre dans la réservation à l'aide de : </w:t>
      </w:r>
      <w:r>
        <w:rPr>
          <w:rStyle w:val="optioncarChar"/>
        </w:rPr>
        <w:t>silicone neutre sur fond de joint</w:t>
      </w:r>
      <w:r>
        <w:t xml:space="preserve"> (par défaut)</w:t>
      </w:r>
      <w:r>
        <w:rPr>
          <w:rStyle w:val="optioncarChar"/>
        </w:rPr>
        <w:t xml:space="preserve"> / joint EPDM / ***</w:t>
      </w:r>
      <w:r>
        <w:t>.</w:t>
      </w:r>
    </w:p>
    <w:p w14:paraId="72FDC26C" w14:textId="77777777" w:rsidR="004B2808" w:rsidRDefault="00000000">
      <w:pPr>
        <w:pStyle w:val="Author-eListParagraph"/>
        <w:numPr>
          <w:ilvl w:val="0"/>
          <w:numId w:val="1262"/>
        </w:numPr>
      </w:pPr>
      <w:r>
        <w:t xml:space="preserve">Résistance au feu : </w:t>
      </w:r>
      <w:r>
        <w:rPr>
          <w:rStyle w:val="optioncarChar"/>
        </w:rPr>
        <w:t>néant</w:t>
      </w:r>
      <w:r>
        <w:t xml:space="preserve"> (par défaut)</w:t>
      </w:r>
      <w:r>
        <w:rPr>
          <w:rStyle w:val="optioncarChar"/>
        </w:rPr>
        <w:t xml:space="preserve"> / identique à celle du vantail dans lequel le hublot est inséré.</w:t>
      </w:r>
    </w:p>
    <w:p w14:paraId="0C188EEA" w14:textId="77777777" w:rsidR="004B2808" w:rsidRDefault="00000000">
      <w:pPr>
        <w:ind w:left="567"/>
        <w:jc w:val="both"/>
      </w:pPr>
      <w:r>
        <w:rPr>
          <w:b/>
        </w:rPr>
        <w:t>(soit par défaut)</w:t>
      </w:r>
    </w:p>
    <w:p w14:paraId="252F6D38" w14:textId="77777777" w:rsidR="004B2808" w:rsidRDefault="00000000">
      <w:pPr>
        <w:ind w:left="567"/>
        <w:jc w:val="both"/>
      </w:pPr>
      <w:r>
        <w:rPr>
          <w:rStyle w:val="soitChar"/>
          <w:u w:val="single"/>
        </w:rPr>
        <w:t>Néant :</w:t>
      </w:r>
      <w:r>
        <w:rPr>
          <w:rStyle w:val="soitChar"/>
        </w:rPr>
        <w:t xml:space="preserve"> pas de résistance au feu requise</w:t>
      </w:r>
    </w:p>
    <w:p w14:paraId="277DB864" w14:textId="77777777" w:rsidR="004B2808" w:rsidRDefault="00000000">
      <w:pPr>
        <w:ind w:left="567"/>
        <w:jc w:val="both"/>
      </w:pPr>
      <w:r>
        <w:rPr>
          <w:b/>
        </w:rPr>
        <w:t>(soit)</w:t>
      </w:r>
    </w:p>
    <w:p w14:paraId="1D178CE7" w14:textId="77777777" w:rsidR="004B2808" w:rsidRDefault="00000000">
      <w:pPr>
        <w:ind w:left="567"/>
        <w:jc w:val="both"/>
      </w:pPr>
      <w:r>
        <w:rPr>
          <w:rStyle w:val="soitChar"/>
          <w:u w:val="single"/>
        </w:rPr>
        <w:t>Identique à celle du vantail dans lequel le hublot est inséré</w:t>
      </w:r>
      <w:r>
        <w:rPr>
          <w:rStyle w:val="soitChar"/>
        </w:rPr>
        <w:t xml:space="preserve"> : soit EI </w:t>
      </w:r>
      <w:r>
        <w:rPr>
          <w:rStyle w:val="optioncarChar"/>
        </w:rPr>
        <w:t>30 / 60 / 90 / ***</w:t>
      </w:r>
      <w:r>
        <w:rPr>
          <w:rStyle w:val="soitChar"/>
        </w:rPr>
        <w:t>.</w:t>
      </w:r>
    </w:p>
    <w:p w14:paraId="2B8532B7" w14:textId="77777777" w:rsidR="004B2808" w:rsidRDefault="00000000">
      <w:pPr>
        <w:ind w:left="567"/>
        <w:jc w:val="both"/>
      </w:pPr>
      <w:r>
        <w:rPr>
          <w:rStyle w:val="soitChar"/>
        </w:rPr>
        <w:lastRenderedPageBreak/>
        <w:t>Vitrage feuilleté composé de verres float et d'intercalaires intumescents, qui en cas d'incendie, se transforment en écrans cellulaires réfractaires et opaques assurant l'étanchéité aux flammes et l’isolation thermique de la partie vitrée. Le vitrage est conçu de manière à conserver ses propriétés quel que soit le sens de propagation du feu par rapport à la porte dans lequel il est inséré.</w:t>
      </w:r>
    </w:p>
    <w:p w14:paraId="2FF7642F" w14:textId="77777777" w:rsidR="004B2808" w:rsidRDefault="00000000">
      <w:pPr>
        <w:ind w:left="567"/>
        <w:jc w:val="both"/>
      </w:pPr>
      <w:r>
        <w:rPr>
          <w:rStyle w:val="soitChar"/>
        </w:rPr>
        <w:t>Les épaisseurs et les dimensions maximales des vitrages sont conformes au procès-verbal d’essai établi suivant la norme [NBN EN 13501-2] accompagnant obligatoirement la fiche technique du produit.</w:t>
      </w:r>
    </w:p>
    <w:p w14:paraId="40CB2069" w14:textId="77777777" w:rsidR="004B2808" w:rsidRDefault="00000000">
      <w:pPr>
        <w:pStyle w:val="pheading"/>
      </w:pPr>
      <w:r>
        <w:t>- Finitions</w:t>
      </w:r>
    </w:p>
    <w:p w14:paraId="4BA744F8" w14:textId="77777777" w:rsidR="004B2808" w:rsidRDefault="00000000">
      <w:pPr>
        <w:jc w:val="both"/>
      </w:pPr>
      <w:r>
        <w:t xml:space="preserve">Vitrage : </w:t>
      </w:r>
      <w:r>
        <w:rPr>
          <w:rStyle w:val="optioncarChar"/>
        </w:rPr>
        <w:t xml:space="preserve">clair </w:t>
      </w:r>
      <w:r>
        <w:t xml:space="preserve">(par défaut) </w:t>
      </w:r>
      <w:r>
        <w:rPr>
          <w:rStyle w:val="optioncarChar"/>
        </w:rPr>
        <w:t>/ mat / ***.</w:t>
      </w:r>
    </w:p>
    <w:p w14:paraId="6B0DBC5A" w14:textId="77777777" w:rsidR="004B2808" w:rsidRDefault="00000000">
      <w:pPr>
        <w:jc w:val="both"/>
      </w:pPr>
      <w:r>
        <w:t>Parcloses :</w:t>
      </w:r>
      <w:r>
        <w:rPr>
          <w:rStyle w:val="optioncarChar"/>
        </w:rPr>
        <w:t xml:space="preserve"> finition prête à peindre </w:t>
      </w:r>
      <w:r>
        <w:t>(par défaut)</w:t>
      </w:r>
      <w:r>
        <w:rPr>
          <w:rStyle w:val="optioncarChar"/>
        </w:rPr>
        <w:t xml:space="preserve"> / RAL *** / ***.</w:t>
      </w:r>
    </w:p>
    <w:p w14:paraId="08FFB5DF" w14:textId="77777777" w:rsidR="004B2808" w:rsidRDefault="00000000">
      <w:pPr>
        <w:pStyle w:val="pheading"/>
      </w:pPr>
      <w:r>
        <w:t>EXÉCUTION / MISE EN ŒUVRE</w:t>
      </w:r>
    </w:p>
    <w:p w14:paraId="54F0D226" w14:textId="77777777" w:rsidR="004B2808" w:rsidRDefault="00000000">
      <w:pPr>
        <w:pStyle w:val="pheading"/>
      </w:pPr>
      <w:r>
        <w:t>- Échantillons</w:t>
      </w:r>
    </w:p>
    <w:p w14:paraId="35BAE71A" w14:textId="77777777" w:rsidR="004B2808" w:rsidRDefault="00000000">
      <w:pPr>
        <w:jc w:val="both"/>
      </w:pPr>
      <w:r>
        <w:t>L’entrepreneur soumet un échantillon des vitrages qu’il propose à l’approbation de la direction du chantier.</w:t>
      </w:r>
    </w:p>
    <w:p w14:paraId="5E40AE7B" w14:textId="77777777" w:rsidR="004B2808" w:rsidRDefault="00000000">
      <w:pPr>
        <w:pStyle w:val="pheading"/>
      </w:pPr>
      <w:r>
        <w:t>MESURAGE</w:t>
      </w:r>
    </w:p>
    <w:p w14:paraId="72727CF2" w14:textId="77777777" w:rsidR="004B2808" w:rsidRDefault="00000000">
      <w:pPr>
        <w:pStyle w:val="pheading"/>
      </w:pPr>
      <w:r>
        <w:t>- unité de mesure:</w:t>
      </w:r>
    </w:p>
    <w:p w14:paraId="2D304F12" w14:textId="77777777" w:rsidR="004B2808" w:rsidRDefault="00000000">
      <w:r>
        <w:t>pc</w:t>
      </w:r>
    </w:p>
    <w:p w14:paraId="31562275" w14:textId="77777777" w:rsidR="004B2808" w:rsidRDefault="00000000">
      <w:pPr>
        <w:pStyle w:val="pheading"/>
      </w:pPr>
      <w:r>
        <w:t>- code de mesurage:</w:t>
      </w:r>
    </w:p>
    <w:p w14:paraId="5074AFD4" w14:textId="77777777" w:rsidR="004B2808" w:rsidRDefault="00000000">
      <w:pPr>
        <w:jc w:val="both"/>
      </w:pPr>
      <w:r>
        <w:t>Quantité nette à mettre en œuvre ventilée en fonction des dimensions, du type et des performances au feu du hublot.</w:t>
      </w:r>
    </w:p>
    <w:p w14:paraId="278A433D" w14:textId="77777777" w:rsidR="004B2808" w:rsidRDefault="00000000">
      <w:pPr>
        <w:pStyle w:val="pheading"/>
      </w:pPr>
      <w:r>
        <w:t>- nature du marché:</w:t>
      </w:r>
    </w:p>
    <w:p w14:paraId="7E425239" w14:textId="77777777" w:rsidR="004B2808" w:rsidRDefault="00000000">
      <w:r>
        <w:rPr>
          <w:rStyle w:val="optioncarChar"/>
        </w:rPr>
        <w:t xml:space="preserve">QF </w:t>
      </w:r>
      <w:r>
        <w:t xml:space="preserve">(par défaut) </w:t>
      </w:r>
      <w:r>
        <w:rPr>
          <w:rStyle w:val="optioncarChar"/>
        </w:rPr>
        <w:t>/ QP.</w:t>
      </w:r>
    </w:p>
    <w:p w14:paraId="51595775" w14:textId="77777777" w:rsidR="004B2808" w:rsidRDefault="00000000">
      <w:r>
        <w:rPr>
          <w:b/>
        </w:rPr>
        <w:t>(soit par défaut)</w:t>
      </w:r>
      <w:r>
        <w:br/>
      </w:r>
      <w:r>
        <w:rPr>
          <w:rStyle w:val="soitChar"/>
        </w:rPr>
        <w:t>1. QF</w:t>
      </w:r>
      <w:r>
        <w:br/>
      </w:r>
      <w:r>
        <w:rPr>
          <w:b/>
        </w:rPr>
        <w:t>(soit)</w:t>
      </w:r>
      <w:r>
        <w:br/>
      </w:r>
      <w:r>
        <w:rPr>
          <w:rStyle w:val="soitChar"/>
        </w:rPr>
        <w:t>2. QP</w:t>
      </w:r>
    </w:p>
    <w:p w14:paraId="6B7CFBFE" w14:textId="77777777" w:rsidR="004B2808" w:rsidRDefault="00000000">
      <w:pPr>
        <w:pStyle w:val="pheading"/>
      </w:pPr>
      <w:r>
        <w:t>AIDE</w:t>
      </w:r>
    </w:p>
    <w:p w14:paraId="34DC2CF8" w14:textId="77777777" w:rsidR="004B2808" w:rsidRDefault="00000000">
      <w:r>
        <w:t>[SWL GSI/T1/C, Guides sécurité incendie - Tome 1 Prévention passive - Guide C Résistance au feu]</w:t>
      </w:r>
    </w:p>
    <w:p w14:paraId="7DB5FCEF" w14:textId="77777777" w:rsidR="004B2808" w:rsidRDefault="00000000">
      <w:pPr>
        <w:pStyle w:val="Author-eSectionHeading5Numberless"/>
      </w:pPr>
      <w:bookmarkStart w:id="1360" w:name="_Toc220491469"/>
      <w:r>
        <w:t>55.65.5 Eléments intégrés ou externes à une menuiserie de porte/de fenêtre intérieure - Plaque de protection CCTB 01.02</w:t>
      </w:r>
      <w:bookmarkEnd w:id="1360"/>
    </w:p>
    <w:p w14:paraId="49B54AAB" w14:textId="77777777" w:rsidR="004B2808" w:rsidRDefault="00000000">
      <w:pPr>
        <w:pStyle w:val="Author-eSectionHeading6Numberless"/>
      </w:pPr>
      <w:bookmarkStart w:id="1361" w:name="_Toc220491470"/>
      <w:r>
        <w:t>55.65.5a Eléments intégrés ou externes à une menuiserie de porte/de fenêtre intérieure - Plaque de protection CCTB 01.02</w:t>
      </w:r>
      <w:bookmarkEnd w:id="1361"/>
    </w:p>
    <w:p w14:paraId="4AFE670D" w14:textId="77777777" w:rsidR="004B2808" w:rsidRDefault="00000000">
      <w:pPr>
        <w:pStyle w:val="Author-eSectionHeading5Numberless"/>
      </w:pPr>
      <w:bookmarkStart w:id="1362" w:name="1321"/>
      <w:bookmarkStart w:id="1363" w:name="_Toc220491471"/>
      <w:bookmarkEnd w:id="1362"/>
      <w:r>
        <w:t>55.65.6 Eléments intégrés ou externes à une menuiserie de porte/de fenêtre intérieure - Arrêt de porte CCTB 01.02</w:t>
      </w:r>
      <w:bookmarkEnd w:id="1363"/>
    </w:p>
    <w:p w14:paraId="1CC42AE7" w14:textId="77777777" w:rsidR="004B2808" w:rsidRDefault="00000000">
      <w:pPr>
        <w:pStyle w:val="Author-eSectionHeading6Numberless"/>
      </w:pPr>
      <w:bookmarkStart w:id="1364" w:name="_Toc220491472"/>
      <w:r>
        <w:t>55.65.6a Eléments intégrés ou externes à une menuiserie de porte/de fenêtre intérieure - Arrêt de porte CCTB 01.10</w:t>
      </w:r>
      <w:bookmarkEnd w:id="1364"/>
    </w:p>
    <w:p w14:paraId="2CAE96D8" w14:textId="77777777" w:rsidR="004B2808" w:rsidRDefault="00000000">
      <w:pPr>
        <w:pStyle w:val="pheading"/>
      </w:pPr>
      <w:r>
        <w:t>DESCRIPTION</w:t>
      </w:r>
    </w:p>
    <w:p w14:paraId="40DD956A" w14:textId="77777777" w:rsidR="004B2808" w:rsidRDefault="00000000">
      <w:pPr>
        <w:pStyle w:val="pheading"/>
      </w:pPr>
      <w:r>
        <w:t>- Définition / Comprend</w:t>
      </w:r>
    </w:p>
    <w:p w14:paraId="0FB9DF26" w14:textId="77777777" w:rsidR="004B2808" w:rsidRDefault="00000000">
      <w:pPr>
        <w:jc w:val="both"/>
      </w:pPr>
      <w:r>
        <w:t>Il s’agit de la fourniture (hors matériaux récupérés du même site) et la pose d’arrêt de porte.</w:t>
      </w:r>
    </w:p>
    <w:p w14:paraId="68B26DE6" w14:textId="77777777" w:rsidR="004B2808" w:rsidRDefault="00000000">
      <w:pPr>
        <w:jc w:val="both"/>
      </w:pPr>
      <w:r>
        <w:t>Le travail comprend notamment :</w:t>
      </w:r>
    </w:p>
    <w:p w14:paraId="202EFA22" w14:textId="77777777" w:rsidR="004B2808" w:rsidRDefault="00000000">
      <w:pPr>
        <w:pStyle w:val="Author-eListParagraph"/>
        <w:numPr>
          <w:ilvl w:val="0"/>
          <w:numId w:val="1263"/>
        </w:numPr>
        <w:jc w:val="both"/>
      </w:pPr>
      <w:r>
        <w:lastRenderedPageBreak/>
        <w:t>la fourniture (hors matériaux récupérés du même site)</w:t>
      </w:r>
    </w:p>
    <w:p w14:paraId="453E9B34" w14:textId="77777777" w:rsidR="004B2808" w:rsidRDefault="00000000">
      <w:pPr>
        <w:pStyle w:val="Author-eListParagraph"/>
        <w:numPr>
          <w:ilvl w:val="0"/>
          <w:numId w:val="1263"/>
        </w:numPr>
        <w:jc w:val="both"/>
      </w:pPr>
      <w:r>
        <w:t>la préparation de surface, l’adaptation de la porte</w:t>
      </w:r>
    </w:p>
    <w:p w14:paraId="0DD50438" w14:textId="77777777" w:rsidR="004B2808" w:rsidRDefault="00000000">
      <w:pPr>
        <w:pStyle w:val="Author-eListParagraph"/>
        <w:numPr>
          <w:ilvl w:val="0"/>
          <w:numId w:val="1263"/>
        </w:numPr>
        <w:jc w:val="both"/>
      </w:pPr>
      <w:r>
        <w:t>la pose et le réglage</w:t>
      </w:r>
    </w:p>
    <w:p w14:paraId="400F8227" w14:textId="77777777" w:rsidR="004B2808" w:rsidRDefault="00000000">
      <w:pPr>
        <w:pStyle w:val="Author-eListParagraph"/>
        <w:numPr>
          <w:ilvl w:val="0"/>
          <w:numId w:val="1263"/>
        </w:numPr>
        <w:jc w:val="both"/>
      </w:pPr>
      <w:r>
        <w:t>le nettoyage de la surface</w:t>
      </w:r>
    </w:p>
    <w:p w14:paraId="2E00F9A5" w14:textId="77777777" w:rsidR="004B2808" w:rsidRDefault="00000000">
      <w:pPr>
        <w:pStyle w:val="pheading"/>
      </w:pPr>
      <w:r>
        <w:t>MATÉRIAUX</w:t>
      </w:r>
    </w:p>
    <w:p w14:paraId="767602DC" w14:textId="77777777" w:rsidR="004B2808" w:rsidRDefault="00000000">
      <w:pPr>
        <w:pStyle w:val="pheading"/>
      </w:pPr>
      <w:r>
        <w:t>- Caractéristiques générales</w:t>
      </w:r>
    </w:p>
    <w:p w14:paraId="28589C8C" w14:textId="77777777" w:rsidR="004B2808" w:rsidRDefault="00000000">
      <w:pPr>
        <w:jc w:val="both"/>
      </w:pPr>
      <w:r>
        <w:t>Le modèle est soumis à l’approbation du maitre de l’ouvrage.</w:t>
      </w:r>
    </w:p>
    <w:p w14:paraId="6A7A6C9E" w14:textId="77777777" w:rsidR="004B2808" w:rsidRDefault="00000000">
      <w:pPr>
        <w:pStyle w:val="Author-eListParagraph"/>
        <w:numPr>
          <w:ilvl w:val="0"/>
          <w:numId w:val="1264"/>
        </w:numPr>
        <w:jc w:val="both"/>
      </w:pPr>
      <w:r>
        <w:t xml:space="preserve">Type :  </w:t>
      </w:r>
      <w:r>
        <w:rPr>
          <w:rStyle w:val="optioncarChar"/>
        </w:rPr>
        <w:t xml:space="preserve">butoir de sol </w:t>
      </w:r>
      <w:r>
        <w:t xml:space="preserve">(par défaut) </w:t>
      </w:r>
      <w:r>
        <w:rPr>
          <w:rStyle w:val="optioncarChar"/>
        </w:rPr>
        <w:t xml:space="preserve">/ butoir mural / *** </w:t>
      </w:r>
    </w:p>
    <w:p w14:paraId="75A5C75B" w14:textId="77777777" w:rsidR="004B2808" w:rsidRDefault="00000000">
      <w:pPr>
        <w:pStyle w:val="Author-eListParagraph"/>
        <w:numPr>
          <w:ilvl w:val="0"/>
          <w:numId w:val="1264"/>
        </w:numPr>
        <w:jc w:val="both"/>
      </w:pPr>
      <w:r>
        <w:t>Diamètre : environ </w:t>
      </w:r>
      <w:r>
        <w:rPr>
          <w:rStyle w:val="optioncarChar"/>
        </w:rPr>
        <w:t>20</w:t>
      </w:r>
      <w:r>
        <w:t xml:space="preserve"> (par défaut)</w:t>
      </w:r>
      <w:r>
        <w:rPr>
          <w:rStyle w:val="optioncarChar"/>
        </w:rPr>
        <w:t xml:space="preserve"> / 22 / 24 / ***</w:t>
      </w:r>
      <w:r>
        <w:t> mm</w:t>
      </w:r>
    </w:p>
    <w:p w14:paraId="73DDE5B7" w14:textId="77777777" w:rsidR="004B2808" w:rsidRDefault="00000000">
      <w:pPr>
        <w:pStyle w:val="Author-eListParagraph"/>
        <w:numPr>
          <w:ilvl w:val="0"/>
          <w:numId w:val="1264"/>
        </w:numPr>
        <w:jc w:val="both"/>
      </w:pPr>
      <w:r>
        <w:t>Matériau : </w:t>
      </w:r>
      <w:r>
        <w:rPr>
          <w:rStyle w:val="optioncarChar"/>
        </w:rPr>
        <w:t xml:space="preserve">matière synthétique de qualité </w:t>
      </w:r>
      <w:r>
        <w:t>(par défaut)</w:t>
      </w:r>
      <w:r>
        <w:rPr>
          <w:rStyle w:val="optioncarChar"/>
        </w:rPr>
        <w:t xml:space="preserve"> / caoutchouc / ***</w:t>
      </w:r>
    </w:p>
    <w:p w14:paraId="22C2A0D5" w14:textId="77777777" w:rsidR="004B2808" w:rsidRDefault="00000000">
      <w:pPr>
        <w:jc w:val="both"/>
      </w:pPr>
      <w:r>
        <w:t xml:space="preserve">Les arrêts de porte sont  principalement constitués en </w:t>
      </w:r>
      <w:r>
        <w:rPr>
          <w:rStyle w:val="optioncarChar"/>
        </w:rPr>
        <w:t xml:space="preserve">laiton </w:t>
      </w:r>
      <w:r>
        <w:t>(par défaut) </w:t>
      </w:r>
      <w:r>
        <w:rPr>
          <w:rStyle w:val="optioncarChar"/>
        </w:rPr>
        <w:t>/ aluminium / fer forgé / fonte / acier inoxydable / acier bichromaté / nylon / ***</w:t>
      </w:r>
      <w:r>
        <w:t>.</w:t>
      </w:r>
    </w:p>
    <w:p w14:paraId="1FA0CEE4" w14:textId="77777777" w:rsidR="004B2808" w:rsidRDefault="00000000">
      <w:pPr>
        <w:jc w:val="both"/>
      </w:pPr>
      <w:r>
        <w:t xml:space="preserve">Les systèmes de fermeture sont </w:t>
      </w:r>
      <w:r>
        <w:rPr>
          <w:rStyle w:val="optioncarChar"/>
        </w:rPr>
        <w:t xml:space="preserve">neufs </w:t>
      </w:r>
      <w:r>
        <w:t>(par défaut)</w:t>
      </w:r>
      <w:r>
        <w:rPr>
          <w:rStyle w:val="optioncarChar"/>
        </w:rPr>
        <w:t xml:space="preserve"> / de réemploi</w:t>
      </w:r>
    </w:p>
    <w:p w14:paraId="772DCD8D" w14:textId="77777777" w:rsidR="004B2808" w:rsidRDefault="00000000">
      <w:pPr>
        <w:ind w:left="567"/>
        <w:jc w:val="both"/>
      </w:pPr>
      <w:r>
        <w:rPr>
          <w:b/>
          <w:i/>
        </w:rPr>
        <w:t>(Soit par défaut)</w:t>
      </w:r>
    </w:p>
    <w:p w14:paraId="33339A6D" w14:textId="77777777" w:rsidR="004B2808" w:rsidRDefault="00000000">
      <w:pPr>
        <w:ind w:left="567"/>
        <w:jc w:val="both"/>
      </w:pPr>
      <w:r>
        <w:rPr>
          <w:rStyle w:val="soitChar"/>
          <w:u w:val="single"/>
        </w:rPr>
        <w:t>Neufs</w:t>
      </w:r>
    </w:p>
    <w:p w14:paraId="5DB81958" w14:textId="77777777" w:rsidR="004B2808" w:rsidRDefault="00000000">
      <w:pPr>
        <w:ind w:left="567"/>
        <w:jc w:val="both"/>
      </w:pPr>
      <w:r>
        <w:rPr>
          <w:b/>
          <w:i/>
        </w:rPr>
        <w:t>(Soit)</w:t>
      </w:r>
    </w:p>
    <w:p w14:paraId="7AB12553" w14:textId="77777777" w:rsidR="004B2808" w:rsidRDefault="00000000">
      <w:pPr>
        <w:ind w:left="567"/>
        <w:jc w:val="both"/>
      </w:pPr>
      <w:r>
        <w:rPr>
          <w:rStyle w:val="soitChar"/>
          <w:u w:val="single"/>
        </w:rPr>
        <w:t>Réemploi :</w:t>
      </w:r>
      <w:r>
        <w:rPr>
          <w:rStyle w:val="soitChar"/>
        </w:rPr>
        <w:t xml:space="preserve"> il s’agit d’arrêts de porte de réemploi comme alternative aux éléments neufs.</w:t>
      </w:r>
    </w:p>
    <w:p w14:paraId="78F1D19E" w14:textId="77777777" w:rsidR="004B2808" w:rsidRDefault="00000000">
      <w:pPr>
        <w:ind w:left="567"/>
        <w:jc w:val="both"/>
      </w:pPr>
      <w:r>
        <w:rPr>
          <w:rStyle w:val="soitChar"/>
        </w:rPr>
        <w:t>Les références, fiches et déclarations d’aptitude à l’utilisation décrite au chapitre 02.42.1 Critères d'acceptabilité déposés dans le cadre du chantier initial sont soumis à l’analyse du maitre d’ouvrage avant validation.</w:t>
      </w:r>
    </w:p>
    <w:p w14:paraId="70038CF6" w14:textId="77777777" w:rsidR="004B2808" w:rsidRDefault="004B2808">
      <w:pPr>
        <w:ind w:left="567"/>
        <w:jc w:val="both"/>
      </w:pPr>
    </w:p>
    <w:p w14:paraId="5343AF3B" w14:textId="77777777" w:rsidR="004B2808" w:rsidRDefault="00000000">
      <w:pPr>
        <w:jc w:val="both"/>
      </w:pPr>
      <w:r>
        <w:t xml:space="preserve">Pour les arrêts de porte de réemploi, il s’agit </w:t>
      </w:r>
      <w:r>
        <w:rPr>
          <w:rStyle w:val="optioncarChar"/>
        </w:rPr>
        <w:t xml:space="preserve">de la fourniture et de la pose </w:t>
      </w:r>
      <w:r>
        <w:t>(par défaut)</w:t>
      </w:r>
      <w:r>
        <w:rPr>
          <w:rStyle w:val="optioncarChar"/>
        </w:rPr>
        <w:t xml:space="preserve"> / uniquement de la pose.  </w:t>
      </w:r>
    </w:p>
    <w:p w14:paraId="66A639A1" w14:textId="77777777" w:rsidR="004B2808" w:rsidRDefault="00000000">
      <w:pPr>
        <w:ind w:left="567"/>
        <w:jc w:val="both"/>
      </w:pPr>
      <w:r>
        <w:rPr>
          <w:b/>
          <w:i/>
        </w:rPr>
        <w:t>(Soit par défaut)</w:t>
      </w:r>
    </w:p>
    <w:p w14:paraId="11FDD578" w14:textId="77777777" w:rsidR="004B2808" w:rsidRDefault="00000000">
      <w:pPr>
        <w:ind w:left="567"/>
        <w:jc w:val="both"/>
      </w:pPr>
      <w:r>
        <w:rPr>
          <w:rStyle w:val="soitChar"/>
          <w:u w:val="single"/>
        </w:rPr>
        <w:t>Fourniture et pose :</w:t>
      </w:r>
      <w:r>
        <w:rPr>
          <w:rStyle w:val="soitChar"/>
        </w:rPr>
        <w:t xml:space="preserve"> Les arrêts de porte sont fournis par l’entreprise.</w:t>
      </w:r>
    </w:p>
    <w:p w14:paraId="51F3195C" w14:textId="77777777" w:rsidR="004B2808" w:rsidRDefault="00000000">
      <w:pPr>
        <w:ind w:left="567"/>
        <w:jc w:val="both"/>
      </w:pPr>
      <w:r>
        <w:rPr>
          <w:b/>
          <w:i/>
        </w:rPr>
        <w:t>(Soit)</w:t>
      </w:r>
    </w:p>
    <w:p w14:paraId="7620C42C" w14:textId="77777777" w:rsidR="004B2808" w:rsidRDefault="00000000">
      <w:pPr>
        <w:ind w:left="567"/>
        <w:jc w:val="both"/>
      </w:pPr>
      <w:r>
        <w:rPr>
          <w:rStyle w:val="soitChar"/>
          <w:u w:val="single"/>
        </w:rPr>
        <w:t>Pose :</w:t>
      </w:r>
      <w:r>
        <w:rPr>
          <w:rStyle w:val="soitChar"/>
        </w:rPr>
        <w:t xml:space="preserve"> Les arrêts de porte sont fournis par le Maitre d’ouvrage. Dans le cas d’un démontage sur chantier pour réutilisation du matériau, se référer aux éléments du 06.44.4 Démontages de menuiseries et vitrages intérieurs, 06.44.4b Démontages des portes et huisseries intérieures, 06.54.4 Démontages de menuiseries et vitrages intérieurs, 06.54.4b Démontages des portes et huisseries intérieures.</w:t>
      </w:r>
    </w:p>
    <w:p w14:paraId="6212BF72" w14:textId="77777777" w:rsidR="004B2808" w:rsidRDefault="00000000">
      <w:pPr>
        <w:pStyle w:val="pheading"/>
      </w:pPr>
      <w:r>
        <w:t>- Finitions</w:t>
      </w:r>
    </w:p>
    <w:p w14:paraId="0447752C" w14:textId="77777777" w:rsidR="004B2808" w:rsidRDefault="00000000">
      <w:r>
        <w:t xml:space="preserve">La finition est </w:t>
      </w:r>
      <w:r>
        <w:rPr>
          <w:rStyle w:val="optioncarChar"/>
        </w:rPr>
        <w:t xml:space="preserve">anodisée </w:t>
      </w:r>
      <w:r>
        <w:t>(par défaut)</w:t>
      </w:r>
      <w:r>
        <w:rPr>
          <w:rStyle w:val="optioncarChar"/>
        </w:rPr>
        <w:t xml:space="preserve"> / aluminium brossé / laqué RAL n° ***  / ***</w:t>
      </w:r>
      <w:r>
        <w:t>.</w:t>
      </w:r>
    </w:p>
    <w:p w14:paraId="4466DD05" w14:textId="77777777" w:rsidR="004B2808" w:rsidRDefault="00000000">
      <w:pPr>
        <w:pStyle w:val="pheading"/>
      </w:pPr>
      <w:r>
        <w:t>EXÉCUTION / MISE EN ŒUVRE</w:t>
      </w:r>
    </w:p>
    <w:p w14:paraId="3939DFF5" w14:textId="77777777" w:rsidR="004B2808" w:rsidRDefault="00000000">
      <w:pPr>
        <w:pStyle w:val="pheading"/>
      </w:pPr>
      <w:r>
        <w:t>- Prescriptions générales</w:t>
      </w:r>
    </w:p>
    <w:p w14:paraId="7C519D5B" w14:textId="77777777" w:rsidR="004B2808" w:rsidRDefault="00000000">
      <w:pPr>
        <w:jc w:val="both"/>
      </w:pPr>
      <w:r>
        <w:t>Les arrêts de portes sont fixés de manière à pouvoir résister aux sollicitations normales exercées par les vantaux de porte et à ne pas gêner l'utilisation des locaux. Les arrêts de portes sont fixés à l'aide de vis inoxydables de longueur et de diamètre appropriés.  </w:t>
      </w:r>
    </w:p>
    <w:p w14:paraId="620EA6B7" w14:textId="77777777" w:rsidR="004B2808" w:rsidRDefault="00000000">
      <w:pPr>
        <w:pStyle w:val="pheading"/>
      </w:pPr>
      <w:r>
        <w:t>MESURAGE</w:t>
      </w:r>
    </w:p>
    <w:p w14:paraId="671EA1A8" w14:textId="77777777" w:rsidR="004B2808" w:rsidRDefault="00000000">
      <w:pPr>
        <w:pStyle w:val="pheading"/>
      </w:pPr>
      <w:r>
        <w:t>- unité de mesure:</w:t>
      </w:r>
    </w:p>
    <w:p w14:paraId="1D2C8871" w14:textId="77777777" w:rsidR="004B2808" w:rsidRDefault="00000000">
      <w:r>
        <w:rPr>
          <w:rStyle w:val="optioncarChar"/>
        </w:rPr>
        <w:t xml:space="preserve">- </w:t>
      </w:r>
      <w:r>
        <w:t xml:space="preserve">(par défaut) </w:t>
      </w:r>
      <w:r>
        <w:rPr>
          <w:rStyle w:val="optioncarChar"/>
        </w:rPr>
        <w:t>/ pc</w:t>
      </w:r>
    </w:p>
    <w:p w14:paraId="507B2BCB" w14:textId="77777777" w:rsidR="004B2808" w:rsidRDefault="00000000">
      <w:r>
        <w:rPr>
          <w:b/>
          <w:i/>
        </w:rPr>
        <w:t>(Soit par défaut)</w:t>
      </w:r>
    </w:p>
    <w:p w14:paraId="204BF54C" w14:textId="77777777" w:rsidR="004B2808" w:rsidRDefault="00000000">
      <w:r>
        <w:rPr>
          <w:rStyle w:val="soitChar"/>
        </w:rPr>
        <w:t>1. -</w:t>
      </w:r>
    </w:p>
    <w:p w14:paraId="1D0E2354" w14:textId="77777777" w:rsidR="004B2808" w:rsidRDefault="00000000">
      <w:r>
        <w:rPr>
          <w:b/>
          <w:i/>
        </w:rPr>
        <w:lastRenderedPageBreak/>
        <w:t>(Soit)</w:t>
      </w:r>
    </w:p>
    <w:p w14:paraId="426E0244" w14:textId="77777777" w:rsidR="004B2808" w:rsidRDefault="00000000">
      <w:r>
        <w:rPr>
          <w:rStyle w:val="soitChar"/>
        </w:rPr>
        <w:t>2. 3. pc</w:t>
      </w:r>
    </w:p>
    <w:p w14:paraId="1159BFC0" w14:textId="77777777" w:rsidR="004B2808" w:rsidRDefault="00000000">
      <w:pPr>
        <w:pStyle w:val="pheading"/>
      </w:pPr>
      <w:r>
        <w:t>- code de mesurage:</w:t>
      </w:r>
    </w:p>
    <w:p w14:paraId="3B1DE272" w14:textId="77777777" w:rsidR="004B2808" w:rsidRDefault="00000000">
      <w:pPr>
        <w:jc w:val="both"/>
      </w:pPr>
      <w:r>
        <w:t>Sauf indications spécifique contraire dans le cahier spécial des charges et/ou le métré récapitulatif, le prix de toute la quincaillerie sera compris dans le prix unitaire de la menuiserie extérieure (profilés).</w:t>
      </w:r>
    </w:p>
    <w:p w14:paraId="04850403" w14:textId="77777777" w:rsidR="004B2808" w:rsidRDefault="00000000">
      <w:pPr>
        <w:jc w:val="both"/>
      </w:pPr>
      <w:r>
        <w:t>Exceptionnellement et moyennant mention expresse dans le cahier spécial des charges et le métré récapitulatif, la quincaillerie spéciale peut être reprise comme poste séparé (par ex. ferme-porte / barre anti-panique / serrures électriques / ...).</w:t>
      </w:r>
    </w:p>
    <w:p w14:paraId="7DF79D56" w14:textId="77777777" w:rsidR="004B2808" w:rsidRDefault="00000000">
      <w:pPr>
        <w:jc w:val="both"/>
      </w:pPr>
      <w:r>
        <w:t>Distinction faite entre éléments neufs et de réemploi, avec ou sans fourniture pour ces derniers.</w:t>
      </w:r>
    </w:p>
    <w:p w14:paraId="1F5BD991" w14:textId="77777777" w:rsidR="004B2808" w:rsidRDefault="004B2808"/>
    <w:p w14:paraId="21B643C1" w14:textId="77777777" w:rsidR="004B2808" w:rsidRDefault="00000000">
      <w:pPr>
        <w:jc w:val="both"/>
      </w:pPr>
      <w:r>
        <w:rPr>
          <w:rStyle w:val="optioncarChar"/>
        </w:rPr>
        <w:t>Compris </w:t>
      </w:r>
      <w:r>
        <w:t>(par défaut)</w:t>
      </w:r>
      <w:r>
        <w:rPr>
          <w:rStyle w:val="optioncarChar"/>
        </w:rPr>
        <w:t> / Quantité nette</w:t>
      </w:r>
    </w:p>
    <w:p w14:paraId="6851FFCE" w14:textId="77777777" w:rsidR="004B2808" w:rsidRDefault="00000000">
      <w:pPr>
        <w:jc w:val="both"/>
      </w:pPr>
      <w:r>
        <w:rPr>
          <w:b/>
          <w:i/>
        </w:rPr>
        <w:t>(Soit par défaut)</w:t>
      </w:r>
    </w:p>
    <w:p w14:paraId="2CCF609F" w14:textId="77777777" w:rsidR="004B2808" w:rsidRDefault="004B2808">
      <w:pPr>
        <w:jc w:val="both"/>
      </w:pPr>
    </w:p>
    <w:p w14:paraId="2ABA84FC" w14:textId="77777777" w:rsidR="004B2808" w:rsidRDefault="00000000">
      <w:pPr>
        <w:jc w:val="both"/>
      </w:pPr>
      <w:r>
        <w:rPr>
          <w:rStyle w:val="soitChar"/>
        </w:rPr>
        <w:t>1.</w:t>
      </w:r>
      <w:r>
        <w:rPr>
          <w:rStyle w:val="soitChar"/>
          <w:u w:val="single"/>
        </w:rPr>
        <w:t xml:space="preserve"> Compris </w:t>
      </w:r>
      <w:r>
        <w:rPr>
          <w:rStyle w:val="soitChar"/>
        </w:rPr>
        <w:t>dans l'article </w:t>
      </w:r>
      <w:r>
        <w:rPr>
          <w:rStyle w:val="optioncarChar"/>
        </w:rPr>
        <w:t>***</w:t>
      </w:r>
      <w:r>
        <w:rPr>
          <w:rStyle w:val="soitChar"/>
        </w:rPr>
        <w:t> y compris les accessoires, tringlerie, fixations, et caches.</w:t>
      </w:r>
    </w:p>
    <w:p w14:paraId="508C8D7D" w14:textId="77777777" w:rsidR="004B2808" w:rsidRDefault="00000000">
      <w:pPr>
        <w:jc w:val="both"/>
      </w:pPr>
      <w:r>
        <w:rPr>
          <w:b/>
          <w:i/>
        </w:rPr>
        <w:t>(Soit)</w:t>
      </w:r>
    </w:p>
    <w:p w14:paraId="3B1CDB5D" w14:textId="77777777" w:rsidR="004B2808" w:rsidRDefault="004B2808">
      <w:pPr>
        <w:jc w:val="both"/>
      </w:pPr>
    </w:p>
    <w:p w14:paraId="5D18484A" w14:textId="77777777" w:rsidR="004B2808" w:rsidRDefault="00000000">
      <w:pPr>
        <w:jc w:val="both"/>
      </w:pPr>
      <w:r>
        <w:rPr>
          <w:rStyle w:val="soitChar"/>
        </w:rPr>
        <w:t xml:space="preserve"> 2. 3. </w:t>
      </w:r>
      <w:r>
        <w:rPr>
          <w:rStyle w:val="soitChar"/>
          <w:u w:val="single"/>
        </w:rPr>
        <w:t>Quantité nette </w:t>
      </w:r>
      <w:r>
        <w:rPr>
          <w:rStyle w:val="soitChar"/>
        </w:rPr>
        <w:t>y compris les accessoires, tringlerie, fixations, et caches.</w:t>
      </w:r>
    </w:p>
    <w:p w14:paraId="079A1FFE" w14:textId="77777777" w:rsidR="004B2808" w:rsidRDefault="00000000">
      <w:pPr>
        <w:pStyle w:val="pheading"/>
      </w:pPr>
      <w:r>
        <w:t>- nature du marché:</w:t>
      </w:r>
    </w:p>
    <w:p w14:paraId="3ECA1656" w14:textId="77777777" w:rsidR="004B2808" w:rsidRDefault="00000000">
      <w:r>
        <w:rPr>
          <w:rStyle w:val="optioncarChar"/>
        </w:rPr>
        <w:t xml:space="preserve">PM </w:t>
      </w:r>
      <w:r>
        <w:t xml:space="preserve">(par défaut) </w:t>
      </w:r>
      <w:r>
        <w:rPr>
          <w:rStyle w:val="optioncarChar"/>
        </w:rPr>
        <w:t>/ QF / QP</w:t>
      </w:r>
    </w:p>
    <w:p w14:paraId="69C7AA85" w14:textId="77777777" w:rsidR="004B2808" w:rsidRDefault="00000000">
      <w:r>
        <w:rPr>
          <w:b/>
          <w:i/>
        </w:rPr>
        <w:t>(Soit par défaut)</w:t>
      </w:r>
    </w:p>
    <w:p w14:paraId="2BE5A2E2" w14:textId="77777777" w:rsidR="004B2808" w:rsidRDefault="00000000">
      <w:r>
        <w:rPr>
          <w:rStyle w:val="soitChar"/>
        </w:rPr>
        <w:t>1. PM</w:t>
      </w:r>
    </w:p>
    <w:p w14:paraId="23A68787" w14:textId="77777777" w:rsidR="004B2808" w:rsidRDefault="00000000">
      <w:r>
        <w:rPr>
          <w:b/>
          <w:i/>
        </w:rPr>
        <w:t>(Soit)</w:t>
      </w:r>
    </w:p>
    <w:p w14:paraId="46AA0E33" w14:textId="77777777" w:rsidR="004B2808" w:rsidRDefault="00000000">
      <w:r>
        <w:rPr>
          <w:rStyle w:val="soitChar"/>
        </w:rPr>
        <w:t>2. QF</w:t>
      </w:r>
    </w:p>
    <w:p w14:paraId="04EF914C" w14:textId="77777777" w:rsidR="004B2808" w:rsidRDefault="00000000">
      <w:r>
        <w:rPr>
          <w:b/>
          <w:i/>
        </w:rPr>
        <w:t>(Soit)</w:t>
      </w:r>
    </w:p>
    <w:p w14:paraId="75A5D11F" w14:textId="77777777" w:rsidR="004B2808" w:rsidRDefault="00000000">
      <w:r>
        <w:rPr>
          <w:rStyle w:val="soitChar"/>
        </w:rPr>
        <w:t>3. QP</w:t>
      </w:r>
    </w:p>
    <w:p w14:paraId="75547B29" w14:textId="77777777" w:rsidR="004B2808" w:rsidRDefault="00000000">
      <w:pPr>
        <w:pStyle w:val="Author-eSectionHeading5Numberless"/>
      </w:pPr>
      <w:bookmarkStart w:id="1365" w:name="_Toc220491473"/>
      <w:r>
        <w:t>55.65.7 Eléments intégrés ou externes à une menuiserie de porte/de fenêtre intérieure - Garde corps CCTB 01.02</w:t>
      </w:r>
      <w:bookmarkEnd w:id="1365"/>
    </w:p>
    <w:p w14:paraId="4505B91F" w14:textId="77777777" w:rsidR="004B2808" w:rsidRDefault="00000000">
      <w:pPr>
        <w:pStyle w:val="Author-eSectionHeading6Numberless"/>
      </w:pPr>
      <w:bookmarkStart w:id="1366" w:name="_Toc220491474"/>
      <w:r>
        <w:t>55.65.7a Eléments intégrés ou externes à une menuiserie de porte/de fenêtre intérieure - Garde corps CCTB 01.02</w:t>
      </w:r>
      <w:bookmarkEnd w:id="1366"/>
    </w:p>
    <w:p w14:paraId="079BC364" w14:textId="77777777" w:rsidR="004B2808" w:rsidRDefault="00000000">
      <w:pPr>
        <w:pStyle w:val="Author-eSectionHeading5Numberless"/>
      </w:pPr>
      <w:bookmarkStart w:id="1367" w:name="_Toc220491475"/>
      <w:r>
        <w:t>55.65.8 Eléments intégrés ou externes à une menuiserie de porte/de fenêtre intérieure - Plaquettes signalétiques CCTB 01.02</w:t>
      </w:r>
      <w:bookmarkEnd w:id="1367"/>
    </w:p>
    <w:p w14:paraId="7DA380BB" w14:textId="77777777" w:rsidR="004B2808" w:rsidRDefault="00000000">
      <w:pPr>
        <w:pStyle w:val="Author-eSectionHeading6Numberless"/>
      </w:pPr>
      <w:bookmarkStart w:id="1368" w:name="_Toc220491476"/>
      <w:r>
        <w:t>55.65.8a Eléments intégrés ou externes à une menuiserie de porte/de fenêtre intérieure - Plaquettes signalétiques CCTB 01.11</w:t>
      </w:r>
      <w:bookmarkEnd w:id="1368"/>
    </w:p>
    <w:p w14:paraId="048E88FD" w14:textId="77777777" w:rsidR="004B2808" w:rsidRDefault="00000000">
      <w:pPr>
        <w:pStyle w:val="pheading"/>
      </w:pPr>
      <w:r>
        <w:t>DESCRIPTION</w:t>
      </w:r>
    </w:p>
    <w:p w14:paraId="6B29F98B" w14:textId="77777777" w:rsidR="004B2808" w:rsidRDefault="00000000">
      <w:pPr>
        <w:pStyle w:val="pheading"/>
      </w:pPr>
      <w:r>
        <w:t>- Définition / Comprend</w:t>
      </w:r>
    </w:p>
    <w:p w14:paraId="44574D12" w14:textId="77777777" w:rsidR="004B2808" w:rsidRDefault="00000000">
      <w:pPr>
        <w:jc w:val="both"/>
      </w:pPr>
      <w:r>
        <w:t>Il s’agit des prescriptions pour la fourniture et pose de plaquettes signalétiques à poser sur une porte ou fenêtre intérieure.</w:t>
      </w:r>
    </w:p>
    <w:p w14:paraId="643483E1" w14:textId="77777777" w:rsidR="004B2808" w:rsidRDefault="00000000">
      <w:pPr>
        <w:jc w:val="both"/>
      </w:pPr>
      <w:r>
        <w:t>Ce poste comprend notamment:</w:t>
      </w:r>
    </w:p>
    <w:p w14:paraId="4DB42E7F" w14:textId="77777777" w:rsidR="004B2808" w:rsidRDefault="00000000">
      <w:pPr>
        <w:pStyle w:val="Author-eListParagraph"/>
        <w:numPr>
          <w:ilvl w:val="0"/>
          <w:numId w:val="1265"/>
        </w:numPr>
        <w:jc w:val="both"/>
      </w:pPr>
      <w:r>
        <w:t>la prise de mesures ;</w:t>
      </w:r>
    </w:p>
    <w:p w14:paraId="14689D39" w14:textId="77777777" w:rsidR="004B2808" w:rsidRDefault="00000000">
      <w:pPr>
        <w:pStyle w:val="Author-eListParagraph"/>
        <w:numPr>
          <w:ilvl w:val="0"/>
          <w:numId w:val="1265"/>
        </w:numPr>
        <w:jc w:val="both"/>
      </w:pPr>
      <w:r>
        <w:t>les plans de fabrication à soumettre à l’auteur de projet pour approbation ;</w:t>
      </w:r>
    </w:p>
    <w:p w14:paraId="0C645A71" w14:textId="77777777" w:rsidR="004B2808" w:rsidRDefault="00000000">
      <w:pPr>
        <w:pStyle w:val="Author-eListParagraph"/>
        <w:numPr>
          <w:ilvl w:val="0"/>
          <w:numId w:val="1265"/>
        </w:numPr>
        <w:jc w:val="both"/>
      </w:pPr>
      <w:r>
        <w:lastRenderedPageBreak/>
        <w:t>l’évaluation du support et le choix adapté des fixations ;</w:t>
      </w:r>
    </w:p>
    <w:p w14:paraId="00EE6683" w14:textId="77777777" w:rsidR="004B2808" w:rsidRDefault="00000000">
      <w:pPr>
        <w:pStyle w:val="Author-eListParagraph"/>
        <w:numPr>
          <w:ilvl w:val="0"/>
          <w:numId w:val="1265"/>
        </w:numPr>
        <w:jc w:val="both"/>
      </w:pPr>
      <w:r>
        <w:t>la préparation, le nettoyage et le contrôle de l'aire de pose et du support ;</w:t>
      </w:r>
    </w:p>
    <w:p w14:paraId="54DF71AD" w14:textId="77777777" w:rsidR="004B2808" w:rsidRDefault="00000000">
      <w:pPr>
        <w:pStyle w:val="Author-eListParagraph"/>
        <w:numPr>
          <w:ilvl w:val="0"/>
          <w:numId w:val="1265"/>
        </w:numPr>
        <w:jc w:val="both"/>
      </w:pPr>
      <w:r>
        <w:t>La fourniture et pose des éléments ;</w:t>
      </w:r>
    </w:p>
    <w:p w14:paraId="1B18DBA2" w14:textId="77777777" w:rsidR="004B2808" w:rsidRDefault="00000000">
      <w:pPr>
        <w:pStyle w:val="Author-eListParagraph"/>
        <w:numPr>
          <w:ilvl w:val="0"/>
          <w:numId w:val="1265"/>
        </w:numPr>
        <w:jc w:val="both"/>
      </w:pPr>
      <w:r>
        <w:t>les éventuelles mesures de protection provisoires jusqu’à la réception du chantier ;</w:t>
      </w:r>
    </w:p>
    <w:p w14:paraId="23AE965E" w14:textId="77777777" w:rsidR="004B2808" w:rsidRDefault="00000000">
      <w:pPr>
        <w:pStyle w:val="Author-eListParagraph"/>
        <w:numPr>
          <w:ilvl w:val="0"/>
          <w:numId w:val="1265"/>
        </w:numPr>
        <w:jc w:val="both"/>
      </w:pPr>
      <w:r>
        <w:t>l’enlèvement des protections ;</w:t>
      </w:r>
    </w:p>
    <w:p w14:paraId="7BCB56AE" w14:textId="77777777" w:rsidR="004B2808" w:rsidRDefault="00000000">
      <w:pPr>
        <w:pStyle w:val="Author-eListParagraph"/>
        <w:numPr>
          <w:ilvl w:val="0"/>
          <w:numId w:val="1265"/>
        </w:numPr>
        <w:jc w:val="both"/>
      </w:pPr>
      <w:r>
        <w:t>l’évacuation des déchets et le nettoyage du chantier quotidien.</w:t>
      </w:r>
    </w:p>
    <w:p w14:paraId="42C95CCD" w14:textId="77777777" w:rsidR="004B2808" w:rsidRDefault="00000000">
      <w:pPr>
        <w:pStyle w:val="pheading"/>
      </w:pPr>
      <w:r>
        <w:t>- Localisation</w:t>
      </w:r>
    </w:p>
    <w:p w14:paraId="41FA0D99" w14:textId="77777777" w:rsidR="004B2808" w:rsidRDefault="00000000">
      <w:r>
        <w:t xml:space="preserve">Les travaux sont localisés : </w:t>
      </w:r>
      <w:r>
        <w:rPr>
          <w:rStyle w:val="optioncarChar"/>
        </w:rPr>
        <w:t>***</w:t>
      </w:r>
      <w:r>
        <w:t>.</w:t>
      </w:r>
    </w:p>
    <w:p w14:paraId="30E87A5A" w14:textId="77777777" w:rsidR="004B2808" w:rsidRDefault="00000000">
      <w:r>
        <w:t>Voir plans et métrés détaillés.</w:t>
      </w:r>
    </w:p>
    <w:p w14:paraId="61AAAB61" w14:textId="77777777" w:rsidR="004B2808" w:rsidRDefault="00000000">
      <w:pPr>
        <w:pStyle w:val="pheading"/>
      </w:pPr>
      <w:r>
        <w:t>MATÉRIAUX</w:t>
      </w:r>
    </w:p>
    <w:p w14:paraId="6B7D9C86" w14:textId="77777777" w:rsidR="004B2808" w:rsidRDefault="00000000">
      <w:pPr>
        <w:pStyle w:val="pheading"/>
      </w:pPr>
      <w:r>
        <w:t>- Caractéristiques générales</w:t>
      </w:r>
    </w:p>
    <w:p w14:paraId="4CEABD49" w14:textId="77777777" w:rsidR="004B2808" w:rsidRDefault="00000000">
      <w:r>
        <w:rPr>
          <w:b/>
          <w:u w:val="single"/>
        </w:rPr>
        <w:t>Plaque</w:t>
      </w:r>
    </w:p>
    <w:p w14:paraId="646C760E" w14:textId="77777777" w:rsidR="004B2808" w:rsidRDefault="00000000">
      <w:pPr>
        <w:pStyle w:val="Author-eListParagraph"/>
        <w:numPr>
          <w:ilvl w:val="0"/>
          <w:numId w:val="1266"/>
        </w:numPr>
      </w:pPr>
      <w:r>
        <w:t>Dimensions de la plaque:</w:t>
      </w:r>
      <w:r>
        <w:rPr>
          <w:rStyle w:val="optioncarChar"/>
        </w:rPr>
        <w:t xml:space="preserve"> *** x *** mm</w:t>
      </w:r>
      <w:r>
        <w:t>.</w:t>
      </w:r>
    </w:p>
    <w:p w14:paraId="2FF9DD70" w14:textId="77777777" w:rsidR="004B2808" w:rsidRDefault="00000000">
      <w:pPr>
        <w:pStyle w:val="Author-eListParagraph"/>
        <w:numPr>
          <w:ilvl w:val="0"/>
          <w:numId w:val="1266"/>
        </w:numPr>
      </w:pPr>
      <w:r>
        <w:t xml:space="preserve">Forme : </w:t>
      </w:r>
      <w:r>
        <w:rPr>
          <w:rStyle w:val="optioncarChar"/>
        </w:rPr>
        <w:t>rectangulaire</w:t>
      </w:r>
      <w:r>
        <w:t xml:space="preserve"> (par défaut) </w:t>
      </w:r>
      <w:r>
        <w:rPr>
          <w:rStyle w:val="optioncarChar"/>
        </w:rPr>
        <w:t>/ rectangulaire à bords arrondis / ovale / ovale à bord dentelé / octogonale / flèche / ***.</w:t>
      </w:r>
    </w:p>
    <w:p w14:paraId="1FB0F02D" w14:textId="77777777" w:rsidR="004B2808" w:rsidRDefault="00000000">
      <w:pPr>
        <w:pStyle w:val="Author-eListParagraph"/>
        <w:numPr>
          <w:ilvl w:val="0"/>
          <w:numId w:val="1266"/>
        </w:numPr>
      </w:pPr>
      <w:r>
        <w:t xml:space="preserve">Bordure : </w:t>
      </w:r>
      <w:r>
        <w:rPr>
          <w:rStyle w:val="optioncarChar"/>
        </w:rPr>
        <w:t xml:space="preserve">Pas de bordure </w:t>
      </w:r>
      <w:r>
        <w:t>(par défaut)</w:t>
      </w:r>
      <w:r>
        <w:rPr>
          <w:rStyle w:val="optioncarChar"/>
        </w:rPr>
        <w:t xml:space="preserve"> / fine / ***</w:t>
      </w:r>
      <w:r>
        <w:t>.</w:t>
      </w:r>
    </w:p>
    <w:p w14:paraId="61FAA3B2" w14:textId="77777777" w:rsidR="004B2808" w:rsidRDefault="00000000">
      <w:pPr>
        <w:pStyle w:val="Author-eListParagraph"/>
        <w:numPr>
          <w:ilvl w:val="0"/>
          <w:numId w:val="1266"/>
        </w:numPr>
      </w:pPr>
      <w:r>
        <w:t xml:space="preserve">Couleur de la plaque : </w:t>
      </w:r>
      <w:r>
        <w:rPr>
          <w:rStyle w:val="optioncarChar"/>
        </w:rPr>
        <w:t xml:space="preserve">blanc </w:t>
      </w:r>
      <w:r>
        <w:t xml:space="preserve">(par défaut) </w:t>
      </w:r>
      <w:r>
        <w:rPr>
          <w:rStyle w:val="optioncarChar"/>
        </w:rPr>
        <w:t>/ naturel / ***.</w:t>
      </w:r>
    </w:p>
    <w:p w14:paraId="6766CA17" w14:textId="77777777" w:rsidR="004B2808" w:rsidRDefault="00000000">
      <w:pPr>
        <w:pStyle w:val="Author-eListParagraph"/>
        <w:numPr>
          <w:ilvl w:val="0"/>
          <w:numId w:val="1266"/>
        </w:numPr>
      </w:pPr>
      <w:r>
        <w:t xml:space="preserve">Type de plaque : </w:t>
      </w:r>
      <w:r>
        <w:rPr>
          <w:rStyle w:val="optioncarChar"/>
        </w:rPr>
        <w:t>plastique acrylique</w:t>
      </w:r>
      <w:r>
        <w:t xml:space="preserve"> (par défaut) </w:t>
      </w:r>
      <w:r>
        <w:rPr>
          <w:rStyle w:val="optioncarChar"/>
        </w:rPr>
        <w:t>/ plastique pvc expansé / aluminium / acrylique transparent / laiton / bois / acier inoxydable / verre / pas de plaque support</w:t>
      </w:r>
    </w:p>
    <w:p w14:paraId="6D63B9CE" w14:textId="77777777" w:rsidR="004B2808" w:rsidRDefault="00000000">
      <w:pPr>
        <w:ind w:left="567"/>
      </w:pPr>
      <w:r>
        <w:rPr>
          <w:b/>
          <w:i/>
        </w:rPr>
        <w:t>(Soit par défaut)</w:t>
      </w:r>
    </w:p>
    <w:p w14:paraId="25DC11CB" w14:textId="77777777" w:rsidR="004B2808" w:rsidRDefault="00000000">
      <w:pPr>
        <w:ind w:left="567"/>
      </w:pPr>
      <w:r>
        <w:rPr>
          <w:rStyle w:val="soitChar"/>
          <w:u w:val="single"/>
        </w:rPr>
        <w:t>Plastique acrylique</w:t>
      </w:r>
    </w:p>
    <w:p w14:paraId="06A35943" w14:textId="77777777" w:rsidR="004B2808" w:rsidRDefault="00000000">
      <w:pPr>
        <w:pStyle w:val="Author-eListParagraph"/>
        <w:numPr>
          <w:ilvl w:val="1"/>
          <w:numId w:val="1267"/>
        </w:numPr>
      </w:pPr>
      <w:r>
        <w:rPr>
          <w:rStyle w:val="soitChar"/>
        </w:rPr>
        <w:t>Plaque en plastique acrylique.</w:t>
      </w:r>
    </w:p>
    <w:p w14:paraId="43A421E0" w14:textId="77777777" w:rsidR="004B2808" w:rsidRDefault="00000000">
      <w:pPr>
        <w:pStyle w:val="Author-eListParagraph"/>
        <w:numPr>
          <w:ilvl w:val="1"/>
          <w:numId w:val="1267"/>
        </w:numPr>
      </w:pPr>
      <w:r>
        <w:rPr>
          <w:rStyle w:val="soitChar"/>
        </w:rPr>
        <w:t>Épaisseur minimum :</w:t>
      </w:r>
      <w:r>
        <w:rPr>
          <w:rStyle w:val="optioncarChar"/>
        </w:rPr>
        <w:t xml:space="preserve"> 1,5</w:t>
      </w:r>
      <w:r>
        <w:t xml:space="preserve"> (par défaut)</w:t>
      </w:r>
      <w:r>
        <w:rPr>
          <w:rStyle w:val="optioncarChar"/>
        </w:rPr>
        <w:t xml:space="preserve"> / ***</w:t>
      </w:r>
      <w:r>
        <w:rPr>
          <w:rStyle w:val="soitChar"/>
        </w:rPr>
        <w:t xml:space="preserve"> mm, tolérances : ± 1 mm.</w:t>
      </w:r>
      <w:r>
        <w:br/>
      </w:r>
    </w:p>
    <w:p w14:paraId="0AB4739B" w14:textId="77777777" w:rsidR="004B2808" w:rsidRDefault="00000000">
      <w:pPr>
        <w:ind w:left="567"/>
      </w:pPr>
      <w:r>
        <w:rPr>
          <w:b/>
          <w:i/>
        </w:rPr>
        <w:t>(Soit)</w:t>
      </w:r>
    </w:p>
    <w:p w14:paraId="47C3C3FF" w14:textId="77777777" w:rsidR="004B2808" w:rsidRDefault="00000000">
      <w:pPr>
        <w:ind w:left="567"/>
      </w:pPr>
      <w:r>
        <w:rPr>
          <w:rStyle w:val="soitChar"/>
          <w:u w:val="single"/>
        </w:rPr>
        <w:t>Plastique PVC expansé</w:t>
      </w:r>
    </w:p>
    <w:p w14:paraId="3C42DA70" w14:textId="77777777" w:rsidR="004B2808" w:rsidRDefault="00000000">
      <w:pPr>
        <w:pStyle w:val="Author-eListParagraph"/>
        <w:numPr>
          <w:ilvl w:val="1"/>
          <w:numId w:val="1268"/>
        </w:numPr>
      </w:pPr>
      <w:r>
        <w:rPr>
          <w:rStyle w:val="soitChar"/>
        </w:rPr>
        <w:t>Plaque en PVC expansé.</w:t>
      </w:r>
    </w:p>
    <w:p w14:paraId="6BC2DB7E" w14:textId="77777777" w:rsidR="004B2808" w:rsidRDefault="00000000">
      <w:pPr>
        <w:pStyle w:val="Author-eListParagraph"/>
        <w:numPr>
          <w:ilvl w:val="1"/>
          <w:numId w:val="1268"/>
        </w:numPr>
      </w:pPr>
      <w:r>
        <w:rPr>
          <w:rStyle w:val="soitChar"/>
        </w:rPr>
        <w:t>Épaisseur minimum </w:t>
      </w:r>
      <w:r>
        <w:t xml:space="preserve">: </w:t>
      </w:r>
      <w:r>
        <w:rPr>
          <w:rStyle w:val="optioncarChar"/>
        </w:rPr>
        <w:t xml:space="preserve">3 </w:t>
      </w:r>
      <w:r>
        <w:t>(par défaut)</w:t>
      </w:r>
      <w:r>
        <w:rPr>
          <w:rStyle w:val="optioncarChar"/>
        </w:rPr>
        <w:t xml:space="preserve"> / ***  </w:t>
      </w:r>
      <w:r>
        <w:rPr>
          <w:rStyle w:val="soitChar"/>
        </w:rPr>
        <w:t>mm, tolérances : ± 1 mm.</w:t>
      </w:r>
      <w:r>
        <w:br/>
      </w:r>
    </w:p>
    <w:p w14:paraId="2D6B64B0" w14:textId="77777777" w:rsidR="004B2808" w:rsidRDefault="00000000">
      <w:pPr>
        <w:ind w:left="567"/>
      </w:pPr>
      <w:r>
        <w:rPr>
          <w:b/>
          <w:i/>
        </w:rPr>
        <w:t>(Soit)</w:t>
      </w:r>
    </w:p>
    <w:p w14:paraId="0C028DC8" w14:textId="77777777" w:rsidR="004B2808" w:rsidRDefault="00000000">
      <w:pPr>
        <w:ind w:left="567"/>
      </w:pPr>
      <w:r>
        <w:rPr>
          <w:rStyle w:val="soitChar"/>
          <w:u w:val="single"/>
        </w:rPr>
        <w:t>Aluminium</w:t>
      </w:r>
    </w:p>
    <w:p w14:paraId="5905DCF7" w14:textId="77777777" w:rsidR="004B2808" w:rsidRDefault="00000000">
      <w:pPr>
        <w:pStyle w:val="Author-eListParagraph"/>
        <w:numPr>
          <w:ilvl w:val="1"/>
          <w:numId w:val="1269"/>
        </w:numPr>
      </w:pPr>
      <w:r>
        <w:rPr>
          <w:rStyle w:val="soitChar"/>
        </w:rPr>
        <w:t>Plaque en aluminium naturel.</w:t>
      </w:r>
    </w:p>
    <w:p w14:paraId="50FAC91F" w14:textId="77777777" w:rsidR="004B2808" w:rsidRDefault="00000000">
      <w:pPr>
        <w:pStyle w:val="Author-eListParagraph"/>
        <w:numPr>
          <w:ilvl w:val="1"/>
          <w:numId w:val="1269"/>
        </w:numPr>
      </w:pPr>
      <w:r>
        <w:rPr>
          <w:rStyle w:val="soitChar"/>
        </w:rPr>
        <w:t>Épaisseur minimum : </w:t>
      </w:r>
      <w:r>
        <w:rPr>
          <w:rStyle w:val="optioncarChar"/>
        </w:rPr>
        <w:t xml:space="preserve">1,5 </w:t>
      </w:r>
      <w:r>
        <w:t>(par défaut)</w:t>
      </w:r>
      <w:r>
        <w:rPr>
          <w:rStyle w:val="optioncarChar"/>
        </w:rPr>
        <w:t xml:space="preserve"> / *** </w:t>
      </w:r>
      <w:r>
        <w:rPr>
          <w:rStyle w:val="soitChar"/>
        </w:rPr>
        <w:t>mm</w:t>
      </w:r>
      <w:r>
        <w:t xml:space="preserve">, </w:t>
      </w:r>
      <w:r>
        <w:rPr>
          <w:rStyle w:val="soitChar"/>
        </w:rPr>
        <w:t>tolérances : ± 1 mm.</w:t>
      </w:r>
      <w:r>
        <w:br/>
        <w:t> </w:t>
      </w:r>
    </w:p>
    <w:p w14:paraId="4002787D" w14:textId="77777777" w:rsidR="004B2808" w:rsidRDefault="00000000">
      <w:pPr>
        <w:ind w:left="567"/>
      </w:pPr>
      <w:r>
        <w:rPr>
          <w:b/>
          <w:i/>
        </w:rPr>
        <w:t>(Soit)</w:t>
      </w:r>
    </w:p>
    <w:p w14:paraId="39D51F2A" w14:textId="77777777" w:rsidR="004B2808" w:rsidRDefault="00000000">
      <w:pPr>
        <w:ind w:left="567"/>
      </w:pPr>
      <w:r>
        <w:rPr>
          <w:rStyle w:val="soitChar"/>
          <w:u w:val="single"/>
        </w:rPr>
        <w:t>Acrylique transparent</w:t>
      </w:r>
    </w:p>
    <w:p w14:paraId="40195A3C" w14:textId="77777777" w:rsidR="004B2808" w:rsidRDefault="00000000">
      <w:pPr>
        <w:pStyle w:val="Author-eListParagraph"/>
        <w:numPr>
          <w:ilvl w:val="1"/>
          <w:numId w:val="1270"/>
        </w:numPr>
      </w:pPr>
      <w:r>
        <w:rPr>
          <w:rStyle w:val="soitChar"/>
        </w:rPr>
        <w:t>Plaque en acrylique transparent.</w:t>
      </w:r>
    </w:p>
    <w:p w14:paraId="27A790AE" w14:textId="77777777" w:rsidR="004B2808" w:rsidRDefault="00000000">
      <w:pPr>
        <w:pStyle w:val="Author-eListParagraph"/>
        <w:numPr>
          <w:ilvl w:val="1"/>
          <w:numId w:val="1270"/>
        </w:numPr>
      </w:pPr>
      <w:r>
        <w:rPr>
          <w:rStyle w:val="soitChar"/>
        </w:rPr>
        <w:t>Épaisseur minimum :</w:t>
      </w:r>
      <w:r>
        <w:rPr>
          <w:rStyle w:val="optioncarChar"/>
        </w:rPr>
        <w:t xml:space="preserve">5 </w:t>
      </w:r>
      <w:r>
        <w:t>(par défaut)</w:t>
      </w:r>
      <w:r>
        <w:rPr>
          <w:rStyle w:val="optioncarChar"/>
        </w:rPr>
        <w:t xml:space="preserve"> / ***</w:t>
      </w:r>
      <w:r>
        <w:rPr>
          <w:rStyle w:val="soitChar"/>
        </w:rPr>
        <w:t xml:space="preserve"> mm</w:t>
      </w:r>
      <w:r>
        <w:t>,</w:t>
      </w:r>
      <w:r>
        <w:rPr>
          <w:rStyle w:val="soitChar"/>
        </w:rPr>
        <w:t xml:space="preserve"> tolérances : ± 1 mm.</w:t>
      </w:r>
      <w:r>
        <w:br/>
      </w:r>
    </w:p>
    <w:p w14:paraId="626637BA" w14:textId="77777777" w:rsidR="004B2808" w:rsidRDefault="00000000">
      <w:pPr>
        <w:ind w:left="567"/>
      </w:pPr>
      <w:r>
        <w:rPr>
          <w:b/>
          <w:i/>
        </w:rPr>
        <w:t>(Soit)</w:t>
      </w:r>
    </w:p>
    <w:p w14:paraId="0674D695" w14:textId="77777777" w:rsidR="004B2808" w:rsidRDefault="00000000">
      <w:pPr>
        <w:ind w:left="567"/>
      </w:pPr>
      <w:r>
        <w:rPr>
          <w:rStyle w:val="soitChar"/>
          <w:u w:val="single"/>
        </w:rPr>
        <w:t>Laiton</w:t>
      </w:r>
    </w:p>
    <w:p w14:paraId="4B58B6D8" w14:textId="77777777" w:rsidR="004B2808" w:rsidRDefault="00000000">
      <w:pPr>
        <w:pStyle w:val="Author-eListParagraph"/>
        <w:numPr>
          <w:ilvl w:val="1"/>
          <w:numId w:val="1271"/>
        </w:numPr>
      </w:pPr>
      <w:r>
        <w:rPr>
          <w:rStyle w:val="soitChar"/>
        </w:rPr>
        <w:t>Plaque en laiton :</w:t>
      </w:r>
      <w:r>
        <w:rPr>
          <w:rStyle w:val="optioncarChar"/>
        </w:rPr>
        <w:t xml:space="preserve"> brossé </w:t>
      </w:r>
      <w:r>
        <w:t xml:space="preserve">(par défaut) </w:t>
      </w:r>
      <w:r>
        <w:rPr>
          <w:rStyle w:val="optioncarChar"/>
        </w:rPr>
        <w:t>/ brillant / nickelé (argenté) / chromé.</w:t>
      </w:r>
    </w:p>
    <w:p w14:paraId="256B5676" w14:textId="77777777" w:rsidR="004B2808" w:rsidRDefault="00000000">
      <w:pPr>
        <w:pStyle w:val="Author-eListParagraph"/>
        <w:numPr>
          <w:ilvl w:val="1"/>
          <w:numId w:val="1271"/>
        </w:numPr>
      </w:pPr>
      <w:r>
        <w:rPr>
          <w:rStyle w:val="soitChar"/>
        </w:rPr>
        <w:t>Épaisseur minimum :</w:t>
      </w:r>
      <w:r>
        <w:t> </w:t>
      </w:r>
      <w:r>
        <w:rPr>
          <w:rStyle w:val="optioncarChar"/>
        </w:rPr>
        <w:t>3 </w:t>
      </w:r>
      <w:r>
        <w:t>(par défaut)</w:t>
      </w:r>
      <w:r>
        <w:rPr>
          <w:rStyle w:val="optioncarChar"/>
        </w:rPr>
        <w:t xml:space="preserve"> / *** </w:t>
      </w:r>
      <w:r>
        <w:rPr>
          <w:rStyle w:val="soitChar"/>
        </w:rPr>
        <w:t>mm, tolérances : ± 1 mm.</w:t>
      </w:r>
    </w:p>
    <w:p w14:paraId="21E0A61D" w14:textId="77777777" w:rsidR="004B2808" w:rsidRDefault="00000000">
      <w:pPr>
        <w:ind w:left="567"/>
      </w:pPr>
      <w:r>
        <w:rPr>
          <w:b/>
          <w:i/>
        </w:rPr>
        <w:t>(Soit)</w:t>
      </w:r>
    </w:p>
    <w:p w14:paraId="425177AF" w14:textId="77777777" w:rsidR="004B2808" w:rsidRDefault="00000000">
      <w:pPr>
        <w:ind w:left="567"/>
      </w:pPr>
      <w:r>
        <w:rPr>
          <w:rStyle w:val="soitChar"/>
          <w:u w:val="single"/>
        </w:rPr>
        <w:lastRenderedPageBreak/>
        <w:t>Bois</w:t>
      </w:r>
    </w:p>
    <w:p w14:paraId="4A69438C" w14:textId="77777777" w:rsidR="004B2808" w:rsidRDefault="00000000">
      <w:pPr>
        <w:pStyle w:val="Author-eListParagraph"/>
        <w:numPr>
          <w:ilvl w:val="1"/>
          <w:numId w:val="1272"/>
        </w:numPr>
      </w:pPr>
      <w:r>
        <w:rPr>
          <w:rStyle w:val="soitChar"/>
        </w:rPr>
        <w:t>Finition du bois : </w:t>
      </w:r>
      <w:r>
        <w:rPr>
          <w:rStyle w:val="optioncarChar"/>
        </w:rPr>
        <w:t>bouleau</w:t>
      </w:r>
      <w:r>
        <w:t xml:space="preserve"> (par défaut)</w:t>
      </w:r>
      <w:r>
        <w:rPr>
          <w:rStyle w:val="optioncarChar"/>
        </w:rPr>
        <w:t xml:space="preserve"> / hêtre / cerisier / chêne / ***.</w:t>
      </w:r>
    </w:p>
    <w:p w14:paraId="43513CEF" w14:textId="77777777" w:rsidR="004B2808" w:rsidRDefault="00000000">
      <w:pPr>
        <w:pStyle w:val="Author-eListParagraph"/>
        <w:numPr>
          <w:ilvl w:val="1"/>
          <w:numId w:val="1272"/>
        </w:numPr>
      </w:pPr>
      <w:r>
        <w:rPr>
          <w:rStyle w:val="soitChar"/>
        </w:rPr>
        <w:t>Épaisseur minimum :</w:t>
      </w:r>
      <w:r>
        <w:rPr>
          <w:rStyle w:val="optioncarChar"/>
        </w:rPr>
        <w:t xml:space="preserve">6 </w:t>
      </w:r>
      <w:r>
        <w:t xml:space="preserve">(par défaut) </w:t>
      </w:r>
      <w:r>
        <w:rPr>
          <w:rStyle w:val="optioncarChar"/>
        </w:rPr>
        <w:t xml:space="preserve">/ *** </w:t>
      </w:r>
      <w:r>
        <w:rPr>
          <w:rStyle w:val="soitChar"/>
        </w:rPr>
        <w:t>mm, tolérances : ± 1 mm.</w:t>
      </w:r>
      <w:r>
        <w:br/>
      </w:r>
    </w:p>
    <w:p w14:paraId="1E9B65F5" w14:textId="77777777" w:rsidR="004B2808" w:rsidRDefault="00000000">
      <w:pPr>
        <w:ind w:left="567"/>
      </w:pPr>
      <w:r>
        <w:rPr>
          <w:b/>
          <w:i/>
        </w:rPr>
        <w:t>(Soit)</w:t>
      </w:r>
    </w:p>
    <w:p w14:paraId="4AA32645" w14:textId="77777777" w:rsidR="004B2808" w:rsidRDefault="00000000">
      <w:pPr>
        <w:ind w:left="567"/>
      </w:pPr>
      <w:r>
        <w:rPr>
          <w:rStyle w:val="soitChar"/>
          <w:u w:val="single"/>
        </w:rPr>
        <w:t>Acier inoxydable</w:t>
      </w:r>
    </w:p>
    <w:p w14:paraId="6FFFFCBB" w14:textId="77777777" w:rsidR="004B2808" w:rsidRDefault="00000000">
      <w:pPr>
        <w:pStyle w:val="Author-eListParagraph"/>
        <w:numPr>
          <w:ilvl w:val="1"/>
          <w:numId w:val="1273"/>
        </w:numPr>
      </w:pPr>
      <w:r>
        <w:rPr>
          <w:rStyle w:val="soitChar"/>
        </w:rPr>
        <w:t>Qualité :</w:t>
      </w:r>
      <w:r>
        <w:rPr>
          <w:rStyle w:val="optioncarChar"/>
        </w:rPr>
        <w:t xml:space="preserve"> AISI 304 </w:t>
      </w:r>
      <w:r>
        <w:t xml:space="preserve">(par défaut) </w:t>
      </w:r>
      <w:r>
        <w:rPr>
          <w:rStyle w:val="optioncarChar"/>
        </w:rPr>
        <w:t>/ ***</w:t>
      </w:r>
      <w:r>
        <w:t>.</w:t>
      </w:r>
    </w:p>
    <w:p w14:paraId="4A8F7FB4" w14:textId="77777777" w:rsidR="004B2808" w:rsidRDefault="00000000">
      <w:pPr>
        <w:pStyle w:val="Author-eListParagraph"/>
        <w:numPr>
          <w:ilvl w:val="1"/>
          <w:numId w:val="1273"/>
        </w:numPr>
      </w:pPr>
      <w:r>
        <w:rPr>
          <w:rStyle w:val="soitChar"/>
        </w:rPr>
        <w:t>Finition </w:t>
      </w:r>
      <w:r>
        <w:t xml:space="preserve">: </w:t>
      </w:r>
      <w:r>
        <w:rPr>
          <w:rStyle w:val="optioncarChar"/>
        </w:rPr>
        <w:t>brossé</w:t>
      </w:r>
      <w:r>
        <w:t xml:space="preserve"> (par défaut) </w:t>
      </w:r>
      <w:r>
        <w:rPr>
          <w:rStyle w:val="optioncarChar"/>
        </w:rPr>
        <w:t>/ poli / ***</w:t>
      </w:r>
      <w:r>
        <w:t>.</w:t>
      </w:r>
    </w:p>
    <w:p w14:paraId="7E22FA46" w14:textId="77777777" w:rsidR="004B2808" w:rsidRDefault="00000000">
      <w:pPr>
        <w:pStyle w:val="Author-eListParagraph"/>
        <w:numPr>
          <w:ilvl w:val="1"/>
          <w:numId w:val="1273"/>
        </w:numPr>
      </w:pPr>
      <w:r>
        <w:rPr>
          <w:rStyle w:val="soitChar"/>
        </w:rPr>
        <w:t>Épaisseur minimum :</w:t>
      </w:r>
      <w:r>
        <w:rPr>
          <w:rStyle w:val="optioncarChar"/>
        </w:rPr>
        <w:t xml:space="preserve">1,5 </w:t>
      </w:r>
      <w:r>
        <w:t xml:space="preserve">(par défaut) </w:t>
      </w:r>
      <w:r>
        <w:rPr>
          <w:rStyle w:val="optioncarChar"/>
        </w:rPr>
        <w:t xml:space="preserve">/ *** </w:t>
      </w:r>
      <w:r>
        <w:rPr>
          <w:rStyle w:val="soitChar"/>
        </w:rPr>
        <w:t>mm, tolérances : ± 1 mm</w:t>
      </w:r>
      <w:r>
        <w:br/>
        <w:t> </w:t>
      </w:r>
    </w:p>
    <w:p w14:paraId="1EE84020" w14:textId="77777777" w:rsidR="004B2808" w:rsidRDefault="00000000">
      <w:pPr>
        <w:ind w:left="567"/>
      </w:pPr>
      <w:r>
        <w:rPr>
          <w:b/>
          <w:i/>
        </w:rPr>
        <w:t>(Soit)</w:t>
      </w:r>
    </w:p>
    <w:p w14:paraId="4EF0C64B" w14:textId="77777777" w:rsidR="004B2808" w:rsidRDefault="00000000">
      <w:pPr>
        <w:ind w:left="567"/>
      </w:pPr>
      <w:r>
        <w:rPr>
          <w:rStyle w:val="soitChar"/>
          <w:u w:val="single"/>
        </w:rPr>
        <w:t>Verre</w:t>
      </w:r>
    </w:p>
    <w:p w14:paraId="05F40DB5" w14:textId="77777777" w:rsidR="004B2808" w:rsidRDefault="00000000">
      <w:pPr>
        <w:pStyle w:val="Author-eListParagraph"/>
        <w:numPr>
          <w:ilvl w:val="1"/>
          <w:numId w:val="1274"/>
        </w:numPr>
      </w:pPr>
      <w:r>
        <w:rPr>
          <w:rStyle w:val="soitChar"/>
        </w:rPr>
        <w:t>Type : Verre de sécurité</w:t>
      </w:r>
      <w:r>
        <w:rPr>
          <w:rStyle w:val="optioncarChar"/>
        </w:rPr>
        <w:t xml:space="preserve"> trempé [NBN EN 12150-2] </w:t>
      </w:r>
      <w:r>
        <w:t>(par défaut)</w:t>
      </w:r>
      <w:r>
        <w:rPr>
          <w:rStyle w:val="optioncarChar"/>
        </w:rPr>
        <w:t xml:space="preserve"> / feuilleté</w:t>
      </w:r>
      <w:r>
        <w:t>.</w:t>
      </w:r>
    </w:p>
    <w:p w14:paraId="7EBE7FCA" w14:textId="77777777" w:rsidR="004B2808" w:rsidRDefault="00000000">
      <w:pPr>
        <w:pStyle w:val="Author-eListParagraph"/>
        <w:numPr>
          <w:ilvl w:val="1"/>
          <w:numId w:val="1274"/>
        </w:numPr>
      </w:pPr>
      <w:r>
        <w:rPr>
          <w:rStyle w:val="soitChar"/>
        </w:rPr>
        <w:t>Épaisseur:</w:t>
      </w:r>
      <w:r>
        <w:rPr>
          <w:rStyle w:val="optioncarChar"/>
        </w:rPr>
        <w:t xml:space="preserve">6 </w:t>
      </w:r>
      <w:r>
        <w:t xml:space="preserve">(par défaut) </w:t>
      </w:r>
      <w:r>
        <w:rPr>
          <w:rStyle w:val="optioncarChar"/>
        </w:rPr>
        <w:t>/ ***</w:t>
      </w:r>
      <w:r>
        <w:rPr>
          <w:rStyle w:val="soitChar"/>
        </w:rPr>
        <w:t>mm, tolérances : ± 1 mm</w:t>
      </w:r>
      <w:r>
        <w:t>.</w:t>
      </w:r>
    </w:p>
    <w:p w14:paraId="6D395A92" w14:textId="77777777" w:rsidR="004B2808" w:rsidRDefault="00000000">
      <w:pPr>
        <w:pStyle w:val="Author-eListParagraph"/>
        <w:numPr>
          <w:ilvl w:val="1"/>
          <w:numId w:val="1274"/>
        </w:numPr>
      </w:pPr>
      <w:r>
        <w:rPr>
          <w:rStyle w:val="soitChar"/>
        </w:rPr>
        <w:t>Bords :</w:t>
      </w:r>
      <w:r>
        <w:rPr>
          <w:rStyle w:val="optioncarChar"/>
        </w:rPr>
        <w:t xml:space="preserve"> chanfreinés </w:t>
      </w:r>
      <w:r>
        <w:t xml:space="preserve">(par défaut) </w:t>
      </w:r>
      <w:r>
        <w:rPr>
          <w:rStyle w:val="optioncarChar"/>
        </w:rPr>
        <w:t>/ arrondis.</w:t>
      </w:r>
      <w:r>
        <w:br/>
      </w:r>
    </w:p>
    <w:p w14:paraId="4C548C59" w14:textId="77777777" w:rsidR="004B2808" w:rsidRDefault="00000000">
      <w:pPr>
        <w:ind w:left="567"/>
      </w:pPr>
      <w:r>
        <w:rPr>
          <w:b/>
          <w:i/>
        </w:rPr>
        <w:t>(Soit)</w:t>
      </w:r>
    </w:p>
    <w:p w14:paraId="62990F2B" w14:textId="77777777" w:rsidR="004B2808" w:rsidRDefault="00000000">
      <w:pPr>
        <w:ind w:left="567"/>
      </w:pPr>
      <w:r>
        <w:rPr>
          <w:rStyle w:val="soitChar"/>
          <w:u w:val="single"/>
        </w:rPr>
        <w:t>Pas de plaque support </w:t>
      </w:r>
    </w:p>
    <w:p w14:paraId="24E7C07C" w14:textId="77777777" w:rsidR="004B2808" w:rsidRDefault="00000000">
      <w:pPr>
        <w:ind w:left="567"/>
      </w:pPr>
      <w:r>
        <w:rPr>
          <w:rStyle w:val="soitChar"/>
        </w:rPr>
        <w:t>Pas de plaque. Les inscriptions sont directement collées sur le support (la porte ou la fenêtre).</w:t>
      </w:r>
    </w:p>
    <w:p w14:paraId="69D0230C" w14:textId="77777777" w:rsidR="004B2808" w:rsidRDefault="00000000">
      <w:pPr>
        <w:ind w:left="567"/>
      </w:pPr>
      <w:r>
        <w:t> </w:t>
      </w:r>
    </w:p>
    <w:p w14:paraId="70DD6091" w14:textId="77777777" w:rsidR="004B2808" w:rsidRDefault="00000000">
      <w:r>
        <w:rPr>
          <w:b/>
          <w:u w:val="single"/>
        </w:rPr>
        <w:t>Inscriptions</w:t>
      </w:r>
    </w:p>
    <w:p w14:paraId="77CE9960" w14:textId="77777777" w:rsidR="004B2808" w:rsidRDefault="00000000">
      <w:pPr>
        <w:pStyle w:val="Author-eListParagraph"/>
        <w:numPr>
          <w:ilvl w:val="0"/>
          <w:numId w:val="1275"/>
        </w:numPr>
      </w:pPr>
      <w:r>
        <w:t>Taille :</w:t>
      </w:r>
      <w:r>
        <w:rPr>
          <w:rStyle w:val="optioncarChar"/>
        </w:rPr>
        <w:t xml:space="preserve"> les dimensions sont indiquées sur les plans de détails ou directives de l’auteur de projet </w:t>
      </w:r>
      <w:r>
        <w:t xml:space="preserve">(par défaut) </w:t>
      </w:r>
      <w:r>
        <w:rPr>
          <w:rStyle w:val="optioncarChar"/>
        </w:rPr>
        <w:t>/ 3 / 4 / 5 / ***</w:t>
      </w:r>
      <w:r>
        <w:t xml:space="preserve"> mm.</w:t>
      </w:r>
    </w:p>
    <w:p w14:paraId="4BDEFE12" w14:textId="77777777" w:rsidR="004B2808" w:rsidRDefault="00000000">
      <w:pPr>
        <w:pStyle w:val="Author-eListParagraph"/>
        <w:numPr>
          <w:ilvl w:val="0"/>
          <w:numId w:val="1275"/>
        </w:numPr>
      </w:pPr>
      <w:r>
        <w:t xml:space="preserve">Couleurs du texte : </w:t>
      </w:r>
      <w:r>
        <w:rPr>
          <w:rStyle w:val="optioncarChar"/>
        </w:rPr>
        <w:t>noir</w:t>
      </w:r>
      <w:r>
        <w:t xml:space="preserve"> (par défaut)</w:t>
      </w:r>
      <w:r>
        <w:rPr>
          <w:rStyle w:val="optioncarChar"/>
        </w:rPr>
        <w:t xml:space="preserve"> / blanc / multicolor / ***</w:t>
      </w:r>
      <w:r>
        <w:t>.</w:t>
      </w:r>
    </w:p>
    <w:p w14:paraId="44C5DEAB" w14:textId="77777777" w:rsidR="004B2808" w:rsidRDefault="00000000">
      <w:pPr>
        <w:pStyle w:val="Author-eListParagraph"/>
        <w:numPr>
          <w:ilvl w:val="0"/>
          <w:numId w:val="1275"/>
        </w:numPr>
      </w:pPr>
      <w:r>
        <w:t xml:space="preserve">Avec Images ou logos : </w:t>
      </w:r>
      <w:r>
        <w:rPr>
          <w:rStyle w:val="optioncarChar"/>
        </w:rPr>
        <w:t xml:space="preserve">non </w:t>
      </w:r>
      <w:r>
        <w:t xml:space="preserve">(par défaut) </w:t>
      </w:r>
      <w:r>
        <w:rPr>
          <w:rStyle w:val="optioncarChar"/>
        </w:rPr>
        <w:t>/ oui.</w:t>
      </w:r>
    </w:p>
    <w:p w14:paraId="75FC0FB3" w14:textId="77777777" w:rsidR="004B2808" w:rsidRDefault="00000000">
      <w:pPr>
        <w:pStyle w:val="Author-eListParagraph"/>
        <w:numPr>
          <w:ilvl w:val="1"/>
          <w:numId w:val="1276"/>
        </w:numPr>
      </w:pPr>
      <w:r>
        <w:t xml:space="preserve">Couleur: </w:t>
      </w:r>
      <w:r>
        <w:rPr>
          <w:rStyle w:val="optioncarChar"/>
        </w:rPr>
        <w:t xml:space="preserve">pas d’application </w:t>
      </w:r>
      <w:r>
        <w:t>(par défaut)</w:t>
      </w:r>
      <w:r>
        <w:rPr>
          <w:rStyle w:val="optioncarChar"/>
        </w:rPr>
        <w:t xml:space="preserve"> / gravé / noir / blanc / multicolor / ***.</w:t>
      </w:r>
    </w:p>
    <w:p w14:paraId="61F32E1A" w14:textId="77777777" w:rsidR="004B2808" w:rsidRDefault="00000000">
      <w:pPr>
        <w:pStyle w:val="Author-eListParagraph"/>
        <w:numPr>
          <w:ilvl w:val="0"/>
          <w:numId w:val="1275"/>
        </w:numPr>
      </w:pPr>
      <w:r>
        <w:t xml:space="preserve">Type d’inscriptions : </w:t>
      </w:r>
      <w:r>
        <w:rPr>
          <w:rStyle w:val="optioncarChar"/>
        </w:rPr>
        <w:t xml:space="preserve">gravées </w:t>
      </w:r>
      <w:r>
        <w:t xml:space="preserve">(par défaut) </w:t>
      </w:r>
      <w:r>
        <w:rPr>
          <w:rStyle w:val="optioncarChar"/>
        </w:rPr>
        <w:t>/ lettrage adhésif / autocollant adhésif/ impression numérique couleur / en relief</w:t>
      </w:r>
      <w:r>
        <w:t>.</w:t>
      </w:r>
    </w:p>
    <w:p w14:paraId="493C80D3" w14:textId="77777777" w:rsidR="004B2808" w:rsidRDefault="00000000">
      <w:pPr>
        <w:ind w:left="567"/>
      </w:pPr>
      <w:r>
        <w:rPr>
          <w:b/>
          <w:i/>
        </w:rPr>
        <w:t>(Soit par défaut)</w:t>
      </w:r>
    </w:p>
    <w:p w14:paraId="3126EF47" w14:textId="77777777" w:rsidR="004B2808" w:rsidRDefault="00000000">
      <w:pPr>
        <w:ind w:left="567"/>
      </w:pPr>
      <w:r>
        <w:rPr>
          <w:rStyle w:val="soitChar"/>
          <w:u w:val="single"/>
        </w:rPr>
        <w:t>Gravées</w:t>
      </w:r>
      <w:r>
        <w:br/>
      </w:r>
      <w:r>
        <w:rPr>
          <w:rStyle w:val="soitChar"/>
        </w:rPr>
        <w:t>Les inscriptions sont gravées directement sur la plaque.</w:t>
      </w:r>
    </w:p>
    <w:p w14:paraId="3DB63B5A" w14:textId="77777777" w:rsidR="004B2808" w:rsidRDefault="00000000">
      <w:pPr>
        <w:ind w:left="567"/>
      </w:pPr>
      <w:r>
        <w:rPr>
          <w:b/>
          <w:i/>
        </w:rPr>
        <w:t>(Soit)</w:t>
      </w:r>
    </w:p>
    <w:p w14:paraId="130FCD41" w14:textId="77777777" w:rsidR="004B2808" w:rsidRDefault="00000000">
      <w:pPr>
        <w:ind w:left="567"/>
      </w:pPr>
      <w:r>
        <w:rPr>
          <w:rStyle w:val="soitChar"/>
          <w:u w:val="single"/>
        </w:rPr>
        <w:t>Lettrage adhésif</w:t>
      </w:r>
      <w:r>
        <w:br/>
      </w:r>
      <w:r>
        <w:rPr>
          <w:rStyle w:val="soitChar"/>
        </w:rPr>
        <w:t>Les inscriptions sont découpées dans un film autocollant en matière</w:t>
      </w:r>
      <w:r>
        <w:t xml:space="preserve">: </w:t>
      </w:r>
      <w:r>
        <w:rPr>
          <w:rStyle w:val="optioncarChar"/>
        </w:rPr>
        <w:t>vinyle</w:t>
      </w:r>
      <w:r>
        <w:t xml:space="preserve"> (par défaut)</w:t>
      </w:r>
      <w:r>
        <w:rPr>
          <w:rStyle w:val="optioncarChar"/>
        </w:rPr>
        <w:t xml:space="preserve"> / ***.</w:t>
      </w:r>
      <w:r>
        <w:br/>
        <w:t> </w:t>
      </w:r>
    </w:p>
    <w:p w14:paraId="6041FD1F" w14:textId="77777777" w:rsidR="004B2808" w:rsidRDefault="00000000">
      <w:pPr>
        <w:ind w:left="567"/>
      </w:pPr>
      <w:r>
        <w:rPr>
          <w:b/>
          <w:i/>
        </w:rPr>
        <w:t>(Soit)</w:t>
      </w:r>
    </w:p>
    <w:p w14:paraId="5E98652D" w14:textId="77777777" w:rsidR="004B2808" w:rsidRDefault="00000000">
      <w:pPr>
        <w:ind w:left="567"/>
      </w:pPr>
      <w:r>
        <w:rPr>
          <w:rStyle w:val="soitChar"/>
          <w:u w:val="single"/>
        </w:rPr>
        <w:t>Autocollant adhésif</w:t>
      </w:r>
      <w:r>
        <w:br/>
      </w:r>
      <w:r>
        <w:rPr>
          <w:rStyle w:val="soitChar"/>
        </w:rPr>
        <w:t>Les inscriptions sont imprimées sur un film autocollant en :</w:t>
      </w:r>
      <w:r>
        <w:rPr>
          <w:rStyle w:val="optioncarChar"/>
        </w:rPr>
        <w:t xml:space="preserve">PVC </w:t>
      </w:r>
      <w:r>
        <w:t>(par défaut)</w:t>
      </w:r>
      <w:r>
        <w:rPr>
          <w:rStyle w:val="optioncarChar"/>
        </w:rPr>
        <w:t xml:space="preserve"> / vinyle / ***</w:t>
      </w:r>
      <w:r>
        <w:t>.</w:t>
      </w:r>
      <w:r>
        <w:br/>
        <w:t> </w:t>
      </w:r>
    </w:p>
    <w:p w14:paraId="176E642A" w14:textId="77777777" w:rsidR="004B2808" w:rsidRDefault="00000000">
      <w:pPr>
        <w:ind w:left="567"/>
      </w:pPr>
      <w:r>
        <w:rPr>
          <w:b/>
          <w:i/>
        </w:rPr>
        <w:t>(Soit)</w:t>
      </w:r>
    </w:p>
    <w:p w14:paraId="0105598E" w14:textId="77777777" w:rsidR="004B2808" w:rsidRDefault="00000000">
      <w:pPr>
        <w:ind w:left="567"/>
      </w:pPr>
      <w:r>
        <w:rPr>
          <w:rStyle w:val="soitChar"/>
          <w:u w:val="single"/>
        </w:rPr>
        <w:t>Impression numérique couleur</w:t>
      </w:r>
      <w:r>
        <w:br/>
      </w:r>
      <w:r>
        <w:rPr>
          <w:rStyle w:val="soitChar"/>
        </w:rPr>
        <w:t>Les inscriptions sont imprimées directement sur la plaque support.</w:t>
      </w:r>
    </w:p>
    <w:p w14:paraId="45495C33" w14:textId="77777777" w:rsidR="004B2808" w:rsidRDefault="00000000">
      <w:pPr>
        <w:ind w:left="567"/>
      </w:pPr>
      <w:r>
        <w:rPr>
          <w:b/>
          <w:i/>
        </w:rPr>
        <w:t>(Soit)</w:t>
      </w:r>
    </w:p>
    <w:p w14:paraId="2A62F289" w14:textId="77777777" w:rsidR="004B2808" w:rsidRDefault="00000000">
      <w:pPr>
        <w:ind w:left="567"/>
      </w:pPr>
      <w:r>
        <w:rPr>
          <w:rStyle w:val="soitChar"/>
          <w:u w:val="single"/>
        </w:rPr>
        <w:t>En relief</w:t>
      </w:r>
      <w:r>
        <w:br/>
      </w:r>
      <w:r>
        <w:rPr>
          <w:rStyle w:val="soitChar"/>
        </w:rPr>
        <w:t>Les inscriptions sont collées en relief sur la plaque.</w:t>
      </w:r>
    </w:p>
    <w:p w14:paraId="30FF4730" w14:textId="77777777" w:rsidR="004B2808" w:rsidRDefault="00000000">
      <w:pPr>
        <w:pStyle w:val="Author-eListParagraph"/>
        <w:numPr>
          <w:ilvl w:val="1"/>
          <w:numId w:val="1277"/>
        </w:numPr>
      </w:pPr>
      <w:r>
        <w:rPr>
          <w:rStyle w:val="soitChar"/>
        </w:rPr>
        <w:lastRenderedPageBreak/>
        <w:t>Matériaux :</w:t>
      </w:r>
      <w:r>
        <w:rPr>
          <w:rStyle w:val="optioncarChar"/>
        </w:rPr>
        <w:t xml:space="preserve">PVC </w:t>
      </w:r>
      <w:r>
        <w:t xml:space="preserve">(par défaut) </w:t>
      </w:r>
      <w:r>
        <w:rPr>
          <w:rStyle w:val="optioncarChar"/>
        </w:rPr>
        <w:t>/ aluminium / laiton / bois / inox / ***.</w:t>
      </w:r>
    </w:p>
    <w:p w14:paraId="4C5AD8F9" w14:textId="77777777" w:rsidR="004B2808" w:rsidRDefault="00000000">
      <w:pPr>
        <w:pStyle w:val="Author-eListParagraph"/>
        <w:numPr>
          <w:ilvl w:val="1"/>
          <w:numId w:val="1277"/>
        </w:numPr>
      </w:pPr>
      <w:r>
        <w:rPr>
          <w:rStyle w:val="soitChar"/>
        </w:rPr>
        <w:t>Épaisseur </w:t>
      </w:r>
      <w:r>
        <w:t>:</w:t>
      </w:r>
      <w:r>
        <w:rPr>
          <w:rStyle w:val="optioncarChar"/>
        </w:rPr>
        <w:t xml:space="preserve"> 2</w:t>
      </w:r>
      <w:r>
        <w:t xml:space="preserve"> (par défaut)</w:t>
      </w:r>
      <w:r>
        <w:rPr>
          <w:rStyle w:val="optioncarChar"/>
        </w:rPr>
        <w:t xml:space="preserve"> / 3 / 4 / 5 / ***</w:t>
      </w:r>
      <w:r>
        <w:t xml:space="preserve"> mm.</w:t>
      </w:r>
    </w:p>
    <w:p w14:paraId="5442AECF" w14:textId="77777777" w:rsidR="004B2808" w:rsidRDefault="00000000">
      <w:pPr>
        <w:pStyle w:val="Author-eListParagraph"/>
        <w:numPr>
          <w:ilvl w:val="1"/>
          <w:numId w:val="1277"/>
        </w:numPr>
      </w:pPr>
      <w:r>
        <w:rPr>
          <w:rStyle w:val="soitChar"/>
        </w:rPr>
        <w:t>Finition :</w:t>
      </w:r>
      <w:r>
        <w:rPr>
          <w:rStyle w:val="optioncarChar"/>
        </w:rPr>
        <w:t>brillant</w:t>
      </w:r>
      <w:r>
        <w:t xml:space="preserve"> (par défaut) </w:t>
      </w:r>
      <w:r>
        <w:rPr>
          <w:rStyle w:val="optioncarChar"/>
        </w:rPr>
        <w:t>/ mat / brossé / poli / nickelé (argenté) / chromé / ***</w:t>
      </w:r>
      <w:r>
        <w:t>.</w:t>
      </w:r>
    </w:p>
    <w:p w14:paraId="1D3919B0" w14:textId="77777777" w:rsidR="004B2808" w:rsidRDefault="00000000">
      <w:pPr>
        <w:ind w:left="567"/>
      </w:pPr>
      <w:r>
        <w:t> </w:t>
      </w:r>
    </w:p>
    <w:p w14:paraId="329B2A4A" w14:textId="77777777" w:rsidR="004B2808" w:rsidRDefault="004B2808"/>
    <w:p w14:paraId="05B218F3" w14:textId="77777777" w:rsidR="004B2808" w:rsidRDefault="00000000">
      <w:pPr>
        <w:pStyle w:val="pheading"/>
      </w:pPr>
      <w:r>
        <w:t>- Prescriptions complémentaires</w:t>
      </w:r>
    </w:p>
    <w:p w14:paraId="1C73E15F" w14:textId="77777777" w:rsidR="004B2808" w:rsidRDefault="00000000">
      <w:r>
        <w:rPr>
          <w:rStyle w:val="facultChar"/>
        </w:rPr>
        <w:t>Les inscriptions sont également notées en braille sur les plaques.</w:t>
      </w:r>
    </w:p>
    <w:p w14:paraId="2499AABE" w14:textId="77777777" w:rsidR="004B2808" w:rsidRDefault="00000000">
      <w:pPr>
        <w:pStyle w:val="pheading"/>
      </w:pPr>
      <w:r>
        <w:t>EXÉCUTION / MISE EN ŒUVRE</w:t>
      </w:r>
    </w:p>
    <w:p w14:paraId="3637FB76" w14:textId="77777777" w:rsidR="004B2808" w:rsidRDefault="00000000">
      <w:pPr>
        <w:pStyle w:val="pheading"/>
      </w:pPr>
      <w:r>
        <w:t>- Prescriptions générales</w:t>
      </w:r>
    </w:p>
    <w:p w14:paraId="1CB6BFCD" w14:textId="77777777" w:rsidR="004B2808" w:rsidRDefault="00000000">
      <w:pPr>
        <w:jc w:val="both"/>
      </w:pPr>
      <w:r>
        <w:t>Les plaques signalétiques sont réalisées conformément aux documents de travail annexés au dossier d'adjudication (plans, cahiers des charges, bordereaux, dessins de détail). L'entrepreneur est toutefois tenu de vérifier s'il est possible d'exécuter les ouvrages conformément aux documents d'exécution ou s'il n'y a pas d'incompatibilités entre les différents documents. Avant de commencer les travaux, il met l'auteur de projet au courant de ses éventuelles remarques à ce sujet.</w:t>
      </w:r>
    </w:p>
    <w:p w14:paraId="29E8DE76" w14:textId="77777777" w:rsidR="004B2808" w:rsidRDefault="00000000">
      <w:pPr>
        <w:jc w:val="both"/>
      </w:pPr>
      <w:r>
        <w:t>Les plaques signalétiques sont fixées aux endroits indiqués et validés par l’auteur de projet, soit directement sur les portes ou fenêtres, ou à proximité de celles-ci.</w:t>
      </w:r>
    </w:p>
    <w:p w14:paraId="65AB172D" w14:textId="77777777" w:rsidR="004B2808" w:rsidRDefault="00000000">
      <w:pPr>
        <w:jc w:val="both"/>
      </w:pPr>
      <w:r>
        <w:t>Tous les supports doivent être secs, dépoussiérés, et exempts de parties friables, huile, cire, graisse et silicones.</w:t>
      </w:r>
    </w:p>
    <w:p w14:paraId="6FA51008" w14:textId="77777777" w:rsidR="004B2808" w:rsidRDefault="00000000">
      <w:pPr>
        <w:jc w:val="both"/>
      </w:pPr>
      <w:r>
        <w:t xml:space="preserve">Type de fixation : </w:t>
      </w:r>
      <w:r>
        <w:rPr>
          <w:rStyle w:val="optioncarChar"/>
        </w:rPr>
        <w:t>vis / adhésif double-face / bande magnétique/ suspendu / glissé dans un support / collé.</w:t>
      </w:r>
    </w:p>
    <w:p w14:paraId="2A64F852" w14:textId="77777777" w:rsidR="004B2808" w:rsidRDefault="004B2808">
      <w:pPr>
        <w:jc w:val="both"/>
      </w:pPr>
    </w:p>
    <w:p w14:paraId="7E972D8A" w14:textId="77777777" w:rsidR="004B2808" w:rsidRDefault="00000000">
      <w:pPr>
        <w:jc w:val="both"/>
      </w:pPr>
      <w:r>
        <w:rPr>
          <w:b/>
          <w:u w:val="single"/>
        </w:rPr>
        <w:t>Vis</w:t>
      </w:r>
    </w:p>
    <w:p w14:paraId="08BAF97A" w14:textId="77777777" w:rsidR="004B2808" w:rsidRDefault="00000000">
      <w:pPr>
        <w:jc w:val="both"/>
      </w:pPr>
      <w:r>
        <w:t xml:space="preserve">Les plaques sont fixées à l’aide de </w:t>
      </w:r>
      <w:r>
        <w:rPr>
          <w:rStyle w:val="optioncarChar"/>
        </w:rPr>
        <w:t>4</w:t>
      </w:r>
      <w:r>
        <w:t> (par défaut)</w:t>
      </w:r>
      <w:r>
        <w:rPr>
          <w:rStyle w:val="optioncarChar"/>
        </w:rPr>
        <w:t xml:space="preserve"> / ***</w:t>
      </w:r>
      <w:r>
        <w:t xml:space="preserve"> vis, positionnées dans les coins des plaques.</w:t>
      </w:r>
    </w:p>
    <w:p w14:paraId="080177FE" w14:textId="77777777" w:rsidR="004B2808" w:rsidRDefault="00000000">
      <w:pPr>
        <w:jc w:val="both"/>
      </w:pPr>
      <w:r>
        <w:t>Les plaques sont percées sans fraisage des trous / avec fraisage des trous pour que les têtes de vis soit affleurantes à la plaque.</w:t>
      </w:r>
    </w:p>
    <w:p w14:paraId="3B65075E" w14:textId="77777777" w:rsidR="004B2808" w:rsidRDefault="004B2808">
      <w:pPr>
        <w:jc w:val="both"/>
      </w:pPr>
    </w:p>
    <w:p w14:paraId="2DD86E8D" w14:textId="77777777" w:rsidR="004B2808" w:rsidRDefault="00000000">
      <w:pPr>
        <w:jc w:val="both"/>
      </w:pPr>
      <w:r>
        <w:rPr>
          <w:i/>
        </w:rPr>
        <w:t>Caractéristiques des vis</w:t>
      </w:r>
    </w:p>
    <w:p w14:paraId="6315E30C" w14:textId="77777777" w:rsidR="004B2808" w:rsidRDefault="00000000">
      <w:pPr>
        <w:pStyle w:val="Author-eListParagraph"/>
        <w:numPr>
          <w:ilvl w:val="0"/>
          <w:numId w:val="1278"/>
        </w:numPr>
      </w:pPr>
      <w:r>
        <w:t>Matériau :</w:t>
      </w:r>
      <w:r>
        <w:rPr>
          <w:rStyle w:val="optioncarChar"/>
        </w:rPr>
        <w:t xml:space="preserve"> acier chromé </w:t>
      </w:r>
      <w:r>
        <w:t xml:space="preserve">(par défaut) </w:t>
      </w:r>
      <w:r>
        <w:rPr>
          <w:rStyle w:val="optioncarChar"/>
        </w:rPr>
        <w:t>/ inox / laiton / ***.</w:t>
      </w:r>
    </w:p>
    <w:p w14:paraId="59B43CAB" w14:textId="77777777" w:rsidR="004B2808" w:rsidRDefault="00000000">
      <w:pPr>
        <w:pStyle w:val="Author-eListParagraph"/>
        <w:numPr>
          <w:ilvl w:val="0"/>
          <w:numId w:val="1278"/>
        </w:numPr>
      </w:pPr>
      <w:r>
        <w:t>Forme de la tête :</w:t>
      </w:r>
      <w:r>
        <w:rPr>
          <w:rStyle w:val="optioncarChar"/>
        </w:rPr>
        <w:t xml:space="preserve"> fraisée / fraisée bombée / cylindrique bombée </w:t>
      </w:r>
      <w:r>
        <w:t>(par défaut)</w:t>
      </w:r>
      <w:r>
        <w:rPr>
          <w:rStyle w:val="optioncarChar"/>
        </w:rPr>
        <w:t xml:space="preserve"> / ***.</w:t>
      </w:r>
    </w:p>
    <w:p w14:paraId="728848E1" w14:textId="77777777" w:rsidR="004B2808" w:rsidRDefault="00000000">
      <w:pPr>
        <w:pStyle w:val="Author-eListParagraph"/>
        <w:numPr>
          <w:ilvl w:val="0"/>
          <w:numId w:val="1278"/>
        </w:numPr>
      </w:pPr>
      <w:r>
        <w:t xml:space="preserve">Avec des entretoises : </w:t>
      </w:r>
      <w:r>
        <w:rPr>
          <w:rStyle w:val="optioncarChar"/>
        </w:rPr>
        <w:t xml:space="preserve">non </w:t>
      </w:r>
      <w:r>
        <w:t>(par défaut)</w:t>
      </w:r>
      <w:r>
        <w:rPr>
          <w:rStyle w:val="optioncarChar"/>
        </w:rPr>
        <w:t xml:space="preserve"> / oui.</w:t>
      </w:r>
      <w:r>
        <w:br/>
      </w:r>
    </w:p>
    <w:p w14:paraId="7160DAFE" w14:textId="77777777" w:rsidR="004B2808" w:rsidRDefault="00000000">
      <w:pPr>
        <w:jc w:val="both"/>
      </w:pPr>
      <w:r>
        <w:rPr>
          <w:b/>
          <w:u w:val="single"/>
        </w:rPr>
        <w:t>Adhésif double-face</w:t>
      </w:r>
    </w:p>
    <w:p w14:paraId="2BBE3AD6" w14:textId="77777777" w:rsidR="004B2808" w:rsidRDefault="00000000">
      <w:pPr>
        <w:jc w:val="both"/>
      </w:pPr>
      <w:r>
        <w:t>Les plaques sont collées au support à l’aide d’un ruban adhésif double-face à l’arrière de la plaque. Le papier transfert qui protège le ruban adhésif est enlevé juste avant de coller la plaque sur les supports, pour éviter de salir le ruban.</w:t>
      </w:r>
    </w:p>
    <w:p w14:paraId="3BE3E142" w14:textId="77777777" w:rsidR="004B2808" w:rsidRDefault="00000000">
      <w:pPr>
        <w:jc w:val="both"/>
      </w:pPr>
      <w:r>
        <w:t>Les rubans adhésifs utilisés sont compatibles avec les supports. </w:t>
      </w:r>
    </w:p>
    <w:p w14:paraId="30457FB0" w14:textId="77777777" w:rsidR="004B2808" w:rsidRDefault="00000000">
      <w:pPr>
        <w:jc w:val="both"/>
      </w:pPr>
      <w:r>
        <w:rPr>
          <w:b/>
          <w:u w:val="single"/>
        </w:rPr>
        <w:t>Bande magnétique</w:t>
      </w:r>
    </w:p>
    <w:p w14:paraId="75404D30" w14:textId="77777777" w:rsidR="004B2808" w:rsidRDefault="00000000">
      <w:pPr>
        <w:jc w:val="both"/>
      </w:pPr>
      <w:r>
        <w:t>Les plaques sont fixées au support l’aide d’un ruban magnétique collé à l’arrière de la plaque.</w:t>
      </w:r>
    </w:p>
    <w:p w14:paraId="3EDE2ADD" w14:textId="77777777" w:rsidR="004B2808" w:rsidRDefault="00000000">
      <w:pPr>
        <w:jc w:val="both"/>
      </w:pPr>
      <w:r>
        <w:rPr>
          <w:b/>
          <w:u w:val="single"/>
        </w:rPr>
        <w:t>Suspendu</w:t>
      </w:r>
    </w:p>
    <w:p w14:paraId="6C1F4702" w14:textId="77777777" w:rsidR="004B2808" w:rsidRDefault="00000000">
      <w:pPr>
        <w:jc w:val="both"/>
      </w:pPr>
      <w:r>
        <w:t>Caractéristiques des vis ou crochet de suspente</w:t>
      </w:r>
    </w:p>
    <w:p w14:paraId="06F4190E" w14:textId="77777777" w:rsidR="004B2808" w:rsidRDefault="00000000">
      <w:pPr>
        <w:pStyle w:val="Author-eListParagraph"/>
        <w:numPr>
          <w:ilvl w:val="0"/>
          <w:numId w:val="1279"/>
        </w:numPr>
      </w:pPr>
      <w:r>
        <w:t xml:space="preserve">Type : </w:t>
      </w:r>
      <w:r>
        <w:rPr>
          <w:rStyle w:val="optioncarChar"/>
        </w:rPr>
        <w:t xml:space="preserve">un crochet </w:t>
      </w:r>
      <w:r>
        <w:t xml:space="preserve">(par défaut) </w:t>
      </w:r>
      <w:r>
        <w:rPr>
          <w:rStyle w:val="optioncarChar"/>
        </w:rPr>
        <w:t>/ un clou / une vis à tête cylindrique bombée / ***.</w:t>
      </w:r>
    </w:p>
    <w:p w14:paraId="5D71F557" w14:textId="77777777" w:rsidR="004B2808" w:rsidRDefault="00000000">
      <w:pPr>
        <w:pStyle w:val="Author-eListParagraph"/>
        <w:numPr>
          <w:ilvl w:val="0"/>
          <w:numId w:val="1279"/>
        </w:numPr>
      </w:pPr>
      <w:r>
        <w:t xml:space="preserve">Matériau: </w:t>
      </w:r>
      <w:r>
        <w:rPr>
          <w:rStyle w:val="optioncarChar"/>
        </w:rPr>
        <w:t xml:space="preserve">acier chromé </w:t>
      </w:r>
      <w:r>
        <w:t>(par défaut)</w:t>
      </w:r>
      <w:r>
        <w:rPr>
          <w:rStyle w:val="optioncarChar"/>
        </w:rPr>
        <w:t xml:space="preserve"> / inox / laiton / ***</w:t>
      </w:r>
    </w:p>
    <w:p w14:paraId="77DE00D7" w14:textId="77777777" w:rsidR="004B2808" w:rsidRDefault="00000000">
      <w:pPr>
        <w:jc w:val="both"/>
      </w:pPr>
      <w:r>
        <w:t xml:space="preserve">Choix de suspente : </w:t>
      </w:r>
      <w:r>
        <w:rPr>
          <w:rStyle w:val="optioncarChar"/>
        </w:rPr>
        <w:t xml:space="preserve">trou supérieur </w:t>
      </w:r>
      <w:r>
        <w:t xml:space="preserve">(par défaut) </w:t>
      </w:r>
      <w:r>
        <w:rPr>
          <w:rStyle w:val="optioncarChar"/>
        </w:rPr>
        <w:t>/suspendu à un fil / suspente cachée / ***.</w:t>
      </w:r>
    </w:p>
    <w:p w14:paraId="1AD32A13" w14:textId="77777777" w:rsidR="004B2808" w:rsidRDefault="00000000">
      <w:pPr>
        <w:ind w:left="567"/>
        <w:jc w:val="both"/>
      </w:pPr>
      <w:r>
        <w:rPr>
          <w:b/>
          <w:i/>
        </w:rPr>
        <w:t>(Soit par défaut)</w:t>
      </w:r>
    </w:p>
    <w:p w14:paraId="3201D905" w14:textId="77777777" w:rsidR="004B2808" w:rsidRDefault="00000000">
      <w:pPr>
        <w:ind w:left="567"/>
        <w:jc w:val="both"/>
      </w:pPr>
      <w:r>
        <w:rPr>
          <w:rStyle w:val="soitChar"/>
          <w:u w:val="single"/>
        </w:rPr>
        <w:lastRenderedPageBreak/>
        <w:t xml:space="preserve">Trou supérieur </w:t>
      </w:r>
    </w:p>
    <w:p w14:paraId="0BEF5E8D" w14:textId="77777777" w:rsidR="004B2808" w:rsidRDefault="00000000">
      <w:pPr>
        <w:ind w:left="567"/>
        <w:jc w:val="both"/>
      </w:pPr>
      <w:r>
        <w:rPr>
          <w:rStyle w:val="soitChar"/>
        </w:rPr>
        <w:t>Les plaques sont percées dans leur partie supérieure, au centre, pour être accrochées au système de fixation attaché dans le support.</w:t>
      </w:r>
    </w:p>
    <w:p w14:paraId="790AF081" w14:textId="77777777" w:rsidR="004B2808" w:rsidRDefault="00000000">
      <w:pPr>
        <w:ind w:left="567"/>
        <w:jc w:val="both"/>
      </w:pPr>
      <w:r>
        <w:rPr>
          <w:b/>
          <w:i/>
        </w:rPr>
        <w:t>(Soit)</w:t>
      </w:r>
    </w:p>
    <w:p w14:paraId="33B9884A" w14:textId="77777777" w:rsidR="004B2808" w:rsidRDefault="00000000">
      <w:pPr>
        <w:ind w:left="567"/>
        <w:jc w:val="both"/>
      </w:pPr>
      <w:r>
        <w:rPr>
          <w:rStyle w:val="soitChar"/>
          <w:u w:val="single"/>
        </w:rPr>
        <w:t xml:space="preserve">Suspendu à un fil </w:t>
      </w:r>
    </w:p>
    <w:p w14:paraId="6FAE496F" w14:textId="77777777" w:rsidR="004B2808" w:rsidRDefault="00000000">
      <w:pPr>
        <w:ind w:left="567"/>
        <w:jc w:val="both"/>
      </w:pPr>
      <w:r>
        <w:rPr>
          <w:rStyle w:val="soitChar"/>
        </w:rPr>
        <w:t>Les plaques sont percées de trous dans leurs parties supérieures. Un fil est attaché à ces trous et la plaque est suspendue au système de fixation attaché dans le support.</w:t>
      </w:r>
    </w:p>
    <w:p w14:paraId="0C441D44" w14:textId="77777777" w:rsidR="004B2808" w:rsidRDefault="00000000">
      <w:pPr>
        <w:pStyle w:val="Author-eListParagraph"/>
        <w:numPr>
          <w:ilvl w:val="1"/>
          <w:numId w:val="1280"/>
        </w:numPr>
      </w:pPr>
      <w:r>
        <w:rPr>
          <w:rStyle w:val="soitChar"/>
        </w:rPr>
        <w:t>Nombre de trous en partie supérieur :</w:t>
      </w:r>
      <w:r>
        <w:rPr>
          <w:rStyle w:val="optioncarChar"/>
        </w:rPr>
        <w:t xml:space="preserve">1 trou central / 2 trous, à chaque extrémité </w:t>
      </w:r>
      <w:r>
        <w:t xml:space="preserve">(par défaut) </w:t>
      </w:r>
      <w:r>
        <w:rPr>
          <w:rStyle w:val="optioncarChar"/>
        </w:rPr>
        <w:t>/ ***</w:t>
      </w:r>
      <w:r>
        <w:t>.</w:t>
      </w:r>
    </w:p>
    <w:p w14:paraId="2C236995" w14:textId="77777777" w:rsidR="004B2808" w:rsidRDefault="00000000">
      <w:pPr>
        <w:pStyle w:val="Author-eListParagraph"/>
        <w:numPr>
          <w:ilvl w:val="1"/>
          <w:numId w:val="1280"/>
        </w:numPr>
      </w:pPr>
      <w:r>
        <w:rPr>
          <w:rStyle w:val="soitChar"/>
        </w:rPr>
        <w:t>Fil de suspentes :</w:t>
      </w:r>
      <w:r>
        <w:rPr>
          <w:rStyle w:val="optioncarChar"/>
        </w:rPr>
        <w:t xml:space="preserve">cordelette </w:t>
      </w:r>
      <w:r>
        <w:t xml:space="preserve">(par défaut) </w:t>
      </w:r>
      <w:r>
        <w:rPr>
          <w:rStyle w:val="optioncarChar"/>
        </w:rPr>
        <w:t>/ chainette / fil nylon / ***</w:t>
      </w:r>
      <w:r>
        <w:t>.</w:t>
      </w:r>
    </w:p>
    <w:p w14:paraId="65965597" w14:textId="77777777" w:rsidR="004B2808" w:rsidRDefault="00000000">
      <w:pPr>
        <w:ind w:left="567"/>
        <w:jc w:val="both"/>
      </w:pPr>
      <w:r>
        <w:rPr>
          <w:b/>
          <w:i/>
        </w:rPr>
        <w:t>(Soit)</w:t>
      </w:r>
    </w:p>
    <w:p w14:paraId="535E613D" w14:textId="77777777" w:rsidR="004B2808" w:rsidRDefault="00000000">
      <w:pPr>
        <w:ind w:left="567"/>
        <w:jc w:val="both"/>
      </w:pPr>
      <w:r>
        <w:rPr>
          <w:rStyle w:val="soitChar"/>
          <w:u w:val="single"/>
        </w:rPr>
        <w:t xml:space="preserve">Suspente cachée </w:t>
      </w:r>
    </w:p>
    <w:p w14:paraId="66C543C4" w14:textId="77777777" w:rsidR="004B2808" w:rsidRDefault="00000000">
      <w:pPr>
        <w:ind w:left="567"/>
        <w:jc w:val="both"/>
      </w:pPr>
      <w:r>
        <w:rPr>
          <w:rStyle w:val="soitChar"/>
        </w:rPr>
        <w:t>Les plaques sont suspendues de manière invisible au support à la manière d’un cadre, à l’aide de pastilles à coller avec un œillet de suspente, placé derrière la plaque, de manière à ne pas dépasser de celle-ci.</w:t>
      </w:r>
    </w:p>
    <w:p w14:paraId="38C5918B" w14:textId="77777777" w:rsidR="004B2808" w:rsidRDefault="00000000">
      <w:pPr>
        <w:jc w:val="both"/>
      </w:pPr>
      <w:r>
        <w:rPr>
          <w:b/>
          <w:u w:val="single"/>
        </w:rPr>
        <w:t>Glissé dans un support</w:t>
      </w:r>
    </w:p>
    <w:p w14:paraId="0E6D4516" w14:textId="77777777" w:rsidR="004B2808" w:rsidRDefault="00000000">
      <w:pPr>
        <w:jc w:val="both"/>
      </w:pPr>
      <w:r>
        <w:t>Les plaques sont glissées dans des supports en aluminium.</w:t>
      </w:r>
    </w:p>
    <w:p w14:paraId="11000A54" w14:textId="77777777" w:rsidR="004B2808" w:rsidRDefault="00000000">
      <w:pPr>
        <w:jc w:val="both"/>
      </w:pPr>
      <w:r>
        <w:t>Ces supports sont fixés à l’aide de :</w:t>
      </w:r>
      <w:r>
        <w:rPr>
          <w:rStyle w:val="optioncarChar"/>
        </w:rPr>
        <w:t xml:space="preserve"> minimum 2 vis, placées à chaque extrémité </w:t>
      </w:r>
      <w:r>
        <w:t>(par défaut)</w:t>
      </w:r>
      <w:r>
        <w:rPr>
          <w:rStyle w:val="optioncarChar"/>
        </w:rPr>
        <w:t xml:space="preserve"> / rubans adhésifs double-face / ***.</w:t>
      </w:r>
    </w:p>
    <w:p w14:paraId="4998E7DF" w14:textId="77777777" w:rsidR="004B2808" w:rsidRDefault="00000000">
      <w:pPr>
        <w:jc w:val="both"/>
      </w:pPr>
      <w:r>
        <w:t xml:space="preserve">Matériau des vis: </w:t>
      </w:r>
      <w:r>
        <w:rPr>
          <w:rStyle w:val="optioncarChar"/>
        </w:rPr>
        <w:t xml:space="preserve">acier chromé </w:t>
      </w:r>
      <w:r>
        <w:t>(par défaut)</w:t>
      </w:r>
      <w:r>
        <w:rPr>
          <w:rStyle w:val="optioncarChar"/>
        </w:rPr>
        <w:t xml:space="preserve"> / inox / ***</w:t>
      </w:r>
      <w:r>
        <w:t>.</w:t>
      </w:r>
    </w:p>
    <w:p w14:paraId="0A042810" w14:textId="77777777" w:rsidR="004B2808" w:rsidRDefault="00000000">
      <w:pPr>
        <w:jc w:val="both"/>
      </w:pPr>
      <w:r>
        <w:rPr>
          <w:b/>
          <w:u w:val="single"/>
        </w:rPr>
        <w:t>Collé</w:t>
      </w:r>
    </w:p>
    <w:p w14:paraId="5C819D51" w14:textId="77777777" w:rsidR="004B2808" w:rsidRDefault="00000000">
      <w:pPr>
        <w:jc w:val="both"/>
      </w:pPr>
      <w:r>
        <w:t>Les plaques sont fixées aux supports à l’aide d’une colle compatible avec les deux matériaux.</w:t>
      </w:r>
    </w:p>
    <w:p w14:paraId="737D0C68" w14:textId="77777777" w:rsidR="004B2808" w:rsidRDefault="00000000">
      <w:pPr>
        <w:pStyle w:val="pheading"/>
      </w:pPr>
      <w:r>
        <w:t>- Notes d’exécution complémentaires</w:t>
      </w:r>
    </w:p>
    <w:p w14:paraId="1F51E5C6" w14:textId="77777777" w:rsidR="004B2808" w:rsidRDefault="00000000">
      <w:pPr>
        <w:jc w:val="both"/>
      </w:pPr>
      <w:r>
        <w:rPr>
          <w:rStyle w:val="facultChar"/>
        </w:rPr>
        <w:t>Prescriptions complémentaires pour la pose de</w:t>
      </w:r>
      <w:r>
        <w:rPr>
          <w:rStyle w:val="facultChar"/>
          <w:color w:val="000000"/>
        </w:rPr>
        <w:t> </w:t>
      </w:r>
      <w:r>
        <w:rPr>
          <w:rStyle w:val="optioncarChar"/>
        </w:rPr>
        <w:t>lettrage adhésif ou autocollant</w:t>
      </w:r>
      <w:r>
        <w:t xml:space="preserve"> (par défaut) </w:t>
      </w:r>
      <w:r>
        <w:rPr>
          <w:rStyle w:val="optioncarChar"/>
        </w:rPr>
        <w:t>/ lettrage en relief</w:t>
      </w:r>
    </w:p>
    <w:p w14:paraId="23E8974D" w14:textId="77777777" w:rsidR="004B2808" w:rsidRDefault="00000000">
      <w:pPr>
        <w:jc w:val="both"/>
      </w:pPr>
      <w:r>
        <w:rPr>
          <w:b/>
          <w:i/>
        </w:rPr>
        <w:t>(Soit par défaut)</w:t>
      </w:r>
    </w:p>
    <w:p w14:paraId="2D012B8E" w14:textId="77777777" w:rsidR="004B2808" w:rsidRDefault="00000000">
      <w:pPr>
        <w:jc w:val="both"/>
      </w:pPr>
      <w:r>
        <w:rPr>
          <w:rStyle w:val="soitChar"/>
          <w:u w:val="single"/>
        </w:rPr>
        <w:t>Lettrage adhésif ou autocollant</w:t>
      </w:r>
    </w:p>
    <w:p w14:paraId="20F0C479" w14:textId="77777777" w:rsidR="004B2808" w:rsidRDefault="00000000">
      <w:pPr>
        <w:jc w:val="both"/>
      </w:pPr>
      <w:r>
        <w:rPr>
          <w:rStyle w:val="soitChar"/>
        </w:rPr>
        <w:t>Le support doit être sec, libre de poussière, de graisses et de silicones.</w:t>
      </w:r>
    </w:p>
    <w:p w14:paraId="4FAE2049" w14:textId="77777777" w:rsidR="004B2808" w:rsidRDefault="00000000">
      <w:pPr>
        <w:jc w:val="both"/>
      </w:pPr>
      <w:r>
        <w:rPr>
          <w:rStyle w:val="soitChar"/>
        </w:rPr>
        <w:t>Le papier transfert qui protège la colle des lettrages ou des autocollants est enlevé progressivement juste avant de coller les éléments sur le support.</w:t>
      </w:r>
    </w:p>
    <w:p w14:paraId="6619718D" w14:textId="77777777" w:rsidR="004B2808" w:rsidRDefault="00000000">
      <w:pPr>
        <w:jc w:val="both"/>
      </w:pPr>
      <w:r>
        <w:rPr>
          <w:rStyle w:val="soitChar"/>
        </w:rPr>
        <w:t>Une spatule permettant d’éliminer les bulles d’air est également passée sur les éléments à coller en même temps et au même rythme que le papier transfert est retiré.</w:t>
      </w:r>
    </w:p>
    <w:p w14:paraId="792610AD" w14:textId="77777777" w:rsidR="004B2808" w:rsidRDefault="00000000">
      <w:pPr>
        <w:jc w:val="both"/>
      </w:pPr>
      <w:r>
        <w:rPr>
          <w:rStyle w:val="soitChar"/>
        </w:rPr>
        <w:t>Une fois les lettrages ou autocollants correctement collés, le papier transfert qui les protège est retiré doucement.</w:t>
      </w:r>
    </w:p>
    <w:p w14:paraId="445AB09D" w14:textId="77777777" w:rsidR="004B2808" w:rsidRDefault="00000000">
      <w:pPr>
        <w:jc w:val="both"/>
      </w:pPr>
      <w:r>
        <w:rPr>
          <w:b/>
          <w:i/>
        </w:rPr>
        <w:t>(Soit)</w:t>
      </w:r>
    </w:p>
    <w:p w14:paraId="663642EF" w14:textId="77777777" w:rsidR="004B2808" w:rsidRDefault="00000000">
      <w:pPr>
        <w:jc w:val="both"/>
      </w:pPr>
      <w:r>
        <w:rPr>
          <w:rStyle w:val="soitChar"/>
          <w:u w:val="single"/>
        </w:rPr>
        <w:t>Lettrage en relief</w:t>
      </w:r>
    </w:p>
    <w:p w14:paraId="4AB2CB1A" w14:textId="77777777" w:rsidR="004B2808" w:rsidRDefault="00000000">
      <w:pPr>
        <w:jc w:val="both"/>
      </w:pPr>
      <w:r>
        <w:rPr>
          <w:rStyle w:val="soitChar"/>
        </w:rPr>
        <w:t>Le support doit être sec, libre de poussière, de graisses et de silicones.</w:t>
      </w:r>
    </w:p>
    <w:p w14:paraId="48267D16" w14:textId="77777777" w:rsidR="004B2808" w:rsidRDefault="00000000">
      <w:pPr>
        <w:jc w:val="both"/>
      </w:pPr>
      <w:r>
        <w:rPr>
          <w:rStyle w:val="soitChar"/>
        </w:rPr>
        <w:t>Les inscriptions sont fixées aux supports à l’aide d’une colle compatible avec les deux matériaux.</w:t>
      </w:r>
    </w:p>
    <w:p w14:paraId="07998A44" w14:textId="77777777" w:rsidR="004B2808" w:rsidRDefault="004B2808"/>
    <w:p w14:paraId="2859FAF1" w14:textId="77777777" w:rsidR="004B2808" w:rsidRDefault="00000000">
      <w:pPr>
        <w:jc w:val="both"/>
      </w:pPr>
      <w:r>
        <w:rPr>
          <w:rStyle w:val="facultChar"/>
        </w:rPr>
        <w:t>Ce poste comprend également :</w:t>
      </w:r>
      <w:r>
        <w:rPr>
          <w:rStyle w:val="optioncarChar"/>
        </w:rPr>
        <w:t>des inscriptions en braille </w:t>
      </w:r>
      <w:r>
        <w:t>(par défaut)</w:t>
      </w:r>
      <w:r>
        <w:rPr>
          <w:rStyle w:val="optioncarChar"/>
        </w:rPr>
        <w:t xml:space="preserve"> / ***.</w:t>
      </w:r>
    </w:p>
    <w:p w14:paraId="1EFCB7C9" w14:textId="77777777" w:rsidR="004B2808" w:rsidRDefault="00000000">
      <w:pPr>
        <w:jc w:val="both"/>
      </w:pPr>
      <w:r>
        <w:rPr>
          <w:b/>
          <w:i/>
        </w:rPr>
        <w:t>(Soit par défaut)</w:t>
      </w:r>
    </w:p>
    <w:p w14:paraId="60235164" w14:textId="77777777" w:rsidR="004B2808" w:rsidRDefault="00000000">
      <w:pPr>
        <w:jc w:val="both"/>
      </w:pPr>
      <w:r>
        <w:rPr>
          <w:rStyle w:val="soitChar"/>
          <w:u w:val="single"/>
        </w:rPr>
        <w:t>Inscriptions en braille</w:t>
      </w:r>
    </w:p>
    <w:p w14:paraId="45F64C15" w14:textId="77777777" w:rsidR="004B2808" w:rsidRDefault="00000000">
      <w:pPr>
        <w:jc w:val="both"/>
      </w:pPr>
      <w:r>
        <w:rPr>
          <w:rStyle w:val="soitChar"/>
        </w:rPr>
        <w:t xml:space="preserve">Des billes normées sont incrustées dans les plaques pour réaliser les inscriptions en braille. </w:t>
      </w:r>
    </w:p>
    <w:p w14:paraId="14D1AAE8" w14:textId="77777777" w:rsidR="004B2808" w:rsidRDefault="00000000">
      <w:pPr>
        <w:jc w:val="both"/>
      </w:pPr>
      <w:r>
        <w:rPr>
          <w:rStyle w:val="soitChar"/>
        </w:rPr>
        <w:lastRenderedPageBreak/>
        <w:t xml:space="preserve"> Position de ces billes:</w:t>
      </w:r>
      <w:r>
        <w:t xml:space="preserve">  </w:t>
      </w:r>
      <w:r>
        <w:rPr>
          <w:rStyle w:val="optioncarChar"/>
        </w:rPr>
        <w:t>coin inférieur gauche</w:t>
      </w:r>
      <w:r>
        <w:t xml:space="preserve"> (par défaut)</w:t>
      </w:r>
      <w:r>
        <w:rPr>
          <w:rStyle w:val="optioncarChar"/>
        </w:rPr>
        <w:t xml:space="preserve"> / ***.</w:t>
      </w:r>
    </w:p>
    <w:p w14:paraId="4A9641A0" w14:textId="77777777" w:rsidR="004B2808" w:rsidRDefault="00000000">
      <w:pPr>
        <w:jc w:val="both"/>
      </w:pPr>
      <w:r>
        <w:rPr>
          <w:b/>
          <w:i/>
        </w:rPr>
        <w:t>(Soit)</w:t>
      </w:r>
    </w:p>
    <w:p w14:paraId="01606B93" w14:textId="77777777" w:rsidR="004B2808" w:rsidRDefault="00000000">
      <w:pPr>
        <w:jc w:val="both"/>
      </w:pPr>
      <w:r>
        <w:rPr>
          <w:rStyle w:val="optioncarChar"/>
        </w:rPr>
        <w:t>***</w:t>
      </w:r>
    </w:p>
    <w:p w14:paraId="6B0B8EB6" w14:textId="77777777" w:rsidR="004B2808" w:rsidRDefault="00000000">
      <w:pPr>
        <w:pStyle w:val="pheading"/>
      </w:pPr>
      <w:r>
        <w:t>DOCUMENTS DE RÉFÉRENCE COMPLÉMENTAIRES</w:t>
      </w:r>
    </w:p>
    <w:p w14:paraId="356ED1AF" w14:textId="77777777" w:rsidR="004B2808" w:rsidRDefault="00000000">
      <w:pPr>
        <w:pStyle w:val="pheading"/>
      </w:pPr>
      <w:r>
        <w:t>- Matériau</w:t>
      </w:r>
    </w:p>
    <w:p w14:paraId="776EE570" w14:textId="77777777" w:rsidR="004B2808" w:rsidRDefault="00000000">
      <w:r>
        <w:t>[NBN EN 12150-2, Verre dans la construction - Verre de silicate sodo-calcique de sécurité trempé thermiquement - Partie 2 : Evaluation de la conformité/Norme de produit]</w:t>
      </w:r>
    </w:p>
    <w:p w14:paraId="7464E2BC" w14:textId="77777777" w:rsidR="004B2808" w:rsidRDefault="00000000">
      <w:r>
        <w:t>[GRU 2016-07-20, Guide Régional d'Urbanisme]: chapitre 4</w:t>
      </w:r>
    </w:p>
    <w:p w14:paraId="5D5B399C" w14:textId="77777777" w:rsidR="004B2808" w:rsidRDefault="00000000">
      <w:r>
        <w:t>[SWL CALA, Guide d’aide à la conception d’un logement adaptable]</w:t>
      </w:r>
    </w:p>
    <w:p w14:paraId="0FBE047E" w14:textId="77777777" w:rsidR="004B2808" w:rsidRDefault="00000000">
      <w:r>
        <w:t>[ISO 17049, Conception accessible -- Méthodes d'affichage des signes en braille]</w:t>
      </w:r>
    </w:p>
    <w:p w14:paraId="07BF220E" w14:textId="77777777" w:rsidR="004B2808" w:rsidRDefault="00000000">
      <w:pPr>
        <w:pStyle w:val="pheading"/>
      </w:pPr>
      <w:r>
        <w:t>- Exécution</w:t>
      </w:r>
    </w:p>
    <w:p w14:paraId="4A8A231D" w14:textId="77777777" w:rsidR="004B2808" w:rsidRDefault="00000000">
      <w:r>
        <w:t>[GRU 2016-07-20, Guide Régional d'Urbanisme] : chapitre 4</w:t>
      </w:r>
    </w:p>
    <w:p w14:paraId="3071F9EF" w14:textId="77777777" w:rsidR="004B2808" w:rsidRDefault="00000000">
      <w:r>
        <w:t>[SWL CALA, Guide d’aide à la conception d’un logement adaptable]</w:t>
      </w:r>
    </w:p>
    <w:p w14:paraId="1F8E1CF8" w14:textId="77777777" w:rsidR="004B2808" w:rsidRDefault="00000000">
      <w:r>
        <w:t>[ISO 17049, Conception accessible -- Méthodes d'affichage des signes en braille]</w:t>
      </w:r>
    </w:p>
    <w:p w14:paraId="29FA1316" w14:textId="77777777" w:rsidR="004B2808" w:rsidRDefault="00000000">
      <w:pPr>
        <w:pStyle w:val="pheading"/>
      </w:pPr>
      <w:r>
        <w:t>MESURAGE</w:t>
      </w:r>
    </w:p>
    <w:p w14:paraId="79BB0749" w14:textId="77777777" w:rsidR="004B2808" w:rsidRDefault="00000000">
      <w:pPr>
        <w:pStyle w:val="pheading"/>
      </w:pPr>
      <w:r>
        <w:t>- unité de mesure:</w:t>
      </w:r>
    </w:p>
    <w:p w14:paraId="171362A0" w14:textId="77777777" w:rsidR="004B2808" w:rsidRDefault="00000000">
      <w:r>
        <w:t>pc</w:t>
      </w:r>
    </w:p>
    <w:p w14:paraId="5DBB4534" w14:textId="77777777" w:rsidR="004B2808" w:rsidRDefault="00000000">
      <w:pPr>
        <w:pStyle w:val="pheading"/>
      </w:pPr>
      <w:r>
        <w:t>- code de mesurage:</w:t>
      </w:r>
    </w:p>
    <w:p w14:paraId="745AB4C1" w14:textId="77777777" w:rsidR="004B2808" w:rsidRDefault="00000000">
      <w:r>
        <w:t>Quantité nette, ventilée en fonction de la nature des matériaux et des dimensions.</w:t>
      </w:r>
    </w:p>
    <w:p w14:paraId="56D53A49" w14:textId="77777777" w:rsidR="004B2808" w:rsidRDefault="00000000">
      <w:pPr>
        <w:pStyle w:val="pheading"/>
      </w:pPr>
      <w:r>
        <w:t>- nature du marché:</w:t>
      </w:r>
    </w:p>
    <w:p w14:paraId="4D29EB32" w14:textId="77777777" w:rsidR="004B2808" w:rsidRDefault="00000000">
      <w:r>
        <w:t>QF</w:t>
      </w:r>
    </w:p>
    <w:p w14:paraId="5C30AD7C" w14:textId="77777777" w:rsidR="004B2808" w:rsidRDefault="00000000">
      <w:pPr>
        <w:pStyle w:val="Author-eSectionHeading5Numberless"/>
      </w:pPr>
      <w:bookmarkStart w:id="1369" w:name="_Toc220491477"/>
      <w:r>
        <w:t>55.65.9 Dispositifs de transfert d'air pour la ventilation CCTB 01.02</w:t>
      </w:r>
      <w:bookmarkEnd w:id="1369"/>
    </w:p>
    <w:p w14:paraId="527C6375" w14:textId="77777777" w:rsidR="004B2808" w:rsidRDefault="00000000">
      <w:pPr>
        <w:pStyle w:val="Author-eSectionHeading6Numberless"/>
      </w:pPr>
      <w:bookmarkStart w:id="1370" w:name="1319"/>
      <w:bookmarkStart w:id="1371" w:name="_Toc220491478"/>
      <w:bookmarkEnd w:id="1370"/>
      <w:r>
        <w:t>55.65.9a Dispositifs de transfert d'air montés en intérieur: Ouvertures de transfert (OT) CCTB 01.02</w:t>
      </w:r>
      <w:bookmarkEnd w:id="1371"/>
    </w:p>
    <w:p w14:paraId="0900718C" w14:textId="77777777" w:rsidR="004B2808" w:rsidRDefault="00000000">
      <w:pPr>
        <w:pStyle w:val="Author-eSectionHeading4Numberless"/>
      </w:pPr>
      <w:bookmarkStart w:id="1372" w:name="_Toc220491479"/>
      <w:r>
        <w:t>55.66 Menuiserie appliquée sur des murs CCTB 01.02</w:t>
      </w:r>
      <w:bookmarkEnd w:id="1372"/>
    </w:p>
    <w:p w14:paraId="7110CCDE" w14:textId="77777777" w:rsidR="004B2808" w:rsidRDefault="00000000">
      <w:pPr>
        <w:pStyle w:val="Author-eSectionHeading5Numberless"/>
      </w:pPr>
      <w:bookmarkStart w:id="1373" w:name="_Toc220491480"/>
      <w:r>
        <w:t>55.66.1 Menuiserie appliquée sur des murs - Lisse de protection des murs CCTB 01.02</w:t>
      </w:r>
      <w:bookmarkEnd w:id="1373"/>
    </w:p>
    <w:p w14:paraId="2C9045A7" w14:textId="77777777" w:rsidR="004B2808" w:rsidRDefault="00000000">
      <w:pPr>
        <w:pStyle w:val="Author-eSectionHeading6Numberless"/>
      </w:pPr>
      <w:bookmarkStart w:id="1374" w:name="_Toc220491481"/>
      <w:r>
        <w:t>55.66.1a Menuiserie appliquée sur des murs - Lisse de protection des murs, en bois CCTB 01.02</w:t>
      </w:r>
      <w:bookmarkEnd w:id="1374"/>
    </w:p>
    <w:p w14:paraId="35CCEBD0" w14:textId="77777777" w:rsidR="004B2808" w:rsidRDefault="00000000">
      <w:pPr>
        <w:pStyle w:val="Author-eSectionHeading6Numberless"/>
      </w:pPr>
      <w:bookmarkStart w:id="1375" w:name="_Toc220491482"/>
      <w:r>
        <w:t>55.66.1b Menuiserie appliquée sur des murs - Lisse de protection des murs, en acier CCTB 01.02</w:t>
      </w:r>
      <w:bookmarkEnd w:id="1375"/>
    </w:p>
    <w:p w14:paraId="117F63BB" w14:textId="77777777" w:rsidR="004B2808" w:rsidRDefault="00000000">
      <w:pPr>
        <w:pStyle w:val="Author-eSectionHeading6Numberless"/>
      </w:pPr>
      <w:bookmarkStart w:id="1376" w:name="_Toc220491483"/>
      <w:r>
        <w:t>55.66.1c Menuiserie appliquée sur des murs - Lisse de protection des murs, en aluminium CCTB 01.02</w:t>
      </w:r>
      <w:bookmarkEnd w:id="1376"/>
    </w:p>
    <w:p w14:paraId="5F21B641" w14:textId="77777777" w:rsidR="004B2808" w:rsidRDefault="00000000">
      <w:pPr>
        <w:pStyle w:val="Author-eSectionHeading6Numberless"/>
      </w:pPr>
      <w:bookmarkStart w:id="1377" w:name="_Toc220491484"/>
      <w:r>
        <w:t>55.66.1d Menuiserie appliquée sur des murs - Lisse de protection des murs, en matériaux synthétiques CCTB 01.02</w:t>
      </w:r>
      <w:bookmarkEnd w:id="1377"/>
    </w:p>
    <w:p w14:paraId="2B59B3BB" w14:textId="77777777" w:rsidR="004B2808" w:rsidRDefault="00000000">
      <w:pPr>
        <w:pStyle w:val="Author-eSectionHeading6Numberless"/>
      </w:pPr>
      <w:bookmarkStart w:id="1378" w:name="_Toc220491485"/>
      <w:r>
        <w:t>55.66.1e Menuiserie appliquée sur des murs - Lisse de protection des murs, en matériaux mixtes CCTB 01.02</w:t>
      </w:r>
      <w:bookmarkEnd w:id="1378"/>
    </w:p>
    <w:p w14:paraId="2B50D7CA" w14:textId="77777777" w:rsidR="004B2808" w:rsidRDefault="00000000">
      <w:pPr>
        <w:pStyle w:val="Author-eSectionHeading5Numberless"/>
      </w:pPr>
      <w:bookmarkStart w:id="1379" w:name="_Toc220491486"/>
      <w:r>
        <w:lastRenderedPageBreak/>
        <w:t>55.66.2 Menuiserie appliquée sur des murs - Moulures / Cache luminaire CCTB 01.02</w:t>
      </w:r>
      <w:bookmarkEnd w:id="1379"/>
    </w:p>
    <w:p w14:paraId="57732577" w14:textId="77777777" w:rsidR="004B2808" w:rsidRDefault="00000000">
      <w:pPr>
        <w:pStyle w:val="Author-eSectionHeading6Numberless"/>
      </w:pPr>
      <w:bookmarkStart w:id="1380" w:name="_Toc220491487"/>
      <w:r>
        <w:t>55.66.2a Menuiserie appliquée sur des murs - Moulures / Cache luminaire, en bois CCTB 01.02</w:t>
      </w:r>
      <w:bookmarkEnd w:id="1380"/>
    </w:p>
    <w:p w14:paraId="77713233" w14:textId="77777777" w:rsidR="004B2808" w:rsidRDefault="00000000">
      <w:pPr>
        <w:pStyle w:val="Author-eSectionHeading6Numberless"/>
      </w:pPr>
      <w:bookmarkStart w:id="1381" w:name="_Toc220491488"/>
      <w:r>
        <w:t>55.66.2b Menuiserie appliquée sur des murs - Moulures / Cache luminaire, en acier CCTB 01.02</w:t>
      </w:r>
      <w:bookmarkEnd w:id="1381"/>
    </w:p>
    <w:p w14:paraId="4C9FC4EA" w14:textId="77777777" w:rsidR="004B2808" w:rsidRDefault="00000000">
      <w:pPr>
        <w:pStyle w:val="Author-eSectionHeading6Numberless"/>
      </w:pPr>
      <w:bookmarkStart w:id="1382" w:name="_Toc220491489"/>
      <w:r>
        <w:t>55.66.2c Menuiserie appliquée sur des murs - Moulures / Cache luminaire, en aluminium CCTB 01.02</w:t>
      </w:r>
      <w:bookmarkEnd w:id="1382"/>
    </w:p>
    <w:p w14:paraId="28521E8D" w14:textId="77777777" w:rsidR="004B2808" w:rsidRDefault="00000000">
      <w:pPr>
        <w:pStyle w:val="Author-eSectionHeading6Numberless"/>
      </w:pPr>
      <w:bookmarkStart w:id="1383" w:name="_Toc220491490"/>
      <w:r>
        <w:t>55.66.2d Menuiserie appliquée sur des murs - Moulures / Cache luminaire, en matériaux synthétiques CCTB 01.02</w:t>
      </w:r>
      <w:bookmarkEnd w:id="1383"/>
    </w:p>
    <w:p w14:paraId="716ABD05" w14:textId="77777777" w:rsidR="004B2808" w:rsidRDefault="00000000">
      <w:pPr>
        <w:pStyle w:val="Author-eSectionHeading6Numberless"/>
      </w:pPr>
      <w:bookmarkStart w:id="1384" w:name="_Toc220491491"/>
      <w:r>
        <w:t>55.66.2e Menuiserie appliquée sur des murs - Moulures / Cache luminaire, en matériaux mixtes CCTB 01.02</w:t>
      </w:r>
      <w:bookmarkEnd w:id="1384"/>
    </w:p>
    <w:p w14:paraId="26E252B1" w14:textId="77777777" w:rsidR="004B2808" w:rsidRDefault="00000000">
      <w:pPr>
        <w:pStyle w:val="Author-eSectionHeading5Numberless"/>
      </w:pPr>
      <w:bookmarkStart w:id="1385" w:name="_Toc220491492"/>
      <w:r>
        <w:t>55.66.3 Menuiserie appliquée sur des murs - Panneaux signalétiques CCTB 01.02</w:t>
      </w:r>
      <w:bookmarkEnd w:id="1385"/>
    </w:p>
    <w:p w14:paraId="538B1D1A" w14:textId="77777777" w:rsidR="004B2808" w:rsidRDefault="00000000">
      <w:pPr>
        <w:pStyle w:val="Author-eSectionHeading6Numberless"/>
      </w:pPr>
      <w:bookmarkStart w:id="1386" w:name="_Toc220491493"/>
      <w:r>
        <w:t>55.66.3a Menuiserie appliquée sur des murs - Panneaux signalétiques CCTB 01.02</w:t>
      </w:r>
      <w:bookmarkEnd w:id="1386"/>
    </w:p>
    <w:p w14:paraId="1AE84F41" w14:textId="77777777" w:rsidR="004B2808" w:rsidRDefault="00000000">
      <w:pPr>
        <w:pStyle w:val="Author-eSectionHeading4Numberless"/>
      </w:pPr>
      <w:bookmarkStart w:id="1387" w:name="_Toc220491494"/>
      <w:r>
        <w:t>55.67 Caissons CCTB 01.02</w:t>
      </w:r>
      <w:bookmarkEnd w:id="1387"/>
    </w:p>
    <w:p w14:paraId="5D353E2A" w14:textId="77777777" w:rsidR="004B2808" w:rsidRDefault="00000000">
      <w:pPr>
        <w:pStyle w:val="Author-eSectionHeading5Numberless"/>
      </w:pPr>
      <w:bookmarkStart w:id="1388" w:name="_Toc220491495"/>
      <w:r>
        <w:t>55.67.1 Caisson décoratif CCTB 01.02</w:t>
      </w:r>
      <w:bookmarkEnd w:id="1388"/>
    </w:p>
    <w:p w14:paraId="5E9EAB05" w14:textId="77777777" w:rsidR="004B2808" w:rsidRDefault="00000000">
      <w:pPr>
        <w:pStyle w:val="Author-eSectionHeading6Numberless"/>
      </w:pPr>
      <w:bookmarkStart w:id="1389" w:name="_Toc220491496"/>
      <w:r>
        <w:t>55.67.1a Caisson décoratif CCTB 01.02</w:t>
      </w:r>
      <w:bookmarkEnd w:id="1389"/>
    </w:p>
    <w:p w14:paraId="0813CFE3" w14:textId="77777777" w:rsidR="004B2808" w:rsidRDefault="00000000">
      <w:pPr>
        <w:pStyle w:val="Author-eSectionHeading5Numberless"/>
      </w:pPr>
      <w:bookmarkStart w:id="1390" w:name="_Toc220491497"/>
      <w:r>
        <w:t>55.67.2 Caisson à volets CCTB 01.02</w:t>
      </w:r>
      <w:bookmarkEnd w:id="1390"/>
    </w:p>
    <w:p w14:paraId="7B1AEE9C" w14:textId="77777777" w:rsidR="004B2808" w:rsidRDefault="00000000">
      <w:pPr>
        <w:pStyle w:val="Author-eSectionHeading6Numberless"/>
      </w:pPr>
      <w:bookmarkStart w:id="1391" w:name="_Toc220491498"/>
      <w:r>
        <w:t>55.67.2a Caisson à volets CCTB 01.02</w:t>
      </w:r>
      <w:bookmarkEnd w:id="1391"/>
    </w:p>
    <w:p w14:paraId="5340CAE3" w14:textId="77777777" w:rsidR="004B2808" w:rsidRDefault="00000000">
      <w:pPr>
        <w:pStyle w:val="Author-eSectionHeading5Numberless"/>
      </w:pPr>
      <w:bookmarkStart w:id="1392" w:name="_Toc220491499"/>
      <w:r>
        <w:t>55.67.3 Caisson de système de ventilation ou de chauffage CCTB 01.02</w:t>
      </w:r>
      <w:bookmarkEnd w:id="1392"/>
    </w:p>
    <w:p w14:paraId="77B435D0" w14:textId="77777777" w:rsidR="004B2808" w:rsidRDefault="00000000">
      <w:pPr>
        <w:pStyle w:val="Author-eSectionHeading6Numberless"/>
      </w:pPr>
      <w:bookmarkStart w:id="1393" w:name="_Toc220491500"/>
      <w:r>
        <w:t>55.67.3a Caisson de système de ventilation ou de chauffage CCTB 01.02</w:t>
      </w:r>
      <w:bookmarkEnd w:id="1393"/>
    </w:p>
    <w:p w14:paraId="5781541D" w14:textId="77777777" w:rsidR="004B2808" w:rsidRDefault="00000000">
      <w:pPr>
        <w:pStyle w:val="Author-eSectionHeading5Numberless"/>
      </w:pPr>
      <w:bookmarkStart w:id="1394" w:name="_Toc220491501"/>
      <w:r>
        <w:t>55.67.4 Caisson à rideaux CCTB 01.11</w:t>
      </w:r>
      <w:bookmarkEnd w:id="1394"/>
    </w:p>
    <w:p w14:paraId="1784B793" w14:textId="77777777" w:rsidR="004B2808" w:rsidRDefault="00000000">
      <w:pPr>
        <w:pStyle w:val="pheading"/>
      </w:pPr>
      <w:r>
        <w:t>DESCRIPTION</w:t>
      </w:r>
    </w:p>
    <w:p w14:paraId="5983507A" w14:textId="77777777" w:rsidR="004B2808" w:rsidRDefault="00000000">
      <w:pPr>
        <w:pStyle w:val="pheading"/>
      </w:pPr>
      <w:r>
        <w:t>- Définition / Comprend</w:t>
      </w:r>
    </w:p>
    <w:p w14:paraId="1DB33C80" w14:textId="77777777" w:rsidR="004B2808" w:rsidRDefault="00000000">
      <w:r>
        <w:t>Cette rubrique comprend tous les éléments, travaux et fournitures, pour la réalisation des caisses à rideaux conformément aux indications sur les plans de détail et/ou dans le cahier spécial des charges afin d'obtenir un ouvrage parfaitement fini. Conformément aux dispositions générales et/ou spécifiques du cahier spécial des charges, les prix unitaires compris dans ces postes doivent toujours comprendre, soit selon la ventilation dans le métré récapitulatif, soit dans leur totalité :</w:t>
      </w:r>
    </w:p>
    <w:p w14:paraId="0024CEB9" w14:textId="77777777" w:rsidR="004B2808" w:rsidRDefault="00000000">
      <w:pPr>
        <w:pStyle w:val="Author-eListParagraph"/>
        <w:numPr>
          <w:ilvl w:val="0"/>
          <w:numId w:val="1281"/>
        </w:numPr>
      </w:pPr>
      <w:r>
        <w:t>le contrôle et le relevé sur place de toutes les dimensions et des éventuelles adaptations des éléments à préfabriquer aux dimensions réelles, l'établissement des plans d'exécution nécessaires,</w:t>
      </w:r>
    </w:p>
    <w:p w14:paraId="1F1B48FB" w14:textId="77777777" w:rsidR="004B2808" w:rsidRDefault="00000000">
      <w:pPr>
        <w:pStyle w:val="Author-eListParagraph"/>
        <w:numPr>
          <w:ilvl w:val="0"/>
          <w:numId w:val="1281"/>
        </w:numPr>
      </w:pPr>
      <w:r>
        <w:t>la fabrication en atelier, la fourniture, l'entreposage et la mise en place des caisses à rideaux, y compris tous les moyens de fixation, les rails de tentures et les coulisses, …;</w:t>
      </w:r>
    </w:p>
    <w:p w14:paraId="74CB7A62" w14:textId="77777777" w:rsidR="004B2808" w:rsidRDefault="00000000">
      <w:pPr>
        <w:pStyle w:val="Author-eListParagraph"/>
        <w:numPr>
          <w:ilvl w:val="0"/>
          <w:numId w:val="1281"/>
        </w:numPr>
      </w:pPr>
      <w:r>
        <w:t>la fixation cachée et la finition, y compris tous les raccords aux murs et/ou structures attenants, les retouches du plafonnage, le remplissage de joints, ...</w:t>
      </w:r>
    </w:p>
    <w:p w14:paraId="3D22E87B" w14:textId="77777777" w:rsidR="004B2808" w:rsidRDefault="00000000">
      <w:pPr>
        <w:pStyle w:val="Author-eListParagraph"/>
        <w:numPr>
          <w:ilvl w:val="0"/>
          <w:numId w:val="1281"/>
        </w:numPr>
      </w:pPr>
      <w:r>
        <w:t>l'évacuation de tous les déchets provenant des travaux, le nettoyage, …</w:t>
      </w:r>
    </w:p>
    <w:p w14:paraId="7F3D794B" w14:textId="77777777" w:rsidR="004B2808" w:rsidRDefault="00000000">
      <w:pPr>
        <w:pStyle w:val="pheading"/>
      </w:pPr>
      <w:r>
        <w:t>- Remarques importantes</w:t>
      </w:r>
    </w:p>
    <w:p w14:paraId="74631E71" w14:textId="77777777" w:rsidR="004B2808" w:rsidRDefault="00000000">
      <w:r>
        <w:lastRenderedPageBreak/>
        <w:t>Attention : les travaux de peinture sont prévus dans le chapitre 81 Travaux de peinture et de traitement intérieurs mais sont compris dans le prix unitaire.</w:t>
      </w:r>
    </w:p>
    <w:p w14:paraId="1993B9FB" w14:textId="77777777" w:rsidR="004B2808" w:rsidRDefault="00000000">
      <w:pPr>
        <w:pStyle w:val="pheading"/>
      </w:pPr>
      <w:r>
        <w:t>MATÉRIAUX</w:t>
      </w:r>
    </w:p>
    <w:p w14:paraId="53529F6F" w14:textId="77777777" w:rsidR="004B2808" w:rsidRDefault="00000000">
      <w:r>
        <w:t xml:space="preserve">L'humidité au cœur du bois à mettre en œuvre ne dépasse pas </w:t>
      </w:r>
      <w:r>
        <w:rPr>
          <w:rStyle w:val="optioncarChar"/>
        </w:rPr>
        <w:t>15</w:t>
      </w:r>
      <w:r>
        <w:t> (par défaut) </w:t>
      </w:r>
      <w:r>
        <w:rPr>
          <w:rStyle w:val="optioncarChar"/>
        </w:rPr>
        <w:t>/ ***</w:t>
      </w:r>
      <w:r>
        <w:t> %. Avant la mise en œuvre, le bois de menuiserie est traité sur toutes ses faces (procédé C1 selon les [STS 04 série] .33 ). Le procédé doit en outre être compatible avec la peinture de finition prévue. Les essences à utiliser sont :</w:t>
      </w:r>
    </w:p>
    <w:p w14:paraId="23BB4995" w14:textId="77777777" w:rsidR="004B2808" w:rsidRDefault="00000000">
      <w:r>
        <w:t>Choix opéré :</w:t>
      </w:r>
      <w:r>
        <w:rPr>
          <w:rStyle w:val="optioncarChar"/>
          <w:b/>
        </w:rPr>
        <w:t>*** / OPTION 1</w:t>
      </w:r>
      <w:r>
        <w:t> (par défaut) </w:t>
      </w:r>
      <w:r>
        <w:rPr>
          <w:rStyle w:val="optioncarChar"/>
          <w:b/>
        </w:rPr>
        <w:t>/ OPTION 2 / OPTION 3 / OPTION 4 / OPTION 5 / OPTION 6</w:t>
      </w:r>
    </w:p>
    <w:p w14:paraId="63028DF4" w14:textId="77777777" w:rsidR="004B2808" w:rsidRDefault="00000000">
      <w:r>
        <w:rPr>
          <w:b/>
        </w:rPr>
        <w:t>***OPTION 1</w:t>
      </w:r>
      <w:r>
        <w:t xml:space="preserve"> : </w:t>
      </w:r>
      <w:r>
        <w:rPr>
          <w:b/>
        </w:rPr>
        <w:t>Résineux indigène</w:t>
      </w:r>
      <w:r>
        <w:t xml:space="preserve"> au choix de l'entrepreneur parmi les espèces suivantes : sapin argenté n° 101, de qualité rabottable selon la [NBN EN 1611-1] . Le bois est exempt de cœur, d’aubier, de nœuds, d’entre-écorce, de fissures, de faux-coeurs accompagnés de pourriture, de double aubier, de bois de compression, de fractures d’abattage, de blessures, de piqûres, de trous de vers, de pourritures, d’échauffures, de moelle et de flaches. Le bois de cœur n'est pas admis.</w:t>
      </w:r>
      <w:r>
        <w:br/>
      </w:r>
      <w:r>
        <w:rPr>
          <w:b/>
        </w:rPr>
        <w:t xml:space="preserve">***OPTION 2 </w:t>
      </w:r>
      <w:r>
        <w:t xml:space="preserve">: </w:t>
      </w:r>
      <w:r>
        <w:rPr>
          <w:b/>
        </w:rPr>
        <w:t>PNG</w:t>
      </w:r>
      <w:r>
        <w:t xml:space="preserve"> (Pin du Nord), de 2ème qualité selon la [NBN EN 1611-1] , masse volumique d'au moins 500 kg/m3 pour une teneur en humidité de 15 %. Le bois est exempt de cœur, d’aubier, de nœuds, d’entre-écorce, de fissures, de faux-coeurs accompagnés de pourriture, de double aubier, de bois de compression, de fractures d’abattage, de blessures, de piqûres, de trous de vers, de pourritures, d’échauffures, de moelle et de flaches. Le bois de cœur n'est pas admis.</w:t>
      </w:r>
      <w:r>
        <w:br/>
      </w:r>
      <w:r>
        <w:rPr>
          <w:b/>
        </w:rPr>
        <w:t>***OPTION 3</w:t>
      </w:r>
      <w:r>
        <w:t xml:space="preserve"> : </w:t>
      </w:r>
      <w:r>
        <w:rPr>
          <w:b/>
        </w:rPr>
        <w:t>Dark Red Meranti</w:t>
      </w:r>
      <w:r>
        <w:t xml:space="preserve"> d'une masse volumique d'au moins 550 kg/m3 pour une teneur en humidité de 15%. Le bois est exempt de cœur, d’aubier, de nœuds, d’entre-écorce, de fissures, de faux-coeurs accompagnés de pourriture, de double aubier, de bois de compression, de fractures d’abattage, de blessures, de piqûres, de trous de vers, de pourritures, d’échauffures, de moelle et de flaches. Les petits trous provoqués par les insectes xylophages sont admis. Le bois mis en œuvre est à fibres droites (inclinaison maximum 5 %) selon les [STS 52.1]</w:t>
      </w:r>
      <w:r>
        <w:br/>
      </w:r>
      <w:r>
        <w:rPr>
          <w:b/>
        </w:rPr>
        <w:t xml:space="preserve">***OPTION 4 </w:t>
      </w:r>
      <w:r>
        <w:t xml:space="preserve">: </w:t>
      </w:r>
      <w:r>
        <w:rPr>
          <w:b/>
        </w:rPr>
        <w:t>MDF</w:t>
      </w:r>
      <w:r>
        <w:t xml:space="preserve">, masse volumique comprise entre 600 et 900 kg/m3 de type </w:t>
      </w:r>
      <w:r>
        <w:rPr>
          <w:rStyle w:val="optioncarChar"/>
        </w:rPr>
        <w:t>MDF</w:t>
      </w:r>
      <w:r>
        <w:t> (par défaut</w:t>
      </w:r>
      <w:r>
        <w:rPr>
          <w:rStyle w:val="optioncarChar"/>
        </w:rPr>
        <w:t xml:space="preserve">) / MDF.LA / MDF.H / MDF.HLS / *** </w:t>
      </w:r>
      <w:r>
        <w:rPr>
          <w:rStyle w:val="optioncarChar"/>
          <w:color w:val="000000"/>
        </w:rPr>
        <w:t>.</w:t>
      </w:r>
      <w:r>
        <w:br/>
      </w:r>
      <w:r>
        <w:rPr>
          <w:b/>
        </w:rPr>
        <w:t xml:space="preserve">***OPTION 5 </w:t>
      </w:r>
      <w:r>
        <w:t>: </w:t>
      </w:r>
      <w:r>
        <w:rPr>
          <w:b/>
        </w:rPr>
        <w:t>contreplaqué</w:t>
      </w:r>
      <w:r>
        <w:t xml:space="preserve">, classe d'utilisation </w:t>
      </w:r>
      <w:r>
        <w:rPr>
          <w:rStyle w:val="optioncarChar"/>
        </w:rPr>
        <w:t>I</w:t>
      </w:r>
      <w:r>
        <w:t> (par défaut)</w:t>
      </w:r>
      <w:r>
        <w:rPr>
          <w:rStyle w:val="optioncarChar"/>
        </w:rPr>
        <w:t xml:space="preserve"> / II / ***  </w:t>
      </w:r>
      <w:r>
        <w:t xml:space="preserve">(selon la norme </w:t>
      </w:r>
      <w:r>
        <w:rPr>
          <w:shd w:val="clear" w:color="auto" w:fill="FFFFFF"/>
        </w:rPr>
        <w:t>[CEN/TS 635-4] ),</w:t>
      </w:r>
      <w:r>
        <w:t xml:space="preserve"> placages selon les indications dans le cahier spécial des charges, ...</w:t>
      </w:r>
      <w:r>
        <w:br/>
      </w:r>
      <w:r>
        <w:rPr>
          <w:b/>
        </w:rPr>
        <w:t>***OPTION 6</w:t>
      </w:r>
      <w:r>
        <w:t xml:space="preserve"> : </w:t>
      </w:r>
      <w:r>
        <w:rPr>
          <w:b/>
        </w:rPr>
        <w:t>lameaux de particules </w:t>
      </w:r>
      <w:r>
        <w:rPr>
          <w:rStyle w:val="optioncarChar"/>
        </w:rPr>
        <w:t>P2</w:t>
      </w:r>
      <w:r>
        <w:t xml:space="preserve"> (par défaut) </w:t>
      </w:r>
      <w:r>
        <w:rPr>
          <w:rStyle w:val="optioncarChar"/>
        </w:rPr>
        <w:t xml:space="preserve">/ P3 / P4 / P5 / P6 / P7 / *** </w:t>
      </w:r>
      <w:r>
        <w:t>selon [NBN EN 312]</w:t>
      </w:r>
    </w:p>
    <w:p w14:paraId="740CA5A6" w14:textId="77777777" w:rsidR="004B2808" w:rsidRDefault="00000000">
      <w:r>
        <w:rPr>
          <w:i/>
          <w:u w:val="single"/>
        </w:rPr>
        <w:t xml:space="preserve">Attention </w:t>
      </w:r>
      <w:r>
        <w:br/>
        <w:t>Les plaques de plafond contre lesquelles les rails doivent être fixés ne peuvent pas être prévues en panneaux agglomérés, en raison d'une fixation moins durable des rails.</w:t>
      </w:r>
    </w:p>
    <w:p w14:paraId="243BD39B" w14:textId="77777777" w:rsidR="004B2808" w:rsidRDefault="00000000">
      <w:pPr>
        <w:pStyle w:val="pheading"/>
      </w:pPr>
      <w:r>
        <w:t>EXÉCUTION / MISE EN ŒUVRE</w:t>
      </w:r>
    </w:p>
    <w:p w14:paraId="2631B65B" w14:textId="77777777" w:rsidR="004B2808" w:rsidRDefault="00000000">
      <w:pPr>
        <w:pStyle w:val="Author-eListParagraph"/>
        <w:numPr>
          <w:ilvl w:val="0"/>
          <w:numId w:val="1282"/>
        </w:numPr>
      </w:pPr>
      <w:r>
        <w:t>L'entrepreneur soumet préalablement les dessins d'exécution nécessaires pour approbation.</w:t>
      </w:r>
    </w:p>
    <w:p w14:paraId="5C2D7AC1" w14:textId="77777777" w:rsidR="004B2808" w:rsidRDefault="00000000">
      <w:pPr>
        <w:pStyle w:val="Author-eListParagraph"/>
        <w:numPr>
          <w:ilvl w:val="0"/>
          <w:numId w:val="1282"/>
        </w:numPr>
      </w:pPr>
      <w:r>
        <w:t>L'entrepreneur propose un système de fixation des plaques entre elles et sur les murs, compte tenu des différentes sollicitations auxquelles l'ensemble est soumis en fonction du poids des tentures ou du pare-soleil et des sollicitations dues à l'ouverture et la fermeture des rideaux.</w:t>
      </w:r>
    </w:p>
    <w:p w14:paraId="57CB12B5" w14:textId="77777777" w:rsidR="004B2808" w:rsidRDefault="00000000">
      <w:pPr>
        <w:pStyle w:val="Author-eListParagraph"/>
        <w:numPr>
          <w:ilvl w:val="0"/>
          <w:numId w:val="1282"/>
        </w:numPr>
      </w:pPr>
      <w:r>
        <w:t>Les moyens de fixation sont prévus pour une mise en œuvre solide contre le mur et/ou le plafond : si nécessaire, l'entrepreneur doit prévoir des cornières galvanisées (au moins tous les 60 cm et/ou deux par caisse à rideaux) afin que l'ensemble ne puisse pas se déformer.</w:t>
      </w:r>
    </w:p>
    <w:p w14:paraId="2499865E" w14:textId="77777777" w:rsidR="004B2808" w:rsidRDefault="00000000">
      <w:pPr>
        <w:pStyle w:val="Author-eListParagraph"/>
        <w:numPr>
          <w:ilvl w:val="0"/>
          <w:numId w:val="1282"/>
        </w:numPr>
      </w:pPr>
      <w:r>
        <w:t>Lorsque des encadrements de fenêtre sont prévus, les caisses à rideaux doivent s'intégrer avec ceux-ci afin de former un ensemble harmonieux.</w:t>
      </w:r>
    </w:p>
    <w:p w14:paraId="30C48B1B" w14:textId="77777777" w:rsidR="004B2808" w:rsidRDefault="00000000">
      <w:pPr>
        <w:pStyle w:val="Author-eListParagraph"/>
        <w:numPr>
          <w:ilvl w:val="0"/>
          <w:numId w:val="1282"/>
        </w:numPr>
      </w:pPr>
      <w:r>
        <w:t>La plaque supérieure horizontale s'insère entre les deux planches latérales et doit garantir une fixation solide des rails de rideaux. On évite autant que possible les joints transversaux. Les planches verticales sont toujours posées à onglet et sont d'un seul tenant. Au droit des inévitables joints bout-à-bout, les panneaux sont parfaitement jointifs et plans, assemblés à l'aide de chevilles en bois embrevées et collées. Les traits de scies visibles sont éventuellement revêtus d'une feuille de placage. Les joints longitudinaux entre les plaques et les murs sont biseautés afin de créer un joint marqué.</w:t>
      </w:r>
    </w:p>
    <w:p w14:paraId="7F19652B" w14:textId="77777777" w:rsidR="004B2808" w:rsidRDefault="00000000">
      <w:pPr>
        <w:pStyle w:val="Author-eListParagraph"/>
        <w:numPr>
          <w:ilvl w:val="0"/>
          <w:numId w:val="1282"/>
        </w:numPr>
      </w:pPr>
      <w:r>
        <w:lastRenderedPageBreak/>
        <w:t>Les joints entre la caisse à rideaux, le mur et le plafond sont obturés à l'aide de silicones appropriés prêts à peindre. Toutes les fixations sont invisibles (les cornières galvanisées sont achevées dans le plafonnage, les vis chromées ou en acier inoxydable noyées sont cachées par des capuchons en PVC, les trous de clous sont bouchés avec de la pâte de bois).</w:t>
      </w:r>
    </w:p>
    <w:p w14:paraId="0C4B2513" w14:textId="77777777" w:rsidR="004B2808" w:rsidRDefault="00000000">
      <w:pPr>
        <w:pStyle w:val="Author-eListParagraph"/>
        <w:numPr>
          <w:ilvl w:val="0"/>
          <w:numId w:val="1282"/>
        </w:numPr>
      </w:pPr>
      <w:r>
        <w:t>S'ils sont spécifiés, deux rails en aluminium ou PVC en forme de sont fixés dans les caisses à rideaux; au centre, ils se croisent sur une dizaine de cm au moins. Les rails sont embrevés dans la planche et fixés solidement à l'aide de vis. D'un côté, on laisse suffisamment de place afin de pouvoir insérer les galets dans les rails. Aux extrémités, les rails sont pourvus d'abouts amovibles en matière synthétique. Une douzaine de galets en Nylon sont prévus par mètre courant de rail (soit au moins une roulette par 10 cm).</w:t>
      </w:r>
    </w:p>
    <w:p w14:paraId="39DA0685" w14:textId="77777777" w:rsidR="004B2808" w:rsidRDefault="00000000">
      <w:pPr>
        <w:pStyle w:val="Author-eSectionHeading6Numberless"/>
      </w:pPr>
      <w:bookmarkStart w:id="1395" w:name="_Toc220491502"/>
      <w:r>
        <w:t>55.67.4a Caisson à rideaux en bois CCTB 01.10</w:t>
      </w:r>
      <w:bookmarkEnd w:id="1395"/>
    </w:p>
    <w:p w14:paraId="7C38F421" w14:textId="77777777" w:rsidR="004B2808" w:rsidRDefault="00000000">
      <w:pPr>
        <w:pStyle w:val="pheading"/>
      </w:pPr>
      <w:r>
        <w:t>MATÉRIAUX</w:t>
      </w:r>
    </w:p>
    <w:p w14:paraId="2FFA91B2" w14:textId="77777777" w:rsidR="004B2808" w:rsidRDefault="00000000">
      <w:pPr>
        <w:pStyle w:val="pheading"/>
      </w:pPr>
      <w:r>
        <w:t>- Caractéristiques générales</w:t>
      </w:r>
    </w:p>
    <w:p w14:paraId="3AB42F4F" w14:textId="77777777" w:rsidR="004B2808" w:rsidRDefault="00000000">
      <w:pPr>
        <w:pStyle w:val="heading"/>
      </w:pPr>
      <w:r>
        <w:t>Spécifications</w:t>
      </w:r>
    </w:p>
    <w:p w14:paraId="2D87B4C7" w14:textId="77777777" w:rsidR="004B2808" w:rsidRDefault="00000000">
      <w:pPr>
        <w:pStyle w:val="Author-eListParagraph"/>
        <w:numPr>
          <w:ilvl w:val="0"/>
          <w:numId w:val="1283"/>
        </w:numPr>
      </w:pPr>
      <w:r>
        <w:t xml:space="preserve">Matériau des plaques : </w:t>
      </w:r>
      <w:r>
        <w:rPr>
          <w:rStyle w:val="optioncarChar"/>
        </w:rPr>
        <w:t>MDF</w:t>
      </w:r>
      <w:r>
        <w:t xml:space="preserve"> (par défaut)</w:t>
      </w:r>
      <w:r>
        <w:rPr>
          <w:rStyle w:val="optioncarChar"/>
        </w:rPr>
        <w:t> / Pin du Nord (PNG) / Résineux indigène / Dark Red Meranti /WBP contreplaqué / ***</w:t>
      </w:r>
      <w:r>
        <w:t>, classe d'utilisation</w:t>
      </w:r>
      <w:r>
        <w:rPr>
          <w:rStyle w:val="optioncarChar"/>
        </w:rPr>
        <w:t xml:space="preserve"> I / II</w:t>
      </w:r>
      <w:r>
        <w:t>, placage </w:t>
      </w:r>
      <w:r>
        <w:rPr>
          <w:rStyle w:val="optioncarChar"/>
        </w:rPr>
        <w:t>feuillu (par défaut) / ***</w:t>
      </w:r>
      <w:r>
        <w:t xml:space="preserve"> , </w:t>
      </w:r>
      <w:r>
        <w:rPr>
          <w:rStyle w:val="optioncarChar"/>
        </w:rPr>
        <w:t>panneaux de particules</w:t>
      </w:r>
      <w:r>
        <w:t> (par défaut)</w:t>
      </w:r>
      <w:r>
        <w:rPr>
          <w:rStyle w:val="optioncarChar"/>
        </w:rPr>
        <w:t> / ***</w:t>
      </w:r>
    </w:p>
    <w:p w14:paraId="4A2F1048" w14:textId="77777777" w:rsidR="004B2808" w:rsidRDefault="00000000">
      <w:pPr>
        <w:pStyle w:val="Author-eListParagraph"/>
        <w:numPr>
          <w:ilvl w:val="0"/>
          <w:numId w:val="1283"/>
        </w:numPr>
      </w:pPr>
      <w:r>
        <w:t xml:space="preserve">Les panneaux de particules sont de type </w:t>
      </w:r>
      <w:r>
        <w:rPr>
          <w:rStyle w:val="optioncarChar"/>
        </w:rPr>
        <w:t>P2</w:t>
      </w:r>
      <w:r>
        <w:t xml:space="preserve"> (par défaut) </w:t>
      </w:r>
      <w:r>
        <w:rPr>
          <w:rStyle w:val="optioncarChar"/>
        </w:rPr>
        <w:t xml:space="preserve">/ P3 / P4 / P5 / P6 / P7 / *** </w:t>
      </w:r>
      <w:r>
        <w:t>selon [NBN EN 312] .</w:t>
      </w:r>
    </w:p>
    <w:p w14:paraId="0A9079C5" w14:textId="77777777" w:rsidR="004B2808" w:rsidRDefault="00000000">
      <w:pPr>
        <w:pStyle w:val="Author-eListParagraph"/>
        <w:numPr>
          <w:ilvl w:val="0"/>
          <w:numId w:val="1283"/>
        </w:numPr>
      </w:pPr>
      <w:r>
        <w:t xml:space="preserve">Les panneaux de contreplaqué sont résistant à l'humidité selon </w:t>
      </w:r>
      <w:r>
        <w:rPr>
          <w:shd w:val="clear" w:color="auto" w:fill="FFFFFF"/>
        </w:rPr>
        <w:t>[NBN EN 636+A1]</w:t>
      </w:r>
    </w:p>
    <w:p w14:paraId="639C2559" w14:textId="77777777" w:rsidR="004B2808" w:rsidRDefault="00000000">
      <w:pPr>
        <w:pStyle w:val="Author-eListParagraph"/>
        <w:numPr>
          <w:ilvl w:val="0"/>
          <w:numId w:val="1283"/>
        </w:numPr>
      </w:pPr>
      <w:r>
        <w:t xml:space="preserve">Les panneaux de contreplaqué ne sont pas résistant à l'humidité </w:t>
      </w:r>
      <w:r>
        <w:rPr>
          <w:shd w:val="clear" w:color="auto" w:fill="FFFFFF"/>
        </w:rPr>
        <w:t>[NBN EN 636+A1]</w:t>
      </w:r>
    </w:p>
    <w:p w14:paraId="7851BCAB" w14:textId="77777777" w:rsidR="004B2808" w:rsidRDefault="00000000">
      <w:pPr>
        <w:pStyle w:val="Author-eListParagraph"/>
        <w:numPr>
          <w:ilvl w:val="0"/>
          <w:numId w:val="1283"/>
        </w:numPr>
      </w:pPr>
      <w:r>
        <w:t xml:space="preserve">Les panneaux MDF sont de type </w:t>
      </w:r>
      <w:r>
        <w:rPr>
          <w:rStyle w:val="optioncarChar"/>
        </w:rPr>
        <w:t>MDF</w:t>
      </w:r>
      <w:r>
        <w:t xml:space="preserve"> (par défaut) </w:t>
      </w:r>
      <w:r>
        <w:rPr>
          <w:rStyle w:val="optioncarChar"/>
        </w:rPr>
        <w:t>/ MDF.LA / MDF.H / MDF.HLS / *** </w:t>
      </w:r>
    </w:p>
    <w:p w14:paraId="72BFD731" w14:textId="77777777" w:rsidR="004B2808" w:rsidRDefault="00000000">
      <w:pPr>
        <w:pStyle w:val="Author-eListParagraph"/>
        <w:numPr>
          <w:ilvl w:val="0"/>
          <w:numId w:val="1283"/>
        </w:numPr>
      </w:pPr>
      <w:r>
        <w:t xml:space="preserve">Epaisseur : minimum </w:t>
      </w:r>
      <w:r>
        <w:rPr>
          <w:rStyle w:val="optioncarChar"/>
        </w:rPr>
        <w:t>16</w:t>
      </w:r>
      <w:r>
        <w:t> (par défaut)</w:t>
      </w:r>
      <w:r>
        <w:rPr>
          <w:rStyle w:val="optioncarChar"/>
        </w:rPr>
        <w:t xml:space="preserve"> / 18 / 20 / 22 / ***</w:t>
      </w:r>
      <w:r>
        <w:t xml:space="preserve"> mm</w:t>
      </w:r>
    </w:p>
    <w:p w14:paraId="44AF625E" w14:textId="77777777" w:rsidR="004B2808" w:rsidRDefault="00000000">
      <w:pPr>
        <w:pStyle w:val="Author-eListParagraph"/>
        <w:numPr>
          <w:ilvl w:val="0"/>
          <w:numId w:val="1283"/>
        </w:numPr>
      </w:pPr>
      <w:r>
        <w:t xml:space="preserve">Finition : à peindre selon l'article </w:t>
      </w:r>
      <w:r>
        <w:rPr>
          <w:rStyle w:val="optioncarChar"/>
        </w:rPr>
        <w:t>revêtu de mélamine</w:t>
      </w:r>
      <w:r>
        <w:t> (par défaut)</w:t>
      </w:r>
      <w:r>
        <w:rPr>
          <w:rStyle w:val="optioncarChar"/>
        </w:rPr>
        <w:t> / ***</w:t>
      </w:r>
      <w:r>
        <w:t xml:space="preserve">, classe </w:t>
      </w:r>
      <w:r>
        <w:rPr>
          <w:rStyle w:val="optioncarChar"/>
        </w:rPr>
        <w:t xml:space="preserve">HPL-EN 438-S333 </w:t>
      </w:r>
      <w:r>
        <w:t>(par défaut) </w:t>
      </w:r>
      <w:r>
        <w:rPr>
          <w:rStyle w:val="optioncarChar"/>
        </w:rPr>
        <w:t>/ P222 / ***</w:t>
      </w:r>
      <w:r>
        <w:t xml:space="preserve">, épaisseur </w:t>
      </w:r>
      <w:r>
        <w:rPr>
          <w:rStyle w:val="optioncarChar"/>
        </w:rPr>
        <w:t>0,8</w:t>
      </w:r>
      <w:r>
        <w:t> (par défaut) </w:t>
      </w:r>
      <w:r>
        <w:rPr>
          <w:rStyle w:val="optioncarChar"/>
        </w:rPr>
        <w:t>/ ***</w:t>
      </w:r>
      <w:r>
        <w:t> mm</w:t>
      </w:r>
    </w:p>
    <w:p w14:paraId="175D9BD3" w14:textId="77777777" w:rsidR="004B2808" w:rsidRDefault="00000000">
      <w:pPr>
        <w:pStyle w:val="pheading"/>
      </w:pPr>
      <w:r>
        <w:t>- Prescriptions complémentaires</w:t>
      </w:r>
    </w:p>
    <w:p w14:paraId="7D2FA1CD" w14:textId="77777777" w:rsidR="004B2808" w:rsidRDefault="00000000">
      <w:r>
        <w:t>La plaque de contreplaqué est postformée sur</w:t>
      </w:r>
      <w:r>
        <w:rPr>
          <w:rStyle w:val="optioncarChar"/>
        </w:rPr>
        <w:t> 90</w:t>
      </w:r>
      <w:r>
        <w:t xml:space="preserve"> (par défaut) </w:t>
      </w:r>
      <w:r>
        <w:rPr>
          <w:rStyle w:val="optioncarChar"/>
        </w:rPr>
        <w:t>/ 180° / ***</w:t>
      </w:r>
    </w:p>
    <w:p w14:paraId="275F1F7F" w14:textId="77777777" w:rsidR="004B2808" w:rsidRDefault="00000000">
      <w:pPr>
        <w:pStyle w:val="pheading"/>
      </w:pPr>
      <w:r>
        <w:t>EXÉCUTION / MISE EN ŒUVRE</w:t>
      </w:r>
    </w:p>
    <w:p w14:paraId="074825E1" w14:textId="77777777" w:rsidR="004B2808" w:rsidRDefault="00000000">
      <w:pPr>
        <w:pStyle w:val="pheading"/>
      </w:pPr>
      <w:r>
        <w:t>- Prescriptions générales</w:t>
      </w:r>
    </w:p>
    <w:p w14:paraId="75E1DAF0" w14:textId="77777777" w:rsidR="004B2808" w:rsidRDefault="00000000">
      <w:pPr>
        <w:pStyle w:val="Author-eListParagraph"/>
        <w:numPr>
          <w:ilvl w:val="0"/>
          <w:numId w:val="1284"/>
        </w:numPr>
      </w:pPr>
      <w:r>
        <w:t xml:space="preserve">Les caisses à rideaux se composent d'une plaque horizontale au plafond et de </w:t>
      </w:r>
      <w:r>
        <w:rPr>
          <w:rStyle w:val="optioncarChar"/>
        </w:rPr>
        <w:t>une planche</w:t>
      </w:r>
      <w:r>
        <w:t> (par défaut)</w:t>
      </w:r>
      <w:r>
        <w:rPr>
          <w:rStyle w:val="optioncarChar"/>
        </w:rPr>
        <w:t xml:space="preserve"> / deux planches / *** </w:t>
      </w:r>
      <w:r>
        <w:t>verticales parallèles. Les faces vues des caisses rideaux sont parachevées jointivement. Les planches sont assemblées selon la proposition de l'entrepreneur qui doit tenir compte des sollicitations. Toutes les fixations sont cachées, les trous de clous sont bouchés à la pâte de bois.</w:t>
      </w:r>
    </w:p>
    <w:p w14:paraId="74991DD9" w14:textId="77777777" w:rsidR="004B2808" w:rsidRDefault="00000000">
      <w:pPr>
        <w:pStyle w:val="Author-eListParagraph"/>
        <w:numPr>
          <w:ilvl w:val="0"/>
          <w:numId w:val="1284"/>
        </w:numPr>
      </w:pPr>
      <w:r>
        <w:t xml:space="preserve">Les caisses à rideaux sont solidement fixées au </w:t>
      </w:r>
      <w:r>
        <w:rPr>
          <w:rStyle w:val="optioncarChar"/>
        </w:rPr>
        <w:t>mur</w:t>
      </w:r>
      <w:r>
        <w:t xml:space="preserve"> (par défaut)</w:t>
      </w:r>
      <w:r>
        <w:rPr>
          <w:rStyle w:val="optioncarChar"/>
        </w:rPr>
        <w:t> / plafond / ***</w:t>
      </w:r>
      <w:r>
        <w:t xml:space="preserve"> , et :</w:t>
      </w:r>
    </w:p>
    <w:p w14:paraId="311B06FE" w14:textId="77777777" w:rsidR="004B2808" w:rsidRDefault="00000000">
      <w:pPr>
        <w:ind w:left="450"/>
      </w:pPr>
      <w:r>
        <w:t xml:space="preserve">Choix opéré : </w:t>
      </w:r>
      <w:r>
        <w:rPr>
          <w:rStyle w:val="optioncarChar"/>
          <w:b/>
        </w:rPr>
        <w:t>*** / OPTION 1</w:t>
      </w:r>
      <w:r>
        <w:t> (par défaut)</w:t>
      </w:r>
      <w:r>
        <w:rPr>
          <w:rStyle w:val="optioncarChar"/>
          <w:b/>
        </w:rPr>
        <w:t xml:space="preserve"> / OPTION 2</w:t>
      </w:r>
    </w:p>
    <w:p w14:paraId="74E80D2C" w14:textId="77777777" w:rsidR="004B2808" w:rsidRDefault="00000000">
      <w:pPr>
        <w:ind w:left="450"/>
      </w:pPr>
      <w:r>
        <w:rPr>
          <w:b/>
        </w:rPr>
        <w:t xml:space="preserve">***OPTION 1 </w:t>
      </w:r>
      <w:r>
        <w:t>: disposées symétriquement devant la baie de fenêtre, plus 20 cm de débordement pour les dimensions dans l'œuvre jusqu'  à 120 cm et plus 30 cm de débordement de part et d'autre pour les fenêtres d'une largeur jusqu'à 240 cm. </w:t>
      </w:r>
      <w:r>
        <w:br/>
      </w:r>
      <w:r>
        <w:rPr>
          <w:b/>
        </w:rPr>
        <w:t>***OPTION 2</w:t>
      </w:r>
      <w:r>
        <w:t xml:space="preserve"> : disposées de mur à mur sur toute la largeur de la pièce.</w:t>
      </w:r>
    </w:p>
    <w:p w14:paraId="054E3518" w14:textId="77777777" w:rsidR="004B2808" w:rsidRDefault="00000000">
      <w:pPr>
        <w:pStyle w:val="Author-eListParagraph"/>
        <w:numPr>
          <w:ilvl w:val="0"/>
          <w:numId w:val="1285"/>
        </w:numPr>
      </w:pPr>
      <w:r>
        <w:t xml:space="preserve">Dimensions des caisses à rideaux (lxh) : environ </w:t>
      </w:r>
      <w:r>
        <w:rPr>
          <w:rStyle w:val="optioncarChar"/>
        </w:rPr>
        <w:t>150 x 100 mm / conformément aux dessins de détail / ***.</w:t>
      </w:r>
      <w:r>
        <w:t> </w:t>
      </w:r>
    </w:p>
    <w:p w14:paraId="2457809C" w14:textId="77777777" w:rsidR="004B2808" w:rsidRDefault="00000000">
      <w:pPr>
        <w:pStyle w:val="pheading"/>
      </w:pPr>
      <w:r>
        <w:t>- Notes d’exécution complémentaires</w:t>
      </w:r>
    </w:p>
    <w:p w14:paraId="4BED9E90" w14:textId="77777777" w:rsidR="004B2808" w:rsidRDefault="00000000">
      <w:r>
        <w:t xml:space="preserve">Toutes les caisses à rideaux sont d'office équipées de </w:t>
      </w:r>
      <w:r>
        <w:rPr>
          <w:rStyle w:val="optioncarChar"/>
        </w:rPr>
        <w:t>un rail</w:t>
      </w:r>
      <w:r>
        <w:t> (par défaut)</w:t>
      </w:r>
      <w:r>
        <w:rPr>
          <w:rStyle w:val="optioncarChar"/>
        </w:rPr>
        <w:t xml:space="preserve"> / deux rails / ***</w:t>
      </w:r>
      <w:r>
        <w:t xml:space="preserve"> en forme de U embrevés en</w:t>
      </w:r>
      <w:r>
        <w:rPr>
          <w:rStyle w:val="optioncarChar"/>
        </w:rPr>
        <w:t> aluminium</w:t>
      </w:r>
      <w:r>
        <w:t> (par défaut)</w:t>
      </w:r>
      <w:r>
        <w:rPr>
          <w:rStyle w:val="optioncarChar"/>
        </w:rPr>
        <w:t xml:space="preserve"> / PVC / ***</w:t>
      </w:r>
      <w:r>
        <w:t xml:space="preserve"> avec leurs galets en Nylon.</w:t>
      </w:r>
      <w:r>
        <w:br/>
        <w:t xml:space="preserve">Lorsque la distance entre une caisse à rideaux et une autre ou entre une caisse à rideaux et le mur </w:t>
      </w:r>
      <w:r>
        <w:lastRenderedPageBreak/>
        <w:t>est inférieure à 50 cm, cette caisse à rideaux est prolongée jusqu'au l'autre ou jusqu'au mur.</w:t>
      </w:r>
      <w:r>
        <w:br/>
        <w:t xml:space="preserve">Largeurs supérieures à </w:t>
      </w:r>
      <w:r>
        <w:rPr>
          <w:rStyle w:val="optioncarChar"/>
        </w:rPr>
        <w:t>150</w:t>
      </w:r>
      <w:r>
        <w:t> (par défaut)</w:t>
      </w:r>
      <w:r>
        <w:rPr>
          <w:rStyle w:val="optioncarChar"/>
        </w:rPr>
        <w:t> / ***</w:t>
      </w:r>
      <w:r>
        <w:t xml:space="preserve"> cm, sont prévues jusqu'au plafond.</w:t>
      </w:r>
    </w:p>
    <w:p w14:paraId="75E8D57F" w14:textId="77777777" w:rsidR="004B2808" w:rsidRDefault="00000000">
      <w:pPr>
        <w:pStyle w:val="pheading"/>
      </w:pPr>
      <w:r>
        <w:t>MESURAGE</w:t>
      </w:r>
    </w:p>
    <w:p w14:paraId="00536B84" w14:textId="77777777" w:rsidR="004B2808" w:rsidRDefault="00000000">
      <w:r>
        <w:t>Conformément aux indications spécifiques dans le cahier spécial des charges et/ou le métré récapitulatif, le mesurage doit être conçu comme suit :</w:t>
      </w:r>
    </w:p>
    <w:p w14:paraId="1B505C88" w14:textId="77777777" w:rsidR="004B2808" w:rsidRDefault="00000000">
      <w:pPr>
        <w:pStyle w:val="pheading"/>
      </w:pPr>
      <w:r>
        <w:t>- unité de mesure:</w:t>
      </w:r>
    </w:p>
    <w:p w14:paraId="74FA7C03" w14:textId="77777777" w:rsidR="004B2808" w:rsidRDefault="00000000">
      <w:r>
        <w:t>m</w:t>
      </w:r>
    </w:p>
    <w:p w14:paraId="48746691" w14:textId="77777777" w:rsidR="004B2808" w:rsidRDefault="00000000">
      <w:pPr>
        <w:pStyle w:val="pheading"/>
      </w:pPr>
      <w:r>
        <w:t>- code de mesurage:</w:t>
      </w:r>
    </w:p>
    <w:p w14:paraId="348F9CAC" w14:textId="77777777" w:rsidR="004B2808" w:rsidRDefault="00000000">
      <w:r>
        <w:t>Eventuellement selon le type, la nature et/ou la composition, longueur nette à exécuter, indépendamment des dimensions.</w:t>
      </w:r>
    </w:p>
    <w:p w14:paraId="047A3DB7" w14:textId="77777777" w:rsidR="004B2808" w:rsidRDefault="00000000">
      <w:pPr>
        <w:pStyle w:val="pheading"/>
      </w:pPr>
      <w:r>
        <w:t>- nature du marché:</w:t>
      </w:r>
    </w:p>
    <w:p w14:paraId="609E570B" w14:textId="77777777" w:rsidR="004B2808" w:rsidRDefault="00000000">
      <w:r>
        <w:t>QF</w:t>
      </w:r>
    </w:p>
    <w:p w14:paraId="357E185D" w14:textId="77777777" w:rsidR="004B2808" w:rsidRDefault="00000000">
      <w:pPr>
        <w:pStyle w:val="Author-eSectionHeading6Numberless"/>
      </w:pPr>
      <w:bookmarkStart w:id="1396" w:name="_Toc220491503"/>
      <w:r>
        <w:t>55.67.4b Caisson à rideaux en matière synthétique CCTB 01.02</w:t>
      </w:r>
      <w:bookmarkEnd w:id="1396"/>
    </w:p>
    <w:p w14:paraId="417979AF" w14:textId="77777777" w:rsidR="004B2808" w:rsidRDefault="00000000">
      <w:pPr>
        <w:pStyle w:val="Author-eSectionHeading6Numberless"/>
      </w:pPr>
      <w:bookmarkStart w:id="1397" w:name="_Toc220491504"/>
      <w:r>
        <w:t>55.67.4c Caisson à rideaux (autres) CCTB 01.02</w:t>
      </w:r>
      <w:bookmarkEnd w:id="1397"/>
    </w:p>
    <w:p w14:paraId="6C3DF681" w14:textId="77777777" w:rsidR="004B2808" w:rsidRDefault="00000000">
      <w:pPr>
        <w:pStyle w:val="Author-eSectionHeading4Numberless"/>
      </w:pPr>
      <w:bookmarkStart w:id="1398" w:name="_Toc220491505"/>
      <w:r>
        <w:t>55.68 Ouvertures de transfert d'air CCTB 01.11</w:t>
      </w:r>
      <w:bookmarkEnd w:id="1398"/>
    </w:p>
    <w:p w14:paraId="20269B17" w14:textId="77777777" w:rsidR="004B2808" w:rsidRDefault="00000000">
      <w:pPr>
        <w:pStyle w:val="pheading"/>
      </w:pPr>
      <w:r>
        <w:t>EXÉCUTION / MISE EN ŒUVRE</w:t>
      </w:r>
    </w:p>
    <w:p w14:paraId="04188E50" w14:textId="77777777" w:rsidR="004B2808" w:rsidRDefault="00000000">
      <w:r>
        <w:t>La norme [NBN D 50-001] "Dispositifs de ventilation dans les bâtiments d'habitation", (ratifiée par Arrêté Royal du 17 janvier, MB 06.06.1992) est d'application sur tous les projets d'habitations sociales. Comme les habitations sociales se caractérisent par un volume réduit et, souvent, également par un taux d'occupation élevé, le degré d'humidité à l'intérieur risque d'être relativement élevé. Sans une isolation thermique soignée et des dispositifs de ventilation spécifiques, les risques de condensation superficielle et/ou d'apparition de moisissures sont réels. A cet effet, la norme sur la ventilation est intégralement d'application dans les nouvelles constructions et les travaux de rénovations importants. Pour les travaux de moindre importance, on vise toujours à améliorer les possibilités de ventilation (en prévoyant, par exemple, des grilles de ventilation dans la menuiserie extérieure).</w:t>
      </w:r>
    </w:p>
    <w:p w14:paraId="3D183515" w14:textId="77777777" w:rsidR="004B2808" w:rsidRDefault="00000000">
      <w:pPr>
        <w:pStyle w:val="heading"/>
      </w:pPr>
      <w:r>
        <w:t>Débit de Ventilation</w:t>
      </w:r>
    </w:p>
    <w:p w14:paraId="64B92BF0" w14:textId="77777777" w:rsidR="004B2808" w:rsidRDefault="00000000">
      <w:r>
        <w:t>La ventilation entend l’amenée, le transfert et l’extraction d’air. L’un ne peut être envisagé sans l’autre.</w:t>
      </w:r>
      <w:r>
        <w:br/>
        <w:t>Cet article traite du transfert d’air,</w:t>
      </w:r>
      <w:r>
        <w:br/>
        <w:t>L’amenée d’air est décrite au tome 4</w:t>
      </w:r>
      <w:r>
        <w:br/>
        <w:t>L’évacuation d’air décrite au tome 6</w:t>
      </w:r>
      <w:r>
        <w:br/>
        <w:t>Les débits de ventilation dans le tableau suivant sont donnés à titre indicatif en vue du dimensionnement des dispositifs de ventilation</w:t>
      </w:r>
    </w:p>
    <w:tbl>
      <w:tblPr>
        <w:tblStyle w:val="Author-eTableGrid"/>
        <w:tblW w:w="6105" w:type="dxa"/>
        <w:tblLayout w:type="fixed"/>
        <w:tblLook w:val="04A0" w:firstRow="1" w:lastRow="0" w:firstColumn="1" w:lastColumn="0" w:noHBand="0" w:noVBand="1"/>
      </w:tblPr>
      <w:tblGrid>
        <w:gridCol w:w="3052"/>
        <w:gridCol w:w="3053"/>
      </w:tblGrid>
      <w:tr w:rsidR="004B2808" w14:paraId="43636663" w14:textId="77777777">
        <w:tc>
          <w:tcPr>
            <w:tcW w:w="3045" w:type="dxa"/>
            <w:noWrap/>
          </w:tcPr>
          <w:p w14:paraId="2ED770B4" w14:textId="77777777" w:rsidR="004B2808" w:rsidRDefault="00000000">
            <w:pPr>
              <w:jc w:val="center"/>
            </w:pPr>
            <w:r>
              <w:t>Local</w:t>
            </w:r>
          </w:p>
        </w:tc>
        <w:tc>
          <w:tcPr>
            <w:tcW w:w="3045" w:type="dxa"/>
            <w:noWrap/>
          </w:tcPr>
          <w:p w14:paraId="1A0B6D0E" w14:textId="77777777" w:rsidR="004B2808" w:rsidRDefault="00000000">
            <w:pPr>
              <w:jc w:val="center"/>
            </w:pPr>
            <w:r>
              <w:t>Nominal m³/h</w:t>
            </w:r>
          </w:p>
        </w:tc>
      </w:tr>
      <w:tr w:rsidR="004B2808" w14:paraId="686E29A4" w14:textId="77777777">
        <w:tc>
          <w:tcPr>
            <w:tcW w:w="3045" w:type="dxa"/>
            <w:noWrap/>
          </w:tcPr>
          <w:p w14:paraId="575BB590" w14:textId="77777777" w:rsidR="004B2808" w:rsidRDefault="00000000">
            <w:pPr>
              <w:jc w:val="center"/>
            </w:pPr>
            <w:r>
              <w:t>Wc, Sdb, Douche, Cuisine ouverte, buanderie ou tout autre local « humide »</w:t>
            </w:r>
          </w:p>
        </w:tc>
        <w:tc>
          <w:tcPr>
            <w:tcW w:w="3045" w:type="dxa"/>
            <w:noWrap/>
          </w:tcPr>
          <w:p w14:paraId="745127BB" w14:textId="77777777" w:rsidR="004B2808" w:rsidRDefault="00000000">
            <w:pPr>
              <w:jc w:val="center"/>
            </w:pPr>
            <w:r>
              <w:t>25</w:t>
            </w:r>
          </w:p>
        </w:tc>
      </w:tr>
      <w:tr w:rsidR="004B2808" w14:paraId="3F079EE6" w14:textId="77777777">
        <w:tc>
          <w:tcPr>
            <w:tcW w:w="3045" w:type="dxa"/>
            <w:noWrap/>
          </w:tcPr>
          <w:p w14:paraId="65406A64" w14:textId="77777777" w:rsidR="004B2808" w:rsidRDefault="00000000">
            <w:pPr>
              <w:jc w:val="center"/>
            </w:pPr>
            <w:r>
              <w:t>Cuisine fermée</w:t>
            </w:r>
          </w:p>
        </w:tc>
        <w:tc>
          <w:tcPr>
            <w:tcW w:w="3045" w:type="dxa"/>
            <w:noWrap/>
          </w:tcPr>
          <w:p w14:paraId="733E7B28" w14:textId="77777777" w:rsidR="004B2808" w:rsidRDefault="00000000">
            <w:pPr>
              <w:jc w:val="center"/>
            </w:pPr>
            <w:r>
              <w:t>50</w:t>
            </w:r>
          </w:p>
        </w:tc>
      </w:tr>
    </w:tbl>
    <w:p w14:paraId="2267B0A7" w14:textId="77777777" w:rsidR="004B2808" w:rsidRDefault="00000000">
      <w:pPr>
        <w:pStyle w:val="pheading"/>
      </w:pPr>
      <w:r>
        <w:t>AIDE</w:t>
      </w:r>
    </w:p>
    <w:p w14:paraId="7EF0BB00" w14:textId="77777777" w:rsidR="004B2808" w:rsidRDefault="00000000">
      <w:r>
        <w:rPr>
          <w:i/>
          <w:u w:val="single"/>
        </w:rPr>
        <w:t>Note à l'auteur de projet :</w:t>
      </w:r>
      <w:r>
        <w:br/>
        <w:t>Afin d’assurer le passage d’air entre locaux, une ouverture de passage libre conforme à la [NBN D 50-001] peut être réalisée dans les parois, par une ouverture libre, ou par détalonnage des portes intérieures.</w:t>
      </w:r>
      <w:r>
        <w:br/>
        <w:t xml:space="preserve">Afin d’assurer 25 m³ de transfert d’air sous une pression de 2 pascal, 70 cm² de passage libre sont </w:t>
      </w:r>
      <w:r>
        <w:lastRenderedPageBreak/>
        <w:t>nécessaires.</w:t>
      </w:r>
      <w:r>
        <w:br/>
        <w:t>Si l’option du détalonnage des portes intérieures est sélectionnée, il y a lieu de le prescrire au sein du cahier des charges traitant des menuiseries intérieures</w:t>
      </w:r>
    </w:p>
    <w:p w14:paraId="7442E203" w14:textId="77777777" w:rsidR="004B2808" w:rsidRDefault="00000000">
      <w:pPr>
        <w:pStyle w:val="Author-eSectionHeading5Numberless"/>
      </w:pPr>
      <w:bookmarkStart w:id="1399" w:name="_Toc220491506"/>
      <w:r>
        <w:t>55.68.1 Grilles de transfert dans les portes CCTB 01.02</w:t>
      </w:r>
      <w:bookmarkEnd w:id="1399"/>
    </w:p>
    <w:p w14:paraId="44E58666" w14:textId="77777777" w:rsidR="004B2808" w:rsidRDefault="00000000">
      <w:pPr>
        <w:pStyle w:val="Author-eSectionHeading6Numberless"/>
      </w:pPr>
      <w:bookmarkStart w:id="1400" w:name="1322"/>
      <w:bookmarkStart w:id="1401" w:name="_Toc220491507"/>
      <w:bookmarkEnd w:id="1400"/>
      <w:r>
        <w:t>55.68.1a Grilles de transfert dans les portes CCTB 01.10</w:t>
      </w:r>
      <w:bookmarkEnd w:id="1401"/>
    </w:p>
    <w:p w14:paraId="3461D3E4" w14:textId="77777777" w:rsidR="004B2808" w:rsidRDefault="00000000">
      <w:pPr>
        <w:pStyle w:val="pheading"/>
      </w:pPr>
      <w:r>
        <w:t>DESCRIPTION</w:t>
      </w:r>
    </w:p>
    <w:p w14:paraId="280AADB1" w14:textId="77777777" w:rsidR="004B2808" w:rsidRDefault="00000000">
      <w:pPr>
        <w:pStyle w:val="pheading"/>
      </w:pPr>
      <w:r>
        <w:t>- Définition / Comprend</w:t>
      </w:r>
    </w:p>
    <w:p w14:paraId="3CB62D4D" w14:textId="77777777" w:rsidR="004B2808" w:rsidRDefault="00000000">
      <w:r>
        <w:t>Le transfert d’air est choisi en fonction de son débit nominal sous une pression de 2 Pa de manière à répondre au besoin de ventilation du local, conformément à la [NBN D 50-001]</w:t>
      </w:r>
    </w:p>
    <w:p w14:paraId="33F4C02F" w14:textId="77777777" w:rsidR="004B2808" w:rsidRDefault="00000000">
      <w:pPr>
        <w:pStyle w:val="pheading"/>
      </w:pPr>
      <w:r>
        <w:t>MATÉRIAUX</w:t>
      </w:r>
    </w:p>
    <w:p w14:paraId="4F7DA36A" w14:textId="77777777" w:rsidR="004B2808" w:rsidRDefault="00000000">
      <w:pPr>
        <w:pStyle w:val="pheading"/>
      </w:pPr>
      <w:r>
        <w:t>- Caractéristiques générales</w:t>
      </w:r>
    </w:p>
    <w:p w14:paraId="21F2F945" w14:textId="77777777" w:rsidR="004B2808" w:rsidRDefault="00000000">
      <w:r>
        <w:t xml:space="preserve">Grille en aluminium Al Mg Si 0,5 pourvue d'une isolation acoustique </w:t>
      </w:r>
      <w:r>
        <w:br/>
        <w:t>L'épaisseur minimale des profils en aluminium est de 1,5 mm .</w:t>
      </w:r>
    </w:p>
    <w:p w14:paraId="015184CB" w14:textId="77777777" w:rsidR="004B2808" w:rsidRDefault="00000000">
      <w:pPr>
        <w:pStyle w:val="pheading"/>
      </w:pPr>
      <w:r>
        <w:t>- Finitions</w:t>
      </w:r>
    </w:p>
    <w:p w14:paraId="2F60001E" w14:textId="77777777" w:rsidR="004B2808" w:rsidRDefault="00000000">
      <w:r>
        <w:t>Pour les grilles aluminium (épaisseur au moins 60 microns sur support chromaté) Finition :</w:t>
      </w:r>
      <w:r>
        <w:rPr>
          <w:rStyle w:val="optioncarChar"/>
        </w:rPr>
        <w:t> Anodisée</w:t>
      </w:r>
      <w:r>
        <w:t xml:space="preserve"> (par défaut) </w:t>
      </w:r>
      <w:r>
        <w:rPr>
          <w:rStyle w:val="optioncarChar"/>
        </w:rPr>
        <w:t>/ Laquée (teinte RAL et structure à préciser : *** ) / ***</w:t>
      </w:r>
      <w:r>
        <w:br/>
        <w:t xml:space="preserve">Pour les grilles en PVC (épaisseur au moins 60 microns sur support chromaté) Finition : </w:t>
      </w:r>
      <w:r>
        <w:rPr>
          <w:rStyle w:val="optioncarChar"/>
        </w:rPr>
        <w:t>PVC teinté dans la masse</w:t>
      </w:r>
      <w:r>
        <w:t> (par défaut)</w:t>
      </w:r>
      <w:r>
        <w:rPr>
          <w:rStyle w:val="optioncarChar"/>
        </w:rPr>
        <w:t xml:space="preserve"> / Laqué (teinte RAL et structure à préciser : ***) / Film PU / couleur / *** /  texture / ***</w:t>
      </w:r>
      <w:r>
        <w:t xml:space="preserve"> . </w:t>
      </w:r>
      <w:r>
        <w:br/>
        <w:t>Pour les grilles en acier (épaisseur au moins 60 microns sur support chromaté) Finition :</w:t>
      </w:r>
      <w:r>
        <w:rPr>
          <w:rStyle w:val="optioncarChar"/>
        </w:rPr>
        <w:t> inox</w:t>
      </w:r>
      <w:r>
        <w:t xml:space="preserve"> (par défaut) </w:t>
      </w:r>
      <w:r>
        <w:rPr>
          <w:rStyle w:val="optioncarChar"/>
        </w:rPr>
        <w:t>/ laqué.</w:t>
      </w:r>
    </w:p>
    <w:p w14:paraId="10F1445D" w14:textId="77777777" w:rsidR="004B2808" w:rsidRDefault="00000000">
      <w:pPr>
        <w:pStyle w:val="pheading"/>
      </w:pPr>
      <w:r>
        <w:t>EXÉCUTION / MISE EN ŒUVRE</w:t>
      </w:r>
    </w:p>
    <w:p w14:paraId="12D84B03" w14:textId="77777777" w:rsidR="004B2808" w:rsidRDefault="00000000">
      <w:pPr>
        <w:pStyle w:val="pheading"/>
      </w:pPr>
      <w:r>
        <w:t>- Prescriptions générales</w:t>
      </w:r>
    </w:p>
    <w:p w14:paraId="0EC27C29" w14:textId="77777777" w:rsidR="004B2808" w:rsidRDefault="00000000">
      <w:r>
        <w:t>La grille est fixée, de manière non-visible</w:t>
      </w:r>
      <w:r>
        <w:br/>
        <w:t>Type : Grille de porte destinée à la ventilation permanente</w:t>
      </w:r>
      <w:r>
        <w:br/>
        <w:t xml:space="preserve">Débit : Minimum </w:t>
      </w:r>
      <w:r>
        <w:rPr>
          <w:rStyle w:val="optioncarChar"/>
        </w:rPr>
        <w:t>25</w:t>
      </w:r>
      <w:r>
        <w:t> (par défaut)</w:t>
      </w:r>
      <w:r>
        <w:rPr>
          <w:rStyle w:val="optioncarChar"/>
        </w:rPr>
        <w:t> / *** </w:t>
      </w:r>
      <w:r>
        <w:t>m³/h  sous 2 Pa selon [NBN D 50-001]</w:t>
      </w:r>
    </w:p>
    <w:p w14:paraId="5621E65B" w14:textId="77777777" w:rsidR="004B2808" w:rsidRDefault="00000000">
      <w:pPr>
        <w:pStyle w:val="pheading"/>
      </w:pPr>
      <w:r>
        <w:t>MESURAGE</w:t>
      </w:r>
    </w:p>
    <w:p w14:paraId="6D8F0EC1" w14:textId="77777777" w:rsidR="004B2808" w:rsidRDefault="00000000">
      <w:pPr>
        <w:pStyle w:val="pheading"/>
      </w:pPr>
      <w:r>
        <w:t>- unité de mesure:</w:t>
      </w:r>
    </w:p>
    <w:p w14:paraId="2435F49B" w14:textId="77777777" w:rsidR="004B2808" w:rsidRDefault="00000000">
      <w:r>
        <w:t>p</w:t>
      </w:r>
    </w:p>
    <w:p w14:paraId="44F5A6C4" w14:textId="77777777" w:rsidR="004B2808" w:rsidRDefault="00000000">
      <w:pPr>
        <w:pStyle w:val="pheading"/>
      </w:pPr>
      <w:r>
        <w:t>- code de mesurage:</w:t>
      </w:r>
    </w:p>
    <w:p w14:paraId="1F0B797C" w14:textId="77777777" w:rsidR="004B2808" w:rsidRDefault="00000000">
      <w:r>
        <w:t>Selon les dimensions dans l’œuvre</w:t>
      </w:r>
    </w:p>
    <w:p w14:paraId="16403A14" w14:textId="77777777" w:rsidR="004B2808" w:rsidRDefault="00000000">
      <w:pPr>
        <w:pStyle w:val="pheading"/>
      </w:pPr>
      <w:r>
        <w:t>- nature du marché:</w:t>
      </w:r>
    </w:p>
    <w:p w14:paraId="3900D54D" w14:textId="77777777" w:rsidR="004B2808" w:rsidRDefault="00000000">
      <w:r>
        <w:t>QP</w:t>
      </w:r>
    </w:p>
    <w:p w14:paraId="7003C21D" w14:textId="77777777" w:rsidR="004B2808" w:rsidRDefault="00000000">
      <w:pPr>
        <w:pStyle w:val="Author-eSectionHeading5Numberless"/>
      </w:pPr>
      <w:bookmarkStart w:id="1402" w:name="_Toc220491508"/>
      <w:r>
        <w:t>55.68.2 Grilles de transfert dans les parois CCTB 01.02</w:t>
      </w:r>
      <w:bookmarkEnd w:id="1402"/>
    </w:p>
    <w:p w14:paraId="5B3AB5E4" w14:textId="77777777" w:rsidR="004B2808" w:rsidRDefault="00000000">
      <w:pPr>
        <w:pStyle w:val="Author-eSectionHeading6Numberless"/>
      </w:pPr>
      <w:bookmarkStart w:id="1403" w:name="_Toc220491509"/>
      <w:r>
        <w:t>55.68.2a Grilles de transfert dans les parois CCTB 01.10</w:t>
      </w:r>
      <w:bookmarkEnd w:id="1403"/>
    </w:p>
    <w:p w14:paraId="7660C045" w14:textId="77777777" w:rsidR="004B2808" w:rsidRDefault="00000000">
      <w:pPr>
        <w:pStyle w:val="pheading"/>
      </w:pPr>
      <w:r>
        <w:t>DESCRIPTION</w:t>
      </w:r>
    </w:p>
    <w:p w14:paraId="78BD0C1A" w14:textId="77777777" w:rsidR="004B2808" w:rsidRDefault="00000000">
      <w:pPr>
        <w:pStyle w:val="pheading"/>
      </w:pPr>
      <w:r>
        <w:t>- Définition / Comprend</w:t>
      </w:r>
    </w:p>
    <w:p w14:paraId="07863729" w14:textId="77777777" w:rsidR="004B2808" w:rsidRDefault="00000000">
      <w:r>
        <w:t>Le transfert d’air est choisi en fonction de son débit nominal sous une pression de 2 Pa de manière à répondre au besoin de ventilation du local, conformément à la [NBN D 50-001]</w:t>
      </w:r>
    </w:p>
    <w:p w14:paraId="42FEE128" w14:textId="77777777" w:rsidR="004B2808" w:rsidRDefault="00000000">
      <w:pPr>
        <w:pStyle w:val="pheading"/>
      </w:pPr>
      <w:r>
        <w:t>MATÉRIAUX</w:t>
      </w:r>
    </w:p>
    <w:p w14:paraId="47109D63" w14:textId="77777777" w:rsidR="004B2808" w:rsidRDefault="00000000">
      <w:pPr>
        <w:pStyle w:val="pheading"/>
      </w:pPr>
      <w:r>
        <w:t>- Caractéristiques générales</w:t>
      </w:r>
    </w:p>
    <w:p w14:paraId="6372C158" w14:textId="77777777" w:rsidR="004B2808" w:rsidRDefault="00000000">
      <w:r>
        <w:lastRenderedPageBreak/>
        <w:t xml:space="preserve">Grille en aluminium Al Mg Si 0,5 </w:t>
      </w:r>
      <w:r>
        <w:br/>
        <w:t>L'épaisseur minimale des profils en aluminium est de 1,5 mm .</w:t>
      </w:r>
    </w:p>
    <w:p w14:paraId="447039C4" w14:textId="77777777" w:rsidR="004B2808" w:rsidRDefault="00000000">
      <w:pPr>
        <w:pStyle w:val="pheading"/>
      </w:pPr>
      <w:r>
        <w:t>- Finitions</w:t>
      </w:r>
    </w:p>
    <w:p w14:paraId="2064E427" w14:textId="77777777" w:rsidR="004B2808" w:rsidRDefault="00000000">
      <w:r>
        <w:t>Aluminium : Finition :</w:t>
      </w:r>
      <w:r>
        <w:rPr>
          <w:rStyle w:val="optioncarChar"/>
        </w:rPr>
        <w:t> Anodisée </w:t>
      </w:r>
      <w:r>
        <w:t>(par défaut)</w:t>
      </w:r>
      <w:r>
        <w:rPr>
          <w:rStyle w:val="optioncarChar"/>
        </w:rPr>
        <w:t> / Laquée (teinte RAL et structure à préciser: ***) / ***</w:t>
      </w:r>
    </w:p>
    <w:p w14:paraId="59917EBD" w14:textId="77777777" w:rsidR="004B2808" w:rsidRDefault="00000000">
      <w:r>
        <w:t xml:space="preserve">PVC : Finition : </w:t>
      </w:r>
      <w:r>
        <w:rPr>
          <w:rStyle w:val="optioncarChar"/>
        </w:rPr>
        <w:t>PVC teinté dans la masse </w:t>
      </w:r>
      <w:r>
        <w:t>(par défaut)</w:t>
      </w:r>
      <w:r>
        <w:rPr>
          <w:rStyle w:val="optioncarChar"/>
        </w:rPr>
        <w:t xml:space="preserve"> / laqué (RAL*** / ***) / film PU (RAL *** / texture / ***)</w:t>
      </w:r>
    </w:p>
    <w:p w14:paraId="3DB7F8F2" w14:textId="77777777" w:rsidR="004B2808" w:rsidRDefault="00000000">
      <w:r>
        <w:t xml:space="preserve">Acier : Finition : </w:t>
      </w:r>
      <w:r>
        <w:rPr>
          <w:rStyle w:val="optioncarChar"/>
        </w:rPr>
        <w:t>inox</w:t>
      </w:r>
      <w:r>
        <w:t> (par défaut)</w:t>
      </w:r>
      <w:r>
        <w:rPr>
          <w:rStyle w:val="optioncarChar"/>
        </w:rPr>
        <w:t xml:space="preserve"> / laqué (RAL ***) / ***</w:t>
      </w:r>
    </w:p>
    <w:p w14:paraId="55D61F0C" w14:textId="77777777" w:rsidR="004B2808" w:rsidRDefault="00000000">
      <w:pPr>
        <w:pStyle w:val="pheading"/>
      </w:pPr>
      <w:r>
        <w:t>EXÉCUTION / MISE EN ŒUVRE</w:t>
      </w:r>
    </w:p>
    <w:p w14:paraId="127205F9" w14:textId="77777777" w:rsidR="004B2808" w:rsidRDefault="00000000">
      <w:pPr>
        <w:pStyle w:val="pheading"/>
      </w:pPr>
      <w:r>
        <w:t>- Prescriptions générales</w:t>
      </w:r>
    </w:p>
    <w:p w14:paraId="3B5BE98A" w14:textId="77777777" w:rsidR="004B2808" w:rsidRDefault="00000000">
      <w:r>
        <w:t>Type : Grille murale de ventilation réglable</w:t>
      </w:r>
    </w:p>
    <w:p w14:paraId="501B22EE" w14:textId="77777777" w:rsidR="004B2808" w:rsidRDefault="00000000">
      <w:r>
        <w:t>Débit : Répondant à la [NBN D 50-001] , Le débit de la grille est fonction de son passage physique libre qui est justifié par la fourniture de la fiche technique du produit sélectionné.</w:t>
      </w:r>
    </w:p>
    <w:p w14:paraId="3C17EF76" w14:textId="77777777" w:rsidR="004B2808" w:rsidRDefault="00000000">
      <w:pPr>
        <w:pStyle w:val="pheading"/>
      </w:pPr>
      <w:r>
        <w:t>MESURAGE</w:t>
      </w:r>
    </w:p>
    <w:p w14:paraId="7D4A4407" w14:textId="77777777" w:rsidR="004B2808" w:rsidRDefault="00000000">
      <w:pPr>
        <w:pStyle w:val="pheading"/>
      </w:pPr>
      <w:r>
        <w:t>- unité de mesure:</w:t>
      </w:r>
    </w:p>
    <w:p w14:paraId="2520A94B" w14:textId="77777777" w:rsidR="004B2808" w:rsidRDefault="00000000">
      <w:r>
        <w:t>p</w:t>
      </w:r>
    </w:p>
    <w:p w14:paraId="710B79AF" w14:textId="77777777" w:rsidR="004B2808" w:rsidRDefault="00000000">
      <w:pPr>
        <w:pStyle w:val="pheading"/>
      </w:pPr>
      <w:r>
        <w:t>- code de mesurage:</w:t>
      </w:r>
    </w:p>
    <w:p w14:paraId="60482DCD" w14:textId="77777777" w:rsidR="004B2808" w:rsidRDefault="00000000">
      <w:r>
        <w:t>Selon les dimensions dans l’œuvre</w:t>
      </w:r>
    </w:p>
    <w:p w14:paraId="4C11FBCC" w14:textId="77777777" w:rsidR="004B2808" w:rsidRDefault="00000000">
      <w:pPr>
        <w:pStyle w:val="pheading"/>
      </w:pPr>
      <w:r>
        <w:t>- nature du marché:</w:t>
      </w:r>
    </w:p>
    <w:p w14:paraId="68F59148" w14:textId="77777777" w:rsidR="004B2808" w:rsidRDefault="00000000">
      <w:r>
        <w:t>QP</w:t>
      </w:r>
    </w:p>
    <w:p w14:paraId="2FD35EA2" w14:textId="77777777" w:rsidR="004B2808" w:rsidRDefault="00000000">
      <w:pPr>
        <w:pStyle w:val="Author-eSectionHeading5Numberless"/>
      </w:pPr>
      <w:bookmarkStart w:id="1404" w:name="_Toc220491510"/>
      <w:r>
        <w:t>55.68.3 Détalonnage des portes CCTB 01.02</w:t>
      </w:r>
      <w:bookmarkEnd w:id="1404"/>
    </w:p>
    <w:p w14:paraId="5AE240C5" w14:textId="77777777" w:rsidR="004B2808" w:rsidRDefault="00000000">
      <w:pPr>
        <w:pStyle w:val="Author-eSectionHeading3Numberless"/>
      </w:pPr>
      <w:bookmarkStart w:id="1405" w:name="_Toc220491511"/>
      <w:r>
        <w:t>55.7 - CCTB 01.02</w:t>
      </w:r>
      <w:bookmarkEnd w:id="1405"/>
    </w:p>
    <w:p w14:paraId="34DBB031" w14:textId="77777777" w:rsidR="004B2808" w:rsidRDefault="00000000">
      <w:pPr>
        <w:pStyle w:val="Author-eSectionHeading3Numberless"/>
      </w:pPr>
      <w:bookmarkStart w:id="1406" w:name="_Toc220491512"/>
      <w:r>
        <w:t>55.8 Menuiseries intérieures - Rénovation CCTB 01.13</w:t>
      </w:r>
      <w:bookmarkEnd w:id="1406"/>
    </w:p>
    <w:p w14:paraId="6B030D7B" w14:textId="77777777" w:rsidR="004B2808" w:rsidRDefault="00000000">
      <w:pPr>
        <w:pStyle w:val="pheading"/>
      </w:pPr>
      <w:bookmarkStart w:id="1407" w:name="147"/>
      <w:bookmarkEnd w:id="1407"/>
      <w:r>
        <w:t>DOCUMENTS DE RÉFÉRENCE</w:t>
      </w:r>
    </w:p>
    <w:p w14:paraId="6F292509" w14:textId="77777777" w:rsidR="004B2808" w:rsidRDefault="00000000">
      <w:pPr>
        <w:pStyle w:val="pheading"/>
      </w:pPr>
      <w:r>
        <w:t>- Matériau</w:t>
      </w:r>
    </w:p>
    <w:p w14:paraId="187EC621" w14:textId="77777777" w:rsidR="004B2808" w:rsidRDefault="00000000">
      <w:r>
        <w:t>[NIT 226, L'entretien des portes résistant au feu.]</w:t>
      </w:r>
    </w:p>
    <w:p w14:paraId="52839D34" w14:textId="77777777" w:rsidR="004B2808" w:rsidRDefault="00000000">
      <w:pPr>
        <w:pStyle w:val="pheading"/>
      </w:pPr>
      <w:r>
        <w:t>- Exécution</w:t>
      </w:r>
    </w:p>
    <w:p w14:paraId="1E32BD18" w14:textId="77777777" w:rsidR="004B2808" w:rsidRDefault="00000000">
      <w:r>
        <w:t>[NIT 226, L'entretien des portes résistant au feu.]</w:t>
      </w:r>
    </w:p>
    <w:p w14:paraId="1B8CF619" w14:textId="77777777" w:rsidR="004B2808" w:rsidRDefault="00000000">
      <w:pPr>
        <w:pStyle w:val="Author-eSectionHeading2Numberless"/>
      </w:pPr>
      <w:bookmarkStart w:id="1408" w:name="_Toc220491513"/>
      <w:r>
        <w:t>56 Vitrage intérieur &amp; éléments de remplissage CCTB 01.10</w:t>
      </w:r>
      <w:bookmarkEnd w:id="1408"/>
    </w:p>
    <w:p w14:paraId="09C9CF4A" w14:textId="77777777" w:rsidR="004B2808" w:rsidRDefault="00000000">
      <w:pPr>
        <w:pStyle w:val="pheading"/>
      </w:pPr>
      <w:bookmarkStart w:id="1409" w:name="1315"/>
      <w:bookmarkEnd w:id="1409"/>
      <w:r>
        <w:t>DESCRIPTION</w:t>
      </w:r>
    </w:p>
    <w:p w14:paraId="1E21F1D2" w14:textId="77777777" w:rsidR="004B2808" w:rsidRDefault="00000000">
      <w:pPr>
        <w:pStyle w:val="pheading"/>
      </w:pPr>
      <w:r>
        <w:t>- Définition / Comprend</w:t>
      </w:r>
    </w:p>
    <w:p w14:paraId="1746D803" w14:textId="77777777" w:rsidR="004B2808" w:rsidRDefault="00000000">
      <w:r>
        <w:t>Le poste "vitrage intérieur &amp; éléments de remplissage" comprend tous les travaux et toutes les fournitures nécessaires à la pose des vitrages intérieurs et/ou des panneaux de remplissage décrits dans le cahier spécial des charges, y compris tous les accessoires, c'est-à-dire le verre, les cales, les mastics d'étanchéité, etc.</w:t>
      </w:r>
    </w:p>
    <w:p w14:paraId="13D9B2F3" w14:textId="77777777" w:rsidR="004B2808" w:rsidRDefault="00000000">
      <w:r>
        <w:t>Voir aussi l'article 42 Vitrages extérieurs et éléments de remplissage</w:t>
      </w:r>
    </w:p>
    <w:p w14:paraId="21B2CF2C" w14:textId="77777777" w:rsidR="004B2808" w:rsidRDefault="00000000">
      <w:pPr>
        <w:pStyle w:val="pheading"/>
      </w:pPr>
      <w:r>
        <w:t>MATÉRIAUX</w:t>
      </w:r>
    </w:p>
    <w:p w14:paraId="63C29BFB" w14:textId="77777777" w:rsidR="004B2808" w:rsidRDefault="00000000">
      <w:r>
        <w:lastRenderedPageBreak/>
        <w:t>Le mode de fabrication, l'aspect, les caractéristiques particulières et les critères de qualité des types de vitrage prescrits sont décrits dans le cahier spécial des charges et doivent correspondre aux dispositions correspondantes des [NBN S 23-002] .</w:t>
      </w:r>
      <w:r>
        <w:br/>
        <w:t>L'entrepreneur assume l'entière responsabilité quant à la commande et à la fourniture des vitres en temps utile et quant à l'exactitude des dimensions et de l'épaisseur des vitrages. Sur simple demande de la direction du chantier, l'entrepreneur lui soumet pour approbation une documentation détaillée et/ou des échantillons.</w:t>
      </w:r>
      <w:r>
        <w:br/>
        <w:t>Pour les vitrages de sécurité, les rapports des essais correspondants sont soumis.</w:t>
      </w:r>
      <w:r>
        <w:br/>
        <w:t>L'entrepreneur détermine l'épaisseur des vitrages conformément à la norme [NBN S 23-002] « Vitrerie », pour une pression dynamique de base de 441 N/m².</w:t>
      </w:r>
      <w:r>
        <w:br/>
        <w:t>Lorsque des mastics sont utilisés, ceux-ci doivent être compatibles chimiquement aux profils et/ou aux produits de traitement de la menuiserie intérieure. Lorsque le fabricant des mastics le préconise, un primer approprié est préalablement appliqué. Un certificat attestant de la classe du mastic et/ou de la classe du profil d'étanchéité élastique est soumis pour approbation à l'auteur de projet.</w:t>
      </w:r>
    </w:p>
    <w:p w14:paraId="3BE6D396" w14:textId="77777777" w:rsidR="004B2808" w:rsidRDefault="00000000">
      <w:r>
        <w:t>La classe de sécurité aux chocs des vitrages est </w:t>
      </w:r>
      <w:r>
        <w:rPr>
          <w:rStyle w:val="optioncarChar"/>
        </w:rPr>
        <w:t>1A1 </w:t>
      </w:r>
      <w:r>
        <w:t xml:space="preserve">(par défaut) </w:t>
      </w:r>
      <w:r>
        <w:rPr>
          <w:rStyle w:val="optioncarChar"/>
        </w:rPr>
        <w:t>/ 1B1 / 1C1 / *** </w:t>
      </w:r>
      <w:r>
        <w:t>selon [NBN EN 12600] et [NBN S 23-002]</w:t>
      </w:r>
    </w:p>
    <w:p w14:paraId="214FEE72" w14:textId="77777777" w:rsidR="004B2808" w:rsidRDefault="00000000">
      <w:r>
        <w:t>Pour des informations complémentaires, consultez également le site de la 'Fédération de l'industrie du verre' (www.vgi-fiv.be).</w:t>
      </w:r>
    </w:p>
    <w:p w14:paraId="127B53CC" w14:textId="77777777" w:rsidR="004B2808" w:rsidRDefault="00000000">
      <w:pPr>
        <w:pStyle w:val="pheading"/>
      </w:pPr>
      <w:r>
        <w:t>EXÉCUTION / MISE EN ŒUVRE</w:t>
      </w:r>
    </w:p>
    <w:p w14:paraId="204A7E6C" w14:textId="77777777" w:rsidR="004B2808" w:rsidRDefault="00000000">
      <w:r>
        <w:t>La mise en œuvre des vitrages intérieurs ne peut s'effectuer que lorsque les feuillures et les parcloses ont reçu la même couche de finition que les châssis intérieurs. Avant la pose des vitrages, les feuillures et les parcloses sont nettoyées ainsi que les bords du vitrage.</w:t>
      </w:r>
      <w:r>
        <w:br/>
        <w:t>La mise en œuvre des vitrages et/ou des éléments de remplissage est effectuée selon la norme [NBN S 23-002] et conformément aux prescriptions du fabricant des profils.</w:t>
      </w:r>
      <w:r>
        <w:br/>
        <w:t>Après la mise en œuvre du vitrage, celui-ci est immédiatement débarrassé de toutes les étiquettes et inscriptions qui sont remises à la direction.</w:t>
      </w:r>
    </w:p>
    <w:p w14:paraId="64E0A962" w14:textId="77777777" w:rsidR="004B2808" w:rsidRDefault="00000000">
      <w:r>
        <w:rPr>
          <w:b/>
          <w:sz w:val="24"/>
        </w:rPr>
        <w:t>Sécurité</w:t>
      </w:r>
    </w:p>
    <w:p w14:paraId="19CEFEA1" w14:textId="77777777" w:rsidR="004B2808" w:rsidRDefault="00000000">
      <w:r>
        <w:t>Conformément à la rubrique 01.45 PSS travaux de parachèvement intérieur, établie par le coordinateur-projet et annexée au présent cahier des charges. Toutes les directives en la matière et les indications concrètes du coordinateur-réalisation sont scrupuleusement respectées.</w:t>
      </w:r>
    </w:p>
    <w:p w14:paraId="350B1ACA" w14:textId="77777777" w:rsidR="004B2808" w:rsidRDefault="00000000">
      <w:pPr>
        <w:pStyle w:val="pheading"/>
      </w:pPr>
      <w:r>
        <w:t>CONTRÔLES</w:t>
      </w:r>
    </w:p>
    <w:p w14:paraId="060F88FC" w14:textId="77777777" w:rsidR="004B2808" w:rsidRDefault="00000000">
      <w:pPr>
        <w:pStyle w:val="Author-eListParagraph"/>
        <w:numPr>
          <w:ilvl w:val="0"/>
          <w:numId w:val="1286"/>
        </w:numPr>
      </w:pPr>
      <w:r>
        <w:t>Le vitrage a partout le même coloris et est exempt de bulles d'air, de lentilles, de gale, de fils, de taches de brûlure, de trous, de reflets ou d'autres défauts qui proviennent de la fabrication par soufflage, étirage et découpage.</w:t>
      </w:r>
    </w:p>
    <w:p w14:paraId="1D06D79B" w14:textId="77777777" w:rsidR="004B2808" w:rsidRDefault="00000000">
      <w:pPr>
        <w:pStyle w:val="Author-eListParagraph"/>
        <w:numPr>
          <w:ilvl w:val="0"/>
          <w:numId w:val="1286"/>
        </w:numPr>
      </w:pPr>
      <w:r>
        <w:t>En regardant le vitrage de gauche à droite et de haut en bas et vice versa, il ne peut se produire aucune déformation.</w:t>
      </w:r>
    </w:p>
    <w:p w14:paraId="2A8A27A8" w14:textId="77777777" w:rsidR="004B2808" w:rsidRDefault="00000000">
      <w:pPr>
        <w:pStyle w:val="Author-eListParagraph"/>
        <w:numPr>
          <w:ilvl w:val="0"/>
          <w:numId w:val="1286"/>
        </w:numPr>
      </w:pPr>
      <w:r>
        <w:t>La présence d'anneaux dits de Newton dans le verre est également considérée comme un défaut et entraîne le refus </w:t>
      </w:r>
    </w:p>
    <w:p w14:paraId="1120236A" w14:textId="77777777" w:rsidR="004B2808" w:rsidRDefault="00000000">
      <w:pPr>
        <w:pStyle w:val="Author-eSectionHeading3Numberless"/>
      </w:pPr>
      <w:bookmarkStart w:id="1410" w:name="_Toc220491514"/>
      <w:r>
        <w:t>56.1 Vitrages simples CCTB 01.10</w:t>
      </w:r>
      <w:bookmarkEnd w:id="1410"/>
    </w:p>
    <w:p w14:paraId="18FB42A5" w14:textId="77777777" w:rsidR="004B2808" w:rsidRDefault="00000000">
      <w:pPr>
        <w:pStyle w:val="pheading"/>
      </w:pPr>
      <w:bookmarkStart w:id="1411" w:name="1330"/>
      <w:bookmarkEnd w:id="1411"/>
      <w:r>
        <w:t>MATÉRIAUX</w:t>
      </w:r>
    </w:p>
    <w:p w14:paraId="7A388310" w14:textId="77777777" w:rsidR="004B2808" w:rsidRDefault="00000000">
      <w:r>
        <w:t>Le vitrage simple doit satisfaire à la [NBN S 23-002] . L'épaisseur des vitrages est déterminée en fonction de la superficie selon les critères établis dans la [NBN S 23-002] et la pression dynamique calculée (par défaut 441 N/m²). Lorsque des mastics sont utilisés, ceux-ci doivent être compatibles chimiquement aux profils et/ou aux produits de traitement de la menuiserie intérieure. Lorsque le fabricant des mastics le préconise, un primer approprié est préalablement appliqué.</w:t>
      </w:r>
    </w:p>
    <w:p w14:paraId="6508F5D2" w14:textId="77777777" w:rsidR="004B2808" w:rsidRDefault="00000000">
      <w:pPr>
        <w:pStyle w:val="pheading"/>
      </w:pPr>
      <w:r>
        <w:t>EXÉCUTION / MISE EN ŒUVRE</w:t>
      </w:r>
    </w:p>
    <w:p w14:paraId="23CB609E" w14:textId="77777777" w:rsidR="004B2808" w:rsidRDefault="00000000">
      <w:r>
        <w:t>Les vitrages sont posés selon la [NIT 221] et les prescriptions du fabricant</w:t>
      </w:r>
    </w:p>
    <w:p w14:paraId="4C465362" w14:textId="77777777" w:rsidR="004B2808" w:rsidRDefault="00000000">
      <w:r>
        <w:t>Voir aussi l'article 42.1 Vitrages simples vitrage simple</w:t>
      </w:r>
    </w:p>
    <w:p w14:paraId="40F9A31B" w14:textId="77777777" w:rsidR="004B2808" w:rsidRDefault="00000000">
      <w:pPr>
        <w:pStyle w:val="Author-eSectionHeading4Numberless"/>
      </w:pPr>
      <w:bookmarkStart w:id="1412" w:name="_Toc220491515"/>
      <w:r>
        <w:lastRenderedPageBreak/>
        <w:t>56.11 Vitrages simples sans fonction sécuritaire CCTB 01.02</w:t>
      </w:r>
      <w:bookmarkEnd w:id="1412"/>
    </w:p>
    <w:p w14:paraId="43F307BE" w14:textId="77777777" w:rsidR="004B2808" w:rsidRDefault="00000000">
      <w:pPr>
        <w:pStyle w:val="Author-eSectionHeading5Numberless"/>
      </w:pPr>
      <w:bookmarkStart w:id="1413" w:name="_Toc220491516"/>
      <w:r>
        <w:t>56.11.1 Vitrages simples ordinaires sans fonction sécuritaire CCTB 01.02</w:t>
      </w:r>
      <w:bookmarkEnd w:id="1413"/>
    </w:p>
    <w:p w14:paraId="5D7CE20F" w14:textId="77777777" w:rsidR="004B2808" w:rsidRDefault="00000000">
      <w:pPr>
        <w:pStyle w:val="Author-eSectionHeading6Numberless"/>
      </w:pPr>
      <w:bookmarkStart w:id="1414" w:name="_Toc220491517"/>
      <w:r>
        <w:t>56.11.1a Vitrages simples floatés (ordinaires) sans fonction sécuritaire CCTB 01.10</w:t>
      </w:r>
      <w:bookmarkEnd w:id="1414"/>
    </w:p>
    <w:p w14:paraId="1AF931B8" w14:textId="77777777" w:rsidR="004B2808" w:rsidRDefault="00000000">
      <w:pPr>
        <w:pStyle w:val="pheading"/>
      </w:pPr>
      <w:r>
        <w:t>MATÉRIAUX</w:t>
      </w:r>
    </w:p>
    <w:p w14:paraId="64F51245" w14:textId="77777777" w:rsidR="004B2808" w:rsidRDefault="00000000">
      <w:pPr>
        <w:pStyle w:val="pheading"/>
      </w:pPr>
      <w:r>
        <w:t>- Caractéristiques générales</w:t>
      </w:r>
    </w:p>
    <w:p w14:paraId="28CAC446" w14:textId="77777777" w:rsidR="004B2808" w:rsidRDefault="00000000">
      <w:r>
        <w:t>Le verre est conforme aux normes [NBN EN 572-2] et [NBN EN 14178-1]. </w:t>
      </w:r>
    </w:p>
    <w:p w14:paraId="05D877CB" w14:textId="77777777" w:rsidR="004B2808" w:rsidRDefault="00000000">
      <w:pPr>
        <w:pStyle w:val="heading"/>
      </w:pPr>
      <w:r>
        <w:t>Spécifications</w:t>
      </w:r>
    </w:p>
    <w:p w14:paraId="5C78495D" w14:textId="77777777" w:rsidR="004B2808" w:rsidRDefault="00000000">
      <w:pPr>
        <w:pStyle w:val="Author-eListParagraph"/>
        <w:numPr>
          <w:ilvl w:val="0"/>
          <w:numId w:val="1287"/>
        </w:numPr>
      </w:pPr>
      <w:r>
        <w:t xml:space="preserve">Epaisseur minimale : </w:t>
      </w:r>
      <w:r>
        <w:rPr>
          <w:rStyle w:val="optioncarChar"/>
        </w:rPr>
        <w:t>4</w:t>
      </w:r>
      <w:r>
        <w:t xml:space="preserve"> (par défaut) </w:t>
      </w:r>
      <w:r>
        <w:rPr>
          <w:rStyle w:val="optioncarChar"/>
        </w:rPr>
        <w:t xml:space="preserve">/ 5 / 6 / *** </w:t>
      </w:r>
      <w:r>
        <w:t>mm.</w:t>
      </w:r>
    </w:p>
    <w:p w14:paraId="0DA34B7B" w14:textId="77777777" w:rsidR="004B2808" w:rsidRDefault="00000000">
      <w:pPr>
        <w:pStyle w:val="Author-eListParagraph"/>
        <w:numPr>
          <w:ilvl w:val="0"/>
          <w:numId w:val="1287"/>
        </w:numPr>
      </w:pPr>
      <w:r>
        <w:t>Les cales de support, de réglage et d'espacement sont en matière synthétique .</w:t>
      </w:r>
    </w:p>
    <w:p w14:paraId="4C93673A" w14:textId="77777777" w:rsidR="004B2808" w:rsidRDefault="00000000">
      <w:pPr>
        <w:pStyle w:val="Author-eListParagraph"/>
        <w:numPr>
          <w:ilvl w:val="0"/>
          <w:numId w:val="1287"/>
        </w:numPr>
      </w:pPr>
      <w:r>
        <w:t xml:space="preserve">Le coloris du mastic élastique / profil d'étanchéité est </w:t>
      </w:r>
      <w:r>
        <w:rPr>
          <w:rStyle w:val="optioncarChar"/>
        </w:rPr>
        <w:t>***</w:t>
      </w:r>
    </w:p>
    <w:p w14:paraId="4DEC0917" w14:textId="77777777" w:rsidR="004B2808" w:rsidRDefault="00000000">
      <w:pPr>
        <w:pStyle w:val="Author-eListParagraph"/>
        <w:numPr>
          <w:ilvl w:val="0"/>
          <w:numId w:val="1287"/>
        </w:numPr>
      </w:pPr>
      <w:r>
        <w:t>Les mastics doivent pouvoir être peints.</w:t>
      </w:r>
    </w:p>
    <w:p w14:paraId="73259C35" w14:textId="77777777" w:rsidR="004B2808" w:rsidRDefault="00000000">
      <w:pPr>
        <w:pStyle w:val="pheading"/>
      </w:pPr>
      <w:r>
        <w:t>EXÉCUTION / MISE EN ŒUVRE</w:t>
      </w:r>
    </w:p>
    <w:p w14:paraId="04E689D4" w14:textId="77777777" w:rsidR="004B2808" w:rsidRDefault="00000000">
      <w:pPr>
        <w:pStyle w:val="pheading"/>
      </w:pPr>
      <w:r>
        <w:t>- Prescriptions générales</w:t>
      </w:r>
    </w:p>
    <w:p w14:paraId="1B424523" w14:textId="77777777" w:rsidR="004B2808" w:rsidRDefault="00000000">
      <w:r>
        <w:t>Le vitrage est rendu étanche à l'aide de :</w:t>
      </w:r>
    </w:p>
    <w:p w14:paraId="58630F41" w14:textId="77777777" w:rsidR="004B2808" w:rsidRDefault="00000000">
      <w:pPr>
        <w:pStyle w:val="Author-eListParagraph"/>
        <w:numPr>
          <w:ilvl w:val="0"/>
          <w:numId w:val="1288"/>
        </w:numPr>
      </w:pPr>
      <w:r>
        <w:t>un mastic élastique selon [NBN S 23-002] et [STS 56]</w:t>
      </w:r>
    </w:p>
    <w:p w14:paraId="6B4D0BA6" w14:textId="77777777" w:rsidR="004B2808" w:rsidRDefault="00000000">
      <w:pPr>
        <w:pStyle w:val="Author-eListParagraph"/>
        <w:numPr>
          <w:ilvl w:val="0"/>
          <w:numId w:val="1288"/>
        </w:numPr>
      </w:pPr>
      <w:r>
        <w:t>un profil d'étanchéité élastique de la classe B selon la [NBN S 23-002] - § 2.2.34</w:t>
      </w:r>
    </w:p>
    <w:p w14:paraId="05C4D3BF" w14:textId="77777777" w:rsidR="004B2808" w:rsidRDefault="00000000">
      <w:pPr>
        <w:pStyle w:val="Author-eListParagraph"/>
        <w:numPr>
          <w:ilvl w:val="0"/>
          <w:numId w:val="1288"/>
        </w:numPr>
      </w:pPr>
      <w:r>
        <w:t xml:space="preserve">un mastic plastique de type </w:t>
      </w:r>
      <w:r>
        <w:rPr>
          <w:rStyle w:val="optioncarChar"/>
        </w:rPr>
        <w:t>G</w:t>
      </w:r>
      <w:r>
        <w:t> (par défaut)</w:t>
      </w:r>
      <w:r>
        <w:rPr>
          <w:rStyle w:val="optioncarChar"/>
        </w:rPr>
        <w:t> / ***</w:t>
      </w:r>
      <w:r>
        <w:t xml:space="preserve"> selon les [STS 56.1]</w:t>
      </w:r>
    </w:p>
    <w:p w14:paraId="6AFC045A" w14:textId="77777777" w:rsidR="004B2808" w:rsidRDefault="00000000">
      <w:pPr>
        <w:pStyle w:val="pheading"/>
      </w:pPr>
      <w:r>
        <w:t>MESURAGE</w:t>
      </w:r>
    </w:p>
    <w:p w14:paraId="613FD2DA" w14:textId="77777777" w:rsidR="004B2808" w:rsidRDefault="00000000">
      <w:pPr>
        <w:pStyle w:val="pheading"/>
      </w:pPr>
      <w:r>
        <w:t>- unité de mesure:</w:t>
      </w:r>
    </w:p>
    <w:p w14:paraId="6888CD3C" w14:textId="77777777" w:rsidR="004B2808" w:rsidRDefault="00000000">
      <w:r>
        <w:rPr>
          <w:rStyle w:val="optioncarChar"/>
        </w:rPr>
        <w:t>-</w:t>
      </w:r>
      <w:r>
        <w:t xml:space="preserve"> (par défaut)</w:t>
      </w:r>
      <w:r>
        <w:rPr>
          <w:rStyle w:val="optioncarChar"/>
        </w:rPr>
        <w:t xml:space="preserve"> / m² / ***</w:t>
      </w:r>
    </w:p>
    <w:p w14:paraId="6336610B" w14:textId="77777777" w:rsidR="004B2808" w:rsidRDefault="00000000">
      <w:pPr>
        <w:pStyle w:val="pheading"/>
      </w:pPr>
      <w:r>
        <w:t>- code de mesurage:</w:t>
      </w:r>
    </w:p>
    <w:p w14:paraId="3835D291" w14:textId="77777777" w:rsidR="004B2808" w:rsidRDefault="00000000">
      <w:r>
        <w:t>Choix opéré :</w:t>
      </w:r>
      <w:r>
        <w:rPr>
          <w:rStyle w:val="optioncarChar"/>
          <w:b/>
        </w:rPr>
        <w:t>*** / OPTION 1 </w:t>
      </w:r>
      <w:r>
        <w:t xml:space="preserve">(par défaut) </w:t>
      </w:r>
      <w:r>
        <w:rPr>
          <w:rStyle w:val="optioncarChar"/>
          <w:b/>
        </w:rPr>
        <w:t>/ OPTION 2</w:t>
      </w:r>
    </w:p>
    <w:p w14:paraId="03DBC9EA" w14:textId="77777777" w:rsidR="004B2808"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21DDC331" w14:textId="77777777" w:rsidR="004B2808" w:rsidRDefault="00000000">
      <w:pPr>
        <w:pStyle w:val="pheading"/>
      </w:pPr>
      <w:r>
        <w:t>- nature du marché:</w:t>
      </w:r>
    </w:p>
    <w:p w14:paraId="5395F695" w14:textId="77777777" w:rsidR="004B2808" w:rsidRDefault="00000000">
      <w:r>
        <w:rPr>
          <w:rStyle w:val="optioncarChar"/>
        </w:rPr>
        <w:t>PM</w:t>
      </w:r>
      <w:r>
        <w:t xml:space="preserve"> (par défaut)</w:t>
      </w:r>
      <w:r>
        <w:rPr>
          <w:rStyle w:val="optioncarChar"/>
        </w:rPr>
        <w:t> / QF / ***</w:t>
      </w:r>
    </w:p>
    <w:p w14:paraId="3B218C6B" w14:textId="77777777" w:rsidR="004B2808" w:rsidRDefault="00000000">
      <w:pPr>
        <w:pStyle w:val="Author-eSectionHeading6Numberless"/>
      </w:pPr>
      <w:bookmarkStart w:id="1415" w:name="_Toc220491518"/>
      <w:r>
        <w:t>56.11.1b Vitrages simples durcis sans fonction sécuritaire CCTB 01.02</w:t>
      </w:r>
      <w:bookmarkEnd w:id="1415"/>
    </w:p>
    <w:p w14:paraId="1114B9FE" w14:textId="77777777" w:rsidR="004B2808" w:rsidRDefault="00000000">
      <w:pPr>
        <w:pStyle w:val="Author-eSectionHeading5Numberless"/>
      </w:pPr>
      <w:bookmarkStart w:id="1416" w:name="_Toc220491519"/>
      <w:r>
        <w:t>56.11.2 Vitrages simples décoratifs sans fonction sécuritaire CCTB 01.02</w:t>
      </w:r>
      <w:bookmarkEnd w:id="1416"/>
    </w:p>
    <w:p w14:paraId="633005EF" w14:textId="77777777" w:rsidR="004B2808" w:rsidRDefault="00000000">
      <w:pPr>
        <w:pStyle w:val="Author-eSectionHeading6Numberless"/>
      </w:pPr>
      <w:bookmarkStart w:id="1417" w:name="_Toc220491520"/>
      <w:r>
        <w:t>56.11.2a Vitrages simples imprimés sans fonction sécuritaire CCTB 01.02</w:t>
      </w:r>
      <w:bookmarkEnd w:id="1417"/>
    </w:p>
    <w:p w14:paraId="446098A9" w14:textId="77777777" w:rsidR="004B2808" w:rsidRDefault="00000000">
      <w:pPr>
        <w:pStyle w:val="Author-eSectionHeading6Numberless"/>
      </w:pPr>
      <w:bookmarkStart w:id="1418" w:name="_Toc220491521"/>
      <w:r>
        <w:t>56.11.2b Vitrages simples mates sans fonction sécuritaire CCTB 01.10</w:t>
      </w:r>
      <w:bookmarkEnd w:id="1418"/>
    </w:p>
    <w:p w14:paraId="48CD6861" w14:textId="77777777" w:rsidR="004B2808" w:rsidRDefault="00000000">
      <w:pPr>
        <w:pStyle w:val="pheading"/>
      </w:pPr>
      <w:r>
        <w:t>MATÉRIAUX</w:t>
      </w:r>
    </w:p>
    <w:p w14:paraId="0B2A3B0A" w14:textId="77777777" w:rsidR="004B2808" w:rsidRDefault="00000000">
      <w:pPr>
        <w:pStyle w:val="pheading"/>
      </w:pPr>
      <w:r>
        <w:lastRenderedPageBreak/>
        <w:t>- Caractéristiques générales</w:t>
      </w:r>
    </w:p>
    <w:p w14:paraId="6E27B463" w14:textId="77777777" w:rsidR="004B2808" w:rsidRDefault="00000000">
      <w:r>
        <w:t>Le vitrage a obtenu son aspect mat par ponçage mécanique ou sous l'action d'acide fluorhydrique.</w:t>
      </w:r>
    </w:p>
    <w:p w14:paraId="04403E4B" w14:textId="77777777" w:rsidR="004B2808" w:rsidRDefault="00000000">
      <w:pPr>
        <w:pStyle w:val="heading"/>
      </w:pPr>
      <w:r>
        <w:t>Spécifications</w:t>
      </w:r>
    </w:p>
    <w:p w14:paraId="2FA26E55" w14:textId="77777777" w:rsidR="004B2808" w:rsidRDefault="00000000">
      <w:pPr>
        <w:pStyle w:val="Author-eListParagraph"/>
        <w:numPr>
          <w:ilvl w:val="0"/>
          <w:numId w:val="1289"/>
        </w:numPr>
      </w:pPr>
      <w:r>
        <w:t xml:space="preserve">Type : traité sur </w:t>
      </w:r>
      <w:r>
        <w:rPr>
          <w:rStyle w:val="optioncarChar"/>
        </w:rPr>
        <w:t>une face</w:t>
      </w:r>
      <w:r>
        <w:t> (par défaut)</w:t>
      </w:r>
      <w:r>
        <w:rPr>
          <w:rStyle w:val="optioncarChar"/>
        </w:rPr>
        <w:t xml:space="preserve"> / deux faces / ***</w:t>
      </w:r>
    </w:p>
    <w:p w14:paraId="056F775E" w14:textId="77777777" w:rsidR="004B2808" w:rsidRDefault="00000000">
      <w:pPr>
        <w:pStyle w:val="Author-eListParagraph"/>
        <w:numPr>
          <w:ilvl w:val="0"/>
          <w:numId w:val="1289"/>
        </w:numPr>
      </w:pPr>
      <w:r>
        <w:t xml:space="preserve">Afin de déterminer l'épaisseur du vitrage, il est tenu compte d'une </w:t>
      </w:r>
      <w:r>
        <w:rPr>
          <w:rStyle w:val="optioncarChar"/>
        </w:rPr>
        <w:t>situation normale</w:t>
      </w:r>
      <w:r>
        <w:t> (par défaut)</w:t>
      </w:r>
      <w:r>
        <w:rPr>
          <w:rStyle w:val="optioncarChar"/>
        </w:rPr>
        <w:t xml:space="preserve"> / situation exposée / situation marine / ***</w:t>
      </w:r>
      <w:r>
        <w:t xml:space="preserve"> selon la norme [NBN S 23-002] . </w:t>
      </w:r>
    </w:p>
    <w:p w14:paraId="20430560" w14:textId="77777777" w:rsidR="004B2808" w:rsidRDefault="00000000">
      <w:pPr>
        <w:pStyle w:val="Author-eListParagraph"/>
        <w:numPr>
          <w:ilvl w:val="0"/>
          <w:numId w:val="1289"/>
        </w:numPr>
      </w:pPr>
      <w:r>
        <w:t>L'épaisseur minimale est de</w:t>
      </w:r>
      <w:r>
        <w:rPr>
          <w:rStyle w:val="optioncarChar"/>
        </w:rPr>
        <w:t> 4</w:t>
      </w:r>
      <w:r>
        <w:t> (par défaut)</w:t>
      </w:r>
      <w:r>
        <w:rPr>
          <w:rStyle w:val="optioncarChar"/>
        </w:rPr>
        <w:t xml:space="preserve"> / 5 / 6 / ***</w:t>
      </w:r>
      <w:r>
        <w:t>. mm. L'épaisseur des vitrages est identique par étage du bâtiment.</w:t>
      </w:r>
    </w:p>
    <w:p w14:paraId="4631FE81" w14:textId="77777777" w:rsidR="004B2808" w:rsidRDefault="00000000">
      <w:pPr>
        <w:pStyle w:val="Author-eListParagraph"/>
        <w:numPr>
          <w:ilvl w:val="0"/>
          <w:numId w:val="1289"/>
        </w:numPr>
      </w:pPr>
      <w:r>
        <w:t xml:space="preserve">Les cales de support, de réglage et d'espacement sont en </w:t>
      </w:r>
      <w:r>
        <w:rPr>
          <w:rStyle w:val="optioncarChar"/>
        </w:rPr>
        <w:t>matière synthétique </w:t>
      </w:r>
      <w:r>
        <w:t>(par défaut)</w:t>
      </w:r>
      <w:r>
        <w:rPr>
          <w:rStyle w:val="optioncarChar"/>
        </w:rPr>
        <w:t> / ***</w:t>
      </w:r>
    </w:p>
    <w:p w14:paraId="06FD7169" w14:textId="77777777" w:rsidR="004B2808" w:rsidRDefault="00000000">
      <w:pPr>
        <w:pStyle w:val="Author-eListParagraph"/>
        <w:numPr>
          <w:ilvl w:val="0"/>
          <w:numId w:val="1289"/>
        </w:numPr>
      </w:pPr>
      <w:r>
        <w:t xml:space="preserve">La couleur </w:t>
      </w:r>
      <w:r>
        <w:rPr>
          <w:rStyle w:val="optioncarChar"/>
        </w:rPr>
        <w:t>du mastic élastique</w:t>
      </w:r>
      <w:r>
        <w:t> (par défaut)</w:t>
      </w:r>
      <w:r>
        <w:rPr>
          <w:rStyle w:val="optioncarChar"/>
        </w:rPr>
        <w:t xml:space="preserve"> / profil d'étanchéité / ***</w:t>
      </w:r>
      <w:r>
        <w:t xml:space="preserve"> est </w:t>
      </w:r>
      <w:r>
        <w:rPr>
          <w:rStyle w:val="optioncarChar"/>
        </w:rPr>
        <w:t>***.</w:t>
      </w:r>
    </w:p>
    <w:p w14:paraId="43F474C1" w14:textId="77777777" w:rsidR="004B2808" w:rsidRDefault="00000000">
      <w:pPr>
        <w:pStyle w:val="Author-eListParagraph"/>
        <w:numPr>
          <w:ilvl w:val="0"/>
          <w:numId w:val="1289"/>
        </w:numPr>
      </w:pPr>
      <w:r>
        <w:t>Les mastics sont destinés à être peints.</w:t>
      </w:r>
    </w:p>
    <w:p w14:paraId="142FDF04" w14:textId="77777777" w:rsidR="004B2808" w:rsidRDefault="00000000">
      <w:pPr>
        <w:pStyle w:val="pheading"/>
      </w:pPr>
      <w:r>
        <w:t>EXÉCUTION / MISE EN ŒUVRE</w:t>
      </w:r>
    </w:p>
    <w:p w14:paraId="0B8B5A33" w14:textId="77777777" w:rsidR="004B2808" w:rsidRDefault="00000000">
      <w:pPr>
        <w:pStyle w:val="pheading"/>
      </w:pPr>
      <w:r>
        <w:t>- Notes d’exécution complémentaires</w:t>
      </w:r>
    </w:p>
    <w:p w14:paraId="7C0FFD69" w14:textId="77777777" w:rsidR="004B2808" w:rsidRDefault="00000000">
      <w:r>
        <w:t>Le vitrage est rendu étanche à l'aide de :</w:t>
      </w:r>
    </w:p>
    <w:p w14:paraId="0C79AFC4" w14:textId="77777777" w:rsidR="004B2808" w:rsidRDefault="00000000">
      <w:pPr>
        <w:pStyle w:val="Author-eListParagraph"/>
        <w:numPr>
          <w:ilvl w:val="0"/>
          <w:numId w:val="1290"/>
        </w:numPr>
      </w:pPr>
      <w:r>
        <w:t>un mastic élastique selon la norme [NBN S 23-002] et [STS 56]</w:t>
      </w:r>
    </w:p>
    <w:p w14:paraId="3358A72E" w14:textId="77777777" w:rsidR="004B2808" w:rsidRDefault="00000000">
      <w:pPr>
        <w:pStyle w:val="Author-eListParagraph"/>
        <w:numPr>
          <w:ilvl w:val="0"/>
          <w:numId w:val="1290"/>
        </w:numPr>
      </w:pPr>
      <w:r>
        <w:t>un profil d'étanchéité élastique de la classe B selon la norme [NBN S 23-002] - § 2.2.34</w:t>
      </w:r>
    </w:p>
    <w:p w14:paraId="6B12534B" w14:textId="77777777" w:rsidR="004B2808" w:rsidRDefault="00000000">
      <w:pPr>
        <w:pStyle w:val="Author-eListParagraph"/>
        <w:numPr>
          <w:ilvl w:val="0"/>
          <w:numId w:val="1290"/>
        </w:numPr>
      </w:pPr>
      <w:r>
        <w:t>un mastic plastique de la type</w:t>
      </w:r>
      <w:r>
        <w:rPr>
          <w:rStyle w:val="optioncarChar"/>
        </w:rPr>
        <w:t> G</w:t>
      </w:r>
      <w:r>
        <w:t> (par défaut)</w:t>
      </w:r>
      <w:r>
        <w:rPr>
          <w:rStyle w:val="optioncarChar"/>
        </w:rPr>
        <w:t> / ***</w:t>
      </w:r>
      <w:r>
        <w:t>  selon les [STS 56.1]</w:t>
      </w:r>
    </w:p>
    <w:p w14:paraId="39125E4E" w14:textId="77777777" w:rsidR="004B2808" w:rsidRDefault="00000000">
      <w:pPr>
        <w:pStyle w:val="pheading"/>
      </w:pPr>
      <w:r>
        <w:t>MESURAGE</w:t>
      </w:r>
    </w:p>
    <w:p w14:paraId="10B8AC22" w14:textId="77777777" w:rsidR="004B2808" w:rsidRDefault="00000000">
      <w:pPr>
        <w:pStyle w:val="pheading"/>
      </w:pPr>
      <w:r>
        <w:t>- unité de mesure:</w:t>
      </w:r>
    </w:p>
    <w:p w14:paraId="17B04702" w14:textId="77777777" w:rsidR="004B2808" w:rsidRDefault="00000000">
      <w:r>
        <w:rPr>
          <w:rStyle w:val="optioncarChar"/>
        </w:rPr>
        <w:t xml:space="preserve">- </w:t>
      </w:r>
      <w:r>
        <w:t>(par défaut) </w:t>
      </w:r>
      <w:r>
        <w:rPr>
          <w:rStyle w:val="optioncarChar"/>
        </w:rPr>
        <w:t>/ m² / ***</w:t>
      </w:r>
    </w:p>
    <w:p w14:paraId="60A0C31C" w14:textId="77777777" w:rsidR="004B2808" w:rsidRDefault="00000000">
      <w:pPr>
        <w:pStyle w:val="pheading"/>
      </w:pPr>
      <w:r>
        <w:t>- code de mesurage:</w:t>
      </w:r>
    </w:p>
    <w:p w14:paraId="1269E988" w14:textId="77777777" w:rsidR="004B2808" w:rsidRDefault="00000000">
      <w:r>
        <w:t>Choix opéré :</w:t>
      </w:r>
      <w:r>
        <w:rPr>
          <w:rStyle w:val="optioncarChar"/>
          <w:b/>
        </w:rPr>
        <w:t>*** / OPTION 1</w:t>
      </w:r>
      <w:r>
        <w:t> (par défaut)</w:t>
      </w:r>
      <w:r>
        <w:rPr>
          <w:rStyle w:val="optioncarChar"/>
          <w:b/>
        </w:rPr>
        <w:t xml:space="preserve"> / OPTION 2</w:t>
      </w:r>
    </w:p>
    <w:p w14:paraId="0430D084" w14:textId="77777777" w:rsidR="004B2808"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5FBBFDB7" w14:textId="77777777" w:rsidR="004B2808" w:rsidRDefault="00000000">
      <w:pPr>
        <w:pStyle w:val="pheading"/>
      </w:pPr>
      <w:r>
        <w:t>- nature du marché:</w:t>
      </w:r>
    </w:p>
    <w:p w14:paraId="4A01444D" w14:textId="77777777" w:rsidR="004B2808" w:rsidRDefault="00000000">
      <w:r>
        <w:rPr>
          <w:color w:val="FF0000"/>
        </w:rPr>
        <w:t xml:space="preserve">PM </w:t>
      </w:r>
      <w:r>
        <w:t>(par défaut) </w:t>
      </w:r>
      <w:r>
        <w:rPr>
          <w:color w:val="FF0000"/>
        </w:rPr>
        <w:t>/ QF / ***</w:t>
      </w:r>
    </w:p>
    <w:p w14:paraId="2DA60A40" w14:textId="77777777" w:rsidR="004B2808" w:rsidRDefault="00000000">
      <w:pPr>
        <w:pStyle w:val="Author-eSectionHeading6Numberless"/>
      </w:pPr>
      <w:bookmarkStart w:id="1419" w:name="_Toc220491522"/>
      <w:r>
        <w:t>56.11.2c Vitrages simples sablés sans fonction sécuritaire CCTB 01.11</w:t>
      </w:r>
      <w:bookmarkEnd w:id="1419"/>
    </w:p>
    <w:p w14:paraId="55E40FA4" w14:textId="77777777" w:rsidR="004B2808" w:rsidRDefault="00000000">
      <w:pPr>
        <w:pStyle w:val="pheading"/>
      </w:pPr>
      <w:r>
        <w:t>MATÉRIAUX</w:t>
      </w:r>
    </w:p>
    <w:p w14:paraId="2938F0FA" w14:textId="77777777" w:rsidR="004B2808" w:rsidRDefault="00000000">
      <w:pPr>
        <w:pStyle w:val="pheading"/>
      </w:pPr>
      <w:r>
        <w:t>- Caractéristiques générales</w:t>
      </w:r>
    </w:p>
    <w:p w14:paraId="08817DF7" w14:textId="77777777" w:rsidR="004B2808" w:rsidRDefault="00000000">
      <w:r>
        <w:t>Il s'agit de verre dépoli au sable par projection d'abrasif à haute pression; ce procédé permet d'obtenir des motifs et formes. </w:t>
      </w:r>
    </w:p>
    <w:p w14:paraId="6ACA29B8" w14:textId="77777777" w:rsidR="004B2808" w:rsidRDefault="00000000">
      <w:pPr>
        <w:pStyle w:val="heading"/>
      </w:pPr>
      <w:r>
        <w:t>Spécifications</w:t>
      </w:r>
    </w:p>
    <w:p w14:paraId="68AF7280" w14:textId="77777777" w:rsidR="004B2808" w:rsidRDefault="00000000">
      <w:pPr>
        <w:pStyle w:val="Author-eListParagraph"/>
        <w:numPr>
          <w:ilvl w:val="0"/>
          <w:numId w:val="1291"/>
        </w:numPr>
      </w:pPr>
      <w:r>
        <w:t xml:space="preserve">Coloris : </w:t>
      </w:r>
      <w:r>
        <w:rPr>
          <w:rStyle w:val="optioncarChar"/>
        </w:rPr>
        <w:t>***</w:t>
      </w:r>
    </w:p>
    <w:p w14:paraId="2DC87FAD" w14:textId="77777777" w:rsidR="004B2808" w:rsidRDefault="00000000">
      <w:pPr>
        <w:pStyle w:val="Author-eListParagraph"/>
        <w:numPr>
          <w:ilvl w:val="0"/>
          <w:numId w:val="1291"/>
        </w:numPr>
      </w:pPr>
      <w:r>
        <w:t xml:space="preserve">Epaisseur minimale : </w:t>
      </w:r>
      <w:r>
        <w:rPr>
          <w:rStyle w:val="optioncarChar"/>
        </w:rPr>
        <w:t>4</w:t>
      </w:r>
      <w:r>
        <w:t xml:space="preserve"> (par défaut) </w:t>
      </w:r>
      <w:r>
        <w:rPr>
          <w:rStyle w:val="optioncarChar"/>
        </w:rPr>
        <w:t>/ 5 / 6 / ***</w:t>
      </w:r>
      <w:r>
        <w:t xml:space="preserve"> mm</w:t>
      </w:r>
    </w:p>
    <w:p w14:paraId="7FD6EE41" w14:textId="77777777" w:rsidR="004B2808" w:rsidRDefault="00000000">
      <w:pPr>
        <w:pStyle w:val="Author-eListParagraph"/>
        <w:numPr>
          <w:ilvl w:val="0"/>
          <w:numId w:val="1291"/>
        </w:numPr>
      </w:pPr>
      <w:r>
        <w:t>Les cales de support, de réglage et d'espacement sont en matière synthétique .</w:t>
      </w:r>
    </w:p>
    <w:p w14:paraId="737F2EB8" w14:textId="77777777" w:rsidR="004B2808" w:rsidRDefault="00000000">
      <w:pPr>
        <w:pStyle w:val="Author-eListParagraph"/>
        <w:numPr>
          <w:ilvl w:val="0"/>
          <w:numId w:val="1291"/>
        </w:numPr>
      </w:pPr>
      <w:r>
        <w:t xml:space="preserve">La couleur </w:t>
      </w:r>
      <w:r>
        <w:rPr>
          <w:rStyle w:val="optioncarChar"/>
        </w:rPr>
        <w:t>du mastic élastique</w:t>
      </w:r>
      <w:r>
        <w:t> (par défaut)</w:t>
      </w:r>
      <w:r>
        <w:rPr>
          <w:rStyle w:val="optioncarChar"/>
        </w:rPr>
        <w:t xml:space="preserve"> / profil d'étanchéité est ***</w:t>
      </w:r>
    </w:p>
    <w:p w14:paraId="71303377" w14:textId="77777777" w:rsidR="004B2808" w:rsidRDefault="00000000">
      <w:pPr>
        <w:pStyle w:val="Author-eListParagraph"/>
        <w:numPr>
          <w:ilvl w:val="0"/>
          <w:numId w:val="1291"/>
        </w:numPr>
      </w:pPr>
      <w:r>
        <w:lastRenderedPageBreak/>
        <w:t>Les mastics sont destinés à être peints.</w:t>
      </w:r>
    </w:p>
    <w:p w14:paraId="6133485A" w14:textId="77777777" w:rsidR="004B2808" w:rsidRDefault="00000000">
      <w:pPr>
        <w:pStyle w:val="pheading"/>
      </w:pPr>
      <w:r>
        <w:t>EXÉCUTION / MISE EN ŒUVRE</w:t>
      </w:r>
    </w:p>
    <w:p w14:paraId="076B82BC" w14:textId="77777777" w:rsidR="004B2808" w:rsidRDefault="00000000">
      <w:pPr>
        <w:pStyle w:val="pheading"/>
      </w:pPr>
      <w:r>
        <w:t>- Prescriptions générales</w:t>
      </w:r>
    </w:p>
    <w:p w14:paraId="42831833" w14:textId="77777777" w:rsidR="004B2808" w:rsidRDefault="00000000">
      <w:r>
        <w:t>Le vitrage est rendu étanche à l'aide de :</w:t>
      </w:r>
    </w:p>
    <w:p w14:paraId="3A443551" w14:textId="77777777" w:rsidR="004B2808" w:rsidRDefault="00000000">
      <w:pPr>
        <w:pStyle w:val="Author-eListParagraph"/>
        <w:numPr>
          <w:ilvl w:val="0"/>
          <w:numId w:val="1292"/>
        </w:numPr>
      </w:pPr>
      <w:r>
        <w:t>un mastic élastique selon la norme [NBN S 23-002] et [STS 56]</w:t>
      </w:r>
    </w:p>
    <w:p w14:paraId="65BE47A1" w14:textId="77777777" w:rsidR="004B2808" w:rsidRDefault="00000000">
      <w:pPr>
        <w:pStyle w:val="Author-eListParagraph"/>
        <w:numPr>
          <w:ilvl w:val="0"/>
          <w:numId w:val="1292"/>
        </w:numPr>
      </w:pPr>
      <w:r>
        <w:t>un profil d'étanchéité élastique de la classe B selon la norme [NBN S 23-002] - § 2.2.34</w:t>
      </w:r>
    </w:p>
    <w:p w14:paraId="4FCED835" w14:textId="77777777" w:rsidR="004B2808" w:rsidRDefault="00000000">
      <w:pPr>
        <w:pStyle w:val="Author-eListParagraph"/>
        <w:numPr>
          <w:ilvl w:val="0"/>
          <w:numId w:val="1292"/>
        </w:numPr>
      </w:pPr>
      <w:r>
        <w:t xml:space="preserve">un mastic plastique de type </w:t>
      </w:r>
      <w:r>
        <w:rPr>
          <w:rStyle w:val="optioncarChar"/>
        </w:rPr>
        <w:t>G</w:t>
      </w:r>
      <w:r>
        <w:t> (par défaut) </w:t>
      </w:r>
      <w:r>
        <w:rPr>
          <w:rStyle w:val="optioncarChar"/>
        </w:rPr>
        <w:t>/ ***</w:t>
      </w:r>
      <w:r>
        <w:t>  selon les [STS 56.1]</w:t>
      </w:r>
    </w:p>
    <w:p w14:paraId="4D495899" w14:textId="77777777" w:rsidR="004B2808" w:rsidRDefault="00000000">
      <w:pPr>
        <w:pStyle w:val="pheading"/>
      </w:pPr>
      <w:r>
        <w:t>MESURAGE</w:t>
      </w:r>
    </w:p>
    <w:p w14:paraId="11D8BC47" w14:textId="77777777" w:rsidR="004B2808" w:rsidRDefault="00000000">
      <w:pPr>
        <w:pStyle w:val="pheading"/>
      </w:pPr>
      <w:r>
        <w:t>- unité de mesure:</w:t>
      </w:r>
    </w:p>
    <w:p w14:paraId="42BBA957" w14:textId="77777777" w:rsidR="004B2808" w:rsidRDefault="00000000">
      <w:r>
        <w:rPr>
          <w:rStyle w:val="optioncarChar"/>
        </w:rPr>
        <w:t xml:space="preserve">- </w:t>
      </w:r>
      <w:r>
        <w:t>(par défaut) </w:t>
      </w:r>
      <w:r>
        <w:rPr>
          <w:rStyle w:val="optioncarChar"/>
        </w:rPr>
        <w:t>/ m² / ***</w:t>
      </w:r>
    </w:p>
    <w:p w14:paraId="345C3544" w14:textId="77777777" w:rsidR="004B2808" w:rsidRDefault="00000000">
      <w:pPr>
        <w:pStyle w:val="pheading"/>
      </w:pPr>
      <w:r>
        <w:t>- code de mesurage:</w:t>
      </w:r>
    </w:p>
    <w:p w14:paraId="50743031" w14:textId="77777777" w:rsidR="004B2808" w:rsidRDefault="00000000">
      <w:r>
        <w:t>Choix opéré :</w:t>
      </w:r>
      <w:r>
        <w:rPr>
          <w:rStyle w:val="optioncarChar"/>
          <w:b/>
        </w:rPr>
        <w:t>*** / OPTION 1</w:t>
      </w:r>
      <w:r>
        <w:t xml:space="preserve"> (par défaut)</w:t>
      </w:r>
      <w:r>
        <w:rPr>
          <w:rStyle w:val="optioncarChar"/>
          <w:b/>
        </w:rPr>
        <w:t> / OPTION 2</w:t>
      </w:r>
    </w:p>
    <w:p w14:paraId="1469B460" w14:textId="77777777" w:rsidR="004B2808"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363981EB" w14:textId="77777777" w:rsidR="004B2808" w:rsidRDefault="00000000">
      <w:pPr>
        <w:pStyle w:val="pheading"/>
      </w:pPr>
      <w:r>
        <w:t>- nature du marché:</w:t>
      </w:r>
    </w:p>
    <w:p w14:paraId="5739F34E" w14:textId="77777777" w:rsidR="004B2808" w:rsidRDefault="00000000">
      <w:r>
        <w:rPr>
          <w:rStyle w:val="optioncarChar"/>
        </w:rPr>
        <w:t>PM</w:t>
      </w:r>
      <w:r>
        <w:t xml:space="preserve"> (par défaut) </w:t>
      </w:r>
      <w:r>
        <w:rPr>
          <w:rStyle w:val="optioncarChar"/>
        </w:rPr>
        <w:t>/ QF / ***</w:t>
      </w:r>
    </w:p>
    <w:p w14:paraId="6537D67E" w14:textId="77777777" w:rsidR="004B2808" w:rsidRDefault="00000000">
      <w:pPr>
        <w:pStyle w:val="Author-eSectionHeading6Numberless"/>
      </w:pPr>
      <w:bookmarkStart w:id="1420" w:name="_Toc220491523"/>
      <w:r>
        <w:t>56.11.2d Vitrages simples laqués sans fonction sécuritaire CCTB 01.02</w:t>
      </w:r>
      <w:bookmarkEnd w:id="1420"/>
    </w:p>
    <w:p w14:paraId="2A2C93D7" w14:textId="77777777" w:rsidR="004B2808" w:rsidRDefault="00000000">
      <w:pPr>
        <w:pStyle w:val="Author-eSectionHeading6Numberless"/>
      </w:pPr>
      <w:bookmarkStart w:id="1421" w:name="_Toc220491524"/>
      <w:r>
        <w:t>56.11.2e Vitrages simples émaillés sans fonction sécuritaire CCTB 01.02</w:t>
      </w:r>
      <w:bookmarkEnd w:id="1421"/>
    </w:p>
    <w:p w14:paraId="0B306072" w14:textId="77777777" w:rsidR="004B2808" w:rsidRDefault="00000000">
      <w:pPr>
        <w:pStyle w:val="Author-eSectionHeading6Numberless"/>
      </w:pPr>
      <w:bookmarkStart w:id="1422" w:name="_Toc220491525"/>
      <w:r>
        <w:t>56.11.2f Vitrages simples sérigraphiés sans fonction sécuritaire CCTB 01.02</w:t>
      </w:r>
      <w:bookmarkEnd w:id="1422"/>
    </w:p>
    <w:p w14:paraId="59F0B7E0" w14:textId="77777777" w:rsidR="004B2808" w:rsidRDefault="00000000">
      <w:pPr>
        <w:pStyle w:val="Author-eSectionHeading6Numberless"/>
      </w:pPr>
      <w:bookmarkStart w:id="1423" w:name="_Toc220491526"/>
      <w:r>
        <w:t>56.11.2g Vitrages simples feuilletés à intercalaires décoratifs sans fonction sécuritaire CCTB 01.02</w:t>
      </w:r>
      <w:bookmarkEnd w:id="1423"/>
    </w:p>
    <w:p w14:paraId="02CAEAA4" w14:textId="77777777" w:rsidR="004B2808" w:rsidRDefault="00000000">
      <w:pPr>
        <w:pStyle w:val="Author-eSectionHeading6Numberless"/>
      </w:pPr>
      <w:bookmarkStart w:id="1424" w:name="_Toc220491527"/>
      <w:r>
        <w:t>56.11.2h Vitrages simples teintés (colorés dans la masse) sans fonction sécuritaire CCTB 01.02</w:t>
      </w:r>
      <w:bookmarkEnd w:id="1424"/>
    </w:p>
    <w:p w14:paraId="3D983606" w14:textId="77777777" w:rsidR="004B2808" w:rsidRDefault="00000000">
      <w:pPr>
        <w:pStyle w:val="Author-eSectionHeading6Numberless"/>
      </w:pPr>
      <w:bookmarkStart w:id="1425" w:name="_Toc220491528"/>
      <w:r>
        <w:t>56.11.2i Vitrages simples armés sans fonction sécuritaire CCTB 01.10</w:t>
      </w:r>
      <w:bookmarkEnd w:id="1425"/>
    </w:p>
    <w:p w14:paraId="135D509D" w14:textId="77777777" w:rsidR="004B2808" w:rsidRDefault="00000000">
      <w:pPr>
        <w:pStyle w:val="pheading"/>
      </w:pPr>
      <w:r>
        <w:t>MATÉRIAUX</w:t>
      </w:r>
    </w:p>
    <w:p w14:paraId="7DEA45A3" w14:textId="77777777" w:rsidR="004B2808" w:rsidRDefault="00000000">
      <w:pPr>
        <w:pStyle w:val="pheading"/>
      </w:pPr>
      <w:r>
        <w:t>- Caractéristiques générales</w:t>
      </w:r>
    </w:p>
    <w:p w14:paraId="1F7E7DAC" w14:textId="77777777" w:rsidR="004B2808" w:rsidRDefault="00000000">
      <w:r>
        <w:rPr>
          <w:rStyle w:val="optioncarChar"/>
        </w:rPr>
        <w:t>Le verre à glace</w:t>
      </w:r>
      <w:r>
        <w:t xml:space="preserve"> (par défaut) </w:t>
      </w:r>
      <w:r>
        <w:rPr>
          <w:rStyle w:val="optioncarChar"/>
        </w:rPr>
        <w:t>/ verre coulé  / ***</w:t>
      </w:r>
      <w:r>
        <w:t> est armé de fils métalliques posés dans le verre en cours de fabrication afin de maintenir les éclats en cas de bris du vitrage.</w:t>
      </w:r>
    </w:p>
    <w:p w14:paraId="52A7E1E9" w14:textId="77777777" w:rsidR="004B2808" w:rsidRDefault="00000000">
      <w:r>
        <w:t>Le verre armé est du type:</w:t>
      </w:r>
    </w:p>
    <w:p w14:paraId="0D928ADA" w14:textId="77777777" w:rsidR="004B2808" w:rsidRDefault="00000000">
      <w:pPr>
        <w:ind w:left="454"/>
      </w:pPr>
      <w:r>
        <w:br/>
        <w:t>Choix opéré :</w:t>
      </w:r>
      <w:r>
        <w:rPr>
          <w:rStyle w:val="optioncarChar"/>
          <w:b/>
        </w:rPr>
        <w:t>*** / OPTION 1 </w:t>
      </w:r>
      <w:r>
        <w:t>(par défaut)</w:t>
      </w:r>
      <w:r>
        <w:rPr>
          <w:rStyle w:val="optioncarChar"/>
          <w:b/>
        </w:rPr>
        <w:t xml:space="preserve"> / OPTION 2 / OPTION 3</w:t>
      </w:r>
    </w:p>
    <w:p w14:paraId="49E5938D" w14:textId="77777777" w:rsidR="004B2808" w:rsidRDefault="00000000">
      <w:pPr>
        <w:ind w:left="454"/>
      </w:pPr>
      <w:r>
        <w:rPr>
          <w:b/>
        </w:rPr>
        <w:t>***OPTION 1</w:t>
      </w:r>
      <w:r>
        <w:t>(par défaut) : verre de silicate sodocalcique, plan,transparent, à face parallèles et polies suivant la norme [NBN EN 572-3]</w:t>
      </w:r>
    </w:p>
    <w:p w14:paraId="075A7792" w14:textId="77777777" w:rsidR="004B2808" w:rsidRDefault="00000000">
      <w:pPr>
        <w:ind w:left="454"/>
      </w:pPr>
      <w:r>
        <w:t>***</w:t>
      </w:r>
      <w:r>
        <w:rPr>
          <w:b/>
        </w:rPr>
        <w:t xml:space="preserve">OPTION 2 </w:t>
      </w:r>
      <w:r>
        <w:t xml:space="preserve">: verre imprimé armé </w:t>
      </w:r>
      <w:r>
        <w:br/>
      </w:r>
      <w:r>
        <w:rPr>
          <w:b/>
        </w:rPr>
        <w:t>***OPTION 3</w:t>
      </w:r>
      <w:r>
        <w:t xml:space="preserve"> : verre profilé armé suivant la norme [NBN EN 572-7]</w:t>
      </w:r>
    </w:p>
    <w:p w14:paraId="34A9CC5E" w14:textId="77777777" w:rsidR="004B2808" w:rsidRDefault="00000000">
      <w:pPr>
        <w:pStyle w:val="heading"/>
      </w:pPr>
      <w:r>
        <w:lastRenderedPageBreak/>
        <w:t>Spécifications</w:t>
      </w:r>
    </w:p>
    <w:p w14:paraId="7112120E" w14:textId="77777777" w:rsidR="004B2808" w:rsidRDefault="00000000">
      <w:pPr>
        <w:pStyle w:val="Author-eListParagraph"/>
        <w:numPr>
          <w:ilvl w:val="0"/>
          <w:numId w:val="1293"/>
        </w:numPr>
      </w:pPr>
      <w:r>
        <w:t>Les dimensions des mailles sont d'environ </w:t>
      </w:r>
      <w:r>
        <w:rPr>
          <w:rStyle w:val="optioncarChar"/>
        </w:rPr>
        <w:t>10 x 10</w:t>
      </w:r>
      <w:r>
        <w:t xml:space="preserve"> (par défaut) </w:t>
      </w:r>
      <w:r>
        <w:rPr>
          <w:rStyle w:val="optioncarChar"/>
        </w:rPr>
        <w:t xml:space="preserve">/ 12,5 x 12,5 / *** </w:t>
      </w:r>
      <w:r>
        <w:t>mm</w:t>
      </w:r>
    </w:p>
    <w:p w14:paraId="5D4B901B" w14:textId="77777777" w:rsidR="004B2808" w:rsidRDefault="00000000">
      <w:pPr>
        <w:pStyle w:val="Author-eListParagraph"/>
        <w:numPr>
          <w:ilvl w:val="0"/>
          <w:numId w:val="1293"/>
        </w:numPr>
      </w:pPr>
      <w:r>
        <w:t xml:space="preserve">Epaisseur minimale : </w:t>
      </w:r>
      <w:r>
        <w:rPr>
          <w:rStyle w:val="optioncarChar"/>
        </w:rPr>
        <w:t>6</w:t>
      </w:r>
      <w:r>
        <w:t> (par défaut)</w:t>
      </w:r>
      <w:r>
        <w:rPr>
          <w:rStyle w:val="optioncarChar"/>
        </w:rPr>
        <w:t> / ***</w:t>
      </w:r>
      <w:r>
        <w:t xml:space="preserve"> mm.</w:t>
      </w:r>
    </w:p>
    <w:p w14:paraId="36E440BD" w14:textId="77777777" w:rsidR="004B2808" w:rsidRDefault="00000000">
      <w:pPr>
        <w:pStyle w:val="Author-eListParagraph"/>
        <w:numPr>
          <w:ilvl w:val="0"/>
          <w:numId w:val="1293"/>
        </w:numPr>
      </w:pPr>
      <w:r>
        <w:t>Coloris :</w:t>
      </w:r>
      <w:r>
        <w:rPr>
          <w:rStyle w:val="optioncarChar"/>
        </w:rPr>
        <w:t> blanc</w:t>
      </w:r>
      <w:r>
        <w:t> (par défaut)</w:t>
      </w:r>
      <w:r>
        <w:rPr>
          <w:rStyle w:val="optioncarChar"/>
        </w:rPr>
        <w:t> / ***</w:t>
      </w:r>
    </w:p>
    <w:p w14:paraId="6D945FD5" w14:textId="77777777" w:rsidR="004B2808" w:rsidRDefault="00000000">
      <w:pPr>
        <w:pStyle w:val="Author-eListParagraph"/>
        <w:numPr>
          <w:ilvl w:val="0"/>
          <w:numId w:val="1293"/>
        </w:numPr>
      </w:pPr>
      <w:r>
        <w:t>Les cales de support, de réglage et d'espacement sont en matière synthétique .</w:t>
      </w:r>
    </w:p>
    <w:p w14:paraId="702D7206" w14:textId="77777777" w:rsidR="004B2808" w:rsidRDefault="00000000">
      <w:pPr>
        <w:pStyle w:val="Author-eListParagraph"/>
        <w:numPr>
          <w:ilvl w:val="0"/>
          <w:numId w:val="1293"/>
        </w:numPr>
      </w:pPr>
      <w:r>
        <w:t xml:space="preserve">La couleur </w:t>
      </w:r>
      <w:r>
        <w:rPr>
          <w:rStyle w:val="optioncarChar"/>
        </w:rPr>
        <w:t>du mastic élastique</w:t>
      </w:r>
      <w:r>
        <w:t> (par défaut)</w:t>
      </w:r>
      <w:r>
        <w:rPr>
          <w:rStyle w:val="optioncarChar"/>
        </w:rPr>
        <w:t xml:space="preserve"> / profil d'étanchéité est ***</w:t>
      </w:r>
    </w:p>
    <w:p w14:paraId="1A7C55EE" w14:textId="77777777" w:rsidR="004B2808" w:rsidRDefault="00000000">
      <w:pPr>
        <w:pStyle w:val="Author-eListParagraph"/>
        <w:numPr>
          <w:ilvl w:val="0"/>
          <w:numId w:val="1293"/>
        </w:numPr>
      </w:pPr>
      <w:r>
        <w:t>Les mastics sont destinés à être peints.</w:t>
      </w:r>
    </w:p>
    <w:p w14:paraId="2EF947C8" w14:textId="77777777" w:rsidR="004B2808" w:rsidRDefault="00000000">
      <w:pPr>
        <w:pStyle w:val="pheading"/>
      </w:pPr>
      <w:r>
        <w:t>EXÉCUTION / MISE EN ŒUVRE</w:t>
      </w:r>
    </w:p>
    <w:p w14:paraId="2C437F9A" w14:textId="77777777" w:rsidR="004B2808" w:rsidRDefault="00000000">
      <w:pPr>
        <w:pStyle w:val="pheading"/>
      </w:pPr>
      <w:r>
        <w:t>- Prescriptions générales</w:t>
      </w:r>
    </w:p>
    <w:p w14:paraId="3482F669" w14:textId="77777777" w:rsidR="004B2808" w:rsidRDefault="00000000">
      <w:r>
        <w:t>Le vitrage est rendu étanche à l'aide de :</w:t>
      </w:r>
    </w:p>
    <w:p w14:paraId="1F33EE37" w14:textId="77777777" w:rsidR="004B2808" w:rsidRDefault="00000000">
      <w:pPr>
        <w:pStyle w:val="Author-eListParagraph"/>
        <w:numPr>
          <w:ilvl w:val="0"/>
          <w:numId w:val="1294"/>
        </w:numPr>
      </w:pPr>
      <w:r>
        <w:t>un mastic élastique selon la norme [NBN S 23-002] et [STS 56]</w:t>
      </w:r>
    </w:p>
    <w:p w14:paraId="2646862E" w14:textId="77777777" w:rsidR="004B2808" w:rsidRDefault="00000000">
      <w:pPr>
        <w:pStyle w:val="Author-eListParagraph"/>
        <w:numPr>
          <w:ilvl w:val="0"/>
          <w:numId w:val="1294"/>
        </w:numPr>
      </w:pPr>
      <w:r>
        <w:t>un profil d'étanchéité élastique de la classe B selon la norme [NBN S 23-002] - § 2.2.34</w:t>
      </w:r>
    </w:p>
    <w:p w14:paraId="7A965026" w14:textId="77777777" w:rsidR="004B2808" w:rsidRDefault="00000000">
      <w:pPr>
        <w:pStyle w:val="Author-eListParagraph"/>
        <w:numPr>
          <w:ilvl w:val="0"/>
          <w:numId w:val="1294"/>
        </w:numPr>
      </w:pPr>
      <w:r>
        <w:t xml:space="preserve">un mastic plastique de type </w:t>
      </w:r>
      <w:r>
        <w:rPr>
          <w:rStyle w:val="optioncarChar"/>
        </w:rPr>
        <w:t>G</w:t>
      </w:r>
      <w:r>
        <w:t> (par défaut) </w:t>
      </w:r>
      <w:r>
        <w:rPr>
          <w:rStyle w:val="optioncarChar"/>
        </w:rPr>
        <w:t>/ ***</w:t>
      </w:r>
      <w:r>
        <w:t>  selon les [STS 56.1]</w:t>
      </w:r>
    </w:p>
    <w:p w14:paraId="738DBFE8" w14:textId="77777777" w:rsidR="004B2808" w:rsidRDefault="00000000">
      <w:pPr>
        <w:pStyle w:val="pheading"/>
      </w:pPr>
      <w:r>
        <w:t>MESURAGE</w:t>
      </w:r>
    </w:p>
    <w:p w14:paraId="20081C19" w14:textId="77777777" w:rsidR="004B2808" w:rsidRDefault="00000000">
      <w:pPr>
        <w:pStyle w:val="pheading"/>
      </w:pPr>
      <w:r>
        <w:t>- unité de mesure:</w:t>
      </w:r>
    </w:p>
    <w:p w14:paraId="722AA573" w14:textId="77777777" w:rsidR="004B2808" w:rsidRDefault="00000000">
      <w:r>
        <w:rPr>
          <w:rStyle w:val="optioncarChar"/>
        </w:rPr>
        <w:t>*** / m²</w:t>
      </w:r>
    </w:p>
    <w:p w14:paraId="691A19B9" w14:textId="77777777" w:rsidR="004B2808" w:rsidRDefault="00000000">
      <w:pPr>
        <w:pStyle w:val="pheading"/>
      </w:pPr>
      <w:r>
        <w:t>- code de mesurage:</w:t>
      </w:r>
    </w:p>
    <w:p w14:paraId="2959AC3E" w14:textId="77777777" w:rsidR="004B2808" w:rsidRDefault="00000000">
      <w:r>
        <w:t>Choix opéré :</w:t>
      </w:r>
      <w:r>
        <w:rPr>
          <w:rStyle w:val="optioncarChar"/>
          <w:b/>
        </w:rPr>
        <w:t>*** / OPTION 1 </w:t>
      </w:r>
      <w:r>
        <w:t>(par défaut)</w:t>
      </w:r>
      <w:r>
        <w:rPr>
          <w:rStyle w:val="optioncarChar"/>
          <w:b/>
        </w:rPr>
        <w:t> / OPTION 2</w:t>
      </w:r>
    </w:p>
    <w:p w14:paraId="70319EC9" w14:textId="77777777" w:rsidR="004B2808" w:rsidRDefault="00000000">
      <w:r>
        <w:rPr>
          <w:b/>
        </w:rPr>
        <w:t xml:space="preserve">***OPTION 1 </w:t>
      </w:r>
      <w:r>
        <w:t>(par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3AA5842C" w14:textId="77777777" w:rsidR="004B2808" w:rsidRDefault="00000000">
      <w:pPr>
        <w:pStyle w:val="pheading"/>
      </w:pPr>
      <w:r>
        <w:t>- nature du marché:</w:t>
      </w:r>
    </w:p>
    <w:p w14:paraId="7ACC6F43" w14:textId="77777777" w:rsidR="004B2808" w:rsidRDefault="00000000">
      <w:r>
        <w:rPr>
          <w:color w:val="FF0000"/>
        </w:rPr>
        <w:t xml:space="preserve">PM </w:t>
      </w:r>
      <w:r>
        <w:t>(par défaut) </w:t>
      </w:r>
      <w:r>
        <w:rPr>
          <w:color w:val="FF0000"/>
        </w:rPr>
        <w:t>/ QF / ***</w:t>
      </w:r>
    </w:p>
    <w:p w14:paraId="0FD55108" w14:textId="77777777" w:rsidR="004B2808" w:rsidRDefault="00000000">
      <w:pPr>
        <w:pStyle w:val="Author-eSectionHeading6Numberless"/>
      </w:pPr>
      <w:bookmarkStart w:id="1426" w:name="_Toc220491529"/>
      <w:r>
        <w:t>56.11.2j Vitrages simples étirés sans fonction sécuritaire CCTB 01.02</w:t>
      </w:r>
      <w:bookmarkEnd w:id="1426"/>
    </w:p>
    <w:p w14:paraId="059264C5" w14:textId="77777777" w:rsidR="004B2808" w:rsidRDefault="00000000">
      <w:pPr>
        <w:pStyle w:val="Author-eSectionHeading6Numberless"/>
      </w:pPr>
      <w:bookmarkStart w:id="1427" w:name="_Toc220491530"/>
      <w:r>
        <w:t>56.11.2k Vitrages simples soufflés sans fonction sécuritaire CCTB 01.02</w:t>
      </w:r>
      <w:bookmarkEnd w:id="1427"/>
    </w:p>
    <w:p w14:paraId="5C308A45" w14:textId="77777777" w:rsidR="004B2808" w:rsidRDefault="00000000">
      <w:pPr>
        <w:pStyle w:val="Author-eSectionHeading6Numberless"/>
      </w:pPr>
      <w:bookmarkStart w:id="1428" w:name="_Toc220491531"/>
      <w:r>
        <w:t>56.11.2l Vitraux décoratifs sans fonction sécuritaire CCTB 01.02</w:t>
      </w:r>
      <w:bookmarkEnd w:id="1428"/>
    </w:p>
    <w:p w14:paraId="4D355574" w14:textId="77777777" w:rsidR="004B2808" w:rsidRDefault="00000000">
      <w:pPr>
        <w:pStyle w:val="Author-eSectionHeading5Numberless"/>
      </w:pPr>
      <w:bookmarkStart w:id="1429" w:name="_Toc220491532"/>
      <w:r>
        <w:t>56.11.3 Vitrages simples profilés sans fonction sécuritaire CCTB 01.02</w:t>
      </w:r>
      <w:bookmarkEnd w:id="1429"/>
    </w:p>
    <w:p w14:paraId="121C1B8F" w14:textId="77777777" w:rsidR="004B2808" w:rsidRDefault="00000000">
      <w:pPr>
        <w:pStyle w:val="Author-eSectionHeading6Numberless"/>
      </w:pPr>
      <w:bookmarkStart w:id="1430" w:name="_Toc220491533"/>
      <w:r>
        <w:t>56.11.3a Vitrages simples profilés sans fonction sécuritaire CCTB 01.02</w:t>
      </w:r>
      <w:bookmarkEnd w:id="1430"/>
    </w:p>
    <w:p w14:paraId="5B59FD50" w14:textId="77777777" w:rsidR="004B2808" w:rsidRDefault="00000000">
      <w:pPr>
        <w:pStyle w:val="Author-eSectionHeading5Numberless"/>
      </w:pPr>
      <w:bookmarkStart w:id="1431" w:name="_Toc220491534"/>
      <w:r>
        <w:t>56.11.4 Vitrages simples spéciaux sans fonction sécuritaire CCTB 01.02</w:t>
      </w:r>
      <w:bookmarkEnd w:id="1431"/>
    </w:p>
    <w:p w14:paraId="2657C107" w14:textId="77777777" w:rsidR="004B2808" w:rsidRDefault="00000000">
      <w:pPr>
        <w:pStyle w:val="Author-eSectionHeading6Numberless"/>
      </w:pPr>
      <w:bookmarkStart w:id="1432" w:name="_Toc220491535"/>
      <w:r>
        <w:t>56.11.4a Vitrages simples bombés sans fonction sécuritaire CCTB 01.02</w:t>
      </w:r>
      <w:bookmarkEnd w:id="1432"/>
    </w:p>
    <w:p w14:paraId="0F94F0A7" w14:textId="77777777" w:rsidR="004B2808" w:rsidRDefault="00000000">
      <w:pPr>
        <w:pStyle w:val="Author-eSectionHeading6Numberless"/>
      </w:pPr>
      <w:bookmarkStart w:id="1433" w:name="_Toc220491536"/>
      <w:r>
        <w:t>56.11.4b Vitrages simples miroir sans fonction sécuritaire CCTB 01.02</w:t>
      </w:r>
      <w:bookmarkEnd w:id="1433"/>
    </w:p>
    <w:p w14:paraId="5FE0F89A" w14:textId="77777777" w:rsidR="004B2808" w:rsidRDefault="00000000">
      <w:pPr>
        <w:pStyle w:val="Author-eSectionHeading6Numberless"/>
      </w:pPr>
      <w:bookmarkStart w:id="1434" w:name="_Toc220491537"/>
      <w:r>
        <w:t>56.11.4c Vitrages simples chromogènes sans fonction sécuritaire CCTB 01.02</w:t>
      </w:r>
      <w:bookmarkEnd w:id="1434"/>
    </w:p>
    <w:p w14:paraId="54AE2627" w14:textId="77777777" w:rsidR="004B2808" w:rsidRDefault="00000000">
      <w:pPr>
        <w:pStyle w:val="Author-eSectionHeading4Numberless"/>
      </w:pPr>
      <w:bookmarkStart w:id="1435" w:name="_Toc220491538"/>
      <w:r>
        <w:t>56.12 Vitrages simples avec fonction sécuritaire CCTB 01.07</w:t>
      </w:r>
      <w:bookmarkEnd w:id="1435"/>
    </w:p>
    <w:p w14:paraId="37FA89D3" w14:textId="77777777" w:rsidR="004B2808" w:rsidRDefault="00000000">
      <w:pPr>
        <w:pStyle w:val="pheading"/>
      </w:pPr>
      <w:r>
        <w:t>MATÉRIAUX</w:t>
      </w:r>
    </w:p>
    <w:p w14:paraId="21862D75" w14:textId="77777777" w:rsidR="004B2808" w:rsidRDefault="00000000">
      <w:r>
        <w:lastRenderedPageBreak/>
        <w:t>Le vitrage de sécurité simple doit satisfaire aux normes [NBN S 23-002] et [NBN EN 12600]. En vue de déterminer l'épaisseur et/ou la composition du vitrage, il faut tenir compte de :</w:t>
      </w:r>
    </w:p>
    <w:p w14:paraId="338AB81F" w14:textId="77777777" w:rsidR="004B2808" w:rsidRDefault="00000000">
      <w:pPr>
        <w:pStyle w:val="Author-eListParagraph"/>
        <w:numPr>
          <w:ilvl w:val="0"/>
          <w:numId w:val="1295"/>
        </w:numPr>
      </w:pPr>
      <w:r>
        <w:t>la superficie du vitrage selon la norme [NBN S 23-002]</w:t>
      </w:r>
    </w:p>
    <w:p w14:paraId="6BC65633" w14:textId="77777777" w:rsidR="004B2808" w:rsidRDefault="00000000">
      <w:pPr>
        <w:pStyle w:val="Author-eListParagraph"/>
        <w:numPr>
          <w:ilvl w:val="0"/>
          <w:numId w:val="1295"/>
        </w:numPr>
      </w:pPr>
      <w:r>
        <w:t xml:space="preserve">les prescriptions mécaniques déterminées par la classe des tableaux de la norme </w:t>
      </w:r>
      <w:r>
        <w:rPr>
          <w:shd w:val="clear" w:color="auto" w:fill="FFFFFF"/>
        </w:rPr>
        <w:t>[NBN S 23-002]</w:t>
      </w:r>
    </w:p>
    <w:p w14:paraId="32E5D3AC" w14:textId="77777777" w:rsidR="004B2808" w:rsidRDefault="00000000">
      <w:pPr>
        <w:pStyle w:val="Author-eListParagraph"/>
        <w:numPr>
          <w:ilvl w:val="0"/>
          <w:numId w:val="1295"/>
        </w:numPr>
      </w:pPr>
      <w:r>
        <w:t>l'utilisation et de l'emplacement selon le tableau 5 de la norme [NBN S 23-002]</w:t>
      </w:r>
      <w:r>
        <w:br/>
      </w:r>
    </w:p>
    <w:p w14:paraId="35F62BC0" w14:textId="77777777" w:rsidR="004B2808" w:rsidRDefault="00000000">
      <w:pPr>
        <w:pStyle w:val="Author-eListParagraph"/>
        <w:numPr>
          <w:ilvl w:val="0"/>
          <w:numId w:val="1295"/>
        </w:numPr>
      </w:pPr>
      <w:r>
        <w:t xml:space="preserve">En ce qui concerne l'aspect de la sécurité, le vitrage porte une marque indélébile qui mentionne les données suivantes : </w:t>
      </w:r>
    </w:p>
    <w:p w14:paraId="3FF93C6B" w14:textId="77777777" w:rsidR="004B2808" w:rsidRDefault="00000000">
      <w:pPr>
        <w:pStyle w:val="Author-eListParagraph"/>
        <w:numPr>
          <w:ilvl w:val="1"/>
          <w:numId w:val="1296"/>
        </w:numPr>
      </w:pPr>
      <w:r>
        <w:t>la firme ou la marque du fabricant ou du dernier manufacturier.</w:t>
      </w:r>
    </w:p>
    <w:p w14:paraId="578F9C47" w14:textId="77777777" w:rsidR="004B2808" w:rsidRDefault="00000000">
      <w:pPr>
        <w:pStyle w:val="Author-eListParagraph"/>
        <w:numPr>
          <w:ilvl w:val="1"/>
          <w:numId w:val="1296"/>
        </w:numPr>
      </w:pPr>
      <w:r>
        <w:t>les numéros des essais auxquels le vitrage satisfait, précédés de la lettre T.</w:t>
      </w:r>
    </w:p>
    <w:p w14:paraId="3B6B2D9B" w14:textId="77777777" w:rsidR="004B2808" w:rsidRDefault="00000000">
      <w:pPr>
        <w:pStyle w:val="Author-eListParagraph"/>
        <w:numPr>
          <w:ilvl w:val="0"/>
          <w:numId w:val="1295"/>
        </w:numPr>
      </w:pPr>
      <w:r>
        <w:t>La sécurité des vitrages est jugée sur la base des essais T1 à T9, décrits dans la norme [NBN EN 12600]. En fonction du degré de protection prescrit, déterminé en fonction de la combinaison (cfr. tableau 5 de la norme [NBN S 23-002] ), le vitrage doit satisfaire à un certain nombre d'essais.</w:t>
      </w:r>
    </w:p>
    <w:p w14:paraId="19C156AC" w14:textId="77777777" w:rsidR="004B2808" w:rsidRDefault="00000000">
      <w:pPr>
        <w:pStyle w:val="pheading"/>
      </w:pPr>
      <w:r>
        <w:t>EXÉCUTION / MISE EN ŒUVRE</w:t>
      </w:r>
    </w:p>
    <w:p w14:paraId="2926C347" w14:textId="77777777" w:rsidR="004B2808" w:rsidRDefault="00000000">
      <w:r>
        <w:t>Le vitrage est posé selon [NIT 221] et la norme [NBN S 23-002] et les prescriptions du fabricant.</w:t>
      </w:r>
    </w:p>
    <w:p w14:paraId="4F1E3683" w14:textId="77777777" w:rsidR="004B2808" w:rsidRDefault="00000000">
      <w:pPr>
        <w:pStyle w:val="Author-eSectionHeading5Numberless"/>
      </w:pPr>
      <w:bookmarkStart w:id="1436" w:name="_Toc220491539"/>
      <w:r>
        <w:t>56.12.1 Vitrages à résistance mécanique avec fonction sécuritaire CCTB 01.02</w:t>
      </w:r>
      <w:bookmarkEnd w:id="1436"/>
    </w:p>
    <w:p w14:paraId="551E1083" w14:textId="77777777" w:rsidR="004B2808" w:rsidRDefault="00000000">
      <w:pPr>
        <w:pStyle w:val="Author-eSectionHeading6Numberless"/>
      </w:pPr>
      <w:bookmarkStart w:id="1437" w:name="_Toc220491540"/>
      <w:r>
        <w:t>56.12.1a Vitrages simples trempés avec fonction sécuritaire CCTB 01.10</w:t>
      </w:r>
      <w:bookmarkEnd w:id="1437"/>
    </w:p>
    <w:p w14:paraId="7D6C5205" w14:textId="77777777" w:rsidR="004B2808" w:rsidRDefault="00000000">
      <w:pPr>
        <w:pStyle w:val="pheading"/>
      </w:pPr>
      <w:r>
        <w:t>MATÉRIAUX</w:t>
      </w:r>
    </w:p>
    <w:p w14:paraId="3F938141" w14:textId="77777777" w:rsidR="004B2808" w:rsidRDefault="00000000">
      <w:pPr>
        <w:pStyle w:val="pheading"/>
      </w:pPr>
      <w:r>
        <w:t>- Caractéristiques générales</w:t>
      </w:r>
    </w:p>
    <w:p w14:paraId="18D262C6" w14:textId="77777777" w:rsidR="004B2808" w:rsidRDefault="00000000">
      <w:r>
        <w:t>Le vitrage de sécurité simple doit satisfaire à la norme [NBN S 23-002] . Il se compose d'une feuille de verre à glace clair.</w:t>
      </w:r>
    </w:p>
    <w:p w14:paraId="5A23F655" w14:textId="77777777" w:rsidR="004B2808" w:rsidRDefault="00000000">
      <w:pPr>
        <w:pStyle w:val="Author-eListParagraph"/>
        <w:numPr>
          <w:ilvl w:val="0"/>
          <w:numId w:val="1297"/>
        </w:numPr>
      </w:pPr>
      <w:r>
        <w:t>Les cales de support, de réglage et d'espacement sont en matière synthétique .</w:t>
      </w:r>
    </w:p>
    <w:p w14:paraId="30AE01C2" w14:textId="77777777" w:rsidR="004B2808" w:rsidRDefault="00000000">
      <w:pPr>
        <w:pStyle w:val="Author-eListParagraph"/>
        <w:numPr>
          <w:ilvl w:val="0"/>
          <w:numId w:val="1297"/>
        </w:numPr>
      </w:pPr>
      <w:r>
        <w:t xml:space="preserve">La couleur </w:t>
      </w:r>
      <w:r>
        <w:rPr>
          <w:rStyle w:val="optioncarChar"/>
        </w:rPr>
        <w:t>du mastic élastique </w:t>
      </w:r>
      <w:r>
        <w:t>(par défaut)</w:t>
      </w:r>
      <w:r>
        <w:rPr>
          <w:rStyle w:val="optioncarChar"/>
        </w:rPr>
        <w:t xml:space="preserve"> / profil d'étanchéité / ***</w:t>
      </w:r>
      <w:r>
        <w:t xml:space="preserve"> est </w:t>
      </w:r>
      <w:r>
        <w:rPr>
          <w:rStyle w:val="optioncarChar"/>
        </w:rPr>
        <w:t>***</w:t>
      </w:r>
    </w:p>
    <w:p w14:paraId="1E863204" w14:textId="77777777" w:rsidR="004B2808" w:rsidRDefault="00000000">
      <w:pPr>
        <w:pStyle w:val="Author-eListParagraph"/>
        <w:numPr>
          <w:ilvl w:val="0"/>
          <w:numId w:val="1297"/>
        </w:numPr>
      </w:pPr>
      <w:r>
        <w:t>Les mastics sont destinés à être peints.</w:t>
      </w:r>
    </w:p>
    <w:p w14:paraId="1D398252" w14:textId="77777777" w:rsidR="004B2808" w:rsidRDefault="00000000">
      <w:r>
        <w:t>Renvois au 42.14 Vitrages simples trempés et 42.14.1a Vitrages simples trempés</w:t>
      </w:r>
    </w:p>
    <w:p w14:paraId="4249467A" w14:textId="77777777" w:rsidR="004B2808" w:rsidRDefault="00000000">
      <w:pPr>
        <w:pStyle w:val="pheading"/>
      </w:pPr>
      <w:r>
        <w:t>EXÉCUTION / MISE EN ŒUVRE</w:t>
      </w:r>
    </w:p>
    <w:p w14:paraId="10218320" w14:textId="77777777" w:rsidR="004B2808" w:rsidRDefault="00000000">
      <w:pPr>
        <w:pStyle w:val="pheading"/>
      </w:pPr>
      <w:r>
        <w:t>- Prescriptions générales</w:t>
      </w:r>
    </w:p>
    <w:p w14:paraId="70B01D11" w14:textId="77777777" w:rsidR="004B2808" w:rsidRDefault="00000000">
      <w:r>
        <w:t>Le vitrage est rendu étanche à l'aide de :</w:t>
      </w:r>
    </w:p>
    <w:p w14:paraId="2F580917" w14:textId="77777777" w:rsidR="004B2808" w:rsidRDefault="00000000">
      <w:pPr>
        <w:pStyle w:val="Author-eListParagraph"/>
        <w:numPr>
          <w:ilvl w:val="0"/>
          <w:numId w:val="1298"/>
        </w:numPr>
      </w:pPr>
      <w:r>
        <w:t>un mastic élastique selon la norme [NBN S 23-002] et [STS 56]</w:t>
      </w:r>
    </w:p>
    <w:p w14:paraId="5F619131" w14:textId="77777777" w:rsidR="004B2808" w:rsidRDefault="00000000">
      <w:pPr>
        <w:pStyle w:val="Author-eListParagraph"/>
        <w:numPr>
          <w:ilvl w:val="0"/>
          <w:numId w:val="1298"/>
        </w:numPr>
      </w:pPr>
      <w:r>
        <w:t xml:space="preserve">un profil d'étanchéité élastique de type </w:t>
      </w:r>
      <w:r>
        <w:rPr>
          <w:rStyle w:val="optioncarChar"/>
        </w:rPr>
        <w:t>G</w:t>
      </w:r>
      <w:r>
        <w:t> (par défaut)</w:t>
      </w:r>
      <w:r>
        <w:rPr>
          <w:rStyle w:val="optioncarChar"/>
        </w:rPr>
        <w:t> / ***</w:t>
      </w:r>
      <w:r>
        <w:t>  selon les [STS 56.1]</w:t>
      </w:r>
    </w:p>
    <w:p w14:paraId="3D0BFCD6" w14:textId="77777777" w:rsidR="004B2808" w:rsidRDefault="00000000">
      <w:pPr>
        <w:pStyle w:val="pheading"/>
      </w:pPr>
      <w:r>
        <w:t>MESURAGE</w:t>
      </w:r>
    </w:p>
    <w:p w14:paraId="0FEF7723" w14:textId="77777777" w:rsidR="004B2808" w:rsidRDefault="00000000">
      <w:pPr>
        <w:pStyle w:val="pheading"/>
      </w:pPr>
      <w:r>
        <w:t>- unité de mesure:</w:t>
      </w:r>
    </w:p>
    <w:p w14:paraId="70BA2193" w14:textId="77777777" w:rsidR="004B2808" w:rsidRDefault="00000000">
      <w:r>
        <w:rPr>
          <w:rStyle w:val="optioncarChar"/>
        </w:rPr>
        <w:t xml:space="preserve">- </w:t>
      </w:r>
      <w:r>
        <w:t>(par défaut) / </w:t>
      </w:r>
      <w:r>
        <w:rPr>
          <w:rStyle w:val="optioncarChar"/>
        </w:rPr>
        <w:t>m² / ***</w:t>
      </w:r>
    </w:p>
    <w:p w14:paraId="2FA6F685" w14:textId="77777777" w:rsidR="004B2808" w:rsidRDefault="00000000">
      <w:pPr>
        <w:pStyle w:val="pheading"/>
      </w:pPr>
      <w:r>
        <w:t>- code de mesurage:</w:t>
      </w:r>
    </w:p>
    <w:p w14:paraId="334C185F" w14:textId="77777777" w:rsidR="004B2808" w:rsidRDefault="00000000">
      <w:r>
        <w:t>Choix opéré :</w:t>
      </w:r>
      <w:r>
        <w:rPr>
          <w:rStyle w:val="optioncarChar"/>
          <w:b/>
        </w:rPr>
        <w:t>*** / OPTION 1 </w:t>
      </w:r>
      <w:r>
        <w:t xml:space="preserve">(par défaut) </w:t>
      </w:r>
      <w:r>
        <w:rPr>
          <w:rStyle w:val="optioncarChar"/>
          <w:b/>
        </w:rPr>
        <w:t>/ OPTION 2</w:t>
      </w:r>
    </w:p>
    <w:p w14:paraId="094FB601" w14:textId="77777777" w:rsidR="004B2808"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w:t>
      </w:r>
      <w:r>
        <w:lastRenderedPageBreak/>
        <w:t>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5205EE66" w14:textId="77777777" w:rsidR="004B2808" w:rsidRDefault="00000000">
      <w:pPr>
        <w:pStyle w:val="pheading"/>
      </w:pPr>
      <w:r>
        <w:t>- nature du marché:</w:t>
      </w:r>
    </w:p>
    <w:p w14:paraId="48979512" w14:textId="77777777" w:rsidR="004B2808" w:rsidRDefault="00000000">
      <w:r>
        <w:rPr>
          <w:rStyle w:val="optioncarChar"/>
        </w:rPr>
        <w:t xml:space="preserve">*** / PM / QF  </w:t>
      </w:r>
    </w:p>
    <w:p w14:paraId="7A3EC175" w14:textId="77777777" w:rsidR="004B2808" w:rsidRDefault="00000000">
      <w:pPr>
        <w:pStyle w:val="Author-eSectionHeading6Numberless"/>
      </w:pPr>
      <w:bookmarkStart w:id="1438" w:name="_Toc220491541"/>
      <w:r>
        <w:t>56.12.1b Vitrages simples feuilletés avec fonction sécuritaire CCTB 01.10</w:t>
      </w:r>
      <w:bookmarkEnd w:id="1438"/>
    </w:p>
    <w:p w14:paraId="54909140" w14:textId="77777777" w:rsidR="004B2808" w:rsidRDefault="00000000">
      <w:pPr>
        <w:pStyle w:val="pheading"/>
      </w:pPr>
      <w:r>
        <w:t>DESCRIPTION</w:t>
      </w:r>
    </w:p>
    <w:p w14:paraId="492125E2" w14:textId="77777777" w:rsidR="004B2808" w:rsidRDefault="00000000">
      <w:pPr>
        <w:pStyle w:val="pheading"/>
      </w:pPr>
      <w:r>
        <w:t>- Définition / Comprend</w:t>
      </w:r>
    </w:p>
    <w:p w14:paraId="17B71C95" w14:textId="77777777" w:rsidR="004B2808" w:rsidRDefault="00000000">
      <w:r>
        <w:t>Le vitrage de sécurité intérieur simple en verre feuilleté se compose de deux ou de plusieurs feuilles de verre assemblées en adhérence totale avec interposition de films intercalaires.</w:t>
      </w:r>
    </w:p>
    <w:p w14:paraId="66D02C8F" w14:textId="77777777" w:rsidR="004B2808" w:rsidRDefault="00000000">
      <w:pPr>
        <w:pStyle w:val="pheading"/>
      </w:pPr>
      <w:r>
        <w:t>MATÉRIAUX</w:t>
      </w:r>
    </w:p>
    <w:p w14:paraId="5B4A5F23" w14:textId="77777777" w:rsidR="004B2808" w:rsidRDefault="00000000">
      <w:pPr>
        <w:pStyle w:val="pheading"/>
      </w:pPr>
      <w:r>
        <w:t>- Caractéristiques générales</w:t>
      </w:r>
    </w:p>
    <w:p w14:paraId="4F309EDA" w14:textId="77777777" w:rsidR="004B2808" w:rsidRDefault="00000000">
      <w:r>
        <w:t>Les feuilles de verre à glace sont conformes aux spécifications de la norme [NBN S 23-002] . Les feuilles intercalaires sont fabriquées en butyral de polyvinyle d'environ </w:t>
      </w:r>
      <w:r>
        <w:rPr>
          <w:rStyle w:val="optioncarChar"/>
        </w:rPr>
        <w:t>0,38</w:t>
      </w:r>
      <w:r>
        <w:t> (par défaut)</w:t>
      </w:r>
      <w:r>
        <w:rPr>
          <w:rStyle w:val="optioncarChar"/>
        </w:rPr>
        <w:t> / *** </w:t>
      </w:r>
      <w:r>
        <w:t xml:space="preserve"> mm d’épaisseur. Lorsque la production ou les possibilités de pose sont restreintes, la combinaison de verre et de butyral de polyvinyle doit être remplacée par une combinaison de verre, de polycarbonate et de films intercalaires appropriés. Le fabricant atteste par écrit, à l'aide des résultats des essais, qu'il est satisfait aux essais T requis. Cette application ne donne lieu à aucun décompte.</w:t>
      </w:r>
    </w:p>
    <w:p w14:paraId="174AE292" w14:textId="77777777" w:rsidR="004B2808" w:rsidRDefault="00000000">
      <w:pPr>
        <w:pStyle w:val="heading"/>
      </w:pPr>
      <w:r>
        <w:t>Spécifications</w:t>
      </w:r>
    </w:p>
    <w:p w14:paraId="2EE2B88E" w14:textId="77777777" w:rsidR="004B2808" w:rsidRDefault="00000000">
      <w:r>
        <w:t>Les cales de support, de réglage et d'espacement sont en matière synthétique .</w:t>
      </w:r>
    </w:p>
    <w:p w14:paraId="4ACEFE4C" w14:textId="77777777" w:rsidR="004B2808" w:rsidRDefault="00000000">
      <w:r>
        <w:t>Le vitrage est :</w:t>
      </w:r>
      <w:r>
        <w:rPr>
          <w:rStyle w:val="optioncarChar"/>
        </w:rPr>
        <w:t> incolore</w:t>
      </w:r>
      <w:r>
        <w:t> (par défaut)</w:t>
      </w:r>
      <w:r>
        <w:rPr>
          <w:rStyle w:val="optioncarChar"/>
        </w:rPr>
        <w:t xml:space="preserve"> / de teinte *** / ***.</w:t>
      </w:r>
    </w:p>
    <w:p w14:paraId="01FE73DE" w14:textId="77777777" w:rsidR="004B2808" w:rsidRDefault="00000000">
      <w:r>
        <w:t>Le vitrage est : </w:t>
      </w:r>
      <w:r>
        <w:rPr>
          <w:rStyle w:val="optioncarChar"/>
        </w:rPr>
        <w:t>non réfléchissant</w:t>
      </w:r>
      <w:r>
        <w:t> (par défaut)</w:t>
      </w:r>
      <w:r>
        <w:rPr>
          <w:rStyle w:val="optioncarChar"/>
        </w:rPr>
        <w:t xml:space="preserve"> / réfléchissant / ***.</w:t>
      </w:r>
    </w:p>
    <w:p w14:paraId="19AFBF5A" w14:textId="77777777" w:rsidR="004B2808" w:rsidRDefault="00000000">
      <w:r>
        <w:t>Finition des bords</w:t>
      </w:r>
    </w:p>
    <w:p w14:paraId="064C9FEA" w14:textId="77777777" w:rsidR="004B2808" w:rsidRDefault="00000000">
      <w:r>
        <w:t>taille rugueuse</w:t>
      </w:r>
    </w:p>
    <w:p w14:paraId="449F91AD" w14:textId="77777777" w:rsidR="004B2808" w:rsidRDefault="00000000">
      <w:r>
        <w:t>taille lisse à bords biseautés</w:t>
      </w:r>
    </w:p>
    <w:p w14:paraId="38A46022" w14:textId="77777777" w:rsidR="004B2808" w:rsidRDefault="00000000">
      <w:r>
        <w:t xml:space="preserve">taille en biseau sous un angle de </w:t>
      </w:r>
      <w:r>
        <w:rPr>
          <w:rStyle w:val="optioncarChar"/>
        </w:rPr>
        <w:t>***</w:t>
      </w:r>
      <w:r>
        <w:t xml:space="preserve"> par rapport à la surface du verre.</w:t>
      </w:r>
    </w:p>
    <w:p w14:paraId="1508BA5E" w14:textId="77777777" w:rsidR="004B2808" w:rsidRDefault="00000000">
      <w:r>
        <w:t xml:space="preserve">En vue de déterminer l'épaisseur, la nature et la composition, il faut tenir compte des prescriptions mécaniques selon la norme [NBN S 23-002] afin de pouvoir satisfaire aux essais (vitrage avec sécurité de base, c'est-à-dire que les couches intercalaires en butyral de polyvinyle présentent une épaisseur d'environ 0,38 mm) selon la norme [NBN EN 12600] de classe </w:t>
      </w:r>
      <w:r>
        <w:rPr>
          <w:rStyle w:val="optioncarChar"/>
        </w:rPr>
        <w:t>A1</w:t>
      </w:r>
      <w:r>
        <w:t> (par défaut)</w:t>
      </w:r>
      <w:r>
        <w:rPr>
          <w:rStyle w:val="optioncarChar"/>
        </w:rPr>
        <w:t xml:space="preserve"> / 1B1 / 1C1 / ***</w:t>
      </w:r>
    </w:p>
    <w:p w14:paraId="0AE25C9A" w14:textId="77777777" w:rsidR="004B2808" w:rsidRDefault="00000000">
      <w:r>
        <w:t>La couleur du </w:t>
      </w:r>
      <w:r>
        <w:rPr>
          <w:rStyle w:val="optioncarChar"/>
        </w:rPr>
        <w:t>mastic élastique</w:t>
      </w:r>
      <w:r>
        <w:t xml:space="preserve"> (par défaut) </w:t>
      </w:r>
      <w:r>
        <w:rPr>
          <w:rStyle w:val="optioncarChar"/>
        </w:rPr>
        <w:t>/ profil d'étanchéité / ***</w:t>
      </w:r>
      <w:r>
        <w:t xml:space="preserve"> est </w:t>
      </w:r>
      <w:r>
        <w:rPr>
          <w:rStyle w:val="optioncarChar"/>
        </w:rPr>
        <w:t>***</w:t>
      </w:r>
    </w:p>
    <w:p w14:paraId="2907391E" w14:textId="77777777" w:rsidR="004B2808" w:rsidRDefault="00000000">
      <w:r>
        <w:t>Les mastics sont destinés à être peints.</w:t>
      </w:r>
    </w:p>
    <w:p w14:paraId="1526FE15" w14:textId="77777777" w:rsidR="004B2808" w:rsidRDefault="00000000">
      <w:pPr>
        <w:pStyle w:val="pheading"/>
      </w:pPr>
      <w:r>
        <w:t>EXÉCUTION / MISE EN ŒUVRE</w:t>
      </w:r>
    </w:p>
    <w:p w14:paraId="13EE185D" w14:textId="77777777" w:rsidR="004B2808" w:rsidRDefault="00000000">
      <w:pPr>
        <w:pStyle w:val="pheading"/>
      </w:pPr>
      <w:r>
        <w:t>- Prescriptions générales</w:t>
      </w:r>
    </w:p>
    <w:p w14:paraId="30296C1F" w14:textId="77777777" w:rsidR="004B2808" w:rsidRDefault="00000000">
      <w:r>
        <w:t>Le vitrage est rendu étanche à l'aide de :</w:t>
      </w:r>
    </w:p>
    <w:p w14:paraId="4025ADEA" w14:textId="77777777" w:rsidR="004B2808" w:rsidRDefault="00000000">
      <w:pPr>
        <w:pStyle w:val="Author-eListParagraph"/>
        <w:numPr>
          <w:ilvl w:val="0"/>
          <w:numId w:val="1299"/>
        </w:numPr>
      </w:pPr>
      <w:r>
        <w:t>un mastic élastique de type G selon [STS 56] sur un profil de remplissage</w:t>
      </w:r>
    </w:p>
    <w:p w14:paraId="008DBCE2" w14:textId="77777777" w:rsidR="004B2808" w:rsidRDefault="00000000">
      <w:pPr>
        <w:pStyle w:val="Author-eListParagraph"/>
        <w:numPr>
          <w:ilvl w:val="0"/>
          <w:numId w:val="1299"/>
        </w:numPr>
      </w:pPr>
      <w:r>
        <w:t>un profil d'étanchéité élastique selon la norme [NBN S 23-002]</w:t>
      </w:r>
    </w:p>
    <w:p w14:paraId="5893D988" w14:textId="77777777" w:rsidR="004B2808" w:rsidRDefault="00000000">
      <w:pPr>
        <w:pStyle w:val="pheading"/>
      </w:pPr>
      <w:r>
        <w:t>MESURAGE</w:t>
      </w:r>
    </w:p>
    <w:p w14:paraId="3B0D0F6C" w14:textId="77777777" w:rsidR="004B2808" w:rsidRDefault="00000000">
      <w:pPr>
        <w:pStyle w:val="pheading"/>
      </w:pPr>
      <w:r>
        <w:t>- unité de mesure:</w:t>
      </w:r>
    </w:p>
    <w:p w14:paraId="7F157F71" w14:textId="77777777" w:rsidR="004B2808" w:rsidRDefault="00000000">
      <w:r>
        <w:rPr>
          <w:rStyle w:val="optioncarChar"/>
        </w:rPr>
        <w:t>-</w:t>
      </w:r>
      <w:r>
        <w:t> (par défaut</w:t>
      </w:r>
      <w:r>
        <w:rPr>
          <w:rStyle w:val="optioncarChar"/>
        </w:rPr>
        <w:t>) / m² / ***  </w:t>
      </w:r>
    </w:p>
    <w:p w14:paraId="76C710C0" w14:textId="77777777" w:rsidR="004B2808" w:rsidRDefault="00000000">
      <w:pPr>
        <w:pStyle w:val="pheading"/>
      </w:pPr>
      <w:r>
        <w:t>- code de mesurage:</w:t>
      </w:r>
    </w:p>
    <w:p w14:paraId="4DDA9BF2" w14:textId="77777777" w:rsidR="004B2808" w:rsidRDefault="00000000">
      <w:r>
        <w:lastRenderedPageBreak/>
        <w:t xml:space="preserve">Choix opéré : </w:t>
      </w:r>
      <w:r>
        <w:rPr>
          <w:rStyle w:val="optioncarChar"/>
          <w:b/>
        </w:rPr>
        <w:t>*** / OPTION 1</w:t>
      </w:r>
      <w:r>
        <w:t> (par défaut)</w:t>
      </w:r>
      <w:r>
        <w:rPr>
          <w:rStyle w:val="optioncarChar"/>
          <w:b/>
        </w:rPr>
        <w:t xml:space="preserve"> / OPTION 2</w:t>
      </w:r>
    </w:p>
    <w:p w14:paraId="569D790A" w14:textId="77777777" w:rsidR="004B2808"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72396493" w14:textId="77777777" w:rsidR="004B2808" w:rsidRDefault="00000000">
      <w:pPr>
        <w:pStyle w:val="pheading"/>
      </w:pPr>
      <w:r>
        <w:t>- nature du marché:</w:t>
      </w:r>
    </w:p>
    <w:p w14:paraId="1ED4437B" w14:textId="77777777" w:rsidR="004B2808" w:rsidRDefault="00000000">
      <w:r>
        <w:rPr>
          <w:rStyle w:val="optioncarChar"/>
        </w:rPr>
        <w:t>PM</w:t>
      </w:r>
      <w:r>
        <w:t> (par défaut)</w:t>
      </w:r>
      <w:r>
        <w:rPr>
          <w:rStyle w:val="optioncarChar"/>
        </w:rPr>
        <w:t xml:space="preserve"> / QF / ***</w:t>
      </w:r>
    </w:p>
    <w:p w14:paraId="502D84B3" w14:textId="77777777" w:rsidR="004B2808" w:rsidRDefault="00000000">
      <w:pPr>
        <w:pStyle w:val="Author-eSectionHeading6Numberless"/>
      </w:pPr>
      <w:bookmarkStart w:id="1439" w:name="_Toc220491542"/>
      <w:r>
        <w:t>56.12.1c Vitrages simples à traitements combinés avec fonction sécuritaire CCTB 01.02</w:t>
      </w:r>
      <w:bookmarkEnd w:id="1439"/>
    </w:p>
    <w:p w14:paraId="7D4897A6" w14:textId="77777777" w:rsidR="004B2808" w:rsidRDefault="00000000">
      <w:pPr>
        <w:pStyle w:val="Author-eSectionHeading5Numberless"/>
      </w:pPr>
      <w:bookmarkStart w:id="1440" w:name="_Toc220491543"/>
      <w:r>
        <w:t>56.12.2 Vitrages à résistance spécifique avec fonction sécuritaire CCTB 01.02</w:t>
      </w:r>
      <w:bookmarkEnd w:id="1440"/>
    </w:p>
    <w:p w14:paraId="64EEA63A" w14:textId="77777777" w:rsidR="004B2808" w:rsidRDefault="00000000">
      <w:pPr>
        <w:pStyle w:val="Author-eSectionHeading6Numberless"/>
      </w:pPr>
      <w:bookmarkStart w:id="1441" w:name="_Toc220491544"/>
      <w:r>
        <w:t>56.12.2a Vitrages simples résistants au feu avec fonction sécuritaire CCTB 01.13</w:t>
      </w:r>
      <w:bookmarkEnd w:id="1441"/>
    </w:p>
    <w:p w14:paraId="326BE0B4" w14:textId="77777777" w:rsidR="004B2808" w:rsidRDefault="00000000">
      <w:pPr>
        <w:pStyle w:val="pheading"/>
      </w:pPr>
      <w:r>
        <w:t>MATÉRIAUX</w:t>
      </w:r>
    </w:p>
    <w:p w14:paraId="6F9826DD" w14:textId="77777777" w:rsidR="004B2808" w:rsidRDefault="00000000">
      <w:pPr>
        <w:pStyle w:val="pheading"/>
      </w:pPr>
      <w:r>
        <w:t>- Caractéristiques générales</w:t>
      </w:r>
    </w:p>
    <w:p w14:paraId="3B17E572" w14:textId="77777777" w:rsidR="004B2808" w:rsidRDefault="00000000">
      <w:r>
        <w:t>Verre dans la construction - Eléments de construction vitrés résistant au feu incluant des produits verriers transparents ou translucides - Classification de la résistance au feu. Les feuilles de verre sont assemblées par un film intercalaire qui gonfle sous l'influence de la chaleur. Le vitrage est transparent et de teinte neutre. La vue ne peut être empêchée par aucun renfort sous forme de fils ou de fibres. Un rapport d'essai relatif au vitrage et à l'élément de construction délivré par un laboratoire officiellement agréé est soumis à l'approbation de l'auteur de projet.</w:t>
      </w:r>
    </w:p>
    <w:p w14:paraId="1ECA1551" w14:textId="77777777" w:rsidR="004B2808" w:rsidRDefault="00000000">
      <w:r>
        <w:t xml:space="preserve">Les vitrages sont feuilletés et doivent satisfaire en outre aux essais de résistance aux chocs de classe </w:t>
      </w:r>
      <w:r>
        <w:rPr>
          <w:rStyle w:val="optioncarChar"/>
        </w:rPr>
        <w:t>1A1</w:t>
      </w:r>
      <w:r>
        <w:t> (par défaut)</w:t>
      </w:r>
      <w:r>
        <w:rPr>
          <w:rStyle w:val="optioncarChar"/>
        </w:rPr>
        <w:t xml:space="preserve"> / 1B1 / 1C1 / *** </w:t>
      </w:r>
      <w:r>
        <w:t>selon la norme [NBN EN 12600]</w:t>
      </w:r>
    </w:p>
    <w:p w14:paraId="49A0822B" w14:textId="77777777" w:rsidR="004B2808" w:rsidRDefault="00000000">
      <w:r>
        <w:rPr>
          <w:b/>
          <w:sz w:val="24"/>
        </w:rPr>
        <w:t>Rf 1/2 h ou REI 30min</w:t>
      </w:r>
    </w:p>
    <w:p w14:paraId="2DAE78E0" w14:textId="77777777" w:rsidR="004B2808" w:rsidRDefault="00000000">
      <w:r>
        <w:t>Le vitrage présente une résistance au feu REI 30min selon la [NBN EN 13501-2] ou Rf 1/2 h, selon la [NBN 713-020] tant qu’elle est encore d’application et doit simultanément satisfaire aux critères d'isolation thermique au feu, de stabilité au feu et d'étanchéité aux flammes.</w:t>
      </w:r>
    </w:p>
    <w:p w14:paraId="195FE745" w14:textId="77777777" w:rsidR="004B2808" w:rsidRDefault="00000000">
      <w:r>
        <w:rPr>
          <w:b/>
          <w:sz w:val="24"/>
        </w:rPr>
        <w:t>Rf 1 h ou REI 60min </w:t>
      </w:r>
    </w:p>
    <w:p w14:paraId="0F37F6E5" w14:textId="77777777" w:rsidR="004B2808" w:rsidRDefault="00000000">
      <w:r>
        <w:t>Le vitrage présente une résistance au feu REI 60min selon la [NBN EN 13501-2] ou Rf 1 h, selon la [NBN 713-020] tant qu’elle est encore d’application et doit simultanément satisfaire aux critères d'isolation thermique au feu, de stabilité au feu et d'étanchéité aux flammes.</w:t>
      </w:r>
    </w:p>
    <w:p w14:paraId="710764D6" w14:textId="77777777" w:rsidR="004B2808" w:rsidRDefault="00000000">
      <w:pPr>
        <w:pStyle w:val="pheading"/>
      </w:pPr>
      <w:r>
        <w:t>EXÉCUTION / MISE EN ŒUVRE</w:t>
      </w:r>
    </w:p>
    <w:p w14:paraId="43B4680B" w14:textId="77777777" w:rsidR="004B2808" w:rsidRDefault="00000000">
      <w:pPr>
        <w:pStyle w:val="pheading"/>
      </w:pPr>
      <w:r>
        <w:t>- Prescriptions générales</w:t>
      </w:r>
    </w:p>
    <w:p w14:paraId="7B084309" w14:textId="77777777" w:rsidR="004B2808" w:rsidRDefault="00000000">
      <w:r>
        <w:t>Les vitrages résistant au feu sont livrés en pièces prêtes à poser et ne peuvent pas être découpés ni usinés.</w:t>
      </w:r>
      <w:r>
        <w:br/>
        <w:t>Le vitrage est bien centré dans le châssis avec un jeu périphérique suffisant.</w:t>
      </w:r>
      <w:r>
        <w:br/>
        <w:t>Les cales ou bandes de réglage et les produits de remplissage des joints sont constitués de matériaux qui conservent leur souplesse. Les cales de support sont de préférence en bois dur traité. La largeur des cales est au moins égale à l'épaisseur du vitrage.</w:t>
      </w:r>
      <w:r>
        <w:br/>
        <w:t>La mise en œuvre s'effectue selon les directives du fabricant des vitrages.  </w:t>
      </w:r>
    </w:p>
    <w:p w14:paraId="0700B6B2" w14:textId="77777777" w:rsidR="004B2808" w:rsidRDefault="00000000">
      <w:pPr>
        <w:pStyle w:val="pheading"/>
      </w:pPr>
      <w:r>
        <w:t>- Notes d’exécution complémentaires</w:t>
      </w:r>
    </w:p>
    <w:p w14:paraId="416D790B" w14:textId="77777777" w:rsidR="004B2808" w:rsidRDefault="00000000">
      <w:r>
        <w:lastRenderedPageBreak/>
        <w:t>Les vitrages sont posés avec un jeu périphérique de 4 mm et un jeu latéral de 5 mm.</w:t>
      </w:r>
    </w:p>
    <w:p w14:paraId="1FC9858C" w14:textId="77777777" w:rsidR="004B2808" w:rsidRDefault="00000000">
      <w:pPr>
        <w:pStyle w:val="pheading"/>
      </w:pPr>
      <w:r>
        <w:t>MESURAGE</w:t>
      </w:r>
    </w:p>
    <w:p w14:paraId="11150A94" w14:textId="77777777" w:rsidR="004B2808" w:rsidRDefault="00000000">
      <w:pPr>
        <w:pStyle w:val="pheading"/>
      </w:pPr>
      <w:r>
        <w:t>- unité de mesure:</w:t>
      </w:r>
    </w:p>
    <w:p w14:paraId="6F438483" w14:textId="77777777" w:rsidR="004B2808" w:rsidRDefault="00000000">
      <w:r>
        <w:rPr>
          <w:rStyle w:val="optioncarChar"/>
        </w:rPr>
        <w:t>-</w:t>
      </w:r>
      <w:r>
        <w:t xml:space="preserve"> (par défaut) </w:t>
      </w:r>
      <w:r>
        <w:rPr>
          <w:rStyle w:val="optioncarChar"/>
        </w:rPr>
        <w:t>/ m² / ***</w:t>
      </w:r>
    </w:p>
    <w:p w14:paraId="0C3F9100" w14:textId="77777777" w:rsidR="004B2808" w:rsidRDefault="00000000">
      <w:pPr>
        <w:pStyle w:val="pheading"/>
      </w:pPr>
      <w:r>
        <w:t>- code de mesurage:</w:t>
      </w:r>
    </w:p>
    <w:p w14:paraId="7DAA66C4" w14:textId="77777777" w:rsidR="004B2808" w:rsidRDefault="00000000">
      <w:r>
        <w:t>Choix opéré :</w:t>
      </w:r>
      <w:r>
        <w:rPr>
          <w:rStyle w:val="optioncarChar"/>
          <w:b/>
        </w:rPr>
        <w:t>*** / OPTION 1</w:t>
      </w:r>
      <w:r>
        <w:t xml:space="preserve"> (par défaut) </w:t>
      </w:r>
      <w:r>
        <w:rPr>
          <w:rStyle w:val="optioncarChar"/>
          <w:b/>
        </w:rPr>
        <w:t>/ OPTION 2</w:t>
      </w:r>
    </w:p>
    <w:p w14:paraId="0D356F22" w14:textId="77777777" w:rsidR="004B2808"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55F51DA1" w14:textId="77777777" w:rsidR="004B2808" w:rsidRDefault="00000000">
      <w:pPr>
        <w:pStyle w:val="pheading"/>
      </w:pPr>
      <w:r>
        <w:t>- nature du marché:</w:t>
      </w:r>
    </w:p>
    <w:p w14:paraId="377E7EC2" w14:textId="77777777" w:rsidR="004B2808" w:rsidRDefault="00000000">
      <w:r>
        <w:rPr>
          <w:rStyle w:val="optioncarChar"/>
        </w:rPr>
        <w:t>PM</w:t>
      </w:r>
      <w:r>
        <w:t xml:space="preserve"> (par défaut) </w:t>
      </w:r>
      <w:r>
        <w:rPr>
          <w:rStyle w:val="optioncarChar"/>
        </w:rPr>
        <w:t>/ QF / ***</w:t>
      </w:r>
    </w:p>
    <w:p w14:paraId="0AD1A714" w14:textId="77777777" w:rsidR="004B2808" w:rsidRDefault="00000000">
      <w:pPr>
        <w:pStyle w:val="Author-eSectionHeading6Numberless"/>
      </w:pPr>
      <w:bookmarkStart w:id="1442" w:name="_Toc220491545"/>
      <w:r>
        <w:t>56.12.2b Vitrages simples anti-radiations avec fonction sécuritaire CCTB 01.02</w:t>
      </w:r>
      <w:bookmarkEnd w:id="1442"/>
    </w:p>
    <w:p w14:paraId="28037280" w14:textId="77777777" w:rsidR="004B2808" w:rsidRDefault="00000000">
      <w:pPr>
        <w:pStyle w:val="Author-eSectionHeading3Numberless"/>
      </w:pPr>
      <w:bookmarkStart w:id="1443" w:name="_Toc220491546"/>
      <w:r>
        <w:t>56.2 Vitrages (isolants) doubles CCTB 01.10</w:t>
      </w:r>
      <w:bookmarkEnd w:id="1443"/>
    </w:p>
    <w:p w14:paraId="274C4FE0" w14:textId="77777777" w:rsidR="004B2808" w:rsidRDefault="00000000">
      <w:pPr>
        <w:pStyle w:val="pheading"/>
      </w:pPr>
      <w:bookmarkStart w:id="1444" w:name="1331"/>
      <w:bookmarkEnd w:id="1444"/>
      <w:r>
        <w:t>MATÉRIAUX</w:t>
      </w:r>
    </w:p>
    <w:p w14:paraId="35A100C5" w14:textId="77777777" w:rsidR="004B2808" w:rsidRDefault="00000000">
      <w:r>
        <w:t>Le vitrage multiple isolant doit satisfaire aux dispositions de la [NBN S 23-002] . Les vitres sont séparées par un vide d'air déshydraté et assemblées par un profil qui est rendu parfaitement étanche. L'épaisseur des vitres est déterminée en fonction de leur superficie selon les critères établis dans la [NBN S 23-002] et la pression dynamique de base. L'entrepreneur garantit le vitrage contre les troubles de la vue par condensation ou dépôt de poussière pendant 10 ans.</w:t>
      </w:r>
    </w:p>
    <w:p w14:paraId="7CA74879" w14:textId="77777777" w:rsidR="004B2808" w:rsidRDefault="00000000">
      <w:r>
        <w:t>Lorsque des mastics sont utilisés, ceux-ci doivent être compatibles chimiquement aux profils et/ou aux produits de traitement de la menuiserie intérieure. Lorsque le fabricant des mastics le préconise, un primer approprié est préalablement appliqué. Un certificat attestant de la classe du mastic et/ou de la classe du profil d'étanchéité élastique est soumis pour approbation à l'auteur de projet.</w:t>
      </w:r>
    </w:p>
    <w:p w14:paraId="38945207" w14:textId="77777777" w:rsidR="004B2808" w:rsidRDefault="00000000">
      <w:pPr>
        <w:pStyle w:val="pheading"/>
      </w:pPr>
      <w:r>
        <w:t>EXÉCUTION / MISE EN ŒUVRE</w:t>
      </w:r>
    </w:p>
    <w:p w14:paraId="2D1BAAFD" w14:textId="77777777" w:rsidR="004B2808" w:rsidRDefault="00000000">
      <w:r>
        <w:t>Le vitrage est posé selon la [NIT 221] et les prescriptions du fabricant.   </w:t>
      </w:r>
      <w:r>
        <w:br/>
        <w:t>La mise en œuvre des vitrages intérieurs ne peut s'effectuer que lorsque les feuillures et les parcloses ont reçu la même couche de finition que les châssis intérieurs.</w:t>
      </w:r>
      <w:r>
        <w:br/>
        <w:t>Avant la pose des vitrages, les feuillures et les parcloses sont nettoyées ainsi que les bords du vitrage.</w:t>
      </w:r>
    </w:p>
    <w:p w14:paraId="197B7A96" w14:textId="77777777" w:rsidR="004B2808" w:rsidRDefault="00000000">
      <w:r>
        <w:t>Voir aussi l'article 42.21 Vitrages multiples - Air Vitrages (isolants) doubles</w:t>
      </w:r>
    </w:p>
    <w:p w14:paraId="311A9BB1" w14:textId="77777777" w:rsidR="004B2808" w:rsidRDefault="00000000">
      <w:pPr>
        <w:pStyle w:val="Author-eSectionHeading4Numberless"/>
      </w:pPr>
      <w:bookmarkStart w:id="1445" w:name="_Toc220491547"/>
      <w:r>
        <w:t>56.21 Vitrages (isolants) doubles sans fonction sécuritaire CCTB 01.02</w:t>
      </w:r>
      <w:bookmarkEnd w:id="1445"/>
    </w:p>
    <w:p w14:paraId="64D3AEEA" w14:textId="77777777" w:rsidR="004B2808" w:rsidRDefault="00000000">
      <w:pPr>
        <w:pStyle w:val="Author-eSectionHeading5Numberless"/>
      </w:pPr>
      <w:bookmarkStart w:id="1446" w:name="_Toc220491548"/>
      <w:r>
        <w:t>56.21.1 Vitrage double sans fonction sécuritaire CCTB 01.02</w:t>
      </w:r>
      <w:bookmarkEnd w:id="1446"/>
    </w:p>
    <w:p w14:paraId="27EA2A24" w14:textId="77777777" w:rsidR="004B2808" w:rsidRDefault="00000000">
      <w:pPr>
        <w:pStyle w:val="Author-eSectionHeading6Numberless"/>
      </w:pPr>
      <w:bookmarkStart w:id="1447" w:name="_Toc220491549"/>
      <w:r>
        <w:t>56.21.1a Vitrage double sans fonction sécuritaire CCTB 01.10</w:t>
      </w:r>
      <w:bookmarkEnd w:id="1447"/>
    </w:p>
    <w:p w14:paraId="5D5F6677" w14:textId="77777777" w:rsidR="004B2808" w:rsidRDefault="00000000">
      <w:pPr>
        <w:pStyle w:val="pheading"/>
      </w:pPr>
      <w:r>
        <w:t>DESCRIPTION</w:t>
      </w:r>
    </w:p>
    <w:p w14:paraId="2FEAD6B2" w14:textId="77777777" w:rsidR="004B2808" w:rsidRDefault="00000000">
      <w:pPr>
        <w:pStyle w:val="pheading"/>
      </w:pPr>
      <w:r>
        <w:t>- Définition / Comprend</w:t>
      </w:r>
    </w:p>
    <w:p w14:paraId="5F3B40FB" w14:textId="77777777" w:rsidR="004B2808" w:rsidRDefault="00000000">
      <w:r>
        <w:t>Voir l'article 42.21.1a Vitrages doubles - Air Vitrage double</w:t>
      </w:r>
    </w:p>
    <w:p w14:paraId="7F38C09C" w14:textId="77777777" w:rsidR="004B2808" w:rsidRDefault="00000000">
      <w:pPr>
        <w:pStyle w:val="pheading"/>
      </w:pPr>
      <w:r>
        <w:lastRenderedPageBreak/>
        <w:t>MESURAGE</w:t>
      </w:r>
    </w:p>
    <w:p w14:paraId="3F42224C" w14:textId="77777777" w:rsidR="004B2808" w:rsidRDefault="00000000">
      <w:pPr>
        <w:pStyle w:val="pheading"/>
      </w:pPr>
      <w:r>
        <w:t>- unité de mesure:</w:t>
      </w:r>
    </w:p>
    <w:p w14:paraId="672AA0BD" w14:textId="77777777" w:rsidR="004B2808" w:rsidRDefault="00000000">
      <w:r>
        <w:rPr>
          <w:rStyle w:val="optioncarChar"/>
        </w:rPr>
        <w:t xml:space="preserve">- </w:t>
      </w:r>
      <w:r>
        <w:t>(par défaut) </w:t>
      </w:r>
      <w:r>
        <w:rPr>
          <w:rStyle w:val="optioncarChar"/>
        </w:rPr>
        <w:t>/ m²  / ***</w:t>
      </w:r>
    </w:p>
    <w:p w14:paraId="69655869" w14:textId="77777777" w:rsidR="004B2808" w:rsidRDefault="00000000">
      <w:pPr>
        <w:pStyle w:val="pheading"/>
      </w:pPr>
      <w:r>
        <w:t>- code de mesurage:</w:t>
      </w:r>
    </w:p>
    <w:p w14:paraId="6FFDA79B" w14:textId="77777777" w:rsidR="004B2808" w:rsidRDefault="00000000">
      <w:r>
        <w:t>Choix opéré :</w:t>
      </w:r>
      <w:r>
        <w:rPr>
          <w:rStyle w:val="optioncarChar"/>
          <w:b/>
        </w:rPr>
        <w:t>*** / OPTION 1</w:t>
      </w:r>
      <w:r>
        <w:t> (par défaut) </w:t>
      </w:r>
      <w:r>
        <w:rPr>
          <w:rStyle w:val="optioncarChar"/>
          <w:b/>
        </w:rPr>
        <w:t>/ OPTION 2</w:t>
      </w:r>
    </w:p>
    <w:p w14:paraId="7113E1FD" w14:textId="77777777" w:rsidR="004B2808"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22D18A58" w14:textId="77777777" w:rsidR="004B2808" w:rsidRDefault="00000000">
      <w:pPr>
        <w:pStyle w:val="pheading"/>
      </w:pPr>
      <w:r>
        <w:t>- nature du marché:</w:t>
      </w:r>
    </w:p>
    <w:p w14:paraId="5BB506F1" w14:textId="77777777" w:rsidR="004B2808" w:rsidRDefault="00000000">
      <w:r>
        <w:rPr>
          <w:rStyle w:val="optioncarChar"/>
        </w:rPr>
        <w:t>PM </w:t>
      </w:r>
      <w:r>
        <w:t>(par défaut)</w:t>
      </w:r>
      <w:r>
        <w:rPr>
          <w:rStyle w:val="optioncarChar"/>
        </w:rPr>
        <w:t xml:space="preserve"> / QF / ***</w:t>
      </w:r>
    </w:p>
    <w:p w14:paraId="4AD83580" w14:textId="77777777" w:rsidR="004B2808" w:rsidRDefault="00000000">
      <w:pPr>
        <w:pStyle w:val="Author-eSectionHeading5Numberless"/>
      </w:pPr>
      <w:bookmarkStart w:id="1448" w:name="_Toc220491550"/>
      <w:r>
        <w:t>56.21.2 Vitrage double à intercalaires multiples (séparation par film plastique tendu) sans fonction sécuritaire CCTB 01.02</w:t>
      </w:r>
      <w:bookmarkEnd w:id="1448"/>
    </w:p>
    <w:p w14:paraId="63894331" w14:textId="77777777" w:rsidR="004B2808" w:rsidRDefault="00000000">
      <w:pPr>
        <w:pStyle w:val="Author-eSectionHeading6Numberless"/>
      </w:pPr>
      <w:bookmarkStart w:id="1449" w:name="_Toc220491551"/>
      <w:r>
        <w:t>56.21.2a Vitrage double à intercalaires multiples (séparation par film plastique tendu) sans fonction sécuritaire CCTB 01.10</w:t>
      </w:r>
      <w:bookmarkEnd w:id="1449"/>
    </w:p>
    <w:p w14:paraId="23E3AAE2" w14:textId="77777777" w:rsidR="004B2808" w:rsidRDefault="00000000">
      <w:pPr>
        <w:pStyle w:val="pheading"/>
      </w:pPr>
      <w:r>
        <w:t>MATÉRIAUX</w:t>
      </w:r>
    </w:p>
    <w:p w14:paraId="701F7225" w14:textId="77777777" w:rsidR="004B2808" w:rsidRDefault="00000000">
      <w:pPr>
        <w:pStyle w:val="pheading"/>
      </w:pPr>
      <w:r>
        <w:t>- Caractéristiques générales</w:t>
      </w:r>
    </w:p>
    <w:p w14:paraId="016AF1AD" w14:textId="77777777" w:rsidR="004B2808" w:rsidRDefault="00000000">
      <w:r>
        <w:t>Le vitrage à isolation thermique améliorée répond aux normes [NBN S 23-002] et [NBN EN 572 série] . Il se compose de deux feuilles de verre à glace clair de la catégorie A1, choix V selon la [NBN S 23-002], séparées par un vide rempli de gaz à isolation thermique.  Voir également la rubrique 42.21 Vitrages multiples - Air  vitrage isolant – généralités .</w:t>
      </w:r>
    </w:p>
    <w:p w14:paraId="7EC6339D" w14:textId="77777777" w:rsidR="004B2808" w:rsidRDefault="00000000">
      <w:pPr>
        <w:pStyle w:val="heading"/>
      </w:pPr>
      <w:r>
        <w:t>Spécifications</w:t>
      </w:r>
    </w:p>
    <w:p w14:paraId="14B70FF7" w14:textId="77777777" w:rsidR="004B2808" w:rsidRDefault="00000000">
      <w:pPr>
        <w:pStyle w:val="Author-eListParagraph"/>
        <w:numPr>
          <w:ilvl w:val="0"/>
          <w:numId w:val="1300"/>
        </w:numPr>
      </w:pPr>
      <w:r>
        <w:t xml:space="preserve">La valeur U est de </w:t>
      </w:r>
      <w:r>
        <w:rPr>
          <w:rStyle w:val="optioncarChar"/>
        </w:rPr>
        <w:t>1,1</w:t>
      </w:r>
      <w:r>
        <w:t> (par défaut) </w:t>
      </w:r>
      <w:r>
        <w:rPr>
          <w:rStyle w:val="optioncarChar"/>
        </w:rPr>
        <w:t>/ ***</w:t>
      </w:r>
      <w:r>
        <w:t> W/m²K calculée selon les conditions données par la norme [NBN EN 675]</w:t>
      </w:r>
    </w:p>
    <w:p w14:paraId="4DEC3465" w14:textId="77777777" w:rsidR="004B2808" w:rsidRDefault="00000000">
      <w:pPr>
        <w:pStyle w:val="Author-eListParagraph"/>
        <w:numPr>
          <w:ilvl w:val="0"/>
          <w:numId w:val="1300"/>
        </w:numPr>
      </w:pPr>
      <w:r>
        <w:t>Une des feuilles de verre est revêtue, du côté du vide, d'une couche de métal dont l'émissivité est de maximum</w:t>
      </w:r>
      <w:r>
        <w:rPr>
          <w:rStyle w:val="optioncarChar"/>
        </w:rPr>
        <w:t xml:space="preserve"> 0,09 </w:t>
      </w:r>
      <w:r>
        <w:t>(par défaut) </w:t>
      </w:r>
      <w:r>
        <w:rPr>
          <w:rStyle w:val="optioncarChar"/>
        </w:rPr>
        <w:t>/ 0,05 / ***</w:t>
      </w:r>
    </w:p>
    <w:p w14:paraId="79A2F356" w14:textId="77777777" w:rsidR="004B2808" w:rsidRDefault="00000000">
      <w:pPr>
        <w:pStyle w:val="Author-eListParagraph"/>
        <w:numPr>
          <w:ilvl w:val="0"/>
          <w:numId w:val="1300"/>
        </w:numPr>
      </w:pPr>
      <w:r>
        <w:t>La transmission lumineuse est d'au moins 70 %. La teinte du verre est neutre.</w:t>
      </w:r>
    </w:p>
    <w:p w14:paraId="7B5E129D" w14:textId="77777777" w:rsidR="004B2808" w:rsidRDefault="00000000">
      <w:pPr>
        <w:pStyle w:val="Author-eListParagraph"/>
        <w:numPr>
          <w:ilvl w:val="0"/>
          <w:numId w:val="1300"/>
        </w:numPr>
      </w:pPr>
      <w:r>
        <w:t xml:space="preserve">Pour déterminer l'épaisseur des feuilles de verre, on tient compte d'une </w:t>
      </w:r>
      <w:r>
        <w:rPr>
          <w:rStyle w:val="optioncarChar"/>
        </w:rPr>
        <w:t>situation normale</w:t>
      </w:r>
      <w:r>
        <w:t> (par défaut)</w:t>
      </w:r>
      <w:r>
        <w:rPr>
          <w:rStyle w:val="optioncarChar"/>
        </w:rPr>
        <w:t xml:space="preserve"> / situation exposée / situation marine / ***</w:t>
      </w:r>
      <w:r>
        <w:t xml:space="preserve"> . Par étage, l'épaisseur totale du vitrage isolant est identique.</w:t>
      </w:r>
    </w:p>
    <w:p w14:paraId="62FD1249" w14:textId="77777777" w:rsidR="004B2808" w:rsidRDefault="00000000">
      <w:pPr>
        <w:pStyle w:val="Author-eListParagraph"/>
        <w:numPr>
          <w:ilvl w:val="0"/>
          <w:numId w:val="1300"/>
        </w:numPr>
      </w:pPr>
      <w:r>
        <w:t xml:space="preserve">L'épaisseur de la coulisse est de : </w:t>
      </w:r>
      <w:r>
        <w:rPr>
          <w:rStyle w:val="optioncarChar"/>
        </w:rPr>
        <w:t>10</w:t>
      </w:r>
      <w:r>
        <w:t xml:space="preserve"> (par défaut) </w:t>
      </w:r>
      <w:r>
        <w:rPr>
          <w:rStyle w:val="optioncarChar"/>
        </w:rPr>
        <w:t>/ 12 / ***</w:t>
      </w:r>
      <w:r>
        <w:t xml:space="preserve"> mm.</w:t>
      </w:r>
    </w:p>
    <w:p w14:paraId="21B36119" w14:textId="77777777" w:rsidR="004B2808" w:rsidRDefault="00000000">
      <w:pPr>
        <w:pStyle w:val="Author-eListParagraph"/>
        <w:numPr>
          <w:ilvl w:val="0"/>
          <w:numId w:val="1300"/>
        </w:numPr>
      </w:pPr>
      <w:r>
        <w:t>Les cales de support, de réglage et d'espacement sont en matière synthétique .</w:t>
      </w:r>
    </w:p>
    <w:p w14:paraId="79A0C91B" w14:textId="77777777" w:rsidR="004B2808" w:rsidRDefault="00000000">
      <w:pPr>
        <w:pStyle w:val="Author-eListParagraph"/>
        <w:numPr>
          <w:ilvl w:val="0"/>
          <w:numId w:val="1300"/>
        </w:numPr>
      </w:pPr>
      <w:r>
        <w:t xml:space="preserve">La couleur </w:t>
      </w:r>
      <w:r>
        <w:rPr>
          <w:rStyle w:val="optioncarChar"/>
        </w:rPr>
        <w:t>du mastic élastique</w:t>
      </w:r>
      <w:r>
        <w:t> (par défaut)</w:t>
      </w:r>
      <w:r>
        <w:rPr>
          <w:rStyle w:val="optioncarChar"/>
        </w:rPr>
        <w:t xml:space="preserve"> / profil d'étanchéité est *** / ***  </w:t>
      </w:r>
      <w:r>
        <w:t>Les mastics peuvent être peints .</w:t>
      </w:r>
    </w:p>
    <w:p w14:paraId="28500686" w14:textId="77777777" w:rsidR="004B2808" w:rsidRDefault="00000000">
      <w:pPr>
        <w:pStyle w:val="pheading"/>
      </w:pPr>
      <w:r>
        <w:t>- Prescriptions complémentaires</w:t>
      </w:r>
    </w:p>
    <w:p w14:paraId="211703F2" w14:textId="77777777" w:rsidR="004B2808" w:rsidRDefault="00000000">
      <w:pPr>
        <w:pStyle w:val="facult"/>
      </w:pPr>
      <w:r>
        <w:t>Le double vitrage dispose de critères d'acceptabilité du produit tels que définis dans l'article 02.42.1 Critères d'acceptabilité, pour la composition et les performances concernées.</w:t>
      </w:r>
    </w:p>
    <w:p w14:paraId="0AFF1669" w14:textId="77777777" w:rsidR="004B2808" w:rsidRDefault="00000000">
      <w:pPr>
        <w:pStyle w:val="pheading"/>
      </w:pPr>
      <w:r>
        <w:t>EXÉCUTION / MISE EN ŒUVRE</w:t>
      </w:r>
    </w:p>
    <w:p w14:paraId="770B7629" w14:textId="77777777" w:rsidR="004B2808" w:rsidRDefault="00000000">
      <w:pPr>
        <w:pStyle w:val="pheading"/>
      </w:pPr>
      <w:r>
        <w:t>- Prescriptions générales</w:t>
      </w:r>
    </w:p>
    <w:p w14:paraId="0DC0EFB2" w14:textId="77777777" w:rsidR="004B2808" w:rsidRDefault="00000000">
      <w:r>
        <w:lastRenderedPageBreak/>
        <w:t>La pose est effectuée conformément à la [NIT 221] ( voir également les rubriques 42.1 Vitrages simples et 42.21 Vitrages multiples - Air).</w:t>
      </w:r>
      <w:r>
        <w:br/>
        <w:t>Avant la pose des vitrages, les feuillures et les parcloses sont nettoyées ainsi que les bords du vitrage. Tout mastic utilisé doit être compatible chimiquement avec les profilés ou les produits de traitement de la menuiserie extérieure. Lorsque le fabricant de mastics le préconise, un primer est préalablement appliqué.</w:t>
      </w:r>
      <w:r>
        <w:br/>
        <w:t xml:space="preserve">Conformément au cahier des charges, le vitrage est rendu étanche avec </w:t>
      </w:r>
      <w:r>
        <w:rPr>
          <w:rStyle w:val="optioncarChar"/>
        </w:rPr>
        <w:t>un mastic élastique de type G selon les [STS 56]</w:t>
      </w:r>
      <w:r>
        <w:t xml:space="preserve"> (par défaut)</w:t>
      </w:r>
      <w:r>
        <w:rPr>
          <w:rStyle w:val="optioncarChar"/>
        </w:rPr>
        <w:t> / un profil d'étanchéité élastique conforme à la norme [NBN EN 12365-1] / ***</w:t>
      </w:r>
    </w:p>
    <w:p w14:paraId="3DB82940" w14:textId="77777777" w:rsidR="004B2808" w:rsidRDefault="00000000">
      <w:pPr>
        <w:pStyle w:val="pheading"/>
      </w:pPr>
      <w:r>
        <w:t>MESURAGE</w:t>
      </w:r>
    </w:p>
    <w:p w14:paraId="5D134ED2" w14:textId="77777777" w:rsidR="004B2808" w:rsidRDefault="00000000">
      <w:pPr>
        <w:pStyle w:val="pheading"/>
      </w:pPr>
      <w:r>
        <w:t>- unité de mesure:</w:t>
      </w:r>
    </w:p>
    <w:p w14:paraId="48C3AE92" w14:textId="77777777" w:rsidR="004B2808" w:rsidRDefault="00000000">
      <w:r>
        <w:rPr>
          <w:rStyle w:val="optioncarChar"/>
        </w:rPr>
        <w:t>- </w:t>
      </w:r>
      <w:r>
        <w:t>(par défaut) </w:t>
      </w:r>
      <w:r>
        <w:rPr>
          <w:rStyle w:val="optioncarChar"/>
        </w:rPr>
        <w:t>/ m² / ***</w:t>
      </w:r>
    </w:p>
    <w:p w14:paraId="160D008A" w14:textId="77777777" w:rsidR="004B2808" w:rsidRDefault="00000000">
      <w:pPr>
        <w:pStyle w:val="pheading"/>
      </w:pPr>
      <w:r>
        <w:t>- code de mesurage:</w:t>
      </w:r>
    </w:p>
    <w:p w14:paraId="0BDA7E62" w14:textId="77777777" w:rsidR="004B2808" w:rsidRDefault="00000000">
      <w:r>
        <w:t xml:space="preserve">Choix opéré : </w:t>
      </w:r>
      <w:r>
        <w:rPr>
          <w:rStyle w:val="optioncarChar"/>
          <w:b/>
        </w:rPr>
        <w:t>*** / OPTION 1 </w:t>
      </w:r>
      <w:r>
        <w:t>(par défaut)</w:t>
      </w:r>
      <w:r>
        <w:rPr>
          <w:rStyle w:val="optioncarChar"/>
          <w:b/>
        </w:rPr>
        <w:t xml:space="preserve"> / OPTION 2</w:t>
      </w:r>
    </w:p>
    <w:p w14:paraId="582F3DAE" w14:textId="77777777" w:rsidR="004B2808"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275E3260" w14:textId="77777777" w:rsidR="004B2808" w:rsidRDefault="00000000">
      <w:pPr>
        <w:pStyle w:val="pheading"/>
      </w:pPr>
      <w:r>
        <w:t>- nature du marché:</w:t>
      </w:r>
    </w:p>
    <w:p w14:paraId="63BF5182" w14:textId="77777777" w:rsidR="004B2808" w:rsidRDefault="00000000">
      <w:r>
        <w:rPr>
          <w:rStyle w:val="optioncarChar"/>
        </w:rPr>
        <w:t>PM</w:t>
      </w:r>
      <w:r>
        <w:t xml:space="preserve"> (par défaut) </w:t>
      </w:r>
      <w:r>
        <w:rPr>
          <w:rStyle w:val="optioncarChar"/>
        </w:rPr>
        <w:t>/ QF / ***</w:t>
      </w:r>
    </w:p>
    <w:p w14:paraId="3DA6D0C1" w14:textId="77777777" w:rsidR="004B2808" w:rsidRDefault="00000000">
      <w:pPr>
        <w:pStyle w:val="Author-eSectionHeading5Numberless"/>
      </w:pPr>
      <w:bookmarkStart w:id="1450" w:name="_Toc220491552"/>
      <w:r>
        <w:t>56.21.3 Vitrage double à stores intégrés sans fonction sécuritaire CCTB 01.02</w:t>
      </w:r>
      <w:bookmarkEnd w:id="1450"/>
    </w:p>
    <w:p w14:paraId="43A33E80" w14:textId="77777777" w:rsidR="004B2808" w:rsidRDefault="00000000">
      <w:pPr>
        <w:pStyle w:val="Author-eSectionHeading6Numberless"/>
      </w:pPr>
      <w:bookmarkStart w:id="1451" w:name="_Toc220491553"/>
      <w:r>
        <w:t>56.21.3a Vitrage double à stores intégrés sans fonction sécuritaire CCTB 01.02</w:t>
      </w:r>
      <w:bookmarkEnd w:id="1451"/>
    </w:p>
    <w:p w14:paraId="68A18BCA" w14:textId="77777777" w:rsidR="004B2808" w:rsidRDefault="00000000">
      <w:pPr>
        <w:pStyle w:val="Author-eSectionHeading5Numberless"/>
      </w:pPr>
      <w:bookmarkStart w:id="1452" w:name="_Toc220491554"/>
      <w:r>
        <w:t>56.21.4 Vitrage double décoratif sans fonction sécuritaire CCTB 01.02</w:t>
      </w:r>
      <w:bookmarkEnd w:id="1452"/>
    </w:p>
    <w:p w14:paraId="187CB5AD" w14:textId="77777777" w:rsidR="004B2808" w:rsidRDefault="00000000">
      <w:pPr>
        <w:pStyle w:val="Author-eSectionHeading6Numberless"/>
      </w:pPr>
      <w:bookmarkStart w:id="1453" w:name="_Toc220491555"/>
      <w:r>
        <w:t>56.21.4a Vitrage double décoratif sans fonction sécuritaire CCTB 01.11</w:t>
      </w:r>
      <w:bookmarkEnd w:id="1453"/>
    </w:p>
    <w:p w14:paraId="035279E7" w14:textId="77777777" w:rsidR="004B2808" w:rsidRDefault="00000000">
      <w:pPr>
        <w:pStyle w:val="pheading"/>
      </w:pPr>
      <w:r>
        <w:t>DESCRIPTION</w:t>
      </w:r>
    </w:p>
    <w:p w14:paraId="0E1B5469" w14:textId="77777777" w:rsidR="004B2808" w:rsidRDefault="00000000">
      <w:pPr>
        <w:pStyle w:val="pheading"/>
      </w:pPr>
      <w:r>
        <w:t>- Définition / Comprend</w:t>
      </w:r>
    </w:p>
    <w:p w14:paraId="4981EA2E" w14:textId="77777777" w:rsidR="004B2808" w:rsidRDefault="00000000">
      <w:r>
        <w:t>Vitrages floatés: renvoi au 42.11.1k Vitrages - vitraux simples floatés décoratifs</w:t>
      </w:r>
    </w:p>
    <w:p w14:paraId="1801D3BC" w14:textId="77777777" w:rsidR="004B2808" w:rsidRDefault="00000000">
      <w:r>
        <w:t>Vitrages étirés: renvoi au 42.12.1e Vitrages - vitraux simples étirés décoratifs</w:t>
      </w:r>
    </w:p>
    <w:p w14:paraId="192491CA" w14:textId="77777777" w:rsidR="004B2808" w:rsidRDefault="00000000">
      <w:r>
        <w:t>Vitrages soufflés: renvoi au 42.13.1d Vitrages - vitraux simples soufflés décoratifs</w:t>
      </w:r>
    </w:p>
    <w:p w14:paraId="2AF9B898" w14:textId="77777777" w:rsidR="004B2808" w:rsidRDefault="00000000">
      <w:r>
        <w:t>Vitrages feuilletés: renvoi au 42.16.1b Vitrages simples feuilletés composés de verre à intercalaires décoratifs</w:t>
      </w:r>
    </w:p>
    <w:p w14:paraId="492B5A43" w14:textId="77777777" w:rsidR="004B2808" w:rsidRDefault="00000000">
      <w:pPr>
        <w:pStyle w:val="pheading"/>
      </w:pPr>
      <w:r>
        <w:t>MESURAGE</w:t>
      </w:r>
    </w:p>
    <w:p w14:paraId="1F329B47" w14:textId="77777777" w:rsidR="004B2808" w:rsidRDefault="00000000">
      <w:pPr>
        <w:pStyle w:val="pheading"/>
      </w:pPr>
      <w:r>
        <w:t>- unité de mesure:</w:t>
      </w:r>
    </w:p>
    <w:p w14:paraId="737BAB96" w14:textId="77777777" w:rsidR="004B2808" w:rsidRDefault="00000000">
      <w:r>
        <w:rPr>
          <w:rStyle w:val="optioncarChar"/>
        </w:rPr>
        <w:t xml:space="preserve">- </w:t>
      </w:r>
      <w:r>
        <w:t>(par défaut)</w:t>
      </w:r>
      <w:r>
        <w:rPr>
          <w:rStyle w:val="optioncarChar"/>
        </w:rPr>
        <w:t> m² / ***</w:t>
      </w:r>
    </w:p>
    <w:p w14:paraId="6A728D8E" w14:textId="77777777" w:rsidR="004B2808" w:rsidRDefault="00000000">
      <w:pPr>
        <w:pStyle w:val="pheading"/>
      </w:pPr>
      <w:r>
        <w:t>- code de mesurage:</w:t>
      </w:r>
    </w:p>
    <w:p w14:paraId="47AD685D" w14:textId="77777777" w:rsidR="004B2808" w:rsidRDefault="00000000">
      <w:r>
        <w:t>Choix opéré :</w:t>
      </w:r>
      <w:r>
        <w:rPr>
          <w:rStyle w:val="optioncarChar"/>
          <w:b/>
        </w:rPr>
        <w:t>*** / OPTION 1 </w:t>
      </w:r>
      <w:r>
        <w:t>(par défaut)</w:t>
      </w:r>
      <w:r>
        <w:rPr>
          <w:rStyle w:val="optioncarChar"/>
          <w:b/>
        </w:rPr>
        <w:t xml:space="preserve"> / OPTION 2</w:t>
      </w:r>
    </w:p>
    <w:p w14:paraId="62898137" w14:textId="77777777" w:rsidR="004B2808" w:rsidRDefault="00000000">
      <w:r>
        <w:rPr>
          <w:b/>
        </w:rPr>
        <w:lastRenderedPageBreak/>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502EF51E" w14:textId="77777777" w:rsidR="004B2808" w:rsidRDefault="00000000">
      <w:pPr>
        <w:pStyle w:val="pheading"/>
      </w:pPr>
      <w:r>
        <w:t>- nature du marché:</w:t>
      </w:r>
    </w:p>
    <w:p w14:paraId="347E6D72" w14:textId="77777777" w:rsidR="004B2808" w:rsidRDefault="00000000">
      <w:r>
        <w:rPr>
          <w:rStyle w:val="optioncarChar"/>
        </w:rPr>
        <w:t>PM</w:t>
      </w:r>
      <w:r>
        <w:t> (par défaut)</w:t>
      </w:r>
      <w:r>
        <w:rPr>
          <w:rStyle w:val="optioncarChar"/>
        </w:rPr>
        <w:t xml:space="preserve"> / QF / ***</w:t>
      </w:r>
    </w:p>
    <w:p w14:paraId="71397751" w14:textId="77777777" w:rsidR="004B2808" w:rsidRDefault="00000000">
      <w:pPr>
        <w:pStyle w:val="Author-eSectionHeading5Numberless"/>
      </w:pPr>
      <w:bookmarkStart w:id="1454" w:name="_Toc220491556"/>
      <w:r>
        <w:t>56.21.5 Vitrages doubles spéciaux sans fonction sécuritaire CCTB 01.10</w:t>
      </w:r>
      <w:bookmarkEnd w:id="1454"/>
    </w:p>
    <w:p w14:paraId="44A35483" w14:textId="77777777" w:rsidR="004B2808" w:rsidRDefault="00000000">
      <w:pPr>
        <w:pStyle w:val="pheading"/>
      </w:pPr>
      <w:r>
        <w:t>MATÉRIAUX</w:t>
      </w:r>
    </w:p>
    <w:p w14:paraId="48EE099E" w14:textId="77777777" w:rsidR="004B2808" w:rsidRDefault="00000000">
      <w:pPr>
        <w:pStyle w:val="heading"/>
      </w:pPr>
      <w:r>
        <w:t>Spécifications</w:t>
      </w:r>
    </w:p>
    <w:p w14:paraId="6EF3DF0B" w14:textId="77777777" w:rsidR="004B2808" w:rsidRDefault="00000000">
      <w:pPr>
        <w:pStyle w:val="Author-eListParagraph"/>
        <w:numPr>
          <w:ilvl w:val="0"/>
          <w:numId w:val="1301"/>
        </w:numPr>
      </w:pPr>
      <w:r>
        <w:t>La valeur U est de </w:t>
      </w:r>
      <w:r>
        <w:rPr>
          <w:rStyle w:val="optioncarChar"/>
        </w:rPr>
        <w:t>1,2</w:t>
      </w:r>
      <w:r>
        <w:t> (par défaut) </w:t>
      </w:r>
      <w:r>
        <w:rPr>
          <w:rStyle w:val="optioncarChar"/>
        </w:rPr>
        <w:t>/ *** </w:t>
      </w:r>
      <w:r>
        <w:t xml:space="preserve"> W/m²K selon les conditions données par la norme [NBN EN 673] .</w:t>
      </w:r>
    </w:p>
    <w:p w14:paraId="1CC09160" w14:textId="77777777" w:rsidR="004B2808" w:rsidRDefault="00000000">
      <w:pPr>
        <w:pStyle w:val="Author-eListParagraph"/>
        <w:numPr>
          <w:ilvl w:val="0"/>
          <w:numId w:val="1301"/>
        </w:numPr>
      </w:pPr>
      <w:r>
        <w:t xml:space="preserve">    Facteur de transmission lumineuse </w:t>
      </w:r>
      <w:r>
        <w:rPr>
          <w:rStyle w:val="optioncarChar"/>
        </w:rPr>
        <w:t xml:space="preserve">*** </w:t>
      </w:r>
      <w:r>
        <w:t>%. </w:t>
      </w:r>
    </w:p>
    <w:p w14:paraId="2295C467" w14:textId="77777777" w:rsidR="004B2808" w:rsidRDefault="00000000">
      <w:pPr>
        <w:pStyle w:val="Author-eListParagraph"/>
        <w:numPr>
          <w:ilvl w:val="0"/>
          <w:numId w:val="1301"/>
        </w:numPr>
      </w:pPr>
      <w:r>
        <w:t>Pour déterminer l'épaisseur des feuilles de verre, on tient compte d'une </w:t>
      </w:r>
      <w:r>
        <w:rPr>
          <w:rStyle w:val="optioncarChar"/>
        </w:rPr>
        <w:t>situation normale</w:t>
      </w:r>
      <w:r>
        <w:t> (par défaut)</w:t>
      </w:r>
      <w:r>
        <w:rPr>
          <w:rStyle w:val="optioncarChar"/>
        </w:rPr>
        <w:t xml:space="preserve"> / situation exposée / situation marine / ***</w:t>
      </w:r>
      <w:r>
        <w:t>.   Par étage, l'épaisseur totale du vitrage isolant est identique.</w:t>
      </w:r>
    </w:p>
    <w:p w14:paraId="669C638E" w14:textId="77777777" w:rsidR="004B2808" w:rsidRDefault="00000000">
      <w:pPr>
        <w:pStyle w:val="Author-eListParagraph"/>
        <w:numPr>
          <w:ilvl w:val="0"/>
          <w:numId w:val="1301"/>
        </w:numPr>
      </w:pPr>
      <w:r>
        <w:t>L'épaisseur du vide est de : </w:t>
      </w:r>
      <w:r>
        <w:rPr>
          <w:rStyle w:val="optioncarChar"/>
        </w:rPr>
        <w:t> 6</w:t>
      </w:r>
      <w:r>
        <w:t> (par défaut)</w:t>
      </w:r>
      <w:r>
        <w:rPr>
          <w:rStyle w:val="optioncarChar"/>
        </w:rPr>
        <w:t xml:space="preserve"> / 8 / 10 / 12 / *** </w:t>
      </w:r>
      <w:r>
        <w:t>mm.    </w:t>
      </w:r>
    </w:p>
    <w:p w14:paraId="18A42B03" w14:textId="77777777" w:rsidR="004B2808" w:rsidRDefault="00000000">
      <w:pPr>
        <w:pStyle w:val="Author-eListParagraph"/>
        <w:numPr>
          <w:ilvl w:val="0"/>
          <w:numId w:val="1301"/>
        </w:numPr>
      </w:pPr>
      <w:r>
        <w:t>Les cales de support, de réglage et d'espacement sont en matière synthétique.</w:t>
      </w:r>
    </w:p>
    <w:p w14:paraId="6D12BF32" w14:textId="77777777" w:rsidR="004B2808" w:rsidRDefault="00000000">
      <w:pPr>
        <w:pStyle w:val="Author-eListParagraph"/>
        <w:numPr>
          <w:ilvl w:val="0"/>
          <w:numId w:val="1301"/>
        </w:numPr>
      </w:pPr>
      <w:r>
        <w:t>La couleur du </w:t>
      </w:r>
      <w:r>
        <w:rPr>
          <w:rStyle w:val="optioncarChar"/>
        </w:rPr>
        <w:t>mastic élastique</w:t>
      </w:r>
      <w:r>
        <w:t xml:space="preserve"> (par défaut) </w:t>
      </w:r>
      <w:r>
        <w:rPr>
          <w:rStyle w:val="optioncarChar"/>
        </w:rPr>
        <w:t>/ profil d'étanchéité est *** / *** </w:t>
      </w:r>
      <w:r>
        <w:t>Les mastics peuvent être peints .</w:t>
      </w:r>
    </w:p>
    <w:p w14:paraId="033DC858" w14:textId="77777777" w:rsidR="004B2808" w:rsidRDefault="00000000">
      <w:pPr>
        <w:pStyle w:val="Author-eListParagraph"/>
        <w:numPr>
          <w:ilvl w:val="0"/>
          <w:numId w:val="1301"/>
        </w:numPr>
      </w:pPr>
      <w:r>
        <w:t>Le double vitrage isolant répond à la [NBN S 23-002] et est composé comme suit :</w:t>
      </w:r>
    </w:p>
    <w:p w14:paraId="743B9016" w14:textId="77777777" w:rsidR="004B2808" w:rsidRDefault="00000000">
      <w:pPr>
        <w:pStyle w:val="Author-eListParagraph"/>
        <w:numPr>
          <w:ilvl w:val="0"/>
          <w:numId w:val="1301"/>
        </w:numPr>
      </w:pPr>
      <w:r>
        <w:t xml:space="preserve">Feuille de verre intérieure : </w:t>
      </w:r>
      <w:r>
        <w:rPr>
          <w:rStyle w:val="optioncarChar"/>
        </w:rPr>
        <w:t>verre à glace clair</w:t>
      </w:r>
      <w:r>
        <w:t> (par défaut) </w:t>
      </w:r>
      <w:r>
        <w:rPr>
          <w:rStyle w:val="optioncarChar"/>
        </w:rPr>
        <w:t>/ ***  </w:t>
      </w:r>
      <w:r>
        <w:t>selon la norme [NBN S 23-002]</w:t>
      </w:r>
    </w:p>
    <w:p w14:paraId="2C139E12" w14:textId="77777777" w:rsidR="004B2808" w:rsidRDefault="00000000">
      <w:pPr>
        <w:pStyle w:val="Author-eListParagraph"/>
        <w:numPr>
          <w:ilvl w:val="0"/>
          <w:numId w:val="1301"/>
        </w:numPr>
      </w:pPr>
      <w:r>
        <w:t xml:space="preserve">Feuille de verre extérieure : </w:t>
      </w:r>
      <w:r>
        <w:rPr>
          <w:rStyle w:val="optioncarChar"/>
        </w:rPr>
        <w:t>verre coulé décoratif</w:t>
      </w:r>
      <w:r>
        <w:t> (par défaut) </w:t>
      </w:r>
      <w:r>
        <w:rPr>
          <w:rStyle w:val="optioncarChar"/>
        </w:rPr>
        <w:t>/ *** </w:t>
      </w:r>
      <w:r>
        <w:t xml:space="preserve">selon la norme[NBN S 23-002] de type  </w:t>
      </w:r>
      <w:r>
        <w:rPr>
          <w:rStyle w:val="optioncarChar"/>
        </w:rPr>
        <w:t>***</w:t>
      </w:r>
    </w:p>
    <w:p w14:paraId="07A3EFAF" w14:textId="77777777" w:rsidR="004B2808" w:rsidRDefault="00000000">
      <w:pPr>
        <w:pStyle w:val="heading"/>
      </w:pPr>
      <w:r>
        <w:t>Spécifications  verre réfléchissant</w:t>
      </w:r>
    </w:p>
    <w:p w14:paraId="372EC991" w14:textId="77777777" w:rsidR="004B2808" w:rsidRDefault="00000000">
      <w:pPr>
        <w:pStyle w:val="Author-eListParagraph"/>
        <w:numPr>
          <w:ilvl w:val="0"/>
          <w:numId w:val="1302"/>
        </w:numPr>
      </w:pPr>
      <w:r>
        <w:t>Couleur : </w:t>
      </w:r>
      <w:r>
        <w:rPr>
          <w:rStyle w:val="optioncarChar"/>
        </w:rPr>
        <w:t>claire</w:t>
      </w:r>
      <w:r>
        <w:t xml:space="preserve"> (par défaut) </w:t>
      </w:r>
      <w:r>
        <w:rPr>
          <w:rStyle w:val="optioncarChar"/>
        </w:rPr>
        <w:t>/ bronze / gris / vert / bleu / ***</w:t>
      </w:r>
    </w:p>
    <w:p w14:paraId="18F793F9" w14:textId="77777777" w:rsidR="004B2808" w:rsidRDefault="00000000">
      <w:pPr>
        <w:pStyle w:val="Author-eListParagraph"/>
        <w:numPr>
          <w:ilvl w:val="0"/>
          <w:numId w:val="1302"/>
        </w:numPr>
      </w:pPr>
      <w:r>
        <w:t>La vitre est revêtue d'une couche d'oxyde métallique réfléchissante.</w:t>
      </w:r>
    </w:p>
    <w:p w14:paraId="6CF47831" w14:textId="77777777" w:rsidR="004B2808" w:rsidRDefault="00000000">
      <w:pPr>
        <w:pStyle w:val="Author-eListParagraph"/>
        <w:numPr>
          <w:ilvl w:val="0"/>
          <w:numId w:val="1302"/>
        </w:numPr>
      </w:pPr>
      <w:r>
        <w:t>Pour une vitre réfléchissante, la couleur est neutre </w:t>
      </w:r>
      <w:r>
        <w:rPr>
          <w:rStyle w:val="optioncarChar"/>
        </w:rPr>
        <w:t>argentée</w:t>
      </w:r>
      <w:r>
        <w:t xml:space="preserve"> (par défaut) </w:t>
      </w:r>
      <w:r>
        <w:rPr>
          <w:rStyle w:val="optioncarChar"/>
        </w:rPr>
        <w:t>/ grise / ***</w:t>
      </w:r>
      <w:r>
        <w:t xml:space="preserve"> . Pour une vitre transparente, la couleur est </w:t>
      </w:r>
      <w:r>
        <w:rPr>
          <w:rStyle w:val="optioncarChar"/>
        </w:rPr>
        <w:t>bronze</w:t>
      </w:r>
      <w:r>
        <w:t> (par défaut)</w:t>
      </w:r>
      <w:r>
        <w:rPr>
          <w:rStyle w:val="optioncarChar"/>
        </w:rPr>
        <w:t xml:space="preserve"> / grise / ***</w:t>
      </w:r>
      <w:r>
        <w:t>.</w:t>
      </w:r>
    </w:p>
    <w:p w14:paraId="79B3ED9A" w14:textId="77777777" w:rsidR="004B2808" w:rsidRDefault="00000000">
      <w:pPr>
        <w:pStyle w:val="Author-eListParagraph"/>
        <w:numPr>
          <w:ilvl w:val="0"/>
          <w:numId w:val="1302"/>
        </w:numPr>
      </w:pPr>
      <w:r>
        <w:t>Les caractéristiques d'une feuille de verre de 6 mm sont :</w:t>
      </w:r>
    </w:p>
    <w:p w14:paraId="06AF2C41" w14:textId="77777777" w:rsidR="004B2808" w:rsidRDefault="00000000">
      <w:pPr>
        <w:ind w:left="2040"/>
      </w:pPr>
      <w:r>
        <w:t xml:space="preserve">⇒ Transmission totale de la lumière: min. </w:t>
      </w:r>
      <w:r>
        <w:rPr>
          <w:rStyle w:val="optioncarChar"/>
        </w:rPr>
        <w:t>***</w:t>
      </w:r>
      <w:r>
        <w:t xml:space="preserve"> %.</w:t>
      </w:r>
    </w:p>
    <w:p w14:paraId="09415E1B" w14:textId="77777777" w:rsidR="004B2808" w:rsidRDefault="00000000">
      <w:pPr>
        <w:ind w:left="2040"/>
      </w:pPr>
      <w:r>
        <w:t xml:space="preserve">⇒ Absorption d'énergie : min. </w:t>
      </w:r>
      <w:r>
        <w:rPr>
          <w:rStyle w:val="optioncarChar"/>
        </w:rPr>
        <w:t>***</w:t>
      </w:r>
      <w:r>
        <w:t xml:space="preserve"> %.</w:t>
      </w:r>
    </w:p>
    <w:p w14:paraId="2BC3F6E5" w14:textId="77777777" w:rsidR="004B2808" w:rsidRDefault="00000000">
      <w:pPr>
        <w:ind w:left="2040"/>
      </w:pPr>
      <w:r>
        <w:t xml:space="preserve">⇒ Facteur solaire : max. </w:t>
      </w:r>
      <w:r>
        <w:rPr>
          <w:rStyle w:val="optioncarChar"/>
        </w:rPr>
        <w:t>***</w:t>
      </w:r>
      <w:r>
        <w:t xml:space="preserve"> %.</w:t>
      </w:r>
    </w:p>
    <w:p w14:paraId="17E374CD" w14:textId="77777777" w:rsidR="004B2808" w:rsidRDefault="00000000">
      <w:pPr>
        <w:pStyle w:val="heading"/>
      </w:pPr>
      <w:r>
        <w:t>Spécifications verre anti-réfléchissant</w:t>
      </w:r>
    </w:p>
    <w:p w14:paraId="0C04AC80" w14:textId="77777777" w:rsidR="004B2808" w:rsidRDefault="00000000">
      <w:r>
        <w:t>Traitement particulier</w:t>
      </w:r>
    </w:p>
    <w:p w14:paraId="2A5A5DAD" w14:textId="77777777" w:rsidR="004B2808" w:rsidRDefault="00000000">
      <w:pPr>
        <w:ind w:left="2040"/>
      </w:pPr>
      <w:r>
        <w:t>⇒ revêtement avec une couche d'oxyde métallique (par pyrolyse);</w:t>
      </w:r>
    </w:p>
    <w:p w14:paraId="67C89202" w14:textId="77777777" w:rsidR="004B2808" w:rsidRDefault="00000000">
      <w:pPr>
        <w:ind w:left="2040"/>
      </w:pPr>
      <w:r>
        <w:t>⇒ revêtement avec une couche de métal, appliquée sous vide et champ magnétique;</w:t>
      </w:r>
    </w:p>
    <w:p w14:paraId="1496409A" w14:textId="77777777" w:rsidR="004B2808" w:rsidRDefault="00000000">
      <w:r>
        <w:t>A prévoir sur :</w:t>
      </w:r>
    </w:p>
    <w:p w14:paraId="633920AC" w14:textId="77777777" w:rsidR="004B2808" w:rsidRDefault="00000000">
      <w:pPr>
        <w:ind w:left="2040"/>
      </w:pPr>
      <w:r>
        <w:t>⇒ la vitre</w:t>
      </w:r>
      <w:r>
        <w:rPr>
          <w:rStyle w:val="optioncarChar"/>
        </w:rPr>
        <w:t> extérieure</w:t>
      </w:r>
      <w:r>
        <w:t> (par défaut)</w:t>
      </w:r>
      <w:r>
        <w:rPr>
          <w:rStyle w:val="optioncarChar"/>
        </w:rPr>
        <w:t xml:space="preserve"> / intérieure / ***</w:t>
      </w:r>
      <w:r>
        <w:t>;</w:t>
      </w:r>
    </w:p>
    <w:p w14:paraId="21A74053" w14:textId="77777777" w:rsidR="004B2808" w:rsidRDefault="00000000">
      <w:pPr>
        <w:ind w:left="2040"/>
      </w:pPr>
      <w:r>
        <w:t>⇒ </w:t>
      </w:r>
      <w:r>
        <w:rPr>
          <w:rStyle w:val="optioncarChar"/>
        </w:rPr>
        <w:t>à l'extérieur</w:t>
      </w:r>
      <w:r>
        <w:t xml:space="preserve"> (par défaut)</w:t>
      </w:r>
      <w:r>
        <w:rPr>
          <w:rStyle w:val="optioncarChar"/>
        </w:rPr>
        <w:t> / du côté du vide / ***.</w:t>
      </w:r>
    </w:p>
    <w:p w14:paraId="285B81D3" w14:textId="77777777" w:rsidR="004B2808" w:rsidRDefault="00000000">
      <w:pPr>
        <w:pStyle w:val="Author-eListParagraph"/>
        <w:numPr>
          <w:ilvl w:val="0"/>
          <w:numId w:val="1303"/>
        </w:numPr>
      </w:pPr>
      <w:r>
        <w:lastRenderedPageBreak/>
        <w:t xml:space="preserve">Caractéristiques particulières du verre :  </w:t>
      </w:r>
      <w:r>
        <w:rPr>
          <w:rStyle w:val="optioncarChar"/>
        </w:rPr>
        <w:t xml:space="preserve">mat </w:t>
      </w:r>
      <w:r>
        <w:t>(par défaut) </w:t>
      </w:r>
      <w:r>
        <w:rPr>
          <w:rStyle w:val="optioncarChar"/>
        </w:rPr>
        <w:t xml:space="preserve">/ décoratif / pare-balles / anti-effraction / amortissant les bruits / couleur bronze (dans la masse) / réfléchissant / ***, </w:t>
      </w:r>
      <w:r>
        <w:t xml:space="preserve">couleur par réflexion : </w:t>
      </w:r>
      <w:r>
        <w:rPr>
          <w:rStyle w:val="optioncarChar"/>
        </w:rPr>
        <w:t>non réfléchissant</w:t>
      </w:r>
      <w:r>
        <w:t> (par défaut)</w:t>
      </w:r>
      <w:r>
        <w:rPr>
          <w:rStyle w:val="optioncarChar"/>
        </w:rPr>
        <w:t xml:space="preserve"> / pare-soleil / ***</w:t>
      </w:r>
      <w:r>
        <w:t>.</w:t>
      </w:r>
    </w:p>
    <w:p w14:paraId="5990550A" w14:textId="77777777" w:rsidR="004B2808" w:rsidRDefault="00000000">
      <w:pPr>
        <w:pStyle w:val="Author-eListParagraph"/>
        <w:numPr>
          <w:ilvl w:val="0"/>
          <w:numId w:val="1303"/>
        </w:numPr>
      </w:pPr>
      <w:r>
        <w:t>Teinte : </w:t>
      </w:r>
      <w:r>
        <w:rPr>
          <w:rStyle w:val="optioncarChar"/>
        </w:rPr>
        <w:t>argent</w:t>
      </w:r>
      <w:r>
        <w:t> (par défaut)</w:t>
      </w:r>
      <w:r>
        <w:rPr>
          <w:rStyle w:val="optioncarChar"/>
        </w:rPr>
        <w:t xml:space="preserve"> / bronze / neutre / vert / gris / rose / bleu / ***.</w:t>
      </w:r>
    </w:p>
    <w:p w14:paraId="111B5539" w14:textId="77777777" w:rsidR="004B2808" w:rsidRDefault="00000000">
      <w:pPr>
        <w:pStyle w:val="pheading"/>
      </w:pPr>
      <w:r>
        <w:t>EXÉCUTION / MISE EN ŒUVRE</w:t>
      </w:r>
    </w:p>
    <w:p w14:paraId="60A13775" w14:textId="77777777" w:rsidR="004B2808" w:rsidRDefault="00000000">
      <w:r>
        <w:t>La pose est effectuée conformément à la [NBN S 23-002] ( voir également les rubriques 42 Vitrages extérieurs et éléments de remplissage et 42.21 Vitrages multiples - Air). Le vitrage est rendu étanché avec  </w:t>
      </w:r>
      <w:r>
        <w:rPr>
          <w:rStyle w:val="optioncarChar"/>
        </w:rPr>
        <w:t xml:space="preserve">*** / un mastic élastique de la classe VI </w:t>
      </w:r>
      <w:r>
        <w:t xml:space="preserve">selon la [NBN S 23-002] sur </w:t>
      </w:r>
      <w:r>
        <w:rPr>
          <w:rStyle w:val="optioncarChar"/>
        </w:rPr>
        <w:t>*** / un profil de remplissage / un profil d'étanchéité élastique de la classe A</w:t>
      </w:r>
      <w:r>
        <w:t xml:space="preserve"> selon la [NBN S 23-002].</w:t>
      </w:r>
    </w:p>
    <w:p w14:paraId="23D975D9" w14:textId="77777777" w:rsidR="004B2808" w:rsidRDefault="00000000">
      <w:pPr>
        <w:pStyle w:val="Author-eSectionHeading6Numberless"/>
      </w:pPr>
      <w:bookmarkStart w:id="1455" w:name="_Toc220491557"/>
      <w:r>
        <w:t>56.21.5a Vitrages doubles bombés sans fonction sécuritaire CCTB 01.02</w:t>
      </w:r>
      <w:bookmarkEnd w:id="1455"/>
    </w:p>
    <w:p w14:paraId="688AC059" w14:textId="77777777" w:rsidR="004B2808" w:rsidRDefault="00000000">
      <w:pPr>
        <w:pStyle w:val="Author-eSectionHeading6Numberless"/>
      </w:pPr>
      <w:bookmarkStart w:id="1456" w:name="_Toc220491558"/>
      <w:r>
        <w:t>56.21.5b Vitrages doubles miroir sans fonction sécuritaire CCTB 01.02</w:t>
      </w:r>
      <w:bookmarkEnd w:id="1456"/>
    </w:p>
    <w:p w14:paraId="2E021137" w14:textId="77777777" w:rsidR="004B2808" w:rsidRDefault="00000000">
      <w:pPr>
        <w:pStyle w:val="Author-eSectionHeading6Numberless"/>
      </w:pPr>
      <w:bookmarkStart w:id="1457" w:name="_Toc220491559"/>
      <w:r>
        <w:t>56.21.5c Vitrages doubles chromogènes sans fonction sécuritaire CCTB 01.02</w:t>
      </w:r>
      <w:bookmarkEnd w:id="1457"/>
    </w:p>
    <w:p w14:paraId="205B40A0" w14:textId="77777777" w:rsidR="004B2808" w:rsidRDefault="00000000">
      <w:pPr>
        <w:pStyle w:val="Author-eSectionHeading4Numberless"/>
      </w:pPr>
      <w:bookmarkStart w:id="1458" w:name="_Toc220491560"/>
      <w:r>
        <w:t>56.22 Vitrages (isolants) doubles avec fonction sécuritaire CCTB 01.02</w:t>
      </w:r>
      <w:bookmarkEnd w:id="1458"/>
    </w:p>
    <w:p w14:paraId="67CB0533" w14:textId="77777777" w:rsidR="004B2808" w:rsidRDefault="00000000">
      <w:pPr>
        <w:pStyle w:val="Author-eSectionHeading5Numberless"/>
      </w:pPr>
      <w:bookmarkStart w:id="1459" w:name="_Toc220491561"/>
      <w:r>
        <w:t>56.22.1 Vitrage double avec fonction sécuritaire CCTB 01.02</w:t>
      </w:r>
      <w:bookmarkEnd w:id="1459"/>
    </w:p>
    <w:p w14:paraId="729375E0" w14:textId="77777777" w:rsidR="004B2808" w:rsidRDefault="00000000">
      <w:pPr>
        <w:pStyle w:val="Author-eSectionHeading6Numberless"/>
      </w:pPr>
      <w:bookmarkStart w:id="1460" w:name="_Toc220491562"/>
      <w:r>
        <w:t>56.22.1a Vitrage double avec fonction sécuritaire CCTB 01.10</w:t>
      </w:r>
      <w:bookmarkEnd w:id="1460"/>
    </w:p>
    <w:p w14:paraId="1E1E1859" w14:textId="77777777" w:rsidR="004B2808" w:rsidRDefault="00000000">
      <w:pPr>
        <w:pStyle w:val="pheading"/>
      </w:pPr>
      <w:r>
        <w:t>DESCRIPTION</w:t>
      </w:r>
    </w:p>
    <w:p w14:paraId="0398DF7C" w14:textId="77777777" w:rsidR="004B2808" w:rsidRDefault="00000000">
      <w:pPr>
        <w:pStyle w:val="pheading"/>
      </w:pPr>
      <w:r>
        <w:t>- Définition / Comprend</w:t>
      </w:r>
    </w:p>
    <w:p w14:paraId="1AC240A9" w14:textId="77777777" w:rsidR="004B2808" w:rsidRDefault="00000000">
      <w:r>
        <w:rPr>
          <w:b/>
          <w:sz w:val="24"/>
        </w:rPr>
        <w:t>Trempé</w:t>
      </w:r>
    </w:p>
    <w:p w14:paraId="2937581B" w14:textId="77777777" w:rsidR="004B2808" w:rsidRDefault="00000000">
      <w:r>
        <w:t>Il s'agit d'un vitrage qui a subi un traitement thermique ou dispose de vitrage feuilleté et dispose ainsi d'une résistance améliorée à la flexion et aux chocs mécaniques et thermiques.</w:t>
      </w:r>
    </w:p>
    <w:p w14:paraId="4B3BCCF0" w14:textId="77777777" w:rsidR="004B2808" w:rsidRDefault="00000000">
      <w:r>
        <w:rPr>
          <w:b/>
          <w:sz w:val="24"/>
        </w:rPr>
        <w:t>Feuilleté</w:t>
      </w:r>
    </w:p>
    <w:p w14:paraId="5031F7D1" w14:textId="77777777" w:rsidR="004B2808" w:rsidRDefault="00000000">
      <w:r>
        <w:t>Il s'agit d'un vitrage de sécurité multicouche composé de feuilles de verre trempé ou flotté, assemblées à l'aide d'une ou plusieurs couches en matière synthétique.</w:t>
      </w:r>
    </w:p>
    <w:p w14:paraId="27FCE498" w14:textId="77777777" w:rsidR="004B2808" w:rsidRDefault="00000000">
      <w:pPr>
        <w:pStyle w:val="pheading"/>
      </w:pPr>
      <w:r>
        <w:t>MATÉRIAUX</w:t>
      </w:r>
    </w:p>
    <w:p w14:paraId="2BDA62A1" w14:textId="77777777" w:rsidR="004B2808" w:rsidRDefault="00000000">
      <w:pPr>
        <w:pStyle w:val="pheading"/>
      </w:pPr>
      <w:r>
        <w:t>- Caractéristiques générales</w:t>
      </w:r>
    </w:p>
    <w:p w14:paraId="740671EF" w14:textId="77777777" w:rsidR="004B2808" w:rsidRDefault="00000000">
      <w:pPr>
        <w:pStyle w:val="heading"/>
      </w:pPr>
      <w:r>
        <w:t>Spécifications</w:t>
      </w:r>
    </w:p>
    <w:p w14:paraId="364DC78D" w14:textId="77777777" w:rsidR="004B2808" w:rsidRDefault="00000000">
      <w:r>
        <w:t xml:space="preserve">La valeur U est de </w:t>
      </w:r>
      <w:r>
        <w:rPr>
          <w:rStyle w:val="optioncarChar"/>
        </w:rPr>
        <w:t>1,1</w:t>
      </w:r>
      <w:r>
        <w:t> (par défaut)</w:t>
      </w:r>
      <w:r>
        <w:rPr>
          <w:rStyle w:val="optioncarChar"/>
        </w:rPr>
        <w:t> / ***  </w:t>
      </w:r>
      <w:r>
        <w:t>W/m²K calculée selon les conditions données par la norme [NBN EN 673]</w:t>
      </w:r>
    </w:p>
    <w:p w14:paraId="60ED2B16" w14:textId="77777777" w:rsidR="004B2808" w:rsidRDefault="00000000">
      <w:r>
        <w:t xml:space="preserve">Le facteur de transmission lumineuse est d'environ </w:t>
      </w:r>
      <w:r>
        <w:rPr>
          <w:rStyle w:val="optioncarChar"/>
        </w:rPr>
        <w:t>***</w:t>
      </w:r>
      <w:r>
        <w:t>. (le verre est incolore)</w:t>
      </w:r>
    </w:p>
    <w:p w14:paraId="059AD40C" w14:textId="77777777" w:rsidR="004B2808" w:rsidRDefault="00000000">
      <w:r>
        <w:t>Pour déterminer l'épaisseur, il y a lieu de tenir compte de : (Par étage, l'épaisseur totale du vitrage doit être identique)</w:t>
      </w:r>
    </w:p>
    <w:p w14:paraId="1FC576CD" w14:textId="77777777" w:rsidR="004B2808" w:rsidRDefault="00000000">
      <w:pPr>
        <w:ind w:left="675"/>
      </w:pPr>
      <w:r>
        <w:t>⇒ une </w:t>
      </w:r>
      <w:r>
        <w:rPr>
          <w:rStyle w:val="optioncarChar"/>
        </w:rPr>
        <w:t>situation normale </w:t>
      </w:r>
      <w:r>
        <w:t>(par défaut)</w:t>
      </w:r>
      <w:r>
        <w:rPr>
          <w:rStyle w:val="optioncarChar"/>
        </w:rPr>
        <w:t xml:space="preserve"> / situation exposée / situation marine / ***</w:t>
      </w:r>
    </w:p>
    <w:p w14:paraId="756B50EA" w14:textId="77777777" w:rsidR="004B2808" w:rsidRDefault="00000000">
      <w:r>
        <w:t>Les cales de support, de réglage et d'espacement sont en </w:t>
      </w:r>
      <w:r>
        <w:rPr>
          <w:rStyle w:val="optioncarChar"/>
        </w:rPr>
        <w:t>matière synthétique</w:t>
      </w:r>
      <w:r>
        <w:t xml:space="preserve"> (par défaut)</w:t>
      </w:r>
      <w:r>
        <w:rPr>
          <w:rStyle w:val="optioncarChar"/>
        </w:rPr>
        <w:t> / ***</w:t>
      </w:r>
    </w:p>
    <w:p w14:paraId="310C14EC" w14:textId="77777777" w:rsidR="004B2808" w:rsidRDefault="00000000">
      <w:r>
        <w:t>La couleur du </w:t>
      </w:r>
      <w:r>
        <w:rPr>
          <w:rStyle w:val="optioncarChar"/>
        </w:rPr>
        <w:t>mastic élastique</w:t>
      </w:r>
      <w:r>
        <w:t> (par défaut)</w:t>
      </w:r>
      <w:r>
        <w:rPr>
          <w:rStyle w:val="optioncarChar"/>
        </w:rPr>
        <w:t xml:space="preserve"> / profil d'étanchéité est *** / ***. </w:t>
      </w:r>
      <w:r>
        <w:t>Les mastics peuvent être peints .</w:t>
      </w:r>
    </w:p>
    <w:p w14:paraId="378B7B93" w14:textId="77777777" w:rsidR="004B2808" w:rsidRDefault="00000000">
      <w:r>
        <w:rPr>
          <w:b/>
          <w:sz w:val="24"/>
        </w:rPr>
        <w:t>Trempé</w:t>
      </w:r>
    </w:p>
    <w:p w14:paraId="7D108812" w14:textId="77777777" w:rsidR="004B2808" w:rsidRDefault="00000000">
      <w:r>
        <w:t>Les doubles vitrages de sécurité isolants en verre trempé doivent satisfaire à la norme [NBN S 23-002] . Le double vitrage se compose de : </w:t>
      </w:r>
      <w:r>
        <w:rPr>
          <w:rStyle w:val="optioncarChar"/>
        </w:rPr>
        <w:t xml:space="preserve">une feuille de verre à glace clair et d'une feuille de verre à glace trempé </w:t>
      </w:r>
      <w:r>
        <w:t>(par défaut) </w:t>
      </w:r>
      <w:r>
        <w:rPr>
          <w:rStyle w:val="optioncarChar"/>
        </w:rPr>
        <w:t>/ deux feuilles de verre à vitre trempé / ***.</w:t>
      </w:r>
    </w:p>
    <w:p w14:paraId="7E411A4A" w14:textId="77777777" w:rsidR="004B2808" w:rsidRDefault="00000000">
      <w:pPr>
        <w:pStyle w:val="heading"/>
      </w:pPr>
      <w:r>
        <w:t>Spécifications</w:t>
      </w:r>
    </w:p>
    <w:p w14:paraId="229A7D8C" w14:textId="77777777" w:rsidR="004B2808" w:rsidRDefault="00000000">
      <w:r>
        <w:lastRenderedPageBreak/>
        <w:t>Pour déterminer l'épaisseur de la composition, il y a lieu de tenir compte des prescriptions du tableau 5 de la norme [NBN S 23-002] .</w:t>
      </w:r>
    </w:p>
    <w:p w14:paraId="1BCF36A8" w14:textId="77777777" w:rsidR="004B2808" w:rsidRDefault="00000000">
      <w:r>
        <w:rPr>
          <w:b/>
          <w:sz w:val="24"/>
        </w:rPr>
        <w:t>Feuilleté</w:t>
      </w:r>
    </w:p>
    <w:p w14:paraId="777099DA" w14:textId="77777777" w:rsidR="004B2808" w:rsidRDefault="00000000">
      <w:r>
        <w:t>Le verre feuilleté répond aux spécifications et aux critères de qualité de la norme [NBN S 23-002] .</w:t>
      </w:r>
    </w:p>
    <w:p w14:paraId="35CB43B2" w14:textId="77777777" w:rsidR="004B2808" w:rsidRDefault="00000000">
      <w:r>
        <w:t xml:space="preserve">Le verre feuilleté se compose de </w:t>
      </w:r>
      <w:r>
        <w:rPr>
          <w:rStyle w:val="optioncarChar"/>
        </w:rPr>
        <w:t>deux</w:t>
      </w:r>
      <w:r>
        <w:t> (par défaut)</w:t>
      </w:r>
      <w:r>
        <w:rPr>
          <w:rStyle w:val="optioncarChar"/>
        </w:rPr>
        <w:t> / *** </w:t>
      </w:r>
      <w:r>
        <w:t xml:space="preserve"> feuilles de verre selon la description de l'article </w:t>
      </w:r>
      <w:r>
        <w:rPr>
          <w:rStyle w:val="optioncarChar"/>
        </w:rPr>
        <w:t>*** ;</w:t>
      </w:r>
    </w:p>
    <w:p w14:paraId="51F0D51C" w14:textId="77777777" w:rsidR="004B2808" w:rsidRDefault="00000000">
      <w:r>
        <w:t>Elles sont:</w:t>
      </w:r>
    </w:p>
    <w:p w14:paraId="1F2C7E06" w14:textId="77777777" w:rsidR="004B2808" w:rsidRDefault="00000000">
      <w:r>
        <w:rPr>
          <w:b/>
        </w:rPr>
        <w:t>Choix opéré</w:t>
      </w:r>
      <w:r>
        <w:t xml:space="preserve"> : </w:t>
      </w:r>
      <w:r>
        <w:rPr>
          <w:rStyle w:val="optioncarChar"/>
        </w:rPr>
        <w:t>*** / OPTION 1 </w:t>
      </w:r>
      <w:r>
        <w:t>(par défaut)</w:t>
      </w:r>
      <w:r>
        <w:rPr>
          <w:rStyle w:val="optioncarChar"/>
        </w:rPr>
        <w:t xml:space="preserve"> / OPTION 2</w:t>
      </w:r>
      <w:r>
        <w:t> </w:t>
      </w:r>
      <w:r>
        <w:br/>
      </w:r>
      <w:r>
        <w:rPr>
          <w:b/>
        </w:rPr>
        <w:t>***OPTION 1</w:t>
      </w:r>
      <w:r>
        <w:t> (par défaut) : séparées par un film de butyral de polyvinyle (PVB)</w:t>
      </w:r>
      <w:r>
        <w:rPr>
          <w:rStyle w:val="optioncarChar"/>
        </w:rPr>
        <w:t> simple</w:t>
      </w:r>
      <w:r>
        <w:t> (par défaut)</w:t>
      </w:r>
      <w:r>
        <w:rPr>
          <w:rStyle w:val="optioncarChar"/>
        </w:rPr>
        <w:t xml:space="preserve"> / double / ***. </w:t>
      </w:r>
      <w:r>
        <w:t xml:space="preserve">Chaque couche de PVB a une épaisseur d'environ 0,38 mm. La composition du verre feuilleté est donnée par un code chiffré x.y.z, où : </w:t>
      </w:r>
      <w:r>
        <w:br/>
        <w:t xml:space="preserve">x = l'épaisseur en mm de la première feuille de verre </w:t>
      </w:r>
      <w:r>
        <w:br/>
        <w:t xml:space="preserve">y = l'épaisseur en mm de la deuxième feuille de verre </w:t>
      </w:r>
      <w:r>
        <w:br/>
        <w:t>z = le nombre de couches de PVB d'une épaisseur de 0,38 mm par couche.</w:t>
      </w:r>
      <w:r>
        <w:br/>
      </w:r>
      <w:r>
        <w:rPr>
          <w:b/>
        </w:rPr>
        <w:t>***OPTION 2</w:t>
      </w:r>
      <w:r>
        <w:t xml:space="preserve"> : séparées par une résine à couler composée de résines polymères coulées entre les feuilles de verre et qui sont ensuite polymérisées par des rayons UV ou un catalyseur. Le ferre feuilleté armé doit en outre satisfaire aux exigences de sécurité posées par la norme [NBN S 23-002] .</w:t>
      </w:r>
    </w:p>
    <w:p w14:paraId="08EB6069" w14:textId="77777777" w:rsidR="004B2808" w:rsidRDefault="00000000">
      <w:pPr>
        <w:pStyle w:val="heading"/>
      </w:pPr>
      <w:r>
        <w:t>Spécifications</w:t>
      </w:r>
    </w:p>
    <w:p w14:paraId="48DE4069" w14:textId="77777777" w:rsidR="004B2808" w:rsidRDefault="00000000">
      <w:pPr>
        <w:pStyle w:val="Author-eListParagraph"/>
        <w:numPr>
          <w:ilvl w:val="0"/>
          <w:numId w:val="1304"/>
        </w:numPr>
      </w:pPr>
      <w:r>
        <w:t xml:space="preserve">Aspect :  </w:t>
      </w:r>
      <w:r>
        <w:rPr>
          <w:rStyle w:val="optioncarChar"/>
        </w:rPr>
        <w:t>incolore</w:t>
      </w:r>
      <w:r>
        <w:t xml:space="preserve"> (par défaut)</w:t>
      </w:r>
      <w:r>
        <w:rPr>
          <w:rStyle w:val="optioncarChar"/>
        </w:rPr>
        <w:t> / réfléchissant / ***</w:t>
      </w:r>
    </w:p>
    <w:p w14:paraId="1159D2B1" w14:textId="77777777" w:rsidR="004B2808" w:rsidRDefault="00000000">
      <w:pPr>
        <w:pStyle w:val="Author-eListParagraph"/>
        <w:numPr>
          <w:ilvl w:val="0"/>
          <w:numId w:val="1304"/>
        </w:numPr>
      </w:pPr>
      <w:r>
        <w:t xml:space="preserve">Epaisseur des plaques de verre : </w:t>
      </w:r>
      <w:r>
        <w:rPr>
          <w:rStyle w:val="optioncarChar"/>
        </w:rPr>
        <w:t>***</w:t>
      </w:r>
    </w:p>
    <w:p w14:paraId="3DF47BE9" w14:textId="77777777" w:rsidR="004B2808" w:rsidRDefault="00000000">
      <w:pPr>
        <w:pStyle w:val="pheading"/>
      </w:pPr>
      <w:r>
        <w:t>- Prescriptions complémentaires</w:t>
      </w:r>
    </w:p>
    <w:p w14:paraId="6742688B" w14:textId="77777777" w:rsidR="004B2808" w:rsidRDefault="00000000">
      <w:r>
        <w:t>Le double vitrage dispose de critères d'acceptabilité tels que définis dans l'article 02.42.1 Critères d'acceptabilité.</w:t>
      </w:r>
    </w:p>
    <w:p w14:paraId="79B18099" w14:textId="77777777" w:rsidR="004B2808" w:rsidRDefault="00000000">
      <w:pPr>
        <w:pStyle w:val="heading"/>
      </w:pPr>
      <w:r>
        <w:t>Options feuilleté</w:t>
      </w:r>
    </w:p>
    <w:p w14:paraId="299F6133" w14:textId="77777777" w:rsidR="004B2808" w:rsidRDefault="00000000">
      <w:r>
        <w:t xml:space="preserve">Les feuilles de verre sont pourvues, à l'extérieur, d'une couche d'oxyde de métal appliquée par pyrolyse. Couleur du film : </w:t>
      </w:r>
      <w:r>
        <w:rPr>
          <w:rStyle w:val="optioncarChar"/>
        </w:rPr>
        <w:t>clair</w:t>
      </w:r>
      <w:r>
        <w:t> (par défaut)</w:t>
      </w:r>
      <w:r>
        <w:rPr>
          <w:rStyle w:val="optioncarChar"/>
        </w:rPr>
        <w:t> / ***</w:t>
      </w:r>
    </w:p>
    <w:p w14:paraId="62609F7E" w14:textId="77777777" w:rsidR="004B2808" w:rsidRDefault="00000000">
      <w:pPr>
        <w:pStyle w:val="pheading"/>
      </w:pPr>
      <w:r>
        <w:t>MESURAGE</w:t>
      </w:r>
    </w:p>
    <w:p w14:paraId="2FD386EE" w14:textId="77777777" w:rsidR="004B2808" w:rsidRDefault="00000000">
      <w:pPr>
        <w:pStyle w:val="pheading"/>
      </w:pPr>
      <w:r>
        <w:t>- unité de mesure:</w:t>
      </w:r>
    </w:p>
    <w:p w14:paraId="60EC305A" w14:textId="77777777" w:rsidR="004B2808" w:rsidRDefault="00000000">
      <w:r>
        <w:rPr>
          <w:rStyle w:val="optioncarChar"/>
        </w:rPr>
        <w:t xml:space="preserve">- </w:t>
      </w:r>
      <w:r>
        <w:t>(par défaut) </w:t>
      </w:r>
      <w:r>
        <w:rPr>
          <w:rStyle w:val="optioncarChar"/>
        </w:rPr>
        <w:t>/ m² / ***</w:t>
      </w:r>
    </w:p>
    <w:p w14:paraId="6007C901" w14:textId="77777777" w:rsidR="004B2808" w:rsidRDefault="00000000">
      <w:pPr>
        <w:pStyle w:val="pheading"/>
      </w:pPr>
      <w:r>
        <w:t>- code de mesurage:</w:t>
      </w:r>
    </w:p>
    <w:p w14:paraId="25B7232D" w14:textId="77777777" w:rsidR="004B2808" w:rsidRDefault="00000000">
      <w:r>
        <w:t>Choix opéré :</w:t>
      </w:r>
      <w:r>
        <w:rPr>
          <w:rStyle w:val="optioncarChar"/>
          <w:b/>
        </w:rPr>
        <w:t>*** / OPTION 1</w:t>
      </w:r>
      <w:r>
        <w:t> (par défaut)</w:t>
      </w:r>
      <w:r>
        <w:rPr>
          <w:rStyle w:val="optioncarChar"/>
          <w:b/>
        </w:rPr>
        <w:t xml:space="preserve"> / OPTION 2</w:t>
      </w:r>
    </w:p>
    <w:p w14:paraId="7DCD39D4" w14:textId="77777777" w:rsidR="004B2808"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45307AF8" w14:textId="77777777" w:rsidR="004B2808" w:rsidRDefault="00000000">
      <w:pPr>
        <w:pStyle w:val="pheading"/>
      </w:pPr>
      <w:r>
        <w:t>- nature du marché:</w:t>
      </w:r>
    </w:p>
    <w:p w14:paraId="6FEA46CB" w14:textId="77777777" w:rsidR="004B2808" w:rsidRDefault="00000000">
      <w:r>
        <w:rPr>
          <w:rStyle w:val="optioncarChar"/>
        </w:rPr>
        <w:t>PM</w:t>
      </w:r>
      <w:r>
        <w:t xml:space="preserve"> (par défaut) </w:t>
      </w:r>
      <w:r>
        <w:rPr>
          <w:rStyle w:val="optioncarChar"/>
        </w:rPr>
        <w:t>/ QF / ***  </w:t>
      </w:r>
    </w:p>
    <w:p w14:paraId="09AADDA0" w14:textId="77777777" w:rsidR="004B2808" w:rsidRDefault="00000000">
      <w:pPr>
        <w:pStyle w:val="pheading"/>
      </w:pPr>
      <w:r>
        <w:t>AIDE</w:t>
      </w:r>
    </w:p>
    <w:p w14:paraId="7B04EA9C" w14:textId="77777777" w:rsidR="004B2808" w:rsidRDefault="00000000">
      <w:r>
        <w:rPr>
          <w:i/>
          <w:u w:val="single"/>
        </w:rPr>
        <w:lastRenderedPageBreak/>
        <w:t>Note à l’attention de l’auteur de projet</w:t>
      </w:r>
      <w:r>
        <w:br/>
        <w:t>Les vitres soumises à des risques de bris suite aux tensions thermiques, doivent toujours être trempées (ombre portée).</w:t>
      </w:r>
    </w:p>
    <w:p w14:paraId="06A95850" w14:textId="77777777" w:rsidR="004B2808" w:rsidRDefault="00000000">
      <w:pPr>
        <w:pStyle w:val="Author-eSectionHeading5Numberless"/>
      </w:pPr>
      <w:bookmarkStart w:id="1461" w:name="_Toc220491563"/>
      <w:r>
        <w:t>56.22.2 Vitrage double à intercalaires multiples (séparation par film plastique tendu) avec fonction sécuritaire CCTB 01.02</w:t>
      </w:r>
      <w:bookmarkEnd w:id="1461"/>
    </w:p>
    <w:p w14:paraId="29ADAF6F" w14:textId="77777777" w:rsidR="004B2808" w:rsidRDefault="00000000">
      <w:pPr>
        <w:pStyle w:val="Author-eSectionHeading6Numberless"/>
      </w:pPr>
      <w:bookmarkStart w:id="1462" w:name="_Toc220491564"/>
      <w:r>
        <w:t>56.22.2a Vitrage double à intercalaires multiples (séparation par film plastique tendu) avec fonction sécuritaire CCTB 01.11</w:t>
      </w:r>
      <w:bookmarkEnd w:id="1462"/>
    </w:p>
    <w:p w14:paraId="072FFBE9" w14:textId="77777777" w:rsidR="004B2808" w:rsidRDefault="00000000">
      <w:pPr>
        <w:pStyle w:val="pheading"/>
      </w:pPr>
      <w:r>
        <w:t>DESCRIPTION</w:t>
      </w:r>
    </w:p>
    <w:p w14:paraId="56DFD12A" w14:textId="77777777" w:rsidR="004B2808" w:rsidRDefault="00000000">
      <w:pPr>
        <w:pStyle w:val="pheading"/>
      </w:pPr>
      <w:r>
        <w:t>- Définition / Comprend</w:t>
      </w:r>
    </w:p>
    <w:p w14:paraId="636828F3" w14:textId="77777777" w:rsidR="004B2808" w:rsidRDefault="00000000">
      <w:pPr>
        <w:jc w:val="both"/>
      </w:pPr>
      <w:r>
        <w:t>Cet article décrit la fourniture et la pose de vitrages doubles à intercalaires multiples (séparation par film tendu) avec fonction sécuritaire conformes à la [NBN EN 1279-1].</w:t>
      </w:r>
    </w:p>
    <w:p w14:paraId="2DF7D350" w14:textId="77777777" w:rsidR="004B2808" w:rsidRDefault="00000000">
      <w:pPr>
        <w:jc w:val="both"/>
      </w:pPr>
      <w:r>
        <w:rPr>
          <w:b/>
        </w:rPr>
        <w:t>Remarques importantes</w:t>
      </w:r>
    </w:p>
    <w:p w14:paraId="17726028" w14:textId="77777777" w:rsidR="004B2808" w:rsidRDefault="00000000">
      <w:pPr>
        <w:jc w:val="both"/>
      </w:pPr>
      <w:r>
        <w:t>Tous les vitrages isolants sont soumis au Règlement Produits de Construction (RPC). Un marquage CE est imposé à ces produits suivant la [NBN EN 1279-5] afin d'attester qu’ils soient conformes aux spécifications techniques de ce règlement.</w:t>
      </w:r>
    </w:p>
    <w:p w14:paraId="19DFABEF" w14:textId="77777777" w:rsidR="004B2808" w:rsidRDefault="00000000">
      <w:pPr>
        <w:pStyle w:val="pheading"/>
      </w:pPr>
      <w:r>
        <w:t>- Localisation</w:t>
      </w:r>
    </w:p>
    <w:p w14:paraId="34D3BBA7" w14:textId="77777777" w:rsidR="004B2808" w:rsidRDefault="00000000">
      <w:r>
        <w:t xml:space="preserve">La localisation des vitrages doubles à intercalaires multiples avec fonction sécuritaire est la suivante : </w:t>
      </w:r>
      <w:r>
        <w:rPr>
          <w:rStyle w:val="optioncarChar"/>
        </w:rPr>
        <w:t>***</w:t>
      </w:r>
      <w:r>
        <w:t>.</w:t>
      </w:r>
    </w:p>
    <w:p w14:paraId="39D2C89D" w14:textId="77777777" w:rsidR="004B2808" w:rsidRDefault="00000000">
      <w:r>
        <w:t>Voir plans et métrés détaillés.</w:t>
      </w:r>
    </w:p>
    <w:p w14:paraId="66670BCB" w14:textId="77777777" w:rsidR="004B2808" w:rsidRDefault="00000000">
      <w:pPr>
        <w:pStyle w:val="pheading"/>
      </w:pPr>
      <w:r>
        <w:t>MATÉRIAUX</w:t>
      </w:r>
    </w:p>
    <w:p w14:paraId="1A3C6601" w14:textId="77777777" w:rsidR="004B2808" w:rsidRDefault="00000000">
      <w:pPr>
        <w:pStyle w:val="pheading"/>
      </w:pPr>
      <w:r>
        <w:t>- Caractéristiques générales</w:t>
      </w:r>
    </w:p>
    <w:p w14:paraId="1A22067D" w14:textId="77777777" w:rsidR="004B2808" w:rsidRDefault="00000000">
      <w:pPr>
        <w:jc w:val="both"/>
      </w:pPr>
      <w:r>
        <w:t>Le vitrage double à intercalaires multiples avec fonction sécuritaire doit satisfaire aux normes [NBN S 23-002] et  [NBN EN 1279-1], [NBN EN 1279-2], [NBN EN 1279-3], [NBN EN 1279-4], [NBN EN 1279-5], [NBN EN 1279-6].</w:t>
      </w:r>
    </w:p>
    <w:p w14:paraId="265F9FE3" w14:textId="77777777" w:rsidR="004B2808" w:rsidRDefault="00000000">
      <w:pPr>
        <w:jc w:val="both"/>
      </w:pPr>
      <w:r>
        <w:t>Il se compose (voir également l'élément 42.2 Vitrages multiples)</w:t>
      </w:r>
    </w:p>
    <w:p w14:paraId="3D857CF7" w14:textId="77777777" w:rsidR="004B2808" w:rsidRDefault="00000000">
      <w:pPr>
        <w:pStyle w:val="Author-eListParagraph"/>
        <w:numPr>
          <w:ilvl w:val="0"/>
          <w:numId w:val="1305"/>
        </w:numPr>
      </w:pPr>
      <w:r>
        <w:t>de deux feuilles de verre (</w:t>
      </w:r>
      <w:r>
        <w:rPr>
          <w:rStyle w:val="optioncarChar"/>
        </w:rPr>
        <w:t>float</w:t>
      </w:r>
      <w:r>
        <w:t> (par défaut)</w:t>
      </w:r>
      <w:r>
        <w:rPr>
          <w:rStyle w:val="optioncarChar"/>
        </w:rPr>
        <w:t xml:space="preserve"> / feuilleté / trempé / à couche / à contrôle solaire / ***</w:t>
      </w:r>
      <w:r>
        <w:t>)</w:t>
      </w:r>
    </w:p>
    <w:p w14:paraId="4517DDBB" w14:textId="77777777" w:rsidR="004B2808" w:rsidRDefault="00000000">
      <w:pPr>
        <w:pStyle w:val="Author-eListParagraph"/>
        <w:numPr>
          <w:ilvl w:val="0"/>
          <w:numId w:val="1305"/>
        </w:numPr>
      </w:pPr>
      <w:r>
        <w:t>de deux espaceurs</w:t>
      </w:r>
      <w:r>
        <w:rPr>
          <w:rStyle w:val="optioncarChar"/>
        </w:rPr>
        <w:t xml:space="preserve"> métalliques</w:t>
      </w:r>
      <w:r>
        <w:t xml:space="preserve"> (par défaut) </w:t>
      </w:r>
      <w:r>
        <w:rPr>
          <w:rStyle w:val="optioncarChar"/>
        </w:rPr>
        <w:t>/ en matériau synthétique / ***</w:t>
      </w:r>
    </w:p>
    <w:p w14:paraId="3FA22C25" w14:textId="77777777" w:rsidR="004B2808" w:rsidRDefault="00000000">
      <w:pPr>
        <w:pStyle w:val="Author-eListParagraph"/>
        <w:numPr>
          <w:ilvl w:val="0"/>
          <w:numId w:val="1305"/>
        </w:numPr>
      </w:pPr>
      <w:r>
        <w:t>d’un film en polyester traité par pulvérisation cathodique et tendu entre les 2 espaceurs</w:t>
      </w:r>
    </w:p>
    <w:p w14:paraId="4B845FC8" w14:textId="77777777" w:rsidR="004B2808" w:rsidRDefault="00000000">
      <w:pPr>
        <w:pStyle w:val="Author-eListParagraph"/>
        <w:numPr>
          <w:ilvl w:val="0"/>
          <w:numId w:val="1305"/>
        </w:numPr>
      </w:pPr>
      <w:r>
        <w:t xml:space="preserve">d’une double cavité remplie </w:t>
      </w:r>
      <w:r>
        <w:rPr>
          <w:rStyle w:val="optioncarChar"/>
        </w:rPr>
        <w:t>d’air / de gaz rare argon</w:t>
      </w:r>
      <w:r>
        <w:t xml:space="preserve"> (par défaut) </w:t>
      </w:r>
      <w:r>
        <w:rPr>
          <w:rStyle w:val="optioncarChar"/>
        </w:rPr>
        <w:t>/ krypton / ***</w:t>
      </w:r>
      <w:r>
        <w:t>)</w:t>
      </w:r>
    </w:p>
    <w:p w14:paraId="305B5B6A" w14:textId="77777777" w:rsidR="004B2808" w:rsidRDefault="00000000">
      <w:pPr>
        <w:pStyle w:val="Author-eListParagraph"/>
        <w:numPr>
          <w:ilvl w:val="0"/>
          <w:numId w:val="1305"/>
        </w:numPr>
      </w:pPr>
      <w:r>
        <w:t xml:space="preserve">d’une double barrière d’étanchéité; la première en polyisobuthylène (butyle) et la seconde le plus souvent formée de </w:t>
      </w:r>
      <w:r>
        <w:rPr>
          <w:rStyle w:val="optioncarChar"/>
        </w:rPr>
        <w:t>polyuréthane</w:t>
      </w:r>
      <w:r>
        <w:t> (par défaut)</w:t>
      </w:r>
      <w:r>
        <w:rPr>
          <w:rStyle w:val="optioncarChar"/>
        </w:rPr>
        <w:t xml:space="preserve"> / de silicone / de polysulfure / ***</w:t>
      </w:r>
    </w:p>
    <w:p w14:paraId="3BCED098" w14:textId="77777777" w:rsidR="004B2808" w:rsidRDefault="00000000">
      <w:pPr>
        <w:pStyle w:val="Author-eListParagraph"/>
        <w:numPr>
          <w:ilvl w:val="0"/>
          <w:numId w:val="1305"/>
        </w:numPr>
      </w:pPr>
      <w:r>
        <w:t>d’un dessiccatif introduit dans l’espaceur.</w:t>
      </w:r>
      <w:r>
        <w:br/>
      </w:r>
    </w:p>
    <w:p w14:paraId="08251DF4" w14:textId="77777777" w:rsidR="004B2808" w:rsidRDefault="00000000">
      <w:pPr>
        <w:jc w:val="both"/>
      </w:pPr>
      <w:r>
        <w:t xml:space="preserve">Le verre intérieur est un </w:t>
      </w:r>
      <w:r>
        <w:rPr>
          <w:rStyle w:val="optioncarChar"/>
        </w:rPr>
        <w:t>verre simple floaté (42.11 Vitrages simples floatés (ordinaires))</w:t>
      </w:r>
      <w:r>
        <w:t xml:space="preserve"> (par défaut) </w:t>
      </w:r>
      <w:r>
        <w:rPr>
          <w:rStyle w:val="optioncarChar"/>
        </w:rPr>
        <w:t>/ un verre de sécurité (verre simple trempé (42.14 Vitrages simples trempés) / Verre simple feuilleté (42.16 Vitrages simples feuilletés))/***</w:t>
      </w:r>
      <w:r>
        <w:t xml:space="preserve"> en fonction des prescriptions de la [NBN S 23-002].</w:t>
      </w:r>
    </w:p>
    <w:p w14:paraId="12FADF1A" w14:textId="77777777" w:rsidR="004B2808" w:rsidRDefault="00000000">
      <w:pPr>
        <w:jc w:val="both"/>
      </w:pPr>
      <w:r>
        <w:t xml:space="preserve">L’épaisseur du vitrage intérieur est </w:t>
      </w:r>
      <w:r>
        <w:rPr>
          <w:rStyle w:val="optioncarChar"/>
        </w:rPr>
        <w:t>conforme aux exigences de la [NBN S 23-002-2] et [NBN S 23-002-3] </w:t>
      </w:r>
      <w:r>
        <w:t>(par défaut)</w:t>
      </w:r>
      <w:r>
        <w:rPr>
          <w:rStyle w:val="optioncarChar"/>
        </w:rPr>
        <w:t xml:space="preserve"> / *** mm</w:t>
      </w:r>
      <w:r>
        <w:t>.</w:t>
      </w:r>
    </w:p>
    <w:p w14:paraId="3D4DAA88" w14:textId="77777777" w:rsidR="004B2808" w:rsidRDefault="00000000">
      <w:pPr>
        <w:jc w:val="both"/>
      </w:pPr>
      <w:r>
        <w:t xml:space="preserve">Le verre extérieur est un </w:t>
      </w:r>
      <w:r>
        <w:rPr>
          <w:rStyle w:val="optioncarChar"/>
        </w:rPr>
        <w:t>verre simple floaté (42.11 Vitrages simples floatés (ordinaires))</w:t>
      </w:r>
      <w:r>
        <w:t xml:space="preserve"> (par défaut)</w:t>
      </w:r>
      <w:r>
        <w:rPr>
          <w:rStyle w:val="optioncarChar"/>
        </w:rPr>
        <w:t> / un verre de sécurité (verre simple trempé (42.14 Vitrages simples trempés) / Verre simple feuilleté (42.16 Vitrages simples feuilletés)) / ***</w:t>
      </w:r>
      <w:r>
        <w:t xml:space="preserve"> en fonction des prescriptions de la [NBN S 23-002].</w:t>
      </w:r>
    </w:p>
    <w:p w14:paraId="67940530" w14:textId="77777777" w:rsidR="004B2808" w:rsidRDefault="00000000">
      <w:pPr>
        <w:jc w:val="both"/>
      </w:pPr>
      <w:r>
        <w:t xml:space="preserve">L’épaisseur du vitrage extérieur est </w:t>
      </w:r>
      <w:r>
        <w:rPr>
          <w:rStyle w:val="optioncarChar"/>
        </w:rPr>
        <w:t>conforme aux exigences de la [NBN S 23-002-2] et [NBN S 23-002-3] </w:t>
      </w:r>
      <w:r>
        <w:t>(par défaut)</w:t>
      </w:r>
      <w:r>
        <w:rPr>
          <w:rStyle w:val="optioncarChar"/>
        </w:rPr>
        <w:t xml:space="preserve"> / *** mm</w:t>
      </w:r>
      <w:r>
        <w:t>.</w:t>
      </w:r>
    </w:p>
    <w:p w14:paraId="3497DDDA" w14:textId="77777777" w:rsidR="004B2808" w:rsidRDefault="00000000">
      <w:pPr>
        <w:jc w:val="both"/>
      </w:pPr>
      <w:r>
        <w:t xml:space="preserve">L'épaisseur totale du vitrage est de : </w:t>
      </w:r>
      <w:r>
        <w:rPr>
          <w:rStyle w:val="optioncarChar"/>
        </w:rPr>
        <w:t>25</w:t>
      </w:r>
      <w:r>
        <w:t> (par défaut)</w:t>
      </w:r>
      <w:r>
        <w:rPr>
          <w:rStyle w:val="optioncarChar"/>
        </w:rPr>
        <w:t xml:space="preserve"> / 28 / 36 / 44 / ***</w:t>
      </w:r>
      <w:r>
        <w:t xml:space="preserve"> mm.</w:t>
      </w:r>
    </w:p>
    <w:p w14:paraId="4126BEC0" w14:textId="77777777" w:rsidR="004B2808" w:rsidRDefault="00000000">
      <w:pPr>
        <w:jc w:val="both"/>
      </w:pPr>
      <w:r>
        <w:lastRenderedPageBreak/>
        <w:t>Le verre trempé doit satisfaire aux normes [NBN EN 12150-1:2015+A1] et [NBN EN 12150-2].</w:t>
      </w:r>
    </w:p>
    <w:p w14:paraId="06709B54" w14:textId="77777777" w:rsidR="004B2808" w:rsidRDefault="00000000">
      <w:pPr>
        <w:jc w:val="both"/>
      </w:pPr>
      <w:r>
        <w:t xml:space="preserve">Le verre feuilleté de sécurité doit répondre aux normes [NBN EN ISO 12543-1], [NBN EN ISO 12543-2], [NBN EN ISO 12543-4], [NBN EN ISO 12543-5] et [NBN EN ISO 12543-6]. Il est composé de </w:t>
      </w:r>
      <w:r>
        <w:rPr>
          <w:rStyle w:val="optioncarChar"/>
        </w:rPr>
        <w:t>deux</w:t>
      </w:r>
      <w:r>
        <w:t xml:space="preserve"> (par défaut)</w:t>
      </w:r>
      <w:r>
        <w:rPr>
          <w:rStyle w:val="optioncarChar"/>
        </w:rPr>
        <w:t> / ***</w:t>
      </w:r>
      <w:r>
        <w:t xml:space="preserve"> feuilles de verre selon la description de l'élément 42.16.1 Vitrages simples feuilletés composés de verrecomposés de verre séparées par un film intercalaire de </w:t>
      </w:r>
      <w:r>
        <w:rPr>
          <w:rStyle w:val="optioncarChar"/>
        </w:rPr>
        <w:t xml:space="preserve">butyral de polyvinyle (PVB) </w:t>
      </w:r>
      <w:r>
        <w:t>(par défaut)</w:t>
      </w:r>
      <w:r>
        <w:rPr>
          <w:rStyle w:val="optioncarChar"/>
        </w:rPr>
        <w:t xml:space="preserve"> / ***</w:t>
      </w:r>
      <w:r>
        <w:t xml:space="preserve">. Chaque couche de PVB a une épaisseur d'environ 0,38 mm. La composition du verre feuilleté est donnée par un code chiffré xy.z, où : </w:t>
      </w:r>
    </w:p>
    <w:p w14:paraId="2903953F" w14:textId="77777777" w:rsidR="004B2808" w:rsidRDefault="004B2808">
      <w:pPr>
        <w:jc w:val="both"/>
      </w:pPr>
    </w:p>
    <w:p w14:paraId="0981606A" w14:textId="77777777" w:rsidR="004B2808" w:rsidRDefault="00000000">
      <w:pPr>
        <w:jc w:val="both"/>
      </w:pPr>
      <w:r>
        <w:t xml:space="preserve"> x = l'épaisseur en mm de la première feuille de verre </w:t>
      </w:r>
    </w:p>
    <w:p w14:paraId="435C83C5" w14:textId="77777777" w:rsidR="004B2808" w:rsidRDefault="00000000">
      <w:pPr>
        <w:jc w:val="both"/>
      </w:pPr>
      <w:r>
        <w:t xml:space="preserve"> y = l'épaisseur en mm de la deuxième feuille de verre </w:t>
      </w:r>
    </w:p>
    <w:p w14:paraId="4F37FE6C" w14:textId="77777777" w:rsidR="004B2808" w:rsidRDefault="00000000">
      <w:pPr>
        <w:jc w:val="both"/>
      </w:pPr>
      <w:r>
        <w:t xml:space="preserve"> z = le nombre de couches de PVB d'une épaisseur de 0,38 mm d’épaisseur par couche.</w:t>
      </w:r>
    </w:p>
    <w:p w14:paraId="3228579E" w14:textId="77777777" w:rsidR="004B2808" w:rsidRDefault="004B2808"/>
    <w:p w14:paraId="50B60ED5" w14:textId="77777777" w:rsidR="004B2808" w:rsidRDefault="00000000">
      <w:pPr>
        <w:jc w:val="both"/>
      </w:pPr>
      <w:r>
        <w:t xml:space="preserve">La valeur Ug est calculée conformément aux prescriptions de la [NBN EN 675]: </w:t>
      </w:r>
      <w:r>
        <w:rPr>
          <w:rStyle w:val="optioncarChar"/>
        </w:rPr>
        <w:t>maximum 1.1 W/m²K</w:t>
      </w:r>
      <w:r>
        <w:t xml:space="preserve"> (par défaut)</w:t>
      </w:r>
      <w:r>
        <w:rPr>
          <w:rStyle w:val="optioncarChar"/>
        </w:rPr>
        <w:t> / ***</w:t>
      </w:r>
      <w:r>
        <w:t>.</w:t>
      </w:r>
    </w:p>
    <w:p w14:paraId="7363D153" w14:textId="77777777" w:rsidR="004B2808" w:rsidRDefault="00000000">
      <w:pPr>
        <w:jc w:val="both"/>
      </w:pPr>
      <w:r>
        <w:t xml:space="preserve">Le facteur solaire (g) (ou facteur énergétique global) est mesuré conformément à [NBN EN 410] : </w:t>
      </w:r>
      <w:r>
        <w:rPr>
          <w:rStyle w:val="optioncarChar"/>
        </w:rPr>
        <w:t>maximum 0.71</w:t>
      </w:r>
      <w:r>
        <w:t> (par défaut)</w:t>
      </w:r>
      <w:r>
        <w:rPr>
          <w:rStyle w:val="optioncarChar"/>
        </w:rPr>
        <w:t xml:space="preserve"> / ***</w:t>
      </w:r>
      <w:r>
        <w:t>.</w:t>
      </w:r>
    </w:p>
    <w:p w14:paraId="57625616" w14:textId="77777777" w:rsidR="004B2808" w:rsidRDefault="00000000">
      <w:pPr>
        <w:jc w:val="both"/>
      </w:pPr>
      <w:r>
        <w:t xml:space="preserve">Le facteur de transmission lumineuse est mesuré conformément à [NBN EN 410] : </w:t>
      </w:r>
      <w:r>
        <w:rPr>
          <w:rStyle w:val="optioncarChar"/>
        </w:rPr>
        <w:t xml:space="preserve">relatif au facteur solaire </w:t>
      </w:r>
      <w:r>
        <w:t>(par défaut)</w:t>
      </w:r>
      <w:r>
        <w:rPr>
          <w:rStyle w:val="optioncarChar"/>
        </w:rPr>
        <w:t xml:space="preserve"> / 0.85 / ***</w:t>
      </w:r>
      <w:r>
        <w:t>.</w:t>
      </w:r>
    </w:p>
    <w:p w14:paraId="728D6A6C" w14:textId="77777777" w:rsidR="004B2808" w:rsidRDefault="00000000">
      <w:pPr>
        <w:jc w:val="both"/>
      </w:pPr>
      <w:r>
        <w:t xml:space="preserve">En cas de risque de casse thermique, </w:t>
      </w:r>
      <w:r>
        <w:rPr>
          <w:rStyle w:val="optioncarChar"/>
        </w:rPr>
        <w:t>un / des vitrage(s), trempé(s) / feuilleté(s) trempé(s)</w:t>
      </w:r>
      <w:r>
        <w:t xml:space="preserve"> doivent toujours être prévues en fonction des prescriptions de la [NBN S 23-002].</w:t>
      </w:r>
    </w:p>
    <w:p w14:paraId="3638A8AC" w14:textId="77777777" w:rsidR="004B2808" w:rsidRDefault="00000000">
      <w:pPr>
        <w:jc w:val="both"/>
      </w:pPr>
      <w:r>
        <w:t>Enfin, la durabilité du film polyester doit être garantie en toutes circonstances (rayonnement UV, éclairage …).</w:t>
      </w:r>
    </w:p>
    <w:p w14:paraId="36AB96A4" w14:textId="77777777" w:rsidR="004B2808" w:rsidRDefault="00000000">
      <w:pPr>
        <w:pStyle w:val="pheading"/>
      </w:pPr>
      <w:r>
        <w:t>- Finitions</w:t>
      </w:r>
    </w:p>
    <w:p w14:paraId="6FBEE858" w14:textId="77777777" w:rsidR="004B2808" w:rsidRDefault="00000000">
      <w:pPr>
        <w:jc w:val="both"/>
      </w:pPr>
      <w:r>
        <w:t xml:space="preserve">Certains composants verriers peuvent faire l’objet d’un façonnage des bords suivant les exigences de résistance mécanique, les risques de casse thermique et autres exigences de sécurité : </w:t>
      </w:r>
      <w:r>
        <w:rPr>
          <w:rStyle w:val="optioncarChar"/>
        </w:rPr>
        <w:t xml:space="preserve">joint plat industriel lisse (ou chant meulé lisse ou plat satiné) </w:t>
      </w:r>
      <w:r>
        <w:t>(par défaut)</w:t>
      </w:r>
      <w:r>
        <w:rPr>
          <w:rStyle w:val="optioncarChar"/>
        </w:rPr>
        <w:t xml:space="preserve"> / arête abattue (ou chant biseauté) / joint plat industriel (ou chant meulé ou plat mat) / joint plat poli (ou chant poli ou plat poli) / autre à préciser par le bordereau / ***</w:t>
      </w:r>
      <w:r>
        <w:t>.</w:t>
      </w:r>
    </w:p>
    <w:p w14:paraId="09E45ED9" w14:textId="77777777" w:rsidR="004B2808" w:rsidRDefault="00000000">
      <w:pPr>
        <w:pStyle w:val="pheading"/>
      </w:pPr>
      <w:r>
        <w:t>- Prescriptions complémentaires</w:t>
      </w:r>
    </w:p>
    <w:p w14:paraId="19176D72" w14:textId="77777777" w:rsidR="004B2808" w:rsidRDefault="00000000">
      <w:pPr>
        <w:jc w:val="both"/>
      </w:pPr>
      <w:r>
        <w:rPr>
          <w:rStyle w:val="facultChar"/>
        </w:rPr>
        <w:t>Le vitrage double à intercalaires multiples (séparation par film plastique tendu) avec fonction sécuritaire satisfait aux critères d'acceptabilité du produit pour la composition et les performances concernées tels que définis dans l'élément 02.42.1 Critères d'acceptabilité.</w:t>
      </w:r>
    </w:p>
    <w:p w14:paraId="32CE7440" w14:textId="77777777" w:rsidR="004B2808" w:rsidRDefault="00000000">
      <w:pPr>
        <w:pStyle w:val="pheading"/>
      </w:pPr>
      <w:r>
        <w:t>EXÉCUTION / MISE EN ŒUVRE</w:t>
      </w:r>
    </w:p>
    <w:p w14:paraId="354E79D1" w14:textId="77777777" w:rsidR="004B2808" w:rsidRDefault="00000000">
      <w:pPr>
        <w:pStyle w:val="pheading"/>
      </w:pPr>
      <w:r>
        <w:t>- Prescriptions générales</w:t>
      </w:r>
    </w:p>
    <w:p w14:paraId="1EA4141B" w14:textId="77777777" w:rsidR="004B2808" w:rsidRDefault="00000000">
      <w:pPr>
        <w:jc w:val="both"/>
      </w:pPr>
      <w:r>
        <w:t>La pose est effectuée conformément à la [NBN S 23-002] et à la [NIT 221] (voir également les éléments 42.21.1 Vitrages doubles - Air et 42.22.1 Vitrages doubles - Gaz.</w:t>
      </w:r>
    </w:p>
    <w:p w14:paraId="17A406BC" w14:textId="77777777" w:rsidR="004B2808" w:rsidRDefault="00000000">
      <w:pPr>
        <w:jc w:val="both"/>
      </w:pPr>
      <w:r>
        <w:t>L’épaisseur des différents composants du vitrage double à intercalaires multiples (séparation par film plastique tendu) avec fonction sécuritaire est déterminée en fonction des sollicitations, des dimensions du verre et de son mode de fixation conformément aux [NBN S 23-002], [NBN S 23-002-2] et [NBN S 23-002-3] et aux spécifications relatives à l’ouvrage vitré dans lequel il est intégré.</w:t>
      </w:r>
    </w:p>
    <w:p w14:paraId="0AA3133F" w14:textId="77777777" w:rsidR="004B2808" w:rsidRDefault="00000000">
      <w:pPr>
        <w:jc w:val="both"/>
      </w:pPr>
      <w:r>
        <w:t>Les garnitures d’étanchéité placées entre le vitrage et le châssis afin d’assurer l’étanchéité à l’eau et à l’air et d’absorber les dilatations différentielles sont réalisées à l’aide de :</w:t>
      </w:r>
      <w:r>
        <w:rPr>
          <w:rStyle w:val="optioncarChar"/>
        </w:rPr>
        <w:t xml:space="preserve"> un mastic de classe conforme aux [STS 56.1] et à la [NIT 221] </w:t>
      </w:r>
      <w:r>
        <w:t>(par défaut)</w:t>
      </w:r>
      <w:r>
        <w:rPr>
          <w:rStyle w:val="optioncarChar"/>
        </w:rPr>
        <w:t xml:space="preserve"> / un profilé (préformé) d'étanchéité conforme à la [NBN EN 12365-1] et à la [NIT 221] / ***</w:t>
      </w:r>
      <w:r>
        <w:t>.</w:t>
      </w:r>
    </w:p>
    <w:p w14:paraId="2D260D2A" w14:textId="77777777" w:rsidR="004B2808" w:rsidRDefault="00000000">
      <w:pPr>
        <w:pStyle w:val="pheading"/>
      </w:pPr>
      <w:r>
        <w:t>- Notes d’exécution complémentaires</w:t>
      </w:r>
    </w:p>
    <w:p w14:paraId="27D3BD5B" w14:textId="77777777" w:rsidR="004B2808" w:rsidRDefault="00000000">
      <w:pPr>
        <w:pStyle w:val="Author-eListParagraph"/>
        <w:numPr>
          <w:ilvl w:val="0"/>
          <w:numId w:val="1306"/>
        </w:numPr>
        <w:jc w:val="both"/>
      </w:pPr>
      <w:r>
        <w:rPr>
          <w:rStyle w:val="facultChar"/>
        </w:rPr>
        <w:lastRenderedPageBreak/>
        <w:t>Les moyens de manutention et de mise en œuvre doivent être adaptés aux dimensions et au poids des vitrages</w:t>
      </w:r>
    </w:p>
    <w:p w14:paraId="01140F46" w14:textId="77777777" w:rsidR="004B2808" w:rsidRDefault="00000000">
      <w:pPr>
        <w:pStyle w:val="Author-eListParagraph"/>
        <w:numPr>
          <w:ilvl w:val="0"/>
          <w:numId w:val="1306"/>
        </w:numPr>
        <w:jc w:val="both"/>
      </w:pPr>
      <w:r>
        <w:rPr>
          <w:rStyle w:val="facultChar"/>
        </w:rPr>
        <w:t>Les menuiseries doivent être dimensionnées en fonction de l’épaisseur et du poids du vitrage. Dans le cas d’éléments de menuiserie ouvrants, elles sont équipées d’éléments de quincaillerie en nombre suffisant et dimensionnés pour les dimensions et le poids de l’ouvrant.</w:t>
      </w:r>
    </w:p>
    <w:p w14:paraId="799AA148" w14:textId="77777777" w:rsidR="004B2808" w:rsidRDefault="00000000">
      <w:pPr>
        <w:pStyle w:val="Author-eListParagraph"/>
        <w:numPr>
          <w:ilvl w:val="0"/>
          <w:numId w:val="1306"/>
        </w:numPr>
        <w:jc w:val="both"/>
      </w:pPr>
      <w:r>
        <w:rPr>
          <w:rStyle w:val="facultChar"/>
        </w:rPr>
        <w:t>Les cales de support, de distance et d'espacement sont en</w:t>
      </w:r>
      <w:r>
        <w:t>  </w:t>
      </w:r>
      <w:r>
        <w:rPr>
          <w:rStyle w:val="optioncarChar"/>
        </w:rPr>
        <w:t>matière synthétique</w:t>
      </w:r>
      <w:r>
        <w:t xml:space="preserve"> (par défaut) </w:t>
      </w:r>
      <w:r>
        <w:rPr>
          <w:rStyle w:val="optioncarChar"/>
        </w:rPr>
        <w:t>/ ***</w:t>
      </w:r>
      <w:r>
        <w:t>.</w:t>
      </w:r>
    </w:p>
    <w:p w14:paraId="3C2A317B" w14:textId="77777777" w:rsidR="004B2808" w:rsidRDefault="00000000">
      <w:pPr>
        <w:pStyle w:val="Author-eListParagraph"/>
        <w:numPr>
          <w:ilvl w:val="0"/>
          <w:numId w:val="1306"/>
        </w:numPr>
        <w:jc w:val="both"/>
      </w:pPr>
      <w:r>
        <w:rPr>
          <w:rStyle w:val="facultChar"/>
        </w:rPr>
        <w:t>Pour éviter le développement de contraintes de cisaillement au niveau des joints de scellement des vitrages doubles à intercalaires multiples, le calage de tous les composants verriers est requis. La longueur des cales de support est calculée conformément à la [NBN EN 12488]</w:t>
      </w:r>
    </w:p>
    <w:p w14:paraId="39B91779" w14:textId="77777777" w:rsidR="004B2808" w:rsidRDefault="00000000">
      <w:pPr>
        <w:pStyle w:val="Author-eListParagraph"/>
        <w:numPr>
          <w:ilvl w:val="0"/>
          <w:numId w:val="1306"/>
        </w:numPr>
        <w:jc w:val="both"/>
      </w:pPr>
      <w:r>
        <w:rPr>
          <w:rStyle w:val="facultChar"/>
        </w:rPr>
        <w:t>À défaut de ne pouvoir garantir une hauteur de prise en feuillure minimale conforme à la [NBN S 23-002] à la [NIT 221], la seconde barrière d’étanchéité constituant le joint de scellement du vitrage est réalisé avec un mastic de type silicone.</w:t>
      </w:r>
    </w:p>
    <w:p w14:paraId="0CC643FE" w14:textId="77777777" w:rsidR="004B2808" w:rsidRDefault="00000000">
      <w:pPr>
        <w:pStyle w:val="Author-eListParagraph"/>
        <w:numPr>
          <w:ilvl w:val="0"/>
          <w:numId w:val="1306"/>
        </w:numPr>
        <w:jc w:val="both"/>
      </w:pPr>
      <w:r>
        <w:rPr>
          <w:rStyle w:val="facultChar"/>
        </w:rPr>
        <w:t>La couleur du</w:t>
      </w:r>
      <w:r>
        <w:rPr>
          <w:rStyle w:val="facultChar"/>
          <w:color w:val="000000"/>
        </w:rPr>
        <w:t> </w:t>
      </w:r>
      <w:r>
        <w:rPr>
          <w:rStyle w:val="optioncarChar"/>
        </w:rPr>
        <w:t>mastic </w:t>
      </w:r>
      <w:r>
        <w:t>(par défaut)</w:t>
      </w:r>
      <w:r>
        <w:rPr>
          <w:rStyle w:val="optioncarChar"/>
        </w:rPr>
        <w:t xml:space="preserve"> / du profil d'étanchéité / ***</w:t>
      </w:r>
      <w:r>
        <w:t>  </w:t>
      </w:r>
      <w:r>
        <w:rPr>
          <w:rStyle w:val="facultChar"/>
        </w:rPr>
        <w:t>est</w:t>
      </w:r>
      <w:r>
        <w:t xml:space="preserve">  </w:t>
      </w:r>
      <w:r>
        <w:rPr>
          <w:rStyle w:val="optioncarChar"/>
        </w:rPr>
        <w:t>***</w:t>
      </w:r>
      <w:r>
        <w:t>.</w:t>
      </w:r>
    </w:p>
    <w:p w14:paraId="2D2B223E" w14:textId="77777777" w:rsidR="004B2808" w:rsidRDefault="00000000">
      <w:pPr>
        <w:pStyle w:val="Author-eListParagraph"/>
        <w:numPr>
          <w:ilvl w:val="0"/>
          <w:numId w:val="1306"/>
        </w:numPr>
        <w:jc w:val="both"/>
      </w:pPr>
      <w:r>
        <w:rPr>
          <w:rStyle w:val="facultChar"/>
        </w:rPr>
        <w:t>Les mastics peuvent être peints</w:t>
      </w:r>
    </w:p>
    <w:p w14:paraId="6ACD7C7D" w14:textId="77777777" w:rsidR="004B2808" w:rsidRDefault="00000000">
      <w:pPr>
        <w:pStyle w:val="Author-eListParagraph"/>
        <w:numPr>
          <w:ilvl w:val="0"/>
          <w:numId w:val="1306"/>
        </w:numPr>
        <w:jc w:val="both"/>
      </w:pPr>
      <w:r>
        <w:rPr>
          <w:rStyle w:val="facultChar"/>
        </w:rPr>
        <w:t>Avant la pose des vitrages, les feuillures et les parcloses sont nettoyées ainsi que les bords du vitrage. Tout mastic utilisé doit être compatible chimiquement avec les profilés ou les produits de traitement de la menuiserie extérieure. Lorsque le fabricant de mastics le préconise, un primer est préalablement appliqué</w:t>
      </w:r>
      <w:r>
        <w:t>.</w:t>
      </w:r>
    </w:p>
    <w:p w14:paraId="682DAAB0" w14:textId="77777777" w:rsidR="004B2808" w:rsidRDefault="00000000">
      <w:pPr>
        <w:pStyle w:val="pheading"/>
      </w:pPr>
      <w:r>
        <w:t>DOCUMENTS DE RÉFÉRENCE COMPLÉMENTAIRES</w:t>
      </w:r>
    </w:p>
    <w:p w14:paraId="3AFA15B4" w14:textId="77777777" w:rsidR="004B2808" w:rsidRDefault="00000000">
      <w:pPr>
        <w:pStyle w:val="pheading"/>
      </w:pPr>
      <w:r>
        <w:t>- Matériau</w:t>
      </w:r>
    </w:p>
    <w:p w14:paraId="271F6638" w14:textId="77777777" w:rsidR="004B2808" w:rsidRDefault="00000000">
      <w:r>
        <w:t>[NBN S 23-002, Vitrerie]</w:t>
      </w:r>
    </w:p>
    <w:p w14:paraId="7AA14549" w14:textId="77777777" w:rsidR="004B2808" w:rsidRDefault="00000000">
      <w:r>
        <w:t>[NBN S 23-002-2, Vitrerie - Partie 2 : Calcul des épaisseurs de verre]</w:t>
      </w:r>
    </w:p>
    <w:p w14:paraId="17EC04A6" w14:textId="77777777" w:rsidR="004B2808" w:rsidRDefault="00000000">
      <w:r>
        <w:t>[NBN S 23-002-3, Vitrerie - Partie 3 : Calcul des épaisseurs de verre en façade]</w:t>
      </w:r>
    </w:p>
    <w:p w14:paraId="547B02FC" w14:textId="77777777" w:rsidR="004B2808" w:rsidRDefault="00000000">
      <w:r>
        <w:t>[NBN EN 1279-1, Verre dans la construction - Vitrage isolant - Partie 1 : Généralités, description du système, règles de substitution, tolérances et qualité visuelle]</w:t>
      </w:r>
    </w:p>
    <w:p w14:paraId="0E2E5D9C" w14:textId="77777777" w:rsidR="004B2808" w:rsidRDefault="00000000">
      <w:r>
        <w:t>[NBN EN 1279-2, Verre dans la construction - Vitrage isolant - Partie 2 : Méthode d'essai de longue durée et exigences en matière de pénétration d'humidité]</w:t>
      </w:r>
    </w:p>
    <w:p w14:paraId="23C9D7E8" w14:textId="77777777" w:rsidR="004B2808" w:rsidRDefault="00000000">
      <w:r>
        <w:t>[NBN EN 1279-3, Verre dans la construction - Vitrage isolant - Partie 3 : Méthode d'essai à long terme pour le débit de fuite et prescriptions pour les tolérances de concentration en gaz]</w:t>
      </w:r>
    </w:p>
    <w:p w14:paraId="116C9588" w14:textId="77777777" w:rsidR="004B2808" w:rsidRDefault="00000000">
      <w:r>
        <w:t>[NBN EN 1279-4, Verre dans la construction - Vitrage isolant - Partie 4: Méthodes d'essai des propriétés physiques des composants et inserts]</w:t>
      </w:r>
    </w:p>
    <w:p w14:paraId="0DB1495E" w14:textId="77777777" w:rsidR="004B2808" w:rsidRDefault="00000000">
      <w:r>
        <w:t>[NBN EN 1279-5, Verre dans la construction - Vitrage isolant - Partie 5: Norme de produit]</w:t>
      </w:r>
    </w:p>
    <w:p w14:paraId="65584F26" w14:textId="77777777" w:rsidR="004B2808" w:rsidRDefault="00000000">
      <w:r>
        <w:t>[NBN EN 1279-6, Verre dans la construction - Vitrage isolant - Partie 6: Contrôle de production en usine et essais périodiques]</w:t>
      </w:r>
    </w:p>
    <w:p w14:paraId="07E140E5" w14:textId="77777777" w:rsidR="004B2808" w:rsidRDefault="00000000">
      <w:r>
        <w:t>[NBN EN 12150-1:2015+A1, Verre dans la construction - Verre de silicate sodo-calcique de sécurité trempé thermiquement - Partie 1: Définition et description]</w:t>
      </w:r>
    </w:p>
    <w:p w14:paraId="67834DBB" w14:textId="77777777" w:rsidR="004B2808" w:rsidRDefault="00000000">
      <w:r>
        <w:t>[NBN EN 12150-2, Verre dans la construction - Verre de silicate sodo-calcique de sécurité trempé thermiquement - Partie 2 : Evaluation de la conformité/Norme de produit]</w:t>
      </w:r>
    </w:p>
    <w:p w14:paraId="3349F625" w14:textId="77777777" w:rsidR="004B2808" w:rsidRDefault="00000000">
      <w:r>
        <w:t>[NBN EN ISO 12543-1, Verre dans la construction - Verre feuilleté et verre feuilleté de sécurité - Partie 1: Vocabulaire et description des composants (ISO 12543-1:2021)]</w:t>
      </w:r>
    </w:p>
    <w:p w14:paraId="3774C2E8" w14:textId="77777777" w:rsidR="004B2808" w:rsidRDefault="00000000">
      <w:r>
        <w:t>[NBN EN ISO 12543-2, Verre dans la construction - Verre feuilleté et verre feuilleté de sécurité - Partie 2: Verre feuilleté de sécurité (ISO 12543-2:2021)]</w:t>
      </w:r>
    </w:p>
    <w:p w14:paraId="1566137A" w14:textId="77777777" w:rsidR="004B2808" w:rsidRDefault="00000000">
      <w:r>
        <w:t>[NBN EN ISO 12543-4, Verre dans la construction - Verre feuilleté et verre feuilleté de sécurité - Partie 4: Méthodes d'essai concernant la durabilité (ISO 12543-4:2021)]</w:t>
      </w:r>
    </w:p>
    <w:p w14:paraId="0805F6F5" w14:textId="77777777" w:rsidR="004B2808" w:rsidRDefault="00000000">
      <w:r>
        <w:lastRenderedPageBreak/>
        <w:t>[NBN EN ISO 12543-5, Verre dans la construction - Verre feuilleté et verre feuilleté de sécurité - Partie 5: Dimensions et façonnage des bords (ISO 12543-5:2021)]</w:t>
      </w:r>
    </w:p>
    <w:p w14:paraId="67DFBAFE" w14:textId="77777777" w:rsidR="004B2808" w:rsidRDefault="00000000">
      <w:r>
        <w:t>[NBN EN ISO 12543-6, Verre dans la construction - Verre feuilleté et verre feuilleté de sécurité - Partie 6: Aspect (ISO 12543-6:2021)]</w:t>
      </w:r>
    </w:p>
    <w:p w14:paraId="0D157FA3" w14:textId="77777777" w:rsidR="004B2808" w:rsidRDefault="00000000">
      <w:r>
        <w:t>[NBN EN 14449, Verre dans la construction - Verre feuilleté et verre feuilleté de sécurité - Evaluation de la conformité/Norme de produit (+ AC:2005)]</w:t>
      </w:r>
    </w:p>
    <w:p w14:paraId="0CCE5022" w14:textId="77777777" w:rsidR="004B2808" w:rsidRDefault="00000000">
      <w:r>
        <w:t>[NBN EN 410, Verre dans la construction - Détermination des caractéristiques lumineuses et solaires des vitrages]</w:t>
      </w:r>
    </w:p>
    <w:p w14:paraId="61E4D981" w14:textId="77777777" w:rsidR="004B2808" w:rsidRDefault="00000000">
      <w:r>
        <w:t>[DRW 2013-11-28, Décret relatif à la performance énergétique des bâtiments (Décret PEB)]</w:t>
      </w:r>
    </w:p>
    <w:p w14:paraId="237909B3" w14:textId="77777777" w:rsidR="004B2808" w:rsidRDefault="00000000">
      <w:r>
        <w:t>[AGW 2014-05-15 PEB, Arrêté du Gouvernement wallon portant exécution du décret du 28 novembre 2013 relatif à la performance énergétique des bâtiments] annexes (Arrêté PEB)</w:t>
      </w:r>
    </w:p>
    <w:p w14:paraId="7575D7B7" w14:textId="77777777" w:rsidR="004B2808" w:rsidRDefault="00000000">
      <w:pPr>
        <w:pStyle w:val="pheading"/>
      </w:pPr>
      <w:r>
        <w:t>- Exécution</w:t>
      </w:r>
    </w:p>
    <w:p w14:paraId="44E17074" w14:textId="77777777" w:rsidR="004B2808" w:rsidRDefault="00000000">
      <w:r>
        <w:t>[NBN S 23-002-2, Vitrerie - Partie 2 : Calcul des épaisseurs de verre]</w:t>
      </w:r>
    </w:p>
    <w:p w14:paraId="17A3FE6A" w14:textId="77777777" w:rsidR="004B2808" w:rsidRDefault="00000000">
      <w:r>
        <w:t>[NBN S 23-002-3, Vitrerie - Partie 3 : Calcul des épaisseurs de verre en façade]</w:t>
      </w:r>
    </w:p>
    <w:p w14:paraId="0963EE0C" w14:textId="77777777" w:rsidR="004B2808" w:rsidRDefault="00000000">
      <w:r>
        <w:t>[NBN EN 12365-1, Quincaillerie pour le bâtiment - Profilés d'étanchéité de vitrage et entre ouvrant et dormant pour portes, fenêtres, fermetures et façades rideaux - Partie 1: Exigences de performance et classification]</w:t>
      </w:r>
    </w:p>
    <w:p w14:paraId="59AFE50D" w14:textId="77777777" w:rsidR="004B2808" w:rsidRDefault="00000000">
      <w:r>
        <w:t>[STS 56.1, Mastics d’étanchéité des façades]</w:t>
      </w:r>
    </w:p>
    <w:p w14:paraId="4BF30162" w14:textId="77777777" w:rsidR="004B2808" w:rsidRDefault="00000000">
      <w:r>
        <w:t>[NIT 221, La pose des vitrages en feuillure (Les NIT 214 et 221 remplacent les NIT 110 et 113).]</w:t>
      </w:r>
    </w:p>
    <w:p w14:paraId="4488E864" w14:textId="77777777" w:rsidR="004B2808" w:rsidRDefault="00000000">
      <w:r>
        <w:t>[NBN EN 12488, Verre dans la construction - Recommandations pour la mise en oeuvre - Principes de pose pour vitrage vertical et incliné]</w:t>
      </w:r>
    </w:p>
    <w:p w14:paraId="53480B5C" w14:textId="77777777" w:rsidR="004B2808" w:rsidRDefault="00000000">
      <w:pPr>
        <w:pStyle w:val="pheading"/>
      </w:pPr>
      <w:r>
        <w:t>MESURAGE</w:t>
      </w:r>
    </w:p>
    <w:p w14:paraId="0DE8A9C2" w14:textId="77777777" w:rsidR="004B2808" w:rsidRDefault="00000000">
      <w:pPr>
        <w:pStyle w:val="pheading"/>
      </w:pPr>
      <w:r>
        <w:t>- unité de mesure:</w:t>
      </w:r>
    </w:p>
    <w:p w14:paraId="31C52915" w14:textId="77777777" w:rsidR="004B2808" w:rsidRDefault="00000000">
      <w:r>
        <w:rPr>
          <w:rStyle w:val="optioncarChar"/>
        </w:rPr>
        <w:t>-</w:t>
      </w:r>
      <w:r>
        <w:t> (par défaut)</w:t>
      </w:r>
      <w:r>
        <w:rPr>
          <w:rStyle w:val="optioncarChar"/>
        </w:rPr>
        <w:t xml:space="preserve"> / m²</w:t>
      </w:r>
    </w:p>
    <w:p w14:paraId="73C5C78B" w14:textId="77777777" w:rsidR="004B2808" w:rsidRDefault="00000000">
      <w:r>
        <w:rPr>
          <w:b/>
          <w:i/>
        </w:rPr>
        <w:t>(Soit par défaut)</w:t>
      </w:r>
    </w:p>
    <w:p w14:paraId="05851330" w14:textId="77777777" w:rsidR="004B2808" w:rsidRDefault="00000000">
      <w:r>
        <w:rPr>
          <w:rStyle w:val="soitChar"/>
        </w:rPr>
        <w:t>1. -</w:t>
      </w:r>
    </w:p>
    <w:p w14:paraId="5D3DDD4C" w14:textId="77777777" w:rsidR="004B2808" w:rsidRDefault="00000000">
      <w:r>
        <w:rPr>
          <w:b/>
          <w:i/>
        </w:rPr>
        <w:t xml:space="preserve">(Soit) </w:t>
      </w:r>
    </w:p>
    <w:p w14:paraId="295F83AE" w14:textId="77777777" w:rsidR="004B2808" w:rsidRDefault="00000000">
      <w:r>
        <w:rPr>
          <w:rStyle w:val="soitChar"/>
        </w:rPr>
        <w:t>2. m²</w:t>
      </w:r>
    </w:p>
    <w:p w14:paraId="504B603C" w14:textId="77777777" w:rsidR="004B2808" w:rsidRDefault="00000000">
      <w:pPr>
        <w:pStyle w:val="pheading"/>
      </w:pPr>
      <w:r>
        <w:t>- code de mesurage:</w:t>
      </w:r>
    </w:p>
    <w:p w14:paraId="76B7B636" w14:textId="77777777" w:rsidR="004B2808" w:rsidRDefault="00000000">
      <w:pPr>
        <w:jc w:val="both"/>
      </w:pPr>
      <w:r>
        <w:rPr>
          <w:rStyle w:val="optioncarChar"/>
        </w:rPr>
        <w:t>Compris dans la pose</w:t>
      </w:r>
      <w:r>
        <w:t xml:space="preserve"> (par défaut) / </w:t>
      </w:r>
      <w:r>
        <w:rPr>
          <w:rStyle w:val="optioncarChar"/>
        </w:rPr>
        <w:t>Surface nette de vitrage</w:t>
      </w:r>
    </w:p>
    <w:p w14:paraId="00D61C59" w14:textId="77777777" w:rsidR="004B2808" w:rsidRDefault="00000000">
      <w:pPr>
        <w:jc w:val="both"/>
      </w:pPr>
      <w:r>
        <w:rPr>
          <w:b/>
          <w:i/>
        </w:rPr>
        <w:t>(Soit par défaut)</w:t>
      </w:r>
    </w:p>
    <w:p w14:paraId="310A3702" w14:textId="77777777" w:rsidR="004B2808" w:rsidRDefault="00000000">
      <w:pPr>
        <w:jc w:val="both"/>
      </w:pPr>
      <w:r>
        <w:rPr>
          <w:rStyle w:val="soitChar"/>
          <w:u w:val="single"/>
        </w:rPr>
        <w:t>1. Compris dans la pose</w:t>
      </w:r>
      <w:r>
        <w:rPr>
          <w:rStyle w:val="soitChar"/>
        </w:rPr>
        <w:t xml:space="preserve"> du châssis dans l'article </w:t>
      </w:r>
      <w:r>
        <w:rPr>
          <w:rStyle w:val="optioncarChar"/>
        </w:rPr>
        <w:t>***</w:t>
      </w:r>
      <w:r>
        <w:rPr>
          <w:rStyle w:val="soitChar"/>
        </w:rPr>
        <w:t xml:space="preserve">; sauf indication particulière dans le cahier spécial des charges et/ou le métré récapitulatif, le prix du vitrage extérieur est compris dans le </w:t>
      </w:r>
      <w:r>
        <w:rPr>
          <w:rStyle w:val="soitChar"/>
          <w:b/>
        </w:rPr>
        <w:t>prix unitaire global de la menuiserie</w:t>
      </w:r>
      <w:r>
        <w:rPr>
          <w:rStyle w:val="soitChar"/>
        </w:rPr>
        <w:t xml:space="preserve"> et/ou des lanterneaux, conformément aux spécifications pour les vitrages dans les postes concernés.</w:t>
      </w:r>
    </w:p>
    <w:p w14:paraId="6FED15CD" w14:textId="77777777" w:rsidR="004B2808" w:rsidRDefault="00000000">
      <w:pPr>
        <w:jc w:val="both"/>
      </w:pPr>
      <w:r>
        <w:rPr>
          <w:b/>
          <w:i/>
        </w:rPr>
        <w:t>(Soit)</w:t>
      </w:r>
    </w:p>
    <w:p w14:paraId="756A4926" w14:textId="77777777" w:rsidR="004B2808" w:rsidRDefault="00000000">
      <w:pPr>
        <w:jc w:val="both"/>
      </w:pPr>
      <w:r>
        <w:rPr>
          <w:rStyle w:val="soitChar"/>
          <w:u w:val="single"/>
        </w:rPr>
        <w:t> 2. Surface nette</w:t>
      </w:r>
      <w:r>
        <w:rPr>
          <w:rStyle w:val="soitChar"/>
        </w:rPr>
        <w:t xml:space="preserve"> de vitrage ; exceptionnellement et uniquement moyennant mention explicite dans le cahier spécial des charges et/ou le métré récapitulatif, certains vitrages extérieurs spéciaux peuvent être repris dans un </w:t>
      </w:r>
      <w:r>
        <w:rPr>
          <w:rStyle w:val="soitChar"/>
          <w:b/>
        </w:rPr>
        <w:t>poste séparé</w:t>
      </w:r>
      <w:r>
        <w:rPr>
          <w:rStyle w:val="soitChar"/>
        </w:rPr>
        <w:t>, ventilé en fonction du type de vitrage. Surfaces nettes vitrées (surface réellement placée). Les surfaces inférieures à 0,25 m sont comptées pour 0,25 m. Les vitres non rectangulaires sont mesurées selon la superficie du plus petit rectangle circonscrit.</w:t>
      </w:r>
    </w:p>
    <w:p w14:paraId="09854027" w14:textId="77777777" w:rsidR="004B2808" w:rsidRDefault="00000000">
      <w:pPr>
        <w:pStyle w:val="pheading"/>
      </w:pPr>
      <w:r>
        <w:t>- nature du marché:</w:t>
      </w:r>
    </w:p>
    <w:p w14:paraId="57FAC9B2" w14:textId="77777777" w:rsidR="004B2808" w:rsidRDefault="00000000">
      <w:r>
        <w:rPr>
          <w:rStyle w:val="optioncarChar"/>
        </w:rPr>
        <w:t>PM</w:t>
      </w:r>
      <w:r>
        <w:t xml:space="preserve"> (par défaut) </w:t>
      </w:r>
      <w:r>
        <w:rPr>
          <w:rStyle w:val="optioncarChar"/>
        </w:rPr>
        <w:t>/ QF</w:t>
      </w:r>
    </w:p>
    <w:p w14:paraId="4B188DFA" w14:textId="77777777" w:rsidR="004B2808" w:rsidRDefault="00000000">
      <w:r>
        <w:rPr>
          <w:b/>
          <w:i/>
        </w:rPr>
        <w:lastRenderedPageBreak/>
        <w:t>(soit par défaut)</w:t>
      </w:r>
    </w:p>
    <w:p w14:paraId="080B8145" w14:textId="77777777" w:rsidR="004B2808" w:rsidRDefault="00000000">
      <w:r>
        <w:rPr>
          <w:rStyle w:val="soitChar"/>
        </w:rPr>
        <w:t>1. PM</w:t>
      </w:r>
    </w:p>
    <w:p w14:paraId="3C6AF88D" w14:textId="77777777" w:rsidR="004B2808" w:rsidRDefault="00000000">
      <w:r>
        <w:rPr>
          <w:b/>
          <w:i/>
        </w:rPr>
        <w:t>(soit)</w:t>
      </w:r>
    </w:p>
    <w:p w14:paraId="6ECE13CF" w14:textId="77777777" w:rsidR="004B2808" w:rsidRDefault="00000000">
      <w:r>
        <w:rPr>
          <w:rStyle w:val="soitChar"/>
        </w:rPr>
        <w:t>2. QF</w:t>
      </w:r>
    </w:p>
    <w:p w14:paraId="72DADD30" w14:textId="77777777" w:rsidR="004B2808" w:rsidRDefault="00000000">
      <w:pPr>
        <w:pStyle w:val="Author-eSectionHeading5Numberless"/>
      </w:pPr>
      <w:bookmarkStart w:id="1463" w:name="_Toc220491565"/>
      <w:r>
        <w:t>56.22.3 Vitrage double à stores intégrés avec fonction sécuritaire CCTB 01.02</w:t>
      </w:r>
      <w:bookmarkEnd w:id="1463"/>
    </w:p>
    <w:p w14:paraId="51647758" w14:textId="77777777" w:rsidR="004B2808" w:rsidRDefault="00000000">
      <w:pPr>
        <w:pStyle w:val="Author-eSectionHeading6Numberless"/>
      </w:pPr>
      <w:bookmarkStart w:id="1464" w:name="_Toc220491566"/>
      <w:r>
        <w:t>56.22.3a Vitrage double à stores intégrés avec fonction sécuritaire CCTB 01.02</w:t>
      </w:r>
      <w:bookmarkEnd w:id="1464"/>
    </w:p>
    <w:p w14:paraId="16433D05" w14:textId="77777777" w:rsidR="004B2808" w:rsidRDefault="00000000">
      <w:pPr>
        <w:pStyle w:val="Author-eSectionHeading5Numberless"/>
      </w:pPr>
      <w:bookmarkStart w:id="1465" w:name="_Toc220491567"/>
      <w:r>
        <w:t>56.22.4 Vitrages doubles à résistance spécifique avec fonction sécuritaire CCTB 01.02</w:t>
      </w:r>
      <w:bookmarkEnd w:id="1465"/>
    </w:p>
    <w:p w14:paraId="2C889853" w14:textId="77777777" w:rsidR="004B2808" w:rsidRDefault="00000000">
      <w:pPr>
        <w:pStyle w:val="Author-eSectionHeading6Numberless"/>
      </w:pPr>
      <w:bookmarkStart w:id="1466" w:name="_Toc220491568"/>
      <w:r>
        <w:t>56.22.4a Vitrages doubles Rf avec fonction sécuritaire CCTB 01.13</w:t>
      </w:r>
      <w:bookmarkEnd w:id="1466"/>
    </w:p>
    <w:p w14:paraId="0F4861C7" w14:textId="77777777" w:rsidR="004B2808" w:rsidRDefault="00000000">
      <w:pPr>
        <w:pStyle w:val="pheading"/>
      </w:pPr>
      <w:r>
        <w:t>MATÉRIAUX</w:t>
      </w:r>
    </w:p>
    <w:p w14:paraId="66DBB68E" w14:textId="77777777" w:rsidR="004B2808" w:rsidRDefault="00000000">
      <w:pPr>
        <w:pStyle w:val="pheading"/>
      </w:pPr>
      <w:r>
        <w:t>- Caractéristiques générales</w:t>
      </w:r>
    </w:p>
    <w:p w14:paraId="15F74652" w14:textId="77777777" w:rsidR="004B2808" w:rsidRDefault="00000000">
      <w:r>
        <w:t>Le vitrage résistant au feu est composé de deux ou de plusieurs feuilles de verre d'épaisseur différente, chaque feuille pouvant elle-même être constituée de plusieurs couches, et répond à la  norme [NBN S 23-002] .  </w:t>
      </w:r>
    </w:p>
    <w:p w14:paraId="4A517E5F" w14:textId="77777777" w:rsidR="004B2808" w:rsidRDefault="00000000">
      <w:pPr>
        <w:pStyle w:val="heading"/>
      </w:pPr>
      <w:r>
        <w:t>Spécifications</w:t>
      </w:r>
    </w:p>
    <w:p w14:paraId="3369E066" w14:textId="77777777" w:rsidR="004B2808" w:rsidRDefault="00000000">
      <w:pPr>
        <w:pStyle w:val="Author-eListParagraph"/>
        <w:numPr>
          <w:ilvl w:val="0"/>
          <w:numId w:val="1307"/>
        </w:numPr>
      </w:pPr>
      <w:r>
        <w:t xml:space="preserve">Composition : </w:t>
      </w:r>
      <w:r>
        <w:rPr>
          <w:rStyle w:val="optioncarChar"/>
        </w:rPr>
        <w:t>verre flotté</w:t>
      </w:r>
      <w:r>
        <w:t xml:space="preserve"> (par défaut) </w:t>
      </w:r>
      <w:r>
        <w:rPr>
          <w:rStyle w:val="optioncarChar"/>
        </w:rPr>
        <w:t>/ verre feuilleté / verre trempé / ***</w:t>
      </w:r>
    </w:p>
    <w:p w14:paraId="7FD27361" w14:textId="77777777" w:rsidR="004B2808" w:rsidRDefault="00000000">
      <w:pPr>
        <w:pStyle w:val="Author-eListParagraph"/>
        <w:numPr>
          <w:ilvl w:val="0"/>
          <w:numId w:val="1307"/>
        </w:numPr>
      </w:pPr>
      <w:r>
        <w:t xml:space="preserve">Résistance au feu : </w:t>
      </w:r>
      <w:r>
        <w:rPr>
          <w:rStyle w:val="optioncarChar"/>
        </w:rPr>
        <w:t>Rf 1\2h </w:t>
      </w:r>
      <w:r>
        <w:t>(par défaut)</w:t>
      </w:r>
      <w:r>
        <w:rPr>
          <w:rStyle w:val="optioncarChar"/>
        </w:rPr>
        <w:t xml:space="preserve"> / 1h</w:t>
      </w:r>
      <w:r>
        <w:t xml:space="preserve"> suivant la norme [NBN 713-020] tant qu’elle est encore d’application ou </w:t>
      </w:r>
      <w:r>
        <w:rPr>
          <w:rStyle w:val="optioncarChar"/>
        </w:rPr>
        <w:t>E 30 </w:t>
      </w:r>
      <w:r>
        <w:t>(par défaut)</w:t>
      </w:r>
      <w:r>
        <w:rPr>
          <w:rStyle w:val="optioncarChar"/>
        </w:rPr>
        <w:t xml:space="preserve"> / E 60 / EI 30 / EI 60 / EW 30 / EW 60</w:t>
      </w:r>
      <w:r>
        <w:t xml:space="preserve"> selon la norme [NBN EN 13501-2]</w:t>
      </w:r>
    </w:p>
    <w:p w14:paraId="47A157A2" w14:textId="77777777" w:rsidR="004B2808" w:rsidRDefault="00000000">
      <w:pPr>
        <w:pStyle w:val="Author-eListParagraph"/>
        <w:numPr>
          <w:ilvl w:val="0"/>
          <w:numId w:val="1307"/>
        </w:numPr>
      </w:pPr>
      <w:r>
        <w:t>La Valeur de résistance au feu est attestée par un rapport d’essai ou de classification établi par un laboratoire agréé.</w:t>
      </w:r>
    </w:p>
    <w:p w14:paraId="13ABC463" w14:textId="77777777" w:rsidR="004B2808" w:rsidRDefault="00000000">
      <w:pPr>
        <w:pStyle w:val="Author-eListParagraph"/>
        <w:numPr>
          <w:ilvl w:val="0"/>
          <w:numId w:val="1307"/>
        </w:numPr>
      </w:pPr>
      <w:r>
        <w:t>Pour déterminer l'épaisseur, la nature et la composition, il y a lieu de tenir compte d'une</w:t>
      </w:r>
      <w:r>
        <w:rPr>
          <w:rStyle w:val="optioncarChar"/>
        </w:rPr>
        <w:t> situation normale</w:t>
      </w:r>
      <w:r>
        <w:t> (par défaut)</w:t>
      </w:r>
      <w:r>
        <w:rPr>
          <w:rStyle w:val="optioncarChar"/>
        </w:rPr>
        <w:t xml:space="preserve"> / situation exposée / situation marine / ***.</w:t>
      </w:r>
    </w:p>
    <w:p w14:paraId="3F99B7F9" w14:textId="77777777" w:rsidR="004B2808" w:rsidRDefault="00000000">
      <w:pPr>
        <w:pStyle w:val="Author-eListParagraph"/>
        <w:numPr>
          <w:ilvl w:val="0"/>
          <w:numId w:val="1307"/>
        </w:numPr>
      </w:pPr>
      <w:r>
        <w:t xml:space="preserve">Pour les vitrages obliques, la flèche maximale est limitée à </w:t>
      </w:r>
      <w:r>
        <w:rPr>
          <w:rStyle w:val="optioncarChar"/>
        </w:rPr>
        <w:t xml:space="preserve">***  </w:t>
      </w:r>
      <w:r>
        <w:t>sous le poids propre, les poussées du vent et de la neige.</w:t>
      </w:r>
    </w:p>
    <w:p w14:paraId="0733932B" w14:textId="77777777" w:rsidR="004B2808" w:rsidRDefault="00000000">
      <w:pPr>
        <w:pStyle w:val="Author-eListParagraph"/>
        <w:numPr>
          <w:ilvl w:val="0"/>
          <w:numId w:val="1307"/>
        </w:numPr>
      </w:pPr>
      <w:r>
        <w:t>Les cales de support, de réglage et d'espacement sont celles prescrites dans les critères d'acceptabilité du produits tels que définis dans l'article 02.42.1 Critères d'acceptabilité.</w:t>
      </w:r>
    </w:p>
    <w:p w14:paraId="60A18594" w14:textId="77777777" w:rsidR="004B2808" w:rsidRDefault="00000000">
      <w:pPr>
        <w:pStyle w:val="Author-eListParagraph"/>
        <w:numPr>
          <w:ilvl w:val="0"/>
          <w:numId w:val="1307"/>
        </w:numPr>
      </w:pPr>
      <w:r>
        <w:t xml:space="preserve">La couleur du </w:t>
      </w:r>
      <w:r>
        <w:rPr>
          <w:rStyle w:val="optioncarChar"/>
        </w:rPr>
        <w:t>mastic élastique</w:t>
      </w:r>
      <w:r>
        <w:t> (par défaut)</w:t>
      </w:r>
      <w:r>
        <w:rPr>
          <w:rStyle w:val="optioncarChar"/>
        </w:rPr>
        <w:t xml:space="preserve"> / profil d'étanchéité est *** / *** </w:t>
      </w:r>
      <w:r>
        <w:t>Les mastics peuvent être peints.</w:t>
      </w:r>
    </w:p>
    <w:p w14:paraId="2F8E5802" w14:textId="77777777" w:rsidR="004B2808" w:rsidRDefault="00000000">
      <w:pPr>
        <w:pStyle w:val="pheading"/>
      </w:pPr>
      <w:r>
        <w:t>EXÉCUTION / MISE EN ŒUVRE</w:t>
      </w:r>
    </w:p>
    <w:p w14:paraId="02D30505" w14:textId="77777777" w:rsidR="004B2808" w:rsidRDefault="00000000">
      <w:pPr>
        <w:pStyle w:val="pheading"/>
      </w:pPr>
      <w:r>
        <w:t>- Prescriptions générales</w:t>
      </w:r>
    </w:p>
    <w:p w14:paraId="74743E72" w14:textId="77777777" w:rsidR="004B2808" w:rsidRDefault="00000000">
      <w:r>
        <w:t>La production du vitrage résistant au feu est mise sous contrôle permanent avec certificat. La pose est effectuée conformément aux prescriptions notées dans le rapport d'essai.</w:t>
      </w:r>
    </w:p>
    <w:p w14:paraId="2A8C8D02" w14:textId="77777777" w:rsidR="004B2808" w:rsidRDefault="00000000">
      <w:pPr>
        <w:pStyle w:val="pheading"/>
      </w:pPr>
      <w:r>
        <w:t>- Notes d’exécution complémentaires</w:t>
      </w:r>
    </w:p>
    <w:p w14:paraId="6D0A5E5D" w14:textId="77777777" w:rsidR="004B2808" w:rsidRDefault="00000000">
      <w:r>
        <w:t>Les vitrages sont posés avec un jeu périphérique de 4 mm et un jeu latéral de 5 mm.</w:t>
      </w:r>
    </w:p>
    <w:p w14:paraId="41D3116B" w14:textId="77777777" w:rsidR="004B2808" w:rsidRDefault="00000000">
      <w:pPr>
        <w:pStyle w:val="pheading"/>
      </w:pPr>
      <w:r>
        <w:t>MESURAGE</w:t>
      </w:r>
    </w:p>
    <w:p w14:paraId="5950049F" w14:textId="77777777" w:rsidR="004B2808" w:rsidRDefault="00000000">
      <w:pPr>
        <w:pStyle w:val="pheading"/>
      </w:pPr>
      <w:r>
        <w:t>- unité de mesure:</w:t>
      </w:r>
    </w:p>
    <w:p w14:paraId="6DCE1DED" w14:textId="77777777" w:rsidR="004B2808" w:rsidRDefault="00000000">
      <w:r>
        <w:rPr>
          <w:color w:val="FF0000"/>
        </w:rPr>
        <w:t>-</w:t>
      </w:r>
      <w:r>
        <w:t xml:space="preserve"> (par défaut)</w:t>
      </w:r>
      <w:r>
        <w:rPr>
          <w:color w:val="FF0000"/>
        </w:rPr>
        <w:t> / m² / ***</w:t>
      </w:r>
    </w:p>
    <w:p w14:paraId="175F08F5" w14:textId="77777777" w:rsidR="004B2808" w:rsidRDefault="00000000">
      <w:pPr>
        <w:pStyle w:val="pheading"/>
      </w:pPr>
      <w:r>
        <w:t>- code de mesurage:</w:t>
      </w:r>
    </w:p>
    <w:p w14:paraId="33E75C39" w14:textId="77777777" w:rsidR="004B2808" w:rsidRDefault="00000000">
      <w:r>
        <w:t>Choix opéré :</w:t>
      </w:r>
      <w:r>
        <w:rPr>
          <w:rStyle w:val="optioncarChar"/>
          <w:b/>
        </w:rPr>
        <w:t>*** / OPTION 1</w:t>
      </w:r>
      <w:r>
        <w:t xml:space="preserve"> (par défaut) </w:t>
      </w:r>
      <w:r>
        <w:rPr>
          <w:rStyle w:val="optioncarChar"/>
          <w:b/>
        </w:rPr>
        <w:t>/ OPTION 2</w:t>
      </w:r>
    </w:p>
    <w:p w14:paraId="4DC9B98B" w14:textId="77777777" w:rsidR="004B2808" w:rsidRDefault="00000000">
      <w:r>
        <w:rPr>
          <w:b/>
        </w:rPr>
        <w:lastRenderedPageBreak/>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4EDFE43C" w14:textId="77777777" w:rsidR="004B2808" w:rsidRDefault="00000000">
      <w:pPr>
        <w:pStyle w:val="pheading"/>
      </w:pPr>
      <w:r>
        <w:t>- nature du marché:</w:t>
      </w:r>
    </w:p>
    <w:p w14:paraId="7E43AA5C" w14:textId="77777777" w:rsidR="004B2808" w:rsidRDefault="00000000">
      <w:r>
        <w:rPr>
          <w:rStyle w:val="optioncarChar"/>
        </w:rPr>
        <w:t>PM</w:t>
      </w:r>
      <w:r>
        <w:t xml:space="preserve"> (par défaut)</w:t>
      </w:r>
      <w:r>
        <w:rPr>
          <w:rStyle w:val="optioncarChar"/>
        </w:rPr>
        <w:t> / QF / ***</w:t>
      </w:r>
    </w:p>
    <w:p w14:paraId="04EB8017" w14:textId="77777777" w:rsidR="004B2808" w:rsidRDefault="00000000">
      <w:pPr>
        <w:pStyle w:val="Author-eSectionHeading6Numberless"/>
      </w:pPr>
      <w:bookmarkStart w:id="1467" w:name="_Toc220491569"/>
      <w:r>
        <w:t>56.22.4b Vitrages doubles anti-radiations avec fonction sécuritaire CCTB 01.02</w:t>
      </w:r>
      <w:bookmarkEnd w:id="1467"/>
    </w:p>
    <w:p w14:paraId="599D9EC9" w14:textId="77777777" w:rsidR="004B2808" w:rsidRDefault="00000000">
      <w:pPr>
        <w:pStyle w:val="Author-eSectionHeading3Numberless"/>
      </w:pPr>
      <w:bookmarkStart w:id="1468" w:name="_Toc220491570"/>
      <w:r>
        <w:t>56.3 Eléments de remplissage  CCTB 01.02</w:t>
      </w:r>
      <w:bookmarkEnd w:id="1468"/>
    </w:p>
    <w:p w14:paraId="0EE17A36" w14:textId="77777777" w:rsidR="004B2808" w:rsidRDefault="00000000">
      <w:pPr>
        <w:pStyle w:val="Author-eSectionHeading4Numberless"/>
      </w:pPr>
      <w:bookmarkStart w:id="1469" w:name="1329"/>
      <w:bookmarkStart w:id="1470" w:name="_Toc220491571"/>
      <w:bookmarkEnd w:id="1469"/>
      <w:r>
        <w:t>56.31 Eléments de remplissage en planchettes CCTB 01.02</w:t>
      </w:r>
      <w:bookmarkEnd w:id="1470"/>
    </w:p>
    <w:p w14:paraId="7B1A2063" w14:textId="77777777" w:rsidR="004B2808" w:rsidRDefault="00000000">
      <w:pPr>
        <w:pStyle w:val="pheading"/>
      </w:pPr>
      <w:r>
        <w:t>MATÉRIAUX</w:t>
      </w:r>
    </w:p>
    <w:p w14:paraId="34596DB4" w14:textId="77777777" w:rsidR="004B2808" w:rsidRDefault="00000000">
      <w:r>
        <w:t>Les panneaux de remplissage en bois doivent satisfaire aux [STS 04.2] .</w:t>
      </w:r>
    </w:p>
    <w:p w14:paraId="65D2500E" w14:textId="77777777" w:rsidR="004B2808" w:rsidRDefault="00000000">
      <w:r>
        <w:t xml:space="preserve">Pour un aperçu des matériaux en plaques, voir aussi l'article </w:t>
      </w:r>
      <w:hyperlink w:anchor="1327" w:history="1">
        <w:r w:rsidR="004B2808">
          <w:rPr>
            <w:color w:val="0000EE"/>
          </w:rPr>
          <w:t>51.21.3 Parement en plaques/panneaux à base de bois</w:t>
        </w:r>
      </w:hyperlink>
      <w:r>
        <w:t xml:space="preserve"> Cloisons fixes légères de doublage.  Parement en plaques / panneaux à base de bois.</w:t>
      </w:r>
    </w:p>
    <w:p w14:paraId="505615BB" w14:textId="77777777" w:rsidR="004B2808" w:rsidRDefault="00000000">
      <w:pPr>
        <w:pStyle w:val="pheading"/>
      </w:pPr>
      <w:r>
        <w:t>EXÉCUTION / MISE EN ŒUVRE</w:t>
      </w:r>
    </w:p>
    <w:p w14:paraId="118C8F50" w14:textId="77777777" w:rsidR="004B2808" w:rsidRDefault="00000000">
      <w:r>
        <w:t>Les planchettes, panneaux sont posés dans un bâtiment "sec", compte tenu des dispositions de la [NIT 166] , et sont posés d'aplomb et de niveau. Le bois est raboté sur toutes les faces, les faces vues sont en outre poncées lisses. Les panneaux et les dispositifs de fixation doivent satisfaire aux différentes sollicitations prescrites pour l'ensemble en fonction de la nature, de la finition et de la résistance au feu et à l'humidité prescrite.</w:t>
      </w:r>
    </w:p>
    <w:p w14:paraId="5862A483" w14:textId="77777777" w:rsidR="004B2808" w:rsidRDefault="00000000">
      <w:pPr>
        <w:pStyle w:val="Author-eSectionHeading5Numberless"/>
      </w:pPr>
      <w:bookmarkStart w:id="1471" w:name="_Toc220491572"/>
      <w:r>
        <w:t>56.31.1 Eléments de remplissage en planchettes en bois CCTB 01.02</w:t>
      </w:r>
      <w:bookmarkEnd w:id="1471"/>
    </w:p>
    <w:p w14:paraId="5B4E151F" w14:textId="77777777" w:rsidR="004B2808" w:rsidRDefault="00000000">
      <w:pPr>
        <w:pStyle w:val="Author-eSectionHeading6Numberless"/>
      </w:pPr>
      <w:bookmarkStart w:id="1472" w:name="_Toc220491573"/>
      <w:r>
        <w:t>56.31.1a Eléments de remplissage en planchettes en bois CCTB 01.10</w:t>
      </w:r>
      <w:bookmarkEnd w:id="1472"/>
    </w:p>
    <w:p w14:paraId="5D8D36CD" w14:textId="77777777" w:rsidR="004B2808" w:rsidRDefault="00000000">
      <w:pPr>
        <w:pStyle w:val="pheading"/>
      </w:pPr>
      <w:r>
        <w:t>MATÉRIAUX</w:t>
      </w:r>
    </w:p>
    <w:p w14:paraId="0D7C4FEF" w14:textId="77777777" w:rsidR="004B2808" w:rsidRDefault="00000000">
      <w:pPr>
        <w:pStyle w:val="pheading"/>
      </w:pPr>
      <w:r>
        <w:t>- Caractéristiques générales</w:t>
      </w:r>
    </w:p>
    <w:p w14:paraId="75134828" w14:textId="77777777" w:rsidR="004B2808" w:rsidRDefault="00000000">
      <w:r>
        <w:t>Les éléments de remplissage sont composés d'éléments modulaires ou de planchettes en bois massif. Le bois mis en œuvre est droit (inclinaison maximale 5 %). Le bois est exempt d’aubier, de nœuds, d’entre-écorce, de fissures, de faux cœur accompagnés de pourriture, de double aubier, de bois de compression, de fractures d’abattage, de blessures, de piqûres, de trous de vers, de pourritures, d’échauffures, de bleuissement, de moelle et de flaches. Les nœuds sains incrustés dont le diamètre est supérieur à 20 mm ne sont pas admis. Le nombre des cercles annuels mesurés radialement sur une base de 40 mm est d'au moins 15. Les bois qui présentent des creux et des fissures contenant des matières blanches, jaunes ou colorées qui apparaissent en surface après la mise en œuvre, doivent être refusés. Le taux d'humidité au cœur du bois mis en œuvre ne dépasse pas 18% avec un écart de 3 % et est en outre compatible avec la finition.</w:t>
      </w:r>
    </w:p>
    <w:p w14:paraId="7FC4198B" w14:textId="77777777" w:rsidR="004B2808" w:rsidRDefault="00000000">
      <w:pPr>
        <w:pStyle w:val="Author-eListParagraph"/>
        <w:numPr>
          <w:ilvl w:val="0"/>
          <w:numId w:val="1308"/>
        </w:numPr>
      </w:pPr>
      <w:r>
        <w:rPr>
          <w:rStyle w:val="headingChar"/>
        </w:rPr>
        <w:t>Spécifications</w:t>
      </w:r>
    </w:p>
    <w:p w14:paraId="2114E2CF" w14:textId="77777777" w:rsidR="004B2808" w:rsidRDefault="00000000">
      <w:pPr>
        <w:pStyle w:val="Author-eListParagraph"/>
        <w:numPr>
          <w:ilvl w:val="0"/>
          <w:numId w:val="1308"/>
        </w:numPr>
      </w:pPr>
      <w:r>
        <w:t xml:space="preserve">Essence du bois : </w:t>
      </w:r>
      <w:r>
        <w:rPr>
          <w:rStyle w:val="optioncarChar"/>
        </w:rPr>
        <w:t>identique au bois de la menuiserie extérieure</w:t>
      </w:r>
      <w:r>
        <w:t> (par défaut)</w:t>
      </w:r>
      <w:r>
        <w:rPr>
          <w:rStyle w:val="optioncarChar"/>
        </w:rPr>
        <w:t xml:space="preserve"> / Dark Red Meranti / Light Red Meranti / Nemesu / Afzelia bipidensis (dénomination botanique) / Afzelia Doussie (dénomination commerciale) originaire du Cameroun / Afzelia Pachyloba / Afzelia Africana (dénomination botanique) / Apa ou Lingue (dénomination commerciale) / ***.</w:t>
      </w:r>
    </w:p>
    <w:p w14:paraId="394DD5AC" w14:textId="77777777" w:rsidR="004B2808" w:rsidRDefault="00000000">
      <w:pPr>
        <w:pStyle w:val="Author-eListParagraph"/>
        <w:numPr>
          <w:ilvl w:val="0"/>
          <w:numId w:val="1308"/>
        </w:numPr>
      </w:pPr>
      <w:r>
        <w:t xml:space="preserve">Classe de durabilité : </w:t>
      </w:r>
      <w:r>
        <w:rPr>
          <w:rStyle w:val="optioncarChar"/>
        </w:rPr>
        <w:t>I</w:t>
      </w:r>
      <w:r>
        <w:t> (par défaut)</w:t>
      </w:r>
      <w:r>
        <w:rPr>
          <w:rStyle w:val="optioncarChar"/>
        </w:rPr>
        <w:t xml:space="preserve"> / II / III / IV / ***</w:t>
      </w:r>
    </w:p>
    <w:p w14:paraId="7A0B0358" w14:textId="77777777" w:rsidR="004B2808" w:rsidRDefault="00000000">
      <w:pPr>
        <w:pStyle w:val="Author-eListParagraph"/>
        <w:numPr>
          <w:ilvl w:val="0"/>
          <w:numId w:val="1308"/>
        </w:numPr>
      </w:pPr>
      <w:r>
        <w:t xml:space="preserve">Masse volumique : au moins </w:t>
      </w:r>
      <w:r>
        <w:rPr>
          <w:rStyle w:val="optioncarChar"/>
        </w:rPr>
        <w:t xml:space="preserve">*** </w:t>
      </w:r>
      <w:r>
        <w:t>kg/m³ (pour un taux d'humidité de *** %).</w:t>
      </w:r>
    </w:p>
    <w:p w14:paraId="138C3B56" w14:textId="77777777" w:rsidR="004B2808" w:rsidRDefault="00000000">
      <w:pPr>
        <w:pStyle w:val="Author-eListParagraph"/>
        <w:numPr>
          <w:ilvl w:val="0"/>
          <w:numId w:val="1308"/>
        </w:numPr>
      </w:pPr>
      <w:r>
        <w:t>Taux d'humidité : entre 12 et 18 %.</w:t>
      </w:r>
    </w:p>
    <w:p w14:paraId="05CD092B" w14:textId="77777777" w:rsidR="004B2808" w:rsidRDefault="00000000">
      <w:pPr>
        <w:pStyle w:val="Author-eListParagraph"/>
        <w:numPr>
          <w:ilvl w:val="0"/>
          <w:numId w:val="1308"/>
        </w:numPr>
      </w:pPr>
      <w:r>
        <w:lastRenderedPageBreak/>
        <w:t xml:space="preserve">Forme des planchettes : </w:t>
      </w:r>
      <w:r>
        <w:rPr>
          <w:rStyle w:val="optioncarChar"/>
        </w:rPr>
        <w:t>à rainure et languette</w:t>
      </w:r>
      <w:r>
        <w:t> (par défaut)</w:t>
      </w:r>
      <w:r>
        <w:rPr>
          <w:rStyle w:val="optioncarChar"/>
        </w:rPr>
        <w:t xml:space="preserve"> / rectangulaire avec rainure pour assemblage à ressort / dans le même matériau.</w:t>
      </w:r>
    </w:p>
    <w:p w14:paraId="25E56F92" w14:textId="77777777" w:rsidR="004B2808" w:rsidRDefault="00000000">
      <w:pPr>
        <w:pStyle w:val="Author-eListParagraph"/>
        <w:numPr>
          <w:ilvl w:val="0"/>
          <w:numId w:val="1308"/>
        </w:numPr>
      </w:pPr>
      <w:r>
        <w:t xml:space="preserve">Largeur modulaire des planchettes : </w:t>
      </w:r>
      <w:r>
        <w:rPr>
          <w:rStyle w:val="optioncarChar"/>
        </w:rPr>
        <w:t>70</w:t>
      </w:r>
      <w:r>
        <w:t xml:space="preserve"> (par défaut) </w:t>
      </w:r>
      <w:r>
        <w:rPr>
          <w:rStyle w:val="optioncarChar"/>
        </w:rPr>
        <w:t>/ 100 / 150 / 200/ ***</w:t>
      </w:r>
    </w:p>
    <w:p w14:paraId="6DF5E950" w14:textId="77777777" w:rsidR="004B2808" w:rsidRDefault="00000000">
      <w:pPr>
        <w:pStyle w:val="Author-eListParagraph"/>
        <w:numPr>
          <w:ilvl w:val="0"/>
          <w:numId w:val="1308"/>
        </w:numPr>
      </w:pPr>
      <w:r>
        <w:t xml:space="preserve">Largeur des joints : </w:t>
      </w:r>
      <w:r>
        <w:rPr>
          <w:rStyle w:val="optioncarChar"/>
        </w:rPr>
        <w:t>sans joints</w:t>
      </w:r>
      <w:r>
        <w:t> (par défaut)</w:t>
      </w:r>
      <w:r>
        <w:rPr>
          <w:rStyle w:val="optioncarChar"/>
        </w:rPr>
        <w:t xml:space="preserve"> / 5 / 10 / 15 / 20 / ***</w:t>
      </w:r>
      <w:r>
        <w:t xml:space="preserve"> mm</w:t>
      </w:r>
    </w:p>
    <w:p w14:paraId="0E048186" w14:textId="77777777" w:rsidR="004B2808" w:rsidRDefault="00000000">
      <w:pPr>
        <w:pStyle w:val="Author-eListParagraph"/>
        <w:numPr>
          <w:ilvl w:val="0"/>
          <w:numId w:val="1308"/>
        </w:numPr>
      </w:pPr>
      <w:r>
        <w:t>Epaisseur des planchettes : au moins </w:t>
      </w:r>
      <w:r>
        <w:rPr>
          <w:rStyle w:val="optioncarChar"/>
        </w:rPr>
        <w:t>10</w:t>
      </w:r>
      <w:r>
        <w:t> (par défaut)</w:t>
      </w:r>
      <w:r>
        <w:rPr>
          <w:rStyle w:val="optioncarChar"/>
        </w:rPr>
        <w:t xml:space="preserve"> / 12,5 / 15 / 18 / *** </w:t>
      </w:r>
      <w:r>
        <w:t>mm.</w:t>
      </w:r>
    </w:p>
    <w:p w14:paraId="5DE9B50A" w14:textId="77777777" w:rsidR="004B2808" w:rsidRDefault="00000000">
      <w:pPr>
        <w:pStyle w:val="Author-eListParagraph"/>
        <w:numPr>
          <w:ilvl w:val="0"/>
          <w:numId w:val="1308"/>
        </w:numPr>
      </w:pPr>
      <w:r>
        <w:t>Orientation des planchettes :</w:t>
      </w:r>
      <w:r>
        <w:rPr>
          <w:rStyle w:val="optioncarChar"/>
        </w:rPr>
        <w:t> selon les indications sur les plans</w:t>
      </w:r>
      <w:r>
        <w:t> (par défaut)</w:t>
      </w:r>
      <w:r>
        <w:rPr>
          <w:rStyle w:val="optioncarChar"/>
        </w:rPr>
        <w:t xml:space="preserve"> / horizontales / verticales / en diagonale / ***</w:t>
      </w:r>
    </w:p>
    <w:p w14:paraId="69D325C9" w14:textId="77777777" w:rsidR="004B2808" w:rsidRDefault="00000000">
      <w:pPr>
        <w:pStyle w:val="Author-eListParagraph"/>
        <w:numPr>
          <w:ilvl w:val="0"/>
          <w:numId w:val="1308"/>
        </w:numPr>
      </w:pPr>
      <w:r>
        <w:t>Finition :</w:t>
      </w:r>
    </w:p>
    <w:p w14:paraId="645D7219" w14:textId="77777777" w:rsidR="004B2808" w:rsidRDefault="00000000">
      <w:pPr>
        <w:ind w:left="675"/>
      </w:pPr>
      <w:r>
        <w:t>⇒ Traitement de la surface : </w:t>
      </w:r>
      <w:r>
        <w:rPr>
          <w:rStyle w:val="optioncarChar"/>
        </w:rPr>
        <w:t>non laqué</w:t>
      </w:r>
      <w:r>
        <w:t> (par défaut)</w:t>
      </w:r>
      <w:r>
        <w:rPr>
          <w:rStyle w:val="optioncarChar"/>
        </w:rPr>
        <w:t xml:space="preserve"> / laque UV-polyacrylate / teint / une face revêtue d'une couche de finition à peindre / ***</w:t>
      </w:r>
    </w:p>
    <w:p w14:paraId="6FEF205E" w14:textId="77777777" w:rsidR="004B2808" w:rsidRDefault="00000000">
      <w:pPr>
        <w:ind w:left="675"/>
      </w:pPr>
      <w:r>
        <w:t>⇒ Epaisseur de la couche de finition : </w:t>
      </w:r>
      <w:r>
        <w:rPr>
          <w:rStyle w:val="optioncarChar"/>
        </w:rPr>
        <w:t>100</w:t>
      </w:r>
      <w:r>
        <w:t> (par défaut) </w:t>
      </w:r>
      <w:r>
        <w:rPr>
          <w:rStyle w:val="optioncarChar"/>
        </w:rPr>
        <w:t>/ ***</w:t>
      </w:r>
    </w:p>
    <w:p w14:paraId="43B99695" w14:textId="77777777" w:rsidR="004B2808" w:rsidRDefault="00000000">
      <w:pPr>
        <w:ind w:left="675"/>
      </w:pPr>
      <w:r>
        <w:t>⇒ Brillance :  </w:t>
      </w:r>
      <w:r>
        <w:rPr>
          <w:rStyle w:val="optioncarChar"/>
        </w:rPr>
        <w:t> couvrant</w:t>
      </w:r>
      <w:r>
        <w:t> (par défaut)</w:t>
      </w:r>
      <w:r>
        <w:rPr>
          <w:rStyle w:val="optioncarChar"/>
        </w:rPr>
        <w:t xml:space="preserve"> / transparent / ***</w:t>
      </w:r>
    </w:p>
    <w:p w14:paraId="41D2A347" w14:textId="77777777" w:rsidR="004B2808" w:rsidRDefault="00000000">
      <w:pPr>
        <w:ind w:left="675"/>
      </w:pPr>
      <w:r>
        <w:t xml:space="preserve">⇒ Couleur : </w:t>
      </w:r>
      <w:r>
        <w:rPr>
          <w:rStyle w:val="optioncarChar"/>
        </w:rPr>
        <w:t>à choisir dans la gamme complète du fabricant  </w:t>
      </w:r>
      <w:r>
        <w:t>Couleur RAL n°</w:t>
      </w:r>
      <w:r>
        <w:rPr>
          <w:rStyle w:val="optioncarChar"/>
        </w:rPr>
        <w:t>***</w:t>
      </w:r>
      <w:r>
        <w:t>  (par défaut)</w:t>
      </w:r>
      <w:r>
        <w:rPr>
          <w:rStyle w:val="optioncarChar"/>
        </w:rPr>
        <w:t> / ***</w:t>
      </w:r>
    </w:p>
    <w:p w14:paraId="48CEA9C4" w14:textId="77777777" w:rsidR="004B2808" w:rsidRDefault="00000000">
      <w:pPr>
        <w:pStyle w:val="pheading"/>
      </w:pPr>
      <w:r>
        <w:t>- Finitions</w:t>
      </w:r>
    </w:p>
    <w:p w14:paraId="3B53AF47" w14:textId="77777777" w:rsidR="004B2808" w:rsidRDefault="00000000">
      <w:r>
        <w:t xml:space="preserve">Finition du bois : </w:t>
      </w:r>
      <w:r>
        <w:rPr>
          <w:rStyle w:val="optioncarChar"/>
        </w:rPr>
        <w:t>raboté</w:t>
      </w:r>
      <w:r>
        <w:t xml:space="preserve"> (par défaut) </w:t>
      </w:r>
      <w:r>
        <w:rPr>
          <w:rStyle w:val="optioncarChar"/>
        </w:rPr>
        <w:t>/ finement scié / ***</w:t>
      </w:r>
    </w:p>
    <w:p w14:paraId="1477FFED" w14:textId="77777777" w:rsidR="004B2808" w:rsidRDefault="00000000">
      <w:pPr>
        <w:pStyle w:val="pheading"/>
      </w:pPr>
      <w:r>
        <w:t>- Prescriptions complémentaires</w:t>
      </w:r>
    </w:p>
    <w:p w14:paraId="5AA1E55D" w14:textId="77777777" w:rsidR="004B2808" w:rsidRDefault="00000000">
      <w:r>
        <w:t xml:space="preserve">Une isolation thermique est prévue à l'arrière des panneaux. L'isolation est définie dans les articles </w:t>
      </w:r>
      <w:hyperlink w:anchor="73" w:history="1">
        <w:r w:rsidR="004B2808">
          <w:rPr>
            <w:color w:val="0000EE"/>
          </w:rPr>
          <w:t>52.4 Isolation</w:t>
        </w:r>
      </w:hyperlink>
      <w:r>
        <w:t xml:space="preserve"> et suivants.  Nature du matériau d'isolation :-- Matériau : </w:t>
      </w:r>
      <w:r>
        <w:rPr>
          <w:rStyle w:val="optioncarChar"/>
        </w:rPr>
        <w:t>EPS (polystyrène expansé)</w:t>
      </w:r>
      <w:r>
        <w:t> (par défaut)</w:t>
      </w:r>
      <w:r>
        <w:rPr>
          <w:rStyle w:val="optioncarChar"/>
        </w:rPr>
        <w:t xml:space="preserve"> / XPS (polystyrène extrudé ) / PUR (polyuréthane) / MW (laine minérale) / CG (verre cellulaire) / PF (mousse de phénolformaldéhyde (mousse de résol) / PIR (mousse de polyisocyanurate) / ciment de laine de bois / magnésite de laine de bois / ***</w:t>
      </w:r>
      <w:r>
        <w:br/>
        <w:t xml:space="preserve">Mode de pose : </w:t>
      </w:r>
      <w:r>
        <w:rPr>
          <w:rStyle w:val="optioncarChar"/>
        </w:rPr>
        <w:t>en indépendant</w:t>
      </w:r>
      <w:r>
        <w:t> (par défaut)</w:t>
      </w:r>
      <w:r>
        <w:rPr>
          <w:rStyle w:val="optioncarChar"/>
        </w:rPr>
        <w:t xml:space="preserve"> / collage sur les plaques / sur la structure attenante / ***</w:t>
      </w:r>
      <w:r>
        <w:br/>
        <w:t xml:space="preserve">Valeur ld déclarée : </w:t>
      </w:r>
      <w:r>
        <w:rPr>
          <w:rStyle w:val="optioncarChar"/>
        </w:rPr>
        <w:t xml:space="preserve">*** </w:t>
      </w:r>
      <w:r>
        <w:t>W/mK</w:t>
      </w:r>
      <w:r>
        <w:br/>
        <w:t>Epaisseur de l'isolation :</w:t>
      </w:r>
      <w:r>
        <w:rPr>
          <w:rStyle w:val="optioncarChar"/>
        </w:rPr>
        <w:t xml:space="preserve"> 20 </w:t>
      </w:r>
      <w:r>
        <w:t>(par défaut) </w:t>
      </w:r>
      <w:r>
        <w:rPr>
          <w:rStyle w:val="optioncarChar"/>
        </w:rPr>
        <w:t>/ 30 / 40 / ***</w:t>
      </w:r>
      <w:r>
        <w:t xml:space="preserve"> mm.</w:t>
      </w:r>
    </w:p>
    <w:p w14:paraId="0FE8F874" w14:textId="77777777" w:rsidR="004B2808" w:rsidRDefault="00000000">
      <w:pPr>
        <w:pStyle w:val="pheading"/>
      </w:pPr>
      <w:r>
        <w:t>EXÉCUTION / MISE EN ŒUVRE</w:t>
      </w:r>
    </w:p>
    <w:p w14:paraId="7790418B" w14:textId="77777777" w:rsidR="004B2808" w:rsidRDefault="00000000">
      <w:pPr>
        <w:pStyle w:val="pheading"/>
      </w:pPr>
      <w:r>
        <w:t>- Prescriptions générales</w:t>
      </w:r>
    </w:p>
    <w:p w14:paraId="742F75AB" w14:textId="77777777" w:rsidR="004B2808" w:rsidRDefault="00000000">
      <w:r>
        <w:t>Les éléments à planchettes sont intégrés lors de la fabrication des éléments de menuiserie.</w:t>
      </w:r>
    </w:p>
    <w:p w14:paraId="5BC20AD8" w14:textId="77777777" w:rsidR="004B2808" w:rsidRDefault="00000000">
      <w:pPr>
        <w:pStyle w:val="pheading"/>
      </w:pPr>
      <w:r>
        <w:t>CONTRÔLES PARTICULIERS</w:t>
      </w:r>
    </w:p>
    <w:p w14:paraId="3E26E5B3" w14:textId="77777777" w:rsidR="004B2808" w:rsidRDefault="00000000">
      <w:r>
        <w:t>Le certificat d'origine du bois doit être remis à la demande, avant la pose des planchettes.</w:t>
      </w:r>
    </w:p>
    <w:p w14:paraId="7546C6B6" w14:textId="77777777" w:rsidR="004B2808" w:rsidRDefault="00000000">
      <w:pPr>
        <w:pStyle w:val="pheading"/>
      </w:pPr>
      <w:r>
        <w:t>MESURAGE</w:t>
      </w:r>
    </w:p>
    <w:p w14:paraId="37422748" w14:textId="77777777" w:rsidR="004B2808" w:rsidRDefault="00000000">
      <w:pPr>
        <w:pStyle w:val="pheading"/>
      </w:pPr>
      <w:r>
        <w:t>- unité de mesure:</w:t>
      </w:r>
    </w:p>
    <w:p w14:paraId="7FE9D609" w14:textId="77777777" w:rsidR="004B2808" w:rsidRDefault="00000000">
      <w:r>
        <w:rPr>
          <w:rStyle w:val="optioncarChar"/>
        </w:rPr>
        <w:t xml:space="preserve">- </w:t>
      </w:r>
      <w:r>
        <w:t>(par défaut) /</w:t>
      </w:r>
      <w:r>
        <w:rPr>
          <w:rStyle w:val="optioncarChar"/>
        </w:rPr>
        <w:t> m² / ***</w:t>
      </w:r>
    </w:p>
    <w:p w14:paraId="48C51227" w14:textId="77777777" w:rsidR="004B2808" w:rsidRDefault="00000000">
      <w:pPr>
        <w:pStyle w:val="pheading"/>
      </w:pPr>
      <w:r>
        <w:t>- code de mesurage:</w:t>
      </w:r>
    </w:p>
    <w:p w14:paraId="4B5637D0" w14:textId="77777777" w:rsidR="004B2808"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 xml:space="preserve">OPTION 2 </w:t>
      </w:r>
      <w:r>
        <w:t>: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r>
        <w:br/>
      </w:r>
      <w:r>
        <w:rPr>
          <w:b/>
        </w:rPr>
        <w:t xml:space="preserve">Choix opéré </w:t>
      </w:r>
      <w:r>
        <w:t xml:space="preserve">: </w:t>
      </w:r>
      <w:r>
        <w:rPr>
          <w:rStyle w:val="optioncarChar"/>
        </w:rPr>
        <w:t>*** / OPTION 1</w:t>
      </w:r>
      <w:r>
        <w:t xml:space="preserve"> (par défaut)</w:t>
      </w:r>
      <w:r>
        <w:rPr>
          <w:rStyle w:val="optioncarChar"/>
        </w:rPr>
        <w:t> / OPTION 2</w:t>
      </w:r>
    </w:p>
    <w:p w14:paraId="45A7F1A4" w14:textId="77777777" w:rsidR="004B2808" w:rsidRDefault="00000000">
      <w:pPr>
        <w:pStyle w:val="pheading"/>
      </w:pPr>
      <w:r>
        <w:t>- nature du marché:</w:t>
      </w:r>
    </w:p>
    <w:p w14:paraId="56EDFA91" w14:textId="77777777" w:rsidR="004B2808" w:rsidRDefault="00000000">
      <w:r>
        <w:rPr>
          <w:color w:val="FF0000"/>
        </w:rPr>
        <w:lastRenderedPageBreak/>
        <w:t>PM</w:t>
      </w:r>
      <w:r>
        <w:t xml:space="preserve"> (par défaut)</w:t>
      </w:r>
      <w:r>
        <w:rPr>
          <w:color w:val="FF0000"/>
        </w:rPr>
        <w:t> / QF / *** </w:t>
      </w:r>
    </w:p>
    <w:p w14:paraId="02B26C4A" w14:textId="77777777" w:rsidR="004B2808" w:rsidRDefault="00000000">
      <w:pPr>
        <w:pStyle w:val="Author-eSectionHeading5Numberless"/>
      </w:pPr>
      <w:bookmarkStart w:id="1473" w:name="_Toc220491574"/>
      <w:r>
        <w:t>56.31.2 Eléments de remplissage en planchettes métalliques CCTB 01.02</w:t>
      </w:r>
      <w:bookmarkEnd w:id="1473"/>
    </w:p>
    <w:p w14:paraId="11F0FDAC" w14:textId="77777777" w:rsidR="004B2808" w:rsidRDefault="00000000">
      <w:pPr>
        <w:pStyle w:val="Author-eSectionHeading6Numberless"/>
      </w:pPr>
      <w:bookmarkStart w:id="1474" w:name="_Toc220491575"/>
      <w:r>
        <w:t>56.31.2a Eléments de remplissage en planchettes métalliques CCTB 01.10</w:t>
      </w:r>
      <w:bookmarkEnd w:id="1474"/>
    </w:p>
    <w:p w14:paraId="65405819" w14:textId="77777777" w:rsidR="004B2808" w:rsidRDefault="00000000">
      <w:pPr>
        <w:pStyle w:val="pheading"/>
      </w:pPr>
      <w:r>
        <w:t>MATÉRIAUX</w:t>
      </w:r>
    </w:p>
    <w:p w14:paraId="708092CB" w14:textId="77777777" w:rsidR="004B2808" w:rsidRDefault="00000000">
      <w:pPr>
        <w:pStyle w:val="pheading"/>
      </w:pPr>
      <w:r>
        <w:t>- Caractéristiques générales</w:t>
      </w:r>
    </w:p>
    <w:p w14:paraId="0F8C5C2D" w14:textId="77777777" w:rsidR="004B2808" w:rsidRDefault="00000000">
      <w:r>
        <w:t>Les éléments de remplissage à isolation thermique sont composés en tôles d'aluminium recouvrant une âme isolante. Les panneaux sont livrés avec un film de protection amovible.</w:t>
      </w:r>
    </w:p>
    <w:p w14:paraId="16B8E984" w14:textId="77777777" w:rsidR="004B2808" w:rsidRDefault="00000000">
      <w:pPr>
        <w:pStyle w:val="heading"/>
      </w:pPr>
      <w:r>
        <w:t>Spécifications</w:t>
      </w:r>
    </w:p>
    <w:p w14:paraId="4EE32526" w14:textId="77777777" w:rsidR="004B2808" w:rsidRDefault="00000000">
      <w:r>
        <w:t xml:space="preserve">Epaisseur des plaques : au moins </w:t>
      </w:r>
      <w:r>
        <w:rPr>
          <w:rStyle w:val="optioncarChar"/>
        </w:rPr>
        <w:t>20</w:t>
      </w:r>
      <w:r>
        <w:t xml:space="preserve"> (par défaut) </w:t>
      </w:r>
      <w:r>
        <w:rPr>
          <w:rStyle w:val="optioncarChar"/>
        </w:rPr>
        <w:t>/ 30 / 40 / ***</w:t>
      </w:r>
      <w:r>
        <w:t xml:space="preserve"> mm.</w:t>
      </w:r>
    </w:p>
    <w:p w14:paraId="7B15057B" w14:textId="77777777" w:rsidR="004B2808" w:rsidRDefault="00000000">
      <w:r>
        <w:t>Nature des plaques d'aluminium :</w:t>
      </w:r>
    </w:p>
    <w:p w14:paraId="7080485A" w14:textId="77777777" w:rsidR="004B2808" w:rsidRDefault="00000000">
      <w:pPr>
        <w:ind w:left="675"/>
      </w:pPr>
      <w:r>
        <w:t>⇒ Épaisseur nominale : au moins </w:t>
      </w:r>
      <w:r>
        <w:rPr>
          <w:rStyle w:val="optioncarChar"/>
        </w:rPr>
        <w:t>0,7 </w:t>
      </w:r>
      <w:r>
        <w:t>(par défaut)</w:t>
      </w:r>
      <w:r>
        <w:rPr>
          <w:rStyle w:val="optioncarChar"/>
        </w:rPr>
        <w:t xml:space="preserve"> / 1,5 / ***</w:t>
      </w:r>
      <w:r>
        <w:t>.</w:t>
      </w:r>
    </w:p>
    <w:p w14:paraId="04648A87" w14:textId="77777777" w:rsidR="004B2808" w:rsidRDefault="00000000">
      <w:r>
        <w:t xml:space="preserve">Nature du matériau d'isolation; l'isolation est définie dans les articles </w:t>
      </w:r>
      <w:hyperlink w:anchor="73" w:history="1">
        <w:r w:rsidR="004B2808">
          <w:rPr>
            <w:color w:val="0000EE"/>
          </w:rPr>
          <w:t>52.4 Isolation</w:t>
        </w:r>
      </w:hyperlink>
      <w:r>
        <w:t xml:space="preserve"> et suivants : </w:t>
      </w:r>
    </w:p>
    <w:p w14:paraId="20230AD4" w14:textId="77777777" w:rsidR="004B2808" w:rsidRDefault="00000000">
      <w:pPr>
        <w:ind w:left="675"/>
      </w:pPr>
      <w:r>
        <w:t>⇒ Matériau : </w:t>
      </w:r>
      <w:r>
        <w:rPr>
          <w:rStyle w:val="optioncarChar"/>
        </w:rPr>
        <w:t>polystyrène extrudé</w:t>
      </w:r>
      <w:r>
        <w:t xml:space="preserve"> (par défaut)</w:t>
      </w:r>
      <w:r>
        <w:rPr>
          <w:rStyle w:val="optioncarChar"/>
        </w:rPr>
        <w:t> / polyuréthane / fibres minérales/ ***</w:t>
      </w:r>
    </w:p>
    <w:p w14:paraId="7B6319D0" w14:textId="77777777" w:rsidR="004B2808" w:rsidRDefault="00000000">
      <w:pPr>
        <w:ind w:left="675"/>
      </w:pPr>
      <w:r>
        <w:t>⇒ Épaisseur nominale : au moins </w:t>
      </w:r>
      <w:r>
        <w:rPr>
          <w:rStyle w:val="optioncarChar"/>
        </w:rPr>
        <w:t>20</w:t>
      </w:r>
      <w:r>
        <w:t xml:space="preserve"> (par défaut) </w:t>
      </w:r>
      <w:r>
        <w:rPr>
          <w:rStyle w:val="optioncarChar"/>
        </w:rPr>
        <w:t>/ 30 / 40 / ***</w:t>
      </w:r>
      <w:r>
        <w:t xml:space="preserve"> mm.</w:t>
      </w:r>
    </w:p>
    <w:p w14:paraId="23E2469C" w14:textId="77777777" w:rsidR="004B2808" w:rsidRDefault="00000000">
      <w:pPr>
        <w:ind w:left="675"/>
      </w:pPr>
      <w:r>
        <w:t>⇒ Conductibilité thermique : maximum </w:t>
      </w:r>
      <w:r>
        <w:rPr>
          <w:rStyle w:val="optioncarChar"/>
        </w:rPr>
        <w:t>40</w:t>
      </w:r>
      <w:r>
        <w:t> (par défaut)</w:t>
      </w:r>
      <w:r>
        <w:rPr>
          <w:rStyle w:val="optioncarChar"/>
        </w:rPr>
        <w:t> / *** </w:t>
      </w:r>
      <w:r>
        <w:t xml:space="preserve"> W/mK</w:t>
      </w:r>
    </w:p>
    <w:p w14:paraId="3ABBA6DD" w14:textId="77777777" w:rsidR="004B2808" w:rsidRDefault="00000000">
      <w:pPr>
        <w:pStyle w:val="pheading"/>
      </w:pPr>
      <w:r>
        <w:t>- Finitions</w:t>
      </w:r>
    </w:p>
    <w:p w14:paraId="4BFD3E1B" w14:textId="77777777" w:rsidR="004B2808" w:rsidRDefault="00000000">
      <w:r>
        <w:t>Finition et couleur :  </w:t>
      </w:r>
      <w:r>
        <w:rPr>
          <w:rStyle w:val="optioncarChar"/>
        </w:rPr>
        <w:t>identiques à celles des profilés de fenêtre</w:t>
      </w:r>
      <w:r>
        <w:t> (par défaut) </w:t>
      </w:r>
      <w:r>
        <w:rPr>
          <w:rStyle w:val="optioncarChar"/>
        </w:rPr>
        <w:t>/ ***  </w:t>
      </w:r>
    </w:p>
    <w:p w14:paraId="4D447922" w14:textId="77777777" w:rsidR="004B2808" w:rsidRDefault="00000000">
      <w:pPr>
        <w:pStyle w:val="pheading"/>
      </w:pPr>
      <w:r>
        <w:t>- Prescriptions complémentaires</w:t>
      </w:r>
    </w:p>
    <w:p w14:paraId="56E7F9B2" w14:textId="77777777" w:rsidR="004B2808" w:rsidRDefault="00000000">
      <w:r>
        <w:t>Les panneaux de remplissage pour les portes d'entrée sont pourvus d'une fenêtre</w:t>
      </w:r>
      <w:r>
        <w:rPr>
          <w:rStyle w:val="optioncarChar"/>
        </w:rPr>
        <w:t> ronde</w:t>
      </w:r>
      <w:r>
        <w:t xml:space="preserve"> (par défaut)</w:t>
      </w:r>
      <w:r>
        <w:rPr>
          <w:rStyle w:val="optioncarChar"/>
        </w:rPr>
        <w:t> / carrée / *** </w:t>
      </w:r>
      <w:r>
        <w:t xml:space="preserve">à double vitrage </w:t>
      </w:r>
      <w:r>
        <w:rPr>
          <w:rStyle w:val="optioncarChar"/>
        </w:rPr>
        <w:t>(mat</w:t>
      </w:r>
      <w:r>
        <w:t xml:space="preserve"> (par défaut) </w:t>
      </w:r>
      <w:r>
        <w:rPr>
          <w:rStyle w:val="optioncarChar"/>
        </w:rPr>
        <w:t xml:space="preserve">/ clair / ***), </w:t>
      </w:r>
      <w:r>
        <w:t xml:space="preserve">située dans le même plan que le panneau, intégrée dans le panneau sans profils périphériques et colmatée avec des silicones incolores. Diamètre : </w:t>
      </w:r>
      <w:r>
        <w:rPr>
          <w:rStyle w:val="optioncarChar"/>
        </w:rPr>
        <w:t>30</w:t>
      </w:r>
      <w:r>
        <w:t> (par défaut) </w:t>
      </w:r>
      <w:r>
        <w:rPr>
          <w:rStyle w:val="optioncarChar"/>
        </w:rPr>
        <w:t>/ *** </w:t>
      </w:r>
      <w:r>
        <w:t>cm.</w:t>
      </w:r>
    </w:p>
    <w:p w14:paraId="1C631488" w14:textId="77777777" w:rsidR="004B2808" w:rsidRDefault="00000000">
      <w:pPr>
        <w:pStyle w:val="pheading"/>
      </w:pPr>
      <w:r>
        <w:t>EXÉCUTION / MISE EN ŒUVRE</w:t>
      </w:r>
    </w:p>
    <w:p w14:paraId="20176A58" w14:textId="77777777" w:rsidR="004B2808" w:rsidRDefault="00000000">
      <w:pPr>
        <w:pStyle w:val="pheading"/>
      </w:pPr>
      <w:r>
        <w:t>- Prescriptions générales</w:t>
      </w:r>
    </w:p>
    <w:p w14:paraId="3D5769A4" w14:textId="77777777" w:rsidR="004B2808" w:rsidRDefault="00000000">
      <w:r>
        <w:t xml:space="preserve">Les éléments de remplissage sont placés sous vitrage </w:t>
      </w:r>
      <w:r>
        <w:rPr>
          <w:rStyle w:val="optioncarChar"/>
        </w:rPr>
        <w:t>comprimé</w:t>
      </w:r>
      <w:r>
        <w:t> (par défaut)</w:t>
      </w:r>
      <w:r>
        <w:rPr>
          <w:rStyle w:val="optioncarChar"/>
        </w:rPr>
        <w:t xml:space="preserve"> / semi-comprimé / non-comprimé / ***.</w:t>
      </w:r>
      <w:r>
        <w:br/>
        <w:t xml:space="preserve">Les éléments de remplissage sont placés dans un système </w:t>
      </w:r>
      <w:r>
        <w:rPr>
          <w:rStyle w:val="optioncarChar"/>
        </w:rPr>
        <w:t>ouvert</w:t>
      </w:r>
      <w:r>
        <w:t xml:space="preserve"> (par défaut) </w:t>
      </w:r>
      <w:r>
        <w:rPr>
          <w:rStyle w:val="optioncarChar"/>
        </w:rPr>
        <w:t>/ fermé / ***.</w:t>
      </w:r>
    </w:p>
    <w:p w14:paraId="5D7C90D8" w14:textId="77777777" w:rsidR="004B2808" w:rsidRDefault="00000000">
      <w:pPr>
        <w:pStyle w:val="pheading"/>
      </w:pPr>
      <w:r>
        <w:t>MESURAGE</w:t>
      </w:r>
    </w:p>
    <w:p w14:paraId="0ECD8743" w14:textId="77777777" w:rsidR="004B2808" w:rsidRDefault="00000000">
      <w:pPr>
        <w:pStyle w:val="pheading"/>
      </w:pPr>
      <w:r>
        <w:t>- unité de mesure:</w:t>
      </w:r>
    </w:p>
    <w:p w14:paraId="7DCAD22E" w14:textId="77777777" w:rsidR="004B2808" w:rsidRDefault="00000000">
      <w:r>
        <w:rPr>
          <w:rStyle w:val="optioncarChar"/>
        </w:rPr>
        <w:t xml:space="preserve">- </w:t>
      </w:r>
      <w:r>
        <w:t>(par défaut) </w:t>
      </w:r>
      <w:r>
        <w:rPr>
          <w:rStyle w:val="optioncarChar"/>
        </w:rPr>
        <w:t>/ m² / ***</w:t>
      </w:r>
    </w:p>
    <w:p w14:paraId="68EE1B6E" w14:textId="77777777" w:rsidR="004B2808" w:rsidRDefault="00000000">
      <w:pPr>
        <w:pStyle w:val="pheading"/>
      </w:pPr>
      <w:r>
        <w:t>- code de mesurage:</w:t>
      </w:r>
    </w:p>
    <w:p w14:paraId="119F3A62" w14:textId="77777777" w:rsidR="004B2808" w:rsidRDefault="00000000">
      <w:r>
        <w:t>Choix opéré :</w:t>
      </w:r>
      <w:r>
        <w:rPr>
          <w:rStyle w:val="optioncarChar"/>
          <w:b/>
        </w:rPr>
        <w:t>*** / OPTION 1</w:t>
      </w:r>
      <w:r>
        <w:t> (par défaut)</w:t>
      </w:r>
      <w:r>
        <w:rPr>
          <w:rStyle w:val="optioncarChar"/>
          <w:b/>
        </w:rPr>
        <w:t xml:space="preserve"> / OPTION 2</w:t>
      </w:r>
    </w:p>
    <w:p w14:paraId="248F78E7" w14:textId="77777777" w:rsidR="004B2808"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2F1DEB58" w14:textId="77777777" w:rsidR="004B2808" w:rsidRDefault="00000000">
      <w:pPr>
        <w:pStyle w:val="pheading"/>
      </w:pPr>
      <w:r>
        <w:lastRenderedPageBreak/>
        <w:t>- nature du marché:</w:t>
      </w:r>
    </w:p>
    <w:p w14:paraId="29DA5601" w14:textId="77777777" w:rsidR="004B2808" w:rsidRDefault="00000000">
      <w:r>
        <w:rPr>
          <w:rStyle w:val="optioncarChar"/>
        </w:rPr>
        <w:t>PM</w:t>
      </w:r>
      <w:r>
        <w:t> (par défaut)</w:t>
      </w:r>
      <w:r>
        <w:rPr>
          <w:rStyle w:val="optioncarChar"/>
        </w:rPr>
        <w:t> / QF / ***</w:t>
      </w:r>
    </w:p>
    <w:p w14:paraId="38221F55" w14:textId="77777777" w:rsidR="004B2808" w:rsidRDefault="00000000">
      <w:pPr>
        <w:pStyle w:val="Author-eSectionHeading5Numberless"/>
      </w:pPr>
      <w:bookmarkStart w:id="1475" w:name="_Toc220491576"/>
      <w:r>
        <w:t>56.31.3 Eléments de remplissage en planchettes en matière synthétique CCTB 01.02</w:t>
      </w:r>
      <w:bookmarkEnd w:id="1475"/>
    </w:p>
    <w:p w14:paraId="1018D7D9" w14:textId="77777777" w:rsidR="004B2808" w:rsidRDefault="00000000">
      <w:pPr>
        <w:pStyle w:val="Author-eSectionHeading6Numberless"/>
      </w:pPr>
      <w:bookmarkStart w:id="1476" w:name="_Toc220491577"/>
      <w:r>
        <w:t>56.31.3a Eléments de remplissage en planchettes en matière synthétique CCTB 01.11</w:t>
      </w:r>
      <w:bookmarkEnd w:id="1476"/>
    </w:p>
    <w:p w14:paraId="241D5CC0" w14:textId="77777777" w:rsidR="004B2808" w:rsidRDefault="00000000">
      <w:pPr>
        <w:pStyle w:val="pheading"/>
      </w:pPr>
      <w:r>
        <w:t>MATÉRIAUX</w:t>
      </w:r>
    </w:p>
    <w:p w14:paraId="157BFF14" w14:textId="77777777" w:rsidR="004B2808" w:rsidRDefault="00000000">
      <w:pPr>
        <w:pStyle w:val="pheading"/>
      </w:pPr>
      <w:r>
        <w:t>- Caractéristiques générales</w:t>
      </w:r>
    </w:p>
    <w:p w14:paraId="50F56720" w14:textId="77777777" w:rsidR="004B2808" w:rsidRDefault="00000000">
      <w:pPr>
        <w:spacing w:before="0" w:after="0"/>
      </w:pPr>
      <w:r>
        <w:rPr>
          <w:b/>
        </w:rPr>
        <w:t>Matière synthétique</w:t>
      </w:r>
    </w:p>
    <w:p w14:paraId="71820DB0" w14:textId="77777777" w:rsidR="004B2808" w:rsidRDefault="00000000">
      <w:r>
        <w:t>Les éléments de remplissage se composent de plaques en PVC dur (chlorure de polyvinyle dur) et d'une âme isolante. Les plaques sont livrées avec un film de polyéthylène amovible.</w:t>
      </w:r>
    </w:p>
    <w:p w14:paraId="25541BB0" w14:textId="77777777" w:rsidR="004B2808" w:rsidRDefault="00000000">
      <w:pPr>
        <w:pStyle w:val="heading"/>
      </w:pPr>
      <w:r>
        <w:t>Spécifications</w:t>
      </w:r>
    </w:p>
    <w:p w14:paraId="26B7076E" w14:textId="77777777" w:rsidR="004B2808" w:rsidRDefault="00000000">
      <w:r>
        <w:t>Epaisseur des plaques : au moins </w:t>
      </w:r>
      <w:r>
        <w:rPr>
          <w:rStyle w:val="optioncarChar"/>
        </w:rPr>
        <w:t>20</w:t>
      </w:r>
      <w:r>
        <w:t> (par défaut)</w:t>
      </w:r>
      <w:r>
        <w:rPr>
          <w:rStyle w:val="optioncarChar"/>
        </w:rPr>
        <w:t xml:space="preserve"> / 30 / 40 / ***</w:t>
      </w:r>
      <w:r>
        <w:t xml:space="preserve"> mm.</w:t>
      </w:r>
    </w:p>
    <w:p w14:paraId="56A4CE4B" w14:textId="77777777" w:rsidR="004B2808" w:rsidRDefault="00000000">
      <w:r>
        <w:t>Type : </w:t>
      </w:r>
      <w:r>
        <w:rPr>
          <w:rStyle w:val="optioncarChar"/>
        </w:rPr>
        <w:t>à simple paroi</w:t>
      </w:r>
      <w:r>
        <w:t> (par défaut)</w:t>
      </w:r>
      <w:r>
        <w:rPr>
          <w:rStyle w:val="optioncarChar"/>
        </w:rPr>
        <w:t xml:space="preserve"> / à double paroi (panneau sandwich) / ***. </w:t>
      </w:r>
      <w:r>
        <w:t>Les plaques sont pourvues d'une isolation thermique </w:t>
      </w:r>
      <w:r>
        <w:rPr>
          <w:rStyle w:val="optioncarChar"/>
        </w:rPr>
        <w:t>à l'intérieur</w:t>
      </w:r>
      <w:r>
        <w:t xml:space="preserve"> (par défaut) </w:t>
      </w:r>
      <w:r>
        <w:rPr>
          <w:rStyle w:val="optioncarChar"/>
        </w:rPr>
        <w:t>/ à l'arrière / ***</w:t>
      </w:r>
      <w:r>
        <w:t>.</w:t>
      </w:r>
    </w:p>
    <w:p w14:paraId="0B8AEA17" w14:textId="77777777" w:rsidR="004B2808" w:rsidRDefault="00000000">
      <w:r>
        <w:t>Nature des plaques en PVC :</w:t>
      </w:r>
    </w:p>
    <w:p w14:paraId="6B433BD6" w14:textId="77777777" w:rsidR="004B2808" w:rsidRDefault="00000000">
      <w:pPr>
        <w:ind w:left="454"/>
      </w:pPr>
      <w:r>
        <w:rPr>
          <w:b/>
        </w:rPr>
        <w:t>Choix opéré</w:t>
      </w:r>
      <w:r>
        <w:t xml:space="preserve"> : </w:t>
      </w:r>
      <w:r>
        <w:rPr>
          <w:rStyle w:val="optioncarChar"/>
        </w:rPr>
        <w:t>*** / OPTION 1 </w:t>
      </w:r>
      <w:r>
        <w:t>(par défaut)</w:t>
      </w:r>
      <w:r>
        <w:rPr>
          <w:rStyle w:val="optioncarChar"/>
        </w:rPr>
        <w:t xml:space="preserve"> / OPTION 2 /OPTION 3</w:t>
      </w:r>
    </w:p>
    <w:p w14:paraId="0D5B6586" w14:textId="77777777" w:rsidR="004B2808" w:rsidRDefault="00000000">
      <w:pPr>
        <w:ind w:left="454"/>
      </w:pPr>
      <w:r>
        <w:rPr>
          <w:b/>
        </w:rPr>
        <w:t xml:space="preserve">***OPTION 1 </w:t>
      </w:r>
      <w:r>
        <w:t>(par défaut): extrudées dans une composition de PVC dure à base de pâte de granulats blanche, colorée dans la masse </w:t>
      </w:r>
      <w:r>
        <w:br/>
      </w:r>
      <w:r>
        <w:rPr>
          <w:b/>
        </w:rPr>
        <w:t>***OPTION 2</w:t>
      </w:r>
      <w:r>
        <w:t xml:space="preserve"> : extrudées dans une composition de PVC dure de couleur blanche, référence *** </w:t>
      </w:r>
      <w:r>
        <w:br/>
      </w:r>
      <w:r>
        <w:rPr>
          <w:b/>
        </w:rPr>
        <w:t>***OPTION 3</w:t>
      </w:r>
      <w:r>
        <w:t xml:space="preserve"> :  extrudées dans du PVC à résistance aux chocs élevée avec une couche de couleur acrylique PMMA dans la masse; la couleur est extrudée en même temps afin d'obtenir une cohésion homogène entre le PVC et l'acrylique.</w:t>
      </w:r>
    </w:p>
    <w:p w14:paraId="065284FF" w14:textId="77777777" w:rsidR="004B2808" w:rsidRDefault="00000000">
      <w:pPr>
        <w:ind w:left="680"/>
      </w:pPr>
      <w:r>
        <w:t>⇒ Epaisseur nominale : </w:t>
      </w:r>
      <w:r>
        <w:rPr>
          <w:rStyle w:val="optioncarChar"/>
        </w:rPr>
        <w:t>3 </w:t>
      </w:r>
      <w:r>
        <w:t>(par défaut)</w:t>
      </w:r>
      <w:r>
        <w:rPr>
          <w:rStyle w:val="optioncarChar"/>
        </w:rPr>
        <w:t xml:space="preserve"> / 4 / 5 / ***</w:t>
      </w:r>
      <w:r>
        <w:t xml:space="preserve"> mm.</w:t>
      </w:r>
    </w:p>
    <w:p w14:paraId="26C4F0C5" w14:textId="77777777" w:rsidR="004B2808" w:rsidRDefault="00000000">
      <w:pPr>
        <w:ind w:left="680"/>
      </w:pPr>
      <w:r>
        <w:t xml:space="preserve">⇒ Poids spécifique : env. </w:t>
      </w:r>
      <w:r>
        <w:rPr>
          <w:rStyle w:val="optioncarChar"/>
        </w:rPr>
        <w:t>1400</w:t>
      </w:r>
      <w:r>
        <w:t> (par défaut)</w:t>
      </w:r>
      <w:r>
        <w:rPr>
          <w:rStyle w:val="optioncarChar"/>
        </w:rPr>
        <w:t> / *** </w:t>
      </w:r>
      <w:r>
        <w:t xml:space="preserve"> kg/m3</w:t>
      </w:r>
    </w:p>
    <w:p w14:paraId="6C559001" w14:textId="77777777" w:rsidR="004B2808" w:rsidRDefault="00000000">
      <w:pPr>
        <w:ind w:left="680"/>
      </w:pPr>
      <w:r>
        <w:t>⇒ Coefficient de dilatation linéaire : </w:t>
      </w:r>
      <w:r>
        <w:rPr>
          <w:rStyle w:val="optioncarChar"/>
        </w:rPr>
        <w:t>7 à 9 x 10 (-5)</w:t>
      </w:r>
      <w:r>
        <w:t> (par défaut) </w:t>
      </w:r>
      <w:r>
        <w:rPr>
          <w:rStyle w:val="optioncarChar"/>
        </w:rPr>
        <w:t>/ *** </w:t>
      </w:r>
      <w:r>
        <w:t>  mm.</w:t>
      </w:r>
    </w:p>
    <w:p w14:paraId="2982596C" w14:textId="77777777" w:rsidR="004B2808" w:rsidRDefault="00000000">
      <w:pPr>
        <w:ind w:left="680"/>
      </w:pPr>
      <w:r>
        <w:t>⇒ Point Vicat sous 5 kg : </w:t>
      </w:r>
      <w:r>
        <w:rPr>
          <w:rStyle w:val="optioncarChar"/>
        </w:rPr>
        <w:t>70 </w:t>
      </w:r>
      <w:r>
        <w:t>(par défaut)</w:t>
      </w:r>
      <w:r>
        <w:rPr>
          <w:rStyle w:val="optioncarChar"/>
        </w:rPr>
        <w:t> / *** </w:t>
      </w:r>
      <w:r>
        <w:t>  °C</w:t>
      </w:r>
    </w:p>
    <w:p w14:paraId="08AD3CCF" w14:textId="77777777" w:rsidR="004B2808" w:rsidRDefault="00000000">
      <w:pPr>
        <w:ind w:left="680"/>
      </w:pPr>
      <w:r>
        <w:t>⇒ Couleur : </w:t>
      </w:r>
      <w:r>
        <w:rPr>
          <w:rStyle w:val="optioncarChar"/>
        </w:rPr>
        <w:t>identique à celles des profilés de fenêtre </w:t>
      </w:r>
      <w:r>
        <w:t>(par défaut)</w:t>
      </w:r>
      <w:r>
        <w:rPr>
          <w:rStyle w:val="optioncarChar"/>
        </w:rPr>
        <w:t xml:space="preserve"> / choisie par l'auteur de projet dans la gamme complète du fabricant / Couleur RAL n° *** / ***</w:t>
      </w:r>
    </w:p>
    <w:p w14:paraId="790289FE" w14:textId="77777777" w:rsidR="004B2808" w:rsidRDefault="00000000">
      <w:pPr>
        <w:ind w:left="680"/>
      </w:pPr>
      <w:r>
        <w:t xml:space="preserve">⇒ Brillance : </w:t>
      </w:r>
      <w:r>
        <w:rPr>
          <w:rStyle w:val="optioncarChar"/>
        </w:rPr>
        <w:t>mat </w:t>
      </w:r>
      <w:r>
        <w:t>(par défaut)</w:t>
      </w:r>
      <w:r>
        <w:rPr>
          <w:rStyle w:val="optioncarChar"/>
        </w:rPr>
        <w:t xml:space="preserve"> / brillant / ***</w:t>
      </w:r>
    </w:p>
    <w:p w14:paraId="7174C956" w14:textId="77777777" w:rsidR="004B2808" w:rsidRDefault="00000000">
      <w:r>
        <w:t xml:space="preserve">Nature du matériau d'isolation; les matériaux d'isolation sont définis dans les articles </w:t>
      </w:r>
      <w:hyperlink w:anchor="73" w:history="1">
        <w:r w:rsidR="004B2808">
          <w:rPr>
            <w:color w:val="0000EE"/>
          </w:rPr>
          <w:t>52.4 Isolation</w:t>
        </w:r>
      </w:hyperlink>
      <w:r>
        <w:t xml:space="preserve"> et suivants  :</w:t>
      </w:r>
    </w:p>
    <w:p w14:paraId="285CD005" w14:textId="77777777" w:rsidR="004B2808" w:rsidRDefault="00000000">
      <w:pPr>
        <w:ind w:left="680"/>
      </w:pPr>
      <w:r>
        <w:t>⇒ Matériau : </w:t>
      </w:r>
      <w:r>
        <w:rPr>
          <w:rStyle w:val="optioncarChar"/>
        </w:rPr>
        <w:t>EPS (polystyrène expansé) </w:t>
      </w:r>
      <w:r>
        <w:t>(par défaut)</w:t>
      </w:r>
      <w:r>
        <w:rPr>
          <w:rStyle w:val="optioncarChar"/>
        </w:rPr>
        <w:t xml:space="preserve"> / XPS (polystyrène extrudé ) / PUR (polyuréthane) / PF (mousse de phénolformaldéhyde / PIR (mousse de polyisocyanure) / ***</w:t>
      </w:r>
    </w:p>
    <w:p w14:paraId="0BA51953" w14:textId="77777777" w:rsidR="004B2808" w:rsidRDefault="00000000">
      <w:pPr>
        <w:ind w:left="680"/>
      </w:pPr>
      <w:r>
        <w:t>⇒ Mode de pose : </w:t>
      </w:r>
      <w:r>
        <w:rPr>
          <w:rStyle w:val="optioncarChar"/>
        </w:rPr>
        <w:t>collage à l'arrière des panneaux</w:t>
      </w:r>
      <w:r>
        <w:t xml:space="preserve"> (par défaut) </w:t>
      </w:r>
      <w:r>
        <w:rPr>
          <w:rStyle w:val="optioncarChar"/>
        </w:rPr>
        <w:t>/ fixation sur l'ouvrage de construction attenant / ***</w:t>
      </w:r>
    </w:p>
    <w:p w14:paraId="57C93FE5" w14:textId="77777777" w:rsidR="004B2808" w:rsidRDefault="00000000">
      <w:pPr>
        <w:ind w:left="680"/>
      </w:pPr>
      <w:r>
        <w:t xml:space="preserve">⇒ Épaisseur nominale : </w:t>
      </w:r>
      <w:r>
        <w:rPr>
          <w:rStyle w:val="optioncarChar"/>
        </w:rPr>
        <w:t>3</w:t>
      </w:r>
      <w:r>
        <w:t xml:space="preserve"> (par défaut) </w:t>
      </w:r>
      <w:r>
        <w:rPr>
          <w:rStyle w:val="optioncarChar"/>
        </w:rPr>
        <w:t>/ 6 / 10 / 20 / 30 / ***</w:t>
      </w:r>
      <w:r>
        <w:t xml:space="preserve"> mm</w:t>
      </w:r>
    </w:p>
    <w:p w14:paraId="5EA51D9D" w14:textId="77777777" w:rsidR="004B2808" w:rsidRDefault="00000000">
      <w:pPr>
        <w:ind w:left="680"/>
      </w:pPr>
      <w:r>
        <w:t xml:space="preserve">⇒ Valeur ld déclarée : </w:t>
      </w:r>
      <w:r>
        <w:rPr>
          <w:rStyle w:val="optioncarChar"/>
        </w:rPr>
        <w:t>***</w:t>
      </w:r>
      <w:r>
        <w:t xml:space="preserve"> W/mK</w:t>
      </w:r>
    </w:p>
    <w:p w14:paraId="7F6DFFAD" w14:textId="77777777" w:rsidR="004B2808" w:rsidRDefault="00000000">
      <w:pPr>
        <w:spacing w:before="0" w:after="0"/>
      </w:pPr>
      <w:r>
        <w:rPr>
          <w:b/>
        </w:rPr>
        <w:t>Résine synthétique</w:t>
      </w:r>
    </w:p>
    <w:p w14:paraId="39F6826A" w14:textId="77777777" w:rsidR="004B2808" w:rsidRDefault="00000000">
      <w:r>
        <w:t>Les éléments de remplissage se composent de plaques de résines synthétiques inaltérables d'une épaisseur d'au moins 3 mm, isolées sur une épaisseur d'au moins 2 cm à l'aide de plaques de polystyrène. Les plaques sont assemblées par collage. Elles sont résistantes aux griffes et à l'usure, sont stables et présentent une résistance élevée aux coups et aux chocs. La couleur est inaltérable.</w:t>
      </w:r>
    </w:p>
    <w:p w14:paraId="40F5EC02" w14:textId="77777777" w:rsidR="004B2808" w:rsidRDefault="00000000">
      <w:pPr>
        <w:pStyle w:val="heading"/>
      </w:pPr>
      <w:r>
        <w:lastRenderedPageBreak/>
        <w:t>Spécifications</w:t>
      </w:r>
    </w:p>
    <w:p w14:paraId="356BD7DA" w14:textId="77777777" w:rsidR="004B2808" w:rsidRDefault="00000000">
      <w:r>
        <w:t>Caractéristiques de la plaque extérieure :</w:t>
      </w:r>
    </w:p>
    <w:p w14:paraId="054498D8" w14:textId="77777777" w:rsidR="004B2808" w:rsidRDefault="00000000">
      <w:pPr>
        <w:ind w:left="680"/>
      </w:pPr>
      <w:r>
        <w:t>⇒ Épaisseur nominale : au moins </w:t>
      </w:r>
      <w:r>
        <w:rPr>
          <w:rStyle w:val="optioncarChar"/>
        </w:rPr>
        <w:t>3 (par défaut) / *** </w:t>
      </w:r>
      <w:r>
        <w:t>  mm.</w:t>
      </w:r>
    </w:p>
    <w:p w14:paraId="33A8575C" w14:textId="77777777" w:rsidR="004B2808" w:rsidRDefault="00000000">
      <w:pPr>
        <w:ind w:left="680"/>
      </w:pPr>
      <w:r>
        <w:t>⇒ Finition et couleur : i</w:t>
      </w:r>
      <w:r>
        <w:rPr>
          <w:rStyle w:val="optioncarChar"/>
        </w:rPr>
        <w:t xml:space="preserve">dentiques aux profilés de fenêtre </w:t>
      </w:r>
      <w:r>
        <w:t>(par défaut) </w:t>
      </w:r>
      <w:r>
        <w:rPr>
          <w:rStyle w:val="optioncarChar"/>
        </w:rPr>
        <w:t>/ RAL n° ***/ à choisir dans la gamme complète du fabricant / ***</w:t>
      </w:r>
    </w:p>
    <w:p w14:paraId="5C2C236F" w14:textId="77777777" w:rsidR="004B2808" w:rsidRDefault="00000000">
      <w:r>
        <w:t>Caractéristiques de la plaque intérieure : </w:t>
      </w:r>
      <w:r>
        <w:rPr>
          <w:rStyle w:val="optioncarChar"/>
        </w:rPr>
        <w:t>idem que plaque extérieure</w:t>
      </w:r>
      <w:r>
        <w:t> (par défaut)</w:t>
      </w:r>
      <w:r>
        <w:rPr>
          <w:rStyle w:val="optioncarChar"/>
        </w:rPr>
        <w:t> / ***</w:t>
      </w:r>
    </w:p>
    <w:p w14:paraId="24585050" w14:textId="77777777" w:rsidR="004B2808" w:rsidRDefault="00000000">
      <w:pPr>
        <w:pStyle w:val="pheading"/>
      </w:pPr>
      <w:r>
        <w:t>- Prescriptions complémentaires</w:t>
      </w:r>
    </w:p>
    <w:p w14:paraId="6B0DD19F" w14:textId="77777777" w:rsidR="004B2808" w:rsidRDefault="00000000">
      <w:pPr>
        <w:pStyle w:val="heading"/>
      </w:pPr>
      <w:r>
        <w:t>Matière synthétique</w:t>
      </w:r>
    </w:p>
    <w:p w14:paraId="0C2FA252" w14:textId="77777777" w:rsidR="004B2808" w:rsidRDefault="00000000">
      <w:r>
        <w:t xml:space="preserve">Les panneaux de remplissage pour les portes d'entrée sont pourvus d'une fenêtre </w:t>
      </w:r>
      <w:r>
        <w:rPr>
          <w:rStyle w:val="optioncarChar"/>
        </w:rPr>
        <w:t>ronde</w:t>
      </w:r>
      <w:r>
        <w:t> (par défaut)</w:t>
      </w:r>
      <w:r>
        <w:rPr>
          <w:rStyle w:val="optioncarChar"/>
        </w:rPr>
        <w:t> / ***</w:t>
      </w:r>
      <w:r>
        <w:t xml:space="preserve"> à double vitrage, située dans le même plan que le panneau, intégrée dans le panneau sans profils périphériques et colmatée avec des silicones incolores. Diamètre : </w:t>
      </w:r>
      <w:r>
        <w:rPr>
          <w:rStyle w:val="optioncarChar"/>
        </w:rPr>
        <w:t>30</w:t>
      </w:r>
      <w:r>
        <w:t> (par défaut)</w:t>
      </w:r>
      <w:r>
        <w:rPr>
          <w:rStyle w:val="optioncarChar"/>
        </w:rPr>
        <w:t> / *** </w:t>
      </w:r>
      <w:r>
        <w:t>  cm.</w:t>
      </w:r>
    </w:p>
    <w:p w14:paraId="1A72EA73" w14:textId="77777777" w:rsidR="004B2808" w:rsidRDefault="00000000">
      <w:pPr>
        <w:pStyle w:val="pheading"/>
      </w:pPr>
      <w:r>
        <w:t>EXÉCUTION / MISE EN ŒUVRE</w:t>
      </w:r>
    </w:p>
    <w:p w14:paraId="4598FC44" w14:textId="77777777" w:rsidR="004B2808" w:rsidRDefault="00000000">
      <w:pPr>
        <w:pStyle w:val="pheading"/>
      </w:pPr>
      <w:r>
        <w:t>- Prescriptions générales</w:t>
      </w:r>
    </w:p>
    <w:p w14:paraId="1912A947" w14:textId="77777777" w:rsidR="004B2808" w:rsidRDefault="00000000">
      <w:pPr>
        <w:pStyle w:val="Author-eListParagraph"/>
        <w:numPr>
          <w:ilvl w:val="0"/>
          <w:numId w:val="1309"/>
        </w:numPr>
      </w:pPr>
      <w:r>
        <w:t xml:space="preserve">Les éléments de remplissage sont placés dans un système </w:t>
      </w:r>
      <w:r>
        <w:rPr>
          <w:rStyle w:val="optioncarChar"/>
        </w:rPr>
        <w:t>ouvert</w:t>
      </w:r>
      <w:r>
        <w:t xml:space="preserve"> (par défaut)</w:t>
      </w:r>
      <w:r>
        <w:rPr>
          <w:rStyle w:val="optioncarChar"/>
        </w:rPr>
        <w:t> / fermé / ***</w:t>
      </w:r>
      <w:r>
        <w:t>.</w:t>
      </w:r>
    </w:p>
    <w:p w14:paraId="7BF4C3D5" w14:textId="77777777" w:rsidR="004B2808" w:rsidRDefault="00000000">
      <w:pPr>
        <w:pStyle w:val="Author-eListParagraph"/>
        <w:numPr>
          <w:ilvl w:val="0"/>
          <w:numId w:val="1309"/>
        </w:numPr>
      </w:pPr>
      <w:r>
        <w:t>Les éléments de remplissage sont placés sous vitrage </w:t>
      </w:r>
      <w:r>
        <w:rPr>
          <w:rStyle w:val="optioncarChar"/>
        </w:rPr>
        <w:t xml:space="preserve">comprimé </w:t>
      </w:r>
      <w:r>
        <w:t>(par défaut) </w:t>
      </w:r>
      <w:r>
        <w:rPr>
          <w:rStyle w:val="optioncarChar"/>
        </w:rPr>
        <w:t>/ semi-comprimé / non-comprimé / *** </w:t>
      </w:r>
      <w:r>
        <w:t>.</w:t>
      </w:r>
    </w:p>
    <w:p w14:paraId="7809C7AC" w14:textId="77777777" w:rsidR="004B2808" w:rsidRDefault="00000000">
      <w:r>
        <w:rPr>
          <w:b/>
          <w:sz w:val="24"/>
        </w:rPr>
        <w:t>Matière synthétique</w:t>
      </w:r>
    </w:p>
    <w:p w14:paraId="2A3E1715" w14:textId="77777777" w:rsidR="004B2808" w:rsidRDefault="00000000">
      <w:r>
        <w:t>Pour une obtenir un trait de scie sans ébarbures lors du sciage du PVC, deux modes d'exécution sont applicables : à la main (scie à lame et dents très minces); mécaniquement (scie circulaire à une vitesse maximale de 2500 tours/min - disque à dents très petites ou un disque au corborandum).</w:t>
      </w:r>
    </w:p>
    <w:p w14:paraId="2B085560" w14:textId="77777777" w:rsidR="004B2808" w:rsidRDefault="00000000">
      <w:pPr>
        <w:pStyle w:val="pheading"/>
      </w:pPr>
      <w:r>
        <w:t>MESURAGE</w:t>
      </w:r>
    </w:p>
    <w:p w14:paraId="79C0080E" w14:textId="77777777" w:rsidR="004B2808" w:rsidRDefault="00000000">
      <w:pPr>
        <w:pStyle w:val="pheading"/>
      </w:pPr>
      <w:r>
        <w:t>- unité de mesure:</w:t>
      </w:r>
    </w:p>
    <w:p w14:paraId="57020C87" w14:textId="77777777" w:rsidR="004B2808" w:rsidRDefault="00000000">
      <w:r>
        <w:rPr>
          <w:rStyle w:val="optioncarChar"/>
        </w:rPr>
        <w:t xml:space="preserve">- </w:t>
      </w:r>
      <w:r>
        <w:t>(par défaut) </w:t>
      </w:r>
      <w:r>
        <w:rPr>
          <w:rStyle w:val="optioncarChar"/>
        </w:rPr>
        <w:t>/ m²/ ***</w:t>
      </w:r>
    </w:p>
    <w:p w14:paraId="04A7723C" w14:textId="77777777" w:rsidR="004B2808" w:rsidRDefault="00000000">
      <w:pPr>
        <w:pStyle w:val="pheading"/>
      </w:pPr>
      <w:r>
        <w:t>- code de mesurage:</w:t>
      </w:r>
    </w:p>
    <w:p w14:paraId="26D61D73" w14:textId="77777777" w:rsidR="004B2808" w:rsidRDefault="00000000">
      <w:r>
        <w:t>Choix opéré :</w:t>
      </w:r>
      <w:r>
        <w:rPr>
          <w:rStyle w:val="optioncarChar"/>
          <w:b/>
        </w:rPr>
        <w:t>*** / OPTION 1 </w:t>
      </w:r>
      <w:r>
        <w:t>(par défaut)</w:t>
      </w:r>
      <w:r>
        <w:rPr>
          <w:rStyle w:val="optioncarChar"/>
          <w:b/>
        </w:rPr>
        <w:t xml:space="preserve"> / OPTION 2</w:t>
      </w:r>
    </w:p>
    <w:p w14:paraId="7F347A59" w14:textId="77777777" w:rsidR="004B2808"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1B46A3AB" w14:textId="77777777" w:rsidR="004B2808" w:rsidRDefault="00000000">
      <w:pPr>
        <w:pStyle w:val="pheading"/>
      </w:pPr>
      <w:r>
        <w:t>- nature du marché:</w:t>
      </w:r>
    </w:p>
    <w:p w14:paraId="00018A00" w14:textId="77777777" w:rsidR="004B2808" w:rsidRDefault="00000000">
      <w:r>
        <w:rPr>
          <w:rStyle w:val="optioncarChar"/>
        </w:rPr>
        <w:t>PM </w:t>
      </w:r>
      <w:r>
        <w:t>(par défaut) </w:t>
      </w:r>
      <w:r>
        <w:rPr>
          <w:rStyle w:val="optioncarChar"/>
        </w:rPr>
        <w:t>/ QF / ***</w:t>
      </w:r>
    </w:p>
    <w:p w14:paraId="5617E24A" w14:textId="77777777" w:rsidR="004B2808" w:rsidRDefault="00000000">
      <w:pPr>
        <w:pStyle w:val="Author-eSectionHeading5Numberless"/>
      </w:pPr>
      <w:bookmarkStart w:id="1477" w:name="_Toc220491578"/>
      <w:r>
        <w:t>56.31.4 Eléments de remplissage en planchettes en fibres ciment CCTB 01.02</w:t>
      </w:r>
      <w:bookmarkEnd w:id="1477"/>
    </w:p>
    <w:p w14:paraId="6D5104E0" w14:textId="77777777" w:rsidR="004B2808" w:rsidRDefault="00000000">
      <w:pPr>
        <w:pStyle w:val="Author-eSectionHeading6Numberless"/>
      </w:pPr>
      <w:bookmarkStart w:id="1478" w:name="_Toc220491579"/>
      <w:r>
        <w:t>56.31.4a Eléments de remplissage en planchettes en fibres ciment CCTB 01.10</w:t>
      </w:r>
      <w:bookmarkEnd w:id="1478"/>
    </w:p>
    <w:p w14:paraId="583504D4" w14:textId="77777777" w:rsidR="004B2808" w:rsidRDefault="00000000">
      <w:pPr>
        <w:pStyle w:val="pheading"/>
      </w:pPr>
      <w:r>
        <w:t>MATÉRIAUX</w:t>
      </w:r>
    </w:p>
    <w:p w14:paraId="050711CF" w14:textId="77777777" w:rsidR="004B2808" w:rsidRDefault="00000000">
      <w:pPr>
        <w:pStyle w:val="pheading"/>
      </w:pPr>
      <w:r>
        <w:t>- Caractéristiques générales</w:t>
      </w:r>
    </w:p>
    <w:p w14:paraId="7B42EF0A" w14:textId="77777777" w:rsidR="004B2808" w:rsidRDefault="00000000">
      <w:r>
        <w:lastRenderedPageBreak/>
        <w:t>Les éléments de remplissage sont des panneaux double face avec une âme isolante et une plaque extérieure en fibres-ciment.</w:t>
      </w:r>
    </w:p>
    <w:p w14:paraId="51D93F5A" w14:textId="77777777" w:rsidR="004B2808" w:rsidRDefault="00000000">
      <w:pPr>
        <w:pStyle w:val="heading"/>
      </w:pPr>
      <w:r>
        <w:t>Spécifications</w:t>
      </w:r>
    </w:p>
    <w:p w14:paraId="16604F1E" w14:textId="77777777" w:rsidR="004B2808" w:rsidRDefault="00000000">
      <w:r>
        <w:t>Epaisseur des plaques : minimum </w:t>
      </w:r>
      <w:r>
        <w:rPr>
          <w:rStyle w:val="optioncarChar"/>
        </w:rPr>
        <w:t>20</w:t>
      </w:r>
      <w:r>
        <w:t> (par défaut)</w:t>
      </w:r>
      <w:r>
        <w:rPr>
          <w:rStyle w:val="optioncarChar"/>
        </w:rPr>
        <w:t xml:space="preserve"> / 30 / 40 / ***</w:t>
      </w:r>
      <w:r>
        <w:t xml:space="preserve"> mm</w:t>
      </w:r>
    </w:p>
    <w:p w14:paraId="07C7E933" w14:textId="77777777" w:rsidR="004B2808" w:rsidRDefault="00000000">
      <w:r>
        <w:t>Nature des plaques de fibres-ciment</w:t>
      </w:r>
    </w:p>
    <w:p w14:paraId="1B49FEF4" w14:textId="77777777" w:rsidR="004B2808" w:rsidRDefault="00000000">
      <w:pPr>
        <w:ind w:left="675"/>
      </w:pPr>
      <w:r>
        <w:t>⇒ Épaisseur nominale : au moins </w:t>
      </w:r>
      <w:r>
        <w:rPr>
          <w:rStyle w:val="optioncarChar"/>
        </w:rPr>
        <w:t>3</w:t>
      </w:r>
      <w:r>
        <w:t xml:space="preserve"> (par défaut) </w:t>
      </w:r>
      <w:r>
        <w:rPr>
          <w:rStyle w:val="optioncarChar"/>
        </w:rPr>
        <w:t>/ 4 / 5 ***</w:t>
      </w:r>
      <w:r>
        <w:t xml:space="preserve"> mm</w:t>
      </w:r>
    </w:p>
    <w:p w14:paraId="00C69DAD" w14:textId="77777777" w:rsidR="004B2808" w:rsidRDefault="00000000">
      <w:pPr>
        <w:ind w:left="675"/>
      </w:pPr>
      <w:r>
        <w:t>⇒ Couleur : </w:t>
      </w:r>
      <w:r>
        <w:rPr>
          <w:rStyle w:val="optioncarChar"/>
        </w:rPr>
        <w:t>à choisir dans la gamme de couleurs standard du fabricant</w:t>
      </w:r>
      <w:r>
        <w:t> (par défaut)</w:t>
      </w:r>
      <w:r>
        <w:rPr>
          <w:rStyle w:val="optioncarChar"/>
        </w:rPr>
        <w:t> / ***</w:t>
      </w:r>
    </w:p>
    <w:p w14:paraId="5E9BB0D1" w14:textId="77777777" w:rsidR="004B2808" w:rsidRDefault="00000000">
      <w:r>
        <w:t xml:space="preserve">Nature de l'âme isolante; les matériaux d'isolation sont décrits dans les articles </w:t>
      </w:r>
      <w:hyperlink w:anchor="73" w:history="1">
        <w:r w:rsidR="004B2808">
          <w:rPr>
            <w:color w:val="0000EE"/>
          </w:rPr>
          <w:t>52.4 Isolation</w:t>
        </w:r>
      </w:hyperlink>
      <w:r>
        <w:t xml:space="preserve"> et suivants :</w:t>
      </w:r>
    </w:p>
    <w:p w14:paraId="15DB19E5" w14:textId="77777777" w:rsidR="004B2808" w:rsidRDefault="00000000">
      <w:pPr>
        <w:ind w:left="675"/>
      </w:pPr>
      <w:r>
        <w:t xml:space="preserve">⇒ Matériau : </w:t>
      </w:r>
      <w:r>
        <w:rPr>
          <w:rStyle w:val="optioncarChar"/>
        </w:rPr>
        <w:t>EPS (polystyrène expansé) </w:t>
      </w:r>
      <w:r>
        <w:t>(par défaut)</w:t>
      </w:r>
      <w:r>
        <w:rPr>
          <w:rStyle w:val="optioncarChar"/>
        </w:rPr>
        <w:t xml:space="preserve"> / XPS (polystyrène extrudé ) / PUR (polyuréthane) / MW (laine minérale) / CG (verre cellulaire) / PF (mousse de phénolformaldéhyde) / PIR (mousse de polyisocyanate) / ciment de laine de bois / magnésite de laine de bois / ***</w:t>
      </w:r>
    </w:p>
    <w:p w14:paraId="117D2E93" w14:textId="77777777" w:rsidR="004B2808" w:rsidRDefault="00000000">
      <w:pPr>
        <w:ind w:left="675"/>
      </w:pPr>
      <w:r>
        <w:t xml:space="preserve">⇒ Valeur Id déclarée : </w:t>
      </w:r>
      <w:r>
        <w:rPr>
          <w:rStyle w:val="optioncarChar"/>
        </w:rPr>
        <w:t>***</w:t>
      </w:r>
      <w:r>
        <w:t xml:space="preserve"> W/mK</w:t>
      </w:r>
    </w:p>
    <w:p w14:paraId="0A7082B7" w14:textId="77777777" w:rsidR="004B2808" w:rsidRDefault="00000000">
      <w:pPr>
        <w:ind w:left="675"/>
      </w:pPr>
      <w:r>
        <w:t xml:space="preserve">⇒ Epaisseur de l'isolation : </w:t>
      </w:r>
      <w:r>
        <w:rPr>
          <w:rStyle w:val="optioncarChar"/>
        </w:rPr>
        <w:t>3 </w:t>
      </w:r>
      <w:r>
        <w:t>(par défaut)</w:t>
      </w:r>
      <w:r>
        <w:rPr>
          <w:rStyle w:val="optioncarChar"/>
        </w:rPr>
        <w:t xml:space="preserve"> / 6 / 10 / 20 / 30 / ***</w:t>
      </w:r>
      <w:r>
        <w:t xml:space="preserve"> mm.</w:t>
      </w:r>
    </w:p>
    <w:p w14:paraId="19535AA2" w14:textId="77777777" w:rsidR="004B2808" w:rsidRDefault="00000000">
      <w:pPr>
        <w:pStyle w:val="pheading"/>
      </w:pPr>
      <w:r>
        <w:t>- Prescriptions complémentaires</w:t>
      </w:r>
    </w:p>
    <w:p w14:paraId="2DC8BC83" w14:textId="77777777" w:rsidR="004B2808" w:rsidRDefault="00000000">
      <w:r>
        <w:t xml:space="preserve">Plaque intérieure : </w:t>
      </w:r>
      <w:r>
        <w:rPr>
          <w:rStyle w:val="optioncarChar"/>
        </w:rPr>
        <w:t xml:space="preserve">fibres-ciment </w:t>
      </w:r>
      <w:r>
        <w:t>(par défaut) </w:t>
      </w:r>
      <w:r>
        <w:rPr>
          <w:rStyle w:val="optioncarChar"/>
        </w:rPr>
        <w:t>/ aluminium / bois / multiplex avec placage / ***.</w:t>
      </w:r>
    </w:p>
    <w:p w14:paraId="08F4C842" w14:textId="77777777" w:rsidR="004B2808" w:rsidRDefault="00000000">
      <w:pPr>
        <w:pStyle w:val="pheading"/>
      </w:pPr>
      <w:r>
        <w:t>EXÉCUTION / MISE EN ŒUVRE</w:t>
      </w:r>
    </w:p>
    <w:p w14:paraId="31B33736" w14:textId="77777777" w:rsidR="004B2808" w:rsidRDefault="00000000">
      <w:pPr>
        <w:pStyle w:val="pheading"/>
      </w:pPr>
      <w:r>
        <w:t>- Prescriptions générales</w:t>
      </w:r>
    </w:p>
    <w:p w14:paraId="4359E50A" w14:textId="77777777" w:rsidR="004B2808" w:rsidRDefault="00000000">
      <w:r>
        <w:t>Les éléments de remplissage sont placés sous vitrage </w:t>
      </w:r>
      <w:r>
        <w:rPr>
          <w:rStyle w:val="optioncarChar"/>
        </w:rPr>
        <w:t>comprimé</w:t>
      </w:r>
      <w:r>
        <w:t xml:space="preserve"> (par défaut)</w:t>
      </w:r>
      <w:r>
        <w:rPr>
          <w:rStyle w:val="optioncarChar"/>
        </w:rPr>
        <w:t> / semi-comprimé / non-comprimé / *** </w:t>
      </w:r>
      <w:r>
        <w:t>.</w:t>
      </w:r>
      <w:r>
        <w:br/>
        <w:t xml:space="preserve">Les éléments de remplissage sont placés dans un système </w:t>
      </w:r>
      <w:r>
        <w:rPr>
          <w:rStyle w:val="optioncarChar"/>
        </w:rPr>
        <w:t>ouvert</w:t>
      </w:r>
      <w:r>
        <w:t> (par défaut)</w:t>
      </w:r>
      <w:r>
        <w:rPr>
          <w:rStyle w:val="optioncarChar"/>
        </w:rPr>
        <w:t xml:space="preserve"> / fermé / ***.</w:t>
      </w:r>
    </w:p>
    <w:p w14:paraId="6AB482FA" w14:textId="77777777" w:rsidR="004B2808" w:rsidRDefault="00000000">
      <w:pPr>
        <w:pStyle w:val="pheading"/>
      </w:pPr>
      <w:r>
        <w:t>MESURAGE</w:t>
      </w:r>
    </w:p>
    <w:p w14:paraId="2A11A290" w14:textId="77777777" w:rsidR="004B2808" w:rsidRDefault="00000000">
      <w:pPr>
        <w:pStyle w:val="pheading"/>
      </w:pPr>
      <w:r>
        <w:t>- unité de mesure:</w:t>
      </w:r>
    </w:p>
    <w:p w14:paraId="01963DD1" w14:textId="77777777" w:rsidR="004B2808" w:rsidRDefault="00000000">
      <w:r>
        <w:rPr>
          <w:rStyle w:val="optioncarChar"/>
        </w:rPr>
        <w:t xml:space="preserve">- </w:t>
      </w:r>
      <w:r>
        <w:t>(par défaut) </w:t>
      </w:r>
      <w:r>
        <w:rPr>
          <w:rStyle w:val="optioncarChar"/>
        </w:rPr>
        <w:t>/ m² / ***</w:t>
      </w:r>
    </w:p>
    <w:p w14:paraId="7BCE23AF" w14:textId="77777777" w:rsidR="004B2808" w:rsidRDefault="00000000">
      <w:pPr>
        <w:pStyle w:val="pheading"/>
      </w:pPr>
      <w:r>
        <w:t>- code de mesurage:</w:t>
      </w:r>
    </w:p>
    <w:p w14:paraId="2E3BE996" w14:textId="77777777" w:rsidR="004B2808" w:rsidRDefault="00000000">
      <w:r>
        <w:t>Choix opéré :</w:t>
      </w:r>
      <w:r>
        <w:rPr>
          <w:rStyle w:val="optioncarChar"/>
          <w:b/>
        </w:rPr>
        <w:t>*** / OPTION 1</w:t>
      </w:r>
      <w:r>
        <w:t> (par défaut)</w:t>
      </w:r>
      <w:r>
        <w:rPr>
          <w:rStyle w:val="optioncarChar"/>
          <w:b/>
        </w:rPr>
        <w:t xml:space="preserve"> / OPTION 2</w:t>
      </w:r>
    </w:p>
    <w:p w14:paraId="4B7CEBFE" w14:textId="77777777" w:rsidR="004B2808"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12765A93" w14:textId="77777777" w:rsidR="004B2808" w:rsidRDefault="00000000">
      <w:pPr>
        <w:pStyle w:val="pheading"/>
      </w:pPr>
      <w:r>
        <w:t>- nature du marché:</w:t>
      </w:r>
    </w:p>
    <w:p w14:paraId="617D7113" w14:textId="77777777" w:rsidR="004B2808" w:rsidRDefault="00000000">
      <w:r>
        <w:rPr>
          <w:rStyle w:val="optioncarChar"/>
        </w:rPr>
        <w:t>PM</w:t>
      </w:r>
      <w:r>
        <w:t xml:space="preserve"> (par défaut)</w:t>
      </w:r>
      <w:r>
        <w:rPr>
          <w:rStyle w:val="optioncarChar"/>
        </w:rPr>
        <w:t> / QF / ***</w:t>
      </w:r>
    </w:p>
    <w:p w14:paraId="2467BE2B" w14:textId="77777777" w:rsidR="004B2808" w:rsidRDefault="00000000">
      <w:pPr>
        <w:pStyle w:val="Author-eSectionHeading4Numberless"/>
      </w:pPr>
      <w:bookmarkStart w:id="1479" w:name="_Toc220491580"/>
      <w:r>
        <w:t>56.32 Eléments de remplissage en panneaux transparents/translucides CCTB 01.02</w:t>
      </w:r>
      <w:bookmarkEnd w:id="1479"/>
    </w:p>
    <w:p w14:paraId="3AF75069" w14:textId="77777777" w:rsidR="004B2808" w:rsidRDefault="00000000">
      <w:pPr>
        <w:pStyle w:val="Author-eSectionHeading5Numberless"/>
      </w:pPr>
      <w:bookmarkStart w:id="1480" w:name="_Toc220491581"/>
      <w:r>
        <w:t>56.32.1 Panneaux translucides/transparents en polycarbonate CCTB 01.02</w:t>
      </w:r>
      <w:bookmarkEnd w:id="1480"/>
    </w:p>
    <w:p w14:paraId="3CD4AF5A" w14:textId="77777777" w:rsidR="004B2808" w:rsidRDefault="00000000">
      <w:pPr>
        <w:pStyle w:val="Author-eSectionHeading6Numberless"/>
      </w:pPr>
      <w:bookmarkStart w:id="1481" w:name="_Toc220491582"/>
      <w:r>
        <w:lastRenderedPageBreak/>
        <w:t>56.32.1a Panneaux translucides/transparents en polycarbonate CCTB 01.02</w:t>
      </w:r>
      <w:bookmarkEnd w:id="1481"/>
    </w:p>
    <w:p w14:paraId="4657D60E" w14:textId="77777777" w:rsidR="004B2808" w:rsidRDefault="00000000">
      <w:pPr>
        <w:pStyle w:val="Author-eSectionHeading5Numberless"/>
      </w:pPr>
      <w:bookmarkStart w:id="1482" w:name="_Toc220491583"/>
      <w:r>
        <w:t>56.32.2 Panneaux translucides/transparents en PMMA CCTB 01.02</w:t>
      </w:r>
      <w:bookmarkEnd w:id="1482"/>
    </w:p>
    <w:p w14:paraId="32BBA011" w14:textId="77777777" w:rsidR="004B2808" w:rsidRDefault="00000000">
      <w:pPr>
        <w:pStyle w:val="Author-eSectionHeading6Numberless"/>
      </w:pPr>
      <w:bookmarkStart w:id="1483" w:name="_Toc220491584"/>
      <w:r>
        <w:t>56.32.2a Panneaux translucides/transparents en PMMA CCTB 01.02</w:t>
      </w:r>
      <w:bookmarkEnd w:id="1483"/>
    </w:p>
    <w:p w14:paraId="62F882DE" w14:textId="77777777" w:rsidR="004B2808" w:rsidRDefault="00000000">
      <w:pPr>
        <w:pStyle w:val="Author-eSectionHeading5Numberless"/>
      </w:pPr>
      <w:bookmarkStart w:id="1484" w:name="_Toc220491585"/>
      <w:r>
        <w:t>56.32.3 Panneaux translucides/transparents en acrylique CCTB 01.02</w:t>
      </w:r>
      <w:bookmarkEnd w:id="1484"/>
    </w:p>
    <w:p w14:paraId="72C15E8E" w14:textId="77777777" w:rsidR="004B2808" w:rsidRDefault="00000000">
      <w:pPr>
        <w:pStyle w:val="Author-eSectionHeading6Numberless"/>
      </w:pPr>
      <w:bookmarkStart w:id="1485" w:name="_Toc220491586"/>
      <w:r>
        <w:t>56.32.3a Panneaux translucides/transparents en acrylique CCTB 01.02</w:t>
      </w:r>
      <w:bookmarkEnd w:id="1485"/>
    </w:p>
    <w:p w14:paraId="7F555A9A" w14:textId="77777777" w:rsidR="004B2808" w:rsidRDefault="00000000">
      <w:pPr>
        <w:pStyle w:val="Author-eSectionHeading5Numberless"/>
      </w:pPr>
      <w:bookmarkStart w:id="1486" w:name="_Toc220491587"/>
      <w:r>
        <w:t>56.32.4 Panneaux translucides/transparents en PVC CCTB 01.02</w:t>
      </w:r>
      <w:bookmarkEnd w:id="1486"/>
    </w:p>
    <w:p w14:paraId="0881D13E" w14:textId="77777777" w:rsidR="004B2808" w:rsidRDefault="00000000">
      <w:pPr>
        <w:pStyle w:val="Author-eSectionHeading6Numberless"/>
      </w:pPr>
      <w:bookmarkStart w:id="1487" w:name="_Toc220491588"/>
      <w:r>
        <w:t>56.32.4a Panneaux translucides/transparents en PVC CCTB 01.10</w:t>
      </w:r>
      <w:bookmarkEnd w:id="1487"/>
    </w:p>
    <w:p w14:paraId="7744DE68" w14:textId="77777777" w:rsidR="004B2808" w:rsidRDefault="00000000">
      <w:pPr>
        <w:pStyle w:val="pheading"/>
      </w:pPr>
      <w:r>
        <w:t>DESCRIPTION</w:t>
      </w:r>
    </w:p>
    <w:p w14:paraId="28154666" w14:textId="77777777" w:rsidR="004B2808" w:rsidRDefault="00000000">
      <w:pPr>
        <w:pStyle w:val="pheading"/>
      </w:pPr>
      <w:r>
        <w:t>- Localisation</w:t>
      </w:r>
    </w:p>
    <w:p w14:paraId="533A9264" w14:textId="77777777" w:rsidR="004B2808" w:rsidRDefault="00000000">
      <w:r>
        <w:t>Les panneaux transparents en matière synthétique sont livrés pour l'exécution du poste :</w:t>
      </w:r>
    </w:p>
    <w:p w14:paraId="090EF048" w14:textId="77777777" w:rsidR="004B2808" w:rsidRDefault="00000000">
      <w:pPr>
        <w:ind w:left="675"/>
      </w:pPr>
      <w:r>
        <w:t xml:space="preserve">⇒      Portes intérieures : à l'article </w:t>
      </w:r>
      <w:hyperlink w:anchor="1374" w:history="1">
        <w:r w:rsidR="004B2808">
          <w:rPr>
            <w:color w:val="0000EE"/>
          </w:rPr>
          <w:t>55.1 Fenêtres intérieures</w:t>
        </w:r>
      </w:hyperlink>
    </w:p>
    <w:p w14:paraId="1D24A77E" w14:textId="77777777" w:rsidR="004B2808" w:rsidRDefault="00000000">
      <w:pPr>
        <w:ind w:left="675"/>
      </w:pPr>
      <w:r>
        <w:t xml:space="preserve">⇒     Fenêtres intérieures : aux articles </w:t>
      </w:r>
      <w:hyperlink w:anchor="1320" w:history="1">
        <w:r w:rsidR="004B2808">
          <w:rPr>
            <w:color w:val="0000EE"/>
          </w:rPr>
          <w:t>55.2 Portes intérieures</w:t>
        </w:r>
      </w:hyperlink>
      <w:r>
        <w:t xml:space="preserve"> et </w:t>
      </w:r>
      <w:hyperlink w:anchor="1375" w:history="1">
        <w:r w:rsidR="004B2808">
          <w:rPr>
            <w:color w:val="0000EE"/>
          </w:rPr>
          <w:t>55.3 Portes intérieures à système</w:t>
        </w:r>
      </w:hyperlink>
      <w:r>
        <w:t> </w:t>
      </w:r>
    </w:p>
    <w:p w14:paraId="223A3C21" w14:textId="77777777" w:rsidR="004B2808" w:rsidRDefault="00000000">
      <w:pPr>
        <w:ind w:left="675"/>
      </w:pPr>
      <w:r>
        <w:t xml:space="preserve">⇒     Grands corps intérieurs: à l'article </w:t>
      </w:r>
      <w:hyperlink w:anchor="1376" w:history="1">
        <w:r w:rsidR="004B2808">
          <w:rPr>
            <w:color w:val="0000EE"/>
          </w:rPr>
          <w:t>57.25.6 Remplissages en matériaux synthétiques</w:t>
        </w:r>
      </w:hyperlink>
    </w:p>
    <w:p w14:paraId="2F219009" w14:textId="77777777" w:rsidR="004B2808" w:rsidRDefault="00000000">
      <w:pPr>
        <w:pStyle w:val="pheading"/>
      </w:pPr>
      <w:r>
        <w:t>MATÉRIAUX</w:t>
      </w:r>
    </w:p>
    <w:p w14:paraId="359F7F23" w14:textId="77777777" w:rsidR="004B2808" w:rsidRDefault="00000000">
      <w:pPr>
        <w:pStyle w:val="pheading"/>
      </w:pPr>
      <w:r>
        <w:t>- Caractéristiques générales</w:t>
      </w:r>
    </w:p>
    <w:p w14:paraId="42DD41B3" w14:textId="77777777" w:rsidR="004B2808" w:rsidRDefault="00000000">
      <w:r>
        <w:t>Le vitrage se compose de panneaux en PVC (chlorure de polyvinyle). Les panneaux cloisonnés avec creux tubulaires sont hermétiquement fermés à l'avance ou au moment de la pose.</w:t>
      </w:r>
    </w:p>
    <w:p w14:paraId="3D2E3DA7" w14:textId="77777777" w:rsidR="004B2808" w:rsidRDefault="00000000">
      <w:pPr>
        <w:pStyle w:val="heading"/>
      </w:pPr>
      <w:r>
        <w:t>Spécifications</w:t>
      </w:r>
    </w:p>
    <w:p w14:paraId="32001067" w14:textId="77777777" w:rsidR="004B2808" w:rsidRDefault="00000000">
      <w:pPr>
        <w:pStyle w:val="Author-eListParagraph"/>
        <w:numPr>
          <w:ilvl w:val="0"/>
          <w:numId w:val="1310"/>
        </w:numPr>
      </w:pPr>
      <w:r>
        <w:t xml:space="preserve">Type : à </w:t>
      </w:r>
      <w:r>
        <w:rPr>
          <w:rStyle w:val="optioncarChar"/>
        </w:rPr>
        <w:t>simple paroi</w:t>
      </w:r>
      <w:r>
        <w:t> (par défaut)</w:t>
      </w:r>
      <w:r>
        <w:rPr>
          <w:rStyle w:val="optioncarChar"/>
        </w:rPr>
        <w:t xml:space="preserve"> / double paroi isolante / triple paroi / ***</w:t>
      </w:r>
    </w:p>
    <w:p w14:paraId="47820600" w14:textId="77777777" w:rsidR="004B2808" w:rsidRDefault="00000000">
      <w:pPr>
        <w:pStyle w:val="Author-eListParagraph"/>
        <w:numPr>
          <w:ilvl w:val="0"/>
          <w:numId w:val="1310"/>
        </w:numPr>
      </w:pPr>
      <w:r>
        <w:t xml:space="preserve">Forme : </w:t>
      </w:r>
      <w:r>
        <w:rPr>
          <w:rStyle w:val="optioncarChar"/>
        </w:rPr>
        <w:t>plat</w:t>
      </w:r>
      <w:r>
        <w:t> (par défaut)</w:t>
      </w:r>
      <w:r>
        <w:rPr>
          <w:rStyle w:val="optioncarChar"/>
        </w:rPr>
        <w:t xml:space="preserve"> / courbé / ***</w:t>
      </w:r>
    </w:p>
    <w:p w14:paraId="622D0BE2" w14:textId="77777777" w:rsidR="004B2808" w:rsidRDefault="00000000">
      <w:pPr>
        <w:pStyle w:val="Author-eListParagraph"/>
        <w:numPr>
          <w:ilvl w:val="0"/>
          <w:numId w:val="1310"/>
        </w:numPr>
      </w:pPr>
      <w:r>
        <w:t>Epaisseur des plaques :</w:t>
      </w:r>
      <w:r>
        <w:rPr>
          <w:rStyle w:val="optioncarChar"/>
        </w:rPr>
        <w:t> 6</w:t>
      </w:r>
      <w:r>
        <w:t> (par défaut)</w:t>
      </w:r>
      <w:r>
        <w:rPr>
          <w:rStyle w:val="optioncarChar"/>
        </w:rPr>
        <w:t xml:space="preserve"> / 10 / 16 / ***</w:t>
      </w:r>
      <w:r>
        <w:t xml:space="preserve"> mm</w:t>
      </w:r>
    </w:p>
    <w:p w14:paraId="752DCDCA" w14:textId="77777777" w:rsidR="004B2808" w:rsidRDefault="00000000">
      <w:pPr>
        <w:pStyle w:val="Author-eListParagraph"/>
        <w:numPr>
          <w:ilvl w:val="0"/>
          <w:numId w:val="1310"/>
        </w:numPr>
      </w:pPr>
      <w:r>
        <w:t xml:space="preserve">Epaisseur du vide : 1 x </w:t>
      </w:r>
      <w:r>
        <w:rPr>
          <w:rStyle w:val="optioncarChar"/>
        </w:rPr>
        <w:t xml:space="preserve">*** </w:t>
      </w:r>
      <w:r>
        <w:t xml:space="preserve">/ 2 x </w:t>
      </w:r>
      <w:r>
        <w:rPr>
          <w:rStyle w:val="optioncarChar"/>
        </w:rPr>
        <w:t xml:space="preserve">*** </w:t>
      </w:r>
      <w:r>
        <w:t>mm</w:t>
      </w:r>
    </w:p>
    <w:p w14:paraId="793CC5C6" w14:textId="77777777" w:rsidR="004B2808" w:rsidRDefault="00000000">
      <w:pPr>
        <w:pStyle w:val="Author-eListParagraph"/>
        <w:numPr>
          <w:ilvl w:val="0"/>
          <w:numId w:val="1310"/>
        </w:numPr>
      </w:pPr>
      <w:r>
        <w:t xml:space="preserve">Composition : les feuilles assemblées sont hermétiquement fermées et remplies d'air déshydraté. Elles obtiennent une valeur k de maximum </w:t>
      </w:r>
      <w:r>
        <w:rPr>
          <w:rStyle w:val="optioncarChar"/>
        </w:rPr>
        <w:t>2,4 (double paroi)</w:t>
      </w:r>
      <w:r>
        <w:t> (par défaut)</w:t>
      </w:r>
      <w:r>
        <w:rPr>
          <w:rStyle w:val="optioncarChar"/>
        </w:rPr>
        <w:t xml:space="preserve"> / 2,8 (triple paroi) / *** </w:t>
      </w:r>
      <w:r>
        <w:t>W/m²K.</w:t>
      </w:r>
    </w:p>
    <w:p w14:paraId="2B7C45D3" w14:textId="77777777" w:rsidR="004B2808" w:rsidRDefault="00000000">
      <w:pPr>
        <w:pStyle w:val="Author-eListParagraph"/>
        <w:numPr>
          <w:ilvl w:val="0"/>
          <w:numId w:val="1310"/>
        </w:numPr>
      </w:pPr>
      <w:r>
        <w:t>Traitement de la surface : la couche de finition est un filtre UV.</w:t>
      </w:r>
    </w:p>
    <w:p w14:paraId="598F8418" w14:textId="77777777" w:rsidR="004B2808" w:rsidRDefault="00000000">
      <w:pPr>
        <w:pStyle w:val="Author-eListParagraph"/>
        <w:numPr>
          <w:ilvl w:val="0"/>
          <w:numId w:val="1310"/>
        </w:numPr>
      </w:pPr>
      <w:r>
        <w:t xml:space="preserve">Couleur : </w:t>
      </w:r>
      <w:r>
        <w:rPr>
          <w:rStyle w:val="optioncarChar"/>
        </w:rPr>
        <w:t>claire </w:t>
      </w:r>
      <w:r>
        <w:t>(par défaut)</w:t>
      </w:r>
      <w:r>
        <w:rPr>
          <w:rStyle w:val="optioncarChar"/>
        </w:rPr>
        <w:t xml:space="preserve"> / opale / ***</w:t>
      </w:r>
    </w:p>
    <w:p w14:paraId="71CB81C1" w14:textId="77777777" w:rsidR="004B2808" w:rsidRDefault="00000000">
      <w:pPr>
        <w:pStyle w:val="Author-eListParagraph"/>
        <w:numPr>
          <w:ilvl w:val="0"/>
          <w:numId w:val="1310"/>
        </w:numPr>
      </w:pPr>
      <w:r>
        <w:t xml:space="preserve">Transmission lumineuse des plaques : minimum </w:t>
      </w:r>
      <w:r>
        <w:rPr>
          <w:rStyle w:val="optioncarChar"/>
        </w:rPr>
        <w:t>85</w:t>
      </w:r>
      <w:r>
        <w:t> (par défaut)</w:t>
      </w:r>
      <w:r>
        <w:rPr>
          <w:rStyle w:val="optioncarChar"/>
        </w:rPr>
        <w:t xml:space="preserve"> / 90 / *** </w:t>
      </w:r>
      <w:r>
        <w:t>%.</w:t>
      </w:r>
    </w:p>
    <w:p w14:paraId="273DBEAD" w14:textId="77777777" w:rsidR="004B2808" w:rsidRDefault="00000000">
      <w:pPr>
        <w:pStyle w:val="pheading"/>
      </w:pPr>
      <w:r>
        <w:t>MESURAGE</w:t>
      </w:r>
    </w:p>
    <w:p w14:paraId="06C8CC8A" w14:textId="77777777" w:rsidR="004B2808" w:rsidRDefault="00000000">
      <w:pPr>
        <w:pStyle w:val="pheading"/>
      </w:pPr>
      <w:r>
        <w:t>- unité de mesure:</w:t>
      </w:r>
    </w:p>
    <w:p w14:paraId="605B8DDE" w14:textId="77777777" w:rsidR="004B2808" w:rsidRDefault="00000000">
      <w:r>
        <w:rPr>
          <w:rStyle w:val="optioncarChar"/>
        </w:rPr>
        <w:t xml:space="preserve">*** / m²  </w:t>
      </w:r>
    </w:p>
    <w:p w14:paraId="335E5F48" w14:textId="77777777" w:rsidR="004B2808" w:rsidRDefault="00000000">
      <w:pPr>
        <w:pStyle w:val="pheading"/>
      </w:pPr>
      <w:r>
        <w:t>- code de mesurage:</w:t>
      </w:r>
    </w:p>
    <w:p w14:paraId="467A1AA2" w14:textId="77777777" w:rsidR="004B2808" w:rsidRDefault="00000000">
      <w:r>
        <w:t>Choix opéré :</w:t>
      </w:r>
      <w:r>
        <w:rPr>
          <w:rStyle w:val="optioncarChar"/>
          <w:b/>
        </w:rPr>
        <w:t>*** / OPTION 1</w:t>
      </w:r>
      <w:r>
        <w:t xml:space="preserve"> (par défaut) </w:t>
      </w:r>
      <w:r>
        <w:rPr>
          <w:rStyle w:val="optioncarChar"/>
          <w:b/>
        </w:rPr>
        <w:t>/ OPTION 2</w:t>
      </w:r>
    </w:p>
    <w:p w14:paraId="555C8BA5" w14:textId="77777777" w:rsidR="004B2808"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w:t>
      </w:r>
      <w:r>
        <w:lastRenderedPageBreak/>
        <w:t>superficies inférieures à 0,25m² sont comptées pour 0,25m². Les vitres non rectangulaires sont mesurées en fonction de la superficie du plus petit rectangle circonscrit.</w:t>
      </w:r>
    </w:p>
    <w:p w14:paraId="5A662E21" w14:textId="77777777" w:rsidR="004B2808" w:rsidRDefault="00000000">
      <w:pPr>
        <w:pStyle w:val="pheading"/>
      </w:pPr>
      <w:r>
        <w:t>- nature du marché:</w:t>
      </w:r>
    </w:p>
    <w:p w14:paraId="1D048520" w14:textId="77777777" w:rsidR="004B2808" w:rsidRDefault="00000000">
      <w:r>
        <w:rPr>
          <w:rStyle w:val="optioncarChar"/>
        </w:rPr>
        <w:t>PM </w:t>
      </w:r>
      <w:r>
        <w:t>(par défaut)</w:t>
      </w:r>
      <w:r>
        <w:rPr>
          <w:rStyle w:val="optioncarChar"/>
        </w:rPr>
        <w:t xml:space="preserve"> / QF/ ***</w:t>
      </w:r>
    </w:p>
    <w:p w14:paraId="5173EDFF" w14:textId="77777777" w:rsidR="004B2808" w:rsidRDefault="00000000">
      <w:pPr>
        <w:pStyle w:val="Author-eSectionHeading4Numberless"/>
      </w:pPr>
      <w:bookmarkStart w:id="1488" w:name="_Toc220491589"/>
      <w:r>
        <w:t>56.33 Eléments de remplissage en panneaux opaques CCTB 01.02</w:t>
      </w:r>
      <w:bookmarkEnd w:id="1488"/>
    </w:p>
    <w:p w14:paraId="677E3384" w14:textId="77777777" w:rsidR="004B2808" w:rsidRDefault="00000000">
      <w:pPr>
        <w:pStyle w:val="Author-eSectionHeading5Numberless"/>
      </w:pPr>
      <w:bookmarkStart w:id="1489" w:name="_Toc220491590"/>
      <w:r>
        <w:t>56.33.1 Eléments de remplissage en panneaux en bois CCTB 01.02</w:t>
      </w:r>
      <w:bookmarkEnd w:id="1489"/>
    </w:p>
    <w:p w14:paraId="6F8B2DA9" w14:textId="77777777" w:rsidR="004B2808" w:rsidRDefault="00000000">
      <w:pPr>
        <w:pStyle w:val="Author-eSectionHeading6Numberless"/>
      </w:pPr>
      <w:bookmarkStart w:id="1490" w:name="_Toc220491591"/>
      <w:r>
        <w:t>56.33.1a Eléments de remplissage en panneaux en bois CCTB 01.10</w:t>
      </w:r>
      <w:bookmarkEnd w:id="1490"/>
    </w:p>
    <w:p w14:paraId="49639D03" w14:textId="77777777" w:rsidR="004B2808" w:rsidRDefault="00000000">
      <w:pPr>
        <w:pStyle w:val="pheading"/>
      </w:pPr>
      <w:r>
        <w:t>MATÉRIAUX</w:t>
      </w:r>
    </w:p>
    <w:p w14:paraId="0D8B563B" w14:textId="77777777" w:rsidR="004B2808" w:rsidRDefault="00000000">
      <w:pPr>
        <w:pStyle w:val="pheading"/>
      </w:pPr>
      <w:r>
        <w:t>- Caractéristiques générales</w:t>
      </w:r>
    </w:p>
    <w:p w14:paraId="3577DC9E" w14:textId="77777777" w:rsidR="004B2808" w:rsidRDefault="00000000">
      <w:r>
        <w:rPr>
          <w:b/>
          <w:sz w:val="24"/>
        </w:rPr>
        <w:t>Matériau bois - contre-plaqué</w:t>
      </w:r>
    </w:p>
    <w:p w14:paraId="5257624E" w14:textId="77777777" w:rsidR="004B2808" w:rsidRDefault="00000000">
      <w:r>
        <w:t>Les éléments de remplissage sont des plaques de contreplaqué à une seule face, convenant pour</w:t>
      </w:r>
      <w:r>
        <w:rPr>
          <w:rStyle w:val="optioncarChar"/>
        </w:rPr>
        <w:t> la classe d'utilisation II - Humide - usage intérieur</w:t>
      </w:r>
      <w:r>
        <w:t xml:space="preserve"> (par défaut)</w:t>
      </w:r>
      <w:r>
        <w:rPr>
          <w:rStyle w:val="optioncarChar"/>
        </w:rPr>
        <w:t> / ***</w:t>
      </w:r>
      <w:r>
        <w:t xml:space="preserve"> (selon la norme [CEN/TS 635-4] ). Les panneaux de contre-plaqué répondent à la norme [NBN EN 636+A1]</w:t>
      </w:r>
    </w:p>
    <w:p w14:paraId="7D631A0E" w14:textId="77777777" w:rsidR="004B2808" w:rsidRDefault="00000000">
      <w:pPr>
        <w:pStyle w:val="heading"/>
      </w:pPr>
      <w:r>
        <w:t>Spécifications</w:t>
      </w:r>
    </w:p>
    <w:p w14:paraId="5DEB957A" w14:textId="77777777" w:rsidR="004B2808" w:rsidRDefault="00000000">
      <w:pPr>
        <w:pStyle w:val="Author-eListParagraph"/>
        <w:numPr>
          <w:ilvl w:val="0"/>
          <w:numId w:val="1311"/>
        </w:numPr>
      </w:pPr>
      <w:r>
        <w:t xml:space="preserve">Nature des plaques de contreplaqué : </w:t>
      </w:r>
    </w:p>
    <w:p w14:paraId="31D2560B" w14:textId="77777777" w:rsidR="004B2808" w:rsidRDefault="00000000">
      <w:pPr>
        <w:pStyle w:val="Author-eListParagraph"/>
        <w:numPr>
          <w:ilvl w:val="1"/>
          <w:numId w:val="1312"/>
        </w:numPr>
      </w:pPr>
      <w:r>
        <w:t xml:space="preserve">Composition symétrique sur la base d'au moins </w:t>
      </w:r>
      <w:r>
        <w:rPr>
          <w:rStyle w:val="optioncarChar"/>
        </w:rPr>
        <w:t>3</w:t>
      </w:r>
      <w:r>
        <w:t xml:space="preserve"> (par défaut) </w:t>
      </w:r>
      <w:r>
        <w:rPr>
          <w:rStyle w:val="optioncarChar"/>
        </w:rPr>
        <w:t>/ 5 / 7 / ***</w:t>
      </w:r>
      <w:r>
        <w:t xml:space="preserve"> couches de placage.</w:t>
      </w:r>
    </w:p>
    <w:p w14:paraId="6D3BACF9" w14:textId="77777777" w:rsidR="004B2808" w:rsidRDefault="00000000">
      <w:pPr>
        <w:pStyle w:val="Author-eListParagraph"/>
        <w:numPr>
          <w:ilvl w:val="1"/>
          <w:numId w:val="1312"/>
        </w:numPr>
      </w:pPr>
      <w:r>
        <w:t>Epaisseur des plaques :</w:t>
      </w:r>
      <w:r>
        <w:rPr>
          <w:rStyle w:val="optioncarChar"/>
        </w:rPr>
        <w:t xml:space="preserve"> 8 </w:t>
      </w:r>
      <w:r>
        <w:t>(par défaut) </w:t>
      </w:r>
      <w:r>
        <w:rPr>
          <w:rStyle w:val="optioncarChar"/>
        </w:rPr>
        <w:t>/ 10 / 12 / 15 / 18 / ***</w:t>
      </w:r>
      <w:r>
        <w:t xml:space="preserve"> mm.</w:t>
      </w:r>
    </w:p>
    <w:p w14:paraId="2567C984" w14:textId="77777777" w:rsidR="004B2808" w:rsidRDefault="00000000">
      <w:pPr>
        <w:pStyle w:val="Author-eListParagraph"/>
        <w:numPr>
          <w:ilvl w:val="1"/>
          <w:numId w:val="1312"/>
        </w:numPr>
      </w:pPr>
      <w:r>
        <w:t xml:space="preserve">Essence des couches de placage : </w:t>
      </w:r>
      <w:r>
        <w:rPr>
          <w:rStyle w:val="optioncarChar"/>
        </w:rPr>
        <w:t>à choisir dans la gamme complète du fabricant </w:t>
      </w:r>
      <w:r>
        <w:t>(par défaut)</w:t>
      </w:r>
      <w:r>
        <w:rPr>
          <w:rStyle w:val="optioncarChar"/>
        </w:rPr>
        <w:t> / *** </w:t>
      </w:r>
      <w:r>
        <w:t>.</w:t>
      </w:r>
    </w:p>
    <w:p w14:paraId="19AA8693" w14:textId="77777777" w:rsidR="004B2808" w:rsidRDefault="00000000">
      <w:pPr>
        <w:pStyle w:val="Author-eListParagraph"/>
        <w:numPr>
          <w:ilvl w:val="1"/>
          <w:numId w:val="1312"/>
        </w:numPr>
      </w:pPr>
      <w:r>
        <w:t>Placage: qualité A.</w:t>
      </w:r>
    </w:p>
    <w:p w14:paraId="3DF98307" w14:textId="77777777" w:rsidR="004B2808" w:rsidRDefault="00000000">
      <w:pPr>
        <w:pStyle w:val="Author-eListParagraph"/>
        <w:numPr>
          <w:ilvl w:val="1"/>
          <w:numId w:val="1312"/>
        </w:numPr>
      </w:pPr>
      <w:r>
        <w:t xml:space="preserve">Masse volumique : minimum </w:t>
      </w:r>
      <w:r>
        <w:rPr>
          <w:rStyle w:val="optioncarChar"/>
        </w:rPr>
        <w:t>520</w:t>
      </w:r>
      <w:r>
        <w:t>  (par défaut)</w:t>
      </w:r>
      <w:r>
        <w:rPr>
          <w:rStyle w:val="optioncarChar"/>
        </w:rPr>
        <w:t> / ***</w:t>
      </w:r>
      <w:r>
        <w:t>  kg/m³.</w:t>
      </w:r>
    </w:p>
    <w:p w14:paraId="28248447" w14:textId="77777777" w:rsidR="004B2808" w:rsidRDefault="00000000">
      <w:pPr>
        <w:pStyle w:val="Author-eListParagraph"/>
        <w:numPr>
          <w:ilvl w:val="1"/>
          <w:numId w:val="1312"/>
        </w:numPr>
      </w:pPr>
      <w:r>
        <w:t>Qualité de l'encollage :</w:t>
      </w:r>
      <w:r>
        <w:rPr>
          <w:rStyle w:val="optioncarChar"/>
        </w:rPr>
        <w:t> 03-67 climat intérieur humide</w:t>
      </w:r>
      <w:r>
        <w:t xml:space="preserve"> (par défaut)</w:t>
      </w:r>
      <w:r>
        <w:rPr>
          <w:rStyle w:val="optioncarChar"/>
        </w:rPr>
        <w:t xml:space="preserve"> / 03-100 climat extérieur - exposition limitée / 72-100 climat extérieur - exposition permanente </w:t>
      </w:r>
      <w:r>
        <w:t xml:space="preserve">. Soit la classe de colle </w:t>
      </w:r>
      <w:r>
        <w:rPr>
          <w:rStyle w:val="optioncarChar"/>
        </w:rPr>
        <w:t>1 </w:t>
      </w:r>
      <w:r>
        <w:t>(par défaut)</w:t>
      </w:r>
      <w:r>
        <w:rPr>
          <w:rStyle w:val="optioncarChar"/>
        </w:rPr>
        <w:t xml:space="preserve"> / 2 / 3</w:t>
      </w:r>
      <w:r>
        <w:t xml:space="preserve"> selon la norme [NBN EN 314-2] .</w:t>
      </w:r>
    </w:p>
    <w:p w14:paraId="1BF35E61" w14:textId="77777777" w:rsidR="004B2808" w:rsidRDefault="00000000">
      <w:pPr>
        <w:pStyle w:val="Author-eListParagraph"/>
        <w:numPr>
          <w:ilvl w:val="1"/>
          <w:numId w:val="1312"/>
        </w:numPr>
      </w:pPr>
      <w:r>
        <w:t>Taux d'humidité à la livraison env. 10 %.</w:t>
      </w:r>
    </w:p>
    <w:p w14:paraId="627866C2" w14:textId="77777777" w:rsidR="004B2808" w:rsidRDefault="00000000">
      <w:pPr>
        <w:pStyle w:val="Author-eListParagraph"/>
        <w:numPr>
          <w:ilvl w:val="0"/>
          <w:numId w:val="1311"/>
        </w:numPr>
      </w:pPr>
      <w:r>
        <w:t xml:space="preserve">Nature de la couche de finition : </w:t>
      </w:r>
    </w:p>
    <w:p w14:paraId="400B112B" w14:textId="77777777" w:rsidR="004B2808" w:rsidRDefault="00000000">
      <w:pPr>
        <w:pStyle w:val="Author-eListParagraph"/>
        <w:numPr>
          <w:ilvl w:val="1"/>
          <w:numId w:val="1313"/>
        </w:numPr>
      </w:pPr>
      <w:r>
        <w:t>Essence :</w:t>
      </w:r>
      <w:r>
        <w:rPr>
          <w:rStyle w:val="optioncarChar"/>
        </w:rPr>
        <w:t> à choisir dans la gamme complète du fabricant</w:t>
      </w:r>
      <w:r>
        <w:t> (par défaut)</w:t>
      </w:r>
      <w:r>
        <w:rPr>
          <w:rStyle w:val="optioncarChar"/>
        </w:rPr>
        <w:t> / *** </w:t>
      </w:r>
      <w:r>
        <w:t>.</w:t>
      </w:r>
    </w:p>
    <w:p w14:paraId="039E7FA8" w14:textId="77777777" w:rsidR="004B2808" w:rsidRDefault="00000000">
      <w:pPr>
        <w:pStyle w:val="Author-eListParagraph"/>
        <w:numPr>
          <w:ilvl w:val="1"/>
          <w:numId w:val="1313"/>
        </w:numPr>
      </w:pPr>
      <w:r>
        <w:t xml:space="preserve">Texture : </w:t>
      </w:r>
      <w:r>
        <w:rPr>
          <w:rStyle w:val="optioncarChar"/>
        </w:rPr>
        <w:t>***</w:t>
      </w:r>
    </w:p>
    <w:p w14:paraId="72940C1F" w14:textId="77777777" w:rsidR="004B2808" w:rsidRDefault="00000000">
      <w:pPr>
        <w:pStyle w:val="Author-eListParagraph"/>
        <w:numPr>
          <w:ilvl w:val="1"/>
          <w:numId w:val="1313"/>
        </w:numPr>
      </w:pPr>
      <w:r>
        <w:t xml:space="preserve">Traitement de la surface : </w:t>
      </w:r>
      <w:r>
        <w:rPr>
          <w:rStyle w:val="optioncarChar"/>
        </w:rPr>
        <w:t>non laquée</w:t>
      </w:r>
      <w:r>
        <w:t> (par défaut)</w:t>
      </w:r>
      <w:r>
        <w:rPr>
          <w:rStyle w:val="optioncarChar"/>
        </w:rPr>
        <w:t xml:space="preserve"> / laque UV-polyacrylique / teintée / une face revêtue d'une couche de finition à peindre / ***</w:t>
      </w:r>
    </w:p>
    <w:p w14:paraId="34A1F507" w14:textId="77777777" w:rsidR="004B2808" w:rsidRDefault="00000000">
      <w:pPr>
        <w:pStyle w:val="Author-eListParagraph"/>
        <w:numPr>
          <w:ilvl w:val="1"/>
          <w:numId w:val="1313"/>
        </w:numPr>
      </w:pPr>
      <w:r>
        <w:t xml:space="preserve">Epaisseur de la couche de finition : </w:t>
      </w:r>
      <w:r>
        <w:rPr>
          <w:rStyle w:val="optioncarChar"/>
        </w:rPr>
        <w:t>100</w:t>
      </w:r>
      <w:r>
        <w:t> (par défaut)</w:t>
      </w:r>
      <w:r>
        <w:rPr>
          <w:rStyle w:val="optioncarChar"/>
        </w:rPr>
        <w:t> / ***</w:t>
      </w:r>
      <w:r>
        <w:t> µ.</w:t>
      </w:r>
    </w:p>
    <w:p w14:paraId="4441D972" w14:textId="77777777" w:rsidR="004B2808" w:rsidRDefault="00000000">
      <w:pPr>
        <w:pStyle w:val="Author-eListParagraph"/>
        <w:numPr>
          <w:ilvl w:val="1"/>
          <w:numId w:val="1313"/>
        </w:numPr>
      </w:pPr>
      <w:r>
        <w:t>Laque : couvrante / transparente</w:t>
      </w:r>
    </w:p>
    <w:p w14:paraId="2D3FC454" w14:textId="77777777" w:rsidR="004B2808" w:rsidRDefault="00000000">
      <w:pPr>
        <w:pStyle w:val="Author-eListParagraph"/>
        <w:numPr>
          <w:ilvl w:val="1"/>
          <w:numId w:val="1313"/>
        </w:numPr>
      </w:pPr>
      <w:r>
        <w:t>Coloris :</w:t>
      </w:r>
      <w:r>
        <w:rPr>
          <w:rStyle w:val="optioncarChar"/>
        </w:rPr>
        <w:t> à choisir dans la gamme complète du fabricant</w:t>
      </w:r>
      <w:r>
        <w:t>  (par défaut)</w:t>
      </w:r>
      <w:r>
        <w:rPr>
          <w:rStyle w:val="optioncarChar"/>
        </w:rPr>
        <w:t> / Couleur RAL n° *** / ***</w:t>
      </w:r>
    </w:p>
    <w:p w14:paraId="025BA329" w14:textId="77777777" w:rsidR="004B2808" w:rsidRDefault="00000000">
      <w:r>
        <w:rPr>
          <w:b/>
          <w:sz w:val="24"/>
        </w:rPr>
        <w:t>Matériau bois - MDF</w:t>
      </w:r>
    </w:p>
    <w:p w14:paraId="108F0ACE" w14:textId="77777777" w:rsidR="004B2808" w:rsidRDefault="00000000">
      <w:r>
        <w:rPr>
          <w:rStyle w:val="optioncarChar"/>
        </w:rPr>
        <w:t xml:space="preserve">MDF (Medium Density Fiberboard) </w:t>
      </w:r>
      <w:r>
        <w:t>(par défaut) </w:t>
      </w:r>
      <w:r>
        <w:rPr>
          <w:rStyle w:val="optioncarChar"/>
        </w:rPr>
        <w:t xml:space="preserve">/ MDF.LA / MDF.H / MDF.HLS / *** </w:t>
      </w:r>
      <w:r>
        <w:t>selon la norme [NBN EN 622-5]. </w:t>
      </w:r>
    </w:p>
    <w:p w14:paraId="5A9E2913" w14:textId="77777777" w:rsidR="004B2808" w:rsidRDefault="00000000">
      <w:pPr>
        <w:pStyle w:val="heading"/>
      </w:pPr>
      <w:r>
        <w:t>Spécifications</w:t>
      </w:r>
    </w:p>
    <w:p w14:paraId="009A9D24" w14:textId="77777777" w:rsidR="004B2808" w:rsidRDefault="00000000">
      <w:pPr>
        <w:pStyle w:val="Author-eListParagraph"/>
        <w:numPr>
          <w:ilvl w:val="0"/>
          <w:numId w:val="1314"/>
        </w:numPr>
      </w:pPr>
      <w:r>
        <w:t xml:space="preserve">Epaisseur des plaques : minimum </w:t>
      </w:r>
      <w:r>
        <w:rPr>
          <w:rStyle w:val="optioncarChar"/>
        </w:rPr>
        <w:t>12</w:t>
      </w:r>
      <w:r>
        <w:t> (par défaut)</w:t>
      </w:r>
      <w:r>
        <w:rPr>
          <w:rStyle w:val="optioncarChar"/>
        </w:rPr>
        <w:t xml:space="preserve"> / 15 / 18 / 20 / 22 / *** </w:t>
      </w:r>
      <w:r>
        <w:t>mm</w:t>
      </w:r>
    </w:p>
    <w:p w14:paraId="468B1C62" w14:textId="77777777" w:rsidR="004B2808" w:rsidRDefault="00000000">
      <w:pPr>
        <w:pStyle w:val="Author-eListParagraph"/>
        <w:numPr>
          <w:ilvl w:val="0"/>
          <w:numId w:val="1314"/>
        </w:numPr>
      </w:pPr>
      <w:r>
        <w:t xml:space="preserve">Masse volumique : minimum </w:t>
      </w:r>
      <w:r>
        <w:rPr>
          <w:rStyle w:val="optioncarChar"/>
        </w:rPr>
        <w:t>600</w:t>
      </w:r>
      <w:r>
        <w:t> (par défaut)</w:t>
      </w:r>
      <w:r>
        <w:rPr>
          <w:rStyle w:val="optioncarChar"/>
        </w:rPr>
        <w:t xml:space="preserve"> / 700 / 800 / ***</w:t>
      </w:r>
      <w:r>
        <w:t xml:space="preserve"> kg/m³</w:t>
      </w:r>
    </w:p>
    <w:p w14:paraId="61CCBF2E" w14:textId="77777777" w:rsidR="004B2808" w:rsidRDefault="00000000">
      <w:pPr>
        <w:pStyle w:val="Author-eListParagraph"/>
        <w:numPr>
          <w:ilvl w:val="0"/>
          <w:numId w:val="1314"/>
        </w:numPr>
      </w:pPr>
      <w:r>
        <w:t xml:space="preserve">Traitement de surface : </w:t>
      </w:r>
      <w:r>
        <w:rPr>
          <w:rStyle w:val="optioncarChar"/>
        </w:rPr>
        <w:t>non traitée</w:t>
      </w:r>
      <w:r>
        <w:t> (par défaut) </w:t>
      </w:r>
      <w:r>
        <w:rPr>
          <w:rStyle w:val="optioncarChar"/>
        </w:rPr>
        <w:t>/ deux couches de vernis selon l'article *** / une face revêtue d'une couche de finition à peindre / ***</w:t>
      </w:r>
    </w:p>
    <w:p w14:paraId="06CF3C61" w14:textId="77777777" w:rsidR="004B2808" w:rsidRDefault="00000000">
      <w:pPr>
        <w:pStyle w:val="Author-eListParagraph"/>
        <w:numPr>
          <w:ilvl w:val="1"/>
          <w:numId w:val="1315"/>
        </w:numPr>
      </w:pPr>
      <w:r>
        <w:t xml:space="preserve">Epaisseur de la couche de finition : </w:t>
      </w:r>
      <w:r>
        <w:rPr>
          <w:rStyle w:val="optioncarChar"/>
        </w:rPr>
        <w:t>100  </w:t>
      </w:r>
      <w:r>
        <w:t>(par défaut)</w:t>
      </w:r>
      <w:r>
        <w:rPr>
          <w:rStyle w:val="optioncarChar"/>
        </w:rPr>
        <w:t> / *** </w:t>
      </w:r>
      <w:r>
        <w:t xml:space="preserve"> µ.</w:t>
      </w:r>
    </w:p>
    <w:p w14:paraId="574C0198" w14:textId="77777777" w:rsidR="004B2808" w:rsidRDefault="00000000">
      <w:pPr>
        <w:pStyle w:val="Author-eListParagraph"/>
        <w:numPr>
          <w:ilvl w:val="1"/>
          <w:numId w:val="1315"/>
        </w:numPr>
      </w:pPr>
      <w:r>
        <w:t xml:space="preserve">Laque : </w:t>
      </w:r>
      <w:r>
        <w:rPr>
          <w:rStyle w:val="optioncarChar"/>
        </w:rPr>
        <w:t>couvrante </w:t>
      </w:r>
      <w:r>
        <w:t>(par défaut)</w:t>
      </w:r>
      <w:r>
        <w:rPr>
          <w:rStyle w:val="optioncarChar"/>
        </w:rPr>
        <w:t xml:space="preserve"> / transparente</w:t>
      </w:r>
    </w:p>
    <w:p w14:paraId="19E61271" w14:textId="77777777" w:rsidR="004B2808" w:rsidRDefault="00000000">
      <w:pPr>
        <w:pStyle w:val="Author-eListParagraph"/>
        <w:numPr>
          <w:ilvl w:val="1"/>
          <w:numId w:val="1315"/>
        </w:numPr>
      </w:pPr>
      <w:r>
        <w:lastRenderedPageBreak/>
        <w:t xml:space="preserve">Coloris : </w:t>
      </w:r>
      <w:r>
        <w:rPr>
          <w:rStyle w:val="optioncarChar"/>
        </w:rPr>
        <w:t>à choisir dans la gamme complète du fabricant </w:t>
      </w:r>
      <w:r>
        <w:t>(par défaut)</w:t>
      </w:r>
      <w:r>
        <w:rPr>
          <w:rStyle w:val="optioncarChar"/>
        </w:rPr>
        <w:t xml:space="preserve"> / couleur RAL n° *** / ***</w:t>
      </w:r>
    </w:p>
    <w:p w14:paraId="2A5E33F2" w14:textId="77777777" w:rsidR="004B2808" w:rsidRDefault="00000000">
      <w:r>
        <w:rPr>
          <w:b/>
          <w:sz w:val="24"/>
        </w:rPr>
        <w:t>Matériau bois - Panneaux de particules</w:t>
      </w:r>
    </w:p>
    <w:p w14:paraId="7AFB9BE9" w14:textId="77777777" w:rsidR="004B2808" w:rsidRDefault="00000000">
      <w:r>
        <w:rPr>
          <w:rStyle w:val="optioncarChar"/>
        </w:rPr>
        <w:t>P2 </w:t>
      </w:r>
      <w:r>
        <w:t>(par défaut)</w:t>
      </w:r>
      <w:r>
        <w:rPr>
          <w:rStyle w:val="optioncarChar"/>
        </w:rPr>
        <w:t xml:space="preserve"> / P3 / P4 / P5 / P6 / P7 / ***</w:t>
      </w:r>
      <w:r>
        <w:t xml:space="preserve"> selon la norme [NBN EN 312].</w:t>
      </w:r>
    </w:p>
    <w:p w14:paraId="2199210C" w14:textId="77777777" w:rsidR="004B2808" w:rsidRDefault="00000000">
      <w:pPr>
        <w:pStyle w:val="heading"/>
      </w:pPr>
      <w:r>
        <w:t>Spécifications</w:t>
      </w:r>
    </w:p>
    <w:p w14:paraId="0A959650" w14:textId="77777777" w:rsidR="004B2808" w:rsidRDefault="00000000">
      <w:pPr>
        <w:pStyle w:val="Author-eListParagraph"/>
        <w:numPr>
          <w:ilvl w:val="0"/>
          <w:numId w:val="1316"/>
        </w:numPr>
      </w:pPr>
      <w:r>
        <w:t xml:space="preserve">Epaisseur des plaques : minimum </w:t>
      </w:r>
      <w:r>
        <w:rPr>
          <w:rStyle w:val="optioncarChar"/>
        </w:rPr>
        <w:t>12</w:t>
      </w:r>
      <w:r>
        <w:t xml:space="preserve"> (par défaut) </w:t>
      </w:r>
      <w:r>
        <w:rPr>
          <w:rStyle w:val="optioncarChar"/>
        </w:rPr>
        <w:t xml:space="preserve">/ 15 / 18 / *** </w:t>
      </w:r>
      <w:r>
        <w:t>mm</w:t>
      </w:r>
    </w:p>
    <w:p w14:paraId="27B44372" w14:textId="77777777" w:rsidR="004B2808" w:rsidRDefault="00000000">
      <w:pPr>
        <w:pStyle w:val="Author-eListParagraph"/>
        <w:numPr>
          <w:ilvl w:val="0"/>
          <w:numId w:val="1316"/>
        </w:numPr>
      </w:pPr>
      <w:r>
        <w:t xml:space="preserve">Masse volumique : minimum </w:t>
      </w:r>
      <w:r>
        <w:rPr>
          <w:rStyle w:val="optioncarChar"/>
        </w:rPr>
        <w:t>400 </w:t>
      </w:r>
      <w:r>
        <w:t>(par défaut)</w:t>
      </w:r>
      <w:r>
        <w:rPr>
          <w:rStyle w:val="optioncarChar"/>
        </w:rPr>
        <w:t xml:space="preserve"> / 500 / *** </w:t>
      </w:r>
      <w:r>
        <w:t>kg/m³</w:t>
      </w:r>
    </w:p>
    <w:p w14:paraId="498C31B9" w14:textId="77777777" w:rsidR="004B2808" w:rsidRDefault="00000000">
      <w:pPr>
        <w:pStyle w:val="Author-eListParagraph"/>
        <w:numPr>
          <w:ilvl w:val="0"/>
          <w:numId w:val="1316"/>
        </w:numPr>
      </w:pPr>
      <w:r>
        <w:t>Traitement de surface :</w:t>
      </w:r>
      <w:r>
        <w:rPr>
          <w:rStyle w:val="optioncarChar"/>
        </w:rPr>
        <w:t> non traitée</w:t>
      </w:r>
      <w:r>
        <w:t> (par défaut)</w:t>
      </w:r>
      <w:r>
        <w:rPr>
          <w:rStyle w:val="optioncarChar"/>
        </w:rPr>
        <w:t xml:space="preserve"> / deux couches de vernis selon l'article *** / une face revêtue d'une couche de finition à peindre / ***</w:t>
      </w:r>
    </w:p>
    <w:p w14:paraId="225C60B9" w14:textId="77777777" w:rsidR="004B2808" w:rsidRDefault="00000000">
      <w:pPr>
        <w:pStyle w:val="Author-eListParagraph"/>
        <w:numPr>
          <w:ilvl w:val="1"/>
          <w:numId w:val="1317"/>
        </w:numPr>
      </w:pPr>
      <w:r>
        <w:t xml:space="preserve">Epaisseur de la couche de finition : </w:t>
      </w:r>
      <w:r>
        <w:rPr>
          <w:rStyle w:val="optioncarChar"/>
        </w:rPr>
        <w:t>100</w:t>
      </w:r>
      <w:r>
        <w:t> (par défaut)</w:t>
      </w:r>
      <w:r>
        <w:rPr>
          <w:rStyle w:val="optioncarChar"/>
        </w:rPr>
        <w:t> / ***  </w:t>
      </w:r>
      <w:r>
        <w:t>µ.</w:t>
      </w:r>
    </w:p>
    <w:p w14:paraId="4CF75CDE" w14:textId="77777777" w:rsidR="004B2808" w:rsidRDefault="00000000">
      <w:pPr>
        <w:pStyle w:val="Author-eListParagraph"/>
        <w:numPr>
          <w:ilvl w:val="1"/>
          <w:numId w:val="1317"/>
        </w:numPr>
      </w:pPr>
      <w:r>
        <w:t xml:space="preserve">Laque : </w:t>
      </w:r>
      <w:r>
        <w:rPr>
          <w:rStyle w:val="optioncarChar"/>
        </w:rPr>
        <w:t>couvrante</w:t>
      </w:r>
      <w:r>
        <w:t xml:space="preserve"> (par défaut) </w:t>
      </w:r>
      <w:r>
        <w:rPr>
          <w:rStyle w:val="optioncarChar"/>
        </w:rPr>
        <w:t>/ transparente / ***</w:t>
      </w:r>
    </w:p>
    <w:p w14:paraId="48B28B50" w14:textId="77777777" w:rsidR="004B2808" w:rsidRDefault="00000000">
      <w:pPr>
        <w:pStyle w:val="Author-eListParagraph"/>
        <w:numPr>
          <w:ilvl w:val="1"/>
          <w:numId w:val="1317"/>
        </w:numPr>
      </w:pPr>
      <w:r>
        <w:t xml:space="preserve">Coloris : </w:t>
      </w:r>
      <w:r>
        <w:rPr>
          <w:rStyle w:val="optioncarChar"/>
        </w:rPr>
        <w:t>à choisir dans la gamme complète du fabricant (par défaut) / couleur RAL n° *** / ***</w:t>
      </w:r>
    </w:p>
    <w:p w14:paraId="04974DAA" w14:textId="77777777" w:rsidR="004B2808" w:rsidRDefault="00000000">
      <w:pPr>
        <w:pStyle w:val="pheading"/>
      </w:pPr>
      <w:r>
        <w:t>MESURAGE</w:t>
      </w:r>
    </w:p>
    <w:p w14:paraId="3B8B1ED1" w14:textId="77777777" w:rsidR="004B2808" w:rsidRDefault="00000000">
      <w:pPr>
        <w:pStyle w:val="pheading"/>
      </w:pPr>
      <w:r>
        <w:t>- unité de mesure:</w:t>
      </w:r>
    </w:p>
    <w:p w14:paraId="632A0A45" w14:textId="77777777" w:rsidR="004B2808" w:rsidRDefault="00000000">
      <w:r>
        <w:rPr>
          <w:rStyle w:val="optioncarChar"/>
        </w:rPr>
        <w:t xml:space="preserve">- </w:t>
      </w:r>
      <w:r>
        <w:t>(par défaut) </w:t>
      </w:r>
      <w:r>
        <w:rPr>
          <w:rStyle w:val="optioncarChar"/>
        </w:rPr>
        <w:t>/ m³ / ***</w:t>
      </w:r>
    </w:p>
    <w:p w14:paraId="5ED8EACE" w14:textId="77777777" w:rsidR="004B2808" w:rsidRDefault="00000000">
      <w:pPr>
        <w:pStyle w:val="pheading"/>
      </w:pPr>
      <w:r>
        <w:t>- code de mesurage:</w:t>
      </w:r>
    </w:p>
    <w:p w14:paraId="42B4D6B3" w14:textId="77777777" w:rsidR="004B2808" w:rsidRDefault="00000000">
      <w:r>
        <w:t>Choix opéré :</w:t>
      </w:r>
      <w:r>
        <w:rPr>
          <w:rStyle w:val="optioncarChar"/>
          <w:b/>
        </w:rPr>
        <w:t>*** / OPTION 1</w:t>
      </w:r>
      <w:r>
        <w:t xml:space="preserve"> (par défaut)</w:t>
      </w:r>
      <w:r>
        <w:rPr>
          <w:rStyle w:val="optioncarChar"/>
          <w:b/>
        </w:rPr>
        <w:t> / OPTION 2</w:t>
      </w:r>
    </w:p>
    <w:p w14:paraId="2E9D6027" w14:textId="77777777" w:rsidR="004B2808"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667E8AD0" w14:textId="77777777" w:rsidR="004B2808" w:rsidRDefault="00000000">
      <w:pPr>
        <w:pStyle w:val="pheading"/>
      </w:pPr>
      <w:r>
        <w:t>- nature du marché:</w:t>
      </w:r>
    </w:p>
    <w:p w14:paraId="1FA034D1" w14:textId="77777777" w:rsidR="004B2808" w:rsidRDefault="00000000">
      <w:r>
        <w:rPr>
          <w:rStyle w:val="optioncarChar"/>
        </w:rPr>
        <w:t>PM </w:t>
      </w:r>
      <w:r>
        <w:t xml:space="preserve">(par défaut) </w:t>
      </w:r>
      <w:r>
        <w:rPr>
          <w:rStyle w:val="optioncarChar"/>
        </w:rPr>
        <w:t>/ QF / ***</w:t>
      </w:r>
    </w:p>
    <w:p w14:paraId="6016F4F0" w14:textId="77777777" w:rsidR="004B2808" w:rsidRDefault="00000000">
      <w:pPr>
        <w:pStyle w:val="Author-eSectionHeading5Numberless"/>
      </w:pPr>
      <w:bookmarkStart w:id="1491" w:name="_Toc220491592"/>
      <w:r>
        <w:t>56.33.2 Eléments de remplissage en panneaux métalliques CCTB 01.02</w:t>
      </w:r>
      <w:bookmarkEnd w:id="1491"/>
    </w:p>
    <w:p w14:paraId="6BBF922C" w14:textId="77777777" w:rsidR="004B2808" w:rsidRDefault="00000000">
      <w:pPr>
        <w:pStyle w:val="Author-eSectionHeading6Numberless"/>
      </w:pPr>
      <w:bookmarkStart w:id="1492" w:name="_Toc220491593"/>
      <w:r>
        <w:t>56.33.2a Eléments de remplissage en panneaux métalliques CCTB 01.10</w:t>
      </w:r>
      <w:bookmarkEnd w:id="1492"/>
    </w:p>
    <w:p w14:paraId="2F578CE9" w14:textId="77777777" w:rsidR="004B2808" w:rsidRDefault="00000000">
      <w:pPr>
        <w:pStyle w:val="pheading"/>
      </w:pPr>
      <w:r>
        <w:t>MATÉRIAUX</w:t>
      </w:r>
    </w:p>
    <w:p w14:paraId="4CC581EA" w14:textId="77777777" w:rsidR="004B2808" w:rsidRDefault="00000000">
      <w:pPr>
        <w:pStyle w:val="pheading"/>
      </w:pPr>
      <w:r>
        <w:t>- Caractéristiques générales</w:t>
      </w:r>
    </w:p>
    <w:p w14:paraId="5015BB7C" w14:textId="77777777" w:rsidR="004B2808" w:rsidRDefault="00000000">
      <w:r>
        <w:t xml:space="preserve">Les éléments de remplissage à isolation thermique sont composés en tôles d' </w:t>
      </w:r>
      <w:r>
        <w:rPr>
          <w:rStyle w:val="optioncarChar"/>
        </w:rPr>
        <w:t>*** / aluminium / acier / *** </w:t>
      </w:r>
      <w:r>
        <w:t>recouvrant une âme isolante. Les panneaux sont livrés avec un film de protection amovible.</w:t>
      </w:r>
    </w:p>
    <w:p w14:paraId="6CC656D7" w14:textId="77777777" w:rsidR="004B2808" w:rsidRDefault="00000000">
      <w:pPr>
        <w:pStyle w:val="heading"/>
      </w:pPr>
      <w:r>
        <w:t>Spécifications</w:t>
      </w:r>
    </w:p>
    <w:p w14:paraId="0FFE6B4C" w14:textId="77777777" w:rsidR="004B2808" w:rsidRDefault="00000000">
      <w:r>
        <w:t>Epaisseur des plaques : au moins </w:t>
      </w:r>
      <w:r>
        <w:rPr>
          <w:rStyle w:val="optioncarChar"/>
        </w:rPr>
        <w:t>*** / 20 / 30 / 40 / ***</w:t>
      </w:r>
      <w:r>
        <w:t xml:space="preserve"> mm.</w:t>
      </w:r>
    </w:p>
    <w:p w14:paraId="2E66F962" w14:textId="77777777" w:rsidR="004B2808" w:rsidRDefault="00000000">
      <w:r>
        <w:t>Nature des plaques d'aluminium ou acier :</w:t>
      </w:r>
    </w:p>
    <w:p w14:paraId="3F79F5F9" w14:textId="77777777" w:rsidR="004B2808" w:rsidRDefault="00000000">
      <w:pPr>
        <w:ind w:left="675"/>
      </w:pPr>
      <w:r>
        <w:t xml:space="preserve">⇒ Épaisseur nominale : au moins </w:t>
      </w:r>
      <w:r>
        <w:rPr>
          <w:rStyle w:val="optioncarChar"/>
        </w:rPr>
        <w:t>*** / 0,7 / 1,5 / *** mm</w:t>
      </w:r>
      <w:r>
        <w:t>.</w:t>
      </w:r>
    </w:p>
    <w:p w14:paraId="44DE3556" w14:textId="77777777" w:rsidR="004B2808" w:rsidRDefault="00000000">
      <w:pPr>
        <w:ind w:left="675"/>
      </w:pPr>
      <w:r>
        <w:t>⇒ Finition et couleur : </w:t>
      </w:r>
      <w:r>
        <w:rPr>
          <w:rStyle w:val="optioncarChar"/>
        </w:rPr>
        <w:t>*** / identiques à celles des profilés de fenêtre / ***</w:t>
      </w:r>
    </w:p>
    <w:p w14:paraId="1BB102F4" w14:textId="77777777" w:rsidR="004B2808" w:rsidRDefault="00000000">
      <w:r>
        <w:t xml:space="preserve">Nature du matériau d'isolation ; les spécifications des isolants sont définies dans les articles </w:t>
      </w:r>
      <w:hyperlink w:anchor="73" w:history="1">
        <w:r w:rsidR="004B2808">
          <w:rPr>
            <w:color w:val="0000EE"/>
          </w:rPr>
          <w:t>52.4 Isolation</w:t>
        </w:r>
      </w:hyperlink>
      <w:r>
        <w:t xml:space="preserve"> et suivants::</w:t>
      </w:r>
    </w:p>
    <w:p w14:paraId="70CB14E4" w14:textId="77777777" w:rsidR="004B2808" w:rsidRDefault="00000000">
      <w:pPr>
        <w:ind w:left="675"/>
      </w:pPr>
      <w:r>
        <w:t xml:space="preserve">⇒ Matériau : </w:t>
      </w:r>
      <w:r>
        <w:rPr>
          <w:rStyle w:val="optioncarChar"/>
        </w:rPr>
        <w:t>*** / polystyrène extrudé / polyuréthane / fibres minérales / ***</w:t>
      </w:r>
    </w:p>
    <w:p w14:paraId="39ED6F42" w14:textId="77777777" w:rsidR="004B2808" w:rsidRDefault="00000000">
      <w:pPr>
        <w:ind w:left="675"/>
      </w:pPr>
      <w:r>
        <w:lastRenderedPageBreak/>
        <w:t xml:space="preserve">⇒ Épaisseur nominale : au moins </w:t>
      </w:r>
      <w:r>
        <w:rPr>
          <w:rStyle w:val="optioncarChar"/>
        </w:rPr>
        <w:t>*** / 20 / 30 / 40 / ***</w:t>
      </w:r>
      <w:r>
        <w:t xml:space="preserve"> mm.</w:t>
      </w:r>
    </w:p>
    <w:p w14:paraId="64D1F757" w14:textId="77777777" w:rsidR="004B2808" w:rsidRDefault="00000000">
      <w:pPr>
        <w:ind w:left="675"/>
      </w:pPr>
      <w:r>
        <w:t>⇒ Conductibilité thermique : maximum </w:t>
      </w:r>
      <w:r>
        <w:rPr>
          <w:rStyle w:val="optioncarChar"/>
        </w:rPr>
        <w:t>*** / 40 </w:t>
      </w:r>
      <w:r>
        <w:t xml:space="preserve"> W/mK</w:t>
      </w:r>
    </w:p>
    <w:p w14:paraId="660A9F91" w14:textId="77777777" w:rsidR="004B2808" w:rsidRDefault="00000000">
      <w:pPr>
        <w:pStyle w:val="pheading"/>
      </w:pPr>
      <w:r>
        <w:t>- Prescriptions complémentaires</w:t>
      </w:r>
    </w:p>
    <w:p w14:paraId="40986B25" w14:textId="77777777" w:rsidR="004B2808" w:rsidRDefault="00000000">
      <w:r>
        <w:t xml:space="preserve">Les panneaux de remplissage pour les portes d'entrée sont pourvus d'une fenêtre </w:t>
      </w:r>
      <w:r>
        <w:rPr>
          <w:rStyle w:val="optioncarChar"/>
        </w:rPr>
        <w:t xml:space="preserve">*** / ronde / carrée / *** </w:t>
      </w:r>
      <w:r>
        <w:t xml:space="preserve">à double vitrage ( </w:t>
      </w:r>
      <w:r>
        <w:rPr>
          <w:rStyle w:val="optioncarChar"/>
        </w:rPr>
        <w:t>*** / mat / clair</w:t>
      </w:r>
      <w:r>
        <w:t xml:space="preserve"> ), située dans le même plan que le panneau, intégrée dans le panneau sans profils périphériques et colmatée avec des silicones incolores. Diamètre : </w:t>
      </w:r>
      <w:r>
        <w:rPr>
          <w:rStyle w:val="optioncarChar"/>
        </w:rPr>
        <w:t>*** / 30 </w:t>
      </w:r>
      <w:r>
        <w:t>cm.</w:t>
      </w:r>
    </w:p>
    <w:p w14:paraId="325352BE" w14:textId="77777777" w:rsidR="004B2808" w:rsidRDefault="00000000">
      <w:pPr>
        <w:pStyle w:val="pheading"/>
      </w:pPr>
      <w:r>
        <w:t>EXÉCUTION / MISE EN ŒUVRE</w:t>
      </w:r>
    </w:p>
    <w:p w14:paraId="419A16DE" w14:textId="77777777" w:rsidR="004B2808" w:rsidRDefault="00000000">
      <w:pPr>
        <w:pStyle w:val="pheading"/>
      </w:pPr>
      <w:r>
        <w:t>- Prescriptions générales</w:t>
      </w:r>
    </w:p>
    <w:p w14:paraId="4F6C264D" w14:textId="77777777" w:rsidR="004B2808" w:rsidRDefault="00000000">
      <w:r>
        <w:t xml:space="preserve">Les éléments de remplissage sont placés sous vitrage </w:t>
      </w:r>
      <w:r>
        <w:rPr>
          <w:rStyle w:val="optioncarChar"/>
        </w:rPr>
        <w:t>comprimé</w:t>
      </w:r>
      <w:r>
        <w:t xml:space="preserve"> (par défaut) </w:t>
      </w:r>
      <w:r>
        <w:rPr>
          <w:rStyle w:val="optioncarChar"/>
        </w:rPr>
        <w:t>/ semi-comprimé / non-comprimé / ***.</w:t>
      </w:r>
      <w:r>
        <w:br/>
        <w:t xml:space="preserve">Les éléments de remplissage sont placés dans un système </w:t>
      </w:r>
      <w:r>
        <w:rPr>
          <w:rStyle w:val="optioncarChar"/>
        </w:rPr>
        <w:t>ouvert</w:t>
      </w:r>
      <w:r>
        <w:t xml:space="preserve"> (par défaut) </w:t>
      </w:r>
      <w:r>
        <w:rPr>
          <w:rStyle w:val="optioncarChar"/>
        </w:rPr>
        <w:t>/ fermé / ***</w:t>
      </w:r>
      <w:r>
        <w:t>.</w:t>
      </w:r>
    </w:p>
    <w:p w14:paraId="03064825" w14:textId="77777777" w:rsidR="004B2808" w:rsidRDefault="00000000">
      <w:pPr>
        <w:pStyle w:val="pheading"/>
      </w:pPr>
      <w:r>
        <w:t>MESURAGE</w:t>
      </w:r>
    </w:p>
    <w:p w14:paraId="230A63B3" w14:textId="77777777" w:rsidR="004B2808" w:rsidRDefault="00000000">
      <w:pPr>
        <w:pStyle w:val="pheading"/>
      </w:pPr>
      <w:r>
        <w:t>- unité de mesure:</w:t>
      </w:r>
    </w:p>
    <w:p w14:paraId="609F7C9B" w14:textId="77777777" w:rsidR="004B2808" w:rsidRDefault="00000000">
      <w:r>
        <w:rPr>
          <w:rStyle w:val="optioncarChar"/>
        </w:rPr>
        <w:t xml:space="preserve">- </w:t>
      </w:r>
      <w:r>
        <w:t>(par défaut) </w:t>
      </w:r>
      <w:r>
        <w:rPr>
          <w:rStyle w:val="optioncarChar"/>
        </w:rPr>
        <w:t>/ m² / ***</w:t>
      </w:r>
    </w:p>
    <w:p w14:paraId="617C2817" w14:textId="77777777" w:rsidR="004B2808" w:rsidRDefault="00000000">
      <w:pPr>
        <w:pStyle w:val="pheading"/>
      </w:pPr>
      <w:r>
        <w:t>- code de mesurage:</w:t>
      </w:r>
    </w:p>
    <w:p w14:paraId="731AD5C4" w14:textId="77777777" w:rsidR="004B2808" w:rsidRDefault="00000000">
      <w:r>
        <w:t>Choix opéré :</w:t>
      </w:r>
      <w:r>
        <w:rPr>
          <w:rStyle w:val="optioncarChar"/>
          <w:b/>
        </w:rPr>
        <w:t>*** / OPTION 1 </w:t>
      </w:r>
      <w:r>
        <w:t>(par défaut)</w:t>
      </w:r>
      <w:r>
        <w:rPr>
          <w:rStyle w:val="optioncarChar"/>
          <w:b/>
        </w:rPr>
        <w:t xml:space="preserve"> / OPTION 2</w:t>
      </w:r>
    </w:p>
    <w:p w14:paraId="6787B11E" w14:textId="77777777" w:rsidR="004B2808"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5BA2C1E9" w14:textId="77777777" w:rsidR="004B2808" w:rsidRDefault="00000000">
      <w:pPr>
        <w:pStyle w:val="pheading"/>
      </w:pPr>
      <w:r>
        <w:t>- nature du marché:</w:t>
      </w:r>
    </w:p>
    <w:p w14:paraId="0DF5E4B5" w14:textId="77777777" w:rsidR="004B2808" w:rsidRDefault="00000000">
      <w:r>
        <w:rPr>
          <w:rStyle w:val="optioncarChar"/>
        </w:rPr>
        <w:t>PM</w:t>
      </w:r>
      <w:r>
        <w:t xml:space="preserve"> (par défaut)</w:t>
      </w:r>
      <w:r>
        <w:rPr>
          <w:rStyle w:val="optioncarChar"/>
        </w:rPr>
        <w:t> / QF / ***</w:t>
      </w:r>
    </w:p>
    <w:p w14:paraId="2D53BE29" w14:textId="77777777" w:rsidR="004B2808" w:rsidRDefault="00000000">
      <w:pPr>
        <w:pStyle w:val="Author-eSectionHeading5Numberless"/>
      </w:pPr>
      <w:bookmarkStart w:id="1493" w:name="_Toc220491594"/>
      <w:r>
        <w:t>56.33.3 Eléments de remplissage en panneaux en matière synthétique CCTB 01.02</w:t>
      </w:r>
      <w:bookmarkEnd w:id="1493"/>
    </w:p>
    <w:p w14:paraId="00B2EC89" w14:textId="77777777" w:rsidR="004B2808" w:rsidRDefault="00000000">
      <w:pPr>
        <w:pStyle w:val="Author-eSectionHeading6Numberless"/>
      </w:pPr>
      <w:bookmarkStart w:id="1494" w:name="_Toc220491595"/>
      <w:r>
        <w:t>56.33.3a Eléments de remplissage en panneaux en matière synthétique CCTB 01.11</w:t>
      </w:r>
      <w:bookmarkEnd w:id="1494"/>
    </w:p>
    <w:p w14:paraId="6B28FBBD" w14:textId="77777777" w:rsidR="004B2808" w:rsidRDefault="00000000">
      <w:pPr>
        <w:pStyle w:val="pheading"/>
      </w:pPr>
      <w:r>
        <w:t>MATÉRIAUX</w:t>
      </w:r>
    </w:p>
    <w:p w14:paraId="1E4E75CD" w14:textId="77777777" w:rsidR="004B2808" w:rsidRDefault="00000000">
      <w:pPr>
        <w:pStyle w:val="pheading"/>
      </w:pPr>
      <w:r>
        <w:t>- Caractéristiques générales</w:t>
      </w:r>
    </w:p>
    <w:p w14:paraId="430A0D51" w14:textId="77777777" w:rsidR="004B2808" w:rsidRDefault="00000000">
      <w:r>
        <w:rPr>
          <w:b/>
          <w:sz w:val="24"/>
        </w:rPr>
        <w:t>Matière synthétique</w:t>
      </w:r>
    </w:p>
    <w:p w14:paraId="73ADC014" w14:textId="77777777" w:rsidR="004B2808" w:rsidRDefault="00000000">
      <w:r>
        <w:t>Les éléments de remplissage se composent de plaques en PVC dur (</w:t>
      </w:r>
      <w:r>
        <w:rPr>
          <w:rStyle w:val="optioncarChar"/>
        </w:rPr>
        <w:t>chlorure de polyvinyle dur</w:t>
      </w:r>
      <w:r>
        <w:t> (par défaut)</w:t>
      </w:r>
      <w:r>
        <w:rPr>
          <w:rStyle w:val="optioncarChar"/>
        </w:rPr>
        <w:t xml:space="preserve"> / *** ) </w:t>
      </w:r>
      <w:r>
        <w:t>et d'une âme isolante. Les plaques sont livrées avec un film de polyéthylène amovible.</w:t>
      </w:r>
    </w:p>
    <w:p w14:paraId="6BAEAF6E" w14:textId="77777777" w:rsidR="004B2808" w:rsidRDefault="00000000">
      <w:pPr>
        <w:pStyle w:val="heading"/>
      </w:pPr>
      <w:r>
        <w:t>Spécifications</w:t>
      </w:r>
    </w:p>
    <w:p w14:paraId="278D0C05" w14:textId="77777777" w:rsidR="004B2808" w:rsidRDefault="00000000">
      <w:pPr>
        <w:pStyle w:val="Author-eListParagraph"/>
        <w:numPr>
          <w:ilvl w:val="0"/>
          <w:numId w:val="1318"/>
        </w:numPr>
      </w:pPr>
      <w:r>
        <w:t>Epaisseur des plaques : au moins</w:t>
      </w:r>
      <w:r>
        <w:rPr>
          <w:rStyle w:val="optioncarChar"/>
        </w:rPr>
        <w:t> 20</w:t>
      </w:r>
      <w:r>
        <w:t> (par défaut)</w:t>
      </w:r>
      <w:r>
        <w:rPr>
          <w:rStyle w:val="optioncarChar"/>
        </w:rPr>
        <w:t xml:space="preserve"> / 30 / 40 / ***</w:t>
      </w:r>
      <w:r>
        <w:t xml:space="preserve"> mm.</w:t>
      </w:r>
    </w:p>
    <w:p w14:paraId="6912D56F" w14:textId="77777777" w:rsidR="004B2808" w:rsidRDefault="00000000">
      <w:pPr>
        <w:pStyle w:val="Author-eListParagraph"/>
        <w:numPr>
          <w:ilvl w:val="0"/>
          <w:numId w:val="1318"/>
        </w:numPr>
      </w:pPr>
      <w:r>
        <w:t xml:space="preserve">Type : </w:t>
      </w:r>
      <w:r>
        <w:rPr>
          <w:rStyle w:val="optioncarChar"/>
        </w:rPr>
        <w:t>à simple paroi</w:t>
      </w:r>
      <w:r>
        <w:t xml:space="preserve"> (par défaut)</w:t>
      </w:r>
      <w:r>
        <w:rPr>
          <w:rStyle w:val="optioncarChar"/>
        </w:rPr>
        <w:t xml:space="preserve"> / à double paroi (panneau sandwich) / ***. </w:t>
      </w:r>
      <w:r>
        <w:t xml:space="preserve">Les plaques sont pourvues d'une isolation thermique </w:t>
      </w:r>
      <w:r>
        <w:rPr>
          <w:rStyle w:val="optioncarChar"/>
        </w:rPr>
        <w:t>à l'intérieur</w:t>
      </w:r>
      <w:r>
        <w:t xml:space="preserve"> (par défaut)</w:t>
      </w:r>
      <w:r>
        <w:rPr>
          <w:rStyle w:val="optioncarChar"/>
        </w:rPr>
        <w:t xml:space="preserve"> / à l'arrière / ***</w:t>
      </w:r>
      <w:r>
        <w:t xml:space="preserve"> .</w:t>
      </w:r>
    </w:p>
    <w:p w14:paraId="1292F751" w14:textId="77777777" w:rsidR="004B2808" w:rsidRDefault="00000000">
      <w:pPr>
        <w:pStyle w:val="Author-eListParagraph"/>
        <w:numPr>
          <w:ilvl w:val="0"/>
          <w:numId w:val="1318"/>
        </w:numPr>
      </w:pPr>
      <w:r>
        <w:t>Nature des plaques en PVC :</w:t>
      </w:r>
    </w:p>
    <w:p w14:paraId="2B2698CC" w14:textId="77777777" w:rsidR="004B2808" w:rsidRDefault="00000000">
      <w:r>
        <w:t xml:space="preserve">Choix opéré : </w:t>
      </w:r>
      <w:r>
        <w:rPr>
          <w:rStyle w:val="optioncarChar"/>
        </w:rPr>
        <w:t>*** / OPTION 1</w:t>
      </w:r>
      <w:r>
        <w:t> (par défaut)</w:t>
      </w:r>
      <w:r>
        <w:rPr>
          <w:rStyle w:val="optioncarChar"/>
        </w:rPr>
        <w:t xml:space="preserve"> / OPTION 2 /OPTION 3</w:t>
      </w:r>
      <w:r>
        <w:br/>
      </w:r>
      <w:r>
        <w:rPr>
          <w:b/>
        </w:rPr>
        <w:t>***OPTION 1</w:t>
      </w:r>
      <w:r>
        <w:t xml:space="preserve"> : extrudées dans une composition de PVC dure à base de pâte de granulats blanche, </w:t>
      </w:r>
      <w:r>
        <w:lastRenderedPageBreak/>
        <w:t>colorée dans la masse</w:t>
      </w:r>
      <w:r>
        <w:br/>
      </w:r>
      <w:r>
        <w:rPr>
          <w:b/>
        </w:rPr>
        <w:t>***OPTION 2</w:t>
      </w:r>
      <w:r>
        <w:t xml:space="preserve"> : extrudées dans une composition de PVC dure de couleur blanche, référence </w:t>
      </w:r>
      <w:r>
        <w:rPr>
          <w:rStyle w:val="optioncarChar"/>
        </w:rPr>
        <w:t>***</w:t>
      </w:r>
      <w:r>
        <w:br/>
      </w:r>
      <w:r>
        <w:rPr>
          <w:b/>
        </w:rPr>
        <w:t>***OPTION 3</w:t>
      </w:r>
      <w:r>
        <w:t> : extrudées dans du PVC à résistance aux chocs élevée avec une couche de couleur acrylique PMMA dans la masse; la couleur est extrudée en même temps afin d'obtenir une cohésion homogène entre le PVC et l'acrylique.</w:t>
      </w:r>
    </w:p>
    <w:p w14:paraId="02C090B2" w14:textId="77777777" w:rsidR="004B2808" w:rsidRDefault="00000000">
      <w:pPr>
        <w:ind w:left="675"/>
      </w:pPr>
      <w:r>
        <w:t xml:space="preserve">⇒ Epaisseur nominale : </w:t>
      </w:r>
      <w:r>
        <w:rPr>
          <w:rStyle w:val="optioncarChar"/>
        </w:rPr>
        <w:t>3 </w:t>
      </w:r>
      <w:r>
        <w:t>(par défaut)</w:t>
      </w:r>
      <w:r>
        <w:rPr>
          <w:rStyle w:val="optioncarChar"/>
        </w:rPr>
        <w:t xml:space="preserve"> / 4 / 5 / *** </w:t>
      </w:r>
      <w:r>
        <w:t>mm.</w:t>
      </w:r>
    </w:p>
    <w:p w14:paraId="307BB430" w14:textId="77777777" w:rsidR="004B2808" w:rsidRDefault="00000000">
      <w:pPr>
        <w:ind w:left="675"/>
      </w:pPr>
      <w:r>
        <w:t xml:space="preserve">⇒ Poids spécifique : env. </w:t>
      </w:r>
      <w:r>
        <w:rPr>
          <w:rStyle w:val="optioncarChar"/>
        </w:rPr>
        <w:t>1400</w:t>
      </w:r>
      <w:r>
        <w:t> (par défaut) </w:t>
      </w:r>
      <w:r>
        <w:rPr>
          <w:rStyle w:val="optioncarChar"/>
        </w:rPr>
        <w:t>/ ***  </w:t>
      </w:r>
      <w:r>
        <w:t>kg/m³</w:t>
      </w:r>
    </w:p>
    <w:p w14:paraId="14BC5FC6" w14:textId="77777777" w:rsidR="004B2808" w:rsidRDefault="00000000">
      <w:pPr>
        <w:ind w:left="675"/>
      </w:pPr>
      <w:r>
        <w:t>⇒ Coefficient de dilatation linéaire :</w:t>
      </w:r>
      <w:r>
        <w:rPr>
          <w:rStyle w:val="optioncarChar"/>
        </w:rPr>
        <w:t> 7 à 9x10(-5) </w:t>
      </w:r>
      <w:r>
        <w:t>(par défaut)</w:t>
      </w:r>
      <w:r>
        <w:rPr>
          <w:rStyle w:val="optioncarChar"/>
        </w:rPr>
        <w:t> / *** </w:t>
      </w:r>
      <w:r>
        <w:t>  mm.</w:t>
      </w:r>
    </w:p>
    <w:p w14:paraId="19B2DA3E" w14:textId="77777777" w:rsidR="004B2808" w:rsidRDefault="00000000">
      <w:pPr>
        <w:ind w:left="675"/>
      </w:pPr>
      <w:r>
        <w:t xml:space="preserve">⇒ Point Vicat sous 5 kg : </w:t>
      </w:r>
      <w:r>
        <w:rPr>
          <w:rStyle w:val="optioncarChar"/>
        </w:rPr>
        <w:t>70</w:t>
      </w:r>
      <w:r>
        <w:t> (par défaut) </w:t>
      </w:r>
      <w:r>
        <w:rPr>
          <w:rStyle w:val="optioncarChar"/>
        </w:rPr>
        <w:t>/ *** </w:t>
      </w:r>
      <w:r>
        <w:t>  °C</w:t>
      </w:r>
    </w:p>
    <w:p w14:paraId="7D6B2F8C" w14:textId="77777777" w:rsidR="004B2808" w:rsidRDefault="00000000">
      <w:pPr>
        <w:ind w:left="675"/>
      </w:pPr>
      <w:r>
        <w:t>⇒ Couleur :</w:t>
      </w:r>
      <w:r>
        <w:rPr>
          <w:rStyle w:val="optioncarChar"/>
        </w:rPr>
        <w:t> identique à celles des profilés de fenêtre</w:t>
      </w:r>
      <w:r>
        <w:t xml:space="preserve"> (par défaut) </w:t>
      </w:r>
      <w:r>
        <w:rPr>
          <w:rStyle w:val="optioncarChar"/>
        </w:rPr>
        <w:t>/ choisie par l'auteur de projet dans la gamme complète du fabricant / couleur RAL n° *** / ***</w:t>
      </w:r>
    </w:p>
    <w:p w14:paraId="140C0273" w14:textId="77777777" w:rsidR="004B2808" w:rsidRDefault="00000000">
      <w:pPr>
        <w:ind w:left="675"/>
      </w:pPr>
      <w:r>
        <w:t>⇒ Brillance : </w:t>
      </w:r>
      <w:r>
        <w:rPr>
          <w:rStyle w:val="optioncarChar"/>
        </w:rPr>
        <w:t> mat</w:t>
      </w:r>
      <w:r>
        <w:t> (par défaut)</w:t>
      </w:r>
      <w:r>
        <w:rPr>
          <w:rStyle w:val="optioncarChar"/>
        </w:rPr>
        <w:t xml:space="preserve"> / brillant / ***</w:t>
      </w:r>
    </w:p>
    <w:p w14:paraId="2BC6C188" w14:textId="77777777" w:rsidR="004B2808" w:rsidRDefault="00000000">
      <w:r>
        <w:t xml:space="preserve">Nature du matériau d'isolation; les spécifications des isolants sont définies dans les articles </w:t>
      </w:r>
      <w:hyperlink w:anchor="73" w:history="1">
        <w:r w:rsidR="004B2808">
          <w:rPr>
            <w:color w:val="0000EE"/>
          </w:rPr>
          <w:t>52.4 Isolation</w:t>
        </w:r>
      </w:hyperlink>
      <w:r>
        <w:t xml:space="preserve"> et suivants  :</w:t>
      </w:r>
    </w:p>
    <w:p w14:paraId="02FB4A63" w14:textId="77777777" w:rsidR="004B2808" w:rsidRDefault="00000000">
      <w:pPr>
        <w:ind w:left="675"/>
      </w:pPr>
      <w:r>
        <w:t xml:space="preserve">⇒ Matériau : </w:t>
      </w:r>
      <w:r>
        <w:rPr>
          <w:rStyle w:val="optioncarChar"/>
        </w:rPr>
        <w:t>EPS (polystyrène expansé) </w:t>
      </w:r>
      <w:r>
        <w:t>(par défaut)</w:t>
      </w:r>
      <w:r>
        <w:rPr>
          <w:rStyle w:val="optioncarChar"/>
        </w:rPr>
        <w:t xml:space="preserve"> / XPS (polystyrène extrudé) / PUR (polyuréthane) / PF (mousse de phénolformaldéhyde / PIR (mousse de polyisocyanure) / ***</w:t>
      </w:r>
    </w:p>
    <w:p w14:paraId="7D61727B" w14:textId="77777777" w:rsidR="004B2808" w:rsidRDefault="00000000">
      <w:pPr>
        <w:ind w:left="675"/>
      </w:pPr>
      <w:r>
        <w:t>⇒ Mode de pose : </w:t>
      </w:r>
      <w:r>
        <w:rPr>
          <w:rStyle w:val="optioncarChar"/>
        </w:rPr>
        <w:t>collage à l'arrière des panneaux </w:t>
      </w:r>
      <w:r>
        <w:t>(par défaut)</w:t>
      </w:r>
      <w:r>
        <w:rPr>
          <w:rStyle w:val="optioncarChar"/>
        </w:rPr>
        <w:t xml:space="preserve"> / fixation sur l'ouvrage de construction attenant / ***</w:t>
      </w:r>
    </w:p>
    <w:p w14:paraId="1E71D392" w14:textId="77777777" w:rsidR="004B2808" w:rsidRDefault="00000000">
      <w:pPr>
        <w:ind w:left="675"/>
      </w:pPr>
      <w:r>
        <w:t xml:space="preserve">⇒ Épaisseur nominale : </w:t>
      </w:r>
      <w:r>
        <w:rPr>
          <w:rStyle w:val="optioncarChar"/>
        </w:rPr>
        <w:t>3</w:t>
      </w:r>
      <w:r>
        <w:t> (par défaut)</w:t>
      </w:r>
      <w:r>
        <w:rPr>
          <w:rStyle w:val="optioncarChar"/>
        </w:rPr>
        <w:t xml:space="preserve"> / 6 / 10 / 20 / 30 / ***</w:t>
      </w:r>
      <w:r>
        <w:t xml:space="preserve"> mm</w:t>
      </w:r>
    </w:p>
    <w:p w14:paraId="0FCE4E66" w14:textId="77777777" w:rsidR="004B2808" w:rsidRDefault="00000000">
      <w:pPr>
        <w:ind w:left="675"/>
      </w:pPr>
      <w:r>
        <w:t xml:space="preserve">⇒ Valeur ld déclarée : </w:t>
      </w:r>
      <w:r>
        <w:rPr>
          <w:rStyle w:val="optioncarChar"/>
        </w:rPr>
        <w:t>***</w:t>
      </w:r>
      <w:r>
        <w:t xml:space="preserve"> W/mK</w:t>
      </w:r>
    </w:p>
    <w:p w14:paraId="78A26808" w14:textId="77777777" w:rsidR="004B2808" w:rsidRDefault="00000000">
      <w:r>
        <w:rPr>
          <w:b/>
          <w:sz w:val="24"/>
        </w:rPr>
        <w:t>Résine synthétique</w:t>
      </w:r>
    </w:p>
    <w:p w14:paraId="097DF7F7" w14:textId="77777777" w:rsidR="004B2808" w:rsidRDefault="00000000">
      <w:r>
        <w:t>Les éléments de remplissage se composent de plaques de résines synthétiques inaltérables d'une épaisseur d'au moins 3 mm, isolées sur une épaisseur d'au moins 2 cm à l'aide de plaques de polystyrène. Les plaques sont assemblées par collage. Elles sont résistantes aux griffes et à l'usure, sont stables et présentent une résistance élevée aux coups et aux chocs. La couleur est inaltérable.</w:t>
      </w:r>
    </w:p>
    <w:p w14:paraId="409E785A" w14:textId="77777777" w:rsidR="004B2808" w:rsidRDefault="00000000">
      <w:pPr>
        <w:pStyle w:val="heading"/>
      </w:pPr>
      <w:r>
        <w:t>Spécifications</w:t>
      </w:r>
    </w:p>
    <w:p w14:paraId="1A7BE253" w14:textId="77777777" w:rsidR="004B2808" w:rsidRDefault="00000000">
      <w:r>
        <w:t>Caractéristiques de la plaque extérieure :</w:t>
      </w:r>
    </w:p>
    <w:p w14:paraId="1DA64486" w14:textId="77777777" w:rsidR="004B2808" w:rsidRDefault="00000000">
      <w:pPr>
        <w:ind w:left="675"/>
      </w:pPr>
      <w:r>
        <w:t>⇒ Épaisseur nominale : au moins </w:t>
      </w:r>
      <w:r>
        <w:rPr>
          <w:rStyle w:val="optioncarChar"/>
        </w:rPr>
        <w:t>3</w:t>
      </w:r>
      <w:r>
        <w:t> (par défaut)</w:t>
      </w:r>
      <w:r>
        <w:rPr>
          <w:rStyle w:val="optioncarChar"/>
        </w:rPr>
        <w:t> / *** </w:t>
      </w:r>
      <w:r>
        <w:t>  mm.</w:t>
      </w:r>
    </w:p>
    <w:p w14:paraId="0E9F8F44" w14:textId="77777777" w:rsidR="004B2808" w:rsidRDefault="00000000">
      <w:pPr>
        <w:ind w:left="675"/>
      </w:pPr>
      <w:r>
        <w:t xml:space="preserve">⇒ Finition et couleur : </w:t>
      </w:r>
      <w:r>
        <w:rPr>
          <w:rStyle w:val="optioncarChar"/>
        </w:rPr>
        <w:t>identiques aux profilés de fenêtre</w:t>
      </w:r>
      <w:r>
        <w:t> (par défaut)</w:t>
      </w:r>
      <w:r>
        <w:rPr>
          <w:rStyle w:val="optioncarChar"/>
        </w:rPr>
        <w:t xml:space="preserve"> / RAL n° *** / à choisir dans la gamme complète du fabricant / ***</w:t>
      </w:r>
    </w:p>
    <w:p w14:paraId="1A47DB3A" w14:textId="77777777" w:rsidR="004B2808" w:rsidRDefault="00000000">
      <w:r>
        <w:t>Caractéristiques de la plaque intérieure :</w:t>
      </w:r>
      <w:r>
        <w:rPr>
          <w:rStyle w:val="optioncarChar"/>
        </w:rPr>
        <w:t> idem que les caractéristques de la plaque extérieure </w:t>
      </w:r>
      <w:r>
        <w:t>(par défaut) </w:t>
      </w:r>
      <w:r>
        <w:rPr>
          <w:rStyle w:val="optioncarChar"/>
        </w:rPr>
        <w:t>/ ***</w:t>
      </w:r>
    </w:p>
    <w:p w14:paraId="51B20A66" w14:textId="77777777" w:rsidR="004B2808" w:rsidRDefault="00000000">
      <w:pPr>
        <w:pStyle w:val="pheading"/>
      </w:pPr>
      <w:r>
        <w:t>- Prescriptions complémentaires</w:t>
      </w:r>
    </w:p>
    <w:p w14:paraId="3645CC16" w14:textId="77777777" w:rsidR="004B2808" w:rsidRDefault="00000000">
      <w:r>
        <w:t xml:space="preserve">Les panneaux de remplissage pour les portes d'entrée sont pourvus d'une fenêtre </w:t>
      </w:r>
      <w:r>
        <w:rPr>
          <w:rStyle w:val="optioncarChar"/>
        </w:rPr>
        <w:t>ronde</w:t>
      </w:r>
      <w:r>
        <w:t> (par défaut)</w:t>
      </w:r>
      <w:r>
        <w:rPr>
          <w:rStyle w:val="optioncarChar"/>
        </w:rPr>
        <w:t> / *** </w:t>
      </w:r>
      <w:r>
        <w:t xml:space="preserve"> à double vitrage, située dans le même plan que le panneau, intégrée dans le panneau sans profils périphériques et colmatée avec des silicones incolores. Diamètre : </w:t>
      </w:r>
      <w:r>
        <w:rPr>
          <w:rStyle w:val="optioncarChar"/>
        </w:rPr>
        <w:t>30</w:t>
      </w:r>
      <w:r>
        <w:t> (par défaut)</w:t>
      </w:r>
      <w:r>
        <w:rPr>
          <w:rStyle w:val="optioncarChar"/>
        </w:rPr>
        <w:t> / *** </w:t>
      </w:r>
      <w:r>
        <w:t> cm.</w:t>
      </w:r>
    </w:p>
    <w:p w14:paraId="2EB34A73" w14:textId="77777777" w:rsidR="004B2808" w:rsidRDefault="00000000">
      <w:pPr>
        <w:pStyle w:val="pheading"/>
      </w:pPr>
      <w:r>
        <w:t>EXÉCUTION / MISE EN ŒUVRE</w:t>
      </w:r>
    </w:p>
    <w:p w14:paraId="2F3BEB2E" w14:textId="77777777" w:rsidR="004B2808" w:rsidRDefault="00000000">
      <w:pPr>
        <w:pStyle w:val="pheading"/>
      </w:pPr>
      <w:r>
        <w:t>- Prescriptions générales</w:t>
      </w:r>
    </w:p>
    <w:p w14:paraId="28BA0F8A" w14:textId="77777777" w:rsidR="004B2808" w:rsidRDefault="00000000">
      <w:r>
        <w:t xml:space="preserve">Les éléments de remplissage sont placés sous vitrage </w:t>
      </w:r>
      <w:r>
        <w:rPr>
          <w:rStyle w:val="optioncarChar"/>
        </w:rPr>
        <w:t>comprimé</w:t>
      </w:r>
      <w:r>
        <w:t xml:space="preserve"> (par défaut) </w:t>
      </w:r>
      <w:r>
        <w:rPr>
          <w:rStyle w:val="optioncarChar"/>
        </w:rPr>
        <w:t>/ semi-comprimé / non-comprimé / *** </w:t>
      </w:r>
      <w:r>
        <w:t>.</w:t>
      </w:r>
      <w:r>
        <w:br/>
        <w:t xml:space="preserve">Les éléments de remplissage sont placés dans un système </w:t>
      </w:r>
      <w:r>
        <w:rPr>
          <w:rStyle w:val="optioncarChar"/>
        </w:rPr>
        <w:t>ouvert</w:t>
      </w:r>
      <w:r>
        <w:t> (par défaut)</w:t>
      </w:r>
      <w:r>
        <w:rPr>
          <w:rStyle w:val="optioncarChar"/>
        </w:rPr>
        <w:t xml:space="preserve"> / fermé / ***.</w:t>
      </w:r>
    </w:p>
    <w:p w14:paraId="04F2F415" w14:textId="77777777" w:rsidR="004B2808" w:rsidRDefault="00000000">
      <w:r>
        <w:rPr>
          <w:b/>
          <w:sz w:val="24"/>
        </w:rPr>
        <w:t>    Matière synthétique</w:t>
      </w:r>
    </w:p>
    <w:p w14:paraId="778A8006" w14:textId="77777777" w:rsidR="004B2808" w:rsidRDefault="00000000">
      <w:r>
        <w:lastRenderedPageBreak/>
        <w:t>Pour une obtenir un trait de scie sans ébarbures lors du sciage du PVC, deux modes d'exécution sont applicables : à la main (scie à lame et dents très minces); mécaniquement (scie circulaire à une vitesse maximale de 2500 tours/min - disque à dents très petites ou un disque au corborandum).</w:t>
      </w:r>
    </w:p>
    <w:p w14:paraId="175E6171" w14:textId="77777777" w:rsidR="004B2808" w:rsidRDefault="00000000">
      <w:pPr>
        <w:pStyle w:val="pheading"/>
      </w:pPr>
      <w:r>
        <w:t>MESURAGE</w:t>
      </w:r>
    </w:p>
    <w:p w14:paraId="1ACCD7E3" w14:textId="77777777" w:rsidR="004B2808" w:rsidRDefault="00000000">
      <w:pPr>
        <w:pStyle w:val="pheading"/>
      </w:pPr>
      <w:r>
        <w:t>- unité de mesure:</w:t>
      </w:r>
    </w:p>
    <w:p w14:paraId="3F82DCE8" w14:textId="77777777" w:rsidR="004B2808" w:rsidRDefault="00000000">
      <w:r>
        <w:rPr>
          <w:rStyle w:val="optioncarChar"/>
        </w:rPr>
        <w:t xml:space="preserve">- </w:t>
      </w:r>
      <w:r>
        <w:t>(par défaut) </w:t>
      </w:r>
      <w:r>
        <w:rPr>
          <w:rStyle w:val="optioncarChar"/>
        </w:rPr>
        <w:t>/ m² / ***</w:t>
      </w:r>
    </w:p>
    <w:p w14:paraId="1A618806" w14:textId="77777777" w:rsidR="004B2808" w:rsidRDefault="00000000">
      <w:pPr>
        <w:pStyle w:val="pheading"/>
      </w:pPr>
      <w:r>
        <w:t>- code de mesurage:</w:t>
      </w:r>
    </w:p>
    <w:p w14:paraId="2AAC1C8E" w14:textId="77777777" w:rsidR="004B2808" w:rsidRDefault="00000000">
      <w:r>
        <w:t>Choix opéré :</w:t>
      </w:r>
      <w:r>
        <w:rPr>
          <w:rStyle w:val="optioncarChar"/>
          <w:b/>
        </w:rPr>
        <w:t>*** / OPTION 1 </w:t>
      </w:r>
      <w:r>
        <w:t xml:space="preserve">(par défaut) </w:t>
      </w:r>
      <w:r>
        <w:rPr>
          <w:rStyle w:val="optioncarChar"/>
          <w:b/>
        </w:rPr>
        <w:t>/ OPTION 2</w:t>
      </w:r>
    </w:p>
    <w:p w14:paraId="27D04D47" w14:textId="77777777" w:rsidR="004B2808"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7D316086" w14:textId="77777777" w:rsidR="004B2808" w:rsidRDefault="00000000">
      <w:pPr>
        <w:pStyle w:val="pheading"/>
      </w:pPr>
      <w:r>
        <w:t>- nature du marché:</w:t>
      </w:r>
    </w:p>
    <w:p w14:paraId="6A50FCAC" w14:textId="77777777" w:rsidR="004B2808" w:rsidRDefault="00000000">
      <w:r>
        <w:rPr>
          <w:rStyle w:val="optioncarChar"/>
        </w:rPr>
        <w:t>PM </w:t>
      </w:r>
      <w:r>
        <w:t>(par défaut)</w:t>
      </w:r>
      <w:r>
        <w:rPr>
          <w:rStyle w:val="optioncarChar"/>
        </w:rPr>
        <w:t xml:space="preserve"> / QF / ***</w:t>
      </w:r>
    </w:p>
    <w:p w14:paraId="3FFA4666" w14:textId="77777777" w:rsidR="004B2808" w:rsidRDefault="00000000">
      <w:pPr>
        <w:pStyle w:val="Author-eSectionHeading5Numberless"/>
      </w:pPr>
      <w:bookmarkStart w:id="1495" w:name="_Toc220491596"/>
      <w:r>
        <w:t>56.33.4 Eléments de remplissage en panneaux en fibres ciment CCTB 01.02</w:t>
      </w:r>
      <w:bookmarkEnd w:id="1495"/>
    </w:p>
    <w:p w14:paraId="7F6B90D1" w14:textId="77777777" w:rsidR="004B2808" w:rsidRDefault="00000000">
      <w:pPr>
        <w:pStyle w:val="Author-eSectionHeading6Numberless"/>
      </w:pPr>
      <w:bookmarkStart w:id="1496" w:name="_Toc220491597"/>
      <w:r>
        <w:t>56.33.4a Eléments de remplissage en panneaux en fibres ciment CCTB 01.10</w:t>
      </w:r>
      <w:bookmarkEnd w:id="1496"/>
    </w:p>
    <w:p w14:paraId="5C9F92FE" w14:textId="77777777" w:rsidR="004B2808" w:rsidRDefault="00000000">
      <w:pPr>
        <w:pStyle w:val="pheading"/>
      </w:pPr>
      <w:r>
        <w:t>MATÉRIAUX</w:t>
      </w:r>
    </w:p>
    <w:p w14:paraId="70D6F7DB" w14:textId="77777777" w:rsidR="004B2808" w:rsidRDefault="00000000">
      <w:pPr>
        <w:pStyle w:val="pheading"/>
      </w:pPr>
      <w:r>
        <w:t>- Caractéristiques générales</w:t>
      </w:r>
    </w:p>
    <w:p w14:paraId="01EF87BF" w14:textId="77777777" w:rsidR="004B2808" w:rsidRDefault="00000000">
      <w:r>
        <w:t>Les éléments de remplissage sont des panneaux double face avec une âme isolante et une plaque extérieure en fibres-ciment.</w:t>
      </w:r>
    </w:p>
    <w:p w14:paraId="5D374F2D" w14:textId="77777777" w:rsidR="004B2808" w:rsidRDefault="00000000">
      <w:pPr>
        <w:pStyle w:val="heading"/>
      </w:pPr>
      <w:r>
        <w:t>Spécifications</w:t>
      </w:r>
    </w:p>
    <w:p w14:paraId="2DE5524F" w14:textId="77777777" w:rsidR="004B2808" w:rsidRDefault="00000000">
      <w:pPr>
        <w:pStyle w:val="Author-eListParagraph"/>
        <w:numPr>
          <w:ilvl w:val="0"/>
          <w:numId w:val="1319"/>
        </w:numPr>
      </w:pPr>
      <w:r>
        <w:t xml:space="preserve">Epaisseur des plaques : minimum </w:t>
      </w:r>
      <w:r>
        <w:rPr>
          <w:rStyle w:val="optioncarChar"/>
        </w:rPr>
        <w:t>20</w:t>
      </w:r>
      <w:r>
        <w:t> (par défaut)</w:t>
      </w:r>
      <w:r>
        <w:rPr>
          <w:rStyle w:val="optioncarChar"/>
        </w:rPr>
        <w:t xml:space="preserve"> / 30 / 40 / *** </w:t>
      </w:r>
      <w:r>
        <w:t>mm</w:t>
      </w:r>
    </w:p>
    <w:p w14:paraId="51936CD3" w14:textId="77777777" w:rsidR="004B2808" w:rsidRDefault="00000000">
      <w:pPr>
        <w:pStyle w:val="Author-eListParagraph"/>
        <w:numPr>
          <w:ilvl w:val="0"/>
          <w:numId w:val="1319"/>
        </w:numPr>
      </w:pPr>
      <w:r>
        <w:t>Nature des plaques de fibres-ciment</w:t>
      </w:r>
    </w:p>
    <w:p w14:paraId="1FC2C979" w14:textId="77777777" w:rsidR="004B2808" w:rsidRDefault="00000000">
      <w:pPr>
        <w:ind w:left="675"/>
      </w:pPr>
      <w:r>
        <w:t>⇒ Épaisseur nominale : au moins </w:t>
      </w:r>
      <w:r>
        <w:rPr>
          <w:rStyle w:val="optioncarChar"/>
        </w:rPr>
        <w:t>3</w:t>
      </w:r>
      <w:r>
        <w:t> (par défaut)</w:t>
      </w:r>
      <w:r>
        <w:rPr>
          <w:rStyle w:val="optioncarChar"/>
        </w:rPr>
        <w:t xml:space="preserve"> / 4 / 5 ***</w:t>
      </w:r>
      <w:r>
        <w:t xml:space="preserve"> mm</w:t>
      </w:r>
    </w:p>
    <w:p w14:paraId="0EB7F33D" w14:textId="77777777" w:rsidR="004B2808" w:rsidRDefault="00000000">
      <w:pPr>
        <w:ind w:left="675"/>
      </w:pPr>
      <w:r>
        <w:t>⇒ Couleur : </w:t>
      </w:r>
      <w:r>
        <w:rPr>
          <w:rStyle w:val="optioncarChar"/>
        </w:rPr>
        <w:t>à choisir dans la gamme de couleurs standard du fabricant </w:t>
      </w:r>
      <w:r>
        <w:t>(par défaut)</w:t>
      </w:r>
      <w:r>
        <w:rPr>
          <w:rStyle w:val="optioncarChar"/>
        </w:rPr>
        <w:t> / *** </w:t>
      </w:r>
    </w:p>
    <w:p w14:paraId="41FB1B30" w14:textId="77777777" w:rsidR="004B2808" w:rsidRDefault="00000000">
      <w:r>
        <w:t xml:space="preserve">Nature de l'âme isolante; les spécifications de l'isolation sont données dans l'article </w:t>
      </w:r>
      <w:hyperlink w:anchor="73" w:history="1">
        <w:r w:rsidR="004B2808">
          <w:rPr>
            <w:color w:val="0000EE"/>
          </w:rPr>
          <w:t>52.4 Isolation</w:t>
        </w:r>
      </w:hyperlink>
      <w:r>
        <w:t> :</w:t>
      </w:r>
    </w:p>
    <w:p w14:paraId="594EEAD6" w14:textId="77777777" w:rsidR="004B2808" w:rsidRDefault="00000000">
      <w:pPr>
        <w:ind w:left="675"/>
      </w:pPr>
      <w:r>
        <w:t>⇒ Matériau : </w:t>
      </w:r>
      <w:r>
        <w:rPr>
          <w:rStyle w:val="optioncarChar"/>
        </w:rPr>
        <w:t>EPS (polystyrène expansé)</w:t>
      </w:r>
      <w:r>
        <w:t xml:space="preserve"> (par défaut)</w:t>
      </w:r>
      <w:r>
        <w:rPr>
          <w:rStyle w:val="optioncarChar"/>
        </w:rPr>
        <w:t> / XPS (polystyrène extrudé ) / PUR (polyuréthane) / MW (laine minérale) / CG (verre cellulaire) / PF (mousse de phénolformaldéhyde) / PIR (mousse de polyisocyanate) / ciment de laine de bois / magnésite de laine de bois / ***</w:t>
      </w:r>
    </w:p>
    <w:p w14:paraId="4393EAE2" w14:textId="77777777" w:rsidR="004B2808" w:rsidRDefault="00000000">
      <w:pPr>
        <w:ind w:left="675"/>
      </w:pPr>
      <w:r>
        <w:t xml:space="preserve">⇒ Valeur Id déclarée : </w:t>
      </w:r>
      <w:r>
        <w:rPr>
          <w:rStyle w:val="optioncarChar"/>
        </w:rPr>
        <w:t>***</w:t>
      </w:r>
      <w:r>
        <w:t xml:space="preserve"> W/mK</w:t>
      </w:r>
    </w:p>
    <w:p w14:paraId="1CA6C375" w14:textId="77777777" w:rsidR="004B2808" w:rsidRDefault="00000000">
      <w:pPr>
        <w:ind w:left="675"/>
      </w:pPr>
      <w:r>
        <w:t>⇒ Epaisseur de l'isolation : </w:t>
      </w:r>
      <w:r>
        <w:rPr>
          <w:rStyle w:val="optioncarChar"/>
        </w:rPr>
        <w:t>3</w:t>
      </w:r>
      <w:r>
        <w:t> (par défaut)</w:t>
      </w:r>
      <w:r>
        <w:rPr>
          <w:rStyle w:val="optioncarChar"/>
        </w:rPr>
        <w:t xml:space="preserve"> / 6 / 10 / 20 / 30 / ***</w:t>
      </w:r>
      <w:r>
        <w:t xml:space="preserve"> mm.</w:t>
      </w:r>
    </w:p>
    <w:p w14:paraId="44A533CC" w14:textId="77777777" w:rsidR="004B2808" w:rsidRDefault="00000000">
      <w:pPr>
        <w:pStyle w:val="pheading"/>
      </w:pPr>
      <w:r>
        <w:t>- Prescriptions complémentaires</w:t>
      </w:r>
    </w:p>
    <w:p w14:paraId="10C10037" w14:textId="77777777" w:rsidR="004B2808" w:rsidRDefault="00000000">
      <w:r>
        <w:t xml:space="preserve">Plaque intérieure : </w:t>
      </w:r>
      <w:r>
        <w:rPr>
          <w:rStyle w:val="optioncarChar"/>
        </w:rPr>
        <w:t>*** / fibres-ciment / aluminium / bois / multiplex avec placage.</w:t>
      </w:r>
    </w:p>
    <w:p w14:paraId="5731EF0F" w14:textId="77777777" w:rsidR="004B2808" w:rsidRDefault="00000000">
      <w:pPr>
        <w:pStyle w:val="pheading"/>
      </w:pPr>
      <w:r>
        <w:t>EXÉCUTION / MISE EN ŒUVRE</w:t>
      </w:r>
    </w:p>
    <w:p w14:paraId="31ACEB51" w14:textId="77777777" w:rsidR="004B2808" w:rsidRDefault="00000000">
      <w:pPr>
        <w:pStyle w:val="pheading"/>
      </w:pPr>
      <w:r>
        <w:t>- Prescriptions générales</w:t>
      </w:r>
    </w:p>
    <w:p w14:paraId="51CC463C" w14:textId="77777777" w:rsidR="004B2808" w:rsidRDefault="00000000">
      <w:pPr>
        <w:pStyle w:val="Author-eListParagraph"/>
        <w:numPr>
          <w:ilvl w:val="0"/>
          <w:numId w:val="1320"/>
        </w:numPr>
      </w:pPr>
      <w:r>
        <w:lastRenderedPageBreak/>
        <w:t xml:space="preserve"> Les éléments de remplissage sont placés sous vitrage</w:t>
      </w:r>
      <w:r>
        <w:rPr>
          <w:rStyle w:val="optioncarChar"/>
        </w:rPr>
        <w:t xml:space="preserve"> *** /comprimé / semi-comprimé / non-comprimé </w:t>
      </w:r>
      <w:r>
        <w:t xml:space="preserve">. </w:t>
      </w:r>
    </w:p>
    <w:p w14:paraId="24AF5466" w14:textId="77777777" w:rsidR="004B2808" w:rsidRDefault="00000000">
      <w:pPr>
        <w:pStyle w:val="Author-eListParagraph"/>
        <w:numPr>
          <w:ilvl w:val="0"/>
          <w:numId w:val="1320"/>
        </w:numPr>
      </w:pPr>
      <w:r>
        <w:t xml:space="preserve">Les éléments de remplissage sont placés dans un système </w:t>
      </w:r>
      <w:r>
        <w:rPr>
          <w:rStyle w:val="optioncarChar"/>
        </w:rPr>
        <w:t xml:space="preserve">*** / ouvert / fermé . </w:t>
      </w:r>
    </w:p>
    <w:p w14:paraId="75459668" w14:textId="77777777" w:rsidR="004B2808" w:rsidRDefault="00000000">
      <w:pPr>
        <w:pStyle w:val="pheading"/>
      </w:pPr>
      <w:r>
        <w:t>MESURAGE</w:t>
      </w:r>
    </w:p>
    <w:p w14:paraId="09A80D52" w14:textId="77777777" w:rsidR="004B2808" w:rsidRDefault="00000000">
      <w:pPr>
        <w:pStyle w:val="pheading"/>
      </w:pPr>
      <w:r>
        <w:t>- unité de mesure:</w:t>
      </w:r>
    </w:p>
    <w:p w14:paraId="0F13A7E2" w14:textId="77777777" w:rsidR="004B2808" w:rsidRDefault="00000000">
      <w:r>
        <w:rPr>
          <w:rStyle w:val="optioncarChar"/>
        </w:rPr>
        <w:t>*** / m² </w:t>
      </w:r>
    </w:p>
    <w:p w14:paraId="001C3936" w14:textId="77777777" w:rsidR="004B2808" w:rsidRDefault="00000000">
      <w:pPr>
        <w:pStyle w:val="pheading"/>
      </w:pPr>
      <w:r>
        <w:t>- code de mesurage:</w:t>
      </w:r>
    </w:p>
    <w:p w14:paraId="55CB7142" w14:textId="77777777" w:rsidR="004B2808" w:rsidRDefault="00000000">
      <w:r>
        <w:t>Choix opéré :</w:t>
      </w:r>
      <w:r>
        <w:rPr>
          <w:rStyle w:val="optioncarChar"/>
          <w:b/>
        </w:rPr>
        <w:t>*** / OPTION 1 / OPTION 2</w:t>
      </w:r>
    </w:p>
    <w:p w14:paraId="78C4C3FF" w14:textId="77777777" w:rsidR="004B2808"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2F9FFFC1" w14:textId="77777777" w:rsidR="004B2808" w:rsidRDefault="00000000">
      <w:pPr>
        <w:pStyle w:val="pheading"/>
      </w:pPr>
      <w:r>
        <w:t>- nature du marché:</w:t>
      </w:r>
    </w:p>
    <w:p w14:paraId="28235B2B" w14:textId="77777777" w:rsidR="004B2808" w:rsidRDefault="00000000">
      <w:r>
        <w:rPr>
          <w:rStyle w:val="optioncarChar"/>
        </w:rPr>
        <w:t xml:space="preserve">*** / PM / QF  </w:t>
      </w:r>
    </w:p>
    <w:p w14:paraId="6F6D421B" w14:textId="77777777" w:rsidR="004B2808" w:rsidRDefault="00000000">
      <w:pPr>
        <w:pStyle w:val="Author-eSectionHeading4Numberless"/>
      </w:pPr>
      <w:bookmarkStart w:id="1497" w:name="_Toc220491598"/>
      <w:r>
        <w:t>56.34 Eléments de remplissage en panneaux sandwich CCTB 01.10</w:t>
      </w:r>
      <w:bookmarkEnd w:id="1497"/>
    </w:p>
    <w:p w14:paraId="4D8DFC92" w14:textId="77777777" w:rsidR="004B2808" w:rsidRDefault="00000000">
      <w:pPr>
        <w:pStyle w:val="pheading"/>
      </w:pPr>
      <w:r>
        <w:t>MATÉRIAUX</w:t>
      </w:r>
    </w:p>
    <w:p w14:paraId="5B1F4321" w14:textId="77777777" w:rsidR="004B2808" w:rsidRDefault="00000000">
      <w:r>
        <w:t>Les éléments de remplissage à isolation thermique sont constitués de panneaux en</w:t>
      </w:r>
      <w:r>
        <w:rPr>
          <w:rStyle w:val="optioncarChar"/>
        </w:rPr>
        <w:t> bois </w:t>
      </w:r>
      <w:r>
        <w:t>(par défaut)</w:t>
      </w:r>
      <w:r>
        <w:rPr>
          <w:rStyle w:val="optioncarChar"/>
        </w:rPr>
        <w:t xml:space="preserve"> / tôles métalliques / plaques en matière synthétique / plaques en fibres-ciment / *** </w:t>
      </w:r>
      <w:r>
        <w:t>recouvrant une âme isolante.</w:t>
      </w:r>
    </w:p>
    <w:p w14:paraId="595F3DE0" w14:textId="77777777" w:rsidR="004B2808" w:rsidRDefault="00000000">
      <w:r>
        <w:t xml:space="preserve">Le matériau isolant est en </w:t>
      </w:r>
      <w:r>
        <w:rPr>
          <w:rStyle w:val="optioncarChar"/>
        </w:rPr>
        <w:t>polystyrène expansé (EPS) </w:t>
      </w:r>
      <w:r>
        <w:t>(par défaut)</w:t>
      </w:r>
      <w:r>
        <w:rPr>
          <w:rStyle w:val="optioncarChar"/>
        </w:rPr>
        <w:t xml:space="preserve"> / polystyrène extrudé (XPS) / polyuréthane (PUR) / mousse phénolique (PF) / laine minérale (MW) / laine de bois (WW) / liège expansé (ICB) / fibres de bois (WF) / matériau à proposer par l'entrepreneur / ***</w:t>
      </w:r>
      <w:r>
        <w:t>.</w:t>
      </w:r>
    </w:p>
    <w:p w14:paraId="35D5A200" w14:textId="77777777" w:rsidR="004B2808" w:rsidRDefault="00000000">
      <w:r>
        <w:t>Les caractéristiques de celui-ci sont décrites au titre 32.4 Isolation</w:t>
      </w:r>
    </w:p>
    <w:p w14:paraId="5FB4BBDB" w14:textId="77777777" w:rsidR="004B2808" w:rsidRDefault="00000000">
      <w:r>
        <w:t>La conductivité thermique déclarée (valeur λ</w:t>
      </w:r>
      <w:r>
        <w:rPr>
          <w:vertAlign w:val="subscript"/>
        </w:rPr>
        <w:t xml:space="preserve">D </w:t>
      </w:r>
      <w:r>
        <w:t xml:space="preserve">selon [NBN EN 12667] ou selon [NBN EN 12939] pour les produits épais) est de max. </w:t>
      </w:r>
      <w:r>
        <w:rPr>
          <w:rStyle w:val="optioncarChar"/>
        </w:rPr>
        <w:t xml:space="preserve">*** </w:t>
      </w:r>
      <w:r>
        <w:t>W/mK.</w:t>
      </w:r>
    </w:p>
    <w:p w14:paraId="3397A2F1" w14:textId="77777777" w:rsidR="004B2808" w:rsidRDefault="00000000">
      <w:pPr>
        <w:pStyle w:val="Author-eSectionHeading5Numberless"/>
      </w:pPr>
      <w:bookmarkStart w:id="1498" w:name="_Toc220491599"/>
      <w:r>
        <w:t>56.34.1 Eléments de remplissage en panneaux sandwichs en bois CCTB 01.02</w:t>
      </w:r>
      <w:bookmarkEnd w:id="1498"/>
    </w:p>
    <w:p w14:paraId="5B52BDFB" w14:textId="77777777" w:rsidR="004B2808" w:rsidRDefault="00000000">
      <w:pPr>
        <w:pStyle w:val="Author-eSectionHeading6Numberless"/>
      </w:pPr>
      <w:bookmarkStart w:id="1499" w:name="_Toc220491600"/>
      <w:r>
        <w:t>56.34.1a Eléments de remplissage en panneaux sandwichs en bois CCTB 01.10</w:t>
      </w:r>
      <w:bookmarkEnd w:id="1499"/>
    </w:p>
    <w:p w14:paraId="104F3C80" w14:textId="77777777" w:rsidR="004B2808" w:rsidRDefault="00000000">
      <w:pPr>
        <w:pStyle w:val="pheading"/>
      </w:pPr>
      <w:r>
        <w:t>MATÉRIAUX</w:t>
      </w:r>
    </w:p>
    <w:p w14:paraId="4AD0A6B5" w14:textId="77777777" w:rsidR="004B2808" w:rsidRDefault="00000000">
      <w:pPr>
        <w:pStyle w:val="pheading"/>
      </w:pPr>
      <w:r>
        <w:t>- Caractéristiques générales</w:t>
      </w:r>
    </w:p>
    <w:p w14:paraId="41984E09" w14:textId="77777777" w:rsidR="004B2808" w:rsidRDefault="00000000">
      <w:pPr>
        <w:spacing w:before="0" w:after="0"/>
      </w:pPr>
      <w:r>
        <w:rPr>
          <w:b/>
        </w:rPr>
        <w:t>Matériau bois - contre-plaqué</w:t>
      </w:r>
    </w:p>
    <w:p w14:paraId="0AF698C6" w14:textId="77777777" w:rsidR="004B2808" w:rsidRDefault="00000000">
      <w:r>
        <w:t>Les éléments de remplissage sont des plaques de contreplaqué à une seule face, convenant pour</w:t>
      </w:r>
      <w:r>
        <w:rPr>
          <w:rStyle w:val="optioncarChar"/>
        </w:rPr>
        <w:t> la classe d'utilisation II - Humide - usage intérieur</w:t>
      </w:r>
      <w:r>
        <w:t xml:space="preserve"> (par défaut)</w:t>
      </w:r>
      <w:r>
        <w:rPr>
          <w:rStyle w:val="optioncarChar"/>
        </w:rPr>
        <w:t> / ***</w:t>
      </w:r>
      <w:r>
        <w:t xml:space="preserve"> (selon la norme [CEN/TS 635-4] ). Les panneaux de contre-plaqué répondent à la norme </w:t>
      </w:r>
      <w:r>
        <w:rPr>
          <w:shd w:val="clear" w:color="auto" w:fill="FFFFFF"/>
        </w:rPr>
        <w:t>[NBN EN 636+A1] .</w:t>
      </w:r>
    </w:p>
    <w:p w14:paraId="314F8DD1" w14:textId="77777777" w:rsidR="004B2808" w:rsidRDefault="00000000">
      <w:pPr>
        <w:pStyle w:val="heading"/>
      </w:pPr>
      <w:r>
        <w:t>Spécifications</w:t>
      </w:r>
    </w:p>
    <w:p w14:paraId="54005302" w14:textId="77777777" w:rsidR="004B2808" w:rsidRDefault="00000000">
      <w:pPr>
        <w:pStyle w:val="Author-eListParagraph"/>
        <w:numPr>
          <w:ilvl w:val="0"/>
          <w:numId w:val="1321"/>
        </w:numPr>
      </w:pPr>
      <w:r>
        <w:t xml:space="preserve">Nature des plaques de contreplaqué :  </w:t>
      </w:r>
    </w:p>
    <w:p w14:paraId="2B7D4387" w14:textId="77777777" w:rsidR="004B2808" w:rsidRDefault="00000000">
      <w:pPr>
        <w:pStyle w:val="Author-eListParagraph"/>
        <w:numPr>
          <w:ilvl w:val="1"/>
          <w:numId w:val="1322"/>
        </w:numPr>
      </w:pPr>
      <w:r>
        <w:lastRenderedPageBreak/>
        <w:t xml:space="preserve">Composition symétrique sur la base d'au moins </w:t>
      </w:r>
      <w:r>
        <w:rPr>
          <w:rStyle w:val="optioncarChar"/>
        </w:rPr>
        <w:t>3</w:t>
      </w:r>
      <w:r>
        <w:t> (par défaut)</w:t>
      </w:r>
      <w:r>
        <w:rPr>
          <w:rStyle w:val="optioncarChar"/>
        </w:rPr>
        <w:t xml:space="preserve"> / 5 / 7 / ***</w:t>
      </w:r>
      <w:r>
        <w:t xml:space="preserve"> couches de placage.</w:t>
      </w:r>
    </w:p>
    <w:p w14:paraId="7F9456AC" w14:textId="77777777" w:rsidR="004B2808" w:rsidRDefault="00000000">
      <w:pPr>
        <w:pStyle w:val="Author-eListParagraph"/>
        <w:numPr>
          <w:ilvl w:val="1"/>
          <w:numId w:val="1322"/>
        </w:numPr>
      </w:pPr>
      <w:r>
        <w:t>Epaisseur des plaques :</w:t>
      </w:r>
      <w:r>
        <w:rPr>
          <w:rStyle w:val="optioncarChar"/>
        </w:rPr>
        <w:t> 8 </w:t>
      </w:r>
      <w:r>
        <w:t xml:space="preserve">(par défaut) </w:t>
      </w:r>
      <w:r>
        <w:rPr>
          <w:rStyle w:val="optioncarChar"/>
        </w:rPr>
        <w:t>/ 10 / 12 / 15 / 18 / ***</w:t>
      </w:r>
      <w:r>
        <w:t xml:space="preserve"> mm.</w:t>
      </w:r>
    </w:p>
    <w:p w14:paraId="78CE135F" w14:textId="77777777" w:rsidR="004B2808" w:rsidRDefault="00000000">
      <w:pPr>
        <w:pStyle w:val="Author-eListParagraph"/>
        <w:numPr>
          <w:ilvl w:val="1"/>
          <w:numId w:val="1322"/>
        </w:numPr>
      </w:pPr>
      <w:r>
        <w:t xml:space="preserve">Essence des couches de placage : </w:t>
      </w:r>
      <w:r>
        <w:rPr>
          <w:rStyle w:val="optioncarChar"/>
        </w:rPr>
        <w:t>à choisir dans la gamme complète du fabricant </w:t>
      </w:r>
      <w:r>
        <w:t>(par défaut)</w:t>
      </w:r>
      <w:r>
        <w:rPr>
          <w:rStyle w:val="optioncarChar"/>
        </w:rPr>
        <w:t> / ***.</w:t>
      </w:r>
    </w:p>
    <w:p w14:paraId="14CA0C57" w14:textId="77777777" w:rsidR="004B2808" w:rsidRDefault="00000000">
      <w:pPr>
        <w:pStyle w:val="Author-eListParagraph"/>
        <w:numPr>
          <w:ilvl w:val="1"/>
          <w:numId w:val="1322"/>
        </w:numPr>
      </w:pPr>
      <w:r>
        <w:t>Placage: qualité A.</w:t>
      </w:r>
    </w:p>
    <w:p w14:paraId="26481D94" w14:textId="77777777" w:rsidR="004B2808" w:rsidRDefault="00000000">
      <w:pPr>
        <w:pStyle w:val="Author-eListParagraph"/>
        <w:numPr>
          <w:ilvl w:val="1"/>
          <w:numId w:val="1322"/>
        </w:numPr>
      </w:pPr>
      <w:r>
        <w:t>Masse volumique : minimum *** / 520 kg/m³.</w:t>
      </w:r>
    </w:p>
    <w:p w14:paraId="37A3848B" w14:textId="77777777" w:rsidR="004B2808" w:rsidRDefault="00000000">
      <w:pPr>
        <w:pStyle w:val="Author-eListParagraph"/>
        <w:numPr>
          <w:ilvl w:val="1"/>
          <w:numId w:val="1322"/>
        </w:numPr>
      </w:pPr>
      <w:r>
        <w:t>Qualité de l'encollage :</w:t>
      </w:r>
      <w:r>
        <w:rPr>
          <w:rStyle w:val="optioncarChar"/>
        </w:rPr>
        <w:t> 03-67 climat intérieur humide</w:t>
      </w:r>
      <w:r>
        <w:t> (par défaut)</w:t>
      </w:r>
      <w:r>
        <w:rPr>
          <w:rStyle w:val="optioncarChar"/>
        </w:rPr>
        <w:t xml:space="preserve"> / 03-100 climat extérieur - exposition limitée / 72-100 climat extérieur - exposition permanente / *** </w:t>
      </w:r>
      <w:r>
        <w:t xml:space="preserve">. Soit la classe de colle </w:t>
      </w:r>
      <w:r>
        <w:rPr>
          <w:rStyle w:val="optioncarChar"/>
        </w:rPr>
        <w:t>1</w:t>
      </w:r>
      <w:r>
        <w:t> (par défaut)</w:t>
      </w:r>
      <w:r>
        <w:rPr>
          <w:rStyle w:val="optioncarChar"/>
        </w:rPr>
        <w:t xml:space="preserve"> / 2 / 3</w:t>
      </w:r>
      <w:r>
        <w:t xml:space="preserve"> selon la norme [NBN EN 314-2] .</w:t>
      </w:r>
    </w:p>
    <w:p w14:paraId="172090CE" w14:textId="77777777" w:rsidR="004B2808" w:rsidRDefault="00000000">
      <w:pPr>
        <w:pStyle w:val="Author-eListParagraph"/>
        <w:numPr>
          <w:ilvl w:val="1"/>
          <w:numId w:val="1322"/>
        </w:numPr>
      </w:pPr>
      <w:r>
        <w:t>Taux d'humidité à la livraison env. 10 %.</w:t>
      </w:r>
    </w:p>
    <w:p w14:paraId="575FED2D" w14:textId="77777777" w:rsidR="004B2808" w:rsidRDefault="00000000">
      <w:pPr>
        <w:pStyle w:val="Author-eListParagraph"/>
        <w:numPr>
          <w:ilvl w:val="0"/>
          <w:numId w:val="1321"/>
        </w:numPr>
      </w:pPr>
      <w:r>
        <w:t xml:space="preserve">Nature de la couche de finition :  </w:t>
      </w:r>
    </w:p>
    <w:p w14:paraId="161AB5FC" w14:textId="77777777" w:rsidR="004B2808" w:rsidRDefault="00000000">
      <w:pPr>
        <w:pStyle w:val="Author-eListParagraph"/>
        <w:numPr>
          <w:ilvl w:val="1"/>
          <w:numId w:val="1323"/>
        </w:numPr>
      </w:pPr>
      <w:r>
        <w:t>Essence :</w:t>
      </w:r>
      <w:r>
        <w:rPr>
          <w:rStyle w:val="optioncarChar"/>
        </w:rPr>
        <w:t> à choisir dans la gamme complète du fabricant </w:t>
      </w:r>
      <w:r>
        <w:t>(par défaut)</w:t>
      </w:r>
      <w:r>
        <w:rPr>
          <w:rStyle w:val="optioncarChar"/>
        </w:rPr>
        <w:t> / *** </w:t>
      </w:r>
      <w:r>
        <w:t>.</w:t>
      </w:r>
    </w:p>
    <w:p w14:paraId="19C447D6" w14:textId="77777777" w:rsidR="004B2808" w:rsidRDefault="00000000">
      <w:pPr>
        <w:pStyle w:val="Author-eListParagraph"/>
        <w:numPr>
          <w:ilvl w:val="1"/>
          <w:numId w:val="1323"/>
        </w:numPr>
      </w:pPr>
      <w:r>
        <w:t xml:space="preserve">Texture : </w:t>
      </w:r>
      <w:r>
        <w:rPr>
          <w:rStyle w:val="optioncarChar"/>
        </w:rPr>
        <w:t>***</w:t>
      </w:r>
    </w:p>
    <w:p w14:paraId="1A049491" w14:textId="77777777" w:rsidR="004B2808" w:rsidRDefault="00000000">
      <w:pPr>
        <w:pStyle w:val="Author-eListParagraph"/>
        <w:numPr>
          <w:ilvl w:val="1"/>
          <w:numId w:val="1323"/>
        </w:numPr>
      </w:pPr>
      <w:r>
        <w:t xml:space="preserve">Traitement de la surface : </w:t>
      </w:r>
      <w:r>
        <w:rPr>
          <w:rStyle w:val="optioncarChar"/>
        </w:rPr>
        <w:t>non laquée</w:t>
      </w:r>
      <w:r>
        <w:t> (par défaut)</w:t>
      </w:r>
      <w:r>
        <w:rPr>
          <w:rStyle w:val="optioncarChar"/>
        </w:rPr>
        <w:t xml:space="preserve"> / laque UV-polyacrylique / teintée / une face revêtue d'une couche de finition à peindre / ***</w:t>
      </w:r>
    </w:p>
    <w:p w14:paraId="3CC43E84" w14:textId="77777777" w:rsidR="004B2808" w:rsidRDefault="00000000">
      <w:pPr>
        <w:pStyle w:val="Author-eListParagraph"/>
        <w:numPr>
          <w:ilvl w:val="1"/>
          <w:numId w:val="1323"/>
        </w:numPr>
      </w:pPr>
      <w:r>
        <w:t xml:space="preserve">Epaisseur de la couche de finition : </w:t>
      </w:r>
      <w:r>
        <w:rPr>
          <w:rStyle w:val="optioncarChar"/>
        </w:rPr>
        <w:t>100</w:t>
      </w:r>
      <w:r>
        <w:t> (par défaut)</w:t>
      </w:r>
      <w:r>
        <w:rPr>
          <w:rStyle w:val="optioncarChar"/>
        </w:rPr>
        <w:t> / ***</w:t>
      </w:r>
      <w:r>
        <w:t xml:space="preserve"> µ.</w:t>
      </w:r>
    </w:p>
    <w:p w14:paraId="4F9F1E80" w14:textId="77777777" w:rsidR="004B2808" w:rsidRDefault="00000000">
      <w:pPr>
        <w:pStyle w:val="Author-eListParagraph"/>
        <w:numPr>
          <w:ilvl w:val="1"/>
          <w:numId w:val="1323"/>
        </w:numPr>
      </w:pPr>
      <w:r>
        <w:t>Laque : couvrante / transparente</w:t>
      </w:r>
    </w:p>
    <w:p w14:paraId="2661F875" w14:textId="77777777" w:rsidR="004B2808" w:rsidRDefault="00000000">
      <w:pPr>
        <w:pStyle w:val="Author-eListParagraph"/>
        <w:numPr>
          <w:ilvl w:val="1"/>
          <w:numId w:val="1323"/>
        </w:numPr>
      </w:pPr>
      <w:r>
        <w:t>Coloris :</w:t>
      </w:r>
      <w:r>
        <w:rPr>
          <w:rStyle w:val="optioncarChar"/>
        </w:rPr>
        <w:t> à choisir dans la gamme complète du fabricant </w:t>
      </w:r>
      <w:r>
        <w:t>(par défaut)</w:t>
      </w:r>
      <w:r>
        <w:rPr>
          <w:rStyle w:val="optioncarChar"/>
        </w:rPr>
        <w:t> / couleur RAL n° *** / ***</w:t>
      </w:r>
    </w:p>
    <w:p w14:paraId="17855FD2" w14:textId="77777777" w:rsidR="004B2808" w:rsidRDefault="00000000">
      <w:pPr>
        <w:spacing w:before="0" w:after="0"/>
      </w:pPr>
      <w:r>
        <w:rPr>
          <w:b/>
        </w:rPr>
        <w:t>Matériau bois - MDF</w:t>
      </w:r>
    </w:p>
    <w:p w14:paraId="72B9C16B" w14:textId="77777777" w:rsidR="004B2808" w:rsidRDefault="00000000">
      <w:r>
        <w:rPr>
          <w:rStyle w:val="optioncarChar"/>
        </w:rPr>
        <w:t>MDF (Medium Density Fiberboard)</w:t>
      </w:r>
      <w:r>
        <w:t> (par défaut)</w:t>
      </w:r>
      <w:r>
        <w:rPr>
          <w:rStyle w:val="optioncarChar"/>
        </w:rPr>
        <w:t xml:space="preserve"> / MDF.LA / MDF.H / MDF.HLS / *** </w:t>
      </w:r>
      <w:r>
        <w:t>selon la norme [NBN EN 622-5].</w:t>
      </w:r>
    </w:p>
    <w:p w14:paraId="5B3E26AC" w14:textId="77777777" w:rsidR="004B2808" w:rsidRDefault="00000000">
      <w:pPr>
        <w:pStyle w:val="heading"/>
      </w:pPr>
      <w:r>
        <w:t>Spécifications</w:t>
      </w:r>
    </w:p>
    <w:p w14:paraId="7A5E779C" w14:textId="77777777" w:rsidR="004B2808" w:rsidRDefault="00000000">
      <w:pPr>
        <w:pStyle w:val="Author-eListParagraph"/>
        <w:numPr>
          <w:ilvl w:val="0"/>
          <w:numId w:val="1324"/>
        </w:numPr>
      </w:pPr>
      <w:r>
        <w:t xml:space="preserve">Epaisseur des plaques : minimum </w:t>
      </w:r>
      <w:r>
        <w:rPr>
          <w:rStyle w:val="optioncarChar"/>
        </w:rPr>
        <w:t>12</w:t>
      </w:r>
      <w:r>
        <w:t> (par défaut)</w:t>
      </w:r>
      <w:r>
        <w:rPr>
          <w:rStyle w:val="optioncarChar"/>
        </w:rPr>
        <w:t xml:space="preserve"> / 15 / 18 / 20 / 22 / *** </w:t>
      </w:r>
      <w:r>
        <w:t>mm</w:t>
      </w:r>
    </w:p>
    <w:p w14:paraId="151FA7CA" w14:textId="77777777" w:rsidR="004B2808" w:rsidRDefault="00000000">
      <w:pPr>
        <w:pStyle w:val="Author-eListParagraph"/>
        <w:numPr>
          <w:ilvl w:val="0"/>
          <w:numId w:val="1324"/>
        </w:numPr>
      </w:pPr>
      <w:r>
        <w:t xml:space="preserve">Masse volumique : minimum </w:t>
      </w:r>
      <w:r>
        <w:rPr>
          <w:rStyle w:val="optioncarChar"/>
        </w:rPr>
        <w:t>600</w:t>
      </w:r>
      <w:r>
        <w:t xml:space="preserve"> (par défaut) </w:t>
      </w:r>
      <w:r>
        <w:rPr>
          <w:rStyle w:val="optioncarChar"/>
        </w:rPr>
        <w:t>/ 700 / 800 / ***</w:t>
      </w:r>
      <w:r>
        <w:t xml:space="preserve"> kg/m³</w:t>
      </w:r>
    </w:p>
    <w:p w14:paraId="7A74BDA1" w14:textId="77777777" w:rsidR="004B2808" w:rsidRDefault="00000000">
      <w:pPr>
        <w:pStyle w:val="Author-eListParagraph"/>
        <w:numPr>
          <w:ilvl w:val="0"/>
          <w:numId w:val="1324"/>
        </w:numPr>
      </w:pPr>
      <w:r>
        <w:t xml:space="preserve">Traitement de surface : </w:t>
      </w:r>
      <w:r>
        <w:rPr>
          <w:rStyle w:val="optioncarChar"/>
        </w:rPr>
        <w:t>non traitée</w:t>
      </w:r>
      <w:r>
        <w:t xml:space="preserve"> (par défaut) </w:t>
      </w:r>
      <w:r>
        <w:rPr>
          <w:rStyle w:val="optioncarChar"/>
        </w:rPr>
        <w:t>/ deux couches de vernis selon l'article *** / une face revêtue d'une couche de finition à peindre / ***</w:t>
      </w:r>
    </w:p>
    <w:p w14:paraId="6B9BD41A" w14:textId="77777777" w:rsidR="004B2808" w:rsidRDefault="00000000">
      <w:pPr>
        <w:pStyle w:val="Author-eListParagraph"/>
        <w:numPr>
          <w:ilvl w:val="1"/>
          <w:numId w:val="1325"/>
        </w:numPr>
      </w:pPr>
      <w:r>
        <w:t xml:space="preserve">Epaisseur de la couche de finition : </w:t>
      </w:r>
      <w:r>
        <w:rPr>
          <w:rStyle w:val="optioncarChar"/>
        </w:rPr>
        <w:t>100  </w:t>
      </w:r>
      <w:r>
        <w:t>(par défaut) </w:t>
      </w:r>
      <w:r>
        <w:rPr>
          <w:rStyle w:val="optioncarChar"/>
        </w:rPr>
        <w:t>/ *** </w:t>
      </w:r>
      <w:r>
        <w:t xml:space="preserve"> µ.</w:t>
      </w:r>
    </w:p>
    <w:p w14:paraId="5424EB25" w14:textId="77777777" w:rsidR="004B2808" w:rsidRDefault="00000000">
      <w:pPr>
        <w:pStyle w:val="Author-eListParagraph"/>
        <w:numPr>
          <w:ilvl w:val="1"/>
          <w:numId w:val="1325"/>
        </w:numPr>
      </w:pPr>
      <w:r>
        <w:t xml:space="preserve">Laque : </w:t>
      </w:r>
      <w:r>
        <w:rPr>
          <w:rStyle w:val="optioncarChar"/>
        </w:rPr>
        <w:t>couvrante </w:t>
      </w:r>
      <w:r>
        <w:t>(par défaut)</w:t>
      </w:r>
      <w:r>
        <w:rPr>
          <w:rStyle w:val="optioncarChar"/>
        </w:rPr>
        <w:t xml:space="preserve"> / transparente / ***</w:t>
      </w:r>
    </w:p>
    <w:p w14:paraId="275DD477" w14:textId="77777777" w:rsidR="004B2808" w:rsidRDefault="00000000">
      <w:pPr>
        <w:pStyle w:val="Author-eListParagraph"/>
        <w:numPr>
          <w:ilvl w:val="1"/>
          <w:numId w:val="1325"/>
        </w:numPr>
      </w:pPr>
      <w:r>
        <w:t xml:space="preserve">Coloris : </w:t>
      </w:r>
      <w:r>
        <w:rPr>
          <w:rStyle w:val="optioncarChar"/>
        </w:rPr>
        <w:t>à choisir dans la gamme complète du fabricant (par défaut) / couleur RAL n° *** / ***</w:t>
      </w:r>
    </w:p>
    <w:p w14:paraId="55ACB3E5" w14:textId="77777777" w:rsidR="004B2808" w:rsidRDefault="00000000">
      <w:pPr>
        <w:spacing w:before="0" w:after="0"/>
      </w:pPr>
      <w:r>
        <w:rPr>
          <w:b/>
        </w:rPr>
        <w:t>Matériau bois - Panneaux de particules</w:t>
      </w:r>
    </w:p>
    <w:p w14:paraId="5D7E29C9" w14:textId="77777777" w:rsidR="004B2808" w:rsidRDefault="00000000">
      <w:r>
        <w:rPr>
          <w:rStyle w:val="optioncarChar"/>
        </w:rPr>
        <w:t>P2 </w:t>
      </w:r>
      <w:r>
        <w:t>(par défaut)</w:t>
      </w:r>
      <w:r>
        <w:rPr>
          <w:rStyle w:val="optioncarChar"/>
        </w:rPr>
        <w:t xml:space="preserve"> / P3 / P4 / P5 / P6 / P7 / ***</w:t>
      </w:r>
      <w:r>
        <w:t xml:space="preserve"> selon la norme [NBN EN 312].</w:t>
      </w:r>
    </w:p>
    <w:p w14:paraId="4C15FCCE" w14:textId="77777777" w:rsidR="004B2808" w:rsidRDefault="00000000">
      <w:pPr>
        <w:pStyle w:val="heading"/>
      </w:pPr>
      <w:r>
        <w:t>Spécifications</w:t>
      </w:r>
    </w:p>
    <w:p w14:paraId="02903D30" w14:textId="77777777" w:rsidR="004B2808" w:rsidRDefault="00000000">
      <w:pPr>
        <w:pStyle w:val="Author-eListParagraph"/>
        <w:numPr>
          <w:ilvl w:val="0"/>
          <w:numId w:val="1326"/>
        </w:numPr>
      </w:pPr>
      <w:r>
        <w:t xml:space="preserve">Epaisseur des plaques : minimum </w:t>
      </w:r>
      <w:r>
        <w:rPr>
          <w:rStyle w:val="optioncarChar"/>
        </w:rPr>
        <w:t>12 </w:t>
      </w:r>
      <w:r>
        <w:t>(par défaut)</w:t>
      </w:r>
      <w:r>
        <w:rPr>
          <w:rStyle w:val="optioncarChar"/>
        </w:rPr>
        <w:t xml:space="preserve"> / 15 / 18 / *** </w:t>
      </w:r>
      <w:r>
        <w:t>mm</w:t>
      </w:r>
    </w:p>
    <w:p w14:paraId="7287FF73" w14:textId="77777777" w:rsidR="004B2808" w:rsidRDefault="00000000">
      <w:pPr>
        <w:pStyle w:val="Author-eListParagraph"/>
        <w:numPr>
          <w:ilvl w:val="0"/>
          <w:numId w:val="1326"/>
        </w:numPr>
      </w:pPr>
      <w:r>
        <w:t xml:space="preserve">Masse volumique : minimum </w:t>
      </w:r>
      <w:r>
        <w:rPr>
          <w:rStyle w:val="optioncarChar"/>
        </w:rPr>
        <w:t>400 </w:t>
      </w:r>
      <w:r>
        <w:t>(par défaut)</w:t>
      </w:r>
      <w:r>
        <w:rPr>
          <w:rStyle w:val="optioncarChar"/>
        </w:rPr>
        <w:t xml:space="preserve"> / 500 / *** </w:t>
      </w:r>
      <w:r>
        <w:t>kg/m³</w:t>
      </w:r>
    </w:p>
    <w:p w14:paraId="665FD4A4" w14:textId="77777777" w:rsidR="004B2808" w:rsidRDefault="00000000">
      <w:pPr>
        <w:pStyle w:val="Author-eListParagraph"/>
        <w:numPr>
          <w:ilvl w:val="0"/>
          <w:numId w:val="1326"/>
        </w:numPr>
      </w:pPr>
      <w:r>
        <w:t>Traitement de surface :</w:t>
      </w:r>
      <w:r>
        <w:rPr>
          <w:rStyle w:val="optioncarChar"/>
        </w:rPr>
        <w:t> non traitée </w:t>
      </w:r>
      <w:r>
        <w:t>(par défaut)</w:t>
      </w:r>
      <w:r>
        <w:rPr>
          <w:rStyle w:val="optioncarChar"/>
        </w:rPr>
        <w:t xml:space="preserve"> / deux couches de vernis selon l'article *** / une face revêtue d'une couche de finition à peindre / ***</w:t>
      </w:r>
    </w:p>
    <w:p w14:paraId="056D7DB6" w14:textId="77777777" w:rsidR="004B2808" w:rsidRDefault="00000000">
      <w:pPr>
        <w:pStyle w:val="Author-eListParagraph"/>
        <w:numPr>
          <w:ilvl w:val="1"/>
          <w:numId w:val="1327"/>
        </w:numPr>
      </w:pPr>
      <w:r>
        <w:t xml:space="preserve">Epaisseur de la couche de finition : </w:t>
      </w:r>
      <w:r>
        <w:rPr>
          <w:rStyle w:val="optioncarChar"/>
        </w:rPr>
        <w:t>100 </w:t>
      </w:r>
      <w:r>
        <w:t>(par défaut)</w:t>
      </w:r>
      <w:r>
        <w:rPr>
          <w:rStyle w:val="optioncarChar"/>
        </w:rPr>
        <w:t> / *** </w:t>
      </w:r>
      <w:r>
        <w:t>µ.</w:t>
      </w:r>
    </w:p>
    <w:p w14:paraId="547C5255" w14:textId="77777777" w:rsidR="004B2808" w:rsidRDefault="00000000">
      <w:pPr>
        <w:pStyle w:val="Author-eListParagraph"/>
        <w:numPr>
          <w:ilvl w:val="1"/>
          <w:numId w:val="1327"/>
        </w:numPr>
      </w:pPr>
      <w:r>
        <w:t xml:space="preserve">Laque : </w:t>
      </w:r>
      <w:r>
        <w:rPr>
          <w:rStyle w:val="optioncarChar"/>
        </w:rPr>
        <w:t xml:space="preserve">couvrante </w:t>
      </w:r>
      <w:r>
        <w:t>(par défaut) </w:t>
      </w:r>
      <w:r>
        <w:rPr>
          <w:rStyle w:val="optioncarChar"/>
        </w:rPr>
        <w:t>/ transparente / ***</w:t>
      </w:r>
    </w:p>
    <w:p w14:paraId="406F6EF4" w14:textId="77777777" w:rsidR="004B2808" w:rsidRDefault="00000000">
      <w:pPr>
        <w:pStyle w:val="Author-eListParagraph"/>
        <w:numPr>
          <w:ilvl w:val="1"/>
          <w:numId w:val="1327"/>
        </w:numPr>
      </w:pPr>
      <w:r>
        <w:t xml:space="preserve">Coloris : </w:t>
      </w:r>
      <w:r>
        <w:rPr>
          <w:rStyle w:val="optioncarChar"/>
        </w:rPr>
        <w:t>à choisir dans la gamme complète du fabricant </w:t>
      </w:r>
      <w:r>
        <w:t>(par défaut)</w:t>
      </w:r>
      <w:r>
        <w:rPr>
          <w:rStyle w:val="optioncarChar"/>
        </w:rPr>
        <w:t xml:space="preserve"> / couleur RAL n° *** / ***</w:t>
      </w:r>
    </w:p>
    <w:p w14:paraId="0E006BF2" w14:textId="77777777" w:rsidR="004B2808" w:rsidRDefault="00000000">
      <w:pPr>
        <w:pStyle w:val="pheading"/>
      </w:pPr>
      <w:r>
        <w:t>MESURAGE</w:t>
      </w:r>
    </w:p>
    <w:p w14:paraId="4139EC92" w14:textId="77777777" w:rsidR="004B2808" w:rsidRDefault="00000000">
      <w:pPr>
        <w:pStyle w:val="pheading"/>
      </w:pPr>
      <w:r>
        <w:t>- unité de mesure:</w:t>
      </w:r>
    </w:p>
    <w:p w14:paraId="663565B8" w14:textId="77777777" w:rsidR="004B2808" w:rsidRDefault="00000000">
      <w:r>
        <w:rPr>
          <w:rStyle w:val="optioncarChar"/>
        </w:rPr>
        <w:t xml:space="preserve">  *** / m² </w:t>
      </w:r>
    </w:p>
    <w:p w14:paraId="298C2507" w14:textId="77777777" w:rsidR="004B2808" w:rsidRDefault="00000000">
      <w:pPr>
        <w:pStyle w:val="pheading"/>
      </w:pPr>
      <w:r>
        <w:t>- code de mesurage:</w:t>
      </w:r>
    </w:p>
    <w:p w14:paraId="00754794" w14:textId="77777777" w:rsidR="004B2808" w:rsidRDefault="00000000">
      <w:r>
        <w:t xml:space="preserve">Choix opéré : </w:t>
      </w:r>
      <w:r>
        <w:rPr>
          <w:rStyle w:val="optioncarChar"/>
          <w:b/>
        </w:rPr>
        <w:t>*** / OPTION 1</w:t>
      </w:r>
      <w:r>
        <w:t xml:space="preserve"> (par défaut) </w:t>
      </w:r>
      <w:r>
        <w:rPr>
          <w:rStyle w:val="optioncarChar"/>
          <w:b/>
        </w:rPr>
        <w:t>/ OPTION 2</w:t>
      </w:r>
    </w:p>
    <w:p w14:paraId="2E479790" w14:textId="77777777" w:rsidR="004B2808" w:rsidRDefault="00000000">
      <w:r>
        <w:rPr>
          <w:b/>
        </w:rPr>
        <w:lastRenderedPageBreak/>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0B8E3BE5" w14:textId="77777777" w:rsidR="004B2808" w:rsidRDefault="00000000">
      <w:pPr>
        <w:pStyle w:val="pheading"/>
      </w:pPr>
      <w:r>
        <w:t>- nature du marché:</w:t>
      </w:r>
    </w:p>
    <w:p w14:paraId="6A9C713B" w14:textId="77777777" w:rsidR="004B2808" w:rsidRDefault="00000000">
      <w:r>
        <w:rPr>
          <w:rStyle w:val="optioncarChar"/>
        </w:rPr>
        <w:t>PM </w:t>
      </w:r>
      <w:r>
        <w:t>(par défaut)</w:t>
      </w:r>
      <w:r>
        <w:rPr>
          <w:rStyle w:val="optioncarChar"/>
        </w:rPr>
        <w:t xml:space="preserve"> / QF / ***</w:t>
      </w:r>
    </w:p>
    <w:p w14:paraId="0EB0CD00" w14:textId="77777777" w:rsidR="004B2808" w:rsidRDefault="00000000">
      <w:pPr>
        <w:pStyle w:val="Author-eSectionHeading5Numberless"/>
      </w:pPr>
      <w:bookmarkStart w:id="1500" w:name="_Toc220491601"/>
      <w:r>
        <w:t>56.34.2 Eléments de remplissage en panneaux sandwichs métalliques CCTB 01.02</w:t>
      </w:r>
      <w:bookmarkEnd w:id="1500"/>
    </w:p>
    <w:p w14:paraId="2FB52BA7" w14:textId="77777777" w:rsidR="004B2808" w:rsidRDefault="00000000">
      <w:pPr>
        <w:pStyle w:val="Author-eSectionHeading6Numberless"/>
      </w:pPr>
      <w:bookmarkStart w:id="1501" w:name="_Toc220491602"/>
      <w:r>
        <w:t>56.34.2a Eléments de remplissage en panneaux sandwichs métalliques CCTB 01.10</w:t>
      </w:r>
      <w:bookmarkEnd w:id="1501"/>
    </w:p>
    <w:p w14:paraId="5458776A" w14:textId="77777777" w:rsidR="004B2808" w:rsidRDefault="00000000">
      <w:pPr>
        <w:pStyle w:val="pheading"/>
      </w:pPr>
      <w:r>
        <w:t>MATÉRIAUX</w:t>
      </w:r>
    </w:p>
    <w:p w14:paraId="60E9FDDD" w14:textId="77777777" w:rsidR="004B2808" w:rsidRDefault="00000000">
      <w:pPr>
        <w:pStyle w:val="pheading"/>
      </w:pPr>
      <w:r>
        <w:t>- Caractéristiques générales</w:t>
      </w:r>
    </w:p>
    <w:p w14:paraId="0BBCF7C2" w14:textId="77777777" w:rsidR="004B2808" w:rsidRDefault="00000000">
      <w:r>
        <w:t xml:space="preserve">Les éléments de remplissage à isolation thermique sont composés en tôles d' </w:t>
      </w:r>
      <w:r>
        <w:rPr>
          <w:rStyle w:val="optioncarChar"/>
        </w:rPr>
        <w:t>aluminium</w:t>
      </w:r>
      <w:r>
        <w:t> (par défaut)</w:t>
      </w:r>
      <w:r>
        <w:rPr>
          <w:rStyle w:val="optioncarChar"/>
        </w:rPr>
        <w:t xml:space="preserve"> / acier / *** </w:t>
      </w:r>
      <w:r>
        <w:t>recouvrant une âme isolante. Les panneaux sont livrés avec un film de protection amovible.</w:t>
      </w:r>
    </w:p>
    <w:p w14:paraId="6B79733D" w14:textId="77777777" w:rsidR="004B2808" w:rsidRDefault="00000000">
      <w:pPr>
        <w:pStyle w:val="heading"/>
      </w:pPr>
      <w:r>
        <w:t>Spécifications</w:t>
      </w:r>
    </w:p>
    <w:p w14:paraId="2D46D9FB" w14:textId="77777777" w:rsidR="004B2808" w:rsidRDefault="00000000">
      <w:r>
        <w:t xml:space="preserve">Epaisseur des plaques : au moins </w:t>
      </w:r>
      <w:r>
        <w:rPr>
          <w:rStyle w:val="optioncarChar"/>
        </w:rPr>
        <w:t>20</w:t>
      </w:r>
      <w:r>
        <w:t xml:space="preserve"> (par défaut) </w:t>
      </w:r>
      <w:r>
        <w:rPr>
          <w:rStyle w:val="optioncarChar"/>
        </w:rPr>
        <w:t>/ 30 / 40 / ***</w:t>
      </w:r>
      <w:r>
        <w:t xml:space="preserve"> mm.</w:t>
      </w:r>
    </w:p>
    <w:p w14:paraId="12253E8A" w14:textId="77777777" w:rsidR="004B2808" w:rsidRDefault="00000000">
      <w:r>
        <w:t>Nature des plaques d'aluminium ou acier :</w:t>
      </w:r>
    </w:p>
    <w:p w14:paraId="39DCEB22" w14:textId="77777777" w:rsidR="004B2808" w:rsidRDefault="00000000">
      <w:pPr>
        <w:ind w:left="675"/>
      </w:pPr>
      <w:r>
        <w:t>⇒ Épaisseur nominale : au moins  </w:t>
      </w:r>
      <w:r>
        <w:rPr>
          <w:rStyle w:val="optioncarChar"/>
        </w:rPr>
        <w:t>0,7</w:t>
      </w:r>
      <w:r>
        <w:t xml:space="preserve"> (par défaut) </w:t>
      </w:r>
      <w:r>
        <w:rPr>
          <w:rStyle w:val="optioncarChar"/>
        </w:rPr>
        <w:t>/ 1,5 / *** mm</w:t>
      </w:r>
      <w:r>
        <w:t>.</w:t>
      </w:r>
    </w:p>
    <w:p w14:paraId="6B353743" w14:textId="77777777" w:rsidR="004B2808" w:rsidRDefault="00000000">
      <w:pPr>
        <w:ind w:left="675"/>
      </w:pPr>
      <w:r>
        <w:t xml:space="preserve">⇒ Finition et couleur  : </w:t>
      </w:r>
      <w:r>
        <w:rPr>
          <w:rStyle w:val="optioncarChar"/>
        </w:rPr>
        <w:t>identiques à celles des profilés de fenêtre </w:t>
      </w:r>
      <w:r>
        <w:t>(par défaut)</w:t>
      </w:r>
      <w:r>
        <w:rPr>
          <w:rStyle w:val="optioncarChar"/>
        </w:rPr>
        <w:t> / ***</w:t>
      </w:r>
    </w:p>
    <w:p w14:paraId="73960337" w14:textId="77777777" w:rsidR="004B2808" w:rsidRDefault="00000000">
      <w:r>
        <w:t xml:space="preserve">Nature du matériau d'isolation; les spécifications des isolants sont définies dans les articles </w:t>
      </w:r>
      <w:hyperlink w:anchor="73" w:history="1">
        <w:r w:rsidR="004B2808">
          <w:rPr>
            <w:color w:val="0000EE"/>
          </w:rPr>
          <w:t>52.4 Isolation</w:t>
        </w:r>
      </w:hyperlink>
      <w:r>
        <w:t xml:space="preserve"> et suivants::</w:t>
      </w:r>
    </w:p>
    <w:p w14:paraId="5D065B2D" w14:textId="77777777" w:rsidR="004B2808" w:rsidRDefault="00000000">
      <w:pPr>
        <w:ind w:left="675"/>
      </w:pPr>
      <w:r>
        <w:t xml:space="preserve">⇒ Matériau : </w:t>
      </w:r>
      <w:r>
        <w:rPr>
          <w:rStyle w:val="optioncarChar"/>
        </w:rPr>
        <w:t>polystyrène extrudé</w:t>
      </w:r>
      <w:r>
        <w:t xml:space="preserve"> (par défaut) </w:t>
      </w:r>
      <w:r>
        <w:rPr>
          <w:rStyle w:val="optioncarChar"/>
        </w:rPr>
        <w:t>/ polyuréthane / fibres minérales  / ***</w:t>
      </w:r>
    </w:p>
    <w:p w14:paraId="57E4B379" w14:textId="77777777" w:rsidR="004B2808" w:rsidRDefault="00000000">
      <w:pPr>
        <w:ind w:left="675"/>
      </w:pPr>
      <w:r>
        <w:t xml:space="preserve">⇒ Épaisseur nominale : au moins </w:t>
      </w:r>
      <w:r>
        <w:rPr>
          <w:rStyle w:val="optioncarChar"/>
        </w:rPr>
        <w:t>20 </w:t>
      </w:r>
      <w:r>
        <w:t>(par défaut)</w:t>
      </w:r>
      <w:r>
        <w:rPr>
          <w:rStyle w:val="optioncarChar"/>
        </w:rPr>
        <w:t xml:space="preserve"> / 30 / 40 / ***</w:t>
      </w:r>
      <w:r>
        <w:t xml:space="preserve"> mm.</w:t>
      </w:r>
    </w:p>
    <w:p w14:paraId="7BC618E6" w14:textId="77777777" w:rsidR="004B2808" w:rsidRDefault="00000000">
      <w:pPr>
        <w:ind w:left="675"/>
      </w:pPr>
      <w:r>
        <w:t xml:space="preserve">⇒ Conductibilité thermique : maximum </w:t>
      </w:r>
      <w:r>
        <w:rPr>
          <w:rStyle w:val="optioncarChar"/>
        </w:rPr>
        <w:t>40</w:t>
      </w:r>
      <w:r>
        <w:t> (par défaut)</w:t>
      </w:r>
      <w:r>
        <w:rPr>
          <w:rStyle w:val="optioncarChar"/>
        </w:rPr>
        <w:t> / *** </w:t>
      </w:r>
      <w:r>
        <w:t xml:space="preserve"> W/mK</w:t>
      </w:r>
    </w:p>
    <w:p w14:paraId="79B617A0" w14:textId="77777777" w:rsidR="004B2808" w:rsidRDefault="00000000">
      <w:pPr>
        <w:pStyle w:val="pheading"/>
      </w:pPr>
      <w:r>
        <w:t>- Prescriptions complémentaires</w:t>
      </w:r>
    </w:p>
    <w:p w14:paraId="59B560DD" w14:textId="77777777" w:rsidR="004B2808" w:rsidRDefault="00000000">
      <w:r>
        <w:t xml:space="preserve">Les panneaux de remplissage pour les portes d'entrée sont pourvus d'une fenêtre </w:t>
      </w:r>
      <w:r>
        <w:rPr>
          <w:rStyle w:val="optioncarChar"/>
        </w:rPr>
        <w:t>ronde</w:t>
      </w:r>
      <w:r>
        <w:t> (par défaut)</w:t>
      </w:r>
      <w:r>
        <w:rPr>
          <w:rStyle w:val="optioncarChar"/>
        </w:rPr>
        <w:t xml:space="preserve"> / carrée / *** </w:t>
      </w:r>
      <w:r>
        <w:t>à double vitrage (</w:t>
      </w:r>
      <w:r>
        <w:rPr>
          <w:rStyle w:val="optioncarChar"/>
        </w:rPr>
        <w:t>mat </w:t>
      </w:r>
      <w:r>
        <w:t xml:space="preserve">(par défaut) </w:t>
      </w:r>
      <w:r>
        <w:rPr>
          <w:rStyle w:val="optioncarChar"/>
        </w:rPr>
        <w:t>/ clair / ***</w:t>
      </w:r>
      <w:r>
        <w:t xml:space="preserve"> ), située dans le même plan que le panneau, intégrée dans le panneau sans profils périphériques et colmatée avec des silicones incolores. Diamètre : </w:t>
      </w:r>
      <w:r>
        <w:rPr>
          <w:rStyle w:val="optioncarChar"/>
        </w:rPr>
        <w:t>30</w:t>
      </w:r>
      <w:r>
        <w:t> (par défaut)</w:t>
      </w:r>
      <w:r>
        <w:rPr>
          <w:rStyle w:val="optioncarChar"/>
        </w:rPr>
        <w:t> / *** </w:t>
      </w:r>
      <w:r>
        <w:t>cm.</w:t>
      </w:r>
    </w:p>
    <w:p w14:paraId="1E51F559" w14:textId="77777777" w:rsidR="004B2808" w:rsidRDefault="00000000">
      <w:pPr>
        <w:pStyle w:val="pheading"/>
      </w:pPr>
      <w:r>
        <w:t>EXÉCUTION / MISE EN ŒUVRE</w:t>
      </w:r>
    </w:p>
    <w:p w14:paraId="493E22DC" w14:textId="77777777" w:rsidR="004B2808" w:rsidRDefault="00000000">
      <w:pPr>
        <w:pStyle w:val="pheading"/>
      </w:pPr>
      <w:r>
        <w:t>- Prescriptions générales</w:t>
      </w:r>
    </w:p>
    <w:p w14:paraId="6FCC2F5B" w14:textId="77777777" w:rsidR="004B2808" w:rsidRDefault="00000000">
      <w:r>
        <w:t>Les éléments de remplissage sont placés sous vitrage</w:t>
      </w:r>
      <w:r>
        <w:rPr>
          <w:rStyle w:val="optioncarChar"/>
        </w:rPr>
        <w:t> comprimé</w:t>
      </w:r>
      <w:r>
        <w:t xml:space="preserve"> (par défaut) </w:t>
      </w:r>
      <w:r>
        <w:rPr>
          <w:rStyle w:val="optioncarChar"/>
        </w:rPr>
        <w:t>/ semi-comprimé / non-comprimé / ***</w:t>
      </w:r>
      <w:r>
        <w:t>.</w:t>
      </w:r>
      <w:r>
        <w:br/>
        <w:t xml:space="preserve">Les éléments de remplissage sont placés dans un système </w:t>
      </w:r>
      <w:r>
        <w:rPr>
          <w:rStyle w:val="optioncarChar"/>
        </w:rPr>
        <w:t>ouvert</w:t>
      </w:r>
      <w:r>
        <w:t> (par défaut)</w:t>
      </w:r>
      <w:r>
        <w:rPr>
          <w:rStyle w:val="optioncarChar"/>
        </w:rPr>
        <w:t xml:space="preserve"> / fermé / *** .</w:t>
      </w:r>
    </w:p>
    <w:p w14:paraId="0741A34F" w14:textId="77777777" w:rsidR="004B2808" w:rsidRDefault="00000000">
      <w:pPr>
        <w:pStyle w:val="pheading"/>
      </w:pPr>
      <w:r>
        <w:t>MESURAGE</w:t>
      </w:r>
    </w:p>
    <w:p w14:paraId="7C22BAE1" w14:textId="77777777" w:rsidR="004B2808" w:rsidRDefault="00000000">
      <w:pPr>
        <w:pStyle w:val="pheading"/>
      </w:pPr>
      <w:r>
        <w:t>- unité de mesure:</w:t>
      </w:r>
    </w:p>
    <w:p w14:paraId="5B6837E2" w14:textId="77777777" w:rsidR="004B2808" w:rsidRDefault="00000000">
      <w:r>
        <w:rPr>
          <w:rStyle w:val="optioncarChar"/>
        </w:rPr>
        <w:t>*** / m²</w:t>
      </w:r>
    </w:p>
    <w:p w14:paraId="4834B38A" w14:textId="77777777" w:rsidR="004B2808" w:rsidRDefault="00000000">
      <w:pPr>
        <w:pStyle w:val="pheading"/>
      </w:pPr>
      <w:r>
        <w:lastRenderedPageBreak/>
        <w:t>- code de mesurage:</w:t>
      </w:r>
    </w:p>
    <w:p w14:paraId="28D89831" w14:textId="77777777" w:rsidR="004B2808" w:rsidRDefault="00000000">
      <w:r>
        <w:t>Choix opéré :</w:t>
      </w:r>
      <w:r>
        <w:rPr>
          <w:rStyle w:val="optioncarChar"/>
          <w:b/>
        </w:rPr>
        <w:t>*** / OPTION 1</w:t>
      </w:r>
      <w:r>
        <w:t xml:space="preserve"> (par défaut) </w:t>
      </w:r>
      <w:r>
        <w:rPr>
          <w:rStyle w:val="optioncarChar"/>
          <w:b/>
        </w:rPr>
        <w:t>/ OPTION 2</w:t>
      </w:r>
    </w:p>
    <w:p w14:paraId="18534839" w14:textId="77777777" w:rsidR="004B2808"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4E0683EE" w14:textId="77777777" w:rsidR="004B2808" w:rsidRDefault="00000000">
      <w:pPr>
        <w:pStyle w:val="pheading"/>
      </w:pPr>
      <w:r>
        <w:t>- nature du marché:</w:t>
      </w:r>
    </w:p>
    <w:p w14:paraId="6B001767" w14:textId="77777777" w:rsidR="004B2808" w:rsidRDefault="00000000">
      <w:r>
        <w:rPr>
          <w:rStyle w:val="optioncarChar"/>
        </w:rPr>
        <w:t>PM </w:t>
      </w:r>
      <w:r>
        <w:t>(par défaut)</w:t>
      </w:r>
      <w:r>
        <w:rPr>
          <w:rStyle w:val="optioncarChar"/>
        </w:rPr>
        <w:t> / QF / ***</w:t>
      </w:r>
    </w:p>
    <w:p w14:paraId="7D8EB15E" w14:textId="77777777" w:rsidR="004B2808" w:rsidRDefault="00000000">
      <w:pPr>
        <w:pStyle w:val="Author-eSectionHeading5Numberless"/>
      </w:pPr>
      <w:bookmarkStart w:id="1502" w:name="_Toc220491603"/>
      <w:r>
        <w:t>56.34.3 Eléments de remplissage en panneaux sandwichs en matière synthétique CCTB 01.02</w:t>
      </w:r>
      <w:bookmarkEnd w:id="1502"/>
    </w:p>
    <w:p w14:paraId="6637532A" w14:textId="77777777" w:rsidR="004B2808" w:rsidRDefault="00000000">
      <w:pPr>
        <w:pStyle w:val="Author-eSectionHeading6Numberless"/>
      </w:pPr>
      <w:bookmarkStart w:id="1503" w:name="_Toc220491604"/>
      <w:r>
        <w:t>56.34.3a Eléments de remplissage en panneaux sandwichs en matière synthétique CCTB 01.10</w:t>
      </w:r>
      <w:bookmarkEnd w:id="1503"/>
    </w:p>
    <w:p w14:paraId="737E6160" w14:textId="77777777" w:rsidR="004B2808" w:rsidRDefault="00000000">
      <w:pPr>
        <w:pStyle w:val="pheading"/>
      </w:pPr>
      <w:r>
        <w:t>MATÉRIAUX</w:t>
      </w:r>
    </w:p>
    <w:p w14:paraId="526A8806" w14:textId="77777777" w:rsidR="004B2808" w:rsidRDefault="00000000">
      <w:pPr>
        <w:pStyle w:val="pheading"/>
      </w:pPr>
      <w:r>
        <w:t>- Caractéristiques générales</w:t>
      </w:r>
    </w:p>
    <w:p w14:paraId="5BF13A99" w14:textId="77777777" w:rsidR="004B2808" w:rsidRDefault="00000000">
      <w:r>
        <w:rPr>
          <w:b/>
          <w:sz w:val="24"/>
        </w:rPr>
        <w:t>Matière synthétique</w:t>
      </w:r>
    </w:p>
    <w:p w14:paraId="5061F96A" w14:textId="77777777" w:rsidR="004B2808" w:rsidRDefault="00000000">
      <w:r>
        <w:t xml:space="preserve">Les éléments de remplissage se composent de plaques en PVC dur ( </w:t>
      </w:r>
      <w:r>
        <w:rPr>
          <w:rStyle w:val="optioncarChar"/>
        </w:rPr>
        <w:t>chlorure de polyvinyle dur </w:t>
      </w:r>
      <w:r>
        <w:t>(par défaut)</w:t>
      </w:r>
      <w:r>
        <w:rPr>
          <w:rStyle w:val="optioncarChar"/>
        </w:rPr>
        <w:t xml:space="preserve"> / ***) </w:t>
      </w:r>
      <w:r>
        <w:t>et d'une âme isolante. Les plaques sont livrées avec un film de polyéthylène amovible.</w:t>
      </w:r>
    </w:p>
    <w:p w14:paraId="59AA3EAF" w14:textId="77777777" w:rsidR="004B2808" w:rsidRDefault="00000000">
      <w:pPr>
        <w:pStyle w:val="heading"/>
      </w:pPr>
      <w:r>
        <w:t>Spécifications</w:t>
      </w:r>
    </w:p>
    <w:p w14:paraId="73339DFB" w14:textId="77777777" w:rsidR="004B2808" w:rsidRDefault="00000000">
      <w:pPr>
        <w:pStyle w:val="Author-eListParagraph"/>
        <w:numPr>
          <w:ilvl w:val="0"/>
          <w:numId w:val="1328"/>
        </w:numPr>
      </w:pPr>
      <w:r>
        <w:t>Epaisseur des plaques : au moins</w:t>
      </w:r>
      <w:r>
        <w:rPr>
          <w:rStyle w:val="optioncarChar"/>
        </w:rPr>
        <w:t> 20</w:t>
      </w:r>
      <w:r>
        <w:t> (par défaut)</w:t>
      </w:r>
      <w:r>
        <w:rPr>
          <w:rStyle w:val="optioncarChar"/>
        </w:rPr>
        <w:t xml:space="preserve"> / 30 / 40 / ***</w:t>
      </w:r>
      <w:r>
        <w:t xml:space="preserve"> mm.</w:t>
      </w:r>
    </w:p>
    <w:p w14:paraId="1E40A14B" w14:textId="77777777" w:rsidR="004B2808" w:rsidRDefault="00000000">
      <w:pPr>
        <w:pStyle w:val="Author-eListParagraph"/>
        <w:numPr>
          <w:ilvl w:val="0"/>
          <w:numId w:val="1328"/>
        </w:numPr>
      </w:pPr>
      <w:r>
        <w:t xml:space="preserve">Type : </w:t>
      </w:r>
      <w:r>
        <w:rPr>
          <w:rStyle w:val="optioncarChar"/>
        </w:rPr>
        <w:t>à simple paroi</w:t>
      </w:r>
      <w:r>
        <w:t> (par défaut)</w:t>
      </w:r>
      <w:r>
        <w:rPr>
          <w:rStyle w:val="optioncarChar"/>
        </w:rPr>
        <w:t xml:space="preserve"> / à double paroi (panneau sandwich) / ***. </w:t>
      </w:r>
      <w:r>
        <w:t xml:space="preserve">Les plaques sont pourvues d'une isolation thermique </w:t>
      </w:r>
      <w:r>
        <w:rPr>
          <w:rStyle w:val="optioncarChar"/>
        </w:rPr>
        <w:t>à l'intérieur</w:t>
      </w:r>
      <w:r>
        <w:t> (par défaut)</w:t>
      </w:r>
      <w:r>
        <w:rPr>
          <w:rStyle w:val="optioncarChar"/>
        </w:rPr>
        <w:t xml:space="preserve"> / à l'arrière / ***</w:t>
      </w:r>
      <w:r>
        <w:t xml:space="preserve"> .</w:t>
      </w:r>
    </w:p>
    <w:p w14:paraId="30787E82" w14:textId="77777777" w:rsidR="004B2808" w:rsidRDefault="00000000">
      <w:pPr>
        <w:pStyle w:val="Author-eListParagraph"/>
        <w:numPr>
          <w:ilvl w:val="0"/>
          <w:numId w:val="1328"/>
        </w:numPr>
      </w:pPr>
      <w:r>
        <w:t>Nature des plaques en PVC :</w:t>
      </w:r>
    </w:p>
    <w:p w14:paraId="199A06EA" w14:textId="77777777" w:rsidR="004B2808" w:rsidRDefault="00000000">
      <w:r>
        <w:br/>
      </w:r>
      <w:r>
        <w:rPr>
          <w:b/>
        </w:rPr>
        <w:t xml:space="preserve">Choix opéré : </w:t>
      </w:r>
      <w:r>
        <w:rPr>
          <w:rStyle w:val="optioncarChar"/>
          <w:b/>
        </w:rPr>
        <w:t>*** / OPTION 1 </w:t>
      </w:r>
      <w:r>
        <w:t xml:space="preserve">(par défaut) </w:t>
      </w:r>
      <w:r>
        <w:rPr>
          <w:rStyle w:val="optioncarChar"/>
          <w:b/>
        </w:rPr>
        <w:t>/ OPTION 2 /OPTION 3</w:t>
      </w:r>
    </w:p>
    <w:p w14:paraId="4507EFA3" w14:textId="77777777" w:rsidR="004B2808" w:rsidRDefault="00000000">
      <w:r>
        <w:rPr>
          <w:b/>
        </w:rPr>
        <w:t>***OPTION 1</w:t>
      </w:r>
      <w:r>
        <w:t xml:space="preserve"> : extrudées dans une composition de PVC dure à base de pâte de granulats blanche, colorée dans la masse</w:t>
      </w:r>
      <w:r>
        <w:br/>
      </w:r>
      <w:r>
        <w:rPr>
          <w:b/>
        </w:rPr>
        <w:t>***OPTION 2</w:t>
      </w:r>
      <w:r>
        <w:t xml:space="preserve"> : extrudées dans une composition de PVC dure de couleur blanche, référence </w:t>
      </w:r>
      <w:r>
        <w:rPr>
          <w:rStyle w:val="optioncarChar"/>
        </w:rPr>
        <w:t>***</w:t>
      </w:r>
      <w:r>
        <w:br/>
      </w:r>
      <w:r>
        <w:rPr>
          <w:b/>
        </w:rPr>
        <w:t>***OPTION 3</w:t>
      </w:r>
      <w:r>
        <w:t xml:space="preserve"> : extrudées dans du PVC à résistance aux chocs élevée avec une couche de couleur acrylique PMMA dans la masse; la couleur est extrudée en même temps afin d'obtenir une cohésion homogène entre le PVC et l'acrylique.</w:t>
      </w:r>
    </w:p>
    <w:p w14:paraId="5C8115A2" w14:textId="77777777" w:rsidR="004B2808" w:rsidRDefault="00000000">
      <w:pPr>
        <w:ind w:left="675"/>
      </w:pPr>
      <w:r>
        <w:t xml:space="preserve">⇒ Epaisseur nominale : </w:t>
      </w:r>
      <w:r>
        <w:rPr>
          <w:rStyle w:val="optioncarChar"/>
        </w:rPr>
        <w:t>3</w:t>
      </w:r>
      <w:r>
        <w:t> (par défaut)</w:t>
      </w:r>
      <w:r>
        <w:rPr>
          <w:rStyle w:val="optioncarChar"/>
        </w:rPr>
        <w:t xml:space="preserve"> / 4 / 5 / ***  </w:t>
      </w:r>
      <w:r>
        <w:t>mm.</w:t>
      </w:r>
    </w:p>
    <w:p w14:paraId="5F27C463" w14:textId="77777777" w:rsidR="004B2808" w:rsidRDefault="00000000">
      <w:pPr>
        <w:ind w:left="675"/>
      </w:pPr>
      <w:r>
        <w:t xml:space="preserve">⇒ Poids spécifique : env. </w:t>
      </w:r>
      <w:r>
        <w:rPr>
          <w:rStyle w:val="optioncarChar"/>
        </w:rPr>
        <w:t>1400</w:t>
      </w:r>
      <w:r>
        <w:t> (par défaut)</w:t>
      </w:r>
      <w:r>
        <w:rPr>
          <w:rStyle w:val="optioncarChar"/>
        </w:rPr>
        <w:t> / *** </w:t>
      </w:r>
      <w:r>
        <w:t>kg/m³</w:t>
      </w:r>
    </w:p>
    <w:p w14:paraId="13A5F052" w14:textId="77777777" w:rsidR="004B2808" w:rsidRDefault="00000000">
      <w:pPr>
        <w:ind w:left="675"/>
      </w:pPr>
      <w:r>
        <w:t>⇒ Coefficient de dilatation linéaire :</w:t>
      </w:r>
      <w:r>
        <w:rPr>
          <w:rStyle w:val="optioncarChar"/>
        </w:rPr>
        <w:t> 7 à 9x10(-5) </w:t>
      </w:r>
      <w:r>
        <w:t>(par défaut)</w:t>
      </w:r>
      <w:r>
        <w:rPr>
          <w:rStyle w:val="optioncarChar"/>
        </w:rPr>
        <w:t> / ***</w:t>
      </w:r>
      <w:r>
        <w:t xml:space="preserve"> mm.</w:t>
      </w:r>
    </w:p>
    <w:p w14:paraId="600131E9" w14:textId="77777777" w:rsidR="004B2808" w:rsidRDefault="00000000">
      <w:pPr>
        <w:ind w:left="675"/>
      </w:pPr>
      <w:r>
        <w:t xml:space="preserve">⇒ Point Vicat sous 5 kg : </w:t>
      </w:r>
      <w:r>
        <w:rPr>
          <w:rStyle w:val="optioncarChar"/>
        </w:rPr>
        <w:t>70 (par défaut) / *** </w:t>
      </w:r>
      <w:r>
        <w:t xml:space="preserve"> °C</w:t>
      </w:r>
    </w:p>
    <w:p w14:paraId="28E4935C" w14:textId="77777777" w:rsidR="004B2808" w:rsidRDefault="00000000">
      <w:pPr>
        <w:ind w:left="675"/>
      </w:pPr>
      <w:r>
        <w:t>⇒ Couleur :</w:t>
      </w:r>
      <w:r>
        <w:rPr>
          <w:rStyle w:val="optioncarChar"/>
        </w:rPr>
        <w:t> identique à celles des profilés de fenêtre</w:t>
      </w:r>
      <w:r>
        <w:t> (par défaut)</w:t>
      </w:r>
      <w:r>
        <w:rPr>
          <w:rStyle w:val="optioncarChar"/>
        </w:rPr>
        <w:t> / choisie par l'auteur de projet dans la gamme complète du fabricant / couleur RAL n° *** / ***</w:t>
      </w:r>
    </w:p>
    <w:p w14:paraId="63F5F07C" w14:textId="77777777" w:rsidR="004B2808" w:rsidRDefault="00000000">
      <w:pPr>
        <w:ind w:left="675"/>
      </w:pPr>
      <w:r>
        <w:t xml:space="preserve">⇒ Brillance  : </w:t>
      </w:r>
      <w:r>
        <w:rPr>
          <w:rStyle w:val="optioncarChar"/>
        </w:rPr>
        <w:t>mat </w:t>
      </w:r>
      <w:r>
        <w:t xml:space="preserve">(par défaut) </w:t>
      </w:r>
      <w:r>
        <w:rPr>
          <w:rStyle w:val="optioncarChar"/>
        </w:rPr>
        <w:t>/ brillant / ***</w:t>
      </w:r>
    </w:p>
    <w:p w14:paraId="6D17AA7F" w14:textId="77777777" w:rsidR="004B2808" w:rsidRDefault="00000000">
      <w:r>
        <w:t xml:space="preserve">Nature du matériau d'isolation; les spécifications des isolants sont définies dans les articles </w:t>
      </w:r>
      <w:hyperlink w:anchor="73" w:history="1">
        <w:r w:rsidR="004B2808">
          <w:rPr>
            <w:color w:val="0000EE"/>
          </w:rPr>
          <w:t>52.4 Isolation</w:t>
        </w:r>
      </w:hyperlink>
      <w:r>
        <w:t xml:space="preserve"> et suivants  :</w:t>
      </w:r>
    </w:p>
    <w:p w14:paraId="3FF4C817" w14:textId="77777777" w:rsidR="004B2808" w:rsidRDefault="00000000">
      <w:pPr>
        <w:ind w:left="675"/>
      </w:pPr>
      <w:r>
        <w:lastRenderedPageBreak/>
        <w:t xml:space="preserve">⇒ Matériau : </w:t>
      </w:r>
      <w:r>
        <w:rPr>
          <w:rStyle w:val="optioncarChar"/>
        </w:rPr>
        <w:t>EPS (polystyrène expansé)</w:t>
      </w:r>
      <w:r>
        <w:t> (par défaut)</w:t>
      </w:r>
      <w:r>
        <w:rPr>
          <w:rStyle w:val="optioncarChar"/>
        </w:rPr>
        <w:t xml:space="preserve"> / XPS (polystyrène extrudé ) / PUR (polyuréthane) / PF (mousse de phénolformaldéhyde / PIR (mousse de polyisocyanure) / ***</w:t>
      </w:r>
    </w:p>
    <w:p w14:paraId="2CAD013C" w14:textId="77777777" w:rsidR="004B2808" w:rsidRDefault="00000000">
      <w:pPr>
        <w:ind w:left="675"/>
      </w:pPr>
      <w:r>
        <w:t xml:space="preserve">⇒ Mode de pose : </w:t>
      </w:r>
      <w:r>
        <w:rPr>
          <w:rStyle w:val="optioncarChar"/>
        </w:rPr>
        <w:t>collage à l'arrière des panneaux </w:t>
      </w:r>
      <w:r>
        <w:t>(par défaut)</w:t>
      </w:r>
      <w:r>
        <w:rPr>
          <w:rStyle w:val="optioncarChar"/>
        </w:rPr>
        <w:t xml:space="preserve"> / fixation sur l'ouvrage de construction attenant.</w:t>
      </w:r>
    </w:p>
    <w:p w14:paraId="04151D56" w14:textId="77777777" w:rsidR="004B2808" w:rsidRDefault="00000000">
      <w:pPr>
        <w:ind w:left="675"/>
      </w:pPr>
      <w:r>
        <w:t xml:space="preserve">⇒ Épaisseur nominale : </w:t>
      </w:r>
      <w:r>
        <w:rPr>
          <w:rStyle w:val="optioncarChar"/>
        </w:rPr>
        <w:t>3</w:t>
      </w:r>
      <w:r>
        <w:t xml:space="preserve"> (par défaut) </w:t>
      </w:r>
      <w:r>
        <w:rPr>
          <w:rStyle w:val="optioncarChar"/>
        </w:rPr>
        <w:t>/ 6 / 10 / 20 / 30 / ***</w:t>
      </w:r>
      <w:r>
        <w:t xml:space="preserve"> mm</w:t>
      </w:r>
    </w:p>
    <w:p w14:paraId="39132B1C" w14:textId="77777777" w:rsidR="004B2808" w:rsidRDefault="00000000">
      <w:pPr>
        <w:ind w:left="675"/>
      </w:pPr>
      <w:r>
        <w:t xml:space="preserve">⇒ Valeur ld déclarée : </w:t>
      </w:r>
      <w:r>
        <w:rPr>
          <w:rStyle w:val="optioncarChar"/>
        </w:rPr>
        <w:t>***</w:t>
      </w:r>
      <w:r>
        <w:t xml:space="preserve"> W/mK</w:t>
      </w:r>
    </w:p>
    <w:p w14:paraId="2F6993DC" w14:textId="77777777" w:rsidR="004B2808" w:rsidRDefault="00000000">
      <w:r>
        <w:rPr>
          <w:b/>
          <w:sz w:val="24"/>
        </w:rPr>
        <w:t>Résine synthétique</w:t>
      </w:r>
    </w:p>
    <w:p w14:paraId="005A2BBA" w14:textId="77777777" w:rsidR="004B2808" w:rsidRDefault="00000000">
      <w:r>
        <w:t>Les éléments de remplissage se composent de plaques de résines synthétiques inaltérables d'une épaisseur d'au moins 3 mm, isolées sur une épaisseur d'au moins 2 cm à l'aide de plaques de polystyrène. Les plaques sont assemblées par collage. Elles sont résistantes aux griffes et à l'usure,  sont stables et présentent une résistance élevée aux coups et aux chocs. La couleur est inaltérable.</w:t>
      </w:r>
    </w:p>
    <w:p w14:paraId="1E4C3904" w14:textId="77777777" w:rsidR="004B2808" w:rsidRDefault="00000000">
      <w:pPr>
        <w:pStyle w:val="heading"/>
      </w:pPr>
      <w:r>
        <w:t>Spécifications</w:t>
      </w:r>
    </w:p>
    <w:p w14:paraId="6D341C01" w14:textId="77777777" w:rsidR="004B2808" w:rsidRDefault="00000000">
      <w:r>
        <w:t>Caractéristiques de la plaque extérieure :</w:t>
      </w:r>
    </w:p>
    <w:p w14:paraId="03233A85" w14:textId="77777777" w:rsidR="004B2808" w:rsidRDefault="00000000">
      <w:pPr>
        <w:ind w:left="675"/>
      </w:pPr>
      <w:r>
        <w:t xml:space="preserve">⇒ Épaisseur nominale : au moins </w:t>
      </w:r>
      <w:r>
        <w:rPr>
          <w:rStyle w:val="optioncarChar"/>
        </w:rPr>
        <w:t>3 </w:t>
      </w:r>
      <w:r>
        <w:t>(par défaut)</w:t>
      </w:r>
      <w:r>
        <w:rPr>
          <w:rStyle w:val="optioncarChar"/>
        </w:rPr>
        <w:t> / ***  </w:t>
      </w:r>
      <w:r>
        <w:t xml:space="preserve"> mm.</w:t>
      </w:r>
    </w:p>
    <w:p w14:paraId="7988A002" w14:textId="77777777" w:rsidR="004B2808" w:rsidRDefault="00000000">
      <w:pPr>
        <w:ind w:left="675"/>
      </w:pPr>
      <w:r>
        <w:t xml:space="preserve">⇒ Finition et couleur  : </w:t>
      </w:r>
      <w:r>
        <w:rPr>
          <w:rStyle w:val="optioncarChar"/>
        </w:rPr>
        <w:t xml:space="preserve">identiques aux profilés de fenêtre </w:t>
      </w:r>
      <w:r>
        <w:t>(par défaut) </w:t>
      </w:r>
      <w:r>
        <w:rPr>
          <w:rStyle w:val="optioncarChar"/>
        </w:rPr>
        <w:t>/ RAL n° *** / à choisir dans la gamme complète du fabricant / ***</w:t>
      </w:r>
    </w:p>
    <w:p w14:paraId="096F6691" w14:textId="77777777" w:rsidR="004B2808" w:rsidRDefault="00000000">
      <w:r>
        <w:t>Caractéristiques de la plaque intérieure : </w:t>
      </w:r>
      <w:r>
        <w:rPr>
          <w:rStyle w:val="optioncarChar"/>
        </w:rPr>
        <w:t>idem que les caractéristiques de la plaque extérieure </w:t>
      </w:r>
      <w:r>
        <w:t>(par défaut)</w:t>
      </w:r>
      <w:r>
        <w:rPr>
          <w:rStyle w:val="optioncarChar"/>
        </w:rPr>
        <w:t> / *** </w:t>
      </w:r>
    </w:p>
    <w:p w14:paraId="11BE7A35" w14:textId="77777777" w:rsidR="004B2808" w:rsidRDefault="00000000">
      <w:pPr>
        <w:pStyle w:val="pheading"/>
      </w:pPr>
      <w:r>
        <w:t>- Prescriptions complémentaires</w:t>
      </w:r>
    </w:p>
    <w:p w14:paraId="5362F934" w14:textId="77777777" w:rsidR="004B2808" w:rsidRDefault="00000000">
      <w:r>
        <w:t xml:space="preserve">Les panneaux de remplissage pour les portes d'entrée sont pourvus d'une fenêtre </w:t>
      </w:r>
      <w:r>
        <w:rPr>
          <w:rStyle w:val="optioncarChar"/>
        </w:rPr>
        <w:t>ronde</w:t>
      </w:r>
      <w:r>
        <w:t> (par défaut)</w:t>
      </w:r>
      <w:r>
        <w:rPr>
          <w:rStyle w:val="optioncarChar"/>
        </w:rPr>
        <w:t> / *** </w:t>
      </w:r>
      <w:r>
        <w:t xml:space="preserve"> à double vitrage, située dans le même plan que le panneau, intégrée dans le panneau sans profils périphériques et colmatée avec des silicones incolores. Diamètre : </w:t>
      </w:r>
      <w:r>
        <w:rPr>
          <w:rStyle w:val="optioncarChar"/>
        </w:rPr>
        <w:t>30</w:t>
      </w:r>
      <w:r>
        <w:t> (par défaut)</w:t>
      </w:r>
      <w:r>
        <w:rPr>
          <w:rStyle w:val="optioncarChar"/>
        </w:rPr>
        <w:t> / *** </w:t>
      </w:r>
      <w:r>
        <w:t xml:space="preserve"> cm.</w:t>
      </w:r>
    </w:p>
    <w:p w14:paraId="16FF1157" w14:textId="77777777" w:rsidR="004B2808" w:rsidRDefault="00000000">
      <w:pPr>
        <w:pStyle w:val="pheading"/>
      </w:pPr>
      <w:r>
        <w:t>EXÉCUTION / MISE EN ŒUVRE</w:t>
      </w:r>
    </w:p>
    <w:p w14:paraId="5248FB17" w14:textId="77777777" w:rsidR="004B2808" w:rsidRDefault="00000000">
      <w:pPr>
        <w:pStyle w:val="pheading"/>
      </w:pPr>
      <w:r>
        <w:t>- Prescriptions générales</w:t>
      </w:r>
    </w:p>
    <w:p w14:paraId="54D57BF1" w14:textId="77777777" w:rsidR="004B2808" w:rsidRDefault="00000000">
      <w:r>
        <w:t>Les éléments de remplissage sont placés sous vitrage</w:t>
      </w:r>
      <w:r>
        <w:rPr>
          <w:rStyle w:val="optioncarChar"/>
        </w:rPr>
        <w:t> comprimé</w:t>
      </w:r>
      <w:r>
        <w:t> (par défaut)</w:t>
      </w:r>
      <w:r>
        <w:rPr>
          <w:rStyle w:val="optioncarChar"/>
        </w:rPr>
        <w:t xml:space="preserve"> / semi-comprimé / non-comprimé / *** .</w:t>
      </w:r>
      <w:r>
        <w:br/>
        <w:t xml:space="preserve">Les éléments de remplissage sont placés dans un système </w:t>
      </w:r>
      <w:r>
        <w:rPr>
          <w:rStyle w:val="optioncarChar"/>
        </w:rPr>
        <w:t>ouvert </w:t>
      </w:r>
      <w:r>
        <w:t>(par défaut)</w:t>
      </w:r>
      <w:r>
        <w:rPr>
          <w:rStyle w:val="optioncarChar"/>
        </w:rPr>
        <w:t xml:space="preserve"> / fermé / ***.</w:t>
      </w:r>
    </w:p>
    <w:p w14:paraId="1D00BD8C" w14:textId="77777777" w:rsidR="004B2808" w:rsidRDefault="00000000">
      <w:r>
        <w:rPr>
          <w:b/>
          <w:sz w:val="24"/>
        </w:rPr>
        <w:t>Matière synthétique</w:t>
      </w:r>
    </w:p>
    <w:p w14:paraId="4074540A" w14:textId="77777777" w:rsidR="004B2808" w:rsidRDefault="00000000">
      <w:pPr>
        <w:pStyle w:val="Author-eListParagraph"/>
        <w:numPr>
          <w:ilvl w:val="0"/>
          <w:numId w:val="1329"/>
        </w:numPr>
      </w:pPr>
      <w:r>
        <w:t>Pour une obtenir un trait de scie sans ébarbures lors du sciage du PVC, deux modes d'exécution sont applicables : à la main (scie à lame et dents très minces); mécaniquement (scie circulaire à une vitesse maximale de 2500 tours/min - disque à dents très petites ou un disque au corborandum).</w:t>
      </w:r>
    </w:p>
    <w:p w14:paraId="49C8D59B" w14:textId="77777777" w:rsidR="004B2808" w:rsidRDefault="00000000">
      <w:pPr>
        <w:pStyle w:val="pheading"/>
      </w:pPr>
      <w:r>
        <w:t>MESURAGE</w:t>
      </w:r>
    </w:p>
    <w:p w14:paraId="38B76A35" w14:textId="77777777" w:rsidR="004B2808" w:rsidRDefault="00000000">
      <w:pPr>
        <w:pStyle w:val="pheading"/>
      </w:pPr>
      <w:r>
        <w:t>- unité de mesure:</w:t>
      </w:r>
    </w:p>
    <w:p w14:paraId="6F72575B" w14:textId="77777777" w:rsidR="004B2808" w:rsidRDefault="00000000">
      <w:r>
        <w:rPr>
          <w:color w:val="FF0000"/>
        </w:rPr>
        <w:t xml:space="preserve"> - </w:t>
      </w:r>
      <w:r>
        <w:t>(par défaut) </w:t>
      </w:r>
      <w:r>
        <w:rPr>
          <w:color w:val="FF0000"/>
        </w:rPr>
        <w:t>/ m² / ***</w:t>
      </w:r>
    </w:p>
    <w:p w14:paraId="108E31AD" w14:textId="77777777" w:rsidR="004B2808" w:rsidRDefault="00000000">
      <w:pPr>
        <w:pStyle w:val="pheading"/>
      </w:pPr>
      <w:r>
        <w:t>- code de mesurage:</w:t>
      </w:r>
    </w:p>
    <w:p w14:paraId="3A1477D0" w14:textId="77777777" w:rsidR="004B2808" w:rsidRDefault="00000000">
      <w:r>
        <w:t xml:space="preserve">Choix opéré : </w:t>
      </w:r>
      <w:r>
        <w:rPr>
          <w:rStyle w:val="optioncarChar"/>
          <w:b/>
        </w:rPr>
        <w:t>*** / OPTION 1</w:t>
      </w:r>
      <w:r>
        <w:t> (par défaut)</w:t>
      </w:r>
      <w:r>
        <w:rPr>
          <w:rStyle w:val="optioncarChar"/>
          <w:b/>
        </w:rPr>
        <w:t xml:space="preserve"> / OPTION 2</w:t>
      </w:r>
    </w:p>
    <w:p w14:paraId="3E4548B8" w14:textId="77777777" w:rsidR="004B2808"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w:t>
      </w:r>
      <w:r>
        <w:lastRenderedPageBreak/>
        <w:t>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030392BD" w14:textId="77777777" w:rsidR="004B2808" w:rsidRDefault="00000000">
      <w:pPr>
        <w:pStyle w:val="pheading"/>
      </w:pPr>
      <w:r>
        <w:t>- nature du marché:</w:t>
      </w:r>
    </w:p>
    <w:p w14:paraId="3B21129C" w14:textId="77777777" w:rsidR="004B2808" w:rsidRDefault="00000000">
      <w:r>
        <w:rPr>
          <w:rStyle w:val="optioncarChar"/>
        </w:rPr>
        <w:t>PM</w:t>
      </w:r>
      <w:r>
        <w:t xml:space="preserve"> (par défaut)</w:t>
      </w:r>
      <w:r>
        <w:rPr>
          <w:rStyle w:val="optioncarChar"/>
        </w:rPr>
        <w:t> / QF / ***</w:t>
      </w:r>
    </w:p>
    <w:p w14:paraId="7ED3BC1E" w14:textId="77777777" w:rsidR="004B2808" w:rsidRDefault="00000000">
      <w:pPr>
        <w:pStyle w:val="Author-eSectionHeading5Numberless"/>
      </w:pPr>
      <w:bookmarkStart w:id="1504" w:name="_Toc220491605"/>
      <w:r>
        <w:t>56.34.4 Eléments de remplissage en panneaux sandwichs en fibres ciment CCTB 01.02</w:t>
      </w:r>
      <w:bookmarkEnd w:id="1504"/>
    </w:p>
    <w:p w14:paraId="1BE4CCC0" w14:textId="77777777" w:rsidR="004B2808" w:rsidRDefault="00000000">
      <w:pPr>
        <w:pStyle w:val="Author-eSectionHeading6Numberless"/>
      </w:pPr>
      <w:bookmarkStart w:id="1505" w:name="_Toc220491606"/>
      <w:r>
        <w:t>56.34.4a Eléments de remplissage en panneaux sandwichs en fibres ciment CCTB 01.10</w:t>
      </w:r>
      <w:bookmarkEnd w:id="1505"/>
    </w:p>
    <w:p w14:paraId="338FB359" w14:textId="77777777" w:rsidR="004B2808" w:rsidRDefault="00000000">
      <w:pPr>
        <w:pStyle w:val="pheading"/>
      </w:pPr>
      <w:r>
        <w:t>MATÉRIAUX</w:t>
      </w:r>
    </w:p>
    <w:p w14:paraId="2AE02FC1" w14:textId="77777777" w:rsidR="004B2808" w:rsidRDefault="00000000">
      <w:pPr>
        <w:pStyle w:val="pheading"/>
      </w:pPr>
      <w:r>
        <w:t>- Caractéristiques générales</w:t>
      </w:r>
    </w:p>
    <w:p w14:paraId="7594D175" w14:textId="77777777" w:rsidR="004B2808" w:rsidRDefault="00000000">
      <w:r>
        <w:t>Les éléments de remplissage sont des panneaux double face avec une âme isolante et une plaque extérieure en fibres-ciment.</w:t>
      </w:r>
    </w:p>
    <w:p w14:paraId="6934673E" w14:textId="77777777" w:rsidR="004B2808" w:rsidRDefault="00000000">
      <w:pPr>
        <w:pStyle w:val="heading"/>
      </w:pPr>
      <w:r>
        <w:t>Spécifications</w:t>
      </w:r>
    </w:p>
    <w:p w14:paraId="1A69AB8A" w14:textId="77777777" w:rsidR="004B2808" w:rsidRDefault="00000000">
      <w:pPr>
        <w:pStyle w:val="Author-eListParagraph"/>
        <w:numPr>
          <w:ilvl w:val="0"/>
          <w:numId w:val="1330"/>
        </w:numPr>
      </w:pPr>
      <w:r>
        <w:t xml:space="preserve">Epaisseur des plaques : minimum </w:t>
      </w:r>
      <w:r>
        <w:rPr>
          <w:rStyle w:val="optioncarChar"/>
        </w:rPr>
        <w:t>20 </w:t>
      </w:r>
      <w:r>
        <w:t>(par défaut)</w:t>
      </w:r>
      <w:r>
        <w:rPr>
          <w:rStyle w:val="optioncarChar"/>
        </w:rPr>
        <w:t xml:space="preserve"> / 30 / 40 / *** </w:t>
      </w:r>
      <w:r>
        <w:t>mm</w:t>
      </w:r>
    </w:p>
    <w:p w14:paraId="62E683D4" w14:textId="77777777" w:rsidR="004B2808" w:rsidRDefault="00000000">
      <w:pPr>
        <w:pStyle w:val="Author-eListParagraph"/>
        <w:numPr>
          <w:ilvl w:val="0"/>
          <w:numId w:val="1330"/>
        </w:numPr>
      </w:pPr>
      <w:r>
        <w:t>Nature des plaques de fibres-ciment</w:t>
      </w:r>
    </w:p>
    <w:p w14:paraId="405C4CC8" w14:textId="77777777" w:rsidR="004B2808" w:rsidRDefault="00000000">
      <w:pPr>
        <w:ind w:left="675"/>
      </w:pPr>
      <w:r>
        <w:t xml:space="preserve">⇒ Épaisseur nominale : au moins </w:t>
      </w:r>
      <w:r>
        <w:rPr>
          <w:rStyle w:val="optioncarChar"/>
        </w:rPr>
        <w:t>3</w:t>
      </w:r>
      <w:r>
        <w:t> (par défaut)</w:t>
      </w:r>
      <w:r>
        <w:rPr>
          <w:rStyle w:val="optioncarChar"/>
        </w:rPr>
        <w:t xml:space="preserve"> / 4 / ***</w:t>
      </w:r>
      <w:r>
        <w:t xml:space="preserve"> mm</w:t>
      </w:r>
    </w:p>
    <w:p w14:paraId="2FFA7CA8" w14:textId="77777777" w:rsidR="004B2808" w:rsidRDefault="00000000">
      <w:pPr>
        <w:ind w:left="675"/>
      </w:pPr>
      <w:r>
        <w:t xml:space="preserve">⇒ Couleur : </w:t>
      </w:r>
      <w:r>
        <w:rPr>
          <w:rStyle w:val="optioncarChar"/>
        </w:rPr>
        <w:t>à choisir dans la gamme de couleurs standard du fabricant (par défaut) / *** </w:t>
      </w:r>
    </w:p>
    <w:p w14:paraId="378D175E" w14:textId="77777777" w:rsidR="004B2808" w:rsidRDefault="00000000">
      <w:r>
        <w:t xml:space="preserve">Nature de l'âme isolante; les spécifications de l'isolation sont données dans l'article </w:t>
      </w:r>
      <w:hyperlink w:anchor="73" w:history="1">
        <w:r w:rsidR="004B2808">
          <w:rPr>
            <w:color w:val="0000EE"/>
          </w:rPr>
          <w:t>52.4 Isolation</w:t>
        </w:r>
      </w:hyperlink>
      <w:r>
        <w:t xml:space="preserve"> :</w:t>
      </w:r>
    </w:p>
    <w:p w14:paraId="3AC63EED" w14:textId="77777777" w:rsidR="004B2808" w:rsidRDefault="00000000">
      <w:pPr>
        <w:ind w:left="675"/>
      </w:pPr>
      <w:r>
        <w:t xml:space="preserve">⇒ Matériau : </w:t>
      </w:r>
      <w:r>
        <w:rPr>
          <w:rStyle w:val="optioncarChar"/>
        </w:rPr>
        <w:t>EPS (polystyrène expansé)</w:t>
      </w:r>
      <w:r>
        <w:t> (par défaut)</w:t>
      </w:r>
      <w:r>
        <w:rPr>
          <w:rStyle w:val="optioncarChar"/>
        </w:rPr>
        <w:t xml:space="preserve"> / XPS (polystyrène extrudé ) / PUR (polyuréthane) / MW (laine minérale) / CG (verre cellulaire) / PF (mousse de phénolformaldéhyde) / PIR (mousse de polyisocyanate) / ciment de laine de bois / magnésite de laine de bois / ***</w:t>
      </w:r>
    </w:p>
    <w:p w14:paraId="6268D267" w14:textId="77777777" w:rsidR="004B2808" w:rsidRDefault="00000000">
      <w:pPr>
        <w:ind w:left="675"/>
      </w:pPr>
      <w:r>
        <w:t xml:space="preserve">⇒ Valeur Id déclarée : </w:t>
      </w:r>
      <w:r>
        <w:rPr>
          <w:rStyle w:val="optioncarChar"/>
        </w:rPr>
        <w:t>***</w:t>
      </w:r>
      <w:r>
        <w:t xml:space="preserve"> W/mK</w:t>
      </w:r>
    </w:p>
    <w:p w14:paraId="6A5C9E1F" w14:textId="77777777" w:rsidR="004B2808" w:rsidRDefault="00000000">
      <w:pPr>
        <w:ind w:left="675"/>
      </w:pPr>
      <w:r>
        <w:t xml:space="preserve">⇒ Epaisseur de l'isolation : </w:t>
      </w:r>
      <w:r>
        <w:rPr>
          <w:rStyle w:val="optioncarChar"/>
        </w:rPr>
        <w:t>3 </w:t>
      </w:r>
      <w:r>
        <w:t xml:space="preserve">(par défaut) </w:t>
      </w:r>
      <w:r>
        <w:rPr>
          <w:rStyle w:val="optioncarChar"/>
        </w:rPr>
        <w:t>/ 6 / 10 / 20 / 30 / ***</w:t>
      </w:r>
      <w:r>
        <w:t xml:space="preserve"> mm.</w:t>
      </w:r>
    </w:p>
    <w:p w14:paraId="7E2AE9E5" w14:textId="77777777" w:rsidR="004B2808" w:rsidRDefault="00000000">
      <w:pPr>
        <w:pStyle w:val="pheading"/>
      </w:pPr>
      <w:r>
        <w:t>- Prescriptions complémentaires</w:t>
      </w:r>
    </w:p>
    <w:p w14:paraId="4F5BDFD7" w14:textId="77777777" w:rsidR="004B2808" w:rsidRDefault="00000000">
      <w:r>
        <w:t>Plaque intérieure :</w:t>
      </w:r>
      <w:r>
        <w:rPr>
          <w:rStyle w:val="optioncarChar"/>
        </w:rPr>
        <w:t xml:space="preserve"> fibres-ciment </w:t>
      </w:r>
      <w:r>
        <w:t>(par défaut) </w:t>
      </w:r>
      <w:r>
        <w:rPr>
          <w:rStyle w:val="optioncarChar"/>
        </w:rPr>
        <w:t>/ aluminium / bois / multiplex avec placage / ***</w:t>
      </w:r>
      <w:r>
        <w:t>.</w:t>
      </w:r>
    </w:p>
    <w:p w14:paraId="12A71971" w14:textId="77777777" w:rsidR="004B2808" w:rsidRDefault="00000000">
      <w:pPr>
        <w:pStyle w:val="pheading"/>
      </w:pPr>
      <w:r>
        <w:t>EXÉCUTION / MISE EN ŒUVRE</w:t>
      </w:r>
    </w:p>
    <w:p w14:paraId="2F87D1D4" w14:textId="77777777" w:rsidR="004B2808" w:rsidRDefault="00000000">
      <w:pPr>
        <w:pStyle w:val="pheading"/>
      </w:pPr>
      <w:r>
        <w:t>- Prescriptions générales</w:t>
      </w:r>
    </w:p>
    <w:p w14:paraId="08897A53" w14:textId="77777777" w:rsidR="004B2808" w:rsidRDefault="00000000">
      <w:r>
        <w:t xml:space="preserve">Les éléments de remplissage sont placés sous vitrage </w:t>
      </w:r>
      <w:r>
        <w:rPr>
          <w:rStyle w:val="optioncarChar"/>
        </w:rPr>
        <w:t>comprimé </w:t>
      </w:r>
      <w:r>
        <w:t>(par défaut)</w:t>
      </w:r>
      <w:r>
        <w:rPr>
          <w:rStyle w:val="optioncarChar"/>
        </w:rPr>
        <w:t xml:space="preserve"> / semi-comprimé / non-comprimé / ***</w:t>
      </w:r>
      <w:r>
        <w:t>.</w:t>
      </w:r>
      <w:r>
        <w:br/>
        <w:t xml:space="preserve">Les éléments de remplissage sont placés dans un système </w:t>
      </w:r>
      <w:r>
        <w:rPr>
          <w:rStyle w:val="optioncarChar"/>
        </w:rPr>
        <w:t xml:space="preserve">ouvert </w:t>
      </w:r>
      <w:r>
        <w:t>(par défaut) </w:t>
      </w:r>
      <w:r>
        <w:rPr>
          <w:rStyle w:val="optioncarChar"/>
        </w:rPr>
        <w:t>/ fermé / *** </w:t>
      </w:r>
      <w:r>
        <w:t>.</w:t>
      </w:r>
    </w:p>
    <w:p w14:paraId="1D26807F" w14:textId="77777777" w:rsidR="004B2808" w:rsidRDefault="00000000">
      <w:pPr>
        <w:pStyle w:val="pheading"/>
      </w:pPr>
      <w:r>
        <w:t>MESURAGE</w:t>
      </w:r>
    </w:p>
    <w:p w14:paraId="691C4068" w14:textId="77777777" w:rsidR="004B2808" w:rsidRDefault="00000000">
      <w:pPr>
        <w:pStyle w:val="pheading"/>
      </w:pPr>
      <w:r>
        <w:t>- unité de mesure:</w:t>
      </w:r>
    </w:p>
    <w:p w14:paraId="7BDFBF6D" w14:textId="77777777" w:rsidR="004B2808" w:rsidRDefault="00000000">
      <w:r>
        <w:rPr>
          <w:rStyle w:val="optioncarChar"/>
        </w:rPr>
        <w:t xml:space="preserve">*** / m²  </w:t>
      </w:r>
    </w:p>
    <w:p w14:paraId="51BFBD25" w14:textId="77777777" w:rsidR="004B2808" w:rsidRDefault="00000000">
      <w:pPr>
        <w:pStyle w:val="pheading"/>
      </w:pPr>
      <w:r>
        <w:t>- code de mesurage:</w:t>
      </w:r>
    </w:p>
    <w:p w14:paraId="43C81AB8" w14:textId="77777777" w:rsidR="004B2808" w:rsidRDefault="00000000">
      <w:r>
        <w:t xml:space="preserve">Choix opéré </w:t>
      </w:r>
      <w:r>
        <w:rPr>
          <w:b/>
        </w:rPr>
        <w:t xml:space="preserve">: </w:t>
      </w:r>
      <w:r>
        <w:rPr>
          <w:rStyle w:val="optioncarChar"/>
          <w:b/>
        </w:rPr>
        <w:t>*** / OPTION 1</w:t>
      </w:r>
      <w:r>
        <w:t> (par défaut)</w:t>
      </w:r>
      <w:r>
        <w:rPr>
          <w:rStyle w:val="optioncarChar"/>
          <w:b/>
        </w:rPr>
        <w:t xml:space="preserve"> / OPTION 2</w:t>
      </w:r>
    </w:p>
    <w:p w14:paraId="6EB5DC5C" w14:textId="77777777" w:rsidR="004B2808" w:rsidRDefault="00000000">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w:t>
      </w:r>
      <w:r>
        <w:lastRenderedPageBreak/>
        <w:t>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51D39541" w14:textId="77777777" w:rsidR="004B2808" w:rsidRDefault="00000000">
      <w:pPr>
        <w:pStyle w:val="pheading"/>
      </w:pPr>
      <w:r>
        <w:t>- nature du marché:</w:t>
      </w:r>
    </w:p>
    <w:p w14:paraId="3D11C4BE" w14:textId="77777777" w:rsidR="004B2808" w:rsidRDefault="00000000">
      <w:r>
        <w:rPr>
          <w:rStyle w:val="optioncarChar"/>
        </w:rPr>
        <w:t>PM </w:t>
      </w:r>
      <w:r>
        <w:t>(par défaut)</w:t>
      </w:r>
      <w:r>
        <w:rPr>
          <w:rStyle w:val="optioncarChar"/>
        </w:rPr>
        <w:t xml:space="preserve"> / QF / ***</w:t>
      </w:r>
    </w:p>
    <w:p w14:paraId="6DB5769A" w14:textId="77777777" w:rsidR="004B2808" w:rsidRDefault="00000000">
      <w:pPr>
        <w:pStyle w:val="Author-eSectionHeading3Numberless"/>
      </w:pPr>
      <w:bookmarkStart w:id="1506" w:name="_Toc220491607"/>
      <w:r>
        <w:t>56.4 - CCTB 01.02</w:t>
      </w:r>
      <w:bookmarkEnd w:id="1506"/>
    </w:p>
    <w:p w14:paraId="6593DA05" w14:textId="77777777" w:rsidR="004B2808" w:rsidRDefault="00000000">
      <w:pPr>
        <w:pStyle w:val="Author-eSectionHeading3Numberless"/>
      </w:pPr>
      <w:bookmarkStart w:id="1507" w:name="_Toc220491608"/>
      <w:r>
        <w:t>56.5 - CCTB 01.02</w:t>
      </w:r>
      <w:bookmarkEnd w:id="1507"/>
    </w:p>
    <w:p w14:paraId="741FD731" w14:textId="77777777" w:rsidR="004B2808" w:rsidRDefault="00000000">
      <w:pPr>
        <w:pStyle w:val="Author-eSectionHeading3Numberless"/>
      </w:pPr>
      <w:bookmarkStart w:id="1508" w:name="_Toc220491609"/>
      <w:r>
        <w:t>56.6 - CCTB 01.02</w:t>
      </w:r>
      <w:bookmarkEnd w:id="1508"/>
    </w:p>
    <w:p w14:paraId="048F69CA" w14:textId="77777777" w:rsidR="004B2808" w:rsidRDefault="00000000">
      <w:pPr>
        <w:pStyle w:val="Author-eSectionHeading3Numberless"/>
      </w:pPr>
      <w:bookmarkStart w:id="1509" w:name="_Toc220491610"/>
      <w:r>
        <w:t>56.7 - CCTB 01.02</w:t>
      </w:r>
      <w:bookmarkEnd w:id="1509"/>
    </w:p>
    <w:p w14:paraId="0CDA2EF2" w14:textId="77777777" w:rsidR="004B2808" w:rsidRDefault="00000000">
      <w:pPr>
        <w:pStyle w:val="Author-eSectionHeading3Numberless"/>
      </w:pPr>
      <w:bookmarkStart w:id="1510" w:name="_Toc220491611"/>
      <w:r>
        <w:t>56.8 Vitrages intérieurs et éléments de remplissage - Rénovation CCTB 01.02</w:t>
      </w:r>
      <w:bookmarkEnd w:id="1510"/>
    </w:p>
    <w:p w14:paraId="2947B51C" w14:textId="77777777" w:rsidR="004B2808" w:rsidRDefault="00000000">
      <w:pPr>
        <w:pStyle w:val="Author-eSectionHeading2Numberless"/>
      </w:pPr>
      <w:bookmarkStart w:id="1511" w:name="_Toc220491612"/>
      <w:r>
        <w:t>57 Escaliers et rampes intérieurs CCTB 01.02</w:t>
      </w:r>
      <w:bookmarkEnd w:id="1511"/>
    </w:p>
    <w:p w14:paraId="3EFBB9AE" w14:textId="77777777" w:rsidR="004B2808" w:rsidRDefault="00000000">
      <w:pPr>
        <w:pStyle w:val="Author-eSectionHeading3Numberless"/>
      </w:pPr>
      <w:bookmarkStart w:id="1512" w:name="1398"/>
      <w:bookmarkStart w:id="1513" w:name="_Toc220491613"/>
      <w:bookmarkEnd w:id="1512"/>
      <w:r>
        <w:t>57.1 Escaliers et garde-corps complets CCTB 01.13</w:t>
      </w:r>
      <w:bookmarkEnd w:id="1513"/>
    </w:p>
    <w:p w14:paraId="5A0F1F20" w14:textId="77777777" w:rsidR="004B2808" w:rsidRDefault="00000000">
      <w:pPr>
        <w:pStyle w:val="pheading"/>
      </w:pPr>
      <w:bookmarkStart w:id="1514" w:name="377"/>
      <w:bookmarkEnd w:id="1514"/>
      <w:r>
        <w:t>DESCRIPTION</w:t>
      </w:r>
    </w:p>
    <w:p w14:paraId="112A0371" w14:textId="77777777" w:rsidR="004B2808" w:rsidRDefault="00000000">
      <w:pPr>
        <w:pStyle w:val="pheading"/>
      </w:pPr>
      <w:r>
        <w:t>- Définition / Comprend</w:t>
      </w:r>
    </w:p>
    <w:p w14:paraId="13D2C059" w14:textId="77777777" w:rsidR="004B2808" w:rsidRDefault="00000000">
      <w:r>
        <w:t>Le poste " escaliers intérieurs et rampes " comprend la fourniture et la pose de tous les éléments d'escalier nécessaires pour obtenir un ensemble parfaitement fini, c'est-à-dire l'ensemble de toutes les composantes, y compris les paliers correspondants, la finition des bords, les rampes, garde-corps, mains-courantes, etc. Conformément aux dispositions générales et/ou spécifiques du cahier spécial des charges, les prix unitaires compris dans ces postes doivent toujours comprendre, soit selon la ventilation dans le métré récapitulatif, soit dans leur totalité :</w:t>
      </w:r>
    </w:p>
    <w:p w14:paraId="1729D5F3" w14:textId="77777777" w:rsidR="004B2808" w:rsidRDefault="00000000">
      <w:pPr>
        <w:pStyle w:val="Author-eListParagraph"/>
        <w:numPr>
          <w:ilvl w:val="0"/>
          <w:numId w:val="1331"/>
        </w:numPr>
      </w:pPr>
      <w:r>
        <w:t xml:space="preserve">le relevé sur place des dimensions exactes, </w:t>
      </w:r>
    </w:p>
    <w:p w14:paraId="3B0186EC" w14:textId="77777777" w:rsidR="004B2808" w:rsidRDefault="00000000">
      <w:pPr>
        <w:pStyle w:val="Author-eListParagraph"/>
        <w:numPr>
          <w:ilvl w:val="0"/>
          <w:numId w:val="1331"/>
        </w:numPr>
      </w:pPr>
      <w:r>
        <w:t xml:space="preserve">le contrôle et la préparation des supports, </w:t>
      </w:r>
    </w:p>
    <w:p w14:paraId="44A1D5B0" w14:textId="77777777" w:rsidR="004B2808" w:rsidRDefault="00000000">
      <w:pPr>
        <w:pStyle w:val="Author-eListParagraph"/>
        <w:numPr>
          <w:ilvl w:val="0"/>
          <w:numId w:val="1331"/>
        </w:numPr>
      </w:pPr>
      <w:r>
        <w:t xml:space="preserve">la fabrication sur mesure, le transport et la mise en œuvre des éléments d'escalier, des marches, mains-courantes, rampes, … , y compris tous les moyens de fixation et/ou de pose, </w:t>
      </w:r>
    </w:p>
    <w:p w14:paraId="0F8FA57F" w14:textId="77777777" w:rsidR="004B2808" w:rsidRDefault="00000000">
      <w:pPr>
        <w:pStyle w:val="Author-eListParagraph"/>
        <w:numPr>
          <w:ilvl w:val="0"/>
          <w:numId w:val="1331"/>
        </w:numPr>
      </w:pPr>
      <w:r>
        <w:t xml:space="preserve">l'exécution des assemblages et des éventuelles jonctions avec la structure de construction, </w:t>
      </w:r>
    </w:p>
    <w:p w14:paraId="14CCA379" w14:textId="77777777" w:rsidR="004B2808" w:rsidRDefault="00000000">
      <w:pPr>
        <w:pStyle w:val="Author-eListParagraph"/>
        <w:numPr>
          <w:ilvl w:val="0"/>
          <w:numId w:val="1331"/>
        </w:numPr>
      </w:pPr>
      <w:r>
        <w:t xml:space="preserve">la finition des bords, les raccordements avec les finitions de mur et de sol attenantes, </w:t>
      </w:r>
    </w:p>
    <w:p w14:paraId="09A8247D" w14:textId="77777777" w:rsidR="004B2808" w:rsidRDefault="00000000">
      <w:pPr>
        <w:pStyle w:val="Author-eListParagraph"/>
        <w:numPr>
          <w:ilvl w:val="0"/>
          <w:numId w:val="1331"/>
        </w:numPr>
      </w:pPr>
      <w:r>
        <w:t xml:space="preserve">le nettoyage des marches, y compris l'enlèvement des taches de mortier ou de colle, </w:t>
      </w:r>
    </w:p>
    <w:p w14:paraId="128C867C" w14:textId="77777777" w:rsidR="004B2808" w:rsidRDefault="00000000">
      <w:pPr>
        <w:pStyle w:val="Author-eListParagraph"/>
        <w:numPr>
          <w:ilvl w:val="0"/>
          <w:numId w:val="1331"/>
        </w:numPr>
      </w:pPr>
      <w:r>
        <w:t xml:space="preserve">les mesures nécessaires, après la mise en œuvre, en vue de la protection de l'escalier contre toute dégradation et salissement pendant toute la durée des travaux. </w:t>
      </w:r>
    </w:p>
    <w:p w14:paraId="341009EE" w14:textId="77777777" w:rsidR="004B2808" w:rsidRDefault="00000000">
      <w:pPr>
        <w:pStyle w:val="pheading"/>
      </w:pPr>
      <w:r>
        <w:t>MATÉRIAUX</w:t>
      </w:r>
    </w:p>
    <w:p w14:paraId="6659C2DB" w14:textId="77777777" w:rsidR="004B2808" w:rsidRDefault="00000000">
      <w:r>
        <w:rPr>
          <w:u w:val="single"/>
        </w:rPr>
        <w:t>Stabilité - sollicitations</w:t>
      </w:r>
    </w:p>
    <w:p w14:paraId="1C952BC5" w14:textId="77777777" w:rsidR="004B2808" w:rsidRDefault="00000000">
      <w:pPr>
        <w:pStyle w:val="Author-eListParagraph"/>
        <w:numPr>
          <w:ilvl w:val="0"/>
          <w:numId w:val="1332"/>
        </w:numPr>
      </w:pPr>
      <w:r>
        <w:t xml:space="preserve">Charges uniformément réparties conformes à la [NBN EN 1991-1-1] et à la [NBN EN 1991-1-1 ANB] : </w:t>
      </w:r>
    </w:p>
    <w:p w14:paraId="21BCE0BC" w14:textId="77777777" w:rsidR="004B2808" w:rsidRDefault="00000000">
      <w:pPr>
        <w:pStyle w:val="Author-eListParagraph"/>
        <w:numPr>
          <w:ilvl w:val="1"/>
          <w:numId w:val="1333"/>
        </w:numPr>
      </w:pPr>
      <w:r>
        <w:t>3000 N/m2 (escaliers à usage privé).</w:t>
      </w:r>
    </w:p>
    <w:p w14:paraId="660660AA" w14:textId="77777777" w:rsidR="004B2808" w:rsidRDefault="00000000">
      <w:pPr>
        <w:pStyle w:val="Author-eListParagraph"/>
        <w:numPr>
          <w:ilvl w:val="1"/>
          <w:numId w:val="1333"/>
        </w:numPr>
      </w:pPr>
      <w:r>
        <w:t>4000 N/m2 (escaliers accessibles au public).</w:t>
      </w:r>
    </w:p>
    <w:p w14:paraId="1DB747D4" w14:textId="77777777" w:rsidR="004B2808" w:rsidRDefault="00000000">
      <w:pPr>
        <w:pStyle w:val="Author-eListParagraph"/>
        <w:numPr>
          <w:ilvl w:val="1"/>
          <w:numId w:val="1333"/>
        </w:numPr>
      </w:pPr>
      <w:r>
        <w:t>5000 N/m2 (escaliers pour tribunes).</w:t>
      </w:r>
    </w:p>
    <w:p w14:paraId="1B4B6357" w14:textId="77777777" w:rsidR="004B2808" w:rsidRDefault="00000000">
      <w:pPr>
        <w:pStyle w:val="Author-eListParagraph"/>
        <w:numPr>
          <w:ilvl w:val="0"/>
          <w:numId w:val="1332"/>
        </w:numPr>
      </w:pPr>
      <w:r>
        <w:t>Charges concentrées : minimum 2000 N (pour le résidentiel) et 4000 N pour les autres (voir [NBN EN 1991-1-1] et [NBN EN 1991-1-1 ANB]) sur une superficie de 0,05 x 0,05 m , indépendamment des charges uniformément réparties.</w:t>
      </w:r>
    </w:p>
    <w:p w14:paraId="362EB37C" w14:textId="77777777" w:rsidR="004B2808" w:rsidRDefault="00000000">
      <w:pPr>
        <w:pStyle w:val="Author-eListParagraph"/>
        <w:numPr>
          <w:ilvl w:val="0"/>
          <w:numId w:val="1332"/>
        </w:numPr>
      </w:pPr>
      <w:r>
        <w:t>Les éléments qui composent le garde-corps et ses fixations doivent résister à une charge dynamique de sécurité (chocs) conformément à la norme [NBN B 03-004] . </w:t>
      </w:r>
    </w:p>
    <w:p w14:paraId="38A85C56" w14:textId="77777777" w:rsidR="004B2808" w:rsidRDefault="00000000">
      <w:r>
        <w:rPr>
          <w:u w:val="single"/>
        </w:rPr>
        <w:lastRenderedPageBreak/>
        <w:t>Sécurité incendie</w:t>
      </w:r>
    </w:p>
    <w:p w14:paraId="2DEB233D" w14:textId="77777777" w:rsidR="004B2808" w:rsidRDefault="00000000">
      <w:r>
        <w:t>En matière de sécurité incendie, les escaliers doivent satisfaire aux:</w:t>
      </w:r>
    </w:p>
    <w:p w14:paraId="30B3A664" w14:textId="77777777" w:rsidR="004B2808" w:rsidRDefault="00000000">
      <w:pPr>
        <w:pStyle w:val="Author-eListParagraph"/>
        <w:numPr>
          <w:ilvl w:val="0"/>
          <w:numId w:val="1334"/>
        </w:numPr>
      </w:pPr>
      <w:r>
        <w:t>conditions prescrites dans l'AR de juillet 1994 (modifié par l’AR du 19 décembre 1997, du 4 avril 2003 et du 13 juin 2007) en fonction du type de bâtiment,</w:t>
      </w:r>
    </w:p>
    <w:p w14:paraId="77030BE3" w14:textId="77777777" w:rsidR="004B2808" w:rsidRDefault="00000000">
      <w:pPr>
        <w:pStyle w:val="Author-eListParagraph"/>
        <w:numPr>
          <w:ilvl w:val="0"/>
          <w:numId w:val="1334"/>
        </w:numPr>
      </w:pPr>
      <w:r>
        <w:t>prescriptions régionales ou communautaires</w:t>
      </w:r>
    </w:p>
    <w:p w14:paraId="4AEC0132" w14:textId="77777777" w:rsidR="004B2808" w:rsidRDefault="00000000">
      <w:pPr>
        <w:pStyle w:val="Author-eListParagraph"/>
        <w:numPr>
          <w:ilvl w:val="0"/>
          <w:numId w:val="1334"/>
        </w:numPr>
      </w:pPr>
      <w:r>
        <w:t>prescriptions du corps de pompiers local.</w:t>
      </w:r>
    </w:p>
    <w:p w14:paraId="5AF6AD36" w14:textId="77777777" w:rsidR="004B2808" w:rsidRDefault="00000000">
      <w:r>
        <w:t xml:space="preserve">Support aux prescripteurs : [SWL GSI/T1/B] et [SWL GSI/T1/C] de la prévention passive référencés dans le tome </w:t>
      </w:r>
      <w:hyperlink w:anchor="377" w:history="1">
        <w:r w:rsidR="004B2808">
          <w:rPr>
            <w:color w:val="0000EE"/>
          </w:rPr>
          <w:t>57.1 Escaliers et garde-corps complets</w:t>
        </w:r>
      </w:hyperlink>
      <w:r>
        <w:t xml:space="preserve"> de ce cahier des charges.</w:t>
      </w:r>
    </w:p>
    <w:p w14:paraId="445FC67C" w14:textId="77777777" w:rsidR="004B2808" w:rsidRDefault="00000000">
      <w:r>
        <w:rPr>
          <w:u w:val="single"/>
        </w:rPr>
        <w:t>Composantes - Terminologie</w:t>
      </w:r>
    </w:p>
    <w:p w14:paraId="294E6308" w14:textId="77777777" w:rsidR="004B2808" w:rsidRDefault="00000000">
      <w:r>
        <w:t>En fonction de leur conception, les ensembles d'escalier sont composés de volées, d'éventuels paliers intermédiaires et d'une balustrade continue. Les volées ordinaires sont composées de marches portées par des pièces latérales dénommées limons ou échiffres; pour les escaliers fermés, les marches sont pourvues de contremarches et de listels.</w:t>
      </w:r>
    </w:p>
    <w:p w14:paraId="3F39F788" w14:textId="77777777" w:rsidR="004B2808" w:rsidRDefault="00000000">
      <w:r>
        <w:rPr>
          <w:u w:val="single"/>
        </w:rPr>
        <w:t>Structure portante.</w:t>
      </w:r>
    </w:p>
    <w:p w14:paraId="2DD9FD24" w14:textId="77777777" w:rsidR="004B2808" w:rsidRDefault="00000000">
      <w:r>
        <w:t>Les limons sont les parties inclinées de l'escalier qui supportent les marches. Les poteaux sont les pièces verticales entre lesquelles les limons sont insérés ou, pour les escaliers en colimaçon, les pièces dans lesquelles les marches sont insérées.</w:t>
      </w:r>
    </w:p>
    <w:p w14:paraId="1ED114AA" w14:textId="77777777" w:rsidR="004B2808" w:rsidRDefault="00000000">
      <w:r>
        <w:rPr>
          <w:u w:val="single"/>
        </w:rPr>
        <w:t>Marches</w:t>
      </w:r>
    </w:p>
    <w:p w14:paraId="56127547" w14:textId="77777777" w:rsidR="004B2808" w:rsidRDefault="00000000">
      <w:r>
        <w:t>Les marches sont les parties horizontales de l'escalier sur lesquelles on pose les pieds pour monter ou descendre l'escalier. La structure portante peut éventuellement être combinée avec des marches dans un autre matériau, par exemple le verre, …</w:t>
      </w:r>
    </w:p>
    <w:p w14:paraId="1D2A157D" w14:textId="77777777" w:rsidR="004B2808" w:rsidRDefault="00000000">
      <w:pPr>
        <w:pStyle w:val="Author-eListParagraph"/>
        <w:numPr>
          <w:ilvl w:val="0"/>
          <w:numId w:val="1335"/>
        </w:numPr>
      </w:pPr>
      <w:r>
        <w:t>La contremarche est la partie verticale entre la surface de deux marches consécutives d'un escalier fermé.</w:t>
      </w:r>
    </w:p>
    <w:p w14:paraId="72871714" w14:textId="77777777" w:rsidR="004B2808" w:rsidRDefault="00000000">
      <w:pPr>
        <w:pStyle w:val="Author-eListParagraph"/>
        <w:numPr>
          <w:ilvl w:val="0"/>
          <w:numId w:val="1335"/>
        </w:numPr>
      </w:pPr>
      <w:r>
        <w:t>Le giron est la distance horizontale mesurée entre 2 contremarches successives ou entre le nez de deux marches successives. Il est mesuré sur la ligne de foulée.</w:t>
      </w:r>
    </w:p>
    <w:p w14:paraId="438D3CB9" w14:textId="77777777" w:rsidR="004B2808" w:rsidRDefault="00000000">
      <w:pPr>
        <w:pStyle w:val="Author-eListParagraph"/>
        <w:numPr>
          <w:ilvl w:val="0"/>
          <w:numId w:val="1335"/>
        </w:numPr>
      </w:pPr>
      <w:r>
        <w:t>La marche palière ou plaquette d'arrivée est la dernière marche d'un escalier ou d'une volée d'escalier, dont la face supérieure se situe au même niveau que le plancher ou le palier.</w:t>
      </w:r>
    </w:p>
    <w:p w14:paraId="1C5F52C3" w14:textId="77777777" w:rsidR="004B2808" w:rsidRDefault="00000000">
      <w:pPr>
        <w:pStyle w:val="Author-eListParagraph"/>
        <w:numPr>
          <w:ilvl w:val="0"/>
          <w:numId w:val="1335"/>
        </w:numPr>
      </w:pPr>
      <w:r>
        <w:t>Une contremarche réalise l'assemblage vertical entre deux marches successives.</w:t>
      </w:r>
    </w:p>
    <w:p w14:paraId="0FF6B63E" w14:textId="77777777" w:rsidR="004B2808" w:rsidRDefault="00000000">
      <w:pPr>
        <w:pStyle w:val="Author-eListParagraph"/>
        <w:numPr>
          <w:ilvl w:val="0"/>
          <w:numId w:val="1335"/>
        </w:numPr>
      </w:pPr>
      <w:r>
        <w:t>Le nez est la distance horizontale entre l'avant de la marche et la face avant de la contremarche ou le bord arrière de la marche inférieure (en l'absence de contremarche). Le nez de la marche est mesuré perpendiculairement à l'avant de la marche.</w:t>
      </w:r>
    </w:p>
    <w:p w14:paraId="06BA333B" w14:textId="77777777" w:rsidR="004B2808" w:rsidRDefault="00000000">
      <w:pPr>
        <w:pStyle w:val="Author-eListParagraph"/>
        <w:numPr>
          <w:ilvl w:val="0"/>
          <w:numId w:val="1335"/>
        </w:numPr>
      </w:pPr>
      <w:r>
        <w:t>Le garde-carreau est la pièce qui relie le bord du palier et la première contremarche de la volée montante suivante. La surface du garde-carreau se situe au même niveau que le palier.</w:t>
      </w:r>
    </w:p>
    <w:p w14:paraId="304C1595" w14:textId="77777777" w:rsidR="004B2808" w:rsidRDefault="00000000">
      <w:pPr>
        <w:pStyle w:val="Author-eListParagraph"/>
        <w:numPr>
          <w:ilvl w:val="0"/>
          <w:numId w:val="1335"/>
        </w:numPr>
      </w:pPr>
      <w:r>
        <w:t>Un listel achève la liaison entre la marche et la contremarche.</w:t>
      </w:r>
    </w:p>
    <w:p w14:paraId="71E4C2FA" w14:textId="77777777" w:rsidR="004B2808" w:rsidRDefault="00000000">
      <w:pPr>
        <w:pStyle w:val="Author-eListParagraph"/>
        <w:numPr>
          <w:ilvl w:val="0"/>
          <w:numId w:val="1335"/>
        </w:numPr>
      </w:pPr>
      <w:r>
        <w:t>Les escaliers en bois sont conformes aux prescriptions de la [NIT 198]. </w:t>
      </w:r>
    </w:p>
    <w:p w14:paraId="7018E675" w14:textId="77777777" w:rsidR="004B2808" w:rsidRDefault="00000000">
      <w:r>
        <w:br/>
      </w:r>
      <w:r>
        <w:rPr>
          <w:u w:val="single"/>
        </w:rPr>
        <w:t>Balustrades </w:t>
      </w:r>
      <w:r>
        <w:t xml:space="preserve">La rampe ou la balustrade offre un soutien pour gravir l'escalier et protège l'utilisateur contre les chutes. Une distinction est faite entre les rampes murales ou mains-courantes et la rampe principale qui se situe du côté ouvert de l'escalier. La rampe principale se compose d'une main-courante, reliée au limon à l'aide de montants ou de balustres disposées avec un écartement régulier : elles peuvent éventuellement être remplacées par des panneaux. Voir aussi l'article </w:t>
      </w:r>
      <w:hyperlink w:anchor="1384" w:history="1">
        <w:r w:rsidR="004B2808">
          <w:rPr>
            <w:color w:val="0000EE"/>
          </w:rPr>
          <w:t>57.12 Garde-corps / rampes sur mesure (Rem.: suivant plan de détails)</w:t>
        </w:r>
      </w:hyperlink>
      <w:r>
        <w:t xml:space="preserve"> Garde-corps / rampes sur mesure. Les balustrades sont conformes aux prescriptions de la norme [NBN B 03-004]. Paliers. Les jours des trémies d'escaliers et de paliers sont revêtus d'un limon s'ils ne sont pas enduits.</w:t>
      </w:r>
    </w:p>
    <w:p w14:paraId="064DF73D" w14:textId="77777777" w:rsidR="004B2808" w:rsidRDefault="00000000">
      <w:pPr>
        <w:pStyle w:val="pheading"/>
      </w:pPr>
      <w:r>
        <w:t>EXÉCUTION / MISE EN ŒUVRE</w:t>
      </w:r>
    </w:p>
    <w:p w14:paraId="7812A5D0" w14:textId="77777777" w:rsidR="004B2808" w:rsidRDefault="00000000">
      <w:r>
        <w:t>Timing - Influence de l'environnement - Mesures de protection</w:t>
      </w:r>
    </w:p>
    <w:p w14:paraId="7E7027C7" w14:textId="77777777" w:rsidR="004B2808" w:rsidRDefault="00000000">
      <w:pPr>
        <w:pStyle w:val="Author-eListParagraph"/>
        <w:numPr>
          <w:ilvl w:val="0"/>
          <w:numId w:val="1336"/>
        </w:numPr>
      </w:pPr>
      <w:r>
        <w:t>Les escaliers ne peuvent être placés que lorsque l'auteur de projet et l'installateur de l'escalier estiment en concertation mutuelle, que les conditions de mise en œuvre sont favorables, c'est-à-dire que le plafonnage est suffisamment sec et après la pose des vitrages.</w:t>
      </w:r>
    </w:p>
    <w:p w14:paraId="2FB2EA04" w14:textId="77777777" w:rsidR="004B2808" w:rsidRDefault="00000000">
      <w:pPr>
        <w:pStyle w:val="Author-eListParagraph"/>
        <w:numPr>
          <w:ilvl w:val="0"/>
          <w:numId w:val="1336"/>
        </w:numPr>
      </w:pPr>
      <w:r>
        <w:lastRenderedPageBreak/>
        <w:t>Les escaliers en bois ne peuvent en aucun cas être placés lorsque les conditions sont de nature à risquer le voilement ou le retrait des escaliers.</w:t>
      </w:r>
    </w:p>
    <w:p w14:paraId="7DC86481" w14:textId="77777777" w:rsidR="004B2808" w:rsidRDefault="00000000">
      <w:r>
        <w:t>Voir à ce sujet la [NIT 166].</w:t>
      </w:r>
    </w:p>
    <w:p w14:paraId="0BC4ACE4" w14:textId="77777777" w:rsidR="004B2808" w:rsidRDefault="00000000">
      <w:pPr>
        <w:pStyle w:val="Author-eListParagraph"/>
        <w:numPr>
          <w:ilvl w:val="0"/>
          <w:numId w:val="1337"/>
        </w:numPr>
      </w:pPr>
      <w:r>
        <w:t>Lorsque les murs sont plafonnés, l'escalier en bois doit être protégé contre l'humidité de l'enduit.</w:t>
      </w:r>
    </w:p>
    <w:p w14:paraId="13295C68" w14:textId="77777777" w:rsidR="004B2808" w:rsidRDefault="00000000">
      <w:pPr>
        <w:pStyle w:val="Author-eListParagraph"/>
        <w:numPr>
          <w:ilvl w:val="0"/>
          <w:numId w:val="1337"/>
        </w:numPr>
      </w:pPr>
      <w:r>
        <w:t>Les escaliers et/ou les éléments qui le constituent sont autant que possible préfabriqués en atelier et acheminés en un seul lot sur le chantier. Lors du transport, les mesures nécessaires sont prises pour prévenir toute dégradation du bâtiment, des escaliers préfabriqués et/ou des éléments. Ils sont immédiatement entreposés dans un endroit protégé et aéré.</w:t>
      </w:r>
    </w:p>
    <w:p w14:paraId="34CAB063" w14:textId="77777777" w:rsidR="004B2808" w:rsidRDefault="00000000">
      <w:pPr>
        <w:pStyle w:val="Author-eListParagraph"/>
        <w:numPr>
          <w:ilvl w:val="0"/>
          <w:numId w:val="1337"/>
        </w:numPr>
      </w:pPr>
      <w:r>
        <w:t>L'entrepreneur veille à ce que, après leur mise en œuvre, les escaliers soient dûment protégés contre les dégradations et l'encrassement pendant la durée des travaux de construction. </w:t>
      </w:r>
    </w:p>
    <w:p w14:paraId="5EDD9F0E" w14:textId="77777777" w:rsidR="004B2808" w:rsidRDefault="00000000">
      <w:r>
        <w:t>Dessin d'étude et d'exécution</w:t>
      </w:r>
    </w:p>
    <w:p w14:paraId="772BB4CC" w14:textId="77777777" w:rsidR="004B2808" w:rsidRDefault="00000000">
      <w:pPr>
        <w:pStyle w:val="Author-eListParagraph"/>
        <w:numPr>
          <w:ilvl w:val="0"/>
          <w:numId w:val="1338"/>
        </w:numPr>
      </w:pPr>
      <w:r>
        <w:t>Les escaliers sont exécutés conformément aux formes indiquées sur les plans et les coupes (escaliers droits, escaliers droits avec palier à quartier tournant, escaliers à paliers droits, escaliers à quartier tournant, escaliers tournants, escaliers en colimaçon, etc.) et selon les dessins de détail annexés.</w:t>
      </w:r>
    </w:p>
    <w:p w14:paraId="62C3F8B5" w14:textId="77777777" w:rsidR="004B2808" w:rsidRDefault="00000000">
      <w:pPr>
        <w:pStyle w:val="Author-eListParagraph"/>
        <w:numPr>
          <w:ilvl w:val="0"/>
          <w:numId w:val="1338"/>
        </w:numPr>
      </w:pPr>
      <w:r>
        <w:t>Lorsque le dossier d'adjudication ne contient pas de dessins de détail spécifiques, la forme de l'escalier et les dimensions de bases sont données à titre indicatif. L'entrepreneur est tenu de contrôler les dimensions sur place et de vérifier si les escaliers et/ou les éléments peuvent être exécutés selon les plans soumis. Lorsque cela s'avère impossible, il en avertit l'auteur de projet le plus rapidement possible.</w:t>
      </w:r>
    </w:p>
    <w:p w14:paraId="132928AD" w14:textId="77777777" w:rsidR="004B2808" w:rsidRDefault="00000000">
      <w:pPr>
        <w:pStyle w:val="Author-eListParagraph"/>
        <w:numPr>
          <w:ilvl w:val="0"/>
          <w:numId w:val="1338"/>
        </w:numPr>
      </w:pPr>
      <w:r>
        <w:t>Les dessins d'exécution sont préalablement soumis à l'approbation de l'auteur de projet. Conformément aux descriptions du cahier spécial des charges et des documents de référence des règles de bonne pratique, l'installateur est responsable de la réalisation d'un module du pas ergonomique et du balancement correct des marches.</w:t>
      </w:r>
    </w:p>
    <w:p w14:paraId="2D0A1E0F" w14:textId="77777777" w:rsidR="004B2808" w:rsidRDefault="00000000">
      <w:pPr>
        <w:pStyle w:val="Author-eListParagraph"/>
        <w:numPr>
          <w:ilvl w:val="0"/>
          <w:numId w:val="1338"/>
        </w:numPr>
      </w:pPr>
      <w:r>
        <w:t>La hauteur libre au-dessus de l'escalier (nez de marches) doit être suffisante (au moins 220 cm)!</w:t>
      </w:r>
    </w:p>
    <w:p w14:paraId="782FFB8A" w14:textId="77777777" w:rsidR="004B2808" w:rsidRDefault="00000000">
      <w:pPr>
        <w:pStyle w:val="Author-eListParagraph"/>
        <w:numPr>
          <w:ilvl w:val="0"/>
          <w:numId w:val="1338"/>
        </w:numPr>
      </w:pPr>
      <w:r>
        <w:t>Les supports et les éventuels éléments de scellement sont déterminés en concertation avec l'auteur de projet, l'ingénieur stabilité, l'entrepreneur et le fabricant. </w:t>
      </w:r>
    </w:p>
    <w:p w14:paraId="63D1D205" w14:textId="77777777" w:rsidR="004B2808" w:rsidRDefault="00000000">
      <w:r>
        <w:t>Module du pas - Balancement des marches</w:t>
      </w:r>
    </w:p>
    <w:p w14:paraId="0372F172" w14:textId="77777777" w:rsidR="004B2808" w:rsidRDefault="00000000">
      <w:pPr>
        <w:pStyle w:val="Author-eListParagraph"/>
        <w:numPr>
          <w:ilvl w:val="0"/>
          <w:numId w:val="1339"/>
        </w:numPr>
      </w:pPr>
      <w:r>
        <w:t>Pour la conception des escaliers, il y a lieu de tenir compte des principes élémentaires du module du pas (M=600 à 630) et ce, selon la formule M=2H+G, où G est le giron et H la hauteur (dans le habitations, les girons inférieurs à 220 mm ne sont pas admissibles (sauf pour les escaliers de cave ou de grenier); pour les escaliers à l'intérieur des habitations, un giron de 225 à 250 mm est souhaitable en combinaison avec une hauteur de marche de 175 à 190 mm (selon les rapports dans le tableau des escaliers  [NIT 198]; les escaliers extérieurs doivent avoir un giron et une hauteur confortables (par ex. 170/260);</w:t>
      </w:r>
    </w:p>
    <w:p w14:paraId="6BA55DE8" w14:textId="77777777" w:rsidR="004B2808" w:rsidRDefault="00000000">
      <w:pPr>
        <w:pStyle w:val="Author-eListParagraph"/>
        <w:numPr>
          <w:ilvl w:val="0"/>
          <w:numId w:val="1339"/>
        </w:numPr>
      </w:pPr>
      <w:r>
        <w:t>Toutes les marches présentent la même hauteur. Les éventuelles dérogations doivent être absorbées dans les dimensions de la marche inférieure et ne peuvent comporter plus de 6 mm . L'écart de hauteur entre deux marches successives ne peut pas être supérieur à 2 mm .</w:t>
      </w:r>
    </w:p>
    <w:p w14:paraId="42106FAA" w14:textId="77777777" w:rsidR="004B2808" w:rsidRDefault="00000000">
      <w:pPr>
        <w:pStyle w:val="Author-eListParagraph"/>
        <w:numPr>
          <w:ilvl w:val="0"/>
          <w:numId w:val="1339"/>
        </w:numPr>
      </w:pPr>
      <w:r>
        <w:t>Le balancement des escaliers se fait selon les méthodes admissibles, par ex. le balancement harmonieux ou le balancement à l'infini. </w:t>
      </w:r>
    </w:p>
    <w:p w14:paraId="0B989345" w14:textId="77777777" w:rsidR="004B2808" w:rsidRDefault="00000000">
      <w:r>
        <w:t>Dans les bâtiments publics, les escaliers doivent satisfaire aux conditions prescrites dans le [RGPT], entre autres :</w:t>
      </w:r>
    </w:p>
    <w:p w14:paraId="77566E9E" w14:textId="77777777" w:rsidR="004B2808" w:rsidRDefault="00000000">
      <w:pPr>
        <w:pStyle w:val="Author-eListParagraph"/>
        <w:numPr>
          <w:ilvl w:val="0"/>
          <w:numId w:val="1340"/>
        </w:numPr>
      </w:pPr>
      <w:r>
        <w:t>La hauteur des marches ne dépasse pas 170 mm .</w:t>
      </w:r>
    </w:p>
    <w:p w14:paraId="49DE9836" w14:textId="77777777" w:rsidR="004B2808" w:rsidRDefault="00000000">
      <w:pPr>
        <w:pStyle w:val="Author-eListParagraph"/>
        <w:numPr>
          <w:ilvl w:val="0"/>
          <w:numId w:val="1340"/>
        </w:numPr>
      </w:pPr>
      <w:r>
        <w:t>La profondeur du giron est d'au moins 300 mm .</w:t>
      </w:r>
    </w:p>
    <w:p w14:paraId="7B823059" w14:textId="77777777" w:rsidR="004B2808" w:rsidRDefault="00000000">
      <w:pPr>
        <w:pStyle w:val="Author-eListParagraph"/>
        <w:numPr>
          <w:ilvl w:val="0"/>
          <w:numId w:val="1340"/>
        </w:numPr>
      </w:pPr>
      <w:r>
        <w:t>Le nez est de maximum 50 mm .</w:t>
      </w:r>
    </w:p>
    <w:p w14:paraId="4C85B347" w14:textId="77777777" w:rsidR="004B2808" w:rsidRDefault="00000000">
      <w:pPr>
        <w:pStyle w:val="Author-eListParagraph"/>
        <w:numPr>
          <w:ilvl w:val="0"/>
          <w:numId w:val="1340"/>
        </w:numPr>
      </w:pPr>
      <w:r>
        <w:t>Les escaliers ne contiennent pas de parties tournantes (pas d'escalier en colimaçon ou tournants).</w:t>
      </w:r>
    </w:p>
    <w:p w14:paraId="403B88D4" w14:textId="77777777" w:rsidR="004B2808" w:rsidRDefault="00000000">
      <w:pPr>
        <w:pStyle w:val="Author-eListParagraph"/>
        <w:numPr>
          <w:ilvl w:val="0"/>
          <w:numId w:val="1340"/>
        </w:numPr>
      </w:pPr>
      <w:r>
        <w:lastRenderedPageBreak/>
        <w:t>Les escaliers sont divisés par des paliers, de façon telle que chaque volée ne compte pas plus de 17 marches.</w:t>
      </w:r>
    </w:p>
    <w:p w14:paraId="46FD0548" w14:textId="77777777" w:rsidR="004B2808" w:rsidRDefault="00000000">
      <w:pPr>
        <w:pStyle w:val="Author-eListParagraph"/>
        <w:numPr>
          <w:ilvl w:val="0"/>
          <w:numId w:val="1340"/>
        </w:numPr>
      </w:pPr>
      <w:r>
        <w:t>Les escaliers ont des contremarches pleines.</w:t>
      </w:r>
    </w:p>
    <w:p w14:paraId="73C073F2" w14:textId="77777777" w:rsidR="004B2808" w:rsidRDefault="00000000">
      <w:r>
        <w:t>Escaliers de secours</w:t>
      </w:r>
    </w:p>
    <w:p w14:paraId="392CEE1F" w14:textId="77777777" w:rsidR="004B2808" w:rsidRDefault="00000000">
      <w:pPr>
        <w:pStyle w:val="Author-eListParagraph"/>
        <w:numPr>
          <w:ilvl w:val="0"/>
          <w:numId w:val="1341"/>
        </w:numPr>
      </w:pPr>
      <w:r>
        <w:t>Giron : minimum 200 mm de profondeur en tout point.</w:t>
      </w:r>
    </w:p>
    <w:p w14:paraId="0BB7E19F" w14:textId="77777777" w:rsidR="004B2808" w:rsidRDefault="00000000">
      <w:pPr>
        <w:pStyle w:val="Author-eListParagraph"/>
        <w:numPr>
          <w:ilvl w:val="0"/>
          <w:numId w:val="1341"/>
        </w:numPr>
      </w:pPr>
      <w:r>
        <w:t>Hauteur : maximum 180 mm .</w:t>
      </w:r>
    </w:p>
    <w:p w14:paraId="285759BE" w14:textId="77777777" w:rsidR="004B2808" w:rsidRDefault="00000000">
      <w:pPr>
        <w:pStyle w:val="Author-eListParagraph"/>
        <w:numPr>
          <w:ilvl w:val="0"/>
          <w:numId w:val="1341"/>
        </w:numPr>
      </w:pPr>
      <w:r>
        <w:t>Largeur utile : au moins 80 cm et au moins la largeur utile calculée selon l'annexe technique 1 de l'AR du 07/07/1994.</w:t>
      </w:r>
    </w:p>
    <w:p w14:paraId="3A1AA4B7" w14:textId="77777777" w:rsidR="004B2808" w:rsidRDefault="00000000">
      <w:r>
        <w:br/>
        <w:t>Conformément aux méthodes de balancement courantes, mentionnées dans la [NIT 198] § 5.2, en particulier :</w:t>
      </w:r>
    </w:p>
    <w:p w14:paraId="2B2DE064" w14:textId="77777777" w:rsidR="004B2808" w:rsidRDefault="00000000">
      <w:pPr>
        <w:pStyle w:val="Author-eListParagraph"/>
        <w:numPr>
          <w:ilvl w:val="0"/>
          <w:numId w:val="1342"/>
        </w:numPr>
      </w:pPr>
      <w:r>
        <w:t>5.2.2.1 Escaliers en colimaçon ronds ou rectangulaires</w:t>
      </w:r>
    </w:p>
    <w:p w14:paraId="1A0622FD" w14:textId="77777777" w:rsidR="004B2808" w:rsidRDefault="00000000">
      <w:pPr>
        <w:pStyle w:val="Author-eListParagraph"/>
        <w:numPr>
          <w:ilvl w:val="0"/>
          <w:numId w:val="1342"/>
        </w:numPr>
      </w:pPr>
      <w:r>
        <w:t>5.2.3.1 Méthode de balancement des marches pour les escaliers à quartier tournant et les escaliers tournants.</w:t>
      </w:r>
    </w:p>
    <w:p w14:paraId="78790266" w14:textId="77777777" w:rsidR="004B2808" w:rsidRDefault="00000000">
      <w:pPr>
        <w:pStyle w:val="Author-eListParagraph"/>
        <w:numPr>
          <w:ilvl w:val="0"/>
          <w:numId w:val="1342"/>
        </w:numPr>
      </w:pPr>
      <w:r>
        <w:t>5.2.3.4 méthode pour obtenir un limon intérieur droit, les marches balancées se situant uniquement dans le premier ou dernier quartier.</w:t>
      </w:r>
    </w:p>
    <w:p w14:paraId="555DEFA0" w14:textId="77777777" w:rsidR="004B2808" w:rsidRDefault="00000000">
      <w:pPr>
        <w:pStyle w:val="Author-eListParagraph"/>
        <w:numPr>
          <w:ilvl w:val="0"/>
          <w:numId w:val="1342"/>
        </w:numPr>
      </w:pPr>
      <w:r>
        <w:t>5.2.3.6 Méthode CE pour les escaliers à quartier tournant.</w:t>
      </w:r>
    </w:p>
    <w:p w14:paraId="0FBEAE9C" w14:textId="77777777" w:rsidR="004B2808" w:rsidRDefault="00000000">
      <w:r>
        <w:t>Rampes - Mains-courantes</w:t>
      </w:r>
    </w:p>
    <w:p w14:paraId="213D5637" w14:textId="77777777" w:rsidR="004B2808" w:rsidRDefault="00000000">
      <w:r>
        <w:t>Pour les escaliers à paliers, le dessin d'exécution doit être établi de manière à ce que la main-courante forme une ligne souple.</w:t>
      </w:r>
    </w:p>
    <w:p w14:paraId="492130A8" w14:textId="77777777" w:rsidR="004B2808" w:rsidRDefault="00000000">
      <w:r>
        <w:t>Hauteur libre</w:t>
      </w:r>
    </w:p>
    <w:p w14:paraId="19546B1C" w14:textId="77777777" w:rsidR="004B2808" w:rsidRDefault="00000000">
      <w:r>
        <w:t>Hauteur libre : une hauteur libre d'au moins 220 cm est respectée au-dessus d'un plan formé par deux lignes parallèles au nez des marches et situées à une distance d'au moins 150 mm , mesurée à l'horizontale. Lorsqu'il est impossible de respecter cette hauteur libre, l'entrepreneur en avertit l'auteur de projet le plus rapidement possible. </w:t>
      </w:r>
    </w:p>
    <w:p w14:paraId="569DCEFD" w14:textId="77777777" w:rsidR="004B2808" w:rsidRDefault="00000000">
      <w:r>
        <w:t>Assemblage - Scellement.</w:t>
      </w:r>
    </w:p>
    <w:p w14:paraId="7F1A9420" w14:textId="77777777" w:rsidR="004B2808" w:rsidRDefault="00000000">
      <w:r>
        <w:t>Les points d'appui et les éventuels éléments d'ancrage sont déterminés en concertation avec l'auteur de projet, l'ingénieur stabilité, l'entrepreneur et le fabricant. L'installateur établit des plans d'exécution qui doivent préalablement être soumis à l'approbation de l'auteur de projet.</w:t>
      </w:r>
    </w:p>
    <w:p w14:paraId="39B1961F" w14:textId="77777777" w:rsidR="004B2808" w:rsidRDefault="00000000">
      <w:r>
        <w:t>Sécurité</w:t>
      </w:r>
    </w:p>
    <w:p w14:paraId="6CD8FEE6" w14:textId="77777777" w:rsidR="004B2808" w:rsidRDefault="00000000">
      <w:r>
        <w:t>Conformément à la rubrique 01.45 PSS travaux de parachèvement intérieurPSS Travaux de parachèvement intérieur, établie par le coordinateur-projet et annexée au présent cahier des charges. Toutes les directives en la matière et les indications concrètes du coordinateur-réalisation sont scrupuleusement respectées.</w:t>
      </w:r>
    </w:p>
    <w:p w14:paraId="5BB79D03" w14:textId="77777777" w:rsidR="004B2808" w:rsidRDefault="00000000">
      <w:pPr>
        <w:ind w:left="750"/>
      </w:pPr>
      <w:r>
        <w:t> </w:t>
      </w:r>
    </w:p>
    <w:p w14:paraId="2E0F65D1" w14:textId="77777777" w:rsidR="004B2808" w:rsidRDefault="00000000">
      <w:pPr>
        <w:pStyle w:val="pheading"/>
      </w:pPr>
      <w:r>
        <w:t>CONTRÔLES</w:t>
      </w:r>
    </w:p>
    <w:p w14:paraId="1FC1C1B8" w14:textId="77777777" w:rsidR="004B2808" w:rsidRDefault="00000000">
      <w:pPr>
        <w:pStyle w:val="heading"/>
      </w:pPr>
      <w:r>
        <w:t>Ecarts dimensionnels</w:t>
      </w:r>
    </w:p>
    <w:p w14:paraId="67316B8F" w14:textId="77777777" w:rsidR="004B2808" w:rsidRDefault="00000000">
      <w:r>
        <w:t>Toutes les marches présentent la même hauteur. Les éventuels écarts dimensionnels doivent être absorbés dans les dimensions de la marche inférieure et ne peuvent comporter plus de 6 mm . L'écart de hauteur entre deux marches successives ne peut pas être supérieur à 2 mm .</w:t>
      </w:r>
    </w:p>
    <w:p w14:paraId="6DF8443C" w14:textId="77777777" w:rsidR="004B2808" w:rsidRDefault="00000000">
      <w:pPr>
        <w:pStyle w:val="heading"/>
      </w:pPr>
      <w:r>
        <w:t>Dégradations</w:t>
      </w:r>
    </w:p>
    <w:p w14:paraId="685E923A" w14:textId="77777777" w:rsidR="004B2808" w:rsidRDefault="00000000">
      <w:r>
        <w:t>Il est interdit d'utiliser un mastic de jointoiement, de la résine, … pour cacher les défauts éventuels. Les éléments endommagés doivent être intégralement remplacés. Les éléments qui forment un ensemble ne peuvent pas présenter de différences de couleur.</w:t>
      </w:r>
    </w:p>
    <w:p w14:paraId="0F1CB296" w14:textId="77777777" w:rsidR="004B2808" w:rsidRDefault="00000000">
      <w:pPr>
        <w:pStyle w:val="pheading"/>
      </w:pPr>
      <w:r>
        <w:t>AIDE</w:t>
      </w:r>
    </w:p>
    <w:p w14:paraId="5AFBCD1A" w14:textId="77777777" w:rsidR="004B2808" w:rsidRDefault="00000000">
      <w:r>
        <w:rPr>
          <w:i/>
          <w:u w:val="single"/>
        </w:rPr>
        <w:lastRenderedPageBreak/>
        <w:t xml:space="preserve">Note à l'attention de l'auteur de projet </w:t>
      </w:r>
      <w:r>
        <w:br/>
        <w:t>Pour la conception des escaliers dans les bâtiments publics, il y a lieu de tenir compte des prescriptions du RGPT et de la norme [NBN 713-020] Protection contre l'incendie - Comportement au feu des matériaux et éléments de construction (1968) et addenda (1982/1985/1994) tant qu’elle est encore d’application ou de la norme [NBN EN 13501-2]. Sont entre autres d'application :</w:t>
      </w:r>
    </w:p>
    <w:p w14:paraId="08F84986" w14:textId="77777777" w:rsidR="004B2808" w:rsidRDefault="00000000">
      <w:pPr>
        <w:pStyle w:val="Author-eListParagraph"/>
        <w:numPr>
          <w:ilvl w:val="0"/>
          <w:numId w:val="1343"/>
        </w:numPr>
      </w:pPr>
      <w:r>
        <w:t>Les escaliers ne contiennent pas de parties tournantes (pas d'escaliers en colimaçon ou tournants);</w:t>
      </w:r>
    </w:p>
    <w:p w14:paraId="38293C72" w14:textId="77777777" w:rsidR="004B2808" w:rsidRDefault="00000000">
      <w:pPr>
        <w:pStyle w:val="Author-eListParagraph"/>
        <w:numPr>
          <w:ilvl w:val="0"/>
          <w:numId w:val="1343"/>
        </w:numPr>
      </w:pPr>
      <w:r>
        <w:t>Les escaliers sont subdivisés par des paliers afin que chaque volée ne contienne pas plus de 17 marches;</w:t>
      </w:r>
    </w:p>
    <w:p w14:paraId="2100C60C" w14:textId="77777777" w:rsidR="004B2808" w:rsidRDefault="00000000">
      <w:pPr>
        <w:pStyle w:val="Author-eListParagraph"/>
        <w:numPr>
          <w:ilvl w:val="0"/>
          <w:numId w:val="1343"/>
        </w:numPr>
      </w:pPr>
      <w:r>
        <w:t>Les escaliers ont des contremarches pleines;</w:t>
      </w:r>
    </w:p>
    <w:p w14:paraId="35BA6BAA" w14:textId="77777777" w:rsidR="004B2808" w:rsidRDefault="00000000">
      <w:pPr>
        <w:pStyle w:val="Author-eListParagraph"/>
        <w:numPr>
          <w:ilvl w:val="0"/>
          <w:numId w:val="1343"/>
        </w:numPr>
      </w:pPr>
      <w:r>
        <w:t>Les contremarches présentent une hauteur maximale de 170 mm , les girons une profondeur minimale de 230 mm , le nez des marches est de max. 50 mm ;</w:t>
      </w:r>
    </w:p>
    <w:p w14:paraId="4BC1202A" w14:textId="77777777" w:rsidR="004B2808" w:rsidRDefault="00000000">
      <w:pPr>
        <w:pStyle w:val="Author-eListParagraph"/>
        <w:numPr>
          <w:ilvl w:val="0"/>
          <w:numId w:val="1343"/>
        </w:numPr>
      </w:pPr>
      <w:r>
        <w:t>La largeur utile des escaliers de secours est d'au moins 80 cm et atteint au moins la largeur utile prescrite selon l'annexe technique 1 de l' [AR 1994-07-07]</w:t>
      </w:r>
    </w:p>
    <w:p w14:paraId="4AFBC911" w14:textId="77777777" w:rsidR="004B2808" w:rsidRDefault="00000000">
      <w:r>
        <w:t> </w:t>
      </w:r>
    </w:p>
    <w:p w14:paraId="385D7AE7" w14:textId="77777777" w:rsidR="004B2808" w:rsidRDefault="00000000">
      <w:r>
        <w:rPr>
          <w:i/>
          <w:u w:val="single"/>
        </w:rPr>
        <w:t>Note à l'attention de l'auteur de projet</w:t>
      </w:r>
      <w:r>
        <w:br/>
        <w:t>En vue d'une économie d'espace dans la construction d'habitations sociales, le rapport entre le giron des marches et la hauteur peut se situer entre 175 mm pour la hauteur et entre 220 et 250 mm pour le giron (mesuré de nez à nez).</w:t>
      </w:r>
    </w:p>
    <w:p w14:paraId="7540AEB4" w14:textId="77777777" w:rsidR="004B2808" w:rsidRDefault="00000000">
      <w:r>
        <w:t> </w:t>
      </w:r>
    </w:p>
    <w:p w14:paraId="4D7B37D6" w14:textId="77777777" w:rsidR="004B2808" w:rsidRDefault="00000000">
      <w:r>
        <w:rPr>
          <w:i/>
          <w:u w:val="single"/>
        </w:rPr>
        <w:t>Note à l'attention de l'auteur de projet </w:t>
      </w:r>
      <w:r>
        <w:t> </w:t>
      </w:r>
    </w:p>
    <w:p w14:paraId="0B19DDBE" w14:textId="77777777" w:rsidR="004B2808" w:rsidRDefault="00000000">
      <w:r>
        <w:rPr>
          <w:b/>
        </w:rPr>
        <w:t>Accessibilité aux personnes à mobilité réduite (PMR)</w:t>
      </w:r>
    </w:p>
    <w:p w14:paraId="7A5C830F" w14:textId="77777777" w:rsidR="004B2808" w:rsidRDefault="00000000">
      <w:r>
        <w:t> </w:t>
      </w:r>
    </w:p>
    <w:p w14:paraId="4A1CC9C3" w14:textId="77777777" w:rsidR="004B2808" w:rsidRDefault="00000000">
      <w:r>
        <w:rPr>
          <w:i/>
          <w:u w:val="single"/>
        </w:rPr>
        <w:t>Général :</w:t>
      </w:r>
      <w:r>
        <w:br/>
        <w:t>Pente : entre 19° et 33°   [Buildwise Article Dossier (2004/4.06)]</w:t>
      </w:r>
    </w:p>
    <w:p w14:paraId="4D752CA9" w14:textId="77777777" w:rsidR="004B2808" w:rsidRDefault="00000000">
      <w:r>
        <w:t>Géométrie : éviter les escaliers en colimaçon et l’utilisation de la méthode de balancement des marches   [Buildwise Article Dossier (2004/4.06)]</w:t>
      </w:r>
    </w:p>
    <w:p w14:paraId="233F1BAC" w14:textId="77777777" w:rsidR="004B2808" w:rsidRDefault="00000000">
      <w:r>
        <w:t>Echappée : 220 cm minimum   [SWL CALA]</w:t>
      </w:r>
    </w:p>
    <w:p w14:paraId="47156BE0" w14:textId="77777777" w:rsidR="004B2808" w:rsidRDefault="00000000">
      <w:r>
        <w:t>Largeur de libre passage, en cas de :</w:t>
      </w:r>
    </w:p>
    <w:p w14:paraId="1BD85AC7" w14:textId="77777777" w:rsidR="004B2808" w:rsidRDefault="00000000">
      <w:pPr>
        <w:pStyle w:val="Author-eListParagraph"/>
        <w:numPr>
          <w:ilvl w:val="0"/>
          <w:numId w:val="1344"/>
        </w:numPr>
      </w:pPr>
      <w:r>
        <w:t>Installation d’un fauteuil monte-escalier : 70 cm minimum</w:t>
      </w:r>
    </w:p>
    <w:p w14:paraId="561F3512" w14:textId="77777777" w:rsidR="004B2808" w:rsidRDefault="00000000">
      <w:pPr>
        <w:pStyle w:val="Author-eListParagraph"/>
        <w:numPr>
          <w:ilvl w:val="0"/>
          <w:numId w:val="1344"/>
        </w:numPr>
      </w:pPr>
      <w:r>
        <w:t>Installation d’une plateforme : 90 cm minimum   [Buildwise Article Dossier (2004/4.06)]</w:t>
      </w:r>
    </w:p>
    <w:p w14:paraId="0643D6E6" w14:textId="77777777" w:rsidR="004B2808" w:rsidRDefault="00000000">
      <w:pPr>
        <w:pStyle w:val="Author-eListParagraph"/>
        <w:numPr>
          <w:ilvl w:val="0"/>
          <w:numId w:val="1344"/>
        </w:numPr>
      </w:pPr>
      <w:r>
        <w:t>Evacuation manuelle : 122 cm minimum   [NFPA 101 Life Safety Code Handbook]</w:t>
      </w:r>
    </w:p>
    <w:p w14:paraId="7397E37C" w14:textId="77777777" w:rsidR="004B2808" w:rsidRDefault="00000000">
      <w:pPr>
        <w:pStyle w:val="Author-eListParagraph"/>
        <w:numPr>
          <w:ilvl w:val="0"/>
          <w:numId w:val="1344"/>
        </w:numPr>
      </w:pPr>
      <w:r>
        <w:t>Utilisation d’une chaise d’évacuation : à établir en fonction des dimensions de la chaise</w:t>
      </w:r>
    </w:p>
    <w:p w14:paraId="24FEF326" w14:textId="77777777" w:rsidR="004B2808" w:rsidRDefault="00000000">
      <w:r>
        <w:br/>
      </w:r>
      <w:r>
        <w:rPr>
          <w:i/>
          <w:u w:val="single"/>
        </w:rPr>
        <w:t xml:space="preserve">Marches et contremarches : </w:t>
      </w:r>
      <w:r>
        <w:br/>
        <w:t>Nombre de marches par volée : 15 à 20 maximum   [SWL CALA], [NBN ISO 21542] et [BS 8300]</w:t>
      </w:r>
    </w:p>
    <w:p w14:paraId="63C2D03F" w14:textId="77777777" w:rsidR="004B2808" w:rsidRDefault="00000000">
      <w:r>
        <w:t>Module de pas (M=2H+G) : entre 60 et 64 cm   [SWL CALA]</w:t>
      </w:r>
    </w:p>
    <w:p w14:paraId="43BBD9C0" w14:textId="77777777" w:rsidR="004B2808" w:rsidRDefault="00000000">
      <w:r>
        <w:t>Hauteur des marches (H) : 18 cm maximum   [SWL CALA]</w:t>
      </w:r>
    </w:p>
    <w:p w14:paraId="189D84ED" w14:textId="77777777" w:rsidR="004B2808" w:rsidRDefault="00000000">
      <w:r>
        <w:t>Giron (G) : 25 cm minimum   [SWL CALA]</w:t>
      </w:r>
    </w:p>
    <w:p w14:paraId="6E013A55" w14:textId="77777777" w:rsidR="004B2808" w:rsidRDefault="00000000">
      <w:r>
        <w:t>Type de marches : pleines, antidérapantes  [SWL CALA]</w:t>
      </w:r>
    </w:p>
    <w:p w14:paraId="4027BE99" w14:textId="77777777" w:rsidR="004B2808" w:rsidRDefault="00000000">
      <w:r>
        <w:t>Type de contremarches : pleines, profil oblique   [SWL CALA], [NBN ISO 21542] et [BS 8300]</w:t>
      </w:r>
    </w:p>
    <w:p w14:paraId="4FC7C6D4" w14:textId="77777777" w:rsidR="004B2808" w:rsidRDefault="00000000">
      <w:r>
        <w:br/>
      </w:r>
      <w:r>
        <w:rPr>
          <w:i/>
          <w:u w:val="single"/>
        </w:rPr>
        <w:t xml:space="preserve"> Nez de marches : </w:t>
      </w:r>
      <w:r>
        <w:br/>
        <w:t xml:space="preserve"> Forme : non saillants   [SWL CALA], [NBN ISO 21542] et [BS 8300]</w:t>
      </w:r>
      <w:r>
        <w:br/>
        <w:t xml:space="preserve"> Projection : 2.5 cm maximum   [NBN ISO 21542] et [BS 8300]</w:t>
      </w:r>
    </w:p>
    <w:p w14:paraId="3E23854A" w14:textId="77777777" w:rsidR="004B2808" w:rsidRDefault="00000000">
      <w:r>
        <w:t>Indicateurs visuels sur les nez de marches : [NBN ISO 21542] et [BS 8300]</w:t>
      </w:r>
    </w:p>
    <w:p w14:paraId="73BD2C4A" w14:textId="77777777" w:rsidR="004B2808" w:rsidRDefault="00000000">
      <w:pPr>
        <w:pStyle w:val="Author-eListParagraph"/>
        <w:numPr>
          <w:ilvl w:val="0"/>
          <w:numId w:val="1345"/>
        </w:numPr>
      </w:pPr>
      <w:r>
        <w:lastRenderedPageBreak/>
        <w:t>Localisation : de préférence, sur chaque marche ; sinon, sur la première et la dernière marche de chaque volée </w:t>
      </w:r>
    </w:p>
    <w:p w14:paraId="3B590CDE" w14:textId="77777777" w:rsidR="004B2808" w:rsidRDefault="00000000">
      <w:pPr>
        <w:pStyle w:val="Author-eListParagraph"/>
        <w:numPr>
          <w:ilvl w:val="0"/>
          <w:numId w:val="1346"/>
        </w:numPr>
      </w:pPr>
      <w:r>
        <w:t>Largeur : continus sur toute la largeur des marches</w:t>
      </w:r>
    </w:p>
    <w:p w14:paraId="624F6F65" w14:textId="77777777" w:rsidR="004B2808" w:rsidRDefault="00000000">
      <w:pPr>
        <w:pStyle w:val="Author-eListParagraph"/>
        <w:numPr>
          <w:ilvl w:val="0"/>
          <w:numId w:val="1346"/>
        </w:numPr>
      </w:pPr>
      <w:r>
        <w:t>Revêtement : antidérapants</w:t>
      </w:r>
    </w:p>
    <w:p w14:paraId="1C71723A" w14:textId="77777777" w:rsidR="004B2808" w:rsidRDefault="00000000">
      <w:pPr>
        <w:pStyle w:val="Author-eListParagraph"/>
        <w:numPr>
          <w:ilvl w:val="0"/>
          <w:numId w:val="1346"/>
        </w:numPr>
      </w:pPr>
      <w:r>
        <w:t>Profondeur : 4 cm minimum sur la marche, peut redescendre sur la contremarche</w:t>
      </w:r>
    </w:p>
    <w:p w14:paraId="4737CA33" w14:textId="77777777" w:rsidR="004B2808" w:rsidRDefault="00000000">
      <w:pPr>
        <w:pStyle w:val="Author-eListParagraph"/>
        <w:numPr>
          <w:ilvl w:val="0"/>
          <w:numId w:val="1346"/>
        </w:numPr>
      </w:pPr>
      <w:r>
        <w:t>Contraste : différence de coefficient de réflexion (LRV) entre les indicateurs et les marches de minimum 60%</w:t>
      </w:r>
    </w:p>
    <w:p w14:paraId="4254EA08" w14:textId="77777777" w:rsidR="004B2808" w:rsidRDefault="00000000">
      <w:r>
        <w:t> </w:t>
      </w:r>
    </w:p>
    <w:p w14:paraId="4EA31723" w14:textId="77777777" w:rsidR="004B2808" w:rsidRDefault="00000000">
      <w:r>
        <w:rPr>
          <w:i/>
          <w:u w:val="single"/>
        </w:rPr>
        <w:t>Paliers :</w:t>
      </w:r>
      <w:r>
        <w:t>   et [NBN ISO 21542]</w:t>
      </w:r>
    </w:p>
    <w:p w14:paraId="61BB7893" w14:textId="77777777" w:rsidR="004B2808" w:rsidRDefault="00000000">
      <w:r>
        <w:t>Contraste : différence de coefficient de réflexion (LRV) entre les paliers et les marches de minimum 60%  </w:t>
      </w:r>
    </w:p>
    <w:p w14:paraId="700D7797" w14:textId="77777777" w:rsidR="004B2808" w:rsidRDefault="00000000">
      <w:r>
        <w:t> </w:t>
      </w:r>
    </w:p>
    <w:p w14:paraId="4FB1D40A" w14:textId="77777777" w:rsidR="004B2808" w:rsidRDefault="00000000">
      <w:r>
        <w:rPr>
          <w:i/>
          <w:u w:val="single"/>
        </w:rPr>
        <w:t xml:space="preserve"> Dalles d’éveil à la vigilance (ou dalles podotactiles) :</w:t>
      </w:r>
      <w:r>
        <w:t>   (Article 415), [SWL CALA], [NBN ISO 21542] et [NEN 1814]</w:t>
      </w:r>
      <w:r>
        <w:br/>
        <w:t xml:space="preserve"> Position : sur les paliers, au-dessus et en-dessous de chaque volée, à 50 cm du nez de la première et de la dernière marche</w:t>
      </w:r>
    </w:p>
    <w:p w14:paraId="74206AF5" w14:textId="77777777" w:rsidR="004B2808" w:rsidRDefault="00000000">
      <w:r>
        <w:t>Largeur : sur toute la largeur de l’escalier</w:t>
      </w:r>
    </w:p>
    <w:p w14:paraId="1AB4255A" w14:textId="77777777" w:rsidR="004B2808" w:rsidRDefault="00000000">
      <w:r>
        <w:t>Profondeur : 60 cm minimum</w:t>
      </w:r>
    </w:p>
    <w:p w14:paraId="0C09BA5A" w14:textId="77777777" w:rsidR="004B2808" w:rsidRDefault="00000000">
      <w:r>
        <w:t> </w:t>
      </w:r>
    </w:p>
    <w:p w14:paraId="6C3EBB33" w14:textId="77777777" w:rsidR="004B2808" w:rsidRDefault="00000000">
      <w:r>
        <w:rPr>
          <w:i/>
          <w:u w:val="single"/>
        </w:rPr>
        <w:t xml:space="preserve"> Main-courantes :</w:t>
      </w:r>
    </w:p>
    <w:p w14:paraId="3DA08FAF" w14:textId="77777777" w:rsidR="004B2808" w:rsidRDefault="00000000">
      <w:r>
        <w:t>Type : double (2 lisses)   [SWL CALA], [NBN ISO 21542] et [BS 8300]</w:t>
      </w:r>
    </w:p>
    <w:p w14:paraId="53B505AA" w14:textId="77777777" w:rsidR="004B2808" w:rsidRDefault="00000000">
      <w:r>
        <w:t>Position : de chaque côté de l’escalier    (Article 415) et [SWL CALA]</w:t>
      </w:r>
    </w:p>
    <w:p w14:paraId="62A72379" w14:textId="77777777" w:rsidR="004B2808" w:rsidRDefault="00000000">
      <w:r>
        <w:t>Géométrie : solides et continues sur les paliers    (Article 415) et [SWL CALA]</w:t>
      </w:r>
    </w:p>
    <w:p w14:paraId="4108B532" w14:textId="77777777" w:rsidR="004B2808" w:rsidRDefault="00000000">
      <w:r>
        <w:t>Prolongement :  (Article 415) et [SWL CALA]</w:t>
      </w:r>
    </w:p>
    <w:p w14:paraId="061C09A6" w14:textId="77777777" w:rsidR="004B2808" w:rsidRDefault="00000000">
      <w:pPr>
        <w:pStyle w:val="Author-eListParagraph"/>
        <w:numPr>
          <w:ilvl w:val="0"/>
          <w:numId w:val="1347"/>
        </w:numPr>
      </w:pPr>
      <w:r>
        <w:t>Côté mur : prolongement de 40 cm à l’origine et à l’extrémité de l’escalier</w:t>
      </w:r>
    </w:p>
    <w:p w14:paraId="7CAAC78B" w14:textId="77777777" w:rsidR="004B2808" w:rsidRDefault="00000000">
      <w:pPr>
        <w:pStyle w:val="Author-eListParagraph"/>
        <w:numPr>
          <w:ilvl w:val="0"/>
          <w:numId w:val="1347"/>
        </w:numPr>
      </w:pPr>
      <w:r>
        <w:t>Côté vide : prolongement jusqu’au sol, et de 40 cm à l’origine et à l’extrémité de l’escalier pour autant que ce prolongement ne représente aucun obstacle ni danger    </w:t>
      </w:r>
    </w:p>
    <w:p w14:paraId="3EB62013" w14:textId="77777777" w:rsidR="004B2808" w:rsidRDefault="00000000">
      <w:r>
        <w:t>Hauteur :  [SWL CALA] et [NBN ISO 21542]  </w:t>
      </w:r>
    </w:p>
    <w:p w14:paraId="6BF9470D" w14:textId="77777777" w:rsidR="004B2808" w:rsidRDefault="00000000">
      <w:pPr>
        <w:pStyle w:val="Author-eListParagraph"/>
        <w:numPr>
          <w:ilvl w:val="0"/>
          <w:numId w:val="1348"/>
        </w:numPr>
      </w:pPr>
      <w:r>
        <w:t>Main-courante principale : entre 85 et 100 cm par rapport au nez de marche</w:t>
      </w:r>
    </w:p>
    <w:p w14:paraId="5527A8DF" w14:textId="77777777" w:rsidR="004B2808" w:rsidRDefault="00000000">
      <w:pPr>
        <w:pStyle w:val="Author-eListParagraph"/>
        <w:numPr>
          <w:ilvl w:val="0"/>
          <w:numId w:val="1348"/>
        </w:numPr>
      </w:pPr>
      <w:r>
        <w:t>Main-courante secondaire : entre 60 et 75 cm par rapport au nez de marche</w:t>
      </w:r>
    </w:p>
    <w:p w14:paraId="6D864342" w14:textId="77777777" w:rsidR="004B2808" w:rsidRDefault="00000000">
      <w:r>
        <w:t>Distance du mur : 4 cm minimum   [SWL CALA]</w:t>
      </w:r>
    </w:p>
    <w:p w14:paraId="52CF296C" w14:textId="77777777" w:rsidR="004B2808" w:rsidRDefault="00000000">
      <w:r>
        <w:t>Diamètre : entre 4 et 5 cm   [SWL CALA]</w:t>
      </w:r>
    </w:p>
    <w:p w14:paraId="7074E42E" w14:textId="77777777" w:rsidR="004B2808" w:rsidRDefault="00000000">
      <w:r>
        <w:t>Contraste : différence de coefficient de réflexion (LRV) entre la main courante et son support de minimum 30%   [NBN ISO 21542] et [BS 8300]</w:t>
      </w:r>
    </w:p>
    <w:p w14:paraId="4F62B1A5" w14:textId="77777777" w:rsidR="004B2808" w:rsidRDefault="00000000">
      <w:pPr>
        <w:pStyle w:val="Author-eSectionHeading4Numberless"/>
      </w:pPr>
      <w:bookmarkStart w:id="1515" w:name="_Toc220491614"/>
      <w:r>
        <w:t>57.11 Escaliers sur mesure (Rem.: suivant plan de détails) CCTB 01.02</w:t>
      </w:r>
      <w:bookmarkEnd w:id="1515"/>
    </w:p>
    <w:p w14:paraId="1845E760" w14:textId="77777777" w:rsidR="004B2808" w:rsidRDefault="00000000">
      <w:pPr>
        <w:pStyle w:val="Author-eSectionHeading5Numberless"/>
      </w:pPr>
      <w:bookmarkStart w:id="1516" w:name="_Toc220491615"/>
      <w:r>
        <w:t>57.11.1 Escaliers en maçonnerie (pierres / briques) CCTB 01.07</w:t>
      </w:r>
      <w:bookmarkEnd w:id="1516"/>
    </w:p>
    <w:p w14:paraId="4CCA1EF2" w14:textId="77777777" w:rsidR="004B2808" w:rsidRDefault="00000000">
      <w:pPr>
        <w:pStyle w:val="pheading"/>
      </w:pPr>
      <w:r>
        <w:t>DESCRIPTION</w:t>
      </w:r>
    </w:p>
    <w:p w14:paraId="0112184A" w14:textId="77777777" w:rsidR="004B2808" w:rsidRDefault="00000000">
      <w:pPr>
        <w:pStyle w:val="pheading"/>
      </w:pPr>
      <w:r>
        <w:t>- Définition / Comprend</w:t>
      </w:r>
    </w:p>
    <w:p w14:paraId="2E3A715A" w14:textId="77777777" w:rsidR="004B2808" w:rsidRDefault="00000000">
      <w:r>
        <w:t>Renvoi au 21.51 Murs poids en maçonneries portantes en blocs</w:t>
      </w:r>
    </w:p>
    <w:p w14:paraId="131B5274" w14:textId="77777777" w:rsidR="004B2808" w:rsidRDefault="00000000">
      <w:pPr>
        <w:pStyle w:val="Author-eSectionHeading6Numberless"/>
      </w:pPr>
      <w:bookmarkStart w:id="1517" w:name="_Toc220491616"/>
      <w:r>
        <w:t>57.11.1a Escaliers en maçonnerie (pierres / briques) CCTB 01.07</w:t>
      </w:r>
      <w:bookmarkEnd w:id="1517"/>
    </w:p>
    <w:p w14:paraId="1A36F96F" w14:textId="77777777" w:rsidR="004B2808" w:rsidRDefault="00000000">
      <w:pPr>
        <w:pStyle w:val="pheading"/>
      </w:pPr>
      <w:r>
        <w:t>DESCRIPTION</w:t>
      </w:r>
    </w:p>
    <w:p w14:paraId="4A0BC584" w14:textId="77777777" w:rsidR="004B2808" w:rsidRDefault="00000000">
      <w:pPr>
        <w:pStyle w:val="pheading"/>
      </w:pPr>
      <w:r>
        <w:lastRenderedPageBreak/>
        <w:t>- Définition / Comprend</w:t>
      </w:r>
    </w:p>
    <w:p w14:paraId="40A54543" w14:textId="77777777" w:rsidR="004B2808" w:rsidRDefault="00000000">
      <w:r>
        <w:t>Renvoi au 21.51 Murs poids en maçonneries portantes en blocs</w:t>
      </w:r>
    </w:p>
    <w:p w14:paraId="1F5EF781" w14:textId="77777777" w:rsidR="004B2808" w:rsidRDefault="00000000">
      <w:pPr>
        <w:pStyle w:val="Author-eSectionHeading5Numberless"/>
      </w:pPr>
      <w:bookmarkStart w:id="1518" w:name="_Toc220491617"/>
      <w:r>
        <w:t>57.11.2 Escaliers en béton armé  CCTB 01.07</w:t>
      </w:r>
      <w:bookmarkEnd w:id="1518"/>
    </w:p>
    <w:p w14:paraId="1949D360" w14:textId="77777777" w:rsidR="004B2808" w:rsidRDefault="00000000">
      <w:pPr>
        <w:pStyle w:val="pheading"/>
      </w:pPr>
      <w:r>
        <w:t>DESCRIPTION</w:t>
      </w:r>
    </w:p>
    <w:p w14:paraId="403ED69A" w14:textId="77777777" w:rsidR="004B2808" w:rsidRDefault="00000000">
      <w:pPr>
        <w:pStyle w:val="pheading"/>
      </w:pPr>
      <w:r>
        <w:t>- Définition / Comprend</w:t>
      </w:r>
    </w:p>
    <w:p w14:paraId="45BBABC9" w14:textId="77777777" w:rsidR="004B2808" w:rsidRDefault="00000000">
      <w:r>
        <w:t>Renvoi au § 22.31 Escaliers en béton</w:t>
      </w:r>
    </w:p>
    <w:p w14:paraId="4BBA0FB1" w14:textId="77777777" w:rsidR="004B2808" w:rsidRDefault="00000000">
      <w:pPr>
        <w:pStyle w:val="Author-eSectionHeading6Numberless"/>
      </w:pPr>
      <w:bookmarkStart w:id="1519" w:name="_Toc220491618"/>
      <w:r>
        <w:t>57.11.2a Escaliers en béton armé  CCTB 01.07</w:t>
      </w:r>
      <w:bookmarkEnd w:id="1519"/>
    </w:p>
    <w:p w14:paraId="3BF8D2B1" w14:textId="77777777" w:rsidR="004B2808" w:rsidRDefault="00000000">
      <w:pPr>
        <w:pStyle w:val="pheading"/>
      </w:pPr>
      <w:r>
        <w:t>DESCRIPTION</w:t>
      </w:r>
    </w:p>
    <w:p w14:paraId="53B79E86" w14:textId="77777777" w:rsidR="004B2808" w:rsidRDefault="00000000">
      <w:pPr>
        <w:pStyle w:val="pheading"/>
      </w:pPr>
      <w:r>
        <w:t>- Définition / Comprend</w:t>
      </w:r>
    </w:p>
    <w:p w14:paraId="46496CCC" w14:textId="77777777" w:rsidR="004B2808" w:rsidRDefault="00000000">
      <w:r>
        <w:t>Renvoi au § 22.31 Escaliers en béton</w:t>
      </w:r>
    </w:p>
    <w:p w14:paraId="09DF9A17" w14:textId="77777777" w:rsidR="004B2808" w:rsidRDefault="00000000">
      <w:pPr>
        <w:pStyle w:val="Author-eSectionHeading5Numberless"/>
      </w:pPr>
      <w:bookmarkStart w:id="1520" w:name="_Toc220491619"/>
      <w:r>
        <w:t>57.11.3 Escaliers métalliques CCTB 01.02</w:t>
      </w:r>
      <w:bookmarkEnd w:id="1520"/>
    </w:p>
    <w:p w14:paraId="62271EDF" w14:textId="77777777" w:rsidR="004B2808" w:rsidRDefault="00000000">
      <w:pPr>
        <w:pStyle w:val="Author-eSectionHeading6Numberless"/>
      </w:pPr>
      <w:bookmarkStart w:id="1521" w:name="_Toc220491620"/>
      <w:r>
        <w:t>57.11.3a Escaliers métalliques CCTB 01.11</w:t>
      </w:r>
      <w:bookmarkEnd w:id="1521"/>
    </w:p>
    <w:p w14:paraId="11D84BE6" w14:textId="77777777" w:rsidR="004B2808" w:rsidRDefault="00000000">
      <w:pPr>
        <w:pStyle w:val="pheading"/>
      </w:pPr>
      <w:bookmarkStart w:id="1522" w:name="1380"/>
      <w:bookmarkEnd w:id="1522"/>
      <w:r>
        <w:t>DESCRIPTION</w:t>
      </w:r>
    </w:p>
    <w:p w14:paraId="31E465D6" w14:textId="77777777" w:rsidR="004B2808" w:rsidRDefault="00000000">
      <w:pPr>
        <w:pStyle w:val="pheading"/>
      </w:pPr>
      <w:r>
        <w:t>- Définition / Comprend</w:t>
      </w:r>
    </w:p>
    <w:p w14:paraId="22238DD3" w14:textId="77777777" w:rsidR="004B2808" w:rsidRDefault="00000000">
      <w:r>
        <w:t>Il s'agit des escaliers intérieurs en acier (escaliers droits, escaliers tournants avec ou sans palier, escalier en colimaçon, etc.), dont les parties constructives doivent être fabriquées sur mesure. Les marches, garde-corps, montants et mains-courantes sont considérés ou non comme un poste séparé, selon les indications dans le cahier spécial des charges et le métré récapitulatif.</w:t>
      </w:r>
    </w:p>
    <w:p w14:paraId="49048B47" w14:textId="77777777" w:rsidR="004B2808" w:rsidRDefault="00000000">
      <w:pPr>
        <w:pStyle w:val="Author-eListParagraph"/>
        <w:numPr>
          <w:ilvl w:val="0"/>
          <w:numId w:val="1349"/>
        </w:numPr>
      </w:pPr>
      <w:r>
        <w:t xml:space="preserve">Les marches sont décrites à l'article </w:t>
      </w:r>
      <w:r>
        <w:rPr>
          <w:rStyle w:val="optioncarChar"/>
        </w:rPr>
        <w:t>***</w:t>
      </w:r>
    </w:p>
    <w:p w14:paraId="4E600267" w14:textId="77777777" w:rsidR="004B2808" w:rsidRDefault="00000000">
      <w:pPr>
        <w:pStyle w:val="Author-eListParagraph"/>
        <w:numPr>
          <w:ilvl w:val="0"/>
          <w:numId w:val="1349"/>
        </w:numPr>
      </w:pPr>
      <w:r>
        <w:t xml:space="preserve">Les mains-courantes sont décrites au sous-titre </w:t>
      </w:r>
      <w:hyperlink w:anchor="1379" w:history="1">
        <w:r w:rsidR="004B2808">
          <w:rPr>
            <w:color w:val="0000EE"/>
          </w:rPr>
          <w:t>57.26 Main-courantes / Lisses</w:t>
        </w:r>
      </w:hyperlink>
    </w:p>
    <w:p w14:paraId="5448FA90" w14:textId="77777777" w:rsidR="004B2808" w:rsidRDefault="00000000">
      <w:pPr>
        <w:pStyle w:val="Author-eListParagraph"/>
        <w:numPr>
          <w:ilvl w:val="0"/>
          <w:numId w:val="1349"/>
        </w:numPr>
      </w:pPr>
      <w:r>
        <w:t xml:space="preserve">Les revêtements d'escalier sont décrits à </w:t>
      </w:r>
      <w:r>
        <w:rPr>
          <w:shd w:val="clear" w:color="auto" w:fill="FFFFFF"/>
        </w:rPr>
        <w:t xml:space="preserve">l'article </w:t>
      </w:r>
      <w:r>
        <w:rPr>
          <w:rStyle w:val="optioncarChar"/>
          <w:shd w:val="clear" w:color="auto" w:fill="FFFFFF"/>
        </w:rPr>
        <w:t>***</w:t>
      </w:r>
    </w:p>
    <w:p w14:paraId="0EC15BA7" w14:textId="77777777" w:rsidR="004B2808" w:rsidRDefault="00000000">
      <w:pPr>
        <w:pStyle w:val="Author-eListParagraph"/>
        <w:numPr>
          <w:ilvl w:val="0"/>
          <w:numId w:val="1349"/>
        </w:numPr>
      </w:pPr>
      <w:r>
        <w:t>En matière de sécurité incendie, les escaliers doivent satisfaire à certaines exigences en fonction du type de bâtiment et de la destination des locaux auxquels ils appartiennent.</w:t>
      </w:r>
    </w:p>
    <w:p w14:paraId="2AE5DA61" w14:textId="77777777" w:rsidR="004B2808" w:rsidRDefault="00000000">
      <w:pPr>
        <w:pStyle w:val="Author-eListParagraph"/>
        <w:numPr>
          <w:ilvl w:val="0"/>
          <w:numId w:val="1349"/>
        </w:numPr>
      </w:pPr>
      <w:r>
        <w:t xml:space="preserve">Support aux prescripteurs : [SWL GSI/T1/A] et [SWL GSI/T1/C] de la prévention passive référencés dans le tome </w:t>
      </w:r>
      <w:hyperlink w:anchor="1380" w:history="1">
        <w:r w:rsidR="004B2808">
          <w:rPr>
            <w:color w:val="0000EE"/>
          </w:rPr>
          <w:t>57.11.3a Escaliers métalliques</w:t>
        </w:r>
      </w:hyperlink>
      <w:r>
        <w:t xml:space="preserve"> de ce cahier des charges.</w:t>
      </w:r>
    </w:p>
    <w:p w14:paraId="4EF7845E" w14:textId="77777777" w:rsidR="004B2808" w:rsidRDefault="00000000">
      <w:pPr>
        <w:pStyle w:val="pheading"/>
      </w:pPr>
      <w:r>
        <w:t>MATÉRIAUX</w:t>
      </w:r>
    </w:p>
    <w:p w14:paraId="089DEEC8" w14:textId="77777777" w:rsidR="004B2808" w:rsidRDefault="00000000">
      <w:pPr>
        <w:pStyle w:val="pheading"/>
      </w:pPr>
      <w:r>
        <w:t>- Caractéristiques générales</w:t>
      </w:r>
    </w:p>
    <w:p w14:paraId="2DDE1FF6" w14:textId="77777777" w:rsidR="004B2808" w:rsidRDefault="00000000">
      <w:r>
        <w:t>Voir aussi 23.1 Eléments de structures métalliques </w:t>
      </w:r>
    </w:p>
    <w:p w14:paraId="3D7CE7C6" w14:textId="77777777" w:rsidR="004B2808" w:rsidRDefault="00000000">
      <w:r>
        <w:t>L 'acier est :</w:t>
      </w:r>
    </w:p>
    <w:p w14:paraId="7BD474BD" w14:textId="77777777" w:rsidR="004B2808" w:rsidRDefault="00000000">
      <w:r>
        <w:br/>
        <w:t>Choix opéré : </w:t>
      </w:r>
      <w:r>
        <w:rPr>
          <w:rStyle w:val="optioncarChar"/>
          <w:b/>
        </w:rPr>
        <w:t xml:space="preserve"> *** / OPTION 1</w:t>
      </w:r>
      <w:r>
        <w:t xml:space="preserve"> (par défaut) </w:t>
      </w:r>
      <w:r>
        <w:rPr>
          <w:rStyle w:val="optioncarChar"/>
          <w:b/>
        </w:rPr>
        <w:t>/ OPTION 2</w:t>
      </w:r>
    </w:p>
    <w:p w14:paraId="208F6063" w14:textId="77777777" w:rsidR="004B2808" w:rsidRDefault="00000000">
      <w:r>
        <w:rPr>
          <w:b/>
        </w:rPr>
        <w:t>***OPTION 1</w:t>
      </w:r>
      <w:r>
        <w:t xml:space="preserve">  (par défaut) : galvanisé à chaud selon les prescriptions suivant la norme [NBN EN ISO 14713-2] : minimum </w:t>
      </w:r>
      <w:r>
        <w:rPr>
          <w:rStyle w:val="optioncarChar"/>
        </w:rPr>
        <w:t xml:space="preserve">275 </w:t>
      </w:r>
      <w:r>
        <w:t>(par défaut) </w:t>
      </w:r>
      <w:r>
        <w:rPr>
          <w:rStyle w:val="optioncarChar"/>
        </w:rPr>
        <w:t>/ 350 / 450 / ***</w:t>
      </w:r>
      <w:r>
        <w:t xml:space="preserve"> g/m².</w:t>
      </w:r>
      <w:r>
        <w:br/>
      </w:r>
      <w:r>
        <w:rPr>
          <w:b/>
        </w:rPr>
        <w:t xml:space="preserve">***OPTION 2 </w:t>
      </w:r>
      <w:r>
        <w:t xml:space="preserve">: revêtu d'une couche de protection à base de chromate de zinc et 2 couches de finition selon l'article </w:t>
      </w:r>
      <w:r>
        <w:rPr>
          <w:rStyle w:val="optioncarChar"/>
        </w:rPr>
        <w:t xml:space="preserve">*** </w:t>
      </w:r>
      <w:r>
        <w:t>du TOME 8 T8 Travaux de peinture / Traitements de surface</w:t>
      </w:r>
    </w:p>
    <w:p w14:paraId="377174D5" w14:textId="77777777" w:rsidR="004B2808" w:rsidRDefault="00000000">
      <w:r>
        <w:t> </w:t>
      </w:r>
    </w:p>
    <w:p w14:paraId="169BD211" w14:textId="77777777" w:rsidR="004B2808" w:rsidRDefault="00000000">
      <w:r>
        <w:rPr>
          <w:b/>
          <w:sz w:val="24"/>
        </w:rPr>
        <w:t>Marches droites</w:t>
      </w:r>
    </w:p>
    <w:p w14:paraId="72D6A2F9" w14:textId="77777777" w:rsidR="004B2808" w:rsidRDefault="00000000">
      <w:r>
        <w:t>La structure de l'escalier se compose d'éléments en acier. Toutes les parties visibles de l'escalier sont propres et débarrassées des ébarbures.</w:t>
      </w:r>
    </w:p>
    <w:p w14:paraId="2F3731A1" w14:textId="77777777" w:rsidR="004B2808" w:rsidRDefault="00000000">
      <w:pPr>
        <w:pStyle w:val="heading"/>
      </w:pPr>
      <w:r>
        <w:t>Spécifications</w:t>
      </w:r>
    </w:p>
    <w:p w14:paraId="7377BB09" w14:textId="77777777" w:rsidR="004B2808" w:rsidRDefault="00000000">
      <w:pPr>
        <w:pStyle w:val="Author-eListParagraph"/>
        <w:numPr>
          <w:ilvl w:val="0"/>
          <w:numId w:val="1350"/>
        </w:numPr>
      </w:pPr>
      <w:r>
        <w:t xml:space="preserve">Nuance d'acier : de type </w:t>
      </w:r>
      <w:r>
        <w:rPr>
          <w:rStyle w:val="optioncarChar"/>
        </w:rPr>
        <w:t>S355 JO+Z25 </w:t>
      </w:r>
      <w:r>
        <w:t>(par défaut)</w:t>
      </w:r>
      <w:r>
        <w:rPr>
          <w:rStyle w:val="optioncarChar"/>
        </w:rPr>
        <w:t> / ***</w:t>
      </w:r>
      <w:r>
        <w:t xml:space="preserve"> selon la norme [NBN EN 10025-2]</w:t>
      </w:r>
    </w:p>
    <w:p w14:paraId="534F4865" w14:textId="77777777" w:rsidR="004B2808" w:rsidRDefault="00000000">
      <w:pPr>
        <w:pStyle w:val="Author-eListParagraph"/>
        <w:numPr>
          <w:ilvl w:val="0"/>
          <w:numId w:val="1350"/>
        </w:numPr>
      </w:pPr>
      <w:r>
        <w:lastRenderedPageBreak/>
        <w:t xml:space="preserve">Type : </w:t>
      </w:r>
      <w:r>
        <w:rPr>
          <w:rStyle w:val="optioncarChar"/>
        </w:rPr>
        <w:t>avec</w:t>
      </w:r>
      <w:r>
        <w:t> (par défaut)</w:t>
      </w:r>
      <w:r>
        <w:rPr>
          <w:rStyle w:val="optioncarChar"/>
        </w:rPr>
        <w:t xml:space="preserve"> / sans / ***</w:t>
      </w:r>
      <w:r>
        <w:t xml:space="preserve"> revêtement organique</w:t>
      </w:r>
    </w:p>
    <w:p w14:paraId="23993BE9" w14:textId="77777777" w:rsidR="004B2808" w:rsidRDefault="00000000">
      <w:r>
        <w:rPr>
          <w:b/>
          <w:sz w:val="24"/>
        </w:rPr>
        <w:t>Escalier tournant</w:t>
      </w:r>
    </w:p>
    <w:p w14:paraId="489C1EBA" w14:textId="77777777" w:rsidR="004B2808" w:rsidRDefault="00000000">
      <w:pPr>
        <w:pStyle w:val="Author-eListParagraph"/>
        <w:numPr>
          <w:ilvl w:val="0"/>
          <w:numId w:val="1351"/>
        </w:numPr>
      </w:pPr>
      <w:r>
        <w:t xml:space="preserve">La structure de l'escalier est réalisée en </w:t>
      </w:r>
      <w:r>
        <w:rPr>
          <w:rStyle w:val="optioncarChar"/>
        </w:rPr>
        <w:t>acier profilé non traité</w:t>
      </w:r>
      <w:r>
        <w:t> (par défaut) </w:t>
      </w:r>
      <w:r>
        <w:rPr>
          <w:rStyle w:val="optioncarChar"/>
        </w:rPr>
        <w:t>/ ***</w:t>
      </w:r>
      <w:r>
        <w:t> . Toutes les parties visibles de l'escalier sont propres et débarrassées de toutes ébarbures.</w:t>
      </w:r>
    </w:p>
    <w:p w14:paraId="2853B18B" w14:textId="77777777" w:rsidR="004B2808" w:rsidRDefault="00000000">
      <w:pPr>
        <w:pStyle w:val="Author-eListParagraph"/>
        <w:numPr>
          <w:ilvl w:val="0"/>
          <w:numId w:val="1351"/>
        </w:numPr>
      </w:pPr>
      <w:r>
        <w:t>Les marches palières et le palier sont fabriqués en essence :</w:t>
      </w:r>
      <w:r>
        <w:rPr>
          <w:rStyle w:val="optioncarChar"/>
        </w:rPr>
        <w:t> hêtre</w:t>
      </w:r>
      <w:r>
        <w:t> (par défaut)</w:t>
      </w:r>
      <w:r>
        <w:rPr>
          <w:rStyle w:val="optioncarChar"/>
        </w:rPr>
        <w:t xml:space="preserve"> / méranti / merbau / kambalairoko / *** </w:t>
      </w:r>
      <w:r>
        <w:t xml:space="preserve">Toutes les parties en bois sont vernies en deux couches selon l'article </w:t>
      </w:r>
      <w:r>
        <w:rPr>
          <w:rStyle w:val="optioncarChar"/>
        </w:rPr>
        <w:t xml:space="preserve">*** </w:t>
      </w:r>
      <w:r>
        <w:t>du Tome 8 T8 Travaux de peinture / Traitements de surface.  Le traitement doit être compris dans le prix. Le bois est protégé jusqu'à réception provisoire dans un emballage de protection évitant les chocs et rayures.</w:t>
      </w:r>
    </w:p>
    <w:p w14:paraId="2DCEF185" w14:textId="77777777" w:rsidR="004B2808" w:rsidRDefault="00000000">
      <w:pPr>
        <w:pStyle w:val="heading"/>
      </w:pPr>
      <w:r>
        <w:t>Spécifications</w:t>
      </w:r>
    </w:p>
    <w:p w14:paraId="771454DA" w14:textId="77777777" w:rsidR="004B2808" w:rsidRDefault="00000000">
      <w:pPr>
        <w:pStyle w:val="Author-eListParagraph"/>
        <w:numPr>
          <w:ilvl w:val="0"/>
          <w:numId w:val="1352"/>
        </w:numPr>
      </w:pPr>
      <w:r>
        <w:t xml:space="preserve">Diamètre total : </w:t>
      </w:r>
      <w:r>
        <w:rPr>
          <w:rStyle w:val="optioncarChar"/>
        </w:rPr>
        <w:t>140</w:t>
      </w:r>
      <w:r>
        <w:t> (par défaut)</w:t>
      </w:r>
      <w:r>
        <w:rPr>
          <w:rStyle w:val="optioncarChar"/>
        </w:rPr>
        <w:t xml:space="preserve"> / 150 / 160 / ***</w:t>
      </w:r>
      <w:r>
        <w:t xml:space="preserve"> cm</w:t>
      </w:r>
    </w:p>
    <w:p w14:paraId="620831B8" w14:textId="77777777" w:rsidR="004B2808" w:rsidRDefault="00000000">
      <w:pPr>
        <w:pStyle w:val="Author-eListParagraph"/>
        <w:numPr>
          <w:ilvl w:val="0"/>
          <w:numId w:val="1352"/>
        </w:numPr>
      </w:pPr>
      <w:r>
        <w:t xml:space="preserve">Hauteur (sol à sol) : </w:t>
      </w:r>
      <w:r>
        <w:rPr>
          <w:rStyle w:val="optioncarChar"/>
        </w:rPr>
        <w:t xml:space="preserve">*** </w:t>
      </w:r>
      <w:r>
        <w:t>cm</w:t>
      </w:r>
    </w:p>
    <w:p w14:paraId="6F6849DD" w14:textId="77777777" w:rsidR="004B2808" w:rsidRDefault="00000000">
      <w:pPr>
        <w:pStyle w:val="Author-eListParagraph"/>
        <w:numPr>
          <w:ilvl w:val="0"/>
          <w:numId w:val="1352"/>
        </w:numPr>
      </w:pPr>
      <w:r>
        <w:t xml:space="preserve">Nombre de marches par niveau : minimum </w:t>
      </w:r>
      <w:r>
        <w:rPr>
          <w:rStyle w:val="optioncarChar"/>
        </w:rPr>
        <w:t>14</w:t>
      </w:r>
      <w:r>
        <w:t xml:space="preserve"> (par défaut)</w:t>
      </w:r>
      <w:r>
        <w:rPr>
          <w:rStyle w:val="optioncarChar"/>
        </w:rPr>
        <w:t xml:space="preserve"> / 15 / 16 / *** </w:t>
      </w:r>
    </w:p>
    <w:p w14:paraId="0EE6A451" w14:textId="77777777" w:rsidR="004B2808" w:rsidRDefault="00000000">
      <w:pPr>
        <w:pStyle w:val="Author-eListParagraph"/>
        <w:numPr>
          <w:ilvl w:val="0"/>
          <w:numId w:val="1352"/>
        </w:numPr>
      </w:pPr>
      <w:r>
        <w:t>Axe central : colonne</w:t>
      </w:r>
      <w:r>
        <w:rPr>
          <w:rStyle w:val="optioncarChar"/>
        </w:rPr>
        <w:t xml:space="preserve"> ronde / carrée</w:t>
      </w:r>
      <w:r>
        <w:t xml:space="preserve"> d'un diamètre d'au moins</w:t>
      </w:r>
      <w:r>
        <w:rPr>
          <w:rStyle w:val="optioncarChar"/>
        </w:rPr>
        <w:t> 114 </w:t>
      </w:r>
      <w:r>
        <w:t>(par défaut) / ***</w:t>
      </w:r>
      <w:r>
        <w:rPr>
          <w:rStyle w:val="optioncarChar"/>
        </w:rPr>
        <w:t> </w:t>
      </w:r>
      <w:r>
        <w:t>mm</w:t>
      </w:r>
    </w:p>
    <w:p w14:paraId="413A62CF" w14:textId="77777777" w:rsidR="004B2808" w:rsidRDefault="00000000">
      <w:pPr>
        <w:pStyle w:val="Author-eListParagraph"/>
        <w:numPr>
          <w:ilvl w:val="0"/>
          <w:numId w:val="1352"/>
        </w:numPr>
      </w:pPr>
      <w:r>
        <w:t xml:space="preserve">Dépassement du profil tubulaire : </w:t>
      </w:r>
      <w:r>
        <w:rPr>
          <w:rStyle w:val="optioncarChar"/>
        </w:rPr>
        <w:t>90 </w:t>
      </w:r>
      <w:r>
        <w:t>(par défaut) </w:t>
      </w:r>
      <w:r>
        <w:rPr>
          <w:rStyle w:val="optioncarChar"/>
        </w:rPr>
        <w:t>/ *** </w:t>
      </w:r>
      <w:r>
        <w:t>  cm conforme à la norme [NBN B 03-004]</w:t>
      </w:r>
    </w:p>
    <w:p w14:paraId="77ED7F8E" w14:textId="77777777" w:rsidR="004B2808" w:rsidRDefault="00000000">
      <w:pPr>
        <w:pStyle w:val="Author-eListParagraph"/>
        <w:numPr>
          <w:ilvl w:val="0"/>
          <w:numId w:val="1352"/>
        </w:numPr>
      </w:pPr>
      <w:r>
        <w:t xml:space="preserve">Forme du palier : </w:t>
      </w:r>
      <w:r>
        <w:rPr>
          <w:rStyle w:val="optioncarChar"/>
        </w:rPr>
        <w:t>carré</w:t>
      </w:r>
      <w:r>
        <w:t xml:space="preserve"> (par défaut) </w:t>
      </w:r>
      <w:r>
        <w:rPr>
          <w:rStyle w:val="optioncarChar"/>
        </w:rPr>
        <w:t>/ rond / ***</w:t>
      </w:r>
    </w:p>
    <w:p w14:paraId="6D435B0D" w14:textId="77777777" w:rsidR="004B2808" w:rsidRDefault="00000000">
      <w:pPr>
        <w:pStyle w:val="Author-eListParagraph"/>
        <w:numPr>
          <w:ilvl w:val="0"/>
          <w:numId w:val="1352"/>
        </w:numPr>
      </w:pPr>
      <w:r>
        <w:t xml:space="preserve">Marches : leur extrémité est </w:t>
      </w:r>
      <w:r>
        <w:rPr>
          <w:rStyle w:val="optioncarChar"/>
        </w:rPr>
        <w:t>droite</w:t>
      </w:r>
      <w:r>
        <w:t> (par défaut)</w:t>
      </w:r>
      <w:r>
        <w:rPr>
          <w:rStyle w:val="optioncarChar"/>
        </w:rPr>
        <w:t xml:space="preserve"> / courbée / *** </w:t>
      </w:r>
    </w:p>
    <w:p w14:paraId="4C08F44A" w14:textId="77777777" w:rsidR="004B2808" w:rsidRDefault="00000000">
      <w:pPr>
        <w:pStyle w:val="Author-eListParagraph"/>
        <w:numPr>
          <w:ilvl w:val="0"/>
          <w:numId w:val="1352"/>
        </w:numPr>
      </w:pPr>
      <w:r>
        <w:t>Rampe : diamètre env. 40 mm</w:t>
      </w:r>
    </w:p>
    <w:p w14:paraId="0E908A63" w14:textId="77777777" w:rsidR="004B2808" w:rsidRDefault="00000000">
      <w:pPr>
        <w:pStyle w:val="Author-eListParagraph"/>
        <w:numPr>
          <w:ilvl w:val="0"/>
          <w:numId w:val="1352"/>
        </w:numPr>
      </w:pPr>
      <w:r>
        <w:t xml:space="preserve">Balustres : env. </w:t>
      </w:r>
      <w:r>
        <w:rPr>
          <w:rStyle w:val="optioncarChar"/>
        </w:rPr>
        <w:t>20</w:t>
      </w:r>
      <w:r>
        <w:t> (par défaut)</w:t>
      </w:r>
      <w:r>
        <w:rPr>
          <w:rStyle w:val="optioncarChar"/>
        </w:rPr>
        <w:t xml:space="preserve"> / 30 / *** </w:t>
      </w:r>
      <w:r>
        <w:t>mm</w:t>
      </w:r>
    </w:p>
    <w:p w14:paraId="5A19A0B9" w14:textId="77777777" w:rsidR="004B2808" w:rsidRDefault="00000000">
      <w:pPr>
        <w:pStyle w:val="pheading"/>
      </w:pPr>
      <w:r>
        <w:t>- Finitions</w:t>
      </w:r>
    </w:p>
    <w:p w14:paraId="2437D238" w14:textId="77777777" w:rsidR="004B2808" w:rsidRDefault="00000000">
      <w:pPr>
        <w:pStyle w:val="heading"/>
      </w:pPr>
      <w:r>
        <w:t>Marches droites</w:t>
      </w:r>
    </w:p>
    <w:p w14:paraId="0C886F3C" w14:textId="77777777" w:rsidR="004B2808" w:rsidRDefault="00000000">
      <w:pPr>
        <w:pStyle w:val="Author-eListParagraph"/>
        <w:numPr>
          <w:ilvl w:val="0"/>
          <w:numId w:val="1353"/>
        </w:numPr>
      </w:pPr>
      <w:r>
        <w:t xml:space="preserve">Type de revêtement : </w:t>
      </w:r>
      <w:r>
        <w:rPr>
          <w:rStyle w:val="optioncarChar"/>
        </w:rPr>
        <w:t>antidérapant (PMR)</w:t>
      </w:r>
      <w:r>
        <w:t> (par défaut</w:t>
      </w:r>
      <w:r>
        <w:rPr>
          <w:rStyle w:val="optioncarChar"/>
        </w:rPr>
        <w:t>) / *** </w:t>
      </w:r>
    </w:p>
    <w:p w14:paraId="69200FCF" w14:textId="77777777" w:rsidR="004B2808" w:rsidRDefault="00000000">
      <w:pPr>
        <w:pStyle w:val="Author-eListParagraph"/>
        <w:numPr>
          <w:ilvl w:val="0"/>
          <w:numId w:val="1353"/>
        </w:numPr>
      </w:pPr>
      <w:r>
        <w:t>Finition de la surface :</w:t>
      </w:r>
      <w:r>
        <w:rPr>
          <w:rStyle w:val="optioncarChar"/>
        </w:rPr>
        <w:t> AY (acrylique)</w:t>
      </w:r>
      <w:r>
        <w:t> (par défaut)</w:t>
      </w:r>
      <w:r>
        <w:rPr>
          <w:rStyle w:val="optioncarChar"/>
        </w:rPr>
        <w:t xml:space="preserve"> / SP (polyester ) / SP-SI (silicone polyester ) / PUR (polyuréthane) / SP-PA (polyamide-polyester modifié) / ***</w:t>
      </w:r>
      <w:r>
        <w:t>.</w:t>
      </w:r>
    </w:p>
    <w:p w14:paraId="0E0B6F30" w14:textId="77777777" w:rsidR="004B2808" w:rsidRDefault="00000000">
      <w:pPr>
        <w:pStyle w:val="Author-eListParagraph"/>
        <w:numPr>
          <w:ilvl w:val="0"/>
          <w:numId w:val="1353"/>
        </w:numPr>
      </w:pPr>
      <w:r>
        <w:t xml:space="preserve">Epaisseur de la couche : minimum </w:t>
      </w:r>
      <w:r>
        <w:rPr>
          <w:rStyle w:val="optioncarChar"/>
        </w:rPr>
        <w:t>20</w:t>
      </w:r>
      <w:r>
        <w:t> (par défaut)</w:t>
      </w:r>
      <w:r>
        <w:rPr>
          <w:rStyle w:val="optioncarChar"/>
        </w:rPr>
        <w:t xml:space="preserve"> / 25 / *** </w:t>
      </w:r>
      <w:r>
        <w:t>microns,</w:t>
      </w:r>
    </w:p>
    <w:p w14:paraId="67B548FF" w14:textId="77777777" w:rsidR="004B2808" w:rsidRDefault="00000000">
      <w:pPr>
        <w:pStyle w:val="Author-eListParagraph"/>
        <w:numPr>
          <w:ilvl w:val="0"/>
          <w:numId w:val="1353"/>
        </w:numPr>
      </w:pPr>
      <w:r>
        <w:t>Coloris : Couleur RAL n°</w:t>
      </w:r>
      <w:r>
        <w:rPr>
          <w:rStyle w:val="optioncarChar"/>
        </w:rPr>
        <w:t xml:space="preserve"> *** </w:t>
      </w:r>
      <w:r>
        <w:t xml:space="preserve"> (par défaut) </w:t>
      </w:r>
      <w:r>
        <w:rPr>
          <w:rStyle w:val="optioncarChar"/>
        </w:rPr>
        <w:t>/ à choisir dans la gamme complète du fabricant  </w:t>
      </w:r>
    </w:p>
    <w:p w14:paraId="30BE4032" w14:textId="77777777" w:rsidR="004B2808" w:rsidRDefault="00000000">
      <w:pPr>
        <w:pStyle w:val="pheading"/>
      </w:pPr>
      <w:r>
        <w:t>- Prescriptions complémentaires</w:t>
      </w:r>
    </w:p>
    <w:p w14:paraId="0DB184AD" w14:textId="77777777" w:rsidR="004B2808" w:rsidRDefault="00000000">
      <w:r>
        <w:t xml:space="preserve">Selon la [Décision 96/603/CE] de la Commission du 4 octobre 1996   et les conditions qui y sont reprises , l’acier appartient à la classe de réaction au feu A1 et A1 </w:t>
      </w:r>
      <w:r>
        <w:rPr>
          <w:vertAlign w:val="subscript"/>
        </w:rPr>
        <w:t xml:space="preserve">FL </w:t>
      </w:r>
      <w:r>
        <w:t>.</w:t>
      </w:r>
      <w:r>
        <w:br/>
        <w:t>Stabilité au feu : classe</w:t>
      </w:r>
      <w:r>
        <w:rPr>
          <w:rStyle w:val="optioncarChar"/>
        </w:rPr>
        <w:t> R30</w:t>
      </w:r>
      <w:r>
        <w:t xml:space="preserve"> (par défaut) </w:t>
      </w:r>
      <w:r>
        <w:rPr>
          <w:rStyle w:val="optioncarChar"/>
        </w:rPr>
        <w:t>/ R60 / R120 / *** </w:t>
      </w:r>
      <w:r>
        <w:t>selon la [NBN EN 13501-2] ou</w:t>
      </w:r>
      <w:r>
        <w:rPr>
          <w:rStyle w:val="optioncarChar"/>
        </w:rPr>
        <w:t> Rf 1/2h </w:t>
      </w:r>
      <w:r>
        <w:t>(par défaut)</w:t>
      </w:r>
      <w:r>
        <w:rPr>
          <w:rStyle w:val="optioncarChar"/>
        </w:rPr>
        <w:t xml:space="preserve"> / Rf 1h / Rf 2h </w:t>
      </w:r>
      <w:r>
        <w:t>selon la [NBN 713-020] tant qu’elle est encore d’application.</w:t>
      </w:r>
    </w:p>
    <w:p w14:paraId="6E3B9166" w14:textId="77777777" w:rsidR="004B2808" w:rsidRDefault="00000000">
      <w:pPr>
        <w:pStyle w:val="pheading"/>
      </w:pPr>
      <w:r>
        <w:t>EXÉCUTION / MISE EN ŒUVRE</w:t>
      </w:r>
    </w:p>
    <w:p w14:paraId="7E45EADD" w14:textId="77777777" w:rsidR="004B2808" w:rsidRDefault="00000000">
      <w:pPr>
        <w:pStyle w:val="pheading"/>
      </w:pPr>
      <w:r>
        <w:t>- Prescriptions générales</w:t>
      </w:r>
    </w:p>
    <w:p w14:paraId="5B502761" w14:textId="77777777" w:rsidR="004B2808" w:rsidRDefault="00000000">
      <w:r>
        <w:t>Voir aussi 23.1 Eléments de structures métalliques </w:t>
      </w:r>
    </w:p>
    <w:p w14:paraId="2D03A143" w14:textId="77777777" w:rsidR="004B2808" w:rsidRDefault="00000000">
      <w:pPr>
        <w:pStyle w:val="Author-eListParagraph"/>
        <w:numPr>
          <w:ilvl w:val="0"/>
          <w:numId w:val="1354"/>
        </w:numPr>
      </w:pPr>
      <w:r>
        <w:t xml:space="preserve">Etude - dessins de détail : </w:t>
      </w:r>
      <w:r>
        <w:rPr>
          <w:rStyle w:val="optioncarChar"/>
        </w:rPr>
        <w:t>annexés au dossier d'adjudication</w:t>
      </w:r>
      <w:r>
        <w:t xml:space="preserve"> (par défaut)</w:t>
      </w:r>
      <w:r>
        <w:rPr>
          <w:rStyle w:val="optioncarChar"/>
        </w:rPr>
        <w:t> / à charge de l'entrepreneur, à soumettre pour approbation du maître d’ouvrage / ***</w:t>
      </w:r>
      <w:r>
        <w:t>.</w:t>
      </w:r>
    </w:p>
    <w:p w14:paraId="7F4E45D4" w14:textId="77777777" w:rsidR="004B2808" w:rsidRDefault="00000000">
      <w:pPr>
        <w:pStyle w:val="Author-eListParagraph"/>
        <w:numPr>
          <w:ilvl w:val="0"/>
          <w:numId w:val="1354"/>
        </w:numPr>
      </w:pPr>
      <w:r>
        <w:t>Toutes les pièces sont profilées conformément aux plans d'adjudication et/ou aux dessins d'exécution approuvés. Les dessins d'exécution sont soumis à l'approbation de la l'administration.</w:t>
      </w:r>
    </w:p>
    <w:p w14:paraId="78D9C295" w14:textId="77777777" w:rsidR="004B2808" w:rsidRDefault="00000000">
      <w:pPr>
        <w:pStyle w:val="Author-eListParagraph"/>
        <w:numPr>
          <w:ilvl w:val="0"/>
          <w:numId w:val="1354"/>
        </w:numPr>
      </w:pPr>
      <w:r>
        <w:t>L'escalier dans son ensemble doit résister à une charge + surcharge de 500 kg/m2.</w:t>
      </w:r>
    </w:p>
    <w:p w14:paraId="550AD5F9" w14:textId="77777777" w:rsidR="004B2808" w:rsidRDefault="00000000">
      <w:r>
        <w:rPr>
          <w:u w:val="single"/>
        </w:rPr>
        <w:t>Marches droites</w:t>
      </w:r>
    </w:p>
    <w:p w14:paraId="1BBF9770" w14:textId="77777777" w:rsidR="004B2808" w:rsidRDefault="00000000">
      <w:r>
        <w:t>Pour les escaliers à paliers, lors de l'établissement du dessin d'exécution, on veille à respecter une ligne souple pour la main-courante. Dans la mesure du possible, l'escalier est préfabriqué en atelier et amené sur le chantier en une seule fois.</w:t>
      </w:r>
    </w:p>
    <w:p w14:paraId="20215F55" w14:textId="77777777" w:rsidR="004B2808" w:rsidRDefault="00000000">
      <w:r>
        <w:t>Spécifications</w:t>
      </w:r>
    </w:p>
    <w:p w14:paraId="3B5309D5" w14:textId="77777777" w:rsidR="004B2808" w:rsidRDefault="00000000">
      <w:pPr>
        <w:pStyle w:val="Author-eListParagraph"/>
        <w:numPr>
          <w:ilvl w:val="0"/>
          <w:numId w:val="1355"/>
        </w:numPr>
      </w:pPr>
      <w:r>
        <w:lastRenderedPageBreak/>
        <w:t xml:space="preserve">Module de pas : (M=600 à 630, selon la formule M=2H+G) </w:t>
      </w:r>
    </w:p>
    <w:p w14:paraId="7BAD14EE" w14:textId="77777777" w:rsidR="004B2808" w:rsidRDefault="00000000">
      <w:pPr>
        <w:pStyle w:val="Author-eListParagraph"/>
        <w:numPr>
          <w:ilvl w:val="1"/>
          <w:numId w:val="1356"/>
        </w:numPr>
      </w:pPr>
      <w:r>
        <w:t>Giron : G = minimum</w:t>
      </w:r>
      <w:r>
        <w:rPr>
          <w:rStyle w:val="optioncarChar"/>
        </w:rPr>
        <w:t> 225</w:t>
      </w:r>
      <w:r>
        <w:t> (par défaut)</w:t>
      </w:r>
      <w:r>
        <w:rPr>
          <w:rStyle w:val="optioncarChar"/>
        </w:rPr>
        <w:t xml:space="preserve"> / 250 (PMR) / *** </w:t>
      </w:r>
      <w:r>
        <w:t>mm , maximum</w:t>
      </w:r>
      <w:r>
        <w:rPr>
          <w:rStyle w:val="optioncarChar"/>
        </w:rPr>
        <w:t> 250 </w:t>
      </w:r>
      <w:r>
        <w:t>(par défaut) </w:t>
      </w:r>
      <w:r>
        <w:rPr>
          <w:rStyle w:val="optioncarChar"/>
        </w:rPr>
        <w:t>/ *** </w:t>
      </w:r>
      <w:r>
        <w:t>mm</w:t>
      </w:r>
    </w:p>
    <w:p w14:paraId="3A08E586" w14:textId="77777777" w:rsidR="004B2808" w:rsidRDefault="00000000">
      <w:pPr>
        <w:pStyle w:val="Author-eListParagraph"/>
        <w:numPr>
          <w:ilvl w:val="1"/>
          <w:numId w:val="1356"/>
        </w:numPr>
      </w:pPr>
      <w:r>
        <w:t>Hauteur : H = minimum</w:t>
      </w:r>
      <w:r>
        <w:rPr>
          <w:rStyle w:val="optioncarChar"/>
        </w:rPr>
        <w:t> 175</w:t>
      </w:r>
      <w:r>
        <w:t> (par défaut) </w:t>
      </w:r>
      <w:r>
        <w:rPr>
          <w:rStyle w:val="optioncarChar"/>
        </w:rPr>
        <w:t>/ *** </w:t>
      </w:r>
      <w:r>
        <w:t>mm, maximum</w:t>
      </w:r>
      <w:r>
        <w:rPr>
          <w:rStyle w:val="optioncarChar"/>
        </w:rPr>
        <w:t> 180 (PMR)</w:t>
      </w:r>
      <w:r>
        <w:t xml:space="preserve"> (par défaut) </w:t>
      </w:r>
      <w:r>
        <w:rPr>
          <w:rStyle w:val="optioncarChar"/>
        </w:rPr>
        <w:t>/ 190 / ***  </w:t>
      </w:r>
      <w:r>
        <w:t>mm</w:t>
      </w:r>
    </w:p>
    <w:p w14:paraId="025A1149" w14:textId="77777777" w:rsidR="004B2808" w:rsidRDefault="00000000">
      <w:pPr>
        <w:pStyle w:val="Author-eListParagraph"/>
        <w:numPr>
          <w:ilvl w:val="0"/>
          <w:numId w:val="1355"/>
        </w:numPr>
        <w:ind w:left="450"/>
      </w:pPr>
      <w:r>
        <w:t>Limons :</w:t>
      </w:r>
      <w:r>
        <w:rPr>
          <w:rStyle w:val="optioncarChar"/>
        </w:rPr>
        <w:t> deux limons </w:t>
      </w:r>
      <w:r>
        <w:t>(par défaut)</w:t>
      </w:r>
      <w:r>
        <w:rPr>
          <w:rStyle w:val="optioncarChar"/>
        </w:rPr>
        <w:t xml:space="preserve"> / un arbre central / *** </w:t>
      </w:r>
    </w:p>
    <w:p w14:paraId="5455DB8F" w14:textId="77777777" w:rsidR="004B2808" w:rsidRDefault="00000000">
      <w:pPr>
        <w:pStyle w:val="Author-eListParagraph"/>
        <w:numPr>
          <w:ilvl w:val="1"/>
          <w:numId w:val="1357"/>
        </w:numPr>
      </w:pPr>
      <w:r>
        <w:t>Forme :</w:t>
      </w:r>
      <w:r>
        <w:rPr>
          <w:rStyle w:val="optioncarChar"/>
        </w:rPr>
        <w:t> profil plat</w:t>
      </w:r>
      <w:r>
        <w:t> (par défaut)</w:t>
      </w:r>
      <w:r>
        <w:rPr>
          <w:rStyle w:val="optioncarChar"/>
        </w:rPr>
        <w:t xml:space="preserve"> / profil en I / profil tubulaire / profil en U / selon les dessins de détail de l'auteur de projet / *** </w:t>
      </w:r>
      <w:r>
        <w:t>.</w:t>
      </w:r>
    </w:p>
    <w:p w14:paraId="7CD4E613" w14:textId="77777777" w:rsidR="004B2808" w:rsidRDefault="00000000">
      <w:pPr>
        <w:pStyle w:val="Author-eListParagraph"/>
        <w:numPr>
          <w:ilvl w:val="1"/>
          <w:numId w:val="1357"/>
        </w:numPr>
      </w:pPr>
      <w:r>
        <w:t xml:space="preserve">Dimensions : </w:t>
      </w:r>
      <w:r>
        <w:rPr>
          <w:rStyle w:val="optioncarChar"/>
        </w:rPr>
        <w:t xml:space="preserve">*** </w:t>
      </w:r>
    </w:p>
    <w:p w14:paraId="0E8B51AE" w14:textId="77777777" w:rsidR="004B2808" w:rsidRDefault="00000000">
      <w:pPr>
        <w:pStyle w:val="Author-eListParagraph"/>
        <w:numPr>
          <w:ilvl w:val="1"/>
          <w:numId w:val="1357"/>
        </w:numPr>
      </w:pPr>
      <w:r>
        <w:t xml:space="preserve">Epaisseur : </w:t>
      </w:r>
      <w:r>
        <w:rPr>
          <w:rStyle w:val="optioncarChar"/>
        </w:rPr>
        <w:t xml:space="preserve">*** </w:t>
      </w:r>
    </w:p>
    <w:p w14:paraId="11C92D8C" w14:textId="77777777" w:rsidR="004B2808" w:rsidRDefault="00000000">
      <w:pPr>
        <w:pStyle w:val="Author-eListParagraph"/>
        <w:numPr>
          <w:ilvl w:val="1"/>
          <w:numId w:val="1358"/>
        </w:numPr>
      </w:pPr>
      <w:r>
        <w:t>Les limons dépassent de</w:t>
      </w:r>
      <w:r>
        <w:rPr>
          <w:rStyle w:val="optioncarChar"/>
        </w:rPr>
        <w:t> 10 </w:t>
      </w:r>
      <w:r>
        <w:t>(par défaut)</w:t>
      </w:r>
      <w:r>
        <w:rPr>
          <w:rStyle w:val="optioncarChar"/>
        </w:rPr>
        <w:t xml:space="preserve"> / 15 / *** </w:t>
      </w:r>
      <w:r>
        <w:t>mm au-dessus des nez de marche, mesuré dans le sens perpendiculaire à la pente de l'escalier.</w:t>
      </w:r>
    </w:p>
    <w:p w14:paraId="6DE50336" w14:textId="77777777" w:rsidR="004B2808" w:rsidRDefault="00000000">
      <w:pPr>
        <w:pStyle w:val="Author-eListParagraph"/>
        <w:numPr>
          <w:ilvl w:val="1"/>
          <w:numId w:val="1358"/>
        </w:numPr>
      </w:pPr>
      <w:r>
        <w:t xml:space="preserve">Les limons dépassent de </w:t>
      </w:r>
      <w:r>
        <w:rPr>
          <w:rStyle w:val="optioncarChar"/>
        </w:rPr>
        <w:t>0 / 10</w:t>
      </w:r>
      <w:r>
        <w:t> (par défaut)</w:t>
      </w:r>
      <w:r>
        <w:rPr>
          <w:rStyle w:val="optioncarChar"/>
        </w:rPr>
        <w:t xml:space="preserve"> / 15 / ***</w:t>
      </w:r>
      <w:r>
        <w:t xml:space="preserve"> mm sous le bas des marches, mesuré dans le sens perpendiculaire à la pente de l'escalier.</w:t>
      </w:r>
    </w:p>
    <w:p w14:paraId="05B92708" w14:textId="77777777" w:rsidR="004B2808" w:rsidRDefault="00000000">
      <w:pPr>
        <w:pStyle w:val="Author-eListParagraph"/>
        <w:numPr>
          <w:ilvl w:val="1"/>
          <w:numId w:val="1358"/>
        </w:numPr>
      </w:pPr>
      <w:r>
        <w:t xml:space="preserve">Les limons sont liaisonnés aux poteaux à l'aide de soudures et de boulons et écrous en </w:t>
      </w:r>
      <w:r>
        <w:rPr>
          <w:rStyle w:val="optioncarChar"/>
        </w:rPr>
        <w:t>***</w:t>
      </w:r>
    </w:p>
    <w:p w14:paraId="2B1B0D7D" w14:textId="77777777" w:rsidR="004B2808" w:rsidRDefault="00000000">
      <w:pPr>
        <w:ind w:left="567"/>
      </w:pPr>
      <w:r>
        <w:rPr>
          <w:rStyle w:val="optioncarChar"/>
          <w:color w:val="000000"/>
        </w:rPr>
        <w:t>Choix opéré :</w:t>
      </w:r>
      <w:r>
        <w:rPr>
          <w:rStyle w:val="optioncarChar"/>
        </w:rPr>
        <w:t>*** / OPTION 1 </w:t>
      </w:r>
      <w:r>
        <w:t>(par défaut)</w:t>
      </w:r>
      <w:r>
        <w:rPr>
          <w:rStyle w:val="optioncarChar"/>
        </w:rPr>
        <w:t xml:space="preserve"> / OPTION 2 / OPTION 3</w:t>
      </w:r>
    </w:p>
    <w:p w14:paraId="47E13500" w14:textId="77777777" w:rsidR="004B2808" w:rsidRDefault="00000000">
      <w:pPr>
        <w:ind w:left="450"/>
      </w:pPr>
      <w:r>
        <w:rPr>
          <w:rStyle w:val="optioncarChar"/>
        </w:rPr>
        <w:t> </w:t>
      </w:r>
      <w:r>
        <w:rPr>
          <w:b/>
        </w:rPr>
        <w:t>***OPTION 1 (par défaut)</w:t>
      </w:r>
      <w:r>
        <w:t xml:space="preserve"> : Escalier à deux limons libres. Les limons soutiennent les marches à l'aide </w:t>
      </w:r>
      <w:r>
        <w:rPr>
          <w:rStyle w:val="optioncarChar"/>
        </w:rPr>
        <w:t>d’accessoires en métal</w:t>
      </w:r>
      <w:r>
        <w:t> (par défaut)</w:t>
      </w:r>
      <w:r>
        <w:rPr>
          <w:rStyle w:val="optioncarChar"/>
        </w:rPr>
        <w:t> / *** </w:t>
      </w:r>
      <w:r>
        <w:t xml:space="preserve">Les marches sont fixées à la plaque de support par soudure </w:t>
      </w:r>
      <w:r>
        <w:rPr>
          <w:rStyle w:val="optioncarChar"/>
        </w:rPr>
        <w:t>avec de boulons et écrous</w:t>
      </w:r>
      <w:r>
        <w:t> (par défaut)</w:t>
      </w:r>
      <w:r>
        <w:rPr>
          <w:rStyle w:val="optioncarChar"/>
        </w:rPr>
        <w:t xml:space="preserve"> / ***</w:t>
      </w:r>
      <w:r>
        <w:br/>
      </w:r>
      <w:r>
        <w:rPr>
          <w:b/>
        </w:rPr>
        <w:t>***OPTION 2</w:t>
      </w:r>
      <w:r>
        <w:t> : Escalier à un seul limon central. Les limons soutiennent les marches à l'aide</w:t>
      </w:r>
      <w:r>
        <w:rPr>
          <w:rStyle w:val="optioncarChar"/>
        </w:rPr>
        <w:t> d’accessoires en métal </w:t>
      </w:r>
      <w:r>
        <w:t>(par défaut)</w:t>
      </w:r>
      <w:r>
        <w:rPr>
          <w:rStyle w:val="optioncarChar"/>
        </w:rPr>
        <w:t> / ***</w:t>
      </w:r>
      <w:r>
        <w:t xml:space="preserve">.  Les marches sont fixées à la plaque de support par soudure </w:t>
      </w:r>
      <w:r>
        <w:rPr>
          <w:rStyle w:val="optioncarChar"/>
        </w:rPr>
        <w:t>avec de boulons et écrous</w:t>
      </w:r>
      <w:r>
        <w:t> (par défaut) </w:t>
      </w:r>
      <w:r>
        <w:rPr>
          <w:rStyle w:val="optioncarChar"/>
        </w:rPr>
        <w:t>/ ***</w:t>
      </w:r>
    </w:p>
    <w:p w14:paraId="25BB0A82" w14:textId="77777777" w:rsidR="004B2808" w:rsidRDefault="00000000">
      <w:pPr>
        <w:ind w:left="450"/>
      </w:pPr>
      <w:r>
        <w:rPr>
          <w:b/>
        </w:rPr>
        <w:t>*** OPTION 3 :</w:t>
      </w:r>
      <w:r>
        <w:t xml:space="preserve"> Escalier à marches suspendues: </w:t>
      </w:r>
      <w:r>
        <w:rPr>
          <w:rStyle w:val="optioncarChar"/>
        </w:rPr>
        <w:t>les marches sont suspendues d'un  côté /des deux côtés par des câbles</w:t>
      </w:r>
      <w:r>
        <w:t> (par défaut)</w:t>
      </w:r>
      <w:r>
        <w:rPr>
          <w:rStyle w:val="optioncarChar"/>
        </w:rPr>
        <w:t xml:space="preserve"> / tiges   métalliques / *** .</w:t>
      </w:r>
    </w:p>
    <w:p w14:paraId="138ED7F9" w14:textId="77777777" w:rsidR="004B2808" w:rsidRDefault="00000000">
      <w:pPr>
        <w:pStyle w:val="Author-eListParagraph"/>
        <w:numPr>
          <w:ilvl w:val="0"/>
          <w:numId w:val="1359"/>
        </w:numPr>
      </w:pPr>
      <w:r>
        <w:t xml:space="preserve">Marches palières : </w:t>
      </w:r>
    </w:p>
    <w:p w14:paraId="6A002E84" w14:textId="77777777" w:rsidR="004B2808" w:rsidRDefault="00000000">
      <w:pPr>
        <w:pStyle w:val="Author-eListParagraph"/>
        <w:numPr>
          <w:ilvl w:val="1"/>
          <w:numId w:val="1360"/>
        </w:numPr>
      </w:pPr>
      <w:r>
        <w:t xml:space="preserve">Largeur : </w:t>
      </w:r>
      <w:r>
        <w:rPr>
          <w:rStyle w:val="optioncarChar"/>
        </w:rPr>
        <w:t>120</w:t>
      </w:r>
      <w:r>
        <w:t> (par défaut)</w:t>
      </w:r>
      <w:r>
        <w:rPr>
          <w:rStyle w:val="optioncarChar"/>
        </w:rPr>
        <w:t xml:space="preserve"> / 150 / *** </w:t>
      </w:r>
      <w:r>
        <w:t>mm</w:t>
      </w:r>
    </w:p>
    <w:p w14:paraId="24056D99" w14:textId="77777777" w:rsidR="004B2808" w:rsidRDefault="00000000">
      <w:pPr>
        <w:pStyle w:val="Author-eListParagraph"/>
        <w:numPr>
          <w:ilvl w:val="1"/>
          <w:numId w:val="1360"/>
        </w:numPr>
      </w:pPr>
      <w:r>
        <w:t>Forme :</w:t>
      </w:r>
      <w:r>
        <w:rPr>
          <w:rStyle w:val="optioncarChar"/>
        </w:rPr>
        <w:t> selon les dessins de détail de l'auteur de projet</w:t>
      </w:r>
    </w:p>
    <w:p w14:paraId="7F4A52C8" w14:textId="77777777" w:rsidR="004B2808" w:rsidRDefault="00000000">
      <w:pPr>
        <w:pStyle w:val="Author-eListParagraph"/>
        <w:numPr>
          <w:ilvl w:val="1"/>
          <w:numId w:val="1360"/>
        </w:numPr>
      </w:pPr>
      <w:r>
        <w:t xml:space="preserve">Epaisseur : </w:t>
      </w:r>
      <w:r>
        <w:rPr>
          <w:rStyle w:val="optioncarChar"/>
        </w:rPr>
        <w:t>***</w:t>
      </w:r>
    </w:p>
    <w:p w14:paraId="6156B871" w14:textId="77777777" w:rsidR="004B2808" w:rsidRDefault="00000000">
      <w:pPr>
        <w:pStyle w:val="Author-eListParagraph"/>
        <w:numPr>
          <w:ilvl w:val="0"/>
          <w:numId w:val="1359"/>
        </w:numPr>
      </w:pPr>
      <w:r>
        <w:t xml:space="preserve">Caractéristiques des moyens d'ancrage : </w:t>
      </w:r>
      <w:r>
        <w:rPr>
          <w:rStyle w:val="optioncarChar"/>
        </w:rPr>
        <w:t>***</w:t>
      </w:r>
    </w:p>
    <w:p w14:paraId="56EEB592" w14:textId="77777777" w:rsidR="004B2808" w:rsidRDefault="00000000">
      <w:pPr>
        <w:pStyle w:val="Author-eListParagraph"/>
        <w:numPr>
          <w:ilvl w:val="0"/>
          <w:numId w:val="1359"/>
        </w:numPr>
      </w:pPr>
      <w:r>
        <w:t xml:space="preserve">Marches : </w:t>
      </w:r>
    </w:p>
    <w:p w14:paraId="1EB878CF" w14:textId="77777777" w:rsidR="004B2808" w:rsidRDefault="00000000">
      <w:pPr>
        <w:pStyle w:val="Author-eListParagraph"/>
        <w:numPr>
          <w:ilvl w:val="1"/>
          <w:numId w:val="1361"/>
        </w:numPr>
      </w:pPr>
      <w:r>
        <w:t>marches en bois conformément à l'article </w:t>
      </w:r>
      <w:hyperlink w:anchor="1382" w:history="1">
        <w:r w:rsidR="004B2808">
          <w:rPr>
            <w:color w:val="0000EE"/>
          </w:rPr>
          <w:t>57.22.3a Marches / Contremarches en bois</w:t>
        </w:r>
      </w:hyperlink>
      <w:r>
        <w:t>marches autoportantes - bois</w:t>
      </w:r>
    </w:p>
    <w:p w14:paraId="25FF5DB7" w14:textId="77777777" w:rsidR="004B2808" w:rsidRDefault="00000000">
      <w:pPr>
        <w:pStyle w:val="Author-eListParagraph"/>
        <w:numPr>
          <w:ilvl w:val="1"/>
          <w:numId w:val="1361"/>
        </w:numPr>
      </w:pPr>
      <w:r>
        <w:t xml:space="preserve">Type : </w:t>
      </w:r>
      <w:r>
        <w:rPr>
          <w:rStyle w:val="optioncarChar"/>
        </w:rPr>
        <w:t>pleines (PMR)</w:t>
      </w:r>
      <w:r>
        <w:t> (par défaut)</w:t>
      </w:r>
      <w:r>
        <w:rPr>
          <w:rStyle w:val="optioncarChar"/>
        </w:rPr>
        <w:t> / *** </w:t>
      </w:r>
    </w:p>
    <w:p w14:paraId="50BAF804" w14:textId="77777777" w:rsidR="004B2808" w:rsidRDefault="00000000">
      <w:pPr>
        <w:pStyle w:val="Author-eListParagraph"/>
        <w:numPr>
          <w:ilvl w:val="1"/>
          <w:numId w:val="1361"/>
        </w:numPr>
      </w:pPr>
      <w:r>
        <w:t xml:space="preserve">Nombre de marches par volée : </w:t>
      </w:r>
      <w:r>
        <w:rPr>
          <w:rStyle w:val="optioncarChar"/>
        </w:rPr>
        <w:t>15 à 20 (PMR) </w:t>
      </w:r>
      <w:r>
        <w:t>(par défaut)</w:t>
      </w:r>
      <w:r>
        <w:rPr>
          <w:rStyle w:val="optioncarChar"/>
        </w:rPr>
        <w:t> / *** </w:t>
      </w:r>
    </w:p>
    <w:p w14:paraId="2FC996AF" w14:textId="77777777" w:rsidR="004B2808" w:rsidRDefault="00000000">
      <w:pPr>
        <w:pStyle w:val="Author-eListParagraph"/>
        <w:numPr>
          <w:ilvl w:val="0"/>
          <w:numId w:val="1359"/>
        </w:numPr>
      </w:pPr>
      <w:r>
        <w:t xml:space="preserve">Garde-carreaux : </w:t>
      </w:r>
      <w:r>
        <w:rPr>
          <w:rStyle w:val="optioncarChar"/>
        </w:rPr>
        <w:t>selon les dessins de détail de l'auteur de projet </w:t>
      </w:r>
      <w:r>
        <w:t>(par défaut) </w:t>
      </w:r>
      <w:r>
        <w:rPr>
          <w:rStyle w:val="optioncarChar"/>
        </w:rPr>
        <w:t>/ *** </w:t>
      </w:r>
    </w:p>
    <w:p w14:paraId="63A67A42" w14:textId="77777777" w:rsidR="004B2808" w:rsidRDefault="00000000">
      <w:pPr>
        <w:pStyle w:val="Author-eListParagraph"/>
        <w:numPr>
          <w:ilvl w:val="0"/>
          <w:numId w:val="1359"/>
        </w:numPr>
      </w:pPr>
      <w:r>
        <w:t xml:space="preserve">Contremarches : </w:t>
      </w:r>
    </w:p>
    <w:p w14:paraId="04AD2925" w14:textId="77777777" w:rsidR="004B2808" w:rsidRDefault="00000000">
      <w:pPr>
        <w:pStyle w:val="Author-eListParagraph"/>
        <w:numPr>
          <w:ilvl w:val="1"/>
          <w:numId w:val="1362"/>
        </w:numPr>
      </w:pPr>
      <w:r>
        <w:t xml:space="preserve">Type : </w:t>
      </w:r>
      <w:r>
        <w:rPr>
          <w:rStyle w:val="optioncarChar"/>
        </w:rPr>
        <w:t>pleines (PMR) </w:t>
      </w:r>
      <w:r>
        <w:t>(par défaut)</w:t>
      </w:r>
      <w:r>
        <w:rPr>
          <w:rStyle w:val="optioncarChar"/>
        </w:rPr>
        <w:t> / *** </w:t>
      </w:r>
    </w:p>
    <w:p w14:paraId="02102AE4" w14:textId="77777777" w:rsidR="004B2808" w:rsidRDefault="00000000">
      <w:pPr>
        <w:pStyle w:val="Author-eListParagraph"/>
        <w:numPr>
          <w:ilvl w:val="1"/>
          <w:numId w:val="1362"/>
        </w:numPr>
      </w:pPr>
      <w:r>
        <w:t>Forme :</w:t>
      </w:r>
      <w:r>
        <w:rPr>
          <w:rStyle w:val="optioncarChar"/>
        </w:rPr>
        <w:t> verticale</w:t>
      </w:r>
      <w:r>
        <w:t> (par défaut)</w:t>
      </w:r>
      <w:r>
        <w:rPr>
          <w:rStyle w:val="optioncarChar"/>
        </w:rPr>
        <w:t xml:space="preserve"> / oblique (PMR) / selon les dessins de détail de l'auteur de projet / ***</w:t>
      </w:r>
    </w:p>
    <w:p w14:paraId="414A1404" w14:textId="77777777" w:rsidR="004B2808" w:rsidRDefault="00000000">
      <w:pPr>
        <w:pStyle w:val="Author-eListParagraph"/>
        <w:numPr>
          <w:ilvl w:val="1"/>
          <w:numId w:val="1363"/>
        </w:numPr>
      </w:pPr>
      <w:r>
        <w:t xml:space="preserve">Epaisseur : </w:t>
      </w:r>
      <w:r>
        <w:rPr>
          <w:rStyle w:val="optioncarChar"/>
        </w:rPr>
        <w:t>***</w:t>
      </w:r>
    </w:p>
    <w:p w14:paraId="51EEB738" w14:textId="77777777" w:rsidR="004B2808" w:rsidRDefault="00000000">
      <w:pPr>
        <w:pStyle w:val="Author-eListParagraph"/>
        <w:numPr>
          <w:ilvl w:val="0"/>
          <w:numId w:val="1359"/>
        </w:numPr>
      </w:pPr>
      <w:r>
        <w:t xml:space="preserve">Nez de marches : </w:t>
      </w:r>
    </w:p>
    <w:p w14:paraId="4DF7C10D" w14:textId="77777777" w:rsidR="004B2808" w:rsidRDefault="00000000">
      <w:pPr>
        <w:pStyle w:val="Author-eListParagraph"/>
        <w:numPr>
          <w:ilvl w:val="1"/>
          <w:numId w:val="1364"/>
        </w:numPr>
      </w:pPr>
      <w:r>
        <w:t xml:space="preserve">Dimensions des nez de marches : </w:t>
      </w:r>
      <w:r>
        <w:rPr>
          <w:rStyle w:val="optioncarChar"/>
        </w:rPr>
        <w:t>max 25 (PMR) </w:t>
      </w:r>
      <w:r>
        <w:t>(par défaut)</w:t>
      </w:r>
      <w:r>
        <w:rPr>
          <w:rStyle w:val="optioncarChar"/>
        </w:rPr>
        <w:t xml:space="preserve"> / 30 / 40 / 50 / *** </w:t>
      </w:r>
      <w:r>
        <w:t>mm.</w:t>
      </w:r>
    </w:p>
    <w:p w14:paraId="34B5E42B" w14:textId="77777777" w:rsidR="004B2808" w:rsidRDefault="00000000">
      <w:pPr>
        <w:pStyle w:val="Author-eListParagraph"/>
        <w:numPr>
          <w:ilvl w:val="1"/>
          <w:numId w:val="1364"/>
        </w:numPr>
      </w:pPr>
      <w:r>
        <w:t>Forme :</w:t>
      </w:r>
      <w:r>
        <w:rPr>
          <w:rStyle w:val="optioncarChar"/>
        </w:rPr>
        <w:t> non saillants (PMR)</w:t>
      </w:r>
      <w:r>
        <w:t xml:space="preserve"> (par défaut)</w:t>
      </w:r>
      <w:r>
        <w:rPr>
          <w:rStyle w:val="optioncarChar"/>
        </w:rPr>
        <w:t> / selon les dessins de détail de l'auteur de projet / ***</w:t>
      </w:r>
    </w:p>
    <w:p w14:paraId="40FF144C" w14:textId="77777777" w:rsidR="004B2808" w:rsidRDefault="00000000">
      <w:pPr>
        <w:pStyle w:val="Author-eListParagraph"/>
        <w:numPr>
          <w:ilvl w:val="1"/>
          <w:numId w:val="1364"/>
        </w:numPr>
      </w:pPr>
      <w:r>
        <w:t xml:space="preserve">Rayon de courbure: </w:t>
      </w:r>
      <w:r>
        <w:rPr>
          <w:rStyle w:val="optioncarChar"/>
        </w:rPr>
        <w:t>3 à 8 mm </w:t>
      </w:r>
      <w:r>
        <w:t xml:space="preserve">(par défaut) </w:t>
      </w:r>
      <w:r>
        <w:rPr>
          <w:rStyle w:val="optioncarChar"/>
        </w:rPr>
        <w:t>/ les bords des nez de marches seront cassés / ***</w:t>
      </w:r>
    </w:p>
    <w:p w14:paraId="14BA76D0" w14:textId="77777777" w:rsidR="004B2808" w:rsidRDefault="00000000">
      <w:pPr>
        <w:pStyle w:val="Author-eListParagraph"/>
        <w:numPr>
          <w:ilvl w:val="1"/>
          <w:numId w:val="1364"/>
        </w:numPr>
      </w:pPr>
      <w:r>
        <w:t xml:space="preserve">Listels : </w:t>
      </w:r>
      <w:r>
        <w:rPr>
          <w:rStyle w:val="optioncarChar"/>
        </w:rPr>
        <w:t>selon les dessins de détail de l'auteur de projet </w:t>
      </w:r>
      <w:r>
        <w:t>(par défaut)</w:t>
      </w:r>
      <w:r>
        <w:rPr>
          <w:rStyle w:val="optioncarChar"/>
        </w:rPr>
        <w:t> / *** </w:t>
      </w:r>
    </w:p>
    <w:p w14:paraId="506CBCD0" w14:textId="77777777" w:rsidR="004B2808" w:rsidRDefault="00000000">
      <w:pPr>
        <w:pStyle w:val="Author-eListParagraph"/>
        <w:numPr>
          <w:ilvl w:val="1"/>
          <w:numId w:val="1364"/>
        </w:numPr>
      </w:pPr>
      <w:r>
        <w:t xml:space="preserve">Indicateurs visuels : </w:t>
      </w:r>
    </w:p>
    <w:p w14:paraId="76945AB1" w14:textId="77777777" w:rsidR="004B2808" w:rsidRDefault="00000000">
      <w:pPr>
        <w:pStyle w:val="Author-eListParagraph"/>
        <w:numPr>
          <w:ilvl w:val="2"/>
          <w:numId w:val="1365"/>
        </w:numPr>
      </w:pPr>
      <w:r>
        <w:t xml:space="preserve">Localisation : </w:t>
      </w:r>
      <w:r>
        <w:rPr>
          <w:rStyle w:val="optioncarChar"/>
        </w:rPr>
        <w:t>sur chaque marche (PMR) </w:t>
      </w:r>
      <w:r>
        <w:t>(par défaut)</w:t>
      </w:r>
      <w:r>
        <w:rPr>
          <w:rStyle w:val="optioncarChar"/>
        </w:rPr>
        <w:t xml:space="preserve"> / sur la première et la dernière marche de chaque volée (PMR) / ***</w:t>
      </w:r>
    </w:p>
    <w:p w14:paraId="34681E0E" w14:textId="77777777" w:rsidR="004B2808" w:rsidRDefault="00000000">
      <w:pPr>
        <w:pStyle w:val="Author-eListParagraph"/>
        <w:numPr>
          <w:ilvl w:val="2"/>
          <w:numId w:val="1365"/>
        </w:numPr>
      </w:pPr>
      <w:r>
        <w:t xml:space="preserve">Largeur : </w:t>
      </w:r>
      <w:r>
        <w:rPr>
          <w:rStyle w:val="optioncarChar"/>
        </w:rPr>
        <w:t>continus sur toute la largeur des marches (PMR) </w:t>
      </w:r>
      <w:r>
        <w:t>(par défaut)</w:t>
      </w:r>
      <w:r>
        <w:rPr>
          <w:rStyle w:val="optioncarChar"/>
        </w:rPr>
        <w:t> / *** </w:t>
      </w:r>
    </w:p>
    <w:p w14:paraId="1955CC57" w14:textId="77777777" w:rsidR="004B2808" w:rsidRDefault="00000000">
      <w:pPr>
        <w:pStyle w:val="Author-eListParagraph"/>
        <w:numPr>
          <w:ilvl w:val="2"/>
          <w:numId w:val="1365"/>
        </w:numPr>
      </w:pPr>
      <w:r>
        <w:lastRenderedPageBreak/>
        <w:t xml:space="preserve">Revêtement : </w:t>
      </w:r>
      <w:r>
        <w:rPr>
          <w:rStyle w:val="optioncarChar"/>
        </w:rPr>
        <w:t>antidérapant (PMR) </w:t>
      </w:r>
      <w:r>
        <w:t>(par défaut) </w:t>
      </w:r>
      <w:r>
        <w:rPr>
          <w:rStyle w:val="optioncarChar"/>
        </w:rPr>
        <w:t>/ *** </w:t>
      </w:r>
    </w:p>
    <w:p w14:paraId="0B8CE380" w14:textId="77777777" w:rsidR="004B2808" w:rsidRDefault="00000000">
      <w:pPr>
        <w:pStyle w:val="Author-eListParagraph"/>
        <w:numPr>
          <w:ilvl w:val="2"/>
          <w:numId w:val="1365"/>
        </w:numPr>
      </w:pPr>
      <w:r>
        <w:t>Profondeur :</w:t>
      </w:r>
      <w:r>
        <w:rPr>
          <w:rStyle w:val="optioncarChar"/>
        </w:rPr>
        <w:t> min 4 (PMR) </w:t>
      </w:r>
      <w:r>
        <w:t>(par défaut)</w:t>
      </w:r>
      <w:r>
        <w:rPr>
          <w:rStyle w:val="optioncarChar"/>
        </w:rPr>
        <w:t> / *** </w:t>
      </w:r>
      <w:r>
        <w:t> cm</w:t>
      </w:r>
    </w:p>
    <w:p w14:paraId="37005A53" w14:textId="77777777" w:rsidR="004B2808" w:rsidRDefault="00000000">
      <w:pPr>
        <w:pStyle w:val="Author-eListParagraph"/>
        <w:numPr>
          <w:ilvl w:val="2"/>
          <w:numId w:val="1365"/>
        </w:numPr>
      </w:pPr>
      <w:r>
        <w:t xml:space="preserve">Contraste : différence de LRV par rapport aux marches de </w:t>
      </w:r>
      <w:r>
        <w:rPr>
          <w:rStyle w:val="optioncarChar"/>
        </w:rPr>
        <w:t>min 60 (PMR) </w:t>
      </w:r>
      <w:r>
        <w:t>(par défaut)</w:t>
      </w:r>
      <w:r>
        <w:rPr>
          <w:rStyle w:val="optioncarChar"/>
        </w:rPr>
        <w:t> / *** </w:t>
      </w:r>
      <w:r>
        <w:t xml:space="preserve"> %</w:t>
      </w:r>
    </w:p>
    <w:p w14:paraId="2395FE2B" w14:textId="77777777" w:rsidR="004B2808" w:rsidRDefault="00000000">
      <w:pPr>
        <w:pStyle w:val="Author-eListParagraph"/>
        <w:numPr>
          <w:ilvl w:val="0"/>
          <w:numId w:val="1359"/>
        </w:numPr>
      </w:pPr>
      <w:r>
        <w:t xml:space="preserve">Fixation des marches et contremarches dans les limons : </w:t>
      </w:r>
      <w:r>
        <w:rPr>
          <w:rStyle w:val="optioncarChar"/>
        </w:rPr>
        <w:t>par soudure</w:t>
      </w:r>
      <w:r>
        <w:t xml:space="preserve"> (par défaut) </w:t>
      </w:r>
      <w:r>
        <w:rPr>
          <w:rStyle w:val="optioncarChar"/>
        </w:rPr>
        <w:t>/ à boulons et écrous / ***</w:t>
      </w:r>
      <w:r>
        <w:t xml:space="preserve"> en </w:t>
      </w:r>
      <w:r>
        <w:rPr>
          <w:rStyle w:val="optioncarChar"/>
        </w:rPr>
        <w:t>*** </w:t>
      </w:r>
    </w:p>
    <w:p w14:paraId="4C446D32" w14:textId="77777777" w:rsidR="004B2808" w:rsidRDefault="00000000">
      <w:pPr>
        <w:pStyle w:val="Author-eListParagraph"/>
        <w:numPr>
          <w:ilvl w:val="0"/>
          <w:numId w:val="1359"/>
        </w:numPr>
      </w:pPr>
      <w:r>
        <w:t xml:space="preserve">Dalles podotactiles : </w:t>
      </w:r>
      <w:r>
        <w:rPr>
          <w:rStyle w:val="optioncarChar"/>
        </w:rPr>
        <w:t xml:space="preserve">selon les recommandations de l'article </w:t>
      </w:r>
      <w:hyperlink w:anchor="377" w:history="1">
        <w:r w:rsidR="004B2808">
          <w:rPr>
            <w:rStyle w:val="optioncarChar"/>
            <w:color w:val="0000EE"/>
          </w:rPr>
          <w:t>57.1 Escaliers et garde-corps complets</w:t>
        </w:r>
      </w:hyperlink>
      <w:r>
        <w:rPr>
          <w:rStyle w:val="optioncarChar"/>
        </w:rPr>
        <w:t> (PMR) </w:t>
      </w:r>
      <w:r>
        <w:t>(par défaut)</w:t>
      </w:r>
      <w:r>
        <w:rPr>
          <w:rStyle w:val="optioncarChar"/>
        </w:rPr>
        <w:t> / *** </w:t>
      </w:r>
    </w:p>
    <w:p w14:paraId="781DEC21" w14:textId="77777777" w:rsidR="004B2808" w:rsidRDefault="00000000">
      <w:r>
        <w:t>Escalier tournant Exemple</w:t>
      </w:r>
    </w:p>
    <w:p w14:paraId="2EF8AD71" w14:textId="77777777" w:rsidR="004B2808" w:rsidRDefault="00000000">
      <w:pPr>
        <w:pStyle w:val="Author-eListParagraph"/>
        <w:numPr>
          <w:ilvl w:val="0"/>
          <w:numId w:val="1366"/>
        </w:numPr>
      </w:pPr>
      <w:r>
        <w:t>L'axe central est un profil tubulaire en acier, diamètre</w:t>
      </w:r>
      <w:r>
        <w:rPr>
          <w:rStyle w:val="optioncarChar"/>
        </w:rPr>
        <w:t> 114 </w:t>
      </w:r>
      <w:r>
        <w:t>(par défaut)</w:t>
      </w:r>
      <w:r>
        <w:rPr>
          <w:rStyle w:val="optioncarChar"/>
        </w:rPr>
        <w:t> / ***   </w:t>
      </w:r>
      <w:r>
        <w:t xml:space="preserve">avec une plaque de sol, qui dépasse de </w:t>
      </w:r>
      <w:r>
        <w:rPr>
          <w:rStyle w:val="optioncarChar"/>
        </w:rPr>
        <w:t>90 </w:t>
      </w:r>
      <w:r>
        <w:t>(par défaut)</w:t>
      </w:r>
      <w:r>
        <w:rPr>
          <w:rStyle w:val="optioncarChar"/>
        </w:rPr>
        <w:t> / ***   </w:t>
      </w:r>
      <w:r>
        <w:t>cm au-dessus du sol fini.</w:t>
      </w:r>
    </w:p>
    <w:p w14:paraId="1522A0D8" w14:textId="77777777" w:rsidR="004B2808" w:rsidRDefault="00000000">
      <w:pPr>
        <w:pStyle w:val="Author-eListParagraph"/>
        <w:numPr>
          <w:ilvl w:val="0"/>
          <w:numId w:val="1366"/>
        </w:numPr>
      </w:pPr>
      <w:r>
        <w:t xml:space="preserve">Les supports de marches se composent de profils tubulaires rectangulaires en acier </w:t>
      </w:r>
      <w:r>
        <w:rPr>
          <w:rStyle w:val="optioncarChar"/>
        </w:rPr>
        <w:t>60 x 40 </w:t>
      </w:r>
      <w:r>
        <w:t>(par défaut)</w:t>
      </w:r>
      <w:r>
        <w:rPr>
          <w:rStyle w:val="optioncarChar"/>
        </w:rPr>
        <w:t> / ***  </w:t>
      </w:r>
      <w:r>
        <w:t xml:space="preserve">mm qui se terminent en T sur un fer plat </w:t>
      </w:r>
      <w:r>
        <w:rPr>
          <w:rStyle w:val="optioncarChar"/>
        </w:rPr>
        <w:t>40 x 8 </w:t>
      </w:r>
      <w:r>
        <w:t>(par défaut)</w:t>
      </w:r>
      <w:r>
        <w:rPr>
          <w:rStyle w:val="optioncarChar"/>
        </w:rPr>
        <w:t> / ***  </w:t>
      </w:r>
      <w:r>
        <w:t> mm. Sous le palier, les supports se terminent conformément au dessin de détail, par un fer plat debout qui est vissé contre le mur. Les marches sont directement soudées sur l'axe en atelier.</w:t>
      </w:r>
    </w:p>
    <w:p w14:paraId="6C813B4F" w14:textId="77777777" w:rsidR="004B2808" w:rsidRDefault="00000000">
      <w:pPr>
        <w:pStyle w:val="Author-eListParagraph"/>
        <w:numPr>
          <w:ilvl w:val="0"/>
          <w:numId w:val="1366"/>
        </w:numPr>
      </w:pPr>
      <w:r>
        <w:t>La rampe est placée à</w:t>
      </w:r>
      <w:r>
        <w:rPr>
          <w:rStyle w:val="optioncarChar"/>
        </w:rPr>
        <w:t> 90 </w:t>
      </w:r>
      <w:r>
        <w:t>(par défaut)</w:t>
      </w:r>
      <w:r>
        <w:rPr>
          <w:rStyle w:val="optioncarChar"/>
        </w:rPr>
        <w:t> / ***  </w:t>
      </w:r>
      <w:r>
        <w:t xml:space="preserve">cm au-dessus du nez des marches et se compose d'un tube de diamètre d'environ </w:t>
      </w:r>
      <w:r>
        <w:rPr>
          <w:rStyle w:val="optioncarChar"/>
        </w:rPr>
        <w:t>40 </w:t>
      </w:r>
      <w:r>
        <w:t> (par défaut)</w:t>
      </w:r>
      <w:r>
        <w:rPr>
          <w:rStyle w:val="optioncarChar"/>
        </w:rPr>
        <w:t> / ***   </w:t>
      </w:r>
      <w:r>
        <w:t>mm, qui commence comme poteau sur la première marche et devient progressivement une main-courante. La rampe forme un ensemble continu qui est ancré à chaque marche à l'aide de balustres d'un diamètre d'environ</w:t>
      </w:r>
      <w:r>
        <w:rPr>
          <w:rStyle w:val="optioncarChar"/>
        </w:rPr>
        <w:t> 20 </w:t>
      </w:r>
      <w:r>
        <w:t>(par défaut)</w:t>
      </w:r>
      <w:r>
        <w:rPr>
          <w:rStyle w:val="optioncarChar"/>
        </w:rPr>
        <w:t> / 30 / *** </w:t>
      </w:r>
      <w:r>
        <w:t>et qui suivent parfaitement la pente de la main-courante; ces supports sont fixés sur les marches. Au-dessus de l'escalier, la rampe est fixée</w:t>
      </w:r>
      <w:r>
        <w:rPr>
          <w:rStyle w:val="optioncarChar"/>
        </w:rPr>
        <w:t> dans le mur</w:t>
      </w:r>
      <w:r>
        <w:t> (par défaut) </w:t>
      </w:r>
      <w:r>
        <w:rPr>
          <w:rStyle w:val="optioncarChar"/>
        </w:rPr>
        <w:t>/ raccordée au garde-corps du dégagement</w:t>
      </w:r>
      <w:r>
        <w:t>.</w:t>
      </w:r>
    </w:p>
    <w:p w14:paraId="34CD326C" w14:textId="77777777" w:rsidR="004B2808" w:rsidRDefault="00000000">
      <w:pPr>
        <w:pStyle w:val="Author-eListParagraph"/>
        <w:numPr>
          <w:ilvl w:val="0"/>
          <w:numId w:val="1366"/>
        </w:numPr>
      </w:pPr>
      <w:r>
        <w:t>Sur le palier, un garde-corps est fixé entre l'axe et le mur. Il se compose d'un tuyau servant de main-courante et de trois barres intermédiaires. La main-courante et le garde-corps sont fixés dans les murs à l'aide de rosaces. </w:t>
      </w:r>
    </w:p>
    <w:p w14:paraId="3F14224A" w14:textId="77777777" w:rsidR="004B2808" w:rsidRDefault="00000000">
      <w:pPr>
        <w:pStyle w:val="pheading"/>
      </w:pPr>
      <w:r>
        <w:t>- Notes d’exécution complémentaires</w:t>
      </w:r>
    </w:p>
    <w:p w14:paraId="02744E8C" w14:textId="77777777" w:rsidR="004B2808" w:rsidRDefault="00000000">
      <w:pPr>
        <w:pStyle w:val="heading"/>
      </w:pPr>
      <w:r>
        <w:t>Marches droites</w:t>
      </w:r>
    </w:p>
    <w:p w14:paraId="42F60649" w14:textId="77777777" w:rsidR="004B2808" w:rsidRDefault="00000000">
      <w:pPr>
        <w:pStyle w:val="Author-eListParagraph"/>
        <w:numPr>
          <w:ilvl w:val="0"/>
          <w:numId w:val="1367"/>
        </w:numPr>
      </w:pPr>
      <w:r>
        <w:t xml:space="preserve">Contre-limons : doivent être fixés dans le mur tous les </w:t>
      </w:r>
      <w:r>
        <w:rPr>
          <w:rStyle w:val="optioncarChar"/>
        </w:rPr>
        <w:t>150</w:t>
      </w:r>
      <w:r>
        <w:t> (par défaut)</w:t>
      </w:r>
      <w:r>
        <w:rPr>
          <w:rStyle w:val="optioncarChar"/>
        </w:rPr>
        <w:t xml:space="preserve"> / 200 / ***</w:t>
      </w:r>
      <w:r>
        <w:t xml:space="preserve"> avec les moyens de fixation appropriés (</w:t>
      </w:r>
      <w:r>
        <w:rPr>
          <w:rStyle w:val="optioncarChar"/>
        </w:rPr>
        <w:t>ancrages chimiques</w:t>
      </w:r>
      <w:r>
        <w:t xml:space="preserve"> (par défaut)</w:t>
      </w:r>
      <w:r>
        <w:rPr>
          <w:rStyle w:val="optioncarChar"/>
        </w:rPr>
        <w:t> / ***</w:t>
      </w:r>
      <w:r>
        <w:t>)</w:t>
      </w:r>
    </w:p>
    <w:p w14:paraId="735BE58D" w14:textId="77777777" w:rsidR="004B2808" w:rsidRDefault="00000000">
      <w:pPr>
        <w:pStyle w:val="Author-eListParagraph"/>
        <w:numPr>
          <w:ilvl w:val="0"/>
          <w:numId w:val="1367"/>
        </w:numPr>
      </w:pPr>
      <w:r>
        <w:t xml:space="preserve">Limons traînants : </w:t>
      </w:r>
      <w:r>
        <w:rPr>
          <w:rStyle w:val="optioncarChar"/>
        </w:rPr>
        <w:t>viennent à raz du plafond</w:t>
      </w:r>
      <w:r>
        <w:t> (par défaut)</w:t>
      </w:r>
      <w:r>
        <w:rPr>
          <w:rStyle w:val="optioncarChar"/>
        </w:rPr>
        <w:t xml:space="preserve"> / dépasseront par rapport au plafond / ***</w:t>
      </w:r>
      <w:r>
        <w:t>.</w:t>
      </w:r>
    </w:p>
    <w:p w14:paraId="27824A8F" w14:textId="77777777" w:rsidR="004B2808" w:rsidRDefault="00000000">
      <w:pPr>
        <w:pStyle w:val="Author-eListParagraph"/>
        <w:numPr>
          <w:ilvl w:val="0"/>
          <w:numId w:val="1367"/>
        </w:numPr>
      </w:pPr>
      <w:r>
        <w:t xml:space="preserve">Les creux entre la finition sous l'escalier et les marches et contremarches sont remplis de </w:t>
      </w:r>
      <w:r>
        <w:rPr>
          <w:rStyle w:val="optioncarChar"/>
        </w:rPr>
        <w:t>laine minérale </w:t>
      </w:r>
      <w:r>
        <w:t>(par défaut)</w:t>
      </w:r>
      <w:r>
        <w:rPr>
          <w:rStyle w:val="optioncarChar"/>
        </w:rPr>
        <w:t> / *** </w:t>
      </w:r>
    </w:p>
    <w:p w14:paraId="4C731F00" w14:textId="77777777" w:rsidR="004B2808" w:rsidRDefault="00000000">
      <w:pPr>
        <w:pStyle w:val="heading"/>
      </w:pPr>
      <w:r>
        <w:t>Escalier tournant</w:t>
      </w:r>
    </w:p>
    <w:p w14:paraId="77790EAD" w14:textId="77777777" w:rsidR="004B2808" w:rsidRDefault="00000000">
      <w:r>
        <w:t>(voir aussi les indications dimensionnelles sur le plan et/ou les dessins de détail)</w:t>
      </w:r>
    </w:p>
    <w:p w14:paraId="7A34EE37" w14:textId="77777777" w:rsidR="004B2808" w:rsidRDefault="00000000">
      <w:pPr>
        <w:pStyle w:val="Author-eListParagraph"/>
        <w:numPr>
          <w:ilvl w:val="0"/>
          <w:numId w:val="1368"/>
        </w:numPr>
      </w:pPr>
      <w:r>
        <w:t xml:space="preserve">Les marches s'appuient dans l'axe de l'escalier </w:t>
      </w:r>
      <w:r>
        <w:rPr>
          <w:rStyle w:val="optioncarChar"/>
        </w:rPr>
        <w:t>à l'aide de pièces accessoires en métal </w:t>
      </w:r>
      <w:r>
        <w:t>(par défaut)</w:t>
      </w:r>
      <w:r>
        <w:rPr>
          <w:rStyle w:val="optioncarChar"/>
        </w:rPr>
        <w:t xml:space="preserve"> / par soudure / ***</w:t>
      </w:r>
      <w:r>
        <w:t>.</w:t>
      </w:r>
    </w:p>
    <w:p w14:paraId="5BA3BF6C" w14:textId="77777777" w:rsidR="004B2808" w:rsidRDefault="00000000">
      <w:pPr>
        <w:pStyle w:val="Author-eListParagraph"/>
        <w:numPr>
          <w:ilvl w:val="0"/>
          <w:numId w:val="1368"/>
        </w:numPr>
      </w:pPr>
      <w:r>
        <w:t xml:space="preserve">L'extrémité des marches est </w:t>
      </w:r>
      <w:r>
        <w:rPr>
          <w:rStyle w:val="optioncarChar"/>
        </w:rPr>
        <w:t>reliée à des balustres</w:t>
      </w:r>
      <w:r>
        <w:t xml:space="preserve"> (par défaut)</w:t>
      </w:r>
      <w:r>
        <w:rPr>
          <w:rStyle w:val="optioncarChar"/>
        </w:rPr>
        <w:t> / insérée dans un limon extérieur / ***</w:t>
      </w:r>
      <w:r>
        <w:t>.  </w:t>
      </w:r>
    </w:p>
    <w:p w14:paraId="33F36D6C" w14:textId="77777777" w:rsidR="004B2808" w:rsidRDefault="00000000">
      <w:pPr>
        <w:pStyle w:val="pheading"/>
      </w:pPr>
      <w:r>
        <w:t>MESURAGE</w:t>
      </w:r>
    </w:p>
    <w:p w14:paraId="1CB9A440" w14:textId="77777777" w:rsidR="004B2808" w:rsidRDefault="00000000">
      <w:r>
        <w:t>Conformément aux indications spécifiques dans le cahier spécial des charges et/ou le métré récapitulatif, le mesurage doit être conçu comme suit :</w:t>
      </w:r>
    </w:p>
    <w:p w14:paraId="18DEE0D4" w14:textId="77777777" w:rsidR="004B2808" w:rsidRDefault="00000000">
      <w:r>
        <w:rPr>
          <w:u w:val="single"/>
        </w:rPr>
        <w:t>Attention </w:t>
      </w:r>
      <w:r>
        <w:t xml:space="preserve">  </w:t>
      </w:r>
      <w:r>
        <w:br/>
      </w:r>
      <w:r>
        <w:rPr>
          <w:i/>
        </w:rPr>
        <w:t xml:space="preserve">Les dimensions et/ou le poids des éléments en acier doivent correspondre aux indications sur les plans et dans le métré; pour le poids, un écart en plus ou en moins de 2 % est admis. </w:t>
      </w:r>
    </w:p>
    <w:p w14:paraId="3963D39F" w14:textId="77777777" w:rsidR="004B2808" w:rsidRDefault="00000000">
      <w:pPr>
        <w:pStyle w:val="pheading"/>
      </w:pPr>
      <w:r>
        <w:t>- unité de mesure:</w:t>
      </w:r>
    </w:p>
    <w:p w14:paraId="45BA53DA" w14:textId="77777777" w:rsidR="004B2808" w:rsidRDefault="00000000">
      <w:r>
        <w:rPr>
          <w:rStyle w:val="optioncarChar"/>
        </w:rPr>
        <w:t>p (par défaut) / m² / fft / kg </w:t>
      </w:r>
    </w:p>
    <w:p w14:paraId="182FAAEA" w14:textId="77777777" w:rsidR="004B2808" w:rsidRDefault="00000000">
      <w:pPr>
        <w:pStyle w:val="pheading"/>
      </w:pPr>
      <w:r>
        <w:lastRenderedPageBreak/>
        <w:t>- code de mesurage:</w:t>
      </w:r>
    </w:p>
    <w:p w14:paraId="77BC88E1" w14:textId="77777777" w:rsidR="004B2808" w:rsidRDefault="00000000">
      <w:r>
        <w:t>Choix opéré :</w:t>
      </w:r>
      <w:r>
        <w:rPr>
          <w:rStyle w:val="optioncarChar"/>
          <w:b/>
        </w:rPr>
        <w:t xml:space="preserve"> *** / OPTION 1</w:t>
      </w:r>
      <w:r>
        <w:t> (par défaut)</w:t>
      </w:r>
      <w:r>
        <w:rPr>
          <w:rStyle w:val="optioncarChar"/>
          <w:b/>
        </w:rPr>
        <w:t xml:space="preserve"> / OPTION 2 / OPTION 3 / OPTION 4</w:t>
      </w:r>
    </w:p>
    <w:p w14:paraId="16DC1095" w14:textId="77777777" w:rsidR="004B2808" w:rsidRDefault="00000000">
      <w:r>
        <w:rPr>
          <w:b/>
        </w:rPr>
        <w:t>***OPTION 1</w:t>
      </w:r>
      <w:r>
        <w:t xml:space="preserve"> (par défaut)  Escalier : à la pièce (niveau), le revêtement des marches, paliers et la finition des bords sont compris.</w:t>
      </w:r>
      <w:r>
        <w:br/>
      </w:r>
      <w:r>
        <w:rPr>
          <w:b/>
        </w:rPr>
        <w:t>***OPTION 2</w:t>
      </w:r>
      <w:r>
        <w:t xml:space="preserve"> : Marches complètement achevées</w:t>
      </w:r>
      <w:r>
        <w:br/>
      </w:r>
      <w:r>
        <w:rPr>
          <w:b/>
        </w:rPr>
        <w:t>***OPTION 3</w:t>
      </w:r>
      <w:r>
        <w:t xml:space="preserve"> : Paliers complètement achevés, structure portante et plinthes comprises</w:t>
      </w:r>
      <w:r>
        <w:br/>
      </w:r>
      <w:r>
        <w:rPr>
          <w:b/>
        </w:rPr>
        <w:t>***OPTION 4</w:t>
      </w:r>
      <w:r>
        <w:t> : le cas échéant ventilé selon la nature des éléments constitutifs. La masse volumique de l'acier est conventionnellement établie à 7.850 kg/m³. Seule la masse théorique conventionnelle est portée en compte. Celle-ci est déterminée sur la base de la forme géométrique des pièces. Les découpes et les ouvertures sont déduites, sauf les trous pour les assemblages par boulonnage, rivetage ou à tenon ainsi que les biseautages et les joints pour les soudures. Dans le calcul des quantités, on ajoute une quantité forfaitaire de 10%, dont, d'une part, 5% couvre les accessoires (plaques de tête et de base, plaques de renfort, éléments d'assemblage, barres d'ancrage dans le béton, …) et, d'autre part, 5% pour les soudures, boulons, écrous et rondelles, les chevilles d'assemblage, les déchets et les tolérances de laminage, …</w:t>
      </w:r>
    </w:p>
    <w:p w14:paraId="1374ECE3" w14:textId="77777777" w:rsidR="004B2808" w:rsidRDefault="00000000">
      <w:pPr>
        <w:pStyle w:val="pheading"/>
      </w:pPr>
      <w:r>
        <w:t>- nature du marché:</w:t>
      </w:r>
    </w:p>
    <w:p w14:paraId="07B08241" w14:textId="77777777" w:rsidR="004B2808" w:rsidRDefault="00000000">
      <w:r>
        <w:rPr>
          <w:rStyle w:val="optioncarChar"/>
        </w:rPr>
        <w:t xml:space="preserve">QF </w:t>
      </w:r>
      <w:r>
        <w:t>(par défaut)</w:t>
      </w:r>
      <w:r>
        <w:rPr>
          <w:rStyle w:val="optioncarChar"/>
        </w:rPr>
        <w:t> / QP / ***</w:t>
      </w:r>
    </w:p>
    <w:p w14:paraId="1981BD86" w14:textId="77777777" w:rsidR="004B2808" w:rsidRDefault="00000000">
      <w:pPr>
        <w:pStyle w:val="Author-eSectionHeading5Numberless"/>
      </w:pPr>
      <w:bookmarkStart w:id="1523" w:name="_Toc220491621"/>
      <w:r>
        <w:t>57.11.4 Escaliers en bois CCTB 01.02</w:t>
      </w:r>
      <w:bookmarkEnd w:id="1523"/>
    </w:p>
    <w:p w14:paraId="21508337" w14:textId="77777777" w:rsidR="004B2808" w:rsidRDefault="00000000">
      <w:pPr>
        <w:pStyle w:val="Author-eSectionHeading6Numberless"/>
      </w:pPr>
      <w:bookmarkStart w:id="1524" w:name="_Toc220491622"/>
      <w:r>
        <w:t>57.11.4a Escaliers en bois CCTB 01.12</w:t>
      </w:r>
      <w:bookmarkEnd w:id="1524"/>
    </w:p>
    <w:p w14:paraId="28C69E0A" w14:textId="77777777" w:rsidR="004B2808" w:rsidRDefault="00000000">
      <w:pPr>
        <w:pStyle w:val="pheading"/>
      </w:pPr>
      <w:r>
        <w:t>DESCRIPTION</w:t>
      </w:r>
    </w:p>
    <w:p w14:paraId="66A99CEE" w14:textId="77777777" w:rsidR="004B2808" w:rsidRDefault="00000000">
      <w:pPr>
        <w:pStyle w:val="pheading"/>
      </w:pPr>
      <w:r>
        <w:t>- Définition / Comprend</w:t>
      </w:r>
    </w:p>
    <w:p w14:paraId="13F63240" w14:textId="77777777" w:rsidR="004B2808" w:rsidRDefault="00000000">
      <w:pPr>
        <w:jc w:val="both"/>
      </w:pPr>
      <w:r>
        <w:t>Il s'agit de la fourniture et de la pose d'escaliers en bois de menuiserie, escaliers droits, tournants, en colimaçon, etc. dont les éléments constitutifs doivent être fabriqués sur mesure. Les rampes, montants et mains-courantes sont repris  dans un poste distinct.</w:t>
      </w:r>
    </w:p>
    <w:p w14:paraId="66F28848" w14:textId="77777777" w:rsidR="004B2808" w:rsidRDefault="00000000">
      <w:pPr>
        <w:pStyle w:val="Author-eListParagraph"/>
        <w:numPr>
          <w:ilvl w:val="0"/>
          <w:numId w:val="1369"/>
        </w:numPr>
        <w:jc w:val="both"/>
      </w:pPr>
      <w:r>
        <w:t xml:space="preserve">Les marches d'escaliers sont décrites à l'article </w:t>
      </w:r>
      <w:r>
        <w:rPr>
          <w:rStyle w:val="optioncarChar"/>
        </w:rPr>
        <w:t>***</w:t>
      </w:r>
    </w:p>
    <w:p w14:paraId="0163137E" w14:textId="77777777" w:rsidR="004B2808" w:rsidRDefault="00000000">
      <w:pPr>
        <w:pStyle w:val="Author-eListParagraph"/>
        <w:numPr>
          <w:ilvl w:val="0"/>
          <w:numId w:val="1369"/>
        </w:numPr>
        <w:jc w:val="both"/>
      </w:pPr>
      <w:r>
        <w:t xml:space="preserve">Les rampes d'escaliers sont décrites à l'article </w:t>
      </w:r>
      <w:r>
        <w:rPr>
          <w:rStyle w:val="optioncarChar"/>
        </w:rPr>
        <w:t>***</w:t>
      </w:r>
      <w:r>
        <w:t xml:space="preserve"> du chapitre </w:t>
      </w:r>
      <w:hyperlink w:anchor="1384" w:history="1">
        <w:r w:rsidR="004B2808">
          <w:rPr>
            <w:color w:val="0000EE"/>
          </w:rPr>
          <w:t>57.12 Garde-corps / rampes sur mesure (Rem.: suivant plan de détails)</w:t>
        </w:r>
      </w:hyperlink>
    </w:p>
    <w:p w14:paraId="50EF7A60" w14:textId="77777777" w:rsidR="004B2808" w:rsidRDefault="00000000">
      <w:pPr>
        <w:pStyle w:val="Author-eListParagraph"/>
        <w:numPr>
          <w:ilvl w:val="0"/>
          <w:numId w:val="1369"/>
        </w:numPr>
        <w:jc w:val="both"/>
      </w:pPr>
      <w:r>
        <w:t xml:space="preserve">Les revêtements d'escalier sont décrits à l'article </w:t>
      </w:r>
      <w:r>
        <w:rPr>
          <w:rStyle w:val="optioncarChar"/>
        </w:rPr>
        <w:t>***</w:t>
      </w:r>
    </w:p>
    <w:p w14:paraId="0E369829" w14:textId="77777777" w:rsidR="004B2808" w:rsidRDefault="00000000">
      <w:pPr>
        <w:pStyle w:val="Author-eListParagraph"/>
        <w:numPr>
          <w:ilvl w:val="0"/>
          <w:numId w:val="1369"/>
        </w:numPr>
        <w:jc w:val="both"/>
      </w:pPr>
      <w:r>
        <w:t>Les escaliers doivent être conformes aux dispositions légales en fonction du type de bâtiment et de la destination des locaux auxquels ils appartiennent.</w:t>
      </w:r>
    </w:p>
    <w:p w14:paraId="5F780F52" w14:textId="77777777" w:rsidR="004B2808" w:rsidRDefault="00000000">
      <w:pPr>
        <w:pStyle w:val="Author-eListParagraph"/>
        <w:numPr>
          <w:ilvl w:val="0"/>
          <w:numId w:val="1369"/>
        </w:numPr>
        <w:jc w:val="both"/>
      </w:pPr>
      <w:r>
        <w:t>Support aux prescripteurs : [SWL GSI/T1/B] et [SWL GSI/T1/C] de la prévention passive</w:t>
      </w:r>
    </w:p>
    <w:p w14:paraId="1BF09FFF" w14:textId="77777777" w:rsidR="004B2808" w:rsidRDefault="00000000">
      <w:pPr>
        <w:pStyle w:val="pheading"/>
      </w:pPr>
      <w:r>
        <w:t>MATÉRIAUX</w:t>
      </w:r>
    </w:p>
    <w:p w14:paraId="7936BFFE" w14:textId="77777777" w:rsidR="004B2808" w:rsidRDefault="00000000">
      <w:pPr>
        <w:pStyle w:val="pheading"/>
      </w:pPr>
      <w:r>
        <w:t>- Caractéristiques générales</w:t>
      </w:r>
    </w:p>
    <w:p w14:paraId="4470629E" w14:textId="77777777" w:rsidR="004B2808" w:rsidRDefault="00000000">
      <w:pPr>
        <w:jc w:val="both"/>
      </w:pPr>
      <w:r>
        <w:rPr>
          <w:b/>
        </w:rPr>
        <w:t>Essence</w:t>
      </w:r>
    </w:p>
    <w:p w14:paraId="26841E3E" w14:textId="77777777" w:rsidR="004B2808" w:rsidRDefault="00000000">
      <w:pPr>
        <w:jc w:val="both"/>
      </w:pPr>
      <w:r>
        <w:t>Les essences prescrites satisfont aux dispositions de la [NBN EN 13556], de la [NBN EN 942] et de la [NBN EN 975-1].</w:t>
      </w:r>
    </w:p>
    <w:p w14:paraId="3588F802" w14:textId="77777777" w:rsidR="004B2808" w:rsidRDefault="00000000">
      <w:pPr>
        <w:jc w:val="both"/>
      </w:pPr>
      <w:r>
        <w:t>Liste sélective des essences convenant pour les escaliers intérieurs :</w:t>
      </w:r>
    </w:p>
    <w:tbl>
      <w:tblPr>
        <w:tblStyle w:val="Author-eTableGrid"/>
        <w:tblW w:w="0" w:type="auto"/>
        <w:tblLayout w:type="fixed"/>
        <w:tblLook w:val="04A0" w:firstRow="1" w:lastRow="0" w:firstColumn="1" w:lastColumn="0" w:noHBand="0" w:noVBand="1"/>
      </w:tblPr>
      <w:tblGrid>
        <w:gridCol w:w="2250"/>
        <w:gridCol w:w="2250"/>
        <w:gridCol w:w="2250"/>
        <w:gridCol w:w="2250"/>
      </w:tblGrid>
      <w:tr w:rsidR="004B2808" w14:paraId="6F2ED106" w14:textId="77777777">
        <w:tc>
          <w:tcPr>
            <w:tcW w:w="2250" w:type="dxa"/>
            <w:noWrap/>
          </w:tcPr>
          <w:p w14:paraId="629F2324" w14:textId="77777777" w:rsidR="004B2808" w:rsidRDefault="00000000">
            <w:r>
              <w:rPr>
                <w:b/>
              </w:rPr>
              <w:t>Essence</w:t>
            </w:r>
          </w:p>
        </w:tc>
        <w:tc>
          <w:tcPr>
            <w:tcW w:w="2250" w:type="dxa"/>
            <w:noWrap/>
          </w:tcPr>
          <w:p w14:paraId="0E1401AF" w14:textId="77777777" w:rsidR="004B2808" w:rsidRDefault="00000000">
            <w:pPr>
              <w:jc w:val="center"/>
            </w:pPr>
            <w:r>
              <w:rPr>
                <w:b/>
              </w:rPr>
              <w:t>Masse volumique</w:t>
            </w:r>
          </w:p>
        </w:tc>
        <w:tc>
          <w:tcPr>
            <w:tcW w:w="2250" w:type="dxa"/>
            <w:noWrap/>
          </w:tcPr>
          <w:p w14:paraId="309155BD" w14:textId="77777777" w:rsidR="004B2808" w:rsidRDefault="00000000">
            <w:pPr>
              <w:jc w:val="center"/>
            </w:pPr>
            <w:r>
              <w:rPr>
                <w:b/>
              </w:rPr>
              <w:t>Mouvement pour HR entre 60 et 30%</w:t>
            </w:r>
          </w:p>
        </w:tc>
        <w:tc>
          <w:tcPr>
            <w:tcW w:w="2250" w:type="dxa"/>
            <w:noWrap/>
          </w:tcPr>
          <w:p w14:paraId="52931238" w14:textId="77777777" w:rsidR="004B2808" w:rsidRDefault="00000000">
            <w:pPr>
              <w:jc w:val="center"/>
            </w:pPr>
            <w:r>
              <w:rPr>
                <w:b/>
              </w:rPr>
              <w:t>Classe de durabilité</w:t>
            </w:r>
          </w:p>
        </w:tc>
      </w:tr>
      <w:tr w:rsidR="004B2808" w14:paraId="73090D5D" w14:textId="77777777">
        <w:tc>
          <w:tcPr>
            <w:tcW w:w="2250" w:type="dxa"/>
            <w:noWrap/>
          </w:tcPr>
          <w:p w14:paraId="7215B57C" w14:textId="77777777" w:rsidR="004B2808" w:rsidRDefault="00000000">
            <w:r>
              <w:t>Hêtre</w:t>
            </w:r>
          </w:p>
        </w:tc>
        <w:tc>
          <w:tcPr>
            <w:tcW w:w="2250" w:type="dxa"/>
            <w:noWrap/>
          </w:tcPr>
          <w:p w14:paraId="45E03BE0" w14:textId="77777777" w:rsidR="004B2808" w:rsidRDefault="00000000">
            <w:pPr>
              <w:jc w:val="center"/>
            </w:pPr>
            <w:r>
              <w:t>710 kg/m³</w:t>
            </w:r>
          </w:p>
        </w:tc>
        <w:tc>
          <w:tcPr>
            <w:tcW w:w="2250" w:type="dxa"/>
            <w:noWrap/>
          </w:tcPr>
          <w:p w14:paraId="4665D485" w14:textId="77777777" w:rsidR="004B2808" w:rsidRDefault="00000000">
            <w:pPr>
              <w:jc w:val="center"/>
            </w:pPr>
            <w:r>
              <w:t>moyen (2,4 %)</w:t>
            </w:r>
          </w:p>
        </w:tc>
        <w:tc>
          <w:tcPr>
            <w:tcW w:w="2250" w:type="dxa"/>
            <w:noWrap/>
          </w:tcPr>
          <w:p w14:paraId="4B96CB7B" w14:textId="77777777" w:rsidR="004B2808" w:rsidRDefault="00000000">
            <w:pPr>
              <w:jc w:val="center"/>
            </w:pPr>
            <w:r>
              <w:t>4-5</w:t>
            </w:r>
          </w:p>
        </w:tc>
      </w:tr>
      <w:tr w:rsidR="004B2808" w14:paraId="307AB6C3" w14:textId="77777777">
        <w:tc>
          <w:tcPr>
            <w:tcW w:w="2250" w:type="dxa"/>
            <w:noWrap/>
          </w:tcPr>
          <w:p w14:paraId="3D52A744" w14:textId="77777777" w:rsidR="004B2808" w:rsidRDefault="00000000">
            <w:r>
              <w:t>Pin sylvestre</w:t>
            </w:r>
          </w:p>
        </w:tc>
        <w:tc>
          <w:tcPr>
            <w:tcW w:w="2250" w:type="dxa"/>
            <w:noWrap/>
          </w:tcPr>
          <w:p w14:paraId="26E7A68F" w14:textId="77777777" w:rsidR="004B2808" w:rsidRDefault="00000000">
            <w:pPr>
              <w:jc w:val="center"/>
            </w:pPr>
            <w:r>
              <w:t>550 kg/m³</w:t>
            </w:r>
          </w:p>
        </w:tc>
        <w:tc>
          <w:tcPr>
            <w:tcW w:w="2250" w:type="dxa"/>
            <w:noWrap/>
          </w:tcPr>
          <w:p w14:paraId="1FED8109" w14:textId="77777777" w:rsidR="004B2808" w:rsidRDefault="00000000">
            <w:pPr>
              <w:jc w:val="center"/>
            </w:pPr>
            <w:r>
              <w:t>moyen (1,6 %)</w:t>
            </w:r>
          </w:p>
        </w:tc>
        <w:tc>
          <w:tcPr>
            <w:tcW w:w="2250" w:type="dxa"/>
            <w:noWrap/>
          </w:tcPr>
          <w:p w14:paraId="757BFBE0" w14:textId="77777777" w:rsidR="004B2808" w:rsidRDefault="00000000">
            <w:pPr>
              <w:jc w:val="center"/>
            </w:pPr>
            <w:r>
              <w:t>3-4</w:t>
            </w:r>
          </w:p>
        </w:tc>
      </w:tr>
      <w:tr w:rsidR="004B2808" w14:paraId="2D3D850F" w14:textId="77777777">
        <w:tc>
          <w:tcPr>
            <w:tcW w:w="2250" w:type="dxa"/>
            <w:noWrap/>
          </w:tcPr>
          <w:p w14:paraId="6EC23060" w14:textId="77777777" w:rsidR="004B2808" w:rsidRDefault="00000000">
            <w:r>
              <w:t>Oregon/Douglas</w:t>
            </w:r>
          </w:p>
        </w:tc>
        <w:tc>
          <w:tcPr>
            <w:tcW w:w="2250" w:type="dxa"/>
            <w:noWrap/>
          </w:tcPr>
          <w:p w14:paraId="2AC6D567" w14:textId="77777777" w:rsidR="004B2808" w:rsidRDefault="00000000">
            <w:pPr>
              <w:jc w:val="center"/>
            </w:pPr>
            <w:r>
              <w:t>540 kg/m³</w:t>
            </w:r>
          </w:p>
        </w:tc>
        <w:tc>
          <w:tcPr>
            <w:tcW w:w="2250" w:type="dxa"/>
            <w:noWrap/>
          </w:tcPr>
          <w:p w14:paraId="28F59414" w14:textId="77777777" w:rsidR="004B2808" w:rsidRDefault="00000000">
            <w:pPr>
              <w:jc w:val="center"/>
            </w:pPr>
            <w:r>
              <w:t>moyen (2,1 %)</w:t>
            </w:r>
          </w:p>
        </w:tc>
        <w:tc>
          <w:tcPr>
            <w:tcW w:w="2250" w:type="dxa"/>
            <w:noWrap/>
          </w:tcPr>
          <w:p w14:paraId="703E9DED" w14:textId="77777777" w:rsidR="004B2808" w:rsidRDefault="00000000">
            <w:pPr>
              <w:jc w:val="center"/>
            </w:pPr>
            <w:r>
              <w:t>3</w:t>
            </w:r>
          </w:p>
        </w:tc>
      </w:tr>
      <w:tr w:rsidR="004B2808" w14:paraId="752268F3" w14:textId="77777777">
        <w:tc>
          <w:tcPr>
            <w:tcW w:w="2250" w:type="dxa"/>
            <w:noWrap/>
          </w:tcPr>
          <w:p w14:paraId="2C2662F2" w14:textId="77777777" w:rsidR="004B2808" w:rsidRDefault="00000000">
            <w:r>
              <w:t>Hévéa (Rubberwood)</w:t>
            </w:r>
          </w:p>
        </w:tc>
        <w:tc>
          <w:tcPr>
            <w:tcW w:w="2250" w:type="dxa"/>
            <w:noWrap/>
          </w:tcPr>
          <w:p w14:paraId="57AEB73A" w14:textId="77777777" w:rsidR="004B2808" w:rsidRDefault="00000000">
            <w:pPr>
              <w:jc w:val="center"/>
            </w:pPr>
            <w:r>
              <w:t>650 kg/m³</w:t>
            </w:r>
          </w:p>
        </w:tc>
        <w:tc>
          <w:tcPr>
            <w:tcW w:w="2250" w:type="dxa"/>
            <w:noWrap/>
          </w:tcPr>
          <w:p w14:paraId="64B819B0" w14:textId="77777777" w:rsidR="004B2808" w:rsidRDefault="00000000">
            <w:pPr>
              <w:jc w:val="center"/>
            </w:pPr>
            <w:r>
              <w:t>moyen (2,5%)</w:t>
            </w:r>
          </w:p>
        </w:tc>
        <w:tc>
          <w:tcPr>
            <w:tcW w:w="2250" w:type="dxa"/>
            <w:noWrap/>
          </w:tcPr>
          <w:p w14:paraId="05BE6B2E" w14:textId="77777777" w:rsidR="004B2808" w:rsidRDefault="00000000">
            <w:pPr>
              <w:jc w:val="center"/>
            </w:pPr>
            <w:r>
              <w:t>5</w:t>
            </w:r>
          </w:p>
        </w:tc>
      </w:tr>
      <w:tr w:rsidR="004B2808" w14:paraId="1485E439" w14:textId="77777777">
        <w:tc>
          <w:tcPr>
            <w:tcW w:w="2250" w:type="dxa"/>
            <w:noWrap/>
          </w:tcPr>
          <w:p w14:paraId="442116AE" w14:textId="77777777" w:rsidR="004B2808" w:rsidRDefault="00000000">
            <w:r>
              <w:t>Chêne</w:t>
            </w:r>
          </w:p>
        </w:tc>
        <w:tc>
          <w:tcPr>
            <w:tcW w:w="2250" w:type="dxa"/>
            <w:noWrap/>
          </w:tcPr>
          <w:p w14:paraId="446FFA56" w14:textId="77777777" w:rsidR="004B2808" w:rsidRDefault="00000000">
            <w:pPr>
              <w:jc w:val="center"/>
            </w:pPr>
            <w:r>
              <w:t>740 kg/m³</w:t>
            </w:r>
          </w:p>
        </w:tc>
        <w:tc>
          <w:tcPr>
            <w:tcW w:w="2250" w:type="dxa"/>
            <w:noWrap/>
          </w:tcPr>
          <w:p w14:paraId="16E38904" w14:textId="77777777" w:rsidR="004B2808" w:rsidRDefault="00000000">
            <w:pPr>
              <w:jc w:val="center"/>
            </w:pPr>
            <w:r>
              <w:t>moyen (2,0 %)</w:t>
            </w:r>
          </w:p>
        </w:tc>
        <w:tc>
          <w:tcPr>
            <w:tcW w:w="2250" w:type="dxa"/>
            <w:noWrap/>
          </w:tcPr>
          <w:p w14:paraId="320C14C7" w14:textId="77777777" w:rsidR="004B2808" w:rsidRDefault="00000000">
            <w:pPr>
              <w:jc w:val="center"/>
            </w:pPr>
            <w:r>
              <w:t>2-4</w:t>
            </w:r>
          </w:p>
        </w:tc>
      </w:tr>
      <w:tr w:rsidR="004B2808" w14:paraId="77D98223" w14:textId="77777777">
        <w:tc>
          <w:tcPr>
            <w:tcW w:w="2250" w:type="dxa"/>
            <w:noWrap/>
          </w:tcPr>
          <w:p w14:paraId="6F910E95" w14:textId="77777777" w:rsidR="004B2808" w:rsidRDefault="00000000">
            <w:r>
              <w:t>Southern pine</w:t>
            </w:r>
          </w:p>
        </w:tc>
        <w:tc>
          <w:tcPr>
            <w:tcW w:w="2250" w:type="dxa"/>
            <w:noWrap/>
          </w:tcPr>
          <w:p w14:paraId="2AE96CF5" w14:textId="77777777" w:rsidR="004B2808" w:rsidRDefault="00000000">
            <w:pPr>
              <w:jc w:val="center"/>
            </w:pPr>
            <w:r>
              <w:t>550 kg/m3</w:t>
            </w:r>
          </w:p>
        </w:tc>
        <w:tc>
          <w:tcPr>
            <w:tcW w:w="2250" w:type="dxa"/>
            <w:noWrap/>
          </w:tcPr>
          <w:p w14:paraId="5805AC2C" w14:textId="77777777" w:rsidR="004B2808" w:rsidRDefault="00000000">
            <w:pPr>
              <w:jc w:val="center"/>
            </w:pPr>
            <w:r>
              <w:t>moyen (1,7 %)</w:t>
            </w:r>
          </w:p>
        </w:tc>
        <w:tc>
          <w:tcPr>
            <w:tcW w:w="2250" w:type="dxa"/>
            <w:noWrap/>
          </w:tcPr>
          <w:p w14:paraId="6CAB0486" w14:textId="77777777" w:rsidR="004B2808" w:rsidRDefault="00000000">
            <w:pPr>
              <w:jc w:val="center"/>
            </w:pPr>
            <w:r>
              <w:t>4</w:t>
            </w:r>
          </w:p>
        </w:tc>
      </w:tr>
    </w:tbl>
    <w:p w14:paraId="6E62637C" w14:textId="77777777" w:rsidR="004B2808" w:rsidRDefault="00000000">
      <w:pPr>
        <w:jc w:val="both"/>
      </w:pPr>
      <w:r>
        <w:rPr>
          <w:i/>
        </w:rPr>
        <w:lastRenderedPageBreak/>
        <w:t>Table 1: Source – [NIT 269]</w:t>
      </w:r>
    </w:p>
    <w:p w14:paraId="4F8F861B" w14:textId="77777777" w:rsidR="004B2808" w:rsidRDefault="00000000">
      <w:pPr>
        <w:jc w:val="both"/>
      </w:pPr>
      <w:r>
        <w:t>    Les escaliers en bois sont conformes à la [NIT 198]. Voir également l’élément 24.31 Escaliers en bois</w:t>
      </w:r>
    </w:p>
    <w:p w14:paraId="50188F9A" w14:textId="77777777" w:rsidR="004B2808" w:rsidRDefault="00000000">
      <w:pPr>
        <w:jc w:val="both"/>
      </w:pPr>
      <w:r>
        <w:rPr>
          <w:b/>
        </w:rPr>
        <w:t>Qualité Du Bois</w:t>
      </w:r>
    </w:p>
    <w:p w14:paraId="5949DFF5" w14:textId="77777777" w:rsidR="004B2808" w:rsidRDefault="00000000">
      <w:pPr>
        <w:pStyle w:val="Author-eListParagraph"/>
        <w:numPr>
          <w:ilvl w:val="0"/>
          <w:numId w:val="1370"/>
        </w:numPr>
      </w:pPr>
      <w:r>
        <w:t>Sauf prescriptions spécifiques dans le cahier spécial des charges, les limons et les marches d'escalier sont toujours fabriqués en bois de menuiserie massif, selon les [STS 04.2]</w:t>
      </w:r>
    </w:p>
    <w:p w14:paraId="0221B21E" w14:textId="77777777" w:rsidR="004B2808" w:rsidRDefault="00000000">
      <w:pPr>
        <w:pStyle w:val="Author-eListParagraph"/>
        <w:numPr>
          <w:ilvl w:val="0"/>
          <w:numId w:val="1370"/>
        </w:numPr>
      </w:pPr>
      <w:r>
        <w:t>Tout le bois est suffisamment sec, selon les [STS 04.2] et est en outre compatible avec la finition. Les caractéristiques du bois et les défauts admissibles correspondent aux dispositions des [STS 04 série]</w:t>
      </w:r>
    </w:p>
    <w:p w14:paraId="61BAE2E4" w14:textId="77777777" w:rsidR="004B2808" w:rsidRDefault="00000000">
      <w:pPr>
        <w:pStyle w:val="Author-eListParagraph"/>
        <w:numPr>
          <w:ilvl w:val="0"/>
          <w:numId w:val="1370"/>
        </w:numPr>
      </w:pPr>
      <w:r>
        <w:t>Le bois est exempt de cœur, d’aubier, de nœuds non adhérents, d’entre-écorce, de fissures, de faux-cœurs accompagnés de pourriture, de double aubier, de cadranures et de roulures, de fractures d'abattage, de blessures, de piqûres, de trous de vers, de pourritures, d’échauffures, de moelle et de flaches. Les nœuds sains d'un diamètre supérieur à 20 mm ne sont pas admis. De petits trous causés par des insectes xylophages sont admis. Le bois qui comporte des creux ou des déchirures contenant des matières blanches, jaunes ou colorées et qui, après le façonnage, viennent à se situer dans la face vue, sont refusés.</w:t>
      </w:r>
    </w:p>
    <w:p w14:paraId="599F354C" w14:textId="77777777" w:rsidR="004B2808" w:rsidRDefault="00000000">
      <w:pPr>
        <w:pStyle w:val="Author-eListParagraph"/>
        <w:numPr>
          <w:ilvl w:val="0"/>
          <w:numId w:val="1370"/>
        </w:numPr>
      </w:pPr>
      <w:r>
        <w:t xml:space="preserve">Le bois mis en œuvre est à fil droit (maximum 5 % d'inclinaison). L'orientation des fibres tient compte des exigences en matière de stabilité dimensionnelle en longueur des pièces et de la résistance mécanique exigée. </w:t>
      </w:r>
    </w:p>
    <w:p w14:paraId="4BCC87BD" w14:textId="77777777" w:rsidR="004B2808" w:rsidRDefault="00000000">
      <w:pPr>
        <w:pStyle w:val="Author-eListParagraph"/>
        <w:numPr>
          <w:ilvl w:val="1"/>
          <w:numId w:val="1371"/>
        </w:numPr>
      </w:pPr>
      <w:r>
        <w:t>Perpendiculaires aux limons porteurs : marches, contremarches</w:t>
      </w:r>
    </w:p>
    <w:p w14:paraId="0080436B" w14:textId="77777777" w:rsidR="004B2808" w:rsidRDefault="00000000">
      <w:pPr>
        <w:pStyle w:val="Author-eListParagraph"/>
        <w:numPr>
          <w:ilvl w:val="1"/>
          <w:numId w:val="1371"/>
        </w:numPr>
      </w:pPr>
      <w:r>
        <w:t>Selon la pente de l'escalier : limons, mains-courantes, limons courbes</w:t>
      </w:r>
    </w:p>
    <w:p w14:paraId="53A7069C" w14:textId="77777777" w:rsidR="004B2808" w:rsidRDefault="00000000">
      <w:pPr>
        <w:pStyle w:val="Author-eListParagraph"/>
        <w:numPr>
          <w:ilvl w:val="1"/>
          <w:numId w:val="1371"/>
        </w:numPr>
      </w:pPr>
      <w:r>
        <w:t>Verticalement : balustres et crosses.</w:t>
      </w:r>
    </w:p>
    <w:p w14:paraId="49B564FD" w14:textId="77777777" w:rsidR="004B2808" w:rsidRDefault="00000000">
      <w:pPr>
        <w:pStyle w:val="Author-eListParagraph"/>
        <w:numPr>
          <w:ilvl w:val="0"/>
          <w:numId w:val="1370"/>
        </w:numPr>
      </w:pPr>
      <w:r>
        <w:t>Les plaques de contreplaqué sont conformes à la [NBN EN 636+A1].</w:t>
      </w:r>
    </w:p>
    <w:p w14:paraId="4EF02CCE" w14:textId="77777777" w:rsidR="004B2808" w:rsidRDefault="00000000">
      <w:pPr>
        <w:pStyle w:val="Author-eListParagraph"/>
        <w:numPr>
          <w:ilvl w:val="0"/>
          <w:numId w:val="1370"/>
        </w:numPr>
      </w:pPr>
      <w:r>
        <w:t>La dureté du bois utilisé en fonction de l’utilisation prévue pour un trafic conforme à la [NBN EN 15644] </w:t>
      </w:r>
      <w:r>
        <w:rPr>
          <w:rStyle w:val="optioncarChar"/>
        </w:rPr>
        <w:t>faible</w:t>
      </w:r>
      <w:r>
        <w:t xml:space="preserve"> (par défaut) </w:t>
      </w:r>
      <w:r>
        <w:rPr>
          <w:rStyle w:val="optioncarChar"/>
        </w:rPr>
        <w:t>/ modérée / élevée</w:t>
      </w:r>
    </w:p>
    <w:p w14:paraId="6EF3AE14" w14:textId="77777777" w:rsidR="004B2808" w:rsidRDefault="00000000">
      <w:pPr>
        <w:ind w:left="567"/>
        <w:jc w:val="both"/>
      </w:pPr>
      <w:r>
        <w:rPr>
          <w:b/>
        </w:rPr>
        <w:t>(soit par défaut)</w:t>
      </w:r>
    </w:p>
    <w:p w14:paraId="156A2DE7" w14:textId="77777777" w:rsidR="004B2808" w:rsidRDefault="00000000">
      <w:pPr>
        <w:ind w:left="567"/>
        <w:jc w:val="both"/>
      </w:pPr>
      <w:r>
        <w:rPr>
          <w:rStyle w:val="soitChar"/>
          <w:u w:val="single"/>
        </w:rPr>
        <w:t>Faible</w:t>
      </w:r>
      <w:r>
        <w:rPr>
          <w:rStyle w:val="soitChar"/>
        </w:rPr>
        <w:t xml:space="preserve"> à savoir dureté comprise entre 10 et 20 N/mm² pour faible trafic</w:t>
      </w:r>
    </w:p>
    <w:p w14:paraId="256FBB7B" w14:textId="77777777" w:rsidR="004B2808" w:rsidRDefault="00000000">
      <w:pPr>
        <w:ind w:left="567"/>
        <w:jc w:val="both"/>
      </w:pPr>
      <w:r>
        <w:rPr>
          <w:b/>
        </w:rPr>
        <w:t>(soit)</w:t>
      </w:r>
    </w:p>
    <w:p w14:paraId="4A7818E0" w14:textId="77777777" w:rsidR="004B2808" w:rsidRDefault="00000000">
      <w:pPr>
        <w:ind w:left="567"/>
        <w:jc w:val="both"/>
      </w:pPr>
      <w:r>
        <w:rPr>
          <w:rStyle w:val="soitChar"/>
          <w:u w:val="single"/>
        </w:rPr>
        <w:t>Modérée</w:t>
      </w:r>
      <w:r>
        <w:rPr>
          <w:rStyle w:val="soitChar"/>
        </w:rPr>
        <w:t xml:space="preserve"> à savoir dureté comprise entre 20 et 30 N/mm² pour trafic modéré</w:t>
      </w:r>
    </w:p>
    <w:p w14:paraId="7C5F363E" w14:textId="77777777" w:rsidR="004B2808" w:rsidRDefault="00000000">
      <w:pPr>
        <w:ind w:left="567"/>
        <w:jc w:val="both"/>
      </w:pPr>
      <w:r>
        <w:rPr>
          <w:b/>
        </w:rPr>
        <w:t>(soit)</w:t>
      </w:r>
    </w:p>
    <w:p w14:paraId="6BB0E5CD" w14:textId="77777777" w:rsidR="004B2808" w:rsidRDefault="00000000">
      <w:pPr>
        <w:ind w:left="567"/>
        <w:jc w:val="both"/>
      </w:pPr>
      <w:r>
        <w:rPr>
          <w:rStyle w:val="soitChar"/>
          <w:u w:val="single"/>
        </w:rPr>
        <w:t>Elevée</w:t>
      </w:r>
      <w:r>
        <w:rPr>
          <w:rStyle w:val="soitChar"/>
        </w:rPr>
        <w:t xml:space="preserve"> à savoir dureté supérieure à 30 N/mm² pour trafic élevé</w:t>
      </w:r>
    </w:p>
    <w:p w14:paraId="7C6CDE48" w14:textId="77777777" w:rsidR="004B2808" w:rsidRDefault="00000000">
      <w:pPr>
        <w:jc w:val="both"/>
      </w:pPr>
      <w:r>
        <w:rPr>
          <w:b/>
        </w:rPr>
        <w:t>Traitement du bois</w:t>
      </w:r>
    </w:p>
    <w:p w14:paraId="77987740" w14:textId="77777777" w:rsidR="004B2808" w:rsidRDefault="00000000">
      <w:pPr>
        <w:pStyle w:val="Author-eListParagraph"/>
        <w:numPr>
          <w:ilvl w:val="0"/>
          <w:numId w:val="1372"/>
        </w:numPr>
      </w:pPr>
      <w:r>
        <w:t>Les produits de préservation du bois sont conformes aux exigences de performances données dans la [NBN EN 599-2] appropriées à la classe d’utilisation. L’usinage, le perçage, le rabotage etc. sont terminés avant le traitement de préservation. En cas de flache, trace d’écorce (rhytidome) est  retiré.</w:t>
      </w:r>
    </w:p>
    <w:p w14:paraId="2F23BF46" w14:textId="77777777" w:rsidR="004B2808" w:rsidRDefault="00000000">
      <w:pPr>
        <w:pStyle w:val="Author-eListParagraph"/>
        <w:numPr>
          <w:ilvl w:val="0"/>
          <w:numId w:val="1372"/>
        </w:numPr>
      </w:pPr>
      <w:r>
        <w:t>Avant leur acheminement sur chantier, toutes les faces reçoivent la première couche du traitement.</w:t>
      </w:r>
    </w:p>
    <w:p w14:paraId="096D9F00" w14:textId="77777777" w:rsidR="004B2808" w:rsidRDefault="00000000">
      <w:pPr>
        <w:jc w:val="both"/>
      </w:pPr>
      <w:r>
        <w:rPr>
          <w:b/>
        </w:rPr>
        <w:t>Revêtements d'escalier - bois massif</w:t>
      </w:r>
    </w:p>
    <w:p w14:paraId="4D7969D0" w14:textId="77777777" w:rsidR="004B2808" w:rsidRDefault="00000000">
      <w:pPr>
        <w:jc w:val="both"/>
      </w:pPr>
      <w:r>
        <w:t>Il s'agit de marches réalisées d'un seul tenant en bois massif.</w:t>
      </w:r>
    </w:p>
    <w:p w14:paraId="45DD2DD9" w14:textId="77777777" w:rsidR="004B2808" w:rsidRDefault="00000000">
      <w:pPr>
        <w:jc w:val="both"/>
      </w:pPr>
      <w:r>
        <w:t xml:space="preserve">Essence : </w:t>
      </w:r>
      <w:r>
        <w:rPr>
          <w:rStyle w:val="optioncarChar"/>
        </w:rPr>
        <w:t>hêtre</w:t>
      </w:r>
      <w:r>
        <w:t xml:space="preserve"> (par défaut)</w:t>
      </w:r>
      <w:r>
        <w:rPr>
          <w:rStyle w:val="optioncarChar"/>
        </w:rPr>
        <w:t xml:space="preserve"> / chêne / châtaignier / tilleul / douglas / épicéa / pin sylvestre / ***.</w:t>
      </w:r>
    </w:p>
    <w:p w14:paraId="5134BD24" w14:textId="77777777" w:rsidR="004B2808" w:rsidRDefault="00000000">
      <w:pPr>
        <w:jc w:val="both"/>
      </w:pPr>
      <w:r>
        <w:rPr>
          <w:b/>
        </w:rPr>
        <w:t>(soit par défaut)</w:t>
      </w:r>
    </w:p>
    <w:p w14:paraId="6F48E9B6" w14:textId="77777777" w:rsidR="004B2808" w:rsidRDefault="00000000">
      <w:pPr>
        <w:jc w:val="both"/>
      </w:pPr>
      <w:r>
        <w:rPr>
          <w:rStyle w:val="soitChar"/>
          <w:u w:val="single"/>
        </w:rPr>
        <w:t>Hêtre</w:t>
      </w:r>
      <w:r>
        <w:rPr>
          <w:rStyle w:val="soitChar"/>
        </w:rPr>
        <w:t xml:space="preserve"> (FASY) - </w:t>
      </w:r>
      <w:r>
        <w:rPr>
          <w:rStyle w:val="soitChar"/>
          <w:i/>
        </w:rPr>
        <w:t>Fagus sylvatica L.</w:t>
      </w:r>
      <w:r>
        <w:rPr>
          <w:rStyle w:val="soitChar"/>
        </w:rPr>
        <w:t xml:space="preserve"> selon la [NBN EN 13556]. Qualité : </w:t>
      </w:r>
      <w:r>
        <w:rPr>
          <w:rStyle w:val="optioncarChar"/>
        </w:rPr>
        <w:t>1er / 2ème</w:t>
      </w:r>
      <w:r>
        <w:rPr>
          <w:rStyle w:val="soitChar"/>
        </w:rPr>
        <w:t xml:space="preserve"> choix. Le bois mis en œuvre est exempt de cœur rouge.</w:t>
      </w:r>
    </w:p>
    <w:p w14:paraId="5B3AF0F0" w14:textId="77777777" w:rsidR="004B2808" w:rsidRDefault="00000000">
      <w:pPr>
        <w:jc w:val="both"/>
      </w:pPr>
      <w:r>
        <w:rPr>
          <w:b/>
        </w:rPr>
        <w:t>(soit)</w:t>
      </w:r>
    </w:p>
    <w:p w14:paraId="7F3A10E8" w14:textId="77777777" w:rsidR="004B2808" w:rsidRDefault="00000000">
      <w:pPr>
        <w:jc w:val="both"/>
      </w:pPr>
      <w:r>
        <w:rPr>
          <w:rStyle w:val="soitChar"/>
          <w:u w:val="single"/>
        </w:rPr>
        <w:t>Chêne</w:t>
      </w:r>
      <w:r>
        <w:rPr>
          <w:rStyle w:val="soitChar"/>
        </w:rPr>
        <w:t xml:space="preserve"> (QCXE) – </w:t>
      </w:r>
      <w:r>
        <w:rPr>
          <w:rStyle w:val="soitChar"/>
          <w:i/>
        </w:rPr>
        <w:t>Quercus robur L. / Quercus petraea (Matt.) Liebl.</w:t>
      </w:r>
      <w:r>
        <w:rPr>
          <w:rStyle w:val="soitChar"/>
        </w:rPr>
        <w:t xml:space="preserve"> selon la [NBN EN 13556]</w:t>
      </w:r>
    </w:p>
    <w:p w14:paraId="71A79FCC" w14:textId="77777777" w:rsidR="004B2808" w:rsidRDefault="00000000">
      <w:pPr>
        <w:jc w:val="both"/>
      </w:pPr>
      <w:r>
        <w:rPr>
          <w:b/>
        </w:rPr>
        <w:t>(soit)</w:t>
      </w:r>
    </w:p>
    <w:p w14:paraId="46AA3757" w14:textId="77777777" w:rsidR="004B2808" w:rsidRDefault="00000000">
      <w:pPr>
        <w:jc w:val="both"/>
      </w:pPr>
      <w:r>
        <w:rPr>
          <w:rStyle w:val="soitChar"/>
          <w:u w:val="single"/>
        </w:rPr>
        <w:lastRenderedPageBreak/>
        <w:t>Châtaignier</w:t>
      </w:r>
      <w:r>
        <w:rPr>
          <w:rStyle w:val="soitChar"/>
        </w:rPr>
        <w:t xml:space="preserve"> (CTST) - </w:t>
      </w:r>
      <w:r>
        <w:rPr>
          <w:rStyle w:val="soitChar"/>
          <w:i/>
        </w:rPr>
        <w:t>Castanea sativa Miller</w:t>
      </w:r>
      <w:r>
        <w:rPr>
          <w:rStyle w:val="soitChar"/>
        </w:rPr>
        <w:t xml:space="preserve"> selon la [NBN EN 13556]</w:t>
      </w:r>
    </w:p>
    <w:p w14:paraId="0B19E38B" w14:textId="77777777" w:rsidR="004B2808" w:rsidRDefault="00000000">
      <w:pPr>
        <w:jc w:val="both"/>
      </w:pPr>
      <w:r>
        <w:rPr>
          <w:b/>
        </w:rPr>
        <w:t>(soit)</w:t>
      </w:r>
    </w:p>
    <w:p w14:paraId="7B3B044A" w14:textId="77777777" w:rsidR="004B2808" w:rsidRDefault="00000000">
      <w:pPr>
        <w:jc w:val="both"/>
      </w:pPr>
      <w:r>
        <w:rPr>
          <w:rStyle w:val="soitChar"/>
          <w:u w:val="single"/>
        </w:rPr>
        <w:t>Tilleul</w:t>
      </w:r>
      <w:r>
        <w:rPr>
          <w:rStyle w:val="soitChar"/>
        </w:rPr>
        <w:t xml:space="preserve"> (TIXX) - </w:t>
      </w:r>
      <w:r>
        <w:rPr>
          <w:rStyle w:val="soitChar"/>
          <w:i/>
        </w:rPr>
        <w:t>Tilia spp.</w:t>
      </w:r>
      <w:r>
        <w:rPr>
          <w:rStyle w:val="soitChar"/>
        </w:rPr>
        <w:t xml:space="preserve"> selon la [NBN EN 13556]</w:t>
      </w:r>
    </w:p>
    <w:p w14:paraId="22207EF3" w14:textId="77777777" w:rsidR="004B2808" w:rsidRDefault="00000000">
      <w:pPr>
        <w:jc w:val="both"/>
      </w:pPr>
      <w:r>
        <w:rPr>
          <w:b/>
        </w:rPr>
        <w:t>(soit)</w:t>
      </w:r>
    </w:p>
    <w:p w14:paraId="53B2F1B0" w14:textId="77777777" w:rsidR="004B2808" w:rsidRDefault="00000000">
      <w:pPr>
        <w:jc w:val="both"/>
      </w:pPr>
      <w:r>
        <w:rPr>
          <w:rStyle w:val="soitChar"/>
          <w:u w:val="single"/>
        </w:rPr>
        <w:t>Douglas</w:t>
      </w:r>
      <w:r>
        <w:rPr>
          <w:rStyle w:val="soitChar"/>
        </w:rPr>
        <w:t xml:space="preserve"> (PSMN) - </w:t>
      </w:r>
      <w:r>
        <w:rPr>
          <w:rStyle w:val="soitChar"/>
          <w:i/>
        </w:rPr>
        <w:t>Pseudotsuga menziesii</w:t>
      </w:r>
      <w:r>
        <w:rPr>
          <w:rStyle w:val="soitChar"/>
        </w:rPr>
        <w:t xml:space="preserve"> selon la [NBN EN 13556]</w:t>
      </w:r>
    </w:p>
    <w:p w14:paraId="12EEDCBC" w14:textId="77777777" w:rsidR="004B2808" w:rsidRDefault="00000000">
      <w:pPr>
        <w:jc w:val="both"/>
      </w:pPr>
      <w:r>
        <w:rPr>
          <w:b/>
        </w:rPr>
        <w:t>(soit)</w:t>
      </w:r>
    </w:p>
    <w:p w14:paraId="7096CC12" w14:textId="77777777" w:rsidR="004B2808" w:rsidRDefault="00000000">
      <w:pPr>
        <w:jc w:val="both"/>
      </w:pPr>
      <w:r>
        <w:rPr>
          <w:rStyle w:val="soitChar"/>
          <w:u w:val="single"/>
        </w:rPr>
        <w:t>Épicéa</w:t>
      </w:r>
      <w:r>
        <w:rPr>
          <w:rStyle w:val="soitChar"/>
        </w:rPr>
        <w:t xml:space="preserve"> (PCAB) - </w:t>
      </w:r>
      <w:r>
        <w:rPr>
          <w:rStyle w:val="soitChar"/>
          <w:i/>
        </w:rPr>
        <w:t>Picea abies</w:t>
      </w:r>
      <w:r>
        <w:rPr>
          <w:rStyle w:val="soitChar"/>
        </w:rPr>
        <w:t xml:space="preserve"> selon la [NBN EN 13556]</w:t>
      </w:r>
    </w:p>
    <w:p w14:paraId="641FBC15" w14:textId="77777777" w:rsidR="004B2808" w:rsidRDefault="00000000">
      <w:pPr>
        <w:jc w:val="both"/>
      </w:pPr>
      <w:r>
        <w:rPr>
          <w:b/>
        </w:rPr>
        <w:t>(soit)</w:t>
      </w:r>
    </w:p>
    <w:p w14:paraId="307F610C" w14:textId="77777777" w:rsidR="004B2808" w:rsidRDefault="00000000">
      <w:pPr>
        <w:jc w:val="both"/>
      </w:pPr>
      <w:r>
        <w:rPr>
          <w:rStyle w:val="soitChar"/>
          <w:u w:val="single"/>
        </w:rPr>
        <w:t>Pin sylvestre</w:t>
      </w:r>
      <w:r>
        <w:rPr>
          <w:rStyle w:val="soitChar"/>
        </w:rPr>
        <w:t xml:space="preserve"> (PNSY) - </w:t>
      </w:r>
      <w:r>
        <w:rPr>
          <w:rStyle w:val="soitChar"/>
          <w:i/>
        </w:rPr>
        <w:t>Pinus sylvestris</w:t>
      </w:r>
      <w:r>
        <w:rPr>
          <w:rStyle w:val="soitChar"/>
        </w:rPr>
        <w:t xml:space="preserve"> selon la [NBN EN 13556]</w:t>
      </w:r>
    </w:p>
    <w:p w14:paraId="21BAE706" w14:textId="77777777" w:rsidR="004B2808" w:rsidRDefault="00000000">
      <w:pPr>
        <w:jc w:val="both"/>
      </w:pPr>
      <w:r>
        <w:rPr>
          <w:b/>
        </w:rPr>
        <w:t>(soit)</w:t>
      </w:r>
    </w:p>
    <w:p w14:paraId="1A3D869B" w14:textId="77777777" w:rsidR="004B2808" w:rsidRDefault="00000000">
      <w:pPr>
        <w:jc w:val="both"/>
      </w:pPr>
      <w:r>
        <w:rPr>
          <w:rStyle w:val="optioncarChar"/>
        </w:rPr>
        <w:t>***</w:t>
      </w:r>
    </w:p>
    <w:p w14:paraId="4561AF57" w14:textId="77777777" w:rsidR="004B2808" w:rsidRDefault="00000000">
      <w:pPr>
        <w:jc w:val="both"/>
      </w:pPr>
      <w:r>
        <w:rPr>
          <w:b/>
        </w:rPr>
        <w:t>Spécifications</w:t>
      </w:r>
    </w:p>
    <w:p w14:paraId="4F907DF0" w14:textId="77777777" w:rsidR="004B2808" w:rsidRDefault="00000000">
      <w:pPr>
        <w:pStyle w:val="Author-eListParagraph"/>
        <w:numPr>
          <w:ilvl w:val="0"/>
          <w:numId w:val="1373"/>
        </w:numPr>
      </w:pPr>
      <w:r>
        <w:t xml:space="preserve">Type : </w:t>
      </w:r>
    </w:p>
    <w:p w14:paraId="753C3827" w14:textId="77777777" w:rsidR="004B2808" w:rsidRDefault="00000000">
      <w:pPr>
        <w:pStyle w:val="Author-eListParagraph"/>
        <w:numPr>
          <w:ilvl w:val="1"/>
          <w:numId w:val="1374"/>
        </w:numPr>
      </w:pPr>
      <w:r>
        <w:t xml:space="preserve">Marches : </w:t>
      </w:r>
      <w:r>
        <w:rPr>
          <w:rStyle w:val="optioncarChar"/>
        </w:rPr>
        <w:t xml:space="preserve">pleines </w:t>
      </w:r>
      <w:r>
        <w:t>(par défaut) </w:t>
      </w:r>
      <w:r>
        <w:rPr>
          <w:rStyle w:val="optioncarChar"/>
        </w:rPr>
        <w:t>/ *** </w:t>
      </w:r>
    </w:p>
    <w:p w14:paraId="22431373" w14:textId="77777777" w:rsidR="004B2808" w:rsidRDefault="00000000">
      <w:pPr>
        <w:pStyle w:val="Author-eListParagraph"/>
        <w:numPr>
          <w:ilvl w:val="1"/>
          <w:numId w:val="1374"/>
        </w:numPr>
      </w:pPr>
      <w:r>
        <w:t xml:space="preserve">Contremarches : </w:t>
      </w:r>
      <w:r>
        <w:rPr>
          <w:rStyle w:val="optioncarChar"/>
        </w:rPr>
        <w:t xml:space="preserve">pleines </w:t>
      </w:r>
      <w:r>
        <w:t>(par défaut)</w:t>
      </w:r>
      <w:r>
        <w:rPr>
          <w:rStyle w:val="optioncarChar"/>
        </w:rPr>
        <w:t> / *** </w:t>
      </w:r>
    </w:p>
    <w:p w14:paraId="024DF02F" w14:textId="77777777" w:rsidR="004B2808" w:rsidRDefault="00000000">
      <w:pPr>
        <w:pStyle w:val="Author-eListParagraph"/>
        <w:numPr>
          <w:ilvl w:val="0"/>
          <w:numId w:val="1373"/>
        </w:numPr>
      </w:pPr>
      <w:r>
        <w:t xml:space="preserve">Forme : selon les dessins de détail de l'auteur de projet. </w:t>
      </w:r>
    </w:p>
    <w:p w14:paraId="0303E08B" w14:textId="77777777" w:rsidR="004B2808" w:rsidRDefault="00000000">
      <w:pPr>
        <w:pStyle w:val="Author-eListParagraph"/>
        <w:numPr>
          <w:ilvl w:val="1"/>
          <w:numId w:val="1375"/>
        </w:numPr>
      </w:pPr>
      <w:r>
        <w:t xml:space="preserve">Bords des marches : </w:t>
      </w:r>
      <w:r>
        <w:rPr>
          <w:rStyle w:val="optioncarChar"/>
        </w:rPr>
        <w:t>droits </w:t>
      </w:r>
      <w:r>
        <w:t>(par défaut)</w:t>
      </w:r>
      <w:r>
        <w:rPr>
          <w:rStyle w:val="optioncarChar"/>
        </w:rPr>
        <w:t xml:space="preserve"> / arrondis (rayon de courbure : 5 / 8 mm) / ***</w:t>
      </w:r>
    </w:p>
    <w:p w14:paraId="46C9E115" w14:textId="77777777" w:rsidR="004B2808" w:rsidRDefault="00000000">
      <w:pPr>
        <w:pStyle w:val="Author-eListParagraph"/>
        <w:numPr>
          <w:ilvl w:val="1"/>
          <w:numId w:val="1375"/>
        </w:numPr>
      </w:pPr>
      <w:r>
        <w:t xml:space="preserve">Contremarches : </w:t>
      </w:r>
      <w:r>
        <w:rPr>
          <w:rStyle w:val="optioncarChar"/>
        </w:rPr>
        <w:t>profil oblique (PMR)</w:t>
      </w:r>
      <w:r>
        <w:t> (par défaut)</w:t>
      </w:r>
      <w:r>
        <w:rPr>
          <w:rStyle w:val="optioncarChar"/>
        </w:rPr>
        <w:t> / *** </w:t>
      </w:r>
    </w:p>
    <w:p w14:paraId="49CCB006" w14:textId="77777777" w:rsidR="004B2808" w:rsidRDefault="00000000">
      <w:pPr>
        <w:pStyle w:val="Author-eListParagraph"/>
        <w:numPr>
          <w:ilvl w:val="1"/>
          <w:numId w:val="1375"/>
        </w:numPr>
      </w:pPr>
      <w:r>
        <w:t xml:space="preserve">Nez de marches : </w:t>
      </w:r>
      <w:r>
        <w:rPr>
          <w:rStyle w:val="optioncarChar"/>
        </w:rPr>
        <w:t>non saillants (PMR) </w:t>
      </w:r>
      <w:r>
        <w:t>(par défaut)</w:t>
      </w:r>
      <w:r>
        <w:rPr>
          <w:rStyle w:val="optioncarChar"/>
        </w:rPr>
        <w:t> / *** </w:t>
      </w:r>
    </w:p>
    <w:p w14:paraId="4C89C0BA" w14:textId="77777777" w:rsidR="004B2808" w:rsidRDefault="00000000">
      <w:pPr>
        <w:pStyle w:val="Author-eListParagraph"/>
        <w:numPr>
          <w:ilvl w:val="0"/>
          <w:numId w:val="1373"/>
        </w:numPr>
      </w:pPr>
      <w:r>
        <w:t xml:space="preserve">Dimensions : </w:t>
      </w:r>
    </w:p>
    <w:p w14:paraId="5BB384A6" w14:textId="77777777" w:rsidR="004B2808" w:rsidRDefault="00000000">
      <w:pPr>
        <w:pStyle w:val="Author-eListParagraph"/>
        <w:numPr>
          <w:ilvl w:val="1"/>
          <w:numId w:val="1376"/>
        </w:numPr>
      </w:pPr>
      <w:r>
        <w:t xml:space="preserve">Epaisseur des marches : minimum </w:t>
      </w:r>
      <w:r>
        <w:rPr>
          <w:rStyle w:val="optioncarChar"/>
        </w:rPr>
        <w:t>35 </w:t>
      </w:r>
      <w:r>
        <w:t xml:space="preserve">(par défaut) </w:t>
      </w:r>
      <w:r>
        <w:rPr>
          <w:rStyle w:val="optioncarChar"/>
        </w:rPr>
        <w:t>/ 40 / 45 / ***</w:t>
      </w:r>
      <w:r>
        <w:t xml:space="preserve"> mm (*)</w:t>
      </w:r>
    </w:p>
    <w:p w14:paraId="10F4AF6C" w14:textId="77777777" w:rsidR="004B2808" w:rsidRDefault="00000000">
      <w:pPr>
        <w:pStyle w:val="Author-eListParagraph"/>
        <w:numPr>
          <w:ilvl w:val="1"/>
          <w:numId w:val="1376"/>
        </w:numPr>
      </w:pPr>
      <w:r>
        <w:t xml:space="preserve">Epaisseur des contremarches : minimum </w:t>
      </w:r>
      <w:r>
        <w:rPr>
          <w:rStyle w:val="optioncarChar"/>
        </w:rPr>
        <w:t>12 </w:t>
      </w:r>
      <w:r>
        <w:t>(par défaut) </w:t>
      </w:r>
      <w:r>
        <w:rPr>
          <w:rStyle w:val="optioncarChar"/>
        </w:rPr>
        <w:t>/ ***</w:t>
      </w:r>
      <w:r>
        <w:t>  mm</w:t>
      </w:r>
    </w:p>
    <w:p w14:paraId="15FA70EB" w14:textId="77777777" w:rsidR="004B2808" w:rsidRDefault="00000000">
      <w:pPr>
        <w:pStyle w:val="Author-eListParagraph"/>
        <w:numPr>
          <w:ilvl w:val="1"/>
          <w:numId w:val="1376"/>
        </w:numPr>
      </w:pPr>
      <w:r>
        <w:t xml:space="preserve">Nez de marches :  </w:t>
      </w:r>
      <w:r>
        <w:rPr>
          <w:rStyle w:val="optioncarChar"/>
        </w:rPr>
        <w:t>30</w:t>
      </w:r>
      <w:r>
        <w:t xml:space="preserve"> (par défaut) </w:t>
      </w:r>
      <w:r>
        <w:rPr>
          <w:rStyle w:val="optioncarChar"/>
        </w:rPr>
        <w:t>/ 40 / 50 / ***</w:t>
      </w:r>
      <w:r>
        <w:t xml:space="preserve"> mm (débordement par rapport aux contremarches)</w:t>
      </w:r>
    </w:p>
    <w:p w14:paraId="43CAA111" w14:textId="77777777" w:rsidR="004B2808" w:rsidRDefault="00000000">
      <w:pPr>
        <w:pStyle w:val="Author-eListParagraph"/>
        <w:numPr>
          <w:ilvl w:val="0"/>
          <w:numId w:val="1373"/>
        </w:numPr>
      </w:pPr>
      <w:r>
        <w:t xml:space="preserve">Traitement de la surface : </w:t>
      </w:r>
      <w:r>
        <w:rPr>
          <w:rStyle w:val="optioncarChar"/>
        </w:rPr>
        <w:t>non traité </w:t>
      </w:r>
      <w:r>
        <w:t>(par défaut) / *** </w:t>
      </w:r>
    </w:p>
    <w:p w14:paraId="4F91DDC5" w14:textId="77777777" w:rsidR="004B2808" w:rsidRDefault="00000000">
      <w:pPr>
        <w:pStyle w:val="Author-eListParagraph"/>
        <w:numPr>
          <w:ilvl w:val="0"/>
          <w:numId w:val="1373"/>
        </w:numPr>
      </w:pPr>
      <w:r>
        <w:t>Réaction au feu du revêtement : - </w:t>
      </w:r>
      <w:r>
        <w:rPr>
          <w:rStyle w:val="optioncarChar"/>
        </w:rPr>
        <w:t> </w:t>
      </w:r>
      <w:r>
        <w:t>(par défaut)</w:t>
      </w:r>
      <w:r>
        <w:rPr>
          <w:rStyle w:val="optioncarChar"/>
        </w:rPr>
        <w:t xml:space="preserve"> / A1 </w:t>
      </w:r>
      <w:r>
        <w:rPr>
          <w:rStyle w:val="optioncarChar"/>
          <w:vertAlign w:val="subscript"/>
        </w:rPr>
        <w:t>FL</w:t>
      </w:r>
      <w:r>
        <w:rPr>
          <w:rStyle w:val="optioncarChar"/>
        </w:rPr>
        <w:t xml:space="preserve"> / A2 </w:t>
      </w:r>
      <w:r>
        <w:rPr>
          <w:rStyle w:val="optioncarChar"/>
          <w:vertAlign w:val="subscript"/>
        </w:rPr>
        <w:t>FL</w:t>
      </w:r>
      <w:r>
        <w:rPr>
          <w:rStyle w:val="optioncarChar"/>
        </w:rPr>
        <w:t xml:space="preserve"> / B </w:t>
      </w:r>
      <w:r>
        <w:rPr>
          <w:rStyle w:val="optioncarChar"/>
          <w:vertAlign w:val="subscript"/>
        </w:rPr>
        <w:t>FL</w:t>
      </w:r>
      <w:r>
        <w:rPr>
          <w:rStyle w:val="optioncarChar"/>
        </w:rPr>
        <w:t xml:space="preserve"> / C </w:t>
      </w:r>
      <w:r>
        <w:rPr>
          <w:rStyle w:val="optioncarChar"/>
          <w:vertAlign w:val="subscript"/>
        </w:rPr>
        <w:t>FL</w:t>
      </w:r>
      <w:r>
        <w:rPr>
          <w:rStyle w:val="optioncarChar"/>
        </w:rPr>
        <w:t xml:space="preserve"> / D </w:t>
      </w:r>
      <w:r>
        <w:rPr>
          <w:rStyle w:val="optioncarChar"/>
          <w:vertAlign w:val="subscript"/>
        </w:rPr>
        <w:t>FL</w:t>
      </w:r>
      <w:r>
        <w:rPr>
          <w:rStyle w:val="optioncarChar"/>
        </w:rPr>
        <w:t> / ***</w:t>
      </w:r>
      <w:r>
        <w:t> selon la norme [NBN EN 13501-1].</w:t>
      </w:r>
    </w:p>
    <w:p w14:paraId="29F5AB2E" w14:textId="77777777" w:rsidR="004B2808" w:rsidRDefault="00000000">
      <w:pPr>
        <w:pStyle w:val="Author-eListParagraph"/>
        <w:numPr>
          <w:ilvl w:val="0"/>
          <w:numId w:val="1373"/>
        </w:numPr>
      </w:pPr>
      <w:r>
        <w:t xml:space="preserve">Clause additionnnelle : </w:t>
      </w:r>
    </w:p>
    <w:p w14:paraId="50B4CAAB" w14:textId="77777777" w:rsidR="004B2808" w:rsidRDefault="00000000">
      <w:pPr>
        <w:pStyle w:val="Author-eListParagraph"/>
        <w:numPr>
          <w:ilvl w:val="1"/>
          <w:numId w:val="1377"/>
        </w:numPr>
      </w:pPr>
      <w:r>
        <w:t xml:space="preserve">Production de fumée : </w:t>
      </w:r>
      <w:r>
        <w:rPr>
          <w:rStyle w:val="optioncarChar"/>
        </w:rPr>
        <w:t xml:space="preserve">- </w:t>
      </w:r>
      <w:r>
        <w:t>(par défaut)</w:t>
      </w:r>
      <w:r>
        <w:rPr>
          <w:rStyle w:val="optioncarChar"/>
        </w:rPr>
        <w:t xml:space="preserve"> / s1 / s2 / ***</w:t>
      </w:r>
    </w:p>
    <w:p w14:paraId="42CFDC7C" w14:textId="77777777" w:rsidR="004B2808" w:rsidRDefault="00000000">
      <w:pPr>
        <w:pStyle w:val="Author-eListParagraph"/>
        <w:numPr>
          <w:ilvl w:val="0"/>
          <w:numId w:val="1373"/>
        </w:numPr>
      </w:pPr>
      <w:r>
        <w:t>Stabilité au feu : classe </w:t>
      </w:r>
      <w:r>
        <w:rPr>
          <w:rStyle w:val="optioncarChar"/>
        </w:rPr>
        <w:t>- </w:t>
      </w:r>
      <w:r>
        <w:t>(par défaut)</w:t>
      </w:r>
      <w:r>
        <w:rPr>
          <w:rStyle w:val="optioncarChar"/>
        </w:rPr>
        <w:t xml:space="preserve"> / R30/ R60 / R120</w:t>
      </w:r>
      <w:r>
        <w:t xml:space="preserve"> selon la norme [NBN EN 13501-2]</w:t>
      </w:r>
    </w:p>
    <w:p w14:paraId="3B4A5D22" w14:textId="77777777" w:rsidR="004B2808" w:rsidRDefault="00000000">
      <w:pPr>
        <w:pStyle w:val="Author-eListParagraph"/>
        <w:numPr>
          <w:ilvl w:val="0"/>
          <w:numId w:val="1373"/>
        </w:numPr>
      </w:pPr>
      <w:r>
        <w:t xml:space="preserve">Nombre de marches par volée : </w:t>
      </w:r>
      <w:r>
        <w:rPr>
          <w:rStyle w:val="optioncarChar"/>
        </w:rPr>
        <w:t xml:space="preserve">max 17 </w:t>
      </w:r>
      <w:r>
        <w:t>(par défaut)</w:t>
      </w:r>
      <w:r>
        <w:rPr>
          <w:rStyle w:val="optioncarChar"/>
        </w:rPr>
        <w:t> / ***</w:t>
      </w:r>
    </w:p>
    <w:p w14:paraId="2EE3C442" w14:textId="77777777" w:rsidR="004B2808" w:rsidRDefault="00000000">
      <w:pPr>
        <w:jc w:val="both"/>
      </w:pPr>
      <w:r>
        <w:rPr>
          <w:b/>
        </w:rPr>
        <w:t>Marches droites ou escalier en colimaçon</w:t>
      </w:r>
    </w:p>
    <w:p w14:paraId="72ECE8D2" w14:textId="77777777" w:rsidR="004B2808" w:rsidRDefault="00000000">
      <w:pPr>
        <w:jc w:val="both"/>
      </w:pPr>
      <w:r>
        <w:t xml:space="preserve">Les éléments de l'escalier sont fabriqués en : </w:t>
      </w:r>
      <w:r>
        <w:rPr>
          <w:rStyle w:val="optioncarChar"/>
        </w:rPr>
        <w:t>hêtre</w:t>
      </w:r>
      <w:r>
        <w:t xml:space="preserve"> (par défaut)</w:t>
      </w:r>
      <w:r>
        <w:rPr>
          <w:rStyle w:val="optioncarChar"/>
        </w:rPr>
        <w:t xml:space="preserve"> / chêne / châtaignier / tilleul / douglas / épicéa / pin sylvestre / ***</w:t>
      </w:r>
      <w:r>
        <w:t>.</w:t>
      </w:r>
    </w:p>
    <w:p w14:paraId="05ACC01F" w14:textId="77777777" w:rsidR="004B2808" w:rsidRDefault="00000000">
      <w:pPr>
        <w:jc w:val="both"/>
      </w:pPr>
      <w:r>
        <w:rPr>
          <w:b/>
        </w:rPr>
        <w:t>(soit par défaut)</w:t>
      </w:r>
    </w:p>
    <w:p w14:paraId="4F53143E" w14:textId="77777777" w:rsidR="004B2808" w:rsidRDefault="00000000">
      <w:pPr>
        <w:jc w:val="both"/>
      </w:pPr>
      <w:r>
        <w:rPr>
          <w:rStyle w:val="soitChar"/>
          <w:u w:val="single"/>
        </w:rPr>
        <w:t>Hêtre</w:t>
      </w:r>
      <w:r>
        <w:rPr>
          <w:rStyle w:val="soitChar"/>
        </w:rPr>
        <w:t xml:space="preserve"> (FASY) - </w:t>
      </w:r>
      <w:r>
        <w:rPr>
          <w:rStyle w:val="soitChar"/>
          <w:i/>
        </w:rPr>
        <w:t>Fagus sylvatica L.</w:t>
      </w:r>
      <w:r>
        <w:rPr>
          <w:rStyle w:val="soitChar"/>
        </w:rPr>
        <w:t xml:space="preserve"> selon la [NBN EN 13556]. Qualité : </w:t>
      </w:r>
      <w:r>
        <w:rPr>
          <w:rStyle w:val="optioncarChar"/>
        </w:rPr>
        <w:t>1er / 2ème</w:t>
      </w:r>
      <w:r>
        <w:rPr>
          <w:rStyle w:val="soitChar"/>
        </w:rPr>
        <w:t xml:space="preserve"> choix. Le bois mis en œuvre est exempt de cœur rouge.</w:t>
      </w:r>
    </w:p>
    <w:p w14:paraId="413C6418" w14:textId="77777777" w:rsidR="004B2808" w:rsidRDefault="00000000">
      <w:pPr>
        <w:jc w:val="both"/>
      </w:pPr>
      <w:r>
        <w:t xml:space="preserve">(soit) </w:t>
      </w:r>
    </w:p>
    <w:p w14:paraId="44D8B0D4" w14:textId="77777777" w:rsidR="004B2808" w:rsidRDefault="00000000">
      <w:pPr>
        <w:jc w:val="both"/>
      </w:pPr>
      <w:r>
        <w:rPr>
          <w:rStyle w:val="soitChar"/>
          <w:u w:val="single"/>
        </w:rPr>
        <w:t>Chêne</w:t>
      </w:r>
      <w:r>
        <w:rPr>
          <w:rStyle w:val="soitChar"/>
        </w:rPr>
        <w:t xml:space="preserve"> (QCXE) – </w:t>
      </w:r>
      <w:r>
        <w:rPr>
          <w:rStyle w:val="soitChar"/>
          <w:i/>
        </w:rPr>
        <w:t>Quercus robur L. / Quercus petraea (Matt.) Liebl.</w:t>
      </w:r>
      <w:r>
        <w:rPr>
          <w:rStyle w:val="soitChar"/>
        </w:rPr>
        <w:t xml:space="preserve"> selon la [NBN EN 13556]</w:t>
      </w:r>
    </w:p>
    <w:p w14:paraId="48049320" w14:textId="77777777" w:rsidR="004B2808" w:rsidRDefault="00000000">
      <w:pPr>
        <w:jc w:val="both"/>
      </w:pPr>
      <w:r>
        <w:rPr>
          <w:b/>
        </w:rPr>
        <w:t>(soit)</w:t>
      </w:r>
    </w:p>
    <w:p w14:paraId="728D11DB" w14:textId="77777777" w:rsidR="004B2808" w:rsidRDefault="00000000">
      <w:pPr>
        <w:jc w:val="both"/>
      </w:pPr>
      <w:r>
        <w:rPr>
          <w:rStyle w:val="soitChar"/>
          <w:u w:val="single"/>
        </w:rPr>
        <w:t>Châtaignier</w:t>
      </w:r>
      <w:r>
        <w:rPr>
          <w:rStyle w:val="soitChar"/>
        </w:rPr>
        <w:t xml:space="preserve"> (CTST) - </w:t>
      </w:r>
      <w:r>
        <w:rPr>
          <w:rStyle w:val="soitChar"/>
          <w:i/>
        </w:rPr>
        <w:t>Castanea sativa Miller</w:t>
      </w:r>
      <w:r>
        <w:rPr>
          <w:rStyle w:val="soitChar"/>
        </w:rPr>
        <w:t xml:space="preserve"> selon la [NBN EN 13556]</w:t>
      </w:r>
    </w:p>
    <w:p w14:paraId="28F2F998" w14:textId="77777777" w:rsidR="004B2808" w:rsidRDefault="00000000">
      <w:pPr>
        <w:jc w:val="both"/>
      </w:pPr>
      <w:r>
        <w:rPr>
          <w:b/>
        </w:rPr>
        <w:t>(soit)</w:t>
      </w:r>
    </w:p>
    <w:p w14:paraId="0C5DF997" w14:textId="77777777" w:rsidR="004B2808" w:rsidRDefault="00000000">
      <w:pPr>
        <w:jc w:val="both"/>
      </w:pPr>
      <w:r>
        <w:rPr>
          <w:rStyle w:val="soitChar"/>
          <w:u w:val="single"/>
        </w:rPr>
        <w:t>Tilleul</w:t>
      </w:r>
      <w:r>
        <w:rPr>
          <w:rStyle w:val="soitChar"/>
        </w:rPr>
        <w:t xml:space="preserve"> (TIXX) - </w:t>
      </w:r>
      <w:r>
        <w:rPr>
          <w:rStyle w:val="soitChar"/>
          <w:i/>
        </w:rPr>
        <w:t>Tilia spp.</w:t>
      </w:r>
      <w:r>
        <w:rPr>
          <w:rStyle w:val="soitChar"/>
        </w:rPr>
        <w:t xml:space="preserve"> selon la [NBN EN 13556]</w:t>
      </w:r>
    </w:p>
    <w:p w14:paraId="0C3CC045" w14:textId="77777777" w:rsidR="004B2808" w:rsidRDefault="00000000">
      <w:pPr>
        <w:jc w:val="both"/>
      </w:pPr>
      <w:r>
        <w:rPr>
          <w:b/>
        </w:rPr>
        <w:t>(soit)</w:t>
      </w:r>
    </w:p>
    <w:p w14:paraId="11A8C334" w14:textId="77777777" w:rsidR="004B2808" w:rsidRDefault="00000000">
      <w:pPr>
        <w:jc w:val="both"/>
      </w:pPr>
      <w:r>
        <w:rPr>
          <w:rStyle w:val="soitChar"/>
          <w:u w:val="single"/>
        </w:rPr>
        <w:t>Douglas</w:t>
      </w:r>
      <w:r>
        <w:rPr>
          <w:rStyle w:val="soitChar"/>
        </w:rPr>
        <w:t xml:space="preserve"> (PSMN) - </w:t>
      </w:r>
      <w:r>
        <w:rPr>
          <w:rStyle w:val="soitChar"/>
          <w:i/>
        </w:rPr>
        <w:t>Pseudotsuga Menziesii</w:t>
      </w:r>
      <w:r>
        <w:rPr>
          <w:rStyle w:val="soitChar"/>
        </w:rPr>
        <w:t xml:space="preserve"> selon la [NBN EN 13556]</w:t>
      </w:r>
    </w:p>
    <w:p w14:paraId="125554D8" w14:textId="77777777" w:rsidR="004B2808" w:rsidRDefault="00000000">
      <w:pPr>
        <w:jc w:val="both"/>
      </w:pPr>
      <w:r>
        <w:rPr>
          <w:b/>
        </w:rPr>
        <w:lastRenderedPageBreak/>
        <w:t>(soit)</w:t>
      </w:r>
    </w:p>
    <w:p w14:paraId="6EA4A9B9" w14:textId="77777777" w:rsidR="004B2808" w:rsidRDefault="00000000">
      <w:pPr>
        <w:jc w:val="both"/>
      </w:pPr>
      <w:r>
        <w:rPr>
          <w:rStyle w:val="soitChar"/>
          <w:u w:val="single"/>
        </w:rPr>
        <w:t>Épicéa</w:t>
      </w:r>
      <w:r>
        <w:rPr>
          <w:rStyle w:val="soitChar"/>
        </w:rPr>
        <w:t xml:space="preserve"> (PCAB) - </w:t>
      </w:r>
      <w:r>
        <w:rPr>
          <w:rStyle w:val="soitChar"/>
          <w:i/>
        </w:rPr>
        <w:t>Picea abies</w:t>
      </w:r>
      <w:r>
        <w:rPr>
          <w:rStyle w:val="soitChar"/>
        </w:rPr>
        <w:t xml:space="preserve"> selon la [NBN EN 13556]</w:t>
      </w:r>
    </w:p>
    <w:p w14:paraId="3E101472" w14:textId="77777777" w:rsidR="004B2808" w:rsidRDefault="00000000">
      <w:pPr>
        <w:jc w:val="both"/>
      </w:pPr>
      <w:r>
        <w:rPr>
          <w:b/>
        </w:rPr>
        <w:t>(soit)</w:t>
      </w:r>
    </w:p>
    <w:p w14:paraId="09ED252C" w14:textId="77777777" w:rsidR="004B2808" w:rsidRDefault="00000000">
      <w:pPr>
        <w:jc w:val="both"/>
      </w:pPr>
      <w:r>
        <w:rPr>
          <w:rStyle w:val="soitChar"/>
          <w:u w:val="single"/>
        </w:rPr>
        <w:t>Pin sylvestre</w:t>
      </w:r>
      <w:r>
        <w:rPr>
          <w:rStyle w:val="soitChar"/>
        </w:rPr>
        <w:t xml:space="preserve"> (PNSY) - </w:t>
      </w:r>
      <w:r>
        <w:rPr>
          <w:rStyle w:val="soitChar"/>
          <w:i/>
        </w:rPr>
        <w:t>Pinus sylvestris</w:t>
      </w:r>
      <w:r>
        <w:rPr>
          <w:rStyle w:val="soitChar"/>
        </w:rPr>
        <w:t xml:space="preserve"> selon la [NBN EN 13556]</w:t>
      </w:r>
    </w:p>
    <w:p w14:paraId="69B7AE99" w14:textId="77777777" w:rsidR="004B2808" w:rsidRDefault="00000000">
      <w:pPr>
        <w:jc w:val="both"/>
      </w:pPr>
      <w:r>
        <w:rPr>
          <w:b/>
        </w:rPr>
        <w:t>(soit)</w:t>
      </w:r>
    </w:p>
    <w:p w14:paraId="46B20477" w14:textId="77777777" w:rsidR="004B2808" w:rsidRDefault="00000000">
      <w:pPr>
        <w:jc w:val="both"/>
      </w:pPr>
      <w:r>
        <w:rPr>
          <w:rStyle w:val="optioncarChar"/>
        </w:rPr>
        <w:t>***</w:t>
      </w:r>
    </w:p>
    <w:p w14:paraId="36621DC0" w14:textId="77777777" w:rsidR="004B2808" w:rsidRDefault="00000000">
      <w:pPr>
        <w:pStyle w:val="pheading"/>
      </w:pPr>
      <w:r>
        <w:t>- Finitions</w:t>
      </w:r>
    </w:p>
    <w:p w14:paraId="6D1C2464" w14:textId="77777777" w:rsidR="004B2808" w:rsidRDefault="00000000">
      <w:pPr>
        <w:jc w:val="both"/>
      </w:pPr>
      <w:r>
        <w:t xml:space="preserve">Finitions : </w:t>
      </w:r>
      <w:r>
        <w:rPr>
          <w:rStyle w:val="optioncarChar"/>
        </w:rPr>
        <w:t>non traitée </w:t>
      </w:r>
      <w:r>
        <w:t>(par défaut)</w:t>
      </w:r>
      <w:r>
        <w:rPr>
          <w:rStyle w:val="optioncarChar"/>
        </w:rPr>
        <w:t xml:space="preserve"> / vernie / huilée / ***</w:t>
      </w:r>
    </w:p>
    <w:p w14:paraId="6BAD01C4" w14:textId="77777777" w:rsidR="004B2808" w:rsidRDefault="00000000">
      <w:pPr>
        <w:jc w:val="both"/>
      </w:pPr>
      <w:r>
        <w:t>Brillance : </w:t>
      </w:r>
      <w:r>
        <w:rPr>
          <w:rStyle w:val="optioncarChar"/>
        </w:rPr>
        <w:t>transparent mat </w:t>
      </w:r>
      <w:r>
        <w:t>(par défaut)</w:t>
      </w:r>
      <w:r>
        <w:rPr>
          <w:rStyle w:val="optioncarChar"/>
        </w:rPr>
        <w:t xml:space="preserve"> / satiné / brillant **</w:t>
      </w:r>
    </w:p>
    <w:p w14:paraId="6729BCB4" w14:textId="77777777" w:rsidR="004B2808" w:rsidRDefault="00000000">
      <w:pPr>
        <w:jc w:val="both"/>
      </w:pPr>
      <w:r>
        <w:t>Voir 81.2 Peintures intérieures sur subjectiles en bois et dérivés du bois (feuillus, résineux, bois exotiques, panneaux)</w:t>
      </w:r>
    </w:p>
    <w:p w14:paraId="47393303" w14:textId="77777777" w:rsidR="004B2808" w:rsidRDefault="00000000">
      <w:pPr>
        <w:jc w:val="both"/>
      </w:pPr>
      <w:r>
        <w:t xml:space="preserve">La résistance à l’usure doit être mesurée conformément à la [NBN EN 13696]. La résistance est choisie conformément aux classes d’utilisation données dans la [NIT 269] ; classe de résistance des vernis : </w:t>
      </w:r>
      <w:r>
        <w:rPr>
          <w:rStyle w:val="optioncarChar"/>
        </w:rPr>
        <w:t>21 / 22 / 23 / 31 / 32 / 33</w:t>
      </w:r>
    </w:p>
    <w:p w14:paraId="7866C9F6" w14:textId="77777777" w:rsidR="004B2808" w:rsidRDefault="00000000">
      <w:pPr>
        <w:jc w:val="both"/>
      </w:pPr>
      <w:r>
        <w:t>La glissance – le coefficient de frottement minimal des girons et du nez de marche à l’intérieur doit être μ ≥ 0,3 selon [NBN EN 16165 ]. Si des valeurs R sont disponibles, une valeur R9 est suffisante.</w:t>
      </w:r>
    </w:p>
    <w:p w14:paraId="1A5ED456" w14:textId="77777777" w:rsidR="004B2808" w:rsidRDefault="00000000">
      <w:pPr>
        <w:jc w:val="both"/>
      </w:pPr>
      <w:r>
        <w:rPr>
          <w:b/>
        </w:rPr>
        <w:t>Revêtements d'escalier - bois massif</w:t>
      </w:r>
    </w:p>
    <w:p w14:paraId="4304A55C" w14:textId="77777777" w:rsidR="004B2808" w:rsidRDefault="00000000">
      <w:pPr>
        <w:jc w:val="both"/>
      </w:pPr>
      <w:r>
        <w:t xml:space="preserve">Les marches sont pourvues d'un </w:t>
      </w:r>
      <w:r>
        <w:rPr>
          <w:rStyle w:val="optioncarChar"/>
        </w:rPr>
        <w:t xml:space="preserve">revêtement antidérapant </w:t>
      </w:r>
      <w:r>
        <w:t>(par défaut)</w:t>
      </w:r>
      <w:r>
        <w:rPr>
          <w:rStyle w:val="optioncarChar"/>
        </w:rPr>
        <w:t xml:space="preserve"> / ***</w:t>
      </w:r>
    </w:p>
    <w:p w14:paraId="24488427" w14:textId="77777777" w:rsidR="004B2808" w:rsidRDefault="00000000">
      <w:pPr>
        <w:jc w:val="both"/>
      </w:pPr>
      <w:r>
        <w:t xml:space="preserve">Traitement antidérapant le cas échéant : </w:t>
      </w:r>
      <w:r>
        <w:rPr>
          <w:rStyle w:val="optioncarChar"/>
        </w:rPr>
        <w:t>ciselage</w:t>
      </w:r>
      <w:r>
        <w:t xml:space="preserve"> (par défaut)</w:t>
      </w:r>
      <w:r>
        <w:rPr>
          <w:rStyle w:val="optioncarChar"/>
        </w:rPr>
        <w:t xml:space="preserve"> / nez / bande / ***</w:t>
      </w:r>
    </w:p>
    <w:p w14:paraId="0D029BD2" w14:textId="77777777" w:rsidR="004B2808" w:rsidRDefault="00000000">
      <w:pPr>
        <w:jc w:val="both"/>
      </w:pPr>
      <w:r>
        <w:rPr>
          <w:b/>
        </w:rPr>
        <w:t>(soit par défaut)</w:t>
      </w:r>
    </w:p>
    <w:p w14:paraId="38207DFD" w14:textId="77777777" w:rsidR="004B2808" w:rsidRDefault="00000000">
      <w:pPr>
        <w:jc w:val="both"/>
      </w:pPr>
      <w:r>
        <w:rPr>
          <w:rStyle w:val="soitChar"/>
          <w:u w:val="single"/>
        </w:rPr>
        <w:t>Ciselage</w:t>
      </w:r>
      <w:r>
        <w:rPr>
          <w:rStyle w:val="soitChar"/>
        </w:rPr>
        <w:t xml:space="preserve"> antidérapant </w:t>
      </w:r>
    </w:p>
    <w:p w14:paraId="518E1D50" w14:textId="77777777" w:rsidR="004B2808" w:rsidRDefault="00000000">
      <w:pPr>
        <w:jc w:val="both"/>
      </w:pPr>
      <w:r>
        <w:rPr>
          <w:b/>
        </w:rPr>
        <w:t>(soit)</w:t>
      </w:r>
    </w:p>
    <w:p w14:paraId="54076E10" w14:textId="77777777" w:rsidR="004B2808" w:rsidRDefault="00000000">
      <w:pPr>
        <w:jc w:val="both"/>
      </w:pPr>
      <w:r>
        <w:rPr>
          <w:rStyle w:val="soitChar"/>
          <w:u w:val="single"/>
        </w:rPr>
        <w:t>Bande antidérapante</w:t>
      </w:r>
      <w:r>
        <w:rPr>
          <w:rStyle w:val="soitChar"/>
        </w:rPr>
        <w:t xml:space="preserve"> intégrée en </w:t>
      </w:r>
      <w:r>
        <w:rPr>
          <w:rStyle w:val="optioncarChar"/>
        </w:rPr>
        <w:t>carborundum</w:t>
      </w:r>
      <w:r>
        <w:t xml:space="preserve"> (par défaut) </w:t>
      </w:r>
      <w:r>
        <w:rPr>
          <w:rStyle w:val="optioncarChar"/>
        </w:rPr>
        <w:t>/ caoutchouc / PVC / ***</w:t>
      </w:r>
    </w:p>
    <w:p w14:paraId="3C163A26" w14:textId="77777777" w:rsidR="004B2808" w:rsidRDefault="00000000">
      <w:pPr>
        <w:jc w:val="both"/>
      </w:pPr>
      <w:r>
        <w:rPr>
          <w:b/>
        </w:rPr>
        <w:t>(soit)</w:t>
      </w:r>
    </w:p>
    <w:p w14:paraId="3BC19195" w14:textId="77777777" w:rsidR="004B2808" w:rsidRDefault="00000000">
      <w:pPr>
        <w:jc w:val="both"/>
      </w:pPr>
      <w:r>
        <w:rPr>
          <w:rStyle w:val="optioncarChar"/>
        </w:rPr>
        <w:t>***</w:t>
      </w:r>
    </w:p>
    <w:p w14:paraId="0BFAC970" w14:textId="77777777" w:rsidR="004B2808" w:rsidRDefault="00000000">
      <w:pPr>
        <w:jc w:val="both"/>
      </w:pPr>
      <w:r>
        <w:t>Voir 24.31.1a Escaliers monolithiques en bois</w:t>
      </w:r>
    </w:p>
    <w:p w14:paraId="2F0E8C07" w14:textId="77777777" w:rsidR="004B2808" w:rsidRDefault="00000000">
      <w:pPr>
        <w:pStyle w:val="pheading"/>
      </w:pPr>
      <w:r>
        <w:t>EXÉCUTION / MISE EN ŒUVRE</w:t>
      </w:r>
    </w:p>
    <w:p w14:paraId="5C1EC72D" w14:textId="77777777" w:rsidR="004B2808" w:rsidRDefault="00000000">
      <w:pPr>
        <w:pStyle w:val="pheading"/>
      </w:pPr>
      <w:r>
        <w:t>- Prescriptions générales</w:t>
      </w:r>
    </w:p>
    <w:p w14:paraId="23CBF300" w14:textId="77777777" w:rsidR="004B2808" w:rsidRDefault="00000000">
      <w:pPr>
        <w:jc w:val="both"/>
      </w:pPr>
      <w:r>
        <w:rPr>
          <w:b/>
        </w:rPr>
        <w:t>Mise en œuvre du bois - Assemblages</w:t>
      </w:r>
    </w:p>
    <w:p w14:paraId="6235FED2" w14:textId="77777777" w:rsidR="004B2808" w:rsidRDefault="00000000">
      <w:pPr>
        <w:pStyle w:val="Author-eListParagraph"/>
        <w:numPr>
          <w:ilvl w:val="0"/>
          <w:numId w:val="1378"/>
        </w:numPr>
      </w:pPr>
      <w:r>
        <w:t>Le taux d’humidité du bois à la sortie de l’atelier est compris entre 8 et 12%. Lorsque l’escalier est mis en œuvre dans des locaux chauffés, le taux d’humidité d’équilibre du bois se situe entre 6 et 10%.</w:t>
      </w:r>
    </w:p>
    <w:p w14:paraId="4C7DA47E" w14:textId="77777777" w:rsidR="004B2808" w:rsidRDefault="00000000">
      <w:pPr>
        <w:pStyle w:val="Author-eListParagraph"/>
        <w:numPr>
          <w:ilvl w:val="0"/>
          <w:numId w:val="1378"/>
        </w:numPr>
      </w:pPr>
      <w:r>
        <w:t xml:space="preserve">Le degré d'humidité du bois au départ de l'atelier doit être adapté en fonction du climat intérieur où l'escalier est posé : </w:t>
      </w:r>
    </w:p>
    <w:p w14:paraId="0B1C4653" w14:textId="77777777" w:rsidR="004B2808" w:rsidRDefault="00000000">
      <w:pPr>
        <w:pStyle w:val="Author-eListParagraph"/>
        <w:numPr>
          <w:ilvl w:val="1"/>
          <w:numId w:val="1379"/>
        </w:numPr>
      </w:pPr>
      <w:r>
        <w:t>locaux chauffés 6 - 10 % (moyenne 8 %)</w:t>
      </w:r>
    </w:p>
    <w:p w14:paraId="56C29BBE" w14:textId="77777777" w:rsidR="004B2808" w:rsidRDefault="00000000">
      <w:pPr>
        <w:pStyle w:val="Author-eListParagraph"/>
        <w:numPr>
          <w:ilvl w:val="1"/>
          <w:numId w:val="1379"/>
        </w:numPr>
      </w:pPr>
      <w:r>
        <w:t>locaux non chauffés 8- 12 % (moyenne 10 %)</w:t>
      </w:r>
    </w:p>
    <w:p w14:paraId="02DDADB5" w14:textId="77777777" w:rsidR="004B2808" w:rsidRDefault="00000000">
      <w:pPr>
        <w:pStyle w:val="Author-eListParagraph"/>
        <w:numPr>
          <w:ilvl w:val="0"/>
          <w:numId w:val="1378"/>
        </w:numPr>
      </w:pPr>
      <w:r>
        <w:t>Pour la mise en œuvre, toutes les parties visibles de l'escalier sont rabotées et poncées lisses.</w:t>
      </w:r>
    </w:p>
    <w:p w14:paraId="0D5D9887" w14:textId="77777777" w:rsidR="004B2808" w:rsidRDefault="00000000">
      <w:pPr>
        <w:jc w:val="both"/>
      </w:pPr>
      <w:r>
        <w:rPr>
          <w:b/>
        </w:rPr>
        <w:t>Conception de l'escalier</w:t>
      </w:r>
    </w:p>
    <w:p w14:paraId="5AB1271F" w14:textId="77777777" w:rsidR="004B2808" w:rsidRDefault="00000000">
      <w:pPr>
        <w:pStyle w:val="Author-eListParagraph"/>
        <w:numPr>
          <w:ilvl w:val="0"/>
          <w:numId w:val="1380"/>
        </w:numPr>
      </w:pPr>
      <w:r>
        <w:t xml:space="preserve">Module du pas : 2 H + G = normalement compris entre 57et 66 cm) </w:t>
      </w:r>
    </w:p>
    <w:p w14:paraId="5936A3F5" w14:textId="77777777" w:rsidR="004B2808" w:rsidRDefault="00000000">
      <w:pPr>
        <w:pStyle w:val="Author-eListParagraph"/>
        <w:numPr>
          <w:ilvl w:val="1"/>
          <w:numId w:val="1381"/>
        </w:numPr>
      </w:pPr>
      <w:r>
        <w:t xml:space="preserve">Dimensions de la hauteur (H) : </w:t>
      </w:r>
      <w:r>
        <w:rPr>
          <w:rStyle w:val="optioncarChar"/>
        </w:rPr>
        <w:t xml:space="preserve">18 </w:t>
      </w:r>
      <w:r>
        <w:t> (par défaut) </w:t>
      </w:r>
      <w:r>
        <w:rPr>
          <w:rStyle w:val="optioncarChar"/>
        </w:rPr>
        <w:t>/ *** </w:t>
      </w:r>
      <w:r>
        <w:t> cm</w:t>
      </w:r>
    </w:p>
    <w:p w14:paraId="203CC3B9" w14:textId="77777777" w:rsidR="004B2808" w:rsidRDefault="00000000">
      <w:pPr>
        <w:pStyle w:val="Author-eListParagraph"/>
        <w:numPr>
          <w:ilvl w:val="1"/>
          <w:numId w:val="1381"/>
        </w:numPr>
      </w:pPr>
      <w:r>
        <w:t xml:space="preserve">Dimensions du giron (G) : ≥ </w:t>
      </w:r>
      <w:r>
        <w:rPr>
          <w:rStyle w:val="optioncarChar"/>
        </w:rPr>
        <w:t>24</w:t>
      </w:r>
      <w:r>
        <w:t xml:space="preserve"> (par défaut)</w:t>
      </w:r>
      <w:r>
        <w:rPr>
          <w:rStyle w:val="optioncarChar"/>
        </w:rPr>
        <w:t xml:space="preserve"> / ***</w:t>
      </w:r>
      <w:r>
        <w:t xml:space="preserve"> cm</w:t>
      </w:r>
    </w:p>
    <w:p w14:paraId="562D6241" w14:textId="77777777" w:rsidR="004B2808" w:rsidRDefault="00000000">
      <w:pPr>
        <w:pStyle w:val="Author-eListParagraph"/>
        <w:numPr>
          <w:ilvl w:val="1"/>
          <w:numId w:val="1381"/>
        </w:numPr>
      </w:pPr>
      <w:r>
        <w:t>Dimensions des nez de marches (N) : </w:t>
      </w:r>
      <w:r>
        <w:rPr>
          <w:rStyle w:val="optioncarChar"/>
        </w:rPr>
        <w:t>30</w:t>
      </w:r>
      <w:r>
        <w:t xml:space="preserve"> (par défaut)</w:t>
      </w:r>
      <w:r>
        <w:rPr>
          <w:rStyle w:val="optioncarChar"/>
        </w:rPr>
        <w:t xml:space="preserve"> / 40 / 50 / ***</w:t>
      </w:r>
      <w:r>
        <w:t xml:space="preserve"> mm </w:t>
      </w:r>
    </w:p>
    <w:p w14:paraId="261F2D7C" w14:textId="77777777" w:rsidR="004B2808" w:rsidRDefault="00000000">
      <w:r>
        <w:rPr>
          <w:b/>
        </w:rPr>
        <w:lastRenderedPageBreak/>
        <w:t>Composantes (limons - poteaux - marches - rampes - …)</w:t>
      </w:r>
    </w:p>
    <w:p w14:paraId="1520A7AB" w14:textId="77777777" w:rsidR="004B2808" w:rsidRDefault="00000000">
      <w:pPr>
        <w:pStyle w:val="Author-eListParagraph"/>
        <w:numPr>
          <w:ilvl w:val="0"/>
          <w:numId w:val="1382"/>
        </w:numPr>
      </w:pPr>
      <w:r>
        <w:t>Sauf stipulation contraire dans le cahier spécial des charges ou les dessins de détail, les escaliers en bois sont toujours exécutés selon le principe des limons fraisés, dans lesquels les marches et les éventuelles contremarches sont embrevées (soit dans les limons intérieur et extérieur, soit dans un seul limon et dans le poteau). Pour les escaliers à quart tournant, dans la mesure du possible, les marches d'angle doivent être assemblées aux deux limons.</w:t>
      </w:r>
    </w:p>
    <w:p w14:paraId="20CD18C0" w14:textId="77777777" w:rsidR="004B2808" w:rsidRDefault="00000000">
      <w:pPr>
        <w:pStyle w:val="Author-eListParagraph"/>
        <w:numPr>
          <w:ilvl w:val="0"/>
          <w:numId w:val="1382"/>
        </w:numPr>
      </w:pPr>
      <w:r>
        <w:t xml:space="preserve">La structure des escaliers est de type </w:t>
      </w:r>
      <w:r>
        <w:rPr>
          <w:rStyle w:val="optioncarChar"/>
        </w:rPr>
        <w:t>à limons entaillés (escalier à la française) / à crémaillère (escalier à l’anglaise) / à limon de jour à crémaillère/ suspendu / à noyau / ***</w:t>
      </w:r>
    </w:p>
    <w:p w14:paraId="773B381E" w14:textId="77777777" w:rsidR="004B2808" w:rsidRDefault="00000000">
      <w:pPr>
        <w:pStyle w:val="Author-eListParagraph"/>
        <w:numPr>
          <w:ilvl w:val="0"/>
          <w:numId w:val="1382"/>
        </w:numPr>
      </w:pPr>
      <w:r>
        <w:t xml:space="preserve">En fonction de la forme de l'escalier (droit (PMR), tournant, en colimaçon), on établit une distinction entre les marches composées de : </w:t>
      </w:r>
    </w:p>
    <w:p w14:paraId="35E4C3D8" w14:textId="77777777" w:rsidR="004B2808" w:rsidRDefault="00000000">
      <w:pPr>
        <w:pStyle w:val="Author-eListParagraph"/>
        <w:numPr>
          <w:ilvl w:val="1"/>
          <w:numId w:val="1383"/>
        </w:numPr>
      </w:pPr>
      <w:r>
        <w:t>escaliers droits (PMR) : deux limons (limons intérieurs et/ou extérieurs) dans lesquels les marches sont embrevées.</w:t>
      </w:r>
    </w:p>
    <w:p w14:paraId="243A1381" w14:textId="77777777" w:rsidR="004B2808" w:rsidRDefault="00000000">
      <w:pPr>
        <w:pStyle w:val="Author-eListParagraph"/>
        <w:numPr>
          <w:ilvl w:val="1"/>
          <w:numId w:val="1383"/>
        </w:numPr>
      </w:pPr>
      <w:r>
        <w:t>escaliers tournants à marches balancées, une combinaison de limons et de poteau sur lesquels les marches s'appuient.</w:t>
      </w:r>
    </w:p>
    <w:p w14:paraId="630B1421" w14:textId="77777777" w:rsidR="004B2808" w:rsidRDefault="00000000">
      <w:pPr>
        <w:pStyle w:val="Author-eListParagraph"/>
        <w:numPr>
          <w:ilvl w:val="1"/>
          <w:numId w:val="1383"/>
        </w:numPr>
      </w:pPr>
      <w:r>
        <w:t>escaliers en colimaçon.</w:t>
      </w:r>
    </w:p>
    <w:p w14:paraId="3B100EC7" w14:textId="77777777" w:rsidR="004B2808" w:rsidRDefault="00000000">
      <w:pPr>
        <w:jc w:val="both"/>
      </w:pPr>
      <w:r>
        <w:rPr>
          <w:b/>
        </w:rPr>
        <w:t>Limons d'escalier</w:t>
      </w:r>
    </w:p>
    <w:p w14:paraId="7213CB7F" w14:textId="77777777" w:rsidR="004B2808" w:rsidRDefault="00000000">
      <w:pPr>
        <w:pStyle w:val="Author-eListParagraph"/>
        <w:numPr>
          <w:ilvl w:val="0"/>
          <w:numId w:val="1384"/>
        </w:numPr>
      </w:pPr>
      <w:r>
        <w:t>La forme des limons d'escalier est adaptée au tracé de l'escalier et au balancement des marches.</w:t>
      </w:r>
    </w:p>
    <w:p w14:paraId="7C72B3DB" w14:textId="77777777" w:rsidR="004B2808" w:rsidRDefault="00000000">
      <w:pPr>
        <w:pStyle w:val="Author-eListParagraph"/>
        <w:numPr>
          <w:ilvl w:val="0"/>
          <w:numId w:val="1384"/>
        </w:numPr>
      </w:pPr>
      <w:r>
        <w:t xml:space="preserve">En fonction de la largeur de l'escalier, l'épaisseur des contre-limons est ≥ </w:t>
      </w:r>
      <w:r>
        <w:rPr>
          <w:rStyle w:val="optioncarChar"/>
        </w:rPr>
        <w:t>35</w:t>
      </w:r>
      <w:r>
        <w:t xml:space="preserve"> (par défaut) </w:t>
      </w:r>
      <w:r>
        <w:rPr>
          <w:rStyle w:val="optioncarChar"/>
        </w:rPr>
        <w:t>/ 40 / ***</w:t>
      </w:r>
      <w:r>
        <w:t xml:space="preserve"> mm ; l'épaisseur des limons intérieurs est adaptée à la résistance nécessaire à la construction et/ou à l'épaisseur des balustres à recevoir et est ≥ </w:t>
      </w:r>
      <w:r>
        <w:rPr>
          <w:rStyle w:val="optioncarChar"/>
        </w:rPr>
        <w:t>40</w:t>
      </w:r>
      <w:r>
        <w:t xml:space="preserve"> (par défaut) </w:t>
      </w:r>
      <w:r>
        <w:rPr>
          <w:rStyle w:val="optioncarChar"/>
        </w:rPr>
        <w:t>/ 45 ***</w:t>
      </w:r>
      <w:r>
        <w:t xml:space="preserve"> mm.</w:t>
      </w:r>
    </w:p>
    <w:p w14:paraId="576AC7FA" w14:textId="77777777" w:rsidR="004B2808" w:rsidRDefault="00000000">
      <w:pPr>
        <w:pStyle w:val="Author-eListParagraph"/>
        <w:numPr>
          <w:ilvl w:val="0"/>
          <w:numId w:val="1384"/>
        </w:numPr>
      </w:pPr>
      <w:r>
        <w:t xml:space="preserve">La hauteur à prévoir pour les limons dépend des dimensions des marches à encastrer. La distance entre les angles des marches et la partie supérieure et inférieure du limon doit être ≥ </w:t>
      </w:r>
      <w:r>
        <w:rPr>
          <w:rStyle w:val="optioncarChar"/>
        </w:rPr>
        <w:t>10 </w:t>
      </w:r>
      <w:r>
        <w:t>(par défaut)</w:t>
      </w:r>
      <w:r>
        <w:rPr>
          <w:rStyle w:val="optioncarChar"/>
        </w:rPr>
        <w:t xml:space="preserve"> / 15 / 20 / ***</w:t>
      </w:r>
      <w:r>
        <w:t xml:space="preserve"> mm, mesure prise perpendiculairement à la pente de l'escalier. Pour les escaliers fermés, le bas de limons peut toutefois se situer dans le même plan que le bas des marches.</w:t>
      </w:r>
    </w:p>
    <w:p w14:paraId="36869F8E" w14:textId="77777777" w:rsidR="004B2808" w:rsidRDefault="00000000">
      <w:pPr>
        <w:pStyle w:val="Author-eListParagraph"/>
        <w:numPr>
          <w:ilvl w:val="0"/>
          <w:numId w:val="1384"/>
        </w:numPr>
      </w:pPr>
      <w:r>
        <w:t>Les limons droits sont toujours réalisés d'un seul tenant. Lorsque cela s'avère impossible, les pièces à rainure et languette sont assemblées par entures multiples et collées ou exécutées en bois lamellé-collé.</w:t>
      </w:r>
    </w:p>
    <w:p w14:paraId="65A3ED57" w14:textId="77777777" w:rsidR="004B2808" w:rsidRDefault="00000000">
      <w:pPr>
        <w:pStyle w:val="Author-eListParagraph"/>
        <w:numPr>
          <w:ilvl w:val="0"/>
          <w:numId w:val="1384"/>
        </w:numPr>
      </w:pPr>
      <w:r>
        <w:t>Pour les déplacements de limons, les pièces successives sont assemblées à tenon et mortaise. Les assemblages sont renforcés à l'aide de chevilles ou de vis à tête fraisée qui transpercent le tenon. La face vue est achevée à l'aide d'un bouchon en bois.</w:t>
      </w:r>
    </w:p>
    <w:p w14:paraId="5CD50BE1" w14:textId="77777777" w:rsidR="004B2808" w:rsidRDefault="00000000">
      <w:pPr>
        <w:pStyle w:val="Author-eListParagraph"/>
        <w:numPr>
          <w:ilvl w:val="0"/>
          <w:numId w:val="1384"/>
        </w:numPr>
      </w:pPr>
      <w:r>
        <w:t>Les faux-limons sont solidement ancrés dans le mur à l'aide de boulons à cheville, enfoncés au moins de 12 mm dans le bois. Le trou est ensuite bouché à l'aide d'un bouchon en bois collé.</w:t>
      </w:r>
    </w:p>
    <w:p w14:paraId="74359871" w14:textId="77777777" w:rsidR="004B2808" w:rsidRDefault="00000000">
      <w:pPr>
        <w:pStyle w:val="Author-eListParagraph"/>
        <w:numPr>
          <w:ilvl w:val="0"/>
          <w:numId w:val="1384"/>
        </w:numPr>
      </w:pPr>
      <w:r>
        <w:t xml:space="preserve">La jonction entre le revêtement du mur et les contre-limons se fait : avec </w:t>
      </w:r>
      <w:r>
        <w:rPr>
          <w:rStyle w:val="optioncarChar"/>
        </w:rPr>
        <w:t>listel</w:t>
      </w:r>
      <w:r>
        <w:t xml:space="preserve"> (par défaut) </w:t>
      </w:r>
      <w:r>
        <w:rPr>
          <w:rStyle w:val="optioncarChar"/>
        </w:rPr>
        <w:t>/ plinthe / ***</w:t>
      </w:r>
    </w:p>
    <w:p w14:paraId="472621DC" w14:textId="77777777" w:rsidR="004B2808" w:rsidRDefault="00000000">
      <w:pPr>
        <w:ind w:left="567"/>
      </w:pPr>
      <w:r>
        <w:rPr>
          <w:b/>
        </w:rPr>
        <w:t>(soit par défaut)</w:t>
      </w:r>
      <w:r>
        <w:br/>
      </w:r>
      <w:r>
        <w:rPr>
          <w:rStyle w:val="soitChar"/>
          <w:u w:val="single"/>
        </w:rPr>
        <w:t>Listel</w:t>
      </w:r>
      <w:r>
        <w:rPr>
          <w:rStyle w:val="soitChar"/>
        </w:rPr>
        <w:t xml:space="preserve"> d'environ </w:t>
      </w:r>
      <w:r>
        <w:rPr>
          <w:rStyle w:val="optioncarChar"/>
        </w:rPr>
        <w:t>30 x 6 </w:t>
      </w:r>
      <w:r>
        <w:t>(par défaut)</w:t>
      </w:r>
      <w:r>
        <w:rPr>
          <w:rStyle w:val="optioncarChar"/>
        </w:rPr>
        <w:t> / ***</w:t>
      </w:r>
      <w:r>
        <w:rPr>
          <w:rStyle w:val="soitChar"/>
        </w:rPr>
        <w:t xml:space="preserve"> mm</w:t>
      </w:r>
      <w:r>
        <w:br/>
      </w:r>
      <w:r>
        <w:rPr>
          <w:b/>
        </w:rPr>
        <w:t>(soit)</w:t>
      </w:r>
      <w:r>
        <w:br/>
      </w:r>
      <w:r>
        <w:rPr>
          <w:rStyle w:val="soitChar"/>
          <w:u w:val="single"/>
        </w:rPr>
        <w:t>Plinthe</w:t>
      </w:r>
      <w:r>
        <w:rPr>
          <w:rStyle w:val="soitChar"/>
        </w:rPr>
        <w:t xml:space="preserve"> continue, similaire à celle des paliers et/ou de la cage d'escalier.</w:t>
      </w:r>
      <w:r>
        <w:br/>
      </w:r>
      <w:r>
        <w:rPr>
          <w:b/>
        </w:rPr>
        <w:t>(soit)</w:t>
      </w:r>
      <w:r>
        <w:br/>
      </w:r>
      <w:r>
        <w:rPr>
          <w:rStyle w:val="optioncarChar"/>
        </w:rPr>
        <w:t>***</w:t>
      </w:r>
    </w:p>
    <w:p w14:paraId="1CEDC3AD" w14:textId="77777777" w:rsidR="004B2808" w:rsidRDefault="00000000">
      <w:pPr>
        <w:jc w:val="both"/>
      </w:pPr>
      <w:r>
        <w:rPr>
          <w:b/>
        </w:rPr>
        <w:t>Poteaux</w:t>
      </w:r>
    </w:p>
    <w:p w14:paraId="687873A6" w14:textId="77777777" w:rsidR="004B2808" w:rsidRDefault="00000000">
      <w:pPr>
        <w:jc w:val="both"/>
      </w:pPr>
      <w:r>
        <w:t xml:space="preserve">L'assemblage des limons aux éventuels poteaux se fait par mise en oeuvre sur </w:t>
      </w:r>
      <w:r>
        <w:rPr>
          <w:rStyle w:val="optioncarChar"/>
        </w:rPr>
        <w:t>le sol</w:t>
      </w:r>
      <w:r>
        <w:t xml:space="preserve"> (par défaut)</w:t>
      </w:r>
      <w:r>
        <w:rPr>
          <w:rStyle w:val="optioncarChar"/>
        </w:rPr>
        <w:t xml:space="preserve"> / la première marche</w:t>
      </w:r>
    </w:p>
    <w:p w14:paraId="6FF9A329" w14:textId="77777777" w:rsidR="004B2808" w:rsidRDefault="00000000">
      <w:pPr>
        <w:jc w:val="both"/>
      </w:pPr>
      <w:r>
        <w:rPr>
          <w:b/>
        </w:rPr>
        <w:t>(soit par défaut)</w:t>
      </w:r>
    </w:p>
    <w:p w14:paraId="56F53F66" w14:textId="77777777" w:rsidR="004B2808" w:rsidRDefault="00000000">
      <w:pPr>
        <w:jc w:val="both"/>
      </w:pPr>
      <w:r>
        <w:rPr>
          <w:rStyle w:val="soitChar"/>
          <w:u w:val="single"/>
        </w:rPr>
        <w:t>Par mise en oeuvre sur le sol</w:t>
      </w:r>
      <w:r>
        <w:rPr>
          <w:rStyle w:val="soitChar"/>
        </w:rPr>
        <w:t xml:space="preserve"> à l'aide d'un assemblage par tenon et mortaise. Le tenon est fixé dans le poteau à l'aide d'une cheville ou de vis à tête fraisée. Les poteaux en bois sont désolidarisés du sol en pierre à l'aide d'une pièce en matière synthétique.</w:t>
      </w:r>
    </w:p>
    <w:p w14:paraId="198E0E4A" w14:textId="77777777" w:rsidR="004B2808" w:rsidRDefault="00000000">
      <w:pPr>
        <w:jc w:val="both"/>
      </w:pPr>
      <w:r>
        <w:rPr>
          <w:b/>
        </w:rPr>
        <w:t>(soit)</w:t>
      </w:r>
    </w:p>
    <w:p w14:paraId="79C6E560" w14:textId="77777777" w:rsidR="004B2808" w:rsidRDefault="00000000">
      <w:pPr>
        <w:jc w:val="both"/>
      </w:pPr>
      <w:r>
        <w:rPr>
          <w:rStyle w:val="soitChar"/>
          <w:u w:val="single"/>
        </w:rPr>
        <w:lastRenderedPageBreak/>
        <w:t>Par mise en oeuvre sur la première marche.</w:t>
      </w:r>
    </w:p>
    <w:p w14:paraId="5E5A926D" w14:textId="77777777" w:rsidR="004B2808" w:rsidRDefault="00000000">
      <w:pPr>
        <w:jc w:val="both"/>
      </w:pPr>
      <w:r>
        <w:rPr>
          <w:b/>
        </w:rPr>
        <w:t>Marches</w:t>
      </w:r>
    </w:p>
    <w:p w14:paraId="53B057DB" w14:textId="77777777" w:rsidR="004B2808" w:rsidRDefault="00000000">
      <w:pPr>
        <w:pStyle w:val="Author-eListParagraph"/>
        <w:numPr>
          <w:ilvl w:val="0"/>
          <w:numId w:val="1385"/>
        </w:numPr>
      </w:pPr>
      <w:r>
        <w:t>Les marches sont embrevées sur une profondeur de 10 mm au moins dans les limons ; à cet effet, elles sont légèrement biseautées aux extrémités pour s’ajuster dans les limons.</w:t>
      </w:r>
    </w:p>
    <w:p w14:paraId="2F275ADB" w14:textId="77777777" w:rsidR="004B2808" w:rsidRDefault="00000000">
      <w:pPr>
        <w:pStyle w:val="Author-eListParagraph"/>
        <w:numPr>
          <w:ilvl w:val="0"/>
          <w:numId w:val="1385"/>
        </w:numPr>
      </w:pPr>
      <w:r>
        <w:t>Les marches sont serrées et clouées dans les limons après avoir perforé les trous. Pour les faux-limons, on cloue au travers du limon. Les limons intérieurs sont cloués à l'aveugle. Lorsque le cahier spécial des charges le précise, on peut également utiliser des vis cachées, les trous étant alors bouchés par des bouchons en bois collés.</w:t>
      </w:r>
    </w:p>
    <w:p w14:paraId="13D5456C" w14:textId="77777777" w:rsidR="004B2808" w:rsidRDefault="00000000">
      <w:pPr>
        <w:pStyle w:val="Author-eListParagraph"/>
        <w:numPr>
          <w:ilvl w:val="0"/>
          <w:numId w:val="1385"/>
        </w:numPr>
      </w:pPr>
      <w:r>
        <w:t>Les marches palières permettent de soigner le raccord avec le plancher de l'étage. Elles reposent au moins de 20 à 60 mm sur la dalle de sol et sont calées afin d'arriver au même niveau que la finition du sol. Les lattes palières sont clouées, les clous enfoncés et les trous bouchés à la pâte de bois.</w:t>
      </w:r>
    </w:p>
    <w:p w14:paraId="77D50D1C" w14:textId="77777777" w:rsidR="004B2808" w:rsidRDefault="00000000">
      <w:pPr>
        <w:jc w:val="both"/>
      </w:pPr>
      <w:r>
        <w:rPr>
          <w:b/>
        </w:rPr>
        <w:t>Contremarches</w:t>
      </w:r>
    </w:p>
    <w:p w14:paraId="4364D2F3" w14:textId="77777777" w:rsidR="004B2808" w:rsidRDefault="00000000">
      <w:pPr>
        <w:pStyle w:val="Author-eListParagraph"/>
        <w:numPr>
          <w:ilvl w:val="0"/>
          <w:numId w:val="1386"/>
        </w:numPr>
      </w:pPr>
      <w:r>
        <w:t xml:space="preserve">Les nez des marches débordent de </w:t>
      </w:r>
      <w:r>
        <w:rPr>
          <w:rStyle w:val="optioncarChar"/>
        </w:rPr>
        <w:t xml:space="preserve">30 </w:t>
      </w:r>
      <w:r>
        <w:t xml:space="preserve">(par défaut) </w:t>
      </w:r>
      <w:r>
        <w:rPr>
          <w:rStyle w:val="optioncarChar"/>
        </w:rPr>
        <w:t>/ min 40 / min 50 / ***</w:t>
      </w:r>
      <w:r>
        <w:t xml:space="preserve"> mm par rapport à la face avant des contremarches. Les nez des marches sont selon le dessin de détail.: </w:t>
      </w:r>
    </w:p>
    <w:p w14:paraId="0DFD7DC9" w14:textId="77777777" w:rsidR="004B2808" w:rsidRDefault="00000000">
      <w:pPr>
        <w:pStyle w:val="Author-eListParagraph"/>
        <w:numPr>
          <w:ilvl w:val="1"/>
          <w:numId w:val="1387"/>
        </w:numPr>
      </w:pPr>
      <w:r>
        <w:rPr>
          <w:rStyle w:val="optioncarChar"/>
        </w:rPr>
        <w:t xml:space="preserve">non saillants </w:t>
      </w:r>
      <w:r>
        <w:t>(PMR) </w:t>
      </w:r>
      <w:r>
        <w:rPr>
          <w:rStyle w:val="optioncarChar"/>
        </w:rPr>
        <w:t>(par défaut) / ***  </w:t>
      </w:r>
    </w:p>
    <w:p w14:paraId="50CF42C3" w14:textId="77777777" w:rsidR="004B2808" w:rsidRDefault="00000000">
      <w:pPr>
        <w:pStyle w:val="Author-eListParagraph"/>
        <w:numPr>
          <w:ilvl w:val="1"/>
          <w:numId w:val="1387"/>
        </w:numPr>
      </w:pPr>
      <w:r>
        <w:rPr>
          <w:rStyle w:val="optioncarChar"/>
        </w:rPr>
        <w:t>légèrement arrondis</w:t>
      </w:r>
      <w:r>
        <w:t xml:space="preserve"> (par défaut) </w:t>
      </w:r>
      <w:r>
        <w:rPr>
          <w:rStyle w:val="optioncarChar"/>
        </w:rPr>
        <w:t>/ profilés / *** </w:t>
      </w:r>
    </w:p>
    <w:p w14:paraId="3A411C44" w14:textId="77777777" w:rsidR="004B2808" w:rsidRDefault="00000000">
      <w:pPr>
        <w:pStyle w:val="Author-eListParagraph"/>
        <w:numPr>
          <w:ilvl w:val="0"/>
          <w:numId w:val="1386"/>
        </w:numPr>
      </w:pPr>
      <w:r>
        <w:t xml:space="preserve">Les éventuelles contremarches peuvent être prévues en </w:t>
      </w:r>
      <w:r>
        <w:rPr>
          <w:rStyle w:val="optioncarChar"/>
        </w:rPr>
        <w:t xml:space="preserve">bois massif </w:t>
      </w:r>
      <w:r>
        <w:t xml:space="preserve">(par défaut) </w:t>
      </w:r>
      <w:r>
        <w:rPr>
          <w:rStyle w:val="optioncarChar"/>
        </w:rPr>
        <w:t>/ contreplaqué / ***</w:t>
      </w:r>
      <w:r>
        <w:br/>
      </w:r>
      <w:r>
        <w:rPr>
          <w:b/>
        </w:rPr>
        <w:t>(soit par défaut)</w:t>
      </w:r>
      <w:r>
        <w:br/>
      </w:r>
      <w:r>
        <w:rPr>
          <w:rStyle w:val="soitChar"/>
          <w:u w:val="single"/>
        </w:rPr>
        <w:t>Bois massif</w:t>
      </w:r>
      <w:r>
        <w:rPr>
          <w:rStyle w:val="soitChar"/>
        </w:rPr>
        <w:t xml:space="preserve"> raboté d'une épaisseur minimale de </w:t>
      </w:r>
      <w:r>
        <w:rPr>
          <w:rStyle w:val="optioncarChar"/>
        </w:rPr>
        <w:t>12 </w:t>
      </w:r>
      <w:r>
        <w:t>(par défaut)</w:t>
      </w:r>
      <w:r>
        <w:rPr>
          <w:rStyle w:val="optioncarChar"/>
        </w:rPr>
        <w:t xml:space="preserve"> / 16 / 18 / ***</w:t>
      </w:r>
      <w:r>
        <w:rPr>
          <w:rStyle w:val="soitChar"/>
        </w:rPr>
        <w:t xml:space="preserve"> mm.</w:t>
      </w:r>
      <w:r>
        <w:br/>
      </w:r>
      <w:r>
        <w:rPr>
          <w:b/>
        </w:rPr>
        <w:t>(soit)</w:t>
      </w:r>
      <w:r>
        <w:br/>
      </w:r>
      <w:r>
        <w:rPr>
          <w:rStyle w:val="soitChar"/>
          <w:u w:val="single"/>
        </w:rPr>
        <w:t>Plaque de contreplaqué</w:t>
      </w:r>
      <w:r>
        <w:rPr>
          <w:rStyle w:val="soitChar"/>
        </w:rPr>
        <w:t xml:space="preserve">, d'une épaisseur minimale de </w:t>
      </w:r>
      <w:r>
        <w:rPr>
          <w:rStyle w:val="optioncarChar"/>
        </w:rPr>
        <w:t>12 </w:t>
      </w:r>
      <w:r>
        <w:t xml:space="preserve">(par défaut) </w:t>
      </w:r>
      <w:r>
        <w:rPr>
          <w:rStyle w:val="optioncarChar"/>
        </w:rPr>
        <w:t>/ 16 / ***</w:t>
      </w:r>
      <w:r>
        <w:rPr>
          <w:rStyle w:val="soitChar"/>
        </w:rPr>
        <w:t xml:space="preserve"> mm, face vue plaquée dans la même essence.</w:t>
      </w:r>
      <w:r>
        <w:br/>
      </w:r>
      <w:r>
        <w:rPr>
          <w:b/>
        </w:rPr>
        <w:t>(soit)</w:t>
      </w:r>
      <w:r>
        <w:br/>
      </w:r>
      <w:r>
        <w:rPr>
          <w:rStyle w:val="optioncarChar"/>
        </w:rPr>
        <w:t>***</w:t>
      </w:r>
    </w:p>
    <w:p w14:paraId="6EE625FB" w14:textId="77777777" w:rsidR="004B2808" w:rsidRDefault="00000000">
      <w:pPr>
        <w:pStyle w:val="Author-eListParagraph"/>
        <w:numPr>
          <w:ilvl w:val="0"/>
          <w:numId w:val="1386"/>
        </w:numPr>
      </w:pPr>
      <w:r>
        <w:t xml:space="preserve">Les contremarches sont embrevées sur une profondeur de 10 mm au moins dans les limons ; à cet effet, elles sont légèrement biseautées aux extrémités pour s’ajuster dans les limons. Dans la face inférieure des marches, une rainure est découpée pour loger les contremarches; la profondeur de ce logement est ≥ </w:t>
      </w:r>
      <w:r>
        <w:rPr>
          <w:rStyle w:val="optioncarChar"/>
        </w:rPr>
        <w:t>10 </w:t>
      </w:r>
      <w:r>
        <w:t>(par défaut)</w:t>
      </w:r>
      <w:r>
        <w:rPr>
          <w:rStyle w:val="optioncarChar"/>
        </w:rPr>
        <w:t> / ***</w:t>
      </w:r>
      <w:r>
        <w:t>  mm.</w:t>
      </w:r>
    </w:p>
    <w:p w14:paraId="0E4C00C1" w14:textId="77777777" w:rsidR="004B2808" w:rsidRDefault="00000000">
      <w:pPr>
        <w:ind w:left="567"/>
        <w:jc w:val="both"/>
      </w:pPr>
      <w:r>
        <w:t xml:space="preserve">Tête de contremarches : </w:t>
      </w:r>
      <w:r>
        <w:rPr>
          <w:rStyle w:val="optioncarChar"/>
        </w:rPr>
        <w:t>arrondies</w:t>
      </w:r>
      <w:r>
        <w:t xml:space="preserve"> (par défaut)</w:t>
      </w:r>
      <w:r>
        <w:rPr>
          <w:rStyle w:val="optioncarChar"/>
        </w:rPr>
        <w:t xml:space="preserve"> / planes</w:t>
      </w:r>
    </w:p>
    <w:p w14:paraId="14C59540" w14:textId="77777777" w:rsidR="004B2808" w:rsidRDefault="00000000">
      <w:pPr>
        <w:ind w:left="567"/>
        <w:jc w:val="both"/>
      </w:pPr>
      <w:r>
        <w:rPr>
          <w:b/>
        </w:rPr>
        <w:t>(soit par défaut)  </w:t>
      </w:r>
    </w:p>
    <w:p w14:paraId="7AFB875F" w14:textId="77777777" w:rsidR="004B2808" w:rsidRDefault="00000000">
      <w:pPr>
        <w:ind w:left="567"/>
        <w:jc w:val="both"/>
      </w:pPr>
      <w:r>
        <w:rPr>
          <w:rStyle w:val="soitChar"/>
          <w:u w:val="single"/>
        </w:rPr>
        <w:t>Arrondie :</w:t>
      </w:r>
      <w:r>
        <w:rPr>
          <w:rStyle w:val="soitChar"/>
        </w:rPr>
        <w:t xml:space="preserve"> la tête des contremarches est légèrement arrondie lors du ponçage. Lors du serrage, les contremarches sont clouées à la marche inférieure ; après le desserrage, les contremarches sont clouées dans la marche supérieure.</w:t>
      </w:r>
    </w:p>
    <w:p w14:paraId="1E854086" w14:textId="77777777" w:rsidR="004B2808" w:rsidRDefault="00000000">
      <w:pPr>
        <w:ind w:left="567"/>
        <w:jc w:val="both"/>
      </w:pPr>
      <w:r>
        <w:rPr>
          <w:b/>
        </w:rPr>
        <w:t xml:space="preserve"> (soit)</w:t>
      </w:r>
    </w:p>
    <w:p w14:paraId="790915A4" w14:textId="77777777" w:rsidR="004B2808" w:rsidRDefault="00000000">
      <w:pPr>
        <w:ind w:left="567"/>
        <w:jc w:val="both"/>
      </w:pPr>
      <w:r>
        <w:rPr>
          <w:rStyle w:val="soitChar"/>
          <w:u w:val="single"/>
        </w:rPr>
        <w:t>Plane :</w:t>
      </w:r>
      <w:r>
        <w:rPr>
          <w:rStyle w:val="soitChar"/>
        </w:rPr>
        <w:t xml:space="preserve"> la tête des contremarches reste plane. Lors du serrage, les contremarches sont fixées à la marche inférieure au moyen de clous ; des lattes verticales de </w:t>
      </w:r>
      <w:r>
        <w:rPr>
          <w:rStyle w:val="optioncarChar"/>
        </w:rPr>
        <w:t>22 x 70 </w:t>
      </w:r>
      <w:r>
        <w:t>(par défaut)</w:t>
      </w:r>
      <w:r>
        <w:rPr>
          <w:rStyle w:val="optioncarChar"/>
        </w:rPr>
        <w:t xml:space="preserve"> / 22 x 100 / ***</w:t>
      </w:r>
      <w:r>
        <w:rPr>
          <w:rStyle w:val="soitChar"/>
        </w:rPr>
        <w:t xml:space="preserve"> mm destinées à éviter le craquement des marches sont placées à la face arrière des contremarches de telle sorte que la marche supérieure prenne appui sur les surfaces de bout de ces lattes.</w:t>
      </w:r>
    </w:p>
    <w:p w14:paraId="6C9020EC" w14:textId="77777777" w:rsidR="004B2808" w:rsidRDefault="00000000">
      <w:pPr>
        <w:pStyle w:val="Author-eListParagraph"/>
        <w:numPr>
          <w:ilvl w:val="0"/>
          <w:numId w:val="1388"/>
        </w:numPr>
      </w:pPr>
      <w:r>
        <w:t xml:space="preserve">Les angles supérieurs entre les marches et les contremarches sont achevés avec des listels d'une section de </w:t>
      </w:r>
      <w:r>
        <w:rPr>
          <w:rStyle w:val="optioncarChar"/>
        </w:rPr>
        <w:t>10 x 10 </w:t>
      </w:r>
      <w:r>
        <w:t>(par défaut)</w:t>
      </w:r>
      <w:r>
        <w:rPr>
          <w:rStyle w:val="optioncarChar"/>
        </w:rPr>
        <w:t xml:space="preserve"> / ***</w:t>
      </w:r>
      <w:r>
        <w:t xml:space="preserve"> mm.  </w:t>
      </w:r>
    </w:p>
    <w:p w14:paraId="704BF0BF" w14:textId="77777777" w:rsidR="004B2808" w:rsidRDefault="00000000">
      <w:pPr>
        <w:jc w:val="both"/>
      </w:pPr>
      <w:r>
        <w:rPr>
          <w:b/>
        </w:rPr>
        <w:t>Paliers</w:t>
      </w:r>
    </w:p>
    <w:p w14:paraId="2C5FC8B2" w14:textId="77777777" w:rsidR="004B2808" w:rsidRDefault="00000000">
      <w:pPr>
        <w:pStyle w:val="Author-eListParagraph"/>
        <w:numPr>
          <w:ilvl w:val="0"/>
          <w:numId w:val="1389"/>
        </w:numPr>
      </w:pPr>
      <w:r>
        <w:t>Les paliers sont en principe construits dans la même essence de bois que l'escalier.</w:t>
      </w:r>
    </w:p>
    <w:p w14:paraId="71A3317F" w14:textId="77777777" w:rsidR="004B2808" w:rsidRDefault="00000000">
      <w:pPr>
        <w:pStyle w:val="Author-eListParagraph"/>
        <w:numPr>
          <w:ilvl w:val="0"/>
          <w:numId w:val="1389"/>
        </w:numPr>
      </w:pPr>
      <w:r>
        <w:t>La hauteur des poutres est d'au moins 15 cm, l'épaisseur est au moins égale à celle des limons. Les poutres pénètrent d'au moins 10 cm dans la maçonnerie et la distance d'axe en axe ne dépasse pas 40 cm. Les enchevêtrements apparents sont exécutés à entures cachées et assemblés avec des boulons cachés. Les trous des têtes sont bouchés avec des bouchons  collés.</w:t>
      </w:r>
    </w:p>
    <w:p w14:paraId="1CAED75D" w14:textId="77777777" w:rsidR="004B2808" w:rsidRDefault="00000000">
      <w:pPr>
        <w:pStyle w:val="Author-eListParagraph"/>
        <w:numPr>
          <w:ilvl w:val="0"/>
          <w:numId w:val="1389"/>
        </w:numPr>
      </w:pPr>
      <w:r>
        <w:lastRenderedPageBreak/>
        <w:t>Lorsque la construction n'est pas apparente (escaliers fermés), elle peut être conçue en croix de Saint-André.</w:t>
      </w:r>
    </w:p>
    <w:p w14:paraId="7A88D8EF" w14:textId="77777777" w:rsidR="004B2808" w:rsidRDefault="00000000">
      <w:pPr>
        <w:pStyle w:val="Author-eListParagraph"/>
        <w:numPr>
          <w:ilvl w:val="0"/>
          <w:numId w:val="1389"/>
        </w:numPr>
      </w:pPr>
      <w:r>
        <w:t xml:space="preserve">Le revêtement du palier se compose de planches en </w:t>
      </w:r>
      <w:r>
        <w:rPr>
          <w:rStyle w:val="optioncarChar"/>
        </w:rPr>
        <w:t>bois plein assemblées par rainure et languette</w:t>
      </w:r>
      <w:r>
        <w:t xml:space="preserve"> (par défaut)</w:t>
      </w:r>
      <w:r>
        <w:rPr>
          <w:rStyle w:val="optioncarChar"/>
        </w:rPr>
        <w:t xml:space="preserve"> / bois plein à joints ouverts / contreplaquées</w:t>
      </w:r>
      <w:r>
        <w:br/>
      </w:r>
      <w:r>
        <w:rPr>
          <w:b/>
        </w:rPr>
        <w:t>(soit par défaut)</w:t>
      </w:r>
      <w:r>
        <w:br/>
      </w:r>
      <w:r>
        <w:rPr>
          <w:rStyle w:val="soitChar"/>
          <w:u w:val="single"/>
        </w:rPr>
        <w:t>Bois plein assemblées par rainure et languette :</w:t>
      </w:r>
      <w:r>
        <w:rPr>
          <w:rStyle w:val="soitChar"/>
        </w:rPr>
        <w:t xml:space="preserve"> planches en bois plein rabotées à </w:t>
      </w:r>
      <w:r>
        <w:rPr>
          <w:rStyle w:val="optioncarChar"/>
        </w:rPr>
        <w:t>*** / 18 / 22</w:t>
      </w:r>
      <w:r>
        <w:rPr>
          <w:rStyle w:val="soitChar"/>
        </w:rPr>
        <w:t xml:space="preserve"> d'épaisseur. Les planches d'une largeur de </w:t>
      </w:r>
      <w:r>
        <w:rPr>
          <w:rStyle w:val="optioncarChar"/>
        </w:rPr>
        <w:t>8 </w:t>
      </w:r>
      <w:r>
        <w:t>(par défaut)</w:t>
      </w:r>
      <w:r>
        <w:rPr>
          <w:rStyle w:val="optioncarChar"/>
        </w:rPr>
        <w:t xml:space="preserve"> / 10 / 12 / ***</w:t>
      </w:r>
      <w:r>
        <w:rPr>
          <w:rStyle w:val="soitChar"/>
        </w:rPr>
        <w:t xml:space="preserve"> cm sont assemblées à rainure et languette. Environ tous les 5 cm, chaque planche est clouée sur son support, les clous sont enfoncés et les trous sont obturés à la pâte à bois.</w:t>
      </w:r>
      <w:r>
        <w:br/>
      </w:r>
      <w:r>
        <w:rPr>
          <w:b/>
        </w:rPr>
        <w:t>(soit)</w:t>
      </w:r>
      <w:r>
        <w:br/>
      </w:r>
      <w:r>
        <w:rPr>
          <w:rStyle w:val="soitChar"/>
          <w:u w:val="single"/>
        </w:rPr>
        <w:t>Bois plein à joints ouverts :</w:t>
      </w:r>
      <w:r>
        <w:rPr>
          <w:rStyle w:val="soitChar"/>
        </w:rPr>
        <w:t xml:space="preserve"> planches en bois plein rabotées à </w:t>
      </w:r>
      <w:r>
        <w:rPr>
          <w:rStyle w:val="optioncarChar"/>
        </w:rPr>
        <w:t>34</w:t>
      </w:r>
      <w:r>
        <w:t> (par défaut) </w:t>
      </w:r>
      <w:r>
        <w:rPr>
          <w:rStyle w:val="optioncarChar"/>
        </w:rPr>
        <w:t>/ ***</w:t>
      </w:r>
      <w:r>
        <w:rPr>
          <w:rStyle w:val="soitChar"/>
        </w:rPr>
        <w:t xml:space="preserve">  mm d'épaisseur, placées à joints ouverts de </w:t>
      </w:r>
      <w:r>
        <w:rPr>
          <w:rStyle w:val="optioncarChar"/>
        </w:rPr>
        <w:t>5</w:t>
      </w:r>
      <w:r>
        <w:t xml:space="preserve"> (par défaut) </w:t>
      </w:r>
      <w:r>
        <w:rPr>
          <w:rStyle w:val="optioncarChar"/>
        </w:rPr>
        <w:t>/ 6 / ***</w:t>
      </w:r>
      <w:r>
        <w:rPr>
          <w:rStyle w:val="soitChar"/>
        </w:rPr>
        <w:t xml:space="preserve"> mm. Les trous pour les vis de fixation sont perforés, les vis sont enfoncées d'au moins 12 mm et les trous des têtes sont bouchés avec des bouchons de bois collés.</w:t>
      </w:r>
      <w:r>
        <w:br/>
      </w:r>
      <w:r>
        <w:rPr>
          <w:b/>
        </w:rPr>
        <w:t>(soit)</w:t>
      </w:r>
      <w:r>
        <w:br/>
      </w:r>
      <w:r>
        <w:rPr>
          <w:rStyle w:val="soitChar"/>
          <w:u w:val="single"/>
        </w:rPr>
        <w:t>Contreplaquées :</w:t>
      </w:r>
      <w:r>
        <w:rPr>
          <w:rStyle w:val="soitChar"/>
        </w:rPr>
        <w:t xml:space="preserve"> plaques de contreplaqué</w:t>
      </w:r>
      <w:r>
        <w:br/>
      </w:r>
    </w:p>
    <w:p w14:paraId="6EF733F8" w14:textId="77777777" w:rsidR="004B2808" w:rsidRDefault="00000000">
      <w:pPr>
        <w:pStyle w:val="Author-eListParagraph"/>
        <w:numPr>
          <w:ilvl w:val="0"/>
          <w:numId w:val="1389"/>
        </w:numPr>
      </w:pPr>
      <w:r>
        <w:t xml:space="preserve">Les plinthes des paliers sont fabriquées dans la même essence que l'escalier, rabotées à </w:t>
      </w:r>
      <w:r>
        <w:rPr>
          <w:rStyle w:val="optioncarChar"/>
        </w:rPr>
        <w:t>13 x 60 </w:t>
      </w:r>
      <w:r>
        <w:t>(par défaut)</w:t>
      </w:r>
      <w:r>
        <w:rPr>
          <w:rStyle w:val="optioncarChar"/>
        </w:rPr>
        <w:t> / ***</w:t>
      </w:r>
      <w:r>
        <w:t> mm. Elles sont fixées au moins tous les 40 cm, avec des vis en cuivre à tête arrondie dans des chevilles en matière synthétique.</w:t>
      </w:r>
    </w:p>
    <w:p w14:paraId="1C91A7B5" w14:textId="77777777" w:rsidR="004B2808" w:rsidRDefault="00000000">
      <w:pPr>
        <w:pStyle w:val="Author-eListParagraph"/>
        <w:numPr>
          <w:ilvl w:val="0"/>
          <w:numId w:val="1389"/>
        </w:numPr>
      </w:pPr>
      <w:r>
        <w:t xml:space="preserve">Les paliers sont pourvus de dalles podotactiles : </w:t>
      </w:r>
      <w:r>
        <w:rPr>
          <w:rStyle w:val="optioncarChar"/>
        </w:rPr>
        <w:t xml:space="preserve">selon les recommandations du </w:t>
      </w:r>
      <w:hyperlink w:anchor="377" w:history="1">
        <w:r w:rsidR="004B2808">
          <w:rPr>
            <w:rStyle w:val="optioncarChar"/>
            <w:color w:val="0000EE"/>
          </w:rPr>
          <w:t>57.1 Escaliers et garde-corps complets</w:t>
        </w:r>
      </w:hyperlink>
      <w:r>
        <w:rPr>
          <w:rStyle w:val="optioncarChar"/>
        </w:rPr>
        <w:t> </w:t>
      </w:r>
      <w:r>
        <w:t>(par défaut)</w:t>
      </w:r>
      <w:r>
        <w:rPr>
          <w:rStyle w:val="optioncarChar"/>
        </w:rPr>
        <w:t> / *** </w:t>
      </w:r>
    </w:p>
    <w:p w14:paraId="1ADB92EA" w14:textId="77777777" w:rsidR="004B2808" w:rsidRDefault="00000000">
      <w:pPr>
        <w:jc w:val="both"/>
      </w:pPr>
      <w:r>
        <w:rPr>
          <w:b/>
        </w:rPr>
        <w:t>Garde-corps</w:t>
      </w:r>
    </w:p>
    <w:p w14:paraId="749FCB69" w14:textId="77777777" w:rsidR="004B2808" w:rsidRDefault="00000000">
      <w:pPr>
        <w:pStyle w:val="Author-eListParagraph"/>
        <w:numPr>
          <w:ilvl w:val="0"/>
          <w:numId w:val="1390"/>
        </w:numPr>
      </w:pPr>
      <w:r>
        <w:t>Le dimensionnement et la stabilité des garde-corps doivent satisfaire aux prescriptions de sécurité de la norme [NBN B 03-004].</w:t>
      </w:r>
    </w:p>
    <w:p w14:paraId="314B6206" w14:textId="77777777" w:rsidR="004B2808" w:rsidRDefault="00000000">
      <w:pPr>
        <w:pStyle w:val="Author-eListParagraph"/>
        <w:numPr>
          <w:ilvl w:val="0"/>
          <w:numId w:val="1390"/>
        </w:numPr>
      </w:pPr>
      <w:r>
        <w:t xml:space="preserve">Voir aussi l'élément </w:t>
      </w:r>
      <w:hyperlink w:anchor="1384" w:history="1">
        <w:r w:rsidR="004B2808">
          <w:rPr>
            <w:color w:val="0000EE"/>
          </w:rPr>
          <w:t>57.12 Garde-corps / rampes sur mesure (Rem.: suivant plan de détails)</w:t>
        </w:r>
      </w:hyperlink>
    </w:p>
    <w:p w14:paraId="33FC42CB" w14:textId="77777777" w:rsidR="004B2808" w:rsidRDefault="00000000">
      <w:pPr>
        <w:pStyle w:val="Author-eListParagraph"/>
        <w:numPr>
          <w:ilvl w:val="0"/>
          <w:numId w:val="1390"/>
        </w:numPr>
      </w:pPr>
      <w:r>
        <w:t xml:space="preserve">Voir aussi l’élément </w:t>
      </w:r>
      <w:hyperlink w:anchor="1387" w:history="1">
        <w:r w:rsidR="004B2808">
          <w:rPr>
            <w:color w:val="0000EE"/>
          </w:rPr>
          <w:t>57.24 Balustres et poteaux</w:t>
        </w:r>
      </w:hyperlink>
    </w:p>
    <w:p w14:paraId="6F9B2B94" w14:textId="77777777" w:rsidR="004B2808" w:rsidRDefault="00000000">
      <w:pPr>
        <w:pStyle w:val="Author-eListParagraph"/>
        <w:numPr>
          <w:ilvl w:val="0"/>
          <w:numId w:val="1390"/>
        </w:numPr>
      </w:pPr>
      <w:r>
        <w:t xml:space="preserve">Voir aussi l’élément </w:t>
      </w:r>
      <w:hyperlink w:anchor="1388" w:history="1">
        <w:r w:rsidR="004B2808">
          <w:rPr>
            <w:color w:val="0000EE"/>
          </w:rPr>
          <w:t>57.25 Remplissages</w:t>
        </w:r>
      </w:hyperlink>
    </w:p>
    <w:p w14:paraId="2EE3B1B2" w14:textId="77777777" w:rsidR="004B2808" w:rsidRDefault="00000000">
      <w:pPr>
        <w:pStyle w:val="Author-eListParagraph"/>
        <w:numPr>
          <w:ilvl w:val="0"/>
          <w:numId w:val="1390"/>
        </w:numPr>
      </w:pPr>
      <w:r>
        <w:t xml:space="preserve">Voir aussi l’élément </w:t>
      </w:r>
      <w:hyperlink w:anchor="1379" w:history="1">
        <w:r w:rsidR="004B2808">
          <w:rPr>
            <w:color w:val="0000EE"/>
          </w:rPr>
          <w:t>57.26 Main-courantes / Lisses</w:t>
        </w:r>
      </w:hyperlink>
    </w:p>
    <w:p w14:paraId="7024C6EA" w14:textId="77777777" w:rsidR="004B2808" w:rsidRDefault="00000000">
      <w:pPr>
        <w:jc w:val="both"/>
      </w:pPr>
      <w:r>
        <w:rPr>
          <w:b/>
        </w:rPr>
        <w:t>Revêtement de la face inférieure - Finition des bords</w:t>
      </w:r>
    </w:p>
    <w:p w14:paraId="4DEFE343" w14:textId="77777777" w:rsidR="004B2808" w:rsidRDefault="00000000">
      <w:pPr>
        <w:pStyle w:val="Author-eListParagraph"/>
        <w:numPr>
          <w:ilvl w:val="0"/>
          <w:numId w:val="1391"/>
        </w:numPr>
      </w:pPr>
      <w:r>
        <w:t xml:space="preserve">Pour les escaliers fermés, la face inférieure des escaliers et des paliers est revêtue </w:t>
      </w:r>
      <w:r>
        <w:rPr>
          <w:rStyle w:val="optioncarChar"/>
        </w:rPr>
        <w:t>de plaques de contreplaqué</w:t>
      </w:r>
      <w:r>
        <w:t xml:space="preserve"> (par défaut) </w:t>
      </w:r>
      <w:r>
        <w:rPr>
          <w:rStyle w:val="optioncarChar"/>
        </w:rPr>
        <w:t>/ d’un lattage</w:t>
      </w:r>
      <w:r>
        <w:br/>
      </w:r>
      <w:r>
        <w:rPr>
          <w:b/>
        </w:rPr>
        <w:t>(soit par défaut)</w:t>
      </w:r>
      <w:r>
        <w:br/>
      </w:r>
      <w:r>
        <w:rPr>
          <w:rStyle w:val="soitChar"/>
          <w:u w:val="single"/>
        </w:rPr>
        <w:t>Plaques de contreplaqué :</w:t>
      </w:r>
      <w:r>
        <w:rPr>
          <w:rStyle w:val="soitChar"/>
        </w:rPr>
        <w:t xml:space="preserve"> elles sont clouées sur la structure portante, les clous sont enfoncés et les trous bouchés à la pâte de bois.</w:t>
      </w:r>
      <w:r>
        <w:br/>
      </w:r>
      <w:r>
        <w:rPr>
          <w:b/>
        </w:rPr>
        <w:t>(soit)</w:t>
      </w:r>
      <w:r>
        <w:br/>
      </w:r>
      <w:r>
        <w:rPr>
          <w:rStyle w:val="soitChar"/>
          <w:u w:val="single"/>
        </w:rPr>
        <w:t>Un lattage</w:t>
      </w:r>
      <w:r>
        <w:rPr>
          <w:rStyle w:val="soitChar"/>
        </w:rPr>
        <w:t xml:space="preserve"> en bois, de la même essence que l'escalier. Les lattes présentent une largeur de </w:t>
      </w:r>
      <w:r>
        <w:rPr>
          <w:rStyle w:val="optioncarChar"/>
        </w:rPr>
        <w:t xml:space="preserve">8 </w:t>
      </w:r>
      <w:r>
        <w:t>(par défaut)</w:t>
      </w:r>
      <w:r>
        <w:rPr>
          <w:rStyle w:val="optioncarChar"/>
        </w:rPr>
        <w:t> / 10 / 12 / ***</w:t>
      </w:r>
      <w:r>
        <w:rPr>
          <w:rStyle w:val="soitChar"/>
        </w:rPr>
        <w:t xml:space="preserve"> cm et une épaisseur ≥ </w:t>
      </w:r>
      <w:r>
        <w:rPr>
          <w:rStyle w:val="optioncarChar"/>
        </w:rPr>
        <w:t>12 </w:t>
      </w:r>
      <w:r>
        <w:t>(par défaut)</w:t>
      </w:r>
      <w:r>
        <w:rPr>
          <w:rStyle w:val="optioncarChar"/>
        </w:rPr>
        <w:t xml:space="preserve"> / 18 / ***</w:t>
      </w:r>
      <w:r>
        <w:rPr>
          <w:rStyle w:val="soitChar"/>
        </w:rPr>
        <w:t xml:space="preserve"> mm. L'assemblage se fait à rainure et languette et le clouage est caché. Les trous sont bouchés à la pâte de bois.</w:t>
      </w:r>
    </w:p>
    <w:p w14:paraId="06EE5CAE" w14:textId="77777777" w:rsidR="004B2808" w:rsidRDefault="00000000">
      <w:pPr>
        <w:pStyle w:val="Author-eListParagraph"/>
        <w:numPr>
          <w:ilvl w:val="0"/>
          <w:numId w:val="1391"/>
        </w:numPr>
      </w:pPr>
      <w:r>
        <w:t xml:space="preserve">Au droit du raccord des paliers avec le revêtement du plafond et au droit des dégagements, les rives visibles du plancher sont achevées à l'aide d'une planche plate (ou limon traînant) , rabotée jusqu'à ≥ </w:t>
      </w:r>
      <w:r>
        <w:rPr>
          <w:rStyle w:val="optioncarChar"/>
        </w:rPr>
        <w:t>19 </w:t>
      </w:r>
      <w:r>
        <w:t>(par défaut)</w:t>
      </w:r>
      <w:r>
        <w:rPr>
          <w:rStyle w:val="optioncarChar"/>
        </w:rPr>
        <w:t> / ***</w:t>
      </w:r>
      <w:r>
        <w:t xml:space="preserve">  mm d'épaisseur, et éventuellement, selon le dessin de détail, pourvue d'un listel profilé.</w:t>
      </w:r>
    </w:p>
    <w:p w14:paraId="016642CD" w14:textId="77777777" w:rsidR="004B2808" w:rsidRDefault="00000000">
      <w:pPr>
        <w:pStyle w:val="Author-eListParagraph"/>
        <w:numPr>
          <w:ilvl w:val="0"/>
          <w:numId w:val="1391"/>
        </w:numPr>
      </w:pPr>
      <w:r>
        <w:t xml:space="preserve">Contre les murs ou lorsque la face inférieure des escaliers et des paliers doit être revêtue, les listels profilés sont rabotés jusqu' à </w:t>
      </w:r>
      <w:r>
        <w:rPr>
          <w:rStyle w:val="optioncarChar"/>
        </w:rPr>
        <w:t>10 x 25 </w:t>
      </w:r>
      <w:r>
        <w:t xml:space="preserve">(par défaut) </w:t>
      </w:r>
      <w:r>
        <w:rPr>
          <w:rStyle w:val="optioncarChar"/>
        </w:rPr>
        <w:t>/ ***</w:t>
      </w:r>
      <w:r>
        <w:t xml:space="preserve"> mm d'épaisseur et posés comme finition des bords. Ces lattes sont clouées, les clous sont enfoncés et les trous bouchés avec de la pâte de bois.</w:t>
      </w:r>
    </w:p>
    <w:p w14:paraId="4B1D5FCE" w14:textId="77777777" w:rsidR="004B2808" w:rsidRDefault="00000000">
      <w:pPr>
        <w:jc w:val="both"/>
      </w:pPr>
      <w:r>
        <w:rPr>
          <w:b/>
        </w:rPr>
        <w:t>Bois massif</w:t>
      </w:r>
    </w:p>
    <w:p w14:paraId="40F1378E" w14:textId="77777777" w:rsidR="004B2808" w:rsidRDefault="00000000">
      <w:pPr>
        <w:jc w:val="both"/>
      </w:pPr>
      <w:r>
        <w:t>Lorsque les marches sont prévues avec des contremarches, il y a lieu de prendre les mesures qui s'imposent pour éviter que l'escalier ne 'craque' [NIT 198].</w:t>
      </w:r>
    </w:p>
    <w:p w14:paraId="00ED201A" w14:textId="77777777" w:rsidR="004B2808" w:rsidRDefault="00000000">
      <w:pPr>
        <w:pStyle w:val="Author-eListParagraph"/>
        <w:numPr>
          <w:ilvl w:val="0"/>
          <w:numId w:val="1392"/>
        </w:numPr>
      </w:pPr>
      <w:r>
        <w:t>Les contremarches et les marches sont resserrées lors de la mise en œuvre.</w:t>
      </w:r>
    </w:p>
    <w:p w14:paraId="23F52CEF" w14:textId="77777777" w:rsidR="004B2808" w:rsidRDefault="00000000">
      <w:pPr>
        <w:pStyle w:val="Author-eListParagraph"/>
        <w:numPr>
          <w:ilvl w:val="0"/>
          <w:numId w:val="1392"/>
        </w:numPr>
      </w:pPr>
      <w:r>
        <w:lastRenderedPageBreak/>
        <w:t>Les contremarches sont rabotées convexes au centre : 3 mm en diminuant vers les angles.</w:t>
      </w:r>
    </w:p>
    <w:p w14:paraId="0FC99C1A" w14:textId="77777777" w:rsidR="004B2808" w:rsidRDefault="00000000">
      <w:pPr>
        <w:pStyle w:val="Author-eListParagraph"/>
        <w:numPr>
          <w:ilvl w:val="0"/>
          <w:numId w:val="1392"/>
        </w:numPr>
      </w:pPr>
      <w:r>
        <w:t>A l'arrière de la contremarche, entre deux marches successives, l'entrepreneur pose 1 ou 2 lattes anticraquement.</w:t>
      </w:r>
    </w:p>
    <w:p w14:paraId="4476572B" w14:textId="77777777" w:rsidR="004B2808" w:rsidRDefault="00000000">
      <w:pPr>
        <w:jc w:val="both"/>
      </w:pPr>
      <w:r>
        <w:rPr>
          <w:b/>
        </w:rPr>
        <w:t>Marches droites</w:t>
      </w:r>
    </w:p>
    <w:p w14:paraId="0AFAD3EB" w14:textId="77777777" w:rsidR="004B2808" w:rsidRDefault="00000000">
      <w:pPr>
        <w:jc w:val="both"/>
      </w:pPr>
      <w:r>
        <w:t>Conformément aux indications sur les plans et/ou les dessins de détail :</w:t>
      </w:r>
    </w:p>
    <w:p w14:paraId="53A09E82" w14:textId="77777777" w:rsidR="004B2808" w:rsidRDefault="00000000">
      <w:pPr>
        <w:pStyle w:val="Author-eListParagraph"/>
        <w:numPr>
          <w:ilvl w:val="0"/>
          <w:numId w:val="1393"/>
        </w:numPr>
        <w:jc w:val="both"/>
      </w:pPr>
      <w:r>
        <w:t xml:space="preserve">L'escalier est pourvu </w:t>
      </w:r>
      <w:r>
        <w:rPr>
          <w:rStyle w:val="optioncarChar"/>
        </w:rPr>
        <w:t>d'une première marche en bois </w:t>
      </w:r>
      <w:r>
        <w:t>(par défaut) </w:t>
      </w:r>
      <w:r>
        <w:rPr>
          <w:rStyle w:val="optioncarChar"/>
        </w:rPr>
        <w:t>/ ***</w:t>
      </w:r>
    </w:p>
    <w:p w14:paraId="53EDCDA6" w14:textId="77777777" w:rsidR="004B2808" w:rsidRDefault="00000000">
      <w:pPr>
        <w:pStyle w:val="Author-eListParagraph"/>
        <w:numPr>
          <w:ilvl w:val="0"/>
          <w:numId w:val="1393"/>
        </w:numPr>
        <w:jc w:val="both"/>
      </w:pPr>
      <w:r>
        <w:t>La largeur de la marche supérieure de chaque volée est adaptée. Lorsque le sol du palier ou du dégagement est en bois, une feuillure est réservée pour le plancher dans la face arrière de la marche.</w:t>
      </w:r>
    </w:p>
    <w:p w14:paraId="64F72CC6" w14:textId="77777777" w:rsidR="004B2808" w:rsidRDefault="00000000">
      <w:pPr>
        <w:pStyle w:val="Author-eListParagraph"/>
        <w:numPr>
          <w:ilvl w:val="0"/>
          <w:numId w:val="1393"/>
        </w:numPr>
        <w:jc w:val="both"/>
      </w:pPr>
      <w:r>
        <w:t>Isolation des creux en </w:t>
      </w:r>
      <w:r>
        <w:rPr>
          <w:rStyle w:val="optioncarChar"/>
        </w:rPr>
        <w:t>laine minérale </w:t>
      </w:r>
      <w:r>
        <w:t>(par défaut) </w:t>
      </w:r>
      <w:r>
        <w:rPr>
          <w:rStyle w:val="optioncarChar"/>
        </w:rPr>
        <w:t>/ *** </w:t>
      </w:r>
    </w:p>
    <w:p w14:paraId="797D8F1A" w14:textId="77777777" w:rsidR="004B2808" w:rsidRDefault="00000000">
      <w:pPr>
        <w:pStyle w:val="pheading"/>
      </w:pPr>
      <w:r>
        <w:t>CONTRÔLES PARTICULIERS</w:t>
      </w:r>
    </w:p>
    <w:p w14:paraId="60E7DD37" w14:textId="77777777" w:rsidR="004B2808" w:rsidRDefault="00000000">
      <w:pPr>
        <w:jc w:val="both"/>
      </w:pPr>
      <w:r>
        <w:t>Les défauts du bois suivants entraînent le refus : pourriture, irrégularités dans la structure, traces d'anciennes attaques d'insectes, décoloration et lignes, entre-écorce et galle résineuse, nœuds (non adhérents et nœuds sains incrustés), trous, fentes entre les fibres.</w:t>
      </w:r>
    </w:p>
    <w:p w14:paraId="3A1E8217" w14:textId="77777777" w:rsidR="004B2808" w:rsidRDefault="00000000">
      <w:pPr>
        <w:jc w:val="both"/>
      </w:pPr>
      <w:r>
        <w:t>Les défauts de fabrication suivant entraînent le refus : , joints ouverts entre deux bandes, couches superposées, réparations, soufflures, surface rugueuse, pénétration de colle, …</w:t>
      </w:r>
    </w:p>
    <w:p w14:paraId="3F71708A" w14:textId="77777777" w:rsidR="004B2808" w:rsidRDefault="00000000">
      <w:pPr>
        <w:pStyle w:val="pheading"/>
      </w:pPr>
      <w:r>
        <w:t>MESURAGE</w:t>
      </w:r>
    </w:p>
    <w:p w14:paraId="7DF74335" w14:textId="77777777" w:rsidR="004B2808" w:rsidRDefault="00000000">
      <w:pPr>
        <w:pStyle w:val="pheading"/>
      </w:pPr>
      <w:r>
        <w:t>- unité de mesure:</w:t>
      </w:r>
    </w:p>
    <w:p w14:paraId="11DA49BC" w14:textId="77777777" w:rsidR="004B2808" w:rsidRDefault="00000000">
      <w:r>
        <w:rPr>
          <w:rStyle w:val="optioncarChar"/>
        </w:rPr>
        <w:t>pc</w:t>
      </w:r>
      <w:r>
        <w:t xml:space="preserve"> (par défaut) </w:t>
      </w:r>
      <w:r>
        <w:rPr>
          <w:rStyle w:val="optioncarChar"/>
        </w:rPr>
        <w:t>/ m² / fft</w:t>
      </w:r>
    </w:p>
    <w:p w14:paraId="7E4B5FF9" w14:textId="77777777" w:rsidR="004B2808" w:rsidRDefault="00000000">
      <w:r>
        <w:rPr>
          <w:b/>
        </w:rPr>
        <w:t>(soit par défaut)</w:t>
      </w:r>
      <w:r>
        <w:br/>
      </w:r>
      <w:r>
        <w:rPr>
          <w:rStyle w:val="soitChar"/>
        </w:rPr>
        <w:t>1. pc </w:t>
      </w:r>
      <w:r>
        <w:br/>
      </w:r>
      <w:r>
        <w:rPr>
          <w:b/>
        </w:rPr>
        <w:t>(soit)</w:t>
      </w:r>
      <w:r>
        <w:br/>
      </w:r>
      <w:r>
        <w:rPr>
          <w:rStyle w:val="soitChar"/>
        </w:rPr>
        <w:t>2. m² </w:t>
      </w:r>
      <w:r>
        <w:br/>
      </w:r>
      <w:r>
        <w:rPr>
          <w:b/>
        </w:rPr>
        <w:t>(soit)</w:t>
      </w:r>
      <w:r>
        <w:br/>
      </w:r>
      <w:r>
        <w:rPr>
          <w:rStyle w:val="soitChar"/>
        </w:rPr>
        <w:t>3. fft </w:t>
      </w:r>
    </w:p>
    <w:p w14:paraId="2CADD9E1" w14:textId="77777777" w:rsidR="004B2808" w:rsidRDefault="00000000">
      <w:pPr>
        <w:pStyle w:val="pheading"/>
      </w:pPr>
      <w:r>
        <w:t>- code de mesurage:</w:t>
      </w:r>
    </w:p>
    <w:p w14:paraId="248C617C" w14:textId="77777777" w:rsidR="004B2808" w:rsidRDefault="00000000">
      <w:r>
        <w:rPr>
          <w:rStyle w:val="optioncarChar"/>
        </w:rPr>
        <w:t xml:space="preserve">Quantité nette </w:t>
      </w:r>
      <w:r>
        <w:t>(par défaut)</w:t>
      </w:r>
      <w:r>
        <w:rPr>
          <w:rStyle w:val="optioncarChar"/>
        </w:rPr>
        <w:t xml:space="preserve"> / Surface nette / Pour l’ensemble</w:t>
      </w:r>
    </w:p>
    <w:p w14:paraId="3884963B" w14:textId="77777777" w:rsidR="004B2808" w:rsidRDefault="00000000">
      <w:r>
        <w:rPr>
          <w:b/>
        </w:rPr>
        <w:t>(soit par défaut)</w:t>
      </w:r>
      <w:r>
        <w:br/>
      </w:r>
      <w:r>
        <w:rPr>
          <w:rStyle w:val="soitChar"/>
        </w:rPr>
        <w:t>1.</w:t>
      </w:r>
      <w:r>
        <w:rPr>
          <w:rStyle w:val="soitChar"/>
          <w:u w:val="single"/>
        </w:rPr>
        <w:t xml:space="preserve"> Quantité nette :</w:t>
      </w:r>
      <w:r>
        <w:rPr>
          <w:rStyle w:val="soitChar"/>
        </w:rPr>
        <w:t xml:space="preserve"> escalier compté à la pièce (niveau), le revêtement des marches, paliers et la finition des bords sont compris</w:t>
      </w:r>
      <w:r>
        <w:br/>
      </w:r>
      <w:r>
        <w:rPr>
          <w:b/>
        </w:rPr>
        <w:t>(soit)</w:t>
      </w:r>
      <w:r>
        <w:br/>
      </w:r>
      <w:r>
        <w:rPr>
          <w:rStyle w:val="soitChar"/>
        </w:rPr>
        <w:t xml:space="preserve">2. </w:t>
      </w:r>
      <w:r>
        <w:rPr>
          <w:rStyle w:val="soitChar"/>
          <w:u w:val="single"/>
        </w:rPr>
        <w:t xml:space="preserve"> Surface nette</w:t>
      </w:r>
      <w:r>
        <w:br/>
      </w:r>
      <w:r>
        <w:rPr>
          <w:b/>
        </w:rPr>
        <w:t>(soit)</w:t>
      </w:r>
      <w:r>
        <w:br/>
      </w:r>
      <w:r>
        <w:rPr>
          <w:rStyle w:val="soitChar"/>
        </w:rPr>
        <w:t xml:space="preserve">3. </w:t>
      </w:r>
      <w:r>
        <w:rPr>
          <w:rStyle w:val="soitChar"/>
          <w:u w:val="single"/>
        </w:rPr>
        <w:t>Pour l'ensemble</w:t>
      </w:r>
    </w:p>
    <w:p w14:paraId="51843A83" w14:textId="77777777" w:rsidR="004B2808" w:rsidRDefault="00000000">
      <w:pPr>
        <w:pStyle w:val="pheading"/>
      </w:pPr>
      <w:r>
        <w:t>- nature du marché:</w:t>
      </w:r>
    </w:p>
    <w:p w14:paraId="58C58EB4" w14:textId="77777777" w:rsidR="004B2808" w:rsidRDefault="00000000">
      <w:r>
        <w:rPr>
          <w:rStyle w:val="optioncarChar"/>
        </w:rPr>
        <w:t>QF</w:t>
      </w:r>
      <w:r>
        <w:t xml:space="preserve"> (par défaut) </w:t>
      </w:r>
      <w:r>
        <w:rPr>
          <w:rStyle w:val="optioncarChar"/>
        </w:rPr>
        <w:t>/ PG</w:t>
      </w:r>
    </w:p>
    <w:p w14:paraId="2E006470" w14:textId="77777777" w:rsidR="004B2808" w:rsidRDefault="00000000">
      <w:r>
        <w:rPr>
          <w:b/>
        </w:rPr>
        <w:t>(soit par défaut)</w:t>
      </w:r>
      <w:r>
        <w:br/>
      </w:r>
      <w:r>
        <w:rPr>
          <w:rStyle w:val="soitChar"/>
        </w:rPr>
        <w:t>1. 2. QF</w:t>
      </w:r>
      <w:r>
        <w:br/>
      </w:r>
      <w:r>
        <w:rPr>
          <w:b/>
        </w:rPr>
        <w:t>(soit)</w:t>
      </w:r>
      <w:r>
        <w:br/>
      </w:r>
      <w:r>
        <w:rPr>
          <w:rStyle w:val="soitChar"/>
        </w:rPr>
        <w:t>3. PG</w:t>
      </w:r>
    </w:p>
    <w:p w14:paraId="6019D661" w14:textId="77777777" w:rsidR="004B2808" w:rsidRDefault="00000000">
      <w:pPr>
        <w:pStyle w:val="pheading"/>
      </w:pPr>
      <w:r>
        <w:t>AIDE</w:t>
      </w:r>
    </w:p>
    <w:p w14:paraId="5A424232" w14:textId="77777777" w:rsidR="004B2808" w:rsidRDefault="00000000">
      <w:pPr>
        <w:jc w:val="both"/>
      </w:pPr>
      <w:r>
        <w:t>Epaisseur recommandée pour les marches s'appuyant sur deux limons : 35 mm (longueur de marches jusqu'à 800 mm); 40 mm (longueur de marches jusqu'à 1000 mm); 45 mm (longueur de marche jusqu'à 1200 mm).</w:t>
      </w:r>
    </w:p>
    <w:p w14:paraId="3AF254C7" w14:textId="77777777" w:rsidR="004B2808" w:rsidRDefault="00000000">
      <w:r>
        <w:rPr>
          <w:u w:val="single"/>
        </w:rPr>
        <w:t>Les types de vernis et leur application</w:t>
      </w:r>
      <w:r>
        <w:br/>
      </w:r>
    </w:p>
    <w:tbl>
      <w:tblPr>
        <w:tblStyle w:val="Author-eTableGrid"/>
        <w:tblW w:w="0" w:type="auto"/>
        <w:tblLayout w:type="fixed"/>
        <w:tblLook w:val="04A0" w:firstRow="1" w:lastRow="0" w:firstColumn="1" w:lastColumn="0" w:noHBand="0" w:noVBand="1"/>
      </w:tblPr>
      <w:tblGrid>
        <w:gridCol w:w="1500"/>
        <w:gridCol w:w="1500"/>
        <w:gridCol w:w="1500"/>
        <w:gridCol w:w="1500"/>
        <w:gridCol w:w="1500"/>
        <w:gridCol w:w="1500"/>
      </w:tblGrid>
      <w:tr w:rsidR="004B2808" w14:paraId="0724E362" w14:textId="77777777">
        <w:tc>
          <w:tcPr>
            <w:tcW w:w="1500" w:type="dxa"/>
            <w:noWrap/>
          </w:tcPr>
          <w:p w14:paraId="7DAB1D3F" w14:textId="77777777" w:rsidR="004B2808" w:rsidRDefault="00000000">
            <w:pPr>
              <w:jc w:val="center"/>
            </w:pPr>
            <w:r>
              <w:rPr>
                <w:b/>
              </w:rPr>
              <w:lastRenderedPageBreak/>
              <w:t>Sorte</w:t>
            </w:r>
          </w:p>
        </w:tc>
        <w:tc>
          <w:tcPr>
            <w:tcW w:w="1500" w:type="dxa"/>
            <w:noWrap/>
          </w:tcPr>
          <w:p w14:paraId="288DFA9E" w14:textId="77777777" w:rsidR="004B2808" w:rsidRDefault="00000000">
            <w:pPr>
              <w:jc w:val="center"/>
            </w:pPr>
            <w:r>
              <w:rPr>
                <w:b/>
              </w:rPr>
              <w:t>Chambre à coucher</w:t>
            </w:r>
          </w:p>
        </w:tc>
        <w:tc>
          <w:tcPr>
            <w:tcW w:w="1500" w:type="dxa"/>
            <w:noWrap/>
          </w:tcPr>
          <w:p w14:paraId="69D43545" w14:textId="77777777" w:rsidR="004B2808" w:rsidRDefault="00000000">
            <w:pPr>
              <w:jc w:val="center"/>
            </w:pPr>
            <w:r>
              <w:rPr>
                <w:b/>
              </w:rPr>
              <w:t>Living</w:t>
            </w:r>
          </w:p>
        </w:tc>
        <w:tc>
          <w:tcPr>
            <w:tcW w:w="1500" w:type="dxa"/>
            <w:noWrap/>
          </w:tcPr>
          <w:p w14:paraId="0D0C88E9" w14:textId="77777777" w:rsidR="004B2808" w:rsidRDefault="00000000">
            <w:pPr>
              <w:jc w:val="center"/>
            </w:pPr>
            <w:r>
              <w:rPr>
                <w:b/>
              </w:rPr>
              <w:t>Cuisine</w:t>
            </w:r>
          </w:p>
        </w:tc>
        <w:tc>
          <w:tcPr>
            <w:tcW w:w="1500" w:type="dxa"/>
            <w:noWrap/>
          </w:tcPr>
          <w:p w14:paraId="34ED1B40" w14:textId="77777777" w:rsidR="004B2808" w:rsidRDefault="00000000">
            <w:pPr>
              <w:jc w:val="center"/>
            </w:pPr>
            <w:r>
              <w:rPr>
                <w:b/>
              </w:rPr>
              <w:t>Escalier</w:t>
            </w:r>
          </w:p>
        </w:tc>
        <w:tc>
          <w:tcPr>
            <w:tcW w:w="1500" w:type="dxa"/>
            <w:noWrap/>
          </w:tcPr>
          <w:p w14:paraId="073B4078" w14:textId="77777777" w:rsidR="004B2808" w:rsidRDefault="00000000">
            <w:pPr>
              <w:jc w:val="center"/>
            </w:pPr>
            <w:r>
              <w:rPr>
                <w:b/>
              </w:rPr>
              <w:t>Bureau</w:t>
            </w:r>
          </w:p>
        </w:tc>
      </w:tr>
      <w:tr w:rsidR="004B2808" w14:paraId="0330F7E2" w14:textId="77777777">
        <w:tc>
          <w:tcPr>
            <w:tcW w:w="1500" w:type="dxa"/>
            <w:noWrap/>
          </w:tcPr>
          <w:p w14:paraId="2D33EB63" w14:textId="77777777" w:rsidR="004B2808" w:rsidRDefault="00000000">
            <w:r>
              <w:t>Alkyde</w:t>
            </w:r>
          </w:p>
        </w:tc>
        <w:tc>
          <w:tcPr>
            <w:tcW w:w="1500" w:type="dxa"/>
            <w:noWrap/>
          </w:tcPr>
          <w:p w14:paraId="3BDA0510" w14:textId="77777777" w:rsidR="004B2808" w:rsidRDefault="00000000">
            <w:pPr>
              <w:jc w:val="center"/>
            </w:pPr>
            <w:r>
              <w:t>+</w:t>
            </w:r>
          </w:p>
        </w:tc>
        <w:tc>
          <w:tcPr>
            <w:tcW w:w="1500" w:type="dxa"/>
            <w:noWrap/>
          </w:tcPr>
          <w:p w14:paraId="36011752" w14:textId="77777777" w:rsidR="004B2808" w:rsidRDefault="00000000">
            <w:pPr>
              <w:jc w:val="center"/>
            </w:pPr>
            <w:r>
              <w:t>0</w:t>
            </w:r>
          </w:p>
        </w:tc>
        <w:tc>
          <w:tcPr>
            <w:tcW w:w="1500" w:type="dxa"/>
            <w:noWrap/>
          </w:tcPr>
          <w:p w14:paraId="62E87CD4" w14:textId="77777777" w:rsidR="004B2808" w:rsidRDefault="00000000">
            <w:pPr>
              <w:jc w:val="center"/>
            </w:pPr>
            <w:r>
              <w:t>0</w:t>
            </w:r>
          </w:p>
        </w:tc>
        <w:tc>
          <w:tcPr>
            <w:tcW w:w="1500" w:type="dxa"/>
            <w:noWrap/>
          </w:tcPr>
          <w:p w14:paraId="0C09BB44" w14:textId="77777777" w:rsidR="004B2808" w:rsidRDefault="00000000">
            <w:pPr>
              <w:jc w:val="center"/>
            </w:pPr>
            <w:r>
              <w:t>0</w:t>
            </w:r>
          </w:p>
        </w:tc>
        <w:tc>
          <w:tcPr>
            <w:tcW w:w="1500" w:type="dxa"/>
            <w:noWrap/>
          </w:tcPr>
          <w:p w14:paraId="6C61E8E8" w14:textId="77777777" w:rsidR="004B2808" w:rsidRDefault="00000000">
            <w:pPr>
              <w:jc w:val="center"/>
            </w:pPr>
            <w:r>
              <w:t>0</w:t>
            </w:r>
          </w:p>
        </w:tc>
      </w:tr>
      <w:tr w:rsidR="004B2808" w14:paraId="58CB4302" w14:textId="77777777">
        <w:tc>
          <w:tcPr>
            <w:tcW w:w="1500" w:type="dxa"/>
            <w:noWrap/>
          </w:tcPr>
          <w:p w14:paraId="08A24649" w14:textId="77777777" w:rsidR="004B2808" w:rsidRDefault="00000000">
            <w:r>
              <w:t>Alkyde-uréthane</w:t>
            </w:r>
          </w:p>
        </w:tc>
        <w:tc>
          <w:tcPr>
            <w:tcW w:w="1500" w:type="dxa"/>
            <w:noWrap/>
          </w:tcPr>
          <w:p w14:paraId="546F264D" w14:textId="77777777" w:rsidR="004B2808" w:rsidRDefault="00000000">
            <w:pPr>
              <w:jc w:val="center"/>
            </w:pPr>
            <w:r>
              <w:t>+</w:t>
            </w:r>
          </w:p>
        </w:tc>
        <w:tc>
          <w:tcPr>
            <w:tcW w:w="1500" w:type="dxa"/>
            <w:noWrap/>
          </w:tcPr>
          <w:p w14:paraId="471D4941" w14:textId="77777777" w:rsidR="004B2808" w:rsidRDefault="00000000">
            <w:pPr>
              <w:jc w:val="center"/>
            </w:pPr>
            <w:r>
              <w:t>+</w:t>
            </w:r>
          </w:p>
        </w:tc>
        <w:tc>
          <w:tcPr>
            <w:tcW w:w="1500" w:type="dxa"/>
            <w:noWrap/>
          </w:tcPr>
          <w:p w14:paraId="499025BE" w14:textId="77777777" w:rsidR="004B2808" w:rsidRDefault="00000000">
            <w:pPr>
              <w:jc w:val="center"/>
            </w:pPr>
            <w:r>
              <w:t>+</w:t>
            </w:r>
          </w:p>
        </w:tc>
        <w:tc>
          <w:tcPr>
            <w:tcW w:w="1500" w:type="dxa"/>
            <w:noWrap/>
          </w:tcPr>
          <w:p w14:paraId="3A04CFC7" w14:textId="77777777" w:rsidR="004B2808" w:rsidRDefault="00000000">
            <w:pPr>
              <w:jc w:val="center"/>
            </w:pPr>
            <w:r>
              <w:t>+</w:t>
            </w:r>
          </w:p>
        </w:tc>
        <w:tc>
          <w:tcPr>
            <w:tcW w:w="1500" w:type="dxa"/>
            <w:noWrap/>
          </w:tcPr>
          <w:p w14:paraId="65A3D264" w14:textId="77777777" w:rsidR="004B2808" w:rsidRDefault="00000000">
            <w:pPr>
              <w:jc w:val="center"/>
            </w:pPr>
            <w:r>
              <w:t>0</w:t>
            </w:r>
          </w:p>
        </w:tc>
      </w:tr>
      <w:tr w:rsidR="004B2808" w14:paraId="21802F2E" w14:textId="77777777">
        <w:tc>
          <w:tcPr>
            <w:tcW w:w="1500" w:type="dxa"/>
            <w:noWrap/>
          </w:tcPr>
          <w:p w14:paraId="08D68729" w14:textId="77777777" w:rsidR="004B2808" w:rsidRDefault="00000000">
            <w:r>
              <w:t>PU-acrylique dispersion</w:t>
            </w:r>
          </w:p>
        </w:tc>
        <w:tc>
          <w:tcPr>
            <w:tcW w:w="1500" w:type="dxa"/>
            <w:noWrap/>
          </w:tcPr>
          <w:p w14:paraId="290BE4CC" w14:textId="77777777" w:rsidR="004B2808" w:rsidRDefault="00000000">
            <w:pPr>
              <w:jc w:val="center"/>
            </w:pPr>
            <w:r>
              <w:t>++</w:t>
            </w:r>
          </w:p>
        </w:tc>
        <w:tc>
          <w:tcPr>
            <w:tcW w:w="1500" w:type="dxa"/>
            <w:noWrap/>
          </w:tcPr>
          <w:p w14:paraId="485522BA" w14:textId="77777777" w:rsidR="004B2808" w:rsidRDefault="00000000">
            <w:pPr>
              <w:jc w:val="center"/>
            </w:pPr>
            <w:r>
              <w:t>++</w:t>
            </w:r>
          </w:p>
        </w:tc>
        <w:tc>
          <w:tcPr>
            <w:tcW w:w="1500" w:type="dxa"/>
            <w:noWrap/>
          </w:tcPr>
          <w:p w14:paraId="05221164" w14:textId="77777777" w:rsidR="004B2808" w:rsidRDefault="00000000">
            <w:pPr>
              <w:jc w:val="center"/>
            </w:pPr>
            <w:r>
              <w:t>++</w:t>
            </w:r>
          </w:p>
        </w:tc>
        <w:tc>
          <w:tcPr>
            <w:tcW w:w="1500" w:type="dxa"/>
            <w:noWrap/>
          </w:tcPr>
          <w:p w14:paraId="0701D850" w14:textId="77777777" w:rsidR="004B2808" w:rsidRDefault="00000000">
            <w:pPr>
              <w:jc w:val="center"/>
            </w:pPr>
            <w:r>
              <w:t>++</w:t>
            </w:r>
          </w:p>
        </w:tc>
        <w:tc>
          <w:tcPr>
            <w:tcW w:w="1500" w:type="dxa"/>
            <w:noWrap/>
          </w:tcPr>
          <w:p w14:paraId="6CD42444" w14:textId="77777777" w:rsidR="004B2808" w:rsidRDefault="00000000">
            <w:pPr>
              <w:jc w:val="center"/>
            </w:pPr>
            <w:r>
              <w:t>++</w:t>
            </w:r>
          </w:p>
        </w:tc>
      </w:tr>
      <w:tr w:rsidR="004B2808" w14:paraId="3E0C48E4" w14:textId="77777777">
        <w:tc>
          <w:tcPr>
            <w:tcW w:w="1500" w:type="dxa"/>
            <w:noWrap/>
          </w:tcPr>
          <w:p w14:paraId="4D9EAF88" w14:textId="77777777" w:rsidR="004B2808" w:rsidRDefault="00000000">
            <w:r>
              <w:t>PU</w:t>
            </w:r>
          </w:p>
        </w:tc>
        <w:tc>
          <w:tcPr>
            <w:tcW w:w="1500" w:type="dxa"/>
            <w:noWrap/>
          </w:tcPr>
          <w:p w14:paraId="5BC0DA9B" w14:textId="77777777" w:rsidR="004B2808" w:rsidRDefault="00000000">
            <w:pPr>
              <w:jc w:val="center"/>
            </w:pPr>
            <w:r>
              <w:t>++</w:t>
            </w:r>
          </w:p>
        </w:tc>
        <w:tc>
          <w:tcPr>
            <w:tcW w:w="1500" w:type="dxa"/>
            <w:noWrap/>
          </w:tcPr>
          <w:p w14:paraId="108F6339" w14:textId="77777777" w:rsidR="004B2808" w:rsidRDefault="00000000">
            <w:pPr>
              <w:jc w:val="center"/>
            </w:pPr>
            <w:r>
              <w:t>++</w:t>
            </w:r>
          </w:p>
        </w:tc>
        <w:tc>
          <w:tcPr>
            <w:tcW w:w="1500" w:type="dxa"/>
            <w:noWrap/>
          </w:tcPr>
          <w:p w14:paraId="67DE3F4C" w14:textId="77777777" w:rsidR="004B2808" w:rsidRDefault="00000000">
            <w:pPr>
              <w:jc w:val="center"/>
            </w:pPr>
            <w:r>
              <w:t>++</w:t>
            </w:r>
          </w:p>
        </w:tc>
        <w:tc>
          <w:tcPr>
            <w:tcW w:w="1500" w:type="dxa"/>
            <w:noWrap/>
          </w:tcPr>
          <w:p w14:paraId="542F2C49" w14:textId="77777777" w:rsidR="004B2808" w:rsidRDefault="00000000">
            <w:pPr>
              <w:jc w:val="center"/>
            </w:pPr>
            <w:r>
              <w:t>++</w:t>
            </w:r>
          </w:p>
        </w:tc>
        <w:tc>
          <w:tcPr>
            <w:tcW w:w="1500" w:type="dxa"/>
            <w:noWrap/>
          </w:tcPr>
          <w:p w14:paraId="30C2D904" w14:textId="77777777" w:rsidR="004B2808" w:rsidRDefault="00000000">
            <w:pPr>
              <w:jc w:val="center"/>
            </w:pPr>
            <w:r>
              <w:t>++</w:t>
            </w:r>
          </w:p>
        </w:tc>
      </w:tr>
    </w:tbl>
    <w:p w14:paraId="785535E1" w14:textId="77777777" w:rsidR="004B2808" w:rsidRDefault="00000000">
      <w:r>
        <w:t>++ Convient parfaitement,+ convient, 0 ne convient pas</w:t>
      </w:r>
      <w:r>
        <w:br/>
      </w:r>
      <w:r>
        <w:br/>
        <w:t xml:space="preserve"> Pour des raisons d'économie, tous les escaliers peuvent généralement être exécutés sans contremarches, sauf lorsqu'il se trouve sous l'escalier un espace fermé, une armoire vestiaire ou une toilette.</w:t>
      </w:r>
    </w:p>
    <w:p w14:paraId="7800FDE2" w14:textId="77777777" w:rsidR="004B2808" w:rsidRDefault="00000000">
      <w:pPr>
        <w:pStyle w:val="Author-eSectionHeading4Numberless"/>
      </w:pPr>
      <w:bookmarkStart w:id="1525" w:name="_Toc220491623"/>
      <w:r>
        <w:t>57.12 Garde-corps / rampes sur mesure (Rem.: suivant plan de détails) CCTB 01.10</w:t>
      </w:r>
      <w:bookmarkEnd w:id="1525"/>
    </w:p>
    <w:p w14:paraId="5918BEC3" w14:textId="77777777" w:rsidR="004B2808" w:rsidRDefault="00000000">
      <w:pPr>
        <w:pStyle w:val="pheading"/>
      </w:pPr>
      <w:bookmarkStart w:id="1526" w:name="1384"/>
      <w:bookmarkEnd w:id="1526"/>
      <w:r>
        <w:t>DESCRIPTION</w:t>
      </w:r>
    </w:p>
    <w:p w14:paraId="255B1BD4" w14:textId="77777777" w:rsidR="004B2808" w:rsidRDefault="00000000">
      <w:pPr>
        <w:pStyle w:val="pheading"/>
      </w:pPr>
      <w:r>
        <w:t>- Définition / Comprend</w:t>
      </w:r>
    </w:p>
    <w:p w14:paraId="33475774" w14:textId="77777777" w:rsidR="004B2808" w:rsidRDefault="00000000">
      <w:r>
        <w:t>Il s'agit des garde-corps intérieurs, à prévoir autour des trémies d'escaliers, des vides, galeries, etc., y compris la structure portante, les éventuels éléments de remplissage, les moyens de fixation, etc., ...</w:t>
      </w:r>
    </w:p>
    <w:p w14:paraId="52F2C2E6" w14:textId="77777777" w:rsidR="004B2808" w:rsidRDefault="00000000">
      <w:pPr>
        <w:pStyle w:val="pheading"/>
      </w:pPr>
      <w:r>
        <w:t>EXÉCUTION / MISE EN ŒUVRE</w:t>
      </w:r>
    </w:p>
    <w:p w14:paraId="462BCF84" w14:textId="77777777" w:rsidR="004B2808" w:rsidRDefault="00000000">
      <w:r>
        <w:t>Les dessins d'exécution sont soumis à l'approbation de l'auteur de projet. Toutes les pièces sont profilées et fabriquées conformément aux plans d'adjudication et/ou aux dessins d'exécution approuvés.</w:t>
      </w:r>
    </w:p>
    <w:p w14:paraId="19C4CC41" w14:textId="77777777" w:rsidR="004B2808" w:rsidRDefault="00000000">
      <w:r>
        <w:t>Les garde-corps doivent être conçus en fonction de la sécurité des enfants et ne peuvent donc pas servir d'espalier !</w:t>
      </w:r>
    </w:p>
    <w:p w14:paraId="2DDC902A" w14:textId="77777777" w:rsidR="004B2808" w:rsidRDefault="00000000">
      <w:r>
        <w:t>Les hauteurs de garde-corps sont conformes aux prescriptions du § 5.3 de la norme [NBN B 03-004] .</w:t>
      </w:r>
    </w:p>
    <w:p w14:paraId="019357BB" w14:textId="77777777" w:rsidR="004B2808" w:rsidRDefault="00000000">
      <w:r>
        <w:t>Les valeurs suivantes doivent être respectées lors de l'établissement des dimensions des ouvertures entre les montants verticaux et horizontaux d'une balustrade :</w:t>
      </w:r>
    </w:p>
    <w:p w14:paraId="0C994474" w14:textId="77777777" w:rsidR="004B2808" w:rsidRDefault="00000000">
      <w:pPr>
        <w:pStyle w:val="Author-eListParagraph"/>
        <w:numPr>
          <w:ilvl w:val="0"/>
          <w:numId w:val="1394"/>
        </w:numPr>
      </w:pPr>
      <w:r>
        <w:t>les ouvertures verticales sont = 11cm.</w:t>
      </w:r>
    </w:p>
    <w:p w14:paraId="6EE3CD5D" w14:textId="77777777" w:rsidR="004B2808" w:rsidRDefault="00000000">
      <w:pPr>
        <w:pStyle w:val="Author-eListParagraph"/>
        <w:numPr>
          <w:ilvl w:val="0"/>
          <w:numId w:val="1394"/>
        </w:numPr>
      </w:pPr>
      <w:r>
        <w:t>les ouvertures horizontales situées dans la zone sous 45 cm de hauteur sont espacées de 5 cm. Au-dessus de 45cm, ces espacements peuvent être = 18cm.</w:t>
      </w:r>
    </w:p>
    <w:p w14:paraId="344A491B" w14:textId="77777777" w:rsidR="004B2808" w:rsidRDefault="00000000">
      <w:pPr>
        <w:pStyle w:val="Author-eListParagraph"/>
        <w:numPr>
          <w:ilvl w:val="0"/>
          <w:numId w:val="1394"/>
        </w:numPr>
      </w:pPr>
      <w:r>
        <w:t>l'élément horizontal inférieur présente une hauteur égale à 11cm par rapport à la zone de stationnement provisoire ou normale. </w:t>
      </w:r>
    </w:p>
    <w:p w14:paraId="20E36AA6" w14:textId="77777777" w:rsidR="004B2808" w:rsidRDefault="00000000">
      <w:pPr>
        <w:pStyle w:val="Author-eListParagraph"/>
        <w:numPr>
          <w:ilvl w:val="0"/>
          <w:numId w:val="1394"/>
        </w:numPr>
      </w:pPr>
      <w:r>
        <w:t>La fiabilité des structures porteuses (principes généraux) :  </w:t>
      </w:r>
    </w:p>
    <w:p w14:paraId="4F7F33FA" w14:textId="77777777" w:rsidR="004B2808" w:rsidRDefault="00000000">
      <w:r>
        <w:t>Résistance aux chocs : les garde-corps et leurs fixations doivent résister aux prescriptions de la norme [NBN B 03-004] Sous l'influence de chocs : </w:t>
      </w:r>
    </w:p>
    <w:p w14:paraId="5DF9D735" w14:textId="77777777" w:rsidR="004B2808" w:rsidRDefault="00000000">
      <w:r>
        <w:t>Les éléments de remplissage du garde-corps ne peuvent pas se défaire de leur ossature. Aucun élément ne peut se détacher qui risque de blesser une personne qui se trouve à proximité.        </w:t>
      </w:r>
    </w:p>
    <w:p w14:paraId="54C200D7" w14:textId="77777777" w:rsidR="004B2808" w:rsidRDefault="00000000">
      <w:r>
        <w:t>Stabilité et résistance mécanique : les garde-corps doivent résister aux charges déterminées par la [NBN B 03-004, Garde-corps de bâtiments]</w:t>
      </w:r>
    </w:p>
    <w:p w14:paraId="31A72A39" w14:textId="77777777" w:rsidR="004B2808" w:rsidRDefault="00000000">
      <w:r>
        <w:t>Les charges de service statiques sont conformes au § 6 de la norme [NBN B 03-004]</w:t>
      </w:r>
    </w:p>
    <w:p w14:paraId="750B98AE" w14:textId="77777777" w:rsidR="004B2808" w:rsidRDefault="00000000">
      <w:r>
        <w:t> </w:t>
      </w:r>
    </w:p>
    <w:p w14:paraId="58ED5275" w14:textId="77777777" w:rsidR="004B2808" w:rsidRDefault="00000000">
      <w:r>
        <w:t xml:space="preserve">Sous l'influence de ces sollicitations, le garde-corps peut subir des déformations ou des dégradations réparables mais doit toutefois conserver sa fonction de protection contre les chutes. Le niveau de sécurité est déterminé par rapport à l'état de rupture limite en partant de la composition fondamentale </w:t>
      </w:r>
      <w:r>
        <w:lastRenderedPageBreak/>
        <w:t>des forces et compte tenu des états limites d'utilisation (déformations, fissurations, …) en fonction des caractéristiques des composantes utilisées et des matériaux.</w:t>
      </w:r>
    </w:p>
    <w:p w14:paraId="2381271A" w14:textId="77777777" w:rsidR="004B2808" w:rsidRDefault="00000000">
      <w:pPr>
        <w:pStyle w:val="pheading"/>
      </w:pPr>
      <w:r>
        <w:t>CONTRÔLES</w:t>
      </w:r>
    </w:p>
    <w:p w14:paraId="2CC5C6B2" w14:textId="77777777" w:rsidR="004B2808" w:rsidRDefault="00000000">
      <w:r>
        <w:t>Ecarts admissibles pour les rampes et garde-corps sont définis dans le § 5.5 de la norme [NBN B 03-004]  : </w:t>
      </w:r>
    </w:p>
    <w:p w14:paraId="3A64619F" w14:textId="77777777" w:rsidR="004B2808" w:rsidRDefault="00000000">
      <w:pPr>
        <w:pStyle w:val="Author-eListParagraph"/>
        <w:numPr>
          <w:ilvl w:val="0"/>
          <w:numId w:val="1395"/>
        </w:numPr>
      </w:pPr>
      <w:r>
        <w:t>- 15 mm (hauteur de protection ).</w:t>
      </w:r>
    </w:p>
    <w:p w14:paraId="3801EB20" w14:textId="77777777" w:rsidR="004B2808" w:rsidRDefault="00000000">
      <w:pPr>
        <w:pStyle w:val="Author-eListParagraph"/>
        <w:numPr>
          <w:ilvl w:val="0"/>
          <w:numId w:val="1395"/>
        </w:numPr>
      </w:pPr>
      <w:r>
        <w:t>+ 10 mm (ouvertures dans le bas).</w:t>
      </w:r>
    </w:p>
    <w:p w14:paraId="3CA606B6" w14:textId="77777777" w:rsidR="004B2808" w:rsidRDefault="00000000">
      <w:pPr>
        <w:pStyle w:val="Author-eListParagraph"/>
        <w:numPr>
          <w:ilvl w:val="0"/>
          <w:numId w:val="1395"/>
        </w:numPr>
      </w:pPr>
      <w:r>
        <w:t>+ 10 mm (ouvertures entre les montants verticaux et le bord ou la façade).</w:t>
      </w:r>
    </w:p>
    <w:p w14:paraId="485C5706" w14:textId="77777777" w:rsidR="004B2808" w:rsidRDefault="00000000">
      <w:pPr>
        <w:pStyle w:val="Author-eListParagraph"/>
        <w:numPr>
          <w:ilvl w:val="0"/>
          <w:numId w:val="1395"/>
        </w:numPr>
      </w:pPr>
      <w:r>
        <w:t>+ 10 mm (rampe en encorbellement par rapport au bord extérieur de l'escalier).</w:t>
      </w:r>
    </w:p>
    <w:p w14:paraId="19835208" w14:textId="77777777" w:rsidR="004B2808" w:rsidRDefault="00000000">
      <w:pPr>
        <w:pStyle w:val="pheading"/>
      </w:pPr>
      <w:r>
        <w:t>DOCUMENTS DE RÉFÉRENCE</w:t>
      </w:r>
    </w:p>
    <w:p w14:paraId="5DEEB001" w14:textId="77777777" w:rsidR="004B2808" w:rsidRDefault="00000000">
      <w:pPr>
        <w:pStyle w:val="pheading"/>
      </w:pPr>
      <w:r>
        <w:t>- Exécution</w:t>
      </w:r>
    </w:p>
    <w:p w14:paraId="28E311EC" w14:textId="77777777" w:rsidR="004B2808" w:rsidRDefault="00000000">
      <w:r>
        <w:t>[NBN EN 1992-1-1]</w:t>
      </w:r>
      <w:r>
        <w:br/>
        <w:t>[NBN EN 1994-1-1]</w:t>
      </w:r>
      <w:r>
        <w:br/>
        <w:t>[NBN EN 1993 série]</w:t>
      </w:r>
      <w:r>
        <w:br/>
        <w:t>[NBN EN 1995-1-1/A1]</w:t>
      </w:r>
    </w:p>
    <w:p w14:paraId="2A33525E" w14:textId="77777777" w:rsidR="004B2808" w:rsidRDefault="00000000">
      <w:pPr>
        <w:pStyle w:val="pheading"/>
      </w:pPr>
      <w:r>
        <w:t>AIDE</w:t>
      </w:r>
    </w:p>
    <w:p w14:paraId="0DEBAC81" w14:textId="77777777" w:rsidR="004B2808" w:rsidRDefault="00000000">
      <w:r>
        <w:rPr>
          <w:i/>
          <w:u w:val="single"/>
        </w:rPr>
        <w:t>Note à l'attention de l'auteur de projet</w:t>
      </w:r>
    </w:p>
    <w:p w14:paraId="254587DD" w14:textId="77777777" w:rsidR="004B2808" w:rsidRDefault="00000000">
      <w:pPr>
        <w:pStyle w:val="Author-eListParagraph"/>
        <w:numPr>
          <w:ilvl w:val="0"/>
          <w:numId w:val="1396"/>
        </w:numPr>
      </w:pPr>
      <w:r>
        <w:t>Lors de la conception des garde-corps, il importe de tenir compte de la hauteur de protection prescrite pour la balustrade (la distance verticale entre le nez de marche et le dessus de la main-courante) selon la norme [NBN B 03-004] la hauteur de protection minimale est de 0,90 mètre . Lorsqu'une chute de plus de 6 mètres est possible dans la cage d'escalier, on prévoit une balustrade d'au moins 1,2 mètre .</w:t>
      </w:r>
    </w:p>
    <w:p w14:paraId="7779E932" w14:textId="77777777" w:rsidR="004B2808" w:rsidRDefault="00000000">
      <w:pPr>
        <w:pStyle w:val="Author-eListParagraph"/>
        <w:numPr>
          <w:ilvl w:val="0"/>
          <w:numId w:val="1396"/>
        </w:numPr>
      </w:pPr>
      <w:r>
        <w:t>le [RGPT]: la hauteur de protection minimale est de 0,75 mètre .   </w:t>
      </w:r>
    </w:p>
    <w:p w14:paraId="1AF4210C" w14:textId="77777777" w:rsidR="004B2808" w:rsidRDefault="00000000">
      <w:pPr>
        <w:pStyle w:val="Author-eListParagraph"/>
        <w:numPr>
          <w:ilvl w:val="0"/>
          <w:numId w:val="1396"/>
        </w:numPr>
      </w:pPr>
      <w:r>
        <w:t xml:space="preserve">La zone du garde-corps est l'espace nécessaire pour le garde-corps principal. Selon la norme </w:t>
      </w:r>
      <w:r>
        <w:rPr>
          <w:shd w:val="clear" w:color="auto" w:fill="FFFFFF"/>
        </w:rPr>
        <w:t xml:space="preserve">[NBN NEN 3509] </w:t>
      </w:r>
      <w:r>
        <w:t>, cette zone doit être délimitée par deux plans verticaux situés à une distance d'au moins 60 mm l'un de l'autre. La face extérieure se situera à moins de 70 mm du bord des marches et au moins à 40 mm du bord de la trémie d'escalier et des mur</w:t>
      </w:r>
    </w:p>
    <w:p w14:paraId="22A482D5" w14:textId="77777777" w:rsidR="004B2808" w:rsidRDefault="00000000">
      <w:pPr>
        <w:pStyle w:val="Author-eSectionHeading5Numberless"/>
      </w:pPr>
      <w:bookmarkStart w:id="1527" w:name="_Toc220491624"/>
      <w:r>
        <w:t>57.12.1 Garde-corps / rampes en maçonnerie (pierres / briques)  CCTB 01.07</w:t>
      </w:r>
      <w:bookmarkEnd w:id="1527"/>
    </w:p>
    <w:p w14:paraId="1C3BE512" w14:textId="77777777" w:rsidR="004B2808" w:rsidRDefault="00000000">
      <w:pPr>
        <w:pStyle w:val="pheading"/>
      </w:pPr>
      <w:r>
        <w:t>DESCRIPTION</w:t>
      </w:r>
    </w:p>
    <w:p w14:paraId="40CFA627" w14:textId="77777777" w:rsidR="004B2808" w:rsidRDefault="00000000">
      <w:pPr>
        <w:pStyle w:val="pheading"/>
      </w:pPr>
      <w:r>
        <w:t>- Définition / Comprend</w:t>
      </w:r>
    </w:p>
    <w:p w14:paraId="7925EBFF" w14:textId="77777777" w:rsidR="004B2808" w:rsidRDefault="00000000">
      <w:r>
        <w:t>Renvoi au 21.52 Murs poids en maçonneries portantes en enrochement</w:t>
      </w:r>
    </w:p>
    <w:p w14:paraId="3EDBA0EE" w14:textId="77777777" w:rsidR="004B2808" w:rsidRDefault="00000000">
      <w:pPr>
        <w:pStyle w:val="Author-eSectionHeading6Numberless"/>
      </w:pPr>
      <w:bookmarkStart w:id="1528" w:name="_Toc220491625"/>
      <w:r>
        <w:t>57.12.1a Garde-corps / rampes en maçonnerie (pierres / briques)  CCTB 01.07</w:t>
      </w:r>
      <w:bookmarkEnd w:id="1528"/>
    </w:p>
    <w:p w14:paraId="0AB997B7" w14:textId="77777777" w:rsidR="004B2808" w:rsidRDefault="00000000">
      <w:pPr>
        <w:pStyle w:val="pheading"/>
      </w:pPr>
      <w:r>
        <w:t>DESCRIPTION</w:t>
      </w:r>
    </w:p>
    <w:p w14:paraId="0CFE0560" w14:textId="77777777" w:rsidR="004B2808" w:rsidRDefault="00000000">
      <w:pPr>
        <w:pStyle w:val="pheading"/>
      </w:pPr>
      <w:r>
        <w:t>- Définition / Comprend</w:t>
      </w:r>
    </w:p>
    <w:p w14:paraId="0820E8B4" w14:textId="77777777" w:rsidR="004B2808" w:rsidRDefault="00000000">
      <w:r>
        <w:t>Renvoi au 21.52 Murs poids en maçonneries portantes en enrochement</w:t>
      </w:r>
    </w:p>
    <w:p w14:paraId="718BF709" w14:textId="77777777" w:rsidR="004B2808" w:rsidRDefault="00000000">
      <w:pPr>
        <w:pStyle w:val="Author-eSectionHeading5Numberless"/>
      </w:pPr>
      <w:bookmarkStart w:id="1529" w:name="_Toc220491626"/>
      <w:r>
        <w:t>57.12.2 Garde-corps / rampes en béton armé CCTB 01.07</w:t>
      </w:r>
      <w:bookmarkEnd w:id="1529"/>
    </w:p>
    <w:p w14:paraId="21911692" w14:textId="77777777" w:rsidR="004B2808" w:rsidRDefault="00000000">
      <w:pPr>
        <w:pStyle w:val="pheading"/>
      </w:pPr>
      <w:r>
        <w:t>DESCRIPTION</w:t>
      </w:r>
    </w:p>
    <w:p w14:paraId="561BB415" w14:textId="77777777" w:rsidR="004B2808" w:rsidRDefault="00000000">
      <w:pPr>
        <w:pStyle w:val="pheading"/>
      </w:pPr>
      <w:r>
        <w:t>- Définition / Comprend</w:t>
      </w:r>
    </w:p>
    <w:p w14:paraId="7FD869AF" w14:textId="77777777" w:rsidR="004B2808" w:rsidRDefault="00000000">
      <w:r>
        <w:t>Renvoi au § 22.32 Garde-corps et rampes en béton</w:t>
      </w:r>
    </w:p>
    <w:p w14:paraId="2C5B5988" w14:textId="77777777" w:rsidR="004B2808" w:rsidRDefault="00000000">
      <w:pPr>
        <w:pStyle w:val="Author-eSectionHeading6Numberless"/>
      </w:pPr>
      <w:bookmarkStart w:id="1530" w:name="_Toc220491627"/>
      <w:r>
        <w:t>57.12.2a Garde-corps / rampes en béton armé CCTB 01.07</w:t>
      </w:r>
      <w:bookmarkEnd w:id="1530"/>
    </w:p>
    <w:p w14:paraId="47869318" w14:textId="77777777" w:rsidR="004B2808" w:rsidRDefault="00000000">
      <w:pPr>
        <w:pStyle w:val="pheading"/>
      </w:pPr>
      <w:r>
        <w:t>DESCRIPTION</w:t>
      </w:r>
    </w:p>
    <w:p w14:paraId="10C5CDA6" w14:textId="77777777" w:rsidR="004B2808" w:rsidRDefault="00000000">
      <w:pPr>
        <w:pStyle w:val="pheading"/>
      </w:pPr>
      <w:r>
        <w:lastRenderedPageBreak/>
        <w:t>- Définition / Comprend</w:t>
      </w:r>
    </w:p>
    <w:p w14:paraId="0F6F0930" w14:textId="77777777" w:rsidR="004B2808" w:rsidRDefault="00000000">
      <w:r>
        <w:t>Renvoi au § 22.32 Garde-corps et rampes en béton</w:t>
      </w:r>
    </w:p>
    <w:p w14:paraId="31C02C89" w14:textId="77777777" w:rsidR="004B2808" w:rsidRDefault="00000000">
      <w:pPr>
        <w:pStyle w:val="Author-eSectionHeading5Numberless"/>
      </w:pPr>
      <w:bookmarkStart w:id="1531" w:name="_Toc220491628"/>
      <w:r>
        <w:t>57.12.3 Garde-corps / rampes métalliques CCTB 01.07</w:t>
      </w:r>
      <w:bookmarkEnd w:id="1531"/>
    </w:p>
    <w:p w14:paraId="34796327" w14:textId="77777777" w:rsidR="004B2808" w:rsidRDefault="00000000">
      <w:pPr>
        <w:pStyle w:val="pheading"/>
      </w:pPr>
      <w:r>
        <w:t>DESCRIPTION</w:t>
      </w:r>
    </w:p>
    <w:p w14:paraId="2FDDB1C6" w14:textId="77777777" w:rsidR="004B2808" w:rsidRDefault="00000000">
      <w:pPr>
        <w:pStyle w:val="pheading"/>
      </w:pPr>
      <w:r>
        <w:t>- Définition / Comprend</w:t>
      </w:r>
    </w:p>
    <w:p w14:paraId="66F9D444" w14:textId="77777777" w:rsidR="004B2808" w:rsidRDefault="00000000">
      <w:r>
        <w:t>Renvoi au § 23.32 Garde-corps et rampes métalliques</w:t>
      </w:r>
    </w:p>
    <w:p w14:paraId="19511EA8" w14:textId="77777777" w:rsidR="004B2808" w:rsidRDefault="00000000">
      <w:pPr>
        <w:pStyle w:val="Author-eSectionHeading6Numberless"/>
      </w:pPr>
      <w:bookmarkStart w:id="1532" w:name="_Toc220491629"/>
      <w:r>
        <w:t>57.12.3a Garde-corps / rampes métalliques CCTB 01.07</w:t>
      </w:r>
      <w:bookmarkEnd w:id="1532"/>
    </w:p>
    <w:p w14:paraId="5811C05D" w14:textId="77777777" w:rsidR="004B2808" w:rsidRDefault="00000000">
      <w:pPr>
        <w:pStyle w:val="pheading"/>
      </w:pPr>
      <w:r>
        <w:t>DESCRIPTION</w:t>
      </w:r>
    </w:p>
    <w:p w14:paraId="3C0D8581" w14:textId="77777777" w:rsidR="004B2808" w:rsidRDefault="00000000">
      <w:pPr>
        <w:pStyle w:val="pheading"/>
      </w:pPr>
      <w:r>
        <w:t>- Définition / Comprend</w:t>
      </w:r>
    </w:p>
    <w:p w14:paraId="6DC777E8" w14:textId="77777777" w:rsidR="004B2808" w:rsidRDefault="00000000">
      <w:r>
        <w:t>Renvoi au § 23.32 Garde-corps et rampes métalliques</w:t>
      </w:r>
    </w:p>
    <w:p w14:paraId="184FFB84" w14:textId="77777777" w:rsidR="004B2808" w:rsidRDefault="00000000">
      <w:pPr>
        <w:pStyle w:val="Author-eSectionHeading5Numberless"/>
      </w:pPr>
      <w:bookmarkStart w:id="1533" w:name="_Toc220491630"/>
      <w:r>
        <w:t>57.12.4 Garde-corps / rampes en bois CCTB 01.09</w:t>
      </w:r>
      <w:bookmarkEnd w:id="1533"/>
    </w:p>
    <w:p w14:paraId="4F70B0B9" w14:textId="77777777" w:rsidR="004B2808" w:rsidRDefault="00000000">
      <w:pPr>
        <w:pStyle w:val="Author-eSectionHeading6Numberless"/>
      </w:pPr>
      <w:bookmarkStart w:id="1534" w:name="_Toc220491631"/>
      <w:r>
        <w:t>57.12.4a Garde-corps / rampes en bois  CCTB 01.13</w:t>
      </w:r>
      <w:bookmarkEnd w:id="1534"/>
    </w:p>
    <w:p w14:paraId="313884C5" w14:textId="77777777" w:rsidR="004B2808" w:rsidRDefault="00000000">
      <w:pPr>
        <w:pStyle w:val="pheading"/>
      </w:pPr>
      <w:r>
        <w:t>DESCRIPTION</w:t>
      </w:r>
    </w:p>
    <w:p w14:paraId="604A520E" w14:textId="77777777" w:rsidR="004B2808" w:rsidRDefault="00000000">
      <w:pPr>
        <w:pStyle w:val="pheading"/>
      </w:pPr>
      <w:r>
        <w:t>- Définition / Comprend</w:t>
      </w:r>
    </w:p>
    <w:p w14:paraId="1E3AD0C9" w14:textId="77777777" w:rsidR="004B2808" w:rsidRDefault="00000000">
      <w:r>
        <w:t>Le présent article comprend la fourniture et la pose de tous les éléments de garde–corps et de rampes nécessaires pour obtenir un ensemble parfaitement fini, c'est-à-dire l'ensemble de toutes les composantes, y compris les ancrages, liaisons aux escaliers, la finition des bords, mains-courantes, etc. Conformément aux dispositions générales et/ou spécifiques du cahier spécial des charges, les prix unitaires compris dans ces postes doivent toujours comprendre, soit selon la ventilation dans le métré récapitulatif, soit dans leur totalité :</w:t>
      </w:r>
    </w:p>
    <w:p w14:paraId="51685F7F" w14:textId="77777777" w:rsidR="004B2808" w:rsidRDefault="00000000">
      <w:pPr>
        <w:pStyle w:val="Author-eListParagraph"/>
        <w:numPr>
          <w:ilvl w:val="0"/>
          <w:numId w:val="1397"/>
        </w:numPr>
      </w:pPr>
      <w:r>
        <w:t>le relevé sur place des dimensions exactes,</w:t>
      </w:r>
    </w:p>
    <w:p w14:paraId="2C2478FC" w14:textId="77777777" w:rsidR="004B2808" w:rsidRDefault="00000000">
      <w:pPr>
        <w:pStyle w:val="Author-eListParagraph"/>
        <w:numPr>
          <w:ilvl w:val="0"/>
          <w:numId w:val="1397"/>
        </w:numPr>
      </w:pPr>
      <w:r>
        <w:t>le contrôle et la préparation des supports,</w:t>
      </w:r>
    </w:p>
    <w:p w14:paraId="0E4219F7" w14:textId="77777777" w:rsidR="004B2808" w:rsidRDefault="00000000">
      <w:pPr>
        <w:pStyle w:val="Author-eListParagraph"/>
        <w:numPr>
          <w:ilvl w:val="0"/>
          <w:numId w:val="1397"/>
        </w:numPr>
      </w:pPr>
      <w:r>
        <w:t>la fabrication sur mesure, le transport et la mise en œuvre des éléments de garde-corps, mains-courantes, rampes, …, y compris tous les moyens de fixation et/ou de pose,</w:t>
      </w:r>
    </w:p>
    <w:p w14:paraId="18EAD7F9" w14:textId="77777777" w:rsidR="004B2808" w:rsidRDefault="00000000">
      <w:pPr>
        <w:pStyle w:val="Author-eListParagraph"/>
        <w:numPr>
          <w:ilvl w:val="0"/>
          <w:numId w:val="1397"/>
        </w:numPr>
      </w:pPr>
      <w:r>
        <w:t>l'exécution des assemblages et des éventuelles jonctions avec la structure de construction,</w:t>
      </w:r>
    </w:p>
    <w:p w14:paraId="046C2AA0" w14:textId="77777777" w:rsidR="004B2808" w:rsidRDefault="00000000">
      <w:pPr>
        <w:pStyle w:val="Author-eListParagraph"/>
        <w:numPr>
          <w:ilvl w:val="0"/>
          <w:numId w:val="1397"/>
        </w:numPr>
      </w:pPr>
      <w:r>
        <w:t>la finition des bords, les raccordements avec les finitions de mur et de sol attenantes,</w:t>
      </w:r>
    </w:p>
    <w:p w14:paraId="44ABF452" w14:textId="77777777" w:rsidR="004B2808" w:rsidRDefault="00000000">
      <w:pPr>
        <w:pStyle w:val="Author-eListParagraph"/>
        <w:numPr>
          <w:ilvl w:val="0"/>
          <w:numId w:val="1397"/>
        </w:numPr>
      </w:pPr>
      <w:r>
        <w:t>les éléments de garde-corps et de rampes, y compris l'enlèvement des taches de mortier ou de colle,</w:t>
      </w:r>
    </w:p>
    <w:p w14:paraId="13C8D079" w14:textId="77777777" w:rsidR="004B2808" w:rsidRDefault="00000000">
      <w:pPr>
        <w:pStyle w:val="Author-eListParagraph"/>
        <w:numPr>
          <w:ilvl w:val="0"/>
          <w:numId w:val="1397"/>
        </w:numPr>
      </w:pPr>
      <w:r>
        <w:t>les mesures nécessaires, après la mise en œuvre, en vue de la protection des garde-corps contre toute dégradation et salissement pendant toute la durée des travaux.</w:t>
      </w:r>
    </w:p>
    <w:p w14:paraId="19F26DE7" w14:textId="77777777" w:rsidR="004B2808" w:rsidRDefault="00000000">
      <w:r>
        <w:rPr>
          <w:b/>
        </w:rPr>
        <w:t>Remarques importantes</w:t>
      </w:r>
    </w:p>
    <w:p w14:paraId="046EF663" w14:textId="77777777" w:rsidR="004B2808" w:rsidRDefault="00000000">
      <w:r>
        <w:t>En l’absence de marquage CE harmonisé, les garde-corps et rampes ne sont pas soumis à un marquage obligatoire.</w:t>
      </w:r>
    </w:p>
    <w:p w14:paraId="2FEEE1AC" w14:textId="77777777" w:rsidR="004B2808" w:rsidRDefault="00000000">
      <w:r>
        <w:t>La terminologie relative aux éléments constitutifs des garde-corps et rampes et autres descriptions, est conforme à la [NBN B 03-004], à la [NIT 198] et à la [NBN EN 14076].</w:t>
      </w:r>
    </w:p>
    <w:p w14:paraId="7A5455AD" w14:textId="77777777" w:rsidR="004B2808" w:rsidRDefault="00000000">
      <w:pPr>
        <w:pStyle w:val="pheading"/>
      </w:pPr>
      <w:r>
        <w:t>- Localisation</w:t>
      </w:r>
    </w:p>
    <w:p w14:paraId="1067D805" w14:textId="77777777" w:rsidR="004B2808" w:rsidRDefault="00000000">
      <w:r>
        <w:t xml:space="preserve">La localisation des garde-corps en bois et rampes est la suivante : </w:t>
      </w:r>
      <w:r>
        <w:rPr>
          <w:rStyle w:val="optioncarChar"/>
        </w:rPr>
        <w:t>***</w:t>
      </w:r>
      <w:r>
        <w:t>.</w:t>
      </w:r>
    </w:p>
    <w:p w14:paraId="7AD6E931" w14:textId="77777777" w:rsidR="004B2808" w:rsidRDefault="00000000">
      <w:r>
        <w:t>Voir plans et métrés détaillés.</w:t>
      </w:r>
    </w:p>
    <w:p w14:paraId="21BCF18B" w14:textId="77777777" w:rsidR="004B2808" w:rsidRDefault="00000000">
      <w:pPr>
        <w:pStyle w:val="pheading"/>
      </w:pPr>
      <w:r>
        <w:t>MATÉRIAUX</w:t>
      </w:r>
    </w:p>
    <w:p w14:paraId="688B14F8" w14:textId="77777777" w:rsidR="004B2808" w:rsidRDefault="00000000">
      <w:pPr>
        <w:pStyle w:val="pheading"/>
      </w:pPr>
      <w:r>
        <w:t>- Caractéristiques générales</w:t>
      </w:r>
    </w:p>
    <w:p w14:paraId="3AB06621" w14:textId="77777777" w:rsidR="004B2808" w:rsidRDefault="00000000">
      <w:r>
        <w:t>Les hauteurs de garde-corps sont conformes aux prescriptions du § 5.3 de la norme [NBN B 03-004].</w:t>
      </w:r>
    </w:p>
    <w:p w14:paraId="1C4AD961" w14:textId="77777777" w:rsidR="004B2808" w:rsidRDefault="00000000">
      <w:r>
        <w:lastRenderedPageBreak/>
        <w:t xml:space="preserve">La hauteur de chute à partir duquel un garde-corps est requis est supérieure ou égale à </w:t>
      </w:r>
      <w:r>
        <w:rPr>
          <w:rStyle w:val="optioncarChar"/>
        </w:rPr>
        <w:t>1m</w:t>
      </w:r>
      <w:r>
        <w:t xml:space="preserve"> (par défaut) </w:t>
      </w:r>
      <w:r>
        <w:rPr>
          <w:rStyle w:val="optioncarChar"/>
        </w:rPr>
        <w:t>/ *** m</w:t>
      </w:r>
      <w:r>
        <w:t xml:space="preserve"> (la hauteur de chute sans garde-corps doit toutefois être strictement inférieure à 1 m – conformément à la [NBN B 03-004]).</w:t>
      </w:r>
    </w:p>
    <w:p w14:paraId="7E822C76" w14:textId="77777777" w:rsidR="004B2808" w:rsidRDefault="00000000">
      <w:r>
        <w:t xml:space="preserve">La hauteur de protection du garde-corps est </w:t>
      </w:r>
      <w:r>
        <w:rPr>
          <w:rStyle w:val="optioncarChar"/>
        </w:rPr>
        <w:t>110 cm</w:t>
      </w:r>
      <w:r>
        <w:t xml:space="preserve"> (par défaut) </w:t>
      </w:r>
      <w:r>
        <w:rPr>
          <w:rStyle w:val="optioncarChar"/>
        </w:rPr>
        <w:t>/ *** cm</w:t>
      </w:r>
      <w:r>
        <w:t xml:space="preserve"> . Cette hauteur ne peut strictement pas être inférieure aux exigences données dans la [NBN B 03-004], c’est à dire 110 cm pour une hauteur de chute de moins de 12 m et 120 cm pour une hauteur de protection de plus de 12 m pour les garde-corps minces (épaisseur ≤ 20 cm). Pour les garde-corps épais, les limites sont données dans la [NBN B 03-004].</w:t>
      </w:r>
    </w:p>
    <w:p w14:paraId="62F09CFB" w14:textId="77777777" w:rsidR="004B2808" w:rsidRDefault="00000000">
      <w:r>
        <w:t>Les valeurs suivantes doivent être respectées lors de l'établissement des dimensions des ouvertures entre les montants verticaux et horizontaux d'une balustrade :</w:t>
      </w:r>
    </w:p>
    <w:p w14:paraId="43C33B99" w14:textId="77777777" w:rsidR="004B2808" w:rsidRDefault="00000000">
      <w:r>
        <w:t>Les ouvertures entre éléments verticaux ont une largeur maximale de 110 mm. La hauteur des ouvertures entre éléments horizontaux répond aux exigences suivantes :</w:t>
      </w:r>
    </w:p>
    <w:p w14:paraId="33D2446F" w14:textId="77777777" w:rsidR="004B2808" w:rsidRDefault="00000000">
      <w:pPr>
        <w:pStyle w:val="Author-eListParagraph"/>
        <w:numPr>
          <w:ilvl w:val="0"/>
          <w:numId w:val="1398"/>
        </w:numPr>
      </w:pPr>
      <w:r>
        <w:t>dans la partie inférieure, la hauteur de l'ouverture entre le garde-corps est limitée à 110 mm</w:t>
      </w:r>
    </w:p>
    <w:p w14:paraId="249826B9" w14:textId="77777777" w:rsidR="004B2808" w:rsidRDefault="00000000">
      <w:pPr>
        <w:pStyle w:val="Author-eListParagraph"/>
        <w:numPr>
          <w:ilvl w:val="0"/>
          <w:numId w:val="1398"/>
        </w:numPr>
      </w:pPr>
      <w:r>
        <w:t>aucun élément horizontal situé dans la zone inférieure du garde-corps jusqu'à une hauteur de 450 mm ne doit permettre le stationnement en équilibre assisté ou l'escalade</w:t>
      </w:r>
    </w:p>
    <w:p w14:paraId="7C125D39" w14:textId="77777777" w:rsidR="004B2808" w:rsidRDefault="00000000">
      <w:pPr>
        <w:pStyle w:val="Author-eListParagraph"/>
        <w:numPr>
          <w:ilvl w:val="0"/>
          <w:numId w:val="1398"/>
        </w:numPr>
      </w:pPr>
      <w:r>
        <w:t>au-delà de cette zone de 450 mm, la hauteur des ouvertures horizontales est limitée à 180 mm</w:t>
      </w:r>
    </w:p>
    <w:p w14:paraId="678F41A0" w14:textId="77777777" w:rsidR="004B2808" w:rsidRDefault="00000000">
      <w:r>
        <w:t>Un garde-corps est requis en combinaison des menuiseries extérieures si la hauteur de protection (allège jusqu’au-dessus du profilé du dormant (dans le cas d’ouvrant) est inférieur à 900 mm. Selon la [NBN B 25-002-1], cette hauteur de protection peut être réduite jusqu’à 800  mm, à condition que h +  0,5  x  l soit au moins égal à 1.000  mm (‘h’ correspondant à la distance entre le sol fini et le niveau le plus élevé du cadre dormant, et l’épaisseur de la façade).</w:t>
      </w:r>
    </w:p>
    <w:p w14:paraId="7DD582F2" w14:textId="77777777" w:rsidR="004B2808" w:rsidRDefault="00000000">
      <w:r>
        <w:t>La hauteur de protection H, mesurée verticalement entre le nez de la marche et la face supérieure de la lisse, est de 900 mm minimum. Pour les paliers, la hauteur minimale est 1100 mm (ou 1200 mm dans le cas d’une hauteur de chute de 12 m ou plus).</w:t>
      </w:r>
    </w:p>
    <w:p w14:paraId="030D665E" w14:textId="77777777" w:rsidR="004B2808" w:rsidRDefault="00000000">
      <w:r>
        <w:t xml:space="preserve">La rampe ou la main-courante est à une hauteur de </w:t>
      </w:r>
      <w:r>
        <w:rPr>
          <w:rStyle w:val="optioncarChar"/>
        </w:rPr>
        <w:t>90</w:t>
      </w:r>
      <w:r>
        <w:t xml:space="preserve"> (par défaut)</w:t>
      </w:r>
      <w:r>
        <w:rPr>
          <w:rStyle w:val="optioncarChar"/>
        </w:rPr>
        <w:t xml:space="preserve"> / *** cm</w:t>
      </w:r>
    </w:p>
    <w:p w14:paraId="341CDFB8" w14:textId="77777777" w:rsidR="004B2808" w:rsidRDefault="00000000">
      <w:r>
        <w:rPr>
          <w:b/>
        </w:rPr>
        <w:t>Forme et type</w:t>
      </w:r>
    </w:p>
    <w:p w14:paraId="52BF58D5" w14:textId="77777777" w:rsidR="004B2808" w:rsidRDefault="00000000">
      <w:r>
        <w:t xml:space="preserve">Le garde-corps est constitué de montant (potelet) et le remplissage est constitué de </w:t>
      </w:r>
      <w:r>
        <w:rPr>
          <w:rStyle w:val="optioncarChar"/>
        </w:rPr>
        <w:t>barreaudage </w:t>
      </w:r>
      <w:r>
        <w:t xml:space="preserve">(par défaut) </w:t>
      </w:r>
      <w:r>
        <w:rPr>
          <w:rStyle w:val="optioncarChar"/>
        </w:rPr>
        <w:t>/ câbles / treillis / verre / ***</w:t>
      </w:r>
      <w:r>
        <w:t>.</w:t>
      </w:r>
    </w:p>
    <w:p w14:paraId="11BFBCB2" w14:textId="77777777" w:rsidR="004B2808" w:rsidRDefault="00000000">
      <w:r>
        <w:t xml:space="preserve">Les montants (potelets) et traverses sont constitués de </w:t>
      </w:r>
      <w:r>
        <w:rPr>
          <w:rStyle w:val="optioncarChar"/>
        </w:rPr>
        <w:t>Hêtre (Fagus sylvatica)</w:t>
      </w:r>
      <w:r>
        <w:t xml:space="preserve"> (par défaut) </w:t>
      </w:r>
      <w:r>
        <w:rPr>
          <w:rStyle w:val="optioncarChar"/>
        </w:rPr>
        <w:t>/ Chêne d’Europe (Quercus robur et Q. Petraea) / Frêne (Fraxinus excelsior) / Douglas (Pseudotsuga menziesii) / ***</w:t>
      </w:r>
      <w:r>
        <w:t xml:space="preserve"> dont les caractéristiques de masse volumique sont reprises dans la [NIT 198].</w:t>
      </w:r>
    </w:p>
    <w:p w14:paraId="03B6BFED" w14:textId="77777777" w:rsidR="004B2808" w:rsidRDefault="00000000">
      <w:r>
        <w:t xml:space="preserve">Le remplissage est constitué de </w:t>
      </w:r>
      <w:r>
        <w:rPr>
          <w:rStyle w:val="optioncarChar"/>
        </w:rPr>
        <w:t>***</w:t>
      </w:r>
      <w:r>
        <w:t>.</w:t>
      </w:r>
    </w:p>
    <w:p w14:paraId="14ED909C" w14:textId="77777777" w:rsidR="004B2808" w:rsidRDefault="00000000">
      <w:r>
        <w:t xml:space="preserve">La main courante est constituée de </w:t>
      </w:r>
      <w:r>
        <w:rPr>
          <w:rStyle w:val="optioncarChar"/>
        </w:rPr>
        <w:t>Hêtre (Fagus sylvatica)</w:t>
      </w:r>
      <w:r>
        <w:t> (par défaut)</w:t>
      </w:r>
      <w:r>
        <w:rPr>
          <w:rStyle w:val="optioncarChar"/>
        </w:rPr>
        <w:t> / Chêne d’Europe (Quercus robur et Q. Petraea) / Frêne (Fraxinus excelsior) / Douglas (Pseudotsuga menziesii) /  ***</w:t>
      </w:r>
      <w:r>
        <w:t xml:space="preserve"> dont les caractéristiques de masse volumique sont reprises dans la [NIT 198].</w:t>
      </w:r>
    </w:p>
    <w:p w14:paraId="78D17C45" w14:textId="77777777" w:rsidR="004B2808" w:rsidRDefault="00000000">
      <w:r>
        <w:t xml:space="preserve">La rampe ou main courante est constituée de </w:t>
      </w:r>
      <w:r>
        <w:rPr>
          <w:rStyle w:val="optioncarChar"/>
        </w:rPr>
        <w:t>Hêtre (Fagus sylvatica) </w:t>
      </w:r>
      <w:r>
        <w:t>(par défaut)</w:t>
      </w:r>
      <w:r>
        <w:rPr>
          <w:rStyle w:val="optioncarChar"/>
        </w:rPr>
        <w:t xml:space="preserve"> / Chêne d’Europe (Quercus robur et Q. Petraea) / Frêne (Fraxinus excelsior) / Douglas (Pseudotsuga menziesii) /  ***</w:t>
      </w:r>
      <w:r>
        <w:t xml:space="preserve"> dont les caractéristiques de masse volumique sont reprises dans la [NIT 198].</w:t>
      </w:r>
    </w:p>
    <w:p w14:paraId="17996DD6" w14:textId="77777777" w:rsidR="004B2808" w:rsidRDefault="00000000">
      <w:r>
        <w:t xml:space="preserve">Une main courante secondaire </w:t>
      </w:r>
      <w:r>
        <w:rPr>
          <w:rStyle w:val="optioncarChar"/>
        </w:rPr>
        <w:t>n’est pas requise</w:t>
      </w:r>
      <w:r>
        <w:t xml:space="preserve"> (par défaut) </w:t>
      </w:r>
      <w:r>
        <w:rPr>
          <w:rStyle w:val="optioncarChar"/>
        </w:rPr>
        <w:t>/ est placée à une hauteur de *** cm / ***</w:t>
      </w:r>
    </w:p>
    <w:p w14:paraId="74176D80" w14:textId="77777777" w:rsidR="004B2808" w:rsidRDefault="00000000">
      <w:r>
        <w:t>Cette main courante est conforme aux exigences de [SWL CALA], [NBN ISO 21542] et [BS 8300].</w:t>
      </w:r>
    </w:p>
    <w:p w14:paraId="41D0C1A2" w14:textId="77777777" w:rsidR="004B2808" w:rsidRDefault="00000000">
      <w:r>
        <w:t xml:space="preserve">La position de la rampe: </w:t>
      </w:r>
      <w:r>
        <w:rPr>
          <w:rStyle w:val="optioncarChar"/>
        </w:rPr>
        <w:t>de chaque côté de l’escalier / d’un seul côté</w:t>
      </w:r>
      <w:r>
        <w:t>.</w:t>
      </w:r>
    </w:p>
    <w:p w14:paraId="00A140B1" w14:textId="77777777" w:rsidR="004B2808" w:rsidRDefault="00000000">
      <w:r>
        <w:t>Le prolongement de la rampe est :</w:t>
      </w:r>
    </w:p>
    <w:p w14:paraId="453B7BCD" w14:textId="77777777" w:rsidR="004B2808" w:rsidRDefault="00000000">
      <w:pPr>
        <w:pStyle w:val="Author-eListParagraph"/>
        <w:numPr>
          <w:ilvl w:val="0"/>
          <w:numId w:val="1399"/>
        </w:numPr>
      </w:pPr>
      <w:r>
        <w:t xml:space="preserve">Côté mur : prolongement de </w:t>
      </w:r>
      <w:r>
        <w:rPr>
          <w:rStyle w:val="optioncarChar"/>
        </w:rPr>
        <w:t>40 cm à l’origine et à l’extrémité de l’escalier </w:t>
      </w:r>
      <w:r>
        <w:t>(par défaut)</w:t>
      </w:r>
      <w:r>
        <w:rPr>
          <w:rStyle w:val="optioncarChar"/>
        </w:rPr>
        <w:t xml:space="preserve"> / ***</w:t>
      </w:r>
      <w:r>
        <w:t>.</w:t>
      </w:r>
    </w:p>
    <w:p w14:paraId="1609357A" w14:textId="77777777" w:rsidR="004B2808" w:rsidRDefault="00000000">
      <w:pPr>
        <w:pStyle w:val="Author-eListParagraph"/>
        <w:numPr>
          <w:ilvl w:val="0"/>
          <w:numId w:val="1399"/>
        </w:numPr>
      </w:pPr>
      <w:r>
        <w:t xml:space="preserve">Côté vide : prolongement jusqu’au sol, et de </w:t>
      </w:r>
      <w:r>
        <w:rPr>
          <w:rStyle w:val="optioncarChar"/>
        </w:rPr>
        <w:t xml:space="preserve">40 cm à l’origine et à l’extrémité de l’escalier pour autant que ce prolongement ne représente aucun obstacle ni danger </w:t>
      </w:r>
      <w:r>
        <w:t>(par défaut) </w:t>
      </w:r>
      <w:r>
        <w:rPr>
          <w:rStyle w:val="optioncarChar"/>
        </w:rPr>
        <w:t>/ ***</w:t>
      </w:r>
      <w:r>
        <w:t>. </w:t>
      </w:r>
    </w:p>
    <w:p w14:paraId="7A554BA1" w14:textId="77777777" w:rsidR="004B2808" w:rsidRDefault="00000000">
      <w:r>
        <w:t xml:space="preserve">La distance par rapport à la paroi est de min </w:t>
      </w:r>
      <w:r>
        <w:rPr>
          <w:rStyle w:val="optioncarChar"/>
        </w:rPr>
        <w:t xml:space="preserve">4 </w:t>
      </w:r>
      <w:r>
        <w:t>(par défaut) </w:t>
      </w:r>
      <w:r>
        <w:rPr>
          <w:rStyle w:val="optioncarChar"/>
        </w:rPr>
        <w:t xml:space="preserve">/ *** </w:t>
      </w:r>
      <w:r>
        <w:t>cm.</w:t>
      </w:r>
    </w:p>
    <w:p w14:paraId="3543562D" w14:textId="77777777" w:rsidR="004B2808" w:rsidRDefault="00000000">
      <w:r>
        <w:lastRenderedPageBreak/>
        <w:t xml:space="preserve">La forme de la main courante est </w:t>
      </w:r>
      <w:r>
        <w:rPr>
          <w:rStyle w:val="optioncarChar"/>
        </w:rPr>
        <w:t>ronde d’un diamètre entre 4 et 5 cm</w:t>
      </w:r>
      <w:r>
        <w:t xml:space="preserve"> (par défaut)</w:t>
      </w:r>
      <w:r>
        <w:rPr>
          <w:rStyle w:val="optioncarChar"/>
        </w:rPr>
        <w:t> / ***</w:t>
      </w:r>
      <w:r>
        <w:t>.</w:t>
      </w:r>
    </w:p>
    <w:p w14:paraId="734DCB65" w14:textId="77777777" w:rsidR="004B2808" w:rsidRDefault="00000000">
      <w:r>
        <w:t xml:space="preserve">Un contraste (différence de coefficient de réflexion (LRV) entre la main courante et son support de minimum) est  de </w:t>
      </w:r>
      <w:r>
        <w:rPr>
          <w:rStyle w:val="optioncarChar"/>
        </w:rPr>
        <w:t>30 %</w:t>
      </w:r>
      <w:r>
        <w:t> (par défaut)</w:t>
      </w:r>
      <w:r>
        <w:rPr>
          <w:rStyle w:val="optioncarChar"/>
        </w:rPr>
        <w:t xml:space="preserve"> / ***</w:t>
      </w:r>
      <w:r>
        <w:t>.  </w:t>
      </w:r>
    </w:p>
    <w:p w14:paraId="0A80D3BC" w14:textId="77777777" w:rsidR="004B2808" w:rsidRDefault="00000000">
      <w:r>
        <w:rPr>
          <w:b/>
        </w:rPr>
        <w:t>Caractéristiques de résistance mécanique :</w:t>
      </w:r>
    </w:p>
    <w:p w14:paraId="0B479876" w14:textId="77777777" w:rsidR="004B2808" w:rsidRDefault="00000000">
      <w:r>
        <w:t xml:space="preserve">Résistance aux chocs : </w:t>
      </w:r>
      <w:r>
        <w:rPr>
          <w:rStyle w:val="optioncarChar"/>
        </w:rPr>
        <w:t>les garde-corps et leurs fixations doivent résister aux prescriptions de la norme [NBN B 03-004] / non requis</w:t>
      </w:r>
      <w:r>
        <w:t>.</w:t>
      </w:r>
    </w:p>
    <w:p w14:paraId="54B08D14" w14:textId="77777777" w:rsidR="004B2808" w:rsidRDefault="00000000">
      <w:r>
        <w:t xml:space="preserve">Les gardes corps doivent satisfaire à une hauteur de chute de </w:t>
      </w:r>
      <w:r>
        <w:rPr>
          <w:rStyle w:val="optioncarChar"/>
        </w:rPr>
        <w:t>300 mm (bâtiments résidentiels)</w:t>
      </w:r>
      <w:r>
        <w:t xml:space="preserve"> (par défaut) </w:t>
      </w:r>
      <w:r>
        <w:rPr>
          <w:rStyle w:val="optioncarChar"/>
        </w:rPr>
        <w:t>/ 450 mm (bureau non accessibles au publics) / 700 mm ( lieux publics) / *** mm (pour des exigences complémentaires en cas d’accès particuliers)</w:t>
      </w:r>
      <w:r>
        <w:t>.</w:t>
      </w:r>
    </w:p>
    <w:p w14:paraId="14212A89" w14:textId="77777777" w:rsidR="004B2808" w:rsidRDefault="00000000">
      <w:r>
        <w:t>Sous l'influence de chocs, les éléments de remplissage du garde-corps ne peuvent pas se défaire de leur ossature. Aucun élément ne peut se détacher qui risque de blesser une personne qui se trouve à proximité. Les critères sont donnés dans le §8.2 de la [NBN B 03-004].   </w:t>
      </w:r>
    </w:p>
    <w:p w14:paraId="57697D52" w14:textId="77777777" w:rsidR="004B2808" w:rsidRDefault="00000000">
      <w:r>
        <w:t>Stabilité et résistance mécanique : Les charges de service statiques sont conformes au § 6 de la norme [NBN B 03-004].</w:t>
      </w:r>
    </w:p>
    <w:p w14:paraId="04F98B6F" w14:textId="77777777" w:rsidR="004B2808" w:rsidRDefault="00000000">
      <w:r>
        <w:t xml:space="preserve">Une validation des garde-corps est réalisée </w:t>
      </w:r>
      <w:r>
        <w:rPr>
          <w:rStyle w:val="optioncarChar"/>
        </w:rPr>
        <w:t>par calcul / par essais / non requis</w:t>
      </w:r>
      <w:r>
        <w:t>.</w:t>
      </w:r>
    </w:p>
    <w:p w14:paraId="7466D03A" w14:textId="77777777" w:rsidR="004B2808" w:rsidRDefault="00000000">
      <w:r>
        <w:t>Le dimensionnement des garde-corps et des éléments servant de garde-corps se fait par calculs, selon la méthode des états limites conformément à la [NBN EN 1990]. Le calcul consiste à vérifier qu'aucun état limite ne soit dépassé lorsque les valeurs de calcul appropriées sont introduites dans le modèle pour :</w:t>
      </w:r>
    </w:p>
    <w:p w14:paraId="274F3609" w14:textId="77777777" w:rsidR="004B2808" w:rsidRDefault="00000000">
      <w:pPr>
        <w:pStyle w:val="Author-eListParagraph"/>
        <w:numPr>
          <w:ilvl w:val="0"/>
          <w:numId w:val="1400"/>
        </w:numPr>
      </w:pPr>
      <w:r>
        <w:t>les combinaisons d’actions; Les actions dues au vent sont d’application pour les garde-corps extérieurs. Les caractéristiques de classe d’exposition au vent et de rugosité du terrain sont communiquées par le maitre d’œuvre à l’entrepreneur.</w:t>
      </w:r>
    </w:p>
    <w:p w14:paraId="24D8BF94" w14:textId="77777777" w:rsidR="004B2808" w:rsidRDefault="00000000">
      <w:pPr>
        <w:pStyle w:val="Author-eListParagraph"/>
        <w:numPr>
          <w:ilvl w:val="0"/>
          <w:numId w:val="1400"/>
        </w:numPr>
      </w:pPr>
      <w:r>
        <w:t>les propriétés des matériaux ou des produits;</w:t>
      </w:r>
    </w:p>
    <w:p w14:paraId="2A3A4F1C" w14:textId="77777777" w:rsidR="004B2808" w:rsidRDefault="00000000">
      <w:pPr>
        <w:pStyle w:val="Author-eListParagraph"/>
        <w:numPr>
          <w:ilvl w:val="0"/>
          <w:numId w:val="1400"/>
        </w:numPr>
      </w:pPr>
      <w:r>
        <w:t>les données géométriques</w:t>
      </w:r>
    </w:p>
    <w:p w14:paraId="19F99D72" w14:textId="77777777" w:rsidR="004B2808" w:rsidRDefault="00000000">
      <w:r>
        <w:t>La résistance des garde-corps est déterminée par calcul (selon les actions déterminés dans la [NBN B 03-004]) ou par essais (définition des combinaisons, points d’application et critères dans §8 de la [NBN B 03-004]).</w:t>
      </w:r>
    </w:p>
    <w:p w14:paraId="1819E1B4" w14:textId="77777777" w:rsidR="004B2808" w:rsidRDefault="00000000">
      <w:r>
        <w:t>Sous l'influence de ces sollicitations, le garde-corps peut subir des déformations ou des dégradations réparables mais doit toutefois conserver sa fonction de protection contre les chutes. Le niveau de sécurité est déterminé par rapport à l'état de rupture limite en partant de la composition fondamentale des forces et compte tenu des états limites d'utilisation (déformations, fissurations, …) en fonction des caractéristiques des composantes utilisées et des matériaux.</w:t>
      </w:r>
    </w:p>
    <w:p w14:paraId="33F46E37" w14:textId="77777777" w:rsidR="004B2808" w:rsidRDefault="00000000">
      <w:r>
        <w:t> </w:t>
      </w:r>
    </w:p>
    <w:p w14:paraId="4334F3D2" w14:textId="77777777" w:rsidR="004B2808" w:rsidRDefault="00000000">
      <w:r>
        <w:rPr>
          <w:b/>
        </w:rPr>
        <w:t>Caractéristiques d’utilisation :</w:t>
      </w:r>
    </w:p>
    <w:p w14:paraId="617A8FD6" w14:textId="77777777" w:rsidR="004B2808" w:rsidRDefault="00000000">
      <w:r>
        <w:rPr>
          <w:b/>
          <w:i/>
        </w:rPr>
        <w:t>Caractéristiques de résistance et réaction au feu:</w:t>
      </w:r>
    </w:p>
    <w:p w14:paraId="35ECE8B3" w14:textId="77777777" w:rsidR="004B2808" w:rsidRDefault="00000000">
      <w:r>
        <w:t>Dans le domaine de la sécurité en cas d’incendie des bâtiments nouveaux, l’[AR 1994-07-07], et ses modifications, est d’application et fixe les exigences minimales à respecter en matière de prévention contre l’incendie et l’explosion. Cet AR comporte des exigences consacrées aux escaliers, cages d’escaliers, paliers et sas. Les exigences minimales en matière d’escaliers reliant plusieurs compartiments, et donc encloisonnés (cages d’escaliers, p. ex.), sont résumées au tableau ci-dessous. Les exigences varient selon la hauteur du bâtiment et s’appliquent à tous les bâtiments, à l’exception des bâtiments constitués de deux étages maximum et d’une surface totale inférieure ou égale à 100 m² et des habitations unifamiliales.</w:t>
      </w:r>
    </w:p>
    <w:p w14:paraId="5CA7DA57" w14:textId="77777777" w:rsidR="004B2808" w:rsidRDefault="00000000">
      <w:r>
        <w:t>Tableau:  Aperçu des prescriptions de l’[AR 1994-07-07] en matière d’escaliers reliant plusieurs compartiments</w:t>
      </w:r>
    </w:p>
    <w:tbl>
      <w:tblPr>
        <w:tblStyle w:val="Author-eTableGrid"/>
        <w:tblW w:w="9060" w:type="dxa"/>
        <w:tblLayout w:type="fixed"/>
        <w:tblLook w:val="04A0" w:firstRow="1" w:lastRow="0" w:firstColumn="1" w:lastColumn="0" w:noHBand="0" w:noVBand="1"/>
      </w:tblPr>
      <w:tblGrid>
        <w:gridCol w:w="2265"/>
        <w:gridCol w:w="2265"/>
        <w:gridCol w:w="2265"/>
        <w:gridCol w:w="2265"/>
      </w:tblGrid>
      <w:tr w:rsidR="004B2808" w14:paraId="2C2829A6" w14:textId="77777777">
        <w:tc>
          <w:tcPr>
            <w:tcW w:w="2250" w:type="dxa"/>
            <w:noWrap/>
          </w:tcPr>
          <w:p w14:paraId="2E70281A" w14:textId="77777777" w:rsidR="004B2808" w:rsidRDefault="00000000">
            <w:r>
              <w:t>Prescriptions</w:t>
            </w:r>
          </w:p>
        </w:tc>
        <w:tc>
          <w:tcPr>
            <w:tcW w:w="2250" w:type="dxa"/>
            <w:noWrap/>
          </w:tcPr>
          <w:p w14:paraId="1FBF47E3" w14:textId="77777777" w:rsidR="004B2808" w:rsidRDefault="00000000">
            <w:r>
              <w:t>Bâtiments bas (H &lt; 10 m)</w:t>
            </w:r>
          </w:p>
        </w:tc>
        <w:tc>
          <w:tcPr>
            <w:tcW w:w="2250" w:type="dxa"/>
            <w:noWrap/>
          </w:tcPr>
          <w:p w14:paraId="08358C29" w14:textId="77777777" w:rsidR="004B2808" w:rsidRDefault="00000000">
            <w:r>
              <w:t>Bâtiments moyens (10 m ≤ H ≤ 25 m)</w:t>
            </w:r>
          </w:p>
        </w:tc>
        <w:tc>
          <w:tcPr>
            <w:tcW w:w="2250" w:type="dxa"/>
            <w:noWrap/>
          </w:tcPr>
          <w:p w14:paraId="094EB952" w14:textId="77777777" w:rsidR="004B2808" w:rsidRDefault="00000000">
            <w:r>
              <w:t>Bâtiments élevés (H &gt; 25 m)</w:t>
            </w:r>
          </w:p>
        </w:tc>
      </w:tr>
      <w:tr w:rsidR="004B2808" w14:paraId="299DF4DB" w14:textId="77777777">
        <w:tc>
          <w:tcPr>
            <w:tcW w:w="2250" w:type="dxa"/>
            <w:noWrap/>
          </w:tcPr>
          <w:p w14:paraId="1BD29B40" w14:textId="77777777" w:rsidR="004B2808" w:rsidRDefault="00000000">
            <w:r>
              <w:t>Garde-corps</w:t>
            </w:r>
          </w:p>
        </w:tc>
        <w:tc>
          <w:tcPr>
            <w:tcW w:w="2250" w:type="dxa"/>
            <w:noWrap/>
          </w:tcPr>
          <w:p w14:paraId="799AA6D6" w14:textId="77777777" w:rsidR="004B2808" w:rsidRDefault="00000000">
            <w:r>
              <w:t xml:space="preserve">A prévoir de chaque </w:t>
            </w:r>
            <w:r>
              <w:lastRenderedPageBreak/>
              <w:t>côté sauf si la largeur utile est inférieure à 120 cm et qu’il n’existe pas de risque de chute</w:t>
            </w:r>
          </w:p>
        </w:tc>
        <w:tc>
          <w:tcPr>
            <w:tcW w:w="4500" w:type="dxa"/>
            <w:gridSpan w:val="2"/>
            <w:noWrap/>
          </w:tcPr>
          <w:p w14:paraId="3CFF4F9C" w14:textId="77777777" w:rsidR="004B2808" w:rsidRDefault="00000000">
            <w:r>
              <w:lastRenderedPageBreak/>
              <w:t xml:space="preserve">A prévoir de chaque côté sauf si la largeur utile </w:t>
            </w:r>
            <w:r>
              <w:lastRenderedPageBreak/>
              <w:t>est inférieure à 120 cm et qu’il n’existe pas de risque de chute</w:t>
            </w:r>
          </w:p>
        </w:tc>
      </w:tr>
    </w:tbl>
    <w:p w14:paraId="2BC73F97" w14:textId="77777777" w:rsidR="004B2808" w:rsidRDefault="00000000">
      <w:r>
        <w:lastRenderedPageBreak/>
        <w:br/>
        <w:t>Si les garde-corps interviennent dans la résistance au feu, l'évaluation des caractéristiques R doit être réalisée tel que spécifié dans la norme de classification [NBN EN 13501-2] ou, si cela est pertinent, en utilisant les méthodes d'essai de la [NBN EN 1365-6]. La résistance au feu peut également être évaluée par calcul conformément aux normes Eurocodes structuraux [NBN EN 1995-1-2]. Les classifications adaptées de la rampe ou garde-corps doivent être choisies par le fabricant conformément aux spécifications correspondant à l'utilisation prévue.</w:t>
      </w:r>
    </w:p>
    <w:p w14:paraId="15DF4904" w14:textId="77777777" w:rsidR="004B2808" w:rsidRDefault="00000000">
      <w:r>
        <w:t>Le fabricant doit s’assurer que les composants utilisés des garde-corps finis doivent rester identiques ou ne changent pas d’une manière susceptible de modifier les valeurs obtenues pour la capacité portante.</w:t>
      </w:r>
    </w:p>
    <w:p w14:paraId="3200EB08" w14:textId="77777777" w:rsidR="004B2808" w:rsidRDefault="00000000">
      <w:r>
        <w:t>L’évaluation et la classification doivent être réalisées telles que spécifiées dans la [NBN EN 13501-1] (voir l'Annexe D).</w:t>
      </w:r>
    </w:p>
    <w:p w14:paraId="68455DCE" w14:textId="77777777" w:rsidR="004B2808" w:rsidRDefault="00000000">
      <w:r>
        <w:t>Les exigences de réaction au feu des rampes et gardes-corps sont définies pour les bâtiments de</w:t>
      </w:r>
    </w:p>
    <w:p w14:paraId="482CA81D" w14:textId="77777777" w:rsidR="004B2808" w:rsidRDefault="00000000">
      <w:pPr>
        <w:pStyle w:val="Author-eListParagraph"/>
        <w:numPr>
          <w:ilvl w:val="0"/>
          <w:numId w:val="1401"/>
        </w:numPr>
      </w:pPr>
      <w:r>
        <w:t>Type 1: occupants non-autonomes</w:t>
      </w:r>
      <w:r>
        <w:rPr>
          <w:vertAlign w:val="superscript"/>
        </w:rPr>
        <w:t>(1)</w:t>
      </w:r>
    </w:p>
    <w:p w14:paraId="743A392C" w14:textId="77777777" w:rsidR="004B2808" w:rsidRDefault="00000000">
      <w:pPr>
        <w:pStyle w:val="Author-eListParagraph"/>
        <w:numPr>
          <w:ilvl w:val="0"/>
          <w:numId w:val="1401"/>
        </w:numPr>
      </w:pPr>
      <w:r>
        <w:t>Type 2: occupants autonomes</w:t>
      </w:r>
      <w:r>
        <w:rPr>
          <w:vertAlign w:val="superscript"/>
        </w:rPr>
        <w:t>(2)</w:t>
      </w:r>
      <w:r>
        <w:t> et dormants</w:t>
      </w:r>
      <w:r>
        <w:rPr>
          <w:vertAlign w:val="superscript"/>
        </w:rPr>
        <w:t>(3)</w:t>
      </w:r>
    </w:p>
    <w:p w14:paraId="78B0489D" w14:textId="77777777" w:rsidR="004B2808" w:rsidRDefault="00000000">
      <w:pPr>
        <w:pStyle w:val="Author-eListParagraph"/>
        <w:numPr>
          <w:ilvl w:val="0"/>
          <w:numId w:val="1401"/>
        </w:numPr>
      </w:pPr>
      <w:r>
        <w:t>Type 3: occupants autonomes</w:t>
      </w:r>
      <w:r>
        <w:rPr>
          <w:vertAlign w:val="superscript"/>
        </w:rPr>
        <w:t>(2)</w:t>
      </w:r>
      <w:r>
        <w:t> et vigilants</w:t>
      </w:r>
      <w:r>
        <w:rPr>
          <w:vertAlign w:val="superscript"/>
        </w:rPr>
        <w:t>(4)</w:t>
      </w:r>
    </w:p>
    <w:p w14:paraId="1DDEA427" w14:textId="77777777" w:rsidR="004B2808" w:rsidRDefault="00000000">
      <w:r>
        <w:t xml:space="preserve">Les escaliers sont utilisés en bâtiment de type </w:t>
      </w:r>
      <w:r>
        <w:rPr>
          <w:rStyle w:val="optioncarChar"/>
        </w:rPr>
        <w:t>1 / 2 / 3</w:t>
      </w:r>
      <w:r>
        <w:t>.</w:t>
      </w:r>
    </w:p>
    <w:p w14:paraId="014C1C0D" w14:textId="77777777" w:rsidR="004B2808" w:rsidRDefault="00000000">
      <w:r>
        <w:t xml:space="preserve">Il s’agit d’une application pour </w:t>
      </w:r>
      <w:r>
        <w:rPr>
          <w:rStyle w:val="optioncarChar"/>
        </w:rPr>
        <w:t>bâtiment bas BB (H &lt; 10 m) / bâtiments moyens BM (10 m ≤ H ≤ 25 m) / Bâtiments élevés BE (H &gt; 25 m)</w:t>
      </w:r>
      <w:r>
        <w:t>.</w:t>
      </w:r>
    </w:p>
    <w:p w14:paraId="5FDCD4D2" w14:textId="77777777" w:rsidR="004B2808" w:rsidRDefault="00000000">
      <w:r>
        <w:t>Les classifications de réaction au feu des matériaux sont données en fonction du type de bâtiment et de sa hauteur. Les garde-corps sont considérés comme des parois verticales. Les rampes par contre correspondent à une surface négligeable et ne doivent répondre à cette exigence.</w:t>
      </w:r>
    </w:p>
    <w:p w14:paraId="35DD5BAD" w14:textId="77777777" w:rsidR="004B2808" w:rsidRDefault="00000000">
      <w:r>
        <w:rPr>
          <w:noProof/>
        </w:rPr>
        <w:drawing>
          <wp:inline distT="0" distB="0" distL="0" distR="0" wp14:anchorId="76E9BCC6" wp14:editId="7FFBF0A3">
            <wp:extent cx="5715000" cy="1981200"/>
            <wp:effectExtent l="0" t="0" r="0" b="0"/>
            <wp:docPr id="6" name="57.12.4a tableau34.jpg" descr="57.12.4a tableau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8383" descr=" "/>
                    <pic:cNvPicPr>
                      <a:picLocks noChangeAspect="1" noChangeArrowheads="1"/>
                    </pic:cNvPicPr>
                  </pic:nvPicPr>
                  <pic:blipFill>
                    <a:blip r:embed="rId11"/>
                    <a:srcRect/>
                    <a:stretch>
                      <a:fillRect/>
                    </a:stretch>
                  </pic:blipFill>
                  <pic:spPr bwMode="auto">
                    <a:xfrm>
                      <a:off x="0" y="0"/>
                      <a:ext cx="5715000" cy="1981200"/>
                    </a:xfrm>
                    <a:prstGeom prst="rect">
                      <a:avLst/>
                    </a:prstGeom>
                  </pic:spPr>
                </pic:pic>
              </a:graphicData>
            </a:graphic>
          </wp:inline>
        </w:drawing>
      </w:r>
    </w:p>
    <w:p w14:paraId="0812C38F" w14:textId="77777777" w:rsidR="004B2808" w:rsidRDefault="00000000">
      <w:r>
        <w:t xml:space="preserve">La résistance à la détérioration causée par les conditions climatiques, les agents chimiques et biologiques de type </w:t>
      </w:r>
      <w:r>
        <w:rPr>
          <w:rStyle w:val="optioncarChar"/>
        </w:rPr>
        <w:t>non spécifié</w:t>
      </w:r>
      <w:r>
        <w:t xml:space="preserve"> (par défaut) </w:t>
      </w:r>
      <w:r>
        <w:rPr>
          <w:rStyle w:val="optioncarChar"/>
        </w:rPr>
        <w:t>/ ***</w:t>
      </w:r>
      <w:r>
        <w:t xml:space="preserve"> est vérifiée selon la [NBN EN 15644] pour les garde-corps d’escaliers massifs en bois ou l’[ETAG 008] pour les autres escaliers préfabriqués autres qu’en bois massif.</w:t>
      </w:r>
    </w:p>
    <w:p w14:paraId="52E4F1E8" w14:textId="77777777" w:rsidR="004B2808" w:rsidRDefault="00000000">
      <w:r>
        <w:rPr>
          <w:b/>
        </w:rPr>
        <w:t>Traitement</w:t>
      </w:r>
    </w:p>
    <w:p w14:paraId="34212A86" w14:textId="77777777" w:rsidR="004B2808" w:rsidRDefault="00000000">
      <w:r>
        <w:t>Les produits de préservation du bois doivent être conformes aux exigences de performances données dans la [NBN EN 599-2] appropriées à la classe d'utilisation. L'usinage, le perçage, le rabotage etc. doivent être terminés avant le traitement de préservation. En cas de flache, trace d’écorce (rhytidome) l’élément doit être retiré.</w:t>
      </w:r>
    </w:p>
    <w:p w14:paraId="776916F7" w14:textId="77777777" w:rsidR="004B2808" w:rsidRDefault="00000000">
      <w:r>
        <w:rPr>
          <w:b/>
        </w:rPr>
        <w:t>Finition</w:t>
      </w:r>
    </w:p>
    <w:p w14:paraId="15A2FC17" w14:textId="77777777" w:rsidR="004B2808" w:rsidRDefault="00000000">
      <w:r>
        <w:lastRenderedPageBreak/>
        <w:t>La préparation, finition de surface sont définis dans le tome 8 T8 Travaux de peinture / Traitements de surface.</w:t>
      </w:r>
    </w:p>
    <w:p w14:paraId="28ADC9A9" w14:textId="77777777" w:rsidR="004B2808" w:rsidRDefault="00000000">
      <w:r>
        <w:t>Les éléments endommagés doivent être intégralement remplacés. Les différences de couleurs d’une même essence sont acceptées.</w:t>
      </w:r>
    </w:p>
    <w:p w14:paraId="2E1E20ED" w14:textId="77777777" w:rsidR="004B2808" w:rsidRDefault="00000000">
      <w:pPr>
        <w:pStyle w:val="pheading"/>
      </w:pPr>
      <w:r>
        <w:t>EXÉCUTION / MISE EN ŒUVRE</w:t>
      </w:r>
    </w:p>
    <w:p w14:paraId="54E1F758" w14:textId="77777777" w:rsidR="004B2808" w:rsidRDefault="00000000">
      <w:pPr>
        <w:pStyle w:val="pheading"/>
      </w:pPr>
      <w:r>
        <w:t>- Prescriptions générales</w:t>
      </w:r>
    </w:p>
    <w:p w14:paraId="7BDABD3D" w14:textId="77777777" w:rsidR="004B2808" w:rsidRDefault="00000000">
      <w:r>
        <w:t>Les dessins d'exécution sont soumis à l'approbation de l'auteur de projet. Toutes les pièces sont profilées et fabriquées conformément aux plans d'adjudication et/ou aux dessins d'exécution approuvés.</w:t>
      </w:r>
    </w:p>
    <w:p w14:paraId="119AB7F0" w14:textId="77777777" w:rsidR="004B2808" w:rsidRDefault="00000000">
      <w:r>
        <w:t>La mise en œuvre est conforme aux prescriptions du fabricant et aux [NIT 198] et [NBN B 03-004],</w:t>
      </w:r>
    </w:p>
    <w:p w14:paraId="778F1F84" w14:textId="77777777" w:rsidR="004B2808" w:rsidRDefault="00000000">
      <w:r>
        <w:t>Les assemblages garde-corps/limon et/ou garde-corps/surface de circulation en particulier sont exécutés de manière à ce qu’ils puissent reprendre les sollicitations définies pour l’application.</w:t>
      </w:r>
    </w:p>
    <w:p w14:paraId="48B90709" w14:textId="77777777" w:rsidR="004B2808" w:rsidRDefault="00000000">
      <w:r>
        <w:t xml:space="preserve">Pour les garde-corps, les poteaux/potelets sont fixés </w:t>
      </w:r>
      <w:r>
        <w:rPr>
          <w:rStyle w:val="optioncarChar"/>
        </w:rPr>
        <w:t>par encastrement dans le limon ou la poutre</w:t>
      </w:r>
      <w:r>
        <w:t xml:space="preserve"> (par défaut) </w:t>
      </w:r>
      <w:r>
        <w:rPr>
          <w:rStyle w:val="optioncarChar"/>
        </w:rPr>
        <w:t>/ en applique sur le côté du limon ou poutre / dans les marches / ***</w:t>
      </w:r>
      <w:r>
        <w:t>.</w:t>
      </w:r>
    </w:p>
    <w:p w14:paraId="7D4FB650" w14:textId="77777777" w:rsidR="004B2808" w:rsidRDefault="00000000">
      <w:r>
        <w:t> </w:t>
      </w:r>
    </w:p>
    <w:p w14:paraId="7612174A" w14:textId="77777777" w:rsidR="004B2808" w:rsidRDefault="00000000">
      <w:r>
        <w:t>Le taux d’humidité du bois à la sortie de l’atelier est compris entre 8 et 12 %. Lorsque l’escalier est mis en œuvre dans des locaux chauffés, le taux d’humidité d’équilibre du bois se situe entre 6 et 10 %.</w:t>
      </w:r>
    </w:p>
    <w:p w14:paraId="2F147861" w14:textId="77777777" w:rsidR="004B2808" w:rsidRDefault="00000000">
      <w:r>
        <w:t>Les garde-corps ne peuvent être placés que lorsque l'auteur de projet et l'installateur estiment, en concertation mutuelle, que les conditions de mise en œuvre sont favorables, c'est-à-dire que le plafonnage et revêtement de sols sont suffisamment secs (avec un taux d’humidité de l’air inférieur à 75%) et après la pose des vitrages.</w:t>
      </w:r>
    </w:p>
    <w:p w14:paraId="3F5AFCE0" w14:textId="77777777" w:rsidR="004B2808" w:rsidRDefault="00000000">
      <w:r>
        <w:t>Les garde-corps et rampes ne peuvent en aucun cas être placés lorsque les conditions sont de nature à risquer le voilement ou le retrait.</w:t>
      </w:r>
    </w:p>
    <w:p w14:paraId="20A3FCD6" w14:textId="77777777" w:rsidR="004B2808" w:rsidRDefault="00000000">
      <w:r>
        <w:t>Lorsque les murs sont plafonnés, les garde-corps et rampes en bois sont protégés contre l'humidité de l'enduit.</w:t>
      </w:r>
    </w:p>
    <w:p w14:paraId="4E2760F4" w14:textId="77777777" w:rsidR="004B2808" w:rsidRDefault="00000000">
      <w:r>
        <w:t>Lors du transport, les mesures nécessaires sont prises pour prévenir toute dégradation du bâtiment, des garde-corps et rampes. Ils sont immédiatement entreposés dans un endroit protégé et aéré.</w:t>
      </w:r>
    </w:p>
    <w:p w14:paraId="57BF47DB" w14:textId="77777777" w:rsidR="004B2808" w:rsidRDefault="00000000">
      <w:r>
        <w:t>Les points d'appui et les éventuels éléments d'ancrage sont déterminés en concertation avec l'auteur de projet, l'ingénieur stabilité, l'entrepreneur et le fabricant. L'installateur établit des plans d'exécution qui doivent préalablement être soumis à l'approbation de l'auteur de projet.</w:t>
      </w:r>
    </w:p>
    <w:p w14:paraId="603486E1" w14:textId="77777777" w:rsidR="004B2808" w:rsidRDefault="00000000">
      <w:r>
        <w:t>L'entrepreneur veille à ce que, après leur mise en œuvre, les garde-corps et rampes soient dûment protégés contre les dégradations et l'encrassement pendant la durée des travaux de construction. </w:t>
      </w:r>
    </w:p>
    <w:p w14:paraId="5A275C46" w14:textId="77777777" w:rsidR="004B2808" w:rsidRDefault="00000000">
      <w:r>
        <w:t>Les garde-corps et rampes sont mis en œuvre conformément aux formes indiquées sur les plans et les coupes.</w:t>
      </w:r>
    </w:p>
    <w:p w14:paraId="330BD0E8" w14:textId="77777777" w:rsidR="004B2808" w:rsidRDefault="00000000">
      <w:r>
        <w:t>Lorsque le dossier d'adjudication ne contient pas de dessins de détail spécifiques, la forme des garde-corps et rampes et les dimensions de bases sont données à titre indicatif. L'entrepreneur est tenu de contrôler les dimensions sur place après plafonnage et revêtement de sols et de vérifier si les garde-corps et rampes peuvent être exécutés selon les plans soumis. Lorsque cela s'avère impossible, il en avertit l'auteur de projet le plus rapidement possible.</w:t>
      </w:r>
    </w:p>
    <w:p w14:paraId="675A2833" w14:textId="77777777" w:rsidR="004B2808" w:rsidRDefault="00000000">
      <w:r>
        <w:t>Les dessins d'exécution sont préalablement soumis à l'approbation de l'auteur de projet. Conformément aux descriptions du cahier spécial des charges et des documents de référence des règles de bonne pratique, l'installateur est responsable de la réalisation d'un module du pas ergonomique.</w:t>
      </w:r>
    </w:p>
    <w:p w14:paraId="08C51727" w14:textId="77777777" w:rsidR="004B2808" w:rsidRDefault="00000000">
      <w:pPr>
        <w:pStyle w:val="pheading"/>
      </w:pPr>
      <w:r>
        <w:t>- Notes d’exécution complémentaires</w:t>
      </w:r>
    </w:p>
    <w:p w14:paraId="0C15F8DB" w14:textId="77777777" w:rsidR="004B2808" w:rsidRDefault="00000000">
      <w:r>
        <w:lastRenderedPageBreak/>
        <w:t>En Région de Bruxelles-Capitale l’accessibilité est régie par le Titre IV du . Selon ce Règlement, chaque escalier doit être doté de part et d’autre d’une main courante continue, même au niveau des paliers.</w:t>
      </w:r>
    </w:p>
    <w:p w14:paraId="41F89A30" w14:textId="77777777" w:rsidR="004B2808" w:rsidRDefault="00000000">
      <w:r>
        <w:t>La Région wallonne dispose d’une législation spécifique en matière de bâtiments accessibles au public qui stipulent que les escaliers situés dans des bâtiments dotés d’une fonction publique doivent satisfaire aux exigences suivantes :</w:t>
      </w:r>
    </w:p>
    <w:p w14:paraId="793FF8DA" w14:textId="77777777" w:rsidR="004B2808" w:rsidRDefault="00000000">
      <w:r>
        <w:t>• chaque escalier doit être pourvu de part et d’autre d’une main courante solide et continue. Du côté du mur, la main courante doit dépasser le départ et l’arrivée de l’escalier de 40 cm et elle ne peut pas constituer un danger pour les utilisateurs.</w:t>
      </w:r>
    </w:p>
    <w:p w14:paraId="263AC619" w14:textId="77777777" w:rsidR="004B2808" w:rsidRDefault="00000000">
      <w:pPr>
        <w:pStyle w:val="pheading"/>
      </w:pPr>
      <w:r>
        <w:t>DOCUMENTS DE RÉFÉRENCE COMPLÉMENTAIRES</w:t>
      </w:r>
    </w:p>
    <w:p w14:paraId="37CE6D26" w14:textId="77777777" w:rsidR="004B2808" w:rsidRDefault="00000000">
      <w:pPr>
        <w:pStyle w:val="pheading"/>
      </w:pPr>
      <w:r>
        <w:t>- Matériau</w:t>
      </w:r>
    </w:p>
    <w:p w14:paraId="053E09E6" w14:textId="77777777" w:rsidR="004B2808" w:rsidRDefault="00000000">
      <w:r>
        <w:t>[NBN EN 16481, Escaliers en bois - Conception de la structure - Méthodes de calcul]</w:t>
      </w:r>
    </w:p>
    <w:p w14:paraId="380E6DC9" w14:textId="77777777" w:rsidR="004B2808" w:rsidRDefault="00000000">
      <w:r>
        <w:t>[NIT 198, Les escaliers en bois.]</w:t>
      </w:r>
    </w:p>
    <w:p w14:paraId="1C967876" w14:textId="77777777" w:rsidR="004B2808" w:rsidRDefault="00000000">
      <w:r>
        <w:t>[NBN EN 1995 série, Eurocode 5: Conception et calcul des structures en bois]</w:t>
      </w:r>
    </w:p>
    <w:p w14:paraId="5398026F" w14:textId="77777777" w:rsidR="004B2808" w:rsidRDefault="00000000">
      <w:r>
        <w:t>[NBN B 03-004, Garde-corps de bâtiments]</w:t>
      </w:r>
    </w:p>
    <w:p w14:paraId="09A245AD" w14:textId="77777777" w:rsidR="004B2808" w:rsidRDefault="00000000">
      <w:r>
        <w:t>[CEN/TS 15680, Escaliers préfabriqués en bois - Méthodes d'essais mécaniques]</w:t>
      </w:r>
    </w:p>
    <w:p w14:paraId="3157C029" w14:textId="77777777" w:rsidR="004B2808" w:rsidRDefault="00000000">
      <w:r>
        <w:t>[NBN EN 14076, Escaliers en bois - Terminologie]</w:t>
      </w:r>
    </w:p>
    <w:p w14:paraId="0E73B539" w14:textId="77777777" w:rsidR="004B2808" w:rsidRDefault="00000000">
      <w:r>
        <w:t>[NBN EN 15644, Escaliers préfabriqués de conception traditionnelle en bois massif - Spécifications et exigences]</w:t>
      </w:r>
    </w:p>
    <w:p w14:paraId="07FBF466" w14:textId="77777777" w:rsidR="004B2808" w:rsidRDefault="00000000">
      <w:r>
        <w:t>[ETAG 008, Kits d'escaliers préfabriqués]</w:t>
      </w:r>
    </w:p>
    <w:p w14:paraId="67DB925E" w14:textId="77777777" w:rsidR="004B2808" w:rsidRDefault="00000000">
      <w:r>
        <w:t>[NBN EN 13501-1, Classement au feu des produits et éléments de construction - Partie 1: Classement à partir des données d'essais de réaction au feu]</w:t>
      </w:r>
    </w:p>
    <w:p w14:paraId="6D8B0B85" w14:textId="77777777" w:rsidR="004B2808"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0A45D253" w14:textId="77777777" w:rsidR="004B2808" w:rsidRDefault="00000000">
      <w:r>
        <w:t>[NBN EN 1995-1-2, Eurocode 5: Conception et Calcul des structures en bois - Part 1-2: Généralités - Calcul des structures au feu (+AC:2009)]</w:t>
      </w:r>
    </w:p>
    <w:p w14:paraId="33A267EF" w14:textId="77777777" w:rsidR="004B2808" w:rsidRDefault="00000000">
      <w:r>
        <w:t>[SWL CALA, Guide d’aide à la conception d’un logement adaptable]</w:t>
      </w:r>
    </w:p>
    <w:p w14:paraId="787A14FC" w14:textId="77777777" w:rsidR="004B2808" w:rsidRDefault="00000000">
      <w:r>
        <w:t>[NBN ISO 21542, Construction immobilière — Accessibilité et facilité d'utilisation de l'environnement bâti (ISO 21542:2011)]</w:t>
      </w:r>
    </w:p>
    <w:p w14:paraId="7E840D97" w14:textId="77777777" w:rsidR="004B2808" w:rsidRDefault="00000000">
      <w:r>
        <w:t>[BS 8300, Design of buildings and their approaches to meet the needs of disabled people. Code of Practice]</w:t>
      </w:r>
    </w:p>
    <w:p w14:paraId="2B0A5869" w14:textId="77777777" w:rsidR="004B2808" w:rsidRDefault="00000000">
      <w:pPr>
        <w:pStyle w:val="pheading"/>
      </w:pPr>
      <w:r>
        <w:t>- Exécution</w:t>
      </w:r>
    </w:p>
    <w:p w14:paraId="46EE860B" w14:textId="77777777" w:rsidR="004B2808" w:rsidRDefault="00000000">
      <w:r>
        <w:t> </w:t>
      </w:r>
    </w:p>
    <w:p w14:paraId="47991BED" w14:textId="77777777" w:rsidR="004B2808" w:rsidRDefault="004B2808"/>
    <w:p w14:paraId="57D13B52" w14:textId="77777777" w:rsidR="004B2808" w:rsidRDefault="00000000">
      <w:r>
        <w:t>[CoDT, Code du Développement Territorial]</w:t>
      </w:r>
    </w:p>
    <w:p w14:paraId="10DDAC08" w14:textId="77777777" w:rsidR="004B2808" w:rsidRDefault="00000000">
      <w:r>
        <w:t>[CoBAT 2004-04-09, Code bruxellois de l'aménagement du territoire (CoBAT)]</w:t>
      </w:r>
    </w:p>
    <w:p w14:paraId="231D7052" w14:textId="77777777" w:rsidR="004B2808" w:rsidRDefault="00000000">
      <w:pPr>
        <w:pStyle w:val="pheading"/>
      </w:pPr>
      <w:r>
        <w:t>MESURAGE</w:t>
      </w:r>
    </w:p>
    <w:p w14:paraId="3B6AC338" w14:textId="77777777" w:rsidR="004B2808" w:rsidRDefault="00000000">
      <w:pPr>
        <w:pStyle w:val="pheading"/>
      </w:pPr>
      <w:r>
        <w:t>- unité de mesure:</w:t>
      </w:r>
    </w:p>
    <w:p w14:paraId="09D0157C" w14:textId="77777777" w:rsidR="004B2808" w:rsidRDefault="00000000">
      <w:r>
        <w:t>m</w:t>
      </w:r>
    </w:p>
    <w:p w14:paraId="0ED4FD3B" w14:textId="77777777" w:rsidR="004B2808" w:rsidRDefault="00000000">
      <w:pPr>
        <w:pStyle w:val="pheading"/>
      </w:pPr>
      <w:r>
        <w:t>- code de mesurage:</w:t>
      </w:r>
    </w:p>
    <w:p w14:paraId="1C038957" w14:textId="77777777" w:rsidR="004B2808" w:rsidRDefault="00000000">
      <w:r>
        <w:t>Longueur nette à mettre en œuvre.</w:t>
      </w:r>
    </w:p>
    <w:p w14:paraId="4EB89E54" w14:textId="77777777" w:rsidR="004B2808" w:rsidRDefault="00000000">
      <w:r>
        <w:lastRenderedPageBreak/>
        <w:t xml:space="preserve">Une distinction </w:t>
      </w:r>
      <w:r>
        <w:rPr>
          <w:rStyle w:val="optioncarChar"/>
        </w:rPr>
        <w:t>n’est pas faite</w:t>
      </w:r>
      <w:r>
        <w:t xml:space="preserve"> (par défaut) </w:t>
      </w:r>
      <w:r>
        <w:rPr>
          <w:rStyle w:val="optioncarChar"/>
        </w:rPr>
        <w:t>/ est faite</w:t>
      </w:r>
      <w:r>
        <w:t xml:space="preserve"> entre les garde-corps d’escaliers et de parties horizontales.</w:t>
      </w:r>
    </w:p>
    <w:p w14:paraId="1B9EE08C" w14:textId="77777777" w:rsidR="004B2808" w:rsidRDefault="00000000">
      <w:pPr>
        <w:pStyle w:val="pheading"/>
      </w:pPr>
      <w:r>
        <w:t>- nature du marché:</w:t>
      </w:r>
    </w:p>
    <w:p w14:paraId="39192125" w14:textId="77777777" w:rsidR="004B2808" w:rsidRDefault="00000000">
      <w:r>
        <w:t>QF</w:t>
      </w:r>
    </w:p>
    <w:p w14:paraId="14194A75" w14:textId="77777777" w:rsidR="004B2808" w:rsidRDefault="00000000">
      <w:pPr>
        <w:pStyle w:val="Author-eSectionHeading4Numberless"/>
      </w:pPr>
      <w:bookmarkStart w:id="1535" w:name="_Toc220491632"/>
      <w:r>
        <w:t>57.13 Escaliers particuliers CCTB 01.02</w:t>
      </w:r>
      <w:bookmarkEnd w:id="1535"/>
    </w:p>
    <w:p w14:paraId="294A1EF5" w14:textId="77777777" w:rsidR="004B2808" w:rsidRDefault="00000000">
      <w:pPr>
        <w:pStyle w:val="Author-eSectionHeading5Numberless"/>
      </w:pPr>
      <w:bookmarkStart w:id="1536" w:name="_Toc220491633"/>
      <w:r>
        <w:t>57.13.1 Echelles de secours  CCTB 01.07</w:t>
      </w:r>
      <w:bookmarkEnd w:id="1536"/>
    </w:p>
    <w:p w14:paraId="1B92562D" w14:textId="77777777" w:rsidR="004B2808" w:rsidRDefault="00000000">
      <w:pPr>
        <w:pStyle w:val="pheading"/>
      </w:pPr>
      <w:r>
        <w:t>DESCRIPTION</w:t>
      </w:r>
    </w:p>
    <w:p w14:paraId="5800C687" w14:textId="77777777" w:rsidR="004B2808" w:rsidRDefault="00000000">
      <w:pPr>
        <w:pStyle w:val="pheading"/>
      </w:pPr>
      <w:r>
        <w:t>- Définition / Comprend</w:t>
      </w:r>
    </w:p>
    <w:p w14:paraId="30CCFC24" w14:textId="77777777" w:rsidR="004B2808" w:rsidRDefault="00000000">
      <w:r>
        <w:t>Renvoi au § 45.3 Echelles de secours</w:t>
      </w:r>
    </w:p>
    <w:p w14:paraId="42F1B56A" w14:textId="77777777" w:rsidR="004B2808" w:rsidRDefault="00000000">
      <w:pPr>
        <w:pStyle w:val="Author-eSectionHeading6Numberless"/>
      </w:pPr>
      <w:bookmarkStart w:id="1537" w:name="_Toc220491634"/>
      <w:r>
        <w:t>57.13.1a Echelles de secours  CCTB 01.07</w:t>
      </w:r>
      <w:bookmarkEnd w:id="1537"/>
    </w:p>
    <w:p w14:paraId="4DC97029" w14:textId="77777777" w:rsidR="004B2808" w:rsidRDefault="00000000">
      <w:pPr>
        <w:pStyle w:val="pheading"/>
      </w:pPr>
      <w:r>
        <w:t>DESCRIPTION</w:t>
      </w:r>
    </w:p>
    <w:p w14:paraId="43E0A7C4" w14:textId="77777777" w:rsidR="004B2808" w:rsidRDefault="00000000">
      <w:pPr>
        <w:pStyle w:val="pheading"/>
      </w:pPr>
      <w:r>
        <w:t>- Définition / Comprend</w:t>
      </w:r>
    </w:p>
    <w:p w14:paraId="1C90E000" w14:textId="77777777" w:rsidR="004B2808" w:rsidRDefault="00000000">
      <w:r>
        <w:t>Renvoi au § 45.3 Echelles de secours</w:t>
      </w:r>
    </w:p>
    <w:p w14:paraId="7CEE12A6" w14:textId="77777777" w:rsidR="004B2808" w:rsidRDefault="00000000">
      <w:pPr>
        <w:pStyle w:val="Author-eSectionHeading5Numberless"/>
      </w:pPr>
      <w:bookmarkStart w:id="1538" w:name="_Toc220491635"/>
      <w:r>
        <w:t>57.13.2 Escaliers escamotables CCTB 01.10</w:t>
      </w:r>
      <w:bookmarkEnd w:id="1538"/>
    </w:p>
    <w:p w14:paraId="544E626A" w14:textId="77777777" w:rsidR="004B2808" w:rsidRDefault="00000000">
      <w:pPr>
        <w:pStyle w:val="pheading"/>
      </w:pPr>
      <w:r>
        <w:t>DESCRIPTION</w:t>
      </w:r>
    </w:p>
    <w:p w14:paraId="5E225CF0" w14:textId="77777777" w:rsidR="004B2808" w:rsidRDefault="00000000">
      <w:pPr>
        <w:pStyle w:val="pheading"/>
      </w:pPr>
      <w:r>
        <w:t>- Définition / Comprend</w:t>
      </w:r>
    </w:p>
    <w:p w14:paraId="67545A9F" w14:textId="77777777" w:rsidR="004B2808" w:rsidRDefault="00000000">
      <w:r>
        <w:t>Il s'agit de la fourniture et de la pose d'escaliers de grenier préfabriqués, combinés à une trappe de grenier préfabriquée. Conformément aux dispositions générales et/ou spécifiques du cahier spécial des charges, les prix unitaires compris dans ces postes doivent toujours comprendre, soit selon la ventilation dans le métré récapitulatif, soit dans leur totalité</w:t>
      </w:r>
    </w:p>
    <w:p w14:paraId="2A257422" w14:textId="77777777" w:rsidR="004B2808" w:rsidRDefault="00000000">
      <w:pPr>
        <w:pStyle w:val="Author-eListParagraph"/>
        <w:numPr>
          <w:ilvl w:val="0"/>
          <w:numId w:val="1402"/>
        </w:numPr>
      </w:pPr>
      <w:r>
        <w:t>le contrôle des dimensions exactes et la préparation des supports.</w:t>
      </w:r>
    </w:p>
    <w:p w14:paraId="79E5052E" w14:textId="77777777" w:rsidR="004B2808" w:rsidRDefault="00000000">
      <w:pPr>
        <w:pStyle w:val="Author-eListParagraph"/>
        <w:numPr>
          <w:ilvl w:val="0"/>
          <w:numId w:val="1402"/>
        </w:numPr>
      </w:pPr>
      <w:r>
        <w:t>la fourniture et le montage de la trappe de grenier, y compris tous les accessoires : escalier, mécanisme de manœuvre, (ressorts, charnières, …), la trappe, l'habillage de l'ouverture, le dispositif de fermeture, la barre de manœuvre, …</w:t>
      </w:r>
    </w:p>
    <w:p w14:paraId="6204A4D4" w14:textId="77777777" w:rsidR="004B2808" w:rsidRDefault="00000000">
      <w:pPr>
        <w:pStyle w:val="Author-eListParagraph"/>
        <w:numPr>
          <w:ilvl w:val="0"/>
          <w:numId w:val="1402"/>
        </w:numPr>
      </w:pPr>
      <w:r>
        <w:t>les mesures nécessaires sont prises pour protéger l'escalier après sa mise en œuvre .</w:t>
      </w:r>
    </w:p>
    <w:p w14:paraId="6734413D" w14:textId="77777777" w:rsidR="004B2808" w:rsidRDefault="00000000">
      <w:pPr>
        <w:pStyle w:val="Author-eListParagraph"/>
        <w:numPr>
          <w:ilvl w:val="0"/>
          <w:numId w:val="1402"/>
        </w:numPr>
      </w:pPr>
      <w:r>
        <w:t xml:space="preserve">En matière de sécurité incendie, les escaliers doivent satisfaire à certaines exigences en fonction du type de bâtiment et de la destination des locaux auxquels ils appartiennent. </w:t>
      </w:r>
    </w:p>
    <w:p w14:paraId="5AB7B466" w14:textId="77777777" w:rsidR="004B2808" w:rsidRDefault="00000000">
      <w:r>
        <w:t>Support aux prescripteurs : [SWL GSI/T1/B] et [SWL GSI/T1/C] de la prévention passive référencés dans le tome 0 T0 Entreprise / Chantier  de ce cahier des charges.</w:t>
      </w:r>
    </w:p>
    <w:p w14:paraId="549094D4" w14:textId="77777777" w:rsidR="004B2808" w:rsidRDefault="00000000">
      <w:pPr>
        <w:pStyle w:val="pheading"/>
      </w:pPr>
      <w:r>
        <w:t>MATÉRIAUX</w:t>
      </w:r>
    </w:p>
    <w:p w14:paraId="49AA78CF" w14:textId="77777777" w:rsidR="004B2808" w:rsidRDefault="00000000">
      <w:r>
        <w:t>L'ensemble composé des matériaux, des éléments porteurs et des assemblages, forme un ouvrage stable et doit satisfaire à une charge de service d'au moins 175 kg (une personne corpulente portant une charge lourde). Les composants de l'escalier (limons, marches, …) et leurs fixations doivent au moins résister à une charge de sécurité dynamique, à savoir une énergie de choc de 600 Joules d'un corps souple (max = 50 kg tombant d'une hauteur de 1,2 m ).</w:t>
      </w:r>
    </w:p>
    <w:p w14:paraId="2BE97757" w14:textId="77777777" w:rsidR="004B2808" w:rsidRDefault="00000000">
      <w:r>
        <w:br/>
        <w:t>En fonction du mécanisme d'ouverture, on distingue :</w:t>
      </w:r>
    </w:p>
    <w:p w14:paraId="36940BCA" w14:textId="77777777" w:rsidR="004B2808" w:rsidRDefault="00000000">
      <w:r>
        <w:t>Choix opéré :</w:t>
      </w:r>
      <w:r>
        <w:rPr>
          <w:rStyle w:val="optioncarChar"/>
          <w:b/>
        </w:rPr>
        <w:t xml:space="preserve"> *** / OPTION 1 (pliable) </w:t>
      </w:r>
      <w:r>
        <w:t>(par défaut)</w:t>
      </w:r>
      <w:r>
        <w:rPr>
          <w:rStyle w:val="optioncarChar"/>
          <w:b/>
        </w:rPr>
        <w:t xml:space="preserve"> / OPTION 2 (escamotable) / OPTION 3 (accordéon) </w:t>
      </w:r>
    </w:p>
    <w:p w14:paraId="68950D49" w14:textId="77777777" w:rsidR="004B2808" w:rsidRDefault="00000000">
      <w:r>
        <w:rPr>
          <w:b/>
        </w:rPr>
        <w:t>***OPTION 1 </w:t>
      </w:r>
      <w:r>
        <w:t xml:space="preserve">(par défaut) : un système repliable , composé d'une partie fixe attachée à la trappe d'accès et deux parties mobiles qui sont fixées par des articulations aux limons de l'escalier. Les trois parties présentent environ la même longueur et n'occupent, une fois repliées, pas plus de place que la trappe d'accès. Les parties supérieure et centrale de l'escalier sont verrouillées par un ressort de </w:t>
      </w:r>
      <w:r>
        <w:lastRenderedPageBreak/>
        <w:t xml:space="preserve">blocage. En position abaissée, la partie mobile est retenue par un crochet replié, fixé sur le bord inférieur de la trappe. Les deux parties mobiles doivent pouvoir être attachées solidement à la partie fixe afin que l'escalier ne s'ouvre pas dès qu'on ouvre la trappe. </w:t>
      </w:r>
      <w:r>
        <w:br/>
      </w:r>
      <w:r>
        <w:rPr>
          <w:b/>
        </w:rPr>
        <w:t>***OPTION 2</w:t>
      </w:r>
      <w:r>
        <w:t xml:space="preserve"> :un système escamotable, composé d'une partie d'escalier fixe attachée à la trappe d'accès et d'une partie d'escalier mobile qui vient se glisser entre, sur ou au-dessus de la partie fixe en position fermée. La partie fixe de l'escalier est équipée d'un limon latéral qui sert de guide à l'escalier lorsqu' il coulisse. La partie mobile est équipée de tiges de support et d'un rouleau de repos. En position ouverte, ce dernier tombe dans la courbure du limon. La partie mobile de l'escalier est guidée par des profils appropriés fixés sur la trappe ou sur la partie fixe de l'escalier. En position ouverte, la partie mobile de l'escalier s'accroche à la partie fixe. En position fermée, la partie mobile est retenue par un crochet recourbé, fixé dans le bas de la trappe.</w:t>
      </w:r>
      <w:r>
        <w:br/>
      </w:r>
      <w:r>
        <w:rPr>
          <w:b/>
        </w:rPr>
        <w:t>***OPTION 3 :</w:t>
      </w:r>
      <w:r>
        <w:t xml:space="preserve"> un système accordéon, composé de marches reliées entre elles par des charnières.</w:t>
      </w:r>
    </w:p>
    <w:p w14:paraId="392B9F9B" w14:textId="77777777" w:rsidR="004B2808" w:rsidRDefault="004B2808"/>
    <w:p w14:paraId="5996E156" w14:textId="77777777" w:rsidR="004B2808" w:rsidRDefault="00000000">
      <w:r>
        <w:t>Le poids total de la trappe et de l'escalier doit être tel que l'ensemble puisse facilement être ouvert ou fermé par une seule personne. La trappe de grenier est maintenue totalement ouverte par deux bras articulés fixés au montant. Ces bras se composent d'une batée munie d'un étrier et de ressorts, fixés à la trappe. Afin de maintenir la trappe en équilibre dans toutes les positions (lorsque tout le poids de l'escalier repose sur la trappe en position fermée), un dispositif est prévu muni de deux bras à ressorts latéraux dont les ressorts sont réglables ou muni d'un contrepoids suspendu à des câbles qui maintient la trappe en équilibre autour des charnières. La trappe est maintenue en position fermée à l'aide d'une serrure à pêne et s'ouvre à l'aide d'un crochet.</w:t>
      </w:r>
    </w:p>
    <w:p w14:paraId="0C4F8CE4" w14:textId="77777777" w:rsidR="004B2808" w:rsidRDefault="00000000">
      <w:pPr>
        <w:pStyle w:val="pheading"/>
      </w:pPr>
      <w:r>
        <w:t>EXÉCUTION / MISE EN ŒUVRE</w:t>
      </w:r>
    </w:p>
    <w:p w14:paraId="62DCC8D7" w14:textId="77777777" w:rsidR="004B2808" w:rsidRDefault="00000000">
      <w:r>
        <w:t>Les escaliers de grenier sont exécutés conformément aux indications sur les plans et les coupes. L'entrepreneur est tenu de vérifier les dimensions sur place et de contrôler si l'escalier peut être exécuté conformément aux plans soumis. Pour gravir l'escalier, une hauteur libre d'au moins 210 cm doit être respectée. Lorsque cette hauteur ne peut être atteinte, l'entrepreneur en avertit immédiatement l'auteur de projet.</w:t>
      </w:r>
      <w:r>
        <w:br/>
        <w:t>Les éléments préfabriqués constituant l'escalier de grenier sont posés selon les prescriptions du fabricant. Les ressorts sont réglés à l'avance.</w:t>
      </w:r>
      <w:r>
        <w:br/>
        <w:t>La trappe est placée dans l'ouverture et à la bonne hauteur. Les charnières de la trappe sont cachées et permettent à la trappe de s'ouvrir vers le bas. L'ensemble est réalisé de la manière le plus étanche possible.</w:t>
      </w:r>
    </w:p>
    <w:p w14:paraId="4B11BAEB" w14:textId="77777777" w:rsidR="004B2808" w:rsidRDefault="00000000">
      <w:pPr>
        <w:pStyle w:val="Author-eSectionHeading6Numberless"/>
      </w:pPr>
      <w:bookmarkStart w:id="1539" w:name="_Toc220491636"/>
      <w:r>
        <w:t>57.13.2a Escaliers escamotables en bois CCTB 01.10</w:t>
      </w:r>
      <w:bookmarkEnd w:id="1539"/>
    </w:p>
    <w:p w14:paraId="023CA8E9" w14:textId="77777777" w:rsidR="004B2808" w:rsidRDefault="00000000">
      <w:pPr>
        <w:pStyle w:val="pheading"/>
      </w:pPr>
      <w:r>
        <w:t>MATÉRIAUX</w:t>
      </w:r>
    </w:p>
    <w:p w14:paraId="6C289675" w14:textId="77777777" w:rsidR="004B2808" w:rsidRDefault="00000000">
      <w:pPr>
        <w:pStyle w:val="pheading"/>
      </w:pPr>
      <w:r>
        <w:t>- Caractéristiques générales</w:t>
      </w:r>
    </w:p>
    <w:p w14:paraId="6C20FFF6" w14:textId="77777777" w:rsidR="004B2808" w:rsidRDefault="00000000">
      <w:r>
        <w:t>Les éléments d'escalier sont fabriqués en:</w:t>
      </w:r>
    </w:p>
    <w:p w14:paraId="49088211" w14:textId="77777777" w:rsidR="004B2808" w:rsidRDefault="00000000">
      <w:r>
        <w:t>Choix opéré :</w:t>
      </w:r>
      <w:r>
        <w:rPr>
          <w:rStyle w:val="optioncarChar"/>
          <w:b/>
        </w:rPr>
        <w:t>*** / OPTION 1 </w:t>
      </w:r>
      <w:r>
        <w:t xml:space="preserve">(par défaut) </w:t>
      </w:r>
      <w:r>
        <w:rPr>
          <w:rStyle w:val="optioncarChar"/>
          <w:b/>
        </w:rPr>
        <w:t>/ OPTION 2</w:t>
      </w:r>
    </w:p>
    <w:p w14:paraId="6672B033" w14:textId="77777777" w:rsidR="004B2808" w:rsidRDefault="00000000">
      <w:r>
        <w:rPr>
          <w:b/>
        </w:rPr>
        <w:t>***OPTION 1</w:t>
      </w:r>
      <w:r>
        <w:t xml:space="preserve"> :hêtre. Le bois mis en œuvre est exempt de cœur rouge. Qualité : </w:t>
      </w:r>
      <w:r>
        <w:rPr>
          <w:rStyle w:val="optioncarChar"/>
        </w:rPr>
        <w:t>1er choix </w:t>
      </w:r>
      <w:r>
        <w:t>(par défaut)</w:t>
      </w:r>
      <w:r>
        <w:rPr>
          <w:rStyle w:val="optioncarChar"/>
        </w:rPr>
        <w:t xml:space="preserve"> / 2ème choix</w:t>
      </w:r>
      <w:r>
        <w:t xml:space="preserve"> .</w:t>
      </w:r>
      <w:r>
        <w:br/>
      </w:r>
      <w:r>
        <w:rPr>
          <w:b/>
        </w:rPr>
        <w:t>***OPTION 2 </w:t>
      </w:r>
      <w:r>
        <w:t xml:space="preserve">: </w:t>
      </w:r>
      <w:r>
        <w:rPr>
          <w:rStyle w:val="optioncarChar"/>
        </w:rPr>
        <w:t>Sapin du Nord (PNG)</w:t>
      </w:r>
      <w:r>
        <w:t> (par défaut)</w:t>
      </w:r>
      <w:r>
        <w:rPr>
          <w:rStyle w:val="optioncarChar"/>
        </w:rPr>
        <w:t> / Sapin indigène (Pinus Sylvestris)</w:t>
      </w:r>
      <w:r>
        <w:t xml:space="preserve"> Qualité : </w:t>
      </w:r>
      <w:r>
        <w:rPr>
          <w:rStyle w:val="optioncarChar"/>
        </w:rPr>
        <w:t xml:space="preserve">1er choix </w:t>
      </w:r>
      <w:r>
        <w:t>(par défaut) </w:t>
      </w:r>
      <w:r>
        <w:rPr>
          <w:rStyle w:val="optioncarChar"/>
        </w:rPr>
        <w:t>/ 2ème choix / *** .</w:t>
      </w:r>
    </w:p>
    <w:p w14:paraId="58DE6F30" w14:textId="77777777" w:rsidR="004B2808" w:rsidRDefault="00000000">
      <w:r>
        <w:t xml:space="preserve">La qualité et la mise en œuvre du bois doivent satisfaire aux dispositions générales de l'article  </w:t>
      </w:r>
      <w:hyperlink w:anchor="377" w:history="1">
        <w:r w:rsidR="004B2808">
          <w:rPr>
            <w:color w:val="0000EE"/>
          </w:rPr>
          <w:t>57.1 Escaliers et garde-corps complets</w:t>
        </w:r>
      </w:hyperlink>
      <w:r>
        <w:t xml:space="preserve"> escaliers / bois - généralités. Tous les éléments métalliques sont en acier galvanisé ou bichromaté.</w:t>
      </w:r>
    </w:p>
    <w:p w14:paraId="685C7C65" w14:textId="77777777" w:rsidR="004B2808" w:rsidRDefault="00000000">
      <w:r>
        <w:t>Les kits d'escaliers préfabriqués sont conformes aux exigences du guide [ETAG 008]. </w:t>
      </w:r>
    </w:p>
    <w:p w14:paraId="3F1D277A" w14:textId="77777777" w:rsidR="004B2808" w:rsidRDefault="00000000">
      <w:pPr>
        <w:pStyle w:val="heading"/>
      </w:pPr>
      <w:r>
        <w:t>Spécifications</w:t>
      </w:r>
    </w:p>
    <w:p w14:paraId="5C8045AA" w14:textId="77777777" w:rsidR="004B2808" w:rsidRDefault="00000000">
      <w:pPr>
        <w:pStyle w:val="Author-eListParagraph"/>
        <w:numPr>
          <w:ilvl w:val="0"/>
          <w:numId w:val="1403"/>
        </w:numPr>
      </w:pPr>
      <w:r>
        <w:t xml:space="preserve">Type d'escalier : escalier </w:t>
      </w:r>
      <w:r>
        <w:rPr>
          <w:rStyle w:val="optioncarChar"/>
        </w:rPr>
        <w:t>escamotable</w:t>
      </w:r>
      <w:r>
        <w:t> (par défaut)</w:t>
      </w:r>
      <w:r>
        <w:rPr>
          <w:rStyle w:val="optioncarChar"/>
        </w:rPr>
        <w:t xml:space="preserve"> / repliable / ***</w:t>
      </w:r>
    </w:p>
    <w:p w14:paraId="3FFD7C80" w14:textId="77777777" w:rsidR="004B2808" w:rsidRDefault="00000000">
      <w:pPr>
        <w:pStyle w:val="Author-eListParagraph"/>
        <w:numPr>
          <w:ilvl w:val="0"/>
          <w:numId w:val="1403"/>
        </w:numPr>
      </w:pPr>
      <w:r>
        <w:t xml:space="preserve">Dimensions de l'escalier : largeur de l'escalier : minimum </w:t>
      </w:r>
      <w:r>
        <w:rPr>
          <w:rStyle w:val="optioncarChar"/>
        </w:rPr>
        <w:t>45</w:t>
      </w:r>
      <w:r>
        <w:t> (par défaut) </w:t>
      </w:r>
      <w:r>
        <w:rPr>
          <w:rStyle w:val="optioncarChar"/>
        </w:rPr>
        <w:t xml:space="preserve">/ 60 / *** </w:t>
      </w:r>
      <w:r>
        <w:t xml:space="preserve">cm </w:t>
      </w:r>
    </w:p>
    <w:p w14:paraId="7A9E09FF" w14:textId="77777777" w:rsidR="004B2808" w:rsidRDefault="00000000">
      <w:pPr>
        <w:pStyle w:val="Author-eListParagraph"/>
        <w:numPr>
          <w:ilvl w:val="1"/>
          <w:numId w:val="1404"/>
        </w:numPr>
      </w:pPr>
      <w:r>
        <w:t xml:space="preserve">Section des limons : minimum </w:t>
      </w:r>
      <w:r>
        <w:rPr>
          <w:rStyle w:val="optioncarChar"/>
        </w:rPr>
        <w:t>25 x 120</w:t>
      </w:r>
      <w:r>
        <w:t> (par défaut)</w:t>
      </w:r>
      <w:r>
        <w:rPr>
          <w:rStyle w:val="optioncarChar"/>
        </w:rPr>
        <w:t xml:space="preserve"> / 25 x 140 / *** </w:t>
      </w:r>
      <w:r>
        <w:t>mm</w:t>
      </w:r>
    </w:p>
    <w:p w14:paraId="1BF27120" w14:textId="77777777" w:rsidR="004B2808" w:rsidRDefault="00000000">
      <w:pPr>
        <w:pStyle w:val="Author-eListParagraph"/>
        <w:numPr>
          <w:ilvl w:val="1"/>
          <w:numId w:val="1404"/>
        </w:numPr>
      </w:pPr>
      <w:r>
        <w:lastRenderedPageBreak/>
        <w:t xml:space="preserve">Section des marches : minimum </w:t>
      </w:r>
      <w:r>
        <w:rPr>
          <w:rStyle w:val="optioncarChar"/>
        </w:rPr>
        <w:t>20 x 100</w:t>
      </w:r>
      <w:r>
        <w:t> (par défaut)</w:t>
      </w:r>
      <w:r>
        <w:rPr>
          <w:rStyle w:val="optioncarChar"/>
        </w:rPr>
        <w:t xml:space="preserve"> / 20 x 150 / *** </w:t>
      </w:r>
      <w:r>
        <w:t>mm</w:t>
      </w:r>
    </w:p>
    <w:p w14:paraId="3EEAAB45" w14:textId="77777777" w:rsidR="004B2808" w:rsidRDefault="00000000">
      <w:pPr>
        <w:pStyle w:val="Author-eListParagraph"/>
        <w:numPr>
          <w:ilvl w:val="0"/>
          <w:numId w:val="1403"/>
        </w:numPr>
      </w:pPr>
      <w:r>
        <w:t>Procédé de traitement du bois : Type B avec certificat de contrôle technique</w:t>
      </w:r>
    </w:p>
    <w:p w14:paraId="4BB95D51" w14:textId="77777777" w:rsidR="004B2808" w:rsidRDefault="00000000">
      <w:pPr>
        <w:pStyle w:val="Author-eListParagraph"/>
        <w:numPr>
          <w:ilvl w:val="0"/>
          <w:numId w:val="1403"/>
        </w:numPr>
      </w:pPr>
      <w:r>
        <w:t>Finition des escaliers :</w:t>
      </w:r>
      <w:r>
        <w:rPr>
          <w:rStyle w:val="optioncarChar"/>
        </w:rPr>
        <w:t> non traités </w:t>
      </w:r>
      <w:r>
        <w:t>(par défaut)</w:t>
      </w:r>
      <w:r>
        <w:rPr>
          <w:rStyle w:val="optioncarChar"/>
        </w:rPr>
        <w:t xml:space="preserve"> / 2 couches de vernis alkyde-uréthane (satiné) / 2 couches de vernis polyuréthane-acrylique (satiné) / ***.</w:t>
      </w:r>
    </w:p>
    <w:p w14:paraId="213DD1CE" w14:textId="77777777" w:rsidR="004B2808" w:rsidRDefault="00000000">
      <w:pPr>
        <w:pStyle w:val="Author-eListParagraph"/>
        <w:numPr>
          <w:ilvl w:val="0"/>
          <w:numId w:val="1403"/>
        </w:numPr>
      </w:pPr>
      <w:r>
        <w:t xml:space="preserve">Dimensions de la trappe de grenier (gros-œuvre) : </w:t>
      </w:r>
    </w:p>
    <w:p w14:paraId="5BA69C75" w14:textId="77777777" w:rsidR="004B2808" w:rsidRDefault="00000000">
      <w:pPr>
        <w:pStyle w:val="Author-eListParagraph"/>
        <w:numPr>
          <w:ilvl w:val="1"/>
          <w:numId w:val="1405"/>
        </w:numPr>
      </w:pPr>
      <w:r>
        <w:t>largeur :</w:t>
      </w:r>
      <w:r>
        <w:rPr>
          <w:rStyle w:val="optioncarChar"/>
        </w:rPr>
        <w:t> 60 </w:t>
      </w:r>
      <w:r>
        <w:t>(par défaut)</w:t>
      </w:r>
      <w:r>
        <w:rPr>
          <w:rStyle w:val="optioncarChar"/>
        </w:rPr>
        <w:t xml:space="preserve"> / 70 / *** </w:t>
      </w:r>
      <w:r>
        <w:t>cm</w:t>
      </w:r>
    </w:p>
    <w:p w14:paraId="21CD1F6E" w14:textId="77777777" w:rsidR="004B2808" w:rsidRDefault="00000000">
      <w:pPr>
        <w:pStyle w:val="Author-eListParagraph"/>
        <w:numPr>
          <w:ilvl w:val="1"/>
          <w:numId w:val="1405"/>
        </w:numPr>
      </w:pPr>
      <w:r>
        <w:t xml:space="preserve">longueur : </w:t>
      </w:r>
      <w:r>
        <w:rPr>
          <w:rStyle w:val="optioncarChar"/>
        </w:rPr>
        <w:t>100</w:t>
      </w:r>
      <w:r>
        <w:t> (par défaut)</w:t>
      </w:r>
      <w:r>
        <w:rPr>
          <w:rStyle w:val="optioncarChar"/>
        </w:rPr>
        <w:t xml:space="preserve"> / 110 / 120 / 130 / 140 / *** </w:t>
      </w:r>
      <w:r>
        <w:t>cm / à déterminer par l'entrepreneur en fonction du type d'escalier</w:t>
      </w:r>
    </w:p>
    <w:p w14:paraId="553B7A27" w14:textId="77777777" w:rsidR="004B2808" w:rsidRDefault="00000000">
      <w:pPr>
        <w:pStyle w:val="Author-eListParagraph"/>
        <w:numPr>
          <w:ilvl w:val="0"/>
          <w:numId w:val="1403"/>
        </w:numPr>
      </w:pPr>
      <w:r>
        <w:t xml:space="preserve">Panneau de la trappe : </w:t>
      </w:r>
      <w:r>
        <w:rPr>
          <w:rStyle w:val="optioncarChar"/>
        </w:rPr>
        <w:t>MDF</w:t>
      </w:r>
      <w:r>
        <w:t> (par défaut)</w:t>
      </w:r>
      <w:r>
        <w:rPr>
          <w:rStyle w:val="optioncarChar"/>
        </w:rPr>
        <w:t xml:space="preserve"> / contreplaqué</w:t>
      </w:r>
      <w:r>
        <w:t xml:space="preserve">, épaisseur </w:t>
      </w:r>
      <w:r>
        <w:rPr>
          <w:rStyle w:val="optioncarChar"/>
        </w:rPr>
        <w:t xml:space="preserve">18 </w:t>
      </w:r>
      <w:r>
        <w:t>(par défaut) </w:t>
      </w:r>
      <w:r>
        <w:rPr>
          <w:rStyle w:val="optioncarChar"/>
        </w:rPr>
        <w:t xml:space="preserve">/ 22 / *** </w:t>
      </w:r>
      <w:r>
        <w:t xml:space="preserve">mm (face vue plaquée) / cadre en bois revêtu de </w:t>
      </w:r>
      <w:r>
        <w:rPr>
          <w:rStyle w:val="optioncarChar"/>
        </w:rPr>
        <w:t xml:space="preserve">*** </w:t>
      </w:r>
    </w:p>
    <w:p w14:paraId="65CA1709" w14:textId="77777777" w:rsidR="004B2808" w:rsidRDefault="00000000">
      <w:pPr>
        <w:pStyle w:val="Author-eListParagraph"/>
        <w:numPr>
          <w:ilvl w:val="0"/>
          <w:numId w:val="1403"/>
        </w:numPr>
      </w:pPr>
      <w:r>
        <w:t xml:space="preserve">Habillage de l'ouverture : </w:t>
      </w:r>
      <w:r>
        <w:rPr>
          <w:rStyle w:val="optioncarChar"/>
        </w:rPr>
        <w:t>MDF </w:t>
      </w:r>
      <w:r>
        <w:t>(par défaut)</w:t>
      </w:r>
      <w:r>
        <w:rPr>
          <w:rStyle w:val="optioncarChar"/>
        </w:rPr>
        <w:t xml:space="preserve"> / contreplaqué</w:t>
      </w:r>
      <w:r>
        <w:t xml:space="preserve"> (face vue </w:t>
      </w:r>
      <w:r>
        <w:rPr>
          <w:rStyle w:val="optioncarChar"/>
        </w:rPr>
        <w:t>plaquée / finition prête à peindre</w:t>
      </w:r>
      <w:r>
        <w:t>)</w:t>
      </w:r>
      <w:r>
        <w:rPr>
          <w:rStyle w:val="optioncarChar"/>
        </w:rPr>
        <w:t xml:space="preserve"> / ***</w:t>
      </w:r>
      <w:r>
        <w:t>, épaisseur</w:t>
      </w:r>
      <w:r>
        <w:rPr>
          <w:rStyle w:val="optioncarChar"/>
        </w:rPr>
        <w:t>16 </w:t>
      </w:r>
      <w:r>
        <w:t>(par défaut)</w:t>
      </w:r>
      <w:r>
        <w:rPr>
          <w:rStyle w:val="optioncarChar"/>
        </w:rPr>
        <w:t xml:space="preserve"> / 18 / *** </w:t>
      </w:r>
      <w:r>
        <w:t>mm</w:t>
      </w:r>
    </w:p>
    <w:p w14:paraId="14E2B18D" w14:textId="77777777" w:rsidR="004B2808" w:rsidRDefault="00000000">
      <w:pPr>
        <w:pStyle w:val="Author-eListParagraph"/>
        <w:numPr>
          <w:ilvl w:val="0"/>
          <w:numId w:val="1403"/>
        </w:numPr>
      </w:pPr>
      <w:r>
        <w:t xml:space="preserve">Couvre-joints (plafond + plancher) : lattes en bois plein, section 16 x </w:t>
      </w:r>
      <w:r>
        <w:rPr>
          <w:rStyle w:val="optioncarChar"/>
        </w:rPr>
        <w:t xml:space="preserve">*** </w:t>
      </w:r>
      <w:r>
        <w:t>mm.</w:t>
      </w:r>
    </w:p>
    <w:p w14:paraId="57C23CAC" w14:textId="77777777" w:rsidR="004B2808" w:rsidRDefault="00000000">
      <w:pPr>
        <w:pStyle w:val="Author-eListParagraph"/>
        <w:numPr>
          <w:ilvl w:val="0"/>
          <w:numId w:val="1403"/>
        </w:numPr>
      </w:pPr>
      <w:r>
        <w:t xml:space="preserve">Finition de la trappe : </w:t>
      </w:r>
      <w:r>
        <w:rPr>
          <w:rStyle w:val="optioncarChar"/>
        </w:rPr>
        <w:t>non traité </w:t>
      </w:r>
      <w:r>
        <w:t>(par défaut)</w:t>
      </w:r>
      <w:r>
        <w:rPr>
          <w:rStyle w:val="optioncarChar"/>
        </w:rPr>
        <w:t xml:space="preserve"> / 2 couches de vernis alkyde-uréthane (satiné) / 2 couches de vernis polyuréthane-acrylique (satiné) / laqué / ***   </w:t>
      </w:r>
      <w:r>
        <w:t>  </w:t>
      </w:r>
    </w:p>
    <w:p w14:paraId="519E7324" w14:textId="77777777" w:rsidR="004B2808" w:rsidRDefault="00000000">
      <w:pPr>
        <w:pStyle w:val="Author-eListParagraph"/>
        <w:numPr>
          <w:ilvl w:val="0"/>
          <w:numId w:val="1403"/>
        </w:numPr>
      </w:pPr>
      <w:r>
        <w:t>Pour des applications avec risque d'humidité, les éléments de panneaux utilisés ont des caractéristiques satisfaisantes (cfr. Les panneaux de bois et leur applications" - [Buildwise Magazine Contact n°23 (2009/3)].</w:t>
      </w:r>
    </w:p>
    <w:p w14:paraId="46B4120E" w14:textId="77777777" w:rsidR="004B2808" w:rsidRDefault="00000000">
      <w:pPr>
        <w:pStyle w:val="Author-eListParagraph"/>
        <w:numPr>
          <w:ilvl w:val="0"/>
          <w:numId w:val="1403"/>
        </w:numPr>
      </w:pPr>
      <w:r>
        <w:t xml:space="preserve">La densité minimum des panneaux est de </w:t>
      </w:r>
      <w:r>
        <w:rPr>
          <w:rStyle w:val="optioncarChar"/>
        </w:rPr>
        <w:t>500  </w:t>
      </w:r>
      <w:r>
        <w:t>(par défaut) </w:t>
      </w:r>
      <w:r>
        <w:rPr>
          <w:rStyle w:val="optioncarChar"/>
        </w:rPr>
        <w:t>/ *** </w:t>
      </w:r>
      <w:r>
        <w:t> kg/m³</w:t>
      </w:r>
    </w:p>
    <w:p w14:paraId="05258519" w14:textId="77777777" w:rsidR="004B2808" w:rsidRDefault="00000000">
      <w:pPr>
        <w:pStyle w:val="pheading"/>
      </w:pPr>
      <w:r>
        <w:t>- Prescriptions complémentaires</w:t>
      </w:r>
    </w:p>
    <w:p w14:paraId="0B6FB3AD" w14:textId="77777777" w:rsidR="004B2808" w:rsidRDefault="00000000">
      <w:r>
        <w:t xml:space="preserve">L'escalier est équipé d'une rampe </w:t>
      </w:r>
      <w:r>
        <w:rPr>
          <w:rStyle w:val="optioncarChar"/>
        </w:rPr>
        <w:t>d'un seul côté (par défaut) / des deux / ***</w:t>
      </w:r>
      <w:r>
        <w:t xml:space="preserve"> côtés de l'escalier.</w:t>
      </w:r>
      <w:r>
        <w:br/>
        <w:t>L'escalier est équipé de revêtements antidérapants</w:t>
      </w:r>
      <w:r>
        <w:br/>
        <w:t>Un treillis est prévu sur 3 côtés de l'ouverture pour la trappe</w:t>
      </w:r>
      <w:r>
        <w:br/>
        <w:t xml:space="preserve">La trappe est isolée à l'aide de laine minérale , épaisseur </w:t>
      </w:r>
      <w:r>
        <w:rPr>
          <w:rStyle w:val="optioncarChar"/>
        </w:rPr>
        <w:t>60 / ***</w:t>
      </w:r>
      <w:r>
        <w:t xml:space="preserve"> mm</w:t>
      </w:r>
      <w:r>
        <w:br/>
        <w:t xml:space="preserve">Réaction au feu : classe </w:t>
      </w:r>
      <w:r>
        <w:rPr>
          <w:rStyle w:val="optioncarChar"/>
        </w:rPr>
        <w:t xml:space="preserve">A1 </w:t>
      </w:r>
      <w:r>
        <w:t>(par défaut) </w:t>
      </w:r>
      <w:r>
        <w:rPr>
          <w:rStyle w:val="optioncarChar"/>
        </w:rPr>
        <w:t>/ A2 / B / C / D / E / F / ***</w:t>
      </w:r>
      <w:r>
        <w:t xml:space="preserve"> selon la [NBN EN 13501-1].</w:t>
      </w:r>
      <w:r>
        <w:br/>
        <w:t xml:space="preserve">Stabilité au feu : classe </w:t>
      </w:r>
      <w:r>
        <w:rPr>
          <w:rStyle w:val="optioncarChar"/>
        </w:rPr>
        <w:t>R30 </w:t>
      </w:r>
      <w:r>
        <w:t>(par défaut)</w:t>
      </w:r>
      <w:r>
        <w:rPr>
          <w:rStyle w:val="optioncarChar"/>
        </w:rPr>
        <w:t xml:space="preserve"> / R60 / R120 / ***</w:t>
      </w:r>
      <w:r>
        <w:t xml:space="preserve"> selon la [NBN EN 13501-2] ou </w:t>
      </w:r>
      <w:r>
        <w:rPr>
          <w:rStyle w:val="optioncarChar"/>
        </w:rPr>
        <w:t>Rf 1/2h</w:t>
      </w:r>
      <w:r>
        <w:t xml:space="preserve"> (par défaut)</w:t>
      </w:r>
      <w:r>
        <w:rPr>
          <w:rStyle w:val="optioncarChar"/>
        </w:rPr>
        <w:t> / Rf 1h / Rf 2h / ***</w:t>
      </w:r>
      <w:r>
        <w:t>selon la [NBN 713-020] tant qu’elle est encore d’application.</w:t>
      </w:r>
    </w:p>
    <w:p w14:paraId="574CB209" w14:textId="77777777" w:rsidR="004B2808" w:rsidRDefault="00000000">
      <w:pPr>
        <w:pStyle w:val="pheading"/>
      </w:pPr>
      <w:r>
        <w:t>MESURAGE</w:t>
      </w:r>
    </w:p>
    <w:p w14:paraId="3456FA55" w14:textId="77777777" w:rsidR="004B2808" w:rsidRDefault="00000000">
      <w:pPr>
        <w:pStyle w:val="pheading"/>
      </w:pPr>
      <w:r>
        <w:t>- unité de mesure:</w:t>
      </w:r>
    </w:p>
    <w:p w14:paraId="07CE5A69" w14:textId="77777777" w:rsidR="004B2808" w:rsidRDefault="00000000">
      <w:r>
        <w:t>p</w:t>
      </w:r>
    </w:p>
    <w:p w14:paraId="126F2538" w14:textId="77777777" w:rsidR="004B2808" w:rsidRDefault="00000000">
      <w:pPr>
        <w:pStyle w:val="pheading"/>
      </w:pPr>
      <w:r>
        <w:t>- code de mesurage:</w:t>
      </w:r>
    </w:p>
    <w:p w14:paraId="4CF39C3A" w14:textId="77777777" w:rsidR="004B2808" w:rsidRDefault="00000000">
      <w:r>
        <w:t>Le cas échéant ventilé en fonction de la nature et des dimensions, le prix unitaire comprend l'escalier et son mécanisme, la trappe de grenier et la finition des bords.</w:t>
      </w:r>
    </w:p>
    <w:p w14:paraId="38BD3077" w14:textId="77777777" w:rsidR="004B2808" w:rsidRDefault="00000000">
      <w:pPr>
        <w:pStyle w:val="pheading"/>
      </w:pPr>
      <w:r>
        <w:t>- nature du marché:</w:t>
      </w:r>
    </w:p>
    <w:p w14:paraId="4CF92570" w14:textId="77777777" w:rsidR="004B2808" w:rsidRDefault="00000000">
      <w:r>
        <w:t>QF</w:t>
      </w:r>
    </w:p>
    <w:p w14:paraId="0D1E1C39" w14:textId="77777777" w:rsidR="004B2808" w:rsidRDefault="00000000">
      <w:pPr>
        <w:pStyle w:val="Author-eSectionHeading6Numberless"/>
      </w:pPr>
      <w:bookmarkStart w:id="1540" w:name="_Toc220491637"/>
      <w:r>
        <w:t>57.13.2b Escaliers escamotables en acier CCTB 01.02</w:t>
      </w:r>
      <w:bookmarkEnd w:id="1540"/>
    </w:p>
    <w:p w14:paraId="572D64B6" w14:textId="77777777" w:rsidR="004B2808" w:rsidRDefault="00000000">
      <w:pPr>
        <w:pStyle w:val="Author-eSectionHeading6Numberless"/>
      </w:pPr>
      <w:bookmarkStart w:id="1541" w:name="_Toc220491638"/>
      <w:r>
        <w:t>57.13.2c Escaliers escamotables en acier inoxydable CCTB 01.02</w:t>
      </w:r>
      <w:bookmarkEnd w:id="1541"/>
    </w:p>
    <w:p w14:paraId="037D8831" w14:textId="77777777" w:rsidR="004B2808" w:rsidRDefault="00000000">
      <w:pPr>
        <w:pStyle w:val="Author-eSectionHeading6Numberless"/>
      </w:pPr>
      <w:bookmarkStart w:id="1542" w:name="_Toc220491639"/>
      <w:r>
        <w:t>57.13.2d Escaliers escamotables en aluminium CCTB 01.10</w:t>
      </w:r>
      <w:bookmarkEnd w:id="1542"/>
    </w:p>
    <w:p w14:paraId="01DE6CC3" w14:textId="77777777" w:rsidR="004B2808" w:rsidRDefault="00000000">
      <w:pPr>
        <w:pStyle w:val="pheading"/>
      </w:pPr>
      <w:r>
        <w:t>MATÉRIAUX</w:t>
      </w:r>
    </w:p>
    <w:p w14:paraId="4CFF27B7" w14:textId="77777777" w:rsidR="004B2808" w:rsidRDefault="00000000">
      <w:pPr>
        <w:pStyle w:val="pheading"/>
      </w:pPr>
      <w:r>
        <w:t>- Caractéristiques générales</w:t>
      </w:r>
    </w:p>
    <w:p w14:paraId="73A37E22" w14:textId="77777777" w:rsidR="004B2808" w:rsidRDefault="00000000">
      <w:r>
        <w:t>Les éléments constituant l'escalier sont fabriqués en profils d'aluminium, qui satisfont aux standards [TC 132]. Les kits d'escaliers préfabriqués sont conformes aux exigences du guide [ETAG 008].</w:t>
      </w:r>
    </w:p>
    <w:p w14:paraId="622AC959" w14:textId="77777777" w:rsidR="004B2808" w:rsidRDefault="00000000">
      <w:pPr>
        <w:pStyle w:val="heading"/>
      </w:pPr>
      <w:r>
        <w:t>Spécifications</w:t>
      </w:r>
    </w:p>
    <w:p w14:paraId="1E7B43DC" w14:textId="77777777" w:rsidR="004B2808" w:rsidRDefault="00000000">
      <w:pPr>
        <w:pStyle w:val="Author-eListParagraph"/>
        <w:numPr>
          <w:ilvl w:val="0"/>
          <w:numId w:val="1406"/>
        </w:numPr>
      </w:pPr>
      <w:r>
        <w:t>Type d'escalier :</w:t>
      </w:r>
      <w:r>
        <w:rPr>
          <w:rStyle w:val="optioncarChar"/>
        </w:rPr>
        <w:t> escalier repliable </w:t>
      </w:r>
      <w:r>
        <w:t>(par défaut)</w:t>
      </w:r>
      <w:r>
        <w:rPr>
          <w:rStyle w:val="optioncarChar"/>
        </w:rPr>
        <w:t xml:space="preserve"> / escamotable / accordéon/ *** </w:t>
      </w:r>
    </w:p>
    <w:p w14:paraId="79E7114E" w14:textId="77777777" w:rsidR="004B2808" w:rsidRDefault="00000000">
      <w:pPr>
        <w:pStyle w:val="Author-eListParagraph"/>
        <w:numPr>
          <w:ilvl w:val="0"/>
          <w:numId w:val="1406"/>
        </w:numPr>
      </w:pPr>
      <w:r>
        <w:t>Dimensions : Largeur de l'escalier : minimum</w:t>
      </w:r>
      <w:r>
        <w:rPr>
          <w:rStyle w:val="optioncarChar"/>
        </w:rPr>
        <w:t> 45</w:t>
      </w:r>
      <w:r>
        <w:t xml:space="preserve"> (par défaut) </w:t>
      </w:r>
      <w:r>
        <w:rPr>
          <w:rStyle w:val="optioncarChar"/>
        </w:rPr>
        <w:t>/ 60 / ***</w:t>
      </w:r>
      <w:r>
        <w:t>  cm</w:t>
      </w:r>
    </w:p>
    <w:p w14:paraId="308FDAFE" w14:textId="77777777" w:rsidR="004B2808" w:rsidRDefault="004B2808">
      <w:pPr>
        <w:pStyle w:val="Author-eListParagraph"/>
        <w:numPr>
          <w:ilvl w:val="0"/>
          <w:numId w:val="1406"/>
        </w:numPr>
      </w:pPr>
    </w:p>
    <w:p w14:paraId="19D10D48" w14:textId="77777777" w:rsidR="004B2808" w:rsidRDefault="00000000">
      <w:pPr>
        <w:pStyle w:val="Author-eListParagraph"/>
        <w:numPr>
          <w:ilvl w:val="1"/>
          <w:numId w:val="1407"/>
        </w:numPr>
      </w:pPr>
      <w:r>
        <w:lastRenderedPageBreak/>
        <w:t>Section des limons : minimum</w:t>
      </w:r>
      <w:r>
        <w:rPr>
          <w:rStyle w:val="optioncarChar"/>
        </w:rPr>
        <w:t> 25 x 120</w:t>
      </w:r>
      <w:r>
        <w:t> (par défaut)</w:t>
      </w:r>
      <w:r>
        <w:rPr>
          <w:rStyle w:val="optioncarChar"/>
        </w:rPr>
        <w:t xml:space="preserve"> / 25 x 140 / *** </w:t>
      </w:r>
      <w:r>
        <w:t>mm</w:t>
      </w:r>
    </w:p>
    <w:p w14:paraId="03F72FD1" w14:textId="77777777" w:rsidR="004B2808" w:rsidRDefault="00000000">
      <w:pPr>
        <w:pStyle w:val="Author-eListParagraph"/>
        <w:numPr>
          <w:ilvl w:val="1"/>
          <w:numId w:val="1407"/>
        </w:numPr>
      </w:pPr>
      <w:r>
        <w:t xml:space="preserve">Section des marches : minimum </w:t>
      </w:r>
      <w:r>
        <w:rPr>
          <w:rStyle w:val="optioncarChar"/>
        </w:rPr>
        <w:t>20 x 100 </w:t>
      </w:r>
      <w:r>
        <w:t>(par défaut)</w:t>
      </w:r>
      <w:r>
        <w:rPr>
          <w:rStyle w:val="optioncarChar"/>
        </w:rPr>
        <w:t xml:space="preserve"> / 20 x 150 / *** </w:t>
      </w:r>
      <w:r>
        <w:t>mm</w:t>
      </w:r>
    </w:p>
    <w:p w14:paraId="3CF2224B" w14:textId="77777777" w:rsidR="004B2808" w:rsidRDefault="00000000">
      <w:pPr>
        <w:pStyle w:val="Author-eListParagraph"/>
        <w:numPr>
          <w:ilvl w:val="0"/>
          <w:numId w:val="1406"/>
        </w:numPr>
      </w:pPr>
      <w:r>
        <w:t xml:space="preserve">L'épaisseur minimale des profils d'aluminium préformés est de </w:t>
      </w:r>
      <w:r>
        <w:rPr>
          <w:rStyle w:val="optioncarChar"/>
        </w:rPr>
        <w:t xml:space="preserve">*** </w:t>
      </w:r>
      <w:r>
        <w:t>mm</w:t>
      </w:r>
    </w:p>
    <w:p w14:paraId="301A6805" w14:textId="77777777" w:rsidR="004B2808" w:rsidRDefault="00000000">
      <w:pPr>
        <w:pStyle w:val="Author-eListParagraph"/>
        <w:numPr>
          <w:ilvl w:val="0"/>
          <w:numId w:val="1406"/>
        </w:numPr>
      </w:pPr>
      <w:r>
        <w:t xml:space="preserve">Finition de la surface: </w:t>
      </w:r>
      <w:r>
        <w:rPr>
          <w:rStyle w:val="optioncarChar"/>
        </w:rPr>
        <w:t>anodisée (épaisseur minimale 20 microns) </w:t>
      </w:r>
      <w:r>
        <w:t>(par défaut)</w:t>
      </w:r>
      <w:r>
        <w:rPr>
          <w:rStyle w:val="optioncarChar"/>
        </w:rPr>
        <w:t xml:space="preserve"> / coating (épaisseur minimale 40 microns) / ***</w:t>
      </w:r>
    </w:p>
    <w:p w14:paraId="00155A51" w14:textId="77777777" w:rsidR="004B2808" w:rsidRDefault="00000000">
      <w:pPr>
        <w:pStyle w:val="Author-eListParagraph"/>
        <w:numPr>
          <w:ilvl w:val="0"/>
          <w:numId w:val="1406"/>
        </w:numPr>
      </w:pPr>
      <w:r>
        <w:t xml:space="preserve">Dimensions de la trappe (gros-oeuvre) : </w:t>
      </w:r>
    </w:p>
    <w:p w14:paraId="4E368860" w14:textId="77777777" w:rsidR="004B2808" w:rsidRDefault="00000000">
      <w:pPr>
        <w:pStyle w:val="Author-eListParagraph"/>
        <w:numPr>
          <w:ilvl w:val="1"/>
          <w:numId w:val="1408"/>
        </w:numPr>
      </w:pPr>
      <w:r>
        <w:t xml:space="preserve">largeur : </w:t>
      </w:r>
      <w:r>
        <w:rPr>
          <w:rStyle w:val="optioncarChar"/>
        </w:rPr>
        <w:t xml:space="preserve">60 </w:t>
      </w:r>
      <w:r>
        <w:t>(par défaut) </w:t>
      </w:r>
      <w:r>
        <w:rPr>
          <w:rStyle w:val="optioncarChar"/>
        </w:rPr>
        <w:t>/ 70 / ***</w:t>
      </w:r>
      <w:r>
        <w:t xml:space="preserve"> cm</w:t>
      </w:r>
    </w:p>
    <w:p w14:paraId="1D1AB880" w14:textId="77777777" w:rsidR="004B2808" w:rsidRDefault="00000000">
      <w:pPr>
        <w:pStyle w:val="Author-eListParagraph"/>
        <w:numPr>
          <w:ilvl w:val="1"/>
          <w:numId w:val="1408"/>
        </w:numPr>
      </w:pPr>
      <w:r>
        <w:t xml:space="preserve">longueur : </w:t>
      </w:r>
      <w:r>
        <w:rPr>
          <w:rStyle w:val="optioncarChar"/>
        </w:rPr>
        <w:t>100 </w:t>
      </w:r>
      <w:r>
        <w:t>(par défaut)</w:t>
      </w:r>
      <w:r>
        <w:rPr>
          <w:rStyle w:val="optioncarChar"/>
        </w:rPr>
        <w:t xml:space="preserve"> / 110 / 120 / 130 / 140 / ***</w:t>
      </w:r>
      <w:r>
        <w:t xml:space="preserve"> cm </w:t>
      </w:r>
      <w:r>
        <w:rPr>
          <w:rStyle w:val="optioncarChar"/>
        </w:rPr>
        <w:t xml:space="preserve">/ à déterminer par l'entrepreneur </w:t>
      </w:r>
      <w:r>
        <w:t>en fonction du type d'escalier</w:t>
      </w:r>
    </w:p>
    <w:p w14:paraId="2524BDA6" w14:textId="77777777" w:rsidR="004B2808" w:rsidRDefault="00000000">
      <w:pPr>
        <w:pStyle w:val="Author-eListParagraph"/>
        <w:numPr>
          <w:ilvl w:val="1"/>
          <w:numId w:val="1408"/>
        </w:numPr>
      </w:pPr>
      <w:r>
        <w:t xml:space="preserve">panneau de la trappe : </w:t>
      </w:r>
      <w:r>
        <w:rPr>
          <w:rStyle w:val="optioncarChar"/>
        </w:rPr>
        <w:t>MDF / contreplaqué</w:t>
      </w:r>
      <w:r>
        <w:t xml:space="preserve">, épaisseur </w:t>
      </w:r>
      <w:r>
        <w:rPr>
          <w:rStyle w:val="optioncarChar"/>
        </w:rPr>
        <w:t>18</w:t>
      </w:r>
      <w:r>
        <w:t> (par défaut)</w:t>
      </w:r>
      <w:r>
        <w:rPr>
          <w:rStyle w:val="optioncarChar"/>
        </w:rPr>
        <w:t xml:space="preserve"> / 22 / ***</w:t>
      </w:r>
      <w:r>
        <w:t xml:space="preserve"> mm (face vue plaquée) / cadre en bois revêtu de </w:t>
      </w:r>
      <w:r>
        <w:rPr>
          <w:rStyle w:val="optioncarChar"/>
        </w:rPr>
        <w:t xml:space="preserve">*** </w:t>
      </w:r>
    </w:p>
    <w:p w14:paraId="0D8C5729" w14:textId="77777777" w:rsidR="004B2808" w:rsidRDefault="00000000">
      <w:pPr>
        <w:pStyle w:val="Author-eListParagraph"/>
        <w:numPr>
          <w:ilvl w:val="1"/>
          <w:numId w:val="1408"/>
        </w:numPr>
      </w:pPr>
      <w:r>
        <w:t xml:space="preserve">Habillage de l'ouverture : </w:t>
      </w:r>
      <w:r>
        <w:rPr>
          <w:rStyle w:val="optioncarChar"/>
        </w:rPr>
        <w:t>MDF</w:t>
      </w:r>
      <w:r>
        <w:t> (par défaut)</w:t>
      </w:r>
      <w:r>
        <w:rPr>
          <w:rStyle w:val="optioncarChar"/>
        </w:rPr>
        <w:t xml:space="preserve"> / contreplaqué</w:t>
      </w:r>
      <w:r>
        <w:t xml:space="preserve"> (face vue </w:t>
      </w:r>
      <w:r>
        <w:rPr>
          <w:rStyle w:val="optioncarChar"/>
        </w:rPr>
        <w:t>plaquée / finition prête à peindre</w:t>
      </w:r>
      <w:r>
        <w:t>)</w:t>
      </w:r>
      <w:r>
        <w:rPr>
          <w:rStyle w:val="optioncarChar"/>
        </w:rPr>
        <w:t xml:space="preserve"> / ***</w:t>
      </w:r>
      <w:r>
        <w:t xml:space="preserve">, épaisseur </w:t>
      </w:r>
      <w:r>
        <w:rPr>
          <w:rStyle w:val="optioncarChar"/>
        </w:rPr>
        <w:t>16</w:t>
      </w:r>
      <w:r>
        <w:t> (par défaut)</w:t>
      </w:r>
      <w:r>
        <w:rPr>
          <w:rStyle w:val="optioncarChar"/>
        </w:rPr>
        <w:t xml:space="preserve"> / 18 / *** </w:t>
      </w:r>
      <w:r>
        <w:t>mm</w:t>
      </w:r>
    </w:p>
    <w:p w14:paraId="5BF868CE" w14:textId="77777777" w:rsidR="004B2808" w:rsidRDefault="00000000">
      <w:pPr>
        <w:pStyle w:val="Author-eListParagraph"/>
        <w:numPr>
          <w:ilvl w:val="0"/>
          <w:numId w:val="1406"/>
        </w:numPr>
      </w:pPr>
      <w:r>
        <w:t xml:space="preserve">Couvre-joints (plafond + plancher) : lattes en bois plein, section 16 x </w:t>
      </w:r>
      <w:r>
        <w:rPr>
          <w:rStyle w:val="optioncarChar"/>
        </w:rPr>
        <w:t xml:space="preserve">*** </w:t>
      </w:r>
      <w:r>
        <w:t xml:space="preserve">mm </w:t>
      </w:r>
      <w:r>
        <w:rPr>
          <w:rStyle w:val="optioncarChar"/>
        </w:rPr>
        <w:t xml:space="preserve">. </w:t>
      </w:r>
    </w:p>
    <w:p w14:paraId="63D9876B" w14:textId="77777777" w:rsidR="004B2808" w:rsidRDefault="00000000">
      <w:pPr>
        <w:pStyle w:val="Author-eListParagraph"/>
        <w:numPr>
          <w:ilvl w:val="0"/>
          <w:numId w:val="1406"/>
        </w:numPr>
      </w:pPr>
      <w:r>
        <w:t xml:space="preserve">Finition de la trappe : </w:t>
      </w:r>
      <w:r>
        <w:rPr>
          <w:rStyle w:val="optioncarChar"/>
        </w:rPr>
        <w:t>non traités </w:t>
      </w:r>
      <w:r>
        <w:t>(par défaut)</w:t>
      </w:r>
      <w:r>
        <w:rPr>
          <w:rStyle w:val="optioncarChar"/>
        </w:rPr>
        <w:t xml:space="preserve"> / 2 couches de vernis alkyde-uréthane (satiné) / 2 couches de vernis polyuréthane-acrylique (satiné) / laqué / ***</w:t>
      </w:r>
    </w:p>
    <w:p w14:paraId="2B2CF2E2" w14:textId="77777777" w:rsidR="004B2808" w:rsidRDefault="00000000">
      <w:pPr>
        <w:pStyle w:val="pheading"/>
      </w:pPr>
      <w:r>
        <w:t>- Prescriptions complémentaires</w:t>
      </w:r>
    </w:p>
    <w:p w14:paraId="766E87DD" w14:textId="77777777" w:rsidR="004B2808" w:rsidRDefault="00000000">
      <w:r>
        <w:t xml:space="preserve">L'escalier est équipé d'une rampe </w:t>
      </w:r>
      <w:r>
        <w:rPr>
          <w:rStyle w:val="optioncarChar"/>
        </w:rPr>
        <w:t>d'un seul côté </w:t>
      </w:r>
      <w:r>
        <w:t>(par défaut)</w:t>
      </w:r>
      <w:r>
        <w:rPr>
          <w:rStyle w:val="optioncarChar"/>
        </w:rPr>
        <w:t xml:space="preserve"> / des deux côtés / *** </w:t>
      </w:r>
      <w:r>
        <w:t>de l'escalier.</w:t>
      </w:r>
      <w:r>
        <w:br/>
        <w:t>L'escalier est équipé de revêtements antidérapants collés</w:t>
      </w:r>
      <w:r>
        <w:br/>
        <w:t>Un treillis est prévu sur 3 côtés de l'ouverture pour la trappe</w:t>
      </w:r>
      <w:r>
        <w:br/>
        <w:t xml:space="preserve">La trappe est isolée à l'aide de laine minérale , épaisseur </w:t>
      </w:r>
      <w:r>
        <w:rPr>
          <w:rStyle w:val="optioncarChar"/>
        </w:rPr>
        <w:t>60 </w:t>
      </w:r>
      <w:r>
        <w:t> (par défaut)</w:t>
      </w:r>
      <w:r>
        <w:rPr>
          <w:rStyle w:val="optioncarChar"/>
        </w:rPr>
        <w:t> / ***  </w:t>
      </w:r>
      <w:r>
        <w:t>mm</w:t>
      </w:r>
      <w:r>
        <w:br/>
        <w:t xml:space="preserve">Selon la [Décision 96/603/CE] de la Commission du 4 octobre 1996  et les conditions qui y sont reprises , l’acier appartient à la classe de réaction au feu A1 et A1 </w:t>
      </w:r>
      <w:r>
        <w:rPr>
          <w:vertAlign w:val="subscript"/>
        </w:rPr>
        <w:t xml:space="preserve">FL </w:t>
      </w:r>
      <w:r>
        <w:t>.</w:t>
      </w:r>
      <w:r>
        <w:br/>
        <w:t xml:space="preserve">Stabilité au feu : classe </w:t>
      </w:r>
      <w:r>
        <w:rPr>
          <w:rStyle w:val="optioncarChar"/>
        </w:rPr>
        <w:t>R30 </w:t>
      </w:r>
      <w:r>
        <w:t xml:space="preserve">(par défaut) </w:t>
      </w:r>
      <w:r>
        <w:rPr>
          <w:rStyle w:val="optioncarChar"/>
        </w:rPr>
        <w:t>/ R60 / R120 / ***</w:t>
      </w:r>
      <w:r>
        <w:t xml:space="preserve"> selon la [NBN EN 13501-2] ou </w:t>
      </w:r>
      <w:r>
        <w:rPr>
          <w:rStyle w:val="optioncarChar"/>
        </w:rPr>
        <w:t>Rf 1/2h</w:t>
      </w:r>
      <w:r>
        <w:t> (par défaut)</w:t>
      </w:r>
      <w:r>
        <w:rPr>
          <w:rStyle w:val="optioncarChar"/>
        </w:rPr>
        <w:t xml:space="preserve"> / Rf 1h / Rf 2h / *** </w:t>
      </w:r>
      <w:r>
        <w:t>selon la [NBN 713-020] tant qu’elle est encore d’application.</w:t>
      </w:r>
    </w:p>
    <w:p w14:paraId="095F193B" w14:textId="77777777" w:rsidR="004B2808" w:rsidRDefault="00000000">
      <w:pPr>
        <w:pStyle w:val="pheading"/>
      </w:pPr>
      <w:r>
        <w:t>MESURAGE</w:t>
      </w:r>
    </w:p>
    <w:p w14:paraId="2057AE4C" w14:textId="77777777" w:rsidR="004B2808" w:rsidRDefault="00000000">
      <w:pPr>
        <w:pStyle w:val="pheading"/>
      </w:pPr>
      <w:r>
        <w:t>- unité de mesure:</w:t>
      </w:r>
    </w:p>
    <w:p w14:paraId="5EC6667C" w14:textId="77777777" w:rsidR="004B2808" w:rsidRDefault="00000000">
      <w:r>
        <w:t>p</w:t>
      </w:r>
    </w:p>
    <w:p w14:paraId="7C568AD2" w14:textId="77777777" w:rsidR="004B2808" w:rsidRDefault="00000000">
      <w:pPr>
        <w:pStyle w:val="pheading"/>
      </w:pPr>
      <w:r>
        <w:t>- code de mesurage:</w:t>
      </w:r>
    </w:p>
    <w:p w14:paraId="1F188A16" w14:textId="77777777" w:rsidR="004B2808" w:rsidRDefault="00000000">
      <w:r>
        <w:t>Le cas échéant ventilé en fonction de la nature et des dimensions, le prix unitaire comprend l'escalier et son mécanisme, la trappe de grenier et la finition des bords.</w:t>
      </w:r>
    </w:p>
    <w:p w14:paraId="0B7621C5" w14:textId="77777777" w:rsidR="004B2808" w:rsidRDefault="00000000">
      <w:pPr>
        <w:pStyle w:val="pheading"/>
      </w:pPr>
      <w:r>
        <w:t>- nature du marché:</w:t>
      </w:r>
    </w:p>
    <w:p w14:paraId="4DFA49BF" w14:textId="77777777" w:rsidR="004B2808" w:rsidRDefault="00000000">
      <w:r>
        <w:t>QF</w:t>
      </w:r>
    </w:p>
    <w:p w14:paraId="15EC13A8" w14:textId="77777777" w:rsidR="004B2808" w:rsidRDefault="00000000">
      <w:pPr>
        <w:pStyle w:val="Author-eSectionHeading3Numberless"/>
      </w:pPr>
      <w:bookmarkStart w:id="1543" w:name="_Toc220491640"/>
      <w:r>
        <w:t>57.2 Eléments d'escalier et garde-corps CCTB 01.12</w:t>
      </w:r>
      <w:bookmarkEnd w:id="1543"/>
    </w:p>
    <w:p w14:paraId="1CBAE3C2" w14:textId="77777777" w:rsidR="004B2808" w:rsidRDefault="00000000">
      <w:pPr>
        <w:pStyle w:val="pheading"/>
      </w:pPr>
      <w:bookmarkStart w:id="1544" w:name="1402"/>
      <w:bookmarkEnd w:id="1544"/>
      <w:r>
        <w:t>DESCRIPTION</w:t>
      </w:r>
    </w:p>
    <w:p w14:paraId="48C04724" w14:textId="77777777" w:rsidR="004B2808" w:rsidRDefault="00000000">
      <w:pPr>
        <w:pStyle w:val="pheading"/>
      </w:pPr>
      <w:r>
        <w:t>- Définition / Comprend</w:t>
      </w:r>
    </w:p>
    <w:p w14:paraId="13761CBA" w14:textId="77777777" w:rsidR="004B2808" w:rsidRDefault="00000000">
      <w:pPr>
        <w:jc w:val="both"/>
      </w:pPr>
      <w:r>
        <w:t xml:space="preserve">Les différents éléments de l’escalier sont décrits aux </w:t>
      </w:r>
      <w:hyperlink w:anchor="1402" w:history="1">
        <w:r w:rsidR="004B2808">
          <w:rPr>
            <w:color w:val="0000EE"/>
          </w:rPr>
          <w:t>57.2 Eléments d'escalier et garde-corps</w:t>
        </w:r>
      </w:hyperlink>
      <w:r>
        <w:t xml:space="preserve"> et suivants.</w:t>
      </w:r>
    </w:p>
    <w:p w14:paraId="3538CD95" w14:textId="77777777" w:rsidR="004B2808" w:rsidRDefault="00000000">
      <w:pPr>
        <w:jc w:val="both"/>
      </w:pPr>
      <w:r>
        <w:t xml:space="preserve"> L’entrepreneur se réfère à chacun de ces éléments pour établir sa soumission et réaliser l’ensemble.</w:t>
      </w:r>
    </w:p>
    <w:p w14:paraId="5F33A7F1" w14:textId="77777777" w:rsidR="004B2808" w:rsidRDefault="00000000">
      <w:pPr>
        <w:jc w:val="both"/>
      </w:pPr>
      <w:r>
        <w:t>Le travail comprend notamment :</w:t>
      </w:r>
    </w:p>
    <w:p w14:paraId="5BBEA815" w14:textId="77777777" w:rsidR="004B2808" w:rsidRDefault="00000000">
      <w:pPr>
        <w:pStyle w:val="Author-eListParagraph"/>
        <w:numPr>
          <w:ilvl w:val="0"/>
          <w:numId w:val="1409"/>
        </w:numPr>
        <w:jc w:val="both"/>
      </w:pPr>
      <w:r>
        <w:t xml:space="preserve">Les prestations et travaux préparatoires dont : </w:t>
      </w:r>
    </w:p>
    <w:p w14:paraId="3C431E2C" w14:textId="77777777" w:rsidR="004B2808" w:rsidRDefault="00000000">
      <w:pPr>
        <w:pStyle w:val="Author-eListParagraph"/>
        <w:numPr>
          <w:ilvl w:val="1"/>
          <w:numId w:val="1410"/>
        </w:numPr>
        <w:jc w:val="both"/>
      </w:pPr>
      <w:r>
        <w:t>La prise et / ou la vérification des mesures in situ</w:t>
      </w:r>
    </w:p>
    <w:p w14:paraId="75E95114" w14:textId="77777777" w:rsidR="004B2808" w:rsidRDefault="00000000">
      <w:pPr>
        <w:pStyle w:val="Author-eListParagraph"/>
        <w:numPr>
          <w:ilvl w:val="1"/>
          <w:numId w:val="1410"/>
        </w:numPr>
        <w:jc w:val="both"/>
      </w:pPr>
      <w:r>
        <w:t>La vérification du support (planéité, aplomb, équerrage, …)</w:t>
      </w:r>
    </w:p>
    <w:p w14:paraId="12D856F7" w14:textId="77777777" w:rsidR="004B2808" w:rsidRDefault="00000000">
      <w:pPr>
        <w:pStyle w:val="Author-eListParagraph"/>
        <w:numPr>
          <w:ilvl w:val="0"/>
          <w:numId w:val="1409"/>
        </w:numPr>
        <w:jc w:val="both"/>
      </w:pPr>
      <w:r>
        <w:t>Les mesures de sécurité ;</w:t>
      </w:r>
    </w:p>
    <w:p w14:paraId="108D0E63" w14:textId="77777777" w:rsidR="004B2808" w:rsidRDefault="00000000">
      <w:pPr>
        <w:pStyle w:val="Author-eListParagraph"/>
        <w:numPr>
          <w:ilvl w:val="0"/>
          <w:numId w:val="1409"/>
        </w:numPr>
        <w:jc w:val="both"/>
      </w:pPr>
      <w:r>
        <w:t>Les moyens d’accès (échafaudages, …) ;</w:t>
      </w:r>
    </w:p>
    <w:p w14:paraId="0E6D987A" w14:textId="77777777" w:rsidR="004B2808" w:rsidRDefault="00000000">
      <w:pPr>
        <w:pStyle w:val="Author-eListParagraph"/>
        <w:numPr>
          <w:ilvl w:val="0"/>
          <w:numId w:val="1409"/>
        </w:numPr>
        <w:jc w:val="both"/>
      </w:pPr>
      <w:r>
        <w:t>Les moyens de manutention ;</w:t>
      </w:r>
    </w:p>
    <w:p w14:paraId="1D7F2FC1" w14:textId="77777777" w:rsidR="004B2808" w:rsidRDefault="00000000">
      <w:pPr>
        <w:pStyle w:val="Author-eListParagraph"/>
        <w:numPr>
          <w:ilvl w:val="0"/>
          <w:numId w:val="1409"/>
        </w:numPr>
        <w:jc w:val="both"/>
      </w:pPr>
      <w:r>
        <w:lastRenderedPageBreak/>
        <w:t>Les moyens de protection du bâtiment, des parois, … ;</w:t>
      </w:r>
    </w:p>
    <w:p w14:paraId="3357B1C4" w14:textId="77777777" w:rsidR="004B2808" w:rsidRDefault="00000000">
      <w:pPr>
        <w:pStyle w:val="Author-eListParagraph"/>
        <w:numPr>
          <w:ilvl w:val="0"/>
          <w:numId w:val="1409"/>
        </w:numPr>
        <w:jc w:val="both"/>
      </w:pPr>
      <w:r>
        <w:t>Les moyens de protection des différents éléments de l’escalier après leur pose ;</w:t>
      </w:r>
    </w:p>
    <w:p w14:paraId="464B7DF3" w14:textId="77777777" w:rsidR="004B2808" w:rsidRDefault="00000000">
      <w:pPr>
        <w:pStyle w:val="Author-eListParagraph"/>
        <w:numPr>
          <w:ilvl w:val="0"/>
          <w:numId w:val="1409"/>
        </w:numPr>
        <w:jc w:val="both"/>
      </w:pPr>
      <w:r>
        <w:t>L’entretien des moyens cités ci-avant durant tout le chantier et leur enlèvement complet à la fin de celui-ci ;</w:t>
      </w:r>
    </w:p>
    <w:p w14:paraId="592BB3A2" w14:textId="77777777" w:rsidR="004B2808" w:rsidRDefault="00000000">
      <w:pPr>
        <w:pStyle w:val="Author-eListParagraph"/>
        <w:numPr>
          <w:ilvl w:val="0"/>
          <w:numId w:val="1409"/>
        </w:numPr>
        <w:jc w:val="both"/>
      </w:pPr>
      <w:r>
        <w:t>La coordination avec les différents intervenants ;</w:t>
      </w:r>
    </w:p>
    <w:p w14:paraId="7C973E51" w14:textId="77777777" w:rsidR="004B2808" w:rsidRDefault="00000000">
      <w:pPr>
        <w:pStyle w:val="Author-eListParagraph"/>
        <w:numPr>
          <w:ilvl w:val="0"/>
          <w:numId w:val="1409"/>
        </w:numPr>
        <w:jc w:val="both"/>
      </w:pPr>
      <w:r>
        <w:t>La fourniture et la mise en œuvre des éléments décrits ;</w:t>
      </w:r>
    </w:p>
    <w:p w14:paraId="513E9BEA" w14:textId="77777777" w:rsidR="004B2808" w:rsidRDefault="00000000">
      <w:pPr>
        <w:pStyle w:val="Author-eListParagraph"/>
        <w:numPr>
          <w:ilvl w:val="0"/>
          <w:numId w:val="1409"/>
        </w:numPr>
        <w:jc w:val="both"/>
      </w:pPr>
      <w:r>
        <w:t>La finition des bords, les raccordements avec les parois adjacentes, … ;</w:t>
      </w:r>
    </w:p>
    <w:p w14:paraId="69F04ED3" w14:textId="77777777" w:rsidR="004B2808" w:rsidRDefault="00000000">
      <w:pPr>
        <w:pStyle w:val="Author-eListParagraph"/>
        <w:numPr>
          <w:ilvl w:val="0"/>
          <w:numId w:val="1409"/>
        </w:numPr>
        <w:jc w:val="both"/>
      </w:pPr>
      <w:r>
        <w:t>La gestion des déchets (collecte, tri, traitement, évacuation en dehors du chantier, …), conformément aux 07 Déchets, matériaux et éléments réemployables et suivants ;</w:t>
      </w:r>
    </w:p>
    <w:p w14:paraId="430CE74B" w14:textId="77777777" w:rsidR="004B2808" w:rsidRDefault="00000000">
      <w:pPr>
        <w:pStyle w:val="Author-eListParagraph"/>
        <w:numPr>
          <w:ilvl w:val="0"/>
          <w:numId w:val="1409"/>
        </w:numPr>
        <w:jc w:val="both"/>
      </w:pPr>
      <w:r>
        <w:t>Le nettoyage en fin de chantier.</w:t>
      </w:r>
    </w:p>
    <w:p w14:paraId="6111FEA3" w14:textId="77777777" w:rsidR="004B2808" w:rsidRDefault="00000000">
      <w:pPr>
        <w:pStyle w:val="pheading"/>
      </w:pPr>
      <w:r>
        <w:t>MATÉRIAUX</w:t>
      </w:r>
    </w:p>
    <w:p w14:paraId="0A629D9E" w14:textId="77777777" w:rsidR="004B2808" w:rsidRDefault="00000000">
      <w:pPr>
        <w:jc w:val="both"/>
      </w:pPr>
      <w:r>
        <w:rPr>
          <w:b/>
        </w:rPr>
        <w:t>Généralités :</w:t>
      </w:r>
    </w:p>
    <w:p w14:paraId="0445672E" w14:textId="77777777" w:rsidR="004B2808" w:rsidRDefault="00000000">
      <w:pPr>
        <w:jc w:val="both"/>
      </w:pPr>
      <w:r>
        <w:t xml:space="preserve">Les descriptions aux 23.3 Eléments et structures secondaires métalliques et suivants ainsi qu’aux </w:t>
      </w:r>
      <w:hyperlink w:anchor="377" w:history="1">
        <w:r w:rsidR="004B2808">
          <w:rPr>
            <w:color w:val="0000EE"/>
          </w:rPr>
          <w:t>57.1 Escaliers et garde-corps complets</w:t>
        </w:r>
      </w:hyperlink>
      <w:r>
        <w:t xml:space="preserve"> et suivants sont également d’application, notamment en ce qui concerne :</w:t>
      </w:r>
    </w:p>
    <w:p w14:paraId="75940CB3" w14:textId="77777777" w:rsidR="004B2808" w:rsidRDefault="00000000">
      <w:pPr>
        <w:pStyle w:val="Author-eListParagraph"/>
        <w:numPr>
          <w:ilvl w:val="0"/>
          <w:numId w:val="1411"/>
        </w:numPr>
        <w:jc w:val="both"/>
      </w:pPr>
      <w:r>
        <w:t>Stabilité – sollicitations</w:t>
      </w:r>
    </w:p>
    <w:p w14:paraId="4BB829AF" w14:textId="77777777" w:rsidR="004B2808" w:rsidRDefault="00000000">
      <w:pPr>
        <w:pStyle w:val="Author-eListParagraph"/>
        <w:numPr>
          <w:ilvl w:val="0"/>
          <w:numId w:val="1411"/>
        </w:numPr>
        <w:jc w:val="both"/>
      </w:pPr>
      <w:r>
        <w:t>Sécurité incendie</w:t>
      </w:r>
    </w:p>
    <w:p w14:paraId="732405BF" w14:textId="77777777" w:rsidR="004B2808" w:rsidRDefault="00000000">
      <w:pPr>
        <w:pStyle w:val="pheading"/>
      </w:pPr>
      <w:r>
        <w:t>EXÉCUTION / MISE EN ŒUVRE</w:t>
      </w:r>
    </w:p>
    <w:p w14:paraId="47FD7529" w14:textId="77777777" w:rsidR="004B2808" w:rsidRDefault="00000000">
      <w:pPr>
        <w:jc w:val="both"/>
      </w:pPr>
      <w:r>
        <w:rPr>
          <w:b/>
        </w:rPr>
        <w:t>Généralités :</w:t>
      </w:r>
    </w:p>
    <w:p w14:paraId="61847AA3" w14:textId="77777777" w:rsidR="004B2808" w:rsidRDefault="00000000">
      <w:pPr>
        <w:jc w:val="both"/>
      </w:pPr>
      <w:r>
        <w:t xml:space="preserve">Les descriptions aux 23.3 Eléments et structures secondaires métalliques et suivants ainsi qu’aux </w:t>
      </w:r>
      <w:hyperlink w:anchor="377" w:history="1">
        <w:r w:rsidR="004B2808">
          <w:rPr>
            <w:color w:val="0000EE"/>
          </w:rPr>
          <w:t>57.1 Escaliers et garde-corps complets</w:t>
        </w:r>
      </w:hyperlink>
      <w:r>
        <w:t xml:space="preserve"> complets et suivants sont également d’application, notamment en ce qui concerne les éléments suivants :</w:t>
      </w:r>
    </w:p>
    <w:p w14:paraId="3261A9C4" w14:textId="77777777" w:rsidR="004B2808" w:rsidRDefault="00000000">
      <w:pPr>
        <w:pStyle w:val="Author-eListParagraph"/>
        <w:numPr>
          <w:ilvl w:val="0"/>
          <w:numId w:val="1412"/>
        </w:numPr>
        <w:jc w:val="both"/>
      </w:pPr>
      <w:r>
        <w:t>Timing - Influence de l'environnement - Mesures de protection</w:t>
      </w:r>
    </w:p>
    <w:p w14:paraId="67BA82EA" w14:textId="77777777" w:rsidR="004B2808" w:rsidRDefault="00000000">
      <w:pPr>
        <w:pStyle w:val="Author-eListParagraph"/>
        <w:numPr>
          <w:ilvl w:val="0"/>
          <w:numId w:val="1412"/>
        </w:numPr>
        <w:jc w:val="both"/>
      </w:pPr>
      <w:r>
        <w:t>Dessin d'étude et d'exécution</w:t>
      </w:r>
    </w:p>
    <w:p w14:paraId="793D4C7B" w14:textId="77777777" w:rsidR="004B2808" w:rsidRDefault="00000000">
      <w:pPr>
        <w:pStyle w:val="Author-eListParagraph"/>
        <w:numPr>
          <w:ilvl w:val="0"/>
          <w:numId w:val="1412"/>
        </w:numPr>
        <w:jc w:val="both"/>
      </w:pPr>
      <w:r>
        <w:t>Module du pas</w:t>
      </w:r>
    </w:p>
    <w:p w14:paraId="3FAC0617" w14:textId="77777777" w:rsidR="004B2808" w:rsidRDefault="00000000">
      <w:pPr>
        <w:pStyle w:val="Author-eListParagraph"/>
        <w:numPr>
          <w:ilvl w:val="0"/>
          <w:numId w:val="1412"/>
        </w:numPr>
        <w:jc w:val="both"/>
      </w:pPr>
      <w:r>
        <w:t>Balancement des marches</w:t>
      </w:r>
    </w:p>
    <w:p w14:paraId="4572807D" w14:textId="77777777" w:rsidR="004B2808" w:rsidRDefault="00000000">
      <w:pPr>
        <w:pStyle w:val="Author-eListParagraph"/>
        <w:numPr>
          <w:ilvl w:val="0"/>
          <w:numId w:val="1412"/>
        </w:numPr>
        <w:jc w:val="both"/>
      </w:pPr>
      <w:r>
        <w:t>Hauteur libre</w:t>
      </w:r>
    </w:p>
    <w:p w14:paraId="54B816F9" w14:textId="77777777" w:rsidR="004B2808" w:rsidRDefault="00000000">
      <w:pPr>
        <w:pStyle w:val="Author-eListParagraph"/>
        <w:numPr>
          <w:ilvl w:val="0"/>
          <w:numId w:val="1412"/>
        </w:numPr>
        <w:jc w:val="both"/>
      </w:pPr>
      <w:r>
        <w:t>Assemblage – Scellement</w:t>
      </w:r>
    </w:p>
    <w:p w14:paraId="355626F3" w14:textId="77777777" w:rsidR="004B2808" w:rsidRDefault="00000000">
      <w:pPr>
        <w:pStyle w:val="Author-eListParagraph"/>
        <w:numPr>
          <w:ilvl w:val="0"/>
          <w:numId w:val="1412"/>
        </w:numPr>
        <w:jc w:val="both"/>
      </w:pPr>
      <w:r>
        <w:t>Asselets</w:t>
      </w:r>
    </w:p>
    <w:p w14:paraId="4520FF9C" w14:textId="77777777" w:rsidR="004B2808" w:rsidRDefault="00000000">
      <w:pPr>
        <w:pStyle w:val="pheading"/>
      </w:pPr>
      <w:r>
        <w:t>DOCUMENTS DE RÉFÉRENCE</w:t>
      </w:r>
    </w:p>
    <w:p w14:paraId="1DFADA84" w14:textId="77777777" w:rsidR="004B2808" w:rsidRDefault="00000000">
      <w:pPr>
        <w:pStyle w:val="pheading"/>
      </w:pPr>
      <w:r>
        <w:t>- Matériau</w:t>
      </w:r>
    </w:p>
    <w:p w14:paraId="3B9DC16F" w14:textId="77777777" w:rsidR="004B2808" w:rsidRDefault="00000000">
      <w:pPr>
        <w:jc w:val="both"/>
      </w:pPr>
      <w:r>
        <w:t xml:space="preserve">Se référer aux 23.3 Eléments et structures secondaires métalliques et suivants ainsi qu’aux </w:t>
      </w:r>
      <w:hyperlink w:anchor="377" w:history="1">
        <w:r w:rsidR="004B2808">
          <w:rPr>
            <w:color w:val="0000EE"/>
          </w:rPr>
          <w:t>57.1 Escaliers et garde-corps complets</w:t>
        </w:r>
      </w:hyperlink>
      <w:r>
        <w:t xml:space="preserve"> et suivants.</w:t>
      </w:r>
    </w:p>
    <w:p w14:paraId="2E12A41B" w14:textId="77777777" w:rsidR="004B2808" w:rsidRDefault="00000000">
      <w:pPr>
        <w:pStyle w:val="pheading"/>
      </w:pPr>
      <w:r>
        <w:t>- Exécution</w:t>
      </w:r>
    </w:p>
    <w:p w14:paraId="1C2E5F0D" w14:textId="77777777" w:rsidR="004B2808" w:rsidRDefault="00000000">
      <w:pPr>
        <w:jc w:val="both"/>
      </w:pPr>
      <w:r>
        <w:t xml:space="preserve">Se référer aux 23.3 Eléments et structures secondaires métalliques et suivants ainsi qu’aux </w:t>
      </w:r>
      <w:hyperlink w:anchor="377" w:history="1">
        <w:r w:rsidR="004B2808">
          <w:rPr>
            <w:color w:val="0000EE"/>
          </w:rPr>
          <w:t>57.1 Escaliers et garde-corps complets</w:t>
        </w:r>
      </w:hyperlink>
      <w:r>
        <w:t xml:space="preserve"> et suivants.</w:t>
      </w:r>
    </w:p>
    <w:p w14:paraId="3A0134E3" w14:textId="77777777" w:rsidR="004B2808" w:rsidRDefault="00000000">
      <w:pPr>
        <w:pStyle w:val="Author-eSectionHeading4Numberless"/>
      </w:pPr>
      <w:bookmarkStart w:id="1545" w:name="_Toc220491641"/>
      <w:r>
        <w:t>57.21 Limons CCTB 01.02</w:t>
      </w:r>
      <w:bookmarkEnd w:id="1545"/>
    </w:p>
    <w:p w14:paraId="5B56C706" w14:textId="77777777" w:rsidR="004B2808" w:rsidRDefault="00000000">
      <w:pPr>
        <w:pStyle w:val="Author-eSectionHeading5Numberless"/>
      </w:pPr>
      <w:bookmarkStart w:id="1546" w:name="_Toc220491642"/>
      <w:r>
        <w:t>57.21.1 Limons en béton armé CCTB 01.02</w:t>
      </w:r>
      <w:bookmarkEnd w:id="1546"/>
    </w:p>
    <w:p w14:paraId="2B1E13DD" w14:textId="77777777" w:rsidR="004B2808" w:rsidRDefault="00000000">
      <w:pPr>
        <w:pStyle w:val="Author-eSectionHeading6Numberless"/>
      </w:pPr>
      <w:bookmarkStart w:id="1547" w:name="_Toc220491643"/>
      <w:r>
        <w:t>57.21.1a Limons en béton armé coulés sur place CCTB 01.02</w:t>
      </w:r>
      <w:bookmarkEnd w:id="1547"/>
    </w:p>
    <w:p w14:paraId="3BECC13A" w14:textId="77777777" w:rsidR="004B2808" w:rsidRDefault="00000000">
      <w:pPr>
        <w:pStyle w:val="Author-eSectionHeading6Numberless"/>
      </w:pPr>
      <w:bookmarkStart w:id="1548" w:name="_Toc220491644"/>
      <w:r>
        <w:t>57.21.1b Limons préfabriqués en béton armé  CCTB 01.02</w:t>
      </w:r>
      <w:bookmarkEnd w:id="1548"/>
    </w:p>
    <w:p w14:paraId="04BDB3E7" w14:textId="77777777" w:rsidR="004B2808" w:rsidRDefault="00000000">
      <w:pPr>
        <w:pStyle w:val="Author-eSectionHeading5Numberless"/>
      </w:pPr>
      <w:bookmarkStart w:id="1549" w:name="_Toc220491645"/>
      <w:r>
        <w:t>57.21.2 Limons métalliques CCTB 01.12</w:t>
      </w:r>
      <w:bookmarkEnd w:id="1549"/>
    </w:p>
    <w:p w14:paraId="7CAB529F" w14:textId="77777777" w:rsidR="004B2808" w:rsidRDefault="00000000">
      <w:pPr>
        <w:pStyle w:val="pheading"/>
      </w:pPr>
      <w:r>
        <w:t>EXÉCUTION / MISE EN ŒUVRE</w:t>
      </w:r>
    </w:p>
    <w:p w14:paraId="538D9652" w14:textId="77777777" w:rsidR="004B2808" w:rsidRDefault="00000000">
      <w:pPr>
        <w:jc w:val="both"/>
      </w:pPr>
      <w:r>
        <w:rPr>
          <w:b/>
        </w:rPr>
        <w:t>Mise en œuvre des limons :</w:t>
      </w:r>
    </w:p>
    <w:p w14:paraId="79CCABAA" w14:textId="77777777" w:rsidR="004B2808" w:rsidRDefault="00000000">
      <w:pPr>
        <w:jc w:val="both"/>
      </w:pPr>
      <w:r>
        <w:lastRenderedPageBreak/>
        <w:t>Après avoir effectué un relevé précis de la zone de pose et préalablement à la réalisation, l’entrepreneur soumet à la direction des travaux les plans détaillés des différents éléments qui constituent l’escalier.</w:t>
      </w:r>
    </w:p>
    <w:p w14:paraId="3BE29DD5" w14:textId="77777777" w:rsidR="004B2808" w:rsidRDefault="00000000">
      <w:pPr>
        <w:jc w:val="both"/>
      </w:pPr>
      <w:r>
        <w:t xml:space="preserve"> L’entrepreneur donne suite aux différentes remarques.</w:t>
      </w:r>
    </w:p>
    <w:p w14:paraId="7FCDBEA1" w14:textId="77777777" w:rsidR="004B2808" w:rsidRDefault="00000000">
      <w:pPr>
        <w:jc w:val="both"/>
      </w:pPr>
      <w:r>
        <w:t>La mise en production se fait uniquement après approbation de l’ensemble.</w:t>
      </w:r>
    </w:p>
    <w:p w14:paraId="131726EB" w14:textId="77777777" w:rsidR="004B2808" w:rsidRDefault="00000000">
      <w:pPr>
        <w:jc w:val="both"/>
      </w:pPr>
      <w:r>
        <w:rPr>
          <w:b/>
        </w:rPr>
        <w:t>Fixation :</w:t>
      </w:r>
    </w:p>
    <w:p w14:paraId="7A3CC5BB" w14:textId="77777777" w:rsidR="004B2808" w:rsidRDefault="00000000">
      <w:pPr>
        <w:jc w:val="both"/>
      </w:pPr>
      <w:r>
        <w:t>Se référer aux 23.31 Escaliers métalliques et suivants.</w:t>
      </w:r>
    </w:p>
    <w:p w14:paraId="087A9843" w14:textId="77777777" w:rsidR="004B2808" w:rsidRDefault="00000000">
      <w:pPr>
        <w:pStyle w:val="Author-eSectionHeading6Numberless"/>
      </w:pPr>
      <w:bookmarkStart w:id="1550" w:name="_Toc220491646"/>
      <w:r>
        <w:t>57.21.2a Limons métalliques - en acier CCTB 01.02</w:t>
      </w:r>
      <w:bookmarkEnd w:id="1550"/>
    </w:p>
    <w:p w14:paraId="62300998" w14:textId="77777777" w:rsidR="004B2808" w:rsidRDefault="00000000">
      <w:pPr>
        <w:pStyle w:val="Author-eSectionHeading6Numberless"/>
      </w:pPr>
      <w:bookmarkStart w:id="1551" w:name="_Toc220491647"/>
      <w:r>
        <w:t>57.21.2b Limons métalliques - en acier inoxydable CCTB 01.12</w:t>
      </w:r>
      <w:bookmarkEnd w:id="1551"/>
    </w:p>
    <w:p w14:paraId="67ED0274" w14:textId="77777777" w:rsidR="004B2808" w:rsidRDefault="00000000">
      <w:pPr>
        <w:pStyle w:val="pheading"/>
      </w:pPr>
      <w:r>
        <w:t>DESCRIPTION</w:t>
      </w:r>
    </w:p>
    <w:p w14:paraId="0A840E1C" w14:textId="77777777" w:rsidR="004B2808" w:rsidRDefault="00000000">
      <w:pPr>
        <w:pStyle w:val="pheading"/>
      </w:pPr>
      <w:r>
        <w:t>- Définition / Comprend</w:t>
      </w:r>
    </w:p>
    <w:p w14:paraId="071E0637" w14:textId="77777777" w:rsidR="004B2808" w:rsidRDefault="00000000">
      <w:pPr>
        <w:jc w:val="both"/>
      </w:pPr>
      <w:r>
        <w:t>Il s’agit de la fourniture et de la pose de limons en acier inoxydable, pour des escaliers intérieurs.</w:t>
      </w:r>
    </w:p>
    <w:p w14:paraId="25E12EBE" w14:textId="77777777" w:rsidR="004B2808" w:rsidRDefault="00000000">
      <w:pPr>
        <w:jc w:val="both"/>
      </w:pPr>
      <w:r>
        <w:t xml:space="preserve">Le support des marches et contremarches est décrit et compris aux </w:t>
      </w:r>
      <w:hyperlink w:anchor="1393" w:history="1">
        <w:r w:rsidR="004B2808">
          <w:rPr>
            <w:color w:val="0000EE"/>
          </w:rPr>
          <w:t>57.22 Marches / Contremarches</w:t>
        </w:r>
      </w:hyperlink>
      <w:r>
        <w:t xml:space="preserve"> et suivants.</w:t>
      </w:r>
    </w:p>
    <w:p w14:paraId="4ACB02CB" w14:textId="77777777" w:rsidR="004B2808" w:rsidRDefault="00000000">
      <w:pPr>
        <w:pStyle w:val="pheading"/>
      </w:pPr>
      <w:r>
        <w:t>MATÉRIAUX</w:t>
      </w:r>
    </w:p>
    <w:p w14:paraId="6937026E" w14:textId="77777777" w:rsidR="004B2808" w:rsidRDefault="00000000">
      <w:pPr>
        <w:pStyle w:val="pheading"/>
      </w:pPr>
      <w:r>
        <w:t>- Caractéristiques générales</w:t>
      </w:r>
    </w:p>
    <w:p w14:paraId="7E652A3F" w14:textId="77777777" w:rsidR="004B2808" w:rsidRDefault="00000000">
      <w:pPr>
        <w:jc w:val="both"/>
      </w:pPr>
      <w:r>
        <w:rPr>
          <w:b/>
        </w:rPr>
        <w:t>Description :</w:t>
      </w:r>
    </w:p>
    <w:p w14:paraId="0A12AF7F" w14:textId="77777777" w:rsidR="004B2808" w:rsidRDefault="00000000">
      <w:pPr>
        <w:pStyle w:val="Author-eListParagraph"/>
        <w:numPr>
          <w:ilvl w:val="0"/>
          <w:numId w:val="1413"/>
        </w:numPr>
      </w:pPr>
      <w:r>
        <w:t xml:space="preserve">Matériau de base – Nuance (AISI) : </w:t>
      </w:r>
      <w:r>
        <w:rPr>
          <w:rStyle w:val="optioncarChar"/>
        </w:rPr>
        <w:t xml:space="preserve">inox 304 </w:t>
      </w:r>
      <w:r>
        <w:t>(par défaut)</w:t>
      </w:r>
      <w:r>
        <w:rPr>
          <w:rStyle w:val="optioncarChar"/>
        </w:rPr>
        <w:t xml:space="preserve"> / inox 316 / ***</w:t>
      </w:r>
    </w:p>
    <w:p w14:paraId="09E35150" w14:textId="77777777" w:rsidR="004B2808" w:rsidRDefault="00000000">
      <w:pPr>
        <w:pStyle w:val="Author-eListParagraph"/>
        <w:numPr>
          <w:ilvl w:val="0"/>
          <w:numId w:val="1413"/>
        </w:numPr>
      </w:pPr>
      <w:r>
        <w:t xml:space="preserve">Forme générale : </w:t>
      </w:r>
      <w:r>
        <w:rPr>
          <w:rStyle w:val="optioncarChar"/>
        </w:rPr>
        <w:t xml:space="preserve">selon les indications aux plans </w:t>
      </w:r>
      <w:r>
        <w:t>(par défaut)</w:t>
      </w:r>
      <w:r>
        <w:rPr>
          <w:rStyle w:val="optioncarChar"/>
        </w:rPr>
        <w:t xml:space="preserve"> / droite / balancée / ***</w:t>
      </w:r>
    </w:p>
    <w:p w14:paraId="70B32A0C" w14:textId="77777777" w:rsidR="004B2808" w:rsidRDefault="00000000">
      <w:pPr>
        <w:pStyle w:val="Author-eListParagraph"/>
        <w:numPr>
          <w:ilvl w:val="0"/>
          <w:numId w:val="1413"/>
        </w:numPr>
      </w:pPr>
      <w:r>
        <w:t xml:space="preserve">Dimensions nominales de l’escalier : </w:t>
      </w:r>
      <w:r>
        <w:rPr>
          <w:rStyle w:val="optioncarChar"/>
        </w:rPr>
        <w:t xml:space="preserve">selon les indications aux plans </w:t>
      </w:r>
      <w:r>
        <w:t>(par défaut)</w:t>
      </w:r>
      <w:r>
        <w:rPr>
          <w:rStyle w:val="optioncarChar"/>
        </w:rPr>
        <w:t xml:space="preserve"> / *** cm</w:t>
      </w:r>
    </w:p>
    <w:p w14:paraId="24611336" w14:textId="77777777" w:rsidR="004B2808" w:rsidRDefault="00000000">
      <w:pPr>
        <w:pStyle w:val="Author-eListParagraph"/>
        <w:numPr>
          <w:ilvl w:val="0"/>
          <w:numId w:val="1413"/>
        </w:numPr>
      </w:pPr>
      <w:r>
        <w:t>Composition à : </w:t>
      </w:r>
      <w:r>
        <w:rPr>
          <w:rStyle w:val="optioncarChar"/>
        </w:rPr>
        <w:t>deux limons </w:t>
      </w:r>
      <w:r>
        <w:t>(par défaut)</w:t>
      </w:r>
      <w:r>
        <w:rPr>
          <w:rStyle w:val="optioncarChar"/>
        </w:rPr>
        <w:t> / un limon central / un tube central vertical (colimaçon) / ***.</w:t>
      </w:r>
    </w:p>
    <w:p w14:paraId="3B2AB40B" w14:textId="77777777" w:rsidR="004B2808" w:rsidRDefault="00000000">
      <w:pPr>
        <w:pStyle w:val="Author-eListParagraph"/>
        <w:numPr>
          <w:ilvl w:val="0"/>
          <w:numId w:val="1413"/>
        </w:numPr>
      </w:pPr>
      <w:r>
        <w:t>Type : </w:t>
      </w:r>
      <w:r>
        <w:rPr>
          <w:rStyle w:val="optioncarChar"/>
        </w:rPr>
        <w:t>linéaire continu</w:t>
      </w:r>
      <w:r>
        <w:t> (par défaut)</w:t>
      </w:r>
      <w:r>
        <w:rPr>
          <w:rStyle w:val="optioncarChar"/>
        </w:rPr>
        <w:t> / à crémaillère / ***</w:t>
      </w:r>
    </w:p>
    <w:p w14:paraId="7049D107" w14:textId="77777777" w:rsidR="004B2808" w:rsidRDefault="00000000">
      <w:pPr>
        <w:pStyle w:val="Author-eListParagraph"/>
        <w:numPr>
          <w:ilvl w:val="0"/>
          <w:numId w:val="1413"/>
        </w:numPr>
      </w:pPr>
      <w:r>
        <w:t>Profil :</w:t>
      </w:r>
      <w:r>
        <w:rPr>
          <w:rStyle w:val="optioncarChar"/>
        </w:rPr>
        <w:t xml:space="preserve"> tôle / plat </w:t>
      </w:r>
      <w:r>
        <w:t xml:space="preserve">(par défaut) </w:t>
      </w:r>
      <w:r>
        <w:rPr>
          <w:rStyle w:val="optioncarChar"/>
        </w:rPr>
        <w:t>/ tube rectangulaire / ***</w:t>
      </w:r>
    </w:p>
    <w:p w14:paraId="5AE4DAE0" w14:textId="77777777" w:rsidR="004B2808" w:rsidRDefault="00000000">
      <w:pPr>
        <w:pStyle w:val="Author-eListParagraph"/>
        <w:numPr>
          <w:ilvl w:val="0"/>
          <w:numId w:val="1413"/>
        </w:numPr>
      </w:pPr>
      <w:r>
        <w:t>Dimensions nominales du limon :</w:t>
      </w:r>
      <w:r>
        <w:rPr>
          <w:rStyle w:val="optioncarChar"/>
        </w:rPr>
        <w:t xml:space="preserve"> selon les indications aux plans</w:t>
      </w:r>
      <w:r>
        <w:t xml:space="preserve"> (par défaut)</w:t>
      </w:r>
      <w:r>
        <w:rPr>
          <w:rStyle w:val="optioncarChar"/>
        </w:rPr>
        <w:t xml:space="preserve"> / *** cm</w:t>
      </w:r>
    </w:p>
    <w:p w14:paraId="18AD9B6B" w14:textId="77777777" w:rsidR="004B2808" w:rsidRDefault="00000000">
      <w:pPr>
        <w:pStyle w:val="Author-eListParagraph"/>
        <w:numPr>
          <w:ilvl w:val="0"/>
          <w:numId w:val="1413"/>
        </w:numPr>
      </w:pPr>
      <w:r>
        <w:t> Hauteur (sol à sol) : </w:t>
      </w:r>
      <w:r>
        <w:rPr>
          <w:rStyle w:val="optioncarChar"/>
        </w:rPr>
        <w:t>selon les indications aux plans</w:t>
      </w:r>
      <w:r>
        <w:t xml:space="preserve"> (par défaut)</w:t>
      </w:r>
      <w:r>
        <w:rPr>
          <w:rStyle w:val="optioncarChar"/>
        </w:rPr>
        <w:t xml:space="preserve"> / *** cm</w:t>
      </w:r>
    </w:p>
    <w:p w14:paraId="57301BC1" w14:textId="77777777" w:rsidR="004B2808" w:rsidRDefault="00000000">
      <w:pPr>
        <w:pStyle w:val="Author-eListParagraph"/>
        <w:numPr>
          <w:ilvl w:val="0"/>
          <w:numId w:val="1413"/>
        </w:numPr>
      </w:pPr>
      <w:r>
        <w:t xml:space="preserve">Nombre de marches : </w:t>
      </w:r>
      <w:r>
        <w:rPr>
          <w:rStyle w:val="optioncarChar"/>
        </w:rPr>
        <w:t xml:space="preserve">selon les indications aux plans </w:t>
      </w:r>
      <w:r>
        <w:t>(par défaut)</w:t>
      </w:r>
      <w:r>
        <w:rPr>
          <w:rStyle w:val="optioncarChar"/>
        </w:rPr>
        <w:t xml:space="preserve"> / *** pc</w:t>
      </w:r>
    </w:p>
    <w:p w14:paraId="6BA5AAAE" w14:textId="77777777" w:rsidR="004B2808" w:rsidRDefault="00000000">
      <w:pPr>
        <w:pStyle w:val="Author-eListParagraph"/>
        <w:numPr>
          <w:ilvl w:val="0"/>
          <w:numId w:val="1413"/>
        </w:numPr>
      </w:pPr>
      <w:r>
        <w:t xml:space="preserve">Visserie : </w:t>
      </w:r>
      <w:r>
        <w:rPr>
          <w:rStyle w:val="optioncarChar"/>
        </w:rPr>
        <w:t xml:space="preserve">inox </w:t>
      </w:r>
      <w:r>
        <w:t>(par défaut)</w:t>
      </w:r>
      <w:r>
        <w:rPr>
          <w:rStyle w:val="optioncarChar"/>
        </w:rPr>
        <w:t xml:space="preserve"> / ***</w:t>
      </w:r>
    </w:p>
    <w:p w14:paraId="4D91C0CF" w14:textId="77777777" w:rsidR="004B2808" w:rsidRDefault="00000000">
      <w:pPr>
        <w:jc w:val="both"/>
      </w:pPr>
      <w:r>
        <w:t>Les surfaces finies ne présentent strictement aucune aspérité.</w:t>
      </w:r>
    </w:p>
    <w:p w14:paraId="6B9E98BE" w14:textId="77777777" w:rsidR="004B2808" w:rsidRDefault="00000000">
      <w:pPr>
        <w:pStyle w:val="pheading"/>
      </w:pPr>
      <w:r>
        <w:t>- Finitions</w:t>
      </w:r>
    </w:p>
    <w:p w14:paraId="3E569F2B" w14:textId="77777777" w:rsidR="004B2808" w:rsidRDefault="00000000">
      <w:r>
        <w:t xml:space="preserve">Finition : </w:t>
      </w:r>
      <w:r>
        <w:rPr>
          <w:rStyle w:val="optioncarChar"/>
        </w:rPr>
        <w:t>brossée</w:t>
      </w:r>
      <w:r>
        <w:t xml:space="preserve"> (par défaut)</w:t>
      </w:r>
      <w:r>
        <w:rPr>
          <w:rStyle w:val="optioncarChar"/>
        </w:rPr>
        <w:t xml:space="preserve"> / brute / polie /  ***</w:t>
      </w:r>
    </w:p>
    <w:p w14:paraId="1C250F10" w14:textId="77777777" w:rsidR="004B2808" w:rsidRDefault="00000000">
      <w:pPr>
        <w:pStyle w:val="pheading"/>
      </w:pPr>
      <w:r>
        <w:t>MESURAGE</w:t>
      </w:r>
    </w:p>
    <w:p w14:paraId="54BF9581" w14:textId="77777777" w:rsidR="004B2808" w:rsidRDefault="00000000">
      <w:pPr>
        <w:pStyle w:val="pheading"/>
      </w:pPr>
      <w:r>
        <w:t>- unité de mesure:</w:t>
      </w:r>
    </w:p>
    <w:p w14:paraId="54D754A6" w14:textId="77777777" w:rsidR="004B2808" w:rsidRDefault="00000000">
      <w:r>
        <w:rPr>
          <w:rStyle w:val="optioncarChar"/>
        </w:rPr>
        <w:t>m</w:t>
      </w:r>
      <w:r>
        <w:t xml:space="preserve"> (par défaut)</w:t>
      </w:r>
      <w:r>
        <w:rPr>
          <w:rStyle w:val="optioncarChar"/>
        </w:rPr>
        <w:t xml:space="preserve"> / pc / -</w:t>
      </w:r>
    </w:p>
    <w:p w14:paraId="63D73586" w14:textId="77777777" w:rsidR="004B2808" w:rsidRDefault="00000000">
      <w:r>
        <w:rPr>
          <w:b/>
        </w:rPr>
        <w:t>(soit par défaut)</w:t>
      </w:r>
      <w:r>
        <w:br/>
      </w:r>
      <w:r>
        <w:rPr>
          <w:rStyle w:val="soitChar"/>
        </w:rPr>
        <w:t>1. m</w:t>
      </w:r>
      <w:r>
        <w:br/>
      </w:r>
      <w:r>
        <w:rPr>
          <w:b/>
        </w:rPr>
        <w:t>(soit)</w:t>
      </w:r>
      <w:r>
        <w:br/>
      </w:r>
      <w:r>
        <w:rPr>
          <w:rStyle w:val="soitChar"/>
        </w:rPr>
        <w:t>2. pc</w:t>
      </w:r>
      <w:r>
        <w:br/>
      </w:r>
      <w:r>
        <w:rPr>
          <w:b/>
        </w:rPr>
        <w:t>(soit)</w:t>
      </w:r>
      <w:r>
        <w:br/>
      </w:r>
      <w:r>
        <w:rPr>
          <w:rStyle w:val="soitChar"/>
        </w:rPr>
        <w:t>3. -</w:t>
      </w:r>
    </w:p>
    <w:p w14:paraId="522D51FC" w14:textId="77777777" w:rsidR="004B2808" w:rsidRDefault="00000000">
      <w:pPr>
        <w:pStyle w:val="pheading"/>
      </w:pPr>
      <w:r>
        <w:t>- code de mesurage:</w:t>
      </w:r>
    </w:p>
    <w:p w14:paraId="2FAF1780" w14:textId="77777777" w:rsidR="004B2808" w:rsidRDefault="00000000">
      <w:pPr>
        <w:jc w:val="both"/>
      </w:pPr>
      <w:r>
        <w:rPr>
          <w:rStyle w:val="optioncarChar"/>
        </w:rPr>
        <w:t xml:space="preserve">Longueur nette </w:t>
      </w:r>
      <w:r>
        <w:t xml:space="preserve">(par défaut) </w:t>
      </w:r>
      <w:r>
        <w:rPr>
          <w:rStyle w:val="optioncarChar"/>
        </w:rPr>
        <w:t>/ Quantité nette / Compris</w:t>
      </w:r>
    </w:p>
    <w:p w14:paraId="6B255301" w14:textId="77777777" w:rsidR="004B2808" w:rsidRDefault="00000000">
      <w:pPr>
        <w:jc w:val="both"/>
      </w:pPr>
      <w:r>
        <w:rPr>
          <w:b/>
        </w:rPr>
        <w:t>(soit par défaut)</w:t>
      </w:r>
    </w:p>
    <w:p w14:paraId="11EE2E79" w14:textId="77777777" w:rsidR="004B2808" w:rsidRDefault="00000000">
      <w:pPr>
        <w:jc w:val="both"/>
      </w:pPr>
      <w:r>
        <w:rPr>
          <w:rStyle w:val="soitChar"/>
        </w:rPr>
        <w:lastRenderedPageBreak/>
        <w:t xml:space="preserve">1. </w:t>
      </w:r>
      <w:r>
        <w:rPr>
          <w:rStyle w:val="soitChar"/>
          <w:u w:val="single"/>
        </w:rPr>
        <w:t>Longueur nette :</w:t>
      </w:r>
    </w:p>
    <w:p w14:paraId="79799B04" w14:textId="77777777" w:rsidR="004B2808" w:rsidRDefault="00000000">
      <w:pPr>
        <w:jc w:val="both"/>
      </w:pPr>
      <w:r>
        <w:rPr>
          <w:rStyle w:val="soitChar"/>
        </w:rPr>
        <w:t xml:space="preserve">Selon la longueur hors tout : </w:t>
      </w:r>
      <w:r>
        <w:rPr>
          <w:rStyle w:val="optioncarChar"/>
        </w:rPr>
        <w:t>indiquée aux plans</w:t>
      </w:r>
      <w:r>
        <w:t xml:space="preserve"> (par défaut)</w:t>
      </w:r>
      <w:r>
        <w:rPr>
          <w:rStyle w:val="optioncarChar"/>
        </w:rPr>
        <w:t xml:space="preserve"> / ***.</w:t>
      </w:r>
    </w:p>
    <w:p w14:paraId="493CD819" w14:textId="77777777" w:rsidR="004B2808" w:rsidRDefault="00000000">
      <w:pPr>
        <w:jc w:val="both"/>
      </w:pPr>
      <w:r>
        <w:rPr>
          <w:rStyle w:val="soitChar"/>
        </w:rPr>
        <w:t>Eventuellement scindée dans différents postes selon le type, le lieu, …</w:t>
      </w:r>
    </w:p>
    <w:p w14:paraId="3E3B036F" w14:textId="77777777" w:rsidR="004B2808" w:rsidRDefault="00000000">
      <w:pPr>
        <w:jc w:val="both"/>
      </w:pPr>
      <w:r>
        <w:rPr>
          <w:b/>
        </w:rPr>
        <w:t>(soit)</w:t>
      </w:r>
    </w:p>
    <w:p w14:paraId="78FF96AF" w14:textId="77777777" w:rsidR="004B2808" w:rsidRDefault="00000000">
      <w:pPr>
        <w:jc w:val="both"/>
      </w:pPr>
      <w:r>
        <w:rPr>
          <w:rStyle w:val="soitChar"/>
        </w:rPr>
        <w:t xml:space="preserve">2. </w:t>
      </w:r>
      <w:r>
        <w:rPr>
          <w:rStyle w:val="soitChar"/>
          <w:u w:val="single"/>
        </w:rPr>
        <w:t>Quantité nette :</w:t>
      </w:r>
    </w:p>
    <w:p w14:paraId="00449DDB" w14:textId="77777777" w:rsidR="004B2808" w:rsidRDefault="00000000">
      <w:pPr>
        <w:jc w:val="both"/>
      </w:pPr>
      <w:r>
        <w:rPr>
          <w:rStyle w:val="soitChar"/>
        </w:rPr>
        <w:t>Mesurée selon le nombre d’éléments à réaliser.</w:t>
      </w:r>
    </w:p>
    <w:p w14:paraId="63688BC9" w14:textId="77777777" w:rsidR="004B2808" w:rsidRDefault="00000000">
      <w:pPr>
        <w:jc w:val="both"/>
      </w:pPr>
      <w:r>
        <w:rPr>
          <w:rStyle w:val="soitChar"/>
        </w:rPr>
        <w:t>Eventuellement scindée dans différents postes selon le type, le lieu, …</w:t>
      </w:r>
    </w:p>
    <w:p w14:paraId="3CC784D3" w14:textId="77777777" w:rsidR="004B2808" w:rsidRDefault="00000000">
      <w:pPr>
        <w:jc w:val="both"/>
      </w:pPr>
      <w:r>
        <w:rPr>
          <w:b/>
        </w:rPr>
        <w:t>(soit)</w:t>
      </w:r>
    </w:p>
    <w:p w14:paraId="4D3F5C9B" w14:textId="77777777" w:rsidR="004B2808" w:rsidRDefault="00000000">
      <w:pPr>
        <w:jc w:val="both"/>
      </w:pPr>
      <w:r>
        <w:rPr>
          <w:rStyle w:val="soitChar"/>
        </w:rPr>
        <w:t xml:space="preserve">3. </w:t>
      </w:r>
      <w:r>
        <w:rPr>
          <w:rStyle w:val="soitChar"/>
          <w:u w:val="single"/>
        </w:rPr>
        <w:t>Compris :</w:t>
      </w:r>
    </w:p>
    <w:p w14:paraId="12D08ADE" w14:textId="77777777" w:rsidR="004B2808" w:rsidRDefault="00000000">
      <w:pPr>
        <w:jc w:val="both"/>
      </w:pPr>
      <w:r>
        <w:rPr>
          <w:rStyle w:val="soitChar"/>
        </w:rPr>
        <w:t xml:space="preserve">Tous les frais liés à ces prestations sont compris dans le prix des articles </w:t>
      </w:r>
      <w:r>
        <w:rPr>
          <w:rStyle w:val="optioncarChar"/>
        </w:rPr>
        <w:t>***</w:t>
      </w:r>
    </w:p>
    <w:p w14:paraId="656C10FB" w14:textId="77777777" w:rsidR="004B2808" w:rsidRDefault="00000000">
      <w:pPr>
        <w:pStyle w:val="pheading"/>
      </w:pPr>
      <w:r>
        <w:t>- nature du marché:</w:t>
      </w:r>
    </w:p>
    <w:p w14:paraId="7DD45F12" w14:textId="77777777" w:rsidR="004B2808" w:rsidRDefault="00000000">
      <w:r>
        <w:rPr>
          <w:rStyle w:val="optioncarChar"/>
        </w:rPr>
        <w:t xml:space="preserve">QF </w:t>
      </w:r>
      <w:r>
        <w:t>(par défaut)</w:t>
      </w:r>
      <w:r>
        <w:rPr>
          <w:rStyle w:val="optioncarChar"/>
        </w:rPr>
        <w:t xml:space="preserve"> / PM</w:t>
      </w:r>
    </w:p>
    <w:p w14:paraId="57503956" w14:textId="77777777" w:rsidR="004B2808" w:rsidRDefault="00000000">
      <w:r>
        <w:rPr>
          <w:b/>
        </w:rPr>
        <w:t>(soit par défaut)</w:t>
      </w:r>
      <w:r>
        <w:br/>
      </w:r>
      <w:r>
        <w:rPr>
          <w:rStyle w:val="soitChar"/>
        </w:rPr>
        <w:t>1. 2. QF</w:t>
      </w:r>
      <w:r>
        <w:br/>
      </w:r>
      <w:r>
        <w:rPr>
          <w:b/>
        </w:rPr>
        <w:t>(soit)</w:t>
      </w:r>
      <w:r>
        <w:br/>
      </w:r>
      <w:r>
        <w:rPr>
          <w:rStyle w:val="soitChar"/>
        </w:rPr>
        <w:t>3. PM</w:t>
      </w:r>
    </w:p>
    <w:p w14:paraId="3BB48590" w14:textId="77777777" w:rsidR="004B2808" w:rsidRDefault="00000000">
      <w:pPr>
        <w:pStyle w:val="Author-eSectionHeading6Numberless"/>
      </w:pPr>
      <w:bookmarkStart w:id="1552" w:name="_Toc220491648"/>
      <w:r>
        <w:t>57.21.2c Limons métalliques - en aluminium CCTB 01.02</w:t>
      </w:r>
      <w:bookmarkEnd w:id="1552"/>
    </w:p>
    <w:p w14:paraId="1774BFAE" w14:textId="77777777" w:rsidR="004B2808" w:rsidRDefault="00000000">
      <w:pPr>
        <w:pStyle w:val="Author-eSectionHeading5Numberless"/>
      </w:pPr>
      <w:bookmarkStart w:id="1553" w:name="_Toc220491649"/>
      <w:r>
        <w:t>57.21.3 Limons en bois CCTB 01.02</w:t>
      </w:r>
      <w:bookmarkEnd w:id="1553"/>
    </w:p>
    <w:p w14:paraId="74EA2BEE" w14:textId="77777777" w:rsidR="004B2808" w:rsidRDefault="00000000">
      <w:pPr>
        <w:pStyle w:val="Author-eSectionHeading4Numberless"/>
      </w:pPr>
      <w:bookmarkStart w:id="1554" w:name="_Toc220491650"/>
      <w:r>
        <w:t>57.22 Marches / Contremarches CCTB 01.13</w:t>
      </w:r>
      <w:bookmarkEnd w:id="1554"/>
    </w:p>
    <w:p w14:paraId="56A452BA" w14:textId="77777777" w:rsidR="004B2808" w:rsidRDefault="00000000">
      <w:pPr>
        <w:pStyle w:val="pheading"/>
      </w:pPr>
      <w:bookmarkStart w:id="1555" w:name="1393"/>
      <w:bookmarkEnd w:id="1555"/>
      <w:r>
        <w:t>DESCRIPTION</w:t>
      </w:r>
    </w:p>
    <w:p w14:paraId="7906A0C7" w14:textId="77777777" w:rsidR="004B2808" w:rsidRDefault="00000000">
      <w:pPr>
        <w:pStyle w:val="pheading"/>
      </w:pPr>
      <w:r>
        <w:t>- Définition / Comprend</w:t>
      </w:r>
    </w:p>
    <w:p w14:paraId="0E52F220" w14:textId="77777777" w:rsidR="004B2808" w:rsidRDefault="00000000">
      <w:r>
        <w:rPr>
          <w:b/>
          <w:sz w:val="24"/>
        </w:rPr>
        <w:t>Revêtements d'escalier</w:t>
      </w:r>
    </w:p>
    <w:p w14:paraId="1F1F649B" w14:textId="77777777" w:rsidR="004B2808" w:rsidRDefault="00000000">
      <w:pPr>
        <w:pStyle w:val="Author-eListParagraph"/>
        <w:numPr>
          <w:ilvl w:val="0"/>
          <w:numId w:val="1414"/>
        </w:numPr>
      </w:pPr>
      <w:r>
        <w:t>Il s'agit de la fourniture et de la pose du revêtement des marches d'escalier, y compris les plinthes et contremarches, exécutées dans un autre matériau que la structure portante de l'escalier, c'est-à-dire les revêtements en carreaux ou d'une pièce en pierre (reconstituée) ou en bois. Les marches sont destinées, soit à être posées sur les escaliers en béton, soit à être posées ou fixées sur la structure en acier de l'escalier (marches autoportantes).</w:t>
      </w:r>
    </w:p>
    <w:p w14:paraId="126363E1" w14:textId="77777777" w:rsidR="004B2808" w:rsidRDefault="00000000">
      <w:pPr>
        <w:pStyle w:val="Author-eListParagraph"/>
        <w:numPr>
          <w:ilvl w:val="0"/>
          <w:numId w:val="1414"/>
        </w:numPr>
      </w:pPr>
      <w:r>
        <w:t>Conformément aux dispositions générales ou spécifiques du cahier spécial des charges, les prix unitaires compris sous cette rubrique doivent comprendre, soit dans leur globalité soit selon la ventilation dans le métré récapitulatif :</w:t>
      </w:r>
    </w:p>
    <w:p w14:paraId="09FB72DA" w14:textId="77777777" w:rsidR="004B2808" w:rsidRDefault="00000000">
      <w:pPr>
        <w:pStyle w:val="Author-eListParagraph"/>
        <w:numPr>
          <w:ilvl w:val="0"/>
          <w:numId w:val="1414"/>
        </w:numPr>
      </w:pPr>
      <w:r>
        <w:t>la préparation du support et l’élimination de décombres, débris, matières étrangères, plâtre, graisses, etc.,</w:t>
      </w:r>
    </w:p>
    <w:p w14:paraId="0E71CCF2" w14:textId="77777777" w:rsidR="004B2808" w:rsidRDefault="00000000">
      <w:pPr>
        <w:pStyle w:val="Author-eListParagraph"/>
        <w:numPr>
          <w:ilvl w:val="0"/>
          <w:numId w:val="1414"/>
        </w:numPr>
      </w:pPr>
      <w:r>
        <w:t>le contrôle des niveaux,</w:t>
      </w:r>
    </w:p>
    <w:p w14:paraId="3ED018C9" w14:textId="77777777" w:rsidR="004B2808" w:rsidRDefault="00000000">
      <w:pPr>
        <w:pStyle w:val="Author-eListParagraph"/>
        <w:numPr>
          <w:ilvl w:val="0"/>
          <w:numId w:val="1414"/>
        </w:numPr>
      </w:pPr>
      <w:r>
        <w:t>la fourniture, le profilage et la pose des revêtements d'escalier;</w:t>
      </w:r>
    </w:p>
    <w:p w14:paraId="5053ABB0" w14:textId="77777777" w:rsidR="004B2808" w:rsidRDefault="00000000">
      <w:pPr>
        <w:pStyle w:val="Author-eListParagraph"/>
        <w:numPr>
          <w:ilvl w:val="0"/>
          <w:numId w:val="1414"/>
        </w:numPr>
      </w:pPr>
      <w:r>
        <w:t>la pose de tous les éléments décrits dans le cahier spécial des charges, à savoir les plinthes, la finition des bords et tous les accessoires;</w:t>
      </w:r>
    </w:p>
    <w:p w14:paraId="34EE6285" w14:textId="77777777" w:rsidR="004B2808" w:rsidRDefault="00000000">
      <w:pPr>
        <w:pStyle w:val="Author-eListParagraph"/>
        <w:numPr>
          <w:ilvl w:val="0"/>
          <w:numId w:val="1414"/>
        </w:numPr>
      </w:pPr>
      <w:r>
        <w:t>le coulage des joints ou le rejointoiement, le masticage éventuel;</w:t>
      </w:r>
    </w:p>
    <w:p w14:paraId="38464B27" w14:textId="77777777" w:rsidR="004B2808" w:rsidRDefault="00000000">
      <w:pPr>
        <w:pStyle w:val="Author-eListParagraph"/>
        <w:numPr>
          <w:ilvl w:val="0"/>
          <w:numId w:val="1414"/>
        </w:numPr>
      </w:pPr>
      <w:r>
        <w:t>le nettoyage du revêtement d’escalier, y compris l’élimination des taches de mortier ou de colle et du mortier à jointoyer,</w:t>
      </w:r>
    </w:p>
    <w:p w14:paraId="7BBDF1E7" w14:textId="77777777" w:rsidR="004B2808" w:rsidRDefault="00000000">
      <w:pPr>
        <w:pStyle w:val="Author-eListParagraph"/>
        <w:numPr>
          <w:ilvl w:val="0"/>
          <w:numId w:val="1414"/>
        </w:numPr>
      </w:pPr>
      <w:r>
        <w:t>la protection du revêtement pendant les travaux de construction ultérieurs.</w:t>
      </w:r>
    </w:p>
    <w:p w14:paraId="40F629D9" w14:textId="77777777" w:rsidR="004B2808" w:rsidRDefault="00000000">
      <w:r>
        <w:rPr>
          <w:b/>
          <w:sz w:val="24"/>
        </w:rPr>
        <w:t>Marches autoportantes</w:t>
      </w:r>
    </w:p>
    <w:p w14:paraId="3EB03848" w14:textId="77777777" w:rsidR="004B2808" w:rsidRDefault="00000000">
      <w:r>
        <w:t>Il s'agit de la fourniture et de la pose de marches indépendantes exécutées dans un autre matériau que la structure portante de l'escalier, soit comme revêtement des escaliers en béton, soit insérée dans ou fixée sur une structure d'escalier en acier.</w:t>
      </w:r>
    </w:p>
    <w:p w14:paraId="096C02D1" w14:textId="77777777" w:rsidR="004B2808" w:rsidRDefault="00000000">
      <w:pPr>
        <w:pStyle w:val="pheading"/>
      </w:pPr>
      <w:r>
        <w:lastRenderedPageBreak/>
        <w:t>MATÉRIAUX</w:t>
      </w:r>
    </w:p>
    <w:p w14:paraId="0FB4CB8B" w14:textId="77777777" w:rsidR="004B2808" w:rsidRDefault="00000000">
      <w:r>
        <w:rPr>
          <w:b/>
          <w:sz w:val="24"/>
        </w:rPr>
        <w:t>Revêtements d'escalier</w:t>
      </w:r>
    </w:p>
    <w:p w14:paraId="25F14F24" w14:textId="77777777" w:rsidR="004B2808" w:rsidRDefault="00000000">
      <w:pPr>
        <w:pStyle w:val="Author-eListParagraph"/>
        <w:numPr>
          <w:ilvl w:val="0"/>
          <w:numId w:val="1415"/>
        </w:numPr>
      </w:pPr>
      <w:r>
        <w:t>Toutes les pièces, les marches droites et tournantes sont profilées et fabriquées selon les plans d'adjudication et/ou les plans d'exécution approuvés.</w:t>
      </w:r>
    </w:p>
    <w:p w14:paraId="3575E209" w14:textId="77777777" w:rsidR="004B2808" w:rsidRDefault="00000000">
      <w:pPr>
        <w:pStyle w:val="Author-eListParagraph"/>
        <w:numPr>
          <w:ilvl w:val="0"/>
          <w:numId w:val="1415"/>
        </w:numPr>
      </w:pPr>
      <w:r>
        <w:t xml:space="preserve">Une série complète d'échantillons du matériau de revêtement est soumise à l'approbation de l'auteur de projet en même temps que les plans d'exécution. Avant l'exécution, le poseur des marches remet à l'auteur de projet : une carte des couleurs et des échantillons des marches. Un ou plusieurs échantillons (contractuels) représentatifs de l'aspect moyen, des couleurs et de la nature de la surface de la livraison. Le certificat d'origine est soumis avant la mise en œuvre des marches. </w:t>
      </w:r>
    </w:p>
    <w:p w14:paraId="066D3177" w14:textId="77777777" w:rsidR="004B2808" w:rsidRDefault="00000000">
      <w:pPr>
        <w:pStyle w:val="Author-eListParagraph"/>
        <w:numPr>
          <w:ilvl w:val="0"/>
          <w:numId w:val="1415"/>
        </w:numPr>
      </w:pPr>
      <w:r>
        <w:t xml:space="preserve">En matière de sécurité incendie, les revêtements d’escaliers doivent répondre à certaines exigences en fonction de la destination du local auquel ils appartiennent. </w:t>
      </w:r>
    </w:p>
    <w:p w14:paraId="260F4C91" w14:textId="77777777" w:rsidR="004B2808" w:rsidRDefault="00000000">
      <w:r>
        <w:t>Support aux prescripteurs : [SWL GSI/T1/B] de la prévention passive référencé dans le tome 0 T0 Entreprise / Chantier  de ce cahier des charge.</w:t>
      </w:r>
    </w:p>
    <w:p w14:paraId="33F92234" w14:textId="77777777" w:rsidR="004B2808" w:rsidRDefault="00000000">
      <w:r>
        <w:rPr>
          <w:b/>
          <w:sz w:val="24"/>
        </w:rPr>
        <w:t>Marches autoportantes</w:t>
      </w:r>
    </w:p>
    <w:p w14:paraId="77A20253" w14:textId="77777777" w:rsidR="004B2808" w:rsidRDefault="00000000">
      <w:pPr>
        <w:pStyle w:val="Author-eListParagraph"/>
        <w:numPr>
          <w:ilvl w:val="0"/>
          <w:numId w:val="1416"/>
        </w:numPr>
      </w:pPr>
      <w:r>
        <w:t>Le certificat d'origine est remis avant la mise en œuvre des marches.</w:t>
      </w:r>
    </w:p>
    <w:p w14:paraId="1D401766" w14:textId="77777777" w:rsidR="004B2808" w:rsidRDefault="00000000">
      <w:pPr>
        <w:pStyle w:val="Author-eListParagraph"/>
        <w:numPr>
          <w:ilvl w:val="0"/>
          <w:numId w:val="1416"/>
        </w:numPr>
      </w:pPr>
      <w:r>
        <w:t>Avant l'exécution, le poseur des marches remet à l'auteur de projet :</w:t>
      </w:r>
    </w:p>
    <w:p w14:paraId="3ECE779A" w14:textId="77777777" w:rsidR="004B2808" w:rsidRDefault="00000000">
      <w:pPr>
        <w:pStyle w:val="Author-eListParagraph"/>
        <w:numPr>
          <w:ilvl w:val="0"/>
          <w:numId w:val="1416"/>
        </w:numPr>
      </w:pPr>
      <w:r>
        <w:t>une carte des couleurs et des échantillons des marches.</w:t>
      </w:r>
    </w:p>
    <w:p w14:paraId="11CF16BB" w14:textId="77777777" w:rsidR="004B2808" w:rsidRDefault="00000000">
      <w:pPr>
        <w:pStyle w:val="Author-eListParagraph"/>
        <w:numPr>
          <w:ilvl w:val="0"/>
          <w:numId w:val="1416"/>
        </w:numPr>
      </w:pPr>
      <w:r>
        <w:t>un ou plusieurs échantillons (contractuels) qui représentent en moyenne l'aspect, la couleur et la structure de la surface de la livraison.</w:t>
      </w:r>
    </w:p>
    <w:p w14:paraId="50A7B7DC" w14:textId="77777777" w:rsidR="004B2808" w:rsidRDefault="00000000">
      <w:pPr>
        <w:pStyle w:val="Author-eListParagraph"/>
        <w:numPr>
          <w:ilvl w:val="0"/>
          <w:numId w:val="1416"/>
        </w:numPr>
      </w:pPr>
      <w:r>
        <w:t xml:space="preserve">En matière de sécurité incendie, les marches autoportantes doivent satisfaire à certaines exigences en fonction du type de bâtiment et de la destination des locaux auxquels ils appartiennent. </w:t>
      </w:r>
    </w:p>
    <w:p w14:paraId="4D45480A" w14:textId="77777777" w:rsidR="004B2808" w:rsidRDefault="00000000">
      <w:r>
        <w:t>Support aux prescripteurs : [SWL GSI/T1/B] et [SWL GSI/T1/C] de la prévention passive référencés dans le tome 0 T0 Entreprise / Chantier  de ce cahier des charges.</w:t>
      </w:r>
    </w:p>
    <w:p w14:paraId="75E98EA8" w14:textId="77777777" w:rsidR="004B2808" w:rsidRDefault="00000000">
      <w:pPr>
        <w:pStyle w:val="pheading"/>
      </w:pPr>
      <w:r>
        <w:t>EXÉCUTION / MISE EN ŒUVRE</w:t>
      </w:r>
    </w:p>
    <w:p w14:paraId="1C12B9DF" w14:textId="77777777" w:rsidR="004B2808" w:rsidRDefault="00000000">
      <w:r>
        <w:rPr>
          <w:b/>
          <w:sz w:val="24"/>
        </w:rPr>
        <w:t>Revêtements d'escalier</w:t>
      </w:r>
    </w:p>
    <w:p w14:paraId="157156CA" w14:textId="77777777" w:rsidR="004B2808" w:rsidRDefault="00000000">
      <w:r>
        <w:t>La pose et la fixation du revêtement en carreaux céramiques sont exécutées selon les directives du chapitre 6 de la [NIT 237] . Les marches sont réalisées conformément aux dimensions indiquées sur les plans et les coupes. Les marches sont posées horizontalement et parfaitement de niveau. Les points d'appui et les éventuels ancrages sont déterminés en concertation avec l'auteur de projet, l'ingénieur stabilité, l'entrepreneur et le fabricant.</w:t>
      </w:r>
    </w:p>
    <w:p w14:paraId="381B2E64" w14:textId="77777777" w:rsidR="004B2808" w:rsidRDefault="00000000">
      <w:r>
        <w:t xml:space="preserve">Voir aussi </w:t>
      </w:r>
      <w:hyperlink w:anchor="377" w:history="1">
        <w:r w:rsidR="004B2808">
          <w:rPr>
            <w:color w:val="0000EE"/>
          </w:rPr>
          <w:t>57.1 Escaliers et garde-corps complets</w:t>
        </w:r>
      </w:hyperlink>
      <w:r>
        <w:t xml:space="preserve"> Escaliers et garde-corps complets.</w:t>
      </w:r>
    </w:p>
    <w:p w14:paraId="05CF9636" w14:textId="77777777" w:rsidR="004B2808" w:rsidRDefault="00000000">
      <w:r>
        <w:rPr>
          <w:b/>
          <w:sz w:val="24"/>
        </w:rPr>
        <w:t>Marches autoportantes</w:t>
      </w:r>
    </w:p>
    <w:p w14:paraId="07C24DF8" w14:textId="77777777" w:rsidR="004B2808" w:rsidRDefault="00000000">
      <w:r>
        <w:t>Les marches sont exécutées selon les dimensions indiquées sur les coupes et les plans. Les marches sont posées parfaitement de niveau. Les points d'appui et les éventuels éléments d'ancrage sont déterminés en concertation avec l'auteur de projet, l'ingénieur stabilité, l'entrepreneur et le fabricant.</w:t>
      </w:r>
    </w:p>
    <w:p w14:paraId="4435C6FC" w14:textId="77777777" w:rsidR="004B2808" w:rsidRDefault="00000000">
      <w:pPr>
        <w:pStyle w:val="pheading"/>
      </w:pPr>
      <w:r>
        <w:t>AIDE</w:t>
      </w:r>
    </w:p>
    <w:p w14:paraId="5E1F8B9C" w14:textId="77777777" w:rsidR="004B2808" w:rsidRDefault="00000000">
      <w:r>
        <w:t>NOTE A L’AUTEUR DE PROJET</w:t>
      </w:r>
    </w:p>
    <w:p w14:paraId="7B3BC63F" w14:textId="77777777" w:rsidR="004B2808" w:rsidRDefault="00000000">
      <w:r>
        <w:rPr>
          <w:b/>
        </w:rPr>
        <w:t>Accessibilité aux personnes à mobilité réduite (PMR)</w:t>
      </w:r>
    </w:p>
    <w:p w14:paraId="3F315247" w14:textId="77777777" w:rsidR="004B2808" w:rsidRDefault="00000000">
      <w:r>
        <w:rPr>
          <w:i/>
          <w:u w:val="single"/>
        </w:rPr>
        <w:t>Marches et contremarches : </w:t>
      </w:r>
      <w:r>
        <w:t>   </w:t>
      </w:r>
    </w:p>
    <w:p w14:paraId="622E3D24" w14:textId="77777777" w:rsidR="004B2808" w:rsidRDefault="00000000">
      <w:pPr>
        <w:pStyle w:val="Author-eListParagraph"/>
        <w:numPr>
          <w:ilvl w:val="0"/>
          <w:numId w:val="1417"/>
        </w:numPr>
      </w:pPr>
      <w:r>
        <w:t>Nombre de marches par volée : 15 à 20 maximum   [SWL CALA], [NBN ISO 21542] et [BS 8300]</w:t>
      </w:r>
    </w:p>
    <w:p w14:paraId="22EC75A2" w14:textId="77777777" w:rsidR="004B2808" w:rsidRDefault="00000000">
      <w:pPr>
        <w:pStyle w:val="Author-eListParagraph"/>
        <w:numPr>
          <w:ilvl w:val="0"/>
          <w:numId w:val="1417"/>
        </w:numPr>
      </w:pPr>
      <w:r>
        <w:t>Module de pas (M=2H+G) : entre 60 et 64 cm   [SWL CALA]</w:t>
      </w:r>
    </w:p>
    <w:p w14:paraId="64697C60" w14:textId="77777777" w:rsidR="004B2808" w:rsidRDefault="00000000">
      <w:pPr>
        <w:pStyle w:val="Author-eListParagraph"/>
        <w:numPr>
          <w:ilvl w:val="0"/>
          <w:numId w:val="1417"/>
        </w:numPr>
      </w:pPr>
      <w:r>
        <w:t>Hauteur des marches (H) : 18 cm maximum   [SWL CALA]</w:t>
      </w:r>
    </w:p>
    <w:p w14:paraId="3DD55561" w14:textId="77777777" w:rsidR="004B2808" w:rsidRDefault="00000000">
      <w:pPr>
        <w:pStyle w:val="Author-eListParagraph"/>
        <w:numPr>
          <w:ilvl w:val="0"/>
          <w:numId w:val="1417"/>
        </w:numPr>
      </w:pPr>
      <w:r>
        <w:t>Giron (G) : 25 cm minimum   [SWL CALA]</w:t>
      </w:r>
    </w:p>
    <w:p w14:paraId="3C39304C" w14:textId="77777777" w:rsidR="004B2808" w:rsidRDefault="00000000">
      <w:pPr>
        <w:pStyle w:val="Author-eListParagraph"/>
        <w:numPr>
          <w:ilvl w:val="0"/>
          <w:numId w:val="1417"/>
        </w:numPr>
      </w:pPr>
      <w:r>
        <w:lastRenderedPageBreak/>
        <w:t>Type de marches : pleines, antidérapantes   [SWL CALA]</w:t>
      </w:r>
    </w:p>
    <w:p w14:paraId="78FEA714" w14:textId="77777777" w:rsidR="004B2808" w:rsidRDefault="00000000">
      <w:pPr>
        <w:pStyle w:val="Author-eListParagraph"/>
        <w:numPr>
          <w:ilvl w:val="0"/>
          <w:numId w:val="1417"/>
        </w:numPr>
      </w:pPr>
      <w:r>
        <w:t>Type de contremarches : pleines, profil oblique   [SWL CALA], [NBN ISO 21542] et [BS 8300]</w:t>
      </w:r>
    </w:p>
    <w:p w14:paraId="5C5C9171" w14:textId="77777777" w:rsidR="004B2808" w:rsidRDefault="00000000">
      <w:r>
        <w:rPr>
          <w:i/>
          <w:u w:val="single"/>
        </w:rPr>
        <w:t>Nez de marche : </w:t>
      </w:r>
    </w:p>
    <w:p w14:paraId="66447A89" w14:textId="77777777" w:rsidR="004B2808" w:rsidRDefault="00000000">
      <w:pPr>
        <w:pStyle w:val="Author-eListParagraph"/>
        <w:numPr>
          <w:ilvl w:val="0"/>
          <w:numId w:val="1418"/>
        </w:numPr>
      </w:pPr>
      <w:r>
        <w:t>Forme : non saillants  [SWL CALA], [NBN ISO 21542] et [BS 8300]</w:t>
      </w:r>
    </w:p>
    <w:p w14:paraId="6C1DB57B" w14:textId="77777777" w:rsidR="004B2808" w:rsidRDefault="00000000">
      <w:pPr>
        <w:pStyle w:val="Author-eListParagraph"/>
        <w:numPr>
          <w:ilvl w:val="0"/>
          <w:numId w:val="1418"/>
        </w:numPr>
      </w:pPr>
      <w:r>
        <w:t>Projection : 2.5 cm maximum   [NBN ISO 21542] et [BS 8300]</w:t>
      </w:r>
    </w:p>
    <w:p w14:paraId="4AC8161C" w14:textId="77777777" w:rsidR="004B2808" w:rsidRDefault="00000000">
      <w:pPr>
        <w:pStyle w:val="Author-eListParagraph"/>
        <w:numPr>
          <w:ilvl w:val="0"/>
          <w:numId w:val="1418"/>
        </w:numPr>
      </w:pPr>
      <w:r>
        <w:t>Indicateurs visuels sur les nez de marches : [NBN ISO 21542] et [BS 8300]</w:t>
      </w:r>
    </w:p>
    <w:p w14:paraId="790515B2" w14:textId="77777777" w:rsidR="004B2808" w:rsidRDefault="00000000">
      <w:pPr>
        <w:pStyle w:val="Author-eListParagraph"/>
        <w:numPr>
          <w:ilvl w:val="1"/>
          <w:numId w:val="1419"/>
        </w:numPr>
      </w:pPr>
      <w:r>
        <w:t>Localisation : de préférence, sur chaque marche ; sinon, sur la première et la dernière marche de chaque volée</w:t>
      </w:r>
    </w:p>
    <w:p w14:paraId="531E5296" w14:textId="77777777" w:rsidR="004B2808" w:rsidRDefault="00000000">
      <w:pPr>
        <w:pStyle w:val="Author-eListParagraph"/>
        <w:numPr>
          <w:ilvl w:val="1"/>
          <w:numId w:val="1419"/>
        </w:numPr>
      </w:pPr>
      <w:r>
        <w:t>Largeur : continus sur toute la largeur des marches</w:t>
      </w:r>
    </w:p>
    <w:p w14:paraId="4D532752" w14:textId="77777777" w:rsidR="004B2808" w:rsidRDefault="00000000">
      <w:pPr>
        <w:pStyle w:val="Author-eListParagraph"/>
        <w:numPr>
          <w:ilvl w:val="1"/>
          <w:numId w:val="1419"/>
        </w:numPr>
      </w:pPr>
      <w:r>
        <w:t>Revêtement : antidérapants</w:t>
      </w:r>
    </w:p>
    <w:p w14:paraId="0A186509" w14:textId="77777777" w:rsidR="004B2808" w:rsidRDefault="00000000">
      <w:pPr>
        <w:pStyle w:val="Author-eListParagraph"/>
        <w:numPr>
          <w:ilvl w:val="1"/>
          <w:numId w:val="1419"/>
        </w:numPr>
      </w:pPr>
      <w:r>
        <w:t>Profondeur : 4 cm minimum sur la marche, peut redescendre sur la contremarche</w:t>
      </w:r>
    </w:p>
    <w:p w14:paraId="64E8C17D" w14:textId="77777777" w:rsidR="004B2808" w:rsidRDefault="00000000">
      <w:pPr>
        <w:pStyle w:val="Author-eListParagraph"/>
        <w:numPr>
          <w:ilvl w:val="1"/>
          <w:numId w:val="1419"/>
        </w:numPr>
      </w:pPr>
      <w:r>
        <w:t>Contraste : différence de coefficient de réflexion (LRV) entre les indicateurs et les marches de minimum 60%</w:t>
      </w:r>
    </w:p>
    <w:p w14:paraId="5053D397" w14:textId="77777777" w:rsidR="004B2808" w:rsidRDefault="00000000">
      <w:pPr>
        <w:pStyle w:val="Author-eSectionHeading5Numberless"/>
      </w:pPr>
      <w:bookmarkStart w:id="1556" w:name="_Toc220491651"/>
      <w:r>
        <w:t>57.22.1 Marches / Contremarches en pierre CCTB 01.02</w:t>
      </w:r>
      <w:bookmarkEnd w:id="1556"/>
    </w:p>
    <w:p w14:paraId="3AE9395F" w14:textId="77777777" w:rsidR="004B2808" w:rsidRDefault="00000000">
      <w:pPr>
        <w:pStyle w:val="Author-eSectionHeading6Numberless"/>
      </w:pPr>
      <w:bookmarkStart w:id="1557" w:name="_Toc220491652"/>
      <w:r>
        <w:t>57.22.1a Marches / Contremarches en pierre CCTB 01.11</w:t>
      </w:r>
      <w:bookmarkEnd w:id="1557"/>
    </w:p>
    <w:p w14:paraId="204AD279" w14:textId="77777777" w:rsidR="004B2808" w:rsidRDefault="00000000">
      <w:pPr>
        <w:pStyle w:val="pheading"/>
      </w:pPr>
      <w:r>
        <w:t>MATÉRIAUX</w:t>
      </w:r>
    </w:p>
    <w:p w14:paraId="71792114" w14:textId="77777777" w:rsidR="004B2808" w:rsidRDefault="00000000">
      <w:pPr>
        <w:pStyle w:val="pheading"/>
      </w:pPr>
      <w:r>
        <w:t>- Caractéristiques générales</w:t>
      </w:r>
    </w:p>
    <w:p w14:paraId="4EF6F426" w14:textId="77777777" w:rsidR="004B2808" w:rsidRDefault="00000000">
      <w:r>
        <w:t xml:space="preserve">Les marches d'escalier (et les contremarches correspondantes) doivent être exécutées </w:t>
      </w:r>
      <w:r>
        <w:rPr>
          <w:rStyle w:val="optioncarChar"/>
        </w:rPr>
        <w:t>en bandes d'un seul tenant </w:t>
      </w:r>
      <w:r>
        <w:t>(par défaut)</w:t>
      </w:r>
      <w:r>
        <w:rPr>
          <w:rStyle w:val="optioncarChar"/>
        </w:rPr>
        <w:t xml:space="preserve"> / en pierre naturelle / ***</w:t>
      </w:r>
      <w:r>
        <w:t>, conformément aux [STS 45 série] .30.7.</w:t>
      </w:r>
    </w:p>
    <w:p w14:paraId="7301479E" w14:textId="77777777" w:rsidR="004B2808" w:rsidRDefault="00000000">
      <w:pPr>
        <w:pStyle w:val="heading"/>
      </w:pPr>
      <w:r>
        <w:t>Spécifications</w:t>
      </w:r>
    </w:p>
    <w:p w14:paraId="1325753B" w14:textId="77777777" w:rsidR="004B2808" w:rsidRDefault="00000000">
      <w:pPr>
        <w:pStyle w:val="Author-eListParagraph"/>
        <w:numPr>
          <w:ilvl w:val="0"/>
          <w:numId w:val="1420"/>
        </w:numPr>
      </w:pPr>
      <w:r>
        <w:t xml:space="preserve">Nature de la pierre : </w:t>
      </w:r>
      <w:r>
        <w:rPr>
          <w:rStyle w:val="optioncarChar"/>
        </w:rPr>
        <w:t>pierre bleue , catégorie C</w:t>
      </w:r>
      <w:r>
        <w:t> (par défaut)</w:t>
      </w:r>
      <w:r>
        <w:rPr>
          <w:rStyle w:val="optioncarChar"/>
        </w:rPr>
        <w:t xml:space="preserve"> / ***</w:t>
      </w:r>
    </w:p>
    <w:p w14:paraId="1F0F2397" w14:textId="77777777" w:rsidR="004B2808" w:rsidRDefault="00000000">
      <w:pPr>
        <w:pStyle w:val="Author-eListParagraph"/>
        <w:numPr>
          <w:ilvl w:val="0"/>
          <w:numId w:val="1420"/>
        </w:numPr>
      </w:pPr>
      <w:r>
        <w:t xml:space="preserve">Aspect des faces vues : </w:t>
      </w:r>
      <w:r>
        <w:rPr>
          <w:rStyle w:val="optioncarChar"/>
        </w:rPr>
        <w:t>poli </w:t>
      </w:r>
      <w:r>
        <w:t>(par défaut)</w:t>
      </w:r>
      <w:r>
        <w:rPr>
          <w:rStyle w:val="optioncarChar"/>
        </w:rPr>
        <w:t xml:space="preserve"> / adouci / ***</w:t>
      </w:r>
    </w:p>
    <w:p w14:paraId="22D51274" w14:textId="77777777" w:rsidR="004B2808" w:rsidRDefault="00000000">
      <w:pPr>
        <w:pStyle w:val="Author-eListParagraph"/>
        <w:numPr>
          <w:ilvl w:val="0"/>
          <w:numId w:val="1420"/>
        </w:numPr>
      </w:pPr>
      <w:r>
        <w:t xml:space="preserve">Conception des marches : </w:t>
      </w:r>
      <w:r>
        <w:rPr>
          <w:rStyle w:val="optioncarChar"/>
        </w:rPr>
        <w:t>avec nez (selon la fig. 8a)</w:t>
      </w:r>
      <w:r>
        <w:t> (par défaut)</w:t>
      </w:r>
      <w:r>
        <w:rPr>
          <w:rStyle w:val="optioncarChar"/>
        </w:rPr>
        <w:t xml:space="preserve"> / sans nez (selon la fig. 8b) / ***</w:t>
      </w:r>
    </w:p>
    <w:p w14:paraId="6331A143" w14:textId="77777777" w:rsidR="004B2808" w:rsidRDefault="00000000">
      <w:pPr>
        <w:pStyle w:val="Author-eListParagraph"/>
        <w:numPr>
          <w:ilvl w:val="0"/>
          <w:numId w:val="1420"/>
        </w:numPr>
      </w:pPr>
      <w:r>
        <w:t xml:space="preserve">Epaisseur des marches : </w:t>
      </w:r>
      <w:r>
        <w:rPr>
          <w:rStyle w:val="optioncarChar"/>
        </w:rPr>
        <w:t>50 (pour les longueurs &lt; 120 cm ) </w:t>
      </w:r>
      <w:r>
        <w:t>(par défaut)</w:t>
      </w:r>
      <w:r>
        <w:rPr>
          <w:rStyle w:val="optioncarChar"/>
        </w:rPr>
        <w:t xml:space="preserve"> / 80 (pour les longueurs &gt; 120 cm ) / ***</w:t>
      </w:r>
      <w:r>
        <w:t xml:space="preserve"> mm</w:t>
      </w:r>
    </w:p>
    <w:p w14:paraId="02047F3B" w14:textId="77777777" w:rsidR="004B2808" w:rsidRDefault="00000000">
      <w:pPr>
        <w:pStyle w:val="Author-eListParagraph"/>
        <w:numPr>
          <w:ilvl w:val="0"/>
          <w:numId w:val="1420"/>
        </w:numPr>
      </w:pPr>
      <w:r>
        <w:t xml:space="preserve">Conception des contremarches : </w:t>
      </w:r>
      <w:r>
        <w:rPr>
          <w:rStyle w:val="optioncarChar"/>
        </w:rPr>
        <w:t>profil oblique (PMR)  </w:t>
      </w:r>
      <w:r>
        <w:t>(par défaut)</w:t>
      </w:r>
      <w:r>
        <w:rPr>
          <w:rStyle w:val="optioncarChar"/>
        </w:rPr>
        <w:t> / *** </w:t>
      </w:r>
    </w:p>
    <w:p w14:paraId="01919F87" w14:textId="77777777" w:rsidR="004B2808" w:rsidRDefault="00000000">
      <w:pPr>
        <w:pStyle w:val="Author-eListParagraph"/>
        <w:numPr>
          <w:ilvl w:val="0"/>
          <w:numId w:val="1420"/>
        </w:numPr>
      </w:pPr>
      <w:r>
        <w:t xml:space="preserve">Epaisseur des contremarches &amp; plinthes : minimum </w:t>
      </w:r>
      <w:r>
        <w:rPr>
          <w:rStyle w:val="optioncarChar"/>
        </w:rPr>
        <w:t>20</w:t>
      </w:r>
      <w:r>
        <w:t> (par défaut) </w:t>
      </w:r>
      <w:r>
        <w:rPr>
          <w:rStyle w:val="optioncarChar"/>
        </w:rPr>
        <w:t>/ ***   </w:t>
      </w:r>
      <w:r>
        <w:t>mm</w:t>
      </w:r>
    </w:p>
    <w:p w14:paraId="4AA1AE26" w14:textId="77777777" w:rsidR="004B2808" w:rsidRDefault="00000000">
      <w:pPr>
        <w:pStyle w:val="Author-eListParagraph"/>
        <w:numPr>
          <w:ilvl w:val="0"/>
          <w:numId w:val="1420"/>
        </w:numPr>
      </w:pPr>
      <w:r>
        <w:t xml:space="preserve">Modèle de plinthe : </w:t>
      </w:r>
      <w:r>
        <w:rPr>
          <w:rStyle w:val="optioncarChar"/>
        </w:rPr>
        <w:t>parallèle à la pente de l'escalier, selon les [STS 45 série] .30.6 (fig. 7a)</w:t>
      </w:r>
      <w:r>
        <w:t> (par défaut)</w:t>
      </w:r>
      <w:r>
        <w:rPr>
          <w:rStyle w:val="optioncarChar"/>
        </w:rPr>
        <w:t xml:space="preserve"> / en gradins / ***</w:t>
      </w:r>
    </w:p>
    <w:p w14:paraId="37A2C9CE" w14:textId="77777777" w:rsidR="004B2808" w:rsidRDefault="00000000">
      <w:pPr>
        <w:pStyle w:val="Author-eListParagraph"/>
        <w:numPr>
          <w:ilvl w:val="0"/>
          <w:numId w:val="1421"/>
        </w:numPr>
      </w:pPr>
      <w:r>
        <w:t xml:space="preserve">Nez de marches : </w:t>
      </w:r>
    </w:p>
    <w:p w14:paraId="7B24C10B" w14:textId="77777777" w:rsidR="004B2808" w:rsidRDefault="00000000">
      <w:pPr>
        <w:pStyle w:val="Author-eListParagraph"/>
        <w:numPr>
          <w:ilvl w:val="1"/>
          <w:numId w:val="1422"/>
        </w:numPr>
      </w:pPr>
      <w:r>
        <w:t xml:space="preserve">Forme : </w:t>
      </w:r>
      <w:r>
        <w:rPr>
          <w:rStyle w:val="optioncarChar"/>
        </w:rPr>
        <w:t>non saillants (PMR)</w:t>
      </w:r>
      <w:r>
        <w:t> (par défaut)</w:t>
      </w:r>
      <w:r>
        <w:rPr>
          <w:rStyle w:val="optioncarChar"/>
        </w:rPr>
        <w:t> / *** </w:t>
      </w:r>
    </w:p>
    <w:p w14:paraId="4C0EC1B3" w14:textId="77777777" w:rsidR="004B2808" w:rsidRDefault="00000000">
      <w:pPr>
        <w:pStyle w:val="Author-eListParagraph"/>
        <w:numPr>
          <w:ilvl w:val="1"/>
          <w:numId w:val="1422"/>
        </w:numPr>
      </w:pPr>
      <w:r>
        <w:t xml:space="preserve">Projection : </w:t>
      </w:r>
      <w:r>
        <w:rPr>
          <w:rStyle w:val="optioncarChar"/>
        </w:rPr>
        <w:t>max 25 mm (PMR) </w:t>
      </w:r>
      <w:r>
        <w:t> (par défaut)</w:t>
      </w:r>
      <w:r>
        <w:rPr>
          <w:rStyle w:val="optioncarChar"/>
        </w:rPr>
        <w:t> / ***  </w:t>
      </w:r>
      <w:r>
        <w:t>(débordement par rapport aux contremarches)</w:t>
      </w:r>
    </w:p>
    <w:p w14:paraId="6D29CFDC" w14:textId="77777777" w:rsidR="004B2808" w:rsidRDefault="00000000">
      <w:pPr>
        <w:pStyle w:val="Author-eListParagraph"/>
        <w:numPr>
          <w:ilvl w:val="1"/>
          <w:numId w:val="1422"/>
        </w:numPr>
      </w:pPr>
      <w:r>
        <w:t xml:space="preserve">Indicateurs visuels : </w:t>
      </w:r>
      <w:r>
        <w:rPr>
          <w:rStyle w:val="optioncarChar"/>
        </w:rPr>
        <w:t xml:space="preserve">selon les recommandations de l’article </w:t>
      </w:r>
      <w:hyperlink w:anchor="1393" w:history="1">
        <w:r w:rsidR="004B2808">
          <w:rPr>
            <w:rStyle w:val="optioncarChar"/>
            <w:color w:val="0000EE"/>
          </w:rPr>
          <w:t>57.22 Marches / Contremarches</w:t>
        </w:r>
      </w:hyperlink>
      <w:r>
        <w:rPr>
          <w:rStyle w:val="optioncarChar"/>
        </w:rPr>
        <w:t>(PMR) </w:t>
      </w:r>
      <w:r>
        <w:t>(par défaut) </w:t>
      </w:r>
      <w:r>
        <w:rPr>
          <w:rStyle w:val="optioncarChar"/>
        </w:rPr>
        <w:t>/ *** </w:t>
      </w:r>
    </w:p>
    <w:p w14:paraId="781810F9" w14:textId="77777777" w:rsidR="004B2808" w:rsidRDefault="00000000">
      <w:pPr>
        <w:pStyle w:val="Author-eListParagraph"/>
        <w:numPr>
          <w:ilvl w:val="0"/>
          <w:numId w:val="1423"/>
        </w:numPr>
      </w:pPr>
      <w:r>
        <w:t xml:space="preserve">Selon la [Décision 96/603/CE] de la Commission du 4 octobre 1996  et les conditions qui y sont reprises , la en pierre naturelle appartient à la classe de réaction au feu A1 </w:t>
      </w:r>
      <w:r>
        <w:rPr>
          <w:vertAlign w:val="subscript"/>
        </w:rPr>
        <w:t xml:space="preserve">FL </w:t>
      </w:r>
      <w:r>
        <w:t>.</w:t>
      </w:r>
    </w:p>
    <w:p w14:paraId="4E500995" w14:textId="77777777" w:rsidR="004B2808" w:rsidRDefault="00000000">
      <w:pPr>
        <w:pStyle w:val="Author-eListParagraph"/>
        <w:numPr>
          <w:ilvl w:val="0"/>
          <w:numId w:val="1423"/>
        </w:numPr>
      </w:pPr>
      <w:r>
        <w:t>Classe additionnelle :</w:t>
      </w:r>
    </w:p>
    <w:p w14:paraId="6F8C6CF9" w14:textId="77777777" w:rsidR="004B2808" w:rsidRDefault="00000000">
      <w:pPr>
        <w:pStyle w:val="Author-eListParagraph"/>
        <w:numPr>
          <w:ilvl w:val="0"/>
          <w:numId w:val="1423"/>
        </w:numPr>
      </w:pPr>
      <w:r>
        <w:t xml:space="preserve">Production de fumée : </w:t>
      </w:r>
      <w:r>
        <w:rPr>
          <w:rStyle w:val="optioncarChar"/>
        </w:rPr>
        <w:t xml:space="preserve">s1 </w:t>
      </w:r>
      <w:r>
        <w:t>(par défaut) </w:t>
      </w:r>
      <w:r>
        <w:rPr>
          <w:rStyle w:val="optioncarChar"/>
        </w:rPr>
        <w:t>/ s2 / *** .</w:t>
      </w:r>
    </w:p>
    <w:p w14:paraId="793D701C" w14:textId="77777777" w:rsidR="004B2808" w:rsidRDefault="00000000">
      <w:pPr>
        <w:pStyle w:val="pheading"/>
      </w:pPr>
      <w:r>
        <w:t>- Prescriptions complémentaires</w:t>
      </w:r>
    </w:p>
    <w:p w14:paraId="4502D27D" w14:textId="77777777" w:rsidR="004B2808" w:rsidRDefault="00000000">
      <w:r>
        <w:t>Les marches sont pourvues d’un revêtement antidérapant (PMR) :</w:t>
      </w:r>
    </w:p>
    <w:p w14:paraId="1851EA0B" w14:textId="77777777" w:rsidR="004B2808" w:rsidRDefault="00000000">
      <w:r>
        <w:rPr>
          <w:b/>
        </w:rPr>
        <w:t>Choix opéré </w:t>
      </w:r>
      <w:r>
        <w:t xml:space="preserve">: </w:t>
      </w:r>
      <w:r>
        <w:rPr>
          <w:rStyle w:val="optioncarChar"/>
        </w:rPr>
        <w:t>*** / OPTION 1 </w:t>
      </w:r>
      <w:r>
        <w:t>(par défaut)</w:t>
      </w:r>
      <w:r>
        <w:rPr>
          <w:rStyle w:val="optioncarChar"/>
        </w:rPr>
        <w:t xml:space="preserve"> / OPTION 2 / OPTION 3</w:t>
      </w:r>
      <w:r>
        <w:rPr>
          <w:b/>
        </w:rPr>
        <w:t> </w:t>
      </w:r>
    </w:p>
    <w:p w14:paraId="198C594D" w14:textId="77777777" w:rsidR="004B2808" w:rsidRDefault="00000000">
      <w:pPr>
        <w:pStyle w:val="Author-eListParagraph"/>
        <w:numPr>
          <w:ilvl w:val="0"/>
          <w:numId w:val="1424"/>
        </w:numPr>
      </w:pPr>
      <w:r>
        <w:rPr>
          <w:b/>
        </w:rPr>
        <w:t>OPTION 1</w:t>
      </w:r>
      <w:r>
        <w:t> : ciselage antidérapant</w:t>
      </w:r>
    </w:p>
    <w:p w14:paraId="384AA661" w14:textId="77777777" w:rsidR="004B2808" w:rsidRDefault="00000000">
      <w:pPr>
        <w:pStyle w:val="Author-eListParagraph"/>
        <w:numPr>
          <w:ilvl w:val="0"/>
          <w:numId w:val="1424"/>
        </w:numPr>
      </w:pPr>
      <w:r>
        <w:rPr>
          <w:b/>
        </w:rPr>
        <w:t>OPTION 2</w:t>
      </w:r>
      <w:r>
        <w:t> : bandes polies rugueuses</w:t>
      </w:r>
    </w:p>
    <w:p w14:paraId="22DDB50D" w14:textId="77777777" w:rsidR="004B2808" w:rsidRDefault="00000000">
      <w:pPr>
        <w:pStyle w:val="Author-eListParagraph"/>
        <w:numPr>
          <w:ilvl w:val="0"/>
          <w:numId w:val="1424"/>
        </w:numPr>
      </w:pPr>
      <w:r>
        <w:rPr>
          <w:b/>
        </w:rPr>
        <w:t>OPTION 3</w:t>
      </w:r>
      <w:r>
        <w:t xml:space="preserve"> : </w:t>
      </w:r>
      <w:r>
        <w:rPr>
          <w:rStyle w:val="optioncarChar"/>
        </w:rPr>
        <w:t>***</w:t>
      </w:r>
    </w:p>
    <w:p w14:paraId="2E777716" w14:textId="77777777" w:rsidR="004B2808" w:rsidRDefault="00000000">
      <w:pPr>
        <w:pStyle w:val="pheading"/>
      </w:pPr>
      <w:r>
        <w:t>EXÉCUTION / MISE EN ŒUVRE</w:t>
      </w:r>
    </w:p>
    <w:p w14:paraId="382045C8" w14:textId="77777777" w:rsidR="004B2808" w:rsidRDefault="00000000">
      <w:pPr>
        <w:pStyle w:val="pheading"/>
      </w:pPr>
      <w:r>
        <w:lastRenderedPageBreak/>
        <w:t>- Prescriptions générales</w:t>
      </w:r>
    </w:p>
    <w:p w14:paraId="4921EBBD" w14:textId="77777777" w:rsidR="004B2808" w:rsidRDefault="00000000">
      <w:r>
        <w:t>Tous les revêtements sont posés à plein bain de mortier, jusqu'à saturation des joints.</w:t>
      </w:r>
    </w:p>
    <w:p w14:paraId="355D8295" w14:textId="77777777" w:rsidR="004B2808" w:rsidRDefault="00000000">
      <w:pPr>
        <w:pStyle w:val="pheading"/>
      </w:pPr>
      <w:r>
        <w:t>MESURAGE</w:t>
      </w:r>
    </w:p>
    <w:p w14:paraId="5F676E8F" w14:textId="77777777" w:rsidR="004B2808" w:rsidRDefault="00000000">
      <w:r>
        <w:t>Conformément aux indications spécifiques dans le cahier spécial des charges et/ou le métré récapitulatif, le mesurage doit être conçu comme suit :</w:t>
      </w:r>
    </w:p>
    <w:p w14:paraId="1E095B63" w14:textId="77777777" w:rsidR="004B2808" w:rsidRDefault="00000000">
      <w:r>
        <w:rPr>
          <w:u w:val="single"/>
        </w:rPr>
        <w:t>Attention </w:t>
      </w:r>
      <w:r>
        <w:br/>
        <w:t>Le prix pour le revêtement des paliers concernés est toujours repris dans un poste séparé sous la rubrique concernée des carrelages, des revêtements de sol souples et/ou en bois.</w:t>
      </w:r>
    </w:p>
    <w:p w14:paraId="6803ACF8" w14:textId="77777777" w:rsidR="004B2808" w:rsidRDefault="00000000">
      <w:pPr>
        <w:pStyle w:val="pheading"/>
      </w:pPr>
      <w:r>
        <w:t>- unité de mesure:</w:t>
      </w:r>
    </w:p>
    <w:p w14:paraId="700F9549" w14:textId="77777777" w:rsidR="004B2808" w:rsidRDefault="00000000">
      <w:r>
        <w:rPr>
          <w:rStyle w:val="optioncarChar"/>
        </w:rPr>
        <w:t>p</w:t>
      </w:r>
      <w:r>
        <w:t xml:space="preserve"> (par défaut) </w:t>
      </w:r>
      <w:r>
        <w:rPr>
          <w:rStyle w:val="optioncarChar"/>
        </w:rPr>
        <w:t> / m² / ***</w:t>
      </w:r>
    </w:p>
    <w:p w14:paraId="20DF00A4" w14:textId="77777777" w:rsidR="004B2808" w:rsidRDefault="00000000">
      <w:pPr>
        <w:pStyle w:val="pheading"/>
      </w:pPr>
      <w:r>
        <w:t>- code de mesurage:</w:t>
      </w:r>
    </w:p>
    <w:p w14:paraId="26285571" w14:textId="77777777" w:rsidR="004B2808" w:rsidRDefault="00000000">
      <w:r>
        <w:rPr>
          <w:rStyle w:val="optioncarChar"/>
        </w:rPr>
        <w:t>Par marche, de même dimensions, épaisseur et type, éventuellement en fonction des marches droites et tournantes; y compris la contremarche, la marche palière, les plinthes, …</w:t>
      </w:r>
      <w:r>
        <w:t> (par défaut)</w:t>
      </w:r>
      <w:r>
        <w:rPr>
          <w:rStyle w:val="optioncarChar"/>
        </w:rPr>
        <w:t xml:space="preserve"> / Ventilé par type, traitement de surface et épaisseur / ***.</w:t>
      </w:r>
    </w:p>
    <w:p w14:paraId="74629CED" w14:textId="77777777" w:rsidR="004B2808" w:rsidRDefault="00000000">
      <w:pPr>
        <w:pStyle w:val="pheading"/>
      </w:pPr>
      <w:r>
        <w:t>- nature du marché:</w:t>
      </w:r>
    </w:p>
    <w:p w14:paraId="062B17E1" w14:textId="77777777" w:rsidR="004B2808" w:rsidRDefault="00000000">
      <w:r>
        <w:t>QF</w:t>
      </w:r>
    </w:p>
    <w:p w14:paraId="3E3FB5E1" w14:textId="77777777" w:rsidR="004B2808" w:rsidRDefault="00000000">
      <w:pPr>
        <w:pStyle w:val="Author-eSectionHeading6Numberless"/>
      </w:pPr>
      <w:bookmarkStart w:id="1558" w:name="_Toc220491653"/>
      <w:r>
        <w:t>57.22.1b Marches / Contremarches en pierre - en mosaïques de marbre CCTB 01.10</w:t>
      </w:r>
      <w:bookmarkEnd w:id="1558"/>
    </w:p>
    <w:p w14:paraId="2D3159D9" w14:textId="77777777" w:rsidR="004B2808" w:rsidRDefault="00000000">
      <w:pPr>
        <w:pStyle w:val="pheading"/>
      </w:pPr>
      <w:r>
        <w:t>MATÉRIAUX</w:t>
      </w:r>
    </w:p>
    <w:p w14:paraId="59509CE4" w14:textId="77777777" w:rsidR="004B2808" w:rsidRDefault="00000000">
      <w:pPr>
        <w:pStyle w:val="pheading"/>
      </w:pPr>
      <w:r>
        <w:t>- Caractéristiques générales</w:t>
      </w:r>
    </w:p>
    <w:p w14:paraId="049FC67A" w14:textId="77777777" w:rsidR="004B2808" w:rsidRDefault="00000000">
      <w:r>
        <w:t xml:space="preserve">Les marches d'escalier et les contremarches sont exécutées en </w:t>
      </w:r>
      <w:r>
        <w:rPr>
          <w:rStyle w:val="optioncarChar"/>
        </w:rPr>
        <w:t>bandes autoportantes</w:t>
      </w:r>
      <w:r>
        <w:t> (par défaut)</w:t>
      </w:r>
      <w:r>
        <w:rPr>
          <w:rStyle w:val="optioncarChar"/>
        </w:rPr>
        <w:t xml:space="preserve"> / non autoportantes / ***</w:t>
      </w:r>
      <w:r>
        <w:t xml:space="preserve"> d'une seule pièce, fabriquées en mosaïque de marbre, conformément à la [STS 45 série] .09.22.11. Toutes les faces vues doivent être soigneusement polies. Les angles et les bords sont arrondis.</w:t>
      </w:r>
    </w:p>
    <w:p w14:paraId="008DDC2A" w14:textId="77777777" w:rsidR="004B2808" w:rsidRDefault="00000000">
      <w:r>
        <w:t>Attention : Les marches autoportantes doivent être armées.</w:t>
      </w:r>
    </w:p>
    <w:p w14:paraId="5D43E051" w14:textId="77777777" w:rsidR="004B2808" w:rsidRDefault="00000000">
      <w:pPr>
        <w:pStyle w:val="heading"/>
      </w:pPr>
      <w:r>
        <w:t>Spécifications</w:t>
      </w:r>
    </w:p>
    <w:p w14:paraId="100171F3" w14:textId="77777777" w:rsidR="004B2808" w:rsidRDefault="00000000">
      <w:pPr>
        <w:pStyle w:val="Author-eListParagraph"/>
        <w:numPr>
          <w:ilvl w:val="0"/>
          <w:numId w:val="1425"/>
        </w:numPr>
      </w:pPr>
      <w:r>
        <w:t xml:space="preserve">Catégorie : </w:t>
      </w:r>
      <w:r>
        <w:rPr>
          <w:rStyle w:val="optioncarChar"/>
        </w:rPr>
        <w:t>grain fin 2 à 4 mm</w:t>
      </w:r>
      <w:r>
        <w:t xml:space="preserve"> (par défaut)</w:t>
      </w:r>
      <w:r>
        <w:rPr>
          <w:rStyle w:val="optioncarChar"/>
        </w:rPr>
        <w:t> / grain moyen 4 à 10 mm / ***</w:t>
      </w:r>
    </w:p>
    <w:p w14:paraId="227D3326" w14:textId="77777777" w:rsidR="004B2808" w:rsidRDefault="00000000">
      <w:pPr>
        <w:pStyle w:val="Author-eListParagraph"/>
        <w:numPr>
          <w:ilvl w:val="0"/>
          <w:numId w:val="1425"/>
        </w:numPr>
      </w:pPr>
      <w:r>
        <w:t xml:space="preserve">Résistance : minimum </w:t>
      </w:r>
      <w:r>
        <w:rPr>
          <w:rStyle w:val="optioncarChar"/>
        </w:rPr>
        <w:t>450</w:t>
      </w:r>
      <w:r>
        <w:t> (par défaut)</w:t>
      </w:r>
      <w:r>
        <w:rPr>
          <w:rStyle w:val="optioncarChar"/>
        </w:rPr>
        <w:t> / *** </w:t>
      </w:r>
      <w:r>
        <w:t>kg/cm²</w:t>
      </w:r>
    </w:p>
    <w:p w14:paraId="381FF14D" w14:textId="77777777" w:rsidR="004B2808" w:rsidRDefault="00000000">
      <w:pPr>
        <w:pStyle w:val="Author-eListParagraph"/>
        <w:numPr>
          <w:ilvl w:val="0"/>
          <w:numId w:val="1426"/>
        </w:numPr>
      </w:pPr>
      <w:r>
        <w:t xml:space="preserve">Nuance de couleur : l'entrepreneur soumet une carte d'échantillons d'au moins </w:t>
      </w:r>
      <w:r>
        <w:rPr>
          <w:rStyle w:val="optioncarChar"/>
        </w:rPr>
        <w:t>cinq</w:t>
      </w:r>
      <w:r>
        <w:t> (par défaut)</w:t>
      </w:r>
      <w:r>
        <w:rPr>
          <w:rStyle w:val="optioncarChar"/>
        </w:rPr>
        <w:t> / ***  </w:t>
      </w:r>
      <w:r>
        <w:t>coloris.</w:t>
      </w:r>
    </w:p>
    <w:p w14:paraId="3C78EF2A" w14:textId="77777777" w:rsidR="004B2808" w:rsidRDefault="00000000">
      <w:pPr>
        <w:pStyle w:val="Author-eListParagraph"/>
        <w:numPr>
          <w:ilvl w:val="0"/>
          <w:numId w:val="1426"/>
        </w:numPr>
      </w:pPr>
      <w:r>
        <w:t xml:space="preserve">Epaisseur des marches : minimum </w:t>
      </w:r>
      <w:r>
        <w:rPr>
          <w:rStyle w:val="optioncarChar"/>
        </w:rPr>
        <w:t>45 </w:t>
      </w:r>
      <w:r>
        <w:t xml:space="preserve">(par défaut) </w:t>
      </w:r>
      <w:r>
        <w:rPr>
          <w:rStyle w:val="optioncarChar"/>
        </w:rPr>
        <w:t xml:space="preserve">/ 50 / *** </w:t>
      </w:r>
      <w:r>
        <w:t>mm (50 mm pour les marches (autoportantes) &lt; 1,2 m de longueur / 80 mm pour les marches (autoportantes) &gt; 1,2 m longueur)</w:t>
      </w:r>
    </w:p>
    <w:p w14:paraId="067BF015" w14:textId="77777777" w:rsidR="004B2808" w:rsidRDefault="00000000">
      <w:pPr>
        <w:pStyle w:val="Author-eListParagraph"/>
        <w:numPr>
          <w:ilvl w:val="0"/>
          <w:numId w:val="1426"/>
        </w:numPr>
      </w:pPr>
      <w:r>
        <w:t xml:space="preserve">Epaisseur des contremarches et des plinthes : minimum </w:t>
      </w:r>
      <w:r>
        <w:rPr>
          <w:rStyle w:val="optioncarChar"/>
        </w:rPr>
        <w:t>20</w:t>
      </w:r>
      <w:r>
        <w:t> (par défaut)</w:t>
      </w:r>
      <w:r>
        <w:rPr>
          <w:rStyle w:val="optioncarChar"/>
        </w:rPr>
        <w:t xml:space="preserve"> / 30 / *** </w:t>
      </w:r>
      <w:r>
        <w:t>mm</w:t>
      </w:r>
    </w:p>
    <w:p w14:paraId="5BB61697" w14:textId="77777777" w:rsidR="004B2808" w:rsidRDefault="00000000">
      <w:pPr>
        <w:pStyle w:val="Author-eListParagraph"/>
        <w:numPr>
          <w:ilvl w:val="0"/>
          <w:numId w:val="1426"/>
        </w:numPr>
      </w:pPr>
      <w:r>
        <w:t xml:space="preserve">Conception des marches : </w:t>
      </w:r>
      <w:r>
        <w:rPr>
          <w:rStyle w:val="optioncarChar"/>
        </w:rPr>
        <w:t>avec nez (selon les [STS 45.1] fig. 8a) </w:t>
      </w:r>
      <w:r>
        <w:t>(par défaut)</w:t>
      </w:r>
      <w:r>
        <w:rPr>
          <w:rStyle w:val="optioncarChar"/>
        </w:rPr>
        <w:t xml:space="preserve"> / sans nez (selon les [STS 45.1] fig. 8b)</w:t>
      </w:r>
    </w:p>
    <w:p w14:paraId="738D8B33" w14:textId="77777777" w:rsidR="004B2808" w:rsidRDefault="00000000">
      <w:pPr>
        <w:pStyle w:val="Author-eListParagraph"/>
        <w:numPr>
          <w:ilvl w:val="0"/>
          <w:numId w:val="1426"/>
        </w:numPr>
      </w:pPr>
      <w:r>
        <w:t xml:space="preserve">Conception des contremarches : </w:t>
      </w:r>
      <w:r>
        <w:rPr>
          <w:rStyle w:val="optioncarChar"/>
        </w:rPr>
        <w:t>profil oblique (PMR) </w:t>
      </w:r>
      <w:r>
        <w:t> (par défaut)</w:t>
      </w:r>
      <w:r>
        <w:rPr>
          <w:rStyle w:val="optioncarChar"/>
        </w:rPr>
        <w:t> / *** </w:t>
      </w:r>
    </w:p>
    <w:p w14:paraId="18221665" w14:textId="77777777" w:rsidR="004B2808" w:rsidRDefault="00000000">
      <w:pPr>
        <w:pStyle w:val="Author-eListParagraph"/>
        <w:numPr>
          <w:ilvl w:val="0"/>
          <w:numId w:val="1426"/>
        </w:numPr>
      </w:pPr>
      <w:r>
        <w:t xml:space="preserve">Bords des marches : </w:t>
      </w:r>
      <w:r>
        <w:rPr>
          <w:rStyle w:val="optioncarChar"/>
        </w:rPr>
        <w:t>droits </w:t>
      </w:r>
      <w:r>
        <w:t xml:space="preserve">(par défaut) </w:t>
      </w:r>
      <w:r>
        <w:rPr>
          <w:rStyle w:val="optioncarChar"/>
        </w:rPr>
        <w:t>/ arrondis / *** </w:t>
      </w:r>
      <w:r>
        <w:t>(rayon de courbure : 5 / 8 mm)</w:t>
      </w:r>
    </w:p>
    <w:p w14:paraId="6EC1E5B3" w14:textId="77777777" w:rsidR="004B2808" w:rsidRDefault="00000000">
      <w:pPr>
        <w:pStyle w:val="Author-eListParagraph"/>
        <w:numPr>
          <w:ilvl w:val="0"/>
          <w:numId w:val="1426"/>
        </w:numPr>
      </w:pPr>
      <w:r>
        <w:t>Modèle de plinthe :</w:t>
      </w:r>
      <w:r>
        <w:rPr>
          <w:rStyle w:val="optioncarChar"/>
        </w:rPr>
        <w:t> parallèle à la pente de l'escalier</w:t>
      </w:r>
      <w:r>
        <w:t> (par défaut)</w:t>
      </w:r>
      <w:r>
        <w:rPr>
          <w:rStyle w:val="optioncarChar"/>
        </w:rPr>
        <w:t xml:space="preserve"> / en gradin / *** </w:t>
      </w:r>
      <w:r>
        <w:t>(selon les </w:t>
      </w:r>
      <w:r>
        <w:rPr>
          <w:rStyle w:val="optioncarChar"/>
        </w:rPr>
        <w:t>[STS 45.1]</w:t>
      </w:r>
      <w:r>
        <w:t xml:space="preserve"> .30.6 - fig. 7a)</w:t>
      </w:r>
    </w:p>
    <w:p w14:paraId="1F95E908" w14:textId="77777777" w:rsidR="004B2808" w:rsidRDefault="00000000">
      <w:pPr>
        <w:pStyle w:val="Author-eListParagraph"/>
        <w:numPr>
          <w:ilvl w:val="0"/>
          <w:numId w:val="1427"/>
        </w:numPr>
      </w:pPr>
      <w:r>
        <w:t xml:space="preserve">Nez de marches : </w:t>
      </w:r>
    </w:p>
    <w:p w14:paraId="5519AC0D" w14:textId="77777777" w:rsidR="004B2808" w:rsidRDefault="00000000">
      <w:pPr>
        <w:pStyle w:val="Author-eListParagraph"/>
        <w:numPr>
          <w:ilvl w:val="1"/>
          <w:numId w:val="1428"/>
        </w:numPr>
      </w:pPr>
      <w:r>
        <w:t xml:space="preserve">Forme : </w:t>
      </w:r>
      <w:r>
        <w:rPr>
          <w:rStyle w:val="optioncarChar"/>
        </w:rPr>
        <w:t>non saillants (PMR)</w:t>
      </w:r>
      <w:r>
        <w:t> (par défaut) </w:t>
      </w:r>
      <w:r>
        <w:rPr>
          <w:rStyle w:val="optioncarChar"/>
        </w:rPr>
        <w:t>/ *** </w:t>
      </w:r>
    </w:p>
    <w:p w14:paraId="54EA47E3" w14:textId="77777777" w:rsidR="004B2808" w:rsidRDefault="00000000">
      <w:pPr>
        <w:pStyle w:val="Author-eListParagraph"/>
        <w:numPr>
          <w:ilvl w:val="1"/>
          <w:numId w:val="1428"/>
        </w:numPr>
      </w:pPr>
      <w:r>
        <w:t xml:space="preserve">Projection : </w:t>
      </w:r>
      <w:r>
        <w:rPr>
          <w:rStyle w:val="optioncarChar"/>
        </w:rPr>
        <w:t>max 25 mm (PMR) </w:t>
      </w:r>
      <w:r>
        <w:t>(par défaut)</w:t>
      </w:r>
      <w:r>
        <w:rPr>
          <w:rStyle w:val="optioncarChar"/>
        </w:rPr>
        <w:t> / *** </w:t>
      </w:r>
      <w:r>
        <w:t xml:space="preserve"> (débordement par rapport aux contremarches)</w:t>
      </w:r>
    </w:p>
    <w:p w14:paraId="3AD4AF26" w14:textId="77777777" w:rsidR="004B2808" w:rsidRDefault="00000000">
      <w:pPr>
        <w:pStyle w:val="Author-eListParagraph"/>
        <w:numPr>
          <w:ilvl w:val="1"/>
          <w:numId w:val="1428"/>
        </w:numPr>
      </w:pPr>
      <w:r>
        <w:t xml:space="preserve">Indicateurs visuels : </w:t>
      </w:r>
      <w:r>
        <w:rPr>
          <w:rStyle w:val="optioncarChar"/>
        </w:rPr>
        <w:t xml:space="preserve">selon les recommandations du sous-titre </w:t>
      </w:r>
      <w:hyperlink w:anchor="1393" w:history="1">
        <w:r w:rsidR="004B2808">
          <w:rPr>
            <w:rStyle w:val="optioncarChar"/>
            <w:color w:val="0000EE"/>
          </w:rPr>
          <w:t>57.22 Marches / Contremarches</w:t>
        </w:r>
      </w:hyperlink>
      <w:r>
        <w:rPr>
          <w:rStyle w:val="optioncarChar"/>
        </w:rPr>
        <w:t> (PMR)</w:t>
      </w:r>
      <w:r>
        <w:t> (par défaut)</w:t>
      </w:r>
      <w:r>
        <w:rPr>
          <w:rStyle w:val="optioncarChar"/>
        </w:rPr>
        <w:t> / *** </w:t>
      </w:r>
    </w:p>
    <w:p w14:paraId="0C501CED" w14:textId="77777777" w:rsidR="004B2808" w:rsidRDefault="00000000">
      <w:pPr>
        <w:pStyle w:val="Author-eListParagraph"/>
        <w:numPr>
          <w:ilvl w:val="0"/>
          <w:numId w:val="1429"/>
        </w:numPr>
      </w:pPr>
      <w:r>
        <w:lastRenderedPageBreak/>
        <w:t xml:space="preserve">Selon la [Décision 96/603/CE] de la Commission du 4 octobre 1996  et les conditions qui y sont reprises, le béton appartient à la classe de réaction au feu A1 </w:t>
      </w:r>
      <w:r>
        <w:rPr>
          <w:vertAlign w:val="subscript"/>
        </w:rPr>
        <w:t xml:space="preserve">FL </w:t>
      </w:r>
      <w:r>
        <w:t>.</w:t>
      </w:r>
    </w:p>
    <w:p w14:paraId="78725496" w14:textId="77777777" w:rsidR="004B2808" w:rsidRDefault="00000000">
      <w:pPr>
        <w:pStyle w:val="pheading"/>
      </w:pPr>
      <w:r>
        <w:t>- Prescriptions complémentaires</w:t>
      </w:r>
    </w:p>
    <w:p w14:paraId="5523E9F0" w14:textId="77777777" w:rsidR="004B2808" w:rsidRDefault="00000000">
      <w:r>
        <w:t xml:space="preserve">Toutes les marches sont pourvues de bandes antidérapantes (PMR) qui sont insérées dans une rainure à au moins </w:t>
      </w:r>
      <w:r>
        <w:rPr>
          <w:rStyle w:val="optioncarChar"/>
        </w:rPr>
        <w:t>*** / 2</w:t>
      </w:r>
      <w:r>
        <w:t> cm du bord. </w:t>
      </w:r>
      <w:r>
        <w:br/>
        <w:t xml:space="preserve">Un profil </w:t>
      </w:r>
      <w:r>
        <w:rPr>
          <w:rStyle w:val="optioncarChar"/>
        </w:rPr>
        <w:t>*** / en PVC dur, avec insert en PVC doux avec surface rugueuse / en PVC dur, avec des bandes en PVC antidérapantes souples coextrudées. / en PVC doux, sans insert, la face supérieure est nervurée. / en caoutchouc / *** </w:t>
      </w:r>
    </w:p>
    <w:p w14:paraId="5DD2884F" w14:textId="77777777" w:rsidR="004B2808" w:rsidRDefault="00000000">
      <w:pPr>
        <w:pStyle w:val="heading"/>
      </w:pPr>
      <w:r>
        <w:t>Spécifications</w:t>
      </w:r>
    </w:p>
    <w:p w14:paraId="70C41CA8" w14:textId="77777777" w:rsidR="004B2808" w:rsidRDefault="00000000">
      <w:pPr>
        <w:pStyle w:val="Author-eListParagraph"/>
        <w:numPr>
          <w:ilvl w:val="0"/>
          <w:numId w:val="1430"/>
        </w:numPr>
      </w:pPr>
      <w:r>
        <w:t xml:space="preserve">Forme : </w:t>
      </w:r>
      <w:r>
        <w:rPr>
          <w:rStyle w:val="optioncarChar"/>
        </w:rPr>
        <w:t>en L avec nez droit </w:t>
      </w:r>
      <w:r>
        <w:t xml:space="preserve">(par défaut) </w:t>
      </w:r>
      <w:r>
        <w:rPr>
          <w:rStyle w:val="optioncarChar"/>
        </w:rPr>
        <w:t>/ oblique / arrondi / ***</w:t>
      </w:r>
      <w:r>
        <w:t>.</w:t>
      </w:r>
    </w:p>
    <w:p w14:paraId="2E8C50B1" w14:textId="77777777" w:rsidR="004B2808" w:rsidRDefault="00000000">
      <w:pPr>
        <w:pStyle w:val="Author-eListParagraph"/>
        <w:numPr>
          <w:ilvl w:val="0"/>
          <w:numId w:val="1430"/>
        </w:numPr>
      </w:pPr>
      <w:r>
        <w:t xml:space="preserve">Coloris : </w:t>
      </w:r>
      <w:r>
        <w:rPr>
          <w:rStyle w:val="optioncarChar"/>
        </w:rPr>
        <w:t>noir </w:t>
      </w:r>
      <w:r>
        <w:t>(par défaut)</w:t>
      </w:r>
      <w:r>
        <w:rPr>
          <w:rStyle w:val="optioncarChar"/>
        </w:rPr>
        <w:t> / *** </w:t>
      </w:r>
    </w:p>
    <w:p w14:paraId="58007349" w14:textId="77777777" w:rsidR="004B2808" w:rsidRDefault="00000000">
      <w:pPr>
        <w:pStyle w:val="Author-eListParagraph"/>
        <w:numPr>
          <w:ilvl w:val="0"/>
          <w:numId w:val="1430"/>
        </w:numPr>
      </w:pPr>
      <w:r>
        <w:t xml:space="preserve">Dimensions : </w:t>
      </w:r>
      <w:r>
        <w:rPr>
          <w:rStyle w:val="optioncarChar"/>
        </w:rPr>
        <w:t xml:space="preserve">*** </w:t>
      </w:r>
      <w:r>
        <w:t xml:space="preserve">x </w:t>
      </w:r>
      <w:r>
        <w:rPr>
          <w:rStyle w:val="optioncarChar"/>
        </w:rPr>
        <w:t xml:space="preserve">*** </w:t>
      </w:r>
      <w:r>
        <w:t>mm (la hauteur de l'arrière est adaptée en fonction de l'épaisseur du revêtement attenant. Une série complète d'échantillons est soumise à l'approbation de l'auteur de projet.</w:t>
      </w:r>
    </w:p>
    <w:p w14:paraId="2453A152" w14:textId="77777777" w:rsidR="004B2808" w:rsidRDefault="00000000">
      <w:pPr>
        <w:pStyle w:val="pheading"/>
      </w:pPr>
      <w:r>
        <w:t>EXÉCUTION / MISE EN ŒUVRE</w:t>
      </w:r>
    </w:p>
    <w:p w14:paraId="37608C8C" w14:textId="77777777" w:rsidR="004B2808" w:rsidRDefault="00000000">
      <w:pPr>
        <w:pStyle w:val="pheading"/>
      </w:pPr>
      <w:r>
        <w:t>- Prescriptions générales</w:t>
      </w:r>
    </w:p>
    <w:p w14:paraId="0DFCB4D3" w14:textId="77777777" w:rsidR="004B2808" w:rsidRDefault="00000000">
      <w:r>
        <w:t>Tous les revêtements non auto-portants sont posés à plein bain de mortier ou au mortier-colle, jusqu'à saturation des joints.</w:t>
      </w:r>
    </w:p>
    <w:p w14:paraId="32B1AD96" w14:textId="77777777" w:rsidR="004B2808" w:rsidRDefault="00000000">
      <w:pPr>
        <w:pStyle w:val="pheading"/>
      </w:pPr>
      <w:r>
        <w:t>- Notes d’exécution complémentaires</w:t>
      </w:r>
    </w:p>
    <w:p w14:paraId="655D3067" w14:textId="77777777" w:rsidR="004B2808" w:rsidRDefault="00000000">
      <w:r>
        <w:t xml:space="preserve">Les nez de marches sont posés selon le § 9.55.6 de la [NIT 165] avec de la colle et des vis, selon les prescriptions du fabricant. </w:t>
      </w:r>
      <w:r>
        <w:br/>
        <w:t xml:space="preserve">Choix opéré : </w:t>
      </w:r>
      <w:r>
        <w:rPr>
          <w:rStyle w:val="optioncarChar"/>
          <w:b/>
        </w:rPr>
        <w:t>*** / OPTION 1</w:t>
      </w:r>
      <w:r>
        <w:t> (par défaut)</w:t>
      </w:r>
      <w:r>
        <w:rPr>
          <w:rStyle w:val="optioncarChar"/>
          <w:b/>
        </w:rPr>
        <w:t xml:space="preserve"> / OPTION 2</w:t>
      </w:r>
    </w:p>
    <w:p w14:paraId="4316C240" w14:textId="77777777" w:rsidR="004B2808" w:rsidRDefault="00000000">
      <w:r>
        <w:rPr>
          <w:b/>
        </w:rPr>
        <w:t>***OPTION 1</w:t>
      </w:r>
      <w:r>
        <w:t xml:space="preserve"> (par défaut) : Les nez de marches en PVC dur sont collés en adhérence complète et vissés aux extrémités. Les vis sont fixées dans l'incrustation et les trous de vis sont bouchés avec des bouchons appropriés. </w:t>
      </w:r>
      <w:r>
        <w:br/>
      </w:r>
      <w:r>
        <w:rPr>
          <w:b/>
        </w:rPr>
        <w:t xml:space="preserve">***OPTION 2 </w:t>
      </w:r>
      <w:r>
        <w:t>: Les nez de marches en caoutchouc ou en PVC doux sont collés en adhérence totale avec de la colle de contact.  </w:t>
      </w:r>
    </w:p>
    <w:p w14:paraId="5B26DB21" w14:textId="77777777" w:rsidR="004B2808" w:rsidRDefault="00000000">
      <w:pPr>
        <w:pStyle w:val="pheading"/>
      </w:pPr>
      <w:r>
        <w:t>MESURAGE</w:t>
      </w:r>
    </w:p>
    <w:p w14:paraId="7CB15E92" w14:textId="77777777" w:rsidR="004B2808" w:rsidRDefault="00000000">
      <w:r>
        <w:t>Conformément aux indications spécifiques dans le cahier spécial des charges et/ou le métré récapitulatif, le mesurage doit être conçu comme suit :</w:t>
      </w:r>
    </w:p>
    <w:p w14:paraId="3B860239" w14:textId="77777777" w:rsidR="004B2808" w:rsidRDefault="00000000">
      <w:r>
        <w:t>Attention</w:t>
      </w:r>
    </w:p>
    <w:p w14:paraId="1F100FDD" w14:textId="77777777" w:rsidR="004B2808" w:rsidRDefault="00000000">
      <w:r>
        <w:t>Le prix pour le revêtement des paliers concernés est toujours repris dans un poste séparé sous la rubrique concernée des carrelages, des revêtements de sol souples et/ou en bois.</w:t>
      </w:r>
    </w:p>
    <w:p w14:paraId="463D4BE1" w14:textId="77777777" w:rsidR="004B2808" w:rsidRDefault="00000000">
      <w:pPr>
        <w:pStyle w:val="pheading"/>
      </w:pPr>
      <w:r>
        <w:t>- unité de mesure:</w:t>
      </w:r>
    </w:p>
    <w:p w14:paraId="3894D23A" w14:textId="77777777" w:rsidR="004B2808" w:rsidRDefault="00000000">
      <w:r>
        <w:rPr>
          <w:rStyle w:val="optioncarChar"/>
        </w:rPr>
        <w:t xml:space="preserve">p </w:t>
      </w:r>
      <w:r>
        <w:t>(par défaut)</w:t>
      </w:r>
      <w:r>
        <w:rPr>
          <w:rStyle w:val="optioncarChar"/>
        </w:rPr>
        <w:t xml:space="preserve"> / m² / ***</w:t>
      </w:r>
    </w:p>
    <w:p w14:paraId="4051CC98" w14:textId="77777777" w:rsidR="004B2808" w:rsidRDefault="00000000">
      <w:pPr>
        <w:pStyle w:val="pheading"/>
      </w:pPr>
      <w:r>
        <w:t>- code de mesurage:</w:t>
      </w:r>
    </w:p>
    <w:p w14:paraId="1D22AEAD" w14:textId="77777777" w:rsidR="004B2808" w:rsidRDefault="00000000">
      <w:r>
        <w:rPr>
          <w:rStyle w:val="optioncarChar"/>
        </w:rPr>
        <w:t>*** / (par défaut)  Par marche, de même dimensions, épaisseur et type, éventuellement en fonction des marches droites et tournantes; y compris la contremarche, la marche palière, les plinthes, / Ventilé par type, traitement de surface et épaisseur.</w:t>
      </w:r>
    </w:p>
    <w:p w14:paraId="5693D2F3" w14:textId="77777777" w:rsidR="004B2808" w:rsidRDefault="00000000">
      <w:pPr>
        <w:pStyle w:val="pheading"/>
      </w:pPr>
      <w:r>
        <w:t>- nature du marché:</w:t>
      </w:r>
    </w:p>
    <w:p w14:paraId="0010A5A6" w14:textId="77777777" w:rsidR="004B2808" w:rsidRDefault="00000000">
      <w:r>
        <w:t>QF</w:t>
      </w:r>
    </w:p>
    <w:p w14:paraId="19AF7DF7" w14:textId="77777777" w:rsidR="004B2808" w:rsidRDefault="00000000">
      <w:pPr>
        <w:pStyle w:val="pheading"/>
      </w:pPr>
      <w:r>
        <w:t>AIDE</w:t>
      </w:r>
    </w:p>
    <w:p w14:paraId="7C802A18" w14:textId="77777777" w:rsidR="004B2808" w:rsidRDefault="00000000">
      <w:r>
        <w:rPr>
          <w:i/>
          <w:u w:val="single"/>
        </w:rPr>
        <w:t xml:space="preserve">Note à l'attention de l'auteur de projet </w:t>
      </w:r>
      <w:r>
        <w:br/>
        <w:t>Le choix du profil dépend du revêtement d'escalier auquel il se raccorde. La documentation du fabricant à ce sujet doit être consultée.</w:t>
      </w:r>
    </w:p>
    <w:p w14:paraId="5BDBDF82" w14:textId="77777777" w:rsidR="004B2808" w:rsidRDefault="00000000">
      <w:pPr>
        <w:pStyle w:val="Author-eSectionHeading6Numberless"/>
      </w:pPr>
      <w:bookmarkStart w:id="1559" w:name="_Toc220491654"/>
      <w:r>
        <w:lastRenderedPageBreak/>
        <w:t>57.22.1c Marches / Contremarches en pierre reconstituée CCTB 01.02</w:t>
      </w:r>
      <w:bookmarkEnd w:id="1559"/>
    </w:p>
    <w:p w14:paraId="1D1A718B" w14:textId="77777777" w:rsidR="004B2808" w:rsidRDefault="00000000">
      <w:pPr>
        <w:pStyle w:val="Author-eSectionHeading5Numberless"/>
      </w:pPr>
      <w:bookmarkStart w:id="1560" w:name="_Toc220491655"/>
      <w:r>
        <w:t>57.22.2 Marches / Contremarches en béton armé CCTB 01.02</w:t>
      </w:r>
      <w:bookmarkEnd w:id="1560"/>
    </w:p>
    <w:p w14:paraId="1A82A9E1" w14:textId="77777777" w:rsidR="004B2808" w:rsidRDefault="00000000">
      <w:pPr>
        <w:pStyle w:val="Author-eSectionHeading6Numberless"/>
      </w:pPr>
      <w:bookmarkStart w:id="1561" w:name="_Toc220491656"/>
      <w:r>
        <w:t>57.22.2a Marches / Contremarches en béton armé coulés sur place CCTB 01.02</w:t>
      </w:r>
      <w:bookmarkEnd w:id="1561"/>
    </w:p>
    <w:p w14:paraId="21BBE20D" w14:textId="77777777" w:rsidR="004B2808" w:rsidRDefault="00000000">
      <w:pPr>
        <w:pStyle w:val="Author-eSectionHeading6Numberless"/>
      </w:pPr>
      <w:bookmarkStart w:id="1562" w:name="_Toc220491657"/>
      <w:r>
        <w:t>57.22.2b Marches / Contremarches préfabriquées en béton armé  CCTB 01.02</w:t>
      </w:r>
      <w:bookmarkEnd w:id="1562"/>
    </w:p>
    <w:p w14:paraId="3FDBC0E0" w14:textId="77777777" w:rsidR="004B2808" w:rsidRDefault="00000000">
      <w:pPr>
        <w:pStyle w:val="Author-eSectionHeading5Numberless"/>
      </w:pPr>
      <w:bookmarkStart w:id="1563" w:name="_Toc220491658"/>
      <w:r>
        <w:t>57.22.3 Marches / Contremarches en bois CCTB 01.02</w:t>
      </w:r>
      <w:bookmarkEnd w:id="1563"/>
    </w:p>
    <w:p w14:paraId="6C831508" w14:textId="77777777" w:rsidR="004B2808" w:rsidRDefault="00000000">
      <w:pPr>
        <w:pStyle w:val="Author-eSectionHeading6Numberless"/>
      </w:pPr>
      <w:bookmarkStart w:id="1564" w:name="_Toc220491659"/>
      <w:r>
        <w:t>57.22.3a Marches / Contremarches en bois CCTB 01.11</w:t>
      </w:r>
      <w:bookmarkEnd w:id="1564"/>
    </w:p>
    <w:p w14:paraId="7BCAD4EE" w14:textId="77777777" w:rsidR="004B2808" w:rsidRDefault="00000000">
      <w:pPr>
        <w:pStyle w:val="pheading"/>
      </w:pPr>
      <w:bookmarkStart w:id="1565" w:name="1382"/>
      <w:bookmarkEnd w:id="1565"/>
      <w:r>
        <w:t>MATÉRIAUX</w:t>
      </w:r>
    </w:p>
    <w:p w14:paraId="2F57A693" w14:textId="77777777" w:rsidR="004B2808" w:rsidRDefault="00000000">
      <w:pPr>
        <w:pStyle w:val="pheading"/>
      </w:pPr>
      <w:r>
        <w:t>- Caractéristiques générales</w:t>
      </w:r>
    </w:p>
    <w:p w14:paraId="509E0F79" w14:textId="77777777" w:rsidR="004B2808" w:rsidRDefault="00000000">
      <w:r>
        <w:t>Il s'agit de marches réalisées d'un seul tenant en bois massif, essence :</w:t>
      </w:r>
    </w:p>
    <w:p w14:paraId="5AC46607" w14:textId="77777777" w:rsidR="004B2808" w:rsidRDefault="00000000">
      <w:pPr>
        <w:ind w:left="454"/>
      </w:pPr>
      <w:r>
        <w:br/>
        <w:t xml:space="preserve">Choix opéré : </w:t>
      </w:r>
      <w:r>
        <w:rPr>
          <w:rStyle w:val="optioncarChar"/>
        </w:rPr>
        <w:t>OPTION 1 (hêtre) </w:t>
      </w:r>
      <w:r>
        <w:t>(par défaut)</w:t>
      </w:r>
      <w:r>
        <w:rPr>
          <w:rStyle w:val="optioncarChar"/>
        </w:rPr>
        <w:t xml:space="preserve"> / OPTION 2 (merbau)</w:t>
      </w:r>
    </w:p>
    <w:p w14:paraId="3B8B08EA" w14:textId="77777777" w:rsidR="004B2808" w:rsidRDefault="00000000">
      <w:pPr>
        <w:ind w:left="454"/>
      </w:pPr>
      <w:r>
        <w:t xml:space="preserve">***OPTION 1 :hêtre. Qualité : </w:t>
      </w:r>
      <w:r>
        <w:rPr>
          <w:rStyle w:val="optioncarChar"/>
        </w:rPr>
        <w:t>1er choix</w:t>
      </w:r>
      <w:r>
        <w:t> (par défaut)</w:t>
      </w:r>
      <w:r>
        <w:rPr>
          <w:rStyle w:val="optioncarChar"/>
        </w:rPr>
        <w:t xml:space="preserve"> / 2ème choix / ***</w:t>
      </w:r>
      <w:r>
        <w:t>. Le bois mis en œuvre est exempt de cœur rouge.</w:t>
      </w:r>
      <w:r>
        <w:br/>
        <w:t xml:space="preserve">***OPTION 2 : merbau, selon </w:t>
      </w:r>
      <w:r>
        <w:rPr>
          <w:rStyle w:val="optioncarChar"/>
        </w:rPr>
        <w:t>***</w:t>
      </w:r>
    </w:p>
    <w:p w14:paraId="5FE1C1D6" w14:textId="77777777" w:rsidR="004B2808" w:rsidRDefault="00000000">
      <w:pPr>
        <w:pStyle w:val="heading"/>
      </w:pPr>
      <w:r>
        <w:t>Spécifications</w:t>
      </w:r>
    </w:p>
    <w:p w14:paraId="72D61DDC" w14:textId="77777777" w:rsidR="004B2808" w:rsidRDefault="00000000">
      <w:pPr>
        <w:pStyle w:val="Author-eListParagraph"/>
        <w:numPr>
          <w:ilvl w:val="0"/>
          <w:numId w:val="1431"/>
        </w:numPr>
      </w:pPr>
      <w:r>
        <w:t>Forme :</w:t>
      </w:r>
      <w:r>
        <w:rPr>
          <w:rStyle w:val="optioncarChar"/>
        </w:rPr>
        <w:t> selon les dessins de détail de l'auteur de projet</w:t>
      </w:r>
      <w:r>
        <w:t> (par défaut)</w:t>
      </w:r>
      <w:r>
        <w:rPr>
          <w:rStyle w:val="optioncarChar"/>
        </w:rPr>
        <w:t> / *** </w:t>
      </w:r>
    </w:p>
    <w:p w14:paraId="1B446913" w14:textId="77777777" w:rsidR="004B2808" w:rsidRDefault="00000000">
      <w:pPr>
        <w:pStyle w:val="Author-eListParagraph"/>
        <w:numPr>
          <w:ilvl w:val="1"/>
          <w:numId w:val="1432"/>
        </w:numPr>
      </w:pPr>
      <w:r>
        <w:t>Bords des marches :</w:t>
      </w:r>
      <w:r>
        <w:rPr>
          <w:rStyle w:val="optioncarChar"/>
        </w:rPr>
        <w:t> droits</w:t>
      </w:r>
      <w:r>
        <w:t> (par défaut)</w:t>
      </w:r>
      <w:r>
        <w:rPr>
          <w:rStyle w:val="optioncarChar"/>
        </w:rPr>
        <w:t xml:space="preserve"> / arrondis (rayon de courbure : 5 / 8 mm) / ***</w:t>
      </w:r>
    </w:p>
    <w:p w14:paraId="2A7FC3F6" w14:textId="77777777" w:rsidR="004B2808" w:rsidRDefault="00000000">
      <w:pPr>
        <w:pStyle w:val="Author-eListParagraph"/>
        <w:numPr>
          <w:ilvl w:val="1"/>
          <w:numId w:val="1432"/>
        </w:numPr>
      </w:pPr>
      <w:r>
        <w:t xml:space="preserve">Contremarches : </w:t>
      </w:r>
      <w:r>
        <w:rPr>
          <w:rStyle w:val="optioncarChar"/>
        </w:rPr>
        <w:t>profil oblique (PMR) </w:t>
      </w:r>
      <w:r>
        <w:t>(par défaut)</w:t>
      </w:r>
      <w:r>
        <w:rPr>
          <w:rStyle w:val="optioncarChar"/>
        </w:rPr>
        <w:t> / *** </w:t>
      </w:r>
    </w:p>
    <w:p w14:paraId="028D87D7" w14:textId="77777777" w:rsidR="004B2808" w:rsidRDefault="00000000">
      <w:pPr>
        <w:pStyle w:val="Author-eListParagraph"/>
        <w:numPr>
          <w:ilvl w:val="0"/>
          <w:numId w:val="1431"/>
        </w:numPr>
      </w:pPr>
      <w:r>
        <w:t xml:space="preserve">Dimensions : </w:t>
      </w:r>
    </w:p>
    <w:p w14:paraId="0AA103EC" w14:textId="77777777" w:rsidR="004B2808" w:rsidRDefault="00000000">
      <w:pPr>
        <w:pStyle w:val="Author-eListParagraph"/>
        <w:numPr>
          <w:ilvl w:val="1"/>
          <w:numId w:val="1433"/>
        </w:numPr>
      </w:pPr>
      <w:r>
        <w:t xml:space="preserve">Epaisseur des marches : minimum </w:t>
      </w:r>
      <w:r>
        <w:rPr>
          <w:rStyle w:val="optioncarChar"/>
        </w:rPr>
        <w:t>35 </w:t>
      </w:r>
      <w:r>
        <w:t>(par défaut)</w:t>
      </w:r>
      <w:r>
        <w:rPr>
          <w:rStyle w:val="optioncarChar"/>
        </w:rPr>
        <w:t xml:space="preserve"> / 40 / 45 / *** </w:t>
      </w:r>
      <w:r>
        <w:t>mm (*)</w:t>
      </w:r>
    </w:p>
    <w:p w14:paraId="5E202CC8" w14:textId="77777777" w:rsidR="004B2808" w:rsidRDefault="00000000">
      <w:pPr>
        <w:pStyle w:val="Author-eListParagraph"/>
        <w:numPr>
          <w:ilvl w:val="1"/>
          <w:numId w:val="1433"/>
        </w:numPr>
      </w:pPr>
      <w:r>
        <w:t xml:space="preserve">Epaisseur des contremarches : minimum </w:t>
      </w:r>
      <w:r>
        <w:rPr>
          <w:rStyle w:val="optioncarChar"/>
        </w:rPr>
        <w:t>25 </w:t>
      </w:r>
      <w:r>
        <w:t>(par défaut) </w:t>
      </w:r>
      <w:r>
        <w:rPr>
          <w:rStyle w:val="optioncarChar"/>
        </w:rPr>
        <w:t>/ ***  </w:t>
      </w:r>
      <w:r>
        <w:t>mm</w:t>
      </w:r>
    </w:p>
    <w:p w14:paraId="1362E066" w14:textId="77777777" w:rsidR="004B2808" w:rsidRDefault="00000000">
      <w:pPr>
        <w:pStyle w:val="Author-eListParagraph"/>
        <w:numPr>
          <w:ilvl w:val="0"/>
          <w:numId w:val="1431"/>
        </w:numPr>
      </w:pPr>
      <w:r>
        <w:t xml:space="preserve">Nez de marches : </w:t>
      </w:r>
    </w:p>
    <w:p w14:paraId="534754E3" w14:textId="77777777" w:rsidR="004B2808" w:rsidRDefault="00000000">
      <w:pPr>
        <w:pStyle w:val="Author-eListParagraph"/>
        <w:numPr>
          <w:ilvl w:val="1"/>
          <w:numId w:val="1434"/>
        </w:numPr>
      </w:pPr>
      <w:r>
        <w:t xml:space="preserve">Forme : </w:t>
      </w:r>
      <w:r>
        <w:rPr>
          <w:rStyle w:val="optioncarChar"/>
        </w:rPr>
        <w:t>non saillants (PMR) </w:t>
      </w:r>
      <w:r>
        <w:t>(par défaut) </w:t>
      </w:r>
      <w:r>
        <w:rPr>
          <w:rStyle w:val="optioncarChar"/>
        </w:rPr>
        <w:t>/ *** </w:t>
      </w:r>
    </w:p>
    <w:p w14:paraId="72906C44" w14:textId="77777777" w:rsidR="004B2808" w:rsidRDefault="00000000">
      <w:pPr>
        <w:pStyle w:val="Author-eListParagraph"/>
        <w:numPr>
          <w:ilvl w:val="1"/>
          <w:numId w:val="1434"/>
        </w:numPr>
      </w:pPr>
      <w:r>
        <w:t>Projection : </w:t>
      </w:r>
      <w:r>
        <w:rPr>
          <w:rStyle w:val="optioncarChar"/>
        </w:rPr>
        <w:t>max 25 (PMR) </w:t>
      </w:r>
      <w:r>
        <w:t>(par défaut)</w:t>
      </w:r>
      <w:r>
        <w:rPr>
          <w:rStyle w:val="optioncarChar"/>
        </w:rPr>
        <w:t xml:space="preserve"> / min 30 / min 40 / min 50 </w:t>
      </w:r>
      <w:r>
        <w:t>mm (débordement par rapport aux contremarches)</w:t>
      </w:r>
    </w:p>
    <w:p w14:paraId="29966ACF" w14:textId="77777777" w:rsidR="004B2808" w:rsidRDefault="00000000">
      <w:pPr>
        <w:pStyle w:val="Author-eListParagraph"/>
        <w:numPr>
          <w:ilvl w:val="1"/>
          <w:numId w:val="1434"/>
        </w:numPr>
      </w:pPr>
      <w:r>
        <w:t xml:space="preserve">Indicateurs visuels : </w:t>
      </w:r>
      <w:r>
        <w:rPr>
          <w:rStyle w:val="optioncarChar"/>
        </w:rPr>
        <w:t xml:space="preserve">selon les recommandations du sous-titre </w:t>
      </w:r>
      <w:hyperlink w:anchor="1393" w:history="1">
        <w:r w:rsidR="004B2808">
          <w:rPr>
            <w:rStyle w:val="optioncarChar"/>
            <w:color w:val="0000EE"/>
          </w:rPr>
          <w:t>57.22 Marches / Contremarches</w:t>
        </w:r>
      </w:hyperlink>
      <w:r>
        <w:rPr>
          <w:rStyle w:val="optioncarChar"/>
        </w:rPr>
        <w:t> (PMR) / ***</w:t>
      </w:r>
    </w:p>
    <w:p w14:paraId="0A8C55A7" w14:textId="77777777" w:rsidR="004B2808" w:rsidRDefault="00000000">
      <w:pPr>
        <w:pStyle w:val="Author-eListParagraph"/>
        <w:numPr>
          <w:ilvl w:val="0"/>
          <w:numId w:val="1431"/>
        </w:numPr>
      </w:pPr>
      <w:r>
        <w:t xml:space="preserve">Traitement de surface : </w:t>
      </w:r>
      <w:r>
        <w:rPr>
          <w:rStyle w:val="optioncarChar"/>
        </w:rPr>
        <w:t>non traité </w:t>
      </w:r>
      <w:r>
        <w:t>(par défaut)</w:t>
      </w:r>
      <w:r>
        <w:rPr>
          <w:rStyle w:val="optioncarChar"/>
        </w:rPr>
        <w:t> / *** </w:t>
      </w:r>
    </w:p>
    <w:p w14:paraId="44BEA1F6" w14:textId="77777777" w:rsidR="004B2808" w:rsidRDefault="00000000">
      <w:pPr>
        <w:pStyle w:val="Author-eListParagraph"/>
        <w:numPr>
          <w:ilvl w:val="0"/>
          <w:numId w:val="1431"/>
        </w:numPr>
      </w:pPr>
      <w:r>
        <w:t>Les marches et contremarches sont conformes à la [NIT 198]</w:t>
      </w:r>
    </w:p>
    <w:p w14:paraId="60584058" w14:textId="77777777" w:rsidR="004B2808" w:rsidRDefault="00000000">
      <w:r>
        <w:rPr>
          <w:i/>
          <w:u w:val="single"/>
        </w:rPr>
        <w:t>Note à l'attention de l'auteur de projet (*)</w:t>
      </w:r>
      <w:r>
        <w:br/>
        <w:t>Epaisseur recommandée pour les marches s'appuyant sur deux limons : 35 mm (longueur de marches jusqu'à 800 mm); 40 mm (longueur de marches jusqu'à 1000 mm); 45 mm (longueur de marche jusqu'à 1200 mm).</w:t>
      </w:r>
    </w:p>
    <w:p w14:paraId="34A951FA" w14:textId="77777777" w:rsidR="004B2808" w:rsidRDefault="00000000">
      <w:pPr>
        <w:spacing w:before="0" w:after="0"/>
      </w:pPr>
      <w:r>
        <w:rPr>
          <w:b/>
        </w:rPr>
        <w:t>Revêtements d'escalier</w:t>
      </w:r>
    </w:p>
    <w:p w14:paraId="5EBAADC6" w14:textId="77777777" w:rsidR="004B2808" w:rsidRDefault="00000000">
      <w:r>
        <w:t>Avant la mise en œuvre, toutes les faces reçoivent la première couche du traitement selon le procédé C2 selon les [STS 04 série].</w:t>
      </w:r>
    </w:p>
    <w:p w14:paraId="3AA9697C" w14:textId="77777777" w:rsidR="004B2808" w:rsidRDefault="00000000">
      <w:pPr>
        <w:pStyle w:val="heading"/>
      </w:pPr>
      <w:r>
        <w:t>Spécifications</w:t>
      </w:r>
    </w:p>
    <w:p w14:paraId="10408ABF" w14:textId="77777777" w:rsidR="004B2808" w:rsidRDefault="00000000">
      <w:pPr>
        <w:pStyle w:val="Author-eListParagraph"/>
        <w:numPr>
          <w:ilvl w:val="0"/>
          <w:numId w:val="1435"/>
        </w:numPr>
      </w:pPr>
      <w:r>
        <w:t xml:space="preserve">Réaction au feu du revêtement : classe </w:t>
      </w:r>
      <w:r>
        <w:rPr>
          <w:rStyle w:val="optioncarChar"/>
        </w:rPr>
        <w:t xml:space="preserve">A1 </w:t>
      </w:r>
      <w:r>
        <w:rPr>
          <w:rStyle w:val="optioncarChar"/>
          <w:vertAlign w:val="subscript"/>
        </w:rPr>
        <w:t>FL </w:t>
      </w:r>
      <w:r>
        <w:t>(par défaut)</w:t>
      </w:r>
      <w:r>
        <w:rPr>
          <w:rStyle w:val="optioncarChar"/>
          <w:vertAlign w:val="subscript"/>
        </w:rPr>
        <w:t>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t>selon la [NBN EN 13501-1].</w:t>
      </w:r>
    </w:p>
    <w:p w14:paraId="17178CEB" w14:textId="77777777" w:rsidR="004B2808" w:rsidRDefault="00000000">
      <w:pPr>
        <w:pStyle w:val="Author-eListParagraph"/>
        <w:numPr>
          <w:ilvl w:val="0"/>
          <w:numId w:val="1435"/>
        </w:numPr>
      </w:pPr>
      <w:r>
        <w:t>Classe additionnelle :</w:t>
      </w:r>
    </w:p>
    <w:p w14:paraId="7D85CA71" w14:textId="77777777" w:rsidR="004B2808" w:rsidRDefault="00000000">
      <w:pPr>
        <w:pStyle w:val="Author-eListParagraph"/>
        <w:numPr>
          <w:ilvl w:val="0"/>
          <w:numId w:val="1435"/>
        </w:numPr>
      </w:pPr>
      <w:r>
        <w:t xml:space="preserve">Production de fumée : </w:t>
      </w:r>
      <w:r>
        <w:rPr>
          <w:rStyle w:val="optioncarChar"/>
        </w:rPr>
        <w:t>s1</w:t>
      </w:r>
      <w:r>
        <w:t> (par défaut)</w:t>
      </w:r>
      <w:r>
        <w:rPr>
          <w:rStyle w:val="optioncarChar"/>
        </w:rPr>
        <w:t xml:space="preserve"> / s2 / ***</w:t>
      </w:r>
    </w:p>
    <w:p w14:paraId="10B43E4D" w14:textId="77777777" w:rsidR="004B2808" w:rsidRDefault="00000000">
      <w:pPr>
        <w:spacing w:before="0" w:after="0"/>
      </w:pPr>
      <w:r>
        <w:rPr>
          <w:b/>
        </w:rPr>
        <w:t>Marches autoportantes</w:t>
      </w:r>
    </w:p>
    <w:p w14:paraId="6DC6BD27" w14:textId="77777777" w:rsidR="004B2808" w:rsidRDefault="00000000">
      <w:r>
        <w:t>Avant la mise en œuvre, une première couche est appliquée selon le procédé C2 des [STS 04 série].</w:t>
      </w:r>
    </w:p>
    <w:p w14:paraId="7C536F4F" w14:textId="77777777" w:rsidR="004B2808" w:rsidRDefault="00000000">
      <w:pPr>
        <w:pStyle w:val="heading"/>
      </w:pPr>
      <w:r>
        <w:t>Spécifications</w:t>
      </w:r>
    </w:p>
    <w:p w14:paraId="27E22A81" w14:textId="77777777" w:rsidR="004B2808" w:rsidRDefault="00000000">
      <w:r>
        <w:lastRenderedPageBreak/>
        <w:t xml:space="preserve">Bords des marches : </w:t>
      </w:r>
      <w:r>
        <w:rPr>
          <w:rStyle w:val="optioncarChar"/>
        </w:rPr>
        <w:t>droits</w:t>
      </w:r>
      <w:r>
        <w:t> (par défaut)</w:t>
      </w:r>
      <w:r>
        <w:rPr>
          <w:rStyle w:val="optioncarChar"/>
        </w:rPr>
        <w:t xml:space="preserve"> / cassés / ***</w:t>
      </w:r>
    </w:p>
    <w:p w14:paraId="2A8553A2" w14:textId="77777777" w:rsidR="004B2808" w:rsidRDefault="00000000">
      <w:pPr>
        <w:pStyle w:val="pheading"/>
      </w:pPr>
      <w:r>
        <w:t>- Prescriptions complémentaires</w:t>
      </w:r>
    </w:p>
    <w:p w14:paraId="57E62D3D" w14:textId="77777777" w:rsidR="004B2808" w:rsidRDefault="00000000">
      <w:r>
        <w:t>Les marches sont pourvues d'un bord relevé à l'arrière.</w:t>
      </w:r>
      <w:r>
        <w:br/>
        <w:t xml:space="preserve">Les marches sont pourvues d'un </w:t>
      </w:r>
      <w:r>
        <w:rPr>
          <w:rStyle w:val="optioncarChar"/>
        </w:rPr>
        <w:t>revêtement antidérapant (PMR) </w:t>
      </w:r>
      <w:r>
        <w:t>(par défaut)</w:t>
      </w:r>
      <w:r>
        <w:rPr>
          <w:rStyle w:val="optioncarChar"/>
        </w:rPr>
        <w:t> / *** </w:t>
      </w:r>
      <w:r>
        <w:t xml:space="preserve"> :  </w:t>
      </w:r>
    </w:p>
    <w:p w14:paraId="346270A0" w14:textId="77777777" w:rsidR="004B2808" w:rsidRDefault="00000000">
      <w:r>
        <w:rPr>
          <w:b/>
        </w:rPr>
        <w:t xml:space="preserve">Choix opéré </w:t>
      </w:r>
      <w:r>
        <w:t xml:space="preserve">: </w:t>
      </w:r>
      <w:r>
        <w:rPr>
          <w:rStyle w:val="optioncarChar"/>
        </w:rPr>
        <w:t>*** / OPTION 1 </w:t>
      </w:r>
      <w:r>
        <w:t xml:space="preserve">(par défaut) </w:t>
      </w:r>
      <w:r>
        <w:rPr>
          <w:rStyle w:val="optioncarChar"/>
        </w:rPr>
        <w:t>/ OPTION 2 / OPTION 3 / OPTION 4</w:t>
      </w:r>
      <w:r>
        <w:rPr>
          <w:b/>
        </w:rPr>
        <w:t> </w:t>
      </w:r>
    </w:p>
    <w:p w14:paraId="3F878071" w14:textId="77777777" w:rsidR="004B2808" w:rsidRDefault="00000000">
      <w:pPr>
        <w:pStyle w:val="Author-eListParagraph"/>
        <w:numPr>
          <w:ilvl w:val="0"/>
          <w:numId w:val="1436"/>
        </w:numPr>
      </w:pPr>
      <w:r>
        <w:rPr>
          <w:b/>
        </w:rPr>
        <w:t>OPTION 1</w:t>
      </w:r>
      <w:r>
        <w:t>(par défaut) : ciselage antidérapant</w:t>
      </w:r>
    </w:p>
    <w:p w14:paraId="4C57527B" w14:textId="77777777" w:rsidR="004B2808" w:rsidRDefault="00000000">
      <w:pPr>
        <w:pStyle w:val="Author-eListParagraph"/>
        <w:numPr>
          <w:ilvl w:val="0"/>
          <w:numId w:val="1437"/>
        </w:numPr>
      </w:pPr>
      <w:r>
        <w:rPr>
          <w:b/>
        </w:rPr>
        <w:t>OPTION 2</w:t>
      </w:r>
      <w:r>
        <w:t xml:space="preserve"> : nez de marche antidérapant collé en </w:t>
      </w:r>
      <w:r>
        <w:rPr>
          <w:rStyle w:val="optioncarChar"/>
        </w:rPr>
        <w:t>caoutchouc </w:t>
      </w:r>
      <w:r>
        <w:t xml:space="preserve">(par défaut) </w:t>
      </w:r>
      <w:r>
        <w:rPr>
          <w:rStyle w:val="optioncarChar"/>
        </w:rPr>
        <w:t>/ PVC / ***</w:t>
      </w:r>
    </w:p>
    <w:p w14:paraId="4D0413F2" w14:textId="77777777" w:rsidR="004B2808" w:rsidRDefault="00000000">
      <w:pPr>
        <w:pStyle w:val="Author-eListParagraph"/>
        <w:numPr>
          <w:ilvl w:val="0"/>
          <w:numId w:val="1438"/>
        </w:numPr>
      </w:pPr>
      <w:r>
        <w:rPr>
          <w:b/>
        </w:rPr>
        <w:t>OPTION 3</w:t>
      </w:r>
      <w:r>
        <w:t xml:space="preserve"> : bande antidérapante embrevée en </w:t>
      </w:r>
      <w:r>
        <w:rPr>
          <w:rStyle w:val="optioncarChar"/>
        </w:rPr>
        <w:t>carborundum </w:t>
      </w:r>
      <w:r>
        <w:t>(par défaut)</w:t>
      </w:r>
      <w:r>
        <w:rPr>
          <w:rStyle w:val="optioncarChar"/>
        </w:rPr>
        <w:t xml:space="preserve"> / caoutchouc / PVC / ***</w:t>
      </w:r>
    </w:p>
    <w:p w14:paraId="307E0DE5" w14:textId="77777777" w:rsidR="004B2808" w:rsidRDefault="00000000">
      <w:pPr>
        <w:pStyle w:val="Author-eListParagraph"/>
        <w:numPr>
          <w:ilvl w:val="0"/>
          <w:numId w:val="1439"/>
        </w:numPr>
      </w:pPr>
      <w:r>
        <w:rPr>
          <w:b/>
        </w:rPr>
        <w:t xml:space="preserve">OPTION 4 </w:t>
      </w:r>
      <w:r>
        <w:t xml:space="preserve">: </w:t>
      </w:r>
      <w:r>
        <w:rPr>
          <w:rStyle w:val="optioncarChar"/>
        </w:rPr>
        <w:t>***</w:t>
      </w:r>
    </w:p>
    <w:p w14:paraId="6EE7E201" w14:textId="77777777" w:rsidR="004B2808" w:rsidRDefault="004B2808"/>
    <w:p w14:paraId="50D63C12" w14:textId="77777777" w:rsidR="004B2808" w:rsidRDefault="00000000">
      <w:r>
        <w:t xml:space="preserve">Réaction au feu : classe </w:t>
      </w:r>
      <w:r>
        <w:rPr>
          <w:rStyle w:val="optioncarChar"/>
        </w:rPr>
        <w:t>A1 </w:t>
      </w:r>
      <w:r>
        <w:t>(par défaut)</w:t>
      </w:r>
      <w:r>
        <w:rPr>
          <w:rStyle w:val="optioncarChar"/>
        </w:rPr>
        <w:t xml:space="preserve"> / A2 / B / C / D / E / F / ***</w:t>
      </w:r>
      <w:r>
        <w:t xml:space="preserve"> selon la [NBN EN 13501-1].</w:t>
      </w:r>
      <w:r>
        <w:br/>
        <w:t xml:space="preserve">Stabilité au feu : classe </w:t>
      </w:r>
      <w:r>
        <w:rPr>
          <w:rStyle w:val="optioncarChar"/>
        </w:rPr>
        <w:t>R30</w:t>
      </w:r>
      <w:r>
        <w:t> (par défaut)</w:t>
      </w:r>
      <w:r>
        <w:rPr>
          <w:rStyle w:val="optioncarChar"/>
        </w:rPr>
        <w:t xml:space="preserve"> / R60 / R120 / ***</w:t>
      </w:r>
      <w:r>
        <w:t xml:space="preserve"> selon la [NBN EN 13501-2] ou </w:t>
      </w:r>
      <w:r>
        <w:rPr>
          <w:rStyle w:val="optioncarChar"/>
        </w:rPr>
        <w:t>Rf 1/2h </w:t>
      </w:r>
      <w:r>
        <w:t xml:space="preserve">(par défaut) </w:t>
      </w:r>
      <w:r>
        <w:rPr>
          <w:rStyle w:val="optioncarChar"/>
        </w:rPr>
        <w:t>/ Rf 1h / Rf 2h / *** </w:t>
      </w:r>
      <w:r>
        <w:t>selon la [NBN 713-020] tant qu’elle est encore d’application.</w:t>
      </w:r>
    </w:p>
    <w:p w14:paraId="45CB542F" w14:textId="77777777" w:rsidR="004B2808" w:rsidRDefault="00000000">
      <w:pPr>
        <w:pStyle w:val="heading"/>
      </w:pPr>
      <w:r>
        <w:t>marches autoportantes</w:t>
      </w:r>
    </w:p>
    <w:p w14:paraId="24695A28" w14:textId="77777777" w:rsidR="004B2808" w:rsidRDefault="00000000">
      <w:pPr>
        <w:pStyle w:val="Author-eListParagraph"/>
        <w:numPr>
          <w:ilvl w:val="0"/>
          <w:numId w:val="1440"/>
        </w:numPr>
      </w:pPr>
      <w:r>
        <w:t>Type :</w:t>
      </w:r>
      <w:r>
        <w:rPr>
          <w:rStyle w:val="optioncarChar"/>
        </w:rPr>
        <w:t> parallélépipède rectangle plat </w:t>
      </w:r>
      <w:r>
        <w:t>(par défaut)</w:t>
      </w:r>
      <w:r>
        <w:rPr>
          <w:rStyle w:val="optioncarChar"/>
        </w:rPr>
        <w:t xml:space="preserve"> / parallélépipède rectangle rainuré / parallélépipède circonscrit plat à bord relevé / ***</w:t>
      </w:r>
      <w:r>
        <w:t>.</w:t>
      </w:r>
    </w:p>
    <w:p w14:paraId="78B46427" w14:textId="77777777" w:rsidR="004B2808" w:rsidRDefault="00000000">
      <w:pPr>
        <w:pStyle w:val="Author-eListParagraph"/>
        <w:numPr>
          <w:ilvl w:val="0"/>
          <w:numId w:val="1440"/>
        </w:numPr>
      </w:pPr>
      <w:r>
        <w:t xml:space="preserve">Composition : elles se composent </w:t>
      </w:r>
      <w:r>
        <w:rPr>
          <w:rStyle w:val="optioncarChar"/>
        </w:rPr>
        <w:t>d'une seule pièce coupée sur mesure </w:t>
      </w:r>
      <w:r>
        <w:t>(par défaut)</w:t>
      </w:r>
      <w:r>
        <w:rPr>
          <w:rStyle w:val="optioncarChar"/>
        </w:rPr>
        <w:t xml:space="preserve"> / de plusieurs pièces de bois contreplaqué, assemblées à rainure et languette, par enture, et collées avec de la colle appropriée / en bois lamellé préfabriqué en usine et collées sous pression avec de la colle appropriée / ***</w:t>
      </w:r>
      <w:r>
        <w:t>. </w:t>
      </w:r>
    </w:p>
    <w:p w14:paraId="3B733224" w14:textId="77777777" w:rsidR="004B2808" w:rsidRDefault="00000000">
      <w:pPr>
        <w:pStyle w:val="pheading"/>
      </w:pPr>
      <w:r>
        <w:t>EXÉCUTION / MISE EN ŒUVRE</w:t>
      </w:r>
    </w:p>
    <w:p w14:paraId="4D57603A" w14:textId="77777777" w:rsidR="004B2808" w:rsidRDefault="00000000">
      <w:pPr>
        <w:pStyle w:val="pheading"/>
      </w:pPr>
      <w:r>
        <w:t>- Prescriptions générales</w:t>
      </w:r>
    </w:p>
    <w:p w14:paraId="2C13600C" w14:textId="77777777" w:rsidR="004B2808" w:rsidRDefault="00000000">
      <w:r>
        <w:rPr>
          <w:b/>
          <w:sz w:val="24"/>
        </w:rPr>
        <w:t>Revêtements d'escalier</w:t>
      </w:r>
    </w:p>
    <w:p w14:paraId="7E587111" w14:textId="77777777" w:rsidR="004B2808" w:rsidRDefault="00000000">
      <w:r>
        <w:t>Les marches sont posées:</w:t>
      </w:r>
      <w:r>
        <w:br/>
        <w:t>Choix opéré :</w:t>
      </w:r>
      <w:r>
        <w:rPr>
          <w:rStyle w:val="optioncarChar"/>
          <w:b/>
        </w:rPr>
        <w:t>*** / OPTION 1 / OPTION 2</w:t>
      </w:r>
      <w:r>
        <w:rPr>
          <w:b/>
        </w:rPr>
        <w:t>  </w:t>
      </w:r>
    </w:p>
    <w:p w14:paraId="21F688AC" w14:textId="77777777" w:rsidR="004B2808" w:rsidRDefault="00000000">
      <w:r>
        <w:rPr>
          <w:b/>
        </w:rPr>
        <w:t xml:space="preserve">***OPTION 1 </w:t>
      </w:r>
      <w:r>
        <w:t xml:space="preserve">: comme revêtement sur les escaliers en béton. Des trous sont forés dans le béton afin de pouvoir y introduire des chevilles en matière synthétique. Les marches sont ainsi vissées et éventuellement mises de niveau à l'aide de cales. L'ensemble est mastiqué avec du </w:t>
      </w:r>
      <w:r>
        <w:rPr>
          <w:rStyle w:val="optioncarChar"/>
        </w:rPr>
        <w:t xml:space="preserve">*** </w:t>
      </w:r>
      <w:r>
        <w:t>.</w:t>
      </w:r>
      <w:r>
        <w:br/>
      </w:r>
      <w:r>
        <w:rPr>
          <w:b/>
        </w:rPr>
        <w:t>***OPTION 2</w:t>
      </w:r>
      <w:r>
        <w:t xml:space="preserve"> : comme marches autoportantes sur les structures d'escalier en acier. Les marches sont supportées par des accessoires en métal : </w:t>
      </w:r>
      <w:r>
        <w:rPr>
          <w:rStyle w:val="optioncarChar"/>
        </w:rPr>
        <w:t>brides de fixation</w:t>
      </w:r>
      <w:r>
        <w:t> (par défaut)</w:t>
      </w:r>
      <w:r>
        <w:rPr>
          <w:rStyle w:val="optioncarChar"/>
        </w:rPr>
        <w:t xml:space="preserve"> / consoles en fer plat / profils tubulaires / cornières / ***</w:t>
      </w:r>
    </w:p>
    <w:p w14:paraId="09E5ECC1" w14:textId="77777777" w:rsidR="004B2808" w:rsidRDefault="00000000">
      <w:r>
        <w:rPr>
          <w:b/>
          <w:sz w:val="24"/>
        </w:rPr>
        <w:t>Marches autoportantes</w:t>
      </w:r>
    </w:p>
    <w:p w14:paraId="54B8596A" w14:textId="77777777" w:rsidR="004B2808" w:rsidRDefault="00000000">
      <w:pPr>
        <w:pStyle w:val="Author-eListParagraph"/>
        <w:numPr>
          <w:ilvl w:val="0"/>
          <w:numId w:val="1441"/>
        </w:numPr>
      </w:pPr>
      <w:r>
        <w:t xml:space="preserve">Fixation des marches sur la structure portante : </w:t>
      </w:r>
    </w:p>
    <w:p w14:paraId="3F4B2547" w14:textId="77777777" w:rsidR="004B2808" w:rsidRDefault="00000000">
      <w:pPr>
        <w:pStyle w:val="Author-eListParagraph"/>
        <w:numPr>
          <w:ilvl w:val="1"/>
          <w:numId w:val="1442"/>
        </w:numPr>
      </w:pPr>
      <w:r>
        <w:t xml:space="preserve">Sur les structures portantes en aciers, les marches sont supportées par des accessoires en métal : </w:t>
      </w:r>
      <w:r>
        <w:rPr>
          <w:rStyle w:val="optioncarChar"/>
        </w:rPr>
        <w:t>brides de fixation</w:t>
      </w:r>
      <w:r>
        <w:t> (par défaut)</w:t>
      </w:r>
      <w:r>
        <w:rPr>
          <w:rStyle w:val="optioncarChar"/>
        </w:rPr>
        <w:t> / consoles en fers plats / profils tubulaires / consoles sur un profil en T / *** </w:t>
      </w:r>
    </w:p>
    <w:p w14:paraId="40E1F29A" w14:textId="77777777" w:rsidR="004B2808" w:rsidRDefault="00000000">
      <w:pPr>
        <w:pStyle w:val="Author-eListParagraph"/>
        <w:numPr>
          <w:ilvl w:val="1"/>
          <w:numId w:val="1442"/>
        </w:numPr>
      </w:pPr>
      <w:r>
        <w:t>A l'aide d'accessoires en bois ...</w:t>
      </w:r>
    </w:p>
    <w:p w14:paraId="3724E7AC" w14:textId="77777777" w:rsidR="004B2808" w:rsidRDefault="00000000">
      <w:pPr>
        <w:pStyle w:val="Author-eListParagraph"/>
        <w:numPr>
          <w:ilvl w:val="1"/>
          <w:numId w:val="1442"/>
        </w:numPr>
      </w:pPr>
      <w:r>
        <w:t>Dans les supports pierreux, des trous sont forés dans lesquels on insére des chevilles en matière synthétique, afin d'y visser les marches.</w:t>
      </w:r>
    </w:p>
    <w:p w14:paraId="1DD87047" w14:textId="77777777" w:rsidR="004B2808" w:rsidRDefault="00000000">
      <w:pPr>
        <w:pStyle w:val="Author-eListParagraph"/>
        <w:numPr>
          <w:ilvl w:val="0"/>
          <w:numId w:val="1441"/>
        </w:numPr>
      </w:pPr>
      <w:r>
        <w:t xml:space="preserve">Collage de certaines parties : </w:t>
      </w:r>
    </w:p>
    <w:p w14:paraId="13580F84" w14:textId="77777777" w:rsidR="004B2808" w:rsidRDefault="00000000">
      <w:pPr>
        <w:pStyle w:val="Author-eListParagraph"/>
        <w:numPr>
          <w:ilvl w:val="1"/>
          <w:numId w:val="1443"/>
        </w:numPr>
      </w:pPr>
      <w:r>
        <w:t>collage de structure portante : pour le collage des planches et des entures on utilise toujours une colle du type 1 (selon la norme [NBN EN 301]), à grande force d'adhésion et remplissant les fentes.</w:t>
      </w:r>
    </w:p>
    <w:p w14:paraId="3457E583" w14:textId="77777777" w:rsidR="004B2808" w:rsidRDefault="00000000">
      <w:pPr>
        <w:pStyle w:val="Author-eListParagraph"/>
        <w:numPr>
          <w:ilvl w:val="1"/>
          <w:numId w:val="1443"/>
        </w:numPr>
      </w:pPr>
      <w:r>
        <w:t>collage de certaines parties : à la colle du type 2 (selon la norme [NBN EN 301]).</w:t>
      </w:r>
    </w:p>
    <w:p w14:paraId="2B0CB306" w14:textId="77777777" w:rsidR="004B2808" w:rsidRDefault="00000000">
      <w:pPr>
        <w:pStyle w:val="Author-eListParagraph"/>
        <w:numPr>
          <w:ilvl w:val="0"/>
          <w:numId w:val="1441"/>
        </w:numPr>
      </w:pPr>
      <w:r>
        <w:t xml:space="preserve">Les mesures nécessaires sont prises afin d'éviter le craquement de l'escalier : </w:t>
      </w:r>
    </w:p>
    <w:p w14:paraId="213CBE41" w14:textId="77777777" w:rsidR="004B2808" w:rsidRDefault="00000000">
      <w:pPr>
        <w:pStyle w:val="Author-eListParagraph"/>
        <w:numPr>
          <w:ilvl w:val="1"/>
          <w:numId w:val="1444"/>
        </w:numPr>
      </w:pPr>
      <w:r>
        <w:t>Les contremarches et les marches sont serrées lors de la mise en œuvre.</w:t>
      </w:r>
    </w:p>
    <w:p w14:paraId="325B8B9F" w14:textId="77777777" w:rsidR="004B2808" w:rsidRDefault="00000000">
      <w:pPr>
        <w:pStyle w:val="Author-eListParagraph"/>
        <w:numPr>
          <w:ilvl w:val="1"/>
          <w:numId w:val="1444"/>
        </w:numPr>
      </w:pPr>
      <w:r>
        <w:lastRenderedPageBreak/>
        <w:t xml:space="preserve">Les contremarches sont rabotées en creux : </w:t>
      </w:r>
      <w:r>
        <w:rPr>
          <w:rStyle w:val="optioncarChar"/>
        </w:rPr>
        <w:t>3</w:t>
      </w:r>
      <w:r>
        <w:t> (par défaut)</w:t>
      </w:r>
      <w:r>
        <w:rPr>
          <w:rStyle w:val="optioncarChar"/>
        </w:rPr>
        <w:t> / ***</w:t>
      </w:r>
      <w:r>
        <w:t> mm en diminuant vers les angles.</w:t>
      </w:r>
    </w:p>
    <w:p w14:paraId="7D081B97" w14:textId="77777777" w:rsidR="004B2808" w:rsidRDefault="00000000">
      <w:pPr>
        <w:pStyle w:val="Author-eListParagraph"/>
        <w:numPr>
          <w:ilvl w:val="1"/>
          <w:numId w:val="1444"/>
        </w:numPr>
      </w:pPr>
      <w:r>
        <w:t xml:space="preserve">Derrière les contremarches entre deux marches successives, on place </w:t>
      </w:r>
      <w:r>
        <w:rPr>
          <w:rStyle w:val="optioncarChar"/>
        </w:rPr>
        <w:t>1</w:t>
      </w:r>
      <w:r>
        <w:t> (par défaut)</w:t>
      </w:r>
      <w:r>
        <w:rPr>
          <w:rStyle w:val="optioncarChar"/>
        </w:rPr>
        <w:t xml:space="preserve"> / 2 / ***</w:t>
      </w:r>
      <w:r>
        <w:t> lattes empêchant le craquement. </w:t>
      </w:r>
    </w:p>
    <w:p w14:paraId="3B175EFA" w14:textId="77777777" w:rsidR="004B2808" w:rsidRDefault="00000000">
      <w:pPr>
        <w:pStyle w:val="pheading"/>
      </w:pPr>
      <w:r>
        <w:t>- Notes d’exécution complémentaires</w:t>
      </w:r>
    </w:p>
    <w:p w14:paraId="0AA35EB0" w14:textId="77777777" w:rsidR="004B2808" w:rsidRDefault="00000000">
      <w:pPr>
        <w:pStyle w:val="heading"/>
      </w:pPr>
      <w:r>
        <w:t>Revêtements d'escalier</w:t>
      </w:r>
    </w:p>
    <w:p w14:paraId="38742C74" w14:textId="77777777" w:rsidR="004B2808" w:rsidRDefault="00000000">
      <w:r>
        <w:t>Lorsque les marches sont prévues avec des contremarches, il y a lieu de prendre les mesures qui s'imposent pour éviter que l'escalier ne 'craque' .</w:t>
      </w:r>
    </w:p>
    <w:p w14:paraId="5BDA1F8D" w14:textId="77777777" w:rsidR="004B2808" w:rsidRDefault="00000000">
      <w:pPr>
        <w:pStyle w:val="Author-eListParagraph"/>
        <w:numPr>
          <w:ilvl w:val="0"/>
          <w:numId w:val="1445"/>
        </w:numPr>
      </w:pPr>
      <w:r>
        <w:t xml:space="preserve">Les contremarches et les marches sont resserrées lors de la mise en œuvre. </w:t>
      </w:r>
    </w:p>
    <w:p w14:paraId="59F95404" w14:textId="77777777" w:rsidR="004B2808" w:rsidRDefault="00000000">
      <w:pPr>
        <w:pStyle w:val="Author-eListParagraph"/>
        <w:numPr>
          <w:ilvl w:val="0"/>
          <w:numId w:val="1445"/>
        </w:numPr>
      </w:pPr>
      <w:r>
        <w:t xml:space="preserve">Les contremarches sont rabotées convexes au centre : 3 mm en diminuant vers les angles. </w:t>
      </w:r>
    </w:p>
    <w:p w14:paraId="4D18F797" w14:textId="77777777" w:rsidR="004B2808" w:rsidRDefault="00000000">
      <w:pPr>
        <w:pStyle w:val="Author-eListParagraph"/>
        <w:numPr>
          <w:ilvl w:val="0"/>
          <w:numId w:val="1445"/>
        </w:numPr>
      </w:pPr>
      <w:r>
        <w:t xml:space="preserve">A l'arrière de la contremarche, entre deux marches successives, on pose 1 ou 2 lattes anticraquement. </w:t>
      </w:r>
    </w:p>
    <w:p w14:paraId="51DF4966" w14:textId="77777777" w:rsidR="004B2808" w:rsidRDefault="00000000">
      <w:pPr>
        <w:pStyle w:val="pheading"/>
      </w:pPr>
      <w:r>
        <w:t>MESURAGE</w:t>
      </w:r>
    </w:p>
    <w:p w14:paraId="7E0FBD52" w14:textId="77777777" w:rsidR="004B2808" w:rsidRDefault="00000000">
      <w:r>
        <w:t>Conformément aux indications spécifiques dans le cahier spécial des charges et/ou le métré récapitulatif, le mesurage doit être conçu comme suit :</w:t>
      </w:r>
    </w:p>
    <w:p w14:paraId="3CDEE8E0" w14:textId="77777777" w:rsidR="004B2808" w:rsidRDefault="00000000">
      <w:r>
        <w:rPr>
          <w:u w:val="single"/>
        </w:rPr>
        <w:t>Attention </w:t>
      </w:r>
      <w:r>
        <w:br/>
        <w:t>Le prix pour le revêtement des paliers concernés est toujours repris dans un poste séparé sous la rubrique concernée des carrelages, des revêtements de sol souples et/ou en bois.</w:t>
      </w:r>
    </w:p>
    <w:p w14:paraId="4E98BD67" w14:textId="77777777" w:rsidR="004B2808" w:rsidRDefault="00000000">
      <w:pPr>
        <w:pStyle w:val="pheading"/>
      </w:pPr>
      <w:r>
        <w:t>- unité de mesure:</w:t>
      </w:r>
    </w:p>
    <w:p w14:paraId="54A70510" w14:textId="77777777" w:rsidR="004B2808" w:rsidRDefault="00000000">
      <w:r>
        <w:rPr>
          <w:color w:val="FF0000"/>
        </w:rPr>
        <w:t xml:space="preserve">p </w:t>
      </w:r>
      <w:r>
        <w:t>(par défaut)</w:t>
      </w:r>
      <w:r>
        <w:rPr>
          <w:color w:val="FF0000"/>
        </w:rPr>
        <w:t xml:space="preserve"> / m² / ***</w:t>
      </w:r>
    </w:p>
    <w:p w14:paraId="267A1F31" w14:textId="77777777" w:rsidR="004B2808" w:rsidRDefault="00000000">
      <w:pPr>
        <w:pStyle w:val="pheading"/>
      </w:pPr>
      <w:r>
        <w:t>- code de mesurage:</w:t>
      </w:r>
    </w:p>
    <w:p w14:paraId="360B4F40" w14:textId="77777777" w:rsidR="004B2808" w:rsidRDefault="00000000">
      <w:r>
        <w:rPr>
          <w:color w:val="FF0000"/>
        </w:rPr>
        <w:t>Par marche, de même dimensions, épaisseur et type, éventuellement en fonction des marches droites et tournantes; y compris la contremarche, la marche palière, les plinthes, …</w:t>
      </w:r>
      <w:r>
        <w:t> (par défaut)</w:t>
      </w:r>
      <w:r>
        <w:rPr>
          <w:color w:val="FF0000"/>
        </w:rPr>
        <w:t xml:space="preserve"> / Ventilé par type, traitement de surface et épaisseur / *** .</w:t>
      </w:r>
    </w:p>
    <w:p w14:paraId="6AEC29C8" w14:textId="77777777" w:rsidR="004B2808" w:rsidRDefault="00000000">
      <w:pPr>
        <w:pStyle w:val="pheading"/>
      </w:pPr>
      <w:r>
        <w:t>- nature du marché:</w:t>
      </w:r>
    </w:p>
    <w:p w14:paraId="010BCE34" w14:textId="77777777" w:rsidR="004B2808" w:rsidRDefault="00000000">
      <w:r>
        <w:t>QF</w:t>
      </w:r>
    </w:p>
    <w:p w14:paraId="3CF24DC6" w14:textId="77777777" w:rsidR="004B2808" w:rsidRDefault="00000000">
      <w:pPr>
        <w:pStyle w:val="Author-eSectionHeading5Numberless"/>
      </w:pPr>
      <w:bookmarkStart w:id="1566" w:name="_Toc220491660"/>
      <w:r>
        <w:t>57.22.4 Marches / Contremarches métallique CCTB 01.02</w:t>
      </w:r>
      <w:bookmarkEnd w:id="1566"/>
    </w:p>
    <w:p w14:paraId="369E7734" w14:textId="77777777" w:rsidR="004B2808" w:rsidRDefault="00000000">
      <w:pPr>
        <w:pStyle w:val="Author-eSectionHeading6Numberless"/>
      </w:pPr>
      <w:bookmarkStart w:id="1567" w:name="_Toc220491661"/>
      <w:r>
        <w:t>57.22.4a Marches / Contremarches métalliques - en acier CCTB 01.02</w:t>
      </w:r>
      <w:bookmarkEnd w:id="1567"/>
    </w:p>
    <w:p w14:paraId="784FD5C3" w14:textId="77777777" w:rsidR="004B2808" w:rsidRDefault="00000000">
      <w:pPr>
        <w:pStyle w:val="Author-eSectionHeading6Numberless"/>
      </w:pPr>
      <w:bookmarkStart w:id="1568" w:name="_Toc220491662"/>
      <w:r>
        <w:t>57.22.4b Marches / Contremarches métalliques - en acier inoxydable CCTB 01.02</w:t>
      </w:r>
      <w:bookmarkEnd w:id="1568"/>
    </w:p>
    <w:p w14:paraId="29C88BCF" w14:textId="77777777" w:rsidR="004B2808" w:rsidRDefault="00000000">
      <w:pPr>
        <w:pStyle w:val="Author-eSectionHeading6Numberless"/>
      </w:pPr>
      <w:bookmarkStart w:id="1569" w:name="_Toc220491663"/>
      <w:r>
        <w:t>57.22.4c Marches / Contremarches métalliques - en aluminium CCTB 01.02</w:t>
      </w:r>
      <w:bookmarkEnd w:id="1569"/>
    </w:p>
    <w:p w14:paraId="0DA84251" w14:textId="77777777" w:rsidR="004B2808" w:rsidRDefault="00000000">
      <w:pPr>
        <w:pStyle w:val="Author-eSectionHeading5Numberless"/>
      </w:pPr>
      <w:bookmarkStart w:id="1570" w:name="_Toc220491664"/>
      <w:r>
        <w:t>57.22.5 Marches / Contremarches en céramiques CCTB 01.02</w:t>
      </w:r>
      <w:bookmarkEnd w:id="1570"/>
    </w:p>
    <w:p w14:paraId="0B04E729" w14:textId="77777777" w:rsidR="004B2808" w:rsidRDefault="00000000">
      <w:pPr>
        <w:pStyle w:val="Author-eSectionHeading6Numberless"/>
      </w:pPr>
      <w:bookmarkStart w:id="1571" w:name="_Toc220491665"/>
      <w:r>
        <w:t>57.22.5a Marches / Contremarches en céramiques CCTB 01.10</w:t>
      </w:r>
      <w:bookmarkEnd w:id="1571"/>
    </w:p>
    <w:p w14:paraId="5624B92E" w14:textId="77777777" w:rsidR="004B2808" w:rsidRDefault="00000000">
      <w:pPr>
        <w:pStyle w:val="pheading"/>
      </w:pPr>
      <w:r>
        <w:t>MATÉRIAUX</w:t>
      </w:r>
    </w:p>
    <w:p w14:paraId="59E0F6C5" w14:textId="77777777" w:rsidR="004B2808" w:rsidRDefault="00000000">
      <w:pPr>
        <w:pStyle w:val="pheading"/>
      </w:pPr>
      <w:r>
        <w:t>- Caractéristiques générales</w:t>
      </w:r>
    </w:p>
    <w:p w14:paraId="2667D456" w14:textId="77777777" w:rsidR="004B2808" w:rsidRDefault="00000000">
      <w:r>
        <w:t>Les marches d'escaliers, les contremarches et les plinthes sont revêtues de carreaux céramiques, pourvus de nez arrondis (non saillants - PMR) et d'une bande antidérapante (PMR) intégrée dans les carreaux.</w:t>
      </w:r>
      <w:r>
        <w:br/>
        <w:t xml:space="preserve">Les carreaux sont </w:t>
      </w:r>
      <w:r>
        <w:rPr>
          <w:rStyle w:val="optioncarChar"/>
        </w:rPr>
        <w:t>de la même nature et du même coloris que les revêtements de sol attenants</w:t>
      </w:r>
      <w:r>
        <w:t> (par défaut)</w:t>
      </w:r>
      <w:r>
        <w:rPr>
          <w:rStyle w:val="optioncarChar"/>
        </w:rPr>
        <w:t> / *** </w:t>
      </w:r>
      <w:r>
        <w:t xml:space="preserve">, selon la description de l'article </w:t>
      </w:r>
      <w:hyperlink w:anchor="1395" w:history="1">
        <w:r w:rsidR="004B2808">
          <w:rPr>
            <w:color w:val="0000EE"/>
          </w:rPr>
          <w:t>53.51 Revêtements de sols en carreaux de céramique</w:t>
        </w:r>
      </w:hyperlink>
      <w:r>
        <w:t>. Ils sont livrés par le même fabricant.</w:t>
      </w:r>
    </w:p>
    <w:p w14:paraId="7849A8E0" w14:textId="77777777" w:rsidR="004B2808" w:rsidRDefault="00000000">
      <w:r>
        <w:t>Sur les nez de marches, les marches sont pourvues de :  </w:t>
      </w:r>
      <w:r>
        <w:rPr>
          <w:rStyle w:val="optioncarChar"/>
        </w:rPr>
        <w:t xml:space="preserve">indicateurs visuels (PMR) (voir recommandations de l'article </w:t>
      </w:r>
      <w:hyperlink w:anchor="1393" w:history="1">
        <w:r w:rsidR="004B2808">
          <w:rPr>
            <w:rStyle w:val="optioncarChar"/>
            <w:color w:val="0000EE"/>
          </w:rPr>
          <w:t>57.22 Marches / Contremarches</w:t>
        </w:r>
      </w:hyperlink>
      <w:r>
        <w:rPr>
          <w:rStyle w:val="optioncarChar"/>
        </w:rPr>
        <w:t>)</w:t>
      </w:r>
      <w:r>
        <w:t> (par défaut)</w:t>
      </w:r>
      <w:r>
        <w:rPr>
          <w:rStyle w:val="optioncarChar"/>
        </w:rPr>
        <w:t> / ***</w:t>
      </w:r>
    </w:p>
    <w:p w14:paraId="3CE09E13" w14:textId="77777777" w:rsidR="004B2808" w:rsidRDefault="00000000">
      <w:pPr>
        <w:pStyle w:val="heading"/>
      </w:pPr>
      <w:r>
        <w:lastRenderedPageBreak/>
        <w:t>Spécifications</w:t>
      </w:r>
    </w:p>
    <w:p w14:paraId="101D0CC2" w14:textId="77777777" w:rsidR="004B2808" w:rsidRDefault="00000000">
      <w:pPr>
        <w:pStyle w:val="Author-eListParagraph"/>
        <w:numPr>
          <w:ilvl w:val="0"/>
          <w:numId w:val="1446"/>
        </w:numPr>
      </w:pPr>
      <w:r>
        <w:t xml:space="preserve">Epaisseur des marches : minimum </w:t>
      </w:r>
      <w:r>
        <w:rPr>
          <w:rStyle w:val="optioncarChar"/>
        </w:rPr>
        <w:t>8 </w:t>
      </w:r>
      <w:r>
        <w:t>(par défaut)</w:t>
      </w:r>
      <w:r>
        <w:rPr>
          <w:rStyle w:val="optioncarChar"/>
        </w:rPr>
        <w:t> / ***</w:t>
      </w:r>
      <w:r>
        <w:t>  mm</w:t>
      </w:r>
    </w:p>
    <w:p w14:paraId="457F1763" w14:textId="77777777" w:rsidR="004B2808" w:rsidRDefault="00000000">
      <w:pPr>
        <w:pStyle w:val="Author-eListParagraph"/>
        <w:numPr>
          <w:ilvl w:val="0"/>
          <w:numId w:val="1446"/>
        </w:numPr>
      </w:pPr>
      <w:r>
        <w:t xml:space="preserve">Epaisseur des contremarches et des plinthes : minimum </w:t>
      </w:r>
      <w:r>
        <w:rPr>
          <w:rStyle w:val="optioncarChar"/>
        </w:rPr>
        <w:t>8</w:t>
      </w:r>
      <w:r>
        <w:t> (par défaut) </w:t>
      </w:r>
      <w:r>
        <w:rPr>
          <w:rStyle w:val="optioncarChar"/>
        </w:rPr>
        <w:t>/ *** </w:t>
      </w:r>
      <w:r>
        <w:t>   mm.</w:t>
      </w:r>
    </w:p>
    <w:p w14:paraId="37B1118C" w14:textId="77777777" w:rsidR="004B2808" w:rsidRDefault="00000000">
      <w:pPr>
        <w:pStyle w:val="Author-eListParagraph"/>
        <w:numPr>
          <w:ilvl w:val="0"/>
          <w:numId w:val="1446"/>
        </w:numPr>
      </w:pPr>
      <w:r>
        <w:t xml:space="preserve">Modèle de plinthe : </w:t>
      </w:r>
      <w:r>
        <w:rPr>
          <w:rStyle w:val="optioncarChar"/>
        </w:rPr>
        <w:t>parallèle à la pente de l'escalier</w:t>
      </w:r>
      <w:r>
        <w:t> (par défaut)</w:t>
      </w:r>
      <w:r>
        <w:rPr>
          <w:rStyle w:val="optioncarChar"/>
        </w:rPr>
        <w:t xml:space="preserve"> / en gradins / ***</w:t>
      </w:r>
      <w:r>
        <w:t xml:space="preserve"> (selon les [STS 45 série] .30.6 - fig. 7a)</w:t>
      </w:r>
    </w:p>
    <w:p w14:paraId="1EFB06DF" w14:textId="77777777" w:rsidR="004B2808" w:rsidRDefault="00000000">
      <w:pPr>
        <w:pStyle w:val="Author-eListParagraph"/>
        <w:numPr>
          <w:ilvl w:val="0"/>
          <w:numId w:val="1446"/>
        </w:numPr>
      </w:pPr>
      <w:r>
        <w:t xml:space="preserve">Selon la Décision de la Commission du 4 octobre 1996 (96/603/CE) et les conditions qui y sont reprises , la céramique appartient à la classe de réaction au feu A1 </w:t>
      </w:r>
      <w:r>
        <w:rPr>
          <w:vertAlign w:val="subscript"/>
        </w:rPr>
        <w:t xml:space="preserve">FL </w:t>
      </w:r>
      <w:r>
        <w:t>.</w:t>
      </w:r>
    </w:p>
    <w:p w14:paraId="1F4358C7" w14:textId="77777777" w:rsidR="004B2808" w:rsidRDefault="00000000">
      <w:pPr>
        <w:pStyle w:val="Author-eListParagraph"/>
        <w:numPr>
          <w:ilvl w:val="0"/>
          <w:numId w:val="1446"/>
        </w:numPr>
      </w:pPr>
      <w:r>
        <w:t>La pose et les carreaux céramiques sont conformes à la [NIT 237]. </w:t>
      </w:r>
    </w:p>
    <w:p w14:paraId="75B193DF" w14:textId="77777777" w:rsidR="004B2808" w:rsidRDefault="00000000">
      <w:pPr>
        <w:pStyle w:val="pheading"/>
      </w:pPr>
      <w:r>
        <w:t>MESURAGE</w:t>
      </w:r>
    </w:p>
    <w:p w14:paraId="3882BA17" w14:textId="77777777" w:rsidR="004B2808" w:rsidRDefault="00000000">
      <w:r>
        <w:t>Conformément aux indications spécifiques dans le cahier spécial des charges et/ou le métré récapitulatif, le mesurage doit être conçu comme suit :</w:t>
      </w:r>
    </w:p>
    <w:p w14:paraId="0A29C360" w14:textId="77777777" w:rsidR="004B2808" w:rsidRDefault="00000000">
      <w:r>
        <w:rPr>
          <w:u w:val="single"/>
        </w:rPr>
        <w:t>Attention</w:t>
      </w:r>
      <w:r>
        <w:t> </w:t>
      </w:r>
      <w:r>
        <w:br/>
        <w:t>Le prix pour le revêtement des paliers concernés est toujours repris dans un poste séparé sous la rubrique concernée des carrelages, des revêtements de sol souples et/ou en bois.</w:t>
      </w:r>
    </w:p>
    <w:p w14:paraId="7F38E422" w14:textId="77777777" w:rsidR="004B2808" w:rsidRDefault="00000000">
      <w:pPr>
        <w:pStyle w:val="pheading"/>
      </w:pPr>
      <w:r>
        <w:t>- unité de mesure:</w:t>
      </w:r>
    </w:p>
    <w:p w14:paraId="4494D746" w14:textId="77777777" w:rsidR="004B2808" w:rsidRDefault="00000000">
      <w:pPr>
        <w:pStyle w:val="soit"/>
        <w:numPr>
          <w:ilvl w:val="0"/>
          <w:numId w:val="1447"/>
        </w:numPr>
      </w:pPr>
      <w:r>
        <w:rPr>
          <w:rStyle w:val="optioncarChar"/>
        </w:rPr>
        <w:t>*** / (par défaut) p / m²  </w:t>
      </w:r>
    </w:p>
    <w:p w14:paraId="1D137A10" w14:textId="77777777" w:rsidR="004B2808" w:rsidRDefault="00000000">
      <w:pPr>
        <w:pStyle w:val="pheading"/>
      </w:pPr>
      <w:r>
        <w:t>- code de mesurage:</w:t>
      </w:r>
    </w:p>
    <w:p w14:paraId="0F3E854B" w14:textId="77777777" w:rsidR="004B2808" w:rsidRDefault="00000000">
      <w:r>
        <w:rPr>
          <w:rStyle w:val="optioncarChar"/>
        </w:rPr>
        <w:t>*** / (par défaut) Par marche, de même dimensions, épaisseur et type, éventuellement en fonction des marches droites et tournantes; y compris la contremarche, la marche palière, les plinthes, … /  Ventilé par type, traitement de surface et épaisseur.</w:t>
      </w:r>
    </w:p>
    <w:p w14:paraId="6C8C3AAD" w14:textId="77777777" w:rsidR="004B2808" w:rsidRDefault="00000000">
      <w:pPr>
        <w:pStyle w:val="pheading"/>
      </w:pPr>
      <w:r>
        <w:t>- nature du marché:</w:t>
      </w:r>
    </w:p>
    <w:p w14:paraId="5AB3F409" w14:textId="77777777" w:rsidR="004B2808" w:rsidRDefault="00000000">
      <w:r>
        <w:t>QF</w:t>
      </w:r>
    </w:p>
    <w:p w14:paraId="44A5DA68" w14:textId="77777777" w:rsidR="004B2808" w:rsidRDefault="00000000">
      <w:pPr>
        <w:pStyle w:val="Author-eSectionHeading5Numberless"/>
      </w:pPr>
      <w:bookmarkStart w:id="1572" w:name="_Toc220491666"/>
      <w:r>
        <w:t>57.22.6 Marches / Contremarches en matériaux synthétiques CCTB 01.02</w:t>
      </w:r>
      <w:bookmarkEnd w:id="1572"/>
    </w:p>
    <w:p w14:paraId="29B89928" w14:textId="77777777" w:rsidR="004B2808" w:rsidRDefault="00000000">
      <w:pPr>
        <w:pStyle w:val="Author-eSectionHeading6Numberless"/>
      </w:pPr>
      <w:bookmarkStart w:id="1573" w:name="_Toc220491667"/>
      <w:r>
        <w:t>57.22.6a Marches / Contremarches en matériaux synthétiques CCTB 01.10</w:t>
      </w:r>
      <w:bookmarkEnd w:id="1573"/>
    </w:p>
    <w:p w14:paraId="29D8510D" w14:textId="77777777" w:rsidR="004B2808" w:rsidRDefault="00000000">
      <w:pPr>
        <w:pStyle w:val="pheading"/>
      </w:pPr>
      <w:r>
        <w:t>MATÉRIAUX</w:t>
      </w:r>
    </w:p>
    <w:p w14:paraId="6AAA1811" w14:textId="77777777" w:rsidR="004B2808" w:rsidRDefault="00000000">
      <w:pPr>
        <w:pStyle w:val="pheading"/>
      </w:pPr>
      <w:r>
        <w:t>- Caractéristiques générales</w:t>
      </w:r>
    </w:p>
    <w:p w14:paraId="1A6A34CC" w14:textId="77777777" w:rsidR="004B2808" w:rsidRDefault="00000000">
      <w:pPr>
        <w:spacing w:before="0" w:after="0"/>
      </w:pPr>
      <w:r>
        <w:rPr>
          <w:b/>
        </w:rPr>
        <w:t>Caoutchouc</w:t>
      </w:r>
    </w:p>
    <w:p w14:paraId="777829CF" w14:textId="77777777" w:rsidR="004B2808" w:rsidRDefault="00000000">
      <w:r>
        <w:t>Il s'agit de revêtements d'escaliers préfabriqués sur mesure, en bandes d'un seul tenant, fabriqués en caoutchouc de première qualité, exempt de PVC, de plastifiants, de formaldéhyde, d’asbeste, de cadmium, d’halogènes et de CFK.</w:t>
      </w:r>
    </w:p>
    <w:p w14:paraId="57E8D0C6" w14:textId="77777777" w:rsidR="004B2808" w:rsidRDefault="00000000">
      <w:r>
        <w:t>Le revêtement d'escalier prévoit des marches et contremarches avec un nez antidérapant (PMR) </w:t>
      </w:r>
      <w:r>
        <w:rPr>
          <w:rStyle w:val="optioncarChar"/>
        </w:rPr>
        <w:t>profilé </w:t>
      </w:r>
      <w:r>
        <w:t>(par défaut)</w:t>
      </w:r>
      <w:r>
        <w:rPr>
          <w:rStyle w:val="optioncarChar"/>
        </w:rPr>
        <w:t> / *** </w:t>
      </w:r>
      <w:r>
        <w:t> .</w:t>
      </w:r>
    </w:p>
    <w:p w14:paraId="199E2F66" w14:textId="77777777" w:rsidR="004B2808" w:rsidRDefault="00000000">
      <w:r>
        <w:t>Sur les nez de marches, le revêtement d’escalier est pourvu de :</w:t>
      </w:r>
      <w:r>
        <w:rPr>
          <w:rStyle w:val="optioncarChar"/>
        </w:rPr>
        <w:t xml:space="preserve"> indicateurs visuels (PMR) (voir recommandations du sous-titre </w:t>
      </w:r>
      <w:hyperlink w:anchor="1393" w:history="1">
        <w:r w:rsidR="004B2808">
          <w:rPr>
            <w:rStyle w:val="optioncarChar"/>
            <w:color w:val="0000EE"/>
          </w:rPr>
          <w:t>57.22 Marches / Contremarches</w:t>
        </w:r>
      </w:hyperlink>
      <w:r>
        <w:rPr>
          <w:rStyle w:val="optioncarChar"/>
        </w:rPr>
        <w:t>) </w:t>
      </w:r>
      <w:r>
        <w:t>(par défaut)</w:t>
      </w:r>
      <w:r>
        <w:rPr>
          <w:rStyle w:val="optioncarChar"/>
        </w:rPr>
        <w:t> / *** </w:t>
      </w:r>
      <w:r>
        <w:t>.</w:t>
      </w:r>
    </w:p>
    <w:p w14:paraId="648D0C02" w14:textId="77777777" w:rsidR="004B2808" w:rsidRDefault="00000000">
      <w:r>
        <w:t>Avant la livraison, un échantillon est soumis à l'approbation de la direction du chantier.</w:t>
      </w:r>
    </w:p>
    <w:p w14:paraId="12128C29" w14:textId="77777777" w:rsidR="004B2808" w:rsidRDefault="00000000">
      <w:pPr>
        <w:pStyle w:val="heading"/>
      </w:pPr>
      <w:r>
        <w:t>Spécifications</w:t>
      </w:r>
    </w:p>
    <w:p w14:paraId="6C97B5CB" w14:textId="77777777" w:rsidR="004B2808" w:rsidRDefault="00000000">
      <w:pPr>
        <w:pStyle w:val="Author-eListParagraph"/>
        <w:numPr>
          <w:ilvl w:val="0"/>
          <w:numId w:val="1448"/>
        </w:numPr>
      </w:pPr>
      <w:r>
        <w:t xml:space="preserve">Epaisseur totale: minimum </w:t>
      </w:r>
      <w:r>
        <w:rPr>
          <w:rStyle w:val="optioncarChar"/>
        </w:rPr>
        <w:t>4 </w:t>
      </w:r>
      <w:r>
        <w:t>(par défaut)</w:t>
      </w:r>
      <w:r>
        <w:rPr>
          <w:rStyle w:val="optioncarChar"/>
        </w:rPr>
        <w:t xml:space="preserve"> / 4,5 / 5 / *** </w:t>
      </w:r>
      <w:r>
        <w:t>mm </w:t>
      </w:r>
    </w:p>
    <w:p w14:paraId="13260FBB" w14:textId="77777777" w:rsidR="004B2808" w:rsidRDefault="00000000">
      <w:pPr>
        <w:pStyle w:val="Author-eListParagraph"/>
        <w:numPr>
          <w:ilvl w:val="0"/>
          <w:numId w:val="1448"/>
        </w:numPr>
      </w:pPr>
      <w:r>
        <w:t>Structure de la surface :</w:t>
      </w:r>
      <w:r>
        <w:rPr>
          <w:rStyle w:val="optioncarChar"/>
        </w:rPr>
        <w:t> antidérapante (PMR)</w:t>
      </w:r>
      <w:r>
        <w:t> (par défaut)</w:t>
      </w:r>
      <w:r>
        <w:rPr>
          <w:rStyle w:val="optioncarChar"/>
        </w:rPr>
        <w:t> / lisse / pastilles coniques (environ 0,5 / *** mm) / martelée / ***</w:t>
      </w:r>
    </w:p>
    <w:p w14:paraId="36362A76" w14:textId="77777777" w:rsidR="004B2808" w:rsidRDefault="00000000">
      <w:pPr>
        <w:pStyle w:val="Author-eListParagraph"/>
        <w:numPr>
          <w:ilvl w:val="0"/>
          <w:numId w:val="1448"/>
        </w:numPr>
      </w:pPr>
      <w:r>
        <w:t xml:space="preserve">Dureté : minimum </w:t>
      </w:r>
      <w:r>
        <w:rPr>
          <w:rStyle w:val="optioncarChar"/>
        </w:rPr>
        <w:t>85 </w:t>
      </w:r>
      <w:r>
        <w:t>(par défaut)</w:t>
      </w:r>
      <w:r>
        <w:rPr>
          <w:rStyle w:val="optioncarChar"/>
        </w:rPr>
        <w:t xml:space="preserve"> / 90 / *** </w:t>
      </w:r>
      <w:r>
        <w:t>Shore A (selon l'[ISO 7619 série] )</w:t>
      </w:r>
    </w:p>
    <w:p w14:paraId="5707CD2E" w14:textId="77777777" w:rsidR="004B2808" w:rsidRDefault="00000000">
      <w:pPr>
        <w:pStyle w:val="Author-eListParagraph"/>
        <w:numPr>
          <w:ilvl w:val="0"/>
          <w:numId w:val="1448"/>
        </w:numPr>
      </w:pPr>
      <w:r>
        <w:t xml:space="preserve">Empreinte : maximum </w:t>
      </w:r>
      <w:r>
        <w:rPr>
          <w:rStyle w:val="optioncarChar"/>
        </w:rPr>
        <w:t>0,20 </w:t>
      </w:r>
      <w:r>
        <w:t>(par défaut)</w:t>
      </w:r>
      <w:r>
        <w:rPr>
          <w:rStyle w:val="optioncarChar"/>
        </w:rPr>
        <w:t> / ***   </w:t>
      </w:r>
      <w:r>
        <w:t>mm </w:t>
      </w:r>
    </w:p>
    <w:p w14:paraId="61572F28" w14:textId="77777777" w:rsidR="004B2808" w:rsidRDefault="00000000">
      <w:pPr>
        <w:pStyle w:val="Author-eListParagraph"/>
        <w:numPr>
          <w:ilvl w:val="0"/>
          <w:numId w:val="1448"/>
        </w:numPr>
      </w:pPr>
      <w:r>
        <w:t xml:space="preserve">Chargement électrostatique au foulage : maximum </w:t>
      </w:r>
      <w:r>
        <w:rPr>
          <w:rStyle w:val="optioncarChar"/>
        </w:rPr>
        <w:t> 2</w:t>
      </w:r>
      <w:r>
        <w:t> (par défaut)</w:t>
      </w:r>
      <w:r>
        <w:rPr>
          <w:rStyle w:val="optioncarChar"/>
        </w:rPr>
        <w:t> / *** </w:t>
      </w:r>
      <w:r>
        <w:t>  Kv (selon la norme [NBN EN 1815] )</w:t>
      </w:r>
    </w:p>
    <w:p w14:paraId="68B8FC60" w14:textId="77777777" w:rsidR="004B2808" w:rsidRDefault="00000000">
      <w:pPr>
        <w:pStyle w:val="Author-eListParagraph"/>
        <w:numPr>
          <w:ilvl w:val="0"/>
          <w:numId w:val="1448"/>
        </w:numPr>
      </w:pPr>
      <w:r>
        <w:lastRenderedPageBreak/>
        <w:t>Motif :</w:t>
      </w:r>
      <w:r>
        <w:rPr>
          <w:rStyle w:val="optioncarChar"/>
        </w:rPr>
        <w:t> uni </w:t>
      </w:r>
      <w:r>
        <w:t>(par défaut)</w:t>
      </w:r>
      <w:r>
        <w:rPr>
          <w:rStyle w:val="optioncarChar"/>
        </w:rPr>
        <w:t> / tacheté /  à choisir dans la gamme du fabricant / *** </w:t>
      </w:r>
      <w:r>
        <w:t xml:space="preserve">(minimum </w:t>
      </w:r>
      <w:r>
        <w:rPr>
          <w:rStyle w:val="optioncarChar"/>
        </w:rPr>
        <w:t>*** / 3</w:t>
      </w:r>
      <w:r>
        <w:t> motifs)</w:t>
      </w:r>
    </w:p>
    <w:p w14:paraId="1BB6EFD4" w14:textId="77777777" w:rsidR="004B2808" w:rsidRDefault="00000000">
      <w:pPr>
        <w:pStyle w:val="Author-eListParagraph"/>
        <w:numPr>
          <w:ilvl w:val="0"/>
          <w:numId w:val="1448"/>
        </w:numPr>
      </w:pPr>
      <w:r>
        <w:t xml:space="preserve">Coloris : à choisir dans la gamme standard du fabricant (minimum </w:t>
      </w:r>
      <w:r>
        <w:rPr>
          <w:rStyle w:val="optioncarChar"/>
        </w:rPr>
        <w:t>5 </w:t>
      </w:r>
      <w:r>
        <w:t>(par défaut)</w:t>
      </w:r>
      <w:r>
        <w:rPr>
          <w:rStyle w:val="optioncarChar"/>
        </w:rPr>
        <w:t> / *** </w:t>
      </w:r>
      <w:r>
        <w:t> nuances de coloris)</w:t>
      </w:r>
    </w:p>
    <w:p w14:paraId="541B62A5" w14:textId="77777777" w:rsidR="004B2808" w:rsidRDefault="00000000">
      <w:pPr>
        <w:pStyle w:val="Author-eListParagraph"/>
        <w:numPr>
          <w:ilvl w:val="0"/>
          <w:numId w:val="1448"/>
        </w:numPr>
      </w:pPr>
      <w:r>
        <w:t xml:space="preserve">Réaction au feu du revêtement : classe </w:t>
      </w:r>
      <w:r>
        <w:rPr>
          <w:rStyle w:val="optioncarChar"/>
        </w:rPr>
        <w:t xml:space="preserve">A1 </w:t>
      </w:r>
      <w:r>
        <w:rPr>
          <w:rStyle w:val="optioncarChar"/>
          <w:vertAlign w:val="subscript"/>
        </w:rPr>
        <w:t>FL</w:t>
      </w:r>
      <w:r>
        <w:t> (par défaut)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rPr>
          <w:rStyle w:val="optioncarChar"/>
        </w:rPr>
        <w:t xml:space="preserve">/ E </w:t>
      </w:r>
      <w:r>
        <w:rPr>
          <w:rStyle w:val="optioncarChar"/>
          <w:vertAlign w:val="subscript"/>
        </w:rPr>
        <w:t>FL</w:t>
      </w:r>
      <w:r>
        <w:t>  / *** selon la [NBN EN 13501-1].</w:t>
      </w:r>
    </w:p>
    <w:p w14:paraId="39A42A7C" w14:textId="77777777" w:rsidR="004B2808" w:rsidRDefault="00000000">
      <w:pPr>
        <w:pStyle w:val="pheading"/>
      </w:pPr>
      <w:r>
        <w:t>EXÉCUTION / MISE EN ŒUVRE</w:t>
      </w:r>
    </w:p>
    <w:p w14:paraId="69FEA904" w14:textId="77777777" w:rsidR="004B2808" w:rsidRDefault="00000000">
      <w:pPr>
        <w:pStyle w:val="pheading"/>
      </w:pPr>
      <w:r>
        <w:t>- Prescriptions générales</w:t>
      </w:r>
    </w:p>
    <w:p w14:paraId="69A6F3B7" w14:textId="77777777" w:rsidR="004B2808" w:rsidRDefault="00000000">
      <w:r>
        <w:t xml:space="preserve">La mise en œuvre des revêtements d'escalier souples s'effectue conformément aux directives de la [NIT 165] et de l'article </w:t>
      </w:r>
      <w:hyperlink w:anchor="1286" w:history="1">
        <w:r w:rsidR="004B2808">
          <w:rPr>
            <w:color w:val="0000EE"/>
          </w:rPr>
          <w:t>53.55 Revêtements de sols souples</w:t>
        </w:r>
      </w:hyperlink>
      <w:r>
        <w:t>, complétées par les recommandations du fabricant. La mise en œuvre comprend l'égalisation et l'application </w:t>
      </w:r>
      <w:r>
        <w:rPr>
          <w:rStyle w:val="optioncarChar"/>
        </w:rPr>
        <w:t>d'un produit de surfaçage </w:t>
      </w:r>
      <w:r>
        <w:t xml:space="preserve">(par défaut) </w:t>
      </w:r>
      <w:r>
        <w:rPr>
          <w:rStyle w:val="optioncarChar"/>
        </w:rPr>
        <w:t>/ d'une sous-couche d'adhérence / d'une sous-couche d'isolation / *** ;</w:t>
      </w:r>
    </w:p>
    <w:p w14:paraId="44E09796" w14:textId="77777777" w:rsidR="004B2808" w:rsidRDefault="00000000">
      <w:r>
        <w:rPr>
          <w:b/>
          <w:sz w:val="24"/>
        </w:rPr>
        <w:t>Caoutchouc</w:t>
      </w:r>
    </w:p>
    <w:p w14:paraId="772422BD" w14:textId="77777777" w:rsidR="004B2808" w:rsidRDefault="00000000">
      <w:r>
        <w:t>La mise en œuvre comprend entre autres les opérations suivantes :</w:t>
      </w:r>
    </w:p>
    <w:p w14:paraId="4055B747" w14:textId="77777777" w:rsidR="004B2808" w:rsidRDefault="00000000">
      <w:pPr>
        <w:pStyle w:val="Author-eListParagraph"/>
        <w:numPr>
          <w:ilvl w:val="0"/>
          <w:numId w:val="1449"/>
        </w:numPr>
      </w:pPr>
      <w:r>
        <w:t>La disposition et le collage hydrofuge des lés sur toute leur surface avec la colle recommandée par le fabricant (</w:t>
      </w:r>
      <w:r>
        <w:rPr>
          <w:rStyle w:val="optioncarChar"/>
        </w:rPr>
        <w:t>sur une face, avec de la colle en dispersion ou PUR</w:t>
      </w:r>
      <w:r>
        <w:t> (par défaut)</w:t>
      </w:r>
      <w:r>
        <w:rPr>
          <w:rStyle w:val="optioncarChar"/>
        </w:rPr>
        <w:t xml:space="preserve"> / sur les deux faces, avec une colle au néoprène / *** </w:t>
      </w:r>
      <w:r>
        <w:t>).</w:t>
      </w:r>
    </w:p>
    <w:p w14:paraId="3364FA22" w14:textId="77777777" w:rsidR="004B2808" w:rsidRDefault="00000000">
      <w:pPr>
        <w:pStyle w:val="Author-eListParagraph"/>
        <w:numPr>
          <w:ilvl w:val="0"/>
          <w:numId w:val="1449"/>
        </w:numPr>
      </w:pPr>
      <w:r>
        <w:t>Après la mise en œuvre, le revêtement est débarrassé de tous décombres et déchets de découpe.</w:t>
      </w:r>
    </w:p>
    <w:p w14:paraId="43DCADF0" w14:textId="77777777" w:rsidR="004B2808" w:rsidRDefault="00000000">
      <w:pPr>
        <w:pStyle w:val="Author-eListParagraph"/>
        <w:numPr>
          <w:ilvl w:val="0"/>
          <w:numId w:val="1449"/>
        </w:numPr>
      </w:pPr>
      <w:r>
        <w:t>Le revêtement en caoutchouc ne peut être foulé qu'après 72 heures.</w:t>
      </w:r>
    </w:p>
    <w:p w14:paraId="0409A3E3" w14:textId="77777777" w:rsidR="004B2808" w:rsidRDefault="00000000">
      <w:pPr>
        <w:pStyle w:val="pheading"/>
      </w:pPr>
      <w:r>
        <w:t>- Notes d’exécution complémentaires</w:t>
      </w:r>
    </w:p>
    <w:p w14:paraId="00E0EAD3" w14:textId="77777777" w:rsidR="004B2808" w:rsidRDefault="00000000">
      <w:pPr>
        <w:pStyle w:val="heading"/>
      </w:pPr>
      <w:r>
        <w:t>Caoutchouc</w:t>
      </w:r>
    </w:p>
    <w:p w14:paraId="4F9D4C56" w14:textId="77777777" w:rsidR="004B2808" w:rsidRDefault="00000000">
      <w:pPr>
        <w:pStyle w:val="Author-eListParagraph"/>
        <w:numPr>
          <w:ilvl w:val="0"/>
          <w:numId w:val="1450"/>
        </w:numPr>
      </w:pPr>
      <w:r>
        <w:t>Le découpage automatique et la vulcanisation des joints avec apport d'un cordon de soudure thermique;</w:t>
      </w:r>
    </w:p>
    <w:p w14:paraId="6086551C" w14:textId="77777777" w:rsidR="004B2808" w:rsidRDefault="00000000">
      <w:pPr>
        <w:pStyle w:val="Author-eListParagraph"/>
        <w:numPr>
          <w:ilvl w:val="0"/>
          <w:numId w:val="1450"/>
        </w:numPr>
      </w:pPr>
      <w:r>
        <w:t>Le fabricant remet un manuel d'entretien du revêtement d'escalier.</w:t>
      </w:r>
    </w:p>
    <w:p w14:paraId="1C7BFE9F" w14:textId="77777777" w:rsidR="004B2808" w:rsidRDefault="00000000">
      <w:pPr>
        <w:pStyle w:val="pheading"/>
      </w:pPr>
      <w:r>
        <w:t>MESURAGE</w:t>
      </w:r>
    </w:p>
    <w:p w14:paraId="5BE3DF5E" w14:textId="77777777" w:rsidR="004B2808" w:rsidRDefault="00000000">
      <w:r>
        <w:t>Conformément aux indications spécifiques dans le cahier spécial des charges et/ou le métré récapitulatif, le mesurage doit être conçu comme suit :</w:t>
      </w:r>
    </w:p>
    <w:p w14:paraId="4FFD0F89" w14:textId="77777777" w:rsidR="004B2808" w:rsidRDefault="00000000">
      <w:r>
        <w:rPr>
          <w:u w:val="single"/>
        </w:rPr>
        <w:t>Attention</w:t>
      </w:r>
      <w:r>
        <w:t> </w:t>
      </w:r>
      <w:r>
        <w:br/>
        <w:t>Le prix pour le revêtement des paliers concernés est toujours repris dans un poste séparé sous la rubrique concernée des carrelages, des revêtements de sol souples et/ou en bois.</w:t>
      </w:r>
    </w:p>
    <w:p w14:paraId="3A49D44F" w14:textId="77777777" w:rsidR="004B2808" w:rsidRDefault="00000000">
      <w:pPr>
        <w:pStyle w:val="pheading"/>
      </w:pPr>
      <w:r>
        <w:t>- unité de mesure:</w:t>
      </w:r>
    </w:p>
    <w:p w14:paraId="3D62B6DD" w14:textId="77777777" w:rsidR="004B2808" w:rsidRDefault="00000000">
      <w:r>
        <w:rPr>
          <w:rStyle w:val="optioncarChar"/>
        </w:rPr>
        <w:t>p</w:t>
      </w:r>
      <w:r>
        <w:t xml:space="preserve"> (par défaut)</w:t>
      </w:r>
      <w:r>
        <w:rPr>
          <w:rStyle w:val="optioncarChar"/>
        </w:rPr>
        <w:t xml:space="preserve"> / m² / ***</w:t>
      </w:r>
    </w:p>
    <w:p w14:paraId="0F0DFFCD" w14:textId="77777777" w:rsidR="004B2808" w:rsidRDefault="00000000">
      <w:pPr>
        <w:pStyle w:val="pheading"/>
      </w:pPr>
      <w:r>
        <w:t>- code de mesurage:</w:t>
      </w:r>
    </w:p>
    <w:p w14:paraId="271B01D6" w14:textId="77777777" w:rsidR="004B2808" w:rsidRDefault="00000000">
      <w:r>
        <w:rPr>
          <w:rStyle w:val="optioncarChar"/>
        </w:rPr>
        <w:t>*** / (par défaut) Par marche, de même dimensions, épaisseur et type, éventuellement en fonction des marches droites et tournantes; y compris la contremarche, la marche palière, les plinthes, ... / Ventilé par type, traitement de surface et épaisseur.</w:t>
      </w:r>
    </w:p>
    <w:p w14:paraId="52224895" w14:textId="77777777" w:rsidR="004B2808" w:rsidRDefault="00000000">
      <w:pPr>
        <w:pStyle w:val="pheading"/>
      </w:pPr>
      <w:r>
        <w:t>- nature du marché:</w:t>
      </w:r>
    </w:p>
    <w:p w14:paraId="08474DCE" w14:textId="77777777" w:rsidR="004B2808" w:rsidRDefault="00000000">
      <w:r>
        <w:t>QF</w:t>
      </w:r>
    </w:p>
    <w:p w14:paraId="32808ADD" w14:textId="77777777" w:rsidR="004B2808" w:rsidRDefault="00000000">
      <w:pPr>
        <w:pStyle w:val="Author-eSectionHeading6Numberless"/>
      </w:pPr>
      <w:bookmarkStart w:id="1574" w:name="_Toc220491668"/>
      <w:r>
        <w:t>57.22.6b Marches / Contremarches en matériaux synthétiques - revêtement en linoleum CCTB 01.11</w:t>
      </w:r>
      <w:bookmarkEnd w:id="1574"/>
    </w:p>
    <w:p w14:paraId="085C0E84" w14:textId="77777777" w:rsidR="004B2808" w:rsidRDefault="00000000">
      <w:pPr>
        <w:pStyle w:val="pheading"/>
      </w:pPr>
      <w:r>
        <w:t>MATÉRIAUX</w:t>
      </w:r>
    </w:p>
    <w:p w14:paraId="4EA58357" w14:textId="77777777" w:rsidR="004B2808" w:rsidRDefault="00000000">
      <w:pPr>
        <w:pStyle w:val="pheading"/>
      </w:pPr>
      <w:r>
        <w:t>- Caractéristiques générales</w:t>
      </w:r>
    </w:p>
    <w:p w14:paraId="3EAC92F2" w14:textId="77777777" w:rsidR="004B2808" w:rsidRDefault="00000000">
      <w:r>
        <w:lastRenderedPageBreak/>
        <w:t xml:space="preserve">Le linoléum a la même couleur et le même dessin que le revêtement de sol mis en œuvre, selon l'article </w:t>
      </w:r>
      <w:hyperlink w:anchor="1278" w:history="1">
        <w:r w:rsidR="004B2808">
          <w:rPr>
            <w:color w:val="0000EE"/>
          </w:rPr>
          <w:t>53.55.3 Revêtements de sols souples plastiques et synthétiques (lino, PVC, ...)</w:t>
        </w:r>
      </w:hyperlink>
      <w:r>
        <w:t xml:space="preserve"> et est coupé en bandes droites aussi longues que possible, avec un appareil approprié.</w:t>
      </w:r>
    </w:p>
    <w:p w14:paraId="7D8E2ECB" w14:textId="77777777" w:rsidR="004B2808" w:rsidRDefault="00000000">
      <w:r>
        <w:t xml:space="preserve">Sur les nez de marches, le linoléum est pourvu de : </w:t>
      </w:r>
      <w:r>
        <w:rPr>
          <w:rStyle w:val="optioncarChar"/>
        </w:rPr>
        <w:t xml:space="preserve">indicateurs visuels (PMR) (voir recommandations du sous-titre </w:t>
      </w:r>
      <w:hyperlink w:anchor="1393" w:history="1">
        <w:r w:rsidR="004B2808">
          <w:rPr>
            <w:rStyle w:val="optioncarChar"/>
            <w:color w:val="0000EE"/>
          </w:rPr>
          <w:t>57.22 Marches / Contremarches</w:t>
        </w:r>
      </w:hyperlink>
      <w:r>
        <w:rPr>
          <w:rStyle w:val="optioncarChar"/>
        </w:rPr>
        <w:t>) </w:t>
      </w:r>
      <w:r>
        <w:t> (par défaut)</w:t>
      </w:r>
      <w:r>
        <w:rPr>
          <w:rStyle w:val="optioncarChar"/>
        </w:rPr>
        <w:t> / *** </w:t>
      </w:r>
      <w:r>
        <w:t>.</w:t>
      </w:r>
    </w:p>
    <w:p w14:paraId="52A61CA1" w14:textId="77777777" w:rsidR="004B2808" w:rsidRDefault="00000000">
      <w:pPr>
        <w:pStyle w:val="heading"/>
      </w:pPr>
      <w:r>
        <w:t>Spécifications</w:t>
      </w:r>
    </w:p>
    <w:p w14:paraId="49A52222" w14:textId="77777777" w:rsidR="004B2808" w:rsidRDefault="00000000">
      <w:pPr>
        <w:pStyle w:val="Author-eListParagraph"/>
        <w:numPr>
          <w:ilvl w:val="0"/>
          <w:numId w:val="1451"/>
        </w:numPr>
      </w:pPr>
      <w:r>
        <w:t>Epaisseur :</w:t>
      </w:r>
      <w:r>
        <w:rPr>
          <w:rStyle w:val="optioncarChar"/>
        </w:rPr>
        <w:t> 2,0</w:t>
      </w:r>
      <w:r>
        <w:t xml:space="preserve"> (par défaut)</w:t>
      </w:r>
      <w:r>
        <w:rPr>
          <w:rStyle w:val="optioncarChar"/>
        </w:rPr>
        <w:t> / 2,5 / 3,2 / ***</w:t>
      </w:r>
    </w:p>
    <w:p w14:paraId="5F1B3D6E" w14:textId="77777777" w:rsidR="004B2808" w:rsidRDefault="00000000">
      <w:pPr>
        <w:pStyle w:val="Author-eListParagraph"/>
        <w:numPr>
          <w:ilvl w:val="0"/>
          <w:numId w:val="1451"/>
        </w:numPr>
      </w:pPr>
      <w:r>
        <w:t>Hauteur : environ </w:t>
      </w:r>
      <w:r>
        <w:rPr>
          <w:rStyle w:val="optioncarChar"/>
        </w:rPr>
        <w:t> 80 </w:t>
      </w:r>
      <w:r>
        <w:t>(par défaut)</w:t>
      </w:r>
      <w:r>
        <w:rPr>
          <w:rStyle w:val="optioncarChar"/>
        </w:rPr>
        <w:t> / ***   </w:t>
      </w:r>
      <w:r>
        <w:t>mm</w:t>
      </w:r>
    </w:p>
    <w:p w14:paraId="33107EF3" w14:textId="77777777" w:rsidR="004B2808" w:rsidRDefault="00000000">
      <w:pPr>
        <w:pStyle w:val="Author-eListParagraph"/>
        <w:numPr>
          <w:ilvl w:val="0"/>
          <w:numId w:val="1451"/>
        </w:numPr>
      </w:pPr>
      <w:r>
        <w:t xml:space="preserve">Forme : les angles visibles sont </w:t>
      </w:r>
      <w:r>
        <w:rPr>
          <w:rStyle w:val="optioncarChar"/>
        </w:rPr>
        <w:t>biseautés</w:t>
      </w:r>
      <w:r>
        <w:t> (par défaut)</w:t>
      </w:r>
      <w:r>
        <w:rPr>
          <w:rStyle w:val="optioncarChar"/>
        </w:rPr>
        <w:t xml:space="preserve"> / arrondis / ***</w:t>
      </w:r>
    </w:p>
    <w:p w14:paraId="1AE30FE3" w14:textId="77777777" w:rsidR="004B2808" w:rsidRDefault="00000000">
      <w:r>
        <w:t>Option : Les plinthes sont pourvues d'un profil de renfort en aluminium, intégré en usine.</w:t>
      </w:r>
    </w:p>
    <w:p w14:paraId="13E5489D" w14:textId="77777777" w:rsidR="004B2808" w:rsidRDefault="00000000">
      <w:pPr>
        <w:pStyle w:val="pheading"/>
      </w:pPr>
      <w:r>
        <w:t>EXÉCUTION / MISE EN ŒUVRE</w:t>
      </w:r>
    </w:p>
    <w:p w14:paraId="5E1F7E02" w14:textId="77777777" w:rsidR="004B2808" w:rsidRDefault="00000000">
      <w:pPr>
        <w:pStyle w:val="pheading"/>
      </w:pPr>
      <w:r>
        <w:t>- Prescriptions générales</w:t>
      </w:r>
    </w:p>
    <w:p w14:paraId="7931FDCC" w14:textId="77777777" w:rsidR="004B2808" w:rsidRDefault="00000000">
      <w:r>
        <w:t>Les plinthes sont mises en œuvre selon le § 9.5.7.2 de la [NIT 165].</w:t>
      </w:r>
    </w:p>
    <w:p w14:paraId="0DE26A9B" w14:textId="77777777" w:rsidR="004B2808" w:rsidRDefault="00000000">
      <w:pPr>
        <w:pStyle w:val="Author-eListParagraph"/>
        <w:numPr>
          <w:ilvl w:val="0"/>
          <w:numId w:val="1452"/>
        </w:numPr>
      </w:pPr>
      <w:r>
        <w:t>Les plinthes sont posées selon le système traditionnel avec une sous-couche en voile de verre renforcé au polyester fixée dans la pliure du linoléum. L'arrondi au droit du mur est indiqué par un angle à 90° selon lequel la bande prérainurée peut être courbée. La rainure même est pourvue d'une mince bande de colle spéciale'hot-melt'qui coule déjà dans des circonstances de mise en œuvre normales (au moins 18°C ).</w:t>
      </w:r>
    </w:p>
    <w:p w14:paraId="42207A93" w14:textId="77777777" w:rsidR="004B2808" w:rsidRDefault="00000000">
      <w:pPr>
        <w:pStyle w:val="Author-eListParagraph"/>
        <w:numPr>
          <w:ilvl w:val="0"/>
          <w:numId w:val="1452"/>
        </w:numPr>
      </w:pPr>
      <w:r>
        <w:t>Dans les angles, les plinthes sont exécutées à onglet.</w:t>
      </w:r>
    </w:p>
    <w:p w14:paraId="730B3111" w14:textId="77777777" w:rsidR="004B2808" w:rsidRDefault="00000000">
      <w:pPr>
        <w:pStyle w:val="Author-eListParagraph"/>
        <w:numPr>
          <w:ilvl w:val="0"/>
          <w:numId w:val="1452"/>
        </w:numPr>
      </w:pPr>
      <w:r>
        <w:t>Les bandes de plinthe sont collées sur toute leur surface sur le support avec la colle préconisée par le fabricant. Après le séchage de la colle, les joints sont découpés et soudés avec apport d'un cordon de soudure pour linoléum.</w:t>
      </w:r>
    </w:p>
    <w:p w14:paraId="0F6646F3" w14:textId="77777777" w:rsidR="004B2808" w:rsidRDefault="00000000">
      <w:pPr>
        <w:ind w:left="750"/>
      </w:pPr>
      <w:r>
        <w:t> </w:t>
      </w:r>
    </w:p>
    <w:p w14:paraId="61BC8FCC" w14:textId="77777777" w:rsidR="004B2808" w:rsidRDefault="00000000">
      <w:pPr>
        <w:pStyle w:val="pheading"/>
      </w:pPr>
      <w:r>
        <w:t>- Notes d’exécution complémentaires</w:t>
      </w:r>
    </w:p>
    <w:p w14:paraId="19E575CE" w14:textId="77777777" w:rsidR="004B2808" w:rsidRDefault="00000000">
      <w:r>
        <w:t>Application d'une cire et l'encaustiquage ou application d'une émulsion autolubrifiante.</w:t>
      </w:r>
    </w:p>
    <w:p w14:paraId="12E51A82" w14:textId="77777777" w:rsidR="004B2808" w:rsidRDefault="00000000">
      <w:pPr>
        <w:pStyle w:val="pheading"/>
      </w:pPr>
      <w:r>
        <w:t>MESURAGE</w:t>
      </w:r>
    </w:p>
    <w:p w14:paraId="7A36A951" w14:textId="77777777" w:rsidR="004B2808" w:rsidRDefault="00000000">
      <w:r>
        <w:t>Conformément aux indications spécifiques dans le cahier spécial des charges et/ou le métré récapitulatif, le mesurage doit être conçu comme suit :</w:t>
      </w:r>
    </w:p>
    <w:p w14:paraId="1E0A7C31" w14:textId="77777777" w:rsidR="004B2808" w:rsidRDefault="00000000">
      <w:r>
        <w:rPr>
          <w:u w:val="single"/>
        </w:rPr>
        <w:t>Attention </w:t>
      </w:r>
      <w:r>
        <w:br/>
        <w:t>Le prix pour le revêtement des paliers concernés est toujours repris dans un poste séparé sous la rubrique concernée des carrelages, des revêtements de sol souples et/ou en bois.</w:t>
      </w:r>
    </w:p>
    <w:p w14:paraId="134B2FB5" w14:textId="77777777" w:rsidR="004B2808" w:rsidRDefault="00000000">
      <w:pPr>
        <w:pStyle w:val="pheading"/>
      </w:pPr>
      <w:r>
        <w:t>- unité de mesure:</w:t>
      </w:r>
    </w:p>
    <w:p w14:paraId="4671E64E" w14:textId="77777777" w:rsidR="004B2808" w:rsidRDefault="00000000">
      <w:r>
        <w:rPr>
          <w:rStyle w:val="optioncarChar"/>
        </w:rPr>
        <w:t>p</w:t>
      </w:r>
      <w:r>
        <w:t xml:space="preserve"> (par défaut)</w:t>
      </w:r>
      <w:r>
        <w:rPr>
          <w:rStyle w:val="optioncarChar"/>
        </w:rPr>
        <w:t> / m² / *** </w:t>
      </w:r>
    </w:p>
    <w:p w14:paraId="1A9D16FB" w14:textId="77777777" w:rsidR="004B2808" w:rsidRDefault="00000000">
      <w:pPr>
        <w:pStyle w:val="pheading"/>
      </w:pPr>
      <w:r>
        <w:t>- code de mesurage:</w:t>
      </w:r>
    </w:p>
    <w:p w14:paraId="17874A17" w14:textId="77777777" w:rsidR="004B2808" w:rsidRDefault="00000000">
      <w:r>
        <w:rPr>
          <w:rStyle w:val="optioncarChar"/>
        </w:rPr>
        <w:t>*** / (par défaut) Par marche, de même dimensions, épaisseur et type, éventuellement en fonction des marches droites et tournantes; y compris la contremarche, la marche palière, les plinthes, … / Ventilé par type, traitement de surface et épaisseur.</w:t>
      </w:r>
    </w:p>
    <w:p w14:paraId="3C3222F5" w14:textId="77777777" w:rsidR="004B2808" w:rsidRDefault="00000000">
      <w:pPr>
        <w:pStyle w:val="pheading"/>
      </w:pPr>
      <w:r>
        <w:t>- nature du marché:</w:t>
      </w:r>
    </w:p>
    <w:p w14:paraId="6A73D93C" w14:textId="77777777" w:rsidR="004B2808" w:rsidRDefault="00000000">
      <w:r>
        <w:t>QF</w:t>
      </w:r>
    </w:p>
    <w:p w14:paraId="7961B087" w14:textId="77777777" w:rsidR="004B2808" w:rsidRDefault="00000000">
      <w:pPr>
        <w:pStyle w:val="Author-eSectionHeading6Numberless"/>
      </w:pPr>
      <w:bookmarkStart w:id="1575" w:name="_Toc220491669"/>
      <w:r>
        <w:t>57.22.6c Marches / Contremarches en matériaux synthétiques - revêtement en pvc CCTB 01.10</w:t>
      </w:r>
      <w:bookmarkEnd w:id="1575"/>
    </w:p>
    <w:p w14:paraId="33BE342A" w14:textId="77777777" w:rsidR="004B2808" w:rsidRDefault="00000000">
      <w:pPr>
        <w:pStyle w:val="pheading"/>
      </w:pPr>
      <w:r>
        <w:t>MATÉRIAUX</w:t>
      </w:r>
    </w:p>
    <w:p w14:paraId="22E3F252" w14:textId="77777777" w:rsidR="004B2808" w:rsidRDefault="00000000">
      <w:pPr>
        <w:pStyle w:val="pheading"/>
      </w:pPr>
      <w:r>
        <w:t>- Caractéristiques générales</w:t>
      </w:r>
    </w:p>
    <w:p w14:paraId="1DD3FD12" w14:textId="77777777" w:rsidR="004B2808" w:rsidRDefault="00000000">
      <w:r>
        <w:lastRenderedPageBreak/>
        <w:t>Les plinthes préfabriquées sont livrées et placées dans les plus grandes longueurs possibles. Le PVC utilisé doit satisfaire aux prescriptions des normes [NBN EN 477]; [NBN EN 513]; [NBN EN 13245-1] et [NBN EN 13245-2]. Les plinthes sont livrées dans les plus grandes longueurs possibles, les pièces d'ajustage d'une longueur inférieure à 80 cm doivent être évitées.</w:t>
      </w:r>
    </w:p>
    <w:p w14:paraId="68A067BD" w14:textId="77777777" w:rsidR="004B2808" w:rsidRDefault="00000000">
      <w:pPr>
        <w:pStyle w:val="heading"/>
      </w:pPr>
      <w:r>
        <w:t>Spécifications</w:t>
      </w:r>
    </w:p>
    <w:p w14:paraId="6CB8B372" w14:textId="77777777" w:rsidR="004B2808" w:rsidRDefault="00000000">
      <w:pPr>
        <w:pStyle w:val="Author-eListParagraph"/>
        <w:numPr>
          <w:ilvl w:val="0"/>
          <w:numId w:val="1453"/>
        </w:numPr>
      </w:pPr>
      <w:r>
        <w:t xml:space="preserve">Type : profils creux extrudés, renforcés transversalement à l'aide de </w:t>
      </w:r>
      <w:r>
        <w:rPr>
          <w:rStyle w:val="optioncarChar"/>
        </w:rPr>
        <w:t>nervures </w:t>
      </w:r>
      <w:r>
        <w:t>(par défaut)</w:t>
      </w:r>
      <w:r>
        <w:rPr>
          <w:rStyle w:val="optioncarChar"/>
        </w:rPr>
        <w:t> / *** </w:t>
      </w:r>
    </w:p>
    <w:p w14:paraId="04C90AF0" w14:textId="77777777" w:rsidR="004B2808" w:rsidRDefault="00000000">
      <w:pPr>
        <w:pStyle w:val="Author-eListParagraph"/>
        <w:numPr>
          <w:ilvl w:val="0"/>
          <w:numId w:val="1453"/>
        </w:numPr>
      </w:pPr>
      <w:r>
        <w:t xml:space="preserve">Matériaux: </w:t>
      </w:r>
      <w:r>
        <w:rPr>
          <w:rStyle w:val="optioncarChar"/>
        </w:rPr>
        <w:t>PVC exempt de plastifiant</w:t>
      </w:r>
      <w:r>
        <w:t> (par défaut)</w:t>
      </w:r>
      <w:r>
        <w:rPr>
          <w:rStyle w:val="optioncarChar"/>
        </w:rPr>
        <w:t xml:space="preserve"> / PVC cellulaire exempt de plastifiant / ***</w:t>
      </w:r>
    </w:p>
    <w:p w14:paraId="2FB549AB" w14:textId="77777777" w:rsidR="004B2808" w:rsidRDefault="00000000">
      <w:pPr>
        <w:pStyle w:val="Author-eListParagraph"/>
        <w:numPr>
          <w:ilvl w:val="0"/>
          <w:numId w:val="1453"/>
        </w:numPr>
      </w:pPr>
      <w:r>
        <w:t xml:space="preserve">Epaisseur des parois : minimum </w:t>
      </w:r>
      <w:r>
        <w:rPr>
          <w:rStyle w:val="optioncarChar"/>
        </w:rPr>
        <w:t>1 </w:t>
      </w:r>
      <w:r>
        <w:t>(par défaut) </w:t>
      </w:r>
      <w:r>
        <w:rPr>
          <w:rStyle w:val="optioncarChar"/>
        </w:rPr>
        <w:t>/ *** </w:t>
      </w:r>
      <w:r>
        <w:t> mm.</w:t>
      </w:r>
    </w:p>
    <w:p w14:paraId="58D7EC9A" w14:textId="77777777" w:rsidR="004B2808" w:rsidRDefault="00000000">
      <w:pPr>
        <w:pStyle w:val="Author-eListParagraph"/>
        <w:numPr>
          <w:ilvl w:val="0"/>
          <w:numId w:val="1453"/>
        </w:numPr>
      </w:pPr>
      <w:r>
        <w:t xml:space="preserve">Epaisseur des plinthes : minimum </w:t>
      </w:r>
      <w:r>
        <w:rPr>
          <w:rStyle w:val="optioncarChar"/>
        </w:rPr>
        <w:t>8 </w:t>
      </w:r>
      <w:r>
        <w:t>(par défaut)</w:t>
      </w:r>
      <w:r>
        <w:rPr>
          <w:rStyle w:val="optioncarChar"/>
        </w:rPr>
        <w:t xml:space="preserve"> / 10 / ***</w:t>
      </w:r>
      <w:r>
        <w:t xml:space="preserve"> mm.</w:t>
      </w:r>
    </w:p>
    <w:p w14:paraId="6E9CB4B9" w14:textId="77777777" w:rsidR="004B2808" w:rsidRDefault="00000000">
      <w:pPr>
        <w:pStyle w:val="Author-eListParagraph"/>
        <w:numPr>
          <w:ilvl w:val="0"/>
          <w:numId w:val="1453"/>
        </w:numPr>
      </w:pPr>
      <w:r>
        <w:t xml:space="preserve">Hauteur : environ </w:t>
      </w:r>
      <w:r>
        <w:rPr>
          <w:rStyle w:val="optioncarChar"/>
        </w:rPr>
        <w:t>60 </w:t>
      </w:r>
      <w:r>
        <w:t>(par défaut)</w:t>
      </w:r>
      <w:r>
        <w:rPr>
          <w:rStyle w:val="optioncarChar"/>
        </w:rPr>
        <w:t xml:space="preserve"> / 80 / ***</w:t>
      </w:r>
      <w:r>
        <w:t xml:space="preserve"> mm</w:t>
      </w:r>
    </w:p>
    <w:p w14:paraId="0CCE02D0" w14:textId="77777777" w:rsidR="004B2808" w:rsidRDefault="00000000">
      <w:pPr>
        <w:pStyle w:val="Author-eListParagraph"/>
        <w:numPr>
          <w:ilvl w:val="0"/>
          <w:numId w:val="1453"/>
        </w:numPr>
      </w:pPr>
      <w:r>
        <w:t xml:space="preserve">Forme : les angles visibles sont </w:t>
      </w:r>
      <w:r>
        <w:rPr>
          <w:rStyle w:val="optioncarChar"/>
        </w:rPr>
        <w:t xml:space="preserve">droits </w:t>
      </w:r>
      <w:r>
        <w:t>(par défaut) </w:t>
      </w:r>
      <w:r>
        <w:rPr>
          <w:rStyle w:val="optioncarChar"/>
        </w:rPr>
        <w:t>/ biseautés / arrondis / ***</w:t>
      </w:r>
    </w:p>
    <w:p w14:paraId="564EA4BA" w14:textId="77777777" w:rsidR="004B2808" w:rsidRDefault="00000000">
      <w:pPr>
        <w:pStyle w:val="pheading"/>
      </w:pPr>
      <w:r>
        <w:t>- Finitions</w:t>
      </w:r>
    </w:p>
    <w:p w14:paraId="22125222" w14:textId="77777777" w:rsidR="004B2808" w:rsidRDefault="00000000">
      <w:r>
        <w:t xml:space="preserve">Texture de la surface : </w:t>
      </w:r>
      <w:r>
        <w:rPr>
          <w:rStyle w:val="optioncarChar"/>
        </w:rPr>
        <w:t>parfaitement lisse </w:t>
      </w:r>
      <w:r>
        <w:t>(par défaut) </w:t>
      </w:r>
      <w:r>
        <w:rPr>
          <w:rStyle w:val="optioncarChar"/>
        </w:rPr>
        <w:t>/ *** </w:t>
      </w:r>
      <w:r>
        <w:br/>
        <w:t xml:space="preserve">Aspect : </w:t>
      </w:r>
      <w:r>
        <w:rPr>
          <w:rStyle w:val="optioncarChar"/>
        </w:rPr>
        <w:t>satiné</w:t>
      </w:r>
      <w:r>
        <w:t> (par défaut)</w:t>
      </w:r>
      <w:r>
        <w:rPr>
          <w:rStyle w:val="optioncarChar"/>
        </w:rPr>
        <w:t xml:space="preserve"> / brillant / ***</w:t>
      </w:r>
      <w:r>
        <w:t xml:space="preserve"> .</w:t>
      </w:r>
      <w:r>
        <w:br/>
        <w:t xml:space="preserve">Coloris : </w:t>
      </w:r>
      <w:r>
        <w:rPr>
          <w:rStyle w:val="optioncarChar"/>
        </w:rPr>
        <w:t>couleur RAL n° à choisir dans la gamme complète du fabricant</w:t>
      </w:r>
      <w:r>
        <w:t> (par défaut)</w:t>
      </w:r>
      <w:r>
        <w:rPr>
          <w:rStyle w:val="optioncarChar"/>
        </w:rPr>
        <w:t> / ***  </w:t>
      </w:r>
      <w:r>
        <w:t>.</w:t>
      </w:r>
    </w:p>
    <w:p w14:paraId="33E59EAB" w14:textId="77777777" w:rsidR="004B2808" w:rsidRDefault="00000000">
      <w:pPr>
        <w:pStyle w:val="pheading"/>
      </w:pPr>
      <w:r>
        <w:t>EXÉCUTION / MISE EN ŒUVRE</w:t>
      </w:r>
    </w:p>
    <w:p w14:paraId="0B04E86E" w14:textId="77777777" w:rsidR="004B2808" w:rsidRDefault="00000000">
      <w:pPr>
        <w:pStyle w:val="pheading"/>
      </w:pPr>
      <w:r>
        <w:t>- Prescriptions générales</w:t>
      </w:r>
    </w:p>
    <w:p w14:paraId="5655836D" w14:textId="77777777" w:rsidR="004B2808" w:rsidRDefault="00000000">
      <w:r>
        <w:t>Les plinthes sont mises en œuvre selon le § 9.5.7.2 de la [NIT 165] . Au préalable, les murs sont dépoussiérés et préparés afin de pouvoir réaliser un raccord parfait entre le revêtement de sol et le mur. Dans les angles, les plinthes sont ajustées à onglet. Elles sont fixées au mur par </w:t>
      </w:r>
      <w:r>
        <w:rPr>
          <w:rStyle w:val="optioncarChar"/>
        </w:rPr>
        <w:t>collage</w:t>
      </w:r>
      <w:r>
        <w:t> (par défaut)</w:t>
      </w:r>
      <w:r>
        <w:rPr>
          <w:rStyle w:val="optioncarChar"/>
        </w:rPr>
        <w:t xml:space="preserve"> / assemblage à enclenchement invisible / ***</w:t>
      </w:r>
      <w:r>
        <w:t>, conformément aux recommandations du fabricant.</w:t>
      </w:r>
    </w:p>
    <w:p w14:paraId="299FC0AB" w14:textId="77777777" w:rsidR="004B2808" w:rsidRDefault="00000000">
      <w:pPr>
        <w:pStyle w:val="pheading"/>
      </w:pPr>
      <w:r>
        <w:t>- Notes d’exécution complémentaires</w:t>
      </w:r>
    </w:p>
    <w:p w14:paraId="70AF3251" w14:textId="77777777" w:rsidR="004B2808" w:rsidRDefault="00000000">
      <w:r>
        <w:t>Avant de procéder à la mise en œuvre, la jonction entre le revêtement de sol et le mur est parachevée avec un joint au silicone afin d'empêcher la pénétration d'humidité.</w:t>
      </w:r>
    </w:p>
    <w:p w14:paraId="0C2A313C" w14:textId="77777777" w:rsidR="004B2808" w:rsidRDefault="00000000">
      <w:pPr>
        <w:pStyle w:val="pheading"/>
      </w:pPr>
      <w:r>
        <w:t>MESURAGE</w:t>
      </w:r>
    </w:p>
    <w:p w14:paraId="49AF7C2D" w14:textId="77777777" w:rsidR="004B2808" w:rsidRDefault="00000000">
      <w:r>
        <w:t>Conformément aux indications spécifiques dans le cahier spécial des charges et/ou le métré récapitulatif, le mesurage doit être conçu comme suit :</w:t>
      </w:r>
    </w:p>
    <w:p w14:paraId="6C3B98B8" w14:textId="77777777" w:rsidR="004B2808" w:rsidRDefault="00000000">
      <w:r>
        <w:rPr>
          <w:u w:val="single"/>
        </w:rPr>
        <w:t>Attention </w:t>
      </w:r>
      <w:r>
        <w:br/>
        <w:t>Le prix pour le revêtement des paliers concernés est toujours repris dans un poste séparé sous la rubrique concernée des carrelages, des revêtements de sol souples et/ou en bois.</w:t>
      </w:r>
    </w:p>
    <w:p w14:paraId="455ECAE5" w14:textId="77777777" w:rsidR="004B2808" w:rsidRDefault="00000000">
      <w:pPr>
        <w:pStyle w:val="pheading"/>
      </w:pPr>
      <w:r>
        <w:t>- unité de mesure:</w:t>
      </w:r>
    </w:p>
    <w:p w14:paraId="609A9D5D" w14:textId="77777777" w:rsidR="004B2808" w:rsidRDefault="00000000">
      <w:r>
        <w:rPr>
          <w:rStyle w:val="optioncarChar"/>
        </w:rPr>
        <w:t>p</w:t>
      </w:r>
      <w:r>
        <w:t xml:space="preserve"> (par défaut)</w:t>
      </w:r>
      <w:r>
        <w:rPr>
          <w:rStyle w:val="optioncarChar"/>
        </w:rPr>
        <w:t xml:space="preserve"> / m² / ***</w:t>
      </w:r>
    </w:p>
    <w:p w14:paraId="2693E163" w14:textId="77777777" w:rsidR="004B2808" w:rsidRDefault="00000000">
      <w:pPr>
        <w:pStyle w:val="pheading"/>
      </w:pPr>
      <w:r>
        <w:t>- code de mesurage:</w:t>
      </w:r>
    </w:p>
    <w:p w14:paraId="123A5C53" w14:textId="77777777" w:rsidR="004B2808" w:rsidRDefault="00000000">
      <w:r>
        <w:rPr>
          <w:rStyle w:val="optioncarChar"/>
        </w:rPr>
        <w:t xml:space="preserve">Par marche, de même dimensions, épaisseur et type, éventuellement en fonction des marches droites et tournantes; y compris la contremarche, la marche palière, les plinthes, … / Ventilé par type, traitement de surface et épaisseur / *** </w:t>
      </w:r>
      <w:r>
        <w:t>.</w:t>
      </w:r>
    </w:p>
    <w:p w14:paraId="63F488F5" w14:textId="77777777" w:rsidR="004B2808" w:rsidRDefault="00000000">
      <w:pPr>
        <w:pStyle w:val="pheading"/>
      </w:pPr>
      <w:r>
        <w:t>- nature du marché:</w:t>
      </w:r>
    </w:p>
    <w:p w14:paraId="373710AC" w14:textId="77777777" w:rsidR="004B2808" w:rsidRDefault="00000000">
      <w:r>
        <w:t>QF</w:t>
      </w:r>
    </w:p>
    <w:p w14:paraId="56875F04" w14:textId="77777777" w:rsidR="004B2808" w:rsidRDefault="00000000">
      <w:pPr>
        <w:pStyle w:val="Author-eSectionHeading6Numberless"/>
      </w:pPr>
      <w:bookmarkStart w:id="1576" w:name="_Toc220491670"/>
      <w:r>
        <w:t>57.22.6d Marches / Contremarches en matériaux synthétiques - revêtement en vinyle CCTB 01.10</w:t>
      </w:r>
      <w:bookmarkEnd w:id="1576"/>
    </w:p>
    <w:p w14:paraId="2254EFB3" w14:textId="77777777" w:rsidR="004B2808" w:rsidRDefault="00000000">
      <w:pPr>
        <w:pStyle w:val="pheading"/>
      </w:pPr>
      <w:r>
        <w:t>MATÉRIAUX</w:t>
      </w:r>
    </w:p>
    <w:p w14:paraId="2F7C784D" w14:textId="77777777" w:rsidR="004B2808" w:rsidRDefault="00000000">
      <w:pPr>
        <w:pStyle w:val="pheading"/>
      </w:pPr>
      <w:r>
        <w:t>- Caractéristiques générales</w:t>
      </w:r>
    </w:p>
    <w:p w14:paraId="551FE662" w14:textId="77777777" w:rsidR="004B2808" w:rsidRDefault="00000000">
      <w:r>
        <w:lastRenderedPageBreak/>
        <w:t>Les plinthes préfabriquées sont livrées et placées dans les plus grandes longueurs possibles. Les plinthes sont livrées dans les plus grandes longueurs possibles, les pièces d'ajustage d'une longueur inférieure à 80 cm doivent être évitées.</w:t>
      </w:r>
    </w:p>
    <w:p w14:paraId="43D61139" w14:textId="77777777" w:rsidR="004B2808" w:rsidRDefault="00000000">
      <w:pPr>
        <w:pStyle w:val="heading"/>
      </w:pPr>
      <w:r>
        <w:t>Spécifications</w:t>
      </w:r>
    </w:p>
    <w:p w14:paraId="065F8676" w14:textId="77777777" w:rsidR="004B2808" w:rsidRDefault="00000000">
      <w:pPr>
        <w:pStyle w:val="Author-eListParagraph"/>
        <w:numPr>
          <w:ilvl w:val="0"/>
          <w:numId w:val="1454"/>
        </w:numPr>
      </w:pPr>
      <w:r>
        <w:t xml:space="preserve">Type : profils creux extrudés, renforcés transversalement à l'aide de </w:t>
      </w:r>
      <w:r>
        <w:rPr>
          <w:rStyle w:val="optioncarChar"/>
        </w:rPr>
        <w:t>nervures </w:t>
      </w:r>
      <w:r>
        <w:t>(par défaut)</w:t>
      </w:r>
      <w:r>
        <w:rPr>
          <w:rStyle w:val="optioncarChar"/>
        </w:rPr>
        <w:t> / *** </w:t>
      </w:r>
    </w:p>
    <w:p w14:paraId="19B60CAD" w14:textId="77777777" w:rsidR="004B2808" w:rsidRDefault="00000000">
      <w:pPr>
        <w:pStyle w:val="Author-eListParagraph"/>
        <w:numPr>
          <w:ilvl w:val="0"/>
          <w:numId w:val="1454"/>
        </w:numPr>
      </w:pPr>
      <w:r>
        <w:t xml:space="preserve">Matériaux: </w:t>
      </w:r>
      <w:r>
        <w:rPr>
          <w:rStyle w:val="optioncarChar"/>
        </w:rPr>
        <w:t>PVC exempt de plastifiant</w:t>
      </w:r>
      <w:r>
        <w:t> (par défaut)</w:t>
      </w:r>
      <w:r>
        <w:rPr>
          <w:rStyle w:val="optioncarChar"/>
        </w:rPr>
        <w:t xml:space="preserve"> / PVC cellulaire exempt de plastifiant / ***</w:t>
      </w:r>
    </w:p>
    <w:p w14:paraId="7810F7F9" w14:textId="77777777" w:rsidR="004B2808" w:rsidRDefault="00000000">
      <w:pPr>
        <w:pStyle w:val="Author-eListParagraph"/>
        <w:numPr>
          <w:ilvl w:val="0"/>
          <w:numId w:val="1454"/>
        </w:numPr>
      </w:pPr>
      <w:r>
        <w:t xml:space="preserve">Epaisseur des parois : minimum </w:t>
      </w:r>
      <w:r>
        <w:rPr>
          <w:rStyle w:val="optioncarChar"/>
        </w:rPr>
        <w:t>1 </w:t>
      </w:r>
      <w:r>
        <w:t>(par défaut)</w:t>
      </w:r>
      <w:r>
        <w:rPr>
          <w:rStyle w:val="optioncarChar"/>
        </w:rPr>
        <w:t> / *** </w:t>
      </w:r>
      <w:r>
        <w:t> mm.</w:t>
      </w:r>
    </w:p>
    <w:p w14:paraId="3E061553" w14:textId="77777777" w:rsidR="004B2808" w:rsidRDefault="00000000">
      <w:pPr>
        <w:pStyle w:val="Author-eListParagraph"/>
        <w:numPr>
          <w:ilvl w:val="0"/>
          <w:numId w:val="1454"/>
        </w:numPr>
      </w:pPr>
      <w:r>
        <w:t xml:space="preserve">Epaisseur des plinthes : minimum </w:t>
      </w:r>
      <w:r>
        <w:rPr>
          <w:rStyle w:val="optioncarChar"/>
        </w:rPr>
        <w:t>8</w:t>
      </w:r>
      <w:r>
        <w:t> (par défaut)</w:t>
      </w:r>
      <w:r>
        <w:rPr>
          <w:rStyle w:val="optioncarChar"/>
        </w:rPr>
        <w:t xml:space="preserve"> / 10 / *** </w:t>
      </w:r>
      <w:r>
        <w:t>mm.</w:t>
      </w:r>
    </w:p>
    <w:p w14:paraId="0A6CF363" w14:textId="77777777" w:rsidR="004B2808" w:rsidRDefault="00000000">
      <w:pPr>
        <w:pStyle w:val="Author-eListParagraph"/>
        <w:numPr>
          <w:ilvl w:val="0"/>
          <w:numId w:val="1454"/>
        </w:numPr>
      </w:pPr>
      <w:r>
        <w:t xml:space="preserve">Hauteur : environ </w:t>
      </w:r>
      <w:r>
        <w:rPr>
          <w:rStyle w:val="optioncarChar"/>
        </w:rPr>
        <w:t>60 </w:t>
      </w:r>
      <w:r>
        <w:t>(par défaut)</w:t>
      </w:r>
      <w:r>
        <w:rPr>
          <w:rStyle w:val="optioncarChar"/>
        </w:rPr>
        <w:t xml:space="preserve"> / 80 / *** </w:t>
      </w:r>
      <w:r>
        <w:t>mm</w:t>
      </w:r>
    </w:p>
    <w:p w14:paraId="10C1D577" w14:textId="77777777" w:rsidR="004B2808" w:rsidRDefault="00000000">
      <w:pPr>
        <w:pStyle w:val="Author-eListParagraph"/>
        <w:numPr>
          <w:ilvl w:val="0"/>
          <w:numId w:val="1454"/>
        </w:numPr>
      </w:pPr>
      <w:r>
        <w:t xml:space="preserve">Forme : les angles visibles sont </w:t>
      </w:r>
      <w:r>
        <w:rPr>
          <w:rStyle w:val="optioncarChar"/>
        </w:rPr>
        <w:t>droits</w:t>
      </w:r>
      <w:r>
        <w:t> (par défaut)</w:t>
      </w:r>
      <w:r>
        <w:rPr>
          <w:rStyle w:val="optioncarChar"/>
        </w:rPr>
        <w:t xml:space="preserve"> / biseautés / arrondis / ***</w:t>
      </w:r>
    </w:p>
    <w:p w14:paraId="7726E80E" w14:textId="77777777" w:rsidR="004B2808" w:rsidRDefault="00000000">
      <w:pPr>
        <w:pStyle w:val="Author-eListParagraph"/>
        <w:numPr>
          <w:ilvl w:val="0"/>
          <w:numId w:val="1454"/>
        </w:numPr>
      </w:pPr>
      <w:r>
        <w:t xml:space="preserve">Texture de la surface : </w:t>
      </w:r>
      <w:r>
        <w:rPr>
          <w:rStyle w:val="optioncarChar"/>
        </w:rPr>
        <w:t>parfaitement lisse  </w:t>
      </w:r>
      <w:r>
        <w:t>(par défaut)</w:t>
      </w:r>
      <w:r>
        <w:rPr>
          <w:rStyle w:val="optioncarChar"/>
        </w:rPr>
        <w:t> / *** </w:t>
      </w:r>
    </w:p>
    <w:p w14:paraId="2AA15946" w14:textId="77777777" w:rsidR="004B2808" w:rsidRDefault="00000000">
      <w:pPr>
        <w:pStyle w:val="Author-eListParagraph"/>
        <w:numPr>
          <w:ilvl w:val="0"/>
          <w:numId w:val="1454"/>
        </w:numPr>
      </w:pPr>
      <w:r>
        <w:t>Aspect :</w:t>
      </w:r>
      <w:r>
        <w:rPr>
          <w:rStyle w:val="optioncarChar"/>
        </w:rPr>
        <w:t> satiné </w:t>
      </w:r>
      <w:r>
        <w:t>(par défaut)</w:t>
      </w:r>
      <w:r>
        <w:rPr>
          <w:rStyle w:val="optioncarChar"/>
        </w:rPr>
        <w:t xml:space="preserve"> / brillant / *** </w:t>
      </w:r>
      <w:r>
        <w:t>.</w:t>
      </w:r>
    </w:p>
    <w:p w14:paraId="0AEA9365" w14:textId="77777777" w:rsidR="004B2808" w:rsidRDefault="00000000">
      <w:pPr>
        <w:pStyle w:val="Author-eListParagraph"/>
        <w:numPr>
          <w:ilvl w:val="0"/>
          <w:numId w:val="1454"/>
        </w:numPr>
      </w:pPr>
      <w:r>
        <w:t xml:space="preserve">Coloris : </w:t>
      </w:r>
      <w:r>
        <w:rPr>
          <w:rStyle w:val="optioncarChar"/>
        </w:rPr>
        <w:t>couleur RAL n° *** / à choisir dans la gamme complète du fabricant</w:t>
      </w:r>
      <w:r>
        <w:t> (par défaut)</w:t>
      </w:r>
      <w:r>
        <w:rPr>
          <w:rStyle w:val="optioncarChar"/>
        </w:rPr>
        <w:t xml:space="preserve">  </w:t>
      </w:r>
      <w:r>
        <w:t>.</w:t>
      </w:r>
    </w:p>
    <w:p w14:paraId="64254FAC" w14:textId="77777777" w:rsidR="004B2808" w:rsidRDefault="00000000">
      <w:pPr>
        <w:pStyle w:val="pheading"/>
      </w:pPr>
      <w:r>
        <w:t>EXÉCUTION / MISE EN ŒUVRE</w:t>
      </w:r>
    </w:p>
    <w:p w14:paraId="066E6C5A" w14:textId="77777777" w:rsidR="004B2808" w:rsidRDefault="00000000">
      <w:pPr>
        <w:pStyle w:val="pheading"/>
      </w:pPr>
      <w:r>
        <w:t>- Prescriptions générales</w:t>
      </w:r>
    </w:p>
    <w:p w14:paraId="553F7DA1" w14:textId="77777777" w:rsidR="004B2808" w:rsidRDefault="00000000">
      <w:r>
        <w:t>Les plinthes sont mises en œuvre selon le § 9.5.7.2 de la [NIT 165]. Au préalable, les murs sont dépoussiérés et préparés afin de pouvoir réaliser un raccord parfait entre le revêtement de sol et le mur. Dans les angles, les plinthes sont ajustées à onglet. Elles sont fixées au mur par </w:t>
      </w:r>
      <w:r>
        <w:rPr>
          <w:rStyle w:val="optioncarChar"/>
        </w:rPr>
        <w:t>collage</w:t>
      </w:r>
      <w:r>
        <w:t> (par défaut)</w:t>
      </w:r>
      <w:r>
        <w:rPr>
          <w:rStyle w:val="optioncarChar"/>
        </w:rPr>
        <w:t xml:space="preserve"> / assemblage à enclenchement invisible / ***</w:t>
      </w:r>
      <w:r>
        <w:t>, conformément aux recommandations du fabricant.</w:t>
      </w:r>
    </w:p>
    <w:p w14:paraId="7FC36785" w14:textId="77777777" w:rsidR="004B2808" w:rsidRDefault="00000000">
      <w:pPr>
        <w:pStyle w:val="pheading"/>
      </w:pPr>
      <w:r>
        <w:t>- Notes d’exécution complémentaires</w:t>
      </w:r>
    </w:p>
    <w:p w14:paraId="066757F3" w14:textId="77777777" w:rsidR="004B2808" w:rsidRDefault="00000000">
      <w:r>
        <w:t>Avant de procéder à la mise en œuvre, la jonction entre le revêtement de sol et le mur est parachevée avec un joint au silicone afin d'empêcher la pénétration d'humidité.</w:t>
      </w:r>
    </w:p>
    <w:p w14:paraId="45A5B7DB" w14:textId="77777777" w:rsidR="004B2808" w:rsidRDefault="00000000">
      <w:pPr>
        <w:pStyle w:val="pheading"/>
      </w:pPr>
      <w:r>
        <w:t>MESURAGE</w:t>
      </w:r>
    </w:p>
    <w:p w14:paraId="018B1757" w14:textId="77777777" w:rsidR="004B2808" w:rsidRDefault="00000000">
      <w:r>
        <w:t>Conformément aux indications spécifiques dans le cahier spécial des charges et/ou le métré récapitulatif, le mesurage doit être conçu comme suit :</w:t>
      </w:r>
    </w:p>
    <w:p w14:paraId="500B22B8" w14:textId="77777777" w:rsidR="004B2808" w:rsidRDefault="00000000">
      <w:r>
        <w:rPr>
          <w:u w:val="single"/>
        </w:rPr>
        <w:t>Attention </w:t>
      </w:r>
      <w:r>
        <w:br/>
        <w:t>Le prix pour le revêtement des paliers concernés est toujours repris dans un poste séparé sous la rubrique concernée des carrelages, des revêtements de sol souples et/ou en bois.</w:t>
      </w:r>
    </w:p>
    <w:p w14:paraId="563FDCF0" w14:textId="77777777" w:rsidR="004B2808" w:rsidRDefault="00000000">
      <w:pPr>
        <w:pStyle w:val="pheading"/>
      </w:pPr>
      <w:r>
        <w:t>- unité de mesure:</w:t>
      </w:r>
    </w:p>
    <w:p w14:paraId="6B0BBE4C" w14:textId="77777777" w:rsidR="004B2808" w:rsidRDefault="00000000">
      <w:r>
        <w:rPr>
          <w:rStyle w:val="optioncarChar"/>
        </w:rPr>
        <w:t xml:space="preserve">p </w:t>
      </w:r>
      <w:r>
        <w:t>(par défaut)</w:t>
      </w:r>
      <w:r>
        <w:rPr>
          <w:rStyle w:val="optioncarChar"/>
        </w:rPr>
        <w:t> / m² / ***</w:t>
      </w:r>
    </w:p>
    <w:p w14:paraId="3C906504" w14:textId="77777777" w:rsidR="004B2808" w:rsidRDefault="00000000">
      <w:pPr>
        <w:pStyle w:val="pheading"/>
      </w:pPr>
      <w:r>
        <w:t>- code de mesurage:</w:t>
      </w:r>
    </w:p>
    <w:p w14:paraId="0A802A97" w14:textId="77777777" w:rsidR="004B2808" w:rsidRDefault="00000000">
      <w:r>
        <w:rPr>
          <w:rStyle w:val="optioncarChar"/>
        </w:rPr>
        <w:t xml:space="preserve">Par marche, de même dimensions, épaisseur et type, éventuellement en fonction des marches droites et tournantes; y compris la contremarche, la marche palière, les plinthes, … </w:t>
      </w:r>
      <w:r>
        <w:t>(par défaut) </w:t>
      </w:r>
      <w:r>
        <w:rPr>
          <w:rStyle w:val="optioncarChar"/>
        </w:rPr>
        <w:t>/ Ventilé par type, traitement de surface et épaisseur / ***.</w:t>
      </w:r>
    </w:p>
    <w:p w14:paraId="71EE980D" w14:textId="77777777" w:rsidR="004B2808" w:rsidRDefault="00000000">
      <w:pPr>
        <w:pStyle w:val="pheading"/>
      </w:pPr>
      <w:r>
        <w:t>- nature du marché:</w:t>
      </w:r>
    </w:p>
    <w:p w14:paraId="694C2993" w14:textId="77777777" w:rsidR="004B2808" w:rsidRDefault="00000000">
      <w:r>
        <w:t>QF</w:t>
      </w:r>
    </w:p>
    <w:p w14:paraId="29E3DA2D" w14:textId="77777777" w:rsidR="004B2808" w:rsidRDefault="00000000">
      <w:pPr>
        <w:pStyle w:val="Author-eSectionHeading6Numberless"/>
      </w:pPr>
      <w:bookmarkStart w:id="1577" w:name="_Toc220491671"/>
      <w:r>
        <w:t>57.22.6e Marches / Contremarches en matériaux synthétiques - revêtement en caoutchouc CCTB 01.10</w:t>
      </w:r>
      <w:bookmarkEnd w:id="1577"/>
    </w:p>
    <w:p w14:paraId="2535A7CC" w14:textId="77777777" w:rsidR="004B2808" w:rsidRDefault="00000000">
      <w:pPr>
        <w:pStyle w:val="pheading"/>
      </w:pPr>
      <w:r>
        <w:t>MATÉRIAUX</w:t>
      </w:r>
    </w:p>
    <w:p w14:paraId="16730079" w14:textId="77777777" w:rsidR="004B2808" w:rsidRDefault="00000000">
      <w:pPr>
        <w:pStyle w:val="pheading"/>
      </w:pPr>
      <w:r>
        <w:t>- Caractéristiques générales</w:t>
      </w:r>
    </w:p>
    <w:p w14:paraId="54E5E0BF" w14:textId="77777777" w:rsidR="004B2808" w:rsidRDefault="00000000">
      <w:r>
        <w:t xml:space="preserve">Les plinthes préfabriquées sont en caoutchouc de qualité supérieure, amélioré par vulcanisation postérieure. Elles sont exemptes de PVC, plastifiants, formaldéhyde, amiante, cadmium, halogènes </w:t>
      </w:r>
      <w:r>
        <w:lastRenderedPageBreak/>
        <w:t>et CFK. Elles sont pourvues d'une lèvre élastique durable afin de pouvoir réaliser un raccord étanche avec le revêtement de sol.</w:t>
      </w:r>
    </w:p>
    <w:p w14:paraId="11EBE179" w14:textId="77777777" w:rsidR="004B2808" w:rsidRDefault="00000000">
      <w:pPr>
        <w:pStyle w:val="heading"/>
      </w:pPr>
      <w:r>
        <w:t>Spécifications</w:t>
      </w:r>
    </w:p>
    <w:p w14:paraId="21358985" w14:textId="77777777" w:rsidR="004B2808" w:rsidRDefault="00000000">
      <w:pPr>
        <w:pStyle w:val="Author-eListParagraph"/>
        <w:numPr>
          <w:ilvl w:val="0"/>
          <w:numId w:val="1455"/>
        </w:numPr>
      </w:pPr>
      <w:r>
        <w:t xml:space="preserve">Epaisseur des parois : minimum </w:t>
      </w:r>
      <w:r>
        <w:rPr>
          <w:rStyle w:val="optioncarChar"/>
        </w:rPr>
        <w:t>2,5</w:t>
      </w:r>
      <w:r>
        <w:t xml:space="preserve"> (par défaut) </w:t>
      </w:r>
      <w:r>
        <w:rPr>
          <w:rStyle w:val="optioncarChar"/>
        </w:rPr>
        <w:t>/ 3 / ***</w:t>
      </w:r>
      <w:r>
        <w:t xml:space="preserve"> mm</w:t>
      </w:r>
    </w:p>
    <w:p w14:paraId="1DE96D63" w14:textId="77777777" w:rsidR="004B2808" w:rsidRDefault="00000000">
      <w:pPr>
        <w:pStyle w:val="Author-eListParagraph"/>
        <w:numPr>
          <w:ilvl w:val="0"/>
          <w:numId w:val="1455"/>
        </w:numPr>
      </w:pPr>
      <w:r>
        <w:t xml:space="preserve">Hauteur : environ </w:t>
      </w:r>
      <w:r>
        <w:rPr>
          <w:rStyle w:val="optioncarChar"/>
        </w:rPr>
        <w:t>60 </w:t>
      </w:r>
      <w:r>
        <w:t>(par défaut)</w:t>
      </w:r>
      <w:r>
        <w:rPr>
          <w:rStyle w:val="optioncarChar"/>
        </w:rPr>
        <w:t> / 80 / ***</w:t>
      </w:r>
      <w:r>
        <w:t xml:space="preserve"> mm</w:t>
      </w:r>
    </w:p>
    <w:p w14:paraId="1F16400A" w14:textId="77777777" w:rsidR="004B2808" w:rsidRDefault="00000000">
      <w:pPr>
        <w:pStyle w:val="Author-eListParagraph"/>
        <w:numPr>
          <w:ilvl w:val="0"/>
          <w:numId w:val="1455"/>
        </w:numPr>
      </w:pPr>
      <w:r>
        <w:t xml:space="preserve">Coloris : </w:t>
      </w:r>
      <w:r>
        <w:rPr>
          <w:rStyle w:val="optioncarChar"/>
        </w:rPr>
        <w:t>couleur RAL n° *** / à choisir dans la gamme complète du fabricant</w:t>
      </w:r>
      <w:r>
        <w:t> (par défaut)</w:t>
      </w:r>
    </w:p>
    <w:p w14:paraId="33A387A4" w14:textId="77777777" w:rsidR="004B2808" w:rsidRDefault="00000000">
      <w:pPr>
        <w:pStyle w:val="pheading"/>
      </w:pPr>
      <w:r>
        <w:t>EXÉCUTION / MISE EN ŒUVRE</w:t>
      </w:r>
    </w:p>
    <w:p w14:paraId="23976769" w14:textId="77777777" w:rsidR="004B2808" w:rsidRDefault="00000000">
      <w:pPr>
        <w:pStyle w:val="pheading"/>
      </w:pPr>
      <w:r>
        <w:t>- Prescriptions générales</w:t>
      </w:r>
    </w:p>
    <w:p w14:paraId="0266EFE7" w14:textId="77777777" w:rsidR="004B2808" w:rsidRDefault="00000000">
      <w:r>
        <w:t>Les plinthes sont mises en œuvre selon le § 9.5.7.2 de la [NIT 165] . Au préalable, les murs sont dépoussiérés et préparés afin de pouvoir réaliser un raccord parfait entre le revêtement de sol et le mur. Les plinthes sont fixées au mur par collage ou avec une bande autocollante biface, conformément aux recommandations du fabricant. Elles sont posées dans les plus grandes longueurs possibles.</w:t>
      </w:r>
    </w:p>
    <w:p w14:paraId="420E32B5" w14:textId="77777777" w:rsidR="004B2808" w:rsidRDefault="00000000">
      <w:pPr>
        <w:pStyle w:val="pheading"/>
      </w:pPr>
      <w:r>
        <w:t>- Notes d’exécution complémentaires</w:t>
      </w:r>
    </w:p>
    <w:p w14:paraId="35BC0FAA" w14:textId="77777777" w:rsidR="004B2808" w:rsidRDefault="00000000">
      <w:r>
        <w:t>Avant de procéder à la mise en œuvre, la jonction entre le revêtement de sol et le mur est parachevée avec un joint au silicone afin d'empêcher la pénétration d'humidité.</w:t>
      </w:r>
    </w:p>
    <w:p w14:paraId="0AB1C94C" w14:textId="77777777" w:rsidR="004B2808" w:rsidRDefault="00000000">
      <w:pPr>
        <w:pStyle w:val="pheading"/>
      </w:pPr>
      <w:r>
        <w:t>MESURAGE</w:t>
      </w:r>
    </w:p>
    <w:p w14:paraId="61842899" w14:textId="77777777" w:rsidR="004B2808" w:rsidRDefault="00000000">
      <w:r>
        <w:t>Conformément aux indications spécifiques dans le cahier spécial des charges et/ou le métré récapitulatif, le mesurage doit être conçu comme suit :</w:t>
      </w:r>
    </w:p>
    <w:p w14:paraId="26165412" w14:textId="77777777" w:rsidR="004B2808" w:rsidRDefault="00000000">
      <w:r>
        <w:rPr>
          <w:u w:val="single"/>
        </w:rPr>
        <w:t>Attention </w:t>
      </w:r>
      <w:r>
        <w:br/>
        <w:t>Le prix pour le revêtement des paliers concernés est toujours repris dans un poste séparé sous la rubrique concernée des carrelages, des revêtements de sol souples et/ou en bois.</w:t>
      </w:r>
    </w:p>
    <w:p w14:paraId="41A3EBE3" w14:textId="77777777" w:rsidR="004B2808" w:rsidRDefault="00000000">
      <w:pPr>
        <w:pStyle w:val="pheading"/>
      </w:pPr>
      <w:r>
        <w:t>- unité de mesure:</w:t>
      </w:r>
    </w:p>
    <w:p w14:paraId="489D49E4" w14:textId="77777777" w:rsidR="004B2808" w:rsidRDefault="00000000">
      <w:r>
        <w:rPr>
          <w:rStyle w:val="optioncarChar"/>
        </w:rPr>
        <w:t xml:space="preserve">p </w:t>
      </w:r>
      <w:r>
        <w:t>(par défaut)</w:t>
      </w:r>
      <w:r>
        <w:rPr>
          <w:rStyle w:val="optioncarChar"/>
        </w:rPr>
        <w:t xml:space="preserve"> / m² / ***</w:t>
      </w:r>
    </w:p>
    <w:p w14:paraId="55289548" w14:textId="77777777" w:rsidR="004B2808" w:rsidRDefault="00000000">
      <w:pPr>
        <w:pStyle w:val="pheading"/>
      </w:pPr>
      <w:r>
        <w:t>- code de mesurage:</w:t>
      </w:r>
    </w:p>
    <w:p w14:paraId="10F3C2C0" w14:textId="77777777" w:rsidR="004B2808" w:rsidRDefault="00000000">
      <w:r>
        <w:rPr>
          <w:rStyle w:val="optioncarChar"/>
        </w:rPr>
        <w:t>Par marche, de même dimensions, épaisseur et type, éventuellement en fonction des marches droites et tournantes; y compris la contremarche, la marche palière, les plinthes, … </w:t>
      </w:r>
      <w:r>
        <w:t>(par défaut)</w:t>
      </w:r>
      <w:r>
        <w:rPr>
          <w:rStyle w:val="optioncarChar"/>
        </w:rPr>
        <w:t xml:space="preserve"> / Ventilé par type, traitement de surface et épaisseur / ***.</w:t>
      </w:r>
    </w:p>
    <w:p w14:paraId="72830030" w14:textId="77777777" w:rsidR="004B2808" w:rsidRDefault="00000000">
      <w:pPr>
        <w:pStyle w:val="pheading"/>
      </w:pPr>
      <w:r>
        <w:t>- nature du marché:</w:t>
      </w:r>
    </w:p>
    <w:p w14:paraId="26AB135F" w14:textId="77777777" w:rsidR="004B2808" w:rsidRDefault="00000000">
      <w:r>
        <w:t>QF</w:t>
      </w:r>
    </w:p>
    <w:p w14:paraId="0C12E693" w14:textId="77777777" w:rsidR="004B2808" w:rsidRDefault="00000000">
      <w:pPr>
        <w:pStyle w:val="Author-eSectionHeading5Numberless"/>
      </w:pPr>
      <w:bookmarkStart w:id="1578" w:name="_Toc220491672"/>
      <w:r>
        <w:t>57.22.7 Marches / Contremarches en verre CCTB 01.02</w:t>
      </w:r>
      <w:bookmarkEnd w:id="1578"/>
    </w:p>
    <w:p w14:paraId="4C245EAF" w14:textId="77777777" w:rsidR="004B2808" w:rsidRDefault="00000000">
      <w:pPr>
        <w:pStyle w:val="Author-eSectionHeading6Numberless"/>
      </w:pPr>
      <w:bookmarkStart w:id="1579" w:name="_Toc220491673"/>
      <w:r>
        <w:t>57.22.7a Marches / Contremarches en verre CCTB 01.11</w:t>
      </w:r>
      <w:bookmarkEnd w:id="1579"/>
    </w:p>
    <w:p w14:paraId="2A512BC7" w14:textId="77777777" w:rsidR="004B2808" w:rsidRDefault="00000000">
      <w:pPr>
        <w:pStyle w:val="pheading"/>
      </w:pPr>
      <w:r>
        <w:t>DOCUMENTS DE RÉFÉRENCE COMPLÉMENTAIRES</w:t>
      </w:r>
    </w:p>
    <w:p w14:paraId="070940B9" w14:textId="77777777" w:rsidR="004B2808" w:rsidRDefault="00000000">
      <w:pPr>
        <w:pStyle w:val="pheading"/>
      </w:pPr>
      <w:r>
        <w:t>- Matériau</w:t>
      </w:r>
    </w:p>
    <w:p w14:paraId="09049B01" w14:textId="77777777" w:rsidR="004B2808" w:rsidRDefault="00000000">
      <w:r>
        <w:t>[NIT 242, Ouvrages particuliers en verre. Partie 1 : applications structurales.]</w:t>
      </w:r>
    </w:p>
    <w:p w14:paraId="10BB25C5" w14:textId="77777777" w:rsidR="004B2808" w:rsidRDefault="00000000">
      <w:pPr>
        <w:pStyle w:val="pheading"/>
      </w:pPr>
      <w:r>
        <w:t>- Exécution</w:t>
      </w:r>
    </w:p>
    <w:p w14:paraId="76A4B714" w14:textId="77777777" w:rsidR="004B2808" w:rsidRDefault="00000000">
      <w:r>
        <w:t>[NIT 242, Ouvrages particuliers en verre. Partie 1 : applications structurales.]</w:t>
      </w:r>
    </w:p>
    <w:p w14:paraId="2810632B" w14:textId="77777777" w:rsidR="004B2808" w:rsidRDefault="00000000">
      <w:pPr>
        <w:pStyle w:val="Author-eSectionHeading4Numberless"/>
      </w:pPr>
      <w:bookmarkStart w:id="1580" w:name="_Toc220491674"/>
      <w:r>
        <w:t>57.23 Paliers CCTB 01.13</w:t>
      </w:r>
      <w:bookmarkEnd w:id="1580"/>
    </w:p>
    <w:p w14:paraId="17B9277D" w14:textId="77777777" w:rsidR="004B2808" w:rsidRDefault="00000000">
      <w:pPr>
        <w:pStyle w:val="pheading"/>
      </w:pPr>
      <w:bookmarkStart w:id="1581" w:name="1396"/>
      <w:bookmarkEnd w:id="1581"/>
      <w:r>
        <w:t>DESCRIPTION</w:t>
      </w:r>
    </w:p>
    <w:p w14:paraId="352CA919" w14:textId="77777777" w:rsidR="004B2808" w:rsidRDefault="00000000">
      <w:pPr>
        <w:pStyle w:val="pheading"/>
      </w:pPr>
      <w:r>
        <w:t>- Définition / Comprend</w:t>
      </w:r>
    </w:p>
    <w:p w14:paraId="0D5FF0E3" w14:textId="77777777" w:rsidR="004B2808" w:rsidRDefault="00000000">
      <w:r>
        <w:lastRenderedPageBreak/>
        <w:t>Il s'agit de la fourniture et de la pose du revêtement des paliers d'escalier, y compris les plinthes et contremarches, exécutées dans un autre matériau que la structure portante de l'escalier, c'est-à-dire les revêtements en carreaux ou d'une pièce en pierre (reconstituée) ou en bois. Les revêtements de paliers sont destinées, soit à être posées sur les formes en béton, soit à être posées ou fixées sur la structure en acier de l'escalier (paliers autoportants).</w:t>
      </w:r>
    </w:p>
    <w:p w14:paraId="34A8EEE9" w14:textId="77777777" w:rsidR="004B2808" w:rsidRDefault="00000000">
      <w:r>
        <w:t>Conformément aux dispositions générales ou spécifiques du cahier spécial des charges, les prix unitaires compris sous cette rubrique doivent comprendre, soit dans leur globalité soit selon la ventilation dans le métré récapitulatif :</w:t>
      </w:r>
    </w:p>
    <w:p w14:paraId="4FE22E32" w14:textId="77777777" w:rsidR="004B2808" w:rsidRDefault="00000000">
      <w:pPr>
        <w:pStyle w:val="Author-eListParagraph"/>
        <w:numPr>
          <w:ilvl w:val="0"/>
          <w:numId w:val="1456"/>
        </w:numPr>
      </w:pPr>
      <w:r>
        <w:t xml:space="preserve">la préparation du support et l’élimination de décombres, débris, matières étrangères, plâtre, graisses, etc., </w:t>
      </w:r>
    </w:p>
    <w:p w14:paraId="33130DEE" w14:textId="77777777" w:rsidR="004B2808" w:rsidRDefault="00000000">
      <w:pPr>
        <w:pStyle w:val="Author-eListParagraph"/>
        <w:numPr>
          <w:ilvl w:val="0"/>
          <w:numId w:val="1456"/>
        </w:numPr>
      </w:pPr>
      <w:r>
        <w:t xml:space="preserve">le contrôle des niveaux, </w:t>
      </w:r>
    </w:p>
    <w:p w14:paraId="7D0A2E29" w14:textId="77777777" w:rsidR="004B2808" w:rsidRDefault="00000000">
      <w:pPr>
        <w:pStyle w:val="Author-eListParagraph"/>
        <w:numPr>
          <w:ilvl w:val="0"/>
          <w:numId w:val="1456"/>
        </w:numPr>
      </w:pPr>
      <w:r>
        <w:t xml:space="preserve">la fourniture, le profilage et la pose des revêtements de palier; </w:t>
      </w:r>
    </w:p>
    <w:p w14:paraId="0A99DEC6" w14:textId="77777777" w:rsidR="004B2808" w:rsidRDefault="00000000">
      <w:pPr>
        <w:pStyle w:val="Author-eListParagraph"/>
        <w:numPr>
          <w:ilvl w:val="0"/>
          <w:numId w:val="1456"/>
        </w:numPr>
      </w:pPr>
      <w:r>
        <w:t xml:space="preserve">la pose de tous les éléments décrits dans le cahier spécial des charges, à savoir les plinthes, la finition des bords et tous les accessoires; </w:t>
      </w:r>
    </w:p>
    <w:p w14:paraId="4C03F96B" w14:textId="77777777" w:rsidR="004B2808" w:rsidRDefault="00000000">
      <w:pPr>
        <w:pStyle w:val="Author-eListParagraph"/>
        <w:numPr>
          <w:ilvl w:val="0"/>
          <w:numId w:val="1456"/>
        </w:numPr>
      </w:pPr>
      <w:r>
        <w:t xml:space="preserve">le coulage des joints ou le rejointoiement, le masticage éventuel; </w:t>
      </w:r>
    </w:p>
    <w:p w14:paraId="4F844D25" w14:textId="77777777" w:rsidR="004B2808" w:rsidRDefault="00000000">
      <w:pPr>
        <w:pStyle w:val="Author-eListParagraph"/>
        <w:numPr>
          <w:ilvl w:val="0"/>
          <w:numId w:val="1456"/>
        </w:numPr>
      </w:pPr>
      <w:r>
        <w:t xml:space="preserve">le nettoyage du revêtement de palier, y compris l’élimination des taches de mortier ou de colle et du mortier à jointoyer, </w:t>
      </w:r>
    </w:p>
    <w:p w14:paraId="21906507" w14:textId="77777777" w:rsidR="004B2808" w:rsidRDefault="00000000">
      <w:pPr>
        <w:pStyle w:val="Author-eListParagraph"/>
        <w:numPr>
          <w:ilvl w:val="0"/>
          <w:numId w:val="1456"/>
        </w:numPr>
      </w:pPr>
      <w:r>
        <w:t xml:space="preserve">la protection du revêtement pendant les travaux de construction ultérieurs. </w:t>
      </w:r>
    </w:p>
    <w:p w14:paraId="3B807630" w14:textId="77777777" w:rsidR="004B2808" w:rsidRDefault="00000000">
      <w:pPr>
        <w:pStyle w:val="pheading"/>
      </w:pPr>
      <w:r>
        <w:t>MATÉRIAUX</w:t>
      </w:r>
    </w:p>
    <w:p w14:paraId="4A42F591" w14:textId="77777777" w:rsidR="004B2808" w:rsidRDefault="00000000">
      <w:pPr>
        <w:pStyle w:val="Author-eListParagraph"/>
        <w:numPr>
          <w:ilvl w:val="0"/>
          <w:numId w:val="1457"/>
        </w:numPr>
      </w:pPr>
      <w:r>
        <w:t>Toutes les pièces, les paliers droits et tournants sont profilées et fabriquées selon les plans d'adjudication et/ou les plans d'exécution approuvés.</w:t>
      </w:r>
    </w:p>
    <w:p w14:paraId="05D38542" w14:textId="77777777" w:rsidR="004B2808" w:rsidRDefault="00000000">
      <w:pPr>
        <w:pStyle w:val="Author-eListParagraph"/>
        <w:numPr>
          <w:ilvl w:val="0"/>
          <w:numId w:val="1457"/>
        </w:numPr>
      </w:pPr>
      <w:r>
        <w:t xml:space="preserve">Une série complète d'échantillons du matériau de revêtement est soumise à l'approbation de l'auteur de projet en même temps que les plans d'exécution. Avant l'exécution, le poseur des revêtements de palier remet à l'auteur de projet : une carte des couleurs et des échantillons des marches. Un ou plusieurs échantillons (contractuels) représentatifs de l'aspect moyen, des couleurs et de la nature de la surface de la livraison. Le certificat d'origine est soumis avant la mise en œuvre des marches. </w:t>
      </w:r>
    </w:p>
    <w:p w14:paraId="1EABF6B1" w14:textId="77777777" w:rsidR="004B2808" w:rsidRDefault="00000000">
      <w:pPr>
        <w:pStyle w:val="Author-eListParagraph"/>
        <w:numPr>
          <w:ilvl w:val="0"/>
          <w:numId w:val="1457"/>
        </w:numPr>
      </w:pPr>
      <w:r>
        <w:t xml:space="preserve">En matière de sécurité incendie, les revêtements d’escaliers doivent répondre à certaines exigences en fonction de la destination du local auquel ils appartiennent. </w:t>
      </w:r>
    </w:p>
    <w:p w14:paraId="4623A33E" w14:textId="77777777" w:rsidR="004B2808" w:rsidRDefault="00000000">
      <w:pPr>
        <w:pStyle w:val="Author-eListParagraph"/>
        <w:numPr>
          <w:ilvl w:val="0"/>
          <w:numId w:val="1457"/>
        </w:numPr>
      </w:pPr>
      <w:r>
        <w:t>Support aux prescripteurs : [SWL GSI/T1/B] de la prévention passive référencé dans le tome 0 T0 Entreprise / Chantier  de ce cahier des charge.</w:t>
      </w:r>
    </w:p>
    <w:p w14:paraId="603A4B2D" w14:textId="77777777" w:rsidR="004B2808" w:rsidRDefault="00000000">
      <w:pPr>
        <w:pStyle w:val="pheading"/>
      </w:pPr>
      <w:r>
        <w:t>EXÉCUTION / MISE EN ŒUVRE</w:t>
      </w:r>
    </w:p>
    <w:p w14:paraId="3762EC64" w14:textId="77777777" w:rsidR="004B2808" w:rsidRDefault="00000000">
      <w:r>
        <w:t>La pose et la fixation du revêtement sont exécutées selon les directives du chapitre 5 de la [NIT 213] et du chapitre 6 de la [NIT 237]. Les paliers sont réalisés conformément aux dimensions indiquées sur les plans et les coupes. Les marches sont posées horizontalement et parfaitement de niveau. Les points d'appui et les éventuels ancrages sont déterminés en concertation avec l'auteur de projet, l'ingénieur stabilité, l'entrepreneur et le fabricant.</w:t>
      </w:r>
    </w:p>
    <w:p w14:paraId="69139982" w14:textId="77777777" w:rsidR="004B2808" w:rsidRDefault="00000000">
      <w:r>
        <w:t xml:space="preserve">Voir aussi </w:t>
      </w:r>
      <w:hyperlink w:anchor="377" w:history="1">
        <w:r w:rsidR="004B2808">
          <w:rPr>
            <w:color w:val="0000EE"/>
          </w:rPr>
          <w:t>57.1 Escaliers et garde-corps complets</w:t>
        </w:r>
      </w:hyperlink>
      <w:r>
        <w:t xml:space="preserve"> Escaliers et garde-corps complets.</w:t>
      </w:r>
    </w:p>
    <w:p w14:paraId="2FF5009F" w14:textId="77777777" w:rsidR="004B2808" w:rsidRDefault="00000000">
      <w:pPr>
        <w:ind w:left="750"/>
      </w:pPr>
      <w:r>
        <w:t> </w:t>
      </w:r>
    </w:p>
    <w:p w14:paraId="652598EB" w14:textId="77777777" w:rsidR="004B2808" w:rsidRDefault="00000000">
      <w:pPr>
        <w:pStyle w:val="pheading"/>
      </w:pPr>
      <w:r>
        <w:t>AIDE</w:t>
      </w:r>
    </w:p>
    <w:p w14:paraId="6E68624F" w14:textId="77777777" w:rsidR="004B2808" w:rsidRDefault="00000000">
      <w:r>
        <w:t>NOTE A L'AUTEUR DE PROJET</w:t>
      </w:r>
    </w:p>
    <w:p w14:paraId="359062F7" w14:textId="77777777" w:rsidR="004B2808" w:rsidRDefault="00000000">
      <w:r>
        <w:t> </w:t>
      </w:r>
    </w:p>
    <w:p w14:paraId="7F3177B7" w14:textId="77777777" w:rsidR="004B2808" w:rsidRDefault="00000000">
      <w:r>
        <w:rPr>
          <w:b/>
        </w:rPr>
        <w:t>Accessibilité aux personnes à mobilité réduite (PMR)</w:t>
      </w:r>
    </w:p>
    <w:p w14:paraId="27CAAD74" w14:textId="77777777" w:rsidR="004B2808" w:rsidRDefault="00000000">
      <w:r>
        <w:t>     </w:t>
      </w:r>
    </w:p>
    <w:p w14:paraId="256D0C4A" w14:textId="77777777" w:rsidR="004B2808" w:rsidRDefault="00000000">
      <w:r>
        <w:rPr>
          <w:i/>
          <w:u w:val="single"/>
        </w:rPr>
        <w:t>Général :</w:t>
      </w:r>
      <w:r>
        <w:t>   [NBN ISO 21542]</w:t>
      </w:r>
    </w:p>
    <w:p w14:paraId="637D41DB" w14:textId="77777777" w:rsidR="004B2808" w:rsidRDefault="00000000">
      <w:r>
        <w:t> </w:t>
      </w:r>
    </w:p>
    <w:p w14:paraId="575459A1" w14:textId="77777777" w:rsidR="004B2808" w:rsidRDefault="00000000">
      <w:r>
        <w:t>Contraste : différence de coefficient de réflexion (LRV) entre les paliers et les marches de minimum 60%</w:t>
      </w:r>
    </w:p>
    <w:p w14:paraId="59FF64FB" w14:textId="77777777" w:rsidR="004B2808" w:rsidRDefault="00000000">
      <w:r>
        <w:lastRenderedPageBreak/>
        <w:t> </w:t>
      </w:r>
    </w:p>
    <w:p w14:paraId="35D1D5D0" w14:textId="77777777" w:rsidR="004B2808" w:rsidRDefault="00000000">
      <w:r>
        <w:rPr>
          <w:i/>
          <w:u w:val="single"/>
        </w:rPr>
        <w:t xml:space="preserve"> Dalles d’éveil à la vigilance (ou dalles podotactiles) :</w:t>
      </w:r>
      <w:r>
        <w:t>  [SWL CALA], [NBN ISO 21542] et [NEN 1814]</w:t>
      </w:r>
    </w:p>
    <w:p w14:paraId="4E04643A" w14:textId="77777777" w:rsidR="004B2808" w:rsidRDefault="00000000">
      <w:r>
        <w:t xml:space="preserve">  </w:t>
      </w:r>
      <w:r>
        <w:br/>
        <w:t xml:space="preserve"> Position : sur les paliers, au-dessus et en-dessous de chaque volée, à 50 cm du nez de la première et de la dernière marche</w:t>
      </w:r>
    </w:p>
    <w:p w14:paraId="1985F2D8" w14:textId="77777777" w:rsidR="004B2808" w:rsidRDefault="00000000">
      <w:r>
        <w:t>Largeur : sur toute la largeur de l’escalier</w:t>
      </w:r>
    </w:p>
    <w:p w14:paraId="42C1FFEA" w14:textId="77777777" w:rsidR="004B2808" w:rsidRDefault="00000000">
      <w:r>
        <w:t>Profondeur : 60 cm minimum</w:t>
      </w:r>
    </w:p>
    <w:p w14:paraId="27839DBC" w14:textId="77777777" w:rsidR="004B2808" w:rsidRDefault="00000000">
      <w:pPr>
        <w:pStyle w:val="Author-eSectionHeading5Numberless"/>
      </w:pPr>
      <w:bookmarkStart w:id="1582" w:name="_Toc220491675"/>
      <w:r>
        <w:t>57.23.1 Paliers en pierre CCTB 01.02</w:t>
      </w:r>
      <w:bookmarkEnd w:id="1582"/>
    </w:p>
    <w:p w14:paraId="7F46F415" w14:textId="77777777" w:rsidR="004B2808" w:rsidRDefault="00000000">
      <w:pPr>
        <w:pStyle w:val="Author-eSectionHeading6Numberless"/>
      </w:pPr>
      <w:bookmarkStart w:id="1583" w:name="_Toc220491676"/>
      <w:r>
        <w:t>57.23.1a Paliers en pierre CCTB 01.11</w:t>
      </w:r>
      <w:bookmarkEnd w:id="1583"/>
    </w:p>
    <w:p w14:paraId="600ED212" w14:textId="77777777" w:rsidR="004B2808" w:rsidRDefault="00000000">
      <w:pPr>
        <w:pStyle w:val="pheading"/>
      </w:pPr>
      <w:r>
        <w:t>MATÉRIAUX</w:t>
      </w:r>
    </w:p>
    <w:p w14:paraId="339DF3E7" w14:textId="77777777" w:rsidR="004B2808" w:rsidRDefault="00000000">
      <w:pPr>
        <w:pStyle w:val="pheading"/>
      </w:pPr>
      <w:r>
        <w:t>- Caractéristiques générales</w:t>
      </w:r>
    </w:p>
    <w:p w14:paraId="4DA2A5F5" w14:textId="77777777" w:rsidR="004B2808" w:rsidRDefault="00000000">
      <w:r>
        <w:t>Les paliers d'escalier (et les contremarches correspondantes) doivent être exécutés  conformément aux [STS 45 série] .30.7.</w:t>
      </w:r>
    </w:p>
    <w:p w14:paraId="73C574F4" w14:textId="77777777" w:rsidR="004B2808" w:rsidRDefault="00000000">
      <w:pPr>
        <w:pStyle w:val="heading"/>
      </w:pPr>
      <w:r>
        <w:t>Spécifications</w:t>
      </w:r>
    </w:p>
    <w:p w14:paraId="7924A362" w14:textId="77777777" w:rsidR="004B2808" w:rsidRDefault="00000000">
      <w:pPr>
        <w:pStyle w:val="Author-eListParagraph"/>
        <w:numPr>
          <w:ilvl w:val="0"/>
          <w:numId w:val="1458"/>
        </w:numPr>
      </w:pPr>
      <w:r>
        <w:t xml:space="preserve">Nature de la pierre : </w:t>
      </w:r>
      <w:r>
        <w:rPr>
          <w:rStyle w:val="optioncarChar"/>
        </w:rPr>
        <w:t>pierre bleue , catégorie C</w:t>
      </w:r>
      <w:r>
        <w:t> (par défaut)</w:t>
      </w:r>
      <w:r>
        <w:rPr>
          <w:rStyle w:val="optioncarChar"/>
        </w:rPr>
        <w:t> / *** </w:t>
      </w:r>
    </w:p>
    <w:p w14:paraId="0D9CD26D" w14:textId="77777777" w:rsidR="004B2808" w:rsidRDefault="00000000">
      <w:pPr>
        <w:pStyle w:val="Author-eListParagraph"/>
        <w:numPr>
          <w:ilvl w:val="0"/>
          <w:numId w:val="1458"/>
        </w:numPr>
      </w:pPr>
      <w:r>
        <w:t xml:space="preserve">Aspect des faces vues : </w:t>
      </w:r>
      <w:r>
        <w:rPr>
          <w:rStyle w:val="optioncarChar"/>
        </w:rPr>
        <w:t xml:space="preserve">poli </w:t>
      </w:r>
      <w:r>
        <w:t>(par défaut) </w:t>
      </w:r>
      <w:r>
        <w:rPr>
          <w:rStyle w:val="optioncarChar"/>
        </w:rPr>
        <w:t>/ adouci / ***</w:t>
      </w:r>
    </w:p>
    <w:p w14:paraId="544161C2" w14:textId="77777777" w:rsidR="004B2808" w:rsidRDefault="00000000">
      <w:pPr>
        <w:pStyle w:val="Author-eListParagraph"/>
        <w:numPr>
          <w:ilvl w:val="0"/>
          <w:numId w:val="1458"/>
        </w:numPr>
      </w:pPr>
      <w:r>
        <w:t xml:space="preserve">Conception des paliers : </w:t>
      </w:r>
      <w:r>
        <w:rPr>
          <w:rStyle w:val="optioncarChar"/>
        </w:rPr>
        <w:t xml:space="preserve">avec nez (selon la fig. 8a) </w:t>
      </w:r>
      <w:r>
        <w:t>(par défaut) </w:t>
      </w:r>
      <w:r>
        <w:rPr>
          <w:rStyle w:val="optioncarChar"/>
        </w:rPr>
        <w:t>/ sans nez (selon la fig. 8b) / ***</w:t>
      </w:r>
    </w:p>
    <w:p w14:paraId="6B503839" w14:textId="77777777" w:rsidR="004B2808" w:rsidRDefault="00000000">
      <w:pPr>
        <w:pStyle w:val="Author-eListParagraph"/>
        <w:numPr>
          <w:ilvl w:val="0"/>
          <w:numId w:val="1458"/>
        </w:numPr>
      </w:pPr>
      <w:r>
        <w:t xml:space="preserve">Epaisseur des paliers : </w:t>
      </w:r>
      <w:r>
        <w:rPr>
          <w:rStyle w:val="optioncarChar"/>
        </w:rPr>
        <w:t xml:space="preserve">50 (pour les longueurs &lt; 120 cm ) </w:t>
      </w:r>
      <w:r>
        <w:t>(par défaut)</w:t>
      </w:r>
      <w:r>
        <w:rPr>
          <w:rStyle w:val="optioncarChar"/>
        </w:rPr>
        <w:t> / 80 (pour les longueurs &gt; 120 cm ) / ***</w:t>
      </w:r>
      <w:r>
        <w:t xml:space="preserve"> mm</w:t>
      </w:r>
    </w:p>
    <w:p w14:paraId="7F89E05C" w14:textId="77777777" w:rsidR="004B2808" w:rsidRDefault="00000000">
      <w:pPr>
        <w:pStyle w:val="Author-eListParagraph"/>
        <w:numPr>
          <w:ilvl w:val="0"/>
          <w:numId w:val="1458"/>
        </w:numPr>
      </w:pPr>
      <w:r>
        <w:t xml:space="preserve">Epaisseur des contremarches &amp; plinthes : minimum </w:t>
      </w:r>
      <w:r>
        <w:rPr>
          <w:rStyle w:val="optioncarChar"/>
        </w:rPr>
        <w:t> 20 </w:t>
      </w:r>
      <w:r>
        <w:t>(par défaut)</w:t>
      </w:r>
      <w:r>
        <w:rPr>
          <w:rStyle w:val="optioncarChar"/>
        </w:rPr>
        <w:t> / ***   </w:t>
      </w:r>
      <w:r>
        <w:t>mm.</w:t>
      </w:r>
    </w:p>
    <w:p w14:paraId="67711AC9" w14:textId="77777777" w:rsidR="004B2808" w:rsidRDefault="00000000">
      <w:pPr>
        <w:pStyle w:val="Author-eListParagraph"/>
        <w:numPr>
          <w:ilvl w:val="0"/>
          <w:numId w:val="1458"/>
        </w:numPr>
      </w:pPr>
      <w:r>
        <w:t xml:space="preserve">Modèle de plinthe : </w:t>
      </w:r>
      <w:r>
        <w:rPr>
          <w:rStyle w:val="optioncarChar"/>
        </w:rPr>
        <w:t>parallèle à la pente de l'escalier, selon les [STS 45.3] 0.6 (fig. 7a)</w:t>
      </w:r>
      <w:r>
        <w:t> (par défaut)</w:t>
      </w:r>
      <w:r>
        <w:rPr>
          <w:rStyle w:val="optioncarChar"/>
        </w:rPr>
        <w:t xml:space="preserve"> / en gradins / ***</w:t>
      </w:r>
    </w:p>
    <w:p w14:paraId="791D8A7A" w14:textId="77777777" w:rsidR="004B2808" w:rsidRDefault="00000000">
      <w:pPr>
        <w:pStyle w:val="Author-eListParagraph"/>
        <w:numPr>
          <w:ilvl w:val="0"/>
          <w:numId w:val="1458"/>
        </w:numPr>
      </w:pPr>
      <w:r>
        <w:t xml:space="preserve">Selon la [Décision 96/603/CE] et les conditions qui y sont reprises , la en pierre naturelle appartient à la classe de réaction au feu A1 </w:t>
      </w:r>
      <w:r>
        <w:rPr>
          <w:vertAlign w:val="subscript"/>
        </w:rPr>
        <w:t xml:space="preserve">FL </w:t>
      </w:r>
      <w:r>
        <w:t>.</w:t>
      </w:r>
    </w:p>
    <w:p w14:paraId="7D565504" w14:textId="77777777" w:rsidR="004B2808" w:rsidRDefault="00000000">
      <w:pPr>
        <w:pStyle w:val="Author-eListParagraph"/>
        <w:numPr>
          <w:ilvl w:val="0"/>
          <w:numId w:val="1458"/>
        </w:numPr>
      </w:pPr>
      <w:r>
        <w:t>Classe additionnelle :</w:t>
      </w:r>
    </w:p>
    <w:p w14:paraId="74086D77" w14:textId="77777777" w:rsidR="004B2808" w:rsidRDefault="00000000">
      <w:pPr>
        <w:pStyle w:val="Author-eListParagraph"/>
        <w:numPr>
          <w:ilvl w:val="0"/>
          <w:numId w:val="1458"/>
        </w:numPr>
      </w:pPr>
      <w:r>
        <w:t>Production de fumée : s1/s2</w:t>
      </w:r>
    </w:p>
    <w:p w14:paraId="025C678B" w14:textId="77777777" w:rsidR="004B2808" w:rsidRDefault="00000000">
      <w:pPr>
        <w:pStyle w:val="pheading"/>
      </w:pPr>
      <w:r>
        <w:t>- Finitions</w:t>
      </w:r>
    </w:p>
    <w:p w14:paraId="2DFCF5F8" w14:textId="77777777" w:rsidR="004B2808" w:rsidRDefault="00000000">
      <w:r>
        <w:t>Différence de LRV entre les paliers et les marches :</w:t>
      </w:r>
      <w:r>
        <w:rPr>
          <w:rStyle w:val="optioncarChar"/>
        </w:rPr>
        <w:t> au moins 60% (PMR) </w:t>
      </w:r>
      <w:r>
        <w:t>(par défaut)</w:t>
      </w:r>
      <w:r>
        <w:rPr>
          <w:rStyle w:val="optioncarChar"/>
        </w:rPr>
        <w:t> / *** </w:t>
      </w:r>
    </w:p>
    <w:p w14:paraId="5C7506F5" w14:textId="77777777" w:rsidR="004B2808" w:rsidRDefault="00000000">
      <w:pPr>
        <w:pStyle w:val="pheading"/>
      </w:pPr>
      <w:r>
        <w:t>- Prescriptions complémentaires</w:t>
      </w:r>
    </w:p>
    <w:p w14:paraId="1098CA03" w14:textId="77777777" w:rsidR="004B2808" w:rsidRDefault="00000000">
      <w:r>
        <w:t>Les paliers sont pourvus d'un revêtement antidérapant (PMR) : </w:t>
      </w:r>
      <w:r>
        <w:rPr>
          <w:rStyle w:val="optioncarChar"/>
        </w:rPr>
        <w:t>ciselage antidérapant </w:t>
      </w:r>
      <w:r>
        <w:t>(par défaut)</w:t>
      </w:r>
      <w:r>
        <w:rPr>
          <w:rStyle w:val="optioncarChar"/>
        </w:rPr>
        <w:t xml:space="preserve"> / bandes polies rugueuses / ***</w:t>
      </w:r>
      <w:r>
        <w:br/>
        <w:t xml:space="preserve">Les paliers sont pourvus de dalles podotactiles (PMR) : </w:t>
      </w:r>
      <w:r>
        <w:rPr>
          <w:rStyle w:val="optioncarChar"/>
        </w:rPr>
        <w:t xml:space="preserve">selon les recommandations du sous-titre </w:t>
      </w:r>
      <w:hyperlink w:anchor="1396" w:history="1">
        <w:r w:rsidR="004B2808">
          <w:rPr>
            <w:rStyle w:val="optioncarChar"/>
            <w:color w:val="0000EE"/>
          </w:rPr>
          <w:t>57.23 Paliers</w:t>
        </w:r>
      </w:hyperlink>
      <w:r>
        <w:rPr>
          <w:rStyle w:val="optioncarChar"/>
        </w:rPr>
        <w:t> (PMR) </w:t>
      </w:r>
      <w:r>
        <w:t>(par défaut)</w:t>
      </w:r>
      <w:r>
        <w:rPr>
          <w:rStyle w:val="optioncarChar"/>
        </w:rPr>
        <w:t> / *** </w:t>
      </w:r>
    </w:p>
    <w:p w14:paraId="508A82DF" w14:textId="77777777" w:rsidR="004B2808" w:rsidRDefault="00000000">
      <w:pPr>
        <w:pStyle w:val="pheading"/>
      </w:pPr>
      <w:r>
        <w:t>EXÉCUTION / MISE EN ŒUVRE</w:t>
      </w:r>
    </w:p>
    <w:p w14:paraId="6CCB7E2D" w14:textId="77777777" w:rsidR="004B2808" w:rsidRDefault="00000000">
      <w:pPr>
        <w:pStyle w:val="pheading"/>
      </w:pPr>
      <w:r>
        <w:t>- Prescriptions générales</w:t>
      </w:r>
    </w:p>
    <w:p w14:paraId="55B46408" w14:textId="77777777" w:rsidR="004B2808" w:rsidRDefault="00000000">
      <w:r>
        <w:t>Tous les revêtements sont posés à plein bain de mortier, jusqu'à saturation des joints.</w:t>
      </w:r>
    </w:p>
    <w:p w14:paraId="046E5F1A" w14:textId="77777777" w:rsidR="004B2808" w:rsidRDefault="00000000">
      <w:pPr>
        <w:pStyle w:val="pheading"/>
      </w:pPr>
      <w:r>
        <w:t>MESURAGE</w:t>
      </w:r>
    </w:p>
    <w:p w14:paraId="194313E8" w14:textId="77777777" w:rsidR="004B2808" w:rsidRDefault="00000000">
      <w:r>
        <w:t>Conformément aux indications spécifiques dans le cahier spécial des charges et/ou le métré récapitulatif, le mesurage doit être conçu comme suit :</w:t>
      </w:r>
    </w:p>
    <w:p w14:paraId="3D5F6C3F" w14:textId="77777777" w:rsidR="004B2808" w:rsidRDefault="00000000">
      <w:pPr>
        <w:pStyle w:val="pheading"/>
      </w:pPr>
      <w:r>
        <w:t>- unité de mesure:</w:t>
      </w:r>
    </w:p>
    <w:p w14:paraId="10C872DF" w14:textId="77777777" w:rsidR="004B2808" w:rsidRDefault="00000000">
      <w:r>
        <w:t>p</w:t>
      </w:r>
    </w:p>
    <w:p w14:paraId="74EBA183" w14:textId="77777777" w:rsidR="004B2808" w:rsidRDefault="00000000">
      <w:pPr>
        <w:pStyle w:val="pheading"/>
      </w:pPr>
      <w:r>
        <w:t>- code de mesurage:</w:t>
      </w:r>
    </w:p>
    <w:p w14:paraId="0EA009E4" w14:textId="77777777" w:rsidR="004B2808" w:rsidRDefault="00000000">
      <w:r>
        <w:lastRenderedPageBreak/>
        <w:t>Par palier, éventuellement en fonction des paliers droits et tournants, y compris les plinthes et les contremarches</w:t>
      </w:r>
    </w:p>
    <w:p w14:paraId="2CA82780" w14:textId="77777777" w:rsidR="004B2808" w:rsidRDefault="00000000">
      <w:pPr>
        <w:pStyle w:val="pheading"/>
      </w:pPr>
      <w:r>
        <w:t>- nature du marché:</w:t>
      </w:r>
    </w:p>
    <w:p w14:paraId="4A0031C4" w14:textId="77777777" w:rsidR="004B2808" w:rsidRDefault="00000000">
      <w:r>
        <w:t>QF</w:t>
      </w:r>
    </w:p>
    <w:p w14:paraId="048204FF" w14:textId="77777777" w:rsidR="004B2808" w:rsidRDefault="00000000">
      <w:pPr>
        <w:pStyle w:val="Author-eSectionHeading6Numberless"/>
      </w:pPr>
      <w:bookmarkStart w:id="1584" w:name="_Toc220491677"/>
      <w:r>
        <w:t>57.23.1b Paliers en pierre - en mosaïques de marbre CCTB 01.10</w:t>
      </w:r>
      <w:bookmarkEnd w:id="1584"/>
    </w:p>
    <w:p w14:paraId="0B06677B" w14:textId="77777777" w:rsidR="004B2808" w:rsidRDefault="00000000">
      <w:pPr>
        <w:pStyle w:val="pheading"/>
      </w:pPr>
      <w:r>
        <w:t>MATÉRIAUX</w:t>
      </w:r>
    </w:p>
    <w:p w14:paraId="0FBCA00B" w14:textId="77777777" w:rsidR="004B2808" w:rsidRDefault="00000000">
      <w:pPr>
        <w:pStyle w:val="pheading"/>
      </w:pPr>
      <w:r>
        <w:t>- Caractéristiques générales</w:t>
      </w:r>
    </w:p>
    <w:p w14:paraId="52548EFA" w14:textId="77777777" w:rsidR="004B2808" w:rsidRDefault="00000000">
      <w:r>
        <w:t>Les paliers d'escalier et les contremarches sont exécutées en bandes fabriquées en mosaïque de marbre, composition, conformément à la [STS 45 série] .09.22.11. Toutes les faces vues doivent être soigneusement polies. Les angles et les bords sont arrondis.</w:t>
      </w:r>
    </w:p>
    <w:p w14:paraId="10FDE384" w14:textId="77777777" w:rsidR="004B2808" w:rsidRDefault="00000000">
      <w:r>
        <w:t>Attention : Les marches autoportantes doivent être armées.</w:t>
      </w:r>
    </w:p>
    <w:p w14:paraId="770DF87F" w14:textId="77777777" w:rsidR="004B2808" w:rsidRDefault="00000000">
      <w:pPr>
        <w:pStyle w:val="heading"/>
      </w:pPr>
      <w:r>
        <w:t>Spécifications</w:t>
      </w:r>
    </w:p>
    <w:p w14:paraId="6E030D28" w14:textId="77777777" w:rsidR="004B2808" w:rsidRDefault="00000000">
      <w:pPr>
        <w:pStyle w:val="Author-eListParagraph"/>
        <w:numPr>
          <w:ilvl w:val="0"/>
          <w:numId w:val="1459"/>
        </w:numPr>
      </w:pPr>
      <w:r>
        <w:t xml:space="preserve">Résistance : minimum </w:t>
      </w:r>
      <w:r>
        <w:rPr>
          <w:rStyle w:val="optioncarChar"/>
        </w:rPr>
        <w:t>450</w:t>
      </w:r>
      <w:r>
        <w:t> (par défaut)</w:t>
      </w:r>
      <w:r>
        <w:rPr>
          <w:rStyle w:val="optioncarChar"/>
        </w:rPr>
        <w:t> / ***  </w:t>
      </w:r>
      <w:r>
        <w:t>  kg/cm²</w:t>
      </w:r>
    </w:p>
    <w:p w14:paraId="061C9C77" w14:textId="77777777" w:rsidR="004B2808" w:rsidRDefault="00000000">
      <w:pPr>
        <w:pStyle w:val="Author-eListParagraph"/>
        <w:numPr>
          <w:ilvl w:val="0"/>
          <w:numId w:val="1459"/>
        </w:numPr>
      </w:pPr>
      <w:r>
        <w:t xml:space="preserve">Epaisseur des paliers : minimum </w:t>
      </w:r>
      <w:r>
        <w:rPr>
          <w:rStyle w:val="optioncarChar"/>
        </w:rPr>
        <w:t>45 </w:t>
      </w:r>
      <w:r>
        <w:t>(par défaut)</w:t>
      </w:r>
      <w:r>
        <w:rPr>
          <w:rStyle w:val="optioncarChar"/>
        </w:rPr>
        <w:t xml:space="preserve"> / 50 / *** </w:t>
      </w:r>
      <w:r>
        <w:t>mm</w:t>
      </w:r>
    </w:p>
    <w:p w14:paraId="12AB281F" w14:textId="77777777" w:rsidR="004B2808" w:rsidRDefault="00000000">
      <w:pPr>
        <w:pStyle w:val="Author-eListParagraph"/>
        <w:numPr>
          <w:ilvl w:val="0"/>
          <w:numId w:val="1459"/>
        </w:numPr>
      </w:pPr>
      <w:r>
        <w:t xml:space="preserve">Epaisseur des plinthes : minimum </w:t>
      </w:r>
      <w:r>
        <w:rPr>
          <w:rStyle w:val="optioncarChar"/>
        </w:rPr>
        <w:t>20 </w:t>
      </w:r>
      <w:r>
        <w:t>(par défaut)</w:t>
      </w:r>
      <w:r>
        <w:rPr>
          <w:rStyle w:val="optioncarChar"/>
        </w:rPr>
        <w:t xml:space="preserve"> / 30 / *** </w:t>
      </w:r>
      <w:r>
        <w:t>mm</w:t>
      </w:r>
    </w:p>
    <w:p w14:paraId="4B2EEB27" w14:textId="77777777" w:rsidR="004B2808" w:rsidRDefault="00000000">
      <w:pPr>
        <w:pStyle w:val="Author-eListParagraph"/>
        <w:numPr>
          <w:ilvl w:val="0"/>
          <w:numId w:val="1459"/>
        </w:numPr>
      </w:pPr>
      <w:r>
        <w:t>Conception des paliers :</w:t>
      </w:r>
      <w:r>
        <w:rPr>
          <w:rStyle w:val="optioncarChar"/>
        </w:rPr>
        <w:t> avec nez (selon les [STS 45 série] fig. 8a) </w:t>
      </w:r>
      <w:r>
        <w:t>(par défaut)</w:t>
      </w:r>
      <w:r>
        <w:rPr>
          <w:rStyle w:val="optioncarChar"/>
        </w:rPr>
        <w:t xml:space="preserve"> / sans nez (selon les [STS 45 série] fig. 8b)</w:t>
      </w:r>
    </w:p>
    <w:p w14:paraId="6200125B" w14:textId="77777777" w:rsidR="004B2808" w:rsidRDefault="00000000">
      <w:pPr>
        <w:pStyle w:val="Author-eListParagraph"/>
        <w:numPr>
          <w:ilvl w:val="0"/>
          <w:numId w:val="1459"/>
        </w:numPr>
      </w:pPr>
      <w:r>
        <w:t>Bords des paliers :</w:t>
      </w:r>
      <w:r>
        <w:rPr>
          <w:rStyle w:val="optioncarChar"/>
        </w:rPr>
        <w:t> droits</w:t>
      </w:r>
      <w:r>
        <w:t> (par défaut)</w:t>
      </w:r>
      <w:r>
        <w:rPr>
          <w:rStyle w:val="optioncarChar"/>
        </w:rPr>
        <w:t xml:space="preserve"> / arrondis / *** </w:t>
      </w:r>
      <w:r>
        <w:t>(rayon de courbure : </w:t>
      </w:r>
      <w:r>
        <w:rPr>
          <w:rStyle w:val="optioncarChar"/>
        </w:rPr>
        <w:t>5 </w:t>
      </w:r>
      <w:r>
        <w:t>(par défaut)</w:t>
      </w:r>
      <w:r>
        <w:rPr>
          <w:rStyle w:val="optioncarChar"/>
        </w:rPr>
        <w:t xml:space="preserve"> / 8 / ***</w:t>
      </w:r>
      <w:r>
        <w:t xml:space="preserve"> mm )</w:t>
      </w:r>
    </w:p>
    <w:p w14:paraId="37CD0912" w14:textId="77777777" w:rsidR="004B2808" w:rsidRDefault="00000000">
      <w:pPr>
        <w:pStyle w:val="Author-eListParagraph"/>
        <w:numPr>
          <w:ilvl w:val="0"/>
          <w:numId w:val="1459"/>
        </w:numPr>
      </w:pPr>
      <w:r>
        <w:t xml:space="preserve">Selon la [Décision 96/603/CE] et les conditions qui y sont reprises , le béton appartient à la classe de réaction au feu A1 </w:t>
      </w:r>
      <w:r>
        <w:rPr>
          <w:vertAlign w:val="subscript"/>
        </w:rPr>
        <w:t xml:space="preserve">FL </w:t>
      </w:r>
      <w:r>
        <w:t>.</w:t>
      </w:r>
    </w:p>
    <w:p w14:paraId="4FE1D37A" w14:textId="77777777" w:rsidR="004B2808" w:rsidRDefault="00000000">
      <w:pPr>
        <w:pStyle w:val="pheading"/>
      </w:pPr>
      <w:r>
        <w:t>- Finitions</w:t>
      </w:r>
    </w:p>
    <w:p w14:paraId="257AC44A" w14:textId="77777777" w:rsidR="004B2808" w:rsidRDefault="00000000">
      <w:r>
        <w:t xml:space="preserve">Catégorie : </w:t>
      </w:r>
      <w:r>
        <w:rPr>
          <w:rStyle w:val="optioncarChar"/>
        </w:rPr>
        <w:t>grain fin 2 à 4 mm</w:t>
      </w:r>
      <w:r>
        <w:t xml:space="preserve"> (par défaut) </w:t>
      </w:r>
      <w:r>
        <w:rPr>
          <w:rStyle w:val="optioncarChar"/>
        </w:rPr>
        <w:t>/ grain moyen 4 à 10 mm / ***</w:t>
      </w:r>
      <w:r>
        <w:br/>
        <w:t>Nuance de couleur :</w:t>
      </w:r>
      <w:r>
        <w:rPr>
          <w:rStyle w:val="optioncarChar"/>
        </w:rPr>
        <w:t xml:space="preserve"> l'entrepreneur soumet une carte d'échantillons d'au moins cinq coloris </w:t>
      </w:r>
      <w:r>
        <w:t>(par défaut)</w:t>
      </w:r>
      <w:r>
        <w:rPr>
          <w:rStyle w:val="optioncarChar"/>
        </w:rPr>
        <w:t> / *** . </w:t>
      </w:r>
      <w:r>
        <w:br/>
        <w:t xml:space="preserve">Différence de LRV entre les paliers et les marches : </w:t>
      </w:r>
      <w:r>
        <w:rPr>
          <w:rStyle w:val="optioncarChar"/>
        </w:rPr>
        <w:t>au moins 60% (PMR) </w:t>
      </w:r>
      <w:r>
        <w:t>(par défaut)</w:t>
      </w:r>
      <w:r>
        <w:rPr>
          <w:rStyle w:val="optioncarChar"/>
        </w:rPr>
        <w:t> / *** </w:t>
      </w:r>
    </w:p>
    <w:p w14:paraId="71C923F8" w14:textId="77777777" w:rsidR="004B2808" w:rsidRDefault="00000000">
      <w:pPr>
        <w:pStyle w:val="pheading"/>
      </w:pPr>
      <w:r>
        <w:t>- Prescriptions complémentaires</w:t>
      </w:r>
    </w:p>
    <w:p w14:paraId="4C75E02C" w14:textId="77777777" w:rsidR="004B2808" w:rsidRDefault="00000000">
      <w:r>
        <w:t xml:space="preserve">Tous les paliers sont pourvus de bandes antidérapantes (PMR) qui sont insérées dans une rainure à au moins </w:t>
      </w:r>
      <w:r>
        <w:rPr>
          <w:rStyle w:val="optioncarChar"/>
        </w:rPr>
        <w:t>2 </w:t>
      </w:r>
      <w:r>
        <w:t>(par défaut)</w:t>
      </w:r>
      <w:r>
        <w:rPr>
          <w:rStyle w:val="optioncarChar"/>
        </w:rPr>
        <w:t> / *** </w:t>
      </w:r>
      <w:r>
        <w:t xml:space="preserve">  cm du bord </w:t>
      </w:r>
      <w:r>
        <w:rPr>
          <w:rStyle w:val="optioncarChar"/>
        </w:rPr>
        <w:t>un profil en PVC dur, avec insert en PVC doux avec surface rugueuse</w:t>
      </w:r>
      <w:r>
        <w:t> (par défaut)</w:t>
      </w:r>
      <w:r>
        <w:rPr>
          <w:rStyle w:val="optioncarChar"/>
        </w:rPr>
        <w:t xml:space="preserve"> / un profil en PVC dur, avec des bandes en PVC antidérapantes souples coëxtrudées / un profil en PVC doux, sans insert, la face supérieure sera nervurée / un profil en caoutchouc / ***</w:t>
      </w:r>
      <w:r>
        <w:br/>
        <w:t xml:space="preserve">Les paliers sont pourvus de dalles podotactiles (PMR) : </w:t>
      </w:r>
      <w:r>
        <w:rPr>
          <w:rStyle w:val="optioncarChar"/>
        </w:rPr>
        <w:t xml:space="preserve">selon les recommandations du sous-titre </w:t>
      </w:r>
      <w:hyperlink w:anchor="1396" w:history="1">
        <w:r w:rsidR="004B2808">
          <w:rPr>
            <w:rStyle w:val="optioncarChar"/>
            <w:color w:val="0000EE"/>
          </w:rPr>
          <w:t>57.23 Paliers</w:t>
        </w:r>
      </w:hyperlink>
      <w:r>
        <w:rPr>
          <w:rStyle w:val="optioncarChar"/>
        </w:rPr>
        <w:t> (PMR)</w:t>
      </w:r>
      <w:r>
        <w:t> (par défaut)</w:t>
      </w:r>
    </w:p>
    <w:p w14:paraId="6125D438" w14:textId="77777777" w:rsidR="004B2808" w:rsidRDefault="00000000">
      <w:pPr>
        <w:pStyle w:val="heading"/>
      </w:pPr>
      <w:r>
        <w:t>Spécifications</w:t>
      </w:r>
    </w:p>
    <w:p w14:paraId="034B5931" w14:textId="77777777" w:rsidR="004B2808" w:rsidRDefault="00000000">
      <w:pPr>
        <w:pStyle w:val="Author-eListParagraph"/>
        <w:numPr>
          <w:ilvl w:val="0"/>
          <w:numId w:val="1460"/>
        </w:numPr>
      </w:pPr>
      <w:r>
        <w:t xml:space="preserve">Forme : en L avec nez </w:t>
      </w:r>
      <w:r>
        <w:rPr>
          <w:rStyle w:val="optioncarChar"/>
        </w:rPr>
        <w:t xml:space="preserve">droit </w:t>
      </w:r>
      <w:r>
        <w:t>(par défaut) </w:t>
      </w:r>
      <w:r>
        <w:rPr>
          <w:rStyle w:val="optioncarChar"/>
        </w:rPr>
        <w:t xml:space="preserve">/ oblique / arrondi. </w:t>
      </w:r>
    </w:p>
    <w:p w14:paraId="7CA94F0A" w14:textId="77777777" w:rsidR="004B2808" w:rsidRDefault="00000000">
      <w:pPr>
        <w:pStyle w:val="Author-eListParagraph"/>
        <w:numPr>
          <w:ilvl w:val="0"/>
          <w:numId w:val="1460"/>
        </w:numPr>
      </w:pPr>
      <w:r>
        <w:t xml:space="preserve">Coloris : </w:t>
      </w:r>
      <w:r>
        <w:rPr>
          <w:rStyle w:val="optioncarChar"/>
        </w:rPr>
        <w:t>noir</w:t>
      </w:r>
      <w:r>
        <w:t> (par défaut)</w:t>
      </w:r>
      <w:r>
        <w:rPr>
          <w:rStyle w:val="optioncarChar"/>
        </w:rPr>
        <w:t> / ***</w:t>
      </w:r>
      <w:r>
        <w:t> </w:t>
      </w:r>
    </w:p>
    <w:p w14:paraId="064A3337" w14:textId="77777777" w:rsidR="004B2808" w:rsidRDefault="00000000">
      <w:pPr>
        <w:pStyle w:val="Author-eListParagraph"/>
        <w:numPr>
          <w:ilvl w:val="0"/>
          <w:numId w:val="1460"/>
        </w:numPr>
      </w:pPr>
      <w:r>
        <w:t xml:space="preserve">Dimensions : </w:t>
      </w:r>
      <w:r>
        <w:rPr>
          <w:rStyle w:val="optioncarChar"/>
        </w:rPr>
        <w:t xml:space="preserve">*** </w:t>
      </w:r>
      <w:r>
        <w:t xml:space="preserve">x </w:t>
      </w:r>
      <w:r>
        <w:rPr>
          <w:rStyle w:val="optioncarChar"/>
        </w:rPr>
        <w:t xml:space="preserve">*** </w:t>
      </w:r>
      <w:r>
        <w:t>mm (la hauteur de l'arrière est adaptée en fonction de l'épaisseur du revêtement attenant. Une série complète d'échantillons est soumise à l'approbation de l'auteur de projet.</w:t>
      </w:r>
    </w:p>
    <w:p w14:paraId="679B83D8" w14:textId="77777777" w:rsidR="004B2808" w:rsidRDefault="00000000">
      <w:r>
        <w:rPr>
          <w:i/>
          <w:u w:val="single"/>
        </w:rPr>
        <w:t>&lt;Remarque</w:t>
      </w:r>
      <w:r>
        <w:br/>
        <w:t>Le choix du profil dépend du revêtement d'escalier auquel il se raccorde. La documentation du fabricant à ce sujet doit être consultée.</w:t>
      </w:r>
    </w:p>
    <w:p w14:paraId="541DDE84" w14:textId="77777777" w:rsidR="004B2808" w:rsidRDefault="00000000">
      <w:pPr>
        <w:pStyle w:val="pheading"/>
      </w:pPr>
      <w:r>
        <w:t>EXÉCUTION / MISE EN ŒUVRE</w:t>
      </w:r>
    </w:p>
    <w:p w14:paraId="18EE611F" w14:textId="77777777" w:rsidR="004B2808" w:rsidRDefault="00000000">
      <w:pPr>
        <w:pStyle w:val="pheading"/>
      </w:pPr>
      <w:r>
        <w:t>- Prescriptions générales</w:t>
      </w:r>
    </w:p>
    <w:p w14:paraId="0C109CB6" w14:textId="77777777" w:rsidR="004B2808" w:rsidRDefault="00000000">
      <w:r>
        <w:lastRenderedPageBreak/>
        <w:t>Tous les revêtements sont posés à plein bain de mortier, jusqu'à saturation des joints.</w:t>
      </w:r>
    </w:p>
    <w:p w14:paraId="7458994D" w14:textId="77777777" w:rsidR="004B2808" w:rsidRDefault="00000000">
      <w:pPr>
        <w:pStyle w:val="pheading"/>
      </w:pPr>
      <w:r>
        <w:t>- Notes d’exécution complémentaires</w:t>
      </w:r>
    </w:p>
    <w:p w14:paraId="05FE1F1B" w14:textId="77777777" w:rsidR="004B2808" w:rsidRDefault="00000000">
      <w:r>
        <w:t>Le palier est posé selon le § 9.55.6 de la [NIT 165] avec de la colle et des vis, selon les prescriptions du fabricant.</w:t>
      </w:r>
    </w:p>
    <w:p w14:paraId="00FBF34E" w14:textId="77777777" w:rsidR="004B2808" w:rsidRDefault="00000000">
      <w:pPr>
        <w:pStyle w:val="pheading"/>
      </w:pPr>
      <w:r>
        <w:t>MESURAGE</w:t>
      </w:r>
    </w:p>
    <w:p w14:paraId="5CB1960E" w14:textId="77777777" w:rsidR="004B2808" w:rsidRDefault="00000000">
      <w:r>
        <w:t>Conformément aux indications spécifiques dans le cahier spécial des charges et/ou le métré récapitulatif, le mesurage doit être conçu comme suit :</w:t>
      </w:r>
    </w:p>
    <w:p w14:paraId="23D68310" w14:textId="77777777" w:rsidR="004B2808" w:rsidRDefault="00000000">
      <w:pPr>
        <w:pStyle w:val="pheading"/>
      </w:pPr>
      <w:r>
        <w:t>- unité de mesure:</w:t>
      </w:r>
    </w:p>
    <w:p w14:paraId="776EB1EF" w14:textId="77777777" w:rsidR="004B2808" w:rsidRDefault="00000000">
      <w:r>
        <w:t>p</w:t>
      </w:r>
    </w:p>
    <w:p w14:paraId="6CAD15B5" w14:textId="77777777" w:rsidR="004B2808" w:rsidRDefault="00000000">
      <w:pPr>
        <w:pStyle w:val="pheading"/>
      </w:pPr>
      <w:r>
        <w:t>- code de mesurage:</w:t>
      </w:r>
    </w:p>
    <w:p w14:paraId="4726B292" w14:textId="77777777" w:rsidR="004B2808" w:rsidRDefault="00000000">
      <w:r>
        <w:t>Par palier, éventuellement en fonction des paliers droits et tournants, y compris les plinthes et les contremarches</w:t>
      </w:r>
    </w:p>
    <w:p w14:paraId="329D6195" w14:textId="77777777" w:rsidR="004B2808" w:rsidRDefault="00000000">
      <w:pPr>
        <w:pStyle w:val="pheading"/>
      </w:pPr>
      <w:r>
        <w:t>- nature du marché:</w:t>
      </w:r>
    </w:p>
    <w:p w14:paraId="5AB56319" w14:textId="77777777" w:rsidR="004B2808" w:rsidRDefault="00000000">
      <w:r>
        <w:t>QF</w:t>
      </w:r>
    </w:p>
    <w:p w14:paraId="7BA7AB57" w14:textId="77777777" w:rsidR="004B2808" w:rsidRDefault="00000000">
      <w:pPr>
        <w:pStyle w:val="Author-eSectionHeading5Numberless"/>
      </w:pPr>
      <w:bookmarkStart w:id="1585" w:name="_Toc220491678"/>
      <w:r>
        <w:t>57.23.2 Paliers en béton armé CCTB 01.02</w:t>
      </w:r>
      <w:bookmarkEnd w:id="1585"/>
    </w:p>
    <w:p w14:paraId="6A653312" w14:textId="77777777" w:rsidR="004B2808" w:rsidRDefault="00000000">
      <w:pPr>
        <w:pStyle w:val="Author-eSectionHeading6Numberless"/>
      </w:pPr>
      <w:bookmarkStart w:id="1586" w:name="_Toc220491679"/>
      <w:r>
        <w:t>57.23.2a Paliers en béton armé coulés sur place CCTB 01.02</w:t>
      </w:r>
      <w:bookmarkEnd w:id="1586"/>
    </w:p>
    <w:p w14:paraId="47652D27" w14:textId="77777777" w:rsidR="004B2808" w:rsidRDefault="00000000">
      <w:pPr>
        <w:pStyle w:val="Author-eSectionHeading6Numberless"/>
      </w:pPr>
      <w:bookmarkStart w:id="1587" w:name="_Toc220491680"/>
      <w:r>
        <w:t>57.23.2b Paliers préfabriqués en béton armé  CCTB 01.02</w:t>
      </w:r>
      <w:bookmarkEnd w:id="1587"/>
    </w:p>
    <w:p w14:paraId="0F82156D" w14:textId="77777777" w:rsidR="004B2808" w:rsidRDefault="00000000">
      <w:pPr>
        <w:pStyle w:val="Author-eSectionHeading5Numberless"/>
      </w:pPr>
      <w:bookmarkStart w:id="1588" w:name="_Toc220491681"/>
      <w:r>
        <w:t>57.23.3 Paliers en bois CCTB 01.02</w:t>
      </w:r>
      <w:bookmarkEnd w:id="1588"/>
    </w:p>
    <w:p w14:paraId="0C7CAB6D" w14:textId="77777777" w:rsidR="004B2808" w:rsidRDefault="00000000">
      <w:pPr>
        <w:pStyle w:val="Author-eSectionHeading6Numberless"/>
      </w:pPr>
      <w:bookmarkStart w:id="1589" w:name="_Toc220491682"/>
      <w:r>
        <w:t>57.23.3a Paliers en bois CCTB 01.11</w:t>
      </w:r>
      <w:bookmarkEnd w:id="1589"/>
    </w:p>
    <w:p w14:paraId="25C92A40" w14:textId="77777777" w:rsidR="004B2808" w:rsidRDefault="00000000">
      <w:pPr>
        <w:pStyle w:val="pheading"/>
      </w:pPr>
      <w:r>
        <w:t>MATÉRIAUX</w:t>
      </w:r>
    </w:p>
    <w:p w14:paraId="31668ED3" w14:textId="77777777" w:rsidR="004B2808" w:rsidRDefault="00000000">
      <w:pPr>
        <w:pStyle w:val="pheading"/>
      </w:pPr>
      <w:r>
        <w:t>- Caractéristiques générales</w:t>
      </w:r>
    </w:p>
    <w:p w14:paraId="4682099F" w14:textId="77777777" w:rsidR="004B2808" w:rsidRDefault="00000000">
      <w:r>
        <w:t xml:space="preserve">Il s'agit de paliers réalisés en bois massif, essence : </w:t>
      </w:r>
      <w:r>
        <w:rPr>
          <w:rStyle w:val="optioncarChar"/>
        </w:rPr>
        <w:t xml:space="preserve">Hêtre </w:t>
      </w:r>
      <w:r>
        <w:t xml:space="preserve">(par défaut) </w:t>
      </w:r>
      <w:r>
        <w:rPr>
          <w:rStyle w:val="optioncarChar"/>
        </w:rPr>
        <w:t>/ Chêne / Châtaignier / Tilleul / Douglas / Épicéa / Pin sylvestre / ***</w:t>
      </w:r>
      <w:r>
        <w:t>.</w:t>
      </w:r>
    </w:p>
    <w:p w14:paraId="05B7F1DB" w14:textId="77777777" w:rsidR="004B2808" w:rsidRDefault="00000000">
      <w:pPr>
        <w:ind w:left="567"/>
      </w:pPr>
      <w:r>
        <w:rPr>
          <w:b/>
        </w:rPr>
        <w:t xml:space="preserve">(soit par défaut) </w:t>
      </w:r>
      <w:r>
        <w:rPr>
          <w:rStyle w:val="soitChar"/>
        </w:rPr>
        <w:t xml:space="preserve">Hêtre (FASY) - </w:t>
      </w:r>
      <w:r>
        <w:rPr>
          <w:rStyle w:val="soitChar"/>
          <w:i/>
        </w:rPr>
        <w:t xml:space="preserve">Fagus sylvatica L. </w:t>
      </w:r>
      <w:r>
        <w:rPr>
          <w:rStyle w:val="soitChar"/>
        </w:rPr>
        <w:t xml:space="preserve">selon la [NBN EN 13556]. Qualité : </w:t>
      </w:r>
      <w:r>
        <w:rPr>
          <w:rStyle w:val="optioncarChar"/>
        </w:rPr>
        <w:t xml:space="preserve">1er choix / 2ème choix </w:t>
      </w:r>
      <w:r>
        <w:rPr>
          <w:rStyle w:val="soitChar"/>
        </w:rPr>
        <w:t>la norme [NBN EN 975-1] ). Le bois mis en œuvre est exempt de cœur rouge.</w:t>
      </w:r>
    </w:p>
    <w:p w14:paraId="7CC610E8" w14:textId="77777777" w:rsidR="004B2808" w:rsidRDefault="00000000">
      <w:pPr>
        <w:ind w:left="567"/>
      </w:pPr>
      <w:r>
        <w:rPr>
          <w:b/>
        </w:rPr>
        <w:t>(soit)</w:t>
      </w:r>
      <w:r>
        <w:rPr>
          <w:rStyle w:val="soitChar"/>
        </w:rPr>
        <w:t xml:space="preserve">Chêne (QCXE) – </w:t>
      </w:r>
      <w:r>
        <w:rPr>
          <w:rStyle w:val="soitChar"/>
          <w:i/>
        </w:rPr>
        <w:t xml:space="preserve">Quercus robur L. / Quercus petraea (Matt.) Liebl. </w:t>
      </w:r>
      <w:r>
        <w:rPr>
          <w:rStyle w:val="soitChar"/>
        </w:rPr>
        <w:t>selon la [NBN EN 13556]≥</w:t>
      </w:r>
    </w:p>
    <w:p w14:paraId="558396E1" w14:textId="77777777" w:rsidR="004B2808" w:rsidRDefault="00000000">
      <w:pPr>
        <w:ind w:left="567"/>
      </w:pPr>
      <w:r>
        <w:rPr>
          <w:b/>
        </w:rPr>
        <w:t>(soit)</w:t>
      </w:r>
      <w:r>
        <w:rPr>
          <w:rStyle w:val="soitChar"/>
        </w:rPr>
        <w:t xml:space="preserve">Châtaignier (CTST) - </w:t>
      </w:r>
      <w:r>
        <w:rPr>
          <w:rStyle w:val="soitChar"/>
          <w:i/>
        </w:rPr>
        <w:t xml:space="preserve">Castanea sativa Miller </w:t>
      </w:r>
      <w:r>
        <w:rPr>
          <w:rStyle w:val="soitChar"/>
        </w:rPr>
        <w:t>selon la [NBN EN 13556]</w:t>
      </w:r>
    </w:p>
    <w:p w14:paraId="344026A8" w14:textId="77777777" w:rsidR="004B2808" w:rsidRDefault="00000000">
      <w:pPr>
        <w:ind w:left="567"/>
      </w:pPr>
      <w:r>
        <w:rPr>
          <w:b/>
        </w:rPr>
        <w:t>(soit)</w:t>
      </w:r>
      <w:r>
        <w:rPr>
          <w:rStyle w:val="soitChar"/>
        </w:rPr>
        <w:t xml:space="preserve">Tilleul (TIXX) - </w:t>
      </w:r>
      <w:r>
        <w:rPr>
          <w:rStyle w:val="soitChar"/>
          <w:i/>
        </w:rPr>
        <w:t xml:space="preserve">Tilia spp. </w:t>
      </w:r>
      <w:r>
        <w:rPr>
          <w:rStyle w:val="soitChar"/>
        </w:rPr>
        <w:t>selon la [NBN EN 13556]</w:t>
      </w:r>
      <w:r>
        <w:br/>
      </w:r>
    </w:p>
    <w:p w14:paraId="1C17CA9C" w14:textId="77777777" w:rsidR="004B2808" w:rsidRDefault="00000000">
      <w:pPr>
        <w:ind w:left="567"/>
      </w:pPr>
      <w:r>
        <w:rPr>
          <w:b/>
        </w:rPr>
        <w:t>(soit)</w:t>
      </w:r>
      <w:r>
        <w:rPr>
          <w:rStyle w:val="soitChar"/>
        </w:rPr>
        <w:t xml:space="preserve">Douglas (PSMN) - </w:t>
      </w:r>
      <w:r>
        <w:rPr>
          <w:rStyle w:val="soitChar"/>
          <w:i/>
        </w:rPr>
        <w:t xml:space="preserve">Castanea sativa Miller </w:t>
      </w:r>
      <w:r>
        <w:rPr>
          <w:rStyle w:val="soitChar"/>
        </w:rPr>
        <w:t>selon la [NBN EN 13556]</w:t>
      </w:r>
    </w:p>
    <w:p w14:paraId="57C47266" w14:textId="77777777" w:rsidR="004B2808" w:rsidRDefault="00000000">
      <w:pPr>
        <w:ind w:left="567"/>
      </w:pPr>
      <w:r>
        <w:rPr>
          <w:b/>
        </w:rPr>
        <w:t>(soit)</w:t>
      </w:r>
      <w:r>
        <w:rPr>
          <w:rStyle w:val="soitChar"/>
        </w:rPr>
        <w:t xml:space="preserve">Épicéa (PCAB) - </w:t>
      </w:r>
      <w:r>
        <w:rPr>
          <w:rStyle w:val="soitChar"/>
          <w:i/>
        </w:rPr>
        <w:t xml:space="preserve">Picea abies </w:t>
      </w:r>
      <w:r>
        <w:rPr>
          <w:rStyle w:val="soitChar"/>
        </w:rPr>
        <w:t>selon la [NBN EN 13556]</w:t>
      </w:r>
    </w:p>
    <w:p w14:paraId="2665A7F2" w14:textId="77777777" w:rsidR="004B2808" w:rsidRDefault="00000000">
      <w:pPr>
        <w:ind w:left="567"/>
      </w:pPr>
      <w:r>
        <w:rPr>
          <w:b/>
        </w:rPr>
        <w:t>(soit)</w:t>
      </w:r>
      <w:r>
        <w:rPr>
          <w:rStyle w:val="soitChar"/>
        </w:rPr>
        <w:t xml:space="preserve">Pin sylvestre (PNSY) - </w:t>
      </w:r>
      <w:r>
        <w:rPr>
          <w:rStyle w:val="soitChar"/>
          <w:i/>
        </w:rPr>
        <w:t xml:space="preserve">Pinus sylvestris </w:t>
      </w:r>
      <w:r>
        <w:rPr>
          <w:rStyle w:val="soitChar"/>
        </w:rPr>
        <w:t>selon la [NBN EN 13556]</w:t>
      </w:r>
    </w:p>
    <w:p w14:paraId="24E8B02E" w14:textId="77777777" w:rsidR="004B2808" w:rsidRDefault="00000000">
      <w:pPr>
        <w:ind w:left="567"/>
      </w:pPr>
      <w:r>
        <w:rPr>
          <w:b/>
        </w:rPr>
        <w:t>(soit)</w:t>
      </w:r>
      <w:r>
        <w:rPr>
          <w:rStyle w:val="optioncarChar"/>
        </w:rPr>
        <w:t>***</w:t>
      </w:r>
    </w:p>
    <w:p w14:paraId="0DBB9035" w14:textId="77777777" w:rsidR="004B2808" w:rsidRDefault="00000000">
      <w:r>
        <w:t>Avant la mise en œuvre, toutes les faces reçoivent la première couche du traitement selon le procédé C2 selon les [STS 04 série]</w:t>
      </w:r>
    </w:p>
    <w:p w14:paraId="6F97FD45" w14:textId="77777777" w:rsidR="004B2808" w:rsidRDefault="00000000">
      <w:pPr>
        <w:pStyle w:val="heading"/>
      </w:pPr>
      <w:r>
        <w:t>Spécifications</w:t>
      </w:r>
    </w:p>
    <w:p w14:paraId="34DC2CDD" w14:textId="77777777" w:rsidR="004B2808" w:rsidRDefault="00000000">
      <w:pPr>
        <w:pStyle w:val="Author-eListParagraph"/>
        <w:numPr>
          <w:ilvl w:val="0"/>
          <w:numId w:val="1461"/>
        </w:numPr>
      </w:pPr>
      <w:r>
        <w:t>Forme : selon les dessins de détail de l'auteur de projet.</w:t>
      </w:r>
    </w:p>
    <w:p w14:paraId="7DB1EA3B" w14:textId="77777777" w:rsidR="004B2808" w:rsidRDefault="00000000">
      <w:pPr>
        <w:pStyle w:val="Author-eListParagraph"/>
        <w:numPr>
          <w:ilvl w:val="0"/>
          <w:numId w:val="1461"/>
        </w:numPr>
      </w:pPr>
      <w:r>
        <w:t>Bords des marches :</w:t>
      </w:r>
      <w:r>
        <w:rPr>
          <w:rStyle w:val="optioncarChar"/>
        </w:rPr>
        <w:t> droits</w:t>
      </w:r>
      <w:r>
        <w:t xml:space="preserve"> (par défaut)</w:t>
      </w:r>
      <w:r>
        <w:rPr>
          <w:rStyle w:val="optioncarChar"/>
        </w:rPr>
        <w:t> / arrondis / *** </w:t>
      </w:r>
      <w:r>
        <w:t>(rayon de courbure :</w:t>
      </w:r>
      <w:r>
        <w:rPr>
          <w:rStyle w:val="optioncarChar"/>
        </w:rPr>
        <w:t> 5 </w:t>
      </w:r>
      <w:r>
        <w:t>(par défaut)</w:t>
      </w:r>
      <w:r>
        <w:rPr>
          <w:rStyle w:val="optioncarChar"/>
        </w:rPr>
        <w:t xml:space="preserve"> / 8 / ***</w:t>
      </w:r>
      <w:r>
        <w:t xml:space="preserve"> mm )</w:t>
      </w:r>
    </w:p>
    <w:p w14:paraId="2D73D25F" w14:textId="77777777" w:rsidR="004B2808" w:rsidRDefault="00000000">
      <w:pPr>
        <w:pStyle w:val="Author-eListParagraph"/>
        <w:numPr>
          <w:ilvl w:val="0"/>
          <w:numId w:val="1461"/>
        </w:numPr>
      </w:pPr>
      <w:r>
        <w:lastRenderedPageBreak/>
        <w:t>Contremarches :</w:t>
      </w:r>
    </w:p>
    <w:p w14:paraId="4F5A4095" w14:textId="77777777" w:rsidR="004B2808" w:rsidRDefault="00000000">
      <w:pPr>
        <w:pStyle w:val="Author-eListParagraph"/>
        <w:numPr>
          <w:ilvl w:val="0"/>
          <w:numId w:val="1461"/>
        </w:numPr>
      </w:pPr>
      <w:r>
        <w:t xml:space="preserve">  Dimensions : </w:t>
      </w:r>
    </w:p>
    <w:p w14:paraId="546C6533" w14:textId="77777777" w:rsidR="004B2808" w:rsidRDefault="00000000">
      <w:pPr>
        <w:pStyle w:val="Author-eListParagraph"/>
        <w:numPr>
          <w:ilvl w:val="1"/>
          <w:numId w:val="1462"/>
        </w:numPr>
      </w:pPr>
      <w:r>
        <w:t xml:space="preserve">Epaisseur des paliers : &gt; </w:t>
      </w:r>
      <w:r>
        <w:rPr>
          <w:rStyle w:val="optioncarChar"/>
        </w:rPr>
        <w:t>35</w:t>
      </w:r>
      <w:r>
        <w:t> (par défaut)</w:t>
      </w:r>
      <w:r>
        <w:rPr>
          <w:rStyle w:val="optioncarChar"/>
        </w:rPr>
        <w:t xml:space="preserve"> / 40 / 45 / ***</w:t>
      </w:r>
      <w:r>
        <w:t xml:space="preserve"> mm (*)</w:t>
      </w:r>
    </w:p>
    <w:p w14:paraId="5D7343E5" w14:textId="77777777" w:rsidR="004B2808" w:rsidRDefault="00000000">
      <w:pPr>
        <w:pStyle w:val="Author-eListParagraph"/>
        <w:numPr>
          <w:ilvl w:val="1"/>
          <w:numId w:val="1462"/>
        </w:numPr>
      </w:pPr>
      <w:r>
        <w:t>Epaisseur des contremarches : ≥ </w:t>
      </w:r>
      <w:r>
        <w:rPr>
          <w:rStyle w:val="optioncarChar"/>
        </w:rPr>
        <w:t>25</w:t>
      </w:r>
      <w:r>
        <w:t>  (par défaut)</w:t>
      </w:r>
      <w:r>
        <w:rPr>
          <w:rStyle w:val="optioncarChar"/>
        </w:rPr>
        <w:t> / *** </w:t>
      </w:r>
      <w:r>
        <w:t> mm</w:t>
      </w:r>
    </w:p>
    <w:p w14:paraId="2A009763" w14:textId="77777777" w:rsidR="004B2808" w:rsidRDefault="00000000">
      <w:pPr>
        <w:pStyle w:val="Author-eListParagraph"/>
        <w:numPr>
          <w:ilvl w:val="1"/>
          <w:numId w:val="1462"/>
        </w:numPr>
      </w:pPr>
      <w:r>
        <w:t xml:space="preserve">Nez de marches : ≥ </w:t>
      </w:r>
      <w:r>
        <w:rPr>
          <w:rStyle w:val="optioncarChar"/>
        </w:rPr>
        <w:t>30 </w:t>
      </w:r>
      <w:r>
        <w:t>(par défaut)</w:t>
      </w:r>
      <w:r>
        <w:rPr>
          <w:rStyle w:val="optioncarChar"/>
        </w:rPr>
        <w:t xml:space="preserve"> / 40 / 50 / ***</w:t>
      </w:r>
      <w:r>
        <w:t xml:space="preserve"> mm (débordement par rapport aux contremarches)</w:t>
      </w:r>
    </w:p>
    <w:p w14:paraId="73BC79B8" w14:textId="77777777" w:rsidR="004B2808" w:rsidRDefault="00000000">
      <w:pPr>
        <w:pStyle w:val="Author-eListParagraph"/>
        <w:numPr>
          <w:ilvl w:val="0"/>
          <w:numId w:val="1461"/>
        </w:numPr>
      </w:pPr>
      <w:r>
        <w:t xml:space="preserve">Réaction au feu du revêtement : classe </w:t>
      </w:r>
      <w:r>
        <w:rPr>
          <w:rStyle w:val="optioncarChar"/>
        </w:rPr>
        <w:t xml:space="preserve">A1 </w:t>
      </w:r>
      <w:r>
        <w:rPr>
          <w:rStyle w:val="optioncarChar"/>
          <w:vertAlign w:val="subscript"/>
        </w:rPr>
        <w:t>FL</w:t>
      </w:r>
      <w:r>
        <w:t> (par défaut)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FL</w:t>
      </w:r>
      <w:r>
        <w:t> / ***selon la [NBN EN 13501-1].</w:t>
      </w:r>
    </w:p>
    <w:p w14:paraId="20966FFF" w14:textId="77777777" w:rsidR="004B2808" w:rsidRDefault="00000000">
      <w:pPr>
        <w:pStyle w:val="Author-eListParagraph"/>
        <w:numPr>
          <w:ilvl w:val="0"/>
          <w:numId w:val="1461"/>
        </w:numPr>
      </w:pPr>
      <w:r>
        <w:t xml:space="preserve">Classe additionnelle : </w:t>
      </w:r>
      <w:r>
        <w:rPr>
          <w:rStyle w:val="optioncarChar"/>
        </w:rPr>
        <w:t>***</w:t>
      </w:r>
    </w:p>
    <w:p w14:paraId="46534FB2" w14:textId="77777777" w:rsidR="004B2808" w:rsidRDefault="00000000">
      <w:pPr>
        <w:pStyle w:val="Author-eListParagraph"/>
        <w:numPr>
          <w:ilvl w:val="0"/>
          <w:numId w:val="1461"/>
        </w:numPr>
      </w:pPr>
      <w:r>
        <w:t>Production de fumée :</w:t>
      </w:r>
      <w:r>
        <w:rPr>
          <w:rStyle w:val="optioncarChar"/>
        </w:rPr>
        <w:t> s1 </w:t>
      </w:r>
      <w:r>
        <w:t>(par défaut)</w:t>
      </w:r>
      <w:r>
        <w:rPr>
          <w:rStyle w:val="optioncarChar"/>
        </w:rPr>
        <w:t xml:space="preserve"> / s2 / ***</w:t>
      </w:r>
    </w:p>
    <w:p w14:paraId="05253323" w14:textId="77777777" w:rsidR="004B2808" w:rsidRDefault="00000000">
      <w:pPr>
        <w:ind w:left="750"/>
      </w:pPr>
      <w:r>
        <w:t> </w:t>
      </w:r>
    </w:p>
    <w:p w14:paraId="7F278686" w14:textId="77777777" w:rsidR="004B2808" w:rsidRDefault="00000000">
      <w:pPr>
        <w:pStyle w:val="pheading"/>
      </w:pPr>
      <w:r>
        <w:t>- Finitions</w:t>
      </w:r>
    </w:p>
    <w:p w14:paraId="2A60C774" w14:textId="77777777" w:rsidR="004B2808" w:rsidRDefault="00000000">
      <w:r>
        <w:t xml:space="preserve">Traitement de la surface : </w:t>
      </w:r>
      <w:r>
        <w:rPr>
          <w:rStyle w:val="optioncarChar"/>
        </w:rPr>
        <w:t>non traité</w:t>
      </w:r>
      <w:r>
        <w:t> (par défaut)</w:t>
      </w:r>
      <w:r>
        <w:rPr>
          <w:rStyle w:val="optioncarChar"/>
        </w:rPr>
        <w:t xml:space="preserve"> / ***</w:t>
      </w:r>
      <w:r>
        <w:br/>
        <w:t xml:space="preserve">Différence de LRV entre les paliers et les marches : </w:t>
      </w:r>
      <w:r>
        <w:rPr>
          <w:rStyle w:val="optioncarChar"/>
        </w:rPr>
        <w:t>au moins 60% (PMR)</w:t>
      </w:r>
      <w:r>
        <w:t> (par défaut)</w:t>
      </w:r>
      <w:r>
        <w:rPr>
          <w:rStyle w:val="optioncarChar"/>
        </w:rPr>
        <w:t> / *** </w:t>
      </w:r>
    </w:p>
    <w:p w14:paraId="5DD081E2" w14:textId="77777777" w:rsidR="004B2808" w:rsidRDefault="00000000">
      <w:pPr>
        <w:pStyle w:val="pheading"/>
      </w:pPr>
      <w:r>
        <w:t>- Prescriptions complémentaires</w:t>
      </w:r>
    </w:p>
    <w:p w14:paraId="2313A5A7" w14:textId="77777777" w:rsidR="004B2808" w:rsidRDefault="00000000">
      <w:r>
        <w:t>Les paliers sont pourvus d'un bord relevé à l'arrière.</w:t>
      </w:r>
      <w:r>
        <w:br/>
        <w:t>Les paliers sont pourvus d'un revêtement antidérapant (PMR) : </w:t>
      </w:r>
      <w:r>
        <w:rPr>
          <w:rStyle w:val="optioncarChar"/>
        </w:rPr>
        <w:t>un ciselage antidérapant</w:t>
      </w:r>
      <w:r>
        <w:t> (par défaut)</w:t>
      </w:r>
      <w:r>
        <w:rPr>
          <w:rStyle w:val="optioncarChar"/>
        </w:rPr>
        <w:t> / *** / un nez antidérapant collé</w:t>
      </w:r>
      <w:r>
        <w:t xml:space="preserve"> (en </w:t>
      </w:r>
      <w:r>
        <w:rPr>
          <w:rStyle w:val="optioncarChar"/>
        </w:rPr>
        <w:t>caoutchouc </w:t>
      </w:r>
      <w:r>
        <w:t>(par défaut)</w:t>
      </w:r>
      <w:r>
        <w:rPr>
          <w:rStyle w:val="optioncarChar"/>
        </w:rPr>
        <w:t xml:space="preserve"> / PVC</w:t>
      </w:r>
      <w:r>
        <w:t xml:space="preserve"> / </w:t>
      </w:r>
      <w:r>
        <w:rPr>
          <w:rStyle w:val="optioncarChar"/>
        </w:rPr>
        <w:t>***</w:t>
      </w:r>
      <w:r>
        <w:t>)</w:t>
      </w:r>
      <w:r>
        <w:rPr>
          <w:rStyle w:val="optioncarChar"/>
        </w:rPr>
        <w:t xml:space="preserve"> / une bande antidérapante intégrée</w:t>
      </w:r>
      <w:r>
        <w:t xml:space="preserve"> (en </w:t>
      </w:r>
      <w:r>
        <w:rPr>
          <w:rStyle w:val="optioncarChar"/>
        </w:rPr>
        <w:t>Carborundum</w:t>
      </w:r>
      <w:r>
        <w:t xml:space="preserve"> (par défaut) </w:t>
      </w:r>
      <w:r>
        <w:rPr>
          <w:rStyle w:val="optioncarChar"/>
        </w:rPr>
        <w:t>/ caoutchouc / PVC / ***) / ***</w:t>
      </w:r>
      <w:r>
        <w:t xml:space="preserve"> .</w:t>
      </w:r>
      <w:r>
        <w:br/>
        <w:t xml:space="preserve">Les paliers sont pourvus de dalles podotactiles (PMR) : </w:t>
      </w:r>
      <w:r>
        <w:rPr>
          <w:rStyle w:val="optioncarChar"/>
        </w:rPr>
        <w:t xml:space="preserve">selon les recommandations du sous-titre </w:t>
      </w:r>
      <w:hyperlink w:anchor="1396" w:history="1">
        <w:r w:rsidR="004B2808">
          <w:rPr>
            <w:rStyle w:val="optioncarChar"/>
            <w:color w:val="0000EE"/>
          </w:rPr>
          <w:t>57.23 Paliers</w:t>
        </w:r>
      </w:hyperlink>
      <w:r>
        <w:rPr>
          <w:rStyle w:val="optioncarChar"/>
        </w:rPr>
        <w:t> (PMR) </w:t>
      </w:r>
      <w:r>
        <w:t>(par défaut)</w:t>
      </w:r>
      <w:r>
        <w:rPr>
          <w:rStyle w:val="optioncarChar"/>
        </w:rPr>
        <w:t> / *** </w:t>
      </w:r>
      <w:r>
        <w:br/>
        <w:t>Le revêtement est traité afin d’améliorer son comportement de réaction au feu (revêtement ignifugé)</w:t>
      </w:r>
    </w:p>
    <w:p w14:paraId="43C6B662" w14:textId="77777777" w:rsidR="004B2808" w:rsidRDefault="00000000">
      <w:pPr>
        <w:pStyle w:val="pheading"/>
      </w:pPr>
      <w:r>
        <w:t>EXÉCUTION / MISE EN ŒUVRE</w:t>
      </w:r>
    </w:p>
    <w:p w14:paraId="394FA8B7" w14:textId="77777777" w:rsidR="004B2808" w:rsidRDefault="00000000">
      <w:pPr>
        <w:pStyle w:val="pheading"/>
      </w:pPr>
      <w:r>
        <w:t>- Prescriptions générales</w:t>
      </w:r>
    </w:p>
    <w:p w14:paraId="40084986" w14:textId="77777777" w:rsidR="004B2808" w:rsidRDefault="00000000">
      <w:r>
        <w:t xml:space="preserve">Les revêtements de palier sont posés : </w:t>
      </w:r>
    </w:p>
    <w:p w14:paraId="18F979BE" w14:textId="77777777" w:rsidR="004B2808" w:rsidRDefault="00000000">
      <w:r>
        <w:t xml:space="preserve">Choix opéré : </w:t>
      </w:r>
      <w:r>
        <w:rPr>
          <w:rStyle w:val="optioncarChar"/>
          <w:b/>
        </w:rPr>
        <w:t>*** / OPTION 1 </w:t>
      </w:r>
      <w:r>
        <w:t>(par défaut)</w:t>
      </w:r>
      <w:r>
        <w:rPr>
          <w:rStyle w:val="optioncarChar"/>
          <w:b/>
        </w:rPr>
        <w:t xml:space="preserve"> / OPTION 2</w:t>
      </w:r>
    </w:p>
    <w:p w14:paraId="35C01C41" w14:textId="77777777" w:rsidR="004B2808" w:rsidRDefault="00000000">
      <w:r>
        <w:rPr>
          <w:b/>
        </w:rPr>
        <w:t>***OPTION 1 </w:t>
      </w:r>
      <w:r>
        <w:t xml:space="preserve">(par défaut) : comme revêtement sur les escaliers en béton. Des trous sont forés dans le béton afin de pouvoir y introduire des chevilles en matière synthétique. Les marches sont ainsi vissées et éventuellement mises de niveau à l'aide de cales. L'ensemble est mastiqué avec du </w:t>
      </w:r>
      <w:r>
        <w:rPr>
          <w:rStyle w:val="optioncarChar"/>
        </w:rPr>
        <w:t>***</w:t>
      </w:r>
      <w:r>
        <w:br/>
      </w:r>
      <w:r>
        <w:rPr>
          <w:b/>
        </w:rPr>
        <w:t xml:space="preserve">***OPTION 2 : </w:t>
      </w:r>
      <w:r>
        <w:t xml:space="preserve">comme paliers autoportants sur les structures d'escalier en acier. Les marches sont supportées par des accessoires en métal : </w:t>
      </w:r>
      <w:r>
        <w:rPr>
          <w:rStyle w:val="optioncarChar"/>
        </w:rPr>
        <w:t>brides de fixation</w:t>
      </w:r>
      <w:r>
        <w:t xml:space="preserve"> (par défaut) </w:t>
      </w:r>
      <w:r>
        <w:rPr>
          <w:rStyle w:val="optioncarChar"/>
        </w:rPr>
        <w:t>/ consoles en fer plat / profils tubulaires / cornières / *** </w:t>
      </w:r>
      <w:r>
        <w:t>.</w:t>
      </w:r>
    </w:p>
    <w:p w14:paraId="2608C63A" w14:textId="77777777" w:rsidR="004B2808" w:rsidRDefault="00000000">
      <w:pPr>
        <w:pStyle w:val="pheading"/>
      </w:pPr>
      <w:r>
        <w:t>- Notes d’exécution complémentaires</w:t>
      </w:r>
    </w:p>
    <w:p w14:paraId="39A96607" w14:textId="77777777" w:rsidR="004B2808" w:rsidRDefault="00000000">
      <w:r>
        <w:t>Lorsque les paliers sont prévus avec des contremarches, il y a lieu de prendre les mesures qui s'imposent pour éviter que l'escalier ne "craque"</w:t>
      </w:r>
    </w:p>
    <w:p w14:paraId="32BBF4E8" w14:textId="77777777" w:rsidR="004B2808" w:rsidRDefault="00000000">
      <w:pPr>
        <w:pStyle w:val="Author-eListParagraph"/>
        <w:numPr>
          <w:ilvl w:val="0"/>
          <w:numId w:val="1463"/>
        </w:numPr>
      </w:pPr>
      <w:r>
        <w:t xml:space="preserve">Les contremarches et les marches sont resserrées lors de la mise en œuvre. </w:t>
      </w:r>
    </w:p>
    <w:p w14:paraId="6FAF445E" w14:textId="77777777" w:rsidR="004B2808" w:rsidRDefault="00000000">
      <w:pPr>
        <w:pStyle w:val="Author-eListParagraph"/>
        <w:numPr>
          <w:ilvl w:val="0"/>
          <w:numId w:val="1463"/>
        </w:numPr>
      </w:pPr>
      <w:r>
        <w:t xml:space="preserve">Les contremarches sont rabotées convexes au centre : 3 mm en diminuant vers les angles. </w:t>
      </w:r>
    </w:p>
    <w:p w14:paraId="31DEAD0E" w14:textId="77777777" w:rsidR="004B2808" w:rsidRDefault="00000000">
      <w:pPr>
        <w:pStyle w:val="Author-eListParagraph"/>
        <w:numPr>
          <w:ilvl w:val="0"/>
          <w:numId w:val="1463"/>
        </w:numPr>
      </w:pPr>
      <w:r>
        <w:t xml:space="preserve">A l'arrière de la contremarche, entre deux marches successives, on pose 1 ou 2 lattes anticraquement. </w:t>
      </w:r>
    </w:p>
    <w:p w14:paraId="46A1C2EF" w14:textId="77777777" w:rsidR="004B2808" w:rsidRDefault="00000000">
      <w:pPr>
        <w:pStyle w:val="pheading"/>
      </w:pPr>
      <w:r>
        <w:t>MESURAGE</w:t>
      </w:r>
    </w:p>
    <w:p w14:paraId="46C0244A" w14:textId="77777777" w:rsidR="004B2808" w:rsidRDefault="00000000">
      <w:r>
        <w:t>Conformément aux indications spécifiques dans le cahier spécial des charges et/ou le métré récapitulatif, le mesurage doit être conçu comme suit :</w:t>
      </w:r>
    </w:p>
    <w:p w14:paraId="543D0013" w14:textId="77777777" w:rsidR="004B2808" w:rsidRDefault="00000000">
      <w:pPr>
        <w:pStyle w:val="pheading"/>
      </w:pPr>
      <w:r>
        <w:t>- unité de mesure:</w:t>
      </w:r>
    </w:p>
    <w:p w14:paraId="4338C6E6" w14:textId="77777777" w:rsidR="004B2808" w:rsidRDefault="00000000">
      <w:r>
        <w:t>p</w:t>
      </w:r>
    </w:p>
    <w:p w14:paraId="743331E7" w14:textId="77777777" w:rsidR="004B2808" w:rsidRDefault="00000000">
      <w:pPr>
        <w:pStyle w:val="pheading"/>
      </w:pPr>
      <w:r>
        <w:t>- code de mesurage:</w:t>
      </w:r>
    </w:p>
    <w:p w14:paraId="6B0E6EA4" w14:textId="77777777" w:rsidR="004B2808" w:rsidRDefault="00000000">
      <w:r>
        <w:lastRenderedPageBreak/>
        <w:t>Par palier, éventuellement en fonction des paliers droits et tournants, y compris les plinthes et les contremarches</w:t>
      </w:r>
    </w:p>
    <w:p w14:paraId="23B77002" w14:textId="77777777" w:rsidR="004B2808" w:rsidRDefault="00000000">
      <w:pPr>
        <w:pStyle w:val="pheading"/>
      </w:pPr>
      <w:r>
        <w:t>- nature du marché:</w:t>
      </w:r>
    </w:p>
    <w:p w14:paraId="4F50BBE4" w14:textId="77777777" w:rsidR="004B2808" w:rsidRDefault="00000000">
      <w:r>
        <w:t>QF</w:t>
      </w:r>
    </w:p>
    <w:p w14:paraId="6744F863" w14:textId="77777777" w:rsidR="004B2808" w:rsidRDefault="00000000">
      <w:pPr>
        <w:pStyle w:val="Author-eSectionHeading5Numberless"/>
      </w:pPr>
      <w:bookmarkStart w:id="1590" w:name="_Toc220491683"/>
      <w:r>
        <w:t>57.23.4 Paliers métalliques CCTB 01.07</w:t>
      </w:r>
      <w:bookmarkEnd w:id="1590"/>
    </w:p>
    <w:p w14:paraId="5BF9D0A5" w14:textId="77777777" w:rsidR="004B2808" w:rsidRDefault="00000000">
      <w:pPr>
        <w:pStyle w:val="Author-eSectionHeading6Numberless"/>
      </w:pPr>
      <w:bookmarkStart w:id="1591" w:name="_Toc220491684"/>
      <w:r>
        <w:t>57.23.4a Paliers métalliques - en acier CCTB 01.02</w:t>
      </w:r>
      <w:bookmarkEnd w:id="1591"/>
    </w:p>
    <w:p w14:paraId="19C62C40" w14:textId="77777777" w:rsidR="004B2808" w:rsidRDefault="00000000">
      <w:pPr>
        <w:pStyle w:val="Author-eSectionHeading6Numberless"/>
      </w:pPr>
      <w:bookmarkStart w:id="1592" w:name="_Toc220491685"/>
      <w:r>
        <w:t>57.23.4b Paliers métalliques - en acier inoxydable CCTB 01.02</w:t>
      </w:r>
      <w:bookmarkEnd w:id="1592"/>
    </w:p>
    <w:p w14:paraId="629C52B6" w14:textId="77777777" w:rsidR="004B2808" w:rsidRDefault="00000000">
      <w:pPr>
        <w:pStyle w:val="Author-eSectionHeading6Numberless"/>
      </w:pPr>
      <w:bookmarkStart w:id="1593" w:name="_Toc220491686"/>
      <w:r>
        <w:t>57.23.4c Paliers métalliques - en aluminium CCTB 01.02</w:t>
      </w:r>
      <w:bookmarkEnd w:id="1593"/>
    </w:p>
    <w:p w14:paraId="221E0A8D" w14:textId="77777777" w:rsidR="004B2808" w:rsidRDefault="00000000">
      <w:pPr>
        <w:pStyle w:val="Author-eSectionHeading5Numberless"/>
      </w:pPr>
      <w:bookmarkStart w:id="1594" w:name="_Toc220491687"/>
      <w:r>
        <w:t>57.23.5 Paliers en céramiques CCTB 01.02</w:t>
      </w:r>
      <w:bookmarkEnd w:id="1594"/>
    </w:p>
    <w:p w14:paraId="7587956B" w14:textId="77777777" w:rsidR="004B2808" w:rsidRDefault="00000000">
      <w:pPr>
        <w:pStyle w:val="Author-eSectionHeading6Numberless"/>
      </w:pPr>
      <w:bookmarkStart w:id="1595" w:name="_Toc220491688"/>
      <w:r>
        <w:t>57.23.5a Paliers en céramiques CCTB 01.10</w:t>
      </w:r>
      <w:bookmarkEnd w:id="1595"/>
    </w:p>
    <w:p w14:paraId="6D7C0DAC" w14:textId="77777777" w:rsidR="004B2808" w:rsidRDefault="00000000">
      <w:pPr>
        <w:pStyle w:val="pheading"/>
      </w:pPr>
      <w:r>
        <w:t>MATÉRIAUX</w:t>
      </w:r>
    </w:p>
    <w:p w14:paraId="4B257D97" w14:textId="77777777" w:rsidR="004B2808" w:rsidRDefault="00000000">
      <w:pPr>
        <w:pStyle w:val="pheading"/>
      </w:pPr>
      <w:r>
        <w:t>- Caractéristiques générales</w:t>
      </w:r>
    </w:p>
    <w:p w14:paraId="784FD84D" w14:textId="77777777" w:rsidR="004B2808" w:rsidRDefault="00000000">
      <w:r>
        <w:t>Les paliers d'escaliers, les contremarches et les plinthes sont revêtues de carreaux céramiques, pourvus de nez arrondis et d'une bande antidérapante (PMR) intégrée dans les carreaux.</w:t>
      </w:r>
    </w:p>
    <w:p w14:paraId="2A2A08FF" w14:textId="77777777" w:rsidR="004B2808" w:rsidRDefault="00000000">
      <w:r>
        <w:t xml:space="preserve">Les carreaux sont de la même nature et du même coloris que les revêtements de sol attenants, selon la description de l'article </w:t>
      </w:r>
      <w:hyperlink w:anchor="1191" w:history="1">
        <w:r w:rsidR="004B2808">
          <w:rPr>
            <w:color w:val="0000EE"/>
          </w:rPr>
          <w:t>53.11 Sous-couches de remplissage ou d'égalisation</w:t>
        </w:r>
      </w:hyperlink>
      <w:r>
        <w:t>. Ils sont livrés par le même fabricant.</w:t>
      </w:r>
    </w:p>
    <w:p w14:paraId="29A7DE67" w14:textId="77777777" w:rsidR="004B2808" w:rsidRDefault="00000000">
      <w:pPr>
        <w:pStyle w:val="heading"/>
      </w:pPr>
      <w:r>
        <w:t>Spécifications</w:t>
      </w:r>
    </w:p>
    <w:p w14:paraId="280BDF00" w14:textId="77777777" w:rsidR="004B2808" w:rsidRDefault="00000000">
      <w:pPr>
        <w:pStyle w:val="Author-eListParagraph"/>
        <w:numPr>
          <w:ilvl w:val="0"/>
          <w:numId w:val="1464"/>
        </w:numPr>
      </w:pPr>
      <w:r>
        <w:t xml:space="preserve">Epaisseur des revêtements de paliers : minimum </w:t>
      </w:r>
      <w:r>
        <w:rPr>
          <w:rStyle w:val="optioncarChar"/>
        </w:rPr>
        <w:t>8 </w:t>
      </w:r>
      <w:r>
        <w:t>(par défaut)</w:t>
      </w:r>
      <w:r>
        <w:rPr>
          <w:rStyle w:val="optioncarChar"/>
        </w:rPr>
        <w:t> / *** </w:t>
      </w:r>
      <w:r>
        <w:t xml:space="preserve"> mm</w:t>
      </w:r>
    </w:p>
    <w:p w14:paraId="6A76C4B6" w14:textId="77777777" w:rsidR="004B2808" w:rsidRDefault="00000000">
      <w:pPr>
        <w:pStyle w:val="Author-eListParagraph"/>
        <w:numPr>
          <w:ilvl w:val="0"/>
          <w:numId w:val="1464"/>
        </w:numPr>
      </w:pPr>
      <w:r>
        <w:t xml:space="preserve">Epaisseur des contremarches et des plinthes : minimum </w:t>
      </w:r>
      <w:r>
        <w:rPr>
          <w:rStyle w:val="optioncarChar"/>
        </w:rPr>
        <w:t>8 </w:t>
      </w:r>
      <w:r>
        <w:t>(par défaut)</w:t>
      </w:r>
      <w:r>
        <w:rPr>
          <w:rStyle w:val="optioncarChar"/>
        </w:rPr>
        <w:t> / *** </w:t>
      </w:r>
      <w:r>
        <w:t> mm.</w:t>
      </w:r>
    </w:p>
    <w:p w14:paraId="69655F6B" w14:textId="77777777" w:rsidR="004B2808" w:rsidRDefault="00000000">
      <w:pPr>
        <w:pStyle w:val="Author-eListParagraph"/>
        <w:numPr>
          <w:ilvl w:val="0"/>
          <w:numId w:val="1464"/>
        </w:numPr>
      </w:pPr>
      <w:r>
        <w:t xml:space="preserve">Modèle de plinthe : </w:t>
      </w:r>
      <w:r>
        <w:rPr>
          <w:rStyle w:val="optioncarChar"/>
        </w:rPr>
        <w:t>parallèle à la pente de l'escalier</w:t>
      </w:r>
      <w:r>
        <w:t xml:space="preserve"> (par défaut)</w:t>
      </w:r>
      <w:r>
        <w:rPr>
          <w:rStyle w:val="optioncarChar"/>
        </w:rPr>
        <w:t xml:space="preserve"> / en gradins / *** </w:t>
      </w:r>
      <w:r>
        <w:t>(selon les [STS 45 série] .30.6 - fig. 7a])</w:t>
      </w:r>
    </w:p>
    <w:p w14:paraId="710A7BE3" w14:textId="77777777" w:rsidR="004B2808" w:rsidRDefault="00000000">
      <w:pPr>
        <w:pStyle w:val="Author-eListParagraph"/>
        <w:numPr>
          <w:ilvl w:val="0"/>
          <w:numId w:val="1464"/>
        </w:numPr>
      </w:pPr>
      <w:r>
        <w:t xml:space="preserve">Selon la [Décision 96/603/CE] de la Commission du 4 octobre 1996  et les conditions qui y sont reprises , la céramique appartient à la classe de réaction au feu A1 </w:t>
      </w:r>
      <w:r>
        <w:rPr>
          <w:vertAlign w:val="subscript"/>
        </w:rPr>
        <w:t xml:space="preserve">FL </w:t>
      </w:r>
      <w:r>
        <w:t>.</w:t>
      </w:r>
    </w:p>
    <w:p w14:paraId="3A3FA282" w14:textId="77777777" w:rsidR="004B2808" w:rsidRDefault="00000000">
      <w:pPr>
        <w:pStyle w:val="pheading"/>
      </w:pPr>
      <w:r>
        <w:t>- Finitions</w:t>
      </w:r>
    </w:p>
    <w:p w14:paraId="364A368F" w14:textId="77777777" w:rsidR="004B2808" w:rsidRDefault="00000000">
      <w:r>
        <w:t xml:space="preserve">Différence de LRV entre les paliers et les marches : </w:t>
      </w:r>
      <w:r>
        <w:rPr>
          <w:rStyle w:val="optioncarChar"/>
        </w:rPr>
        <w:t>au moins 60% (PMR) </w:t>
      </w:r>
      <w:r>
        <w:t>(par défaut)</w:t>
      </w:r>
    </w:p>
    <w:p w14:paraId="581BE3EA" w14:textId="77777777" w:rsidR="004B2808" w:rsidRDefault="00000000">
      <w:pPr>
        <w:pStyle w:val="pheading"/>
      </w:pPr>
      <w:r>
        <w:t>- Prescriptions complémentaires</w:t>
      </w:r>
    </w:p>
    <w:p w14:paraId="41036B4A" w14:textId="77777777" w:rsidR="004B2808" w:rsidRDefault="00000000">
      <w:r>
        <w:t xml:space="preserve">Les paliers sont pourvus de dalles podotactiles (PMR) : </w:t>
      </w:r>
      <w:r>
        <w:rPr>
          <w:rStyle w:val="optioncarChar"/>
        </w:rPr>
        <w:t xml:space="preserve">selon les recommandations du sous-titre </w:t>
      </w:r>
      <w:hyperlink w:anchor="1396" w:history="1">
        <w:r w:rsidR="004B2808">
          <w:rPr>
            <w:rStyle w:val="optioncarChar"/>
            <w:color w:val="0000EE"/>
          </w:rPr>
          <w:t>57.23 Paliers</w:t>
        </w:r>
      </w:hyperlink>
      <w:r>
        <w:rPr>
          <w:rStyle w:val="optioncarChar"/>
        </w:rPr>
        <w:t xml:space="preserve"> (PMR) </w:t>
      </w:r>
      <w:r>
        <w:t>(par défaut)</w:t>
      </w:r>
      <w:r>
        <w:rPr>
          <w:rStyle w:val="optioncarChar"/>
        </w:rPr>
        <w:t> / *** </w:t>
      </w:r>
    </w:p>
    <w:p w14:paraId="3B37C336" w14:textId="77777777" w:rsidR="004B2808" w:rsidRDefault="00000000">
      <w:pPr>
        <w:pStyle w:val="pheading"/>
      </w:pPr>
      <w:r>
        <w:t>MESURAGE</w:t>
      </w:r>
    </w:p>
    <w:p w14:paraId="6548B379" w14:textId="77777777" w:rsidR="004B2808" w:rsidRDefault="00000000">
      <w:r>
        <w:t>Conformément aux indications spécifiques dans le cahier spécial des charges et/ou le métré récapitulatif, le mesurage doit être conçu comme suit :</w:t>
      </w:r>
    </w:p>
    <w:p w14:paraId="311A2663" w14:textId="77777777" w:rsidR="004B2808" w:rsidRDefault="00000000">
      <w:pPr>
        <w:pStyle w:val="pheading"/>
      </w:pPr>
      <w:r>
        <w:t>- unité de mesure:</w:t>
      </w:r>
    </w:p>
    <w:p w14:paraId="533F805A" w14:textId="77777777" w:rsidR="004B2808" w:rsidRDefault="00000000">
      <w:r>
        <w:t>p</w:t>
      </w:r>
    </w:p>
    <w:p w14:paraId="462BD51C" w14:textId="77777777" w:rsidR="004B2808" w:rsidRDefault="00000000">
      <w:pPr>
        <w:pStyle w:val="pheading"/>
      </w:pPr>
      <w:r>
        <w:t>- code de mesurage:</w:t>
      </w:r>
    </w:p>
    <w:p w14:paraId="1A9B79E7" w14:textId="77777777" w:rsidR="004B2808" w:rsidRDefault="00000000">
      <w:r>
        <w:t>Par palier, éventuellement en fonction des paliers droits et tournants, y compris les plinthes et les contremarches</w:t>
      </w:r>
    </w:p>
    <w:p w14:paraId="59A04784" w14:textId="77777777" w:rsidR="004B2808" w:rsidRDefault="00000000">
      <w:pPr>
        <w:pStyle w:val="pheading"/>
      </w:pPr>
      <w:r>
        <w:t>- nature du marché:</w:t>
      </w:r>
    </w:p>
    <w:p w14:paraId="74E4806C" w14:textId="77777777" w:rsidR="004B2808" w:rsidRDefault="00000000">
      <w:r>
        <w:t>QF</w:t>
      </w:r>
    </w:p>
    <w:p w14:paraId="7D1F9788" w14:textId="77777777" w:rsidR="004B2808" w:rsidRDefault="00000000">
      <w:pPr>
        <w:pStyle w:val="Author-eSectionHeading5Numberless"/>
      </w:pPr>
      <w:bookmarkStart w:id="1596" w:name="_Toc220491689"/>
      <w:r>
        <w:t>57.23.6 Paliers en matériaux synthétiques CCTB 01.02</w:t>
      </w:r>
      <w:bookmarkEnd w:id="1596"/>
    </w:p>
    <w:p w14:paraId="4005369D" w14:textId="77777777" w:rsidR="004B2808" w:rsidRDefault="00000000">
      <w:pPr>
        <w:pStyle w:val="Author-eSectionHeading6Numberless"/>
      </w:pPr>
      <w:bookmarkStart w:id="1597" w:name="_Toc220491690"/>
      <w:r>
        <w:lastRenderedPageBreak/>
        <w:t>57.23.6a Paliers en matériaux synthétiques CCTB 01.10</w:t>
      </w:r>
      <w:bookmarkEnd w:id="1597"/>
    </w:p>
    <w:p w14:paraId="230D08C4" w14:textId="77777777" w:rsidR="004B2808" w:rsidRDefault="00000000">
      <w:pPr>
        <w:pStyle w:val="pheading"/>
      </w:pPr>
      <w:r>
        <w:t>MATÉRIAUX</w:t>
      </w:r>
    </w:p>
    <w:p w14:paraId="461617FA" w14:textId="77777777" w:rsidR="004B2808" w:rsidRDefault="00000000">
      <w:pPr>
        <w:pStyle w:val="pheading"/>
      </w:pPr>
      <w:r>
        <w:t>- Caractéristiques générales</w:t>
      </w:r>
    </w:p>
    <w:p w14:paraId="58A2A451" w14:textId="77777777" w:rsidR="004B2808" w:rsidRDefault="00000000">
      <w:pPr>
        <w:spacing w:before="0" w:after="0"/>
      </w:pPr>
      <w:r>
        <w:rPr>
          <w:b/>
        </w:rPr>
        <w:t>caoutchouc</w:t>
      </w:r>
    </w:p>
    <w:p w14:paraId="728690BD" w14:textId="77777777" w:rsidR="004B2808" w:rsidRDefault="00000000">
      <w:r>
        <w:t>Il s'agit de revêtements d'escaliers préfabriqués sur mesure, en bandes d'un seul tenant, fabriqués en caoutchouc de première qualité, exempt de PVC, de plastifiants, de formaldéhyde, d’asbeste, de cadmium, d’halogènes et de CFK. Le revêtement d'escalier prévoit des marches et contremarches avec un nez antidérapant (PMR) </w:t>
      </w:r>
      <w:r>
        <w:rPr>
          <w:rStyle w:val="optioncarChar"/>
        </w:rPr>
        <w:t>profilé</w:t>
      </w:r>
      <w:r>
        <w:t xml:space="preserve"> (par défaut)</w:t>
      </w:r>
      <w:r>
        <w:rPr>
          <w:rStyle w:val="optioncarChar"/>
        </w:rPr>
        <w:t> / ***</w:t>
      </w:r>
      <w:r>
        <w:t xml:space="preserve"> Avant la livraison, un échantillon est soumis à l'approbation de la direction du chantier.</w:t>
      </w:r>
    </w:p>
    <w:p w14:paraId="2F6B9048" w14:textId="77777777" w:rsidR="004B2808" w:rsidRDefault="00000000">
      <w:pPr>
        <w:pStyle w:val="heading"/>
      </w:pPr>
      <w:r>
        <w:t>Spécifications</w:t>
      </w:r>
    </w:p>
    <w:p w14:paraId="4C8AEA1B" w14:textId="77777777" w:rsidR="004B2808" w:rsidRDefault="00000000">
      <w:r>
        <w:t xml:space="preserve">Epaisseur totale: minimum </w:t>
      </w:r>
      <w:r>
        <w:rPr>
          <w:rStyle w:val="optioncarChar"/>
        </w:rPr>
        <w:t xml:space="preserve">4 </w:t>
      </w:r>
      <w:r>
        <w:t>(par défaut) </w:t>
      </w:r>
      <w:r>
        <w:rPr>
          <w:rStyle w:val="optioncarChar"/>
        </w:rPr>
        <w:t xml:space="preserve">/ 4,5 / 5 / *** </w:t>
      </w:r>
      <w:r>
        <w:t>mm (selon la [NBN 428])</w:t>
      </w:r>
    </w:p>
    <w:p w14:paraId="0843E062" w14:textId="77777777" w:rsidR="004B2808" w:rsidRDefault="00000000">
      <w:r>
        <w:t xml:space="preserve">Structure de la surface : </w:t>
      </w:r>
      <w:r>
        <w:rPr>
          <w:rStyle w:val="optioncarChar"/>
        </w:rPr>
        <w:t>antidérapante (PMR) </w:t>
      </w:r>
      <w:r>
        <w:t>(par défaut)</w:t>
      </w:r>
      <w:r>
        <w:rPr>
          <w:rStyle w:val="optioncarChar"/>
        </w:rPr>
        <w:t> / lisse / pastilles coniques (environ 0,5 / *** mm) / martelée  (par défaut) / *** </w:t>
      </w:r>
    </w:p>
    <w:p w14:paraId="2F03C986" w14:textId="77777777" w:rsidR="004B2808" w:rsidRDefault="00000000">
      <w:r>
        <w:t xml:space="preserve">Dureté : minimum </w:t>
      </w:r>
      <w:r>
        <w:rPr>
          <w:rStyle w:val="optioncarChar"/>
        </w:rPr>
        <w:t>85 </w:t>
      </w:r>
      <w:r>
        <w:t>(par défaut) </w:t>
      </w:r>
      <w:r>
        <w:rPr>
          <w:rStyle w:val="optioncarChar"/>
        </w:rPr>
        <w:t xml:space="preserve">/ 90 / *** </w:t>
      </w:r>
      <w:r>
        <w:t>Shore A (selon [ISO 7619 série] )</w:t>
      </w:r>
    </w:p>
    <w:p w14:paraId="3F56DCD1" w14:textId="77777777" w:rsidR="004B2808" w:rsidRDefault="00000000">
      <w:r>
        <w:t xml:space="preserve">Empreinte : maximum </w:t>
      </w:r>
      <w:r>
        <w:rPr>
          <w:rStyle w:val="optioncarChar"/>
        </w:rPr>
        <w:t>0,20</w:t>
      </w:r>
      <w:r>
        <w:t> (par défaut)</w:t>
      </w:r>
      <w:r>
        <w:rPr>
          <w:rStyle w:val="optioncarChar"/>
        </w:rPr>
        <w:t xml:space="preserve"> / *** </w:t>
      </w:r>
      <w:r>
        <w:t>mm (selon la [NBN EN ISO 24343-1])</w:t>
      </w:r>
    </w:p>
    <w:p w14:paraId="02620E2E" w14:textId="77777777" w:rsidR="004B2808" w:rsidRDefault="00000000">
      <w:r>
        <w:t xml:space="preserve">Chargement électrostatique au foulage : maximum </w:t>
      </w:r>
      <w:r>
        <w:rPr>
          <w:rStyle w:val="optioncarChar"/>
        </w:rPr>
        <w:t>2</w:t>
      </w:r>
      <w:r>
        <w:t xml:space="preserve"> (par défaut) </w:t>
      </w:r>
      <w:r>
        <w:rPr>
          <w:rStyle w:val="optioncarChar"/>
        </w:rPr>
        <w:t xml:space="preserve">/ *** </w:t>
      </w:r>
      <w:r>
        <w:rPr>
          <w:color w:val="000080"/>
        </w:rPr>
        <w:t xml:space="preserve">Kv </w:t>
      </w:r>
      <w:r>
        <w:t>(selon la [NBN EN 1815])</w:t>
      </w:r>
    </w:p>
    <w:p w14:paraId="06C69C6F" w14:textId="77777777" w:rsidR="004B2808" w:rsidRDefault="00000000">
      <w:r>
        <w:t>Réaction au feu du revêtement : classe</w:t>
      </w:r>
      <w:r>
        <w:rPr>
          <w:color w:val="FF0000"/>
        </w:rPr>
        <w:t xml:space="preserve"> A1</w:t>
      </w:r>
      <w:r>
        <w:rPr>
          <w:color w:val="FF0000"/>
          <w:vertAlign w:val="subscript"/>
        </w:rPr>
        <w:t>FL </w:t>
      </w:r>
      <w:r>
        <w:t>(par défaut) </w:t>
      </w:r>
      <w:r>
        <w:rPr>
          <w:color w:val="FF0000"/>
        </w:rPr>
        <w:t>/ A2</w:t>
      </w:r>
      <w:r>
        <w:rPr>
          <w:color w:val="FF0000"/>
          <w:vertAlign w:val="subscript"/>
        </w:rPr>
        <w:t>FL </w:t>
      </w:r>
      <w:r>
        <w:rPr>
          <w:color w:val="FF0000"/>
        </w:rPr>
        <w:t>/ B</w:t>
      </w:r>
      <w:r>
        <w:rPr>
          <w:color w:val="FF0000"/>
          <w:vertAlign w:val="subscript"/>
        </w:rPr>
        <w:t>FL </w:t>
      </w:r>
      <w:r>
        <w:rPr>
          <w:color w:val="FF0000"/>
        </w:rPr>
        <w:t>/ C</w:t>
      </w:r>
      <w:r>
        <w:rPr>
          <w:color w:val="FF0000"/>
          <w:vertAlign w:val="subscript"/>
        </w:rPr>
        <w:t>FL </w:t>
      </w:r>
      <w:r>
        <w:rPr>
          <w:color w:val="FF0000"/>
        </w:rPr>
        <w:t>/ D</w:t>
      </w:r>
      <w:r>
        <w:rPr>
          <w:color w:val="FF0000"/>
          <w:vertAlign w:val="subscript"/>
        </w:rPr>
        <w:t>FL </w:t>
      </w:r>
      <w:r>
        <w:rPr>
          <w:color w:val="FF0000"/>
        </w:rPr>
        <w:t>/ E</w:t>
      </w:r>
      <w:r>
        <w:rPr>
          <w:color w:val="FF0000"/>
          <w:vertAlign w:val="subscript"/>
        </w:rPr>
        <w:t>FL</w:t>
      </w:r>
      <w:r>
        <w:t xml:space="preserve"> selon la [NBN EN 13501-1].</w:t>
      </w:r>
    </w:p>
    <w:p w14:paraId="0C6BF7C4" w14:textId="77777777" w:rsidR="004B2808" w:rsidRDefault="00000000">
      <w:pPr>
        <w:pStyle w:val="pheading"/>
      </w:pPr>
      <w:r>
        <w:t>- Finitions</w:t>
      </w:r>
    </w:p>
    <w:p w14:paraId="250CCF78" w14:textId="77777777" w:rsidR="004B2808" w:rsidRDefault="00000000">
      <w:r>
        <w:rPr>
          <w:b/>
          <w:sz w:val="24"/>
        </w:rPr>
        <w:t>caoutchouc</w:t>
      </w:r>
    </w:p>
    <w:p w14:paraId="777FFECB" w14:textId="77777777" w:rsidR="004B2808" w:rsidRDefault="00000000">
      <w:r>
        <w:t xml:space="preserve">Structure de la surface : </w:t>
      </w:r>
      <w:r>
        <w:rPr>
          <w:rStyle w:val="optioncarChar"/>
        </w:rPr>
        <w:t>lisse </w:t>
      </w:r>
      <w:r>
        <w:t xml:space="preserve">(par défaut) </w:t>
      </w:r>
      <w:r>
        <w:rPr>
          <w:rStyle w:val="optioncarChar"/>
        </w:rPr>
        <w:t>/ martelée / ***</w:t>
      </w:r>
    </w:p>
    <w:p w14:paraId="045EA0A5" w14:textId="77777777" w:rsidR="004B2808" w:rsidRDefault="00000000">
      <w:r>
        <w:t xml:space="preserve">Motif </w:t>
      </w:r>
      <w:r>
        <w:rPr>
          <w:rStyle w:val="optioncarChar"/>
        </w:rPr>
        <w:t>: uni </w:t>
      </w:r>
      <w:r>
        <w:t>(par défaut)</w:t>
      </w:r>
      <w:r>
        <w:rPr>
          <w:rStyle w:val="optioncarChar"/>
        </w:rPr>
        <w:t xml:space="preserve"> / tacheté / ***</w:t>
      </w:r>
      <w:r>
        <w:t>, </w:t>
      </w:r>
      <w:r>
        <w:rPr>
          <w:rStyle w:val="optioncarChar"/>
        </w:rPr>
        <w:t>à choisir dans la gamme du fabricant (minimum 3 </w:t>
      </w:r>
      <w:r>
        <w:t>(par défaut)</w:t>
      </w:r>
      <w:r>
        <w:rPr>
          <w:rStyle w:val="optioncarChar"/>
        </w:rPr>
        <w:t xml:space="preserve"> / *** </w:t>
      </w:r>
      <w:r>
        <w:t>motifs</w:t>
      </w:r>
      <w:r>
        <w:rPr>
          <w:rStyle w:val="optioncarChar"/>
        </w:rPr>
        <w:t>) / ***</w:t>
      </w:r>
    </w:p>
    <w:p w14:paraId="3D4586D3" w14:textId="77777777" w:rsidR="004B2808" w:rsidRDefault="00000000">
      <w:r>
        <w:t>Coloris : à choisir dans la gamme standard du fabricant (</w:t>
      </w:r>
      <w:r>
        <w:rPr>
          <w:rStyle w:val="optioncarChar"/>
        </w:rPr>
        <w:t>minimum 5 </w:t>
      </w:r>
      <w:r>
        <w:t>(par défaut)</w:t>
      </w:r>
      <w:r>
        <w:rPr>
          <w:rStyle w:val="optioncarChar"/>
        </w:rPr>
        <w:t xml:space="preserve"> / *** </w:t>
      </w:r>
      <w:r>
        <w:t>nuances de coloris)</w:t>
      </w:r>
    </w:p>
    <w:p w14:paraId="2F521EED" w14:textId="77777777" w:rsidR="004B2808" w:rsidRDefault="00000000">
      <w:r>
        <w:t xml:space="preserve">Différence de LRV entre les paliers et les marches : </w:t>
      </w:r>
      <w:r>
        <w:rPr>
          <w:rStyle w:val="optioncarChar"/>
        </w:rPr>
        <w:t>au moins 60% (PMR)  </w:t>
      </w:r>
      <w:r>
        <w:t>(par défaut)</w:t>
      </w:r>
      <w:r>
        <w:rPr>
          <w:rStyle w:val="optioncarChar"/>
        </w:rPr>
        <w:t> / *** </w:t>
      </w:r>
    </w:p>
    <w:p w14:paraId="7C792E81" w14:textId="77777777" w:rsidR="004B2808" w:rsidRDefault="00000000">
      <w:pPr>
        <w:pStyle w:val="pheading"/>
      </w:pPr>
      <w:r>
        <w:t>- Prescriptions complémentaires</w:t>
      </w:r>
    </w:p>
    <w:p w14:paraId="4FFA04D9" w14:textId="77777777" w:rsidR="004B2808" w:rsidRDefault="00000000">
      <w:r>
        <w:t xml:space="preserve">Les paliers sont pourvus de dalles podotactiles (PMR) : </w:t>
      </w:r>
      <w:r>
        <w:rPr>
          <w:rStyle w:val="optioncarChar"/>
        </w:rPr>
        <w:t xml:space="preserve">selon les recommandations de l'article </w:t>
      </w:r>
      <w:hyperlink w:anchor="1396" w:history="1">
        <w:r w:rsidR="004B2808">
          <w:rPr>
            <w:rStyle w:val="optioncarChar"/>
            <w:color w:val="0000EE"/>
          </w:rPr>
          <w:t>57.23 Paliers</w:t>
        </w:r>
      </w:hyperlink>
      <w:r>
        <w:rPr>
          <w:rStyle w:val="optioncarChar"/>
        </w:rPr>
        <w:t xml:space="preserve"> (PMR)  </w:t>
      </w:r>
      <w:r>
        <w:t>(par défaut)</w:t>
      </w:r>
      <w:r>
        <w:rPr>
          <w:rStyle w:val="optioncarChar"/>
        </w:rPr>
        <w:t> / *** </w:t>
      </w:r>
    </w:p>
    <w:p w14:paraId="4598C795" w14:textId="77777777" w:rsidR="004B2808" w:rsidRDefault="00000000">
      <w:pPr>
        <w:pStyle w:val="pheading"/>
      </w:pPr>
      <w:r>
        <w:t>EXÉCUTION / MISE EN ŒUVRE</w:t>
      </w:r>
    </w:p>
    <w:p w14:paraId="112D754D" w14:textId="77777777" w:rsidR="004B2808" w:rsidRDefault="00000000">
      <w:pPr>
        <w:pStyle w:val="pheading"/>
      </w:pPr>
      <w:r>
        <w:t>- Prescriptions générales</w:t>
      </w:r>
    </w:p>
    <w:p w14:paraId="17F9BA1B" w14:textId="77777777" w:rsidR="004B2808" w:rsidRDefault="00000000">
      <w:r>
        <w:t xml:space="preserve">La mise en œuvre des revêtements de paliers souples s'effectue conformément aux directives de la [NIT 165] et de l'article </w:t>
      </w:r>
      <w:hyperlink w:anchor="1286" w:history="1">
        <w:r w:rsidR="004B2808">
          <w:rPr>
            <w:color w:val="0000EE"/>
          </w:rPr>
          <w:t>53.55 Revêtements de sols souples</w:t>
        </w:r>
      </w:hyperlink>
      <w:r>
        <w:t xml:space="preserve"> revêtements de sol souples - généralités, complétées par les recommandations du fabricant. La mise en œuvre comprend entre autres les opérations suivantes :</w:t>
      </w:r>
    </w:p>
    <w:p w14:paraId="62655AF3" w14:textId="77777777" w:rsidR="004B2808" w:rsidRDefault="00000000">
      <w:pPr>
        <w:pStyle w:val="Author-eListParagraph"/>
        <w:numPr>
          <w:ilvl w:val="0"/>
          <w:numId w:val="1465"/>
        </w:numPr>
      </w:pPr>
      <w:r>
        <w:t xml:space="preserve">l'égalisation et l'application </w:t>
      </w:r>
      <w:r>
        <w:rPr>
          <w:rStyle w:val="optioncarChar"/>
        </w:rPr>
        <w:t>d'un produit de surfaçage / d'une sous-couche d'adhérence / d'une sous-couche d'isolation;</w:t>
      </w:r>
    </w:p>
    <w:p w14:paraId="655EFE82" w14:textId="77777777" w:rsidR="004B2808" w:rsidRDefault="00000000">
      <w:pPr>
        <w:pStyle w:val="Author-eListParagraph"/>
        <w:numPr>
          <w:ilvl w:val="0"/>
          <w:numId w:val="1465"/>
        </w:numPr>
      </w:pPr>
      <w:r>
        <w:t>après la mise en œuvre, le revêtement est débarrassé de tous décombres et déchets de découpe.</w:t>
      </w:r>
    </w:p>
    <w:p w14:paraId="0856A017" w14:textId="77777777" w:rsidR="004B2808" w:rsidRDefault="00000000">
      <w:r>
        <w:rPr>
          <w:b/>
          <w:sz w:val="24"/>
        </w:rPr>
        <w:t>caoutchouc</w:t>
      </w:r>
    </w:p>
    <w:p w14:paraId="7E48442E" w14:textId="77777777" w:rsidR="004B2808" w:rsidRDefault="00000000">
      <w:r>
        <w:t>La mise en œuvre comprend:</w:t>
      </w:r>
    </w:p>
    <w:p w14:paraId="356C90E6" w14:textId="77777777" w:rsidR="004B2808" w:rsidRDefault="00000000">
      <w:pPr>
        <w:pStyle w:val="Author-eListParagraph"/>
        <w:numPr>
          <w:ilvl w:val="0"/>
          <w:numId w:val="1466"/>
        </w:numPr>
      </w:pPr>
      <w:r>
        <w:lastRenderedPageBreak/>
        <w:t>la disposition et le collage hydrofuge des lés sur toute leur surface avec la colle recommandée par le fabricant (</w:t>
      </w:r>
      <w:r>
        <w:rPr>
          <w:rStyle w:val="optioncarChar"/>
        </w:rPr>
        <w:t>sur une face, avec de la colle en dispersion ou PUR / sur les deux faces, avec une colle au néoprène</w:t>
      </w:r>
      <w:r>
        <w:t xml:space="preserve">). </w:t>
      </w:r>
    </w:p>
    <w:p w14:paraId="20FF8885" w14:textId="77777777" w:rsidR="004B2808" w:rsidRDefault="00000000">
      <w:pPr>
        <w:pStyle w:val="Author-eListParagraph"/>
        <w:numPr>
          <w:ilvl w:val="0"/>
          <w:numId w:val="1466"/>
        </w:numPr>
      </w:pPr>
      <w:r>
        <w:t>Le revêtement en caoutchouc ne peut être foulé qu'après 72 heures.</w:t>
      </w:r>
    </w:p>
    <w:p w14:paraId="06251C4E" w14:textId="77777777" w:rsidR="004B2808" w:rsidRDefault="00000000">
      <w:pPr>
        <w:pStyle w:val="pheading"/>
      </w:pPr>
      <w:r>
        <w:t>- Notes d’exécution complémentaires</w:t>
      </w:r>
    </w:p>
    <w:p w14:paraId="58BB8279" w14:textId="77777777" w:rsidR="004B2808" w:rsidRDefault="00000000">
      <w:pPr>
        <w:pStyle w:val="heading"/>
      </w:pPr>
      <w:r>
        <w:t>caoutchouc</w:t>
      </w:r>
    </w:p>
    <w:p w14:paraId="2C894741" w14:textId="77777777" w:rsidR="004B2808" w:rsidRDefault="00000000">
      <w:r>
        <w:t>Le découpage machinal et la vulcanisation des joints avec apport d'un cordon de soudure thermique;</w:t>
      </w:r>
    </w:p>
    <w:p w14:paraId="297F66A6" w14:textId="77777777" w:rsidR="004B2808" w:rsidRDefault="00000000">
      <w:r>
        <w:t>Le fabricant remet un manuel d'entretien du revêtement d'escalier.</w:t>
      </w:r>
    </w:p>
    <w:p w14:paraId="1791C693" w14:textId="77777777" w:rsidR="004B2808" w:rsidRDefault="00000000">
      <w:pPr>
        <w:pStyle w:val="pheading"/>
      </w:pPr>
      <w:r>
        <w:t>MESURAGE</w:t>
      </w:r>
    </w:p>
    <w:p w14:paraId="4E7BA7D4" w14:textId="77777777" w:rsidR="004B2808" w:rsidRDefault="00000000">
      <w:r>
        <w:t>Conformément aux indications spécifiques dans le cahier spécial des charges et/ou le métré récapitulatif, le mesurage doit être conçu comme suit :</w:t>
      </w:r>
    </w:p>
    <w:p w14:paraId="78E25338" w14:textId="77777777" w:rsidR="004B2808" w:rsidRDefault="00000000">
      <w:pPr>
        <w:pStyle w:val="pheading"/>
      </w:pPr>
      <w:r>
        <w:t>- unité de mesure:</w:t>
      </w:r>
    </w:p>
    <w:p w14:paraId="1D9F7811" w14:textId="77777777" w:rsidR="004B2808" w:rsidRDefault="00000000">
      <w:r>
        <w:t>p</w:t>
      </w:r>
    </w:p>
    <w:p w14:paraId="09CDED3C" w14:textId="77777777" w:rsidR="004B2808" w:rsidRDefault="00000000">
      <w:pPr>
        <w:pStyle w:val="pheading"/>
      </w:pPr>
      <w:r>
        <w:t>- code de mesurage:</w:t>
      </w:r>
    </w:p>
    <w:p w14:paraId="3C12CE18" w14:textId="77777777" w:rsidR="004B2808" w:rsidRDefault="00000000">
      <w:r>
        <w:t>Par palier, éventuellement en fonction des paliers droits et tournants, y compris les plinthes et les contremarches</w:t>
      </w:r>
    </w:p>
    <w:p w14:paraId="38794A82" w14:textId="77777777" w:rsidR="004B2808" w:rsidRDefault="00000000">
      <w:pPr>
        <w:pStyle w:val="pheading"/>
      </w:pPr>
      <w:r>
        <w:t>- nature du marché:</w:t>
      </w:r>
    </w:p>
    <w:p w14:paraId="202C2443" w14:textId="77777777" w:rsidR="004B2808" w:rsidRDefault="00000000">
      <w:r>
        <w:t>QF</w:t>
      </w:r>
    </w:p>
    <w:p w14:paraId="5877D94F" w14:textId="77777777" w:rsidR="004B2808" w:rsidRDefault="00000000">
      <w:pPr>
        <w:pStyle w:val="Author-eSectionHeading6Numberless"/>
      </w:pPr>
      <w:bookmarkStart w:id="1598" w:name="_Toc220491691"/>
      <w:r>
        <w:t>57.23.6b Paliers en matériaux synthétiques - recouvrement en linoleum CCTB 01.11</w:t>
      </w:r>
      <w:bookmarkEnd w:id="1598"/>
    </w:p>
    <w:p w14:paraId="08D883AB" w14:textId="77777777" w:rsidR="004B2808" w:rsidRDefault="00000000">
      <w:pPr>
        <w:pStyle w:val="pheading"/>
      </w:pPr>
      <w:r>
        <w:t>MATÉRIAUX</w:t>
      </w:r>
    </w:p>
    <w:p w14:paraId="753FF409" w14:textId="77777777" w:rsidR="004B2808" w:rsidRDefault="00000000">
      <w:pPr>
        <w:pStyle w:val="pheading"/>
      </w:pPr>
      <w:r>
        <w:t>- Caractéristiques générales</w:t>
      </w:r>
    </w:p>
    <w:p w14:paraId="3181F0F6" w14:textId="77777777" w:rsidR="004B2808" w:rsidRDefault="00000000">
      <w:r>
        <w:t xml:space="preserve">Le linoléum a la même couleur et le même dessin que le revêtement de sol mis en œuvre, selon l'article </w:t>
      </w:r>
      <w:hyperlink w:anchor="1397" w:history="1">
        <w:r w:rsidR="004B2808">
          <w:rPr>
            <w:color w:val="0000EE"/>
          </w:rPr>
          <w:t>53.55.3a Revêtements de sols souples plastiques et synthétiques - Linoleum</w:t>
        </w:r>
      </w:hyperlink>
      <w:r>
        <w:t>, et est coupé en bandes droites aussi longues que possible, avec un appareil approprié.</w:t>
      </w:r>
    </w:p>
    <w:p w14:paraId="6105D239" w14:textId="77777777" w:rsidR="004B2808" w:rsidRDefault="00000000">
      <w:r>
        <w:t xml:space="preserve">Epaisseur </w:t>
      </w:r>
      <w:r>
        <w:rPr>
          <w:rStyle w:val="optioncarChar"/>
        </w:rPr>
        <w:t xml:space="preserve">: 2,0 / 2,5 / 3,2 </w:t>
      </w:r>
    </w:p>
    <w:p w14:paraId="375ED223" w14:textId="77777777" w:rsidR="004B2808" w:rsidRDefault="00000000">
      <w:r>
        <w:t xml:space="preserve">Hauteur : environ </w:t>
      </w:r>
      <w:r>
        <w:rPr>
          <w:rStyle w:val="optioncarChar"/>
        </w:rPr>
        <w:t>80</w:t>
      </w:r>
      <w:r>
        <w:t> (par défaut)</w:t>
      </w:r>
      <w:r>
        <w:rPr>
          <w:rStyle w:val="optioncarChar"/>
        </w:rPr>
        <w:t xml:space="preserve"> / *** </w:t>
      </w:r>
      <w:r>
        <w:rPr>
          <w:color w:val="000080"/>
        </w:rPr>
        <w:t>mm</w:t>
      </w:r>
    </w:p>
    <w:p w14:paraId="4BB0651A" w14:textId="77777777" w:rsidR="004B2808" w:rsidRDefault="00000000">
      <w:r>
        <w:t xml:space="preserve">Forme : les angles visibles sont </w:t>
      </w:r>
      <w:r>
        <w:rPr>
          <w:rStyle w:val="optioncarChar"/>
        </w:rPr>
        <w:t>biseautés / arrondis</w:t>
      </w:r>
    </w:p>
    <w:p w14:paraId="49236EDC" w14:textId="77777777" w:rsidR="004B2808" w:rsidRDefault="00000000">
      <w:pPr>
        <w:ind w:left="750"/>
      </w:pPr>
      <w:r>
        <w:t> </w:t>
      </w:r>
    </w:p>
    <w:p w14:paraId="6F60D4A5" w14:textId="77777777" w:rsidR="004B2808" w:rsidRDefault="00000000">
      <w:pPr>
        <w:pStyle w:val="pheading"/>
      </w:pPr>
      <w:r>
        <w:t>- Finitions</w:t>
      </w:r>
    </w:p>
    <w:p w14:paraId="70CABF44" w14:textId="77777777" w:rsidR="004B2808" w:rsidRDefault="00000000">
      <w:r>
        <w:t xml:space="preserve">Différence de LRV entre les paliers et les marches : </w:t>
      </w:r>
      <w:r>
        <w:rPr>
          <w:rStyle w:val="optioncarChar"/>
        </w:rPr>
        <w:t>au moins 60% (PMR) </w:t>
      </w:r>
      <w:r>
        <w:t>(par défaut)</w:t>
      </w:r>
      <w:r>
        <w:rPr>
          <w:rStyle w:val="optioncarChar"/>
        </w:rPr>
        <w:t> / *** </w:t>
      </w:r>
    </w:p>
    <w:p w14:paraId="2D188153" w14:textId="77777777" w:rsidR="004B2808" w:rsidRDefault="00000000">
      <w:pPr>
        <w:pStyle w:val="pheading"/>
      </w:pPr>
      <w:r>
        <w:t>- Prescriptions complémentaires</w:t>
      </w:r>
    </w:p>
    <w:p w14:paraId="20261D1A" w14:textId="77777777" w:rsidR="004B2808" w:rsidRDefault="00000000">
      <w:r>
        <w:t xml:space="preserve">Les paliers sont pourvus de dalles podotactiles (PMR) : </w:t>
      </w:r>
      <w:r>
        <w:rPr>
          <w:rStyle w:val="optioncarChar"/>
        </w:rPr>
        <w:t xml:space="preserve">selon les recommandations du sous-titre </w:t>
      </w:r>
      <w:hyperlink w:anchor="1396" w:history="1">
        <w:r w:rsidR="004B2808">
          <w:rPr>
            <w:rStyle w:val="optioncarChar"/>
            <w:color w:val="0000EE"/>
          </w:rPr>
          <w:t>57.23 Paliers</w:t>
        </w:r>
      </w:hyperlink>
      <w:r>
        <w:rPr>
          <w:rStyle w:val="optioncarChar"/>
        </w:rPr>
        <w:t> (PMR) </w:t>
      </w:r>
      <w:r>
        <w:t>(par défaut) </w:t>
      </w:r>
      <w:r>
        <w:rPr>
          <w:rStyle w:val="optioncarChar"/>
        </w:rPr>
        <w:t>/ *** </w:t>
      </w:r>
      <w:r>
        <w:br/>
        <w:t>Les paliers sont pourvus d'un profil de renfort en aluminium, intégré en usine.</w:t>
      </w:r>
    </w:p>
    <w:p w14:paraId="71374103" w14:textId="77777777" w:rsidR="004B2808" w:rsidRDefault="00000000">
      <w:pPr>
        <w:pStyle w:val="pheading"/>
      </w:pPr>
      <w:r>
        <w:t>EXÉCUTION / MISE EN ŒUVRE</w:t>
      </w:r>
    </w:p>
    <w:p w14:paraId="6FC616BC" w14:textId="77777777" w:rsidR="004B2808" w:rsidRDefault="00000000">
      <w:pPr>
        <w:pStyle w:val="pheading"/>
      </w:pPr>
      <w:r>
        <w:t>- Prescriptions générales</w:t>
      </w:r>
    </w:p>
    <w:p w14:paraId="1D6313E0" w14:textId="77777777" w:rsidR="004B2808" w:rsidRDefault="00000000">
      <w:r>
        <w:t>Les revêtements de palier sont mis en œuvre selon le § 9.5.7.2 de la [NIT 165].</w:t>
      </w:r>
    </w:p>
    <w:p w14:paraId="7CFE294D" w14:textId="77777777" w:rsidR="004B2808" w:rsidRDefault="00000000">
      <w:r>
        <w:t>Les revêtements de palier et plinthes sont posés selon le système traditionnel avec une sous-couche en voile de verre renforcé au polyester fixée dans la pliure du linoléum. L'arrondi au droit du mur est indiqué par un angle à 90° selon lequel la bande prérainurée peut être courbée. La rainure même est pourvue d'une mince bande de colle spéciale 'hot-melt' qui coule déjà dans des circonstances de mise en œuvre normales (au moins 18°C).</w:t>
      </w:r>
    </w:p>
    <w:p w14:paraId="3D836044" w14:textId="77777777" w:rsidR="004B2808" w:rsidRDefault="00000000">
      <w:r>
        <w:lastRenderedPageBreak/>
        <w:t>Dans les angles, les plinthes sont exécutées à onglet.</w:t>
      </w:r>
    </w:p>
    <w:p w14:paraId="7410DCC1" w14:textId="77777777" w:rsidR="004B2808" w:rsidRDefault="00000000">
      <w:r>
        <w:t>Les revêtements de palier et bandes de plinthe sont collées sur toute leur surface sur le support avec la colle préconisée par le fabricant. Après le séchage de la colle, les joints sont découpés et soudés avec apport d'un cordon de soudure pour linoléum.</w:t>
      </w:r>
    </w:p>
    <w:p w14:paraId="45F1BFF7" w14:textId="77777777" w:rsidR="004B2808" w:rsidRDefault="00000000">
      <w:pPr>
        <w:ind w:left="750"/>
      </w:pPr>
      <w:r>
        <w:t> </w:t>
      </w:r>
    </w:p>
    <w:p w14:paraId="665E3747" w14:textId="77777777" w:rsidR="004B2808" w:rsidRDefault="00000000">
      <w:pPr>
        <w:pStyle w:val="pheading"/>
      </w:pPr>
      <w:r>
        <w:t>- Notes d’exécution complémentaires</w:t>
      </w:r>
    </w:p>
    <w:p w14:paraId="477B82BF" w14:textId="77777777" w:rsidR="004B2808" w:rsidRDefault="00000000">
      <w:r>
        <w:t>Application d'une cire et l'encaustiquage ou application d'une émulsion autolubrifiante.</w:t>
      </w:r>
    </w:p>
    <w:p w14:paraId="6853BF10" w14:textId="77777777" w:rsidR="004B2808" w:rsidRDefault="00000000">
      <w:pPr>
        <w:pStyle w:val="pheading"/>
      </w:pPr>
      <w:r>
        <w:t>MESURAGE</w:t>
      </w:r>
    </w:p>
    <w:p w14:paraId="6FD5B54E" w14:textId="77777777" w:rsidR="004B2808" w:rsidRDefault="00000000">
      <w:r>
        <w:t>Conformément aux indications spécifiques dans le cahier spécial des charges et/ou le métré récapitulatif, le mesurage doit être conçu comme suit :</w:t>
      </w:r>
    </w:p>
    <w:p w14:paraId="74997223" w14:textId="77777777" w:rsidR="004B2808" w:rsidRDefault="00000000">
      <w:pPr>
        <w:pStyle w:val="pheading"/>
      </w:pPr>
      <w:r>
        <w:t>- unité de mesure:</w:t>
      </w:r>
    </w:p>
    <w:p w14:paraId="3DBC8BD8" w14:textId="77777777" w:rsidR="004B2808" w:rsidRDefault="00000000">
      <w:r>
        <w:t>p</w:t>
      </w:r>
    </w:p>
    <w:p w14:paraId="054DC34D" w14:textId="77777777" w:rsidR="004B2808" w:rsidRDefault="00000000">
      <w:pPr>
        <w:pStyle w:val="pheading"/>
      </w:pPr>
      <w:r>
        <w:t>- code de mesurage:</w:t>
      </w:r>
    </w:p>
    <w:p w14:paraId="134A0EAF" w14:textId="77777777" w:rsidR="004B2808" w:rsidRDefault="00000000">
      <w:r>
        <w:t>Par palier, éventuellement en fonction des paliers droits et tournants, y compris les plinthes et les contremarches</w:t>
      </w:r>
    </w:p>
    <w:p w14:paraId="1B21FB69" w14:textId="77777777" w:rsidR="004B2808" w:rsidRDefault="00000000">
      <w:pPr>
        <w:pStyle w:val="pheading"/>
      </w:pPr>
      <w:r>
        <w:t>- nature du marché:</w:t>
      </w:r>
    </w:p>
    <w:p w14:paraId="01B6A897" w14:textId="77777777" w:rsidR="004B2808" w:rsidRDefault="00000000">
      <w:r>
        <w:t>QF</w:t>
      </w:r>
    </w:p>
    <w:p w14:paraId="576E5A3B" w14:textId="77777777" w:rsidR="004B2808" w:rsidRDefault="00000000">
      <w:pPr>
        <w:pStyle w:val="Author-eSectionHeading6Numberless"/>
      </w:pPr>
      <w:bookmarkStart w:id="1599" w:name="_Toc220491692"/>
      <w:r>
        <w:t>57.23.6c Paliers en matériaux synthétiques - recouvrement en pvc CCTB 01.11</w:t>
      </w:r>
      <w:bookmarkEnd w:id="1599"/>
    </w:p>
    <w:p w14:paraId="3F887E2D" w14:textId="77777777" w:rsidR="004B2808" w:rsidRDefault="00000000">
      <w:pPr>
        <w:pStyle w:val="pheading"/>
      </w:pPr>
      <w:r>
        <w:t>MATÉRIAUX</w:t>
      </w:r>
    </w:p>
    <w:p w14:paraId="725D4EAC" w14:textId="77777777" w:rsidR="004B2808" w:rsidRDefault="00000000">
      <w:pPr>
        <w:pStyle w:val="pheading"/>
      </w:pPr>
      <w:r>
        <w:t>- Caractéristiques générales</w:t>
      </w:r>
    </w:p>
    <w:p w14:paraId="00A023E2" w14:textId="77777777" w:rsidR="004B2808" w:rsidRDefault="00000000">
      <w:r>
        <w:t>Les revêtements de palier sont livrées et placées dans les plus grandes longueurs possibles. Le PVC utilisé doit satisfaire aux prescriptions de la [NBN EN 12608-1:2016+A1]. Les revêtements de paliers sont livrés d’une seule pièce / dans les plus grandes longueurs possibles, les pièces d'ajustage d'une longueur inférieure à 80 cm doivent être évitées.</w:t>
      </w:r>
    </w:p>
    <w:p w14:paraId="1A8D5146" w14:textId="77777777" w:rsidR="004B2808" w:rsidRDefault="00000000">
      <w:pPr>
        <w:pStyle w:val="heading"/>
      </w:pPr>
      <w:r>
        <w:t>Spécifications</w:t>
      </w:r>
    </w:p>
    <w:p w14:paraId="3A739870" w14:textId="77777777" w:rsidR="004B2808" w:rsidRDefault="00000000">
      <w:r>
        <w:t xml:space="preserve">Type : </w:t>
      </w:r>
      <w:r>
        <w:rPr>
          <w:rStyle w:val="optioncarChar"/>
        </w:rPr>
        <w:t>profils creux extrudés, renforcés transversalement à l'aide de nervures </w:t>
      </w:r>
      <w:r>
        <w:t xml:space="preserve">(par défaut) / </w:t>
      </w:r>
      <w:r>
        <w:rPr>
          <w:rStyle w:val="optioncarChar"/>
        </w:rPr>
        <w:t>***</w:t>
      </w:r>
    </w:p>
    <w:p w14:paraId="7FABD3E4" w14:textId="77777777" w:rsidR="004B2808" w:rsidRDefault="00000000">
      <w:r>
        <w:t xml:space="preserve">Matériaux: </w:t>
      </w:r>
      <w:r>
        <w:rPr>
          <w:rStyle w:val="optioncarChar"/>
        </w:rPr>
        <w:t>PVC exempt de plastifiant </w:t>
      </w:r>
      <w:r>
        <w:t>(par défaut)</w:t>
      </w:r>
      <w:r>
        <w:rPr>
          <w:rStyle w:val="optioncarChar"/>
        </w:rPr>
        <w:t xml:space="preserve"> / PVC cellulaire exempt de plastifiant / ***</w:t>
      </w:r>
    </w:p>
    <w:p w14:paraId="7DECDA32" w14:textId="77777777" w:rsidR="004B2808" w:rsidRDefault="00000000">
      <w:r>
        <w:t xml:space="preserve">Epaisseur des parois : minimum </w:t>
      </w:r>
      <w:r>
        <w:rPr>
          <w:rStyle w:val="optioncarChar"/>
        </w:rPr>
        <w:t>1 </w:t>
      </w:r>
      <w:r>
        <w:t>(par défaut)</w:t>
      </w:r>
      <w:r>
        <w:rPr>
          <w:rStyle w:val="optioncarChar"/>
        </w:rPr>
        <w:t> / ***</w:t>
      </w:r>
      <w:r>
        <w:t xml:space="preserve"> mm.</w:t>
      </w:r>
    </w:p>
    <w:p w14:paraId="027BA07C" w14:textId="77777777" w:rsidR="004B2808" w:rsidRDefault="00000000">
      <w:r>
        <w:t xml:space="preserve">Epaisseur des plinthes : minimum </w:t>
      </w:r>
      <w:r>
        <w:rPr>
          <w:rStyle w:val="optioncarChar"/>
        </w:rPr>
        <w:t>8 </w:t>
      </w:r>
      <w:r>
        <w:t>(par défaut)</w:t>
      </w:r>
      <w:r>
        <w:rPr>
          <w:rStyle w:val="optioncarChar"/>
        </w:rPr>
        <w:t xml:space="preserve"> / 10 / ***</w:t>
      </w:r>
      <w:r>
        <w:t xml:space="preserve"> mm.</w:t>
      </w:r>
    </w:p>
    <w:p w14:paraId="5BC87350" w14:textId="77777777" w:rsidR="004B2808" w:rsidRDefault="00000000">
      <w:r>
        <w:t xml:space="preserve">Hauteur : environ </w:t>
      </w:r>
      <w:r>
        <w:rPr>
          <w:rStyle w:val="optioncarChar"/>
        </w:rPr>
        <w:t>60</w:t>
      </w:r>
      <w:r>
        <w:t> (par défaut)</w:t>
      </w:r>
      <w:r>
        <w:rPr>
          <w:rStyle w:val="optioncarChar"/>
        </w:rPr>
        <w:t xml:space="preserve"> / 80 / *** </w:t>
      </w:r>
      <w:r>
        <w:t>mm</w:t>
      </w:r>
    </w:p>
    <w:p w14:paraId="33FC9BBB" w14:textId="77777777" w:rsidR="004B2808" w:rsidRDefault="00000000">
      <w:r>
        <w:t xml:space="preserve">Forme : les angles visibles sont </w:t>
      </w:r>
      <w:r>
        <w:rPr>
          <w:rStyle w:val="optioncarChar"/>
        </w:rPr>
        <w:t>droits</w:t>
      </w:r>
      <w:r>
        <w:t> (par défaut)</w:t>
      </w:r>
      <w:r>
        <w:rPr>
          <w:rStyle w:val="optioncarChar"/>
        </w:rPr>
        <w:t xml:space="preserve"> / biseautés / arrondis / ***</w:t>
      </w:r>
    </w:p>
    <w:p w14:paraId="7CEF3357" w14:textId="77777777" w:rsidR="004B2808" w:rsidRDefault="00000000">
      <w:r>
        <w:t xml:space="preserve">Texture de la surface : </w:t>
      </w:r>
      <w:r>
        <w:rPr>
          <w:rStyle w:val="optioncarChar"/>
        </w:rPr>
        <w:t>parfaitement lisse </w:t>
      </w:r>
      <w:r>
        <w:t>(par défaut)</w:t>
      </w:r>
      <w:r>
        <w:rPr>
          <w:rStyle w:val="optioncarChar"/>
        </w:rPr>
        <w:t xml:space="preserve"> / ***</w:t>
      </w:r>
    </w:p>
    <w:p w14:paraId="7F918BB6" w14:textId="77777777" w:rsidR="004B2808" w:rsidRDefault="00000000">
      <w:r>
        <w:t xml:space="preserve">Aspect : </w:t>
      </w:r>
      <w:r>
        <w:rPr>
          <w:rStyle w:val="optioncarChar"/>
        </w:rPr>
        <w:t>satiné </w:t>
      </w:r>
      <w:r>
        <w:t>(par défaut)</w:t>
      </w:r>
      <w:r>
        <w:rPr>
          <w:rStyle w:val="optioncarChar"/>
        </w:rPr>
        <w:t xml:space="preserve"> / brillant / ***</w:t>
      </w:r>
      <w:r>
        <w:t>.</w:t>
      </w:r>
    </w:p>
    <w:p w14:paraId="0DA9AFBE" w14:textId="77777777" w:rsidR="004B2808" w:rsidRDefault="00000000">
      <w:r>
        <w:t xml:space="preserve">Coloris : </w:t>
      </w:r>
      <w:r>
        <w:rPr>
          <w:rStyle w:val="optioncarChar"/>
        </w:rPr>
        <w:t>couleur RAL n° *** / à choisir dans la gamme complète du fabricant </w:t>
      </w:r>
      <w:r>
        <w:t>(par défaut) .</w:t>
      </w:r>
    </w:p>
    <w:p w14:paraId="41C7D1C8" w14:textId="77777777" w:rsidR="004B2808" w:rsidRDefault="00000000">
      <w:r>
        <w:t xml:space="preserve">Différence de LRV entre les paliers et les marches : </w:t>
      </w:r>
      <w:r>
        <w:rPr>
          <w:rStyle w:val="optioncarChar"/>
        </w:rPr>
        <w:t>au moins 60% (PMR)</w:t>
      </w:r>
      <w:r>
        <w:t> (par défaut)</w:t>
      </w:r>
      <w:r>
        <w:rPr>
          <w:rStyle w:val="optioncarChar"/>
        </w:rPr>
        <w:t> / ***</w:t>
      </w:r>
    </w:p>
    <w:p w14:paraId="29C7C39E" w14:textId="77777777" w:rsidR="004B2808" w:rsidRDefault="00000000">
      <w:pPr>
        <w:pStyle w:val="pheading"/>
      </w:pPr>
      <w:r>
        <w:t>- Prescriptions complémentaires</w:t>
      </w:r>
    </w:p>
    <w:p w14:paraId="6FA855B1" w14:textId="77777777" w:rsidR="004B2808" w:rsidRDefault="00000000">
      <w:r>
        <w:t xml:space="preserve">Les paliers sont pourvus de dalles podotactiles (PMR) : </w:t>
      </w:r>
      <w:r>
        <w:rPr>
          <w:rStyle w:val="optioncarChar"/>
        </w:rPr>
        <w:t xml:space="preserve">selon les recommandations de l'article </w:t>
      </w:r>
      <w:hyperlink w:anchor="1396" w:history="1">
        <w:r w:rsidR="004B2808">
          <w:rPr>
            <w:rStyle w:val="optioncarChar"/>
            <w:color w:val="0000EE"/>
          </w:rPr>
          <w:t>57.23 Paliers</w:t>
        </w:r>
      </w:hyperlink>
      <w:r>
        <w:rPr>
          <w:rStyle w:val="optioncarChar"/>
        </w:rPr>
        <w:t xml:space="preserve"> (PMR)</w:t>
      </w:r>
      <w:r>
        <w:t> (par défaut)</w:t>
      </w:r>
      <w:r>
        <w:rPr>
          <w:rStyle w:val="optioncarChar"/>
        </w:rPr>
        <w:t> / ***</w:t>
      </w:r>
    </w:p>
    <w:p w14:paraId="27EC6A94" w14:textId="77777777" w:rsidR="004B2808" w:rsidRDefault="00000000">
      <w:pPr>
        <w:pStyle w:val="pheading"/>
      </w:pPr>
      <w:r>
        <w:t>EXÉCUTION / MISE EN ŒUVRE</w:t>
      </w:r>
    </w:p>
    <w:p w14:paraId="33C16C3C" w14:textId="77777777" w:rsidR="004B2808" w:rsidRDefault="00000000">
      <w:pPr>
        <w:pStyle w:val="pheading"/>
      </w:pPr>
      <w:r>
        <w:t>- Prescriptions générales</w:t>
      </w:r>
    </w:p>
    <w:p w14:paraId="1E6203AE" w14:textId="77777777" w:rsidR="004B2808" w:rsidRDefault="00000000">
      <w:r>
        <w:lastRenderedPageBreak/>
        <w:t xml:space="preserve">Les revêtements de palier et plinthes sont mises en œuvre selon le § 9.5.7.2 de la [NIT 165]. Au préalable, les surfaces de pose sont dépoussiérées et préparées afin de pouvoir réaliser un raccord parfait entre le revêtement de sol et le mur. Dans les angles, les plinthes sont ajustées à onglet. Elles sont fixées au mur par </w:t>
      </w:r>
      <w:r>
        <w:rPr>
          <w:rStyle w:val="optioncarChar"/>
        </w:rPr>
        <w:t>collage / assemblage à enclenchement invisible</w:t>
      </w:r>
      <w:r>
        <w:t>, conformément aux recommandations du fabricant.</w:t>
      </w:r>
    </w:p>
    <w:p w14:paraId="3133E16F" w14:textId="77777777" w:rsidR="004B2808" w:rsidRDefault="00000000">
      <w:pPr>
        <w:ind w:left="750"/>
      </w:pPr>
      <w:r>
        <w:t> </w:t>
      </w:r>
    </w:p>
    <w:p w14:paraId="2E5C3425" w14:textId="77777777" w:rsidR="004B2808" w:rsidRDefault="00000000">
      <w:pPr>
        <w:pStyle w:val="pheading"/>
      </w:pPr>
      <w:r>
        <w:t>- Notes d’exécution complémentaires</w:t>
      </w:r>
    </w:p>
    <w:p w14:paraId="22493A99" w14:textId="77777777" w:rsidR="004B2808" w:rsidRDefault="00000000">
      <w:r>
        <w:t>Avant de procéder à la mise en œuvre, la jonction entre le revêtement de sol et le mur est parachevée avec un joint au silicone afin d'empêcher la pénétration d'humidité.</w:t>
      </w:r>
    </w:p>
    <w:p w14:paraId="6E59BA2C" w14:textId="77777777" w:rsidR="004B2808" w:rsidRDefault="00000000">
      <w:pPr>
        <w:pStyle w:val="pheading"/>
      </w:pPr>
      <w:r>
        <w:t>MESURAGE</w:t>
      </w:r>
    </w:p>
    <w:p w14:paraId="03482BD7" w14:textId="77777777" w:rsidR="004B2808" w:rsidRDefault="00000000">
      <w:r>
        <w:t>Conformément aux indications spécifiques dans le cahier spécial des charges et/ou le métré récapitulatif, le mesurage doit être conçu comme suit :</w:t>
      </w:r>
    </w:p>
    <w:p w14:paraId="02C68258" w14:textId="77777777" w:rsidR="004B2808" w:rsidRDefault="00000000">
      <w:pPr>
        <w:pStyle w:val="pheading"/>
      </w:pPr>
      <w:r>
        <w:t>- unité de mesure:</w:t>
      </w:r>
    </w:p>
    <w:p w14:paraId="14831608" w14:textId="77777777" w:rsidR="004B2808" w:rsidRDefault="00000000">
      <w:r>
        <w:t>p</w:t>
      </w:r>
    </w:p>
    <w:p w14:paraId="03F0F3E4" w14:textId="77777777" w:rsidR="004B2808" w:rsidRDefault="00000000">
      <w:pPr>
        <w:pStyle w:val="pheading"/>
      </w:pPr>
      <w:r>
        <w:t>- code de mesurage:</w:t>
      </w:r>
    </w:p>
    <w:p w14:paraId="4DC92C84" w14:textId="77777777" w:rsidR="004B2808" w:rsidRDefault="00000000">
      <w:r>
        <w:t>Par palier, éventuellement en fonction des paliers droits et tournants, y compris les plinthes et les contremarches</w:t>
      </w:r>
    </w:p>
    <w:p w14:paraId="39BD9E90" w14:textId="77777777" w:rsidR="004B2808" w:rsidRDefault="00000000">
      <w:pPr>
        <w:pStyle w:val="pheading"/>
      </w:pPr>
      <w:r>
        <w:t>- nature du marché:</w:t>
      </w:r>
    </w:p>
    <w:p w14:paraId="3A78BD13" w14:textId="77777777" w:rsidR="004B2808" w:rsidRDefault="00000000">
      <w:r>
        <w:t>QF</w:t>
      </w:r>
    </w:p>
    <w:p w14:paraId="44FA55AC" w14:textId="77777777" w:rsidR="004B2808" w:rsidRDefault="00000000">
      <w:pPr>
        <w:pStyle w:val="Author-eSectionHeading6Numberless"/>
      </w:pPr>
      <w:bookmarkStart w:id="1600" w:name="_Toc220491693"/>
      <w:r>
        <w:t>57.23.6d Paliers en matériaux synthétiques - recouvrement en vinyle CCTB 01.11</w:t>
      </w:r>
      <w:bookmarkEnd w:id="1600"/>
    </w:p>
    <w:p w14:paraId="52B5842B" w14:textId="77777777" w:rsidR="004B2808" w:rsidRDefault="00000000">
      <w:pPr>
        <w:pStyle w:val="pheading"/>
      </w:pPr>
      <w:r>
        <w:t>MATÉRIAUX</w:t>
      </w:r>
    </w:p>
    <w:p w14:paraId="189C59EA" w14:textId="77777777" w:rsidR="004B2808" w:rsidRDefault="00000000">
      <w:pPr>
        <w:pStyle w:val="pheading"/>
      </w:pPr>
      <w:r>
        <w:t>- Caractéristiques générales</w:t>
      </w:r>
    </w:p>
    <w:p w14:paraId="413215E3" w14:textId="77777777" w:rsidR="004B2808" w:rsidRDefault="00000000">
      <w:r>
        <w:t>Les revêtements de palier sont livrés et placés dans les plus grandes longueurs possibles. Le PVC utilisé doit satisfaire aux prescriptions de la [NBN EN 12608-1:2016+A1]. Les revêtements de palier sont livrés dans les plus grandes longueurs possibles, les pièces d'ajustage d'une longueur inférieure à 80 cm doivent être évitées.</w:t>
      </w:r>
    </w:p>
    <w:p w14:paraId="397E81ED" w14:textId="77777777" w:rsidR="004B2808" w:rsidRDefault="00000000">
      <w:pPr>
        <w:pStyle w:val="heading"/>
      </w:pPr>
      <w:r>
        <w:t>Spécifications</w:t>
      </w:r>
    </w:p>
    <w:p w14:paraId="454B407B" w14:textId="77777777" w:rsidR="004B2808" w:rsidRDefault="00000000">
      <w:r>
        <w:t xml:space="preserve">Type : </w:t>
      </w:r>
      <w:r>
        <w:rPr>
          <w:rStyle w:val="optioncarChar"/>
        </w:rPr>
        <w:t>profils creux extrudés, renforcés transversalement à l'aide de nervures </w:t>
      </w:r>
      <w:r>
        <w:t>(par défaut)</w:t>
      </w:r>
      <w:r>
        <w:rPr>
          <w:rStyle w:val="optioncarChar"/>
        </w:rPr>
        <w:t>/ ***</w:t>
      </w:r>
    </w:p>
    <w:p w14:paraId="72F59149" w14:textId="77777777" w:rsidR="004B2808" w:rsidRDefault="00000000">
      <w:r>
        <w:t xml:space="preserve">Matériaux: </w:t>
      </w:r>
      <w:r>
        <w:rPr>
          <w:rStyle w:val="optioncarChar"/>
        </w:rPr>
        <w:t>PVC exempt de plastifiant / PVC cellulaire exempt de plastifiant</w:t>
      </w:r>
    </w:p>
    <w:p w14:paraId="51D39F38" w14:textId="77777777" w:rsidR="004B2808" w:rsidRDefault="00000000">
      <w:r>
        <w:t xml:space="preserve">Epaisseur des parois : minimum </w:t>
      </w:r>
      <w:r>
        <w:rPr>
          <w:rStyle w:val="optioncarChar"/>
        </w:rPr>
        <w:t>1</w:t>
      </w:r>
      <w:r>
        <w:t> (par défaut)</w:t>
      </w:r>
      <w:r>
        <w:rPr>
          <w:rStyle w:val="optioncarChar"/>
        </w:rPr>
        <w:t xml:space="preserve"> / ***</w:t>
      </w:r>
      <w:r>
        <w:t xml:space="preserve"> mm.</w:t>
      </w:r>
    </w:p>
    <w:p w14:paraId="3E90115E" w14:textId="77777777" w:rsidR="004B2808" w:rsidRDefault="00000000">
      <w:r>
        <w:t xml:space="preserve">Epaisseur des plinthes : minimum </w:t>
      </w:r>
      <w:r>
        <w:rPr>
          <w:rStyle w:val="optioncarChar"/>
        </w:rPr>
        <w:t>8 </w:t>
      </w:r>
      <w:r>
        <w:t>(par défaut)</w:t>
      </w:r>
      <w:r>
        <w:rPr>
          <w:rStyle w:val="optioncarChar"/>
        </w:rPr>
        <w:t> / 10 / ***</w:t>
      </w:r>
      <w:r>
        <w:t xml:space="preserve"> mm.</w:t>
      </w:r>
    </w:p>
    <w:p w14:paraId="37F71DD0" w14:textId="77777777" w:rsidR="004B2808" w:rsidRDefault="00000000">
      <w:r>
        <w:t xml:space="preserve">Hauteur : environ </w:t>
      </w:r>
      <w:r>
        <w:rPr>
          <w:rStyle w:val="optioncarChar"/>
        </w:rPr>
        <w:t>60 </w:t>
      </w:r>
      <w:r>
        <w:t>(par défaut)</w:t>
      </w:r>
      <w:r>
        <w:rPr>
          <w:rStyle w:val="optioncarChar"/>
        </w:rPr>
        <w:t xml:space="preserve"> / 80 / *** </w:t>
      </w:r>
      <w:r>
        <w:t>mm</w:t>
      </w:r>
    </w:p>
    <w:p w14:paraId="1E3F8629" w14:textId="77777777" w:rsidR="004B2808" w:rsidRDefault="00000000">
      <w:r>
        <w:t xml:space="preserve">Forme : les angles visibles sont </w:t>
      </w:r>
      <w:r>
        <w:rPr>
          <w:rStyle w:val="optioncarChar"/>
        </w:rPr>
        <w:t>droits </w:t>
      </w:r>
      <w:r>
        <w:t>(par défaut)</w:t>
      </w:r>
      <w:r>
        <w:rPr>
          <w:rStyle w:val="optioncarChar"/>
        </w:rPr>
        <w:t xml:space="preserve"> / biseautés / arrondis</w:t>
      </w:r>
    </w:p>
    <w:p w14:paraId="060AA552" w14:textId="77777777" w:rsidR="004B2808" w:rsidRDefault="00000000">
      <w:r>
        <w:t xml:space="preserve">Texture de la surface : </w:t>
      </w:r>
      <w:r>
        <w:rPr>
          <w:rStyle w:val="optioncarChar"/>
        </w:rPr>
        <w:t>parfaitement lisse</w:t>
      </w:r>
      <w:r>
        <w:t> (par défaut)</w:t>
      </w:r>
      <w:r>
        <w:rPr>
          <w:rStyle w:val="optioncarChar"/>
        </w:rPr>
        <w:t xml:space="preserve"> / ***</w:t>
      </w:r>
    </w:p>
    <w:p w14:paraId="6174E6C5" w14:textId="77777777" w:rsidR="004B2808" w:rsidRDefault="00000000">
      <w:r>
        <w:t xml:space="preserve">Aspect : </w:t>
      </w:r>
      <w:r>
        <w:rPr>
          <w:rStyle w:val="optioncarChar"/>
        </w:rPr>
        <w:t>satiné </w:t>
      </w:r>
      <w:r>
        <w:t xml:space="preserve">(par défaut) </w:t>
      </w:r>
      <w:r>
        <w:rPr>
          <w:rStyle w:val="optioncarChar"/>
        </w:rPr>
        <w:t>/ brillant</w:t>
      </w:r>
      <w:r>
        <w:t>.</w:t>
      </w:r>
    </w:p>
    <w:p w14:paraId="5CC6054E" w14:textId="77777777" w:rsidR="004B2808" w:rsidRDefault="00000000">
      <w:r>
        <w:t xml:space="preserve">Coloris : </w:t>
      </w:r>
      <w:r>
        <w:rPr>
          <w:rStyle w:val="optioncarChar"/>
        </w:rPr>
        <w:t>couleur RAL n° *** / à choisir dans la gamme complète du fabricant </w:t>
      </w:r>
      <w:r>
        <w:t>(par défaut).</w:t>
      </w:r>
    </w:p>
    <w:p w14:paraId="33C67733" w14:textId="77777777" w:rsidR="004B2808" w:rsidRDefault="00000000">
      <w:r>
        <w:t xml:space="preserve">Différence de LRV entre les paliers et les marches : </w:t>
      </w:r>
      <w:r>
        <w:rPr>
          <w:rStyle w:val="optioncarChar"/>
        </w:rPr>
        <w:t>au moins 60% (PMR) </w:t>
      </w:r>
      <w:r>
        <w:t>(par défaut)</w:t>
      </w:r>
      <w:r>
        <w:rPr>
          <w:rStyle w:val="optioncarChar"/>
        </w:rPr>
        <w:t> / ***</w:t>
      </w:r>
    </w:p>
    <w:p w14:paraId="5FD7AEA6" w14:textId="77777777" w:rsidR="004B2808" w:rsidRDefault="00000000">
      <w:pPr>
        <w:pStyle w:val="pheading"/>
      </w:pPr>
      <w:r>
        <w:t>- Prescriptions complémentaires</w:t>
      </w:r>
    </w:p>
    <w:p w14:paraId="70540F50" w14:textId="77777777" w:rsidR="004B2808" w:rsidRDefault="00000000">
      <w:r>
        <w:t xml:space="preserve">Les paliers sont pourvus de dalles podotactiles (PMR) : </w:t>
      </w:r>
      <w:r>
        <w:rPr>
          <w:rStyle w:val="optioncarChar"/>
        </w:rPr>
        <w:t xml:space="preserve">selon les recommandations du  </w:t>
      </w:r>
      <w:hyperlink w:anchor="1396" w:history="1">
        <w:r w:rsidR="004B2808">
          <w:rPr>
            <w:rStyle w:val="optioncarChar"/>
            <w:color w:val="0000EE"/>
          </w:rPr>
          <w:t>57.23 Paliers</w:t>
        </w:r>
      </w:hyperlink>
      <w:r>
        <w:rPr>
          <w:rStyle w:val="optioncarChar"/>
        </w:rPr>
        <w:t xml:space="preserve"> sous-titre (PMR)</w:t>
      </w:r>
      <w:r>
        <w:t> (par défaut)</w:t>
      </w:r>
      <w:r>
        <w:rPr>
          <w:rStyle w:val="optioncarChar"/>
        </w:rPr>
        <w:t> / ***</w:t>
      </w:r>
    </w:p>
    <w:p w14:paraId="63DC5750" w14:textId="77777777" w:rsidR="004B2808" w:rsidRDefault="00000000">
      <w:pPr>
        <w:pStyle w:val="pheading"/>
      </w:pPr>
      <w:r>
        <w:t>EXÉCUTION / MISE EN ŒUVRE</w:t>
      </w:r>
    </w:p>
    <w:p w14:paraId="170E7D98" w14:textId="77777777" w:rsidR="004B2808" w:rsidRDefault="00000000">
      <w:pPr>
        <w:pStyle w:val="pheading"/>
      </w:pPr>
      <w:r>
        <w:lastRenderedPageBreak/>
        <w:t>- Prescriptions générales</w:t>
      </w:r>
    </w:p>
    <w:p w14:paraId="21F4E86B" w14:textId="77777777" w:rsidR="004B2808" w:rsidRDefault="00000000">
      <w:r>
        <w:t xml:space="preserve">Les revêtements de palier sont mis en œuvre selon le § 9.5.7.2 de la [NIT 165]. Au préalable, les murs sont dépoussiérés et préparés afin de pouvoir réaliser un raccord parfait entre le revêtement de sol et le mur. Dans les angles, les plinthes sont ajustées à onglet. Elles sont fixées au mur par </w:t>
      </w:r>
      <w:r>
        <w:rPr>
          <w:rStyle w:val="optioncarChar"/>
        </w:rPr>
        <w:t>collage / assemblage à enclenchement invisible</w:t>
      </w:r>
      <w:r>
        <w:t>, conformément aux recommandations du fabricant.</w:t>
      </w:r>
    </w:p>
    <w:p w14:paraId="4B850D30" w14:textId="77777777" w:rsidR="004B2808" w:rsidRDefault="00000000">
      <w:pPr>
        <w:ind w:left="750"/>
      </w:pPr>
      <w:r>
        <w:t> </w:t>
      </w:r>
    </w:p>
    <w:p w14:paraId="4A57CCBE" w14:textId="77777777" w:rsidR="004B2808" w:rsidRDefault="00000000">
      <w:pPr>
        <w:pStyle w:val="pheading"/>
      </w:pPr>
      <w:r>
        <w:t>- Notes d’exécution complémentaires</w:t>
      </w:r>
    </w:p>
    <w:p w14:paraId="25567ADA" w14:textId="77777777" w:rsidR="004B2808" w:rsidRDefault="00000000">
      <w:r>
        <w:t>Avant de procéder à la mise en œuvre, la jonction entre le revêtement de sol et le mur est parachevée avec un joint au silicone afin d'empêcher la pénétration d'humidité.</w:t>
      </w:r>
    </w:p>
    <w:p w14:paraId="01B3D145" w14:textId="77777777" w:rsidR="004B2808" w:rsidRDefault="00000000">
      <w:pPr>
        <w:pStyle w:val="pheading"/>
      </w:pPr>
      <w:r>
        <w:t>MESURAGE</w:t>
      </w:r>
    </w:p>
    <w:p w14:paraId="6A6FEFE6" w14:textId="77777777" w:rsidR="004B2808" w:rsidRDefault="00000000">
      <w:r>
        <w:t>Conformément aux indications spécifiques dans le cahier spécial des charges et/ou le métré récapitulatif, le mesurage doit être conçu comme suit :</w:t>
      </w:r>
    </w:p>
    <w:p w14:paraId="63532E5C" w14:textId="77777777" w:rsidR="004B2808" w:rsidRDefault="00000000">
      <w:pPr>
        <w:pStyle w:val="pheading"/>
      </w:pPr>
      <w:r>
        <w:t>- unité de mesure:</w:t>
      </w:r>
    </w:p>
    <w:p w14:paraId="09266E2B" w14:textId="77777777" w:rsidR="004B2808" w:rsidRDefault="00000000">
      <w:r>
        <w:t>p</w:t>
      </w:r>
    </w:p>
    <w:p w14:paraId="225D2CEF" w14:textId="77777777" w:rsidR="004B2808" w:rsidRDefault="00000000">
      <w:pPr>
        <w:pStyle w:val="pheading"/>
      </w:pPr>
      <w:r>
        <w:t>- code de mesurage:</w:t>
      </w:r>
    </w:p>
    <w:p w14:paraId="6B9180F9" w14:textId="77777777" w:rsidR="004B2808" w:rsidRDefault="00000000">
      <w:r>
        <w:t>Par palier, éventuellement en fonction des paliers droits et tournants, y compris les plinthes et les contremarches</w:t>
      </w:r>
    </w:p>
    <w:p w14:paraId="480DBA7B" w14:textId="77777777" w:rsidR="004B2808" w:rsidRDefault="00000000">
      <w:pPr>
        <w:pStyle w:val="pheading"/>
      </w:pPr>
      <w:r>
        <w:t>- nature du marché:</w:t>
      </w:r>
    </w:p>
    <w:p w14:paraId="51B7DB6C" w14:textId="77777777" w:rsidR="004B2808" w:rsidRDefault="00000000">
      <w:r>
        <w:t>QF</w:t>
      </w:r>
    </w:p>
    <w:p w14:paraId="156996CD" w14:textId="77777777" w:rsidR="004B2808" w:rsidRDefault="00000000">
      <w:pPr>
        <w:pStyle w:val="Author-eSectionHeading6Numberless"/>
      </w:pPr>
      <w:bookmarkStart w:id="1601" w:name="_Toc220491694"/>
      <w:r>
        <w:t>57.23.6e Paliers en matériaux synthétiques - recouvrement en caoutchouc CCTB 01.11</w:t>
      </w:r>
      <w:bookmarkEnd w:id="1601"/>
    </w:p>
    <w:p w14:paraId="0ECB04C7" w14:textId="77777777" w:rsidR="004B2808" w:rsidRDefault="00000000">
      <w:pPr>
        <w:pStyle w:val="pheading"/>
      </w:pPr>
      <w:r>
        <w:t>MATÉRIAUX</w:t>
      </w:r>
    </w:p>
    <w:p w14:paraId="1D82F2A7" w14:textId="77777777" w:rsidR="004B2808" w:rsidRDefault="00000000">
      <w:pPr>
        <w:pStyle w:val="pheading"/>
      </w:pPr>
      <w:r>
        <w:t>- Caractéristiques générales</w:t>
      </w:r>
    </w:p>
    <w:p w14:paraId="43A3B886" w14:textId="77777777" w:rsidR="004B2808" w:rsidRDefault="00000000">
      <w:r>
        <w:t>Les revêtements de palier sont en caoutchouc de qualité supérieure, amélioré par vulcanisation postérieure. Elles sont exemptes de PVC, plastifiants, formaldéhyde, amiante, cadmium, halogènes et CFK. Ils sont pourvues d'une lèvre élastique durable afin de pouvoir réaliser un raccord étanche avec le revêtement de sol.</w:t>
      </w:r>
    </w:p>
    <w:p w14:paraId="7AEACDEF" w14:textId="77777777" w:rsidR="004B2808" w:rsidRDefault="00000000">
      <w:pPr>
        <w:pStyle w:val="heading"/>
      </w:pPr>
      <w:r>
        <w:t>Spécifications</w:t>
      </w:r>
    </w:p>
    <w:p w14:paraId="1CEB4130" w14:textId="77777777" w:rsidR="004B2808" w:rsidRDefault="00000000">
      <w:r>
        <w:t xml:space="preserve">Epaisseur des parois : minimum </w:t>
      </w:r>
      <w:r>
        <w:rPr>
          <w:rStyle w:val="optioncarChar"/>
        </w:rPr>
        <w:t>2,5 </w:t>
      </w:r>
      <w:r>
        <w:t>(par défaut)</w:t>
      </w:r>
      <w:r>
        <w:rPr>
          <w:rStyle w:val="optioncarChar"/>
        </w:rPr>
        <w:t xml:space="preserve"> / 3 / *** </w:t>
      </w:r>
      <w:r>
        <w:t>mm</w:t>
      </w:r>
    </w:p>
    <w:p w14:paraId="08308F8E" w14:textId="77777777" w:rsidR="004B2808" w:rsidRDefault="00000000">
      <w:r>
        <w:t xml:space="preserve">Hauteur : environ </w:t>
      </w:r>
      <w:r>
        <w:rPr>
          <w:rStyle w:val="optioncarChar"/>
        </w:rPr>
        <w:t>60 </w:t>
      </w:r>
      <w:r>
        <w:t>(par défaut)</w:t>
      </w:r>
      <w:r>
        <w:rPr>
          <w:rStyle w:val="optioncarChar"/>
        </w:rPr>
        <w:t xml:space="preserve"> / 80 / *** </w:t>
      </w:r>
      <w:r>
        <w:t>mm</w:t>
      </w:r>
    </w:p>
    <w:p w14:paraId="49FFE824" w14:textId="77777777" w:rsidR="004B2808" w:rsidRDefault="00000000">
      <w:r>
        <w:t xml:space="preserve">Coloris : </w:t>
      </w:r>
      <w:r>
        <w:rPr>
          <w:rStyle w:val="optioncarChar"/>
        </w:rPr>
        <w:t>couleur RAL n° *** / à choisir dans la gamme complète du fabricant</w:t>
      </w:r>
      <w:r>
        <w:t> (par défaut)</w:t>
      </w:r>
    </w:p>
    <w:p w14:paraId="797997B3" w14:textId="77777777" w:rsidR="004B2808" w:rsidRDefault="00000000">
      <w:r>
        <w:t xml:space="preserve">Différence de LRV entre les paliers et les marches : </w:t>
      </w:r>
      <w:r>
        <w:rPr>
          <w:rStyle w:val="optioncarChar"/>
        </w:rPr>
        <w:t>au moins 60% (PMR) </w:t>
      </w:r>
      <w:r>
        <w:t>(par défaut)</w:t>
      </w:r>
      <w:r>
        <w:rPr>
          <w:rStyle w:val="optioncarChar"/>
        </w:rPr>
        <w:t> / ***</w:t>
      </w:r>
    </w:p>
    <w:p w14:paraId="48BD9A13" w14:textId="77777777" w:rsidR="004B2808" w:rsidRDefault="00000000">
      <w:pPr>
        <w:pStyle w:val="pheading"/>
      </w:pPr>
      <w:r>
        <w:t>- Prescriptions complémentaires</w:t>
      </w:r>
    </w:p>
    <w:p w14:paraId="2CCCA20C" w14:textId="77777777" w:rsidR="004B2808" w:rsidRDefault="00000000">
      <w:r>
        <w:t xml:space="preserve">Les paliers sont pourvus de dalles podotactiles (PMR) : </w:t>
      </w:r>
      <w:r>
        <w:rPr>
          <w:rStyle w:val="optioncarChar"/>
        </w:rPr>
        <w:t xml:space="preserve">selon les recommandations de l'article </w:t>
      </w:r>
      <w:hyperlink w:anchor="1396" w:history="1">
        <w:r w:rsidR="004B2808">
          <w:rPr>
            <w:rStyle w:val="optioncarChar"/>
            <w:color w:val="0000EE"/>
          </w:rPr>
          <w:t>57.23 Paliers</w:t>
        </w:r>
      </w:hyperlink>
      <w:r>
        <w:rPr>
          <w:rStyle w:val="optioncarChar"/>
        </w:rPr>
        <w:t xml:space="preserve"> (PMR) </w:t>
      </w:r>
      <w:r>
        <w:t>(par défaut) </w:t>
      </w:r>
      <w:r>
        <w:rPr>
          <w:rStyle w:val="optioncarChar"/>
        </w:rPr>
        <w:t>/ ***</w:t>
      </w:r>
    </w:p>
    <w:p w14:paraId="4171635A" w14:textId="77777777" w:rsidR="004B2808" w:rsidRDefault="00000000">
      <w:pPr>
        <w:pStyle w:val="pheading"/>
      </w:pPr>
      <w:r>
        <w:t>EXÉCUTION / MISE EN ŒUVRE</w:t>
      </w:r>
    </w:p>
    <w:p w14:paraId="35FD47FE" w14:textId="77777777" w:rsidR="004B2808" w:rsidRDefault="00000000">
      <w:pPr>
        <w:pStyle w:val="pheading"/>
      </w:pPr>
      <w:r>
        <w:t>- Prescriptions générales</w:t>
      </w:r>
    </w:p>
    <w:p w14:paraId="50BF9C03" w14:textId="77777777" w:rsidR="004B2808" w:rsidRDefault="00000000">
      <w:r>
        <w:t>Les revêtements de palier et plinthes sont mis en œuvre selon le § 9.5.7.2 de la [NIT 165]. Au préalable, les murs sont dépoussiérés et préparés afin de pouvoir réaliser un raccord parfait entre le revêtement de sol et le mur. Les plinthes sont fixées au mur par collage ou avec une bande autocollante biface, conformément aux recommandations du fabricant. Elles sont posées dans les plus grandes longueurs possibles.</w:t>
      </w:r>
    </w:p>
    <w:p w14:paraId="61D0F688" w14:textId="77777777" w:rsidR="004B2808" w:rsidRDefault="00000000">
      <w:pPr>
        <w:ind w:left="750"/>
      </w:pPr>
      <w:r>
        <w:lastRenderedPageBreak/>
        <w:t> </w:t>
      </w:r>
    </w:p>
    <w:p w14:paraId="288E9846" w14:textId="77777777" w:rsidR="004B2808" w:rsidRDefault="00000000">
      <w:pPr>
        <w:pStyle w:val="pheading"/>
      </w:pPr>
      <w:r>
        <w:t>- Notes d’exécution complémentaires</w:t>
      </w:r>
    </w:p>
    <w:p w14:paraId="0174793E" w14:textId="77777777" w:rsidR="004B2808" w:rsidRDefault="00000000">
      <w:r>
        <w:t>Avant de procéder à la mise en œuvre, la jonction entre le revêtement de sol et le mur est parachevée avec un joint au silicone afin d'empêcher la pénétration d'humidité.</w:t>
      </w:r>
    </w:p>
    <w:p w14:paraId="6C5C01C2" w14:textId="77777777" w:rsidR="004B2808" w:rsidRDefault="00000000">
      <w:pPr>
        <w:pStyle w:val="pheading"/>
      </w:pPr>
      <w:r>
        <w:t>MESURAGE</w:t>
      </w:r>
    </w:p>
    <w:p w14:paraId="20BC5F33" w14:textId="77777777" w:rsidR="004B2808" w:rsidRDefault="00000000">
      <w:r>
        <w:t>Conformément aux indications spécifiques dans le cahier spécial des charges et/ou le métré récapitulatif, le mesurage doit être conçu comme suit :</w:t>
      </w:r>
    </w:p>
    <w:p w14:paraId="759CDFF2" w14:textId="77777777" w:rsidR="004B2808" w:rsidRDefault="00000000">
      <w:pPr>
        <w:pStyle w:val="pheading"/>
      </w:pPr>
      <w:r>
        <w:t>- unité de mesure:</w:t>
      </w:r>
    </w:p>
    <w:p w14:paraId="1E483E81" w14:textId="77777777" w:rsidR="004B2808" w:rsidRDefault="00000000">
      <w:r>
        <w:t>p</w:t>
      </w:r>
    </w:p>
    <w:p w14:paraId="54928A71" w14:textId="77777777" w:rsidR="004B2808" w:rsidRDefault="00000000">
      <w:pPr>
        <w:pStyle w:val="pheading"/>
      </w:pPr>
      <w:r>
        <w:t>- code de mesurage:</w:t>
      </w:r>
    </w:p>
    <w:p w14:paraId="14D5F801" w14:textId="77777777" w:rsidR="004B2808" w:rsidRDefault="00000000">
      <w:r>
        <w:t>Par palier, éventuellement en fonction des paliers droits et tournants, y compris les plinthes et les contremarches</w:t>
      </w:r>
    </w:p>
    <w:p w14:paraId="6F9807DE" w14:textId="77777777" w:rsidR="004B2808" w:rsidRDefault="00000000">
      <w:pPr>
        <w:pStyle w:val="pheading"/>
      </w:pPr>
      <w:r>
        <w:t>- nature du marché:</w:t>
      </w:r>
    </w:p>
    <w:p w14:paraId="3672B0C2" w14:textId="77777777" w:rsidR="004B2808" w:rsidRDefault="00000000">
      <w:r>
        <w:t>QF</w:t>
      </w:r>
    </w:p>
    <w:p w14:paraId="68F3C589" w14:textId="77777777" w:rsidR="004B2808" w:rsidRDefault="00000000">
      <w:pPr>
        <w:pStyle w:val="Author-eSectionHeading5Numberless"/>
      </w:pPr>
      <w:bookmarkStart w:id="1602" w:name="_Toc220491695"/>
      <w:r>
        <w:t>57.23.7 Paliers en verre CCTB 01.12</w:t>
      </w:r>
      <w:bookmarkEnd w:id="1602"/>
    </w:p>
    <w:p w14:paraId="6AEE0869" w14:textId="77777777" w:rsidR="004B2808" w:rsidRDefault="00000000">
      <w:pPr>
        <w:pStyle w:val="pheading"/>
      </w:pPr>
      <w:r>
        <w:t>DESCRIPTION</w:t>
      </w:r>
    </w:p>
    <w:p w14:paraId="48C596B6" w14:textId="77777777" w:rsidR="004B2808" w:rsidRDefault="00000000">
      <w:pPr>
        <w:pStyle w:val="pheading"/>
      </w:pPr>
      <w:r>
        <w:t>- Définition / Comprend</w:t>
      </w:r>
    </w:p>
    <w:p w14:paraId="5F33939D" w14:textId="77777777" w:rsidR="004B2808" w:rsidRDefault="00000000">
      <w:pPr>
        <w:jc w:val="both"/>
      </w:pPr>
      <w:r>
        <w:t xml:space="preserve">La structure proprement dite des paliers, et plus généralement celle de l’escalier, est décrite et comptée aux </w:t>
      </w:r>
      <w:hyperlink w:anchor="1398" w:history="1">
        <w:r w:rsidR="004B2808">
          <w:rPr>
            <w:color w:val="0000EE"/>
          </w:rPr>
          <w:t>57 Escaliers et rampes intérieurs</w:t>
        </w:r>
      </w:hyperlink>
      <w:r>
        <w:t xml:space="preserve"> et suivants.</w:t>
      </w:r>
    </w:p>
    <w:p w14:paraId="58B2E386" w14:textId="77777777" w:rsidR="004B2808" w:rsidRDefault="00000000">
      <w:pPr>
        <w:pStyle w:val="pheading"/>
      </w:pPr>
      <w:r>
        <w:t>MATÉRIAUX</w:t>
      </w:r>
    </w:p>
    <w:p w14:paraId="61CF5E53" w14:textId="77777777" w:rsidR="004B2808" w:rsidRDefault="00000000">
      <w:pPr>
        <w:jc w:val="both"/>
      </w:pPr>
      <w:r>
        <w:rPr>
          <w:b/>
        </w:rPr>
        <w:t>Généralités :</w:t>
      </w:r>
    </w:p>
    <w:p w14:paraId="6B627D67" w14:textId="77777777" w:rsidR="004B2808" w:rsidRDefault="00000000">
      <w:pPr>
        <w:jc w:val="both"/>
      </w:pPr>
      <w:r>
        <w:t>Les règles de conception et de dimensionnement décrite dans la [NIT 242] sont notamment d’application.</w:t>
      </w:r>
    </w:p>
    <w:p w14:paraId="3C71BDCC" w14:textId="77777777" w:rsidR="004B2808" w:rsidRDefault="00000000">
      <w:pPr>
        <w:jc w:val="both"/>
      </w:pPr>
      <w:r>
        <w:t>Chaque dalle de verre est remplaçable indépendamment des autres.  </w:t>
      </w:r>
    </w:p>
    <w:p w14:paraId="728B0BCE" w14:textId="77777777" w:rsidR="004B2808" w:rsidRDefault="00000000">
      <w:pPr>
        <w:jc w:val="both"/>
      </w:pPr>
      <w:r>
        <w:rPr>
          <w:b/>
        </w:rPr>
        <w:t>Dimensionnement :</w:t>
      </w:r>
    </w:p>
    <w:p w14:paraId="5B50CFBA" w14:textId="77777777" w:rsidR="004B2808" w:rsidRDefault="00000000">
      <w:pPr>
        <w:jc w:val="both"/>
      </w:pPr>
      <w:r>
        <w:t>Exigences performantielles :</w:t>
      </w:r>
    </w:p>
    <w:p w14:paraId="463DF001" w14:textId="77777777" w:rsidR="004B2808" w:rsidRDefault="004B2808">
      <w:pPr>
        <w:jc w:val="both"/>
      </w:pPr>
    </w:p>
    <w:p w14:paraId="512D439C" w14:textId="77777777" w:rsidR="004B2808" w:rsidRDefault="00000000">
      <w:pPr>
        <w:pStyle w:val="Author-eListParagraph"/>
        <w:numPr>
          <w:ilvl w:val="0"/>
          <w:numId w:val="1467"/>
        </w:numPr>
      </w:pPr>
      <w:r>
        <w:t>La [NIT 223], chapitre 4 et notamment d’application.</w:t>
      </w:r>
    </w:p>
    <w:p w14:paraId="50878B11" w14:textId="77777777" w:rsidR="004B2808" w:rsidRDefault="00000000">
      <w:pPr>
        <w:pStyle w:val="Author-eListParagraph"/>
        <w:numPr>
          <w:ilvl w:val="0"/>
          <w:numId w:val="1467"/>
        </w:numPr>
      </w:pPr>
      <w:r>
        <w:t>Résistance mécanique et stabilité :</w:t>
      </w:r>
      <w:r>
        <w:br/>
        <w:t>Les éléments verriers sont dans tous les cas dimensionnés en qualité d’éléments structuraux (et non de remplissage).</w:t>
      </w:r>
      <w:r>
        <w:br/>
        <w:t>Les planchers destinés à une circulation autre que celle des personnes ou supportant une charge permanente (ponctuelle ou répartie) font l’objet d’une étude spécifique.</w:t>
      </w:r>
      <w:r>
        <w:br/>
        <w:t>Le plancher résiste aux différences de température auxquelles il est susceptible d’être soumis au cours de la durée de vie de l’ouvrage, qu’elles soient d’origine climatique (p. ex. rayonnement solaire) ou autre (p. ex. chaleur dégagée par des spots lumineux sous ou à proximité de la dalle). </w:t>
      </w:r>
    </w:p>
    <w:p w14:paraId="7AEEEB61" w14:textId="77777777" w:rsidR="004B2808" w:rsidRDefault="00000000">
      <w:pPr>
        <w:jc w:val="both"/>
      </w:pPr>
      <w:r>
        <w:rPr>
          <w:b/>
        </w:rPr>
        <w:t>Tolérances des produits verriers :</w:t>
      </w:r>
    </w:p>
    <w:p w14:paraId="3AC8F122" w14:textId="77777777" w:rsidR="004B2808" w:rsidRDefault="00000000">
      <w:pPr>
        <w:jc w:val="both"/>
      </w:pPr>
      <w:r>
        <w:t>Les dimensions en plan, équerrage, épaisseur, défaut de planéité, flèche initiale, alignement des bords, … répondent à la [NIT 214] et la documentation technique qui accompagne les produits.</w:t>
      </w:r>
    </w:p>
    <w:p w14:paraId="49D779CC" w14:textId="77777777" w:rsidR="004B2808" w:rsidRDefault="00000000">
      <w:pPr>
        <w:pStyle w:val="pheading"/>
      </w:pPr>
      <w:r>
        <w:t>EXÉCUTION / MISE EN ŒUVRE</w:t>
      </w:r>
    </w:p>
    <w:p w14:paraId="6A6855C8" w14:textId="77777777" w:rsidR="004B2808" w:rsidRDefault="00000000">
      <w:pPr>
        <w:jc w:val="both"/>
      </w:pPr>
      <w:r>
        <w:rPr>
          <w:b/>
        </w:rPr>
        <w:t>Généralités :</w:t>
      </w:r>
    </w:p>
    <w:p w14:paraId="3FAFCF38" w14:textId="77777777" w:rsidR="004B2808" w:rsidRDefault="00000000">
      <w:pPr>
        <w:jc w:val="both"/>
      </w:pPr>
      <w:r>
        <w:lastRenderedPageBreak/>
        <w:t>Les verres sont transportés, stockés, nettoyés et posés conformément aux [NIT 214], [NIT 221], [NIT 242] et à la documentation technique qui les accompagne.</w:t>
      </w:r>
    </w:p>
    <w:p w14:paraId="56AD70F5" w14:textId="77777777" w:rsidR="004B2808" w:rsidRDefault="00000000">
      <w:pPr>
        <w:jc w:val="both"/>
      </w:pPr>
      <w:r>
        <w:t>Pour des raisons de sécurité notamment, l’entrepreneur veille à ce qu’aucun vitrage abimé en surface ne soit mis en œuvre. Lorsque des dégradations sont constatées, le vitrage est remplacé.</w:t>
      </w:r>
    </w:p>
    <w:p w14:paraId="56D34A22" w14:textId="77777777" w:rsidR="004B2808" w:rsidRDefault="00000000">
      <w:pPr>
        <w:jc w:val="both"/>
      </w:pPr>
      <w:r>
        <w:t>Tout contact direct avec le verre est proscrit (p.ex entre une dalle de verre et la structure d’appui, des points durs, aspérités, … ; entre les produits verriers eux-mêmes ; …).</w:t>
      </w:r>
    </w:p>
    <w:p w14:paraId="02CFE01C" w14:textId="77777777" w:rsidR="004B2808" w:rsidRDefault="00000000">
      <w:pPr>
        <w:jc w:val="both"/>
      </w:pPr>
      <w:r>
        <w:t>De façon générale, l’entrepreneur vérifie la compatibilité des différents matériaux selon la documentation technique qui accompagne les différents produits. </w:t>
      </w:r>
    </w:p>
    <w:p w14:paraId="7BD538E8" w14:textId="77777777" w:rsidR="004B2808" w:rsidRDefault="00000000">
      <w:pPr>
        <w:jc w:val="both"/>
      </w:pPr>
      <w:r>
        <w:rPr>
          <w:b/>
        </w:rPr>
        <w:t>Pose :</w:t>
      </w:r>
    </w:p>
    <w:p w14:paraId="3DF518F7" w14:textId="77777777" w:rsidR="004B2808" w:rsidRDefault="00000000">
      <w:pPr>
        <w:jc w:val="both"/>
      </w:pPr>
      <w:r>
        <w:t>Les principes généraux sont définis selon la [NIT 242], point 3.5 notamment.</w:t>
      </w:r>
    </w:p>
    <w:p w14:paraId="7ECB8FDF" w14:textId="77777777" w:rsidR="004B2808" w:rsidRDefault="00000000">
      <w:pPr>
        <w:jc w:val="both"/>
      </w:pPr>
      <w:r>
        <w:t>Les paliers intérieurs présentent une surface finie (face supérieure) horizontale.</w:t>
      </w:r>
    </w:p>
    <w:p w14:paraId="625B5D8A" w14:textId="77777777" w:rsidR="004B2808" w:rsidRDefault="00000000">
      <w:pPr>
        <w:jc w:val="both"/>
      </w:pPr>
      <w:r>
        <w:t xml:space="preserve"> Le désaffleurement entre la face supérieure de deux dalles adjacentes ou entre une dalle et sa structure d’appui sera limité à ± 1 mm, lorsque le plancher n’est pas chargé et ce, en tenant compte des tolérances de fabrication de la structure d’appui et de la dalle de verre.</w:t>
      </w:r>
    </w:p>
    <w:p w14:paraId="662056F7" w14:textId="77777777" w:rsidR="004B2808" w:rsidRDefault="00000000">
      <w:pPr>
        <w:jc w:val="both"/>
      </w:pPr>
      <w:r>
        <w:t>Le fond de joint, situé entre la dalle de verre et la structure d’appui ou entre-deux dalles de verre adjacentes, est rempli d’une mousse polyéthylène à cellules fermées et ce, sur toute l’épaisseur de la dalle à l’exception d’une zone d’environ 6 mm dans la partie supérieure. Cette dernière est obturée à l’aide d’un mastic élastique à bas module chimiquement neutre (p.ex. joint de type silicone).</w:t>
      </w:r>
    </w:p>
    <w:p w14:paraId="01B527C9" w14:textId="77777777" w:rsidR="004B2808" w:rsidRDefault="00000000">
      <w:pPr>
        <w:jc w:val="both"/>
      </w:pPr>
      <w:r>
        <w:t xml:space="preserve"> La section du joint est conforme à la [STS 56.1], en évitant tout contact entre le joint de mastic et le (les) intercalaire(s).</w:t>
      </w:r>
    </w:p>
    <w:p w14:paraId="1DC40CA2" w14:textId="77777777" w:rsidR="004B2808" w:rsidRDefault="00000000">
      <w:pPr>
        <w:jc w:val="both"/>
      </w:pPr>
      <w:r>
        <w:t>En cas de risque de stagnation d’eau, le support comporte un drainage périphérique.</w:t>
      </w:r>
    </w:p>
    <w:p w14:paraId="052568B1" w14:textId="77777777" w:rsidR="004B2808" w:rsidRDefault="00000000">
      <w:pPr>
        <w:pStyle w:val="pheading"/>
      </w:pPr>
      <w:r>
        <w:t>DOCUMENTS DE RÉFÉRENCE</w:t>
      </w:r>
    </w:p>
    <w:p w14:paraId="072DFD82" w14:textId="77777777" w:rsidR="004B2808" w:rsidRDefault="00000000">
      <w:pPr>
        <w:pStyle w:val="pheading"/>
      </w:pPr>
      <w:r>
        <w:t>- Matériau</w:t>
      </w:r>
    </w:p>
    <w:p w14:paraId="0A632857" w14:textId="77777777" w:rsidR="004B2808" w:rsidRDefault="00000000">
      <w:r>
        <w:t>[NIT 214, Le verre et les produits verriers - Les fonctions des vitrages.]</w:t>
      </w:r>
    </w:p>
    <w:p w14:paraId="190F495B" w14:textId="77777777" w:rsidR="004B2808" w:rsidRDefault="00000000">
      <w:r>
        <w:t>[NIT 221, La pose des vitrages en feuillure (Les NIT 214 et 221 remplacent les NIT 110 et 113).]</w:t>
      </w:r>
    </w:p>
    <w:p w14:paraId="7A7DE0ED" w14:textId="77777777" w:rsidR="004B2808" w:rsidRDefault="00000000">
      <w:r>
        <w:t>[NIT 223, Les planchers portants des bâtiments résidentiels et tertiaires.]</w:t>
      </w:r>
    </w:p>
    <w:p w14:paraId="4A2ADF21" w14:textId="77777777" w:rsidR="004B2808" w:rsidRDefault="00000000">
      <w:r>
        <w:t>[NIT 242, Ouvrages particuliers en verre. Partie 1 : applications structurales.]</w:t>
      </w:r>
    </w:p>
    <w:p w14:paraId="69BED8B7" w14:textId="77777777" w:rsidR="004B2808" w:rsidRDefault="00000000">
      <w:r>
        <w:t>[NBN EN 572-1:2012+A1, Verre dans la construction - Produits de base : verre de silicate sodo-calcique - Partie 1 : Définitions et propriétés physiques et mécaniques générales]</w:t>
      </w:r>
    </w:p>
    <w:p w14:paraId="598CDB9D" w14:textId="77777777" w:rsidR="004B2808" w:rsidRDefault="00000000">
      <w:r>
        <w:t>[NBN EN 572-2, Verre dans la construction - Produits de base : verre de silicate sodo-calcique - Partie 2 : Glace flottée]</w:t>
      </w:r>
    </w:p>
    <w:p w14:paraId="0BD20EE6" w14:textId="77777777" w:rsidR="004B2808" w:rsidRDefault="00000000">
      <w:r>
        <w:t>[NBN EN 572-5, Verre dans la construction - Produits de base: verre de silicate sodo-calcique - Partie 5: Verre imprimé]</w:t>
      </w:r>
    </w:p>
    <w:p w14:paraId="14924082" w14:textId="77777777" w:rsidR="004B2808" w:rsidRDefault="00000000">
      <w:r>
        <w:t>[NBN EN 1863-1, Verre dans la construction - Verre de silicate sodo-calcique durci thermiquement - Partie 1: Définition et description]</w:t>
      </w:r>
    </w:p>
    <w:p w14:paraId="49C1827C" w14:textId="77777777" w:rsidR="004B2808" w:rsidRDefault="00000000">
      <w:r>
        <w:t>[NBN EN 12150-1:2015+A1, Verre dans la construction - Verre de silicate sodo-calcique de sécurité trempé thermiquement - Partie 1: Définition et description]</w:t>
      </w:r>
    </w:p>
    <w:p w14:paraId="1FB79EEC" w14:textId="77777777" w:rsidR="004B2808" w:rsidRDefault="00000000">
      <w:r>
        <w:t>[NBN EN 14179-1, Verre dans la construction - Verre de silicate sodo-calcique de sécurité trempé et traité Heat Soak - Partie 1: Définition et description]</w:t>
      </w:r>
    </w:p>
    <w:p w14:paraId="62588F56" w14:textId="77777777" w:rsidR="004B2808" w:rsidRDefault="00000000">
      <w:r>
        <w:t>[NBN EN 14179-2, Verre dans la construction - Verre de silicate sodo-calcique de sécurité trempé et traité Heat Soak - Partie 2: Evaluation de la conformité/Norme de produit]</w:t>
      </w:r>
    </w:p>
    <w:p w14:paraId="7A7FBAA5" w14:textId="77777777" w:rsidR="004B2808" w:rsidRDefault="00000000">
      <w:r>
        <w:t>[NBN EN 1991-1-1, Eurocode 1: Actions sur les structures - Partie 1-1: Actions générales - Poids volumiques, poids propres, charges d'exploitation bâtiments (+ AC:2009)]</w:t>
      </w:r>
    </w:p>
    <w:p w14:paraId="11283512" w14:textId="77777777" w:rsidR="004B2808" w:rsidRDefault="00000000">
      <w:r>
        <w:t>[NBN EN 1991-1-1 ANB, Eurocode 1 - Actions sur les structures - Partie 1-1 : Actions générales - Poids volumiques, poids propre, charges d'exploitation pour les bâtiments]</w:t>
      </w:r>
    </w:p>
    <w:p w14:paraId="4E88A105" w14:textId="77777777" w:rsidR="004B2808" w:rsidRDefault="00000000">
      <w:r>
        <w:lastRenderedPageBreak/>
        <w:t>[NBN EN 1991-1-7, Eurocode 1 - Actions sur les structures - Partie 1-7: Actions générales - Actions accidentelles (+ AC:2010)]</w:t>
      </w:r>
    </w:p>
    <w:p w14:paraId="6A962078" w14:textId="77777777" w:rsidR="004B2808" w:rsidRDefault="00000000">
      <w:r>
        <w:t>[NBN EN 12600, Verre dans la construction - Essai au pendule - Méthode d'essai d'impact et classification du verre plat]</w:t>
      </w:r>
    </w:p>
    <w:p w14:paraId="1C688BC4" w14:textId="77777777" w:rsidR="004B2808" w:rsidRDefault="00000000">
      <w:r>
        <w:t>[NBN S 23-002-2, Vitrerie - Partie 2 : Calcul des épaisseurs de verre]</w:t>
      </w:r>
    </w:p>
    <w:p w14:paraId="71C68E74" w14:textId="77777777" w:rsidR="004B2808" w:rsidRDefault="00000000">
      <w:r>
        <w:t>[STS 56.1, Mastics d’étanchéité des façades]</w:t>
      </w:r>
    </w:p>
    <w:p w14:paraId="6953F771" w14:textId="77777777" w:rsidR="004B2808" w:rsidRDefault="00000000">
      <w:pPr>
        <w:pStyle w:val="pheading"/>
      </w:pPr>
      <w:r>
        <w:t>- Exécution</w:t>
      </w:r>
    </w:p>
    <w:p w14:paraId="55489B44" w14:textId="77777777" w:rsidR="004B2808" w:rsidRDefault="00000000">
      <w:r>
        <w:t>[NIT 242, Ouvrages particuliers en verre. Partie 1 : applications structurales.]</w:t>
      </w:r>
    </w:p>
    <w:p w14:paraId="5D796B26" w14:textId="77777777" w:rsidR="004B2808" w:rsidRDefault="00000000">
      <w:pPr>
        <w:pStyle w:val="Author-eSectionHeading6Numberless"/>
      </w:pPr>
      <w:bookmarkStart w:id="1603" w:name="_Toc220491696"/>
      <w:r>
        <w:t>57.23.7a Paliers en verre CCTB 01.12</w:t>
      </w:r>
      <w:bookmarkEnd w:id="1603"/>
    </w:p>
    <w:p w14:paraId="16107CC7" w14:textId="77777777" w:rsidR="004B2808" w:rsidRDefault="00000000">
      <w:pPr>
        <w:pStyle w:val="pheading"/>
      </w:pPr>
      <w:r>
        <w:t>DESCRIPTION</w:t>
      </w:r>
    </w:p>
    <w:p w14:paraId="118FAE52" w14:textId="77777777" w:rsidR="004B2808" w:rsidRDefault="00000000">
      <w:pPr>
        <w:pStyle w:val="pheading"/>
      </w:pPr>
      <w:r>
        <w:t>- Définition / Comprend</w:t>
      </w:r>
    </w:p>
    <w:p w14:paraId="501F32F7" w14:textId="77777777" w:rsidR="004B2808" w:rsidRDefault="00000000">
      <w:pPr>
        <w:jc w:val="both"/>
      </w:pPr>
      <w:r>
        <w:t>Il s’agit de la fourniture et de la pose de revêtements en verre (application structurale), pour des paliers intérieurs.</w:t>
      </w:r>
    </w:p>
    <w:p w14:paraId="57F309E4" w14:textId="77777777" w:rsidR="004B2808" w:rsidRDefault="00000000">
      <w:pPr>
        <w:pStyle w:val="pheading"/>
      </w:pPr>
      <w:r>
        <w:t>MATÉRIAUX</w:t>
      </w:r>
    </w:p>
    <w:p w14:paraId="21CF59B4" w14:textId="77777777" w:rsidR="004B2808" w:rsidRDefault="00000000">
      <w:pPr>
        <w:pStyle w:val="pheading"/>
      </w:pPr>
      <w:r>
        <w:t>- Caractéristiques générales</w:t>
      </w:r>
    </w:p>
    <w:p w14:paraId="2AB11B1E" w14:textId="77777777" w:rsidR="004B2808" w:rsidRDefault="00000000">
      <w:pPr>
        <w:jc w:val="both"/>
      </w:pPr>
      <w:r>
        <w:rPr>
          <w:b/>
        </w:rPr>
        <w:t>Dimensionnement :</w:t>
      </w:r>
    </w:p>
    <w:p w14:paraId="676A27BC" w14:textId="77777777" w:rsidR="004B2808" w:rsidRDefault="00000000">
      <w:pPr>
        <w:jc w:val="both"/>
      </w:pPr>
      <w:r>
        <w:t>Il est réalisé par :</w:t>
      </w:r>
      <w:r>
        <w:rPr>
          <w:rStyle w:val="optioncarChar"/>
        </w:rPr>
        <w:t xml:space="preserve"> le fabricant verrier </w:t>
      </w:r>
      <w:r>
        <w:t>(par défaut)</w:t>
      </w:r>
      <w:r>
        <w:rPr>
          <w:rStyle w:val="optioncarChar"/>
        </w:rPr>
        <w:t xml:space="preserve"> / le bureau d’études désigné par le maître d’ouvrage / ***.</w:t>
      </w:r>
    </w:p>
    <w:p w14:paraId="6E834F54" w14:textId="77777777" w:rsidR="004B2808" w:rsidRDefault="00000000">
      <w:pPr>
        <w:jc w:val="both"/>
      </w:pPr>
      <w:r>
        <w:t>Exigences performantielles :</w:t>
      </w:r>
    </w:p>
    <w:p w14:paraId="3E874945" w14:textId="77777777" w:rsidR="004B2808" w:rsidRDefault="00000000">
      <w:pPr>
        <w:pStyle w:val="Author-eListParagraph"/>
        <w:numPr>
          <w:ilvl w:val="0"/>
          <w:numId w:val="1468"/>
        </w:numPr>
      </w:pPr>
      <w:r>
        <w:t>Déformation admissible des produits verriers :</w:t>
      </w:r>
      <w:r>
        <w:br/>
        <w:t>La flèche initiale est : ≤</w:t>
      </w:r>
      <w:r>
        <w:rPr>
          <w:rStyle w:val="optioncarChar"/>
        </w:rPr>
        <w:t xml:space="preserve"> L/300</w:t>
      </w:r>
      <w:r>
        <w:t xml:space="preserve"> (par défaut) </w:t>
      </w:r>
      <w:r>
        <w:rPr>
          <w:rStyle w:val="optioncarChar"/>
        </w:rPr>
        <w:t>/ L/400 / L/500 / ***</w:t>
      </w:r>
      <w:r>
        <w:t xml:space="preserve"> et ˂ 10 mm (concerne également l’aspect visuel).</w:t>
      </w:r>
    </w:p>
    <w:p w14:paraId="6712AA5D" w14:textId="77777777" w:rsidR="004B2808" w:rsidRDefault="00000000">
      <w:pPr>
        <w:pStyle w:val="Author-eListParagraph"/>
        <w:numPr>
          <w:ilvl w:val="0"/>
          <w:numId w:val="1469"/>
        </w:numPr>
      </w:pPr>
      <w:r>
        <w:t xml:space="preserve">Sécurité d’utilisation : </w:t>
      </w:r>
    </w:p>
    <w:p w14:paraId="521EAADE" w14:textId="77777777" w:rsidR="004B2808" w:rsidRDefault="00000000">
      <w:pPr>
        <w:pStyle w:val="Author-eListParagraph"/>
        <w:numPr>
          <w:ilvl w:val="1"/>
          <w:numId w:val="1470"/>
        </w:numPr>
      </w:pPr>
      <w:r>
        <w:t xml:space="preserve">Résistance aux chocs mous – classe : </w:t>
      </w:r>
      <w:r>
        <w:rPr>
          <w:rStyle w:val="optioncarChar"/>
        </w:rPr>
        <w:t>1B1, selon [NBN EN 12600] </w:t>
      </w:r>
      <w:r>
        <w:t>(par défaut)</w:t>
      </w:r>
      <w:r>
        <w:rPr>
          <w:rStyle w:val="optioncarChar"/>
        </w:rPr>
        <w:t xml:space="preserve"> / selon la documentation technique qui accompagne le produit / ***</w:t>
      </w:r>
    </w:p>
    <w:p w14:paraId="7D8DF4DD" w14:textId="77777777" w:rsidR="004B2808" w:rsidRDefault="00000000">
      <w:pPr>
        <w:pStyle w:val="Author-eListParagraph"/>
        <w:numPr>
          <w:ilvl w:val="1"/>
          <w:numId w:val="1470"/>
        </w:numPr>
      </w:pPr>
      <w:r>
        <w:t xml:space="preserve">Résistance aux chocs durs – classe : </w:t>
      </w:r>
      <w:r>
        <w:rPr>
          <w:rStyle w:val="optioncarChar"/>
        </w:rPr>
        <w:t>P2A ou plus performant, selon [NBN EN 356] </w:t>
      </w:r>
      <w:r>
        <w:t xml:space="preserve">(par défaut) </w:t>
      </w:r>
      <w:r>
        <w:rPr>
          <w:rStyle w:val="optioncarChar"/>
        </w:rPr>
        <w:t>/ selon la documentation technique qui accompagne le produit / ***</w:t>
      </w:r>
    </w:p>
    <w:p w14:paraId="49F7C9E8" w14:textId="77777777" w:rsidR="004B2808" w:rsidRDefault="00000000">
      <w:pPr>
        <w:pStyle w:val="Author-eListParagraph"/>
        <w:numPr>
          <w:ilvl w:val="1"/>
          <w:numId w:val="1470"/>
        </w:numPr>
      </w:pPr>
      <w:r>
        <w:t>Glissance :</w:t>
      </w:r>
      <w:r>
        <w:br/>
        <w:t xml:space="preserve">Le verre (feuille supérieure) est traité afin de limiter le risque de chute par glissade : </w:t>
      </w:r>
      <w:r>
        <w:rPr>
          <w:rStyle w:val="optioncarChar"/>
        </w:rPr>
        <w:t xml:space="preserve">oui </w:t>
      </w:r>
      <w:r>
        <w:t>(par défaut)</w:t>
      </w:r>
      <w:r>
        <w:rPr>
          <w:rStyle w:val="optioncarChar"/>
        </w:rPr>
        <w:t xml:space="preserve"> / non</w:t>
      </w:r>
    </w:p>
    <w:p w14:paraId="42099A6E" w14:textId="77777777" w:rsidR="004B2808" w:rsidRDefault="00000000">
      <w:pPr>
        <w:ind w:left="1134"/>
        <w:jc w:val="both"/>
      </w:pPr>
      <w:r>
        <w:rPr>
          <w:b/>
        </w:rPr>
        <w:t>(soit par défaut)</w:t>
      </w:r>
    </w:p>
    <w:p w14:paraId="05763CF0" w14:textId="77777777" w:rsidR="004B2808" w:rsidRDefault="00000000">
      <w:pPr>
        <w:ind w:left="1134"/>
        <w:jc w:val="both"/>
      </w:pPr>
      <w:r>
        <w:rPr>
          <w:rStyle w:val="soitChar"/>
          <w:u w:val="single"/>
        </w:rPr>
        <w:t>Oui :</w:t>
      </w:r>
    </w:p>
    <w:p w14:paraId="240C87E6" w14:textId="77777777" w:rsidR="004B2808" w:rsidRDefault="00000000">
      <w:pPr>
        <w:ind w:left="1134"/>
        <w:jc w:val="both"/>
      </w:pPr>
      <w:r>
        <w:rPr>
          <w:rStyle w:val="soitChar"/>
        </w:rPr>
        <w:t xml:space="preserve">Le verre est : </w:t>
      </w:r>
      <w:r>
        <w:rPr>
          <w:rStyle w:val="optioncarChar"/>
        </w:rPr>
        <w:t>imprimé / dépoli localement / sérigraphié / imprimé / pourvu de bandes autocollantes / ***</w:t>
      </w:r>
      <w:r>
        <w:rPr>
          <w:rStyle w:val="soitChar"/>
        </w:rPr>
        <w:t>.</w:t>
      </w:r>
    </w:p>
    <w:p w14:paraId="0FC64BB0" w14:textId="77777777" w:rsidR="004B2808" w:rsidRDefault="00000000">
      <w:pPr>
        <w:ind w:left="1134"/>
        <w:jc w:val="both"/>
      </w:pPr>
      <w:r>
        <w:rPr>
          <w:rStyle w:val="soitChar"/>
        </w:rPr>
        <w:t xml:space="preserve">Motif / Aspect : </w:t>
      </w:r>
      <w:r>
        <w:rPr>
          <w:rStyle w:val="optioncarChar"/>
        </w:rPr>
        <w:t>au choix de la direction des travaux dans le catalogue standard du fabricant</w:t>
      </w:r>
      <w:r>
        <w:t xml:space="preserve"> (par défaut)</w:t>
      </w:r>
      <w:r>
        <w:rPr>
          <w:rStyle w:val="optioncarChar"/>
        </w:rPr>
        <w:t xml:space="preserve"> / selon les spécifications indiquées ci-après / ***</w:t>
      </w:r>
      <w:r>
        <w:rPr>
          <w:rStyle w:val="soitChar"/>
        </w:rPr>
        <w:t>.</w:t>
      </w:r>
    </w:p>
    <w:p w14:paraId="45525D34" w14:textId="77777777" w:rsidR="004B2808" w:rsidRDefault="00000000">
      <w:pPr>
        <w:ind w:left="1134"/>
        <w:jc w:val="both"/>
      </w:pPr>
      <w:r>
        <w:rPr>
          <w:b/>
        </w:rPr>
        <w:t>(soit)</w:t>
      </w:r>
    </w:p>
    <w:p w14:paraId="03CE6B90" w14:textId="77777777" w:rsidR="004B2808" w:rsidRDefault="00000000">
      <w:pPr>
        <w:ind w:left="1134"/>
        <w:jc w:val="both"/>
      </w:pPr>
      <w:r>
        <w:rPr>
          <w:rStyle w:val="soitChar"/>
          <w:u w:val="single"/>
        </w:rPr>
        <w:t>Non :</w:t>
      </w:r>
    </w:p>
    <w:p w14:paraId="2101145C" w14:textId="77777777" w:rsidR="004B2808" w:rsidRDefault="00000000">
      <w:pPr>
        <w:ind w:left="1134"/>
        <w:jc w:val="both"/>
      </w:pPr>
      <w:r>
        <w:rPr>
          <w:rStyle w:val="soitChar"/>
        </w:rPr>
        <w:t>Aucun traitement particulier n’est prévu.</w:t>
      </w:r>
    </w:p>
    <w:p w14:paraId="4176C4DE" w14:textId="77777777" w:rsidR="004B2808" w:rsidRDefault="00000000">
      <w:pPr>
        <w:pStyle w:val="Author-eListParagraph"/>
        <w:numPr>
          <w:ilvl w:val="0"/>
          <w:numId w:val="1471"/>
        </w:numPr>
      </w:pPr>
      <w:r>
        <w:t xml:space="preserve">Autres performances : </w:t>
      </w:r>
    </w:p>
    <w:p w14:paraId="046B6260" w14:textId="77777777" w:rsidR="004B2808" w:rsidRDefault="00000000">
      <w:pPr>
        <w:pStyle w:val="Author-eListParagraph"/>
        <w:numPr>
          <w:ilvl w:val="1"/>
          <w:numId w:val="1472"/>
        </w:numPr>
      </w:pPr>
      <w:r>
        <w:t xml:space="preserve">Il est fait usage d’un vitrage acoustique : </w:t>
      </w:r>
      <w:r>
        <w:rPr>
          <w:rStyle w:val="optioncarChar"/>
        </w:rPr>
        <w:t xml:space="preserve">non </w:t>
      </w:r>
      <w:r>
        <w:t>(par défaut)</w:t>
      </w:r>
      <w:r>
        <w:rPr>
          <w:rStyle w:val="optioncarChar"/>
        </w:rPr>
        <w:t xml:space="preserve"> / oui</w:t>
      </w:r>
    </w:p>
    <w:p w14:paraId="26A9BBAB" w14:textId="77777777" w:rsidR="004B2808" w:rsidRDefault="00000000">
      <w:pPr>
        <w:pStyle w:val="Author-eListParagraph"/>
        <w:numPr>
          <w:ilvl w:val="1"/>
          <w:numId w:val="1472"/>
        </w:numPr>
      </w:pPr>
      <w:r>
        <w:rPr>
          <w:rStyle w:val="optioncarChar"/>
        </w:rPr>
        <w:t>***</w:t>
      </w:r>
    </w:p>
    <w:p w14:paraId="58914AD6" w14:textId="77777777" w:rsidR="004B2808" w:rsidRDefault="00000000">
      <w:pPr>
        <w:jc w:val="both"/>
      </w:pPr>
      <w:r>
        <w:rPr>
          <w:b/>
        </w:rPr>
        <w:t>Caractéristiques des produits verriers :</w:t>
      </w:r>
    </w:p>
    <w:p w14:paraId="58F0EB07" w14:textId="77777777" w:rsidR="004B2808" w:rsidRDefault="00000000">
      <w:pPr>
        <w:jc w:val="both"/>
      </w:pPr>
      <w:r>
        <w:t>Il est fait usage de verres de sécurité, feuilletés.</w:t>
      </w:r>
    </w:p>
    <w:p w14:paraId="2D754BFA" w14:textId="77777777" w:rsidR="004B2808" w:rsidRDefault="00000000">
      <w:pPr>
        <w:pStyle w:val="Author-eListParagraph"/>
        <w:numPr>
          <w:ilvl w:val="0"/>
          <w:numId w:val="1473"/>
        </w:numPr>
      </w:pPr>
      <w:r>
        <w:lastRenderedPageBreak/>
        <w:t>Composition :</w:t>
      </w:r>
      <w:r>
        <w:rPr>
          <w:rStyle w:val="optioncarChar"/>
        </w:rPr>
        <w:t xml:space="preserve"> selon le dimensionnement </w:t>
      </w:r>
      <w:r>
        <w:t xml:space="preserve">(par défaut) </w:t>
      </w:r>
      <w:r>
        <w:rPr>
          <w:rStyle w:val="optioncarChar"/>
        </w:rPr>
        <w:t>/ selon la documentation technique qui accompagne le produit / 10-10-6/6 / 10-10-10/4 / 12-12-6/6 / ***</w:t>
      </w:r>
    </w:p>
    <w:p w14:paraId="07F086E5" w14:textId="77777777" w:rsidR="004B2808" w:rsidRDefault="00000000">
      <w:pPr>
        <w:pStyle w:val="Author-eListParagraph"/>
        <w:numPr>
          <w:ilvl w:val="0"/>
          <w:numId w:val="1473"/>
        </w:numPr>
      </w:pPr>
      <w:r>
        <w:t xml:space="preserve">Epaisseur nominale : </w:t>
      </w:r>
      <w:r>
        <w:rPr>
          <w:rStyle w:val="optioncarChar"/>
        </w:rPr>
        <w:t>selon le dimensionnement</w:t>
      </w:r>
      <w:r>
        <w:t xml:space="preserve"> (par défaut)</w:t>
      </w:r>
      <w:r>
        <w:rPr>
          <w:rStyle w:val="optioncarChar"/>
        </w:rPr>
        <w:t xml:space="preserve"> / selon la documentation technique qui accompagne le produit / 28 / 31 / 33 / 35 / *** mm</w:t>
      </w:r>
    </w:p>
    <w:p w14:paraId="3173C733" w14:textId="77777777" w:rsidR="004B2808" w:rsidRDefault="00000000">
      <w:pPr>
        <w:pStyle w:val="Author-eListParagraph"/>
        <w:numPr>
          <w:ilvl w:val="0"/>
          <w:numId w:val="1473"/>
        </w:numPr>
      </w:pPr>
      <w:r>
        <w:t xml:space="preserve">Poids ± : </w:t>
      </w:r>
      <w:r>
        <w:rPr>
          <w:rStyle w:val="optioncarChar"/>
        </w:rPr>
        <w:t xml:space="preserve">selon le dimensionnement </w:t>
      </w:r>
      <w:r>
        <w:t xml:space="preserve">(par défaut) </w:t>
      </w:r>
      <w:r>
        <w:rPr>
          <w:rStyle w:val="optioncarChar"/>
        </w:rPr>
        <w:t>/ selon la documentation technique qui accompagne le produit / 65 / 73 / 78 / 83 / *** kg/m²</w:t>
      </w:r>
    </w:p>
    <w:p w14:paraId="41ADB85C" w14:textId="77777777" w:rsidR="004B2808" w:rsidRDefault="00000000">
      <w:pPr>
        <w:jc w:val="both"/>
      </w:pPr>
      <w:r>
        <w:t xml:space="preserve">L’utilisation de composants verriers en verre trempé thermiquement, durci, … est définie selon : </w:t>
      </w:r>
      <w:r>
        <w:rPr>
          <w:rStyle w:val="optioncarChar"/>
        </w:rPr>
        <w:t xml:space="preserve">la documentation technique qui accompagne le produit </w:t>
      </w:r>
      <w:r>
        <w:t>(par défaut)</w:t>
      </w:r>
      <w:r>
        <w:rPr>
          <w:rStyle w:val="optioncarChar"/>
        </w:rPr>
        <w:t xml:space="preserve"> / ***</w:t>
      </w:r>
      <w:r>
        <w:t xml:space="preserve"> (Voir AIDE)</w:t>
      </w:r>
    </w:p>
    <w:p w14:paraId="40866A2D" w14:textId="77777777" w:rsidR="004B2808" w:rsidRDefault="00000000">
      <w:pPr>
        <w:jc w:val="both"/>
      </w:pPr>
      <w:r>
        <w:t>Les bords des produits verriers sont façonnés (rodés, …) selon la documentation technique qui accompagne le produit. Au minimum, les arêtes sont abattues.</w:t>
      </w:r>
    </w:p>
    <w:p w14:paraId="7FA4287F" w14:textId="77777777" w:rsidR="004B2808" w:rsidRDefault="00000000">
      <w:pPr>
        <w:pStyle w:val="Author-eListParagraph"/>
        <w:numPr>
          <w:ilvl w:val="0"/>
          <w:numId w:val="1474"/>
        </w:numPr>
      </w:pPr>
      <w:r>
        <w:t xml:space="preserve">Transmission lumineuse : </w:t>
      </w:r>
      <w:r>
        <w:rPr>
          <w:rStyle w:val="optioncarChar"/>
        </w:rPr>
        <w:t>***</w:t>
      </w:r>
    </w:p>
    <w:p w14:paraId="57B27C68" w14:textId="77777777" w:rsidR="004B2808" w:rsidRDefault="00000000">
      <w:pPr>
        <w:pStyle w:val="Author-eListParagraph"/>
        <w:numPr>
          <w:ilvl w:val="0"/>
          <w:numId w:val="1474"/>
        </w:numPr>
      </w:pPr>
      <w:r>
        <w:t xml:space="preserve">Dimensions nominales : </w:t>
      </w:r>
      <w:r>
        <w:rPr>
          <w:rStyle w:val="optioncarChar"/>
        </w:rPr>
        <w:t xml:space="preserve">selon les dessins aux plans </w:t>
      </w:r>
      <w:r>
        <w:t xml:space="preserve">(par défaut) </w:t>
      </w:r>
      <w:r>
        <w:rPr>
          <w:rStyle w:val="optioncarChar"/>
        </w:rPr>
        <w:t>/ selon le dimensionnement / selon la documentation technique qui accompagne le produit / ***</w:t>
      </w:r>
    </w:p>
    <w:p w14:paraId="755B8DC0" w14:textId="77777777" w:rsidR="004B2808" w:rsidRDefault="00000000">
      <w:pPr>
        <w:pStyle w:val="Author-eListParagraph"/>
        <w:numPr>
          <w:ilvl w:val="0"/>
          <w:numId w:val="1474"/>
        </w:numPr>
      </w:pPr>
      <w:r>
        <w:t xml:space="preserve">Aspect : </w:t>
      </w:r>
      <w:r>
        <w:rPr>
          <w:rStyle w:val="optioncarChar"/>
        </w:rPr>
        <w:t xml:space="preserve">totalement translucide </w:t>
      </w:r>
      <w:r>
        <w:t xml:space="preserve">(par défaut) </w:t>
      </w:r>
      <w:r>
        <w:rPr>
          <w:rStyle w:val="optioncarChar"/>
        </w:rPr>
        <w:t>/ partiellement translucide / transparent (clair) / ***</w:t>
      </w:r>
    </w:p>
    <w:p w14:paraId="5459F523" w14:textId="77777777" w:rsidR="004B2808" w:rsidRDefault="00000000">
      <w:pPr>
        <w:ind w:left="567"/>
        <w:jc w:val="both"/>
      </w:pPr>
      <w:r>
        <w:rPr>
          <w:b/>
        </w:rPr>
        <w:t>(soit par défaut)</w:t>
      </w:r>
    </w:p>
    <w:p w14:paraId="1A1E1942" w14:textId="77777777" w:rsidR="004B2808" w:rsidRDefault="00000000">
      <w:pPr>
        <w:ind w:left="567"/>
        <w:jc w:val="both"/>
      </w:pPr>
      <w:r>
        <w:rPr>
          <w:rStyle w:val="soitChar"/>
          <w:u w:val="single"/>
        </w:rPr>
        <w:t>Totalement translucide :</w:t>
      </w:r>
    </w:p>
    <w:p w14:paraId="0FBBAEC7" w14:textId="77777777" w:rsidR="004B2808" w:rsidRDefault="00000000">
      <w:pPr>
        <w:ind w:left="567"/>
        <w:jc w:val="both"/>
      </w:pPr>
      <w:r>
        <w:rPr>
          <w:rStyle w:val="soitChar"/>
        </w:rPr>
        <w:t xml:space="preserve">Sur toute sa surface, le verre est : </w:t>
      </w:r>
      <w:r>
        <w:rPr>
          <w:rStyle w:val="optioncarChar"/>
        </w:rPr>
        <w:t>sablé / sérigraphié / pourvu d’un intercalaire décoratif / maté à l’acide / pourvu d’un verre imprimé / ***</w:t>
      </w:r>
    </w:p>
    <w:p w14:paraId="2E2CCBCE" w14:textId="77777777" w:rsidR="004B2808" w:rsidRDefault="00000000">
      <w:pPr>
        <w:ind w:left="567"/>
        <w:jc w:val="both"/>
      </w:pPr>
      <w:r>
        <w:rPr>
          <w:rStyle w:val="soitChar"/>
        </w:rPr>
        <w:t xml:space="preserve">Motif : </w:t>
      </w:r>
      <w:r>
        <w:rPr>
          <w:rStyle w:val="optioncarChar"/>
        </w:rPr>
        <w:t>au choix de la direction des travaux dans le catalogue standard du fabricant</w:t>
      </w:r>
      <w:r>
        <w:t xml:space="preserve"> (par défaut)</w:t>
      </w:r>
      <w:r>
        <w:rPr>
          <w:rStyle w:val="optioncarChar"/>
        </w:rPr>
        <w:t xml:space="preserve"> / ***</w:t>
      </w:r>
    </w:p>
    <w:p w14:paraId="07936A91" w14:textId="77777777" w:rsidR="004B2808" w:rsidRDefault="00000000">
      <w:pPr>
        <w:ind w:left="567"/>
        <w:jc w:val="both"/>
      </w:pPr>
      <w:r>
        <w:rPr>
          <w:b/>
        </w:rPr>
        <w:t>(soit)</w:t>
      </w:r>
    </w:p>
    <w:p w14:paraId="3D6BF027" w14:textId="77777777" w:rsidR="004B2808" w:rsidRDefault="00000000">
      <w:pPr>
        <w:ind w:left="567"/>
        <w:jc w:val="both"/>
      </w:pPr>
      <w:r>
        <w:rPr>
          <w:rStyle w:val="soitChar"/>
          <w:u w:val="single"/>
        </w:rPr>
        <w:t>Partiellement translucide :</w:t>
      </w:r>
    </w:p>
    <w:p w14:paraId="70E8D9D6" w14:textId="77777777" w:rsidR="004B2808" w:rsidRDefault="00000000">
      <w:pPr>
        <w:ind w:left="567"/>
        <w:jc w:val="both"/>
      </w:pPr>
      <w:r>
        <w:rPr>
          <w:rStyle w:val="soitChar"/>
        </w:rPr>
        <w:t xml:space="preserve">Le verre transparent (clair) est partiellement : </w:t>
      </w:r>
      <w:r>
        <w:rPr>
          <w:rStyle w:val="optioncarChar"/>
        </w:rPr>
        <w:t>sablé / sérigraphié / pourvu d’un intercalaire décoratif / maté à l’acide / pourvu d’un verre imprimé / ***</w:t>
      </w:r>
    </w:p>
    <w:p w14:paraId="2FF9E67F" w14:textId="77777777" w:rsidR="004B2808" w:rsidRDefault="00000000">
      <w:pPr>
        <w:ind w:left="567"/>
        <w:jc w:val="both"/>
      </w:pPr>
      <w:r>
        <w:rPr>
          <w:rStyle w:val="soitChar"/>
        </w:rPr>
        <w:t xml:space="preserve">Motif : </w:t>
      </w:r>
      <w:r>
        <w:rPr>
          <w:rStyle w:val="optioncarChar"/>
        </w:rPr>
        <w:t xml:space="preserve">au choix de la direction des travaux dans le catalogue standard du fabricant </w:t>
      </w:r>
      <w:r>
        <w:t>(par défaut)</w:t>
      </w:r>
      <w:r>
        <w:rPr>
          <w:rStyle w:val="optioncarChar"/>
        </w:rPr>
        <w:t xml:space="preserve"> / selon le(s) dessin(s) au(x) plan(s) / ***</w:t>
      </w:r>
    </w:p>
    <w:p w14:paraId="210C6470" w14:textId="77777777" w:rsidR="004B2808" w:rsidRDefault="00000000">
      <w:pPr>
        <w:ind w:left="567"/>
        <w:jc w:val="both"/>
      </w:pPr>
      <w:r>
        <w:rPr>
          <w:b/>
        </w:rPr>
        <w:t>(soit)</w:t>
      </w:r>
    </w:p>
    <w:p w14:paraId="7375EF68" w14:textId="77777777" w:rsidR="004B2808" w:rsidRDefault="00000000">
      <w:pPr>
        <w:ind w:left="567"/>
        <w:jc w:val="both"/>
      </w:pPr>
      <w:r>
        <w:rPr>
          <w:rStyle w:val="soitChar"/>
          <w:u w:val="single"/>
        </w:rPr>
        <w:t>Transparent (clair) :</w:t>
      </w:r>
    </w:p>
    <w:p w14:paraId="0E6E5701" w14:textId="77777777" w:rsidR="004B2808" w:rsidRDefault="00000000">
      <w:pPr>
        <w:ind w:left="567"/>
        <w:jc w:val="both"/>
      </w:pPr>
      <w:r>
        <w:rPr>
          <w:rStyle w:val="soitChar"/>
        </w:rPr>
        <w:t>Le verre est totalement transparent (clair) (Voir AIDE)</w:t>
      </w:r>
    </w:p>
    <w:p w14:paraId="3A0C7C55" w14:textId="77777777" w:rsidR="004B2808" w:rsidRDefault="00000000">
      <w:pPr>
        <w:ind w:left="567"/>
        <w:jc w:val="both"/>
      </w:pPr>
      <w:r>
        <w:rPr>
          <w:rStyle w:val="soitChar"/>
        </w:rPr>
        <w:t xml:space="preserve">Teinte : </w:t>
      </w:r>
      <w:r>
        <w:rPr>
          <w:rStyle w:val="optioncarChar"/>
        </w:rPr>
        <w:t xml:space="preserve">neutre </w:t>
      </w:r>
      <w:r>
        <w:t xml:space="preserve">(par défaut) </w:t>
      </w:r>
      <w:r>
        <w:rPr>
          <w:rStyle w:val="optioncarChar"/>
        </w:rPr>
        <w:t>/ coloré, au choix de la direction des travaux dans la gamme standard du fabricant / ***</w:t>
      </w:r>
    </w:p>
    <w:p w14:paraId="0C0AA0D9" w14:textId="77777777" w:rsidR="004B2808" w:rsidRDefault="00000000">
      <w:pPr>
        <w:ind w:left="567"/>
        <w:jc w:val="both"/>
      </w:pPr>
      <w:r>
        <w:rPr>
          <w:b/>
        </w:rPr>
        <w:t>(soit)</w:t>
      </w:r>
    </w:p>
    <w:p w14:paraId="0EC961C1" w14:textId="77777777" w:rsidR="004B2808" w:rsidRDefault="00000000">
      <w:pPr>
        <w:ind w:left="567"/>
        <w:jc w:val="both"/>
      </w:pPr>
      <w:r>
        <w:rPr>
          <w:rStyle w:val="optioncarChar"/>
        </w:rPr>
        <w:t>***</w:t>
      </w:r>
    </w:p>
    <w:p w14:paraId="5EB7D013" w14:textId="77777777" w:rsidR="004B2808" w:rsidRDefault="00000000">
      <w:pPr>
        <w:jc w:val="both"/>
      </w:pPr>
      <w:r>
        <w:rPr>
          <w:b/>
        </w:rPr>
        <w:t>Caractéristiques du support :</w:t>
      </w:r>
    </w:p>
    <w:p w14:paraId="4CB65420" w14:textId="77777777" w:rsidR="004B2808" w:rsidRDefault="00000000">
      <w:pPr>
        <w:jc w:val="both"/>
      </w:pPr>
      <w:r>
        <w:t xml:space="preserve">La structure d’appui (le palier proprement dit) est décrite aux </w:t>
      </w:r>
      <w:hyperlink w:anchor="1398" w:history="1">
        <w:r w:rsidR="004B2808">
          <w:rPr>
            <w:color w:val="0000EE"/>
          </w:rPr>
          <w:t>57 Escaliers et rampes intérieurs</w:t>
        </w:r>
      </w:hyperlink>
      <w:r>
        <w:t xml:space="preserve"> et suivants et plus particulièrement dans les articles </w:t>
      </w:r>
      <w:r>
        <w:rPr>
          <w:rStyle w:val="optioncarChar"/>
        </w:rPr>
        <w:t>***</w:t>
      </w:r>
    </w:p>
    <w:p w14:paraId="09C626B2" w14:textId="77777777" w:rsidR="004B2808" w:rsidRDefault="00000000">
      <w:pPr>
        <w:jc w:val="both"/>
      </w:pPr>
      <w:r>
        <w:t xml:space="preserve">Les dalles des paliers sont posées : </w:t>
      </w:r>
      <w:r>
        <w:rPr>
          <w:rStyle w:val="optioncarChar"/>
        </w:rPr>
        <w:t>sur quatre appuis périphériques continus</w:t>
      </w:r>
      <w:r>
        <w:t xml:space="preserve"> (par défaut) </w:t>
      </w:r>
      <w:r>
        <w:rPr>
          <w:rStyle w:val="optioncarChar"/>
        </w:rPr>
        <w:t>/ ***</w:t>
      </w:r>
      <w:r>
        <w:t xml:space="preserve"> (voir AIDE).</w:t>
      </w:r>
    </w:p>
    <w:p w14:paraId="11C730B1" w14:textId="77777777" w:rsidR="004B2808" w:rsidRDefault="00000000">
      <w:pPr>
        <w:pStyle w:val="Author-eListParagraph"/>
        <w:numPr>
          <w:ilvl w:val="0"/>
          <w:numId w:val="1475"/>
        </w:numPr>
        <w:jc w:val="both"/>
      </w:pPr>
      <w:r>
        <w:t xml:space="preserve">Conditions d’appui – Tolérances : </w:t>
      </w:r>
    </w:p>
    <w:p w14:paraId="21A3A85B" w14:textId="77777777" w:rsidR="004B2808" w:rsidRDefault="00000000">
      <w:pPr>
        <w:pStyle w:val="Author-eListParagraph"/>
        <w:numPr>
          <w:ilvl w:val="1"/>
          <w:numId w:val="1476"/>
        </w:numPr>
      </w:pPr>
      <w:r>
        <w:t xml:space="preserve">Flèche sous charge de la structure d’appui : </w:t>
      </w:r>
      <w:r>
        <w:rPr>
          <w:rStyle w:val="optioncarChar"/>
        </w:rPr>
        <w:t>selon la documentation technique qui accompagne le verre</w:t>
      </w:r>
      <w:r>
        <w:t xml:space="preserve"> (par défaut)</w:t>
      </w:r>
      <w:r>
        <w:rPr>
          <w:rStyle w:val="optioncarChar"/>
        </w:rPr>
        <w:t xml:space="preserve"> / ≤ L/500 / ***</w:t>
      </w:r>
    </w:p>
    <w:p w14:paraId="1E7E6B6D" w14:textId="77777777" w:rsidR="004B2808" w:rsidRDefault="00000000">
      <w:pPr>
        <w:pStyle w:val="Author-eListParagraph"/>
        <w:numPr>
          <w:ilvl w:val="1"/>
          <w:numId w:val="1476"/>
        </w:numPr>
      </w:pPr>
      <w:r>
        <w:t xml:space="preserve">Désaffleurement de la structure d’appui (p.ex entre deux éléments assemblés (angle) ; rugosités locales ; …) : </w:t>
      </w:r>
      <w:r>
        <w:rPr>
          <w:rStyle w:val="optioncarChar"/>
        </w:rPr>
        <w:t xml:space="preserve">selon la documentation technique qui accompagne le verre / ≤ 1 </w:t>
      </w:r>
      <w:r>
        <w:t xml:space="preserve">(par défaut) </w:t>
      </w:r>
      <w:r>
        <w:rPr>
          <w:rStyle w:val="optioncarChar"/>
        </w:rPr>
        <w:t>/ *** mm</w:t>
      </w:r>
    </w:p>
    <w:p w14:paraId="72EBE932" w14:textId="77777777" w:rsidR="004B2808" w:rsidRDefault="00000000">
      <w:pPr>
        <w:pStyle w:val="Author-eListParagraph"/>
        <w:numPr>
          <w:ilvl w:val="1"/>
          <w:numId w:val="1476"/>
        </w:numPr>
      </w:pPr>
      <w:r>
        <w:t xml:space="preserve">Ecart de planéité de la structure d’appui sur la longueur du produit verrier non-chargé : </w:t>
      </w:r>
      <w:r>
        <w:rPr>
          <w:rStyle w:val="optioncarChar"/>
        </w:rPr>
        <w:t xml:space="preserve">selon la documentation technique qui accompagne le verre </w:t>
      </w:r>
      <w:r>
        <w:t>(par défaut)</w:t>
      </w:r>
      <w:r>
        <w:rPr>
          <w:rStyle w:val="optioncarChar"/>
        </w:rPr>
        <w:t xml:space="preserve"> / ≤ 2 / *** mm</w:t>
      </w:r>
    </w:p>
    <w:p w14:paraId="5F5E10A2" w14:textId="77777777" w:rsidR="004B2808" w:rsidRDefault="00000000">
      <w:pPr>
        <w:pStyle w:val="Author-eListParagraph"/>
        <w:numPr>
          <w:ilvl w:val="0"/>
          <w:numId w:val="1475"/>
        </w:numPr>
        <w:jc w:val="both"/>
      </w:pPr>
      <w:r>
        <w:lastRenderedPageBreak/>
        <w:t xml:space="preserve">Cales : </w:t>
      </w:r>
    </w:p>
    <w:p w14:paraId="36B0FF3A" w14:textId="77777777" w:rsidR="004B2808" w:rsidRDefault="00000000">
      <w:pPr>
        <w:pStyle w:val="Author-eListParagraph"/>
        <w:numPr>
          <w:ilvl w:val="1"/>
          <w:numId w:val="1477"/>
        </w:numPr>
      </w:pPr>
      <w:r>
        <w:t xml:space="preserve">Matière : </w:t>
      </w:r>
      <w:r>
        <w:rPr>
          <w:rStyle w:val="optioncarChar"/>
        </w:rPr>
        <w:t xml:space="preserve">néoprène / EPDM / au choix de l’entrepreneur pour autant qu’elle soit conforme à la documentation technique qui accompagne le verre </w:t>
      </w:r>
      <w:r>
        <w:t xml:space="preserve">(par défaut) </w:t>
      </w:r>
      <w:r>
        <w:rPr>
          <w:rStyle w:val="optioncarChar"/>
        </w:rPr>
        <w:t>/ ***</w:t>
      </w:r>
    </w:p>
    <w:p w14:paraId="3F3C2EE2" w14:textId="77777777" w:rsidR="004B2808" w:rsidRDefault="00000000">
      <w:pPr>
        <w:pStyle w:val="Author-eListParagraph"/>
        <w:numPr>
          <w:ilvl w:val="1"/>
          <w:numId w:val="1477"/>
        </w:numPr>
      </w:pPr>
      <w:r>
        <w:t xml:space="preserve">Dureté : </w:t>
      </w:r>
      <w:r>
        <w:rPr>
          <w:rStyle w:val="optioncarChar"/>
        </w:rPr>
        <w:t>selon la documentation technique qui accompagne le verre</w:t>
      </w:r>
      <w:r>
        <w:t xml:space="preserve"> (par défaut)</w:t>
      </w:r>
      <w:r>
        <w:rPr>
          <w:rStyle w:val="optioncarChar"/>
        </w:rPr>
        <w:t xml:space="preserve"> / +/- 30 / 45 / 60</w:t>
      </w:r>
      <w:r>
        <w:t xml:space="preserve"> DIDC (Shore A)</w:t>
      </w:r>
    </w:p>
    <w:p w14:paraId="02DF73A4" w14:textId="77777777" w:rsidR="004B2808" w:rsidRDefault="00000000">
      <w:pPr>
        <w:pStyle w:val="Author-eListParagraph"/>
        <w:numPr>
          <w:ilvl w:val="1"/>
          <w:numId w:val="1477"/>
        </w:numPr>
      </w:pPr>
      <w:r>
        <w:t xml:space="preserve">Largeur effective de la surface plane d’appui : </w:t>
      </w:r>
      <w:r>
        <w:rPr>
          <w:rStyle w:val="optioncarChar"/>
        </w:rPr>
        <w:t xml:space="preserve">selon la documentation technique qui accompagne le verre </w:t>
      </w:r>
      <w:r>
        <w:t xml:space="preserve">(par défaut) </w:t>
      </w:r>
      <w:r>
        <w:rPr>
          <w:rStyle w:val="optioncarChar"/>
        </w:rPr>
        <w:t>/ ≥ 30 / *** mm</w:t>
      </w:r>
    </w:p>
    <w:p w14:paraId="5163FE65" w14:textId="77777777" w:rsidR="004B2808" w:rsidRDefault="00000000">
      <w:pPr>
        <w:pStyle w:val="Author-eListParagraph"/>
        <w:numPr>
          <w:ilvl w:val="1"/>
          <w:numId w:val="1477"/>
        </w:numPr>
      </w:pPr>
      <w:r>
        <w:t xml:space="preserve">Epaisseur : </w:t>
      </w:r>
      <w:r>
        <w:rPr>
          <w:rStyle w:val="optioncarChar"/>
        </w:rPr>
        <w:t xml:space="preserve">selon la documentation technique qui accompagne le verre </w:t>
      </w:r>
      <w:r>
        <w:t>(par défaut)</w:t>
      </w:r>
      <w:r>
        <w:rPr>
          <w:rStyle w:val="optioncarChar"/>
        </w:rPr>
        <w:t xml:space="preserve"> / ≥ 4 / 5 / 6 / *** mm</w:t>
      </w:r>
    </w:p>
    <w:p w14:paraId="04233BCB" w14:textId="77777777" w:rsidR="004B2808" w:rsidRDefault="00000000">
      <w:pPr>
        <w:pStyle w:val="Author-eListParagraph"/>
        <w:numPr>
          <w:ilvl w:val="1"/>
          <w:numId w:val="1477"/>
        </w:numPr>
      </w:pPr>
      <w:r>
        <w:t xml:space="preserve">Distance entre le verre et les autres éléments avoisinants (structure d’appui, autre produit verrier ; parois adjacentes ; …) : </w:t>
      </w:r>
      <w:r>
        <w:rPr>
          <w:rStyle w:val="optioncarChar"/>
        </w:rPr>
        <w:t>selon la documentation technique qui accompagne le verre</w:t>
      </w:r>
      <w:r>
        <w:t xml:space="preserve"> (par défaut) </w:t>
      </w:r>
      <w:r>
        <w:rPr>
          <w:rStyle w:val="optioncarChar"/>
        </w:rPr>
        <w:t>/ ≥ 6 / 8 / 10 / *** mm</w:t>
      </w:r>
    </w:p>
    <w:p w14:paraId="56B98FB8" w14:textId="77777777" w:rsidR="004B2808" w:rsidRDefault="00000000">
      <w:pPr>
        <w:pStyle w:val="Author-eListParagraph"/>
        <w:numPr>
          <w:ilvl w:val="0"/>
          <w:numId w:val="1475"/>
        </w:numPr>
      </w:pPr>
      <w:r>
        <w:t xml:space="preserve">Joints : </w:t>
      </w:r>
    </w:p>
    <w:p w14:paraId="27CB6FCB" w14:textId="77777777" w:rsidR="004B2808" w:rsidRDefault="00000000">
      <w:pPr>
        <w:pStyle w:val="Author-eListParagraph"/>
        <w:numPr>
          <w:ilvl w:val="1"/>
          <w:numId w:val="1478"/>
        </w:numPr>
        <w:jc w:val="both"/>
      </w:pPr>
      <w:r>
        <w:t xml:space="preserve">Matière : </w:t>
      </w:r>
      <w:r>
        <w:rPr>
          <w:rStyle w:val="optioncarChar"/>
        </w:rPr>
        <w:t>mastic silicone adapté à l’usage, selon la documentation technique qui accompagne les produits</w:t>
      </w:r>
      <w:r>
        <w:t xml:space="preserve"> (par défaut)</w:t>
      </w:r>
      <w:r>
        <w:rPr>
          <w:rStyle w:val="optioncarChar"/>
        </w:rPr>
        <w:t xml:space="preserve"> / ***.</w:t>
      </w:r>
    </w:p>
    <w:p w14:paraId="428C9271" w14:textId="77777777" w:rsidR="004B2808" w:rsidRDefault="00000000">
      <w:pPr>
        <w:pStyle w:val="pheading"/>
      </w:pPr>
      <w:r>
        <w:t>MESURAGE</w:t>
      </w:r>
    </w:p>
    <w:p w14:paraId="25DACEC5" w14:textId="77777777" w:rsidR="004B2808" w:rsidRDefault="00000000">
      <w:pPr>
        <w:pStyle w:val="pheading"/>
      </w:pPr>
      <w:r>
        <w:t>- unité de mesure:</w:t>
      </w:r>
    </w:p>
    <w:p w14:paraId="563B2D9D" w14:textId="77777777" w:rsidR="004B2808" w:rsidRDefault="00000000">
      <w:pPr>
        <w:jc w:val="both"/>
      </w:pPr>
      <w:r>
        <w:rPr>
          <w:rStyle w:val="optioncarChar"/>
        </w:rPr>
        <w:t xml:space="preserve">m² </w:t>
      </w:r>
      <w:r>
        <w:t xml:space="preserve">(par défaut) </w:t>
      </w:r>
      <w:r>
        <w:rPr>
          <w:rStyle w:val="optioncarChar"/>
        </w:rPr>
        <w:t>/ pc / -</w:t>
      </w:r>
    </w:p>
    <w:p w14:paraId="3751B5E7" w14:textId="77777777" w:rsidR="004B2808" w:rsidRDefault="00000000">
      <w:pPr>
        <w:jc w:val="both"/>
      </w:pPr>
      <w:r>
        <w:rPr>
          <w:b/>
        </w:rPr>
        <w:t>(soit par défaut)</w:t>
      </w:r>
    </w:p>
    <w:p w14:paraId="54BC3EE6" w14:textId="77777777" w:rsidR="004B2808" w:rsidRDefault="00000000">
      <w:pPr>
        <w:jc w:val="both"/>
      </w:pPr>
      <w:r>
        <w:rPr>
          <w:rStyle w:val="soitChar"/>
        </w:rPr>
        <w:t>1. m²</w:t>
      </w:r>
    </w:p>
    <w:p w14:paraId="54C5F18B" w14:textId="77777777" w:rsidR="004B2808" w:rsidRDefault="00000000">
      <w:pPr>
        <w:jc w:val="both"/>
      </w:pPr>
      <w:r>
        <w:rPr>
          <w:b/>
        </w:rPr>
        <w:t>(soit)</w:t>
      </w:r>
    </w:p>
    <w:p w14:paraId="48D0423A" w14:textId="77777777" w:rsidR="004B2808" w:rsidRDefault="00000000">
      <w:pPr>
        <w:jc w:val="both"/>
      </w:pPr>
      <w:r>
        <w:rPr>
          <w:rStyle w:val="soitChar"/>
        </w:rPr>
        <w:t>2. pc</w:t>
      </w:r>
    </w:p>
    <w:p w14:paraId="78899803" w14:textId="77777777" w:rsidR="004B2808" w:rsidRDefault="00000000">
      <w:pPr>
        <w:jc w:val="both"/>
      </w:pPr>
      <w:r>
        <w:rPr>
          <w:b/>
        </w:rPr>
        <w:t>(soit)</w:t>
      </w:r>
    </w:p>
    <w:p w14:paraId="5199AF56" w14:textId="77777777" w:rsidR="004B2808" w:rsidRDefault="00000000">
      <w:pPr>
        <w:jc w:val="both"/>
      </w:pPr>
      <w:r>
        <w:rPr>
          <w:rStyle w:val="soitChar"/>
        </w:rPr>
        <w:t>3. -</w:t>
      </w:r>
    </w:p>
    <w:p w14:paraId="0FE86703" w14:textId="77777777" w:rsidR="004B2808" w:rsidRDefault="00000000">
      <w:pPr>
        <w:pStyle w:val="pheading"/>
      </w:pPr>
      <w:r>
        <w:t>- code de mesurage:</w:t>
      </w:r>
    </w:p>
    <w:p w14:paraId="61C49FBA" w14:textId="77777777" w:rsidR="004B2808" w:rsidRDefault="00000000">
      <w:pPr>
        <w:jc w:val="both"/>
      </w:pPr>
      <w:r>
        <w:rPr>
          <w:rStyle w:val="optioncarChar"/>
        </w:rPr>
        <w:t>Longueur nette</w:t>
      </w:r>
      <w:r>
        <w:t xml:space="preserve"> (par défaut) </w:t>
      </w:r>
      <w:r>
        <w:rPr>
          <w:rStyle w:val="optioncarChar"/>
        </w:rPr>
        <w:t>/ Quantité nette / Compris</w:t>
      </w:r>
    </w:p>
    <w:p w14:paraId="4F3080E8" w14:textId="77777777" w:rsidR="004B2808" w:rsidRDefault="00000000">
      <w:pPr>
        <w:jc w:val="both"/>
      </w:pPr>
      <w:r>
        <w:rPr>
          <w:b/>
        </w:rPr>
        <w:t>(soit par défaut)</w:t>
      </w:r>
    </w:p>
    <w:p w14:paraId="12CE120F" w14:textId="77777777" w:rsidR="004B2808" w:rsidRDefault="00000000">
      <w:pPr>
        <w:jc w:val="both"/>
      </w:pPr>
      <w:r>
        <w:rPr>
          <w:rStyle w:val="soitChar"/>
        </w:rPr>
        <w:t xml:space="preserve">1. </w:t>
      </w:r>
      <w:r>
        <w:rPr>
          <w:rStyle w:val="soitChar"/>
          <w:u w:val="single"/>
        </w:rPr>
        <w:t>Surface nette :</w:t>
      </w:r>
    </w:p>
    <w:p w14:paraId="069791C2" w14:textId="77777777" w:rsidR="004B2808" w:rsidRDefault="00000000">
      <w:pPr>
        <w:jc w:val="both"/>
      </w:pPr>
      <w:r>
        <w:rPr>
          <w:rStyle w:val="soitChar"/>
        </w:rPr>
        <w:t xml:space="preserve">Selon les dimensions hors tout : </w:t>
      </w:r>
      <w:r>
        <w:rPr>
          <w:rStyle w:val="optioncarChar"/>
        </w:rPr>
        <w:t xml:space="preserve">indiquée aux plans </w:t>
      </w:r>
      <w:r>
        <w:t xml:space="preserve">(par défaut) </w:t>
      </w:r>
      <w:r>
        <w:rPr>
          <w:rStyle w:val="optioncarChar"/>
        </w:rPr>
        <w:t>/ ***.</w:t>
      </w:r>
    </w:p>
    <w:p w14:paraId="7FBF7DD0" w14:textId="77777777" w:rsidR="004B2808" w:rsidRDefault="00000000">
      <w:pPr>
        <w:jc w:val="both"/>
      </w:pPr>
      <w:r>
        <w:rPr>
          <w:rStyle w:val="soitChar"/>
        </w:rPr>
        <w:t>Eventuellement scindée dans différents postes selon le type, le lieu, …</w:t>
      </w:r>
    </w:p>
    <w:p w14:paraId="704A998F" w14:textId="77777777" w:rsidR="004B2808" w:rsidRDefault="00000000">
      <w:pPr>
        <w:jc w:val="both"/>
      </w:pPr>
      <w:r>
        <w:rPr>
          <w:b/>
        </w:rPr>
        <w:t>(soit)</w:t>
      </w:r>
    </w:p>
    <w:p w14:paraId="78F1ECAB" w14:textId="77777777" w:rsidR="004B2808" w:rsidRDefault="00000000">
      <w:pPr>
        <w:jc w:val="both"/>
      </w:pPr>
      <w:r>
        <w:rPr>
          <w:rStyle w:val="soitChar"/>
        </w:rPr>
        <w:t xml:space="preserve">2. </w:t>
      </w:r>
      <w:r>
        <w:rPr>
          <w:rStyle w:val="soitChar"/>
          <w:u w:val="single"/>
        </w:rPr>
        <w:t>Quantité nette :</w:t>
      </w:r>
    </w:p>
    <w:p w14:paraId="741167B6" w14:textId="77777777" w:rsidR="004B2808" w:rsidRDefault="00000000">
      <w:pPr>
        <w:jc w:val="both"/>
      </w:pPr>
      <w:r>
        <w:rPr>
          <w:rStyle w:val="soitChar"/>
        </w:rPr>
        <w:t>Mesurée selon le nombre d’éléments à réaliser.</w:t>
      </w:r>
    </w:p>
    <w:p w14:paraId="5AC49A3E" w14:textId="77777777" w:rsidR="004B2808" w:rsidRDefault="00000000">
      <w:pPr>
        <w:jc w:val="both"/>
      </w:pPr>
      <w:r>
        <w:rPr>
          <w:rStyle w:val="soitChar"/>
        </w:rPr>
        <w:t>Eventuellement scindée dans différents postes selon le type, le lieu, …</w:t>
      </w:r>
    </w:p>
    <w:p w14:paraId="435E105E" w14:textId="77777777" w:rsidR="004B2808" w:rsidRDefault="00000000">
      <w:pPr>
        <w:jc w:val="both"/>
      </w:pPr>
      <w:r>
        <w:rPr>
          <w:b/>
        </w:rPr>
        <w:t>(soit)</w:t>
      </w:r>
    </w:p>
    <w:p w14:paraId="0AA6C9CF" w14:textId="77777777" w:rsidR="004B2808" w:rsidRDefault="00000000">
      <w:pPr>
        <w:jc w:val="both"/>
      </w:pPr>
      <w:r>
        <w:rPr>
          <w:rStyle w:val="soitChar"/>
        </w:rPr>
        <w:t xml:space="preserve">3. </w:t>
      </w:r>
      <w:r>
        <w:rPr>
          <w:rStyle w:val="soitChar"/>
          <w:u w:val="single"/>
        </w:rPr>
        <w:t>Compris :</w:t>
      </w:r>
    </w:p>
    <w:p w14:paraId="3B98ADA4" w14:textId="77777777" w:rsidR="004B2808" w:rsidRDefault="00000000">
      <w:pPr>
        <w:jc w:val="both"/>
      </w:pPr>
      <w:r>
        <w:rPr>
          <w:rStyle w:val="soitChar"/>
        </w:rPr>
        <w:t xml:space="preserve">Tous les frais liés à ces prestations sont compris dans le prix des articles </w:t>
      </w:r>
      <w:r>
        <w:rPr>
          <w:rStyle w:val="optioncarChar"/>
        </w:rPr>
        <w:t>***</w:t>
      </w:r>
    </w:p>
    <w:p w14:paraId="6B4A4331" w14:textId="77777777" w:rsidR="004B2808" w:rsidRDefault="00000000">
      <w:pPr>
        <w:pStyle w:val="pheading"/>
      </w:pPr>
      <w:r>
        <w:t>- nature du marché:</w:t>
      </w:r>
    </w:p>
    <w:p w14:paraId="1B00AE1B" w14:textId="77777777" w:rsidR="004B2808" w:rsidRDefault="00000000">
      <w:r>
        <w:rPr>
          <w:rStyle w:val="optioncarChar"/>
        </w:rPr>
        <w:t xml:space="preserve">QF </w:t>
      </w:r>
      <w:r>
        <w:t>(par défaut)</w:t>
      </w:r>
      <w:r>
        <w:rPr>
          <w:rStyle w:val="optioncarChar"/>
        </w:rPr>
        <w:t xml:space="preserve"> / PM</w:t>
      </w:r>
    </w:p>
    <w:p w14:paraId="04240CAA" w14:textId="77777777" w:rsidR="004B2808" w:rsidRDefault="00000000">
      <w:r>
        <w:rPr>
          <w:b/>
        </w:rPr>
        <w:t>(soit par défaut)</w:t>
      </w:r>
      <w:r>
        <w:br/>
      </w:r>
      <w:r>
        <w:rPr>
          <w:rStyle w:val="soitChar"/>
        </w:rPr>
        <w:t>1. 2. QF</w:t>
      </w:r>
      <w:r>
        <w:br/>
      </w:r>
      <w:r>
        <w:rPr>
          <w:b/>
        </w:rPr>
        <w:t>(soit)</w:t>
      </w:r>
      <w:r>
        <w:br/>
      </w:r>
      <w:r>
        <w:rPr>
          <w:rStyle w:val="soitChar"/>
        </w:rPr>
        <w:t>3. PM</w:t>
      </w:r>
    </w:p>
    <w:p w14:paraId="76069AD7" w14:textId="77777777" w:rsidR="004B2808" w:rsidRDefault="00000000">
      <w:pPr>
        <w:pStyle w:val="pheading"/>
      </w:pPr>
      <w:r>
        <w:t>AIDE</w:t>
      </w:r>
    </w:p>
    <w:p w14:paraId="766F1613" w14:textId="77777777" w:rsidR="004B2808" w:rsidRDefault="00000000">
      <w:pPr>
        <w:jc w:val="both"/>
      </w:pPr>
      <w:r>
        <w:rPr>
          <w:b/>
        </w:rPr>
        <w:lastRenderedPageBreak/>
        <w:t>Spécifications :</w:t>
      </w:r>
    </w:p>
    <w:p w14:paraId="1EAECD5E" w14:textId="77777777" w:rsidR="004B2808" w:rsidRDefault="00000000">
      <w:pPr>
        <w:jc w:val="both"/>
      </w:pPr>
      <w:r>
        <w:t>Des verres durcis ou trempés thermiquement sont notamment utilisés :</w:t>
      </w:r>
    </w:p>
    <w:p w14:paraId="3309495E" w14:textId="77777777" w:rsidR="004B2808" w:rsidRDefault="00000000">
      <w:pPr>
        <w:pStyle w:val="Author-eListParagraph"/>
        <w:numPr>
          <w:ilvl w:val="0"/>
          <w:numId w:val="1479"/>
        </w:numPr>
      </w:pPr>
      <w:r>
        <w:t>Lorsqu’un risque de casse thermique est à craindre (p. ex. en présence d’éclairage sous le plancher).</w:t>
      </w:r>
    </w:p>
    <w:p w14:paraId="06507A29" w14:textId="77777777" w:rsidR="004B2808" w:rsidRDefault="00000000">
      <w:pPr>
        <w:pStyle w:val="Author-eListParagraph"/>
        <w:numPr>
          <w:ilvl w:val="0"/>
          <w:numId w:val="1479"/>
        </w:numPr>
      </w:pPr>
      <w:r>
        <w:t>Dans certains cas particuliers de dalles de verre boulonnées ou sur appuis ponctuels.</w:t>
      </w:r>
    </w:p>
    <w:p w14:paraId="586B36A8" w14:textId="77777777" w:rsidR="004B2808" w:rsidRDefault="00000000">
      <w:pPr>
        <w:pStyle w:val="Author-eListParagraph"/>
        <w:numPr>
          <w:ilvl w:val="0"/>
          <w:numId w:val="1479"/>
        </w:numPr>
      </w:pPr>
      <w:r>
        <w:t>Pour augmenter la résistance aux chocs, …</w:t>
      </w:r>
    </w:p>
    <w:p w14:paraId="241CBAFA" w14:textId="77777777" w:rsidR="004B2808" w:rsidRDefault="00000000">
      <w:pPr>
        <w:jc w:val="both"/>
      </w:pPr>
      <w:r>
        <w:rPr>
          <w:b/>
        </w:rPr>
        <w:t>Aspect :</w:t>
      </w:r>
    </w:p>
    <w:p w14:paraId="7D3DCA87" w14:textId="77777777" w:rsidR="004B2808" w:rsidRDefault="00000000">
      <w:pPr>
        <w:jc w:val="both"/>
      </w:pPr>
      <w:r>
        <w:t>Des surfaces de circulation totalement transparentes peuvent générer un sentiment d’insécurité et / ou ne pas satisfaire aux exigences d’intimité.</w:t>
      </w:r>
    </w:p>
    <w:p w14:paraId="468FA8B6" w14:textId="77777777" w:rsidR="004B2808" w:rsidRDefault="00000000">
      <w:pPr>
        <w:jc w:val="both"/>
      </w:pPr>
      <w:r>
        <w:rPr>
          <w:b/>
        </w:rPr>
        <w:t>Pose :</w:t>
      </w:r>
    </w:p>
    <w:p w14:paraId="104817C6" w14:textId="77777777" w:rsidR="004B2808" w:rsidRDefault="00000000">
      <w:pPr>
        <w:jc w:val="both"/>
      </w:pPr>
      <w:r>
        <w:t>Quatre appuis sont toujours préférables. En effet, une dalle composée de deux couches de verre séparées par un PVB, posée sur deux appuis, s’effondre sous son propre poids quand toutes les couches de verre sont brisées. Ce genre d’application ne procure donc aucune sécurité post-rupture et à éviter dans la mesure du possible. Certains dispositifs constructifs ou types d’intercalaires sont utilisables pour y remédier, moyennant une étude particulière de la situation considérée.</w:t>
      </w:r>
    </w:p>
    <w:p w14:paraId="38C4CF9C" w14:textId="77777777" w:rsidR="004B2808" w:rsidRDefault="00000000">
      <w:pPr>
        <w:jc w:val="both"/>
      </w:pPr>
      <w:r>
        <w:t>Les réalisations sur appuis ponctuels ou au moyen de verre boulonné nécessitent des calculs réalisés au cas par cas, ainsi que des essais spécifiques.</w:t>
      </w:r>
    </w:p>
    <w:p w14:paraId="715D74DA" w14:textId="77777777" w:rsidR="004B2808" w:rsidRDefault="00000000">
      <w:pPr>
        <w:pStyle w:val="Author-eSectionHeading4Numberless"/>
      </w:pPr>
      <w:bookmarkStart w:id="1604" w:name="_Toc220491697"/>
      <w:r>
        <w:t>57.24 Balustres et poteaux CCTB 01.02</w:t>
      </w:r>
      <w:bookmarkEnd w:id="1604"/>
    </w:p>
    <w:p w14:paraId="2958BF97" w14:textId="77777777" w:rsidR="004B2808" w:rsidRDefault="00000000">
      <w:pPr>
        <w:pStyle w:val="Author-eSectionHeading5Numberless"/>
      </w:pPr>
      <w:bookmarkStart w:id="1605" w:name="1387"/>
      <w:bookmarkStart w:id="1606" w:name="_Toc220491698"/>
      <w:bookmarkEnd w:id="1605"/>
      <w:r>
        <w:t>57.24.1 Balustres et poteaux en pierre CCTB 01.02</w:t>
      </w:r>
      <w:bookmarkEnd w:id="1606"/>
    </w:p>
    <w:p w14:paraId="4CBAC904" w14:textId="77777777" w:rsidR="004B2808" w:rsidRDefault="00000000">
      <w:pPr>
        <w:pStyle w:val="Author-eSectionHeading6Numberless"/>
      </w:pPr>
      <w:bookmarkStart w:id="1607" w:name="_Toc220491699"/>
      <w:r>
        <w:t>57.24.1a Balustres et poteaux en pierre CCTB 01.02</w:t>
      </w:r>
      <w:bookmarkEnd w:id="1607"/>
    </w:p>
    <w:p w14:paraId="34BE6B08" w14:textId="77777777" w:rsidR="004B2808" w:rsidRDefault="00000000">
      <w:pPr>
        <w:pStyle w:val="Author-eSectionHeading5Numberless"/>
      </w:pPr>
      <w:bookmarkStart w:id="1608" w:name="_Toc220491700"/>
      <w:r>
        <w:t>57.24.2 Balustres et poteaux en béton armé CCTB 01.02</w:t>
      </w:r>
      <w:bookmarkEnd w:id="1608"/>
    </w:p>
    <w:p w14:paraId="081CDDD0" w14:textId="77777777" w:rsidR="004B2808" w:rsidRDefault="00000000">
      <w:pPr>
        <w:pStyle w:val="Author-eSectionHeading6Numberless"/>
      </w:pPr>
      <w:bookmarkStart w:id="1609" w:name="_Toc220491701"/>
      <w:r>
        <w:t>57.24.2a Balustres et poteaux en béton armé CCTB 01.02</w:t>
      </w:r>
      <w:bookmarkEnd w:id="1609"/>
    </w:p>
    <w:p w14:paraId="5676281D" w14:textId="77777777" w:rsidR="004B2808" w:rsidRDefault="00000000">
      <w:pPr>
        <w:pStyle w:val="Author-eSectionHeading5Numberless"/>
      </w:pPr>
      <w:bookmarkStart w:id="1610" w:name="_Toc220491702"/>
      <w:r>
        <w:t>57.24.3 Balustres et poteaux en bois CCTB 01.02</w:t>
      </w:r>
      <w:bookmarkEnd w:id="1610"/>
    </w:p>
    <w:p w14:paraId="0DEDB92E" w14:textId="77777777" w:rsidR="004B2808" w:rsidRDefault="00000000">
      <w:pPr>
        <w:pStyle w:val="Author-eSectionHeading6Numberless"/>
      </w:pPr>
      <w:bookmarkStart w:id="1611" w:name="_Toc220491703"/>
      <w:r>
        <w:t>57.24.3a Balustres et poteaux en bois CCTB 01.11</w:t>
      </w:r>
      <w:bookmarkEnd w:id="1611"/>
    </w:p>
    <w:p w14:paraId="73E5C89D" w14:textId="77777777" w:rsidR="004B2808" w:rsidRDefault="00000000">
      <w:pPr>
        <w:pStyle w:val="pheading"/>
      </w:pPr>
      <w:r>
        <w:t>MATÉRIAUX</w:t>
      </w:r>
    </w:p>
    <w:p w14:paraId="514E23FF" w14:textId="77777777" w:rsidR="004B2808" w:rsidRDefault="00000000">
      <w:pPr>
        <w:pStyle w:val="pheading"/>
      </w:pPr>
      <w:r>
        <w:t>- Caractéristiques générales</w:t>
      </w:r>
    </w:p>
    <w:p w14:paraId="3DC7DC4E" w14:textId="77777777" w:rsidR="004B2808" w:rsidRDefault="00000000">
      <w:r>
        <w:t xml:space="preserve">Les balustres et poteaux sont fabriqués en : </w:t>
      </w:r>
      <w:r>
        <w:rPr>
          <w:rStyle w:val="optioncarChar"/>
        </w:rPr>
        <w:t xml:space="preserve">Hêtre </w:t>
      </w:r>
      <w:r>
        <w:t xml:space="preserve">(par défaut) </w:t>
      </w:r>
      <w:r>
        <w:rPr>
          <w:rStyle w:val="optioncarChar"/>
        </w:rPr>
        <w:t>/ Chêne / Châtaignier / Tilleul / Douglas / Épicéa / Pin sylvestre / ***</w:t>
      </w:r>
      <w:r>
        <w:t>.</w:t>
      </w:r>
    </w:p>
    <w:p w14:paraId="375B810A" w14:textId="77777777" w:rsidR="004B2808" w:rsidRDefault="00000000">
      <w:pPr>
        <w:ind w:left="567"/>
      </w:pPr>
      <w:r>
        <w:rPr>
          <w:b/>
        </w:rPr>
        <w:t xml:space="preserve">(soit par défaut) </w:t>
      </w:r>
      <w:r>
        <w:rPr>
          <w:rStyle w:val="soitChar"/>
        </w:rPr>
        <w:t xml:space="preserve">Hêtre (FASY) - </w:t>
      </w:r>
      <w:r>
        <w:rPr>
          <w:rStyle w:val="soitChar"/>
          <w:i/>
        </w:rPr>
        <w:t xml:space="preserve">Fagus sylvatica L. </w:t>
      </w:r>
      <w:r>
        <w:rPr>
          <w:rStyle w:val="soitChar"/>
        </w:rPr>
        <w:t xml:space="preserve">selon la [NBN EN 13556]. Qualité : </w:t>
      </w:r>
      <w:r>
        <w:rPr>
          <w:rStyle w:val="optioncarChar"/>
        </w:rPr>
        <w:t xml:space="preserve">1er choix / 2ème choix </w:t>
      </w:r>
      <w:r>
        <w:rPr>
          <w:rStyle w:val="soitChar"/>
        </w:rPr>
        <w:t>selon la norme [NBN EN 975-1] ). Le bois mis en œuvre est exempt de cœur rouge.</w:t>
      </w:r>
    </w:p>
    <w:p w14:paraId="4C723B44" w14:textId="77777777" w:rsidR="004B2808" w:rsidRDefault="00000000">
      <w:pPr>
        <w:ind w:left="567"/>
      </w:pPr>
      <w:r>
        <w:rPr>
          <w:b/>
        </w:rPr>
        <w:t>(soit)</w:t>
      </w:r>
      <w:r>
        <w:rPr>
          <w:rStyle w:val="soitChar"/>
        </w:rPr>
        <w:t xml:space="preserve">Chêne (QCXE) – </w:t>
      </w:r>
      <w:r>
        <w:rPr>
          <w:rStyle w:val="soitChar"/>
          <w:i/>
        </w:rPr>
        <w:t xml:space="preserve">Quercus robur L. / Quercus petraea (Matt.) Liebl. </w:t>
      </w:r>
      <w:r>
        <w:rPr>
          <w:rStyle w:val="soitChar"/>
        </w:rPr>
        <w:t>selon la [NBN EN 13556]</w:t>
      </w:r>
    </w:p>
    <w:p w14:paraId="5558895A" w14:textId="77777777" w:rsidR="004B2808" w:rsidRDefault="00000000">
      <w:pPr>
        <w:ind w:left="567"/>
      </w:pPr>
      <w:r>
        <w:rPr>
          <w:b/>
        </w:rPr>
        <w:t>(soit)</w:t>
      </w:r>
      <w:r>
        <w:rPr>
          <w:rStyle w:val="soitChar"/>
        </w:rPr>
        <w:t xml:space="preserve">Châtaignier (CTST) - </w:t>
      </w:r>
      <w:r>
        <w:rPr>
          <w:rStyle w:val="soitChar"/>
          <w:i/>
        </w:rPr>
        <w:t xml:space="preserve">Castanea sativa Miller </w:t>
      </w:r>
      <w:r>
        <w:rPr>
          <w:rStyle w:val="soitChar"/>
        </w:rPr>
        <w:t>selon la [NBN EN 13556]</w:t>
      </w:r>
    </w:p>
    <w:p w14:paraId="409A1FE1" w14:textId="77777777" w:rsidR="004B2808" w:rsidRDefault="00000000">
      <w:pPr>
        <w:ind w:left="567"/>
      </w:pPr>
      <w:r>
        <w:rPr>
          <w:b/>
        </w:rPr>
        <w:t>(soit)</w:t>
      </w:r>
      <w:r>
        <w:rPr>
          <w:rStyle w:val="soitChar"/>
        </w:rPr>
        <w:t xml:space="preserve">Tilleul (TIXX) - </w:t>
      </w:r>
      <w:r>
        <w:rPr>
          <w:rStyle w:val="soitChar"/>
          <w:i/>
        </w:rPr>
        <w:t xml:space="preserve">Tilia spp. </w:t>
      </w:r>
      <w:r>
        <w:rPr>
          <w:rStyle w:val="soitChar"/>
        </w:rPr>
        <w:t>selon la [NBN EN 13556]</w:t>
      </w:r>
      <w:r>
        <w:br/>
      </w:r>
    </w:p>
    <w:p w14:paraId="73C5E0F0" w14:textId="77777777" w:rsidR="004B2808" w:rsidRDefault="00000000">
      <w:pPr>
        <w:ind w:left="567"/>
      </w:pPr>
      <w:r>
        <w:rPr>
          <w:b/>
        </w:rPr>
        <w:t>(soit)</w:t>
      </w:r>
      <w:r>
        <w:rPr>
          <w:rStyle w:val="soitChar"/>
        </w:rPr>
        <w:t xml:space="preserve">Douglas (PSMN) - </w:t>
      </w:r>
      <w:r>
        <w:rPr>
          <w:rStyle w:val="soitChar"/>
          <w:i/>
        </w:rPr>
        <w:t xml:space="preserve">Castanea sativa Miller </w:t>
      </w:r>
      <w:r>
        <w:rPr>
          <w:rStyle w:val="soitChar"/>
        </w:rPr>
        <w:t>selon la [NBN EN 13556]</w:t>
      </w:r>
    </w:p>
    <w:p w14:paraId="09534E1A" w14:textId="77777777" w:rsidR="004B2808" w:rsidRDefault="00000000">
      <w:pPr>
        <w:ind w:left="567"/>
      </w:pPr>
      <w:r>
        <w:rPr>
          <w:b/>
        </w:rPr>
        <w:t>(soit)</w:t>
      </w:r>
      <w:r>
        <w:rPr>
          <w:rStyle w:val="soitChar"/>
        </w:rPr>
        <w:t xml:space="preserve">Épicéa (PCAB) - </w:t>
      </w:r>
      <w:r>
        <w:rPr>
          <w:rStyle w:val="soitChar"/>
          <w:i/>
        </w:rPr>
        <w:t xml:space="preserve">Picea abies </w:t>
      </w:r>
      <w:r>
        <w:rPr>
          <w:rStyle w:val="soitChar"/>
        </w:rPr>
        <w:t>selon la [NBN EN 13556]</w:t>
      </w:r>
    </w:p>
    <w:p w14:paraId="5BE7F91C" w14:textId="77777777" w:rsidR="004B2808" w:rsidRDefault="00000000">
      <w:pPr>
        <w:ind w:left="567"/>
      </w:pPr>
      <w:r>
        <w:rPr>
          <w:b/>
        </w:rPr>
        <w:t>(soit)</w:t>
      </w:r>
      <w:r>
        <w:rPr>
          <w:rStyle w:val="soitChar"/>
        </w:rPr>
        <w:t xml:space="preserve">Pin sylvestre (PNSY) - </w:t>
      </w:r>
      <w:r>
        <w:rPr>
          <w:rStyle w:val="soitChar"/>
          <w:i/>
        </w:rPr>
        <w:t xml:space="preserve">Pinus sylvestris </w:t>
      </w:r>
      <w:r>
        <w:rPr>
          <w:rStyle w:val="soitChar"/>
        </w:rPr>
        <w:t>selon la [NBN EN 13556]</w:t>
      </w:r>
    </w:p>
    <w:p w14:paraId="6D4C93D1" w14:textId="77777777" w:rsidR="004B2808" w:rsidRDefault="00000000">
      <w:pPr>
        <w:ind w:left="567"/>
      </w:pPr>
      <w:r>
        <w:rPr>
          <w:b/>
        </w:rPr>
        <w:t>(soit)</w:t>
      </w:r>
      <w:r>
        <w:rPr>
          <w:rStyle w:val="optioncarChar"/>
        </w:rPr>
        <w:t>***</w:t>
      </w:r>
    </w:p>
    <w:p w14:paraId="2DCFA14D" w14:textId="77777777" w:rsidR="004B2808" w:rsidRDefault="00000000">
      <w:r>
        <w:t>Ils sont conçus comme:</w:t>
      </w:r>
    </w:p>
    <w:p w14:paraId="116BE1DD" w14:textId="77777777" w:rsidR="004B2808" w:rsidRDefault="00000000">
      <w:pPr>
        <w:pStyle w:val="soit"/>
        <w:numPr>
          <w:ilvl w:val="0"/>
          <w:numId w:val="1480"/>
        </w:numPr>
      </w:pPr>
      <w:r>
        <w:lastRenderedPageBreak/>
        <w:t>un garde-corps traditionnel à balustres verticales. Les balustres sont insérées d'environ 20 mm dans le limon par un assemblage à tenon et mortaise et collées à la colle à l'urée.</w:t>
      </w:r>
    </w:p>
    <w:p w14:paraId="72C49B6C" w14:textId="77777777" w:rsidR="004B2808" w:rsidRDefault="00000000">
      <w:pPr>
        <w:pStyle w:val="heading"/>
      </w:pPr>
      <w:r>
        <w:t>Spécifications garde-corps à balustres verticales</w:t>
      </w:r>
    </w:p>
    <w:p w14:paraId="7B8B6AA7" w14:textId="77777777" w:rsidR="004B2808" w:rsidRDefault="00000000">
      <w:r>
        <w:t>Hauteur de protection (hauteur de la balustrade, y compris la main-courante) :</w:t>
      </w:r>
      <w:r>
        <w:rPr>
          <w:rStyle w:val="optioncarChar"/>
        </w:rPr>
        <w:t xml:space="preserve"> 90 / 100 / 120</w:t>
      </w:r>
      <w:r>
        <w:t>.</w:t>
      </w:r>
    </w:p>
    <w:p w14:paraId="2E878294" w14:textId="77777777" w:rsidR="004B2808" w:rsidRDefault="00000000">
      <w:r>
        <w:t xml:space="preserve">Forme des balustres et poteaux: </w:t>
      </w:r>
      <w:r>
        <w:rPr>
          <w:rStyle w:val="optioncarChar"/>
        </w:rPr>
        <w:t>ronde / rectangulaire / carrée / selon le dessin de détail</w:t>
      </w:r>
    </w:p>
    <w:p w14:paraId="1FA92FA0" w14:textId="77777777" w:rsidR="004B2808" w:rsidRDefault="00000000">
      <w:r>
        <w:t xml:space="preserve">Section des balustres et poteaux: </w:t>
      </w:r>
      <w:r>
        <w:rPr>
          <w:rStyle w:val="optioncarChar"/>
        </w:rPr>
        <w:t>***</w:t>
      </w:r>
    </w:p>
    <w:p w14:paraId="3894C805" w14:textId="77777777" w:rsidR="004B2808" w:rsidRDefault="00000000">
      <w:r>
        <w:t>Ecartement horizontal maximal : 11 cm</w:t>
      </w:r>
    </w:p>
    <w:p w14:paraId="3ECA38D0" w14:textId="77777777" w:rsidR="004B2808" w:rsidRDefault="00000000">
      <w:pPr>
        <w:pStyle w:val="pheading"/>
      </w:pPr>
      <w:r>
        <w:t>- Finitions</w:t>
      </w:r>
    </w:p>
    <w:p w14:paraId="6EF26AF6" w14:textId="77777777" w:rsidR="004B2808" w:rsidRDefault="00000000">
      <w:r>
        <w:t>Finition :</w:t>
      </w:r>
      <w:r>
        <w:rPr>
          <w:rStyle w:val="optioncarChar"/>
        </w:rPr>
        <w:t xml:space="preserve"> non traitée / 2 couches de vernis alkyde-uréthane (satiné) / 2 couches de vernis polyuréthane acrylique (satiné) / laqué **</w:t>
      </w:r>
      <w:r>
        <w:t>*.</w:t>
      </w:r>
    </w:p>
    <w:p w14:paraId="64FE52AE" w14:textId="77777777" w:rsidR="004B2808" w:rsidRDefault="00000000">
      <w:pPr>
        <w:pStyle w:val="Author-eSectionHeading5Numberless"/>
      </w:pPr>
      <w:bookmarkStart w:id="1612" w:name="_Toc220491704"/>
      <w:r>
        <w:t>57.24.4 Balustres et poteaux métalliques CCTB 01.02</w:t>
      </w:r>
      <w:bookmarkEnd w:id="1612"/>
    </w:p>
    <w:p w14:paraId="0BB6CC09" w14:textId="77777777" w:rsidR="004B2808" w:rsidRDefault="00000000">
      <w:pPr>
        <w:pStyle w:val="Author-eSectionHeading6Numberless"/>
      </w:pPr>
      <w:bookmarkStart w:id="1613" w:name="_Toc220491705"/>
      <w:r>
        <w:t>57.24.4a Balustres et poteaux métalliques - en acier CCTB 01.02</w:t>
      </w:r>
      <w:bookmarkEnd w:id="1613"/>
    </w:p>
    <w:p w14:paraId="7EBE1B2E" w14:textId="77777777" w:rsidR="004B2808" w:rsidRDefault="00000000">
      <w:pPr>
        <w:pStyle w:val="Author-eSectionHeading6Numberless"/>
      </w:pPr>
      <w:bookmarkStart w:id="1614" w:name="_Toc220491706"/>
      <w:r>
        <w:t>57.24.4b Balustres et poteaux métalliques - en acier inoxydable CCTB 01.02</w:t>
      </w:r>
      <w:bookmarkEnd w:id="1614"/>
    </w:p>
    <w:p w14:paraId="5E25B077" w14:textId="77777777" w:rsidR="004B2808" w:rsidRDefault="00000000">
      <w:pPr>
        <w:pStyle w:val="Author-eSectionHeading6Numberless"/>
      </w:pPr>
      <w:bookmarkStart w:id="1615" w:name="_Toc220491707"/>
      <w:r>
        <w:t>57.24.4c Balustres et poteaux métalliques - en aluminium CCTB 01.02</w:t>
      </w:r>
      <w:bookmarkEnd w:id="1615"/>
    </w:p>
    <w:p w14:paraId="66EFAFB4" w14:textId="77777777" w:rsidR="004B2808" w:rsidRDefault="00000000">
      <w:pPr>
        <w:pStyle w:val="Author-eSectionHeading5Numberless"/>
      </w:pPr>
      <w:bookmarkStart w:id="1616" w:name="_Toc220491708"/>
      <w:r>
        <w:t>57.24.5 Balustres et poteaux en matériaux synthétiques CCTB 01.02</w:t>
      </w:r>
      <w:bookmarkEnd w:id="1616"/>
    </w:p>
    <w:p w14:paraId="14346A81" w14:textId="77777777" w:rsidR="004B2808" w:rsidRDefault="00000000">
      <w:pPr>
        <w:pStyle w:val="Author-eSectionHeading6Numberless"/>
      </w:pPr>
      <w:bookmarkStart w:id="1617" w:name="_Toc220491709"/>
      <w:r>
        <w:t>57.24.5a Balustres et poteaux en matériaux synthétiques CCTB 01.02</w:t>
      </w:r>
      <w:bookmarkEnd w:id="1617"/>
    </w:p>
    <w:p w14:paraId="39E68FBC" w14:textId="77777777" w:rsidR="004B2808" w:rsidRDefault="00000000">
      <w:pPr>
        <w:pStyle w:val="Author-eSectionHeading5Numberless"/>
      </w:pPr>
      <w:bookmarkStart w:id="1618" w:name="_Toc220491710"/>
      <w:r>
        <w:t>57.24.6 Balustres et poteaux en verre CCTB 01.02</w:t>
      </w:r>
      <w:bookmarkEnd w:id="1618"/>
    </w:p>
    <w:p w14:paraId="5D24F3F7" w14:textId="77777777" w:rsidR="004B2808" w:rsidRDefault="00000000">
      <w:pPr>
        <w:pStyle w:val="Author-eSectionHeading6Numberless"/>
      </w:pPr>
      <w:bookmarkStart w:id="1619" w:name="_Toc220491711"/>
      <w:r>
        <w:t>57.24.6a Balustres et poteaux en verre CCTB 01.02</w:t>
      </w:r>
      <w:bookmarkEnd w:id="1619"/>
    </w:p>
    <w:p w14:paraId="6DB02E4F" w14:textId="77777777" w:rsidR="004B2808" w:rsidRDefault="00000000">
      <w:pPr>
        <w:pStyle w:val="Author-eSectionHeading4Numberless"/>
      </w:pPr>
      <w:bookmarkStart w:id="1620" w:name="1399"/>
      <w:bookmarkStart w:id="1621" w:name="_Toc220491712"/>
      <w:bookmarkEnd w:id="1620"/>
      <w:r>
        <w:t>57.25 Remplissages CCTB 01.02</w:t>
      </w:r>
      <w:bookmarkEnd w:id="1621"/>
    </w:p>
    <w:p w14:paraId="1AED75E7" w14:textId="77777777" w:rsidR="004B2808" w:rsidRDefault="00000000">
      <w:pPr>
        <w:pStyle w:val="Author-eSectionHeading5Numberless"/>
      </w:pPr>
      <w:bookmarkStart w:id="1622" w:name="1388"/>
      <w:bookmarkStart w:id="1623" w:name="_Toc220491713"/>
      <w:bookmarkEnd w:id="1622"/>
      <w:r>
        <w:t>57.25.1 Remplissages en pierre CCTB 01.02</w:t>
      </w:r>
      <w:bookmarkEnd w:id="1623"/>
    </w:p>
    <w:p w14:paraId="22D0D34C" w14:textId="77777777" w:rsidR="004B2808" w:rsidRDefault="00000000">
      <w:pPr>
        <w:pStyle w:val="Author-eSectionHeading6Numberless"/>
      </w:pPr>
      <w:bookmarkStart w:id="1624" w:name="_Toc220491714"/>
      <w:r>
        <w:t>57.25.1a Remplissages en pierre CCTB 01.02</w:t>
      </w:r>
      <w:bookmarkEnd w:id="1624"/>
    </w:p>
    <w:p w14:paraId="4046BCD0" w14:textId="77777777" w:rsidR="004B2808" w:rsidRDefault="00000000">
      <w:pPr>
        <w:pStyle w:val="Author-eSectionHeading5Numberless"/>
      </w:pPr>
      <w:bookmarkStart w:id="1625" w:name="_Toc220491715"/>
      <w:r>
        <w:t>57.25.2 Remplissages en béton armé CCTB 01.02</w:t>
      </w:r>
      <w:bookmarkEnd w:id="1625"/>
    </w:p>
    <w:p w14:paraId="74C645DC" w14:textId="77777777" w:rsidR="004B2808" w:rsidRDefault="00000000">
      <w:pPr>
        <w:pStyle w:val="Author-eSectionHeading6Numberless"/>
      </w:pPr>
      <w:bookmarkStart w:id="1626" w:name="_Toc220491716"/>
      <w:r>
        <w:t>57.25.2a Remplissages en béton armé CCTB 01.02</w:t>
      </w:r>
      <w:bookmarkEnd w:id="1626"/>
    </w:p>
    <w:p w14:paraId="75730201" w14:textId="77777777" w:rsidR="004B2808" w:rsidRDefault="00000000">
      <w:pPr>
        <w:pStyle w:val="Author-eSectionHeading5Numberless"/>
      </w:pPr>
      <w:bookmarkStart w:id="1627" w:name="_Toc220491717"/>
      <w:r>
        <w:t>57.25.3 Remplissages en bois CCTB 01.02</w:t>
      </w:r>
      <w:bookmarkEnd w:id="1627"/>
    </w:p>
    <w:p w14:paraId="5820CE95" w14:textId="77777777" w:rsidR="004B2808" w:rsidRDefault="00000000">
      <w:pPr>
        <w:pStyle w:val="Author-eSectionHeading6Numberless"/>
      </w:pPr>
      <w:bookmarkStart w:id="1628" w:name="_Toc220491718"/>
      <w:r>
        <w:t>57.25.3a Remplissages en bois CCTB 01.11</w:t>
      </w:r>
      <w:bookmarkEnd w:id="1628"/>
    </w:p>
    <w:p w14:paraId="7DA20B75" w14:textId="77777777" w:rsidR="004B2808" w:rsidRDefault="00000000">
      <w:pPr>
        <w:pStyle w:val="pheading"/>
      </w:pPr>
      <w:r>
        <w:t>MATÉRIAUX</w:t>
      </w:r>
    </w:p>
    <w:p w14:paraId="4C9E85D5" w14:textId="77777777" w:rsidR="004B2808" w:rsidRDefault="00000000">
      <w:pPr>
        <w:pStyle w:val="pheading"/>
      </w:pPr>
      <w:r>
        <w:t>- Caractéristiques générales</w:t>
      </w:r>
    </w:p>
    <w:p w14:paraId="78811FCE" w14:textId="77777777" w:rsidR="004B2808" w:rsidRDefault="00000000">
      <w:r>
        <w:t xml:space="preserve">Les remplissages sont fabriqués en : </w:t>
      </w:r>
      <w:r>
        <w:rPr>
          <w:rStyle w:val="optioncarChar"/>
        </w:rPr>
        <w:t xml:space="preserve">Hêtre </w:t>
      </w:r>
      <w:r>
        <w:t xml:space="preserve">(par défaut) </w:t>
      </w:r>
      <w:r>
        <w:rPr>
          <w:rStyle w:val="optioncarChar"/>
        </w:rPr>
        <w:t>/ Chêne / Châtaignier / Tilleul / Douglas / Épicéa / Pin sylvestre / ***</w:t>
      </w:r>
      <w:r>
        <w:t>.</w:t>
      </w:r>
    </w:p>
    <w:p w14:paraId="0CAE2377" w14:textId="77777777" w:rsidR="004B2808" w:rsidRDefault="00000000">
      <w:pPr>
        <w:ind w:left="567"/>
      </w:pPr>
      <w:r>
        <w:rPr>
          <w:b/>
        </w:rPr>
        <w:t xml:space="preserve">(soit par défaut) </w:t>
      </w:r>
      <w:r>
        <w:rPr>
          <w:rStyle w:val="soitChar"/>
        </w:rPr>
        <w:t xml:space="preserve">Hêtre (FASY) - </w:t>
      </w:r>
      <w:r>
        <w:rPr>
          <w:rStyle w:val="soitChar"/>
          <w:i/>
        </w:rPr>
        <w:t xml:space="preserve">Fagus sylvatica L. </w:t>
      </w:r>
      <w:r>
        <w:rPr>
          <w:rStyle w:val="soitChar"/>
        </w:rPr>
        <w:t xml:space="preserve">selon la [NBN EN 13556]. Qualité : </w:t>
      </w:r>
      <w:r>
        <w:rPr>
          <w:rStyle w:val="optioncarChar"/>
        </w:rPr>
        <w:t xml:space="preserve">1er choix / 2ème choix </w:t>
      </w:r>
      <w:r>
        <w:rPr>
          <w:rStyle w:val="soitChar"/>
        </w:rPr>
        <w:t>selon la norme [NBN EN 975-1] ). Le bois mis en œuvre est exempt de cœur rouge.</w:t>
      </w:r>
    </w:p>
    <w:p w14:paraId="0F934900" w14:textId="77777777" w:rsidR="004B2808" w:rsidRDefault="00000000">
      <w:pPr>
        <w:ind w:left="567"/>
      </w:pPr>
      <w:r>
        <w:rPr>
          <w:b/>
        </w:rPr>
        <w:t>(soit)</w:t>
      </w:r>
      <w:r>
        <w:rPr>
          <w:rStyle w:val="soitChar"/>
        </w:rPr>
        <w:t xml:space="preserve">Chêne (QCXE) – </w:t>
      </w:r>
      <w:r>
        <w:rPr>
          <w:rStyle w:val="soitChar"/>
          <w:i/>
        </w:rPr>
        <w:t xml:space="preserve">Quercus robur L. / Quercus petraea (Matt.) Liebl. </w:t>
      </w:r>
      <w:r>
        <w:rPr>
          <w:rStyle w:val="soitChar"/>
        </w:rPr>
        <w:t>selon la [NBN EN 13556]</w:t>
      </w:r>
    </w:p>
    <w:p w14:paraId="20644464" w14:textId="77777777" w:rsidR="004B2808" w:rsidRDefault="00000000">
      <w:pPr>
        <w:ind w:left="567"/>
      </w:pPr>
      <w:r>
        <w:rPr>
          <w:b/>
        </w:rPr>
        <w:t>(soit)</w:t>
      </w:r>
      <w:r>
        <w:rPr>
          <w:rStyle w:val="soitChar"/>
        </w:rPr>
        <w:t xml:space="preserve">Châtaignier (CTST) - </w:t>
      </w:r>
      <w:r>
        <w:rPr>
          <w:rStyle w:val="soitChar"/>
          <w:i/>
        </w:rPr>
        <w:t xml:space="preserve">Castanea sativa Miller </w:t>
      </w:r>
      <w:r>
        <w:rPr>
          <w:rStyle w:val="soitChar"/>
        </w:rPr>
        <w:t>selon la [NBN EN 13556]</w:t>
      </w:r>
    </w:p>
    <w:p w14:paraId="41A07D6E" w14:textId="77777777" w:rsidR="004B2808" w:rsidRDefault="00000000">
      <w:pPr>
        <w:ind w:left="567"/>
      </w:pPr>
      <w:r>
        <w:rPr>
          <w:b/>
        </w:rPr>
        <w:t>(soit)</w:t>
      </w:r>
      <w:r>
        <w:rPr>
          <w:rStyle w:val="soitChar"/>
        </w:rPr>
        <w:t xml:space="preserve">Tilleul (TIXX) - </w:t>
      </w:r>
      <w:r>
        <w:rPr>
          <w:rStyle w:val="soitChar"/>
          <w:i/>
        </w:rPr>
        <w:t xml:space="preserve">Tilia spp. </w:t>
      </w:r>
      <w:r>
        <w:rPr>
          <w:rStyle w:val="soitChar"/>
        </w:rPr>
        <w:t>selon la [NBN EN 13556]</w:t>
      </w:r>
      <w:r>
        <w:br/>
      </w:r>
    </w:p>
    <w:p w14:paraId="44F8BB47" w14:textId="77777777" w:rsidR="004B2808" w:rsidRDefault="00000000">
      <w:pPr>
        <w:ind w:left="567"/>
      </w:pPr>
      <w:r>
        <w:rPr>
          <w:b/>
        </w:rPr>
        <w:t>(soit)</w:t>
      </w:r>
      <w:r>
        <w:rPr>
          <w:rStyle w:val="soitChar"/>
        </w:rPr>
        <w:t xml:space="preserve">Douglas (PSMN) - </w:t>
      </w:r>
      <w:r>
        <w:rPr>
          <w:rStyle w:val="soitChar"/>
          <w:i/>
        </w:rPr>
        <w:t xml:space="preserve">Castanea sativa Miller </w:t>
      </w:r>
      <w:r>
        <w:rPr>
          <w:rStyle w:val="soitChar"/>
        </w:rPr>
        <w:t>selon la [NBN EN 13556]</w:t>
      </w:r>
    </w:p>
    <w:p w14:paraId="1535763A" w14:textId="77777777" w:rsidR="004B2808" w:rsidRDefault="00000000">
      <w:pPr>
        <w:ind w:left="567"/>
      </w:pPr>
      <w:r>
        <w:rPr>
          <w:b/>
        </w:rPr>
        <w:lastRenderedPageBreak/>
        <w:t>(soit)</w:t>
      </w:r>
      <w:r>
        <w:rPr>
          <w:rStyle w:val="soitChar"/>
        </w:rPr>
        <w:t xml:space="preserve">Épicéa (PCAB) - </w:t>
      </w:r>
      <w:r>
        <w:rPr>
          <w:rStyle w:val="soitChar"/>
          <w:i/>
        </w:rPr>
        <w:t xml:space="preserve">Picea abies </w:t>
      </w:r>
      <w:r>
        <w:rPr>
          <w:rStyle w:val="soitChar"/>
        </w:rPr>
        <w:t>selon la [NBN EN 13556]</w:t>
      </w:r>
    </w:p>
    <w:p w14:paraId="3F0543F8" w14:textId="77777777" w:rsidR="004B2808" w:rsidRDefault="00000000">
      <w:pPr>
        <w:ind w:left="567"/>
      </w:pPr>
      <w:r>
        <w:rPr>
          <w:b/>
        </w:rPr>
        <w:t>(soit)</w:t>
      </w:r>
      <w:r>
        <w:rPr>
          <w:rStyle w:val="soitChar"/>
        </w:rPr>
        <w:t xml:space="preserve">Pin sylvestre (PNSY) - </w:t>
      </w:r>
      <w:r>
        <w:rPr>
          <w:rStyle w:val="soitChar"/>
          <w:i/>
        </w:rPr>
        <w:t xml:space="preserve">Pinus sylvestris </w:t>
      </w:r>
      <w:r>
        <w:rPr>
          <w:rStyle w:val="soitChar"/>
        </w:rPr>
        <w:t>selon la [NBN EN 13556]</w:t>
      </w:r>
    </w:p>
    <w:p w14:paraId="480D6413" w14:textId="77777777" w:rsidR="004B2808" w:rsidRDefault="00000000">
      <w:pPr>
        <w:ind w:left="567"/>
      </w:pPr>
      <w:r>
        <w:rPr>
          <w:b/>
        </w:rPr>
        <w:t>(soit)</w:t>
      </w:r>
      <w:r>
        <w:rPr>
          <w:rStyle w:val="optioncarChar"/>
        </w:rPr>
        <w:t>***</w:t>
      </w:r>
    </w:p>
    <w:p w14:paraId="44C504B8" w14:textId="77777777" w:rsidR="004B2808" w:rsidRDefault="00000000">
      <w:r>
        <w:t>Ils sont conçus comme:</w:t>
      </w:r>
    </w:p>
    <w:p w14:paraId="5552DC30" w14:textId="77777777" w:rsidR="004B2808" w:rsidRDefault="00000000">
      <w:pPr>
        <w:pStyle w:val="soit"/>
        <w:numPr>
          <w:ilvl w:val="0"/>
          <w:numId w:val="1481"/>
        </w:numPr>
      </w:pPr>
      <w:r>
        <w:rPr>
          <w:rStyle w:val="soitChar"/>
        </w:rPr>
        <w:t> </w:t>
      </w:r>
      <w:r>
        <w:t xml:space="preserve">un garde-corps avec des éléments de remplissage, </w:t>
      </w:r>
      <w:r>
        <w:rPr>
          <w:rStyle w:val="optioncarChar"/>
        </w:rPr>
        <w:t>selon le dessin de détail / le dessin d'exécution proposé par l'entrepreneur</w:t>
      </w:r>
    </w:p>
    <w:p w14:paraId="66D5F301" w14:textId="77777777" w:rsidR="004B2808" w:rsidRDefault="00000000">
      <w:pPr>
        <w:pStyle w:val="heading"/>
      </w:pPr>
      <w:r>
        <w:t>Spécifications garde-corps avec éléments de remplissage</w:t>
      </w:r>
    </w:p>
    <w:p w14:paraId="38D857D6" w14:textId="77777777" w:rsidR="004B2808" w:rsidRDefault="00000000">
      <w:r>
        <w:t>Hauteur de protection (hauteur de la balustrade, y compris la main-courante) :</w:t>
      </w:r>
      <w:r>
        <w:rPr>
          <w:rStyle w:val="optioncarChar"/>
        </w:rPr>
        <w:t xml:space="preserve"> 90 / 100 / 120</w:t>
      </w:r>
    </w:p>
    <w:p w14:paraId="5EAE8ADA" w14:textId="77777777" w:rsidR="004B2808" w:rsidRDefault="00000000">
      <w:r>
        <w:t xml:space="preserve">Main-courante : </w:t>
      </w:r>
      <w:r>
        <w:rPr>
          <w:rStyle w:val="optioncarChar"/>
        </w:rPr>
        <w:t>selon le dessin de détail / modèle à soumettre à l'approbation de l'auteur de projet</w:t>
      </w:r>
    </w:p>
    <w:p w14:paraId="6911AC6D" w14:textId="77777777" w:rsidR="004B2808" w:rsidRDefault="00000000">
      <w:r>
        <w:t xml:space="preserve">Eléments de remplissage : </w:t>
      </w:r>
      <w:r>
        <w:rPr>
          <w:rStyle w:val="optioncarChar"/>
        </w:rPr>
        <w:t>***</w:t>
      </w:r>
    </w:p>
    <w:p w14:paraId="6610CCA1" w14:textId="77777777" w:rsidR="004B2808" w:rsidRDefault="00000000">
      <w:pPr>
        <w:ind w:left="750"/>
      </w:pPr>
      <w:r>
        <w:t> </w:t>
      </w:r>
    </w:p>
    <w:p w14:paraId="2D872012" w14:textId="77777777" w:rsidR="004B2808" w:rsidRDefault="00000000">
      <w:pPr>
        <w:pStyle w:val="pheading"/>
      </w:pPr>
      <w:r>
        <w:t>- Finitions</w:t>
      </w:r>
    </w:p>
    <w:p w14:paraId="33E61560" w14:textId="77777777" w:rsidR="004B2808" w:rsidRDefault="00000000">
      <w:r>
        <w:t>Finition :</w:t>
      </w:r>
      <w:r>
        <w:rPr>
          <w:rStyle w:val="optioncarChar"/>
        </w:rPr>
        <w:t xml:space="preserve"> non traitée / 2 couches de vernis alkyde-uréthane (satiné) / 2 couches de vernis polyuréthane acrylique (satiné) / laqué ***</w:t>
      </w:r>
      <w:r>
        <w:t>.</w:t>
      </w:r>
    </w:p>
    <w:p w14:paraId="1CCEDE9E" w14:textId="77777777" w:rsidR="004B2808" w:rsidRDefault="00000000">
      <w:pPr>
        <w:pStyle w:val="Author-eSectionHeading5Numberless"/>
      </w:pPr>
      <w:bookmarkStart w:id="1629" w:name="_Toc220491719"/>
      <w:r>
        <w:t>57.25.4 Remplissages métalliques CCTB 01.02</w:t>
      </w:r>
      <w:bookmarkEnd w:id="1629"/>
    </w:p>
    <w:p w14:paraId="473F059A" w14:textId="77777777" w:rsidR="004B2808" w:rsidRDefault="00000000">
      <w:pPr>
        <w:pStyle w:val="Author-eSectionHeading6Numberless"/>
      </w:pPr>
      <w:bookmarkStart w:id="1630" w:name="_Toc220491720"/>
      <w:r>
        <w:t>57.25.4a Remplissages métalliques - en acier CCTB 01.02</w:t>
      </w:r>
      <w:bookmarkEnd w:id="1630"/>
    </w:p>
    <w:p w14:paraId="57C6B33F" w14:textId="77777777" w:rsidR="004B2808" w:rsidRDefault="00000000">
      <w:pPr>
        <w:pStyle w:val="Author-eSectionHeading6Numberless"/>
      </w:pPr>
      <w:bookmarkStart w:id="1631" w:name="_Toc220491721"/>
      <w:r>
        <w:t>57.25.4b Remplissages métalliques - en acier inoxydable CCTB 01.02</w:t>
      </w:r>
      <w:bookmarkEnd w:id="1631"/>
    </w:p>
    <w:p w14:paraId="7CD74A9B" w14:textId="77777777" w:rsidR="004B2808" w:rsidRDefault="00000000">
      <w:pPr>
        <w:pStyle w:val="Author-eSectionHeading6Numberless"/>
      </w:pPr>
      <w:bookmarkStart w:id="1632" w:name="_Toc220491722"/>
      <w:r>
        <w:t>57.25.4c Remplissages métalliques - en aluminium CCTB 01.02</w:t>
      </w:r>
      <w:bookmarkEnd w:id="1632"/>
    </w:p>
    <w:p w14:paraId="6A560A87" w14:textId="77777777" w:rsidR="004B2808" w:rsidRDefault="00000000">
      <w:pPr>
        <w:pStyle w:val="Author-eSectionHeading5Numberless"/>
      </w:pPr>
      <w:bookmarkStart w:id="1633" w:name="_Toc220491723"/>
      <w:r>
        <w:t>57.25.5 Remplissages en céramiques CCTB 01.02</w:t>
      </w:r>
      <w:bookmarkEnd w:id="1633"/>
    </w:p>
    <w:p w14:paraId="01DEBE61" w14:textId="77777777" w:rsidR="004B2808" w:rsidRDefault="00000000">
      <w:pPr>
        <w:pStyle w:val="Author-eSectionHeading6Numberless"/>
      </w:pPr>
      <w:bookmarkStart w:id="1634" w:name="_Toc220491724"/>
      <w:r>
        <w:t>57.25.5a Remplissages en céramiques CCTB 01.02</w:t>
      </w:r>
      <w:bookmarkEnd w:id="1634"/>
    </w:p>
    <w:p w14:paraId="593A40D7" w14:textId="77777777" w:rsidR="004B2808" w:rsidRDefault="00000000">
      <w:pPr>
        <w:pStyle w:val="Author-eSectionHeading5Numberless"/>
      </w:pPr>
      <w:bookmarkStart w:id="1635" w:name="_Toc220491725"/>
      <w:r>
        <w:t>57.25.6 Remplissages en matériaux synthétiques CCTB 01.02</w:t>
      </w:r>
      <w:bookmarkEnd w:id="1635"/>
    </w:p>
    <w:p w14:paraId="2AD65B64" w14:textId="77777777" w:rsidR="004B2808" w:rsidRDefault="00000000">
      <w:pPr>
        <w:pStyle w:val="Author-eSectionHeading6Numberless"/>
      </w:pPr>
      <w:bookmarkStart w:id="1636" w:name="1376"/>
      <w:bookmarkStart w:id="1637" w:name="_Toc220491726"/>
      <w:bookmarkEnd w:id="1636"/>
      <w:r>
        <w:t>57.25.6a Remplissages en matériaux synthétiques CCTB 01.02</w:t>
      </w:r>
      <w:bookmarkEnd w:id="1637"/>
    </w:p>
    <w:p w14:paraId="7C7CC94A" w14:textId="77777777" w:rsidR="004B2808" w:rsidRDefault="00000000">
      <w:pPr>
        <w:pStyle w:val="Author-eSectionHeading5Numberless"/>
      </w:pPr>
      <w:bookmarkStart w:id="1638" w:name="_Toc220491727"/>
      <w:r>
        <w:t>57.25.7 Remplissages en verre CCTB 01.02</w:t>
      </w:r>
      <w:bookmarkEnd w:id="1638"/>
    </w:p>
    <w:p w14:paraId="5A432467" w14:textId="77777777" w:rsidR="004B2808" w:rsidRDefault="00000000">
      <w:pPr>
        <w:pStyle w:val="Author-eSectionHeading6Numberless"/>
      </w:pPr>
      <w:bookmarkStart w:id="1639" w:name="_Toc220491728"/>
      <w:r>
        <w:t>57.25.7a Remplissages en verre CCTB 01.13</w:t>
      </w:r>
      <w:bookmarkEnd w:id="1639"/>
    </w:p>
    <w:p w14:paraId="5CD85B75" w14:textId="77777777" w:rsidR="004B2808" w:rsidRDefault="00000000">
      <w:pPr>
        <w:pStyle w:val="pheading"/>
      </w:pPr>
      <w:r>
        <w:t>DESCRIPTION</w:t>
      </w:r>
    </w:p>
    <w:p w14:paraId="733981C0" w14:textId="77777777" w:rsidR="004B2808" w:rsidRDefault="00000000">
      <w:pPr>
        <w:pStyle w:val="pheading"/>
      </w:pPr>
      <w:r>
        <w:t>- Définition / Comprend</w:t>
      </w:r>
    </w:p>
    <w:p w14:paraId="00339253" w14:textId="77777777" w:rsidR="004B2808" w:rsidRDefault="00000000">
      <w:pPr>
        <w:jc w:val="both"/>
      </w:pPr>
      <w:r>
        <w:t>Cet article décrit la fourniture et la pose des remplissages en verre des garde-corps conformes à la [NBN B 03-004].</w:t>
      </w:r>
    </w:p>
    <w:p w14:paraId="55811919" w14:textId="77777777" w:rsidR="004B2808" w:rsidRDefault="00000000">
      <w:pPr>
        <w:jc w:val="both"/>
      </w:pPr>
      <w:r>
        <w:rPr>
          <w:b/>
        </w:rPr>
        <w:t>Remarques importantes</w:t>
      </w:r>
    </w:p>
    <w:p w14:paraId="54ACAE99" w14:textId="77777777" w:rsidR="004B2808" w:rsidRDefault="00000000">
      <w:pPr>
        <w:jc w:val="both"/>
      </w:pPr>
      <w:r>
        <w:t>Tous les vitrages feuilletés de sécurité sont soumis au [Règlement (UE) 305/2011]. Un marquage CE est imposé à ces produits suivant la [NBN EN 14449] afin d'attester qu’ils soient conformes aux spécifications techniques de ce règlement.</w:t>
      </w:r>
    </w:p>
    <w:p w14:paraId="7FB2F5A0" w14:textId="77777777" w:rsidR="004B2808" w:rsidRDefault="00000000">
      <w:pPr>
        <w:jc w:val="both"/>
      </w:pPr>
      <w:r>
        <w:t>Pour les garde-corps, le verre peut être considéré comme élément de remplissage (objet du présent article) ou comme élément autoportant :</w:t>
      </w:r>
    </w:p>
    <w:p w14:paraId="0F85F75C" w14:textId="77777777" w:rsidR="004B2808" w:rsidRDefault="00000000">
      <w:pPr>
        <w:pStyle w:val="Author-eListParagraph"/>
        <w:numPr>
          <w:ilvl w:val="0"/>
          <w:numId w:val="1482"/>
        </w:numPr>
        <w:jc w:val="both"/>
      </w:pPr>
      <w:r>
        <w:t xml:space="preserve">Le verre est considéré comme élément de remplissage d’une ossature portante lorsque cette dernière comporte une lisse supérieure située entre 1 m et 1,20 m (0,90 m pour les garde-corps épais suivant la [NBN B 03-004]) apte à reprendre les charges d’exploitation pouvant s’appliquer sur le garde-corps et à les reporter au gros œuvre. Dans ce cas, le verre doit être apte à reprendre, outre les charges de vent et les charges dynamiques (impacts), la seule charge d’exploitation Qkh,2 (0.5 kN) définie dans la [NBN B 03-004], les autres charges d’exploitation (qk,h, Qkh,1 et Qk,v) étant quant à elles reprises par la lisse supérieure. Le </w:t>
      </w:r>
      <w:r>
        <w:lastRenderedPageBreak/>
        <w:t xml:space="preserve">verre peut être maintenu par des appuis </w:t>
      </w:r>
      <w:r>
        <w:rPr>
          <w:rStyle w:val="optioncarChar"/>
        </w:rPr>
        <w:t>continus (en feuillure sur 2 / 3 / 4 côtés) / ponctuels</w:t>
      </w:r>
      <w:r>
        <w:t xml:space="preserve"> (pinces </w:t>
      </w:r>
      <w:r>
        <w:rPr>
          <w:rStyle w:val="optioncarChar"/>
        </w:rPr>
        <w:t>avec / sans</w:t>
      </w:r>
      <w:r>
        <w:t xml:space="preserve"> percement du verre)</w:t>
      </w:r>
    </w:p>
    <w:p w14:paraId="216F3E32" w14:textId="77777777" w:rsidR="004B2808" w:rsidRDefault="00000000">
      <w:pPr>
        <w:pStyle w:val="Author-eListParagraph"/>
        <w:numPr>
          <w:ilvl w:val="0"/>
          <w:numId w:val="1482"/>
        </w:numPr>
        <w:jc w:val="both"/>
      </w:pPr>
      <w:r>
        <w:t xml:space="preserve">Un verre, avec ou sans main courante, est considéré comme élément autoportant, s’il est apte, à lui seul, à reprendre outre les charges de vent et les charges dynamiques (chocs), les charges d’exploitation qk,h et Qkh,1 (voir article </w:t>
      </w:r>
      <w:hyperlink w:anchor="1399" w:history="1">
        <w:r w:rsidR="004B2808">
          <w:rPr>
            <w:color w:val="0000EE"/>
          </w:rPr>
          <w:t>57.24.6a Balustres et poteaux en verre</w:t>
        </w:r>
      </w:hyperlink>
      <w:r>
        <w:t>).</w:t>
      </w:r>
    </w:p>
    <w:p w14:paraId="43B1B95D" w14:textId="77777777" w:rsidR="004B2808" w:rsidRDefault="00000000">
      <w:pPr>
        <w:jc w:val="both"/>
      </w:pPr>
      <w:r>
        <w:t xml:space="preserve">Le présent article ne traite que le verre comme élément de remplissage. Les garde-corps en verre en tant qu’élément autoportant sont traités dans l’article </w:t>
      </w:r>
      <w:hyperlink w:anchor="1399" w:history="1">
        <w:r w:rsidR="004B2808">
          <w:rPr>
            <w:color w:val="0000EE"/>
          </w:rPr>
          <w:t>57.24.6a Balustres et poteaux en verre</w:t>
        </w:r>
      </w:hyperlink>
      <w:r>
        <w:t>.</w:t>
      </w:r>
    </w:p>
    <w:p w14:paraId="1420FD47" w14:textId="77777777" w:rsidR="004B2808" w:rsidRDefault="00000000">
      <w:pPr>
        <w:pStyle w:val="pheading"/>
      </w:pPr>
      <w:r>
        <w:t>- Localisation</w:t>
      </w:r>
    </w:p>
    <w:p w14:paraId="50A15420" w14:textId="77777777" w:rsidR="004B2808" w:rsidRDefault="00000000">
      <w:r>
        <w:t xml:space="preserve">La localisation des remplissages en verre est la suivante : </w:t>
      </w:r>
      <w:r>
        <w:rPr>
          <w:rStyle w:val="optioncarChar"/>
        </w:rPr>
        <w:t>***</w:t>
      </w:r>
      <w:r>
        <w:t>.</w:t>
      </w:r>
    </w:p>
    <w:p w14:paraId="58252677" w14:textId="77777777" w:rsidR="004B2808" w:rsidRDefault="00000000">
      <w:r>
        <w:t>Voir plans et métrés détaillés</w:t>
      </w:r>
    </w:p>
    <w:p w14:paraId="24419114" w14:textId="77777777" w:rsidR="004B2808" w:rsidRDefault="00000000">
      <w:pPr>
        <w:pStyle w:val="pheading"/>
      </w:pPr>
      <w:r>
        <w:t>MATÉRIAUX</w:t>
      </w:r>
    </w:p>
    <w:p w14:paraId="02676AAF" w14:textId="77777777" w:rsidR="004B2808" w:rsidRDefault="00000000">
      <w:pPr>
        <w:pStyle w:val="pheading"/>
      </w:pPr>
      <w:r>
        <w:t>- Caractéristiques générales</w:t>
      </w:r>
    </w:p>
    <w:p w14:paraId="54747AD0" w14:textId="77777777" w:rsidR="004B2808" w:rsidRDefault="00000000">
      <w:pPr>
        <w:jc w:val="both"/>
      </w:pPr>
      <w:r>
        <w:t>Seul le verre feuilleté de sécurité (conforme à la [NBN EN ISO 12543-2]) peut être utilisé. Il est en outre de type de casse 1B1 suivant la [NBN EN 12600].</w:t>
      </w:r>
    </w:p>
    <w:p w14:paraId="13986319" w14:textId="77777777" w:rsidR="004B2808" w:rsidRDefault="00000000">
      <w:pPr>
        <w:jc w:val="both"/>
      </w:pPr>
      <w:r>
        <w:t xml:space="preserve">Les composants du verre feuilleté peuvent être </w:t>
      </w:r>
      <w:r>
        <w:rPr>
          <w:rStyle w:val="optioncarChar"/>
        </w:rPr>
        <w:t>recuits</w:t>
      </w:r>
      <w:r>
        <w:t xml:space="preserve"> (par défaut)</w:t>
      </w:r>
      <w:r>
        <w:rPr>
          <w:rStyle w:val="optioncarChar"/>
        </w:rPr>
        <w:t xml:space="preserve"> / durcis / trempés / ***</w:t>
      </w:r>
      <w:r>
        <w:t>. Afin d’éviter une détérioration de l’intercalaire à la suite par exemple d’un contact avec un milieu humide, avec certains mastics ou autres matériaux incompatibles (cales de support, mastic, solvants contenus dans les produits de nettoyage …) avec celui-ci, les règles de mise en œuvre précisées ci-dessous doivent être respectées.</w:t>
      </w:r>
    </w:p>
    <w:p w14:paraId="581E5EEB" w14:textId="77777777" w:rsidR="004B2808" w:rsidRDefault="00000000">
      <w:pPr>
        <w:jc w:val="both"/>
      </w:pPr>
      <w:r>
        <w:t>L’épaisseur du verre est déterminée, en fonction de la catégorie d’utilisation du bâtiment (</w:t>
      </w:r>
      <w:r>
        <w:rPr>
          <w:rStyle w:val="optioncarChar"/>
        </w:rPr>
        <w:t>A (Habitation, résidentiel) / B (Bureaux) / C (Lieux de réunion) / D (Commerces)</w:t>
      </w:r>
      <w:r>
        <w:t xml:space="preserve">), sur la base des exigences de la [NBN B 03-004]. La détermination de la sécurité et de l'aptitude au service des garde-corps, en ce qui concerne les actions dues aux charges statiques, se fait </w:t>
      </w:r>
      <w:r>
        <w:rPr>
          <w:rStyle w:val="optioncarChar"/>
        </w:rPr>
        <w:t>par calculs / par essais</w:t>
      </w:r>
      <w:r>
        <w:t xml:space="preserve"> (lorsque la vérification par calculs s'avère très difficile ou lorsque le calcul ne donne pas un résultat satisfaisant). En ce qui concerne les sollicitations dues aux chocs, la détermination de la sécurité et de l’aptitude au service des garde-corps se fait par essais.</w:t>
      </w:r>
    </w:p>
    <w:p w14:paraId="202C36FD" w14:textId="77777777" w:rsidR="004B2808" w:rsidRDefault="00000000">
      <w:pPr>
        <w:pStyle w:val="pheading"/>
      </w:pPr>
      <w:r>
        <w:t>- Finitions</w:t>
      </w:r>
    </w:p>
    <w:p w14:paraId="5B4644AD" w14:textId="77777777" w:rsidR="004B2808" w:rsidRDefault="00000000">
      <w:r>
        <w:t xml:space="preserve">Les bords apparents du verre doivent être </w:t>
      </w:r>
      <w:r>
        <w:rPr>
          <w:rStyle w:val="optioncarChar"/>
        </w:rPr>
        <w:t>rodés</w:t>
      </w:r>
      <w:r>
        <w:t xml:space="preserve"> (par défaut) </w:t>
      </w:r>
      <w:r>
        <w:rPr>
          <w:rStyle w:val="optioncarChar"/>
        </w:rPr>
        <w:t>/ ***</w:t>
      </w:r>
      <w:r>
        <w:t>.</w:t>
      </w:r>
    </w:p>
    <w:p w14:paraId="31C5869A" w14:textId="77777777" w:rsidR="004B2808" w:rsidRDefault="00000000">
      <w:pPr>
        <w:pStyle w:val="pheading"/>
      </w:pPr>
      <w:r>
        <w:t>- Prescriptions complémentaires</w:t>
      </w:r>
    </w:p>
    <w:p w14:paraId="01C98F0D" w14:textId="77777777" w:rsidR="004B2808" w:rsidRDefault="00000000">
      <w:r>
        <w:rPr>
          <w:rStyle w:val="facultChar"/>
        </w:rPr>
        <w:t>Le verre feuilleté satisfait aux critères d'acceptabilité du produit pour la composition et les performances concernées tels que définis dans l'élément 02.42.1 Critères d'acceptabilité.</w:t>
      </w:r>
    </w:p>
    <w:p w14:paraId="2C8195AE" w14:textId="77777777" w:rsidR="004B2808" w:rsidRDefault="00000000">
      <w:pPr>
        <w:pStyle w:val="pheading"/>
      </w:pPr>
      <w:r>
        <w:t>EXÉCUTION / MISE EN ŒUVRE</w:t>
      </w:r>
    </w:p>
    <w:p w14:paraId="0257F149" w14:textId="77777777" w:rsidR="004B2808" w:rsidRDefault="00000000">
      <w:pPr>
        <w:pStyle w:val="pheading"/>
      </w:pPr>
      <w:r>
        <w:t>- Prescriptions générales</w:t>
      </w:r>
    </w:p>
    <w:p w14:paraId="02D02310" w14:textId="77777777" w:rsidR="004B2808" w:rsidRDefault="00000000">
      <w:pPr>
        <w:jc w:val="both"/>
      </w:pPr>
      <w:r>
        <w:t>L’épaisseur des différents composants verriers est déterminée en fonction des sollicitations, des dimensions du verre et de son mode de fixation conformément à la [NBN B 03-004].</w:t>
      </w:r>
    </w:p>
    <w:p w14:paraId="05DDD05F" w14:textId="77777777" w:rsidR="004B2808" w:rsidRDefault="00000000">
      <w:pPr>
        <w:jc w:val="both"/>
      </w:pPr>
      <w:r>
        <w:t xml:space="preserve">Le remplissage verre est posé conformément aux prescriptions de la [NBN B 03-004]. Celui-ci peut être </w:t>
      </w:r>
      <w:r>
        <w:rPr>
          <w:rStyle w:val="optioncarChar"/>
        </w:rPr>
        <w:t>posé en feuillure (sur 2 / 3 /4 côtés)</w:t>
      </w:r>
      <w:r>
        <w:t xml:space="preserve"> (par défaut) </w:t>
      </w:r>
      <w:r>
        <w:rPr>
          <w:rStyle w:val="optioncarChar"/>
        </w:rPr>
        <w:t>/ fixé de manière ponctuelle sur des éléments porteurs / *** </w:t>
      </w:r>
      <w:r>
        <w:t>:</w:t>
      </w:r>
    </w:p>
    <w:p w14:paraId="298F6F6D" w14:textId="77777777" w:rsidR="004B2808" w:rsidRDefault="00000000">
      <w:pPr>
        <w:pStyle w:val="Author-eListParagraph"/>
        <w:numPr>
          <w:ilvl w:val="0"/>
          <w:numId w:val="1483"/>
        </w:numPr>
      </w:pPr>
      <w:r>
        <w:t>Verre en feuillure</w:t>
      </w:r>
      <w:r>
        <w:br/>
      </w:r>
    </w:p>
    <w:p w14:paraId="7EB26D2B" w14:textId="77777777" w:rsidR="004B2808" w:rsidRDefault="00000000">
      <w:pPr>
        <w:pStyle w:val="Author-eListParagraph"/>
        <w:numPr>
          <w:ilvl w:val="1"/>
          <w:numId w:val="1484"/>
        </w:numPr>
      </w:pPr>
      <w:r>
        <w:t>Sur tous ses côtés : les prescriptions de la [NIT 221] (drainage des feuillures, dimensions des feuillures, garnitures d'étanchéité, …) sont d'application. En cas de dérogation à la [NIT 221], l’aptitude à l’emploi doit être démontrée.</w:t>
      </w:r>
    </w:p>
    <w:p w14:paraId="1E130312" w14:textId="77777777" w:rsidR="004B2808" w:rsidRDefault="00000000">
      <w:pPr>
        <w:pStyle w:val="Author-eListParagraph"/>
        <w:numPr>
          <w:ilvl w:val="1"/>
          <w:numId w:val="1484"/>
        </w:numPr>
      </w:pPr>
      <w:r>
        <w:t>Verre en feuillure sur ses 2 côtés (</w:t>
      </w:r>
      <w:r>
        <w:rPr>
          <w:rStyle w:val="optioncarChar"/>
        </w:rPr>
        <w:t>latéraux / longitudinaux</w:t>
      </w:r>
      <w:r>
        <w:t>) ou sur 3 côtés (</w:t>
      </w:r>
      <w:r>
        <w:rPr>
          <w:rStyle w:val="optioncarChar"/>
        </w:rPr>
        <w:t>2 côtés latéraux et côté longitudinal inférieur / 2 côtés latéraux et côté supérieur.</w:t>
      </w:r>
      <w:r>
        <w:t xml:space="preserve"> Dans ce dernier cas, l’extrémité inférieure des profilés latéraux est obturée de manière à assurer le maintien du verre).</w:t>
      </w:r>
    </w:p>
    <w:p w14:paraId="5A698FBF" w14:textId="77777777" w:rsidR="004B2808" w:rsidRDefault="00000000">
      <w:pPr>
        <w:ind w:left="1134"/>
        <w:jc w:val="both"/>
      </w:pPr>
      <w:r>
        <w:lastRenderedPageBreak/>
        <w:t>Le calage latéral du verre est réalisé à l’aide d’un joint souple continu sur toute la hauteur de la feuillure. Un cordon de mastic élastique d’une section conforme aux [STS 56.1] et compatible avec les cales d’espacement est réalisé de part et d’autre du vitrage.</w:t>
      </w:r>
    </w:p>
    <w:p w14:paraId="1EBC73CC" w14:textId="77777777" w:rsidR="004B2808" w:rsidRDefault="00000000">
      <w:pPr>
        <w:ind w:left="1134"/>
        <w:jc w:val="both"/>
      </w:pPr>
      <w:r>
        <w:t xml:space="preserve">Les prescriptions de la [NIT 221] sont d’application pour les côtés pris en feuillure. Le verre est monté dans </w:t>
      </w:r>
      <w:r>
        <w:rPr>
          <w:rStyle w:val="optioncarChar"/>
        </w:rPr>
        <w:t>des profilés U drainés (trous de drainage espacés de max. 80 cm</w:t>
      </w:r>
      <w:r>
        <w:t xml:space="preserve"> (par défaut)</w:t>
      </w:r>
      <w:r>
        <w:rPr>
          <w:rStyle w:val="optioncarChar"/>
        </w:rPr>
        <w:t xml:space="preserve"> / ***) </w:t>
      </w:r>
      <w:r>
        <w:t>(par défaut)</w:t>
      </w:r>
      <w:r>
        <w:rPr>
          <w:rStyle w:val="optioncarChar"/>
        </w:rPr>
        <w:t xml:space="preserve"> / ***</w:t>
      </w:r>
      <w:r>
        <w:t xml:space="preserve"> et est posé sur deux cales de support.</w:t>
      </w:r>
    </w:p>
    <w:p w14:paraId="3EB311AE" w14:textId="77777777" w:rsidR="004B2808" w:rsidRDefault="00000000">
      <w:pPr>
        <w:ind w:left="1134"/>
        <w:jc w:val="both"/>
      </w:pPr>
      <w:r>
        <w:t>Dans le cas du verre en feuillure sur ses 2 côtés latéraux, l’extrémité inférieure des profilés U est pourvue d’une pièce de maintien afin de garantir la reprise du poids propre du verre et des charges verticales et d’empêcher le glissement du verre hors des supports latéraux. Ces pièces de maintien ne doivent pas entraver le drainage (</w:t>
      </w:r>
      <w:r>
        <w:rPr>
          <w:rStyle w:val="optioncarChar"/>
        </w:rPr>
        <w:t>profilés U </w:t>
      </w:r>
      <w:r>
        <w:t>(par défaut)</w:t>
      </w:r>
      <w:r>
        <w:rPr>
          <w:rStyle w:val="optioncarChar"/>
        </w:rPr>
        <w:t xml:space="preserve"> / utilisation de cales drainées / ***</w:t>
      </w:r>
      <w:r>
        <w:t>).</w:t>
      </w:r>
    </w:p>
    <w:p w14:paraId="76BA1F5E" w14:textId="77777777" w:rsidR="004B2808" w:rsidRDefault="00000000">
      <w:pPr>
        <w:ind w:left="1134"/>
        <w:jc w:val="both"/>
      </w:pPr>
      <w:r>
        <w:t>Dans le cas du verre pris en feuillure sur 3 côtés, il faut prévoir des orifices de drainage aux 2 extrémités du profilé U longitudinal afin d’éviter toute détérioration de l’intercalaire par de l’eau stagnante.</w:t>
      </w:r>
    </w:p>
    <w:p w14:paraId="5D524D36" w14:textId="77777777" w:rsidR="004B2808" w:rsidRDefault="00000000">
      <w:pPr>
        <w:pStyle w:val="Author-eListParagraph"/>
        <w:numPr>
          <w:ilvl w:val="1"/>
          <w:numId w:val="1485"/>
        </w:numPr>
      </w:pPr>
      <w:r>
        <w:t>Dans le cas particulier des garde-corps en verre bombé, les prescriptions ci-dessus restent d’application. Les tolérances de bombage du verre et des profilés métalliques ne doivent cependant pas induire de contraintes complémentaires dans le verre. La feuillure doit donc être prévue en conséquence.</w:t>
      </w:r>
    </w:p>
    <w:p w14:paraId="3968F865" w14:textId="77777777" w:rsidR="004B2808" w:rsidRDefault="004B2808"/>
    <w:p w14:paraId="0B0E0420" w14:textId="77777777" w:rsidR="004B2808" w:rsidRDefault="00000000">
      <w:pPr>
        <w:pStyle w:val="Author-eListParagraph"/>
        <w:numPr>
          <w:ilvl w:val="0"/>
          <w:numId w:val="1486"/>
        </w:numPr>
      </w:pPr>
      <w:r>
        <w:t>Fixations ponctuelles du verre</w:t>
      </w:r>
    </w:p>
    <w:p w14:paraId="33C0F367" w14:textId="77777777" w:rsidR="004B2808" w:rsidRDefault="00000000">
      <w:pPr>
        <w:ind w:left="1134"/>
        <w:jc w:val="both"/>
      </w:pPr>
      <w:r>
        <w:t xml:space="preserve">Le verre est monté sur des éléments porteurs (métalliques, bois, …) liaisonnés au gros œuvre (sans lisse) ou sur une ossature portante comportant une lisse. Ceci peut être réalisé par l’intermédiaire de fixations ponctuelles </w:t>
      </w:r>
      <w:r>
        <w:rPr>
          <w:rStyle w:val="optioncarChar"/>
        </w:rPr>
        <w:t>pincées (avec / sans goupilles de sécurité) / boulonnées au travers de trous prévus à cet effet dans le verre</w:t>
      </w:r>
      <w:r>
        <w:t xml:space="preserve">. Dans ce dernier cas, les fixations traversant le verre sont </w:t>
      </w:r>
      <w:r>
        <w:rPr>
          <w:rStyle w:val="optioncarChar"/>
        </w:rPr>
        <w:t>dépassantes (trou cylindrique dans le verre) / non dépassantes (trou chanfreiné dans le verre)</w:t>
      </w:r>
      <w:r>
        <w:t>. La distance minimale entre un bord libre et un trou est conforme aux prescriptions de la [NBN EN 12150-1:2015+A1].</w:t>
      </w:r>
    </w:p>
    <w:p w14:paraId="0C467D9A" w14:textId="77777777" w:rsidR="004B2808" w:rsidRDefault="00000000">
      <w:pPr>
        <w:ind w:left="1134"/>
        <w:jc w:val="both"/>
      </w:pPr>
      <w:r>
        <w:t>À l’exception de la mise en œuvre du verre par fixations ponctuelles pincées sans goupille de sécurité (ne nécessitant pas de percer le verre), un verre feuilleté trempé ou durci est requis. Conformément à la [NBN B 03-004], une lisse peut être prévue afin de protéger les bords du verre contre les chocs et maintenir le vitrage en place en cas de bris de feuilles de verre composant le vitrage feuilleté.</w:t>
      </w:r>
    </w:p>
    <w:p w14:paraId="074D45DB" w14:textId="77777777" w:rsidR="004B2808" w:rsidRDefault="00000000">
      <w:pPr>
        <w:ind w:left="1134"/>
        <w:jc w:val="both"/>
      </w:pPr>
      <w:r>
        <w:t>Dans le cas de fixations ponctuelles uniquement pincées (sans percement du verre), il y a lieu de prévoir un dispositif afin de garantir la reprise du poids propre du verre et des charges verticales et d’empêcher le glissement du verre.</w:t>
      </w:r>
    </w:p>
    <w:p w14:paraId="3A7D8BEB" w14:textId="77777777" w:rsidR="004B2808" w:rsidRDefault="00000000">
      <w:pPr>
        <w:ind w:left="1134"/>
        <w:jc w:val="both"/>
      </w:pPr>
      <w:r>
        <w:t>4 fixations ponctuelles au minimum sont à prévoir sauf si elles sont combinées avec un autre système de fixation (prise en feuillure sur 2 ou 3 côtés).</w:t>
      </w:r>
    </w:p>
    <w:p w14:paraId="7D6D9A66" w14:textId="77777777" w:rsidR="004B2808" w:rsidRDefault="00000000">
      <w:pPr>
        <w:ind w:left="1134"/>
        <w:jc w:val="both"/>
      </w:pPr>
      <w:r>
        <w:t>Les fixations ponctuelles sont généralement fixées latéralement sur les potelets. Dans certains cas, elles peuvent également être fixées sur la ou les lisses horizontales.</w:t>
      </w:r>
    </w:p>
    <w:p w14:paraId="70C927B3" w14:textId="77777777" w:rsidR="004B2808" w:rsidRDefault="00000000">
      <w:pPr>
        <w:ind w:left="1134"/>
        <w:jc w:val="both"/>
      </w:pPr>
      <w:r>
        <w:t xml:space="preserve">Le contact verre/métal doit en outre être empêché au moyen de matériau d’interposition en </w:t>
      </w:r>
      <w:r>
        <w:rPr>
          <w:rStyle w:val="optioncarChar"/>
        </w:rPr>
        <w:t>EPDM</w:t>
      </w:r>
      <w:r>
        <w:t xml:space="preserve"> (par défaut)  </w:t>
      </w:r>
      <w:r>
        <w:rPr>
          <w:rStyle w:val="optioncarChar"/>
        </w:rPr>
        <w:t>/ néoprène (dureté Shore A de minimum 60) / ***</w:t>
      </w:r>
      <w:r>
        <w:t>.</w:t>
      </w:r>
    </w:p>
    <w:p w14:paraId="7004E68D" w14:textId="77777777" w:rsidR="004B2808" w:rsidRDefault="00000000">
      <w:pPr>
        <w:pStyle w:val="pheading"/>
      </w:pPr>
      <w:r>
        <w:t>- Notes d’exécution complémentaires</w:t>
      </w:r>
    </w:p>
    <w:p w14:paraId="070D980D" w14:textId="77777777" w:rsidR="004B2808" w:rsidRDefault="00000000">
      <w:r>
        <w:rPr>
          <w:rStyle w:val="facultChar"/>
        </w:rPr>
        <w:t>Le garde-corps est fixé à la structure principale (béton, acier, bois) conformément aux prescriptions de la [NBN B 03-004]. Les ancrages sont réalisés à l’aide de fixations prévues pour le matériau de base dans lequel elles sont fixées. Leur résistance doit être validée par un rapport d’essai, d’essais in situ ou d’une note de calcul. Dans le cas particulier d’une dalle en béton, la fixation est assurée à l’aide de</w:t>
      </w:r>
      <w:r>
        <w:t>  </w:t>
      </w:r>
      <w:r>
        <w:rPr>
          <w:rStyle w:val="optioncarChar"/>
        </w:rPr>
        <w:t xml:space="preserve">chevilles métalliques à expansion / chevilles chimiques </w:t>
      </w:r>
      <w:r>
        <w:rPr>
          <w:rStyle w:val="facultChar"/>
        </w:rPr>
        <w:t>placées derrière les armatures de la dalle.</w:t>
      </w:r>
      <w:r>
        <w:br/>
      </w:r>
      <w:r>
        <w:rPr>
          <w:color w:val="3366FF"/>
        </w:rPr>
        <w:t>Les moyens de manutention et de mise en œuvre doivent être adaptés aux dimensions et au poids des vitrages.</w:t>
      </w:r>
      <w:r>
        <w:br/>
      </w:r>
      <w:r>
        <w:rPr>
          <w:rStyle w:val="facultChar"/>
        </w:rPr>
        <w:lastRenderedPageBreak/>
        <w:t>La hauteur de protection du garde-corps (hauteur entre la zone de stationnement et la partie supérieure du garde-corps) doit être conforme à la [NBN B 03-004]. Elle est de</w:t>
      </w:r>
      <w:r>
        <w:rPr>
          <w:rStyle w:val="optioncarChar"/>
        </w:rPr>
        <w:t>110 cm / 120 cm / ***</w:t>
      </w:r>
      <w:r>
        <w:rPr>
          <w:rStyle w:val="facultChar"/>
        </w:rPr>
        <w:t>. Celle-ci est également fonction de l’épaisseur du garde-corps.</w:t>
      </w:r>
      <w:r>
        <w:br/>
      </w:r>
      <w:r>
        <w:rPr>
          <w:color w:val="3366FF"/>
        </w:rPr>
        <w:t xml:space="preserve">Les prescriptions relatives au transport et au stockage définies dans la </w:t>
      </w:r>
      <w:r>
        <w:t>[NIT 214]</w:t>
      </w:r>
      <w:r>
        <w:rPr>
          <w:color w:val="3366FF"/>
        </w:rPr>
        <w:t> sont d’application</w:t>
      </w:r>
      <w:r>
        <w:br/>
      </w:r>
      <w:r>
        <w:rPr>
          <w:rStyle w:val="facultChar"/>
        </w:rPr>
        <w:t>Les cales de support sont en</w:t>
      </w:r>
      <w:r>
        <w:rPr>
          <w:rStyle w:val="optioncarChar"/>
        </w:rPr>
        <w:t xml:space="preserve"> matière synthétique</w:t>
      </w:r>
      <w:r>
        <w:t xml:space="preserve"> (par défaut) </w:t>
      </w:r>
      <w:r>
        <w:rPr>
          <w:rStyle w:val="optioncarChar"/>
        </w:rPr>
        <w:t>/ ***</w:t>
      </w:r>
      <w:r>
        <w:t>.</w:t>
      </w:r>
      <w:r>
        <w:br/>
      </w:r>
      <w:r>
        <w:rPr>
          <w:rStyle w:val="facultChar"/>
        </w:rPr>
        <w:t>La couleur du</w:t>
      </w:r>
      <w:r>
        <w:rPr>
          <w:rStyle w:val="optioncarChar"/>
        </w:rPr>
        <w:t>mastic </w:t>
      </w:r>
      <w:r>
        <w:t>(par défaut) </w:t>
      </w:r>
      <w:r>
        <w:rPr>
          <w:rStyle w:val="optioncarChar"/>
        </w:rPr>
        <w:t>/ du profil d'étanchéité</w:t>
      </w:r>
      <w:r>
        <w:t xml:space="preserve">  </w:t>
      </w:r>
      <w:r>
        <w:rPr>
          <w:rStyle w:val="facultChar"/>
        </w:rPr>
        <w:t>est</w:t>
      </w:r>
      <w:r>
        <w:t> </w:t>
      </w:r>
      <w:r>
        <w:rPr>
          <w:rStyle w:val="optioncarChar"/>
        </w:rPr>
        <w:t>***</w:t>
      </w:r>
      <w:r>
        <w:t>.</w:t>
      </w:r>
    </w:p>
    <w:p w14:paraId="2F8EE2B2" w14:textId="77777777" w:rsidR="004B2808" w:rsidRDefault="00000000">
      <w:pPr>
        <w:pStyle w:val="pheading"/>
      </w:pPr>
      <w:r>
        <w:t>DOCUMENTS DE RÉFÉRENCE COMPLÉMENTAIRES</w:t>
      </w:r>
    </w:p>
    <w:p w14:paraId="179B9471" w14:textId="77777777" w:rsidR="004B2808" w:rsidRDefault="00000000">
      <w:pPr>
        <w:pStyle w:val="pheading"/>
      </w:pPr>
      <w:r>
        <w:t>- Matériau</w:t>
      </w:r>
    </w:p>
    <w:p w14:paraId="469A7B5B" w14:textId="77777777" w:rsidR="004B2808" w:rsidRDefault="00000000">
      <w:r>
        <w:t>[NBN S 23-002, Vitrerie]</w:t>
      </w:r>
    </w:p>
    <w:p w14:paraId="2F7B36C3" w14:textId="77777777" w:rsidR="004B2808" w:rsidRDefault="00000000">
      <w:r>
        <w:t>[NBN B 03-004, Garde-corps de bâtiments]</w:t>
      </w:r>
    </w:p>
    <w:p w14:paraId="24F0B57A" w14:textId="77777777" w:rsidR="004B2808" w:rsidRDefault="00000000">
      <w:r>
        <w:t>[NBN EN 12600, Verre dans la construction - Essai au pendule - Méthode d'essai d'impact et classification du verre plat]</w:t>
      </w:r>
    </w:p>
    <w:p w14:paraId="416ECC9B" w14:textId="77777777" w:rsidR="004B2808" w:rsidRDefault="00000000">
      <w:pPr>
        <w:pStyle w:val="pheading"/>
      </w:pPr>
      <w:r>
        <w:t>- Exécution</w:t>
      </w:r>
    </w:p>
    <w:p w14:paraId="52AC347E" w14:textId="77777777" w:rsidR="004B2808" w:rsidRDefault="00000000">
      <w:r>
        <w:t>[NBN B 03-004, Garde-corps de bâtiments]</w:t>
      </w:r>
    </w:p>
    <w:p w14:paraId="3366ABFA" w14:textId="77777777" w:rsidR="004B2808" w:rsidRDefault="00000000">
      <w:r>
        <w:t>[NBN S 23-002-3, Vitrerie - Partie 3 : Calcul des épaisseurs de verre en façade]</w:t>
      </w:r>
    </w:p>
    <w:p w14:paraId="04E0665F" w14:textId="77777777" w:rsidR="004B2808" w:rsidRDefault="00000000">
      <w:r>
        <w:t>[STS 56.1, Mastics d’étanchéité des façades]</w:t>
      </w:r>
    </w:p>
    <w:p w14:paraId="2FC4081B" w14:textId="77777777" w:rsidR="004B2808" w:rsidRDefault="00000000">
      <w:r>
        <w:t>[NIT 214, Le verre et les produits verriers - Les fonctions des vitrages.]</w:t>
      </w:r>
    </w:p>
    <w:p w14:paraId="0E77B320" w14:textId="77777777" w:rsidR="004B2808" w:rsidRDefault="00000000">
      <w:r>
        <w:t>[NBN EN 12488, Verre dans la construction - Recommandations pour la mise en oeuvre - Principes de pose pour vitrage vertical et incliné]</w:t>
      </w:r>
    </w:p>
    <w:p w14:paraId="211F98C3" w14:textId="77777777" w:rsidR="004B2808" w:rsidRDefault="00000000">
      <w:pPr>
        <w:pStyle w:val="pheading"/>
      </w:pPr>
      <w:r>
        <w:t>MESURAGE</w:t>
      </w:r>
    </w:p>
    <w:p w14:paraId="543424EA" w14:textId="77777777" w:rsidR="004B2808" w:rsidRDefault="00000000">
      <w:pPr>
        <w:pStyle w:val="pheading"/>
      </w:pPr>
      <w:r>
        <w:t>- unité de mesure:</w:t>
      </w:r>
    </w:p>
    <w:p w14:paraId="6F79080F" w14:textId="77777777" w:rsidR="004B2808" w:rsidRDefault="00000000">
      <w:r>
        <w:rPr>
          <w:rStyle w:val="optioncarChar"/>
        </w:rPr>
        <w:t>-</w:t>
      </w:r>
      <w:r>
        <w:t xml:space="preserve"> (par défaut)</w:t>
      </w:r>
      <w:r>
        <w:rPr>
          <w:rStyle w:val="optioncarChar"/>
        </w:rPr>
        <w:t xml:space="preserve"> / m²</w:t>
      </w:r>
    </w:p>
    <w:p w14:paraId="11372C9A" w14:textId="77777777" w:rsidR="004B2808" w:rsidRDefault="00000000">
      <w:r>
        <w:rPr>
          <w:b/>
          <w:i/>
        </w:rPr>
        <w:t>(Soit par défaut)</w:t>
      </w:r>
      <w:r>
        <w:br/>
      </w:r>
      <w:r>
        <w:br/>
      </w:r>
      <w:r>
        <w:rPr>
          <w:rStyle w:val="soitChar"/>
        </w:rPr>
        <w:t>1. -</w:t>
      </w:r>
    </w:p>
    <w:p w14:paraId="0CB6BAE2" w14:textId="77777777" w:rsidR="004B2808" w:rsidRDefault="00000000">
      <w:r>
        <w:rPr>
          <w:b/>
          <w:i/>
        </w:rPr>
        <w:t xml:space="preserve">(Soit) </w:t>
      </w:r>
    </w:p>
    <w:p w14:paraId="592C26A6" w14:textId="77777777" w:rsidR="004B2808" w:rsidRDefault="00000000">
      <w:r>
        <w:rPr>
          <w:rStyle w:val="soitChar"/>
        </w:rPr>
        <w:t>2. m²</w:t>
      </w:r>
    </w:p>
    <w:p w14:paraId="0DD39123" w14:textId="77777777" w:rsidR="004B2808" w:rsidRDefault="00000000">
      <w:pPr>
        <w:pStyle w:val="pheading"/>
      </w:pPr>
      <w:r>
        <w:t>- code de mesurage:</w:t>
      </w:r>
    </w:p>
    <w:p w14:paraId="0873B599" w14:textId="77777777" w:rsidR="004B2808" w:rsidRDefault="00000000">
      <w:r>
        <w:rPr>
          <w:rStyle w:val="optioncarChar"/>
        </w:rPr>
        <w:t>compris dans le prix du garde-corps </w:t>
      </w:r>
      <w:r>
        <w:t xml:space="preserve"> (par défaut) </w:t>
      </w:r>
      <w:r>
        <w:rPr>
          <w:rStyle w:val="optioncarChar"/>
        </w:rPr>
        <w:t>/ surface nette à mettre en œuvre</w:t>
      </w:r>
    </w:p>
    <w:p w14:paraId="5A0A65CE" w14:textId="77777777" w:rsidR="004B2808" w:rsidRDefault="00000000">
      <w:pPr>
        <w:jc w:val="both"/>
      </w:pPr>
      <w:r>
        <w:rPr>
          <w:b/>
          <w:i/>
        </w:rPr>
        <w:t>(Soit par défaut)</w:t>
      </w:r>
    </w:p>
    <w:p w14:paraId="5BF064A7" w14:textId="77777777" w:rsidR="004B2808" w:rsidRDefault="004B2808">
      <w:pPr>
        <w:jc w:val="both"/>
      </w:pPr>
    </w:p>
    <w:p w14:paraId="30524C30" w14:textId="77777777" w:rsidR="004B2808" w:rsidRDefault="00000000">
      <w:pPr>
        <w:jc w:val="both"/>
      </w:pPr>
      <w:r>
        <w:rPr>
          <w:rStyle w:val="soitChar"/>
          <w:u w:val="single"/>
        </w:rPr>
        <w:t xml:space="preserve"> 1. Compris dans le prix du garde-corps</w:t>
      </w:r>
      <w:r>
        <w:t xml:space="preserve">   </w:t>
      </w:r>
      <w:r>
        <w:rPr>
          <w:rStyle w:val="soitChar"/>
        </w:rPr>
        <w:t xml:space="preserve">dans l'article </w:t>
      </w:r>
      <w:r>
        <w:rPr>
          <w:rStyle w:val="optioncarChar"/>
        </w:rPr>
        <w:t xml:space="preserve">*** </w:t>
      </w:r>
      <w:r>
        <w:rPr>
          <w:rStyle w:val="soitChar"/>
        </w:rPr>
        <w:t xml:space="preserve">; sauf indication particulière dans le cahier spécial des charges et/ou le métré récapitulatif, le prix du verre est compris dans le </w:t>
      </w:r>
      <w:r>
        <w:rPr>
          <w:rStyle w:val="soitChar"/>
          <w:b/>
        </w:rPr>
        <w:t>prix unitaire global du garde-corps</w:t>
      </w:r>
      <w:r>
        <w:rPr>
          <w:rStyle w:val="soitChar"/>
        </w:rPr>
        <w:t>, conformément aux spécifications pour les vitrages dans les postes concernés.</w:t>
      </w:r>
    </w:p>
    <w:p w14:paraId="60418808" w14:textId="77777777" w:rsidR="004B2808" w:rsidRDefault="00000000">
      <w:pPr>
        <w:jc w:val="both"/>
      </w:pPr>
      <w:r>
        <w:rPr>
          <w:b/>
          <w:i/>
        </w:rPr>
        <w:t>(Soit)</w:t>
      </w:r>
    </w:p>
    <w:p w14:paraId="4D0C7665" w14:textId="77777777" w:rsidR="004B2808" w:rsidRDefault="004B2808">
      <w:pPr>
        <w:jc w:val="both"/>
      </w:pPr>
    </w:p>
    <w:p w14:paraId="7226D236" w14:textId="77777777" w:rsidR="004B2808" w:rsidRDefault="00000000">
      <w:pPr>
        <w:jc w:val="both"/>
      </w:pPr>
      <w:r>
        <w:rPr>
          <w:rStyle w:val="soitChar"/>
          <w:u w:val="single"/>
        </w:rPr>
        <w:t>2. Surface nette à mettre en œuvre ;</w:t>
      </w:r>
      <w:r>
        <w:t>   </w:t>
      </w:r>
      <w:r>
        <w:rPr>
          <w:rStyle w:val="soitChar"/>
        </w:rPr>
        <w:t xml:space="preserve">exceptionnellement et uniquement moyennant mention explicite dans le cahier spécial des charges et le métré récapitulatif, certains vitrages spéciaux peuvent être repris dans un </w:t>
      </w:r>
      <w:r>
        <w:rPr>
          <w:rStyle w:val="soitChar"/>
          <w:b/>
        </w:rPr>
        <w:t>poste séparé</w:t>
      </w:r>
      <w:r>
        <w:rPr>
          <w:rStyle w:val="soitChar"/>
        </w:rPr>
        <w:t>, ventilé en fonction du type de vitrage. Surfaces nettes vitrées (surface réellement placée). Les surfaces inférieures à 0,25 m sont comptées pour 0,25 m. Les vitres non rectangulaires sont mesurées selon la superficie du plus petit rectangle circonscrit.</w:t>
      </w:r>
    </w:p>
    <w:p w14:paraId="565B536F" w14:textId="77777777" w:rsidR="004B2808" w:rsidRDefault="00000000">
      <w:pPr>
        <w:pStyle w:val="pheading"/>
      </w:pPr>
      <w:r>
        <w:t>- nature du marché:</w:t>
      </w:r>
    </w:p>
    <w:p w14:paraId="089C9FDF" w14:textId="77777777" w:rsidR="004B2808" w:rsidRDefault="00000000">
      <w:r>
        <w:rPr>
          <w:rStyle w:val="optioncarChar"/>
        </w:rPr>
        <w:lastRenderedPageBreak/>
        <w:t>PM</w:t>
      </w:r>
      <w:r>
        <w:t xml:space="preserve"> (par défaut) </w:t>
      </w:r>
      <w:r>
        <w:rPr>
          <w:rStyle w:val="optioncarChar"/>
        </w:rPr>
        <w:t>/ QF</w:t>
      </w:r>
    </w:p>
    <w:p w14:paraId="7BADD99E" w14:textId="77777777" w:rsidR="004B2808" w:rsidRDefault="00000000">
      <w:r>
        <w:rPr>
          <w:b/>
          <w:i/>
        </w:rPr>
        <w:t>(Soit par défaut)</w:t>
      </w:r>
    </w:p>
    <w:p w14:paraId="578277A9" w14:textId="77777777" w:rsidR="004B2808" w:rsidRDefault="00000000">
      <w:r>
        <w:rPr>
          <w:rStyle w:val="soitChar"/>
        </w:rPr>
        <w:t>1. PM</w:t>
      </w:r>
    </w:p>
    <w:p w14:paraId="43357293" w14:textId="77777777" w:rsidR="004B2808" w:rsidRDefault="00000000">
      <w:r>
        <w:rPr>
          <w:b/>
          <w:i/>
        </w:rPr>
        <w:t>(Soit)</w:t>
      </w:r>
    </w:p>
    <w:p w14:paraId="7479459E" w14:textId="77777777" w:rsidR="004B2808" w:rsidRDefault="00000000">
      <w:r>
        <w:rPr>
          <w:rStyle w:val="soitChar"/>
        </w:rPr>
        <w:t>2. QF</w:t>
      </w:r>
    </w:p>
    <w:p w14:paraId="6B70C4E4" w14:textId="77777777" w:rsidR="004B2808" w:rsidRDefault="00000000">
      <w:pPr>
        <w:pStyle w:val="Author-eSectionHeading4Numberless"/>
      </w:pPr>
      <w:bookmarkStart w:id="1640" w:name="_Toc220491729"/>
      <w:r>
        <w:t>57.26 Main-courantes / Lisses CCTB 01.13</w:t>
      </w:r>
      <w:bookmarkEnd w:id="1640"/>
    </w:p>
    <w:p w14:paraId="603E60D4" w14:textId="77777777" w:rsidR="004B2808" w:rsidRDefault="00000000">
      <w:pPr>
        <w:pStyle w:val="pheading"/>
      </w:pPr>
      <w:bookmarkStart w:id="1641" w:name="1379"/>
      <w:bookmarkEnd w:id="1641"/>
      <w:r>
        <w:t>DESCRIPTION</w:t>
      </w:r>
    </w:p>
    <w:p w14:paraId="5415848C" w14:textId="77777777" w:rsidR="004B2808" w:rsidRDefault="00000000">
      <w:pPr>
        <w:pStyle w:val="pheading"/>
      </w:pPr>
      <w:r>
        <w:t>- Définition / Comprend</w:t>
      </w:r>
    </w:p>
    <w:p w14:paraId="588ADF67" w14:textId="77777777" w:rsidR="004B2808" w:rsidRDefault="00000000">
      <w:r>
        <w:t>La main-courante est une partie du garde-corps, destinée à être prise en main et qui offre un soutien lorsque l'on monte ou descend l'escalier. La main-courante est reliée au limon ou aux marches au moyen de montants ou de panneaux ou est directement fixée au mur. Les travaux comprennent :</w:t>
      </w:r>
    </w:p>
    <w:p w14:paraId="62A94583" w14:textId="77777777" w:rsidR="004B2808" w:rsidRDefault="00000000">
      <w:pPr>
        <w:pStyle w:val="Author-eListParagraph"/>
        <w:numPr>
          <w:ilvl w:val="0"/>
          <w:numId w:val="1487"/>
        </w:numPr>
      </w:pPr>
      <w:r>
        <w:t>Le relevé des mesures sur place.</w:t>
      </w:r>
    </w:p>
    <w:p w14:paraId="12DC9D4A" w14:textId="77777777" w:rsidR="004B2808" w:rsidRDefault="00000000">
      <w:pPr>
        <w:pStyle w:val="Author-eListParagraph"/>
        <w:numPr>
          <w:ilvl w:val="0"/>
          <w:numId w:val="1487"/>
        </w:numPr>
      </w:pPr>
      <w:r>
        <w:t>La fabrication sur mesure, le transport et la mise en œuvre des mains-courantes.</w:t>
      </w:r>
    </w:p>
    <w:p w14:paraId="348AEC89" w14:textId="77777777" w:rsidR="004B2808" w:rsidRDefault="00000000">
      <w:pPr>
        <w:pStyle w:val="Author-eListParagraph"/>
        <w:numPr>
          <w:ilvl w:val="0"/>
          <w:numId w:val="1487"/>
        </w:numPr>
      </w:pPr>
      <w:r>
        <w:t>Tous les matériaux (vis, clous, ...) nécessaires à l'assemblage des éléments et à leur fixation.</w:t>
      </w:r>
    </w:p>
    <w:p w14:paraId="50A116A4" w14:textId="77777777" w:rsidR="004B2808" w:rsidRDefault="00000000">
      <w:pPr>
        <w:pStyle w:val="Author-eListParagraph"/>
        <w:numPr>
          <w:ilvl w:val="0"/>
          <w:numId w:val="1487"/>
        </w:numPr>
      </w:pPr>
      <w:r>
        <w:t>La réalisation des assemblages.</w:t>
      </w:r>
    </w:p>
    <w:p w14:paraId="4EEE675F" w14:textId="77777777" w:rsidR="004B2808" w:rsidRDefault="00000000">
      <w:pPr>
        <w:pStyle w:val="Author-eListParagraph"/>
        <w:numPr>
          <w:ilvl w:val="0"/>
          <w:numId w:val="1487"/>
        </w:numPr>
      </w:pPr>
      <w:r>
        <w:t xml:space="preserve">Les moyens de fixation nécessaires et les extrémités pour le raccordement au droit des éléments de construction attenants. </w:t>
      </w:r>
    </w:p>
    <w:p w14:paraId="2B008087" w14:textId="77777777" w:rsidR="004B2808" w:rsidRDefault="00000000">
      <w:pPr>
        <w:pStyle w:val="Author-eListParagraph"/>
        <w:numPr>
          <w:ilvl w:val="0"/>
          <w:numId w:val="1487"/>
        </w:numPr>
      </w:pPr>
      <w:r>
        <w:t>Les mesures nécessaires pour protéger les mains-courantes après leur mise en œuvre .</w:t>
      </w:r>
    </w:p>
    <w:p w14:paraId="4D4F8CCA" w14:textId="77777777" w:rsidR="004B2808" w:rsidRDefault="00000000">
      <w:pPr>
        <w:pStyle w:val="pheading"/>
      </w:pPr>
      <w:r>
        <w:t>MATÉRIAUX</w:t>
      </w:r>
    </w:p>
    <w:p w14:paraId="7FD901BD" w14:textId="77777777" w:rsidR="004B2808" w:rsidRDefault="00000000">
      <w:r>
        <w:t>Les rampes ou les mains-courantes et leurs fixations doivent résister aux sollicitations indiquées dans la [NBN B 03-004]. La main-courante est profilée de manière telle à bien pouvoir se prendre dans la main. Sa finition est lisse et sans angles.</w:t>
      </w:r>
    </w:p>
    <w:p w14:paraId="4324A021" w14:textId="77777777" w:rsidR="004B2808" w:rsidRDefault="00000000">
      <w:r>
        <w:rPr>
          <w:u w:val="single"/>
        </w:rPr>
        <w:t>Note à l'attention de l'auteur de projet</w:t>
      </w:r>
    </w:p>
    <w:p w14:paraId="6F1FDE30" w14:textId="77777777" w:rsidR="004B2808" w:rsidRDefault="00000000">
      <w:r>
        <w:t>- Norme [NBN NEN 3509]: la largeur de la main-courante ne peut dépasser 60 mm.</w:t>
      </w:r>
    </w:p>
    <w:p w14:paraId="349BCD3A" w14:textId="77777777" w:rsidR="004B2808" w:rsidRDefault="00000000">
      <w:r>
        <w:t>- Le rayon de courbure de la surface n'est pas inférieur à 7 mm.</w:t>
      </w:r>
    </w:p>
    <w:p w14:paraId="581CF23A" w14:textId="77777777" w:rsidR="004B2808" w:rsidRDefault="00000000">
      <w:pPr>
        <w:pStyle w:val="pheading"/>
      </w:pPr>
      <w:r>
        <w:t>EXÉCUTION / MISE EN ŒUVRE</w:t>
      </w:r>
    </w:p>
    <w:p w14:paraId="698571D6" w14:textId="77777777" w:rsidR="004B2808" w:rsidRDefault="00000000">
      <w:r>
        <w:t>Les mains-courantes sont fixées conformément aux dessins de détail de l'auteur de projet.</w:t>
      </w:r>
    </w:p>
    <w:p w14:paraId="3F6D059E" w14:textId="77777777" w:rsidR="004B2808" w:rsidRDefault="00000000">
      <w:r>
        <w:t xml:space="preserve">Choix opéré : </w:t>
      </w:r>
      <w:r>
        <w:rPr>
          <w:rStyle w:val="optioncarChar"/>
        </w:rPr>
        <w:t>OPTION 1 ( le long du mur)</w:t>
      </w:r>
      <w:r>
        <w:t> (par défaut)</w:t>
      </w:r>
      <w:r>
        <w:rPr>
          <w:rStyle w:val="optioncarChar"/>
        </w:rPr>
        <w:t xml:space="preserve"> / OPTION 2 (***)</w:t>
      </w:r>
    </w:p>
    <w:p w14:paraId="547D674C" w14:textId="77777777" w:rsidR="004B2808" w:rsidRDefault="00000000">
      <w:r>
        <w:rPr>
          <w:b/>
        </w:rPr>
        <w:t>***OPTION 1:</w:t>
      </w:r>
      <w:r>
        <w:t xml:space="preserve"> Main-courante le long du mur : elle est fixée directement sur le mur à l'aide de goujons vissés dans la partie inférieure de la main-courante et scellés sur une profondeur de </w:t>
      </w:r>
      <w:r>
        <w:rPr>
          <w:rStyle w:val="optioncarChar"/>
        </w:rPr>
        <w:t xml:space="preserve">10 </w:t>
      </w:r>
      <w:r>
        <w:t>(par défaut) </w:t>
      </w:r>
      <w:r>
        <w:rPr>
          <w:rStyle w:val="optioncarChar"/>
        </w:rPr>
        <w:t>/ ***</w:t>
      </w:r>
      <w:r>
        <w:t xml:space="preserve"> cm dans le mur à l'aide de pattes en acier dont l'extrémité escarpée est fixée à une profondeur de </w:t>
      </w:r>
      <w:r>
        <w:rPr>
          <w:rStyle w:val="optioncarChar"/>
        </w:rPr>
        <w:t>10 </w:t>
      </w:r>
      <w:r>
        <w:t>(par défaut)</w:t>
      </w:r>
      <w:r>
        <w:rPr>
          <w:rStyle w:val="optioncarChar"/>
        </w:rPr>
        <w:t xml:space="preserve"> / ***</w:t>
      </w:r>
      <w:r>
        <w:t xml:space="preserve"> cm dans le mur avec un mortier de ciment riche. Les pattes sont fixées à la main-courante à l'aide de </w:t>
      </w:r>
      <w:r>
        <w:rPr>
          <w:rStyle w:val="optioncarChar"/>
        </w:rPr>
        <w:t xml:space="preserve">vis </w:t>
      </w:r>
      <w:r>
        <w:t>(par défaut) </w:t>
      </w:r>
      <w:r>
        <w:rPr>
          <w:rStyle w:val="optioncarChar"/>
        </w:rPr>
        <w:t>/ accessoires métalliques vissés sur une plaque murale / ***</w:t>
      </w:r>
    </w:p>
    <w:p w14:paraId="69F0B3D6" w14:textId="77777777" w:rsidR="004B2808" w:rsidRDefault="00000000">
      <w:r>
        <w:rPr>
          <w:b/>
        </w:rPr>
        <w:t>***OPTION 2:</w:t>
      </w:r>
      <w:r>
        <w:rPr>
          <w:rStyle w:val="optioncarChar"/>
        </w:rPr>
        <w:t>***</w:t>
      </w:r>
    </w:p>
    <w:p w14:paraId="523001CA" w14:textId="77777777" w:rsidR="004B2808" w:rsidRDefault="00000000">
      <w:r>
        <w:t>Avant la fixation définitive, les mains-courantes sont alignées, mises à la bonne hauteur et d'aplomb.</w:t>
      </w:r>
    </w:p>
    <w:p w14:paraId="16C1958D" w14:textId="77777777" w:rsidR="004B2808" w:rsidRDefault="00000000">
      <w:r>
        <w:t xml:space="preserve">Les mains-courantes sont fixées </w:t>
      </w:r>
      <w:r>
        <w:rPr>
          <w:rStyle w:val="optioncarChar"/>
        </w:rPr>
        <w:t>aux poteaux (par défaut) / balustrades /éléments de remplissage / montants verticaux / ***</w:t>
      </w:r>
    </w:p>
    <w:p w14:paraId="1B92FCAB" w14:textId="77777777" w:rsidR="004B2808" w:rsidRDefault="00000000">
      <w:pPr>
        <w:pStyle w:val="pheading"/>
      </w:pPr>
      <w:r>
        <w:t>AIDE</w:t>
      </w:r>
    </w:p>
    <w:p w14:paraId="70F3F9AB" w14:textId="77777777" w:rsidR="004B2808" w:rsidRDefault="00000000">
      <w:r>
        <w:t>NOTE A L’AUTEUR DE PROJET </w:t>
      </w:r>
    </w:p>
    <w:p w14:paraId="5ABE153F" w14:textId="77777777" w:rsidR="004B2808" w:rsidRDefault="00000000">
      <w:r>
        <w:rPr>
          <w:b/>
        </w:rPr>
        <w:t>Accessibilité aux personnes à mobilité réduite (PMR)</w:t>
      </w:r>
      <w:r>
        <w:t>     </w:t>
      </w:r>
    </w:p>
    <w:p w14:paraId="4942031A" w14:textId="77777777" w:rsidR="004B2808" w:rsidRDefault="00000000">
      <w:r>
        <w:rPr>
          <w:i/>
          <w:u w:val="single"/>
        </w:rPr>
        <w:t>Main-courantes :</w:t>
      </w:r>
    </w:p>
    <w:p w14:paraId="047DE7E5" w14:textId="77777777" w:rsidR="004B2808" w:rsidRDefault="00000000">
      <w:r>
        <w:t>Type : double (2 lisses)   [SWL CALA], [NBN ISO 21542] et [BS 8300]</w:t>
      </w:r>
    </w:p>
    <w:p w14:paraId="6D3601CC" w14:textId="77777777" w:rsidR="004B2808" w:rsidRDefault="00000000">
      <w:r>
        <w:t>Position : de chaque côté de l’escalier    [SWL CALA]</w:t>
      </w:r>
    </w:p>
    <w:p w14:paraId="4BEFE57F" w14:textId="77777777" w:rsidR="004B2808" w:rsidRDefault="00000000">
      <w:r>
        <w:lastRenderedPageBreak/>
        <w:t>Géométrie : solides et continues sur les paliers  [SWL CALA]</w:t>
      </w:r>
    </w:p>
    <w:p w14:paraId="4D4412AD" w14:textId="77777777" w:rsidR="004B2808" w:rsidRDefault="00000000">
      <w:r>
        <w:t>Prolongement :  [SWL CALA]</w:t>
      </w:r>
    </w:p>
    <w:p w14:paraId="478D5302" w14:textId="77777777" w:rsidR="004B2808" w:rsidRDefault="00000000">
      <w:pPr>
        <w:pStyle w:val="Author-eListParagraph"/>
        <w:numPr>
          <w:ilvl w:val="0"/>
          <w:numId w:val="1488"/>
        </w:numPr>
      </w:pPr>
      <w:r>
        <w:t>Côté mur : prolongement de 40 cm à l’origine et à l’extrémité de l’escalier</w:t>
      </w:r>
    </w:p>
    <w:p w14:paraId="13B65D9A" w14:textId="77777777" w:rsidR="004B2808" w:rsidRDefault="00000000">
      <w:pPr>
        <w:pStyle w:val="Author-eListParagraph"/>
        <w:numPr>
          <w:ilvl w:val="0"/>
          <w:numId w:val="1488"/>
        </w:numPr>
      </w:pPr>
      <w:r>
        <w:t>Côté vide : prolongement jusqu’au sol et de 40 cm, à l’origine et à l’extrémité de l’escalier pour autant que ce prolongement ne représente aucun obstacle ni danger    </w:t>
      </w:r>
    </w:p>
    <w:p w14:paraId="5631A9AC" w14:textId="77777777" w:rsidR="004B2808" w:rsidRDefault="00000000">
      <w:r>
        <w:t> </w:t>
      </w:r>
    </w:p>
    <w:p w14:paraId="4A470553" w14:textId="77777777" w:rsidR="004B2808" w:rsidRDefault="00000000">
      <w:r>
        <w:t>Hauteur : [SWL CALA] et [NBN ISO 21542]</w:t>
      </w:r>
    </w:p>
    <w:p w14:paraId="21A412D4" w14:textId="77777777" w:rsidR="004B2808" w:rsidRDefault="00000000">
      <w:pPr>
        <w:pStyle w:val="Author-eListParagraph"/>
        <w:numPr>
          <w:ilvl w:val="0"/>
          <w:numId w:val="1489"/>
        </w:numPr>
      </w:pPr>
      <w:r>
        <w:t>Main-courante principale : entre 85 et 100 cm par rapport au nez de marche</w:t>
      </w:r>
    </w:p>
    <w:p w14:paraId="2E73020B" w14:textId="77777777" w:rsidR="004B2808" w:rsidRDefault="00000000">
      <w:pPr>
        <w:pStyle w:val="Author-eListParagraph"/>
        <w:numPr>
          <w:ilvl w:val="0"/>
          <w:numId w:val="1489"/>
        </w:numPr>
      </w:pPr>
      <w:r>
        <w:t>Main-courante secondaire : entre 60 et 75 cm par rapport au nez de marche</w:t>
      </w:r>
    </w:p>
    <w:p w14:paraId="0D222E3A" w14:textId="77777777" w:rsidR="004B2808" w:rsidRDefault="00000000">
      <w:r>
        <w:t> </w:t>
      </w:r>
    </w:p>
    <w:p w14:paraId="73540C75" w14:textId="77777777" w:rsidR="004B2808" w:rsidRDefault="00000000">
      <w:r>
        <w:t>Distance du mur : 4 cm minimum   [SWL CALA]</w:t>
      </w:r>
    </w:p>
    <w:p w14:paraId="7A6ED6D7" w14:textId="77777777" w:rsidR="004B2808" w:rsidRDefault="00000000">
      <w:r>
        <w:t>Diamètre : entre 4 et 5 cm   [SWL CALA]</w:t>
      </w:r>
    </w:p>
    <w:p w14:paraId="0934FD81" w14:textId="77777777" w:rsidR="004B2808" w:rsidRDefault="00000000">
      <w:r>
        <w:t>Contraste: différence de coefficient de réflexion (LRV) entre la main courante et son support de minimum 30%   [NBN ISO 21542] et [BS 8300]</w:t>
      </w:r>
    </w:p>
    <w:p w14:paraId="50EDFA08" w14:textId="77777777" w:rsidR="004B2808" w:rsidRDefault="00000000">
      <w:pPr>
        <w:pStyle w:val="Author-eSectionHeading5Numberless"/>
      </w:pPr>
      <w:bookmarkStart w:id="1642" w:name="_Toc220491730"/>
      <w:r>
        <w:t>57.26.1 Main-courantes / Lisses en pierre CCTB 01.02</w:t>
      </w:r>
      <w:bookmarkEnd w:id="1642"/>
    </w:p>
    <w:p w14:paraId="549DD946" w14:textId="77777777" w:rsidR="004B2808" w:rsidRDefault="00000000">
      <w:pPr>
        <w:pStyle w:val="Author-eSectionHeading6Numberless"/>
      </w:pPr>
      <w:bookmarkStart w:id="1643" w:name="_Toc220491731"/>
      <w:r>
        <w:t>57.26.1a Main-courantes / Lisses en pierre CCTB 01.10</w:t>
      </w:r>
      <w:bookmarkEnd w:id="1643"/>
    </w:p>
    <w:p w14:paraId="46A54080" w14:textId="77777777" w:rsidR="004B2808" w:rsidRDefault="00000000">
      <w:pPr>
        <w:pStyle w:val="pheading"/>
      </w:pPr>
      <w:r>
        <w:t>DESCRIPTION</w:t>
      </w:r>
    </w:p>
    <w:p w14:paraId="4CA841D2" w14:textId="77777777" w:rsidR="004B2808" w:rsidRDefault="00000000">
      <w:pPr>
        <w:pStyle w:val="pheading"/>
      </w:pPr>
      <w:r>
        <w:t>- Localisation</w:t>
      </w:r>
    </w:p>
    <w:p w14:paraId="6DF1EE87" w14:textId="77777777" w:rsidR="004B2808" w:rsidRDefault="00000000">
      <w:r>
        <w:t>Les mains-courantes le long du mur.</w:t>
      </w:r>
    </w:p>
    <w:p w14:paraId="755897B1" w14:textId="77777777" w:rsidR="004B2808" w:rsidRDefault="00000000">
      <w:r>
        <w:t xml:space="preserve">Les mains-courantes sont placées : </w:t>
      </w:r>
      <w:r>
        <w:rPr>
          <w:rStyle w:val="optioncarChar"/>
        </w:rPr>
        <w:t>de chaque côté (PMR)</w:t>
      </w:r>
      <w:r>
        <w:t> (par défaut)</w:t>
      </w:r>
      <w:r>
        <w:rPr>
          <w:rStyle w:val="optioncarChar"/>
        </w:rPr>
        <w:t> / ***</w:t>
      </w:r>
      <w:r>
        <w:t> de l’escalier.</w:t>
      </w:r>
    </w:p>
    <w:p w14:paraId="62C05BCF" w14:textId="77777777" w:rsidR="004B2808" w:rsidRDefault="00000000">
      <w:pPr>
        <w:pStyle w:val="pheading"/>
      </w:pPr>
      <w:r>
        <w:t>MATÉRIAUX</w:t>
      </w:r>
    </w:p>
    <w:p w14:paraId="088EED71" w14:textId="77777777" w:rsidR="004B2808" w:rsidRDefault="00000000">
      <w:pPr>
        <w:pStyle w:val="pheading"/>
      </w:pPr>
      <w:r>
        <w:t>- Caractéristiques générales</w:t>
      </w:r>
    </w:p>
    <w:p w14:paraId="6E37C856" w14:textId="77777777" w:rsidR="004B2808" w:rsidRDefault="00000000">
      <w:r>
        <w:rPr>
          <w:b/>
          <w:u w:val="single"/>
        </w:rPr>
        <w:t>Spécifications</w:t>
      </w:r>
    </w:p>
    <w:p w14:paraId="6D0D8599" w14:textId="77777777" w:rsidR="004B2808" w:rsidRDefault="00000000">
      <w:pPr>
        <w:pStyle w:val="Author-eListParagraph"/>
        <w:numPr>
          <w:ilvl w:val="0"/>
          <w:numId w:val="1490"/>
        </w:numPr>
      </w:pPr>
      <w:r>
        <w:t xml:space="preserve">Type : </w:t>
      </w:r>
      <w:r>
        <w:rPr>
          <w:rStyle w:val="optioncarChar"/>
        </w:rPr>
        <w:t>simple (1 lisse)</w:t>
      </w:r>
      <w:r>
        <w:t xml:space="preserve"> (par défaut) </w:t>
      </w:r>
      <w:r>
        <w:rPr>
          <w:rStyle w:val="optioncarChar"/>
        </w:rPr>
        <w:t>/ double (2 lisses) (PMR) / ***</w:t>
      </w:r>
    </w:p>
    <w:p w14:paraId="3ACB3040" w14:textId="77777777" w:rsidR="004B2808" w:rsidRDefault="00000000">
      <w:r>
        <w:t xml:space="preserve">Géométrie : </w:t>
      </w:r>
      <w:r>
        <w:rPr>
          <w:rStyle w:val="optioncarChar"/>
        </w:rPr>
        <w:t>solides et continues sur les paliers (PMR) </w:t>
      </w:r>
      <w:r>
        <w:t>(par défaut)</w:t>
      </w:r>
      <w:r>
        <w:rPr>
          <w:rStyle w:val="optioncarChar"/>
        </w:rPr>
        <w:t> / ***</w:t>
      </w:r>
    </w:p>
    <w:p w14:paraId="2006CFDC" w14:textId="77777777" w:rsidR="004B2808" w:rsidRDefault="00000000">
      <w:r>
        <w:t xml:space="preserve">Profil externe : </w:t>
      </w:r>
      <w:r>
        <w:rPr>
          <w:rStyle w:val="optioncarChar"/>
        </w:rPr>
        <w:t>55 x 65 mm </w:t>
      </w:r>
      <w:r>
        <w:t>(par défaut)</w:t>
      </w:r>
      <w:r>
        <w:rPr>
          <w:rStyle w:val="optioncarChar"/>
        </w:rPr>
        <w:t xml:space="preserve"> / rond (PMR) / ***</w:t>
      </w:r>
      <w:r>
        <w:t xml:space="preserve">, de diamètre </w:t>
      </w:r>
      <w:r>
        <w:rPr>
          <w:rStyle w:val="optioncarChar"/>
        </w:rPr>
        <w:t>40 (PMR) </w:t>
      </w:r>
      <w:r>
        <w:t xml:space="preserve">(par défaut) </w:t>
      </w:r>
      <w:r>
        <w:rPr>
          <w:rStyle w:val="optioncarChar"/>
        </w:rPr>
        <w:t>/ 45 (PMR) / 50 (PMR) / ***</w:t>
      </w:r>
      <w:r>
        <w:t xml:space="preserve"> mm</w:t>
      </w:r>
    </w:p>
    <w:p w14:paraId="4060DEC6" w14:textId="77777777" w:rsidR="004B2808" w:rsidRDefault="00000000">
      <w:pPr>
        <w:pStyle w:val="pheading"/>
      </w:pPr>
      <w:r>
        <w:t>- Finitions</w:t>
      </w:r>
    </w:p>
    <w:p w14:paraId="5F4F2014" w14:textId="77777777" w:rsidR="004B2808" w:rsidRDefault="00000000">
      <w:r>
        <w:t xml:space="preserve">Différence de LRV entre la main-courante et son support : </w:t>
      </w:r>
      <w:r>
        <w:rPr>
          <w:rStyle w:val="optioncarChar"/>
        </w:rPr>
        <w:t>au moins 30% (PMR)</w:t>
      </w:r>
      <w:r>
        <w:t> (par défaut)</w:t>
      </w:r>
      <w:r>
        <w:rPr>
          <w:rStyle w:val="optioncarChar"/>
        </w:rPr>
        <w:t> / ***</w:t>
      </w:r>
    </w:p>
    <w:p w14:paraId="798E8A69" w14:textId="77777777" w:rsidR="004B2808" w:rsidRDefault="00000000">
      <w:pPr>
        <w:pStyle w:val="pheading"/>
      </w:pPr>
      <w:r>
        <w:t>- Prescriptions complémentaires</w:t>
      </w:r>
    </w:p>
    <w:p w14:paraId="6C60D49B" w14:textId="77777777" w:rsidR="004B2808" w:rsidRDefault="00000000">
      <w:r>
        <w:t>Les mains-courantes sont prolongées :</w:t>
      </w:r>
    </w:p>
    <w:p w14:paraId="59C91EE4" w14:textId="77777777" w:rsidR="004B2808" w:rsidRDefault="00000000">
      <w:pPr>
        <w:pStyle w:val="Author-eListParagraph"/>
        <w:numPr>
          <w:ilvl w:val="0"/>
          <w:numId w:val="1491"/>
        </w:numPr>
      </w:pPr>
      <w:r>
        <w:t xml:space="preserve">côté mur : </w:t>
      </w:r>
      <w:r>
        <w:rPr>
          <w:rStyle w:val="optioncarChar"/>
        </w:rPr>
        <w:t>prolongement de 40 cm à l'origine et à l'extrémité de l'escalier (PMR) </w:t>
      </w:r>
      <w:r>
        <w:t>(par défaut)</w:t>
      </w:r>
      <w:r>
        <w:rPr>
          <w:rStyle w:val="optioncarChar"/>
        </w:rPr>
        <w:t> / ***</w:t>
      </w:r>
    </w:p>
    <w:p w14:paraId="13B2EFEA" w14:textId="77777777" w:rsidR="004B2808" w:rsidRDefault="00000000">
      <w:pPr>
        <w:pStyle w:val="Author-eListParagraph"/>
        <w:numPr>
          <w:ilvl w:val="0"/>
          <w:numId w:val="1491"/>
        </w:numPr>
      </w:pPr>
      <w:r>
        <w:t xml:space="preserve">côté vide : </w:t>
      </w:r>
      <w:r>
        <w:rPr>
          <w:rStyle w:val="optioncarChar"/>
        </w:rPr>
        <w:t>prolongement jusqu'au sol et de 40 cm, à l'origine et à l'extrémité de l'escalier (PMR) </w:t>
      </w:r>
      <w:r>
        <w:t>(par défaut)</w:t>
      </w:r>
      <w:r>
        <w:rPr>
          <w:rStyle w:val="optioncarChar"/>
        </w:rPr>
        <w:t> / ***</w:t>
      </w:r>
    </w:p>
    <w:p w14:paraId="52AAAABD" w14:textId="77777777" w:rsidR="004B2808" w:rsidRDefault="00000000">
      <w:pPr>
        <w:pStyle w:val="pheading"/>
      </w:pPr>
      <w:r>
        <w:t>EXÉCUTION / MISE EN ŒUVRE</w:t>
      </w:r>
    </w:p>
    <w:p w14:paraId="7865007B" w14:textId="77777777" w:rsidR="004B2808" w:rsidRDefault="00000000">
      <w:pPr>
        <w:pStyle w:val="pheading"/>
      </w:pPr>
      <w:r>
        <w:t>- Prescriptions générales</w:t>
      </w:r>
    </w:p>
    <w:p w14:paraId="55D05722" w14:textId="77777777" w:rsidR="004B2808" w:rsidRDefault="00000000">
      <w:r>
        <w:t>Hauteur de placement :  </w:t>
      </w:r>
    </w:p>
    <w:p w14:paraId="34AB9549" w14:textId="77777777" w:rsidR="004B2808" w:rsidRDefault="00000000">
      <w:pPr>
        <w:pStyle w:val="Author-eListParagraph"/>
        <w:numPr>
          <w:ilvl w:val="0"/>
          <w:numId w:val="1492"/>
        </w:numPr>
      </w:pPr>
      <w:r>
        <w:t xml:space="preserve">Main-courante principale : </w:t>
      </w:r>
      <w:r>
        <w:rPr>
          <w:rStyle w:val="optioncarChar"/>
        </w:rPr>
        <w:t>entre 85 et 100 (PMR) </w:t>
      </w:r>
      <w:r>
        <w:t>(par défaut)</w:t>
      </w:r>
      <w:r>
        <w:rPr>
          <w:rStyle w:val="optioncarChar"/>
        </w:rPr>
        <w:t> / ***</w:t>
      </w:r>
      <w:r>
        <w:t> cm, par rapport aux nez de marches</w:t>
      </w:r>
    </w:p>
    <w:p w14:paraId="358AD482" w14:textId="77777777" w:rsidR="004B2808" w:rsidRDefault="00000000">
      <w:pPr>
        <w:pStyle w:val="Author-eListParagraph"/>
        <w:numPr>
          <w:ilvl w:val="0"/>
          <w:numId w:val="1492"/>
        </w:numPr>
      </w:pPr>
      <w:r>
        <w:lastRenderedPageBreak/>
        <w:t>Main-courante secondaire :</w:t>
      </w:r>
      <w:r>
        <w:rPr>
          <w:rStyle w:val="optioncarChar"/>
        </w:rPr>
        <w:t> entre 60 et 75 (PMR)</w:t>
      </w:r>
      <w:r>
        <w:t> (par défaut)</w:t>
      </w:r>
      <w:r>
        <w:rPr>
          <w:rStyle w:val="optioncarChar"/>
        </w:rPr>
        <w:t> / ***</w:t>
      </w:r>
      <w:r>
        <w:t> cm, par rapport aux nez de marches</w:t>
      </w:r>
    </w:p>
    <w:p w14:paraId="2A07418A" w14:textId="77777777" w:rsidR="004B2808" w:rsidRDefault="00000000">
      <w:r>
        <w:t xml:space="preserve">Distance minimale entre le mur et la main courante : </w:t>
      </w:r>
      <w:r>
        <w:rPr>
          <w:rStyle w:val="optioncarChar"/>
        </w:rPr>
        <w:t>4 (PMR) </w:t>
      </w:r>
      <w:r>
        <w:t>(par défaut)</w:t>
      </w:r>
      <w:r>
        <w:rPr>
          <w:rStyle w:val="optioncarChar"/>
        </w:rPr>
        <w:t> / ***</w:t>
      </w:r>
      <w:r>
        <w:t xml:space="preserve"> cm</w:t>
      </w:r>
    </w:p>
    <w:p w14:paraId="736A1B74" w14:textId="77777777" w:rsidR="004B2808" w:rsidRDefault="00000000">
      <w:pPr>
        <w:pStyle w:val="pheading"/>
      </w:pPr>
      <w:r>
        <w:t>MESURAGE</w:t>
      </w:r>
    </w:p>
    <w:p w14:paraId="48AC268E" w14:textId="77777777" w:rsidR="004B2808" w:rsidRDefault="00000000">
      <w:r>
        <w:t>Conformément aux indications spécifiques dans le cahier spécial des charges et/ou le métré récapitulatif, le mesurage doit être conçu comme suit :</w:t>
      </w:r>
    </w:p>
    <w:p w14:paraId="0F4FE157" w14:textId="77777777" w:rsidR="004B2808" w:rsidRDefault="00000000">
      <w:r>
        <w:t>Attention : les mains-courantes qui font partie des escaliers en bois sont comprises dans l'ensemble de ce poste.</w:t>
      </w:r>
    </w:p>
    <w:p w14:paraId="06849296" w14:textId="77777777" w:rsidR="004B2808" w:rsidRDefault="00000000">
      <w:pPr>
        <w:pStyle w:val="pheading"/>
      </w:pPr>
      <w:r>
        <w:t>- unité de mesure:</w:t>
      </w:r>
    </w:p>
    <w:p w14:paraId="26F83F03" w14:textId="77777777" w:rsidR="004B2808" w:rsidRDefault="00000000">
      <w:r>
        <w:rPr>
          <w:rStyle w:val="optioncarChar"/>
        </w:rPr>
        <w:t>m</w:t>
      </w:r>
      <w:r>
        <w:t xml:space="preserve"> (par défaut)</w:t>
      </w:r>
      <w:r>
        <w:rPr>
          <w:rStyle w:val="optioncarChar"/>
        </w:rPr>
        <w:t xml:space="preserve"> / pc / -</w:t>
      </w:r>
    </w:p>
    <w:p w14:paraId="1C962A9D" w14:textId="77777777" w:rsidR="004B2808" w:rsidRDefault="00000000">
      <w:pPr>
        <w:pStyle w:val="pheading"/>
      </w:pPr>
      <w:r>
        <w:t>- code de mesurage:</w:t>
      </w:r>
    </w:p>
    <w:p w14:paraId="47ED7851" w14:textId="77777777" w:rsidR="004B2808" w:rsidRDefault="00000000">
      <w:r>
        <w:t xml:space="preserve">Choix opéré : </w:t>
      </w:r>
      <w:r>
        <w:rPr>
          <w:rStyle w:val="optioncarChar"/>
        </w:rPr>
        <w:t>OPTION 1</w:t>
      </w:r>
      <w:r>
        <w:t xml:space="preserve"> (par défaut)</w:t>
      </w:r>
      <w:r>
        <w:rPr>
          <w:rStyle w:val="optioncarChar"/>
        </w:rPr>
        <w:t xml:space="preserve"> / OPTION 2 (pce) / OPTION 3 (compris)</w:t>
      </w:r>
    </w:p>
    <w:p w14:paraId="7C2D8680" w14:textId="77777777" w:rsidR="004B2808" w:rsidRDefault="00000000">
      <w:pPr>
        <w:pStyle w:val="Author-eListParagraph"/>
        <w:numPr>
          <w:ilvl w:val="0"/>
          <w:numId w:val="1493"/>
        </w:numPr>
      </w:pPr>
      <w:r>
        <w:rPr>
          <w:b/>
        </w:rPr>
        <w:t>OPTION 1</w:t>
      </w:r>
      <w:r>
        <w:t xml:space="preserve"> (par défaut) : Longueur nette</w:t>
      </w:r>
    </w:p>
    <w:p w14:paraId="798DDCD9" w14:textId="77777777" w:rsidR="004B2808" w:rsidRDefault="00000000">
      <w:pPr>
        <w:pStyle w:val="Author-eListParagraph"/>
        <w:numPr>
          <w:ilvl w:val="0"/>
          <w:numId w:val="1493"/>
        </w:numPr>
      </w:pPr>
      <w:r>
        <w:rPr>
          <w:b/>
        </w:rPr>
        <w:t>OPTION 2 :</w:t>
      </w:r>
      <w:r>
        <w:t xml:space="preserve"> Les assemblages courbés entre deux parties droites de la main-courante sont éventuellement mesurées à la pièce</w:t>
      </w:r>
    </w:p>
    <w:p w14:paraId="525E76E1" w14:textId="77777777" w:rsidR="004B2808" w:rsidRDefault="00000000">
      <w:pPr>
        <w:pStyle w:val="Author-eListParagraph"/>
        <w:numPr>
          <w:ilvl w:val="0"/>
          <w:numId w:val="1493"/>
        </w:numPr>
      </w:pPr>
      <w:r>
        <w:rPr>
          <w:b/>
        </w:rPr>
        <w:t>OPTION 3:</w:t>
      </w:r>
      <w:r>
        <w:rPr>
          <w:u w:val="single"/>
        </w:rPr>
        <w:t>Compris</w:t>
      </w:r>
      <w:r>
        <w:t xml:space="preserve"> dans le prix des garde-corps et/ou de l'ensemble de l'escalier.</w:t>
      </w:r>
    </w:p>
    <w:p w14:paraId="0D036DEF" w14:textId="77777777" w:rsidR="004B2808" w:rsidRDefault="00000000">
      <w:pPr>
        <w:pStyle w:val="pheading"/>
      </w:pPr>
      <w:r>
        <w:t>- nature du marché:</w:t>
      </w:r>
    </w:p>
    <w:p w14:paraId="579D1548" w14:textId="77777777" w:rsidR="004B2808" w:rsidRDefault="00000000">
      <w:r>
        <w:rPr>
          <w:rStyle w:val="optioncarChar"/>
        </w:rPr>
        <w:t>QF</w:t>
      </w:r>
      <w:r>
        <w:t xml:space="preserve"> (par défaut)</w:t>
      </w:r>
      <w:r>
        <w:rPr>
          <w:rStyle w:val="optioncarChar"/>
        </w:rPr>
        <w:t xml:space="preserve"> / PM</w:t>
      </w:r>
    </w:p>
    <w:p w14:paraId="4046527C" w14:textId="77777777" w:rsidR="004B2808" w:rsidRDefault="00000000">
      <w:pPr>
        <w:pStyle w:val="Author-eSectionHeading5Numberless"/>
      </w:pPr>
      <w:bookmarkStart w:id="1644" w:name="_Toc220491732"/>
      <w:r>
        <w:t>57.26.2 Main-courantes / Lisses en béton armé CCTB 01.02</w:t>
      </w:r>
      <w:bookmarkEnd w:id="1644"/>
    </w:p>
    <w:p w14:paraId="64D72507" w14:textId="77777777" w:rsidR="004B2808" w:rsidRDefault="00000000">
      <w:pPr>
        <w:pStyle w:val="Author-eSectionHeading6Numberless"/>
      </w:pPr>
      <w:bookmarkStart w:id="1645" w:name="_Toc220491733"/>
      <w:r>
        <w:t>57.26.2a Main-courantes / Lisses en béton armé coulés sur place CCTB 01.10</w:t>
      </w:r>
      <w:bookmarkEnd w:id="1645"/>
    </w:p>
    <w:p w14:paraId="2CB47069" w14:textId="77777777" w:rsidR="004B2808" w:rsidRDefault="00000000">
      <w:pPr>
        <w:pStyle w:val="pheading"/>
      </w:pPr>
      <w:r>
        <w:t>DESCRIPTION</w:t>
      </w:r>
    </w:p>
    <w:p w14:paraId="21493115" w14:textId="77777777" w:rsidR="004B2808" w:rsidRDefault="00000000">
      <w:pPr>
        <w:pStyle w:val="pheading"/>
      </w:pPr>
      <w:r>
        <w:t>- Localisation</w:t>
      </w:r>
    </w:p>
    <w:p w14:paraId="0FECAA4E" w14:textId="77777777" w:rsidR="004B2808" w:rsidRDefault="00000000">
      <w:r>
        <w:t>Les mains-courantes le long du mur.</w:t>
      </w:r>
    </w:p>
    <w:p w14:paraId="054E243E" w14:textId="77777777" w:rsidR="004B2808" w:rsidRDefault="00000000">
      <w:r>
        <w:t xml:space="preserve">Les mains-courantes sont placées : </w:t>
      </w:r>
      <w:r>
        <w:rPr>
          <w:rStyle w:val="optioncarChar"/>
        </w:rPr>
        <w:t>de chaque côté (PMR)</w:t>
      </w:r>
      <w:r>
        <w:t> (par défaut) </w:t>
      </w:r>
      <w:r>
        <w:rPr>
          <w:rStyle w:val="optioncarChar"/>
        </w:rPr>
        <w:t>/ ***</w:t>
      </w:r>
      <w:r>
        <w:t> de l’escalier.</w:t>
      </w:r>
    </w:p>
    <w:p w14:paraId="21D110F4" w14:textId="77777777" w:rsidR="004B2808" w:rsidRDefault="00000000">
      <w:pPr>
        <w:pStyle w:val="pheading"/>
      </w:pPr>
      <w:r>
        <w:t>MATÉRIAUX</w:t>
      </w:r>
    </w:p>
    <w:p w14:paraId="6C841D7B" w14:textId="77777777" w:rsidR="004B2808" w:rsidRDefault="00000000">
      <w:pPr>
        <w:pStyle w:val="pheading"/>
      </w:pPr>
      <w:r>
        <w:t>- Caractéristiques générales</w:t>
      </w:r>
    </w:p>
    <w:p w14:paraId="236BE468" w14:textId="77777777" w:rsidR="004B2808" w:rsidRDefault="00000000">
      <w:r>
        <w:rPr>
          <w:b/>
          <w:u w:val="single"/>
        </w:rPr>
        <w:t>Spécifications</w:t>
      </w:r>
    </w:p>
    <w:p w14:paraId="7D2632D5" w14:textId="77777777" w:rsidR="004B2808" w:rsidRDefault="00000000">
      <w:pPr>
        <w:pStyle w:val="Author-eListParagraph"/>
        <w:numPr>
          <w:ilvl w:val="0"/>
          <w:numId w:val="1494"/>
        </w:numPr>
      </w:pPr>
      <w:r>
        <w:t xml:space="preserve">Type : </w:t>
      </w:r>
      <w:r>
        <w:rPr>
          <w:rStyle w:val="optioncarChar"/>
        </w:rPr>
        <w:t xml:space="preserve">simple (1 lisse) </w:t>
      </w:r>
      <w:r>
        <w:t>(par défaut) </w:t>
      </w:r>
      <w:r>
        <w:rPr>
          <w:rStyle w:val="optioncarChar"/>
        </w:rPr>
        <w:t>/ double (2 lisses) (PMR) / ***</w:t>
      </w:r>
    </w:p>
    <w:p w14:paraId="3D791967" w14:textId="77777777" w:rsidR="004B2808" w:rsidRDefault="00000000">
      <w:pPr>
        <w:pStyle w:val="Author-eListParagraph"/>
        <w:numPr>
          <w:ilvl w:val="0"/>
          <w:numId w:val="1494"/>
        </w:numPr>
      </w:pPr>
      <w:r>
        <w:t xml:space="preserve">Géométrie : </w:t>
      </w:r>
      <w:r>
        <w:rPr>
          <w:rStyle w:val="optioncarChar"/>
        </w:rPr>
        <w:t>solides et continues sur les paliers (PMR)</w:t>
      </w:r>
      <w:r>
        <w:t> (par défaut)</w:t>
      </w:r>
      <w:r>
        <w:rPr>
          <w:rStyle w:val="optioncarChar"/>
        </w:rPr>
        <w:t> / ***</w:t>
      </w:r>
    </w:p>
    <w:p w14:paraId="69D0605A" w14:textId="77777777" w:rsidR="004B2808" w:rsidRDefault="00000000">
      <w:pPr>
        <w:pStyle w:val="Author-eListParagraph"/>
        <w:numPr>
          <w:ilvl w:val="0"/>
          <w:numId w:val="1494"/>
        </w:numPr>
      </w:pPr>
      <w:r>
        <w:t xml:space="preserve">Profil externe : </w:t>
      </w:r>
      <w:r>
        <w:rPr>
          <w:rStyle w:val="optioncarChar"/>
        </w:rPr>
        <w:t>55 x 65 mm</w:t>
      </w:r>
      <w:r>
        <w:t> (par défaut)</w:t>
      </w:r>
      <w:r>
        <w:rPr>
          <w:rStyle w:val="optioncarChar"/>
        </w:rPr>
        <w:t> / rond (PMR) / ***</w:t>
      </w:r>
      <w:r>
        <w:t xml:space="preserve">, de diamètre </w:t>
      </w:r>
      <w:r>
        <w:rPr>
          <w:rStyle w:val="optioncarChar"/>
        </w:rPr>
        <w:t>40 (PMR) </w:t>
      </w:r>
      <w:r>
        <w:t>(par défaut)</w:t>
      </w:r>
      <w:r>
        <w:rPr>
          <w:rStyle w:val="optioncarChar"/>
        </w:rPr>
        <w:t xml:space="preserve"> / 45 (PMR) / 50 (PMR) / ***</w:t>
      </w:r>
      <w:r>
        <w:t xml:space="preserve"> mm</w:t>
      </w:r>
    </w:p>
    <w:p w14:paraId="7A0D5806" w14:textId="77777777" w:rsidR="004B2808" w:rsidRDefault="00000000">
      <w:pPr>
        <w:pStyle w:val="pheading"/>
      </w:pPr>
      <w:r>
        <w:t>- Finitions</w:t>
      </w:r>
    </w:p>
    <w:p w14:paraId="6CF6DDA1" w14:textId="77777777" w:rsidR="004B2808" w:rsidRDefault="00000000">
      <w:r>
        <w:t xml:space="preserve">Différence de LRV entre la main-courante et son support : </w:t>
      </w:r>
      <w:r>
        <w:rPr>
          <w:rStyle w:val="optioncarChar"/>
        </w:rPr>
        <w:t>au moins 30% (PMR) </w:t>
      </w:r>
      <w:r>
        <w:t>(par défaut)</w:t>
      </w:r>
      <w:r>
        <w:rPr>
          <w:rStyle w:val="optioncarChar"/>
        </w:rPr>
        <w:t> / ***</w:t>
      </w:r>
    </w:p>
    <w:p w14:paraId="55A168A4" w14:textId="77777777" w:rsidR="004B2808" w:rsidRDefault="00000000">
      <w:pPr>
        <w:pStyle w:val="pheading"/>
      </w:pPr>
      <w:r>
        <w:t>- Prescriptions complémentaires</w:t>
      </w:r>
    </w:p>
    <w:p w14:paraId="2C383EDC" w14:textId="77777777" w:rsidR="004B2808" w:rsidRDefault="00000000">
      <w:r>
        <w:t>Les mains-courantes sont prolongées :</w:t>
      </w:r>
    </w:p>
    <w:p w14:paraId="04D04B40" w14:textId="77777777" w:rsidR="004B2808" w:rsidRDefault="00000000">
      <w:pPr>
        <w:pStyle w:val="Author-eListParagraph"/>
        <w:numPr>
          <w:ilvl w:val="0"/>
          <w:numId w:val="1495"/>
        </w:numPr>
      </w:pPr>
      <w:r>
        <w:t xml:space="preserve">côté mur : </w:t>
      </w:r>
      <w:r>
        <w:rPr>
          <w:rStyle w:val="optioncarChar"/>
        </w:rPr>
        <w:t>prolongement de 40 cm à l'origine et à l'extrémité de l'escalier (PMR)</w:t>
      </w:r>
      <w:r>
        <w:t> (par défaut)</w:t>
      </w:r>
      <w:r>
        <w:rPr>
          <w:rStyle w:val="optioncarChar"/>
        </w:rPr>
        <w:t> / ***</w:t>
      </w:r>
    </w:p>
    <w:p w14:paraId="45E39B1C" w14:textId="77777777" w:rsidR="004B2808" w:rsidRDefault="00000000">
      <w:pPr>
        <w:pStyle w:val="Author-eListParagraph"/>
        <w:numPr>
          <w:ilvl w:val="0"/>
          <w:numId w:val="1495"/>
        </w:numPr>
      </w:pPr>
      <w:r>
        <w:t xml:space="preserve">côté vide : </w:t>
      </w:r>
      <w:r>
        <w:rPr>
          <w:rStyle w:val="optioncarChar"/>
        </w:rPr>
        <w:t>prolongement jusqu'au sol et de 40 cm, à l'origine et à l'extrémité de l'escalier (PMR)</w:t>
      </w:r>
      <w:r>
        <w:t> (par défaut)</w:t>
      </w:r>
      <w:r>
        <w:rPr>
          <w:rStyle w:val="optioncarChar"/>
        </w:rPr>
        <w:t> / ***</w:t>
      </w:r>
    </w:p>
    <w:p w14:paraId="47C2583D" w14:textId="77777777" w:rsidR="004B2808" w:rsidRDefault="00000000">
      <w:pPr>
        <w:pStyle w:val="pheading"/>
      </w:pPr>
      <w:r>
        <w:t>EXÉCUTION / MISE EN ŒUVRE</w:t>
      </w:r>
    </w:p>
    <w:p w14:paraId="05BFF88D" w14:textId="77777777" w:rsidR="004B2808" w:rsidRDefault="00000000">
      <w:pPr>
        <w:pStyle w:val="pheading"/>
      </w:pPr>
      <w:r>
        <w:t>- Prescriptions générales</w:t>
      </w:r>
    </w:p>
    <w:p w14:paraId="30AEEB47" w14:textId="77777777" w:rsidR="004B2808" w:rsidRDefault="00000000">
      <w:r>
        <w:lastRenderedPageBreak/>
        <w:t>Hauteur de placement : </w:t>
      </w:r>
    </w:p>
    <w:p w14:paraId="4184C328" w14:textId="77777777" w:rsidR="004B2808" w:rsidRDefault="00000000">
      <w:pPr>
        <w:pStyle w:val="Author-eListParagraph"/>
        <w:numPr>
          <w:ilvl w:val="0"/>
          <w:numId w:val="1496"/>
        </w:numPr>
      </w:pPr>
      <w:r>
        <w:t xml:space="preserve">Main-courante principale : </w:t>
      </w:r>
      <w:r>
        <w:rPr>
          <w:rStyle w:val="optioncarChar"/>
        </w:rPr>
        <w:t>entre 85 et 100 (PMR) </w:t>
      </w:r>
      <w:r>
        <w:t>(par défaut)</w:t>
      </w:r>
      <w:r>
        <w:rPr>
          <w:rStyle w:val="optioncarChar"/>
        </w:rPr>
        <w:t> / ***</w:t>
      </w:r>
      <w:r>
        <w:t> cm, par rapport aux nez de marches</w:t>
      </w:r>
    </w:p>
    <w:p w14:paraId="1D3FB07F" w14:textId="77777777" w:rsidR="004B2808" w:rsidRDefault="00000000">
      <w:pPr>
        <w:pStyle w:val="Author-eListParagraph"/>
        <w:numPr>
          <w:ilvl w:val="0"/>
          <w:numId w:val="1497"/>
        </w:numPr>
      </w:pPr>
      <w:r>
        <w:t>Main-courante secondaire :</w:t>
      </w:r>
      <w:r>
        <w:rPr>
          <w:rStyle w:val="optioncarChar"/>
        </w:rPr>
        <w:t> entre 60 et 75 (PMR) </w:t>
      </w:r>
      <w:r>
        <w:t>(par défaut)</w:t>
      </w:r>
      <w:r>
        <w:rPr>
          <w:rStyle w:val="optioncarChar"/>
        </w:rPr>
        <w:t> / ***</w:t>
      </w:r>
      <w:r>
        <w:t> cm, par rapport aux nez de marches</w:t>
      </w:r>
    </w:p>
    <w:p w14:paraId="2F62BF3F" w14:textId="77777777" w:rsidR="004B2808" w:rsidRDefault="00000000">
      <w:r>
        <w:t xml:space="preserve">Distance minimale entre le mur et la main courante : </w:t>
      </w:r>
      <w:r>
        <w:rPr>
          <w:rStyle w:val="optioncarChar"/>
        </w:rPr>
        <w:t>4 (PMR) </w:t>
      </w:r>
      <w:r>
        <w:t>(par défaut)</w:t>
      </w:r>
      <w:r>
        <w:rPr>
          <w:rStyle w:val="optioncarChar"/>
        </w:rPr>
        <w:t> / ***</w:t>
      </w:r>
      <w:r>
        <w:t xml:space="preserve"> cm</w:t>
      </w:r>
    </w:p>
    <w:p w14:paraId="7A4F95D2" w14:textId="77777777" w:rsidR="004B2808" w:rsidRDefault="00000000">
      <w:pPr>
        <w:pStyle w:val="pheading"/>
      </w:pPr>
      <w:r>
        <w:t>MESURAGE</w:t>
      </w:r>
    </w:p>
    <w:p w14:paraId="5A33937F" w14:textId="77777777" w:rsidR="004B2808" w:rsidRDefault="00000000">
      <w:r>
        <w:t>Conformément aux indications spécifiques dans le cahier spécial des charges et/ou le métré récapitulatif, le mesurage doit être conçu comme suit :</w:t>
      </w:r>
    </w:p>
    <w:p w14:paraId="07AE52DF" w14:textId="77777777" w:rsidR="004B2808" w:rsidRDefault="00000000">
      <w:r>
        <w:t>Attention : les mains-courantes qui font partie des escaliers en bois sont comprises dans l'ensemble de ce poste.</w:t>
      </w:r>
    </w:p>
    <w:p w14:paraId="45ADDF6C" w14:textId="77777777" w:rsidR="004B2808" w:rsidRDefault="00000000">
      <w:pPr>
        <w:pStyle w:val="pheading"/>
      </w:pPr>
      <w:r>
        <w:t>- unité de mesure:</w:t>
      </w:r>
    </w:p>
    <w:p w14:paraId="3A6104BB" w14:textId="77777777" w:rsidR="004B2808" w:rsidRDefault="00000000">
      <w:r>
        <w:rPr>
          <w:rStyle w:val="optioncarChar"/>
        </w:rPr>
        <w:t>m</w:t>
      </w:r>
      <w:r>
        <w:t xml:space="preserve"> (par défaut)</w:t>
      </w:r>
      <w:r>
        <w:rPr>
          <w:rStyle w:val="optioncarChar"/>
        </w:rPr>
        <w:t xml:space="preserve"> / pce / -</w:t>
      </w:r>
    </w:p>
    <w:p w14:paraId="36FF5340" w14:textId="77777777" w:rsidR="004B2808" w:rsidRDefault="00000000">
      <w:pPr>
        <w:pStyle w:val="pheading"/>
      </w:pPr>
      <w:r>
        <w:t>- code de mesurage:</w:t>
      </w:r>
    </w:p>
    <w:p w14:paraId="7C298581" w14:textId="77777777" w:rsidR="004B2808" w:rsidRDefault="00000000">
      <w:r>
        <w:t xml:space="preserve">Choix opéré: </w:t>
      </w:r>
      <w:r>
        <w:rPr>
          <w:rStyle w:val="optioncarChar"/>
        </w:rPr>
        <w:t>OPTION 1</w:t>
      </w:r>
      <w:r>
        <w:t xml:space="preserve"> (par défaut)</w:t>
      </w:r>
      <w:r>
        <w:rPr>
          <w:rStyle w:val="optioncarChar"/>
        </w:rPr>
        <w:t xml:space="preserve"> / OPTION 2 (pc) / OPTION 3 (compris)</w:t>
      </w:r>
    </w:p>
    <w:p w14:paraId="5FF39C19" w14:textId="77777777" w:rsidR="004B2808" w:rsidRDefault="00000000">
      <w:pPr>
        <w:pStyle w:val="Author-eListParagraph"/>
        <w:numPr>
          <w:ilvl w:val="0"/>
          <w:numId w:val="1498"/>
        </w:numPr>
      </w:pPr>
      <w:r>
        <w:rPr>
          <w:b/>
        </w:rPr>
        <w:t>OPTION 1</w:t>
      </w:r>
      <w:r>
        <w:t>(par défaut) : Longueur nette</w:t>
      </w:r>
    </w:p>
    <w:p w14:paraId="1FB85D33" w14:textId="77777777" w:rsidR="004B2808" w:rsidRDefault="00000000">
      <w:pPr>
        <w:pStyle w:val="Author-eListParagraph"/>
        <w:numPr>
          <w:ilvl w:val="0"/>
          <w:numId w:val="1498"/>
        </w:numPr>
      </w:pPr>
      <w:r>
        <w:rPr>
          <w:b/>
        </w:rPr>
        <w:t>OPTION 2 :</w:t>
      </w:r>
      <w:r>
        <w:t xml:space="preserve"> Les assemblages courbés entre deux parties droites de la main-courante sont éventuellement mesurées à la pièce</w:t>
      </w:r>
    </w:p>
    <w:p w14:paraId="7EDC3980" w14:textId="77777777" w:rsidR="004B2808" w:rsidRDefault="00000000">
      <w:pPr>
        <w:pStyle w:val="Author-eListParagraph"/>
        <w:numPr>
          <w:ilvl w:val="0"/>
          <w:numId w:val="1498"/>
        </w:numPr>
      </w:pPr>
      <w:r>
        <w:rPr>
          <w:b/>
        </w:rPr>
        <w:t>OPTION 3</w:t>
      </w:r>
      <w:r>
        <w:t>: Compris dans le prix des garde-corps et/ou de l'ensemble de l'escalier.</w:t>
      </w:r>
    </w:p>
    <w:p w14:paraId="6196EABE" w14:textId="77777777" w:rsidR="004B2808" w:rsidRDefault="00000000">
      <w:pPr>
        <w:pStyle w:val="pheading"/>
      </w:pPr>
      <w:r>
        <w:t>- nature du marché:</w:t>
      </w:r>
    </w:p>
    <w:p w14:paraId="75B875FA" w14:textId="77777777" w:rsidR="004B2808" w:rsidRDefault="00000000">
      <w:r>
        <w:rPr>
          <w:rStyle w:val="optioncarChar"/>
        </w:rPr>
        <w:t>QF</w:t>
      </w:r>
      <w:r>
        <w:t xml:space="preserve"> (par défaut) </w:t>
      </w:r>
      <w:r>
        <w:rPr>
          <w:rStyle w:val="optioncarChar"/>
        </w:rPr>
        <w:t>/ PM</w:t>
      </w:r>
    </w:p>
    <w:p w14:paraId="4092FACC" w14:textId="77777777" w:rsidR="004B2808" w:rsidRDefault="00000000">
      <w:pPr>
        <w:pStyle w:val="Author-eSectionHeading6Numberless"/>
      </w:pPr>
      <w:bookmarkStart w:id="1646" w:name="_Toc220491734"/>
      <w:r>
        <w:t>57.26.2b Main-courantes / Lisses préfabriquées en béton armé  CCTB 01.10</w:t>
      </w:r>
      <w:bookmarkEnd w:id="1646"/>
    </w:p>
    <w:p w14:paraId="61AC2B11" w14:textId="77777777" w:rsidR="004B2808" w:rsidRDefault="00000000">
      <w:pPr>
        <w:pStyle w:val="pheading"/>
      </w:pPr>
      <w:r>
        <w:t>DESCRIPTION</w:t>
      </w:r>
    </w:p>
    <w:p w14:paraId="24FD058B" w14:textId="77777777" w:rsidR="004B2808" w:rsidRDefault="00000000">
      <w:pPr>
        <w:pStyle w:val="pheading"/>
      </w:pPr>
      <w:r>
        <w:t>- Localisation</w:t>
      </w:r>
    </w:p>
    <w:p w14:paraId="19CA5B39" w14:textId="77777777" w:rsidR="004B2808" w:rsidRDefault="00000000">
      <w:r>
        <w:t>Les mains-courantes le long du mur.</w:t>
      </w:r>
    </w:p>
    <w:p w14:paraId="031A5641" w14:textId="77777777" w:rsidR="004B2808" w:rsidRDefault="00000000">
      <w:r>
        <w:t xml:space="preserve">Les mains-courantes sont placées : </w:t>
      </w:r>
      <w:r>
        <w:rPr>
          <w:rStyle w:val="optioncarChar"/>
        </w:rPr>
        <w:t>*** / de chaque côté (PMR)</w:t>
      </w:r>
      <w:r>
        <w:t xml:space="preserve"> de l’escalier.</w:t>
      </w:r>
    </w:p>
    <w:p w14:paraId="246BA61A" w14:textId="77777777" w:rsidR="004B2808" w:rsidRDefault="00000000">
      <w:pPr>
        <w:pStyle w:val="pheading"/>
      </w:pPr>
      <w:r>
        <w:t>MATÉRIAUX</w:t>
      </w:r>
    </w:p>
    <w:p w14:paraId="50CFE68C" w14:textId="77777777" w:rsidR="004B2808" w:rsidRDefault="00000000">
      <w:pPr>
        <w:pStyle w:val="pheading"/>
      </w:pPr>
      <w:r>
        <w:t>- Caractéristiques générales</w:t>
      </w:r>
    </w:p>
    <w:p w14:paraId="52CC750E" w14:textId="77777777" w:rsidR="004B2808" w:rsidRDefault="00000000">
      <w:r>
        <w:rPr>
          <w:b/>
          <w:u w:val="single"/>
        </w:rPr>
        <w:t>Spécifications</w:t>
      </w:r>
    </w:p>
    <w:p w14:paraId="08B37F05" w14:textId="77777777" w:rsidR="004B2808" w:rsidRDefault="00000000">
      <w:pPr>
        <w:pStyle w:val="Author-eListParagraph"/>
        <w:numPr>
          <w:ilvl w:val="0"/>
          <w:numId w:val="1499"/>
        </w:numPr>
      </w:pPr>
      <w:r>
        <w:t xml:space="preserve">Type : </w:t>
      </w:r>
      <w:r>
        <w:rPr>
          <w:rStyle w:val="optioncarChar"/>
        </w:rPr>
        <w:t>simple (1 lisse)</w:t>
      </w:r>
      <w:r>
        <w:t> (par défaut)</w:t>
      </w:r>
      <w:r>
        <w:rPr>
          <w:rStyle w:val="optioncarChar"/>
        </w:rPr>
        <w:t xml:space="preserve"> / double (2 lisses) (PMR) / ***</w:t>
      </w:r>
    </w:p>
    <w:p w14:paraId="691C89A1" w14:textId="77777777" w:rsidR="004B2808" w:rsidRDefault="00000000">
      <w:pPr>
        <w:pStyle w:val="Author-eListParagraph"/>
        <w:numPr>
          <w:ilvl w:val="0"/>
          <w:numId w:val="1499"/>
        </w:numPr>
      </w:pPr>
      <w:r>
        <w:t>Géométrie : </w:t>
      </w:r>
      <w:r>
        <w:rPr>
          <w:rStyle w:val="optioncarChar"/>
        </w:rPr>
        <w:t>solides et continues sur les paliers (PMR)</w:t>
      </w:r>
      <w:r>
        <w:t> (par défaut) </w:t>
      </w:r>
      <w:r>
        <w:rPr>
          <w:rStyle w:val="optioncarChar"/>
        </w:rPr>
        <w:t xml:space="preserve">/ *** </w:t>
      </w:r>
    </w:p>
    <w:p w14:paraId="06D8C2C7" w14:textId="77777777" w:rsidR="004B2808" w:rsidRDefault="00000000">
      <w:pPr>
        <w:pStyle w:val="Author-eListParagraph"/>
        <w:numPr>
          <w:ilvl w:val="0"/>
          <w:numId w:val="1499"/>
        </w:numPr>
      </w:pPr>
      <w:r>
        <w:t xml:space="preserve">Profil externe : </w:t>
      </w:r>
      <w:r>
        <w:rPr>
          <w:rStyle w:val="optioncarChar"/>
        </w:rPr>
        <w:t>55 x 65 mm</w:t>
      </w:r>
      <w:r>
        <w:t xml:space="preserve"> (par défaut)</w:t>
      </w:r>
      <w:r>
        <w:rPr>
          <w:rStyle w:val="optioncarChar"/>
        </w:rPr>
        <w:t> / rond (PMR) / ***</w:t>
      </w:r>
      <w:r>
        <w:t xml:space="preserve">, de diamètre </w:t>
      </w:r>
      <w:r>
        <w:rPr>
          <w:rStyle w:val="optioncarChar"/>
        </w:rPr>
        <w:t>40 (PMR) / *** / 45 (PMR) / 50 (PMR) / ***</w:t>
      </w:r>
      <w:r>
        <w:t xml:space="preserve"> mm</w:t>
      </w:r>
    </w:p>
    <w:p w14:paraId="44B5053D" w14:textId="77777777" w:rsidR="004B2808" w:rsidRDefault="00000000">
      <w:pPr>
        <w:pStyle w:val="pheading"/>
      </w:pPr>
      <w:r>
        <w:t>- Finitions</w:t>
      </w:r>
    </w:p>
    <w:p w14:paraId="6F96D0CB" w14:textId="77777777" w:rsidR="004B2808" w:rsidRDefault="00000000">
      <w:r>
        <w:t xml:space="preserve">Différence de LRV entre la main-courante et son support : </w:t>
      </w:r>
      <w:r>
        <w:rPr>
          <w:rStyle w:val="optioncarChar"/>
        </w:rPr>
        <w:t>au moins 30% (PMR) </w:t>
      </w:r>
      <w:r>
        <w:t>(par défaut)</w:t>
      </w:r>
      <w:r>
        <w:rPr>
          <w:rStyle w:val="optioncarChar"/>
        </w:rPr>
        <w:t> / ***</w:t>
      </w:r>
    </w:p>
    <w:p w14:paraId="07D50192" w14:textId="77777777" w:rsidR="004B2808" w:rsidRDefault="00000000">
      <w:pPr>
        <w:pStyle w:val="pheading"/>
      </w:pPr>
      <w:r>
        <w:t>- Prescriptions complémentaires</w:t>
      </w:r>
    </w:p>
    <w:p w14:paraId="11AA0167" w14:textId="77777777" w:rsidR="004B2808" w:rsidRDefault="00000000">
      <w:r>
        <w:t>Les mains-courantes sont prolongées :</w:t>
      </w:r>
    </w:p>
    <w:p w14:paraId="42048B35" w14:textId="77777777" w:rsidR="004B2808" w:rsidRDefault="00000000">
      <w:pPr>
        <w:pStyle w:val="Author-eListParagraph"/>
        <w:numPr>
          <w:ilvl w:val="0"/>
          <w:numId w:val="1500"/>
        </w:numPr>
      </w:pPr>
      <w:r>
        <w:t xml:space="preserve">côté mur : </w:t>
      </w:r>
      <w:r>
        <w:rPr>
          <w:rStyle w:val="optioncarChar"/>
        </w:rPr>
        <w:t>prolongement de 40 cm à l'origine et à l'extrémité de l'escalier (PMR)</w:t>
      </w:r>
      <w:r>
        <w:t> (par défaut)</w:t>
      </w:r>
      <w:r>
        <w:rPr>
          <w:rStyle w:val="optioncarChar"/>
        </w:rPr>
        <w:t> / ***</w:t>
      </w:r>
    </w:p>
    <w:p w14:paraId="435D5256" w14:textId="77777777" w:rsidR="004B2808" w:rsidRDefault="00000000">
      <w:pPr>
        <w:pStyle w:val="Author-eListParagraph"/>
        <w:numPr>
          <w:ilvl w:val="0"/>
          <w:numId w:val="1500"/>
        </w:numPr>
      </w:pPr>
      <w:r>
        <w:t xml:space="preserve">côté vide : </w:t>
      </w:r>
      <w:r>
        <w:rPr>
          <w:rStyle w:val="optioncarChar"/>
        </w:rPr>
        <w:t>prolongement jusqu'au sol et de 40 cm, à l'origine et à l'extrémité de l'escalier (PMR) </w:t>
      </w:r>
      <w:r>
        <w:t>(par défaut)</w:t>
      </w:r>
      <w:r>
        <w:rPr>
          <w:rStyle w:val="optioncarChar"/>
        </w:rPr>
        <w:t> / ***</w:t>
      </w:r>
    </w:p>
    <w:p w14:paraId="6E2C7E2A" w14:textId="77777777" w:rsidR="004B2808" w:rsidRDefault="00000000">
      <w:pPr>
        <w:pStyle w:val="pheading"/>
      </w:pPr>
      <w:r>
        <w:t>EXÉCUTION / MISE EN ŒUVRE</w:t>
      </w:r>
    </w:p>
    <w:p w14:paraId="3BF0F1B1" w14:textId="77777777" w:rsidR="004B2808" w:rsidRDefault="00000000">
      <w:pPr>
        <w:pStyle w:val="pheading"/>
      </w:pPr>
      <w:r>
        <w:lastRenderedPageBreak/>
        <w:t>- Prescriptions générales</w:t>
      </w:r>
    </w:p>
    <w:p w14:paraId="2574E473" w14:textId="77777777" w:rsidR="004B2808" w:rsidRDefault="00000000">
      <w:r>
        <w:t>Hauteur de placement :  </w:t>
      </w:r>
    </w:p>
    <w:p w14:paraId="106CDEC1" w14:textId="77777777" w:rsidR="004B2808" w:rsidRDefault="00000000">
      <w:pPr>
        <w:pStyle w:val="Author-eListParagraph"/>
        <w:numPr>
          <w:ilvl w:val="0"/>
          <w:numId w:val="1501"/>
        </w:numPr>
      </w:pPr>
      <w:r>
        <w:t xml:space="preserve">Main-courante principale : </w:t>
      </w:r>
      <w:r>
        <w:rPr>
          <w:rStyle w:val="optioncarChar"/>
        </w:rPr>
        <w:t>entre 85 et 100 (PMR)</w:t>
      </w:r>
      <w:r>
        <w:t> (par défaut)</w:t>
      </w:r>
      <w:r>
        <w:rPr>
          <w:rStyle w:val="optioncarChar"/>
        </w:rPr>
        <w:t> / ***</w:t>
      </w:r>
      <w:r>
        <w:t> cm, par rapport aux nez de marches</w:t>
      </w:r>
    </w:p>
    <w:p w14:paraId="3BAA56D3" w14:textId="77777777" w:rsidR="004B2808" w:rsidRDefault="00000000">
      <w:pPr>
        <w:pStyle w:val="Author-eListParagraph"/>
        <w:numPr>
          <w:ilvl w:val="0"/>
          <w:numId w:val="1502"/>
        </w:numPr>
      </w:pPr>
      <w:r>
        <w:t>Main-courante secondaire :</w:t>
      </w:r>
      <w:r>
        <w:rPr>
          <w:rStyle w:val="optioncarChar"/>
        </w:rPr>
        <w:t> entre 60 et 75 (PMR) </w:t>
      </w:r>
      <w:r>
        <w:t>(par défaut)</w:t>
      </w:r>
      <w:r>
        <w:rPr>
          <w:rStyle w:val="optioncarChar"/>
        </w:rPr>
        <w:t> / ***</w:t>
      </w:r>
      <w:r>
        <w:t> cm, par rapport aux nez de marches</w:t>
      </w:r>
    </w:p>
    <w:p w14:paraId="10D1A5C9" w14:textId="77777777" w:rsidR="004B2808" w:rsidRDefault="00000000">
      <w:r>
        <w:t xml:space="preserve">Distance minimale entre le mur et la main courante : </w:t>
      </w:r>
      <w:r>
        <w:rPr>
          <w:rStyle w:val="optioncarChar"/>
        </w:rPr>
        <w:t>4 (PMR)</w:t>
      </w:r>
      <w:r>
        <w:t> (par défaut)</w:t>
      </w:r>
      <w:r>
        <w:rPr>
          <w:rStyle w:val="optioncarChar"/>
        </w:rPr>
        <w:t> / ***</w:t>
      </w:r>
      <w:r>
        <w:t xml:space="preserve"> cm</w:t>
      </w:r>
    </w:p>
    <w:p w14:paraId="55D1CE49" w14:textId="77777777" w:rsidR="004B2808" w:rsidRDefault="00000000">
      <w:pPr>
        <w:pStyle w:val="pheading"/>
      </w:pPr>
      <w:r>
        <w:t>MESURAGE</w:t>
      </w:r>
    </w:p>
    <w:p w14:paraId="6CE39E2F" w14:textId="77777777" w:rsidR="004B2808" w:rsidRDefault="00000000">
      <w:r>
        <w:t>Conformément aux indications spécifiques dans le cahier spécial des charges et/ou le métré récapitulatif, le mesurage doit être conçu comme suit :</w:t>
      </w:r>
    </w:p>
    <w:p w14:paraId="73385ED7" w14:textId="77777777" w:rsidR="004B2808" w:rsidRDefault="00000000">
      <w:r>
        <w:t>Attention : les mains-courantes qui font partie des escaliers en bois sont comprises dans l'ensemble de ce poste.</w:t>
      </w:r>
    </w:p>
    <w:p w14:paraId="549B625A" w14:textId="77777777" w:rsidR="004B2808" w:rsidRDefault="00000000">
      <w:pPr>
        <w:pStyle w:val="pheading"/>
      </w:pPr>
      <w:r>
        <w:t>- unité de mesure:</w:t>
      </w:r>
    </w:p>
    <w:p w14:paraId="68190776" w14:textId="77777777" w:rsidR="004B2808" w:rsidRDefault="00000000">
      <w:r>
        <w:rPr>
          <w:rStyle w:val="optioncarChar"/>
        </w:rPr>
        <w:t xml:space="preserve">m </w:t>
      </w:r>
      <w:r>
        <w:t>(par défaut)</w:t>
      </w:r>
      <w:r>
        <w:rPr>
          <w:rStyle w:val="optioncarChar"/>
        </w:rPr>
        <w:t xml:space="preserve"> / pce/ -</w:t>
      </w:r>
    </w:p>
    <w:p w14:paraId="234021DF" w14:textId="77777777" w:rsidR="004B2808" w:rsidRDefault="00000000">
      <w:pPr>
        <w:pStyle w:val="pheading"/>
      </w:pPr>
      <w:r>
        <w:t>- code de mesurage:</w:t>
      </w:r>
    </w:p>
    <w:p w14:paraId="6E601FFB" w14:textId="77777777" w:rsidR="004B2808" w:rsidRDefault="00000000">
      <w:r>
        <w:t xml:space="preserve">Choix opéré : </w:t>
      </w:r>
      <w:r>
        <w:rPr>
          <w:rStyle w:val="optioncarChar"/>
        </w:rPr>
        <w:t>OPTION 1</w:t>
      </w:r>
      <w:r>
        <w:t xml:space="preserve"> (par défaut) </w:t>
      </w:r>
      <w:r>
        <w:rPr>
          <w:rStyle w:val="optioncarChar"/>
        </w:rPr>
        <w:t>/ OPTION 2 ( pce) / OPTION 3 (compris)</w:t>
      </w:r>
    </w:p>
    <w:p w14:paraId="78B7D452" w14:textId="77777777" w:rsidR="004B2808" w:rsidRDefault="00000000">
      <w:pPr>
        <w:pStyle w:val="Author-eListParagraph"/>
        <w:numPr>
          <w:ilvl w:val="0"/>
          <w:numId w:val="1503"/>
        </w:numPr>
      </w:pPr>
      <w:r>
        <w:t>OPTION 1 (par défaut) : Longueur nette</w:t>
      </w:r>
    </w:p>
    <w:p w14:paraId="3F593C9C" w14:textId="77777777" w:rsidR="004B2808" w:rsidRDefault="00000000">
      <w:pPr>
        <w:pStyle w:val="Author-eListParagraph"/>
        <w:numPr>
          <w:ilvl w:val="0"/>
          <w:numId w:val="1503"/>
        </w:numPr>
      </w:pPr>
      <w:r>
        <w:t>OPTION 2: Les assemblages courbés entre deux parties droites de la main-courante sont éventuellement mesurées à la pièce</w:t>
      </w:r>
    </w:p>
    <w:p w14:paraId="5D76F906" w14:textId="77777777" w:rsidR="004B2808" w:rsidRDefault="00000000">
      <w:pPr>
        <w:pStyle w:val="Author-eListParagraph"/>
        <w:numPr>
          <w:ilvl w:val="0"/>
          <w:numId w:val="1503"/>
        </w:numPr>
      </w:pPr>
      <w:r>
        <w:t>OPTION 3: Compris dans le prix des garde-corps et/ou de l'ensemble de l'escalier.</w:t>
      </w:r>
    </w:p>
    <w:p w14:paraId="383C388B" w14:textId="77777777" w:rsidR="004B2808" w:rsidRDefault="00000000">
      <w:pPr>
        <w:pStyle w:val="pheading"/>
      </w:pPr>
      <w:r>
        <w:t>- nature du marché:</w:t>
      </w:r>
    </w:p>
    <w:p w14:paraId="7951EC68" w14:textId="77777777" w:rsidR="004B2808" w:rsidRDefault="00000000">
      <w:r>
        <w:rPr>
          <w:rStyle w:val="optioncarChar"/>
        </w:rPr>
        <w:t>QF</w:t>
      </w:r>
      <w:r>
        <w:t xml:space="preserve"> (par défaut)</w:t>
      </w:r>
      <w:r>
        <w:rPr>
          <w:rStyle w:val="optioncarChar"/>
        </w:rPr>
        <w:t xml:space="preserve"> / PM</w:t>
      </w:r>
    </w:p>
    <w:p w14:paraId="56E74FA9" w14:textId="77777777" w:rsidR="004B2808" w:rsidRDefault="00000000">
      <w:pPr>
        <w:pStyle w:val="Author-eSectionHeading5Numberless"/>
      </w:pPr>
      <w:bookmarkStart w:id="1647" w:name="_Toc220491735"/>
      <w:r>
        <w:t>57.26.3 Main-courantes / Lisses en bois CCTB 01.02</w:t>
      </w:r>
      <w:bookmarkEnd w:id="1647"/>
    </w:p>
    <w:p w14:paraId="02E7E63B" w14:textId="77777777" w:rsidR="004B2808" w:rsidRDefault="00000000">
      <w:pPr>
        <w:pStyle w:val="Author-eSectionHeading6Numberless"/>
      </w:pPr>
      <w:bookmarkStart w:id="1648" w:name="_Toc220491736"/>
      <w:r>
        <w:t>57.26.3a Main-courantes / Lisses en bois CCTB 01.11</w:t>
      </w:r>
      <w:bookmarkEnd w:id="1648"/>
    </w:p>
    <w:p w14:paraId="15782520" w14:textId="77777777" w:rsidR="004B2808" w:rsidRDefault="00000000">
      <w:pPr>
        <w:pStyle w:val="pheading"/>
      </w:pPr>
      <w:r>
        <w:t>DESCRIPTION</w:t>
      </w:r>
    </w:p>
    <w:p w14:paraId="3D34FF3D" w14:textId="77777777" w:rsidR="004B2808" w:rsidRDefault="00000000">
      <w:pPr>
        <w:pStyle w:val="pheading"/>
      </w:pPr>
      <w:r>
        <w:t>- Localisation</w:t>
      </w:r>
    </w:p>
    <w:p w14:paraId="3530A3FF" w14:textId="77777777" w:rsidR="004B2808" w:rsidRDefault="00000000">
      <w:r>
        <w:t>Les mains-courantes le long du mur.</w:t>
      </w:r>
    </w:p>
    <w:p w14:paraId="26104980" w14:textId="77777777" w:rsidR="004B2808" w:rsidRDefault="00000000">
      <w:r>
        <w:t xml:space="preserve">Les mains-courantes sont placées : </w:t>
      </w:r>
      <w:r>
        <w:rPr>
          <w:rStyle w:val="optioncarChar"/>
        </w:rPr>
        <w:t>de chaque côté (PMR) </w:t>
      </w:r>
      <w:r>
        <w:t>(par défaut)</w:t>
      </w:r>
      <w:r>
        <w:rPr>
          <w:rStyle w:val="optioncarChar"/>
        </w:rPr>
        <w:t> / ***</w:t>
      </w:r>
      <w:r>
        <w:t xml:space="preserve"> de l’escalier.</w:t>
      </w:r>
    </w:p>
    <w:p w14:paraId="59E08180" w14:textId="77777777" w:rsidR="004B2808" w:rsidRDefault="00000000">
      <w:pPr>
        <w:pStyle w:val="pheading"/>
      </w:pPr>
      <w:r>
        <w:t>MATÉRIAUX</w:t>
      </w:r>
    </w:p>
    <w:p w14:paraId="14D4E8B7" w14:textId="77777777" w:rsidR="004B2808" w:rsidRDefault="00000000">
      <w:pPr>
        <w:pStyle w:val="pheading"/>
      </w:pPr>
      <w:r>
        <w:t>- Caractéristiques générales</w:t>
      </w:r>
    </w:p>
    <w:p w14:paraId="46F06675" w14:textId="77777777" w:rsidR="004B2808" w:rsidRDefault="00000000">
      <w:r>
        <w:t xml:space="preserve">Main-courante murale en pièces </w:t>
      </w:r>
      <w:r>
        <w:rPr>
          <w:rStyle w:val="optioncarChar"/>
        </w:rPr>
        <w:t>droites / courbées</w:t>
      </w:r>
      <w:r>
        <w:t xml:space="preserve"> en bois, de premier choix.</w:t>
      </w:r>
    </w:p>
    <w:p w14:paraId="0F977644" w14:textId="77777777" w:rsidR="004B2808" w:rsidRDefault="00000000">
      <w:pPr>
        <w:pStyle w:val="heading"/>
      </w:pPr>
      <w:r>
        <w:t>Spécifications</w:t>
      </w:r>
    </w:p>
    <w:p w14:paraId="40A0C76D" w14:textId="77777777" w:rsidR="004B2808" w:rsidRDefault="00000000">
      <w:pPr>
        <w:pStyle w:val="Author-eListParagraph"/>
        <w:numPr>
          <w:ilvl w:val="0"/>
          <w:numId w:val="1504"/>
        </w:numPr>
      </w:pPr>
      <w:r>
        <w:t xml:space="preserve">Essence : </w:t>
      </w:r>
      <w:r>
        <w:rPr>
          <w:rStyle w:val="optioncarChar"/>
        </w:rPr>
        <w:t xml:space="preserve">Hêtre </w:t>
      </w:r>
      <w:r>
        <w:t xml:space="preserve">(par défaut) </w:t>
      </w:r>
      <w:r>
        <w:rPr>
          <w:rStyle w:val="optioncarChar"/>
        </w:rPr>
        <w:t>/ Chêne / Châtaignier / Tilleul / Douglas / Épicéa / Pin sylvestre / ***</w:t>
      </w:r>
      <w:r>
        <w:t>.</w:t>
      </w:r>
    </w:p>
    <w:p w14:paraId="730F6754" w14:textId="77777777" w:rsidR="004B2808" w:rsidRDefault="00000000">
      <w:pPr>
        <w:ind w:left="567"/>
      </w:pPr>
      <w:r>
        <w:rPr>
          <w:b/>
        </w:rPr>
        <w:t xml:space="preserve">(soit par défaut) </w:t>
      </w:r>
      <w:r>
        <w:rPr>
          <w:rStyle w:val="soitChar"/>
        </w:rPr>
        <w:t xml:space="preserve">Hêtre (FASY) - </w:t>
      </w:r>
      <w:r>
        <w:rPr>
          <w:rStyle w:val="soitChar"/>
          <w:i/>
        </w:rPr>
        <w:t xml:space="preserve">Fagus sylvatica L. </w:t>
      </w:r>
      <w:r>
        <w:rPr>
          <w:rStyle w:val="soitChar"/>
        </w:rPr>
        <w:t>selon la [NBN EN 13556]. Qualité : 1er choix selon la norme [NBN EN 975-1]). Le bois mis en œuvre est exempt de cœur rouge.</w:t>
      </w:r>
    </w:p>
    <w:p w14:paraId="30FBED57" w14:textId="77777777" w:rsidR="004B2808" w:rsidRDefault="00000000">
      <w:pPr>
        <w:ind w:left="567"/>
      </w:pPr>
      <w:r>
        <w:rPr>
          <w:b/>
        </w:rPr>
        <w:t>(soit)</w:t>
      </w:r>
      <w:r>
        <w:rPr>
          <w:rStyle w:val="soitChar"/>
        </w:rPr>
        <w:t xml:space="preserve">Chêne (QCXE) – </w:t>
      </w:r>
      <w:r>
        <w:rPr>
          <w:rStyle w:val="soitChar"/>
          <w:i/>
        </w:rPr>
        <w:t xml:space="preserve">Quercus robur L. / Quercus petraea (Matt.) Liebl. </w:t>
      </w:r>
      <w:r>
        <w:rPr>
          <w:rStyle w:val="soitChar"/>
        </w:rPr>
        <w:t>selon la [NBN EN 13556]</w:t>
      </w:r>
    </w:p>
    <w:p w14:paraId="4BCCE4C4" w14:textId="77777777" w:rsidR="004B2808" w:rsidRDefault="00000000">
      <w:pPr>
        <w:ind w:left="567"/>
      </w:pPr>
      <w:r>
        <w:rPr>
          <w:b/>
        </w:rPr>
        <w:t>(soit)</w:t>
      </w:r>
      <w:r>
        <w:rPr>
          <w:rStyle w:val="soitChar"/>
        </w:rPr>
        <w:t xml:space="preserve">Châtaignier (CTST) - </w:t>
      </w:r>
      <w:r>
        <w:rPr>
          <w:rStyle w:val="soitChar"/>
          <w:i/>
        </w:rPr>
        <w:t xml:space="preserve">Castanea sativa Miller </w:t>
      </w:r>
      <w:r>
        <w:rPr>
          <w:rStyle w:val="soitChar"/>
        </w:rPr>
        <w:t>selon la [NBN EN 13556]</w:t>
      </w:r>
    </w:p>
    <w:p w14:paraId="0E711BF5" w14:textId="77777777" w:rsidR="004B2808" w:rsidRDefault="00000000">
      <w:pPr>
        <w:ind w:left="567"/>
      </w:pPr>
      <w:r>
        <w:rPr>
          <w:b/>
        </w:rPr>
        <w:t>(soit)</w:t>
      </w:r>
      <w:r>
        <w:rPr>
          <w:rStyle w:val="soitChar"/>
        </w:rPr>
        <w:t xml:space="preserve">Tilleul (TIXX) - </w:t>
      </w:r>
      <w:r>
        <w:rPr>
          <w:rStyle w:val="soitChar"/>
          <w:i/>
        </w:rPr>
        <w:t xml:space="preserve">Tilia spp. </w:t>
      </w:r>
      <w:r>
        <w:rPr>
          <w:rStyle w:val="soitChar"/>
        </w:rPr>
        <w:t>selon la [NBN EN 13556]</w:t>
      </w:r>
      <w:r>
        <w:br/>
      </w:r>
    </w:p>
    <w:p w14:paraId="244A36EF" w14:textId="77777777" w:rsidR="004B2808" w:rsidRDefault="00000000">
      <w:pPr>
        <w:ind w:left="567"/>
      </w:pPr>
      <w:r>
        <w:rPr>
          <w:b/>
        </w:rPr>
        <w:lastRenderedPageBreak/>
        <w:t>(soit)</w:t>
      </w:r>
      <w:r>
        <w:rPr>
          <w:rStyle w:val="soitChar"/>
        </w:rPr>
        <w:t xml:space="preserve">Douglas (PSMN) - </w:t>
      </w:r>
      <w:r>
        <w:rPr>
          <w:rStyle w:val="soitChar"/>
          <w:i/>
        </w:rPr>
        <w:t xml:space="preserve">Castanea sativa Miller </w:t>
      </w:r>
      <w:r>
        <w:rPr>
          <w:rStyle w:val="soitChar"/>
        </w:rPr>
        <w:t>selon la [NBN EN 13556]</w:t>
      </w:r>
    </w:p>
    <w:p w14:paraId="4E2A39C1" w14:textId="77777777" w:rsidR="004B2808" w:rsidRDefault="00000000">
      <w:pPr>
        <w:ind w:left="567"/>
      </w:pPr>
      <w:r>
        <w:rPr>
          <w:b/>
        </w:rPr>
        <w:t>(soit)</w:t>
      </w:r>
      <w:r>
        <w:rPr>
          <w:rStyle w:val="soitChar"/>
        </w:rPr>
        <w:t xml:space="preserve">Épicéa (PCAB) - </w:t>
      </w:r>
      <w:r>
        <w:rPr>
          <w:rStyle w:val="soitChar"/>
          <w:i/>
        </w:rPr>
        <w:t xml:space="preserve">Picea abies </w:t>
      </w:r>
      <w:r>
        <w:rPr>
          <w:rStyle w:val="soitChar"/>
        </w:rPr>
        <w:t>selon la [NBN EN 13556]</w:t>
      </w:r>
    </w:p>
    <w:p w14:paraId="44F66D2A" w14:textId="77777777" w:rsidR="004B2808" w:rsidRDefault="00000000">
      <w:pPr>
        <w:ind w:left="567"/>
      </w:pPr>
      <w:r>
        <w:rPr>
          <w:b/>
        </w:rPr>
        <w:t>(soit)</w:t>
      </w:r>
      <w:r>
        <w:rPr>
          <w:rStyle w:val="soitChar"/>
        </w:rPr>
        <w:t xml:space="preserve">Pin sylvestre (PNSY) - </w:t>
      </w:r>
      <w:r>
        <w:rPr>
          <w:rStyle w:val="soitChar"/>
          <w:i/>
        </w:rPr>
        <w:t xml:space="preserve">Pinus sylvestris </w:t>
      </w:r>
      <w:r>
        <w:rPr>
          <w:rStyle w:val="soitChar"/>
        </w:rPr>
        <w:t>selon la [NBN EN 13556]</w:t>
      </w:r>
    </w:p>
    <w:p w14:paraId="3CC6CC1C" w14:textId="77777777" w:rsidR="004B2808" w:rsidRDefault="00000000">
      <w:pPr>
        <w:ind w:left="567"/>
      </w:pPr>
      <w:r>
        <w:rPr>
          <w:b/>
        </w:rPr>
        <w:t>(soit)</w:t>
      </w:r>
      <w:r>
        <w:rPr>
          <w:rStyle w:val="optioncarChar"/>
        </w:rPr>
        <w:t>***</w:t>
      </w:r>
    </w:p>
    <w:p w14:paraId="31911E92" w14:textId="77777777" w:rsidR="004B2808" w:rsidRDefault="00000000">
      <w:pPr>
        <w:pStyle w:val="Author-eListParagraph"/>
        <w:numPr>
          <w:ilvl w:val="0"/>
          <w:numId w:val="1505"/>
        </w:numPr>
      </w:pPr>
      <w:r>
        <w:t xml:space="preserve">Type : </w:t>
      </w:r>
      <w:r>
        <w:rPr>
          <w:rStyle w:val="optioncarChar"/>
        </w:rPr>
        <w:t>simple (1 lisse)</w:t>
      </w:r>
      <w:r>
        <w:t> (par défaut)</w:t>
      </w:r>
      <w:r>
        <w:rPr>
          <w:rStyle w:val="optioncarChar"/>
        </w:rPr>
        <w:t xml:space="preserve"> / double (2 lisses) (PMR) / ***</w:t>
      </w:r>
    </w:p>
    <w:p w14:paraId="274E9D0F" w14:textId="77777777" w:rsidR="004B2808" w:rsidRDefault="00000000">
      <w:pPr>
        <w:pStyle w:val="Author-eListParagraph"/>
        <w:numPr>
          <w:ilvl w:val="0"/>
          <w:numId w:val="1505"/>
        </w:numPr>
      </w:pPr>
      <w:r>
        <w:t xml:space="preserve">Géométrie : </w:t>
      </w:r>
      <w:r>
        <w:rPr>
          <w:rStyle w:val="optioncarChar"/>
        </w:rPr>
        <w:t>solides et continues sur les paliers (PMR) </w:t>
      </w:r>
      <w:r>
        <w:t>(par défaut)</w:t>
      </w:r>
      <w:r>
        <w:rPr>
          <w:rStyle w:val="optioncarChar"/>
        </w:rPr>
        <w:t> / ***</w:t>
      </w:r>
    </w:p>
    <w:p w14:paraId="0DEC1002" w14:textId="77777777" w:rsidR="004B2808" w:rsidRDefault="00000000">
      <w:pPr>
        <w:pStyle w:val="Author-eListParagraph"/>
        <w:numPr>
          <w:ilvl w:val="0"/>
          <w:numId w:val="1505"/>
        </w:numPr>
      </w:pPr>
      <w:r>
        <w:t xml:space="preserve">Forme : </w:t>
      </w:r>
      <w:r>
        <w:rPr>
          <w:rStyle w:val="optioncarChar"/>
        </w:rPr>
        <w:t xml:space="preserve">selon le dessin de détail </w:t>
      </w:r>
      <w:r>
        <w:t>(par défaut) </w:t>
      </w:r>
      <w:r>
        <w:rPr>
          <w:rStyle w:val="optioncarChar"/>
        </w:rPr>
        <w:t>/ modèle à soumettre pour approbation à l'auteur de projet / ***</w:t>
      </w:r>
    </w:p>
    <w:p w14:paraId="342EE21C" w14:textId="77777777" w:rsidR="004B2808" w:rsidRDefault="00000000">
      <w:pPr>
        <w:pStyle w:val="Author-eListParagraph"/>
        <w:numPr>
          <w:ilvl w:val="0"/>
          <w:numId w:val="1505"/>
        </w:numPr>
      </w:pPr>
      <w:r>
        <w:t xml:space="preserve">Profil externe : </w:t>
      </w:r>
      <w:r>
        <w:rPr>
          <w:rStyle w:val="optioncarChar"/>
        </w:rPr>
        <w:t>55 x 65 mm </w:t>
      </w:r>
      <w:r>
        <w:t>(par défaut)</w:t>
      </w:r>
      <w:r>
        <w:rPr>
          <w:rStyle w:val="optioncarChar"/>
        </w:rPr>
        <w:t xml:space="preserve"> / rond (PMR) / ***</w:t>
      </w:r>
      <w:r>
        <w:t xml:space="preserve">, de diamètre </w:t>
      </w:r>
      <w:r>
        <w:rPr>
          <w:rStyle w:val="optioncarChar"/>
        </w:rPr>
        <w:t>40 (PMR)</w:t>
      </w:r>
      <w:r>
        <w:t> (par défaut)</w:t>
      </w:r>
      <w:r>
        <w:rPr>
          <w:rStyle w:val="optioncarChar"/>
        </w:rPr>
        <w:t xml:space="preserve"> / 45 (PMR) / 50 (PMR) / ***</w:t>
      </w:r>
      <w:r>
        <w:t xml:space="preserve"> mm</w:t>
      </w:r>
    </w:p>
    <w:p w14:paraId="05A52DA8" w14:textId="77777777" w:rsidR="004B2808" w:rsidRDefault="00000000">
      <w:pPr>
        <w:pStyle w:val="Author-eListParagraph"/>
        <w:numPr>
          <w:ilvl w:val="0"/>
          <w:numId w:val="1505"/>
        </w:numPr>
      </w:pPr>
      <w:r>
        <w:t xml:space="preserve">Arrondi : rayon </w:t>
      </w:r>
      <w:r>
        <w:rPr>
          <w:rStyle w:val="optioncarChar"/>
        </w:rPr>
        <w:t>20 </w:t>
      </w:r>
      <w:r>
        <w:t>(par défaut)</w:t>
      </w:r>
      <w:r>
        <w:rPr>
          <w:rStyle w:val="optioncarChar"/>
        </w:rPr>
        <w:t xml:space="preserve"> / ***</w:t>
      </w:r>
      <w:r>
        <w:t xml:space="preserve"> mm</w:t>
      </w:r>
    </w:p>
    <w:p w14:paraId="2CD54592" w14:textId="77777777" w:rsidR="004B2808" w:rsidRDefault="00000000">
      <w:pPr>
        <w:pStyle w:val="pheading"/>
      </w:pPr>
      <w:r>
        <w:t>- Finitions</w:t>
      </w:r>
    </w:p>
    <w:p w14:paraId="0CDACD15" w14:textId="77777777" w:rsidR="004B2808" w:rsidRDefault="00000000">
      <w:r>
        <w:t xml:space="preserve">Finition : </w:t>
      </w:r>
      <w:r>
        <w:rPr>
          <w:rStyle w:val="optioncarChar"/>
        </w:rPr>
        <w:t>non traitée </w:t>
      </w:r>
      <w:r>
        <w:t>(par défaut)</w:t>
      </w:r>
      <w:r>
        <w:rPr>
          <w:rStyle w:val="optioncarChar"/>
        </w:rPr>
        <w:t xml:space="preserve"> / 2 couches de vernis alkyde-uréthane (satiné) / 2 couches de vernis polyuréthane-acrylique (satiné) / laquée ***</w:t>
      </w:r>
      <w:r>
        <w:t>.</w:t>
      </w:r>
    </w:p>
    <w:p w14:paraId="40FA4657" w14:textId="77777777" w:rsidR="004B2808" w:rsidRDefault="00000000">
      <w:r>
        <w:t xml:space="preserve">Différence de LRV entre la main-courante et son support : </w:t>
      </w:r>
      <w:r>
        <w:rPr>
          <w:rStyle w:val="optioncarChar"/>
        </w:rPr>
        <w:t>au moins 30% (PMR) </w:t>
      </w:r>
      <w:r>
        <w:t>(par défaut)</w:t>
      </w:r>
      <w:r>
        <w:rPr>
          <w:rStyle w:val="optioncarChar"/>
        </w:rPr>
        <w:t> / ***</w:t>
      </w:r>
    </w:p>
    <w:p w14:paraId="5C695BC8" w14:textId="77777777" w:rsidR="004B2808" w:rsidRDefault="00000000">
      <w:pPr>
        <w:pStyle w:val="pheading"/>
      </w:pPr>
      <w:r>
        <w:t>- Prescriptions complémentaires</w:t>
      </w:r>
    </w:p>
    <w:p w14:paraId="50F3023D" w14:textId="77777777" w:rsidR="004B2808" w:rsidRDefault="00000000">
      <w:r>
        <w:t>Les mains-courantes sont prolongées :</w:t>
      </w:r>
    </w:p>
    <w:p w14:paraId="15A9BE4C" w14:textId="77777777" w:rsidR="004B2808" w:rsidRDefault="00000000">
      <w:pPr>
        <w:pStyle w:val="Author-eListParagraph"/>
        <w:numPr>
          <w:ilvl w:val="0"/>
          <w:numId w:val="1506"/>
        </w:numPr>
      </w:pPr>
      <w:r>
        <w:t xml:space="preserve">côté mur : </w:t>
      </w:r>
      <w:r>
        <w:rPr>
          <w:rStyle w:val="optioncarChar"/>
        </w:rPr>
        <w:t>prolongement de 40 cm à l'origine et à l'extrémité de l'escalier (PMR) </w:t>
      </w:r>
      <w:r>
        <w:t>(par défaut)</w:t>
      </w:r>
      <w:r>
        <w:rPr>
          <w:rStyle w:val="optioncarChar"/>
        </w:rPr>
        <w:t> / ***</w:t>
      </w:r>
    </w:p>
    <w:p w14:paraId="2BF61ECF" w14:textId="77777777" w:rsidR="004B2808" w:rsidRDefault="00000000">
      <w:pPr>
        <w:pStyle w:val="Author-eListParagraph"/>
        <w:numPr>
          <w:ilvl w:val="0"/>
          <w:numId w:val="1506"/>
        </w:numPr>
      </w:pPr>
      <w:r>
        <w:t xml:space="preserve">côté vide : </w:t>
      </w:r>
      <w:r>
        <w:rPr>
          <w:rStyle w:val="optioncarChar"/>
        </w:rPr>
        <w:t>prolongement jusqu'au sol et de 40 cm, à l'origine et à l'extrémité de l'escalier (PMR) </w:t>
      </w:r>
      <w:r>
        <w:t>(par défaut)</w:t>
      </w:r>
      <w:r>
        <w:rPr>
          <w:rStyle w:val="optioncarChar"/>
        </w:rPr>
        <w:t> / ***</w:t>
      </w:r>
    </w:p>
    <w:p w14:paraId="1C08C3B1" w14:textId="77777777" w:rsidR="004B2808" w:rsidRDefault="00000000">
      <w:pPr>
        <w:pStyle w:val="pheading"/>
      </w:pPr>
      <w:r>
        <w:t>EXÉCUTION / MISE EN ŒUVRE</w:t>
      </w:r>
    </w:p>
    <w:p w14:paraId="174824A3" w14:textId="77777777" w:rsidR="004B2808" w:rsidRDefault="00000000">
      <w:pPr>
        <w:pStyle w:val="pheading"/>
      </w:pPr>
      <w:r>
        <w:t>- Prescriptions générales</w:t>
      </w:r>
    </w:p>
    <w:p w14:paraId="45B231B2" w14:textId="77777777" w:rsidR="004B2808" w:rsidRDefault="00000000">
      <w:r>
        <w:t>Hauteur de placement :</w:t>
      </w:r>
    </w:p>
    <w:p w14:paraId="60294125" w14:textId="77777777" w:rsidR="004B2808" w:rsidRDefault="00000000">
      <w:pPr>
        <w:pStyle w:val="Author-eListParagraph"/>
        <w:numPr>
          <w:ilvl w:val="0"/>
          <w:numId w:val="1507"/>
        </w:numPr>
      </w:pPr>
      <w:r>
        <w:t xml:space="preserve">Main-courante principale : </w:t>
      </w:r>
      <w:r>
        <w:rPr>
          <w:rStyle w:val="optioncarChar"/>
        </w:rPr>
        <w:t>entre 85 et 100 (PMR)</w:t>
      </w:r>
      <w:r>
        <w:t> (par défaut)</w:t>
      </w:r>
      <w:r>
        <w:rPr>
          <w:rStyle w:val="optioncarChar"/>
        </w:rPr>
        <w:t> / ***</w:t>
      </w:r>
      <w:r>
        <w:t> cm, par rapport aux nez de marches</w:t>
      </w:r>
    </w:p>
    <w:p w14:paraId="29B50D39" w14:textId="77777777" w:rsidR="004B2808" w:rsidRDefault="00000000">
      <w:pPr>
        <w:pStyle w:val="Author-eListParagraph"/>
        <w:numPr>
          <w:ilvl w:val="0"/>
          <w:numId w:val="1507"/>
        </w:numPr>
      </w:pPr>
      <w:r>
        <w:t>Main-courante secondaire :</w:t>
      </w:r>
      <w:r>
        <w:rPr>
          <w:rStyle w:val="optioncarChar"/>
        </w:rPr>
        <w:t> entre 60 et 75 (PMR) </w:t>
      </w:r>
      <w:r>
        <w:t>(par défaut)</w:t>
      </w:r>
      <w:r>
        <w:rPr>
          <w:rStyle w:val="optioncarChar"/>
        </w:rPr>
        <w:t> / ***</w:t>
      </w:r>
      <w:r>
        <w:t> cm, par rapport aux nez de marches</w:t>
      </w:r>
    </w:p>
    <w:p w14:paraId="21C902F3" w14:textId="77777777" w:rsidR="004B2808" w:rsidRDefault="00000000">
      <w:r>
        <w:t xml:space="preserve">Assemblage de la main courante : </w:t>
      </w:r>
      <w:r>
        <w:rPr>
          <w:rStyle w:val="optioncarChar"/>
        </w:rPr>
        <w:t>en une ligne souple (p</w:t>
      </w:r>
      <w:r>
        <w:t xml:space="preserve">ar défaut) </w:t>
      </w:r>
      <w:r>
        <w:rPr>
          <w:rStyle w:val="optioncarChar"/>
        </w:rPr>
        <w:t>/ à onglet perpendiculairement / ***</w:t>
      </w:r>
    </w:p>
    <w:p w14:paraId="3782E371" w14:textId="77777777" w:rsidR="004B2808" w:rsidRDefault="00000000">
      <w:r>
        <w:t>Fixation : à l'aide</w:t>
      </w:r>
      <w:r>
        <w:rPr>
          <w:rStyle w:val="optioncarChar"/>
        </w:rPr>
        <w:t xml:space="preserve"> de supports métalliques / d'écarteurs </w:t>
      </w:r>
      <w:r>
        <w:t>fixés solidement au mur, au moins tous les mètres.</w:t>
      </w:r>
    </w:p>
    <w:p w14:paraId="335C449D" w14:textId="77777777" w:rsidR="004B2808" w:rsidRDefault="00000000">
      <w:r>
        <w:t xml:space="preserve">Distance minimale entre le mur et la main courante : </w:t>
      </w:r>
      <w:r>
        <w:rPr>
          <w:rStyle w:val="optioncarChar"/>
        </w:rPr>
        <w:t>4 (PMR) </w:t>
      </w:r>
      <w:r>
        <w:t>(par défaut)</w:t>
      </w:r>
      <w:r>
        <w:rPr>
          <w:rStyle w:val="optioncarChar"/>
        </w:rPr>
        <w:t> / ***</w:t>
      </w:r>
      <w:r>
        <w:t xml:space="preserve"> cm</w:t>
      </w:r>
    </w:p>
    <w:p w14:paraId="75C0F759" w14:textId="77777777" w:rsidR="004B2808" w:rsidRDefault="00000000">
      <w:pPr>
        <w:pStyle w:val="pheading"/>
      </w:pPr>
      <w:r>
        <w:t>MESURAGE</w:t>
      </w:r>
    </w:p>
    <w:p w14:paraId="06DE1A01" w14:textId="77777777" w:rsidR="004B2808" w:rsidRDefault="00000000">
      <w:r>
        <w:t>Conformément aux indications spécifiques dans le cahier spécial des charges et/ou le métré récapitulatif, le mesurage doit être conçu comme suit :</w:t>
      </w:r>
    </w:p>
    <w:p w14:paraId="119857D5" w14:textId="77777777" w:rsidR="004B2808" w:rsidRDefault="00000000">
      <w:r>
        <w:t>Attention : les mains-courantes qui font partie des escaliers en bois sont comprises dans l'ensemble de ce poste.</w:t>
      </w:r>
    </w:p>
    <w:p w14:paraId="1C6E3416" w14:textId="77777777" w:rsidR="004B2808" w:rsidRDefault="00000000">
      <w:pPr>
        <w:pStyle w:val="pheading"/>
      </w:pPr>
      <w:r>
        <w:t>- unité de mesure:</w:t>
      </w:r>
    </w:p>
    <w:p w14:paraId="4AD10230" w14:textId="77777777" w:rsidR="004B2808" w:rsidRDefault="00000000">
      <w:r>
        <w:rPr>
          <w:rStyle w:val="optioncarChar"/>
        </w:rPr>
        <w:t xml:space="preserve">m </w:t>
      </w:r>
      <w:r>
        <w:t>(par défaut)</w:t>
      </w:r>
      <w:r>
        <w:rPr>
          <w:rStyle w:val="optioncarChar"/>
        </w:rPr>
        <w:t xml:space="preserve"> / pc / -</w:t>
      </w:r>
    </w:p>
    <w:p w14:paraId="4F4DCF3E" w14:textId="77777777" w:rsidR="004B2808" w:rsidRDefault="00000000">
      <w:r>
        <w:t> </w:t>
      </w:r>
    </w:p>
    <w:p w14:paraId="77145543" w14:textId="77777777" w:rsidR="004B2808" w:rsidRDefault="00000000">
      <w:pPr>
        <w:pStyle w:val="pheading"/>
      </w:pPr>
      <w:r>
        <w:t>- code de mesurage:</w:t>
      </w:r>
    </w:p>
    <w:p w14:paraId="6217E014" w14:textId="77777777" w:rsidR="004B2808" w:rsidRDefault="00000000">
      <w:r>
        <w:t xml:space="preserve">Choix opéré : </w:t>
      </w:r>
      <w:r>
        <w:rPr>
          <w:rStyle w:val="optioncarChar"/>
        </w:rPr>
        <w:t>OPTION 1 (par défaut) / OPTION 2 (pc) / OPTION 3 (compris)</w:t>
      </w:r>
    </w:p>
    <w:p w14:paraId="48FC391B" w14:textId="77777777" w:rsidR="004B2808" w:rsidRDefault="00000000">
      <w:pPr>
        <w:pStyle w:val="Author-eListParagraph"/>
        <w:numPr>
          <w:ilvl w:val="0"/>
          <w:numId w:val="1508"/>
        </w:numPr>
      </w:pPr>
      <w:r>
        <w:rPr>
          <w:b/>
        </w:rPr>
        <w:lastRenderedPageBreak/>
        <w:t>OPTION 1:</w:t>
      </w:r>
      <w:r>
        <w:t xml:space="preserve"> Longueur nette</w:t>
      </w:r>
    </w:p>
    <w:p w14:paraId="0F27927C" w14:textId="77777777" w:rsidR="004B2808" w:rsidRDefault="00000000">
      <w:pPr>
        <w:pStyle w:val="Author-eListParagraph"/>
        <w:numPr>
          <w:ilvl w:val="0"/>
          <w:numId w:val="1509"/>
        </w:numPr>
      </w:pPr>
      <w:r>
        <w:rPr>
          <w:b/>
        </w:rPr>
        <w:t>OPTION 2:</w:t>
      </w:r>
      <w:r>
        <w:t xml:space="preserve"> Les assemblages courbés entre deux parties droites de la main-courante sont éventuellement mesurées à la pièce</w:t>
      </w:r>
    </w:p>
    <w:p w14:paraId="7C2B5212" w14:textId="77777777" w:rsidR="004B2808" w:rsidRDefault="00000000">
      <w:pPr>
        <w:pStyle w:val="Author-eListParagraph"/>
        <w:numPr>
          <w:ilvl w:val="0"/>
          <w:numId w:val="1510"/>
        </w:numPr>
      </w:pPr>
      <w:r>
        <w:rPr>
          <w:b/>
        </w:rPr>
        <w:t>OPTION 3 :</w:t>
      </w:r>
      <w:r>
        <w:t xml:space="preserve"> Compris dans le prix des garde-corps et/ou de l'ensemble de l'escalier.</w:t>
      </w:r>
    </w:p>
    <w:p w14:paraId="24F87121" w14:textId="77777777" w:rsidR="004B2808" w:rsidRDefault="00000000">
      <w:pPr>
        <w:pStyle w:val="pheading"/>
      </w:pPr>
      <w:r>
        <w:t>- nature du marché:</w:t>
      </w:r>
    </w:p>
    <w:p w14:paraId="6A18CABD" w14:textId="77777777" w:rsidR="004B2808" w:rsidRDefault="00000000">
      <w:r>
        <w:rPr>
          <w:rStyle w:val="optioncarChar"/>
        </w:rPr>
        <w:t>QF</w:t>
      </w:r>
      <w:r>
        <w:t xml:space="preserve">(par défaut) </w:t>
      </w:r>
      <w:r>
        <w:rPr>
          <w:rStyle w:val="optioncarChar"/>
        </w:rPr>
        <w:t>/ PM</w:t>
      </w:r>
    </w:p>
    <w:p w14:paraId="5426A700" w14:textId="77777777" w:rsidR="004B2808" w:rsidRDefault="00000000">
      <w:pPr>
        <w:pStyle w:val="Author-eSectionHeading5Numberless"/>
      </w:pPr>
      <w:bookmarkStart w:id="1649" w:name="_Toc220491737"/>
      <w:r>
        <w:t>57.26.4 Main-courantes / Lisses métalliques CCTB 01.02</w:t>
      </w:r>
      <w:bookmarkEnd w:id="1649"/>
    </w:p>
    <w:p w14:paraId="69E18BE1" w14:textId="77777777" w:rsidR="004B2808" w:rsidRDefault="00000000">
      <w:pPr>
        <w:pStyle w:val="Author-eSectionHeading6Numberless"/>
      </w:pPr>
      <w:bookmarkStart w:id="1650" w:name="_Toc220491738"/>
      <w:r>
        <w:t>57.26.4a Main-courantes / Lisses métalliques - en acier CCTB 01.10</w:t>
      </w:r>
      <w:bookmarkEnd w:id="1650"/>
    </w:p>
    <w:p w14:paraId="0CC031A0" w14:textId="77777777" w:rsidR="004B2808" w:rsidRDefault="00000000">
      <w:pPr>
        <w:pStyle w:val="pheading"/>
      </w:pPr>
      <w:r>
        <w:t>DESCRIPTION</w:t>
      </w:r>
    </w:p>
    <w:p w14:paraId="443C7668" w14:textId="77777777" w:rsidR="004B2808" w:rsidRDefault="00000000">
      <w:pPr>
        <w:pStyle w:val="pheading"/>
      </w:pPr>
      <w:r>
        <w:t>- Localisation</w:t>
      </w:r>
    </w:p>
    <w:p w14:paraId="5E973EDC" w14:textId="77777777" w:rsidR="004B2808" w:rsidRDefault="00000000">
      <w:r>
        <w:t>Les mains-courantes le long du mur.</w:t>
      </w:r>
    </w:p>
    <w:p w14:paraId="6B5357E9" w14:textId="77777777" w:rsidR="004B2808" w:rsidRDefault="00000000">
      <w:r>
        <w:t xml:space="preserve">Les mains-courantes sont placées : </w:t>
      </w:r>
      <w:r>
        <w:rPr>
          <w:rStyle w:val="optioncarChar"/>
        </w:rPr>
        <w:t>de chaque côté (PMR) </w:t>
      </w:r>
      <w:r>
        <w:t>(par défaut)</w:t>
      </w:r>
      <w:r>
        <w:rPr>
          <w:rStyle w:val="optioncarChar"/>
        </w:rPr>
        <w:t> / ***</w:t>
      </w:r>
      <w:r>
        <w:t xml:space="preserve"> de l’escalier.</w:t>
      </w:r>
    </w:p>
    <w:p w14:paraId="77606540" w14:textId="77777777" w:rsidR="004B2808" w:rsidRDefault="00000000">
      <w:pPr>
        <w:pStyle w:val="pheading"/>
      </w:pPr>
      <w:r>
        <w:t>MATÉRIAUX</w:t>
      </w:r>
    </w:p>
    <w:p w14:paraId="48193FC3" w14:textId="77777777" w:rsidR="004B2808" w:rsidRDefault="00000000">
      <w:pPr>
        <w:pStyle w:val="pheading"/>
      </w:pPr>
      <w:r>
        <w:t>- Caractéristiques générales</w:t>
      </w:r>
    </w:p>
    <w:p w14:paraId="0BAFEAE5" w14:textId="77777777" w:rsidR="004B2808" w:rsidRDefault="00000000">
      <w:r>
        <w:t>Les mains-courantes en acier le long du mur sont fabriquées en profils tubulaires sans soudure.</w:t>
      </w:r>
    </w:p>
    <w:p w14:paraId="76D2F881" w14:textId="77777777" w:rsidR="004B2808" w:rsidRDefault="00000000">
      <w:pPr>
        <w:pStyle w:val="heading"/>
      </w:pPr>
      <w:r>
        <w:t>Spécifications</w:t>
      </w:r>
    </w:p>
    <w:p w14:paraId="1694583D" w14:textId="77777777" w:rsidR="004B2808" w:rsidRDefault="00000000">
      <w:pPr>
        <w:pStyle w:val="Author-eListParagraph"/>
        <w:numPr>
          <w:ilvl w:val="0"/>
          <w:numId w:val="1511"/>
        </w:numPr>
      </w:pPr>
      <w:r>
        <w:t xml:space="preserve">Type : </w:t>
      </w:r>
      <w:r>
        <w:rPr>
          <w:rStyle w:val="optioncarChar"/>
        </w:rPr>
        <w:t>simple (1 lisse) </w:t>
      </w:r>
      <w:r>
        <w:t>(par défaut)</w:t>
      </w:r>
      <w:r>
        <w:rPr>
          <w:rStyle w:val="optioncarChar"/>
        </w:rPr>
        <w:t xml:space="preserve"> / double (2 lisses) (PMR) / ***</w:t>
      </w:r>
    </w:p>
    <w:p w14:paraId="5409DAE0" w14:textId="77777777" w:rsidR="004B2808" w:rsidRDefault="00000000">
      <w:pPr>
        <w:pStyle w:val="Author-eListParagraph"/>
        <w:numPr>
          <w:ilvl w:val="0"/>
          <w:numId w:val="1511"/>
        </w:numPr>
      </w:pPr>
      <w:r>
        <w:t xml:space="preserve">Géométrie : </w:t>
      </w:r>
      <w:r>
        <w:rPr>
          <w:rStyle w:val="optioncarChar"/>
        </w:rPr>
        <w:t>solides et continues sur les paliers (PMR) </w:t>
      </w:r>
      <w:r>
        <w:t>(par défaut)</w:t>
      </w:r>
      <w:r>
        <w:rPr>
          <w:rStyle w:val="optioncarChar"/>
        </w:rPr>
        <w:t> / ***</w:t>
      </w:r>
    </w:p>
    <w:p w14:paraId="191E9E7E" w14:textId="77777777" w:rsidR="004B2808" w:rsidRDefault="00000000">
      <w:pPr>
        <w:pStyle w:val="Author-eListParagraph"/>
        <w:numPr>
          <w:ilvl w:val="0"/>
          <w:numId w:val="1511"/>
        </w:numPr>
      </w:pPr>
      <w:r>
        <w:t xml:space="preserve">Modèle : </w:t>
      </w:r>
      <w:r>
        <w:rPr>
          <w:rStyle w:val="optioncarChar"/>
        </w:rPr>
        <w:t>à soumettre à l'approbation de l'auteur de projet </w:t>
      </w:r>
      <w:r>
        <w:t>(par défaut)</w:t>
      </w:r>
      <w:r>
        <w:rPr>
          <w:rStyle w:val="optioncarChar"/>
        </w:rPr>
        <w:t xml:space="preserve"> / ***</w:t>
      </w:r>
    </w:p>
    <w:p w14:paraId="46B2F674" w14:textId="77777777" w:rsidR="004B2808" w:rsidRDefault="00000000">
      <w:pPr>
        <w:pStyle w:val="Author-eListParagraph"/>
        <w:numPr>
          <w:ilvl w:val="0"/>
          <w:numId w:val="1511"/>
        </w:numPr>
      </w:pPr>
      <w:r>
        <w:t xml:space="preserve">Nuance d'acier : </w:t>
      </w:r>
      <w:r>
        <w:rPr>
          <w:rStyle w:val="optioncarChar"/>
        </w:rPr>
        <w:t>FeE 320 G </w:t>
      </w:r>
      <w:r>
        <w:t>(par défaut)</w:t>
      </w:r>
      <w:r>
        <w:rPr>
          <w:rStyle w:val="optioncarChar"/>
        </w:rPr>
        <w:t xml:space="preserve"> / FeE 350 G / acier inoxydable / ***</w:t>
      </w:r>
    </w:p>
    <w:p w14:paraId="5AA5A033" w14:textId="77777777" w:rsidR="004B2808" w:rsidRDefault="00000000">
      <w:pPr>
        <w:pStyle w:val="Author-eListParagraph"/>
        <w:numPr>
          <w:ilvl w:val="0"/>
          <w:numId w:val="1511"/>
        </w:numPr>
      </w:pPr>
      <w:r>
        <w:t xml:space="preserve">Epaisseur de la paroi : minimum </w:t>
      </w:r>
      <w:r>
        <w:rPr>
          <w:rStyle w:val="optioncarChar"/>
        </w:rPr>
        <w:t>0,65 </w:t>
      </w:r>
      <w:r>
        <w:t xml:space="preserve">(par défaut) </w:t>
      </w:r>
      <w:r>
        <w:rPr>
          <w:rStyle w:val="optioncarChar"/>
        </w:rPr>
        <w:t>/ 1 / 1,5 / ***</w:t>
      </w:r>
      <w:r>
        <w:t xml:space="preserve"> mm</w:t>
      </w:r>
    </w:p>
    <w:p w14:paraId="1EFF9920" w14:textId="77777777" w:rsidR="004B2808" w:rsidRDefault="00000000">
      <w:pPr>
        <w:pStyle w:val="Author-eListParagraph"/>
        <w:numPr>
          <w:ilvl w:val="0"/>
          <w:numId w:val="1511"/>
        </w:numPr>
      </w:pPr>
      <w:r>
        <w:t xml:space="preserve">Section : </w:t>
      </w:r>
      <w:r>
        <w:rPr>
          <w:rStyle w:val="optioncarChar"/>
        </w:rPr>
        <w:t>ronde (PMR)</w:t>
      </w:r>
      <w:r>
        <w:t> (par défaut)</w:t>
      </w:r>
      <w:r>
        <w:rPr>
          <w:rStyle w:val="optioncarChar"/>
        </w:rPr>
        <w:t xml:space="preserve"> / ellipsoïde / rectangulaire à angles arrondis / carrée à angles arrondis / ***</w:t>
      </w:r>
    </w:p>
    <w:p w14:paraId="4EA216DF" w14:textId="77777777" w:rsidR="004B2808" w:rsidRDefault="00000000">
      <w:pPr>
        <w:pStyle w:val="Author-eListParagraph"/>
        <w:numPr>
          <w:ilvl w:val="0"/>
          <w:numId w:val="1511"/>
        </w:numPr>
      </w:pPr>
      <w:r>
        <w:t>Dimensions : </w:t>
      </w:r>
    </w:p>
    <w:p w14:paraId="3B545655" w14:textId="77777777" w:rsidR="004B2808" w:rsidRDefault="00000000">
      <w:pPr>
        <w:pStyle w:val="Author-eListParagraph"/>
        <w:numPr>
          <w:ilvl w:val="1"/>
          <w:numId w:val="1512"/>
        </w:numPr>
      </w:pPr>
      <w:r>
        <w:t xml:space="preserve">section ronde : diamètre </w:t>
      </w:r>
      <w:r>
        <w:rPr>
          <w:rStyle w:val="optioncarChar"/>
        </w:rPr>
        <w:t>30 </w:t>
      </w:r>
      <w:r>
        <w:t>(par défaut)</w:t>
      </w:r>
      <w:r>
        <w:rPr>
          <w:rStyle w:val="optioncarChar"/>
        </w:rPr>
        <w:t xml:space="preserve"> / 40 (PMR) / 50 (PMR) / *** </w:t>
      </w:r>
      <w:r>
        <w:t>mm</w:t>
      </w:r>
    </w:p>
    <w:p w14:paraId="2D80D53E" w14:textId="77777777" w:rsidR="004B2808" w:rsidRDefault="00000000">
      <w:pPr>
        <w:pStyle w:val="Author-eListParagraph"/>
        <w:numPr>
          <w:ilvl w:val="1"/>
          <w:numId w:val="1512"/>
        </w:numPr>
      </w:pPr>
      <w:r>
        <w:t xml:space="preserve">autre section : </w:t>
      </w:r>
      <w:r>
        <w:rPr>
          <w:rStyle w:val="optioncarChar"/>
        </w:rPr>
        <w:t xml:space="preserve">*** </w:t>
      </w:r>
      <w:r>
        <w:t>x</w:t>
      </w:r>
      <w:r>
        <w:rPr>
          <w:rStyle w:val="optioncarChar"/>
        </w:rPr>
        <w:t xml:space="preserve"> *** </w:t>
      </w:r>
      <w:r>
        <w:t>mm</w:t>
      </w:r>
    </w:p>
    <w:p w14:paraId="4281879C" w14:textId="77777777" w:rsidR="004B2808" w:rsidRDefault="00000000">
      <w:pPr>
        <w:pStyle w:val="Author-eListParagraph"/>
        <w:numPr>
          <w:ilvl w:val="0"/>
          <w:numId w:val="1511"/>
        </w:numPr>
      </w:pPr>
      <w:r>
        <w:t xml:space="preserve">Revêtement : </w:t>
      </w:r>
      <w:r>
        <w:rPr>
          <w:rStyle w:val="optioncarChar"/>
        </w:rPr>
        <w:t xml:space="preserve">avec / sans </w:t>
      </w:r>
      <w:r>
        <w:t>revêtement organique</w:t>
      </w:r>
    </w:p>
    <w:p w14:paraId="7E3C4E93" w14:textId="77777777" w:rsidR="004B2808" w:rsidRDefault="00000000">
      <w:pPr>
        <w:pStyle w:val="Author-eListParagraph"/>
        <w:numPr>
          <w:ilvl w:val="0"/>
          <w:numId w:val="1511"/>
        </w:numPr>
      </w:pPr>
      <w:r>
        <w:t>Traitement de surface :</w:t>
      </w:r>
      <w:r>
        <w:rPr>
          <w:rStyle w:val="optioncarChar"/>
        </w:rPr>
        <w:t>Z 275 / Z 350 / Z 450</w:t>
      </w:r>
      <w:r>
        <w:t xml:space="preserve"> (acier galvanisé à chaud)</w:t>
      </w:r>
    </w:p>
    <w:p w14:paraId="6A9F549C" w14:textId="77777777" w:rsidR="004B2808" w:rsidRDefault="00000000">
      <w:pPr>
        <w:pStyle w:val="Author-eListParagraph"/>
        <w:numPr>
          <w:ilvl w:val="0"/>
          <w:numId w:val="1511"/>
        </w:numPr>
      </w:pPr>
      <w:r>
        <w:t xml:space="preserve">Finition de la surface : laque en poudre, coloris : RAL n° </w:t>
      </w:r>
      <w:r>
        <w:rPr>
          <w:rStyle w:val="optioncarChar"/>
        </w:rPr>
        <w:t>***</w:t>
      </w:r>
    </w:p>
    <w:p w14:paraId="7D7DE492" w14:textId="77777777" w:rsidR="004B2808" w:rsidRDefault="00000000">
      <w:pPr>
        <w:pStyle w:val="Author-eListParagraph"/>
        <w:numPr>
          <w:ilvl w:val="0"/>
          <w:numId w:val="1511"/>
        </w:numPr>
      </w:pPr>
      <w:r>
        <w:t xml:space="preserve">Différence de LRV entre la main-courante et son support : </w:t>
      </w:r>
      <w:r>
        <w:rPr>
          <w:rStyle w:val="optioncarChar"/>
        </w:rPr>
        <w:t>au moins 30% (PMR)</w:t>
      </w:r>
      <w:r>
        <w:t> (par défaut)</w:t>
      </w:r>
      <w:r>
        <w:rPr>
          <w:rStyle w:val="optioncarChar"/>
        </w:rPr>
        <w:t> / ***</w:t>
      </w:r>
    </w:p>
    <w:p w14:paraId="61B6B790" w14:textId="77777777" w:rsidR="004B2808" w:rsidRDefault="00000000">
      <w:pPr>
        <w:pStyle w:val="pheading"/>
      </w:pPr>
      <w:r>
        <w:t>- Prescriptions complémentaires</w:t>
      </w:r>
    </w:p>
    <w:p w14:paraId="39ACF956" w14:textId="77777777" w:rsidR="004B2808" w:rsidRDefault="00000000">
      <w:r>
        <w:t>Les mains-courantes sont prolongées :</w:t>
      </w:r>
    </w:p>
    <w:p w14:paraId="3BE632E8" w14:textId="77777777" w:rsidR="004B2808" w:rsidRDefault="00000000">
      <w:pPr>
        <w:pStyle w:val="Author-eListParagraph"/>
        <w:numPr>
          <w:ilvl w:val="0"/>
          <w:numId w:val="1513"/>
        </w:numPr>
      </w:pPr>
      <w:r>
        <w:t xml:space="preserve">côté mur : </w:t>
      </w:r>
      <w:r>
        <w:rPr>
          <w:rStyle w:val="optioncarChar"/>
        </w:rPr>
        <w:t>prolongement de 40 cm à l'origine et à l'extrémité de l'escalier (PMR) </w:t>
      </w:r>
      <w:r>
        <w:t>(par défaut) </w:t>
      </w:r>
      <w:r>
        <w:rPr>
          <w:rStyle w:val="optioncarChar"/>
        </w:rPr>
        <w:t>/ ***</w:t>
      </w:r>
    </w:p>
    <w:p w14:paraId="093BBFE2" w14:textId="77777777" w:rsidR="004B2808" w:rsidRDefault="00000000">
      <w:pPr>
        <w:pStyle w:val="Author-eListParagraph"/>
        <w:numPr>
          <w:ilvl w:val="0"/>
          <w:numId w:val="1513"/>
        </w:numPr>
      </w:pPr>
      <w:r>
        <w:t xml:space="preserve">côté vide : </w:t>
      </w:r>
      <w:r>
        <w:rPr>
          <w:rStyle w:val="optioncarChar"/>
        </w:rPr>
        <w:t>prolongement jusqu'au sol et de 40 cm, à l'origine et à l'extrémité de l'escalier (PMR)</w:t>
      </w:r>
      <w:r>
        <w:t> (par défaut)</w:t>
      </w:r>
      <w:r>
        <w:rPr>
          <w:rStyle w:val="optioncarChar"/>
        </w:rPr>
        <w:t> / ***</w:t>
      </w:r>
    </w:p>
    <w:p w14:paraId="543CED29" w14:textId="77777777" w:rsidR="004B2808" w:rsidRDefault="00000000">
      <w:pPr>
        <w:pStyle w:val="pheading"/>
      </w:pPr>
      <w:r>
        <w:t>EXÉCUTION / MISE EN ŒUVRE</w:t>
      </w:r>
    </w:p>
    <w:p w14:paraId="4063103E" w14:textId="77777777" w:rsidR="004B2808" w:rsidRDefault="00000000">
      <w:pPr>
        <w:pStyle w:val="pheading"/>
      </w:pPr>
      <w:r>
        <w:t>- Prescriptions générales</w:t>
      </w:r>
    </w:p>
    <w:p w14:paraId="3372E5E7" w14:textId="77777777" w:rsidR="004B2808" w:rsidRDefault="00000000">
      <w:r>
        <w:t>Hauteur de placement :  </w:t>
      </w:r>
    </w:p>
    <w:p w14:paraId="59EA9E6A" w14:textId="77777777" w:rsidR="004B2808" w:rsidRDefault="00000000">
      <w:pPr>
        <w:pStyle w:val="Author-eListParagraph"/>
        <w:numPr>
          <w:ilvl w:val="0"/>
          <w:numId w:val="1514"/>
        </w:numPr>
      </w:pPr>
      <w:r>
        <w:t xml:space="preserve">Main-courante principale : </w:t>
      </w:r>
      <w:r>
        <w:rPr>
          <w:rStyle w:val="optioncarChar"/>
        </w:rPr>
        <w:t>entre 85 et 100 (PMR) </w:t>
      </w:r>
      <w:r>
        <w:t>(par défaut)</w:t>
      </w:r>
      <w:r>
        <w:rPr>
          <w:rStyle w:val="optioncarChar"/>
        </w:rPr>
        <w:t> / ***</w:t>
      </w:r>
      <w:r>
        <w:t> cm, par rapport aux nez de marches</w:t>
      </w:r>
    </w:p>
    <w:p w14:paraId="18CC3E00" w14:textId="77777777" w:rsidR="004B2808" w:rsidRDefault="00000000">
      <w:pPr>
        <w:pStyle w:val="Author-eListParagraph"/>
        <w:numPr>
          <w:ilvl w:val="0"/>
          <w:numId w:val="1515"/>
        </w:numPr>
      </w:pPr>
      <w:r>
        <w:t>Main-courante secondaire :</w:t>
      </w:r>
      <w:r>
        <w:rPr>
          <w:rStyle w:val="optioncarChar"/>
        </w:rPr>
        <w:t> entre 60 et 75 (PMR)</w:t>
      </w:r>
      <w:r>
        <w:t> (par défaut)</w:t>
      </w:r>
      <w:r>
        <w:rPr>
          <w:rStyle w:val="optioncarChar"/>
        </w:rPr>
        <w:t> / ***</w:t>
      </w:r>
      <w:r>
        <w:t> cm, par rapport aux nez de marches </w:t>
      </w:r>
    </w:p>
    <w:p w14:paraId="6E733248" w14:textId="77777777" w:rsidR="004B2808" w:rsidRDefault="00000000">
      <w:r>
        <w:lastRenderedPageBreak/>
        <w:t xml:space="preserve">Assemblage de la main courante : </w:t>
      </w:r>
      <w:r>
        <w:rPr>
          <w:rStyle w:val="optioncarChar"/>
        </w:rPr>
        <w:t>en une ligne souple</w:t>
      </w:r>
      <w:r>
        <w:t> (par défaut)</w:t>
      </w:r>
      <w:r>
        <w:rPr>
          <w:rStyle w:val="optioncarChar"/>
        </w:rPr>
        <w:t xml:space="preserve"> / à onglet perpendiculairement / ***</w:t>
      </w:r>
    </w:p>
    <w:p w14:paraId="545CDB68" w14:textId="77777777" w:rsidR="004B2808" w:rsidRDefault="00000000">
      <w:r>
        <w:t xml:space="preserve">Fixation : </w:t>
      </w:r>
      <w:r>
        <w:rPr>
          <w:rStyle w:val="optioncarChar"/>
        </w:rPr>
        <w:t>avec des supports en métal</w:t>
      </w:r>
      <w:r>
        <w:t> (par défaut)</w:t>
      </w:r>
      <w:r>
        <w:rPr>
          <w:rStyle w:val="optioncarChar"/>
        </w:rPr>
        <w:t xml:space="preserve"> / *** </w:t>
      </w:r>
      <w:r>
        <w:t>fixés solidement au mur au moins tous les mètres.</w:t>
      </w:r>
    </w:p>
    <w:p w14:paraId="095A0A50" w14:textId="77777777" w:rsidR="004B2808" w:rsidRDefault="00000000">
      <w:r>
        <w:t xml:space="preserve">Distance minimale entre le mur et la main courante : </w:t>
      </w:r>
      <w:r>
        <w:rPr>
          <w:rStyle w:val="optioncarChar"/>
        </w:rPr>
        <w:t>4 (PMR) </w:t>
      </w:r>
      <w:r>
        <w:t>(par défaut)</w:t>
      </w:r>
      <w:r>
        <w:rPr>
          <w:rStyle w:val="optioncarChar"/>
        </w:rPr>
        <w:t> / ***</w:t>
      </w:r>
      <w:r>
        <w:t>  cm</w:t>
      </w:r>
    </w:p>
    <w:p w14:paraId="5E4A5742" w14:textId="77777777" w:rsidR="004B2808" w:rsidRDefault="00000000">
      <w:pPr>
        <w:pStyle w:val="pheading"/>
      </w:pPr>
      <w:r>
        <w:t>MESURAGE</w:t>
      </w:r>
    </w:p>
    <w:p w14:paraId="650261A8" w14:textId="77777777" w:rsidR="004B2808" w:rsidRDefault="00000000">
      <w:r>
        <w:t>Conformément aux indications spécifiques dans le cahier spécial des charges et/ou le métré récapitulatif, le mesurage doit être conçu comme suit :</w:t>
      </w:r>
    </w:p>
    <w:p w14:paraId="27694C57" w14:textId="77777777" w:rsidR="004B2808" w:rsidRDefault="00000000">
      <w:r>
        <w:t>Attention : les mains-courantes qui font partie des escaliers en bois sont comprises dans l'ensemble de ce poste.</w:t>
      </w:r>
    </w:p>
    <w:p w14:paraId="0DA26513" w14:textId="77777777" w:rsidR="004B2808" w:rsidRDefault="00000000">
      <w:pPr>
        <w:pStyle w:val="pheading"/>
      </w:pPr>
      <w:r>
        <w:t>- unité de mesure:</w:t>
      </w:r>
    </w:p>
    <w:p w14:paraId="2A0C379C" w14:textId="77777777" w:rsidR="004B2808" w:rsidRDefault="00000000">
      <w:r>
        <w:rPr>
          <w:rStyle w:val="optioncarChar"/>
        </w:rPr>
        <w:t xml:space="preserve">m </w:t>
      </w:r>
      <w:r>
        <w:t xml:space="preserve">(par défaut) </w:t>
      </w:r>
      <w:r>
        <w:rPr>
          <w:rStyle w:val="optioncarChar"/>
        </w:rPr>
        <w:t>/ pc / -</w:t>
      </w:r>
    </w:p>
    <w:p w14:paraId="31BE2DDF" w14:textId="77777777" w:rsidR="004B2808" w:rsidRDefault="00000000">
      <w:pPr>
        <w:pStyle w:val="pheading"/>
      </w:pPr>
      <w:r>
        <w:t>- code de mesurage:</w:t>
      </w:r>
    </w:p>
    <w:p w14:paraId="67F28173" w14:textId="77777777" w:rsidR="004B2808" w:rsidRDefault="00000000">
      <w:r>
        <w:t xml:space="preserve">Choix opéré: </w:t>
      </w:r>
      <w:r>
        <w:rPr>
          <w:rStyle w:val="optioncarChar"/>
        </w:rPr>
        <w:t>OPTION 1</w:t>
      </w:r>
      <w:r>
        <w:t xml:space="preserve"> (par défaut)</w:t>
      </w:r>
      <w:r>
        <w:rPr>
          <w:rStyle w:val="optioncarChar"/>
        </w:rPr>
        <w:t xml:space="preserve"> / OPTION 2 (pc) / OPTION 3 (compris)</w:t>
      </w:r>
    </w:p>
    <w:p w14:paraId="5D5D16E1" w14:textId="77777777" w:rsidR="004B2808" w:rsidRDefault="00000000">
      <w:pPr>
        <w:pStyle w:val="Author-eListParagraph"/>
        <w:numPr>
          <w:ilvl w:val="0"/>
          <w:numId w:val="1516"/>
        </w:numPr>
      </w:pPr>
      <w:r>
        <w:rPr>
          <w:b/>
        </w:rPr>
        <w:t xml:space="preserve">OPTION 1 </w:t>
      </w:r>
      <w:r>
        <w:t>(par défaut) </w:t>
      </w:r>
      <w:r>
        <w:rPr>
          <w:b/>
        </w:rPr>
        <w:t>:</w:t>
      </w:r>
      <w:r>
        <w:t xml:space="preserve"> Longueur nette</w:t>
      </w:r>
    </w:p>
    <w:p w14:paraId="5743AA7A" w14:textId="77777777" w:rsidR="004B2808" w:rsidRDefault="00000000">
      <w:pPr>
        <w:pStyle w:val="Author-eListParagraph"/>
        <w:numPr>
          <w:ilvl w:val="0"/>
          <w:numId w:val="1516"/>
        </w:numPr>
      </w:pPr>
      <w:r>
        <w:rPr>
          <w:b/>
        </w:rPr>
        <w:t>OPTION 2:</w:t>
      </w:r>
      <w:r>
        <w:t xml:space="preserve"> Les assemblages courbés entre deux parties droites de la main-courante sont éventuellement mesurées à la pièce</w:t>
      </w:r>
    </w:p>
    <w:p w14:paraId="59EFE402" w14:textId="77777777" w:rsidR="004B2808" w:rsidRDefault="00000000">
      <w:pPr>
        <w:pStyle w:val="Author-eListParagraph"/>
        <w:numPr>
          <w:ilvl w:val="0"/>
          <w:numId w:val="1516"/>
        </w:numPr>
      </w:pPr>
      <w:r>
        <w:rPr>
          <w:b/>
        </w:rPr>
        <w:t>OPTION 3</w:t>
      </w:r>
      <w:r>
        <w:t>: Compris dans le prix des garde-corps et/ou de l'ensemble de l'escalier.</w:t>
      </w:r>
    </w:p>
    <w:p w14:paraId="630B0AD3" w14:textId="77777777" w:rsidR="004B2808" w:rsidRDefault="00000000">
      <w:pPr>
        <w:pStyle w:val="pheading"/>
      </w:pPr>
      <w:r>
        <w:t>- nature du marché:</w:t>
      </w:r>
    </w:p>
    <w:p w14:paraId="39AB2249" w14:textId="77777777" w:rsidR="004B2808" w:rsidRDefault="00000000">
      <w:r>
        <w:rPr>
          <w:rStyle w:val="optioncarChar"/>
        </w:rPr>
        <w:t>QF</w:t>
      </w:r>
      <w:r>
        <w:t>(par défaut)</w:t>
      </w:r>
      <w:r>
        <w:rPr>
          <w:rStyle w:val="optioncarChar"/>
        </w:rPr>
        <w:t xml:space="preserve"> / PM</w:t>
      </w:r>
    </w:p>
    <w:p w14:paraId="754F17FE" w14:textId="77777777" w:rsidR="004B2808" w:rsidRDefault="00000000">
      <w:pPr>
        <w:pStyle w:val="Author-eSectionHeading6Numberless"/>
      </w:pPr>
      <w:bookmarkStart w:id="1651" w:name="_Toc220491739"/>
      <w:r>
        <w:t>57.26.4b Main-courantes / Lisses métalliques - en acier inoxydable CCTB 01.10</w:t>
      </w:r>
      <w:bookmarkEnd w:id="1651"/>
    </w:p>
    <w:p w14:paraId="7658646E" w14:textId="77777777" w:rsidR="004B2808" w:rsidRDefault="00000000">
      <w:pPr>
        <w:pStyle w:val="pheading"/>
      </w:pPr>
      <w:r>
        <w:t>DESCRIPTION</w:t>
      </w:r>
    </w:p>
    <w:p w14:paraId="3811C539" w14:textId="77777777" w:rsidR="004B2808" w:rsidRDefault="00000000">
      <w:pPr>
        <w:pStyle w:val="pheading"/>
      </w:pPr>
      <w:r>
        <w:t>- Localisation</w:t>
      </w:r>
    </w:p>
    <w:p w14:paraId="1CC7FFE3" w14:textId="77777777" w:rsidR="004B2808" w:rsidRDefault="00000000">
      <w:r>
        <w:t xml:space="preserve">Les mains-courantes sont placées : </w:t>
      </w:r>
      <w:r>
        <w:rPr>
          <w:rStyle w:val="optioncarChar"/>
        </w:rPr>
        <w:t>de chaque côté (PMR) </w:t>
      </w:r>
      <w:r>
        <w:t>(par défaut)</w:t>
      </w:r>
      <w:r>
        <w:rPr>
          <w:rStyle w:val="optioncarChar"/>
        </w:rPr>
        <w:t> / ***</w:t>
      </w:r>
      <w:r>
        <w:t xml:space="preserve"> de l’escalier.</w:t>
      </w:r>
    </w:p>
    <w:p w14:paraId="3FB07BAF" w14:textId="77777777" w:rsidR="004B2808" w:rsidRDefault="00000000">
      <w:pPr>
        <w:pStyle w:val="pheading"/>
      </w:pPr>
      <w:r>
        <w:t>MATÉRIAUX</w:t>
      </w:r>
    </w:p>
    <w:p w14:paraId="7085C8B4" w14:textId="77777777" w:rsidR="004B2808" w:rsidRDefault="00000000">
      <w:pPr>
        <w:pStyle w:val="pheading"/>
      </w:pPr>
      <w:r>
        <w:t>- Caractéristiques générales</w:t>
      </w:r>
    </w:p>
    <w:p w14:paraId="5771A351" w14:textId="77777777" w:rsidR="004B2808" w:rsidRDefault="00000000">
      <w:r>
        <w:rPr>
          <w:b/>
          <w:u w:val="single"/>
        </w:rPr>
        <w:t>Spécifications</w:t>
      </w:r>
    </w:p>
    <w:p w14:paraId="3D933311" w14:textId="77777777" w:rsidR="004B2808" w:rsidRDefault="00000000">
      <w:pPr>
        <w:pStyle w:val="Author-eListParagraph"/>
        <w:numPr>
          <w:ilvl w:val="0"/>
          <w:numId w:val="1517"/>
        </w:numPr>
      </w:pPr>
      <w:r>
        <w:t xml:space="preserve">Type : </w:t>
      </w:r>
      <w:r>
        <w:rPr>
          <w:rStyle w:val="optioncarChar"/>
        </w:rPr>
        <w:t>simple (1 lisse) / double (2 lisses) (PMR)</w:t>
      </w:r>
      <w:r>
        <w:t> (par défaut) </w:t>
      </w:r>
      <w:r>
        <w:rPr>
          <w:rStyle w:val="optioncarChar"/>
        </w:rPr>
        <w:t>/ ***</w:t>
      </w:r>
    </w:p>
    <w:p w14:paraId="531AE871" w14:textId="77777777" w:rsidR="004B2808" w:rsidRDefault="00000000">
      <w:pPr>
        <w:pStyle w:val="Author-eListParagraph"/>
        <w:numPr>
          <w:ilvl w:val="0"/>
          <w:numId w:val="1517"/>
        </w:numPr>
      </w:pPr>
      <w:r>
        <w:t xml:space="preserve">Géométrie : </w:t>
      </w:r>
      <w:r>
        <w:rPr>
          <w:rStyle w:val="optioncarChar"/>
        </w:rPr>
        <w:t>solides et continues sur les paliers (PMR) </w:t>
      </w:r>
      <w:r>
        <w:t>(par défaut) </w:t>
      </w:r>
      <w:r>
        <w:rPr>
          <w:rStyle w:val="optioncarChar"/>
        </w:rPr>
        <w:t>/ ***</w:t>
      </w:r>
    </w:p>
    <w:p w14:paraId="4A542C03" w14:textId="77777777" w:rsidR="004B2808" w:rsidRDefault="00000000">
      <w:pPr>
        <w:pStyle w:val="Author-eListParagraph"/>
        <w:numPr>
          <w:ilvl w:val="0"/>
          <w:numId w:val="1517"/>
        </w:numPr>
      </w:pPr>
      <w:r>
        <w:t xml:space="preserve">Profil externe : </w:t>
      </w:r>
      <w:r>
        <w:rPr>
          <w:rStyle w:val="optioncarChar"/>
        </w:rPr>
        <w:t>55 x 65 mm</w:t>
      </w:r>
      <w:r>
        <w:t xml:space="preserve"> (par défaut) </w:t>
      </w:r>
      <w:r>
        <w:rPr>
          <w:rStyle w:val="optioncarChar"/>
        </w:rPr>
        <w:t>/ rond (PMR) / ***</w:t>
      </w:r>
      <w:r>
        <w:t xml:space="preserve">, de diamètre </w:t>
      </w:r>
      <w:r>
        <w:rPr>
          <w:rStyle w:val="optioncarChar"/>
        </w:rPr>
        <w:t>40 (PMR) </w:t>
      </w:r>
      <w:r>
        <w:t>(par défaut)</w:t>
      </w:r>
      <w:r>
        <w:rPr>
          <w:rStyle w:val="optioncarChar"/>
        </w:rPr>
        <w:t xml:space="preserve"> / 45 (PMR) / 50 (PMR) / ***</w:t>
      </w:r>
      <w:r>
        <w:t xml:space="preserve"> mm</w:t>
      </w:r>
    </w:p>
    <w:p w14:paraId="1A295DB0" w14:textId="77777777" w:rsidR="004B2808" w:rsidRDefault="00000000">
      <w:pPr>
        <w:pStyle w:val="pheading"/>
      </w:pPr>
      <w:r>
        <w:t>- Finitions</w:t>
      </w:r>
    </w:p>
    <w:p w14:paraId="3FFBE04F" w14:textId="77777777" w:rsidR="004B2808" w:rsidRDefault="00000000">
      <w:r>
        <w:t xml:space="preserve">Différence de LRV entre la main-courante et son support : </w:t>
      </w:r>
      <w:r>
        <w:rPr>
          <w:rStyle w:val="optioncarChar"/>
        </w:rPr>
        <w:t>au moins 30% (PMR) </w:t>
      </w:r>
      <w:r>
        <w:t>(par défaut)</w:t>
      </w:r>
      <w:r>
        <w:rPr>
          <w:rStyle w:val="optioncarChar"/>
        </w:rPr>
        <w:t> / ***</w:t>
      </w:r>
    </w:p>
    <w:p w14:paraId="3CD91975" w14:textId="77777777" w:rsidR="004B2808" w:rsidRDefault="00000000">
      <w:pPr>
        <w:pStyle w:val="pheading"/>
      </w:pPr>
      <w:r>
        <w:t>- Prescriptions complémentaires</w:t>
      </w:r>
    </w:p>
    <w:p w14:paraId="6FB2606A" w14:textId="77777777" w:rsidR="004B2808" w:rsidRDefault="00000000">
      <w:r>
        <w:t>Les mains-courantes sont prolongées :</w:t>
      </w:r>
    </w:p>
    <w:p w14:paraId="2929A437" w14:textId="77777777" w:rsidR="004B2808" w:rsidRDefault="00000000">
      <w:pPr>
        <w:pStyle w:val="Author-eListParagraph"/>
        <w:numPr>
          <w:ilvl w:val="0"/>
          <w:numId w:val="1518"/>
        </w:numPr>
      </w:pPr>
      <w:r>
        <w:t xml:space="preserve">côté mur : </w:t>
      </w:r>
      <w:r>
        <w:rPr>
          <w:rStyle w:val="optioncarChar"/>
        </w:rPr>
        <w:t>prolongement de 40 cm à l'origine et à l'extrémité de l'escalier (PMR)</w:t>
      </w:r>
      <w:r>
        <w:t> (par défaut)</w:t>
      </w:r>
      <w:r>
        <w:rPr>
          <w:rStyle w:val="optioncarChar"/>
        </w:rPr>
        <w:t> / ***</w:t>
      </w:r>
    </w:p>
    <w:p w14:paraId="3D8DA66D" w14:textId="77777777" w:rsidR="004B2808" w:rsidRDefault="00000000">
      <w:pPr>
        <w:pStyle w:val="Author-eListParagraph"/>
        <w:numPr>
          <w:ilvl w:val="0"/>
          <w:numId w:val="1518"/>
        </w:numPr>
      </w:pPr>
      <w:r>
        <w:t xml:space="preserve">côté vide : </w:t>
      </w:r>
      <w:r>
        <w:rPr>
          <w:rStyle w:val="optioncarChar"/>
        </w:rPr>
        <w:t>prolongement jusqu'au sol et de 40 cm, à l'origine et à l'extrémité de l'escalier (PMR) </w:t>
      </w:r>
      <w:r>
        <w:t>(par défaut)</w:t>
      </w:r>
      <w:r>
        <w:rPr>
          <w:rStyle w:val="optioncarChar"/>
        </w:rPr>
        <w:t> / ***</w:t>
      </w:r>
    </w:p>
    <w:p w14:paraId="7E367245" w14:textId="77777777" w:rsidR="004B2808" w:rsidRDefault="00000000">
      <w:pPr>
        <w:pStyle w:val="pheading"/>
      </w:pPr>
      <w:r>
        <w:t>EXÉCUTION / MISE EN ŒUVRE</w:t>
      </w:r>
    </w:p>
    <w:p w14:paraId="09CAB6A2" w14:textId="77777777" w:rsidR="004B2808" w:rsidRDefault="00000000">
      <w:pPr>
        <w:pStyle w:val="pheading"/>
      </w:pPr>
      <w:r>
        <w:t>- Prescriptions générales</w:t>
      </w:r>
    </w:p>
    <w:p w14:paraId="40CD182D" w14:textId="77777777" w:rsidR="004B2808" w:rsidRDefault="00000000">
      <w:r>
        <w:lastRenderedPageBreak/>
        <w:t>Hauteur de placement :  </w:t>
      </w:r>
    </w:p>
    <w:p w14:paraId="17256073" w14:textId="77777777" w:rsidR="004B2808" w:rsidRDefault="00000000">
      <w:pPr>
        <w:pStyle w:val="Author-eListParagraph"/>
        <w:numPr>
          <w:ilvl w:val="0"/>
          <w:numId w:val="1519"/>
        </w:numPr>
      </w:pPr>
      <w:r>
        <w:t xml:space="preserve">Main-courante principale : </w:t>
      </w:r>
      <w:r>
        <w:rPr>
          <w:rStyle w:val="optioncarChar"/>
        </w:rPr>
        <w:t>entre 85 et 100 (PMR)</w:t>
      </w:r>
      <w:r>
        <w:t> (par défaut) </w:t>
      </w:r>
      <w:r>
        <w:rPr>
          <w:rStyle w:val="optioncarChar"/>
        </w:rPr>
        <w:t>/ ***</w:t>
      </w:r>
      <w:r>
        <w:t> cm, par rapport aux nez de marches</w:t>
      </w:r>
    </w:p>
    <w:p w14:paraId="0FF1D70D" w14:textId="77777777" w:rsidR="004B2808" w:rsidRDefault="00000000">
      <w:pPr>
        <w:pStyle w:val="Author-eListParagraph"/>
        <w:numPr>
          <w:ilvl w:val="0"/>
          <w:numId w:val="1520"/>
        </w:numPr>
      </w:pPr>
      <w:r>
        <w:t>Main-courante secondaire :</w:t>
      </w:r>
      <w:r>
        <w:rPr>
          <w:rStyle w:val="optioncarChar"/>
        </w:rPr>
        <w:t> entre 60 et 75 (PMR) </w:t>
      </w:r>
      <w:r>
        <w:t>(par défaut)</w:t>
      </w:r>
      <w:r>
        <w:rPr>
          <w:rStyle w:val="optioncarChar"/>
        </w:rPr>
        <w:t> / ***</w:t>
      </w:r>
      <w:r>
        <w:t> cm, par rapport aux nez de marches</w:t>
      </w:r>
    </w:p>
    <w:p w14:paraId="4BD3B4D6" w14:textId="77777777" w:rsidR="004B2808" w:rsidRDefault="00000000">
      <w:r>
        <w:t xml:space="preserve">Distance minimale entre le mur et la main courante : </w:t>
      </w:r>
      <w:r>
        <w:rPr>
          <w:rStyle w:val="optioncarChar"/>
        </w:rPr>
        <w:t>4 (PMR) </w:t>
      </w:r>
      <w:r>
        <w:t>(par défaut)</w:t>
      </w:r>
      <w:r>
        <w:rPr>
          <w:rStyle w:val="optioncarChar"/>
        </w:rPr>
        <w:t> / ***</w:t>
      </w:r>
      <w:r>
        <w:t xml:space="preserve"> cm</w:t>
      </w:r>
    </w:p>
    <w:p w14:paraId="13CD488A" w14:textId="77777777" w:rsidR="004B2808" w:rsidRDefault="00000000">
      <w:pPr>
        <w:pStyle w:val="Author-eSectionHeading6Numberless"/>
      </w:pPr>
      <w:bookmarkStart w:id="1652" w:name="_Toc220491740"/>
      <w:r>
        <w:t>57.26.4c Main-courantes / Lisses métalliques - en aluminium CCTB 01.10</w:t>
      </w:r>
      <w:bookmarkEnd w:id="1652"/>
    </w:p>
    <w:p w14:paraId="4564A4F5" w14:textId="77777777" w:rsidR="004B2808" w:rsidRDefault="00000000">
      <w:pPr>
        <w:pStyle w:val="pheading"/>
      </w:pPr>
      <w:r>
        <w:t>DESCRIPTION</w:t>
      </w:r>
    </w:p>
    <w:p w14:paraId="41192824" w14:textId="77777777" w:rsidR="004B2808" w:rsidRDefault="00000000">
      <w:pPr>
        <w:pStyle w:val="pheading"/>
      </w:pPr>
      <w:r>
        <w:t>- Localisation</w:t>
      </w:r>
    </w:p>
    <w:p w14:paraId="7D25BE72" w14:textId="77777777" w:rsidR="004B2808" w:rsidRDefault="00000000">
      <w:r>
        <w:t>Les mains-courantes le long du mur.</w:t>
      </w:r>
    </w:p>
    <w:p w14:paraId="2C0825A9" w14:textId="77777777" w:rsidR="004B2808" w:rsidRDefault="00000000">
      <w:r>
        <w:t xml:space="preserve">Les mains-courantes sont placées : </w:t>
      </w:r>
      <w:r>
        <w:rPr>
          <w:rStyle w:val="optioncarChar"/>
        </w:rPr>
        <w:t>de chaque côté (PMR) </w:t>
      </w:r>
      <w:r>
        <w:t>(par défaut)</w:t>
      </w:r>
      <w:r>
        <w:rPr>
          <w:rStyle w:val="optioncarChar"/>
        </w:rPr>
        <w:t> / ***</w:t>
      </w:r>
      <w:r>
        <w:t xml:space="preserve"> de l’escalier.</w:t>
      </w:r>
    </w:p>
    <w:p w14:paraId="4F997CD1" w14:textId="77777777" w:rsidR="004B2808" w:rsidRDefault="00000000">
      <w:pPr>
        <w:pStyle w:val="pheading"/>
      </w:pPr>
      <w:r>
        <w:t>MATÉRIAUX</w:t>
      </w:r>
    </w:p>
    <w:p w14:paraId="4E562F26" w14:textId="77777777" w:rsidR="004B2808" w:rsidRDefault="00000000">
      <w:pPr>
        <w:pStyle w:val="pheading"/>
      </w:pPr>
      <w:r>
        <w:t>- Caractéristiques générales</w:t>
      </w:r>
    </w:p>
    <w:p w14:paraId="5B5B9ABF" w14:textId="77777777" w:rsidR="004B2808" w:rsidRDefault="00000000">
      <w:r>
        <w:rPr>
          <w:b/>
          <w:u w:val="single"/>
        </w:rPr>
        <w:t>Spécifications</w:t>
      </w:r>
    </w:p>
    <w:p w14:paraId="644C7856" w14:textId="77777777" w:rsidR="004B2808" w:rsidRDefault="00000000">
      <w:pPr>
        <w:pStyle w:val="Author-eListParagraph"/>
        <w:numPr>
          <w:ilvl w:val="0"/>
          <w:numId w:val="1521"/>
        </w:numPr>
      </w:pPr>
      <w:r>
        <w:t xml:space="preserve">Type : </w:t>
      </w:r>
      <w:r>
        <w:rPr>
          <w:rStyle w:val="optioncarChar"/>
        </w:rPr>
        <w:t>simple (1 lisse) </w:t>
      </w:r>
      <w:r>
        <w:t>(par défaut)</w:t>
      </w:r>
      <w:r>
        <w:rPr>
          <w:rStyle w:val="optioncarChar"/>
        </w:rPr>
        <w:t xml:space="preserve"> / double (2 lisses) (PMR) </w:t>
      </w:r>
      <w:r>
        <w:t>(par défaut)</w:t>
      </w:r>
      <w:r>
        <w:rPr>
          <w:rStyle w:val="optioncarChar"/>
        </w:rPr>
        <w:t> / ***</w:t>
      </w:r>
    </w:p>
    <w:p w14:paraId="64B16B1C" w14:textId="77777777" w:rsidR="004B2808" w:rsidRDefault="00000000">
      <w:pPr>
        <w:pStyle w:val="Author-eListParagraph"/>
        <w:numPr>
          <w:ilvl w:val="0"/>
          <w:numId w:val="1521"/>
        </w:numPr>
      </w:pPr>
      <w:r>
        <w:t xml:space="preserve">Géométrie : </w:t>
      </w:r>
      <w:r>
        <w:rPr>
          <w:rStyle w:val="optioncarChar"/>
        </w:rPr>
        <w:t>solides et continues sur les paliers (PMR) </w:t>
      </w:r>
      <w:r>
        <w:t>(par défaut)</w:t>
      </w:r>
      <w:r>
        <w:rPr>
          <w:rStyle w:val="optioncarChar"/>
        </w:rPr>
        <w:t> / ***</w:t>
      </w:r>
    </w:p>
    <w:p w14:paraId="0566F248" w14:textId="77777777" w:rsidR="004B2808" w:rsidRDefault="00000000">
      <w:pPr>
        <w:pStyle w:val="Author-eListParagraph"/>
        <w:numPr>
          <w:ilvl w:val="0"/>
          <w:numId w:val="1521"/>
        </w:numPr>
      </w:pPr>
      <w:r>
        <w:t xml:space="preserve">Profil externe : </w:t>
      </w:r>
      <w:r>
        <w:rPr>
          <w:rStyle w:val="optioncarChar"/>
        </w:rPr>
        <w:t>55 x 65 mm</w:t>
      </w:r>
      <w:r>
        <w:t xml:space="preserve"> (par défaut)</w:t>
      </w:r>
      <w:r>
        <w:rPr>
          <w:rStyle w:val="optioncarChar"/>
        </w:rPr>
        <w:t> / rond (PMR) / ***</w:t>
      </w:r>
      <w:r>
        <w:t xml:space="preserve">, de diamètre </w:t>
      </w:r>
      <w:r>
        <w:rPr>
          <w:rStyle w:val="optioncarChar"/>
        </w:rPr>
        <w:t>40 (PMR) </w:t>
      </w:r>
      <w:r>
        <w:t>(par défaut)</w:t>
      </w:r>
      <w:r>
        <w:rPr>
          <w:rStyle w:val="optioncarChar"/>
        </w:rPr>
        <w:t xml:space="preserve"> / 45 (PMR) / 50 (PMR) / ***</w:t>
      </w:r>
      <w:r>
        <w:t xml:space="preserve"> mm</w:t>
      </w:r>
    </w:p>
    <w:p w14:paraId="59697737" w14:textId="77777777" w:rsidR="004B2808" w:rsidRDefault="00000000">
      <w:pPr>
        <w:pStyle w:val="pheading"/>
      </w:pPr>
      <w:r>
        <w:t>- Finitions</w:t>
      </w:r>
    </w:p>
    <w:p w14:paraId="3E0F68A0" w14:textId="77777777" w:rsidR="004B2808" w:rsidRDefault="00000000">
      <w:r>
        <w:t xml:space="preserve">Différence de LRV entre la main-courante et son support : </w:t>
      </w:r>
      <w:r>
        <w:rPr>
          <w:rStyle w:val="optioncarChar"/>
        </w:rPr>
        <w:t>au moins 30% (PMR) </w:t>
      </w:r>
      <w:r>
        <w:t>(par défaut)</w:t>
      </w:r>
      <w:r>
        <w:rPr>
          <w:rStyle w:val="optioncarChar"/>
        </w:rPr>
        <w:t> / ***</w:t>
      </w:r>
    </w:p>
    <w:p w14:paraId="702D8E53" w14:textId="77777777" w:rsidR="004B2808" w:rsidRDefault="00000000">
      <w:pPr>
        <w:pStyle w:val="pheading"/>
      </w:pPr>
      <w:r>
        <w:t>- Prescriptions complémentaires</w:t>
      </w:r>
    </w:p>
    <w:p w14:paraId="1EB9FBF1" w14:textId="77777777" w:rsidR="004B2808" w:rsidRDefault="00000000">
      <w:r>
        <w:t>Les mains-courantes sont prolongées :</w:t>
      </w:r>
    </w:p>
    <w:p w14:paraId="600314B5" w14:textId="77777777" w:rsidR="004B2808" w:rsidRDefault="00000000">
      <w:pPr>
        <w:pStyle w:val="Author-eListParagraph"/>
        <w:numPr>
          <w:ilvl w:val="0"/>
          <w:numId w:val="1522"/>
        </w:numPr>
      </w:pPr>
      <w:r>
        <w:t xml:space="preserve">côté mur : </w:t>
      </w:r>
      <w:r>
        <w:rPr>
          <w:rStyle w:val="optioncarChar"/>
        </w:rPr>
        <w:t>prolongement de 40 cm à l'origine et à l'extrémité de l'escalier (PMR) </w:t>
      </w:r>
      <w:r>
        <w:t>(par défaut)</w:t>
      </w:r>
      <w:r>
        <w:rPr>
          <w:rStyle w:val="optioncarChar"/>
        </w:rPr>
        <w:t> / ***</w:t>
      </w:r>
    </w:p>
    <w:p w14:paraId="713E3A85" w14:textId="77777777" w:rsidR="004B2808" w:rsidRDefault="00000000">
      <w:pPr>
        <w:pStyle w:val="Author-eListParagraph"/>
        <w:numPr>
          <w:ilvl w:val="0"/>
          <w:numId w:val="1522"/>
        </w:numPr>
      </w:pPr>
      <w:r>
        <w:t xml:space="preserve">côté vide : </w:t>
      </w:r>
      <w:r>
        <w:rPr>
          <w:rStyle w:val="optioncarChar"/>
        </w:rPr>
        <w:t>prolongement jusqu'au sol et de 40 cm, à l'origine et à l'extrémité de l'escalier (PMR) </w:t>
      </w:r>
      <w:r>
        <w:t>(par défaut)</w:t>
      </w:r>
      <w:r>
        <w:rPr>
          <w:rStyle w:val="optioncarChar"/>
        </w:rPr>
        <w:t> / ***</w:t>
      </w:r>
    </w:p>
    <w:p w14:paraId="7B57E731" w14:textId="77777777" w:rsidR="004B2808" w:rsidRDefault="00000000">
      <w:pPr>
        <w:pStyle w:val="pheading"/>
      </w:pPr>
      <w:r>
        <w:t>EXÉCUTION / MISE EN ŒUVRE</w:t>
      </w:r>
    </w:p>
    <w:p w14:paraId="764D2BC6" w14:textId="77777777" w:rsidR="004B2808" w:rsidRDefault="00000000">
      <w:pPr>
        <w:pStyle w:val="pheading"/>
      </w:pPr>
      <w:r>
        <w:t>- Prescriptions générales</w:t>
      </w:r>
    </w:p>
    <w:p w14:paraId="09953734" w14:textId="77777777" w:rsidR="004B2808" w:rsidRDefault="00000000">
      <w:r>
        <w:t>Hauteur de placement :  </w:t>
      </w:r>
    </w:p>
    <w:p w14:paraId="3C738B80" w14:textId="77777777" w:rsidR="004B2808" w:rsidRDefault="00000000">
      <w:pPr>
        <w:pStyle w:val="Author-eListParagraph"/>
        <w:numPr>
          <w:ilvl w:val="0"/>
          <w:numId w:val="1523"/>
        </w:numPr>
      </w:pPr>
      <w:r>
        <w:t xml:space="preserve">Main-courante principale : </w:t>
      </w:r>
      <w:r>
        <w:rPr>
          <w:rStyle w:val="optioncarChar"/>
        </w:rPr>
        <w:t>entre 85 et 100 (PMR)</w:t>
      </w:r>
      <w:r>
        <w:t> (par défaut)</w:t>
      </w:r>
      <w:r>
        <w:rPr>
          <w:rStyle w:val="optioncarChar"/>
        </w:rPr>
        <w:t> / ***</w:t>
      </w:r>
      <w:r>
        <w:t> cm, par rapport aux nez de marches</w:t>
      </w:r>
    </w:p>
    <w:p w14:paraId="37BB7D86" w14:textId="77777777" w:rsidR="004B2808" w:rsidRDefault="00000000">
      <w:pPr>
        <w:pStyle w:val="Author-eListParagraph"/>
        <w:numPr>
          <w:ilvl w:val="0"/>
          <w:numId w:val="1524"/>
        </w:numPr>
      </w:pPr>
      <w:r>
        <w:t>Main-courante secondaire :</w:t>
      </w:r>
      <w:r>
        <w:rPr>
          <w:rStyle w:val="optioncarChar"/>
        </w:rPr>
        <w:t> entre 60 et 75 (PMR)</w:t>
      </w:r>
      <w:r>
        <w:t> (par défaut) / </w:t>
      </w:r>
      <w:r>
        <w:rPr>
          <w:rStyle w:val="optioncarChar"/>
        </w:rPr>
        <w:t>*** </w:t>
      </w:r>
      <w:r>
        <w:t>cm, par rapport aux nez de marches</w:t>
      </w:r>
    </w:p>
    <w:p w14:paraId="2ECB5738" w14:textId="77777777" w:rsidR="004B2808" w:rsidRDefault="00000000">
      <w:r>
        <w:t xml:space="preserve">Distance minimale entre le mur et la main courante : </w:t>
      </w:r>
      <w:r>
        <w:rPr>
          <w:rStyle w:val="optioncarChar"/>
        </w:rPr>
        <w:t>4 (PMR)</w:t>
      </w:r>
      <w:r>
        <w:t>(par défaut) / </w:t>
      </w:r>
      <w:r>
        <w:rPr>
          <w:rStyle w:val="optioncarChar"/>
        </w:rPr>
        <w:t>*** </w:t>
      </w:r>
      <w:r>
        <w:t>cm</w:t>
      </w:r>
    </w:p>
    <w:p w14:paraId="49DDDB81" w14:textId="77777777" w:rsidR="004B2808" w:rsidRDefault="00000000">
      <w:pPr>
        <w:pStyle w:val="pheading"/>
      </w:pPr>
      <w:r>
        <w:t>MESURAGE</w:t>
      </w:r>
    </w:p>
    <w:p w14:paraId="5F3ACDBC" w14:textId="77777777" w:rsidR="004B2808" w:rsidRDefault="00000000">
      <w:r>
        <w:t>Conformément aux indications spécifiques dans le cahier spécial des charges et/ou le métré récapitulatif, le mesurage doit être conçu comme suit :</w:t>
      </w:r>
    </w:p>
    <w:p w14:paraId="6DF39862" w14:textId="77777777" w:rsidR="004B2808" w:rsidRDefault="00000000">
      <w:r>
        <w:t>Attention : les mains-courantes qui font partie des escaliers en bois sont comprises dans l'ensemble de ce poste.</w:t>
      </w:r>
    </w:p>
    <w:p w14:paraId="3529E7CE" w14:textId="77777777" w:rsidR="004B2808" w:rsidRDefault="00000000">
      <w:pPr>
        <w:pStyle w:val="pheading"/>
      </w:pPr>
      <w:r>
        <w:t>- unité de mesure:</w:t>
      </w:r>
    </w:p>
    <w:p w14:paraId="23AE9B96" w14:textId="77777777" w:rsidR="004B2808" w:rsidRDefault="00000000">
      <w:r>
        <w:rPr>
          <w:rStyle w:val="optioncarChar"/>
        </w:rPr>
        <w:t xml:space="preserve">m </w:t>
      </w:r>
      <w:r>
        <w:t>(par défaut)</w:t>
      </w:r>
      <w:r>
        <w:rPr>
          <w:rStyle w:val="optioncarChar"/>
        </w:rPr>
        <w:t xml:space="preserve"> / pc / -</w:t>
      </w:r>
    </w:p>
    <w:p w14:paraId="7C93837C" w14:textId="77777777" w:rsidR="004B2808" w:rsidRDefault="00000000">
      <w:pPr>
        <w:pStyle w:val="pheading"/>
      </w:pPr>
      <w:r>
        <w:t>- code de mesurage:</w:t>
      </w:r>
    </w:p>
    <w:p w14:paraId="42281C84" w14:textId="77777777" w:rsidR="004B2808" w:rsidRDefault="00000000">
      <w:r>
        <w:lastRenderedPageBreak/>
        <w:t xml:space="preserve">Choix opéré: </w:t>
      </w:r>
      <w:r>
        <w:rPr>
          <w:rStyle w:val="optioncarChar"/>
        </w:rPr>
        <w:t>OPTION 1 </w:t>
      </w:r>
      <w:r>
        <w:t>(par défaut)</w:t>
      </w:r>
      <w:r>
        <w:rPr>
          <w:rStyle w:val="optioncarChar"/>
        </w:rPr>
        <w:t xml:space="preserve"> / OPTION 2 ( pc) / OPTION 3 (compris)</w:t>
      </w:r>
    </w:p>
    <w:p w14:paraId="17DAC028" w14:textId="77777777" w:rsidR="004B2808" w:rsidRDefault="00000000">
      <w:pPr>
        <w:pStyle w:val="Author-eListParagraph"/>
        <w:numPr>
          <w:ilvl w:val="0"/>
          <w:numId w:val="1525"/>
        </w:numPr>
      </w:pPr>
      <w:r>
        <w:rPr>
          <w:b/>
        </w:rPr>
        <w:t>OPTION 1 </w:t>
      </w:r>
      <w:r>
        <w:t>(par défaut)</w:t>
      </w:r>
      <w:r>
        <w:rPr>
          <w:b/>
        </w:rPr>
        <w:t xml:space="preserve"> :</w:t>
      </w:r>
      <w:r>
        <w:t xml:space="preserve"> Longueur nette</w:t>
      </w:r>
    </w:p>
    <w:p w14:paraId="3E0A8DF5" w14:textId="77777777" w:rsidR="004B2808" w:rsidRDefault="00000000">
      <w:pPr>
        <w:pStyle w:val="Author-eListParagraph"/>
        <w:numPr>
          <w:ilvl w:val="0"/>
          <w:numId w:val="1525"/>
        </w:numPr>
      </w:pPr>
      <w:r>
        <w:rPr>
          <w:b/>
        </w:rPr>
        <w:t>OPTION2 :</w:t>
      </w:r>
      <w:r>
        <w:t>Les assemblages courbés entre deux parties droites de la main-courante sont éventuellement mesurées à la pièce</w:t>
      </w:r>
    </w:p>
    <w:p w14:paraId="35F4B829" w14:textId="77777777" w:rsidR="004B2808" w:rsidRDefault="00000000">
      <w:pPr>
        <w:pStyle w:val="Author-eListParagraph"/>
        <w:numPr>
          <w:ilvl w:val="0"/>
          <w:numId w:val="1525"/>
        </w:numPr>
      </w:pPr>
      <w:r>
        <w:rPr>
          <w:b/>
        </w:rPr>
        <w:t>OPTION3 :</w:t>
      </w:r>
      <w:r>
        <w:t xml:space="preserve"> Compris dans le prix des garde-corps et/ou de l'ensemble de l'escalier.</w:t>
      </w:r>
    </w:p>
    <w:p w14:paraId="0849D3AA" w14:textId="77777777" w:rsidR="004B2808" w:rsidRDefault="00000000">
      <w:pPr>
        <w:pStyle w:val="pheading"/>
      </w:pPr>
      <w:r>
        <w:t>- nature du marché:</w:t>
      </w:r>
    </w:p>
    <w:p w14:paraId="1349E146" w14:textId="77777777" w:rsidR="004B2808" w:rsidRDefault="00000000">
      <w:r>
        <w:rPr>
          <w:rStyle w:val="optioncarChar"/>
        </w:rPr>
        <w:t>QF </w:t>
      </w:r>
      <w:r>
        <w:t>(par défaut)</w:t>
      </w:r>
      <w:r>
        <w:rPr>
          <w:rStyle w:val="optioncarChar"/>
        </w:rPr>
        <w:t xml:space="preserve"> / PM</w:t>
      </w:r>
    </w:p>
    <w:p w14:paraId="1453FCF8" w14:textId="77777777" w:rsidR="004B2808" w:rsidRDefault="00000000">
      <w:pPr>
        <w:pStyle w:val="Author-eSectionHeading5Numberless"/>
      </w:pPr>
      <w:bookmarkStart w:id="1653" w:name="_Toc220491741"/>
      <w:r>
        <w:t>57.26.5 Main-courante / Lisse en matériaux synthétiques CCTB 01.02</w:t>
      </w:r>
      <w:bookmarkEnd w:id="1653"/>
    </w:p>
    <w:p w14:paraId="751C74F5" w14:textId="77777777" w:rsidR="004B2808" w:rsidRDefault="00000000">
      <w:pPr>
        <w:pStyle w:val="Author-eSectionHeading6Numberless"/>
      </w:pPr>
      <w:bookmarkStart w:id="1654" w:name="_Toc220491742"/>
      <w:r>
        <w:t>57.26.5a Main-courante / Lisse en matériaux synthétiques CCTB 01.10</w:t>
      </w:r>
      <w:bookmarkEnd w:id="1654"/>
    </w:p>
    <w:p w14:paraId="5FBFC40D" w14:textId="77777777" w:rsidR="004B2808" w:rsidRDefault="00000000">
      <w:pPr>
        <w:pStyle w:val="pheading"/>
      </w:pPr>
      <w:r>
        <w:t>DESCRIPTION</w:t>
      </w:r>
    </w:p>
    <w:p w14:paraId="5AD11A09" w14:textId="77777777" w:rsidR="004B2808" w:rsidRDefault="00000000">
      <w:pPr>
        <w:pStyle w:val="pheading"/>
      </w:pPr>
      <w:r>
        <w:t>- Localisation</w:t>
      </w:r>
    </w:p>
    <w:p w14:paraId="22E0BA04" w14:textId="77777777" w:rsidR="004B2808" w:rsidRDefault="00000000">
      <w:r>
        <w:t>Les mains-courantes le long du mur.</w:t>
      </w:r>
    </w:p>
    <w:p w14:paraId="224CF0C4" w14:textId="77777777" w:rsidR="004B2808" w:rsidRDefault="00000000">
      <w:r>
        <w:t xml:space="preserve">Les mains-courantes sont placées : </w:t>
      </w:r>
      <w:r>
        <w:rPr>
          <w:rStyle w:val="optioncarChar"/>
        </w:rPr>
        <w:t>de chaque côté (PMR) </w:t>
      </w:r>
      <w:r>
        <w:t>(par défaut)</w:t>
      </w:r>
      <w:r>
        <w:rPr>
          <w:rStyle w:val="optioncarChar"/>
        </w:rPr>
        <w:t> / ***</w:t>
      </w:r>
      <w:r>
        <w:t xml:space="preserve"> de l’escalier.</w:t>
      </w:r>
    </w:p>
    <w:p w14:paraId="7CBD435A" w14:textId="77777777" w:rsidR="004B2808" w:rsidRDefault="00000000">
      <w:pPr>
        <w:pStyle w:val="pheading"/>
      </w:pPr>
      <w:r>
        <w:t>MATÉRIAUX</w:t>
      </w:r>
    </w:p>
    <w:p w14:paraId="03CDBDB9" w14:textId="77777777" w:rsidR="004B2808" w:rsidRDefault="00000000">
      <w:pPr>
        <w:pStyle w:val="pheading"/>
      </w:pPr>
      <w:r>
        <w:t>- Caractéristiques générales</w:t>
      </w:r>
    </w:p>
    <w:p w14:paraId="06F41696" w14:textId="77777777" w:rsidR="004B2808" w:rsidRDefault="00000000">
      <w:r>
        <w:rPr>
          <w:b/>
          <w:u w:val="single"/>
        </w:rPr>
        <w:t>Spécifications</w:t>
      </w:r>
    </w:p>
    <w:p w14:paraId="5D132AB1" w14:textId="77777777" w:rsidR="004B2808" w:rsidRDefault="00000000">
      <w:pPr>
        <w:pStyle w:val="Author-eListParagraph"/>
        <w:numPr>
          <w:ilvl w:val="0"/>
          <w:numId w:val="1526"/>
        </w:numPr>
      </w:pPr>
      <w:r>
        <w:t xml:space="preserve">Type : </w:t>
      </w:r>
      <w:r>
        <w:rPr>
          <w:rStyle w:val="optioncarChar"/>
        </w:rPr>
        <w:t>simple (1 lisse) </w:t>
      </w:r>
      <w:r>
        <w:t>(par défaut)</w:t>
      </w:r>
      <w:r>
        <w:rPr>
          <w:rStyle w:val="optioncarChar"/>
        </w:rPr>
        <w:t xml:space="preserve"> / double (2 lisses) (PMR) / ***</w:t>
      </w:r>
    </w:p>
    <w:p w14:paraId="4359BCF7" w14:textId="77777777" w:rsidR="004B2808" w:rsidRDefault="00000000">
      <w:pPr>
        <w:pStyle w:val="Author-eListParagraph"/>
        <w:numPr>
          <w:ilvl w:val="0"/>
          <w:numId w:val="1526"/>
        </w:numPr>
      </w:pPr>
      <w:r>
        <w:t xml:space="preserve">Géométrie : </w:t>
      </w:r>
      <w:r>
        <w:rPr>
          <w:rStyle w:val="optioncarChar"/>
        </w:rPr>
        <w:t>solides et continues sur les paliers (PMR) </w:t>
      </w:r>
      <w:r>
        <w:t>(par défaut)</w:t>
      </w:r>
      <w:r>
        <w:rPr>
          <w:rStyle w:val="optioncarChar"/>
        </w:rPr>
        <w:t xml:space="preserve"> / *** </w:t>
      </w:r>
    </w:p>
    <w:p w14:paraId="64B32273" w14:textId="77777777" w:rsidR="004B2808" w:rsidRDefault="00000000">
      <w:pPr>
        <w:pStyle w:val="Author-eListParagraph"/>
        <w:numPr>
          <w:ilvl w:val="0"/>
          <w:numId w:val="1526"/>
        </w:numPr>
      </w:pPr>
      <w:r>
        <w:t xml:space="preserve">Profil externe : </w:t>
      </w:r>
      <w:r>
        <w:rPr>
          <w:rStyle w:val="optioncarChar"/>
        </w:rPr>
        <w:t>55 x 65 mm </w:t>
      </w:r>
      <w:r>
        <w:t xml:space="preserve">(par défaut) </w:t>
      </w:r>
      <w:r>
        <w:rPr>
          <w:rStyle w:val="optioncarChar"/>
        </w:rPr>
        <w:t>/ rond (PMR) / ***</w:t>
      </w:r>
      <w:r>
        <w:t xml:space="preserve">, de diamètre </w:t>
      </w:r>
      <w:r>
        <w:rPr>
          <w:rStyle w:val="optioncarChar"/>
        </w:rPr>
        <w:t>40 (PMR) </w:t>
      </w:r>
      <w:r>
        <w:t>(par défaut)</w:t>
      </w:r>
      <w:r>
        <w:rPr>
          <w:rStyle w:val="optioncarChar"/>
        </w:rPr>
        <w:t xml:space="preserve"> / 45 (PMR) / 50 (PMR) / ***</w:t>
      </w:r>
      <w:r>
        <w:t xml:space="preserve"> mm</w:t>
      </w:r>
    </w:p>
    <w:p w14:paraId="473D83FF" w14:textId="77777777" w:rsidR="004B2808" w:rsidRDefault="00000000">
      <w:pPr>
        <w:pStyle w:val="pheading"/>
      </w:pPr>
      <w:r>
        <w:t>- Finitions</w:t>
      </w:r>
    </w:p>
    <w:p w14:paraId="1DFDAEE5" w14:textId="77777777" w:rsidR="004B2808" w:rsidRDefault="00000000">
      <w:r>
        <w:t xml:space="preserve">Différence de LRV entre la main-courante et son support : </w:t>
      </w:r>
      <w:r>
        <w:rPr>
          <w:rStyle w:val="optioncarChar"/>
        </w:rPr>
        <w:t>au moins 30% (PMR) </w:t>
      </w:r>
      <w:r>
        <w:t>(par défaut)</w:t>
      </w:r>
      <w:r>
        <w:rPr>
          <w:rStyle w:val="optioncarChar"/>
        </w:rPr>
        <w:t> / ***</w:t>
      </w:r>
    </w:p>
    <w:p w14:paraId="282B5831" w14:textId="77777777" w:rsidR="004B2808" w:rsidRDefault="00000000">
      <w:pPr>
        <w:pStyle w:val="pheading"/>
      </w:pPr>
      <w:r>
        <w:t>- Prescriptions complémentaires</w:t>
      </w:r>
    </w:p>
    <w:p w14:paraId="21E310D7" w14:textId="77777777" w:rsidR="004B2808" w:rsidRDefault="00000000">
      <w:r>
        <w:t>Les mains-courantes sont prolongées :</w:t>
      </w:r>
    </w:p>
    <w:p w14:paraId="1F09D50F" w14:textId="77777777" w:rsidR="004B2808" w:rsidRDefault="00000000">
      <w:pPr>
        <w:pStyle w:val="Author-eListParagraph"/>
        <w:numPr>
          <w:ilvl w:val="0"/>
          <w:numId w:val="1527"/>
        </w:numPr>
      </w:pPr>
      <w:r>
        <w:t xml:space="preserve">côté mur : </w:t>
      </w:r>
      <w:r>
        <w:rPr>
          <w:rStyle w:val="optioncarChar"/>
        </w:rPr>
        <w:t>prolongement de 40 cm à l'origine et à l'extrémité de l'escalier (PMR) </w:t>
      </w:r>
      <w:r>
        <w:t>(par défaut)</w:t>
      </w:r>
      <w:r>
        <w:rPr>
          <w:rStyle w:val="optioncarChar"/>
        </w:rPr>
        <w:t> / ***</w:t>
      </w:r>
    </w:p>
    <w:p w14:paraId="573F68D4" w14:textId="77777777" w:rsidR="004B2808" w:rsidRDefault="00000000">
      <w:pPr>
        <w:pStyle w:val="Author-eListParagraph"/>
        <w:numPr>
          <w:ilvl w:val="0"/>
          <w:numId w:val="1527"/>
        </w:numPr>
      </w:pPr>
      <w:r>
        <w:t xml:space="preserve">côté vide : </w:t>
      </w:r>
      <w:r>
        <w:rPr>
          <w:rStyle w:val="optioncarChar"/>
        </w:rPr>
        <w:t>prolongement jusqu'au sol et de 40 cm, à l'origine et à l'extrémité de l'escalier (PMR)</w:t>
      </w:r>
      <w:r>
        <w:t> (par défaut)</w:t>
      </w:r>
      <w:r>
        <w:rPr>
          <w:rStyle w:val="optioncarChar"/>
        </w:rPr>
        <w:t> / ***</w:t>
      </w:r>
    </w:p>
    <w:p w14:paraId="36A578B0" w14:textId="77777777" w:rsidR="004B2808" w:rsidRDefault="00000000">
      <w:pPr>
        <w:pStyle w:val="pheading"/>
      </w:pPr>
      <w:r>
        <w:t>EXÉCUTION / MISE EN ŒUVRE</w:t>
      </w:r>
    </w:p>
    <w:p w14:paraId="0513D274" w14:textId="77777777" w:rsidR="004B2808" w:rsidRDefault="00000000">
      <w:pPr>
        <w:pStyle w:val="pheading"/>
      </w:pPr>
      <w:r>
        <w:t>- Prescriptions générales</w:t>
      </w:r>
    </w:p>
    <w:p w14:paraId="647D6FCD" w14:textId="77777777" w:rsidR="004B2808" w:rsidRDefault="00000000">
      <w:r>
        <w:t>Hauteur de placement :  </w:t>
      </w:r>
    </w:p>
    <w:p w14:paraId="3B36E623" w14:textId="77777777" w:rsidR="004B2808" w:rsidRDefault="00000000">
      <w:pPr>
        <w:pStyle w:val="Author-eListParagraph"/>
        <w:numPr>
          <w:ilvl w:val="0"/>
          <w:numId w:val="1528"/>
        </w:numPr>
      </w:pPr>
      <w:r>
        <w:t xml:space="preserve">Main-courante principale : </w:t>
      </w:r>
      <w:r>
        <w:rPr>
          <w:rStyle w:val="optioncarChar"/>
        </w:rPr>
        <w:t>entre 85 et 100 (PMR)</w:t>
      </w:r>
      <w:r>
        <w:t> (par défaut) </w:t>
      </w:r>
      <w:r>
        <w:rPr>
          <w:rStyle w:val="optioncarChar"/>
        </w:rPr>
        <w:t>/ ***</w:t>
      </w:r>
      <w:r>
        <w:t xml:space="preserve"> cm, par rapport aux nez de marches</w:t>
      </w:r>
    </w:p>
    <w:p w14:paraId="44279E50" w14:textId="77777777" w:rsidR="004B2808" w:rsidRDefault="00000000">
      <w:pPr>
        <w:pStyle w:val="Author-eListParagraph"/>
        <w:numPr>
          <w:ilvl w:val="0"/>
          <w:numId w:val="1529"/>
        </w:numPr>
      </w:pPr>
      <w:r>
        <w:t>Main-courante secondaire :</w:t>
      </w:r>
      <w:r>
        <w:rPr>
          <w:rStyle w:val="optioncarChar"/>
        </w:rPr>
        <w:t> entre 60 et 75 (PMR) </w:t>
      </w:r>
      <w:r>
        <w:t>(par défaut)</w:t>
      </w:r>
      <w:r>
        <w:rPr>
          <w:rStyle w:val="optioncarChar"/>
        </w:rPr>
        <w:t> / ***</w:t>
      </w:r>
      <w:r>
        <w:t xml:space="preserve"> cm, par rapport aux nez de marches</w:t>
      </w:r>
    </w:p>
    <w:p w14:paraId="3EF1357C" w14:textId="77777777" w:rsidR="004B2808" w:rsidRDefault="00000000">
      <w:r>
        <w:t xml:space="preserve">Distance minimale entre le mur et la main courante : </w:t>
      </w:r>
      <w:r>
        <w:rPr>
          <w:rStyle w:val="optioncarChar"/>
        </w:rPr>
        <w:t>4 (PMR) </w:t>
      </w:r>
      <w:r>
        <w:t>(par défaut)</w:t>
      </w:r>
      <w:r>
        <w:rPr>
          <w:rStyle w:val="optioncarChar"/>
        </w:rPr>
        <w:t> / ***</w:t>
      </w:r>
      <w:r>
        <w:t xml:space="preserve"> cm</w:t>
      </w:r>
    </w:p>
    <w:p w14:paraId="469DA865" w14:textId="77777777" w:rsidR="004B2808" w:rsidRDefault="00000000">
      <w:pPr>
        <w:pStyle w:val="pheading"/>
      </w:pPr>
      <w:r>
        <w:t>MESURAGE</w:t>
      </w:r>
    </w:p>
    <w:p w14:paraId="2951F612" w14:textId="77777777" w:rsidR="004B2808" w:rsidRDefault="00000000">
      <w:r>
        <w:t>Conformément aux indications spécifiques dans le cahier spécial des charges et/ou le métré récapitulatif, le mesurage doit être conçu comme suit :</w:t>
      </w:r>
    </w:p>
    <w:p w14:paraId="4859E00A" w14:textId="77777777" w:rsidR="004B2808" w:rsidRDefault="00000000">
      <w:r>
        <w:t>Attention : les mains-courantes qui font partie des escaliers en bois sont comprises dans l'ensemble de ce poste.</w:t>
      </w:r>
    </w:p>
    <w:p w14:paraId="3AF4AEC2" w14:textId="77777777" w:rsidR="004B2808" w:rsidRDefault="00000000">
      <w:pPr>
        <w:pStyle w:val="pheading"/>
      </w:pPr>
      <w:r>
        <w:lastRenderedPageBreak/>
        <w:t>- unité de mesure:</w:t>
      </w:r>
    </w:p>
    <w:p w14:paraId="57E11B1F" w14:textId="77777777" w:rsidR="004B2808" w:rsidRDefault="00000000">
      <w:r>
        <w:rPr>
          <w:rStyle w:val="optioncarChar"/>
        </w:rPr>
        <w:t xml:space="preserve">m </w:t>
      </w:r>
      <w:r>
        <w:t xml:space="preserve">(par défaut) </w:t>
      </w:r>
      <w:r>
        <w:rPr>
          <w:rStyle w:val="optioncarChar"/>
        </w:rPr>
        <w:t>/ pc / -</w:t>
      </w:r>
    </w:p>
    <w:p w14:paraId="71DA5B83" w14:textId="77777777" w:rsidR="004B2808" w:rsidRDefault="00000000">
      <w:pPr>
        <w:pStyle w:val="pheading"/>
      </w:pPr>
      <w:r>
        <w:t>- code de mesurage:</w:t>
      </w:r>
    </w:p>
    <w:p w14:paraId="60F595F7" w14:textId="77777777" w:rsidR="004B2808" w:rsidRDefault="00000000">
      <w:r>
        <w:t xml:space="preserve">Choix opéré: </w:t>
      </w:r>
      <w:r>
        <w:rPr>
          <w:rStyle w:val="optioncarChar"/>
        </w:rPr>
        <w:t>OPTION 1</w:t>
      </w:r>
      <w:r>
        <w:t xml:space="preserve"> (par défaut)</w:t>
      </w:r>
      <w:r>
        <w:rPr>
          <w:rStyle w:val="optioncarChar"/>
        </w:rPr>
        <w:t xml:space="preserve"> / OPTION 2 (pc) /OPTION 3 (compris)</w:t>
      </w:r>
    </w:p>
    <w:p w14:paraId="48871BCB" w14:textId="77777777" w:rsidR="004B2808" w:rsidRDefault="00000000">
      <w:pPr>
        <w:pStyle w:val="Author-eListParagraph"/>
        <w:numPr>
          <w:ilvl w:val="0"/>
          <w:numId w:val="1530"/>
        </w:numPr>
      </w:pPr>
      <w:r>
        <w:t>OPTION 1 (par défaut): Longueur nette</w:t>
      </w:r>
    </w:p>
    <w:p w14:paraId="02420647" w14:textId="77777777" w:rsidR="004B2808" w:rsidRDefault="00000000">
      <w:pPr>
        <w:pStyle w:val="Author-eListParagraph"/>
        <w:numPr>
          <w:ilvl w:val="0"/>
          <w:numId w:val="1530"/>
        </w:numPr>
      </w:pPr>
      <w:r>
        <w:t>OPTION 2: Les assemblages courbés entre deux parties droites de la main-courante seront éventuellement mesurées à la pièce</w:t>
      </w:r>
    </w:p>
    <w:p w14:paraId="39F788DE" w14:textId="77777777" w:rsidR="004B2808" w:rsidRDefault="00000000">
      <w:pPr>
        <w:pStyle w:val="Author-eListParagraph"/>
        <w:numPr>
          <w:ilvl w:val="0"/>
          <w:numId w:val="1530"/>
        </w:numPr>
      </w:pPr>
      <w:r>
        <w:t>OPTION 3:  Compris dans le prix des garde-corps et/ou de l'ensemble de l'escalier.</w:t>
      </w:r>
    </w:p>
    <w:p w14:paraId="684A7388" w14:textId="77777777" w:rsidR="004B2808" w:rsidRDefault="00000000">
      <w:pPr>
        <w:pStyle w:val="pheading"/>
      </w:pPr>
      <w:r>
        <w:t>- nature du marché:</w:t>
      </w:r>
    </w:p>
    <w:p w14:paraId="0B3F12CF" w14:textId="77777777" w:rsidR="004B2808" w:rsidRDefault="00000000">
      <w:r>
        <w:rPr>
          <w:rStyle w:val="optioncarChar"/>
        </w:rPr>
        <w:t xml:space="preserve">QF </w:t>
      </w:r>
      <w:r>
        <w:t>(par défaut)</w:t>
      </w:r>
      <w:r>
        <w:rPr>
          <w:rStyle w:val="optioncarChar"/>
        </w:rPr>
        <w:t xml:space="preserve"> / PM</w:t>
      </w:r>
    </w:p>
    <w:p w14:paraId="0DC13FFB" w14:textId="77777777" w:rsidR="004B2808" w:rsidRDefault="00000000">
      <w:pPr>
        <w:pStyle w:val="Author-eSectionHeading5Numberless"/>
      </w:pPr>
      <w:bookmarkStart w:id="1655" w:name="_Toc220491743"/>
      <w:r>
        <w:t>57.26.6 Main-courante / Lisse en verre CCTB 01.02</w:t>
      </w:r>
      <w:bookmarkEnd w:id="1655"/>
    </w:p>
    <w:p w14:paraId="49C03D2D" w14:textId="77777777" w:rsidR="004B2808" w:rsidRDefault="00000000">
      <w:pPr>
        <w:pStyle w:val="Author-eSectionHeading6Numberless"/>
      </w:pPr>
      <w:bookmarkStart w:id="1656" w:name="_Toc220491744"/>
      <w:r>
        <w:t>57.26.6a Main-courante / Lisse en verre CCTB 01.10</w:t>
      </w:r>
      <w:bookmarkEnd w:id="1656"/>
    </w:p>
    <w:p w14:paraId="6EF7BBA4" w14:textId="77777777" w:rsidR="004B2808" w:rsidRDefault="00000000">
      <w:pPr>
        <w:pStyle w:val="pheading"/>
      </w:pPr>
      <w:r>
        <w:t>DESCRIPTION</w:t>
      </w:r>
    </w:p>
    <w:p w14:paraId="30E669AE" w14:textId="77777777" w:rsidR="004B2808" w:rsidRDefault="00000000">
      <w:pPr>
        <w:pStyle w:val="pheading"/>
      </w:pPr>
      <w:r>
        <w:t>- Localisation</w:t>
      </w:r>
    </w:p>
    <w:p w14:paraId="12710FA8" w14:textId="77777777" w:rsidR="004B2808" w:rsidRDefault="00000000">
      <w:r>
        <w:t>Les mains-courantes le long du mur.</w:t>
      </w:r>
    </w:p>
    <w:p w14:paraId="16725289" w14:textId="77777777" w:rsidR="004B2808" w:rsidRDefault="00000000">
      <w:r>
        <w:t xml:space="preserve">Les mains-courantes sont placées : </w:t>
      </w:r>
      <w:r>
        <w:rPr>
          <w:rStyle w:val="optioncarChar"/>
        </w:rPr>
        <w:t>de chaque côté (PMR)</w:t>
      </w:r>
      <w:r>
        <w:t> (par défaut)</w:t>
      </w:r>
      <w:r>
        <w:rPr>
          <w:rStyle w:val="optioncarChar"/>
        </w:rPr>
        <w:t> / ***</w:t>
      </w:r>
      <w:r>
        <w:t xml:space="preserve"> de l’escalier.</w:t>
      </w:r>
    </w:p>
    <w:p w14:paraId="3AD51595" w14:textId="77777777" w:rsidR="004B2808" w:rsidRDefault="00000000">
      <w:pPr>
        <w:pStyle w:val="pheading"/>
      </w:pPr>
      <w:r>
        <w:t>MATÉRIAUX</w:t>
      </w:r>
    </w:p>
    <w:p w14:paraId="1BA9B75E" w14:textId="77777777" w:rsidR="004B2808" w:rsidRDefault="00000000">
      <w:pPr>
        <w:pStyle w:val="pheading"/>
      </w:pPr>
      <w:r>
        <w:t>- Caractéristiques générales</w:t>
      </w:r>
    </w:p>
    <w:p w14:paraId="58EC5A81" w14:textId="77777777" w:rsidR="004B2808" w:rsidRDefault="00000000">
      <w:r>
        <w:rPr>
          <w:b/>
          <w:u w:val="single"/>
        </w:rPr>
        <w:t>Spécifications</w:t>
      </w:r>
    </w:p>
    <w:p w14:paraId="7E58DA08" w14:textId="77777777" w:rsidR="004B2808" w:rsidRDefault="00000000">
      <w:pPr>
        <w:pStyle w:val="Author-eListParagraph"/>
        <w:numPr>
          <w:ilvl w:val="0"/>
          <w:numId w:val="1531"/>
        </w:numPr>
      </w:pPr>
      <w:r>
        <w:t xml:space="preserve">Type : </w:t>
      </w:r>
      <w:r>
        <w:rPr>
          <w:rStyle w:val="optioncarChar"/>
        </w:rPr>
        <w:t>simple (1 lisse) </w:t>
      </w:r>
      <w:r>
        <w:t>(par défaut)</w:t>
      </w:r>
      <w:r>
        <w:rPr>
          <w:rStyle w:val="optioncarChar"/>
        </w:rPr>
        <w:t> / double (2 lisses) (PMR)</w:t>
      </w:r>
    </w:p>
    <w:p w14:paraId="31B15693" w14:textId="77777777" w:rsidR="004B2808" w:rsidRDefault="00000000">
      <w:pPr>
        <w:pStyle w:val="Author-eListParagraph"/>
        <w:numPr>
          <w:ilvl w:val="0"/>
          <w:numId w:val="1531"/>
        </w:numPr>
      </w:pPr>
      <w:r>
        <w:t xml:space="preserve">Géométrie : </w:t>
      </w:r>
      <w:r>
        <w:rPr>
          <w:rStyle w:val="optioncarChar"/>
        </w:rPr>
        <w:t>solides et continues sur les paliers (PMR) </w:t>
      </w:r>
      <w:r>
        <w:t>(par défaut)</w:t>
      </w:r>
      <w:r>
        <w:rPr>
          <w:rStyle w:val="optioncarChar"/>
        </w:rPr>
        <w:t> / ***</w:t>
      </w:r>
    </w:p>
    <w:p w14:paraId="7B530E01" w14:textId="77777777" w:rsidR="004B2808" w:rsidRDefault="00000000">
      <w:pPr>
        <w:pStyle w:val="Author-eListParagraph"/>
        <w:numPr>
          <w:ilvl w:val="0"/>
          <w:numId w:val="1531"/>
        </w:numPr>
      </w:pPr>
      <w:r>
        <w:t xml:space="preserve">Profil externe : </w:t>
      </w:r>
      <w:r>
        <w:rPr>
          <w:rStyle w:val="optioncarChar"/>
        </w:rPr>
        <w:t> 55 x 65 mm</w:t>
      </w:r>
      <w:r>
        <w:t> </w:t>
      </w:r>
      <w:r>
        <w:rPr>
          <w:rStyle w:val="optioncarChar"/>
        </w:rPr>
        <w:t>(par défaut) / rond (PMR)</w:t>
      </w:r>
      <w:r>
        <w:t xml:space="preserve">, de diamètre </w:t>
      </w:r>
      <w:r>
        <w:rPr>
          <w:rStyle w:val="optioncarChar"/>
        </w:rPr>
        <w:t>40 (PMR) </w:t>
      </w:r>
      <w:r>
        <w:t>(par défaut)</w:t>
      </w:r>
      <w:r>
        <w:rPr>
          <w:rStyle w:val="optioncarChar"/>
        </w:rPr>
        <w:t xml:space="preserve"> / 45 (PMR) / 50 (PMR) / ***</w:t>
      </w:r>
      <w:r>
        <w:t xml:space="preserve"> mm</w:t>
      </w:r>
    </w:p>
    <w:p w14:paraId="3C4D3CF1" w14:textId="77777777" w:rsidR="004B2808" w:rsidRDefault="00000000">
      <w:pPr>
        <w:pStyle w:val="pheading"/>
      </w:pPr>
      <w:r>
        <w:t>- Finitions</w:t>
      </w:r>
    </w:p>
    <w:p w14:paraId="7A27B7B3" w14:textId="77777777" w:rsidR="004B2808" w:rsidRDefault="00000000">
      <w:r>
        <w:t xml:space="preserve">Différence de LRV entre la main-courante et son support : </w:t>
      </w:r>
      <w:r>
        <w:rPr>
          <w:rStyle w:val="optioncarChar"/>
        </w:rPr>
        <w:t>au moins 30% (PMR)</w:t>
      </w:r>
      <w:r>
        <w:t> (par défaut)</w:t>
      </w:r>
      <w:r>
        <w:rPr>
          <w:rStyle w:val="optioncarChar"/>
        </w:rPr>
        <w:t> / ***</w:t>
      </w:r>
    </w:p>
    <w:p w14:paraId="60BF392C" w14:textId="77777777" w:rsidR="004B2808" w:rsidRDefault="00000000">
      <w:pPr>
        <w:pStyle w:val="pheading"/>
      </w:pPr>
      <w:r>
        <w:t>- Prescriptions complémentaires</w:t>
      </w:r>
    </w:p>
    <w:p w14:paraId="23014399" w14:textId="77777777" w:rsidR="004B2808" w:rsidRDefault="00000000">
      <w:r>
        <w:t>Les mains-courantes sont prolongées :</w:t>
      </w:r>
    </w:p>
    <w:p w14:paraId="028B0CAB" w14:textId="77777777" w:rsidR="004B2808" w:rsidRDefault="00000000">
      <w:pPr>
        <w:pStyle w:val="Author-eListParagraph"/>
        <w:numPr>
          <w:ilvl w:val="0"/>
          <w:numId w:val="1532"/>
        </w:numPr>
      </w:pPr>
      <w:r>
        <w:t xml:space="preserve">côté mur : </w:t>
      </w:r>
      <w:r>
        <w:rPr>
          <w:rStyle w:val="optioncarChar"/>
        </w:rPr>
        <w:t>prolongement de 40 cm à l'origine et à l'extrémité de l'escalier (PMR)</w:t>
      </w:r>
      <w:r>
        <w:t> (par défaut)</w:t>
      </w:r>
      <w:r>
        <w:rPr>
          <w:rStyle w:val="optioncarChar"/>
        </w:rPr>
        <w:t> / ***</w:t>
      </w:r>
    </w:p>
    <w:p w14:paraId="2B71A58F" w14:textId="77777777" w:rsidR="004B2808" w:rsidRDefault="00000000">
      <w:pPr>
        <w:pStyle w:val="Author-eListParagraph"/>
        <w:numPr>
          <w:ilvl w:val="0"/>
          <w:numId w:val="1532"/>
        </w:numPr>
      </w:pPr>
      <w:r>
        <w:t xml:space="preserve">côté vide : </w:t>
      </w:r>
      <w:r>
        <w:rPr>
          <w:rStyle w:val="optioncarChar"/>
        </w:rPr>
        <w:t>prolongement jusqu'au sol et de 40 cm, à l'origine et à l'extrémité de l'escalier (PMR) </w:t>
      </w:r>
      <w:r>
        <w:t>(par défaut)</w:t>
      </w:r>
      <w:r>
        <w:rPr>
          <w:rStyle w:val="optioncarChar"/>
        </w:rPr>
        <w:t> / ***</w:t>
      </w:r>
    </w:p>
    <w:p w14:paraId="41E92396" w14:textId="77777777" w:rsidR="004B2808" w:rsidRDefault="00000000">
      <w:pPr>
        <w:pStyle w:val="pheading"/>
      </w:pPr>
      <w:r>
        <w:t>EXÉCUTION / MISE EN ŒUVRE</w:t>
      </w:r>
    </w:p>
    <w:p w14:paraId="28070AA9" w14:textId="77777777" w:rsidR="004B2808" w:rsidRDefault="00000000">
      <w:pPr>
        <w:pStyle w:val="pheading"/>
      </w:pPr>
      <w:r>
        <w:t>- Prescriptions générales</w:t>
      </w:r>
    </w:p>
    <w:p w14:paraId="3130AEB7" w14:textId="77777777" w:rsidR="004B2808" w:rsidRDefault="00000000">
      <w:r>
        <w:t>Hauteur de placement :  </w:t>
      </w:r>
    </w:p>
    <w:p w14:paraId="33AB7A99" w14:textId="77777777" w:rsidR="004B2808" w:rsidRDefault="00000000">
      <w:pPr>
        <w:pStyle w:val="Author-eListParagraph"/>
        <w:numPr>
          <w:ilvl w:val="0"/>
          <w:numId w:val="1533"/>
        </w:numPr>
      </w:pPr>
      <w:r>
        <w:t xml:space="preserve">Main-courante principale : </w:t>
      </w:r>
      <w:r>
        <w:rPr>
          <w:rStyle w:val="optioncarChar"/>
        </w:rPr>
        <w:t>entre 85 et 100 (PMR)</w:t>
      </w:r>
      <w:r>
        <w:t> (par défaut) </w:t>
      </w:r>
      <w:r>
        <w:rPr>
          <w:rStyle w:val="optioncarChar"/>
        </w:rPr>
        <w:t>/ ***</w:t>
      </w:r>
      <w:r>
        <w:t xml:space="preserve"> cm, par rapport aux nez de marches</w:t>
      </w:r>
    </w:p>
    <w:p w14:paraId="548B0A6F" w14:textId="77777777" w:rsidR="004B2808" w:rsidRDefault="00000000">
      <w:pPr>
        <w:pStyle w:val="Author-eListParagraph"/>
        <w:numPr>
          <w:ilvl w:val="0"/>
          <w:numId w:val="1534"/>
        </w:numPr>
      </w:pPr>
      <w:r>
        <w:t>Main-courante secondaire :</w:t>
      </w:r>
      <w:r>
        <w:rPr>
          <w:rStyle w:val="optioncarChar"/>
        </w:rPr>
        <w:t> entre 60 et 75 (PMR) </w:t>
      </w:r>
      <w:r>
        <w:t>(par défaut)</w:t>
      </w:r>
      <w:r>
        <w:rPr>
          <w:rStyle w:val="optioncarChar"/>
        </w:rPr>
        <w:t> / ***</w:t>
      </w:r>
      <w:r>
        <w:t xml:space="preserve"> cm, par rapport aux nez de marches</w:t>
      </w:r>
    </w:p>
    <w:p w14:paraId="751C2FC5" w14:textId="77777777" w:rsidR="004B2808" w:rsidRDefault="00000000">
      <w:r>
        <w:t xml:space="preserve">Distance minimale entre le mur et la main courante : </w:t>
      </w:r>
      <w:r>
        <w:rPr>
          <w:rStyle w:val="optioncarChar"/>
        </w:rPr>
        <w:t>4 (PMR)</w:t>
      </w:r>
      <w:r>
        <w:t> (par défaut)</w:t>
      </w:r>
      <w:r>
        <w:rPr>
          <w:rStyle w:val="optioncarChar"/>
        </w:rPr>
        <w:t> / ***</w:t>
      </w:r>
      <w:r>
        <w:t xml:space="preserve"> cm</w:t>
      </w:r>
    </w:p>
    <w:p w14:paraId="55618489" w14:textId="77777777" w:rsidR="004B2808" w:rsidRDefault="00000000">
      <w:pPr>
        <w:pStyle w:val="pheading"/>
      </w:pPr>
      <w:r>
        <w:t>MESURAGE</w:t>
      </w:r>
    </w:p>
    <w:p w14:paraId="1926723C" w14:textId="77777777" w:rsidR="004B2808" w:rsidRDefault="00000000">
      <w:r>
        <w:t>Conformément aux indications spécifiques dans le cahier spécial des charges et/ou le métré récapitulatif, le mesurage doit être conçu comme suit :</w:t>
      </w:r>
    </w:p>
    <w:p w14:paraId="72F921F0" w14:textId="77777777" w:rsidR="004B2808" w:rsidRDefault="00000000">
      <w:r>
        <w:t>Attention : les mains-courantes qui font partie des escaliers en bois sont comprises dans l'ensemble de ce poste.</w:t>
      </w:r>
    </w:p>
    <w:p w14:paraId="5A97F297" w14:textId="77777777" w:rsidR="004B2808" w:rsidRDefault="00000000">
      <w:pPr>
        <w:pStyle w:val="pheading"/>
      </w:pPr>
      <w:r>
        <w:t>- unité de mesure:</w:t>
      </w:r>
    </w:p>
    <w:p w14:paraId="1242752F" w14:textId="77777777" w:rsidR="004B2808" w:rsidRDefault="00000000">
      <w:pPr>
        <w:pStyle w:val="optioncar"/>
      </w:pPr>
      <w:r>
        <w:t>m (par défaut) / pc / -</w:t>
      </w:r>
    </w:p>
    <w:p w14:paraId="1A9635E3" w14:textId="77777777" w:rsidR="004B2808" w:rsidRDefault="00000000">
      <w:pPr>
        <w:pStyle w:val="pheading"/>
      </w:pPr>
      <w:r>
        <w:t>- code de mesurage:</w:t>
      </w:r>
    </w:p>
    <w:p w14:paraId="0F9E0695" w14:textId="77777777" w:rsidR="004B2808" w:rsidRDefault="00000000">
      <w:r>
        <w:t xml:space="preserve">Choix opéré: </w:t>
      </w:r>
      <w:r>
        <w:rPr>
          <w:rStyle w:val="optioncarChar"/>
        </w:rPr>
        <w:t>OPTION 1 </w:t>
      </w:r>
      <w:r>
        <w:t>(par défaut)</w:t>
      </w:r>
      <w:r>
        <w:rPr>
          <w:rStyle w:val="optioncarChar"/>
        </w:rPr>
        <w:t xml:space="preserve"> / OPTION 2 (pc) / OPTION 3 (compris)</w:t>
      </w:r>
    </w:p>
    <w:p w14:paraId="3C6F2FB0" w14:textId="77777777" w:rsidR="004B2808" w:rsidRDefault="00000000">
      <w:pPr>
        <w:pStyle w:val="Author-eListParagraph"/>
        <w:numPr>
          <w:ilvl w:val="0"/>
          <w:numId w:val="1535"/>
        </w:numPr>
      </w:pPr>
      <w:r>
        <w:t>OPTION1 (par défaut) : Longueur nette</w:t>
      </w:r>
    </w:p>
    <w:p w14:paraId="10853733" w14:textId="77777777" w:rsidR="004B2808" w:rsidRDefault="00000000">
      <w:pPr>
        <w:pStyle w:val="Author-eListParagraph"/>
        <w:numPr>
          <w:ilvl w:val="0"/>
          <w:numId w:val="1535"/>
        </w:numPr>
      </w:pPr>
      <w:r>
        <w:t>OPTION 2 :Les assemblages courbés entre deux parties droites de la main-courante sont éventuellement mesurées à la pièce</w:t>
      </w:r>
    </w:p>
    <w:p w14:paraId="61A36535" w14:textId="77777777" w:rsidR="004B2808" w:rsidRDefault="00000000">
      <w:pPr>
        <w:pStyle w:val="Author-eListParagraph"/>
        <w:numPr>
          <w:ilvl w:val="0"/>
          <w:numId w:val="1535"/>
        </w:numPr>
      </w:pPr>
      <w:r>
        <w:t>OPTION 3: Compris dans le prix des garde-corps et/ou de l'ensemble de l'escalier.</w:t>
      </w:r>
    </w:p>
    <w:p w14:paraId="546E9F9C" w14:textId="77777777" w:rsidR="004B2808" w:rsidRDefault="00000000">
      <w:pPr>
        <w:pStyle w:val="pheading"/>
      </w:pPr>
      <w:r>
        <w:t>- nature du marché:</w:t>
      </w:r>
    </w:p>
    <w:p w14:paraId="32EDF917" w14:textId="77777777" w:rsidR="004B2808" w:rsidRDefault="00000000">
      <w:r>
        <w:rPr>
          <w:rStyle w:val="optioncarChar"/>
        </w:rPr>
        <w:t xml:space="preserve">QF </w:t>
      </w:r>
      <w:r>
        <w:t>(par défaut</w:t>
      </w:r>
      <w:r>
        <w:rPr>
          <w:rStyle w:val="optioncarChar"/>
        </w:rPr>
        <w:t>) / PM</w:t>
      </w:r>
    </w:p>
    <w:p w14:paraId="6E79C3E4" w14:textId="77777777" w:rsidR="004B2808" w:rsidRDefault="00000000">
      <w:pPr>
        <w:pStyle w:val="Author-eSectionHeading4Numberless"/>
      </w:pPr>
      <w:bookmarkStart w:id="1657" w:name="_Toc220491745"/>
      <w:r>
        <w:t>57.27 Eléments particuliers pour escalier CCTB 01.02</w:t>
      </w:r>
      <w:bookmarkEnd w:id="1657"/>
    </w:p>
    <w:p w14:paraId="505CE82E" w14:textId="77777777" w:rsidR="004B2808" w:rsidRDefault="00000000">
      <w:pPr>
        <w:pStyle w:val="Author-eSectionHeading5Numberless"/>
      </w:pPr>
      <w:bookmarkStart w:id="1658" w:name="_Toc220491746"/>
      <w:r>
        <w:t>57.27.1 Eléments de suspension pour escaliers sans limon CCTB 01.02</w:t>
      </w:r>
      <w:bookmarkEnd w:id="1658"/>
    </w:p>
    <w:p w14:paraId="17440B59" w14:textId="77777777" w:rsidR="004B2808" w:rsidRDefault="00000000">
      <w:pPr>
        <w:pStyle w:val="Author-eSectionHeading6Numberless"/>
      </w:pPr>
      <w:bookmarkStart w:id="1659" w:name="_Toc220491747"/>
      <w:r>
        <w:t>57.27.1a Eléments de suspension pour escaliers sans limon - métalliques CCTB 01.02</w:t>
      </w:r>
      <w:bookmarkEnd w:id="1659"/>
    </w:p>
    <w:p w14:paraId="2874189F" w14:textId="77777777" w:rsidR="004B2808" w:rsidRDefault="00000000">
      <w:pPr>
        <w:pStyle w:val="Author-eSectionHeading6Numberless"/>
      </w:pPr>
      <w:bookmarkStart w:id="1660" w:name="_Toc220491748"/>
      <w:r>
        <w:t>57.27.1b Eléments de suspension pour escaliers sans limon - en bois CCTB 01.02</w:t>
      </w:r>
      <w:bookmarkEnd w:id="1660"/>
    </w:p>
    <w:p w14:paraId="08E14396" w14:textId="77777777" w:rsidR="004B2808" w:rsidRDefault="00000000">
      <w:pPr>
        <w:pStyle w:val="Author-eSectionHeading5Numberless"/>
      </w:pPr>
      <w:bookmarkStart w:id="1661" w:name="_Toc220491749"/>
      <w:r>
        <w:t>57.27.2 Parachèvement de la sous-face des escaliers CCTB 01.07</w:t>
      </w:r>
      <w:bookmarkEnd w:id="1661"/>
    </w:p>
    <w:p w14:paraId="44EA9155" w14:textId="77777777" w:rsidR="004B2808" w:rsidRDefault="00000000">
      <w:pPr>
        <w:pStyle w:val="pheading"/>
      </w:pPr>
      <w:r>
        <w:t>DESCRIPTION</w:t>
      </w:r>
    </w:p>
    <w:p w14:paraId="75D63A6D" w14:textId="77777777" w:rsidR="004B2808" w:rsidRDefault="00000000">
      <w:pPr>
        <w:pStyle w:val="pheading"/>
      </w:pPr>
      <w:r>
        <w:t>- Définition / Comprend</w:t>
      </w:r>
    </w:p>
    <w:p w14:paraId="368C4B8E" w14:textId="77777777" w:rsidR="004B2808" w:rsidRDefault="00000000">
      <w:r>
        <w:t>Renvoi au §</w:t>
      </w:r>
      <w:hyperlink w:anchor="60" w:history="1">
        <w:r w:rsidR="004B2808">
          <w:rPr>
            <w:color w:val="0000EE"/>
          </w:rPr>
          <w:t>51 Parois légères et finitions des murs intérieurs</w:t>
        </w:r>
      </w:hyperlink>
    </w:p>
    <w:p w14:paraId="3F3B460D" w14:textId="77777777" w:rsidR="004B2808" w:rsidRDefault="00000000">
      <w:pPr>
        <w:pStyle w:val="Author-eSectionHeading5Numberless"/>
      </w:pPr>
      <w:bookmarkStart w:id="1662" w:name="_Toc220491750"/>
      <w:r>
        <w:t>57.27.3 Nez de marche antidérapantes CCTB 01.10</w:t>
      </w:r>
      <w:bookmarkEnd w:id="1662"/>
    </w:p>
    <w:p w14:paraId="5FFB34CA" w14:textId="77777777" w:rsidR="004B2808" w:rsidRDefault="00000000">
      <w:pPr>
        <w:pStyle w:val="pheading"/>
      </w:pPr>
      <w:r>
        <w:t>AIDE</w:t>
      </w:r>
    </w:p>
    <w:p w14:paraId="432521F1" w14:textId="77777777" w:rsidR="004B2808" w:rsidRDefault="00000000">
      <w:r>
        <w:t>NOTE A L’AUTEUR DE PROJET </w:t>
      </w:r>
    </w:p>
    <w:p w14:paraId="0293FE5C" w14:textId="77777777" w:rsidR="004B2808" w:rsidRDefault="00000000">
      <w:r>
        <w:rPr>
          <w:b/>
        </w:rPr>
        <w:t>Accessibilité aux personnes à mobilité réduite (PMR)</w:t>
      </w:r>
    </w:p>
    <w:p w14:paraId="0291C0CE" w14:textId="77777777" w:rsidR="004B2808" w:rsidRDefault="00000000">
      <w:r>
        <w:rPr>
          <w:i/>
          <w:u w:val="single"/>
        </w:rPr>
        <w:t>Indicateurs visuels sur les nez de marches :</w:t>
      </w:r>
      <w:r>
        <w:t xml:space="preserve">  [NBN ISO 21542] et [BS 8300] </w:t>
      </w:r>
    </w:p>
    <w:p w14:paraId="2C9E46DA" w14:textId="77777777" w:rsidR="004B2808" w:rsidRDefault="00000000">
      <w:r>
        <w:t>Localisation : de préférence, sur chaque marche ; sinon, sur la première et la dernière marche de chaque volée</w:t>
      </w:r>
    </w:p>
    <w:p w14:paraId="4F10E385" w14:textId="77777777" w:rsidR="004B2808" w:rsidRDefault="00000000">
      <w:r>
        <w:t>Largeur : continus sur toute la largeur des marches</w:t>
      </w:r>
    </w:p>
    <w:p w14:paraId="55F53EB4" w14:textId="77777777" w:rsidR="004B2808" w:rsidRDefault="00000000">
      <w:r>
        <w:t>Revêtement : antidérapants</w:t>
      </w:r>
    </w:p>
    <w:p w14:paraId="3C7373FB" w14:textId="77777777" w:rsidR="004B2808" w:rsidRDefault="00000000">
      <w:r>
        <w:t>Profondeur : 4 cm minimum sur la marche, peut redescendre sur la contremarche</w:t>
      </w:r>
    </w:p>
    <w:p w14:paraId="34352FF0" w14:textId="77777777" w:rsidR="004B2808" w:rsidRDefault="00000000">
      <w:r>
        <w:t>Contraste : différence de coefficient de réflexion (LRV) entre les indicateurs et les marches de minimum 60%</w:t>
      </w:r>
    </w:p>
    <w:p w14:paraId="777CD629" w14:textId="77777777" w:rsidR="004B2808" w:rsidRDefault="00000000">
      <w:pPr>
        <w:pStyle w:val="Author-eSectionHeading6Numberless"/>
      </w:pPr>
      <w:bookmarkStart w:id="1663" w:name="_Toc220491751"/>
      <w:r>
        <w:t>57.27.3a Nez de marche antidérapantes en acier CCTB 01.02</w:t>
      </w:r>
      <w:bookmarkEnd w:id="1663"/>
    </w:p>
    <w:p w14:paraId="0B30EA25" w14:textId="77777777" w:rsidR="004B2808" w:rsidRDefault="00000000">
      <w:pPr>
        <w:pStyle w:val="Author-eSectionHeading6Numberless"/>
      </w:pPr>
      <w:bookmarkStart w:id="1664" w:name="_Toc220491752"/>
      <w:r>
        <w:t>57.27.3b Nez de marche antidérapantes en acier inoxydable CCTB 01.02</w:t>
      </w:r>
      <w:bookmarkEnd w:id="1664"/>
    </w:p>
    <w:p w14:paraId="6E933BAB" w14:textId="77777777" w:rsidR="004B2808" w:rsidRDefault="00000000">
      <w:pPr>
        <w:pStyle w:val="Author-eSectionHeading6Numberless"/>
      </w:pPr>
      <w:bookmarkStart w:id="1665" w:name="_Toc220491753"/>
      <w:r>
        <w:t>57.27.3c Nez de marche antidérapantes en aluminium CCTB 01.02</w:t>
      </w:r>
      <w:bookmarkEnd w:id="1665"/>
    </w:p>
    <w:p w14:paraId="21651219" w14:textId="77777777" w:rsidR="004B2808" w:rsidRDefault="00000000">
      <w:pPr>
        <w:pStyle w:val="Author-eSectionHeading6Numberless"/>
      </w:pPr>
      <w:bookmarkStart w:id="1666" w:name="_Toc220491754"/>
      <w:r>
        <w:t>57.27.3d Nez de marche antidérapantes en céramique CCTB 01.02</w:t>
      </w:r>
      <w:bookmarkEnd w:id="1666"/>
    </w:p>
    <w:p w14:paraId="3D74100A" w14:textId="77777777" w:rsidR="004B2808" w:rsidRDefault="00000000">
      <w:pPr>
        <w:pStyle w:val="Author-eSectionHeading6Numberless"/>
      </w:pPr>
      <w:bookmarkStart w:id="1667" w:name="_Toc220491755"/>
      <w:r>
        <w:t>57.27.3e Nez de marche antidérapantes en matériaux synthétiques CCTB 01.12</w:t>
      </w:r>
      <w:bookmarkEnd w:id="1667"/>
    </w:p>
    <w:p w14:paraId="28982A00" w14:textId="77777777" w:rsidR="004B2808" w:rsidRDefault="00000000">
      <w:pPr>
        <w:pStyle w:val="pheading"/>
      </w:pPr>
      <w:r>
        <w:t>DESCRIPTION</w:t>
      </w:r>
    </w:p>
    <w:p w14:paraId="708FF7B9" w14:textId="77777777" w:rsidR="004B2808" w:rsidRDefault="00000000">
      <w:pPr>
        <w:pStyle w:val="pheading"/>
      </w:pPr>
      <w:r>
        <w:t>- Définition / Comprend</w:t>
      </w:r>
    </w:p>
    <w:p w14:paraId="5E1F571C" w14:textId="77777777" w:rsidR="004B2808" w:rsidRDefault="00000000">
      <w:pPr>
        <w:jc w:val="both"/>
      </w:pPr>
      <w:r>
        <w:t>Il s’agit de la fourniture et la pose de nez de marche antidérapants en matériaux synthétiques.</w:t>
      </w:r>
    </w:p>
    <w:p w14:paraId="735DC461" w14:textId="77777777" w:rsidR="004B2808" w:rsidRDefault="00000000">
      <w:pPr>
        <w:jc w:val="both"/>
      </w:pPr>
      <w:r>
        <w:t>Le travail comprend notamment :</w:t>
      </w:r>
    </w:p>
    <w:p w14:paraId="6F43BD10" w14:textId="77777777" w:rsidR="004B2808" w:rsidRDefault="00000000">
      <w:pPr>
        <w:pStyle w:val="Author-eListParagraph"/>
        <w:numPr>
          <w:ilvl w:val="0"/>
          <w:numId w:val="1536"/>
        </w:numPr>
        <w:jc w:val="both"/>
      </w:pPr>
      <w:r>
        <w:t>la préparation du support ;</w:t>
      </w:r>
    </w:p>
    <w:p w14:paraId="14B90A86" w14:textId="77777777" w:rsidR="004B2808" w:rsidRDefault="00000000">
      <w:pPr>
        <w:pStyle w:val="Author-eListParagraph"/>
        <w:numPr>
          <w:ilvl w:val="0"/>
          <w:numId w:val="1536"/>
        </w:numPr>
        <w:jc w:val="both"/>
      </w:pPr>
      <w:r>
        <w:t>la fourniture et pose des nez de marche ;</w:t>
      </w:r>
    </w:p>
    <w:p w14:paraId="19D565F6" w14:textId="77777777" w:rsidR="004B2808" w:rsidRDefault="00000000">
      <w:pPr>
        <w:pStyle w:val="Author-eListParagraph"/>
        <w:numPr>
          <w:ilvl w:val="0"/>
          <w:numId w:val="1536"/>
        </w:numPr>
        <w:jc w:val="both"/>
      </w:pPr>
      <w:r>
        <w:t>l’évacuation des déchets tel que décrit au  07 Déchets, matériaux et éléments réemployables.</w:t>
      </w:r>
    </w:p>
    <w:p w14:paraId="2AB55972" w14:textId="77777777" w:rsidR="004B2808" w:rsidRDefault="00000000">
      <w:pPr>
        <w:pStyle w:val="pheading"/>
      </w:pPr>
      <w:r>
        <w:t>MATÉRIAUX</w:t>
      </w:r>
    </w:p>
    <w:p w14:paraId="0A354468" w14:textId="77777777" w:rsidR="004B2808" w:rsidRDefault="00000000">
      <w:pPr>
        <w:pStyle w:val="pheading"/>
      </w:pPr>
      <w:r>
        <w:t>- Caractéristiques générales</w:t>
      </w:r>
    </w:p>
    <w:p w14:paraId="388E0307" w14:textId="77777777" w:rsidR="004B2808" w:rsidRDefault="00000000">
      <w:pPr>
        <w:jc w:val="both"/>
      </w:pPr>
      <w:r>
        <w:t xml:space="preserve">Matériau : </w:t>
      </w:r>
      <w:r>
        <w:rPr>
          <w:rStyle w:val="optioncarChar"/>
        </w:rPr>
        <w:t xml:space="preserve">PVC </w:t>
      </w:r>
      <w:r>
        <w:t>(par défaut)</w:t>
      </w:r>
      <w:r>
        <w:rPr>
          <w:rStyle w:val="optioncarChar"/>
        </w:rPr>
        <w:t xml:space="preserve"> / PVC armé fibres de verre / vinyle / ***</w:t>
      </w:r>
    </w:p>
    <w:p w14:paraId="3B16F4B1" w14:textId="77777777" w:rsidR="004B2808" w:rsidRDefault="00000000">
      <w:pPr>
        <w:jc w:val="both"/>
      </w:pPr>
      <w:r>
        <w:t xml:space="preserve">Caractère antidérapant : </w:t>
      </w:r>
      <w:r>
        <w:rPr>
          <w:rStyle w:val="optioncarChar"/>
        </w:rPr>
        <w:t>R10 / R11 / R13</w:t>
      </w:r>
    </w:p>
    <w:p w14:paraId="7AB5F946" w14:textId="77777777" w:rsidR="004B2808" w:rsidRDefault="00000000">
      <w:pPr>
        <w:jc w:val="both"/>
      </w:pPr>
      <w:r>
        <w:t xml:space="preserve">Réaction au feu : </w:t>
      </w:r>
      <w:r>
        <w:rPr>
          <w:rStyle w:val="optioncarChar"/>
        </w:rPr>
        <w:t xml:space="preserve">Bfl-s1 </w:t>
      </w:r>
      <w:r>
        <w:t>(par défaut)</w:t>
      </w:r>
      <w:r>
        <w:rPr>
          <w:rStyle w:val="optioncarChar"/>
        </w:rPr>
        <w:t xml:space="preserve"> / ***</w:t>
      </w:r>
    </w:p>
    <w:p w14:paraId="3228DD81" w14:textId="77777777" w:rsidR="004B2808" w:rsidRDefault="00000000">
      <w:pPr>
        <w:jc w:val="both"/>
      </w:pPr>
      <w:r>
        <w:t xml:space="preserve">Adapté au trafic : </w:t>
      </w:r>
      <w:r>
        <w:rPr>
          <w:rStyle w:val="optioncarChar"/>
        </w:rPr>
        <w:t>moyen</w:t>
      </w:r>
      <w:r>
        <w:t xml:space="preserve"> (par défaut) </w:t>
      </w:r>
      <w:r>
        <w:rPr>
          <w:rStyle w:val="optioncarChar"/>
        </w:rPr>
        <w:t>/ intense / ***</w:t>
      </w:r>
    </w:p>
    <w:p w14:paraId="64C66711" w14:textId="77777777" w:rsidR="004B2808" w:rsidRDefault="00000000">
      <w:pPr>
        <w:jc w:val="both"/>
      </w:pPr>
      <w:r>
        <w:t xml:space="preserve">Intégration de bandes électroluminescentes : </w:t>
      </w:r>
      <w:r>
        <w:rPr>
          <w:rStyle w:val="optioncarChar"/>
        </w:rPr>
        <w:t>non</w:t>
      </w:r>
      <w:r>
        <w:t xml:space="preserve"> (par défaut)</w:t>
      </w:r>
      <w:r>
        <w:rPr>
          <w:rStyle w:val="optioncarChar"/>
        </w:rPr>
        <w:t xml:space="preserve"> / oui</w:t>
      </w:r>
    </w:p>
    <w:p w14:paraId="2A6CE2C6" w14:textId="77777777" w:rsidR="004B2808" w:rsidRDefault="00000000">
      <w:pPr>
        <w:jc w:val="both"/>
      </w:pPr>
      <w:r>
        <w:t xml:space="preserve">Modèle : </w:t>
      </w:r>
      <w:r>
        <w:rPr>
          <w:rStyle w:val="optioncarChar"/>
        </w:rPr>
        <w:t>rapporté / encastré / encastré avec zone de recouvrement pour revêtement de finition des marches</w:t>
      </w:r>
    </w:p>
    <w:p w14:paraId="2E44997A" w14:textId="77777777" w:rsidR="004B2808" w:rsidRDefault="00000000">
      <w:pPr>
        <w:jc w:val="both"/>
      </w:pPr>
      <w:r>
        <w:t xml:space="preserve">Type : </w:t>
      </w:r>
      <w:r>
        <w:rPr>
          <w:rStyle w:val="optioncarChar"/>
        </w:rPr>
        <w:t xml:space="preserve">avec retombée sur la contremarche </w:t>
      </w:r>
      <w:r>
        <w:t>(par défaut)</w:t>
      </w:r>
      <w:r>
        <w:rPr>
          <w:rStyle w:val="optioncarChar"/>
        </w:rPr>
        <w:t xml:space="preserve"> / sans retombée</w:t>
      </w:r>
    </w:p>
    <w:p w14:paraId="18C0A51B" w14:textId="77777777" w:rsidR="004B2808" w:rsidRDefault="00000000">
      <w:pPr>
        <w:jc w:val="both"/>
      </w:pPr>
      <w:r>
        <w:rPr>
          <w:b/>
        </w:rPr>
        <w:t>(soit par défaut) </w:t>
      </w:r>
    </w:p>
    <w:p w14:paraId="318AB0BC" w14:textId="77777777" w:rsidR="004B2808" w:rsidRDefault="00000000">
      <w:pPr>
        <w:jc w:val="both"/>
      </w:pPr>
      <w:r>
        <w:rPr>
          <w:rStyle w:val="soitChar"/>
          <w:u w:val="single"/>
        </w:rPr>
        <w:t>Avec retombée sur la contremarche :</w:t>
      </w:r>
    </w:p>
    <w:p w14:paraId="30AAF16B" w14:textId="77777777" w:rsidR="004B2808" w:rsidRDefault="00000000">
      <w:pPr>
        <w:pStyle w:val="Author-eListParagraph"/>
        <w:numPr>
          <w:ilvl w:val="0"/>
          <w:numId w:val="1537"/>
        </w:numPr>
      </w:pPr>
      <w:r>
        <w:rPr>
          <w:rStyle w:val="soitChar"/>
        </w:rPr>
        <w:t xml:space="preserve">Angle : </w:t>
      </w:r>
      <w:r>
        <w:rPr>
          <w:rStyle w:val="optioncarChar"/>
        </w:rPr>
        <w:t>droit / arrondi</w:t>
      </w:r>
    </w:p>
    <w:p w14:paraId="28FC5689" w14:textId="77777777" w:rsidR="004B2808" w:rsidRDefault="00000000">
      <w:pPr>
        <w:pStyle w:val="Author-eListParagraph"/>
        <w:numPr>
          <w:ilvl w:val="0"/>
          <w:numId w:val="1537"/>
        </w:numPr>
      </w:pPr>
      <w:r>
        <w:rPr>
          <w:rStyle w:val="soitChar"/>
        </w:rPr>
        <w:t xml:space="preserve">Largeur : ± </w:t>
      </w:r>
      <w:r>
        <w:rPr>
          <w:rStyle w:val="optioncarChar"/>
        </w:rPr>
        <w:t xml:space="preserve">40 </w:t>
      </w:r>
      <w:r>
        <w:t>(par défaut)</w:t>
      </w:r>
      <w:r>
        <w:rPr>
          <w:rStyle w:val="optioncarChar"/>
        </w:rPr>
        <w:t xml:space="preserve"> / 50 / 60 / 65 / ***</w:t>
      </w:r>
      <w:r>
        <w:rPr>
          <w:rStyle w:val="soitChar"/>
        </w:rPr>
        <w:t xml:space="preserve"> mm</w:t>
      </w:r>
    </w:p>
    <w:p w14:paraId="7390963D" w14:textId="77777777" w:rsidR="004B2808" w:rsidRDefault="00000000">
      <w:pPr>
        <w:pStyle w:val="Author-eListParagraph"/>
        <w:numPr>
          <w:ilvl w:val="0"/>
          <w:numId w:val="1537"/>
        </w:numPr>
      </w:pPr>
      <w:r>
        <w:rPr>
          <w:rStyle w:val="soitChar"/>
        </w:rPr>
        <w:t xml:space="preserve">Hauteur de la face avant ± : </w:t>
      </w:r>
      <w:r>
        <w:rPr>
          <w:rStyle w:val="optioncarChar"/>
        </w:rPr>
        <w:t>30 / 40 / 50</w:t>
      </w:r>
      <w:r>
        <w:rPr>
          <w:rStyle w:val="soitChar"/>
        </w:rPr>
        <w:t xml:space="preserve"> mm</w:t>
      </w:r>
    </w:p>
    <w:p w14:paraId="0CE0A583" w14:textId="77777777" w:rsidR="004B2808" w:rsidRDefault="00000000">
      <w:pPr>
        <w:pStyle w:val="Author-eListParagraph"/>
        <w:numPr>
          <w:ilvl w:val="0"/>
          <w:numId w:val="1537"/>
        </w:numPr>
      </w:pPr>
      <w:r>
        <w:rPr>
          <w:rStyle w:val="soitChar"/>
        </w:rPr>
        <w:t xml:space="preserve">Épaisseur : </w:t>
      </w:r>
      <w:r>
        <w:rPr>
          <w:rStyle w:val="optioncarChar"/>
        </w:rPr>
        <w:t>3 / 4 / 5</w:t>
      </w:r>
      <w:r>
        <w:rPr>
          <w:rStyle w:val="soitChar"/>
        </w:rPr>
        <w:t xml:space="preserve"> mm</w:t>
      </w:r>
    </w:p>
    <w:p w14:paraId="213A561A" w14:textId="77777777" w:rsidR="004B2808" w:rsidRDefault="00000000">
      <w:pPr>
        <w:jc w:val="both"/>
      </w:pPr>
      <w:r>
        <w:rPr>
          <w:b/>
        </w:rPr>
        <w:t>(soit)</w:t>
      </w:r>
    </w:p>
    <w:p w14:paraId="5605F02C" w14:textId="77777777" w:rsidR="004B2808" w:rsidRDefault="00000000">
      <w:pPr>
        <w:jc w:val="both"/>
      </w:pPr>
      <w:r>
        <w:rPr>
          <w:rStyle w:val="soitChar"/>
          <w:u w:val="single"/>
        </w:rPr>
        <w:t>Sans retombée :</w:t>
      </w:r>
    </w:p>
    <w:p w14:paraId="3CDBA1D3" w14:textId="77777777" w:rsidR="004B2808" w:rsidRDefault="00000000">
      <w:pPr>
        <w:pStyle w:val="Author-eListParagraph"/>
        <w:numPr>
          <w:ilvl w:val="0"/>
          <w:numId w:val="1538"/>
        </w:numPr>
        <w:jc w:val="both"/>
      </w:pPr>
      <w:r>
        <w:rPr>
          <w:rStyle w:val="soitChar"/>
        </w:rPr>
        <w:t xml:space="preserve">Largeur ± : </w:t>
      </w:r>
      <w:r>
        <w:rPr>
          <w:rStyle w:val="optioncarChar"/>
        </w:rPr>
        <w:t xml:space="preserve">40 </w:t>
      </w:r>
      <w:r>
        <w:t>(par défaut)</w:t>
      </w:r>
      <w:r>
        <w:rPr>
          <w:rStyle w:val="optioncarChar"/>
        </w:rPr>
        <w:t xml:space="preserve"> / 50 / ***</w:t>
      </w:r>
      <w:r>
        <w:rPr>
          <w:rStyle w:val="soitChar"/>
        </w:rPr>
        <w:t xml:space="preserve"> mm</w:t>
      </w:r>
    </w:p>
    <w:p w14:paraId="50DBED53" w14:textId="77777777" w:rsidR="004B2808" w:rsidRDefault="00000000">
      <w:pPr>
        <w:pStyle w:val="Author-eListParagraph"/>
        <w:numPr>
          <w:ilvl w:val="0"/>
          <w:numId w:val="1538"/>
        </w:numPr>
        <w:jc w:val="both"/>
      </w:pPr>
      <w:r>
        <w:rPr>
          <w:rStyle w:val="soitChar"/>
        </w:rPr>
        <w:t xml:space="preserve">Épaisseur : </w:t>
      </w:r>
      <w:r>
        <w:rPr>
          <w:rStyle w:val="optioncarChar"/>
        </w:rPr>
        <w:t>3 / 4 / 5</w:t>
      </w:r>
      <w:r>
        <w:t xml:space="preserve">  </w:t>
      </w:r>
      <w:r>
        <w:rPr>
          <w:rStyle w:val="soitChar"/>
        </w:rPr>
        <w:t>mm</w:t>
      </w:r>
    </w:p>
    <w:p w14:paraId="202C628B" w14:textId="77777777" w:rsidR="004B2808" w:rsidRDefault="00000000">
      <w:pPr>
        <w:pStyle w:val="pheading"/>
      </w:pPr>
      <w:r>
        <w:t>- Finitions</w:t>
      </w:r>
    </w:p>
    <w:p w14:paraId="61CD3CB8" w14:textId="77777777" w:rsidR="004B2808" w:rsidRDefault="00000000">
      <w:pPr>
        <w:jc w:val="both"/>
      </w:pPr>
      <w:r>
        <w:t xml:space="preserve">Teinte : </w:t>
      </w:r>
      <w:r>
        <w:rPr>
          <w:rStyle w:val="optioncarChar"/>
        </w:rPr>
        <w:t>noir / gris / beige / jaune / blanc / ***</w:t>
      </w:r>
    </w:p>
    <w:p w14:paraId="199F50F6" w14:textId="77777777" w:rsidR="004B2808" w:rsidRDefault="00000000">
      <w:pPr>
        <w:jc w:val="both"/>
      </w:pPr>
      <w:r>
        <w:t xml:space="preserve">Teinte sur la marche supérieure et inférieure de la volée : </w:t>
      </w:r>
      <w:r>
        <w:rPr>
          <w:rStyle w:val="optioncarChar"/>
        </w:rPr>
        <w:t>jaune / rouge / blanc / noir</w:t>
      </w:r>
    </w:p>
    <w:p w14:paraId="0FF1B959" w14:textId="77777777" w:rsidR="004B2808" w:rsidRDefault="00000000">
      <w:pPr>
        <w:jc w:val="both"/>
      </w:pPr>
      <w:r>
        <w:t xml:space="preserve">Finition de la face supérieure : </w:t>
      </w:r>
      <w:r>
        <w:rPr>
          <w:rStyle w:val="optioncarChar"/>
        </w:rPr>
        <w:t xml:space="preserve">stries </w:t>
      </w:r>
      <w:r>
        <w:t xml:space="preserve">(par défaut) </w:t>
      </w:r>
      <w:r>
        <w:rPr>
          <w:rStyle w:val="optioncarChar"/>
        </w:rPr>
        <w:t>/ plane / particules antidérapantes enrobées / ***</w:t>
      </w:r>
    </w:p>
    <w:p w14:paraId="476045DA" w14:textId="77777777" w:rsidR="004B2808" w:rsidRDefault="00000000">
      <w:pPr>
        <w:pStyle w:val="pheading"/>
      </w:pPr>
      <w:r>
        <w:t>EXÉCUTION / MISE EN ŒUVRE</w:t>
      </w:r>
    </w:p>
    <w:p w14:paraId="536490B7" w14:textId="77777777" w:rsidR="004B2808" w:rsidRDefault="00000000">
      <w:pPr>
        <w:pStyle w:val="pheading"/>
      </w:pPr>
      <w:r>
        <w:t>- Prescriptions générales</w:t>
      </w:r>
    </w:p>
    <w:p w14:paraId="5410921F" w14:textId="77777777" w:rsidR="004B2808" w:rsidRDefault="00000000">
      <w:pPr>
        <w:jc w:val="both"/>
      </w:pPr>
      <w:r>
        <w:t>Mise en œuvre conformément aux prescriptions de la documentation technique jointe au matériau.</w:t>
      </w:r>
    </w:p>
    <w:p w14:paraId="1AC2A0B5" w14:textId="77777777" w:rsidR="004B2808" w:rsidRDefault="00000000">
      <w:pPr>
        <w:jc w:val="both"/>
      </w:pPr>
      <w:r>
        <w:t>Les matériaux sont stockés à température ambiante du chantier pendant min 24h avant début de la pose.</w:t>
      </w:r>
    </w:p>
    <w:p w14:paraId="379BF361" w14:textId="77777777" w:rsidR="004B2808" w:rsidRDefault="00000000">
      <w:pPr>
        <w:jc w:val="both"/>
      </w:pPr>
      <w:r>
        <w:t>Préparation du support :</w:t>
      </w:r>
    </w:p>
    <w:p w14:paraId="74D4AFD8" w14:textId="77777777" w:rsidR="004B2808" w:rsidRDefault="00000000">
      <w:pPr>
        <w:pStyle w:val="Author-eListParagraph"/>
        <w:numPr>
          <w:ilvl w:val="0"/>
          <w:numId w:val="1539"/>
        </w:numPr>
      </w:pPr>
      <w:r>
        <w:t>Dépoussiérage</w:t>
      </w:r>
    </w:p>
    <w:p w14:paraId="1E6AE8FB" w14:textId="77777777" w:rsidR="004B2808" w:rsidRDefault="00000000">
      <w:pPr>
        <w:pStyle w:val="Author-eListParagraph"/>
        <w:numPr>
          <w:ilvl w:val="0"/>
          <w:numId w:val="1539"/>
        </w:numPr>
      </w:pPr>
      <w:r>
        <w:t>Élimination de tous résidus de colle, adhésif, graisse, etc…</w:t>
      </w:r>
    </w:p>
    <w:p w14:paraId="0678B43D" w14:textId="77777777" w:rsidR="004B2808" w:rsidRDefault="00000000">
      <w:pPr>
        <w:pStyle w:val="Author-eListParagraph"/>
        <w:numPr>
          <w:ilvl w:val="0"/>
          <w:numId w:val="1539"/>
        </w:numPr>
      </w:pPr>
      <w:r>
        <w:t>Sur support poreux : application d’un primaire d’adhérence</w:t>
      </w:r>
    </w:p>
    <w:p w14:paraId="5FA72D79" w14:textId="77777777" w:rsidR="004B2808" w:rsidRDefault="00000000">
      <w:pPr>
        <w:jc w:val="both"/>
      </w:pPr>
      <w:r>
        <w:lastRenderedPageBreak/>
        <w:t xml:space="preserve">Fixation par : </w:t>
      </w:r>
      <w:r>
        <w:rPr>
          <w:rStyle w:val="optioncarChar"/>
        </w:rPr>
        <w:t xml:space="preserve">collage </w:t>
      </w:r>
      <w:r>
        <w:t>(par défaut)</w:t>
      </w:r>
      <w:r>
        <w:rPr>
          <w:rStyle w:val="optioncarChar"/>
        </w:rPr>
        <w:t xml:space="preserve"> / collage par tape double face / vissage</w:t>
      </w:r>
    </w:p>
    <w:p w14:paraId="2B886655" w14:textId="77777777" w:rsidR="004B2808" w:rsidRDefault="00000000">
      <w:pPr>
        <w:pStyle w:val="pheading"/>
      </w:pPr>
      <w:r>
        <w:t>MESURAGE</w:t>
      </w:r>
    </w:p>
    <w:p w14:paraId="2ACA8985" w14:textId="77777777" w:rsidR="004B2808" w:rsidRDefault="00000000">
      <w:pPr>
        <w:pStyle w:val="pheading"/>
      </w:pPr>
      <w:r>
        <w:t>- unité de mesure:</w:t>
      </w:r>
    </w:p>
    <w:p w14:paraId="370A8776" w14:textId="77777777" w:rsidR="004B2808" w:rsidRDefault="00000000">
      <w:r>
        <w:t>pc</w:t>
      </w:r>
    </w:p>
    <w:p w14:paraId="29FB9309" w14:textId="77777777" w:rsidR="004B2808" w:rsidRDefault="00000000">
      <w:pPr>
        <w:pStyle w:val="pheading"/>
      </w:pPr>
      <w:r>
        <w:t>- code de mesurage:</w:t>
      </w:r>
    </w:p>
    <w:p w14:paraId="33447997" w14:textId="77777777" w:rsidR="004B2808" w:rsidRDefault="00000000">
      <w:r>
        <w:t>Quantité nette : à la pièce, distinction faite du type et de la longueur</w:t>
      </w:r>
    </w:p>
    <w:p w14:paraId="64F96DF8" w14:textId="77777777" w:rsidR="004B2808" w:rsidRDefault="00000000">
      <w:pPr>
        <w:pStyle w:val="pheading"/>
      </w:pPr>
      <w:r>
        <w:t>- nature du marché:</w:t>
      </w:r>
    </w:p>
    <w:p w14:paraId="4FFCB44F" w14:textId="77777777" w:rsidR="004B2808" w:rsidRDefault="00000000">
      <w:r>
        <w:t>QF</w:t>
      </w:r>
    </w:p>
    <w:p w14:paraId="2C9E2626" w14:textId="77777777" w:rsidR="004B2808" w:rsidRDefault="00000000">
      <w:pPr>
        <w:pStyle w:val="Author-eSectionHeading6Numberless"/>
      </w:pPr>
      <w:bookmarkStart w:id="1668" w:name="_Toc220491756"/>
      <w:r>
        <w:t>57.27.3f Nez de marche antidérapantes en matériaux souples  CCTB 01.02</w:t>
      </w:r>
      <w:bookmarkEnd w:id="1668"/>
    </w:p>
    <w:p w14:paraId="4A2A456A" w14:textId="77777777" w:rsidR="004B2808" w:rsidRDefault="00000000">
      <w:pPr>
        <w:pStyle w:val="Author-eSectionHeading5Numberless"/>
      </w:pPr>
      <w:bookmarkStart w:id="1669" w:name="_Toc220491757"/>
      <w:r>
        <w:t>57.27.4 Eclairage (LED) intégré à la marche CCTB 01.02</w:t>
      </w:r>
      <w:bookmarkEnd w:id="1669"/>
    </w:p>
    <w:p w14:paraId="52B5C388" w14:textId="77777777" w:rsidR="004B2808" w:rsidRDefault="00000000">
      <w:pPr>
        <w:pStyle w:val="Author-eSectionHeading6Numberless"/>
      </w:pPr>
      <w:bookmarkStart w:id="1670" w:name="_Toc220491758"/>
      <w:r>
        <w:t>57.27.4a Eclairage (LED) intégré à la marche CCTB 01.12</w:t>
      </w:r>
      <w:bookmarkEnd w:id="1670"/>
    </w:p>
    <w:p w14:paraId="221B11F3" w14:textId="77777777" w:rsidR="004B2808" w:rsidRDefault="00000000">
      <w:pPr>
        <w:pStyle w:val="pheading"/>
      </w:pPr>
      <w:r>
        <w:t>DESCRIPTION</w:t>
      </w:r>
    </w:p>
    <w:p w14:paraId="038C4D14" w14:textId="77777777" w:rsidR="004B2808" w:rsidRDefault="00000000">
      <w:pPr>
        <w:pStyle w:val="pheading"/>
      </w:pPr>
      <w:r>
        <w:t>- Définition / Comprend</w:t>
      </w:r>
    </w:p>
    <w:p w14:paraId="3875BBC7" w14:textId="77777777" w:rsidR="004B2808" w:rsidRDefault="00000000">
      <w:pPr>
        <w:jc w:val="both"/>
      </w:pPr>
      <w:r>
        <w:t>Il s’agit de la fourniture et la pose d’éclairage (LED) intégré à la marche</w:t>
      </w:r>
    </w:p>
    <w:p w14:paraId="17B18E06" w14:textId="77777777" w:rsidR="004B2808" w:rsidRDefault="00000000">
      <w:pPr>
        <w:jc w:val="both"/>
      </w:pPr>
      <w:r>
        <w:t>Le travail comprend notamment :</w:t>
      </w:r>
    </w:p>
    <w:p w14:paraId="11A22FA9" w14:textId="77777777" w:rsidR="004B2808" w:rsidRDefault="00000000">
      <w:pPr>
        <w:pStyle w:val="Author-eListParagraph"/>
        <w:numPr>
          <w:ilvl w:val="0"/>
          <w:numId w:val="1540"/>
        </w:numPr>
      </w:pPr>
      <w:r>
        <w:t>la préparation du support ;</w:t>
      </w:r>
    </w:p>
    <w:p w14:paraId="160B11B5" w14:textId="77777777" w:rsidR="004B2808" w:rsidRDefault="00000000">
      <w:pPr>
        <w:pStyle w:val="Author-eListParagraph"/>
        <w:numPr>
          <w:ilvl w:val="0"/>
          <w:numId w:val="1540"/>
        </w:numPr>
      </w:pPr>
      <w:r>
        <w:t>la fourniture et pose des leds, câblages et accessoires ;</w:t>
      </w:r>
    </w:p>
    <w:p w14:paraId="41B2FFC8" w14:textId="77777777" w:rsidR="004B2808" w:rsidRDefault="00000000">
      <w:pPr>
        <w:pStyle w:val="Author-eListParagraph"/>
        <w:numPr>
          <w:ilvl w:val="0"/>
          <w:numId w:val="1540"/>
        </w:numPr>
      </w:pPr>
      <w:r>
        <w:t>le raccordement sur l’installation électrique suivant 7 T7 Electricité ;</w:t>
      </w:r>
    </w:p>
    <w:p w14:paraId="0B0B69E3" w14:textId="77777777" w:rsidR="004B2808" w:rsidRDefault="00000000">
      <w:pPr>
        <w:pStyle w:val="Author-eListParagraph"/>
        <w:numPr>
          <w:ilvl w:val="0"/>
          <w:numId w:val="1540"/>
        </w:numPr>
      </w:pPr>
      <w:r>
        <w:t>l’évacuation des déchets tel que décrit sous 07 Déchets, matériaux et éléments réemployables.</w:t>
      </w:r>
    </w:p>
    <w:p w14:paraId="4FE9CEDA" w14:textId="77777777" w:rsidR="004B2808" w:rsidRDefault="00000000">
      <w:pPr>
        <w:pStyle w:val="pheading"/>
      </w:pPr>
      <w:r>
        <w:t>MATÉRIAUX</w:t>
      </w:r>
    </w:p>
    <w:p w14:paraId="57B17389" w14:textId="77777777" w:rsidR="004B2808" w:rsidRDefault="00000000">
      <w:pPr>
        <w:pStyle w:val="pheading"/>
      </w:pPr>
      <w:r>
        <w:t>- Caractéristiques générales</w:t>
      </w:r>
    </w:p>
    <w:p w14:paraId="4DAA2FA7" w14:textId="77777777" w:rsidR="004B2808" w:rsidRDefault="00000000">
      <w:pPr>
        <w:jc w:val="both"/>
      </w:pPr>
      <w:r>
        <w:t xml:space="preserve">Éclairage led pour pose en </w:t>
      </w:r>
      <w:r>
        <w:rPr>
          <w:rStyle w:val="optioncarChar"/>
        </w:rPr>
        <w:t>intérieur</w:t>
      </w:r>
      <w:r>
        <w:t xml:space="preserve"> (par défaut) </w:t>
      </w:r>
      <w:r>
        <w:rPr>
          <w:rStyle w:val="optioncarChar"/>
        </w:rPr>
        <w:t>/ extérieur</w:t>
      </w:r>
    </w:p>
    <w:p w14:paraId="14F2EE31" w14:textId="77777777" w:rsidR="004B2808" w:rsidRDefault="00000000">
      <w:pPr>
        <w:jc w:val="both"/>
      </w:pPr>
      <w:r>
        <w:rPr>
          <w:b/>
        </w:rPr>
        <w:t>(soit par défaut)</w:t>
      </w:r>
    </w:p>
    <w:p w14:paraId="46A87D15" w14:textId="77777777" w:rsidR="004B2808" w:rsidRDefault="00000000">
      <w:pPr>
        <w:jc w:val="both"/>
      </w:pPr>
      <w:r>
        <w:rPr>
          <w:rStyle w:val="soitChar"/>
          <w:u w:val="single"/>
        </w:rPr>
        <w:t>Intérieur</w:t>
      </w:r>
      <w:r>
        <w:rPr>
          <w:rStyle w:val="soitChar"/>
        </w:rPr>
        <w:t> suivant 73.1 Luminaires intérieurs</w:t>
      </w:r>
    </w:p>
    <w:p w14:paraId="48D359B5" w14:textId="77777777" w:rsidR="004B2808" w:rsidRDefault="00000000">
      <w:pPr>
        <w:jc w:val="both"/>
      </w:pPr>
      <w:r>
        <w:rPr>
          <w:b/>
        </w:rPr>
        <w:t>(soit)</w:t>
      </w:r>
    </w:p>
    <w:p w14:paraId="6F254EBD" w14:textId="77777777" w:rsidR="004B2808" w:rsidRDefault="00000000">
      <w:pPr>
        <w:jc w:val="both"/>
      </w:pPr>
      <w:r>
        <w:rPr>
          <w:rStyle w:val="soitChar"/>
          <w:u w:val="single"/>
        </w:rPr>
        <w:t>Extérieur</w:t>
      </w:r>
      <w:r>
        <w:rPr>
          <w:rStyle w:val="soitChar"/>
        </w:rPr>
        <w:t xml:space="preserve"> suivant 73.2 Luminaires extérieurs</w:t>
      </w:r>
    </w:p>
    <w:p w14:paraId="054AAEA3" w14:textId="77777777" w:rsidR="004B2808" w:rsidRDefault="00000000">
      <w:pPr>
        <w:jc w:val="both"/>
      </w:pPr>
      <w:r>
        <w:t xml:space="preserve">Température de couleur : </w:t>
      </w:r>
      <w:r>
        <w:rPr>
          <w:rStyle w:val="optioncarChar"/>
        </w:rPr>
        <w:t xml:space="preserve">4000 </w:t>
      </w:r>
      <w:r>
        <w:t>(par défaut)</w:t>
      </w:r>
      <w:r>
        <w:rPr>
          <w:rStyle w:val="optioncarChar"/>
        </w:rPr>
        <w:t xml:space="preserve"> / 3000 / 2700 / RGB / ***</w:t>
      </w:r>
      <w:r>
        <w:t xml:space="preserve"> K</w:t>
      </w:r>
    </w:p>
    <w:p w14:paraId="1D1A4E00" w14:textId="77777777" w:rsidR="004B2808" w:rsidRDefault="00000000">
      <w:pPr>
        <w:jc w:val="both"/>
      </w:pPr>
      <w:r>
        <w:t xml:space="preserve">Intensité lumineuse : ± </w:t>
      </w:r>
      <w:r>
        <w:rPr>
          <w:rStyle w:val="optioncarChar"/>
        </w:rPr>
        <w:t>160 / 300 / 400 / ***</w:t>
      </w:r>
      <w:r>
        <w:t xml:space="preserve"> lm/m</w:t>
      </w:r>
    </w:p>
    <w:p w14:paraId="152F24FA" w14:textId="77777777" w:rsidR="004B2808" w:rsidRDefault="00000000">
      <w:pPr>
        <w:jc w:val="both"/>
      </w:pPr>
      <w:r>
        <w:t xml:space="preserve">Dimmable : </w:t>
      </w:r>
      <w:r>
        <w:rPr>
          <w:rStyle w:val="optioncarChar"/>
        </w:rPr>
        <w:t xml:space="preserve">non </w:t>
      </w:r>
      <w:r>
        <w:t>(par défaut)</w:t>
      </w:r>
      <w:r>
        <w:rPr>
          <w:rStyle w:val="optioncarChar"/>
        </w:rPr>
        <w:t xml:space="preserve"> / oui</w:t>
      </w:r>
    </w:p>
    <w:p w14:paraId="4CAA4F87" w14:textId="77777777" w:rsidR="004B2808" w:rsidRDefault="00000000">
      <w:pPr>
        <w:jc w:val="both"/>
      </w:pPr>
      <w:r>
        <w:t xml:space="preserve">L’éclairage led est : </w:t>
      </w:r>
      <w:r>
        <w:rPr>
          <w:rStyle w:val="optioncarChar"/>
        </w:rPr>
        <w:t>intégré dans le nez de marche / intégré dans la finition de la marche / ruban led adhésif collé</w:t>
      </w:r>
    </w:p>
    <w:p w14:paraId="3CB9DD89" w14:textId="77777777" w:rsidR="004B2808" w:rsidRDefault="00000000">
      <w:pPr>
        <w:jc w:val="both"/>
      </w:pPr>
      <w:r>
        <w:rPr>
          <w:b/>
        </w:rPr>
        <w:t>(soit)</w:t>
      </w:r>
    </w:p>
    <w:p w14:paraId="4174B566" w14:textId="77777777" w:rsidR="004B2808" w:rsidRDefault="00000000">
      <w:pPr>
        <w:jc w:val="both"/>
      </w:pPr>
      <w:r>
        <w:rPr>
          <w:rStyle w:val="soitChar"/>
          <w:u w:val="single"/>
        </w:rPr>
        <w:t>Intégré dans le nez de marche :</w:t>
      </w:r>
    </w:p>
    <w:p w14:paraId="355FE1B9" w14:textId="77777777" w:rsidR="004B2808" w:rsidRDefault="00000000">
      <w:pPr>
        <w:pStyle w:val="Author-eListParagraph"/>
        <w:numPr>
          <w:ilvl w:val="0"/>
          <w:numId w:val="1541"/>
        </w:numPr>
      </w:pPr>
      <w:r>
        <w:rPr>
          <w:rStyle w:val="soitChar"/>
        </w:rPr>
        <w:t xml:space="preserve">Matériau du nez de marche : </w:t>
      </w:r>
      <w:r>
        <w:rPr>
          <w:rStyle w:val="optioncarChar"/>
        </w:rPr>
        <w:t xml:space="preserve">aluminium anodisé </w:t>
      </w:r>
      <w:r>
        <w:t>(par défaut)</w:t>
      </w:r>
      <w:r>
        <w:rPr>
          <w:rStyle w:val="optioncarChar"/>
        </w:rPr>
        <w:t xml:space="preserve"> / ***</w:t>
      </w:r>
    </w:p>
    <w:p w14:paraId="3A633D9D" w14:textId="77777777" w:rsidR="004B2808" w:rsidRDefault="00000000">
      <w:pPr>
        <w:pStyle w:val="Author-eListParagraph"/>
        <w:numPr>
          <w:ilvl w:val="0"/>
          <w:numId w:val="1541"/>
        </w:numPr>
      </w:pPr>
      <w:r>
        <w:rPr>
          <w:rStyle w:val="soitChar"/>
        </w:rPr>
        <w:t xml:space="preserve">Pose du nez de marche : </w:t>
      </w:r>
      <w:r>
        <w:rPr>
          <w:rStyle w:val="optioncarChar"/>
        </w:rPr>
        <w:t>intégré dans la finition / sur la finition</w:t>
      </w:r>
    </w:p>
    <w:p w14:paraId="0C3F8DD9" w14:textId="77777777" w:rsidR="004B2808" w:rsidRDefault="00000000">
      <w:pPr>
        <w:pStyle w:val="Author-eListParagraph"/>
        <w:numPr>
          <w:ilvl w:val="0"/>
          <w:numId w:val="1541"/>
        </w:numPr>
      </w:pPr>
      <w:r>
        <w:rPr>
          <w:rStyle w:val="soitChar"/>
        </w:rPr>
        <w:t xml:space="preserve">Finition du nez : </w:t>
      </w:r>
      <w:r>
        <w:rPr>
          <w:rStyle w:val="optioncarChar"/>
        </w:rPr>
        <w:t xml:space="preserve">stries </w:t>
      </w:r>
      <w:r>
        <w:t>(par défaut)</w:t>
      </w:r>
      <w:r>
        <w:rPr>
          <w:rStyle w:val="optioncarChar"/>
        </w:rPr>
        <w:t xml:space="preserve"> / insert en PVC / insert en polyuréthane / ***</w:t>
      </w:r>
    </w:p>
    <w:p w14:paraId="7D318130" w14:textId="77777777" w:rsidR="004B2808" w:rsidRDefault="00000000">
      <w:pPr>
        <w:pStyle w:val="Author-eListParagraph"/>
        <w:numPr>
          <w:ilvl w:val="0"/>
          <w:numId w:val="1541"/>
        </w:numPr>
      </w:pPr>
      <w:r>
        <w:rPr>
          <w:rStyle w:val="soitChar"/>
        </w:rPr>
        <w:t xml:space="preserve">Leds situées : </w:t>
      </w:r>
      <w:r>
        <w:rPr>
          <w:rStyle w:val="optioncarChar"/>
        </w:rPr>
        <w:t>sur le dessus / en face avant / sous le nez</w:t>
      </w:r>
    </w:p>
    <w:p w14:paraId="6F3619F4" w14:textId="77777777" w:rsidR="004B2808" w:rsidRDefault="00000000">
      <w:pPr>
        <w:pStyle w:val="Author-eListParagraph"/>
        <w:numPr>
          <w:ilvl w:val="0"/>
          <w:numId w:val="1541"/>
        </w:numPr>
      </w:pPr>
      <w:r>
        <w:rPr>
          <w:rStyle w:val="soitChar"/>
        </w:rPr>
        <w:t xml:space="preserve">Diffuseur :  </w:t>
      </w:r>
      <w:r>
        <w:rPr>
          <w:rStyle w:val="optioncarChar"/>
        </w:rPr>
        <w:t xml:space="preserve">polycarbonate </w:t>
      </w:r>
      <w:r>
        <w:t xml:space="preserve">(par défaut) </w:t>
      </w:r>
      <w:r>
        <w:rPr>
          <w:rStyle w:val="optioncarChar"/>
        </w:rPr>
        <w:t>/ ***</w:t>
      </w:r>
    </w:p>
    <w:p w14:paraId="098E87E0" w14:textId="77777777" w:rsidR="004B2808" w:rsidRDefault="00000000">
      <w:pPr>
        <w:pStyle w:val="Author-eListParagraph"/>
        <w:numPr>
          <w:ilvl w:val="0"/>
          <w:numId w:val="1541"/>
        </w:numPr>
      </w:pPr>
      <w:r>
        <w:rPr>
          <w:rStyle w:val="soitChar"/>
        </w:rPr>
        <w:t>Le câblage est intégré dans un rail situé à l’arrière du profilé.</w:t>
      </w:r>
    </w:p>
    <w:p w14:paraId="3BFF54F2" w14:textId="77777777" w:rsidR="004B2808" w:rsidRDefault="00000000">
      <w:pPr>
        <w:pStyle w:val="Author-eListParagraph"/>
        <w:numPr>
          <w:ilvl w:val="0"/>
          <w:numId w:val="1541"/>
        </w:numPr>
      </w:pPr>
      <w:r>
        <w:rPr>
          <w:rStyle w:val="soitChar"/>
        </w:rPr>
        <w:t xml:space="preserve">Protection IP : </w:t>
      </w:r>
      <w:r>
        <w:rPr>
          <w:rStyle w:val="optioncarChar"/>
        </w:rPr>
        <w:t xml:space="preserve">IP65 </w:t>
      </w:r>
      <w:r>
        <w:t>(par défaut)</w:t>
      </w:r>
      <w:r>
        <w:rPr>
          <w:rStyle w:val="optioncarChar"/>
        </w:rPr>
        <w:t xml:space="preserve"> / IP44 / ***</w:t>
      </w:r>
    </w:p>
    <w:p w14:paraId="4D6AA713" w14:textId="77777777" w:rsidR="004B2808" w:rsidRDefault="00000000">
      <w:pPr>
        <w:jc w:val="both"/>
      </w:pPr>
      <w:r>
        <w:rPr>
          <w:b/>
        </w:rPr>
        <w:lastRenderedPageBreak/>
        <w:t>(soit)</w:t>
      </w:r>
    </w:p>
    <w:p w14:paraId="0F98519B" w14:textId="77777777" w:rsidR="004B2808" w:rsidRDefault="00000000">
      <w:pPr>
        <w:jc w:val="both"/>
      </w:pPr>
      <w:r>
        <w:rPr>
          <w:rStyle w:val="soitChar"/>
          <w:u w:val="single"/>
        </w:rPr>
        <w:t>Intégré dans la finition de la marche :</w:t>
      </w:r>
    </w:p>
    <w:p w14:paraId="617F68A5" w14:textId="77777777" w:rsidR="004B2808" w:rsidRDefault="00000000">
      <w:pPr>
        <w:pStyle w:val="Author-eListParagraph"/>
        <w:numPr>
          <w:ilvl w:val="0"/>
          <w:numId w:val="1542"/>
        </w:numPr>
        <w:jc w:val="both"/>
      </w:pPr>
      <w:r>
        <w:rPr>
          <w:rStyle w:val="soitChar"/>
        </w:rPr>
        <w:t xml:space="preserve">Rail: </w:t>
      </w:r>
      <w:r>
        <w:rPr>
          <w:rStyle w:val="optioncarChar"/>
        </w:rPr>
        <w:t xml:space="preserve">aluminium anodisé </w:t>
      </w:r>
      <w:r>
        <w:t>(par défaut)</w:t>
      </w:r>
      <w:r>
        <w:rPr>
          <w:rStyle w:val="optioncarChar"/>
        </w:rPr>
        <w:t xml:space="preserve"> / aluminium thermolaqué / ***</w:t>
      </w:r>
    </w:p>
    <w:p w14:paraId="6FDE6AC3" w14:textId="77777777" w:rsidR="004B2808" w:rsidRDefault="00000000">
      <w:pPr>
        <w:pStyle w:val="Author-eListParagraph"/>
        <w:numPr>
          <w:ilvl w:val="0"/>
          <w:numId w:val="1542"/>
        </w:numPr>
        <w:jc w:val="both"/>
      </w:pPr>
      <w:r>
        <w:rPr>
          <w:rStyle w:val="soitChar"/>
        </w:rPr>
        <w:t xml:space="preserve">Diffuseur :  </w:t>
      </w:r>
      <w:r>
        <w:rPr>
          <w:rStyle w:val="optioncarChar"/>
        </w:rPr>
        <w:t xml:space="preserve">polycarbonate </w:t>
      </w:r>
      <w:r>
        <w:t>(par défaut)</w:t>
      </w:r>
      <w:r>
        <w:rPr>
          <w:rStyle w:val="optioncarChar"/>
        </w:rPr>
        <w:t xml:space="preserve"> / ***</w:t>
      </w:r>
    </w:p>
    <w:p w14:paraId="42B2BF77" w14:textId="77777777" w:rsidR="004B2808" w:rsidRDefault="00000000">
      <w:pPr>
        <w:pStyle w:val="Author-eListParagraph"/>
        <w:numPr>
          <w:ilvl w:val="0"/>
          <w:numId w:val="1542"/>
        </w:numPr>
        <w:jc w:val="both"/>
      </w:pPr>
      <w:r>
        <w:rPr>
          <w:rStyle w:val="soitChar"/>
        </w:rPr>
        <w:t xml:space="preserve">Dimensions : ± </w:t>
      </w:r>
      <w:r>
        <w:rPr>
          <w:rStyle w:val="optioncarChar"/>
        </w:rPr>
        <w:t>9 x 27 / 11 x 60 / ***</w:t>
      </w:r>
      <w:r>
        <w:rPr>
          <w:rStyle w:val="soitChar"/>
        </w:rPr>
        <w:t xml:space="preserve"> mm</w:t>
      </w:r>
    </w:p>
    <w:p w14:paraId="5E67FF30" w14:textId="77777777" w:rsidR="004B2808" w:rsidRDefault="00000000">
      <w:pPr>
        <w:pStyle w:val="Author-eListParagraph"/>
        <w:numPr>
          <w:ilvl w:val="0"/>
          <w:numId w:val="1542"/>
        </w:numPr>
        <w:jc w:val="both"/>
      </w:pPr>
      <w:r>
        <w:rPr>
          <w:rStyle w:val="soitChar"/>
        </w:rPr>
        <w:t>Ruban led intégré dans le rail</w:t>
      </w:r>
    </w:p>
    <w:p w14:paraId="56B5AECD" w14:textId="77777777" w:rsidR="004B2808" w:rsidRDefault="00000000">
      <w:pPr>
        <w:pStyle w:val="Author-eListParagraph"/>
        <w:numPr>
          <w:ilvl w:val="0"/>
          <w:numId w:val="1542"/>
        </w:numPr>
        <w:jc w:val="both"/>
      </w:pPr>
      <w:r>
        <w:rPr>
          <w:rStyle w:val="soitChar"/>
        </w:rPr>
        <w:t xml:space="preserve">Protection : </w:t>
      </w:r>
      <w:r>
        <w:rPr>
          <w:rStyle w:val="optioncarChar"/>
        </w:rPr>
        <w:t xml:space="preserve">IP44 </w:t>
      </w:r>
      <w:r>
        <w:t xml:space="preserve">(par défaut) </w:t>
      </w:r>
      <w:r>
        <w:rPr>
          <w:rStyle w:val="optioncarChar"/>
        </w:rPr>
        <w:t>/ ***</w:t>
      </w:r>
    </w:p>
    <w:p w14:paraId="12FFCA90" w14:textId="77777777" w:rsidR="004B2808" w:rsidRDefault="00000000">
      <w:r>
        <w:rPr>
          <w:b/>
        </w:rPr>
        <w:t>(soit)</w:t>
      </w:r>
      <w:r>
        <w:br/>
      </w:r>
      <w:r>
        <w:rPr>
          <w:rStyle w:val="soitChar"/>
          <w:u w:val="single"/>
        </w:rPr>
        <w:t>Ruban led adhésif collé</w:t>
      </w:r>
    </w:p>
    <w:p w14:paraId="7A0AB2DA" w14:textId="77777777" w:rsidR="004B2808" w:rsidRDefault="00000000">
      <w:pPr>
        <w:pStyle w:val="pheading"/>
      </w:pPr>
      <w:r>
        <w:t>EXÉCUTION / MISE EN ŒUVRE</w:t>
      </w:r>
    </w:p>
    <w:p w14:paraId="077C4C69" w14:textId="77777777" w:rsidR="004B2808" w:rsidRDefault="00000000">
      <w:pPr>
        <w:pStyle w:val="pheading"/>
      </w:pPr>
      <w:r>
        <w:t>- Prescriptions générales</w:t>
      </w:r>
    </w:p>
    <w:p w14:paraId="468C0B52" w14:textId="77777777" w:rsidR="004B2808" w:rsidRDefault="00000000">
      <w:pPr>
        <w:jc w:val="both"/>
      </w:pPr>
      <w:r>
        <w:t>Préparation du support : nettoyage, dégraissage.</w:t>
      </w:r>
    </w:p>
    <w:p w14:paraId="059B24F4" w14:textId="77777777" w:rsidR="004B2808" w:rsidRDefault="00000000">
      <w:pPr>
        <w:jc w:val="both"/>
      </w:pPr>
      <w:r>
        <w:t xml:space="preserve">Fixation par : </w:t>
      </w:r>
      <w:r>
        <w:rPr>
          <w:rStyle w:val="optioncarChar"/>
        </w:rPr>
        <w:t>vissage / collage / intégration dans la finition</w:t>
      </w:r>
    </w:p>
    <w:p w14:paraId="2BE56827" w14:textId="77777777" w:rsidR="004B2808" w:rsidRDefault="00000000">
      <w:pPr>
        <w:jc w:val="both"/>
      </w:pPr>
      <w:r>
        <w:t>Câblage et raccordement sur l’installation électrique suivant 7 T7 Electricité</w:t>
      </w:r>
    </w:p>
    <w:p w14:paraId="1AD96CE6" w14:textId="77777777" w:rsidR="004B2808" w:rsidRDefault="00000000">
      <w:pPr>
        <w:pStyle w:val="pheading"/>
      </w:pPr>
      <w:r>
        <w:t>DOCUMENTS DE RÉFÉRENCE COMPLÉMENTAIRES</w:t>
      </w:r>
    </w:p>
    <w:p w14:paraId="22336708" w14:textId="77777777" w:rsidR="004B2808" w:rsidRDefault="00000000">
      <w:pPr>
        <w:pStyle w:val="pheading"/>
      </w:pPr>
      <w:r>
        <w:t>- Matériau</w:t>
      </w:r>
    </w:p>
    <w:p w14:paraId="29046F94" w14:textId="77777777" w:rsidR="004B2808" w:rsidRDefault="00000000">
      <w:r>
        <w:t>[NBN EN 61347-1, Appareillages de lampes - Partie 1: Exigences générales et exigences de sécurité]</w:t>
      </w:r>
    </w:p>
    <w:p w14:paraId="2A395A28" w14:textId="77777777" w:rsidR="004B2808" w:rsidRDefault="00000000">
      <w:r>
        <w:t>[NBN EN IEC 62031, Modules à DEL pour éclairage général - Spécifications de sécurité]</w:t>
      </w:r>
    </w:p>
    <w:p w14:paraId="75447EC1" w14:textId="77777777" w:rsidR="004B2808" w:rsidRDefault="00000000">
      <w:r>
        <w:t>[NBN EN 62504, Éclairage général - Produits à diode électroluminescente (LED) et équipements associés - Termes et définitions]</w:t>
      </w:r>
    </w:p>
    <w:p w14:paraId="5FBFA43A" w14:textId="77777777" w:rsidR="004B2808" w:rsidRDefault="00000000">
      <w:pPr>
        <w:pStyle w:val="pheading"/>
      </w:pPr>
      <w:r>
        <w:t>MESURAGE</w:t>
      </w:r>
    </w:p>
    <w:p w14:paraId="560C377C" w14:textId="77777777" w:rsidR="004B2808" w:rsidRDefault="00000000">
      <w:pPr>
        <w:pStyle w:val="pheading"/>
      </w:pPr>
      <w:r>
        <w:t>- unité de mesure:</w:t>
      </w:r>
    </w:p>
    <w:p w14:paraId="2DB977E6" w14:textId="77777777" w:rsidR="004B2808" w:rsidRDefault="00000000">
      <w:r>
        <w:rPr>
          <w:rStyle w:val="optioncarChar"/>
        </w:rPr>
        <w:t xml:space="preserve">pc </w:t>
      </w:r>
      <w:r>
        <w:t>(par défaut)</w:t>
      </w:r>
      <w:r>
        <w:rPr>
          <w:rStyle w:val="optioncarChar"/>
        </w:rPr>
        <w:t xml:space="preserve"> / m</w:t>
      </w:r>
    </w:p>
    <w:p w14:paraId="3F3982F4" w14:textId="77777777" w:rsidR="004B2808" w:rsidRDefault="00000000">
      <w:r>
        <w:rPr>
          <w:b/>
        </w:rPr>
        <w:t>(soit par défaut)</w:t>
      </w:r>
      <w:r>
        <w:br/>
      </w:r>
      <w:r>
        <w:rPr>
          <w:rStyle w:val="soitChar"/>
        </w:rPr>
        <w:t>1. pc</w:t>
      </w:r>
      <w:r>
        <w:br/>
      </w:r>
      <w:r>
        <w:rPr>
          <w:b/>
        </w:rPr>
        <w:t>(soit)</w:t>
      </w:r>
      <w:r>
        <w:br/>
      </w:r>
      <w:r>
        <w:rPr>
          <w:rStyle w:val="soitChar"/>
        </w:rPr>
        <w:t>2. m</w:t>
      </w:r>
    </w:p>
    <w:p w14:paraId="1C61A0A9" w14:textId="77777777" w:rsidR="004B2808" w:rsidRDefault="00000000">
      <w:pPr>
        <w:pStyle w:val="pheading"/>
      </w:pPr>
      <w:r>
        <w:t>- code de mesurage:</w:t>
      </w:r>
    </w:p>
    <w:p w14:paraId="685D3AF3" w14:textId="77777777" w:rsidR="004B2808" w:rsidRDefault="00000000">
      <w:pPr>
        <w:jc w:val="both"/>
      </w:pPr>
      <w:r>
        <w:rPr>
          <w:rStyle w:val="optioncarChar"/>
        </w:rPr>
        <w:t xml:space="preserve">Quantité nette </w:t>
      </w:r>
      <w:r>
        <w:t xml:space="preserve">(par défaut) </w:t>
      </w:r>
      <w:r>
        <w:rPr>
          <w:rStyle w:val="optioncarChar"/>
        </w:rPr>
        <w:t>/ Longueur nette</w:t>
      </w:r>
    </w:p>
    <w:p w14:paraId="5BAB6806" w14:textId="77777777" w:rsidR="004B2808" w:rsidRDefault="00000000">
      <w:pPr>
        <w:jc w:val="both"/>
      </w:pPr>
      <w:r>
        <w:rPr>
          <w:b/>
        </w:rPr>
        <w:t>(soit par défaut)</w:t>
      </w:r>
    </w:p>
    <w:p w14:paraId="59C28FA9" w14:textId="77777777" w:rsidR="004B2808" w:rsidRDefault="00000000">
      <w:pPr>
        <w:jc w:val="both"/>
      </w:pPr>
      <w:r>
        <w:rPr>
          <w:rStyle w:val="soitChar"/>
        </w:rPr>
        <w:t xml:space="preserve">1. </w:t>
      </w:r>
      <w:r>
        <w:rPr>
          <w:rStyle w:val="soitChar"/>
          <w:u w:val="single"/>
        </w:rPr>
        <w:t>Quantité nette </w:t>
      </w:r>
      <w:r>
        <w:rPr>
          <w:rStyle w:val="soitChar"/>
        </w:rPr>
        <w:t>: à la pièce, distinction faite de la longueur</w:t>
      </w:r>
    </w:p>
    <w:p w14:paraId="180E2C4D" w14:textId="77777777" w:rsidR="004B2808" w:rsidRDefault="00000000">
      <w:pPr>
        <w:jc w:val="both"/>
      </w:pPr>
      <w:r>
        <w:rPr>
          <w:b/>
        </w:rPr>
        <w:t>(soit)</w:t>
      </w:r>
    </w:p>
    <w:p w14:paraId="72C63AA5" w14:textId="77777777" w:rsidR="004B2808" w:rsidRDefault="00000000">
      <w:pPr>
        <w:jc w:val="both"/>
      </w:pPr>
      <w:r>
        <w:rPr>
          <w:rStyle w:val="soitChar"/>
        </w:rPr>
        <w:t xml:space="preserve">2. </w:t>
      </w:r>
      <w:r>
        <w:rPr>
          <w:rStyle w:val="soitChar"/>
          <w:u w:val="single"/>
        </w:rPr>
        <w:t>Longueur nette</w:t>
      </w:r>
      <w:r>
        <w:rPr>
          <w:rStyle w:val="soitChar"/>
        </w:rPr>
        <w:t xml:space="preserve"> mise en œuvre</w:t>
      </w:r>
    </w:p>
    <w:p w14:paraId="39C4C061" w14:textId="77777777" w:rsidR="004B2808" w:rsidRDefault="00000000">
      <w:pPr>
        <w:pStyle w:val="pheading"/>
      </w:pPr>
      <w:r>
        <w:t>- nature du marché:</w:t>
      </w:r>
    </w:p>
    <w:p w14:paraId="4C152D91" w14:textId="77777777" w:rsidR="004B2808" w:rsidRDefault="00000000">
      <w:r>
        <w:t>QF</w:t>
      </w:r>
    </w:p>
    <w:p w14:paraId="6381F5D4" w14:textId="77777777" w:rsidR="004B2808" w:rsidRDefault="00000000">
      <w:pPr>
        <w:pStyle w:val="Author-eSectionHeading3Numberless"/>
      </w:pPr>
      <w:bookmarkStart w:id="1671" w:name="_Toc220491759"/>
      <w:r>
        <w:t>57.3 Echelle / Trappe d'accès CCTB 01.02</w:t>
      </w:r>
      <w:bookmarkEnd w:id="1671"/>
    </w:p>
    <w:p w14:paraId="0BC0C446" w14:textId="77777777" w:rsidR="004B2808" w:rsidRDefault="00000000">
      <w:pPr>
        <w:pStyle w:val="Author-eSectionHeading3Numberless"/>
      </w:pPr>
      <w:bookmarkStart w:id="1672" w:name="_Toc220491760"/>
      <w:r>
        <w:t>57.4 - CCTB 01.02</w:t>
      </w:r>
      <w:bookmarkEnd w:id="1672"/>
    </w:p>
    <w:p w14:paraId="7D366760" w14:textId="77777777" w:rsidR="004B2808" w:rsidRDefault="00000000">
      <w:pPr>
        <w:pStyle w:val="Author-eSectionHeading3Numberless"/>
      </w:pPr>
      <w:bookmarkStart w:id="1673" w:name="_Toc220491761"/>
      <w:r>
        <w:t>57.5 - CCTB 01.02</w:t>
      </w:r>
      <w:bookmarkEnd w:id="1673"/>
    </w:p>
    <w:p w14:paraId="2B28C5B0" w14:textId="77777777" w:rsidR="004B2808" w:rsidRDefault="00000000">
      <w:pPr>
        <w:pStyle w:val="Author-eSectionHeading3Numberless"/>
      </w:pPr>
      <w:bookmarkStart w:id="1674" w:name="_Toc220491762"/>
      <w:r>
        <w:t>57.6 - CCTB 01.02</w:t>
      </w:r>
      <w:bookmarkEnd w:id="1674"/>
    </w:p>
    <w:p w14:paraId="5634B57F" w14:textId="77777777" w:rsidR="004B2808" w:rsidRDefault="00000000">
      <w:pPr>
        <w:pStyle w:val="Author-eSectionHeading3Numberless"/>
      </w:pPr>
      <w:bookmarkStart w:id="1675" w:name="_Toc220491763"/>
      <w:r>
        <w:lastRenderedPageBreak/>
        <w:t>57.7 - CCTB 01.02</w:t>
      </w:r>
      <w:bookmarkEnd w:id="1675"/>
    </w:p>
    <w:p w14:paraId="3F23AAB2" w14:textId="77777777" w:rsidR="004B2808" w:rsidRDefault="00000000">
      <w:pPr>
        <w:pStyle w:val="Author-eSectionHeading3Numberless"/>
      </w:pPr>
      <w:bookmarkStart w:id="1676" w:name="_Toc220491764"/>
      <w:r>
        <w:t>57.8 Escaliers intérieurs - Rénovation CCTB 01.02</w:t>
      </w:r>
      <w:bookmarkEnd w:id="1676"/>
    </w:p>
    <w:p w14:paraId="5658352C" w14:textId="77777777" w:rsidR="004B2808" w:rsidRDefault="00000000">
      <w:pPr>
        <w:pStyle w:val="Author-eSectionHeading2Numberless"/>
      </w:pPr>
      <w:bookmarkStart w:id="1677" w:name="149"/>
      <w:bookmarkStart w:id="1678" w:name="_Toc220491765"/>
      <w:bookmarkEnd w:id="1677"/>
      <w:r>
        <w:t>58 Mobilier intérieur fixe CCTB 01.11</w:t>
      </w:r>
      <w:bookmarkEnd w:id="1678"/>
    </w:p>
    <w:p w14:paraId="10FCAFE8" w14:textId="77777777" w:rsidR="004B2808" w:rsidRDefault="00000000">
      <w:pPr>
        <w:pStyle w:val="pheading"/>
      </w:pPr>
      <w:bookmarkStart w:id="1679" w:name="1404"/>
      <w:bookmarkEnd w:id="1679"/>
      <w:r>
        <w:t>DESCRIPTION</w:t>
      </w:r>
    </w:p>
    <w:p w14:paraId="48F4FF5E" w14:textId="77777777" w:rsidR="004B2808" w:rsidRDefault="00000000">
      <w:pPr>
        <w:pStyle w:val="pheading"/>
      </w:pPr>
      <w:r>
        <w:t>- Définition / Comprend</w:t>
      </w:r>
    </w:p>
    <w:p w14:paraId="79F599CD" w14:textId="77777777" w:rsidR="004B2808" w:rsidRDefault="00000000">
      <w:r>
        <w:t xml:space="preserve">Il s'agit de tout le mobilier intérieur encastré et/ou les éléments d'équipement fixes, qui peuvent être considérés comme faisant partie intégrante et inséparable du bien immeuble. </w:t>
      </w:r>
    </w:p>
    <w:p w14:paraId="5E1A59D0" w14:textId="77777777" w:rsidR="004B2808" w:rsidRDefault="00000000">
      <w:pPr>
        <w:pStyle w:val="pheading"/>
      </w:pPr>
      <w:r>
        <w:t>MATÉRIAUX</w:t>
      </w:r>
    </w:p>
    <w:p w14:paraId="33F462A5" w14:textId="77777777" w:rsidR="004B2808" w:rsidRDefault="00000000">
      <w:pPr>
        <w:pStyle w:val="heading"/>
      </w:pPr>
      <w:r>
        <w:t>Généralités</w:t>
      </w:r>
    </w:p>
    <w:p w14:paraId="417924DD" w14:textId="77777777" w:rsidR="004B2808" w:rsidRDefault="00000000">
      <w:pPr>
        <w:pStyle w:val="Author-eListParagraph"/>
        <w:numPr>
          <w:ilvl w:val="0"/>
          <w:numId w:val="1543"/>
        </w:numPr>
      </w:pPr>
      <w:r>
        <w:t>Lorsqu'il y a doute au sujet du choix des matériaux, l'avis de l'auteur de projet est préalablement demandé.</w:t>
      </w:r>
    </w:p>
    <w:p w14:paraId="5F8812B7" w14:textId="77777777" w:rsidR="004B2808" w:rsidRDefault="00000000">
      <w:pPr>
        <w:pStyle w:val="Author-eListParagraph"/>
        <w:numPr>
          <w:ilvl w:val="0"/>
          <w:numId w:val="1543"/>
        </w:numPr>
      </w:pPr>
      <w:r>
        <w:t xml:space="preserve">Les composantes en bois du mobilier et de l'aménagement doivent satisfaire aux prescriptions des [STS 04 série] et [NBN EN 942], complétées par les dispositions générales pour les bois de construction et les matériaux en plaques, selon les articles </w:t>
      </w:r>
      <w:hyperlink w:anchor="1132" w:history="1">
        <w:r w:rsidR="004B2808">
          <w:rPr>
            <w:color w:val="0000EE"/>
          </w:rPr>
          <w:t>51.1 Cloisons fixes légères de séparation (Rem.: le type d'ossature est explicité à l'article)</w:t>
        </w:r>
      </w:hyperlink>
      <w:r>
        <w:t xml:space="preserve">, </w:t>
      </w:r>
      <w:hyperlink w:anchor="1374" w:history="1">
        <w:r w:rsidR="004B2808">
          <w:rPr>
            <w:color w:val="0000EE"/>
          </w:rPr>
          <w:t>55.1 Fenêtres intérieures</w:t>
        </w:r>
      </w:hyperlink>
      <w:r>
        <w:t xml:space="preserve"> et </w:t>
      </w:r>
      <w:hyperlink w:anchor="1320" w:history="1">
        <w:r w:rsidR="004B2808">
          <w:rPr>
            <w:color w:val="0000EE"/>
          </w:rPr>
          <w:t>55.2 Portes intérieures</w:t>
        </w:r>
      </w:hyperlink>
      <w:r>
        <w:t>. Tous les clous sont enfoncés et les trous sont bouchés à la pâte de bois ou au mastic d'huile de lin pure.</w:t>
      </w:r>
    </w:p>
    <w:p w14:paraId="0242EDEC" w14:textId="77777777" w:rsidR="004B2808" w:rsidRDefault="00000000">
      <w:pPr>
        <w:pStyle w:val="Author-eListParagraph"/>
        <w:numPr>
          <w:ilvl w:val="0"/>
          <w:numId w:val="1543"/>
        </w:numPr>
      </w:pPr>
      <w:r>
        <w:t>Tous les clous et vis sont placés de telle manière qu'elles ne soient pas visibles lorsque le mobilier est fermé.</w:t>
      </w:r>
    </w:p>
    <w:p w14:paraId="5CAE1860" w14:textId="77777777" w:rsidR="004B2808" w:rsidRDefault="00000000">
      <w:pPr>
        <w:pStyle w:val="Author-eListParagraph"/>
        <w:numPr>
          <w:ilvl w:val="0"/>
          <w:numId w:val="1543"/>
        </w:numPr>
      </w:pPr>
      <w:r>
        <w:t>Les composantes en métal du mobilier et de l'aménagement sont inoxydables et doivent satisfaire aux prescriptions des [STS 36] .    </w:t>
      </w:r>
    </w:p>
    <w:p w14:paraId="1DEA0A13" w14:textId="77777777" w:rsidR="004B2808" w:rsidRDefault="00000000">
      <w:pPr>
        <w:pStyle w:val="heading"/>
      </w:pPr>
      <w:r>
        <w:t>Structure &amp; tablettes</w:t>
      </w:r>
    </w:p>
    <w:p w14:paraId="3691344C" w14:textId="77777777" w:rsidR="004B2808" w:rsidRDefault="00000000">
      <w:pPr>
        <w:pStyle w:val="Author-eListParagraph"/>
        <w:numPr>
          <w:ilvl w:val="0"/>
          <w:numId w:val="1544"/>
        </w:numPr>
      </w:pPr>
      <w:r>
        <w:t>La structure des armoires se compose de panneaux de bois agglomérés finement poncés et répondant à la  [NBN EN 312]. Densité des panneaux de bois agglomérés : au moins 650 à 700 kg / m³. Classe Formaldéhyde </w:t>
      </w:r>
      <w:r>
        <w:rPr>
          <w:rStyle w:val="optioncarChar"/>
        </w:rPr>
        <w:t>1</w:t>
      </w:r>
      <w:r>
        <w:t> (par défaut) / </w:t>
      </w:r>
      <w:r>
        <w:rPr>
          <w:rStyle w:val="optioncarChar"/>
        </w:rPr>
        <w:t>***</w:t>
      </w:r>
      <w:r>
        <w:t xml:space="preserve">. L'épaisseur des plaques est d'au moins </w:t>
      </w:r>
      <w:r>
        <w:rPr>
          <w:rStyle w:val="optioncarChar"/>
        </w:rPr>
        <w:t>16 </w:t>
      </w:r>
      <w:r>
        <w:t>(par défaut)</w:t>
      </w:r>
      <w:r>
        <w:rPr>
          <w:rStyle w:val="optioncarChar"/>
        </w:rPr>
        <w:t xml:space="preserve"> / 18 / ***</w:t>
      </w:r>
      <w:r>
        <w:t xml:space="preserve"> mm.</w:t>
      </w:r>
    </w:p>
    <w:p w14:paraId="7B9026B1" w14:textId="77777777" w:rsidR="004B2808" w:rsidRDefault="00000000">
      <w:pPr>
        <w:pStyle w:val="Author-eListParagraph"/>
        <w:numPr>
          <w:ilvl w:val="0"/>
          <w:numId w:val="1544"/>
        </w:numPr>
      </w:pPr>
      <w:r>
        <w:t xml:space="preserve">La structure de l'armoire est équipée des profils de batée et d'appui nécessaire pour la fixation des plans de travail, des éléments encastrés et des façades. Les panneaux constituant la structure sont assemblés de manière telle à ce que l'armoire forme un ensemble indéformable sous charge d'application correspondante à l'utilisation ( </w:t>
      </w:r>
      <w:r>
        <w:rPr>
          <w:rStyle w:val="optioncarChar"/>
        </w:rPr>
        <w:t xml:space="preserve">100 </w:t>
      </w:r>
      <w:r>
        <w:t>(par défaut)</w:t>
      </w:r>
      <w:r>
        <w:rPr>
          <w:rStyle w:val="optioncarChar"/>
        </w:rPr>
        <w:t> / *** </w:t>
      </w:r>
      <w:r>
        <w:t>kg ). Ces assemblages sont soit à tenon et mortaise collés, soit des assemblages mécaniques. Dans le cas du collage, la colle est résistante à l'eau et aux chocs. Les assemblages cloués ou d'agrafés ne sont pas autorisés.</w:t>
      </w:r>
    </w:p>
    <w:p w14:paraId="64294165" w14:textId="77777777" w:rsidR="004B2808" w:rsidRDefault="00000000">
      <w:pPr>
        <w:pStyle w:val="Author-eListParagraph"/>
        <w:numPr>
          <w:ilvl w:val="0"/>
          <w:numId w:val="1544"/>
        </w:numPr>
      </w:pPr>
      <w:r>
        <w:t>Les tablettes prévues sont fabriquées en panneaux de bois agglomérés au revêtement identique à celui de la structure de l'armoire. Leur épaisseur minimale est de 18 mm pour les largeurs supérieures à 50 cm . Les tablettes sont réglables en hauteur à l'aide de fiches en acier nickelé ou en matière synthétique qui s'introduisent dans les perforations latérales. Dans les armoires suspendues doubles, les tablettes dont la longueur excède 80 cm sont également supportées au centre, tant à l'avant qu'au fond de l'armoire.</w:t>
      </w:r>
    </w:p>
    <w:p w14:paraId="1DBEAB84" w14:textId="77777777" w:rsidR="004B2808" w:rsidRDefault="00000000">
      <w:pPr>
        <w:pStyle w:val="Author-eListParagraph"/>
        <w:numPr>
          <w:ilvl w:val="0"/>
          <w:numId w:val="1544"/>
        </w:numPr>
      </w:pPr>
      <w:r>
        <w:t xml:space="preserve">Coloris : </w:t>
      </w:r>
      <w:r>
        <w:rPr>
          <w:rStyle w:val="optioncarChar"/>
        </w:rPr>
        <w:t>blanc </w:t>
      </w:r>
      <w:r>
        <w:t>(par défaut)</w:t>
      </w:r>
      <w:r>
        <w:rPr>
          <w:rStyle w:val="optioncarChar"/>
        </w:rPr>
        <w:t> / à choisir dans la gamme de couleurs standard du fabricant / ***.</w:t>
      </w:r>
    </w:p>
    <w:p w14:paraId="36C6A90A" w14:textId="77777777" w:rsidR="004B2808" w:rsidRDefault="00000000">
      <w:pPr>
        <w:pStyle w:val="heading"/>
      </w:pPr>
      <w:r>
        <w:t>Dos des armoires</w:t>
      </w:r>
    </w:p>
    <w:p w14:paraId="7E4FC669" w14:textId="77777777" w:rsidR="004B2808" w:rsidRDefault="00000000">
      <w:pPr>
        <w:pStyle w:val="Author-eListParagraph"/>
        <w:numPr>
          <w:ilvl w:val="0"/>
          <w:numId w:val="1545"/>
        </w:numPr>
      </w:pPr>
      <w:r>
        <w:t>Le dos des armoires est exécuté :</w:t>
      </w:r>
    </w:p>
    <w:p w14:paraId="557BABEB" w14:textId="77777777" w:rsidR="004B2808" w:rsidRDefault="00000000">
      <w:pPr>
        <w:ind w:left="454"/>
      </w:pPr>
      <w:r>
        <w:rPr>
          <w:b/>
        </w:rPr>
        <w:t>Choix opéré :</w:t>
      </w:r>
      <w:r>
        <w:rPr>
          <w:rStyle w:val="optioncarChar"/>
          <w:b/>
        </w:rPr>
        <w:t xml:space="preserve"> *** / OPTION 1 </w:t>
      </w:r>
      <w:r>
        <w:t>(par défaut) </w:t>
      </w:r>
      <w:r>
        <w:rPr>
          <w:rStyle w:val="optioncarChar"/>
          <w:b/>
        </w:rPr>
        <w:t>/ OPTION 2</w:t>
      </w:r>
    </w:p>
    <w:p w14:paraId="047F474B" w14:textId="77777777" w:rsidR="004B2808" w:rsidRDefault="00000000">
      <w:pPr>
        <w:ind w:left="454"/>
      </w:pPr>
      <w:r>
        <w:rPr>
          <w:b/>
        </w:rPr>
        <w:t>***OPTION 1</w:t>
      </w:r>
      <w:r>
        <w:t xml:space="preserve"> : dans le même matériau que la structure des armoires, mais l'épaisseur est de 10 mm .   </w:t>
      </w:r>
      <w:r>
        <w:br/>
      </w:r>
      <w:r>
        <w:rPr>
          <w:b/>
        </w:rPr>
        <w:t>***OPTION 2</w:t>
      </w:r>
      <w:r>
        <w:t xml:space="preserve"> : en panneaux de bois agglomérés sous haute pression, masse volumique d'au </w:t>
      </w:r>
      <w:r>
        <w:lastRenderedPageBreak/>
        <w:t>moins 1000 kg/m³, épaisseur des plaques au moins</w:t>
      </w:r>
      <w:r>
        <w:rPr>
          <w:rStyle w:val="optioncarChar"/>
        </w:rPr>
        <w:t> 3</w:t>
      </w:r>
      <w:r>
        <w:t> (par défaut)</w:t>
      </w:r>
      <w:r>
        <w:rPr>
          <w:rStyle w:val="optioncarChar"/>
        </w:rPr>
        <w:t xml:space="preserve"> / 5 / *** </w:t>
      </w:r>
      <w:r>
        <w:t xml:space="preserve">mm. Le dos est fixé à </w:t>
      </w:r>
      <w:r>
        <w:rPr>
          <w:rStyle w:val="optioncarChar"/>
        </w:rPr>
        <w:t>10</w:t>
      </w:r>
      <w:r>
        <w:t> (par défaut)</w:t>
      </w:r>
      <w:r>
        <w:rPr>
          <w:rStyle w:val="optioncarChar"/>
        </w:rPr>
        <w:t> / ***  </w:t>
      </w:r>
      <w:r>
        <w:t>mm du mur dans des rainures latérales et agrafé aux chants des panneaux supérieur et inférieur.</w:t>
      </w:r>
    </w:p>
    <w:p w14:paraId="21DEB175" w14:textId="77777777" w:rsidR="004B2808" w:rsidRDefault="00000000">
      <w:pPr>
        <w:pStyle w:val="Author-eListParagraph"/>
        <w:numPr>
          <w:ilvl w:val="0"/>
          <w:numId w:val="1546"/>
        </w:numPr>
      </w:pPr>
      <w:r>
        <w:t xml:space="preserve">Coloris : </w:t>
      </w:r>
      <w:r>
        <w:rPr>
          <w:rStyle w:val="optioncarChar"/>
        </w:rPr>
        <w:t>blanc laqué </w:t>
      </w:r>
      <w:r>
        <w:t>(par défaut)</w:t>
      </w:r>
      <w:r>
        <w:rPr>
          <w:rStyle w:val="optioncarChar"/>
        </w:rPr>
        <w:t xml:space="preserve"> / revêtus de matière synthétique blanche / ***</w:t>
      </w:r>
      <w:r>
        <w:t>.</w:t>
      </w:r>
    </w:p>
    <w:p w14:paraId="774AAB98" w14:textId="77777777" w:rsidR="004B2808" w:rsidRDefault="00000000">
      <w:pPr>
        <w:pStyle w:val="heading"/>
      </w:pPr>
      <w:r>
        <w:t> Façades &amp; cotés destinés à rester apparents</w:t>
      </w:r>
    </w:p>
    <w:p w14:paraId="06A5DB1C" w14:textId="77777777" w:rsidR="004B2808" w:rsidRDefault="00000000">
      <w:pPr>
        <w:pStyle w:val="Author-eListParagraph"/>
        <w:numPr>
          <w:ilvl w:val="0"/>
          <w:numId w:val="1547"/>
        </w:numPr>
      </w:pPr>
      <w:r>
        <w:t>Conformément au cahier spécial des charges, les façades et les côtés destinés à rester apparents sont fabriqués en :</w:t>
      </w:r>
    </w:p>
    <w:p w14:paraId="23D38270" w14:textId="77777777" w:rsidR="004B2808" w:rsidRDefault="00000000">
      <w:pPr>
        <w:ind w:left="454"/>
      </w:pPr>
      <w:r>
        <w:rPr>
          <w:b/>
        </w:rPr>
        <w:t>Choix opéré</w:t>
      </w:r>
      <w:r>
        <w:t xml:space="preserve"> :</w:t>
      </w:r>
      <w:r>
        <w:rPr>
          <w:rStyle w:val="optioncarChar"/>
        </w:rPr>
        <w:t xml:space="preserve"> *** / OPTION 1 </w:t>
      </w:r>
      <w:r>
        <w:t>(par défaut)</w:t>
      </w:r>
      <w:r>
        <w:rPr>
          <w:rStyle w:val="optioncarChar"/>
        </w:rPr>
        <w:t xml:space="preserve"> / OPTION 2 / OPTION 3</w:t>
      </w:r>
      <w:r>
        <w:br/>
      </w:r>
      <w:r>
        <w:rPr>
          <w:b/>
        </w:rPr>
        <w:t>OPTION 1 (par défaut)</w:t>
      </w:r>
      <w:r>
        <w:t xml:space="preserve"> : panneaux de bois agglomérés revêtus, d'une épaisseur de 18 mm , de qualité identique à celle de la structure des armoires. </w:t>
      </w:r>
      <w:r>
        <w:br/>
      </w:r>
      <w:r>
        <w:rPr>
          <w:b/>
        </w:rPr>
        <w:t>OPTION 2</w:t>
      </w:r>
      <w:r>
        <w:t xml:space="preserve"> : plaques de contreplaqué d'une épaisseur de 18 mm , vernies (placage bouleau / ...). </w:t>
      </w:r>
      <w:r>
        <w:br/>
      </w:r>
      <w:r>
        <w:rPr>
          <w:b/>
        </w:rPr>
        <w:t>OPTION 3</w:t>
      </w:r>
      <w:r>
        <w:t xml:space="preserve"> : plaques de MDF de 18 mm d'épaisseur, vernies.</w:t>
      </w:r>
    </w:p>
    <w:p w14:paraId="043FBE2F" w14:textId="77777777" w:rsidR="004B2808" w:rsidRDefault="00000000">
      <w:pPr>
        <w:pStyle w:val="Author-eListParagraph"/>
        <w:numPr>
          <w:ilvl w:val="0"/>
          <w:numId w:val="1548"/>
        </w:numPr>
      </w:pPr>
      <w:r>
        <w:t>Le revêtement des panneaux de bois agglomérés :</w:t>
      </w:r>
    </w:p>
    <w:p w14:paraId="1C6FCD18" w14:textId="77777777" w:rsidR="004B2808" w:rsidRDefault="00000000">
      <w:pPr>
        <w:ind w:left="454"/>
      </w:pPr>
      <w:r>
        <w:rPr>
          <w:b/>
        </w:rPr>
        <w:t>Choix opéré</w:t>
      </w:r>
      <w:r>
        <w:t xml:space="preserve"> : </w:t>
      </w:r>
      <w:r>
        <w:rPr>
          <w:rStyle w:val="optioncarChar"/>
        </w:rPr>
        <w:t>*** / OPTION 1 </w:t>
      </w:r>
      <w:r>
        <w:t>(par défaut)</w:t>
      </w:r>
      <w:r>
        <w:rPr>
          <w:rStyle w:val="optioncarChar"/>
        </w:rPr>
        <w:t xml:space="preserve"> / OPTION 2 / OPTION 3</w:t>
      </w:r>
      <w:r>
        <w:br/>
      </w:r>
      <w:r>
        <w:rPr>
          <w:b/>
        </w:rPr>
        <w:t>OPTION 1 (par défaut)</w:t>
      </w:r>
      <w:r>
        <w:t xml:space="preserve"> : est mélaminé, composé d'une couche de cellulose d'au moins 130 g au m², à la résine de mélamine. Les chants avant des plaques sont revêtus d'une feuille en matière synthétique d'au moins 0,2 mm d'épaisseur / listel acrylique d'au moins 2 mm d'épaisseur. </w:t>
      </w:r>
      <w:r>
        <w:br/>
      </w:r>
      <w:r>
        <w:rPr>
          <w:b/>
        </w:rPr>
        <w:t>OPTION 2</w:t>
      </w:r>
      <w:r>
        <w:t> : se compose au moins d'un panneau stratifié sous haute pression de la classe HPL-EN 438 VGS ou S 232, épaisseur minimale :</w:t>
      </w:r>
      <w:r>
        <w:rPr>
          <w:rStyle w:val="optioncarChar"/>
        </w:rPr>
        <w:t> 0,8 </w:t>
      </w:r>
      <w:r>
        <w:t>(par défaut)</w:t>
      </w:r>
      <w:r>
        <w:rPr>
          <w:rStyle w:val="optioncarChar"/>
        </w:rPr>
        <w:t> / ***</w:t>
      </w:r>
      <w:r>
        <w:t>  mm. Les chants des plaques sont revêtus d'un listel acrylique d'au moins 2 mm d'épaisseur.</w:t>
      </w:r>
      <w:r>
        <w:br/>
      </w:r>
      <w:r>
        <w:rPr>
          <w:b/>
        </w:rPr>
        <w:t>OPTION 3</w:t>
      </w:r>
      <w:r>
        <w:t xml:space="preserve"> : se compose au moins d'un panneau stratifié sous haute pression de la classe HPL-EN 438 VGP ou P 222, épaisseur minimale : </w:t>
      </w:r>
      <w:r>
        <w:rPr>
          <w:rStyle w:val="optioncarChar"/>
        </w:rPr>
        <w:t>0,8 </w:t>
      </w:r>
      <w:r>
        <w:t>(par défaut) </w:t>
      </w:r>
      <w:r>
        <w:rPr>
          <w:rStyle w:val="optioncarChar"/>
        </w:rPr>
        <w:t>/ ***</w:t>
      </w:r>
      <w:r>
        <w:t> mm.</w:t>
      </w:r>
    </w:p>
    <w:p w14:paraId="081BD828" w14:textId="77777777" w:rsidR="004B2808" w:rsidRDefault="00000000">
      <w:pPr>
        <w:pStyle w:val="Author-eListParagraph"/>
        <w:numPr>
          <w:ilvl w:val="0"/>
          <w:numId w:val="1549"/>
        </w:numPr>
      </w:pPr>
      <w:r>
        <w:t>Les panneaux de façade sont toujours revêtus sur les deux faces de plaques d'épaisseur égale. L'entrepreneur garantit la planéité et l'adhérence des panneaux de revêtement. L'utilisation d'une colle hydrofuge est obligatoire. En principe, les côtés des armoires non encastrées destinés à rester apparents sont terminés identiquement aux façades des armoires.</w:t>
      </w:r>
    </w:p>
    <w:p w14:paraId="2F40201E" w14:textId="77777777" w:rsidR="004B2808" w:rsidRDefault="00000000">
      <w:pPr>
        <w:pStyle w:val="Author-eListParagraph"/>
        <w:numPr>
          <w:ilvl w:val="0"/>
          <w:numId w:val="1549"/>
        </w:numPr>
      </w:pPr>
      <w:r>
        <w:t>Coloris :</w:t>
      </w:r>
      <w:r>
        <w:rPr>
          <w:rStyle w:val="optioncarChar"/>
        </w:rPr>
        <w:t xml:space="preserve"> *** / blanc / à choisir dans la gamme de couleurs standard du fabricant</w:t>
      </w:r>
      <w:r>
        <w:t>.</w:t>
      </w:r>
    </w:p>
    <w:p w14:paraId="4A1CF178" w14:textId="77777777" w:rsidR="004B2808" w:rsidRDefault="00000000">
      <w:pPr>
        <w:pStyle w:val="heading"/>
      </w:pPr>
      <w:r>
        <w:t>Plans de travail &amp; tablettes</w:t>
      </w:r>
    </w:p>
    <w:p w14:paraId="536868E0" w14:textId="77777777" w:rsidR="004B2808" w:rsidRDefault="00000000">
      <w:pPr>
        <w:pStyle w:val="Author-eListParagraph"/>
        <w:numPr>
          <w:ilvl w:val="0"/>
          <w:numId w:val="1550"/>
        </w:numPr>
      </w:pPr>
      <w:r>
        <w:t>Les plans de travail ou tablettes sont fabriqués d'un seul tenant jusqu'à une longueur de 4,20 m . Les joints dans les plaques sont limités en nombre et en longueur.</w:t>
      </w:r>
    </w:p>
    <w:p w14:paraId="678C42DF" w14:textId="77777777" w:rsidR="004B2808" w:rsidRDefault="00000000">
      <w:pPr>
        <w:pStyle w:val="Author-eListParagraph"/>
        <w:numPr>
          <w:ilvl w:val="0"/>
          <w:numId w:val="1550"/>
        </w:numPr>
      </w:pPr>
      <w:r>
        <w:t xml:space="preserve">Les plans de travail ou tablettes se composent d'une âme en panneau aggloméré collé hydrofuge d'au moins </w:t>
      </w:r>
      <w:r>
        <w:rPr>
          <w:rStyle w:val="optioncarChar"/>
        </w:rPr>
        <w:t>28 </w:t>
      </w:r>
      <w:r>
        <w:t>(par défaut)</w:t>
      </w:r>
      <w:r>
        <w:rPr>
          <w:rStyle w:val="optioncarChar"/>
        </w:rPr>
        <w:t xml:space="preserve"> / 32 / 36 / 40 / *** </w:t>
      </w:r>
      <w:r>
        <w:t>mm d'épaisseur, conforme à la [NBN EN 312] , densité au moins 650 kg au m³, classe formaldéhyde</w:t>
      </w:r>
      <w:r>
        <w:rPr>
          <w:rStyle w:val="optioncarChar"/>
        </w:rPr>
        <w:t> 1 </w:t>
      </w:r>
      <w:r>
        <w:t>(par défaut)</w:t>
      </w:r>
      <w:r>
        <w:rPr>
          <w:rStyle w:val="optioncarChar"/>
        </w:rPr>
        <w:t> / ***</w:t>
      </w:r>
      <w:r>
        <w:t>  .</w:t>
      </w:r>
    </w:p>
    <w:p w14:paraId="0AEE5BA0" w14:textId="77777777" w:rsidR="004B2808" w:rsidRDefault="00000000">
      <w:pPr>
        <w:pStyle w:val="Author-eListParagraph"/>
        <w:numPr>
          <w:ilvl w:val="0"/>
          <w:numId w:val="1550"/>
        </w:numPr>
      </w:pPr>
      <w:r>
        <w:t>Les plans de travail ou tablettes sont revêtus sur leur face supérieure d'un panneau stratifié sous haute pression anti-rayures résistant à l'eau et à la chaleur, conforme à la [NBN EN 438-7] et de la classe:</w:t>
      </w:r>
    </w:p>
    <w:p w14:paraId="753DD134" w14:textId="77777777" w:rsidR="004B2808" w:rsidRDefault="00000000">
      <w:pPr>
        <w:ind w:left="454"/>
      </w:pPr>
      <w:r>
        <w:t> </w:t>
      </w:r>
      <w:r>
        <w:br/>
        <w:t>Choix opéré :</w:t>
      </w:r>
      <w:r>
        <w:rPr>
          <w:rStyle w:val="optioncarChar"/>
          <w:b/>
        </w:rPr>
        <w:t>*** / OPTION 1 </w:t>
      </w:r>
      <w:r>
        <w:t>(par défaut)</w:t>
      </w:r>
      <w:r>
        <w:rPr>
          <w:rStyle w:val="optioncarChar"/>
          <w:b/>
        </w:rPr>
        <w:t xml:space="preserve"> / OPTION 2 </w:t>
      </w:r>
    </w:p>
    <w:p w14:paraId="5F8FAE0D" w14:textId="77777777" w:rsidR="004B2808" w:rsidRDefault="00000000">
      <w:pPr>
        <w:ind w:left="454"/>
      </w:pPr>
      <w:r>
        <w:rPr>
          <w:b/>
        </w:rPr>
        <w:t>***OPTION 1 </w:t>
      </w:r>
      <w:r>
        <w:t>(par défaut) : HPL-EN 438 HGS, Type S (standard), résistance à l'usure 3, résistance aux chocs 3 (à20N), anti-rayures 3 (à20N) et d'une épaisseur minimale de</w:t>
      </w:r>
      <w:r>
        <w:rPr>
          <w:rStyle w:val="optioncarChar"/>
        </w:rPr>
        <w:t xml:space="preserve"> 0,8 </w:t>
      </w:r>
      <w:r>
        <w:t>(par défaut) </w:t>
      </w:r>
      <w:r>
        <w:rPr>
          <w:rStyle w:val="optioncarChar"/>
        </w:rPr>
        <w:t xml:space="preserve">/ 0,9 / 1,00 / *** </w:t>
      </w:r>
      <w:r>
        <w:t xml:space="preserve">mm. Les chants avant et visibles de la tablette sont revêtus d'un listel acrylique d'au moins 3 mm d'épaisseur. </w:t>
      </w:r>
      <w:r>
        <w:br/>
      </w:r>
      <w:r>
        <w:rPr>
          <w:b/>
        </w:rPr>
        <w:t>***OPTION 2</w:t>
      </w:r>
      <w:r>
        <w:t xml:space="preserve"> : HPL-EN 438 HGP, Type P (postformé), résistance à l'usure 3, résistance aux chocs 3 (à 20 N), anti-rayures 3 (à 20N) et d'une épaisseur minimale de </w:t>
      </w:r>
      <w:r>
        <w:rPr>
          <w:rStyle w:val="optioncarChar"/>
        </w:rPr>
        <w:t>0,8</w:t>
      </w:r>
      <w:r>
        <w:t> (par défaut)</w:t>
      </w:r>
      <w:r>
        <w:rPr>
          <w:rStyle w:val="optioncarChar"/>
        </w:rPr>
        <w:t> / *** </w:t>
      </w:r>
      <w:r>
        <w:t>mm. Ils résistent aux brûlures de cigarettes, à la vapeur d'eau et aux huiles, aux solvants, aux acides faibles et alcalis, aux déchets d'origine animale et végétale. </w:t>
      </w:r>
    </w:p>
    <w:p w14:paraId="261513CC" w14:textId="77777777" w:rsidR="004B2808" w:rsidRDefault="00000000">
      <w:pPr>
        <w:pStyle w:val="Author-eListParagraph"/>
        <w:numPr>
          <w:ilvl w:val="0"/>
          <w:numId w:val="1551"/>
        </w:numPr>
      </w:pPr>
      <w:r>
        <w:t>Le postforming du chant avant est:</w:t>
      </w:r>
    </w:p>
    <w:p w14:paraId="11A5423E" w14:textId="77777777" w:rsidR="004B2808" w:rsidRDefault="00000000">
      <w:pPr>
        <w:ind w:left="454"/>
      </w:pPr>
      <w:r>
        <w:rPr>
          <w:b/>
        </w:rPr>
        <w:lastRenderedPageBreak/>
        <w:t>Choix opéré</w:t>
      </w:r>
      <w:r>
        <w:t xml:space="preserve"> : </w:t>
      </w:r>
      <w:r>
        <w:rPr>
          <w:rStyle w:val="optioncarChar"/>
        </w:rPr>
        <w:t>*** / OPTION 1</w:t>
      </w:r>
      <w:r>
        <w:t xml:space="preserve"> (par défaut) </w:t>
      </w:r>
      <w:r>
        <w:rPr>
          <w:rStyle w:val="optioncarChar"/>
        </w:rPr>
        <w:t>/ OPTION 2</w:t>
      </w:r>
      <w:r>
        <w:br/>
      </w:r>
      <w:r>
        <w:rPr>
          <w:b/>
        </w:rPr>
        <w:t>***OPTION 1</w:t>
      </w:r>
      <w:r>
        <w:t xml:space="preserve"> : </w:t>
      </w:r>
      <w:r>
        <w:rPr>
          <w:rStyle w:val="optioncarChar"/>
        </w:rPr>
        <w:t>*** / 90° </w:t>
      </w:r>
      <w:r>
        <w:t>(par défaut)</w:t>
      </w:r>
      <w:r>
        <w:rPr>
          <w:rStyle w:val="optioncarChar"/>
        </w:rPr>
        <w:t xml:space="preserve"> / 180° / ***</w:t>
      </w:r>
      <w:r>
        <w:t xml:space="preserve"> sur toute l'épaisseur . </w:t>
      </w:r>
      <w:r>
        <w:br/>
      </w:r>
      <w:r>
        <w:rPr>
          <w:b/>
        </w:rPr>
        <w:t>***OPTION 2</w:t>
      </w:r>
      <w:r>
        <w:t xml:space="preserve"> : pourvu d'un rebord de </w:t>
      </w:r>
      <w:r>
        <w:rPr>
          <w:rStyle w:val="optioncarChar"/>
        </w:rPr>
        <w:t>40</w:t>
      </w:r>
      <w:r>
        <w:t> (par défaut)</w:t>
      </w:r>
      <w:r>
        <w:rPr>
          <w:rStyle w:val="optioncarChar"/>
        </w:rPr>
        <w:t> / *** </w:t>
      </w:r>
      <w:r>
        <w:t xml:space="preserve">mm et </w:t>
      </w:r>
      <w:r>
        <w:rPr>
          <w:rStyle w:val="optioncarChar"/>
        </w:rPr>
        <w:t xml:space="preserve">arrondi une fois sur 90° et droit  </w:t>
      </w:r>
      <w:r>
        <w:t>(par défaut) </w:t>
      </w:r>
      <w:r>
        <w:rPr>
          <w:rStyle w:val="optioncarChar"/>
        </w:rPr>
        <w:t>/ arrondi deux fois sur 90° / ***</w:t>
      </w:r>
      <w:r>
        <w:t>.</w:t>
      </w:r>
    </w:p>
    <w:p w14:paraId="0BEB02CB" w14:textId="77777777" w:rsidR="004B2808" w:rsidRDefault="00000000">
      <w:pPr>
        <w:pStyle w:val="Author-eListParagraph"/>
        <w:numPr>
          <w:ilvl w:val="0"/>
          <w:numId w:val="1552"/>
        </w:numPr>
      </w:pPr>
      <w:r>
        <w:t>Le collage s'effectue sous température élevée avec une colle d'acétate de polyvinyle afin d'éviter l'inclusion d'air. Les joints de collage résistent à l'infiltration d'eau et aux températures jusqu'à 140°C .</w:t>
      </w:r>
    </w:p>
    <w:p w14:paraId="51D6D70C" w14:textId="77777777" w:rsidR="004B2808" w:rsidRDefault="00000000">
      <w:pPr>
        <w:pStyle w:val="Author-eListParagraph"/>
        <w:numPr>
          <w:ilvl w:val="0"/>
          <w:numId w:val="1552"/>
        </w:numPr>
      </w:pPr>
      <w:r>
        <w:t>La face inférieure du plan de travail ou de la tablette est revêtue:</w:t>
      </w:r>
    </w:p>
    <w:p w14:paraId="3A04D521" w14:textId="77777777" w:rsidR="004B2808" w:rsidRDefault="00000000">
      <w:pPr>
        <w:ind w:left="454"/>
      </w:pPr>
      <w:r>
        <w:rPr>
          <w:b/>
        </w:rPr>
        <w:t>Choix opéré</w:t>
      </w:r>
      <w:r>
        <w:t xml:space="preserve"> :</w:t>
      </w:r>
      <w:r>
        <w:rPr>
          <w:rStyle w:val="optioncarChar"/>
        </w:rPr>
        <w:t xml:space="preserve"> *** / OPTION 1</w:t>
      </w:r>
      <w:r>
        <w:t> (par défaut) </w:t>
      </w:r>
      <w:r>
        <w:rPr>
          <w:rStyle w:val="optioncarChar"/>
        </w:rPr>
        <w:t>/ OPTION 2</w:t>
      </w:r>
    </w:p>
    <w:p w14:paraId="667130CC" w14:textId="77777777" w:rsidR="004B2808" w:rsidRDefault="00000000">
      <w:pPr>
        <w:ind w:left="454"/>
      </w:pPr>
      <w:r>
        <w:rPr>
          <w:b/>
        </w:rPr>
        <w:t>OPTION 1 (par défaut)</w:t>
      </w:r>
      <w:r>
        <w:t xml:space="preserve"> : d'une feuille en résine synthétique d'au moins 0,2 mm d'épaisseur. </w:t>
      </w:r>
      <w:r>
        <w:br/>
      </w:r>
      <w:r>
        <w:rPr>
          <w:b/>
        </w:rPr>
        <w:t>OPTION 2</w:t>
      </w:r>
      <w:r>
        <w:t xml:space="preserve"> : d'un panneau stratifié sous haute pression au moins HPL-EN 438 HGS collé, d'une épaisseur égale à celle prévue sur la face supérieure.</w:t>
      </w:r>
    </w:p>
    <w:p w14:paraId="1F69EBD6" w14:textId="77777777" w:rsidR="004B2808" w:rsidRDefault="00000000">
      <w:pPr>
        <w:pStyle w:val="Author-eListParagraph"/>
        <w:numPr>
          <w:ilvl w:val="0"/>
          <w:numId w:val="1553"/>
        </w:numPr>
      </w:pPr>
      <w:r>
        <w:t>Finition de la surface :</w:t>
      </w:r>
      <w:r>
        <w:rPr>
          <w:rStyle w:val="optioncarChar"/>
        </w:rPr>
        <w:t> légèrement granuleuse</w:t>
      </w:r>
      <w:r>
        <w:t xml:space="preserve"> (par défaut)</w:t>
      </w:r>
      <w:r>
        <w:rPr>
          <w:rStyle w:val="optioncarChar"/>
        </w:rPr>
        <w:t xml:space="preserve"> / mate / satinée / brillante / *** </w:t>
      </w:r>
      <w:r>
        <w:t>.</w:t>
      </w:r>
    </w:p>
    <w:p w14:paraId="3D892F88" w14:textId="77777777" w:rsidR="004B2808" w:rsidRDefault="00000000">
      <w:pPr>
        <w:pStyle w:val="Author-eListParagraph"/>
        <w:numPr>
          <w:ilvl w:val="0"/>
          <w:numId w:val="1553"/>
        </w:numPr>
      </w:pPr>
      <w:r>
        <w:t xml:space="preserve">Coloris : </w:t>
      </w:r>
      <w:r>
        <w:rPr>
          <w:rStyle w:val="optioncarChar"/>
        </w:rPr>
        <w:t>blanc </w:t>
      </w:r>
      <w:r>
        <w:t>(par défaut)</w:t>
      </w:r>
      <w:r>
        <w:rPr>
          <w:rStyle w:val="optioncarChar"/>
        </w:rPr>
        <w:t xml:space="preserve"> / coloris à choisir dans la gamme standard du fabricant / ***</w:t>
      </w:r>
      <w:r>
        <w:t>.</w:t>
      </w:r>
    </w:p>
    <w:p w14:paraId="52F1567D" w14:textId="77777777" w:rsidR="004B2808" w:rsidRDefault="00000000">
      <w:pPr>
        <w:pStyle w:val="Author-eListParagraph"/>
        <w:numPr>
          <w:ilvl w:val="0"/>
          <w:numId w:val="1553"/>
        </w:numPr>
      </w:pPr>
      <w:r>
        <w:t>La jonction avec le mur du fond est</w:t>
      </w:r>
      <w:r>
        <w:rPr>
          <w:rStyle w:val="optioncarChar"/>
        </w:rPr>
        <w:t> droite</w:t>
      </w:r>
      <w:r>
        <w:t xml:space="preserve"> (par défaut)</w:t>
      </w:r>
      <w:r>
        <w:rPr>
          <w:rStyle w:val="optioncarChar"/>
        </w:rPr>
        <w:t> / avec un relevé formé dans la masse / *** </w:t>
      </w:r>
      <w:r>
        <w:t>de</w:t>
      </w:r>
      <w:r>
        <w:rPr>
          <w:rStyle w:val="optioncarChar"/>
        </w:rPr>
        <w:t> 7 </w:t>
      </w:r>
      <w:r>
        <w:t>(par défaut)</w:t>
      </w:r>
      <w:r>
        <w:rPr>
          <w:rStyle w:val="optioncarChar"/>
        </w:rPr>
        <w:t> / *** </w:t>
      </w:r>
      <w:r>
        <w:t xml:space="preserve"> cm de hauteur.</w:t>
      </w:r>
    </w:p>
    <w:p w14:paraId="0F8FCA56" w14:textId="77777777" w:rsidR="004B2808" w:rsidRDefault="00000000">
      <w:pPr>
        <w:pStyle w:val="Author-eListParagraph"/>
        <w:numPr>
          <w:ilvl w:val="0"/>
          <w:numId w:val="1553"/>
        </w:numPr>
      </w:pPr>
      <w:r>
        <w:t>Les chants sciés et les chants visibles sont également revêtus de plaques de stratifié sous haute pression, identiques à la face supérieure du plan de travail.    </w:t>
      </w:r>
    </w:p>
    <w:p w14:paraId="1A51FF50" w14:textId="77777777" w:rsidR="004B2808" w:rsidRDefault="00000000">
      <w:pPr>
        <w:pStyle w:val="heading"/>
      </w:pPr>
      <w:r>
        <w:t>Tiroirs &amp; Tiroirs à casseroles</w:t>
      </w:r>
    </w:p>
    <w:p w14:paraId="56BC7122" w14:textId="77777777" w:rsidR="004B2808" w:rsidRDefault="00000000">
      <w:pPr>
        <w:pStyle w:val="Author-eListParagraph"/>
        <w:numPr>
          <w:ilvl w:val="0"/>
          <w:numId w:val="1554"/>
        </w:numPr>
      </w:pPr>
      <w:r>
        <w:t>Les tiroirs à coulisse, les tiroirs à casseroles, … se composent de:</w:t>
      </w:r>
    </w:p>
    <w:p w14:paraId="164D13B9" w14:textId="77777777" w:rsidR="004B2808" w:rsidRDefault="00000000">
      <w:pPr>
        <w:ind w:left="454"/>
      </w:pPr>
      <w:r>
        <w:rPr>
          <w:b/>
        </w:rPr>
        <w:t>Choix opéré</w:t>
      </w:r>
      <w:r>
        <w:t xml:space="preserve"> :</w:t>
      </w:r>
      <w:r>
        <w:rPr>
          <w:rStyle w:val="optioncarChar"/>
        </w:rPr>
        <w:t> OPTION 1</w:t>
      </w:r>
      <w:r>
        <w:t> (par défaut)</w:t>
      </w:r>
      <w:r>
        <w:rPr>
          <w:rStyle w:val="optioncarChar"/>
        </w:rPr>
        <w:t xml:space="preserve"> / OPTION 2 / OPTION 3</w:t>
      </w:r>
      <w:r>
        <w:br/>
      </w:r>
      <w:r>
        <w:rPr>
          <w:b/>
        </w:rPr>
        <w:t>OPTION 1 (par défaut)</w:t>
      </w:r>
      <w:r>
        <w:t xml:space="preserve"> : tiroirs préfabriqués, constitués d'une combinaison de faces latérales en tôle d'acier laquée et de fonds en plaques d'aggloméré revêtues de 16 mm d'épaisseur. </w:t>
      </w:r>
      <w:r>
        <w:br/>
      </w:r>
      <w:r>
        <w:rPr>
          <w:b/>
        </w:rPr>
        <w:t>OPTION 2</w:t>
      </w:r>
      <w:r>
        <w:t xml:space="preserve">  : panneaux de bois agglomérés, épaisseur au moins </w:t>
      </w:r>
      <w:r>
        <w:rPr>
          <w:rStyle w:val="optioncarChar"/>
        </w:rPr>
        <w:t>16 </w:t>
      </w:r>
      <w:r>
        <w:t>(par défaut)</w:t>
      </w:r>
      <w:r>
        <w:rPr>
          <w:rStyle w:val="optioncarChar"/>
        </w:rPr>
        <w:t xml:space="preserve"> / 18 / *** </w:t>
      </w:r>
      <w:r>
        <w:t>mm, de finition identique à celle de la structure des armoires. Les chants supérieurs visibles sont revêtus</w:t>
      </w:r>
      <w:r>
        <w:rPr>
          <w:rStyle w:val="optioncarChar"/>
        </w:rPr>
        <w:t> d'une bande en matière synthétique </w:t>
      </w:r>
      <w:r>
        <w:t>(par défaut)</w:t>
      </w:r>
      <w:r>
        <w:rPr>
          <w:rStyle w:val="optioncarChar"/>
        </w:rPr>
        <w:t xml:space="preserve"> / de PVC / *** </w:t>
      </w:r>
      <w:r>
        <w:t xml:space="preserve">d'au moins 0,2 mm d'épaisseur. Le fond du tiroir est collé dans les rainures prévues à cet effet et est constitué d'un panneau d'aggloméré sous haute pression identique au dos des armoires. </w:t>
      </w:r>
      <w:r>
        <w:br/>
      </w:r>
      <w:r>
        <w:rPr>
          <w:b/>
        </w:rPr>
        <w:t>OPTION 3</w:t>
      </w:r>
      <w:r>
        <w:t xml:space="preserve"> : panneaux de bois agglomérés enveloppés de PVC, épaisseur au moins 16 mm, densité au moins 850 kg/m³. Le fond du tiroir est collé dans les rainures prévues à cet effet et est constitué d'un panneau d'aggloméré sous haute pression identique au dos des armoires.</w:t>
      </w:r>
    </w:p>
    <w:p w14:paraId="25FA690A" w14:textId="77777777" w:rsidR="004B2808" w:rsidRDefault="00000000">
      <w:pPr>
        <w:pStyle w:val="Author-eListParagraph"/>
        <w:numPr>
          <w:ilvl w:val="0"/>
          <w:numId w:val="1555"/>
        </w:numPr>
      </w:pPr>
      <w:r>
        <w:t>Les tiroirs à casseroles et les tiroirs coulissants sont toujours munis de coulisses télescopiques.  </w:t>
      </w:r>
    </w:p>
    <w:p w14:paraId="129C6D64" w14:textId="77777777" w:rsidR="004B2808" w:rsidRDefault="00000000">
      <w:pPr>
        <w:pStyle w:val="heading"/>
      </w:pPr>
      <w:r>
        <w:t>Charnières &amp; Coulisses de tiroirs</w:t>
      </w:r>
    </w:p>
    <w:p w14:paraId="161D571E" w14:textId="77777777" w:rsidR="004B2808" w:rsidRDefault="00000000">
      <w:pPr>
        <w:pStyle w:val="Author-eListParagraph"/>
        <w:numPr>
          <w:ilvl w:val="0"/>
          <w:numId w:val="1556"/>
        </w:numPr>
      </w:pPr>
      <w:r>
        <w:t>Les portes battantes et pivotantes sont suspendues avec un nombre suffisant de charnières (au moins tous les 80 cm ). Les portes des armoires basses et des armoires suspendues sont pourvues de deux charnières par porte; les portes des armoires mi-hautes trois charnières, les portes des armoires-colonnes quatre charnières.</w:t>
      </w:r>
    </w:p>
    <w:p w14:paraId="7EA3DFCE" w14:textId="77777777" w:rsidR="004B2808" w:rsidRDefault="00000000">
      <w:pPr>
        <w:pStyle w:val="Author-eListParagraph"/>
        <w:numPr>
          <w:ilvl w:val="0"/>
          <w:numId w:val="1556"/>
        </w:numPr>
      </w:pPr>
      <w:r>
        <w:t>A défaut de spécifications du maître d'ouvrage, les charrières et coulisses de tiroirs s'appliquent conformément aux spécifications du fabricant.</w:t>
      </w:r>
    </w:p>
    <w:p w14:paraId="6FCDCDBB" w14:textId="77777777" w:rsidR="004B2808" w:rsidRDefault="00000000">
      <w:pPr>
        <w:pStyle w:val="Author-eListParagraph"/>
        <w:numPr>
          <w:ilvl w:val="0"/>
          <w:numId w:val="1556"/>
        </w:numPr>
      </w:pPr>
      <w:r>
        <w:t xml:space="preserve">Les charnières sont  du type à fermeture automatique à boîtier (diamètre 35 mm ) en acier nickelé ou en métal dur. Elles sont suffisamment solides pour chaque porte et munies d'un ressort et d'un O-stop. Elles permettent le montage aisé des portes d'armoire sans outillage par simple enclenchement ou </w:t>
      </w:r>
      <w:r>
        <w:rPr>
          <w:rStyle w:val="optioncarChar"/>
        </w:rPr>
        <w:t xml:space="preserve">***    </w:t>
      </w:r>
    </w:p>
    <w:p w14:paraId="455A6E5A" w14:textId="77777777" w:rsidR="004B2808" w:rsidRDefault="00000000">
      <w:pPr>
        <w:pStyle w:val="Author-eListParagraph"/>
        <w:numPr>
          <w:ilvl w:val="0"/>
          <w:numId w:val="1556"/>
        </w:numPr>
      </w:pPr>
      <w:r>
        <w:t xml:space="preserve">Les charnières sont réglables dans trois directions. L'angle d'ouverture est d'au moins </w:t>
      </w:r>
      <w:r>
        <w:rPr>
          <w:rStyle w:val="optioncarChar"/>
        </w:rPr>
        <w:t>90 </w:t>
      </w:r>
      <w:r>
        <w:t>(par défaut)</w:t>
      </w:r>
      <w:r>
        <w:rPr>
          <w:rStyle w:val="optioncarChar"/>
        </w:rPr>
        <w:t xml:space="preserve"> / 170 / ***</w:t>
      </w:r>
      <w:r>
        <w:t xml:space="preserve"> °.</w:t>
      </w:r>
    </w:p>
    <w:p w14:paraId="3948506E" w14:textId="77777777" w:rsidR="004B2808" w:rsidRDefault="00000000">
      <w:pPr>
        <w:pStyle w:val="Author-eListParagraph"/>
        <w:numPr>
          <w:ilvl w:val="0"/>
          <w:numId w:val="1556"/>
        </w:numPr>
      </w:pPr>
      <w:r>
        <w:t xml:space="preserve">Les portes coulissantes sont équipées de </w:t>
      </w:r>
      <w:r>
        <w:rPr>
          <w:rStyle w:val="optioncarChar"/>
        </w:rPr>
        <w:t xml:space="preserve">***. </w:t>
      </w:r>
    </w:p>
    <w:p w14:paraId="26426EB8" w14:textId="77777777" w:rsidR="004B2808" w:rsidRDefault="00000000">
      <w:pPr>
        <w:pStyle w:val="Author-eListParagraph"/>
        <w:numPr>
          <w:ilvl w:val="0"/>
          <w:numId w:val="1556"/>
        </w:numPr>
      </w:pPr>
      <w:r>
        <w:t>Les tiroirs coulissants, les tiroirs à casseroles, etc. sont équipés de:</w:t>
      </w:r>
    </w:p>
    <w:p w14:paraId="5D9E4BC1" w14:textId="77777777" w:rsidR="004B2808" w:rsidRDefault="00000000">
      <w:pPr>
        <w:ind w:left="454"/>
      </w:pPr>
      <w:r>
        <w:rPr>
          <w:b/>
        </w:rPr>
        <w:t>Choix opéré</w:t>
      </w:r>
      <w:r>
        <w:t xml:space="preserve"> :  </w:t>
      </w:r>
      <w:r>
        <w:rPr>
          <w:rStyle w:val="optioncarChar"/>
        </w:rPr>
        <w:t>*** / OPTION 1 </w:t>
      </w:r>
      <w:r>
        <w:t xml:space="preserve">(par défaut) </w:t>
      </w:r>
      <w:r>
        <w:rPr>
          <w:rStyle w:val="optioncarChar"/>
        </w:rPr>
        <w:t>/ OPTION 2   </w:t>
      </w:r>
      <w:r>
        <w:br/>
      </w:r>
      <w:r>
        <w:rPr>
          <w:b/>
        </w:rPr>
        <w:t>OPTION 1</w:t>
      </w:r>
      <w:r>
        <w:t xml:space="preserve">  (par défaut) : coulisses télescopiques : type à coulisses latérales ou inférieures à </w:t>
      </w:r>
      <w:r>
        <w:lastRenderedPageBreak/>
        <w:t xml:space="preserve">quatre chemins de roulements en Nylon ou à roulements à billes. L'ensemble permet une sortie totale, fonctionne sans bruit et est fabriqué en acier galvanisé laqué ou en acier nickelé. La résistance des rails de guidage est adaptée aux dimensions des tiroirs et doit résister à une charge de 5N par dm³ de volume utile. Les rails de guidage sont réglables. Le tiroir sort au moins aux ¾ et peut être enlevé en un seul mouvement. Il est équipé d'un dispositif de sécurité afin de ne pas tomber. </w:t>
      </w:r>
      <w:r>
        <w:br/>
      </w:r>
      <w:r>
        <w:rPr>
          <w:b/>
        </w:rPr>
        <w:t xml:space="preserve">OPTION 2 </w:t>
      </w:r>
      <w:r>
        <w:t>: rainures en forme de U imprégnées d'un produit lubrifiant, qui coulissent sur des profils en PVC dur fixés sur les côtés de la structure du meuble.</w:t>
      </w:r>
    </w:p>
    <w:p w14:paraId="1CCD0CD2" w14:textId="77777777" w:rsidR="004B2808" w:rsidRDefault="00000000">
      <w:pPr>
        <w:pStyle w:val="heading"/>
      </w:pPr>
      <w:r>
        <w:t>Poignées  &amp; Tirants</w:t>
      </w:r>
    </w:p>
    <w:p w14:paraId="0171A8BD" w14:textId="77777777" w:rsidR="004B2808" w:rsidRDefault="00000000">
      <w:pPr>
        <w:pStyle w:val="Author-eListParagraph"/>
        <w:numPr>
          <w:ilvl w:val="0"/>
          <w:numId w:val="1557"/>
        </w:numPr>
      </w:pPr>
      <w:r>
        <w:t>Les portes des armoires et les tiroirs sont équipés d'un système de poignées :</w:t>
      </w:r>
    </w:p>
    <w:p w14:paraId="006302FA" w14:textId="77777777" w:rsidR="004B2808" w:rsidRDefault="00000000">
      <w:pPr>
        <w:ind w:left="454"/>
      </w:pPr>
      <w:r>
        <w:rPr>
          <w:b/>
        </w:rPr>
        <w:t>Choix opéré</w:t>
      </w:r>
      <w:r>
        <w:t xml:space="preserve"> : </w:t>
      </w:r>
      <w:r>
        <w:rPr>
          <w:rStyle w:val="optioncarChar"/>
        </w:rPr>
        <w:t>*** / OPTION 1</w:t>
      </w:r>
      <w:r>
        <w:t> (par défaut)</w:t>
      </w:r>
      <w:r>
        <w:rPr>
          <w:rStyle w:val="optioncarChar"/>
        </w:rPr>
        <w:t xml:space="preserve"> / OPTION 2 / OPTION 3 / OPTION 4</w:t>
      </w:r>
      <w:r>
        <w:t> </w:t>
      </w:r>
      <w:r>
        <w:br/>
      </w:r>
      <w:r>
        <w:rPr>
          <w:b/>
        </w:rPr>
        <w:t>OPTION 1 (par défaut)</w:t>
      </w:r>
      <w:r>
        <w:t xml:space="preserve"> : en forme de U en</w:t>
      </w:r>
      <w:r>
        <w:rPr>
          <w:rStyle w:val="optioncarChar"/>
        </w:rPr>
        <w:t> acier chromé</w:t>
      </w:r>
      <w:r>
        <w:t> (par défaut)</w:t>
      </w:r>
      <w:r>
        <w:rPr>
          <w:rStyle w:val="optioncarChar"/>
        </w:rPr>
        <w:t xml:space="preserve"> / acier inoxydable / matière synthétique de première qualité / *** </w:t>
      </w:r>
      <w:r>
        <w:t xml:space="preserve">; largeur environ 10 cm , dépassement environ 3 cm , section ronde d'au moins 8 mm . </w:t>
      </w:r>
      <w:r>
        <w:br/>
      </w:r>
      <w:r>
        <w:rPr>
          <w:b/>
        </w:rPr>
        <w:t>OPTION 2</w:t>
      </w:r>
      <w:r>
        <w:t xml:space="preserve"> : en forme de double T en </w:t>
      </w:r>
      <w:r>
        <w:rPr>
          <w:rStyle w:val="optioncarChar"/>
        </w:rPr>
        <w:t>acier chromé </w:t>
      </w:r>
      <w:r>
        <w:t>(par défaut)</w:t>
      </w:r>
      <w:r>
        <w:rPr>
          <w:rStyle w:val="optioncarChar"/>
        </w:rPr>
        <w:t xml:space="preserve"> / acier inoxydable / matière synthétique de première qualité / *** </w:t>
      </w:r>
      <w:r>
        <w:t xml:space="preserve">; largeur environ 10 cm , dépassement environ 3 cm ; section ronde d'au moins 8 mm . </w:t>
      </w:r>
      <w:r>
        <w:br/>
      </w:r>
      <w:r>
        <w:rPr>
          <w:b/>
        </w:rPr>
        <w:t>OPTION 3</w:t>
      </w:r>
      <w:r>
        <w:t xml:space="preserve"> : en forme de boule en </w:t>
      </w:r>
      <w:r>
        <w:rPr>
          <w:rStyle w:val="optioncarChar"/>
        </w:rPr>
        <w:t>bois</w:t>
      </w:r>
      <w:r>
        <w:t xml:space="preserve"> (par défaut) </w:t>
      </w:r>
      <w:r>
        <w:rPr>
          <w:rStyle w:val="optioncarChar"/>
        </w:rPr>
        <w:t xml:space="preserve">/ matière synthétique de première qualité / *** </w:t>
      </w:r>
      <w:r>
        <w:t xml:space="preserve">, section minimum 3 cm , dépassement environ 3 cm . </w:t>
      </w:r>
      <w:r>
        <w:br/>
      </w:r>
      <w:r>
        <w:rPr>
          <w:b/>
        </w:rPr>
        <w:t>OPTION 4</w:t>
      </w:r>
      <w:r>
        <w:t xml:space="preserve"> : sans poignées visibles : pour les armoires basses et/ou les tiroirs, on prévoit un profil métallique en forme de U ou de C, d'une hauteur d'environ 7 cm , embrevé dans le corps de l'élément. Pour les armoires suspendues, les portes dépassent d'environ 3 à 4 cm par rapport à la structure du meuble.</w:t>
      </w:r>
    </w:p>
    <w:p w14:paraId="7175D9A8" w14:textId="77777777" w:rsidR="004B2808" w:rsidRDefault="00000000">
      <w:pPr>
        <w:pStyle w:val="Author-eListParagraph"/>
        <w:numPr>
          <w:ilvl w:val="0"/>
          <w:numId w:val="1558"/>
        </w:numPr>
      </w:pPr>
      <w:r>
        <w:t xml:space="preserve">Les </w:t>
      </w:r>
      <w:r>
        <w:rPr>
          <w:rStyle w:val="optioncarChar"/>
        </w:rPr>
        <w:t>poignées</w:t>
      </w:r>
      <w:r>
        <w:t> (par défaut)</w:t>
      </w:r>
      <w:r>
        <w:rPr>
          <w:rStyle w:val="optioncarChar"/>
        </w:rPr>
        <w:t xml:space="preserve"> / tirants / ***</w:t>
      </w:r>
      <w:r>
        <w:t xml:space="preserve"> sont solidement fixés sur le panneau frontal par un dispositif caché.</w:t>
      </w:r>
    </w:p>
    <w:p w14:paraId="512BE725" w14:textId="77777777" w:rsidR="004B2808" w:rsidRDefault="00000000">
      <w:pPr>
        <w:pStyle w:val="Author-eListParagraph"/>
        <w:numPr>
          <w:ilvl w:val="0"/>
          <w:numId w:val="1558"/>
        </w:numPr>
      </w:pPr>
      <w:r>
        <w:t xml:space="preserve">Coloris : </w:t>
      </w:r>
      <w:r>
        <w:rPr>
          <w:rStyle w:val="optioncarChar"/>
        </w:rPr>
        <w:t>blanc </w:t>
      </w:r>
      <w:r>
        <w:t>(par défaut)</w:t>
      </w:r>
      <w:r>
        <w:rPr>
          <w:rStyle w:val="optioncarChar"/>
        </w:rPr>
        <w:t xml:space="preserve"> / à choisir dans la gamme standard du fabricant / *** </w:t>
      </w:r>
      <w:r>
        <w:t> </w:t>
      </w:r>
    </w:p>
    <w:p w14:paraId="1C4F542E" w14:textId="77777777" w:rsidR="004B2808" w:rsidRDefault="00000000">
      <w:pPr>
        <w:pStyle w:val="heading"/>
      </w:pPr>
      <w:r>
        <w:t>    Pattes de reglage &amp; Socles</w:t>
      </w:r>
    </w:p>
    <w:p w14:paraId="2A5D251B" w14:textId="77777777" w:rsidR="004B2808" w:rsidRDefault="00000000">
      <w:pPr>
        <w:pStyle w:val="Author-eListParagraph"/>
        <w:numPr>
          <w:ilvl w:val="0"/>
          <w:numId w:val="1559"/>
        </w:numPr>
      </w:pPr>
      <w:r>
        <w:t>Chaque élément est posé sur quatre pattes réglables, les socles maçonnés ne sont actuellement plus d'usage. Les supports réglables en hauteur sont en matière synthétique de première qualité et peuvent éventuellement être combinés à des éléments en acier inoxydable. Ils sont pourvus d'un système de blocage pour la fixation d'une plaque de protection verticale, d'une épaisseur minimale de </w:t>
      </w:r>
      <w:r>
        <w:rPr>
          <w:rStyle w:val="optioncarChar"/>
        </w:rPr>
        <w:t>16 </w:t>
      </w:r>
      <w:r>
        <w:t>(par défaut)</w:t>
      </w:r>
      <w:r>
        <w:rPr>
          <w:rStyle w:val="optioncarChar"/>
        </w:rPr>
        <w:t xml:space="preserve"> / 18 / *** </w:t>
      </w:r>
      <w:r>
        <w:t>, avec un profil d'étanchéité intégré en PVC, muni d'une bande souple afin d'absorber les irrégularités du sol.</w:t>
      </w:r>
    </w:p>
    <w:p w14:paraId="52653FB8" w14:textId="77777777" w:rsidR="004B2808" w:rsidRDefault="00000000">
      <w:pPr>
        <w:pStyle w:val="Author-eListParagraph"/>
        <w:numPr>
          <w:ilvl w:val="0"/>
          <w:numId w:val="1559"/>
        </w:numPr>
      </w:pPr>
      <w:r>
        <w:t>La plinthe est fabriquée en :</w:t>
      </w:r>
    </w:p>
    <w:p w14:paraId="114A578E" w14:textId="77777777" w:rsidR="004B2808" w:rsidRDefault="00000000">
      <w:r>
        <w:rPr>
          <w:b/>
        </w:rPr>
        <w:t>Choix opéré</w:t>
      </w:r>
      <w:r>
        <w:t xml:space="preserve"> : </w:t>
      </w:r>
      <w:r>
        <w:rPr>
          <w:rStyle w:val="optioncarChar"/>
        </w:rPr>
        <w:t>*** / OPTION 1</w:t>
      </w:r>
      <w:r>
        <w:t> (par défaut)</w:t>
      </w:r>
      <w:r>
        <w:rPr>
          <w:rStyle w:val="optioncarChar"/>
        </w:rPr>
        <w:t xml:space="preserve"> / OPTION 2</w:t>
      </w:r>
      <w:r>
        <w:br/>
      </w:r>
      <w:r>
        <w:rPr>
          <w:b/>
        </w:rPr>
        <w:t xml:space="preserve">OPTION 1 </w:t>
      </w:r>
      <w:r>
        <w:t>: plaque d'aggloméré hydrofuge, répondant à la [NBN EN 312] Densité au moins 650 kg/m³. Classe Formaldéhyde</w:t>
      </w:r>
      <w:r>
        <w:rPr>
          <w:rStyle w:val="optioncarChar"/>
        </w:rPr>
        <w:t> 1 </w:t>
      </w:r>
      <w:r>
        <w:t>(par défaut)</w:t>
      </w:r>
      <w:r>
        <w:rPr>
          <w:rStyle w:val="optioncarChar"/>
        </w:rPr>
        <w:t> / ***</w:t>
      </w:r>
      <w:r>
        <w:br/>
      </w:r>
      <w:r>
        <w:rPr>
          <w:b/>
        </w:rPr>
        <w:t>OPTION 2</w:t>
      </w:r>
      <w:r>
        <w:t xml:space="preserve"> : plaque de contreplaqué, selon les [STS 04 série] .5 .</w:t>
      </w:r>
    </w:p>
    <w:p w14:paraId="6C0D90AA" w14:textId="77777777" w:rsidR="004B2808" w:rsidRDefault="00000000">
      <w:pPr>
        <w:pStyle w:val="Author-eListParagraph"/>
        <w:numPr>
          <w:ilvl w:val="0"/>
          <w:numId w:val="1560"/>
        </w:numPr>
      </w:pPr>
      <w:r>
        <w:t xml:space="preserve">Les plaques sont revêtues sur les deux faces de panneaux stratifiés sous haute pression et/ou de mélamine; c'est-à-dire une finition de qualité identique à celle des façades et des côtés apparents. Coloris : </w:t>
      </w:r>
      <w:r>
        <w:rPr>
          <w:rStyle w:val="optioncarChar"/>
        </w:rPr>
        <w:t>blanc </w:t>
      </w:r>
      <w:r>
        <w:t>(par défaut)</w:t>
      </w:r>
      <w:r>
        <w:rPr>
          <w:rStyle w:val="optioncarChar"/>
        </w:rPr>
        <w:t xml:space="preserve"> / à choisir dans la gamme de couleurs standard du fabricant</w:t>
      </w:r>
      <w:r>
        <w:t> (par défaut)</w:t>
      </w:r>
      <w:r>
        <w:rPr>
          <w:rStyle w:val="optioncarChar"/>
        </w:rPr>
        <w:t> / ***</w:t>
      </w:r>
      <w:r>
        <w:t>.</w:t>
      </w:r>
    </w:p>
    <w:p w14:paraId="5F73BECB" w14:textId="77777777" w:rsidR="004B2808" w:rsidRDefault="00000000">
      <w:pPr>
        <w:pStyle w:val="Author-eListParagraph"/>
        <w:numPr>
          <w:ilvl w:val="0"/>
          <w:numId w:val="1560"/>
        </w:numPr>
      </w:pPr>
      <w:r>
        <w:t xml:space="preserve">Le socle se trouve en retrait d'au moins </w:t>
      </w:r>
      <w:r>
        <w:rPr>
          <w:rStyle w:val="optioncarChar"/>
        </w:rPr>
        <w:t>5 </w:t>
      </w:r>
      <w:r>
        <w:t>(par défaut)</w:t>
      </w:r>
      <w:r>
        <w:rPr>
          <w:rStyle w:val="optioncarChar"/>
        </w:rPr>
        <w:t> / *** </w:t>
      </w:r>
      <w:r>
        <w:t xml:space="preserve">cm par rapport au bord de la tablette et présente une hauteur d'au moins </w:t>
      </w:r>
      <w:r>
        <w:rPr>
          <w:rStyle w:val="optioncarChar"/>
        </w:rPr>
        <w:t>10</w:t>
      </w:r>
      <w:r>
        <w:t> (par défaut)</w:t>
      </w:r>
      <w:r>
        <w:rPr>
          <w:rStyle w:val="optioncarChar"/>
        </w:rPr>
        <w:t> / ***</w:t>
      </w:r>
      <w:r>
        <w:t>  cm.</w:t>
      </w:r>
    </w:p>
    <w:p w14:paraId="766B6775" w14:textId="77777777" w:rsidR="004B2808" w:rsidRDefault="00000000">
      <w:pPr>
        <w:pStyle w:val="Author-eListParagraph"/>
        <w:numPr>
          <w:ilvl w:val="0"/>
          <w:numId w:val="1560"/>
        </w:numPr>
      </w:pPr>
      <w:r>
        <w:t>Afin de pouvoir insérer les appareils non livrés (cuisinière, lave-vaisselle, réfrigérateur, …), les réservations nécessaires sont prévues dans la plinthe, conformément aux indications sur les plans.</w:t>
      </w:r>
    </w:p>
    <w:p w14:paraId="116CDB0F" w14:textId="77777777" w:rsidR="004B2808" w:rsidRDefault="00000000">
      <w:pPr>
        <w:pStyle w:val="Author-eListParagraph"/>
        <w:numPr>
          <w:ilvl w:val="0"/>
          <w:numId w:val="1560"/>
        </w:numPr>
      </w:pPr>
      <w:r>
        <w:t>La plinthe est également prévue sous les côtés. Les angles sont coupés à onglet et mastiqués.</w:t>
      </w:r>
    </w:p>
    <w:p w14:paraId="181C8320" w14:textId="77777777" w:rsidR="004B2808" w:rsidRDefault="00000000">
      <w:pPr>
        <w:pStyle w:val="pheading"/>
      </w:pPr>
      <w:r>
        <w:t>EXÉCUTION / MISE EN ŒUVRE</w:t>
      </w:r>
    </w:p>
    <w:p w14:paraId="18DF30B4" w14:textId="77777777" w:rsidR="004B2808" w:rsidRDefault="00000000">
      <w:pPr>
        <w:pStyle w:val="heading"/>
      </w:pPr>
      <w:r>
        <w:lastRenderedPageBreak/>
        <w:t>Timing - Influence de l'environnement</w:t>
      </w:r>
    </w:p>
    <w:p w14:paraId="455C2735" w14:textId="77777777" w:rsidR="004B2808" w:rsidRDefault="00000000">
      <w:r>
        <w:t>La mise en œuvre du mobilier encastré et des équipements fixes ne peut commencer que lorsque l'auteur de projet et l'entrepreneur ont décidé conjointement que les conditions de mise en œuvre sont favorables, c'est-à-dire que le bâtiment est suffisamment sec et fermé, que la température est comprise entre 15 et 25°C et que l'humidité relative se situe entre 40 et 70% HR. Le mobilier ne peut en aucun cas être mis en place lorsque les circonstances sont de nature à provoquer des effets irréversibles (gonflement, voilement, retrait de la menuiserie).</w:t>
      </w:r>
    </w:p>
    <w:p w14:paraId="7B58F078" w14:textId="77777777" w:rsidR="004B2808" w:rsidRDefault="00000000">
      <w:r>
        <w:t>Voir à ce sujet la [NIT 166].</w:t>
      </w:r>
    </w:p>
    <w:p w14:paraId="1E0E3218" w14:textId="77777777" w:rsidR="004B2808" w:rsidRDefault="00000000">
      <w:r>
        <w:rPr>
          <w:b/>
          <w:sz w:val="24"/>
        </w:rPr>
        <w:t>Sécurité</w:t>
      </w:r>
    </w:p>
    <w:p w14:paraId="21A477FF" w14:textId="77777777" w:rsidR="004B2808" w:rsidRDefault="00000000">
      <w:r>
        <w:t>Conformément à la rubrique 01.45 PSS travaux de parachèvement intérieur, établie par le coordinateur-projet et annexée au présent cahier des charges. Toutes les directives en la matière et les indications concrètes du coordinateur-réalisation sont scrupuleusement respectées.</w:t>
      </w:r>
    </w:p>
    <w:p w14:paraId="3D9C2ABC" w14:textId="77777777" w:rsidR="004B2808" w:rsidRDefault="00000000">
      <w:pPr>
        <w:ind w:left="750"/>
      </w:pPr>
      <w:r>
        <w:t> </w:t>
      </w:r>
    </w:p>
    <w:p w14:paraId="2B203182" w14:textId="77777777" w:rsidR="004B2808" w:rsidRDefault="00000000">
      <w:pPr>
        <w:pStyle w:val="pheading"/>
      </w:pPr>
      <w:r>
        <w:t>CONTRÔLES</w:t>
      </w:r>
    </w:p>
    <w:p w14:paraId="0D181F72" w14:textId="77777777" w:rsidR="004B2808" w:rsidRDefault="00000000">
      <w:r>
        <w:t>La jonction entre le mobilier encastré et les éléments de construction attenants forme un ensemble fini et est mastiquée si nécessaire. Tous les mécanismes de suspension et de fermeture doivent fonctionner impeccablement. Les portes des armoires sont suspendues horizontalement, les joints sont réguliers. La finition des surfaces des plans de travail et des façades des armoires ne présente aucun dommage. La résistance à l'eau et au gonflement des plans de travail est garantie par l'entrepreneur.</w:t>
      </w:r>
    </w:p>
    <w:p w14:paraId="717B1C5F" w14:textId="77777777" w:rsidR="004B2808" w:rsidRDefault="00000000">
      <w:pPr>
        <w:pStyle w:val="Author-eSectionHeading3Numberless"/>
      </w:pPr>
      <w:bookmarkStart w:id="1680" w:name="_Toc220491766"/>
      <w:r>
        <w:t>58.1 Mobilier de cuisine CCTB 01.10</w:t>
      </w:r>
      <w:bookmarkEnd w:id="1680"/>
    </w:p>
    <w:p w14:paraId="1AFC5F0D" w14:textId="77777777" w:rsidR="004B2808" w:rsidRDefault="00000000">
      <w:pPr>
        <w:pStyle w:val="pheading"/>
      </w:pPr>
      <w:bookmarkStart w:id="1681" w:name="1449"/>
      <w:bookmarkEnd w:id="1681"/>
      <w:r>
        <w:t>DESCRIPTION</w:t>
      </w:r>
    </w:p>
    <w:p w14:paraId="5ED736FC" w14:textId="77777777" w:rsidR="004B2808" w:rsidRDefault="00000000">
      <w:pPr>
        <w:pStyle w:val="pheading"/>
      </w:pPr>
      <w:r>
        <w:t>- Définition / Comprend</w:t>
      </w:r>
    </w:p>
    <w:p w14:paraId="01654368" w14:textId="77777777" w:rsidR="004B2808" w:rsidRDefault="00000000">
      <w:r>
        <w:t>Cette rubrique comprend tous les éléments, travaux et fournitures en vue de la réalisation des cuisines installées conformément aux plans de détail et au descriptif du cahier spécial des charges, selon le type, la nature et/ou la composition. Conformément aux dispositions générales et/ou spécifiques du cahier spécial des charges, les prix unitaires compris dans ces postes doivent toujours comprendre, soit selon la ventilation dans le métré récapitulatif, soit dans leur totalité :</w:t>
      </w:r>
    </w:p>
    <w:p w14:paraId="24D7A8CD" w14:textId="77777777" w:rsidR="004B2808" w:rsidRDefault="00000000">
      <w:pPr>
        <w:pStyle w:val="Author-eListParagraph"/>
        <w:numPr>
          <w:ilvl w:val="0"/>
          <w:numId w:val="1561"/>
        </w:numPr>
      </w:pPr>
      <w:r>
        <w:t>le contrôle et le relevé sur place de toutes les dimensions et l'éventuelle adaptation des éléments à préfabriquer aux dimensions réelles, l'établissement des dessins d'exécution nécessaires;</w:t>
      </w:r>
    </w:p>
    <w:p w14:paraId="007386E9" w14:textId="77777777" w:rsidR="004B2808" w:rsidRDefault="00000000">
      <w:pPr>
        <w:pStyle w:val="Author-eListParagraph"/>
        <w:numPr>
          <w:ilvl w:val="0"/>
          <w:numId w:val="1561"/>
        </w:numPr>
      </w:pPr>
      <w:r>
        <w:t>le contrôle de la présence et de la mise en œuvre correcte des équipements techniques (eau, gaz, électricité) en vue du raccordement prévu et/ou ultérieur des appareils, …;</w:t>
      </w:r>
    </w:p>
    <w:p w14:paraId="6B0B4DBB" w14:textId="77777777" w:rsidR="004B2808" w:rsidRDefault="00000000">
      <w:pPr>
        <w:pStyle w:val="Author-eListParagraph"/>
        <w:numPr>
          <w:ilvl w:val="0"/>
          <w:numId w:val="1561"/>
        </w:numPr>
      </w:pPr>
      <w:r>
        <w:t xml:space="preserve">la fabrication en atelier, la fourniture, l'entreposage, la pose et le réglage de tous les éléments nécessaires à la composition des ensembles de cuisine : </w:t>
      </w:r>
    </w:p>
    <w:p w14:paraId="2BB1E028" w14:textId="77777777" w:rsidR="004B2808" w:rsidRDefault="00000000">
      <w:pPr>
        <w:pStyle w:val="Author-eListParagraph"/>
        <w:numPr>
          <w:ilvl w:val="1"/>
          <w:numId w:val="1562"/>
        </w:numPr>
      </w:pPr>
      <w:r>
        <w:t>les socles (réglables), la structure des armoires de cuisine, les portes d'armoires, les tablettes, les plans de travail, les couvre-joints, ...</w:t>
      </w:r>
    </w:p>
    <w:p w14:paraId="61F12470" w14:textId="77777777" w:rsidR="004B2808" w:rsidRDefault="00000000">
      <w:pPr>
        <w:pStyle w:val="Author-eListParagraph"/>
        <w:numPr>
          <w:ilvl w:val="1"/>
          <w:numId w:val="1562"/>
        </w:numPr>
      </w:pPr>
      <w:r>
        <w:t>toute la quincaillerie, les accessoires, les systèmes d'équilibrage, les coulisses, poignées, …</w:t>
      </w:r>
    </w:p>
    <w:p w14:paraId="7B0FC895" w14:textId="77777777" w:rsidR="004B2808" w:rsidRDefault="00000000">
      <w:pPr>
        <w:pStyle w:val="Author-eListParagraph"/>
        <w:numPr>
          <w:ilvl w:val="1"/>
          <w:numId w:val="1562"/>
        </w:numPr>
      </w:pPr>
      <w:r>
        <w:t>la fourniture et le raccordement des appareils électriques éventuellement prévus, des hottes,, le raccordement des éviers et des robinets (le prix des appareils sanitaires est toutefois compté séparément dans le tome 6 - sanitaire).</w:t>
      </w:r>
    </w:p>
    <w:p w14:paraId="278EEB8D" w14:textId="77777777" w:rsidR="004B2808" w:rsidRDefault="00000000">
      <w:pPr>
        <w:pStyle w:val="Author-eListParagraph"/>
        <w:numPr>
          <w:ilvl w:val="0"/>
          <w:numId w:val="1561"/>
        </w:numPr>
      </w:pPr>
      <w:r>
        <w:t>la finition y compris tous les remplissages de joints, les réglages ultérieurs, …</w:t>
      </w:r>
    </w:p>
    <w:p w14:paraId="30EF3799" w14:textId="77777777" w:rsidR="004B2808" w:rsidRDefault="00000000">
      <w:pPr>
        <w:pStyle w:val="Author-eListParagraph"/>
        <w:numPr>
          <w:ilvl w:val="0"/>
          <w:numId w:val="1561"/>
        </w:numPr>
      </w:pPr>
      <w:r>
        <w:t>l'évacuation des déchets provenant des travaux, l'enlèvement de tous les autocollants et étiquettes, le nettoyage, …</w:t>
      </w:r>
    </w:p>
    <w:p w14:paraId="6434A4F9" w14:textId="77777777" w:rsidR="004B2808" w:rsidRDefault="00000000">
      <w:pPr>
        <w:pStyle w:val="pheading"/>
      </w:pPr>
      <w:r>
        <w:t>MATÉRIAUX</w:t>
      </w:r>
    </w:p>
    <w:p w14:paraId="52A9CDBB" w14:textId="77777777" w:rsidR="004B2808" w:rsidRDefault="00000000">
      <w:r>
        <w:t xml:space="preserve">L'équipement de la cuisine doit satisfaire à la composition des différents éléments des meubles de cuisine, conformément aux plans de détail annexés par type, en ce qui concerne : la subdivision, les </w:t>
      </w:r>
      <w:r>
        <w:lastRenderedPageBreak/>
        <w:t>dimensions, la finition et les matériaux prescrits.</w:t>
      </w:r>
      <w:r>
        <w:br/>
        <w:t>Les dimensions des armoires sont conformes aux indications de la [NBN EN 1116] . </w:t>
      </w:r>
      <w:r>
        <w:br/>
        <w:t xml:space="preserve">Les performances techniques, les exigences de sécurité et les méthodes d'essai auxquelles les armoires de cuisine et les plans de travail doivent satisfaire correspondent à la </w:t>
      </w:r>
      <w:r>
        <w:rPr>
          <w:shd w:val="clear" w:color="auto" w:fill="FFFFFF"/>
        </w:rPr>
        <w:t>[NBN EN 14749:2016+A1]</w:t>
      </w:r>
      <w:r>
        <w:br/>
        <w:t>Sauf exigences spécifiques dans le cahier spécial des charges, les soumissionnaires sont libres de proposer un type d'armoires standards fabriquées selon leur propre système de construction. Ils joignent une documentation suffisamment complète à leur soumission en y indiquant clairement les différents éléments, matériaux, types de finition, etc.</w:t>
      </w:r>
      <w:r>
        <w:br/>
        <w:t xml:space="preserve">Les normes de référence en vigueur en ce qui concerne les matériaux en plaques sont celles mentionnées sous la rubrique </w:t>
      </w:r>
      <w:hyperlink w:anchor="1132" w:history="1">
        <w:r w:rsidR="004B2808">
          <w:rPr>
            <w:color w:val="0000EE"/>
          </w:rPr>
          <w:t>51.1 Cloisons fixes légères de séparation (Rem.: le type d'ossature est explicité à l'article)</w:t>
        </w:r>
      </w:hyperlink>
      <w:r>
        <w:t>.</w:t>
      </w:r>
    </w:p>
    <w:p w14:paraId="574660A4" w14:textId="77777777" w:rsidR="004B2808" w:rsidRDefault="00000000">
      <w:pPr>
        <w:pStyle w:val="pheading"/>
      </w:pPr>
      <w:r>
        <w:t>EXÉCUTION / MISE EN ŒUVRE</w:t>
      </w:r>
    </w:p>
    <w:p w14:paraId="41F64806" w14:textId="77777777" w:rsidR="004B2808" w:rsidRDefault="00000000">
      <w:r>
        <w:t>Les éléments composés sont fabriqués de manière telle que l'entrepreneur puisse les transporter sans endommager les matériaux et/ou le bâtiment.</w:t>
      </w:r>
      <w:r>
        <w:br/>
        <w:t>Les éléments de cuisine se raccordent de manière soignée aux constructions attenantes. Une attention particulière est également apportée à l'intégration et à l'habillage des gaines pour les conduites qui doivent être intégrées de manière esthétique.</w:t>
      </w:r>
      <w:r>
        <w:br/>
        <w:t>La mise en œuvre résulte en un ensemble solide et indéformable, excluant tout déplacement accidentel des armoires.</w:t>
      </w:r>
      <w:r>
        <w:br/>
        <w:t>Les éléments sont posés de niveau et reliés mutuellement à l'aide de tiges filetées dont la tête est recouverte d'un capuchon en PVC. Les éléments à suspendre sont fixés solidement et invisiblement au mur au moyen d'un système de construction réglable.</w:t>
      </w:r>
      <w:r>
        <w:br/>
        <w:t>Les plans de travail sont posés de niveau et stables, ils sont fixés invisiblement sur les armoires basses. Dans la mesure du possible, ils sont d'un seul tenant, les joints dans les plans de travail étant uniquement tolérés pour les assemblages d'angle inévitables. Les joints entre les plaques sont obturés à l'aide d'un mastic fongicide.</w:t>
      </w:r>
      <w:r>
        <w:br/>
        <w:t>Les bords libres de la tablette au droit de la cuisinière ou du réfrigérateur sont terminés par un profil en T en aluminium anodisé, plié vers l'avant, embrevé de manière étanche et collé par assemblage à rainure et languette. Lorsqu'une tablette ne repose pas sur une armoire basse, elle est posée et vissée sur une équerre solide en aluminium, fixée au mur.</w:t>
      </w:r>
      <w:r>
        <w:br/>
        <w:t>Les réservations nécessaires sont découpées dans le plan de travail, avec des angles arrondis, pour l'intégration des éléments encastrés. La pose de l'évier encastré est comprise dans le prix unitaire. Le joint entre les appareils encastrés et le plan de travail est étanche à l'eau et son exécution est particulièrement soignée.</w:t>
      </w:r>
      <w:r>
        <w:br/>
        <w:t>Les joints de raccordement entre le mur et les armoires sont colmatés avec un mastic élastique à base de silicones sanitaires non acides et fongicides conformément aux [STS 56] (</w:t>
      </w:r>
      <w:r>
        <w:rPr>
          <w:rStyle w:val="optioncarChar"/>
        </w:rPr>
        <w:t>blanc</w:t>
      </w:r>
      <w:r>
        <w:t> (par défaut)</w:t>
      </w:r>
      <w:r>
        <w:rPr>
          <w:rStyle w:val="optioncarChar"/>
        </w:rPr>
        <w:t xml:space="preserve"> / incolore / coloris à déterminer par l'auteur de projet / *** </w:t>
      </w:r>
      <w:r>
        <w:t>).</w:t>
      </w:r>
      <w:r>
        <w:br/>
        <w:t>Après leur finition, les armoires et les plans de travail sont débarrassés de toutes les étiquettes et entièrement nettoyés.</w:t>
      </w:r>
    </w:p>
    <w:p w14:paraId="2035DCDB" w14:textId="77777777" w:rsidR="004B2808" w:rsidRDefault="00000000">
      <w:pPr>
        <w:pStyle w:val="Author-eSectionHeading4Numberless"/>
      </w:pPr>
      <w:bookmarkStart w:id="1682" w:name="_Toc220491767"/>
      <w:r>
        <w:t>58.11 Mobilier de cuisine - Structure et planches CCTB 01.10</w:t>
      </w:r>
      <w:bookmarkEnd w:id="1682"/>
    </w:p>
    <w:p w14:paraId="4D668CC2" w14:textId="77777777" w:rsidR="004B2808" w:rsidRDefault="00000000">
      <w:pPr>
        <w:pStyle w:val="pheading"/>
      </w:pPr>
      <w:r>
        <w:t>MATÉRIAUX</w:t>
      </w:r>
    </w:p>
    <w:p w14:paraId="7232C817" w14:textId="77777777" w:rsidR="004B2808" w:rsidRDefault="00000000">
      <w:pPr>
        <w:pStyle w:val="heading"/>
      </w:pPr>
      <w:r>
        <w:t>Spécifications</w:t>
      </w:r>
    </w:p>
    <w:p w14:paraId="2132FD7D" w14:textId="77777777" w:rsidR="004B2808" w:rsidRDefault="00000000">
      <w:pPr>
        <w:pStyle w:val="Author-eListParagraph"/>
        <w:numPr>
          <w:ilvl w:val="0"/>
          <w:numId w:val="1563"/>
        </w:numPr>
      </w:pPr>
      <w:r>
        <w:t>Matériau :</w:t>
      </w:r>
      <w:r>
        <w:rPr>
          <w:rStyle w:val="optioncarChar"/>
        </w:rPr>
        <w:t xml:space="preserve"> panneaux de bois aggloméré revêtus </w:t>
      </w:r>
      <w:r>
        <w:t>(par défaut)</w:t>
      </w:r>
      <w:r>
        <w:rPr>
          <w:rStyle w:val="optioncarChar"/>
        </w:rPr>
        <w:t xml:space="preserve"> / ***, </w:t>
      </w:r>
      <w:r>
        <w:t xml:space="preserve">densité : </w:t>
      </w:r>
      <w:r>
        <w:rPr>
          <w:rStyle w:val="optioncarChar"/>
        </w:rPr>
        <w:t>650 </w:t>
      </w:r>
      <w:r>
        <w:t>(par défaut)</w:t>
      </w:r>
      <w:r>
        <w:rPr>
          <w:rStyle w:val="optioncarChar"/>
        </w:rPr>
        <w:t xml:space="preserve"> / 700 / *** </w:t>
      </w:r>
      <w:r>
        <w:t>kg/m³ et Classe formaldéhyde </w:t>
      </w:r>
      <w:r>
        <w:rPr>
          <w:rStyle w:val="optioncarChar"/>
        </w:rPr>
        <w:t>1 </w:t>
      </w:r>
      <w:r>
        <w:t>(par défaut)</w:t>
      </w:r>
      <w:r>
        <w:rPr>
          <w:rStyle w:val="optioncarChar"/>
        </w:rPr>
        <w:t> / ***</w:t>
      </w:r>
    </w:p>
    <w:p w14:paraId="3C3363E0" w14:textId="77777777" w:rsidR="004B2808" w:rsidRDefault="00000000">
      <w:pPr>
        <w:pStyle w:val="Author-eListParagraph"/>
        <w:numPr>
          <w:ilvl w:val="0"/>
          <w:numId w:val="1563"/>
        </w:numPr>
      </w:pPr>
      <w:r>
        <w:t xml:space="preserve">Epaisseur des plaques : </w:t>
      </w:r>
      <w:r>
        <w:rPr>
          <w:rStyle w:val="optioncarChar"/>
        </w:rPr>
        <w:t>18 </w:t>
      </w:r>
      <w:r>
        <w:t>(par défaut)</w:t>
      </w:r>
      <w:r>
        <w:rPr>
          <w:rStyle w:val="optioncarChar"/>
        </w:rPr>
        <w:t> / *** </w:t>
      </w:r>
      <w:r>
        <w:t>mm</w:t>
      </w:r>
    </w:p>
    <w:p w14:paraId="1A8B5C72" w14:textId="77777777" w:rsidR="004B2808" w:rsidRDefault="00000000">
      <w:pPr>
        <w:pStyle w:val="Author-eListParagraph"/>
        <w:numPr>
          <w:ilvl w:val="0"/>
          <w:numId w:val="1563"/>
        </w:numPr>
      </w:pPr>
      <w:r>
        <w:t xml:space="preserve">Coloris : </w:t>
      </w:r>
      <w:r>
        <w:rPr>
          <w:rStyle w:val="optioncarChar"/>
        </w:rPr>
        <w:t>blanc</w:t>
      </w:r>
      <w:r>
        <w:t> (par défaut)</w:t>
      </w:r>
      <w:r>
        <w:rPr>
          <w:rStyle w:val="optioncarChar"/>
        </w:rPr>
        <w:t xml:space="preserve"> / à choisir dans la gamme de couleurs standard du fabricant / *** </w:t>
      </w:r>
      <w:r>
        <w:t>.</w:t>
      </w:r>
    </w:p>
    <w:p w14:paraId="6F66539C" w14:textId="77777777" w:rsidR="004B2808" w:rsidRDefault="00000000">
      <w:pPr>
        <w:pStyle w:val="Author-eListParagraph"/>
        <w:numPr>
          <w:ilvl w:val="0"/>
          <w:numId w:val="1563"/>
        </w:numPr>
      </w:pPr>
      <w:r>
        <w:t>Revêtement :</w:t>
      </w:r>
    </w:p>
    <w:p w14:paraId="43A26B7A" w14:textId="77777777" w:rsidR="004B2808" w:rsidRDefault="00000000">
      <w:pPr>
        <w:ind w:left="454"/>
      </w:pPr>
      <w:r>
        <w:rPr>
          <w:b/>
        </w:rPr>
        <w:t>Choix opéré</w:t>
      </w:r>
      <w:r>
        <w:t xml:space="preserve"> : </w:t>
      </w:r>
      <w:r>
        <w:rPr>
          <w:rStyle w:val="optioncarChar"/>
        </w:rPr>
        <w:t>*** / OPTION 1</w:t>
      </w:r>
      <w:r>
        <w:t> (par défaut)</w:t>
      </w:r>
      <w:r>
        <w:rPr>
          <w:rStyle w:val="optioncarChar"/>
        </w:rPr>
        <w:t xml:space="preserve"> / OPTION 2 / OPTION 3   </w:t>
      </w:r>
      <w:r>
        <w:br/>
      </w:r>
      <w:r>
        <w:rPr>
          <w:b/>
        </w:rPr>
        <w:t>***OPTION 1 (par défaut)</w:t>
      </w:r>
      <w:r>
        <w:t xml:space="preserve"> : mélaminé. Chants: </w:t>
      </w:r>
      <w:r>
        <w:rPr>
          <w:rStyle w:val="optioncarChar"/>
        </w:rPr>
        <w:t>feuille de matière synthétique / ***</w:t>
      </w:r>
      <w:r>
        <w:t xml:space="preserve">, épaisseur min. </w:t>
      </w:r>
      <w:r>
        <w:rPr>
          <w:rStyle w:val="optioncarChar"/>
        </w:rPr>
        <w:t>0,2</w:t>
      </w:r>
      <w:r>
        <w:t> (par défaut)</w:t>
      </w:r>
      <w:r>
        <w:rPr>
          <w:rStyle w:val="optioncarChar"/>
        </w:rPr>
        <w:t> / ***</w:t>
      </w:r>
      <w:r>
        <w:t xml:space="preserve">  mm. Option : La plaque répond aux critères d'acceptabilité  du produit </w:t>
      </w:r>
      <w:r>
        <w:lastRenderedPageBreak/>
        <w:t>tels que définis ans l'article 02.42.1 Critères d'acceptabilité</w:t>
      </w:r>
      <w:r>
        <w:br/>
      </w:r>
      <w:r>
        <w:rPr>
          <w:b/>
        </w:rPr>
        <w:t>***OPTION 2</w:t>
      </w:r>
      <w:r>
        <w:t xml:space="preserve"> : plaques de stratifié sous haute pression, classe HPL-EN 438 VLS ou S 121, épaisseur minimale : </w:t>
      </w:r>
      <w:r>
        <w:rPr>
          <w:rStyle w:val="optioncarChar"/>
        </w:rPr>
        <w:t>0,7 </w:t>
      </w:r>
      <w:r>
        <w:t>(par défaut)</w:t>
      </w:r>
      <w:r>
        <w:rPr>
          <w:rStyle w:val="optioncarChar"/>
        </w:rPr>
        <w:t> / ***</w:t>
      </w:r>
      <w:r>
        <w:t> mm. Chants :</w:t>
      </w:r>
      <w:r>
        <w:rPr>
          <w:rStyle w:val="optioncarChar"/>
        </w:rPr>
        <w:t> bandes de stratifié sous haute pression </w:t>
      </w:r>
      <w:r>
        <w:t>(par défaut)</w:t>
      </w:r>
      <w:r>
        <w:rPr>
          <w:rStyle w:val="optioncarChar"/>
        </w:rPr>
        <w:t xml:space="preserve"> / feuille de matière synthétique d'au moins 0,2 mm d'épaisseur / ***</w:t>
      </w:r>
      <w:r>
        <w:t>.</w:t>
      </w:r>
      <w:r>
        <w:br/>
      </w:r>
      <w:r>
        <w:rPr>
          <w:b/>
        </w:rPr>
        <w:t>***OPTION 3</w:t>
      </w:r>
      <w:r>
        <w:t xml:space="preserve"> : plaques de stratifié sous haute pression, classe HPL-EN 438 HGS ou S 333, épaisseur minimale : </w:t>
      </w:r>
      <w:r>
        <w:rPr>
          <w:rStyle w:val="optioncarChar"/>
        </w:rPr>
        <w:t>0,7 </w:t>
      </w:r>
      <w:r>
        <w:t>(par défaut)</w:t>
      </w:r>
      <w:r>
        <w:rPr>
          <w:rStyle w:val="optioncarChar"/>
        </w:rPr>
        <w:t> / *** </w:t>
      </w:r>
      <w:r>
        <w:t xml:space="preserve">mm. Les bords des tablettes sont revêtus de bandes de stratifié sous haute pression. Chants : </w:t>
      </w:r>
      <w:r>
        <w:rPr>
          <w:rStyle w:val="optioncarChar"/>
        </w:rPr>
        <w:t>bande de stratifié sous haute pression </w:t>
      </w:r>
      <w:r>
        <w:t>(par défaut)</w:t>
      </w:r>
      <w:r>
        <w:rPr>
          <w:rStyle w:val="optioncarChar"/>
        </w:rPr>
        <w:t xml:space="preserve"> / listel acrylique d'au moins 2 mm d'épaisseur / ***</w:t>
      </w:r>
      <w:r>
        <w:t>. </w:t>
      </w:r>
    </w:p>
    <w:p w14:paraId="4901FF10" w14:textId="77777777" w:rsidR="004B2808" w:rsidRDefault="00000000">
      <w:pPr>
        <w:pStyle w:val="Author-eListParagraph"/>
        <w:numPr>
          <w:ilvl w:val="0"/>
          <w:numId w:val="1564"/>
        </w:numPr>
      </w:pPr>
      <w:r>
        <w:t>Plinthe :</w:t>
      </w:r>
      <w:r>
        <w:rPr>
          <w:rStyle w:val="optioncarChar"/>
        </w:rPr>
        <w:t> plaque d'aggloméré hydrofuge</w:t>
      </w:r>
      <w:r>
        <w:t> (par défaut)</w:t>
      </w:r>
      <w:r>
        <w:rPr>
          <w:rStyle w:val="optioncarChar"/>
        </w:rPr>
        <w:t xml:space="preserve"> / plaque de contreplaqué marin / ***</w:t>
      </w:r>
    </w:p>
    <w:p w14:paraId="6CA2D72F" w14:textId="77777777" w:rsidR="004B2808" w:rsidRDefault="00000000">
      <w:pPr>
        <w:pStyle w:val="Author-eListParagraph"/>
        <w:numPr>
          <w:ilvl w:val="1"/>
          <w:numId w:val="1565"/>
        </w:numPr>
      </w:pPr>
      <w:r>
        <w:t xml:space="preserve">Epaisseur : </w:t>
      </w:r>
      <w:r>
        <w:rPr>
          <w:rStyle w:val="optioncarChar"/>
        </w:rPr>
        <w:t>18 </w:t>
      </w:r>
      <w:r>
        <w:t>(par défaut)</w:t>
      </w:r>
      <w:r>
        <w:rPr>
          <w:rStyle w:val="optioncarChar"/>
        </w:rPr>
        <w:t> / ***  </w:t>
      </w:r>
      <w:r>
        <w:t xml:space="preserve">mm, hauteur </w:t>
      </w:r>
      <w:r>
        <w:rPr>
          <w:rStyle w:val="optioncarChar"/>
        </w:rPr>
        <w:t>10</w:t>
      </w:r>
      <w:r>
        <w:t> (par défaut)</w:t>
      </w:r>
      <w:r>
        <w:rPr>
          <w:rStyle w:val="optioncarChar"/>
        </w:rPr>
        <w:t> / *** </w:t>
      </w:r>
      <w:r>
        <w:t>cm</w:t>
      </w:r>
    </w:p>
    <w:p w14:paraId="3E262621" w14:textId="77777777" w:rsidR="004B2808" w:rsidRDefault="00000000">
      <w:pPr>
        <w:pStyle w:val="Author-eListParagraph"/>
        <w:numPr>
          <w:ilvl w:val="1"/>
          <w:numId w:val="1565"/>
        </w:numPr>
      </w:pPr>
      <w:r>
        <w:t>Revêtement :</w:t>
      </w:r>
      <w:r>
        <w:rPr>
          <w:rStyle w:val="optioncarChar"/>
        </w:rPr>
        <w:t> plaques de stratifié haute pression</w:t>
      </w:r>
      <w:r>
        <w:t xml:space="preserve"> (par défaut)</w:t>
      </w:r>
      <w:r>
        <w:rPr>
          <w:rStyle w:val="optioncarChar"/>
        </w:rPr>
        <w:t> / mélamine / ***</w:t>
      </w:r>
    </w:p>
    <w:p w14:paraId="589183CC" w14:textId="77777777" w:rsidR="004B2808" w:rsidRDefault="00000000">
      <w:pPr>
        <w:pStyle w:val="Author-eListParagraph"/>
        <w:numPr>
          <w:ilvl w:val="1"/>
          <w:numId w:val="1565"/>
        </w:numPr>
      </w:pPr>
      <w:r>
        <w:t xml:space="preserve">Coloris : </w:t>
      </w:r>
      <w:r>
        <w:rPr>
          <w:rStyle w:val="optioncarChar"/>
        </w:rPr>
        <w:t xml:space="preserve">blanc </w:t>
      </w:r>
      <w:r>
        <w:t>(par défaut)</w:t>
      </w:r>
      <w:r>
        <w:rPr>
          <w:rStyle w:val="optioncarChar"/>
        </w:rPr>
        <w:t> / à choisir dans la gamme de couleurs standard du fabricant / ***</w:t>
      </w:r>
    </w:p>
    <w:p w14:paraId="617A11B5" w14:textId="77777777" w:rsidR="004B2808" w:rsidRDefault="00000000">
      <w:pPr>
        <w:pStyle w:val="Author-eListParagraph"/>
        <w:numPr>
          <w:ilvl w:val="1"/>
          <w:numId w:val="1565"/>
        </w:numPr>
      </w:pPr>
      <w:r>
        <w:t xml:space="preserve">Retrait : </w:t>
      </w:r>
      <w:r>
        <w:rPr>
          <w:rStyle w:val="optioncarChar"/>
        </w:rPr>
        <w:t>5</w:t>
      </w:r>
      <w:r>
        <w:t> (par défaut) / </w:t>
      </w:r>
      <w:r>
        <w:rPr>
          <w:rStyle w:val="optioncarChar"/>
        </w:rPr>
        <w:t>***</w:t>
      </w:r>
      <w:r>
        <w:t xml:space="preserve"> cm</w:t>
      </w:r>
    </w:p>
    <w:p w14:paraId="23063C79" w14:textId="77777777" w:rsidR="004B2808" w:rsidRDefault="00000000">
      <w:pPr>
        <w:pStyle w:val="Author-eSectionHeading5Numberless"/>
      </w:pPr>
      <w:bookmarkStart w:id="1683" w:name="_Toc220491768"/>
      <w:r>
        <w:t>58.11.1 Mobilier de cuisine - Structure et planches - Eléments blocs CCTB 01.02</w:t>
      </w:r>
      <w:bookmarkEnd w:id="1683"/>
    </w:p>
    <w:p w14:paraId="414AC121" w14:textId="77777777" w:rsidR="004B2808" w:rsidRDefault="00000000">
      <w:pPr>
        <w:pStyle w:val="Author-eSectionHeading6Numberless"/>
      </w:pPr>
      <w:bookmarkStart w:id="1684" w:name="_Toc220491769"/>
      <w:r>
        <w:t>58.11.1a Mobilier de cuisine - Structure et planches - Eléments blocs CCTB 01.10</w:t>
      </w:r>
      <w:bookmarkEnd w:id="1684"/>
    </w:p>
    <w:p w14:paraId="6BDFDA4A" w14:textId="77777777" w:rsidR="004B2808" w:rsidRDefault="00000000">
      <w:pPr>
        <w:pStyle w:val="pheading"/>
      </w:pPr>
      <w:r>
        <w:t>DESCRIPTION</w:t>
      </w:r>
    </w:p>
    <w:p w14:paraId="05C637C8" w14:textId="77777777" w:rsidR="004B2808" w:rsidRDefault="00000000">
      <w:pPr>
        <w:pStyle w:val="pheading"/>
      </w:pPr>
      <w:r>
        <w:t>- Localisation</w:t>
      </w:r>
    </w:p>
    <w:p w14:paraId="2056A08A" w14:textId="77777777" w:rsidR="004B2808" w:rsidRDefault="00000000">
      <w:pPr>
        <w:pStyle w:val="heading"/>
      </w:pPr>
      <w:r>
        <w:t>Description des armoires</w:t>
      </w:r>
    </w:p>
    <w:p w14:paraId="3659A068" w14:textId="77777777" w:rsidR="004B2808" w:rsidRDefault="00000000">
      <w:r>
        <w:t>(voir les plans détaillés par type joints en annexe)</w:t>
      </w:r>
    </w:p>
    <w:p w14:paraId="276B7A31" w14:textId="77777777" w:rsidR="004B2808" w:rsidRDefault="00000000">
      <w:pPr>
        <w:pStyle w:val="Author-eListParagraph"/>
        <w:numPr>
          <w:ilvl w:val="0"/>
          <w:numId w:val="1566"/>
        </w:numPr>
      </w:pPr>
      <w:r>
        <w:t xml:space="preserve">Ensemble d'armoires suspendues composé de </w:t>
      </w:r>
      <w:r>
        <w:rPr>
          <w:rStyle w:val="optioncarChar"/>
        </w:rPr>
        <w:t xml:space="preserve">*** </w:t>
      </w:r>
    </w:p>
    <w:p w14:paraId="613B7D6B" w14:textId="77777777" w:rsidR="004B2808" w:rsidRDefault="00000000">
      <w:pPr>
        <w:pStyle w:val="Author-eListParagraph"/>
        <w:numPr>
          <w:ilvl w:val="0"/>
          <w:numId w:val="1566"/>
        </w:numPr>
      </w:pPr>
      <w:r>
        <w:t xml:space="preserve">Ensemble d'armoires colonnes composé de </w:t>
      </w:r>
      <w:r>
        <w:rPr>
          <w:rStyle w:val="optioncarChar"/>
        </w:rPr>
        <w:t xml:space="preserve">*** </w:t>
      </w:r>
    </w:p>
    <w:p w14:paraId="424766FC" w14:textId="77777777" w:rsidR="004B2808" w:rsidRDefault="00000000">
      <w:pPr>
        <w:pStyle w:val="Author-eListParagraph"/>
        <w:numPr>
          <w:ilvl w:val="0"/>
          <w:numId w:val="1566"/>
        </w:numPr>
      </w:pPr>
      <w:r>
        <w:t xml:space="preserve">Ensemble d'armoires de base composé de </w:t>
      </w:r>
      <w:r>
        <w:rPr>
          <w:rStyle w:val="optioncarChar"/>
        </w:rPr>
        <w:t>***</w:t>
      </w:r>
    </w:p>
    <w:p w14:paraId="4846A7B7" w14:textId="77777777" w:rsidR="004B2808" w:rsidRDefault="00000000">
      <w:pPr>
        <w:pStyle w:val="pheading"/>
      </w:pPr>
      <w:r>
        <w:t>MESURAGE</w:t>
      </w:r>
    </w:p>
    <w:p w14:paraId="599CECF9" w14:textId="77777777" w:rsidR="004B2808" w:rsidRDefault="00000000">
      <w:r>
        <w:t>Conformément à la nature des aménagements de cuisine prévus, les indications spécifiques dans le cahier spécial des charges et/ou le métré récapitulatif, le mesurage doit en principe être conçu comme suit :</w:t>
      </w:r>
    </w:p>
    <w:p w14:paraId="743BEFF5" w14:textId="77777777" w:rsidR="004B2808" w:rsidRDefault="00000000">
      <w:pPr>
        <w:pStyle w:val="pheading"/>
      </w:pPr>
      <w:r>
        <w:t>- unité de mesure:</w:t>
      </w:r>
    </w:p>
    <w:p w14:paraId="3A719299" w14:textId="77777777" w:rsidR="004B2808" w:rsidRDefault="00000000">
      <w:r>
        <w:rPr>
          <w:rStyle w:val="optioncarChar"/>
        </w:rPr>
        <w:t>p</w:t>
      </w:r>
      <w:r>
        <w:t> (par défaut)</w:t>
      </w:r>
      <w:r>
        <w:rPr>
          <w:rStyle w:val="optioncarChar"/>
        </w:rPr>
        <w:t xml:space="preserve"> / m / ***</w:t>
      </w:r>
    </w:p>
    <w:p w14:paraId="3211D684" w14:textId="77777777" w:rsidR="004B2808" w:rsidRDefault="00000000">
      <w:pPr>
        <w:pStyle w:val="pheading"/>
      </w:pPr>
      <w:r>
        <w:t>- code de mesurage:</w:t>
      </w:r>
    </w:p>
    <w:p w14:paraId="715F651C" w14:textId="77777777" w:rsidR="004B2808" w:rsidRDefault="00000000">
      <w:r>
        <w:rPr>
          <w:rStyle w:val="optioncarChar"/>
        </w:rPr>
        <w:t>selon le type de cuisine </w:t>
      </w:r>
      <w:r>
        <w:t>(par défaut)</w:t>
      </w:r>
      <w:r>
        <w:rPr>
          <w:rStyle w:val="optioncarChar"/>
        </w:rPr>
        <w:t xml:space="preserve"> / en fonction du type d'armoire : colonne, armoire basse, armoire suspendue / ***.</w:t>
      </w:r>
    </w:p>
    <w:p w14:paraId="73B6D73C" w14:textId="77777777" w:rsidR="004B2808" w:rsidRDefault="00000000">
      <w:pPr>
        <w:pStyle w:val="pheading"/>
      </w:pPr>
      <w:r>
        <w:t>- nature du marché:</w:t>
      </w:r>
    </w:p>
    <w:p w14:paraId="486C0093" w14:textId="77777777" w:rsidR="004B2808" w:rsidRDefault="00000000">
      <w:r>
        <w:rPr>
          <w:rStyle w:val="optioncarChar"/>
        </w:rPr>
        <w:t>QF</w:t>
      </w:r>
      <w:r>
        <w:t> (par défaut)</w:t>
      </w:r>
      <w:r>
        <w:rPr>
          <w:rStyle w:val="optioncarChar"/>
        </w:rPr>
        <w:t> / ***</w:t>
      </w:r>
    </w:p>
    <w:p w14:paraId="725ED0E7" w14:textId="77777777" w:rsidR="004B2808" w:rsidRDefault="00000000">
      <w:pPr>
        <w:pStyle w:val="Author-eSectionHeading5Numberless"/>
      </w:pPr>
      <w:bookmarkStart w:id="1685" w:name="_Toc220491770"/>
      <w:r>
        <w:t>58.11.2 Mobilier de cuisine - Structure et planches - Façades &amp; côtés apparents CCTB 01.02</w:t>
      </w:r>
      <w:bookmarkEnd w:id="1685"/>
    </w:p>
    <w:p w14:paraId="3A813564" w14:textId="77777777" w:rsidR="004B2808" w:rsidRDefault="00000000">
      <w:pPr>
        <w:pStyle w:val="Author-eSectionHeading6Numberless"/>
      </w:pPr>
      <w:bookmarkStart w:id="1686" w:name="_Toc220491771"/>
      <w:r>
        <w:t>58.11.2a Mobilier de cuisine - Structure et planches - Façades &amp; côtés apparents CCTB 01.10</w:t>
      </w:r>
      <w:bookmarkEnd w:id="1686"/>
    </w:p>
    <w:p w14:paraId="09EA0064" w14:textId="77777777" w:rsidR="004B2808" w:rsidRDefault="00000000">
      <w:pPr>
        <w:pStyle w:val="pheading"/>
      </w:pPr>
      <w:r>
        <w:t>DESCRIPTION</w:t>
      </w:r>
    </w:p>
    <w:p w14:paraId="711DC59B" w14:textId="77777777" w:rsidR="004B2808" w:rsidRDefault="00000000">
      <w:pPr>
        <w:pStyle w:val="pheading"/>
      </w:pPr>
      <w:r>
        <w:t>- Localisation</w:t>
      </w:r>
    </w:p>
    <w:p w14:paraId="1E32BDE0" w14:textId="77777777" w:rsidR="004B2808" w:rsidRDefault="00000000">
      <w:pPr>
        <w:pStyle w:val="heading"/>
      </w:pPr>
      <w:r>
        <w:t>Description des armoires</w:t>
      </w:r>
    </w:p>
    <w:p w14:paraId="1BAB09E0" w14:textId="77777777" w:rsidR="004B2808" w:rsidRDefault="00000000">
      <w:r>
        <w:lastRenderedPageBreak/>
        <w:t>(voir les plans détaillés par type joints en annexe)</w:t>
      </w:r>
    </w:p>
    <w:p w14:paraId="0BA6A581" w14:textId="77777777" w:rsidR="004B2808" w:rsidRDefault="00000000">
      <w:pPr>
        <w:pStyle w:val="Author-eListParagraph"/>
        <w:numPr>
          <w:ilvl w:val="0"/>
          <w:numId w:val="1567"/>
        </w:numPr>
      </w:pPr>
      <w:r>
        <w:t xml:space="preserve">Ensemble d'armoires suspendues composé de </w:t>
      </w:r>
      <w:r>
        <w:rPr>
          <w:rStyle w:val="optioncarChar"/>
        </w:rPr>
        <w:t xml:space="preserve">*** </w:t>
      </w:r>
    </w:p>
    <w:p w14:paraId="1327F226" w14:textId="77777777" w:rsidR="004B2808" w:rsidRDefault="00000000">
      <w:pPr>
        <w:pStyle w:val="Author-eListParagraph"/>
        <w:numPr>
          <w:ilvl w:val="0"/>
          <w:numId w:val="1567"/>
        </w:numPr>
      </w:pPr>
      <w:r>
        <w:t xml:space="preserve">Ensemble d'armoires colonnes composé de </w:t>
      </w:r>
      <w:r>
        <w:rPr>
          <w:rStyle w:val="optioncarChar"/>
        </w:rPr>
        <w:t xml:space="preserve">*** </w:t>
      </w:r>
    </w:p>
    <w:p w14:paraId="7E815CB0" w14:textId="77777777" w:rsidR="004B2808" w:rsidRDefault="00000000">
      <w:pPr>
        <w:pStyle w:val="Author-eListParagraph"/>
        <w:numPr>
          <w:ilvl w:val="0"/>
          <w:numId w:val="1567"/>
        </w:numPr>
      </w:pPr>
      <w:r>
        <w:t xml:space="preserve">Ensemble d'armoires de base composé de </w:t>
      </w:r>
      <w:r>
        <w:rPr>
          <w:rStyle w:val="optioncarChar"/>
        </w:rPr>
        <w:t>***</w:t>
      </w:r>
    </w:p>
    <w:p w14:paraId="43CDD7AE" w14:textId="77777777" w:rsidR="004B2808" w:rsidRDefault="00000000">
      <w:pPr>
        <w:pStyle w:val="pheading"/>
      </w:pPr>
      <w:r>
        <w:t>MATÉRIAUX</w:t>
      </w:r>
    </w:p>
    <w:p w14:paraId="4AD7FEE9" w14:textId="77777777" w:rsidR="004B2808" w:rsidRDefault="00000000">
      <w:pPr>
        <w:pStyle w:val="pheading"/>
      </w:pPr>
      <w:r>
        <w:t>- Caractéristiques générales</w:t>
      </w:r>
    </w:p>
    <w:p w14:paraId="5B5AFC2C" w14:textId="77777777" w:rsidR="004B2808" w:rsidRDefault="00000000">
      <w:pPr>
        <w:pStyle w:val="heading"/>
      </w:pPr>
      <w:r>
        <w:t>Spécifications </w:t>
      </w:r>
    </w:p>
    <w:p w14:paraId="4C89016B" w14:textId="77777777" w:rsidR="004B2808" w:rsidRDefault="00000000">
      <w:pPr>
        <w:pStyle w:val="Author-eListParagraph"/>
        <w:numPr>
          <w:ilvl w:val="0"/>
          <w:numId w:val="1568"/>
        </w:numPr>
      </w:pPr>
      <w:r>
        <w:t xml:space="preserve">Matériau : </w:t>
      </w:r>
      <w:r>
        <w:rPr>
          <w:rStyle w:val="optioncarChar"/>
        </w:rPr>
        <w:t>MDF </w:t>
      </w:r>
      <w:r>
        <w:t>(par défaut)</w:t>
      </w:r>
      <w:r>
        <w:rPr>
          <w:rStyle w:val="optioncarChar"/>
        </w:rPr>
        <w:t xml:space="preserve"> / Panneaux de bois agglomérés / contreplaqué bouleau / *** </w:t>
      </w:r>
      <w:r>
        <w:t xml:space="preserve">, épaisseur </w:t>
      </w:r>
      <w:r>
        <w:rPr>
          <w:rStyle w:val="optioncarChar"/>
        </w:rPr>
        <w:t>18</w:t>
      </w:r>
      <w:r>
        <w:t> (par défaut)</w:t>
      </w:r>
      <w:r>
        <w:rPr>
          <w:rStyle w:val="optioncarChar"/>
        </w:rPr>
        <w:t> / ***  </w:t>
      </w:r>
      <w:r>
        <w:t>mm</w:t>
      </w:r>
    </w:p>
    <w:p w14:paraId="3F08531E" w14:textId="77777777" w:rsidR="004B2808" w:rsidRDefault="00000000">
      <w:pPr>
        <w:pStyle w:val="Author-eListParagraph"/>
        <w:numPr>
          <w:ilvl w:val="0"/>
          <w:numId w:val="1568"/>
        </w:numPr>
      </w:pPr>
      <w:r>
        <w:t xml:space="preserve">Coloris : </w:t>
      </w:r>
      <w:r>
        <w:rPr>
          <w:rStyle w:val="optioncarChar"/>
        </w:rPr>
        <w:t>blanc </w:t>
      </w:r>
      <w:r>
        <w:t>(par défaut)</w:t>
      </w:r>
      <w:r>
        <w:rPr>
          <w:rStyle w:val="optioncarChar"/>
        </w:rPr>
        <w:t xml:space="preserve"> / à choisir dans la gamme de couleurs standard du fabricant / ***</w:t>
      </w:r>
      <w:r>
        <w:t>.</w:t>
      </w:r>
    </w:p>
    <w:p w14:paraId="3D69794B" w14:textId="77777777" w:rsidR="004B2808" w:rsidRDefault="00000000">
      <w:pPr>
        <w:pStyle w:val="Author-eListParagraph"/>
        <w:numPr>
          <w:ilvl w:val="0"/>
          <w:numId w:val="1568"/>
        </w:numPr>
      </w:pPr>
      <w:r>
        <w:t>Finition des panneaux de façade :</w:t>
      </w:r>
    </w:p>
    <w:p w14:paraId="125F1275" w14:textId="77777777" w:rsidR="004B2808" w:rsidRDefault="00000000">
      <w:pPr>
        <w:ind w:left="454"/>
      </w:pPr>
      <w:r>
        <w:rPr>
          <w:b/>
        </w:rPr>
        <w:t>Choix opéré</w:t>
      </w:r>
      <w:r>
        <w:t xml:space="preserve"> : </w:t>
      </w:r>
      <w:r>
        <w:rPr>
          <w:rStyle w:val="optioncarChar"/>
        </w:rPr>
        <w:t>*** / OPTION1</w:t>
      </w:r>
      <w:r>
        <w:t> (par défaut) </w:t>
      </w:r>
      <w:r>
        <w:rPr>
          <w:rStyle w:val="optioncarChar"/>
        </w:rPr>
        <w:t>/OPTION 2 / OPTION 3 / OPTION 4</w:t>
      </w:r>
    </w:p>
    <w:p w14:paraId="6453CEAB" w14:textId="77777777" w:rsidR="004B2808" w:rsidRDefault="00000000">
      <w:pPr>
        <w:ind w:left="454"/>
      </w:pPr>
      <w:r>
        <w:br/>
      </w:r>
      <w:r>
        <w:rPr>
          <w:b/>
        </w:rPr>
        <w:t>***OPTION 1 (par défaut)</w:t>
      </w:r>
      <w:r>
        <w:t xml:space="preserve">: mélaminé. Chants : feuille en matière synthétique, épaisseur min. 0,2 mm / listel acrylique, épaisseur min. 2 mm. </w:t>
      </w:r>
      <w:r>
        <w:br/>
      </w:r>
      <w:r>
        <w:rPr>
          <w:b/>
        </w:rPr>
        <w:t>***OPTION 2</w:t>
      </w:r>
      <w:r>
        <w:t xml:space="preserve"> : plaque de stratifié haute pression, classe HPL-EN 438 VGS ou S 232, épaisseur </w:t>
      </w:r>
      <w:r>
        <w:rPr>
          <w:rStyle w:val="optioncarChar"/>
        </w:rPr>
        <w:t>0,8</w:t>
      </w:r>
      <w:r>
        <w:t> (par défaut) </w:t>
      </w:r>
      <w:r>
        <w:rPr>
          <w:rStyle w:val="optioncarChar"/>
        </w:rPr>
        <w:t>/ ***</w:t>
      </w:r>
      <w:r>
        <w:t xml:space="preserve"> mm. Chants : listel acrylique, épaisseur min. 2mm. </w:t>
      </w:r>
      <w:r>
        <w:br/>
      </w:r>
      <w:r>
        <w:rPr>
          <w:b/>
        </w:rPr>
        <w:t>***OPTION 3</w:t>
      </w:r>
      <w:r>
        <w:t xml:space="preserve"> : plaque de stratifié haute pression, classe HPL-EN 438 VGP ou P 222, épaisseur </w:t>
      </w:r>
      <w:r>
        <w:rPr>
          <w:rStyle w:val="optioncarChar"/>
        </w:rPr>
        <w:t>0,8 </w:t>
      </w:r>
      <w:r>
        <w:t>(par défaut) </w:t>
      </w:r>
      <w:r>
        <w:rPr>
          <w:rStyle w:val="optioncarChar"/>
        </w:rPr>
        <w:t>/ ***</w:t>
      </w:r>
      <w:r>
        <w:t xml:space="preserve"> mm. </w:t>
      </w:r>
      <w:r>
        <w:br/>
      </w:r>
      <w:r>
        <w:rPr>
          <w:b/>
        </w:rPr>
        <w:t xml:space="preserve">***OPTION 4 </w:t>
      </w:r>
      <w:r>
        <w:t>:</w:t>
      </w:r>
      <w:r>
        <w:rPr>
          <w:rStyle w:val="optioncarChar"/>
        </w:rPr>
        <w:t> à peindre </w:t>
      </w:r>
      <w:r>
        <w:t>(par défaut)</w:t>
      </w:r>
      <w:r>
        <w:rPr>
          <w:rStyle w:val="optioncarChar"/>
        </w:rPr>
        <w:t xml:space="preserve"> / vernir en deux couches</w:t>
      </w:r>
      <w:r>
        <w:t xml:space="preserve">, selon l'article </w:t>
      </w:r>
      <w:r>
        <w:rPr>
          <w:rStyle w:val="optioncarChar"/>
          <w:shd w:val="clear" w:color="auto" w:fill="FFFFFF"/>
        </w:rPr>
        <w:t>*** </w:t>
      </w:r>
    </w:p>
    <w:p w14:paraId="7E2C70DA" w14:textId="77777777" w:rsidR="004B2808" w:rsidRDefault="00000000">
      <w:pPr>
        <w:pStyle w:val="pheading"/>
      </w:pPr>
      <w:r>
        <w:t>MESURAGE</w:t>
      </w:r>
    </w:p>
    <w:p w14:paraId="09F24945" w14:textId="77777777" w:rsidR="004B2808" w:rsidRDefault="00000000">
      <w:r>
        <w:t>Conformément à la nature des aménagements de cuisine prévus, les indications spécifiques dans le cahier spécial des charges et/ou le métré récapitulatif, le mesurage doit en principe être conçu comme suit :</w:t>
      </w:r>
    </w:p>
    <w:p w14:paraId="2EF1891A" w14:textId="77777777" w:rsidR="004B2808" w:rsidRDefault="00000000">
      <w:pPr>
        <w:pStyle w:val="pheading"/>
      </w:pPr>
      <w:r>
        <w:t>- unité de mesure:</w:t>
      </w:r>
    </w:p>
    <w:p w14:paraId="0325644B" w14:textId="77777777" w:rsidR="004B2808" w:rsidRDefault="00000000">
      <w:r>
        <w:rPr>
          <w:rStyle w:val="optioncarChar"/>
        </w:rPr>
        <w:t xml:space="preserve">p </w:t>
      </w:r>
      <w:r>
        <w:t>(par défaut) </w:t>
      </w:r>
      <w:r>
        <w:rPr>
          <w:rStyle w:val="optioncarChar"/>
        </w:rPr>
        <w:t>/ m / ***</w:t>
      </w:r>
    </w:p>
    <w:p w14:paraId="4C854D6A" w14:textId="77777777" w:rsidR="004B2808" w:rsidRDefault="00000000">
      <w:pPr>
        <w:pStyle w:val="pheading"/>
      </w:pPr>
      <w:r>
        <w:t>- code de mesurage:</w:t>
      </w:r>
    </w:p>
    <w:p w14:paraId="30F7AFE1" w14:textId="77777777" w:rsidR="004B2808" w:rsidRDefault="00000000">
      <w:r>
        <w:rPr>
          <w:color w:val="FF0000"/>
        </w:rPr>
        <w:t>selon le type de cuisine</w:t>
      </w:r>
      <w:r>
        <w:t> (par défaut)</w:t>
      </w:r>
      <w:r>
        <w:rPr>
          <w:color w:val="FF0000"/>
        </w:rPr>
        <w:t xml:space="preserve"> / en fonction du type d'armoire : colonne, armoire basse, armoire suspendue / ***</w:t>
      </w:r>
      <w:r>
        <w:t>.</w:t>
      </w:r>
    </w:p>
    <w:p w14:paraId="29232973" w14:textId="77777777" w:rsidR="004B2808" w:rsidRDefault="00000000">
      <w:pPr>
        <w:pStyle w:val="pheading"/>
      </w:pPr>
      <w:r>
        <w:t>- nature du marché:</w:t>
      </w:r>
    </w:p>
    <w:p w14:paraId="44F9EB08" w14:textId="77777777" w:rsidR="004B2808" w:rsidRDefault="00000000">
      <w:r>
        <w:rPr>
          <w:rStyle w:val="optioncarChar"/>
        </w:rPr>
        <w:t>QF</w:t>
      </w:r>
      <w:r>
        <w:t> (par défaut)</w:t>
      </w:r>
      <w:r>
        <w:rPr>
          <w:rStyle w:val="optioncarChar"/>
        </w:rPr>
        <w:t> / ***</w:t>
      </w:r>
    </w:p>
    <w:p w14:paraId="42BA6BF8" w14:textId="77777777" w:rsidR="004B2808" w:rsidRDefault="00000000">
      <w:pPr>
        <w:pStyle w:val="Author-eSectionHeading5Numberless"/>
      </w:pPr>
      <w:bookmarkStart w:id="1687" w:name="_Toc220491772"/>
      <w:r>
        <w:t>58.11.3 Mobilier de cuisine - Structure et planches - Planches intérieures CCTB 01.02</w:t>
      </w:r>
      <w:bookmarkEnd w:id="1687"/>
    </w:p>
    <w:p w14:paraId="04CCEFAD" w14:textId="77777777" w:rsidR="004B2808" w:rsidRDefault="00000000">
      <w:pPr>
        <w:pStyle w:val="Author-eSectionHeading6Numberless"/>
      </w:pPr>
      <w:bookmarkStart w:id="1688" w:name="_Toc220491773"/>
      <w:r>
        <w:t>58.11.3a Mobilier de cuisine - Structure et planches - Planches intérieures CCTB 01.10</w:t>
      </w:r>
      <w:bookmarkEnd w:id="1688"/>
    </w:p>
    <w:p w14:paraId="45136683" w14:textId="77777777" w:rsidR="004B2808" w:rsidRDefault="00000000">
      <w:pPr>
        <w:pStyle w:val="pheading"/>
      </w:pPr>
      <w:r>
        <w:t>DESCRIPTION</w:t>
      </w:r>
    </w:p>
    <w:p w14:paraId="14507EF1" w14:textId="77777777" w:rsidR="004B2808" w:rsidRDefault="00000000">
      <w:pPr>
        <w:pStyle w:val="pheading"/>
      </w:pPr>
      <w:r>
        <w:t>- Localisation</w:t>
      </w:r>
    </w:p>
    <w:p w14:paraId="6F22A4BC" w14:textId="77777777" w:rsidR="004B2808" w:rsidRDefault="00000000">
      <w:pPr>
        <w:pStyle w:val="heading"/>
      </w:pPr>
      <w:r>
        <w:t>Description des armoires</w:t>
      </w:r>
    </w:p>
    <w:p w14:paraId="1F16C18D" w14:textId="77777777" w:rsidR="004B2808" w:rsidRDefault="00000000">
      <w:r>
        <w:t>(voir les plans détaillés par type joints en annexe)</w:t>
      </w:r>
    </w:p>
    <w:p w14:paraId="470BFE70" w14:textId="77777777" w:rsidR="004B2808" w:rsidRDefault="00000000">
      <w:pPr>
        <w:pStyle w:val="Author-eListParagraph"/>
        <w:numPr>
          <w:ilvl w:val="0"/>
          <w:numId w:val="1569"/>
        </w:numPr>
      </w:pPr>
      <w:r>
        <w:t xml:space="preserve">Ensemble d'armoires suspendues composé de </w:t>
      </w:r>
      <w:r>
        <w:rPr>
          <w:rStyle w:val="optioncarChar"/>
        </w:rPr>
        <w:t xml:space="preserve">*** </w:t>
      </w:r>
    </w:p>
    <w:p w14:paraId="322CDBB7" w14:textId="77777777" w:rsidR="004B2808" w:rsidRDefault="00000000">
      <w:pPr>
        <w:pStyle w:val="Author-eListParagraph"/>
        <w:numPr>
          <w:ilvl w:val="0"/>
          <w:numId w:val="1569"/>
        </w:numPr>
      </w:pPr>
      <w:r>
        <w:t xml:space="preserve">Ensemble d'armoires colonnes composé de </w:t>
      </w:r>
      <w:r>
        <w:rPr>
          <w:rStyle w:val="optioncarChar"/>
        </w:rPr>
        <w:t xml:space="preserve">*** </w:t>
      </w:r>
    </w:p>
    <w:p w14:paraId="7DF5CAD3" w14:textId="77777777" w:rsidR="004B2808" w:rsidRDefault="00000000">
      <w:pPr>
        <w:pStyle w:val="Author-eListParagraph"/>
        <w:numPr>
          <w:ilvl w:val="0"/>
          <w:numId w:val="1569"/>
        </w:numPr>
      </w:pPr>
      <w:r>
        <w:t xml:space="preserve">Ensemble d'armoires de base composé de </w:t>
      </w:r>
      <w:r>
        <w:rPr>
          <w:rStyle w:val="optioncarChar"/>
        </w:rPr>
        <w:t>***</w:t>
      </w:r>
    </w:p>
    <w:p w14:paraId="59730E91" w14:textId="77777777" w:rsidR="004B2808" w:rsidRDefault="00000000">
      <w:pPr>
        <w:pStyle w:val="pheading"/>
      </w:pPr>
      <w:r>
        <w:lastRenderedPageBreak/>
        <w:t>MESURAGE</w:t>
      </w:r>
    </w:p>
    <w:p w14:paraId="2E02ABB7" w14:textId="77777777" w:rsidR="004B2808" w:rsidRDefault="00000000">
      <w:r>
        <w:t>Conformément à la nature des aménagements de cuisine prévus, les indications spécifiques dans le cahier spécial des charges et/ou le métré récapitulatif, le mesurage doit en principe être conçu comme suit :</w:t>
      </w:r>
    </w:p>
    <w:p w14:paraId="3782598E" w14:textId="77777777" w:rsidR="004B2808" w:rsidRDefault="00000000">
      <w:pPr>
        <w:pStyle w:val="pheading"/>
      </w:pPr>
      <w:r>
        <w:t>- unité de mesure:</w:t>
      </w:r>
    </w:p>
    <w:p w14:paraId="1EB280C4" w14:textId="77777777" w:rsidR="004B2808" w:rsidRDefault="00000000">
      <w:r>
        <w:rPr>
          <w:rStyle w:val="optioncarChar"/>
        </w:rPr>
        <w:t>p </w:t>
      </w:r>
      <w:r>
        <w:t>(par défaut)</w:t>
      </w:r>
      <w:r>
        <w:rPr>
          <w:rStyle w:val="optioncarChar"/>
        </w:rPr>
        <w:t xml:space="preserve"> / m / ***</w:t>
      </w:r>
    </w:p>
    <w:p w14:paraId="4102B36C" w14:textId="77777777" w:rsidR="004B2808" w:rsidRDefault="00000000">
      <w:pPr>
        <w:pStyle w:val="pheading"/>
      </w:pPr>
      <w:r>
        <w:t>- code de mesurage:</w:t>
      </w:r>
    </w:p>
    <w:p w14:paraId="1FAA165F" w14:textId="77777777" w:rsidR="004B2808" w:rsidRDefault="00000000">
      <w:pPr>
        <w:pStyle w:val="soit"/>
        <w:numPr>
          <w:ilvl w:val="0"/>
          <w:numId w:val="1570"/>
        </w:numPr>
      </w:pPr>
      <w:r>
        <w:rPr>
          <w:rStyle w:val="optioncarChar"/>
        </w:rPr>
        <w:t>*** /  selon le type de cuisine / en fonction du type d'armoire : colonne, armoire basse, armoire suspendue.</w:t>
      </w:r>
    </w:p>
    <w:p w14:paraId="5B28EFB6" w14:textId="77777777" w:rsidR="004B2808" w:rsidRDefault="00000000">
      <w:pPr>
        <w:pStyle w:val="pheading"/>
      </w:pPr>
      <w:r>
        <w:t>- nature du marché:</w:t>
      </w:r>
    </w:p>
    <w:p w14:paraId="4C80F19B" w14:textId="77777777" w:rsidR="004B2808" w:rsidRDefault="00000000">
      <w:r>
        <w:rPr>
          <w:rStyle w:val="optioncarChar"/>
        </w:rPr>
        <w:t> QF </w:t>
      </w:r>
      <w:r>
        <w:t>(par défaut) </w:t>
      </w:r>
      <w:r>
        <w:rPr>
          <w:rStyle w:val="optioncarChar"/>
        </w:rPr>
        <w:t>/ ***</w:t>
      </w:r>
    </w:p>
    <w:p w14:paraId="09C1B502" w14:textId="77777777" w:rsidR="004B2808" w:rsidRDefault="00000000">
      <w:pPr>
        <w:pStyle w:val="Author-eSectionHeading5Numberless"/>
      </w:pPr>
      <w:bookmarkStart w:id="1689" w:name="_Toc220491774"/>
      <w:r>
        <w:t>58.11.4 Mobilier de cuisine - Structure et planches - Structure complémentaire, y compris étagères CCTB 01.02</w:t>
      </w:r>
      <w:bookmarkEnd w:id="1689"/>
    </w:p>
    <w:p w14:paraId="6749BE34" w14:textId="77777777" w:rsidR="004B2808" w:rsidRDefault="00000000">
      <w:pPr>
        <w:pStyle w:val="Author-eSectionHeading6Numberless"/>
      </w:pPr>
      <w:bookmarkStart w:id="1690" w:name="_Toc220491775"/>
      <w:r>
        <w:t>58.11.4a Mobilier de cuisine - Structure et planches - Structure complémentaire, y compris étagères CCTB 01.10</w:t>
      </w:r>
      <w:bookmarkEnd w:id="1690"/>
    </w:p>
    <w:p w14:paraId="1312BEBD" w14:textId="77777777" w:rsidR="004B2808" w:rsidRDefault="00000000">
      <w:pPr>
        <w:pStyle w:val="pheading"/>
      </w:pPr>
      <w:r>
        <w:t>DESCRIPTION</w:t>
      </w:r>
    </w:p>
    <w:p w14:paraId="512C1713" w14:textId="77777777" w:rsidR="004B2808" w:rsidRDefault="00000000">
      <w:pPr>
        <w:pStyle w:val="pheading"/>
      </w:pPr>
      <w:r>
        <w:t>- Localisation</w:t>
      </w:r>
    </w:p>
    <w:p w14:paraId="237E1982" w14:textId="77777777" w:rsidR="004B2808" w:rsidRDefault="00000000">
      <w:pPr>
        <w:pStyle w:val="heading"/>
      </w:pPr>
      <w:r>
        <w:t>Description des armoires</w:t>
      </w:r>
    </w:p>
    <w:p w14:paraId="37A54F64" w14:textId="77777777" w:rsidR="004B2808" w:rsidRDefault="00000000">
      <w:r>
        <w:t>(voir les plans détaillés par type joints en annexe)</w:t>
      </w:r>
    </w:p>
    <w:p w14:paraId="5BE38DE3" w14:textId="77777777" w:rsidR="004B2808" w:rsidRDefault="00000000">
      <w:pPr>
        <w:pStyle w:val="Author-eListParagraph"/>
        <w:numPr>
          <w:ilvl w:val="0"/>
          <w:numId w:val="1571"/>
        </w:numPr>
      </w:pPr>
      <w:r>
        <w:t xml:space="preserve">Ensemble d'armoires suspendues composé de </w:t>
      </w:r>
      <w:r>
        <w:rPr>
          <w:rStyle w:val="optioncarChar"/>
        </w:rPr>
        <w:t xml:space="preserve">*** </w:t>
      </w:r>
    </w:p>
    <w:p w14:paraId="43C72025" w14:textId="77777777" w:rsidR="004B2808" w:rsidRDefault="00000000">
      <w:pPr>
        <w:pStyle w:val="Author-eListParagraph"/>
        <w:numPr>
          <w:ilvl w:val="0"/>
          <w:numId w:val="1571"/>
        </w:numPr>
      </w:pPr>
      <w:r>
        <w:t xml:space="preserve">Ensemble d'armoires colonnes composé de </w:t>
      </w:r>
      <w:r>
        <w:rPr>
          <w:rStyle w:val="optioncarChar"/>
        </w:rPr>
        <w:t xml:space="preserve">*** </w:t>
      </w:r>
    </w:p>
    <w:p w14:paraId="49290DBF" w14:textId="77777777" w:rsidR="004B2808" w:rsidRDefault="00000000">
      <w:pPr>
        <w:pStyle w:val="Author-eListParagraph"/>
        <w:numPr>
          <w:ilvl w:val="0"/>
          <w:numId w:val="1571"/>
        </w:numPr>
      </w:pPr>
      <w:r>
        <w:t xml:space="preserve">Ensemble d'armoires de base composé de </w:t>
      </w:r>
      <w:r>
        <w:rPr>
          <w:rStyle w:val="optioncarChar"/>
        </w:rPr>
        <w:t>***</w:t>
      </w:r>
    </w:p>
    <w:p w14:paraId="47013E37" w14:textId="77777777" w:rsidR="004B2808" w:rsidRDefault="00000000">
      <w:pPr>
        <w:pStyle w:val="pheading"/>
      </w:pPr>
      <w:r>
        <w:t>MESURAGE</w:t>
      </w:r>
    </w:p>
    <w:p w14:paraId="15BC980E" w14:textId="77777777" w:rsidR="004B2808" w:rsidRDefault="00000000">
      <w:r>
        <w:t>Conformément à la nature des aménagements de cuisine prévus, les indications spécifiques dans le cahier spécial des charges et/ou le métré récapitulatif, le mesurage doit en principe être conçu comme suit :</w:t>
      </w:r>
    </w:p>
    <w:p w14:paraId="7F21FCEA" w14:textId="77777777" w:rsidR="004B2808" w:rsidRDefault="00000000">
      <w:pPr>
        <w:pStyle w:val="pheading"/>
      </w:pPr>
      <w:r>
        <w:t>- unité de mesure:</w:t>
      </w:r>
    </w:p>
    <w:p w14:paraId="55F0A72D" w14:textId="77777777" w:rsidR="004B2808" w:rsidRDefault="00000000">
      <w:r>
        <w:rPr>
          <w:rStyle w:val="optioncarChar"/>
        </w:rPr>
        <w:t>p </w:t>
      </w:r>
      <w:r>
        <w:t>(par défaut)</w:t>
      </w:r>
      <w:r>
        <w:rPr>
          <w:rStyle w:val="optioncarChar"/>
        </w:rPr>
        <w:t xml:space="preserve"> / m / ***</w:t>
      </w:r>
    </w:p>
    <w:p w14:paraId="0C4A4118" w14:textId="77777777" w:rsidR="004B2808" w:rsidRDefault="00000000">
      <w:pPr>
        <w:pStyle w:val="pheading"/>
      </w:pPr>
      <w:r>
        <w:t>- code de mesurage:</w:t>
      </w:r>
    </w:p>
    <w:p w14:paraId="17AFDDBC" w14:textId="77777777" w:rsidR="004B2808" w:rsidRDefault="00000000">
      <w:r>
        <w:rPr>
          <w:color w:val="FF0000"/>
        </w:rPr>
        <w:t>selon le type de cuisine </w:t>
      </w:r>
      <w:r>
        <w:t>(par défaut)</w:t>
      </w:r>
      <w:r>
        <w:rPr>
          <w:color w:val="FF0000"/>
        </w:rPr>
        <w:t xml:space="preserve"> / en fonction du type d'armoire : colonne, armoire basse, armoire suspendue / ***.</w:t>
      </w:r>
    </w:p>
    <w:p w14:paraId="50DA289F" w14:textId="77777777" w:rsidR="004B2808" w:rsidRDefault="00000000">
      <w:pPr>
        <w:pStyle w:val="pheading"/>
      </w:pPr>
      <w:r>
        <w:t>- nature du marché:</w:t>
      </w:r>
    </w:p>
    <w:p w14:paraId="5C5545DC" w14:textId="77777777" w:rsidR="004B2808" w:rsidRDefault="00000000">
      <w:r>
        <w:rPr>
          <w:rStyle w:val="optioncarChar"/>
        </w:rPr>
        <w:t>QF </w:t>
      </w:r>
      <w:r>
        <w:t>(par défaut)</w:t>
      </w:r>
      <w:r>
        <w:rPr>
          <w:rStyle w:val="optioncarChar"/>
        </w:rPr>
        <w:t> / ***</w:t>
      </w:r>
    </w:p>
    <w:p w14:paraId="4E65EA8E" w14:textId="77777777" w:rsidR="004B2808" w:rsidRDefault="00000000">
      <w:pPr>
        <w:pStyle w:val="Author-eSectionHeading4Numberless"/>
      </w:pPr>
      <w:bookmarkStart w:id="1691" w:name="_Toc220491776"/>
      <w:r>
        <w:t>58.12 Mobilier de cuisine - Portes / Tiroirs / Caissons CCTB 01.02</w:t>
      </w:r>
      <w:bookmarkEnd w:id="1691"/>
    </w:p>
    <w:p w14:paraId="36E41710" w14:textId="77777777" w:rsidR="004B2808" w:rsidRDefault="00000000">
      <w:pPr>
        <w:pStyle w:val="Author-eSectionHeading5Numberless"/>
      </w:pPr>
      <w:bookmarkStart w:id="1692" w:name="_Toc220491777"/>
      <w:r>
        <w:t>58.12.1 Mobilier de cuisine - Portes CCTB 01.02</w:t>
      </w:r>
      <w:bookmarkEnd w:id="1692"/>
    </w:p>
    <w:p w14:paraId="6755939B" w14:textId="77777777" w:rsidR="004B2808" w:rsidRDefault="00000000">
      <w:pPr>
        <w:pStyle w:val="Author-eSectionHeading6Numberless"/>
      </w:pPr>
      <w:bookmarkStart w:id="1693" w:name="_Toc220491778"/>
      <w:r>
        <w:t>58.12.1a Mobilier de cuisine - Portes CCTB 01.10</w:t>
      </w:r>
      <w:bookmarkEnd w:id="1693"/>
    </w:p>
    <w:p w14:paraId="590C967F" w14:textId="77777777" w:rsidR="004B2808" w:rsidRDefault="00000000">
      <w:pPr>
        <w:pStyle w:val="pheading"/>
      </w:pPr>
      <w:r>
        <w:t>DESCRIPTION</w:t>
      </w:r>
    </w:p>
    <w:p w14:paraId="52F66346" w14:textId="77777777" w:rsidR="004B2808" w:rsidRDefault="00000000">
      <w:pPr>
        <w:pStyle w:val="pheading"/>
      </w:pPr>
      <w:r>
        <w:t>- Localisation</w:t>
      </w:r>
    </w:p>
    <w:p w14:paraId="514B45CD" w14:textId="77777777" w:rsidR="004B2808" w:rsidRDefault="00000000">
      <w:pPr>
        <w:pStyle w:val="heading"/>
      </w:pPr>
      <w:r>
        <w:t>Description des armoires</w:t>
      </w:r>
    </w:p>
    <w:p w14:paraId="4FC1AD5A" w14:textId="77777777" w:rsidR="004B2808" w:rsidRDefault="00000000">
      <w:r>
        <w:lastRenderedPageBreak/>
        <w:t>(voir les plans détaillés par type joints en annexe)</w:t>
      </w:r>
    </w:p>
    <w:p w14:paraId="54243467" w14:textId="77777777" w:rsidR="004B2808" w:rsidRDefault="00000000">
      <w:pPr>
        <w:pStyle w:val="Author-eListParagraph"/>
        <w:numPr>
          <w:ilvl w:val="0"/>
          <w:numId w:val="1572"/>
        </w:numPr>
      </w:pPr>
      <w:r>
        <w:t xml:space="preserve">Ensemble d'armoires suspendues composé de </w:t>
      </w:r>
      <w:r>
        <w:rPr>
          <w:rStyle w:val="optioncarChar"/>
        </w:rPr>
        <w:t xml:space="preserve">*** </w:t>
      </w:r>
    </w:p>
    <w:p w14:paraId="0BFB440A" w14:textId="77777777" w:rsidR="004B2808" w:rsidRDefault="00000000">
      <w:pPr>
        <w:pStyle w:val="Author-eListParagraph"/>
        <w:numPr>
          <w:ilvl w:val="0"/>
          <w:numId w:val="1572"/>
        </w:numPr>
      </w:pPr>
      <w:r>
        <w:t xml:space="preserve">Ensemble d'armoires colonnes composé de </w:t>
      </w:r>
      <w:r>
        <w:rPr>
          <w:rStyle w:val="optioncarChar"/>
        </w:rPr>
        <w:t xml:space="preserve">*** </w:t>
      </w:r>
    </w:p>
    <w:p w14:paraId="416DE755" w14:textId="77777777" w:rsidR="004B2808" w:rsidRDefault="00000000">
      <w:pPr>
        <w:pStyle w:val="Author-eListParagraph"/>
        <w:numPr>
          <w:ilvl w:val="0"/>
          <w:numId w:val="1572"/>
        </w:numPr>
      </w:pPr>
      <w:r>
        <w:t xml:space="preserve">Ensemble d'armoires de base composé de </w:t>
      </w:r>
      <w:r>
        <w:rPr>
          <w:rStyle w:val="optioncarChar"/>
        </w:rPr>
        <w:t>***</w:t>
      </w:r>
      <w:r>
        <w:t xml:space="preserve">   </w:t>
      </w:r>
    </w:p>
    <w:p w14:paraId="30508E75" w14:textId="77777777" w:rsidR="004B2808" w:rsidRDefault="00000000">
      <w:pPr>
        <w:pStyle w:val="pheading"/>
      </w:pPr>
      <w:r>
        <w:t>MATÉRIAUX</w:t>
      </w:r>
    </w:p>
    <w:p w14:paraId="1D75EB88" w14:textId="77777777" w:rsidR="004B2808" w:rsidRDefault="00000000">
      <w:pPr>
        <w:pStyle w:val="pheading"/>
      </w:pPr>
      <w:r>
        <w:t>- Prescriptions complémentaires</w:t>
      </w:r>
    </w:p>
    <w:p w14:paraId="4FD98FC1" w14:textId="77777777" w:rsidR="004B2808" w:rsidRDefault="00000000">
      <w:r>
        <w:t>Le postforming des portes d'armoires est:</w:t>
      </w:r>
    </w:p>
    <w:p w14:paraId="686CC6A9" w14:textId="77777777" w:rsidR="004B2808" w:rsidRDefault="00000000">
      <w:pPr>
        <w:ind w:left="450"/>
      </w:pPr>
      <w:r>
        <w:rPr>
          <w:b/>
        </w:rPr>
        <w:t xml:space="preserve">Choix opéré </w:t>
      </w:r>
      <w:r>
        <w:t>: </w:t>
      </w:r>
      <w:r>
        <w:rPr>
          <w:rStyle w:val="optioncarChar"/>
        </w:rPr>
        <w:t>*** / OPTION 1 (horizontal) </w:t>
      </w:r>
      <w:r>
        <w:t>(par défaut)</w:t>
      </w:r>
      <w:r>
        <w:rPr>
          <w:rStyle w:val="optioncarChar"/>
        </w:rPr>
        <w:t xml:space="preserve"> / OPTION 2 (vertical) </w:t>
      </w:r>
      <w:r>
        <w:br/>
      </w:r>
      <w:r>
        <w:rPr>
          <w:b/>
        </w:rPr>
        <w:t>***OPTION 1 (par défaut)</w:t>
      </w:r>
      <w:r>
        <w:t xml:space="preserve"> : horizontal sur   </w:t>
      </w:r>
      <w:r>
        <w:rPr>
          <w:rStyle w:val="optioncarChar"/>
        </w:rPr>
        <w:t>90° </w:t>
      </w:r>
      <w:r>
        <w:t xml:space="preserve">(par défaut) </w:t>
      </w:r>
      <w:r>
        <w:rPr>
          <w:rStyle w:val="optioncarChar"/>
        </w:rPr>
        <w:t>/ 180° / ***</w:t>
      </w:r>
      <w:r>
        <w:t xml:space="preserve"> sur toute l'épaisseur </w:t>
      </w:r>
      <w:r>
        <w:br/>
      </w:r>
      <w:r>
        <w:rPr>
          <w:b/>
        </w:rPr>
        <w:t>***OPTION 2</w:t>
      </w:r>
      <w:r>
        <w:t xml:space="preserve"> : vertical sur 90°</w:t>
      </w:r>
    </w:p>
    <w:p w14:paraId="300E42A6" w14:textId="77777777" w:rsidR="004B2808" w:rsidRDefault="00000000">
      <w:pPr>
        <w:pStyle w:val="pheading"/>
      </w:pPr>
      <w:r>
        <w:t>MESURAGE</w:t>
      </w:r>
    </w:p>
    <w:p w14:paraId="2E1F9A72" w14:textId="77777777" w:rsidR="004B2808" w:rsidRDefault="00000000">
      <w:r>
        <w:t>Conformément à la nature des aménagements de cuisine prévus, les indications spécifiques dans le cahier spécial des charges et/ou le métré récapitulatif, le mesurage doit en principe être conçu comme suit :</w:t>
      </w:r>
    </w:p>
    <w:p w14:paraId="0D74CD7A" w14:textId="77777777" w:rsidR="004B2808" w:rsidRDefault="00000000">
      <w:pPr>
        <w:pStyle w:val="pheading"/>
      </w:pPr>
      <w:r>
        <w:t>- unité de mesure:</w:t>
      </w:r>
    </w:p>
    <w:p w14:paraId="54FB6E6D" w14:textId="77777777" w:rsidR="004B2808" w:rsidRDefault="00000000">
      <w:r>
        <w:rPr>
          <w:rStyle w:val="optioncarChar"/>
        </w:rPr>
        <w:t>p </w:t>
      </w:r>
      <w:r>
        <w:t>(par défaut)</w:t>
      </w:r>
      <w:r>
        <w:rPr>
          <w:rStyle w:val="optioncarChar"/>
        </w:rPr>
        <w:t xml:space="preserve"> / m / ***</w:t>
      </w:r>
    </w:p>
    <w:p w14:paraId="4CC832C6" w14:textId="77777777" w:rsidR="004B2808" w:rsidRDefault="00000000">
      <w:pPr>
        <w:pStyle w:val="pheading"/>
      </w:pPr>
      <w:r>
        <w:t>- code de mesurage:</w:t>
      </w:r>
    </w:p>
    <w:p w14:paraId="3750B457" w14:textId="77777777" w:rsidR="004B2808" w:rsidRDefault="00000000">
      <w:r>
        <w:rPr>
          <w:rStyle w:val="optioncarChar"/>
        </w:rPr>
        <w:t>selon le type de cuisine </w:t>
      </w:r>
      <w:r>
        <w:t>(par défaut)</w:t>
      </w:r>
      <w:r>
        <w:rPr>
          <w:rStyle w:val="optioncarChar"/>
        </w:rPr>
        <w:t xml:space="preserve"> / en fonction du type d'armoire : colonne, armoire basse, armoire suspendue / *** .</w:t>
      </w:r>
    </w:p>
    <w:p w14:paraId="2E23425A" w14:textId="77777777" w:rsidR="004B2808" w:rsidRDefault="00000000">
      <w:pPr>
        <w:pStyle w:val="pheading"/>
      </w:pPr>
      <w:r>
        <w:t>- nature du marché:</w:t>
      </w:r>
    </w:p>
    <w:p w14:paraId="19B53AE2" w14:textId="77777777" w:rsidR="004B2808" w:rsidRDefault="00000000">
      <w:r>
        <w:rPr>
          <w:rStyle w:val="optioncarChar"/>
        </w:rPr>
        <w:t>QF </w:t>
      </w:r>
      <w:r>
        <w:t>(par défaut)</w:t>
      </w:r>
      <w:r>
        <w:rPr>
          <w:rStyle w:val="optioncarChar"/>
        </w:rPr>
        <w:t> / ***</w:t>
      </w:r>
    </w:p>
    <w:p w14:paraId="58A0AED1" w14:textId="77777777" w:rsidR="004B2808" w:rsidRDefault="00000000">
      <w:pPr>
        <w:pStyle w:val="Author-eSectionHeading5Numberless"/>
      </w:pPr>
      <w:bookmarkStart w:id="1694" w:name="_Toc220491779"/>
      <w:r>
        <w:t>58.12.2 Mobilier de cuisine - Tiroirs CCTB 01.02</w:t>
      </w:r>
      <w:bookmarkEnd w:id="1694"/>
    </w:p>
    <w:p w14:paraId="275F630A" w14:textId="77777777" w:rsidR="004B2808" w:rsidRDefault="00000000">
      <w:pPr>
        <w:pStyle w:val="pheading"/>
      </w:pPr>
      <w:r>
        <w:t>MATÉRIAUX</w:t>
      </w:r>
    </w:p>
    <w:p w14:paraId="11674BAE" w14:textId="77777777" w:rsidR="004B2808" w:rsidRDefault="00000000">
      <w:pPr>
        <w:pStyle w:val="heading"/>
      </w:pPr>
      <w:r>
        <w:t>Spécifications</w:t>
      </w:r>
    </w:p>
    <w:p w14:paraId="42CF0BE8" w14:textId="77777777" w:rsidR="004B2808" w:rsidRDefault="00000000">
      <w:pPr>
        <w:pStyle w:val="Author-eListParagraph"/>
        <w:numPr>
          <w:ilvl w:val="0"/>
          <w:numId w:val="1573"/>
        </w:numPr>
      </w:pPr>
      <w:r>
        <w:t xml:space="preserve"> Tiroirs coulissants : </w:t>
      </w:r>
    </w:p>
    <w:p w14:paraId="1C0897E1" w14:textId="77777777" w:rsidR="004B2808" w:rsidRDefault="00000000">
      <w:pPr>
        <w:ind w:left="450"/>
      </w:pPr>
      <w:r>
        <w:rPr>
          <w:b/>
        </w:rPr>
        <w:t>Choix opéré</w:t>
      </w:r>
      <w:r>
        <w:t xml:space="preserve"> : </w:t>
      </w:r>
      <w:r>
        <w:rPr>
          <w:rStyle w:val="optioncarChar"/>
        </w:rPr>
        <w:t>*** / OPTION 1 / OPTION 2</w:t>
      </w:r>
      <w:r>
        <w:br/>
      </w:r>
      <w:r>
        <w:rPr>
          <w:b/>
        </w:rPr>
        <w:t xml:space="preserve">***OPTION 1 </w:t>
      </w:r>
      <w:r>
        <w:t xml:space="preserve">: tiroirs préfabriqués constitués d'une combinaison de côtés en tôle métallique laquée et d'un fond en plaque d'aggloméré revêtu, de </w:t>
      </w:r>
      <w:r>
        <w:rPr>
          <w:rStyle w:val="optioncarChar"/>
        </w:rPr>
        <w:t>*** / 16 </w:t>
      </w:r>
      <w:r>
        <w:t xml:space="preserve">mm d'épaisseur. </w:t>
      </w:r>
      <w:r>
        <w:br/>
      </w:r>
      <w:r>
        <w:rPr>
          <w:b/>
        </w:rPr>
        <w:t>***OPTION 2</w:t>
      </w:r>
      <w:r>
        <w:t xml:space="preserve"> : panneaux de bois agglomérés, épaisseur </w:t>
      </w:r>
      <w:r>
        <w:rPr>
          <w:rStyle w:val="optioncarChar"/>
        </w:rPr>
        <w:t xml:space="preserve">*** / 16 / 18 </w:t>
      </w:r>
      <w:r>
        <w:t>. Finition :</w:t>
      </w:r>
      <w:r>
        <w:rPr>
          <w:rStyle w:val="optioncarChar"/>
        </w:rPr>
        <w:t xml:space="preserve"> *** / identique à celle de la structure de l'armoire / revêtement en PVC</w:t>
      </w:r>
      <w:r>
        <w:t xml:space="preserve">. Chants apparents : </w:t>
      </w:r>
      <w:r>
        <w:rPr>
          <w:rStyle w:val="optioncarChar"/>
        </w:rPr>
        <w:t>*** / bande en matière synthétique / revêtement en PVC</w:t>
      </w:r>
      <w:r>
        <w:t xml:space="preserve"> , épaisseur min. 0,2 mm .</w:t>
      </w:r>
    </w:p>
    <w:p w14:paraId="10B748FD" w14:textId="77777777" w:rsidR="004B2808" w:rsidRDefault="00000000">
      <w:pPr>
        <w:pStyle w:val="Author-eListParagraph"/>
        <w:numPr>
          <w:ilvl w:val="0"/>
          <w:numId w:val="1574"/>
        </w:numPr>
      </w:pPr>
      <w:r>
        <w:t>Coulisses :</w:t>
      </w:r>
      <w:r>
        <w:rPr>
          <w:rStyle w:val="optioncarChar"/>
        </w:rPr>
        <w:t xml:space="preserve"> *** / rainures en forme de U / coulisses télescopiques </w:t>
      </w:r>
    </w:p>
    <w:p w14:paraId="6277D8DE" w14:textId="77777777" w:rsidR="004B2808" w:rsidRDefault="00000000">
      <w:pPr>
        <w:pStyle w:val="Author-eListParagraph"/>
        <w:numPr>
          <w:ilvl w:val="0"/>
          <w:numId w:val="1574"/>
        </w:numPr>
      </w:pPr>
      <w:r>
        <w:t xml:space="preserve">Tiroirs à casseroles : </w:t>
      </w:r>
      <w:r>
        <w:rPr>
          <w:rStyle w:val="optioncarChar"/>
        </w:rPr>
        <w:t xml:space="preserve">*** / coulisses télescopiques </w:t>
      </w:r>
    </w:p>
    <w:p w14:paraId="2AC79703" w14:textId="77777777" w:rsidR="004B2808" w:rsidRDefault="00000000">
      <w:pPr>
        <w:pStyle w:val="Author-eSectionHeading6Numberless"/>
      </w:pPr>
      <w:bookmarkStart w:id="1695" w:name="_Toc220491780"/>
      <w:r>
        <w:t>58.12.2a Mobilier de cuisine - Tiroirs sur 2 rails CCTB 01.10</w:t>
      </w:r>
      <w:bookmarkEnd w:id="1695"/>
    </w:p>
    <w:p w14:paraId="45F92A2D" w14:textId="77777777" w:rsidR="004B2808" w:rsidRDefault="00000000">
      <w:pPr>
        <w:pStyle w:val="pheading"/>
      </w:pPr>
      <w:r>
        <w:t>DESCRIPTION</w:t>
      </w:r>
    </w:p>
    <w:p w14:paraId="02D3E342" w14:textId="77777777" w:rsidR="004B2808" w:rsidRDefault="00000000">
      <w:pPr>
        <w:pStyle w:val="pheading"/>
      </w:pPr>
      <w:r>
        <w:t>- Localisation</w:t>
      </w:r>
    </w:p>
    <w:p w14:paraId="15C20577" w14:textId="77777777" w:rsidR="004B2808" w:rsidRDefault="00000000">
      <w:pPr>
        <w:pStyle w:val="heading"/>
      </w:pPr>
      <w:r>
        <w:t>Description des armoires</w:t>
      </w:r>
    </w:p>
    <w:p w14:paraId="4F585955" w14:textId="77777777" w:rsidR="004B2808" w:rsidRDefault="00000000">
      <w:r>
        <w:t>(voir les plans détaillés par type joints en annexe)</w:t>
      </w:r>
    </w:p>
    <w:p w14:paraId="0B67FE14" w14:textId="77777777" w:rsidR="004B2808" w:rsidRDefault="00000000">
      <w:pPr>
        <w:pStyle w:val="Author-eListParagraph"/>
        <w:numPr>
          <w:ilvl w:val="0"/>
          <w:numId w:val="1575"/>
        </w:numPr>
      </w:pPr>
      <w:r>
        <w:t xml:space="preserve">Ensemble d'armoires suspendues composé de </w:t>
      </w:r>
      <w:r>
        <w:rPr>
          <w:rStyle w:val="optioncarChar"/>
        </w:rPr>
        <w:t xml:space="preserve">*** </w:t>
      </w:r>
    </w:p>
    <w:p w14:paraId="2F8B03D5" w14:textId="77777777" w:rsidR="004B2808" w:rsidRDefault="00000000">
      <w:pPr>
        <w:pStyle w:val="Author-eListParagraph"/>
        <w:numPr>
          <w:ilvl w:val="0"/>
          <w:numId w:val="1575"/>
        </w:numPr>
      </w:pPr>
      <w:r>
        <w:t xml:space="preserve">Ensemble d'armoires colonnes composé de </w:t>
      </w:r>
      <w:r>
        <w:rPr>
          <w:rStyle w:val="optioncarChar"/>
        </w:rPr>
        <w:t xml:space="preserve">*** </w:t>
      </w:r>
    </w:p>
    <w:p w14:paraId="031ECF8F" w14:textId="77777777" w:rsidR="004B2808" w:rsidRDefault="00000000">
      <w:pPr>
        <w:pStyle w:val="Author-eListParagraph"/>
        <w:numPr>
          <w:ilvl w:val="0"/>
          <w:numId w:val="1575"/>
        </w:numPr>
      </w:pPr>
      <w:r>
        <w:t xml:space="preserve">Ensemble d'armoires de base composé de </w:t>
      </w:r>
      <w:r>
        <w:rPr>
          <w:rStyle w:val="optioncarChar"/>
        </w:rPr>
        <w:t>***</w:t>
      </w:r>
      <w:r>
        <w:t xml:space="preserve">   </w:t>
      </w:r>
    </w:p>
    <w:p w14:paraId="500D57DF" w14:textId="77777777" w:rsidR="004B2808" w:rsidRDefault="00000000">
      <w:pPr>
        <w:pStyle w:val="pheading"/>
      </w:pPr>
      <w:r>
        <w:t>MATÉRIAUX</w:t>
      </w:r>
    </w:p>
    <w:p w14:paraId="2AF0E553" w14:textId="77777777" w:rsidR="004B2808" w:rsidRDefault="00000000">
      <w:pPr>
        <w:pStyle w:val="pheading"/>
      </w:pPr>
      <w:r>
        <w:lastRenderedPageBreak/>
        <w:t>- Prescriptions complémentaires</w:t>
      </w:r>
    </w:p>
    <w:p w14:paraId="769A6D6D" w14:textId="77777777" w:rsidR="004B2808" w:rsidRDefault="00000000">
      <w:r>
        <w:t xml:space="preserve">Façades postformées : </w:t>
      </w:r>
      <w:r>
        <w:rPr>
          <w:rStyle w:val="optioncarChar"/>
        </w:rPr>
        <w:t>horizontale</w:t>
      </w:r>
      <w:r>
        <w:t> (par défaut)</w:t>
      </w:r>
      <w:r>
        <w:rPr>
          <w:rStyle w:val="optioncarChar"/>
        </w:rPr>
        <w:t xml:space="preserve"> / verticale sur 90° / 180° sur toute l'épaisseur / *** </w:t>
      </w:r>
      <w:r>
        <w:t>.</w:t>
      </w:r>
      <w:r>
        <w:br/>
        <w:t xml:space="preserve">Chants visibles non postformés : </w:t>
      </w:r>
      <w:r>
        <w:rPr>
          <w:rStyle w:val="optioncarChar"/>
        </w:rPr>
        <w:t>bande de stratifié haute pression </w:t>
      </w:r>
      <w:r>
        <w:t>(par défaut)</w:t>
      </w:r>
      <w:r>
        <w:rPr>
          <w:rStyle w:val="optioncarChar"/>
        </w:rPr>
        <w:t xml:space="preserve"> / listel acrylique d'au moins 2 mm d'épaisseur / ***</w:t>
      </w:r>
      <w:r>
        <w:t>.</w:t>
      </w:r>
    </w:p>
    <w:p w14:paraId="1D64EB5B" w14:textId="77777777" w:rsidR="004B2808" w:rsidRDefault="00000000">
      <w:pPr>
        <w:pStyle w:val="pheading"/>
      </w:pPr>
      <w:r>
        <w:t>MESURAGE</w:t>
      </w:r>
    </w:p>
    <w:p w14:paraId="43A5C62B" w14:textId="77777777" w:rsidR="004B2808" w:rsidRDefault="00000000">
      <w:r>
        <w:t>Conformément à la nature des aménagements de cuisine prévus, les indications spécifiques dans le cahier spécial des charges et/ou le métré récapitulatif, le mesurage doit en principe être conçu comme suit :</w:t>
      </w:r>
    </w:p>
    <w:p w14:paraId="49B03DBB" w14:textId="77777777" w:rsidR="004B2808" w:rsidRDefault="00000000">
      <w:pPr>
        <w:pStyle w:val="pheading"/>
      </w:pPr>
      <w:r>
        <w:t>- unité de mesure:</w:t>
      </w:r>
    </w:p>
    <w:p w14:paraId="093D0E2C" w14:textId="77777777" w:rsidR="004B2808" w:rsidRDefault="00000000">
      <w:r>
        <w:rPr>
          <w:rStyle w:val="optioncarChar"/>
        </w:rPr>
        <w:t>p</w:t>
      </w:r>
      <w:r>
        <w:t> (par défaut)</w:t>
      </w:r>
      <w:r>
        <w:rPr>
          <w:rStyle w:val="optioncarChar"/>
        </w:rPr>
        <w:t> / m / ***</w:t>
      </w:r>
    </w:p>
    <w:p w14:paraId="06555C4B" w14:textId="77777777" w:rsidR="004B2808" w:rsidRDefault="00000000">
      <w:pPr>
        <w:pStyle w:val="pheading"/>
      </w:pPr>
      <w:r>
        <w:t>- code de mesurage:</w:t>
      </w:r>
    </w:p>
    <w:p w14:paraId="13C26677" w14:textId="77777777" w:rsidR="004B2808" w:rsidRDefault="00000000">
      <w:r>
        <w:rPr>
          <w:rStyle w:val="optioncarChar"/>
        </w:rPr>
        <w:t xml:space="preserve">selon le type de cuisine </w:t>
      </w:r>
      <w:r>
        <w:t>(par défaut) </w:t>
      </w:r>
      <w:r>
        <w:rPr>
          <w:rStyle w:val="optioncarChar"/>
        </w:rPr>
        <w:t>/ en fonction du type d'armoire : colonne, armoire basse, armoire suspendue / *** .</w:t>
      </w:r>
    </w:p>
    <w:p w14:paraId="23E1A612" w14:textId="77777777" w:rsidR="004B2808" w:rsidRDefault="00000000">
      <w:pPr>
        <w:pStyle w:val="pheading"/>
      </w:pPr>
      <w:r>
        <w:t>- nature du marché:</w:t>
      </w:r>
    </w:p>
    <w:p w14:paraId="22ACB4EB" w14:textId="77777777" w:rsidR="004B2808" w:rsidRDefault="00000000">
      <w:r>
        <w:rPr>
          <w:rStyle w:val="optioncarChar"/>
        </w:rPr>
        <w:t>QF </w:t>
      </w:r>
      <w:r>
        <w:t>(par défaut)</w:t>
      </w:r>
      <w:r>
        <w:rPr>
          <w:rStyle w:val="optioncarChar"/>
        </w:rPr>
        <w:t> / ***</w:t>
      </w:r>
    </w:p>
    <w:p w14:paraId="56A54D92" w14:textId="77777777" w:rsidR="004B2808" w:rsidRDefault="00000000">
      <w:pPr>
        <w:pStyle w:val="Author-eSectionHeading6Numberless"/>
      </w:pPr>
      <w:bookmarkStart w:id="1696" w:name="_Toc220491781"/>
      <w:r>
        <w:t>58.12.2b Mobilier de cuisine - Tiroirs spécifiques CCTB 01.10</w:t>
      </w:r>
      <w:bookmarkEnd w:id="1696"/>
    </w:p>
    <w:p w14:paraId="1E9DCEB4" w14:textId="77777777" w:rsidR="004B2808" w:rsidRDefault="00000000">
      <w:pPr>
        <w:pStyle w:val="pheading"/>
      </w:pPr>
      <w:r>
        <w:t>DESCRIPTION</w:t>
      </w:r>
    </w:p>
    <w:p w14:paraId="270FA21D" w14:textId="77777777" w:rsidR="004B2808" w:rsidRDefault="00000000">
      <w:pPr>
        <w:pStyle w:val="pheading"/>
      </w:pPr>
      <w:r>
        <w:t>- Localisation</w:t>
      </w:r>
    </w:p>
    <w:p w14:paraId="1DCAFA65" w14:textId="77777777" w:rsidR="004B2808" w:rsidRDefault="00000000">
      <w:pPr>
        <w:pStyle w:val="heading"/>
      </w:pPr>
      <w:r>
        <w:t>Description des armoires</w:t>
      </w:r>
    </w:p>
    <w:p w14:paraId="0EF4AF97" w14:textId="77777777" w:rsidR="004B2808" w:rsidRDefault="00000000">
      <w:r>
        <w:t>(voir les plans détaillés par type joints en annexe)</w:t>
      </w:r>
    </w:p>
    <w:p w14:paraId="5C00DE7D" w14:textId="77777777" w:rsidR="004B2808" w:rsidRDefault="00000000">
      <w:pPr>
        <w:pStyle w:val="Author-eListParagraph"/>
        <w:numPr>
          <w:ilvl w:val="0"/>
          <w:numId w:val="1576"/>
        </w:numPr>
      </w:pPr>
      <w:r>
        <w:t xml:space="preserve">Ensemble d'armoires suspendues composé de </w:t>
      </w:r>
      <w:r>
        <w:rPr>
          <w:rStyle w:val="optioncarChar"/>
        </w:rPr>
        <w:t xml:space="preserve">*** </w:t>
      </w:r>
    </w:p>
    <w:p w14:paraId="286448D0" w14:textId="77777777" w:rsidR="004B2808" w:rsidRDefault="00000000">
      <w:pPr>
        <w:pStyle w:val="Author-eListParagraph"/>
        <w:numPr>
          <w:ilvl w:val="0"/>
          <w:numId w:val="1576"/>
        </w:numPr>
      </w:pPr>
      <w:r>
        <w:t xml:space="preserve">Ensemble d'armoires colonnes composé de </w:t>
      </w:r>
      <w:r>
        <w:rPr>
          <w:rStyle w:val="optioncarChar"/>
        </w:rPr>
        <w:t xml:space="preserve">*** </w:t>
      </w:r>
    </w:p>
    <w:p w14:paraId="2A4A2084" w14:textId="77777777" w:rsidR="004B2808" w:rsidRDefault="00000000">
      <w:pPr>
        <w:pStyle w:val="Author-eListParagraph"/>
        <w:numPr>
          <w:ilvl w:val="0"/>
          <w:numId w:val="1576"/>
        </w:numPr>
      </w:pPr>
      <w:r>
        <w:t xml:space="preserve">Ensemble d'armoires de base composé de </w:t>
      </w:r>
      <w:r>
        <w:rPr>
          <w:rStyle w:val="optioncarChar"/>
        </w:rPr>
        <w:t>***</w:t>
      </w:r>
      <w:r>
        <w:t xml:space="preserve">   </w:t>
      </w:r>
    </w:p>
    <w:p w14:paraId="78CE3055" w14:textId="77777777" w:rsidR="004B2808" w:rsidRDefault="00000000">
      <w:pPr>
        <w:pStyle w:val="pheading"/>
      </w:pPr>
      <w:r>
        <w:t>MATÉRIAUX</w:t>
      </w:r>
    </w:p>
    <w:p w14:paraId="1921188E" w14:textId="77777777" w:rsidR="004B2808" w:rsidRDefault="00000000">
      <w:pPr>
        <w:pStyle w:val="pheading"/>
      </w:pPr>
      <w:r>
        <w:t>- Prescriptions complémentaires</w:t>
      </w:r>
    </w:p>
    <w:p w14:paraId="25B7B3D0" w14:textId="77777777" w:rsidR="004B2808" w:rsidRDefault="00000000">
      <w:r>
        <w:t xml:space="preserve">Façades postformées : </w:t>
      </w:r>
      <w:r>
        <w:rPr>
          <w:rStyle w:val="optioncarChar"/>
        </w:rPr>
        <w:t>horizontale</w:t>
      </w:r>
      <w:r>
        <w:t xml:space="preserve"> (par défaut) </w:t>
      </w:r>
      <w:r>
        <w:rPr>
          <w:rStyle w:val="optioncarChar"/>
        </w:rPr>
        <w:t>/ verticale sur 90° / 180° sur toute l'épaisseur / *** .</w:t>
      </w:r>
      <w:r>
        <w:br/>
        <w:t xml:space="preserve">Chants visibles non postformés : </w:t>
      </w:r>
      <w:r>
        <w:rPr>
          <w:rStyle w:val="optioncarChar"/>
        </w:rPr>
        <w:t>bande de stratifié haute pression</w:t>
      </w:r>
      <w:r>
        <w:t xml:space="preserve"> (par défaut)</w:t>
      </w:r>
      <w:r>
        <w:rPr>
          <w:rStyle w:val="optioncarChar"/>
        </w:rPr>
        <w:t> / listel acrylique d'au moins 2 mm d'épaisseur / ***.</w:t>
      </w:r>
    </w:p>
    <w:p w14:paraId="1379FD32" w14:textId="77777777" w:rsidR="004B2808" w:rsidRDefault="00000000">
      <w:pPr>
        <w:pStyle w:val="pheading"/>
      </w:pPr>
      <w:r>
        <w:t>MESURAGE</w:t>
      </w:r>
    </w:p>
    <w:p w14:paraId="49F31758" w14:textId="77777777" w:rsidR="004B2808" w:rsidRDefault="00000000">
      <w:r>
        <w:t>Conformément à la nature des aménagements de cuisine prévus, les indications spécifiques dans le cahier spécial des charges et/ou le métré récapitulatif, le mesurage doit en principe être conçu comme suit :</w:t>
      </w:r>
    </w:p>
    <w:p w14:paraId="0DD35CF2" w14:textId="77777777" w:rsidR="004B2808" w:rsidRDefault="00000000">
      <w:pPr>
        <w:pStyle w:val="pheading"/>
      </w:pPr>
      <w:r>
        <w:t>- unité de mesure:</w:t>
      </w:r>
    </w:p>
    <w:p w14:paraId="00A15874" w14:textId="77777777" w:rsidR="004B2808" w:rsidRDefault="00000000">
      <w:r>
        <w:rPr>
          <w:rStyle w:val="optioncarChar"/>
        </w:rPr>
        <w:t>p </w:t>
      </w:r>
      <w:r>
        <w:t>(par défaut)</w:t>
      </w:r>
      <w:r>
        <w:rPr>
          <w:rStyle w:val="optioncarChar"/>
        </w:rPr>
        <w:t xml:space="preserve"> / m / ***</w:t>
      </w:r>
    </w:p>
    <w:p w14:paraId="48CB17E2" w14:textId="77777777" w:rsidR="004B2808" w:rsidRDefault="00000000">
      <w:pPr>
        <w:pStyle w:val="pheading"/>
      </w:pPr>
      <w:r>
        <w:t>- code de mesurage:</w:t>
      </w:r>
    </w:p>
    <w:p w14:paraId="3260065B" w14:textId="77777777" w:rsidR="004B2808" w:rsidRDefault="00000000">
      <w:r>
        <w:rPr>
          <w:rStyle w:val="optioncarChar"/>
        </w:rPr>
        <w:t>selon le type de cuisine</w:t>
      </w:r>
      <w:r>
        <w:t> (par défaut)</w:t>
      </w:r>
      <w:r>
        <w:rPr>
          <w:rStyle w:val="optioncarChar"/>
        </w:rPr>
        <w:t xml:space="preserve"> / en fonction du type d'armoire : colonne, armoire basse, armoire suspendue / *** .</w:t>
      </w:r>
    </w:p>
    <w:p w14:paraId="28E09A6A" w14:textId="77777777" w:rsidR="004B2808" w:rsidRDefault="00000000">
      <w:pPr>
        <w:pStyle w:val="pheading"/>
      </w:pPr>
      <w:r>
        <w:t>- nature du marché:</w:t>
      </w:r>
    </w:p>
    <w:p w14:paraId="4B90A7AE" w14:textId="77777777" w:rsidR="004B2808" w:rsidRDefault="00000000">
      <w:r>
        <w:rPr>
          <w:rStyle w:val="optioncarChar"/>
        </w:rPr>
        <w:t>QF</w:t>
      </w:r>
      <w:r>
        <w:t> (par défaut)</w:t>
      </w:r>
      <w:r>
        <w:rPr>
          <w:rStyle w:val="optioncarChar"/>
        </w:rPr>
        <w:t> / ***</w:t>
      </w:r>
    </w:p>
    <w:p w14:paraId="077D8985" w14:textId="77777777" w:rsidR="004B2808" w:rsidRDefault="00000000">
      <w:pPr>
        <w:pStyle w:val="Author-eSectionHeading5Numberless"/>
      </w:pPr>
      <w:bookmarkStart w:id="1697" w:name="_Toc220491782"/>
      <w:r>
        <w:t>58.12.3 Mobilier de cuisine - Caissons CCTB 01.02</w:t>
      </w:r>
      <w:bookmarkEnd w:id="1697"/>
    </w:p>
    <w:p w14:paraId="7611557B" w14:textId="77777777" w:rsidR="004B2808" w:rsidRDefault="00000000">
      <w:pPr>
        <w:pStyle w:val="Author-eSectionHeading6Numberless"/>
      </w:pPr>
      <w:bookmarkStart w:id="1698" w:name="_Toc220491783"/>
      <w:r>
        <w:t>58.12.3a Mobilier de cuisine - Caissons à volet CCTB 01.10</w:t>
      </w:r>
      <w:bookmarkEnd w:id="1698"/>
    </w:p>
    <w:p w14:paraId="1209494C" w14:textId="77777777" w:rsidR="004B2808" w:rsidRDefault="00000000">
      <w:pPr>
        <w:pStyle w:val="pheading"/>
      </w:pPr>
      <w:r>
        <w:lastRenderedPageBreak/>
        <w:t>DESCRIPTION</w:t>
      </w:r>
    </w:p>
    <w:p w14:paraId="094D9499" w14:textId="77777777" w:rsidR="004B2808" w:rsidRDefault="00000000">
      <w:pPr>
        <w:pStyle w:val="pheading"/>
      </w:pPr>
      <w:r>
        <w:t>- Localisation</w:t>
      </w:r>
    </w:p>
    <w:p w14:paraId="004A569A" w14:textId="77777777" w:rsidR="004B2808" w:rsidRDefault="00000000">
      <w:pPr>
        <w:pStyle w:val="heading"/>
      </w:pPr>
      <w:r>
        <w:t>Description des armoires</w:t>
      </w:r>
    </w:p>
    <w:p w14:paraId="3EE8FB15" w14:textId="77777777" w:rsidR="004B2808" w:rsidRDefault="00000000">
      <w:r>
        <w:t>(voir les plans détaillés par type joints en annexe)</w:t>
      </w:r>
    </w:p>
    <w:p w14:paraId="0AF523C2" w14:textId="77777777" w:rsidR="004B2808" w:rsidRDefault="00000000">
      <w:pPr>
        <w:pStyle w:val="Author-eListParagraph"/>
        <w:numPr>
          <w:ilvl w:val="0"/>
          <w:numId w:val="1577"/>
        </w:numPr>
      </w:pPr>
      <w:r>
        <w:t xml:space="preserve">Ensemble d'armoires suspendues composé de </w:t>
      </w:r>
      <w:r>
        <w:rPr>
          <w:rStyle w:val="optioncarChar"/>
        </w:rPr>
        <w:t xml:space="preserve">*** </w:t>
      </w:r>
    </w:p>
    <w:p w14:paraId="79698424" w14:textId="77777777" w:rsidR="004B2808" w:rsidRDefault="00000000">
      <w:pPr>
        <w:pStyle w:val="Author-eListParagraph"/>
        <w:numPr>
          <w:ilvl w:val="0"/>
          <w:numId w:val="1577"/>
        </w:numPr>
      </w:pPr>
      <w:r>
        <w:t xml:space="preserve">Ensemble d'armoires colonnes composé de </w:t>
      </w:r>
      <w:r>
        <w:rPr>
          <w:rStyle w:val="optioncarChar"/>
        </w:rPr>
        <w:t xml:space="preserve">*** </w:t>
      </w:r>
    </w:p>
    <w:p w14:paraId="5FFF61E5" w14:textId="77777777" w:rsidR="004B2808" w:rsidRDefault="00000000">
      <w:pPr>
        <w:pStyle w:val="Author-eListParagraph"/>
        <w:numPr>
          <w:ilvl w:val="0"/>
          <w:numId w:val="1577"/>
        </w:numPr>
      </w:pPr>
      <w:r>
        <w:t xml:space="preserve">Ensemble d'armoires de base composé de </w:t>
      </w:r>
      <w:r>
        <w:rPr>
          <w:rStyle w:val="optioncarChar"/>
        </w:rPr>
        <w:t>***</w:t>
      </w:r>
      <w:r>
        <w:t xml:space="preserve">    </w:t>
      </w:r>
    </w:p>
    <w:p w14:paraId="635B821B" w14:textId="77777777" w:rsidR="004B2808" w:rsidRDefault="00000000">
      <w:pPr>
        <w:pStyle w:val="pheading"/>
      </w:pPr>
      <w:r>
        <w:t>MESURAGE</w:t>
      </w:r>
    </w:p>
    <w:p w14:paraId="489B1F93" w14:textId="77777777" w:rsidR="004B2808" w:rsidRDefault="00000000">
      <w:r>
        <w:t>Conformément à la nature des aménagements de cuisine prévus, les indications spécifiques dans le cahier spécial des charges et/ou le métré récapitulatif, le mesurage doit en principe être conçu comme suit :</w:t>
      </w:r>
    </w:p>
    <w:p w14:paraId="0217151C" w14:textId="77777777" w:rsidR="004B2808" w:rsidRDefault="00000000">
      <w:pPr>
        <w:pStyle w:val="pheading"/>
      </w:pPr>
      <w:r>
        <w:t>- unité de mesure:</w:t>
      </w:r>
    </w:p>
    <w:p w14:paraId="4A918A52" w14:textId="77777777" w:rsidR="004B2808" w:rsidRDefault="00000000">
      <w:r>
        <w:rPr>
          <w:rStyle w:val="optioncarChar"/>
        </w:rPr>
        <w:t>p </w:t>
      </w:r>
      <w:r>
        <w:t>(par défaut)</w:t>
      </w:r>
      <w:r>
        <w:rPr>
          <w:rStyle w:val="optioncarChar"/>
        </w:rPr>
        <w:t xml:space="preserve"> / m / ***</w:t>
      </w:r>
    </w:p>
    <w:p w14:paraId="4C7439A4" w14:textId="77777777" w:rsidR="004B2808" w:rsidRDefault="00000000">
      <w:pPr>
        <w:pStyle w:val="pheading"/>
      </w:pPr>
      <w:r>
        <w:t>- code de mesurage:</w:t>
      </w:r>
    </w:p>
    <w:p w14:paraId="21D42EDB" w14:textId="77777777" w:rsidR="004B2808" w:rsidRDefault="00000000">
      <w:r>
        <w:rPr>
          <w:rStyle w:val="optioncarChar"/>
        </w:rPr>
        <w:t>selon le type de cuisine </w:t>
      </w:r>
      <w:r>
        <w:t>(par défaut)</w:t>
      </w:r>
      <w:r>
        <w:rPr>
          <w:rStyle w:val="optioncarChar"/>
        </w:rPr>
        <w:t xml:space="preserve"> / en fonction du type d'armoire : colonne, armoire basse, armoire suspendue / ***.</w:t>
      </w:r>
    </w:p>
    <w:p w14:paraId="64165F13" w14:textId="77777777" w:rsidR="004B2808" w:rsidRDefault="00000000">
      <w:pPr>
        <w:pStyle w:val="pheading"/>
      </w:pPr>
      <w:r>
        <w:t>- nature du marché:</w:t>
      </w:r>
    </w:p>
    <w:p w14:paraId="494A3BBC" w14:textId="77777777" w:rsidR="004B2808" w:rsidRDefault="00000000">
      <w:r>
        <w:rPr>
          <w:color w:val="FF0000"/>
        </w:rPr>
        <w:t>QF</w:t>
      </w:r>
      <w:r>
        <w:t> (par défaut</w:t>
      </w:r>
      <w:r>
        <w:rPr>
          <w:color w:val="FF0000"/>
        </w:rPr>
        <w:t>) / </w:t>
      </w:r>
      <w:r>
        <w:rPr>
          <w:rStyle w:val="optioncarChar"/>
        </w:rPr>
        <w:t>***</w:t>
      </w:r>
    </w:p>
    <w:p w14:paraId="3FE28159" w14:textId="77777777" w:rsidR="004B2808" w:rsidRDefault="00000000">
      <w:pPr>
        <w:pStyle w:val="Author-eSectionHeading6Numberless"/>
      </w:pPr>
      <w:bookmarkStart w:id="1699" w:name="_Toc220491784"/>
      <w:r>
        <w:t>58.12.3b Mobilier de cuisine - Caissons à hotte CCTB 01.10</w:t>
      </w:r>
      <w:bookmarkEnd w:id="1699"/>
    </w:p>
    <w:p w14:paraId="6F891C4E" w14:textId="77777777" w:rsidR="004B2808" w:rsidRDefault="00000000">
      <w:pPr>
        <w:pStyle w:val="pheading"/>
      </w:pPr>
      <w:r>
        <w:t>DESCRIPTION</w:t>
      </w:r>
    </w:p>
    <w:p w14:paraId="7A0FC887" w14:textId="77777777" w:rsidR="004B2808" w:rsidRDefault="00000000">
      <w:pPr>
        <w:pStyle w:val="pheading"/>
      </w:pPr>
      <w:r>
        <w:t>- Localisation</w:t>
      </w:r>
    </w:p>
    <w:p w14:paraId="4A8CEE56" w14:textId="77777777" w:rsidR="004B2808" w:rsidRDefault="00000000">
      <w:pPr>
        <w:pStyle w:val="heading"/>
      </w:pPr>
      <w:r>
        <w:t>Description des armoires</w:t>
      </w:r>
    </w:p>
    <w:p w14:paraId="1BA0267F" w14:textId="77777777" w:rsidR="004B2808" w:rsidRDefault="00000000">
      <w:r>
        <w:t>(voir les plans détaillés par type joints en annexe)</w:t>
      </w:r>
    </w:p>
    <w:p w14:paraId="69F19406" w14:textId="77777777" w:rsidR="004B2808" w:rsidRDefault="00000000">
      <w:pPr>
        <w:pStyle w:val="Author-eListParagraph"/>
        <w:numPr>
          <w:ilvl w:val="0"/>
          <w:numId w:val="1578"/>
        </w:numPr>
      </w:pPr>
      <w:r>
        <w:t xml:space="preserve">Ensemble d'armoires suspendues composé de </w:t>
      </w:r>
      <w:r>
        <w:rPr>
          <w:rStyle w:val="optioncarChar"/>
        </w:rPr>
        <w:t xml:space="preserve">*** </w:t>
      </w:r>
    </w:p>
    <w:p w14:paraId="73C8ABBA" w14:textId="77777777" w:rsidR="004B2808" w:rsidRDefault="00000000">
      <w:pPr>
        <w:pStyle w:val="Author-eListParagraph"/>
        <w:numPr>
          <w:ilvl w:val="0"/>
          <w:numId w:val="1578"/>
        </w:numPr>
      </w:pPr>
      <w:r>
        <w:t xml:space="preserve">Ensemble d'armoires colonnes composé de </w:t>
      </w:r>
      <w:r>
        <w:rPr>
          <w:rStyle w:val="optioncarChar"/>
        </w:rPr>
        <w:t xml:space="preserve">*** </w:t>
      </w:r>
    </w:p>
    <w:p w14:paraId="747100F1" w14:textId="77777777" w:rsidR="004B2808" w:rsidRDefault="00000000">
      <w:pPr>
        <w:pStyle w:val="Author-eListParagraph"/>
        <w:numPr>
          <w:ilvl w:val="0"/>
          <w:numId w:val="1578"/>
        </w:numPr>
      </w:pPr>
      <w:r>
        <w:t xml:space="preserve">Ensemble d'armoires de base composé de </w:t>
      </w:r>
      <w:r>
        <w:rPr>
          <w:rStyle w:val="optioncarChar"/>
        </w:rPr>
        <w:t>***</w:t>
      </w:r>
      <w:r>
        <w:t xml:space="preserve">    </w:t>
      </w:r>
    </w:p>
    <w:p w14:paraId="2E3E1FDA" w14:textId="77777777" w:rsidR="004B2808" w:rsidRDefault="00000000">
      <w:pPr>
        <w:pStyle w:val="pheading"/>
      </w:pPr>
      <w:r>
        <w:t>MESURAGE</w:t>
      </w:r>
    </w:p>
    <w:p w14:paraId="2058C33E" w14:textId="77777777" w:rsidR="004B2808" w:rsidRDefault="00000000">
      <w:r>
        <w:t>Conformément à la nature des aménagements de cuisine prévus, les indications spécifiques dans le cahier spécial des charges et/ou le métré récapitulatif, le mesurage doit en principe être conçu comme suit :</w:t>
      </w:r>
    </w:p>
    <w:p w14:paraId="0846DB39" w14:textId="77777777" w:rsidR="004B2808" w:rsidRDefault="00000000">
      <w:pPr>
        <w:pStyle w:val="pheading"/>
      </w:pPr>
      <w:r>
        <w:t>- unité de mesure:</w:t>
      </w:r>
    </w:p>
    <w:p w14:paraId="2154C7F1" w14:textId="77777777" w:rsidR="004B2808" w:rsidRDefault="00000000">
      <w:r>
        <w:rPr>
          <w:rStyle w:val="optioncarChar"/>
        </w:rPr>
        <w:t>p</w:t>
      </w:r>
      <w:r>
        <w:t> (par défaut)</w:t>
      </w:r>
      <w:r>
        <w:rPr>
          <w:rStyle w:val="optioncarChar"/>
        </w:rPr>
        <w:t> / m / ***</w:t>
      </w:r>
    </w:p>
    <w:p w14:paraId="4C871ECC" w14:textId="77777777" w:rsidR="004B2808" w:rsidRDefault="00000000">
      <w:pPr>
        <w:pStyle w:val="pheading"/>
      </w:pPr>
      <w:r>
        <w:t>- code de mesurage:</w:t>
      </w:r>
    </w:p>
    <w:p w14:paraId="76B5656D" w14:textId="77777777" w:rsidR="004B2808" w:rsidRDefault="00000000">
      <w:r>
        <w:rPr>
          <w:rStyle w:val="optioncarChar"/>
        </w:rPr>
        <w:t>selon le type de cuisine</w:t>
      </w:r>
      <w:r>
        <w:t xml:space="preserve"> (par défaut) </w:t>
      </w:r>
      <w:r>
        <w:rPr>
          <w:rStyle w:val="optioncarChar"/>
        </w:rPr>
        <w:t>/ en fonction du type d'armoire : colonne, armoire basse, armoire suspendue / *** .</w:t>
      </w:r>
    </w:p>
    <w:p w14:paraId="28010754" w14:textId="77777777" w:rsidR="004B2808" w:rsidRDefault="00000000">
      <w:pPr>
        <w:pStyle w:val="pheading"/>
      </w:pPr>
      <w:r>
        <w:t>- nature du marché:</w:t>
      </w:r>
    </w:p>
    <w:p w14:paraId="4A82D764" w14:textId="77777777" w:rsidR="004B2808" w:rsidRDefault="00000000">
      <w:r>
        <w:rPr>
          <w:rStyle w:val="optioncarChar"/>
        </w:rPr>
        <w:t>QF</w:t>
      </w:r>
      <w:r>
        <w:t> (par défaut)</w:t>
      </w:r>
      <w:r>
        <w:rPr>
          <w:rStyle w:val="optioncarChar"/>
        </w:rPr>
        <w:t> / ***</w:t>
      </w:r>
    </w:p>
    <w:p w14:paraId="188DE1CF" w14:textId="77777777" w:rsidR="004B2808" w:rsidRDefault="00000000">
      <w:pPr>
        <w:pStyle w:val="Author-eSectionHeading4Numberless"/>
      </w:pPr>
      <w:bookmarkStart w:id="1700" w:name="_Toc220491785"/>
      <w:r>
        <w:t>58.13 Mobilier de cuisine - Plans de travail / Tablettes / Panneaux de finition CCTB 01.02</w:t>
      </w:r>
      <w:bookmarkEnd w:id="1700"/>
    </w:p>
    <w:p w14:paraId="161C8ACF" w14:textId="77777777" w:rsidR="004B2808" w:rsidRDefault="00000000">
      <w:pPr>
        <w:pStyle w:val="Author-eSectionHeading5Numberless"/>
      </w:pPr>
      <w:bookmarkStart w:id="1701" w:name="_Toc220491786"/>
      <w:r>
        <w:t>58.13.1 Mobilier de cuisine - Plans de travail CCTB 01.02</w:t>
      </w:r>
      <w:bookmarkEnd w:id="1701"/>
    </w:p>
    <w:p w14:paraId="6005DB0C" w14:textId="77777777" w:rsidR="004B2808" w:rsidRDefault="00000000">
      <w:pPr>
        <w:pStyle w:val="Author-eSectionHeading6Numberless"/>
      </w:pPr>
      <w:bookmarkStart w:id="1702" w:name="_Toc220491787"/>
      <w:r>
        <w:lastRenderedPageBreak/>
        <w:t>58.13.1a Mobilier de cuisine - Plans de travail CCTB 01.10</w:t>
      </w:r>
      <w:bookmarkEnd w:id="1702"/>
    </w:p>
    <w:p w14:paraId="5BB14FDF" w14:textId="77777777" w:rsidR="004B2808" w:rsidRDefault="00000000">
      <w:pPr>
        <w:pStyle w:val="pheading"/>
      </w:pPr>
      <w:r>
        <w:t>DESCRIPTION</w:t>
      </w:r>
    </w:p>
    <w:p w14:paraId="3C520929" w14:textId="77777777" w:rsidR="004B2808" w:rsidRDefault="00000000">
      <w:pPr>
        <w:pStyle w:val="pheading"/>
      </w:pPr>
      <w:r>
        <w:t>- Localisation</w:t>
      </w:r>
    </w:p>
    <w:p w14:paraId="323639FE" w14:textId="77777777" w:rsidR="004B2808" w:rsidRDefault="00000000">
      <w:pPr>
        <w:pStyle w:val="heading"/>
      </w:pPr>
      <w:r>
        <w:t>Description des armoires</w:t>
      </w:r>
    </w:p>
    <w:p w14:paraId="655BA5C7" w14:textId="77777777" w:rsidR="004B2808" w:rsidRDefault="00000000">
      <w:r>
        <w:t>(voir les plans détaillés par type joints en annexe)</w:t>
      </w:r>
    </w:p>
    <w:p w14:paraId="07F3C1B3" w14:textId="77777777" w:rsidR="004B2808" w:rsidRDefault="00000000">
      <w:pPr>
        <w:pStyle w:val="Author-eListParagraph"/>
        <w:numPr>
          <w:ilvl w:val="0"/>
          <w:numId w:val="1579"/>
        </w:numPr>
      </w:pPr>
      <w:r>
        <w:t xml:space="preserve"> Ensemble d'armoires de base composé de </w:t>
      </w:r>
      <w:r>
        <w:rPr>
          <w:rStyle w:val="optioncarChar"/>
        </w:rPr>
        <w:t>***</w:t>
      </w:r>
    </w:p>
    <w:p w14:paraId="2D5AB3EA" w14:textId="77777777" w:rsidR="004B2808" w:rsidRDefault="00000000">
      <w:pPr>
        <w:pStyle w:val="pheading"/>
      </w:pPr>
      <w:r>
        <w:t>MATÉRIAUX</w:t>
      </w:r>
    </w:p>
    <w:p w14:paraId="0BB4E137" w14:textId="77777777" w:rsidR="004B2808" w:rsidRDefault="00000000">
      <w:pPr>
        <w:pStyle w:val="pheading"/>
      </w:pPr>
      <w:r>
        <w:t>- Caractéristiques générales</w:t>
      </w:r>
    </w:p>
    <w:p w14:paraId="3530C037" w14:textId="77777777" w:rsidR="004B2808" w:rsidRDefault="00000000">
      <w:pPr>
        <w:pStyle w:val="heading"/>
      </w:pPr>
      <w:r>
        <w:t>Spécifications</w:t>
      </w:r>
    </w:p>
    <w:p w14:paraId="2A4AD187" w14:textId="77777777" w:rsidR="004B2808" w:rsidRDefault="00000000">
      <w:pPr>
        <w:pStyle w:val="Author-eListParagraph"/>
        <w:numPr>
          <w:ilvl w:val="0"/>
          <w:numId w:val="1580"/>
        </w:numPr>
      </w:pPr>
      <w:r>
        <w:t>Matériau : plaque d'aggloméré hydrofuge, classe formaldéhyde</w:t>
      </w:r>
      <w:r>
        <w:rPr>
          <w:rStyle w:val="optioncarChar"/>
        </w:rPr>
        <w:t> 1</w:t>
      </w:r>
      <w:r>
        <w:t> (par défaut)</w:t>
      </w:r>
      <w:r>
        <w:rPr>
          <w:rStyle w:val="optioncarChar"/>
        </w:rPr>
        <w:t> / ***</w:t>
      </w:r>
      <w:r>
        <w:t xml:space="preserve"> .</w:t>
      </w:r>
    </w:p>
    <w:p w14:paraId="1354EFD4" w14:textId="77777777" w:rsidR="004B2808" w:rsidRDefault="00000000">
      <w:pPr>
        <w:pStyle w:val="Author-eListParagraph"/>
        <w:numPr>
          <w:ilvl w:val="0"/>
          <w:numId w:val="1580"/>
        </w:numPr>
      </w:pPr>
      <w:r>
        <w:t xml:space="preserve">Epaisseur de l'âme : minimum </w:t>
      </w:r>
      <w:r>
        <w:rPr>
          <w:rStyle w:val="optioncarChar"/>
        </w:rPr>
        <w:t>28 </w:t>
      </w:r>
      <w:r>
        <w:t>(par défaut)</w:t>
      </w:r>
      <w:r>
        <w:rPr>
          <w:rStyle w:val="optioncarChar"/>
        </w:rPr>
        <w:t xml:space="preserve"> / 32 / 36 / *** </w:t>
      </w:r>
      <w:r>
        <w:t>mm</w:t>
      </w:r>
    </w:p>
    <w:p w14:paraId="3C814BF1" w14:textId="77777777" w:rsidR="004B2808" w:rsidRDefault="00000000">
      <w:pPr>
        <w:pStyle w:val="Author-eListParagraph"/>
        <w:numPr>
          <w:ilvl w:val="0"/>
          <w:numId w:val="1580"/>
        </w:numPr>
      </w:pPr>
      <w:r>
        <w:t>Revêtement de la face supérieure : stratifié haute pression résistant aux rayures, classe:</w:t>
      </w:r>
    </w:p>
    <w:p w14:paraId="474B31AB" w14:textId="77777777" w:rsidR="004B2808" w:rsidRDefault="00000000">
      <w:pPr>
        <w:ind w:left="450"/>
      </w:pPr>
      <w:r>
        <w:rPr>
          <w:b/>
        </w:rPr>
        <w:t>Choix opéré</w:t>
      </w:r>
      <w:r>
        <w:t xml:space="preserve"> : </w:t>
      </w:r>
      <w:r>
        <w:rPr>
          <w:rStyle w:val="optioncarChar"/>
        </w:rPr>
        <w:t>*** / OPTION 1 </w:t>
      </w:r>
      <w:r>
        <w:t>(par défaut)</w:t>
      </w:r>
      <w:r>
        <w:rPr>
          <w:rStyle w:val="optioncarChar"/>
        </w:rPr>
        <w:t xml:space="preserve"> / OPTION 2 </w:t>
      </w:r>
      <w:r>
        <w:br/>
      </w:r>
      <w:r>
        <w:rPr>
          <w:b/>
        </w:rPr>
        <w:t>OPTION 1 (par défaut) </w:t>
      </w:r>
      <w:r>
        <w:t xml:space="preserve">: HPL-EN 438 HGS, Type S (standard), épaisseur </w:t>
      </w:r>
      <w:r>
        <w:rPr>
          <w:rStyle w:val="optioncarChar"/>
        </w:rPr>
        <w:t>0,8 </w:t>
      </w:r>
      <w:r>
        <w:t>(par défaut)</w:t>
      </w:r>
      <w:r>
        <w:rPr>
          <w:rStyle w:val="optioncarChar"/>
        </w:rPr>
        <w:t xml:space="preserve"> / 0,9 / 1,00 / *** </w:t>
      </w:r>
      <w:r>
        <w:t>mm. Chant avant et latéraux visibles : listel acrylique, épaisseur min. 3 mm .</w:t>
      </w:r>
      <w:r>
        <w:br/>
      </w:r>
      <w:r>
        <w:rPr>
          <w:b/>
        </w:rPr>
        <w:t>OPTION 2</w:t>
      </w:r>
      <w:r>
        <w:t xml:space="preserve"> : HPL-EN 438 HGP, Type P (postformé), épaisseur </w:t>
      </w:r>
      <w:r>
        <w:rPr>
          <w:rStyle w:val="optioncarChar"/>
        </w:rPr>
        <w:t>0,8 </w:t>
      </w:r>
      <w:r>
        <w:t>(par défaut) </w:t>
      </w:r>
      <w:r>
        <w:rPr>
          <w:rStyle w:val="optioncarChar"/>
        </w:rPr>
        <w:t>/ ***</w:t>
      </w:r>
      <w:r>
        <w:t> mm. </w:t>
      </w:r>
    </w:p>
    <w:p w14:paraId="2ABD5426" w14:textId="77777777" w:rsidR="004B2808" w:rsidRDefault="00000000">
      <w:pPr>
        <w:pStyle w:val="Author-eListParagraph"/>
        <w:numPr>
          <w:ilvl w:val="0"/>
          <w:numId w:val="1581"/>
        </w:numPr>
      </w:pPr>
      <w:r>
        <w:t xml:space="preserve">Bord avant postformé : </w:t>
      </w:r>
      <w:r>
        <w:rPr>
          <w:rStyle w:val="optioncarChar"/>
        </w:rPr>
        <w:t>90°</w:t>
      </w:r>
      <w:r>
        <w:t> (par défaut)</w:t>
      </w:r>
      <w:r>
        <w:rPr>
          <w:rStyle w:val="optioncarChar"/>
        </w:rPr>
        <w:t xml:space="preserve"> / 180° / *** </w:t>
      </w:r>
      <w:r>
        <w:t xml:space="preserve">, </w:t>
      </w:r>
      <w:r>
        <w:rPr>
          <w:rStyle w:val="optioncarChar"/>
        </w:rPr>
        <w:t>sur toute l'épaisseur </w:t>
      </w:r>
      <w:r>
        <w:t xml:space="preserve">(par défaut) </w:t>
      </w:r>
      <w:r>
        <w:rPr>
          <w:rStyle w:val="optioncarChar"/>
        </w:rPr>
        <w:t xml:space="preserve">/ avec une surépaisseur de 40 / *** </w:t>
      </w:r>
      <w:r>
        <w:t xml:space="preserve">mm et </w:t>
      </w:r>
      <w:r>
        <w:rPr>
          <w:rStyle w:val="optioncarChar"/>
        </w:rPr>
        <w:t>un seul arrondi sur 90° et droit </w:t>
      </w:r>
      <w:r>
        <w:t>(par défaut)</w:t>
      </w:r>
      <w:r>
        <w:rPr>
          <w:rStyle w:val="optioncarChar"/>
        </w:rPr>
        <w:t xml:space="preserve"> / double arrondi sur 90° / *** .</w:t>
      </w:r>
    </w:p>
    <w:p w14:paraId="3C520647" w14:textId="77777777" w:rsidR="004B2808" w:rsidRDefault="00000000">
      <w:pPr>
        <w:pStyle w:val="Author-eListParagraph"/>
        <w:numPr>
          <w:ilvl w:val="0"/>
          <w:numId w:val="1581"/>
        </w:numPr>
      </w:pPr>
      <w:r>
        <w:t xml:space="preserve">Face inférieure du plan de travail : </w:t>
      </w:r>
      <w:r>
        <w:rPr>
          <w:rStyle w:val="optioncarChar"/>
        </w:rPr>
        <w:t>feuille de résine synthétique, épaisseur 0,2 mm </w:t>
      </w:r>
      <w:r>
        <w:t>(par défaut)</w:t>
      </w:r>
      <w:r>
        <w:rPr>
          <w:rStyle w:val="optioncarChar"/>
        </w:rPr>
        <w:t xml:space="preserve"> / plaque de stratifié haute pression HPL-EN 438 HGS, épaisseur identique à celle de la face supérieure / *** </w:t>
      </w:r>
      <w:r>
        <w:t>.</w:t>
      </w:r>
    </w:p>
    <w:p w14:paraId="31C7AEC8" w14:textId="77777777" w:rsidR="004B2808" w:rsidRDefault="00000000">
      <w:pPr>
        <w:pStyle w:val="Author-eListParagraph"/>
        <w:numPr>
          <w:ilvl w:val="0"/>
          <w:numId w:val="1581"/>
        </w:numPr>
      </w:pPr>
      <w:r>
        <w:t xml:space="preserve">Raccord au mur attenant : </w:t>
      </w:r>
      <w:r>
        <w:rPr>
          <w:rStyle w:val="optioncarChar"/>
        </w:rPr>
        <w:t>droit</w:t>
      </w:r>
      <w:r>
        <w:t> (par défaut)</w:t>
      </w:r>
      <w:r>
        <w:rPr>
          <w:rStyle w:val="optioncarChar"/>
        </w:rPr>
        <w:t xml:space="preserve"> / relevé intégré, hauteur 7 / ***</w:t>
      </w:r>
      <w:r>
        <w:t xml:space="preserve"> cm .</w:t>
      </w:r>
    </w:p>
    <w:p w14:paraId="5488F217" w14:textId="77777777" w:rsidR="004B2808" w:rsidRDefault="00000000">
      <w:pPr>
        <w:pStyle w:val="pheading"/>
      </w:pPr>
      <w:r>
        <w:t>- Finitions</w:t>
      </w:r>
    </w:p>
    <w:p w14:paraId="24BC487B" w14:textId="77777777" w:rsidR="004B2808" w:rsidRDefault="00000000">
      <w:r>
        <w:t xml:space="preserve">Finition de la surface : légèrement granuleuse </w:t>
      </w:r>
      <w:r>
        <w:rPr>
          <w:rStyle w:val="optioncarChar"/>
        </w:rPr>
        <w:t>mate </w:t>
      </w:r>
      <w:r>
        <w:t>(par défaut)</w:t>
      </w:r>
      <w:r>
        <w:rPr>
          <w:rStyle w:val="optioncarChar"/>
        </w:rPr>
        <w:t xml:space="preserve"> / satinée / brillante / *** </w:t>
      </w:r>
      <w:r>
        <w:t>.</w:t>
      </w:r>
      <w:r>
        <w:br/>
        <w:t xml:space="preserve">Coloris : </w:t>
      </w:r>
      <w:r>
        <w:rPr>
          <w:rStyle w:val="optioncarChar"/>
        </w:rPr>
        <w:t>blanc </w:t>
      </w:r>
      <w:r>
        <w:t>(par défaut)</w:t>
      </w:r>
      <w:r>
        <w:rPr>
          <w:rStyle w:val="optioncarChar"/>
        </w:rPr>
        <w:t xml:space="preserve"> / coloris à déterminer sur la base de la gamme standard du fabricant / ***</w:t>
      </w:r>
      <w:r>
        <w:t>.</w:t>
      </w:r>
    </w:p>
    <w:p w14:paraId="66354E47" w14:textId="77777777" w:rsidR="004B2808" w:rsidRDefault="00000000">
      <w:pPr>
        <w:pStyle w:val="pheading"/>
      </w:pPr>
      <w:r>
        <w:t>MESURAGE</w:t>
      </w:r>
    </w:p>
    <w:p w14:paraId="2608F175" w14:textId="77777777" w:rsidR="004B2808" w:rsidRDefault="00000000">
      <w:r>
        <w:t>Conformément à la nature des aménagements de cuisine prévus, les indications spécifiques dans le cahier spécial des charges et/ou le métré récapitulatif, le mesurage doit en principe être conçu comme suit :</w:t>
      </w:r>
    </w:p>
    <w:p w14:paraId="4023CC0D" w14:textId="77777777" w:rsidR="004B2808" w:rsidRDefault="00000000">
      <w:pPr>
        <w:pStyle w:val="pheading"/>
      </w:pPr>
      <w:r>
        <w:t>- unité de mesure:</w:t>
      </w:r>
    </w:p>
    <w:p w14:paraId="3857F18E" w14:textId="77777777" w:rsidR="004B2808" w:rsidRDefault="00000000">
      <w:r>
        <w:rPr>
          <w:rStyle w:val="optioncarChar"/>
        </w:rPr>
        <w:t>p</w:t>
      </w:r>
      <w:r>
        <w:t> (par défaut)</w:t>
      </w:r>
      <w:r>
        <w:rPr>
          <w:rStyle w:val="optioncarChar"/>
        </w:rPr>
        <w:t> / m / ***</w:t>
      </w:r>
    </w:p>
    <w:p w14:paraId="20DA9E78" w14:textId="77777777" w:rsidR="004B2808" w:rsidRDefault="00000000">
      <w:pPr>
        <w:pStyle w:val="pheading"/>
      </w:pPr>
      <w:r>
        <w:t>- code de mesurage:</w:t>
      </w:r>
    </w:p>
    <w:p w14:paraId="7DFE18D0" w14:textId="77777777" w:rsidR="004B2808" w:rsidRDefault="00000000">
      <w:r>
        <w:rPr>
          <w:rStyle w:val="optioncarChar"/>
        </w:rPr>
        <w:t>selon le type de cuisine</w:t>
      </w:r>
      <w:r>
        <w:t> (par défaut)</w:t>
      </w:r>
      <w:r>
        <w:rPr>
          <w:rStyle w:val="optioncarChar"/>
        </w:rPr>
        <w:t xml:space="preserve"> / en fonction du type d'armoire : colonne, armoire basse, armoire suspendue / ***.</w:t>
      </w:r>
    </w:p>
    <w:p w14:paraId="180ADEBF" w14:textId="77777777" w:rsidR="004B2808" w:rsidRDefault="00000000">
      <w:pPr>
        <w:pStyle w:val="pheading"/>
      </w:pPr>
      <w:r>
        <w:t>- nature du marché:</w:t>
      </w:r>
    </w:p>
    <w:p w14:paraId="74101089" w14:textId="77777777" w:rsidR="004B2808" w:rsidRDefault="00000000">
      <w:r>
        <w:rPr>
          <w:rStyle w:val="optioncarChar"/>
        </w:rPr>
        <w:t>QF </w:t>
      </w:r>
      <w:r>
        <w:t>(par défaut) </w:t>
      </w:r>
      <w:r>
        <w:rPr>
          <w:rStyle w:val="optioncarChar"/>
        </w:rPr>
        <w:t>/ ***</w:t>
      </w:r>
    </w:p>
    <w:p w14:paraId="27575F18" w14:textId="77777777" w:rsidR="004B2808" w:rsidRDefault="00000000">
      <w:pPr>
        <w:pStyle w:val="Author-eSectionHeading5Numberless"/>
      </w:pPr>
      <w:bookmarkStart w:id="1703" w:name="_Toc220491788"/>
      <w:r>
        <w:t>58.13.2 Mobilier de cuisine - Tablettes CCTB 01.02</w:t>
      </w:r>
      <w:bookmarkEnd w:id="1703"/>
    </w:p>
    <w:p w14:paraId="5DE7D0FE" w14:textId="77777777" w:rsidR="004B2808" w:rsidRDefault="00000000">
      <w:pPr>
        <w:pStyle w:val="Author-eSectionHeading6Numberless"/>
      </w:pPr>
      <w:bookmarkStart w:id="1704" w:name="_Toc220491789"/>
      <w:r>
        <w:t>58.13.2a Mobilier de cuisine - Tablettes CCTB 01.10</w:t>
      </w:r>
      <w:bookmarkEnd w:id="1704"/>
    </w:p>
    <w:p w14:paraId="21497FBC" w14:textId="77777777" w:rsidR="004B2808" w:rsidRDefault="00000000">
      <w:pPr>
        <w:pStyle w:val="pheading"/>
      </w:pPr>
      <w:r>
        <w:t>DESCRIPTION</w:t>
      </w:r>
    </w:p>
    <w:p w14:paraId="1BB61283" w14:textId="77777777" w:rsidR="004B2808" w:rsidRDefault="00000000">
      <w:pPr>
        <w:pStyle w:val="pheading"/>
      </w:pPr>
      <w:r>
        <w:t>- Localisation</w:t>
      </w:r>
    </w:p>
    <w:p w14:paraId="32F0DC72" w14:textId="77777777" w:rsidR="004B2808" w:rsidRDefault="00000000">
      <w:pPr>
        <w:pStyle w:val="heading"/>
      </w:pPr>
      <w:r>
        <w:lastRenderedPageBreak/>
        <w:t>Description des armoires</w:t>
      </w:r>
    </w:p>
    <w:p w14:paraId="5D45C55F" w14:textId="77777777" w:rsidR="004B2808" w:rsidRDefault="00000000">
      <w:r>
        <w:t>(voir les plans détaillés par type joints en annexe)</w:t>
      </w:r>
    </w:p>
    <w:p w14:paraId="58B1C40C" w14:textId="77777777" w:rsidR="004B2808" w:rsidRDefault="00000000">
      <w:pPr>
        <w:pStyle w:val="Author-eListParagraph"/>
        <w:numPr>
          <w:ilvl w:val="0"/>
          <w:numId w:val="1582"/>
        </w:numPr>
      </w:pPr>
      <w:r>
        <w:t xml:space="preserve">Ensemble d'armoires suspendues composé de </w:t>
      </w:r>
      <w:r>
        <w:rPr>
          <w:rStyle w:val="optioncarChar"/>
        </w:rPr>
        <w:t xml:space="preserve">*** </w:t>
      </w:r>
    </w:p>
    <w:p w14:paraId="36BAE7D6" w14:textId="77777777" w:rsidR="004B2808" w:rsidRDefault="00000000">
      <w:pPr>
        <w:pStyle w:val="Author-eListParagraph"/>
        <w:numPr>
          <w:ilvl w:val="0"/>
          <w:numId w:val="1582"/>
        </w:numPr>
      </w:pPr>
      <w:r>
        <w:t xml:space="preserve">Ensemble d'armoires colonnes composé de </w:t>
      </w:r>
      <w:r>
        <w:rPr>
          <w:rStyle w:val="optioncarChar"/>
        </w:rPr>
        <w:t xml:space="preserve">*** </w:t>
      </w:r>
    </w:p>
    <w:p w14:paraId="3B5CD0AA" w14:textId="77777777" w:rsidR="004B2808" w:rsidRDefault="00000000">
      <w:pPr>
        <w:pStyle w:val="Author-eListParagraph"/>
        <w:numPr>
          <w:ilvl w:val="0"/>
          <w:numId w:val="1582"/>
        </w:numPr>
      </w:pPr>
      <w:r>
        <w:t xml:space="preserve">Ensemble d'armoires de base composé de </w:t>
      </w:r>
      <w:r>
        <w:rPr>
          <w:rStyle w:val="optioncarChar"/>
        </w:rPr>
        <w:t>***</w:t>
      </w:r>
      <w:r>
        <w:t xml:space="preserve">    </w:t>
      </w:r>
    </w:p>
    <w:p w14:paraId="72BDCE04" w14:textId="77777777" w:rsidR="004B2808" w:rsidRDefault="00000000">
      <w:pPr>
        <w:pStyle w:val="pheading"/>
      </w:pPr>
      <w:r>
        <w:t>MESURAGE</w:t>
      </w:r>
    </w:p>
    <w:p w14:paraId="76955B7F" w14:textId="77777777" w:rsidR="004B2808" w:rsidRDefault="00000000">
      <w:r>
        <w:t>Conformément à la nature des aménagements de cuisine prévus, les indications spécifiques dans le cahier spécial des charges et/ou le métré récapitulatif, le mesurage doit en principe être conçu comme suit :</w:t>
      </w:r>
    </w:p>
    <w:p w14:paraId="5AE414A4" w14:textId="77777777" w:rsidR="004B2808" w:rsidRDefault="00000000">
      <w:pPr>
        <w:pStyle w:val="pheading"/>
      </w:pPr>
      <w:r>
        <w:t>- unité de mesure:</w:t>
      </w:r>
    </w:p>
    <w:p w14:paraId="7AF8BB01" w14:textId="77777777" w:rsidR="004B2808" w:rsidRDefault="00000000">
      <w:r>
        <w:rPr>
          <w:rStyle w:val="optioncarChar"/>
        </w:rPr>
        <w:t>p</w:t>
      </w:r>
      <w:r>
        <w:t> (par défaut)</w:t>
      </w:r>
      <w:r>
        <w:rPr>
          <w:rStyle w:val="optioncarChar"/>
        </w:rPr>
        <w:t> / m / ***</w:t>
      </w:r>
    </w:p>
    <w:p w14:paraId="332B16FE" w14:textId="77777777" w:rsidR="004B2808" w:rsidRDefault="00000000">
      <w:pPr>
        <w:pStyle w:val="pheading"/>
      </w:pPr>
      <w:r>
        <w:t>- code de mesurage:</w:t>
      </w:r>
    </w:p>
    <w:p w14:paraId="171DCB0B" w14:textId="77777777" w:rsidR="004B2808" w:rsidRDefault="00000000">
      <w:r>
        <w:rPr>
          <w:rStyle w:val="optioncarChar"/>
        </w:rPr>
        <w:t>selon le type de cuisine</w:t>
      </w:r>
      <w:r>
        <w:t> (par défaut)</w:t>
      </w:r>
      <w:r>
        <w:rPr>
          <w:rStyle w:val="optioncarChar"/>
        </w:rPr>
        <w:t xml:space="preserve"> / en fonction du type d'armoire : colonne, armoire basse, armoire suspendue / ***.</w:t>
      </w:r>
    </w:p>
    <w:p w14:paraId="6D032462" w14:textId="77777777" w:rsidR="004B2808" w:rsidRDefault="00000000">
      <w:pPr>
        <w:pStyle w:val="pheading"/>
      </w:pPr>
      <w:r>
        <w:t>- nature du marché:</w:t>
      </w:r>
    </w:p>
    <w:p w14:paraId="2C97B711" w14:textId="77777777" w:rsidR="004B2808" w:rsidRDefault="00000000">
      <w:r>
        <w:rPr>
          <w:rStyle w:val="optioncarChar"/>
        </w:rPr>
        <w:t>QF</w:t>
      </w:r>
      <w:r>
        <w:t> (par défaut) </w:t>
      </w:r>
      <w:r>
        <w:rPr>
          <w:rStyle w:val="optioncarChar"/>
        </w:rPr>
        <w:t>/ ***</w:t>
      </w:r>
    </w:p>
    <w:p w14:paraId="5356DD91" w14:textId="77777777" w:rsidR="004B2808" w:rsidRDefault="00000000">
      <w:pPr>
        <w:pStyle w:val="Author-eSectionHeading5Numberless"/>
      </w:pPr>
      <w:bookmarkStart w:id="1705" w:name="_Toc220491790"/>
      <w:r>
        <w:t>58.13.3 Mobilier de cuisine - Panneaux de finition (façades, joues, plinthes) CCTB 01.02</w:t>
      </w:r>
      <w:bookmarkEnd w:id="1705"/>
    </w:p>
    <w:p w14:paraId="467EEE13" w14:textId="77777777" w:rsidR="004B2808" w:rsidRDefault="00000000">
      <w:pPr>
        <w:pStyle w:val="Author-eSectionHeading6Numberless"/>
      </w:pPr>
      <w:bookmarkStart w:id="1706" w:name="_Toc220491791"/>
      <w:r>
        <w:t>58.13.3a Mobilier de cuisine - Panneaux de finition (façades, joues, plinthes) CCTB 01.10</w:t>
      </w:r>
      <w:bookmarkEnd w:id="1706"/>
    </w:p>
    <w:p w14:paraId="0E80260C" w14:textId="77777777" w:rsidR="004B2808" w:rsidRDefault="00000000">
      <w:pPr>
        <w:pStyle w:val="pheading"/>
      </w:pPr>
      <w:r>
        <w:t>DESCRIPTION</w:t>
      </w:r>
    </w:p>
    <w:p w14:paraId="65405759" w14:textId="77777777" w:rsidR="004B2808" w:rsidRDefault="00000000">
      <w:pPr>
        <w:pStyle w:val="pheading"/>
      </w:pPr>
      <w:r>
        <w:t>- Localisation</w:t>
      </w:r>
    </w:p>
    <w:p w14:paraId="7063EBFD" w14:textId="77777777" w:rsidR="004B2808" w:rsidRDefault="00000000">
      <w:pPr>
        <w:pStyle w:val="heading"/>
      </w:pPr>
      <w:r>
        <w:t>Description des armoires</w:t>
      </w:r>
    </w:p>
    <w:p w14:paraId="44613003" w14:textId="77777777" w:rsidR="004B2808" w:rsidRDefault="00000000">
      <w:r>
        <w:t>(voir les plans détaillés par type joints en annexe)</w:t>
      </w:r>
    </w:p>
    <w:p w14:paraId="5F7BBA88" w14:textId="77777777" w:rsidR="004B2808" w:rsidRDefault="00000000">
      <w:pPr>
        <w:pStyle w:val="Author-eListParagraph"/>
        <w:numPr>
          <w:ilvl w:val="0"/>
          <w:numId w:val="1583"/>
        </w:numPr>
      </w:pPr>
      <w:r>
        <w:t xml:space="preserve">Ensemble d'armoires suspendues composé de </w:t>
      </w:r>
      <w:r>
        <w:rPr>
          <w:rStyle w:val="optioncarChar"/>
        </w:rPr>
        <w:t xml:space="preserve">*** </w:t>
      </w:r>
    </w:p>
    <w:p w14:paraId="28AFCC46" w14:textId="77777777" w:rsidR="004B2808" w:rsidRDefault="00000000">
      <w:pPr>
        <w:pStyle w:val="Author-eListParagraph"/>
        <w:numPr>
          <w:ilvl w:val="0"/>
          <w:numId w:val="1583"/>
        </w:numPr>
      </w:pPr>
      <w:r>
        <w:t xml:space="preserve">Ensemble d'armoires colonnes composé de </w:t>
      </w:r>
      <w:r>
        <w:rPr>
          <w:rStyle w:val="optioncarChar"/>
        </w:rPr>
        <w:t xml:space="preserve">*** </w:t>
      </w:r>
    </w:p>
    <w:p w14:paraId="7B3C5D3D" w14:textId="77777777" w:rsidR="004B2808" w:rsidRDefault="00000000">
      <w:pPr>
        <w:pStyle w:val="Author-eListParagraph"/>
        <w:numPr>
          <w:ilvl w:val="0"/>
          <w:numId w:val="1583"/>
        </w:numPr>
      </w:pPr>
      <w:r>
        <w:t xml:space="preserve">Ensemble d'armoires de base composé de </w:t>
      </w:r>
      <w:r>
        <w:rPr>
          <w:rStyle w:val="optioncarChar"/>
        </w:rPr>
        <w:t>***</w:t>
      </w:r>
      <w:r>
        <w:t xml:space="preserve">     </w:t>
      </w:r>
    </w:p>
    <w:p w14:paraId="55D1D5C2" w14:textId="77777777" w:rsidR="004B2808" w:rsidRDefault="00000000">
      <w:pPr>
        <w:pStyle w:val="pheading"/>
      </w:pPr>
      <w:r>
        <w:t>MATÉRIAUX</w:t>
      </w:r>
    </w:p>
    <w:p w14:paraId="6E026331" w14:textId="77777777" w:rsidR="004B2808" w:rsidRDefault="00000000">
      <w:pPr>
        <w:pStyle w:val="pheading"/>
      </w:pPr>
      <w:r>
        <w:t>- Caractéristiques générales</w:t>
      </w:r>
    </w:p>
    <w:p w14:paraId="6CA44855" w14:textId="77777777" w:rsidR="004B2808" w:rsidRDefault="00000000">
      <w:pPr>
        <w:pStyle w:val="heading"/>
      </w:pPr>
      <w:r>
        <w:t>Spécifications</w:t>
      </w:r>
    </w:p>
    <w:p w14:paraId="7577D6B1" w14:textId="77777777" w:rsidR="004B2808" w:rsidRDefault="00000000">
      <w:pPr>
        <w:pStyle w:val="Author-eListParagraph"/>
        <w:numPr>
          <w:ilvl w:val="0"/>
          <w:numId w:val="1584"/>
        </w:numPr>
      </w:pPr>
      <w:r>
        <w:t xml:space="preserve">Matériau : </w:t>
      </w:r>
      <w:r>
        <w:rPr>
          <w:rStyle w:val="optioncarChar"/>
        </w:rPr>
        <w:t>panneaux de bois aggloméré revêtus </w:t>
      </w:r>
      <w:r>
        <w:t xml:space="preserve">(par défaut) </w:t>
      </w:r>
      <w:r>
        <w:rPr>
          <w:rStyle w:val="optioncarChar"/>
        </w:rPr>
        <w:t>/ contreplaqué (bouleau </w:t>
      </w:r>
      <w:r>
        <w:t>(par défaut)</w:t>
      </w:r>
      <w:r>
        <w:rPr>
          <w:rStyle w:val="optioncarChar"/>
        </w:rPr>
        <w:t xml:space="preserve"> / ***) / MDF / *** </w:t>
      </w:r>
    </w:p>
    <w:p w14:paraId="11744136" w14:textId="77777777" w:rsidR="004B2808" w:rsidRDefault="00000000">
      <w:pPr>
        <w:pStyle w:val="Author-eListParagraph"/>
        <w:numPr>
          <w:ilvl w:val="0"/>
          <w:numId w:val="1584"/>
        </w:numPr>
      </w:pPr>
      <w:r>
        <w:t xml:space="preserve">Epaisseur des plaques : </w:t>
      </w:r>
      <w:r>
        <w:rPr>
          <w:rStyle w:val="optioncarChar"/>
        </w:rPr>
        <w:t>18 </w:t>
      </w:r>
      <w:r>
        <w:t>(par défaut)</w:t>
      </w:r>
      <w:r>
        <w:rPr>
          <w:rStyle w:val="optioncarChar"/>
        </w:rPr>
        <w:t> / *** </w:t>
      </w:r>
      <w:r>
        <w:t>mm</w:t>
      </w:r>
    </w:p>
    <w:p w14:paraId="33F6604D" w14:textId="77777777" w:rsidR="004B2808" w:rsidRDefault="00000000">
      <w:pPr>
        <w:pStyle w:val="Author-eListParagraph"/>
        <w:numPr>
          <w:ilvl w:val="0"/>
          <w:numId w:val="1584"/>
        </w:numPr>
      </w:pPr>
      <w:r>
        <w:t>Revêtement des panneaux frontaux (dans le cas de panneaux de bois agglomérés) :</w:t>
      </w:r>
    </w:p>
    <w:p w14:paraId="0DD93FD8" w14:textId="77777777" w:rsidR="004B2808" w:rsidRDefault="00000000">
      <w:pPr>
        <w:ind w:left="454"/>
      </w:pPr>
      <w:r>
        <w:rPr>
          <w:b/>
        </w:rPr>
        <w:t>Choix opéré</w:t>
      </w:r>
      <w:r>
        <w:t xml:space="preserve"> : </w:t>
      </w:r>
      <w:r>
        <w:rPr>
          <w:rStyle w:val="optioncarChar"/>
        </w:rPr>
        <w:t>*** / OPTION 1 </w:t>
      </w:r>
      <w:r>
        <w:t xml:space="preserve">(par défaut) </w:t>
      </w:r>
      <w:r>
        <w:rPr>
          <w:rStyle w:val="optioncarChar"/>
        </w:rPr>
        <w:t>/ OPTION 2 / OPTION 3</w:t>
      </w:r>
      <w:r>
        <w:br/>
      </w:r>
      <w:r>
        <w:rPr>
          <w:b/>
        </w:rPr>
        <w:t>OPTION 1 (par défaut)</w:t>
      </w:r>
      <w:r>
        <w:t xml:space="preserve"> : mélaminé. Chants : </w:t>
      </w:r>
      <w:r>
        <w:rPr>
          <w:rStyle w:val="optioncarChar"/>
        </w:rPr>
        <w:t>feuille en matière synthétique feuille </w:t>
      </w:r>
      <w:r>
        <w:t>(par défaut)</w:t>
      </w:r>
      <w:r>
        <w:rPr>
          <w:rStyle w:val="optioncarChar"/>
        </w:rPr>
        <w:t xml:space="preserve"> / listel acrylique / ***</w:t>
      </w:r>
      <w:r>
        <w:t xml:space="preserve">, épaisseur min. </w:t>
      </w:r>
      <w:r>
        <w:rPr>
          <w:rStyle w:val="optioncarChar"/>
        </w:rPr>
        <w:t>2 </w:t>
      </w:r>
      <w:r>
        <w:t>(par défaut)</w:t>
      </w:r>
      <w:r>
        <w:rPr>
          <w:rStyle w:val="optioncarChar"/>
        </w:rPr>
        <w:t> / ***</w:t>
      </w:r>
      <w:r>
        <w:t xml:space="preserve"> mm. </w:t>
      </w:r>
      <w:r>
        <w:br/>
      </w:r>
      <w:r>
        <w:rPr>
          <w:b/>
        </w:rPr>
        <w:t>OPTION 2 </w:t>
      </w:r>
      <w:r>
        <w:t xml:space="preserve">: plaque de stratifié haute pression, classe HPL-EN 438 VGS ou S 232, épaisseur </w:t>
      </w:r>
      <w:r>
        <w:rPr>
          <w:rStyle w:val="optioncarChar"/>
        </w:rPr>
        <w:t>0,8</w:t>
      </w:r>
      <w:r>
        <w:t> (par défaut)</w:t>
      </w:r>
      <w:r>
        <w:rPr>
          <w:rStyle w:val="optioncarChar"/>
        </w:rPr>
        <w:t> / ***</w:t>
      </w:r>
      <w:r>
        <w:t xml:space="preserve">  mm. Chants : listel acrylique, épaisseur min . </w:t>
      </w:r>
      <w:r>
        <w:rPr>
          <w:rStyle w:val="optioncarChar"/>
        </w:rPr>
        <w:t>2 </w:t>
      </w:r>
      <w:r>
        <w:t>(par défaut)</w:t>
      </w:r>
      <w:r>
        <w:rPr>
          <w:rStyle w:val="optioncarChar"/>
        </w:rPr>
        <w:t> / ***</w:t>
      </w:r>
      <w:r>
        <w:t xml:space="preserve"> mm. </w:t>
      </w:r>
      <w:r>
        <w:br/>
      </w:r>
      <w:r>
        <w:rPr>
          <w:b/>
        </w:rPr>
        <w:t>OPTION 3</w:t>
      </w:r>
      <w:r>
        <w:t xml:space="preserve"> : plaque de stratifié haute pression, classe HPL-EN 438 VGP ou P 222, épaisseur </w:t>
      </w:r>
      <w:r>
        <w:rPr>
          <w:rStyle w:val="optioncarChar"/>
        </w:rPr>
        <w:t>0,8</w:t>
      </w:r>
      <w:r>
        <w:t> (par défaut)</w:t>
      </w:r>
      <w:r>
        <w:rPr>
          <w:rStyle w:val="optioncarChar"/>
        </w:rPr>
        <w:t> / ***</w:t>
      </w:r>
      <w:r>
        <w:t>  mm.</w:t>
      </w:r>
    </w:p>
    <w:p w14:paraId="6272FB16" w14:textId="77777777" w:rsidR="004B2808" w:rsidRDefault="00000000">
      <w:pPr>
        <w:pStyle w:val="Author-eListParagraph"/>
        <w:numPr>
          <w:ilvl w:val="0"/>
          <w:numId w:val="1585"/>
        </w:numPr>
      </w:pPr>
      <w:r>
        <w:t xml:space="preserve">Charnières : </w:t>
      </w:r>
    </w:p>
    <w:p w14:paraId="70176EFB" w14:textId="77777777" w:rsidR="004B2808" w:rsidRDefault="00000000">
      <w:pPr>
        <w:pStyle w:val="Author-eListParagraph"/>
        <w:numPr>
          <w:ilvl w:val="1"/>
          <w:numId w:val="1586"/>
        </w:numPr>
      </w:pPr>
      <w:r>
        <w:lastRenderedPageBreak/>
        <w:t xml:space="preserve">Type : </w:t>
      </w:r>
      <w:r>
        <w:rPr>
          <w:rStyle w:val="optioncarChar"/>
        </w:rPr>
        <w:t>type à fermeture automatique à boîtier</w:t>
      </w:r>
      <w:r>
        <w:t xml:space="preserve"> (par défaut) </w:t>
      </w:r>
      <w:r>
        <w:rPr>
          <w:rStyle w:val="optioncarChar"/>
        </w:rPr>
        <w:t xml:space="preserve">/ *** </w:t>
      </w:r>
    </w:p>
    <w:p w14:paraId="4E0973EA" w14:textId="77777777" w:rsidR="004B2808" w:rsidRDefault="00000000">
      <w:pPr>
        <w:pStyle w:val="Author-eListParagraph"/>
        <w:numPr>
          <w:ilvl w:val="1"/>
          <w:numId w:val="1586"/>
        </w:numPr>
      </w:pPr>
      <w:r>
        <w:t xml:space="preserve">Angle d'ouverture : </w:t>
      </w:r>
      <w:r>
        <w:rPr>
          <w:rStyle w:val="optioncarChar"/>
        </w:rPr>
        <w:t>90° (par défaut) / 170° / ***</w:t>
      </w:r>
    </w:p>
    <w:p w14:paraId="5BB0C507" w14:textId="77777777" w:rsidR="004B2808" w:rsidRDefault="00000000">
      <w:pPr>
        <w:pStyle w:val="pheading"/>
      </w:pPr>
      <w:r>
        <w:t>- Finitions</w:t>
      </w:r>
    </w:p>
    <w:p w14:paraId="27838266" w14:textId="77777777" w:rsidR="004B2808" w:rsidRDefault="00000000">
      <w:r>
        <w:t xml:space="preserve">Coloris : </w:t>
      </w:r>
      <w:r>
        <w:rPr>
          <w:rStyle w:val="optioncarChar"/>
        </w:rPr>
        <w:t>blanc </w:t>
      </w:r>
      <w:r>
        <w:t>(par défaut)</w:t>
      </w:r>
      <w:r>
        <w:rPr>
          <w:rStyle w:val="optioncarChar"/>
        </w:rPr>
        <w:t xml:space="preserve"> / à choisir dans la gamme de couleurs standard du fabricant / ***</w:t>
      </w:r>
      <w:r>
        <w:t>.</w:t>
      </w:r>
      <w:r>
        <w:br/>
        <w:t xml:space="preserve">Texture de la surface : </w:t>
      </w:r>
      <w:r>
        <w:rPr>
          <w:rStyle w:val="optioncarChar"/>
        </w:rPr>
        <w:t xml:space="preserve">légèrement structurée (encrassement moins rapide) </w:t>
      </w:r>
      <w:r>
        <w:t>(par défaut) </w:t>
      </w:r>
      <w:r>
        <w:rPr>
          <w:rStyle w:val="optioncarChar"/>
        </w:rPr>
        <w:t>/ ***</w:t>
      </w:r>
    </w:p>
    <w:p w14:paraId="7B2E4942" w14:textId="77777777" w:rsidR="004B2808" w:rsidRDefault="00000000">
      <w:pPr>
        <w:pStyle w:val="pheading"/>
      </w:pPr>
      <w:r>
        <w:t>- Prescriptions complémentaires</w:t>
      </w:r>
    </w:p>
    <w:p w14:paraId="39BD70BF" w14:textId="77777777" w:rsidR="004B2808" w:rsidRDefault="00000000">
      <w:r>
        <w:t>Le postforming des portes d'armoires est:</w:t>
      </w:r>
    </w:p>
    <w:p w14:paraId="339B2E52" w14:textId="77777777" w:rsidR="004B2808" w:rsidRDefault="00000000">
      <w:pPr>
        <w:ind w:left="450"/>
      </w:pPr>
      <w:r>
        <w:br/>
      </w:r>
      <w:r>
        <w:rPr>
          <w:b/>
        </w:rPr>
        <w:t xml:space="preserve">Choix opéré : </w:t>
      </w:r>
      <w:r>
        <w:rPr>
          <w:rStyle w:val="optioncarChar"/>
          <w:b/>
        </w:rPr>
        <w:t>*** / OPTION 1 (horizontal)</w:t>
      </w:r>
      <w:r>
        <w:t xml:space="preserve"> (par défaut)</w:t>
      </w:r>
      <w:r>
        <w:rPr>
          <w:rStyle w:val="optioncarChar"/>
          <w:b/>
        </w:rPr>
        <w:t> / OPTION 2 (vertical)</w:t>
      </w:r>
    </w:p>
    <w:p w14:paraId="634CDEF2" w14:textId="77777777" w:rsidR="004B2808" w:rsidRDefault="00000000">
      <w:pPr>
        <w:ind w:left="450"/>
      </w:pPr>
      <w:r>
        <w:rPr>
          <w:b/>
        </w:rPr>
        <w:t>OPTION 1 (par défaut)</w:t>
      </w:r>
      <w:r>
        <w:t xml:space="preserve"> : horizontal sur </w:t>
      </w:r>
      <w:r>
        <w:rPr>
          <w:rStyle w:val="optioncarChar"/>
        </w:rPr>
        <w:t>*** / 90° </w:t>
      </w:r>
      <w:r>
        <w:t>(par défaut)</w:t>
      </w:r>
      <w:r>
        <w:rPr>
          <w:rStyle w:val="optioncarChar"/>
        </w:rPr>
        <w:t xml:space="preserve"> / 180°</w:t>
      </w:r>
      <w:r>
        <w:t xml:space="preserve"> sur toute l'épaisseur . </w:t>
      </w:r>
      <w:r>
        <w:br/>
      </w:r>
      <w:r>
        <w:rPr>
          <w:b/>
        </w:rPr>
        <w:t xml:space="preserve">OPTION 2 </w:t>
      </w:r>
      <w:r>
        <w:t>: vertical sur 90°</w:t>
      </w:r>
    </w:p>
    <w:p w14:paraId="1711DDFB" w14:textId="77777777" w:rsidR="004B2808" w:rsidRDefault="00000000">
      <w:pPr>
        <w:pStyle w:val="pheading"/>
      </w:pPr>
      <w:r>
        <w:t>MESURAGE</w:t>
      </w:r>
    </w:p>
    <w:p w14:paraId="237DA786" w14:textId="77777777" w:rsidR="004B2808" w:rsidRDefault="00000000">
      <w:r>
        <w:t>Conformément à la nature des aménagements de cuisine prévus, les indications spécifiques dans le cahier spécial des charges et/ou le métré récapitulatif, le mesurage doit en principe être conçu comme suit :</w:t>
      </w:r>
    </w:p>
    <w:p w14:paraId="26908225" w14:textId="77777777" w:rsidR="004B2808" w:rsidRDefault="00000000">
      <w:pPr>
        <w:pStyle w:val="pheading"/>
      </w:pPr>
      <w:r>
        <w:t>- unité de mesure:</w:t>
      </w:r>
    </w:p>
    <w:p w14:paraId="10DD7D57" w14:textId="77777777" w:rsidR="004B2808" w:rsidRDefault="00000000">
      <w:r>
        <w:rPr>
          <w:rStyle w:val="optioncarChar"/>
        </w:rPr>
        <w:t>p</w:t>
      </w:r>
      <w:r>
        <w:t> (par défaut)</w:t>
      </w:r>
      <w:r>
        <w:rPr>
          <w:rStyle w:val="optioncarChar"/>
        </w:rPr>
        <w:t> / m / ***</w:t>
      </w:r>
    </w:p>
    <w:p w14:paraId="1C1E396A" w14:textId="77777777" w:rsidR="004B2808" w:rsidRDefault="00000000">
      <w:pPr>
        <w:pStyle w:val="pheading"/>
      </w:pPr>
      <w:r>
        <w:t>- code de mesurage:</w:t>
      </w:r>
    </w:p>
    <w:p w14:paraId="4E8D63EF" w14:textId="77777777" w:rsidR="004B2808" w:rsidRDefault="00000000">
      <w:r>
        <w:rPr>
          <w:rStyle w:val="optioncarChar"/>
        </w:rPr>
        <w:t>selon le type de cuisine </w:t>
      </w:r>
      <w:r>
        <w:t>(par défaut)</w:t>
      </w:r>
      <w:r>
        <w:rPr>
          <w:rStyle w:val="optioncarChar"/>
        </w:rPr>
        <w:t xml:space="preserve"> / en fonction du type d'armoire : colonne, armoire basse, armoire suspendue / ***.</w:t>
      </w:r>
    </w:p>
    <w:p w14:paraId="213FAC28" w14:textId="77777777" w:rsidR="004B2808" w:rsidRDefault="00000000">
      <w:pPr>
        <w:pStyle w:val="pheading"/>
      </w:pPr>
      <w:r>
        <w:t>- nature du marché:</w:t>
      </w:r>
    </w:p>
    <w:p w14:paraId="22BC3653" w14:textId="77777777" w:rsidR="004B2808" w:rsidRDefault="00000000">
      <w:r>
        <w:rPr>
          <w:rStyle w:val="optioncarChar"/>
        </w:rPr>
        <w:t>QF </w:t>
      </w:r>
      <w:r>
        <w:t>(par défaut)</w:t>
      </w:r>
      <w:r>
        <w:rPr>
          <w:rStyle w:val="optioncarChar"/>
        </w:rPr>
        <w:t> / ***</w:t>
      </w:r>
    </w:p>
    <w:p w14:paraId="297CE60C" w14:textId="77777777" w:rsidR="004B2808" w:rsidRDefault="00000000">
      <w:pPr>
        <w:pStyle w:val="Author-eSectionHeading4Numberless"/>
      </w:pPr>
      <w:bookmarkStart w:id="1707" w:name="_Toc220491792"/>
      <w:r>
        <w:t>58.14 Mobilier de cuisine - Comptoir de distribution CCTB 01.02</w:t>
      </w:r>
      <w:bookmarkEnd w:id="1707"/>
    </w:p>
    <w:p w14:paraId="3792104F" w14:textId="77777777" w:rsidR="004B2808" w:rsidRDefault="00000000">
      <w:pPr>
        <w:pStyle w:val="Author-eSectionHeading5Numberless"/>
      </w:pPr>
      <w:bookmarkStart w:id="1708" w:name="_Toc220491793"/>
      <w:r>
        <w:t>58.14.1 Mobilier de cuisine - Comptoir de distribution - Eléments blocs encastrés dans le comptoir CCTB 01.02</w:t>
      </w:r>
      <w:bookmarkEnd w:id="1708"/>
    </w:p>
    <w:p w14:paraId="79887825" w14:textId="77777777" w:rsidR="004B2808" w:rsidRDefault="00000000">
      <w:pPr>
        <w:pStyle w:val="Author-eSectionHeading6Numberless"/>
      </w:pPr>
      <w:bookmarkStart w:id="1709" w:name="_Toc220491794"/>
      <w:r>
        <w:t>58.14.1a Mobilier de cuisine - Comptoir de distribution - Eléments blocs encastrés dans le comptoir CCTB 01.02</w:t>
      </w:r>
      <w:bookmarkEnd w:id="1709"/>
    </w:p>
    <w:p w14:paraId="03760E4B" w14:textId="77777777" w:rsidR="004B2808" w:rsidRDefault="00000000">
      <w:pPr>
        <w:pStyle w:val="Author-eSectionHeading5Numberless"/>
      </w:pPr>
      <w:bookmarkStart w:id="1710" w:name="_Toc220491795"/>
      <w:r>
        <w:t>58.14.2 Mobilier de cuisine - Comptoir de distribution - Structure complémentaire CCTB 01.02</w:t>
      </w:r>
      <w:bookmarkEnd w:id="1710"/>
    </w:p>
    <w:p w14:paraId="630F079F" w14:textId="77777777" w:rsidR="004B2808" w:rsidRDefault="00000000">
      <w:pPr>
        <w:pStyle w:val="Author-eSectionHeading6Numberless"/>
      </w:pPr>
      <w:bookmarkStart w:id="1711" w:name="_Toc220491796"/>
      <w:r>
        <w:t>58.14.2a Mobilier de cuisine - Comptoir de distribution - Structure complémentaire CCTB 01.02</w:t>
      </w:r>
      <w:bookmarkEnd w:id="1711"/>
    </w:p>
    <w:p w14:paraId="52A43753" w14:textId="77777777" w:rsidR="004B2808" w:rsidRDefault="00000000">
      <w:pPr>
        <w:pStyle w:val="Author-eSectionHeading5Numberless"/>
      </w:pPr>
      <w:bookmarkStart w:id="1712" w:name="_Toc220491797"/>
      <w:r>
        <w:t>58.14.3 Mobilier de cuisine - Comptoir de distribution - Plan de travail / de distribution / de séparation / tablette CCTB 01.02</w:t>
      </w:r>
      <w:bookmarkEnd w:id="1712"/>
    </w:p>
    <w:p w14:paraId="00EB5FD2" w14:textId="77777777" w:rsidR="004B2808" w:rsidRDefault="00000000">
      <w:pPr>
        <w:pStyle w:val="Author-eSectionHeading6Numberless"/>
      </w:pPr>
      <w:bookmarkStart w:id="1713" w:name="_Toc220491798"/>
      <w:r>
        <w:t>58.14.3a Mobilier de cuisine - Comptoir de distribution - Plan de travail / de distribution / de séparation / tablette CCTB 01.02</w:t>
      </w:r>
      <w:bookmarkEnd w:id="1713"/>
    </w:p>
    <w:p w14:paraId="60C7A7A5" w14:textId="77777777" w:rsidR="004B2808" w:rsidRDefault="00000000">
      <w:pPr>
        <w:pStyle w:val="Author-eSectionHeading5Numberless"/>
      </w:pPr>
      <w:bookmarkStart w:id="1714" w:name="_Toc220491799"/>
      <w:r>
        <w:t>58.14.4 Mobilier de cuisine - Comptoir de distribution - Plan de distribution CCTB 01.02</w:t>
      </w:r>
      <w:bookmarkEnd w:id="1714"/>
    </w:p>
    <w:p w14:paraId="66775329" w14:textId="77777777" w:rsidR="004B2808" w:rsidRDefault="00000000">
      <w:pPr>
        <w:pStyle w:val="Author-eSectionHeading6Numberless"/>
      </w:pPr>
      <w:bookmarkStart w:id="1715" w:name="_Toc220491800"/>
      <w:r>
        <w:t>58.14.4a Mobilier de cuisine - Comptoir de distribution - Plan de distribution CCTB 01.02</w:t>
      </w:r>
      <w:bookmarkEnd w:id="1715"/>
    </w:p>
    <w:p w14:paraId="0ABE389E" w14:textId="77777777" w:rsidR="004B2808" w:rsidRDefault="00000000">
      <w:pPr>
        <w:pStyle w:val="Author-eSectionHeading5Numberless"/>
      </w:pPr>
      <w:bookmarkStart w:id="1716" w:name="_Toc220491801"/>
      <w:r>
        <w:lastRenderedPageBreak/>
        <w:t>58.14.5 Mobilier de cuisine - Comptoir de distribution - Panneaux de séparation CCTB 01.02</w:t>
      </w:r>
      <w:bookmarkEnd w:id="1716"/>
    </w:p>
    <w:p w14:paraId="3E8ECE61" w14:textId="77777777" w:rsidR="004B2808" w:rsidRDefault="00000000">
      <w:pPr>
        <w:pStyle w:val="Author-eSectionHeading6Numberless"/>
      </w:pPr>
      <w:bookmarkStart w:id="1717" w:name="_Toc220491802"/>
      <w:r>
        <w:t>58.14.5a Mobilier de cuisine - Comptoir de distribution - Panneaux de séparation CCTB 01.02</w:t>
      </w:r>
      <w:bookmarkEnd w:id="1717"/>
    </w:p>
    <w:p w14:paraId="079035EF" w14:textId="77777777" w:rsidR="004B2808" w:rsidRDefault="00000000">
      <w:pPr>
        <w:pStyle w:val="Author-eSectionHeading5Numberless"/>
      </w:pPr>
      <w:bookmarkStart w:id="1718" w:name="_Toc220491803"/>
      <w:r>
        <w:t>58.14.6 Mobilier de cuisine - Comptoir de distribution - Tablettes CCTB 01.02</w:t>
      </w:r>
      <w:bookmarkEnd w:id="1718"/>
    </w:p>
    <w:p w14:paraId="4271CB5F" w14:textId="77777777" w:rsidR="004B2808" w:rsidRDefault="00000000">
      <w:pPr>
        <w:pStyle w:val="Author-eSectionHeading6Numberless"/>
      </w:pPr>
      <w:bookmarkStart w:id="1719" w:name="_Toc220491804"/>
      <w:r>
        <w:t>58.14.6a Mobilier de cuisine - Comptoir de distribution - Tablettes CCTB 01.02</w:t>
      </w:r>
      <w:bookmarkEnd w:id="1719"/>
    </w:p>
    <w:p w14:paraId="2293C22C" w14:textId="77777777" w:rsidR="004B2808" w:rsidRDefault="00000000">
      <w:pPr>
        <w:pStyle w:val="Author-eSectionHeading4Numberless"/>
      </w:pPr>
      <w:bookmarkStart w:id="1720" w:name="_Toc220491805"/>
      <w:r>
        <w:t>58.15 Mobilier de cuisine - Quincaillerie complémentaire CCTB 01.02</w:t>
      </w:r>
      <w:bookmarkEnd w:id="1720"/>
    </w:p>
    <w:p w14:paraId="198CD07A" w14:textId="77777777" w:rsidR="004B2808" w:rsidRDefault="00000000">
      <w:pPr>
        <w:pStyle w:val="Author-eSectionHeading5Numberless"/>
      </w:pPr>
      <w:bookmarkStart w:id="1721" w:name="_Toc220491806"/>
      <w:r>
        <w:t>58.15.1 Mobilier de cuisine - Quincaillerie complémentaire - Poignées et tirants CCTB 01.02</w:t>
      </w:r>
      <w:bookmarkEnd w:id="1721"/>
    </w:p>
    <w:p w14:paraId="4A269E87" w14:textId="77777777" w:rsidR="004B2808" w:rsidRDefault="00000000">
      <w:pPr>
        <w:pStyle w:val="Author-eSectionHeading6Numberless"/>
      </w:pPr>
      <w:bookmarkStart w:id="1722" w:name="_Toc220491807"/>
      <w:r>
        <w:t>58.15.1a Mobilier de cuisine - Quincaillerie complémentaire - Poignées et tirants CCTB 01.10</w:t>
      </w:r>
      <w:bookmarkEnd w:id="1722"/>
    </w:p>
    <w:p w14:paraId="469C8273" w14:textId="77777777" w:rsidR="004B2808" w:rsidRDefault="00000000">
      <w:pPr>
        <w:pStyle w:val="pheading"/>
      </w:pPr>
      <w:r>
        <w:t>MATÉRIAUX</w:t>
      </w:r>
    </w:p>
    <w:p w14:paraId="7D4554B5" w14:textId="77777777" w:rsidR="004B2808" w:rsidRDefault="00000000">
      <w:pPr>
        <w:pStyle w:val="pheading"/>
      </w:pPr>
      <w:r>
        <w:t>- Caractéristiques générales</w:t>
      </w:r>
    </w:p>
    <w:p w14:paraId="67CFA946" w14:textId="77777777" w:rsidR="004B2808" w:rsidRDefault="00000000">
      <w:pPr>
        <w:pStyle w:val="heading"/>
      </w:pPr>
      <w:r>
        <w:t>Spécifications</w:t>
      </w:r>
    </w:p>
    <w:p w14:paraId="249DD6A5" w14:textId="77777777" w:rsidR="004B2808" w:rsidRDefault="00000000">
      <w:r>
        <w:rPr>
          <w:b/>
        </w:rPr>
        <w:t>OPTION 1</w:t>
      </w:r>
      <w:r>
        <w:t>(par défaut) : Sans poignées visibles </w:t>
      </w:r>
    </w:p>
    <w:p w14:paraId="56404737" w14:textId="77777777" w:rsidR="004B2808" w:rsidRDefault="00000000">
      <w:pPr>
        <w:pStyle w:val="Author-eListParagraph"/>
        <w:numPr>
          <w:ilvl w:val="0"/>
          <w:numId w:val="1587"/>
        </w:numPr>
      </w:pPr>
      <w:r>
        <w:t>Tiroirs et armoires basses : profil en</w:t>
      </w:r>
      <w:r>
        <w:rPr>
          <w:rStyle w:val="optioncarChar"/>
        </w:rPr>
        <w:t> C (par défaut) / U / ***</w:t>
      </w:r>
      <w:r>
        <w:t xml:space="preserve"> embrevé en</w:t>
      </w:r>
      <w:r>
        <w:rPr>
          <w:rStyle w:val="optioncarChar"/>
        </w:rPr>
        <w:t> aluminium</w:t>
      </w:r>
      <w:r>
        <w:t> (par défaut)</w:t>
      </w:r>
      <w:r>
        <w:rPr>
          <w:rStyle w:val="optioncarChar"/>
        </w:rPr>
        <w:t> / acier chromé / acier inoxydable / ***</w:t>
      </w:r>
    </w:p>
    <w:p w14:paraId="7AF8E98F" w14:textId="77777777" w:rsidR="004B2808" w:rsidRDefault="00000000">
      <w:pPr>
        <w:pStyle w:val="Author-eListParagraph"/>
        <w:numPr>
          <w:ilvl w:val="0"/>
          <w:numId w:val="1587"/>
        </w:numPr>
      </w:pPr>
      <w:r>
        <w:t xml:space="preserve">Hauteur : minimum </w:t>
      </w:r>
      <w:r>
        <w:rPr>
          <w:rStyle w:val="optioncarChar"/>
        </w:rPr>
        <w:t>6 </w:t>
      </w:r>
      <w:r>
        <w:t>(par défaut)</w:t>
      </w:r>
      <w:r>
        <w:rPr>
          <w:rStyle w:val="optioncarChar"/>
        </w:rPr>
        <w:t> / *** </w:t>
      </w:r>
      <w:r>
        <w:t xml:space="preserve"> cm. </w:t>
      </w:r>
    </w:p>
    <w:p w14:paraId="3A251852" w14:textId="77777777" w:rsidR="004B2808" w:rsidRDefault="00000000">
      <w:pPr>
        <w:pStyle w:val="Author-eListParagraph"/>
        <w:numPr>
          <w:ilvl w:val="0"/>
          <w:numId w:val="1587"/>
        </w:numPr>
      </w:pPr>
      <w:r>
        <w:t xml:space="preserve"> Coloris : </w:t>
      </w:r>
      <w:r>
        <w:rPr>
          <w:rStyle w:val="optioncarChar"/>
        </w:rPr>
        <w:t>*** / blanc </w:t>
      </w:r>
      <w:r>
        <w:t>.</w:t>
      </w:r>
    </w:p>
    <w:p w14:paraId="3C22E7EB" w14:textId="77777777" w:rsidR="004B2808" w:rsidRDefault="00000000">
      <w:pPr>
        <w:pStyle w:val="Author-eListParagraph"/>
        <w:numPr>
          <w:ilvl w:val="0"/>
          <w:numId w:val="1587"/>
        </w:numPr>
      </w:pPr>
      <w:r>
        <w:t xml:space="preserve"> Armoires suspendues : les portes des armoires dépasseront d'environ </w:t>
      </w:r>
      <w:r>
        <w:rPr>
          <w:rStyle w:val="optioncarChar"/>
        </w:rPr>
        <w:t>4</w:t>
      </w:r>
      <w:r>
        <w:t> (par défaut)</w:t>
      </w:r>
      <w:r>
        <w:rPr>
          <w:rStyle w:val="optioncarChar"/>
        </w:rPr>
        <w:t> / ***</w:t>
      </w:r>
      <w:r>
        <w:t> cm par rapport à la structure de l'armoire.</w:t>
      </w:r>
    </w:p>
    <w:p w14:paraId="2227EBF4" w14:textId="77777777" w:rsidR="004B2808" w:rsidRDefault="00000000">
      <w:r>
        <w:rPr>
          <w:b/>
        </w:rPr>
        <w:t>OPION 2</w:t>
      </w:r>
      <w:r>
        <w:t xml:space="preserve"> : Avec poignées</w:t>
      </w:r>
    </w:p>
    <w:p w14:paraId="7093B15A" w14:textId="77777777" w:rsidR="004B2808" w:rsidRDefault="00000000">
      <w:pPr>
        <w:pStyle w:val="Author-eListParagraph"/>
        <w:numPr>
          <w:ilvl w:val="0"/>
          <w:numId w:val="1588"/>
        </w:numPr>
      </w:pPr>
      <w:r>
        <w:t>Poignées en forme de</w:t>
      </w:r>
      <w:r>
        <w:rPr>
          <w:rStyle w:val="optioncarChar"/>
        </w:rPr>
        <w:t> U </w:t>
      </w:r>
      <w:r>
        <w:t>(par défaut) </w:t>
      </w:r>
      <w:r>
        <w:rPr>
          <w:rStyle w:val="optioncarChar"/>
        </w:rPr>
        <w:t>/ ***</w:t>
      </w:r>
      <w:r>
        <w:t xml:space="preserve"> en </w:t>
      </w:r>
      <w:r>
        <w:rPr>
          <w:rStyle w:val="optioncarChar"/>
        </w:rPr>
        <w:t>acier chromé </w:t>
      </w:r>
      <w:r>
        <w:t>(par défaut)</w:t>
      </w:r>
      <w:r>
        <w:rPr>
          <w:rStyle w:val="optioncarChar"/>
        </w:rPr>
        <w:t xml:space="preserve"> / acier inoxydable / matière synthétique de première qualité / *** </w:t>
      </w:r>
      <w:r>
        <w:t xml:space="preserve">, de section </w:t>
      </w:r>
      <w:r>
        <w:rPr>
          <w:rStyle w:val="optioncarChar"/>
        </w:rPr>
        <w:t>ronde </w:t>
      </w:r>
      <w:r>
        <w:t>(par défaut)</w:t>
      </w:r>
      <w:r>
        <w:rPr>
          <w:rStyle w:val="optioncarChar"/>
        </w:rPr>
        <w:t> / ***</w:t>
      </w:r>
      <w:r>
        <w:t xml:space="preserve"> d'environ</w:t>
      </w:r>
      <w:r>
        <w:rPr>
          <w:rStyle w:val="optioncarChar"/>
        </w:rPr>
        <w:t> 8 </w:t>
      </w:r>
      <w:r>
        <w:t>(par défaut)</w:t>
      </w:r>
      <w:r>
        <w:rPr>
          <w:rStyle w:val="optioncarChar"/>
        </w:rPr>
        <w:t> / *** </w:t>
      </w:r>
      <w:r>
        <w:t xml:space="preserve">mm. Coloris : </w:t>
      </w:r>
      <w:r>
        <w:rPr>
          <w:rStyle w:val="optioncarChar"/>
        </w:rPr>
        <w:t>à choisir dans la gamme standard proposée par le fabricant </w:t>
      </w:r>
      <w:r>
        <w:t>(par défaut)</w:t>
      </w:r>
      <w:r>
        <w:rPr>
          <w:rStyle w:val="optioncarChar"/>
        </w:rPr>
        <w:t> / *** </w:t>
      </w:r>
      <w:r>
        <w:t>.</w:t>
      </w:r>
    </w:p>
    <w:p w14:paraId="6D07AEFF" w14:textId="77777777" w:rsidR="004B2808" w:rsidRDefault="00000000">
      <w:pPr>
        <w:pStyle w:val="Author-eListParagraph"/>
        <w:numPr>
          <w:ilvl w:val="0"/>
          <w:numId w:val="1588"/>
        </w:numPr>
      </w:pPr>
      <w:r>
        <w:t xml:space="preserve">Largeur : </w:t>
      </w:r>
      <w:r>
        <w:rPr>
          <w:rStyle w:val="optioncarChar"/>
        </w:rPr>
        <w:t>10</w:t>
      </w:r>
      <w:r>
        <w:t> (par défaut)</w:t>
      </w:r>
      <w:r>
        <w:rPr>
          <w:rStyle w:val="optioncarChar"/>
        </w:rPr>
        <w:t> / *** </w:t>
      </w:r>
      <w:r>
        <w:t xml:space="preserve">cm, débordement </w:t>
      </w:r>
      <w:r>
        <w:rPr>
          <w:rStyle w:val="optioncarChar"/>
        </w:rPr>
        <w:t>3</w:t>
      </w:r>
      <w:r>
        <w:t> (par défaut) </w:t>
      </w:r>
      <w:r>
        <w:rPr>
          <w:rStyle w:val="optioncarChar"/>
        </w:rPr>
        <w:t>/ ***</w:t>
      </w:r>
      <w:r>
        <w:t> cm.</w:t>
      </w:r>
    </w:p>
    <w:p w14:paraId="5AD15CA7" w14:textId="77777777" w:rsidR="004B2808" w:rsidRDefault="00000000">
      <w:r>
        <w:rPr>
          <w:b/>
        </w:rPr>
        <w:t>OPTION 3</w:t>
      </w:r>
      <w:r>
        <w:t xml:space="preserve"> : Avec boutons</w:t>
      </w:r>
    </w:p>
    <w:p w14:paraId="2CDC61CA" w14:textId="77777777" w:rsidR="004B2808" w:rsidRDefault="00000000">
      <w:pPr>
        <w:pStyle w:val="Author-eListParagraph"/>
        <w:numPr>
          <w:ilvl w:val="0"/>
          <w:numId w:val="1589"/>
        </w:numPr>
      </w:pPr>
      <w:r>
        <w:t xml:space="preserve">Poignées sphériques : </w:t>
      </w:r>
      <w:r>
        <w:rPr>
          <w:rStyle w:val="optioncarChar"/>
        </w:rPr>
        <w:t>bois </w:t>
      </w:r>
      <w:r>
        <w:t>(par défaut) </w:t>
      </w:r>
      <w:r>
        <w:rPr>
          <w:rStyle w:val="optioncarChar"/>
        </w:rPr>
        <w:t xml:space="preserve">/ matière synthétique de première qualité / *** </w:t>
      </w:r>
      <w:r>
        <w:t>Coloris :</w:t>
      </w:r>
      <w:r>
        <w:rPr>
          <w:rStyle w:val="optioncarChar"/>
        </w:rPr>
        <w:t> blanc </w:t>
      </w:r>
      <w:r>
        <w:t>(par défaut) </w:t>
      </w:r>
      <w:r>
        <w:rPr>
          <w:rStyle w:val="optioncarChar"/>
        </w:rPr>
        <w:t>/ à choisir dans la gamme standard proposée par le fabricant / ***</w:t>
      </w:r>
    </w:p>
    <w:p w14:paraId="1DA0442C" w14:textId="77777777" w:rsidR="004B2808" w:rsidRDefault="00000000">
      <w:pPr>
        <w:pStyle w:val="Author-eListParagraph"/>
        <w:numPr>
          <w:ilvl w:val="0"/>
          <w:numId w:val="1589"/>
        </w:numPr>
      </w:pPr>
      <w:r>
        <w:t> Section:  (par défaut) / </w:t>
      </w:r>
      <w:r>
        <w:rPr>
          <w:rStyle w:val="optioncarChar"/>
        </w:rPr>
        <w:t>3 </w:t>
      </w:r>
      <w:r>
        <w:t>(par défaut)</w:t>
      </w:r>
      <w:r>
        <w:rPr>
          <w:rStyle w:val="optioncarChar"/>
        </w:rPr>
        <w:t> / ***</w:t>
      </w:r>
      <w:r>
        <w:t xml:space="preserve"> cm, débordement </w:t>
      </w:r>
      <w:r>
        <w:rPr>
          <w:rStyle w:val="optioncarChar"/>
        </w:rPr>
        <w:t>3 </w:t>
      </w:r>
      <w:r>
        <w:t>(par défaut)</w:t>
      </w:r>
      <w:r>
        <w:rPr>
          <w:rStyle w:val="optioncarChar"/>
        </w:rPr>
        <w:t> / ***</w:t>
      </w:r>
      <w:r>
        <w:t>  cm.</w:t>
      </w:r>
    </w:p>
    <w:p w14:paraId="286411E5" w14:textId="77777777" w:rsidR="004B2808" w:rsidRDefault="00000000">
      <w:r>
        <w:rPr>
          <w:b/>
        </w:rPr>
        <w:t xml:space="preserve">Choix opéré </w:t>
      </w:r>
      <w:r>
        <w:t xml:space="preserve">: </w:t>
      </w:r>
      <w:r>
        <w:rPr>
          <w:rStyle w:val="optioncarChar"/>
        </w:rPr>
        <w:t>*** / OPTION (sans)</w:t>
      </w:r>
      <w:r>
        <w:t> (par défaut)</w:t>
      </w:r>
      <w:r>
        <w:rPr>
          <w:rStyle w:val="optioncarChar"/>
        </w:rPr>
        <w:t xml:space="preserve"> / OPTION 2 (poignées) / OPTION 3 (boutons)</w:t>
      </w:r>
    </w:p>
    <w:p w14:paraId="220F43BA" w14:textId="77777777" w:rsidR="004B2808" w:rsidRDefault="00000000">
      <w:pPr>
        <w:pStyle w:val="pheading"/>
      </w:pPr>
      <w:r>
        <w:t>MESURAGE</w:t>
      </w:r>
    </w:p>
    <w:p w14:paraId="3EA5FFA0" w14:textId="77777777" w:rsidR="004B2808" w:rsidRDefault="00000000">
      <w:r>
        <w:t>Conformément à la nature des aménagements de cuisine prévus, les indications spécifiques dans le cahier spécial des charges et/ou le métré récapitulatif, le mesurage doit en principe être conçu comme suit :</w:t>
      </w:r>
    </w:p>
    <w:p w14:paraId="014C7ACA" w14:textId="77777777" w:rsidR="004B2808" w:rsidRDefault="00000000">
      <w:pPr>
        <w:pStyle w:val="pheading"/>
      </w:pPr>
      <w:r>
        <w:t>- unité de mesure:</w:t>
      </w:r>
    </w:p>
    <w:p w14:paraId="6E0F4CCE" w14:textId="77777777" w:rsidR="004B2808" w:rsidRDefault="00000000">
      <w:r>
        <w:rPr>
          <w:rStyle w:val="optioncarChar"/>
        </w:rPr>
        <w:t>p</w:t>
      </w:r>
      <w:r>
        <w:t> (par défaut)</w:t>
      </w:r>
      <w:r>
        <w:rPr>
          <w:rStyle w:val="optioncarChar"/>
        </w:rPr>
        <w:t> / m / ***</w:t>
      </w:r>
    </w:p>
    <w:p w14:paraId="5C02683B" w14:textId="77777777" w:rsidR="004B2808" w:rsidRDefault="00000000">
      <w:pPr>
        <w:pStyle w:val="pheading"/>
      </w:pPr>
      <w:r>
        <w:t>- code de mesurage:</w:t>
      </w:r>
    </w:p>
    <w:p w14:paraId="63658C4D" w14:textId="77777777" w:rsidR="004B2808" w:rsidRDefault="00000000">
      <w:r>
        <w:rPr>
          <w:rStyle w:val="optioncarChar"/>
        </w:rPr>
        <w:lastRenderedPageBreak/>
        <w:t>selon le type de cuisine</w:t>
      </w:r>
      <w:r>
        <w:t xml:space="preserve"> (par défaut) </w:t>
      </w:r>
      <w:r>
        <w:rPr>
          <w:rStyle w:val="optioncarChar"/>
        </w:rPr>
        <w:t>/ en fonction du type d'armoire : colonne, armoire basse, armoire suspendue / ***.</w:t>
      </w:r>
    </w:p>
    <w:p w14:paraId="49C46341" w14:textId="77777777" w:rsidR="004B2808" w:rsidRDefault="00000000">
      <w:pPr>
        <w:pStyle w:val="pheading"/>
      </w:pPr>
      <w:r>
        <w:t>- nature du marché:</w:t>
      </w:r>
    </w:p>
    <w:p w14:paraId="0E208311" w14:textId="77777777" w:rsidR="004B2808" w:rsidRDefault="00000000">
      <w:r>
        <w:rPr>
          <w:rStyle w:val="optioncarChar"/>
        </w:rPr>
        <w:t>QF </w:t>
      </w:r>
      <w:r>
        <w:t>(par défaut)</w:t>
      </w:r>
      <w:r>
        <w:rPr>
          <w:rStyle w:val="optioncarChar"/>
        </w:rPr>
        <w:t> / ***</w:t>
      </w:r>
    </w:p>
    <w:p w14:paraId="1050DD79" w14:textId="77777777" w:rsidR="004B2808" w:rsidRDefault="00000000">
      <w:pPr>
        <w:pStyle w:val="Author-eSectionHeading5Numberless"/>
      </w:pPr>
      <w:bookmarkStart w:id="1723" w:name="_Toc220491808"/>
      <w:r>
        <w:t>58.15.2 Mobilier de cuisine - Quincaillerie complémentaire - Charnières CCTB 01.02</w:t>
      </w:r>
      <w:bookmarkEnd w:id="1723"/>
    </w:p>
    <w:p w14:paraId="094D2A93" w14:textId="77777777" w:rsidR="004B2808" w:rsidRDefault="00000000">
      <w:pPr>
        <w:pStyle w:val="Author-eSectionHeading6Numberless"/>
      </w:pPr>
      <w:bookmarkStart w:id="1724" w:name="_Toc220491809"/>
      <w:r>
        <w:t>58.15.2a Mobilier de cuisine - Quincaillerie complémentaire - Charnières CCTB 01.02</w:t>
      </w:r>
      <w:bookmarkEnd w:id="1724"/>
    </w:p>
    <w:p w14:paraId="7067050B" w14:textId="77777777" w:rsidR="004B2808" w:rsidRDefault="00000000">
      <w:pPr>
        <w:pStyle w:val="Author-eSectionHeading5Numberless"/>
      </w:pPr>
      <w:bookmarkStart w:id="1725" w:name="_Toc220491810"/>
      <w:r>
        <w:t>58.15.3 Mobilier de cuisine - Quincaillerie complémentaire - Rails et glissières CCTB 01.02</w:t>
      </w:r>
      <w:bookmarkEnd w:id="1725"/>
    </w:p>
    <w:p w14:paraId="3B396750" w14:textId="77777777" w:rsidR="004B2808" w:rsidRDefault="00000000">
      <w:pPr>
        <w:pStyle w:val="Author-eSectionHeading6Numberless"/>
      </w:pPr>
      <w:bookmarkStart w:id="1726" w:name="_Toc220491811"/>
      <w:r>
        <w:t>58.15.3a Mobilier de cuisine - Quincaillerie complémentaire - Rails et glissières CCTB 01.02</w:t>
      </w:r>
      <w:bookmarkEnd w:id="1726"/>
    </w:p>
    <w:p w14:paraId="243D4CB1" w14:textId="77777777" w:rsidR="004B2808" w:rsidRDefault="00000000">
      <w:pPr>
        <w:pStyle w:val="Author-eSectionHeading4Numberless"/>
      </w:pPr>
      <w:bookmarkStart w:id="1727" w:name="_Toc220491812"/>
      <w:r>
        <w:t>58.16 Mobilier de cuisine - Accessoires CCTB 01.02</w:t>
      </w:r>
      <w:bookmarkEnd w:id="1727"/>
    </w:p>
    <w:p w14:paraId="5EB3F9F7" w14:textId="77777777" w:rsidR="004B2808" w:rsidRDefault="00000000">
      <w:pPr>
        <w:pStyle w:val="Author-eSectionHeading5Numberless"/>
      </w:pPr>
      <w:bookmarkStart w:id="1728" w:name="_Toc220491813"/>
      <w:r>
        <w:t>58.16.1 Mobilier de cuisine - Accessoires CCTB 01.10</w:t>
      </w:r>
      <w:bookmarkEnd w:id="1728"/>
    </w:p>
    <w:p w14:paraId="39896680" w14:textId="77777777" w:rsidR="004B2808" w:rsidRDefault="00000000">
      <w:pPr>
        <w:pStyle w:val="Author-eSectionHeading6Numberless"/>
      </w:pPr>
      <w:bookmarkStart w:id="1729" w:name="_Toc220491814"/>
      <w:r>
        <w:t>58.16.1a Mobilier de cuisine - Accessoires CCTB 01.10</w:t>
      </w:r>
      <w:bookmarkEnd w:id="1729"/>
    </w:p>
    <w:p w14:paraId="672E1A4F" w14:textId="77777777" w:rsidR="004B2808" w:rsidRDefault="00000000">
      <w:pPr>
        <w:pStyle w:val="pheading"/>
      </w:pPr>
      <w:r>
        <w:t>MATÉRIAUX</w:t>
      </w:r>
    </w:p>
    <w:p w14:paraId="6EB4326C" w14:textId="77777777" w:rsidR="004B2808" w:rsidRDefault="00000000">
      <w:pPr>
        <w:pStyle w:val="pheading"/>
      </w:pPr>
      <w:r>
        <w:t>- Caractéristiques générales</w:t>
      </w:r>
    </w:p>
    <w:p w14:paraId="11FF3E64" w14:textId="77777777" w:rsidR="004B2808" w:rsidRDefault="00000000">
      <w:pPr>
        <w:pStyle w:val="heading"/>
      </w:pPr>
      <w:r>
        <w:t>Bande de protection pour l'éclairage indirect</w:t>
      </w:r>
    </w:p>
    <w:p w14:paraId="08093E33" w14:textId="77777777" w:rsidR="004B2808" w:rsidRDefault="00000000">
      <w:pPr>
        <w:pStyle w:val="Author-eListParagraph"/>
        <w:numPr>
          <w:ilvl w:val="0"/>
          <w:numId w:val="1590"/>
        </w:numPr>
      </w:pPr>
      <w:r>
        <w:t>Panneaux laminés haute pression de la même qualité que les panneaux de façade</w:t>
      </w:r>
    </w:p>
    <w:p w14:paraId="65A3E305" w14:textId="77777777" w:rsidR="004B2808" w:rsidRDefault="00000000">
      <w:pPr>
        <w:pStyle w:val="Author-eListParagraph"/>
        <w:numPr>
          <w:ilvl w:val="0"/>
          <w:numId w:val="1590"/>
        </w:numPr>
      </w:pPr>
      <w:r>
        <w:t xml:space="preserve">Epaisseur : minimum </w:t>
      </w:r>
      <w:r>
        <w:rPr>
          <w:rStyle w:val="optioncarChar"/>
        </w:rPr>
        <w:t>13 </w:t>
      </w:r>
      <w:r>
        <w:t>(par défaut)</w:t>
      </w:r>
      <w:r>
        <w:rPr>
          <w:rStyle w:val="optioncarChar"/>
        </w:rPr>
        <w:t> / ***</w:t>
      </w:r>
      <w:r>
        <w:t xml:space="preserve">  mm, hauteur </w:t>
      </w:r>
      <w:r>
        <w:rPr>
          <w:rStyle w:val="optioncarChar"/>
        </w:rPr>
        <w:t>7 </w:t>
      </w:r>
      <w:r>
        <w:t>(par défaut)</w:t>
      </w:r>
      <w:r>
        <w:rPr>
          <w:rStyle w:val="optioncarChar"/>
        </w:rPr>
        <w:t xml:space="preserve"> / 10 / *** </w:t>
      </w:r>
      <w:r>
        <w:t>cm.</w:t>
      </w:r>
    </w:p>
    <w:p w14:paraId="5B49355E" w14:textId="77777777" w:rsidR="004B2808" w:rsidRDefault="00000000">
      <w:pPr>
        <w:pStyle w:val="heading"/>
      </w:pPr>
      <w:r>
        <w:t>Grilles de ventilation</w:t>
      </w:r>
    </w:p>
    <w:p w14:paraId="22914F56" w14:textId="77777777" w:rsidR="004B2808" w:rsidRDefault="00000000">
      <w:pPr>
        <w:pStyle w:val="Author-eListParagraph"/>
        <w:numPr>
          <w:ilvl w:val="0"/>
          <w:numId w:val="1591"/>
        </w:numPr>
      </w:pPr>
      <w:r>
        <w:t xml:space="preserve">Grille intégrée dans la plinthe, en </w:t>
      </w:r>
      <w:r>
        <w:rPr>
          <w:rStyle w:val="optioncarChar"/>
        </w:rPr>
        <w:t>matière synthétique</w:t>
      </w:r>
      <w:r>
        <w:t> (par défaut)</w:t>
      </w:r>
      <w:r>
        <w:rPr>
          <w:rStyle w:val="optioncarChar"/>
        </w:rPr>
        <w:t xml:space="preserve"> / *** </w:t>
      </w:r>
    </w:p>
    <w:p w14:paraId="3B9D5735" w14:textId="77777777" w:rsidR="004B2808" w:rsidRDefault="00000000">
      <w:pPr>
        <w:pStyle w:val="Author-eListParagraph"/>
        <w:numPr>
          <w:ilvl w:val="0"/>
          <w:numId w:val="1591"/>
        </w:numPr>
      </w:pPr>
      <w:r>
        <w:t xml:space="preserve">Coloris : </w:t>
      </w:r>
      <w:r>
        <w:rPr>
          <w:rStyle w:val="optioncarChar"/>
        </w:rPr>
        <w:t>blanc </w:t>
      </w:r>
      <w:r>
        <w:t>(par défaut) </w:t>
      </w:r>
      <w:r>
        <w:rPr>
          <w:rStyle w:val="optioncarChar"/>
        </w:rPr>
        <w:t>/ ***</w:t>
      </w:r>
    </w:p>
    <w:p w14:paraId="1E27523D" w14:textId="77777777" w:rsidR="004B2808" w:rsidRDefault="00000000">
      <w:pPr>
        <w:pStyle w:val="Author-eListParagraph"/>
        <w:numPr>
          <w:ilvl w:val="0"/>
          <w:numId w:val="1591"/>
        </w:numPr>
      </w:pPr>
      <w:r>
        <w:t xml:space="preserve">Dimensions : </w:t>
      </w:r>
      <w:r>
        <w:rPr>
          <w:rStyle w:val="optioncarChar"/>
        </w:rPr>
        <w:t>***</w:t>
      </w:r>
    </w:p>
    <w:p w14:paraId="658ABAA9" w14:textId="77777777" w:rsidR="004B2808" w:rsidRDefault="00000000">
      <w:pPr>
        <w:pStyle w:val="heading"/>
      </w:pPr>
      <w:r>
        <w:t>Raccordement au plafond &amp; au mur</w:t>
      </w:r>
    </w:p>
    <w:p w14:paraId="1627D0B2" w14:textId="77777777" w:rsidR="004B2808" w:rsidRDefault="00000000">
      <w:pPr>
        <w:pStyle w:val="Author-eListParagraph"/>
        <w:numPr>
          <w:ilvl w:val="0"/>
          <w:numId w:val="1592"/>
        </w:numPr>
      </w:pPr>
      <w:r>
        <w:t xml:space="preserve">Raccordement au plafond : plaques de mêmes qualité et finition que </w:t>
      </w:r>
      <w:r>
        <w:rPr>
          <w:rStyle w:val="optioncarChar"/>
        </w:rPr>
        <w:t>les façades des armoires </w:t>
      </w:r>
      <w:r>
        <w:t>(par défaut)</w:t>
      </w:r>
      <w:r>
        <w:rPr>
          <w:rStyle w:val="optioncarChar"/>
        </w:rPr>
        <w:t xml:space="preserve"> / la structure des armoires / ***</w:t>
      </w:r>
      <w:r>
        <w:t>.</w:t>
      </w:r>
    </w:p>
    <w:p w14:paraId="107DF457" w14:textId="77777777" w:rsidR="004B2808" w:rsidRDefault="00000000">
      <w:pPr>
        <w:pStyle w:val="Author-eListParagraph"/>
        <w:numPr>
          <w:ilvl w:val="0"/>
          <w:numId w:val="1592"/>
        </w:numPr>
      </w:pPr>
      <w:r>
        <w:t xml:space="preserve">Raccordement au mur : plaques de mêmes qualité et finition que </w:t>
      </w:r>
      <w:r>
        <w:rPr>
          <w:rStyle w:val="optioncarChar"/>
        </w:rPr>
        <w:t>les façades des armoires</w:t>
      </w:r>
      <w:r>
        <w:t xml:space="preserve"> (par défaut)</w:t>
      </w:r>
      <w:r>
        <w:rPr>
          <w:rStyle w:val="optioncarChar"/>
        </w:rPr>
        <w:t> / la structure des armoires / ***</w:t>
      </w:r>
      <w:r>
        <w:t>.</w:t>
      </w:r>
    </w:p>
    <w:p w14:paraId="4B135F82" w14:textId="77777777" w:rsidR="004B2808" w:rsidRDefault="00000000">
      <w:pPr>
        <w:pStyle w:val="heading"/>
      </w:pPr>
      <w:r>
        <w:t>Equipements en option</w:t>
      </w:r>
    </w:p>
    <w:p w14:paraId="4143D704" w14:textId="77777777" w:rsidR="004B2808" w:rsidRDefault="00000000">
      <w:pPr>
        <w:pStyle w:val="Author-eListParagraph"/>
        <w:numPr>
          <w:ilvl w:val="0"/>
          <w:numId w:val="1593"/>
        </w:numPr>
      </w:pPr>
      <w:r>
        <w:t xml:space="preserve">Poubelle : contenance utile 5 litres en </w:t>
      </w:r>
      <w:r>
        <w:rPr>
          <w:rStyle w:val="optioncarChar"/>
        </w:rPr>
        <w:t>matière synthétique </w:t>
      </w:r>
      <w:r>
        <w:t>(par défaut)</w:t>
      </w:r>
      <w:r>
        <w:rPr>
          <w:rStyle w:val="optioncarChar"/>
        </w:rPr>
        <w:t xml:space="preserve"> / acier laqué blanc / acier chromé / ***</w:t>
      </w:r>
      <w:r>
        <w:t xml:space="preserve"> .</w:t>
      </w:r>
    </w:p>
    <w:p w14:paraId="629C97A8" w14:textId="77777777" w:rsidR="004B2808" w:rsidRDefault="00000000">
      <w:pPr>
        <w:pStyle w:val="Author-eListParagraph"/>
        <w:numPr>
          <w:ilvl w:val="0"/>
          <w:numId w:val="1593"/>
        </w:numPr>
      </w:pPr>
      <w:r>
        <w:t xml:space="preserve">Porte-essuie, composé de trois tubes coulissants en métal </w:t>
      </w:r>
      <w:r>
        <w:rPr>
          <w:rStyle w:val="optioncarChar"/>
        </w:rPr>
        <w:t>laqué blanc </w:t>
      </w:r>
      <w:r>
        <w:t>(par défaut)</w:t>
      </w:r>
      <w:r>
        <w:rPr>
          <w:rStyle w:val="optioncarChar"/>
        </w:rPr>
        <w:t xml:space="preserve"> / plastifié / ***.</w:t>
      </w:r>
    </w:p>
    <w:p w14:paraId="2C72F4C1" w14:textId="77777777" w:rsidR="004B2808" w:rsidRDefault="00000000">
      <w:pPr>
        <w:pStyle w:val="pheading"/>
      </w:pPr>
      <w:r>
        <w:t>MESURAGE</w:t>
      </w:r>
    </w:p>
    <w:p w14:paraId="51245918" w14:textId="77777777" w:rsidR="004B2808" w:rsidRDefault="00000000">
      <w:r>
        <w:t>Conformément à la nature des aménagements de cuisine prévus, les indications spécifiques dans le cahier spécial des charges et/ou le métré récapitulatif, le mesurage doit en principe être conçu comme suit :</w:t>
      </w:r>
    </w:p>
    <w:p w14:paraId="7A7AC468" w14:textId="77777777" w:rsidR="004B2808" w:rsidRDefault="00000000">
      <w:pPr>
        <w:pStyle w:val="pheading"/>
      </w:pPr>
      <w:r>
        <w:t>- unité de mesure:</w:t>
      </w:r>
    </w:p>
    <w:p w14:paraId="52CDD00D" w14:textId="77777777" w:rsidR="004B2808" w:rsidRDefault="00000000">
      <w:r>
        <w:rPr>
          <w:rStyle w:val="optioncarChar"/>
        </w:rPr>
        <w:t>*** / p / m</w:t>
      </w:r>
    </w:p>
    <w:p w14:paraId="3CB36FBE" w14:textId="77777777" w:rsidR="004B2808" w:rsidRDefault="00000000">
      <w:pPr>
        <w:pStyle w:val="pheading"/>
      </w:pPr>
      <w:r>
        <w:lastRenderedPageBreak/>
        <w:t>- code de mesurage:</w:t>
      </w:r>
    </w:p>
    <w:p w14:paraId="4AD2B0E0" w14:textId="77777777" w:rsidR="004B2808" w:rsidRDefault="00000000">
      <w:r>
        <w:rPr>
          <w:rStyle w:val="optioncarChar"/>
        </w:rPr>
        <w:t>*** / selon le type de cuisine / en fonction du type d'armoire : colonne, armoire basse, armoire suspendue.</w:t>
      </w:r>
    </w:p>
    <w:p w14:paraId="0FD86DF3" w14:textId="77777777" w:rsidR="004B2808" w:rsidRDefault="00000000">
      <w:pPr>
        <w:pStyle w:val="pheading"/>
      </w:pPr>
      <w:r>
        <w:t>- nature du marché:</w:t>
      </w:r>
    </w:p>
    <w:p w14:paraId="7CFEBE51" w14:textId="77777777" w:rsidR="004B2808" w:rsidRDefault="00000000">
      <w:r>
        <w:rPr>
          <w:rStyle w:val="optioncarChar"/>
        </w:rPr>
        <w:t>*** / QF</w:t>
      </w:r>
    </w:p>
    <w:p w14:paraId="53D82EB9" w14:textId="77777777" w:rsidR="004B2808" w:rsidRDefault="00000000">
      <w:pPr>
        <w:pStyle w:val="Author-eSectionHeading3Numberless"/>
      </w:pPr>
      <w:bookmarkStart w:id="1730" w:name="_Toc220491815"/>
      <w:r>
        <w:t>58.2 Mobilier de salle de bain / de sanitaires CCTB 01.10</w:t>
      </w:r>
      <w:bookmarkEnd w:id="1730"/>
    </w:p>
    <w:p w14:paraId="27854E71" w14:textId="77777777" w:rsidR="004B2808" w:rsidRDefault="00000000">
      <w:pPr>
        <w:pStyle w:val="pheading"/>
      </w:pPr>
      <w:bookmarkStart w:id="1731" w:name="1533"/>
      <w:bookmarkEnd w:id="1731"/>
      <w:r>
        <w:t>DESCRIPTION</w:t>
      </w:r>
    </w:p>
    <w:p w14:paraId="401F19B8" w14:textId="77777777" w:rsidR="004B2808" w:rsidRDefault="00000000">
      <w:pPr>
        <w:pStyle w:val="pheading"/>
      </w:pPr>
      <w:r>
        <w:t>- Définition / Comprend</w:t>
      </w:r>
    </w:p>
    <w:p w14:paraId="042A8B6D" w14:textId="77777777" w:rsidR="004B2808" w:rsidRDefault="00000000">
      <w:r>
        <w:rPr>
          <w:b/>
          <w:sz w:val="24"/>
        </w:rPr>
        <w:t>Mobilier de salle de bains</w:t>
      </w:r>
    </w:p>
    <w:p w14:paraId="6F33976E" w14:textId="77777777" w:rsidR="004B2808" w:rsidRDefault="00000000">
      <w:r>
        <w:t>Cette rubrique comprend tous les éléments, travaux et fournitures pour la réalisation du mobilier sanitaire conformément aux plans de détail et au cahier des charges, selon le type, la nature et/ou la composition. Conformément aux dispositions générales et/ou spécifiques du cahier spécial des charges, les prix unitaires compris dans ces postes doivent toujours comprendre, soit selon la ventilation dans le métré récapitulatif, soit dans leur totalité</w:t>
      </w:r>
    </w:p>
    <w:p w14:paraId="29455810" w14:textId="77777777" w:rsidR="004B2808" w:rsidRDefault="00000000">
      <w:pPr>
        <w:pStyle w:val="Author-eListParagraph"/>
        <w:numPr>
          <w:ilvl w:val="0"/>
          <w:numId w:val="1594"/>
        </w:numPr>
      </w:pPr>
      <w:r>
        <w:t>le contrôle et le relevé sur place de toutes les dimensions et l'éventuelle adaptation des éléments à préfabriquer aux dimensions réelles, l'établissement des dessins d'exécution nécessaires;</w:t>
      </w:r>
    </w:p>
    <w:p w14:paraId="64503673" w14:textId="77777777" w:rsidR="004B2808" w:rsidRDefault="00000000">
      <w:pPr>
        <w:pStyle w:val="Author-eListParagraph"/>
        <w:numPr>
          <w:ilvl w:val="0"/>
          <w:numId w:val="1594"/>
        </w:numPr>
      </w:pPr>
      <w:r>
        <w:t>le contrôle de la présence et de la mise en œuvre correcte des équipements techniques (eau, gaz, électricité) en vue du raccordement prévu et/ou ultérieur des appareils, …;</w:t>
      </w:r>
    </w:p>
    <w:p w14:paraId="7445D568" w14:textId="77777777" w:rsidR="004B2808" w:rsidRDefault="00000000">
      <w:pPr>
        <w:pStyle w:val="Author-eListParagraph"/>
        <w:numPr>
          <w:ilvl w:val="0"/>
          <w:numId w:val="1594"/>
        </w:numPr>
      </w:pPr>
      <w:r>
        <w:t xml:space="preserve">la fabrication en atelier, la fourniture, l'entreposage, la pose et le réglage de tous les éléments nécessaires à la composition des armoires : </w:t>
      </w:r>
    </w:p>
    <w:p w14:paraId="3618EBBF" w14:textId="77777777" w:rsidR="004B2808" w:rsidRDefault="00000000">
      <w:pPr>
        <w:pStyle w:val="Author-eListParagraph"/>
        <w:numPr>
          <w:ilvl w:val="1"/>
          <w:numId w:val="1595"/>
        </w:numPr>
      </w:pPr>
      <w:r>
        <w:t>la structure des armoires, les portes d'armoires, les tablettes, les plans de travail, les couvre-joints , ...</w:t>
      </w:r>
    </w:p>
    <w:p w14:paraId="7518C6B1" w14:textId="77777777" w:rsidR="004B2808" w:rsidRDefault="00000000">
      <w:pPr>
        <w:pStyle w:val="Author-eListParagraph"/>
        <w:numPr>
          <w:ilvl w:val="1"/>
          <w:numId w:val="1595"/>
        </w:numPr>
      </w:pPr>
      <w:r>
        <w:t>toute la quincaillerie, les accessoires, les systèmes d'équilibrage, les coulisses, poignées, …</w:t>
      </w:r>
    </w:p>
    <w:p w14:paraId="528B5901" w14:textId="77777777" w:rsidR="004B2808" w:rsidRDefault="00000000">
      <w:pPr>
        <w:pStyle w:val="Author-eListParagraph"/>
        <w:numPr>
          <w:ilvl w:val="1"/>
          <w:numId w:val="1595"/>
        </w:numPr>
      </w:pPr>
      <w:r>
        <w:t>la pose et le raccordement des lavabos prévus et des robinets (le prix des appareils sanitaires est toutefois compté séparément dans le tome 6 T6 HVAC - sanitaires).</w:t>
      </w:r>
    </w:p>
    <w:p w14:paraId="46E259FF" w14:textId="77777777" w:rsidR="004B2808" w:rsidRDefault="00000000">
      <w:pPr>
        <w:pStyle w:val="Author-eListParagraph"/>
        <w:numPr>
          <w:ilvl w:val="1"/>
          <w:numId w:val="1595"/>
        </w:numPr>
      </w:pPr>
      <w:r>
        <w:t>les éventuels appareils d'éclairage encastrés (voir tome 7 T7 Electricité).</w:t>
      </w:r>
    </w:p>
    <w:p w14:paraId="74A37548" w14:textId="77777777" w:rsidR="004B2808" w:rsidRDefault="00000000">
      <w:pPr>
        <w:pStyle w:val="Author-eListParagraph"/>
        <w:numPr>
          <w:ilvl w:val="0"/>
          <w:numId w:val="1594"/>
        </w:numPr>
      </w:pPr>
      <w:r>
        <w:t>la finition y compris tous les remplissages de joints, les réglages ultérieurs, …</w:t>
      </w:r>
    </w:p>
    <w:p w14:paraId="3DD74FB4" w14:textId="77777777" w:rsidR="004B2808" w:rsidRDefault="00000000">
      <w:pPr>
        <w:pStyle w:val="Author-eListParagraph"/>
        <w:numPr>
          <w:ilvl w:val="0"/>
          <w:numId w:val="1594"/>
        </w:numPr>
      </w:pPr>
      <w:r>
        <w:t>l'évacuation des déchets provenant des travaux, l'enlèvement de tous les autocollants et étiquettes, le nettoyage, …</w:t>
      </w:r>
    </w:p>
    <w:p w14:paraId="081992AC" w14:textId="77777777" w:rsidR="004B2808" w:rsidRDefault="00000000">
      <w:r>
        <w:rPr>
          <w:b/>
          <w:sz w:val="24"/>
        </w:rPr>
        <w:t>Bords de bains et douches</w:t>
      </w:r>
    </w:p>
    <w:p w14:paraId="581C81A3" w14:textId="77777777" w:rsidR="004B2808" w:rsidRDefault="00000000">
      <w:r>
        <w:t>Il s'agit de l'habillage des côtés libres des appareils de bain, y compris le cadre, les panneaux d'habillage, un regard de visite et la finition des bords.</w:t>
      </w:r>
    </w:p>
    <w:p w14:paraId="58A62A0C" w14:textId="77777777" w:rsidR="004B2808" w:rsidRDefault="00000000">
      <w:pPr>
        <w:pStyle w:val="pheading"/>
      </w:pPr>
      <w:r>
        <w:t>- Remarques importantes</w:t>
      </w:r>
    </w:p>
    <w:p w14:paraId="79A7F469" w14:textId="77777777" w:rsidR="004B2808" w:rsidRDefault="00000000">
      <w:r>
        <w:t>Attention</w:t>
      </w:r>
    </w:p>
    <w:p w14:paraId="3B58491F" w14:textId="77777777" w:rsidR="004B2808" w:rsidRDefault="00000000">
      <w:r>
        <w:t xml:space="preserve">Les carrelages ne sont pas compris et sont décrits et comptés dans un poste séparé de la section </w:t>
      </w:r>
      <w:hyperlink w:anchor="1404" w:history="1">
        <w:r w:rsidR="004B2808">
          <w:rPr>
            <w:color w:val="0000EE"/>
          </w:rPr>
          <w:t>58 Mobilier intérieur fixe</w:t>
        </w:r>
      </w:hyperlink>
      <w:r>
        <w:t>.</w:t>
      </w:r>
    </w:p>
    <w:p w14:paraId="44F9F02B" w14:textId="77777777" w:rsidR="004B2808" w:rsidRDefault="00000000">
      <w:pPr>
        <w:pStyle w:val="pheading"/>
      </w:pPr>
      <w:r>
        <w:t>MATÉRIAUX</w:t>
      </w:r>
    </w:p>
    <w:p w14:paraId="437F8D85" w14:textId="77777777" w:rsidR="004B2808" w:rsidRDefault="00000000">
      <w:r>
        <w:rPr>
          <w:b/>
          <w:sz w:val="24"/>
        </w:rPr>
        <w:t>Mobilier de salle de bains</w:t>
      </w:r>
    </w:p>
    <w:p w14:paraId="0F64F060" w14:textId="77777777" w:rsidR="004B2808" w:rsidRDefault="00000000">
      <w:pPr>
        <w:pStyle w:val="Author-eListParagraph"/>
        <w:numPr>
          <w:ilvl w:val="0"/>
          <w:numId w:val="1596"/>
        </w:numPr>
      </w:pPr>
      <w:r>
        <w:t>Le mobilier sanitaire et les tablettes doivent satisfaire à la composition prescrite des différents éléments, selon les plans de détails annexés par type, en ce qui concerne : la subdivision, les dimensions, la finition et les matériaux.</w:t>
      </w:r>
    </w:p>
    <w:p w14:paraId="2E664A2C" w14:textId="77777777" w:rsidR="004B2808" w:rsidRDefault="00000000">
      <w:pPr>
        <w:pStyle w:val="Author-eListParagraph"/>
        <w:numPr>
          <w:ilvl w:val="0"/>
          <w:numId w:val="1596"/>
        </w:numPr>
      </w:pPr>
      <w:r>
        <w:t>Sur la base de conditions stipulées dans le cahier spécial des charges, l'entrepreneur est libre de proposer un type de mobilier standard. A cet effet, il joint à sa soumission les dessins d'exécution ainsi que la documentation.</w:t>
      </w:r>
    </w:p>
    <w:p w14:paraId="253855C6" w14:textId="77777777" w:rsidR="004B2808" w:rsidRDefault="00000000">
      <w:r>
        <w:rPr>
          <w:b/>
          <w:sz w:val="24"/>
        </w:rPr>
        <w:lastRenderedPageBreak/>
        <w:t>Bords de bains et douches</w:t>
      </w:r>
    </w:p>
    <w:p w14:paraId="7D3F53F5" w14:textId="77777777" w:rsidR="004B2808" w:rsidRDefault="00000000">
      <w:r>
        <w:t xml:space="preserve">Les traverses et les montants sont en </w:t>
      </w:r>
      <w:r>
        <w:rPr>
          <w:rStyle w:val="optioncarChar"/>
        </w:rPr>
        <w:t>Pin du nord (PNG) </w:t>
      </w:r>
      <w:r>
        <w:t>(par défaut)</w:t>
      </w:r>
      <w:r>
        <w:rPr>
          <w:rStyle w:val="optioncarChar"/>
        </w:rPr>
        <w:t> / ***</w:t>
      </w:r>
      <w:r>
        <w:t xml:space="preserve"> .Le bois doit préalablement être traité selon le procédé d'imprégnation A1 selon les [STS 04 série] et raboté sur la face des plaques. Dimensions : minimum </w:t>
      </w:r>
      <w:r>
        <w:rPr>
          <w:rStyle w:val="optioncarChar"/>
        </w:rPr>
        <w:t>40 x 60 </w:t>
      </w:r>
      <w:r>
        <w:t>(par défaut)</w:t>
      </w:r>
      <w:r>
        <w:rPr>
          <w:rStyle w:val="optioncarChar"/>
        </w:rPr>
        <w:t xml:space="preserve"> /***</w:t>
      </w:r>
      <w:r>
        <w:t xml:space="preserve"> mm , ou de telle façon que la plaque de revêtement (et sa finition éventuelle) puisse être glissée sous le bord de la baignoire. Les panneaux de revêtement doivent être insensibles à l'humidité et aux attaches organiques. Ils se composent de :</w:t>
      </w:r>
    </w:p>
    <w:p w14:paraId="0184E5B4" w14:textId="77777777" w:rsidR="004B2808" w:rsidRDefault="00000000">
      <w:pPr>
        <w:ind w:left="450"/>
      </w:pPr>
      <w:r>
        <w:rPr>
          <w:b/>
        </w:rPr>
        <w:t>Choix opéré</w:t>
      </w:r>
      <w:r>
        <w:t xml:space="preserve"> :</w:t>
      </w:r>
      <w:r>
        <w:rPr>
          <w:rStyle w:val="optioncarChar"/>
        </w:rPr>
        <w:t xml:space="preserve"> *** / OPTION 1 </w:t>
      </w:r>
      <w:r>
        <w:t>(par défaut)</w:t>
      </w:r>
      <w:r>
        <w:rPr>
          <w:rStyle w:val="optioncarChar"/>
        </w:rPr>
        <w:t xml:space="preserve"> / OPTION 2 / OPTION 3 / OPTION 4 / OPTION 5 </w:t>
      </w:r>
      <w:r>
        <w:br/>
      </w:r>
      <w:r>
        <w:rPr>
          <w:b/>
        </w:rPr>
        <w:t>***OPTION 1 (par défaut)</w:t>
      </w:r>
      <w:r>
        <w:t xml:space="preserve"> : un panneau de construction en mousse dure, épaisseur minimale </w:t>
      </w:r>
      <w:r>
        <w:rPr>
          <w:rStyle w:val="optioncarChar"/>
        </w:rPr>
        <w:t>*** / 22</w:t>
      </w:r>
      <w:r>
        <w:t>  mm, avec une couche d'adhérence spéciale pour l'application du carrelage.</w:t>
      </w:r>
      <w:r>
        <w:br/>
      </w:r>
      <w:r>
        <w:rPr>
          <w:b/>
        </w:rPr>
        <w:t xml:space="preserve">***OPTION 2 </w:t>
      </w:r>
      <w:r>
        <w:t>: une plaque de ciment, épaisseur minimale</w:t>
      </w:r>
      <w:r>
        <w:rPr>
          <w:rStyle w:val="optioncarChar"/>
        </w:rPr>
        <w:t> 12,5 </w:t>
      </w:r>
      <w:r>
        <w:t>(par défaut) </w:t>
      </w:r>
      <w:r>
        <w:rPr>
          <w:rStyle w:val="optioncarChar"/>
        </w:rPr>
        <w:t>/ ***</w:t>
      </w:r>
      <w:r>
        <w:t>  mm convenant pour l'application du carrelage.</w:t>
      </w:r>
      <w:r>
        <w:br/>
      </w:r>
      <w:r>
        <w:rPr>
          <w:b/>
        </w:rPr>
        <w:t>***OPTION 3</w:t>
      </w:r>
      <w:r>
        <w:t xml:space="preserve"> : un panneau de contre-plaqué WBP selon les [STS 04 série] , épaisseur </w:t>
      </w:r>
      <w:r>
        <w:rPr>
          <w:rStyle w:val="optioncarChar"/>
        </w:rPr>
        <w:t xml:space="preserve">18 </w:t>
      </w:r>
      <w:r>
        <w:t>(par défaut) </w:t>
      </w:r>
      <w:r>
        <w:rPr>
          <w:rStyle w:val="optioncarChar"/>
        </w:rPr>
        <w:t xml:space="preserve">/ 22 / *** </w:t>
      </w:r>
      <w:r>
        <w:t>mm, convenant pour l'application du carrelage.</w:t>
      </w:r>
      <w:r>
        <w:br/>
      </w:r>
      <w:r>
        <w:rPr>
          <w:b/>
        </w:rPr>
        <w:t>***OPTION 4</w:t>
      </w:r>
      <w:r>
        <w:t xml:space="preserve"> : un panneau HDL à base de résines synthétiques thermodurcissables, renforcé de fibres de cellulose, avec une surface décorative intégrée de résines composites pigmentées; la surface ne contient pas d'acrylique sensible aux rayures et aux solvants, elle ne nécessite pas d'entretien et ne doit pas être encadrée, épaisseur minimale </w:t>
      </w:r>
      <w:r>
        <w:rPr>
          <w:rStyle w:val="optioncarChar"/>
        </w:rPr>
        <w:t>8</w:t>
      </w:r>
      <w:r>
        <w:t> (par défaut)</w:t>
      </w:r>
      <w:r>
        <w:rPr>
          <w:rStyle w:val="optioncarChar"/>
        </w:rPr>
        <w:t> / ***</w:t>
      </w:r>
      <w:r>
        <w:t>  mm, aspect uni et surface légèrement structurée, coloris *** / blanc / à choisir dans la gamme de couleurs standard du fabricant</w:t>
      </w:r>
      <w:r>
        <w:br/>
      </w:r>
      <w:r>
        <w:rPr>
          <w:b/>
        </w:rPr>
        <w:t>***OPTION 5</w:t>
      </w:r>
      <w:r>
        <w:t xml:space="preserve"> : un panneau sandwich avec une âme en contre-plaqué résistant à une chaleur intense selon les [STS 04 série] de </w:t>
      </w:r>
      <w:r>
        <w:rPr>
          <w:rStyle w:val="optioncarChar"/>
        </w:rPr>
        <w:t>18</w:t>
      </w:r>
      <w:r>
        <w:t> (par défaut)</w:t>
      </w:r>
      <w:r>
        <w:rPr>
          <w:rStyle w:val="optioncarChar"/>
        </w:rPr>
        <w:t xml:space="preserve"> / 22 / ***</w:t>
      </w:r>
      <w:r>
        <w:t xml:space="preserve"> mm,recouvert sur les autres faces visibles d'une matière synthétique sous haute pression qui satisfait à la norme spécifique, type </w:t>
      </w:r>
      <w:r>
        <w:rPr>
          <w:rStyle w:val="optioncarChar"/>
        </w:rPr>
        <w:t>N </w:t>
      </w:r>
      <w:r>
        <w:t>(par défaut)</w:t>
      </w:r>
      <w:r>
        <w:rPr>
          <w:rStyle w:val="optioncarChar"/>
        </w:rPr>
        <w:t xml:space="preserve"> / P / *** </w:t>
      </w:r>
      <w:r>
        <w:t>d'une épaisseur d'au moins</w:t>
      </w:r>
      <w:r>
        <w:rPr>
          <w:rStyle w:val="optioncarChar"/>
        </w:rPr>
        <w:t> 0,8 </w:t>
      </w:r>
      <w:r>
        <w:t>(par défaut)</w:t>
      </w:r>
      <w:r>
        <w:rPr>
          <w:rStyle w:val="optioncarChar"/>
        </w:rPr>
        <w:t xml:space="preserve"> / 0,9 / 1 / *** </w:t>
      </w:r>
      <w:r>
        <w:t>mm et d'aspect uni avec une surface légèrement structurée, à choisir dans la gamme de couleurs complète du fabricant. Les chants visibles du panneau sandwich sont achevés avec une bande de mélamine collée. L'arrière est revêtu d'une plaque d'équilibre.</w:t>
      </w:r>
    </w:p>
    <w:p w14:paraId="626CDC11" w14:textId="77777777" w:rsidR="004B2808" w:rsidRDefault="00000000">
      <w:pPr>
        <w:pStyle w:val="pheading"/>
      </w:pPr>
      <w:r>
        <w:t>EXÉCUTION / MISE EN ŒUVRE</w:t>
      </w:r>
    </w:p>
    <w:p w14:paraId="0543626E" w14:textId="77777777" w:rsidR="004B2808" w:rsidRDefault="00000000">
      <w:r>
        <w:rPr>
          <w:b/>
          <w:sz w:val="24"/>
        </w:rPr>
        <w:t>Mobilier de salle de bains</w:t>
      </w:r>
    </w:p>
    <w:p w14:paraId="0523C445" w14:textId="77777777" w:rsidR="004B2808" w:rsidRDefault="00000000">
      <w:pPr>
        <w:pStyle w:val="Author-eListParagraph"/>
        <w:numPr>
          <w:ilvl w:val="0"/>
          <w:numId w:val="1597"/>
        </w:numPr>
      </w:pPr>
      <w:r>
        <w:t>Les éléments sanitaires se raccordent soigneusement aux constructions attenantes, en tenant compte de l'habillage éventuel des gaines pour les conduites qui doivent être intégrées de manière esthétique.</w:t>
      </w:r>
    </w:p>
    <w:p w14:paraId="482D4848" w14:textId="77777777" w:rsidR="004B2808" w:rsidRDefault="00000000">
      <w:pPr>
        <w:pStyle w:val="Author-eListParagraph"/>
        <w:numPr>
          <w:ilvl w:val="0"/>
          <w:numId w:val="1597"/>
        </w:numPr>
      </w:pPr>
      <w:r>
        <w:t>Le mobilier est posé de manière à former un ensemble indéformable et à éviter le déplacement accidentel des armoires.</w:t>
      </w:r>
    </w:p>
    <w:p w14:paraId="0C3ADB5C" w14:textId="77777777" w:rsidR="004B2808" w:rsidRDefault="00000000">
      <w:pPr>
        <w:pStyle w:val="Author-eListParagraph"/>
        <w:numPr>
          <w:ilvl w:val="0"/>
          <w:numId w:val="1597"/>
        </w:numPr>
      </w:pPr>
      <w:r>
        <w:t>Les éléments sont posés de niveau et assemblés à l'aide de tiges filetées, les têtes étant recouvertes de capuchons en PVC. Les éléments suspendus sont solidement et invisiblement fixés au mur au moyen d'un dispositif de suspension réglable.</w:t>
      </w:r>
    </w:p>
    <w:p w14:paraId="48FE0CCC" w14:textId="77777777" w:rsidR="004B2808" w:rsidRDefault="00000000">
      <w:pPr>
        <w:pStyle w:val="Author-eListParagraph"/>
        <w:numPr>
          <w:ilvl w:val="0"/>
          <w:numId w:val="1597"/>
        </w:numPr>
      </w:pPr>
      <w:r>
        <w:t>Les tablettes sont posées horizontalement, stables et de niveau sur les armoires basses.</w:t>
      </w:r>
    </w:p>
    <w:p w14:paraId="553DC6AC" w14:textId="77777777" w:rsidR="004B2808" w:rsidRDefault="00000000">
      <w:pPr>
        <w:pStyle w:val="Author-eListParagraph"/>
        <w:numPr>
          <w:ilvl w:val="0"/>
          <w:numId w:val="1597"/>
        </w:numPr>
      </w:pPr>
      <w:r>
        <w:t>Les réservations nécessaires à l'encastrement des lavabos sont réalisées avec des angles arrondis. La pose des lavabos est comprise dans le prix unitaire. Les joints entre la tablette et les lavabos sont étanches et réalisés avec soin.</w:t>
      </w:r>
    </w:p>
    <w:p w14:paraId="3DFBA926" w14:textId="77777777" w:rsidR="004B2808" w:rsidRDefault="00000000">
      <w:pPr>
        <w:pStyle w:val="Author-eListParagraph"/>
        <w:numPr>
          <w:ilvl w:val="0"/>
          <w:numId w:val="1597"/>
        </w:numPr>
      </w:pPr>
      <w:r>
        <w:t>Les joints entre le mur et les armoires ainsi qu'entre le socle et le revêtement de sol sont colmatés au mastic élastique à base de silicones sanitaires non acide et fongicide conformément aux [STS 56] (</w:t>
      </w:r>
      <w:r>
        <w:rPr>
          <w:rStyle w:val="optioncarChar"/>
        </w:rPr>
        <w:t>blanc </w:t>
      </w:r>
      <w:r>
        <w:t>(par défaut)</w:t>
      </w:r>
      <w:r>
        <w:rPr>
          <w:rStyle w:val="optioncarChar"/>
        </w:rPr>
        <w:t xml:space="preserve"> / incolore / couleur à déterminer par l'auteur de projet </w:t>
      </w:r>
      <w:r>
        <w:t>).</w:t>
      </w:r>
    </w:p>
    <w:p w14:paraId="7A94E986" w14:textId="77777777" w:rsidR="004B2808" w:rsidRDefault="00000000">
      <w:pPr>
        <w:pStyle w:val="Author-eListParagraph"/>
        <w:numPr>
          <w:ilvl w:val="0"/>
          <w:numId w:val="1597"/>
        </w:numPr>
      </w:pPr>
      <w:r>
        <w:t>Après la finition, les armoires et les tablettes sont débarrassées des étiquettes et entièrement nettoyées.</w:t>
      </w:r>
    </w:p>
    <w:p w14:paraId="3DCFA7E6" w14:textId="77777777" w:rsidR="004B2808" w:rsidRDefault="00000000">
      <w:r>
        <w:rPr>
          <w:b/>
          <w:sz w:val="24"/>
        </w:rPr>
        <w:t>Bords de bains et douches</w:t>
      </w:r>
    </w:p>
    <w:p w14:paraId="626903E2" w14:textId="77777777" w:rsidR="004B2808" w:rsidRDefault="00000000">
      <w:pPr>
        <w:pStyle w:val="Author-eListParagraph"/>
        <w:numPr>
          <w:ilvl w:val="0"/>
          <w:numId w:val="1598"/>
        </w:numPr>
      </w:pPr>
      <w:r>
        <w:t xml:space="preserve">La structure de support se compose d'un chevronnage composé de traverses, de montants et de montants intermédiaires. La distance entre ces derniers ne dépasse pas 60 cm. La fixation au mur et au sol se fait à l'aide vis et de chevilles inoxydables, avec un espacement de maximum 50 cm . Contre le bord de la baignoire, le panneau est fixé avec des silicones ou de </w:t>
      </w:r>
      <w:r>
        <w:lastRenderedPageBreak/>
        <w:t>la mousse de montage. Le panneau d'habillage est placé juste derrière le bord de la baignoire.</w:t>
      </w:r>
    </w:p>
    <w:p w14:paraId="71C6F36E" w14:textId="77777777" w:rsidR="004B2808" w:rsidRDefault="00000000">
      <w:pPr>
        <w:pStyle w:val="Author-eListParagraph"/>
        <w:numPr>
          <w:ilvl w:val="0"/>
          <w:numId w:val="1598"/>
        </w:numPr>
      </w:pPr>
      <w:r>
        <w:t>Chaque face de l'habillage est réalisée en une seule pièce. Les panneaux d'habillage en longueur sont collés et/ou vissés avec des vis cachées (avec bouchon) sur le support.</w:t>
      </w:r>
    </w:p>
    <w:p w14:paraId="7875A63D" w14:textId="77777777" w:rsidR="004B2808" w:rsidRDefault="00000000">
      <w:pPr>
        <w:pStyle w:val="Author-eListParagraph"/>
        <w:numPr>
          <w:ilvl w:val="0"/>
          <w:numId w:val="1598"/>
        </w:numPr>
      </w:pPr>
      <w:r>
        <w:t>L'habillages des appareils de bain est réalisé de manière telle à permettre l'entretien du siphon et des conduites, soit par un panneau facilement démontable, soit par un regard de visite intégré en inox ou laiton chromé de 300 x 300 mm , dans lequel on pose du carrelage.</w:t>
      </w:r>
    </w:p>
    <w:p w14:paraId="547765EC" w14:textId="77777777" w:rsidR="004B2808" w:rsidRDefault="00000000">
      <w:pPr>
        <w:pStyle w:val="Author-eListParagraph"/>
        <w:numPr>
          <w:ilvl w:val="0"/>
          <w:numId w:val="1598"/>
        </w:numPr>
      </w:pPr>
      <w:r>
        <w:t>Tous les bords de l'habillage sont colmatés avec des silicones sanitaires (classe de mastic 6 et en utilisant un primer si nécessaire) et/ou sont réalisés à l'aide de joints d'étanchéité souples en néoprène.</w:t>
      </w:r>
    </w:p>
    <w:p w14:paraId="038E0101" w14:textId="77777777" w:rsidR="004B2808" w:rsidRDefault="00000000">
      <w:pPr>
        <w:pStyle w:val="Author-eSectionHeading4Numberless"/>
      </w:pPr>
      <w:bookmarkStart w:id="1732" w:name="_Toc220491816"/>
      <w:r>
        <w:t>58.21 Mobilier de salle de bain / de sanitaires - Structure et planches CCTB 01.10</w:t>
      </w:r>
      <w:bookmarkEnd w:id="1732"/>
    </w:p>
    <w:p w14:paraId="79C936E9" w14:textId="77777777" w:rsidR="004B2808" w:rsidRDefault="00000000">
      <w:pPr>
        <w:pStyle w:val="pheading"/>
      </w:pPr>
      <w:r>
        <w:t>MATÉRIAUX</w:t>
      </w:r>
    </w:p>
    <w:p w14:paraId="374C87A6" w14:textId="77777777" w:rsidR="004B2808" w:rsidRDefault="00000000">
      <w:pPr>
        <w:pStyle w:val="heading"/>
      </w:pPr>
      <w:r>
        <w:t>Spécifications</w:t>
      </w:r>
    </w:p>
    <w:p w14:paraId="0DFCC0A7" w14:textId="77777777" w:rsidR="004B2808" w:rsidRDefault="00000000">
      <w:pPr>
        <w:pStyle w:val="Author-eListParagraph"/>
        <w:numPr>
          <w:ilvl w:val="0"/>
          <w:numId w:val="1599"/>
        </w:numPr>
      </w:pPr>
      <w:r>
        <w:t xml:space="preserve">Matériau : </w:t>
      </w:r>
      <w:r>
        <w:rPr>
          <w:rStyle w:val="optioncarChar"/>
        </w:rPr>
        <w:t>panneaux de bois agglomérés revêtus</w:t>
      </w:r>
      <w:r>
        <w:t> (par défaut)</w:t>
      </w:r>
      <w:r>
        <w:rPr>
          <w:rStyle w:val="optioncarChar"/>
        </w:rPr>
        <w:t xml:space="preserve"> / *** </w:t>
      </w:r>
      <w:r>
        <w:t xml:space="preserve">densité : </w:t>
      </w:r>
      <w:r>
        <w:rPr>
          <w:rStyle w:val="optioncarChar"/>
        </w:rPr>
        <w:t xml:space="preserve">650 </w:t>
      </w:r>
      <w:r>
        <w:t>(par défaut) </w:t>
      </w:r>
      <w:r>
        <w:rPr>
          <w:rStyle w:val="optioncarChar"/>
        </w:rPr>
        <w:t xml:space="preserve">/ 700 </w:t>
      </w:r>
      <w:r>
        <w:t xml:space="preserve">kg/m³ et classe formaldéhyde </w:t>
      </w:r>
      <w:r>
        <w:rPr>
          <w:rStyle w:val="optioncarChar"/>
        </w:rPr>
        <w:t>1 </w:t>
      </w:r>
      <w:r>
        <w:t>(par défaut)</w:t>
      </w:r>
      <w:r>
        <w:rPr>
          <w:rStyle w:val="optioncarChar"/>
        </w:rPr>
        <w:t> / ***</w:t>
      </w:r>
      <w:r>
        <w:t> .</w:t>
      </w:r>
    </w:p>
    <w:p w14:paraId="347775E0" w14:textId="77777777" w:rsidR="004B2808" w:rsidRDefault="00000000">
      <w:pPr>
        <w:pStyle w:val="Author-eListParagraph"/>
        <w:numPr>
          <w:ilvl w:val="0"/>
          <w:numId w:val="1599"/>
        </w:numPr>
      </w:pPr>
      <w:r>
        <w:t>Revêtement des deux faces:</w:t>
      </w:r>
    </w:p>
    <w:p w14:paraId="65F1D67C" w14:textId="77777777" w:rsidR="004B2808" w:rsidRDefault="00000000">
      <w:pPr>
        <w:ind w:left="454"/>
      </w:pPr>
      <w:r>
        <w:rPr>
          <w:b/>
        </w:rPr>
        <w:t xml:space="preserve">Choix opéré </w:t>
      </w:r>
      <w:r>
        <w:t xml:space="preserve">: </w:t>
      </w:r>
      <w:r>
        <w:rPr>
          <w:rStyle w:val="optioncarChar"/>
        </w:rPr>
        <w:t>*** / OPTION 1 </w:t>
      </w:r>
      <w:r>
        <w:t xml:space="preserve">(par défaut) </w:t>
      </w:r>
      <w:r>
        <w:rPr>
          <w:rStyle w:val="optioncarChar"/>
        </w:rPr>
        <w:t>/ OPTION 2 / OPTION 3</w:t>
      </w:r>
      <w:r>
        <w:br/>
      </w:r>
      <w:r>
        <w:rPr>
          <w:b/>
        </w:rPr>
        <w:t>***OPTION 1 (par défaut)</w:t>
      </w:r>
      <w:r>
        <w:t xml:space="preserve"> : mélaminé. Chants : feuille de matière synthétique, épaisseur min. 0,2 mm . Option : la plaque répond aux critères d'acceptabilité tels que définis dans l'article 02.42.1 Critères d'acceptabilité</w:t>
      </w:r>
      <w:r>
        <w:br/>
      </w:r>
      <w:r>
        <w:rPr>
          <w:b/>
        </w:rPr>
        <w:t>***OPTION 2</w:t>
      </w:r>
      <w:r>
        <w:t xml:space="preserve"> : panneaux stratifiés haute pression, classe HPL-EN 438 VLS ou S 121, épaisseur minimale : </w:t>
      </w:r>
      <w:r>
        <w:rPr>
          <w:rStyle w:val="optioncarChar"/>
        </w:rPr>
        <w:t>0,7 </w:t>
      </w:r>
      <w:r>
        <w:t>(par défaut)</w:t>
      </w:r>
      <w:r>
        <w:rPr>
          <w:rStyle w:val="optioncarChar"/>
        </w:rPr>
        <w:t> / ***</w:t>
      </w:r>
      <w:r>
        <w:t xml:space="preserve"> mm. Chants : bandes de </w:t>
      </w:r>
      <w:r>
        <w:rPr>
          <w:rStyle w:val="optioncarChar"/>
        </w:rPr>
        <w:t>stratifié haute pression</w:t>
      </w:r>
      <w:r>
        <w:t> (par défaut)</w:t>
      </w:r>
      <w:r>
        <w:rPr>
          <w:rStyle w:val="optioncarChar"/>
        </w:rPr>
        <w:t xml:space="preserve"> / feuille en matière synthétique d'au moins 0,2 mm d'épaisseur</w:t>
      </w:r>
      <w:r>
        <w:t> (par défaut) </w:t>
      </w:r>
      <w:r>
        <w:rPr>
          <w:rStyle w:val="optioncarChar"/>
        </w:rPr>
        <w:t>/ ***</w:t>
      </w:r>
      <w:r>
        <w:t xml:space="preserve">. </w:t>
      </w:r>
      <w:r>
        <w:br/>
      </w:r>
      <w:r>
        <w:rPr>
          <w:b/>
        </w:rPr>
        <w:t xml:space="preserve">***OPTION 3 </w:t>
      </w:r>
      <w:r>
        <w:t xml:space="preserve">: panneaux stratifiés haute pression, classe HPL-EN 438 HGS ou S 333, épaisseur minimale : </w:t>
      </w:r>
      <w:r>
        <w:rPr>
          <w:rStyle w:val="optioncarChar"/>
        </w:rPr>
        <w:t>0,7 </w:t>
      </w:r>
      <w:r>
        <w:t>(par défaut)</w:t>
      </w:r>
      <w:r>
        <w:rPr>
          <w:rStyle w:val="optioncarChar"/>
        </w:rPr>
        <w:t> / ***</w:t>
      </w:r>
      <w:r>
        <w:t xml:space="preserve"> mm. Les chants des tablettes sont revêtus de stratifié haute pression. Chants : </w:t>
      </w:r>
      <w:r>
        <w:rPr>
          <w:rStyle w:val="optioncarChar"/>
        </w:rPr>
        <w:t xml:space="preserve">stratifié haute pression </w:t>
      </w:r>
      <w:r>
        <w:t>(par défaut) </w:t>
      </w:r>
      <w:r>
        <w:rPr>
          <w:rStyle w:val="optioncarChar"/>
        </w:rPr>
        <w:t>/ listel acrylique d'au moins 2 mm d'épaisseur / ***</w:t>
      </w:r>
      <w:r>
        <w:t>.</w:t>
      </w:r>
    </w:p>
    <w:p w14:paraId="09BE3129" w14:textId="77777777" w:rsidR="004B2808" w:rsidRDefault="00000000">
      <w:pPr>
        <w:pStyle w:val="Author-eListParagraph"/>
        <w:numPr>
          <w:ilvl w:val="0"/>
          <w:numId w:val="1600"/>
        </w:numPr>
      </w:pPr>
      <w:r>
        <w:t xml:space="preserve">Epaisseur des plaques : </w:t>
      </w:r>
      <w:r>
        <w:rPr>
          <w:rStyle w:val="optioncarChar"/>
        </w:rPr>
        <w:t>18 </w:t>
      </w:r>
      <w:r>
        <w:t>(par défaut) </w:t>
      </w:r>
      <w:r>
        <w:rPr>
          <w:rStyle w:val="optioncarChar"/>
        </w:rPr>
        <w:t>/ *** </w:t>
      </w:r>
      <w:r>
        <w:t>mm.</w:t>
      </w:r>
    </w:p>
    <w:p w14:paraId="6070AAC3" w14:textId="77777777" w:rsidR="004B2808" w:rsidRDefault="00000000">
      <w:pPr>
        <w:pStyle w:val="Author-eListParagraph"/>
        <w:numPr>
          <w:ilvl w:val="0"/>
          <w:numId w:val="1600"/>
        </w:numPr>
      </w:pPr>
      <w:r>
        <w:t xml:space="preserve">Coloris : </w:t>
      </w:r>
      <w:r>
        <w:rPr>
          <w:rStyle w:val="optioncarChar"/>
        </w:rPr>
        <w:t>blanc </w:t>
      </w:r>
      <w:r>
        <w:t xml:space="preserve">(par défaut) </w:t>
      </w:r>
      <w:r>
        <w:rPr>
          <w:rStyle w:val="optioncarChar"/>
        </w:rPr>
        <w:t>/ à choisir dans la gamme de couleurs standard du fabricant / ***</w:t>
      </w:r>
      <w:r>
        <w:t>.</w:t>
      </w:r>
    </w:p>
    <w:p w14:paraId="5D53F5DF" w14:textId="77777777" w:rsidR="004B2808" w:rsidRDefault="00000000">
      <w:pPr>
        <w:pStyle w:val="Author-eListParagraph"/>
        <w:numPr>
          <w:ilvl w:val="0"/>
          <w:numId w:val="1600"/>
        </w:numPr>
      </w:pPr>
      <w:r>
        <w:t xml:space="preserve">Dos des armoires : </w:t>
      </w:r>
      <w:r>
        <w:rPr>
          <w:rStyle w:val="optioncarChar"/>
        </w:rPr>
        <w:t>même matériau que la structure des armoires, épaisseur 10 mm</w:t>
      </w:r>
      <w:r>
        <w:t xml:space="preserve"> (par défaut) </w:t>
      </w:r>
      <w:r>
        <w:rPr>
          <w:rStyle w:val="optioncarChar"/>
        </w:rPr>
        <w:t xml:space="preserve">/ panneaux agglomérés haute pression, épaisseur 3 à 5 mm / *** </w:t>
      </w:r>
      <w:r>
        <w:t>.</w:t>
      </w:r>
      <w:r>
        <w:rPr>
          <w:rStyle w:val="optioncarChar"/>
        </w:rPr>
        <w:t> </w:t>
      </w:r>
      <w:r>
        <w:t xml:space="preserve">Coloris : </w:t>
      </w:r>
      <w:r>
        <w:rPr>
          <w:rStyle w:val="optioncarChar"/>
        </w:rPr>
        <w:t>laqué blanc</w:t>
      </w:r>
      <w:r>
        <w:t> (par défaut)</w:t>
      </w:r>
      <w:r>
        <w:rPr>
          <w:rStyle w:val="optioncarChar"/>
        </w:rPr>
        <w:t xml:space="preserve"> / revêtement en matière synthétique blanche / ***</w:t>
      </w:r>
      <w:r>
        <w:t>.</w:t>
      </w:r>
    </w:p>
    <w:p w14:paraId="790C4F97" w14:textId="77777777" w:rsidR="004B2808" w:rsidRDefault="00000000">
      <w:pPr>
        <w:pStyle w:val="Author-eListParagraph"/>
        <w:numPr>
          <w:ilvl w:val="0"/>
          <w:numId w:val="1600"/>
        </w:numPr>
      </w:pPr>
      <w:r>
        <w:t xml:space="preserve">Chaque armoire est </w:t>
      </w:r>
      <w:r>
        <w:rPr>
          <w:rStyle w:val="optioncarChar"/>
        </w:rPr>
        <w:t xml:space="preserve">fixée au mur et désolidarisée du sol </w:t>
      </w:r>
      <w:r>
        <w:t>(par défaut) </w:t>
      </w:r>
      <w:r>
        <w:rPr>
          <w:rStyle w:val="optioncarChar"/>
        </w:rPr>
        <w:t>/ posée sur 4 pieds réglables / *** </w:t>
      </w:r>
      <w:r>
        <w:t>.</w:t>
      </w:r>
    </w:p>
    <w:p w14:paraId="68563D0D" w14:textId="77777777" w:rsidR="004B2808" w:rsidRDefault="00000000">
      <w:pPr>
        <w:pStyle w:val="Author-eListParagraph"/>
        <w:numPr>
          <w:ilvl w:val="0"/>
          <w:numId w:val="1600"/>
        </w:numPr>
      </w:pPr>
      <w:r>
        <w:t xml:space="preserve">Plinthe </w:t>
      </w:r>
      <w:r>
        <w:rPr>
          <w:rStyle w:val="optioncarChar"/>
        </w:rPr>
        <w:t>: plaque d'aggloméré hydrofuge </w:t>
      </w:r>
      <w:r>
        <w:t>(par défaut)</w:t>
      </w:r>
      <w:r>
        <w:rPr>
          <w:rStyle w:val="optioncarChar"/>
        </w:rPr>
        <w:t xml:space="preserve"> / plaque de contreplaqué marin / *** </w:t>
      </w:r>
      <w:r>
        <w:t xml:space="preserve">. </w:t>
      </w:r>
    </w:p>
    <w:p w14:paraId="4F711CD3" w14:textId="77777777" w:rsidR="004B2808" w:rsidRDefault="00000000">
      <w:pPr>
        <w:pStyle w:val="Author-eListParagraph"/>
        <w:numPr>
          <w:ilvl w:val="1"/>
          <w:numId w:val="1601"/>
        </w:numPr>
      </w:pPr>
      <w:r>
        <w:t xml:space="preserve">Epaisseur : </w:t>
      </w:r>
      <w:r>
        <w:rPr>
          <w:rStyle w:val="optioncarChar"/>
        </w:rPr>
        <w:t>18 </w:t>
      </w:r>
      <w:r>
        <w:t>(par défaut)</w:t>
      </w:r>
      <w:r>
        <w:rPr>
          <w:rStyle w:val="optioncarChar"/>
        </w:rPr>
        <w:t> / *** </w:t>
      </w:r>
      <w:r>
        <w:t>mm, hauteur  </w:t>
      </w:r>
      <w:r>
        <w:rPr>
          <w:rStyle w:val="optioncarChar"/>
        </w:rPr>
        <w:t>10 </w:t>
      </w:r>
      <w:r>
        <w:t>(par défaut)</w:t>
      </w:r>
      <w:r>
        <w:rPr>
          <w:rStyle w:val="optioncarChar"/>
        </w:rPr>
        <w:t> / *** </w:t>
      </w:r>
      <w:r>
        <w:t xml:space="preserve"> cm.</w:t>
      </w:r>
    </w:p>
    <w:p w14:paraId="416BA338" w14:textId="77777777" w:rsidR="004B2808" w:rsidRDefault="00000000">
      <w:pPr>
        <w:pStyle w:val="Author-eListParagraph"/>
        <w:numPr>
          <w:ilvl w:val="1"/>
          <w:numId w:val="1601"/>
        </w:numPr>
      </w:pPr>
      <w:r>
        <w:t xml:space="preserve">Revêtement : </w:t>
      </w:r>
      <w:r>
        <w:rPr>
          <w:rStyle w:val="optioncarChar"/>
        </w:rPr>
        <w:t>panneaux stratifiés haute pression</w:t>
      </w:r>
      <w:r>
        <w:t> (par défaut)</w:t>
      </w:r>
      <w:r>
        <w:rPr>
          <w:rStyle w:val="optioncarChar"/>
        </w:rPr>
        <w:t> / mélamine / *** </w:t>
      </w:r>
      <w:r>
        <w:t>.</w:t>
      </w:r>
    </w:p>
    <w:p w14:paraId="596169A5" w14:textId="77777777" w:rsidR="004B2808" w:rsidRDefault="00000000">
      <w:pPr>
        <w:pStyle w:val="Author-eListParagraph"/>
        <w:numPr>
          <w:ilvl w:val="1"/>
          <w:numId w:val="1601"/>
        </w:numPr>
      </w:pPr>
      <w:r>
        <w:t>Coloris :</w:t>
      </w:r>
      <w:r>
        <w:rPr>
          <w:rStyle w:val="optioncarChar"/>
        </w:rPr>
        <w:t> blanc</w:t>
      </w:r>
      <w:r>
        <w:t> (par défaut)</w:t>
      </w:r>
      <w:r>
        <w:rPr>
          <w:rStyle w:val="optioncarChar"/>
        </w:rPr>
        <w:t xml:space="preserve"> / à choisir dans la gamme de couleurs standard du fabricant / *** </w:t>
      </w:r>
      <w:r>
        <w:t>.</w:t>
      </w:r>
    </w:p>
    <w:p w14:paraId="091EB1AA" w14:textId="77777777" w:rsidR="004B2808" w:rsidRDefault="00000000">
      <w:pPr>
        <w:pStyle w:val="Author-eListParagraph"/>
        <w:numPr>
          <w:ilvl w:val="1"/>
          <w:numId w:val="1601"/>
        </w:numPr>
      </w:pPr>
      <w:r>
        <w:t xml:space="preserve">Retrait : </w:t>
      </w:r>
      <w:r>
        <w:rPr>
          <w:rStyle w:val="optioncarChar"/>
        </w:rPr>
        <w:t>5 </w:t>
      </w:r>
      <w:r>
        <w:t>(par défaut)</w:t>
      </w:r>
      <w:r>
        <w:rPr>
          <w:rStyle w:val="optioncarChar"/>
        </w:rPr>
        <w:t> / ***</w:t>
      </w:r>
      <w:r>
        <w:t xml:space="preserve"> cm.</w:t>
      </w:r>
    </w:p>
    <w:p w14:paraId="79928E9C" w14:textId="77777777" w:rsidR="004B2808" w:rsidRDefault="00000000">
      <w:pPr>
        <w:pStyle w:val="Author-eSectionHeading5Numberless"/>
      </w:pPr>
      <w:bookmarkStart w:id="1733" w:name="_Toc220491817"/>
      <w:r>
        <w:t>58.21.1 Mobilier de salle de bain / de sanitaires - Structure et planches - Eléments blocs CCTB 01.02</w:t>
      </w:r>
      <w:bookmarkEnd w:id="1733"/>
    </w:p>
    <w:p w14:paraId="0675FE4C" w14:textId="77777777" w:rsidR="004B2808" w:rsidRDefault="00000000">
      <w:pPr>
        <w:pStyle w:val="Author-eSectionHeading6Numberless"/>
      </w:pPr>
      <w:bookmarkStart w:id="1734" w:name="_Toc220491818"/>
      <w:r>
        <w:t>58.21.1a Mobilier de salle de bain / de sanitaires - Structure et planches - Eléments blocs CCTB 01.02</w:t>
      </w:r>
      <w:bookmarkEnd w:id="1734"/>
    </w:p>
    <w:p w14:paraId="77A95464" w14:textId="77777777" w:rsidR="004B2808" w:rsidRDefault="00000000">
      <w:pPr>
        <w:pStyle w:val="Author-eSectionHeading5Numberless"/>
      </w:pPr>
      <w:bookmarkStart w:id="1735" w:name="_Toc220491819"/>
      <w:r>
        <w:t>58.21.2 Mobilier de salle de bain / de sanitaires - Structure et planches - Façades &amp; côtés apparents CCTB 01.02</w:t>
      </w:r>
      <w:bookmarkEnd w:id="1735"/>
    </w:p>
    <w:p w14:paraId="361775AB" w14:textId="77777777" w:rsidR="004B2808" w:rsidRDefault="00000000">
      <w:pPr>
        <w:pStyle w:val="Author-eSectionHeading6Numberless"/>
      </w:pPr>
      <w:bookmarkStart w:id="1736" w:name="_Toc220491820"/>
      <w:r>
        <w:lastRenderedPageBreak/>
        <w:t>58.21.2a Mobilier de salle de bain / de sanitaires - Structure et planches - Façades &amp; côtés apparents CCTB 01.10</w:t>
      </w:r>
      <w:bookmarkEnd w:id="1736"/>
    </w:p>
    <w:p w14:paraId="3D09E5FB" w14:textId="77777777" w:rsidR="004B2808" w:rsidRDefault="00000000">
      <w:pPr>
        <w:pStyle w:val="pheading"/>
      </w:pPr>
      <w:r>
        <w:t>MATÉRIAUX</w:t>
      </w:r>
    </w:p>
    <w:p w14:paraId="3FC8A540" w14:textId="77777777" w:rsidR="004B2808" w:rsidRDefault="00000000">
      <w:pPr>
        <w:pStyle w:val="pheading"/>
      </w:pPr>
      <w:r>
        <w:t>- Caractéristiques générales</w:t>
      </w:r>
    </w:p>
    <w:p w14:paraId="0F7864A4" w14:textId="77777777" w:rsidR="004B2808" w:rsidRDefault="00000000">
      <w:pPr>
        <w:pStyle w:val="heading"/>
      </w:pPr>
      <w:r>
        <w:t>Spécifications</w:t>
      </w:r>
    </w:p>
    <w:p w14:paraId="18B999A2" w14:textId="77777777" w:rsidR="004B2808" w:rsidRDefault="00000000">
      <w:pPr>
        <w:pStyle w:val="Author-eListParagraph"/>
        <w:numPr>
          <w:ilvl w:val="0"/>
          <w:numId w:val="1602"/>
        </w:numPr>
      </w:pPr>
      <w:r>
        <w:t xml:space="preserve">Matériau : </w:t>
      </w:r>
      <w:r>
        <w:rPr>
          <w:rStyle w:val="optioncarChar"/>
        </w:rPr>
        <w:t>MDF </w:t>
      </w:r>
      <w:r>
        <w:t>(par défaut)</w:t>
      </w:r>
      <w:r>
        <w:rPr>
          <w:rStyle w:val="optioncarChar"/>
        </w:rPr>
        <w:t xml:space="preserve"> / Panneaux de bois agglomérés / contreplaqué bouleau / *** </w:t>
      </w:r>
      <w:r>
        <w:t xml:space="preserve">, épaisseur </w:t>
      </w:r>
      <w:r>
        <w:rPr>
          <w:rStyle w:val="optioncarChar"/>
        </w:rPr>
        <w:t>18</w:t>
      </w:r>
      <w:r>
        <w:t> (par défaut)</w:t>
      </w:r>
      <w:r>
        <w:rPr>
          <w:rStyle w:val="optioncarChar"/>
        </w:rPr>
        <w:t> / *** </w:t>
      </w:r>
      <w:r>
        <w:t>mm</w:t>
      </w:r>
    </w:p>
    <w:p w14:paraId="23479C38" w14:textId="77777777" w:rsidR="004B2808" w:rsidRDefault="00000000">
      <w:pPr>
        <w:pStyle w:val="Author-eListParagraph"/>
        <w:numPr>
          <w:ilvl w:val="0"/>
          <w:numId w:val="1602"/>
        </w:numPr>
      </w:pPr>
      <w:r>
        <w:t xml:space="preserve">Charnières : </w:t>
      </w:r>
    </w:p>
    <w:p w14:paraId="0D40C4F2" w14:textId="77777777" w:rsidR="004B2808" w:rsidRDefault="00000000">
      <w:pPr>
        <w:pStyle w:val="Author-eListParagraph"/>
        <w:numPr>
          <w:ilvl w:val="1"/>
          <w:numId w:val="1603"/>
        </w:numPr>
      </w:pPr>
      <w:r>
        <w:t>Angle d'ouverture:</w:t>
      </w:r>
      <w:r>
        <w:rPr>
          <w:rStyle w:val="optioncarChar"/>
        </w:rPr>
        <w:t> 90° </w:t>
      </w:r>
      <w:r>
        <w:t>(par défaut)</w:t>
      </w:r>
      <w:r>
        <w:rPr>
          <w:rStyle w:val="optioncarChar"/>
        </w:rPr>
        <w:t xml:space="preserve"> / 170° </w:t>
      </w:r>
    </w:p>
    <w:p w14:paraId="08D03F06" w14:textId="77777777" w:rsidR="004B2808" w:rsidRDefault="00000000">
      <w:pPr>
        <w:pStyle w:val="Author-eListParagraph"/>
        <w:numPr>
          <w:ilvl w:val="1"/>
          <w:numId w:val="1603"/>
        </w:numPr>
      </w:pPr>
      <w:r>
        <w:t xml:space="preserve">Type : type </w:t>
      </w:r>
      <w:r>
        <w:rPr>
          <w:rStyle w:val="optioncarChar"/>
        </w:rPr>
        <w:t xml:space="preserve">à fermeture automatique à boîtier </w:t>
      </w:r>
      <w:r>
        <w:t>(par défaut) </w:t>
      </w:r>
      <w:r>
        <w:rPr>
          <w:rStyle w:val="optioncarChar"/>
        </w:rPr>
        <w:t xml:space="preserve">/ *** </w:t>
      </w:r>
    </w:p>
    <w:p w14:paraId="380E8B1E" w14:textId="77777777" w:rsidR="004B2808" w:rsidRDefault="00000000">
      <w:pPr>
        <w:pStyle w:val="pheading"/>
      </w:pPr>
      <w:r>
        <w:t>- Finitions</w:t>
      </w:r>
    </w:p>
    <w:p w14:paraId="20FBD1BF" w14:textId="77777777" w:rsidR="004B2808" w:rsidRDefault="00000000">
      <w:r>
        <w:t>Finition des panneaux de façade : </w:t>
      </w:r>
    </w:p>
    <w:p w14:paraId="77AA49AD" w14:textId="77777777" w:rsidR="004B2808" w:rsidRDefault="00000000">
      <w:pPr>
        <w:ind w:left="450"/>
      </w:pPr>
      <w:r>
        <w:rPr>
          <w:b/>
        </w:rPr>
        <w:t xml:space="preserve">Choix opéré </w:t>
      </w:r>
      <w:r>
        <w:t xml:space="preserve">: </w:t>
      </w:r>
      <w:r>
        <w:rPr>
          <w:rStyle w:val="optioncarChar"/>
        </w:rPr>
        <w:t>*** / OPTION 1</w:t>
      </w:r>
      <w:r>
        <w:t xml:space="preserve"> (par défaut) </w:t>
      </w:r>
      <w:r>
        <w:rPr>
          <w:rStyle w:val="optioncarChar"/>
        </w:rPr>
        <w:t>/ OPTION 2 / OPTION 3 / OPTION 4</w:t>
      </w:r>
      <w:r>
        <w:br/>
      </w:r>
      <w:r>
        <w:rPr>
          <w:b/>
        </w:rPr>
        <w:t>OPTION 1 (par défaut)</w:t>
      </w:r>
      <w:r>
        <w:t xml:space="preserve"> : mélaminé. Chants : </w:t>
      </w:r>
      <w:r>
        <w:rPr>
          <w:rStyle w:val="optioncarChar"/>
        </w:rPr>
        <w:t>feuille en matière synthétique</w:t>
      </w:r>
      <w:r>
        <w:t> (par défaut)</w:t>
      </w:r>
      <w:r>
        <w:rPr>
          <w:rStyle w:val="optioncarChar"/>
        </w:rPr>
        <w:t xml:space="preserve"> / listel acrylique</w:t>
      </w:r>
      <w:r>
        <w:t>, épaisseur min.</w:t>
      </w:r>
      <w:r>
        <w:rPr>
          <w:rStyle w:val="optioncarChar"/>
        </w:rPr>
        <w:t> 2 </w:t>
      </w:r>
      <w:r>
        <w:t>(par défaut)</w:t>
      </w:r>
      <w:r>
        <w:rPr>
          <w:rStyle w:val="optioncarChar"/>
        </w:rPr>
        <w:t> / ***</w:t>
      </w:r>
      <w:r>
        <w:t xml:space="preserve"> mm. </w:t>
      </w:r>
      <w:r>
        <w:br/>
      </w:r>
      <w:r>
        <w:rPr>
          <w:b/>
        </w:rPr>
        <w:t>OPTION 2</w:t>
      </w:r>
      <w:r>
        <w:t xml:space="preserve"> : plaque de stratifié haute pression, classe HPL-EN 438 VGS ou S 232, épaisseur </w:t>
      </w:r>
      <w:r>
        <w:rPr>
          <w:rStyle w:val="optioncarChar"/>
        </w:rPr>
        <w:t>0,8</w:t>
      </w:r>
      <w:r>
        <w:t> (par défaut) </w:t>
      </w:r>
      <w:r>
        <w:rPr>
          <w:rStyle w:val="optioncarChar"/>
        </w:rPr>
        <w:t>/ ***</w:t>
      </w:r>
      <w:r>
        <w:t xml:space="preserve"> mm. Chants : listel acrylique, épaisseur min. 2mm. </w:t>
      </w:r>
      <w:r>
        <w:br/>
      </w:r>
      <w:r>
        <w:rPr>
          <w:b/>
        </w:rPr>
        <w:t>OPTION 3</w:t>
      </w:r>
      <w:r>
        <w:t xml:space="preserve"> : plaque de stratifié haute pression, classe HPL-EN 438 VGP ou P 222, épaisseur </w:t>
      </w:r>
      <w:r>
        <w:rPr>
          <w:rStyle w:val="optioncarChar"/>
        </w:rPr>
        <w:t>0,8 </w:t>
      </w:r>
      <w:r>
        <w:t>(par défaut)</w:t>
      </w:r>
      <w:r>
        <w:rPr>
          <w:rStyle w:val="optioncarChar"/>
        </w:rPr>
        <w:t> / ***</w:t>
      </w:r>
      <w:r>
        <w:t xml:space="preserve"> mm. </w:t>
      </w:r>
      <w:r>
        <w:br/>
      </w:r>
      <w:r>
        <w:rPr>
          <w:b/>
        </w:rPr>
        <w:t>OPTION 4</w:t>
      </w:r>
      <w:r>
        <w:t xml:space="preserve"> : à </w:t>
      </w:r>
      <w:r>
        <w:rPr>
          <w:rStyle w:val="optioncarChar"/>
        </w:rPr>
        <w:t>peindre </w:t>
      </w:r>
      <w:r>
        <w:t>(par défaut)</w:t>
      </w:r>
      <w:r>
        <w:rPr>
          <w:rStyle w:val="optioncarChar"/>
        </w:rPr>
        <w:t xml:space="preserve"> / vernir en deux couches / ***</w:t>
      </w:r>
      <w:r>
        <w:t xml:space="preserve">, selon </w:t>
      </w:r>
      <w:r>
        <w:rPr>
          <w:shd w:val="clear" w:color="auto" w:fill="FFFFFF"/>
        </w:rPr>
        <w:t xml:space="preserve">l'article </w:t>
      </w:r>
      <w:r>
        <w:rPr>
          <w:rStyle w:val="optioncarChar"/>
          <w:shd w:val="clear" w:color="auto" w:fill="FFFFFF"/>
        </w:rPr>
        <w:t xml:space="preserve">*** </w:t>
      </w:r>
    </w:p>
    <w:p w14:paraId="5AD96204" w14:textId="77777777" w:rsidR="004B2808" w:rsidRDefault="00000000">
      <w:r>
        <w:t xml:space="preserve">Coloris : </w:t>
      </w:r>
      <w:r>
        <w:rPr>
          <w:rStyle w:val="optioncarChar"/>
        </w:rPr>
        <w:t>blanc </w:t>
      </w:r>
      <w:r>
        <w:t>(par défaut)</w:t>
      </w:r>
      <w:r>
        <w:rPr>
          <w:rStyle w:val="optioncarChar"/>
        </w:rPr>
        <w:t xml:space="preserve"> / à choisir dans la gamme de couleurs standard du fabricant / ***</w:t>
      </w:r>
      <w:r>
        <w:t>.</w:t>
      </w:r>
    </w:p>
    <w:p w14:paraId="60920A25" w14:textId="77777777" w:rsidR="004B2808" w:rsidRDefault="00000000">
      <w:pPr>
        <w:pStyle w:val="pheading"/>
      </w:pPr>
      <w:r>
        <w:t>- Prescriptions complémentaires</w:t>
      </w:r>
    </w:p>
    <w:p w14:paraId="5D9C0D59" w14:textId="77777777" w:rsidR="004B2808" w:rsidRDefault="00000000">
      <w:r>
        <w:t>Le postforming des portes d'armoires est:</w:t>
      </w:r>
    </w:p>
    <w:p w14:paraId="46B8FC5A" w14:textId="77777777" w:rsidR="004B2808" w:rsidRDefault="00000000">
      <w:pPr>
        <w:ind w:left="450"/>
      </w:pPr>
      <w:r>
        <w:rPr>
          <w:b/>
        </w:rPr>
        <w:t>Choix opéré</w:t>
      </w:r>
      <w:r>
        <w:t xml:space="preserve"> : </w:t>
      </w:r>
      <w:r>
        <w:rPr>
          <w:rStyle w:val="optioncarChar"/>
        </w:rPr>
        <w:t>*** / OPTION 1 (horizontal)</w:t>
      </w:r>
      <w:r>
        <w:t xml:space="preserve"> (par défaut)</w:t>
      </w:r>
      <w:r>
        <w:rPr>
          <w:rStyle w:val="optioncarChar"/>
        </w:rPr>
        <w:t> / OPTION 2 (vertical)</w:t>
      </w:r>
      <w:r>
        <w:br/>
      </w:r>
      <w:r>
        <w:rPr>
          <w:b/>
        </w:rPr>
        <w:t>***OPTION 1 (par défaut)</w:t>
      </w:r>
      <w:r>
        <w:t xml:space="preserve"> : horizontal sur</w:t>
      </w:r>
      <w:r>
        <w:rPr>
          <w:rStyle w:val="optioncarChar"/>
        </w:rPr>
        <w:t> 90° </w:t>
      </w:r>
      <w:r>
        <w:t>(par défaut)</w:t>
      </w:r>
      <w:r>
        <w:rPr>
          <w:rStyle w:val="optioncarChar"/>
        </w:rPr>
        <w:t xml:space="preserve"> / 180° / ***</w:t>
      </w:r>
      <w:r>
        <w:t xml:space="preserve"> sur toute l'épaisseur . </w:t>
      </w:r>
      <w:r>
        <w:br/>
      </w:r>
      <w:r>
        <w:rPr>
          <w:b/>
        </w:rPr>
        <w:t>***OPTION 2</w:t>
      </w:r>
      <w:r>
        <w:t xml:space="preserve"> : vertical sur 90°</w:t>
      </w:r>
    </w:p>
    <w:p w14:paraId="41B5ED8D" w14:textId="77777777" w:rsidR="004B2808" w:rsidRDefault="00000000">
      <w:pPr>
        <w:pStyle w:val="pheading"/>
      </w:pPr>
      <w:r>
        <w:t>MESURAGE</w:t>
      </w:r>
    </w:p>
    <w:p w14:paraId="7B67006D" w14:textId="77777777" w:rsidR="004B2808" w:rsidRDefault="00000000">
      <w:r>
        <w:t>Conformément à la nature du mobilier sanitaire prévu, les indications spécifiques dans le cahier spécial des charges et/ou le métré récapitulatif, le mesurage doit en principe être conçu comme suit :</w:t>
      </w:r>
    </w:p>
    <w:p w14:paraId="39885D5E" w14:textId="77777777" w:rsidR="004B2808" w:rsidRDefault="00000000">
      <w:pPr>
        <w:pStyle w:val="pheading"/>
      </w:pPr>
      <w:r>
        <w:t>- unité de mesure:</w:t>
      </w:r>
    </w:p>
    <w:p w14:paraId="3F72BE15" w14:textId="77777777" w:rsidR="004B2808" w:rsidRDefault="00000000">
      <w:r>
        <w:t>p</w:t>
      </w:r>
    </w:p>
    <w:p w14:paraId="2FF30ACA" w14:textId="77777777" w:rsidR="004B2808" w:rsidRDefault="00000000">
      <w:pPr>
        <w:pStyle w:val="pheading"/>
      </w:pPr>
      <w:r>
        <w:t>- code de mesurage:</w:t>
      </w:r>
    </w:p>
    <w:p w14:paraId="19F1B516" w14:textId="77777777" w:rsidR="004B2808" w:rsidRDefault="00000000">
      <w:r>
        <w:t xml:space="preserve">Selon le type </w:t>
      </w:r>
    </w:p>
    <w:p w14:paraId="68BCCE54" w14:textId="77777777" w:rsidR="004B2808" w:rsidRDefault="00000000">
      <w:pPr>
        <w:pStyle w:val="pheading"/>
      </w:pPr>
      <w:r>
        <w:t>- nature du marché:</w:t>
      </w:r>
    </w:p>
    <w:p w14:paraId="2E445557" w14:textId="77777777" w:rsidR="004B2808" w:rsidRDefault="00000000">
      <w:r>
        <w:t>QF</w:t>
      </w:r>
    </w:p>
    <w:p w14:paraId="0E8AC8DE" w14:textId="77777777" w:rsidR="004B2808" w:rsidRDefault="00000000">
      <w:pPr>
        <w:pStyle w:val="Author-eSectionHeading5Numberless"/>
      </w:pPr>
      <w:bookmarkStart w:id="1737" w:name="_Toc220491821"/>
      <w:r>
        <w:t>58.21.3 Mobilier de salle de bain / de sanitaires - Structure et planches - Planches intérieures CCTB 01.02</w:t>
      </w:r>
      <w:bookmarkEnd w:id="1737"/>
    </w:p>
    <w:p w14:paraId="7D48B374" w14:textId="77777777" w:rsidR="004B2808" w:rsidRDefault="00000000">
      <w:pPr>
        <w:pStyle w:val="Author-eSectionHeading6Numberless"/>
      </w:pPr>
      <w:bookmarkStart w:id="1738" w:name="_Toc220491822"/>
      <w:r>
        <w:t>58.21.3a Mobilier de salle de bain / de sanitaires - Structure et planches - Planches intérieures CCTB 01.02</w:t>
      </w:r>
      <w:bookmarkEnd w:id="1738"/>
    </w:p>
    <w:p w14:paraId="69195BEE" w14:textId="77777777" w:rsidR="004B2808" w:rsidRDefault="00000000">
      <w:pPr>
        <w:pStyle w:val="Author-eSectionHeading5Numberless"/>
      </w:pPr>
      <w:bookmarkStart w:id="1739" w:name="_Toc220491823"/>
      <w:r>
        <w:t>58.21.4 Mobilier de salle de bain / de sanitaires - Structure et planches - Structure complémentaire, y compris étagères CCTB 01.02</w:t>
      </w:r>
      <w:bookmarkEnd w:id="1739"/>
    </w:p>
    <w:p w14:paraId="0CE89DCB" w14:textId="77777777" w:rsidR="004B2808" w:rsidRDefault="00000000">
      <w:pPr>
        <w:pStyle w:val="Author-eSectionHeading6Numberless"/>
      </w:pPr>
      <w:bookmarkStart w:id="1740" w:name="_Toc220491824"/>
      <w:r>
        <w:lastRenderedPageBreak/>
        <w:t>58.21.4a Mobilier de salle de bain / de sanitaires - Structure et planches - Structure complémentaire, y compris étagères CCTB 01.02</w:t>
      </w:r>
      <w:bookmarkEnd w:id="1740"/>
    </w:p>
    <w:p w14:paraId="52FA308A" w14:textId="77777777" w:rsidR="004B2808" w:rsidRDefault="00000000">
      <w:pPr>
        <w:pStyle w:val="Author-eSectionHeading4Numberless"/>
      </w:pPr>
      <w:bookmarkStart w:id="1741" w:name="_Toc220491825"/>
      <w:r>
        <w:t>58.22 Mobilier de salle de bain / de sanitaires - Portes / Tiroirs / Caissons CCTB 01.02</w:t>
      </w:r>
      <w:bookmarkEnd w:id="1741"/>
    </w:p>
    <w:p w14:paraId="6324F606" w14:textId="77777777" w:rsidR="004B2808" w:rsidRDefault="00000000">
      <w:pPr>
        <w:pStyle w:val="Author-eSectionHeading5Numberless"/>
      </w:pPr>
      <w:bookmarkStart w:id="1742" w:name="_Toc220491826"/>
      <w:r>
        <w:t>58.22.1 Mobilier de salle de bain / de sanitaires - Portes de mobilier de salle de bain CCTB 01.02</w:t>
      </w:r>
      <w:bookmarkEnd w:id="1742"/>
    </w:p>
    <w:p w14:paraId="1BFF207E" w14:textId="77777777" w:rsidR="004B2808" w:rsidRDefault="00000000">
      <w:pPr>
        <w:pStyle w:val="Author-eSectionHeading6Numberless"/>
      </w:pPr>
      <w:bookmarkStart w:id="1743" w:name="_Toc220491827"/>
      <w:r>
        <w:t>58.22.1a Mobilier de salle de bain / de sanitaires - Portes de mobilier de salle de bain CCTB 01.02</w:t>
      </w:r>
      <w:bookmarkEnd w:id="1743"/>
    </w:p>
    <w:p w14:paraId="258E5339" w14:textId="77777777" w:rsidR="004B2808" w:rsidRDefault="00000000">
      <w:pPr>
        <w:pStyle w:val="Author-eSectionHeading5Numberless"/>
      </w:pPr>
      <w:bookmarkStart w:id="1744" w:name="_Toc220491828"/>
      <w:r>
        <w:t>58.22.2 Mobilier de salle de bain / de sanitaires - Bloc paroi - porte de douche CCTB 01.02</w:t>
      </w:r>
      <w:bookmarkEnd w:id="1744"/>
    </w:p>
    <w:p w14:paraId="601B7631" w14:textId="77777777" w:rsidR="004B2808" w:rsidRDefault="00000000">
      <w:pPr>
        <w:pStyle w:val="Author-eSectionHeading6Numberless"/>
      </w:pPr>
      <w:bookmarkStart w:id="1745" w:name="_Toc220491829"/>
      <w:r>
        <w:t>58.22.2a Mobilier de salle de bain / de sanitaires - Bloc paroi - porte de douche CCTB 01.02</w:t>
      </w:r>
      <w:bookmarkEnd w:id="1745"/>
    </w:p>
    <w:p w14:paraId="18921064" w14:textId="77777777" w:rsidR="004B2808" w:rsidRDefault="00000000">
      <w:pPr>
        <w:pStyle w:val="Author-eSectionHeading5Numberless"/>
      </w:pPr>
      <w:bookmarkStart w:id="1746" w:name="_Toc220491830"/>
      <w:r>
        <w:t>58.22.3 Mobilier de salle de bain / de sanitaires - Tiroirs CCTB 01.02</w:t>
      </w:r>
      <w:bookmarkEnd w:id="1746"/>
    </w:p>
    <w:p w14:paraId="368B96F5" w14:textId="77777777" w:rsidR="004B2808" w:rsidRDefault="00000000">
      <w:pPr>
        <w:pStyle w:val="Author-eSectionHeading6Numberless"/>
      </w:pPr>
      <w:bookmarkStart w:id="1747" w:name="_Toc220491831"/>
      <w:r>
        <w:t>58.22.3a Mobilier de salle de bain / de sanitaires - Tiroirs CCTB 01.10</w:t>
      </w:r>
      <w:bookmarkEnd w:id="1747"/>
    </w:p>
    <w:p w14:paraId="242B0B8C" w14:textId="77777777" w:rsidR="004B2808" w:rsidRDefault="00000000">
      <w:pPr>
        <w:pStyle w:val="pheading"/>
      </w:pPr>
      <w:r>
        <w:t>MATÉRIAUX</w:t>
      </w:r>
    </w:p>
    <w:p w14:paraId="2266CBD5" w14:textId="77777777" w:rsidR="004B2808" w:rsidRDefault="00000000">
      <w:pPr>
        <w:pStyle w:val="pheading"/>
      </w:pPr>
      <w:r>
        <w:t>- Caractéristiques générales</w:t>
      </w:r>
    </w:p>
    <w:p w14:paraId="5CA67947" w14:textId="77777777" w:rsidR="004B2808" w:rsidRDefault="00000000">
      <w:pPr>
        <w:pStyle w:val="heading"/>
      </w:pPr>
      <w:r>
        <w:t>Spécifications</w:t>
      </w:r>
    </w:p>
    <w:p w14:paraId="79877CE5" w14:textId="77777777" w:rsidR="004B2808" w:rsidRDefault="00000000">
      <w:pPr>
        <w:pStyle w:val="Author-eListParagraph"/>
        <w:numPr>
          <w:ilvl w:val="0"/>
          <w:numId w:val="1604"/>
        </w:numPr>
      </w:pPr>
      <w:r>
        <w:t>Tiroirs coulissants :</w:t>
      </w:r>
    </w:p>
    <w:p w14:paraId="5DCF50CE" w14:textId="77777777" w:rsidR="004B2808" w:rsidRDefault="00000000">
      <w:pPr>
        <w:ind w:left="450"/>
      </w:pPr>
      <w:r>
        <w:rPr>
          <w:b/>
        </w:rPr>
        <w:t>Choix opéré</w:t>
      </w:r>
      <w:r>
        <w:t xml:space="preserve"> : </w:t>
      </w:r>
      <w:r>
        <w:rPr>
          <w:rStyle w:val="optioncarChar"/>
        </w:rPr>
        <w:t>***  / OPTION 1</w:t>
      </w:r>
      <w:r>
        <w:t xml:space="preserve"> (par défaut) </w:t>
      </w:r>
      <w:r>
        <w:rPr>
          <w:rStyle w:val="optioncarChar"/>
        </w:rPr>
        <w:t>/ OPTION 2</w:t>
      </w:r>
      <w:r>
        <w:br/>
      </w:r>
      <w:r>
        <w:rPr>
          <w:b/>
        </w:rPr>
        <w:t>***OPTION 1 (par défaut) </w:t>
      </w:r>
      <w:r>
        <w:t>: tiroirs préfabriqués constitués d'une combinaison de côtés en tôle métallique laquée et d'un fond en plaque d'aggloméré revêtu, de </w:t>
      </w:r>
      <w:r>
        <w:rPr>
          <w:rStyle w:val="optioncarChar"/>
        </w:rPr>
        <w:t>16</w:t>
      </w:r>
      <w:r>
        <w:t> (par défaut)</w:t>
      </w:r>
      <w:r>
        <w:rPr>
          <w:rStyle w:val="optioncarChar"/>
        </w:rPr>
        <w:t> / ***</w:t>
      </w:r>
      <w:r>
        <w:t xml:space="preserve">  mm d'épaisseur. </w:t>
      </w:r>
      <w:r>
        <w:br/>
      </w:r>
      <w:r>
        <w:rPr>
          <w:b/>
        </w:rPr>
        <w:t>***OPTION 2</w:t>
      </w:r>
      <w:r>
        <w:t xml:space="preserve"> : panneaux de bois agglomérés, épaisseur </w:t>
      </w:r>
      <w:r>
        <w:rPr>
          <w:rStyle w:val="optioncarChar"/>
        </w:rPr>
        <w:t>16 </w:t>
      </w:r>
      <w:r>
        <w:t>(par défaut)</w:t>
      </w:r>
      <w:r>
        <w:rPr>
          <w:rStyle w:val="optioncarChar"/>
        </w:rPr>
        <w:t xml:space="preserve"> / 18 / ***</w:t>
      </w:r>
      <w:r>
        <w:t xml:space="preserve"> . Finition : </w:t>
      </w:r>
      <w:r>
        <w:rPr>
          <w:rStyle w:val="optioncarChar"/>
        </w:rPr>
        <w:t> dentique à celle de la structure de l 'armoire / revêtement en PVC </w:t>
      </w:r>
      <w:r>
        <w:t>(par défaut)</w:t>
      </w:r>
      <w:r>
        <w:rPr>
          <w:rStyle w:val="optioncarChar"/>
        </w:rPr>
        <w:t> / ***</w:t>
      </w:r>
      <w:r>
        <w:t xml:space="preserve">. Chants apparents : </w:t>
      </w:r>
      <w:r>
        <w:rPr>
          <w:rStyle w:val="optioncarChar"/>
        </w:rPr>
        <w:t>bande en matière synthétique</w:t>
      </w:r>
      <w:r>
        <w:t> (par défaut)</w:t>
      </w:r>
      <w:r>
        <w:rPr>
          <w:rStyle w:val="optioncarChar"/>
        </w:rPr>
        <w:t xml:space="preserve"> / revêtement en PVC / *** </w:t>
      </w:r>
      <w:r>
        <w:t>, épaisseur min. 0,2 mm .</w:t>
      </w:r>
    </w:p>
    <w:p w14:paraId="755BD329" w14:textId="77777777" w:rsidR="004B2808" w:rsidRDefault="00000000">
      <w:pPr>
        <w:pStyle w:val="Author-eListParagraph"/>
        <w:numPr>
          <w:ilvl w:val="0"/>
          <w:numId w:val="1605"/>
        </w:numPr>
      </w:pPr>
      <w:r>
        <w:t xml:space="preserve">Coulisses : </w:t>
      </w:r>
      <w:r>
        <w:rPr>
          <w:rStyle w:val="optioncarChar"/>
        </w:rPr>
        <w:t>rainures en forme de U </w:t>
      </w:r>
      <w:r>
        <w:t>(par défaut)</w:t>
      </w:r>
      <w:r>
        <w:rPr>
          <w:rStyle w:val="optioncarChar"/>
        </w:rPr>
        <w:t xml:space="preserve"> / coulisses télescopiques / ***</w:t>
      </w:r>
    </w:p>
    <w:p w14:paraId="5EC0D46A" w14:textId="77777777" w:rsidR="004B2808" w:rsidRDefault="00000000">
      <w:pPr>
        <w:pStyle w:val="pheading"/>
      </w:pPr>
      <w:r>
        <w:t>- Prescriptions complémentaires</w:t>
      </w:r>
    </w:p>
    <w:p w14:paraId="26A1BE8D" w14:textId="77777777" w:rsidR="004B2808" w:rsidRDefault="00000000">
      <w:r>
        <w:t>Façades postformées :</w:t>
      </w:r>
      <w:r>
        <w:rPr>
          <w:rStyle w:val="optioncarChar"/>
        </w:rPr>
        <w:t> horizontale </w:t>
      </w:r>
      <w:r>
        <w:t>(par défaut)</w:t>
      </w:r>
      <w:r>
        <w:rPr>
          <w:rStyle w:val="optioncarChar"/>
        </w:rPr>
        <w:t xml:space="preserve"> / verticale / *** </w:t>
      </w:r>
      <w:r>
        <w:t xml:space="preserve">sur  </w:t>
      </w:r>
      <w:r>
        <w:rPr>
          <w:rStyle w:val="optioncarChar"/>
        </w:rPr>
        <w:t>90° </w:t>
      </w:r>
      <w:r>
        <w:t>(par défaut)</w:t>
      </w:r>
      <w:r>
        <w:rPr>
          <w:rStyle w:val="optioncarChar"/>
        </w:rPr>
        <w:t xml:space="preserve"> / 180° / *** </w:t>
      </w:r>
      <w:r>
        <w:t>sur toute l'épaisseur .</w:t>
      </w:r>
      <w:r>
        <w:br/>
        <w:t xml:space="preserve">Chants visibles non postformés : </w:t>
      </w:r>
      <w:r>
        <w:rPr>
          <w:rStyle w:val="optioncarChar"/>
        </w:rPr>
        <w:t>bande de stratifié haute pression</w:t>
      </w:r>
      <w:r>
        <w:t> (par défaut)</w:t>
      </w:r>
      <w:r>
        <w:rPr>
          <w:rStyle w:val="optioncarChar"/>
        </w:rPr>
        <w:t xml:space="preserve"> / listel acrylique d'au moins 2 mm d'épaisseur / ***</w:t>
      </w:r>
      <w:r>
        <w:t>.</w:t>
      </w:r>
    </w:p>
    <w:p w14:paraId="2617EB1C" w14:textId="77777777" w:rsidR="004B2808" w:rsidRDefault="00000000">
      <w:pPr>
        <w:pStyle w:val="pheading"/>
      </w:pPr>
      <w:r>
        <w:t>MESURAGE</w:t>
      </w:r>
    </w:p>
    <w:p w14:paraId="7EA35A60" w14:textId="77777777" w:rsidR="004B2808" w:rsidRDefault="00000000">
      <w:r>
        <w:t>Conformément à la nature du mobilier sanitaire prévu, les indications spécifiques dans le cahier spécial des charges et/ou le métré récapitulatif, le mesurage doit en principe être conçu comme suit :</w:t>
      </w:r>
    </w:p>
    <w:p w14:paraId="5BCF0078" w14:textId="77777777" w:rsidR="004B2808" w:rsidRDefault="00000000">
      <w:pPr>
        <w:pStyle w:val="pheading"/>
      </w:pPr>
      <w:r>
        <w:t>- unité de mesure:</w:t>
      </w:r>
    </w:p>
    <w:p w14:paraId="2F51F581" w14:textId="77777777" w:rsidR="004B2808" w:rsidRDefault="00000000">
      <w:r>
        <w:t>p</w:t>
      </w:r>
    </w:p>
    <w:p w14:paraId="76441DA4" w14:textId="77777777" w:rsidR="004B2808" w:rsidRDefault="00000000">
      <w:pPr>
        <w:pStyle w:val="pheading"/>
      </w:pPr>
      <w:r>
        <w:t>- code de mesurage:</w:t>
      </w:r>
    </w:p>
    <w:p w14:paraId="2E321D3B" w14:textId="77777777" w:rsidR="004B2808" w:rsidRDefault="00000000">
      <w:r>
        <w:t xml:space="preserve">Selon le type </w:t>
      </w:r>
    </w:p>
    <w:p w14:paraId="539835A0" w14:textId="77777777" w:rsidR="004B2808" w:rsidRDefault="00000000">
      <w:pPr>
        <w:pStyle w:val="pheading"/>
      </w:pPr>
      <w:r>
        <w:t>- nature du marché:</w:t>
      </w:r>
    </w:p>
    <w:p w14:paraId="114E291F" w14:textId="77777777" w:rsidR="004B2808" w:rsidRDefault="00000000">
      <w:r>
        <w:lastRenderedPageBreak/>
        <w:t>QF</w:t>
      </w:r>
    </w:p>
    <w:p w14:paraId="7E8C569C" w14:textId="77777777" w:rsidR="004B2808" w:rsidRDefault="00000000">
      <w:pPr>
        <w:pStyle w:val="Author-eSectionHeading5Numberless"/>
      </w:pPr>
      <w:bookmarkStart w:id="1748" w:name="_Toc220491832"/>
      <w:r>
        <w:t>58.22.4 Mobilier de salle de bain / de sanitaires - Caissons CCTB 01.02</w:t>
      </w:r>
      <w:bookmarkEnd w:id="1748"/>
    </w:p>
    <w:p w14:paraId="68E3A265" w14:textId="77777777" w:rsidR="004B2808" w:rsidRDefault="00000000">
      <w:pPr>
        <w:pStyle w:val="Author-eSectionHeading6Numberless"/>
      </w:pPr>
      <w:bookmarkStart w:id="1749" w:name="_Toc220491833"/>
      <w:r>
        <w:t>58.22.4a Mobilier de salle de bain / de sanitaires - Caissons CCTB 01.02</w:t>
      </w:r>
      <w:bookmarkEnd w:id="1749"/>
    </w:p>
    <w:p w14:paraId="7FD9E31D" w14:textId="77777777" w:rsidR="004B2808" w:rsidRDefault="00000000">
      <w:pPr>
        <w:pStyle w:val="Author-eSectionHeading4Numberless"/>
      </w:pPr>
      <w:bookmarkStart w:id="1750" w:name="_Toc220491834"/>
      <w:r>
        <w:t>58.23 Mobilier de salle de bain / de sanitaires - Plans "sanitaire" / Tablettes / Panneaux de finition CCTB 01.02</w:t>
      </w:r>
      <w:bookmarkEnd w:id="1750"/>
    </w:p>
    <w:p w14:paraId="64EADB59" w14:textId="77777777" w:rsidR="004B2808" w:rsidRDefault="00000000">
      <w:pPr>
        <w:pStyle w:val="Author-eSectionHeading5Numberless"/>
      </w:pPr>
      <w:bookmarkStart w:id="1751" w:name="_Toc220491835"/>
      <w:r>
        <w:t>58.23.1 Mobilier de salle de bain / de sanitaires - Plans "sanitaire" CCTB 01.02</w:t>
      </w:r>
      <w:bookmarkEnd w:id="1751"/>
    </w:p>
    <w:p w14:paraId="20EDE370" w14:textId="77777777" w:rsidR="004B2808" w:rsidRDefault="00000000">
      <w:pPr>
        <w:pStyle w:val="Author-eSectionHeading6Numberless"/>
      </w:pPr>
      <w:bookmarkStart w:id="1752" w:name="_Toc220491836"/>
      <w:r>
        <w:t>58.23.1a Mobilier de salle de bain / de sanitaires - Plans "sanitaire" CCTB 01.02</w:t>
      </w:r>
      <w:bookmarkEnd w:id="1752"/>
    </w:p>
    <w:p w14:paraId="613B0E10" w14:textId="77777777" w:rsidR="004B2808" w:rsidRDefault="00000000">
      <w:pPr>
        <w:pStyle w:val="Author-eSectionHeading5Numberless"/>
      </w:pPr>
      <w:bookmarkStart w:id="1753" w:name="_Toc220491837"/>
      <w:r>
        <w:t>58.23.2 Mobilier de salle de bain / de sanitaires - Tablettes CCTB 01.02</w:t>
      </w:r>
      <w:bookmarkEnd w:id="1753"/>
    </w:p>
    <w:p w14:paraId="31975581" w14:textId="77777777" w:rsidR="004B2808" w:rsidRDefault="00000000">
      <w:pPr>
        <w:pStyle w:val="Author-eSectionHeading6Numberless"/>
      </w:pPr>
      <w:bookmarkStart w:id="1754" w:name="_Toc220491838"/>
      <w:r>
        <w:t>58.23.2a Mobilier de salle de bain / de sanitaires - Tablettes CCTB 01.10</w:t>
      </w:r>
      <w:bookmarkEnd w:id="1754"/>
    </w:p>
    <w:p w14:paraId="15B7F99A" w14:textId="77777777" w:rsidR="004B2808" w:rsidRDefault="00000000">
      <w:pPr>
        <w:pStyle w:val="pheading"/>
      </w:pPr>
      <w:r>
        <w:t>MATÉRIAUX</w:t>
      </w:r>
    </w:p>
    <w:p w14:paraId="4DEF4437" w14:textId="77777777" w:rsidR="004B2808" w:rsidRDefault="00000000">
      <w:pPr>
        <w:pStyle w:val="pheading"/>
      </w:pPr>
      <w:r>
        <w:t>- Caractéristiques générales</w:t>
      </w:r>
    </w:p>
    <w:p w14:paraId="6F18BF74" w14:textId="77777777" w:rsidR="004B2808" w:rsidRDefault="00000000">
      <w:pPr>
        <w:pStyle w:val="heading"/>
      </w:pPr>
      <w:r>
        <w:t>Spécifications</w:t>
      </w:r>
    </w:p>
    <w:p w14:paraId="2375BE4D" w14:textId="77777777" w:rsidR="004B2808" w:rsidRDefault="00000000">
      <w:pPr>
        <w:pStyle w:val="Author-eListParagraph"/>
        <w:numPr>
          <w:ilvl w:val="0"/>
          <w:numId w:val="1606"/>
        </w:numPr>
      </w:pPr>
      <w:r>
        <w:t xml:space="preserve">Panneau d'aggloméré hydrofuge, classe formaldéhyde </w:t>
      </w:r>
      <w:r>
        <w:rPr>
          <w:rStyle w:val="optioncarChar"/>
        </w:rPr>
        <w:t>1 </w:t>
      </w:r>
      <w:r>
        <w:t>(par défaut)</w:t>
      </w:r>
      <w:r>
        <w:rPr>
          <w:rStyle w:val="optioncarChar"/>
        </w:rPr>
        <w:t> / ***</w:t>
      </w:r>
      <w:r>
        <w:t xml:space="preserve"> .</w:t>
      </w:r>
    </w:p>
    <w:p w14:paraId="77125EDE" w14:textId="77777777" w:rsidR="004B2808" w:rsidRDefault="00000000">
      <w:pPr>
        <w:pStyle w:val="Author-eListParagraph"/>
        <w:numPr>
          <w:ilvl w:val="0"/>
          <w:numId w:val="1606"/>
        </w:numPr>
      </w:pPr>
      <w:r>
        <w:t xml:space="preserve">Epaisseur de l'âme : </w:t>
      </w:r>
      <w:r>
        <w:rPr>
          <w:rStyle w:val="optioncarChar"/>
        </w:rPr>
        <w:t>28 </w:t>
      </w:r>
      <w:r>
        <w:t>(par défaut)</w:t>
      </w:r>
      <w:r>
        <w:rPr>
          <w:rStyle w:val="optioncarChar"/>
        </w:rPr>
        <w:t xml:space="preserve"> / 32 / 36 / 40 / *** </w:t>
      </w:r>
      <w:r>
        <w:t>mm</w:t>
      </w:r>
    </w:p>
    <w:p w14:paraId="16CE751E" w14:textId="77777777" w:rsidR="004B2808" w:rsidRDefault="00000000">
      <w:pPr>
        <w:pStyle w:val="Author-eListParagraph"/>
        <w:numPr>
          <w:ilvl w:val="0"/>
          <w:numId w:val="1606"/>
        </w:numPr>
      </w:pPr>
      <w:r>
        <w:t>Revêtement de la face supérieure : plaque de stratifié haute pression anti-rayures, classe :</w:t>
      </w:r>
    </w:p>
    <w:p w14:paraId="096FCD27" w14:textId="77777777" w:rsidR="004B2808" w:rsidRDefault="00000000">
      <w:pPr>
        <w:ind w:left="450"/>
      </w:pPr>
      <w:r>
        <w:rPr>
          <w:b/>
        </w:rPr>
        <w:t>Choix opéré</w:t>
      </w:r>
      <w:r>
        <w:t xml:space="preserve"> :</w:t>
      </w:r>
      <w:r>
        <w:rPr>
          <w:rStyle w:val="optioncarChar"/>
        </w:rPr>
        <w:t xml:space="preserve"> *** / OPTION 1 </w:t>
      </w:r>
      <w:r>
        <w:t>(par défaut) </w:t>
      </w:r>
      <w:r>
        <w:rPr>
          <w:rStyle w:val="optioncarChar"/>
        </w:rPr>
        <w:t xml:space="preserve">/ OPTION 2 </w:t>
      </w:r>
      <w:r>
        <w:br/>
      </w:r>
      <w:r>
        <w:rPr>
          <w:b/>
        </w:rPr>
        <w:t>OPTION 1 (par défaut)</w:t>
      </w:r>
      <w:r>
        <w:t xml:space="preserve"> : HPL-EN 438 HGS, Type S (standard), épaisseur </w:t>
      </w:r>
      <w:r>
        <w:rPr>
          <w:rStyle w:val="optioncarChar"/>
        </w:rPr>
        <w:t>0,8</w:t>
      </w:r>
      <w:r>
        <w:t xml:space="preserve"> (par défaut) </w:t>
      </w:r>
      <w:r>
        <w:rPr>
          <w:rStyle w:val="optioncarChar"/>
        </w:rPr>
        <w:t xml:space="preserve">/ 0,9 / 1,00 / *** </w:t>
      </w:r>
      <w:r>
        <w:t xml:space="preserve">mm. Chants avant et  latéraux : listel acrylique, épaisseur min 3 mm . </w:t>
      </w:r>
      <w:r>
        <w:br/>
      </w:r>
      <w:r>
        <w:rPr>
          <w:b/>
        </w:rPr>
        <w:t>OPTION 2</w:t>
      </w:r>
      <w:r>
        <w:t xml:space="preserve"> : HPL-EN 438 HGP, Type P (postformé), épaisseur</w:t>
      </w:r>
      <w:r>
        <w:rPr>
          <w:rStyle w:val="optioncarChar"/>
        </w:rPr>
        <w:t> 0,8</w:t>
      </w:r>
      <w:r>
        <w:t> (par défaut)</w:t>
      </w:r>
      <w:r>
        <w:rPr>
          <w:rStyle w:val="optioncarChar"/>
        </w:rPr>
        <w:t> / ***</w:t>
      </w:r>
      <w:r>
        <w:t xml:space="preserve"> mm. </w:t>
      </w:r>
    </w:p>
    <w:p w14:paraId="211E0F10" w14:textId="77777777" w:rsidR="004B2808" w:rsidRDefault="00000000">
      <w:pPr>
        <w:pStyle w:val="Author-eListParagraph"/>
        <w:numPr>
          <w:ilvl w:val="0"/>
          <w:numId w:val="1607"/>
        </w:numPr>
      </w:pPr>
      <w:r>
        <w:t>Bord avant postformé :</w:t>
      </w:r>
      <w:r>
        <w:rPr>
          <w:rStyle w:val="optioncarChar"/>
        </w:rPr>
        <w:t> 90° </w:t>
      </w:r>
      <w:r>
        <w:t>(par défaut)</w:t>
      </w:r>
      <w:r>
        <w:rPr>
          <w:rStyle w:val="optioncarChar"/>
        </w:rPr>
        <w:t xml:space="preserve"> / 180° / *** </w:t>
      </w:r>
      <w:r>
        <w:t xml:space="preserve">, </w:t>
      </w:r>
      <w:r>
        <w:rPr>
          <w:rStyle w:val="optioncarChar"/>
        </w:rPr>
        <w:t>sur toute l'épaisseur </w:t>
      </w:r>
      <w:r>
        <w:t>(par défaut)</w:t>
      </w:r>
      <w:r>
        <w:rPr>
          <w:rStyle w:val="optioncarChar"/>
        </w:rPr>
        <w:t xml:space="preserve"> / avec une surépaisseur de 40 mm / *** </w:t>
      </w:r>
      <w:r>
        <w:t xml:space="preserve">et </w:t>
      </w:r>
      <w:r>
        <w:rPr>
          <w:rStyle w:val="optioncarChar"/>
        </w:rPr>
        <w:t>un seul arrondi sur 90° et droit </w:t>
      </w:r>
      <w:r>
        <w:t>(par défaut)</w:t>
      </w:r>
      <w:r>
        <w:rPr>
          <w:rStyle w:val="optioncarChar"/>
        </w:rPr>
        <w:t xml:space="preserve"> / double arrondi sur 90° / ***</w:t>
      </w:r>
      <w:r>
        <w:t xml:space="preserve"> .</w:t>
      </w:r>
    </w:p>
    <w:p w14:paraId="19348DA4" w14:textId="77777777" w:rsidR="004B2808" w:rsidRDefault="00000000">
      <w:pPr>
        <w:pStyle w:val="Author-eListParagraph"/>
        <w:numPr>
          <w:ilvl w:val="0"/>
          <w:numId w:val="1607"/>
        </w:numPr>
      </w:pPr>
      <w:r>
        <w:t>Face inférieure de la tablette :</w:t>
      </w:r>
      <w:r>
        <w:rPr>
          <w:rStyle w:val="optioncarChar"/>
        </w:rPr>
        <w:t> feuille de résine synthétique, épaisseur 0,2 mm (par défaut) / plaque de stratifié haute pression HPL-EN 438 HGS, épaisseur identique à la face supérieure / ***</w:t>
      </w:r>
      <w:r>
        <w:t>.</w:t>
      </w:r>
    </w:p>
    <w:p w14:paraId="102A823B" w14:textId="77777777" w:rsidR="004B2808" w:rsidRDefault="00000000">
      <w:pPr>
        <w:pStyle w:val="Author-eListParagraph"/>
        <w:numPr>
          <w:ilvl w:val="0"/>
          <w:numId w:val="1607"/>
        </w:numPr>
      </w:pPr>
      <w:r>
        <w:t>Raccordement au mur :</w:t>
      </w:r>
      <w:r>
        <w:rPr>
          <w:rStyle w:val="optioncarChar"/>
        </w:rPr>
        <w:t> droit </w:t>
      </w:r>
      <w:r>
        <w:t>(par défaut)</w:t>
      </w:r>
      <w:r>
        <w:rPr>
          <w:rStyle w:val="optioncarChar"/>
        </w:rPr>
        <w:t xml:space="preserve"> / relevé intégré / ***</w:t>
      </w:r>
      <w:r>
        <w:t xml:space="preserve">, hauteur </w:t>
      </w:r>
      <w:r>
        <w:rPr>
          <w:rStyle w:val="optioncarChar"/>
        </w:rPr>
        <w:t>7 </w:t>
      </w:r>
      <w:r>
        <w:t>(par défaut)</w:t>
      </w:r>
      <w:r>
        <w:rPr>
          <w:rStyle w:val="optioncarChar"/>
        </w:rPr>
        <w:t> / ***</w:t>
      </w:r>
      <w:r>
        <w:t>  cm .</w:t>
      </w:r>
    </w:p>
    <w:p w14:paraId="49D2C702" w14:textId="77777777" w:rsidR="004B2808" w:rsidRDefault="00000000">
      <w:pPr>
        <w:pStyle w:val="pheading"/>
      </w:pPr>
      <w:r>
        <w:t>- Finitions</w:t>
      </w:r>
    </w:p>
    <w:p w14:paraId="36296CB2" w14:textId="77777777" w:rsidR="004B2808" w:rsidRDefault="00000000">
      <w:r>
        <w:t xml:space="preserve">Finition de la surface : légèrement granuleuse </w:t>
      </w:r>
      <w:r>
        <w:rPr>
          <w:rStyle w:val="optioncarChar"/>
        </w:rPr>
        <w:t>mate </w:t>
      </w:r>
      <w:r>
        <w:t>(par défaut)</w:t>
      </w:r>
      <w:r>
        <w:rPr>
          <w:rStyle w:val="optioncarChar"/>
        </w:rPr>
        <w:t xml:space="preserve"> / satinée / brillante / *** </w:t>
      </w:r>
      <w:r>
        <w:t>.</w:t>
      </w:r>
      <w:r>
        <w:br/>
        <w:t xml:space="preserve">Coloris : </w:t>
      </w:r>
      <w:r>
        <w:rPr>
          <w:rStyle w:val="optioncarChar"/>
        </w:rPr>
        <w:t>blanc </w:t>
      </w:r>
      <w:r>
        <w:t>(par défaut)</w:t>
      </w:r>
      <w:r>
        <w:rPr>
          <w:rStyle w:val="optioncarChar"/>
        </w:rPr>
        <w:t xml:space="preserve"> / coloris à déterminer sur la base de la gamme standard proposée par le fabricant / ***</w:t>
      </w:r>
      <w:r>
        <w:t> .</w:t>
      </w:r>
    </w:p>
    <w:p w14:paraId="6E3BC1C0" w14:textId="77777777" w:rsidR="004B2808" w:rsidRDefault="00000000">
      <w:pPr>
        <w:pStyle w:val="pheading"/>
      </w:pPr>
      <w:r>
        <w:t>EXÉCUTION / MISE EN ŒUVRE</w:t>
      </w:r>
    </w:p>
    <w:p w14:paraId="0584E1D5" w14:textId="77777777" w:rsidR="004B2808" w:rsidRDefault="00000000">
      <w:pPr>
        <w:pStyle w:val="pheading"/>
      </w:pPr>
      <w:r>
        <w:t>- Prescriptions générales</w:t>
      </w:r>
    </w:p>
    <w:p w14:paraId="55D85E40" w14:textId="77777777" w:rsidR="004B2808" w:rsidRDefault="00000000">
      <w:r>
        <w:t xml:space="preserve">Lorsqu'une tablette ne repose pas sur une armoire basse, </w:t>
      </w:r>
      <w:r>
        <w:rPr>
          <w:rStyle w:val="optioncarChar"/>
        </w:rPr>
        <w:t>elle est posée et vissée sur une équerre solide en aluminium, fixée au mur</w:t>
      </w:r>
      <w:r>
        <w:t xml:space="preserve"> (par défaut)</w:t>
      </w:r>
      <w:r>
        <w:rPr>
          <w:rStyle w:val="optioncarChar"/>
        </w:rPr>
        <w:t xml:space="preserve"> / ***.  La fixation est exécutée conformément au dessin de détail </w:t>
      </w:r>
      <w:r>
        <w:t>(par défaut)</w:t>
      </w:r>
      <w:r>
        <w:rPr>
          <w:rStyle w:val="optioncarChar"/>
        </w:rPr>
        <w:t> / ***.</w:t>
      </w:r>
      <w:r>
        <w:br/>
        <w:t xml:space="preserve">Dimensions de la tablette : </w:t>
      </w:r>
      <w:r>
        <w:rPr>
          <w:rStyle w:val="optioncarChar"/>
        </w:rPr>
        <w:t xml:space="preserve">*** </w:t>
      </w:r>
      <w:r>
        <w:t xml:space="preserve">x </w:t>
      </w:r>
      <w:r>
        <w:rPr>
          <w:rStyle w:val="optioncarChar"/>
        </w:rPr>
        <w:t xml:space="preserve">*** </w:t>
      </w:r>
      <w:r>
        <w:t>cm.</w:t>
      </w:r>
    </w:p>
    <w:p w14:paraId="68A4AE17" w14:textId="77777777" w:rsidR="004B2808" w:rsidRDefault="00000000">
      <w:pPr>
        <w:pStyle w:val="pheading"/>
      </w:pPr>
      <w:r>
        <w:t>MESURAGE</w:t>
      </w:r>
    </w:p>
    <w:p w14:paraId="10B79754" w14:textId="77777777" w:rsidR="004B2808" w:rsidRDefault="00000000">
      <w:r>
        <w:t>Conformément à la nature du mobilier sanitaire prévu, les indications spécifiques dans le cahier spécial des charges et/ou le métré récapitulatif, le mesurage doit en principe être conçu comme suit :</w:t>
      </w:r>
    </w:p>
    <w:p w14:paraId="6E35255D" w14:textId="77777777" w:rsidR="004B2808" w:rsidRDefault="00000000">
      <w:pPr>
        <w:pStyle w:val="pheading"/>
      </w:pPr>
      <w:r>
        <w:t>- unité de mesure:</w:t>
      </w:r>
    </w:p>
    <w:p w14:paraId="07E7554D" w14:textId="77777777" w:rsidR="004B2808" w:rsidRDefault="00000000">
      <w:r>
        <w:lastRenderedPageBreak/>
        <w:t>p</w:t>
      </w:r>
    </w:p>
    <w:p w14:paraId="50C02FD5" w14:textId="77777777" w:rsidR="004B2808" w:rsidRDefault="00000000">
      <w:pPr>
        <w:pStyle w:val="pheading"/>
      </w:pPr>
      <w:r>
        <w:t>- code de mesurage:</w:t>
      </w:r>
    </w:p>
    <w:p w14:paraId="77F7D571" w14:textId="77777777" w:rsidR="004B2808" w:rsidRDefault="00000000">
      <w:r>
        <w:t xml:space="preserve">Selon le type </w:t>
      </w:r>
    </w:p>
    <w:p w14:paraId="79C452CC" w14:textId="77777777" w:rsidR="004B2808" w:rsidRDefault="00000000">
      <w:pPr>
        <w:pStyle w:val="pheading"/>
      </w:pPr>
      <w:r>
        <w:t>- nature du marché:</w:t>
      </w:r>
    </w:p>
    <w:p w14:paraId="7BA95AF6" w14:textId="77777777" w:rsidR="004B2808" w:rsidRDefault="00000000">
      <w:r>
        <w:t>QF</w:t>
      </w:r>
    </w:p>
    <w:p w14:paraId="2B137D24" w14:textId="77777777" w:rsidR="004B2808" w:rsidRDefault="00000000">
      <w:pPr>
        <w:pStyle w:val="Author-eSectionHeading5Numberless"/>
      </w:pPr>
      <w:bookmarkStart w:id="1755" w:name="_Toc220491839"/>
      <w:r>
        <w:t>58.23.3 Mobilier de salle de bain / de sanitaires - Panneaux de finition (façades, joues, plinthes) CCTB 01.02</w:t>
      </w:r>
      <w:bookmarkEnd w:id="1755"/>
    </w:p>
    <w:p w14:paraId="25B4859A" w14:textId="77777777" w:rsidR="004B2808" w:rsidRDefault="00000000">
      <w:pPr>
        <w:pStyle w:val="Author-eSectionHeading6Numberless"/>
      </w:pPr>
      <w:bookmarkStart w:id="1756" w:name="_Toc220491840"/>
      <w:r>
        <w:t>58.23.3a Mobilier de salle de bain / de sanitaires - Panneaux de finition (façades, joues, plinthes) CCTB 01.10</w:t>
      </w:r>
      <w:bookmarkEnd w:id="1756"/>
    </w:p>
    <w:p w14:paraId="19762F47" w14:textId="77777777" w:rsidR="004B2808" w:rsidRDefault="00000000">
      <w:pPr>
        <w:pStyle w:val="pheading"/>
      </w:pPr>
      <w:r>
        <w:t>MATÉRIAUX</w:t>
      </w:r>
    </w:p>
    <w:p w14:paraId="66007176" w14:textId="77777777" w:rsidR="004B2808" w:rsidRDefault="00000000">
      <w:pPr>
        <w:pStyle w:val="pheading"/>
      </w:pPr>
      <w:r>
        <w:t>- Caractéristiques générales</w:t>
      </w:r>
    </w:p>
    <w:p w14:paraId="3A0D9E53" w14:textId="77777777" w:rsidR="004B2808" w:rsidRDefault="00000000">
      <w:pPr>
        <w:pStyle w:val="heading"/>
      </w:pPr>
      <w:r>
        <w:t>Spécifications</w:t>
      </w:r>
    </w:p>
    <w:p w14:paraId="377FA38E" w14:textId="77777777" w:rsidR="004B2808" w:rsidRDefault="00000000">
      <w:pPr>
        <w:pStyle w:val="Author-eListParagraph"/>
        <w:numPr>
          <w:ilvl w:val="0"/>
          <w:numId w:val="1608"/>
        </w:numPr>
      </w:pPr>
      <w:r>
        <w:t xml:space="preserve">Matériau : </w:t>
      </w:r>
      <w:r>
        <w:rPr>
          <w:rStyle w:val="optioncarChar"/>
        </w:rPr>
        <w:t>panneaux de bois aggloméré</w:t>
      </w:r>
      <w:r>
        <w:t> (par défaut)</w:t>
      </w:r>
      <w:r>
        <w:rPr>
          <w:rStyle w:val="optioncarChar"/>
        </w:rPr>
        <w:t xml:space="preserve"> / contreplaqué bouleau / *** </w:t>
      </w:r>
      <w:r>
        <w:t xml:space="preserve">, épaisseur minimum </w:t>
      </w:r>
      <w:r>
        <w:rPr>
          <w:rStyle w:val="optioncarChar"/>
        </w:rPr>
        <w:t>18</w:t>
      </w:r>
      <w:r>
        <w:t> (par défaut)</w:t>
      </w:r>
      <w:r>
        <w:rPr>
          <w:rStyle w:val="optioncarChar"/>
        </w:rPr>
        <w:t> / ***  </w:t>
      </w:r>
      <w:r>
        <w:t>mm</w:t>
      </w:r>
    </w:p>
    <w:p w14:paraId="36B24A6A" w14:textId="77777777" w:rsidR="004B2808" w:rsidRDefault="00000000">
      <w:pPr>
        <w:pStyle w:val="Author-eListParagraph"/>
        <w:numPr>
          <w:ilvl w:val="0"/>
          <w:numId w:val="1608"/>
        </w:numPr>
      </w:pPr>
      <w:r>
        <w:t xml:space="preserve">Coloris : </w:t>
      </w:r>
      <w:r>
        <w:rPr>
          <w:rStyle w:val="optioncarChar"/>
        </w:rPr>
        <w:t>blanc </w:t>
      </w:r>
      <w:r>
        <w:t>(par défaut)</w:t>
      </w:r>
      <w:r>
        <w:rPr>
          <w:rStyle w:val="optioncarChar"/>
        </w:rPr>
        <w:t xml:space="preserve"> / à choisir dans la gamme de couleurs standard du fabricant / ***</w:t>
      </w:r>
      <w:r>
        <w:t>.</w:t>
      </w:r>
    </w:p>
    <w:p w14:paraId="70DD9773" w14:textId="77777777" w:rsidR="004B2808" w:rsidRDefault="00000000">
      <w:pPr>
        <w:pStyle w:val="Author-eListParagraph"/>
        <w:numPr>
          <w:ilvl w:val="0"/>
          <w:numId w:val="1608"/>
        </w:numPr>
      </w:pPr>
      <w:r>
        <w:t>Revêtement des panneaux de façade (dans le cas de panneaux de bois aggloméré) :</w:t>
      </w:r>
    </w:p>
    <w:p w14:paraId="000819E8" w14:textId="77777777" w:rsidR="004B2808" w:rsidRDefault="00000000">
      <w:pPr>
        <w:ind w:left="454"/>
      </w:pPr>
      <w:r>
        <w:t>Choix opéré :</w:t>
      </w:r>
      <w:r>
        <w:rPr>
          <w:rStyle w:val="optioncarChar"/>
        </w:rPr>
        <w:t xml:space="preserve"> *** / OPTION 1 </w:t>
      </w:r>
      <w:r>
        <w:t>(par défaut)</w:t>
      </w:r>
      <w:r>
        <w:rPr>
          <w:rStyle w:val="optioncarChar"/>
        </w:rPr>
        <w:t xml:space="preserve"> / OPTION 2 / OPTION 3</w:t>
      </w:r>
      <w:r>
        <w:br/>
      </w:r>
      <w:r>
        <w:rPr>
          <w:b/>
        </w:rPr>
        <w:t>OPTION 1 (par défaut)</w:t>
      </w:r>
      <w:r>
        <w:t xml:space="preserve"> : mélaminé. Chants : </w:t>
      </w:r>
      <w:r>
        <w:rPr>
          <w:rStyle w:val="optioncarChar"/>
        </w:rPr>
        <w:t>feuille en matière synthétique, / listel acrylique</w:t>
      </w:r>
      <w:r>
        <w:t xml:space="preserve">, épaisseur min. 2 mm . </w:t>
      </w:r>
      <w:r>
        <w:br/>
      </w:r>
      <w:r>
        <w:rPr>
          <w:b/>
        </w:rPr>
        <w:t>OPTION 2</w:t>
      </w:r>
      <w:r>
        <w:t xml:space="preserve"> : plaque de stratifié haute pression, classe HPL-EN 438 VGS ou S 232, épaisseur </w:t>
      </w:r>
      <w:r>
        <w:rPr>
          <w:rStyle w:val="optioncarChar"/>
        </w:rPr>
        <w:t>0,8 </w:t>
      </w:r>
      <w:r>
        <w:t>(par défaut)</w:t>
      </w:r>
      <w:r>
        <w:rPr>
          <w:rStyle w:val="optioncarChar"/>
        </w:rPr>
        <w:t> / ***</w:t>
      </w:r>
      <w:r>
        <w:t xml:space="preserve"> mm. Chants : listel acrylique, épaisseur min. 2 mm . </w:t>
      </w:r>
      <w:r>
        <w:br/>
      </w:r>
      <w:r>
        <w:rPr>
          <w:b/>
        </w:rPr>
        <w:t>OPTION 3</w:t>
      </w:r>
      <w:r>
        <w:t xml:space="preserve"> : plaque de stratifié haute pression, classe HPL-EN 438 VGP ou P 222, épaisseur </w:t>
      </w:r>
      <w:r>
        <w:rPr>
          <w:rStyle w:val="optioncarChar"/>
        </w:rPr>
        <w:t>0,8</w:t>
      </w:r>
      <w:r>
        <w:t> (par défaut)</w:t>
      </w:r>
      <w:r>
        <w:rPr>
          <w:rStyle w:val="optioncarChar"/>
        </w:rPr>
        <w:t> / ***</w:t>
      </w:r>
      <w:r>
        <w:t xml:space="preserve"> mm.</w:t>
      </w:r>
    </w:p>
    <w:p w14:paraId="51D687F6" w14:textId="77777777" w:rsidR="004B2808" w:rsidRDefault="00000000">
      <w:pPr>
        <w:pStyle w:val="Author-eListParagraph"/>
        <w:numPr>
          <w:ilvl w:val="0"/>
          <w:numId w:val="1609"/>
        </w:numPr>
      </w:pPr>
      <w:r>
        <w:t xml:space="preserve">Charnières : </w:t>
      </w:r>
    </w:p>
    <w:p w14:paraId="2E2AC86E" w14:textId="77777777" w:rsidR="004B2808" w:rsidRDefault="00000000">
      <w:pPr>
        <w:pStyle w:val="Author-eListParagraph"/>
        <w:numPr>
          <w:ilvl w:val="1"/>
          <w:numId w:val="1610"/>
        </w:numPr>
      </w:pPr>
      <w:r>
        <w:t xml:space="preserve">angle d'ouverture : </w:t>
      </w:r>
      <w:r>
        <w:rPr>
          <w:rStyle w:val="optioncarChar"/>
        </w:rPr>
        <w:t>90° </w:t>
      </w:r>
      <w:r>
        <w:t>(par défaut)</w:t>
      </w:r>
      <w:r>
        <w:rPr>
          <w:rStyle w:val="optioncarChar"/>
        </w:rPr>
        <w:t xml:space="preserve"> / 170° </w:t>
      </w:r>
      <w:r>
        <w:t>/ ***</w:t>
      </w:r>
    </w:p>
    <w:p w14:paraId="3A57DFD4" w14:textId="77777777" w:rsidR="004B2808" w:rsidRDefault="00000000">
      <w:pPr>
        <w:pStyle w:val="Author-eListParagraph"/>
        <w:numPr>
          <w:ilvl w:val="1"/>
          <w:numId w:val="1610"/>
        </w:numPr>
      </w:pPr>
      <w:r>
        <w:t xml:space="preserve">type : </w:t>
      </w:r>
      <w:r>
        <w:rPr>
          <w:rStyle w:val="optioncarChar"/>
        </w:rPr>
        <w:t>type à fermeture automatique à boîtier </w:t>
      </w:r>
      <w:r>
        <w:t>(par défaut)</w:t>
      </w:r>
      <w:r>
        <w:rPr>
          <w:rStyle w:val="optioncarChar"/>
        </w:rPr>
        <w:t xml:space="preserve"> / *** </w:t>
      </w:r>
    </w:p>
    <w:p w14:paraId="5832A6E0" w14:textId="77777777" w:rsidR="004B2808" w:rsidRDefault="00000000">
      <w:pPr>
        <w:pStyle w:val="pheading"/>
      </w:pPr>
      <w:r>
        <w:t>- Prescriptions complémentaires</w:t>
      </w:r>
    </w:p>
    <w:p w14:paraId="2A38B791" w14:textId="77777777" w:rsidR="004B2808" w:rsidRDefault="00000000">
      <w:r>
        <w:t>Le postforming des portes d'armoires est:</w:t>
      </w:r>
    </w:p>
    <w:p w14:paraId="5CE7077F" w14:textId="77777777" w:rsidR="004B2808" w:rsidRDefault="00000000">
      <w:pPr>
        <w:ind w:left="450"/>
      </w:pPr>
      <w:r>
        <w:br/>
      </w:r>
      <w:r>
        <w:rPr>
          <w:b/>
        </w:rPr>
        <w:t xml:space="preserve">Choix opéré : </w:t>
      </w:r>
      <w:r>
        <w:rPr>
          <w:rStyle w:val="optioncarChar"/>
          <w:b/>
        </w:rPr>
        <w:t>*** / OPTION 1 (horizontal) (par défaut) / OPTION 2 (vertical)</w:t>
      </w:r>
    </w:p>
    <w:p w14:paraId="26177A77" w14:textId="77777777" w:rsidR="004B2808" w:rsidRDefault="00000000">
      <w:pPr>
        <w:ind w:left="450"/>
      </w:pPr>
      <w:r>
        <w:rPr>
          <w:b/>
        </w:rPr>
        <w:t>OPTION 1 (par défaut)</w:t>
      </w:r>
      <w:r>
        <w:t xml:space="preserve"> : horizontal sur</w:t>
      </w:r>
      <w:r>
        <w:rPr>
          <w:rStyle w:val="optioncarChar"/>
        </w:rPr>
        <w:t> 90° </w:t>
      </w:r>
      <w:r>
        <w:t>(par défaut)</w:t>
      </w:r>
      <w:r>
        <w:rPr>
          <w:rStyle w:val="optioncarChar"/>
        </w:rPr>
        <w:t xml:space="preserve"> / 180° / ***</w:t>
      </w:r>
      <w:r>
        <w:t xml:space="preserve"> sur toute l'épaisseur . </w:t>
      </w:r>
      <w:r>
        <w:br/>
      </w:r>
      <w:r>
        <w:rPr>
          <w:b/>
        </w:rPr>
        <w:t>OPTION 2</w:t>
      </w:r>
      <w:r>
        <w:t xml:space="preserve"> : vertical sur 90°</w:t>
      </w:r>
    </w:p>
    <w:p w14:paraId="6DC1ED36" w14:textId="77777777" w:rsidR="004B2808" w:rsidRDefault="00000000">
      <w:pPr>
        <w:pStyle w:val="pheading"/>
      </w:pPr>
      <w:r>
        <w:t>MESURAGE</w:t>
      </w:r>
    </w:p>
    <w:p w14:paraId="43B6237B" w14:textId="77777777" w:rsidR="004B2808" w:rsidRDefault="00000000">
      <w:r>
        <w:t>Conformément à la nature du mobilier sanitaire prévu, les indications spécifiques dans le cahier spécial des charges et/ou le métré récapitulatif, le mesurage doit en principe être conçu comme suit :</w:t>
      </w:r>
    </w:p>
    <w:p w14:paraId="3D7C110E" w14:textId="77777777" w:rsidR="004B2808" w:rsidRDefault="00000000">
      <w:pPr>
        <w:pStyle w:val="pheading"/>
      </w:pPr>
      <w:r>
        <w:t>- unité de mesure:</w:t>
      </w:r>
    </w:p>
    <w:p w14:paraId="5BA72B17" w14:textId="77777777" w:rsidR="004B2808" w:rsidRDefault="00000000">
      <w:r>
        <w:t>p</w:t>
      </w:r>
    </w:p>
    <w:p w14:paraId="372CE580" w14:textId="77777777" w:rsidR="004B2808" w:rsidRDefault="00000000">
      <w:pPr>
        <w:pStyle w:val="pheading"/>
      </w:pPr>
      <w:r>
        <w:t>- code de mesurage:</w:t>
      </w:r>
    </w:p>
    <w:p w14:paraId="506D38AA" w14:textId="77777777" w:rsidR="004B2808" w:rsidRDefault="00000000">
      <w:r>
        <w:t xml:space="preserve">Selon le type </w:t>
      </w:r>
    </w:p>
    <w:p w14:paraId="0923B172" w14:textId="77777777" w:rsidR="004B2808" w:rsidRDefault="00000000">
      <w:pPr>
        <w:pStyle w:val="pheading"/>
      </w:pPr>
      <w:r>
        <w:t>- nature du marché:</w:t>
      </w:r>
    </w:p>
    <w:p w14:paraId="395B142B" w14:textId="77777777" w:rsidR="004B2808" w:rsidRDefault="00000000">
      <w:r>
        <w:t>QF</w:t>
      </w:r>
    </w:p>
    <w:p w14:paraId="76218079" w14:textId="77777777" w:rsidR="004B2808" w:rsidRDefault="00000000">
      <w:pPr>
        <w:pStyle w:val="Author-eSectionHeading4Numberless"/>
      </w:pPr>
      <w:bookmarkStart w:id="1757" w:name="_Toc220491841"/>
      <w:r>
        <w:lastRenderedPageBreak/>
        <w:t>58.24 Mobilier de salle de bain / de sanitaires - Quincaillerie complémentaire CCTB 01.02</w:t>
      </w:r>
      <w:bookmarkEnd w:id="1757"/>
    </w:p>
    <w:p w14:paraId="7E4A8D67" w14:textId="77777777" w:rsidR="004B2808" w:rsidRDefault="00000000">
      <w:pPr>
        <w:pStyle w:val="Author-eSectionHeading5Numberless"/>
      </w:pPr>
      <w:bookmarkStart w:id="1758" w:name="_Toc220491842"/>
      <w:r>
        <w:t>58.24.1 Mobilier de salle de bain / de sanitaires - Quincaillerie complémentaire - Poignées et tirants CCTB 01.02</w:t>
      </w:r>
      <w:bookmarkEnd w:id="1758"/>
    </w:p>
    <w:p w14:paraId="0D1F948B" w14:textId="77777777" w:rsidR="004B2808" w:rsidRDefault="00000000">
      <w:pPr>
        <w:pStyle w:val="Author-eSectionHeading6Numberless"/>
      </w:pPr>
      <w:bookmarkStart w:id="1759" w:name="_Toc220491843"/>
      <w:r>
        <w:t>58.24.1a Mobilier de salle de bain / de sanitaires - Quincaillerie complémentaire - Poignées et tirants CCTB 01.10</w:t>
      </w:r>
      <w:bookmarkEnd w:id="1759"/>
    </w:p>
    <w:p w14:paraId="0F92502C" w14:textId="77777777" w:rsidR="004B2808" w:rsidRDefault="00000000">
      <w:pPr>
        <w:pStyle w:val="pheading"/>
      </w:pPr>
      <w:r>
        <w:t>MATÉRIAUX</w:t>
      </w:r>
    </w:p>
    <w:p w14:paraId="7B1A59E2" w14:textId="77777777" w:rsidR="004B2808" w:rsidRDefault="00000000">
      <w:pPr>
        <w:pStyle w:val="pheading"/>
      </w:pPr>
      <w:r>
        <w:t>- Caractéristiques générales</w:t>
      </w:r>
    </w:p>
    <w:p w14:paraId="3CF73241" w14:textId="77777777" w:rsidR="004B2808" w:rsidRDefault="00000000">
      <w:pPr>
        <w:pStyle w:val="heading"/>
      </w:pPr>
      <w:r>
        <w:t>Spécifications</w:t>
      </w:r>
    </w:p>
    <w:p w14:paraId="724FCAE4" w14:textId="77777777" w:rsidR="004B2808" w:rsidRDefault="00000000">
      <w:r>
        <w:rPr>
          <w:b/>
        </w:rPr>
        <w:t xml:space="preserve">Choix opéré </w:t>
      </w:r>
      <w:r>
        <w:t xml:space="preserve">: </w:t>
      </w:r>
      <w:r>
        <w:rPr>
          <w:rStyle w:val="optioncarChar"/>
        </w:rPr>
        <w:t>*** / OPTION (sans)</w:t>
      </w:r>
      <w:r>
        <w:t xml:space="preserve"> (par défaut) </w:t>
      </w:r>
      <w:r>
        <w:rPr>
          <w:rStyle w:val="optioncarChar"/>
        </w:rPr>
        <w:t>/ OPTION 2 (poignées) / OPTION 3 (boutons)</w:t>
      </w:r>
    </w:p>
    <w:p w14:paraId="7A278084" w14:textId="77777777" w:rsidR="004B2808" w:rsidRDefault="00000000">
      <w:r>
        <w:rPr>
          <w:b/>
        </w:rPr>
        <w:t>OPTION 1</w:t>
      </w:r>
      <w:r>
        <w:t xml:space="preserve"> : Sans poignées visibles</w:t>
      </w:r>
    </w:p>
    <w:p w14:paraId="587A332D" w14:textId="77777777" w:rsidR="004B2808" w:rsidRDefault="00000000">
      <w:pPr>
        <w:pStyle w:val="Author-eListParagraph"/>
        <w:numPr>
          <w:ilvl w:val="0"/>
          <w:numId w:val="1611"/>
        </w:numPr>
      </w:pPr>
      <w:r>
        <w:t>Tiroirs et armoires basses : profil en</w:t>
      </w:r>
      <w:r>
        <w:rPr>
          <w:rStyle w:val="optioncarChar"/>
        </w:rPr>
        <w:t> C </w:t>
      </w:r>
      <w:r>
        <w:t>(par défaut)</w:t>
      </w:r>
      <w:r>
        <w:rPr>
          <w:rStyle w:val="optioncarChar"/>
        </w:rPr>
        <w:t xml:space="preserve"> / U</w:t>
      </w:r>
      <w:r>
        <w:t xml:space="preserve"> embrevé en</w:t>
      </w:r>
      <w:r>
        <w:rPr>
          <w:rStyle w:val="optioncarChar"/>
        </w:rPr>
        <w:t> aluminium</w:t>
      </w:r>
      <w:r>
        <w:t> (par défaut)</w:t>
      </w:r>
      <w:r>
        <w:rPr>
          <w:rStyle w:val="optioncarChar"/>
        </w:rPr>
        <w:t xml:space="preserve"> / acier chromé / acier inoxydable / ***</w:t>
      </w:r>
    </w:p>
    <w:p w14:paraId="630A1C7D" w14:textId="77777777" w:rsidR="004B2808" w:rsidRDefault="00000000">
      <w:pPr>
        <w:pStyle w:val="Author-eListParagraph"/>
        <w:numPr>
          <w:ilvl w:val="0"/>
          <w:numId w:val="1611"/>
        </w:numPr>
      </w:pPr>
      <w:r>
        <w:t xml:space="preserve">Hauteur : minimum </w:t>
      </w:r>
      <w:r>
        <w:rPr>
          <w:rStyle w:val="optioncarChar"/>
        </w:rPr>
        <w:t>6</w:t>
      </w:r>
      <w:r>
        <w:t> (par défaut)</w:t>
      </w:r>
      <w:r>
        <w:rPr>
          <w:rStyle w:val="optioncarChar"/>
        </w:rPr>
        <w:t> / *** </w:t>
      </w:r>
      <w:r>
        <w:t xml:space="preserve"> cm.</w:t>
      </w:r>
    </w:p>
    <w:p w14:paraId="15F3CAC5" w14:textId="77777777" w:rsidR="004B2808" w:rsidRDefault="00000000">
      <w:pPr>
        <w:pStyle w:val="Author-eListParagraph"/>
        <w:numPr>
          <w:ilvl w:val="0"/>
          <w:numId w:val="1611"/>
        </w:numPr>
      </w:pPr>
      <w:r>
        <w:t xml:space="preserve">Coloris : </w:t>
      </w:r>
      <w:r>
        <w:rPr>
          <w:rStyle w:val="optioncarChar"/>
        </w:rPr>
        <w:t>blanc </w:t>
      </w:r>
      <w:r>
        <w:t>(par défaut)</w:t>
      </w:r>
      <w:r>
        <w:rPr>
          <w:rStyle w:val="optioncarChar"/>
        </w:rPr>
        <w:t> / *** </w:t>
      </w:r>
      <w:r>
        <w:t>.</w:t>
      </w:r>
    </w:p>
    <w:p w14:paraId="44B6957F" w14:textId="77777777" w:rsidR="004B2808" w:rsidRDefault="00000000">
      <w:pPr>
        <w:pStyle w:val="Author-eListParagraph"/>
        <w:numPr>
          <w:ilvl w:val="0"/>
          <w:numId w:val="1611"/>
        </w:numPr>
      </w:pPr>
      <w:r>
        <w:t xml:space="preserve">Armoires suspendues : les portes des armoires dépasseront d'environ </w:t>
      </w:r>
      <w:r>
        <w:rPr>
          <w:rStyle w:val="optioncarChar"/>
        </w:rPr>
        <w:t>4</w:t>
      </w:r>
      <w:r>
        <w:t> (par défaut) </w:t>
      </w:r>
      <w:r>
        <w:rPr>
          <w:rStyle w:val="optioncarChar"/>
        </w:rPr>
        <w:t>/ ***</w:t>
      </w:r>
      <w:r>
        <w:t xml:space="preserve"> cm par rapport à la structure de l'armoire.</w:t>
      </w:r>
    </w:p>
    <w:p w14:paraId="2B92103D" w14:textId="77777777" w:rsidR="004B2808" w:rsidRDefault="00000000">
      <w:r>
        <w:rPr>
          <w:b/>
        </w:rPr>
        <w:t>OPION 2</w:t>
      </w:r>
      <w:r>
        <w:t xml:space="preserve"> : Avec poignées</w:t>
      </w:r>
    </w:p>
    <w:p w14:paraId="1D85CB9B" w14:textId="77777777" w:rsidR="004B2808" w:rsidRDefault="00000000">
      <w:pPr>
        <w:pStyle w:val="Author-eListParagraph"/>
        <w:numPr>
          <w:ilvl w:val="0"/>
          <w:numId w:val="1612"/>
        </w:numPr>
      </w:pPr>
      <w:r>
        <w:t>Poignées en forme de</w:t>
      </w:r>
      <w:r>
        <w:rPr>
          <w:rStyle w:val="optioncarChar"/>
        </w:rPr>
        <w:t> U </w:t>
      </w:r>
      <w:r>
        <w:t>(par défaut)</w:t>
      </w:r>
      <w:r>
        <w:rPr>
          <w:rStyle w:val="optioncarChar"/>
        </w:rPr>
        <w:t> / ***</w:t>
      </w:r>
      <w:r>
        <w:t xml:space="preserve"> en </w:t>
      </w:r>
      <w:r>
        <w:rPr>
          <w:rStyle w:val="optioncarChar"/>
        </w:rPr>
        <w:t>acier chromé </w:t>
      </w:r>
      <w:r>
        <w:t>(par défaut)</w:t>
      </w:r>
      <w:r>
        <w:rPr>
          <w:rStyle w:val="optioncarChar"/>
        </w:rPr>
        <w:t xml:space="preserve"> / acier inoxydable / matière synthétique de première qualité /*** </w:t>
      </w:r>
      <w:r>
        <w:t xml:space="preserve">, de section </w:t>
      </w:r>
      <w:r>
        <w:rPr>
          <w:rStyle w:val="optioncarChar"/>
        </w:rPr>
        <w:t>ronde</w:t>
      </w:r>
      <w:r>
        <w:t> (par défaut)</w:t>
      </w:r>
      <w:r>
        <w:rPr>
          <w:rStyle w:val="optioncarChar"/>
        </w:rPr>
        <w:t> / ***</w:t>
      </w:r>
      <w:r>
        <w:t xml:space="preserve"> d'environ </w:t>
      </w:r>
      <w:r>
        <w:rPr>
          <w:rStyle w:val="optioncarChar"/>
        </w:rPr>
        <w:t>8 </w:t>
      </w:r>
      <w:r>
        <w:t>(par défaut)</w:t>
      </w:r>
      <w:r>
        <w:rPr>
          <w:rStyle w:val="optioncarChar"/>
        </w:rPr>
        <w:t> / ***  </w:t>
      </w:r>
      <w:r>
        <w:t xml:space="preserve">mm. Coloris : </w:t>
      </w:r>
      <w:r>
        <w:rPr>
          <w:rStyle w:val="optioncarChar"/>
        </w:rPr>
        <w:t>à choisir dans la gamme standard proposée par le fabricant </w:t>
      </w:r>
      <w:r>
        <w:t>(par défaut) </w:t>
      </w:r>
      <w:r>
        <w:rPr>
          <w:rStyle w:val="optioncarChar"/>
        </w:rPr>
        <w:t>/ *** </w:t>
      </w:r>
      <w:r>
        <w:t>.</w:t>
      </w:r>
    </w:p>
    <w:p w14:paraId="30E0ABD0" w14:textId="77777777" w:rsidR="004B2808" w:rsidRDefault="00000000">
      <w:pPr>
        <w:pStyle w:val="Author-eListParagraph"/>
        <w:numPr>
          <w:ilvl w:val="0"/>
          <w:numId w:val="1612"/>
        </w:numPr>
      </w:pPr>
      <w:r>
        <w:t xml:space="preserve">Largeur : </w:t>
      </w:r>
      <w:r>
        <w:rPr>
          <w:rStyle w:val="optioncarChar"/>
        </w:rPr>
        <w:t>10</w:t>
      </w:r>
      <w:r>
        <w:t> (par défaut)</w:t>
      </w:r>
      <w:r>
        <w:rPr>
          <w:rStyle w:val="optioncarChar"/>
        </w:rPr>
        <w:t> / *** </w:t>
      </w:r>
      <w:r>
        <w:t xml:space="preserve">cm, débordement </w:t>
      </w:r>
      <w:r>
        <w:rPr>
          <w:rStyle w:val="optioncarChar"/>
        </w:rPr>
        <w:t>3</w:t>
      </w:r>
      <w:r>
        <w:t> (par défaut) </w:t>
      </w:r>
      <w:r>
        <w:rPr>
          <w:rStyle w:val="optioncarChar"/>
        </w:rPr>
        <w:t>/ ***</w:t>
      </w:r>
      <w:r>
        <w:t xml:space="preserve"> cm.</w:t>
      </w:r>
    </w:p>
    <w:p w14:paraId="362C0E60" w14:textId="77777777" w:rsidR="004B2808" w:rsidRDefault="00000000">
      <w:r>
        <w:rPr>
          <w:b/>
        </w:rPr>
        <w:t>OPTION 3</w:t>
      </w:r>
      <w:r>
        <w:t xml:space="preserve"> : Avec boutons</w:t>
      </w:r>
    </w:p>
    <w:p w14:paraId="53303B1C" w14:textId="77777777" w:rsidR="004B2808" w:rsidRDefault="00000000">
      <w:pPr>
        <w:pStyle w:val="Author-eListParagraph"/>
        <w:numPr>
          <w:ilvl w:val="0"/>
          <w:numId w:val="1613"/>
        </w:numPr>
      </w:pPr>
      <w:r>
        <w:t xml:space="preserve">Poignées sphériques : </w:t>
      </w:r>
      <w:r>
        <w:rPr>
          <w:rStyle w:val="optioncarChar"/>
        </w:rPr>
        <w:t>bois </w:t>
      </w:r>
      <w:r>
        <w:t>(par défaut)</w:t>
      </w:r>
      <w:r>
        <w:rPr>
          <w:rStyle w:val="optioncarChar"/>
        </w:rPr>
        <w:t xml:space="preserve"> / matière synthétique de première qualité / *** </w:t>
      </w:r>
      <w:r>
        <w:t>Coloris :</w:t>
      </w:r>
      <w:r>
        <w:rPr>
          <w:rStyle w:val="optioncarChar"/>
        </w:rPr>
        <w:t>  blanc </w:t>
      </w:r>
      <w:r>
        <w:t>(par défaut)</w:t>
      </w:r>
      <w:r>
        <w:rPr>
          <w:rStyle w:val="optioncarChar"/>
        </w:rPr>
        <w:t> / à choisir dans la gamme standard proposée par le fabricant / ***</w:t>
      </w:r>
    </w:p>
    <w:p w14:paraId="7C5890E3" w14:textId="77777777" w:rsidR="004B2808" w:rsidRDefault="00000000">
      <w:pPr>
        <w:pStyle w:val="Author-eListParagraph"/>
        <w:numPr>
          <w:ilvl w:val="0"/>
          <w:numId w:val="1613"/>
        </w:numPr>
      </w:pPr>
      <w:r>
        <w:t xml:space="preserve">Section:  </w:t>
      </w:r>
      <w:r>
        <w:rPr>
          <w:rStyle w:val="optioncarChar"/>
        </w:rPr>
        <w:t>3 </w:t>
      </w:r>
      <w:r>
        <w:t>(par défaut)</w:t>
      </w:r>
      <w:r>
        <w:rPr>
          <w:rStyle w:val="optioncarChar"/>
        </w:rPr>
        <w:t> / ***</w:t>
      </w:r>
      <w:r>
        <w:t xml:space="preserve"> cm, débordement </w:t>
      </w:r>
      <w:r>
        <w:rPr>
          <w:rStyle w:val="optioncarChar"/>
        </w:rPr>
        <w:t>3</w:t>
      </w:r>
      <w:r>
        <w:t> (par défaut)</w:t>
      </w:r>
      <w:r>
        <w:rPr>
          <w:rStyle w:val="optioncarChar"/>
        </w:rPr>
        <w:t> / ***</w:t>
      </w:r>
      <w:r>
        <w:t>  cm.</w:t>
      </w:r>
    </w:p>
    <w:p w14:paraId="6CBB4DFF" w14:textId="77777777" w:rsidR="004B2808" w:rsidRDefault="00000000">
      <w:r>
        <w:rPr>
          <w:rStyle w:val="optioncarChar"/>
        </w:rPr>
        <w:t> </w:t>
      </w:r>
    </w:p>
    <w:p w14:paraId="68AC2173" w14:textId="77777777" w:rsidR="004B2808" w:rsidRDefault="00000000">
      <w:pPr>
        <w:pStyle w:val="pheading"/>
      </w:pPr>
      <w:r>
        <w:t>MESURAGE</w:t>
      </w:r>
    </w:p>
    <w:p w14:paraId="2E8C35AF" w14:textId="77777777" w:rsidR="004B2808" w:rsidRDefault="00000000">
      <w:r>
        <w:t>Conformément à la nature du mobilier sanitaire prévu, les indications spécifiques dans le cahier spécial des charges et/ou le métré récapitulatif, le mesurage doit en principe être conçu comme suit :</w:t>
      </w:r>
    </w:p>
    <w:p w14:paraId="53F44C8B" w14:textId="77777777" w:rsidR="004B2808" w:rsidRDefault="00000000">
      <w:pPr>
        <w:pStyle w:val="pheading"/>
      </w:pPr>
      <w:r>
        <w:t>- unité de mesure:</w:t>
      </w:r>
    </w:p>
    <w:p w14:paraId="5E2965C2" w14:textId="77777777" w:rsidR="004B2808" w:rsidRDefault="00000000">
      <w:r>
        <w:t>p</w:t>
      </w:r>
    </w:p>
    <w:p w14:paraId="7531A794" w14:textId="77777777" w:rsidR="004B2808" w:rsidRDefault="00000000">
      <w:pPr>
        <w:pStyle w:val="pheading"/>
      </w:pPr>
      <w:r>
        <w:t>- code de mesurage:</w:t>
      </w:r>
    </w:p>
    <w:p w14:paraId="0CF6CC62" w14:textId="77777777" w:rsidR="004B2808" w:rsidRDefault="00000000">
      <w:r>
        <w:t xml:space="preserve">Selon le type </w:t>
      </w:r>
    </w:p>
    <w:p w14:paraId="730B8991" w14:textId="77777777" w:rsidR="004B2808" w:rsidRDefault="00000000">
      <w:pPr>
        <w:pStyle w:val="pheading"/>
      </w:pPr>
      <w:r>
        <w:t>- nature du marché:</w:t>
      </w:r>
    </w:p>
    <w:p w14:paraId="1CA961D6" w14:textId="77777777" w:rsidR="004B2808" w:rsidRDefault="00000000">
      <w:r>
        <w:t>QF</w:t>
      </w:r>
    </w:p>
    <w:p w14:paraId="291B006C" w14:textId="77777777" w:rsidR="004B2808" w:rsidRDefault="00000000">
      <w:pPr>
        <w:pStyle w:val="Author-eSectionHeading5Numberless"/>
      </w:pPr>
      <w:bookmarkStart w:id="1760" w:name="_Toc220491844"/>
      <w:r>
        <w:t>58.24.2 Mobilier de salle de bain / de sanitaires - Quincaillerie complémentaire - Charnières CCTB 01.02</w:t>
      </w:r>
      <w:bookmarkEnd w:id="1760"/>
    </w:p>
    <w:p w14:paraId="0BEBF31F" w14:textId="77777777" w:rsidR="004B2808" w:rsidRDefault="00000000">
      <w:pPr>
        <w:pStyle w:val="Author-eSectionHeading6Numberless"/>
      </w:pPr>
      <w:bookmarkStart w:id="1761" w:name="_Toc220491845"/>
      <w:r>
        <w:t>58.24.2a Mobilier de salle de bain / de sanitaires - Quincaillerie complémentaire - Charnières CCTB 01.02</w:t>
      </w:r>
      <w:bookmarkEnd w:id="1761"/>
    </w:p>
    <w:p w14:paraId="75DAB577" w14:textId="77777777" w:rsidR="004B2808" w:rsidRDefault="00000000">
      <w:pPr>
        <w:pStyle w:val="Author-eSectionHeading5Numberless"/>
      </w:pPr>
      <w:bookmarkStart w:id="1762" w:name="_Toc220491846"/>
      <w:r>
        <w:lastRenderedPageBreak/>
        <w:t>58.24.3 Mobilier de salle de bain / de sanitaires - Quincaillerie complémentaire - Rails et glissières CCTB 01.02</w:t>
      </w:r>
      <w:bookmarkEnd w:id="1762"/>
    </w:p>
    <w:p w14:paraId="627081D3" w14:textId="77777777" w:rsidR="004B2808" w:rsidRDefault="00000000">
      <w:pPr>
        <w:pStyle w:val="Author-eSectionHeading6Numberless"/>
      </w:pPr>
      <w:bookmarkStart w:id="1763" w:name="_Toc220491847"/>
      <w:r>
        <w:t>58.24.3a Mobilier de salle de bain / de sanitaires - Quincaillerie complémentaire - Rails et glissières CCTB 01.02</w:t>
      </w:r>
      <w:bookmarkEnd w:id="1763"/>
    </w:p>
    <w:p w14:paraId="11317590" w14:textId="77777777" w:rsidR="004B2808" w:rsidRDefault="00000000">
      <w:pPr>
        <w:pStyle w:val="Author-eSectionHeading4Numberless"/>
      </w:pPr>
      <w:bookmarkStart w:id="1764" w:name="_Toc220491848"/>
      <w:r>
        <w:t>58.25 Mobilier de salle de bain / de sanitaires - Accessoires CCTB 01.10</w:t>
      </w:r>
      <w:bookmarkEnd w:id="1764"/>
    </w:p>
    <w:p w14:paraId="3177DD18" w14:textId="77777777" w:rsidR="004B2808" w:rsidRDefault="00000000">
      <w:pPr>
        <w:pStyle w:val="pheading"/>
      </w:pPr>
      <w:r>
        <w:t>MATÉRIAUX</w:t>
      </w:r>
    </w:p>
    <w:p w14:paraId="5E69BC01" w14:textId="77777777" w:rsidR="004B2808" w:rsidRDefault="00000000">
      <w:pPr>
        <w:pStyle w:val="heading"/>
      </w:pPr>
      <w:r>
        <w:t>Raccordement au plafond &amp; au mur</w:t>
      </w:r>
    </w:p>
    <w:p w14:paraId="195E6DD9" w14:textId="77777777" w:rsidR="004B2808" w:rsidRDefault="00000000">
      <w:pPr>
        <w:pStyle w:val="Author-eListParagraph"/>
        <w:numPr>
          <w:ilvl w:val="0"/>
          <w:numId w:val="1614"/>
        </w:numPr>
      </w:pPr>
      <w:r>
        <w:t xml:space="preserve">Raccordement au plafond : plaques de mêmes qualité et finition que </w:t>
      </w:r>
      <w:r>
        <w:rPr>
          <w:rStyle w:val="optioncarChar"/>
        </w:rPr>
        <w:t>les façades des armoires </w:t>
      </w:r>
      <w:r>
        <w:t>(par défaut)</w:t>
      </w:r>
      <w:r>
        <w:rPr>
          <w:rStyle w:val="optioncarChar"/>
        </w:rPr>
        <w:t xml:space="preserve"> / la structure des armoires / ***. </w:t>
      </w:r>
    </w:p>
    <w:p w14:paraId="56A8DE7E" w14:textId="77777777" w:rsidR="004B2808" w:rsidRDefault="00000000">
      <w:pPr>
        <w:pStyle w:val="Author-eListParagraph"/>
        <w:numPr>
          <w:ilvl w:val="0"/>
          <w:numId w:val="1614"/>
        </w:numPr>
      </w:pPr>
      <w:r>
        <w:t xml:space="preserve">Raccordement au mur : plaques de mêmes qualité et finition que </w:t>
      </w:r>
      <w:r>
        <w:rPr>
          <w:rStyle w:val="optioncarChar"/>
        </w:rPr>
        <w:t>les façades des armoires </w:t>
      </w:r>
      <w:r>
        <w:t>(par défaut)</w:t>
      </w:r>
      <w:r>
        <w:rPr>
          <w:rStyle w:val="optioncarChar"/>
        </w:rPr>
        <w:t xml:space="preserve"> / la structure des armoires / ***.</w:t>
      </w:r>
    </w:p>
    <w:p w14:paraId="276C7E9D" w14:textId="77777777" w:rsidR="004B2808" w:rsidRDefault="00000000">
      <w:pPr>
        <w:pStyle w:val="heading"/>
      </w:pPr>
      <w:r>
        <w:t>Equipements en option</w:t>
      </w:r>
    </w:p>
    <w:p w14:paraId="084203A9" w14:textId="77777777" w:rsidR="004B2808" w:rsidRDefault="00000000">
      <w:pPr>
        <w:pStyle w:val="Author-eListParagraph"/>
        <w:numPr>
          <w:ilvl w:val="0"/>
          <w:numId w:val="1615"/>
        </w:numPr>
      </w:pPr>
      <w:r>
        <w:t xml:space="preserve">Miroir sur la face frontale, dimensions : </w:t>
      </w:r>
      <w:r>
        <w:rPr>
          <w:rStyle w:val="optioncarChar"/>
        </w:rPr>
        <w:t>***</w:t>
      </w:r>
    </w:p>
    <w:p w14:paraId="67932DD4" w14:textId="77777777" w:rsidR="004B2808" w:rsidRDefault="00000000">
      <w:pPr>
        <w:pStyle w:val="Author-eSectionHeading5Numberless"/>
      </w:pPr>
      <w:bookmarkStart w:id="1765" w:name="_Toc220491849"/>
      <w:r>
        <w:t>58.25.1 Mobilier de salle de bain / de sanitaires - Accessoires - Miroir CCTB 01.02</w:t>
      </w:r>
      <w:bookmarkEnd w:id="1765"/>
    </w:p>
    <w:p w14:paraId="14520A24" w14:textId="77777777" w:rsidR="004B2808" w:rsidRDefault="00000000">
      <w:pPr>
        <w:pStyle w:val="Author-eSectionHeading6Numberless"/>
      </w:pPr>
      <w:bookmarkStart w:id="1766" w:name="_Toc220491850"/>
      <w:r>
        <w:t>58.25.1a Mobilier de salle de bain / de sanitaires - Accessoires - Miroir CCTB 01.02</w:t>
      </w:r>
      <w:bookmarkEnd w:id="1766"/>
    </w:p>
    <w:p w14:paraId="2A5BBEAD" w14:textId="77777777" w:rsidR="004B2808" w:rsidRDefault="00000000">
      <w:pPr>
        <w:pStyle w:val="Author-eSectionHeading5Numberless"/>
      </w:pPr>
      <w:bookmarkStart w:id="1767" w:name="_Toc220491851"/>
      <w:r>
        <w:t>58.25.2 Mobilier de salle de bain / de sanitaires - Accessoires - Porte serviette CCTB 01.02</w:t>
      </w:r>
      <w:bookmarkEnd w:id="1767"/>
    </w:p>
    <w:p w14:paraId="1CAEC426" w14:textId="77777777" w:rsidR="004B2808" w:rsidRDefault="00000000">
      <w:pPr>
        <w:pStyle w:val="Author-eSectionHeading6Numberless"/>
      </w:pPr>
      <w:bookmarkStart w:id="1768" w:name="_Toc220491852"/>
      <w:r>
        <w:t>58.25.2a Mobilier de salle de bain / de sanitaires - Accessoires - Porte serviette CCTB 01.02</w:t>
      </w:r>
      <w:bookmarkEnd w:id="1768"/>
    </w:p>
    <w:p w14:paraId="77A79C59" w14:textId="77777777" w:rsidR="004B2808" w:rsidRDefault="00000000">
      <w:pPr>
        <w:pStyle w:val="Author-eSectionHeading5Numberless"/>
      </w:pPr>
      <w:bookmarkStart w:id="1769" w:name="_Toc220491853"/>
      <w:r>
        <w:t>58.25.3 Mobilier de salle de bain / de sanitaires - Accessoires - Porte savon CCTB 01.02</w:t>
      </w:r>
      <w:bookmarkEnd w:id="1769"/>
    </w:p>
    <w:p w14:paraId="74260B86" w14:textId="77777777" w:rsidR="004B2808" w:rsidRDefault="00000000">
      <w:pPr>
        <w:pStyle w:val="Author-eSectionHeading6Numberless"/>
      </w:pPr>
      <w:bookmarkStart w:id="1770" w:name="_Toc220491854"/>
      <w:r>
        <w:t>58.25.3a Mobilier de salle de bain / de sanitaires - Accessoires - Porte savon CCTB 01.02</w:t>
      </w:r>
      <w:bookmarkEnd w:id="1770"/>
    </w:p>
    <w:p w14:paraId="729503FF" w14:textId="77777777" w:rsidR="004B2808" w:rsidRDefault="00000000">
      <w:pPr>
        <w:pStyle w:val="Author-eSectionHeading5Numberless"/>
      </w:pPr>
      <w:bookmarkStart w:id="1771" w:name="_Toc220491855"/>
      <w:r>
        <w:t>58.25.4 Mobilier de salle de bain / de sanitaires - Accessoires - Porte papier wc CCTB 01.02</w:t>
      </w:r>
      <w:bookmarkEnd w:id="1771"/>
    </w:p>
    <w:p w14:paraId="59C73244" w14:textId="77777777" w:rsidR="004B2808" w:rsidRDefault="00000000">
      <w:pPr>
        <w:pStyle w:val="Author-eSectionHeading6Numberless"/>
      </w:pPr>
      <w:bookmarkStart w:id="1772" w:name="_Toc220491856"/>
      <w:r>
        <w:t>58.25.4a Mobilier de salle de bain / de sanitaires - Accessoires - Porte papier wc CCTB 01.02</w:t>
      </w:r>
      <w:bookmarkEnd w:id="1772"/>
    </w:p>
    <w:p w14:paraId="49E03272" w14:textId="77777777" w:rsidR="004B2808" w:rsidRDefault="00000000">
      <w:pPr>
        <w:pStyle w:val="Author-eSectionHeading5Numberless"/>
      </w:pPr>
      <w:bookmarkStart w:id="1773" w:name="_Toc220491857"/>
      <w:r>
        <w:t>58.25.5 Mobilier de salle de bain / de sanitaires - Accessoires - Distributeur (papier essuie-mains, savon liquide, préservatifs) CCTB 01.02</w:t>
      </w:r>
      <w:bookmarkEnd w:id="1773"/>
    </w:p>
    <w:p w14:paraId="38FC0DCA" w14:textId="77777777" w:rsidR="004B2808" w:rsidRDefault="00000000">
      <w:pPr>
        <w:pStyle w:val="Author-eSectionHeading6Numberless"/>
      </w:pPr>
      <w:bookmarkStart w:id="1774" w:name="_Toc220491858"/>
      <w:r>
        <w:t>58.25.5a Mobilier de salle de bain / de sanitaires - Accessoires - Distributeur (papier essuie-mains, savon liquide, préservatifs) CCTB 01.02</w:t>
      </w:r>
      <w:bookmarkEnd w:id="1774"/>
    </w:p>
    <w:p w14:paraId="38A9D813" w14:textId="77777777" w:rsidR="004B2808" w:rsidRDefault="00000000">
      <w:pPr>
        <w:pStyle w:val="Author-eSectionHeading3Numberless"/>
      </w:pPr>
      <w:bookmarkStart w:id="1775" w:name="_Toc220491859"/>
      <w:r>
        <w:t>58.3 Mobilier de bureau fixe / Comptoir CCTB 01.13</w:t>
      </w:r>
      <w:bookmarkEnd w:id="1775"/>
    </w:p>
    <w:p w14:paraId="66D314A3" w14:textId="77777777" w:rsidR="004B2808" w:rsidRDefault="00000000">
      <w:pPr>
        <w:pStyle w:val="pheading"/>
      </w:pPr>
      <w:r>
        <w:t>AIDE</w:t>
      </w:r>
    </w:p>
    <w:p w14:paraId="4ACB92D9" w14:textId="77777777" w:rsidR="004B2808" w:rsidRDefault="00000000">
      <w:r>
        <w:t>NOTE A L'AUTEUR DE PROJET</w:t>
      </w:r>
    </w:p>
    <w:p w14:paraId="7ECD5C4E" w14:textId="77777777" w:rsidR="004B2808" w:rsidRDefault="00000000">
      <w:r>
        <w:rPr>
          <w:b/>
        </w:rPr>
        <w:lastRenderedPageBreak/>
        <w:t>Accessibilité aux personnes à mobilité réduite (PMR)</w:t>
      </w:r>
    </w:p>
    <w:p w14:paraId="275B157F" w14:textId="77777777" w:rsidR="004B2808" w:rsidRDefault="00000000">
      <w:r>
        <w:rPr>
          <w:i/>
          <w:u w:val="single"/>
        </w:rPr>
        <w:t xml:space="preserve">Réception - Comptoir - Guichet : </w:t>
      </w:r>
      <w:r>
        <w:t>   </w:t>
      </w:r>
    </w:p>
    <w:p w14:paraId="6C547809" w14:textId="77777777" w:rsidR="004B2808" w:rsidRDefault="00000000">
      <w:pPr>
        <w:pStyle w:val="Author-eListParagraph"/>
        <w:numPr>
          <w:ilvl w:val="0"/>
          <w:numId w:val="1616"/>
        </w:numPr>
      </w:pPr>
      <w:r>
        <w:t xml:space="preserve">Hauteur de la tablette :  </w:t>
      </w:r>
    </w:p>
    <w:p w14:paraId="7F8DD55F" w14:textId="77777777" w:rsidR="004B2808" w:rsidRDefault="00000000">
      <w:pPr>
        <w:pStyle w:val="Author-eListParagraph"/>
        <w:numPr>
          <w:ilvl w:val="1"/>
          <w:numId w:val="1617"/>
        </w:numPr>
      </w:pPr>
      <w:r>
        <w:t>Face inférieure : à 75 cm minimum au-dessus du niveau du sol</w:t>
      </w:r>
    </w:p>
    <w:p w14:paraId="7F3F911F" w14:textId="77777777" w:rsidR="004B2808" w:rsidRDefault="00000000">
      <w:pPr>
        <w:pStyle w:val="Author-eListParagraph"/>
        <w:numPr>
          <w:ilvl w:val="1"/>
          <w:numId w:val="1617"/>
        </w:numPr>
      </w:pPr>
      <w:r>
        <w:t>Face supérieure : à 80 cm maximum au-dessus du niveau du sol</w:t>
      </w:r>
    </w:p>
    <w:p w14:paraId="44AF5CF4" w14:textId="77777777" w:rsidR="004B2808" w:rsidRDefault="00000000">
      <w:pPr>
        <w:pStyle w:val="Author-eListParagraph"/>
        <w:numPr>
          <w:ilvl w:val="0"/>
          <w:numId w:val="1616"/>
        </w:numPr>
      </w:pPr>
      <w:r>
        <w:t>Largeur de la tablette : 100 cm minimum   [NBN ISO 21542]</w:t>
      </w:r>
    </w:p>
    <w:p w14:paraId="168DDEE0" w14:textId="77777777" w:rsidR="004B2808" w:rsidRDefault="00000000">
      <w:pPr>
        <w:pStyle w:val="Author-eListParagraph"/>
        <w:numPr>
          <w:ilvl w:val="0"/>
          <w:numId w:val="1616"/>
        </w:numPr>
      </w:pPr>
      <w:r>
        <w:t>Profondeur libre sous la tablette : 60 cm minimum</w:t>
      </w:r>
    </w:p>
    <w:p w14:paraId="5BABEFDF" w14:textId="77777777" w:rsidR="004B2808" w:rsidRDefault="00000000">
      <w:pPr>
        <w:pStyle w:val="Author-eSectionHeading4Numberless"/>
      </w:pPr>
      <w:bookmarkStart w:id="1776" w:name="_Toc220491860"/>
      <w:r>
        <w:t>58.31 Mobilier de bureau fixe / Comptoir - Structure et planches CCTB 01.02</w:t>
      </w:r>
      <w:bookmarkEnd w:id="1776"/>
    </w:p>
    <w:p w14:paraId="6E1E1633" w14:textId="77777777" w:rsidR="004B2808" w:rsidRDefault="00000000">
      <w:pPr>
        <w:pStyle w:val="Author-eSectionHeading5Numberless"/>
      </w:pPr>
      <w:bookmarkStart w:id="1777" w:name="_Toc220491861"/>
      <w:r>
        <w:t>58.31.1 Mobilier de bureau fixe / Comptoir - Structure et planches - Eléments blocs CCTB 01.02</w:t>
      </w:r>
      <w:bookmarkEnd w:id="1777"/>
    </w:p>
    <w:p w14:paraId="13469AB7" w14:textId="77777777" w:rsidR="004B2808" w:rsidRDefault="00000000">
      <w:pPr>
        <w:pStyle w:val="Author-eSectionHeading6Numberless"/>
      </w:pPr>
      <w:bookmarkStart w:id="1778" w:name="_Toc220491862"/>
      <w:r>
        <w:t>58.31.1a Mobilier de bureau fixe / Comptoir - Structure et planches - Eléments blocs CCTB 01.02</w:t>
      </w:r>
      <w:bookmarkEnd w:id="1778"/>
    </w:p>
    <w:p w14:paraId="16AA1F72" w14:textId="77777777" w:rsidR="004B2808" w:rsidRDefault="00000000">
      <w:pPr>
        <w:pStyle w:val="Author-eSectionHeading5Numberless"/>
      </w:pPr>
      <w:bookmarkStart w:id="1779" w:name="_Toc220491863"/>
      <w:r>
        <w:t>58.31.2 Mobilier de bureau fixe / Comptoir - Structure et planches - Façades &amp; côtés apparents CCTB 01.02</w:t>
      </w:r>
      <w:bookmarkEnd w:id="1779"/>
    </w:p>
    <w:p w14:paraId="17851E66" w14:textId="77777777" w:rsidR="004B2808" w:rsidRDefault="00000000">
      <w:pPr>
        <w:pStyle w:val="Author-eSectionHeading6Numberless"/>
      </w:pPr>
      <w:bookmarkStart w:id="1780" w:name="_Toc220491864"/>
      <w:r>
        <w:t>58.31.2a Mobilier de bureau fixe / Comptoir - Structure et planches - Façades &amp; côtés apparents CCTB 01.10</w:t>
      </w:r>
      <w:bookmarkEnd w:id="1780"/>
    </w:p>
    <w:p w14:paraId="68EBFB8E" w14:textId="77777777" w:rsidR="004B2808" w:rsidRDefault="00000000">
      <w:pPr>
        <w:pStyle w:val="pheading"/>
      </w:pPr>
      <w:r>
        <w:t>MATÉRIAUX</w:t>
      </w:r>
    </w:p>
    <w:p w14:paraId="401E61E2" w14:textId="77777777" w:rsidR="004B2808" w:rsidRDefault="00000000">
      <w:pPr>
        <w:pStyle w:val="pheading"/>
      </w:pPr>
      <w:r>
        <w:t>- Caractéristiques générales</w:t>
      </w:r>
    </w:p>
    <w:p w14:paraId="689DF922" w14:textId="77777777" w:rsidR="004B2808" w:rsidRDefault="00000000">
      <w:pPr>
        <w:pStyle w:val="heading"/>
      </w:pPr>
      <w:r>
        <w:t>Spécifications</w:t>
      </w:r>
    </w:p>
    <w:p w14:paraId="0F6B8BFC" w14:textId="77777777" w:rsidR="004B2808" w:rsidRDefault="00000000">
      <w:pPr>
        <w:pStyle w:val="Author-eListParagraph"/>
        <w:numPr>
          <w:ilvl w:val="0"/>
          <w:numId w:val="1618"/>
        </w:numPr>
      </w:pPr>
      <w:r>
        <w:t xml:space="preserve">Matériau : </w:t>
      </w:r>
      <w:r>
        <w:rPr>
          <w:rStyle w:val="optioncarChar"/>
        </w:rPr>
        <w:t>MDF </w:t>
      </w:r>
      <w:r>
        <w:t>(par défaut)</w:t>
      </w:r>
      <w:r>
        <w:rPr>
          <w:rStyle w:val="optioncarChar"/>
        </w:rPr>
        <w:t xml:space="preserve"> / Panneaux de bois agglomérés / contreplaqué bouleau / *** </w:t>
      </w:r>
      <w:r>
        <w:t xml:space="preserve">, épaisseur </w:t>
      </w:r>
      <w:r>
        <w:rPr>
          <w:rStyle w:val="optioncarChar"/>
        </w:rPr>
        <w:t>18</w:t>
      </w:r>
      <w:r>
        <w:t> (par défaut) </w:t>
      </w:r>
      <w:r>
        <w:rPr>
          <w:rStyle w:val="optioncarChar"/>
        </w:rPr>
        <w:t>/ *** </w:t>
      </w:r>
      <w:r>
        <w:t>mm</w:t>
      </w:r>
    </w:p>
    <w:p w14:paraId="2BE5F4FA" w14:textId="77777777" w:rsidR="004B2808" w:rsidRDefault="00000000">
      <w:pPr>
        <w:pStyle w:val="Author-eListParagraph"/>
        <w:numPr>
          <w:ilvl w:val="0"/>
          <w:numId w:val="1618"/>
        </w:numPr>
      </w:pPr>
      <w:r>
        <w:t xml:space="preserve">Charnières : </w:t>
      </w:r>
    </w:p>
    <w:p w14:paraId="2FF3D7AA" w14:textId="77777777" w:rsidR="004B2808" w:rsidRDefault="00000000">
      <w:pPr>
        <w:pStyle w:val="Author-eListParagraph"/>
        <w:numPr>
          <w:ilvl w:val="1"/>
          <w:numId w:val="1619"/>
        </w:numPr>
      </w:pPr>
      <w:r>
        <w:t>Angle d'ouverture:</w:t>
      </w:r>
      <w:r>
        <w:rPr>
          <w:rStyle w:val="optioncarChar"/>
        </w:rPr>
        <w:t> 90°</w:t>
      </w:r>
      <w:r>
        <w:t> (par défaut)</w:t>
      </w:r>
      <w:r>
        <w:rPr>
          <w:rStyle w:val="optioncarChar"/>
        </w:rPr>
        <w:t xml:space="preserve"> / 170° / ***</w:t>
      </w:r>
    </w:p>
    <w:p w14:paraId="38A55B1E" w14:textId="77777777" w:rsidR="004B2808" w:rsidRDefault="00000000">
      <w:pPr>
        <w:pStyle w:val="Author-eListParagraph"/>
        <w:numPr>
          <w:ilvl w:val="1"/>
          <w:numId w:val="1619"/>
        </w:numPr>
      </w:pPr>
      <w:r>
        <w:t xml:space="preserve">Type : type </w:t>
      </w:r>
      <w:r>
        <w:rPr>
          <w:rStyle w:val="optioncarChar"/>
        </w:rPr>
        <w:t>à fermeture automatique à boîtier</w:t>
      </w:r>
      <w:r>
        <w:t> (par défaut)</w:t>
      </w:r>
      <w:r>
        <w:rPr>
          <w:rStyle w:val="optioncarChar"/>
        </w:rPr>
        <w:t xml:space="preserve"> / ***</w:t>
      </w:r>
      <w:r>
        <w:t> </w:t>
      </w:r>
    </w:p>
    <w:p w14:paraId="3AA556E1" w14:textId="77777777" w:rsidR="004B2808" w:rsidRDefault="00000000">
      <w:pPr>
        <w:pStyle w:val="pheading"/>
      </w:pPr>
      <w:r>
        <w:t>- Finitions</w:t>
      </w:r>
    </w:p>
    <w:p w14:paraId="7402CC6D" w14:textId="77777777" w:rsidR="004B2808" w:rsidRDefault="00000000">
      <w:pPr>
        <w:pStyle w:val="Author-eListParagraph"/>
        <w:numPr>
          <w:ilvl w:val="0"/>
          <w:numId w:val="1620"/>
        </w:numPr>
      </w:pPr>
      <w:r>
        <w:t>Finition des panneaux de façade :</w:t>
      </w:r>
    </w:p>
    <w:p w14:paraId="2A6977DF" w14:textId="77777777" w:rsidR="004B2808" w:rsidRDefault="00000000">
      <w:pPr>
        <w:ind w:left="450"/>
      </w:pPr>
      <w:r>
        <w:rPr>
          <w:b/>
        </w:rPr>
        <w:t xml:space="preserve">Choix opéré </w:t>
      </w:r>
      <w:r>
        <w:t xml:space="preserve">: </w:t>
      </w:r>
      <w:r>
        <w:rPr>
          <w:rStyle w:val="optioncarChar"/>
        </w:rPr>
        <w:t xml:space="preserve">*** / OPTION 1 </w:t>
      </w:r>
      <w:r>
        <w:t>(par défaut) </w:t>
      </w:r>
      <w:r>
        <w:rPr>
          <w:rStyle w:val="optioncarChar"/>
        </w:rPr>
        <w:t>/ OPTION 2 / OPTION 3 / OPTION 4</w:t>
      </w:r>
      <w:r>
        <w:br/>
      </w:r>
      <w:r>
        <w:rPr>
          <w:b/>
        </w:rPr>
        <w:t>***OPTION 1</w:t>
      </w:r>
      <w:r>
        <w:t xml:space="preserve"> : mélaminé. Chants : </w:t>
      </w:r>
      <w:r>
        <w:rPr>
          <w:rStyle w:val="optioncarChar"/>
        </w:rPr>
        <w:t>feuille en matière synthétique</w:t>
      </w:r>
      <w:r>
        <w:t> (par défaut)</w:t>
      </w:r>
      <w:r>
        <w:rPr>
          <w:rStyle w:val="optioncarChar"/>
        </w:rPr>
        <w:t xml:space="preserve"> / listel acrylique / ***</w:t>
      </w:r>
      <w:r>
        <w:t>, épaisseur min.</w:t>
      </w:r>
      <w:r>
        <w:rPr>
          <w:rStyle w:val="optioncarChar"/>
        </w:rPr>
        <w:t> 2</w:t>
      </w:r>
      <w:r>
        <w:t> (par défaut) </w:t>
      </w:r>
      <w:r>
        <w:rPr>
          <w:rStyle w:val="optioncarChar"/>
        </w:rPr>
        <w:t>/ ***</w:t>
      </w:r>
      <w:r>
        <w:t xml:space="preserve"> mm. </w:t>
      </w:r>
      <w:r>
        <w:br/>
      </w:r>
      <w:r>
        <w:rPr>
          <w:b/>
        </w:rPr>
        <w:t>***OPTION 2</w:t>
      </w:r>
      <w:r>
        <w:t xml:space="preserve"> : plaque de stratifié haute pression, classe HPL-EN 438 VGS ou S 232, épaisseur </w:t>
      </w:r>
      <w:r>
        <w:rPr>
          <w:rStyle w:val="optioncarChar"/>
        </w:rPr>
        <w:t>0,8 </w:t>
      </w:r>
      <w:r>
        <w:t>(par défaut) </w:t>
      </w:r>
      <w:r>
        <w:rPr>
          <w:rStyle w:val="optioncarChar"/>
        </w:rPr>
        <w:t>/ ***</w:t>
      </w:r>
      <w:r>
        <w:t xml:space="preserve"> mm. Chants : listel acrylique, épaisseur min. 2mm. </w:t>
      </w:r>
      <w:r>
        <w:br/>
      </w:r>
      <w:r>
        <w:rPr>
          <w:b/>
        </w:rPr>
        <w:t>***OPTION 3</w:t>
      </w:r>
      <w:r>
        <w:t xml:space="preserve"> : plaque de stratifié haute pression, classe HPL-EN 438 VGP ou P 222, épaisseur </w:t>
      </w:r>
      <w:r>
        <w:rPr>
          <w:rStyle w:val="optioncarChar"/>
        </w:rPr>
        <w:t>0,8 </w:t>
      </w:r>
      <w:r>
        <w:t>(par défaut)</w:t>
      </w:r>
      <w:r>
        <w:rPr>
          <w:rStyle w:val="optioncarChar"/>
        </w:rPr>
        <w:t> / ***</w:t>
      </w:r>
      <w:r>
        <w:t xml:space="preserve"> mm. </w:t>
      </w:r>
      <w:r>
        <w:br/>
      </w:r>
      <w:r>
        <w:rPr>
          <w:b/>
        </w:rPr>
        <w:t>***OPTION 4</w:t>
      </w:r>
      <w:r>
        <w:t xml:space="preserve"> : à </w:t>
      </w:r>
      <w:r>
        <w:rPr>
          <w:rStyle w:val="optioncarChar"/>
        </w:rPr>
        <w:t>peindre</w:t>
      </w:r>
      <w:r>
        <w:t xml:space="preserve"> (par défaut)</w:t>
      </w:r>
      <w:r>
        <w:rPr>
          <w:rStyle w:val="optioncarChar"/>
        </w:rPr>
        <w:t> / vernir en deux couches</w:t>
      </w:r>
      <w:r>
        <w:t>, selon</w:t>
      </w:r>
      <w:r>
        <w:rPr>
          <w:shd w:val="clear" w:color="auto" w:fill="FFFFFF"/>
        </w:rPr>
        <w:t xml:space="preserve"> l'article </w:t>
      </w:r>
      <w:r>
        <w:rPr>
          <w:rStyle w:val="optioncarChar"/>
          <w:shd w:val="clear" w:color="auto" w:fill="FFFFFF"/>
        </w:rPr>
        <w:t xml:space="preserve">*** </w:t>
      </w:r>
    </w:p>
    <w:p w14:paraId="2B286CAC" w14:textId="77777777" w:rsidR="004B2808" w:rsidRDefault="00000000">
      <w:pPr>
        <w:pStyle w:val="Author-eListParagraph"/>
        <w:numPr>
          <w:ilvl w:val="0"/>
          <w:numId w:val="1621"/>
        </w:numPr>
      </w:pPr>
      <w:r>
        <w:t xml:space="preserve">Coloris : </w:t>
      </w:r>
      <w:r>
        <w:rPr>
          <w:rStyle w:val="optioncarChar"/>
        </w:rPr>
        <w:t>blanc</w:t>
      </w:r>
      <w:r>
        <w:t xml:space="preserve"> (par défaut) </w:t>
      </w:r>
      <w:r>
        <w:rPr>
          <w:rStyle w:val="optioncarChar"/>
        </w:rPr>
        <w:t>/ à choisir dans la gamme de couleurs standard du fabricant / *** </w:t>
      </w:r>
      <w:r>
        <w:t>. </w:t>
      </w:r>
    </w:p>
    <w:p w14:paraId="48DDC0F9" w14:textId="77777777" w:rsidR="004B2808" w:rsidRDefault="00000000">
      <w:pPr>
        <w:pStyle w:val="pheading"/>
      </w:pPr>
      <w:r>
        <w:t>- Prescriptions complémentaires</w:t>
      </w:r>
    </w:p>
    <w:p w14:paraId="7E40FD06" w14:textId="77777777" w:rsidR="004B2808" w:rsidRDefault="00000000">
      <w:r>
        <w:t>Le postforming des portes d'armoires est:</w:t>
      </w:r>
    </w:p>
    <w:p w14:paraId="1E37D6F4" w14:textId="77777777" w:rsidR="004B2808" w:rsidRDefault="00000000">
      <w:pPr>
        <w:ind w:left="450"/>
      </w:pPr>
      <w:r>
        <w:rPr>
          <w:b/>
        </w:rPr>
        <w:t>Choix opéré</w:t>
      </w:r>
      <w:r>
        <w:t xml:space="preserve"> : </w:t>
      </w:r>
      <w:r>
        <w:rPr>
          <w:rStyle w:val="optioncarChar"/>
        </w:rPr>
        <w:t>*** / OPTION 1 (horizontal) / OPTION 2 (vertical)</w:t>
      </w:r>
      <w:r>
        <w:br/>
      </w:r>
      <w:r>
        <w:rPr>
          <w:b/>
        </w:rPr>
        <w:t>***OPTION 1</w:t>
      </w:r>
      <w:r>
        <w:t xml:space="preserve"> : horizontal sur</w:t>
      </w:r>
      <w:r>
        <w:rPr>
          <w:rStyle w:val="optioncarChar"/>
        </w:rPr>
        <w:t xml:space="preserve"> *** / 90° / 180°</w:t>
      </w:r>
      <w:r>
        <w:t xml:space="preserve"> sur toute l'épaisseur . </w:t>
      </w:r>
      <w:r>
        <w:br/>
      </w:r>
      <w:r>
        <w:rPr>
          <w:b/>
        </w:rPr>
        <w:t>***OPTION 2</w:t>
      </w:r>
      <w:r>
        <w:t xml:space="preserve"> : vertical sur 90°</w:t>
      </w:r>
    </w:p>
    <w:p w14:paraId="5F3E0736" w14:textId="77777777" w:rsidR="004B2808" w:rsidRDefault="00000000">
      <w:pPr>
        <w:pStyle w:val="pheading"/>
      </w:pPr>
      <w:r>
        <w:t>MESURAGE</w:t>
      </w:r>
    </w:p>
    <w:p w14:paraId="69A781C6" w14:textId="77777777" w:rsidR="004B2808" w:rsidRDefault="00000000">
      <w:r>
        <w:lastRenderedPageBreak/>
        <w:t>Conformément à la nature du mobilier de bureau fixe prévu, les indications spécifiques dans le cahier spécial des charges et/ou le métré récapitulatif, le mesurage doit en principe être conçu comme suit :</w:t>
      </w:r>
    </w:p>
    <w:p w14:paraId="5A2A7CFE" w14:textId="77777777" w:rsidR="004B2808" w:rsidRDefault="00000000">
      <w:pPr>
        <w:pStyle w:val="pheading"/>
      </w:pPr>
      <w:r>
        <w:t>- unité de mesure:</w:t>
      </w:r>
    </w:p>
    <w:p w14:paraId="2B0A03FA" w14:textId="77777777" w:rsidR="004B2808" w:rsidRDefault="00000000">
      <w:r>
        <w:t>p</w:t>
      </w:r>
    </w:p>
    <w:p w14:paraId="3A475048" w14:textId="77777777" w:rsidR="004B2808" w:rsidRDefault="00000000">
      <w:pPr>
        <w:pStyle w:val="pheading"/>
      </w:pPr>
      <w:r>
        <w:t>- code de mesurage:</w:t>
      </w:r>
    </w:p>
    <w:p w14:paraId="5CDFB86A" w14:textId="77777777" w:rsidR="004B2808" w:rsidRDefault="00000000">
      <w:r>
        <w:t xml:space="preserve">Selon le type </w:t>
      </w:r>
    </w:p>
    <w:p w14:paraId="0DB2A7AF" w14:textId="77777777" w:rsidR="004B2808" w:rsidRDefault="00000000">
      <w:pPr>
        <w:pStyle w:val="pheading"/>
      </w:pPr>
      <w:r>
        <w:t>- nature du marché:</w:t>
      </w:r>
    </w:p>
    <w:p w14:paraId="19D78AA4" w14:textId="77777777" w:rsidR="004B2808" w:rsidRDefault="00000000">
      <w:r>
        <w:t>QF</w:t>
      </w:r>
    </w:p>
    <w:p w14:paraId="7CEE738A" w14:textId="77777777" w:rsidR="004B2808" w:rsidRDefault="00000000">
      <w:pPr>
        <w:pStyle w:val="Author-eSectionHeading5Numberless"/>
      </w:pPr>
      <w:bookmarkStart w:id="1781" w:name="_Toc220491865"/>
      <w:r>
        <w:t>58.31.3 Mobilier de bureau fixe / Comptoir - Structure et planches - Planches intérieures CCTB 01.02</w:t>
      </w:r>
      <w:bookmarkEnd w:id="1781"/>
    </w:p>
    <w:p w14:paraId="62D37DA6" w14:textId="77777777" w:rsidR="004B2808" w:rsidRDefault="00000000">
      <w:pPr>
        <w:pStyle w:val="Author-eSectionHeading6Numberless"/>
      </w:pPr>
      <w:bookmarkStart w:id="1782" w:name="_Toc220491866"/>
      <w:r>
        <w:t>58.31.3a Mobilier de bureau fixe / Comptoir - Structure et planches - Planches intérieures CCTB 01.02</w:t>
      </w:r>
      <w:bookmarkEnd w:id="1782"/>
    </w:p>
    <w:p w14:paraId="668847B5" w14:textId="77777777" w:rsidR="004B2808" w:rsidRDefault="00000000">
      <w:pPr>
        <w:pStyle w:val="Author-eSectionHeading5Numberless"/>
      </w:pPr>
      <w:bookmarkStart w:id="1783" w:name="_Toc220491867"/>
      <w:r>
        <w:t>58.31.4 Mobilier de bureau fixe / Comptoir - Structure et planches - Structure complémentaire, y compris étagères CCTB 01.02</w:t>
      </w:r>
      <w:bookmarkEnd w:id="1783"/>
    </w:p>
    <w:p w14:paraId="1533D501" w14:textId="77777777" w:rsidR="004B2808" w:rsidRDefault="00000000">
      <w:pPr>
        <w:pStyle w:val="Author-eSectionHeading6Numberless"/>
      </w:pPr>
      <w:bookmarkStart w:id="1784" w:name="_Toc220491868"/>
      <w:r>
        <w:t>58.31.4a Mobilier de bureau fixe / Comptoir - Structure et planches - Structure complémentaire, y compris étagères CCTB 01.02</w:t>
      </w:r>
      <w:bookmarkEnd w:id="1784"/>
    </w:p>
    <w:p w14:paraId="007F5093" w14:textId="77777777" w:rsidR="004B2808" w:rsidRDefault="00000000">
      <w:pPr>
        <w:pStyle w:val="Author-eSectionHeading4Numberless"/>
      </w:pPr>
      <w:bookmarkStart w:id="1785" w:name="_Toc220491869"/>
      <w:r>
        <w:t>58.32 Mobilier de bureau fixe / Comptoir - Portes / Tiroirs / Caissons CCTB 01.02</w:t>
      </w:r>
      <w:bookmarkEnd w:id="1785"/>
    </w:p>
    <w:p w14:paraId="2F42B646" w14:textId="77777777" w:rsidR="004B2808" w:rsidRDefault="00000000">
      <w:pPr>
        <w:pStyle w:val="Author-eSectionHeading5Numberless"/>
      </w:pPr>
      <w:bookmarkStart w:id="1786" w:name="_Toc220491870"/>
      <w:r>
        <w:t>58.32.1 Mobilier de bureau fixe / Comptoir - Portes CCTB 01.02</w:t>
      </w:r>
      <w:bookmarkEnd w:id="1786"/>
    </w:p>
    <w:p w14:paraId="2D576EFA" w14:textId="77777777" w:rsidR="004B2808" w:rsidRDefault="00000000">
      <w:pPr>
        <w:pStyle w:val="Author-eSectionHeading6Numberless"/>
      </w:pPr>
      <w:bookmarkStart w:id="1787" w:name="_Toc220491871"/>
      <w:r>
        <w:t>58.32.1a Mobilier de bureau fixe / Comptoir - Portes CCTB 01.10</w:t>
      </w:r>
      <w:bookmarkEnd w:id="1787"/>
    </w:p>
    <w:p w14:paraId="0E49401B" w14:textId="77777777" w:rsidR="004B2808" w:rsidRDefault="00000000">
      <w:pPr>
        <w:pStyle w:val="pheading"/>
      </w:pPr>
      <w:r>
        <w:t>MATÉRIAUX</w:t>
      </w:r>
    </w:p>
    <w:p w14:paraId="2B2D0E62" w14:textId="77777777" w:rsidR="004B2808" w:rsidRDefault="00000000">
      <w:pPr>
        <w:pStyle w:val="pheading"/>
      </w:pPr>
      <w:r>
        <w:t>- Prescriptions complémentaires</w:t>
      </w:r>
    </w:p>
    <w:p w14:paraId="7A8D9B21" w14:textId="77777777" w:rsidR="004B2808" w:rsidRDefault="00000000">
      <w:r>
        <w:t>Le postforming des portes d'armoires est</w:t>
      </w:r>
      <w:r>
        <w:br/>
      </w:r>
      <w:r>
        <w:rPr>
          <w:b/>
        </w:rPr>
        <w:t>OPTION 1 (par défaut)</w:t>
      </w:r>
      <w:r>
        <w:t xml:space="preserve"> : horizontal sur</w:t>
      </w:r>
      <w:r>
        <w:rPr>
          <w:rStyle w:val="optioncarChar"/>
        </w:rPr>
        <w:t> 90° </w:t>
      </w:r>
      <w:r>
        <w:t>(par défaut)</w:t>
      </w:r>
      <w:r>
        <w:rPr>
          <w:rStyle w:val="optioncarChar"/>
        </w:rPr>
        <w:t xml:space="preserve"> / 180° / ***</w:t>
      </w:r>
      <w:r>
        <w:t xml:space="preserve"> sur toute l'épaisseur . </w:t>
      </w:r>
      <w:r>
        <w:br/>
      </w:r>
      <w:r>
        <w:rPr>
          <w:b/>
        </w:rPr>
        <w:t>OPTION 2</w:t>
      </w:r>
      <w:r>
        <w:t xml:space="preserve"> : vertical sur 90° </w:t>
      </w:r>
      <w:r>
        <w:br/>
      </w:r>
      <w:r>
        <w:rPr>
          <w:b/>
        </w:rPr>
        <w:t>Choix opéré</w:t>
      </w:r>
      <w:r>
        <w:t xml:space="preserve"> : </w:t>
      </w:r>
      <w:r>
        <w:rPr>
          <w:rStyle w:val="optioncarChar"/>
        </w:rPr>
        <w:t>*** / OPTION 1 (horizontal) </w:t>
      </w:r>
      <w:r>
        <w:t>(par défaut)</w:t>
      </w:r>
      <w:r>
        <w:rPr>
          <w:rStyle w:val="optioncarChar"/>
        </w:rPr>
        <w:t xml:space="preserve"> / OPTION 2 (vertical)</w:t>
      </w:r>
    </w:p>
    <w:p w14:paraId="25853B29" w14:textId="77777777" w:rsidR="004B2808" w:rsidRDefault="00000000">
      <w:pPr>
        <w:pStyle w:val="pheading"/>
      </w:pPr>
      <w:r>
        <w:t>MESURAGE</w:t>
      </w:r>
    </w:p>
    <w:p w14:paraId="033B6100" w14:textId="77777777" w:rsidR="004B2808" w:rsidRDefault="00000000">
      <w:r>
        <w:t>Conformément à la nature du mobilier de bureau fixe prévu, les indications spécifiques dans le cahier spécial des charges et/ou le métré récapitulatif, le mesurage doit en principe être conçu comme suit :</w:t>
      </w:r>
    </w:p>
    <w:p w14:paraId="1804ECF5" w14:textId="77777777" w:rsidR="004B2808" w:rsidRDefault="00000000">
      <w:pPr>
        <w:pStyle w:val="pheading"/>
      </w:pPr>
      <w:r>
        <w:t>- unité de mesure:</w:t>
      </w:r>
    </w:p>
    <w:p w14:paraId="10033013" w14:textId="77777777" w:rsidR="004B2808" w:rsidRDefault="00000000">
      <w:r>
        <w:t>p</w:t>
      </w:r>
    </w:p>
    <w:p w14:paraId="655814CE" w14:textId="77777777" w:rsidR="004B2808" w:rsidRDefault="00000000">
      <w:pPr>
        <w:pStyle w:val="pheading"/>
      </w:pPr>
      <w:r>
        <w:t>- code de mesurage:</w:t>
      </w:r>
    </w:p>
    <w:p w14:paraId="7F22FCBF" w14:textId="77777777" w:rsidR="004B2808" w:rsidRDefault="00000000">
      <w:r>
        <w:t xml:space="preserve">Selon le type </w:t>
      </w:r>
    </w:p>
    <w:p w14:paraId="7C472A63" w14:textId="77777777" w:rsidR="004B2808" w:rsidRDefault="00000000">
      <w:pPr>
        <w:pStyle w:val="pheading"/>
      </w:pPr>
      <w:r>
        <w:t>- nature du marché:</w:t>
      </w:r>
    </w:p>
    <w:p w14:paraId="513213AC" w14:textId="77777777" w:rsidR="004B2808" w:rsidRDefault="00000000">
      <w:r>
        <w:t>QF</w:t>
      </w:r>
    </w:p>
    <w:p w14:paraId="09298322" w14:textId="77777777" w:rsidR="004B2808" w:rsidRDefault="00000000">
      <w:pPr>
        <w:pStyle w:val="Author-eSectionHeading5Numberless"/>
      </w:pPr>
      <w:bookmarkStart w:id="1788" w:name="_Toc220491872"/>
      <w:r>
        <w:t>58.32.2 Mobilier de bureau fixe / Comptoir - Tiroirs CCTB 01.02</w:t>
      </w:r>
      <w:bookmarkEnd w:id="1788"/>
    </w:p>
    <w:p w14:paraId="18985412" w14:textId="77777777" w:rsidR="004B2808" w:rsidRDefault="00000000">
      <w:pPr>
        <w:pStyle w:val="Author-eSectionHeading6Numberless"/>
      </w:pPr>
      <w:bookmarkStart w:id="1789" w:name="_Toc220491873"/>
      <w:r>
        <w:t>58.32.2a Mobilier de bureau fixe / Comptoir - Tiroirs CCTB 01.10</w:t>
      </w:r>
      <w:bookmarkEnd w:id="1789"/>
    </w:p>
    <w:p w14:paraId="26DDEA2B" w14:textId="77777777" w:rsidR="004B2808" w:rsidRDefault="00000000">
      <w:pPr>
        <w:pStyle w:val="pheading"/>
      </w:pPr>
      <w:r>
        <w:t>MATÉRIAUX</w:t>
      </w:r>
    </w:p>
    <w:p w14:paraId="2A6D2CDE" w14:textId="77777777" w:rsidR="004B2808" w:rsidRDefault="00000000">
      <w:pPr>
        <w:pStyle w:val="pheading"/>
      </w:pPr>
      <w:r>
        <w:lastRenderedPageBreak/>
        <w:t>- Prescriptions complémentaires</w:t>
      </w:r>
    </w:p>
    <w:p w14:paraId="395F11CC" w14:textId="77777777" w:rsidR="004B2808" w:rsidRDefault="00000000">
      <w:r>
        <w:t>Le postforming des façades de tiroirs est </w:t>
      </w:r>
      <w:r>
        <w:rPr>
          <w:rStyle w:val="optioncarChar"/>
        </w:rPr>
        <w:t>horizontal </w:t>
      </w:r>
      <w:r>
        <w:t>(par défaut)</w:t>
      </w:r>
      <w:r>
        <w:rPr>
          <w:rStyle w:val="optioncarChar"/>
        </w:rPr>
        <w:t xml:space="preserve"> / vertical / *** </w:t>
      </w:r>
      <w:r>
        <w:t xml:space="preserve">sur </w:t>
      </w:r>
      <w:r>
        <w:rPr>
          <w:rStyle w:val="optioncarChar"/>
        </w:rPr>
        <w:t>90 </w:t>
      </w:r>
      <w:r>
        <w:t>(par défaut)</w:t>
      </w:r>
      <w:r>
        <w:rPr>
          <w:rStyle w:val="optioncarChar"/>
        </w:rPr>
        <w:t xml:space="preserve"> / 180° / ***</w:t>
      </w:r>
      <w:r>
        <w:t xml:space="preserve"> sur toute l'épaisseur. Les chants visibles sans postforming seront revêtus de bandes de </w:t>
      </w:r>
      <w:r>
        <w:rPr>
          <w:rStyle w:val="optioncarChar"/>
        </w:rPr>
        <w:t>stratifié sous haute pression </w:t>
      </w:r>
      <w:r>
        <w:t>(par défaut)</w:t>
      </w:r>
      <w:r>
        <w:rPr>
          <w:rStyle w:val="optioncarChar"/>
        </w:rPr>
        <w:t xml:space="preserve"> / listel acrylique d'au moins 2 mm d'épaisseur / ***</w:t>
      </w:r>
      <w:r>
        <w:t>.</w:t>
      </w:r>
    </w:p>
    <w:p w14:paraId="0F3A8E16" w14:textId="77777777" w:rsidR="004B2808" w:rsidRDefault="00000000">
      <w:pPr>
        <w:pStyle w:val="pheading"/>
      </w:pPr>
      <w:r>
        <w:t>MESURAGE</w:t>
      </w:r>
    </w:p>
    <w:p w14:paraId="5469A6B3" w14:textId="77777777" w:rsidR="004B2808" w:rsidRDefault="00000000">
      <w:r>
        <w:t>Conformément à la nature du mobilier de bureau fixe prévu, les indications spécifiques dans le cahier spécial des charges et/ou le métré récapitulatif, le mesurage doit en principe être conçu comme suit :</w:t>
      </w:r>
    </w:p>
    <w:p w14:paraId="742D1085" w14:textId="77777777" w:rsidR="004B2808" w:rsidRDefault="00000000">
      <w:pPr>
        <w:pStyle w:val="pheading"/>
      </w:pPr>
      <w:r>
        <w:t>- unité de mesure:</w:t>
      </w:r>
    </w:p>
    <w:p w14:paraId="7FDFA2F1" w14:textId="77777777" w:rsidR="004B2808" w:rsidRDefault="00000000">
      <w:r>
        <w:t>p</w:t>
      </w:r>
    </w:p>
    <w:p w14:paraId="417AF5A8" w14:textId="77777777" w:rsidR="004B2808" w:rsidRDefault="00000000">
      <w:pPr>
        <w:pStyle w:val="pheading"/>
      </w:pPr>
      <w:r>
        <w:t>- code de mesurage:</w:t>
      </w:r>
    </w:p>
    <w:p w14:paraId="252EFC7C" w14:textId="77777777" w:rsidR="004B2808" w:rsidRDefault="00000000">
      <w:r>
        <w:t xml:space="preserve">Selon le type </w:t>
      </w:r>
    </w:p>
    <w:p w14:paraId="1698DB58" w14:textId="77777777" w:rsidR="004B2808" w:rsidRDefault="00000000">
      <w:pPr>
        <w:pStyle w:val="pheading"/>
      </w:pPr>
      <w:r>
        <w:t>- nature du marché:</w:t>
      </w:r>
    </w:p>
    <w:p w14:paraId="01237E96" w14:textId="77777777" w:rsidR="004B2808" w:rsidRDefault="00000000">
      <w:r>
        <w:t>QF</w:t>
      </w:r>
    </w:p>
    <w:p w14:paraId="49BBFC23" w14:textId="77777777" w:rsidR="004B2808" w:rsidRDefault="00000000">
      <w:pPr>
        <w:pStyle w:val="Author-eSectionHeading5Numberless"/>
      </w:pPr>
      <w:bookmarkStart w:id="1790" w:name="_Toc220491874"/>
      <w:r>
        <w:t>58.32.3 Mobilier de bureau fixe / Comptoir - Caissons CCTB 01.02</w:t>
      </w:r>
      <w:bookmarkEnd w:id="1790"/>
    </w:p>
    <w:p w14:paraId="4BC494AB" w14:textId="77777777" w:rsidR="004B2808" w:rsidRDefault="00000000">
      <w:pPr>
        <w:pStyle w:val="Author-eSectionHeading6Numberless"/>
      </w:pPr>
      <w:bookmarkStart w:id="1791" w:name="_Toc220491875"/>
      <w:r>
        <w:t>58.32.3a Mobilier de bureau fixe / Comptoir - Caissons CCTB 01.10</w:t>
      </w:r>
      <w:bookmarkEnd w:id="1791"/>
    </w:p>
    <w:p w14:paraId="4F885423" w14:textId="77777777" w:rsidR="004B2808" w:rsidRDefault="00000000">
      <w:pPr>
        <w:pStyle w:val="pheading"/>
      </w:pPr>
      <w:r>
        <w:t>MATÉRIAUX</w:t>
      </w:r>
    </w:p>
    <w:p w14:paraId="3C10B1C2" w14:textId="77777777" w:rsidR="004B2808" w:rsidRDefault="00000000">
      <w:pPr>
        <w:pStyle w:val="pheading"/>
      </w:pPr>
      <w:r>
        <w:t>- Prescriptions complémentaires</w:t>
      </w:r>
    </w:p>
    <w:p w14:paraId="678040A8" w14:textId="77777777" w:rsidR="004B2808" w:rsidRDefault="00000000">
      <w:r>
        <w:t>Le postforming des portes d'armoires est</w:t>
      </w:r>
      <w:r>
        <w:br/>
      </w:r>
      <w:r>
        <w:rPr>
          <w:b/>
        </w:rPr>
        <w:t>OPTION 1 (par défaut)</w:t>
      </w:r>
      <w:r>
        <w:t xml:space="preserve"> : horizontal sur</w:t>
      </w:r>
      <w:r>
        <w:rPr>
          <w:rStyle w:val="optioncarChar"/>
        </w:rPr>
        <w:t> 90°</w:t>
      </w:r>
      <w:r>
        <w:t xml:space="preserve"> (par défaut) </w:t>
      </w:r>
      <w:r>
        <w:rPr>
          <w:rStyle w:val="optioncarChar"/>
        </w:rPr>
        <w:t>/ 180° / ***</w:t>
      </w:r>
      <w:r>
        <w:t xml:space="preserve"> sur toute l'épaisseur . </w:t>
      </w:r>
      <w:r>
        <w:br/>
      </w:r>
      <w:r>
        <w:rPr>
          <w:b/>
        </w:rPr>
        <w:t>OPTION 2</w:t>
      </w:r>
      <w:r>
        <w:t xml:space="preserve"> : vertical sur 90° </w:t>
      </w:r>
      <w:r>
        <w:br/>
      </w:r>
      <w:r>
        <w:rPr>
          <w:b/>
        </w:rPr>
        <w:t>Choix opéré</w:t>
      </w:r>
      <w:r>
        <w:t xml:space="preserve"> : </w:t>
      </w:r>
      <w:r>
        <w:rPr>
          <w:rStyle w:val="optioncarChar"/>
        </w:rPr>
        <w:t>*** / OPTION 1 (horizontal) </w:t>
      </w:r>
      <w:r>
        <w:t>(par défaut)</w:t>
      </w:r>
      <w:r>
        <w:rPr>
          <w:rStyle w:val="optioncarChar"/>
        </w:rPr>
        <w:t xml:space="preserve"> / OPTION 2 (vertical)</w:t>
      </w:r>
    </w:p>
    <w:p w14:paraId="3E3D5D6D" w14:textId="77777777" w:rsidR="004B2808" w:rsidRDefault="00000000">
      <w:pPr>
        <w:pStyle w:val="pheading"/>
      </w:pPr>
      <w:r>
        <w:t>MESURAGE</w:t>
      </w:r>
    </w:p>
    <w:p w14:paraId="5335E3C1" w14:textId="77777777" w:rsidR="004B2808" w:rsidRDefault="00000000">
      <w:r>
        <w:t>Conformément à la nature du mobilier de bureau fixe prévu, les indications spécifiques dans le cahier spécial des charges et/ou le métré récapitulatif, le mesurage doit en principe être conçu comme suit :</w:t>
      </w:r>
    </w:p>
    <w:p w14:paraId="556F560D" w14:textId="77777777" w:rsidR="004B2808" w:rsidRDefault="00000000">
      <w:pPr>
        <w:pStyle w:val="pheading"/>
      </w:pPr>
      <w:r>
        <w:t>- unité de mesure:</w:t>
      </w:r>
    </w:p>
    <w:p w14:paraId="2B4522FD" w14:textId="77777777" w:rsidR="004B2808" w:rsidRDefault="00000000">
      <w:r>
        <w:t>p</w:t>
      </w:r>
    </w:p>
    <w:p w14:paraId="165C1DD4" w14:textId="77777777" w:rsidR="004B2808" w:rsidRDefault="00000000">
      <w:pPr>
        <w:pStyle w:val="pheading"/>
      </w:pPr>
      <w:r>
        <w:t>- code de mesurage:</w:t>
      </w:r>
    </w:p>
    <w:p w14:paraId="66F1004A" w14:textId="77777777" w:rsidR="004B2808" w:rsidRDefault="00000000">
      <w:r>
        <w:t xml:space="preserve">Selon le type </w:t>
      </w:r>
    </w:p>
    <w:p w14:paraId="46A51284" w14:textId="77777777" w:rsidR="004B2808" w:rsidRDefault="00000000">
      <w:pPr>
        <w:pStyle w:val="pheading"/>
      </w:pPr>
      <w:r>
        <w:t>- nature du marché:</w:t>
      </w:r>
    </w:p>
    <w:p w14:paraId="45C4208E" w14:textId="77777777" w:rsidR="004B2808" w:rsidRDefault="00000000">
      <w:r>
        <w:t>QF</w:t>
      </w:r>
    </w:p>
    <w:p w14:paraId="1021AFD2" w14:textId="77777777" w:rsidR="004B2808" w:rsidRDefault="00000000">
      <w:pPr>
        <w:pStyle w:val="Author-eSectionHeading4Numberless"/>
      </w:pPr>
      <w:bookmarkStart w:id="1792" w:name="_Toc220491876"/>
      <w:r>
        <w:t>58.33 Mobilier de bureau fixe / Comptoir - Plans de travail / Tablettes / Panneaux de finition CCTB 01.02</w:t>
      </w:r>
      <w:bookmarkEnd w:id="1792"/>
    </w:p>
    <w:p w14:paraId="7762C2A8" w14:textId="77777777" w:rsidR="004B2808" w:rsidRDefault="00000000">
      <w:pPr>
        <w:pStyle w:val="Author-eSectionHeading5Numberless"/>
      </w:pPr>
      <w:bookmarkStart w:id="1793" w:name="_Toc220491877"/>
      <w:r>
        <w:t>58.33.1 Mobilier de bureau fixe / Comptoir - Plans de travail CCTB 01.02</w:t>
      </w:r>
      <w:bookmarkEnd w:id="1793"/>
    </w:p>
    <w:p w14:paraId="22D2B027" w14:textId="77777777" w:rsidR="004B2808" w:rsidRDefault="00000000">
      <w:pPr>
        <w:pStyle w:val="Author-eSectionHeading6Numberless"/>
      </w:pPr>
      <w:bookmarkStart w:id="1794" w:name="_Toc220491878"/>
      <w:r>
        <w:t>58.33.1a Mobilier de bureau fixe / Comptoir - Plans de travail CCTB 01.02</w:t>
      </w:r>
      <w:bookmarkEnd w:id="1794"/>
    </w:p>
    <w:p w14:paraId="07BC8B3C" w14:textId="77777777" w:rsidR="004B2808" w:rsidRDefault="00000000">
      <w:pPr>
        <w:pStyle w:val="Author-eSectionHeading5Numberless"/>
      </w:pPr>
      <w:bookmarkStart w:id="1795" w:name="_Toc220491879"/>
      <w:r>
        <w:t>58.33.2 Mobilier de bureau fixe / Comptoir - Tablettes CCTB 01.02</w:t>
      </w:r>
      <w:bookmarkEnd w:id="1795"/>
    </w:p>
    <w:p w14:paraId="67361FB6" w14:textId="77777777" w:rsidR="004B2808" w:rsidRDefault="00000000">
      <w:pPr>
        <w:pStyle w:val="Author-eSectionHeading6Numberless"/>
      </w:pPr>
      <w:bookmarkStart w:id="1796" w:name="_Toc220491880"/>
      <w:r>
        <w:t>58.33.2a Mobilier de bureau fixe / Comptoir - Tablettes CCTB 01.02</w:t>
      </w:r>
      <w:bookmarkEnd w:id="1796"/>
    </w:p>
    <w:p w14:paraId="226B7BAF" w14:textId="77777777" w:rsidR="004B2808" w:rsidRDefault="00000000">
      <w:pPr>
        <w:pStyle w:val="Author-eSectionHeading5Numberless"/>
      </w:pPr>
      <w:bookmarkStart w:id="1797" w:name="_Toc220491881"/>
      <w:r>
        <w:t>58.33.3 Mobilier de bureau fixe / Comptoir - Panneaux de finition (façades, joues, plinthes) CCTB 01.02</w:t>
      </w:r>
      <w:bookmarkEnd w:id="1797"/>
    </w:p>
    <w:p w14:paraId="1074B800" w14:textId="77777777" w:rsidR="004B2808" w:rsidRDefault="00000000">
      <w:pPr>
        <w:pStyle w:val="Author-eSectionHeading6Numberless"/>
      </w:pPr>
      <w:bookmarkStart w:id="1798" w:name="_Toc220491882"/>
      <w:r>
        <w:lastRenderedPageBreak/>
        <w:t>58.33.3a Mobilier de bureau fixe / Comptoir - Panneaux de finition (façades, joues, plinthes) CCTB 01.02</w:t>
      </w:r>
      <w:bookmarkEnd w:id="1798"/>
    </w:p>
    <w:p w14:paraId="68C3A027" w14:textId="77777777" w:rsidR="004B2808" w:rsidRDefault="00000000">
      <w:pPr>
        <w:pStyle w:val="Author-eSectionHeading5Numberless"/>
      </w:pPr>
      <w:bookmarkStart w:id="1799" w:name="_Toc220491883"/>
      <w:r>
        <w:t>58.33.4 Mobilier de bureau fixe / Comptoir - Panneaux de séparation CCTB 01.02</w:t>
      </w:r>
      <w:bookmarkEnd w:id="1799"/>
    </w:p>
    <w:p w14:paraId="33E3F54D" w14:textId="77777777" w:rsidR="004B2808" w:rsidRDefault="00000000">
      <w:pPr>
        <w:pStyle w:val="Author-eSectionHeading6Numberless"/>
      </w:pPr>
      <w:bookmarkStart w:id="1800" w:name="_Toc220491884"/>
      <w:r>
        <w:t>58.33.4a Mobilier de bureau fixe / Comptoir - Panneaux de séparation CCTB 01.02</w:t>
      </w:r>
      <w:bookmarkEnd w:id="1800"/>
    </w:p>
    <w:p w14:paraId="4B464B7C" w14:textId="77777777" w:rsidR="004B2808" w:rsidRDefault="00000000">
      <w:pPr>
        <w:pStyle w:val="Author-eSectionHeading4Numberless"/>
      </w:pPr>
      <w:bookmarkStart w:id="1801" w:name="_Toc220491885"/>
      <w:r>
        <w:t>58.34 Mobilier de bureau fixe / Comptoir - Quincaillerie complémentaire CCTB 01.02</w:t>
      </w:r>
      <w:bookmarkEnd w:id="1801"/>
    </w:p>
    <w:p w14:paraId="62CABCF2" w14:textId="77777777" w:rsidR="004B2808" w:rsidRDefault="00000000">
      <w:pPr>
        <w:pStyle w:val="Author-eSectionHeading5Numberless"/>
      </w:pPr>
      <w:bookmarkStart w:id="1802" w:name="_Toc220491886"/>
      <w:r>
        <w:t>58.34.1 Mobilier de bureau fixe / Comptoir - Quincaillerie complémentaire - Poignées et tirants CCTB 01.02</w:t>
      </w:r>
      <w:bookmarkEnd w:id="1802"/>
    </w:p>
    <w:p w14:paraId="16BF7525" w14:textId="77777777" w:rsidR="004B2808" w:rsidRDefault="00000000">
      <w:pPr>
        <w:pStyle w:val="Author-eSectionHeading6Numberless"/>
      </w:pPr>
      <w:bookmarkStart w:id="1803" w:name="_Toc220491887"/>
      <w:r>
        <w:t>58.34.1a Mobilier de bureau fixe / Comptoir - Quincaillerie complémentaire - Poignées et tirants CCTB 01.02</w:t>
      </w:r>
      <w:bookmarkEnd w:id="1803"/>
    </w:p>
    <w:p w14:paraId="49FDCF21" w14:textId="77777777" w:rsidR="004B2808" w:rsidRDefault="00000000">
      <w:pPr>
        <w:pStyle w:val="Author-eSectionHeading5Numberless"/>
      </w:pPr>
      <w:bookmarkStart w:id="1804" w:name="_Toc220491888"/>
      <w:r>
        <w:t>58.34.2 Mobilier de bureau fixe / Comptoir - Quincaillerie complémentaire - Charnières CCTB 01.02</w:t>
      </w:r>
      <w:bookmarkEnd w:id="1804"/>
    </w:p>
    <w:p w14:paraId="28FFF1CB" w14:textId="77777777" w:rsidR="004B2808" w:rsidRDefault="00000000">
      <w:pPr>
        <w:pStyle w:val="Author-eSectionHeading6Numberless"/>
      </w:pPr>
      <w:bookmarkStart w:id="1805" w:name="_Toc220491889"/>
      <w:r>
        <w:t>58.34.2a Mobilier de bureau fixe / Comptoir - Quincaillerie complémentaire - Charnières CCTB 01.02</w:t>
      </w:r>
      <w:bookmarkEnd w:id="1805"/>
    </w:p>
    <w:p w14:paraId="7DEBB330" w14:textId="77777777" w:rsidR="004B2808" w:rsidRDefault="00000000">
      <w:pPr>
        <w:pStyle w:val="Author-eSectionHeading5Numberless"/>
      </w:pPr>
      <w:bookmarkStart w:id="1806" w:name="_Toc220491890"/>
      <w:r>
        <w:t>58.34.3 Mobilier de bureau fixe / Comptoir - Quincaillerie complémentaire - Rails et glissières CCTB 01.02</w:t>
      </w:r>
      <w:bookmarkEnd w:id="1806"/>
    </w:p>
    <w:p w14:paraId="56462C5A" w14:textId="77777777" w:rsidR="004B2808" w:rsidRDefault="00000000">
      <w:pPr>
        <w:pStyle w:val="Author-eSectionHeading6Numberless"/>
      </w:pPr>
      <w:bookmarkStart w:id="1807" w:name="_Toc220491891"/>
      <w:r>
        <w:t>58.34.3a Mobilier de bureau fixe / Comptoir - Quincaillerie complémentaire - Rails et glissières CCTB 01.02</w:t>
      </w:r>
      <w:bookmarkEnd w:id="1807"/>
    </w:p>
    <w:p w14:paraId="5D205288" w14:textId="77777777" w:rsidR="004B2808" w:rsidRDefault="00000000">
      <w:pPr>
        <w:pStyle w:val="Author-eSectionHeading4Numberless"/>
      </w:pPr>
      <w:bookmarkStart w:id="1808" w:name="_Toc220491892"/>
      <w:r>
        <w:t>58.35 Mobilier de bureau fixe / Comptoir - Accessoires CCTB 01.02</w:t>
      </w:r>
      <w:bookmarkEnd w:id="1808"/>
    </w:p>
    <w:p w14:paraId="3C0B2371" w14:textId="77777777" w:rsidR="004B2808" w:rsidRDefault="00000000">
      <w:pPr>
        <w:pStyle w:val="Author-eSectionHeading5Numberless"/>
      </w:pPr>
      <w:bookmarkStart w:id="1809" w:name="_Toc220491893"/>
      <w:r>
        <w:t>58.35.1 Mobilier de bureau fixe / Comptoir - Accessoires - Guichet CCTB 01.13</w:t>
      </w:r>
      <w:bookmarkEnd w:id="1809"/>
    </w:p>
    <w:p w14:paraId="125B7F71" w14:textId="77777777" w:rsidR="004B2808" w:rsidRDefault="00000000">
      <w:pPr>
        <w:pStyle w:val="pheading"/>
      </w:pPr>
      <w:r>
        <w:t>AIDE</w:t>
      </w:r>
    </w:p>
    <w:p w14:paraId="5B34E046" w14:textId="77777777" w:rsidR="004B2808" w:rsidRDefault="00000000">
      <w:r>
        <w:t>NOTE A L'AUTEUR DE PROJET</w:t>
      </w:r>
    </w:p>
    <w:p w14:paraId="168CCF8C" w14:textId="77777777" w:rsidR="004B2808" w:rsidRDefault="00000000">
      <w:r>
        <w:rPr>
          <w:b/>
        </w:rPr>
        <w:t>Accessibilité aux personnes à mobilité réduite (PMR)</w:t>
      </w:r>
    </w:p>
    <w:p w14:paraId="3302F9D6" w14:textId="77777777" w:rsidR="004B2808" w:rsidRDefault="00000000">
      <w:r>
        <w:rPr>
          <w:i/>
          <w:u w:val="single"/>
        </w:rPr>
        <w:t>Guichet :</w:t>
      </w:r>
      <w:r>
        <w:t> </w:t>
      </w:r>
    </w:p>
    <w:p w14:paraId="143767A1" w14:textId="77777777" w:rsidR="004B2808" w:rsidRDefault="00000000">
      <w:pPr>
        <w:pStyle w:val="Author-eListParagraph"/>
        <w:numPr>
          <w:ilvl w:val="0"/>
          <w:numId w:val="1622"/>
        </w:numPr>
      </w:pPr>
      <w:r>
        <w:t xml:space="preserve">Hauteur de la tablette :  </w:t>
      </w:r>
    </w:p>
    <w:p w14:paraId="2C8F39A5" w14:textId="77777777" w:rsidR="004B2808" w:rsidRDefault="00000000">
      <w:pPr>
        <w:pStyle w:val="Author-eListParagraph"/>
        <w:numPr>
          <w:ilvl w:val="1"/>
          <w:numId w:val="1623"/>
        </w:numPr>
      </w:pPr>
      <w:r>
        <w:t>Face inférieure : à 75 cm minimum au-dessus du niveau du sol</w:t>
      </w:r>
    </w:p>
    <w:p w14:paraId="0DA34496" w14:textId="77777777" w:rsidR="004B2808" w:rsidRDefault="00000000">
      <w:pPr>
        <w:pStyle w:val="Author-eListParagraph"/>
        <w:numPr>
          <w:ilvl w:val="1"/>
          <w:numId w:val="1623"/>
        </w:numPr>
      </w:pPr>
      <w:r>
        <w:t>Face supérieure : à 80 cm maximum au-dessus du niveau du sol</w:t>
      </w:r>
    </w:p>
    <w:p w14:paraId="4B8AF992" w14:textId="77777777" w:rsidR="004B2808" w:rsidRDefault="00000000">
      <w:pPr>
        <w:pStyle w:val="Author-eListParagraph"/>
        <w:numPr>
          <w:ilvl w:val="0"/>
          <w:numId w:val="1622"/>
        </w:numPr>
      </w:pPr>
      <w:r>
        <w:t>Largeur de la tablette : 100 cm minimum   [NBN ISO 21542]</w:t>
      </w:r>
    </w:p>
    <w:p w14:paraId="2D953008" w14:textId="77777777" w:rsidR="004B2808" w:rsidRDefault="00000000">
      <w:pPr>
        <w:pStyle w:val="Author-eListParagraph"/>
        <w:numPr>
          <w:ilvl w:val="0"/>
          <w:numId w:val="1622"/>
        </w:numPr>
      </w:pPr>
      <w:r>
        <w:t>Profondeur libre sous la tablette : 60 cm minimum</w:t>
      </w:r>
    </w:p>
    <w:p w14:paraId="4F605C27" w14:textId="77777777" w:rsidR="004B2808" w:rsidRDefault="00000000">
      <w:pPr>
        <w:pStyle w:val="Author-eSectionHeading6Numberless"/>
      </w:pPr>
      <w:bookmarkStart w:id="1810" w:name="_Toc220491894"/>
      <w:r>
        <w:t>58.35.1a Mobilier de bureau fixe / Comptoir - Accessoires - Guichet CCTB 01.10</w:t>
      </w:r>
      <w:bookmarkEnd w:id="1810"/>
    </w:p>
    <w:p w14:paraId="3EBC1551" w14:textId="77777777" w:rsidR="004B2808" w:rsidRDefault="00000000">
      <w:pPr>
        <w:pStyle w:val="pheading"/>
      </w:pPr>
      <w:r>
        <w:t>MATÉRIAUX</w:t>
      </w:r>
    </w:p>
    <w:p w14:paraId="508A9366" w14:textId="77777777" w:rsidR="004B2808" w:rsidRDefault="00000000">
      <w:pPr>
        <w:pStyle w:val="pheading"/>
      </w:pPr>
      <w:r>
        <w:t>- Caractéristiques générales</w:t>
      </w:r>
    </w:p>
    <w:p w14:paraId="6F459B20" w14:textId="77777777" w:rsidR="004B2808" w:rsidRDefault="00000000">
      <w:r>
        <w:rPr>
          <w:b/>
          <w:u w:val="single"/>
        </w:rPr>
        <w:t>Spécifications</w:t>
      </w:r>
    </w:p>
    <w:p w14:paraId="5C5D0A1E" w14:textId="77777777" w:rsidR="004B2808" w:rsidRDefault="00000000">
      <w:pPr>
        <w:pStyle w:val="Author-eListParagraph"/>
        <w:numPr>
          <w:ilvl w:val="0"/>
          <w:numId w:val="1624"/>
        </w:numPr>
      </w:pPr>
      <w:r>
        <w:t xml:space="preserve">Hauteur de la tablette : </w:t>
      </w:r>
    </w:p>
    <w:p w14:paraId="785A0586" w14:textId="77777777" w:rsidR="004B2808" w:rsidRDefault="00000000">
      <w:pPr>
        <w:pStyle w:val="Author-eListParagraph"/>
        <w:numPr>
          <w:ilvl w:val="1"/>
          <w:numId w:val="1625"/>
        </w:numPr>
      </w:pPr>
      <w:r>
        <w:t xml:space="preserve">Face inférieure : à </w:t>
      </w:r>
      <w:r>
        <w:rPr>
          <w:rStyle w:val="optioncarChar"/>
        </w:rPr>
        <w:t>minimum 75 (PMR) </w:t>
      </w:r>
      <w:r>
        <w:t>(par défaut)</w:t>
      </w:r>
      <w:r>
        <w:rPr>
          <w:rStyle w:val="optioncarChar"/>
        </w:rPr>
        <w:t> / ***</w:t>
      </w:r>
      <w:r>
        <w:t xml:space="preserve"> cm au-dessus du niveau du sol</w:t>
      </w:r>
    </w:p>
    <w:p w14:paraId="3092E3B6" w14:textId="77777777" w:rsidR="004B2808" w:rsidRDefault="00000000">
      <w:pPr>
        <w:pStyle w:val="Author-eListParagraph"/>
        <w:numPr>
          <w:ilvl w:val="1"/>
          <w:numId w:val="1625"/>
        </w:numPr>
      </w:pPr>
      <w:r>
        <w:lastRenderedPageBreak/>
        <w:t xml:space="preserve">Face supérieure : à </w:t>
      </w:r>
      <w:r>
        <w:rPr>
          <w:rStyle w:val="optioncarChar"/>
        </w:rPr>
        <w:t>maximum 80 (PMR)</w:t>
      </w:r>
      <w:r>
        <w:t> (par défaut) / </w:t>
      </w:r>
      <w:r>
        <w:rPr>
          <w:rStyle w:val="optioncarChar"/>
        </w:rPr>
        <w:t>***</w:t>
      </w:r>
      <w:r>
        <w:t xml:space="preserve"> cm au-dessus du niveau du sol</w:t>
      </w:r>
    </w:p>
    <w:p w14:paraId="0E3684AD" w14:textId="77777777" w:rsidR="004B2808" w:rsidRDefault="00000000">
      <w:pPr>
        <w:pStyle w:val="Author-eListParagraph"/>
        <w:numPr>
          <w:ilvl w:val="0"/>
          <w:numId w:val="1624"/>
        </w:numPr>
      </w:pPr>
      <w:r>
        <w:t>Largeur de la tablette : </w:t>
      </w:r>
      <w:r>
        <w:rPr>
          <w:rStyle w:val="optioncarChar"/>
        </w:rPr>
        <w:t>minimum 100 (PMR)</w:t>
      </w:r>
      <w:r>
        <w:t>(par défaut) / </w:t>
      </w:r>
      <w:r>
        <w:rPr>
          <w:rStyle w:val="optioncarChar"/>
        </w:rPr>
        <w:t>*** </w:t>
      </w:r>
      <w:r>
        <w:t>cm</w:t>
      </w:r>
    </w:p>
    <w:p w14:paraId="5C8CA63B" w14:textId="77777777" w:rsidR="004B2808" w:rsidRDefault="00000000">
      <w:pPr>
        <w:pStyle w:val="Author-eListParagraph"/>
        <w:numPr>
          <w:ilvl w:val="0"/>
          <w:numId w:val="1624"/>
        </w:numPr>
      </w:pPr>
      <w:r>
        <w:t xml:space="preserve">Profondeur libre sous la tablette : </w:t>
      </w:r>
      <w:r>
        <w:rPr>
          <w:rStyle w:val="optioncarChar"/>
        </w:rPr>
        <w:t>minimum 60 (PMR)</w:t>
      </w:r>
      <w:r>
        <w:t>(par défaut) / </w:t>
      </w:r>
      <w:r>
        <w:rPr>
          <w:rStyle w:val="optioncarChar"/>
        </w:rPr>
        <w:t>*** </w:t>
      </w:r>
      <w:r>
        <w:t>cm</w:t>
      </w:r>
    </w:p>
    <w:p w14:paraId="1AD206EB" w14:textId="77777777" w:rsidR="004B2808" w:rsidRDefault="00000000">
      <w:pPr>
        <w:pStyle w:val="pheading"/>
      </w:pPr>
      <w:r>
        <w:t>MESURAGE</w:t>
      </w:r>
    </w:p>
    <w:p w14:paraId="066024EA" w14:textId="77777777" w:rsidR="004B2808" w:rsidRDefault="00000000">
      <w:r>
        <w:t>Conformément à la nature du mobilier de bureau fixe prévu, les indications spécifiques dans le cahier spécial des charges et/ou le métré récapitulatif, le mesurage doit en principe être conçu comme suit :</w:t>
      </w:r>
    </w:p>
    <w:p w14:paraId="3174D9AF" w14:textId="77777777" w:rsidR="004B2808" w:rsidRDefault="00000000">
      <w:pPr>
        <w:pStyle w:val="pheading"/>
      </w:pPr>
      <w:r>
        <w:t>- unité de mesure:</w:t>
      </w:r>
    </w:p>
    <w:p w14:paraId="6ACFDCA6" w14:textId="77777777" w:rsidR="004B2808" w:rsidRDefault="00000000">
      <w:r>
        <w:t>p</w:t>
      </w:r>
    </w:p>
    <w:p w14:paraId="4350B07C" w14:textId="77777777" w:rsidR="004B2808" w:rsidRDefault="00000000">
      <w:pPr>
        <w:pStyle w:val="pheading"/>
      </w:pPr>
      <w:r>
        <w:t>- code de mesurage:</w:t>
      </w:r>
    </w:p>
    <w:p w14:paraId="098F5958" w14:textId="77777777" w:rsidR="004B2808" w:rsidRDefault="00000000">
      <w:r>
        <w:t xml:space="preserve">Selon le type </w:t>
      </w:r>
    </w:p>
    <w:p w14:paraId="5B6345B5" w14:textId="77777777" w:rsidR="004B2808" w:rsidRDefault="00000000">
      <w:pPr>
        <w:pStyle w:val="pheading"/>
      </w:pPr>
      <w:r>
        <w:t>- nature du marché:</w:t>
      </w:r>
    </w:p>
    <w:p w14:paraId="0A760833" w14:textId="77777777" w:rsidR="004B2808" w:rsidRDefault="00000000">
      <w:r>
        <w:t>QF</w:t>
      </w:r>
    </w:p>
    <w:p w14:paraId="6D253F07" w14:textId="77777777" w:rsidR="004B2808" w:rsidRDefault="00000000">
      <w:pPr>
        <w:pStyle w:val="Author-eSectionHeading3Numberless"/>
      </w:pPr>
      <w:bookmarkStart w:id="1811" w:name="_Toc220491895"/>
      <w:r>
        <w:t>58.4 Armoires encastrées CCTB 01.10</w:t>
      </w:r>
      <w:bookmarkEnd w:id="1811"/>
    </w:p>
    <w:p w14:paraId="48EFD9B7" w14:textId="77777777" w:rsidR="004B2808" w:rsidRDefault="00000000">
      <w:pPr>
        <w:pStyle w:val="pheading"/>
      </w:pPr>
      <w:r>
        <w:t>DESCRIPTION</w:t>
      </w:r>
    </w:p>
    <w:p w14:paraId="34802A28" w14:textId="77777777" w:rsidR="004B2808" w:rsidRDefault="00000000">
      <w:pPr>
        <w:pStyle w:val="pheading"/>
      </w:pPr>
      <w:r>
        <w:t>- Définition / Comprend</w:t>
      </w:r>
    </w:p>
    <w:p w14:paraId="33DE10DB" w14:textId="77777777" w:rsidR="004B2808" w:rsidRDefault="00000000">
      <w:r>
        <w:t>Cette rubrique comprend tous les éléments, travaux et fournitures, pour la réalisation des armoires encastrées (vestiaire, armoire compteur, …) reprises sur les plans de détail et décrites dans le cahier spécial des charges, selon le type, la nature et/ou la composition. Conformément aux dispositions générales et/ou spécifiques du cahier spécial des charges, les prix unitaires compris dans ces postes doivent toujours comprendre, soit selon la ventilation dans le métré récapitulatif, soit dans leur totalité :</w:t>
      </w:r>
    </w:p>
    <w:p w14:paraId="6939709B" w14:textId="77777777" w:rsidR="004B2808" w:rsidRDefault="00000000">
      <w:pPr>
        <w:pStyle w:val="Author-eListParagraph"/>
        <w:numPr>
          <w:ilvl w:val="0"/>
          <w:numId w:val="1626"/>
        </w:numPr>
      </w:pPr>
      <w:r>
        <w:t>le contrôle et le relevé sur place de toutes les dimensions et l'éventuelle adaptation des éléments à préfabriquer aux dimensions réelles, l'établissement des dessins d'exécution nécessaires;</w:t>
      </w:r>
    </w:p>
    <w:p w14:paraId="5BA1DC59" w14:textId="77777777" w:rsidR="004B2808" w:rsidRDefault="00000000">
      <w:pPr>
        <w:pStyle w:val="Author-eListParagraph"/>
        <w:numPr>
          <w:ilvl w:val="0"/>
          <w:numId w:val="1626"/>
        </w:numPr>
      </w:pPr>
      <w:r>
        <w:t xml:space="preserve">la fabrication en atelier, la fourniture, l'entreposage, la pose et le réglage de tous les éléments nécessaires à la composition des armoires : </w:t>
      </w:r>
    </w:p>
    <w:p w14:paraId="6B8F2DB4" w14:textId="77777777" w:rsidR="004B2808" w:rsidRDefault="00000000">
      <w:pPr>
        <w:pStyle w:val="Author-eListParagraph"/>
        <w:numPr>
          <w:ilvl w:val="1"/>
          <w:numId w:val="1627"/>
        </w:numPr>
      </w:pPr>
      <w:r>
        <w:t>la structure des armoires, les portes d'armoires, les tablettes, les couvre-joints , ...</w:t>
      </w:r>
    </w:p>
    <w:p w14:paraId="6ED93764" w14:textId="77777777" w:rsidR="004B2808" w:rsidRDefault="00000000">
      <w:pPr>
        <w:pStyle w:val="Author-eListParagraph"/>
        <w:numPr>
          <w:ilvl w:val="1"/>
          <w:numId w:val="1627"/>
        </w:numPr>
      </w:pPr>
      <w:r>
        <w:t>toute la quincaillerie, les accessoires, les systèmes d'équilibrage, les coulisses, poignées, …</w:t>
      </w:r>
    </w:p>
    <w:p w14:paraId="1E2EF1D7" w14:textId="77777777" w:rsidR="004B2808" w:rsidRDefault="00000000">
      <w:pPr>
        <w:pStyle w:val="Author-eListParagraph"/>
        <w:numPr>
          <w:ilvl w:val="0"/>
          <w:numId w:val="1626"/>
        </w:numPr>
      </w:pPr>
      <w:r>
        <w:t>la finition y compris tous les remplissages de joints, l'enlèvement des étiquettes, le nettoyage, …</w:t>
      </w:r>
    </w:p>
    <w:p w14:paraId="0A0077FC" w14:textId="77777777" w:rsidR="004B2808" w:rsidRDefault="00000000">
      <w:pPr>
        <w:pStyle w:val="pheading"/>
      </w:pPr>
      <w:r>
        <w:t>MATÉRIAUX</w:t>
      </w:r>
    </w:p>
    <w:p w14:paraId="4F07BED6" w14:textId="77777777" w:rsidR="004B2808" w:rsidRDefault="00000000">
      <w:r>
        <w:t>Le mobilier à encastrer doit satisfaire à la composition prescrite des différents éléments, selon les plans de détails annexés par type, en ce qui concerne : la subdivision, les dimensions, la finition et les matériaux.  Sur la base de conditions stipulées dans le cahier spécial des charges, l'entrepreneur est libre de proposer un type de mobilier standard de leur propre fabrication. A cet effet, il joint à sa soumission une documentation complète reprenant l'indication des différents éléments, les matériaux, les finitions, etc.</w:t>
      </w:r>
    </w:p>
    <w:p w14:paraId="7730EBBC" w14:textId="77777777" w:rsidR="004B2808" w:rsidRDefault="00000000">
      <w:pPr>
        <w:pStyle w:val="pheading"/>
      </w:pPr>
      <w:r>
        <w:t>EXÉCUTION / MISE EN ŒUVRE</w:t>
      </w:r>
    </w:p>
    <w:p w14:paraId="2AD07CE4" w14:textId="77777777" w:rsidR="004B2808" w:rsidRDefault="00000000">
      <w:r>
        <w:t>Le mobilier est posé de manière à former un ensemble indéformable et à éviter le déplacement accidentel des armoires. Les armoires se raccordent soigneusement aux constructions attenantes. Les éléments sont posés de niveau et assemblés à l'aide de tiges filetées, les têtes étant recouvertes de capuchons en PVC.</w:t>
      </w:r>
      <w:r>
        <w:br/>
        <w:t>Les socles des armoires sont adaptés aux irrégularités dans le revêtement de sol.</w:t>
      </w:r>
      <w:r>
        <w:br/>
        <w:t xml:space="preserve">Les éléments suspendus sont solidement et invisiblement fixés au mur au moyen d'un dispositif de </w:t>
      </w:r>
      <w:r>
        <w:lastRenderedPageBreak/>
        <w:t>suspension réglable.</w:t>
      </w:r>
      <w:r>
        <w:br/>
        <w:t>Les faces des armoires non encastrées qui restent apparentes doivent recevoir la même finition que la façade des armoires.</w:t>
      </w:r>
      <w:r>
        <w:br/>
        <w:t>Les joints entre le mur et les armoires ainsi qu'entre le socle et le revêtement de sol sont colmatés au mastic élastique à base de silicones sanitaires non acides et fongicides conformément aux [STS 56] (</w:t>
      </w:r>
      <w:r>
        <w:rPr>
          <w:rStyle w:val="optioncarChar"/>
        </w:rPr>
        <w:t>blanc </w:t>
      </w:r>
      <w:r>
        <w:t>(par défaut)</w:t>
      </w:r>
      <w:r>
        <w:rPr>
          <w:rStyle w:val="optioncarChar"/>
        </w:rPr>
        <w:t xml:space="preserve"> / couleur à déterminer par l'auteur de projet / *** </w:t>
      </w:r>
      <w:r>
        <w:t>).</w:t>
      </w:r>
      <w:r>
        <w:br/>
        <w:t>Après la finition, les armoires et les tablettes sont débarrassées des étiquettes et entièrement nettoyées.</w:t>
      </w:r>
    </w:p>
    <w:p w14:paraId="1B53F865" w14:textId="77777777" w:rsidR="004B2808" w:rsidRDefault="00000000">
      <w:pPr>
        <w:pStyle w:val="Author-eSectionHeading4Numberless"/>
      </w:pPr>
      <w:bookmarkStart w:id="1812" w:name="_Toc220491896"/>
      <w:r>
        <w:t>58.41 Armoires encastrées - Structure et planches CCTB 01.11</w:t>
      </w:r>
      <w:bookmarkEnd w:id="1812"/>
    </w:p>
    <w:p w14:paraId="7F6CEBB1" w14:textId="77777777" w:rsidR="004B2808" w:rsidRDefault="00000000">
      <w:pPr>
        <w:pStyle w:val="pheading"/>
      </w:pPr>
      <w:r>
        <w:t>MATÉRIAUX</w:t>
      </w:r>
    </w:p>
    <w:p w14:paraId="109ADD90" w14:textId="77777777" w:rsidR="004B2808" w:rsidRDefault="00000000">
      <w:pPr>
        <w:pStyle w:val="heading"/>
      </w:pPr>
      <w:r>
        <w:t>Spécifications</w:t>
      </w:r>
    </w:p>
    <w:p w14:paraId="2032A552" w14:textId="77777777" w:rsidR="004B2808" w:rsidRDefault="00000000">
      <w:pPr>
        <w:pStyle w:val="Author-eListParagraph"/>
        <w:numPr>
          <w:ilvl w:val="0"/>
          <w:numId w:val="1628"/>
        </w:numPr>
      </w:pPr>
      <w:r>
        <w:t xml:space="preserve">Matériau : </w:t>
      </w:r>
      <w:r>
        <w:rPr>
          <w:rStyle w:val="optioncarChar"/>
        </w:rPr>
        <w:t>MDF </w:t>
      </w:r>
      <w:r>
        <w:t>(par défaut)</w:t>
      </w:r>
      <w:r>
        <w:rPr>
          <w:rStyle w:val="optioncarChar"/>
        </w:rPr>
        <w:t xml:space="preserve"> / contreplaqué / panneaux de bois agglomérés revêtus / *** </w:t>
      </w:r>
      <w:r>
        <w:t xml:space="preserve">densité : </w:t>
      </w:r>
      <w:r>
        <w:rPr>
          <w:rStyle w:val="optioncarChar"/>
        </w:rPr>
        <w:t>650 (</w:t>
      </w:r>
      <w:r>
        <w:t>par défaut)</w:t>
      </w:r>
      <w:r>
        <w:rPr>
          <w:rStyle w:val="optioncarChar"/>
        </w:rPr>
        <w:t xml:space="preserve"> / 700 / *** </w:t>
      </w:r>
      <w:r>
        <w:t xml:space="preserve">kg/m³ et classe formaldéhyde </w:t>
      </w:r>
      <w:r>
        <w:rPr>
          <w:rStyle w:val="optioncarChar"/>
        </w:rPr>
        <w:t>1</w:t>
      </w:r>
      <w:r>
        <w:t> (par défaut) </w:t>
      </w:r>
      <w:r>
        <w:rPr>
          <w:rStyle w:val="optioncarChar"/>
        </w:rPr>
        <w:t>/ ***</w:t>
      </w:r>
      <w:r>
        <w:t xml:space="preserve"> .</w:t>
      </w:r>
    </w:p>
    <w:p w14:paraId="51FD039E" w14:textId="77777777" w:rsidR="004B2808" w:rsidRDefault="00000000">
      <w:pPr>
        <w:pStyle w:val="Author-eListParagraph"/>
        <w:numPr>
          <w:ilvl w:val="0"/>
          <w:numId w:val="1628"/>
        </w:numPr>
      </w:pPr>
      <w:r>
        <w:t xml:space="preserve">Epaisseur des plaques : </w:t>
      </w:r>
      <w:r>
        <w:rPr>
          <w:rStyle w:val="optioncarChar"/>
        </w:rPr>
        <w:t>16 </w:t>
      </w:r>
      <w:r>
        <w:t>(par défaut)</w:t>
      </w:r>
      <w:r>
        <w:rPr>
          <w:rStyle w:val="optioncarChar"/>
        </w:rPr>
        <w:t xml:space="preserve"> / 18 / ***</w:t>
      </w:r>
      <w:r>
        <w:t xml:space="preserve"> mm</w:t>
      </w:r>
    </w:p>
    <w:p w14:paraId="7280B384" w14:textId="77777777" w:rsidR="004B2808" w:rsidRDefault="00000000">
      <w:pPr>
        <w:pStyle w:val="Author-eListParagraph"/>
        <w:numPr>
          <w:ilvl w:val="0"/>
          <w:numId w:val="1628"/>
        </w:numPr>
      </w:pPr>
      <w:r>
        <w:t xml:space="preserve">Coloris : </w:t>
      </w:r>
      <w:r>
        <w:rPr>
          <w:rStyle w:val="optioncarChar"/>
        </w:rPr>
        <w:t>blanc</w:t>
      </w:r>
      <w:r>
        <w:t xml:space="preserve"> (par défaut) </w:t>
      </w:r>
      <w:r>
        <w:rPr>
          <w:rStyle w:val="optioncarChar"/>
        </w:rPr>
        <w:t>/ à choisir dans la gamme de couleurs standard du fabricant</w:t>
      </w:r>
      <w:r>
        <w:t> </w:t>
      </w:r>
    </w:p>
    <w:p w14:paraId="4E73B71A" w14:textId="77777777" w:rsidR="004B2808" w:rsidRDefault="00000000">
      <w:pPr>
        <w:pStyle w:val="Author-eListParagraph"/>
        <w:numPr>
          <w:ilvl w:val="0"/>
          <w:numId w:val="1628"/>
        </w:numPr>
      </w:pPr>
      <w:r>
        <w:t>Revêtement des deux faces :</w:t>
      </w:r>
    </w:p>
    <w:p w14:paraId="48444CDE" w14:textId="77777777" w:rsidR="004B2808" w:rsidRDefault="00000000">
      <w:pPr>
        <w:ind w:left="454"/>
      </w:pPr>
      <w:r>
        <w:rPr>
          <w:b/>
        </w:rPr>
        <w:t xml:space="preserve">Choix opéré </w:t>
      </w:r>
      <w:r>
        <w:t xml:space="preserve">: </w:t>
      </w:r>
      <w:r>
        <w:rPr>
          <w:rStyle w:val="optioncarChar"/>
        </w:rPr>
        <w:t>*** / OPTION 1 (par défaut) / OPTION 2 / OPTION 3</w:t>
      </w:r>
      <w:r>
        <w:br/>
      </w:r>
      <w:r>
        <w:rPr>
          <w:b/>
        </w:rPr>
        <w:t>OPTION 1 (par défaut)</w:t>
      </w:r>
      <w:r>
        <w:t xml:space="preserve"> : mélaminé. Chants : feuille de matière synthétique, épaisseur min. 0,2 mm . Option : la plaque répondra aux critères d'acceptabilité tels que définis dans l'article 02.42.1 Critères d'acceptabilité</w:t>
      </w:r>
      <w:r>
        <w:br/>
      </w:r>
      <w:r>
        <w:rPr>
          <w:b/>
        </w:rPr>
        <w:t>OPTION 2</w:t>
      </w:r>
      <w:r>
        <w:t xml:space="preserve"> : panneaux stratifiés haute pression, classe HPL-EN 438 VLS ou S 121, épaisseur minimale : </w:t>
      </w:r>
      <w:r>
        <w:rPr>
          <w:rStyle w:val="optioncarChar"/>
        </w:rPr>
        <w:t>0,7</w:t>
      </w:r>
      <w:r>
        <w:t> (par défaut)</w:t>
      </w:r>
      <w:r>
        <w:rPr>
          <w:rStyle w:val="optioncarChar"/>
        </w:rPr>
        <w:t> / ***</w:t>
      </w:r>
      <w:r>
        <w:t xml:space="preserve"> mm. Chants : bandes de </w:t>
      </w:r>
      <w:r>
        <w:rPr>
          <w:rStyle w:val="optioncarChar"/>
        </w:rPr>
        <w:t>stratifié haute pression </w:t>
      </w:r>
      <w:r>
        <w:t xml:space="preserve">(par défaut) </w:t>
      </w:r>
      <w:r>
        <w:rPr>
          <w:rStyle w:val="optioncarChar"/>
        </w:rPr>
        <w:t>/ feuille en matière synthétique d'au moins 0,2 mm d'épaisseur / ***</w:t>
      </w:r>
      <w:r>
        <w:t xml:space="preserve">. </w:t>
      </w:r>
      <w:r>
        <w:br/>
      </w:r>
      <w:r>
        <w:rPr>
          <w:b/>
        </w:rPr>
        <w:t xml:space="preserve">OPTION 3 </w:t>
      </w:r>
      <w:r>
        <w:t xml:space="preserve">: panneaux stratifiés haute pression, classe HPL-EN 438 HGS ou S 333, épaisseur minimale : </w:t>
      </w:r>
      <w:r>
        <w:rPr>
          <w:rStyle w:val="optioncarChar"/>
        </w:rPr>
        <w:t>0,7 </w:t>
      </w:r>
      <w:r>
        <w:t>(par défaut)</w:t>
      </w:r>
      <w:r>
        <w:rPr>
          <w:rStyle w:val="optioncarChar"/>
        </w:rPr>
        <w:t> / ***</w:t>
      </w:r>
      <w:r>
        <w:t xml:space="preserve"> mm. Les chants des tablettes seront revêtus de stratifié haute pression. Chants : </w:t>
      </w:r>
      <w:r>
        <w:rPr>
          <w:rStyle w:val="optioncarChar"/>
        </w:rPr>
        <w:t>stratifié haute pression </w:t>
      </w:r>
      <w:r>
        <w:t>(par défaut)</w:t>
      </w:r>
      <w:r>
        <w:rPr>
          <w:rStyle w:val="optioncarChar"/>
        </w:rPr>
        <w:t xml:space="preserve"> / listel acrylique d'au moins 2 mm d'épaisseur / ***</w:t>
      </w:r>
      <w:r>
        <w:t>.</w:t>
      </w:r>
    </w:p>
    <w:p w14:paraId="7F45B41D" w14:textId="77777777" w:rsidR="004B2808" w:rsidRDefault="00000000">
      <w:pPr>
        <w:pStyle w:val="Author-eListParagraph"/>
        <w:numPr>
          <w:ilvl w:val="0"/>
          <w:numId w:val="1629"/>
        </w:numPr>
      </w:pPr>
      <w:r>
        <w:t>Epaisseur des plaques : </w:t>
      </w:r>
      <w:r>
        <w:rPr>
          <w:rStyle w:val="optioncarChar"/>
        </w:rPr>
        <w:t>18 </w:t>
      </w:r>
      <w:r>
        <w:t>(par défaut)</w:t>
      </w:r>
      <w:r>
        <w:rPr>
          <w:rStyle w:val="optioncarChar"/>
        </w:rPr>
        <w:t> / *** </w:t>
      </w:r>
      <w:r>
        <w:t>mm.</w:t>
      </w:r>
    </w:p>
    <w:p w14:paraId="301BCA13" w14:textId="77777777" w:rsidR="004B2808" w:rsidRDefault="00000000">
      <w:pPr>
        <w:pStyle w:val="Author-eListParagraph"/>
        <w:numPr>
          <w:ilvl w:val="0"/>
          <w:numId w:val="1629"/>
        </w:numPr>
      </w:pPr>
      <w:r>
        <w:t xml:space="preserve">Coloris : </w:t>
      </w:r>
      <w:r>
        <w:rPr>
          <w:rStyle w:val="optioncarChar"/>
        </w:rPr>
        <w:t>blanc </w:t>
      </w:r>
      <w:r>
        <w:t>(par défaut)</w:t>
      </w:r>
      <w:r>
        <w:rPr>
          <w:rStyle w:val="optioncarChar"/>
        </w:rPr>
        <w:t xml:space="preserve"> / à choisir dans la gamme de couleurs standard du fabricant / ***</w:t>
      </w:r>
      <w:r>
        <w:t>.</w:t>
      </w:r>
    </w:p>
    <w:p w14:paraId="35241963" w14:textId="77777777" w:rsidR="004B2808" w:rsidRDefault="00000000">
      <w:pPr>
        <w:pStyle w:val="Author-eListParagraph"/>
        <w:numPr>
          <w:ilvl w:val="0"/>
          <w:numId w:val="1629"/>
        </w:numPr>
      </w:pPr>
      <w:r>
        <w:t xml:space="preserve">Dos des armoires : </w:t>
      </w:r>
      <w:r>
        <w:rPr>
          <w:rStyle w:val="optioncarChar"/>
        </w:rPr>
        <w:t>même matériau que la structure des armoires, épaisseur 10 mm (par défaut) / panneaux agglomérés haute pression, épaisseur  3 à 5 mm / ***</w:t>
      </w:r>
      <w:r>
        <w:t xml:space="preserve"> .</w:t>
      </w:r>
      <w:r>
        <w:rPr>
          <w:rStyle w:val="optioncarChar"/>
        </w:rPr>
        <w:t>  </w:t>
      </w:r>
      <w:r>
        <w:t xml:space="preserve">Coloris : </w:t>
      </w:r>
      <w:r>
        <w:rPr>
          <w:rStyle w:val="optioncarChar"/>
        </w:rPr>
        <w:t>laqué blanc</w:t>
      </w:r>
      <w:r>
        <w:t> (par défaut)</w:t>
      </w:r>
      <w:r>
        <w:rPr>
          <w:rStyle w:val="optioncarChar"/>
        </w:rPr>
        <w:t xml:space="preserve"> / revêtement en matière synthétique blanche / ***</w:t>
      </w:r>
      <w:r>
        <w:t>.</w:t>
      </w:r>
    </w:p>
    <w:p w14:paraId="44EEC6AD" w14:textId="77777777" w:rsidR="004B2808" w:rsidRDefault="00000000">
      <w:pPr>
        <w:pStyle w:val="Author-eListParagraph"/>
        <w:numPr>
          <w:ilvl w:val="0"/>
          <w:numId w:val="1629"/>
        </w:numPr>
      </w:pPr>
      <w:r>
        <w:t xml:space="preserve">Plinthe </w:t>
      </w:r>
      <w:r>
        <w:rPr>
          <w:rStyle w:val="optioncarChar"/>
        </w:rPr>
        <w:t>: plaque d'aggloméré hydrofuge </w:t>
      </w:r>
      <w:r>
        <w:t>(par défaut)</w:t>
      </w:r>
      <w:r>
        <w:rPr>
          <w:rStyle w:val="optioncarChar"/>
        </w:rPr>
        <w:t xml:space="preserve"> / plaque de contreplaqué hydrofuge / ***  </w:t>
      </w:r>
      <w:r>
        <w:t xml:space="preserve">. </w:t>
      </w:r>
    </w:p>
    <w:p w14:paraId="1748C147" w14:textId="77777777" w:rsidR="004B2808" w:rsidRDefault="00000000">
      <w:pPr>
        <w:pStyle w:val="Author-eListParagraph"/>
        <w:numPr>
          <w:ilvl w:val="1"/>
          <w:numId w:val="1630"/>
        </w:numPr>
      </w:pPr>
      <w:r>
        <w:t xml:space="preserve">Epaisseur : </w:t>
      </w:r>
      <w:r>
        <w:rPr>
          <w:rStyle w:val="optioncarChar"/>
        </w:rPr>
        <w:t>16 </w:t>
      </w:r>
      <w:r>
        <w:t>(par défaut)</w:t>
      </w:r>
      <w:r>
        <w:rPr>
          <w:rStyle w:val="optioncarChar"/>
        </w:rPr>
        <w:t xml:space="preserve"> / 18 / *** </w:t>
      </w:r>
      <w:r>
        <w:t xml:space="preserve">mm, hauteur </w:t>
      </w:r>
      <w:r>
        <w:rPr>
          <w:rStyle w:val="optioncarChar"/>
        </w:rPr>
        <w:t>10 </w:t>
      </w:r>
      <w:r>
        <w:t>(par défaut)</w:t>
      </w:r>
      <w:r>
        <w:rPr>
          <w:rStyle w:val="optioncarChar"/>
        </w:rPr>
        <w:t> / *** </w:t>
      </w:r>
      <w:r>
        <w:t xml:space="preserve"> cm.</w:t>
      </w:r>
    </w:p>
    <w:p w14:paraId="5D2B7FE2" w14:textId="77777777" w:rsidR="004B2808" w:rsidRDefault="00000000">
      <w:pPr>
        <w:pStyle w:val="Author-eListParagraph"/>
        <w:numPr>
          <w:ilvl w:val="1"/>
          <w:numId w:val="1630"/>
        </w:numPr>
      </w:pPr>
      <w:r>
        <w:t xml:space="preserve">Revêtement : </w:t>
      </w:r>
      <w:r>
        <w:rPr>
          <w:rStyle w:val="optioncarChar"/>
        </w:rPr>
        <w:t>panneaux stratifiés haute pression</w:t>
      </w:r>
      <w:r>
        <w:t> (par défaut)</w:t>
      </w:r>
      <w:r>
        <w:rPr>
          <w:rStyle w:val="optioncarChar"/>
        </w:rPr>
        <w:t xml:space="preserve"> / mélamine / *** </w:t>
      </w:r>
      <w:r>
        <w:t>.</w:t>
      </w:r>
    </w:p>
    <w:p w14:paraId="68D5D8B1" w14:textId="77777777" w:rsidR="004B2808" w:rsidRDefault="00000000">
      <w:pPr>
        <w:pStyle w:val="Author-eListParagraph"/>
        <w:numPr>
          <w:ilvl w:val="1"/>
          <w:numId w:val="1630"/>
        </w:numPr>
      </w:pPr>
      <w:r>
        <w:t>Coloris :</w:t>
      </w:r>
      <w:r>
        <w:rPr>
          <w:rStyle w:val="optioncarChar"/>
        </w:rPr>
        <w:t xml:space="preserve"> blanc </w:t>
      </w:r>
      <w:r>
        <w:t>(par défaut) </w:t>
      </w:r>
      <w:r>
        <w:rPr>
          <w:rStyle w:val="optioncarChar"/>
        </w:rPr>
        <w:t>/ à choisir dans la gamme de couleurs standard du fabricant / *** </w:t>
      </w:r>
      <w:r>
        <w:t>.</w:t>
      </w:r>
    </w:p>
    <w:p w14:paraId="6EE6E51A" w14:textId="77777777" w:rsidR="004B2808" w:rsidRDefault="00000000">
      <w:pPr>
        <w:pStyle w:val="Author-eListParagraph"/>
        <w:numPr>
          <w:ilvl w:val="1"/>
          <w:numId w:val="1630"/>
        </w:numPr>
      </w:pPr>
      <w:r>
        <w:t xml:space="preserve">Retrait : </w:t>
      </w:r>
      <w:r>
        <w:rPr>
          <w:rStyle w:val="optioncarChar"/>
        </w:rPr>
        <w:t>5 </w:t>
      </w:r>
      <w:r>
        <w:t>(par défaut)</w:t>
      </w:r>
      <w:r>
        <w:rPr>
          <w:rStyle w:val="optioncarChar"/>
        </w:rPr>
        <w:t> / ***</w:t>
      </w:r>
      <w:r>
        <w:t xml:space="preserve"> cm</w:t>
      </w:r>
    </w:p>
    <w:p w14:paraId="2AEFF861" w14:textId="77777777" w:rsidR="004B2808" w:rsidRDefault="00000000">
      <w:pPr>
        <w:pStyle w:val="Author-eSectionHeading5Numberless"/>
      </w:pPr>
      <w:bookmarkStart w:id="1813" w:name="_Toc220491897"/>
      <w:r>
        <w:t>58.41.1 Armoires encastrées - Structure et planches - Eléments blocs CCTB 01.02</w:t>
      </w:r>
      <w:bookmarkEnd w:id="1813"/>
    </w:p>
    <w:p w14:paraId="5318644C" w14:textId="77777777" w:rsidR="004B2808" w:rsidRDefault="00000000">
      <w:pPr>
        <w:pStyle w:val="Author-eSectionHeading6Numberless"/>
      </w:pPr>
      <w:bookmarkStart w:id="1814" w:name="_Toc220491898"/>
      <w:r>
        <w:t>58.41.1a Armoires encastrées - Structure et planches - Eléments blocs CCTB 01.10</w:t>
      </w:r>
      <w:bookmarkEnd w:id="1814"/>
    </w:p>
    <w:p w14:paraId="69CCA740" w14:textId="77777777" w:rsidR="004B2808" w:rsidRDefault="00000000">
      <w:pPr>
        <w:pStyle w:val="pheading"/>
      </w:pPr>
      <w:r>
        <w:t>DESCRIPTION</w:t>
      </w:r>
    </w:p>
    <w:p w14:paraId="6B3934D0" w14:textId="77777777" w:rsidR="004B2808" w:rsidRDefault="00000000">
      <w:pPr>
        <w:pStyle w:val="pheading"/>
      </w:pPr>
      <w:r>
        <w:t>- Localisation</w:t>
      </w:r>
    </w:p>
    <w:p w14:paraId="0CAC055A" w14:textId="77777777" w:rsidR="004B2808" w:rsidRDefault="00000000">
      <w:r>
        <w:t xml:space="preserve">Armoires pour compteurs : </w:t>
      </w:r>
      <w:r>
        <w:rPr>
          <w:rStyle w:val="optioncarChar"/>
        </w:rPr>
        <w:t>***</w:t>
      </w:r>
      <w:r>
        <w:br/>
        <w:t xml:space="preserve">Armoires de vestiaire : </w:t>
      </w:r>
      <w:r>
        <w:rPr>
          <w:rStyle w:val="optioncarChar"/>
        </w:rPr>
        <w:t>***</w:t>
      </w:r>
      <w:r>
        <w:br/>
        <w:t xml:space="preserve">Placards dans les chambres à coucher : </w:t>
      </w:r>
      <w:r>
        <w:rPr>
          <w:rStyle w:val="optioncarChar"/>
        </w:rPr>
        <w:t>***</w:t>
      </w:r>
    </w:p>
    <w:p w14:paraId="3E5615DA" w14:textId="77777777" w:rsidR="004B2808" w:rsidRDefault="00000000">
      <w:pPr>
        <w:pStyle w:val="pheading"/>
      </w:pPr>
      <w:r>
        <w:t>MESURAGE</w:t>
      </w:r>
    </w:p>
    <w:p w14:paraId="079122F7" w14:textId="77777777" w:rsidR="004B2808" w:rsidRDefault="00000000">
      <w:r>
        <w:lastRenderedPageBreak/>
        <w:t>En fonction de la nature des armoires encastrées, des indications spécifiques dans le cahier spécial des charges et/ou le métré récapitulatif, le mesurage doit être conçu comme suit :</w:t>
      </w:r>
    </w:p>
    <w:p w14:paraId="65F71E3E" w14:textId="77777777" w:rsidR="004B2808" w:rsidRDefault="00000000">
      <w:pPr>
        <w:pStyle w:val="pheading"/>
      </w:pPr>
      <w:r>
        <w:t>- unité de mesure:</w:t>
      </w:r>
    </w:p>
    <w:p w14:paraId="5450196C" w14:textId="77777777" w:rsidR="004B2808" w:rsidRDefault="00000000">
      <w:r>
        <w:t>p</w:t>
      </w:r>
    </w:p>
    <w:p w14:paraId="1FEC2977" w14:textId="77777777" w:rsidR="004B2808" w:rsidRDefault="00000000">
      <w:pPr>
        <w:pStyle w:val="pheading"/>
      </w:pPr>
      <w:r>
        <w:t>- code de mesurage:</w:t>
      </w:r>
    </w:p>
    <w:p w14:paraId="41FF7CEB" w14:textId="77777777" w:rsidR="004B2808" w:rsidRDefault="00000000">
      <w:r>
        <w:t xml:space="preserve">Selon le type </w:t>
      </w:r>
    </w:p>
    <w:p w14:paraId="0168102D" w14:textId="77777777" w:rsidR="004B2808" w:rsidRDefault="00000000">
      <w:pPr>
        <w:pStyle w:val="pheading"/>
      </w:pPr>
      <w:r>
        <w:t>- nature du marché:</w:t>
      </w:r>
    </w:p>
    <w:p w14:paraId="104148CC" w14:textId="77777777" w:rsidR="004B2808" w:rsidRDefault="00000000">
      <w:r>
        <w:t>QF</w:t>
      </w:r>
    </w:p>
    <w:p w14:paraId="3392614D" w14:textId="77777777" w:rsidR="004B2808" w:rsidRDefault="00000000">
      <w:pPr>
        <w:pStyle w:val="Author-eSectionHeading5Numberless"/>
      </w:pPr>
      <w:bookmarkStart w:id="1815" w:name="_Toc220491899"/>
      <w:r>
        <w:t>58.41.2 Armoires encastrées - Structure et planches - Façades &amp; côtés apparents CCTB 01.02</w:t>
      </w:r>
      <w:bookmarkEnd w:id="1815"/>
    </w:p>
    <w:p w14:paraId="11AB85E1" w14:textId="77777777" w:rsidR="004B2808" w:rsidRDefault="00000000">
      <w:pPr>
        <w:pStyle w:val="Author-eSectionHeading6Numberless"/>
      </w:pPr>
      <w:bookmarkStart w:id="1816" w:name="_Toc220491900"/>
      <w:r>
        <w:t>58.41.2a Armoires encastrées - Structure et planches - Façades &amp; côtés apparents CCTB 01.10</w:t>
      </w:r>
      <w:bookmarkEnd w:id="1816"/>
    </w:p>
    <w:p w14:paraId="7C3BBBB9" w14:textId="77777777" w:rsidR="004B2808" w:rsidRDefault="00000000">
      <w:pPr>
        <w:pStyle w:val="pheading"/>
      </w:pPr>
      <w:r>
        <w:t>DESCRIPTION</w:t>
      </w:r>
    </w:p>
    <w:p w14:paraId="1A9DAC7F" w14:textId="77777777" w:rsidR="004B2808" w:rsidRDefault="00000000">
      <w:pPr>
        <w:pStyle w:val="pheading"/>
      </w:pPr>
      <w:r>
        <w:t>- Localisation</w:t>
      </w:r>
    </w:p>
    <w:p w14:paraId="2DEF3ECF" w14:textId="77777777" w:rsidR="004B2808" w:rsidRDefault="00000000">
      <w:r>
        <w:t xml:space="preserve">Armoires pour compteurs : </w:t>
      </w:r>
      <w:r>
        <w:rPr>
          <w:rStyle w:val="optioncarChar"/>
        </w:rPr>
        <w:t>***</w:t>
      </w:r>
      <w:r>
        <w:br/>
        <w:t xml:space="preserve">Armoires de vestiaire : </w:t>
      </w:r>
      <w:r>
        <w:rPr>
          <w:rStyle w:val="optioncarChar"/>
        </w:rPr>
        <w:t>***</w:t>
      </w:r>
      <w:r>
        <w:br/>
        <w:t xml:space="preserve">Placards dans les chambres à coucher : </w:t>
      </w:r>
      <w:r>
        <w:rPr>
          <w:rStyle w:val="optioncarChar"/>
        </w:rPr>
        <w:t>***</w:t>
      </w:r>
    </w:p>
    <w:p w14:paraId="4E49474B" w14:textId="77777777" w:rsidR="004B2808" w:rsidRDefault="00000000">
      <w:pPr>
        <w:pStyle w:val="pheading"/>
      </w:pPr>
      <w:r>
        <w:t>MATÉRIAUX</w:t>
      </w:r>
    </w:p>
    <w:p w14:paraId="6C40D5A5" w14:textId="77777777" w:rsidR="004B2808" w:rsidRDefault="00000000">
      <w:pPr>
        <w:pStyle w:val="pheading"/>
      </w:pPr>
      <w:r>
        <w:t>- Caractéristiques générales</w:t>
      </w:r>
    </w:p>
    <w:p w14:paraId="0E510D23" w14:textId="77777777" w:rsidR="004B2808" w:rsidRDefault="00000000">
      <w:pPr>
        <w:pStyle w:val="heading"/>
      </w:pPr>
      <w:r>
        <w:t>Spécifications</w:t>
      </w:r>
    </w:p>
    <w:p w14:paraId="5671A44C" w14:textId="77777777" w:rsidR="004B2808" w:rsidRDefault="00000000">
      <w:pPr>
        <w:pStyle w:val="Author-eListParagraph"/>
        <w:numPr>
          <w:ilvl w:val="0"/>
          <w:numId w:val="1631"/>
        </w:numPr>
      </w:pPr>
      <w:r>
        <w:t xml:space="preserve">Matériau : </w:t>
      </w:r>
      <w:r>
        <w:rPr>
          <w:rStyle w:val="optioncarChar"/>
        </w:rPr>
        <w:t>MDF</w:t>
      </w:r>
      <w:r>
        <w:t xml:space="preserve"> (par défaut) </w:t>
      </w:r>
      <w:r>
        <w:rPr>
          <w:rStyle w:val="optioncarChar"/>
        </w:rPr>
        <w:t xml:space="preserve">/ Panneaux de bois agglomérés / contreplaqué bouleau / *** </w:t>
      </w:r>
      <w:r>
        <w:t>,</w:t>
      </w:r>
    </w:p>
    <w:p w14:paraId="60B8D45E" w14:textId="77777777" w:rsidR="004B2808" w:rsidRDefault="00000000">
      <w:pPr>
        <w:pStyle w:val="Author-eListParagraph"/>
        <w:numPr>
          <w:ilvl w:val="0"/>
          <w:numId w:val="1631"/>
        </w:numPr>
      </w:pPr>
      <w:r>
        <w:t xml:space="preserve">Epaisseur </w:t>
      </w:r>
      <w:r>
        <w:rPr>
          <w:rStyle w:val="optioncarChar"/>
        </w:rPr>
        <w:t>18 </w:t>
      </w:r>
      <w:r>
        <w:t>(par défaut)</w:t>
      </w:r>
      <w:r>
        <w:rPr>
          <w:rStyle w:val="optioncarChar"/>
        </w:rPr>
        <w:t> / ***  </w:t>
      </w:r>
      <w:r>
        <w:t>mm</w:t>
      </w:r>
    </w:p>
    <w:p w14:paraId="2DB81568" w14:textId="77777777" w:rsidR="004B2808" w:rsidRDefault="00000000">
      <w:pPr>
        <w:pStyle w:val="Author-eListParagraph"/>
        <w:numPr>
          <w:ilvl w:val="0"/>
          <w:numId w:val="1631"/>
        </w:numPr>
      </w:pPr>
      <w:r>
        <w:t xml:space="preserve">Charnières : </w:t>
      </w:r>
    </w:p>
    <w:p w14:paraId="0A1A08E8" w14:textId="77777777" w:rsidR="004B2808" w:rsidRDefault="00000000">
      <w:pPr>
        <w:pStyle w:val="Author-eListParagraph"/>
        <w:numPr>
          <w:ilvl w:val="1"/>
          <w:numId w:val="1632"/>
        </w:numPr>
      </w:pPr>
      <w:r>
        <w:t xml:space="preserve">Angle d'ouverture: </w:t>
      </w:r>
      <w:r>
        <w:rPr>
          <w:rStyle w:val="optioncarChar"/>
        </w:rPr>
        <w:t>90° </w:t>
      </w:r>
      <w:r>
        <w:t xml:space="preserve">(par défaut) </w:t>
      </w:r>
      <w:r>
        <w:rPr>
          <w:rStyle w:val="optioncarChar"/>
        </w:rPr>
        <w:t>/ 170° / ***</w:t>
      </w:r>
    </w:p>
    <w:p w14:paraId="23D462C2" w14:textId="77777777" w:rsidR="004B2808" w:rsidRDefault="00000000">
      <w:pPr>
        <w:pStyle w:val="Author-eListParagraph"/>
        <w:numPr>
          <w:ilvl w:val="1"/>
          <w:numId w:val="1632"/>
        </w:numPr>
      </w:pPr>
      <w:r>
        <w:t xml:space="preserve">Type : </w:t>
      </w:r>
      <w:r>
        <w:rPr>
          <w:rStyle w:val="optioncarChar"/>
        </w:rPr>
        <w:t>type à fermeture automatique à boîtier</w:t>
      </w:r>
      <w:r>
        <w:t> (par défaut)</w:t>
      </w:r>
      <w:r>
        <w:rPr>
          <w:rStyle w:val="optioncarChar"/>
        </w:rPr>
        <w:t> / ***</w:t>
      </w:r>
    </w:p>
    <w:p w14:paraId="25DD61FA" w14:textId="77777777" w:rsidR="004B2808" w:rsidRDefault="00000000">
      <w:pPr>
        <w:pStyle w:val="pheading"/>
      </w:pPr>
      <w:r>
        <w:t>- Finitions</w:t>
      </w:r>
    </w:p>
    <w:p w14:paraId="390481D2" w14:textId="77777777" w:rsidR="004B2808" w:rsidRDefault="00000000">
      <w:r>
        <w:t>Coloris : </w:t>
      </w:r>
      <w:r>
        <w:rPr>
          <w:rStyle w:val="optioncarChar"/>
        </w:rPr>
        <w:t>blanc </w:t>
      </w:r>
      <w:r>
        <w:t>(par défaut)</w:t>
      </w:r>
      <w:r>
        <w:rPr>
          <w:rStyle w:val="optioncarChar"/>
        </w:rPr>
        <w:t xml:space="preserve"> / à choisir dans la gamme de couleurs standard du fabricant / ***.</w:t>
      </w:r>
    </w:p>
    <w:p w14:paraId="7CF5327F" w14:textId="77777777" w:rsidR="004B2808" w:rsidRDefault="00000000">
      <w:r>
        <w:t>Finition des panneaux de façade :</w:t>
      </w:r>
    </w:p>
    <w:p w14:paraId="659F30D7" w14:textId="77777777" w:rsidR="004B2808" w:rsidRDefault="00000000">
      <w:pPr>
        <w:ind w:left="450"/>
      </w:pPr>
      <w:r>
        <w:rPr>
          <w:b/>
        </w:rPr>
        <w:t xml:space="preserve">Choix opéré </w:t>
      </w:r>
      <w:r>
        <w:t xml:space="preserve">: </w:t>
      </w:r>
      <w:r>
        <w:rPr>
          <w:rStyle w:val="optioncarChar"/>
        </w:rPr>
        <w:t xml:space="preserve">*** / OPTION 1 </w:t>
      </w:r>
      <w:r>
        <w:t>(par défaut) </w:t>
      </w:r>
      <w:r>
        <w:rPr>
          <w:rStyle w:val="optioncarChar"/>
        </w:rPr>
        <w:t>/ OPTION 2 / OPTION 3 / OPTION 4</w:t>
      </w:r>
      <w:r>
        <w:br/>
      </w:r>
      <w:r>
        <w:rPr>
          <w:b/>
        </w:rPr>
        <w:t>***OPTION 1 (par défaut)</w:t>
      </w:r>
      <w:r>
        <w:t xml:space="preserve"> : mélaminé. Chants : </w:t>
      </w:r>
      <w:r>
        <w:rPr>
          <w:rStyle w:val="optioncarChar"/>
        </w:rPr>
        <w:t>feuille en matière synthétique </w:t>
      </w:r>
      <w:r>
        <w:t>(par défaut)</w:t>
      </w:r>
      <w:r>
        <w:rPr>
          <w:rStyle w:val="optioncarChar"/>
        </w:rPr>
        <w:t xml:space="preserve"> / listel acrylique / ***</w:t>
      </w:r>
      <w:r>
        <w:t>, épaisseur min.</w:t>
      </w:r>
      <w:r>
        <w:rPr>
          <w:rStyle w:val="optioncarChar"/>
        </w:rPr>
        <w:t> 2</w:t>
      </w:r>
      <w:r>
        <w:t> (par défaut)</w:t>
      </w:r>
      <w:r>
        <w:rPr>
          <w:rStyle w:val="optioncarChar"/>
        </w:rPr>
        <w:t> / ***</w:t>
      </w:r>
      <w:r>
        <w:t xml:space="preserve"> mm. </w:t>
      </w:r>
      <w:r>
        <w:br/>
      </w:r>
      <w:r>
        <w:rPr>
          <w:b/>
        </w:rPr>
        <w:t>***OPTION 2</w:t>
      </w:r>
      <w:r>
        <w:t xml:space="preserve"> : plaque de stratifié haute pression, classe HPL-EN 438 VGS ou S 232, épaisseur </w:t>
      </w:r>
      <w:r>
        <w:rPr>
          <w:rStyle w:val="optioncarChar"/>
        </w:rPr>
        <w:t>0,8 </w:t>
      </w:r>
      <w:r>
        <w:t>(par défaut)</w:t>
      </w:r>
      <w:r>
        <w:rPr>
          <w:rStyle w:val="optioncarChar"/>
        </w:rPr>
        <w:t> / ***</w:t>
      </w:r>
      <w:r>
        <w:t xml:space="preserve"> mm. Chants : listel acrylique, épaisseur min. 2mm. </w:t>
      </w:r>
      <w:r>
        <w:br/>
      </w:r>
      <w:r>
        <w:rPr>
          <w:b/>
        </w:rPr>
        <w:t>***OPTION 3</w:t>
      </w:r>
      <w:r>
        <w:t xml:space="preserve"> : plaque de stratifié haute pression, classe HPL-EN 438 VGP ou P 222, épaisseur </w:t>
      </w:r>
      <w:r>
        <w:rPr>
          <w:rStyle w:val="optioncarChar"/>
        </w:rPr>
        <w:t>0,8 </w:t>
      </w:r>
      <w:r>
        <w:t xml:space="preserve">(par défaut) mm. </w:t>
      </w:r>
      <w:r>
        <w:br/>
      </w:r>
      <w:r>
        <w:rPr>
          <w:b/>
        </w:rPr>
        <w:t>***OPTION 4</w:t>
      </w:r>
      <w:r>
        <w:t xml:space="preserve"> : à </w:t>
      </w:r>
      <w:r>
        <w:rPr>
          <w:rStyle w:val="optioncarChar"/>
        </w:rPr>
        <w:t>peindre </w:t>
      </w:r>
      <w:r>
        <w:t>(par défaut)</w:t>
      </w:r>
      <w:r>
        <w:rPr>
          <w:rStyle w:val="optioncarChar"/>
        </w:rPr>
        <w:t xml:space="preserve"> / vernir en deux couches / ***</w:t>
      </w:r>
      <w:r>
        <w:t xml:space="preserve">, selon l'article </w:t>
      </w:r>
      <w:r>
        <w:rPr>
          <w:rStyle w:val="optioncarChar"/>
        </w:rPr>
        <w:t xml:space="preserve">*** </w:t>
      </w:r>
    </w:p>
    <w:p w14:paraId="272187F1" w14:textId="77777777" w:rsidR="004B2808" w:rsidRDefault="00000000">
      <w:pPr>
        <w:pStyle w:val="pheading"/>
      </w:pPr>
      <w:r>
        <w:t>- Prescriptions complémentaires</w:t>
      </w:r>
    </w:p>
    <w:p w14:paraId="4C68E83D" w14:textId="77777777" w:rsidR="004B2808" w:rsidRDefault="00000000">
      <w:r>
        <w:t>Le postforming des portes d'armoires est:</w:t>
      </w:r>
    </w:p>
    <w:p w14:paraId="6FA25522" w14:textId="77777777" w:rsidR="004B2808" w:rsidRDefault="00000000">
      <w:pPr>
        <w:ind w:left="450"/>
      </w:pPr>
      <w:r>
        <w:br/>
      </w:r>
      <w:r>
        <w:rPr>
          <w:b/>
        </w:rPr>
        <w:t xml:space="preserve">Choix opéré : </w:t>
      </w:r>
      <w:r>
        <w:rPr>
          <w:rStyle w:val="optioncarChar"/>
          <w:b/>
        </w:rPr>
        <w:t>*** / OPTION 1 (horizontal) (par défaut) / OPTION 2 (vertical)</w:t>
      </w:r>
    </w:p>
    <w:p w14:paraId="41A8E58C" w14:textId="77777777" w:rsidR="004B2808" w:rsidRDefault="00000000">
      <w:pPr>
        <w:ind w:left="450"/>
      </w:pPr>
      <w:r>
        <w:rPr>
          <w:b/>
        </w:rPr>
        <w:t>OPTION 1</w:t>
      </w:r>
      <w:r>
        <w:t xml:space="preserve"> : horizontal sur</w:t>
      </w:r>
      <w:r>
        <w:rPr>
          <w:rStyle w:val="optioncarChar"/>
        </w:rPr>
        <w:t> 90° </w:t>
      </w:r>
      <w:r>
        <w:t>(par défaut)</w:t>
      </w:r>
      <w:r>
        <w:rPr>
          <w:rStyle w:val="optioncarChar"/>
        </w:rPr>
        <w:t xml:space="preserve"> / 180°</w:t>
      </w:r>
      <w:r>
        <w:t xml:space="preserve"> sur toute l'épaisseur . </w:t>
      </w:r>
      <w:r>
        <w:br/>
      </w:r>
      <w:r>
        <w:rPr>
          <w:b/>
        </w:rPr>
        <w:t>OPTION 2</w:t>
      </w:r>
      <w:r>
        <w:t xml:space="preserve"> : vertical sur 90°</w:t>
      </w:r>
    </w:p>
    <w:p w14:paraId="077B10CB" w14:textId="77777777" w:rsidR="004B2808" w:rsidRDefault="00000000">
      <w:pPr>
        <w:pStyle w:val="pheading"/>
      </w:pPr>
      <w:r>
        <w:lastRenderedPageBreak/>
        <w:t>MESURAGE</w:t>
      </w:r>
    </w:p>
    <w:p w14:paraId="173FE290" w14:textId="77777777" w:rsidR="004B2808" w:rsidRDefault="00000000">
      <w:r>
        <w:t>En fonction de la nature des armoires encastrées, des indications spécifiques dans le cahier spécial des charges et/ou le métré récapitulatif, le mesurage doit être conçu comme suit :</w:t>
      </w:r>
    </w:p>
    <w:p w14:paraId="08E3653D" w14:textId="77777777" w:rsidR="004B2808" w:rsidRDefault="00000000">
      <w:pPr>
        <w:pStyle w:val="pheading"/>
      </w:pPr>
      <w:r>
        <w:t>- unité de mesure:</w:t>
      </w:r>
    </w:p>
    <w:p w14:paraId="16AF8E1C" w14:textId="77777777" w:rsidR="004B2808" w:rsidRDefault="00000000">
      <w:r>
        <w:t>p</w:t>
      </w:r>
    </w:p>
    <w:p w14:paraId="67EB7D72" w14:textId="77777777" w:rsidR="004B2808" w:rsidRDefault="00000000">
      <w:pPr>
        <w:pStyle w:val="pheading"/>
      </w:pPr>
      <w:r>
        <w:t>- code de mesurage:</w:t>
      </w:r>
    </w:p>
    <w:p w14:paraId="50385DDF" w14:textId="77777777" w:rsidR="004B2808" w:rsidRDefault="00000000">
      <w:r>
        <w:t xml:space="preserve">Selon le type </w:t>
      </w:r>
    </w:p>
    <w:p w14:paraId="1D761D97" w14:textId="77777777" w:rsidR="004B2808" w:rsidRDefault="00000000">
      <w:pPr>
        <w:pStyle w:val="pheading"/>
      </w:pPr>
      <w:r>
        <w:t>- nature du marché:</w:t>
      </w:r>
    </w:p>
    <w:p w14:paraId="5759DAB5" w14:textId="77777777" w:rsidR="004B2808" w:rsidRDefault="00000000">
      <w:r>
        <w:t>QF</w:t>
      </w:r>
    </w:p>
    <w:p w14:paraId="2D283C14" w14:textId="77777777" w:rsidR="004B2808" w:rsidRDefault="00000000">
      <w:pPr>
        <w:pStyle w:val="Author-eSectionHeading5Numberless"/>
      </w:pPr>
      <w:bookmarkStart w:id="1817" w:name="_Toc220491901"/>
      <w:r>
        <w:t>58.41.3 Armoires encastrées - Structure et planches - Planches intérieures CCTB 01.02</w:t>
      </w:r>
      <w:bookmarkEnd w:id="1817"/>
    </w:p>
    <w:p w14:paraId="7B959B70" w14:textId="77777777" w:rsidR="004B2808" w:rsidRDefault="00000000">
      <w:pPr>
        <w:pStyle w:val="Author-eSectionHeading6Numberless"/>
      </w:pPr>
      <w:bookmarkStart w:id="1818" w:name="_Toc220491902"/>
      <w:r>
        <w:t>58.41.3a Armoires encastrées - Structure et planches - Planches intérieures CCTB 01.10</w:t>
      </w:r>
      <w:bookmarkEnd w:id="1818"/>
    </w:p>
    <w:p w14:paraId="3578FF2A" w14:textId="77777777" w:rsidR="004B2808" w:rsidRDefault="00000000">
      <w:pPr>
        <w:pStyle w:val="pheading"/>
      </w:pPr>
      <w:r>
        <w:t>DESCRIPTION</w:t>
      </w:r>
    </w:p>
    <w:p w14:paraId="7DE1C240" w14:textId="77777777" w:rsidR="004B2808" w:rsidRDefault="00000000">
      <w:pPr>
        <w:pStyle w:val="pheading"/>
      </w:pPr>
      <w:r>
        <w:t>- Localisation</w:t>
      </w:r>
    </w:p>
    <w:p w14:paraId="58E602D7" w14:textId="77777777" w:rsidR="004B2808" w:rsidRDefault="00000000">
      <w:r>
        <w:t xml:space="preserve">Armoires pour compteurs : </w:t>
      </w:r>
      <w:r>
        <w:rPr>
          <w:rStyle w:val="optioncarChar"/>
        </w:rPr>
        <w:t>***</w:t>
      </w:r>
      <w:r>
        <w:br/>
        <w:t xml:space="preserve">Armoires de vestiaire : </w:t>
      </w:r>
      <w:r>
        <w:rPr>
          <w:rStyle w:val="optioncarChar"/>
        </w:rPr>
        <w:t>***</w:t>
      </w:r>
      <w:r>
        <w:br/>
        <w:t xml:space="preserve">Placards dans les chambres à coucher : </w:t>
      </w:r>
      <w:r>
        <w:rPr>
          <w:rStyle w:val="optioncarChar"/>
        </w:rPr>
        <w:t>***</w:t>
      </w:r>
    </w:p>
    <w:p w14:paraId="0B07DA09" w14:textId="77777777" w:rsidR="004B2808" w:rsidRDefault="00000000">
      <w:pPr>
        <w:pStyle w:val="pheading"/>
      </w:pPr>
      <w:r>
        <w:t>MESURAGE</w:t>
      </w:r>
    </w:p>
    <w:p w14:paraId="47443C46" w14:textId="77777777" w:rsidR="004B2808" w:rsidRDefault="00000000">
      <w:r>
        <w:t>En fonction de la nature des armoires encastrées, des indications spécifiques dans le cahier spécial des charges et/ou le métré récapitulatif, le mesurage doit être conçu comme suit :</w:t>
      </w:r>
    </w:p>
    <w:p w14:paraId="1FC91B54" w14:textId="77777777" w:rsidR="004B2808" w:rsidRDefault="00000000">
      <w:pPr>
        <w:pStyle w:val="pheading"/>
      </w:pPr>
      <w:r>
        <w:t>- unité de mesure:</w:t>
      </w:r>
    </w:p>
    <w:p w14:paraId="012A2D73" w14:textId="77777777" w:rsidR="004B2808" w:rsidRDefault="00000000">
      <w:r>
        <w:t>p</w:t>
      </w:r>
    </w:p>
    <w:p w14:paraId="4A1E56A4" w14:textId="77777777" w:rsidR="004B2808" w:rsidRDefault="00000000">
      <w:pPr>
        <w:pStyle w:val="pheading"/>
      </w:pPr>
      <w:r>
        <w:t>- code de mesurage:</w:t>
      </w:r>
    </w:p>
    <w:p w14:paraId="08EE9E76" w14:textId="77777777" w:rsidR="004B2808" w:rsidRDefault="00000000">
      <w:r>
        <w:t xml:space="preserve">Selon le type </w:t>
      </w:r>
    </w:p>
    <w:p w14:paraId="4541BB61" w14:textId="77777777" w:rsidR="004B2808" w:rsidRDefault="00000000">
      <w:pPr>
        <w:pStyle w:val="pheading"/>
      </w:pPr>
      <w:r>
        <w:t>- nature du marché:</w:t>
      </w:r>
    </w:p>
    <w:p w14:paraId="05BE6005" w14:textId="77777777" w:rsidR="004B2808" w:rsidRDefault="00000000">
      <w:r>
        <w:t>QF</w:t>
      </w:r>
    </w:p>
    <w:p w14:paraId="737642E1" w14:textId="77777777" w:rsidR="004B2808" w:rsidRDefault="00000000">
      <w:pPr>
        <w:pStyle w:val="Author-eSectionHeading4Numberless"/>
      </w:pPr>
      <w:bookmarkStart w:id="1819" w:name="_Toc220491903"/>
      <w:r>
        <w:t>58.42 Armoires encastrées - Portes / Tiroirs / Caissons CCTB 01.02</w:t>
      </w:r>
      <w:bookmarkEnd w:id="1819"/>
    </w:p>
    <w:p w14:paraId="1AF0B23E" w14:textId="77777777" w:rsidR="004B2808" w:rsidRDefault="00000000">
      <w:pPr>
        <w:pStyle w:val="Author-eSectionHeading5Numberless"/>
      </w:pPr>
      <w:bookmarkStart w:id="1820" w:name="_Toc220491904"/>
      <w:r>
        <w:t>58.42.1 Armoires encastrées - Portes CCTB 01.02</w:t>
      </w:r>
      <w:bookmarkEnd w:id="1820"/>
    </w:p>
    <w:p w14:paraId="1EF2BBC8" w14:textId="77777777" w:rsidR="004B2808" w:rsidRDefault="00000000">
      <w:pPr>
        <w:pStyle w:val="Author-eSectionHeading6Numberless"/>
      </w:pPr>
      <w:bookmarkStart w:id="1821" w:name="_Toc220491905"/>
      <w:r>
        <w:t>58.42.1a Armoires encastrées - Portes CCTB 01.02</w:t>
      </w:r>
      <w:bookmarkEnd w:id="1821"/>
    </w:p>
    <w:p w14:paraId="611AB787" w14:textId="77777777" w:rsidR="004B2808" w:rsidRDefault="00000000">
      <w:pPr>
        <w:pStyle w:val="pheading"/>
      </w:pPr>
      <w:r>
        <w:t>DESCRIPTION</w:t>
      </w:r>
    </w:p>
    <w:p w14:paraId="58FFA802" w14:textId="77777777" w:rsidR="004B2808" w:rsidRDefault="00000000">
      <w:pPr>
        <w:pStyle w:val="pheading"/>
      </w:pPr>
      <w:r>
        <w:t>- Localisation</w:t>
      </w:r>
    </w:p>
    <w:p w14:paraId="62DD3921" w14:textId="77777777" w:rsidR="004B2808" w:rsidRDefault="00000000">
      <w:pPr>
        <w:pStyle w:val="Author-eListParagraph"/>
        <w:numPr>
          <w:ilvl w:val="0"/>
          <w:numId w:val="1633"/>
        </w:numPr>
      </w:pPr>
      <w:r>
        <w:t xml:space="preserve"> Armoires pour compteurs : </w:t>
      </w:r>
      <w:r>
        <w:rPr>
          <w:rStyle w:val="optioncarChar"/>
        </w:rPr>
        <w:t xml:space="preserve">*** </w:t>
      </w:r>
    </w:p>
    <w:p w14:paraId="5BE5901C" w14:textId="77777777" w:rsidR="004B2808" w:rsidRDefault="00000000">
      <w:pPr>
        <w:pStyle w:val="Author-eListParagraph"/>
        <w:numPr>
          <w:ilvl w:val="0"/>
          <w:numId w:val="1633"/>
        </w:numPr>
      </w:pPr>
      <w:r>
        <w:t xml:space="preserve">Armoires de vestiaire : </w:t>
      </w:r>
      <w:r>
        <w:rPr>
          <w:rStyle w:val="optioncarChar"/>
        </w:rPr>
        <w:t xml:space="preserve">*** </w:t>
      </w:r>
    </w:p>
    <w:p w14:paraId="10D67C4F" w14:textId="77777777" w:rsidR="004B2808" w:rsidRDefault="00000000">
      <w:pPr>
        <w:pStyle w:val="Author-eListParagraph"/>
        <w:numPr>
          <w:ilvl w:val="0"/>
          <w:numId w:val="1633"/>
        </w:numPr>
      </w:pPr>
      <w:r>
        <w:t xml:space="preserve">Placards dans les chambres à coucher : </w:t>
      </w:r>
      <w:r>
        <w:rPr>
          <w:rStyle w:val="optioncarChar"/>
        </w:rPr>
        <w:t>***</w:t>
      </w:r>
    </w:p>
    <w:p w14:paraId="0F6B9907" w14:textId="77777777" w:rsidR="004B2808" w:rsidRDefault="00000000">
      <w:pPr>
        <w:pStyle w:val="pheading"/>
      </w:pPr>
      <w:r>
        <w:t>MATÉRIAUX</w:t>
      </w:r>
    </w:p>
    <w:p w14:paraId="2DDA491B" w14:textId="77777777" w:rsidR="004B2808" w:rsidRDefault="00000000">
      <w:pPr>
        <w:pStyle w:val="pheading"/>
      </w:pPr>
      <w:r>
        <w:t>- Prescriptions complémentaires</w:t>
      </w:r>
    </w:p>
    <w:p w14:paraId="2A33670D" w14:textId="77777777" w:rsidR="004B2808" w:rsidRDefault="00000000">
      <w:r>
        <w:t>Le postforming des portes d'armoires est:</w:t>
      </w:r>
    </w:p>
    <w:p w14:paraId="11053A30" w14:textId="77777777" w:rsidR="004B2808" w:rsidRDefault="00000000">
      <w:pPr>
        <w:ind w:left="450"/>
      </w:pPr>
      <w:r>
        <w:rPr>
          <w:b/>
        </w:rPr>
        <w:lastRenderedPageBreak/>
        <w:t>Choix opéré</w:t>
      </w:r>
      <w:r>
        <w:t xml:space="preserve"> : </w:t>
      </w:r>
      <w:r>
        <w:rPr>
          <w:rStyle w:val="optioncarChar"/>
        </w:rPr>
        <w:t>*** / OPTION 1 (horizontal) / OPTION 2 (vertical)</w:t>
      </w:r>
      <w:r>
        <w:br/>
      </w:r>
      <w:r>
        <w:rPr>
          <w:b/>
        </w:rPr>
        <w:t>OPTION 1</w:t>
      </w:r>
      <w:r>
        <w:t xml:space="preserve"> : horizontal sur</w:t>
      </w:r>
      <w:r>
        <w:rPr>
          <w:rStyle w:val="optioncarChar"/>
        </w:rPr>
        <w:t xml:space="preserve"> *** / 90° / 180°</w:t>
      </w:r>
      <w:r>
        <w:t xml:space="preserve"> sur toute l'épaisseur . </w:t>
      </w:r>
      <w:r>
        <w:br/>
      </w:r>
      <w:r>
        <w:rPr>
          <w:b/>
        </w:rPr>
        <w:t>OPTION 2</w:t>
      </w:r>
      <w:r>
        <w:t xml:space="preserve"> : vertical sur 90°</w:t>
      </w:r>
    </w:p>
    <w:p w14:paraId="1095FC76" w14:textId="77777777" w:rsidR="004B2808" w:rsidRDefault="00000000">
      <w:pPr>
        <w:pStyle w:val="pheading"/>
      </w:pPr>
      <w:r>
        <w:t>MESURAGE</w:t>
      </w:r>
    </w:p>
    <w:p w14:paraId="6502F71C" w14:textId="77777777" w:rsidR="004B2808" w:rsidRDefault="00000000">
      <w:r>
        <w:t>En fonction de la nature des armoires encastrées, des indications spécifiques dans le cahier spécial des charges et/ou le métré récapitulatif, le mesurage doit être conçu comme suit :</w:t>
      </w:r>
    </w:p>
    <w:p w14:paraId="3DCEC883" w14:textId="77777777" w:rsidR="004B2808" w:rsidRDefault="00000000">
      <w:pPr>
        <w:pStyle w:val="pheading"/>
      </w:pPr>
      <w:r>
        <w:t>- unité de mesure:</w:t>
      </w:r>
    </w:p>
    <w:p w14:paraId="40EF0D2D" w14:textId="77777777" w:rsidR="004B2808" w:rsidRDefault="00000000">
      <w:r>
        <w:t>p</w:t>
      </w:r>
    </w:p>
    <w:p w14:paraId="2DD94B0B" w14:textId="77777777" w:rsidR="004B2808" w:rsidRDefault="00000000">
      <w:pPr>
        <w:pStyle w:val="pheading"/>
      </w:pPr>
      <w:r>
        <w:t>- code de mesurage:</w:t>
      </w:r>
    </w:p>
    <w:p w14:paraId="0420BAB8" w14:textId="77777777" w:rsidR="004B2808" w:rsidRDefault="00000000">
      <w:r>
        <w:t xml:space="preserve">Selon le type </w:t>
      </w:r>
    </w:p>
    <w:p w14:paraId="76A7D086" w14:textId="77777777" w:rsidR="004B2808" w:rsidRDefault="00000000">
      <w:pPr>
        <w:pStyle w:val="pheading"/>
      </w:pPr>
      <w:r>
        <w:t>- nature du marché:</w:t>
      </w:r>
    </w:p>
    <w:p w14:paraId="1EF7A0EA" w14:textId="77777777" w:rsidR="004B2808" w:rsidRDefault="00000000">
      <w:r>
        <w:t>QF</w:t>
      </w:r>
    </w:p>
    <w:p w14:paraId="1CE4EAC8" w14:textId="77777777" w:rsidR="004B2808" w:rsidRDefault="00000000">
      <w:pPr>
        <w:pStyle w:val="Author-eSectionHeading5Numberless"/>
      </w:pPr>
      <w:bookmarkStart w:id="1822" w:name="_Toc220491906"/>
      <w:r>
        <w:t>58.42.2 Armoires encastrées - Tiroirs CCTB 01.02</w:t>
      </w:r>
      <w:bookmarkEnd w:id="1822"/>
    </w:p>
    <w:p w14:paraId="150FAFDC" w14:textId="77777777" w:rsidR="004B2808" w:rsidRDefault="00000000">
      <w:pPr>
        <w:pStyle w:val="Author-eSectionHeading6Numberless"/>
      </w:pPr>
      <w:bookmarkStart w:id="1823" w:name="_Toc220491907"/>
      <w:r>
        <w:t>58.42.2a Armoires encastrées - Tiroirs CCTB 01.02</w:t>
      </w:r>
      <w:bookmarkEnd w:id="1823"/>
    </w:p>
    <w:p w14:paraId="15DA3D0D" w14:textId="77777777" w:rsidR="004B2808" w:rsidRDefault="00000000">
      <w:pPr>
        <w:pStyle w:val="pheading"/>
      </w:pPr>
      <w:r>
        <w:t>DESCRIPTION</w:t>
      </w:r>
    </w:p>
    <w:p w14:paraId="7064E30D" w14:textId="77777777" w:rsidR="004B2808" w:rsidRDefault="00000000">
      <w:pPr>
        <w:pStyle w:val="pheading"/>
      </w:pPr>
      <w:r>
        <w:t>- Localisation</w:t>
      </w:r>
    </w:p>
    <w:p w14:paraId="696766ED" w14:textId="77777777" w:rsidR="004B2808" w:rsidRDefault="00000000">
      <w:pPr>
        <w:pStyle w:val="Author-eListParagraph"/>
        <w:numPr>
          <w:ilvl w:val="0"/>
          <w:numId w:val="1634"/>
        </w:numPr>
      </w:pPr>
      <w:r>
        <w:t xml:space="preserve">Armoires pour compteurs : </w:t>
      </w:r>
      <w:r>
        <w:rPr>
          <w:rStyle w:val="optioncarChar"/>
        </w:rPr>
        <w:t>***</w:t>
      </w:r>
    </w:p>
    <w:p w14:paraId="3EE48005" w14:textId="77777777" w:rsidR="004B2808" w:rsidRDefault="00000000">
      <w:pPr>
        <w:pStyle w:val="Author-eListParagraph"/>
        <w:numPr>
          <w:ilvl w:val="0"/>
          <w:numId w:val="1634"/>
        </w:numPr>
      </w:pPr>
      <w:r>
        <w:t xml:space="preserve">Armoires de vestiaire : </w:t>
      </w:r>
      <w:r>
        <w:rPr>
          <w:rStyle w:val="optioncarChar"/>
        </w:rPr>
        <w:t>***</w:t>
      </w:r>
    </w:p>
    <w:p w14:paraId="5F100533" w14:textId="77777777" w:rsidR="004B2808" w:rsidRDefault="00000000">
      <w:pPr>
        <w:pStyle w:val="Author-eListParagraph"/>
        <w:numPr>
          <w:ilvl w:val="0"/>
          <w:numId w:val="1634"/>
        </w:numPr>
      </w:pPr>
      <w:r>
        <w:t xml:space="preserve">Placards dans les chambres à coucher : </w:t>
      </w:r>
      <w:r>
        <w:rPr>
          <w:rStyle w:val="optioncarChar"/>
        </w:rPr>
        <w:t>***</w:t>
      </w:r>
    </w:p>
    <w:p w14:paraId="04A45703" w14:textId="77777777" w:rsidR="004B2808" w:rsidRDefault="00000000">
      <w:pPr>
        <w:pStyle w:val="pheading"/>
      </w:pPr>
      <w:r>
        <w:t>MATÉRIAUX</w:t>
      </w:r>
    </w:p>
    <w:p w14:paraId="2FAACDA1" w14:textId="77777777" w:rsidR="004B2808" w:rsidRDefault="00000000">
      <w:pPr>
        <w:pStyle w:val="pheading"/>
      </w:pPr>
      <w:r>
        <w:t>- Caractéristiques générales</w:t>
      </w:r>
    </w:p>
    <w:p w14:paraId="469F7487" w14:textId="77777777" w:rsidR="004B2808" w:rsidRDefault="00000000">
      <w:pPr>
        <w:pStyle w:val="heading"/>
      </w:pPr>
      <w:r>
        <w:t>Spécifications tiroirs</w:t>
      </w:r>
    </w:p>
    <w:p w14:paraId="6E462D1E" w14:textId="77777777" w:rsidR="004B2808" w:rsidRDefault="00000000">
      <w:pPr>
        <w:pStyle w:val="Author-eListParagraph"/>
        <w:numPr>
          <w:ilvl w:val="0"/>
          <w:numId w:val="1635"/>
        </w:numPr>
      </w:pPr>
      <w:r>
        <w:t>Tiroirs coulissants : </w:t>
      </w:r>
      <w:r>
        <w:br/>
      </w:r>
      <w:r>
        <w:rPr>
          <w:b/>
        </w:rPr>
        <w:t> </w:t>
      </w:r>
    </w:p>
    <w:p w14:paraId="153DBC15" w14:textId="77777777" w:rsidR="004B2808" w:rsidRDefault="00000000">
      <w:pPr>
        <w:ind w:left="450"/>
      </w:pPr>
      <w:r>
        <w:rPr>
          <w:b/>
        </w:rPr>
        <w:t>Choix opéré</w:t>
      </w:r>
      <w:r>
        <w:t> : </w:t>
      </w:r>
      <w:r>
        <w:rPr>
          <w:rStyle w:val="optioncarChar"/>
        </w:rPr>
        <w:t>***  / OPTION 1 / OPTION 2</w:t>
      </w:r>
    </w:p>
    <w:p w14:paraId="7C651F8E" w14:textId="77777777" w:rsidR="004B2808" w:rsidRDefault="00000000">
      <w:pPr>
        <w:ind w:left="450"/>
      </w:pPr>
      <w:r>
        <w:rPr>
          <w:b/>
        </w:rPr>
        <w:t>OPTION 1 </w:t>
      </w:r>
      <w:r>
        <w:t>: tiroirs préfabriqués constitués d'une combinaison de côtés en tôle métallique laquée et d'un fond en plaque d'aggloméré revêtu, de  </w:t>
      </w:r>
      <w:r>
        <w:rPr>
          <w:rStyle w:val="optioncarChar"/>
        </w:rPr>
        <w:t>*** / 16</w:t>
      </w:r>
      <w:r>
        <w:t>  mm d'épaisseur. </w:t>
      </w:r>
      <w:r>
        <w:br/>
      </w:r>
      <w:r>
        <w:rPr>
          <w:b/>
        </w:rPr>
        <w:t>OPTION 2</w:t>
      </w:r>
      <w:r>
        <w:t> :  panneaux de bois agglomérés, épaisseur </w:t>
      </w:r>
      <w:r>
        <w:rPr>
          <w:rStyle w:val="optioncarChar"/>
        </w:rPr>
        <w:t>*** / 16 / 18</w:t>
      </w:r>
      <w:r>
        <w:t> . Finition : </w:t>
      </w:r>
      <w:r>
        <w:rPr>
          <w:rStyle w:val="optioncarChar"/>
        </w:rPr>
        <w:t>*** / identique à celle de la structure de l 'armoire / revêtement en PVC</w:t>
      </w:r>
      <w:r>
        <w:t>. Chants apparents : </w:t>
      </w:r>
      <w:r>
        <w:rPr>
          <w:rStyle w:val="optioncarChar"/>
        </w:rPr>
        <w:t>*** / bande en matière synthétique / revêtement en PVC </w:t>
      </w:r>
      <w:r>
        <w:t>, épaisseur min. 0,2 mm . </w:t>
      </w:r>
    </w:p>
    <w:p w14:paraId="4E78980D" w14:textId="77777777" w:rsidR="004B2808" w:rsidRDefault="00000000">
      <w:pPr>
        <w:pStyle w:val="Author-eListParagraph"/>
        <w:numPr>
          <w:ilvl w:val="0"/>
          <w:numId w:val="1636"/>
        </w:numPr>
      </w:pPr>
      <w:r>
        <w:t>Coulisses : </w:t>
      </w:r>
      <w:r>
        <w:rPr>
          <w:rStyle w:val="optioncarChar"/>
        </w:rPr>
        <w:t>*** / rainures en forme de U / coulisses télescopiques</w:t>
      </w:r>
    </w:p>
    <w:p w14:paraId="036E022B" w14:textId="77777777" w:rsidR="004B2808" w:rsidRDefault="00000000">
      <w:pPr>
        <w:pStyle w:val="heading"/>
      </w:pPr>
      <w:r>
        <w:t> </w:t>
      </w:r>
    </w:p>
    <w:p w14:paraId="2E55DE20" w14:textId="77777777" w:rsidR="004B2808" w:rsidRDefault="00000000">
      <w:pPr>
        <w:pStyle w:val="heading"/>
      </w:pPr>
      <w:r>
        <w:t>Spécifications poignées &amp; tirants</w:t>
      </w:r>
    </w:p>
    <w:p w14:paraId="2F373570" w14:textId="77777777" w:rsidR="004B2808" w:rsidRDefault="00000000">
      <w:r>
        <w:rPr>
          <w:b/>
        </w:rPr>
        <w:t>Choix opéré </w:t>
      </w:r>
      <w:r>
        <w:t>: </w:t>
      </w:r>
      <w:r>
        <w:rPr>
          <w:rStyle w:val="optioncarChar"/>
        </w:rPr>
        <w:t>*** / OPTION (sans) / OPTION 2 (poignées) / OPTION 3 (boutons)</w:t>
      </w:r>
    </w:p>
    <w:p w14:paraId="7409CBEC" w14:textId="77777777" w:rsidR="004B2808" w:rsidRDefault="00000000">
      <w:r>
        <w:rPr>
          <w:b/>
        </w:rPr>
        <w:t>OPTION 1</w:t>
      </w:r>
      <w:r>
        <w:t> : Sans poignées visibles</w:t>
      </w:r>
    </w:p>
    <w:p w14:paraId="36E10C74" w14:textId="77777777" w:rsidR="004B2808" w:rsidRDefault="00000000">
      <w:pPr>
        <w:pStyle w:val="Author-eListParagraph"/>
        <w:numPr>
          <w:ilvl w:val="0"/>
          <w:numId w:val="1637"/>
        </w:numPr>
      </w:pPr>
      <w:r>
        <w:t>Tiroirs et armoires basses : profil en</w:t>
      </w:r>
      <w:r>
        <w:rPr>
          <w:rStyle w:val="optioncarChar"/>
        </w:rPr>
        <w:t> *** / C / U</w:t>
      </w:r>
      <w:r>
        <w:t> embrevé en</w:t>
      </w:r>
      <w:r>
        <w:rPr>
          <w:rStyle w:val="optioncarChar"/>
        </w:rPr>
        <w:t> *** / aluminium / acier chromé / acier inoxydable / ***</w:t>
      </w:r>
    </w:p>
    <w:p w14:paraId="72A79162" w14:textId="77777777" w:rsidR="004B2808" w:rsidRDefault="00000000">
      <w:pPr>
        <w:pStyle w:val="Author-eListParagraph"/>
        <w:numPr>
          <w:ilvl w:val="0"/>
          <w:numId w:val="1637"/>
        </w:numPr>
      </w:pPr>
      <w:r>
        <w:t>Hauteur : minimum </w:t>
      </w:r>
      <w:r>
        <w:rPr>
          <w:rStyle w:val="optioncarChar"/>
        </w:rPr>
        <w:t>*** / 6 </w:t>
      </w:r>
      <w:r>
        <w:t>cm.</w:t>
      </w:r>
    </w:p>
    <w:p w14:paraId="2181553D" w14:textId="77777777" w:rsidR="004B2808" w:rsidRDefault="00000000">
      <w:pPr>
        <w:pStyle w:val="Author-eListParagraph"/>
        <w:numPr>
          <w:ilvl w:val="0"/>
          <w:numId w:val="1637"/>
        </w:numPr>
      </w:pPr>
      <w:r>
        <w:t>Coloris : </w:t>
      </w:r>
      <w:r>
        <w:rPr>
          <w:rStyle w:val="optioncarChar"/>
        </w:rPr>
        <w:t>*** / blanc </w:t>
      </w:r>
      <w:r>
        <w:t>.</w:t>
      </w:r>
    </w:p>
    <w:p w14:paraId="79AFC9B7" w14:textId="77777777" w:rsidR="004B2808" w:rsidRDefault="00000000">
      <w:pPr>
        <w:pStyle w:val="Author-eListParagraph"/>
        <w:numPr>
          <w:ilvl w:val="0"/>
          <w:numId w:val="1637"/>
        </w:numPr>
      </w:pPr>
      <w:r>
        <w:t>Armoires suspendues : les portes des armoires dépasseront d'environ </w:t>
      </w:r>
      <w:r>
        <w:rPr>
          <w:rStyle w:val="optioncarChar"/>
        </w:rPr>
        <w:t>*** / 4</w:t>
      </w:r>
      <w:r>
        <w:t> cm par rapport à la structure de l'armoire.</w:t>
      </w:r>
    </w:p>
    <w:p w14:paraId="67DA7966" w14:textId="77777777" w:rsidR="004B2808" w:rsidRDefault="00000000">
      <w:r>
        <w:rPr>
          <w:b/>
        </w:rPr>
        <w:t>OPION 2</w:t>
      </w:r>
      <w:r>
        <w:t> : Avec poignées</w:t>
      </w:r>
    </w:p>
    <w:p w14:paraId="43702B13" w14:textId="77777777" w:rsidR="004B2808" w:rsidRDefault="00000000">
      <w:pPr>
        <w:pStyle w:val="Author-eListParagraph"/>
        <w:numPr>
          <w:ilvl w:val="0"/>
          <w:numId w:val="1638"/>
        </w:numPr>
      </w:pPr>
      <w:r>
        <w:lastRenderedPageBreak/>
        <w:t>Poignées en forme de</w:t>
      </w:r>
      <w:r>
        <w:rPr>
          <w:rStyle w:val="optioncarChar"/>
        </w:rPr>
        <w:t> *** / U</w:t>
      </w:r>
      <w:r>
        <w:t> en </w:t>
      </w:r>
      <w:r>
        <w:rPr>
          <w:rStyle w:val="optioncarChar"/>
        </w:rPr>
        <w:t>*** / acier chromé / acier inoxydable / matière synthétique de première qualité /*** </w:t>
      </w:r>
      <w:r>
        <w:t>, de section </w:t>
      </w:r>
      <w:r>
        <w:rPr>
          <w:rStyle w:val="optioncarChar"/>
        </w:rPr>
        <w:t>*** / ronde</w:t>
      </w:r>
      <w:r>
        <w:t> d'environ </w:t>
      </w:r>
      <w:r>
        <w:rPr>
          <w:rStyle w:val="optioncarChar"/>
        </w:rPr>
        <w:t>*** / 8 </w:t>
      </w:r>
      <w:r>
        <w:t>mm. Coloris : </w:t>
      </w:r>
      <w:r>
        <w:rPr>
          <w:rStyle w:val="optioncarChar"/>
        </w:rPr>
        <w:t>*** / à choisir dans la gamme standard proposée par le fabricant </w:t>
      </w:r>
      <w:r>
        <w:t>.</w:t>
      </w:r>
    </w:p>
    <w:p w14:paraId="41315CC2" w14:textId="77777777" w:rsidR="004B2808" w:rsidRDefault="00000000">
      <w:pPr>
        <w:pStyle w:val="Author-eListParagraph"/>
        <w:numPr>
          <w:ilvl w:val="0"/>
          <w:numId w:val="1638"/>
        </w:numPr>
      </w:pPr>
      <w:r>
        <w:t>Largeur : </w:t>
      </w:r>
      <w:r>
        <w:rPr>
          <w:rStyle w:val="optioncarChar"/>
        </w:rPr>
        <w:t>*** / 10 </w:t>
      </w:r>
      <w:r>
        <w:t>cm, débordement </w:t>
      </w:r>
      <w:r>
        <w:rPr>
          <w:rStyle w:val="optioncarChar"/>
        </w:rPr>
        <w:t>*** / 3</w:t>
      </w:r>
      <w:r>
        <w:t> cm.</w:t>
      </w:r>
    </w:p>
    <w:p w14:paraId="1DC044B0" w14:textId="77777777" w:rsidR="004B2808" w:rsidRDefault="00000000">
      <w:r>
        <w:rPr>
          <w:b/>
        </w:rPr>
        <w:t>OPTION 3</w:t>
      </w:r>
      <w:r>
        <w:t> : Avec boutons</w:t>
      </w:r>
    </w:p>
    <w:p w14:paraId="7417CEFA" w14:textId="77777777" w:rsidR="004B2808" w:rsidRDefault="00000000">
      <w:pPr>
        <w:pStyle w:val="Author-eListParagraph"/>
        <w:numPr>
          <w:ilvl w:val="0"/>
          <w:numId w:val="1639"/>
        </w:numPr>
      </w:pPr>
      <w:r>
        <w:t>Poignées sphériques : </w:t>
      </w:r>
      <w:r>
        <w:rPr>
          <w:rStyle w:val="optioncarChar"/>
        </w:rPr>
        <w:t>*** / bois / matière synthétique de première qualité / *** </w:t>
      </w:r>
      <w:r>
        <w:t>Coloris :</w:t>
      </w:r>
      <w:r>
        <w:rPr>
          <w:rStyle w:val="optioncarChar"/>
        </w:rPr>
        <w:t> *** / blanc / à choisir dans la gamme standard proposée par le fabricant / ***</w:t>
      </w:r>
    </w:p>
    <w:p w14:paraId="506C521E" w14:textId="77777777" w:rsidR="004B2808" w:rsidRDefault="00000000">
      <w:pPr>
        <w:pStyle w:val="Author-eListParagraph"/>
        <w:numPr>
          <w:ilvl w:val="0"/>
          <w:numId w:val="1639"/>
        </w:numPr>
      </w:pPr>
      <w:r>
        <w:t>Section:  </w:t>
      </w:r>
      <w:r>
        <w:rPr>
          <w:rStyle w:val="optioncarChar"/>
        </w:rPr>
        <w:t>*** / 3</w:t>
      </w:r>
      <w:r>
        <w:t> cm, débordement </w:t>
      </w:r>
      <w:r>
        <w:rPr>
          <w:rStyle w:val="optioncarChar"/>
        </w:rPr>
        <w:t>*** / 3</w:t>
      </w:r>
      <w:r>
        <w:t>  cm.</w:t>
      </w:r>
    </w:p>
    <w:p w14:paraId="66972821" w14:textId="77777777" w:rsidR="004B2808" w:rsidRDefault="00000000">
      <w:r>
        <w:rPr>
          <w:rStyle w:val="optioncarChar"/>
        </w:rPr>
        <w:t> </w:t>
      </w:r>
    </w:p>
    <w:p w14:paraId="4FEB7505" w14:textId="77777777" w:rsidR="004B2808" w:rsidRDefault="00000000">
      <w:pPr>
        <w:pStyle w:val="pheading"/>
      </w:pPr>
      <w:r>
        <w:t>- Prescriptions complémentaires</w:t>
      </w:r>
    </w:p>
    <w:p w14:paraId="16F52466" w14:textId="77777777" w:rsidR="004B2808" w:rsidRDefault="00000000">
      <w:pPr>
        <w:pStyle w:val="heading"/>
      </w:pPr>
      <w:r>
        <w:t>Tiroirs</w:t>
      </w:r>
    </w:p>
    <w:p w14:paraId="55821FE4" w14:textId="77777777" w:rsidR="004B2808" w:rsidRDefault="00000000">
      <w:pPr>
        <w:pStyle w:val="Author-eListParagraph"/>
        <w:numPr>
          <w:ilvl w:val="0"/>
          <w:numId w:val="1640"/>
        </w:numPr>
      </w:pPr>
      <w:r>
        <w:rPr>
          <w:sz w:val="18"/>
        </w:rPr>
        <w:t xml:space="preserve">Façades postformées : </w:t>
      </w:r>
      <w:r>
        <w:rPr>
          <w:rStyle w:val="optioncarChar"/>
          <w:sz w:val="18"/>
        </w:rPr>
        <w:t>*** / horizontale / verticale</w:t>
      </w:r>
      <w:r>
        <w:rPr>
          <w:sz w:val="18"/>
        </w:rPr>
        <w:t xml:space="preserve"> sur  </w:t>
      </w:r>
      <w:r>
        <w:rPr>
          <w:rStyle w:val="optioncarChar"/>
          <w:sz w:val="18"/>
        </w:rPr>
        <w:t>*** / 90° / 180°</w:t>
      </w:r>
      <w:r>
        <w:rPr>
          <w:sz w:val="18"/>
        </w:rPr>
        <w:t xml:space="preserve"> sur toute l’épaisseur.</w:t>
      </w:r>
    </w:p>
    <w:p w14:paraId="7C0E4890" w14:textId="77777777" w:rsidR="004B2808" w:rsidRDefault="00000000">
      <w:pPr>
        <w:pStyle w:val="Author-eListParagraph"/>
        <w:numPr>
          <w:ilvl w:val="0"/>
          <w:numId w:val="1640"/>
        </w:numPr>
      </w:pPr>
      <w:r>
        <w:rPr>
          <w:sz w:val="18"/>
        </w:rPr>
        <w:t xml:space="preserve">Chants visibles non postformés : </w:t>
      </w:r>
      <w:r>
        <w:rPr>
          <w:rStyle w:val="optioncarChar"/>
          <w:sz w:val="18"/>
        </w:rPr>
        <w:t>*** / bande de stratifié haute pression / listel acrylique d'au moins 2 mm d'épaisseur</w:t>
      </w:r>
      <w:r>
        <w:rPr>
          <w:sz w:val="18"/>
        </w:rPr>
        <w:t>.</w:t>
      </w:r>
    </w:p>
    <w:p w14:paraId="4B02BB3E" w14:textId="77777777" w:rsidR="004B2808" w:rsidRDefault="00000000">
      <w:pPr>
        <w:pStyle w:val="pheading"/>
      </w:pPr>
      <w:r>
        <w:t>MESURAGE</w:t>
      </w:r>
    </w:p>
    <w:p w14:paraId="42D607F9" w14:textId="77777777" w:rsidR="004B2808" w:rsidRDefault="00000000">
      <w:r>
        <w:t>En fonction de la nature des armoires encastrées, des indications spécifiques dans le cahier spécial des charges et/ou le métré récapitulatif, le mesurage doit être conçu comme suit :</w:t>
      </w:r>
    </w:p>
    <w:p w14:paraId="27FCBC1E" w14:textId="77777777" w:rsidR="004B2808" w:rsidRDefault="00000000">
      <w:pPr>
        <w:pStyle w:val="pheading"/>
      </w:pPr>
      <w:r>
        <w:t>- unité de mesure:</w:t>
      </w:r>
    </w:p>
    <w:p w14:paraId="25C98A84" w14:textId="77777777" w:rsidR="004B2808" w:rsidRDefault="00000000">
      <w:r>
        <w:t>p</w:t>
      </w:r>
    </w:p>
    <w:p w14:paraId="3FD3A599" w14:textId="77777777" w:rsidR="004B2808" w:rsidRDefault="00000000">
      <w:pPr>
        <w:pStyle w:val="pheading"/>
      </w:pPr>
      <w:r>
        <w:t>- code de mesurage:</w:t>
      </w:r>
    </w:p>
    <w:p w14:paraId="3584A88A" w14:textId="77777777" w:rsidR="004B2808" w:rsidRDefault="00000000">
      <w:r>
        <w:t xml:space="preserve">Selon le type </w:t>
      </w:r>
    </w:p>
    <w:p w14:paraId="3D427453" w14:textId="77777777" w:rsidR="004B2808" w:rsidRDefault="00000000">
      <w:pPr>
        <w:pStyle w:val="pheading"/>
      </w:pPr>
      <w:r>
        <w:t>- nature du marché:</w:t>
      </w:r>
    </w:p>
    <w:p w14:paraId="397564DA" w14:textId="77777777" w:rsidR="004B2808" w:rsidRDefault="00000000">
      <w:r>
        <w:t>QF</w:t>
      </w:r>
    </w:p>
    <w:p w14:paraId="67AACAB9" w14:textId="77777777" w:rsidR="004B2808" w:rsidRDefault="00000000">
      <w:pPr>
        <w:pStyle w:val="Author-eSectionHeading5Numberless"/>
      </w:pPr>
      <w:bookmarkStart w:id="1824" w:name="_Toc220491908"/>
      <w:r>
        <w:t>58.42.3 Armoires encastrées - Caissons CCTB 01.02</w:t>
      </w:r>
      <w:bookmarkEnd w:id="1824"/>
    </w:p>
    <w:p w14:paraId="1E2FF8A5" w14:textId="77777777" w:rsidR="004B2808" w:rsidRDefault="00000000">
      <w:pPr>
        <w:pStyle w:val="Author-eSectionHeading6Numberless"/>
      </w:pPr>
      <w:bookmarkStart w:id="1825" w:name="_Toc220491909"/>
      <w:r>
        <w:t>58.42.3a Armoires encastrées - Caissons CCTB 01.02</w:t>
      </w:r>
      <w:bookmarkEnd w:id="1825"/>
    </w:p>
    <w:p w14:paraId="316298D3" w14:textId="77777777" w:rsidR="004B2808" w:rsidRDefault="00000000">
      <w:pPr>
        <w:pStyle w:val="pheading"/>
      </w:pPr>
      <w:r>
        <w:t>DESCRIPTION</w:t>
      </w:r>
    </w:p>
    <w:p w14:paraId="2E8DAA0D" w14:textId="77777777" w:rsidR="004B2808" w:rsidRDefault="00000000">
      <w:pPr>
        <w:pStyle w:val="pheading"/>
      </w:pPr>
      <w:r>
        <w:t>- Localisation</w:t>
      </w:r>
    </w:p>
    <w:p w14:paraId="0BC16E92" w14:textId="77777777" w:rsidR="004B2808" w:rsidRDefault="00000000">
      <w:pPr>
        <w:pStyle w:val="Author-eListParagraph"/>
        <w:numPr>
          <w:ilvl w:val="0"/>
          <w:numId w:val="1641"/>
        </w:numPr>
      </w:pPr>
      <w:r>
        <w:t>Armoires pour compteurs :</w:t>
      </w:r>
      <w:r>
        <w:rPr>
          <w:rStyle w:val="optioncarChar"/>
        </w:rPr>
        <w:t xml:space="preserve"> ***</w:t>
      </w:r>
    </w:p>
    <w:p w14:paraId="16BB9336" w14:textId="77777777" w:rsidR="004B2808" w:rsidRDefault="00000000">
      <w:pPr>
        <w:pStyle w:val="Author-eListParagraph"/>
        <w:numPr>
          <w:ilvl w:val="0"/>
          <w:numId w:val="1641"/>
        </w:numPr>
      </w:pPr>
      <w:r>
        <w:t xml:space="preserve">Armoires de vestiaire : </w:t>
      </w:r>
      <w:r>
        <w:rPr>
          <w:rStyle w:val="optioncarChar"/>
        </w:rPr>
        <w:t>***</w:t>
      </w:r>
    </w:p>
    <w:p w14:paraId="350B2CA0" w14:textId="77777777" w:rsidR="004B2808" w:rsidRDefault="00000000">
      <w:pPr>
        <w:pStyle w:val="Author-eListParagraph"/>
        <w:numPr>
          <w:ilvl w:val="0"/>
          <w:numId w:val="1641"/>
        </w:numPr>
      </w:pPr>
      <w:r>
        <w:t xml:space="preserve">Placards dans les chambres à coucher : </w:t>
      </w:r>
      <w:r>
        <w:rPr>
          <w:rStyle w:val="optioncarChar"/>
        </w:rPr>
        <w:t>***</w:t>
      </w:r>
    </w:p>
    <w:p w14:paraId="08BBBDD6" w14:textId="77777777" w:rsidR="004B2808" w:rsidRDefault="00000000">
      <w:pPr>
        <w:pStyle w:val="pheading"/>
      </w:pPr>
      <w:r>
        <w:t>MESURAGE</w:t>
      </w:r>
    </w:p>
    <w:p w14:paraId="256E67B3" w14:textId="77777777" w:rsidR="004B2808" w:rsidRDefault="00000000">
      <w:r>
        <w:t>En fonction de la nature des armoires encastrées, des indications spécifiques dans le cahier spécial des charges et/ou le métré récapitulatif, le mesurage doit être conçu comme suit :</w:t>
      </w:r>
    </w:p>
    <w:p w14:paraId="178D1745" w14:textId="77777777" w:rsidR="004B2808" w:rsidRDefault="00000000">
      <w:pPr>
        <w:pStyle w:val="pheading"/>
      </w:pPr>
      <w:r>
        <w:t>- unité de mesure:</w:t>
      </w:r>
    </w:p>
    <w:p w14:paraId="1AC2725C" w14:textId="77777777" w:rsidR="004B2808" w:rsidRDefault="00000000">
      <w:r>
        <w:t>p</w:t>
      </w:r>
    </w:p>
    <w:p w14:paraId="30A9E10E" w14:textId="77777777" w:rsidR="004B2808" w:rsidRDefault="00000000">
      <w:pPr>
        <w:pStyle w:val="pheading"/>
      </w:pPr>
      <w:r>
        <w:t>- code de mesurage:</w:t>
      </w:r>
    </w:p>
    <w:p w14:paraId="002BA151" w14:textId="77777777" w:rsidR="004B2808" w:rsidRDefault="00000000">
      <w:r>
        <w:t xml:space="preserve">Selon le type </w:t>
      </w:r>
    </w:p>
    <w:p w14:paraId="24D861FD" w14:textId="77777777" w:rsidR="004B2808" w:rsidRDefault="00000000">
      <w:pPr>
        <w:pStyle w:val="pheading"/>
      </w:pPr>
      <w:r>
        <w:t>- nature du marché:</w:t>
      </w:r>
    </w:p>
    <w:p w14:paraId="1C33FE48" w14:textId="77777777" w:rsidR="004B2808" w:rsidRDefault="00000000">
      <w:r>
        <w:t>QF</w:t>
      </w:r>
    </w:p>
    <w:p w14:paraId="11AECA14" w14:textId="77777777" w:rsidR="004B2808" w:rsidRDefault="00000000">
      <w:pPr>
        <w:pStyle w:val="Author-eSectionHeading4Numberless"/>
      </w:pPr>
      <w:bookmarkStart w:id="1826" w:name="_Toc220491910"/>
      <w:r>
        <w:lastRenderedPageBreak/>
        <w:t>58.43 Armoires encastrées - Plans de travail / Tablettes CCTB 01.02</w:t>
      </w:r>
      <w:bookmarkEnd w:id="1826"/>
    </w:p>
    <w:p w14:paraId="798B2466" w14:textId="77777777" w:rsidR="004B2808" w:rsidRDefault="00000000">
      <w:pPr>
        <w:pStyle w:val="Author-eSectionHeading5Numberless"/>
      </w:pPr>
      <w:bookmarkStart w:id="1827" w:name="_Toc220491911"/>
      <w:r>
        <w:t>58.43.1 Armoires encastrées - Plans de travail CCTB 01.02</w:t>
      </w:r>
      <w:bookmarkEnd w:id="1827"/>
    </w:p>
    <w:p w14:paraId="6A0053AA" w14:textId="77777777" w:rsidR="004B2808" w:rsidRDefault="00000000">
      <w:pPr>
        <w:pStyle w:val="Author-eSectionHeading6Numberless"/>
      </w:pPr>
      <w:bookmarkStart w:id="1828" w:name="_Toc220491912"/>
      <w:r>
        <w:t>58.43.1a Armoires encastrées - Plans de travail CCTB 01.10</w:t>
      </w:r>
      <w:bookmarkEnd w:id="1828"/>
    </w:p>
    <w:p w14:paraId="29968F47" w14:textId="77777777" w:rsidR="004B2808" w:rsidRDefault="00000000">
      <w:pPr>
        <w:pStyle w:val="pheading"/>
      </w:pPr>
      <w:r>
        <w:t>DESCRIPTION</w:t>
      </w:r>
    </w:p>
    <w:p w14:paraId="10036D90" w14:textId="77777777" w:rsidR="004B2808" w:rsidRDefault="00000000">
      <w:pPr>
        <w:pStyle w:val="pheading"/>
      </w:pPr>
      <w:r>
        <w:t>- Localisation</w:t>
      </w:r>
    </w:p>
    <w:p w14:paraId="6E8EEDD3" w14:textId="77777777" w:rsidR="004B2808" w:rsidRDefault="00000000">
      <w:r>
        <w:t xml:space="preserve">Armoires pour compteurs : </w:t>
      </w:r>
      <w:r>
        <w:rPr>
          <w:rStyle w:val="optioncarChar"/>
        </w:rPr>
        <w:t>***</w:t>
      </w:r>
      <w:r>
        <w:br/>
        <w:t xml:space="preserve">Armoires de vestiaire : </w:t>
      </w:r>
      <w:r>
        <w:rPr>
          <w:rStyle w:val="optioncarChar"/>
        </w:rPr>
        <w:t>***</w:t>
      </w:r>
      <w:r>
        <w:br/>
        <w:t xml:space="preserve">Placards dans les chambres à coucher : </w:t>
      </w:r>
      <w:r>
        <w:rPr>
          <w:rStyle w:val="optioncarChar"/>
        </w:rPr>
        <w:t>***</w:t>
      </w:r>
    </w:p>
    <w:p w14:paraId="7C46A08C" w14:textId="77777777" w:rsidR="004B2808" w:rsidRDefault="00000000">
      <w:pPr>
        <w:pStyle w:val="pheading"/>
      </w:pPr>
      <w:r>
        <w:t>MESURAGE</w:t>
      </w:r>
    </w:p>
    <w:p w14:paraId="3C8A2674" w14:textId="77777777" w:rsidR="004B2808" w:rsidRDefault="00000000">
      <w:r>
        <w:t>En fonction de la nature des armoires encastrées, des indications spécifiques dans le cahier spécial des charges et/ou le métré récapitulatif, le mesurage doit être conçu comme suit :</w:t>
      </w:r>
    </w:p>
    <w:p w14:paraId="1AF1F2E8" w14:textId="77777777" w:rsidR="004B2808" w:rsidRDefault="00000000">
      <w:pPr>
        <w:pStyle w:val="pheading"/>
      </w:pPr>
      <w:r>
        <w:t>- unité de mesure:</w:t>
      </w:r>
    </w:p>
    <w:p w14:paraId="4F005BB0" w14:textId="77777777" w:rsidR="004B2808" w:rsidRDefault="00000000">
      <w:r>
        <w:t>p</w:t>
      </w:r>
    </w:p>
    <w:p w14:paraId="5BCA4B9F" w14:textId="77777777" w:rsidR="004B2808" w:rsidRDefault="00000000">
      <w:pPr>
        <w:pStyle w:val="pheading"/>
      </w:pPr>
      <w:r>
        <w:t>- code de mesurage:</w:t>
      </w:r>
    </w:p>
    <w:p w14:paraId="7AC4070C" w14:textId="77777777" w:rsidR="004B2808" w:rsidRDefault="00000000">
      <w:r>
        <w:t xml:space="preserve">Selon le type </w:t>
      </w:r>
    </w:p>
    <w:p w14:paraId="4D4F53F7" w14:textId="77777777" w:rsidR="004B2808" w:rsidRDefault="00000000">
      <w:pPr>
        <w:pStyle w:val="pheading"/>
      </w:pPr>
      <w:r>
        <w:t>- nature du marché:</w:t>
      </w:r>
    </w:p>
    <w:p w14:paraId="77550744" w14:textId="77777777" w:rsidR="004B2808" w:rsidRDefault="00000000">
      <w:r>
        <w:t>QF</w:t>
      </w:r>
    </w:p>
    <w:p w14:paraId="1404A20F" w14:textId="77777777" w:rsidR="004B2808" w:rsidRDefault="00000000">
      <w:pPr>
        <w:pStyle w:val="Author-eSectionHeading5Numberless"/>
      </w:pPr>
      <w:bookmarkStart w:id="1829" w:name="_Toc220491913"/>
      <w:r>
        <w:t>58.43.2 Armoires encastrées - Tablettes CCTB 01.02</w:t>
      </w:r>
      <w:bookmarkEnd w:id="1829"/>
    </w:p>
    <w:p w14:paraId="10C9D1B9" w14:textId="77777777" w:rsidR="004B2808" w:rsidRDefault="00000000">
      <w:pPr>
        <w:pStyle w:val="Author-eSectionHeading6Numberless"/>
      </w:pPr>
      <w:bookmarkStart w:id="1830" w:name="_Toc220491914"/>
      <w:r>
        <w:t>58.43.2a Armoires encastrées - Tablettes CCTB 01.10</w:t>
      </w:r>
      <w:bookmarkEnd w:id="1830"/>
    </w:p>
    <w:p w14:paraId="297F697F" w14:textId="77777777" w:rsidR="004B2808" w:rsidRDefault="00000000">
      <w:pPr>
        <w:pStyle w:val="pheading"/>
      </w:pPr>
      <w:r>
        <w:t>DESCRIPTION</w:t>
      </w:r>
    </w:p>
    <w:p w14:paraId="17FEE4F6" w14:textId="77777777" w:rsidR="004B2808" w:rsidRDefault="00000000">
      <w:pPr>
        <w:pStyle w:val="pheading"/>
      </w:pPr>
      <w:r>
        <w:t>- Localisation</w:t>
      </w:r>
    </w:p>
    <w:p w14:paraId="28A27135" w14:textId="77777777" w:rsidR="004B2808" w:rsidRDefault="00000000">
      <w:r>
        <w:t xml:space="preserve">Armoires pour compteurs : </w:t>
      </w:r>
      <w:r>
        <w:rPr>
          <w:rStyle w:val="optioncarChar"/>
        </w:rPr>
        <w:t>***</w:t>
      </w:r>
      <w:r>
        <w:br/>
        <w:t xml:space="preserve">Armoires de vestiaire : </w:t>
      </w:r>
      <w:r>
        <w:rPr>
          <w:rStyle w:val="optioncarChar"/>
        </w:rPr>
        <w:t>***</w:t>
      </w:r>
      <w:r>
        <w:br/>
        <w:t xml:space="preserve">Placards dans les chambres à coucher : </w:t>
      </w:r>
      <w:r>
        <w:rPr>
          <w:rStyle w:val="optioncarChar"/>
        </w:rPr>
        <w:t>***</w:t>
      </w:r>
    </w:p>
    <w:p w14:paraId="7ADDCECC" w14:textId="77777777" w:rsidR="004B2808" w:rsidRDefault="00000000">
      <w:pPr>
        <w:pStyle w:val="pheading"/>
      </w:pPr>
      <w:r>
        <w:t>MESURAGE</w:t>
      </w:r>
    </w:p>
    <w:p w14:paraId="2A53726E" w14:textId="77777777" w:rsidR="004B2808" w:rsidRDefault="00000000">
      <w:r>
        <w:t>En fonction de la nature des armoires encastrées, des indications spécifiques dans le cahier spécial des charges et/ou le métré récapitulatif, le mesurage doit être conçu comme suit :</w:t>
      </w:r>
    </w:p>
    <w:p w14:paraId="5E59A56C" w14:textId="77777777" w:rsidR="004B2808" w:rsidRDefault="00000000">
      <w:pPr>
        <w:pStyle w:val="pheading"/>
      </w:pPr>
      <w:r>
        <w:t>- unité de mesure:</w:t>
      </w:r>
    </w:p>
    <w:p w14:paraId="302C1AAB" w14:textId="77777777" w:rsidR="004B2808" w:rsidRDefault="00000000">
      <w:r>
        <w:t>p</w:t>
      </w:r>
    </w:p>
    <w:p w14:paraId="2707E452" w14:textId="77777777" w:rsidR="004B2808" w:rsidRDefault="00000000">
      <w:pPr>
        <w:pStyle w:val="pheading"/>
      </w:pPr>
      <w:r>
        <w:t>- code de mesurage:</w:t>
      </w:r>
    </w:p>
    <w:p w14:paraId="74CEDB3A" w14:textId="77777777" w:rsidR="004B2808" w:rsidRDefault="00000000">
      <w:r>
        <w:t xml:space="preserve">Selon le type </w:t>
      </w:r>
    </w:p>
    <w:p w14:paraId="3EBD3E2D" w14:textId="77777777" w:rsidR="004B2808" w:rsidRDefault="00000000">
      <w:pPr>
        <w:pStyle w:val="pheading"/>
      </w:pPr>
      <w:r>
        <w:t>- nature du marché:</w:t>
      </w:r>
    </w:p>
    <w:p w14:paraId="7D0712CB" w14:textId="77777777" w:rsidR="004B2808" w:rsidRDefault="00000000">
      <w:r>
        <w:t>QF</w:t>
      </w:r>
    </w:p>
    <w:p w14:paraId="1368FCC5" w14:textId="77777777" w:rsidR="004B2808" w:rsidRDefault="00000000">
      <w:pPr>
        <w:pStyle w:val="Author-eSectionHeading4Numberless"/>
      </w:pPr>
      <w:bookmarkStart w:id="1831" w:name="_Toc220491915"/>
      <w:r>
        <w:t>58.44 Armoires encastrées - Quincaillerie complémentaire CCTB 01.02</w:t>
      </w:r>
      <w:bookmarkEnd w:id="1831"/>
    </w:p>
    <w:p w14:paraId="3DB5D155" w14:textId="77777777" w:rsidR="004B2808" w:rsidRDefault="00000000">
      <w:pPr>
        <w:pStyle w:val="Author-eSectionHeading5Numberless"/>
      </w:pPr>
      <w:bookmarkStart w:id="1832" w:name="_Toc220491916"/>
      <w:r>
        <w:t>58.44.1 Armoires encastrées - Quincaillerie complémentaire - Poignées et tirants CCTB 01.02</w:t>
      </w:r>
      <w:bookmarkEnd w:id="1832"/>
    </w:p>
    <w:p w14:paraId="032C7376" w14:textId="77777777" w:rsidR="004B2808" w:rsidRDefault="00000000">
      <w:pPr>
        <w:pStyle w:val="Author-eSectionHeading6Numberless"/>
      </w:pPr>
      <w:bookmarkStart w:id="1833" w:name="_Toc220491917"/>
      <w:r>
        <w:lastRenderedPageBreak/>
        <w:t>58.44.1a Armoires encastrées - Quincaillerie complémentaire - Poignées et tirants CCTB 01.10</w:t>
      </w:r>
      <w:bookmarkEnd w:id="1833"/>
    </w:p>
    <w:p w14:paraId="5B563794" w14:textId="77777777" w:rsidR="004B2808" w:rsidRDefault="00000000">
      <w:pPr>
        <w:pStyle w:val="pheading"/>
      </w:pPr>
      <w:r>
        <w:t>DESCRIPTION</w:t>
      </w:r>
    </w:p>
    <w:p w14:paraId="159F0E13" w14:textId="77777777" w:rsidR="004B2808" w:rsidRDefault="00000000">
      <w:pPr>
        <w:pStyle w:val="pheading"/>
      </w:pPr>
      <w:r>
        <w:t>- Localisation</w:t>
      </w:r>
    </w:p>
    <w:p w14:paraId="11EBA933" w14:textId="77777777" w:rsidR="004B2808" w:rsidRDefault="00000000">
      <w:r>
        <w:t xml:space="preserve">Armoires pour compteurs : </w:t>
      </w:r>
      <w:r>
        <w:rPr>
          <w:rStyle w:val="optioncarChar"/>
        </w:rPr>
        <w:t>***</w:t>
      </w:r>
      <w:r>
        <w:br/>
        <w:t xml:space="preserve">Armoires de vestiaire : </w:t>
      </w:r>
      <w:r>
        <w:rPr>
          <w:rStyle w:val="optioncarChar"/>
        </w:rPr>
        <w:t>***</w:t>
      </w:r>
      <w:r>
        <w:br/>
        <w:t xml:space="preserve">Placards dans les chambres à coucher : </w:t>
      </w:r>
      <w:r>
        <w:rPr>
          <w:rStyle w:val="optioncarChar"/>
        </w:rPr>
        <w:t>***</w:t>
      </w:r>
    </w:p>
    <w:p w14:paraId="18C6C925" w14:textId="77777777" w:rsidR="004B2808" w:rsidRDefault="00000000">
      <w:pPr>
        <w:pStyle w:val="pheading"/>
      </w:pPr>
      <w:r>
        <w:t>MATÉRIAUX</w:t>
      </w:r>
    </w:p>
    <w:p w14:paraId="1D1F4C16" w14:textId="77777777" w:rsidR="004B2808" w:rsidRDefault="00000000">
      <w:pPr>
        <w:pStyle w:val="pheading"/>
      </w:pPr>
      <w:r>
        <w:t>- Caractéristiques générales</w:t>
      </w:r>
    </w:p>
    <w:p w14:paraId="54B6B1F2" w14:textId="77777777" w:rsidR="004B2808" w:rsidRDefault="00000000">
      <w:pPr>
        <w:pStyle w:val="heading"/>
      </w:pPr>
      <w:r>
        <w:t>Spécifications</w:t>
      </w:r>
    </w:p>
    <w:p w14:paraId="7FD57577" w14:textId="77777777" w:rsidR="004B2808" w:rsidRDefault="00000000">
      <w:r>
        <w:rPr>
          <w:b/>
        </w:rPr>
        <w:t>Choix opéré </w:t>
      </w:r>
      <w:r>
        <w:t>: </w:t>
      </w:r>
      <w:r>
        <w:rPr>
          <w:rStyle w:val="optioncarChar"/>
        </w:rPr>
        <w:t>*** / OPTION (sans) </w:t>
      </w:r>
      <w:r>
        <w:t>(par défaut)</w:t>
      </w:r>
      <w:r>
        <w:rPr>
          <w:rStyle w:val="optioncarChar"/>
        </w:rPr>
        <w:t xml:space="preserve"> / OPTION 2 (poignées) / OPTION 3 (boutons)</w:t>
      </w:r>
    </w:p>
    <w:p w14:paraId="3B084D4B" w14:textId="77777777" w:rsidR="004B2808" w:rsidRDefault="00000000">
      <w:r>
        <w:rPr>
          <w:b/>
        </w:rPr>
        <w:t>OPTION 1 (par défaut)</w:t>
      </w:r>
      <w:r>
        <w:t> : Sans poignées visibles</w:t>
      </w:r>
    </w:p>
    <w:p w14:paraId="488A01D9" w14:textId="77777777" w:rsidR="004B2808" w:rsidRDefault="00000000">
      <w:pPr>
        <w:pStyle w:val="Author-eListParagraph"/>
        <w:numPr>
          <w:ilvl w:val="0"/>
          <w:numId w:val="1642"/>
        </w:numPr>
      </w:pPr>
      <w:r>
        <w:t>Tiroirs et armoires basses : profil en</w:t>
      </w:r>
      <w:r>
        <w:rPr>
          <w:rStyle w:val="optioncarChar"/>
        </w:rPr>
        <w:t xml:space="preserve"> C </w:t>
      </w:r>
      <w:r>
        <w:t>(par défaut) </w:t>
      </w:r>
      <w:r>
        <w:rPr>
          <w:rStyle w:val="optioncarChar"/>
        </w:rPr>
        <w:t>/ U / ***</w:t>
      </w:r>
      <w:r>
        <w:t> embrevé en</w:t>
      </w:r>
      <w:r>
        <w:rPr>
          <w:rStyle w:val="optioncarChar"/>
        </w:rPr>
        <w:t> aluminium (par défaut) / acier chromé / acier inoxydable / ***</w:t>
      </w:r>
    </w:p>
    <w:p w14:paraId="7175C63C" w14:textId="77777777" w:rsidR="004B2808" w:rsidRDefault="00000000">
      <w:pPr>
        <w:pStyle w:val="Author-eListParagraph"/>
        <w:numPr>
          <w:ilvl w:val="0"/>
          <w:numId w:val="1642"/>
        </w:numPr>
      </w:pPr>
      <w:r>
        <w:t>Hauteur : minimum </w:t>
      </w:r>
      <w:r>
        <w:rPr>
          <w:rStyle w:val="optioncarChar"/>
        </w:rPr>
        <w:t>6 </w:t>
      </w:r>
      <w:r>
        <w:t>(par défaut)</w:t>
      </w:r>
      <w:r>
        <w:rPr>
          <w:rStyle w:val="optioncarChar"/>
        </w:rPr>
        <w:t> / *** </w:t>
      </w:r>
      <w:r>
        <w:t>cm.</w:t>
      </w:r>
    </w:p>
    <w:p w14:paraId="4E42D4EC" w14:textId="77777777" w:rsidR="004B2808" w:rsidRDefault="00000000">
      <w:pPr>
        <w:pStyle w:val="Author-eListParagraph"/>
        <w:numPr>
          <w:ilvl w:val="0"/>
          <w:numId w:val="1642"/>
        </w:numPr>
      </w:pPr>
      <w:r>
        <w:t>Coloris : </w:t>
      </w:r>
      <w:r>
        <w:rPr>
          <w:rStyle w:val="optioncarChar"/>
        </w:rPr>
        <w:t>blanc </w:t>
      </w:r>
      <w:r>
        <w:t>(par défaut)</w:t>
      </w:r>
      <w:r>
        <w:rPr>
          <w:rStyle w:val="optioncarChar"/>
        </w:rPr>
        <w:t> / *** </w:t>
      </w:r>
      <w:r>
        <w:t>.</w:t>
      </w:r>
    </w:p>
    <w:p w14:paraId="74EF3594" w14:textId="77777777" w:rsidR="004B2808" w:rsidRDefault="00000000">
      <w:pPr>
        <w:pStyle w:val="Author-eListParagraph"/>
        <w:numPr>
          <w:ilvl w:val="0"/>
          <w:numId w:val="1642"/>
        </w:numPr>
      </w:pPr>
      <w:r>
        <w:t>Armoires suspendues : les portes des armoires dépasseront d'environ </w:t>
      </w:r>
      <w:r>
        <w:rPr>
          <w:rStyle w:val="optioncarChar"/>
        </w:rPr>
        <w:t>4</w:t>
      </w:r>
      <w:r>
        <w:t> (par défaut)</w:t>
      </w:r>
      <w:r>
        <w:rPr>
          <w:rStyle w:val="optioncarChar"/>
        </w:rPr>
        <w:t> / ***</w:t>
      </w:r>
      <w:r>
        <w:t> cm par rapport à la structure de l'armoire.</w:t>
      </w:r>
    </w:p>
    <w:p w14:paraId="17E7526C" w14:textId="77777777" w:rsidR="004B2808" w:rsidRDefault="00000000">
      <w:r>
        <w:rPr>
          <w:b/>
        </w:rPr>
        <w:t>OPION 2</w:t>
      </w:r>
      <w:r>
        <w:t> : Avec poignées</w:t>
      </w:r>
    </w:p>
    <w:p w14:paraId="2051C331" w14:textId="77777777" w:rsidR="004B2808" w:rsidRDefault="00000000">
      <w:pPr>
        <w:pStyle w:val="Author-eListParagraph"/>
        <w:numPr>
          <w:ilvl w:val="0"/>
          <w:numId w:val="1643"/>
        </w:numPr>
      </w:pPr>
      <w:r>
        <w:t>Poignées en forme de</w:t>
      </w:r>
      <w:r>
        <w:rPr>
          <w:rStyle w:val="optioncarChar"/>
        </w:rPr>
        <w:t> U </w:t>
      </w:r>
      <w:r>
        <w:t>(par défaut) </w:t>
      </w:r>
      <w:r>
        <w:rPr>
          <w:rStyle w:val="optioncarChar"/>
        </w:rPr>
        <w:t>/ ***</w:t>
      </w:r>
      <w:r>
        <w:t> en </w:t>
      </w:r>
      <w:r>
        <w:rPr>
          <w:rStyle w:val="optioncarChar"/>
        </w:rPr>
        <w:t>acier chromé</w:t>
      </w:r>
      <w:r>
        <w:t> (par défaut)</w:t>
      </w:r>
      <w:r>
        <w:rPr>
          <w:rStyle w:val="optioncarChar"/>
        </w:rPr>
        <w:t> / acier inoxydable / matière synthétique de première qualité /*** </w:t>
      </w:r>
      <w:r>
        <w:t>, de section </w:t>
      </w:r>
      <w:r>
        <w:rPr>
          <w:rStyle w:val="optioncarChar"/>
        </w:rPr>
        <w:t>ronde </w:t>
      </w:r>
      <w:r>
        <w:t>(par défaut)</w:t>
      </w:r>
      <w:r>
        <w:rPr>
          <w:rStyle w:val="optioncarChar"/>
        </w:rPr>
        <w:t> / ***</w:t>
      </w:r>
      <w:r>
        <w:t> d'environ</w:t>
      </w:r>
      <w:r>
        <w:rPr>
          <w:rStyle w:val="optioncarChar"/>
        </w:rPr>
        <w:t> 8 </w:t>
      </w:r>
      <w:r>
        <w:t>(par défaut)</w:t>
      </w:r>
      <w:r>
        <w:rPr>
          <w:rStyle w:val="optioncarChar"/>
        </w:rPr>
        <w:t> / *** </w:t>
      </w:r>
      <w:r>
        <w:t>mm. Coloris : </w:t>
      </w:r>
      <w:r>
        <w:rPr>
          <w:rStyle w:val="optioncarChar"/>
        </w:rPr>
        <w:t>à choisir dans la gamme standard proposée par le fabricant </w:t>
      </w:r>
      <w:r>
        <w:t>(par défaut) </w:t>
      </w:r>
      <w:r>
        <w:rPr>
          <w:rStyle w:val="optioncarChar"/>
        </w:rPr>
        <w:t>/ *** </w:t>
      </w:r>
      <w:r>
        <w:t>.</w:t>
      </w:r>
    </w:p>
    <w:p w14:paraId="7BB9ECFD" w14:textId="77777777" w:rsidR="004B2808" w:rsidRDefault="00000000">
      <w:pPr>
        <w:pStyle w:val="Author-eListParagraph"/>
        <w:numPr>
          <w:ilvl w:val="0"/>
          <w:numId w:val="1643"/>
        </w:numPr>
      </w:pPr>
      <w:r>
        <w:t>Largeur : </w:t>
      </w:r>
      <w:r>
        <w:rPr>
          <w:rStyle w:val="optioncarChar"/>
        </w:rPr>
        <w:t>10</w:t>
      </w:r>
      <w:r>
        <w:t> (par défaut)</w:t>
      </w:r>
      <w:r>
        <w:rPr>
          <w:rStyle w:val="optioncarChar"/>
        </w:rPr>
        <w:t> / *** </w:t>
      </w:r>
      <w:r>
        <w:t>cm, débordement </w:t>
      </w:r>
      <w:r>
        <w:rPr>
          <w:rStyle w:val="optioncarChar"/>
        </w:rPr>
        <w:t>3</w:t>
      </w:r>
      <w:r>
        <w:t> (par défaut)</w:t>
      </w:r>
      <w:r>
        <w:rPr>
          <w:rStyle w:val="optioncarChar"/>
        </w:rPr>
        <w:t> / *** </w:t>
      </w:r>
      <w:r>
        <w:t> cm.</w:t>
      </w:r>
    </w:p>
    <w:p w14:paraId="26C59CF9" w14:textId="77777777" w:rsidR="004B2808" w:rsidRDefault="00000000">
      <w:r>
        <w:rPr>
          <w:b/>
        </w:rPr>
        <w:t>OPTION 3</w:t>
      </w:r>
      <w:r>
        <w:t> : Avec boutons</w:t>
      </w:r>
    </w:p>
    <w:p w14:paraId="0623C810" w14:textId="77777777" w:rsidR="004B2808" w:rsidRDefault="00000000">
      <w:pPr>
        <w:pStyle w:val="Author-eListParagraph"/>
        <w:numPr>
          <w:ilvl w:val="0"/>
          <w:numId w:val="1644"/>
        </w:numPr>
      </w:pPr>
      <w:r>
        <w:t>Poignées sphériques : </w:t>
      </w:r>
      <w:r>
        <w:rPr>
          <w:rStyle w:val="optioncarChar"/>
        </w:rPr>
        <w:t>bois </w:t>
      </w:r>
      <w:r>
        <w:t>(par défaut)</w:t>
      </w:r>
      <w:r>
        <w:rPr>
          <w:rStyle w:val="optioncarChar"/>
        </w:rPr>
        <w:t xml:space="preserve"> / matière synthétique de première qualité / *** . </w:t>
      </w:r>
      <w:r>
        <w:t>Coloris :</w:t>
      </w:r>
      <w:r>
        <w:rPr>
          <w:rStyle w:val="optioncarChar"/>
        </w:rPr>
        <w:t> blanc </w:t>
      </w:r>
      <w:r>
        <w:t>(par défaut)</w:t>
      </w:r>
      <w:r>
        <w:rPr>
          <w:rStyle w:val="optioncarChar"/>
        </w:rPr>
        <w:t xml:space="preserve"> / à choisir dans la gamme standard proposée par le fabricant / ***</w:t>
      </w:r>
    </w:p>
    <w:p w14:paraId="25BECBDB" w14:textId="77777777" w:rsidR="004B2808" w:rsidRDefault="00000000">
      <w:pPr>
        <w:pStyle w:val="Author-eListParagraph"/>
        <w:numPr>
          <w:ilvl w:val="0"/>
          <w:numId w:val="1644"/>
        </w:numPr>
      </w:pPr>
      <w:r>
        <w:t>Section:  </w:t>
      </w:r>
      <w:r>
        <w:rPr>
          <w:rStyle w:val="optioncarChar"/>
        </w:rPr>
        <w:t>3 </w:t>
      </w:r>
      <w:r>
        <w:t>(par défaut)</w:t>
      </w:r>
      <w:r>
        <w:rPr>
          <w:rStyle w:val="optioncarChar"/>
        </w:rPr>
        <w:t> / ***</w:t>
      </w:r>
      <w:r>
        <w:t> cm, débordement</w:t>
      </w:r>
      <w:r>
        <w:rPr>
          <w:rStyle w:val="optioncarChar"/>
        </w:rPr>
        <w:t> 3 </w:t>
      </w:r>
      <w:r>
        <w:t>(par défaut)</w:t>
      </w:r>
      <w:r>
        <w:rPr>
          <w:rStyle w:val="optioncarChar"/>
        </w:rPr>
        <w:t> / ***</w:t>
      </w:r>
      <w:r>
        <w:t>  cm.</w:t>
      </w:r>
    </w:p>
    <w:p w14:paraId="239F5352" w14:textId="77777777" w:rsidR="004B2808" w:rsidRDefault="00000000">
      <w:r>
        <w:rPr>
          <w:rStyle w:val="optioncarChar"/>
        </w:rPr>
        <w:t> </w:t>
      </w:r>
    </w:p>
    <w:p w14:paraId="324C448F" w14:textId="77777777" w:rsidR="004B2808" w:rsidRDefault="00000000">
      <w:pPr>
        <w:pStyle w:val="pheading"/>
      </w:pPr>
      <w:r>
        <w:t>MESURAGE</w:t>
      </w:r>
    </w:p>
    <w:p w14:paraId="32EEFEA3" w14:textId="77777777" w:rsidR="004B2808" w:rsidRDefault="00000000">
      <w:r>
        <w:t>En fonction de la nature des armoires encastrées, des indications spécifiques dans le cahier spécial des charges et/ou le métré récapitulatif, le mesurage doit être conçu comme suit :</w:t>
      </w:r>
    </w:p>
    <w:p w14:paraId="15AB8125" w14:textId="77777777" w:rsidR="004B2808" w:rsidRDefault="00000000">
      <w:pPr>
        <w:pStyle w:val="pheading"/>
      </w:pPr>
      <w:r>
        <w:t>- unité de mesure:</w:t>
      </w:r>
    </w:p>
    <w:p w14:paraId="6F861851" w14:textId="77777777" w:rsidR="004B2808" w:rsidRDefault="00000000">
      <w:r>
        <w:t>p</w:t>
      </w:r>
    </w:p>
    <w:p w14:paraId="065FDE41" w14:textId="77777777" w:rsidR="004B2808" w:rsidRDefault="00000000">
      <w:pPr>
        <w:pStyle w:val="pheading"/>
      </w:pPr>
      <w:r>
        <w:t>- code de mesurage:</w:t>
      </w:r>
    </w:p>
    <w:p w14:paraId="26DE1CC9" w14:textId="77777777" w:rsidR="004B2808" w:rsidRDefault="00000000">
      <w:r>
        <w:t xml:space="preserve">Selon le type </w:t>
      </w:r>
    </w:p>
    <w:p w14:paraId="32031533" w14:textId="77777777" w:rsidR="004B2808" w:rsidRDefault="00000000">
      <w:pPr>
        <w:pStyle w:val="pheading"/>
      </w:pPr>
      <w:r>
        <w:t>- nature du marché:</w:t>
      </w:r>
    </w:p>
    <w:p w14:paraId="3B5118A0" w14:textId="77777777" w:rsidR="004B2808" w:rsidRDefault="00000000">
      <w:r>
        <w:t>QF</w:t>
      </w:r>
    </w:p>
    <w:p w14:paraId="312A7676" w14:textId="77777777" w:rsidR="004B2808" w:rsidRDefault="00000000">
      <w:pPr>
        <w:pStyle w:val="Author-eSectionHeading5Numberless"/>
      </w:pPr>
      <w:bookmarkStart w:id="1834" w:name="_Toc220491918"/>
      <w:r>
        <w:t>58.44.2 Armoires encastrées - Quincaillerie complémentaire - Charnières CCTB 01.02</w:t>
      </w:r>
      <w:bookmarkEnd w:id="1834"/>
    </w:p>
    <w:p w14:paraId="450F5985" w14:textId="77777777" w:rsidR="004B2808" w:rsidRDefault="00000000">
      <w:pPr>
        <w:pStyle w:val="Author-eSectionHeading6Numberless"/>
      </w:pPr>
      <w:bookmarkStart w:id="1835" w:name="_Toc220491919"/>
      <w:r>
        <w:t>58.44.2a Armoires encastrées - Quincaillerie complémentaire - Charnières CCTB 01.10</w:t>
      </w:r>
      <w:bookmarkEnd w:id="1835"/>
    </w:p>
    <w:p w14:paraId="78EA162F" w14:textId="77777777" w:rsidR="004B2808" w:rsidRDefault="00000000">
      <w:pPr>
        <w:pStyle w:val="pheading"/>
      </w:pPr>
      <w:r>
        <w:lastRenderedPageBreak/>
        <w:t>DESCRIPTION</w:t>
      </w:r>
    </w:p>
    <w:p w14:paraId="4762053B" w14:textId="77777777" w:rsidR="004B2808" w:rsidRDefault="00000000">
      <w:pPr>
        <w:pStyle w:val="pheading"/>
      </w:pPr>
      <w:r>
        <w:t>- Localisation</w:t>
      </w:r>
    </w:p>
    <w:p w14:paraId="166F8187" w14:textId="77777777" w:rsidR="004B2808" w:rsidRDefault="00000000">
      <w:r>
        <w:t xml:space="preserve">Armoires pour compteurs : </w:t>
      </w:r>
      <w:r>
        <w:rPr>
          <w:rStyle w:val="optioncarChar"/>
        </w:rPr>
        <w:t>***</w:t>
      </w:r>
      <w:r>
        <w:br/>
        <w:t xml:space="preserve">Armoires de vestiaire : </w:t>
      </w:r>
      <w:r>
        <w:rPr>
          <w:rStyle w:val="optioncarChar"/>
        </w:rPr>
        <w:t>***</w:t>
      </w:r>
      <w:r>
        <w:br/>
        <w:t xml:space="preserve">Placards dans les chambres à coucher : </w:t>
      </w:r>
      <w:r>
        <w:rPr>
          <w:rStyle w:val="optioncarChar"/>
        </w:rPr>
        <w:t>***</w:t>
      </w:r>
    </w:p>
    <w:p w14:paraId="4EC8CA65" w14:textId="77777777" w:rsidR="004B2808" w:rsidRDefault="00000000">
      <w:pPr>
        <w:pStyle w:val="pheading"/>
      </w:pPr>
      <w:r>
        <w:t>MESURAGE</w:t>
      </w:r>
    </w:p>
    <w:p w14:paraId="080960EF" w14:textId="77777777" w:rsidR="004B2808" w:rsidRDefault="00000000">
      <w:r>
        <w:t>En fonction de la nature des armoires encastrées, des indications spécifiques dans le cahier spécial des charges et/ou le métré récapitulatif, le mesurage doit être conçu comme suit :</w:t>
      </w:r>
    </w:p>
    <w:p w14:paraId="6AD854F0" w14:textId="77777777" w:rsidR="004B2808" w:rsidRDefault="00000000">
      <w:pPr>
        <w:pStyle w:val="pheading"/>
      </w:pPr>
      <w:r>
        <w:t>- unité de mesure:</w:t>
      </w:r>
    </w:p>
    <w:p w14:paraId="083F6A29" w14:textId="77777777" w:rsidR="004B2808" w:rsidRDefault="00000000">
      <w:r>
        <w:t>p</w:t>
      </w:r>
    </w:p>
    <w:p w14:paraId="03D85AD3" w14:textId="77777777" w:rsidR="004B2808" w:rsidRDefault="00000000">
      <w:pPr>
        <w:pStyle w:val="pheading"/>
      </w:pPr>
      <w:r>
        <w:t>- code de mesurage:</w:t>
      </w:r>
    </w:p>
    <w:p w14:paraId="1E20FF69" w14:textId="77777777" w:rsidR="004B2808" w:rsidRDefault="00000000">
      <w:r>
        <w:t xml:space="preserve">Selon le type </w:t>
      </w:r>
    </w:p>
    <w:p w14:paraId="72F31FCE" w14:textId="77777777" w:rsidR="004B2808" w:rsidRDefault="00000000">
      <w:pPr>
        <w:pStyle w:val="pheading"/>
      </w:pPr>
      <w:r>
        <w:t>- nature du marché:</w:t>
      </w:r>
    </w:p>
    <w:p w14:paraId="741818AB" w14:textId="77777777" w:rsidR="004B2808" w:rsidRDefault="00000000">
      <w:r>
        <w:t>QF</w:t>
      </w:r>
    </w:p>
    <w:p w14:paraId="5B775B9E" w14:textId="77777777" w:rsidR="004B2808" w:rsidRDefault="00000000">
      <w:pPr>
        <w:pStyle w:val="Author-eSectionHeading5Numberless"/>
      </w:pPr>
      <w:bookmarkStart w:id="1836" w:name="_Toc220491920"/>
      <w:r>
        <w:t>58.44.3 Armoires encastrées - Quincaillerie complémentaire - Rails et glissières CCTB 01.02</w:t>
      </w:r>
      <w:bookmarkEnd w:id="1836"/>
    </w:p>
    <w:p w14:paraId="0D02B436" w14:textId="77777777" w:rsidR="004B2808" w:rsidRDefault="00000000">
      <w:pPr>
        <w:pStyle w:val="Author-eSectionHeading6Numberless"/>
      </w:pPr>
      <w:bookmarkStart w:id="1837" w:name="_Toc220491921"/>
      <w:r>
        <w:t>58.44.3a Armoires encastrées - Quincaillerie complémentaire - Rails et glissières CCTB 01.10</w:t>
      </w:r>
      <w:bookmarkEnd w:id="1837"/>
    </w:p>
    <w:p w14:paraId="3BC8401A" w14:textId="77777777" w:rsidR="004B2808" w:rsidRDefault="00000000">
      <w:pPr>
        <w:pStyle w:val="pheading"/>
      </w:pPr>
      <w:r>
        <w:t>DESCRIPTION</w:t>
      </w:r>
    </w:p>
    <w:p w14:paraId="0C500009" w14:textId="77777777" w:rsidR="004B2808" w:rsidRDefault="00000000">
      <w:pPr>
        <w:pStyle w:val="pheading"/>
      </w:pPr>
      <w:r>
        <w:t>- Localisation</w:t>
      </w:r>
    </w:p>
    <w:p w14:paraId="741E23E5" w14:textId="77777777" w:rsidR="004B2808" w:rsidRDefault="00000000">
      <w:r>
        <w:t>Armoires pour compteurs :</w:t>
      </w:r>
      <w:r>
        <w:rPr>
          <w:rStyle w:val="optioncarChar"/>
        </w:rPr>
        <w:t xml:space="preserve"> ***</w:t>
      </w:r>
      <w:r>
        <w:br/>
        <w:t xml:space="preserve">Armoires de vestiaire : </w:t>
      </w:r>
      <w:r>
        <w:rPr>
          <w:rStyle w:val="optioncarChar"/>
        </w:rPr>
        <w:t>***</w:t>
      </w:r>
      <w:r>
        <w:br/>
        <w:t xml:space="preserve">Placards dans les chambres à coucher : </w:t>
      </w:r>
      <w:r>
        <w:rPr>
          <w:rStyle w:val="optioncarChar"/>
        </w:rPr>
        <w:t>***</w:t>
      </w:r>
    </w:p>
    <w:p w14:paraId="43540519" w14:textId="77777777" w:rsidR="004B2808" w:rsidRDefault="00000000">
      <w:pPr>
        <w:pStyle w:val="pheading"/>
      </w:pPr>
      <w:r>
        <w:t>MESURAGE</w:t>
      </w:r>
    </w:p>
    <w:p w14:paraId="09546222" w14:textId="77777777" w:rsidR="004B2808" w:rsidRDefault="00000000">
      <w:r>
        <w:t>En fonction de la nature des armoires encastrées, des indications spécifiques dans le cahier spécial des charges et/ou le métré récapitulatif, le mesurage doit être conçu comme suit :</w:t>
      </w:r>
    </w:p>
    <w:p w14:paraId="054561DC" w14:textId="77777777" w:rsidR="004B2808" w:rsidRDefault="00000000">
      <w:pPr>
        <w:pStyle w:val="pheading"/>
      </w:pPr>
      <w:r>
        <w:t>- unité de mesure:</w:t>
      </w:r>
    </w:p>
    <w:p w14:paraId="51C7EE8A" w14:textId="77777777" w:rsidR="004B2808" w:rsidRDefault="00000000">
      <w:r>
        <w:t>p</w:t>
      </w:r>
    </w:p>
    <w:p w14:paraId="7E17181E" w14:textId="77777777" w:rsidR="004B2808" w:rsidRDefault="00000000">
      <w:pPr>
        <w:pStyle w:val="pheading"/>
      </w:pPr>
      <w:r>
        <w:t>- code de mesurage:</w:t>
      </w:r>
    </w:p>
    <w:p w14:paraId="57053DFE" w14:textId="77777777" w:rsidR="004B2808" w:rsidRDefault="00000000">
      <w:r>
        <w:t xml:space="preserve">Selon le type </w:t>
      </w:r>
    </w:p>
    <w:p w14:paraId="7F28264A" w14:textId="77777777" w:rsidR="004B2808" w:rsidRDefault="00000000">
      <w:pPr>
        <w:pStyle w:val="pheading"/>
      </w:pPr>
      <w:r>
        <w:t>- nature du marché:</w:t>
      </w:r>
    </w:p>
    <w:p w14:paraId="4251F01A" w14:textId="77777777" w:rsidR="004B2808" w:rsidRDefault="00000000">
      <w:r>
        <w:t>QF</w:t>
      </w:r>
    </w:p>
    <w:p w14:paraId="5C74DBCD" w14:textId="77777777" w:rsidR="004B2808" w:rsidRDefault="00000000">
      <w:pPr>
        <w:pStyle w:val="Author-eSectionHeading4Numberless"/>
      </w:pPr>
      <w:bookmarkStart w:id="1838" w:name="_Toc220491922"/>
      <w:r>
        <w:t>58.45 Armoires encastrées - Accessoires CCTB 01.02</w:t>
      </w:r>
      <w:bookmarkEnd w:id="1838"/>
    </w:p>
    <w:p w14:paraId="0A2136D2" w14:textId="77777777" w:rsidR="004B2808" w:rsidRDefault="00000000">
      <w:pPr>
        <w:pStyle w:val="Author-eSectionHeading5Numberless"/>
      </w:pPr>
      <w:bookmarkStart w:id="1839" w:name="_Toc220491923"/>
      <w:r>
        <w:t>58.45.1 Armoires encastrées - Accessoires CCTB 01.10</w:t>
      </w:r>
      <w:bookmarkEnd w:id="1839"/>
    </w:p>
    <w:p w14:paraId="3740C69E" w14:textId="77777777" w:rsidR="004B2808" w:rsidRDefault="00000000">
      <w:pPr>
        <w:pStyle w:val="Author-eSectionHeading6Numberless"/>
      </w:pPr>
      <w:bookmarkStart w:id="1840" w:name="_Toc220491924"/>
      <w:r>
        <w:t>58.45.1a Armoires encastrées - Accessoires CCTB 01.10</w:t>
      </w:r>
      <w:bookmarkEnd w:id="1840"/>
    </w:p>
    <w:p w14:paraId="4B107B4E" w14:textId="77777777" w:rsidR="004B2808" w:rsidRDefault="00000000">
      <w:pPr>
        <w:pStyle w:val="pheading"/>
      </w:pPr>
      <w:r>
        <w:t>DESCRIPTION</w:t>
      </w:r>
    </w:p>
    <w:p w14:paraId="52574C5B" w14:textId="77777777" w:rsidR="004B2808" w:rsidRDefault="00000000">
      <w:pPr>
        <w:pStyle w:val="pheading"/>
      </w:pPr>
      <w:r>
        <w:t>- Localisation</w:t>
      </w:r>
    </w:p>
    <w:p w14:paraId="7A1923E9" w14:textId="77777777" w:rsidR="004B2808" w:rsidRDefault="00000000">
      <w:r>
        <w:lastRenderedPageBreak/>
        <w:t>Armoires pour compteurs :</w:t>
      </w:r>
      <w:r>
        <w:rPr>
          <w:rStyle w:val="optioncarChar"/>
        </w:rPr>
        <w:t xml:space="preserve"> ***</w:t>
      </w:r>
      <w:r>
        <w:br/>
        <w:t xml:space="preserve">Armoires de vestiaire : </w:t>
      </w:r>
      <w:r>
        <w:rPr>
          <w:rStyle w:val="optioncarChar"/>
        </w:rPr>
        <w:t>***</w:t>
      </w:r>
      <w:r>
        <w:br/>
        <w:t>Placards dans les chambres à coucher :</w:t>
      </w:r>
      <w:r>
        <w:rPr>
          <w:rStyle w:val="optioncarChar"/>
        </w:rPr>
        <w:t xml:space="preserve"> ***</w:t>
      </w:r>
    </w:p>
    <w:p w14:paraId="31838E38" w14:textId="77777777" w:rsidR="004B2808" w:rsidRDefault="00000000">
      <w:pPr>
        <w:pStyle w:val="pheading"/>
      </w:pPr>
      <w:r>
        <w:t>MATÉRIAUX</w:t>
      </w:r>
    </w:p>
    <w:p w14:paraId="1EF3B577" w14:textId="77777777" w:rsidR="004B2808" w:rsidRDefault="00000000">
      <w:pPr>
        <w:pStyle w:val="pheading"/>
      </w:pPr>
      <w:r>
        <w:t>- Caractéristiques générales</w:t>
      </w:r>
    </w:p>
    <w:p w14:paraId="068555C6" w14:textId="77777777" w:rsidR="004B2808" w:rsidRDefault="00000000">
      <w:pPr>
        <w:pStyle w:val="heading"/>
      </w:pPr>
      <w:r>
        <w:t>Raccordement au plafond &amp; au mur</w:t>
      </w:r>
    </w:p>
    <w:p w14:paraId="4438419B" w14:textId="77777777" w:rsidR="004B2808" w:rsidRDefault="00000000">
      <w:r>
        <w:t xml:space="preserve">Raccordement au plafond : plaques de même qualité et finition que </w:t>
      </w:r>
      <w:r>
        <w:rPr>
          <w:rStyle w:val="optioncarChar"/>
        </w:rPr>
        <w:t>les façades des armoires</w:t>
      </w:r>
      <w:r>
        <w:t xml:space="preserve"> (par défaut) </w:t>
      </w:r>
      <w:r>
        <w:rPr>
          <w:rStyle w:val="optioncarChar"/>
        </w:rPr>
        <w:t>/ la structure des armoires / ***.</w:t>
      </w:r>
    </w:p>
    <w:p w14:paraId="3D39A562" w14:textId="77777777" w:rsidR="004B2808" w:rsidRDefault="00000000">
      <w:r>
        <w:t xml:space="preserve">Raccordement au mur : plaques de même qualité et finition que </w:t>
      </w:r>
      <w:r>
        <w:rPr>
          <w:rStyle w:val="optioncarChar"/>
        </w:rPr>
        <w:t>les façades des armoires </w:t>
      </w:r>
      <w:r>
        <w:t>(par défaut)</w:t>
      </w:r>
      <w:r>
        <w:rPr>
          <w:rStyle w:val="optioncarChar"/>
        </w:rPr>
        <w:t xml:space="preserve"> / la structure des armoires / ***</w:t>
      </w:r>
      <w:r>
        <w:rPr>
          <w:color w:val="0000FF"/>
        </w:rPr>
        <w:t>.</w:t>
      </w:r>
    </w:p>
    <w:p w14:paraId="678A84C7" w14:textId="77777777" w:rsidR="004B2808" w:rsidRDefault="00000000">
      <w:pPr>
        <w:pStyle w:val="heading"/>
      </w:pPr>
      <w:r>
        <w:t>Equipements en option</w:t>
      </w:r>
    </w:p>
    <w:p w14:paraId="4814C0E0" w14:textId="77777777" w:rsidR="004B2808" w:rsidRDefault="00000000">
      <w:r>
        <w:t xml:space="preserve">Miroir sur la face frontale, dimensions : </w:t>
      </w:r>
      <w:r>
        <w:rPr>
          <w:rStyle w:val="optioncarChar"/>
        </w:rPr>
        <w:t>***</w:t>
      </w:r>
    </w:p>
    <w:p w14:paraId="5F383182" w14:textId="77777777" w:rsidR="004B2808" w:rsidRDefault="00000000">
      <w:pPr>
        <w:pStyle w:val="heading"/>
      </w:pPr>
      <w:r>
        <w:t>Serrures d'armoire</w:t>
      </w:r>
    </w:p>
    <w:p w14:paraId="09D023CB" w14:textId="77777777" w:rsidR="004B2808" w:rsidRDefault="00000000">
      <w:r>
        <w:t xml:space="preserve">Type : </w:t>
      </w:r>
      <w:r>
        <w:rPr>
          <w:rStyle w:val="optioncarChar"/>
        </w:rPr>
        <w:t>serrure d'armoire à gorges </w:t>
      </w:r>
      <w:r>
        <w:t>(par défaut)</w:t>
      </w:r>
      <w:r>
        <w:rPr>
          <w:rStyle w:val="optioncarChar"/>
        </w:rPr>
        <w:t xml:space="preserve"> / serrure d'armoire à cylindre / *** </w:t>
      </w:r>
      <w:r>
        <w:t>livrée avec deux clés par serrure.</w:t>
      </w:r>
    </w:p>
    <w:p w14:paraId="10F9D4E0" w14:textId="77777777" w:rsidR="004B2808" w:rsidRDefault="00000000">
      <w:pPr>
        <w:pStyle w:val="pheading"/>
      </w:pPr>
      <w:r>
        <w:t>MESURAGE</w:t>
      </w:r>
    </w:p>
    <w:p w14:paraId="5B685CB5" w14:textId="77777777" w:rsidR="004B2808" w:rsidRDefault="00000000">
      <w:r>
        <w:t>En fonction de la nature des armoires encastrées, des indications spécifiques dans le cahier spécial des charges et/ou le métré récapitulatif, le mesurage doit être conçu comme suit :</w:t>
      </w:r>
    </w:p>
    <w:p w14:paraId="4DB96298" w14:textId="77777777" w:rsidR="004B2808" w:rsidRDefault="00000000">
      <w:pPr>
        <w:pStyle w:val="pheading"/>
      </w:pPr>
      <w:r>
        <w:t>- unité de mesure:</w:t>
      </w:r>
    </w:p>
    <w:p w14:paraId="5C084F10" w14:textId="77777777" w:rsidR="004B2808" w:rsidRDefault="00000000">
      <w:r>
        <w:t>p</w:t>
      </w:r>
    </w:p>
    <w:p w14:paraId="45CDFD97" w14:textId="77777777" w:rsidR="004B2808" w:rsidRDefault="00000000">
      <w:pPr>
        <w:pStyle w:val="pheading"/>
      </w:pPr>
      <w:r>
        <w:t>- code de mesurage:</w:t>
      </w:r>
    </w:p>
    <w:p w14:paraId="0A866F76" w14:textId="77777777" w:rsidR="004B2808" w:rsidRDefault="00000000">
      <w:r>
        <w:t xml:space="preserve">Selon le type </w:t>
      </w:r>
    </w:p>
    <w:p w14:paraId="626EC108" w14:textId="77777777" w:rsidR="004B2808" w:rsidRDefault="00000000">
      <w:pPr>
        <w:pStyle w:val="pheading"/>
      </w:pPr>
      <w:r>
        <w:t>- nature du marché:</w:t>
      </w:r>
    </w:p>
    <w:p w14:paraId="4DF02E77" w14:textId="77777777" w:rsidR="004B2808" w:rsidRDefault="00000000">
      <w:r>
        <w:t>QF</w:t>
      </w:r>
    </w:p>
    <w:p w14:paraId="12336DEA" w14:textId="77777777" w:rsidR="004B2808" w:rsidRDefault="00000000">
      <w:pPr>
        <w:pStyle w:val="Author-eSectionHeading3Numberless"/>
      </w:pPr>
      <w:bookmarkStart w:id="1841" w:name="_Toc220491925"/>
      <w:r>
        <w:t>58.5 Armoires d'archivage CCTB 01.02</w:t>
      </w:r>
      <w:bookmarkEnd w:id="1841"/>
    </w:p>
    <w:p w14:paraId="5A0C65F3" w14:textId="77777777" w:rsidR="004B2808" w:rsidRDefault="00000000">
      <w:pPr>
        <w:pStyle w:val="Author-eSectionHeading4Numberless"/>
      </w:pPr>
      <w:bookmarkStart w:id="1842" w:name="_Toc220491926"/>
      <w:r>
        <w:t>58.51 Armoires d'archivage à système coulissant CCTB 01.02</w:t>
      </w:r>
      <w:bookmarkEnd w:id="1842"/>
    </w:p>
    <w:p w14:paraId="28B0011B" w14:textId="77777777" w:rsidR="004B2808" w:rsidRDefault="00000000">
      <w:pPr>
        <w:pStyle w:val="Author-eSectionHeading5Numberless"/>
      </w:pPr>
      <w:bookmarkStart w:id="1843" w:name="_Toc220491927"/>
      <w:r>
        <w:t>58.51.1 Armoires d'archivage à système coulissant CCTB 01.02</w:t>
      </w:r>
      <w:bookmarkEnd w:id="1843"/>
    </w:p>
    <w:p w14:paraId="03273CE2" w14:textId="77777777" w:rsidR="004B2808" w:rsidRDefault="00000000">
      <w:pPr>
        <w:pStyle w:val="Author-eSectionHeading6Numberless"/>
      </w:pPr>
      <w:bookmarkStart w:id="1844" w:name="_Toc220491928"/>
      <w:r>
        <w:t>58.51.1a Armoires d'archivage à système coulissant CCTB 01.02</w:t>
      </w:r>
      <w:bookmarkEnd w:id="1844"/>
    </w:p>
    <w:p w14:paraId="135755F0" w14:textId="77777777" w:rsidR="004B2808" w:rsidRDefault="00000000">
      <w:pPr>
        <w:pStyle w:val="Author-eSectionHeading4Numberless"/>
      </w:pPr>
      <w:bookmarkStart w:id="1845" w:name="_Toc220491929"/>
      <w:r>
        <w:t>58.52 Armoires d'archivage à système à tambour CCTB 01.02</w:t>
      </w:r>
      <w:bookmarkEnd w:id="1845"/>
    </w:p>
    <w:p w14:paraId="188895A2" w14:textId="77777777" w:rsidR="004B2808" w:rsidRDefault="00000000">
      <w:pPr>
        <w:pStyle w:val="Author-eSectionHeading5Numberless"/>
      </w:pPr>
      <w:bookmarkStart w:id="1846" w:name="_Toc220491930"/>
      <w:r>
        <w:t>58.52.1 Armoires d'archivage à système à tambour CCTB 01.02</w:t>
      </w:r>
      <w:bookmarkEnd w:id="1846"/>
    </w:p>
    <w:p w14:paraId="4AE1303B" w14:textId="77777777" w:rsidR="004B2808" w:rsidRDefault="00000000">
      <w:pPr>
        <w:pStyle w:val="Author-eSectionHeading6Numberless"/>
      </w:pPr>
      <w:bookmarkStart w:id="1847" w:name="_Toc220491931"/>
      <w:r>
        <w:t>58.52.1a Armoires d'archivage à système à tambour CCTB 01.02</w:t>
      </w:r>
      <w:bookmarkEnd w:id="1847"/>
    </w:p>
    <w:p w14:paraId="3C04331B" w14:textId="77777777" w:rsidR="004B2808" w:rsidRDefault="00000000">
      <w:pPr>
        <w:pStyle w:val="Author-eSectionHeading4Numberless"/>
      </w:pPr>
      <w:bookmarkStart w:id="1848" w:name="_Toc220491932"/>
      <w:r>
        <w:t>58.53 Armoires d'archivage à plateaux CCTB 01.02</w:t>
      </w:r>
      <w:bookmarkEnd w:id="1848"/>
    </w:p>
    <w:p w14:paraId="08296D53" w14:textId="77777777" w:rsidR="004B2808" w:rsidRDefault="00000000">
      <w:pPr>
        <w:pStyle w:val="Author-eSectionHeading5Numberless"/>
      </w:pPr>
      <w:bookmarkStart w:id="1849" w:name="_Toc220491933"/>
      <w:r>
        <w:t>58.53.1 Armoires d'archivage à plateaux CCTB 01.02</w:t>
      </w:r>
      <w:bookmarkEnd w:id="1849"/>
    </w:p>
    <w:p w14:paraId="3853CCD0" w14:textId="77777777" w:rsidR="004B2808" w:rsidRDefault="00000000">
      <w:pPr>
        <w:pStyle w:val="Author-eSectionHeading6Numberless"/>
      </w:pPr>
      <w:bookmarkStart w:id="1850" w:name="_Toc220491934"/>
      <w:r>
        <w:t>58.53.1a Armoires d'archivage à plateaux CCTB 01.02</w:t>
      </w:r>
      <w:bookmarkEnd w:id="1850"/>
    </w:p>
    <w:p w14:paraId="01E5223B" w14:textId="77777777" w:rsidR="004B2808" w:rsidRDefault="00000000">
      <w:pPr>
        <w:pStyle w:val="Author-eSectionHeading3Numberless"/>
      </w:pPr>
      <w:bookmarkStart w:id="1851" w:name="_Toc220491935"/>
      <w:r>
        <w:t>58.6 Mobilier de laboratoire CCTB 01.02</w:t>
      </w:r>
      <w:bookmarkEnd w:id="1851"/>
    </w:p>
    <w:p w14:paraId="4E5EDCAB" w14:textId="77777777" w:rsidR="004B2808" w:rsidRDefault="00000000">
      <w:pPr>
        <w:pStyle w:val="Author-eSectionHeading4Numberless"/>
      </w:pPr>
      <w:bookmarkStart w:id="1852" w:name="_Toc220491936"/>
      <w:r>
        <w:t>58.61 Mobilier de laboratoire - Structure et planches CCTB 01.02</w:t>
      </w:r>
      <w:bookmarkEnd w:id="1852"/>
    </w:p>
    <w:p w14:paraId="28445E8C" w14:textId="77777777" w:rsidR="004B2808" w:rsidRDefault="00000000">
      <w:pPr>
        <w:pStyle w:val="Author-eSectionHeading5Numberless"/>
      </w:pPr>
      <w:bookmarkStart w:id="1853" w:name="_Toc220491937"/>
      <w:r>
        <w:lastRenderedPageBreak/>
        <w:t>58.61.1 Mobilier de laboratoire - Structure et planches - Eléments blocs CCTB 01.02</w:t>
      </w:r>
      <w:bookmarkEnd w:id="1853"/>
    </w:p>
    <w:p w14:paraId="61EBE3D8" w14:textId="77777777" w:rsidR="004B2808" w:rsidRDefault="00000000">
      <w:pPr>
        <w:pStyle w:val="Author-eSectionHeading6Numberless"/>
      </w:pPr>
      <w:bookmarkStart w:id="1854" w:name="_Toc220491938"/>
      <w:r>
        <w:t>58.61.1a Mobilier de laboratoire - Structure et planches - Eléments blocs CCTB 01.02</w:t>
      </w:r>
      <w:bookmarkEnd w:id="1854"/>
    </w:p>
    <w:p w14:paraId="3190BE25" w14:textId="77777777" w:rsidR="004B2808" w:rsidRDefault="00000000">
      <w:pPr>
        <w:pStyle w:val="Author-eSectionHeading5Numberless"/>
      </w:pPr>
      <w:bookmarkStart w:id="1855" w:name="_Toc220491939"/>
      <w:r>
        <w:t>58.61.2 Mobilier de laboratoire - Structure et planches - Façades &amp; côtés apparents CCTB 01.02</w:t>
      </w:r>
      <w:bookmarkEnd w:id="1855"/>
    </w:p>
    <w:p w14:paraId="18DB61C4" w14:textId="77777777" w:rsidR="004B2808" w:rsidRDefault="00000000">
      <w:pPr>
        <w:pStyle w:val="Author-eSectionHeading6Numberless"/>
      </w:pPr>
      <w:bookmarkStart w:id="1856" w:name="_Toc220491940"/>
      <w:r>
        <w:t>58.61.2a Mobilier de laboratoire - Structure et planches - Façades &amp; côtés apparents CCTB 01.10</w:t>
      </w:r>
      <w:bookmarkEnd w:id="1856"/>
    </w:p>
    <w:p w14:paraId="33426B41" w14:textId="77777777" w:rsidR="004B2808" w:rsidRDefault="00000000">
      <w:pPr>
        <w:pStyle w:val="pheading"/>
      </w:pPr>
      <w:r>
        <w:t>MATÉRIAUX</w:t>
      </w:r>
    </w:p>
    <w:p w14:paraId="1619684B" w14:textId="77777777" w:rsidR="004B2808" w:rsidRDefault="00000000">
      <w:pPr>
        <w:pStyle w:val="pheading"/>
      </w:pPr>
      <w:r>
        <w:t>- Caractéristiques générales</w:t>
      </w:r>
    </w:p>
    <w:p w14:paraId="67C2CA41" w14:textId="77777777" w:rsidR="004B2808" w:rsidRDefault="00000000">
      <w:pPr>
        <w:pStyle w:val="heading"/>
      </w:pPr>
      <w:r>
        <w:rPr>
          <w:sz w:val="20"/>
        </w:rPr>
        <w:t>Spécifications</w:t>
      </w:r>
    </w:p>
    <w:p w14:paraId="36D6049E" w14:textId="77777777" w:rsidR="004B2808" w:rsidRDefault="00000000">
      <w:pPr>
        <w:pStyle w:val="Author-eListParagraph"/>
        <w:numPr>
          <w:ilvl w:val="0"/>
          <w:numId w:val="1645"/>
        </w:numPr>
      </w:pPr>
      <w:r>
        <w:rPr>
          <w:sz w:val="18"/>
        </w:rPr>
        <w:t xml:space="preserve">Matériau : </w:t>
      </w:r>
      <w:r>
        <w:rPr>
          <w:rStyle w:val="optioncarChar"/>
          <w:sz w:val="18"/>
        </w:rPr>
        <w:t>MDF</w:t>
      </w:r>
      <w:r>
        <w:t> (par défaut)</w:t>
      </w:r>
      <w:r>
        <w:rPr>
          <w:rStyle w:val="optioncarChar"/>
          <w:sz w:val="18"/>
        </w:rPr>
        <w:t xml:space="preserve"> / Panneaux de bois agglomérés / contreplaqué bouleau / *** ,</w:t>
      </w:r>
      <w:r>
        <w:rPr>
          <w:sz w:val="18"/>
        </w:rPr>
        <w:t xml:space="preserve"> épaisseur  </w:t>
      </w:r>
      <w:r>
        <w:rPr>
          <w:rStyle w:val="optioncarChar"/>
          <w:sz w:val="18"/>
        </w:rPr>
        <w:t>18 </w:t>
      </w:r>
      <w:r>
        <w:t>(par défaut)</w:t>
      </w:r>
      <w:r>
        <w:rPr>
          <w:rStyle w:val="optioncarChar"/>
          <w:sz w:val="18"/>
        </w:rPr>
        <w:t> / ***</w:t>
      </w:r>
      <w:r>
        <w:rPr>
          <w:sz w:val="18"/>
        </w:rPr>
        <w:t>  mm</w:t>
      </w:r>
    </w:p>
    <w:p w14:paraId="4B7BF58B" w14:textId="77777777" w:rsidR="004B2808" w:rsidRDefault="00000000">
      <w:r>
        <w:t>Coloris : </w:t>
      </w:r>
      <w:r>
        <w:rPr>
          <w:rStyle w:val="optioncarChar"/>
        </w:rPr>
        <w:t xml:space="preserve">blanc </w:t>
      </w:r>
      <w:r>
        <w:t>(par défaut) </w:t>
      </w:r>
      <w:r>
        <w:rPr>
          <w:rStyle w:val="optioncarChar"/>
        </w:rPr>
        <w:t>/ à choisir dans la gamme de couleurs standard du fabricant.</w:t>
      </w:r>
    </w:p>
    <w:p w14:paraId="6D87AEA9" w14:textId="77777777" w:rsidR="004B2808" w:rsidRDefault="00000000">
      <w:r>
        <w:t>Finition des panneaux de façade : </w:t>
      </w:r>
    </w:p>
    <w:p w14:paraId="09446915" w14:textId="77777777" w:rsidR="004B2808" w:rsidRDefault="00000000">
      <w:pPr>
        <w:ind w:left="450"/>
      </w:pPr>
      <w:r>
        <w:rPr>
          <w:b/>
        </w:rPr>
        <w:t>Choix opéré </w:t>
      </w:r>
      <w:r>
        <w:t>: </w:t>
      </w:r>
      <w:r>
        <w:rPr>
          <w:rStyle w:val="optioncarChar"/>
        </w:rPr>
        <w:t>*** / OPTION 1 (par défaut) / OPTION 2 / OPTION 3 / OPTION 4</w:t>
      </w:r>
      <w:r>
        <w:br/>
      </w:r>
      <w:r>
        <w:rPr>
          <w:b/>
        </w:rPr>
        <w:t>***OPTION 1 (par défaut)</w:t>
      </w:r>
      <w:r>
        <w:t> : mélaminé. Chants : </w:t>
      </w:r>
      <w:r>
        <w:rPr>
          <w:rStyle w:val="optioncarChar"/>
        </w:rPr>
        <w:t>feuille en matière synthétique </w:t>
      </w:r>
      <w:r>
        <w:t xml:space="preserve">(par défaut) </w:t>
      </w:r>
      <w:r>
        <w:rPr>
          <w:rStyle w:val="optioncarChar"/>
        </w:rPr>
        <w:t>/ listel acrylique / ***</w:t>
      </w:r>
      <w:r>
        <w:t>, épaisseur min.</w:t>
      </w:r>
      <w:r>
        <w:rPr>
          <w:rStyle w:val="optioncarChar"/>
        </w:rPr>
        <w:t> 2 </w:t>
      </w:r>
      <w:r>
        <w:t>(par défaut)</w:t>
      </w:r>
      <w:r>
        <w:rPr>
          <w:rStyle w:val="optioncarChar"/>
        </w:rPr>
        <w:t> / ***</w:t>
      </w:r>
      <w:r>
        <w:t> mm. </w:t>
      </w:r>
      <w:r>
        <w:br/>
      </w:r>
      <w:r>
        <w:rPr>
          <w:b/>
        </w:rPr>
        <w:t>***OPTION 2</w:t>
      </w:r>
      <w:r>
        <w:t> : plaque de stratifié haute pression, classe HPL-EN 438 VGS ou S 232, épaisseur </w:t>
      </w:r>
      <w:r>
        <w:rPr>
          <w:rStyle w:val="optioncarChar"/>
        </w:rPr>
        <w:t>0,8</w:t>
      </w:r>
      <w:r>
        <w:t> (par défaut)</w:t>
      </w:r>
      <w:r>
        <w:rPr>
          <w:rStyle w:val="optioncarChar"/>
        </w:rPr>
        <w:t> / ***</w:t>
      </w:r>
      <w:r>
        <w:t> mm. Chants : listel acrylique, épaisseur min. 2mm. </w:t>
      </w:r>
      <w:r>
        <w:br/>
      </w:r>
      <w:r>
        <w:rPr>
          <w:b/>
        </w:rPr>
        <w:t>***OPTION 3</w:t>
      </w:r>
      <w:r>
        <w:t> : plaque de stratifié haute pression, classe HPL-EN 438 VGP ou P 222, épaisseur </w:t>
      </w:r>
      <w:r>
        <w:rPr>
          <w:rStyle w:val="optioncarChar"/>
        </w:rPr>
        <w:t>0,8</w:t>
      </w:r>
      <w:r>
        <w:t> (par défaut)</w:t>
      </w:r>
      <w:r>
        <w:rPr>
          <w:rStyle w:val="optioncarChar"/>
        </w:rPr>
        <w:t> / ***</w:t>
      </w:r>
      <w:r>
        <w:t> mm. </w:t>
      </w:r>
      <w:r>
        <w:br/>
      </w:r>
      <w:r>
        <w:rPr>
          <w:b/>
        </w:rPr>
        <w:t>***OPTION 4</w:t>
      </w:r>
      <w:r>
        <w:t> : à </w:t>
      </w:r>
      <w:r>
        <w:rPr>
          <w:rStyle w:val="optioncarChar"/>
        </w:rPr>
        <w:t>peindre </w:t>
      </w:r>
      <w:r>
        <w:t>(par défaut)</w:t>
      </w:r>
      <w:r>
        <w:rPr>
          <w:rStyle w:val="optioncarChar"/>
        </w:rPr>
        <w:t xml:space="preserve"> / vernir en deux couches / ***</w:t>
      </w:r>
      <w:r>
        <w:t>, selon l'article *** </w:t>
      </w:r>
    </w:p>
    <w:p w14:paraId="207FFC75" w14:textId="77777777" w:rsidR="004B2808" w:rsidRDefault="00000000">
      <w:pPr>
        <w:pStyle w:val="Author-eListParagraph"/>
        <w:numPr>
          <w:ilvl w:val="0"/>
          <w:numId w:val="1646"/>
        </w:numPr>
      </w:pPr>
      <w:r>
        <w:t xml:space="preserve">Charnières : </w:t>
      </w:r>
    </w:p>
    <w:p w14:paraId="6904E653" w14:textId="77777777" w:rsidR="004B2808" w:rsidRDefault="00000000">
      <w:pPr>
        <w:pStyle w:val="Author-eListParagraph"/>
        <w:numPr>
          <w:ilvl w:val="1"/>
          <w:numId w:val="1647"/>
        </w:numPr>
      </w:pPr>
      <w:r>
        <w:t xml:space="preserve">Angle d'ouverture: </w:t>
      </w:r>
      <w:r>
        <w:rPr>
          <w:rStyle w:val="optioncarChar"/>
        </w:rPr>
        <w:t>90° </w:t>
      </w:r>
      <w:r>
        <w:t>(par défaut)</w:t>
      </w:r>
      <w:r>
        <w:rPr>
          <w:rStyle w:val="optioncarChar"/>
        </w:rPr>
        <w:t xml:space="preserve"> / 170° / ***</w:t>
      </w:r>
    </w:p>
    <w:p w14:paraId="7C04E57A" w14:textId="77777777" w:rsidR="004B2808" w:rsidRDefault="00000000">
      <w:pPr>
        <w:pStyle w:val="Author-eListParagraph"/>
        <w:numPr>
          <w:ilvl w:val="1"/>
          <w:numId w:val="1647"/>
        </w:numPr>
      </w:pPr>
      <w:r>
        <w:t xml:space="preserve">Type : </w:t>
      </w:r>
      <w:r>
        <w:rPr>
          <w:rStyle w:val="optioncarChar"/>
        </w:rPr>
        <w:t>type à fermeture automatique à boîtier</w:t>
      </w:r>
      <w:r>
        <w:t> (par défaut)</w:t>
      </w:r>
      <w:r>
        <w:rPr>
          <w:rStyle w:val="optioncarChar"/>
        </w:rPr>
        <w:t> / ***</w:t>
      </w:r>
    </w:p>
    <w:p w14:paraId="62E465AA" w14:textId="77777777" w:rsidR="004B2808" w:rsidRDefault="00000000">
      <w:pPr>
        <w:pStyle w:val="pheading"/>
      </w:pPr>
      <w:r>
        <w:t>- Prescriptions complémentaires</w:t>
      </w:r>
    </w:p>
    <w:p w14:paraId="6F1D1DC5" w14:textId="77777777" w:rsidR="004B2808" w:rsidRDefault="00000000">
      <w:r>
        <w:t>Le postforming des portes d'armoires sera</w:t>
      </w:r>
      <w:r>
        <w:br/>
      </w:r>
      <w:r>
        <w:rPr>
          <w:b/>
        </w:rPr>
        <w:t>OPTION 1</w:t>
      </w:r>
      <w:r>
        <w:t> : horizontal sur</w:t>
      </w:r>
      <w:r>
        <w:rPr>
          <w:rStyle w:val="optioncarChar"/>
        </w:rPr>
        <w:t> *** / 90° / 180°</w:t>
      </w:r>
      <w:r>
        <w:t> sur toute l'épaisseur . </w:t>
      </w:r>
      <w:r>
        <w:br/>
      </w:r>
      <w:r>
        <w:rPr>
          <w:b/>
        </w:rPr>
        <w:t>OPTION 2</w:t>
      </w:r>
      <w:r>
        <w:t> : vertical sur 90° </w:t>
      </w:r>
      <w:r>
        <w:br/>
      </w:r>
      <w:r>
        <w:rPr>
          <w:b/>
        </w:rPr>
        <w:t>Choix opéré</w:t>
      </w:r>
      <w:r>
        <w:t> : </w:t>
      </w:r>
      <w:r>
        <w:rPr>
          <w:rStyle w:val="optioncarChar"/>
        </w:rPr>
        <w:t>*** / OPTION 1 (horizontal) / OPTION 2 (vertical)</w:t>
      </w:r>
    </w:p>
    <w:p w14:paraId="4B0C07CD" w14:textId="77777777" w:rsidR="004B2808" w:rsidRDefault="00000000">
      <w:pPr>
        <w:pStyle w:val="pheading"/>
      </w:pPr>
      <w:r>
        <w:t>MESURAGE</w:t>
      </w:r>
    </w:p>
    <w:p w14:paraId="2794196B" w14:textId="77777777" w:rsidR="004B2808" w:rsidRDefault="00000000">
      <w:r>
        <w:t>Conformément à la nature du mobilier de laboratoire prévu, les indications spécifiques dans le cahier spécial des charges et/ou le métré récapitulatif, le mesurage doit en principe être conçu comme suit :</w:t>
      </w:r>
    </w:p>
    <w:p w14:paraId="779FDE75" w14:textId="77777777" w:rsidR="004B2808" w:rsidRDefault="00000000">
      <w:pPr>
        <w:pStyle w:val="pheading"/>
      </w:pPr>
      <w:r>
        <w:t>- unité de mesure:</w:t>
      </w:r>
    </w:p>
    <w:p w14:paraId="4B261E5F" w14:textId="77777777" w:rsidR="004B2808" w:rsidRDefault="00000000">
      <w:r>
        <w:t>p</w:t>
      </w:r>
    </w:p>
    <w:p w14:paraId="106803B2" w14:textId="77777777" w:rsidR="004B2808" w:rsidRDefault="00000000">
      <w:pPr>
        <w:pStyle w:val="pheading"/>
      </w:pPr>
      <w:r>
        <w:t>- code de mesurage:</w:t>
      </w:r>
    </w:p>
    <w:p w14:paraId="01628DB3" w14:textId="77777777" w:rsidR="004B2808" w:rsidRDefault="00000000">
      <w:r>
        <w:t xml:space="preserve">Selon le type </w:t>
      </w:r>
    </w:p>
    <w:p w14:paraId="3CE2AAD3" w14:textId="77777777" w:rsidR="004B2808" w:rsidRDefault="00000000">
      <w:pPr>
        <w:pStyle w:val="pheading"/>
      </w:pPr>
      <w:r>
        <w:t>- nature du marché:</w:t>
      </w:r>
    </w:p>
    <w:p w14:paraId="5EC02D3B" w14:textId="77777777" w:rsidR="004B2808" w:rsidRDefault="00000000">
      <w:r>
        <w:t>QF</w:t>
      </w:r>
    </w:p>
    <w:p w14:paraId="0D9407CE" w14:textId="77777777" w:rsidR="004B2808" w:rsidRDefault="00000000">
      <w:pPr>
        <w:pStyle w:val="Author-eSectionHeading5Numberless"/>
      </w:pPr>
      <w:bookmarkStart w:id="1857" w:name="_Toc220491941"/>
      <w:r>
        <w:t>58.61.3 Mobilier de laboratoire - Structure et planches - Planches intérieures CCTB 01.02</w:t>
      </w:r>
      <w:bookmarkEnd w:id="1857"/>
    </w:p>
    <w:p w14:paraId="02FC1560" w14:textId="77777777" w:rsidR="004B2808" w:rsidRDefault="00000000">
      <w:pPr>
        <w:pStyle w:val="Author-eSectionHeading6Numberless"/>
      </w:pPr>
      <w:bookmarkStart w:id="1858" w:name="_Toc220491942"/>
      <w:r>
        <w:lastRenderedPageBreak/>
        <w:t>58.61.3a Mobilier de laboratoire - Structure et planches - Planches intérieures CCTB 01.02</w:t>
      </w:r>
      <w:bookmarkEnd w:id="1858"/>
    </w:p>
    <w:p w14:paraId="1BCCA572" w14:textId="77777777" w:rsidR="004B2808" w:rsidRDefault="00000000">
      <w:pPr>
        <w:pStyle w:val="Author-eSectionHeading5Numberless"/>
      </w:pPr>
      <w:bookmarkStart w:id="1859" w:name="_Toc220491943"/>
      <w:r>
        <w:t>58.61.4 Mobilier de laboratoire - Structure et planches - Structure complémentaire, y compris étagères CCTB 01.02</w:t>
      </w:r>
      <w:bookmarkEnd w:id="1859"/>
    </w:p>
    <w:p w14:paraId="14F3C848" w14:textId="77777777" w:rsidR="004B2808" w:rsidRDefault="00000000">
      <w:pPr>
        <w:pStyle w:val="Author-eSectionHeading6Numberless"/>
      </w:pPr>
      <w:bookmarkStart w:id="1860" w:name="_Toc220491944"/>
      <w:r>
        <w:t>58.61.4a Mobilier de laboratoire - Structure et planches - Structure complémentaire, y compris étagères CCTB 01.02</w:t>
      </w:r>
      <w:bookmarkEnd w:id="1860"/>
    </w:p>
    <w:p w14:paraId="67572FAC" w14:textId="77777777" w:rsidR="004B2808" w:rsidRDefault="00000000">
      <w:pPr>
        <w:pStyle w:val="Author-eSectionHeading4Numberless"/>
      </w:pPr>
      <w:bookmarkStart w:id="1861" w:name="_Toc220491945"/>
      <w:r>
        <w:t>58.62 Mobilier de laboratoire - Portes / Tiroirs / Caissons CCTB 01.02</w:t>
      </w:r>
      <w:bookmarkEnd w:id="1861"/>
    </w:p>
    <w:p w14:paraId="16CCB832" w14:textId="77777777" w:rsidR="004B2808" w:rsidRDefault="00000000">
      <w:pPr>
        <w:pStyle w:val="Author-eSectionHeading5Numberless"/>
      </w:pPr>
      <w:bookmarkStart w:id="1862" w:name="_Toc220491946"/>
      <w:r>
        <w:t>58.62.1 Mobilier de laboratoire - Portes CCTB 01.02</w:t>
      </w:r>
      <w:bookmarkEnd w:id="1862"/>
    </w:p>
    <w:p w14:paraId="46C3206B" w14:textId="77777777" w:rsidR="004B2808" w:rsidRDefault="00000000">
      <w:pPr>
        <w:pStyle w:val="Author-eSectionHeading6Numberless"/>
      </w:pPr>
      <w:bookmarkStart w:id="1863" w:name="_Toc220491947"/>
      <w:r>
        <w:t>58.62.1a Mobilier de laboratoire - Portes CCTB 01.10</w:t>
      </w:r>
      <w:bookmarkEnd w:id="1863"/>
    </w:p>
    <w:p w14:paraId="46BF82EF" w14:textId="77777777" w:rsidR="004B2808" w:rsidRDefault="00000000">
      <w:pPr>
        <w:pStyle w:val="pheading"/>
      </w:pPr>
      <w:r>
        <w:t>MATÉRIAUX</w:t>
      </w:r>
    </w:p>
    <w:p w14:paraId="3C0EF167" w14:textId="77777777" w:rsidR="004B2808" w:rsidRDefault="00000000">
      <w:pPr>
        <w:pStyle w:val="pheading"/>
      </w:pPr>
      <w:r>
        <w:t>- Prescriptions complémentaires</w:t>
      </w:r>
    </w:p>
    <w:p w14:paraId="244FC972" w14:textId="77777777" w:rsidR="004B2808" w:rsidRDefault="00000000">
      <w:r>
        <w:t>Le postforming des portes d'armoires est:</w:t>
      </w:r>
    </w:p>
    <w:p w14:paraId="23EFE9C4" w14:textId="77777777" w:rsidR="004B2808" w:rsidRDefault="00000000">
      <w:pPr>
        <w:ind w:left="450"/>
      </w:pPr>
      <w:r>
        <w:rPr>
          <w:b/>
        </w:rPr>
        <w:t>Choix opéré</w:t>
      </w:r>
      <w:r>
        <w:t> : </w:t>
      </w:r>
      <w:r>
        <w:rPr>
          <w:rStyle w:val="optioncarChar"/>
        </w:rPr>
        <w:t>*** / OPTION 1 (horizontal) </w:t>
      </w:r>
      <w:r>
        <w:t>(par défaut)</w:t>
      </w:r>
      <w:r>
        <w:rPr>
          <w:rStyle w:val="optioncarChar"/>
        </w:rPr>
        <w:t xml:space="preserve"> / OPTION 2 (vertical) / ***</w:t>
      </w:r>
      <w:r>
        <w:br/>
      </w:r>
      <w:r>
        <w:rPr>
          <w:b/>
        </w:rPr>
        <w:t>OPTION 1</w:t>
      </w:r>
      <w:r>
        <w:t> : horizontal sur</w:t>
      </w:r>
      <w:r>
        <w:rPr>
          <w:rStyle w:val="optioncarChar"/>
        </w:rPr>
        <w:t> 90°</w:t>
      </w:r>
      <w:r>
        <w:t> (par défaut)</w:t>
      </w:r>
      <w:r>
        <w:rPr>
          <w:rStyle w:val="optioncarChar"/>
        </w:rPr>
        <w:t xml:space="preserve"> / 180° / ***</w:t>
      </w:r>
      <w:r>
        <w:t> sur toute l'épaisseur . </w:t>
      </w:r>
      <w:r>
        <w:br/>
      </w:r>
      <w:r>
        <w:rPr>
          <w:b/>
        </w:rPr>
        <w:t>OPTION 2</w:t>
      </w:r>
      <w:r>
        <w:t> : vertical sur 90° </w:t>
      </w:r>
    </w:p>
    <w:p w14:paraId="45E7C564" w14:textId="77777777" w:rsidR="004B2808" w:rsidRDefault="00000000">
      <w:pPr>
        <w:pStyle w:val="pheading"/>
      </w:pPr>
      <w:r>
        <w:t>MESURAGE</w:t>
      </w:r>
    </w:p>
    <w:p w14:paraId="678C6837" w14:textId="77777777" w:rsidR="004B2808" w:rsidRDefault="00000000">
      <w:r>
        <w:t>Conformément à la nature du mobilier de laboratoire prévu, les indications spécifiques dans le cahier spécial des charges et/ou le métré récapitulatif, le mesurage doit en principe être conçu comme suit :</w:t>
      </w:r>
    </w:p>
    <w:p w14:paraId="1086EC7C" w14:textId="77777777" w:rsidR="004B2808" w:rsidRDefault="00000000">
      <w:pPr>
        <w:pStyle w:val="pheading"/>
      </w:pPr>
      <w:r>
        <w:t>- unité de mesure:</w:t>
      </w:r>
    </w:p>
    <w:p w14:paraId="232B171B" w14:textId="77777777" w:rsidR="004B2808" w:rsidRDefault="00000000">
      <w:r>
        <w:t>p</w:t>
      </w:r>
    </w:p>
    <w:p w14:paraId="47223A47" w14:textId="77777777" w:rsidR="004B2808" w:rsidRDefault="00000000">
      <w:pPr>
        <w:pStyle w:val="pheading"/>
      </w:pPr>
      <w:r>
        <w:t>- code de mesurage:</w:t>
      </w:r>
    </w:p>
    <w:p w14:paraId="07229CF9" w14:textId="77777777" w:rsidR="004B2808" w:rsidRDefault="00000000">
      <w:r>
        <w:t xml:space="preserve">Selon le type </w:t>
      </w:r>
    </w:p>
    <w:p w14:paraId="55ECB481" w14:textId="77777777" w:rsidR="004B2808" w:rsidRDefault="00000000">
      <w:pPr>
        <w:pStyle w:val="pheading"/>
      </w:pPr>
      <w:r>
        <w:t>- nature du marché:</w:t>
      </w:r>
    </w:p>
    <w:p w14:paraId="74D58D9B" w14:textId="77777777" w:rsidR="004B2808" w:rsidRDefault="00000000">
      <w:r>
        <w:t>QF</w:t>
      </w:r>
    </w:p>
    <w:p w14:paraId="3FA65DDB" w14:textId="77777777" w:rsidR="004B2808" w:rsidRDefault="00000000">
      <w:pPr>
        <w:pStyle w:val="Author-eSectionHeading5Numberless"/>
      </w:pPr>
      <w:bookmarkStart w:id="1864" w:name="_Toc220491948"/>
      <w:r>
        <w:t>58.62.2 Mobilier de laboratoire - Tiroirs CCTB 01.02</w:t>
      </w:r>
      <w:bookmarkEnd w:id="1864"/>
    </w:p>
    <w:p w14:paraId="6C6B7FC9" w14:textId="77777777" w:rsidR="004B2808" w:rsidRDefault="00000000">
      <w:pPr>
        <w:pStyle w:val="Author-eSectionHeading6Numberless"/>
      </w:pPr>
      <w:bookmarkStart w:id="1865" w:name="_Toc220491949"/>
      <w:r>
        <w:t>58.62.2a Mobilier de laboratoire - Tiroirs CCTB 01.10</w:t>
      </w:r>
      <w:bookmarkEnd w:id="1865"/>
    </w:p>
    <w:p w14:paraId="73122B11" w14:textId="77777777" w:rsidR="004B2808" w:rsidRDefault="00000000">
      <w:pPr>
        <w:pStyle w:val="pheading"/>
      </w:pPr>
      <w:r>
        <w:t>MATÉRIAUX</w:t>
      </w:r>
    </w:p>
    <w:p w14:paraId="1B0B1E7E" w14:textId="77777777" w:rsidR="004B2808" w:rsidRDefault="00000000">
      <w:pPr>
        <w:pStyle w:val="pheading"/>
      </w:pPr>
      <w:r>
        <w:t>- Prescriptions complémentaires</w:t>
      </w:r>
    </w:p>
    <w:p w14:paraId="149D903B" w14:textId="77777777" w:rsidR="004B2808" w:rsidRDefault="00000000">
      <w:r>
        <w:t>- Le postforming des façades de tiroirs est</w:t>
      </w:r>
      <w:r>
        <w:rPr>
          <w:rStyle w:val="optioncarChar"/>
        </w:rPr>
        <w:t xml:space="preserve"> horizontal </w:t>
      </w:r>
      <w:r>
        <w:t>(par défaut) </w:t>
      </w:r>
      <w:r>
        <w:rPr>
          <w:rStyle w:val="optioncarChar"/>
        </w:rPr>
        <w:t>/ vertical / ***</w:t>
      </w:r>
      <w:r>
        <w:t xml:space="preserve"> sur </w:t>
      </w:r>
      <w:r>
        <w:rPr>
          <w:rStyle w:val="optioncarChar"/>
        </w:rPr>
        <w:t xml:space="preserve">90 </w:t>
      </w:r>
      <w:r>
        <w:t>(par défaut) </w:t>
      </w:r>
      <w:r>
        <w:rPr>
          <w:rStyle w:val="optioncarChar"/>
        </w:rPr>
        <w:t>/ 180 / ***</w:t>
      </w:r>
      <w:r>
        <w:t xml:space="preserve"> ° sur toute l'épaisseur. Les chants visibles sans postforming sont revêtus de </w:t>
      </w:r>
      <w:r>
        <w:rPr>
          <w:rStyle w:val="optioncarChar"/>
        </w:rPr>
        <w:t>bandes de stratifié sous haute pression </w:t>
      </w:r>
      <w:r>
        <w:t>(par défaut)</w:t>
      </w:r>
      <w:r>
        <w:rPr>
          <w:rStyle w:val="optioncarChar"/>
        </w:rPr>
        <w:t xml:space="preserve"> / listel acrylique d'au moins 2 mm d'épaisseur / ***.</w:t>
      </w:r>
    </w:p>
    <w:p w14:paraId="7BB2F3B5" w14:textId="77777777" w:rsidR="004B2808" w:rsidRDefault="00000000">
      <w:pPr>
        <w:pStyle w:val="pheading"/>
      </w:pPr>
      <w:r>
        <w:t>MESURAGE</w:t>
      </w:r>
    </w:p>
    <w:p w14:paraId="1B3C6383" w14:textId="77777777" w:rsidR="004B2808" w:rsidRDefault="00000000">
      <w:r>
        <w:t>Conformément à la nature du mobilier de laboratoire prévu, les indications spécifiques dans le cahier spécial des charges et/ou le métré récapitulatif, le mesurage doit en principe être conçu comme suit :</w:t>
      </w:r>
    </w:p>
    <w:p w14:paraId="76C25CB2" w14:textId="77777777" w:rsidR="004B2808" w:rsidRDefault="00000000">
      <w:pPr>
        <w:pStyle w:val="pheading"/>
      </w:pPr>
      <w:r>
        <w:t>- unité de mesure:</w:t>
      </w:r>
    </w:p>
    <w:p w14:paraId="196B1D24" w14:textId="77777777" w:rsidR="004B2808" w:rsidRDefault="00000000">
      <w:r>
        <w:t>p</w:t>
      </w:r>
    </w:p>
    <w:p w14:paraId="3D49A6F3" w14:textId="77777777" w:rsidR="004B2808" w:rsidRDefault="00000000">
      <w:pPr>
        <w:pStyle w:val="pheading"/>
      </w:pPr>
      <w:r>
        <w:t>- code de mesurage:</w:t>
      </w:r>
    </w:p>
    <w:p w14:paraId="4D968CF2" w14:textId="77777777" w:rsidR="004B2808" w:rsidRDefault="00000000">
      <w:r>
        <w:lastRenderedPageBreak/>
        <w:t xml:space="preserve">Selon le type </w:t>
      </w:r>
    </w:p>
    <w:p w14:paraId="23AA037F" w14:textId="77777777" w:rsidR="004B2808" w:rsidRDefault="00000000">
      <w:pPr>
        <w:pStyle w:val="pheading"/>
      </w:pPr>
      <w:r>
        <w:t>- nature du marché:</w:t>
      </w:r>
    </w:p>
    <w:p w14:paraId="4C54E1F9" w14:textId="77777777" w:rsidR="004B2808" w:rsidRDefault="00000000">
      <w:r>
        <w:t>QF</w:t>
      </w:r>
    </w:p>
    <w:p w14:paraId="6F6DE831" w14:textId="77777777" w:rsidR="004B2808" w:rsidRDefault="00000000">
      <w:pPr>
        <w:pStyle w:val="Author-eSectionHeading5Numberless"/>
      </w:pPr>
      <w:bookmarkStart w:id="1866" w:name="_Toc220491950"/>
      <w:r>
        <w:t>58.62.3 Mobilier de laboratoire - Caissons CCTB 01.02</w:t>
      </w:r>
      <w:bookmarkEnd w:id="1866"/>
    </w:p>
    <w:p w14:paraId="66719EBA" w14:textId="77777777" w:rsidR="004B2808" w:rsidRDefault="00000000">
      <w:pPr>
        <w:pStyle w:val="Author-eSectionHeading6Numberless"/>
      </w:pPr>
      <w:bookmarkStart w:id="1867" w:name="_Toc220491951"/>
      <w:r>
        <w:t>58.62.3a Mobilier de laboratoire - Caissons CCTB 01.02</w:t>
      </w:r>
      <w:bookmarkEnd w:id="1867"/>
    </w:p>
    <w:p w14:paraId="2FE33A63" w14:textId="77777777" w:rsidR="004B2808" w:rsidRDefault="00000000">
      <w:pPr>
        <w:pStyle w:val="Author-eSectionHeading4Numberless"/>
      </w:pPr>
      <w:bookmarkStart w:id="1868" w:name="_Toc220491952"/>
      <w:r>
        <w:t>58.63 Mobilier de laboratoire - Plans de travail / Tablettes / Panneaux de finition CCTB 01.02</w:t>
      </w:r>
      <w:bookmarkEnd w:id="1868"/>
    </w:p>
    <w:p w14:paraId="3B43A242" w14:textId="77777777" w:rsidR="004B2808" w:rsidRDefault="00000000">
      <w:pPr>
        <w:pStyle w:val="Author-eSectionHeading5Numberless"/>
      </w:pPr>
      <w:bookmarkStart w:id="1869" w:name="_Toc220491953"/>
      <w:r>
        <w:t>58.63.1 Mobilier de laboratoire - Plans de travail CCTB 01.02</w:t>
      </w:r>
      <w:bookmarkEnd w:id="1869"/>
    </w:p>
    <w:p w14:paraId="2CB4A3F5" w14:textId="77777777" w:rsidR="004B2808" w:rsidRDefault="00000000">
      <w:pPr>
        <w:pStyle w:val="Author-eSectionHeading6Numberless"/>
      </w:pPr>
      <w:bookmarkStart w:id="1870" w:name="_Toc220491954"/>
      <w:r>
        <w:t>58.63.1a Mobilier de laboratoire - Plans de travail CCTB 01.02</w:t>
      </w:r>
      <w:bookmarkEnd w:id="1870"/>
    </w:p>
    <w:p w14:paraId="2902A9A6" w14:textId="77777777" w:rsidR="004B2808" w:rsidRDefault="00000000">
      <w:pPr>
        <w:pStyle w:val="Author-eSectionHeading5Numberless"/>
      </w:pPr>
      <w:bookmarkStart w:id="1871" w:name="_Toc220491955"/>
      <w:r>
        <w:t>58.63.2 Mobilier de laboratoire - Tablettes CCTB 01.02</w:t>
      </w:r>
      <w:bookmarkEnd w:id="1871"/>
    </w:p>
    <w:p w14:paraId="66330F42" w14:textId="77777777" w:rsidR="004B2808" w:rsidRDefault="00000000">
      <w:pPr>
        <w:pStyle w:val="Author-eSectionHeading6Numberless"/>
      </w:pPr>
      <w:bookmarkStart w:id="1872" w:name="_Toc220491956"/>
      <w:r>
        <w:t>58.63.2a Mobilier de laboratoire - Tablettes CCTB 01.02</w:t>
      </w:r>
      <w:bookmarkEnd w:id="1872"/>
    </w:p>
    <w:p w14:paraId="4FDD3B88" w14:textId="77777777" w:rsidR="004B2808" w:rsidRDefault="00000000">
      <w:pPr>
        <w:pStyle w:val="Author-eSectionHeading5Numberless"/>
      </w:pPr>
      <w:bookmarkStart w:id="1873" w:name="_Toc220491957"/>
      <w:r>
        <w:t>58.63.3 Mobilier de laboratoire - Panneaux de finition (façades, joues, plinthes) CCTB 01.02</w:t>
      </w:r>
      <w:bookmarkEnd w:id="1873"/>
    </w:p>
    <w:p w14:paraId="7541A11A" w14:textId="77777777" w:rsidR="004B2808" w:rsidRDefault="00000000">
      <w:pPr>
        <w:pStyle w:val="Author-eSectionHeading6Numberless"/>
      </w:pPr>
      <w:bookmarkStart w:id="1874" w:name="_Toc220491958"/>
      <w:r>
        <w:t>58.63.3a Mobilier de laboratoire - Panneaux de finition (façades, joues, plinthes) CCTB 01.02</w:t>
      </w:r>
      <w:bookmarkEnd w:id="1874"/>
    </w:p>
    <w:p w14:paraId="71CE5455" w14:textId="77777777" w:rsidR="004B2808" w:rsidRDefault="00000000">
      <w:pPr>
        <w:pStyle w:val="Author-eSectionHeading4Numberless"/>
      </w:pPr>
      <w:bookmarkStart w:id="1875" w:name="_Toc220491959"/>
      <w:r>
        <w:t>58.64 Mobilier de laboratoire - Quincaillerie complémentaire CCTB 01.02</w:t>
      </w:r>
      <w:bookmarkEnd w:id="1875"/>
    </w:p>
    <w:p w14:paraId="138644AE" w14:textId="77777777" w:rsidR="004B2808" w:rsidRDefault="00000000">
      <w:pPr>
        <w:pStyle w:val="Author-eSectionHeading5Numberless"/>
      </w:pPr>
      <w:bookmarkStart w:id="1876" w:name="_Toc220491960"/>
      <w:r>
        <w:t>58.64.1 Mobilier de laboratoire - Quincaillerie complémentaire - Poignées et tirants CCTB 01.02</w:t>
      </w:r>
      <w:bookmarkEnd w:id="1876"/>
    </w:p>
    <w:p w14:paraId="21058E2C" w14:textId="77777777" w:rsidR="004B2808" w:rsidRDefault="00000000">
      <w:pPr>
        <w:pStyle w:val="Author-eSectionHeading6Numberless"/>
      </w:pPr>
      <w:bookmarkStart w:id="1877" w:name="_Toc220491961"/>
      <w:r>
        <w:t>58.64.1a Mobilier de laboratoire - Quincaillerie complémentaire - Poignées et tirants CCTB 01.02</w:t>
      </w:r>
      <w:bookmarkEnd w:id="1877"/>
    </w:p>
    <w:p w14:paraId="6D2BE1FB" w14:textId="77777777" w:rsidR="004B2808" w:rsidRDefault="00000000">
      <w:pPr>
        <w:pStyle w:val="Author-eSectionHeading5Numberless"/>
      </w:pPr>
      <w:bookmarkStart w:id="1878" w:name="_Toc220491962"/>
      <w:r>
        <w:t>58.64.2 Mobilier de laboratoire - Quincaillerie complémentaire - Charnières CCTB 01.02</w:t>
      </w:r>
      <w:bookmarkEnd w:id="1878"/>
    </w:p>
    <w:p w14:paraId="47895CA2" w14:textId="77777777" w:rsidR="004B2808" w:rsidRDefault="00000000">
      <w:pPr>
        <w:pStyle w:val="Author-eSectionHeading6Numberless"/>
      </w:pPr>
      <w:bookmarkStart w:id="1879" w:name="_Toc220491963"/>
      <w:r>
        <w:t>58.64.2a Mobilier de laboratoire - Quincaillerie complémentaire - Charnières CCTB 01.02</w:t>
      </w:r>
      <w:bookmarkEnd w:id="1879"/>
    </w:p>
    <w:p w14:paraId="7BB395D4" w14:textId="77777777" w:rsidR="004B2808" w:rsidRDefault="00000000">
      <w:pPr>
        <w:pStyle w:val="Author-eSectionHeading5Numberless"/>
      </w:pPr>
      <w:bookmarkStart w:id="1880" w:name="_Toc220491964"/>
      <w:r>
        <w:t>58.64.3 Mobilier de laboratoire - Quincaillerie complémentaire - Rails et glissières CCTB 01.02</w:t>
      </w:r>
      <w:bookmarkEnd w:id="1880"/>
    </w:p>
    <w:p w14:paraId="3387E432" w14:textId="77777777" w:rsidR="004B2808" w:rsidRDefault="00000000">
      <w:pPr>
        <w:pStyle w:val="Author-eSectionHeading6Numberless"/>
      </w:pPr>
      <w:bookmarkStart w:id="1881" w:name="_Toc220491965"/>
      <w:r>
        <w:t>58.64.3a Mobilier de laboratoire - Quincaillerie complémentaire - Rails et glissières CCTB 01.02</w:t>
      </w:r>
      <w:bookmarkEnd w:id="1881"/>
    </w:p>
    <w:p w14:paraId="7F4A2781" w14:textId="77777777" w:rsidR="004B2808" w:rsidRDefault="00000000">
      <w:pPr>
        <w:pStyle w:val="Author-eSectionHeading4Numberless"/>
      </w:pPr>
      <w:bookmarkStart w:id="1882" w:name="_Toc220491966"/>
      <w:r>
        <w:t>58.65 Mobilier de laboratoire - Accessoires CCTB 01.02</w:t>
      </w:r>
      <w:bookmarkEnd w:id="1882"/>
    </w:p>
    <w:p w14:paraId="5ADA7BCB" w14:textId="77777777" w:rsidR="004B2808" w:rsidRDefault="00000000">
      <w:pPr>
        <w:pStyle w:val="Author-eSectionHeading5Numberless"/>
      </w:pPr>
      <w:bookmarkStart w:id="1883" w:name="_Toc220491967"/>
      <w:r>
        <w:t>58.65.1 Mobilier de laboratoire - Accessoires CCTB 01.02</w:t>
      </w:r>
      <w:bookmarkEnd w:id="1883"/>
    </w:p>
    <w:p w14:paraId="0ACC055F" w14:textId="77777777" w:rsidR="004B2808" w:rsidRDefault="00000000">
      <w:pPr>
        <w:pStyle w:val="Author-eSectionHeading6Numberless"/>
      </w:pPr>
      <w:bookmarkStart w:id="1884" w:name="_Toc220491968"/>
      <w:r>
        <w:t>58.65.1a Mobilier de laboratoire - Accessoires CCTB 01.02</w:t>
      </w:r>
      <w:bookmarkEnd w:id="1884"/>
    </w:p>
    <w:p w14:paraId="4FF6D332" w14:textId="77777777" w:rsidR="004B2808" w:rsidRDefault="00000000">
      <w:pPr>
        <w:pStyle w:val="pheading"/>
      </w:pPr>
      <w:r>
        <w:t>MESURAGE</w:t>
      </w:r>
    </w:p>
    <w:p w14:paraId="4B10FC28" w14:textId="77777777" w:rsidR="004B2808" w:rsidRDefault="00000000">
      <w:r>
        <w:t>Conformément à la nature du mobilier de laboratoire prévu, les indications spécifiques dans le cahier spécial des charges et/ou le métré récapitulatif, le mesurage doit en principe être conçu comme suit :</w:t>
      </w:r>
    </w:p>
    <w:p w14:paraId="65A65FF3" w14:textId="77777777" w:rsidR="004B2808" w:rsidRDefault="00000000">
      <w:pPr>
        <w:pStyle w:val="pheading"/>
      </w:pPr>
      <w:r>
        <w:t>- unité de mesure:</w:t>
      </w:r>
    </w:p>
    <w:p w14:paraId="3ABBC9D0" w14:textId="77777777" w:rsidR="004B2808" w:rsidRDefault="00000000">
      <w:r>
        <w:lastRenderedPageBreak/>
        <w:t>p</w:t>
      </w:r>
    </w:p>
    <w:p w14:paraId="513A16EA" w14:textId="77777777" w:rsidR="004B2808" w:rsidRDefault="00000000">
      <w:pPr>
        <w:pStyle w:val="pheading"/>
      </w:pPr>
      <w:r>
        <w:t>- code de mesurage:</w:t>
      </w:r>
    </w:p>
    <w:p w14:paraId="3C8DED7E" w14:textId="77777777" w:rsidR="004B2808" w:rsidRDefault="00000000">
      <w:r>
        <w:t xml:space="preserve">Selon le type </w:t>
      </w:r>
    </w:p>
    <w:p w14:paraId="2BDCD67D" w14:textId="77777777" w:rsidR="004B2808" w:rsidRDefault="00000000">
      <w:pPr>
        <w:pStyle w:val="pheading"/>
      </w:pPr>
      <w:r>
        <w:t>- nature du marché:</w:t>
      </w:r>
    </w:p>
    <w:p w14:paraId="521D3979" w14:textId="77777777" w:rsidR="004B2808" w:rsidRDefault="00000000">
      <w:r>
        <w:t>QF</w:t>
      </w:r>
    </w:p>
    <w:p w14:paraId="4632BC69" w14:textId="77777777" w:rsidR="004B2808" w:rsidRDefault="00000000">
      <w:pPr>
        <w:pStyle w:val="Author-eSectionHeading3Numberless"/>
      </w:pPr>
      <w:bookmarkStart w:id="1885" w:name="_Toc220491969"/>
      <w:r>
        <w:t>58.7 Mobilier intérieur - Eléments particuliers  CCTB 01.02</w:t>
      </w:r>
      <w:bookmarkEnd w:id="1885"/>
    </w:p>
    <w:p w14:paraId="2372DFBD" w14:textId="77777777" w:rsidR="004B2808" w:rsidRDefault="00000000">
      <w:pPr>
        <w:pStyle w:val="Author-eSectionHeading4Numberless"/>
      </w:pPr>
      <w:bookmarkStart w:id="1886" w:name="1440"/>
      <w:bookmarkStart w:id="1887" w:name="_Toc220491970"/>
      <w:bookmarkEnd w:id="1886"/>
      <w:r>
        <w:t>58.71 Mobilier intérieur - Eléments particuliers - Boîtes aux lettres CCTB 01.13</w:t>
      </w:r>
      <w:bookmarkEnd w:id="1887"/>
    </w:p>
    <w:p w14:paraId="08FE161A" w14:textId="77777777" w:rsidR="004B2808" w:rsidRDefault="00000000">
      <w:pPr>
        <w:pStyle w:val="pheading"/>
      </w:pPr>
      <w:bookmarkStart w:id="1888" w:name="1737"/>
      <w:bookmarkEnd w:id="1888"/>
      <w:r>
        <w:t>AIDE</w:t>
      </w:r>
    </w:p>
    <w:p w14:paraId="16A29F04" w14:textId="77777777" w:rsidR="004B2808" w:rsidRDefault="00000000">
      <w:r>
        <w:t>NOTE A L’AUTEUR DE PROJET</w:t>
      </w:r>
      <w:r>
        <w:br/>
      </w:r>
      <w:r>
        <w:br/>
      </w:r>
      <w:r>
        <w:rPr>
          <w:b/>
        </w:rPr>
        <w:t>Accessibilité aux personnes à mobilité réduite (PMR)</w:t>
      </w:r>
    </w:p>
    <w:p w14:paraId="77BB1F70" w14:textId="77777777" w:rsidR="004B2808" w:rsidRDefault="00000000">
      <w:pPr>
        <w:pStyle w:val="Author-eListParagraph"/>
        <w:numPr>
          <w:ilvl w:val="0"/>
          <w:numId w:val="1648"/>
        </w:numPr>
      </w:pPr>
      <w:r>
        <w:t>Hauteur de l’ouverture : entre 85 et 90 cm au-dessus du niveau du sol </w:t>
      </w:r>
    </w:p>
    <w:p w14:paraId="60B1F45C" w14:textId="77777777" w:rsidR="004B2808" w:rsidRDefault="00000000">
      <w:pPr>
        <w:pStyle w:val="Author-eListParagraph"/>
        <w:numPr>
          <w:ilvl w:val="0"/>
          <w:numId w:val="1649"/>
        </w:numPr>
      </w:pPr>
      <w:r>
        <w:t>Distance latérale : à 50 cm minimum de tout mur contigu [SWL CALA] et [NEN 1814]</w:t>
      </w:r>
      <w:r>
        <w:br/>
      </w:r>
    </w:p>
    <w:p w14:paraId="25F8642F" w14:textId="77777777" w:rsidR="004B2808" w:rsidRDefault="00000000">
      <w:pPr>
        <w:pStyle w:val="Author-eSectionHeading5Numberless"/>
      </w:pPr>
      <w:bookmarkStart w:id="1889" w:name="_Toc220491971"/>
      <w:r>
        <w:t>58.71.1 Mobilier intérieur - Eléments particuliers - Boîtes aux lettres CCTB 01.02</w:t>
      </w:r>
      <w:bookmarkEnd w:id="1889"/>
    </w:p>
    <w:p w14:paraId="45283518" w14:textId="77777777" w:rsidR="004B2808" w:rsidRDefault="00000000">
      <w:pPr>
        <w:pStyle w:val="Author-eSectionHeading6Numberless"/>
      </w:pPr>
      <w:bookmarkStart w:id="1890" w:name="_Toc220491972"/>
      <w:r>
        <w:t>58.71.1a Mobilier intérieur - Eléments particuliers - Boîtes aux lettres CCTB 01.10</w:t>
      </w:r>
      <w:bookmarkEnd w:id="1890"/>
    </w:p>
    <w:p w14:paraId="3289A147" w14:textId="77777777" w:rsidR="004B2808" w:rsidRDefault="00000000">
      <w:pPr>
        <w:pStyle w:val="pheading"/>
      </w:pPr>
      <w:r>
        <w:t>DESCRIPTION</w:t>
      </w:r>
    </w:p>
    <w:p w14:paraId="64FCE62D" w14:textId="77777777" w:rsidR="004B2808" w:rsidRDefault="00000000">
      <w:pPr>
        <w:pStyle w:val="pheading"/>
      </w:pPr>
      <w:r>
        <w:t>- Définition / Comprend</w:t>
      </w:r>
    </w:p>
    <w:p w14:paraId="55172DD4" w14:textId="77777777" w:rsidR="004B2808" w:rsidRDefault="00000000">
      <w:r>
        <w:t>Il s'agit de la fourniture et de la pose d'un ensemble de boîtes aux lettres. Au moins un ensemble est prévu pour chaque sas d'entrée. Y compris toutes les sujétions d'exécution et de livraison.</w:t>
      </w:r>
    </w:p>
    <w:p w14:paraId="754603EA" w14:textId="77777777" w:rsidR="004B2808" w:rsidRDefault="00000000">
      <w:pPr>
        <w:pStyle w:val="pheading"/>
      </w:pPr>
      <w:r>
        <w:t>- Localisation</w:t>
      </w:r>
    </w:p>
    <w:p w14:paraId="1A112969" w14:textId="77777777" w:rsidR="004B2808" w:rsidRDefault="00000000">
      <w:r>
        <w:t>A placer dans le sas d'entrée, selon les indications sur les plans, …</w:t>
      </w:r>
    </w:p>
    <w:p w14:paraId="1F6E6F4C" w14:textId="77777777" w:rsidR="004B2808" w:rsidRDefault="00000000">
      <w:pPr>
        <w:pStyle w:val="pheading"/>
      </w:pPr>
      <w:r>
        <w:t>MATÉRIAUX</w:t>
      </w:r>
    </w:p>
    <w:p w14:paraId="6AB07B64" w14:textId="77777777" w:rsidR="004B2808" w:rsidRDefault="00000000">
      <w:pPr>
        <w:pStyle w:val="pheading"/>
      </w:pPr>
      <w:r>
        <w:t>- Caractéristiques générales</w:t>
      </w:r>
    </w:p>
    <w:p w14:paraId="0F7AA1CB" w14:textId="77777777" w:rsidR="004B2808" w:rsidRDefault="00000000">
      <w:r>
        <w:t>La construction et les matériaux utilisés sont suffisamment résistants au vandalisme. Le modèle et/ou les dessins d'exécution sont soumis à l'approbation de l'administration.</w:t>
      </w:r>
    </w:p>
    <w:p w14:paraId="6E9DA2E3" w14:textId="77777777" w:rsidR="004B2808" w:rsidRDefault="00000000">
      <w:pPr>
        <w:pStyle w:val="Author-eListParagraph"/>
        <w:numPr>
          <w:ilvl w:val="0"/>
          <w:numId w:val="1650"/>
        </w:numPr>
      </w:pPr>
      <w:r>
        <w:t>Les boîtes aux lettres sont fermées par des portes battantes laissant une ouverture pour y glisser les lettres, conformément aux exigences de La Poste.</w:t>
      </w:r>
    </w:p>
    <w:p w14:paraId="307EDCDF" w14:textId="77777777" w:rsidR="004B2808" w:rsidRDefault="00000000">
      <w:pPr>
        <w:pStyle w:val="Author-eListParagraph"/>
        <w:numPr>
          <w:ilvl w:val="0"/>
          <w:numId w:val="1650"/>
        </w:numPr>
      </w:pPr>
      <w:r>
        <w:t>Tous les côtés sont entièrement fermés.</w:t>
      </w:r>
    </w:p>
    <w:p w14:paraId="0DEC1AFA" w14:textId="77777777" w:rsidR="004B2808" w:rsidRDefault="00000000">
      <w:pPr>
        <w:pStyle w:val="Author-eListParagraph"/>
        <w:numPr>
          <w:ilvl w:val="0"/>
          <w:numId w:val="1650"/>
        </w:numPr>
      </w:pPr>
      <w:r>
        <w:t>Tous les panneaux de porte sont solidement fixés à l'aide d'une charnière en bande embrevée et sont équipés d'une serrure d'armoire à cylindre nickelée, du type fermeture obligatoire, la clé ne pouvant pas être retirée en position ouverte. A fournir avec 2 clés par serrure. Modèle à soumettre pour approbation.</w:t>
      </w:r>
    </w:p>
    <w:p w14:paraId="35D392A2" w14:textId="77777777" w:rsidR="004B2808" w:rsidRDefault="00000000">
      <w:pPr>
        <w:pStyle w:val="Author-eListParagraph"/>
        <w:numPr>
          <w:ilvl w:val="0"/>
          <w:numId w:val="1650"/>
        </w:numPr>
      </w:pPr>
      <w:r>
        <w:t>Sur chaque porte, on prévoit un support pour plaquette nominative, fixée de façon invisible, avec couvercle transparent en matière synthétique. Modèle à soumettre pour approbation.</w:t>
      </w:r>
    </w:p>
    <w:p w14:paraId="10AD11F8" w14:textId="77777777" w:rsidR="004B2808" w:rsidRDefault="00000000">
      <w:pPr>
        <w:pStyle w:val="heading"/>
      </w:pPr>
      <w:r>
        <w:t>Spécifications</w:t>
      </w:r>
    </w:p>
    <w:p w14:paraId="5A9704A6" w14:textId="77777777" w:rsidR="004B2808" w:rsidRDefault="00000000">
      <w:pPr>
        <w:pStyle w:val="Author-eListParagraph"/>
        <w:numPr>
          <w:ilvl w:val="0"/>
          <w:numId w:val="1651"/>
        </w:numPr>
      </w:pPr>
      <w:r>
        <w:t xml:space="preserve">Nombre de boîtes aux lettres individuelles : </w:t>
      </w:r>
      <w:r>
        <w:rPr>
          <w:rStyle w:val="optioncarChar"/>
        </w:rPr>
        <w:t xml:space="preserve">*** </w:t>
      </w:r>
      <w:r>
        <w:t>(nombre pair, prévoir éventuellement un casier de réserve)</w:t>
      </w:r>
    </w:p>
    <w:p w14:paraId="6E9A3EED" w14:textId="77777777" w:rsidR="004B2808" w:rsidRDefault="00000000">
      <w:pPr>
        <w:pStyle w:val="Author-eListParagraph"/>
        <w:numPr>
          <w:ilvl w:val="0"/>
          <w:numId w:val="1651"/>
        </w:numPr>
      </w:pPr>
      <w:r>
        <w:t>Dimensions intérieures de la boîte (lxhxp) : environ *** / 360 x 330 x 120 / *** mm (+/- 1 cm)</w:t>
      </w:r>
    </w:p>
    <w:p w14:paraId="2E6CF625" w14:textId="77777777" w:rsidR="004B2808" w:rsidRDefault="00000000">
      <w:pPr>
        <w:pStyle w:val="Author-eListParagraph"/>
        <w:numPr>
          <w:ilvl w:val="0"/>
          <w:numId w:val="1651"/>
        </w:numPr>
      </w:pPr>
      <w:r>
        <w:t>Support pour plaquettes nominatives :</w:t>
      </w:r>
      <w:r>
        <w:rPr>
          <w:rStyle w:val="optioncarChar"/>
        </w:rPr>
        <w:t xml:space="preserve"> ***</w:t>
      </w:r>
    </w:p>
    <w:p w14:paraId="252BC096" w14:textId="77777777" w:rsidR="004B2808" w:rsidRDefault="00000000">
      <w:r>
        <w:rPr>
          <w:b/>
          <w:sz w:val="24"/>
        </w:rPr>
        <w:lastRenderedPageBreak/>
        <w:t>Bois</w:t>
      </w:r>
    </w:p>
    <w:p w14:paraId="1A87F77D" w14:textId="77777777" w:rsidR="004B2808" w:rsidRDefault="00000000">
      <w:pPr>
        <w:pStyle w:val="Author-eListParagraph"/>
        <w:numPr>
          <w:ilvl w:val="0"/>
          <w:numId w:val="1652"/>
        </w:numPr>
      </w:pPr>
      <w:r>
        <w:t>L'ensemble pour boîtes aux lettres est exécuté en :</w:t>
      </w:r>
    </w:p>
    <w:p w14:paraId="6D2E2457" w14:textId="77777777" w:rsidR="004B2808" w:rsidRDefault="00000000">
      <w:pPr>
        <w:ind w:left="450"/>
      </w:pPr>
      <w:r>
        <w:rPr>
          <w:b/>
        </w:rPr>
        <w:t xml:space="preserve">Choix opéré </w:t>
      </w:r>
      <w:r>
        <w:t xml:space="preserve">: </w:t>
      </w:r>
      <w:r>
        <w:rPr>
          <w:rStyle w:val="optioncarChar"/>
        </w:rPr>
        <w:t>*** / OPTION 1 </w:t>
      </w:r>
      <w:r>
        <w:t xml:space="preserve">(par défaut) </w:t>
      </w:r>
      <w:r>
        <w:rPr>
          <w:rStyle w:val="optioncarChar"/>
        </w:rPr>
        <w:t>/ OPTION 2</w:t>
      </w:r>
      <w:r>
        <w:br/>
      </w:r>
      <w:r>
        <w:rPr>
          <w:b/>
        </w:rPr>
        <w:t>OPTION 1 (par défaut)</w:t>
      </w:r>
      <w:r>
        <w:t xml:space="preserve">  : contreplaqué WBP, épaisseur </w:t>
      </w:r>
      <w:r>
        <w:rPr>
          <w:rStyle w:val="optioncarChar"/>
        </w:rPr>
        <w:t>18</w:t>
      </w:r>
      <w:r>
        <w:t> (par défaut)</w:t>
      </w:r>
      <w:r>
        <w:rPr>
          <w:rStyle w:val="optioncarChar"/>
        </w:rPr>
        <w:t> / ***  </w:t>
      </w:r>
      <w:r>
        <w:t xml:space="preserve">mm, revêtu sur les deux faces de plaques de résine synthétique laminée de 1,2 mm d'épaisseur. Les chants visibles sont poncés et reçoivent une couche de vernis. Les bords des plaques de résine synthétique laminées collées sur le contreplaqué sont légèrement biseautés. </w:t>
      </w:r>
      <w:r>
        <w:br/>
      </w:r>
      <w:r>
        <w:rPr>
          <w:b/>
        </w:rPr>
        <w:t>OPTION 2</w:t>
      </w:r>
      <w:r>
        <w:t xml:space="preserve"> : plaques de résine synthétique, résines durcissables et fibres de cellulose, structure en </w:t>
      </w:r>
      <w:r>
        <w:rPr>
          <w:rStyle w:val="optioncarChar"/>
        </w:rPr>
        <w:t>12 </w:t>
      </w:r>
      <w:r>
        <w:t>(par défaut)</w:t>
      </w:r>
      <w:r>
        <w:rPr>
          <w:rStyle w:val="optioncarChar"/>
        </w:rPr>
        <w:t> / *** </w:t>
      </w:r>
      <w:r>
        <w:t>mm d'épaisseur, portes en *** / 8 mm d'épaisseur. Coloris : à choisir dans la gamme standard complète proposée par le fabricant.</w:t>
      </w:r>
    </w:p>
    <w:p w14:paraId="1E3504B6" w14:textId="77777777" w:rsidR="004B2808" w:rsidRDefault="00000000">
      <w:pPr>
        <w:pStyle w:val="Author-eListParagraph"/>
        <w:numPr>
          <w:ilvl w:val="0"/>
          <w:numId w:val="1653"/>
        </w:numPr>
      </w:pPr>
      <w:r>
        <w:t>sans clapet</w:t>
      </w:r>
    </w:p>
    <w:p w14:paraId="73026B31" w14:textId="77777777" w:rsidR="004B2808" w:rsidRDefault="00000000">
      <w:pPr>
        <w:pStyle w:val="Author-eListParagraph"/>
        <w:numPr>
          <w:ilvl w:val="0"/>
          <w:numId w:val="1653"/>
        </w:numPr>
      </w:pPr>
      <w:r>
        <w:t>La face des portes des boîtes aux lettres se situe dans le même plan que l'ensemble afin que les portes ne puissent pas s'affaisser.</w:t>
      </w:r>
    </w:p>
    <w:p w14:paraId="3ED73608" w14:textId="77777777" w:rsidR="004B2808" w:rsidRDefault="00000000">
      <w:pPr>
        <w:pStyle w:val="heading"/>
      </w:pPr>
      <w:r>
        <w:t>Spécifications</w:t>
      </w:r>
    </w:p>
    <w:p w14:paraId="614094DD" w14:textId="77777777" w:rsidR="004B2808" w:rsidRDefault="00000000">
      <w:pPr>
        <w:pStyle w:val="Author-eListParagraph"/>
        <w:numPr>
          <w:ilvl w:val="0"/>
          <w:numId w:val="1654"/>
        </w:numPr>
      </w:pPr>
      <w:r>
        <w:t xml:space="preserve">Rainure pour les lettres : l'ouverture a une largeur minium de 23 cm, une hauteur minimale de </w:t>
      </w:r>
      <w:r>
        <w:rPr>
          <w:rStyle w:val="optioncarChar"/>
        </w:rPr>
        <w:t>3 </w:t>
      </w:r>
      <w:r>
        <w:t>(par défaut)</w:t>
      </w:r>
      <w:r>
        <w:rPr>
          <w:rStyle w:val="optioncarChar"/>
        </w:rPr>
        <w:t> / ***</w:t>
      </w:r>
      <w:r>
        <w:t xml:space="preserve"> cm</w:t>
      </w:r>
    </w:p>
    <w:p w14:paraId="059BD8D3" w14:textId="77777777" w:rsidR="004B2808" w:rsidRDefault="00000000">
      <w:r>
        <w:rPr>
          <w:b/>
          <w:sz w:val="24"/>
        </w:rPr>
        <w:t>Métal</w:t>
      </w:r>
    </w:p>
    <w:p w14:paraId="46D9D7C4" w14:textId="77777777" w:rsidR="004B2808" w:rsidRDefault="00000000">
      <w:pPr>
        <w:pStyle w:val="Author-eListParagraph"/>
        <w:numPr>
          <w:ilvl w:val="0"/>
          <w:numId w:val="1655"/>
        </w:numPr>
      </w:pPr>
      <w:r>
        <w:t>L'ensemble pour boîtes aux lettres rigide est exécuté en :</w:t>
      </w:r>
    </w:p>
    <w:p w14:paraId="2E374E20" w14:textId="77777777" w:rsidR="004B2808" w:rsidRDefault="00000000">
      <w:pPr>
        <w:ind w:left="450"/>
      </w:pPr>
      <w:r>
        <w:rPr>
          <w:b/>
        </w:rPr>
        <w:t>Choix opéré</w:t>
      </w:r>
      <w:r>
        <w:t xml:space="preserve"> :</w:t>
      </w:r>
      <w:r>
        <w:rPr>
          <w:rStyle w:val="optioncarChar"/>
        </w:rPr>
        <w:t xml:space="preserve"> *** / OPTION 1 </w:t>
      </w:r>
      <w:r>
        <w:t>(par défaut)</w:t>
      </w:r>
      <w:r>
        <w:rPr>
          <w:rStyle w:val="optioncarChar"/>
        </w:rPr>
        <w:t xml:space="preserve"> / OPTION 2</w:t>
      </w:r>
      <w:r>
        <w:br/>
      </w:r>
      <w:r>
        <w:rPr>
          <w:b/>
        </w:rPr>
        <w:t>OPTION 1</w:t>
      </w:r>
      <w:r>
        <w:t xml:space="preserve"> : aluminium laqué, épaisseur des plaques minimum </w:t>
      </w:r>
      <w:r>
        <w:rPr>
          <w:rStyle w:val="optioncarChar"/>
        </w:rPr>
        <w:t>0,8 </w:t>
      </w:r>
      <w:r>
        <w:t>(par défaut)</w:t>
      </w:r>
      <w:r>
        <w:rPr>
          <w:rStyle w:val="optioncarChar"/>
        </w:rPr>
        <w:t xml:space="preserve"> / 1,0 / *** </w:t>
      </w:r>
      <w:r>
        <w:t xml:space="preserve">mm, revêtu d'un coating à la poudre de polyester anti-rayures et inaltérable (épaisseur de la couche 80 à 120 microns), couleur à choisir dans la gamme standard complète proposée par le fabricant. </w:t>
      </w:r>
      <w:r>
        <w:br/>
      </w:r>
      <w:r>
        <w:rPr>
          <w:b/>
        </w:rPr>
        <w:t>OPTION 2</w:t>
      </w:r>
      <w:r>
        <w:t xml:space="preserve"> : acier laqué, épaisseur des plaques minimum </w:t>
      </w:r>
      <w:r>
        <w:rPr>
          <w:rStyle w:val="optioncarChar"/>
        </w:rPr>
        <w:t>0,8 </w:t>
      </w:r>
      <w:r>
        <w:t>(par défaut)</w:t>
      </w:r>
      <w:r>
        <w:rPr>
          <w:rStyle w:val="optioncarChar"/>
        </w:rPr>
        <w:t xml:space="preserve"> / 1,0 / ***</w:t>
      </w:r>
      <w:r>
        <w:t xml:space="preserve"> mm, revêtu d'un coating à la poudre de polyester anti-rayures et inaltérable (épaisseur de la couche 80 à 120 microns), couleur à choisir dans la gamme standard complète proposée par le fabricant.</w:t>
      </w:r>
    </w:p>
    <w:p w14:paraId="1ABCE5E3" w14:textId="77777777" w:rsidR="004B2808" w:rsidRDefault="00000000">
      <w:pPr>
        <w:pStyle w:val="Author-eListParagraph"/>
        <w:numPr>
          <w:ilvl w:val="0"/>
          <w:numId w:val="1656"/>
        </w:numPr>
      </w:pPr>
      <w:r>
        <w:t>avec un clapet intégré.</w:t>
      </w:r>
    </w:p>
    <w:p w14:paraId="5BCBFB26" w14:textId="77777777" w:rsidR="004B2808" w:rsidRDefault="00000000">
      <w:pPr>
        <w:pStyle w:val="Author-eListParagraph"/>
        <w:numPr>
          <w:ilvl w:val="0"/>
          <w:numId w:val="1656"/>
        </w:numPr>
      </w:pPr>
      <w:r>
        <w:t>La face est entièrement occupée par les portes des boîtes aux lettres.</w:t>
      </w:r>
    </w:p>
    <w:p w14:paraId="3B6EB7CC" w14:textId="77777777" w:rsidR="004B2808" w:rsidRDefault="00000000">
      <w:pPr>
        <w:pStyle w:val="heading"/>
      </w:pPr>
      <w:r>
        <w:t>Spécifications</w:t>
      </w:r>
    </w:p>
    <w:p w14:paraId="218DE288" w14:textId="77777777" w:rsidR="004B2808" w:rsidRDefault="00000000">
      <w:pPr>
        <w:pStyle w:val="Author-eListParagraph"/>
        <w:numPr>
          <w:ilvl w:val="0"/>
          <w:numId w:val="1657"/>
        </w:numPr>
      </w:pPr>
      <w:r>
        <w:t xml:space="preserve">Ouverture pour les lettres :  l'ouverture a une largeur minium de 23 cm, une hauteur minimale de </w:t>
      </w:r>
      <w:r>
        <w:rPr>
          <w:rStyle w:val="optioncarChar"/>
        </w:rPr>
        <w:t>3 </w:t>
      </w:r>
      <w:r>
        <w:t>(par défaut)</w:t>
      </w:r>
      <w:r>
        <w:rPr>
          <w:rStyle w:val="optioncarChar"/>
        </w:rPr>
        <w:t> / ***</w:t>
      </w:r>
      <w:r>
        <w:t xml:space="preserve"> cm</w:t>
      </w:r>
    </w:p>
    <w:p w14:paraId="5B383194" w14:textId="77777777" w:rsidR="004B2808" w:rsidRDefault="00000000">
      <w:pPr>
        <w:pStyle w:val="pheading"/>
      </w:pPr>
      <w:r>
        <w:t>- Prescriptions complémentaires</w:t>
      </w:r>
    </w:p>
    <w:p w14:paraId="15D2E11F" w14:textId="77777777" w:rsidR="004B2808" w:rsidRDefault="00000000">
      <w:pPr>
        <w:pStyle w:val="heading"/>
      </w:pPr>
      <w:r>
        <w:t>Options bois</w:t>
      </w:r>
    </w:p>
    <w:p w14:paraId="56131A62" w14:textId="77777777" w:rsidR="004B2808" w:rsidRDefault="00000000">
      <w:pPr>
        <w:pStyle w:val="Author-eListParagraph"/>
        <w:numPr>
          <w:ilvl w:val="0"/>
          <w:numId w:val="1658"/>
        </w:numPr>
      </w:pPr>
      <w:r>
        <w:t>Prévoir au moins</w:t>
      </w:r>
      <w:r>
        <w:rPr>
          <w:rStyle w:val="optioncarChar"/>
        </w:rPr>
        <w:t> 2 </w:t>
      </w:r>
      <w:r>
        <w:t>(par défaut)</w:t>
      </w:r>
      <w:r>
        <w:rPr>
          <w:rStyle w:val="optioncarChar"/>
        </w:rPr>
        <w:t> / ***</w:t>
      </w:r>
      <w:r>
        <w:t>  casiers ouverts pour les journaux d'informations ou publicitaires. Les boîtes aux lettres non utilisées ne sont pas pourvues d'une porte et constituent un casier ouvert pour les feuillets publicitaires.</w:t>
      </w:r>
    </w:p>
    <w:p w14:paraId="35E7FD51" w14:textId="77777777" w:rsidR="004B2808" w:rsidRDefault="00000000">
      <w:pPr>
        <w:pStyle w:val="heading"/>
      </w:pPr>
      <w:r>
        <w:t>Options métal</w:t>
      </w:r>
    </w:p>
    <w:p w14:paraId="1FEDCC7E" w14:textId="77777777" w:rsidR="004B2808" w:rsidRDefault="00000000">
      <w:pPr>
        <w:pStyle w:val="Author-eListParagraph"/>
        <w:numPr>
          <w:ilvl w:val="0"/>
          <w:numId w:val="1659"/>
        </w:numPr>
      </w:pPr>
      <w:r>
        <w:t xml:space="preserve">Prévoir au moins </w:t>
      </w:r>
      <w:r>
        <w:rPr>
          <w:rStyle w:val="optioncarChar"/>
        </w:rPr>
        <w:t>2 </w:t>
      </w:r>
      <w:r>
        <w:t>(par défaut)</w:t>
      </w:r>
      <w:r>
        <w:rPr>
          <w:rStyle w:val="optioncarChar"/>
        </w:rPr>
        <w:t> / ***</w:t>
      </w:r>
      <w:r>
        <w:t> casiers ouverts pour les journaux d'information ou publicitaires.</w:t>
      </w:r>
    </w:p>
    <w:p w14:paraId="00CABCDE" w14:textId="77777777" w:rsidR="004B2808" w:rsidRDefault="00000000">
      <w:pPr>
        <w:pStyle w:val="pheading"/>
      </w:pPr>
      <w:r>
        <w:t>EXÉCUTION / MISE EN ŒUVRE</w:t>
      </w:r>
    </w:p>
    <w:p w14:paraId="7CBC41DF" w14:textId="77777777" w:rsidR="004B2808" w:rsidRDefault="00000000">
      <w:pPr>
        <w:pStyle w:val="pheading"/>
      </w:pPr>
      <w:r>
        <w:t>- Prescriptions générales</w:t>
      </w:r>
    </w:p>
    <w:p w14:paraId="5D38152D" w14:textId="77777777" w:rsidR="004B2808" w:rsidRDefault="00000000">
      <w:r>
        <w:t>Conformément aux indications et aux dimensions indiquées sur les plans de détail annexés. Les dimensions minimales et la disposition des boîtes aux lettres doivent satisfaire aux exigences de La Poste. L'ensemble est solidement fixé au mur à l'aide de dispositifs de fixation inoxydables.</w:t>
      </w:r>
    </w:p>
    <w:p w14:paraId="4B914CD1" w14:textId="77777777" w:rsidR="004B2808" w:rsidRDefault="00000000">
      <w:r>
        <w:lastRenderedPageBreak/>
        <w:t>Montage selon les prescriptions du fabricant, les indications sur les plans, les dessins de détail et l'ouverture de la boîte aux lettres se situe entre 70 et 140 cm de hauteur.</w:t>
      </w:r>
    </w:p>
    <w:p w14:paraId="203CD63A" w14:textId="77777777" w:rsidR="004B2808" w:rsidRDefault="00000000">
      <w:r>
        <w:t xml:space="preserve">Les boîtes aux lettres sont placées de telle sorte que l'ouverture se situe à une hauteur de </w:t>
      </w:r>
      <w:r>
        <w:rPr>
          <w:rStyle w:val="optioncarChar"/>
        </w:rPr>
        <w:t>85-90 (PMR) </w:t>
      </w:r>
      <w:r>
        <w:t>(par défaut)</w:t>
      </w:r>
      <w:r>
        <w:rPr>
          <w:rStyle w:val="optioncarChar"/>
        </w:rPr>
        <w:t xml:space="preserve"> / ***</w:t>
      </w:r>
      <w:r>
        <w:t xml:space="preserve"> cm au-dessus du niveau du sol. Elles sont également placées à une distance latérale d'au moins </w:t>
      </w:r>
      <w:r>
        <w:rPr>
          <w:rStyle w:val="optioncarChar"/>
        </w:rPr>
        <w:t>50 (PMR)</w:t>
      </w:r>
      <w:r>
        <w:t> (par défaut)</w:t>
      </w:r>
      <w:r>
        <w:rPr>
          <w:rStyle w:val="optioncarChar"/>
        </w:rPr>
        <w:t xml:space="preserve"> / ***</w:t>
      </w:r>
      <w:r>
        <w:t xml:space="preserve"> cm de tout mur contigu.</w:t>
      </w:r>
    </w:p>
    <w:p w14:paraId="58F342EA" w14:textId="77777777" w:rsidR="004B2808" w:rsidRDefault="00000000">
      <w:pPr>
        <w:pStyle w:val="pheading"/>
      </w:pPr>
      <w:r>
        <w:t>MESURAGE</w:t>
      </w:r>
    </w:p>
    <w:p w14:paraId="075AEEAB" w14:textId="77777777" w:rsidR="004B2808" w:rsidRDefault="00000000">
      <w:r>
        <w:t>Conformément aux indications spécifiques dans le cahier spécial des charges et/ou le métré récapitulatif, le mesurage doit être conçu comme suit :</w:t>
      </w:r>
    </w:p>
    <w:p w14:paraId="4682B990" w14:textId="77777777" w:rsidR="004B2808" w:rsidRDefault="00000000">
      <w:pPr>
        <w:pStyle w:val="pheading"/>
      </w:pPr>
      <w:r>
        <w:t>- unité de mesure:</w:t>
      </w:r>
    </w:p>
    <w:p w14:paraId="20159FEF" w14:textId="77777777" w:rsidR="004B2808" w:rsidRDefault="00000000">
      <w:r>
        <w:t>p</w:t>
      </w:r>
    </w:p>
    <w:p w14:paraId="78A54666" w14:textId="77777777" w:rsidR="004B2808" w:rsidRDefault="00000000">
      <w:pPr>
        <w:pStyle w:val="pheading"/>
      </w:pPr>
      <w:r>
        <w:t>- code de mesurage:</w:t>
      </w:r>
    </w:p>
    <w:p w14:paraId="778AA831" w14:textId="77777777" w:rsidR="004B2808" w:rsidRDefault="00000000">
      <w:r>
        <w:t>Par boîte aux lettres (prévoir de préférence un nombre pair!), éventuellement combinée avec la console pour les parlophones</w:t>
      </w:r>
    </w:p>
    <w:p w14:paraId="1D636ACC" w14:textId="77777777" w:rsidR="004B2808" w:rsidRDefault="00000000">
      <w:pPr>
        <w:pStyle w:val="pheading"/>
      </w:pPr>
      <w:r>
        <w:t>- nature du marché:</w:t>
      </w:r>
    </w:p>
    <w:p w14:paraId="0A04C57E" w14:textId="77777777" w:rsidR="004B2808" w:rsidRDefault="00000000">
      <w:r>
        <w:t>QF</w:t>
      </w:r>
    </w:p>
    <w:p w14:paraId="74191AC8" w14:textId="77777777" w:rsidR="004B2808" w:rsidRDefault="00000000">
      <w:pPr>
        <w:pStyle w:val="Author-eSectionHeading4Numberless"/>
      </w:pPr>
      <w:bookmarkStart w:id="1891" w:name="_Toc220491973"/>
      <w:r>
        <w:t>58.72 Mobilier intérieur - Eléments particuliers - Consoles pour parlophone CCTB 01.02</w:t>
      </w:r>
      <w:bookmarkEnd w:id="1891"/>
    </w:p>
    <w:p w14:paraId="02256AB6" w14:textId="77777777" w:rsidR="004B2808" w:rsidRDefault="00000000">
      <w:pPr>
        <w:pStyle w:val="pheading"/>
      </w:pPr>
      <w:bookmarkStart w:id="1892" w:name="1579"/>
      <w:bookmarkEnd w:id="1892"/>
      <w:r>
        <w:t>AIDE</w:t>
      </w:r>
    </w:p>
    <w:p w14:paraId="707B8BED" w14:textId="77777777" w:rsidR="004B2808" w:rsidRDefault="00000000">
      <w:r>
        <w:t>NOTE A L'AUTEUR DE PROJET </w:t>
      </w:r>
    </w:p>
    <w:p w14:paraId="4EB3EBB3" w14:textId="77777777" w:rsidR="004B2808" w:rsidRDefault="00000000">
      <w:r>
        <w:rPr>
          <w:b/>
        </w:rPr>
        <w:t>Accessibilité aux personnes à mobilité réduite (PMR)  </w:t>
      </w:r>
    </w:p>
    <w:p w14:paraId="67661275" w14:textId="77777777" w:rsidR="004B2808" w:rsidRDefault="00000000">
      <w:pPr>
        <w:pStyle w:val="Author-eListParagraph"/>
        <w:numPr>
          <w:ilvl w:val="0"/>
          <w:numId w:val="1660"/>
        </w:numPr>
      </w:pPr>
      <w:r>
        <w:t>Hauteur de la console : entre 80 et 110 cm au-dessus du niveau du sol   [SWL CALA], [NBN ISO 21542] et [BS 8300]</w:t>
      </w:r>
    </w:p>
    <w:p w14:paraId="51DF09F0" w14:textId="77777777" w:rsidR="004B2808" w:rsidRDefault="00000000">
      <w:pPr>
        <w:pStyle w:val="Author-eListParagraph"/>
        <w:numPr>
          <w:ilvl w:val="0"/>
          <w:numId w:val="1660"/>
        </w:numPr>
      </w:pPr>
      <w:r>
        <w:t>Distance latérale de la console : à 50 cm minimum de tout mur contigu   [SWL CALA]</w:t>
      </w:r>
    </w:p>
    <w:p w14:paraId="748D2A8E" w14:textId="77777777" w:rsidR="004B2808" w:rsidRDefault="00000000">
      <w:pPr>
        <w:pStyle w:val="Author-eListParagraph"/>
        <w:numPr>
          <w:ilvl w:val="0"/>
          <w:numId w:val="1660"/>
        </w:numPr>
      </w:pPr>
      <w:r>
        <w:t>Diamètre du bouton poussoir : 3 cm minimum   [SWL CALA]</w:t>
      </w:r>
    </w:p>
    <w:p w14:paraId="66A678C7" w14:textId="77777777" w:rsidR="004B2808" w:rsidRDefault="00000000">
      <w:pPr>
        <w:pStyle w:val="Author-eListParagraph"/>
        <w:numPr>
          <w:ilvl w:val="0"/>
          <w:numId w:val="1660"/>
        </w:numPr>
      </w:pPr>
      <w:r>
        <w:t>Contraste : différence de coefficient de réflexion (LRV) entre le poste et son support de minimum 30%   [NBN ISO 21542] et [BS 8300]</w:t>
      </w:r>
    </w:p>
    <w:p w14:paraId="1B74596A" w14:textId="77777777" w:rsidR="004B2808" w:rsidRDefault="00000000">
      <w:pPr>
        <w:pStyle w:val="Author-eSectionHeading5Numberless"/>
      </w:pPr>
      <w:bookmarkStart w:id="1893" w:name="_Toc220491974"/>
      <w:r>
        <w:t>58.72.1 Mobilier intérieur - Eléments particuliers - Consoles pour parlophone CCTB 01.02</w:t>
      </w:r>
      <w:bookmarkEnd w:id="1893"/>
    </w:p>
    <w:p w14:paraId="5996F94B" w14:textId="77777777" w:rsidR="004B2808" w:rsidRDefault="00000000">
      <w:pPr>
        <w:pStyle w:val="Author-eSectionHeading6Numberless"/>
      </w:pPr>
      <w:bookmarkStart w:id="1894" w:name="_Toc220491975"/>
      <w:r>
        <w:t>58.72.1a Mobilier intérieur - Eléments particuliers - Consoles pour parlophone CCTB 01.10</w:t>
      </w:r>
      <w:bookmarkEnd w:id="1894"/>
    </w:p>
    <w:p w14:paraId="0FE69E85" w14:textId="77777777" w:rsidR="004B2808" w:rsidRDefault="00000000">
      <w:pPr>
        <w:pStyle w:val="pheading"/>
      </w:pPr>
      <w:r>
        <w:t>DESCRIPTION</w:t>
      </w:r>
    </w:p>
    <w:p w14:paraId="1D5C19DA" w14:textId="77777777" w:rsidR="004B2808" w:rsidRDefault="00000000">
      <w:pPr>
        <w:pStyle w:val="pheading"/>
      </w:pPr>
      <w:r>
        <w:t>- Définition / Comprend</w:t>
      </w:r>
    </w:p>
    <w:p w14:paraId="7158893F" w14:textId="77777777" w:rsidR="004B2808" w:rsidRDefault="00000000">
      <w:r>
        <w:t>Il s'agit de la fourniture et de la pose d'une console parfaitement achevée pour les parlophones dans le sas d'entrée. Y compris toutes les sujétions d'exécution et de livraison.</w:t>
      </w:r>
    </w:p>
    <w:p w14:paraId="6C9639E8" w14:textId="77777777" w:rsidR="004B2808" w:rsidRDefault="00000000">
      <w:r>
        <w:rPr>
          <w:i/>
          <w:u w:val="single"/>
        </w:rPr>
        <w:t xml:space="preserve">Attention </w:t>
      </w:r>
      <w:r>
        <w:br/>
        <w:t>Les consoles pour les parlophones peuvent éventuellement être intégrées dans un ensemble qui comprend aussi les boîtes aux lettres et sont alors comprises dans ce poste.</w:t>
      </w:r>
    </w:p>
    <w:p w14:paraId="5A387B95" w14:textId="77777777" w:rsidR="004B2808" w:rsidRDefault="00000000">
      <w:pPr>
        <w:pStyle w:val="pheading"/>
      </w:pPr>
      <w:r>
        <w:t>MATÉRIAUX</w:t>
      </w:r>
    </w:p>
    <w:p w14:paraId="43E9D82C" w14:textId="77777777" w:rsidR="004B2808" w:rsidRDefault="00000000">
      <w:pPr>
        <w:pStyle w:val="pheading"/>
      </w:pPr>
      <w:r>
        <w:t>- Caractéristiques générales</w:t>
      </w:r>
    </w:p>
    <w:p w14:paraId="7D16F00A" w14:textId="77777777" w:rsidR="004B2808" w:rsidRDefault="00000000">
      <w:r>
        <w:t>La construction et les matériaux utilisés sont suffisamment résistants au vandalisme.</w:t>
      </w:r>
    </w:p>
    <w:p w14:paraId="7403AA96" w14:textId="77777777" w:rsidR="004B2808" w:rsidRDefault="00000000">
      <w:r>
        <w:rPr>
          <w:b/>
          <w:u w:val="single"/>
        </w:rPr>
        <w:t>Spécifications</w:t>
      </w:r>
    </w:p>
    <w:p w14:paraId="4BB43F8B" w14:textId="77777777" w:rsidR="004B2808" w:rsidRDefault="00000000">
      <w:pPr>
        <w:pStyle w:val="Author-eListParagraph"/>
        <w:numPr>
          <w:ilvl w:val="0"/>
          <w:numId w:val="1661"/>
        </w:numPr>
      </w:pPr>
      <w:r>
        <w:lastRenderedPageBreak/>
        <w:t>Diamètre du bouton poussoir : </w:t>
      </w:r>
      <w:r>
        <w:rPr>
          <w:rStyle w:val="optioncarChar"/>
        </w:rPr>
        <w:t>minimum 3 (PMR) </w:t>
      </w:r>
      <w:r>
        <w:t>(par défaut)</w:t>
      </w:r>
      <w:r>
        <w:rPr>
          <w:rStyle w:val="optioncarChar"/>
        </w:rPr>
        <w:t> / *** </w:t>
      </w:r>
      <w:r>
        <w:t>cm</w:t>
      </w:r>
    </w:p>
    <w:p w14:paraId="5CF6857F" w14:textId="77777777" w:rsidR="004B2808" w:rsidRDefault="00000000">
      <w:pPr>
        <w:pStyle w:val="pheading"/>
      </w:pPr>
      <w:r>
        <w:t>- Finitions</w:t>
      </w:r>
    </w:p>
    <w:p w14:paraId="786C3658" w14:textId="77777777" w:rsidR="004B2808" w:rsidRDefault="00000000">
      <w:r>
        <w:t xml:space="preserve">Différence de LRV entre la console et son support : </w:t>
      </w:r>
      <w:r>
        <w:rPr>
          <w:rStyle w:val="optioncarChar"/>
        </w:rPr>
        <w:t xml:space="preserve">au moins 30 (PMR) </w:t>
      </w:r>
      <w:r>
        <w:t>(par défaut)</w:t>
      </w:r>
      <w:r>
        <w:rPr>
          <w:rStyle w:val="optioncarChar"/>
        </w:rPr>
        <w:t> / *** </w:t>
      </w:r>
      <w:r>
        <w:t>%</w:t>
      </w:r>
    </w:p>
    <w:p w14:paraId="6A6DCCAC" w14:textId="77777777" w:rsidR="004B2808" w:rsidRDefault="00000000">
      <w:pPr>
        <w:pStyle w:val="pheading"/>
      </w:pPr>
      <w:r>
        <w:t>EXÉCUTION / MISE EN ŒUVRE</w:t>
      </w:r>
    </w:p>
    <w:p w14:paraId="1151C252" w14:textId="77777777" w:rsidR="004B2808" w:rsidRDefault="00000000">
      <w:pPr>
        <w:pStyle w:val="pheading"/>
      </w:pPr>
      <w:r>
        <w:t>- Prescriptions générales</w:t>
      </w:r>
    </w:p>
    <w:p w14:paraId="0898837B" w14:textId="77777777" w:rsidR="004B2808" w:rsidRDefault="00000000">
      <w:r>
        <w:t>L'installation pour le parlophone, telle que prévue à l'article 72.21.2b Installations pour parlophones / intercoms individuels - postes extérieurs - parlophones - intercoms Installation pour parlophone - poste à rue est intégrée dans une console achevée, conformément aux indications et aux dimensions indiquées sur les plans de détail annexés. L'ensemble est solidement fixé au mur à l'aide de dispositifs de fixation inoxydables.</w:t>
      </w:r>
      <w:r>
        <w:br/>
        <w:t xml:space="preserve">Les consoles sont placées à une hauteur de </w:t>
      </w:r>
      <w:r>
        <w:rPr>
          <w:rStyle w:val="optioncarChar"/>
        </w:rPr>
        <w:t>80-110 (PMR) </w:t>
      </w:r>
      <w:r>
        <w:t>(par défaut)</w:t>
      </w:r>
      <w:r>
        <w:rPr>
          <w:rStyle w:val="optioncarChar"/>
        </w:rPr>
        <w:t xml:space="preserve"> / ***  </w:t>
      </w:r>
      <w:r>
        <w:t xml:space="preserve">cm au-dessus du niveau du sol et à une distance latérale d’au moins </w:t>
      </w:r>
      <w:r>
        <w:rPr>
          <w:rStyle w:val="optioncarChar"/>
        </w:rPr>
        <w:t>50 (PMR) </w:t>
      </w:r>
      <w:r>
        <w:t>(par défaut)</w:t>
      </w:r>
      <w:r>
        <w:rPr>
          <w:rStyle w:val="optioncarChar"/>
        </w:rPr>
        <w:t xml:space="preserve"> / ***</w:t>
      </w:r>
      <w:r>
        <w:t xml:space="preserve"> cm de tout mur contigu.</w:t>
      </w:r>
    </w:p>
    <w:p w14:paraId="5DF8C84B" w14:textId="77777777" w:rsidR="004B2808" w:rsidRDefault="00000000">
      <w:pPr>
        <w:pStyle w:val="pheading"/>
      </w:pPr>
      <w:r>
        <w:t>MESURAGE</w:t>
      </w:r>
    </w:p>
    <w:p w14:paraId="2C28D172" w14:textId="77777777" w:rsidR="004B2808" w:rsidRDefault="00000000">
      <w:r>
        <w:t>Conformément aux indications spécifiques dans le cahier spécial des charges et/ou le métré récapitulatif, le mesurage doit être conçu comme suit :</w:t>
      </w:r>
    </w:p>
    <w:p w14:paraId="34F7C0FB" w14:textId="77777777" w:rsidR="004B2808" w:rsidRDefault="00000000">
      <w:pPr>
        <w:pStyle w:val="pheading"/>
      </w:pPr>
      <w:r>
        <w:t>- unité de mesure:</w:t>
      </w:r>
    </w:p>
    <w:p w14:paraId="1FB32A5D" w14:textId="77777777" w:rsidR="004B2808" w:rsidRDefault="00000000">
      <w:r>
        <w:t>p</w:t>
      </w:r>
    </w:p>
    <w:p w14:paraId="376CE8B5" w14:textId="77777777" w:rsidR="004B2808" w:rsidRDefault="00000000">
      <w:pPr>
        <w:pStyle w:val="pheading"/>
      </w:pPr>
      <w:r>
        <w:t>- code de mesurage:</w:t>
      </w:r>
    </w:p>
    <w:p w14:paraId="68284710" w14:textId="77777777" w:rsidR="004B2808" w:rsidRDefault="00000000">
      <w:r>
        <w:t>Par porte, indépendamment du nombre de sonnettes.</w:t>
      </w:r>
    </w:p>
    <w:p w14:paraId="6C3B0C73" w14:textId="77777777" w:rsidR="004B2808" w:rsidRDefault="00000000">
      <w:pPr>
        <w:pStyle w:val="pheading"/>
      </w:pPr>
      <w:r>
        <w:t>- nature du marché:</w:t>
      </w:r>
    </w:p>
    <w:p w14:paraId="3059773D" w14:textId="77777777" w:rsidR="004B2808" w:rsidRDefault="00000000">
      <w:r>
        <w:t>QF</w:t>
      </w:r>
    </w:p>
    <w:p w14:paraId="73402285" w14:textId="77777777" w:rsidR="004B2808" w:rsidRDefault="00000000">
      <w:pPr>
        <w:pStyle w:val="Author-eSectionHeading4Numberless"/>
      </w:pPr>
      <w:bookmarkStart w:id="1895" w:name="_Toc220491976"/>
      <w:r>
        <w:t>58.73 Mobilier intérieur - Eléments particuliers - Barrière de sécurité - de guidage CCTB 01.02</w:t>
      </w:r>
      <w:bookmarkEnd w:id="1895"/>
    </w:p>
    <w:p w14:paraId="7E792D77" w14:textId="77777777" w:rsidR="004B2808" w:rsidRDefault="00000000">
      <w:pPr>
        <w:pStyle w:val="Author-eSectionHeading5Numberless"/>
      </w:pPr>
      <w:bookmarkStart w:id="1896" w:name="_Toc220491977"/>
      <w:r>
        <w:t>58.73.1 Mobilier intérieur - Eléments particuliers - Barrière de sécurité - de guidage en bois CCTB 01.02</w:t>
      </w:r>
      <w:bookmarkEnd w:id="1896"/>
    </w:p>
    <w:p w14:paraId="09D236D4" w14:textId="77777777" w:rsidR="004B2808" w:rsidRDefault="00000000">
      <w:pPr>
        <w:pStyle w:val="Author-eSectionHeading6Numberless"/>
      </w:pPr>
      <w:bookmarkStart w:id="1897" w:name="_Toc220491978"/>
      <w:r>
        <w:t>58.73.1a Mobilier intérieur - Eléments particuliers - Barrière de sécurité - de guidage en bois CCTB 01.02</w:t>
      </w:r>
      <w:bookmarkEnd w:id="1897"/>
    </w:p>
    <w:p w14:paraId="608E1B96" w14:textId="77777777" w:rsidR="004B2808" w:rsidRDefault="00000000">
      <w:pPr>
        <w:pStyle w:val="Author-eSectionHeading5Numberless"/>
      </w:pPr>
      <w:bookmarkStart w:id="1898" w:name="_Toc220491979"/>
      <w:r>
        <w:t>58.73.2 Mobilier intérieur - Eléments particuliers - Barrière de sécurité - de guidage en acier CCTB 01.02</w:t>
      </w:r>
      <w:bookmarkEnd w:id="1898"/>
    </w:p>
    <w:p w14:paraId="46C528A7" w14:textId="77777777" w:rsidR="004B2808" w:rsidRDefault="00000000">
      <w:pPr>
        <w:pStyle w:val="Author-eSectionHeading6Numberless"/>
      </w:pPr>
      <w:bookmarkStart w:id="1899" w:name="_Toc220491980"/>
      <w:r>
        <w:t>58.73.2a Mobilier intérieur - Eléments particuliers - Barrière de sécurité - de guidage en acier CCTB 01.02</w:t>
      </w:r>
      <w:bookmarkEnd w:id="1899"/>
    </w:p>
    <w:p w14:paraId="14B55C5F" w14:textId="77777777" w:rsidR="004B2808" w:rsidRDefault="00000000">
      <w:pPr>
        <w:pStyle w:val="Author-eSectionHeading5Numberless"/>
      </w:pPr>
      <w:bookmarkStart w:id="1900" w:name="_Toc220491981"/>
      <w:r>
        <w:t>58.73.3 Mobilier intérieur - Eléments particuliers - Barrière de sécurité - de guidage en acier inoxydable CCTB 01.02</w:t>
      </w:r>
      <w:bookmarkEnd w:id="1900"/>
    </w:p>
    <w:p w14:paraId="0CA569DA" w14:textId="77777777" w:rsidR="004B2808" w:rsidRDefault="00000000">
      <w:pPr>
        <w:pStyle w:val="Author-eSectionHeading6Numberless"/>
      </w:pPr>
      <w:bookmarkStart w:id="1901" w:name="_Toc220491982"/>
      <w:r>
        <w:t>58.73.3a Mobilier intérieur - Eléments particuliers - Barrière de sécurité - de guidage en acier inoxydable CCTB 01.02</w:t>
      </w:r>
      <w:bookmarkEnd w:id="1901"/>
    </w:p>
    <w:p w14:paraId="40DA92A8" w14:textId="77777777" w:rsidR="004B2808" w:rsidRDefault="00000000">
      <w:pPr>
        <w:pStyle w:val="Author-eSectionHeading5Numberless"/>
      </w:pPr>
      <w:bookmarkStart w:id="1902" w:name="_Toc220491983"/>
      <w:r>
        <w:t>58.73.4 Mobilier intérieur - Eléments particuliers - Barrière de sécurité - de guidage en matériaux mixtes CCTB 01.02</w:t>
      </w:r>
      <w:bookmarkEnd w:id="1902"/>
    </w:p>
    <w:p w14:paraId="1C39154B" w14:textId="77777777" w:rsidR="004B2808" w:rsidRDefault="00000000">
      <w:pPr>
        <w:pStyle w:val="Author-eSectionHeading6Numberless"/>
      </w:pPr>
      <w:bookmarkStart w:id="1903" w:name="_Toc220491984"/>
      <w:r>
        <w:t>58.73.4a Mobilier intérieur - Eléments particuliers - Barrière de sécurité - de guidage en matériaux mixtes CCTB 01.02</w:t>
      </w:r>
      <w:bookmarkEnd w:id="1903"/>
    </w:p>
    <w:p w14:paraId="54F2A50D" w14:textId="77777777" w:rsidR="004B2808" w:rsidRDefault="00000000">
      <w:pPr>
        <w:pStyle w:val="Author-eSectionHeading4Numberless"/>
      </w:pPr>
      <w:bookmarkStart w:id="1904" w:name="_Toc220491985"/>
      <w:r>
        <w:lastRenderedPageBreak/>
        <w:t>58.74 Mobilier intérieur - Eléments particuliers - Siège / Banc fixé au mur ou au sol CCTB 01.02</w:t>
      </w:r>
      <w:bookmarkEnd w:id="1904"/>
    </w:p>
    <w:p w14:paraId="7BB2D682" w14:textId="77777777" w:rsidR="004B2808" w:rsidRDefault="00000000">
      <w:pPr>
        <w:pStyle w:val="Author-eSectionHeading5Numberless"/>
      </w:pPr>
      <w:bookmarkStart w:id="1905" w:name="_Toc220491986"/>
      <w:r>
        <w:t>58.74.1 Mobilier intérieur - Eléments particuliers - Siège / Banc fixé au mur ou au sol en bois CCTB 01.02</w:t>
      </w:r>
      <w:bookmarkEnd w:id="1905"/>
    </w:p>
    <w:p w14:paraId="16DC43EC" w14:textId="77777777" w:rsidR="004B2808" w:rsidRDefault="00000000">
      <w:pPr>
        <w:pStyle w:val="Author-eSectionHeading6Numberless"/>
      </w:pPr>
      <w:bookmarkStart w:id="1906" w:name="_Toc220491987"/>
      <w:r>
        <w:t>58.74.1a Mobilier intérieur - Eléments particuliers - Siège / Banc fixé au mur ou au sol en bois CCTB 01.02</w:t>
      </w:r>
      <w:bookmarkEnd w:id="1906"/>
    </w:p>
    <w:p w14:paraId="1B26709B" w14:textId="77777777" w:rsidR="004B2808" w:rsidRDefault="00000000">
      <w:pPr>
        <w:pStyle w:val="pheading"/>
      </w:pPr>
      <w:r>
        <w:t>MESURAGE</w:t>
      </w:r>
    </w:p>
    <w:p w14:paraId="2CBAA2CE" w14:textId="77777777" w:rsidR="004B2808" w:rsidRDefault="00000000">
      <w:pPr>
        <w:pStyle w:val="pheading"/>
      </w:pPr>
      <w:r>
        <w:t>- unité de mesure:</w:t>
      </w:r>
    </w:p>
    <w:p w14:paraId="0F049108" w14:textId="77777777" w:rsidR="004B2808" w:rsidRDefault="00000000">
      <w:r>
        <w:t>p</w:t>
      </w:r>
    </w:p>
    <w:p w14:paraId="3D3C8B5D" w14:textId="77777777" w:rsidR="004B2808" w:rsidRDefault="00000000">
      <w:pPr>
        <w:pStyle w:val="pheading"/>
      </w:pPr>
      <w:r>
        <w:t>- code de mesurage:</w:t>
      </w:r>
    </w:p>
    <w:p w14:paraId="56BB561C" w14:textId="77777777" w:rsidR="004B2808" w:rsidRDefault="00000000">
      <w:r>
        <w:t xml:space="preserve">Selon le type </w:t>
      </w:r>
    </w:p>
    <w:p w14:paraId="6BE35C84" w14:textId="77777777" w:rsidR="004B2808" w:rsidRDefault="00000000">
      <w:pPr>
        <w:pStyle w:val="pheading"/>
      </w:pPr>
      <w:r>
        <w:t>- nature du marché:</w:t>
      </w:r>
    </w:p>
    <w:p w14:paraId="0C6126D2" w14:textId="77777777" w:rsidR="004B2808" w:rsidRDefault="00000000">
      <w:r>
        <w:t>QF</w:t>
      </w:r>
    </w:p>
    <w:p w14:paraId="061B0B4D" w14:textId="77777777" w:rsidR="004B2808" w:rsidRDefault="00000000">
      <w:pPr>
        <w:pStyle w:val="Author-eSectionHeading5Numberless"/>
      </w:pPr>
      <w:bookmarkStart w:id="1907" w:name="_Toc220491988"/>
      <w:r>
        <w:t>58.74.2 Mobilier intérieur - Eléments particuliers - Siège / Banc fixé au mur ou au sol en acier CCTB 01.02</w:t>
      </w:r>
      <w:bookmarkEnd w:id="1907"/>
    </w:p>
    <w:p w14:paraId="568D479D" w14:textId="77777777" w:rsidR="004B2808" w:rsidRDefault="00000000">
      <w:pPr>
        <w:pStyle w:val="Author-eSectionHeading6Numberless"/>
      </w:pPr>
      <w:bookmarkStart w:id="1908" w:name="_Toc220491989"/>
      <w:r>
        <w:t>58.74.2a Mobilier intérieur - Eléments particuliers - Siège / Banc fixé au mur ou au sol en acier CCTB 01.02</w:t>
      </w:r>
      <w:bookmarkEnd w:id="1908"/>
    </w:p>
    <w:p w14:paraId="0501262F" w14:textId="77777777" w:rsidR="004B2808" w:rsidRDefault="00000000">
      <w:pPr>
        <w:pStyle w:val="Author-eSectionHeading5Numberless"/>
      </w:pPr>
      <w:bookmarkStart w:id="1909" w:name="_Toc220491990"/>
      <w:r>
        <w:t>58.74.3 Mobilier intérieur - Eléments particuliers - Siège / Banc fixé au mur ou au sol en acier inoxydable CCTB 01.02</w:t>
      </w:r>
      <w:bookmarkEnd w:id="1909"/>
    </w:p>
    <w:p w14:paraId="18228BE1" w14:textId="77777777" w:rsidR="004B2808" w:rsidRDefault="00000000">
      <w:pPr>
        <w:pStyle w:val="Author-eSectionHeading6Numberless"/>
      </w:pPr>
      <w:bookmarkStart w:id="1910" w:name="_Toc220491991"/>
      <w:r>
        <w:t>58.74.3a Mobilier intérieur - Eléments particuliers - Siège / Banc fixé au mur ou au sol en acier inoxydable CCTB 01.02</w:t>
      </w:r>
      <w:bookmarkEnd w:id="1910"/>
    </w:p>
    <w:p w14:paraId="005CF010" w14:textId="77777777" w:rsidR="004B2808" w:rsidRDefault="00000000">
      <w:pPr>
        <w:pStyle w:val="Author-eSectionHeading5Numberless"/>
      </w:pPr>
      <w:bookmarkStart w:id="1911" w:name="_Toc220491992"/>
      <w:r>
        <w:t>58.74.4 Mobilier intérieur - Eléments particuliers - Siège / Banc fixé au mur ou au sol en matériaux mixtes CCTB 01.02</w:t>
      </w:r>
      <w:bookmarkEnd w:id="1911"/>
    </w:p>
    <w:p w14:paraId="08724792" w14:textId="77777777" w:rsidR="004B2808" w:rsidRDefault="00000000">
      <w:pPr>
        <w:pStyle w:val="Author-eSectionHeading6Numberless"/>
      </w:pPr>
      <w:bookmarkStart w:id="1912" w:name="_Toc220491993"/>
      <w:r>
        <w:t>58.74.4a Mobilier intérieur - Eléments particuliers - Siège / Banc fixé au mur ou au sol en matériaux mixtes CCTB 01.02</w:t>
      </w:r>
      <w:bookmarkEnd w:id="1912"/>
    </w:p>
    <w:p w14:paraId="23305088" w14:textId="77777777" w:rsidR="004B2808" w:rsidRDefault="00000000">
      <w:pPr>
        <w:pStyle w:val="Author-eSectionHeading3Numberless"/>
      </w:pPr>
      <w:bookmarkStart w:id="1913" w:name="_Toc220491994"/>
      <w:r>
        <w:t>58.8 Mobilier intérieur fixe - Rénovation CCTB 01.02</w:t>
      </w:r>
      <w:bookmarkEnd w:id="1913"/>
    </w:p>
    <w:sectPr w:rsidR="004B2808">
      <w:headerReference w:type="default" r:id="rId12"/>
      <w:footerReference w:type="default" r:id="rId13"/>
      <w:pgSz w:w="11906" w:h="16838"/>
      <w:pgMar w:top="1440" w:right="1440" w:bottom="1440" w:left="1440" w:header="708"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8DE1B1" w14:textId="77777777" w:rsidR="003744EF" w:rsidRDefault="003744EF">
      <w:pPr>
        <w:spacing w:before="0" w:after="0" w:line="240" w:lineRule="auto"/>
      </w:pPr>
      <w:r>
        <w:separator/>
      </w:r>
    </w:p>
  </w:endnote>
  <w:endnote w:type="continuationSeparator" w:id="0">
    <w:p w14:paraId="570937EF" w14:textId="77777777" w:rsidR="003744EF" w:rsidRDefault="003744E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A7740" w14:textId="77777777" w:rsidR="004B2808" w:rsidRDefault="00000000">
    <w:r>
      <w:ptab w:relativeTo="margin" w:alignment="center" w:leader="none"/>
    </w:r>
    <w:sdt>
      <w:sdtPr>
        <w:id w:val="-1616354995"/>
      </w:sdtPr>
      <w:sdtContent>
        <w:r>
          <w:fldChar w:fldCharType="begin"/>
        </w:r>
        <w:r>
          <w:rPr>
            <w:b/>
            <w:bCs/>
            <w:sz w:val="16"/>
            <w:szCs w:val="16"/>
          </w:rPr>
          <w:instrText>PAGE</w:instrText>
        </w:r>
        <w:r>
          <w:fldChar w:fldCharType="separate"/>
        </w:r>
        <w:r w:rsidR="00942DA0">
          <w:rPr>
            <w:b/>
            <w:bCs/>
            <w:noProof/>
            <w:sz w:val="16"/>
            <w:szCs w:val="16"/>
          </w:rPr>
          <w:t>1</w:t>
        </w:r>
        <w:r>
          <w:fldChar w:fldCharType="end"/>
        </w:r>
        <w:r>
          <w:rPr>
            <w:b/>
            <w:bCs/>
            <w:sz w:val="16"/>
            <w:szCs w:val="16"/>
          </w:rPr>
          <w:t>/</w:t>
        </w:r>
        <w:r>
          <w:fldChar w:fldCharType="begin"/>
        </w:r>
        <w:r>
          <w:rPr>
            <w:b/>
            <w:bCs/>
            <w:sz w:val="16"/>
            <w:szCs w:val="16"/>
          </w:rPr>
          <w:instrText>NUMPAGES</w:instrText>
        </w:r>
        <w:r>
          <w:fldChar w:fldCharType="separate"/>
        </w:r>
        <w:r w:rsidR="00942DA0">
          <w:rPr>
            <w:b/>
            <w:bCs/>
            <w:noProof/>
            <w:sz w:val="16"/>
            <w:szCs w:val="16"/>
          </w:rPr>
          <w:t>2</w:t>
        </w:r>
        <w:r>
          <w:fldChar w:fldCharType="end"/>
        </w:r>
      </w:sdtContent>
    </w:sdt>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25C6A" w14:textId="77777777" w:rsidR="003744EF" w:rsidRDefault="003744EF">
      <w:pPr>
        <w:spacing w:before="0" w:after="0" w:line="240" w:lineRule="auto"/>
      </w:pPr>
      <w:r>
        <w:separator/>
      </w:r>
    </w:p>
  </w:footnote>
  <w:footnote w:type="continuationSeparator" w:id="0">
    <w:p w14:paraId="7B682311" w14:textId="77777777" w:rsidR="003744EF" w:rsidRDefault="003744E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987EE" w14:textId="49E825C9" w:rsidR="000F4169" w:rsidRPr="000F4169" w:rsidRDefault="000F4169" w:rsidP="000F4169">
    <w:pPr>
      <w:pStyle w:val="En-tte"/>
      <w:jc w:val="center"/>
      <w:rPr>
        <w:sz w:val="16"/>
        <w:szCs w:val="16"/>
      </w:rPr>
    </w:pPr>
    <w:r w:rsidRPr="000F4169">
      <w:rPr>
        <w:sz w:val="16"/>
        <w:szCs w:val="16"/>
      </w:rPr>
      <w:t>CCTB 01.13 du 17/03/2026 – T5 Fermetures / Finitions intérieures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3E65"/>
    <w:multiLevelType w:val="hybridMultilevel"/>
    <w:tmpl w:val="E5D25584"/>
    <w:lvl w:ilvl="0" w:tplc="3E6E91B2">
      <w:start w:val="1"/>
      <w:numFmt w:val="bullet"/>
      <w:lvlText w:val=""/>
      <w:lvlJc w:val="left"/>
      <w:pPr>
        <w:ind w:left="720" w:hanging="180"/>
      </w:pPr>
      <w:rPr>
        <w:rFonts w:ascii="Symbol" w:hAnsi="Symbol" w:hint="default"/>
      </w:rPr>
    </w:lvl>
    <w:lvl w:ilvl="1" w:tplc="D478B048">
      <w:numFmt w:val="decimal"/>
      <w:lvlText w:val=""/>
      <w:lvlJc w:val="left"/>
    </w:lvl>
    <w:lvl w:ilvl="2" w:tplc="5FACD6F6">
      <w:numFmt w:val="decimal"/>
      <w:lvlText w:val=""/>
      <w:lvlJc w:val="left"/>
    </w:lvl>
    <w:lvl w:ilvl="3" w:tplc="1C80CB8A">
      <w:numFmt w:val="decimal"/>
      <w:lvlText w:val=""/>
      <w:lvlJc w:val="left"/>
    </w:lvl>
    <w:lvl w:ilvl="4" w:tplc="0922B30C">
      <w:numFmt w:val="decimal"/>
      <w:lvlText w:val=""/>
      <w:lvlJc w:val="left"/>
    </w:lvl>
    <w:lvl w:ilvl="5" w:tplc="7292D378">
      <w:numFmt w:val="decimal"/>
      <w:lvlText w:val=""/>
      <w:lvlJc w:val="left"/>
    </w:lvl>
    <w:lvl w:ilvl="6" w:tplc="530A1BCC">
      <w:numFmt w:val="decimal"/>
      <w:lvlText w:val=""/>
      <w:lvlJc w:val="left"/>
    </w:lvl>
    <w:lvl w:ilvl="7" w:tplc="A90CC59E">
      <w:numFmt w:val="decimal"/>
      <w:lvlText w:val=""/>
      <w:lvlJc w:val="left"/>
    </w:lvl>
    <w:lvl w:ilvl="8" w:tplc="BB426EC4">
      <w:numFmt w:val="decimal"/>
      <w:lvlText w:val=""/>
      <w:lvlJc w:val="left"/>
    </w:lvl>
  </w:abstractNum>
  <w:abstractNum w:abstractNumId="1" w15:restartNumberingAfterBreak="0">
    <w:nsid w:val="00277B4E"/>
    <w:multiLevelType w:val="hybridMultilevel"/>
    <w:tmpl w:val="6EBA6682"/>
    <w:lvl w:ilvl="0" w:tplc="12E06B3E">
      <w:numFmt w:val="decimal"/>
      <w:lvlText w:val=""/>
      <w:lvlJc w:val="left"/>
    </w:lvl>
    <w:lvl w:ilvl="1" w:tplc="8EC0C918">
      <w:start w:val="1"/>
      <w:numFmt w:val="bullet"/>
      <w:lvlText w:val=""/>
      <w:lvlJc w:val="left"/>
      <w:pPr>
        <w:ind w:left="1440" w:hanging="180"/>
      </w:pPr>
      <w:rPr>
        <w:rFonts w:ascii="Symbol" w:hAnsi="Symbol" w:hint="default"/>
      </w:rPr>
    </w:lvl>
    <w:lvl w:ilvl="2" w:tplc="36E2083C">
      <w:numFmt w:val="decimal"/>
      <w:lvlText w:val=""/>
      <w:lvlJc w:val="left"/>
    </w:lvl>
    <w:lvl w:ilvl="3" w:tplc="636243D4">
      <w:numFmt w:val="decimal"/>
      <w:lvlText w:val=""/>
      <w:lvlJc w:val="left"/>
    </w:lvl>
    <w:lvl w:ilvl="4" w:tplc="A37EB9D0">
      <w:numFmt w:val="decimal"/>
      <w:lvlText w:val=""/>
      <w:lvlJc w:val="left"/>
    </w:lvl>
    <w:lvl w:ilvl="5" w:tplc="128E4CE2">
      <w:numFmt w:val="decimal"/>
      <w:lvlText w:val=""/>
      <w:lvlJc w:val="left"/>
    </w:lvl>
    <w:lvl w:ilvl="6" w:tplc="CADCE624">
      <w:numFmt w:val="decimal"/>
      <w:lvlText w:val=""/>
      <w:lvlJc w:val="left"/>
    </w:lvl>
    <w:lvl w:ilvl="7" w:tplc="98C2F04E">
      <w:numFmt w:val="decimal"/>
      <w:lvlText w:val=""/>
      <w:lvlJc w:val="left"/>
    </w:lvl>
    <w:lvl w:ilvl="8" w:tplc="67C0A61C">
      <w:numFmt w:val="decimal"/>
      <w:lvlText w:val=""/>
      <w:lvlJc w:val="left"/>
    </w:lvl>
  </w:abstractNum>
  <w:abstractNum w:abstractNumId="2" w15:restartNumberingAfterBreak="0">
    <w:nsid w:val="004040AD"/>
    <w:multiLevelType w:val="hybridMultilevel"/>
    <w:tmpl w:val="BE98781A"/>
    <w:lvl w:ilvl="0" w:tplc="0666F5BA">
      <w:start w:val="1"/>
      <w:numFmt w:val="bullet"/>
      <w:lvlText w:val=""/>
      <w:lvlJc w:val="left"/>
      <w:pPr>
        <w:ind w:left="720" w:hanging="180"/>
      </w:pPr>
      <w:rPr>
        <w:rFonts w:ascii="Symbol" w:hAnsi="Symbol" w:hint="default"/>
      </w:rPr>
    </w:lvl>
    <w:lvl w:ilvl="1" w:tplc="7A6608B2">
      <w:numFmt w:val="decimal"/>
      <w:lvlText w:val=""/>
      <w:lvlJc w:val="left"/>
    </w:lvl>
    <w:lvl w:ilvl="2" w:tplc="E76239AC">
      <w:numFmt w:val="decimal"/>
      <w:lvlText w:val=""/>
      <w:lvlJc w:val="left"/>
    </w:lvl>
    <w:lvl w:ilvl="3" w:tplc="0292FCBA">
      <w:numFmt w:val="decimal"/>
      <w:lvlText w:val=""/>
      <w:lvlJc w:val="left"/>
    </w:lvl>
    <w:lvl w:ilvl="4" w:tplc="253A8DEA">
      <w:numFmt w:val="decimal"/>
      <w:lvlText w:val=""/>
      <w:lvlJc w:val="left"/>
    </w:lvl>
    <w:lvl w:ilvl="5" w:tplc="C63A54CC">
      <w:numFmt w:val="decimal"/>
      <w:lvlText w:val=""/>
      <w:lvlJc w:val="left"/>
    </w:lvl>
    <w:lvl w:ilvl="6" w:tplc="B09E1FCE">
      <w:numFmt w:val="decimal"/>
      <w:lvlText w:val=""/>
      <w:lvlJc w:val="left"/>
    </w:lvl>
    <w:lvl w:ilvl="7" w:tplc="808E5620">
      <w:numFmt w:val="decimal"/>
      <w:lvlText w:val=""/>
      <w:lvlJc w:val="left"/>
    </w:lvl>
    <w:lvl w:ilvl="8" w:tplc="902C93EE">
      <w:numFmt w:val="decimal"/>
      <w:lvlText w:val=""/>
      <w:lvlJc w:val="left"/>
    </w:lvl>
  </w:abstractNum>
  <w:abstractNum w:abstractNumId="3" w15:restartNumberingAfterBreak="0">
    <w:nsid w:val="00415F87"/>
    <w:multiLevelType w:val="hybridMultilevel"/>
    <w:tmpl w:val="2F5A107A"/>
    <w:lvl w:ilvl="0" w:tplc="5D3C48E0">
      <w:start w:val="1"/>
      <w:numFmt w:val="bullet"/>
      <w:lvlText w:val=""/>
      <w:lvlJc w:val="left"/>
      <w:pPr>
        <w:ind w:left="720" w:hanging="180"/>
      </w:pPr>
      <w:rPr>
        <w:rFonts w:ascii="Symbol" w:hAnsi="Symbol" w:hint="default"/>
      </w:rPr>
    </w:lvl>
    <w:lvl w:ilvl="1" w:tplc="19066122">
      <w:numFmt w:val="decimal"/>
      <w:lvlText w:val=""/>
      <w:lvlJc w:val="left"/>
    </w:lvl>
    <w:lvl w:ilvl="2" w:tplc="B70CC354">
      <w:numFmt w:val="decimal"/>
      <w:lvlText w:val=""/>
      <w:lvlJc w:val="left"/>
    </w:lvl>
    <w:lvl w:ilvl="3" w:tplc="1F4C29C4">
      <w:numFmt w:val="decimal"/>
      <w:lvlText w:val=""/>
      <w:lvlJc w:val="left"/>
    </w:lvl>
    <w:lvl w:ilvl="4" w:tplc="C8C0E58A">
      <w:numFmt w:val="decimal"/>
      <w:lvlText w:val=""/>
      <w:lvlJc w:val="left"/>
    </w:lvl>
    <w:lvl w:ilvl="5" w:tplc="8B76B356">
      <w:numFmt w:val="decimal"/>
      <w:lvlText w:val=""/>
      <w:lvlJc w:val="left"/>
    </w:lvl>
    <w:lvl w:ilvl="6" w:tplc="7D92D6C4">
      <w:numFmt w:val="decimal"/>
      <w:lvlText w:val=""/>
      <w:lvlJc w:val="left"/>
    </w:lvl>
    <w:lvl w:ilvl="7" w:tplc="9F061E74">
      <w:numFmt w:val="decimal"/>
      <w:lvlText w:val=""/>
      <w:lvlJc w:val="left"/>
    </w:lvl>
    <w:lvl w:ilvl="8" w:tplc="8F205B22">
      <w:numFmt w:val="decimal"/>
      <w:lvlText w:val=""/>
      <w:lvlJc w:val="left"/>
    </w:lvl>
  </w:abstractNum>
  <w:abstractNum w:abstractNumId="4" w15:restartNumberingAfterBreak="0">
    <w:nsid w:val="004455BE"/>
    <w:multiLevelType w:val="hybridMultilevel"/>
    <w:tmpl w:val="2CBED112"/>
    <w:lvl w:ilvl="0" w:tplc="60366DE0">
      <w:numFmt w:val="decimal"/>
      <w:lvlText w:val=""/>
      <w:lvlJc w:val="left"/>
    </w:lvl>
    <w:lvl w:ilvl="1" w:tplc="C5669406">
      <w:start w:val="1"/>
      <w:numFmt w:val="bullet"/>
      <w:lvlText w:val=""/>
      <w:lvlJc w:val="left"/>
      <w:pPr>
        <w:ind w:left="1440" w:hanging="180"/>
      </w:pPr>
      <w:rPr>
        <w:rFonts w:ascii="Symbol" w:hAnsi="Symbol" w:hint="default"/>
      </w:rPr>
    </w:lvl>
    <w:lvl w:ilvl="2" w:tplc="35BCD29E">
      <w:numFmt w:val="decimal"/>
      <w:lvlText w:val=""/>
      <w:lvlJc w:val="left"/>
    </w:lvl>
    <w:lvl w:ilvl="3" w:tplc="8C88D7F2">
      <w:numFmt w:val="decimal"/>
      <w:lvlText w:val=""/>
      <w:lvlJc w:val="left"/>
    </w:lvl>
    <w:lvl w:ilvl="4" w:tplc="191236E6">
      <w:numFmt w:val="decimal"/>
      <w:lvlText w:val=""/>
      <w:lvlJc w:val="left"/>
    </w:lvl>
    <w:lvl w:ilvl="5" w:tplc="94A632B8">
      <w:numFmt w:val="decimal"/>
      <w:lvlText w:val=""/>
      <w:lvlJc w:val="left"/>
    </w:lvl>
    <w:lvl w:ilvl="6" w:tplc="0832AE32">
      <w:numFmt w:val="decimal"/>
      <w:lvlText w:val=""/>
      <w:lvlJc w:val="left"/>
    </w:lvl>
    <w:lvl w:ilvl="7" w:tplc="2D904524">
      <w:numFmt w:val="decimal"/>
      <w:lvlText w:val=""/>
      <w:lvlJc w:val="left"/>
    </w:lvl>
    <w:lvl w:ilvl="8" w:tplc="0C7E9FF0">
      <w:numFmt w:val="decimal"/>
      <w:lvlText w:val=""/>
      <w:lvlJc w:val="left"/>
    </w:lvl>
  </w:abstractNum>
  <w:abstractNum w:abstractNumId="5" w15:restartNumberingAfterBreak="0">
    <w:nsid w:val="004634F6"/>
    <w:multiLevelType w:val="hybridMultilevel"/>
    <w:tmpl w:val="10A6224A"/>
    <w:lvl w:ilvl="0" w:tplc="D7AA0F08">
      <w:start w:val="1"/>
      <w:numFmt w:val="bullet"/>
      <w:lvlText w:val=""/>
      <w:lvlJc w:val="left"/>
      <w:pPr>
        <w:ind w:left="720" w:hanging="180"/>
      </w:pPr>
      <w:rPr>
        <w:rFonts w:ascii="Symbol" w:hAnsi="Symbol" w:hint="default"/>
      </w:rPr>
    </w:lvl>
    <w:lvl w:ilvl="1" w:tplc="0E10CAF8">
      <w:numFmt w:val="decimal"/>
      <w:lvlText w:val=""/>
      <w:lvlJc w:val="left"/>
    </w:lvl>
    <w:lvl w:ilvl="2" w:tplc="3CB8F21E">
      <w:numFmt w:val="decimal"/>
      <w:lvlText w:val=""/>
      <w:lvlJc w:val="left"/>
    </w:lvl>
    <w:lvl w:ilvl="3" w:tplc="10B8A904">
      <w:numFmt w:val="decimal"/>
      <w:lvlText w:val=""/>
      <w:lvlJc w:val="left"/>
    </w:lvl>
    <w:lvl w:ilvl="4" w:tplc="8DD492A4">
      <w:numFmt w:val="decimal"/>
      <w:lvlText w:val=""/>
      <w:lvlJc w:val="left"/>
    </w:lvl>
    <w:lvl w:ilvl="5" w:tplc="2CE6D2F6">
      <w:numFmt w:val="decimal"/>
      <w:lvlText w:val=""/>
      <w:lvlJc w:val="left"/>
    </w:lvl>
    <w:lvl w:ilvl="6" w:tplc="B8EAA2F0">
      <w:numFmt w:val="decimal"/>
      <w:lvlText w:val=""/>
      <w:lvlJc w:val="left"/>
    </w:lvl>
    <w:lvl w:ilvl="7" w:tplc="53C88B3C">
      <w:numFmt w:val="decimal"/>
      <w:lvlText w:val=""/>
      <w:lvlJc w:val="left"/>
    </w:lvl>
    <w:lvl w:ilvl="8" w:tplc="0494F1C0">
      <w:numFmt w:val="decimal"/>
      <w:lvlText w:val=""/>
      <w:lvlJc w:val="left"/>
    </w:lvl>
  </w:abstractNum>
  <w:abstractNum w:abstractNumId="6" w15:restartNumberingAfterBreak="0">
    <w:nsid w:val="009346C0"/>
    <w:multiLevelType w:val="hybridMultilevel"/>
    <w:tmpl w:val="DD325BEA"/>
    <w:lvl w:ilvl="0" w:tplc="806C26CC">
      <w:start w:val="1"/>
      <w:numFmt w:val="bullet"/>
      <w:lvlText w:val=""/>
      <w:lvlJc w:val="left"/>
      <w:pPr>
        <w:ind w:left="720" w:hanging="180"/>
      </w:pPr>
      <w:rPr>
        <w:rFonts w:ascii="Symbol" w:hAnsi="Symbol" w:hint="default"/>
      </w:rPr>
    </w:lvl>
    <w:lvl w:ilvl="1" w:tplc="C80AD0F8">
      <w:numFmt w:val="decimal"/>
      <w:lvlText w:val=""/>
      <w:lvlJc w:val="left"/>
    </w:lvl>
    <w:lvl w:ilvl="2" w:tplc="3320B304">
      <w:numFmt w:val="decimal"/>
      <w:lvlText w:val=""/>
      <w:lvlJc w:val="left"/>
    </w:lvl>
    <w:lvl w:ilvl="3" w:tplc="27D8ED54">
      <w:numFmt w:val="decimal"/>
      <w:lvlText w:val=""/>
      <w:lvlJc w:val="left"/>
    </w:lvl>
    <w:lvl w:ilvl="4" w:tplc="4D5AD220">
      <w:numFmt w:val="decimal"/>
      <w:lvlText w:val=""/>
      <w:lvlJc w:val="left"/>
    </w:lvl>
    <w:lvl w:ilvl="5" w:tplc="BDA62472">
      <w:numFmt w:val="decimal"/>
      <w:lvlText w:val=""/>
      <w:lvlJc w:val="left"/>
    </w:lvl>
    <w:lvl w:ilvl="6" w:tplc="85F6C090">
      <w:numFmt w:val="decimal"/>
      <w:lvlText w:val=""/>
      <w:lvlJc w:val="left"/>
    </w:lvl>
    <w:lvl w:ilvl="7" w:tplc="ED9C3D96">
      <w:numFmt w:val="decimal"/>
      <w:lvlText w:val=""/>
      <w:lvlJc w:val="left"/>
    </w:lvl>
    <w:lvl w:ilvl="8" w:tplc="067C2620">
      <w:numFmt w:val="decimal"/>
      <w:lvlText w:val=""/>
      <w:lvlJc w:val="left"/>
    </w:lvl>
  </w:abstractNum>
  <w:abstractNum w:abstractNumId="7" w15:restartNumberingAfterBreak="0">
    <w:nsid w:val="00BD6F34"/>
    <w:multiLevelType w:val="hybridMultilevel"/>
    <w:tmpl w:val="C818CAAE"/>
    <w:lvl w:ilvl="0" w:tplc="347CF782">
      <w:numFmt w:val="decimal"/>
      <w:lvlText w:val=""/>
      <w:lvlJc w:val="left"/>
    </w:lvl>
    <w:lvl w:ilvl="1" w:tplc="F90A8CD6">
      <w:start w:val="1"/>
      <w:numFmt w:val="bullet"/>
      <w:lvlText w:val=""/>
      <w:lvlJc w:val="left"/>
      <w:pPr>
        <w:ind w:left="1440" w:hanging="180"/>
      </w:pPr>
      <w:rPr>
        <w:rFonts w:ascii="Symbol" w:hAnsi="Symbol" w:hint="default"/>
      </w:rPr>
    </w:lvl>
    <w:lvl w:ilvl="2" w:tplc="7A86DD38">
      <w:numFmt w:val="decimal"/>
      <w:lvlText w:val=""/>
      <w:lvlJc w:val="left"/>
    </w:lvl>
    <w:lvl w:ilvl="3" w:tplc="42F8AD04">
      <w:numFmt w:val="decimal"/>
      <w:lvlText w:val=""/>
      <w:lvlJc w:val="left"/>
    </w:lvl>
    <w:lvl w:ilvl="4" w:tplc="E27E944E">
      <w:numFmt w:val="decimal"/>
      <w:lvlText w:val=""/>
      <w:lvlJc w:val="left"/>
    </w:lvl>
    <w:lvl w:ilvl="5" w:tplc="0D94486E">
      <w:numFmt w:val="decimal"/>
      <w:lvlText w:val=""/>
      <w:lvlJc w:val="left"/>
    </w:lvl>
    <w:lvl w:ilvl="6" w:tplc="3A228132">
      <w:numFmt w:val="decimal"/>
      <w:lvlText w:val=""/>
      <w:lvlJc w:val="left"/>
    </w:lvl>
    <w:lvl w:ilvl="7" w:tplc="BC5EDB20">
      <w:numFmt w:val="decimal"/>
      <w:lvlText w:val=""/>
      <w:lvlJc w:val="left"/>
    </w:lvl>
    <w:lvl w:ilvl="8" w:tplc="1A383C64">
      <w:numFmt w:val="decimal"/>
      <w:lvlText w:val=""/>
      <w:lvlJc w:val="left"/>
    </w:lvl>
  </w:abstractNum>
  <w:abstractNum w:abstractNumId="8" w15:restartNumberingAfterBreak="0">
    <w:nsid w:val="00C375E8"/>
    <w:multiLevelType w:val="hybridMultilevel"/>
    <w:tmpl w:val="3D2E716C"/>
    <w:lvl w:ilvl="0" w:tplc="C638045A">
      <w:start w:val="1"/>
      <w:numFmt w:val="bullet"/>
      <w:lvlText w:val=""/>
      <w:lvlJc w:val="left"/>
      <w:pPr>
        <w:ind w:left="720" w:hanging="180"/>
      </w:pPr>
      <w:rPr>
        <w:rFonts w:ascii="Symbol" w:hAnsi="Symbol" w:hint="default"/>
      </w:rPr>
    </w:lvl>
    <w:lvl w:ilvl="1" w:tplc="5BA2E34A">
      <w:numFmt w:val="decimal"/>
      <w:lvlText w:val=""/>
      <w:lvlJc w:val="left"/>
    </w:lvl>
    <w:lvl w:ilvl="2" w:tplc="2CD89F50">
      <w:numFmt w:val="decimal"/>
      <w:lvlText w:val=""/>
      <w:lvlJc w:val="left"/>
    </w:lvl>
    <w:lvl w:ilvl="3" w:tplc="40C2AD86">
      <w:numFmt w:val="decimal"/>
      <w:lvlText w:val=""/>
      <w:lvlJc w:val="left"/>
    </w:lvl>
    <w:lvl w:ilvl="4" w:tplc="786E81D0">
      <w:numFmt w:val="decimal"/>
      <w:lvlText w:val=""/>
      <w:lvlJc w:val="left"/>
    </w:lvl>
    <w:lvl w:ilvl="5" w:tplc="9116801C">
      <w:numFmt w:val="decimal"/>
      <w:lvlText w:val=""/>
      <w:lvlJc w:val="left"/>
    </w:lvl>
    <w:lvl w:ilvl="6" w:tplc="41A0092C">
      <w:numFmt w:val="decimal"/>
      <w:lvlText w:val=""/>
      <w:lvlJc w:val="left"/>
    </w:lvl>
    <w:lvl w:ilvl="7" w:tplc="3424BD18">
      <w:numFmt w:val="decimal"/>
      <w:lvlText w:val=""/>
      <w:lvlJc w:val="left"/>
    </w:lvl>
    <w:lvl w:ilvl="8" w:tplc="F71215BE">
      <w:numFmt w:val="decimal"/>
      <w:lvlText w:val=""/>
      <w:lvlJc w:val="left"/>
    </w:lvl>
  </w:abstractNum>
  <w:abstractNum w:abstractNumId="9" w15:restartNumberingAfterBreak="0">
    <w:nsid w:val="00CE0CCB"/>
    <w:multiLevelType w:val="hybridMultilevel"/>
    <w:tmpl w:val="1196F138"/>
    <w:lvl w:ilvl="0" w:tplc="B83EBE70">
      <w:start w:val="1"/>
      <w:numFmt w:val="bullet"/>
      <w:lvlText w:val=""/>
      <w:lvlJc w:val="left"/>
      <w:pPr>
        <w:ind w:left="720" w:hanging="180"/>
      </w:pPr>
      <w:rPr>
        <w:rFonts w:ascii="Symbol" w:hAnsi="Symbol" w:hint="default"/>
      </w:rPr>
    </w:lvl>
    <w:lvl w:ilvl="1" w:tplc="44DACEE2">
      <w:numFmt w:val="decimal"/>
      <w:lvlText w:val=""/>
      <w:lvlJc w:val="left"/>
    </w:lvl>
    <w:lvl w:ilvl="2" w:tplc="5FA258EA">
      <w:numFmt w:val="decimal"/>
      <w:lvlText w:val=""/>
      <w:lvlJc w:val="left"/>
    </w:lvl>
    <w:lvl w:ilvl="3" w:tplc="A2EA5780">
      <w:numFmt w:val="decimal"/>
      <w:lvlText w:val=""/>
      <w:lvlJc w:val="left"/>
    </w:lvl>
    <w:lvl w:ilvl="4" w:tplc="33500C42">
      <w:numFmt w:val="decimal"/>
      <w:lvlText w:val=""/>
      <w:lvlJc w:val="left"/>
    </w:lvl>
    <w:lvl w:ilvl="5" w:tplc="C4F2EDAC">
      <w:numFmt w:val="decimal"/>
      <w:lvlText w:val=""/>
      <w:lvlJc w:val="left"/>
    </w:lvl>
    <w:lvl w:ilvl="6" w:tplc="92DEC89E">
      <w:numFmt w:val="decimal"/>
      <w:lvlText w:val=""/>
      <w:lvlJc w:val="left"/>
    </w:lvl>
    <w:lvl w:ilvl="7" w:tplc="E3C8EB3A">
      <w:numFmt w:val="decimal"/>
      <w:lvlText w:val=""/>
      <w:lvlJc w:val="left"/>
    </w:lvl>
    <w:lvl w:ilvl="8" w:tplc="8D5C9572">
      <w:numFmt w:val="decimal"/>
      <w:lvlText w:val=""/>
      <w:lvlJc w:val="left"/>
    </w:lvl>
  </w:abstractNum>
  <w:abstractNum w:abstractNumId="10" w15:restartNumberingAfterBreak="0">
    <w:nsid w:val="00FE43C0"/>
    <w:multiLevelType w:val="hybridMultilevel"/>
    <w:tmpl w:val="A0962F80"/>
    <w:lvl w:ilvl="0" w:tplc="C6C4F1D6">
      <w:start w:val="1"/>
      <w:numFmt w:val="bullet"/>
      <w:lvlText w:val=""/>
      <w:lvlJc w:val="left"/>
      <w:pPr>
        <w:ind w:left="720" w:hanging="180"/>
      </w:pPr>
      <w:rPr>
        <w:rFonts w:ascii="Symbol" w:hAnsi="Symbol" w:hint="default"/>
      </w:rPr>
    </w:lvl>
    <w:lvl w:ilvl="1" w:tplc="34088D6E">
      <w:numFmt w:val="decimal"/>
      <w:lvlText w:val=""/>
      <w:lvlJc w:val="left"/>
    </w:lvl>
    <w:lvl w:ilvl="2" w:tplc="38AC92B0">
      <w:numFmt w:val="decimal"/>
      <w:lvlText w:val=""/>
      <w:lvlJc w:val="left"/>
    </w:lvl>
    <w:lvl w:ilvl="3" w:tplc="0406C434">
      <w:numFmt w:val="decimal"/>
      <w:lvlText w:val=""/>
      <w:lvlJc w:val="left"/>
    </w:lvl>
    <w:lvl w:ilvl="4" w:tplc="8424D1B8">
      <w:numFmt w:val="decimal"/>
      <w:lvlText w:val=""/>
      <w:lvlJc w:val="left"/>
    </w:lvl>
    <w:lvl w:ilvl="5" w:tplc="3DE85380">
      <w:numFmt w:val="decimal"/>
      <w:lvlText w:val=""/>
      <w:lvlJc w:val="left"/>
    </w:lvl>
    <w:lvl w:ilvl="6" w:tplc="B48E4DF6">
      <w:numFmt w:val="decimal"/>
      <w:lvlText w:val=""/>
      <w:lvlJc w:val="left"/>
    </w:lvl>
    <w:lvl w:ilvl="7" w:tplc="46C09878">
      <w:numFmt w:val="decimal"/>
      <w:lvlText w:val=""/>
      <w:lvlJc w:val="left"/>
    </w:lvl>
    <w:lvl w:ilvl="8" w:tplc="9AB810F0">
      <w:numFmt w:val="decimal"/>
      <w:lvlText w:val=""/>
      <w:lvlJc w:val="left"/>
    </w:lvl>
  </w:abstractNum>
  <w:abstractNum w:abstractNumId="11" w15:restartNumberingAfterBreak="0">
    <w:nsid w:val="01013D35"/>
    <w:multiLevelType w:val="hybridMultilevel"/>
    <w:tmpl w:val="C7EAD4AE"/>
    <w:lvl w:ilvl="0" w:tplc="A18AD538">
      <w:start w:val="1"/>
      <w:numFmt w:val="bullet"/>
      <w:lvlText w:val=""/>
      <w:lvlJc w:val="left"/>
      <w:pPr>
        <w:ind w:left="720" w:hanging="180"/>
      </w:pPr>
      <w:rPr>
        <w:rFonts w:ascii="Symbol" w:hAnsi="Symbol" w:hint="default"/>
      </w:rPr>
    </w:lvl>
    <w:lvl w:ilvl="1" w:tplc="7BCCDEB2">
      <w:numFmt w:val="decimal"/>
      <w:lvlText w:val=""/>
      <w:lvlJc w:val="left"/>
    </w:lvl>
    <w:lvl w:ilvl="2" w:tplc="EB2C95D0">
      <w:numFmt w:val="decimal"/>
      <w:lvlText w:val=""/>
      <w:lvlJc w:val="left"/>
    </w:lvl>
    <w:lvl w:ilvl="3" w:tplc="BBDA3896">
      <w:numFmt w:val="decimal"/>
      <w:lvlText w:val=""/>
      <w:lvlJc w:val="left"/>
    </w:lvl>
    <w:lvl w:ilvl="4" w:tplc="2D80EB54">
      <w:numFmt w:val="decimal"/>
      <w:lvlText w:val=""/>
      <w:lvlJc w:val="left"/>
    </w:lvl>
    <w:lvl w:ilvl="5" w:tplc="8A265F1C">
      <w:numFmt w:val="decimal"/>
      <w:lvlText w:val=""/>
      <w:lvlJc w:val="left"/>
    </w:lvl>
    <w:lvl w:ilvl="6" w:tplc="43BCD974">
      <w:numFmt w:val="decimal"/>
      <w:lvlText w:val=""/>
      <w:lvlJc w:val="left"/>
    </w:lvl>
    <w:lvl w:ilvl="7" w:tplc="E5D0FD6C">
      <w:numFmt w:val="decimal"/>
      <w:lvlText w:val=""/>
      <w:lvlJc w:val="left"/>
    </w:lvl>
    <w:lvl w:ilvl="8" w:tplc="D87498CC">
      <w:numFmt w:val="decimal"/>
      <w:lvlText w:val=""/>
      <w:lvlJc w:val="left"/>
    </w:lvl>
  </w:abstractNum>
  <w:abstractNum w:abstractNumId="12" w15:restartNumberingAfterBreak="0">
    <w:nsid w:val="010E1961"/>
    <w:multiLevelType w:val="hybridMultilevel"/>
    <w:tmpl w:val="9904A972"/>
    <w:lvl w:ilvl="0" w:tplc="F0A6B244">
      <w:start w:val="1"/>
      <w:numFmt w:val="bullet"/>
      <w:lvlText w:val=""/>
      <w:lvlJc w:val="left"/>
      <w:pPr>
        <w:ind w:left="720" w:hanging="180"/>
      </w:pPr>
      <w:rPr>
        <w:rFonts w:ascii="Symbol" w:hAnsi="Symbol" w:hint="default"/>
      </w:rPr>
    </w:lvl>
    <w:lvl w:ilvl="1" w:tplc="7996FEF0">
      <w:numFmt w:val="decimal"/>
      <w:lvlText w:val=""/>
      <w:lvlJc w:val="left"/>
    </w:lvl>
    <w:lvl w:ilvl="2" w:tplc="C420A3F4">
      <w:numFmt w:val="decimal"/>
      <w:lvlText w:val=""/>
      <w:lvlJc w:val="left"/>
    </w:lvl>
    <w:lvl w:ilvl="3" w:tplc="7194A5BA">
      <w:numFmt w:val="decimal"/>
      <w:lvlText w:val=""/>
      <w:lvlJc w:val="left"/>
    </w:lvl>
    <w:lvl w:ilvl="4" w:tplc="77264922">
      <w:numFmt w:val="decimal"/>
      <w:lvlText w:val=""/>
      <w:lvlJc w:val="left"/>
    </w:lvl>
    <w:lvl w:ilvl="5" w:tplc="0AF23484">
      <w:numFmt w:val="decimal"/>
      <w:lvlText w:val=""/>
      <w:lvlJc w:val="left"/>
    </w:lvl>
    <w:lvl w:ilvl="6" w:tplc="3D7E80E6">
      <w:numFmt w:val="decimal"/>
      <w:lvlText w:val=""/>
      <w:lvlJc w:val="left"/>
    </w:lvl>
    <w:lvl w:ilvl="7" w:tplc="67127D0A">
      <w:numFmt w:val="decimal"/>
      <w:lvlText w:val=""/>
      <w:lvlJc w:val="left"/>
    </w:lvl>
    <w:lvl w:ilvl="8" w:tplc="55BC82CA">
      <w:numFmt w:val="decimal"/>
      <w:lvlText w:val=""/>
      <w:lvlJc w:val="left"/>
    </w:lvl>
  </w:abstractNum>
  <w:abstractNum w:abstractNumId="13" w15:restartNumberingAfterBreak="0">
    <w:nsid w:val="0112447C"/>
    <w:multiLevelType w:val="hybridMultilevel"/>
    <w:tmpl w:val="2CEE1DAE"/>
    <w:lvl w:ilvl="0" w:tplc="F58803E0">
      <w:start w:val="1"/>
      <w:numFmt w:val="bullet"/>
      <w:lvlText w:val=""/>
      <w:lvlJc w:val="left"/>
      <w:pPr>
        <w:ind w:left="720" w:hanging="180"/>
      </w:pPr>
      <w:rPr>
        <w:rFonts w:ascii="Symbol" w:hAnsi="Symbol" w:hint="default"/>
      </w:rPr>
    </w:lvl>
    <w:lvl w:ilvl="1" w:tplc="1AC08CD0">
      <w:numFmt w:val="decimal"/>
      <w:lvlText w:val=""/>
      <w:lvlJc w:val="left"/>
    </w:lvl>
    <w:lvl w:ilvl="2" w:tplc="7FD45556">
      <w:numFmt w:val="decimal"/>
      <w:lvlText w:val=""/>
      <w:lvlJc w:val="left"/>
    </w:lvl>
    <w:lvl w:ilvl="3" w:tplc="5D68BF08">
      <w:numFmt w:val="decimal"/>
      <w:lvlText w:val=""/>
      <w:lvlJc w:val="left"/>
    </w:lvl>
    <w:lvl w:ilvl="4" w:tplc="25B05B7A">
      <w:numFmt w:val="decimal"/>
      <w:lvlText w:val=""/>
      <w:lvlJc w:val="left"/>
    </w:lvl>
    <w:lvl w:ilvl="5" w:tplc="D18C92CA">
      <w:numFmt w:val="decimal"/>
      <w:lvlText w:val=""/>
      <w:lvlJc w:val="left"/>
    </w:lvl>
    <w:lvl w:ilvl="6" w:tplc="CCDEF492">
      <w:numFmt w:val="decimal"/>
      <w:lvlText w:val=""/>
      <w:lvlJc w:val="left"/>
    </w:lvl>
    <w:lvl w:ilvl="7" w:tplc="2AFEDE34">
      <w:numFmt w:val="decimal"/>
      <w:lvlText w:val=""/>
      <w:lvlJc w:val="left"/>
    </w:lvl>
    <w:lvl w:ilvl="8" w:tplc="2BEA2668">
      <w:numFmt w:val="decimal"/>
      <w:lvlText w:val=""/>
      <w:lvlJc w:val="left"/>
    </w:lvl>
  </w:abstractNum>
  <w:abstractNum w:abstractNumId="14" w15:restartNumberingAfterBreak="0">
    <w:nsid w:val="012226B5"/>
    <w:multiLevelType w:val="hybridMultilevel"/>
    <w:tmpl w:val="38B84188"/>
    <w:lvl w:ilvl="0" w:tplc="751C46EA">
      <w:start w:val="1"/>
      <w:numFmt w:val="bullet"/>
      <w:lvlText w:val=""/>
      <w:lvlJc w:val="left"/>
      <w:pPr>
        <w:ind w:left="720" w:hanging="180"/>
      </w:pPr>
      <w:rPr>
        <w:rFonts w:ascii="Symbol" w:hAnsi="Symbol" w:hint="default"/>
      </w:rPr>
    </w:lvl>
    <w:lvl w:ilvl="1" w:tplc="CD28324C">
      <w:numFmt w:val="decimal"/>
      <w:lvlText w:val=""/>
      <w:lvlJc w:val="left"/>
    </w:lvl>
    <w:lvl w:ilvl="2" w:tplc="07FA80DA">
      <w:numFmt w:val="decimal"/>
      <w:lvlText w:val=""/>
      <w:lvlJc w:val="left"/>
    </w:lvl>
    <w:lvl w:ilvl="3" w:tplc="A2841004">
      <w:numFmt w:val="decimal"/>
      <w:lvlText w:val=""/>
      <w:lvlJc w:val="left"/>
    </w:lvl>
    <w:lvl w:ilvl="4" w:tplc="A8C2CB6A">
      <w:numFmt w:val="decimal"/>
      <w:lvlText w:val=""/>
      <w:lvlJc w:val="left"/>
    </w:lvl>
    <w:lvl w:ilvl="5" w:tplc="5E04436A">
      <w:numFmt w:val="decimal"/>
      <w:lvlText w:val=""/>
      <w:lvlJc w:val="left"/>
    </w:lvl>
    <w:lvl w:ilvl="6" w:tplc="A64C3D1E">
      <w:numFmt w:val="decimal"/>
      <w:lvlText w:val=""/>
      <w:lvlJc w:val="left"/>
    </w:lvl>
    <w:lvl w:ilvl="7" w:tplc="F8CC3AAC">
      <w:numFmt w:val="decimal"/>
      <w:lvlText w:val=""/>
      <w:lvlJc w:val="left"/>
    </w:lvl>
    <w:lvl w:ilvl="8" w:tplc="4B1CC9EE">
      <w:numFmt w:val="decimal"/>
      <w:lvlText w:val=""/>
      <w:lvlJc w:val="left"/>
    </w:lvl>
  </w:abstractNum>
  <w:abstractNum w:abstractNumId="15" w15:restartNumberingAfterBreak="0">
    <w:nsid w:val="012A441B"/>
    <w:multiLevelType w:val="hybridMultilevel"/>
    <w:tmpl w:val="0A84CE40"/>
    <w:lvl w:ilvl="0" w:tplc="065656C0">
      <w:start w:val="1"/>
      <w:numFmt w:val="bullet"/>
      <w:lvlText w:val=""/>
      <w:lvlJc w:val="left"/>
      <w:pPr>
        <w:ind w:left="720" w:hanging="180"/>
      </w:pPr>
      <w:rPr>
        <w:rFonts w:ascii="Symbol" w:hAnsi="Symbol" w:hint="default"/>
      </w:rPr>
    </w:lvl>
    <w:lvl w:ilvl="1" w:tplc="6C2432C2">
      <w:numFmt w:val="decimal"/>
      <w:lvlText w:val=""/>
      <w:lvlJc w:val="left"/>
    </w:lvl>
    <w:lvl w:ilvl="2" w:tplc="B8705738">
      <w:numFmt w:val="decimal"/>
      <w:lvlText w:val=""/>
      <w:lvlJc w:val="left"/>
    </w:lvl>
    <w:lvl w:ilvl="3" w:tplc="953A6D86">
      <w:numFmt w:val="decimal"/>
      <w:lvlText w:val=""/>
      <w:lvlJc w:val="left"/>
    </w:lvl>
    <w:lvl w:ilvl="4" w:tplc="1DBAAFB4">
      <w:numFmt w:val="decimal"/>
      <w:lvlText w:val=""/>
      <w:lvlJc w:val="left"/>
    </w:lvl>
    <w:lvl w:ilvl="5" w:tplc="2DB26488">
      <w:numFmt w:val="decimal"/>
      <w:lvlText w:val=""/>
      <w:lvlJc w:val="left"/>
    </w:lvl>
    <w:lvl w:ilvl="6" w:tplc="4890411E">
      <w:numFmt w:val="decimal"/>
      <w:lvlText w:val=""/>
      <w:lvlJc w:val="left"/>
    </w:lvl>
    <w:lvl w:ilvl="7" w:tplc="960E129E">
      <w:numFmt w:val="decimal"/>
      <w:lvlText w:val=""/>
      <w:lvlJc w:val="left"/>
    </w:lvl>
    <w:lvl w:ilvl="8" w:tplc="BC92BC68">
      <w:numFmt w:val="decimal"/>
      <w:lvlText w:val=""/>
      <w:lvlJc w:val="left"/>
    </w:lvl>
  </w:abstractNum>
  <w:abstractNum w:abstractNumId="16" w15:restartNumberingAfterBreak="0">
    <w:nsid w:val="0188692E"/>
    <w:multiLevelType w:val="hybridMultilevel"/>
    <w:tmpl w:val="A8EAC8C2"/>
    <w:lvl w:ilvl="0" w:tplc="5B7622CC">
      <w:start w:val="1"/>
      <w:numFmt w:val="bullet"/>
      <w:lvlText w:val=""/>
      <w:lvlJc w:val="left"/>
      <w:pPr>
        <w:ind w:left="720" w:hanging="180"/>
      </w:pPr>
      <w:rPr>
        <w:rFonts w:ascii="Symbol" w:hAnsi="Symbol" w:hint="default"/>
      </w:rPr>
    </w:lvl>
    <w:lvl w:ilvl="1" w:tplc="32E6EA90">
      <w:numFmt w:val="decimal"/>
      <w:lvlText w:val=""/>
      <w:lvlJc w:val="left"/>
    </w:lvl>
    <w:lvl w:ilvl="2" w:tplc="295AE3A0">
      <w:numFmt w:val="decimal"/>
      <w:lvlText w:val=""/>
      <w:lvlJc w:val="left"/>
    </w:lvl>
    <w:lvl w:ilvl="3" w:tplc="F168C6DA">
      <w:numFmt w:val="decimal"/>
      <w:lvlText w:val=""/>
      <w:lvlJc w:val="left"/>
    </w:lvl>
    <w:lvl w:ilvl="4" w:tplc="3DB233A0">
      <w:numFmt w:val="decimal"/>
      <w:lvlText w:val=""/>
      <w:lvlJc w:val="left"/>
    </w:lvl>
    <w:lvl w:ilvl="5" w:tplc="EB1C1742">
      <w:numFmt w:val="decimal"/>
      <w:lvlText w:val=""/>
      <w:lvlJc w:val="left"/>
    </w:lvl>
    <w:lvl w:ilvl="6" w:tplc="869ED2F2">
      <w:numFmt w:val="decimal"/>
      <w:lvlText w:val=""/>
      <w:lvlJc w:val="left"/>
    </w:lvl>
    <w:lvl w:ilvl="7" w:tplc="4CA6FF3A">
      <w:numFmt w:val="decimal"/>
      <w:lvlText w:val=""/>
      <w:lvlJc w:val="left"/>
    </w:lvl>
    <w:lvl w:ilvl="8" w:tplc="E66C75CC">
      <w:numFmt w:val="decimal"/>
      <w:lvlText w:val=""/>
      <w:lvlJc w:val="left"/>
    </w:lvl>
  </w:abstractNum>
  <w:abstractNum w:abstractNumId="17" w15:restartNumberingAfterBreak="0">
    <w:nsid w:val="019437CB"/>
    <w:multiLevelType w:val="hybridMultilevel"/>
    <w:tmpl w:val="589CB5E0"/>
    <w:lvl w:ilvl="0" w:tplc="E6A60EE0">
      <w:start w:val="1"/>
      <w:numFmt w:val="bullet"/>
      <w:lvlText w:val=""/>
      <w:lvlJc w:val="left"/>
      <w:pPr>
        <w:ind w:left="720" w:hanging="180"/>
      </w:pPr>
      <w:rPr>
        <w:rFonts w:ascii="Symbol" w:hAnsi="Symbol" w:hint="default"/>
      </w:rPr>
    </w:lvl>
    <w:lvl w:ilvl="1" w:tplc="EC728706">
      <w:numFmt w:val="decimal"/>
      <w:lvlText w:val=""/>
      <w:lvlJc w:val="left"/>
    </w:lvl>
    <w:lvl w:ilvl="2" w:tplc="9962EA0C">
      <w:numFmt w:val="decimal"/>
      <w:lvlText w:val=""/>
      <w:lvlJc w:val="left"/>
    </w:lvl>
    <w:lvl w:ilvl="3" w:tplc="736C9464">
      <w:numFmt w:val="decimal"/>
      <w:lvlText w:val=""/>
      <w:lvlJc w:val="left"/>
    </w:lvl>
    <w:lvl w:ilvl="4" w:tplc="5352DFC6">
      <w:numFmt w:val="decimal"/>
      <w:lvlText w:val=""/>
      <w:lvlJc w:val="left"/>
    </w:lvl>
    <w:lvl w:ilvl="5" w:tplc="619AEDBC">
      <w:numFmt w:val="decimal"/>
      <w:lvlText w:val=""/>
      <w:lvlJc w:val="left"/>
    </w:lvl>
    <w:lvl w:ilvl="6" w:tplc="E954F0C2">
      <w:numFmt w:val="decimal"/>
      <w:lvlText w:val=""/>
      <w:lvlJc w:val="left"/>
    </w:lvl>
    <w:lvl w:ilvl="7" w:tplc="0A32A22E">
      <w:numFmt w:val="decimal"/>
      <w:lvlText w:val=""/>
      <w:lvlJc w:val="left"/>
    </w:lvl>
    <w:lvl w:ilvl="8" w:tplc="4790CF50">
      <w:numFmt w:val="decimal"/>
      <w:lvlText w:val=""/>
      <w:lvlJc w:val="left"/>
    </w:lvl>
  </w:abstractNum>
  <w:abstractNum w:abstractNumId="18" w15:restartNumberingAfterBreak="0">
    <w:nsid w:val="01C87C4A"/>
    <w:multiLevelType w:val="hybridMultilevel"/>
    <w:tmpl w:val="DCC62FF8"/>
    <w:lvl w:ilvl="0" w:tplc="B734C928">
      <w:start w:val="1"/>
      <w:numFmt w:val="bullet"/>
      <w:lvlText w:val=""/>
      <w:lvlJc w:val="left"/>
      <w:pPr>
        <w:ind w:left="720" w:hanging="180"/>
      </w:pPr>
      <w:rPr>
        <w:rFonts w:ascii="Symbol" w:hAnsi="Symbol" w:hint="default"/>
      </w:rPr>
    </w:lvl>
    <w:lvl w:ilvl="1" w:tplc="B36E2008">
      <w:numFmt w:val="decimal"/>
      <w:lvlText w:val=""/>
      <w:lvlJc w:val="left"/>
    </w:lvl>
    <w:lvl w:ilvl="2" w:tplc="1E749BF0">
      <w:numFmt w:val="decimal"/>
      <w:lvlText w:val=""/>
      <w:lvlJc w:val="left"/>
    </w:lvl>
    <w:lvl w:ilvl="3" w:tplc="CFBA8A14">
      <w:numFmt w:val="decimal"/>
      <w:lvlText w:val=""/>
      <w:lvlJc w:val="left"/>
    </w:lvl>
    <w:lvl w:ilvl="4" w:tplc="B824AEDE">
      <w:numFmt w:val="decimal"/>
      <w:lvlText w:val=""/>
      <w:lvlJc w:val="left"/>
    </w:lvl>
    <w:lvl w:ilvl="5" w:tplc="F3302C46">
      <w:numFmt w:val="decimal"/>
      <w:lvlText w:val=""/>
      <w:lvlJc w:val="left"/>
    </w:lvl>
    <w:lvl w:ilvl="6" w:tplc="094E426E">
      <w:numFmt w:val="decimal"/>
      <w:lvlText w:val=""/>
      <w:lvlJc w:val="left"/>
    </w:lvl>
    <w:lvl w:ilvl="7" w:tplc="E07C9AB6">
      <w:numFmt w:val="decimal"/>
      <w:lvlText w:val=""/>
      <w:lvlJc w:val="left"/>
    </w:lvl>
    <w:lvl w:ilvl="8" w:tplc="DB805896">
      <w:numFmt w:val="decimal"/>
      <w:lvlText w:val=""/>
      <w:lvlJc w:val="left"/>
    </w:lvl>
  </w:abstractNum>
  <w:abstractNum w:abstractNumId="19" w15:restartNumberingAfterBreak="0">
    <w:nsid w:val="01CB08F0"/>
    <w:multiLevelType w:val="hybridMultilevel"/>
    <w:tmpl w:val="0742D900"/>
    <w:lvl w:ilvl="0" w:tplc="60C85A68">
      <w:start w:val="1"/>
      <w:numFmt w:val="bullet"/>
      <w:lvlText w:val=""/>
      <w:lvlJc w:val="left"/>
      <w:pPr>
        <w:ind w:left="720" w:hanging="180"/>
      </w:pPr>
      <w:rPr>
        <w:rFonts w:ascii="Symbol" w:hAnsi="Symbol" w:hint="default"/>
      </w:rPr>
    </w:lvl>
    <w:lvl w:ilvl="1" w:tplc="DDAA50BC">
      <w:numFmt w:val="decimal"/>
      <w:lvlText w:val=""/>
      <w:lvlJc w:val="left"/>
    </w:lvl>
    <w:lvl w:ilvl="2" w:tplc="C3982434">
      <w:numFmt w:val="decimal"/>
      <w:lvlText w:val=""/>
      <w:lvlJc w:val="left"/>
    </w:lvl>
    <w:lvl w:ilvl="3" w:tplc="2BBE5B78">
      <w:numFmt w:val="decimal"/>
      <w:lvlText w:val=""/>
      <w:lvlJc w:val="left"/>
    </w:lvl>
    <w:lvl w:ilvl="4" w:tplc="777E79A0">
      <w:numFmt w:val="decimal"/>
      <w:lvlText w:val=""/>
      <w:lvlJc w:val="left"/>
    </w:lvl>
    <w:lvl w:ilvl="5" w:tplc="67327120">
      <w:numFmt w:val="decimal"/>
      <w:lvlText w:val=""/>
      <w:lvlJc w:val="left"/>
    </w:lvl>
    <w:lvl w:ilvl="6" w:tplc="328C7DB8">
      <w:numFmt w:val="decimal"/>
      <w:lvlText w:val=""/>
      <w:lvlJc w:val="left"/>
    </w:lvl>
    <w:lvl w:ilvl="7" w:tplc="7668CFD2">
      <w:numFmt w:val="decimal"/>
      <w:lvlText w:val=""/>
      <w:lvlJc w:val="left"/>
    </w:lvl>
    <w:lvl w:ilvl="8" w:tplc="49E8C886">
      <w:numFmt w:val="decimal"/>
      <w:lvlText w:val=""/>
      <w:lvlJc w:val="left"/>
    </w:lvl>
  </w:abstractNum>
  <w:abstractNum w:abstractNumId="20" w15:restartNumberingAfterBreak="0">
    <w:nsid w:val="01E60D2D"/>
    <w:multiLevelType w:val="hybridMultilevel"/>
    <w:tmpl w:val="6AF248C0"/>
    <w:lvl w:ilvl="0" w:tplc="54EAF532">
      <w:numFmt w:val="decimal"/>
      <w:lvlText w:val=""/>
      <w:lvlJc w:val="left"/>
    </w:lvl>
    <w:lvl w:ilvl="1" w:tplc="0EAC625A">
      <w:start w:val="1"/>
      <w:numFmt w:val="bullet"/>
      <w:lvlText w:val=""/>
      <w:lvlJc w:val="left"/>
      <w:pPr>
        <w:ind w:left="1440" w:hanging="180"/>
      </w:pPr>
      <w:rPr>
        <w:rFonts w:ascii="Symbol" w:hAnsi="Symbol" w:hint="default"/>
      </w:rPr>
    </w:lvl>
    <w:lvl w:ilvl="2" w:tplc="9BAE05B8">
      <w:numFmt w:val="decimal"/>
      <w:lvlText w:val=""/>
      <w:lvlJc w:val="left"/>
    </w:lvl>
    <w:lvl w:ilvl="3" w:tplc="B8C8467C">
      <w:numFmt w:val="decimal"/>
      <w:lvlText w:val=""/>
      <w:lvlJc w:val="left"/>
    </w:lvl>
    <w:lvl w:ilvl="4" w:tplc="89C02FC2">
      <w:numFmt w:val="decimal"/>
      <w:lvlText w:val=""/>
      <w:lvlJc w:val="left"/>
    </w:lvl>
    <w:lvl w:ilvl="5" w:tplc="96F84B4E">
      <w:numFmt w:val="decimal"/>
      <w:lvlText w:val=""/>
      <w:lvlJc w:val="left"/>
    </w:lvl>
    <w:lvl w:ilvl="6" w:tplc="56B0F122">
      <w:numFmt w:val="decimal"/>
      <w:lvlText w:val=""/>
      <w:lvlJc w:val="left"/>
    </w:lvl>
    <w:lvl w:ilvl="7" w:tplc="511E80B0">
      <w:numFmt w:val="decimal"/>
      <w:lvlText w:val=""/>
      <w:lvlJc w:val="left"/>
    </w:lvl>
    <w:lvl w:ilvl="8" w:tplc="77487D64">
      <w:numFmt w:val="decimal"/>
      <w:lvlText w:val=""/>
      <w:lvlJc w:val="left"/>
    </w:lvl>
  </w:abstractNum>
  <w:abstractNum w:abstractNumId="21" w15:restartNumberingAfterBreak="0">
    <w:nsid w:val="020819E2"/>
    <w:multiLevelType w:val="hybridMultilevel"/>
    <w:tmpl w:val="778E02EC"/>
    <w:lvl w:ilvl="0" w:tplc="505404D6">
      <w:start w:val="1"/>
      <w:numFmt w:val="bullet"/>
      <w:lvlText w:val=""/>
      <w:lvlJc w:val="left"/>
      <w:pPr>
        <w:ind w:left="720" w:hanging="180"/>
      </w:pPr>
      <w:rPr>
        <w:rFonts w:ascii="Symbol" w:hAnsi="Symbol" w:hint="default"/>
      </w:rPr>
    </w:lvl>
    <w:lvl w:ilvl="1" w:tplc="EB105E62">
      <w:numFmt w:val="decimal"/>
      <w:lvlText w:val=""/>
      <w:lvlJc w:val="left"/>
    </w:lvl>
    <w:lvl w:ilvl="2" w:tplc="5A1C40FA">
      <w:numFmt w:val="decimal"/>
      <w:lvlText w:val=""/>
      <w:lvlJc w:val="left"/>
    </w:lvl>
    <w:lvl w:ilvl="3" w:tplc="0BDA16DC">
      <w:numFmt w:val="decimal"/>
      <w:lvlText w:val=""/>
      <w:lvlJc w:val="left"/>
    </w:lvl>
    <w:lvl w:ilvl="4" w:tplc="5F6AFA00">
      <w:numFmt w:val="decimal"/>
      <w:lvlText w:val=""/>
      <w:lvlJc w:val="left"/>
    </w:lvl>
    <w:lvl w:ilvl="5" w:tplc="5FBAE88C">
      <w:numFmt w:val="decimal"/>
      <w:lvlText w:val=""/>
      <w:lvlJc w:val="left"/>
    </w:lvl>
    <w:lvl w:ilvl="6" w:tplc="C9B851E4">
      <w:numFmt w:val="decimal"/>
      <w:lvlText w:val=""/>
      <w:lvlJc w:val="left"/>
    </w:lvl>
    <w:lvl w:ilvl="7" w:tplc="26AA937A">
      <w:numFmt w:val="decimal"/>
      <w:lvlText w:val=""/>
      <w:lvlJc w:val="left"/>
    </w:lvl>
    <w:lvl w:ilvl="8" w:tplc="2A36DB62">
      <w:numFmt w:val="decimal"/>
      <w:lvlText w:val=""/>
      <w:lvlJc w:val="left"/>
    </w:lvl>
  </w:abstractNum>
  <w:abstractNum w:abstractNumId="22" w15:restartNumberingAfterBreak="0">
    <w:nsid w:val="02082CCE"/>
    <w:multiLevelType w:val="hybridMultilevel"/>
    <w:tmpl w:val="43EC3C9E"/>
    <w:lvl w:ilvl="0" w:tplc="EF62320C">
      <w:start w:val="1"/>
      <w:numFmt w:val="bullet"/>
      <w:lvlText w:val=""/>
      <w:lvlJc w:val="left"/>
      <w:pPr>
        <w:ind w:left="720" w:hanging="180"/>
      </w:pPr>
      <w:rPr>
        <w:rFonts w:ascii="Symbol" w:hAnsi="Symbol" w:hint="default"/>
      </w:rPr>
    </w:lvl>
    <w:lvl w:ilvl="1" w:tplc="5FD03EAE">
      <w:numFmt w:val="decimal"/>
      <w:lvlText w:val=""/>
      <w:lvlJc w:val="left"/>
    </w:lvl>
    <w:lvl w:ilvl="2" w:tplc="FEEC39A2">
      <w:numFmt w:val="decimal"/>
      <w:lvlText w:val=""/>
      <w:lvlJc w:val="left"/>
    </w:lvl>
    <w:lvl w:ilvl="3" w:tplc="7E145158">
      <w:numFmt w:val="decimal"/>
      <w:lvlText w:val=""/>
      <w:lvlJc w:val="left"/>
    </w:lvl>
    <w:lvl w:ilvl="4" w:tplc="25F44E5C">
      <w:numFmt w:val="decimal"/>
      <w:lvlText w:val=""/>
      <w:lvlJc w:val="left"/>
    </w:lvl>
    <w:lvl w:ilvl="5" w:tplc="B6EC2800">
      <w:numFmt w:val="decimal"/>
      <w:lvlText w:val=""/>
      <w:lvlJc w:val="left"/>
    </w:lvl>
    <w:lvl w:ilvl="6" w:tplc="0898290E">
      <w:numFmt w:val="decimal"/>
      <w:lvlText w:val=""/>
      <w:lvlJc w:val="left"/>
    </w:lvl>
    <w:lvl w:ilvl="7" w:tplc="5888CC2C">
      <w:numFmt w:val="decimal"/>
      <w:lvlText w:val=""/>
      <w:lvlJc w:val="left"/>
    </w:lvl>
    <w:lvl w:ilvl="8" w:tplc="56DCB3EC">
      <w:numFmt w:val="decimal"/>
      <w:lvlText w:val=""/>
      <w:lvlJc w:val="left"/>
    </w:lvl>
  </w:abstractNum>
  <w:abstractNum w:abstractNumId="23" w15:restartNumberingAfterBreak="0">
    <w:nsid w:val="02104378"/>
    <w:multiLevelType w:val="hybridMultilevel"/>
    <w:tmpl w:val="3B28C730"/>
    <w:lvl w:ilvl="0" w:tplc="360E0BD8">
      <w:start w:val="1"/>
      <w:numFmt w:val="bullet"/>
      <w:lvlText w:val=""/>
      <w:lvlJc w:val="left"/>
      <w:pPr>
        <w:ind w:left="720" w:hanging="180"/>
      </w:pPr>
      <w:rPr>
        <w:rFonts w:ascii="Symbol" w:hAnsi="Symbol" w:hint="default"/>
      </w:rPr>
    </w:lvl>
    <w:lvl w:ilvl="1" w:tplc="D812E822">
      <w:numFmt w:val="decimal"/>
      <w:lvlText w:val=""/>
      <w:lvlJc w:val="left"/>
    </w:lvl>
    <w:lvl w:ilvl="2" w:tplc="EFA8C964">
      <w:numFmt w:val="decimal"/>
      <w:lvlText w:val=""/>
      <w:lvlJc w:val="left"/>
    </w:lvl>
    <w:lvl w:ilvl="3" w:tplc="B4EE7E6C">
      <w:numFmt w:val="decimal"/>
      <w:lvlText w:val=""/>
      <w:lvlJc w:val="left"/>
    </w:lvl>
    <w:lvl w:ilvl="4" w:tplc="5EEC0EB0">
      <w:numFmt w:val="decimal"/>
      <w:lvlText w:val=""/>
      <w:lvlJc w:val="left"/>
    </w:lvl>
    <w:lvl w:ilvl="5" w:tplc="CF1847F2">
      <w:numFmt w:val="decimal"/>
      <w:lvlText w:val=""/>
      <w:lvlJc w:val="left"/>
    </w:lvl>
    <w:lvl w:ilvl="6" w:tplc="7E1EAE58">
      <w:numFmt w:val="decimal"/>
      <w:lvlText w:val=""/>
      <w:lvlJc w:val="left"/>
    </w:lvl>
    <w:lvl w:ilvl="7" w:tplc="F4E8EAF4">
      <w:numFmt w:val="decimal"/>
      <w:lvlText w:val=""/>
      <w:lvlJc w:val="left"/>
    </w:lvl>
    <w:lvl w:ilvl="8" w:tplc="301E7FB2">
      <w:numFmt w:val="decimal"/>
      <w:lvlText w:val=""/>
      <w:lvlJc w:val="left"/>
    </w:lvl>
  </w:abstractNum>
  <w:abstractNum w:abstractNumId="24" w15:restartNumberingAfterBreak="0">
    <w:nsid w:val="0211713F"/>
    <w:multiLevelType w:val="hybridMultilevel"/>
    <w:tmpl w:val="914CBC6C"/>
    <w:lvl w:ilvl="0" w:tplc="11124692">
      <w:start w:val="1"/>
      <w:numFmt w:val="bullet"/>
      <w:lvlText w:val=""/>
      <w:lvlJc w:val="left"/>
      <w:pPr>
        <w:ind w:left="720" w:hanging="180"/>
      </w:pPr>
      <w:rPr>
        <w:rFonts w:ascii="Symbol" w:hAnsi="Symbol" w:hint="default"/>
      </w:rPr>
    </w:lvl>
    <w:lvl w:ilvl="1" w:tplc="AE9AE194">
      <w:numFmt w:val="decimal"/>
      <w:lvlText w:val=""/>
      <w:lvlJc w:val="left"/>
    </w:lvl>
    <w:lvl w:ilvl="2" w:tplc="A2402426">
      <w:numFmt w:val="decimal"/>
      <w:lvlText w:val=""/>
      <w:lvlJc w:val="left"/>
    </w:lvl>
    <w:lvl w:ilvl="3" w:tplc="201E8E76">
      <w:numFmt w:val="decimal"/>
      <w:lvlText w:val=""/>
      <w:lvlJc w:val="left"/>
    </w:lvl>
    <w:lvl w:ilvl="4" w:tplc="C4601AEA">
      <w:numFmt w:val="decimal"/>
      <w:lvlText w:val=""/>
      <w:lvlJc w:val="left"/>
    </w:lvl>
    <w:lvl w:ilvl="5" w:tplc="F524FAC6">
      <w:numFmt w:val="decimal"/>
      <w:lvlText w:val=""/>
      <w:lvlJc w:val="left"/>
    </w:lvl>
    <w:lvl w:ilvl="6" w:tplc="057E1CFE">
      <w:numFmt w:val="decimal"/>
      <w:lvlText w:val=""/>
      <w:lvlJc w:val="left"/>
    </w:lvl>
    <w:lvl w:ilvl="7" w:tplc="849857FA">
      <w:numFmt w:val="decimal"/>
      <w:lvlText w:val=""/>
      <w:lvlJc w:val="left"/>
    </w:lvl>
    <w:lvl w:ilvl="8" w:tplc="A79A68A8">
      <w:numFmt w:val="decimal"/>
      <w:lvlText w:val=""/>
      <w:lvlJc w:val="left"/>
    </w:lvl>
  </w:abstractNum>
  <w:abstractNum w:abstractNumId="25" w15:restartNumberingAfterBreak="0">
    <w:nsid w:val="02134342"/>
    <w:multiLevelType w:val="hybridMultilevel"/>
    <w:tmpl w:val="E2A677D8"/>
    <w:lvl w:ilvl="0" w:tplc="23388976">
      <w:start w:val="1"/>
      <w:numFmt w:val="bullet"/>
      <w:lvlText w:val=""/>
      <w:lvlJc w:val="left"/>
      <w:pPr>
        <w:ind w:left="720" w:hanging="180"/>
      </w:pPr>
      <w:rPr>
        <w:rFonts w:ascii="Symbol" w:hAnsi="Symbol" w:hint="default"/>
      </w:rPr>
    </w:lvl>
    <w:lvl w:ilvl="1" w:tplc="FFF2B018">
      <w:numFmt w:val="decimal"/>
      <w:lvlText w:val=""/>
      <w:lvlJc w:val="left"/>
    </w:lvl>
    <w:lvl w:ilvl="2" w:tplc="30081A78">
      <w:numFmt w:val="decimal"/>
      <w:lvlText w:val=""/>
      <w:lvlJc w:val="left"/>
    </w:lvl>
    <w:lvl w:ilvl="3" w:tplc="B644E144">
      <w:numFmt w:val="decimal"/>
      <w:lvlText w:val=""/>
      <w:lvlJc w:val="left"/>
    </w:lvl>
    <w:lvl w:ilvl="4" w:tplc="7792C14A">
      <w:numFmt w:val="decimal"/>
      <w:lvlText w:val=""/>
      <w:lvlJc w:val="left"/>
    </w:lvl>
    <w:lvl w:ilvl="5" w:tplc="B600D404">
      <w:numFmt w:val="decimal"/>
      <w:lvlText w:val=""/>
      <w:lvlJc w:val="left"/>
    </w:lvl>
    <w:lvl w:ilvl="6" w:tplc="1A964C4C">
      <w:numFmt w:val="decimal"/>
      <w:lvlText w:val=""/>
      <w:lvlJc w:val="left"/>
    </w:lvl>
    <w:lvl w:ilvl="7" w:tplc="731A2532">
      <w:numFmt w:val="decimal"/>
      <w:lvlText w:val=""/>
      <w:lvlJc w:val="left"/>
    </w:lvl>
    <w:lvl w:ilvl="8" w:tplc="67CC9E9E">
      <w:numFmt w:val="decimal"/>
      <w:lvlText w:val=""/>
      <w:lvlJc w:val="left"/>
    </w:lvl>
  </w:abstractNum>
  <w:abstractNum w:abstractNumId="26" w15:restartNumberingAfterBreak="0">
    <w:nsid w:val="02192C1F"/>
    <w:multiLevelType w:val="hybridMultilevel"/>
    <w:tmpl w:val="C212C268"/>
    <w:lvl w:ilvl="0" w:tplc="A3324C2A">
      <w:start w:val="1"/>
      <w:numFmt w:val="bullet"/>
      <w:lvlText w:val=""/>
      <w:lvlJc w:val="left"/>
      <w:pPr>
        <w:ind w:left="720" w:hanging="180"/>
      </w:pPr>
      <w:rPr>
        <w:rFonts w:ascii="Symbol" w:hAnsi="Symbol" w:hint="default"/>
      </w:rPr>
    </w:lvl>
    <w:lvl w:ilvl="1" w:tplc="586ED180">
      <w:numFmt w:val="decimal"/>
      <w:lvlText w:val=""/>
      <w:lvlJc w:val="left"/>
    </w:lvl>
    <w:lvl w:ilvl="2" w:tplc="92D0AAAE">
      <w:numFmt w:val="decimal"/>
      <w:lvlText w:val=""/>
      <w:lvlJc w:val="left"/>
    </w:lvl>
    <w:lvl w:ilvl="3" w:tplc="79947F8A">
      <w:numFmt w:val="decimal"/>
      <w:lvlText w:val=""/>
      <w:lvlJc w:val="left"/>
    </w:lvl>
    <w:lvl w:ilvl="4" w:tplc="4DD07562">
      <w:numFmt w:val="decimal"/>
      <w:lvlText w:val=""/>
      <w:lvlJc w:val="left"/>
    </w:lvl>
    <w:lvl w:ilvl="5" w:tplc="B30AF5A0">
      <w:numFmt w:val="decimal"/>
      <w:lvlText w:val=""/>
      <w:lvlJc w:val="left"/>
    </w:lvl>
    <w:lvl w:ilvl="6" w:tplc="7E8ADE12">
      <w:numFmt w:val="decimal"/>
      <w:lvlText w:val=""/>
      <w:lvlJc w:val="left"/>
    </w:lvl>
    <w:lvl w:ilvl="7" w:tplc="E4C29EBC">
      <w:numFmt w:val="decimal"/>
      <w:lvlText w:val=""/>
      <w:lvlJc w:val="left"/>
    </w:lvl>
    <w:lvl w:ilvl="8" w:tplc="FB56D8F8">
      <w:numFmt w:val="decimal"/>
      <w:lvlText w:val=""/>
      <w:lvlJc w:val="left"/>
    </w:lvl>
  </w:abstractNum>
  <w:abstractNum w:abstractNumId="27" w15:restartNumberingAfterBreak="0">
    <w:nsid w:val="024779D0"/>
    <w:multiLevelType w:val="hybridMultilevel"/>
    <w:tmpl w:val="FAC4BC38"/>
    <w:lvl w:ilvl="0" w:tplc="4CD4F476">
      <w:start w:val="1"/>
      <w:numFmt w:val="bullet"/>
      <w:lvlText w:val=""/>
      <w:lvlJc w:val="left"/>
      <w:pPr>
        <w:ind w:left="720" w:hanging="180"/>
      </w:pPr>
      <w:rPr>
        <w:rFonts w:ascii="Symbol" w:hAnsi="Symbol" w:hint="default"/>
      </w:rPr>
    </w:lvl>
    <w:lvl w:ilvl="1" w:tplc="03484104">
      <w:numFmt w:val="decimal"/>
      <w:lvlText w:val=""/>
      <w:lvlJc w:val="left"/>
    </w:lvl>
    <w:lvl w:ilvl="2" w:tplc="923A301C">
      <w:numFmt w:val="decimal"/>
      <w:lvlText w:val=""/>
      <w:lvlJc w:val="left"/>
    </w:lvl>
    <w:lvl w:ilvl="3" w:tplc="07A6C71A">
      <w:numFmt w:val="decimal"/>
      <w:lvlText w:val=""/>
      <w:lvlJc w:val="left"/>
    </w:lvl>
    <w:lvl w:ilvl="4" w:tplc="E94804BA">
      <w:numFmt w:val="decimal"/>
      <w:lvlText w:val=""/>
      <w:lvlJc w:val="left"/>
    </w:lvl>
    <w:lvl w:ilvl="5" w:tplc="C5DCFFF2">
      <w:numFmt w:val="decimal"/>
      <w:lvlText w:val=""/>
      <w:lvlJc w:val="left"/>
    </w:lvl>
    <w:lvl w:ilvl="6" w:tplc="A9BE5878">
      <w:numFmt w:val="decimal"/>
      <w:lvlText w:val=""/>
      <w:lvlJc w:val="left"/>
    </w:lvl>
    <w:lvl w:ilvl="7" w:tplc="6AB2BC7E">
      <w:numFmt w:val="decimal"/>
      <w:lvlText w:val=""/>
      <w:lvlJc w:val="left"/>
    </w:lvl>
    <w:lvl w:ilvl="8" w:tplc="AF4EE9CA">
      <w:numFmt w:val="decimal"/>
      <w:lvlText w:val=""/>
      <w:lvlJc w:val="left"/>
    </w:lvl>
  </w:abstractNum>
  <w:abstractNum w:abstractNumId="28" w15:restartNumberingAfterBreak="0">
    <w:nsid w:val="02594EA0"/>
    <w:multiLevelType w:val="hybridMultilevel"/>
    <w:tmpl w:val="48D0E844"/>
    <w:lvl w:ilvl="0" w:tplc="1004E0A8">
      <w:start w:val="1"/>
      <w:numFmt w:val="bullet"/>
      <w:lvlText w:val=""/>
      <w:lvlJc w:val="left"/>
      <w:pPr>
        <w:ind w:left="720" w:hanging="180"/>
      </w:pPr>
      <w:rPr>
        <w:rFonts w:ascii="Symbol" w:hAnsi="Symbol" w:hint="default"/>
      </w:rPr>
    </w:lvl>
    <w:lvl w:ilvl="1" w:tplc="46A232BC">
      <w:numFmt w:val="decimal"/>
      <w:lvlText w:val=""/>
      <w:lvlJc w:val="left"/>
    </w:lvl>
    <w:lvl w:ilvl="2" w:tplc="BFD4D206">
      <w:numFmt w:val="decimal"/>
      <w:lvlText w:val=""/>
      <w:lvlJc w:val="left"/>
    </w:lvl>
    <w:lvl w:ilvl="3" w:tplc="AB92A46C">
      <w:numFmt w:val="decimal"/>
      <w:lvlText w:val=""/>
      <w:lvlJc w:val="left"/>
    </w:lvl>
    <w:lvl w:ilvl="4" w:tplc="51E88B7A">
      <w:numFmt w:val="decimal"/>
      <w:lvlText w:val=""/>
      <w:lvlJc w:val="left"/>
    </w:lvl>
    <w:lvl w:ilvl="5" w:tplc="3C18DC60">
      <w:numFmt w:val="decimal"/>
      <w:lvlText w:val=""/>
      <w:lvlJc w:val="left"/>
    </w:lvl>
    <w:lvl w:ilvl="6" w:tplc="FE14F32E">
      <w:numFmt w:val="decimal"/>
      <w:lvlText w:val=""/>
      <w:lvlJc w:val="left"/>
    </w:lvl>
    <w:lvl w:ilvl="7" w:tplc="CC6CE8F2">
      <w:numFmt w:val="decimal"/>
      <w:lvlText w:val=""/>
      <w:lvlJc w:val="left"/>
    </w:lvl>
    <w:lvl w:ilvl="8" w:tplc="4FF4DB2A">
      <w:numFmt w:val="decimal"/>
      <w:lvlText w:val=""/>
      <w:lvlJc w:val="left"/>
    </w:lvl>
  </w:abstractNum>
  <w:abstractNum w:abstractNumId="29" w15:restartNumberingAfterBreak="0">
    <w:nsid w:val="025F1DFF"/>
    <w:multiLevelType w:val="hybridMultilevel"/>
    <w:tmpl w:val="DE085A32"/>
    <w:lvl w:ilvl="0" w:tplc="C0EA5B1C">
      <w:start w:val="1"/>
      <w:numFmt w:val="bullet"/>
      <w:lvlText w:val=""/>
      <w:lvlJc w:val="left"/>
      <w:pPr>
        <w:ind w:left="720" w:hanging="180"/>
      </w:pPr>
      <w:rPr>
        <w:rFonts w:ascii="Symbol" w:hAnsi="Symbol" w:hint="default"/>
      </w:rPr>
    </w:lvl>
    <w:lvl w:ilvl="1" w:tplc="C3F2CCA0">
      <w:numFmt w:val="decimal"/>
      <w:lvlText w:val=""/>
      <w:lvlJc w:val="left"/>
    </w:lvl>
    <w:lvl w:ilvl="2" w:tplc="CBE24000">
      <w:numFmt w:val="decimal"/>
      <w:lvlText w:val=""/>
      <w:lvlJc w:val="left"/>
    </w:lvl>
    <w:lvl w:ilvl="3" w:tplc="BB4A8672">
      <w:numFmt w:val="decimal"/>
      <w:lvlText w:val=""/>
      <w:lvlJc w:val="left"/>
    </w:lvl>
    <w:lvl w:ilvl="4" w:tplc="34D660EE">
      <w:numFmt w:val="decimal"/>
      <w:lvlText w:val=""/>
      <w:lvlJc w:val="left"/>
    </w:lvl>
    <w:lvl w:ilvl="5" w:tplc="0862F2D4">
      <w:numFmt w:val="decimal"/>
      <w:lvlText w:val=""/>
      <w:lvlJc w:val="left"/>
    </w:lvl>
    <w:lvl w:ilvl="6" w:tplc="549078B0">
      <w:numFmt w:val="decimal"/>
      <w:lvlText w:val=""/>
      <w:lvlJc w:val="left"/>
    </w:lvl>
    <w:lvl w:ilvl="7" w:tplc="6E66B2DC">
      <w:numFmt w:val="decimal"/>
      <w:lvlText w:val=""/>
      <w:lvlJc w:val="left"/>
    </w:lvl>
    <w:lvl w:ilvl="8" w:tplc="2C702534">
      <w:numFmt w:val="decimal"/>
      <w:lvlText w:val=""/>
      <w:lvlJc w:val="left"/>
    </w:lvl>
  </w:abstractNum>
  <w:abstractNum w:abstractNumId="30" w15:restartNumberingAfterBreak="0">
    <w:nsid w:val="02714908"/>
    <w:multiLevelType w:val="hybridMultilevel"/>
    <w:tmpl w:val="DA4070D8"/>
    <w:lvl w:ilvl="0" w:tplc="7138DD24">
      <w:start w:val="1"/>
      <w:numFmt w:val="bullet"/>
      <w:lvlText w:val=""/>
      <w:lvlJc w:val="left"/>
      <w:pPr>
        <w:ind w:left="720" w:hanging="180"/>
      </w:pPr>
      <w:rPr>
        <w:rFonts w:ascii="Symbol" w:hAnsi="Symbol" w:hint="default"/>
      </w:rPr>
    </w:lvl>
    <w:lvl w:ilvl="1" w:tplc="71762EDE">
      <w:numFmt w:val="decimal"/>
      <w:lvlText w:val=""/>
      <w:lvlJc w:val="left"/>
    </w:lvl>
    <w:lvl w:ilvl="2" w:tplc="5E4E68D8">
      <w:numFmt w:val="decimal"/>
      <w:lvlText w:val=""/>
      <w:lvlJc w:val="left"/>
    </w:lvl>
    <w:lvl w:ilvl="3" w:tplc="8CEE05A0">
      <w:numFmt w:val="decimal"/>
      <w:lvlText w:val=""/>
      <w:lvlJc w:val="left"/>
    </w:lvl>
    <w:lvl w:ilvl="4" w:tplc="0F48C2EA">
      <w:numFmt w:val="decimal"/>
      <w:lvlText w:val=""/>
      <w:lvlJc w:val="left"/>
    </w:lvl>
    <w:lvl w:ilvl="5" w:tplc="3E2ED1FA">
      <w:numFmt w:val="decimal"/>
      <w:lvlText w:val=""/>
      <w:lvlJc w:val="left"/>
    </w:lvl>
    <w:lvl w:ilvl="6" w:tplc="E1E6EB8A">
      <w:numFmt w:val="decimal"/>
      <w:lvlText w:val=""/>
      <w:lvlJc w:val="left"/>
    </w:lvl>
    <w:lvl w:ilvl="7" w:tplc="BF688AF8">
      <w:numFmt w:val="decimal"/>
      <w:lvlText w:val=""/>
      <w:lvlJc w:val="left"/>
    </w:lvl>
    <w:lvl w:ilvl="8" w:tplc="AE14AA2E">
      <w:numFmt w:val="decimal"/>
      <w:lvlText w:val=""/>
      <w:lvlJc w:val="left"/>
    </w:lvl>
  </w:abstractNum>
  <w:abstractNum w:abstractNumId="31" w15:restartNumberingAfterBreak="0">
    <w:nsid w:val="027E5861"/>
    <w:multiLevelType w:val="hybridMultilevel"/>
    <w:tmpl w:val="B4302454"/>
    <w:lvl w:ilvl="0" w:tplc="1ABAA3F8">
      <w:start w:val="1"/>
      <w:numFmt w:val="bullet"/>
      <w:lvlText w:val=""/>
      <w:lvlJc w:val="left"/>
      <w:pPr>
        <w:ind w:left="720" w:hanging="180"/>
      </w:pPr>
      <w:rPr>
        <w:rFonts w:ascii="Symbol" w:hAnsi="Symbol" w:hint="default"/>
      </w:rPr>
    </w:lvl>
    <w:lvl w:ilvl="1" w:tplc="C8E823FE">
      <w:numFmt w:val="decimal"/>
      <w:lvlText w:val=""/>
      <w:lvlJc w:val="left"/>
    </w:lvl>
    <w:lvl w:ilvl="2" w:tplc="28A494FA">
      <w:numFmt w:val="decimal"/>
      <w:lvlText w:val=""/>
      <w:lvlJc w:val="left"/>
    </w:lvl>
    <w:lvl w:ilvl="3" w:tplc="A3B26640">
      <w:numFmt w:val="decimal"/>
      <w:lvlText w:val=""/>
      <w:lvlJc w:val="left"/>
    </w:lvl>
    <w:lvl w:ilvl="4" w:tplc="0388BEFC">
      <w:numFmt w:val="decimal"/>
      <w:lvlText w:val=""/>
      <w:lvlJc w:val="left"/>
    </w:lvl>
    <w:lvl w:ilvl="5" w:tplc="51FC844C">
      <w:numFmt w:val="decimal"/>
      <w:lvlText w:val=""/>
      <w:lvlJc w:val="left"/>
    </w:lvl>
    <w:lvl w:ilvl="6" w:tplc="E5A0DC92">
      <w:numFmt w:val="decimal"/>
      <w:lvlText w:val=""/>
      <w:lvlJc w:val="left"/>
    </w:lvl>
    <w:lvl w:ilvl="7" w:tplc="735C0F5A">
      <w:numFmt w:val="decimal"/>
      <w:lvlText w:val=""/>
      <w:lvlJc w:val="left"/>
    </w:lvl>
    <w:lvl w:ilvl="8" w:tplc="617C5810">
      <w:numFmt w:val="decimal"/>
      <w:lvlText w:val=""/>
      <w:lvlJc w:val="left"/>
    </w:lvl>
  </w:abstractNum>
  <w:abstractNum w:abstractNumId="32" w15:restartNumberingAfterBreak="0">
    <w:nsid w:val="02801B30"/>
    <w:multiLevelType w:val="hybridMultilevel"/>
    <w:tmpl w:val="4E86FDA2"/>
    <w:lvl w:ilvl="0" w:tplc="E9702642">
      <w:start w:val="1"/>
      <w:numFmt w:val="bullet"/>
      <w:lvlText w:val=""/>
      <w:lvlJc w:val="left"/>
      <w:pPr>
        <w:ind w:left="720" w:hanging="180"/>
      </w:pPr>
      <w:rPr>
        <w:rFonts w:ascii="Symbol" w:hAnsi="Symbol" w:hint="default"/>
      </w:rPr>
    </w:lvl>
    <w:lvl w:ilvl="1" w:tplc="FF425432">
      <w:numFmt w:val="decimal"/>
      <w:lvlText w:val=""/>
      <w:lvlJc w:val="left"/>
    </w:lvl>
    <w:lvl w:ilvl="2" w:tplc="6CD6B40C">
      <w:numFmt w:val="decimal"/>
      <w:lvlText w:val=""/>
      <w:lvlJc w:val="left"/>
    </w:lvl>
    <w:lvl w:ilvl="3" w:tplc="CAA4A5E4">
      <w:numFmt w:val="decimal"/>
      <w:lvlText w:val=""/>
      <w:lvlJc w:val="left"/>
    </w:lvl>
    <w:lvl w:ilvl="4" w:tplc="AC1E8E26">
      <w:numFmt w:val="decimal"/>
      <w:lvlText w:val=""/>
      <w:lvlJc w:val="left"/>
    </w:lvl>
    <w:lvl w:ilvl="5" w:tplc="D464BCB0">
      <w:numFmt w:val="decimal"/>
      <w:lvlText w:val=""/>
      <w:lvlJc w:val="left"/>
    </w:lvl>
    <w:lvl w:ilvl="6" w:tplc="347834B0">
      <w:numFmt w:val="decimal"/>
      <w:lvlText w:val=""/>
      <w:lvlJc w:val="left"/>
    </w:lvl>
    <w:lvl w:ilvl="7" w:tplc="C212DCEC">
      <w:numFmt w:val="decimal"/>
      <w:lvlText w:val=""/>
      <w:lvlJc w:val="left"/>
    </w:lvl>
    <w:lvl w:ilvl="8" w:tplc="C79402E4">
      <w:numFmt w:val="decimal"/>
      <w:lvlText w:val=""/>
      <w:lvlJc w:val="left"/>
    </w:lvl>
  </w:abstractNum>
  <w:abstractNum w:abstractNumId="33" w15:restartNumberingAfterBreak="0">
    <w:nsid w:val="02827219"/>
    <w:multiLevelType w:val="hybridMultilevel"/>
    <w:tmpl w:val="FDCAE51A"/>
    <w:lvl w:ilvl="0" w:tplc="A5AC511C">
      <w:start w:val="1"/>
      <w:numFmt w:val="bullet"/>
      <w:lvlText w:val=""/>
      <w:lvlJc w:val="left"/>
      <w:pPr>
        <w:ind w:left="720" w:hanging="180"/>
      </w:pPr>
      <w:rPr>
        <w:rFonts w:ascii="Symbol" w:hAnsi="Symbol" w:hint="default"/>
      </w:rPr>
    </w:lvl>
    <w:lvl w:ilvl="1" w:tplc="F94EAFAA">
      <w:numFmt w:val="decimal"/>
      <w:lvlText w:val=""/>
      <w:lvlJc w:val="left"/>
    </w:lvl>
    <w:lvl w:ilvl="2" w:tplc="8070BA0A">
      <w:numFmt w:val="decimal"/>
      <w:lvlText w:val=""/>
      <w:lvlJc w:val="left"/>
    </w:lvl>
    <w:lvl w:ilvl="3" w:tplc="934AE138">
      <w:numFmt w:val="decimal"/>
      <w:lvlText w:val=""/>
      <w:lvlJc w:val="left"/>
    </w:lvl>
    <w:lvl w:ilvl="4" w:tplc="B6EACAEE">
      <w:numFmt w:val="decimal"/>
      <w:lvlText w:val=""/>
      <w:lvlJc w:val="left"/>
    </w:lvl>
    <w:lvl w:ilvl="5" w:tplc="9B8A6A08">
      <w:numFmt w:val="decimal"/>
      <w:lvlText w:val=""/>
      <w:lvlJc w:val="left"/>
    </w:lvl>
    <w:lvl w:ilvl="6" w:tplc="1C74CD66">
      <w:numFmt w:val="decimal"/>
      <w:lvlText w:val=""/>
      <w:lvlJc w:val="left"/>
    </w:lvl>
    <w:lvl w:ilvl="7" w:tplc="419C6156">
      <w:numFmt w:val="decimal"/>
      <w:lvlText w:val=""/>
      <w:lvlJc w:val="left"/>
    </w:lvl>
    <w:lvl w:ilvl="8" w:tplc="9BC2FB0A">
      <w:numFmt w:val="decimal"/>
      <w:lvlText w:val=""/>
      <w:lvlJc w:val="left"/>
    </w:lvl>
  </w:abstractNum>
  <w:abstractNum w:abstractNumId="34" w15:restartNumberingAfterBreak="0">
    <w:nsid w:val="028D03A7"/>
    <w:multiLevelType w:val="hybridMultilevel"/>
    <w:tmpl w:val="7542E73E"/>
    <w:lvl w:ilvl="0" w:tplc="E690AF70">
      <w:start w:val="1"/>
      <w:numFmt w:val="bullet"/>
      <w:lvlText w:val=""/>
      <w:lvlJc w:val="left"/>
      <w:pPr>
        <w:ind w:left="720" w:hanging="180"/>
      </w:pPr>
      <w:rPr>
        <w:rFonts w:ascii="Symbol" w:hAnsi="Symbol" w:hint="default"/>
      </w:rPr>
    </w:lvl>
    <w:lvl w:ilvl="1" w:tplc="FCA87CD8">
      <w:numFmt w:val="decimal"/>
      <w:lvlText w:val=""/>
      <w:lvlJc w:val="left"/>
    </w:lvl>
    <w:lvl w:ilvl="2" w:tplc="C99C0DC8">
      <w:numFmt w:val="decimal"/>
      <w:lvlText w:val=""/>
      <w:lvlJc w:val="left"/>
    </w:lvl>
    <w:lvl w:ilvl="3" w:tplc="2C66B43C">
      <w:numFmt w:val="decimal"/>
      <w:lvlText w:val=""/>
      <w:lvlJc w:val="left"/>
    </w:lvl>
    <w:lvl w:ilvl="4" w:tplc="E3608FF2">
      <w:numFmt w:val="decimal"/>
      <w:lvlText w:val=""/>
      <w:lvlJc w:val="left"/>
    </w:lvl>
    <w:lvl w:ilvl="5" w:tplc="B18CC280">
      <w:numFmt w:val="decimal"/>
      <w:lvlText w:val=""/>
      <w:lvlJc w:val="left"/>
    </w:lvl>
    <w:lvl w:ilvl="6" w:tplc="361068F8">
      <w:numFmt w:val="decimal"/>
      <w:lvlText w:val=""/>
      <w:lvlJc w:val="left"/>
    </w:lvl>
    <w:lvl w:ilvl="7" w:tplc="8AE84A38">
      <w:numFmt w:val="decimal"/>
      <w:lvlText w:val=""/>
      <w:lvlJc w:val="left"/>
    </w:lvl>
    <w:lvl w:ilvl="8" w:tplc="ACD848EC">
      <w:numFmt w:val="decimal"/>
      <w:lvlText w:val=""/>
      <w:lvlJc w:val="left"/>
    </w:lvl>
  </w:abstractNum>
  <w:abstractNum w:abstractNumId="35" w15:restartNumberingAfterBreak="0">
    <w:nsid w:val="029E0FAA"/>
    <w:multiLevelType w:val="hybridMultilevel"/>
    <w:tmpl w:val="1BF4E5C4"/>
    <w:lvl w:ilvl="0" w:tplc="0DB8BC58">
      <w:start w:val="1"/>
      <w:numFmt w:val="bullet"/>
      <w:lvlText w:val=""/>
      <w:lvlJc w:val="left"/>
      <w:pPr>
        <w:ind w:left="720" w:hanging="180"/>
      </w:pPr>
      <w:rPr>
        <w:rFonts w:ascii="Symbol" w:hAnsi="Symbol" w:hint="default"/>
      </w:rPr>
    </w:lvl>
    <w:lvl w:ilvl="1" w:tplc="10248C4A">
      <w:numFmt w:val="decimal"/>
      <w:lvlText w:val=""/>
      <w:lvlJc w:val="left"/>
    </w:lvl>
    <w:lvl w:ilvl="2" w:tplc="9E9E7F14">
      <w:numFmt w:val="decimal"/>
      <w:lvlText w:val=""/>
      <w:lvlJc w:val="left"/>
    </w:lvl>
    <w:lvl w:ilvl="3" w:tplc="B60A173A">
      <w:numFmt w:val="decimal"/>
      <w:lvlText w:val=""/>
      <w:lvlJc w:val="left"/>
    </w:lvl>
    <w:lvl w:ilvl="4" w:tplc="5816D9B2">
      <w:numFmt w:val="decimal"/>
      <w:lvlText w:val=""/>
      <w:lvlJc w:val="left"/>
    </w:lvl>
    <w:lvl w:ilvl="5" w:tplc="37E819DE">
      <w:numFmt w:val="decimal"/>
      <w:lvlText w:val=""/>
      <w:lvlJc w:val="left"/>
    </w:lvl>
    <w:lvl w:ilvl="6" w:tplc="ADD08A52">
      <w:numFmt w:val="decimal"/>
      <w:lvlText w:val=""/>
      <w:lvlJc w:val="left"/>
    </w:lvl>
    <w:lvl w:ilvl="7" w:tplc="06D8DCEC">
      <w:numFmt w:val="decimal"/>
      <w:lvlText w:val=""/>
      <w:lvlJc w:val="left"/>
    </w:lvl>
    <w:lvl w:ilvl="8" w:tplc="F950FC62">
      <w:numFmt w:val="decimal"/>
      <w:lvlText w:val=""/>
      <w:lvlJc w:val="left"/>
    </w:lvl>
  </w:abstractNum>
  <w:abstractNum w:abstractNumId="36" w15:restartNumberingAfterBreak="0">
    <w:nsid w:val="02A22091"/>
    <w:multiLevelType w:val="hybridMultilevel"/>
    <w:tmpl w:val="1A1C11E2"/>
    <w:lvl w:ilvl="0" w:tplc="626647AE">
      <w:numFmt w:val="decimal"/>
      <w:lvlText w:val=""/>
      <w:lvlJc w:val="left"/>
    </w:lvl>
    <w:lvl w:ilvl="1" w:tplc="2C425AE4">
      <w:start w:val="1"/>
      <w:numFmt w:val="bullet"/>
      <w:lvlText w:val=""/>
      <w:lvlJc w:val="left"/>
      <w:pPr>
        <w:ind w:left="1440" w:hanging="180"/>
      </w:pPr>
      <w:rPr>
        <w:rFonts w:ascii="Symbol" w:hAnsi="Symbol" w:hint="default"/>
      </w:rPr>
    </w:lvl>
    <w:lvl w:ilvl="2" w:tplc="6A524B2A">
      <w:numFmt w:val="decimal"/>
      <w:lvlText w:val=""/>
      <w:lvlJc w:val="left"/>
    </w:lvl>
    <w:lvl w:ilvl="3" w:tplc="0B9CB724">
      <w:numFmt w:val="decimal"/>
      <w:lvlText w:val=""/>
      <w:lvlJc w:val="left"/>
    </w:lvl>
    <w:lvl w:ilvl="4" w:tplc="557E3920">
      <w:numFmt w:val="decimal"/>
      <w:lvlText w:val=""/>
      <w:lvlJc w:val="left"/>
    </w:lvl>
    <w:lvl w:ilvl="5" w:tplc="12E63DB6">
      <w:numFmt w:val="decimal"/>
      <w:lvlText w:val=""/>
      <w:lvlJc w:val="left"/>
    </w:lvl>
    <w:lvl w:ilvl="6" w:tplc="C680A66E">
      <w:numFmt w:val="decimal"/>
      <w:lvlText w:val=""/>
      <w:lvlJc w:val="left"/>
    </w:lvl>
    <w:lvl w:ilvl="7" w:tplc="4BC89C26">
      <w:numFmt w:val="decimal"/>
      <w:lvlText w:val=""/>
      <w:lvlJc w:val="left"/>
    </w:lvl>
    <w:lvl w:ilvl="8" w:tplc="DE840B90">
      <w:numFmt w:val="decimal"/>
      <w:lvlText w:val=""/>
      <w:lvlJc w:val="left"/>
    </w:lvl>
  </w:abstractNum>
  <w:abstractNum w:abstractNumId="37" w15:restartNumberingAfterBreak="0">
    <w:nsid w:val="02B878E1"/>
    <w:multiLevelType w:val="hybridMultilevel"/>
    <w:tmpl w:val="6018F17E"/>
    <w:lvl w:ilvl="0" w:tplc="39061542">
      <w:start w:val="1"/>
      <w:numFmt w:val="bullet"/>
      <w:lvlText w:val=""/>
      <w:lvlJc w:val="left"/>
      <w:pPr>
        <w:ind w:left="720" w:hanging="180"/>
      </w:pPr>
      <w:rPr>
        <w:rFonts w:ascii="Symbol" w:hAnsi="Symbol" w:hint="default"/>
      </w:rPr>
    </w:lvl>
    <w:lvl w:ilvl="1" w:tplc="00DAED6A">
      <w:numFmt w:val="decimal"/>
      <w:lvlText w:val=""/>
      <w:lvlJc w:val="left"/>
    </w:lvl>
    <w:lvl w:ilvl="2" w:tplc="8612056C">
      <w:numFmt w:val="decimal"/>
      <w:lvlText w:val=""/>
      <w:lvlJc w:val="left"/>
    </w:lvl>
    <w:lvl w:ilvl="3" w:tplc="742067A4">
      <w:numFmt w:val="decimal"/>
      <w:lvlText w:val=""/>
      <w:lvlJc w:val="left"/>
    </w:lvl>
    <w:lvl w:ilvl="4" w:tplc="89B0869A">
      <w:numFmt w:val="decimal"/>
      <w:lvlText w:val=""/>
      <w:lvlJc w:val="left"/>
    </w:lvl>
    <w:lvl w:ilvl="5" w:tplc="5DE813AC">
      <w:numFmt w:val="decimal"/>
      <w:lvlText w:val=""/>
      <w:lvlJc w:val="left"/>
    </w:lvl>
    <w:lvl w:ilvl="6" w:tplc="F90AAD40">
      <w:numFmt w:val="decimal"/>
      <w:lvlText w:val=""/>
      <w:lvlJc w:val="left"/>
    </w:lvl>
    <w:lvl w:ilvl="7" w:tplc="E7122484">
      <w:numFmt w:val="decimal"/>
      <w:lvlText w:val=""/>
      <w:lvlJc w:val="left"/>
    </w:lvl>
    <w:lvl w:ilvl="8" w:tplc="1D6E862A">
      <w:numFmt w:val="decimal"/>
      <w:lvlText w:val=""/>
      <w:lvlJc w:val="left"/>
    </w:lvl>
  </w:abstractNum>
  <w:abstractNum w:abstractNumId="38" w15:restartNumberingAfterBreak="0">
    <w:nsid w:val="02D31191"/>
    <w:multiLevelType w:val="hybridMultilevel"/>
    <w:tmpl w:val="5C6C1816"/>
    <w:lvl w:ilvl="0" w:tplc="5D18EB32">
      <w:start w:val="1"/>
      <w:numFmt w:val="bullet"/>
      <w:lvlText w:val=""/>
      <w:lvlJc w:val="left"/>
      <w:pPr>
        <w:ind w:left="720" w:hanging="180"/>
      </w:pPr>
      <w:rPr>
        <w:rFonts w:ascii="Symbol" w:hAnsi="Symbol" w:hint="default"/>
      </w:rPr>
    </w:lvl>
    <w:lvl w:ilvl="1" w:tplc="75525DB6">
      <w:numFmt w:val="decimal"/>
      <w:lvlText w:val=""/>
      <w:lvlJc w:val="left"/>
    </w:lvl>
    <w:lvl w:ilvl="2" w:tplc="A98CE6EE">
      <w:numFmt w:val="decimal"/>
      <w:lvlText w:val=""/>
      <w:lvlJc w:val="left"/>
    </w:lvl>
    <w:lvl w:ilvl="3" w:tplc="DC9CC97C">
      <w:numFmt w:val="decimal"/>
      <w:lvlText w:val=""/>
      <w:lvlJc w:val="left"/>
    </w:lvl>
    <w:lvl w:ilvl="4" w:tplc="322AF248">
      <w:numFmt w:val="decimal"/>
      <w:lvlText w:val=""/>
      <w:lvlJc w:val="left"/>
    </w:lvl>
    <w:lvl w:ilvl="5" w:tplc="6B2600AA">
      <w:numFmt w:val="decimal"/>
      <w:lvlText w:val=""/>
      <w:lvlJc w:val="left"/>
    </w:lvl>
    <w:lvl w:ilvl="6" w:tplc="DD5A732A">
      <w:numFmt w:val="decimal"/>
      <w:lvlText w:val=""/>
      <w:lvlJc w:val="left"/>
    </w:lvl>
    <w:lvl w:ilvl="7" w:tplc="AE8811AA">
      <w:numFmt w:val="decimal"/>
      <w:lvlText w:val=""/>
      <w:lvlJc w:val="left"/>
    </w:lvl>
    <w:lvl w:ilvl="8" w:tplc="2A902B9E">
      <w:numFmt w:val="decimal"/>
      <w:lvlText w:val=""/>
      <w:lvlJc w:val="left"/>
    </w:lvl>
  </w:abstractNum>
  <w:abstractNum w:abstractNumId="39" w15:restartNumberingAfterBreak="0">
    <w:nsid w:val="030C21CA"/>
    <w:multiLevelType w:val="hybridMultilevel"/>
    <w:tmpl w:val="D21045EA"/>
    <w:lvl w:ilvl="0" w:tplc="B33EF394">
      <w:start w:val="1"/>
      <w:numFmt w:val="bullet"/>
      <w:lvlText w:val=""/>
      <w:lvlJc w:val="left"/>
      <w:pPr>
        <w:ind w:left="720" w:hanging="180"/>
      </w:pPr>
      <w:rPr>
        <w:rFonts w:ascii="Symbol" w:hAnsi="Symbol" w:hint="default"/>
      </w:rPr>
    </w:lvl>
    <w:lvl w:ilvl="1" w:tplc="1A06D5EE">
      <w:numFmt w:val="decimal"/>
      <w:lvlText w:val=""/>
      <w:lvlJc w:val="left"/>
    </w:lvl>
    <w:lvl w:ilvl="2" w:tplc="A48407B8">
      <w:numFmt w:val="decimal"/>
      <w:lvlText w:val=""/>
      <w:lvlJc w:val="left"/>
    </w:lvl>
    <w:lvl w:ilvl="3" w:tplc="716CAAAA">
      <w:numFmt w:val="decimal"/>
      <w:lvlText w:val=""/>
      <w:lvlJc w:val="left"/>
    </w:lvl>
    <w:lvl w:ilvl="4" w:tplc="AE7C79CE">
      <w:numFmt w:val="decimal"/>
      <w:lvlText w:val=""/>
      <w:lvlJc w:val="left"/>
    </w:lvl>
    <w:lvl w:ilvl="5" w:tplc="34202A2A">
      <w:numFmt w:val="decimal"/>
      <w:lvlText w:val=""/>
      <w:lvlJc w:val="left"/>
    </w:lvl>
    <w:lvl w:ilvl="6" w:tplc="028AD5AA">
      <w:numFmt w:val="decimal"/>
      <w:lvlText w:val=""/>
      <w:lvlJc w:val="left"/>
    </w:lvl>
    <w:lvl w:ilvl="7" w:tplc="6688DEF2">
      <w:numFmt w:val="decimal"/>
      <w:lvlText w:val=""/>
      <w:lvlJc w:val="left"/>
    </w:lvl>
    <w:lvl w:ilvl="8" w:tplc="A46EC212">
      <w:numFmt w:val="decimal"/>
      <w:lvlText w:val=""/>
      <w:lvlJc w:val="left"/>
    </w:lvl>
  </w:abstractNum>
  <w:abstractNum w:abstractNumId="40" w15:restartNumberingAfterBreak="0">
    <w:nsid w:val="03270C27"/>
    <w:multiLevelType w:val="hybridMultilevel"/>
    <w:tmpl w:val="E6FA86BE"/>
    <w:lvl w:ilvl="0" w:tplc="8D7EA7A4">
      <w:start w:val="1"/>
      <w:numFmt w:val="bullet"/>
      <w:lvlText w:val=""/>
      <w:lvlJc w:val="left"/>
      <w:pPr>
        <w:ind w:left="720" w:hanging="180"/>
      </w:pPr>
      <w:rPr>
        <w:rFonts w:ascii="Symbol" w:hAnsi="Symbol" w:hint="default"/>
      </w:rPr>
    </w:lvl>
    <w:lvl w:ilvl="1" w:tplc="B00E7894">
      <w:numFmt w:val="decimal"/>
      <w:lvlText w:val=""/>
      <w:lvlJc w:val="left"/>
    </w:lvl>
    <w:lvl w:ilvl="2" w:tplc="5C5457C8">
      <w:numFmt w:val="decimal"/>
      <w:lvlText w:val=""/>
      <w:lvlJc w:val="left"/>
    </w:lvl>
    <w:lvl w:ilvl="3" w:tplc="2D4E52DC">
      <w:numFmt w:val="decimal"/>
      <w:lvlText w:val=""/>
      <w:lvlJc w:val="left"/>
    </w:lvl>
    <w:lvl w:ilvl="4" w:tplc="21BA3722">
      <w:numFmt w:val="decimal"/>
      <w:lvlText w:val=""/>
      <w:lvlJc w:val="left"/>
    </w:lvl>
    <w:lvl w:ilvl="5" w:tplc="A3F2E92A">
      <w:numFmt w:val="decimal"/>
      <w:lvlText w:val=""/>
      <w:lvlJc w:val="left"/>
    </w:lvl>
    <w:lvl w:ilvl="6" w:tplc="A4A01DEA">
      <w:numFmt w:val="decimal"/>
      <w:lvlText w:val=""/>
      <w:lvlJc w:val="left"/>
    </w:lvl>
    <w:lvl w:ilvl="7" w:tplc="E7D451C0">
      <w:numFmt w:val="decimal"/>
      <w:lvlText w:val=""/>
      <w:lvlJc w:val="left"/>
    </w:lvl>
    <w:lvl w:ilvl="8" w:tplc="8AF8E68C">
      <w:numFmt w:val="decimal"/>
      <w:lvlText w:val=""/>
      <w:lvlJc w:val="left"/>
    </w:lvl>
  </w:abstractNum>
  <w:abstractNum w:abstractNumId="41" w15:restartNumberingAfterBreak="0">
    <w:nsid w:val="032B3A52"/>
    <w:multiLevelType w:val="hybridMultilevel"/>
    <w:tmpl w:val="4192E65E"/>
    <w:lvl w:ilvl="0" w:tplc="5D7009FA">
      <w:numFmt w:val="decimal"/>
      <w:lvlText w:val=""/>
      <w:lvlJc w:val="left"/>
    </w:lvl>
    <w:lvl w:ilvl="1" w:tplc="3BA217DC">
      <w:start w:val="1"/>
      <w:numFmt w:val="bullet"/>
      <w:lvlText w:val=""/>
      <w:lvlJc w:val="left"/>
      <w:pPr>
        <w:ind w:left="1440" w:hanging="180"/>
      </w:pPr>
      <w:rPr>
        <w:rFonts w:ascii="Symbol" w:hAnsi="Symbol" w:hint="default"/>
      </w:rPr>
    </w:lvl>
    <w:lvl w:ilvl="2" w:tplc="C15A2FD8">
      <w:numFmt w:val="decimal"/>
      <w:lvlText w:val=""/>
      <w:lvlJc w:val="left"/>
    </w:lvl>
    <w:lvl w:ilvl="3" w:tplc="D982C7C4">
      <w:numFmt w:val="decimal"/>
      <w:lvlText w:val=""/>
      <w:lvlJc w:val="left"/>
    </w:lvl>
    <w:lvl w:ilvl="4" w:tplc="29783F64">
      <w:numFmt w:val="decimal"/>
      <w:lvlText w:val=""/>
      <w:lvlJc w:val="left"/>
    </w:lvl>
    <w:lvl w:ilvl="5" w:tplc="4F0E60B0">
      <w:numFmt w:val="decimal"/>
      <w:lvlText w:val=""/>
      <w:lvlJc w:val="left"/>
    </w:lvl>
    <w:lvl w:ilvl="6" w:tplc="D96C8FB4">
      <w:numFmt w:val="decimal"/>
      <w:lvlText w:val=""/>
      <w:lvlJc w:val="left"/>
    </w:lvl>
    <w:lvl w:ilvl="7" w:tplc="6054CB08">
      <w:numFmt w:val="decimal"/>
      <w:lvlText w:val=""/>
      <w:lvlJc w:val="left"/>
    </w:lvl>
    <w:lvl w:ilvl="8" w:tplc="A88ED5F4">
      <w:numFmt w:val="decimal"/>
      <w:lvlText w:val=""/>
      <w:lvlJc w:val="left"/>
    </w:lvl>
  </w:abstractNum>
  <w:abstractNum w:abstractNumId="42" w15:restartNumberingAfterBreak="0">
    <w:nsid w:val="034B7EEA"/>
    <w:multiLevelType w:val="hybridMultilevel"/>
    <w:tmpl w:val="3A10FC8E"/>
    <w:lvl w:ilvl="0" w:tplc="6A48C13E">
      <w:start w:val="1"/>
      <w:numFmt w:val="bullet"/>
      <w:lvlText w:val=""/>
      <w:lvlJc w:val="left"/>
      <w:pPr>
        <w:ind w:left="720" w:hanging="180"/>
      </w:pPr>
      <w:rPr>
        <w:rFonts w:ascii="Symbol" w:hAnsi="Symbol" w:hint="default"/>
      </w:rPr>
    </w:lvl>
    <w:lvl w:ilvl="1" w:tplc="DFF8BB1E">
      <w:numFmt w:val="decimal"/>
      <w:lvlText w:val=""/>
      <w:lvlJc w:val="left"/>
    </w:lvl>
    <w:lvl w:ilvl="2" w:tplc="F8FA1954">
      <w:numFmt w:val="decimal"/>
      <w:lvlText w:val=""/>
      <w:lvlJc w:val="left"/>
    </w:lvl>
    <w:lvl w:ilvl="3" w:tplc="F9A00886">
      <w:numFmt w:val="decimal"/>
      <w:lvlText w:val=""/>
      <w:lvlJc w:val="left"/>
    </w:lvl>
    <w:lvl w:ilvl="4" w:tplc="511E7AA4">
      <w:numFmt w:val="decimal"/>
      <w:lvlText w:val=""/>
      <w:lvlJc w:val="left"/>
    </w:lvl>
    <w:lvl w:ilvl="5" w:tplc="6E74C676">
      <w:numFmt w:val="decimal"/>
      <w:lvlText w:val=""/>
      <w:lvlJc w:val="left"/>
    </w:lvl>
    <w:lvl w:ilvl="6" w:tplc="53AE89A2">
      <w:numFmt w:val="decimal"/>
      <w:lvlText w:val=""/>
      <w:lvlJc w:val="left"/>
    </w:lvl>
    <w:lvl w:ilvl="7" w:tplc="A36856DE">
      <w:numFmt w:val="decimal"/>
      <w:lvlText w:val=""/>
      <w:lvlJc w:val="left"/>
    </w:lvl>
    <w:lvl w:ilvl="8" w:tplc="D80ABA72">
      <w:numFmt w:val="decimal"/>
      <w:lvlText w:val=""/>
      <w:lvlJc w:val="left"/>
    </w:lvl>
  </w:abstractNum>
  <w:abstractNum w:abstractNumId="43" w15:restartNumberingAfterBreak="0">
    <w:nsid w:val="035B720B"/>
    <w:multiLevelType w:val="hybridMultilevel"/>
    <w:tmpl w:val="AF48EC2E"/>
    <w:lvl w:ilvl="0" w:tplc="38AA386A">
      <w:start w:val="1"/>
      <w:numFmt w:val="bullet"/>
      <w:lvlText w:val=""/>
      <w:lvlJc w:val="left"/>
      <w:pPr>
        <w:ind w:left="720" w:hanging="180"/>
      </w:pPr>
      <w:rPr>
        <w:rFonts w:ascii="Symbol" w:hAnsi="Symbol" w:hint="default"/>
      </w:rPr>
    </w:lvl>
    <w:lvl w:ilvl="1" w:tplc="9B2A4AB0">
      <w:numFmt w:val="decimal"/>
      <w:lvlText w:val=""/>
      <w:lvlJc w:val="left"/>
    </w:lvl>
    <w:lvl w:ilvl="2" w:tplc="C3F29F4E">
      <w:numFmt w:val="decimal"/>
      <w:lvlText w:val=""/>
      <w:lvlJc w:val="left"/>
    </w:lvl>
    <w:lvl w:ilvl="3" w:tplc="19261BA6">
      <w:numFmt w:val="decimal"/>
      <w:lvlText w:val=""/>
      <w:lvlJc w:val="left"/>
    </w:lvl>
    <w:lvl w:ilvl="4" w:tplc="3522A4C2">
      <w:numFmt w:val="decimal"/>
      <w:lvlText w:val=""/>
      <w:lvlJc w:val="left"/>
    </w:lvl>
    <w:lvl w:ilvl="5" w:tplc="3AA8AB62">
      <w:numFmt w:val="decimal"/>
      <w:lvlText w:val=""/>
      <w:lvlJc w:val="left"/>
    </w:lvl>
    <w:lvl w:ilvl="6" w:tplc="7E0C2DDA">
      <w:numFmt w:val="decimal"/>
      <w:lvlText w:val=""/>
      <w:lvlJc w:val="left"/>
    </w:lvl>
    <w:lvl w:ilvl="7" w:tplc="6450E340">
      <w:numFmt w:val="decimal"/>
      <w:lvlText w:val=""/>
      <w:lvlJc w:val="left"/>
    </w:lvl>
    <w:lvl w:ilvl="8" w:tplc="A5460E12">
      <w:numFmt w:val="decimal"/>
      <w:lvlText w:val=""/>
      <w:lvlJc w:val="left"/>
    </w:lvl>
  </w:abstractNum>
  <w:abstractNum w:abstractNumId="44" w15:restartNumberingAfterBreak="0">
    <w:nsid w:val="035F148D"/>
    <w:multiLevelType w:val="hybridMultilevel"/>
    <w:tmpl w:val="1E4EF3DC"/>
    <w:lvl w:ilvl="0" w:tplc="E12CF8FA">
      <w:start w:val="1"/>
      <w:numFmt w:val="bullet"/>
      <w:lvlText w:val=""/>
      <w:lvlJc w:val="left"/>
      <w:pPr>
        <w:ind w:left="720" w:hanging="180"/>
      </w:pPr>
      <w:rPr>
        <w:rFonts w:ascii="Symbol" w:hAnsi="Symbol" w:hint="default"/>
      </w:rPr>
    </w:lvl>
    <w:lvl w:ilvl="1" w:tplc="599638E6">
      <w:numFmt w:val="decimal"/>
      <w:lvlText w:val=""/>
      <w:lvlJc w:val="left"/>
    </w:lvl>
    <w:lvl w:ilvl="2" w:tplc="1862DD64">
      <w:numFmt w:val="decimal"/>
      <w:lvlText w:val=""/>
      <w:lvlJc w:val="left"/>
    </w:lvl>
    <w:lvl w:ilvl="3" w:tplc="08EC84BE">
      <w:numFmt w:val="decimal"/>
      <w:lvlText w:val=""/>
      <w:lvlJc w:val="left"/>
    </w:lvl>
    <w:lvl w:ilvl="4" w:tplc="CC4E797A">
      <w:numFmt w:val="decimal"/>
      <w:lvlText w:val=""/>
      <w:lvlJc w:val="left"/>
    </w:lvl>
    <w:lvl w:ilvl="5" w:tplc="DA1C121E">
      <w:numFmt w:val="decimal"/>
      <w:lvlText w:val=""/>
      <w:lvlJc w:val="left"/>
    </w:lvl>
    <w:lvl w:ilvl="6" w:tplc="56BC04FA">
      <w:numFmt w:val="decimal"/>
      <w:lvlText w:val=""/>
      <w:lvlJc w:val="left"/>
    </w:lvl>
    <w:lvl w:ilvl="7" w:tplc="36222998">
      <w:numFmt w:val="decimal"/>
      <w:lvlText w:val=""/>
      <w:lvlJc w:val="left"/>
    </w:lvl>
    <w:lvl w:ilvl="8" w:tplc="01CAEA28">
      <w:numFmt w:val="decimal"/>
      <w:lvlText w:val=""/>
      <w:lvlJc w:val="left"/>
    </w:lvl>
  </w:abstractNum>
  <w:abstractNum w:abstractNumId="45" w15:restartNumberingAfterBreak="0">
    <w:nsid w:val="035F7299"/>
    <w:multiLevelType w:val="hybridMultilevel"/>
    <w:tmpl w:val="60A63A3A"/>
    <w:lvl w:ilvl="0" w:tplc="4B28B8EA">
      <w:start w:val="1"/>
      <w:numFmt w:val="bullet"/>
      <w:lvlText w:val=""/>
      <w:lvlJc w:val="left"/>
      <w:pPr>
        <w:ind w:left="720" w:hanging="180"/>
      </w:pPr>
      <w:rPr>
        <w:rFonts w:ascii="Symbol" w:hAnsi="Symbol" w:hint="default"/>
      </w:rPr>
    </w:lvl>
    <w:lvl w:ilvl="1" w:tplc="98A8E800">
      <w:numFmt w:val="decimal"/>
      <w:lvlText w:val=""/>
      <w:lvlJc w:val="left"/>
    </w:lvl>
    <w:lvl w:ilvl="2" w:tplc="025265AA">
      <w:numFmt w:val="decimal"/>
      <w:lvlText w:val=""/>
      <w:lvlJc w:val="left"/>
    </w:lvl>
    <w:lvl w:ilvl="3" w:tplc="87E62A6A">
      <w:numFmt w:val="decimal"/>
      <w:lvlText w:val=""/>
      <w:lvlJc w:val="left"/>
    </w:lvl>
    <w:lvl w:ilvl="4" w:tplc="7B38A758">
      <w:numFmt w:val="decimal"/>
      <w:lvlText w:val=""/>
      <w:lvlJc w:val="left"/>
    </w:lvl>
    <w:lvl w:ilvl="5" w:tplc="8998F53E">
      <w:numFmt w:val="decimal"/>
      <w:lvlText w:val=""/>
      <w:lvlJc w:val="left"/>
    </w:lvl>
    <w:lvl w:ilvl="6" w:tplc="012A27B8">
      <w:numFmt w:val="decimal"/>
      <w:lvlText w:val=""/>
      <w:lvlJc w:val="left"/>
    </w:lvl>
    <w:lvl w:ilvl="7" w:tplc="3DE6181C">
      <w:numFmt w:val="decimal"/>
      <w:lvlText w:val=""/>
      <w:lvlJc w:val="left"/>
    </w:lvl>
    <w:lvl w:ilvl="8" w:tplc="499AEA6C">
      <w:numFmt w:val="decimal"/>
      <w:lvlText w:val=""/>
      <w:lvlJc w:val="left"/>
    </w:lvl>
  </w:abstractNum>
  <w:abstractNum w:abstractNumId="46" w15:restartNumberingAfterBreak="0">
    <w:nsid w:val="03656FBC"/>
    <w:multiLevelType w:val="hybridMultilevel"/>
    <w:tmpl w:val="AA9EDBC4"/>
    <w:lvl w:ilvl="0" w:tplc="A82E6688">
      <w:start w:val="1"/>
      <w:numFmt w:val="bullet"/>
      <w:lvlText w:val=""/>
      <w:lvlJc w:val="left"/>
      <w:pPr>
        <w:ind w:left="720" w:hanging="180"/>
      </w:pPr>
      <w:rPr>
        <w:rFonts w:ascii="Symbol" w:hAnsi="Symbol" w:hint="default"/>
      </w:rPr>
    </w:lvl>
    <w:lvl w:ilvl="1" w:tplc="EBA00A98">
      <w:numFmt w:val="decimal"/>
      <w:lvlText w:val=""/>
      <w:lvlJc w:val="left"/>
    </w:lvl>
    <w:lvl w:ilvl="2" w:tplc="AB2EA58A">
      <w:numFmt w:val="decimal"/>
      <w:lvlText w:val=""/>
      <w:lvlJc w:val="left"/>
    </w:lvl>
    <w:lvl w:ilvl="3" w:tplc="18A26C5C">
      <w:numFmt w:val="decimal"/>
      <w:lvlText w:val=""/>
      <w:lvlJc w:val="left"/>
    </w:lvl>
    <w:lvl w:ilvl="4" w:tplc="719844D4">
      <w:numFmt w:val="decimal"/>
      <w:lvlText w:val=""/>
      <w:lvlJc w:val="left"/>
    </w:lvl>
    <w:lvl w:ilvl="5" w:tplc="F6B085B4">
      <w:numFmt w:val="decimal"/>
      <w:lvlText w:val=""/>
      <w:lvlJc w:val="left"/>
    </w:lvl>
    <w:lvl w:ilvl="6" w:tplc="F304880C">
      <w:numFmt w:val="decimal"/>
      <w:lvlText w:val=""/>
      <w:lvlJc w:val="left"/>
    </w:lvl>
    <w:lvl w:ilvl="7" w:tplc="C616C7CC">
      <w:numFmt w:val="decimal"/>
      <w:lvlText w:val=""/>
      <w:lvlJc w:val="left"/>
    </w:lvl>
    <w:lvl w:ilvl="8" w:tplc="6CB86112">
      <w:numFmt w:val="decimal"/>
      <w:lvlText w:val=""/>
      <w:lvlJc w:val="left"/>
    </w:lvl>
  </w:abstractNum>
  <w:abstractNum w:abstractNumId="47" w15:restartNumberingAfterBreak="0">
    <w:nsid w:val="03771FC8"/>
    <w:multiLevelType w:val="hybridMultilevel"/>
    <w:tmpl w:val="E9B45FA6"/>
    <w:lvl w:ilvl="0" w:tplc="C78E0D74">
      <w:start w:val="1"/>
      <w:numFmt w:val="bullet"/>
      <w:lvlText w:val=""/>
      <w:lvlJc w:val="left"/>
      <w:pPr>
        <w:ind w:left="720" w:hanging="180"/>
      </w:pPr>
      <w:rPr>
        <w:rFonts w:ascii="Symbol" w:hAnsi="Symbol" w:hint="default"/>
      </w:rPr>
    </w:lvl>
    <w:lvl w:ilvl="1" w:tplc="9356BCF6">
      <w:numFmt w:val="decimal"/>
      <w:lvlText w:val=""/>
      <w:lvlJc w:val="left"/>
    </w:lvl>
    <w:lvl w:ilvl="2" w:tplc="C568A588">
      <w:numFmt w:val="decimal"/>
      <w:lvlText w:val=""/>
      <w:lvlJc w:val="left"/>
    </w:lvl>
    <w:lvl w:ilvl="3" w:tplc="D0BEA556">
      <w:numFmt w:val="decimal"/>
      <w:lvlText w:val=""/>
      <w:lvlJc w:val="left"/>
    </w:lvl>
    <w:lvl w:ilvl="4" w:tplc="6B10E3A6">
      <w:numFmt w:val="decimal"/>
      <w:lvlText w:val=""/>
      <w:lvlJc w:val="left"/>
    </w:lvl>
    <w:lvl w:ilvl="5" w:tplc="0EA67078">
      <w:numFmt w:val="decimal"/>
      <w:lvlText w:val=""/>
      <w:lvlJc w:val="left"/>
    </w:lvl>
    <w:lvl w:ilvl="6" w:tplc="29ECA828">
      <w:numFmt w:val="decimal"/>
      <w:lvlText w:val=""/>
      <w:lvlJc w:val="left"/>
    </w:lvl>
    <w:lvl w:ilvl="7" w:tplc="7D941D48">
      <w:numFmt w:val="decimal"/>
      <w:lvlText w:val=""/>
      <w:lvlJc w:val="left"/>
    </w:lvl>
    <w:lvl w:ilvl="8" w:tplc="AE102774">
      <w:numFmt w:val="decimal"/>
      <w:lvlText w:val=""/>
      <w:lvlJc w:val="left"/>
    </w:lvl>
  </w:abstractNum>
  <w:abstractNum w:abstractNumId="48" w15:restartNumberingAfterBreak="0">
    <w:nsid w:val="03795628"/>
    <w:multiLevelType w:val="hybridMultilevel"/>
    <w:tmpl w:val="025A8EDC"/>
    <w:lvl w:ilvl="0" w:tplc="1660A412">
      <w:start w:val="1"/>
      <w:numFmt w:val="bullet"/>
      <w:lvlText w:val=""/>
      <w:lvlJc w:val="left"/>
      <w:pPr>
        <w:ind w:left="720" w:hanging="180"/>
      </w:pPr>
      <w:rPr>
        <w:rFonts w:ascii="Symbol" w:hAnsi="Symbol" w:hint="default"/>
      </w:rPr>
    </w:lvl>
    <w:lvl w:ilvl="1" w:tplc="CAFE1828">
      <w:numFmt w:val="decimal"/>
      <w:lvlText w:val=""/>
      <w:lvlJc w:val="left"/>
    </w:lvl>
    <w:lvl w:ilvl="2" w:tplc="19FE68EA">
      <w:numFmt w:val="decimal"/>
      <w:lvlText w:val=""/>
      <w:lvlJc w:val="left"/>
    </w:lvl>
    <w:lvl w:ilvl="3" w:tplc="300EECF8">
      <w:numFmt w:val="decimal"/>
      <w:lvlText w:val=""/>
      <w:lvlJc w:val="left"/>
    </w:lvl>
    <w:lvl w:ilvl="4" w:tplc="6D90B5DE">
      <w:numFmt w:val="decimal"/>
      <w:lvlText w:val=""/>
      <w:lvlJc w:val="left"/>
    </w:lvl>
    <w:lvl w:ilvl="5" w:tplc="9CF29AC2">
      <w:numFmt w:val="decimal"/>
      <w:lvlText w:val=""/>
      <w:lvlJc w:val="left"/>
    </w:lvl>
    <w:lvl w:ilvl="6" w:tplc="746A7732">
      <w:numFmt w:val="decimal"/>
      <w:lvlText w:val=""/>
      <w:lvlJc w:val="left"/>
    </w:lvl>
    <w:lvl w:ilvl="7" w:tplc="58DEAC28">
      <w:numFmt w:val="decimal"/>
      <w:lvlText w:val=""/>
      <w:lvlJc w:val="left"/>
    </w:lvl>
    <w:lvl w:ilvl="8" w:tplc="1D640C30">
      <w:numFmt w:val="decimal"/>
      <w:lvlText w:val=""/>
      <w:lvlJc w:val="left"/>
    </w:lvl>
  </w:abstractNum>
  <w:abstractNum w:abstractNumId="49" w15:restartNumberingAfterBreak="0">
    <w:nsid w:val="03A0539C"/>
    <w:multiLevelType w:val="hybridMultilevel"/>
    <w:tmpl w:val="9180797C"/>
    <w:lvl w:ilvl="0" w:tplc="1D165E84">
      <w:start w:val="1"/>
      <w:numFmt w:val="bullet"/>
      <w:lvlText w:val=""/>
      <w:lvlJc w:val="left"/>
      <w:pPr>
        <w:ind w:left="720" w:hanging="180"/>
      </w:pPr>
      <w:rPr>
        <w:rFonts w:ascii="Symbol" w:hAnsi="Symbol" w:hint="default"/>
      </w:rPr>
    </w:lvl>
    <w:lvl w:ilvl="1" w:tplc="4DF0427E">
      <w:numFmt w:val="decimal"/>
      <w:lvlText w:val=""/>
      <w:lvlJc w:val="left"/>
    </w:lvl>
    <w:lvl w:ilvl="2" w:tplc="58425054">
      <w:numFmt w:val="decimal"/>
      <w:lvlText w:val=""/>
      <w:lvlJc w:val="left"/>
    </w:lvl>
    <w:lvl w:ilvl="3" w:tplc="00BA37CC">
      <w:numFmt w:val="decimal"/>
      <w:lvlText w:val=""/>
      <w:lvlJc w:val="left"/>
    </w:lvl>
    <w:lvl w:ilvl="4" w:tplc="0030784E">
      <w:numFmt w:val="decimal"/>
      <w:lvlText w:val=""/>
      <w:lvlJc w:val="left"/>
    </w:lvl>
    <w:lvl w:ilvl="5" w:tplc="D688CA1E">
      <w:numFmt w:val="decimal"/>
      <w:lvlText w:val=""/>
      <w:lvlJc w:val="left"/>
    </w:lvl>
    <w:lvl w:ilvl="6" w:tplc="9AECEAA4">
      <w:numFmt w:val="decimal"/>
      <w:lvlText w:val=""/>
      <w:lvlJc w:val="left"/>
    </w:lvl>
    <w:lvl w:ilvl="7" w:tplc="26D64938">
      <w:numFmt w:val="decimal"/>
      <w:lvlText w:val=""/>
      <w:lvlJc w:val="left"/>
    </w:lvl>
    <w:lvl w:ilvl="8" w:tplc="360030F2">
      <w:numFmt w:val="decimal"/>
      <w:lvlText w:val=""/>
      <w:lvlJc w:val="left"/>
    </w:lvl>
  </w:abstractNum>
  <w:abstractNum w:abstractNumId="50" w15:restartNumberingAfterBreak="0">
    <w:nsid w:val="03AA3E96"/>
    <w:multiLevelType w:val="hybridMultilevel"/>
    <w:tmpl w:val="95F2CF54"/>
    <w:lvl w:ilvl="0" w:tplc="3FECB268">
      <w:start w:val="1"/>
      <w:numFmt w:val="bullet"/>
      <w:lvlText w:val=""/>
      <w:lvlJc w:val="left"/>
      <w:pPr>
        <w:ind w:left="720" w:hanging="180"/>
      </w:pPr>
      <w:rPr>
        <w:rFonts w:ascii="Symbol" w:hAnsi="Symbol" w:hint="default"/>
      </w:rPr>
    </w:lvl>
    <w:lvl w:ilvl="1" w:tplc="F1062FCC">
      <w:numFmt w:val="decimal"/>
      <w:lvlText w:val=""/>
      <w:lvlJc w:val="left"/>
    </w:lvl>
    <w:lvl w:ilvl="2" w:tplc="EA72BD58">
      <w:numFmt w:val="decimal"/>
      <w:lvlText w:val=""/>
      <w:lvlJc w:val="left"/>
    </w:lvl>
    <w:lvl w:ilvl="3" w:tplc="5498E350">
      <w:numFmt w:val="decimal"/>
      <w:lvlText w:val=""/>
      <w:lvlJc w:val="left"/>
    </w:lvl>
    <w:lvl w:ilvl="4" w:tplc="326A905C">
      <w:numFmt w:val="decimal"/>
      <w:lvlText w:val=""/>
      <w:lvlJc w:val="left"/>
    </w:lvl>
    <w:lvl w:ilvl="5" w:tplc="AFDAEE4E">
      <w:numFmt w:val="decimal"/>
      <w:lvlText w:val=""/>
      <w:lvlJc w:val="left"/>
    </w:lvl>
    <w:lvl w:ilvl="6" w:tplc="BA18DE68">
      <w:numFmt w:val="decimal"/>
      <w:lvlText w:val=""/>
      <w:lvlJc w:val="left"/>
    </w:lvl>
    <w:lvl w:ilvl="7" w:tplc="CC824FB2">
      <w:numFmt w:val="decimal"/>
      <w:lvlText w:val=""/>
      <w:lvlJc w:val="left"/>
    </w:lvl>
    <w:lvl w:ilvl="8" w:tplc="F66C49F0">
      <w:numFmt w:val="decimal"/>
      <w:lvlText w:val=""/>
      <w:lvlJc w:val="left"/>
    </w:lvl>
  </w:abstractNum>
  <w:abstractNum w:abstractNumId="51" w15:restartNumberingAfterBreak="0">
    <w:nsid w:val="03B31001"/>
    <w:multiLevelType w:val="hybridMultilevel"/>
    <w:tmpl w:val="65AAA404"/>
    <w:lvl w:ilvl="0" w:tplc="9A309AFA">
      <w:start w:val="1"/>
      <w:numFmt w:val="bullet"/>
      <w:lvlText w:val=""/>
      <w:lvlJc w:val="left"/>
      <w:pPr>
        <w:ind w:left="720" w:hanging="180"/>
      </w:pPr>
      <w:rPr>
        <w:rFonts w:ascii="Symbol" w:hAnsi="Symbol" w:hint="default"/>
      </w:rPr>
    </w:lvl>
    <w:lvl w:ilvl="1" w:tplc="126AEBB6">
      <w:numFmt w:val="decimal"/>
      <w:lvlText w:val=""/>
      <w:lvlJc w:val="left"/>
    </w:lvl>
    <w:lvl w:ilvl="2" w:tplc="54661FD2">
      <w:numFmt w:val="decimal"/>
      <w:lvlText w:val=""/>
      <w:lvlJc w:val="left"/>
    </w:lvl>
    <w:lvl w:ilvl="3" w:tplc="2F24EB4E">
      <w:numFmt w:val="decimal"/>
      <w:lvlText w:val=""/>
      <w:lvlJc w:val="left"/>
    </w:lvl>
    <w:lvl w:ilvl="4" w:tplc="D3086F26">
      <w:numFmt w:val="decimal"/>
      <w:lvlText w:val=""/>
      <w:lvlJc w:val="left"/>
    </w:lvl>
    <w:lvl w:ilvl="5" w:tplc="93D25DA2">
      <w:numFmt w:val="decimal"/>
      <w:lvlText w:val=""/>
      <w:lvlJc w:val="left"/>
    </w:lvl>
    <w:lvl w:ilvl="6" w:tplc="70EA2680">
      <w:numFmt w:val="decimal"/>
      <w:lvlText w:val=""/>
      <w:lvlJc w:val="left"/>
    </w:lvl>
    <w:lvl w:ilvl="7" w:tplc="3FEA4AC6">
      <w:numFmt w:val="decimal"/>
      <w:lvlText w:val=""/>
      <w:lvlJc w:val="left"/>
    </w:lvl>
    <w:lvl w:ilvl="8" w:tplc="E340A618">
      <w:numFmt w:val="decimal"/>
      <w:lvlText w:val=""/>
      <w:lvlJc w:val="left"/>
    </w:lvl>
  </w:abstractNum>
  <w:abstractNum w:abstractNumId="52" w15:restartNumberingAfterBreak="0">
    <w:nsid w:val="03CF4D24"/>
    <w:multiLevelType w:val="hybridMultilevel"/>
    <w:tmpl w:val="2782F446"/>
    <w:lvl w:ilvl="0" w:tplc="B2D2CC1E">
      <w:start w:val="1"/>
      <w:numFmt w:val="bullet"/>
      <w:lvlText w:val=""/>
      <w:lvlJc w:val="left"/>
      <w:pPr>
        <w:ind w:left="720" w:hanging="180"/>
      </w:pPr>
      <w:rPr>
        <w:rFonts w:ascii="Symbol" w:hAnsi="Symbol" w:hint="default"/>
      </w:rPr>
    </w:lvl>
    <w:lvl w:ilvl="1" w:tplc="1E10A540">
      <w:numFmt w:val="decimal"/>
      <w:lvlText w:val=""/>
      <w:lvlJc w:val="left"/>
    </w:lvl>
    <w:lvl w:ilvl="2" w:tplc="0928B36A">
      <w:numFmt w:val="decimal"/>
      <w:lvlText w:val=""/>
      <w:lvlJc w:val="left"/>
    </w:lvl>
    <w:lvl w:ilvl="3" w:tplc="6ED8BA0E">
      <w:numFmt w:val="decimal"/>
      <w:lvlText w:val=""/>
      <w:lvlJc w:val="left"/>
    </w:lvl>
    <w:lvl w:ilvl="4" w:tplc="4AAE5C6C">
      <w:numFmt w:val="decimal"/>
      <w:lvlText w:val=""/>
      <w:lvlJc w:val="left"/>
    </w:lvl>
    <w:lvl w:ilvl="5" w:tplc="1F7427E0">
      <w:numFmt w:val="decimal"/>
      <w:lvlText w:val=""/>
      <w:lvlJc w:val="left"/>
    </w:lvl>
    <w:lvl w:ilvl="6" w:tplc="4202CC46">
      <w:numFmt w:val="decimal"/>
      <w:lvlText w:val=""/>
      <w:lvlJc w:val="left"/>
    </w:lvl>
    <w:lvl w:ilvl="7" w:tplc="34AADC12">
      <w:numFmt w:val="decimal"/>
      <w:lvlText w:val=""/>
      <w:lvlJc w:val="left"/>
    </w:lvl>
    <w:lvl w:ilvl="8" w:tplc="62DE646E">
      <w:numFmt w:val="decimal"/>
      <w:lvlText w:val=""/>
      <w:lvlJc w:val="left"/>
    </w:lvl>
  </w:abstractNum>
  <w:abstractNum w:abstractNumId="53" w15:restartNumberingAfterBreak="0">
    <w:nsid w:val="03D232B3"/>
    <w:multiLevelType w:val="hybridMultilevel"/>
    <w:tmpl w:val="910C09DA"/>
    <w:lvl w:ilvl="0" w:tplc="3C34F1C0">
      <w:start w:val="1"/>
      <w:numFmt w:val="bullet"/>
      <w:lvlText w:val=""/>
      <w:lvlJc w:val="left"/>
      <w:pPr>
        <w:ind w:left="720" w:hanging="180"/>
      </w:pPr>
      <w:rPr>
        <w:rFonts w:ascii="Symbol" w:hAnsi="Symbol" w:hint="default"/>
      </w:rPr>
    </w:lvl>
    <w:lvl w:ilvl="1" w:tplc="F0080140">
      <w:numFmt w:val="decimal"/>
      <w:lvlText w:val=""/>
      <w:lvlJc w:val="left"/>
    </w:lvl>
    <w:lvl w:ilvl="2" w:tplc="2E087176">
      <w:numFmt w:val="decimal"/>
      <w:lvlText w:val=""/>
      <w:lvlJc w:val="left"/>
    </w:lvl>
    <w:lvl w:ilvl="3" w:tplc="306E5988">
      <w:numFmt w:val="decimal"/>
      <w:lvlText w:val=""/>
      <w:lvlJc w:val="left"/>
    </w:lvl>
    <w:lvl w:ilvl="4" w:tplc="40848D2A">
      <w:numFmt w:val="decimal"/>
      <w:lvlText w:val=""/>
      <w:lvlJc w:val="left"/>
    </w:lvl>
    <w:lvl w:ilvl="5" w:tplc="16D8CA78">
      <w:numFmt w:val="decimal"/>
      <w:lvlText w:val=""/>
      <w:lvlJc w:val="left"/>
    </w:lvl>
    <w:lvl w:ilvl="6" w:tplc="1BB2D2E6">
      <w:numFmt w:val="decimal"/>
      <w:lvlText w:val=""/>
      <w:lvlJc w:val="left"/>
    </w:lvl>
    <w:lvl w:ilvl="7" w:tplc="56DC9DE4">
      <w:numFmt w:val="decimal"/>
      <w:lvlText w:val=""/>
      <w:lvlJc w:val="left"/>
    </w:lvl>
    <w:lvl w:ilvl="8" w:tplc="A4641E3C">
      <w:numFmt w:val="decimal"/>
      <w:lvlText w:val=""/>
      <w:lvlJc w:val="left"/>
    </w:lvl>
  </w:abstractNum>
  <w:abstractNum w:abstractNumId="54" w15:restartNumberingAfterBreak="0">
    <w:nsid w:val="041959B2"/>
    <w:multiLevelType w:val="hybridMultilevel"/>
    <w:tmpl w:val="8A92A00A"/>
    <w:lvl w:ilvl="0" w:tplc="3488AD10">
      <w:start w:val="1"/>
      <w:numFmt w:val="bullet"/>
      <w:lvlText w:val=""/>
      <w:lvlJc w:val="left"/>
      <w:pPr>
        <w:ind w:left="720" w:hanging="180"/>
      </w:pPr>
      <w:rPr>
        <w:rFonts w:ascii="Symbol" w:hAnsi="Symbol" w:hint="default"/>
      </w:rPr>
    </w:lvl>
    <w:lvl w:ilvl="1" w:tplc="CCD0FC06">
      <w:numFmt w:val="decimal"/>
      <w:lvlText w:val=""/>
      <w:lvlJc w:val="left"/>
    </w:lvl>
    <w:lvl w:ilvl="2" w:tplc="06069770">
      <w:numFmt w:val="decimal"/>
      <w:lvlText w:val=""/>
      <w:lvlJc w:val="left"/>
    </w:lvl>
    <w:lvl w:ilvl="3" w:tplc="29249EB6">
      <w:numFmt w:val="decimal"/>
      <w:lvlText w:val=""/>
      <w:lvlJc w:val="left"/>
    </w:lvl>
    <w:lvl w:ilvl="4" w:tplc="3EC4789A">
      <w:numFmt w:val="decimal"/>
      <w:lvlText w:val=""/>
      <w:lvlJc w:val="left"/>
    </w:lvl>
    <w:lvl w:ilvl="5" w:tplc="4B6AA6BC">
      <w:numFmt w:val="decimal"/>
      <w:lvlText w:val=""/>
      <w:lvlJc w:val="left"/>
    </w:lvl>
    <w:lvl w:ilvl="6" w:tplc="0390F38C">
      <w:numFmt w:val="decimal"/>
      <w:lvlText w:val=""/>
      <w:lvlJc w:val="left"/>
    </w:lvl>
    <w:lvl w:ilvl="7" w:tplc="E9DC2A84">
      <w:numFmt w:val="decimal"/>
      <w:lvlText w:val=""/>
      <w:lvlJc w:val="left"/>
    </w:lvl>
    <w:lvl w:ilvl="8" w:tplc="75AA561C">
      <w:numFmt w:val="decimal"/>
      <w:lvlText w:val=""/>
      <w:lvlJc w:val="left"/>
    </w:lvl>
  </w:abstractNum>
  <w:abstractNum w:abstractNumId="55" w15:restartNumberingAfterBreak="0">
    <w:nsid w:val="04432813"/>
    <w:multiLevelType w:val="hybridMultilevel"/>
    <w:tmpl w:val="3AA41C84"/>
    <w:lvl w:ilvl="0" w:tplc="7CB24C40">
      <w:start w:val="1"/>
      <w:numFmt w:val="bullet"/>
      <w:lvlText w:val=""/>
      <w:lvlJc w:val="left"/>
      <w:pPr>
        <w:ind w:left="720" w:hanging="180"/>
      </w:pPr>
      <w:rPr>
        <w:rFonts w:ascii="Symbol" w:hAnsi="Symbol" w:hint="default"/>
      </w:rPr>
    </w:lvl>
    <w:lvl w:ilvl="1" w:tplc="BA640042">
      <w:numFmt w:val="decimal"/>
      <w:lvlText w:val=""/>
      <w:lvlJc w:val="left"/>
    </w:lvl>
    <w:lvl w:ilvl="2" w:tplc="38322074">
      <w:numFmt w:val="decimal"/>
      <w:lvlText w:val=""/>
      <w:lvlJc w:val="left"/>
    </w:lvl>
    <w:lvl w:ilvl="3" w:tplc="8A7634D0">
      <w:numFmt w:val="decimal"/>
      <w:lvlText w:val=""/>
      <w:lvlJc w:val="left"/>
    </w:lvl>
    <w:lvl w:ilvl="4" w:tplc="724C4DFE">
      <w:numFmt w:val="decimal"/>
      <w:lvlText w:val=""/>
      <w:lvlJc w:val="left"/>
    </w:lvl>
    <w:lvl w:ilvl="5" w:tplc="62527EA2">
      <w:numFmt w:val="decimal"/>
      <w:lvlText w:val=""/>
      <w:lvlJc w:val="left"/>
    </w:lvl>
    <w:lvl w:ilvl="6" w:tplc="83BC6852">
      <w:numFmt w:val="decimal"/>
      <w:lvlText w:val=""/>
      <w:lvlJc w:val="left"/>
    </w:lvl>
    <w:lvl w:ilvl="7" w:tplc="8472A4B4">
      <w:numFmt w:val="decimal"/>
      <w:lvlText w:val=""/>
      <w:lvlJc w:val="left"/>
    </w:lvl>
    <w:lvl w:ilvl="8" w:tplc="383EF6EE">
      <w:numFmt w:val="decimal"/>
      <w:lvlText w:val=""/>
      <w:lvlJc w:val="left"/>
    </w:lvl>
  </w:abstractNum>
  <w:abstractNum w:abstractNumId="56" w15:restartNumberingAfterBreak="0">
    <w:nsid w:val="045F67A6"/>
    <w:multiLevelType w:val="hybridMultilevel"/>
    <w:tmpl w:val="2BF850CA"/>
    <w:lvl w:ilvl="0" w:tplc="CC08DA98">
      <w:start w:val="1"/>
      <w:numFmt w:val="bullet"/>
      <w:lvlText w:val=""/>
      <w:lvlJc w:val="left"/>
      <w:pPr>
        <w:ind w:left="720" w:hanging="180"/>
      </w:pPr>
      <w:rPr>
        <w:rFonts w:ascii="Symbol" w:hAnsi="Symbol" w:hint="default"/>
      </w:rPr>
    </w:lvl>
    <w:lvl w:ilvl="1" w:tplc="99E43DCC">
      <w:numFmt w:val="decimal"/>
      <w:lvlText w:val=""/>
      <w:lvlJc w:val="left"/>
    </w:lvl>
    <w:lvl w:ilvl="2" w:tplc="09BCB162">
      <w:numFmt w:val="decimal"/>
      <w:lvlText w:val=""/>
      <w:lvlJc w:val="left"/>
    </w:lvl>
    <w:lvl w:ilvl="3" w:tplc="AE8247AA">
      <w:numFmt w:val="decimal"/>
      <w:lvlText w:val=""/>
      <w:lvlJc w:val="left"/>
    </w:lvl>
    <w:lvl w:ilvl="4" w:tplc="9F228840">
      <w:numFmt w:val="decimal"/>
      <w:lvlText w:val=""/>
      <w:lvlJc w:val="left"/>
    </w:lvl>
    <w:lvl w:ilvl="5" w:tplc="705CD9C2">
      <w:numFmt w:val="decimal"/>
      <w:lvlText w:val=""/>
      <w:lvlJc w:val="left"/>
    </w:lvl>
    <w:lvl w:ilvl="6" w:tplc="97F2854C">
      <w:numFmt w:val="decimal"/>
      <w:lvlText w:val=""/>
      <w:lvlJc w:val="left"/>
    </w:lvl>
    <w:lvl w:ilvl="7" w:tplc="552A8DDC">
      <w:numFmt w:val="decimal"/>
      <w:lvlText w:val=""/>
      <w:lvlJc w:val="left"/>
    </w:lvl>
    <w:lvl w:ilvl="8" w:tplc="A800B5B6">
      <w:numFmt w:val="decimal"/>
      <w:lvlText w:val=""/>
      <w:lvlJc w:val="left"/>
    </w:lvl>
  </w:abstractNum>
  <w:abstractNum w:abstractNumId="57" w15:restartNumberingAfterBreak="0">
    <w:nsid w:val="04600E2D"/>
    <w:multiLevelType w:val="hybridMultilevel"/>
    <w:tmpl w:val="070E1842"/>
    <w:lvl w:ilvl="0" w:tplc="E824497E">
      <w:start w:val="1"/>
      <w:numFmt w:val="bullet"/>
      <w:lvlText w:val=""/>
      <w:lvlJc w:val="left"/>
      <w:pPr>
        <w:ind w:left="720" w:hanging="180"/>
      </w:pPr>
      <w:rPr>
        <w:rFonts w:ascii="Symbol" w:hAnsi="Symbol" w:hint="default"/>
      </w:rPr>
    </w:lvl>
    <w:lvl w:ilvl="1" w:tplc="E7B47DD8">
      <w:numFmt w:val="decimal"/>
      <w:lvlText w:val=""/>
      <w:lvlJc w:val="left"/>
    </w:lvl>
    <w:lvl w:ilvl="2" w:tplc="60E48F4E">
      <w:numFmt w:val="decimal"/>
      <w:lvlText w:val=""/>
      <w:lvlJc w:val="left"/>
    </w:lvl>
    <w:lvl w:ilvl="3" w:tplc="3AF6675C">
      <w:numFmt w:val="decimal"/>
      <w:lvlText w:val=""/>
      <w:lvlJc w:val="left"/>
    </w:lvl>
    <w:lvl w:ilvl="4" w:tplc="CCCA1C6A">
      <w:numFmt w:val="decimal"/>
      <w:lvlText w:val=""/>
      <w:lvlJc w:val="left"/>
    </w:lvl>
    <w:lvl w:ilvl="5" w:tplc="6F103984">
      <w:numFmt w:val="decimal"/>
      <w:lvlText w:val=""/>
      <w:lvlJc w:val="left"/>
    </w:lvl>
    <w:lvl w:ilvl="6" w:tplc="097091AC">
      <w:numFmt w:val="decimal"/>
      <w:lvlText w:val=""/>
      <w:lvlJc w:val="left"/>
    </w:lvl>
    <w:lvl w:ilvl="7" w:tplc="1F02D142">
      <w:numFmt w:val="decimal"/>
      <w:lvlText w:val=""/>
      <w:lvlJc w:val="left"/>
    </w:lvl>
    <w:lvl w:ilvl="8" w:tplc="722EA722">
      <w:numFmt w:val="decimal"/>
      <w:lvlText w:val=""/>
      <w:lvlJc w:val="left"/>
    </w:lvl>
  </w:abstractNum>
  <w:abstractNum w:abstractNumId="58" w15:restartNumberingAfterBreak="0">
    <w:nsid w:val="04776A53"/>
    <w:multiLevelType w:val="hybridMultilevel"/>
    <w:tmpl w:val="82FA4866"/>
    <w:lvl w:ilvl="0" w:tplc="04F691C0">
      <w:start w:val="1"/>
      <w:numFmt w:val="bullet"/>
      <w:lvlText w:val=""/>
      <w:lvlJc w:val="left"/>
      <w:pPr>
        <w:ind w:left="720" w:hanging="180"/>
      </w:pPr>
      <w:rPr>
        <w:rFonts w:ascii="Symbol" w:hAnsi="Symbol" w:hint="default"/>
      </w:rPr>
    </w:lvl>
    <w:lvl w:ilvl="1" w:tplc="10DC237C">
      <w:numFmt w:val="decimal"/>
      <w:lvlText w:val=""/>
      <w:lvlJc w:val="left"/>
    </w:lvl>
    <w:lvl w:ilvl="2" w:tplc="A3789F9A">
      <w:numFmt w:val="decimal"/>
      <w:lvlText w:val=""/>
      <w:lvlJc w:val="left"/>
    </w:lvl>
    <w:lvl w:ilvl="3" w:tplc="3D94D7BC">
      <w:numFmt w:val="decimal"/>
      <w:lvlText w:val=""/>
      <w:lvlJc w:val="left"/>
    </w:lvl>
    <w:lvl w:ilvl="4" w:tplc="EA6256CA">
      <w:numFmt w:val="decimal"/>
      <w:lvlText w:val=""/>
      <w:lvlJc w:val="left"/>
    </w:lvl>
    <w:lvl w:ilvl="5" w:tplc="E7E03074">
      <w:numFmt w:val="decimal"/>
      <w:lvlText w:val=""/>
      <w:lvlJc w:val="left"/>
    </w:lvl>
    <w:lvl w:ilvl="6" w:tplc="20B2AA2E">
      <w:numFmt w:val="decimal"/>
      <w:lvlText w:val=""/>
      <w:lvlJc w:val="left"/>
    </w:lvl>
    <w:lvl w:ilvl="7" w:tplc="4534715C">
      <w:numFmt w:val="decimal"/>
      <w:lvlText w:val=""/>
      <w:lvlJc w:val="left"/>
    </w:lvl>
    <w:lvl w:ilvl="8" w:tplc="306E6B58">
      <w:numFmt w:val="decimal"/>
      <w:lvlText w:val=""/>
      <w:lvlJc w:val="left"/>
    </w:lvl>
  </w:abstractNum>
  <w:abstractNum w:abstractNumId="59" w15:restartNumberingAfterBreak="0">
    <w:nsid w:val="047E12C3"/>
    <w:multiLevelType w:val="hybridMultilevel"/>
    <w:tmpl w:val="C7162FC4"/>
    <w:lvl w:ilvl="0" w:tplc="C54A6560">
      <w:start w:val="1"/>
      <w:numFmt w:val="bullet"/>
      <w:lvlText w:val=""/>
      <w:lvlJc w:val="left"/>
      <w:pPr>
        <w:ind w:left="720" w:hanging="180"/>
      </w:pPr>
      <w:rPr>
        <w:rFonts w:ascii="Symbol" w:hAnsi="Symbol" w:hint="default"/>
      </w:rPr>
    </w:lvl>
    <w:lvl w:ilvl="1" w:tplc="B36A9BAA">
      <w:numFmt w:val="decimal"/>
      <w:lvlText w:val=""/>
      <w:lvlJc w:val="left"/>
    </w:lvl>
    <w:lvl w:ilvl="2" w:tplc="3B6AC4AC">
      <w:numFmt w:val="decimal"/>
      <w:lvlText w:val=""/>
      <w:lvlJc w:val="left"/>
    </w:lvl>
    <w:lvl w:ilvl="3" w:tplc="6DEA3E60">
      <w:numFmt w:val="decimal"/>
      <w:lvlText w:val=""/>
      <w:lvlJc w:val="left"/>
    </w:lvl>
    <w:lvl w:ilvl="4" w:tplc="663EF072">
      <w:numFmt w:val="decimal"/>
      <w:lvlText w:val=""/>
      <w:lvlJc w:val="left"/>
    </w:lvl>
    <w:lvl w:ilvl="5" w:tplc="D26E6344">
      <w:numFmt w:val="decimal"/>
      <w:lvlText w:val=""/>
      <w:lvlJc w:val="left"/>
    </w:lvl>
    <w:lvl w:ilvl="6" w:tplc="8B581A06">
      <w:numFmt w:val="decimal"/>
      <w:lvlText w:val=""/>
      <w:lvlJc w:val="left"/>
    </w:lvl>
    <w:lvl w:ilvl="7" w:tplc="C582818E">
      <w:numFmt w:val="decimal"/>
      <w:lvlText w:val=""/>
      <w:lvlJc w:val="left"/>
    </w:lvl>
    <w:lvl w:ilvl="8" w:tplc="A7C01230">
      <w:numFmt w:val="decimal"/>
      <w:lvlText w:val=""/>
      <w:lvlJc w:val="left"/>
    </w:lvl>
  </w:abstractNum>
  <w:abstractNum w:abstractNumId="60" w15:restartNumberingAfterBreak="0">
    <w:nsid w:val="048170EE"/>
    <w:multiLevelType w:val="hybridMultilevel"/>
    <w:tmpl w:val="3B60447E"/>
    <w:lvl w:ilvl="0" w:tplc="19C29B08">
      <w:start w:val="1"/>
      <w:numFmt w:val="bullet"/>
      <w:lvlText w:val=""/>
      <w:lvlJc w:val="left"/>
      <w:pPr>
        <w:ind w:left="720" w:hanging="180"/>
      </w:pPr>
      <w:rPr>
        <w:rFonts w:ascii="Symbol" w:hAnsi="Symbol" w:hint="default"/>
      </w:rPr>
    </w:lvl>
    <w:lvl w:ilvl="1" w:tplc="FDAA14E2">
      <w:numFmt w:val="decimal"/>
      <w:lvlText w:val=""/>
      <w:lvlJc w:val="left"/>
    </w:lvl>
    <w:lvl w:ilvl="2" w:tplc="8FB6CA6A">
      <w:numFmt w:val="decimal"/>
      <w:lvlText w:val=""/>
      <w:lvlJc w:val="left"/>
    </w:lvl>
    <w:lvl w:ilvl="3" w:tplc="BCEEAF2C">
      <w:numFmt w:val="decimal"/>
      <w:lvlText w:val=""/>
      <w:lvlJc w:val="left"/>
    </w:lvl>
    <w:lvl w:ilvl="4" w:tplc="A9FE2A92">
      <w:numFmt w:val="decimal"/>
      <w:lvlText w:val=""/>
      <w:lvlJc w:val="left"/>
    </w:lvl>
    <w:lvl w:ilvl="5" w:tplc="93B04910">
      <w:numFmt w:val="decimal"/>
      <w:lvlText w:val=""/>
      <w:lvlJc w:val="left"/>
    </w:lvl>
    <w:lvl w:ilvl="6" w:tplc="70FCD202">
      <w:numFmt w:val="decimal"/>
      <w:lvlText w:val=""/>
      <w:lvlJc w:val="left"/>
    </w:lvl>
    <w:lvl w:ilvl="7" w:tplc="3E48BB7C">
      <w:numFmt w:val="decimal"/>
      <w:lvlText w:val=""/>
      <w:lvlJc w:val="left"/>
    </w:lvl>
    <w:lvl w:ilvl="8" w:tplc="F490B8A4">
      <w:numFmt w:val="decimal"/>
      <w:lvlText w:val=""/>
      <w:lvlJc w:val="left"/>
    </w:lvl>
  </w:abstractNum>
  <w:abstractNum w:abstractNumId="61" w15:restartNumberingAfterBreak="0">
    <w:nsid w:val="04927438"/>
    <w:multiLevelType w:val="hybridMultilevel"/>
    <w:tmpl w:val="C166E726"/>
    <w:lvl w:ilvl="0" w:tplc="352C3B10">
      <w:start w:val="1"/>
      <w:numFmt w:val="bullet"/>
      <w:lvlText w:val=""/>
      <w:lvlJc w:val="left"/>
      <w:pPr>
        <w:ind w:left="720" w:hanging="180"/>
      </w:pPr>
      <w:rPr>
        <w:rFonts w:ascii="Symbol" w:hAnsi="Symbol" w:hint="default"/>
      </w:rPr>
    </w:lvl>
    <w:lvl w:ilvl="1" w:tplc="3F167CFE">
      <w:numFmt w:val="decimal"/>
      <w:lvlText w:val=""/>
      <w:lvlJc w:val="left"/>
    </w:lvl>
    <w:lvl w:ilvl="2" w:tplc="9F5ADA68">
      <w:numFmt w:val="decimal"/>
      <w:lvlText w:val=""/>
      <w:lvlJc w:val="left"/>
    </w:lvl>
    <w:lvl w:ilvl="3" w:tplc="4A0AC08A">
      <w:numFmt w:val="decimal"/>
      <w:lvlText w:val=""/>
      <w:lvlJc w:val="left"/>
    </w:lvl>
    <w:lvl w:ilvl="4" w:tplc="095A41CC">
      <w:numFmt w:val="decimal"/>
      <w:lvlText w:val=""/>
      <w:lvlJc w:val="left"/>
    </w:lvl>
    <w:lvl w:ilvl="5" w:tplc="8CC6253A">
      <w:numFmt w:val="decimal"/>
      <w:lvlText w:val=""/>
      <w:lvlJc w:val="left"/>
    </w:lvl>
    <w:lvl w:ilvl="6" w:tplc="8FE0EF38">
      <w:numFmt w:val="decimal"/>
      <w:lvlText w:val=""/>
      <w:lvlJc w:val="left"/>
    </w:lvl>
    <w:lvl w:ilvl="7" w:tplc="F038288C">
      <w:numFmt w:val="decimal"/>
      <w:lvlText w:val=""/>
      <w:lvlJc w:val="left"/>
    </w:lvl>
    <w:lvl w:ilvl="8" w:tplc="DA5A6AEC">
      <w:numFmt w:val="decimal"/>
      <w:lvlText w:val=""/>
      <w:lvlJc w:val="left"/>
    </w:lvl>
  </w:abstractNum>
  <w:abstractNum w:abstractNumId="62" w15:restartNumberingAfterBreak="0">
    <w:nsid w:val="04932912"/>
    <w:multiLevelType w:val="hybridMultilevel"/>
    <w:tmpl w:val="C8D2B866"/>
    <w:lvl w:ilvl="0" w:tplc="D8B43472">
      <w:start w:val="1"/>
      <w:numFmt w:val="bullet"/>
      <w:lvlText w:val=""/>
      <w:lvlJc w:val="left"/>
      <w:pPr>
        <w:ind w:left="720" w:hanging="180"/>
      </w:pPr>
      <w:rPr>
        <w:rFonts w:ascii="Symbol" w:hAnsi="Symbol" w:hint="default"/>
      </w:rPr>
    </w:lvl>
    <w:lvl w:ilvl="1" w:tplc="4B56AB2C">
      <w:numFmt w:val="decimal"/>
      <w:lvlText w:val=""/>
      <w:lvlJc w:val="left"/>
    </w:lvl>
    <w:lvl w:ilvl="2" w:tplc="5EA423EC">
      <w:numFmt w:val="decimal"/>
      <w:lvlText w:val=""/>
      <w:lvlJc w:val="left"/>
    </w:lvl>
    <w:lvl w:ilvl="3" w:tplc="8BB6386A">
      <w:numFmt w:val="decimal"/>
      <w:lvlText w:val=""/>
      <w:lvlJc w:val="left"/>
    </w:lvl>
    <w:lvl w:ilvl="4" w:tplc="C2C6B5A4">
      <w:numFmt w:val="decimal"/>
      <w:lvlText w:val=""/>
      <w:lvlJc w:val="left"/>
    </w:lvl>
    <w:lvl w:ilvl="5" w:tplc="01EAD526">
      <w:numFmt w:val="decimal"/>
      <w:lvlText w:val=""/>
      <w:lvlJc w:val="left"/>
    </w:lvl>
    <w:lvl w:ilvl="6" w:tplc="B1F0B7DA">
      <w:numFmt w:val="decimal"/>
      <w:lvlText w:val=""/>
      <w:lvlJc w:val="left"/>
    </w:lvl>
    <w:lvl w:ilvl="7" w:tplc="95320E04">
      <w:numFmt w:val="decimal"/>
      <w:lvlText w:val=""/>
      <w:lvlJc w:val="left"/>
    </w:lvl>
    <w:lvl w:ilvl="8" w:tplc="21F4F39E">
      <w:numFmt w:val="decimal"/>
      <w:lvlText w:val=""/>
      <w:lvlJc w:val="left"/>
    </w:lvl>
  </w:abstractNum>
  <w:abstractNum w:abstractNumId="63" w15:restartNumberingAfterBreak="0">
    <w:nsid w:val="04B07C21"/>
    <w:multiLevelType w:val="hybridMultilevel"/>
    <w:tmpl w:val="9EBE5BB6"/>
    <w:lvl w:ilvl="0" w:tplc="C72ED0EC">
      <w:start w:val="1"/>
      <w:numFmt w:val="bullet"/>
      <w:lvlText w:val=""/>
      <w:lvlJc w:val="left"/>
      <w:pPr>
        <w:ind w:left="720" w:hanging="180"/>
      </w:pPr>
      <w:rPr>
        <w:rFonts w:ascii="Symbol" w:hAnsi="Symbol" w:hint="default"/>
      </w:rPr>
    </w:lvl>
    <w:lvl w:ilvl="1" w:tplc="88A8271E">
      <w:numFmt w:val="decimal"/>
      <w:lvlText w:val=""/>
      <w:lvlJc w:val="left"/>
    </w:lvl>
    <w:lvl w:ilvl="2" w:tplc="02724FDC">
      <w:numFmt w:val="decimal"/>
      <w:lvlText w:val=""/>
      <w:lvlJc w:val="left"/>
    </w:lvl>
    <w:lvl w:ilvl="3" w:tplc="130C1C90">
      <w:numFmt w:val="decimal"/>
      <w:lvlText w:val=""/>
      <w:lvlJc w:val="left"/>
    </w:lvl>
    <w:lvl w:ilvl="4" w:tplc="10222700">
      <w:numFmt w:val="decimal"/>
      <w:lvlText w:val=""/>
      <w:lvlJc w:val="left"/>
    </w:lvl>
    <w:lvl w:ilvl="5" w:tplc="918AF88C">
      <w:numFmt w:val="decimal"/>
      <w:lvlText w:val=""/>
      <w:lvlJc w:val="left"/>
    </w:lvl>
    <w:lvl w:ilvl="6" w:tplc="C044A7A6">
      <w:numFmt w:val="decimal"/>
      <w:lvlText w:val=""/>
      <w:lvlJc w:val="left"/>
    </w:lvl>
    <w:lvl w:ilvl="7" w:tplc="1AD245BA">
      <w:numFmt w:val="decimal"/>
      <w:lvlText w:val=""/>
      <w:lvlJc w:val="left"/>
    </w:lvl>
    <w:lvl w:ilvl="8" w:tplc="43F0DE42">
      <w:numFmt w:val="decimal"/>
      <w:lvlText w:val=""/>
      <w:lvlJc w:val="left"/>
    </w:lvl>
  </w:abstractNum>
  <w:abstractNum w:abstractNumId="64" w15:restartNumberingAfterBreak="0">
    <w:nsid w:val="04B95DEA"/>
    <w:multiLevelType w:val="hybridMultilevel"/>
    <w:tmpl w:val="3D984F1E"/>
    <w:lvl w:ilvl="0" w:tplc="8A926DE4">
      <w:start w:val="1"/>
      <w:numFmt w:val="bullet"/>
      <w:lvlText w:val=""/>
      <w:lvlJc w:val="left"/>
      <w:pPr>
        <w:ind w:left="720" w:hanging="180"/>
      </w:pPr>
      <w:rPr>
        <w:rFonts w:ascii="Symbol" w:hAnsi="Symbol" w:hint="default"/>
      </w:rPr>
    </w:lvl>
    <w:lvl w:ilvl="1" w:tplc="21F886C0">
      <w:numFmt w:val="decimal"/>
      <w:lvlText w:val=""/>
      <w:lvlJc w:val="left"/>
    </w:lvl>
    <w:lvl w:ilvl="2" w:tplc="0FA8E994">
      <w:numFmt w:val="decimal"/>
      <w:lvlText w:val=""/>
      <w:lvlJc w:val="left"/>
    </w:lvl>
    <w:lvl w:ilvl="3" w:tplc="97340E84">
      <w:numFmt w:val="decimal"/>
      <w:lvlText w:val=""/>
      <w:lvlJc w:val="left"/>
    </w:lvl>
    <w:lvl w:ilvl="4" w:tplc="36026110">
      <w:numFmt w:val="decimal"/>
      <w:lvlText w:val=""/>
      <w:lvlJc w:val="left"/>
    </w:lvl>
    <w:lvl w:ilvl="5" w:tplc="08445B66">
      <w:numFmt w:val="decimal"/>
      <w:lvlText w:val=""/>
      <w:lvlJc w:val="left"/>
    </w:lvl>
    <w:lvl w:ilvl="6" w:tplc="B0703E5C">
      <w:numFmt w:val="decimal"/>
      <w:lvlText w:val=""/>
      <w:lvlJc w:val="left"/>
    </w:lvl>
    <w:lvl w:ilvl="7" w:tplc="9B080DAC">
      <w:numFmt w:val="decimal"/>
      <w:lvlText w:val=""/>
      <w:lvlJc w:val="left"/>
    </w:lvl>
    <w:lvl w:ilvl="8" w:tplc="FA4A9440">
      <w:numFmt w:val="decimal"/>
      <w:lvlText w:val=""/>
      <w:lvlJc w:val="left"/>
    </w:lvl>
  </w:abstractNum>
  <w:abstractNum w:abstractNumId="65" w15:restartNumberingAfterBreak="0">
    <w:nsid w:val="04C4729B"/>
    <w:multiLevelType w:val="hybridMultilevel"/>
    <w:tmpl w:val="D114825C"/>
    <w:lvl w:ilvl="0" w:tplc="7D7A233E">
      <w:start w:val="1"/>
      <w:numFmt w:val="bullet"/>
      <w:lvlText w:val=""/>
      <w:lvlJc w:val="left"/>
      <w:pPr>
        <w:ind w:left="720" w:hanging="180"/>
      </w:pPr>
      <w:rPr>
        <w:rFonts w:ascii="Symbol" w:hAnsi="Symbol" w:hint="default"/>
      </w:rPr>
    </w:lvl>
    <w:lvl w:ilvl="1" w:tplc="45CE7A24">
      <w:numFmt w:val="decimal"/>
      <w:lvlText w:val=""/>
      <w:lvlJc w:val="left"/>
    </w:lvl>
    <w:lvl w:ilvl="2" w:tplc="59824B40">
      <w:numFmt w:val="decimal"/>
      <w:lvlText w:val=""/>
      <w:lvlJc w:val="left"/>
    </w:lvl>
    <w:lvl w:ilvl="3" w:tplc="357EB570">
      <w:numFmt w:val="decimal"/>
      <w:lvlText w:val=""/>
      <w:lvlJc w:val="left"/>
    </w:lvl>
    <w:lvl w:ilvl="4" w:tplc="249CE47C">
      <w:numFmt w:val="decimal"/>
      <w:lvlText w:val=""/>
      <w:lvlJc w:val="left"/>
    </w:lvl>
    <w:lvl w:ilvl="5" w:tplc="E98EA9D2">
      <w:numFmt w:val="decimal"/>
      <w:lvlText w:val=""/>
      <w:lvlJc w:val="left"/>
    </w:lvl>
    <w:lvl w:ilvl="6" w:tplc="8BB88A52">
      <w:numFmt w:val="decimal"/>
      <w:lvlText w:val=""/>
      <w:lvlJc w:val="left"/>
    </w:lvl>
    <w:lvl w:ilvl="7" w:tplc="08AC274A">
      <w:numFmt w:val="decimal"/>
      <w:lvlText w:val=""/>
      <w:lvlJc w:val="left"/>
    </w:lvl>
    <w:lvl w:ilvl="8" w:tplc="AB381C32">
      <w:numFmt w:val="decimal"/>
      <w:lvlText w:val=""/>
      <w:lvlJc w:val="left"/>
    </w:lvl>
  </w:abstractNum>
  <w:abstractNum w:abstractNumId="66" w15:restartNumberingAfterBreak="0">
    <w:nsid w:val="04C650F4"/>
    <w:multiLevelType w:val="hybridMultilevel"/>
    <w:tmpl w:val="F4285B9C"/>
    <w:lvl w:ilvl="0" w:tplc="CF98B576">
      <w:start w:val="1"/>
      <w:numFmt w:val="bullet"/>
      <w:lvlText w:val=""/>
      <w:lvlJc w:val="left"/>
      <w:pPr>
        <w:ind w:left="720" w:hanging="180"/>
      </w:pPr>
      <w:rPr>
        <w:rFonts w:ascii="Symbol" w:hAnsi="Symbol" w:hint="default"/>
      </w:rPr>
    </w:lvl>
    <w:lvl w:ilvl="1" w:tplc="E84EBB14">
      <w:numFmt w:val="decimal"/>
      <w:lvlText w:val=""/>
      <w:lvlJc w:val="left"/>
    </w:lvl>
    <w:lvl w:ilvl="2" w:tplc="860277B0">
      <w:numFmt w:val="decimal"/>
      <w:lvlText w:val=""/>
      <w:lvlJc w:val="left"/>
    </w:lvl>
    <w:lvl w:ilvl="3" w:tplc="F9A4B558">
      <w:numFmt w:val="decimal"/>
      <w:lvlText w:val=""/>
      <w:lvlJc w:val="left"/>
    </w:lvl>
    <w:lvl w:ilvl="4" w:tplc="A928E01A">
      <w:numFmt w:val="decimal"/>
      <w:lvlText w:val=""/>
      <w:lvlJc w:val="left"/>
    </w:lvl>
    <w:lvl w:ilvl="5" w:tplc="C6B0FC74">
      <w:numFmt w:val="decimal"/>
      <w:lvlText w:val=""/>
      <w:lvlJc w:val="left"/>
    </w:lvl>
    <w:lvl w:ilvl="6" w:tplc="99B8A726">
      <w:numFmt w:val="decimal"/>
      <w:lvlText w:val=""/>
      <w:lvlJc w:val="left"/>
    </w:lvl>
    <w:lvl w:ilvl="7" w:tplc="09C66936">
      <w:numFmt w:val="decimal"/>
      <w:lvlText w:val=""/>
      <w:lvlJc w:val="left"/>
    </w:lvl>
    <w:lvl w:ilvl="8" w:tplc="D11A487A">
      <w:numFmt w:val="decimal"/>
      <w:lvlText w:val=""/>
      <w:lvlJc w:val="left"/>
    </w:lvl>
  </w:abstractNum>
  <w:abstractNum w:abstractNumId="67" w15:restartNumberingAfterBreak="0">
    <w:nsid w:val="04DA49C6"/>
    <w:multiLevelType w:val="hybridMultilevel"/>
    <w:tmpl w:val="E59C50AE"/>
    <w:lvl w:ilvl="0" w:tplc="B87AD37E">
      <w:numFmt w:val="decimal"/>
      <w:lvlText w:val=""/>
      <w:lvlJc w:val="left"/>
    </w:lvl>
    <w:lvl w:ilvl="1" w:tplc="2E246656">
      <w:start w:val="1"/>
      <w:numFmt w:val="bullet"/>
      <w:lvlText w:val=""/>
      <w:lvlJc w:val="left"/>
      <w:pPr>
        <w:ind w:left="1440" w:hanging="180"/>
      </w:pPr>
      <w:rPr>
        <w:rFonts w:ascii="Symbol" w:hAnsi="Symbol" w:hint="default"/>
      </w:rPr>
    </w:lvl>
    <w:lvl w:ilvl="2" w:tplc="8820A846">
      <w:numFmt w:val="decimal"/>
      <w:lvlText w:val=""/>
      <w:lvlJc w:val="left"/>
    </w:lvl>
    <w:lvl w:ilvl="3" w:tplc="0E10DD14">
      <w:numFmt w:val="decimal"/>
      <w:lvlText w:val=""/>
      <w:lvlJc w:val="left"/>
    </w:lvl>
    <w:lvl w:ilvl="4" w:tplc="EFB0F43A">
      <w:numFmt w:val="decimal"/>
      <w:lvlText w:val=""/>
      <w:lvlJc w:val="left"/>
    </w:lvl>
    <w:lvl w:ilvl="5" w:tplc="1E76EECE">
      <w:numFmt w:val="decimal"/>
      <w:lvlText w:val=""/>
      <w:lvlJc w:val="left"/>
    </w:lvl>
    <w:lvl w:ilvl="6" w:tplc="07021BBC">
      <w:numFmt w:val="decimal"/>
      <w:lvlText w:val=""/>
      <w:lvlJc w:val="left"/>
    </w:lvl>
    <w:lvl w:ilvl="7" w:tplc="75FA6B2C">
      <w:numFmt w:val="decimal"/>
      <w:lvlText w:val=""/>
      <w:lvlJc w:val="left"/>
    </w:lvl>
    <w:lvl w:ilvl="8" w:tplc="FF66A52C">
      <w:numFmt w:val="decimal"/>
      <w:lvlText w:val=""/>
      <w:lvlJc w:val="left"/>
    </w:lvl>
  </w:abstractNum>
  <w:abstractNum w:abstractNumId="68" w15:restartNumberingAfterBreak="0">
    <w:nsid w:val="04E32E35"/>
    <w:multiLevelType w:val="hybridMultilevel"/>
    <w:tmpl w:val="E3A6ED34"/>
    <w:lvl w:ilvl="0" w:tplc="A7E48042">
      <w:start w:val="1"/>
      <w:numFmt w:val="bullet"/>
      <w:lvlText w:val=""/>
      <w:lvlJc w:val="left"/>
      <w:pPr>
        <w:ind w:left="720" w:hanging="180"/>
      </w:pPr>
      <w:rPr>
        <w:rFonts w:ascii="Symbol" w:hAnsi="Symbol" w:hint="default"/>
      </w:rPr>
    </w:lvl>
    <w:lvl w:ilvl="1" w:tplc="0CA43634">
      <w:numFmt w:val="decimal"/>
      <w:lvlText w:val=""/>
      <w:lvlJc w:val="left"/>
    </w:lvl>
    <w:lvl w:ilvl="2" w:tplc="F4F86026">
      <w:numFmt w:val="decimal"/>
      <w:lvlText w:val=""/>
      <w:lvlJc w:val="left"/>
    </w:lvl>
    <w:lvl w:ilvl="3" w:tplc="F53A51F0">
      <w:numFmt w:val="decimal"/>
      <w:lvlText w:val=""/>
      <w:lvlJc w:val="left"/>
    </w:lvl>
    <w:lvl w:ilvl="4" w:tplc="E5D48D14">
      <w:numFmt w:val="decimal"/>
      <w:lvlText w:val=""/>
      <w:lvlJc w:val="left"/>
    </w:lvl>
    <w:lvl w:ilvl="5" w:tplc="AA6C9EFA">
      <w:numFmt w:val="decimal"/>
      <w:lvlText w:val=""/>
      <w:lvlJc w:val="left"/>
    </w:lvl>
    <w:lvl w:ilvl="6" w:tplc="48460D0A">
      <w:numFmt w:val="decimal"/>
      <w:lvlText w:val=""/>
      <w:lvlJc w:val="left"/>
    </w:lvl>
    <w:lvl w:ilvl="7" w:tplc="B5DA02A0">
      <w:numFmt w:val="decimal"/>
      <w:lvlText w:val=""/>
      <w:lvlJc w:val="left"/>
    </w:lvl>
    <w:lvl w:ilvl="8" w:tplc="20BC27F2">
      <w:numFmt w:val="decimal"/>
      <w:lvlText w:val=""/>
      <w:lvlJc w:val="left"/>
    </w:lvl>
  </w:abstractNum>
  <w:abstractNum w:abstractNumId="69" w15:restartNumberingAfterBreak="0">
    <w:nsid w:val="050372D5"/>
    <w:multiLevelType w:val="hybridMultilevel"/>
    <w:tmpl w:val="3C666308"/>
    <w:lvl w:ilvl="0" w:tplc="96CC7EE0">
      <w:start w:val="1"/>
      <w:numFmt w:val="bullet"/>
      <w:lvlText w:val=""/>
      <w:lvlJc w:val="left"/>
      <w:pPr>
        <w:ind w:left="720" w:hanging="180"/>
      </w:pPr>
      <w:rPr>
        <w:rFonts w:ascii="Symbol" w:hAnsi="Symbol" w:hint="default"/>
      </w:rPr>
    </w:lvl>
    <w:lvl w:ilvl="1" w:tplc="B848123E">
      <w:numFmt w:val="decimal"/>
      <w:lvlText w:val=""/>
      <w:lvlJc w:val="left"/>
    </w:lvl>
    <w:lvl w:ilvl="2" w:tplc="53E4DE6A">
      <w:numFmt w:val="decimal"/>
      <w:lvlText w:val=""/>
      <w:lvlJc w:val="left"/>
    </w:lvl>
    <w:lvl w:ilvl="3" w:tplc="2AA43EA8">
      <w:numFmt w:val="decimal"/>
      <w:lvlText w:val=""/>
      <w:lvlJc w:val="left"/>
    </w:lvl>
    <w:lvl w:ilvl="4" w:tplc="FE72DF4C">
      <w:numFmt w:val="decimal"/>
      <w:lvlText w:val=""/>
      <w:lvlJc w:val="left"/>
    </w:lvl>
    <w:lvl w:ilvl="5" w:tplc="E75684D6">
      <w:numFmt w:val="decimal"/>
      <w:lvlText w:val=""/>
      <w:lvlJc w:val="left"/>
    </w:lvl>
    <w:lvl w:ilvl="6" w:tplc="9CEA2B74">
      <w:numFmt w:val="decimal"/>
      <w:lvlText w:val=""/>
      <w:lvlJc w:val="left"/>
    </w:lvl>
    <w:lvl w:ilvl="7" w:tplc="8BE662C2">
      <w:numFmt w:val="decimal"/>
      <w:lvlText w:val=""/>
      <w:lvlJc w:val="left"/>
    </w:lvl>
    <w:lvl w:ilvl="8" w:tplc="09BE3482">
      <w:numFmt w:val="decimal"/>
      <w:lvlText w:val=""/>
      <w:lvlJc w:val="left"/>
    </w:lvl>
  </w:abstractNum>
  <w:abstractNum w:abstractNumId="70" w15:restartNumberingAfterBreak="0">
    <w:nsid w:val="05257D6B"/>
    <w:multiLevelType w:val="hybridMultilevel"/>
    <w:tmpl w:val="7AEAF6A4"/>
    <w:lvl w:ilvl="0" w:tplc="88E6409C">
      <w:start w:val="1"/>
      <w:numFmt w:val="bullet"/>
      <w:lvlText w:val=""/>
      <w:lvlJc w:val="left"/>
      <w:pPr>
        <w:ind w:left="720" w:hanging="180"/>
      </w:pPr>
      <w:rPr>
        <w:rFonts w:ascii="Symbol" w:hAnsi="Symbol" w:hint="default"/>
      </w:rPr>
    </w:lvl>
    <w:lvl w:ilvl="1" w:tplc="0F3A72C4">
      <w:numFmt w:val="decimal"/>
      <w:lvlText w:val=""/>
      <w:lvlJc w:val="left"/>
    </w:lvl>
    <w:lvl w:ilvl="2" w:tplc="56F2DB26">
      <w:numFmt w:val="decimal"/>
      <w:lvlText w:val=""/>
      <w:lvlJc w:val="left"/>
    </w:lvl>
    <w:lvl w:ilvl="3" w:tplc="E898A58C">
      <w:numFmt w:val="decimal"/>
      <w:lvlText w:val=""/>
      <w:lvlJc w:val="left"/>
    </w:lvl>
    <w:lvl w:ilvl="4" w:tplc="8C96BCF0">
      <w:numFmt w:val="decimal"/>
      <w:lvlText w:val=""/>
      <w:lvlJc w:val="left"/>
    </w:lvl>
    <w:lvl w:ilvl="5" w:tplc="D0D415F0">
      <w:numFmt w:val="decimal"/>
      <w:lvlText w:val=""/>
      <w:lvlJc w:val="left"/>
    </w:lvl>
    <w:lvl w:ilvl="6" w:tplc="F1C46D68">
      <w:numFmt w:val="decimal"/>
      <w:lvlText w:val=""/>
      <w:lvlJc w:val="left"/>
    </w:lvl>
    <w:lvl w:ilvl="7" w:tplc="98F0DE10">
      <w:numFmt w:val="decimal"/>
      <w:lvlText w:val=""/>
      <w:lvlJc w:val="left"/>
    </w:lvl>
    <w:lvl w:ilvl="8" w:tplc="BBD203B8">
      <w:numFmt w:val="decimal"/>
      <w:lvlText w:val=""/>
      <w:lvlJc w:val="left"/>
    </w:lvl>
  </w:abstractNum>
  <w:abstractNum w:abstractNumId="71" w15:restartNumberingAfterBreak="0">
    <w:nsid w:val="05374574"/>
    <w:multiLevelType w:val="hybridMultilevel"/>
    <w:tmpl w:val="5D329D4E"/>
    <w:lvl w:ilvl="0" w:tplc="5B9A75A6">
      <w:start w:val="1"/>
      <w:numFmt w:val="bullet"/>
      <w:lvlText w:val=""/>
      <w:lvlJc w:val="left"/>
      <w:pPr>
        <w:ind w:left="720" w:hanging="180"/>
      </w:pPr>
      <w:rPr>
        <w:rFonts w:ascii="Symbol" w:hAnsi="Symbol" w:hint="default"/>
      </w:rPr>
    </w:lvl>
    <w:lvl w:ilvl="1" w:tplc="CC4859FA">
      <w:numFmt w:val="decimal"/>
      <w:lvlText w:val=""/>
      <w:lvlJc w:val="left"/>
    </w:lvl>
    <w:lvl w:ilvl="2" w:tplc="2D20700C">
      <w:numFmt w:val="decimal"/>
      <w:lvlText w:val=""/>
      <w:lvlJc w:val="left"/>
    </w:lvl>
    <w:lvl w:ilvl="3" w:tplc="FF7CD8B2">
      <w:numFmt w:val="decimal"/>
      <w:lvlText w:val=""/>
      <w:lvlJc w:val="left"/>
    </w:lvl>
    <w:lvl w:ilvl="4" w:tplc="A7B8D470">
      <w:numFmt w:val="decimal"/>
      <w:lvlText w:val=""/>
      <w:lvlJc w:val="left"/>
    </w:lvl>
    <w:lvl w:ilvl="5" w:tplc="6D5014EC">
      <w:numFmt w:val="decimal"/>
      <w:lvlText w:val=""/>
      <w:lvlJc w:val="left"/>
    </w:lvl>
    <w:lvl w:ilvl="6" w:tplc="E3B8AB6E">
      <w:numFmt w:val="decimal"/>
      <w:lvlText w:val=""/>
      <w:lvlJc w:val="left"/>
    </w:lvl>
    <w:lvl w:ilvl="7" w:tplc="10D0796C">
      <w:numFmt w:val="decimal"/>
      <w:lvlText w:val=""/>
      <w:lvlJc w:val="left"/>
    </w:lvl>
    <w:lvl w:ilvl="8" w:tplc="C3F4F1BC">
      <w:numFmt w:val="decimal"/>
      <w:lvlText w:val=""/>
      <w:lvlJc w:val="left"/>
    </w:lvl>
  </w:abstractNum>
  <w:abstractNum w:abstractNumId="72" w15:restartNumberingAfterBreak="0">
    <w:nsid w:val="05507D76"/>
    <w:multiLevelType w:val="hybridMultilevel"/>
    <w:tmpl w:val="CEB0CF58"/>
    <w:lvl w:ilvl="0" w:tplc="F2E2484E">
      <w:start w:val="1"/>
      <w:numFmt w:val="bullet"/>
      <w:lvlText w:val=""/>
      <w:lvlJc w:val="left"/>
      <w:pPr>
        <w:ind w:left="720" w:hanging="180"/>
      </w:pPr>
      <w:rPr>
        <w:rFonts w:ascii="Symbol" w:hAnsi="Symbol" w:hint="default"/>
      </w:rPr>
    </w:lvl>
    <w:lvl w:ilvl="1" w:tplc="5D5ACA38">
      <w:numFmt w:val="decimal"/>
      <w:lvlText w:val=""/>
      <w:lvlJc w:val="left"/>
    </w:lvl>
    <w:lvl w:ilvl="2" w:tplc="61B4C62A">
      <w:numFmt w:val="decimal"/>
      <w:lvlText w:val=""/>
      <w:lvlJc w:val="left"/>
    </w:lvl>
    <w:lvl w:ilvl="3" w:tplc="E026A5FA">
      <w:numFmt w:val="decimal"/>
      <w:lvlText w:val=""/>
      <w:lvlJc w:val="left"/>
    </w:lvl>
    <w:lvl w:ilvl="4" w:tplc="15022B72">
      <w:numFmt w:val="decimal"/>
      <w:lvlText w:val=""/>
      <w:lvlJc w:val="left"/>
    </w:lvl>
    <w:lvl w:ilvl="5" w:tplc="3E825DE8">
      <w:numFmt w:val="decimal"/>
      <w:lvlText w:val=""/>
      <w:lvlJc w:val="left"/>
    </w:lvl>
    <w:lvl w:ilvl="6" w:tplc="2898BE8E">
      <w:numFmt w:val="decimal"/>
      <w:lvlText w:val=""/>
      <w:lvlJc w:val="left"/>
    </w:lvl>
    <w:lvl w:ilvl="7" w:tplc="FB0C9DB6">
      <w:numFmt w:val="decimal"/>
      <w:lvlText w:val=""/>
      <w:lvlJc w:val="left"/>
    </w:lvl>
    <w:lvl w:ilvl="8" w:tplc="B8B69C34">
      <w:numFmt w:val="decimal"/>
      <w:lvlText w:val=""/>
      <w:lvlJc w:val="left"/>
    </w:lvl>
  </w:abstractNum>
  <w:abstractNum w:abstractNumId="73" w15:restartNumberingAfterBreak="0">
    <w:nsid w:val="055C48FA"/>
    <w:multiLevelType w:val="hybridMultilevel"/>
    <w:tmpl w:val="D6B44CC6"/>
    <w:lvl w:ilvl="0" w:tplc="B0CCF060">
      <w:start w:val="1"/>
      <w:numFmt w:val="bullet"/>
      <w:lvlText w:val=""/>
      <w:lvlJc w:val="left"/>
      <w:pPr>
        <w:ind w:left="720" w:hanging="180"/>
      </w:pPr>
      <w:rPr>
        <w:rFonts w:ascii="Symbol" w:hAnsi="Symbol" w:hint="default"/>
      </w:rPr>
    </w:lvl>
    <w:lvl w:ilvl="1" w:tplc="55808A5C">
      <w:numFmt w:val="decimal"/>
      <w:lvlText w:val=""/>
      <w:lvlJc w:val="left"/>
    </w:lvl>
    <w:lvl w:ilvl="2" w:tplc="883607A8">
      <w:numFmt w:val="decimal"/>
      <w:lvlText w:val=""/>
      <w:lvlJc w:val="left"/>
    </w:lvl>
    <w:lvl w:ilvl="3" w:tplc="FA923D14">
      <w:numFmt w:val="decimal"/>
      <w:lvlText w:val=""/>
      <w:lvlJc w:val="left"/>
    </w:lvl>
    <w:lvl w:ilvl="4" w:tplc="89B6A484">
      <w:numFmt w:val="decimal"/>
      <w:lvlText w:val=""/>
      <w:lvlJc w:val="left"/>
    </w:lvl>
    <w:lvl w:ilvl="5" w:tplc="CFF6C87A">
      <w:numFmt w:val="decimal"/>
      <w:lvlText w:val=""/>
      <w:lvlJc w:val="left"/>
    </w:lvl>
    <w:lvl w:ilvl="6" w:tplc="6B901462">
      <w:numFmt w:val="decimal"/>
      <w:lvlText w:val=""/>
      <w:lvlJc w:val="left"/>
    </w:lvl>
    <w:lvl w:ilvl="7" w:tplc="6E96FBC6">
      <w:numFmt w:val="decimal"/>
      <w:lvlText w:val=""/>
      <w:lvlJc w:val="left"/>
    </w:lvl>
    <w:lvl w:ilvl="8" w:tplc="651A31C8">
      <w:numFmt w:val="decimal"/>
      <w:lvlText w:val=""/>
      <w:lvlJc w:val="left"/>
    </w:lvl>
  </w:abstractNum>
  <w:abstractNum w:abstractNumId="74" w15:restartNumberingAfterBreak="0">
    <w:nsid w:val="057F1A68"/>
    <w:multiLevelType w:val="hybridMultilevel"/>
    <w:tmpl w:val="9AA6804C"/>
    <w:lvl w:ilvl="0" w:tplc="72FCC20A">
      <w:numFmt w:val="decimal"/>
      <w:lvlText w:val=""/>
      <w:lvlJc w:val="left"/>
    </w:lvl>
    <w:lvl w:ilvl="1" w:tplc="7600652A">
      <w:start w:val="1"/>
      <w:numFmt w:val="bullet"/>
      <w:lvlText w:val=""/>
      <w:lvlJc w:val="left"/>
      <w:pPr>
        <w:ind w:left="1440" w:hanging="180"/>
      </w:pPr>
      <w:rPr>
        <w:rFonts w:ascii="Symbol" w:hAnsi="Symbol" w:hint="default"/>
      </w:rPr>
    </w:lvl>
    <w:lvl w:ilvl="2" w:tplc="970AC42C">
      <w:numFmt w:val="decimal"/>
      <w:lvlText w:val=""/>
      <w:lvlJc w:val="left"/>
    </w:lvl>
    <w:lvl w:ilvl="3" w:tplc="6FB62AC8">
      <w:numFmt w:val="decimal"/>
      <w:lvlText w:val=""/>
      <w:lvlJc w:val="left"/>
    </w:lvl>
    <w:lvl w:ilvl="4" w:tplc="BE60E7FA">
      <w:numFmt w:val="decimal"/>
      <w:lvlText w:val=""/>
      <w:lvlJc w:val="left"/>
    </w:lvl>
    <w:lvl w:ilvl="5" w:tplc="114CFB0A">
      <w:numFmt w:val="decimal"/>
      <w:lvlText w:val=""/>
      <w:lvlJc w:val="left"/>
    </w:lvl>
    <w:lvl w:ilvl="6" w:tplc="57A615FE">
      <w:numFmt w:val="decimal"/>
      <w:lvlText w:val=""/>
      <w:lvlJc w:val="left"/>
    </w:lvl>
    <w:lvl w:ilvl="7" w:tplc="FF32C1B0">
      <w:numFmt w:val="decimal"/>
      <w:lvlText w:val=""/>
      <w:lvlJc w:val="left"/>
    </w:lvl>
    <w:lvl w:ilvl="8" w:tplc="EF308764">
      <w:numFmt w:val="decimal"/>
      <w:lvlText w:val=""/>
      <w:lvlJc w:val="left"/>
    </w:lvl>
  </w:abstractNum>
  <w:abstractNum w:abstractNumId="75" w15:restartNumberingAfterBreak="0">
    <w:nsid w:val="05955B00"/>
    <w:multiLevelType w:val="hybridMultilevel"/>
    <w:tmpl w:val="AA642D08"/>
    <w:lvl w:ilvl="0" w:tplc="161C83CC">
      <w:start w:val="1"/>
      <w:numFmt w:val="bullet"/>
      <w:lvlText w:val=""/>
      <w:lvlJc w:val="left"/>
      <w:pPr>
        <w:ind w:left="720" w:hanging="180"/>
      </w:pPr>
      <w:rPr>
        <w:rFonts w:ascii="Symbol" w:hAnsi="Symbol" w:hint="default"/>
      </w:rPr>
    </w:lvl>
    <w:lvl w:ilvl="1" w:tplc="97867714">
      <w:numFmt w:val="decimal"/>
      <w:lvlText w:val=""/>
      <w:lvlJc w:val="left"/>
    </w:lvl>
    <w:lvl w:ilvl="2" w:tplc="A4E6792E">
      <w:numFmt w:val="decimal"/>
      <w:lvlText w:val=""/>
      <w:lvlJc w:val="left"/>
    </w:lvl>
    <w:lvl w:ilvl="3" w:tplc="7AEC49EC">
      <w:numFmt w:val="decimal"/>
      <w:lvlText w:val=""/>
      <w:lvlJc w:val="left"/>
    </w:lvl>
    <w:lvl w:ilvl="4" w:tplc="32F67AC6">
      <w:numFmt w:val="decimal"/>
      <w:lvlText w:val=""/>
      <w:lvlJc w:val="left"/>
    </w:lvl>
    <w:lvl w:ilvl="5" w:tplc="6464CAAE">
      <w:numFmt w:val="decimal"/>
      <w:lvlText w:val=""/>
      <w:lvlJc w:val="left"/>
    </w:lvl>
    <w:lvl w:ilvl="6" w:tplc="FB34A4A2">
      <w:numFmt w:val="decimal"/>
      <w:lvlText w:val=""/>
      <w:lvlJc w:val="left"/>
    </w:lvl>
    <w:lvl w:ilvl="7" w:tplc="8A9AE060">
      <w:numFmt w:val="decimal"/>
      <w:lvlText w:val=""/>
      <w:lvlJc w:val="left"/>
    </w:lvl>
    <w:lvl w:ilvl="8" w:tplc="80FA951C">
      <w:numFmt w:val="decimal"/>
      <w:lvlText w:val=""/>
      <w:lvlJc w:val="left"/>
    </w:lvl>
  </w:abstractNum>
  <w:abstractNum w:abstractNumId="76" w15:restartNumberingAfterBreak="0">
    <w:nsid w:val="059F5FB1"/>
    <w:multiLevelType w:val="hybridMultilevel"/>
    <w:tmpl w:val="91F4D308"/>
    <w:lvl w:ilvl="0" w:tplc="991A1EF0">
      <w:start w:val="1"/>
      <w:numFmt w:val="bullet"/>
      <w:lvlText w:val=""/>
      <w:lvlJc w:val="left"/>
      <w:pPr>
        <w:ind w:left="720" w:hanging="180"/>
      </w:pPr>
      <w:rPr>
        <w:rFonts w:ascii="Symbol" w:hAnsi="Symbol" w:hint="default"/>
      </w:rPr>
    </w:lvl>
    <w:lvl w:ilvl="1" w:tplc="2F32DDFC">
      <w:numFmt w:val="decimal"/>
      <w:lvlText w:val=""/>
      <w:lvlJc w:val="left"/>
    </w:lvl>
    <w:lvl w:ilvl="2" w:tplc="BD1EADA8">
      <w:numFmt w:val="decimal"/>
      <w:lvlText w:val=""/>
      <w:lvlJc w:val="left"/>
    </w:lvl>
    <w:lvl w:ilvl="3" w:tplc="B84CEA42">
      <w:numFmt w:val="decimal"/>
      <w:lvlText w:val=""/>
      <w:lvlJc w:val="left"/>
    </w:lvl>
    <w:lvl w:ilvl="4" w:tplc="7E76FAE4">
      <w:numFmt w:val="decimal"/>
      <w:lvlText w:val=""/>
      <w:lvlJc w:val="left"/>
    </w:lvl>
    <w:lvl w:ilvl="5" w:tplc="B7B652CC">
      <w:numFmt w:val="decimal"/>
      <w:lvlText w:val=""/>
      <w:lvlJc w:val="left"/>
    </w:lvl>
    <w:lvl w:ilvl="6" w:tplc="C4FC957C">
      <w:numFmt w:val="decimal"/>
      <w:lvlText w:val=""/>
      <w:lvlJc w:val="left"/>
    </w:lvl>
    <w:lvl w:ilvl="7" w:tplc="1EA8979A">
      <w:numFmt w:val="decimal"/>
      <w:lvlText w:val=""/>
      <w:lvlJc w:val="left"/>
    </w:lvl>
    <w:lvl w:ilvl="8" w:tplc="57E69AE2">
      <w:numFmt w:val="decimal"/>
      <w:lvlText w:val=""/>
      <w:lvlJc w:val="left"/>
    </w:lvl>
  </w:abstractNum>
  <w:abstractNum w:abstractNumId="77" w15:restartNumberingAfterBreak="0">
    <w:nsid w:val="05A11F08"/>
    <w:multiLevelType w:val="hybridMultilevel"/>
    <w:tmpl w:val="5FBE90E0"/>
    <w:lvl w:ilvl="0" w:tplc="60B2F9F6">
      <w:start w:val="1"/>
      <w:numFmt w:val="bullet"/>
      <w:lvlText w:val=""/>
      <w:lvlJc w:val="left"/>
      <w:pPr>
        <w:ind w:left="720" w:hanging="180"/>
      </w:pPr>
      <w:rPr>
        <w:rFonts w:ascii="Symbol" w:hAnsi="Symbol" w:hint="default"/>
      </w:rPr>
    </w:lvl>
    <w:lvl w:ilvl="1" w:tplc="DC52B45A">
      <w:numFmt w:val="decimal"/>
      <w:lvlText w:val=""/>
      <w:lvlJc w:val="left"/>
    </w:lvl>
    <w:lvl w:ilvl="2" w:tplc="804E9700">
      <w:numFmt w:val="decimal"/>
      <w:lvlText w:val=""/>
      <w:lvlJc w:val="left"/>
    </w:lvl>
    <w:lvl w:ilvl="3" w:tplc="809C856E">
      <w:numFmt w:val="decimal"/>
      <w:lvlText w:val=""/>
      <w:lvlJc w:val="left"/>
    </w:lvl>
    <w:lvl w:ilvl="4" w:tplc="625E4D86">
      <w:numFmt w:val="decimal"/>
      <w:lvlText w:val=""/>
      <w:lvlJc w:val="left"/>
    </w:lvl>
    <w:lvl w:ilvl="5" w:tplc="86BC4DBC">
      <w:numFmt w:val="decimal"/>
      <w:lvlText w:val=""/>
      <w:lvlJc w:val="left"/>
    </w:lvl>
    <w:lvl w:ilvl="6" w:tplc="B7B2B3DC">
      <w:numFmt w:val="decimal"/>
      <w:lvlText w:val=""/>
      <w:lvlJc w:val="left"/>
    </w:lvl>
    <w:lvl w:ilvl="7" w:tplc="96409E60">
      <w:numFmt w:val="decimal"/>
      <w:lvlText w:val=""/>
      <w:lvlJc w:val="left"/>
    </w:lvl>
    <w:lvl w:ilvl="8" w:tplc="4A6C7850">
      <w:numFmt w:val="decimal"/>
      <w:lvlText w:val=""/>
      <w:lvlJc w:val="left"/>
    </w:lvl>
  </w:abstractNum>
  <w:abstractNum w:abstractNumId="78" w15:restartNumberingAfterBreak="0">
    <w:nsid w:val="05CE69C8"/>
    <w:multiLevelType w:val="hybridMultilevel"/>
    <w:tmpl w:val="C044657C"/>
    <w:lvl w:ilvl="0" w:tplc="B44EAF3E">
      <w:start w:val="1"/>
      <w:numFmt w:val="bullet"/>
      <w:lvlText w:val=""/>
      <w:lvlJc w:val="left"/>
      <w:pPr>
        <w:ind w:left="720" w:hanging="180"/>
      </w:pPr>
      <w:rPr>
        <w:rFonts w:ascii="Symbol" w:hAnsi="Symbol" w:hint="default"/>
      </w:rPr>
    </w:lvl>
    <w:lvl w:ilvl="1" w:tplc="91804298">
      <w:numFmt w:val="decimal"/>
      <w:lvlText w:val=""/>
      <w:lvlJc w:val="left"/>
    </w:lvl>
    <w:lvl w:ilvl="2" w:tplc="32B6DAC6">
      <w:numFmt w:val="decimal"/>
      <w:lvlText w:val=""/>
      <w:lvlJc w:val="left"/>
    </w:lvl>
    <w:lvl w:ilvl="3" w:tplc="93B28AA0">
      <w:numFmt w:val="decimal"/>
      <w:lvlText w:val=""/>
      <w:lvlJc w:val="left"/>
    </w:lvl>
    <w:lvl w:ilvl="4" w:tplc="8536D876">
      <w:numFmt w:val="decimal"/>
      <w:lvlText w:val=""/>
      <w:lvlJc w:val="left"/>
    </w:lvl>
    <w:lvl w:ilvl="5" w:tplc="D7347E50">
      <w:numFmt w:val="decimal"/>
      <w:lvlText w:val=""/>
      <w:lvlJc w:val="left"/>
    </w:lvl>
    <w:lvl w:ilvl="6" w:tplc="60FC09B8">
      <w:numFmt w:val="decimal"/>
      <w:lvlText w:val=""/>
      <w:lvlJc w:val="left"/>
    </w:lvl>
    <w:lvl w:ilvl="7" w:tplc="236892AC">
      <w:numFmt w:val="decimal"/>
      <w:lvlText w:val=""/>
      <w:lvlJc w:val="left"/>
    </w:lvl>
    <w:lvl w:ilvl="8" w:tplc="62863F8A">
      <w:numFmt w:val="decimal"/>
      <w:lvlText w:val=""/>
      <w:lvlJc w:val="left"/>
    </w:lvl>
  </w:abstractNum>
  <w:abstractNum w:abstractNumId="79" w15:restartNumberingAfterBreak="0">
    <w:nsid w:val="06022A0C"/>
    <w:multiLevelType w:val="hybridMultilevel"/>
    <w:tmpl w:val="910C2452"/>
    <w:lvl w:ilvl="0" w:tplc="BE9040CC">
      <w:start w:val="1"/>
      <w:numFmt w:val="bullet"/>
      <w:lvlText w:val=""/>
      <w:lvlJc w:val="left"/>
      <w:pPr>
        <w:ind w:left="720" w:hanging="180"/>
      </w:pPr>
      <w:rPr>
        <w:rFonts w:ascii="Symbol" w:hAnsi="Symbol" w:hint="default"/>
      </w:rPr>
    </w:lvl>
    <w:lvl w:ilvl="1" w:tplc="3430A620">
      <w:numFmt w:val="decimal"/>
      <w:lvlText w:val=""/>
      <w:lvlJc w:val="left"/>
    </w:lvl>
    <w:lvl w:ilvl="2" w:tplc="C8589312">
      <w:numFmt w:val="decimal"/>
      <w:lvlText w:val=""/>
      <w:lvlJc w:val="left"/>
    </w:lvl>
    <w:lvl w:ilvl="3" w:tplc="B786339C">
      <w:numFmt w:val="decimal"/>
      <w:lvlText w:val=""/>
      <w:lvlJc w:val="left"/>
    </w:lvl>
    <w:lvl w:ilvl="4" w:tplc="540CB478">
      <w:numFmt w:val="decimal"/>
      <w:lvlText w:val=""/>
      <w:lvlJc w:val="left"/>
    </w:lvl>
    <w:lvl w:ilvl="5" w:tplc="DF98784C">
      <w:numFmt w:val="decimal"/>
      <w:lvlText w:val=""/>
      <w:lvlJc w:val="left"/>
    </w:lvl>
    <w:lvl w:ilvl="6" w:tplc="993629AA">
      <w:numFmt w:val="decimal"/>
      <w:lvlText w:val=""/>
      <w:lvlJc w:val="left"/>
    </w:lvl>
    <w:lvl w:ilvl="7" w:tplc="AA68ECFA">
      <w:numFmt w:val="decimal"/>
      <w:lvlText w:val=""/>
      <w:lvlJc w:val="left"/>
    </w:lvl>
    <w:lvl w:ilvl="8" w:tplc="C3540E2E">
      <w:numFmt w:val="decimal"/>
      <w:lvlText w:val=""/>
      <w:lvlJc w:val="left"/>
    </w:lvl>
  </w:abstractNum>
  <w:abstractNum w:abstractNumId="80" w15:restartNumberingAfterBreak="0">
    <w:nsid w:val="06161E0C"/>
    <w:multiLevelType w:val="hybridMultilevel"/>
    <w:tmpl w:val="E4784BA6"/>
    <w:lvl w:ilvl="0" w:tplc="8200CA18">
      <w:start w:val="1"/>
      <w:numFmt w:val="bullet"/>
      <w:lvlText w:val=""/>
      <w:lvlJc w:val="left"/>
      <w:pPr>
        <w:ind w:left="720" w:hanging="180"/>
      </w:pPr>
      <w:rPr>
        <w:rFonts w:ascii="Symbol" w:hAnsi="Symbol" w:hint="default"/>
      </w:rPr>
    </w:lvl>
    <w:lvl w:ilvl="1" w:tplc="AC1C1BD8">
      <w:numFmt w:val="decimal"/>
      <w:lvlText w:val=""/>
      <w:lvlJc w:val="left"/>
    </w:lvl>
    <w:lvl w:ilvl="2" w:tplc="716EF290">
      <w:numFmt w:val="decimal"/>
      <w:lvlText w:val=""/>
      <w:lvlJc w:val="left"/>
    </w:lvl>
    <w:lvl w:ilvl="3" w:tplc="041850F4">
      <w:numFmt w:val="decimal"/>
      <w:lvlText w:val=""/>
      <w:lvlJc w:val="left"/>
    </w:lvl>
    <w:lvl w:ilvl="4" w:tplc="2C94B4BC">
      <w:numFmt w:val="decimal"/>
      <w:lvlText w:val=""/>
      <w:lvlJc w:val="left"/>
    </w:lvl>
    <w:lvl w:ilvl="5" w:tplc="45982C32">
      <w:numFmt w:val="decimal"/>
      <w:lvlText w:val=""/>
      <w:lvlJc w:val="left"/>
    </w:lvl>
    <w:lvl w:ilvl="6" w:tplc="C44AC0C0">
      <w:numFmt w:val="decimal"/>
      <w:lvlText w:val=""/>
      <w:lvlJc w:val="left"/>
    </w:lvl>
    <w:lvl w:ilvl="7" w:tplc="2B445E9E">
      <w:numFmt w:val="decimal"/>
      <w:lvlText w:val=""/>
      <w:lvlJc w:val="left"/>
    </w:lvl>
    <w:lvl w:ilvl="8" w:tplc="520C2BAC">
      <w:numFmt w:val="decimal"/>
      <w:lvlText w:val=""/>
      <w:lvlJc w:val="left"/>
    </w:lvl>
  </w:abstractNum>
  <w:abstractNum w:abstractNumId="81" w15:restartNumberingAfterBreak="0">
    <w:nsid w:val="061740B1"/>
    <w:multiLevelType w:val="hybridMultilevel"/>
    <w:tmpl w:val="100C13C4"/>
    <w:lvl w:ilvl="0" w:tplc="AF54A25E">
      <w:start w:val="1"/>
      <w:numFmt w:val="bullet"/>
      <w:lvlText w:val=""/>
      <w:lvlJc w:val="left"/>
      <w:pPr>
        <w:ind w:left="720" w:hanging="180"/>
      </w:pPr>
      <w:rPr>
        <w:rFonts w:ascii="Symbol" w:hAnsi="Symbol" w:hint="default"/>
      </w:rPr>
    </w:lvl>
    <w:lvl w:ilvl="1" w:tplc="86F870A0">
      <w:numFmt w:val="decimal"/>
      <w:lvlText w:val=""/>
      <w:lvlJc w:val="left"/>
    </w:lvl>
    <w:lvl w:ilvl="2" w:tplc="293AFE76">
      <w:numFmt w:val="decimal"/>
      <w:lvlText w:val=""/>
      <w:lvlJc w:val="left"/>
    </w:lvl>
    <w:lvl w:ilvl="3" w:tplc="BD3410E4">
      <w:numFmt w:val="decimal"/>
      <w:lvlText w:val=""/>
      <w:lvlJc w:val="left"/>
    </w:lvl>
    <w:lvl w:ilvl="4" w:tplc="7D1629A4">
      <w:numFmt w:val="decimal"/>
      <w:lvlText w:val=""/>
      <w:lvlJc w:val="left"/>
    </w:lvl>
    <w:lvl w:ilvl="5" w:tplc="EE3AD90C">
      <w:numFmt w:val="decimal"/>
      <w:lvlText w:val=""/>
      <w:lvlJc w:val="left"/>
    </w:lvl>
    <w:lvl w:ilvl="6" w:tplc="20BEA232">
      <w:numFmt w:val="decimal"/>
      <w:lvlText w:val=""/>
      <w:lvlJc w:val="left"/>
    </w:lvl>
    <w:lvl w:ilvl="7" w:tplc="D3F27094">
      <w:numFmt w:val="decimal"/>
      <w:lvlText w:val=""/>
      <w:lvlJc w:val="left"/>
    </w:lvl>
    <w:lvl w:ilvl="8" w:tplc="50EAA03C">
      <w:numFmt w:val="decimal"/>
      <w:lvlText w:val=""/>
      <w:lvlJc w:val="left"/>
    </w:lvl>
  </w:abstractNum>
  <w:abstractNum w:abstractNumId="82" w15:restartNumberingAfterBreak="0">
    <w:nsid w:val="064A7F02"/>
    <w:multiLevelType w:val="hybridMultilevel"/>
    <w:tmpl w:val="AB26801A"/>
    <w:lvl w:ilvl="0" w:tplc="FD9E2F90">
      <w:start w:val="1"/>
      <w:numFmt w:val="bullet"/>
      <w:lvlText w:val=""/>
      <w:lvlJc w:val="left"/>
      <w:pPr>
        <w:ind w:left="720" w:hanging="180"/>
      </w:pPr>
      <w:rPr>
        <w:rFonts w:ascii="Symbol" w:hAnsi="Symbol" w:hint="default"/>
      </w:rPr>
    </w:lvl>
    <w:lvl w:ilvl="1" w:tplc="1DDE2D60">
      <w:numFmt w:val="decimal"/>
      <w:lvlText w:val=""/>
      <w:lvlJc w:val="left"/>
    </w:lvl>
    <w:lvl w:ilvl="2" w:tplc="28D6EE94">
      <w:numFmt w:val="decimal"/>
      <w:lvlText w:val=""/>
      <w:lvlJc w:val="left"/>
    </w:lvl>
    <w:lvl w:ilvl="3" w:tplc="38683A8E">
      <w:numFmt w:val="decimal"/>
      <w:lvlText w:val=""/>
      <w:lvlJc w:val="left"/>
    </w:lvl>
    <w:lvl w:ilvl="4" w:tplc="CFA68982">
      <w:numFmt w:val="decimal"/>
      <w:lvlText w:val=""/>
      <w:lvlJc w:val="left"/>
    </w:lvl>
    <w:lvl w:ilvl="5" w:tplc="A238C798">
      <w:numFmt w:val="decimal"/>
      <w:lvlText w:val=""/>
      <w:lvlJc w:val="left"/>
    </w:lvl>
    <w:lvl w:ilvl="6" w:tplc="932A416C">
      <w:numFmt w:val="decimal"/>
      <w:lvlText w:val=""/>
      <w:lvlJc w:val="left"/>
    </w:lvl>
    <w:lvl w:ilvl="7" w:tplc="5E543B40">
      <w:numFmt w:val="decimal"/>
      <w:lvlText w:val=""/>
      <w:lvlJc w:val="left"/>
    </w:lvl>
    <w:lvl w:ilvl="8" w:tplc="76949FCE">
      <w:numFmt w:val="decimal"/>
      <w:lvlText w:val=""/>
      <w:lvlJc w:val="left"/>
    </w:lvl>
  </w:abstractNum>
  <w:abstractNum w:abstractNumId="83" w15:restartNumberingAfterBreak="0">
    <w:nsid w:val="06535D4C"/>
    <w:multiLevelType w:val="hybridMultilevel"/>
    <w:tmpl w:val="DD164AF4"/>
    <w:lvl w:ilvl="0" w:tplc="E66EA68E">
      <w:start w:val="1"/>
      <w:numFmt w:val="bullet"/>
      <w:lvlText w:val=""/>
      <w:lvlJc w:val="left"/>
      <w:pPr>
        <w:ind w:left="720" w:hanging="180"/>
      </w:pPr>
      <w:rPr>
        <w:rFonts w:ascii="Symbol" w:hAnsi="Symbol" w:hint="default"/>
      </w:rPr>
    </w:lvl>
    <w:lvl w:ilvl="1" w:tplc="1FF0843C">
      <w:numFmt w:val="decimal"/>
      <w:lvlText w:val=""/>
      <w:lvlJc w:val="left"/>
    </w:lvl>
    <w:lvl w:ilvl="2" w:tplc="76F63DAA">
      <w:numFmt w:val="decimal"/>
      <w:lvlText w:val=""/>
      <w:lvlJc w:val="left"/>
    </w:lvl>
    <w:lvl w:ilvl="3" w:tplc="0510889E">
      <w:numFmt w:val="decimal"/>
      <w:lvlText w:val=""/>
      <w:lvlJc w:val="left"/>
    </w:lvl>
    <w:lvl w:ilvl="4" w:tplc="897E26D2">
      <w:numFmt w:val="decimal"/>
      <w:lvlText w:val=""/>
      <w:lvlJc w:val="left"/>
    </w:lvl>
    <w:lvl w:ilvl="5" w:tplc="A4024AAE">
      <w:numFmt w:val="decimal"/>
      <w:lvlText w:val=""/>
      <w:lvlJc w:val="left"/>
    </w:lvl>
    <w:lvl w:ilvl="6" w:tplc="7BCCA6E0">
      <w:numFmt w:val="decimal"/>
      <w:lvlText w:val=""/>
      <w:lvlJc w:val="left"/>
    </w:lvl>
    <w:lvl w:ilvl="7" w:tplc="7270C6B2">
      <w:numFmt w:val="decimal"/>
      <w:lvlText w:val=""/>
      <w:lvlJc w:val="left"/>
    </w:lvl>
    <w:lvl w:ilvl="8" w:tplc="4462B094">
      <w:numFmt w:val="decimal"/>
      <w:lvlText w:val=""/>
      <w:lvlJc w:val="left"/>
    </w:lvl>
  </w:abstractNum>
  <w:abstractNum w:abstractNumId="84" w15:restartNumberingAfterBreak="0">
    <w:nsid w:val="067273EE"/>
    <w:multiLevelType w:val="hybridMultilevel"/>
    <w:tmpl w:val="A7584FBE"/>
    <w:lvl w:ilvl="0" w:tplc="B824D290">
      <w:numFmt w:val="decimal"/>
      <w:lvlText w:val=""/>
      <w:lvlJc w:val="left"/>
    </w:lvl>
    <w:lvl w:ilvl="1" w:tplc="7E90CDA4">
      <w:start w:val="1"/>
      <w:numFmt w:val="bullet"/>
      <w:lvlText w:val=""/>
      <w:lvlJc w:val="left"/>
      <w:pPr>
        <w:ind w:left="1440" w:hanging="180"/>
      </w:pPr>
      <w:rPr>
        <w:rFonts w:ascii="Symbol" w:hAnsi="Symbol" w:hint="default"/>
      </w:rPr>
    </w:lvl>
    <w:lvl w:ilvl="2" w:tplc="90522F16">
      <w:numFmt w:val="decimal"/>
      <w:lvlText w:val=""/>
      <w:lvlJc w:val="left"/>
    </w:lvl>
    <w:lvl w:ilvl="3" w:tplc="EDB004BA">
      <w:numFmt w:val="decimal"/>
      <w:lvlText w:val=""/>
      <w:lvlJc w:val="left"/>
    </w:lvl>
    <w:lvl w:ilvl="4" w:tplc="9EA4769E">
      <w:numFmt w:val="decimal"/>
      <w:lvlText w:val=""/>
      <w:lvlJc w:val="left"/>
    </w:lvl>
    <w:lvl w:ilvl="5" w:tplc="30662C2E">
      <w:numFmt w:val="decimal"/>
      <w:lvlText w:val=""/>
      <w:lvlJc w:val="left"/>
    </w:lvl>
    <w:lvl w:ilvl="6" w:tplc="6C16E03C">
      <w:numFmt w:val="decimal"/>
      <w:lvlText w:val=""/>
      <w:lvlJc w:val="left"/>
    </w:lvl>
    <w:lvl w:ilvl="7" w:tplc="18B06338">
      <w:numFmt w:val="decimal"/>
      <w:lvlText w:val=""/>
      <w:lvlJc w:val="left"/>
    </w:lvl>
    <w:lvl w:ilvl="8" w:tplc="F2CAC55A">
      <w:numFmt w:val="decimal"/>
      <w:lvlText w:val=""/>
      <w:lvlJc w:val="left"/>
    </w:lvl>
  </w:abstractNum>
  <w:abstractNum w:abstractNumId="85" w15:restartNumberingAfterBreak="0">
    <w:nsid w:val="06785EC9"/>
    <w:multiLevelType w:val="hybridMultilevel"/>
    <w:tmpl w:val="14CE6A04"/>
    <w:lvl w:ilvl="0" w:tplc="80EA1F14">
      <w:start w:val="1"/>
      <w:numFmt w:val="bullet"/>
      <w:lvlText w:val=""/>
      <w:lvlJc w:val="left"/>
      <w:pPr>
        <w:ind w:left="720" w:hanging="180"/>
      </w:pPr>
      <w:rPr>
        <w:rFonts w:ascii="Symbol" w:hAnsi="Symbol" w:hint="default"/>
      </w:rPr>
    </w:lvl>
    <w:lvl w:ilvl="1" w:tplc="97123D9A">
      <w:numFmt w:val="decimal"/>
      <w:lvlText w:val=""/>
      <w:lvlJc w:val="left"/>
    </w:lvl>
    <w:lvl w:ilvl="2" w:tplc="CFB02090">
      <w:numFmt w:val="decimal"/>
      <w:lvlText w:val=""/>
      <w:lvlJc w:val="left"/>
    </w:lvl>
    <w:lvl w:ilvl="3" w:tplc="BA4EE128">
      <w:numFmt w:val="decimal"/>
      <w:lvlText w:val=""/>
      <w:lvlJc w:val="left"/>
    </w:lvl>
    <w:lvl w:ilvl="4" w:tplc="4FEA3D4A">
      <w:numFmt w:val="decimal"/>
      <w:lvlText w:val=""/>
      <w:lvlJc w:val="left"/>
    </w:lvl>
    <w:lvl w:ilvl="5" w:tplc="9F7015EA">
      <w:numFmt w:val="decimal"/>
      <w:lvlText w:val=""/>
      <w:lvlJc w:val="left"/>
    </w:lvl>
    <w:lvl w:ilvl="6" w:tplc="0BBA2B3A">
      <w:numFmt w:val="decimal"/>
      <w:lvlText w:val=""/>
      <w:lvlJc w:val="left"/>
    </w:lvl>
    <w:lvl w:ilvl="7" w:tplc="CC94BF94">
      <w:numFmt w:val="decimal"/>
      <w:lvlText w:val=""/>
      <w:lvlJc w:val="left"/>
    </w:lvl>
    <w:lvl w:ilvl="8" w:tplc="0AC0A50E">
      <w:numFmt w:val="decimal"/>
      <w:lvlText w:val=""/>
      <w:lvlJc w:val="left"/>
    </w:lvl>
  </w:abstractNum>
  <w:abstractNum w:abstractNumId="86" w15:restartNumberingAfterBreak="0">
    <w:nsid w:val="067C755F"/>
    <w:multiLevelType w:val="hybridMultilevel"/>
    <w:tmpl w:val="0A465F4C"/>
    <w:lvl w:ilvl="0" w:tplc="515A4120">
      <w:numFmt w:val="decimal"/>
      <w:lvlText w:val=""/>
      <w:lvlJc w:val="left"/>
    </w:lvl>
    <w:lvl w:ilvl="1" w:tplc="FD3467EA">
      <w:start w:val="1"/>
      <w:numFmt w:val="bullet"/>
      <w:lvlText w:val=""/>
      <w:lvlJc w:val="left"/>
      <w:pPr>
        <w:ind w:left="1440" w:hanging="180"/>
      </w:pPr>
      <w:rPr>
        <w:rFonts w:ascii="Symbol" w:hAnsi="Symbol" w:hint="default"/>
      </w:rPr>
    </w:lvl>
    <w:lvl w:ilvl="2" w:tplc="0DB098B8">
      <w:numFmt w:val="decimal"/>
      <w:lvlText w:val=""/>
      <w:lvlJc w:val="left"/>
    </w:lvl>
    <w:lvl w:ilvl="3" w:tplc="679C2D3C">
      <w:numFmt w:val="decimal"/>
      <w:lvlText w:val=""/>
      <w:lvlJc w:val="left"/>
    </w:lvl>
    <w:lvl w:ilvl="4" w:tplc="B972BBDE">
      <w:numFmt w:val="decimal"/>
      <w:lvlText w:val=""/>
      <w:lvlJc w:val="left"/>
    </w:lvl>
    <w:lvl w:ilvl="5" w:tplc="E882460A">
      <w:numFmt w:val="decimal"/>
      <w:lvlText w:val=""/>
      <w:lvlJc w:val="left"/>
    </w:lvl>
    <w:lvl w:ilvl="6" w:tplc="3F981EB2">
      <w:numFmt w:val="decimal"/>
      <w:lvlText w:val=""/>
      <w:lvlJc w:val="left"/>
    </w:lvl>
    <w:lvl w:ilvl="7" w:tplc="06EE5ABA">
      <w:numFmt w:val="decimal"/>
      <w:lvlText w:val=""/>
      <w:lvlJc w:val="left"/>
    </w:lvl>
    <w:lvl w:ilvl="8" w:tplc="E6B8A858">
      <w:numFmt w:val="decimal"/>
      <w:lvlText w:val=""/>
      <w:lvlJc w:val="left"/>
    </w:lvl>
  </w:abstractNum>
  <w:abstractNum w:abstractNumId="87" w15:restartNumberingAfterBreak="0">
    <w:nsid w:val="06813B99"/>
    <w:multiLevelType w:val="hybridMultilevel"/>
    <w:tmpl w:val="44803D94"/>
    <w:lvl w:ilvl="0" w:tplc="D39A51C4">
      <w:start w:val="1"/>
      <w:numFmt w:val="bullet"/>
      <w:lvlText w:val=""/>
      <w:lvlJc w:val="left"/>
      <w:pPr>
        <w:ind w:left="720" w:hanging="180"/>
      </w:pPr>
      <w:rPr>
        <w:rFonts w:ascii="Symbol" w:hAnsi="Symbol" w:hint="default"/>
      </w:rPr>
    </w:lvl>
    <w:lvl w:ilvl="1" w:tplc="3DCC1D84">
      <w:numFmt w:val="decimal"/>
      <w:lvlText w:val=""/>
      <w:lvlJc w:val="left"/>
    </w:lvl>
    <w:lvl w:ilvl="2" w:tplc="A6A696DA">
      <w:numFmt w:val="decimal"/>
      <w:lvlText w:val=""/>
      <w:lvlJc w:val="left"/>
    </w:lvl>
    <w:lvl w:ilvl="3" w:tplc="D66CADE6">
      <w:numFmt w:val="decimal"/>
      <w:lvlText w:val=""/>
      <w:lvlJc w:val="left"/>
    </w:lvl>
    <w:lvl w:ilvl="4" w:tplc="E8048E0E">
      <w:numFmt w:val="decimal"/>
      <w:lvlText w:val=""/>
      <w:lvlJc w:val="left"/>
    </w:lvl>
    <w:lvl w:ilvl="5" w:tplc="3912E6DC">
      <w:numFmt w:val="decimal"/>
      <w:lvlText w:val=""/>
      <w:lvlJc w:val="left"/>
    </w:lvl>
    <w:lvl w:ilvl="6" w:tplc="053649EE">
      <w:numFmt w:val="decimal"/>
      <w:lvlText w:val=""/>
      <w:lvlJc w:val="left"/>
    </w:lvl>
    <w:lvl w:ilvl="7" w:tplc="C6C045A2">
      <w:numFmt w:val="decimal"/>
      <w:lvlText w:val=""/>
      <w:lvlJc w:val="left"/>
    </w:lvl>
    <w:lvl w:ilvl="8" w:tplc="E4BC9990">
      <w:numFmt w:val="decimal"/>
      <w:lvlText w:val=""/>
      <w:lvlJc w:val="left"/>
    </w:lvl>
  </w:abstractNum>
  <w:abstractNum w:abstractNumId="88" w15:restartNumberingAfterBreak="0">
    <w:nsid w:val="06870C75"/>
    <w:multiLevelType w:val="hybridMultilevel"/>
    <w:tmpl w:val="445E3F74"/>
    <w:lvl w:ilvl="0" w:tplc="A106FFC0">
      <w:start w:val="1"/>
      <w:numFmt w:val="bullet"/>
      <w:lvlText w:val=""/>
      <w:lvlJc w:val="left"/>
      <w:pPr>
        <w:ind w:left="720" w:hanging="180"/>
      </w:pPr>
      <w:rPr>
        <w:rFonts w:ascii="Symbol" w:hAnsi="Symbol" w:hint="default"/>
      </w:rPr>
    </w:lvl>
    <w:lvl w:ilvl="1" w:tplc="09D22752">
      <w:numFmt w:val="decimal"/>
      <w:lvlText w:val=""/>
      <w:lvlJc w:val="left"/>
    </w:lvl>
    <w:lvl w:ilvl="2" w:tplc="ED6618B8">
      <w:numFmt w:val="decimal"/>
      <w:lvlText w:val=""/>
      <w:lvlJc w:val="left"/>
    </w:lvl>
    <w:lvl w:ilvl="3" w:tplc="901ACEC0">
      <w:numFmt w:val="decimal"/>
      <w:lvlText w:val=""/>
      <w:lvlJc w:val="left"/>
    </w:lvl>
    <w:lvl w:ilvl="4" w:tplc="411C2F32">
      <w:numFmt w:val="decimal"/>
      <w:lvlText w:val=""/>
      <w:lvlJc w:val="left"/>
    </w:lvl>
    <w:lvl w:ilvl="5" w:tplc="158C2170">
      <w:numFmt w:val="decimal"/>
      <w:lvlText w:val=""/>
      <w:lvlJc w:val="left"/>
    </w:lvl>
    <w:lvl w:ilvl="6" w:tplc="16C87FA0">
      <w:numFmt w:val="decimal"/>
      <w:lvlText w:val=""/>
      <w:lvlJc w:val="left"/>
    </w:lvl>
    <w:lvl w:ilvl="7" w:tplc="AE1E4F90">
      <w:numFmt w:val="decimal"/>
      <w:lvlText w:val=""/>
      <w:lvlJc w:val="left"/>
    </w:lvl>
    <w:lvl w:ilvl="8" w:tplc="AD0EA71A">
      <w:numFmt w:val="decimal"/>
      <w:lvlText w:val=""/>
      <w:lvlJc w:val="left"/>
    </w:lvl>
  </w:abstractNum>
  <w:abstractNum w:abstractNumId="89" w15:restartNumberingAfterBreak="0">
    <w:nsid w:val="06871724"/>
    <w:multiLevelType w:val="hybridMultilevel"/>
    <w:tmpl w:val="0B0AC81A"/>
    <w:lvl w:ilvl="0" w:tplc="00FE7F00">
      <w:start w:val="1"/>
      <w:numFmt w:val="bullet"/>
      <w:lvlText w:val=""/>
      <w:lvlJc w:val="left"/>
      <w:pPr>
        <w:ind w:left="720" w:hanging="180"/>
      </w:pPr>
      <w:rPr>
        <w:rFonts w:ascii="Symbol" w:hAnsi="Symbol" w:hint="default"/>
      </w:rPr>
    </w:lvl>
    <w:lvl w:ilvl="1" w:tplc="B9D2508E">
      <w:numFmt w:val="decimal"/>
      <w:lvlText w:val=""/>
      <w:lvlJc w:val="left"/>
    </w:lvl>
    <w:lvl w:ilvl="2" w:tplc="DAC66DE0">
      <w:numFmt w:val="decimal"/>
      <w:lvlText w:val=""/>
      <w:lvlJc w:val="left"/>
    </w:lvl>
    <w:lvl w:ilvl="3" w:tplc="A90A86DA">
      <w:numFmt w:val="decimal"/>
      <w:lvlText w:val=""/>
      <w:lvlJc w:val="left"/>
    </w:lvl>
    <w:lvl w:ilvl="4" w:tplc="C01808DE">
      <w:numFmt w:val="decimal"/>
      <w:lvlText w:val=""/>
      <w:lvlJc w:val="left"/>
    </w:lvl>
    <w:lvl w:ilvl="5" w:tplc="8CFC2558">
      <w:numFmt w:val="decimal"/>
      <w:lvlText w:val=""/>
      <w:lvlJc w:val="left"/>
    </w:lvl>
    <w:lvl w:ilvl="6" w:tplc="2AA4307A">
      <w:numFmt w:val="decimal"/>
      <w:lvlText w:val=""/>
      <w:lvlJc w:val="left"/>
    </w:lvl>
    <w:lvl w:ilvl="7" w:tplc="19A07190">
      <w:numFmt w:val="decimal"/>
      <w:lvlText w:val=""/>
      <w:lvlJc w:val="left"/>
    </w:lvl>
    <w:lvl w:ilvl="8" w:tplc="3FDAE04C">
      <w:numFmt w:val="decimal"/>
      <w:lvlText w:val=""/>
      <w:lvlJc w:val="left"/>
    </w:lvl>
  </w:abstractNum>
  <w:abstractNum w:abstractNumId="90" w15:restartNumberingAfterBreak="0">
    <w:nsid w:val="068C5826"/>
    <w:multiLevelType w:val="hybridMultilevel"/>
    <w:tmpl w:val="093E115C"/>
    <w:lvl w:ilvl="0" w:tplc="53C42088">
      <w:start w:val="1"/>
      <w:numFmt w:val="bullet"/>
      <w:lvlText w:val=""/>
      <w:lvlJc w:val="left"/>
      <w:pPr>
        <w:ind w:left="720" w:hanging="180"/>
      </w:pPr>
      <w:rPr>
        <w:rFonts w:ascii="Symbol" w:hAnsi="Symbol" w:hint="default"/>
      </w:rPr>
    </w:lvl>
    <w:lvl w:ilvl="1" w:tplc="459A8B22">
      <w:numFmt w:val="decimal"/>
      <w:lvlText w:val=""/>
      <w:lvlJc w:val="left"/>
    </w:lvl>
    <w:lvl w:ilvl="2" w:tplc="20BA0B16">
      <w:numFmt w:val="decimal"/>
      <w:lvlText w:val=""/>
      <w:lvlJc w:val="left"/>
    </w:lvl>
    <w:lvl w:ilvl="3" w:tplc="98AA5352">
      <w:numFmt w:val="decimal"/>
      <w:lvlText w:val=""/>
      <w:lvlJc w:val="left"/>
    </w:lvl>
    <w:lvl w:ilvl="4" w:tplc="D6446682">
      <w:numFmt w:val="decimal"/>
      <w:lvlText w:val=""/>
      <w:lvlJc w:val="left"/>
    </w:lvl>
    <w:lvl w:ilvl="5" w:tplc="1B529F50">
      <w:numFmt w:val="decimal"/>
      <w:lvlText w:val=""/>
      <w:lvlJc w:val="left"/>
    </w:lvl>
    <w:lvl w:ilvl="6" w:tplc="52E6B1A4">
      <w:numFmt w:val="decimal"/>
      <w:lvlText w:val=""/>
      <w:lvlJc w:val="left"/>
    </w:lvl>
    <w:lvl w:ilvl="7" w:tplc="894A6440">
      <w:numFmt w:val="decimal"/>
      <w:lvlText w:val=""/>
      <w:lvlJc w:val="left"/>
    </w:lvl>
    <w:lvl w:ilvl="8" w:tplc="673CC046">
      <w:numFmt w:val="decimal"/>
      <w:lvlText w:val=""/>
      <w:lvlJc w:val="left"/>
    </w:lvl>
  </w:abstractNum>
  <w:abstractNum w:abstractNumId="91" w15:restartNumberingAfterBreak="0">
    <w:nsid w:val="068E35A4"/>
    <w:multiLevelType w:val="hybridMultilevel"/>
    <w:tmpl w:val="2274485C"/>
    <w:lvl w:ilvl="0" w:tplc="6BCA851E">
      <w:start w:val="1"/>
      <w:numFmt w:val="bullet"/>
      <w:lvlText w:val=""/>
      <w:lvlJc w:val="left"/>
      <w:pPr>
        <w:ind w:left="720" w:hanging="180"/>
      </w:pPr>
      <w:rPr>
        <w:rFonts w:ascii="Symbol" w:hAnsi="Symbol" w:hint="default"/>
      </w:rPr>
    </w:lvl>
    <w:lvl w:ilvl="1" w:tplc="5EBCC0CC">
      <w:numFmt w:val="decimal"/>
      <w:lvlText w:val=""/>
      <w:lvlJc w:val="left"/>
    </w:lvl>
    <w:lvl w:ilvl="2" w:tplc="FA74ED3E">
      <w:numFmt w:val="decimal"/>
      <w:lvlText w:val=""/>
      <w:lvlJc w:val="left"/>
    </w:lvl>
    <w:lvl w:ilvl="3" w:tplc="F4A29044">
      <w:numFmt w:val="decimal"/>
      <w:lvlText w:val=""/>
      <w:lvlJc w:val="left"/>
    </w:lvl>
    <w:lvl w:ilvl="4" w:tplc="29146BC6">
      <w:numFmt w:val="decimal"/>
      <w:lvlText w:val=""/>
      <w:lvlJc w:val="left"/>
    </w:lvl>
    <w:lvl w:ilvl="5" w:tplc="191A7478">
      <w:numFmt w:val="decimal"/>
      <w:lvlText w:val=""/>
      <w:lvlJc w:val="left"/>
    </w:lvl>
    <w:lvl w:ilvl="6" w:tplc="B0F433EA">
      <w:numFmt w:val="decimal"/>
      <w:lvlText w:val=""/>
      <w:lvlJc w:val="left"/>
    </w:lvl>
    <w:lvl w:ilvl="7" w:tplc="F04C424A">
      <w:numFmt w:val="decimal"/>
      <w:lvlText w:val=""/>
      <w:lvlJc w:val="left"/>
    </w:lvl>
    <w:lvl w:ilvl="8" w:tplc="7C4A9496">
      <w:numFmt w:val="decimal"/>
      <w:lvlText w:val=""/>
      <w:lvlJc w:val="left"/>
    </w:lvl>
  </w:abstractNum>
  <w:abstractNum w:abstractNumId="92" w15:restartNumberingAfterBreak="0">
    <w:nsid w:val="069C4B34"/>
    <w:multiLevelType w:val="hybridMultilevel"/>
    <w:tmpl w:val="877AD3F0"/>
    <w:lvl w:ilvl="0" w:tplc="25F44992">
      <w:start w:val="1"/>
      <w:numFmt w:val="bullet"/>
      <w:lvlText w:val=""/>
      <w:lvlJc w:val="left"/>
      <w:pPr>
        <w:ind w:left="720" w:hanging="180"/>
      </w:pPr>
      <w:rPr>
        <w:rFonts w:ascii="Symbol" w:hAnsi="Symbol" w:hint="default"/>
      </w:rPr>
    </w:lvl>
    <w:lvl w:ilvl="1" w:tplc="E97035C0">
      <w:numFmt w:val="decimal"/>
      <w:lvlText w:val=""/>
      <w:lvlJc w:val="left"/>
    </w:lvl>
    <w:lvl w:ilvl="2" w:tplc="7310B912">
      <w:numFmt w:val="decimal"/>
      <w:lvlText w:val=""/>
      <w:lvlJc w:val="left"/>
    </w:lvl>
    <w:lvl w:ilvl="3" w:tplc="69D47FD2">
      <w:numFmt w:val="decimal"/>
      <w:lvlText w:val=""/>
      <w:lvlJc w:val="left"/>
    </w:lvl>
    <w:lvl w:ilvl="4" w:tplc="3566D6D2">
      <w:numFmt w:val="decimal"/>
      <w:lvlText w:val=""/>
      <w:lvlJc w:val="left"/>
    </w:lvl>
    <w:lvl w:ilvl="5" w:tplc="C39AA0AA">
      <w:numFmt w:val="decimal"/>
      <w:lvlText w:val=""/>
      <w:lvlJc w:val="left"/>
    </w:lvl>
    <w:lvl w:ilvl="6" w:tplc="06101766">
      <w:numFmt w:val="decimal"/>
      <w:lvlText w:val=""/>
      <w:lvlJc w:val="left"/>
    </w:lvl>
    <w:lvl w:ilvl="7" w:tplc="F058F186">
      <w:numFmt w:val="decimal"/>
      <w:lvlText w:val=""/>
      <w:lvlJc w:val="left"/>
    </w:lvl>
    <w:lvl w:ilvl="8" w:tplc="202CBABE">
      <w:numFmt w:val="decimal"/>
      <w:lvlText w:val=""/>
      <w:lvlJc w:val="left"/>
    </w:lvl>
  </w:abstractNum>
  <w:abstractNum w:abstractNumId="93" w15:restartNumberingAfterBreak="0">
    <w:nsid w:val="06D4109C"/>
    <w:multiLevelType w:val="hybridMultilevel"/>
    <w:tmpl w:val="A55647E6"/>
    <w:lvl w:ilvl="0" w:tplc="AB2AFF0E">
      <w:start w:val="1"/>
      <w:numFmt w:val="bullet"/>
      <w:lvlText w:val=""/>
      <w:lvlJc w:val="left"/>
      <w:pPr>
        <w:ind w:left="720" w:hanging="180"/>
      </w:pPr>
      <w:rPr>
        <w:rFonts w:ascii="Symbol" w:hAnsi="Symbol" w:hint="default"/>
      </w:rPr>
    </w:lvl>
    <w:lvl w:ilvl="1" w:tplc="85B28A7A">
      <w:numFmt w:val="decimal"/>
      <w:lvlText w:val=""/>
      <w:lvlJc w:val="left"/>
    </w:lvl>
    <w:lvl w:ilvl="2" w:tplc="E5128C72">
      <w:numFmt w:val="decimal"/>
      <w:lvlText w:val=""/>
      <w:lvlJc w:val="left"/>
    </w:lvl>
    <w:lvl w:ilvl="3" w:tplc="54583EBA">
      <w:numFmt w:val="decimal"/>
      <w:lvlText w:val=""/>
      <w:lvlJc w:val="left"/>
    </w:lvl>
    <w:lvl w:ilvl="4" w:tplc="BDFCF58C">
      <w:numFmt w:val="decimal"/>
      <w:lvlText w:val=""/>
      <w:lvlJc w:val="left"/>
    </w:lvl>
    <w:lvl w:ilvl="5" w:tplc="9F6467B8">
      <w:numFmt w:val="decimal"/>
      <w:lvlText w:val=""/>
      <w:lvlJc w:val="left"/>
    </w:lvl>
    <w:lvl w:ilvl="6" w:tplc="82A2F10A">
      <w:numFmt w:val="decimal"/>
      <w:lvlText w:val=""/>
      <w:lvlJc w:val="left"/>
    </w:lvl>
    <w:lvl w:ilvl="7" w:tplc="9F46C3B2">
      <w:numFmt w:val="decimal"/>
      <w:lvlText w:val=""/>
      <w:lvlJc w:val="left"/>
    </w:lvl>
    <w:lvl w:ilvl="8" w:tplc="205E1E0A">
      <w:numFmt w:val="decimal"/>
      <w:lvlText w:val=""/>
      <w:lvlJc w:val="left"/>
    </w:lvl>
  </w:abstractNum>
  <w:abstractNum w:abstractNumId="94" w15:restartNumberingAfterBreak="0">
    <w:nsid w:val="06DF452E"/>
    <w:multiLevelType w:val="hybridMultilevel"/>
    <w:tmpl w:val="8FC27104"/>
    <w:lvl w:ilvl="0" w:tplc="0BE0E280">
      <w:start w:val="1"/>
      <w:numFmt w:val="bullet"/>
      <w:lvlText w:val=""/>
      <w:lvlJc w:val="left"/>
      <w:pPr>
        <w:ind w:left="720" w:hanging="180"/>
      </w:pPr>
      <w:rPr>
        <w:rFonts w:ascii="Symbol" w:hAnsi="Symbol" w:hint="default"/>
      </w:rPr>
    </w:lvl>
    <w:lvl w:ilvl="1" w:tplc="E85E0484">
      <w:numFmt w:val="decimal"/>
      <w:lvlText w:val=""/>
      <w:lvlJc w:val="left"/>
    </w:lvl>
    <w:lvl w:ilvl="2" w:tplc="76E487EE">
      <w:numFmt w:val="decimal"/>
      <w:lvlText w:val=""/>
      <w:lvlJc w:val="left"/>
    </w:lvl>
    <w:lvl w:ilvl="3" w:tplc="3E627FFC">
      <w:numFmt w:val="decimal"/>
      <w:lvlText w:val=""/>
      <w:lvlJc w:val="left"/>
    </w:lvl>
    <w:lvl w:ilvl="4" w:tplc="56961E98">
      <w:numFmt w:val="decimal"/>
      <w:lvlText w:val=""/>
      <w:lvlJc w:val="left"/>
    </w:lvl>
    <w:lvl w:ilvl="5" w:tplc="F0E06DD2">
      <w:numFmt w:val="decimal"/>
      <w:lvlText w:val=""/>
      <w:lvlJc w:val="left"/>
    </w:lvl>
    <w:lvl w:ilvl="6" w:tplc="7EE83278">
      <w:numFmt w:val="decimal"/>
      <w:lvlText w:val=""/>
      <w:lvlJc w:val="left"/>
    </w:lvl>
    <w:lvl w:ilvl="7" w:tplc="B1E427D8">
      <w:numFmt w:val="decimal"/>
      <w:lvlText w:val=""/>
      <w:lvlJc w:val="left"/>
    </w:lvl>
    <w:lvl w:ilvl="8" w:tplc="F656F200">
      <w:numFmt w:val="decimal"/>
      <w:lvlText w:val=""/>
      <w:lvlJc w:val="left"/>
    </w:lvl>
  </w:abstractNum>
  <w:abstractNum w:abstractNumId="95" w15:restartNumberingAfterBreak="0">
    <w:nsid w:val="06FA63C0"/>
    <w:multiLevelType w:val="hybridMultilevel"/>
    <w:tmpl w:val="3642F6BA"/>
    <w:lvl w:ilvl="0" w:tplc="C6008454">
      <w:start w:val="1"/>
      <w:numFmt w:val="bullet"/>
      <w:lvlText w:val=""/>
      <w:lvlJc w:val="left"/>
      <w:pPr>
        <w:ind w:left="720" w:hanging="180"/>
      </w:pPr>
      <w:rPr>
        <w:rFonts w:ascii="Symbol" w:hAnsi="Symbol" w:hint="default"/>
      </w:rPr>
    </w:lvl>
    <w:lvl w:ilvl="1" w:tplc="FCCCAE54">
      <w:numFmt w:val="decimal"/>
      <w:lvlText w:val=""/>
      <w:lvlJc w:val="left"/>
    </w:lvl>
    <w:lvl w:ilvl="2" w:tplc="4542520C">
      <w:numFmt w:val="decimal"/>
      <w:lvlText w:val=""/>
      <w:lvlJc w:val="left"/>
    </w:lvl>
    <w:lvl w:ilvl="3" w:tplc="2C0E9D7A">
      <w:numFmt w:val="decimal"/>
      <w:lvlText w:val=""/>
      <w:lvlJc w:val="left"/>
    </w:lvl>
    <w:lvl w:ilvl="4" w:tplc="F92E179A">
      <w:numFmt w:val="decimal"/>
      <w:lvlText w:val=""/>
      <w:lvlJc w:val="left"/>
    </w:lvl>
    <w:lvl w:ilvl="5" w:tplc="F8B02760">
      <w:numFmt w:val="decimal"/>
      <w:lvlText w:val=""/>
      <w:lvlJc w:val="left"/>
    </w:lvl>
    <w:lvl w:ilvl="6" w:tplc="074A14A8">
      <w:numFmt w:val="decimal"/>
      <w:lvlText w:val=""/>
      <w:lvlJc w:val="left"/>
    </w:lvl>
    <w:lvl w:ilvl="7" w:tplc="F9640BC2">
      <w:numFmt w:val="decimal"/>
      <w:lvlText w:val=""/>
      <w:lvlJc w:val="left"/>
    </w:lvl>
    <w:lvl w:ilvl="8" w:tplc="4F5845AA">
      <w:numFmt w:val="decimal"/>
      <w:lvlText w:val=""/>
      <w:lvlJc w:val="left"/>
    </w:lvl>
  </w:abstractNum>
  <w:abstractNum w:abstractNumId="96" w15:restartNumberingAfterBreak="0">
    <w:nsid w:val="06FC1F4F"/>
    <w:multiLevelType w:val="hybridMultilevel"/>
    <w:tmpl w:val="8F6CA472"/>
    <w:lvl w:ilvl="0" w:tplc="42D0BA3A">
      <w:numFmt w:val="decimal"/>
      <w:lvlText w:val=""/>
      <w:lvlJc w:val="left"/>
    </w:lvl>
    <w:lvl w:ilvl="1" w:tplc="D60059EC">
      <w:start w:val="1"/>
      <w:numFmt w:val="bullet"/>
      <w:lvlText w:val=""/>
      <w:lvlJc w:val="left"/>
      <w:pPr>
        <w:ind w:left="1440" w:hanging="180"/>
      </w:pPr>
      <w:rPr>
        <w:rFonts w:ascii="Symbol" w:hAnsi="Symbol" w:hint="default"/>
      </w:rPr>
    </w:lvl>
    <w:lvl w:ilvl="2" w:tplc="2F7C3498">
      <w:numFmt w:val="decimal"/>
      <w:lvlText w:val=""/>
      <w:lvlJc w:val="left"/>
    </w:lvl>
    <w:lvl w:ilvl="3" w:tplc="2D768200">
      <w:numFmt w:val="decimal"/>
      <w:lvlText w:val=""/>
      <w:lvlJc w:val="left"/>
    </w:lvl>
    <w:lvl w:ilvl="4" w:tplc="AC18A4A8">
      <w:numFmt w:val="decimal"/>
      <w:lvlText w:val=""/>
      <w:lvlJc w:val="left"/>
    </w:lvl>
    <w:lvl w:ilvl="5" w:tplc="2AD47EB0">
      <w:numFmt w:val="decimal"/>
      <w:lvlText w:val=""/>
      <w:lvlJc w:val="left"/>
    </w:lvl>
    <w:lvl w:ilvl="6" w:tplc="A6F8FCB6">
      <w:numFmt w:val="decimal"/>
      <w:lvlText w:val=""/>
      <w:lvlJc w:val="left"/>
    </w:lvl>
    <w:lvl w:ilvl="7" w:tplc="6DE6A286">
      <w:numFmt w:val="decimal"/>
      <w:lvlText w:val=""/>
      <w:lvlJc w:val="left"/>
    </w:lvl>
    <w:lvl w:ilvl="8" w:tplc="6F00BFE6">
      <w:numFmt w:val="decimal"/>
      <w:lvlText w:val=""/>
      <w:lvlJc w:val="left"/>
    </w:lvl>
  </w:abstractNum>
  <w:abstractNum w:abstractNumId="97" w15:restartNumberingAfterBreak="0">
    <w:nsid w:val="07185822"/>
    <w:multiLevelType w:val="hybridMultilevel"/>
    <w:tmpl w:val="AB68338A"/>
    <w:lvl w:ilvl="0" w:tplc="8BD8601E">
      <w:start w:val="1"/>
      <w:numFmt w:val="bullet"/>
      <w:lvlText w:val=""/>
      <w:lvlJc w:val="left"/>
      <w:pPr>
        <w:ind w:left="720" w:hanging="180"/>
      </w:pPr>
      <w:rPr>
        <w:rFonts w:ascii="Symbol" w:hAnsi="Symbol" w:hint="default"/>
      </w:rPr>
    </w:lvl>
    <w:lvl w:ilvl="1" w:tplc="C1FC5D84">
      <w:numFmt w:val="decimal"/>
      <w:lvlText w:val=""/>
      <w:lvlJc w:val="left"/>
    </w:lvl>
    <w:lvl w:ilvl="2" w:tplc="EC74D248">
      <w:numFmt w:val="decimal"/>
      <w:lvlText w:val=""/>
      <w:lvlJc w:val="left"/>
    </w:lvl>
    <w:lvl w:ilvl="3" w:tplc="9236889C">
      <w:numFmt w:val="decimal"/>
      <w:lvlText w:val=""/>
      <w:lvlJc w:val="left"/>
    </w:lvl>
    <w:lvl w:ilvl="4" w:tplc="52DC49EC">
      <w:numFmt w:val="decimal"/>
      <w:lvlText w:val=""/>
      <w:lvlJc w:val="left"/>
    </w:lvl>
    <w:lvl w:ilvl="5" w:tplc="4964CD6A">
      <w:numFmt w:val="decimal"/>
      <w:lvlText w:val=""/>
      <w:lvlJc w:val="left"/>
    </w:lvl>
    <w:lvl w:ilvl="6" w:tplc="0916CEB6">
      <w:numFmt w:val="decimal"/>
      <w:lvlText w:val=""/>
      <w:lvlJc w:val="left"/>
    </w:lvl>
    <w:lvl w:ilvl="7" w:tplc="A2644CC8">
      <w:numFmt w:val="decimal"/>
      <w:lvlText w:val=""/>
      <w:lvlJc w:val="left"/>
    </w:lvl>
    <w:lvl w:ilvl="8" w:tplc="17929774">
      <w:numFmt w:val="decimal"/>
      <w:lvlText w:val=""/>
      <w:lvlJc w:val="left"/>
    </w:lvl>
  </w:abstractNum>
  <w:abstractNum w:abstractNumId="98" w15:restartNumberingAfterBreak="0">
    <w:nsid w:val="072957EC"/>
    <w:multiLevelType w:val="hybridMultilevel"/>
    <w:tmpl w:val="9C74BF22"/>
    <w:lvl w:ilvl="0" w:tplc="365A9160">
      <w:start w:val="1"/>
      <w:numFmt w:val="bullet"/>
      <w:lvlText w:val=""/>
      <w:lvlJc w:val="left"/>
      <w:pPr>
        <w:ind w:left="720" w:hanging="180"/>
      </w:pPr>
      <w:rPr>
        <w:rFonts w:ascii="Symbol" w:hAnsi="Symbol" w:hint="default"/>
      </w:rPr>
    </w:lvl>
    <w:lvl w:ilvl="1" w:tplc="B9568CE6">
      <w:numFmt w:val="decimal"/>
      <w:lvlText w:val=""/>
      <w:lvlJc w:val="left"/>
    </w:lvl>
    <w:lvl w:ilvl="2" w:tplc="E28CA688">
      <w:numFmt w:val="decimal"/>
      <w:lvlText w:val=""/>
      <w:lvlJc w:val="left"/>
    </w:lvl>
    <w:lvl w:ilvl="3" w:tplc="2CB6C48A">
      <w:numFmt w:val="decimal"/>
      <w:lvlText w:val=""/>
      <w:lvlJc w:val="left"/>
    </w:lvl>
    <w:lvl w:ilvl="4" w:tplc="98B4957C">
      <w:numFmt w:val="decimal"/>
      <w:lvlText w:val=""/>
      <w:lvlJc w:val="left"/>
    </w:lvl>
    <w:lvl w:ilvl="5" w:tplc="63EA8006">
      <w:numFmt w:val="decimal"/>
      <w:lvlText w:val=""/>
      <w:lvlJc w:val="left"/>
    </w:lvl>
    <w:lvl w:ilvl="6" w:tplc="CBFC00EE">
      <w:numFmt w:val="decimal"/>
      <w:lvlText w:val=""/>
      <w:lvlJc w:val="left"/>
    </w:lvl>
    <w:lvl w:ilvl="7" w:tplc="1EA87D7A">
      <w:numFmt w:val="decimal"/>
      <w:lvlText w:val=""/>
      <w:lvlJc w:val="left"/>
    </w:lvl>
    <w:lvl w:ilvl="8" w:tplc="1F02E1BA">
      <w:numFmt w:val="decimal"/>
      <w:lvlText w:val=""/>
      <w:lvlJc w:val="left"/>
    </w:lvl>
  </w:abstractNum>
  <w:abstractNum w:abstractNumId="99" w15:restartNumberingAfterBreak="0">
    <w:nsid w:val="072B1F3F"/>
    <w:multiLevelType w:val="hybridMultilevel"/>
    <w:tmpl w:val="CB948320"/>
    <w:lvl w:ilvl="0" w:tplc="DBD635F6">
      <w:numFmt w:val="decimal"/>
      <w:lvlText w:val=""/>
      <w:lvlJc w:val="left"/>
    </w:lvl>
    <w:lvl w:ilvl="1" w:tplc="74F2D8A4">
      <w:start w:val="1"/>
      <w:numFmt w:val="bullet"/>
      <w:lvlText w:val=""/>
      <w:lvlJc w:val="left"/>
      <w:pPr>
        <w:ind w:left="1440" w:hanging="180"/>
      </w:pPr>
      <w:rPr>
        <w:rFonts w:ascii="Symbol" w:hAnsi="Symbol" w:hint="default"/>
      </w:rPr>
    </w:lvl>
    <w:lvl w:ilvl="2" w:tplc="A7D2AB92">
      <w:numFmt w:val="decimal"/>
      <w:lvlText w:val=""/>
      <w:lvlJc w:val="left"/>
    </w:lvl>
    <w:lvl w:ilvl="3" w:tplc="777AEB26">
      <w:numFmt w:val="decimal"/>
      <w:lvlText w:val=""/>
      <w:lvlJc w:val="left"/>
    </w:lvl>
    <w:lvl w:ilvl="4" w:tplc="D6621106">
      <w:numFmt w:val="decimal"/>
      <w:lvlText w:val=""/>
      <w:lvlJc w:val="left"/>
    </w:lvl>
    <w:lvl w:ilvl="5" w:tplc="8C6C7AE4">
      <w:numFmt w:val="decimal"/>
      <w:lvlText w:val=""/>
      <w:lvlJc w:val="left"/>
    </w:lvl>
    <w:lvl w:ilvl="6" w:tplc="086A4636">
      <w:numFmt w:val="decimal"/>
      <w:lvlText w:val=""/>
      <w:lvlJc w:val="left"/>
    </w:lvl>
    <w:lvl w:ilvl="7" w:tplc="0516753E">
      <w:numFmt w:val="decimal"/>
      <w:lvlText w:val=""/>
      <w:lvlJc w:val="left"/>
    </w:lvl>
    <w:lvl w:ilvl="8" w:tplc="29B8D518">
      <w:numFmt w:val="decimal"/>
      <w:lvlText w:val=""/>
      <w:lvlJc w:val="left"/>
    </w:lvl>
  </w:abstractNum>
  <w:abstractNum w:abstractNumId="100" w15:restartNumberingAfterBreak="0">
    <w:nsid w:val="073E785D"/>
    <w:multiLevelType w:val="hybridMultilevel"/>
    <w:tmpl w:val="9A8A3B6C"/>
    <w:lvl w:ilvl="0" w:tplc="0BEA5AEA">
      <w:start w:val="1"/>
      <w:numFmt w:val="bullet"/>
      <w:lvlText w:val=""/>
      <w:lvlJc w:val="left"/>
      <w:pPr>
        <w:ind w:left="720" w:hanging="180"/>
      </w:pPr>
      <w:rPr>
        <w:rFonts w:ascii="Symbol" w:hAnsi="Symbol" w:hint="default"/>
      </w:rPr>
    </w:lvl>
    <w:lvl w:ilvl="1" w:tplc="48D235D6">
      <w:numFmt w:val="decimal"/>
      <w:lvlText w:val=""/>
      <w:lvlJc w:val="left"/>
    </w:lvl>
    <w:lvl w:ilvl="2" w:tplc="B002AC22">
      <w:numFmt w:val="decimal"/>
      <w:lvlText w:val=""/>
      <w:lvlJc w:val="left"/>
    </w:lvl>
    <w:lvl w:ilvl="3" w:tplc="19CAD5B6">
      <w:numFmt w:val="decimal"/>
      <w:lvlText w:val=""/>
      <w:lvlJc w:val="left"/>
    </w:lvl>
    <w:lvl w:ilvl="4" w:tplc="4C4ED478">
      <w:numFmt w:val="decimal"/>
      <w:lvlText w:val=""/>
      <w:lvlJc w:val="left"/>
    </w:lvl>
    <w:lvl w:ilvl="5" w:tplc="A620CCFC">
      <w:numFmt w:val="decimal"/>
      <w:lvlText w:val=""/>
      <w:lvlJc w:val="left"/>
    </w:lvl>
    <w:lvl w:ilvl="6" w:tplc="6BAE7872">
      <w:numFmt w:val="decimal"/>
      <w:lvlText w:val=""/>
      <w:lvlJc w:val="left"/>
    </w:lvl>
    <w:lvl w:ilvl="7" w:tplc="32229042">
      <w:numFmt w:val="decimal"/>
      <w:lvlText w:val=""/>
      <w:lvlJc w:val="left"/>
    </w:lvl>
    <w:lvl w:ilvl="8" w:tplc="B7AA9EAC">
      <w:numFmt w:val="decimal"/>
      <w:lvlText w:val=""/>
      <w:lvlJc w:val="left"/>
    </w:lvl>
  </w:abstractNum>
  <w:abstractNum w:abstractNumId="101" w15:restartNumberingAfterBreak="0">
    <w:nsid w:val="076979ED"/>
    <w:multiLevelType w:val="hybridMultilevel"/>
    <w:tmpl w:val="89AC2B20"/>
    <w:lvl w:ilvl="0" w:tplc="E8523D62">
      <w:start w:val="1"/>
      <w:numFmt w:val="bullet"/>
      <w:lvlText w:val=""/>
      <w:lvlJc w:val="left"/>
      <w:pPr>
        <w:ind w:left="720" w:hanging="180"/>
      </w:pPr>
      <w:rPr>
        <w:rFonts w:ascii="Symbol" w:hAnsi="Symbol" w:hint="default"/>
      </w:rPr>
    </w:lvl>
    <w:lvl w:ilvl="1" w:tplc="3AB6E4DE">
      <w:numFmt w:val="decimal"/>
      <w:lvlText w:val=""/>
      <w:lvlJc w:val="left"/>
    </w:lvl>
    <w:lvl w:ilvl="2" w:tplc="B8C4C0D6">
      <w:numFmt w:val="decimal"/>
      <w:lvlText w:val=""/>
      <w:lvlJc w:val="left"/>
    </w:lvl>
    <w:lvl w:ilvl="3" w:tplc="52D664FE">
      <w:numFmt w:val="decimal"/>
      <w:lvlText w:val=""/>
      <w:lvlJc w:val="left"/>
    </w:lvl>
    <w:lvl w:ilvl="4" w:tplc="EA06823C">
      <w:numFmt w:val="decimal"/>
      <w:lvlText w:val=""/>
      <w:lvlJc w:val="left"/>
    </w:lvl>
    <w:lvl w:ilvl="5" w:tplc="A4E8DA72">
      <w:numFmt w:val="decimal"/>
      <w:lvlText w:val=""/>
      <w:lvlJc w:val="left"/>
    </w:lvl>
    <w:lvl w:ilvl="6" w:tplc="FD86AC0E">
      <w:numFmt w:val="decimal"/>
      <w:lvlText w:val=""/>
      <w:lvlJc w:val="left"/>
    </w:lvl>
    <w:lvl w:ilvl="7" w:tplc="02C0D5B6">
      <w:numFmt w:val="decimal"/>
      <w:lvlText w:val=""/>
      <w:lvlJc w:val="left"/>
    </w:lvl>
    <w:lvl w:ilvl="8" w:tplc="1FC4F59A">
      <w:numFmt w:val="decimal"/>
      <w:lvlText w:val=""/>
      <w:lvlJc w:val="left"/>
    </w:lvl>
  </w:abstractNum>
  <w:abstractNum w:abstractNumId="102" w15:restartNumberingAfterBreak="0">
    <w:nsid w:val="076B5581"/>
    <w:multiLevelType w:val="hybridMultilevel"/>
    <w:tmpl w:val="1F72DBB4"/>
    <w:lvl w:ilvl="0" w:tplc="39108288">
      <w:start w:val="1"/>
      <w:numFmt w:val="bullet"/>
      <w:lvlText w:val=""/>
      <w:lvlJc w:val="left"/>
      <w:pPr>
        <w:ind w:left="720" w:hanging="180"/>
      </w:pPr>
      <w:rPr>
        <w:rFonts w:ascii="Symbol" w:hAnsi="Symbol" w:hint="default"/>
      </w:rPr>
    </w:lvl>
    <w:lvl w:ilvl="1" w:tplc="26640C7C">
      <w:numFmt w:val="decimal"/>
      <w:lvlText w:val=""/>
      <w:lvlJc w:val="left"/>
    </w:lvl>
    <w:lvl w:ilvl="2" w:tplc="3C70119C">
      <w:numFmt w:val="decimal"/>
      <w:lvlText w:val=""/>
      <w:lvlJc w:val="left"/>
    </w:lvl>
    <w:lvl w:ilvl="3" w:tplc="DB5AC30C">
      <w:numFmt w:val="decimal"/>
      <w:lvlText w:val=""/>
      <w:lvlJc w:val="left"/>
    </w:lvl>
    <w:lvl w:ilvl="4" w:tplc="2834AD72">
      <w:numFmt w:val="decimal"/>
      <w:lvlText w:val=""/>
      <w:lvlJc w:val="left"/>
    </w:lvl>
    <w:lvl w:ilvl="5" w:tplc="968289CC">
      <w:numFmt w:val="decimal"/>
      <w:lvlText w:val=""/>
      <w:lvlJc w:val="left"/>
    </w:lvl>
    <w:lvl w:ilvl="6" w:tplc="F33CFAC6">
      <w:numFmt w:val="decimal"/>
      <w:lvlText w:val=""/>
      <w:lvlJc w:val="left"/>
    </w:lvl>
    <w:lvl w:ilvl="7" w:tplc="244AB70A">
      <w:numFmt w:val="decimal"/>
      <w:lvlText w:val=""/>
      <w:lvlJc w:val="left"/>
    </w:lvl>
    <w:lvl w:ilvl="8" w:tplc="71FC4486">
      <w:numFmt w:val="decimal"/>
      <w:lvlText w:val=""/>
      <w:lvlJc w:val="left"/>
    </w:lvl>
  </w:abstractNum>
  <w:abstractNum w:abstractNumId="103" w15:restartNumberingAfterBreak="0">
    <w:nsid w:val="07917EE1"/>
    <w:multiLevelType w:val="hybridMultilevel"/>
    <w:tmpl w:val="9306D6BC"/>
    <w:lvl w:ilvl="0" w:tplc="7854A234">
      <w:start w:val="1"/>
      <w:numFmt w:val="bullet"/>
      <w:lvlText w:val=""/>
      <w:lvlJc w:val="left"/>
      <w:pPr>
        <w:ind w:left="720" w:hanging="180"/>
      </w:pPr>
      <w:rPr>
        <w:rFonts w:ascii="Symbol" w:hAnsi="Symbol" w:hint="default"/>
      </w:rPr>
    </w:lvl>
    <w:lvl w:ilvl="1" w:tplc="29A2A110">
      <w:numFmt w:val="decimal"/>
      <w:lvlText w:val=""/>
      <w:lvlJc w:val="left"/>
    </w:lvl>
    <w:lvl w:ilvl="2" w:tplc="61BCF66E">
      <w:numFmt w:val="decimal"/>
      <w:lvlText w:val=""/>
      <w:lvlJc w:val="left"/>
    </w:lvl>
    <w:lvl w:ilvl="3" w:tplc="5EE60D50">
      <w:numFmt w:val="decimal"/>
      <w:lvlText w:val=""/>
      <w:lvlJc w:val="left"/>
    </w:lvl>
    <w:lvl w:ilvl="4" w:tplc="0C965C3A">
      <w:numFmt w:val="decimal"/>
      <w:lvlText w:val=""/>
      <w:lvlJc w:val="left"/>
    </w:lvl>
    <w:lvl w:ilvl="5" w:tplc="7E948ED4">
      <w:numFmt w:val="decimal"/>
      <w:lvlText w:val=""/>
      <w:lvlJc w:val="left"/>
    </w:lvl>
    <w:lvl w:ilvl="6" w:tplc="E47AAE7C">
      <w:numFmt w:val="decimal"/>
      <w:lvlText w:val=""/>
      <w:lvlJc w:val="left"/>
    </w:lvl>
    <w:lvl w:ilvl="7" w:tplc="64A2F706">
      <w:numFmt w:val="decimal"/>
      <w:lvlText w:val=""/>
      <w:lvlJc w:val="left"/>
    </w:lvl>
    <w:lvl w:ilvl="8" w:tplc="58508FA8">
      <w:numFmt w:val="decimal"/>
      <w:lvlText w:val=""/>
      <w:lvlJc w:val="left"/>
    </w:lvl>
  </w:abstractNum>
  <w:abstractNum w:abstractNumId="104" w15:restartNumberingAfterBreak="0">
    <w:nsid w:val="07A32B2E"/>
    <w:multiLevelType w:val="hybridMultilevel"/>
    <w:tmpl w:val="98126644"/>
    <w:lvl w:ilvl="0" w:tplc="AF2CA2A4">
      <w:start w:val="1"/>
      <w:numFmt w:val="bullet"/>
      <w:lvlText w:val=""/>
      <w:lvlJc w:val="left"/>
      <w:pPr>
        <w:ind w:left="720" w:hanging="180"/>
      </w:pPr>
      <w:rPr>
        <w:rFonts w:ascii="Symbol" w:hAnsi="Symbol" w:hint="default"/>
      </w:rPr>
    </w:lvl>
    <w:lvl w:ilvl="1" w:tplc="EEA2641A">
      <w:numFmt w:val="decimal"/>
      <w:lvlText w:val=""/>
      <w:lvlJc w:val="left"/>
    </w:lvl>
    <w:lvl w:ilvl="2" w:tplc="D884FF22">
      <w:numFmt w:val="decimal"/>
      <w:lvlText w:val=""/>
      <w:lvlJc w:val="left"/>
    </w:lvl>
    <w:lvl w:ilvl="3" w:tplc="4278803E">
      <w:numFmt w:val="decimal"/>
      <w:lvlText w:val=""/>
      <w:lvlJc w:val="left"/>
    </w:lvl>
    <w:lvl w:ilvl="4" w:tplc="31B438E6">
      <w:numFmt w:val="decimal"/>
      <w:lvlText w:val=""/>
      <w:lvlJc w:val="left"/>
    </w:lvl>
    <w:lvl w:ilvl="5" w:tplc="5FE67888">
      <w:numFmt w:val="decimal"/>
      <w:lvlText w:val=""/>
      <w:lvlJc w:val="left"/>
    </w:lvl>
    <w:lvl w:ilvl="6" w:tplc="9AD46362">
      <w:numFmt w:val="decimal"/>
      <w:lvlText w:val=""/>
      <w:lvlJc w:val="left"/>
    </w:lvl>
    <w:lvl w:ilvl="7" w:tplc="2F88EE34">
      <w:numFmt w:val="decimal"/>
      <w:lvlText w:val=""/>
      <w:lvlJc w:val="left"/>
    </w:lvl>
    <w:lvl w:ilvl="8" w:tplc="C0D66412">
      <w:numFmt w:val="decimal"/>
      <w:lvlText w:val=""/>
      <w:lvlJc w:val="left"/>
    </w:lvl>
  </w:abstractNum>
  <w:abstractNum w:abstractNumId="105" w15:restartNumberingAfterBreak="0">
    <w:nsid w:val="07B2554C"/>
    <w:multiLevelType w:val="hybridMultilevel"/>
    <w:tmpl w:val="104A62AE"/>
    <w:lvl w:ilvl="0" w:tplc="062E938C">
      <w:start w:val="1"/>
      <w:numFmt w:val="bullet"/>
      <w:lvlText w:val=""/>
      <w:lvlJc w:val="left"/>
      <w:pPr>
        <w:ind w:left="720" w:hanging="180"/>
      </w:pPr>
      <w:rPr>
        <w:rFonts w:ascii="Symbol" w:hAnsi="Symbol" w:hint="default"/>
      </w:rPr>
    </w:lvl>
    <w:lvl w:ilvl="1" w:tplc="F336EFEC">
      <w:numFmt w:val="decimal"/>
      <w:lvlText w:val=""/>
      <w:lvlJc w:val="left"/>
    </w:lvl>
    <w:lvl w:ilvl="2" w:tplc="BF1C29D8">
      <w:numFmt w:val="decimal"/>
      <w:lvlText w:val=""/>
      <w:lvlJc w:val="left"/>
    </w:lvl>
    <w:lvl w:ilvl="3" w:tplc="9D36AE00">
      <w:numFmt w:val="decimal"/>
      <w:lvlText w:val=""/>
      <w:lvlJc w:val="left"/>
    </w:lvl>
    <w:lvl w:ilvl="4" w:tplc="A83A2426">
      <w:numFmt w:val="decimal"/>
      <w:lvlText w:val=""/>
      <w:lvlJc w:val="left"/>
    </w:lvl>
    <w:lvl w:ilvl="5" w:tplc="4B64B2AC">
      <w:numFmt w:val="decimal"/>
      <w:lvlText w:val=""/>
      <w:lvlJc w:val="left"/>
    </w:lvl>
    <w:lvl w:ilvl="6" w:tplc="192E7C60">
      <w:numFmt w:val="decimal"/>
      <w:lvlText w:val=""/>
      <w:lvlJc w:val="left"/>
    </w:lvl>
    <w:lvl w:ilvl="7" w:tplc="0DC8348E">
      <w:numFmt w:val="decimal"/>
      <w:lvlText w:val=""/>
      <w:lvlJc w:val="left"/>
    </w:lvl>
    <w:lvl w:ilvl="8" w:tplc="9DC29C92">
      <w:numFmt w:val="decimal"/>
      <w:lvlText w:val=""/>
      <w:lvlJc w:val="left"/>
    </w:lvl>
  </w:abstractNum>
  <w:abstractNum w:abstractNumId="106" w15:restartNumberingAfterBreak="0">
    <w:nsid w:val="07B27000"/>
    <w:multiLevelType w:val="hybridMultilevel"/>
    <w:tmpl w:val="F0908D64"/>
    <w:lvl w:ilvl="0" w:tplc="CBDC3D1C">
      <w:start w:val="1"/>
      <w:numFmt w:val="bullet"/>
      <w:lvlText w:val=""/>
      <w:lvlJc w:val="left"/>
      <w:pPr>
        <w:ind w:left="720" w:hanging="180"/>
      </w:pPr>
      <w:rPr>
        <w:rFonts w:ascii="Symbol" w:hAnsi="Symbol" w:hint="default"/>
      </w:rPr>
    </w:lvl>
    <w:lvl w:ilvl="1" w:tplc="E5BCFF8C">
      <w:numFmt w:val="decimal"/>
      <w:lvlText w:val=""/>
      <w:lvlJc w:val="left"/>
    </w:lvl>
    <w:lvl w:ilvl="2" w:tplc="42C8658A">
      <w:numFmt w:val="decimal"/>
      <w:lvlText w:val=""/>
      <w:lvlJc w:val="left"/>
    </w:lvl>
    <w:lvl w:ilvl="3" w:tplc="BBC2AADA">
      <w:numFmt w:val="decimal"/>
      <w:lvlText w:val=""/>
      <w:lvlJc w:val="left"/>
    </w:lvl>
    <w:lvl w:ilvl="4" w:tplc="DDBCF722">
      <w:numFmt w:val="decimal"/>
      <w:lvlText w:val=""/>
      <w:lvlJc w:val="left"/>
    </w:lvl>
    <w:lvl w:ilvl="5" w:tplc="968AB9BE">
      <w:numFmt w:val="decimal"/>
      <w:lvlText w:val=""/>
      <w:lvlJc w:val="left"/>
    </w:lvl>
    <w:lvl w:ilvl="6" w:tplc="28CC857C">
      <w:numFmt w:val="decimal"/>
      <w:lvlText w:val=""/>
      <w:lvlJc w:val="left"/>
    </w:lvl>
    <w:lvl w:ilvl="7" w:tplc="6BFAB2A8">
      <w:numFmt w:val="decimal"/>
      <w:lvlText w:val=""/>
      <w:lvlJc w:val="left"/>
    </w:lvl>
    <w:lvl w:ilvl="8" w:tplc="78409C76">
      <w:numFmt w:val="decimal"/>
      <w:lvlText w:val=""/>
      <w:lvlJc w:val="left"/>
    </w:lvl>
  </w:abstractNum>
  <w:abstractNum w:abstractNumId="107" w15:restartNumberingAfterBreak="0">
    <w:nsid w:val="07C95042"/>
    <w:multiLevelType w:val="hybridMultilevel"/>
    <w:tmpl w:val="9508C834"/>
    <w:lvl w:ilvl="0" w:tplc="0B449602">
      <w:start w:val="1"/>
      <w:numFmt w:val="bullet"/>
      <w:lvlText w:val=""/>
      <w:lvlJc w:val="left"/>
      <w:pPr>
        <w:ind w:left="720" w:hanging="180"/>
      </w:pPr>
      <w:rPr>
        <w:rFonts w:ascii="Symbol" w:hAnsi="Symbol" w:hint="default"/>
      </w:rPr>
    </w:lvl>
    <w:lvl w:ilvl="1" w:tplc="5F72059E">
      <w:numFmt w:val="decimal"/>
      <w:lvlText w:val=""/>
      <w:lvlJc w:val="left"/>
    </w:lvl>
    <w:lvl w:ilvl="2" w:tplc="E2102A5C">
      <w:numFmt w:val="decimal"/>
      <w:lvlText w:val=""/>
      <w:lvlJc w:val="left"/>
    </w:lvl>
    <w:lvl w:ilvl="3" w:tplc="67023C6E">
      <w:numFmt w:val="decimal"/>
      <w:lvlText w:val=""/>
      <w:lvlJc w:val="left"/>
    </w:lvl>
    <w:lvl w:ilvl="4" w:tplc="92B49C0A">
      <w:numFmt w:val="decimal"/>
      <w:lvlText w:val=""/>
      <w:lvlJc w:val="left"/>
    </w:lvl>
    <w:lvl w:ilvl="5" w:tplc="A05A4F66">
      <w:numFmt w:val="decimal"/>
      <w:lvlText w:val=""/>
      <w:lvlJc w:val="left"/>
    </w:lvl>
    <w:lvl w:ilvl="6" w:tplc="8EC6EB7C">
      <w:numFmt w:val="decimal"/>
      <w:lvlText w:val=""/>
      <w:lvlJc w:val="left"/>
    </w:lvl>
    <w:lvl w:ilvl="7" w:tplc="91086F5A">
      <w:numFmt w:val="decimal"/>
      <w:lvlText w:val=""/>
      <w:lvlJc w:val="left"/>
    </w:lvl>
    <w:lvl w:ilvl="8" w:tplc="3D1A9BB6">
      <w:numFmt w:val="decimal"/>
      <w:lvlText w:val=""/>
      <w:lvlJc w:val="left"/>
    </w:lvl>
  </w:abstractNum>
  <w:abstractNum w:abstractNumId="108" w15:restartNumberingAfterBreak="0">
    <w:nsid w:val="07D0555E"/>
    <w:multiLevelType w:val="hybridMultilevel"/>
    <w:tmpl w:val="77185264"/>
    <w:lvl w:ilvl="0" w:tplc="61AEE192">
      <w:start w:val="1"/>
      <w:numFmt w:val="bullet"/>
      <w:lvlText w:val=""/>
      <w:lvlJc w:val="left"/>
      <w:pPr>
        <w:ind w:left="720" w:hanging="180"/>
      </w:pPr>
      <w:rPr>
        <w:rFonts w:ascii="Symbol" w:hAnsi="Symbol" w:hint="default"/>
      </w:rPr>
    </w:lvl>
    <w:lvl w:ilvl="1" w:tplc="405A4F06">
      <w:numFmt w:val="decimal"/>
      <w:lvlText w:val=""/>
      <w:lvlJc w:val="left"/>
    </w:lvl>
    <w:lvl w:ilvl="2" w:tplc="3144831E">
      <w:numFmt w:val="decimal"/>
      <w:lvlText w:val=""/>
      <w:lvlJc w:val="left"/>
    </w:lvl>
    <w:lvl w:ilvl="3" w:tplc="9A460912">
      <w:numFmt w:val="decimal"/>
      <w:lvlText w:val=""/>
      <w:lvlJc w:val="left"/>
    </w:lvl>
    <w:lvl w:ilvl="4" w:tplc="7A78F516">
      <w:numFmt w:val="decimal"/>
      <w:lvlText w:val=""/>
      <w:lvlJc w:val="left"/>
    </w:lvl>
    <w:lvl w:ilvl="5" w:tplc="094631F2">
      <w:numFmt w:val="decimal"/>
      <w:lvlText w:val=""/>
      <w:lvlJc w:val="left"/>
    </w:lvl>
    <w:lvl w:ilvl="6" w:tplc="5868078C">
      <w:numFmt w:val="decimal"/>
      <w:lvlText w:val=""/>
      <w:lvlJc w:val="left"/>
    </w:lvl>
    <w:lvl w:ilvl="7" w:tplc="EDD47F2E">
      <w:numFmt w:val="decimal"/>
      <w:lvlText w:val=""/>
      <w:lvlJc w:val="left"/>
    </w:lvl>
    <w:lvl w:ilvl="8" w:tplc="681A399E">
      <w:numFmt w:val="decimal"/>
      <w:lvlText w:val=""/>
      <w:lvlJc w:val="left"/>
    </w:lvl>
  </w:abstractNum>
  <w:abstractNum w:abstractNumId="109" w15:restartNumberingAfterBreak="0">
    <w:nsid w:val="07D536CA"/>
    <w:multiLevelType w:val="hybridMultilevel"/>
    <w:tmpl w:val="695AFE64"/>
    <w:lvl w:ilvl="0" w:tplc="0DEC6662">
      <w:start w:val="1"/>
      <w:numFmt w:val="bullet"/>
      <w:lvlText w:val=""/>
      <w:lvlJc w:val="left"/>
      <w:pPr>
        <w:ind w:left="720" w:hanging="180"/>
      </w:pPr>
      <w:rPr>
        <w:rFonts w:ascii="Symbol" w:hAnsi="Symbol" w:hint="default"/>
      </w:rPr>
    </w:lvl>
    <w:lvl w:ilvl="1" w:tplc="5316CC90">
      <w:numFmt w:val="decimal"/>
      <w:lvlText w:val=""/>
      <w:lvlJc w:val="left"/>
    </w:lvl>
    <w:lvl w:ilvl="2" w:tplc="6DAAACB4">
      <w:numFmt w:val="decimal"/>
      <w:lvlText w:val=""/>
      <w:lvlJc w:val="left"/>
    </w:lvl>
    <w:lvl w:ilvl="3" w:tplc="100E4F8E">
      <w:numFmt w:val="decimal"/>
      <w:lvlText w:val=""/>
      <w:lvlJc w:val="left"/>
    </w:lvl>
    <w:lvl w:ilvl="4" w:tplc="61A2103E">
      <w:numFmt w:val="decimal"/>
      <w:lvlText w:val=""/>
      <w:lvlJc w:val="left"/>
    </w:lvl>
    <w:lvl w:ilvl="5" w:tplc="5EE60752">
      <w:numFmt w:val="decimal"/>
      <w:lvlText w:val=""/>
      <w:lvlJc w:val="left"/>
    </w:lvl>
    <w:lvl w:ilvl="6" w:tplc="3F38D7DC">
      <w:numFmt w:val="decimal"/>
      <w:lvlText w:val=""/>
      <w:lvlJc w:val="left"/>
    </w:lvl>
    <w:lvl w:ilvl="7" w:tplc="A7F0279A">
      <w:numFmt w:val="decimal"/>
      <w:lvlText w:val=""/>
      <w:lvlJc w:val="left"/>
    </w:lvl>
    <w:lvl w:ilvl="8" w:tplc="B5446A10">
      <w:numFmt w:val="decimal"/>
      <w:lvlText w:val=""/>
      <w:lvlJc w:val="left"/>
    </w:lvl>
  </w:abstractNum>
  <w:abstractNum w:abstractNumId="110" w15:restartNumberingAfterBreak="0">
    <w:nsid w:val="07DE0BF0"/>
    <w:multiLevelType w:val="hybridMultilevel"/>
    <w:tmpl w:val="4D925EB6"/>
    <w:lvl w:ilvl="0" w:tplc="0282A3DA">
      <w:start w:val="1"/>
      <w:numFmt w:val="bullet"/>
      <w:lvlText w:val=""/>
      <w:lvlJc w:val="left"/>
      <w:pPr>
        <w:ind w:left="720" w:hanging="180"/>
      </w:pPr>
      <w:rPr>
        <w:rFonts w:ascii="Symbol" w:hAnsi="Symbol" w:hint="default"/>
      </w:rPr>
    </w:lvl>
    <w:lvl w:ilvl="1" w:tplc="74463E88">
      <w:numFmt w:val="decimal"/>
      <w:lvlText w:val=""/>
      <w:lvlJc w:val="left"/>
    </w:lvl>
    <w:lvl w:ilvl="2" w:tplc="5308D404">
      <w:numFmt w:val="decimal"/>
      <w:lvlText w:val=""/>
      <w:lvlJc w:val="left"/>
    </w:lvl>
    <w:lvl w:ilvl="3" w:tplc="19AC5E04">
      <w:numFmt w:val="decimal"/>
      <w:lvlText w:val=""/>
      <w:lvlJc w:val="left"/>
    </w:lvl>
    <w:lvl w:ilvl="4" w:tplc="18E211B4">
      <w:numFmt w:val="decimal"/>
      <w:lvlText w:val=""/>
      <w:lvlJc w:val="left"/>
    </w:lvl>
    <w:lvl w:ilvl="5" w:tplc="6DA4B122">
      <w:numFmt w:val="decimal"/>
      <w:lvlText w:val=""/>
      <w:lvlJc w:val="left"/>
    </w:lvl>
    <w:lvl w:ilvl="6" w:tplc="F4B09310">
      <w:numFmt w:val="decimal"/>
      <w:lvlText w:val=""/>
      <w:lvlJc w:val="left"/>
    </w:lvl>
    <w:lvl w:ilvl="7" w:tplc="493C0A92">
      <w:numFmt w:val="decimal"/>
      <w:lvlText w:val=""/>
      <w:lvlJc w:val="left"/>
    </w:lvl>
    <w:lvl w:ilvl="8" w:tplc="D35AC0D4">
      <w:numFmt w:val="decimal"/>
      <w:lvlText w:val=""/>
      <w:lvlJc w:val="left"/>
    </w:lvl>
  </w:abstractNum>
  <w:abstractNum w:abstractNumId="111" w15:restartNumberingAfterBreak="0">
    <w:nsid w:val="07EB7280"/>
    <w:multiLevelType w:val="hybridMultilevel"/>
    <w:tmpl w:val="D6BA50CC"/>
    <w:lvl w:ilvl="0" w:tplc="F716CD20">
      <w:numFmt w:val="decimal"/>
      <w:lvlText w:val=""/>
      <w:lvlJc w:val="left"/>
    </w:lvl>
    <w:lvl w:ilvl="1" w:tplc="D9CACF14">
      <w:start w:val="1"/>
      <w:numFmt w:val="bullet"/>
      <w:lvlText w:val=""/>
      <w:lvlJc w:val="left"/>
      <w:pPr>
        <w:ind w:left="1440" w:hanging="180"/>
      </w:pPr>
      <w:rPr>
        <w:rFonts w:ascii="Symbol" w:hAnsi="Symbol" w:hint="default"/>
      </w:rPr>
    </w:lvl>
    <w:lvl w:ilvl="2" w:tplc="D03C2D48">
      <w:numFmt w:val="decimal"/>
      <w:lvlText w:val=""/>
      <w:lvlJc w:val="left"/>
    </w:lvl>
    <w:lvl w:ilvl="3" w:tplc="B048563C">
      <w:numFmt w:val="decimal"/>
      <w:lvlText w:val=""/>
      <w:lvlJc w:val="left"/>
    </w:lvl>
    <w:lvl w:ilvl="4" w:tplc="CE7C1350">
      <w:numFmt w:val="decimal"/>
      <w:lvlText w:val=""/>
      <w:lvlJc w:val="left"/>
    </w:lvl>
    <w:lvl w:ilvl="5" w:tplc="558E7FD8">
      <w:numFmt w:val="decimal"/>
      <w:lvlText w:val=""/>
      <w:lvlJc w:val="left"/>
    </w:lvl>
    <w:lvl w:ilvl="6" w:tplc="0C00B5BA">
      <w:numFmt w:val="decimal"/>
      <w:lvlText w:val=""/>
      <w:lvlJc w:val="left"/>
    </w:lvl>
    <w:lvl w:ilvl="7" w:tplc="21DA2BA0">
      <w:numFmt w:val="decimal"/>
      <w:lvlText w:val=""/>
      <w:lvlJc w:val="left"/>
    </w:lvl>
    <w:lvl w:ilvl="8" w:tplc="EBA24AF8">
      <w:numFmt w:val="decimal"/>
      <w:lvlText w:val=""/>
      <w:lvlJc w:val="left"/>
    </w:lvl>
  </w:abstractNum>
  <w:abstractNum w:abstractNumId="112" w15:restartNumberingAfterBreak="0">
    <w:nsid w:val="08141146"/>
    <w:multiLevelType w:val="hybridMultilevel"/>
    <w:tmpl w:val="A3741082"/>
    <w:lvl w:ilvl="0" w:tplc="C6509204">
      <w:start w:val="1"/>
      <w:numFmt w:val="bullet"/>
      <w:lvlText w:val=""/>
      <w:lvlJc w:val="left"/>
      <w:pPr>
        <w:ind w:left="720" w:hanging="180"/>
      </w:pPr>
      <w:rPr>
        <w:rFonts w:ascii="Symbol" w:hAnsi="Symbol" w:hint="default"/>
      </w:rPr>
    </w:lvl>
    <w:lvl w:ilvl="1" w:tplc="28FE1724">
      <w:numFmt w:val="decimal"/>
      <w:lvlText w:val=""/>
      <w:lvlJc w:val="left"/>
    </w:lvl>
    <w:lvl w:ilvl="2" w:tplc="0D9EEC4A">
      <w:numFmt w:val="decimal"/>
      <w:lvlText w:val=""/>
      <w:lvlJc w:val="left"/>
    </w:lvl>
    <w:lvl w:ilvl="3" w:tplc="95849114">
      <w:numFmt w:val="decimal"/>
      <w:lvlText w:val=""/>
      <w:lvlJc w:val="left"/>
    </w:lvl>
    <w:lvl w:ilvl="4" w:tplc="0FF6CE3C">
      <w:numFmt w:val="decimal"/>
      <w:lvlText w:val=""/>
      <w:lvlJc w:val="left"/>
    </w:lvl>
    <w:lvl w:ilvl="5" w:tplc="53E86AA4">
      <w:numFmt w:val="decimal"/>
      <w:lvlText w:val=""/>
      <w:lvlJc w:val="left"/>
    </w:lvl>
    <w:lvl w:ilvl="6" w:tplc="AA82EBE2">
      <w:numFmt w:val="decimal"/>
      <w:lvlText w:val=""/>
      <w:lvlJc w:val="left"/>
    </w:lvl>
    <w:lvl w:ilvl="7" w:tplc="CB04F290">
      <w:numFmt w:val="decimal"/>
      <w:lvlText w:val=""/>
      <w:lvlJc w:val="left"/>
    </w:lvl>
    <w:lvl w:ilvl="8" w:tplc="183E7DC0">
      <w:numFmt w:val="decimal"/>
      <w:lvlText w:val=""/>
      <w:lvlJc w:val="left"/>
    </w:lvl>
  </w:abstractNum>
  <w:abstractNum w:abstractNumId="113" w15:restartNumberingAfterBreak="0">
    <w:nsid w:val="081968D4"/>
    <w:multiLevelType w:val="hybridMultilevel"/>
    <w:tmpl w:val="A8A42AD6"/>
    <w:lvl w:ilvl="0" w:tplc="BE1A8B50">
      <w:start w:val="1"/>
      <w:numFmt w:val="bullet"/>
      <w:lvlText w:val=""/>
      <w:lvlJc w:val="left"/>
      <w:pPr>
        <w:ind w:left="720" w:hanging="180"/>
      </w:pPr>
      <w:rPr>
        <w:rFonts w:ascii="Symbol" w:hAnsi="Symbol" w:hint="default"/>
      </w:rPr>
    </w:lvl>
    <w:lvl w:ilvl="1" w:tplc="E6029116">
      <w:numFmt w:val="decimal"/>
      <w:lvlText w:val=""/>
      <w:lvlJc w:val="left"/>
    </w:lvl>
    <w:lvl w:ilvl="2" w:tplc="9A5074A4">
      <w:numFmt w:val="decimal"/>
      <w:lvlText w:val=""/>
      <w:lvlJc w:val="left"/>
    </w:lvl>
    <w:lvl w:ilvl="3" w:tplc="4EBE2BCA">
      <w:numFmt w:val="decimal"/>
      <w:lvlText w:val=""/>
      <w:lvlJc w:val="left"/>
    </w:lvl>
    <w:lvl w:ilvl="4" w:tplc="5246B984">
      <w:numFmt w:val="decimal"/>
      <w:lvlText w:val=""/>
      <w:lvlJc w:val="left"/>
    </w:lvl>
    <w:lvl w:ilvl="5" w:tplc="A0D220FA">
      <w:numFmt w:val="decimal"/>
      <w:lvlText w:val=""/>
      <w:lvlJc w:val="left"/>
    </w:lvl>
    <w:lvl w:ilvl="6" w:tplc="880EE9E6">
      <w:numFmt w:val="decimal"/>
      <w:lvlText w:val=""/>
      <w:lvlJc w:val="left"/>
    </w:lvl>
    <w:lvl w:ilvl="7" w:tplc="BF164DA8">
      <w:numFmt w:val="decimal"/>
      <w:lvlText w:val=""/>
      <w:lvlJc w:val="left"/>
    </w:lvl>
    <w:lvl w:ilvl="8" w:tplc="A2DA3240">
      <w:numFmt w:val="decimal"/>
      <w:lvlText w:val=""/>
      <w:lvlJc w:val="left"/>
    </w:lvl>
  </w:abstractNum>
  <w:abstractNum w:abstractNumId="114" w15:restartNumberingAfterBreak="0">
    <w:nsid w:val="081D7A6B"/>
    <w:multiLevelType w:val="hybridMultilevel"/>
    <w:tmpl w:val="6DF4B856"/>
    <w:lvl w:ilvl="0" w:tplc="52AE6A7C">
      <w:start w:val="1"/>
      <w:numFmt w:val="bullet"/>
      <w:lvlText w:val=""/>
      <w:lvlJc w:val="left"/>
      <w:pPr>
        <w:ind w:left="720" w:hanging="180"/>
      </w:pPr>
      <w:rPr>
        <w:rFonts w:ascii="Symbol" w:hAnsi="Symbol" w:hint="default"/>
      </w:rPr>
    </w:lvl>
    <w:lvl w:ilvl="1" w:tplc="7B446F88">
      <w:numFmt w:val="decimal"/>
      <w:lvlText w:val=""/>
      <w:lvlJc w:val="left"/>
    </w:lvl>
    <w:lvl w:ilvl="2" w:tplc="31029A4A">
      <w:numFmt w:val="decimal"/>
      <w:lvlText w:val=""/>
      <w:lvlJc w:val="left"/>
    </w:lvl>
    <w:lvl w:ilvl="3" w:tplc="999687D2">
      <w:numFmt w:val="decimal"/>
      <w:lvlText w:val=""/>
      <w:lvlJc w:val="left"/>
    </w:lvl>
    <w:lvl w:ilvl="4" w:tplc="101A3096">
      <w:numFmt w:val="decimal"/>
      <w:lvlText w:val=""/>
      <w:lvlJc w:val="left"/>
    </w:lvl>
    <w:lvl w:ilvl="5" w:tplc="3C6C609C">
      <w:numFmt w:val="decimal"/>
      <w:lvlText w:val=""/>
      <w:lvlJc w:val="left"/>
    </w:lvl>
    <w:lvl w:ilvl="6" w:tplc="97B0B424">
      <w:numFmt w:val="decimal"/>
      <w:lvlText w:val=""/>
      <w:lvlJc w:val="left"/>
    </w:lvl>
    <w:lvl w:ilvl="7" w:tplc="5456E058">
      <w:numFmt w:val="decimal"/>
      <w:lvlText w:val=""/>
      <w:lvlJc w:val="left"/>
    </w:lvl>
    <w:lvl w:ilvl="8" w:tplc="1CE28EC4">
      <w:numFmt w:val="decimal"/>
      <w:lvlText w:val=""/>
      <w:lvlJc w:val="left"/>
    </w:lvl>
  </w:abstractNum>
  <w:abstractNum w:abstractNumId="115" w15:restartNumberingAfterBreak="0">
    <w:nsid w:val="0828252D"/>
    <w:multiLevelType w:val="hybridMultilevel"/>
    <w:tmpl w:val="C028672C"/>
    <w:lvl w:ilvl="0" w:tplc="86BC5744">
      <w:start w:val="1"/>
      <w:numFmt w:val="bullet"/>
      <w:lvlText w:val=""/>
      <w:lvlJc w:val="left"/>
      <w:pPr>
        <w:ind w:left="720" w:hanging="180"/>
      </w:pPr>
      <w:rPr>
        <w:rFonts w:ascii="Symbol" w:hAnsi="Symbol" w:hint="default"/>
      </w:rPr>
    </w:lvl>
    <w:lvl w:ilvl="1" w:tplc="1CC031AE">
      <w:numFmt w:val="decimal"/>
      <w:lvlText w:val=""/>
      <w:lvlJc w:val="left"/>
    </w:lvl>
    <w:lvl w:ilvl="2" w:tplc="71228CC0">
      <w:numFmt w:val="decimal"/>
      <w:lvlText w:val=""/>
      <w:lvlJc w:val="left"/>
    </w:lvl>
    <w:lvl w:ilvl="3" w:tplc="3C3888EE">
      <w:numFmt w:val="decimal"/>
      <w:lvlText w:val=""/>
      <w:lvlJc w:val="left"/>
    </w:lvl>
    <w:lvl w:ilvl="4" w:tplc="A68E0B5E">
      <w:numFmt w:val="decimal"/>
      <w:lvlText w:val=""/>
      <w:lvlJc w:val="left"/>
    </w:lvl>
    <w:lvl w:ilvl="5" w:tplc="834C9B48">
      <w:numFmt w:val="decimal"/>
      <w:lvlText w:val=""/>
      <w:lvlJc w:val="left"/>
    </w:lvl>
    <w:lvl w:ilvl="6" w:tplc="830CC166">
      <w:numFmt w:val="decimal"/>
      <w:lvlText w:val=""/>
      <w:lvlJc w:val="left"/>
    </w:lvl>
    <w:lvl w:ilvl="7" w:tplc="163EB494">
      <w:numFmt w:val="decimal"/>
      <w:lvlText w:val=""/>
      <w:lvlJc w:val="left"/>
    </w:lvl>
    <w:lvl w:ilvl="8" w:tplc="3C7E3B60">
      <w:numFmt w:val="decimal"/>
      <w:lvlText w:val=""/>
      <w:lvlJc w:val="left"/>
    </w:lvl>
  </w:abstractNum>
  <w:abstractNum w:abstractNumId="116" w15:restartNumberingAfterBreak="0">
    <w:nsid w:val="084153D9"/>
    <w:multiLevelType w:val="hybridMultilevel"/>
    <w:tmpl w:val="DFC663FE"/>
    <w:lvl w:ilvl="0" w:tplc="7F44D50E">
      <w:start w:val="1"/>
      <w:numFmt w:val="bullet"/>
      <w:lvlText w:val=""/>
      <w:lvlJc w:val="left"/>
      <w:pPr>
        <w:ind w:left="720" w:hanging="180"/>
      </w:pPr>
      <w:rPr>
        <w:rFonts w:ascii="Symbol" w:hAnsi="Symbol" w:hint="default"/>
      </w:rPr>
    </w:lvl>
    <w:lvl w:ilvl="1" w:tplc="19B6BD7E">
      <w:numFmt w:val="decimal"/>
      <w:lvlText w:val=""/>
      <w:lvlJc w:val="left"/>
    </w:lvl>
    <w:lvl w:ilvl="2" w:tplc="01F0C854">
      <w:numFmt w:val="decimal"/>
      <w:lvlText w:val=""/>
      <w:lvlJc w:val="left"/>
    </w:lvl>
    <w:lvl w:ilvl="3" w:tplc="CB2A9982">
      <w:numFmt w:val="decimal"/>
      <w:lvlText w:val=""/>
      <w:lvlJc w:val="left"/>
    </w:lvl>
    <w:lvl w:ilvl="4" w:tplc="85B28884">
      <w:numFmt w:val="decimal"/>
      <w:lvlText w:val=""/>
      <w:lvlJc w:val="left"/>
    </w:lvl>
    <w:lvl w:ilvl="5" w:tplc="B5529F70">
      <w:numFmt w:val="decimal"/>
      <w:lvlText w:val=""/>
      <w:lvlJc w:val="left"/>
    </w:lvl>
    <w:lvl w:ilvl="6" w:tplc="1AF8EDEA">
      <w:numFmt w:val="decimal"/>
      <w:lvlText w:val=""/>
      <w:lvlJc w:val="left"/>
    </w:lvl>
    <w:lvl w:ilvl="7" w:tplc="B69E67F2">
      <w:numFmt w:val="decimal"/>
      <w:lvlText w:val=""/>
      <w:lvlJc w:val="left"/>
    </w:lvl>
    <w:lvl w:ilvl="8" w:tplc="0A6E9104">
      <w:numFmt w:val="decimal"/>
      <w:lvlText w:val=""/>
      <w:lvlJc w:val="left"/>
    </w:lvl>
  </w:abstractNum>
  <w:abstractNum w:abstractNumId="117" w15:restartNumberingAfterBreak="0">
    <w:nsid w:val="085A12A2"/>
    <w:multiLevelType w:val="hybridMultilevel"/>
    <w:tmpl w:val="1236FD0A"/>
    <w:lvl w:ilvl="0" w:tplc="23A01A88">
      <w:start w:val="1"/>
      <w:numFmt w:val="bullet"/>
      <w:lvlText w:val=""/>
      <w:lvlJc w:val="left"/>
      <w:pPr>
        <w:ind w:left="720" w:hanging="180"/>
      </w:pPr>
      <w:rPr>
        <w:rFonts w:ascii="Symbol" w:hAnsi="Symbol" w:hint="default"/>
      </w:rPr>
    </w:lvl>
    <w:lvl w:ilvl="1" w:tplc="3210064C">
      <w:numFmt w:val="decimal"/>
      <w:lvlText w:val=""/>
      <w:lvlJc w:val="left"/>
    </w:lvl>
    <w:lvl w:ilvl="2" w:tplc="0C963D64">
      <w:numFmt w:val="decimal"/>
      <w:lvlText w:val=""/>
      <w:lvlJc w:val="left"/>
    </w:lvl>
    <w:lvl w:ilvl="3" w:tplc="6FCA15AC">
      <w:numFmt w:val="decimal"/>
      <w:lvlText w:val=""/>
      <w:lvlJc w:val="left"/>
    </w:lvl>
    <w:lvl w:ilvl="4" w:tplc="AD90F3B6">
      <w:numFmt w:val="decimal"/>
      <w:lvlText w:val=""/>
      <w:lvlJc w:val="left"/>
    </w:lvl>
    <w:lvl w:ilvl="5" w:tplc="118EB01C">
      <w:numFmt w:val="decimal"/>
      <w:lvlText w:val=""/>
      <w:lvlJc w:val="left"/>
    </w:lvl>
    <w:lvl w:ilvl="6" w:tplc="D00C0B7E">
      <w:numFmt w:val="decimal"/>
      <w:lvlText w:val=""/>
      <w:lvlJc w:val="left"/>
    </w:lvl>
    <w:lvl w:ilvl="7" w:tplc="52CA63D4">
      <w:numFmt w:val="decimal"/>
      <w:lvlText w:val=""/>
      <w:lvlJc w:val="left"/>
    </w:lvl>
    <w:lvl w:ilvl="8" w:tplc="4A1ED98A">
      <w:numFmt w:val="decimal"/>
      <w:lvlText w:val=""/>
      <w:lvlJc w:val="left"/>
    </w:lvl>
  </w:abstractNum>
  <w:abstractNum w:abstractNumId="118" w15:restartNumberingAfterBreak="0">
    <w:nsid w:val="08CD5821"/>
    <w:multiLevelType w:val="hybridMultilevel"/>
    <w:tmpl w:val="6FE065FA"/>
    <w:lvl w:ilvl="0" w:tplc="8018848C">
      <w:start w:val="1"/>
      <w:numFmt w:val="bullet"/>
      <w:lvlText w:val=""/>
      <w:lvlJc w:val="left"/>
      <w:pPr>
        <w:ind w:left="720" w:hanging="180"/>
      </w:pPr>
      <w:rPr>
        <w:rFonts w:ascii="Symbol" w:hAnsi="Symbol" w:hint="default"/>
      </w:rPr>
    </w:lvl>
    <w:lvl w:ilvl="1" w:tplc="6A0E1EF4">
      <w:numFmt w:val="decimal"/>
      <w:lvlText w:val=""/>
      <w:lvlJc w:val="left"/>
    </w:lvl>
    <w:lvl w:ilvl="2" w:tplc="F29C0F5E">
      <w:numFmt w:val="decimal"/>
      <w:lvlText w:val=""/>
      <w:lvlJc w:val="left"/>
    </w:lvl>
    <w:lvl w:ilvl="3" w:tplc="D87CA732">
      <w:numFmt w:val="decimal"/>
      <w:lvlText w:val=""/>
      <w:lvlJc w:val="left"/>
    </w:lvl>
    <w:lvl w:ilvl="4" w:tplc="CA747F0A">
      <w:numFmt w:val="decimal"/>
      <w:lvlText w:val=""/>
      <w:lvlJc w:val="left"/>
    </w:lvl>
    <w:lvl w:ilvl="5" w:tplc="497C8862">
      <w:numFmt w:val="decimal"/>
      <w:lvlText w:val=""/>
      <w:lvlJc w:val="left"/>
    </w:lvl>
    <w:lvl w:ilvl="6" w:tplc="9CFAA4E2">
      <w:numFmt w:val="decimal"/>
      <w:lvlText w:val=""/>
      <w:lvlJc w:val="left"/>
    </w:lvl>
    <w:lvl w:ilvl="7" w:tplc="0688D9B6">
      <w:numFmt w:val="decimal"/>
      <w:lvlText w:val=""/>
      <w:lvlJc w:val="left"/>
    </w:lvl>
    <w:lvl w:ilvl="8" w:tplc="B0682906">
      <w:numFmt w:val="decimal"/>
      <w:lvlText w:val=""/>
      <w:lvlJc w:val="left"/>
    </w:lvl>
  </w:abstractNum>
  <w:abstractNum w:abstractNumId="119" w15:restartNumberingAfterBreak="0">
    <w:nsid w:val="08D75747"/>
    <w:multiLevelType w:val="hybridMultilevel"/>
    <w:tmpl w:val="2812AE5A"/>
    <w:lvl w:ilvl="0" w:tplc="317A6592">
      <w:start w:val="1"/>
      <w:numFmt w:val="bullet"/>
      <w:lvlText w:val=""/>
      <w:lvlJc w:val="left"/>
      <w:pPr>
        <w:ind w:left="720" w:hanging="180"/>
      </w:pPr>
      <w:rPr>
        <w:rFonts w:ascii="Symbol" w:hAnsi="Symbol" w:hint="default"/>
      </w:rPr>
    </w:lvl>
    <w:lvl w:ilvl="1" w:tplc="FF0036E0">
      <w:numFmt w:val="decimal"/>
      <w:lvlText w:val=""/>
      <w:lvlJc w:val="left"/>
    </w:lvl>
    <w:lvl w:ilvl="2" w:tplc="AD868CEC">
      <w:numFmt w:val="decimal"/>
      <w:lvlText w:val=""/>
      <w:lvlJc w:val="left"/>
    </w:lvl>
    <w:lvl w:ilvl="3" w:tplc="C5AA82FE">
      <w:numFmt w:val="decimal"/>
      <w:lvlText w:val=""/>
      <w:lvlJc w:val="left"/>
    </w:lvl>
    <w:lvl w:ilvl="4" w:tplc="D408E456">
      <w:numFmt w:val="decimal"/>
      <w:lvlText w:val=""/>
      <w:lvlJc w:val="left"/>
    </w:lvl>
    <w:lvl w:ilvl="5" w:tplc="5E28C202">
      <w:numFmt w:val="decimal"/>
      <w:lvlText w:val=""/>
      <w:lvlJc w:val="left"/>
    </w:lvl>
    <w:lvl w:ilvl="6" w:tplc="563823C6">
      <w:numFmt w:val="decimal"/>
      <w:lvlText w:val=""/>
      <w:lvlJc w:val="left"/>
    </w:lvl>
    <w:lvl w:ilvl="7" w:tplc="BBECE51C">
      <w:numFmt w:val="decimal"/>
      <w:lvlText w:val=""/>
      <w:lvlJc w:val="left"/>
    </w:lvl>
    <w:lvl w:ilvl="8" w:tplc="F7C8585C">
      <w:numFmt w:val="decimal"/>
      <w:lvlText w:val=""/>
      <w:lvlJc w:val="left"/>
    </w:lvl>
  </w:abstractNum>
  <w:abstractNum w:abstractNumId="120" w15:restartNumberingAfterBreak="0">
    <w:nsid w:val="08D8001B"/>
    <w:multiLevelType w:val="hybridMultilevel"/>
    <w:tmpl w:val="83725480"/>
    <w:lvl w:ilvl="0" w:tplc="3F342338">
      <w:start w:val="1"/>
      <w:numFmt w:val="bullet"/>
      <w:lvlText w:val=""/>
      <w:lvlJc w:val="left"/>
      <w:pPr>
        <w:ind w:left="720" w:hanging="180"/>
      </w:pPr>
      <w:rPr>
        <w:rFonts w:ascii="Symbol" w:hAnsi="Symbol" w:hint="default"/>
      </w:rPr>
    </w:lvl>
    <w:lvl w:ilvl="1" w:tplc="A0A45AEC">
      <w:numFmt w:val="decimal"/>
      <w:lvlText w:val=""/>
      <w:lvlJc w:val="left"/>
    </w:lvl>
    <w:lvl w:ilvl="2" w:tplc="8AF2CC6C">
      <w:numFmt w:val="decimal"/>
      <w:lvlText w:val=""/>
      <w:lvlJc w:val="left"/>
    </w:lvl>
    <w:lvl w:ilvl="3" w:tplc="EA601654">
      <w:numFmt w:val="decimal"/>
      <w:lvlText w:val=""/>
      <w:lvlJc w:val="left"/>
    </w:lvl>
    <w:lvl w:ilvl="4" w:tplc="F72E3558">
      <w:numFmt w:val="decimal"/>
      <w:lvlText w:val=""/>
      <w:lvlJc w:val="left"/>
    </w:lvl>
    <w:lvl w:ilvl="5" w:tplc="EB12CCF6">
      <w:numFmt w:val="decimal"/>
      <w:lvlText w:val=""/>
      <w:lvlJc w:val="left"/>
    </w:lvl>
    <w:lvl w:ilvl="6" w:tplc="A6688954">
      <w:numFmt w:val="decimal"/>
      <w:lvlText w:val=""/>
      <w:lvlJc w:val="left"/>
    </w:lvl>
    <w:lvl w:ilvl="7" w:tplc="E26613B4">
      <w:numFmt w:val="decimal"/>
      <w:lvlText w:val=""/>
      <w:lvlJc w:val="left"/>
    </w:lvl>
    <w:lvl w:ilvl="8" w:tplc="2E9EE4E0">
      <w:numFmt w:val="decimal"/>
      <w:lvlText w:val=""/>
      <w:lvlJc w:val="left"/>
    </w:lvl>
  </w:abstractNum>
  <w:abstractNum w:abstractNumId="121" w15:restartNumberingAfterBreak="0">
    <w:nsid w:val="08E869D8"/>
    <w:multiLevelType w:val="hybridMultilevel"/>
    <w:tmpl w:val="83109BEE"/>
    <w:lvl w:ilvl="0" w:tplc="91B66892">
      <w:start w:val="1"/>
      <w:numFmt w:val="bullet"/>
      <w:lvlText w:val=""/>
      <w:lvlJc w:val="left"/>
      <w:pPr>
        <w:ind w:left="720" w:hanging="180"/>
      </w:pPr>
      <w:rPr>
        <w:rFonts w:ascii="Symbol" w:hAnsi="Symbol" w:hint="default"/>
      </w:rPr>
    </w:lvl>
    <w:lvl w:ilvl="1" w:tplc="49468F2A">
      <w:numFmt w:val="decimal"/>
      <w:lvlText w:val=""/>
      <w:lvlJc w:val="left"/>
    </w:lvl>
    <w:lvl w:ilvl="2" w:tplc="A5A88934">
      <w:numFmt w:val="decimal"/>
      <w:lvlText w:val=""/>
      <w:lvlJc w:val="left"/>
    </w:lvl>
    <w:lvl w:ilvl="3" w:tplc="00921F7E">
      <w:numFmt w:val="decimal"/>
      <w:lvlText w:val=""/>
      <w:lvlJc w:val="left"/>
    </w:lvl>
    <w:lvl w:ilvl="4" w:tplc="AA6EBF90">
      <w:numFmt w:val="decimal"/>
      <w:lvlText w:val=""/>
      <w:lvlJc w:val="left"/>
    </w:lvl>
    <w:lvl w:ilvl="5" w:tplc="7CD45AA8">
      <w:numFmt w:val="decimal"/>
      <w:lvlText w:val=""/>
      <w:lvlJc w:val="left"/>
    </w:lvl>
    <w:lvl w:ilvl="6" w:tplc="3AD0B2BE">
      <w:numFmt w:val="decimal"/>
      <w:lvlText w:val=""/>
      <w:lvlJc w:val="left"/>
    </w:lvl>
    <w:lvl w:ilvl="7" w:tplc="A36AA654">
      <w:numFmt w:val="decimal"/>
      <w:lvlText w:val=""/>
      <w:lvlJc w:val="left"/>
    </w:lvl>
    <w:lvl w:ilvl="8" w:tplc="74926E40">
      <w:numFmt w:val="decimal"/>
      <w:lvlText w:val=""/>
      <w:lvlJc w:val="left"/>
    </w:lvl>
  </w:abstractNum>
  <w:abstractNum w:abstractNumId="122" w15:restartNumberingAfterBreak="0">
    <w:nsid w:val="08F01C14"/>
    <w:multiLevelType w:val="hybridMultilevel"/>
    <w:tmpl w:val="AEBCDF38"/>
    <w:lvl w:ilvl="0" w:tplc="145C89BC">
      <w:start w:val="1"/>
      <w:numFmt w:val="bullet"/>
      <w:lvlText w:val=""/>
      <w:lvlJc w:val="left"/>
      <w:pPr>
        <w:ind w:left="720" w:hanging="180"/>
      </w:pPr>
      <w:rPr>
        <w:rFonts w:ascii="Symbol" w:hAnsi="Symbol" w:hint="default"/>
      </w:rPr>
    </w:lvl>
    <w:lvl w:ilvl="1" w:tplc="6D20FC7C">
      <w:numFmt w:val="decimal"/>
      <w:lvlText w:val=""/>
      <w:lvlJc w:val="left"/>
    </w:lvl>
    <w:lvl w:ilvl="2" w:tplc="B96042DE">
      <w:numFmt w:val="decimal"/>
      <w:lvlText w:val=""/>
      <w:lvlJc w:val="left"/>
    </w:lvl>
    <w:lvl w:ilvl="3" w:tplc="CE7C0138">
      <w:numFmt w:val="decimal"/>
      <w:lvlText w:val=""/>
      <w:lvlJc w:val="left"/>
    </w:lvl>
    <w:lvl w:ilvl="4" w:tplc="0E0AE1FE">
      <w:numFmt w:val="decimal"/>
      <w:lvlText w:val=""/>
      <w:lvlJc w:val="left"/>
    </w:lvl>
    <w:lvl w:ilvl="5" w:tplc="491418A8">
      <w:numFmt w:val="decimal"/>
      <w:lvlText w:val=""/>
      <w:lvlJc w:val="left"/>
    </w:lvl>
    <w:lvl w:ilvl="6" w:tplc="491AB6E4">
      <w:numFmt w:val="decimal"/>
      <w:lvlText w:val=""/>
      <w:lvlJc w:val="left"/>
    </w:lvl>
    <w:lvl w:ilvl="7" w:tplc="B6D48CDC">
      <w:numFmt w:val="decimal"/>
      <w:lvlText w:val=""/>
      <w:lvlJc w:val="left"/>
    </w:lvl>
    <w:lvl w:ilvl="8" w:tplc="3AF096E2">
      <w:numFmt w:val="decimal"/>
      <w:lvlText w:val=""/>
      <w:lvlJc w:val="left"/>
    </w:lvl>
  </w:abstractNum>
  <w:abstractNum w:abstractNumId="123" w15:restartNumberingAfterBreak="0">
    <w:nsid w:val="08FC69B1"/>
    <w:multiLevelType w:val="hybridMultilevel"/>
    <w:tmpl w:val="D02251D6"/>
    <w:lvl w:ilvl="0" w:tplc="CDE68C40">
      <w:numFmt w:val="decimal"/>
      <w:lvlText w:val=""/>
      <w:lvlJc w:val="left"/>
    </w:lvl>
    <w:lvl w:ilvl="1" w:tplc="044A0BB6">
      <w:start w:val="1"/>
      <w:numFmt w:val="bullet"/>
      <w:lvlText w:val=""/>
      <w:lvlJc w:val="left"/>
      <w:pPr>
        <w:ind w:left="1440" w:hanging="180"/>
      </w:pPr>
      <w:rPr>
        <w:rFonts w:ascii="Symbol" w:hAnsi="Symbol" w:hint="default"/>
      </w:rPr>
    </w:lvl>
    <w:lvl w:ilvl="2" w:tplc="8C32E38C">
      <w:numFmt w:val="decimal"/>
      <w:lvlText w:val=""/>
      <w:lvlJc w:val="left"/>
    </w:lvl>
    <w:lvl w:ilvl="3" w:tplc="3724ACFE">
      <w:numFmt w:val="decimal"/>
      <w:lvlText w:val=""/>
      <w:lvlJc w:val="left"/>
    </w:lvl>
    <w:lvl w:ilvl="4" w:tplc="FE7EEC1C">
      <w:numFmt w:val="decimal"/>
      <w:lvlText w:val=""/>
      <w:lvlJc w:val="left"/>
    </w:lvl>
    <w:lvl w:ilvl="5" w:tplc="715072BE">
      <w:numFmt w:val="decimal"/>
      <w:lvlText w:val=""/>
      <w:lvlJc w:val="left"/>
    </w:lvl>
    <w:lvl w:ilvl="6" w:tplc="74124420">
      <w:numFmt w:val="decimal"/>
      <w:lvlText w:val=""/>
      <w:lvlJc w:val="left"/>
    </w:lvl>
    <w:lvl w:ilvl="7" w:tplc="FCEEB8B0">
      <w:numFmt w:val="decimal"/>
      <w:lvlText w:val=""/>
      <w:lvlJc w:val="left"/>
    </w:lvl>
    <w:lvl w:ilvl="8" w:tplc="ABB82B3E">
      <w:numFmt w:val="decimal"/>
      <w:lvlText w:val=""/>
      <w:lvlJc w:val="left"/>
    </w:lvl>
  </w:abstractNum>
  <w:abstractNum w:abstractNumId="124" w15:restartNumberingAfterBreak="0">
    <w:nsid w:val="0919353A"/>
    <w:multiLevelType w:val="hybridMultilevel"/>
    <w:tmpl w:val="6CDC9248"/>
    <w:lvl w:ilvl="0" w:tplc="51BC052E">
      <w:start w:val="1"/>
      <w:numFmt w:val="bullet"/>
      <w:lvlText w:val=""/>
      <w:lvlJc w:val="left"/>
      <w:pPr>
        <w:ind w:left="720" w:hanging="180"/>
      </w:pPr>
      <w:rPr>
        <w:rFonts w:ascii="Symbol" w:hAnsi="Symbol" w:hint="default"/>
      </w:rPr>
    </w:lvl>
    <w:lvl w:ilvl="1" w:tplc="1D709A90">
      <w:numFmt w:val="decimal"/>
      <w:lvlText w:val=""/>
      <w:lvlJc w:val="left"/>
    </w:lvl>
    <w:lvl w:ilvl="2" w:tplc="F94429D4">
      <w:numFmt w:val="decimal"/>
      <w:lvlText w:val=""/>
      <w:lvlJc w:val="left"/>
    </w:lvl>
    <w:lvl w:ilvl="3" w:tplc="0CA09D40">
      <w:numFmt w:val="decimal"/>
      <w:lvlText w:val=""/>
      <w:lvlJc w:val="left"/>
    </w:lvl>
    <w:lvl w:ilvl="4" w:tplc="350EE972">
      <w:numFmt w:val="decimal"/>
      <w:lvlText w:val=""/>
      <w:lvlJc w:val="left"/>
    </w:lvl>
    <w:lvl w:ilvl="5" w:tplc="7DA497AE">
      <w:numFmt w:val="decimal"/>
      <w:lvlText w:val=""/>
      <w:lvlJc w:val="left"/>
    </w:lvl>
    <w:lvl w:ilvl="6" w:tplc="94702FF6">
      <w:numFmt w:val="decimal"/>
      <w:lvlText w:val=""/>
      <w:lvlJc w:val="left"/>
    </w:lvl>
    <w:lvl w:ilvl="7" w:tplc="3D44CC84">
      <w:numFmt w:val="decimal"/>
      <w:lvlText w:val=""/>
      <w:lvlJc w:val="left"/>
    </w:lvl>
    <w:lvl w:ilvl="8" w:tplc="73A2AE70">
      <w:numFmt w:val="decimal"/>
      <w:lvlText w:val=""/>
      <w:lvlJc w:val="left"/>
    </w:lvl>
  </w:abstractNum>
  <w:abstractNum w:abstractNumId="125" w15:restartNumberingAfterBreak="0">
    <w:nsid w:val="09484738"/>
    <w:multiLevelType w:val="hybridMultilevel"/>
    <w:tmpl w:val="CC9AE3DC"/>
    <w:lvl w:ilvl="0" w:tplc="FD0414FC">
      <w:numFmt w:val="decimal"/>
      <w:lvlText w:val=""/>
      <w:lvlJc w:val="left"/>
    </w:lvl>
    <w:lvl w:ilvl="1" w:tplc="52AA97C2">
      <w:start w:val="1"/>
      <w:numFmt w:val="bullet"/>
      <w:lvlText w:val=""/>
      <w:lvlJc w:val="left"/>
      <w:pPr>
        <w:ind w:left="1440" w:hanging="180"/>
      </w:pPr>
      <w:rPr>
        <w:rFonts w:ascii="Symbol" w:hAnsi="Symbol" w:hint="default"/>
      </w:rPr>
    </w:lvl>
    <w:lvl w:ilvl="2" w:tplc="71461560">
      <w:numFmt w:val="decimal"/>
      <w:lvlText w:val=""/>
      <w:lvlJc w:val="left"/>
    </w:lvl>
    <w:lvl w:ilvl="3" w:tplc="5B067308">
      <w:numFmt w:val="decimal"/>
      <w:lvlText w:val=""/>
      <w:lvlJc w:val="left"/>
    </w:lvl>
    <w:lvl w:ilvl="4" w:tplc="59523620">
      <w:numFmt w:val="decimal"/>
      <w:lvlText w:val=""/>
      <w:lvlJc w:val="left"/>
    </w:lvl>
    <w:lvl w:ilvl="5" w:tplc="CEB0EDF6">
      <w:numFmt w:val="decimal"/>
      <w:lvlText w:val=""/>
      <w:lvlJc w:val="left"/>
    </w:lvl>
    <w:lvl w:ilvl="6" w:tplc="B15C951C">
      <w:numFmt w:val="decimal"/>
      <w:lvlText w:val=""/>
      <w:lvlJc w:val="left"/>
    </w:lvl>
    <w:lvl w:ilvl="7" w:tplc="002C182A">
      <w:numFmt w:val="decimal"/>
      <w:lvlText w:val=""/>
      <w:lvlJc w:val="left"/>
    </w:lvl>
    <w:lvl w:ilvl="8" w:tplc="7E4CB9CE">
      <w:numFmt w:val="decimal"/>
      <w:lvlText w:val=""/>
      <w:lvlJc w:val="left"/>
    </w:lvl>
  </w:abstractNum>
  <w:abstractNum w:abstractNumId="126" w15:restartNumberingAfterBreak="0">
    <w:nsid w:val="095071E8"/>
    <w:multiLevelType w:val="hybridMultilevel"/>
    <w:tmpl w:val="455412F6"/>
    <w:lvl w:ilvl="0" w:tplc="AA7A77FA">
      <w:start w:val="1"/>
      <w:numFmt w:val="bullet"/>
      <w:lvlText w:val=""/>
      <w:lvlJc w:val="left"/>
      <w:pPr>
        <w:ind w:left="720" w:hanging="180"/>
      </w:pPr>
      <w:rPr>
        <w:rFonts w:ascii="Symbol" w:hAnsi="Symbol" w:hint="default"/>
      </w:rPr>
    </w:lvl>
    <w:lvl w:ilvl="1" w:tplc="1E12226A">
      <w:numFmt w:val="decimal"/>
      <w:lvlText w:val=""/>
      <w:lvlJc w:val="left"/>
    </w:lvl>
    <w:lvl w:ilvl="2" w:tplc="AA96E61A">
      <w:numFmt w:val="decimal"/>
      <w:lvlText w:val=""/>
      <w:lvlJc w:val="left"/>
    </w:lvl>
    <w:lvl w:ilvl="3" w:tplc="3A005D02">
      <w:numFmt w:val="decimal"/>
      <w:lvlText w:val=""/>
      <w:lvlJc w:val="left"/>
    </w:lvl>
    <w:lvl w:ilvl="4" w:tplc="8E1E8CD4">
      <w:numFmt w:val="decimal"/>
      <w:lvlText w:val=""/>
      <w:lvlJc w:val="left"/>
    </w:lvl>
    <w:lvl w:ilvl="5" w:tplc="32288AFE">
      <w:numFmt w:val="decimal"/>
      <w:lvlText w:val=""/>
      <w:lvlJc w:val="left"/>
    </w:lvl>
    <w:lvl w:ilvl="6" w:tplc="D8E08308">
      <w:numFmt w:val="decimal"/>
      <w:lvlText w:val=""/>
      <w:lvlJc w:val="left"/>
    </w:lvl>
    <w:lvl w:ilvl="7" w:tplc="6A4C7EB6">
      <w:numFmt w:val="decimal"/>
      <w:lvlText w:val=""/>
      <w:lvlJc w:val="left"/>
    </w:lvl>
    <w:lvl w:ilvl="8" w:tplc="B2F27B6A">
      <w:numFmt w:val="decimal"/>
      <w:lvlText w:val=""/>
      <w:lvlJc w:val="left"/>
    </w:lvl>
  </w:abstractNum>
  <w:abstractNum w:abstractNumId="127" w15:restartNumberingAfterBreak="0">
    <w:nsid w:val="095709C7"/>
    <w:multiLevelType w:val="hybridMultilevel"/>
    <w:tmpl w:val="91EEE2C2"/>
    <w:lvl w:ilvl="0" w:tplc="AC06ED2C">
      <w:start w:val="1"/>
      <w:numFmt w:val="bullet"/>
      <w:lvlText w:val=""/>
      <w:lvlJc w:val="left"/>
      <w:pPr>
        <w:ind w:left="720" w:hanging="180"/>
      </w:pPr>
      <w:rPr>
        <w:rFonts w:ascii="Symbol" w:hAnsi="Symbol" w:hint="default"/>
      </w:rPr>
    </w:lvl>
    <w:lvl w:ilvl="1" w:tplc="76A8650A">
      <w:numFmt w:val="decimal"/>
      <w:lvlText w:val=""/>
      <w:lvlJc w:val="left"/>
    </w:lvl>
    <w:lvl w:ilvl="2" w:tplc="9202FD32">
      <w:numFmt w:val="decimal"/>
      <w:lvlText w:val=""/>
      <w:lvlJc w:val="left"/>
    </w:lvl>
    <w:lvl w:ilvl="3" w:tplc="30B616D2">
      <w:numFmt w:val="decimal"/>
      <w:lvlText w:val=""/>
      <w:lvlJc w:val="left"/>
    </w:lvl>
    <w:lvl w:ilvl="4" w:tplc="EB48C67A">
      <w:numFmt w:val="decimal"/>
      <w:lvlText w:val=""/>
      <w:lvlJc w:val="left"/>
    </w:lvl>
    <w:lvl w:ilvl="5" w:tplc="EB44451E">
      <w:numFmt w:val="decimal"/>
      <w:lvlText w:val=""/>
      <w:lvlJc w:val="left"/>
    </w:lvl>
    <w:lvl w:ilvl="6" w:tplc="FEAEFA2E">
      <w:numFmt w:val="decimal"/>
      <w:lvlText w:val=""/>
      <w:lvlJc w:val="left"/>
    </w:lvl>
    <w:lvl w:ilvl="7" w:tplc="422E35A8">
      <w:numFmt w:val="decimal"/>
      <w:lvlText w:val=""/>
      <w:lvlJc w:val="left"/>
    </w:lvl>
    <w:lvl w:ilvl="8" w:tplc="C49E54B2">
      <w:numFmt w:val="decimal"/>
      <w:lvlText w:val=""/>
      <w:lvlJc w:val="left"/>
    </w:lvl>
  </w:abstractNum>
  <w:abstractNum w:abstractNumId="128" w15:restartNumberingAfterBreak="0">
    <w:nsid w:val="09680BAD"/>
    <w:multiLevelType w:val="hybridMultilevel"/>
    <w:tmpl w:val="4F7EE730"/>
    <w:lvl w:ilvl="0" w:tplc="D56E7F54">
      <w:numFmt w:val="decimal"/>
      <w:lvlText w:val=""/>
      <w:lvlJc w:val="left"/>
    </w:lvl>
    <w:lvl w:ilvl="1" w:tplc="4DBA671A">
      <w:start w:val="1"/>
      <w:numFmt w:val="bullet"/>
      <w:lvlText w:val=""/>
      <w:lvlJc w:val="left"/>
      <w:pPr>
        <w:ind w:left="1440" w:hanging="180"/>
      </w:pPr>
      <w:rPr>
        <w:rFonts w:ascii="Symbol" w:hAnsi="Symbol" w:hint="default"/>
      </w:rPr>
    </w:lvl>
    <w:lvl w:ilvl="2" w:tplc="A5EAB418">
      <w:numFmt w:val="decimal"/>
      <w:lvlText w:val=""/>
      <w:lvlJc w:val="left"/>
    </w:lvl>
    <w:lvl w:ilvl="3" w:tplc="724E8176">
      <w:numFmt w:val="decimal"/>
      <w:lvlText w:val=""/>
      <w:lvlJc w:val="left"/>
    </w:lvl>
    <w:lvl w:ilvl="4" w:tplc="F7702FE2">
      <w:numFmt w:val="decimal"/>
      <w:lvlText w:val=""/>
      <w:lvlJc w:val="left"/>
    </w:lvl>
    <w:lvl w:ilvl="5" w:tplc="56B6FF32">
      <w:numFmt w:val="decimal"/>
      <w:lvlText w:val=""/>
      <w:lvlJc w:val="left"/>
    </w:lvl>
    <w:lvl w:ilvl="6" w:tplc="B9BCF438">
      <w:numFmt w:val="decimal"/>
      <w:lvlText w:val=""/>
      <w:lvlJc w:val="left"/>
    </w:lvl>
    <w:lvl w:ilvl="7" w:tplc="CAD60266">
      <w:numFmt w:val="decimal"/>
      <w:lvlText w:val=""/>
      <w:lvlJc w:val="left"/>
    </w:lvl>
    <w:lvl w:ilvl="8" w:tplc="54C45958">
      <w:numFmt w:val="decimal"/>
      <w:lvlText w:val=""/>
      <w:lvlJc w:val="left"/>
    </w:lvl>
  </w:abstractNum>
  <w:abstractNum w:abstractNumId="129" w15:restartNumberingAfterBreak="0">
    <w:nsid w:val="097E5DF2"/>
    <w:multiLevelType w:val="hybridMultilevel"/>
    <w:tmpl w:val="AC70D81C"/>
    <w:lvl w:ilvl="0" w:tplc="4066D70A">
      <w:start w:val="1"/>
      <w:numFmt w:val="bullet"/>
      <w:lvlText w:val=""/>
      <w:lvlJc w:val="left"/>
      <w:pPr>
        <w:ind w:left="720" w:hanging="180"/>
      </w:pPr>
      <w:rPr>
        <w:rFonts w:ascii="Symbol" w:hAnsi="Symbol" w:hint="default"/>
      </w:rPr>
    </w:lvl>
    <w:lvl w:ilvl="1" w:tplc="3E661A80">
      <w:numFmt w:val="decimal"/>
      <w:lvlText w:val=""/>
      <w:lvlJc w:val="left"/>
    </w:lvl>
    <w:lvl w:ilvl="2" w:tplc="FA0AF2DA">
      <w:numFmt w:val="decimal"/>
      <w:lvlText w:val=""/>
      <w:lvlJc w:val="left"/>
    </w:lvl>
    <w:lvl w:ilvl="3" w:tplc="4EBC1AF2">
      <w:numFmt w:val="decimal"/>
      <w:lvlText w:val=""/>
      <w:lvlJc w:val="left"/>
    </w:lvl>
    <w:lvl w:ilvl="4" w:tplc="12745F18">
      <w:numFmt w:val="decimal"/>
      <w:lvlText w:val=""/>
      <w:lvlJc w:val="left"/>
    </w:lvl>
    <w:lvl w:ilvl="5" w:tplc="89341992">
      <w:numFmt w:val="decimal"/>
      <w:lvlText w:val=""/>
      <w:lvlJc w:val="left"/>
    </w:lvl>
    <w:lvl w:ilvl="6" w:tplc="4162B768">
      <w:numFmt w:val="decimal"/>
      <w:lvlText w:val=""/>
      <w:lvlJc w:val="left"/>
    </w:lvl>
    <w:lvl w:ilvl="7" w:tplc="AC38516C">
      <w:numFmt w:val="decimal"/>
      <w:lvlText w:val=""/>
      <w:lvlJc w:val="left"/>
    </w:lvl>
    <w:lvl w:ilvl="8" w:tplc="2108B6DA">
      <w:numFmt w:val="decimal"/>
      <w:lvlText w:val=""/>
      <w:lvlJc w:val="left"/>
    </w:lvl>
  </w:abstractNum>
  <w:abstractNum w:abstractNumId="130" w15:restartNumberingAfterBreak="0">
    <w:nsid w:val="099379A3"/>
    <w:multiLevelType w:val="hybridMultilevel"/>
    <w:tmpl w:val="6B32B56A"/>
    <w:lvl w:ilvl="0" w:tplc="3AC4D576">
      <w:numFmt w:val="decimal"/>
      <w:lvlText w:val=""/>
      <w:lvlJc w:val="left"/>
    </w:lvl>
    <w:lvl w:ilvl="1" w:tplc="A3B045CE">
      <w:start w:val="1"/>
      <w:numFmt w:val="bullet"/>
      <w:lvlText w:val=""/>
      <w:lvlJc w:val="left"/>
      <w:pPr>
        <w:ind w:left="1440" w:hanging="180"/>
      </w:pPr>
      <w:rPr>
        <w:rFonts w:ascii="Symbol" w:hAnsi="Symbol" w:hint="default"/>
      </w:rPr>
    </w:lvl>
    <w:lvl w:ilvl="2" w:tplc="5E0A21F2">
      <w:numFmt w:val="decimal"/>
      <w:lvlText w:val=""/>
      <w:lvlJc w:val="left"/>
    </w:lvl>
    <w:lvl w:ilvl="3" w:tplc="8CF40A44">
      <w:numFmt w:val="decimal"/>
      <w:lvlText w:val=""/>
      <w:lvlJc w:val="left"/>
    </w:lvl>
    <w:lvl w:ilvl="4" w:tplc="0DBA0EF8">
      <w:numFmt w:val="decimal"/>
      <w:lvlText w:val=""/>
      <w:lvlJc w:val="left"/>
    </w:lvl>
    <w:lvl w:ilvl="5" w:tplc="BC56CC68">
      <w:numFmt w:val="decimal"/>
      <w:lvlText w:val=""/>
      <w:lvlJc w:val="left"/>
    </w:lvl>
    <w:lvl w:ilvl="6" w:tplc="42AA0904">
      <w:numFmt w:val="decimal"/>
      <w:lvlText w:val=""/>
      <w:lvlJc w:val="left"/>
    </w:lvl>
    <w:lvl w:ilvl="7" w:tplc="63B22360">
      <w:numFmt w:val="decimal"/>
      <w:lvlText w:val=""/>
      <w:lvlJc w:val="left"/>
    </w:lvl>
    <w:lvl w:ilvl="8" w:tplc="9CA4C704">
      <w:numFmt w:val="decimal"/>
      <w:lvlText w:val=""/>
      <w:lvlJc w:val="left"/>
    </w:lvl>
  </w:abstractNum>
  <w:abstractNum w:abstractNumId="131" w15:restartNumberingAfterBreak="0">
    <w:nsid w:val="09E83D04"/>
    <w:multiLevelType w:val="hybridMultilevel"/>
    <w:tmpl w:val="EACAD1C0"/>
    <w:lvl w:ilvl="0" w:tplc="71647F2A">
      <w:numFmt w:val="decimal"/>
      <w:lvlText w:val=""/>
      <w:lvlJc w:val="left"/>
    </w:lvl>
    <w:lvl w:ilvl="1" w:tplc="EDEAF2E2">
      <w:start w:val="1"/>
      <w:numFmt w:val="bullet"/>
      <w:lvlText w:val=""/>
      <w:lvlJc w:val="left"/>
      <w:pPr>
        <w:ind w:left="1440" w:hanging="180"/>
      </w:pPr>
      <w:rPr>
        <w:rFonts w:ascii="Symbol" w:hAnsi="Symbol" w:hint="default"/>
      </w:rPr>
    </w:lvl>
    <w:lvl w:ilvl="2" w:tplc="897489D6">
      <w:numFmt w:val="decimal"/>
      <w:lvlText w:val=""/>
      <w:lvlJc w:val="left"/>
    </w:lvl>
    <w:lvl w:ilvl="3" w:tplc="57363242">
      <w:numFmt w:val="decimal"/>
      <w:lvlText w:val=""/>
      <w:lvlJc w:val="left"/>
    </w:lvl>
    <w:lvl w:ilvl="4" w:tplc="8410E690">
      <w:numFmt w:val="decimal"/>
      <w:lvlText w:val=""/>
      <w:lvlJc w:val="left"/>
    </w:lvl>
    <w:lvl w:ilvl="5" w:tplc="AFA26728">
      <w:numFmt w:val="decimal"/>
      <w:lvlText w:val=""/>
      <w:lvlJc w:val="left"/>
    </w:lvl>
    <w:lvl w:ilvl="6" w:tplc="DA50EA1C">
      <w:numFmt w:val="decimal"/>
      <w:lvlText w:val=""/>
      <w:lvlJc w:val="left"/>
    </w:lvl>
    <w:lvl w:ilvl="7" w:tplc="CDB88434">
      <w:numFmt w:val="decimal"/>
      <w:lvlText w:val=""/>
      <w:lvlJc w:val="left"/>
    </w:lvl>
    <w:lvl w:ilvl="8" w:tplc="4F60A538">
      <w:numFmt w:val="decimal"/>
      <w:lvlText w:val=""/>
      <w:lvlJc w:val="left"/>
    </w:lvl>
  </w:abstractNum>
  <w:abstractNum w:abstractNumId="132" w15:restartNumberingAfterBreak="0">
    <w:nsid w:val="09E84736"/>
    <w:multiLevelType w:val="hybridMultilevel"/>
    <w:tmpl w:val="54605C16"/>
    <w:lvl w:ilvl="0" w:tplc="2982E7BA">
      <w:start w:val="1"/>
      <w:numFmt w:val="bullet"/>
      <w:lvlText w:val=""/>
      <w:lvlJc w:val="left"/>
      <w:pPr>
        <w:ind w:left="720" w:hanging="180"/>
      </w:pPr>
      <w:rPr>
        <w:rFonts w:ascii="Symbol" w:hAnsi="Symbol" w:hint="default"/>
      </w:rPr>
    </w:lvl>
    <w:lvl w:ilvl="1" w:tplc="54163D08">
      <w:numFmt w:val="decimal"/>
      <w:lvlText w:val=""/>
      <w:lvlJc w:val="left"/>
    </w:lvl>
    <w:lvl w:ilvl="2" w:tplc="EC2A947A">
      <w:numFmt w:val="decimal"/>
      <w:lvlText w:val=""/>
      <w:lvlJc w:val="left"/>
    </w:lvl>
    <w:lvl w:ilvl="3" w:tplc="925E8F16">
      <w:numFmt w:val="decimal"/>
      <w:lvlText w:val=""/>
      <w:lvlJc w:val="left"/>
    </w:lvl>
    <w:lvl w:ilvl="4" w:tplc="D30050E4">
      <w:numFmt w:val="decimal"/>
      <w:lvlText w:val=""/>
      <w:lvlJc w:val="left"/>
    </w:lvl>
    <w:lvl w:ilvl="5" w:tplc="D43826D2">
      <w:numFmt w:val="decimal"/>
      <w:lvlText w:val=""/>
      <w:lvlJc w:val="left"/>
    </w:lvl>
    <w:lvl w:ilvl="6" w:tplc="98D0EFE6">
      <w:numFmt w:val="decimal"/>
      <w:lvlText w:val=""/>
      <w:lvlJc w:val="left"/>
    </w:lvl>
    <w:lvl w:ilvl="7" w:tplc="070E2164">
      <w:numFmt w:val="decimal"/>
      <w:lvlText w:val=""/>
      <w:lvlJc w:val="left"/>
    </w:lvl>
    <w:lvl w:ilvl="8" w:tplc="66321B38">
      <w:numFmt w:val="decimal"/>
      <w:lvlText w:val=""/>
      <w:lvlJc w:val="left"/>
    </w:lvl>
  </w:abstractNum>
  <w:abstractNum w:abstractNumId="133" w15:restartNumberingAfterBreak="0">
    <w:nsid w:val="09F65154"/>
    <w:multiLevelType w:val="hybridMultilevel"/>
    <w:tmpl w:val="B0AE9878"/>
    <w:lvl w:ilvl="0" w:tplc="A358EF00">
      <w:start w:val="1"/>
      <w:numFmt w:val="bullet"/>
      <w:lvlText w:val=""/>
      <w:lvlJc w:val="left"/>
      <w:pPr>
        <w:ind w:left="720" w:hanging="180"/>
      </w:pPr>
      <w:rPr>
        <w:rFonts w:ascii="Symbol" w:hAnsi="Symbol" w:hint="default"/>
      </w:rPr>
    </w:lvl>
    <w:lvl w:ilvl="1" w:tplc="61580230">
      <w:numFmt w:val="decimal"/>
      <w:lvlText w:val=""/>
      <w:lvlJc w:val="left"/>
    </w:lvl>
    <w:lvl w:ilvl="2" w:tplc="500E7800">
      <w:numFmt w:val="decimal"/>
      <w:lvlText w:val=""/>
      <w:lvlJc w:val="left"/>
    </w:lvl>
    <w:lvl w:ilvl="3" w:tplc="0F941DBA">
      <w:numFmt w:val="decimal"/>
      <w:lvlText w:val=""/>
      <w:lvlJc w:val="left"/>
    </w:lvl>
    <w:lvl w:ilvl="4" w:tplc="E2E621D6">
      <w:numFmt w:val="decimal"/>
      <w:lvlText w:val=""/>
      <w:lvlJc w:val="left"/>
    </w:lvl>
    <w:lvl w:ilvl="5" w:tplc="68AC25E6">
      <w:numFmt w:val="decimal"/>
      <w:lvlText w:val=""/>
      <w:lvlJc w:val="left"/>
    </w:lvl>
    <w:lvl w:ilvl="6" w:tplc="45B81C08">
      <w:numFmt w:val="decimal"/>
      <w:lvlText w:val=""/>
      <w:lvlJc w:val="left"/>
    </w:lvl>
    <w:lvl w:ilvl="7" w:tplc="B3A8E52C">
      <w:numFmt w:val="decimal"/>
      <w:lvlText w:val=""/>
      <w:lvlJc w:val="left"/>
    </w:lvl>
    <w:lvl w:ilvl="8" w:tplc="8682D1B8">
      <w:numFmt w:val="decimal"/>
      <w:lvlText w:val=""/>
      <w:lvlJc w:val="left"/>
    </w:lvl>
  </w:abstractNum>
  <w:abstractNum w:abstractNumId="134" w15:restartNumberingAfterBreak="0">
    <w:nsid w:val="09F65ECF"/>
    <w:multiLevelType w:val="hybridMultilevel"/>
    <w:tmpl w:val="C570FB1C"/>
    <w:lvl w:ilvl="0" w:tplc="EF16B61E">
      <w:start w:val="1"/>
      <w:numFmt w:val="bullet"/>
      <w:lvlText w:val=""/>
      <w:lvlJc w:val="left"/>
      <w:pPr>
        <w:ind w:left="720" w:hanging="180"/>
      </w:pPr>
      <w:rPr>
        <w:rFonts w:ascii="Symbol" w:hAnsi="Symbol" w:hint="default"/>
      </w:rPr>
    </w:lvl>
    <w:lvl w:ilvl="1" w:tplc="1F30F846">
      <w:numFmt w:val="decimal"/>
      <w:lvlText w:val=""/>
      <w:lvlJc w:val="left"/>
    </w:lvl>
    <w:lvl w:ilvl="2" w:tplc="4E8CA4A8">
      <w:numFmt w:val="decimal"/>
      <w:lvlText w:val=""/>
      <w:lvlJc w:val="left"/>
    </w:lvl>
    <w:lvl w:ilvl="3" w:tplc="6A7C7440">
      <w:numFmt w:val="decimal"/>
      <w:lvlText w:val=""/>
      <w:lvlJc w:val="left"/>
    </w:lvl>
    <w:lvl w:ilvl="4" w:tplc="40EE6AAC">
      <w:numFmt w:val="decimal"/>
      <w:lvlText w:val=""/>
      <w:lvlJc w:val="left"/>
    </w:lvl>
    <w:lvl w:ilvl="5" w:tplc="E4CCEA9A">
      <w:numFmt w:val="decimal"/>
      <w:lvlText w:val=""/>
      <w:lvlJc w:val="left"/>
    </w:lvl>
    <w:lvl w:ilvl="6" w:tplc="D46A757A">
      <w:numFmt w:val="decimal"/>
      <w:lvlText w:val=""/>
      <w:lvlJc w:val="left"/>
    </w:lvl>
    <w:lvl w:ilvl="7" w:tplc="5504E95E">
      <w:numFmt w:val="decimal"/>
      <w:lvlText w:val=""/>
      <w:lvlJc w:val="left"/>
    </w:lvl>
    <w:lvl w:ilvl="8" w:tplc="4DB22FCA">
      <w:numFmt w:val="decimal"/>
      <w:lvlText w:val=""/>
      <w:lvlJc w:val="left"/>
    </w:lvl>
  </w:abstractNum>
  <w:abstractNum w:abstractNumId="135" w15:restartNumberingAfterBreak="0">
    <w:nsid w:val="09FF26BD"/>
    <w:multiLevelType w:val="hybridMultilevel"/>
    <w:tmpl w:val="969A21EE"/>
    <w:lvl w:ilvl="0" w:tplc="0EEE4734">
      <w:start w:val="1"/>
      <w:numFmt w:val="bullet"/>
      <w:lvlText w:val=""/>
      <w:lvlJc w:val="left"/>
      <w:pPr>
        <w:ind w:left="720" w:hanging="180"/>
      </w:pPr>
      <w:rPr>
        <w:rFonts w:ascii="Symbol" w:hAnsi="Symbol" w:hint="default"/>
      </w:rPr>
    </w:lvl>
    <w:lvl w:ilvl="1" w:tplc="F124BC1E">
      <w:numFmt w:val="decimal"/>
      <w:lvlText w:val=""/>
      <w:lvlJc w:val="left"/>
    </w:lvl>
    <w:lvl w:ilvl="2" w:tplc="5B4E2FB6">
      <w:numFmt w:val="decimal"/>
      <w:lvlText w:val=""/>
      <w:lvlJc w:val="left"/>
    </w:lvl>
    <w:lvl w:ilvl="3" w:tplc="DD9EB4AC">
      <w:numFmt w:val="decimal"/>
      <w:lvlText w:val=""/>
      <w:lvlJc w:val="left"/>
    </w:lvl>
    <w:lvl w:ilvl="4" w:tplc="CECA9752">
      <w:numFmt w:val="decimal"/>
      <w:lvlText w:val=""/>
      <w:lvlJc w:val="left"/>
    </w:lvl>
    <w:lvl w:ilvl="5" w:tplc="B3404D68">
      <w:numFmt w:val="decimal"/>
      <w:lvlText w:val=""/>
      <w:lvlJc w:val="left"/>
    </w:lvl>
    <w:lvl w:ilvl="6" w:tplc="F5684788">
      <w:numFmt w:val="decimal"/>
      <w:lvlText w:val=""/>
      <w:lvlJc w:val="left"/>
    </w:lvl>
    <w:lvl w:ilvl="7" w:tplc="BE52E782">
      <w:numFmt w:val="decimal"/>
      <w:lvlText w:val=""/>
      <w:lvlJc w:val="left"/>
    </w:lvl>
    <w:lvl w:ilvl="8" w:tplc="10EEC7D4">
      <w:numFmt w:val="decimal"/>
      <w:lvlText w:val=""/>
      <w:lvlJc w:val="left"/>
    </w:lvl>
  </w:abstractNum>
  <w:abstractNum w:abstractNumId="136" w15:restartNumberingAfterBreak="0">
    <w:nsid w:val="0A051482"/>
    <w:multiLevelType w:val="hybridMultilevel"/>
    <w:tmpl w:val="0B16A30C"/>
    <w:lvl w:ilvl="0" w:tplc="7AA812C4">
      <w:start w:val="1"/>
      <w:numFmt w:val="bullet"/>
      <w:lvlText w:val=""/>
      <w:lvlJc w:val="left"/>
      <w:pPr>
        <w:ind w:left="720" w:hanging="180"/>
      </w:pPr>
      <w:rPr>
        <w:rFonts w:ascii="Symbol" w:hAnsi="Symbol" w:hint="default"/>
      </w:rPr>
    </w:lvl>
    <w:lvl w:ilvl="1" w:tplc="683AF5A2">
      <w:numFmt w:val="decimal"/>
      <w:lvlText w:val=""/>
      <w:lvlJc w:val="left"/>
    </w:lvl>
    <w:lvl w:ilvl="2" w:tplc="DAF6B9FA">
      <w:numFmt w:val="decimal"/>
      <w:lvlText w:val=""/>
      <w:lvlJc w:val="left"/>
    </w:lvl>
    <w:lvl w:ilvl="3" w:tplc="4CC22CD0">
      <w:numFmt w:val="decimal"/>
      <w:lvlText w:val=""/>
      <w:lvlJc w:val="left"/>
    </w:lvl>
    <w:lvl w:ilvl="4" w:tplc="AA865622">
      <w:numFmt w:val="decimal"/>
      <w:lvlText w:val=""/>
      <w:lvlJc w:val="left"/>
    </w:lvl>
    <w:lvl w:ilvl="5" w:tplc="A8E600AE">
      <w:numFmt w:val="decimal"/>
      <w:lvlText w:val=""/>
      <w:lvlJc w:val="left"/>
    </w:lvl>
    <w:lvl w:ilvl="6" w:tplc="4F282AA2">
      <w:numFmt w:val="decimal"/>
      <w:lvlText w:val=""/>
      <w:lvlJc w:val="left"/>
    </w:lvl>
    <w:lvl w:ilvl="7" w:tplc="D6D2AF3A">
      <w:numFmt w:val="decimal"/>
      <w:lvlText w:val=""/>
      <w:lvlJc w:val="left"/>
    </w:lvl>
    <w:lvl w:ilvl="8" w:tplc="D5BC2644">
      <w:numFmt w:val="decimal"/>
      <w:lvlText w:val=""/>
      <w:lvlJc w:val="left"/>
    </w:lvl>
  </w:abstractNum>
  <w:abstractNum w:abstractNumId="137" w15:restartNumberingAfterBreak="0">
    <w:nsid w:val="0A0D4C64"/>
    <w:multiLevelType w:val="hybridMultilevel"/>
    <w:tmpl w:val="B19C3CF0"/>
    <w:lvl w:ilvl="0" w:tplc="3A2E7908">
      <w:start w:val="1"/>
      <w:numFmt w:val="bullet"/>
      <w:lvlText w:val=""/>
      <w:lvlJc w:val="left"/>
      <w:pPr>
        <w:ind w:left="720" w:hanging="180"/>
      </w:pPr>
      <w:rPr>
        <w:rFonts w:ascii="Symbol" w:hAnsi="Symbol" w:hint="default"/>
      </w:rPr>
    </w:lvl>
    <w:lvl w:ilvl="1" w:tplc="86C00A96">
      <w:numFmt w:val="decimal"/>
      <w:lvlText w:val=""/>
      <w:lvlJc w:val="left"/>
    </w:lvl>
    <w:lvl w:ilvl="2" w:tplc="956CD004">
      <w:numFmt w:val="decimal"/>
      <w:lvlText w:val=""/>
      <w:lvlJc w:val="left"/>
    </w:lvl>
    <w:lvl w:ilvl="3" w:tplc="AF721E1A">
      <w:numFmt w:val="decimal"/>
      <w:lvlText w:val=""/>
      <w:lvlJc w:val="left"/>
    </w:lvl>
    <w:lvl w:ilvl="4" w:tplc="0D64F2C0">
      <w:numFmt w:val="decimal"/>
      <w:lvlText w:val=""/>
      <w:lvlJc w:val="left"/>
    </w:lvl>
    <w:lvl w:ilvl="5" w:tplc="5FC46412">
      <w:numFmt w:val="decimal"/>
      <w:lvlText w:val=""/>
      <w:lvlJc w:val="left"/>
    </w:lvl>
    <w:lvl w:ilvl="6" w:tplc="9CACE21E">
      <w:numFmt w:val="decimal"/>
      <w:lvlText w:val=""/>
      <w:lvlJc w:val="left"/>
    </w:lvl>
    <w:lvl w:ilvl="7" w:tplc="1C6CAF62">
      <w:numFmt w:val="decimal"/>
      <w:lvlText w:val=""/>
      <w:lvlJc w:val="left"/>
    </w:lvl>
    <w:lvl w:ilvl="8" w:tplc="AE462184">
      <w:numFmt w:val="decimal"/>
      <w:lvlText w:val=""/>
      <w:lvlJc w:val="left"/>
    </w:lvl>
  </w:abstractNum>
  <w:abstractNum w:abstractNumId="138" w15:restartNumberingAfterBreak="0">
    <w:nsid w:val="0A1453F9"/>
    <w:multiLevelType w:val="hybridMultilevel"/>
    <w:tmpl w:val="6D3ADEF8"/>
    <w:lvl w:ilvl="0" w:tplc="5B02E66C">
      <w:start w:val="1"/>
      <w:numFmt w:val="bullet"/>
      <w:lvlText w:val=""/>
      <w:lvlJc w:val="left"/>
      <w:pPr>
        <w:ind w:left="720" w:hanging="180"/>
      </w:pPr>
      <w:rPr>
        <w:rFonts w:ascii="Symbol" w:hAnsi="Symbol" w:hint="default"/>
      </w:rPr>
    </w:lvl>
    <w:lvl w:ilvl="1" w:tplc="444464D4">
      <w:numFmt w:val="decimal"/>
      <w:lvlText w:val=""/>
      <w:lvlJc w:val="left"/>
    </w:lvl>
    <w:lvl w:ilvl="2" w:tplc="AE0485DA">
      <w:numFmt w:val="decimal"/>
      <w:lvlText w:val=""/>
      <w:lvlJc w:val="left"/>
    </w:lvl>
    <w:lvl w:ilvl="3" w:tplc="66F8B1EC">
      <w:numFmt w:val="decimal"/>
      <w:lvlText w:val=""/>
      <w:lvlJc w:val="left"/>
    </w:lvl>
    <w:lvl w:ilvl="4" w:tplc="1E809CDA">
      <w:numFmt w:val="decimal"/>
      <w:lvlText w:val=""/>
      <w:lvlJc w:val="left"/>
    </w:lvl>
    <w:lvl w:ilvl="5" w:tplc="088A0A82">
      <w:numFmt w:val="decimal"/>
      <w:lvlText w:val=""/>
      <w:lvlJc w:val="left"/>
    </w:lvl>
    <w:lvl w:ilvl="6" w:tplc="7A848F28">
      <w:numFmt w:val="decimal"/>
      <w:lvlText w:val=""/>
      <w:lvlJc w:val="left"/>
    </w:lvl>
    <w:lvl w:ilvl="7" w:tplc="85AA6AFC">
      <w:numFmt w:val="decimal"/>
      <w:lvlText w:val=""/>
      <w:lvlJc w:val="left"/>
    </w:lvl>
    <w:lvl w:ilvl="8" w:tplc="A39AE448">
      <w:numFmt w:val="decimal"/>
      <w:lvlText w:val=""/>
      <w:lvlJc w:val="left"/>
    </w:lvl>
  </w:abstractNum>
  <w:abstractNum w:abstractNumId="139" w15:restartNumberingAfterBreak="0">
    <w:nsid w:val="0A232019"/>
    <w:multiLevelType w:val="hybridMultilevel"/>
    <w:tmpl w:val="4C22096E"/>
    <w:lvl w:ilvl="0" w:tplc="1F16CFE8">
      <w:start w:val="1"/>
      <w:numFmt w:val="bullet"/>
      <w:lvlText w:val=""/>
      <w:lvlJc w:val="left"/>
      <w:pPr>
        <w:ind w:left="720" w:hanging="180"/>
      </w:pPr>
      <w:rPr>
        <w:rFonts w:ascii="Symbol" w:hAnsi="Symbol" w:hint="default"/>
      </w:rPr>
    </w:lvl>
    <w:lvl w:ilvl="1" w:tplc="B15E153E">
      <w:numFmt w:val="decimal"/>
      <w:lvlText w:val=""/>
      <w:lvlJc w:val="left"/>
    </w:lvl>
    <w:lvl w:ilvl="2" w:tplc="338E2646">
      <w:numFmt w:val="decimal"/>
      <w:lvlText w:val=""/>
      <w:lvlJc w:val="left"/>
    </w:lvl>
    <w:lvl w:ilvl="3" w:tplc="C0AADA64">
      <w:numFmt w:val="decimal"/>
      <w:lvlText w:val=""/>
      <w:lvlJc w:val="left"/>
    </w:lvl>
    <w:lvl w:ilvl="4" w:tplc="C9EE64B4">
      <w:numFmt w:val="decimal"/>
      <w:lvlText w:val=""/>
      <w:lvlJc w:val="left"/>
    </w:lvl>
    <w:lvl w:ilvl="5" w:tplc="E32A4DBA">
      <w:numFmt w:val="decimal"/>
      <w:lvlText w:val=""/>
      <w:lvlJc w:val="left"/>
    </w:lvl>
    <w:lvl w:ilvl="6" w:tplc="70C6C826">
      <w:numFmt w:val="decimal"/>
      <w:lvlText w:val=""/>
      <w:lvlJc w:val="left"/>
    </w:lvl>
    <w:lvl w:ilvl="7" w:tplc="CEFAFD9E">
      <w:numFmt w:val="decimal"/>
      <w:lvlText w:val=""/>
      <w:lvlJc w:val="left"/>
    </w:lvl>
    <w:lvl w:ilvl="8" w:tplc="3754F3F8">
      <w:numFmt w:val="decimal"/>
      <w:lvlText w:val=""/>
      <w:lvlJc w:val="left"/>
    </w:lvl>
  </w:abstractNum>
  <w:abstractNum w:abstractNumId="140" w15:restartNumberingAfterBreak="0">
    <w:nsid w:val="0A46518D"/>
    <w:multiLevelType w:val="hybridMultilevel"/>
    <w:tmpl w:val="8512696E"/>
    <w:lvl w:ilvl="0" w:tplc="FF6A284A">
      <w:start w:val="1"/>
      <w:numFmt w:val="bullet"/>
      <w:lvlText w:val=""/>
      <w:lvlJc w:val="left"/>
      <w:pPr>
        <w:ind w:left="720" w:hanging="180"/>
      </w:pPr>
      <w:rPr>
        <w:rFonts w:ascii="Symbol" w:hAnsi="Symbol" w:hint="default"/>
      </w:rPr>
    </w:lvl>
    <w:lvl w:ilvl="1" w:tplc="2D602608">
      <w:numFmt w:val="decimal"/>
      <w:lvlText w:val=""/>
      <w:lvlJc w:val="left"/>
    </w:lvl>
    <w:lvl w:ilvl="2" w:tplc="8616621E">
      <w:numFmt w:val="decimal"/>
      <w:lvlText w:val=""/>
      <w:lvlJc w:val="left"/>
    </w:lvl>
    <w:lvl w:ilvl="3" w:tplc="AC0CBF68">
      <w:numFmt w:val="decimal"/>
      <w:lvlText w:val=""/>
      <w:lvlJc w:val="left"/>
    </w:lvl>
    <w:lvl w:ilvl="4" w:tplc="A59AA400">
      <w:numFmt w:val="decimal"/>
      <w:lvlText w:val=""/>
      <w:lvlJc w:val="left"/>
    </w:lvl>
    <w:lvl w:ilvl="5" w:tplc="05B67D3A">
      <w:numFmt w:val="decimal"/>
      <w:lvlText w:val=""/>
      <w:lvlJc w:val="left"/>
    </w:lvl>
    <w:lvl w:ilvl="6" w:tplc="84FE9EBE">
      <w:numFmt w:val="decimal"/>
      <w:lvlText w:val=""/>
      <w:lvlJc w:val="left"/>
    </w:lvl>
    <w:lvl w:ilvl="7" w:tplc="744AC626">
      <w:numFmt w:val="decimal"/>
      <w:lvlText w:val=""/>
      <w:lvlJc w:val="left"/>
    </w:lvl>
    <w:lvl w:ilvl="8" w:tplc="46E8C7F4">
      <w:numFmt w:val="decimal"/>
      <w:lvlText w:val=""/>
      <w:lvlJc w:val="left"/>
    </w:lvl>
  </w:abstractNum>
  <w:abstractNum w:abstractNumId="141" w15:restartNumberingAfterBreak="0">
    <w:nsid w:val="0A7D7C68"/>
    <w:multiLevelType w:val="hybridMultilevel"/>
    <w:tmpl w:val="FBCC6E82"/>
    <w:lvl w:ilvl="0" w:tplc="092E702E">
      <w:start w:val="1"/>
      <w:numFmt w:val="bullet"/>
      <w:lvlText w:val=""/>
      <w:lvlJc w:val="left"/>
      <w:pPr>
        <w:ind w:left="720" w:hanging="180"/>
      </w:pPr>
      <w:rPr>
        <w:rFonts w:ascii="Symbol" w:hAnsi="Symbol" w:hint="default"/>
      </w:rPr>
    </w:lvl>
    <w:lvl w:ilvl="1" w:tplc="3676D7D0">
      <w:numFmt w:val="decimal"/>
      <w:lvlText w:val=""/>
      <w:lvlJc w:val="left"/>
    </w:lvl>
    <w:lvl w:ilvl="2" w:tplc="D9D8F626">
      <w:numFmt w:val="decimal"/>
      <w:lvlText w:val=""/>
      <w:lvlJc w:val="left"/>
    </w:lvl>
    <w:lvl w:ilvl="3" w:tplc="A6268D3C">
      <w:numFmt w:val="decimal"/>
      <w:lvlText w:val=""/>
      <w:lvlJc w:val="left"/>
    </w:lvl>
    <w:lvl w:ilvl="4" w:tplc="AF0CF172">
      <w:numFmt w:val="decimal"/>
      <w:lvlText w:val=""/>
      <w:lvlJc w:val="left"/>
    </w:lvl>
    <w:lvl w:ilvl="5" w:tplc="452AA95C">
      <w:numFmt w:val="decimal"/>
      <w:lvlText w:val=""/>
      <w:lvlJc w:val="left"/>
    </w:lvl>
    <w:lvl w:ilvl="6" w:tplc="C890E7F2">
      <w:numFmt w:val="decimal"/>
      <w:lvlText w:val=""/>
      <w:lvlJc w:val="left"/>
    </w:lvl>
    <w:lvl w:ilvl="7" w:tplc="E9420CE6">
      <w:numFmt w:val="decimal"/>
      <w:lvlText w:val=""/>
      <w:lvlJc w:val="left"/>
    </w:lvl>
    <w:lvl w:ilvl="8" w:tplc="4824EEC2">
      <w:numFmt w:val="decimal"/>
      <w:lvlText w:val=""/>
      <w:lvlJc w:val="left"/>
    </w:lvl>
  </w:abstractNum>
  <w:abstractNum w:abstractNumId="142" w15:restartNumberingAfterBreak="0">
    <w:nsid w:val="0A80702A"/>
    <w:multiLevelType w:val="hybridMultilevel"/>
    <w:tmpl w:val="A5D8EDEC"/>
    <w:lvl w:ilvl="0" w:tplc="F9443D8A">
      <w:numFmt w:val="decimal"/>
      <w:lvlText w:val=""/>
      <w:lvlJc w:val="left"/>
    </w:lvl>
    <w:lvl w:ilvl="1" w:tplc="63BEC9D8">
      <w:start w:val="1"/>
      <w:numFmt w:val="bullet"/>
      <w:lvlText w:val=""/>
      <w:lvlJc w:val="left"/>
      <w:pPr>
        <w:ind w:left="1440" w:hanging="180"/>
      </w:pPr>
      <w:rPr>
        <w:rFonts w:ascii="Symbol" w:hAnsi="Symbol" w:hint="default"/>
      </w:rPr>
    </w:lvl>
    <w:lvl w:ilvl="2" w:tplc="0226AC3C">
      <w:numFmt w:val="decimal"/>
      <w:lvlText w:val=""/>
      <w:lvlJc w:val="left"/>
    </w:lvl>
    <w:lvl w:ilvl="3" w:tplc="1FB0E8F0">
      <w:numFmt w:val="decimal"/>
      <w:lvlText w:val=""/>
      <w:lvlJc w:val="left"/>
    </w:lvl>
    <w:lvl w:ilvl="4" w:tplc="C48812D6">
      <w:numFmt w:val="decimal"/>
      <w:lvlText w:val=""/>
      <w:lvlJc w:val="left"/>
    </w:lvl>
    <w:lvl w:ilvl="5" w:tplc="EDB613B2">
      <w:numFmt w:val="decimal"/>
      <w:lvlText w:val=""/>
      <w:lvlJc w:val="left"/>
    </w:lvl>
    <w:lvl w:ilvl="6" w:tplc="04A2360C">
      <w:numFmt w:val="decimal"/>
      <w:lvlText w:val=""/>
      <w:lvlJc w:val="left"/>
    </w:lvl>
    <w:lvl w:ilvl="7" w:tplc="E81870DE">
      <w:numFmt w:val="decimal"/>
      <w:lvlText w:val=""/>
      <w:lvlJc w:val="left"/>
    </w:lvl>
    <w:lvl w:ilvl="8" w:tplc="7974EEB6">
      <w:numFmt w:val="decimal"/>
      <w:lvlText w:val=""/>
      <w:lvlJc w:val="left"/>
    </w:lvl>
  </w:abstractNum>
  <w:abstractNum w:abstractNumId="143" w15:restartNumberingAfterBreak="0">
    <w:nsid w:val="0AAD3E34"/>
    <w:multiLevelType w:val="hybridMultilevel"/>
    <w:tmpl w:val="2560584C"/>
    <w:lvl w:ilvl="0" w:tplc="C7AC8E3A">
      <w:start w:val="1"/>
      <w:numFmt w:val="bullet"/>
      <w:lvlText w:val=""/>
      <w:lvlJc w:val="left"/>
      <w:pPr>
        <w:ind w:left="720" w:hanging="180"/>
      </w:pPr>
      <w:rPr>
        <w:rFonts w:ascii="Symbol" w:hAnsi="Symbol" w:hint="default"/>
      </w:rPr>
    </w:lvl>
    <w:lvl w:ilvl="1" w:tplc="E2BE2946">
      <w:numFmt w:val="decimal"/>
      <w:lvlText w:val=""/>
      <w:lvlJc w:val="left"/>
    </w:lvl>
    <w:lvl w:ilvl="2" w:tplc="AE603C1E">
      <w:numFmt w:val="decimal"/>
      <w:lvlText w:val=""/>
      <w:lvlJc w:val="left"/>
    </w:lvl>
    <w:lvl w:ilvl="3" w:tplc="9614E216">
      <w:numFmt w:val="decimal"/>
      <w:lvlText w:val=""/>
      <w:lvlJc w:val="left"/>
    </w:lvl>
    <w:lvl w:ilvl="4" w:tplc="1508488E">
      <w:numFmt w:val="decimal"/>
      <w:lvlText w:val=""/>
      <w:lvlJc w:val="left"/>
    </w:lvl>
    <w:lvl w:ilvl="5" w:tplc="BC988514">
      <w:numFmt w:val="decimal"/>
      <w:lvlText w:val=""/>
      <w:lvlJc w:val="left"/>
    </w:lvl>
    <w:lvl w:ilvl="6" w:tplc="E8324AD2">
      <w:numFmt w:val="decimal"/>
      <w:lvlText w:val=""/>
      <w:lvlJc w:val="left"/>
    </w:lvl>
    <w:lvl w:ilvl="7" w:tplc="A7F840E2">
      <w:numFmt w:val="decimal"/>
      <w:lvlText w:val=""/>
      <w:lvlJc w:val="left"/>
    </w:lvl>
    <w:lvl w:ilvl="8" w:tplc="6F26684E">
      <w:numFmt w:val="decimal"/>
      <w:lvlText w:val=""/>
      <w:lvlJc w:val="left"/>
    </w:lvl>
  </w:abstractNum>
  <w:abstractNum w:abstractNumId="144" w15:restartNumberingAfterBreak="0">
    <w:nsid w:val="0ABA29A7"/>
    <w:multiLevelType w:val="hybridMultilevel"/>
    <w:tmpl w:val="2F4CCDC0"/>
    <w:lvl w:ilvl="0" w:tplc="EA4A9AB0">
      <w:start w:val="1"/>
      <w:numFmt w:val="bullet"/>
      <w:lvlText w:val=""/>
      <w:lvlJc w:val="left"/>
      <w:pPr>
        <w:ind w:left="720" w:hanging="180"/>
      </w:pPr>
      <w:rPr>
        <w:rFonts w:ascii="Symbol" w:hAnsi="Symbol" w:hint="default"/>
      </w:rPr>
    </w:lvl>
    <w:lvl w:ilvl="1" w:tplc="B7D88D9E">
      <w:numFmt w:val="decimal"/>
      <w:lvlText w:val=""/>
      <w:lvlJc w:val="left"/>
    </w:lvl>
    <w:lvl w:ilvl="2" w:tplc="6276C846">
      <w:numFmt w:val="decimal"/>
      <w:lvlText w:val=""/>
      <w:lvlJc w:val="left"/>
    </w:lvl>
    <w:lvl w:ilvl="3" w:tplc="A28C4E2E">
      <w:numFmt w:val="decimal"/>
      <w:lvlText w:val=""/>
      <w:lvlJc w:val="left"/>
    </w:lvl>
    <w:lvl w:ilvl="4" w:tplc="AE6E528A">
      <w:numFmt w:val="decimal"/>
      <w:lvlText w:val=""/>
      <w:lvlJc w:val="left"/>
    </w:lvl>
    <w:lvl w:ilvl="5" w:tplc="FE34C1A2">
      <w:numFmt w:val="decimal"/>
      <w:lvlText w:val=""/>
      <w:lvlJc w:val="left"/>
    </w:lvl>
    <w:lvl w:ilvl="6" w:tplc="EBB885E2">
      <w:numFmt w:val="decimal"/>
      <w:lvlText w:val=""/>
      <w:lvlJc w:val="left"/>
    </w:lvl>
    <w:lvl w:ilvl="7" w:tplc="C3C2A556">
      <w:numFmt w:val="decimal"/>
      <w:lvlText w:val=""/>
      <w:lvlJc w:val="left"/>
    </w:lvl>
    <w:lvl w:ilvl="8" w:tplc="74681CD8">
      <w:numFmt w:val="decimal"/>
      <w:lvlText w:val=""/>
      <w:lvlJc w:val="left"/>
    </w:lvl>
  </w:abstractNum>
  <w:abstractNum w:abstractNumId="145" w15:restartNumberingAfterBreak="0">
    <w:nsid w:val="0ABF7931"/>
    <w:multiLevelType w:val="hybridMultilevel"/>
    <w:tmpl w:val="345C2A40"/>
    <w:lvl w:ilvl="0" w:tplc="5FC8E128">
      <w:start w:val="1"/>
      <w:numFmt w:val="bullet"/>
      <w:lvlText w:val=""/>
      <w:lvlJc w:val="left"/>
      <w:pPr>
        <w:ind w:left="720" w:hanging="180"/>
      </w:pPr>
      <w:rPr>
        <w:rFonts w:ascii="Symbol" w:hAnsi="Symbol" w:hint="default"/>
      </w:rPr>
    </w:lvl>
    <w:lvl w:ilvl="1" w:tplc="55588114">
      <w:numFmt w:val="decimal"/>
      <w:lvlText w:val=""/>
      <w:lvlJc w:val="left"/>
    </w:lvl>
    <w:lvl w:ilvl="2" w:tplc="6352B274">
      <w:numFmt w:val="decimal"/>
      <w:lvlText w:val=""/>
      <w:lvlJc w:val="left"/>
    </w:lvl>
    <w:lvl w:ilvl="3" w:tplc="BFA0E414">
      <w:numFmt w:val="decimal"/>
      <w:lvlText w:val=""/>
      <w:lvlJc w:val="left"/>
    </w:lvl>
    <w:lvl w:ilvl="4" w:tplc="6322A6B8">
      <w:numFmt w:val="decimal"/>
      <w:lvlText w:val=""/>
      <w:lvlJc w:val="left"/>
    </w:lvl>
    <w:lvl w:ilvl="5" w:tplc="7F987602">
      <w:numFmt w:val="decimal"/>
      <w:lvlText w:val=""/>
      <w:lvlJc w:val="left"/>
    </w:lvl>
    <w:lvl w:ilvl="6" w:tplc="B5701F22">
      <w:numFmt w:val="decimal"/>
      <w:lvlText w:val=""/>
      <w:lvlJc w:val="left"/>
    </w:lvl>
    <w:lvl w:ilvl="7" w:tplc="CFE0539A">
      <w:numFmt w:val="decimal"/>
      <w:lvlText w:val=""/>
      <w:lvlJc w:val="left"/>
    </w:lvl>
    <w:lvl w:ilvl="8" w:tplc="99BA0DE0">
      <w:numFmt w:val="decimal"/>
      <w:lvlText w:val=""/>
      <w:lvlJc w:val="left"/>
    </w:lvl>
  </w:abstractNum>
  <w:abstractNum w:abstractNumId="146" w15:restartNumberingAfterBreak="0">
    <w:nsid w:val="0AC55B6A"/>
    <w:multiLevelType w:val="hybridMultilevel"/>
    <w:tmpl w:val="6062F6E6"/>
    <w:lvl w:ilvl="0" w:tplc="99B89D32">
      <w:numFmt w:val="decimal"/>
      <w:lvlText w:val=""/>
      <w:lvlJc w:val="left"/>
    </w:lvl>
    <w:lvl w:ilvl="1" w:tplc="2248683E">
      <w:start w:val="1"/>
      <w:numFmt w:val="bullet"/>
      <w:lvlText w:val=""/>
      <w:lvlJc w:val="left"/>
      <w:pPr>
        <w:ind w:left="1440" w:hanging="180"/>
      </w:pPr>
      <w:rPr>
        <w:rFonts w:ascii="Symbol" w:hAnsi="Symbol" w:hint="default"/>
      </w:rPr>
    </w:lvl>
    <w:lvl w:ilvl="2" w:tplc="ACA498A0">
      <w:numFmt w:val="decimal"/>
      <w:lvlText w:val=""/>
      <w:lvlJc w:val="left"/>
    </w:lvl>
    <w:lvl w:ilvl="3" w:tplc="D5EA083E">
      <w:numFmt w:val="decimal"/>
      <w:lvlText w:val=""/>
      <w:lvlJc w:val="left"/>
    </w:lvl>
    <w:lvl w:ilvl="4" w:tplc="7060879A">
      <w:numFmt w:val="decimal"/>
      <w:lvlText w:val=""/>
      <w:lvlJc w:val="left"/>
    </w:lvl>
    <w:lvl w:ilvl="5" w:tplc="B638EFF0">
      <w:numFmt w:val="decimal"/>
      <w:lvlText w:val=""/>
      <w:lvlJc w:val="left"/>
    </w:lvl>
    <w:lvl w:ilvl="6" w:tplc="6E5AF6D2">
      <w:numFmt w:val="decimal"/>
      <w:lvlText w:val=""/>
      <w:lvlJc w:val="left"/>
    </w:lvl>
    <w:lvl w:ilvl="7" w:tplc="9564B486">
      <w:numFmt w:val="decimal"/>
      <w:lvlText w:val=""/>
      <w:lvlJc w:val="left"/>
    </w:lvl>
    <w:lvl w:ilvl="8" w:tplc="0EA8B572">
      <w:numFmt w:val="decimal"/>
      <w:lvlText w:val=""/>
      <w:lvlJc w:val="left"/>
    </w:lvl>
  </w:abstractNum>
  <w:abstractNum w:abstractNumId="147" w15:restartNumberingAfterBreak="0">
    <w:nsid w:val="0AF224DA"/>
    <w:multiLevelType w:val="hybridMultilevel"/>
    <w:tmpl w:val="03BE082E"/>
    <w:lvl w:ilvl="0" w:tplc="4FF033B6">
      <w:start w:val="1"/>
      <w:numFmt w:val="bullet"/>
      <w:lvlText w:val=""/>
      <w:lvlJc w:val="left"/>
      <w:pPr>
        <w:ind w:left="720" w:hanging="180"/>
      </w:pPr>
      <w:rPr>
        <w:rFonts w:ascii="Symbol" w:hAnsi="Symbol" w:hint="default"/>
      </w:rPr>
    </w:lvl>
    <w:lvl w:ilvl="1" w:tplc="4A34FE1E">
      <w:numFmt w:val="decimal"/>
      <w:lvlText w:val=""/>
      <w:lvlJc w:val="left"/>
    </w:lvl>
    <w:lvl w:ilvl="2" w:tplc="71A677D4">
      <w:numFmt w:val="decimal"/>
      <w:lvlText w:val=""/>
      <w:lvlJc w:val="left"/>
    </w:lvl>
    <w:lvl w:ilvl="3" w:tplc="92FAFD60">
      <w:numFmt w:val="decimal"/>
      <w:lvlText w:val=""/>
      <w:lvlJc w:val="left"/>
    </w:lvl>
    <w:lvl w:ilvl="4" w:tplc="194E1CA6">
      <w:numFmt w:val="decimal"/>
      <w:lvlText w:val=""/>
      <w:lvlJc w:val="left"/>
    </w:lvl>
    <w:lvl w:ilvl="5" w:tplc="52A04A26">
      <w:numFmt w:val="decimal"/>
      <w:lvlText w:val=""/>
      <w:lvlJc w:val="left"/>
    </w:lvl>
    <w:lvl w:ilvl="6" w:tplc="2B9E9458">
      <w:numFmt w:val="decimal"/>
      <w:lvlText w:val=""/>
      <w:lvlJc w:val="left"/>
    </w:lvl>
    <w:lvl w:ilvl="7" w:tplc="A1F83C80">
      <w:numFmt w:val="decimal"/>
      <w:lvlText w:val=""/>
      <w:lvlJc w:val="left"/>
    </w:lvl>
    <w:lvl w:ilvl="8" w:tplc="69A8E14E">
      <w:numFmt w:val="decimal"/>
      <w:lvlText w:val=""/>
      <w:lvlJc w:val="left"/>
    </w:lvl>
  </w:abstractNum>
  <w:abstractNum w:abstractNumId="148" w15:restartNumberingAfterBreak="0">
    <w:nsid w:val="0AFD3163"/>
    <w:multiLevelType w:val="hybridMultilevel"/>
    <w:tmpl w:val="DC926D5C"/>
    <w:lvl w:ilvl="0" w:tplc="D9AC15DC">
      <w:start w:val="1"/>
      <w:numFmt w:val="bullet"/>
      <w:lvlText w:val=""/>
      <w:lvlJc w:val="left"/>
      <w:pPr>
        <w:ind w:left="720" w:hanging="180"/>
      </w:pPr>
      <w:rPr>
        <w:rFonts w:ascii="Symbol" w:hAnsi="Symbol" w:hint="default"/>
      </w:rPr>
    </w:lvl>
    <w:lvl w:ilvl="1" w:tplc="F58803D6">
      <w:numFmt w:val="decimal"/>
      <w:lvlText w:val=""/>
      <w:lvlJc w:val="left"/>
    </w:lvl>
    <w:lvl w:ilvl="2" w:tplc="99B8B942">
      <w:numFmt w:val="decimal"/>
      <w:lvlText w:val=""/>
      <w:lvlJc w:val="left"/>
    </w:lvl>
    <w:lvl w:ilvl="3" w:tplc="98928800">
      <w:numFmt w:val="decimal"/>
      <w:lvlText w:val=""/>
      <w:lvlJc w:val="left"/>
    </w:lvl>
    <w:lvl w:ilvl="4" w:tplc="D93A2E64">
      <w:numFmt w:val="decimal"/>
      <w:lvlText w:val=""/>
      <w:lvlJc w:val="left"/>
    </w:lvl>
    <w:lvl w:ilvl="5" w:tplc="0232A66A">
      <w:numFmt w:val="decimal"/>
      <w:lvlText w:val=""/>
      <w:lvlJc w:val="left"/>
    </w:lvl>
    <w:lvl w:ilvl="6" w:tplc="C7D02552">
      <w:numFmt w:val="decimal"/>
      <w:lvlText w:val=""/>
      <w:lvlJc w:val="left"/>
    </w:lvl>
    <w:lvl w:ilvl="7" w:tplc="4604849C">
      <w:numFmt w:val="decimal"/>
      <w:lvlText w:val=""/>
      <w:lvlJc w:val="left"/>
    </w:lvl>
    <w:lvl w:ilvl="8" w:tplc="C00AFAFE">
      <w:numFmt w:val="decimal"/>
      <w:lvlText w:val=""/>
      <w:lvlJc w:val="left"/>
    </w:lvl>
  </w:abstractNum>
  <w:abstractNum w:abstractNumId="149" w15:restartNumberingAfterBreak="0">
    <w:nsid w:val="0B0C7879"/>
    <w:multiLevelType w:val="hybridMultilevel"/>
    <w:tmpl w:val="38569A4C"/>
    <w:lvl w:ilvl="0" w:tplc="FDA4098E">
      <w:start w:val="1"/>
      <w:numFmt w:val="bullet"/>
      <w:lvlText w:val=""/>
      <w:lvlJc w:val="left"/>
      <w:pPr>
        <w:ind w:left="720" w:hanging="180"/>
      </w:pPr>
      <w:rPr>
        <w:rFonts w:ascii="Symbol" w:hAnsi="Symbol" w:hint="default"/>
      </w:rPr>
    </w:lvl>
    <w:lvl w:ilvl="1" w:tplc="036CA984">
      <w:numFmt w:val="decimal"/>
      <w:lvlText w:val=""/>
      <w:lvlJc w:val="left"/>
    </w:lvl>
    <w:lvl w:ilvl="2" w:tplc="AFB66242">
      <w:numFmt w:val="decimal"/>
      <w:lvlText w:val=""/>
      <w:lvlJc w:val="left"/>
    </w:lvl>
    <w:lvl w:ilvl="3" w:tplc="09E6F8A4">
      <w:numFmt w:val="decimal"/>
      <w:lvlText w:val=""/>
      <w:lvlJc w:val="left"/>
    </w:lvl>
    <w:lvl w:ilvl="4" w:tplc="31D29DBA">
      <w:numFmt w:val="decimal"/>
      <w:lvlText w:val=""/>
      <w:lvlJc w:val="left"/>
    </w:lvl>
    <w:lvl w:ilvl="5" w:tplc="67F80204">
      <w:numFmt w:val="decimal"/>
      <w:lvlText w:val=""/>
      <w:lvlJc w:val="left"/>
    </w:lvl>
    <w:lvl w:ilvl="6" w:tplc="9A2ACDE2">
      <w:numFmt w:val="decimal"/>
      <w:lvlText w:val=""/>
      <w:lvlJc w:val="left"/>
    </w:lvl>
    <w:lvl w:ilvl="7" w:tplc="D8CC815E">
      <w:numFmt w:val="decimal"/>
      <w:lvlText w:val=""/>
      <w:lvlJc w:val="left"/>
    </w:lvl>
    <w:lvl w:ilvl="8" w:tplc="6F8CEBFC">
      <w:numFmt w:val="decimal"/>
      <w:lvlText w:val=""/>
      <w:lvlJc w:val="left"/>
    </w:lvl>
  </w:abstractNum>
  <w:abstractNum w:abstractNumId="150" w15:restartNumberingAfterBreak="0">
    <w:nsid w:val="0B236DC6"/>
    <w:multiLevelType w:val="hybridMultilevel"/>
    <w:tmpl w:val="4948AB4C"/>
    <w:lvl w:ilvl="0" w:tplc="2702C1CE">
      <w:start w:val="1"/>
      <w:numFmt w:val="bullet"/>
      <w:lvlText w:val=""/>
      <w:lvlJc w:val="left"/>
      <w:pPr>
        <w:ind w:left="720" w:hanging="180"/>
      </w:pPr>
      <w:rPr>
        <w:rFonts w:ascii="Symbol" w:hAnsi="Symbol" w:hint="default"/>
      </w:rPr>
    </w:lvl>
    <w:lvl w:ilvl="1" w:tplc="8CF637FA">
      <w:numFmt w:val="decimal"/>
      <w:lvlText w:val=""/>
      <w:lvlJc w:val="left"/>
    </w:lvl>
    <w:lvl w:ilvl="2" w:tplc="E428925A">
      <w:numFmt w:val="decimal"/>
      <w:lvlText w:val=""/>
      <w:lvlJc w:val="left"/>
    </w:lvl>
    <w:lvl w:ilvl="3" w:tplc="1A12A12C">
      <w:numFmt w:val="decimal"/>
      <w:lvlText w:val=""/>
      <w:lvlJc w:val="left"/>
    </w:lvl>
    <w:lvl w:ilvl="4" w:tplc="A0DC894A">
      <w:numFmt w:val="decimal"/>
      <w:lvlText w:val=""/>
      <w:lvlJc w:val="left"/>
    </w:lvl>
    <w:lvl w:ilvl="5" w:tplc="649C0F7E">
      <w:numFmt w:val="decimal"/>
      <w:lvlText w:val=""/>
      <w:lvlJc w:val="left"/>
    </w:lvl>
    <w:lvl w:ilvl="6" w:tplc="D0B444E6">
      <w:numFmt w:val="decimal"/>
      <w:lvlText w:val=""/>
      <w:lvlJc w:val="left"/>
    </w:lvl>
    <w:lvl w:ilvl="7" w:tplc="94B8D920">
      <w:numFmt w:val="decimal"/>
      <w:lvlText w:val=""/>
      <w:lvlJc w:val="left"/>
    </w:lvl>
    <w:lvl w:ilvl="8" w:tplc="4D2638A2">
      <w:numFmt w:val="decimal"/>
      <w:lvlText w:val=""/>
      <w:lvlJc w:val="left"/>
    </w:lvl>
  </w:abstractNum>
  <w:abstractNum w:abstractNumId="151" w15:restartNumberingAfterBreak="0">
    <w:nsid w:val="0B2B3193"/>
    <w:multiLevelType w:val="hybridMultilevel"/>
    <w:tmpl w:val="1930B3B6"/>
    <w:lvl w:ilvl="0" w:tplc="C23E7E46">
      <w:start w:val="1"/>
      <w:numFmt w:val="bullet"/>
      <w:lvlText w:val=""/>
      <w:lvlJc w:val="left"/>
      <w:pPr>
        <w:ind w:left="720" w:hanging="180"/>
      </w:pPr>
      <w:rPr>
        <w:rFonts w:ascii="Symbol" w:hAnsi="Symbol" w:hint="default"/>
      </w:rPr>
    </w:lvl>
    <w:lvl w:ilvl="1" w:tplc="D372465E">
      <w:numFmt w:val="decimal"/>
      <w:lvlText w:val=""/>
      <w:lvlJc w:val="left"/>
    </w:lvl>
    <w:lvl w:ilvl="2" w:tplc="1048FBF6">
      <w:numFmt w:val="decimal"/>
      <w:lvlText w:val=""/>
      <w:lvlJc w:val="left"/>
    </w:lvl>
    <w:lvl w:ilvl="3" w:tplc="BCC44C3C">
      <w:numFmt w:val="decimal"/>
      <w:lvlText w:val=""/>
      <w:lvlJc w:val="left"/>
    </w:lvl>
    <w:lvl w:ilvl="4" w:tplc="113CA966">
      <w:numFmt w:val="decimal"/>
      <w:lvlText w:val=""/>
      <w:lvlJc w:val="left"/>
    </w:lvl>
    <w:lvl w:ilvl="5" w:tplc="5F84C25A">
      <w:numFmt w:val="decimal"/>
      <w:lvlText w:val=""/>
      <w:lvlJc w:val="left"/>
    </w:lvl>
    <w:lvl w:ilvl="6" w:tplc="A3EC1C7A">
      <w:numFmt w:val="decimal"/>
      <w:lvlText w:val=""/>
      <w:lvlJc w:val="left"/>
    </w:lvl>
    <w:lvl w:ilvl="7" w:tplc="CB004032">
      <w:numFmt w:val="decimal"/>
      <w:lvlText w:val=""/>
      <w:lvlJc w:val="left"/>
    </w:lvl>
    <w:lvl w:ilvl="8" w:tplc="392A4D10">
      <w:numFmt w:val="decimal"/>
      <w:lvlText w:val=""/>
      <w:lvlJc w:val="left"/>
    </w:lvl>
  </w:abstractNum>
  <w:abstractNum w:abstractNumId="152" w15:restartNumberingAfterBreak="0">
    <w:nsid w:val="0B3E72BE"/>
    <w:multiLevelType w:val="hybridMultilevel"/>
    <w:tmpl w:val="7CA06578"/>
    <w:lvl w:ilvl="0" w:tplc="47C81182">
      <w:start w:val="1"/>
      <w:numFmt w:val="bullet"/>
      <w:lvlText w:val=""/>
      <w:lvlJc w:val="left"/>
      <w:pPr>
        <w:ind w:left="720" w:hanging="180"/>
      </w:pPr>
      <w:rPr>
        <w:rFonts w:ascii="Symbol" w:hAnsi="Symbol" w:hint="default"/>
      </w:rPr>
    </w:lvl>
    <w:lvl w:ilvl="1" w:tplc="0888C39A">
      <w:numFmt w:val="decimal"/>
      <w:lvlText w:val=""/>
      <w:lvlJc w:val="left"/>
    </w:lvl>
    <w:lvl w:ilvl="2" w:tplc="77AEC87E">
      <w:numFmt w:val="decimal"/>
      <w:lvlText w:val=""/>
      <w:lvlJc w:val="left"/>
    </w:lvl>
    <w:lvl w:ilvl="3" w:tplc="177C568C">
      <w:numFmt w:val="decimal"/>
      <w:lvlText w:val=""/>
      <w:lvlJc w:val="left"/>
    </w:lvl>
    <w:lvl w:ilvl="4" w:tplc="9C088C86">
      <w:numFmt w:val="decimal"/>
      <w:lvlText w:val=""/>
      <w:lvlJc w:val="left"/>
    </w:lvl>
    <w:lvl w:ilvl="5" w:tplc="62CA7458">
      <w:numFmt w:val="decimal"/>
      <w:lvlText w:val=""/>
      <w:lvlJc w:val="left"/>
    </w:lvl>
    <w:lvl w:ilvl="6" w:tplc="D58CD574">
      <w:numFmt w:val="decimal"/>
      <w:lvlText w:val=""/>
      <w:lvlJc w:val="left"/>
    </w:lvl>
    <w:lvl w:ilvl="7" w:tplc="3CA879C8">
      <w:numFmt w:val="decimal"/>
      <w:lvlText w:val=""/>
      <w:lvlJc w:val="left"/>
    </w:lvl>
    <w:lvl w:ilvl="8" w:tplc="4F7CADA0">
      <w:numFmt w:val="decimal"/>
      <w:lvlText w:val=""/>
      <w:lvlJc w:val="left"/>
    </w:lvl>
  </w:abstractNum>
  <w:abstractNum w:abstractNumId="153" w15:restartNumberingAfterBreak="0">
    <w:nsid w:val="0B531C78"/>
    <w:multiLevelType w:val="hybridMultilevel"/>
    <w:tmpl w:val="9F18E0B2"/>
    <w:lvl w:ilvl="0" w:tplc="A2BA53D0">
      <w:numFmt w:val="decimal"/>
      <w:lvlText w:val=""/>
      <w:lvlJc w:val="left"/>
    </w:lvl>
    <w:lvl w:ilvl="1" w:tplc="DBEA1D9E">
      <w:start w:val="1"/>
      <w:numFmt w:val="bullet"/>
      <w:lvlText w:val=""/>
      <w:lvlJc w:val="left"/>
      <w:pPr>
        <w:ind w:left="1440" w:hanging="180"/>
      </w:pPr>
      <w:rPr>
        <w:rFonts w:ascii="Symbol" w:hAnsi="Symbol" w:hint="default"/>
      </w:rPr>
    </w:lvl>
    <w:lvl w:ilvl="2" w:tplc="8CF61D54">
      <w:numFmt w:val="decimal"/>
      <w:lvlText w:val=""/>
      <w:lvlJc w:val="left"/>
    </w:lvl>
    <w:lvl w:ilvl="3" w:tplc="6E36AAAC">
      <w:numFmt w:val="decimal"/>
      <w:lvlText w:val=""/>
      <w:lvlJc w:val="left"/>
    </w:lvl>
    <w:lvl w:ilvl="4" w:tplc="00D6746E">
      <w:numFmt w:val="decimal"/>
      <w:lvlText w:val=""/>
      <w:lvlJc w:val="left"/>
    </w:lvl>
    <w:lvl w:ilvl="5" w:tplc="1C9CCDF0">
      <w:numFmt w:val="decimal"/>
      <w:lvlText w:val=""/>
      <w:lvlJc w:val="left"/>
    </w:lvl>
    <w:lvl w:ilvl="6" w:tplc="FFF27522">
      <w:numFmt w:val="decimal"/>
      <w:lvlText w:val=""/>
      <w:lvlJc w:val="left"/>
    </w:lvl>
    <w:lvl w:ilvl="7" w:tplc="07B634F8">
      <w:numFmt w:val="decimal"/>
      <w:lvlText w:val=""/>
      <w:lvlJc w:val="left"/>
    </w:lvl>
    <w:lvl w:ilvl="8" w:tplc="8C6815F4">
      <w:numFmt w:val="decimal"/>
      <w:lvlText w:val=""/>
      <w:lvlJc w:val="left"/>
    </w:lvl>
  </w:abstractNum>
  <w:abstractNum w:abstractNumId="154" w15:restartNumberingAfterBreak="0">
    <w:nsid w:val="0B63761A"/>
    <w:multiLevelType w:val="hybridMultilevel"/>
    <w:tmpl w:val="1CE867EE"/>
    <w:lvl w:ilvl="0" w:tplc="A91AEC8C">
      <w:start w:val="1"/>
      <w:numFmt w:val="bullet"/>
      <w:lvlText w:val=""/>
      <w:lvlJc w:val="left"/>
      <w:pPr>
        <w:ind w:left="720" w:hanging="180"/>
      </w:pPr>
      <w:rPr>
        <w:rFonts w:ascii="Symbol" w:hAnsi="Symbol" w:hint="default"/>
      </w:rPr>
    </w:lvl>
    <w:lvl w:ilvl="1" w:tplc="5D7494DE">
      <w:numFmt w:val="decimal"/>
      <w:lvlText w:val=""/>
      <w:lvlJc w:val="left"/>
    </w:lvl>
    <w:lvl w:ilvl="2" w:tplc="9C56F5B4">
      <w:numFmt w:val="decimal"/>
      <w:lvlText w:val=""/>
      <w:lvlJc w:val="left"/>
    </w:lvl>
    <w:lvl w:ilvl="3" w:tplc="C63C9B5A">
      <w:numFmt w:val="decimal"/>
      <w:lvlText w:val=""/>
      <w:lvlJc w:val="left"/>
    </w:lvl>
    <w:lvl w:ilvl="4" w:tplc="7CCE4906">
      <w:numFmt w:val="decimal"/>
      <w:lvlText w:val=""/>
      <w:lvlJc w:val="left"/>
    </w:lvl>
    <w:lvl w:ilvl="5" w:tplc="CAB05F8E">
      <w:numFmt w:val="decimal"/>
      <w:lvlText w:val=""/>
      <w:lvlJc w:val="left"/>
    </w:lvl>
    <w:lvl w:ilvl="6" w:tplc="448070C6">
      <w:numFmt w:val="decimal"/>
      <w:lvlText w:val=""/>
      <w:lvlJc w:val="left"/>
    </w:lvl>
    <w:lvl w:ilvl="7" w:tplc="E7901D68">
      <w:numFmt w:val="decimal"/>
      <w:lvlText w:val=""/>
      <w:lvlJc w:val="left"/>
    </w:lvl>
    <w:lvl w:ilvl="8" w:tplc="9DE4C998">
      <w:numFmt w:val="decimal"/>
      <w:lvlText w:val=""/>
      <w:lvlJc w:val="left"/>
    </w:lvl>
  </w:abstractNum>
  <w:abstractNum w:abstractNumId="155" w15:restartNumberingAfterBreak="0">
    <w:nsid w:val="0BB25B2F"/>
    <w:multiLevelType w:val="hybridMultilevel"/>
    <w:tmpl w:val="BD9E0142"/>
    <w:lvl w:ilvl="0" w:tplc="9E9A211A">
      <w:start w:val="1"/>
      <w:numFmt w:val="bullet"/>
      <w:lvlText w:val=""/>
      <w:lvlJc w:val="left"/>
      <w:pPr>
        <w:ind w:left="720" w:hanging="180"/>
      </w:pPr>
      <w:rPr>
        <w:rFonts w:ascii="Symbol" w:hAnsi="Symbol" w:hint="default"/>
      </w:rPr>
    </w:lvl>
    <w:lvl w:ilvl="1" w:tplc="4934E0E2">
      <w:numFmt w:val="decimal"/>
      <w:lvlText w:val=""/>
      <w:lvlJc w:val="left"/>
    </w:lvl>
    <w:lvl w:ilvl="2" w:tplc="C63C7B1C">
      <w:numFmt w:val="decimal"/>
      <w:lvlText w:val=""/>
      <w:lvlJc w:val="left"/>
    </w:lvl>
    <w:lvl w:ilvl="3" w:tplc="83167C98">
      <w:numFmt w:val="decimal"/>
      <w:lvlText w:val=""/>
      <w:lvlJc w:val="left"/>
    </w:lvl>
    <w:lvl w:ilvl="4" w:tplc="30C427C2">
      <w:numFmt w:val="decimal"/>
      <w:lvlText w:val=""/>
      <w:lvlJc w:val="left"/>
    </w:lvl>
    <w:lvl w:ilvl="5" w:tplc="B992A448">
      <w:numFmt w:val="decimal"/>
      <w:lvlText w:val=""/>
      <w:lvlJc w:val="left"/>
    </w:lvl>
    <w:lvl w:ilvl="6" w:tplc="D2A0C94A">
      <w:numFmt w:val="decimal"/>
      <w:lvlText w:val=""/>
      <w:lvlJc w:val="left"/>
    </w:lvl>
    <w:lvl w:ilvl="7" w:tplc="B8AC4624">
      <w:numFmt w:val="decimal"/>
      <w:lvlText w:val=""/>
      <w:lvlJc w:val="left"/>
    </w:lvl>
    <w:lvl w:ilvl="8" w:tplc="2BC6A6D4">
      <w:numFmt w:val="decimal"/>
      <w:lvlText w:val=""/>
      <w:lvlJc w:val="left"/>
    </w:lvl>
  </w:abstractNum>
  <w:abstractNum w:abstractNumId="156" w15:restartNumberingAfterBreak="0">
    <w:nsid w:val="0BE623B5"/>
    <w:multiLevelType w:val="hybridMultilevel"/>
    <w:tmpl w:val="1E086E8E"/>
    <w:lvl w:ilvl="0" w:tplc="DFDCB626">
      <w:start w:val="1"/>
      <w:numFmt w:val="bullet"/>
      <w:lvlText w:val=""/>
      <w:lvlJc w:val="left"/>
      <w:pPr>
        <w:ind w:left="720" w:hanging="180"/>
      </w:pPr>
      <w:rPr>
        <w:rFonts w:ascii="Symbol" w:hAnsi="Symbol" w:hint="default"/>
      </w:rPr>
    </w:lvl>
    <w:lvl w:ilvl="1" w:tplc="3E72E522">
      <w:numFmt w:val="decimal"/>
      <w:lvlText w:val=""/>
      <w:lvlJc w:val="left"/>
    </w:lvl>
    <w:lvl w:ilvl="2" w:tplc="D72AFF5A">
      <w:numFmt w:val="decimal"/>
      <w:lvlText w:val=""/>
      <w:lvlJc w:val="left"/>
    </w:lvl>
    <w:lvl w:ilvl="3" w:tplc="C02E44EE">
      <w:numFmt w:val="decimal"/>
      <w:lvlText w:val=""/>
      <w:lvlJc w:val="left"/>
    </w:lvl>
    <w:lvl w:ilvl="4" w:tplc="E8C4656A">
      <w:numFmt w:val="decimal"/>
      <w:lvlText w:val=""/>
      <w:lvlJc w:val="left"/>
    </w:lvl>
    <w:lvl w:ilvl="5" w:tplc="FB5A3E24">
      <w:numFmt w:val="decimal"/>
      <w:lvlText w:val=""/>
      <w:lvlJc w:val="left"/>
    </w:lvl>
    <w:lvl w:ilvl="6" w:tplc="5100C1A2">
      <w:numFmt w:val="decimal"/>
      <w:lvlText w:val=""/>
      <w:lvlJc w:val="left"/>
    </w:lvl>
    <w:lvl w:ilvl="7" w:tplc="EF00602A">
      <w:numFmt w:val="decimal"/>
      <w:lvlText w:val=""/>
      <w:lvlJc w:val="left"/>
    </w:lvl>
    <w:lvl w:ilvl="8" w:tplc="BEE4D1B6">
      <w:numFmt w:val="decimal"/>
      <w:lvlText w:val=""/>
      <w:lvlJc w:val="left"/>
    </w:lvl>
  </w:abstractNum>
  <w:abstractNum w:abstractNumId="157" w15:restartNumberingAfterBreak="0">
    <w:nsid w:val="0BED316B"/>
    <w:multiLevelType w:val="hybridMultilevel"/>
    <w:tmpl w:val="3088380E"/>
    <w:lvl w:ilvl="0" w:tplc="D110E5CE">
      <w:start w:val="1"/>
      <w:numFmt w:val="bullet"/>
      <w:lvlText w:val=""/>
      <w:lvlJc w:val="left"/>
      <w:pPr>
        <w:ind w:left="720" w:hanging="180"/>
      </w:pPr>
      <w:rPr>
        <w:rFonts w:ascii="Symbol" w:hAnsi="Symbol" w:hint="default"/>
      </w:rPr>
    </w:lvl>
    <w:lvl w:ilvl="1" w:tplc="A118A06C">
      <w:numFmt w:val="decimal"/>
      <w:lvlText w:val=""/>
      <w:lvlJc w:val="left"/>
    </w:lvl>
    <w:lvl w:ilvl="2" w:tplc="FBFA469A">
      <w:numFmt w:val="decimal"/>
      <w:lvlText w:val=""/>
      <w:lvlJc w:val="left"/>
    </w:lvl>
    <w:lvl w:ilvl="3" w:tplc="0E3673BC">
      <w:numFmt w:val="decimal"/>
      <w:lvlText w:val=""/>
      <w:lvlJc w:val="left"/>
    </w:lvl>
    <w:lvl w:ilvl="4" w:tplc="62F26C74">
      <w:numFmt w:val="decimal"/>
      <w:lvlText w:val=""/>
      <w:lvlJc w:val="left"/>
    </w:lvl>
    <w:lvl w:ilvl="5" w:tplc="2FAC68E2">
      <w:numFmt w:val="decimal"/>
      <w:lvlText w:val=""/>
      <w:lvlJc w:val="left"/>
    </w:lvl>
    <w:lvl w:ilvl="6" w:tplc="3E76B016">
      <w:numFmt w:val="decimal"/>
      <w:lvlText w:val=""/>
      <w:lvlJc w:val="left"/>
    </w:lvl>
    <w:lvl w:ilvl="7" w:tplc="BC1C22EA">
      <w:numFmt w:val="decimal"/>
      <w:lvlText w:val=""/>
      <w:lvlJc w:val="left"/>
    </w:lvl>
    <w:lvl w:ilvl="8" w:tplc="CADCF024">
      <w:numFmt w:val="decimal"/>
      <w:lvlText w:val=""/>
      <w:lvlJc w:val="left"/>
    </w:lvl>
  </w:abstractNum>
  <w:abstractNum w:abstractNumId="158" w15:restartNumberingAfterBreak="0">
    <w:nsid w:val="0C233C59"/>
    <w:multiLevelType w:val="hybridMultilevel"/>
    <w:tmpl w:val="D98C738C"/>
    <w:lvl w:ilvl="0" w:tplc="57A84506">
      <w:start w:val="1"/>
      <w:numFmt w:val="bullet"/>
      <w:lvlText w:val=""/>
      <w:lvlJc w:val="left"/>
      <w:pPr>
        <w:ind w:left="720" w:hanging="180"/>
      </w:pPr>
      <w:rPr>
        <w:rFonts w:ascii="Symbol" w:hAnsi="Symbol" w:hint="default"/>
      </w:rPr>
    </w:lvl>
    <w:lvl w:ilvl="1" w:tplc="6AC44AF2">
      <w:numFmt w:val="decimal"/>
      <w:lvlText w:val=""/>
      <w:lvlJc w:val="left"/>
    </w:lvl>
    <w:lvl w:ilvl="2" w:tplc="B1C8B3B6">
      <w:numFmt w:val="decimal"/>
      <w:lvlText w:val=""/>
      <w:lvlJc w:val="left"/>
    </w:lvl>
    <w:lvl w:ilvl="3" w:tplc="ECE47F4A">
      <w:numFmt w:val="decimal"/>
      <w:lvlText w:val=""/>
      <w:lvlJc w:val="left"/>
    </w:lvl>
    <w:lvl w:ilvl="4" w:tplc="D696D9E4">
      <w:numFmt w:val="decimal"/>
      <w:lvlText w:val=""/>
      <w:lvlJc w:val="left"/>
    </w:lvl>
    <w:lvl w:ilvl="5" w:tplc="9230B23C">
      <w:numFmt w:val="decimal"/>
      <w:lvlText w:val=""/>
      <w:lvlJc w:val="left"/>
    </w:lvl>
    <w:lvl w:ilvl="6" w:tplc="21564690">
      <w:numFmt w:val="decimal"/>
      <w:lvlText w:val=""/>
      <w:lvlJc w:val="left"/>
    </w:lvl>
    <w:lvl w:ilvl="7" w:tplc="7A822C36">
      <w:numFmt w:val="decimal"/>
      <w:lvlText w:val=""/>
      <w:lvlJc w:val="left"/>
    </w:lvl>
    <w:lvl w:ilvl="8" w:tplc="7B68E354">
      <w:numFmt w:val="decimal"/>
      <w:lvlText w:val=""/>
      <w:lvlJc w:val="left"/>
    </w:lvl>
  </w:abstractNum>
  <w:abstractNum w:abstractNumId="159" w15:restartNumberingAfterBreak="0">
    <w:nsid w:val="0C2E0073"/>
    <w:multiLevelType w:val="hybridMultilevel"/>
    <w:tmpl w:val="CEB69138"/>
    <w:lvl w:ilvl="0" w:tplc="781C6AA6">
      <w:start w:val="1"/>
      <w:numFmt w:val="bullet"/>
      <w:lvlText w:val=""/>
      <w:lvlJc w:val="left"/>
      <w:pPr>
        <w:ind w:left="720" w:hanging="180"/>
      </w:pPr>
      <w:rPr>
        <w:rFonts w:ascii="Symbol" w:hAnsi="Symbol" w:hint="default"/>
      </w:rPr>
    </w:lvl>
    <w:lvl w:ilvl="1" w:tplc="D18EE196">
      <w:numFmt w:val="decimal"/>
      <w:lvlText w:val=""/>
      <w:lvlJc w:val="left"/>
    </w:lvl>
    <w:lvl w:ilvl="2" w:tplc="F6526352">
      <w:numFmt w:val="decimal"/>
      <w:lvlText w:val=""/>
      <w:lvlJc w:val="left"/>
    </w:lvl>
    <w:lvl w:ilvl="3" w:tplc="D44A9CC8">
      <w:numFmt w:val="decimal"/>
      <w:lvlText w:val=""/>
      <w:lvlJc w:val="left"/>
    </w:lvl>
    <w:lvl w:ilvl="4" w:tplc="1E8E7F02">
      <w:numFmt w:val="decimal"/>
      <w:lvlText w:val=""/>
      <w:lvlJc w:val="left"/>
    </w:lvl>
    <w:lvl w:ilvl="5" w:tplc="E4088C3E">
      <w:numFmt w:val="decimal"/>
      <w:lvlText w:val=""/>
      <w:lvlJc w:val="left"/>
    </w:lvl>
    <w:lvl w:ilvl="6" w:tplc="B91E2C2E">
      <w:numFmt w:val="decimal"/>
      <w:lvlText w:val=""/>
      <w:lvlJc w:val="left"/>
    </w:lvl>
    <w:lvl w:ilvl="7" w:tplc="4232EFE4">
      <w:numFmt w:val="decimal"/>
      <w:lvlText w:val=""/>
      <w:lvlJc w:val="left"/>
    </w:lvl>
    <w:lvl w:ilvl="8" w:tplc="C856FDD8">
      <w:numFmt w:val="decimal"/>
      <w:lvlText w:val=""/>
      <w:lvlJc w:val="left"/>
    </w:lvl>
  </w:abstractNum>
  <w:abstractNum w:abstractNumId="160" w15:restartNumberingAfterBreak="0">
    <w:nsid w:val="0C6119F1"/>
    <w:multiLevelType w:val="hybridMultilevel"/>
    <w:tmpl w:val="EAE02640"/>
    <w:lvl w:ilvl="0" w:tplc="BDEA5AD6">
      <w:numFmt w:val="decimal"/>
      <w:lvlText w:val=""/>
      <w:lvlJc w:val="left"/>
    </w:lvl>
    <w:lvl w:ilvl="1" w:tplc="2C60BD90">
      <w:start w:val="1"/>
      <w:numFmt w:val="bullet"/>
      <w:lvlText w:val=""/>
      <w:lvlJc w:val="left"/>
      <w:pPr>
        <w:ind w:left="1440" w:hanging="180"/>
      </w:pPr>
      <w:rPr>
        <w:rFonts w:ascii="Symbol" w:hAnsi="Symbol" w:hint="default"/>
      </w:rPr>
    </w:lvl>
    <w:lvl w:ilvl="2" w:tplc="BD38929A">
      <w:numFmt w:val="decimal"/>
      <w:lvlText w:val=""/>
      <w:lvlJc w:val="left"/>
    </w:lvl>
    <w:lvl w:ilvl="3" w:tplc="A8C400D8">
      <w:numFmt w:val="decimal"/>
      <w:lvlText w:val=""/>
      <w:lvlJc w:val="left"/>
    </w:lvl>
    <w:lvl w:ilvl="4" w:tplc="A2681A82">
      <w:numFmt w:val="decimal"/>
      <w:lvlText w:val=""/>
      <w:lvlJc w:val="left"/>
    </w:lvl>
    <w:lvl w:ilvl="5" w:tplc="49CEE756">
      <w:numFmt w:val="decimal"/>
      <w:lvlText w:val=""/>
      <w:lvlJc w:val="left"/>
    </w:lvl>
    <w:lvl w:ilvl="6" w:tplc="61EAD65E">
      <w:numFmt w:val="decimal"/>
      <w:lvlText w:val=""/>
      <w:lvlJc w:val="left"/>
    </w:lvl>
    <w:lvl w:ilvl="7" w:tplc="61DCC244">
      <w:numFmt w:val="decimal"/>
      <w:lvlText w:val=""/>
      <w:lvlJc w:val="left"/>
    </w:lvl>
    <w:lvl w:ilvl="8" w:tplc="51244CEC">
      <w:numFmt w:val="decimal"/>
      <w:lvlText w:val=""/>
      <w:lvlJc w:val="left"/>
    </w:lvl>
  </w:abstractNum>
  <w:abstractNum w:abstractNumId="161" w15:restartNumberingAfterBreak="0">
    <w:nsid w:val="0C6E17B7"/>
    <w:multiLevelType w:val="hybridMultilevel"/>
    <w:tmpl w:val="1A64D102"/>
    <w:lvl w:ilvl="0" w:tplc="DD827B1C">
      <w:start w:val="1"/>
      <w:numFmt w:val="bullet"/>
      <w:lvlText w:val=""/>
      <w:lvlJc w:val="left"/>
      <w:pPr>
        <w:ind w:left="720" w:hanging="180"/>
      </w:pPr>
      <w:rPr>
        <w:rFonts w:ascii="Symbol" w:hAnsi="Symbol" w:hint="default"/>
      </w:rPr>
    </w:lvl>
    <w:lvl w:ilvl="1" w:tplc="5CB27E46">
      <w:numFmt w:val="decimal"/>
      <w:lvlText w:val=""/>
      <w:lvlJc w:val="left"/>
    </w:lvl>
    <w:lvl w:ilvl="2" w:tplc="E112FC68">
      <w:numFmt w:val="decimal"/>
      <w:lvlText w:val=""/>
      <w:lvlJc w:val="left"/>
    </w:lvl>
    <w:lvl w:ilvl="3" w:tplc="E196B93E">
      <w:numFmt w:val="decimal"/>
      <w:lvlText w:val=""/>
      <w:lvlJc w:val="left"/>
    </w:lvl>
    <w:lvl w:ilvl="4" w:tplc="03B8E34C">
      <w:numFmt w:val="decimal"/>
      <w:lvlText w:val=""/>
      <w:lvlJc w:val="left"/>
    </w:lvl>
    <w:lvl w:ilvl="5" w:tplc="5C86E34E">
      <w:numFmt w:val="decimal"/>
      <w:lvlText w:val=""/>
      <w:lvlJc w:val="left"/>
    </w:lvl>
    <w:lvl w:ilvl="6" w:tplc="A1E8CDB4">
      <w:numFmt w:val="decimal"/>
      <w:lvlText w:val=""/>
      <w:lvlJc w:val="left"/>
    </w:lvl>
    <w:lvl w:ilvl="7" w:tplc="02885680">
      <w:numFmt w:val="decimal"/>
      <w:lvlText w:val=""/>
      <w:lvlJc w:val="left"/>
    </w:lvl>
    <w:lvl w:ilvl="8" w:tplc="F19224AA">
      <w:numFmt w:val="decimal"/>
      <w:lvlText w:val=""/>
      <w:lvlJc w:val="left"/>
    </w:lvl>
  </w:abstractNum>
  <w:abstractNum w:abstractNumId="162" w15:restartNumberingAfterBreak="0">
    <w:nsid w:val="0C9C69FB"/>
    <w:multiLevelType w:val="hybridMultilevel"/>
    <w:tmpl w:val="40F8F92E"/>
    <w:lvl w:ilvl="0" w:tplc="1FB4B8A0">
      <w:start w:val="1"/>
      <w:numFmt w:val="bullet"/>
      <w:lvlText w:val=""/>
      <w:lvlJc w:val="left"/>
      <w:pPr>
        <w:ind w:left="720" w:hanging="180"/>
      </w:pPr>
      <w:rPr>
        <w:rFonts w:ascii="Symbol" w:hAnsi="Symbol" w:hint="default"/>
      </w:rPr>
    </w:lvl>
    <w:lvl w:ilvl="1" w:tplc="73E81BF2">
      <w:numFmt w:val="decimal"/>
      <w:lvlText w:val=""/>
      <w:lvlJc w:val="left"/>
    </w:lvl>
    <w:lvl w:ilvl="2" w:tplc="9A1CAAE2">
      <w:numFmt w:val="decimal"/>
      <w:lvlText w:val=""/>
      <w:lvlJc w:val="left"/>
    </w:lvl>
    <w:lvl w:ilvl="3" w:tplc="506A6584">
      <w:numFmt w:val="decimal"/>
      <w:lvlText w:val=""/>
      <w:lvlJc w:val="left"/>
    </w:lvl>
    <w:lvl w:ilvl="4" w:tplc="F2043F92">
      <w:numFmt w:val="decimal"/>
      <w:lvlText w:val=""/>
      <w:lvlJc w:val="left"/>
    </w:lvl>
    <w:lvl w:ilvl="5" w:tplc="5784E8C0">
      <w:numFmt w:val="decimal"/>
      <w:lvlText w:val=""/>
      <w:lvlJc w:val="left"/>
    </w:lvl>
    <w:lvl w:ilvl="6" w:tplc="B4EC6FF8">
      <w:numFmt w:val="decimal"/>
      <w:lvlText w:val=""/>
      <w:lvlJc w:val="left"/>
    </w:lvl>
    <w:lvl w:ilvl="7" w:tplc="0616B928">
      <w:numFmt w:val="decimal"/>
      <w:lvlText w:val=""/>
      <w:lvlJc w:val="left"/>
    </w:lvl>
    <w:lvl w:ilvl="8" w:tplc="C78003BC">
      <w:numFmt w:val="decimal"/>
      <w:lvlText w:val=""/>
      <w:lvlJc w:val="left"/>
    </w:lvl>
  </w:abstractNum>
  <w:abstractNum w:abstractNumId="163" w15:restartNumberingAfterBreak="0">
    <w:nsid w:val="0CAA077B"/>
    <w:multiLevelType w:val="hybridMultilevel"/>
    <w:tmpl w:val="6FBC009C"/>
    <w:lvl w:ilvl="0" w:tplc="9C12CB3C">
      <w:start w:val="1"/>
      <w:numFmt w:val="bullet"/>
      <w:lvlText w:val=""/>
      <w:lvlJc w:val="left"/>
      <w:pPr>
        <w:ind w:left="720" w:hanging="180"/>
      </w:pPr>
      <w:rPr>
        <w:rFonts w:ascii="Symbol" w:hAnsi="Symbol" w:hint="default"/>
      </w:rPr>
    </w:lvl>
    <w:lvl w:ilvl="1" w:tplc="723CD19E">
      <w:numFmt w:val="decimal"/>
      <w:lvlText w:val=""/>
      <w:lvlJc w:val="left"/>
    </w:lvl>
    <w:lvl w:ilvl="2" w:tplc="530C4CEA">
      <w:numFmt w:val="decimal"/>
      <w:lvlText w:val=""/>
      <w:lvlJc w:val="left"/>
    </w:lvl>
    <w:lvl w:ilvl="3" w:tplc="045E070E">
      <w:numFmt w:val="decimal"/>
      <w:lvlText w:val=""/>
      <w:lvlJc w:val="left"/>
    </w:lvl>
    <w:lvl w:ilvl="4" w:tplc="EA24E4C8">
      <w:numFmt w:val="decimal"/>
      <w:lvlText w:val=""/>
      <w:lvlJc w:val="left"/>
    </w:lvl>
    <w:lvl w:ilvl="5" w:tplc="57DE7CB2">
      <w:numFmt w:val="decimal"/>
      <w:lvlText w:val=""/>
      <w:lvlJc w:val="left"/>
    </w:lvl>
    <w:lvl w:ilvl="6" w:tplc="3FA627AC">
      <w:numFmt w:val="decimal"/>
      <w:lvlText w:val=""/>
      <w:lvlJc w:val="left"/>
    </w:lvl>
    <w:lvl w:ilvl="7" w:tplc="3846500C">
      <w:numFmt w:val="decimal"/>
      <w:lvlText w:val=""/>
      <w:lvlJc w:val="left"/>
    </w:lvl>
    <w:lvl w:ilvl="8" w:tplc="5CEAE980">
      <w:numFmt w:val="decimal"/>
      <w:lvlText w:val=""/>
      <w:lvlJc w:val="left"/>
    </w:lvl>
  </w:abstractNum>
  <w:abstractNum w:abstractNumId="164" w15:restartNumberingAfterBreak="0">
    <w:nsid w:val="0CAE2E9F"/>
    <w:multiLevelType w:val="hybridMultilevel"/>
    <w:tmpl w:val="7F7C2E58"/>
    <w:lvl w:ilvl="0" w:tplc="5810BB04">
      <w:start w:val="1"/>
      <w:numFmt w:val="bullet"/>
      <w:lvlText w:val=""/>
      <w:lvlJc w:val="left"/>
      <w:pPr>
        <w:ind w:left="720" w:hanging="180"/>
      </w:pPr>
      <w:rPr>
        <w:rFonts w:ascii="Symbol" w:hAnsi="Symbol" w:hint="default"/>
      </w:rPr>
    </w:lvl>
    <w:lvl w:ilvl="1" w:tplc="19DC65B8">
      <w:numFmt w:val="decimal"/>
      <w:lvlText w:val=""/>
      <w:lvlJc w:val="left"/>
    </w:lvl>
    <w:lvl w:ilvl="2" w:tplc="D9D6948E">
      <w:numFmt w:val="decimal"/>
      <w:lvlText w:val=""/>
      <w:lvlJc w:val="left"/>
    </w:lvl>
    <w:lvl w:ilvl="3" w:tplc="88E88F3E">
      <w:numFmt w:val="decimal"/>
      <w:lvlText w:val=""/>
      <w:lvlJc w:val="left"/>
    </w:lvl>
    <w:lvl w:ilvl="4" w:tplc="BAFE48F0">
      <w:numFmt w:val="decimal"/>
      <w:lvlText w:val=""/>
      <w:lvlJc w:val="left"/>
    </w:lvl>
    <w:lvl w:ilvl="5" w:tplc="712C1254">
      <w:numFmt w:val="decimal"/>
      <w:lvlText w:val=""/>
      <w:lvlJc w:val="left"/>
    </w:lvl>
    <w:lvl w:ilvl="6" w:tplc="6D142BEE">
      <w:numFmt w:val="decimal"/>
      <w:lvlText w:val=""/>
      <w:lvlJc w:val="left"/>
    </w:lvl>
    <w:lvl w:ilvl="7" w:tplc="CDEC8FA4">
      <w:numFmt w:val="decimal"/>
      <w:lvlText w:val=""/>
      <w:lvlJc w:val="left"/>
    </w:lvl>
    <w:lvl w:ilvl="8" w:tplc="2AF0B5B4">
      <w:numFmt w:val="decimal"/>
      <w:lvlText w:val=""/>
      <w:lvlJc w:val="left"/>
    </w:lvl>
  </w:abstractNum>
  <w:abstractNum w:abstractNumId="165" w15:restartNumberingAfterBreak="0">
    <w:nsid w:val="0CC62EDE"/>
    <w:multiLevelType w:val="hybridMultilevel"/>
    <w:tmpl w:val="7408F86A"/>
    <w:lvl w:ilvl="0" w:tplc="9992DD78">
      <w:start w:val="1"/>
      <w:numFmt w:val="bullet"/>
      <w:lvlText w:val=""/>
      <w:lvlJc w:val="left"/>
      <w:pPr>
        <w:ind w:left="720" w:hanging="180"/>
      </w:pPr>
      <w:rPr>
        <w:rFonts w:ascii="Symbol" w:hAnsi="Symbol" w:hint="default"/>
      </w:rPr>
    </w:lvl>
    <w:lvl w:ilvl="1" w:tplc="DB12EB80">
      <w:numFmt w:val="decimal"/>
      <w:lvlText w:val=""/>
      <w:lvlJc w:val="left"/>
    </w:lvl>
    <w:lvl w:ilvl="2" w:tplc="4A26F614">
      <w:numFmt w:val="decimal"/>
      <w:lvlText w:val=""/>
      <w:lvlJc w:val="left"/>
    </w:lvl>
    <w:lvl w:ilvl="3" w:tplc="08981AE2">
      <w:numFmt w:val="decimal"/>
      <w:lvlText w:val=""/>
      <w:lvlJc w:val="left"/>
    </w:lvl>
    <w:lvl w:ilvl="4" w:tplc="D0E6B162">
      <w:numFmt w:val="decimal"/>
      <w:lvlText w:val=""/>
      <w:lvlJc w:val="left"/>
    </w:lvl>
    <w:lvl w:ilvl="5" w:tplc="9D96F62E">
      <w:numFmt w:val="decimal"/>
      <w:lvlText w:val=""/>
      <w:lvlJc w:val="left"/>
    </w:lvl>
    <w:lvl w:ilvl="6" w:tplc="DB3A00AA">
      <w:numFmt w:val="decimal"/>
      <w:lvlText w:val=""/>
      <w:lvlJc w:val="left"/>
    </w:lvl>
    <w:lvl w:ilvl="7" w:tplc="C3CC0E1C">
      <w:numFmt w:val="decimal"/>
      <w:lvlText w:val=""/>
      <w:lvlJc w:val="left"/>
    </w:lvl>
    <w:lvl w:ilvl="8" w:tplc="C1A2D56C">
      <w:numFmt w:val="decimal"/>
      <w:lvlText w:val=""/>
      <w:lvlJc w:val="left"/>
    </w:lvl>
  </w:abstractNum>
  <w:abstractNum w:abstractNumId="166" w15:restartNumberingAfterBreak="0">
    <w:nsid w:val="0CD46452"/>
    <w:multiLevelType w:val="hybridMultilevel"/>
    <w:tmpl w:val="CA0A80B4"/>
    <w:lvl w:ilvl="0" w:tplc="2224169A">
      <w:start w:val="1"/>
      <w:numFmt w:val="bullet"/>
      <w:lvlText w:val=""/>
      <w:lvlJc w:val="left"/>
      <w:pPr>
        <w:ind w:left="720" w:hanging="180"/>
      </w:pPr>
      <w:rPr>
        <w:rFonts w:ascii="Symbol" w:hAnsi="Symbol" w:hint="default"/>
      </w:rPr>
    </w:lvl>
    <w:lvl w:ilvl="1" w:tplc="8B885C74">
      <w:numFmt w:val="decimal"/>
      <w:lvlText w:val=""/>
      <w:lvlJc w:val="left"/>
    </w:lvl>
    <w:lvl w:ilvl="2" w:tplc="357A0F88">
      <w:numFmt w:val="decimal"/>
      <w:lvlText w:val=""/>
      <w:lvlJc w:val="left"/>
    </w:lvl>
    <w:lvl w:ilvl="3" w:tplc="11483EDC">
      <w:numFmt w:val="decimal"/>
      <w:lvlText w:val=""/>
      <w:lvlJc w:val="left"/>
    </w:lvl>
    <w:lvl w:ilvl="4" w:tplc="02F6D0E4">
      <w:numFmt w:val="decimal"/>
      <w:lvlText w:val=""/>
      <w:lvlJc w:val="left"/>
    </w:lvl>
    <w:lvl w:ilvl="5" w:tplc="43B83DD4">
      <w:numFmt w:val="decimal"/>
      <w:lvlText w:val=""/>
      <w:lvlJc w:val="left"/>
    </w:lvl>
    <w:lvl w:ilvl="6" w:tplc="3FF85A88">
      <w:numFmt w:val="decimal"/>
      <w:lvlText w:val=""/>
      <w:lvlJc w:val="left"/>
    </w:lvl>
    <w:lvl w:ilvl="7" w:tplc="8614193E">
      <w:numFmt w:val="decimal"/>
      <w:lvlText w:val=""/>
      <w:lvlJc w:val="left"/>
    </w:lvl>
    <w:lvl w:ilvl="8" w:tplc="B31834A8">
      <w:numFmt w:val="decimal"/>
      <w:lvlText w:val=""/>
      <w:lvlJc w:val="left"/>
    </w:lvl>
  </w:abstractNum>
  <w:abstractNum w:abstractNumId="167" w15:restartNumberingAfterBreak="0">
    <w:nsid w:val="0CDE419E"/>
    <w:multiLevelType w:val="hybridMultilevel"/>
    <w:tmpl w:val="2F80CB5C"/>
    <w:lvl w:ilvl="0" w:tplc="FEBAB3B8">
      <w:numFmt w:val="decimal"/>
      <w:lvlText w:val=""/>
      <w:lvlJc w:val="left"/>
    </w:lvl>
    <w:lvl w:ilvl="1" w:tplc="153265A2">
      <w:start w:val="1"/>
      <w:numFmt w:val="bullet"/>
      <w:lvlText w:val=""/>
      <w:lvlJc w:val="left"/>
      <w:pPr>
        <w:ind w:left="1440" w:hanging="180"/>
      </w:pPr>
      <w:rPr>
        <w:rFonts w:ascii="Symbol" w:hAnsi="Symbol" w:hint="default"/>
      </w:rPr>
    </w:lvl>
    <w:lvl w:ilvl="2" w:tplc="7C5E7FA8">
      <w:numFmt w:val="decimal"/>
      <w:lvlText w:val=""/>
      <w:lvlJc w:val="left"/>
    </w:lvl>
    <w:lvl w:ilvl="3" w:tplc="B8DE99CC">
      <w:numFmt w:val="decimal"/>
      <w:lvlText w:val=""/>
      <w:lvlJc w:val="left"/>
    </w:lvl>
    <w:lvl w:ilvl="4" w:tplc="A254F1EA">
      <w:numFmt w:val="decimal"/>
      <w:lvlText w:val=""/>
      <w:lvlJc w:val="left"/>
    </w:lvl>
    <w:lvl w:ilvl="5" w:tplc="36F26E0E">
      <w:numFmt w:val="decimal"/>
      <w:lvlText w:val=""/>
      <w:lvlJc w:val="left"/>
    </w:lvl>
    <w:lvl w:ilvl="6" w:tplc="9A68FBF8">
      <w:numFmt w:val="decimal"/>
      <w:lvlText w:val=""/>
      <w:lvlJc w:val="left"/>
    </w:lvl>
    <w:lvl w:ilvl="7" w:tplc="EA0A1E1C">
      <w:numFmt w:val="decimal"/>
      <w:lvlText w:val=""/>
      <w:lvlJc w:val="left"/>
    </w:lvl>
    <w:lvl w:ilvl="8" w:tplc="66287336">
      <w:numFmt w:val="decimal"/>
      <w:lvlText w:val=""/>
      <w:lvlJc w:val="left"/>
    </w:lvl>
  </w:abstractNum>
  <w:abstractNum w:abstractNumId="168" w15:restartNumberingAfterBreak="0">
    <w:nsid w:val="0D1F1920"/>
    <w:multiLevelType w:val="hybridMultilevel"/>
    <w:tmpl w:val="3E2A2ECA"/>
    <w:lvl w:ilvl="0" w:tplc="78C6ACB8">
      <w:start w:val="1"/>
      <w:numFmt w:val="bullet"/>
      <w:lvlText w:val=""/>
      <w:lvlJc w:val="left"/>
      <w:pPr>
        <w:ind w:left="720" w:hanging="180"/>
      </w:pPr>
      <w:rPr>
        <w:rFonts w:ascii="Symbol" w:hAnsi="Symbol" w:hint="default"/>
      </w:rPr>
    </w:lvl>
    <w:lvl w:ilvl="1" w:tplc="9C6C5568">
      <w:numFmt w:val="decimal"/>
      <w:lvlText w:val=""/>
      <w:lvlJc w:val="left"/>
    </w:lvl>
    <w:lvl w:ilvl="2" w:tplc="0BC837CC">
      <w:numFmt w:val="decimal"/>
      <w:lvlText w:val=""/>
      <w:lvlJc w:val="left"/>
    </w:lvl>
    <w:lvl w:ilvl="3" w:tplc="F0FEF72C">
      <w:numFmt w:val="decimal"/>
      <w:lvlText w:val=""/>
      <w:lvlJc w:val="left"/>
    </w:lvl>
    <w:lvl w:ilvl="4" w:tplc="D668CC3C">
      <w:numFmt w:val="decimal"/>
      <w:lvlText w:val=""/>
      <w:lvlJc w:val="left"/>
    </w:lvl>
    <w:lvl w:ilvl="5" w:tplc="AB8E09DA">
      <w:numFmt w:val="decimal"/>
      <w:lvlText w:val=""/>
      <w:lvlJc w:val="left"/>
    </w:lvl>
    <w:lvl w:ilvl="6" w:tplc="75501DDC">
      <w:numFmt w:val="decimal"/>
      <w:lvlText w:val=""/>
      <w:lvlJc w:val="left"/>
    </w:lvl>
    <w:lvl w:ilvl="7" w:tplc="DECCD5F6">
      <w:numFmt w:val="decimal"/>
      <w:lvlText w:val=""/>
      <w:lvlJc w:val="left"/>
    </w:lvl>
    <w:lvl w:ilvl="8" w:tplc="C02A933A">
      <w:numFmt w:val="decimal"/>
      <w:lvlText w:val=""/>
      <w:lvlJc w:val="left"/>
    </w:lvl>
  </w:abstractNum>
  <w:abstractNum w:abstractNumId="169" w15:restartNumberingAfterBreak="0">
    <w:nsid w:val="0D2A3232"/>
    <w:multiLevelType w:val="hybridMultilevel"/>
    <w:tmpl w:val="E724EFA6"/>
    <w:lvl w:ilvl="0" w:tplc="545CDB5C">
      <w:start w:val="1"/>
      <w:numFmt w:val="bullet"/>
      <w:lvlText w:val=""/>
      <w:lvlJc w:val="left"/>
      <w:pPr>
        <w:ind w:left="720" w:hanging="180"/>
      </w:pPr>
      <w:rPr>
        <w:rFonts w:ascii="Symbol" w:hAnsi="Symbol" w:hint="default"/>
      </w:rPr>
    </w:lvl>
    <w:lvl w:ilvl="1" w:tplc="15A4A0FC">
      <w:numFmt w:val="decimal"/>
      <w:lvlText w:val=""/>
      <w:lvlJc w:val="left"/>
    </w:lvl>
    <w:lvl w:ilvl="2" w:tplc="872E5FC4">
      <w:numFmt w:val="decimal"/>
      <w:lvlText w:val=""/>
      <w:lvlJc w:val="left"/>
    </w:lvl>
    <w:lvl w:ilvl="3" w:tplc="3D1CE5C8">
      <w:numFmt w:val="decimal"/>
      <w:lvlText w:val=""/>
      <w:lvlJc w:val="left"/>
    </w:lvl>
    <w:lvl w:ilvl="4" w:tplc="A68CEC96">
      <w:numFmt w:val="decimal"/>
      <w:lvlText w:val=""/>
      <w:lvlJc w:val="left"/>
    </w:lvl>
    <w:lvl w:ilvl="5" w:tplc="BB82208A">
      <w:numFmt w:val="decimal"/>
      <w:lvlText w:val=""/>
      <w:lvlJc w:val="left"/>
    </w:lvl>
    <w:lvl w:ilvl="6" w:tplc="D6BEB5D2">
      <w:numFmt w:val="decimal"/>
      <w:lvlText w:val=""/>
      <w:lvlJc w:val="left"/>
    </w:lvl>
    <w:lvl w:ilvl="7" w:tplc="B1D246C0">
      <w:numFmt w:val="decimal"/>
      <w:lvlText w:val=""/>
      <w:lvlJc w:val="left"/>
    </w:lvl>
    <w:lvl w:ilvl="8" w:tplc="92764528">
      <w:numFmt w:val="decimal"/>
      <w:lvlText w:val=""/>
      <w:lvlJc w:val="left"/>
    </w:lvl>
  </w:abstractNum>
  <w:abstractNum w:abstractNumId="170" w15:restartNumberingAfterBreak="0">
    <w:nsid w:val="0D4076BA"/>
    <w:multiLevelType w:val="hybridMultilevel"/>
    <w:tmpl w:val="2430A130"/>
    <w:lvl w:ilvl="0" w:tplc="23A03D52">
      <w:start w:val="1"/>
      <w:numFmt w:val="bullet"/>
      <w:lvlText w:val=""/>
      <w:lvlJc w:val="left"/>
      <w:pPr>
        <w:ind w:left="720" w:hanging="180"/>
      </w:pPr>
      <w:rPr>
        <w:rFonts w:ascii="Symbol" w:hAnsi="Symbol" w:hint="default"/>
      </w:rPr>
    </w:lvl>
    <w:lvl w:ilvl="1" w:tplc="C6B83B28">
      <w:numFmt w:val="decimal"/>
      <w:lvlText w:val=""/>
      <w:lvlJc w:val="left"/>
    </w:lvl>
    <w:lvl w:ilvl="2" w:tplc="D688C4AC">
      <w:numFmt w:val="decimal"/>
      <w:lvlText w:val=""/>
      <w:lvlJc w:val="left"/>
    </w:lvl>
    <w:lvl w:ilvl="3" w:tplc="73EA40D4">
      <w:numFmt w:val="decimal"/>
      <w:lvlText w:val=""/>
      <w:lvlJc w:val="left"/>
    </w:lvl>
    <w:lvl w:ilvl="4" w:tplc="8F0EB080">
      <w:numFmt w:val="decimal"/>
      <w:lvlText w:val=""/>
      <w:lvlJc w:val="left"/>
    </w:lvl>
    <w:lvl w:ilvl="5" w:tplc="A432B328">
      <w:numFmt w:val="decimal"/>
      <w:lvlText w:val=""/>
      <w:lvlJc w:val="left"/>
    </w:lvl>
    <w:lvl w:ilvl="6" w:tplc="B0148920">
      <w:numFmt w:val="decimal"/>
      <w:lvlText w:val=""/>
      <w:lvlJc w:val="left"/>
    </w:lvl>
    <w:lvl w:ilvl="7" w:tplc="0C6C0920">
      <w:numFmt w:val="decimal"/>
      <w:lvlText w:val=""/>
      <w:lvlJc w:val="left"/>
    </w:lvl>
    <w:lvl w:ilvl="8" w:tplc="781A1014">
      <w:numFmt w:val="decimal"/>
      <w:lvlText w:val=""/>
      <w:lvlJc w:val="left"/>
    </w:lvl>
  </w:abstractNum>
  <w:abstractNum w:abstractNumId="171" w15:restartNumberingAfterBreak="0">
    <w:nsid w:val="0D437BD3"/>
    <w:multiLevelType w:val="hybridMultilevel"/>
    <w:tmpl w:val="5E962814"/>
    <w:lvl w:ilvl="0" w:tplc="05CA6786">
      <w:start w:val="1"/>
      <w:numFmt w:val="bullet"/>
      <w:lvlText w:val=""/>
      <w:lvlJc w:val="left"/>
      <w:pPr>
        <w:ind w:left="720" w:hanging="180"/>
      </w:pPr>
      <w:rPr>
        <w:rFonts w:ascii="Symbol" w:hAnsi="Symbol" w:hint="default"/>
      </w:rPr>
    </w:lvl>
    <w:lvl w:ilvl="1" w:tplc="0E3C597E">
      <w:numFmt w:val="decimal"/>
      <w:lvlText w:val=""/>
      <w:lvlJc w:val="left"/>
    </w:lvl>
    <w:lvl w:ilvl="2" w:tplc="93D610A2">
      <w:numFmt w:val="decimal"/>
      <w:lvlText w:val=""/>
      <w:lvlJc w:val="left"/>
    </w:lvl>
    <w:lvl w:ilvl="3" w:tplc="7CDA1D64">
      <w:numFmt w:val="decimal"/>
      <w:lvlText w:val=""/>
      <w:lvlJc w:val="left"/>
    </w:lvl>
    <w:lvl w:ilvl="4" w:tplc="049666F2">
      <w:numFmt w:val="decimal"/>
      <w:lvlText w:val=""/>
      <w:lvlJc w:val="left"/>
    </w:lvl>
    <w:lvl w:ilvl="5" w:tplc="E03C1090">
      <w:numFmt w:val="decimal"/>
      <w:lvlText w:val=""/>
      <w:lvlJc w:val="left"/>
    </w:lvl>
    <w:lvl w:ilvl="6" w:tplc="E3FE3080">
      <w:numFmt w:val="decimal"/>
      <w:lvlText w:val=""/>
      <w:lvlJc w:val="left"/>
    </w:lvl>
    <w:lvl w:ilvl="7" w:tplc="EF620E80">
      <w:numFmt w:val="decimal"/>
      <w:lvlText w:val=""/>
      <w:lvlJc w:val="left"/>
    </w:lvl>
    <w:lvl w:ilvl="8" w:tplc="9EB87F24">
      <w:numFmt w:val="decimal"/>
      <w:lvlText w:val=""/>
      <w:lvlJc w:val="left"/>
    </w:lvl>
  </w:abstractNum>
  <w:abstractNum w:abstractNumId="172" w15:restartNumberingAfterBreak="0">
    <w:nsid w:val="0D4D005A"/>
    <w:multiLevelType w:val="hybridMultilevel"/>
    <w:tmpl w:val="725C9E34"/>
    <w:lvl w:ilvl="0" w:tplc="D126364C">
      <w:start w:val="1"/>
      <w:numFmt w:val="bullet"/>
      <w:lvlText w:val=""/>
      <w:lvlJc w:val="left"/>
      <w:pPr>
        <w:ind w:left="720" w:hanging="180"/>
      </w:pPr>
      <w:rPr>
        <w:rFonts w:ascii="Symbol" w:hAnsi="Symbol" w:hint="default"/>
      </w:rPr>
    </w:lvl>
    <w:lvl w:ilvl="1" w:tplc="8BEAF310">
      <w:numFmt w:val="decimal"/>
      <w:lvlText w:val=""/>
      <w:lvlJc w:val="left"/>
    </w:lvl>
    <w:lvl w:ilvl="2" w:tplc="355087E4">
      <w:numFmt w:val="decimal"/>
      <w:lvlText w:val=""/>
      <w:lvlJc w:val="left"/>
    </w:lvl>
    <w:lvl w:ilvl="3" w:tplc="C010AEEA">
      <w:numFmt w:val="decimal"/>
      <w:lvlText w:val=""/>
      <w:lvlJc w:val="left"/>
    </w:lvl>
    <w:lvl w:ilvl="4" w:tplc="F9EEA876">
      <w:numFmt w:val="decimal"/>
      <w:lvlText w:val=""/>
      <w:lvlJc w:val="left"/>
    </w:lvl>
    <w:lvl w:ilvl="5" w:tplc="580C2DB6">
      <w:numFmt w:val="decimal"/>
      <w:lvlText w:val=""/>
      <w:lvlJc w:val="left"/>
    </w:lvl>
    <w:lvl w:ilvl="6" w:tplc="F920E22E">
      <w:numFmt w:val="decimal"/>
      <w:lvlText w:val=""/>
      <w:lvlJc w:val="left"/>
    </w:lvl>
    <w:lvl w:ilvl="7" w:tplc="BCAEE912">
      <w:numFmt w:val="decimal"/>
      <w:lvlText w:val=""/>
      <w:lvlJc w:val="left"/>
    </w:lvl>
    <w:lvl w:ilvl="8" w:tplc="D6169382">
      <w:numFmt w:val="decimal"/>
      <w:lvlText w:val=""/>
      <w:lvlJc w:val="left"/>
    </w:lvl>
  </w:abstractNum>
  <w:abstractNum w:abstractNumId="173" w15:restartNumberingAfterBreak="0">
    <w:nsid w:val="0D546FF0"/>
    <w:multiLevelType w:val="hybridMultilevel"/>
    <w:tmpl w:val="26365986"/>
    <w:lvl w:ilvl="0" w:tplc="D654DA26">
      <w:start w:val="1"/>
      <w:numFmt w:val="bullet"/>
      <w:lvlText w:val=""/>
      <w:lvlJc w:val="left"/>
      <w:pPr>
        <w:ind w:left="720" w:hanging="180"/>
      </w:pPr>
      <w:rPr>
        <w:rFonts w:ascii="Symbol" w:hAnsi="Symbol" w:hint="default"/>
      </w:rPr>
    </w:lvl>
    <w:lvl w:ilvl="1" w:tplc="90C43664">
      <w:numFmt w:val="decimal"/>
      <w:lvlText w:val=""/>
      <w:lvlJc w:val="left"/>
    </w:lvl>
    <w:lvl w:ilvl="2" w:tplc="09AED8B0">
      <w:numFmt w:val="decimal"/>
      <w:lvlText w:val=""/>
      <w:lvlJc w:val="left"/>
    </w:lvl>
    <w:lvl w:ilvl="3" w:tplc="6BB683E4">
      <w:numFmt w:val="decimal"/>
      <w:lvlText w:val=""/>
      <w:lvlJc w:val="left"/>
    </w:lvl>
    <w:lvl w:ilvl="4" w:tplc="4F5ABB4C">
      <w:numFmt w:val="decimal"/>
      <w:lvlText w:val=""/>
      <w:lvlJc w:val="left"/>
    </w:lvl>
    <w:lvl w:ilvl="5" w:tplc="F62A5AB4">
      <w:numFmt w:val="decimal"/>
      <w:lvlText w:val=""/>
      <w:lvlJc w:val="left"/>
    </w:lvl>
    <w:lvl w:ilvl="6" w:tplc="2FA6438E">
      <w:numFmt w:val="decimal"/>
      <w:lvlText w:val=""/>
      <w:lvlJc w:val="left"/>
    </w:lvl>
    <w:lvl w:ilvl="7" w:tplc="2E409BA6">
      <w:numFmt w:val="decimal"/>
      <w:lvlText w:val=""/>
      <w:lvlJc w:val="left"/>
    </w:lvl>
    <w:lvl w:ilvl="8" w:tplc="B2922D0A">
      <w:numFmt w:val="decimal"/>
      <w:lvlText w:val=""/>
      <w:lvlJc w:val="left"/>
    </w:lvl>
  </w:abstractNum>
  <w:abstractNum w:abstractNumId="174" w15:restartNumberingAfterBreak="0">
    <w:nsid w:val="0D6C0829"/>
    <w:multiLevelType w:val="hybridMultilevel"/>
    <w:tmpl w:val="6A6408C8"/>
    <w:lvl w:ilvl="0" w:tplc="349EDA44">
      <w:start w:val="1"/>
      <w:numFmt w:val="bullet"/>
      <w:lvlText w:val=""/>
      <w:lvlJc w:val="left"/>
      <w:pPr>
        <w:ind w:left="720" w:hanging="180"/>
      </w:pPr>
      <w:rPr>
        <w:rFonts w:ascii="Symbol" w:hAnsi="Symbol" w:hint="default"/>
      </w:rPr>
    </w:lvl>
    <w:lvl w:ilvl="1" w:tplc="07025440">
      <w:numFmt w:val="decimal"/>
      <w:lvlText w:val=""/>
      <w:lvlJc w:val="left"/>
    </w:lvl>
    <w:lvl w:ilvl="2" w:tplc="958CAE8C">
      <w:numFmt w:val="decimal"/>
      <w:lvlText w:val=""/>
      <w:lvlJc w:val="left"/>
    </w:lvl>
    <w:lvl w:ilvl="3" w:tplc="C2663568">
      <w:numFmt w:val="decimal"/>
      <w:lvlText w:val=""/>
      <w:lvlJc w:val="left"/>
    </w:lvl>
    <w:lvl w:ilvl="4" w:tplc="4CCE016A">
      <w:numFmt w:val="decimal"/>
      <w:lvlText w:val=""/>
      <w:lvlJc w:val="left"/>
    </w:lvl>
    <w:lvl w:ilvl="5" w:tplc="7C0AE75A">
      <w:numFmt w:val="decimal"/>
      <w:lvlText w:val=""/>
      <w:lvlJc w:val="left"/>
    </w:lvl>
    <w:lvl w:ilvl="6" w:tplc="0900BAAA">
      <w:numFmt w:val="decimal"/>
      <w:lvlText w:val=""/>
      <w:lvlJc w:val="left"/>
    </w:lvl>
    <w:lvl w:ilvl="7" w:tplc="81307D54">
      <w:numFmt w:val="decimal"/>
      <w:lvlText w:val=""/>
      <w:lvlJc w:val="left"/>
    </w:lvl>
    <w:lvl w:ilvl="8" w:tplc="98C089FC">
      <w:numFmt w:val="decimal"/>
      <w:lvlText w:val=""/>
      <w:lvlJc w:val="left"/>
    </w:lvl>
  </w:abstractNum>
  <w:abstractNum w:abstractNumId="175" w15:restartNumberingAfterBreak="0">
    <w:nsid w:val="0D896461"/>
    <w:multiLevelType w:val="hybridMultilevel"/>
    <w:tmpl w:val="68F874D2"/>
    <w:lvl w:ilvl="0" w:tplc="0646FEF4">
      <w:start w:val="1"/>
      <w:numFmt w:val="bullet"/>
      <w:lvlText w:val=""/>
      <w:lvlJc w:val="left"/>
      <w:pPr>
        <w:ind w:left="720" w:hanging="180"/>
      </w:pPr>
      <w:rPr>
        <w:rFonts w:ascii="Symbol" w:hAnsi="Symbol" w:hint="default"/>
      </w:rPr>
    </w:lvl>
    <w:lvl w:ilvl="1" w:tplc="924E2ABC">
      <w:numFmt w:val="decimal"/>
      <w:lvlText w:val=""/>
      <w:lvlJc w:val="left"/>
    </w:lvl>
    <w:lvl w:ilvl="2" w:tplc="D64E2030">
      <w:numFmt w:val="decimal"/>
      <w:lvlText w:val=""/>
      <w:lvlJc w:val="left"/>
    </w:lvl>
    <w:lvl w:ilvl="3" w:tplc="1E3E93A0">
      <w:numFmt w:val="decimal"/>
      <w:lvlText w:val=""/>
      <w:lvlJc w:val="left"/>
    </w:lvl>
    <w:lvl w:ilvl="4" w:tplc="C5E0B4F2">
      <w:numFmt w:val="decimal"/>
      <w:lvlText w:val=""/>
      <w:lvlJc w:val="left"/>
    </w:lvl>
    <w:lvl w:ilvl="5" w:tplc="3386196A">
      <w:numFmt w:val="decimal"/>
      <w:lvlText w:val=""/>
      <w:lvlJc w:val="left"/>
    </w:lvl>
    <w:lvl w:ilvl="6" w:tplc="3F76E95A">
      <w:numFmt w:val="decimal"/>
      <w:lvlText w:val=""/>
      <w:lvlJc w:val="left"/>
    </w:lvl>
    <w:lvl w:ilvl="7" w:tplc="A1A26544">
      <w:numFmt w:val="decimal"/>
      <w:lvlText w:val=""/>
      <w:lvlJc w:val="left"/>
    </w:lvl>
    <w:lvl w:ilvl="8" w:tplc="43545292">
      <w:numFmt w:val="decimal"/>
      <w:lvlText w:val=""/>
      <w:lvlJc w:val="left"/>
    </w:lvl>
  </w:abstractNum>
  <w:abstractNum w:abstractNumId="176" w15:restartNumberingAfterBreak="0">
    <w:nsid w:val="0D954852"/>
    <w:multiLevelType w:val="hybridMultilevel"/>
    <w:tmpl w:val="63041AD6"/>
    <w:lvl w:ilvl="0" w:tplc="E3F23DFA">
      <w:start w:val="1"/>
      <w:numFmt w:val="bullet"/>
      <w:lvlText w:val=""/>
      <w:lvlJc w:val="left"/>
      <w:pPr>
        <w:ind w:left="720" w:hanging="180"/>
      </w:pPr>
      <w:rPr>
        <w:rFonts w:ascii="Symbol" w:hAnsi="Symbol" w:hint="default"/>
      </w:rPr>
    </w:lvl>
    <w:lvl w:ilvl="1" w:tplc="2216EEE6">
      <w:numFmt w:val="decimal"/>
      <w:lvlText w:val=""/>
      <w:lvlJc w:val="left"/>
    </w:lvl>
    <w:lvl w:ilvl="2" w:tplc="93C45BD2">
      <w:numFmt w:val="decimal"/>
      <w:lvlText w:val=""/>
      <w:lvlJc w:val="left"/>
    </w:lvl>
    <w:lvl w:ilvl="3" w:tplc="180AAB7A">
      <w:numFmt w:val="decimal"/>
      <w:lvlText w:val=""/>
      <w:lvlJc w:val="left"/>
    </w:lvl>
    <w:lvl w:ilvl="4" w:tplc="06ECF76C">
      <w:numFmt w:val="decimal"/>
      <w:lvlText w:val=""/>
      <w:lvlJc w:val="left"/>
    </w:lvl>
    <w:lvl w:ilvl="5" w:tplc="7BC0E0E6">
      <w:numFmt w:val="decimal"/>
      <w:lvlText w:val=""/>
      <w:lvlJc w:val="left"/>
    </w:lvl>
    <w:lvl w:ilvl="6" w:tplc="52C268B4">
      <w:numFmt w:val="decimal"/>
      <w:lvlText w:val=""/>
      <w:lvlJc w:val="left"/>
    </w:lvl>
    <w:lvl w:ilvl="7" w:tplc="60C604F0">
      <w:numFmt w:val="decimal"/>
      <w:lvlText w:val=""/>
      <w:lvlJc w:val="left"/>
    </w:lvl>
    <w:lvl w:ilvl="8" w:tplc="B226098E">
      <w:numFmt w:val="decimal"/>
      <w:lvlText w:val=""/>
      <w:lvlJc w:val="left"/>
    </w:lvl>
  </w:abstractNum>
  <w:abstractNum w:abstractNumId="177" w15:restartNumberingAfterBreak="0">
    <w:nsid w:val="0D9C4A98"/>
    <w:multiLevelType w:val="hybridMultilevel"/>
    <w:tmpl w:val="D22C8050"/>
    <w:lvl w:ilvl="0" w:tplc="E40E70A0">
      <w:start w:val="1"/>
      <w:numFmt w:val="bullet"/>
      <w:lvlText w:val=""/>
      <w:lvlJc w:val="left"/>
      <w:pPr>
        <w:ind w:left="720" w:hanging="180"/>
      </w:pPr>
      <w:rPr>
        <w:rFonts w:ascii="Symbol" w:hAnsi="Symbol" w:hint="default"/>
      </w:rPr>
    </w:lvl>
    <w:lvl w:ilvl="1" w:tplc="3D988228">
      <w:numFmt w:val="decimal"/>
      <w:lvlText w:val=""/>
      <w:lvlJc w:val="left"/>
    </w:lvl>
    <w:lvl w:ilvl="2" w:tplc="DC1803BE">
      <w:numFmt w:val="decimal"/>
      <w:lvlText w:val=""/>
      <w:lvlJc w:val="left"/>
    </w:lvl>
    <w:lvl w:ilvl="3" w:tplc="CA1C4D56">
      <w:numFmt w:val="decimal"/>
      <w:lvlText w:val=""/>
      <w:lvlJc w:val="left"/>
    </w:lvl>
    <w:lvl w:ilvl="4" w:tplc="57EA2C28">
      <w:numFmt w:val="decimal"/>
      <w:lvlText w:val=""/>
      <w:lvlJc w:val="left"/>
    </w:lvl>
    <w:lvl w:ilvl="5" w:tplc="709808A4">
      <w:numFmt w:val="decimal"/>
      <w:lvlText w:val=""/>
      <w:lvlJc w:val="left"/>
    </w:lvl>
    <w:lvl w:ilvl="6" w:tplc="D4F436EA">
      <w:numFmt w:val="decimal"/>
      <w:lvlText w:val=""/>
      <w:lvlJc w:val="left"/>
    </w:lvl>
    <w:lvl w:ilvl="7" w:tplc="19B481C0">
      <w:numFmt w:val="decimal"/>
      <w:lvlText w:val=""/>
      <w:lvlJc w:val="left"/>
    </w:lvl>
    <w:lvl w:ilvl="8" w:tplc="2272D986">
      <w:numFmt w:val="decimal"/>
      <w:lvlText w:val=""/>
      <w:lvlJc w:val="left"/>
    </w:lvl>
  </w:abstractNum>
  <w:abstractNum w:abstractNumId="178" w15:restartNumberingAfterBreak="0">
    <w:nsid w:val="0DC4514C"/>
    <w:multiLevelType w:val="hybridMultilevel"/>
    <w:tmpl w:val="508C715A"/>
    <w:lvl w:ilvl="0" w:tplc="F9B420C8">
      <w:start w:val="1"/>
      <w:numFmt w:val="bullet"/>
      <w:lvlText w:val=""/>
      <w:lvlJc w:val="left"/>
      <w:pPr>
        <w:ind w:left="720" w:hanging="180"/>
      </w:pPr>
      <w:rPr>
        <w:rFonts w:ascii="Symbol" w:hAnsi="Symbol" w:hint="default"/>
      </w:rPr>
    </w:lvl>
    <w:lvl w:ilvl="1" w:tplc="1AACB534">
      <w:numFmt w:val="decimal"/>
      <w:lvlText w:val=""/>
      <w:lvlJc w:val="left"/>
    </w:lvl>
    <w:lvl w:ilvl="2" w:tplc="3732C88C">
      <w:numFmt w:val="decimal"/>
      <w:lvlText w:val=""/>
      <w:lvlJc w:val="left"/>
    </w:lvl>
    <w:lvl w:ilvl="3" w:tplc="454E55C6">
      <w:numFmt w:val="decimal"/>
      <w:lvlText w:val=""/>
      <w:lvlJc w:val="left"/>
    </w:lvl>
    <w:lvl w:ilvl="4" w:tplc="0720CB0E">
      <w:numFmt w:val="decimal"/>
      <w:lvlText w:val=""/>
      <w:lvlJc w:val="left"/>
    </w:lvl>
    <w:lvl w:ilvl="5" w:tplc="8F7E3804">
      <w:numFmt w:val="decimal"/>
      <w:lvlText w:val=""/>
      <w:lvlJc w:val="left"/>
    </w:lvl>
    <w:lvl w:ilvl="6" w:tplc="595486AA">
      <w:numFmt w:val="decimal"/>
      <w:lvlText w:val=""/>
      <w:lvlJc w:val="left"/>
    </w:lvl>
    <w:lvl w:ilvl="7" w:tplc="9934C646">
      <w:numFmt w:val="decimal"/>
      <w:lvlText w:val=""/>
      <w:lvlJc w:val="left"/>
    </w:lvl>
    <w:lvl w:ilvl="8" w:tplc="0A583FFE">
      <w:numFmt w:val="decimal"/>
      <w:lvlText w:val=""/>
      <w:lvlJc w:val="left"/>
    </w:lvl>
  </w:abstractNum>
  <w:abstractNum w:abstractNumId="179" w15:restartNumberingAfterBreak="0">
    <w:nsid w:val="0DFF10FE"/>
    <w:multiLevelType w:val="hybridMultilevel"/>
    <w:tmpl w:val="1876A450"/>
    <w:lvl w:ilvl="0" w:tplc="1130A8A4">
      <w:start w:val="1"/>
      <w:numFmt w:val="bullet"/>
      <w:lvlText w:val=""/>
      <w:lvlJc w:val="left"/>
      <w:pPr>
        <w:ind w:left="720" w:hanging="180"/>
      </w:pPr>
      <w:rPr>
        <w:rFonts w:ascii="Symbol" w:hAnsi="Symbol" w:hint="default"/>
      </w:rPr>
    </w:lvl>
    <w:lvl w:ilvl="1" w:tplc="09AED0D4">
      <w:numFmt w:val="decimal"/>
      <w:lvlText w:val=""/>
      <w:lvlJc w:val="left"/>
    </w:lvl>
    <w:lvl w:ilvl="2" w:tplc="EF622A7C">
      <w:numFmt w:val="decimal"/>
      <w:lvlText w:val=""/>
      <w:lvlJc w:val="left"/>
    </w:lvl>
    <w:lvl w:ilvl="3" w:tplc="33D8362E">
      <w:numFmt w:val="decimal"/>
      <w:lvlText w:val=""/>
      <w:lvlJc w:val="left"/>
    </w:lvl>
    <w:lvl w:ilvl="4" w:tplc="EB64201E">
      <w:numFmt w:val="decimal"/>
      <w:lvlText w:val=""/>
      <w:lvlJc w:val="left"/>
    </w:lvl>
    <w:lvl w:ilvl="5" w:tplc="7FE865D0">
      <w:numFmt w:val="decimal"/>
      <w:lvlText w:val=""/>
      <w:lvlJc w:val="left"/>
    </w:lvl>
    <w:lvl w:ilvl="6" w:tplc="515A761A">
      <w:numFmt w:val="decimal"/>
      <w:lvlText w:val=""/>
      <w:lvlJc w:val="left"/>
    </w:lvl>
    <w:lvl w:ilvl="7" w:tplc="48F0AC18">
      <w:numFmt w:val="decimal"/>
      <w:lvlText w:val=""/>
      <w:lvlJc w:val="left"/>
    </w:lvl>
    <w:lvl w:ilvl="8" w:tplc="C53AE76C">
      <w:numFmt w:val="decimal"/>
      <w:lvlText w:val=""/>
      <w:lvlJc w:val="left"/>
    </w:lvl>
  </w:abstractNum>
  <w:abstractNum w:abstractNumId="180" w15:restartNumberingAfterBreak="0">
    <w:nsid w:val="0E103EE1"/>
    <w:multiLevelType w:val="hybridMultilevel"/>
    <w:tmpl w:val="E87EB896"/>
    <w:lvl w:ilvl="0" w:tplc="030A0AA8">
      <w:start w:val="1"/>
      <w:numFmt w:val="bullet"/>
      <w:lvlText w:val=""/>
      <w:lvlJc w:val="left"/>
      <w:pPr>
        <w:ind w:left="720" w:hanging="180"/>
      </w:pPr>
      <w:rPr>
        <w:rFonts w:ascii="Symbol" w:hAnsi="Symbol" w:hint="default"/>
      </w:rPr>
    </w:lvl>
    <w:lvl w:ilvl="1" w:tplc="141E056C">
      <w:numFmt w:val="decimal"/>
      <w:lvlText w:val=""/>
      <w:lvlJc w:val="left"/>
    </w:lvl>
    <w:lvl w:ilvl="2" w:tplc="4352234C">
      <w:numFmt w:val="decimal"/>
      <w:lvlText w:val=""/>
      <w:lvlJc w:val="left"/>
    </w:lvl>
    <w:lvl w:ilvl="3" w:tplc="8FB228D6">
      <w:numFmt w:val="decimal"/>
      <w:lvlText w:val=""/>
      <w:lvlJc w:val="left"/>
    </w:lvl>
    <w:lvl w:ilvl="4" w:tplc="DFC05020">
      <w:numFmt w:val="decimal"/>
      <w:lvlText w:val=""/>
      <w:lvlJc w:val="left"/>
    </w:lvl>
    <w:lvl w:ilvl="5" w:tplc="4DCC0C96">
      <w:numFmt w:val="decimal"/>
      <w:lvlText w:val=""/>
      <w:lvlJc w:val="left"/>
    </w:lvl>
    <w:lvl w:ilvl="6" w:tplc="3220648C">
      <w:numFmt w:val="decimal"/>
      <w:lvlText w:val=""/>
      <w:lvlJc w:val="left"/>
    </w:lvl>
    <w:lvl w:ilvl="7" w:tplc="DD6ADB20">
      <w:numFmt w:val="decimal"/>
      <w:lvlText w:val=""/>
      <w:lvlJc w:val="left"/>
    </w:lvl>
    <w:lvl w:ilvl="8" w:tplc="FCE819EA">
      <w:numFmt w:val="decimal"/>
      <w:lvlText w:val=""/>
      <w:lvlJc w:val="left"/>
    </w:lvl>
  </w:abstractNum>
  <w:abstractNum w:abstractNumId="181" w15:restartNumberingAfterBreak="0">
    <w:nsid w:val="0E1276BF"/>
    <w:multiLevelType w:val="hybridMultilevel"/>
    <w:tmpl w:val="B34E6BD6"/>
    <w:lvl w:ilvl="0" w:tplc="7F44C2FE">
      <w:start w:val="1"/>
      <w:numFmt w:val="bullet"/>
      <w:lvlText w:val=""/>
      <w:lvlJc w:val="left"/>
      <w:pPr>
        <w:ind w:left="720" w:hanging="180"/>
      </w:pPr>
      <w:rPr>
        <w:rFonts w:ascii="Symbol" w:hAnsi="Symbol" w:hint="default"/>
      </w:rPr>
    </w:lvl>
    <w:lvl w:ilvl="1" w:tplc="178EE194">
      <w:numFmt w:val="decimal"/>
      <w:lvlText w:val=""/>
      <w:lvlJc w:val="left"/>
    </w:lvl>
    <w:lvl w:ilvl="2" w:tplc="8CBA6508">
      <w:numFmt w:val="decimal"/>
      <w:lvlText w:val=""/>
      <w:lvlJc w:val="left"/>
    </w:lvl>
    <w:lvl w:ilvl="3" w:tplc="6AB637CC">
      <w:numFmt w:val="decimal"/>
      <w:lvlText w:val=""/>
      <w:lvlJc w:val="left"/>
    </w:lvl>
    <w:lvl w:ilvl="4" w:tplc="E2BCCE56">
      <w:numFmt w:val="decimal"/>
      <w:lvlText w:val=""/>
      <w:lvlJc w:val="left"/>
    </w:lvl>
    <w:lvl w:ilvl="5" w:tplc="75DCF018">
      <w:numFmt w:val="decimal"/>
      <w:lvlText w:val=""/>
      <w:lvlJc w:val="left"/>
    </w:lvl>
    <w:lvl w:ilvl="6" w:tplc="48985FE0">
      <w:numFmt w:val="decimal"/>
      <w:lvlText w:val=""/>
      <w:lvlJc w:val="left"/>
    </w:lvl>
    <w:lvl w:ilvl="7" w:tplc="6EB20F7A">
      <w:numFmt w:val="decimal"/>
      <w:lvlText w:val=""/>
      <w:lvlJc w:val="left"/>
    </w:lvl>
    <w:lvl w:ilvl="8" w:tplc="1B1093A4">
      <w:numFmt w:val="decimal"/>
      <w:lvlText w:val=""/>
      <w:lvlJc w:val="left"/>
    </w:lvl>
  </w:abstractNum>
  <w:abstractNum w:abstractNumId="182" w15:restartNumberingAfterBreak="0">
    <w:nsid w:val="0E296A95"/>
    <w:multiLevelType w:val="hybridMultilevel"/>
    <w:tmpl w:val="630E825E"/>
    <w:lvl w:ilvl="0" w:tplc="D7CEB14C">
      <w:start w:val="1"/>
      <w:numFmt w:val="bullet"/>
      <w:lvlText w:val=""/>
      <w:lvlJc w:val="left"/>
      <w:pPr>
        <w:ind w:left="720" w:hanging="180"/>
      </w:pPr>
      <w:rPr>
        <w:rFonts w:ascii="Symbol" w:hAnsi="Symbol" w:hint="default"/>
      </w:rPr>
    </w:lvl>
    <w:lvl w:ilvl="1" w:tplc="2CBA5EF8">
      <w:numFmt w:val="decimal"/>
      <w:lvlText w:val=""/>
      <w:lvlJc w:val="left"/>
    </w:lvl>
    <w:lvl w:ilvl="2" w:tplc="D3364206">
      <w:numFmt w:val="decimal"/>
      <w:lvlText w:val=""/>
      <w:lvlJc w:val="left"/>
    </w:lvl>
    <w:lvl w:ilvl="3" w:tplc="2A623FA2">
      <w:numFmt w:val="decimal"/>
      <w:lvlText w:val=""/>
      <w:lvlJc w:val="left"/>
    </w:lvl>
    <w:lvl w:ilvl="4" w:tplc="B3741CBA">
      <w:numFmt w:val="decimal"/>
      <w:lvlText w:val=""/>
      <w:lvlJc w:val="left"/>
    </w:lvl>
    <w:lvl w:ilvl="5" w:tplc="963623E2">
      <w:numFmt w:val="decimal"/>
      <w:lvlText w:val=""/>
      <w:lvlJc w:val="left"/>
    </w:lvl>
    <w:lvl w:ilvl="6" w:tplc="2236EE8C">
      <w:numFmt w:val="decimal"/>
      <w:lvlText w:val=""/>
      <w:lvlJc w:val="left"/>
    </w:lvl>
    <w:lvl w:ilvl="7" w:tplc="35A0904A">
      <w:numFmt w:val="decimal"/>
      <w:lvlText w:val=""/>
      <w:lvlJc w:val="left"/>
    </w:lvl>
    <w:lvl w:ilvl="8" w:tplc="111E2A58">
      <w:numFmt w:val="decimal"/>
      <w:lvlText w:val=""/>
      <w:lvlJc w:val="left"/>
    </w:lvl>
  </w:abstractNum>
  <w:abstractNum w:abstractNumId="183" w15:restartNumberingAfterBreak="0">
    <w:nsid w:val="0E2E2B13"/>
    <w:multiLevelType w:val="hybridMultilevel"/>
    <w:tmpl w:val="53DA3BFC"/>
    <w:lvl w:ilvl="0" w:tplc="BEB004EE">
      <w:start w:val="1"/>
      <w:numFmt w:val="bullet"/>
      <w:lvlText w:val=""/>
      <w:lvlJc w:val="left"/>
      <w:pPr>
        <w:ind w:left="720" w:hanging="180"/>
      </w:pPr>
      <w:rPr>
        <w:rFonts w:ascii="Symbol" w:hAnsi="Symbol" w:hint="default"/>
      </w:rPr>
    </w:lvl>
    <w:lvl w:ilvl="1" w:tplc="970E9F7A">
      <w:numFmt w:val="decimal"/>
      <w:lvlText w:val=""/>
      <w:lvlJc w:val="left"/>
    </w:lvl>
    <w:lvl w:ilvl="2" w:tplc="7D1E86E0">
      <w:numFmt w:val="decimal"/>
      <w:lvlText w:val=""/>
      <w:lvlJc w:val="left"/>
    </w:lvl>
    <w:lvl w:ilvl="3" w:tplc="C5E6A1D0">
      <w:numFmt w:val="decimal"/>
      <w:lvlText w:val=""/>
      <w:lvlJc w:val="left"/>
    </w:lvl>
    <w:lvl w:ilvl="4" w:tplc="20C0D8BA">
      <w:numFmt w:val="decimal"/>
      <w:lvlText w:val=""/>
      <w:lvlJc w:val="left"/>
    </w:lvl>
    <w:lvl w:ilvl="5" w:tplc="0E180C98">
      <w:numFmt w:val="decimal"/>
      <w:lvlText w:val=""/>
      <w:lvlJc w:val="left"/>
    </w:lvl>
    <w:lvl w:ilvl="6" w:tplc="674AF202">
      <w:numFmt w:val="decimal"/>
      <w:lvlText w:val=""/>
      <w:lvlJc w:val="left"/>
    </w:lvl>
    <w:lvl w:ilvl="7" w:tplc="D49C1286">
      <w:numFmt w:val="decimal"/>
      <w:lvlText w:val=""/>
      <w:lvlJc w:val="left"/>
    </w:lvl>
    <w:lvl w:ilvl="8" w:tplc="085AB936">
      <w:numFmt w:val="decimal"/>
      <w:lvlText w:val=""/>
      <w:lvlJc w:val="left"/>
    </w:lvl>
  </w:abstractNum>
  <w:abstractNum w:abstractNumId="184" w15:restartNumberingAfterBreak="0">
    <w:nsid w:val="0E3415F5"/>
    <w:multiLevelType w:val="hybridMultilevel"/>
    <w:tmpl w:val="3438A308"/>
    <w:lvl w:ilvl="0" w:tplc="D2EAE7EA">
      <w:numFmt w:val="decimal"/>
      <w:lvlText w:val=""/>
      <w:lvlJc w:val="left"/>
    </w:lvl>
    <w:lvl w:ilvl="1" w:tplc="8E224504">
      <w:start w:val="1"/>
      <w:numFmt w:val="bullet"/>
      <w:lvlText w:val=""/>
      <w:lvlJc w:val="left"/>
      <w:pPr>
        <w:ind w:left="1440" w:hanging="180"/>
      </w:pPr>
      <w:rPr>
        <w:rFonts w:ascii="Symbol" w:hAnsi="Symbol" w:hint="default"/>
      </w:rPr>
    </w:lvl>
    <w:lvl w:ilvl="2" w:tplc="1F36D5DA">
      <w:numFmt w:val="decimal"/>
      <w:lvlText w:val=""/>
      <w:lvlJc w:val="left"/>
    </w:lvl>
    <w:lvl w:ilvl="3" w:tplc="9E5EFBD2">
      <w:numFmt w:val="decimal"/>
      <w:lvlText w:val=""/>
      <w:lvlJc w:val="left"/>
    </w:lvl>
    <w:lvl w:ilvl="4" w:tplc="4EC67A56">
      <w:numFmt w:val="decimal"/>
      <w:lvlText w:val=""/>
      <w:lvlJc w:val="left"/>
    </w:lvl>
    <w:lvl w:ilvl="5" w:tplc="AE9AF910">
      <w:numFmt w:val="decimal"/>
      <w:lvlText w:val=""/>
      <w:lvlJc w:val="left"/>
    </w:lvl>
    <w:lvl w:ilvl="6" w:tplc="7DFCC1E8">
      <w:numFmt w:val="decimal"/>
      <w:lvlText w:val=""/>
      <w:lvlJc w:val="left"/>
    </w:lvl>
    <w:lvl w:ilvl="7" w:tplc="754EAF7A">
      <w:numFmt w:val="decimal"/>
      <w:lvlText w:val=""/>
      <w:lvlJc w:val="left"/>
    </w:lvl>
    <w:lvl w:ilvl="8" w:tplc="6D9800B0">
      <w:numFmt w:val="decimal"/>
      <w:lvlText w:val=""/>
      <w:lvlJc w:val="left"/>
    </w:lvl>
  </w:abstractNum>
  <w:abstractNum w:abstractNumId="185" w15:restartNumberingAfterBreak="0">
    <w:nsid w:val="0E451F90"/>
    <w:multiLevelType w:val="hybridMultilevel"/>
    <w:tmpl w:val="F866ED2E"/>
    <w:lvl w:ilvl="0" w:tplc="89D89C34">
      <w:numFmt w:val="decimal"/>
      <w:lvlText w:val=""/>
      <w:lvlJc w:val="left"/>
    </w:lvl>
    <w:lvl w:ilvl="1" w:tplc="1C845750">
      <w:start w:val="1"/>
      <w:numFmt w:val="bullet"/>
      <w:lvlText w:val=""/>
      <w:lvlJc w:val="left"/>
      <w:pPr>
        <w:ind w:left="1440" w:hanging="180"/>
      </w:pPr>
      <w:rPr>
        <w:rFonts w:ascii="Symbol" w:hAnsi="Symbol" w:hint="default"/>
      </w:rPr>
    </w:lvl>
    <w:lvl w:ilvl="2" w:tplc="255C80AA">
      <w:numFmt w:val="decimal"/>
      <w:lvlText w:val=""/>
      <w:lvlJc w:val="left"/>
    </w:lvl>
    <w:lvl w:ilvl="3" w:tplc="92E4DC5E">
      <w:numFmt w:val="decimal"/>
      <w:lvlText w:val=""/>
      <w:lvlJc w:val="left"/>
    </w:lvl>
    <w:lvl w:ilvl="4" w:tplc="829C2FC0">
      <w:numFmt w:val="decimal"/>
      <w:lvlText w:val=""/>
      <w:lvlJc w:val="left"/>
    </w:lvl>
    <w:lvl w:ilvl="5" w:tplc="4E5C8FC2">
      <w:numFmt w:val="decimal"/>
      <w:lvlText w:val=""/>
      <w:lvlJc w:val="left"/>
    </w:lvl>
    <w:lvl w:ilvl="6" w:tplc="79DC6780">
      <w:numFmt w:val="decimal"/>
      <w:lvlText w:val=""/>
      <w:lvlJc w:val="left"/>
    </w:lvl>
    <w:lvl w:ilvl="7" w:tplc="344E170A">
      <w:numFmt w:val="decimal"/>
      <w:lvlText w:val=""/>
      <w:lvlJc w:val="left"/>
    </w:lvl>
    <w:lvl w:ilvl="8" w:tplc="321CA3C2">
      <w:numFmt w:val="decimal"/>
      <w:lvlText w:val=""/>
      <w:lvlJc w:val="left"/>
    </w:lvl>
  </w:abstractNum>
  <w:abstractNum w:abstractNumId="186" w15:restartNumberingAfterBreak="0">
    <w:nsid w:val="0E465648"/>
    <w:multiLevelType w:val="hybridMultilevel"/>
    <w:tmpl w:val="7CEC10A2"/>
    <w:lvl w:ilvl="0" w:tplc="813405A8">
      <w:start w:val="1"/>
      <w:numFmt w:val="bullet"/>
      <w:lvlText w:val=""/>
      <w:lvlJc w:val="left"/>
      <w:pPr>
        <w:ind w:left="720" w:hanging="180"/>
      </w:pPr>
      <w:rPr>
        <w:rFonts w:ascii="Symbol" w:hAnsi="Symbol" w:hint="default"/>
      </w:rPr>
    </w:lvl>
    <w:lvl w:ilvl="1" w:tplc="785260D2">
      <w:numFmt w:val="decimal"/>
      <w:lvlText w:val=""/>
      <w:lvlJc w:val="left"/>
    </w:lvl>
    <w:lvl w:ilvl="2" w:tplc="D05E5354">
      <w:numFmt w:val="decimal"/>
      <w:lvlText w:val=""/>
      <w:lvlJc w:val="left"/>
    </w:lvl>
    <w:lvl w:ilvl="3" w:tplc="25C418A6">
      <w:numFmt w:val="decimal"/>
      <w:lvlText w:val=""/>
      <w:lvlJc w:val="left"/>
    </w:lvl>
    <w:lvl w:ilvl="4" w:tplc="F78AF968">
      <w:numFmt w:val="decimal"/>
      <w:lvlText w:val=""/>
      <w:lvlJc w:val="left"/>
    </w:lvl>
    <w:lvl w:ilvl="5" w:tplc="B192D85A">
      <w:numFmt w:val="decimal"/>
      <w:lvlText w:val=""/>
      <w:lvlJc w:val="left"/>
    </w:lvl>
    <w:lvl w:ilvl="6" w:tplc="8A1CC6C0">
      <w:numFmt w:val="decimal"/>
      <w:lvlText w:val=""/>
      <w:lvlJc w:val="left"/>
    </w:lvl>
    <w:lvl w:ilvl="7" w:tplc="489A9C5C">
      <w:numFmt w:val="decimal"/>
      <w:lvlText w:val=""/>
      <w:lvlJc w:val="left"/>
    </w:lvl>
    <w:lvl w:ilvl="8" w:tplc="180E4E96">
      <w:numFmt w:val="decimal"/>
      <w:lvlText w:val=""/>
      <w:lvlJc w:val="left"/>
    </w:lvl>
  </w:abstractNum>
  <w:abstractNum w:abstractNumId="187" w15:restartNumberingAfterBreak="0">
    <w:nsid w:val="0E56244C"/>
    <w:multiLevelType w:val="hybridMultilevel"/>
    <w:tmpl w:val="7F3C820A"/>
    <w:lvl w:ilvl="0" w:tplc="228A7002">
      <w:start w:val="1"/>
      <w:numFmt w:val="bullet"/>
      <w:lvlText w:val=""/>
      <w:lvlJc w:val="left"/>
      <w:pPr>
        <w:ind w:left="720" w:hanging="180"/>
      </w:pPr>
      <w:rPr>
        <w:rFonts w:ascii="Symbol" w:hAnsi="Symbol" w:hint="default"/>
      </w:rPr>
    </w:lvl>
    <w:lvl w:ilvl="1" w:tplc="608435CE">
      <w:numFmt w:val="decimal"/>
      <w:lvlText w:val=""/>
      <w:lvlJc w:val="left"/>
    </w:lvl>
    <w:lvl w:ilvl="2" w:tplc="A40CEAF2">
      <w:numFmt w:val="decimal"/>
      <w:lvlText w:val=""/>
      <w:lvlJc w:val="left"/>
    </w:lvl>
    <w:lvl w:ilvl="3" w:tplc="C5BEACBE">
      <w:numFmt w:val="decimal"/>
      <w:lvlText w:val=""/>
      <w:lvlJc w:val="left"/>
    </w:lvl>
    <w:lvl w:ilvl="4" w:tplc="9A80D0EA">
      <w:numFmt w:val="decimal"/>
      <w:lvlText w:val=""/>
      <w:lvlJc w:val="left"/>
    </w:lvl>
    <w:lvl w:ilvl="5" w:tplc="594C4EB8">
      <w:numFmt w:val="decimal"/>
      <w:lvlText w:val=""/>
      <w:lvlJc w:val="left"/>
    </w:lvl>
    <w:lvl w:ilvl="6" w:tplc="5F8CF93C">
      <w:numFmt w:val="decimal"/>
      <w:lvlText w:val=""/>
      <w:lvlJc w:val="left"/>
    </w:lvl>
    <w:lvl w:ilvl="7" w:tplc="3C82D4EA">
      <w:numFmt w:val="decimal"/>
      <w:lvlText w:val=""/>
      <w:lvlJc w:val="left"/>
    </w:lvl>
    <w:lvl w:ilvl="8" w:tplc="C2F0E368">
      <w:numFmt w:val="decimal"/>
      <w:lvlText w:val=""/>
      <w:lvlJc w:val="left"/>
    </w:lvl>
  </w:abstractNum>
  <w:abstractNum w:abstractNumId="188" w15:restartNumberingAfterBreak="0">
    <w:nsid w:val="0E615380"/>
    <w:multiLevelType w:val="hybridMultilevel"/>
    <w:tmpl w:val="36525732"/>
    <w:lvl w:ilvl="0" w:tplc="95987CB0">
      <w:start w:val="1"/>
      <w:numFmt w:val="bullet"/>
      <w:lvlText w:val=""/>
      <w:lvlJc w:val="left"/>
      <w:pPr>
        <w:ind w:left="720" w:hanging="180"/>
      </w:pPr>
      <w:rPr>
        <w:rFonts w:ascii="Symbol" w:hAnsi="Symbol" w:hint="default"/>
      </w:rPr>
    </w:lvl>
    <w:lvl w:ilvl="1" w:tplc="CE8A28A6">
      <w:numFmt w:val="decimal"/>
      <w:lvlText w:val=""/>
      <w:lvlJc w:val="left"/>
    </w:lvl>
    <w:lvl w:ilvl="2" w:tplc="F3883172">
      <w:numFmt w:val="decimal"/>
      <w:lvlText w:val=""/>
      <w:lvlJc w:val="left"/>
    </w:lvl>
    <w:lvl w:ilvl="3" w:tplc="2FB22004">
      <w:numFmt w:val="decimal"/>
      <w:lvlText w:val=""/>
      <w:lvlJc w:val="left"/>
    </w:lvl>
    <w:lvl w:ilvl="4" w:tplc="79DA3BD4">
      <w:numFmt w:val="decimal"/>
      <w:lvlText w:val=""/>
      <w:lvlJc w:val="left"/>
    </w:lvl>
    <w:lvl w:ilvl="5" w:tplc="A11E8F3C">
      <w:numFmt w:val="decimal"/>
      <w:lvlText w:val=""/>
      <w:lvlJc w:val="left"/>
    </w:lvl>
    <w:lvl w:ilvl="6" w:tplc="9A9E0408">
      <w:numFmt w:val="decimal"/>
      <w:lvlText w:val=""/>
      <w:lvlJc w:val="left"/>
    </w:lvl>
    <w:lvl w:ilvl="7" w:tplc="20049240">
      <w:numFmt w:val="decimal"/>
      <w:lvlText w:val=""/>
      <w:lvlJc w:val="left"/>
    </w:lvl>
    <w:lvl w:ilvl="8" w:tplc="4828B476">
      <w:numFmt w:val="decimal"/>
      <w:lvlText w:val=""/>
      <w:lvlJc w:val="left"/>
    </w:lvl>
  </w:abstractNum>
  <w:abstractNum w:abstractNumId="189" w15:restartNumberingAfterBreak="0">
    <w:nsid w:val="0E8A74A7"/>
    <w:multiLevelType w:val="hybridMultilevel"/>
    <w:tmpl w:val="DC1E125C"/>
    <w:lvl w:ilvl="0" w:tplc="8FFADB70">
      <w:start w:val="1"/>
      <w:numFmt w:val="bullet"/>
      <w:lvlText w:val=""/>
      <w:lvlJc w:val="left"/>
      <w:pPr>
        <w:ind w:left="720" w:hanging="180"/>
      </w:pPr>
      <w:rPr>
        <w:rFonts w:ascii="Symbol" w:hAnsi="Symbol" w:hint="default"/>
      </w:rPr>
    </w:lvl>
    <w:lvl w:ilvl="1" w:tplc="08AC251E">
      <w:numFmt w:val="decimal"/>
      <w:lvlText w:val=""/>
      <w:lvlJc w:val="left"/>
    </w:lvl>
    <w:lvl w:ilvl="2" w:tplc="5E16EB96">
      <w:numFmt w:val="decimal"/>
      <w:lvlText w:val=""/>
      <w:lvlJc w:val="left"/>
    </w:lvl>
    <w:lvl w:ilvl="3" w:tplc="60145C9E">
      <w:numFmt w:val="decimal"/>
      <w:lvlText w:val=""/>
      <w:lvlJc w:val="left"/>
    </w:lvl>
    <w:lvl w:ilvl="4" w:tplc="70A04338">
      <w:numFmt w:val="decimal"/>
      <w:lvlText w:val=""/>
      <w:lvlJc w:val="left"/>
    </w:lvl>
    <w:lvl w:ilvl="5" w:tplc="07C2E89C">
      <w:numFmt w:val="decimal"/>
      <w:lvlText w:val=""/>
      <w:lvlJc w:val="left"/>
    </w:lvl>
    <w:lvl w:ilvl="6" w:tplc="57605BE6">
      <w:numFmt w:val="decimal"/>
      <w:lvlText w:val=""/>
      <w:lvlJc w:val="left"/>
    </w:lvl>
    <w:lvl w:ilvl="7" w:tplc="14EE3AE2">
      <w:numFmt w:val="decimal"/>
      <w:lvlText w:val=""/>
      <w:lvlJc w:val="left"/>
    </w:lvl>
    <w:lvl w:ilvl="8" w:tplc="8362AA94">
      <w:numFmt w:val="decimal"/>
      <w:lvlText w:val=""/>
      <w:lvlJc w:val="left"/>
    </w:lvl>
  </w:abstractNum>
  <w:abstractNum w:abstractNumId="190" w15:restartNumberingAfterBreak="0">
    <w:nsid w:val="0EA57A20"/>
    <w:multiLevelType w:val="hybridMultilevel"/>
    <w:tmpl w:val="CA166942"/>
    <w:lvl w:ilvl="0" w:tplc="6668445C">
      <w:start w:val="1"/>
      <w:numFmt w:val="bullet"/>
      <w:lvlText w:val=""/>
      <w:lvlJc w:val="left"/>
      <w:pPr>
        <w:ind w:left="720" w:hanging="180"/>
      </w:pPr>
      <w:rPr>
        <w:rFonts w:ascii="Symbol" w:hAnsi="Symbol" w:hint="default"/>
      </w:rPr>
    </w:lvl>
    <w:lvl w:ilvl="1" w:tplc="D4AC628C">
      <w:numFmt w:val="decimal"/>
      <w:lvlText w:val=""/>
      <w:lvlJc w:val="left"/>
    </w:lvl>
    <w:lvl w:ilvl="2" w:tplc="FBC07854">
      <w:numFmt w:val="decimal"/>
      <w:lvlText w:val=""/>
      <w:lvlJc w:val="left"/>
    </w:lvl>
    <w:lvl w:ilvl="3" w:tplc="D056F59E">
      <w:numFmt w:val="decimal"/>
      <w:lvlText w:val=""/>
      <w:lvlJc w:val="left"/>
    </w:lvl>
    <w:lvl w:ilvl="4" w:tplc="743A6080">
      <w:numFmt w:val="decimal"/>
      <w:lvlText w:val=""/>
      <w:lvlJc w:val="left"/>
    </w:lvl>
    <w:lvl w:ilvl="5" w:tplc="A8ECFE6C">
      <w:numFmt w:val="decimal"/>
      <w:lvlText w:val=""/>
      <w:lvlJc w:val="left"/>
    </w:lvl>
    <w:lvl w:ilvl="6" w:tplc="32AE8536">
      <w:numFmt w:val="decimal"/>
      <w:lvlText w:val=""/>
      <w:lvlJc w:val="left"/>
    </w:lvl>
    <w:lvl w:ilvl="7" w:tplc="D3DEA13E">
      <w:numFmt w:val="decimal"/>
      <w:lvlText w:val=""/>
      <w:lvlJc w:val="left"/>
    </w:lvl>
    <w:lvl w:ilvl="8" w:tplc="447CB8C6">
      <w:numFmt w:val="decimal"/>
      <w:lvlText w:val=""/>
      <w:lvlJc w:val="left"/>
    </w:lvl>
  </w:abstractNum>
  <w:abstractNum w:abstractNumId="191" w15:restartNumberingAfterBreak="0">
    <w:nsid w:val="0EB43306"/>
    <w:multiLevelType w:val="hybridMultilevel"/>
    <w:tmpl w:val="5CBC08BA"/>
    <w:lvl w:ilvl="0" w:tplc="1D021F26">
      <w:numFmt w:val="decimal"/>
      <w:lvlText w:val=""/>
      <w:lvlJc w:val="left"/>
    </w:lvl>
    <w:lvl w:ilvl="1" w:tplc="74A09C92">
      <w:start w:val="1"/>
      <w:numFmt w:val="bullet"/>
      <w:lvlText w:val=""/>
      <w:lvlJc w:val="left"/>
      <w:pPr>
        <w:ind w:left="1440" w:hanging="180"/>
      </w:pPr>
      <w:rPr>
        <w:rFonts w:ascii="Symbol" w:hAnsi="Symbol" w:hint="default"/>
      </w:rPr>
    </w:lvl>
    <w:lvl w:ilvl="2" w:tplc="0F5ED6C0">
      <w:numFmt w:val="decimal"/>
      <w:lvlText w:val=""/>
      <w:lvlJc w:val="left"/>
    </w:lvl>
    <w:lvl w:ilvl="3" w:tplc="43C66664">
      <w:numFmt w:val="decimal"/>
      <w:lvlText w:val=""/>
      <w:lvlJc w:val="left"/>
    </w:lvl>
    <w:lvl w:ilvl="4" w:tplc="8346BC16">
      <w:numFmt w:val="decimal"/>
      <w:lvlText w:val=""/>
      <w:lvlJc w:val="left"/>
    </w:lvl>
    <w:lvl w:ilvl="5" w:tplc="4656C5F0">
      <w:numFmt w:val="decimal"/>
      <w:lvlText w:val=""/>
      <w:lvlJc w:val="left"/>
    </w:lvl>
    <w:lvl w:ilvl="6" w:tplc="20EEB7BE">
      <w:numFmt w:val="decimal"/>
      <w:lvlText w:val=""/>
      <w:lvlJc w:val="left"/>
    </w:lvl>
    <w:lvl w:ilvl="7" w:tplc="A34E64EE">
      <w:numFmt w:val="decimal"/>
      <w:lvlText w:val=""/>
      <w:lvlJc w:val="left"/>
    </w:lvl>
    <w:lvl w:ilvl="8" w:tplc="5854FC3C">
      <w:numFmt w:val="decimal"/>
      <w:lvlText w:val=""/>
      <w:lvlJc w:val="left"/>
    </w:lvl>
  </w:abstractNum>
  <w:abstractNum w:abstractNumId="192" w15:restartNumberingAfterBreak="0">
    <w:nsid w:val="0EC95949"/>
    <w:multiLevelType w:val="hybridMultilevel"/>
    <w:tmpl w:val="0DBAE326"/>
    <w:lvl w:ilvl="0" w:tplc="EC726EB4">
      <w:start w:val="1"/>
      <w:numFmt w:val="bullet"/>
      <w:lvlText w:val=""/>
      <w:lvlJc w:val="left"/>
      <w:pPr>
        <w:ind w:left="720" w:hanging="180"/>
      </w:pPr>
      <w:rPr>
        <w:rFonts w:ascii="Symbol" w:hAnsi="Symbol" w:hint="default"/>
      </w:rPr>
    </w:lvl>
    <w:lvl w:ilvl="1" w:tplc="6396E2AC">
      <w:numFmt w:val="decimal"/>
      <w:lvlText w:val=""/>
      <w:lvlJc w:val="left"/>
    </w:lvl>
    <w:lvl w:ilvl="2" w:tplc="68E6E1C8">
      <w:numFmt w:val="decimal"/>
      <w:lvlText w:val=""/>
      <w:lvlJc w:val="left"/>
    </w:lvl>
    <w:lvl w:ilvl="3" w:tplc="793A219E">
      <w:numFmt w:val="decimal"/>
      <w:lvlText w:val=""/>
      <w:lvlJc w:val="left"/>
    </w:lvl>
    <w:lvl w:ilvl="4" w:tplc="0EB8EE56">
      <w:numFmt w:val="decimal"/>
      <w:lvlText w:val=""/>
      <w:lvlJc w:val="left"/>
    </w:lvl>
    <w:lvl w:ilvl="5" w:tplc="215AF258">
      <w:numFmt w:val="decimal"/>
      <w:lvlText w:val=""/>
      <w:lvlJc w:val="left"/>
    </w:lvl>
    <w:lvl w:ilvl="6" w:tplc="B8BC726A">
      <w:numFmt w:val="decimal"/>
      <w:lvlText w:val=""/>
      <w:lvlJc w:val="left"/>
    </w:lvl>
    <w:lvl w:ilvl="7" w:tplc="E7CCFC18">
      <w:numFmt w:val="decimal"/>
      <w:lvlText w:val=""/>
      <w:lvlJc w:val="left"/>
    </w:lvl>
    <w:lvl w:ilvl="8" w:tplc="CE6C8464">
      <w:numFmt w:val="decimal"/>
      <w:lvlText w:val=""/>
      <w:lvlJc w:val="left"/>
    </w:lvl>
  </w:abstractNum>
  <w:abstractNum w:abstractNumId="193" w15:restartNumberingAfterBreak="0">
    <w:nsid w:val="0EF467D1"/>
    <w:multiLevelType w:val="hybridMultilevel"/>
    <w:tmpl w:val="143A494E"/>
    <w:lvl w:ilvl="0" w:tplc="C46E2EB6">
      <w:start w:val="1"/>
      <w:numFmt w:val="bullet"/>
      <w:lvlText w:val=""/>
      <w:lvlJc w:val="left"/>
      <w:pPr>
        <w:ind w:left="720" w:hanging="180"/>
      </w:pPr>
      <w:rPr>
        <w:rFonts w:ascii="Symbol" w:hAnsi="Symbol" w:hint="default"/>
      </w:rPr>
    </w:lvl>
    <w:lvl w:ilvl="1" w:tplc="488A2592">
      <w:numFmt w:val="decimal"/>
      <w:lvlText w:val=""/>
      <w:lvlJc w:val="left"/>
    </w:lvl>
    <w:lvl w:ilvl="2" w:tplc="C19E46DA">
      <w:numFmt w:val="decimal"/>
      <w:lvlText w:val=""/>
      <w:lvlJc w:val="left"/>
    </w:lvl>
    <w:lvl w:ilvl="3" w:tplc="763EA394">
      <w:numFmt w:val="decimal"/>
      <w:lvlText w:val=""/>
      <w:lvlJc w:val="left"/>
    </w:lvl>
    <w:lvl w:ilvl="4" w:tplc="0270C42A">
      <w:numFmt w:val="decimal"/>
      <w:lvlText w:val=""/>
      <w:lvlJc w:val="left"/>
    </w:lvl>
    <w:lvl w:ilvl="5" w:tplc="FF283020">
      <w:numFmt w:val="decimal"/>
      <w:lvlText w:val=""/>
      <w:lvlJc w:val="left"/>
    </w:lvl>
    <w:lvl w:ilvl="6" w:tplc="AE58D78A">
      <w:numFmt w:val="decimal"/>
      <w:lvlText w:val=""/>
      <w:lvlJc w:val="left"/>
    </w:lvl>
    <w:lvl w:ilvl="7" w:tplc="613A5E40">
      <w:numFmt w:val="decimal"/>
      <w:lvlText w:val=""/>
      <w:lvlJc w:val="left"/>
    </w:lvl>
    <w:lvl w:ilvl="8" w:tplc="38322098">
      <w:numFmt w:val="decimal"/>
      <w:lvlText w:val=""/>
      <w:lvlJc w:val="left"/>
    </w:lvl>
  </w:abstractNum>
  <w:abstractNum w:abstractNumId="194" w15:restartNumberingAfterBreak="0">
    <w:nsid w:val="0F1A092A"/>
    <w:multiLevelType w:val="hybridMultilevel"/>
    <w:tmpl w:val="618A4936"/>
    <w:lvl w:ilvl="0" w:tplc="045C9FDE">
      <w:start w:val="1"/>
      <w:numFmt w:val="bullet"/>
      <w:lvlText w:val=""/>
      <w:lvlJc w:val="left"/>
      <w:pPr>
        <w:ind w:left="720" w:hanging="180"/>
      </w:pPr>
      <w:rPr>
        <w:rFonts w:ascii="Symbol" w:hAnsi="Symbol" w:hint="default"/>
      </w:rPr>
    </w:lvl>
    <w:lvl w:ilvl="1" w:tplc="9EDE4E5A">
      <w:numFmt w:val="decimal"/>
      <w:lvlText w:val=""/>
      <w:lvlJc w:val="left"/>
    </w:lvl>
    <w:lvl w:ilvl="2" w:tplc="437076CE">
      <w:numFmt w:val="decimal"/>
      <w:lvlText w:val=""/>
      <w:lvlJc w:val="left"/>
    </w:lvl>
    <w:lvl w:ilvl="3" w:tplc="30408E14">
      <w:numFmt w:val="decimal"/>
      <w:lvlText w:val=""/>
      <w:lvlJc w:val="left"/>
    </w:lvl>
    <w:lvl w:ilvl="4" w:tplc="265272E2">
      <w:numFmt w:val="decimal"/>
      <w:lvlText w:val=""/>
      <w:lvlJc w:val="left"/>
    </w:lvl>
    <w:lvl w:ilvl="5" w:tplc="A40873D6">
      <w:numFmt w:val="decimal"/>
      <w:lvlText w:val=""/>
      <w:lvlJc w:val="left"/>
    </w:lvl>
    <w:lvl w:ilvl="6" w:tplc="68A05E36">
      <w:numFmt w:val="decimal"/>
      <w:lvlText w:val=""/>
      <w:lvlJc w:val="left"/>
    </w:lvl>
    <w:lvl w:ilvl="7" w:tplc="94BEA150">
      <w:numFmt w:val="decimal"/>
      <w:lvlText w:val=""/>
      <w:lvlJc w:val="left"/>
    </w:lvl>
    <w:lvl w:ilvl="8" w:tplc="ECE25956">
      <w:numFmt w:val="decimal"/>
      <w:lvlText w:val=""/>
      <w:lvlJc w:val="left"/>
    </w:lvl>
  </w:abstractNum>
  <w:abstractNum w:abstractNumId="195" w15:restartNumberingAfterBreak="0">
    <w:nsid w:val="0F235658"/>
    <w:multiLevelType w:val="hybridMultilevel"/>
    <w:tmpl w:val="831E89A4"/>
    <w:lvl w:ilvl="0" w:tplc="E86E4FA8">
      <w:start w:val="1"/>
      <w:numFmt w:val="bullet"/>
      <w:lvlText w:val=""/>
      <w:lvlJc w:val="left"/>
      <w:pPr>
        <w:ind w:left="720" w:hanging="180"/>
      </w:pPr>
      <w:rPr>
        <w:rFonts w:ascii="Symbol" w:hAnsi="Symbol" w:hint="default"/>
      </w:rPr>
    </w:lvl>
    <w:lvl w:ilvl="1" w:tplc="726E61A2">
      <w:numFmt w:val="decimal"/>
      <w:lvlText w:val=""/>
      <w:lvlJc w:val="left"/>
    </w:lvl>
    <w:lvl w:ilvl="2" w:tplc="EAFA2D40">
      <w:numFmt w:val="decimal"/>
      <w:lvlText w:val=""/>
      <w:lvlJc w:val="left"/>
    </w:lvl>
    <w:lvl w:ilvl="3" w:tplc="45121C5C">
      <w:numFmt w:val="decimal"/>
      <w:lvlText w:val=""/>
      <w:lvlJc w:val="left"/>
    </w:lvl>
    <w:lvl w:ilvl="4" w:tplc="3C445C14">
      <w:numFmt w:val="decimal"/>
      <w:lvlText w:val=""/>
      <w:lvlJc w:val="left"/>
    </w:lvl>
    <w:lvl w:ilvl="5" w:tplc="D16A76AA">
      <w:numFmt w:val="decimal"/>
      <w:lvlText w:val=""/>
      <w:lvlJc w:val="left"/>
    </w:lvl>
    <w:lvl w:ilvl="6" w:tplc="C36E07FC">
      <w:numFmt w:val="decimal"/>
      <w:lvlText w:val=""/>
      <w:lvlJc w:val="left"/>
    </w:lvl>
    <w:lvl w:ilvl="7" w:tplc="C672ABA6">
      <w:numFmt w:val="decimal"/>
      <w:lvlText w:val=""/>
      <w:lvlJc w:val="left"/>
    </w:lvl>
    <w:lvl w:ilvl="8" w:tplc="6C160660">
      <w:numFmt w:val="decimal"/>
      <w:lvlText w:val=""/>
      <w:lvlJc w:val="left"/>
    </w:lvl>
  </w:abstractNum>
  <w:abstractNum w:abstractNumId="196" w15:restartNumberingAfterBreak="0">
    <w:nsid w:val="0F270BB1"/>
    <w:multiLevelType w:val="hybridMultilevel"/>
    <w:tmpl w:val="785005C2"/>
    <w:lvl w:ilvl="0" w:tplc="4C3640B4">
      <w:start w:val="1"/>
      <w:numFmt w:val="bullet"/>
      <w:lvlText w:val=""/>
      <w:lvlJc w:val="left"/>
      <w:pPr>
        <w:ind w:left="720" w:hanging="180"/>
      </w:pPr>
      <w:rPr>
        <w:rFonts w:ascii="Symbol" w:hAnsi="Symbol" w:hint="default"/>
      </w:rPr>
    </w:lvl>
    <w:lvl w:ilvl="1" w:tplc="CDE0C4A0">
      <w:numFmt w:val="decimal"/>
      <w:lvlText w:val=""/>
      <w:lvlJc w:val="left"/>
    </w:lvl>
    <w:lvl w:ilvl="2" w:tplc="B2248A2C">
      <w:numFmt w:val="decimal"/>
      <w:lvlText w:val=""/>
      <w:lvlJc w:val="left"/>
    </w:lvl>
    <w:lvl w:ilvl="3" w:tplc="1CEE269A">
      <w:numFmt w:val="decimal"/>
      <w:lvlText w:val=""/>
      <w:lvlJc w:val="left"/>
    </w:lvl>
    <w:lvl w:ilvl="4" w:tplc="39B8C024">
      <w:numFmt w:val="decimal"/>
      <w:lvlText w:val=""/>
      <w:lvlJc w:val="left"/>
    </w:lvl>
    <w:lvl w:ilvl="5" w:tplc="CB18ECB4">
      <w:numFmt w:val="decimal"/>
      <w:lvlText w:val=""/>
      <w:lvlJc w:val="left"/>
    </w:lvl>
    <w:lvl w:ilvl="6" w:tplc="6F7A05A4">
      <w:numFmt w:val="decimal"/>
      <w:lvlText w:val=""/>
      <w:lvlJc w:val="left"/>
    </w:lvl>
    <w:lvl w:ilvl="7" w:tplc="B5646360">
      <w:numFmt w:val="decimal"/>
      <w:lvlText w:val=""/>
      <w:lvlJc w:val="left"/>
    </w:lvl>
    <w:lvl w:ilvl="8" w:tplc="B986B7DE">
      <w:numFmt w:val="decimal"/>
      <w:lvlText w:val=""/>
      <w:lvlJc w:val="left"/>
    </w:lvl>
  </w:abstractNum>
  <w:abstractNum w:abstractNumId="197" w15:restartNumberingAfterBreak="0">
    <w:nsid w:val="0F3A494D"/>
    <w:multiLevelType w:val="hybridMultilevel"/>
    <w:tmpl w:val="A41AFBBA"/>
    <w:lvl w:ilvl="0" w:tplc="D4845444">
      <w:start w:val="1"/>
      <w:numFmt w:val="bullet"/>
      <w:lvlText w:val=""/>
      <w:lvlJc w:val="left"/>
      <w:pPr>
        <w:ind w:left="720" w:hanging="180"/>
      </w:pPr>
      <w:rPr>
        <w:rFonts w:ascii="Symbol" w:hAnsi="Symbol" w:hint="default"/>
      </w:rPr>
    </w:lvl>
    <w:lvl w:ilvl="1" w:tplc="236C2AF2">
      <w:numFmt w:val="decimal"/>
      <w:lvlText w:val=""/>
      <w:lvlJc w:val="left"/>
    </w:lvl>
    <w:lvl w:ilvl="2" w:tplc="1206BE94">
      <w:numFmt w:val="decimal"/>
      <w:lvlText w:val=""/>
      <w:lvlJc w:val="left"/>
    </w:lvl>
    <w:lvl w:ilvl="3" w:tplc="D9C616EC">
      <w:numFmt w:val="decimal"/>
      <w:lvlText w:val=""/>
      <w:lvlJc w:val="left"/>
    </w:lvl>
    <w:lvl w:ilvl="4" w:tplc="D8B4ECB6">
      <w:numFmt w:val="decimal"/>
      <w:lvlText w:val=""/>
      <w:lvlJc w:val="left"/>
    </w:lvl>
    <w:lvl w:ilvl="5" w:tplc="C278FCF4">
      <w:numFmt w:val="decimal"/>
      <w:lvlText w:val=""/>
      <w:lvlJc w:val="left"/>
    </w:lvl>
    <w:lvl w:ilvl="6" w:tplc="CB563DD0">
      <w:numFmt w:val="decimal"/>
      <w:lvlText w:val=""/>
      <w:lvlJc w:val="left"/>
    </w:lvl>
    <w:lvl w:ilvl="7" w:tplc="D6C4D3B2">
      <w:numFmt w:val="decimal"/>
      <w:lvlText w:val=""/>
      <w:lvlJc w:val="left"/>
    </w:lvl>
    <w:lvl w:ilvl="8" w:tplc="F766CB20">
      <w:numFmt w:val="decimal"/>
      <w:lvlText w:val=""/>
      <w:lvlJc w:val="left"/>
    </w:lvl>
  </w:abstractNum>
  <w:abstractNum w:abstractNumId="198" w15:restartNumberingAfterBreak="0">
    <w:nsid w:val="0F3A696C"/>
    <w:multiLevelType w:val="hybridMultilevel"/>
    <w:tmpl w:val="427C169E"/>
    <w:lvl w:ilvl="0" w:tplc="ED14E1E6">
      <w:start w:val="1"/>
      <w:numFmt w:val="bullet"/>
      <w:lvlText w:val=""/>
      <w:lvlJc w:val="left"/>
      <w:pPr>
        <w:ind w:left="720" w:hanging="180"/>
      </w:pPr>
      <w:rPr>
        <w:rFonts w:ascii="Symbol" w:hAnsi="Symbol" w:hint="default"/>
      </w:rPr>
    </w:lvl>
    <w:lvl w:ilvl="1" w:tplc="CA141F3A">
      <w:numFmt w:val="decimal"/>
      <w:lvlText w:val=""/>
      <w:lvlJc w:val="left"/>
    </w:lvl>
    <w:lvl w:ilvl="2" w:tplc="63B6D3DE">
      <w:numFmt w:val="decimal"/>
      <w:lvlText w:val=""/>
      <w:lvlJc w:val="left"/>
    </w:lvl>
    <w:lvl w:ilvl="3" w:tplc="76C27FC0">
      <w:numFmt w:val="decimal"/>
      <w:lvlText w:val=""/>
      <w:lvlJc w:val="left"/>
    </w:lvl>
    <w:lvl w:ilvl="4" w:tplc="8C4E19E6">
      <w:numFmt w:val="decimal"/>
      <w:lvlText w:val=""/>
      <w:lvlJc w:val="left"/>
    </w:lvl>
    <w:lvl w:ilvl="5" w:tplc="EED62584">
      <w:numFmt w:val="decimal"/>
      <w:lvlText w:val=""/>
      <w:lvlJc w:val="left"/>
    </w:lvl>
    <w:lvl w:ilvl="6" w:tplc="A11427BC">
      <w:numFmt w:val="decimal"/>
      <w:lvlText w:val=""/>
      <w:lvlJc w:val="left"/>
    </w:lvl>
    <w:lvl w:ilvl="7" w:tplc="D452F816">
      <w:numFmt w:val="decimal"/>
      <w:lvlText w:val=""/>
      <w:lvlJc w:val="left"/>
    </w:lvl>
    <w:lvl w:ilvl="8" w:tplc="19B488AE">
      <w:numFmt w:val="decimal"/>
      <w:lvlText w:val=""/>
      <w:lvlJc w:val="left"/>
    </w:lvl>
  </w:abstractNum>
  <w:abstractNum w:abstractNumId="199" w15:restartNumberingAfterBreak="0">
    <w:nsid w:val="0F3B0D1D"/>
    <w:multiLevelType w:val="hybridMultilevel"/>
    <w:tmpl w:val="7D36FFF2"/>
    <w:lvl w:ilvl="0" w:tplc="8C2E6894">
      <w:start w:val="1"/>
      <w:numFmt w:val="bullet"/>
      <w:lvlText w:val=""/>
      <w:lvlJc w:val="left"/>
      <w:pPr>
        <w:ind w:left="720" w:hanging="180"/>
      </w:pPr>
      <w:rPr>
        <w:rFonts w:ascii="Symbol" w:hAnsi="Symbol" w:hint="default"/>
      </w:rPr>
    </w:lvl>
    <w:lvl w:ilvl="1" w:tplc="81844D8A">
      <w:numFmt w:val="decimal"/>
      <w:lvlText w:val=""/>
      <w:lvlJc w:val="left"/>
    </w:lvl>
    <w:lvl w:ilvl="2" w:tplc="F63883B6">
      <w:numFmt w:val="decimal"/>
      <w:lvlText w:val=""/>
      <w:lvlJc w:val="left"/>
    </w:lvl>
    <w:lvl w:ilvl="3" w:tplc="561CE106">
      <w:numFmt w:val="decimal"/>
      <w:lvlText w:val=""/>
      <w:lvlJc w:val="left"/>
    </w:lvl>
    <w:lvl w:ilvl="4" w:tplc="2B5004A0">
      <w:numFmt w:val="decimal"/>
      <w:lvlText w:val=""/>
      <w:lvlJc w:val="left"/>
    </w:lvl>
    <w:lvl w:ilvl="5" w:tplc="A64E9CF2">
      <w:numFmt w:val="decimal"/>
      <w:lvlText w:val=""/>
      <w:lvlJc w:val="left"/>
    </w:lvl>
    <w:lvl w:ilvl="6" w:tplc="61402F3E">
      <w:numFmt w:val="decimal"/>
      <w:lvlText w:val=""/>
      <w:lvlJc w:val="left"/>
    </w:lvl>
    <w:lvl w:ilvl="7" w:tplc="A998DC94">
      <w:numFmt w:val="decimal"/>
      <w:lvlText w:val=""/>
      <w:lvlJc w:val="left"/>
    </w:lvl>
    <w:lvl w:ilvl="8" w:tplc="A54E217A">
      <w:numFmt w:val="decimal"/>
      <w:lvlText w:val=""/>
      <w:lvlJc w:val="left"/>
    </w:lvl>
  </w:abstractNum>
  <w:abstractNum w:abstractNumId="200" w15:restartNumberingAfterBreak="0">
    <w:nsid w:val="0F61418E"/>
    <w:multiLevelType w:val="hybridMultilevel"/>
    <w:tmpl w:val="714835D4"/>
    <w:lvl w:ilvl="0" w:tplc="6C1A9FA2">
      <w:start w:val="1"/>
      <w:numFmt w:val="bullet"/>
      <w:lvlText w:val=""/>
      <w:lvlJc w:val="left"/>
      <w:pPr>
        <w:ind w:left="720" w:hanging="180"/>
      </w:pPr>
      <w:rPr>
        <w:rFonts w:ascii="Symbol" w:hAnsi="Symbol" w:hint="default"/>
      </w:rPr>
    </w:lvl>
    <w:lvl w:ilvl="1" w:tplc="90BAC866">
      <w:numFmt w:val="decimal"/>
      <w:lvlText w:val=""/>
      <w:lvlJc w:val="left"/>
    </w:lvl>
    <w:lvl w:ilvl="2" w:tplc="83502162">
      <w:numFmt w:val="decimal"/>
      <w:lvlText w:val=""/>
      <w:lvlJc w:val="left"/>
    </w:lvl>
    <w:lvl w:ilvl="3" w:tplc="0414D76A">
      <w:numFmt w:val="decimal"/>
      <w:lvlText w:val=""/>
      <w:lvlJc w:val="left"/>
    </w:lvl>
    <w:lvl w:ilvl="4" w:tplc="A6ACBE46">
      <w:numFmt w:val="decimal"/>
      <w:lvlText w:val=""/>
      <w:lvlJc w:val="left"/>
    </w:lvl>
    <w:lvl w:ilvl="5" w:tplc="F454E3CC">
      <w:numFmt w:val="decimal"/>
      <w:lvlText w:val=""/>
      <w:lvlJc w:val="left"/>
    </w:lvl>
    <w:lvl w:ilvl="6" w:tplc="B694D4A2">
      <w:numFmt w:val="decimal"/>
      <w:lvlText w:val=""/>
      <w:lvlJc w:val="left"/>
    </w:lvl>
    <w:lvl w:ilvl="7" w:tplc="E2489EE4">
      <w:numFmt w:val="decimal"/>
      <w:lvlText w:val=""/>
      <w:lvlJc w:val="left"/>
    </w:lvl>
    <w:lvl w:ilvl="8" w:tplc="2B023FB2">
      <w:numFmt w:val="decimal"/>
      <w:lvlText w:val=""/>
      <w:lvlJc w:val="left"/>
    </w:lvl>
  </w:abstractNum>
  <w:abstractNum w:abstractNumId="201" w15:restartNumberingAfterBreak="0">
    <w:nsid w:val="0F8B70E4"/>
    <w:multiLevelType w:val="hybridMultilevel"/>
    <w:tmpl w:val="670C92A2"/>
    <w:lvl w:ilvl="0" w:tplc="D15EB810">
      <w:numFmt w:val="decimal"/>
      <w:lvlText w:val=""/>
      <w:lvlJc w:val="left"/>
    </w:lvl>
    <w:lvl w:ilvl="1" w:tplc="D6147D58">
      <w:start w:val="1"/>
      <w:numFmt w:val="bullet"/>
      <w:lvlText w:val=""/>
      <w:lvlJc w:val="left"/>
      <w:pPr>
        <w:ind w:left="1440" w:hanging="180"/>
      </w:pPr>
      <w:rPr>
        <w:rFonts w:ascii="Symbol" w:hAnsi="Symbol" w:hint="default"/>
      </w:rPr>
    </w:lvl>
    <w:lvl w:ilvl="2" w:tplc="08D2E3EC">
      <w:numFmt w:val="decimal"/>
      <w:lvlText w:val=""/>
      <w:lvlJc w:val="left"/>
    </w:lvl>
    <w:lvl w:ilvl="3" w:tplc="6F6E60EC">
      <w:numFmt w:val="decimal"/>
      <w:lvlText w:val=""/>
      <w:lvlJc w:val="left"/>
    </w:lvl>
    <w:lvl w:ilvl="4" w:tplc="911091FA">
      <w:numFmt w:val="decimal"/>
      <w:lvlText w:val=""/>
      <w:lvlJc w:val="left"/>
    </w:lvl>
    <w:lvl w:ilvl="5" w:tplc="9EA25A8C">
      <w:numFmt w:val="decimal"/>
      <w:lvlText w:val=""/>
      <w:lvlJc w:val="left"/>
    </w:lvl>
    <w:lvl w:ilvl="6" w:tplc="0316A10E">
      <w:numFmt w:val="decimal"/>
      <w:lvlText w:val=""/>
      <w:lvlJc w:val="left"/>
    </w:lvl>
    <w:lvl w:ilvl="7" w:tplc="407C416C">
      <w:numFmt w:val="decimal"/>
      <w:lvlText w:val=""/>
      <w:lvlJc w:val="left"/>
    </w:lvl>
    <w:lvl w:ilvl="8" w:tplc="20ACC800">
      <w:numFmt w:val="decimal"/>
      <w:lvlText w:val=""/>
      <w:lvlJc w:val="left"/>
    </w:lvl>
  </w:abstractNum>
  <w:abstractNum w:abstractNumId="202" w15:restartNumberingAfterBreak="0">
    <w:nsid w:val="0F8F078B"/>
    <w:multiLevelType w:val="hybridMultilevel"/>
    <w:tmpl w:val="1BD29E08"/>
    <w:lvl w:ilvl="0" w:tplc="0824C5DA">
      <w:start w:val="1"/>
      <w:numFmt w:val="bullet"/>
      <w:lvlText w:val=""/>
      <w:lvlJc w:val="left"/>
      <w:pPr>
        <w:ind w:left="720" w:hanging="180"/>
      </w:pPr>
      <w:rPr>
        <w:rFonts w:ascii="Symbol" w:hAnsi="Symbol" w:hint="default"/>
      </w:rPr>
    </w:lvl>
    <w:lvl w:ilvl="1" w:tplc="D4D0C5C2">
      <w:numFmt w:val="decimal"/>
      <w:lvlText w:val=""/>
      <w:lvlJc w:val="left"/>
    </w:lvl>
    <w:lvl w:ilvl="2" w:tplc="150CDF7E">
      <w:numFmt w:val="decimal"/>
      <w:lvlText w:val=""/>
      <w:lvlJc w:val="left"/>
    </w:lvl>
    <w:lvl w:ilvl="3" w:tplc="A9A47022">
      <w:numFmt w:val="decimal"/>
      <w:lvlText w:val=""/>
      <w:lvlJc w:val="left"/>
    </w:lvl>
    <w:lvl w:ilvl="4" w:tplc="459CFDF2">
      <w:numFmt w:val="decimal"/>
      <w:lvlText w:val=""/>
      <w:lvlJc w:val="left"/>
    </w:lvl>
    <w:lvl w:ilvl="5" w:tplc="D1043BE6">
      <w:numFmt w:val="decimal"/>
      <w:lvlText w:val=""/>
      <w:lvlJc w:val="left"/>
    </w:lvl>
    <w:lvl w:ilvl="6" w:tplc="4B6264FE">
      <w:numFmt w:val="decimal"/>
      <w:lvlText w:val=""/>
      <w:lvlJc w:val="left"/>
    </w:lvl>
    <w:lvl w:ilvl="7" w:tplc="C972A404">
      <w:numFmt w:val="decimal"/>
      <w:lvlText w:val=""/>
      <w:lvlJc w:val="left"/>
    </w:lvl>
    <w:lvl w:ilvl="8" w:tplc="AF525D56">
      <w:numFmt w:val="decimal"/>
      <w:lvlText w:val=""/>
      <w:lvlJc w:val="left"/>
    </w:lvl>
  </w:abstractNum>
  <w:abstractNum w:abstractNumId="203" w15:restartNumberingAfterBreak="0">
    <w:nsid w:val="0F902C6E"/>
    <w:multiLevelType w:val="hybridMultilevel"/>
    <w:tmpl w:val="6F824CCE"/>
    <w:lvl w:ilvl="0" w:tplc="126654DC">
      <w:start w:val="1"/>
      <w:numFmt w:val="bullet"/>
      <w:lvlText w:val=""/>
      <w:lvlJc w:val="left"/>
      <w:pPr>
        <w:ind w:left="720" w:hanging="180"/>
      </w:pPr>
      <w:rPr>
        <w:rFonts w:ascii="Symbol" w:hAnsi="Symbol" w:hint="default"/>
      </w:rPr>
    </w:lvl>
    <w:lvl w:ilvl="1" w:tplc="F4A04E94">
      <w:numFmt w:val="decimal"/>
      <w:lvlText w:val=""/>
      <w:lvlJc w:val="left"/>
    </w:lvl>
    <w:lvl w:ilvl="2" w:tplc="19CACB64">
      <w:numFmt w:val="decimal"/>
      <w:lvlText w:val=""/>
      <w:lvlJc w:val="left"/>
    </w:lvl>
    <w:lvl w:ilvl="3" w:tplc="65D28E8E">
      <w:numFmt w:val="decimal"/>
      <w:lvlText w:val=""/>
      <w:lvlJc w:val="left"/>
    </w:lvl>
    <w:lvl w:ilvl="4" w:tplc="80E66326">
      <w:numFmt w:val="decimal"/>
      <w:lvlText w:val=""/>
      <w:lvlJc w:val="left"/>
    </w:lvl>
    <w:lvl w:ilvl="5" w:tplc="3C921BFA">
      <w:numFmt w:val="decimal"/>
      <w:lvlText w:val=""/>
      <w:lvlJc w:val="left"/>
    </w:lvl>
    <w:lvl w:ilvl="6" w:tplc="ABFA0898">
      <w:numFmt w:val="decimal"/>
      <w:lvlText w:val=""/>
      <w:lvlJc w:val="left"/>
    </w:lvl>
    <w:lvl w:ilvl="7" w:tplc="173E2B0A">
      <w:numFmt w:val="decimal"/>
      <w:lvlText w:val=""/>
      <w:lvlJc w:val="left"/>
    </w:lvl>
    <w:lvl w:ilvl="8" w:tplc="78806B22">
      <w:numFmt w:val="decimal"/>
      <w:lvlText w:val=""/>
      <w:lvlJc w:val="left"/>
    </w:lvl>
  </w:abstractNum>
  <w:abstractNum w:abstractNumId="204" w15:restartNumberingAfterBreak="0">
    <w:nsid w:val="0FA0101A"/>
    <w:multiLevelType w:val="hybridMultilevel"/>
    <w:tmpl w:val="D53AC63A"/>
    <w:lvl w:ilvl="0" w:tplc="538EE4C4">
      <w:start w:val="1"/>
      <w:numFmt w:val="bullet"/>
      <w:lvlText w:val=""/>
      <w:lvlJc w:val="left"/>
      <w:pPr>
        <w:ind w:left="720" w:hanging="180"/>
      </w:pPr>
      <w:rPr>
        <w:rFonts w:ascii="Symbol" w:hAnsi="Symbol" w:hint="default"/>
      </w:rPr>
    </w:lvl>
    <w:lvl w:ilvl="1" w:tplc="D2688020">
      <w:numFmt w:val="decimal"/>
      <w:lvlText w:val=""/>
      <w:lvlJc w:val="left"/>
    </w:lvl>
    <w:lvl w:ilvl="2" w:tplc="BDC820C2">
      <w:numFmt w:val="decimal"/>
      <w:lvlText w:val=""/>
      <w:lvlJc w:val="left"/>
    </w:lvl>
    <w:lvl w:ilvl="3" w:tplc="04F0C988">
      <w:numFmt w:val="decimal"/>
      <w:lvlText w:val=""/>
      <w:lvlJc w:val="left"/>
    </w:lvl>
    <w:lvl w:ilvl="4" w:tplc="FA0EB372">
      <w:numFmt w:val="decimal"/>
      <w:lvlText w:val=""/>
      <w:lvlJc w:val="left"/>
    </w:lvl>
    <w:lvl w:ilvl="5" w:tplc="9CE6A302">
      <w:numFmt w:val="decimal"/>
      <w:lvlText w:val=""/>
      <w:lvlJc w:val="left"/>
    </w:lvl>
    <w:lvl w:ilvl="6" w:tplc="1A987DF8">
      <w:numFmt w:val="decimal"/>
      <w:lvlText w:val=""/>
      <w:lvlJc w:val="left"/>
    </w:lvl>
    <w:lvl w:ilvl="7" w:tplc="312A93FE">
      <w:numFmt w:val="decimal"/>
      <w:lvlText w:val=""/>
      <w:lvlJc w:val="left"/>
    </w:lvl>
    <w:lvl w:ilvl="8" w:tplc="208045F2">
      <w:numFmt w:val="decimal"/>
      <w:lvlText w:val=""/>
      <w:lvlJc w:val="left"/>
    </w:lvl>
  </w:abstractNum>
  <w:abstractNum w:abstractNumId="205" w15:restartNumberingAfterBreak="0">
    <w:nsid w:val="0FA44943"/>
    <w:multiLevelType w:val="hybridMultilevel"/>
    <w:tmpl w:val="954874C0"/>
    <w:lvl w:ilvl="0" w:tplc="6638F0C6">
      <w:numFmt w:val="decimal"/>
      <w:lvlText w:val=""/>
      <w:lvlJc w:val="left"/>
    </w:lvl>
    <w:lvl w:ilvl="1" w:tplc="94224F8E">
      <w:start w:val="1"/>
      <w:numFmt w:val="bullet"/>
      <w:lvlText w:val=""/>
      <w:lvlJc w:val="left"/>
      <w:pPr>
        <w:ind w:left="1440" w:hanging="180"/>
      </w:pPr>
      <w:rPr>
        <w:rFonts w:ascii="Symbol" w:hAnsi="Symbol" w:hint="default"/>
      </w:rPr>
    </w:lvl>
    <w:lvl w:ilvl="2" w:tplc="6958F104">
      <w:numFmt w:val="decimal"/>
      <w:lvlText w:val=""/>
      <w:lvlJc w:val="left"/>
    </w:lvl>
    <w:lvl w:ilvl="3" w:tplc="AB4C0B74">
      <w:numFmt w:val="decimal"/>
      <w:lvlText w:val=""/>
      <w:lvlJc w:val="left"/>
    </w:lvl>
    <w:lvl w:ilvl="4" w:tplc="D61EF408">
      <w:numFmt w:val="decimal"/>
      <w:lvlText w:val=""/>
      <w:lvlJc w:val="left"/>
    </w:lvl>
    <w:lvl w:ilvl="5" w:tplc="5BA2B696">
      <w:numFmt w:val="decimal"/>
      <w:lvlText w:val=""/>
      <w:lvlJc w:val="left"/>
    </w:lvl>
    <w:lvl w:ilvl="6" w:tplc="1A545D82">
      <w:numFmt w:val="decimal"/>
      <w:lvlText w:val=""/>
      <w:lvlJc w:val="left"/>
    </w:lvl>
    <w:lvl w:ilvl="7" w:tplc="C69A9CA8">
      <w:numFmt w:val="decimal"/>
      <w:lvlText w:val=""/>
      <w:lvlJc w:val="left"/>
    </w:lvl>
    <w:lvl w:ilvl="8" w:tplc="62282520">
      <w:numFmt w:val="decimal"/>
      <w:lvlText w:val=""/>
      <w:lvlJc w:val="left"/>
    </w:lvl>
  </w:abstractNum>
  <w:abstractNum w:abstractNumId="206" w15:restartNumberingAfterBreak="0">
    <w:nsid w:val="0FA71A3B"/>
    <w:multiLevelType w:val="hybridMultilevel"/>
    <w:tmpl w:val="DFAC83BE"/>
    <w:lvl w:ilvl="0" w:tplc="6E366BF6">
      <w:start w:val="1"/>
      <w:numFmt w:val="bullet"/>
      <w:lvlText w:val=""/>
      <w:lvlJc w:val="left"/>
      <w:pPr>
        <w:ind w:left="720" w:hanging="180"/>
      </w:pPr>
      <w:rPr>
        <w:rFonts w:ascii="Symbol" w:hAnsi="Symbol" w:hint="default"/>
      </w:rPr>
    </w:lvl>
    <w:lvl w:ilvl="1" w:tplc="35A42770">
      <w:numFmt w:val="decimal"/>
      <w:lvlText w:val=""/>
      <w:lvlJc w:val="left"/>
    </w:lvl>
    <w:lvl w:ilvl="2" w:tplc="6B9E2B76">
      <w:numFmt w:val="decimal"/>
      <w:lvlText w:val=""/>
      <w:lvlJc w:val="left"/>
    </w:lvl>
    <w:lvl w:ilvl="3" w:tplc="BEAAFC76">
      <w:numFmt w:val="decimal"/>
      <w:lvlText w:val=""/>
      <w:lvlJc w:val="left"/>
    </w:lvl>
    <w:lvl w:ilvl="4" w:tplc="C706B2A2">
      <w:numFmt w:val="decimal"/>
      <w:lvlText w:val=""/>
      <w:lvlJc w:val="left"/>
    </w:lvl>
    <w:lvl w:ilvl="5" w:tplc="8CF4E372">
      <w:numFmt w:val="decimal"/>
      <w:lvlText w:val=""/>
      <w:lvlJc w:val="left"/>
    </w:lvl>
    <w:lvl w:ilvl="6" w:tplc="0A6E9192">
      <w:numFmt w:val="decimal"/>
      <w:lvlText w:val=""/>
      <w:lvlJc w:val="left"/>
    </w:lvl>
    <w:lvl w:ilvl="7" w:tplc="3C6A3C88">
      <w:numFmt w:val="decimal"/>
      <w:lvlText w:val=""/>
      <w:lvlJc w:val="left"/>
    </w:lvl>
    <w:lvl w:ilvl="8" w:tplc="8EA01622">
      <w:numFmt w:val="decimal"/>
      <w:lvlText w:val=""/>
      <w:lvlJc w:val="left"/>
    </w:lvl>
  </w:abstractNum>
  <w:abstractNum w:abstractNumId="207" w15:restartNumberingAfterBreak="0">
    <w:nsid w:val="0FC366F1"/>
    <w:multiLevelType w:val="hybridMultilevel"/>
    <w:tmpl w:val="DBC48856"/>
    <w:lvl w:ilvl="0" w:tplc="B192A7F8">
      <w:start w:val="1"/>
      <w:numFmt w:val="bullet"/>
      <w:lvlText w:val=""/>
      <w:lvlJc w:val="left"/>
      <w:pPr>
        <w:ind w:left="720" w:hanging="180"/>
      </w:pPr>
      <w:rPr>
        <w:rFonts w:ascii="Symbol" w:hAnsi="Symbol" w:hint="default"/>
      </w:rPr>
    </w:lvl>
    <w:lvl w:ilvl="1" w:tplc="59489986">
      <w:numFmt w:val="decimal"/>
      <w:lvlText w:val=""/>
      <w:lvlJc w:val="left"/>
    </w:lvl>
    <w:lvl w:ilvl="2" w:tplc="2CCC118E">
      <w:numFmt w:val="decimal"/>
      <w:lvlText w:val=""/>
      <w:lvlJc w:val="left"/>
    </w:lvl>
    <w:lvl w:ilvl="3" w:tplc="F8403CC2">
      <w:numFmt w:val="decimal"/>
      <w:lvlText w:val=""/>
      <w:lvlJc w:val="left"/>
    </w:lvl>
    <w:lvl w:ilvl="4" w:tplc="4B705632">
      <w:numFmt w:val="decimal"/>
      <w:lvlText w:val=""/>
      <w:lvlJc w:val="left"/>
    </w:lvl>
    <w:lvl w:ilvl="5" w:tplc="2230F36E">
      <w:numFmt w:val="decimal"/>
      <w:lvlText w:val=""/>
      <w:lvlJc w:val="left"/>
    </w:lvl>
    <w:lvl w:ilvl="6" w:tplc="6B004C3C">
      <w:numFmt w:val="decimal"/>
      <w:lvlText w:val=""/>
      <w:lvlJc w:val="left"/>
    </w:lvl>
    <w:lvl w:ilvl="7" w:tplc="F2F894FC">
      <w:numFmt w:val="decimal"/>
      <w:lvlText w:val=""/>
      <w:lvlJc w:val="left"/>
    </w:lvl>
    <w:lvl w:ilvl="8" w:tplc="0F28AD7E">
      <w:numFmt w:val="decimal"/>
      <w:lvlText w:val=""/>
      <w:lvlJc w:val="left"/>
    </w:lvl>
  </w:abstractNum>
  <w:abstractNum w:abstractNumId="208" w15:restartNumberingAfterBreak="0">
    <w:nsid w:val="0FC952BC"/>
    <w:multiLevelType w:val="hybridMultilevel"/>
    <w:tmpl w:val="A0C8C9DA"/>
    <w:lvl w:ilvl="0" w:tplc="336C239E">
      <w:start w:val="1"/>
      <w:numFmt w:val="bullet"/>
      <w:lvlText w:val=""/>
      <w:lvlJc w:val="left"/>
      <w:pPr>
        <w:ind w:left="720" w:hanging="180"/>
      </w:pPr>
      <w:rPr>
        <w:rFonts w:ascii="Symbol" w:hAnsi="Symbol" w:hint="default"/>
      </w:rPr>
    </w:lvl>
    <w:lvl w:ilvl="1" w:tplc="EE62A530">
      <w:numFmt w:val="decimal"/>
      <w:lvlText w:val=""/>
      <w:lvlJc w:val="left"/>
    </w:lvl>
    <w:lvl w:ilvl="2" w:tplc="C79EA3B2">
      <w:numFmt w:val="decimal"/>
      <w:lvlText w:val=""/>
      <w:lvlJc w:val="left"/>
    </w:lvl>
    <w:lvl w:ilvl="3" w:tplc="5538DAEC">
      <w:numFmt w:val="decimal"/>
      <w:lvlText w:val=""/>
      <w:lvlJc w:val="left"/>
    </w:lvl>
    <w:lvl w:ilvl="4" w:tplc="3086CA0C">
      <w:numFmt w:val="decimal"/>
      <w:lvlText w:val=""/>
      <w:lvlJc w:val="left"/>
    </w:lvl>
    <w:lvl w:ilvl="5" w:tplc="DD7C7788">
      <w:numFmt w:val="decimal"/>
      <w:lvlText w:val=""/>
      <w:lvlJc w:val="left"/>
    </w:lvl>
    <w:lvl w:ilvl="6" w:tplc="0134A50C">
      <w:numFmt w:val="decimal"/>
      <w:lvlText w:val=""/>
      <w:lvlJc w:val="left"/>
    </w:lvl>
    <w:lvl w:ilvl="7" w:tplc="3F702318">
      <w:numFmt w:val="decimal"/>
      <w:lvlText w:val=""/>
      <w:lvlJc w:val="left"/>
    </w:lvl>
    <w:lvl w:ilvl="8" w:tplc="C9A41ACE">
      <w:numFmt w:val="decimal"/>
      <w:lvlText w:val=""/>
      <w:lvlJc w:val="left"/>
    </w:lvl>
  </w:abstractNum>
  <w:abstractNum w:abstractNumId="209" w15:restartNumberingAfterBreak="0">
    <w:nsid w:val="0FCB7F77"/>
    <w:multiLevelType w:val="hybridMultilevel"/>
    <w:tmpl w:val="8EB4F396"/>
    <w:lvl w:ilvl="0" w:tplc="658C4328">
      <w:start w:val="1"/>
      <w:numFmt w:val="bullet"/>
      <w:lvlText w:val=""/>
      <w:lvlJc w:val="left"/>
      <w:pPr>
        <w:ind w:left="720" w:hanging="180"/>
      </w:pPr>
      <w:rPr>
        <w:rFonts w:ascii="Symbol" w:hAnsi="Symbol" w:hint="default"/>
      </w:rPr>
    </w:lvl>
    <w:lvl w:ilvl="1" w:tplc="D034DAD4">
      <w:numFmt w:val="decimal"/>
      <w:lvlText w:val=""/>
      <w:lvlJc w:val="left"/>
    </w:lvl>
    <w:lvl w:ilvl="2" w:tplc="A168B19A">
      <w:numFmt w:val="decimal"/>
      <w:lvlText w:val=""/>
      <w:lvlJc w:val="left"/>
    </w:lvl>
    <w:lvl w:ilvl="3" w:tplc="F278A6EE">
      <w:numFmt w:val="decimal"/>
      <w:lvlText w:val=""/>
      <w:lvlJc w:val="left"/>
    </w:lvl>
    <w:lvl w:ilvl="4" w:tplc="7BECB0DE">
      <w:numFmt w:val="decimal"/>
      <w:lvlText w:val=""/>
      <w:lvlJc w:val="left"/>
    </w:lvl>
    <w:lvl w:ilvl="5" w:tplc="BDC0011E">
      <w:numFmt w:val="decimal"/>
      <w:lvlText w:val=""/>
      <w:lvlJc w:val="left"/>
    </w:lvl>
    <w:lvl w:ilvl="6" w:tplc="16D675BC">
      <w:numFmt w:val="decimal"/>
      <w:lvlText w:val=""/>
      <w:lvlJc w:val="left"/>
    </w:lvl>
    <w:lvl w:ilvl="7" w:tplc="4E5EDDB6">
      <w:numFmt w:val="decimal"/>
      <w:lvlText w:val=""/>
      <w:lvlJc w:val="left"/>
    </w:lvl>
    <w:lvl w:ilvl="8" w:tplc="25E08632">
      <w:numFmt w:val="decimal"/>
      <w:lvlText w:val=""/>
      <w:lvlJc w:val="left"/>
    </w:lvl>
  </w:abstractNum>
  <w:abstractNum w:abstractNumId="210" w15:restartNumberingAfterBreak="0">
    <w:nsid w:val="0FE61B08"/>
    <w:multiLevelType w:val="hybridMultilevel"/>
    <w:tmpl w:val="78D4C228"/>
    <w:lvl w:ilvl="0" w:tplc="0DB65C0C">
      <w:start w:val="1"/>
      <w:numFmt w:val="bullet"/>
      <w:lvlText w:val=""/>
      <w:lvlJc w:val="left"/>
      <w:pPr>
        <w:ind w:left="720" w:hanging="180"/>
      </w:pPr>
      <w:rPr>
        <w:rFonts w:ascii="Symbol" w:hAnsi="Symbol" w:hint="default"/>
      </w:rPr>
    </w:lvl>
    <w:lvl w:ilvl="1" w:tplc="CE74CEA4">
      <w:numFmt w:val="decimal"/>
      <w:lvlText w:val=""/>
      <w:lvlJc w:val="left"/>
    </w:lvl>
    <w:lvl w:ilvl="2" w:tplc="271227A8">
      <w:numFmt w:val="decimal"/>
      <w:lvlText w:val=""/>
      <w:lvlJc w:val="left"/>
    </w:lvl>
    <w:lvl w:ilvl="3" w:tplc="DDD00FF4">
      <w:numFmt w:val="decimal"/>
      <w:lvlText w:val=""/>
      <w:lvlJc w:val="left"/>
    </w:lvl>
    <w:lvl w:ilvl="4" w:tplc="88FED8A6">
      <w:numFmt w:val="decimal"/>
      <w:lvlText w:val=""/>
      <w:lvlJc w:val="left"/>
    </w:lvl>
    <w:lvl w:ilvl="5" w:tplc="D4A08496">
      <w:numFmt w:val="decimal"/>
      <w:lvlText w:val=""/>
      <w:lvlJc w:val="left"/>
    </w:lvl>
    <w:lvl w:ilvl="6" w:tplc="F5DED78C">
      <w:numFmt w:val="decimal"/>
      <w:lvlText w:val=""/>
      <w:lvlJc w:val="left"/>
    </w:lvl>
    <w:lvl w:ilvl="7" w:tplc="CA0A6ABC">
      <w:numFmt w:val="decimal"/>
      <w:lvlText w:val=""/>
      <w:lvlJc w:val="left"/>
    </w:lvl>
    <w:lvl w:ilvl="8" w:tplc="282EE512">
      <w:numFmt w:val="decimal"/>
      <w:lvlText w:val=""/>
      <w:lvlJc w:val="left"/>
    </w:lvl>
  </w:abstractNum>
  <w:abstractNum w:abstractNumId="211" w15:restartNumberingAfterBreak="0">
    <w:nsid w:val="100122DE"/>
    <w:multiLevelType w:val="hybridMultilevel"/>
    <w:tmpl w:val="982EB5A4"/>
    <w:lvl w:ilvl="0" w:tplc="ECC4C966">
      <w:start w:val="1"/>
      <w:numFmt w:val="bullet"/>
      <w:lvlText w:val=""/>
      <w:lvlJc w:val="left"/>
      <w:pPr>
        <w:ind w:left="720" w:hanging="180"/>
      </w:pPr>
      <w:rPr>
        <w:rFonts w:ascii="Symbol" w:hAnsi="Symbol" w:hint="default"/>
      </w:rPr>
    </w:lvl>
    <w:lvl w:ilvl="1" w:tplc="03E49D7E">
      <w:numFmt w:val="decimal"/>
      <w:lvlText w:val=""/>
      <w:lvlJc w:val="left"/>
    </w:lvl>
    <w:lvl w:ilvl="2" w:tplc="6D2828A4">
      <w:numFmt w:val="decimal"/>
      <w:lvlText w:val=""/>
      <w:lvlJc w:val="left"/>
    </w:lvl>
    <w:lvl w:ilvl="3" w:tplc="A13E46C8">
      <w:numFmt w:val="decimal"/>
      <w:lvlText w:val=""/>
      <w:lvlJc w:val="left"/>
    </w:lvl>
    <w:lvl w:ilvl="4" w:tplc="B43840CC">
      <w:numFmt w:val="decimal"/>
      <w:lvlText w:val=""/>
      <w:lvlJc w:val="left"/>
    </w:lvl>
    <w:lvl w:ilvl="5" w:tplc="34CE1DE0">
      <w:numFmt w:val="decimal"/>
      <w:lvlText w:val=""/>
      <w:lvlJc w:val="left"/>
    </w:lvl>
    <w:lvl w:ilvl="6" w:tplc="5DF2A70C">
      <w:numFmt w:val="decimal"/>
      <w:lvlText w:val=""/>
      <w:lvlJc w:val="left"/>
    </w:lvl>
    <w:lvl w:ilvl="7" w:tplc="F0523370">
      <w:numFmt w:val="decimal"/>
      <w:lvlText w:val=""/>
      <w:lvlJc w:val="left"/>
    </w:lvl>
    <w:lvl w:ilvl="8" w:tplc="A920DA7C">
      <w:numFmt w:val="decimal"/>
      <w:lvlText w:val=""/>
      <w:lvlJc w:val="left"/>
    </w:lvl>
  </w:abstractNum>
  <w:abstractNum w:abstractNumId="212" w15:restartNumberingAfterBreak="0">
    <w:nsid w:val="10037724"/>
    <w:multiLevelType w:val="hybridMultilevel"/>
    <w:tmpl w:val="FA7CFE70"/>
    <w:lvl w:ilvl="0" w:tplc="BDECB528">
      <w:start w:val="1"/>
      <w:numFmt w:val="bullet"/>
      <w:lvlText w:val=""/>
      <w:lvlJc w:val="left"/>
      <w:pPr>
        <w:ind w:left="720" w:hanging="180"/>
      </w:pPr>
      <w:rPr>
        <w:rFonts w:ascii="Symbol" w:hAnsi="Symbol" w:hint="default"/>
      </w:rPr>
    </w:lvl>
    <w:lvl w:ilvl="1" w:tplc="5D2002CC">
      <w:numFmt w:val="decimal"/>
      <w:lvlText w:val=""/>
      <w:lvlJc w:val="left"/>
    </w:lvl>
    <w:lvl w:ilvl="2" w:tplc="92D206B4">
      <w:numFmt w:val="decimal"/>
      <w:lvlText w:val=""/>
      <w:lvlJc w:val="left"/>
    </w:lvl>
    <w:lvl w:ilvl="3" w:tplc="71729850">
      <w:numFmt w:val="decimal"/>
      <w:lvlText w:val=""/>
      <w:lvlJc w:val="left"/>
    </w:lvl>
    <w:lvl w:ilvl="4" w:tplc="DD20CCDE">
      <w:numFmt w:val="decimal"/>
      <w:lvlText w:val=""/>
      <w:lvlJc w:val="left"/>
    </w:lvl>
    <w:lvl w:ilvl="5" w:tplc="D74E6D44">
      <w:numFmt w:val="decimal"/>
      <w:lvlText w:val=""/>
      <w:lvlJc w:val="left"/>
    </w:lvl>
    <w:lvl w:ilvl="6" w:tplc="629A239C">
      <w:numFmt w:val="decimal"/>
      <w:lvlText w:val=""/>
      <w:lvlJc w:val="left"/>
    </w:lvl>
    <w:lvl w:ilvl="7" w:tplc="87041444">
      <w:numFmt w:val="decimal"/>
      <w:lvlText w:val=""/>
      <w:lvlJc w:val="left"/>
    </w:lvl>
    <w:lvl w:ilvl="8" w:tplc="B9E88D06">
      <w:numFmt w:val="decimal"/>
      <w:lvlText w:val=""/>
      <w:lvlJc w:val="left"/>
    </w:lvl>
  </w:abstractNum>
  <w:abstractNum w:abstractNumId="213" w15:restartNumberingAfterBreak="0">
    <w:nsid w:val="10233CEE"/>
    <w:multiLevelType w:val="hybridMultilevel"/>
    <w:tmpl w:val="4D6CAEF6"/>
    <w:lvl w:ilvl="0" w:tplc="9BBE66DE">
      <w:start w:val="1"/>
      <w:numFmt w:val="bullet"/>
      <w:lvlText w:val=""/>
      <w:lvlJc w:val="left"/>
      <w:pPr>
        <w:ind w:left="720" w:hanging="180"/>
      </w:pPr>
      <w:rPr>
        <w:rFonts w:ascii="Symbol" w:hAnsi="Symbol" w:hint="default"/>
      </w:rPr>
    </w:lvl>
    <w:lvl w:ilvl="1" w:tplc="C61CC49C">
      <w:numFmt w:val="decimal"/>
      <w:lvlText w:val=""/>
      <w:lvlJc w:val="left"/>
    </w:lvl>
    <w:lvl w:ilvl="2" w:tplc="10DC0BC8">
      <w:numFmt w:val="decimal"/>
      <w:lvlText w:val=""/>
      <w:lvlJc w:val="left"/>
    </w:lvl>
    <w:lvl w:ilvl="3" w:tplc="72C09C2A">
      <w:numFmt w:val="decimal"/>
      <w:lvlText w:val=""/>
      <w:lvlJc w:val="left"/>
    </w:lvl>
    <w:lvl w:ilvl="4" w:tplc="96F24434">
      <w:numFmt w:val="decimal"/>
      <w:lvlText w:val=""/>
      <w:lvlJc w:val="left"/>
    </w:lvl>
    <w:lvl w:ilvl="5" w:tplc="07407D42">
      <w:numFmt w:val="decimal"/>
      <w:lvlText w:val=""/>
      <w:lvlJc w:val="left"/>
    </w:lvl>
    <w:lvl w:ilvl="6" w:tplc="AB92A74C">
      <w:numFmt w:val="decimal"/>
      <w:lvlText w:val=""/>
      <w:lvlJc w:val="left"/>
    </w:lvl>
    <w:lvl w:ilvl="7" w:tplc="7CFC5E50">
      <w:numFmt w:val="decimal"/>
      <w:lvlText w:val=""/>
      <w:lvlJc w:val="left"/>
    </w:lvl>
    <w:lvl w:ilvl="8" w:tplc="815C3D64">
      <w:numFmt w:val="decimal"/>
      <w:lvlText w:val=""/>
      <w:lvlJc w:val="left"/>
    </w:lvl>
  </w:abstractNum>
  <w:abstractNum w:abstractNumId="214" w15:restartNumberingAfterBreak="0">
    <w:nsid w:val="103A22A3"/>
    <w:multiLevelType w:val="hybridMultilevel"/>
    <w:tmpl w:val="F7A4DB34"/>
    <w:lvl w:ilvl="0" w:tplc="D942374E">
      <w:start w:val="1"/>
      <w:numFmt w:val="bullet"/>
      <w:lvlText w:val=""/>
      <w:lvlJc w:val="left"/>
      <w:pPr>
        <w:ind w:left="720" w:hanging="180"/>
      </w:pPr>
      <w:rPr>
        <w:rFonts w:ascii="Symbol" w:hAnsi="Symbol" w:hint="default"/>
      </w:rPr>
    </w:lvl>
    <w:lvl w:ilvl="1" w:tplc="3626C978">
      <w:numFmt w:val="decimal"/>
      <w:lvlText w:val=""/>
      <w:lvlJc w:val="left"/>
    </w:lvl>
    <w:lvl w:ilvl="2" w:tplc="B36847DC">
      <w:numFmt w:val="decimal"/>
      <w:lvlText w:val=""/>
      <w:lvlJc w:val="left"/>
    </w:lvl>
    <w:lvl w:ilvl="3" w:tplc="52A29EB8">
      <w:numFmt w:val="decimal"/>
      <w:lvlText w:val=""/>
      <w:lvlJc w:val="left"/>
    </w:lvl>
    <w:lvl w:ilvl="4" w:tplc="9FE219A0">
      <w:numFmt w:val="decimal"/>
      <w:lvlText w:val=""/>
      <w:lvlJc w:val="left"/>
    </w:lvl>
    <w:lvl w:ilvl="5" w:tplc="88C201A0">
      <w:numFmt w:val="decimal"/>
      <w:lvlText w:val=""/>
      <w:lvlJc w:val="left"/>
    </w:lvl>
    <w:lvl w:ilvl="6" w:tplc="C988E1FE">
      <w:numFmt w:val="decimal"/>
      <w:lvlText w:val=""/>
      <w:lvlJc w:val="left"/>
    </w:lvl>
    <w:lvl w:ilvl="7" w:tplc="6A501258">
      <w:numFmt w:val="decimal"/>
      <w:lvlText w:val=""/>
      <w:lvlJc w:val="left"/>
    </w:lvl>
    <w:lvl w:ilvl="8" w:tplc="240AEFE8">
      <w:numFmt w:val="decimal"/>
      <w:lvlText w:val=""/>
      <w:lvlJc w:val="left"/>
    </w:lvl>
  </w:abstractNum>
  <w:abstractNum w:abstractNumId="215" w15:restartNumberingAfterBreak="0">
    <w:nsid w:val="10415381"/>
    <w:multiLevelType w:val="hybridMultilevel"/>
    <w:tmpl w:val="967C973C"/>
    <w:lvl w:ilvl="0" w:tplc="4C1E70A4">
      <w:start w:val="1"/>
      <w:numFmt w:val="bullet"/>
      <w:lvlText w:val=""/>
      <w:lvlJc w:val="left"/>
      <w:pPr>
        <w:ind w:left="720" w:hanging="180"/>
      </w:pPr>
      <w:rPr>
        <w:rFonts w:ascii="Symbol" w:hAnsi="Symbol" w:hint="default"/>
      </w:rPr>
    </w:lvl>
    <w:lvl w:ilvl="1" w:tplc="D01C75E4">
      <w:numFmt w:val="decimal"/>
      <w:lvlText w:val=""/>
      <w:lvlJc w:val="left"/>
    </w:lvl>
    <w:lvl w:ilvl="2" w:tplc="2CCAA95A">
      <w:numFmt w:val="decimal"/>
      <w:lvlText w:val=""/>
      <w:lvlJc w:val="left"/>
    </w:lvl>
    <w:lvl w:ilvl="3" w:tplc="94C034C0">
      <w:numFmt w:val="decimal"/>
      <w:lvlText w:val=""/>
      <w:lvlJc w:val="left"/>
    </w:lvl>
    <w:lvl w:ilvl="4" w:tplc="1C62461E">
      <w:numFmt w:val="decimal"/>
      <w:lvlText w:val=""/>
      <w:lvlJc w:val="left"/>
    </w:lvl>
    <w:lvl w:ilvl="5" w:tplc="4CF60CC8">
      <w:numFmt w:val="decimal"/>
      <w:lvlText w:val=""/>
      <w:lvlJc w:val="left"/>
    </w:lvl>
    <w:lvl w:ilvl="6" w:tplc="8FF6631E">
      <w:numFmt w:val="decimal"/>
      <w:lvlText w:val=""/>
      <w:lvlJc w:val="left"/>
    </w:lvl>
    <w:lvl w:ilvl="7" w:tplc="DD26B1B0">
      <w:numFmt w:val="decimal"/>
      <w:lvlText w:val=""/>
      <w:lvlJc w:val="left"/>
    </w:lvl>
    <w:lvl w:ilvl="8" w:tplc="24949156">
      <w:numFmt w:val="decimal"/>
      <w:lvlText w:val=""/>
      <w:lvlJc w:val="left"/>
    </w:lvl>
  </w:abstractNum>
  <w:abstractNum w:abstractNumId="216" w15:restartNumberingAfterBreak="0">
    <w:nsid w:val="104858C3"/>
    <w:multiLevelType w:val="hybridMultilevel"/>
    <w:tmpl w:val="F202E58E"/>
    <w:lvl w:ilvl="0" w:tplc="FB8E38F2">
      <w:start w:val="1"/>
      <w:numFmt w:val="bullet"/>
      <w:lvlText w:val=""/>
      <w:lvlJc w:val="left"/>
      <w:pPr>
        <w:ind w:left="720" w:hanging="180"/>
      </w:pPr>
      <w:rPr>
        <w:rFonts w:ascii="Symbol" w:hAnsi="Symbol" w:hint="default"/>
      </w:rPr>
    </w:lvl>
    <w:lvl w:ilvl="1" w:tplc="031EEFA4">
      <w:numFmt w:val="decimal"/>
      <w:lvlText w:val=""/>
      <w:lvlJc w:val="left"/>
    </w:lvl>
    <w:lvl w:ilvl="2" w:tplc="F73C5EE8">
      <w:numFmt w:val="decimal"/>
      <w:lvlText w:val=""/>
      <w:lvlJc w:val="left"/>
    </w:lvl>
    <w:lvl w:ilvl="3" w:tplc="76D2F1F0">
      <w:numFmt w:val="decimal"/>
      <w:lvlText w:val=""/>
      <w:lvlJc w:val="left"/>
    </w:lvl>
    <w:lvl w:ilvl="4" w:tplc="3A1EF6F4">
      <w:numFmt w:val="decimal"/>
      <w:lvlText w:val=""/>
      <w:lvlJc w:val="left"/>
    </w:lvl>
    <w:lvl w:ilvl="5" w:tplc="8864F766">
      <w:numFmt w:val="decimal"/>
      <w:lvlText w:val=""/>
      <w:lvlJc w:val="left"/>
    </w:lvl>
    <w:lvl w:ilvl="6" w:tplc="8CC26A6A">
      <w:numFmt w:val="decimal"/>
      <w:lvlText w:val=""/>
      <w:lvlJc w:val="left"/>
    </w:lvl>
    <w:lvl w:ilvl="7" w:tplc="F81C0D3A">
      <w:numFmt w:val="decimal"/>
      <w:lvlText w:val=""/>
      <w:lvlJc w:val="left"/>
    </w:lvl>
    <w:lvl w:ilvl="8" w:tplc="BB6821E8">
      <w:numFmt w:val="decimal"/>
      <w:lvlText w:val=""/>
      <w:lvlJc w:val="left"/>
    </w:lvl>
  </w:abstractNum>
  <w:abstractNum w:abstractNumId="217" w15:restartNumberingAfterBreak="0">
    <w:nsid w:val="105E20DE"/>
    <w:multiLevelType w:val="hybridMultilevel"/>
    <w:tmpl w:val="39085B2C"/>
    <w:lvl w:ilvl="0" w:tplc="1BF4A966">
      <w:start w:val="1"/>
      <w:numFmt w:val="bullet"/>
      <w:lvlText w:val=""/>
      <w:lvlJc w:val="left"/>
      <w:pPr>
        <w:ind w:left="720" w:hanging="180"/>
      </w:pPr>
      <w:rPr>
        <w:rFonts w:ascii="Symbol" w:hAnsi="Symbol" w:hint="default"/>
      </w:rPr>
    </w:lvl>
    <w:lvl w:ilvl="1" w:tplc="377E4D18">
      <w:numFmt w:val="decimal"/>
      <w:lvlText w:val=""/>
      <w:lvlJc w:val="left"/>
    </w:lvl>
    <w:lvl w:ilvl="2" w:tplc="09E276B4">
      <w:numFmt w:val="decimal"/>
      <w:lvlText w:val=""/>
      <w:lvlJc w:val="left"/>
    </w:lvl>
    <w:lvl w:ilvl="3" w:tplc="7B68C074">
      <w:numFmt w:val="decimal"/>
      <w:lvlText w:val=""/>
      <w:lvlJc w:val="left"/>
    </w:lvl>
    <w:lvl w:ilvl="4" w:tplc="B9A4630E">
      <w:numFmt w:val="decimal"/>
      <w:lvlText w:val=""/>
      <w:lvlJc w:val="left"/>
    </w:lvl>
    <w:lvl w:ilvl="5" w:tplc="AF608E74">
      <w:numFmt w:val="decimal"/>
      <w:lvlText w:val=""/>
      <w:lvlJc w:val="left"/>
    </w:lvl>
    <w:lvl w:ilvl="6" w:tplc="958A77C6">
      <w:numFmt w:val="decimal"/>
      <w:lvlText w:val=""/>
      <w:lvlJc w:val="left"/>
    </w:lvl>
    <w:lvl w:ilvl="7" w:tplc="8A6E4406">
      <w:numFmt w:val="decimal"/>
      <w:lvlText w:val=""/>
      <w:lvlJc w:val="left"/>
    </w:lvl>
    <w:lvl w:ilvl="8" w:tplc="2EC6EE32">
      <w:numFmt w:val="decimal"/>
      <w:lvlText w:val=""/>
      <w:lvlJc w:val="left"/>
    </w:lvl>
  </w:abstractNum>
  <w:abstractNum w:abstractNumId="218" w15:restartNumberingAfterBreak="0">
    <w:nsid w:val="105F33B5"/>
    <w:multiLevelType w:val="hybridMultilevel"/>
    <w:tmpl w:val="EC3A2A92"/>
    <w:lvl w:ilvl="0" w:tplc="808CF432">
      <w:start w:val="1"/>
      <w:numFmt w:val="bullet"/>
      <w:lvlText w:val=""/>
      <w:lvlJc w:val="left"/>
      <w:pPr>
        <w:ind w:left="720" w:hanging="180"/>
      </w:pPr>
      <w:rPr>
        <w:rFonts w:ascii="Symbol" w:hAnsi="Symbol" w:hint="default"/>
      </w:rPr>
    </w:lvl>
    <w:lvl w:ilvl="1" w:tplc="D924B6FC">
      <w:numFmt w:val="decimal"/>
      <w:lvlText w:val=""/>
      <w:lvlJc w:val="left"/>
    </w:lvl>
    <w:lvl w:ilvl="2" w:tplc="77AA11CE">
      <w:numFmt w:val="decimal"/>
      <w:lvlText w:val=""/>
      <w:lvlJc w:val="left"/>
    </w:lvl>
    <w:lvl w:ilvl="3" w:tplc="68A020F4">
      <w:numFmt w:val="decimal"/>
      <w:lvlText w:val=""/>
      <w:lvlJc w:val="left"/>
    </w:lvl>
    <w:lvl w:ilvl="4" w:tplc="924E21DC">
      <w:numFmt w:val="decimal"/>
      <w:lvlText w:val=""/>
      <w:lvlJc w:val="left"/>
    </w:lvl>
    <w:lvl w:ilvl="5" w:tplc="7F7EA970">
      <w:numFmt w:val="decimal"/>
      <w:lvlText w:val=""/>
      <w:lvlJc w:val="left"/>
    </w:lvl>
    <w:lvl w:ilvl="6" w:tplc="BD1A333E">
      <w:numFmt w:val="decimal"/>
      <w:lvlText w:val=""/>
      <w:lvlJc w:val="left"/>
    </w:lvl>
    <w:lvl w:ilvl="7" w:tplc="448E573E">
      <w:numFmt w:val="decimal"/>
      <w:lvlText w:val=""/>
      <w:lvlJc w:val="left"/>
    </w:lvl>
    <w:lvl w:ilvl="8" w:tplc="53AA2C9A">
      <w:numFmt w:val="decimal"/>
      <w:lvlText w:val=""/>
      <w:lvlJc w:val="left"/>
    </w:lvl>
  </w:abstractNum>
  <w:abstractNum w:abstractNumId="219" w15:restartNumberingAfterBreak="0">
    <w:nsid w:val="10610077"/>
    <w:multiLevelType w:val="hybridMultilevel"/>
    <w:tmpl w:val="F32EAFCC"/>
    <w:lvl w:ilvl="0" w:tplc="B63EFC9A">
      <w:start w:val="1"/>
      <w:numFmt w:val="bullet"/>
      <w:lvlText w:val=""/>
      <w:lvlJc w:val="left"/>
      <w:pPr>
        <w:ind w:left="720" w:hanging="180"/>
      </w:pPr>
      <w:rPr>
        <w:rFonts w:ascii="Symbol" w:hAnsi="Symbol" w:hint="default"/>
      </w:rPr>
    </w:lvl>
    <w:lvl w:ilvl="1" w:tplc="6BBEBDE4">
      <w:numFmt w:val="decimal"/>
      <w:lvlText w:val=""/>
      <w:lvlJc w:val="left"/>
    </w:lvl>
    <w:lvl w:ilvl="2" w:tplc="693C912A">
      <w:numFmt w:val="decimal"/>
      <w:lvlText w:val=""/>
      <w:lvlJc w:val="left"/>
    </w:lvl>
    <w:lvl w:ilvl="3" w:tplc="A5AAF23A">
      <w:numFmt w:val="decimal"/>
      <w:lvlText w:val=""/>
      <w:lvlJc w:val="left"/>
    </w:lvl>
    <w:lvl w:ilvl="4" w:tplc="42F03F42">
      <w:numFmt w:val="decimal"/>
      <w:lvlText w:val=""/>
      <w:lvlJc w:val="left"/>
    </w:lvl>
    <w:lvl w:ilvl="5" w:tplc="10AC0B5E">
      <w:numFmt w:val="decimal"/>
      <w:lvlText w:val=""/>
      <w:lvlJc w:val="left"/>
    </w:lvl>
    <w:lvl w:ilvl="6" w:tplc="9A34652C">
      <w:numFmt w:val="decimal"/>
      <w:lvlText w:val=""/>
      <w:lvlJc w:val="left"/>
    </w:lvl>
    <w:lvl w:ilvl="7" w:tplc="A642A638">
      <w:numFmt w:val="decimal"/>
      <w:lvlText w:val=""/>
      <w:lvlJc w:val="left"/>
    </w:lvl>
    <w:lvl w:ilvl="8" w:tplc="4474AA50">
      <w:numFmt w:val="decimal"/>
      <w:lvlText w:val=""/>
      <w:lvlJc w:val="left"/>
    </w:lvl>
  </w:abstractNum>
  <w:abstractNum w:abstractNumId="220" w15:restartNumberingAfterBreak="0">
    <w:nsid w:val="108204C2"/>
    <w:multiLevelType w:val="hybridMultilevel"/>
    <w:tmpl w:val="4CDE42E8"/>
    <w:lvl w:ilvl="0" w:tplc="4296C982">
      <w:start w:val="1"/>
      <w:numFmt w:val="bullet"/>
      <w:lvlText w:val=""/>
      <w:lvlJc w:val="left"/>
      <w:pPr>
        <w:ind w:left="720" w:hanging="180"/>
      </w:pPr>
      <w:rPr>
        <w:rFonts w:ascii="Symbol" w:hAnsi="Symbol" w:hint="default"/>
      </w:rPr>
    </w:lvl>
    <w:lvl w:ilvl="1" w:tplc="3912C68C">
      <w:numFmt w:val="decimal"/>
      <w:lvlText w:val=""/>
      <w:lvlJc w:val="left"/>
    </w:lvl>
    <w:lvl w:ilvl="2" w:tplc="64D83D48">
      <w:numFmt w:val="decimal"/>
      <w:lvlText w:val=""/>
      <w:lvlJc w:val="left"/>
    </w:lvl>
    <w:lvl w:ilvl="3" w:tplc="83B64BAA">
      <w:numFmt w:val="decimal"/>
      <w:lvlText w:val=""/>
      <w:lvlJc w:val="left"/>
    </w:lvl>
    <w:lvl w:ilvl="4" w:tplc="3D0E97D6">
      <w:numFmt w:val="decimal"/>
      <w:lvlText w:val=""/>
      <w:lvlJc w:val="left"/>
    </w:lvl>
    <w:lvl w:ilvl="5" w:tplc="8F4CC964">
      <w:numFmt w:val="decimal"/>
      <w:lvlText w:val=""/>
      <w:lvlJc w:val="left"/>
    </w:lvl>
    <w:lvl w:ilvl="6" w:tplc="BC34A8B2">
      <w:numFmt w:val="decimal"/>
      <w:lvlText w:val=""/>
      <w:lvlJc w:val="left"/>
    </w:lvl>
    <w:lvl w:ilvl="7" w:tplc="25080F42">
      <w:numFmt w:val="decimal"/>
      <w:lvlText w:val=""/>
      <w:lvlJc w:val="left"/>
    </w:lvl>
    <w:lvl w:ilvl="8" w:tplc="9BCC527C">
      <w:numFmt w:val="decimal"/>
      <w:lvlText w:val=""/>
      <w:lvlJc w:val="left"/>
    </w:lvl>
  </w:abstractNum>
  <w:abstractNum w:abstractNumId="221" w15:restartNumberingAfterBreak="0">
    <w:nsid w:val="10886816"/>
    <w:multiLevelType w:val="hybridMultilevel"/>
    <w:tmpl w:val="B9F0A216"/>
    <w:lvl w:ilvl="0" w:tplc="D122AEB0">
      <w:start w:val="1"/>
      <w:numFmt w:val="bullet"/>
      <w:lvlText w:val=""/>
      <w:lvlJc w:val="left"/>
      <w:pPr>
        <w:ind w:left="720" w:hanging="180"/>
      </w:pPr>
      <w:rPr>
        <w:rFonts w:ascii="Symbol" w:hAnsi="Symbol" w:hint="default"/>
      </w:rPr>
    </w:lvl>
    <w:lvl w:ilvl="1" w:tplc="3FDC2A12">
      <w:numFmt w:val="decimal"/>
      <w:lvlText w:val=""/>
      <w:lvlJc w:val="left"/>
    </w:lvl>
    <w:lvl w:ilvl="2" w:tplc="545CB41C">
      <w:numFmt w:val="decimal"/>
      <w:lvlText w:val=""/>
      <w:lvlJc w:val="left"/>
    </w:lvl>
    <w:lvl w:ilvl="3" w:tplc="0BF05006">
      <w:numFmt w:val="decimal"/>
      <w:lvlText w:val=""/>
      <w:lvlJc w:val="left"/>
    </w:lvl>
    <w:lvl w:ilvl="4" w:tplc="56545498">
      <w:numFmt w:val="decimal"/>
      <w:lvlText w:val=""/>
      <w:lvlJc w:val="left"/>
    </w:lvl>
    <w:lvl w:ilvl="5" w:tplc="E2800318">
      <w:numFmt w:val="decimal"/>
      <w:lvlText w:val=""/>
      <w:lvlJc w:val="left"/>
    </w:lvl>
    <w:lvl w:ilvl="6" w:tplc="00CCE330">
      <w:numFmt w:val="decimal"/>
      <w:lvlText w:val=""/>
      <w:lvlJc w:val="left"/>
    </w:lvl>
    <w:lvl w:ilvl="7" w:tplc="3650F368">
      <w:numFmt w:val="decimal"/>
      <w:lvlText w:val=""/>
      <w:lvlJc w:val="left"/>
    </w:lvl>
    <w:lvl w:ilvl="8" w:tplc="743C9BD0">
      <w:numFmt w:val="decimal"/>
      <w:lvlText w:val=""/>
      <w:lvlJc w:val="left"/>
    </w:lvl>
  </w:abstractNum>
  <w:abstractNum w:abstractNumId="222" w15:restartNumberingAfterBreak="0">
    <w:nsid w:val="109A10E1"/>
    <w:multiLevelType w:val="hybridMultilevel"/>
    <w:tmpl w:val="9B9C2E58"/>
    <w:lvl w:ilvl="0" w:tplc="349CC0FC">
      <w:start w:val="1"/>
      <w:numFmt w:val="bullet"/>
      <w:lvlText w:val=""/>
      <w:lvlJc w:val="left"/>
      <w:pPr>
        <w:ind w:left="720" w:hanging="180"/>
      </w:pPr>
      <w:rPr>
        <w:rFonts w:ascii="Symbol" w:hAnsi="Symbol" w:hint="default"/>
      </w:rPr>
    </w:lvl>
    <w:lvl w:ilvl="1" w:tplc="278228C8">
      <w:numFmt w:val="decimal"/>
      <w:lvlText w:val=""/>
      <w:lvlJc w:val="left"/>
    </w:lvl>
    <w:lvl w:ilvl="2" w:tplc="D908A79C">
      <w:numFmt w:val="decimal"/>
      <w:lvlText w:val=""/>
      <w:lvlJc w:val="left"/>
    </w:lvl>
    <w:lvl w:ilvl="3" w:tplc="B85A0110">
      <w:numFmt w:val="decimal"/>
      <w:lvlText w:val=""/>
      <w:lvlJc w:val="left"/>
    </w:lvl>
    <w:lvl w:ilvl="4" w:tplc="35F0A7AA">
      <w:numFmt w:val="decimal"/>
      <w:lvlText w:val=""/>
      <w:lvlJc w:val="left"/>
    </w:lvl>
    <w:lvl w:ilvl="5" w:tplc="C054DC70">
      <w:numFmt w:val="decimal"/>
      <w:lvlText w:val=""/>
      <w:lvlJc w:val="left"/>
    </w:lvl>
    <w:lvl w:ilvl="6" w:tplc="5664D5EE">
      <w:numFmt w:val="decimal"/>
      <w:lvlText w:val=""/>
      <w:lvlJc w:val="left"/>
    </w:lvl>
    <w:lvl w:ilvl="7" w:tplc="8A28AAE8">
      <w:numFmt w:val="decimal"/>
      <w:lvlText w:val=""/>
      <w:lvlJc w:val="left"/>
    </w:lvl>
    <w:lvl w:ilvl="8" w:tplc="3A78675E">
      <w:numFmt w:val="decimal"/>
      <w:lvlText w:val=""/>
      <w:lvlJc w:val="left"/>
    </w:lvl>
  </w:abstractNum>
  <w:abstractNum w:abstractNumId="223" w15:restartNumberingAfterBreak="0">
    <w:nsid w:val="10EA1118"/>
    <w:multiLevelType w:val="hybridMultilevel"/>
    <w:tmpl w:val="CE7031D6"/>
    <w:lvl w:ilvl="0" w:tplc="33A4727E">
      <w:start w:val="1"/>
      <w:numFmt w:val="bullet"/>
      <w:lvlText w:val=""/>
      <w:lvlJc w:val="left"/>
      <w:pPr>
        <w:ind w:left="720" w:hanging="180"/>
      </w:pPr>
      <w:rPr>
        <w:rFonts w:ascii="Symbol" w:hAnsi="Symbol" w:hint="default"/>
      </w:rPr>
    </w:lvl>
    <w:lvl w:ilvl="1" w:tplc="E020C260">
      <w:numFmt w:val="decimal"/>
      <w:lvlText w:val=""/>
      <w:lvlJc w:val="left"/>
    </w:lvl>
    <w:lvl w:ilvl="2" w:tplc="62142932">
      <w:numFmt w:val="decimal"/>
      <w:lvlText w:val=""/>
      <w:lvlJc w:val="left"/>
    </w:lvl>
    <w:lvl w:ilvl="3" w:tplc="B7248EBE">
      <w:numFmt w:val="decimal"/>
      <w:lvlText w:val=""/>
      <w:lvlJc w:val="left"/>
    </w:lvl>
    <w:lvl w:ilvl="4" w:tplc="8D964D2C">
      <w:numFmt w:val="decimal"/>
      <w:lvlText w:val=""/>
      <w:lvlJc w:val="left"/>
    </w:lvl>
    <w:lvl w:ilvl="5" w:tplc="01DEF4D6">
      <w:numFmt w:val="decimal"/>
      <w:lvlText w:val=""/>
      <w:lvlJc w:val="left"/>
    </w:lvl>
    <w:lvl w:ilvl="6" w:tplc="51162EC0">
      <w:numFmt w:val="decimal"/>
      <w:lvlText w:val=""/>
      <w:lvlJc w:val="left"/>
    </w:lvl>
    <w:lvl w:ilvl="7" w:tplc="DC449F6E">
      <w:numFmt w:val="decimal"/>
      <w:lvlText w:val=""/>
      <w:lvlJc w:val="left"/>
    </w:lvl>
    <w:lvl w:ilvl="8" w:tplc="B5284ABA">
      <w:numFmt w:val="decimal"/>
      <w:lvlText w:val=""/>
      <w:lvlJc w:val="left"/>
    </w:lvl>
  </w:abstractNum>
  <w:abstractNum w:abstractNumId="224" w15:restartNumberingAfterBreak="0">
    <w:nsid w:val="10FB2DC4"/>
    <w:multiLevelType w:val="hybridMultilevel"/>
    <w:tmpl w:val="D846956A"/>
    <w:lvl w:ilvl="0" w:tplc="ADE266A2">
      <w:start w:val="1"/>
      <w:numFmt w:val="bullet"/>
      <w:lvlText w:val=""/>
      <w:lvlJc w:val="left"/>
      <w:pPr>
        <w:ind w:left="720" w:hanging="180"/>
      </w:pPr>
      <w:rPr>
        <w:rFonts w:ascii="Symbol" w:hAnsi="Symbol" w:hint="default"/>
      </w:rPr>
    </w:lvl>
    <w:lvl w:ilvl="1" w:tplc="F5CE7124">
      <w:numFmt w:val="decimal"/>
      <w:lvlText w:val=""/>
      <w:lvlJc w:val="left"/>
    </w:lvl>
    <w:lvl w:ilvl="2" w:tplc="1186B8E4">
      <w:numFmt w:val="decimal"/>
      <w:lvlText w:val=""/>
      <w:lvlJc w:val="left"/>
    </w:lvl>
    <w:lvl w:ilvl="3" w:tplc="7864332A">
      <w:numFmt w:val="decimal"/>
      <w:lvlText w:val=""/>
      <w:lvlJc w:val="left"/>
    </w:lvl>
    <w:lvl w:ilvl="4" w:tplc="41A60092">
      <w:numFmt w:val="decimal"/>
      <w:lvlText w:val=""/>
      <w:lvlJc w:val="left"/>
    </w:lvl>
    <w:lvl w:ilvl="5" w:tplc="4942E850">
      <w:numFmt w:val="decimal"/>
      <w:lvlText w:val=""/>
      <w:lvlJc w:val="left"/>
    </w:lvl>
    <w:lvl w:ilvl="6" w:tplc="C47438D0">
      <w:numFmt w:val="decimal"/>
      <w:lvlText w:val=""/>
      <w:lvlJc w:val="left"/>
    </w:lvl>
    <w:lvl w:ilvl="7" w:tplc="E85A8CFC">
      <w:numFmt w:val="decimal"/>
      <w:lvlText w:val=""/>
      <w:lvlJc w:val="left"/>
    </w:lvl>
    <w:lvl w:ilvl="8" w:tplc="1ACA1292">
      <w:numFmt w:val="decimal"/>
      <w:lvlText w:val=""/>
      <w:lvlJc w:val="left"/>
    </w:lvl>
  </w:abstractNum>
  <w:abstractNum w:abstractNumId="225" w15:restartNumberingAfterBreak="0">
    <w:nsid w:val="110F1904"/>
    <w:multiLevelType w:val="hybridMultilevel"/>
    <w:tmpl w:val="B9767106"/>
    <w:lvl w:ilvl="0" w:tplc="5D7CEE1A">
      <w:start w:val="1"/>
      <w:numFmt w:val="bullet"/>
      <w:lvlText w:val=""/>
      <w:lvlJc w:val="left"/>
      <w:pPr>
        <w:ind w:left="720" w:hanging="180"/>
      </w:pPr>
      <w:rPr>
        <w:rFonts w:ascii="Symbol" w:hAnsi="Symbol" w:hint="default"/>
      </w:rPr>
    </w:lvl>
    <w:lvl w:ilvl="1" w:tplc="0D54CFE4">
      <w:numFmt w:val="decimal"/>
      <w:lvlText w:val=""/>
      <w:lvlJc w:val="left"/>
    </w:lvl>
    <w:lvl w:ilvl="2" w:tplc="EBEEB9FA">
      <w:numFmt w:val="decimal"/>
      <w:lvlText w:val=""/>
      <w:lvlJc w:val="left"/>
    </w:lvl>
    <w:lvl w:ilvl="3" w:tplc="24E23A52">
      <w:numFmt w:val="decimal"/>
      <w:lvlText w:val=""/>
      <w:lvlJc w:val="left"/>
    </w:lvl>
    <w:lvl w:ilvl="4" w:tplc="DAB85C18">
      <w:numFmt w:val="decimal"/>
      <w:lvlText w:val=""/>
      <w:lvlJc w:val="left"/>
    </w:lvl>
    <w:lvl w:ilvl="5" w:tplc="70725DBC">
      <w:numFmt w:val="decimal"/>
      <w:lvlText w:val=""/>
      <w:lvlJc w:val="left"/>
    </w:lvl>
    <w:lvl w:ilvl="6" w:tplc="5EE8892C">
      <w:numFmt w:val="decimal"/>
      <w:lvlText w:val=""/>
      <w:lvlJc w:val="left"/>
    </w:lvl>
    <w:lvl w:ilvl="7" w:tplc="E13653FE">
      <w:numFmt w:val="decimal"/>
      <w:lvlText w:val=""/>
      <w:lvlJc w:val="left"/>
    </w:lvl>
    <w:lvl w:ilvl="8" w:tplc="BAF4C2D8">
      <w:numFmt w:val="decimal"/>
      <w:lvlText w:val=""/>
      <w:lvlJc w:val="left"/>
    </w:lvl>
  </w:abstractNum>
  <w:abstractNum w:abstractNumId="226" w15:restartNumberingAfterBreak="0">
    <w:nsid w:val="113C588C"/>
    <w:multiLevelType w:val="hybridMultilevel"/>
    <w:tmpl w:val="7290604A"/>
    <w:lvl w:ilvl="0" w:tplc="686C80A6">
      <w:start w:val="1"/>
      <w:numFmt w:val="bullet"/>
      <w:lvlText w:val=""/>
      <w:lvlJc w:val="left"/>
      <w:pPr>
        <w:ind w:left="720" w:hanging="180"/>
      </w:pPr>
      <w:rPr>
        <w:rFonts w:ascii="Symbol" w:hAnsi="Symbol" w:hint="default"/>
      </w:rPr>
    </w:lvl>
    <w:lvl w:ilvl="1" w:tplc="E272E330">
      <w:numFmt w:val="decimal"/>
      <w:lvlText w:val=""/>
      <w:lvlJc w:val="left"/>
    </w:lvl>
    <w:lvl w:ilvl="2" w:tplc="2EF611D6">
      <w:numFmt w:val="decimal"/>
      <w:lvlText w:val=""/>
      <w:lvlJc w:val="left"/>
    </w:lvl>
    <w:lvl w:ilvl="3" w:tplc="A20E8554">
      <w:numFmt w:val="decimal"/>
      <w:lvlText w:val=""/>
      <w:lvlJc w:val="left"/>
    </w:lvl>
    <w:lvl w:ilvl="4" w:tplc="83A8548C">
      <w:numFmt w:val="decimal"/>
      <w:lvlText w:val=""/>
      <w:lvlJc w:val="left"/>
    </w:lvl>
    <w:lvl w:ilvl="5" w:tplc="1340DE62">
      <w:numFmt w:val="decimal"/>
      <w:lvlText w:val=""/>
      <w:lvlJc w:val="left"/>
    </w:lvl>
    <w:lvl w:ilvl="6" w:tplc="EBF6D976">
      <w:numFmt w:val="decimal"/>
      <w:lvlText w:val=""/>
      <w:lvlJc w:val="left"/>
    </w:lvl>
    <w:lvl w:ilvl="7" w:tplc="3B0EDDDE">
      <w:numFmt w:val="decimal"/>
      <w:lvlText w:val=""/>
      <w:lvlJc w:val="left"/>
    </w:lvl>
    <w:lvl w:ilvl="8" w:tplc="25EE9DC0">
      <w:numFmt w:val="decimal"/>
      <w:lvlText w:val=""/>
      <w:lvlJc w:val="left"/>
    </w:lvl>
  </w:abstractNum>
  <w:abstractNum w:abstractNumId="227" w15:restartNumberingAfterBreak="0">
    <w:nsid w:val="11533D85"/>
    <w:multiLevelType w:val="hybridMultilevel"/>
    <w:tmpl w:val="9E466EFA"/>
    <w:lvl w:ilvl="0" w:tplc="DB504910">
      <w:start w:val="1"/>
      <w:numFmt w:val="bullet"/>
      <w:lvlText w:val=""/>
      <w:lvlJc w:val="left"/>
      <w:pPr>
        <w:ind w:left="720" w:hanging="180"/>
      </w:pPr>
      <w:rPr>
        <w:rFonts w:ascii="Symbol" w:hAnsi="Symbol" w:hint="default"/>
      </w:rPr>
    </w:lvl>
    <w:lvl w:ilvl="1" w:tplc="74D6D28C">
      <w:numFmt w:val="decimal"/>
      <w:lvlText w:val=""/>
      <w:lvlJc w:val="left"/>
    </w:lvl>
    <w:lvl w:ilvl="2" w:tplc="D400C436">
      <w:numFmt w:val="decimal"/>
      <w:lvlText w:val=""/>
      <w:lvlJc w:val="left"/>
    </w:lvl>
    <w:lvl w:ilvl="3" w:tplc="FB7C7528">
      <w:numFmt w:val="decimal"/>
      <w:lvlText w:val=""/>
      <w:lvlJc w:val="left"/>
    </w:lvl>
    <w:lvl w:ilvl="4" w:tplc="DAA81096">
      <w:numFmt w:val="decimal"/>
      <w:lvlText w:val=""/>
      <w:lvlJc w:val="left"/>
    </w:lvl>
    <w:lvl w:ilvl="5" w:tplc="C1543E52">
      <w:numFmt w:val="decimal"/>
      <w:lvlText w:val=""/>
      <w:lvlJc w:val="left"/>
    </w:lvl>
    <w:lvl w:ilvl="6" w:tplc="5B0EB118">
      <w:numFmt w:val="decimal"/>
      <w:lvlText w:val=""/>
      <w:lvlJc w:val="left"/>
    </w:lvl>
    <w:lvl w:ilvl="7" w:tplc="88F829A2">
      <w:numFmt w:val="decimal"/>
      <w:lvlText w:val=""/>
      <w:lvlJc w:val="left"/>
    </w:lvl>
    <w:lvl w:ilvl="8" w:tplc="B1C2FB86">
      <w:numFmt w:val="decimal"/>
      <w:lvlText w:val=""/>
      <w:lvlJc w:val="left"/>
    </w:lvl>
  </w:abstractNum>
  <w:abstractNum w:abstractNumId="228" w15:restartNumberingAfterBreak="0">
    <w:nsid w:val="11620774"/>
    <w:multiLevelType w:val="hybridMultilevel"/>
    <w:tmpl w:val="29783EC6"/>
    <w:lvl w:ilvl="0" w:tplc="A4A8320E">
      <w:start w:val="1"/>
      <w:numFmt w:val="bullet"/>
      <w:lvlText w:val=""/>
      <w:lvlJc w:val="left"/>
      <w:pPr>
        <w:ind w:left="720" w:hanging="180"/>
      </w:pPr>
      <w:rPr>
        <w:rFonts w:ascii="Symbol" w:hAnsi="Symbol" w:hint="default"/>
      </w:rPr>
    </w:lvl>
    <w:lvl w:ilvl="1" w:tplc="A46E8414">
      <w:numFmt w:val="decimal"/>
      <w:lvlText w:val=""/>
      <w:lvlJc w:val="left"/>
    </w:lvl>
    <w:lvl w:ilvl="2" w:tplc="5624282E">
      <w:numFmt w:val="decimal"/>
      <w:lvlText w:val=""/>
      <w:lvlJc w:val="left"/>
    </w:lvl>
    <w:lvl w:ilvl="3" w:tplc="D52C95E8">
      <w:numFmt w:val="decimal"/>
      <w:lvlText w:val=""/>
      <w:lvlJc w:val="left"/>
    </w:lvl>
    <w:lvl w:ilvl="4" w:tplc="57864A52">
      <w:numFmt w:val="decimal"/>
      <w:lvlText w:val=""/>
      <w:lvlJc w:val="left"/>
    </w:lvl>
    <w:lvl w:ilvl="5" w:tplc="92EC01A6">
      <w:numFmt w:val="decimal"/>
      <w:lvlText w:val=""/>
      <w:lvlJc w:val="left"/>
    </w:lvl>
    <w:lvl w:ilvl="6" w:tplc="AE8A8124">
      <w:numFmt w:val="decimal"/>
      <w:lvlText w:val=""/>
      <w:lvlJc w:val="left"/>
    </w:lvl>
    <w:lvl w:ilvl="7" w:tplc="B0E6D312">
      <w:numFmt w:val="decimal"/>
      <w:lvlText w:val=""/>
      <w:lvlJc w:val="left"/>
    </w:lvl>
    <w:lvl w:ilvl="8" w:tplc="1A847866">
      <w:numFmt w:val="decimal"/>
      <w:lvlText w:val=""/>
      <w:lvlJc w:val="left"/>
    </w:lvl>
  </w:abstractNum>
  <w:abstractNum w:abstractNumId="229" w15:restartNumberingAfterBreak="0">
    <w:nsid w:val="116E58D5"/>
    <w:multiLevelType w:val="hybridMultilevel"/>
    <w:tmpl w:val="3AD45CCE"/>
    <w:lvl w:ilvl="0" w:tplc="B894A232">
      <w:start w:val="1"/>
      <w:numFmt w:val="bullet"/>
      <w:lvlText w:val=""/>
      <w:lvlJc w:val="left"/>
      <w:pPr>
        <w:ind w:left="720" w:hanging="180"/>
      </w:pPr>
      <w:rPr>
        <w:rFonts w:ascii="Symbol" w:hAnsi="Symbol" w:hint="default"/>
      </w:rPr>
    </w:lvl>
    <w:lvl w:ilvl="1" w:tplc="DCAEB2E8">
      <w:numFmt w:val="decimal"/>
      <w:lvlText w:val=""/>
      <w:lvlJc w:val="left"/>
    </w:lvl>
    <w:lvl w:ilvl="2" w:tplc="EEFCDF9C">
      <w:numFmt w:val="decimal"/>
      <w:lvlText w:val=""/>
      <w:lvlJc w:val="left"/>
    </w:lvl>
    <w:lvl w:ilvl="3" w:tplc="EB76C374">
      <w:numFmt w:val="decimal"/>
      <w:lvlText w:val=""/>
      <w:lvlJc w:val="left"/>
    </w:lvl>
    <w:lvl w:ilvl="4" w:tplc="F496BA00">
      <w:numFmt w:val="decimal"/>
      <w:lvlText w:val=""/>
      <w:lvlJc w:val="left"/>
    </w:lvl>
    <w:lvl w:ilvl="5" w:tplc="18283AC0">
      <w:numFmt w:val="decimal"/>
      <w:lvlText w:val=""/>
      <w:lvlJc w:val="left"/>
    </w:lvl>
    <w:lvl w:ilvl="6" w:tplc="60D2BFCE">
      <w:numFmt w:val="decimal"/>
      <w:lvlText w:val=""/>
      <w:lvlJc w:val="left"/>
    </w:lvl>
    <w:lvl w:ilvl="7" w:tplc="F8E2AC10">
      <w:numFmt w:val="decimal"/>
      <w:lvlText w:val=""/>
      <w:lvlJc w:val="left"/>
    </w:lvl>
    <w:lvl w:ilvl="8" w:tplc="72BCF70C">
      <w:numFmt w:val="decimal"/>
      <w:lvlText w:val=""/>
      <w:lvlJc w:val="left"/>
    </w:lvl>
  </w:abstractNum>
  <w:abstractNum w:abstractNumId="230" w15:restartNumberingAfterBreak="0">
    <w:nsid w:val="11895F2E"/>
    <w:multiLevelType w:val="hybridMultilevel"/>
    <w:tmpl w:val="828A4958"/>
    <w:lvl w:ilvl="0" w:tplc="25D6D582">
      <w:start w:val="1"/>
      <w:numFmt w:val="bullet"/>
      <w:lvlText w:val=""/>
      <w:lvlJc w:val="left"/>
      <w:pPr>
        <w:ind w:left="720" w:hanging="180"/>
      </w:pPr>
      <w:rPr>
        <w:rFonts w:ascii="Symbol" w:hAnsi="Symbol" w:hint="default"/>
      </w:rPr>
    </w:lvl>
    <w:lvl w:ilvl="1" w:tplc="749E3586">
      <w:numFmt w:val="decimal"/>
      <w:lvlText w:val=""/>
      <w:lvlJc w:val="left"/>
    </w:lvl>
    <w:lvl w:ilvl="2" w:tplc="CB7CD448">
      <w:numFmt w:val="decimal"/>
      <w:lvlText w:val=""/>
      <w:lvlJc w:val="left"/>
    </w:lvl>
    <w:lvl w:ilvl="3" w:tplc="4B8EDC7A">
      <w:numFmt w:val="decimal"/>
      <w:lvlText w:val=""/>
      <w:lvlJc w:val="left"/>
    </w:lvl>
    <w:lvl w:ilvl="4" w:tplc="B4687C7C">
      <w:numFmt w:val="decimal"/>
      <w:lvlText w:val=""/>
      <w:lvlJc w:val="left"/>
    </w:lvl>
    <w:lvl w:ilvl="5" w:tplc="212016DC">
      <w:numFmt w:val="decimal"/>
      <w:lvlText w:val=""/>
      <w:lvlJc w:val="left"/>
    </w:lvl>
    <w:lvl w:ilvl="6" w:tplc="78606E04">
      <w:numFmt w:val="decimal"/>
      <w:lvlText w:val=""/>
      <w:lvlJc w:val="left"/>
    </w:lvl>
    <w:lvl w:ilvl="7" w:tplc="22929CCA">
      <w:numFmt w:val="decimal"/>
      <w:lvlText w:val=""/>
      <w:lvlJc w:val="left"/>
    </w:lvl>
    <w:lvl w:ilvl="8" w:tplc="654A5158">
      <w:numFmt w:val="decimal"/>
      <w:lvlText w:val=""/>
      <w:lvlJc w:val="left"/>
    </w:lvl>
  </w:abstractNum>
  <w:abstractNum w:abstractNumId="231" w15:restartNumberingAfterBreak="0">
    <w:nsid w:val="119A7BE9"/>
    <w:multiLevelType w:val="hybridMultilevel"/>
    <w:tmpl w:val="F09C485E"/>
    <w:lvl w:ilvl="0" w:tplc="8AF8E548">
      <w:start w:val="1"/>
      <w:numFmt w:val="bullet"/>
      <w:lvlText w:val=""/>
      <w:lvlJc w:val="left"/>
      <w:pPr>
        <w:ind w:left="720" w:hanging="180"/>
      </w:pPr>
      <w:rPr>
        <w:rFonts w:ascii="Symbol" w:hAnsi="Symbol" w:hint="default"/>
      </w:rPr>
    </w:lvl>
    <w:lvl w:ilvl="1" w:tplc="B2DC2690">
      <w:numFmt w:val="decimal"/>
      <w:lvlText w:val=""/>
      <w:lvlJc w:val="left"/>
    </w:lvl>
    <w:lvl w:ilvl="2" w:tplc="C360BA0A">
      <w:numFmt w:val="decimal"/>
      <w:lvlText w:val=""/>
      <w:lvlJc w:val="left"/>
    </w:lvl>
    <w:lvl w:ilvl="3" w:tplc="9A16B35A">
      <w:numFmt w:val="decimal"/>
      <w:lvlText w:val=""/>
      <w:lvlJc w:val="left"/>
    </w:lvl>
    <w:lvl w:ilvl="4" w:tplc="34669A72">
      <w:numFmt w:val="decimal"/>
      <w:lvlText w:val=""/>
      <w:lvlJc w:val="left"/>
    </w:lvl>
    <w:lvl w:ilvl="5" w:tplc="998AACEC">
      <w:numFmt w:val="decimal"/>
      <w:lvlText w:val=""/>
      <w:lvlJc w:val="left"/>
    </w:lvl>
    <w:lvl w:ilvl="6" w:tplc="88C0D3AE">
      <w:numFmt w:val="decimal"/>
      <w:lvlText w:val=""/>
      <w:lvlJc w:val="left"/>
    </w:lvl>
    <w:lvl w:ilvl="7" w:tplc="4FA4CEDE">
      <w:numFmt w:val="decimal"/>
      <w:lvlText w:val=""/>
      <w:lvlJc w:val="left"/>
    </w:lvl>
    <w:lvl w:ilvl="8" w:tplc="B406D92E">
      <w:numFmt w:val="decimal"/>
      <w:lvlText w:val=""/>
      <w:lvlJc w:val="left"/>
    </w:lvl>
  </w:abstractNum>
  <w:abstractNum w:abstractNumId="232" w15:restartNumberingAfterBreak="0">
    <w:nsid w:val="119F3677"/>
    <w:multiLevelType w:val="hybridMultilevel"/>
    <w:tmpl w:val="47644E9E"/>
    <w:lvl w:ilvl="0" w:tplc="7D0492BE">
      <w:start w:val="1"/>
      <w:numFmt w:val="bullet"/>
      <w:lvlText w:val=""/>
      <w:lvlJc w:val="left"/>
      <w:pPr>
        <w:ind w:left="720" w:hanging="180"/>
      </w:pPr>
      <w:rPr>
        <w:rFonts w:ascii="Symbol" w:hAnsi="Symbol" w:hint="default"/>
      </w:rPr>
    </w:lvl>
    <w:lvl w:ilvl="1" w:tplc="1B82C432">
      <w:numFmt w:val="decimal"/>
      <w:lvlText w:val=""/>
      <w:lvlJc w:val="left"/>
    </w:lvl>
    <w:lvl w:ilvl="2" w:tplc="3EBAEDDE">
      <w:numFmt w:val="decimal"/>
      <w:lvlText w:val=""/>
      <w:lvlJc w:val="left"/>
    </w:lvl>
    <w:lvl w:ilvl="3" w:tplc="00F6537A">
      <w:numFmt w:val="decimal"/>
      <w:lvlText w:val=""/>
      <w:lvlJc w:val="left"/>
    </w:lvl>
    <w:lvl w:ilvl="4" w:tplc="CA9A07DC">
      <w:numFmt w:val="decimal"/>
      <w:lvlText w:val=""/>
      <w:lvlJc w:val="left"/>
    </w:lvl>
    <w:lvl w:ilvl="5" w:tplc="EF285902">
      <w:numFmt w:val="decimal"/>
      <w:lvlText w:val=""/>
      <w:lvlJc w:val="left"/>
    </w:lvl>
    <w:lvl w:ilvl="6" w:tplc="10447A08">
      <w:numFmt w:val="decimal"/>
      <w:lvlText w:val=""/>
      <w:lvlJc w:val="left"/>
    </w:lvl>
    <w:lvl w:ilvl="7" w:tplc="E228A830">
      <w:numFmt w:val="decimal"/>
      <w:lvlText w:val=""/>
      <w:lvlJc w:val="left"/>
    </w:lvl>
    <w:lvl w:ilvl="8" w:tplc="D9D690DC">
      <w:numFmt w:val="decimal"/>
      <w:lvlText w:val=""/>
      <w:lvlJc w:val="left"/>
    </w:lvl>
  </w:abstractNum>
  <w:abstractNum w:abstractNumId="233" w15:restartNumberingAfterBreak="0">
    <w:nsid w:val="11C02997"/>
    <w:multiLevelType w:val="hybridMultilevel"/>
    <w:tmpl w:val="807A529C"/>
    <w:lvl w:ilvl="0" w:tplc="C178C0C6">
      <w:numFmt w:val="decimal"/>
      <w:lvlText w:val=""/>
      <w:lvlJc w:val="left"/>
    </w:lvl>
    <w:lvl w:ilvl="1" w:tplc="E744AD9C">
      <w:start w:val="1"/>
      <w:numFmt w:val="bullet"/>
      <w:lvlText w:val=""/>
      <w:lvlJc w:val="left"/>
      <w:pPr>
        <w:ind w:left="1440" w:hanging="180"/>
      </w:pPr>
      <w:rPr>
        <w:rFonts w:ascii="Symbol" w:hAnsi="Symbol" w:hint="default"/>
      </w:rPr>
    </w:lvl>
    <w:lvl w:ilvl="2" w:tplc="BE9046E6">
      <w:numFmt w:val="decimal"/>
      <w:lvlText w:val=""/>
      <w:lvlJc w:val="left"/>
    </w:lvl>
    <w:lvl w:ilvl="3" w:tplc="318048BA">
      <w:numFmt w:val="decimal"/>
      <w:lvlText w:val=""/>
      <w:lvlJc w:val="left"/>
    </w:lvl>
    <w:lvl w:ilvl="4" w:tplc="874AC246">
      <w:numFmt w:val="decimal"/>
      <w:lvlText w:val=""/>
      <w:lvlJc w:val="left"/>
    </w:lvl>
    <w:lvl w:ilvl="5" w:tplc="AD7CD952">
      <w:numFmt w:val="decimal"/>
      <w:lvlText w:val=""/>
      <w:lvlJc w:val="left"/>
    </w:lvl>
    <w:lvl w:ilvl="6" w:tplc="B9CC511E">
      <w:numFmt w:val="decimal"/>
      <w:lvlText w:val=""/>
      <w:lvlJc w:val="left"/>
    </w:lvl>
    <w:lvl w:ilvl="7" w:tplc="5D142BF2">
      <w:numFmt w:val="decimal"/>
      <w:lvlText w:val=""/>
      <w:lvlJc w:val="left"/>
    </w:lvl>
    <w:lvl w:ilvl="8" w:tplc="5178F5DA">
      <w:numFmt w:val="decimal"/>
      <w:lvlText w:val=""/>
      <w:lvlJc w:val="left"/>
    </w:lvl>
  </w:abstractNum>
  <w:abstractNum w:abstractNumId="234" w15:restartNumberingAfterBreak="0">
    <w:nsid w:val="11D12BDD"/>
    <w:multiLevelType w:val="hybridMultilevel"/>
    <w:tmpl w:val="EDDA493C"/>
    <w:lvl w:ilvl="0" w:tplc="F7A06782">
      <w:start w:val="1"/>
      <w:numFmt w:val="bullet"/>
      <w:lvlText w:val=""/>
      <w:lvlJc w:val="left"/>
      <w:pPr>
        <w:ind w:left="720" w:hanging="180"/>
      </w:pPr>
      <w:rPr>
        <w:rFonts w:ascii="Symbol" w:hAnsi="Symbol" w:hint="default"/>
      </w:rPr>
    </w:lvl>
    <w:lvl w:ilvl="1" w:tplc="59C08854">
      <w:numFmt w:val="decimal"/>
      <w:lvlText w:val=""/>
      <w:lvlJc w:val="left"/>
    </w:lvl>
    <w:lvl w:ilvl="2" w:tplc="8836E106">
      <w:numFmt w:val="decimal"/>
      <w:lvlText w:val=""/>
      <w:lvlJc w:val="left"/>
    </w:lvl>
    <w:lvl w:ilvl="3" w:tplc="5EAA393A">
      <w:numFmt w:val="decimal"/>
      <w:lvlText w:val=""/>
      <w:lvlJc w:val="left"/>
    </w:lvl>
    <w:lvl w:ilvl="4" w:tplc="BF70CC0A">
      <w:numFmt w:val="decimal"/>
      <w:lvlText w:val=""/>
      <w:lvlJc w:val="left"/>
    </w:lvl>
    <w:lvl w:ilvl="5" w:tplc="2E2A4A54">
      <w:numFmt w:val="decimal"/>
      <w:lvlText w:val=""/>
      <w:lvlJc w:val="left"/>
    </w:lvl>
    <w:lvl w:ilvl="6" w:tplc="ECCAAA5E">
      <w:numFmt w:val="decimal"/>
      <w:lvlText w:val=""/>
      <w:lvlJc w:val="left"/>
    </w:lvl>
    <w:lvl w:ilvl="7" w:tplc="68FCECAC">
      <w:numFmt w:val="decimal"/>
      <w:lvlText w:val=""/>
      <w:lvlJc w:val="left"/>
    </w:lvl>
    <w:lvl w:ilvl="8" w:tplc="13864F64">
      <w:numFmt w:val="decimal"/>
      <w:lvlText w:val=""/>
      <w:lvlJc w:val="left"/>
    </w:lvl>
  </w:abstractNum>
  <w:abstractNum w:abstractNumId="235" w15:restartNumberingAfterBreak="0">
    <w:nsid w:val="11EE00FE"/>
    <w:multiLevelType w:val="hybridMultilevel"/>
    <w:tmpl w:val="6960FB7E"/>
    <w:lvl w:ilvl="0" w:tplc="94FC0D52">
      <w:start w:val="1"/>
      <w:numFmt w:val="bullet"/>
      <w:lvlText w:val=""/>
      <w:lvlJc w:val="left"/>
      <w:pPr>
        <w:ind w:left="720" w:hanging="180"/>
      </w:pPr>
      <w:rPr>
        <w:rFonts w:ascii="Symbol" w:hAnsi="Symbol" w:hint="default"/>
      </w:rPr>
    </w:lvl>
    <w:lvl w:ilvl="1" w:tplc="56382560">
      <w:numFmt w:val="decimal"/>
      <w:lvlText w:val=""/>
      <w:lvlJc w:val="left"/>
    </w:lvl>
    <w:lvl w:ilvl="2" w:tplc="4CC80314">
      <w:numFmt w:val="decimal"/>
      <w:lvlText w:val=""/>
      <w:lvlJc w:val="left"/>
    </w:lvl>
    <w:lvl w:ilvl="3" w:tplc="71903D20">
      <w:numFmt w:val="decimal"/>
      <w:lvlText w:val=""/>
      <w:lvlJc w:val="left"/>
    </w:lvl>
    <w:lvl w:ilvl="4" w:tplc="6332DD74">
      <w:numFmt w:val="decimal"/>
      <w:lvlText w:val=""/>
      <w:lvlJc w:val="left"/>
    </w:lvl>
    <w:lvl w:ilvl="5" w:tplc="53868E66">
      <w:numFmt w:val="decimal"/>
      <w:lvlText w:val=""/>
      <w:lvlJc w:val="left"/>
    </w:lvl>
    <w:lvl w:ilvl="6" w:tplc="7D7A1CC2">
      <w:numFmt w:val="decimal"/>
      <w:lvlText w:val=""/>
      <w:lvlJc w:val="left"/>
    </w:lvl>
    <w:lvl w:ilvl="7" w:tplc="A080BE80">
      <w:numFmt w:val="decimal"/>
      <w:lvlText w:val=""/>
      <w:lvlJc w:val="left"/>
    </w:lvl>
    <w:lvl w:ilvl="8" w:tplc="AEDA6230">
      <w:numFmt w:val="decimal"/>
      <w:lvlText w:val=""/>
      <w:lvlJc w:val="left"/>
    </w:lvl>
  </w:abstractNum>
  <w:abstractNum w:abstractNumId="236" w15:restartNumberingAfterBreak="0">
    <w:nsid w:val="11F922A7"/>
    <w:multiLevelType w:val="hybridMultilevel"/>
    <w:tmpl w:val="0DB4F7FE"/>
    <w:lvl w:ilvl="0" w:tplc="654A5D26">
      <w:start w:val="1"/>
      <w:numFmt w:val="bullet"/>
      <w:lvlText w:val=""/>
      <w:lvlJc w:val="left"/>
      <w:pPr>
        <w:ind w:left="720" w:hanging="180"/>
      </w:pPr>
      <w:rPr>
        <w:rFonts w:ascii="Symbol" w:hAnsi="Symbol" w:hint="default"/>
      </w:rPr>
    </w:lvl>
    <w:lvl w:ilvl="1" w:tplc="DE64379C">
      <w:numFmt w:val="decimal"/>
      <w:lvlText w:val=""/>
      <w:lvlJc w:val="left"/>
    </w:lvl>
    <w:lvl w:ilvl="2" w:tplc="ACC6A746">
      <w:numFmt w:val="decimal"/>
      <w:lvlText w:val=""/>
      <w:lvlJc w:val="left"/>
    </w:lvl>
    <w:lvl w:ilvl="3" w:tplc="B8B21AEC">
      <w:numFmt w:val="decimal"/>
      <w:lvlText w:val=""/>
      <w:lvlJc w:val="left"/>
    </w:lvl>
    <w:lvl w:ilvl="4" w:tplc="3E70A490">
      <w:numFmt w:val="decimal"/>
      <w:lvlText w:val=""/>
      <w:lvlJc w:val="left"/>
    </w:lvl>
    <w:lvl w:ilvl="5" w:tplc="9CB4256A">
      <w:numFmt w:val="decimal"/>
      <w:lvlText w:val=""/>
      <w:lvlJc w:val="left"/>
    </w:lvl>
    <w:lvl w:ilvl="6" w:tplc="DD2A3CB4">
      <w:numFmt w:val="decimal"/>
      <w:lvlText w:val=""/>
      <w:lvlJc w:val="left"/>
    </w:lvl>
    <w:lvl w:ilvl="7" w:tplc="369EA71C">
      <w:numFmt w:val="decimal"/>
      <w:lvlText w:val=""/>
      <w:lvlJc w:val="left"/>
    </w:lvl>
    <w:lvl w:ilvl="8" w:tplc="814CB5B8">
      <w:numFmt w:val="decimal"/>
      <w:lvlText w:val=""/>
      <w:lvlJc w:val="left"/>
    </w:lvl>
  </w:abstractNum>
  <w:abstractNum w:abstractNumId="237" w15:restartNumberingAfterBreak="0">
    <w:nsid w:val="11FB6F3E"/>
    <w:multiLevelType w:val="hybridMultilevel"/>
    <w:tmpl w:val="EEE8DDA8"/>
    <w:lvl w:ilvl="0" w:tplc="154ED434">
      <w:start w:val="1"/>
      <w:numFmt w:val="bullet"/>
      <w:lvlText w:val=""/>
      <w:lvlJc w:val="left"/>
      <w:pPr>
        <w:ind w:left="720" w:hanging="180"/>
      </w:pPr>
      <w:rPr>
        <w:rFonts w:ascii="Symbol" w:hAnsi="Symbol" w:hint="default"/>
      </w:rPr>
    </w:lvl>
    <w:lvl w:ilvl="1" w:tplc="67BE67B6">
      <w:numFmt w:val="decimal"/>
      <w:lvlText w:val=""/>
      <w:lvlJc w:val="left"/>
    </w:lvl>
    <w:lvl w:ilvl="2" w:tplc="405692C4">
      <w:numFmt w:val="decimal"/>
      <w:lvlText w:val=""/>
      <w:lvlJc w:val="left"/>
    </w:lvl>
    <w:lvl w:ilvl="3" w:tplc="13B8E3FC">
      <w:numFmt w:val="decimal"/>
      <w:lvlText w:val=""/>
      <w:lvlJc w:val="left"/>
    </w:lvl>
    <w:lvl w:ilvl="4" w:tplc="F7BC7AEC">
      <w:numFmt w:val="decimal"/>
      <w:lvlText w:val=""/>
      <w:lvlJc w:val="left"/>
    </w:lvl>
    <w:lvl w:ilvl="5" w:tplc="5508A7BC">
      <w:numFmt w:val="decimal"/>
      <w:lvlText w:val=""/>
      <w:lvlJc w:val="left"/>
    </w:lvl>
    <w:lvl w:ilvl="6" w:tplc="537290EA">
      <w:numFmt w:val="decimal"/>
      <w:lvlText w:val=""/>
      <w:lvlJc w:val="left"/>
    </w:lvl>
    <w:lvl w:ilvl="7" w:tplc="DC88D63A">
      <w:numFmt w:val="decimal"/>
      <w:lvlText w:val=""/>
      <w:lvlJc w:val="left"/>
    </w:lvl>
    <w:lvl w:ilvl="8" w:tplc="1CAA127A">
      <w:numFmt w:val="decimal"/>
      <w:lvlText w:val=""/>
      <w:lvlJc w:val="left"/>
    </w:lvl>
  </w:abstractNum>
  <w:abstractNum w:abstractNumId="238" w15:restartNumberingAfterBreak="0">
    <w:nsid w:val="120502DD"/>
    <w:multiLevelType w:val="hybridMultilevel"/>
    <w:tmpl w:val="FEE8A228"/>
    <w:lvl w:ilvl="0" w:tplc="8B5CC6B2">
      <w:start w:val="1"/>
      <w:numFmt w:val="bullet"/>
      <w:lvlText w:val=""/>
      <w:lvlJc w:val="left"/>
      <w:pPr>
        <w:ind w:left="720" w:hanging="180"/>
      </w:pPr>
      <w:rPr>
        <w:rFonts w:ascii="Symbol" w:hAnsi="Symbol" w:hint="default"/>
      </w:rPr>
    </w:lvl>
    <w:lvl w:ilvl="1" w:tplc="1B7EFED0">
      <w:numFmt w:val="decimal"/>
      <w:lvlText w:val=""/>
      <w:lvlJc w:val="left"/>
    </w:lvl>
    <w:lvl w:ilvl="2" w:tplc="021EBBF8">
      <w:numFmt w:val="decimal"/>
      <w:lvlText w:val=""/>
      <w:lvlJc w:val="left"/>
    </w:lvl>
    <w:lvl w:ilvl="3" w:tplc="B386B958">
      <w:numFmt w:val="decimal"/>
      <w:lvlText w:val=""/>
      <w:lvlJc w:val="left"/>
    </w:lvl>
    <w:lvl w:ilvl="4" w:tplc="F8BC0750">
      <w:numFmt w:val="decimal"/>
      <w:lvlText w:val=""/>
      <w:lvlJc w:val="left"/>
    </w:lvl>
    <w:lvl w:ilvl="5" w:tplc="F68CFD92">
      <w:numFmt w:val="decimal"/>
      <w:lvlText w:val=""/>
      <w:lvlJc w:val="left"/>
    </w:lvl>
    <w:lvl w:ilvl="6" w:tplc="7C24E51A">
      <w:numFmt w:val="decimal"/>
      <w:lvlText w:val=""/>
      <w:lvlJc w:val="left"/>
    </w:lvl>
    <w:lvl w:ilvl="7" w:tplc="D0AE44D4">
      <w:numFmt w:val="decimal"/>
      <w:lvlText w:val=""/>
      <w:lvlJc w:val="left"/>
    </w:lvl>
    <w:lvl w:ilvl="8" w:tplc="0084085A">
      <w:numFmt w:val="decimal"/>
      <w:lvlText w:val=""/>
      <w:lvlJc w:val="left"/>
    </w:lvl>
  </w:abstractNum>
  <w:abstractNum w:abstractNumId="239" w15:restartNumberingAfterBreak="0">
    <w:nsid w:val="12336D1E"/>
    <w:multiLevelType w:val="hybridMultilevel"/>
    <w:tmpl w:val="F3221846"/>
    <w:lvl w:ilvl="0" w:tplc="9BA0B7F6">
      <w:numFmt w:val="decimal"/>
      <w:lvlText w:val=""/>
      <w:lvlJc w:val="left"/>
    </w:lvl>
    <w:lvl w:ilvl="1" w:tplc="09EE6198">
      <w:start w:val="1"/>
      <w:numFmt w:val="bullet"/>
      <w:lvlText w:val=""/>
      <w:lvlJc w:val="left"/>
      <w:pPr>
        <w:ind w:left="1440" w:hanging="180"/>
      </w:pPr>
      <w:rPr>
        <w:rFonts w:ascii="Symbol" w:hAnsi="Symbol" w:hint="default"/>
      </w:rPr>
    </w:lvl>
    <w:lvl w:ilvl="2" w:tplc="68FE52A4">
      <w:numFmt w:val="decimal"/>
      <w:lvlText w:val=""/>
      <w:lvlJc w:val="left"/>
    </w:lvl>
    <w:lvl w:ilvl="3" w:tplc="DEF05D34">
      <w:numFmt w:val="decimal"/>
      <w:lvlText w:val=""/>
      <w:lvlJc w:val="left"/>
    </w:lvl>
    <w:lvl w:ilvl="4" w:tplc="0356663C">
      <w:numFmt w:val="decimal"/>
      <w:lvlText w:val=""/>
      <w:lvlJc w:val="left"/>
    </w:lvl>
    <w:lvl w:ilvl="5" w:tplc="95E4C97A">
      <w:numFmt w:val="decimal"/>
      <w:lvlText w:val=""/>
      <w:lvlJc w:val="left"/>
    </w:lvl>
    <w:lvl w:ilvl="6" w:tplc="DCFC5394">
      <w:numFmt w:val="decimal"/>
      <w:lvlText w:val=""/>
      <w:lvlJc w:val="left"/>
    </w:lvl>
    <w:lvl w:ilvl="7" w:tplc="ADBCB608">
      <w:numFmt w:val="decimal"/>
      <w:lvlText w:val=""/>
      <w:lvlJc w:val="left"/>
    </w:lvl>
    <w:lvl w:ilvl="8" w:tplc="F9141B64">
      <w:numFmt w:val="decimal"/>
      <w:lvlText w:val=""/>
      <w:lvlJc w:val="left"/>
    </w:lvl>
  </w:abstractNum>
  <w:abstractNum w:abstractNumId="240" w15:restartNumberingAfterBreak="0">
    <w:nsid w:val="12A150AF"/>
    <w:multiLevelType w:val="hybridMultilevel"/>
    <w:tmpl w:val="31BC5F2C"/>
    <w:lvl w:ilvl="0" w:tplc="908255B2">
      <w:start w:val="1"/>
      <w:numFmt w:val="bullet"/>
      <w:lvlText w:val=""/>
      <w:lvlJc w:val="left"/>
      <w:pPr>
        <w:ind w:left="720" w:hanging="180"/>
      </w:pPr>
      <w:rPr>
        <w:rFonts w:ascii="Symbol" w:hAnsi="Symbol" w:hint="default"/>
      </w:rPr>
    </w:lvl>
    <w:lvl w:ilvl="1" w:tplc="F0A22FC2">
      <w:numFmt w:val="decimal"/>
      <w:lvlText w:val=""/>
      <w:lvlJc w:val="left"/>
    </w:lvl>
    <w:lvl w:ilvl="2" w:tplc="842C20D6">
      <w:numFmt w:val="decimal"/>
      <w:lvlText w:val=""/>
      <w:lvlJc w:val="left"/>
    </w:lvl>
    <w:lvl w:ilvl="3" w:tplc="F7EEE8A2">
      <w:numFmt w:val="decimal"/>
      <w:lvlText w:val=""/>
      <w:lvlJc w:val="left"/>
    </w:lvl>
    <w:lvl w:ilvl="4" w:tplc="4F667978">
      <w:numFmt w:val="decimal"/>
      <w:lvlText w:val=""/>
      <w:lvlJc w:val="left"/>
    </w:lvl>
    <w:lvl w:ilvl="5" w:tplc="7E9A4996">
      <w:numFmt w:val="decimal"/>
      <w:lvlText w:val=""/>
      <w:lvlJc w:val="left"/>
    </w:lvl>
    <w:lvl w:ilvl="6" w:tplc="85B26234">
      <w:numFmt w:val="decimal"/>
      <w:lvlText w:val=""/>
      <w:lvlJc w:val="left"/>
    </w:lvl>
    <w:lvl w:ilvl="7" w:tplc="FFBA2E16">
      <w:numFmt w:val="decimal"/>
      <w:lvlText w:val=""/>
      <w:lvlJc w:val="left"/>
    </w:lvl>
    <w:lvl w:ilvl="8" w:tplc="8D78B442">
      <w:numFmt w:val="decimal"/>
      <w:lvlText w:val=""/>
      <w:lvlJc w:val="left"/>
    </w:lvl>
  </w:abstractNum>
  <w:abstractNum w:abstractNumId="241" w15:restartNumberingAfterBreak="0">
    <w:nsid w:val="12C3719A"/>
    <w:multiLevelType w:val="hybridMultilevel"/>
    <w:tmpl w:val="C8BECDF2"/>
    <w:lvl w:ilvl="0" w:tplc="56F2DAB2">
      <w:start w:val="1"/>
      <w:numFmt w:val="bullet"/>
      <w:lvlText w:val=""/>
      <w:lvlJc w:val="left"/>
      <w:pPr>
        <w:ind w:left="720" w:hanging="180"/>
      </w:pPr>
      <w:rPr>
        <w:rFonts w:ascii="Symbol" w:hAnsi="Symbol" w:hint="default"/>
      </w:rPr>
    </w:lvl>
    <w:lvl w:ilvl="1" w:tplc="619ABC10">
      <w:numFmt w:val="decimal"/>
      <w:lvlText w:val=""/>
      <w:lvlJc w:val="left"/>
    </w:lvl>
    <w:lvl w:ilvl="2" w:tplc="51EC30B2">
      <w:numFmt w:val="decimal"/>
      <w:lvlText w:val=""/>
      <w:lvlJc w:val="left"/>
    </w:lvl>
    <w:lvl w:ilvl="3" w:tplc="A982604C">
      <w:numFmt w:val="decimal"/>
      <w:lvlText w:val=""/>
      <w:lvlJc w:val="left"/>
    </w:lvl>
    <w:lvl w:ilvl="4" w:tplc="A7922A48">
      <w:numFmt w:val="decimal"/>
      <w:lvlText w:val=""/>
      <w:lvlJc w:val="left"/>
    </w:lvl>
    <w:lvl w:ilvl="5" w:tplc="7FD467C6">
      <w:numFmt w:val="decimal"/>
      <w:lvlText w:val=""/>
      <w:lvlJc w:val="left"/>
    </w:lvl>
    <w:lvl w:ilvl="6" w:tplc="ADD40DC4">
      <w:numFmt w:val="decimal"/>
      <w:lvlText w:val=""/>
      <w:lvlJc w:val="left"/>
    </w:lvl>
    <w:lvl w:ilvl="7" w:tplc="90348B5E">
      <w:numFmt w:val="decimal"/>
      <w:lvlText w:val=""/>
      <w:lvlJc w:val="left"/>
    </w:lvl>
    <w:lvl w:ilvl="8" w:tplc="109CAD02">
      <w:numFmt w:val="decimal"/>
      <w:lvlText w:val=""/>
      <w:lvlJc w:val="left"/>
    </w:lvl>
  </w:abstractNum>
  <w:abstractNum w:abstractNumId="242" w15:restartNumberingAfterBreak="0">
    <w:nsid w:val="12D22DBE"/>
    <w:multiLevelType w:val="hybridMultilevel"/>
    <w:tmpl w:val="088AD50C"/>
    <w:lvl w:ilvl="0" w:tplc="B642B118">
      <w:start w:val="1"/>
      <w:numFmt w:val="bullet"/>
      <w:lvlText w:val=""/>
      <w:lvlJc w:val="left"/>
      <w:pPr>
        <w:ind w:left="720" w:hanging="180"/>
      </w:pPr>
      <w:rPr>
        <w:rFonts w:ascii="Symbol" w:hAnsi="Symbol" w:hint="default"/>
      </w:rPr>
    </w:lvl>
    <w:lvl w:ilvl="1" w:tplc="755AA198">
      <w:numFmt w:val="decimal"/>
      <w:lvlText w:val=""/>
      <w:lvlJc w:val="left"/>
    </w:lvl>
    <w:lvl w:ilvl="2" w:tplc="E2C418CC">
      <w:numFmt w:val="decimal"/>
      <w:lvlText w:val=""/>
      <w:lvlJc w:val="left"/>
    </w:lvl>
    <w:lvl w:ilvl="3" w:tplc="95F2E872">
      <w:numFmt w:val="decimal"/>
      <w:lvlText w:val=""/>
      <w:lvlJc w:val="left"/>
    </w:lvl>
    <w:lvl w:ilvl="4" w:tplc="12408156">
      <w:numFmt w:val="decimal"/>
      <w:lvlText w:val=""/>
      <w:lvlJc w:val="left"/>
    </w:lvl>
    <w:lvl w:ilvl="5" w:tplc="3574FB52">
      <w:numFmt w:val="decimal"/>
      <w:lvlText w:val=""/>
      <w:lvlJc w:val="left"/>
    </w:lvl>
    <w:lvl w:ilvl="6" w:tplc="2C04F268">
      <w:numFmt w:val="decimal"/>
      <w:lvlText w:val=""/>
      <w:lvlJc w:val="left"/>
    </w:lvl>
    <w:lvl w:ilvl="7" w:tplc="1B68E416">
      <w:numFmt w:val="decimal"/>
      <w:lvlText w:val=""/>
      <w:lvlJc w:val="left"/>
    </w:lvl>
    <w:lvl w:ilvl="8" w:tplc="B87ABBF4">
      <w:numFmt w:val="decimal"/>
      <w:lvlText w:val=""/>
      <w:lvlJc w:val="left"/>
    </w:lvl>
  </w:abstractNum>
  <w:abstractNum w:abstractNumId="243" w15:restartNumberingAfterBreak="0">
    <w:nsid w:val="12DB06A3"/>
    <w:multiLevelType w:val="hybridMultilevel"/>
    <w:tmpl w:val="BC02209E"/>
    <w:lvl w:ilvl="0" w:tplc="C484A1B2">
      <w:numFmt w:val="decimal"/>
      <w:lvlText w:val=""/>
      <w:lvlJc w:val="left"/>
    </w:lvl>
    <w:lvl w:ilvl="1" w:tplc="98CA1B96">
      <w:start w:val="1"/>
      <w:numFmt w:val="bullet"/>
      <w:lvlText w:val=""/>
      <w:lvlJc w:val="left"/>
      <w:pPr>
        <w:ind w:left="1440" w:hanging="180"/>
      </w:pPr>
      <w:rPr>
        <w:rFonts w:ascii="Symbol" w:hAnsi="Symbol" w:hint="default"/>
      </w:rPr>
    </w:lvl>
    <w:lvl w:ilvl="2" w:tplc="9AEAA17C">
      <w:numFmt w:val="decimal"/>
      <w:lvlText w:val=""/>
      <w:lvlJc w:val="left"/>
    </w:lvl>
    <w:lvl w:ilvl="3" w:tplc="AE80E84E">
      <w:numFmt w:val="decimal"/>
      <w:lvlText w:val=""/>
      <w:lvlJc w:val="left"/>
    </w:lvl>
    <w:lvl w:ilvl="4" w:tplc="8C6CB456">
      <w:numFmt w:val="decimal"/>
      <w:lvlText w:val=""/>
      <w:lvlJc w:val="left"/>
    </w:lvl>
    <w:lvl w:ilvl="5" w:tplc="FE00F45A">
      <w:numFmt w:val="decimal"/>
      <w:lvlText w:val=""/>
      <w:lvlJc w:val="left"/>
    </w:lvl>
    <w:lvl w:ilvl="6" w:tplc="BDBC5A3A">
      <w:numFmt w:val="decimal"/>
      <w:lvlText w:val=""/>
      <w:lvlJc w:val="left"/>
    </w:lvl>
    <w:lvl w:ilvl="7" w:tplc="DC565698">
      <w:numFmt w:val="decimal"/>
      <w:lvlText w:val=""/>
      <w:lvlJc w:val="left"/>
    </w:lvl>
    <w:lvl w:ilvl="8" w:tplc="9D623FB4">
      <w:numFmt w:val="decimal"/>
      <w:lvlText w:val=""/>
      <w:lvlJc w:val="left"/>
    </w:lvl>
  </w:abstractNum>
  <w:abstractNum w:abstractNumId="244" w15:restartNumberingAfterBreak="0">
    <w:nsid w:val="12E92D83"/>
    <w:multiLevelType w:val="hybridMultilevel"/>
    <w:tmpl w:val="862A62D8"/>
    <w:lvl w:ilvl="0" w:tplc="645C777A">
      <w:numFmt w:val="decimal"/>
      <w:lvlText w:val=""/>
      <w:lvlJc w:val="left"/>
    </w:lvl>
    <w:lvl w:ilvl="1" w:tplc="F8CE8F40">
      <w:start w:val="1"/>
      <w:numFmt w:val="bullet"/>
      <w:lvlText w:val=""/>
      <w:lvlJc w:val="left"/>
      <w:pPr>
        <w:ind w:left="1440" w:hanging="180"/>
      </w:pPr>
      <w:rPr>
        <w:rFonts w:ascii="Symbol" w:hAnsi="Symbol" w:hint="default"/>
      </w:rPr>
    </w:lvl>
    <w:lvl w:ilvl="2" w:tplc="F24E3ED4">
      <w:numFmt w:val="decimal"/>
      <w:lvlText w:val=""/>
      <w:lvlJc w:val="left"/>
    </w:lvl>
    <w:lvl w:ilvl="3" w:tplc="D6B0A0B8">
      <w:numFmt w:val="decimal"/>
      <w:lvlText w:val=""/>
      <w:lvlJc w:val="left"/>
    </w:lvl>
    <w:lvl w:ilvl="4" w:tplc="60B67AEA">
      <w:numFmt w:val="decimal"/>
      <w:lvlText w:val=""/>
      <w:lvlJc w:val="left"/>
    </w:lvl>
    <w:lvl w:ilvl="5" w:tplc="0598EA12">
      <w:numFmt w:val="decimal"/>
      <w:lvlText w:val=""/>
      <w:lvlJc w:val="left"/>
    </w:lvl>
    <w:lvl w:ilvl="6" w:tplc="62E671A2">
      <w:numFmt w:val="decimal"/>
      <w:lvlText w:val=""/>
      <w:lvlJc w:val="left"/>
    </w:lvl>
    <w:lvl w:ilvl="7" w:tplc="D7A08BE0">
      <w:numFmt w:val="decimal"/>
      <w:lvlText w:val=""/>
      <w:lvlJc w:val="left"/>
    </w:lvl>
    <w:lvl w:ilvl="8" w:tplc="7B422DEC">
      <w:numFmt w:val="decimal"/>
      <w:lvlText w:val=""/>
      <w:lvlJc w:val="left"/>
    </w:lvl>
  </w:abstractNum>
  <w:abstractNum w:abstractNumId="245" w15:restartNumberingAfterBreak="0">
    <w:nsid w:val="12EB002E"/>
    <w:multiLevelType w:val="hybridMultilevel"/>
    <w:tmpl w:val="1640DBE0"/>
    <w:lvl w:ilvl="0" w:tplc="BBCAE038">
      <w:start w:val="1"/>
      <w:numFmt w:val="bullet"/>
      <w:lvlText w:val=""/>
      <w:lvlJc w:val="left"/>
      <w:pPr>
        <w:ind w:left="720" w:hanging="180"/>
      </w:pPr>
      <w:rPr>
        <w:rFonts w:ascii="Symbol" w:hAnsi="Symbol" w:hint="default"/>
      </w:rPr>
    </w:lvl>
    <w:lvl w:ilvl="1" w:tplc="78DC0112">
      <w:numFmt w:val="decimal"/>
      <w:lvlText w:val=""/>
      <w:lvlJc w:val="left"/>
    </w:lvl>
    <w:lvl w:ilvl="2" w:tplc="5EE84494">
      <w:numFmt w:val="decimal"/>
      <w:lvlText w:val=""/>
      <w:lvlJc w:val="left"/>
    </w:lvl>
    <w:lvl w:ilvl="3" w:tplc="68C8210C">
      <w:numFmt w:val="decimal"/>
      <w:lvlText w:val=""/>
      <w:lvlJc w:val="left"/>
    </w:lvl>
    <w:lvl w:ilvl="4" w:tplc="365A80F6">
      <w:numFmt w:val="decimal"/>
      <w:lvlText w:val=""/>
      <w:lvlJc w:val="left"/>
    </w:lvl>
    <w:lvl w:ilvl="5" w:tplc="E9ACFF8E">
      <w:numFmt w:val="decimal"/>
      <w:lvlText w:val=""/>
      <w:lvlJc w:val="left"/>
    </w:lvl>
    <w:lvl w:ilvl="6" w:tplc="97E6C4E0">
      <w:numFmt w:val="decimal"/>
      <w:lvlText w:val=""/>
      <w:lvlJc w:val="left"/>
    </w:lvl>
    <w:lvl w:ilvl="7" w:tplc="5EE4CC52">
      <w:numFmt w:val="decimal"/>
      <w:lvlText w:val=""/>
      <w:lvlJc w:val="left"/>
    </w:lvl>
    <w:lvl w:ilvl="8" w:tplc="DFE4B3EA">
      <w:numFmt w:val="decimal"/>
      <w:lvlText w:val=""/>
      <w:lvlJc w:val="left"/>
    </w:lvl>
  </w:abstractNum>
  <w:abstractNum w:abstractNumId="246" w15:restartNumberingAfterBreak="0">
    <w:nsid w:val="12F16C0F"/>
    <w:multiLevelType w:val="hybridMultilevel"/>
    <w:tmpl w:val="8968E11A"/>
    <w:lvl w:ilvl="0" w:tplc="67547B32">
      <w:start w:val="1"/>
      <w:numFmt w:val="bullet"/>
      <w:lvlText w:val=""/>
      <w:lvlJc w:val="left"/>
      <w:pPr>
        <w:ind w:left="720" w:hanging="180"/>
      </w:pPr>
      <w:rPr>
        <w:rFonts w:ascii="Symbol" w:hAnsi="Symbol" w:hint="default"/>
      </w:rPr>
    </w:lvl>
    <w:lvl w:ilvl="1" w:tplc="D0CA94C4">
      <w:numFmt w:val="decimal"/>
      <w:lvlText w:val=""/>
      <w:lvlJc w:val="left"/>
    </w:lvl>
    <w:lvl w:ilvl="2" w:tplc="9FFAC306">
      <w:numFmt w:val="decimal"/>
      <w:lvlText w:val=""/>
      <w:lvlJc w:val="left"/>
    </w:lvl>
    <w:lvl w:ilvl="3" w:tplc="544EB888">
      <w:numFmt w:val="decimal"/>
      <w:lvlText w:val=""/>
      <w:lvlJc w:val="left"/>
    </w:lvl>
    <w:lvl w:ilvl="4" w:tplc="D6B4399C">
      <w:numFmt w:val="decimal"/>
      <w:lvlText w:val=""/>
      <w:lvlJc w:val="left"/>
    </w:lvl>
    <w:lvl w:ilvl="5" w:tplc="7A102392">
      <w:numFmt w:val="decimal"/>
      <w:lvlText w:val=""/>
      <w:lvlJc w:val="left"/>
    </w:lvl>
    <w:lvl w:ilvl="6" w:tplc="11ECED1C">
      <w:numFmt w:val="decimal"/>
      <w:lvlText w:val=""/>
      <w:lvlJc w:val="left"/>
    </w:lvl>
    <w:lvl w:ilvl="7" w:tplc="FE6C4178">
      <w:numFmt w:val="decimal"/>
      <w:lvlText w:val=""/>
      <w:lvlJc w:val="left"/>
    </w:lvl>
    <w:lvl w:ilvl="8" w:tplc="1CB47AA8">
      <w:numFmt w:val="decimal"/>
      <w:lvlText w:val=""/>
      <w:lvlJc w:val="left"/>
    </w:lvl>
  </w:abstractNum>
  <w:abstractNum w:abstractNumId="247" w15:restartNumberingAfterBreak="0">
    <w:nsid w:val="12FF7582"/>
    <w:multiLevelType w:val="hybridMultilevel"/>
    <w:tmpl w:val="ABD8FAEC"/>
    <w:lvl w:ilvl="0" w:tplc="F37A31B0">
      <w:start w:val="1"/>
      <w:numFmt w:val="bullet"/>
      <w:lvlText w:val=""/>
      <w:lvlJc w:val="left"/>
      <w:pPr>
        <w:ind w:left="720" w:hanging="180"/>
      </w:pPr>
      <w:rPr>
        <w:rFonts w:ascii="Symbol" w:hAnsi="Symbol" w:hint="default"/>
      </w:rPr>
    </w:lvl>
    <w:lvl w:ilvl="1" w:tplc="B05AF1DE">
      <w:numFmt w:val="decimal"/>
      <w:lvlText w:val=""/>
      <w:lvlJc w:val="left"/>
    </w:lvl>
    <w:lvl w:ilvl="2" w:tplc="98509FE2">
      <w:numFmt w:val="decimal"/>
      <w:lvlText w:val=""/>
      <w:lvlJc w:val="left"/>
    </w:lvl>
    <w:lvl w:ilvl="3" w:tplc="192AD888">
      <w:numFmt w:val="decimal"/>
      <w:lvlText w:val=""/>
      <w:lvlJc w:val="left"/>
    </w:lvl>
    <w:lvl w:ilvl="4" w:tplc="56264040">
      <w:numFmt w:val="decimal"/>
      <w:lvlText w:val=""/>
      <w:lvlJc w:val="left"/>
    </w:lvl>
    <w:lvl w:ilvl="5" w:tplc="42C25DD4">
      <w:numFmt w:val="decimal"/>
      <w:lvlText w:val=""/>
      <w:lvlJc w:val="left"/>
    </w:lvl>
    <w:lvl w:ilvl="6" w:tplc="FB68889A">
      <w:numFmt w:val="decimal"/>
      <w:lvlText w:val=""/>
      <w:lvlJc w:val="left"/>
    </w:lvl>
    <w:lvl w:ilvl="7" w:tplc="F974A2F8">
      <w:numFmt w:val="decimal"/>
      <w:lvlText w:val=""/>
      <w:lvlJc w:val="left"/>
    </w:lvl>
    <w:lvl w:ilvl="8" w:tplc="6BDC7A08">
      <w:numFmt w:val="decimal"/>
      <w:lvlText w:val=""/>
      <w:lvlJc w:val="left"/>
    </w:lvl>
  </w:abstractNum>
  <w:abstractNum w:abstractNumId="248" w15:restartNumberingAfterBreak="0">
    <w:nsid w:val="130C556A"/>
    <w:multiLevelType w:val="hybridMultilevel"/>
    <w:tmpl w:val="0BDA10CA"/>
    <w:lvl w:ilvl="0" w:tplc="50900070">
      <w:start w:val="1"/>
      <w:numFmt w:val="bullet"/>
      <w:lvlText w:val=""/>
      <w:lvlJc w:val="left"/>
      <w:pPr>
        <w:ind w:left="720" w:hanging="180"/>
      </w:pPr>
      <w:rPr>
        <w:rFonts w:ascii="Symbol" w:hAnsi="Symbol" w:hint="default"/>
      </w:rPr>
    </w:lvl>
    <w:lvl w:ilvl="1" w:tplc="37368FA0">
      <w:numFmt w:val="decimal"/>
      <w:lvlText w:val=""/>
      <w:lvlJc w:val="left"/>
    </w:lvl>
    <w:lvl w:ilvl="2" w:tplc="96A6C944">
      <w:numFmt w:val="decimal"/>
      <w:lvlText w:val=""/>
      <w:lvlJc w:val="left"/>
    </w:lvl>
    <w:lvl w:ilvl="3" w:tplc="B4361D18">
      <w:numFmt w:val="decimal"/>
      <w:lvlText w:val=""/>
      <w:lvlJc w:val="left"/>
    </w:lvl>
    <w:lvl w:ilvl="4" w:tplc="95045C74">
      <w:numFmt w:val="decimal"/>
      <w:lvlText w:val=""/>
      <w:lvlJc w:val="left"/>
    </w:lvl>
    <w:lvl w:ilvl="5" w:tplc="6AFCA82A">
      <w:numFmt w:val="decimal"/>
      <w:lvlText w:val=""/>
      <w:lvlJc w:val="left"/>
    </w:lvl>
    <w:lvl w:ilvl="6" w:tplc="BCE8B810">
      <w:numFmt w:val="decimal"/>
      <w:lvlText w:val=""/>
      <w:lvlJc w:val="left"/>
    </w:lvl>
    <w:lvl w:ilvl="7" w:tplc="D8ACB8BC">
      <w:numFmt w:val="decimal"/>
      <w:lvlText w:val=""/>
      <w:lvlJc w:val="left"/>
    </w:lvl>
    <w:lvl w:ilvl="8" w:tplc="8A6CE3D6">
      <w:numFmt w:val="decimal"/>
      <w:lvlText w:val=""/>
      <w:lvlJc w:val="left"/>
    </w:lvl>
  </w:abstractNum>
  <w:abstractNum w:abstractNumId="249" w15:restartNumberingAfterBreak="0">
    <w:nsid w:val="131C4A0E"/>
    <w:multiLevelType w:val="hybridMultilevel"/>
    <w:tmpl w:val="80AA8FDE"/>
    <w:lvl w:ilvl="0" w:tplc="E0F23178">
      <w:start w:val="1"/>
      <w:numFmt w:val="bullet"/>
      <w:lvlText w:val=""/>
      <w:lvlJc w:val="left"/>
      <w:pPr>
        <w:ind w:left="720" w:hanging="180"/>
      </w:pPr>
      <w:rPr>
        <w:rFonts w:ascii="Symbol" w:hAnsi="Symbol" w:hint="default"/>
      </w:rPr>
    </w:lvl>
    <w:lvl w:ilvl="1" w:tplc="3F7CFA0A">
      <w:numFmt w:val="decimal"/>
      <w:lvlText w:val=""/>
      <w:lvlJc w:val="left"/>
    </w:lvl>
    <w:lvl w:ilvl="2" w:tplc="0C2E988E">
      <w:numFmt w:val="decimal"/>
      <w:lvlText w:val=""/>
      <w:lvlJc w:val="left"/>
    </w:lvl>
    <w:lvl w:ilvl="3" w:tplc="19D685FA">
      <w:numFmt w:val="decimal"/>
      <w:lvlText w:val=""/>
      <w:lvlJc w:val="left"/>
    </w:lvl>
    <w:lvl w:ilvl="4" w:tplc="26783FC8">
      <w:numFmt w:val="decimal"/>
      <w:lvlText w:val=""/>
      <w:lvlJc w:val="left"/>
    </w:lvl>
    <w:lvl w:ilvl="5" w:tplc="2EF27280">
      <w:numFmt w:val="decimal"/>
      <w:lvlText w:val=""/>
      <w:lvlJc w:val="left"/>
    </w:lvl>
    <w:lvl w:ilvl="6" w:tplc="024A18A0">
      <w:numFmt w:val="decimal"/>
      <w:lvlText w:val=""/>
      <w:lvlJc w:val="left"/>
    </w:lvl>
    <w:lvl w:ilvl="7" w:tplc="1A8CEA90">
      <w:numFmt w:val="decimal"/>
      <w:lvlText w:val=""/>
      <w:lvlJc w:val="left"/>
    </w:lvl>
    <w:lvl w:ilvl="8" w:tplc="2F16B844">
      <w:numFmt w:val="decimal"/>
      <w:lvlText w:val=""/>
      <w:lvlJc w:val="left"/>
    </w:lvl>
  </w:abstractNum>
  <w:abstractNum w:abstractNumId="250" w15:restartNumberingAfterBreak="0">
    <w:nsid w:val="13206C4B"/>
    <w:multiLevelType w:val="hybridMultilevel"/>
    <w:tmpl w:val="AB72BC70"/>
    <w:lvl w:ilvl="0" w:tplc="B9FA2130">
      <w:start w:val="1"/>
      <w:numFmt w:val="bullet"/>
      <w:lvlText w:val=""/>
      <w:lvlJc w:val="left"/>
      <w:pPr>
        <w:ind w:left="720" w:hanging="180"/>
      </w:pPr>
      <w:rPr>
        <w:rFonts w:ascii="Symbol" w:hAnsi="Symbol" w:hint="default"/>
      </w:rPr>
    </w:lvl>
    <w:lvl w:ilvl="1" w:tplc="AD5C2E08">
      <w:numFmt w:val="decimal"/>
      <w:lvlText w:val=""/>
      <w:lvlJc w:val="left"/>
    </w:lvl>
    <w:lvl w:ilvl="2" w:tplc="4A1EC6E4">
      <w:numFmt w:val="decimal"/>
      <w:lvlText w:val=""/>
      <w:lvlJc w:val="left"/>
    </w:lvl>
    <w:lvl w:ilvl="3" w:tplc="A4B8AFEC">
      <w:numFmt w:val="decimal"/>
      <w:lvlText w:val=""/>
      <w:lvlJc w:val="left"/>
    </w:lvl>
    <w:lvl w:ilvl="4" w:tplc="70FE281E">
      <w:numFmt w:val="decimal"/>
      <w:lvlText w:val=""/>
      <w:lvlJc w:val="left"/>
    </w:lvl>
    <w:lvl w:ilvl="5" w:tplc="6128A284">
      <w:numFmt w:val="decimal"/>
      <w:lvlText w:val=""/>
      <w:lvlJc w:val="left"/>
    </w:lvl>
    <w:lvl w:ilvl="6" w:tplc="49BC0DFA">
      <w:numFmt w:val="decimal"/>
      <w:lvlText w:val=""/>
      <w:lvlJc w:val="left"/>
    </w:lvl>
    <w:lvl w:ilvl="7" w:tplc="858A69EA">
      <w:numFmt w:val="decimal"/>
      <w:lvlText w:val=""/>
      <w:lvlJc w:val="left"/>
    </w:lvl>
    <w:lvl w:ilvl="8" w:tplc="A1C8204A">
      <w:numFmt w:val="decimal"/>
      <w:lvlText w:val=""/>
      <w:lvlJc w:val="left"/>
    </w:lvl>
  </w:abstractNum>
  <w:abstractNum w:abstractNumId="251" w15:restartNumberingAfterBreak="0">
    <w:nsid w:val="13444A8A"/>
    <w:multiLevelType w:val="hybridMultilevel"/>
    <w:tmpl w:val="C0E0DE44"/>
    <w:lvl w:ilvl="0" w:tplc="6FDEF81E">
      <w:start w:val="1"/>
      <w:numFmt w:val="bullet"/>
      <w:lvlText w:val=""/>
      <w:lvlJc w:val="left"/>
      <w:pPr>
        <w:ind w:left="720" w:hanging="180"/>
      </w:pPr>
      <w:rPr>
        <w:rFonts w:ascii="Symbol" w:hAnsi="Symbol" w:hint="default"/>
      </w:rPr>
    </w:lvl>
    <w:lvl w:ilvl="1" w:tplc="5FD629BE">
      <w:numFmt w:val="decimal"/>
      <w:lvlText w:val=""/>
      <w:lvlJc w:val="left"/>
    </w:lvl>
    <w:lvl w:ilvl="2" w:tplc="E27EB31E">
      <w:numFmt w:val="decimal"/>
      <w:lvlText w:val=""/>
      <w:lvlJc w:val="left"/>
    </w:lvl>
    <w:lvl w:ilvl="3" w:tplc="2536DA02">
      <w:numFmt w:val="decimal"/>
      <w:lvlText w:val=""/>
      <w:lvlJc w:val="left"/>
    </w:lvl>
    <w:lvl w:ilvl="4" w:tplc="3C9CB1EA">
      <w:numFmt w:val="decimal"/>
      <w:lvlText w:val=""/>
      <w:lvlJc w:val="left"/>
    </w:lvl>
    <w:lvl w:ilvl="5" w:tplc="09CE8A78">
      <w:numFmt w:val="decimal"/>
      <w:lvlText w:val=""/>
      <w:lvlJc w:val="left"/>
    </w:lvl>
    <w:lvl w:ilvl="6" w:tplc="A274A892">
      <w:numFmt w:val="decimal"/>
      <w:lvlText w:val=""/>
      <w:lvlJc w:val="left"/>
    </w:lvl>
    <w:lvl w:ilvl="7" w:tplc="6C625F5E">
      <w:numFmt w:val="decimal"/>
      <w:lvlText w:val=""/>
      <w:lvlJc w:val="left"/>
    </w:lvl>
    <w:lvl w:ilvl="8" w:tplc="F09C5344">
      <w:numFmt w:val="decimal"/>
      <w:lvlText w:val=""/>
      <w:lvlJc w:val="left"/>
    </w:lvl>
  </w:abstractNum>
  <w:abstractNum w:abstractNumId="252" w15:restartNumberingAfterBreak="0">
    <w:nsid w:val="136257C5"/>
    <w:multiLevelType w:val="hybridMultilevel"/>
    <w:tmpl w:val="E7346554"/>
    <w:lvl w:ilvl="0" w:tplc="E0D616EA">
      <w:start w:val="1"/>
      <w:numFmt w:val="bullet"/>
      <w:lvlText w:val=""/>
      <w:lvlJc w:val="left"/>
      <w:pPr>
        <w:ind w:left="720" w:hanging="180"/>
      </w:pPr>
      <w:rPr>
        <w:rFonts w:ascii="Symbol" w:hAnsi="Symbol" w:hint="default"/>
      </w:rPr>
    </w:lvl>
    <w:lvl w:ilvl="1" w:tplc="8FCE5AFE">
      <w:numFmt w:val="decimal"/>
      <w:lvlText w:val=""/>
      <w:lvlJc w:val="left"/>
    </w:lvl>
    <w:lvl w:ilvl="2" w:tplc="4556733E">
      <w:numFmt w:val="decimal"/>
      <w:lvlText w:val=""/>
      <w:lvlJc w:val="left"/>
    </w:lvl>
    <w:lvl w:ilvl="3" w:tplc="B6542304">
      <w:numFmt w:val="decimal"/>
      <w:lvlText w:val=""/>
      <w:lvlJc w:val="left"/>
    </w:lvl>
    <w:lvl w:ilvl="4" w:tplc="D28859D6">
      <w:numFmt w:val="decimal"/>
      <w:lvlText w:val=""/>
      <w:lvlJc w:val="left"/>
    </w:lvl>
    <w:lvl w:ilvl="5" w:tplc="B7CE0ACA">
      <w:numFmt w:val="decimal"/>
      <w:lvlText w:val=""/>
      <w:lvlJc w:val="left"/>
    </w:lvl>
    <w:lvl w:ilvl="6" w:tplc="658C226E">
      <w:numFmt w:val="decimal"/>
      <w:lvlText w:val=""/>
      <w:lvlJc w:val="left"/>
    </w:lvl>
    <w:lvl w:ilvl="7" w:tplc="4BDE1124">
      <w:numFmt w:val="decimal"/>
      <w:lvlText w:val=""/>
      <w:lvlJc w:val="left"/>
    </w:lvl>
    <w:lvl w:ilvl="8" w:tplc="EA2C425A">
      <w:numFmt w:val="decimal"/>
      <w:lvlText w:val=""/>
      <w:lvlJc w:val="left"/>
    </w:lvl>
  </w:abstractNum>
  <w:abstractNum w:abstractNumId="253" w15:restartNumberingAfterBreak="0">
    <w:nsid w:val="136428DF"/>
    <w:multiLevelType w:val="hybridMultilevel"/>
    <w:tmpl w:val="6CDA6D72"/>
    <w:lvl w:ilvl="0" w:tplc="25BE4922">
      <w:start w:val="1"/>
      <w:numFmt w:val="bullet"/>
      <w:lvlText w:val=""/>
      <w:lvlJc w:val="left"/>
      <w:pPr>
        <w:ind w:left="720" w:hanging="180"/>
      </w:pPr>
      <w:rPr>
        <w:rFonts w:ascii="Symbol" w:hAnsi="Symbol" w:hint="default"/>
      </w:rPr>
    </w:lvl>
    <w:lvl w:ilvl="1" w:tplc="1514FDA6">
      <w:numFmt w:val="decimal"/>
      <w:lvlText w:val=""/>
      <w:lvlJc w:val="left"/>
    </w:lvl>
    <w:lvl w:ilvl="2" w:tplc="7B90E412">
      <w:numFmt w:val="decimal"/>
      <w:lvlText w:val=""/>
      <w:lvlJc w:val="left"/>
    </w:lvl>
    <w:lvl w:ilvl="3" w:tplc="3EC46028">
      <w:numFmt w:val="decimal"/>
      <w:lvlText w:val=""/>
      <w:lvlJc w:val="left"/>
    </w:lvl>
    <w:lvl w:ilvl="4" w:tplc="623C0154">
      <w:numFmt w:val="decimal"/>
      <w:lvlText w:val=""/>
      <w:lvlJc w:val="left"/>
    </w:lvl>
    <w:lvl w:ilvl="5" w:tplc="64A45BA8">
      <w:numFmt w:val="decimal"/>
      <w:lvlText w:val=""/>
      <w:lvlJc w:val="left"/>
    </w:lvl>
    <w:lvl w:ilvl="6" w:tplc="A7C023F4">
      <w:numFmt w:val="decimal"/>
      <w:lvlText w:val=""/>
      <w:lvlJc w:val="left"/>
    </w:lvl>
    <w:lvl w:ilvl="7" w:tplc="B5C26D7C">
      <w:numFmt w:val="decimal"/>
      <w:lvlText w:val=""/>
      <w:lvlJc w:val="left"/>
    </w:lvl>
    <w:lvl w:ilvl="8" w:tplc="B8D66728">
      <w:numFmt w:val="decimal"/>
      <w:lvlText w:val=""/>
      <w:lvlJc w:val="left"/>
    </w:lvl>
  </w:abstractNum>
  <w:abstractNum w:abstractNumId="254" w15:restartNumberingAfterBreak="0">
    <w:nsid w:val="1376498E"/>
    <w:multiLevelType w:val="hybridMultilevel"/>
    <w:tmpl w:val="144E73E2"/>
    <w:lvl w:ilvl="0" w:tplc="49C0AA96">
      <w:start w:val="1"/>
      <w:numFmt w:val="bullet"/>
      <w:lvlText w:val=""/>
      <w:lvlJc w:val="left"/>
      <w:pPr>
        <w:ind w:left="720" w:hanging="180"/>
      </w:pPr>
      <w:rPr>
        <w:rFonts w:ascii="Symbol" w:hAnsi="Symbol" w:hint="default"/>
      </w:rPr>
    </w:lvl>
    <w:lvl w:ilvl="1" w:tplc="BCA45D08">
      <w:numFmt w:val="decimal"/>
      <w:lvlText w:val=""/>
      <w:lvlJc w:val="left"/>
    </w:lvl>
    <w:lvl w:ilvl="2" w:tplc="76FC0188">
      <w:numFmt w:val="decimal"/>
      <w:lvlText w:val=""/>
      <w:lvlJc w:val="left"/>
    </w:lvl>
    <w:lvl w:ilvl="3" w:tplc="19900358">
      <w:numFmt w:val="decimal"/>
      <w:lvlText w:val=""/>
      <w:lvlJc w:val="left"/>
    </w:lvl>
    <w:lvl w:ilvl="4" w:tplc="B932325A">
      <w:numFmt w:val="decimal"/>
      <w:lvlText w:val=""/>
      <w:lvlJc w:val="left"/>
    </w:lvl>
    <w:lvl w:ilvl="5" w:tplc="34BC614C">
      <w:numFmt w:val="decimal"/>
      <w:lvlText w:val=""/>
      <w:lvlJc w:val="left"/>
    </w:lvl>
    <w:lvl w:ilvl="6" w:tplc="29843B24">
      <w:numFmt w:val="decimal"/>
      <w:lvlText w:val=""/>
      <w:lvlJc w:val="left"/>
    </w:lvl>
    <w:lvl w:ilvl="7" w:tplc="2B502070">
      <w:numFmt w:val="decimal"/>
      <w:lvlText w:val=""/>
      <w:lvlJc w:val="left"/>
    </w:lvl>
    <w:lvl w:ilvl="8" w:tplc="B456C0EE">
      <w:numFmt w:val="decimal"/>
      <w:lvlText w:val=""/>
      <w:lvlJc w:val="left"/>
    </w:lvl>
  </w:abstractNum>
  <w:abstractNum w:abstractNumId="255" w15:restartNumberingAfterBreak="0">
    <w:nsid w:val="137825C9"/>
    <w:multiLevelType w:val="hybridMultilevel"/>
    <w:tmpl w:val="9A24F70E"/>
    <w:lvl w:ilvl="0" w:tplc="9D508814">
      <w:start w:val="1"/>
      <w:numFmt w:val="bullet"/>
      <w:lvlText w:val=""/>
      <w:lvlJc w:val="left"/>
      <w:pPr>
        <w:ind w:left="720" w:hanging="180"/>
      </w:pPr>
      <w:rPr>
        <w:rFonts w:ascii="Symbol" w:hAnsi="Symbol" w:hint="default"/>
      </w:rPr>
    </w:lvl>
    <w:lvl w:ilvl="1" w:tplc="0D7EFE70">
      <w:numFmt w:val="decimal"/>
      <w:lvlText w:val=""/>
      <w:lvlJc w:val="left"/>
    </w:lvl>
    <w:lvl w:ilvl="2" w:tplc="C95A215C">
      <w:numFmt w:val="decimal"/>
      <w:lvlText w:val=""/>
      <w:lvlJc w:val="left"/>
    </w:lvl>
    <w:lvl w:ilvl="3" w:tplc="437431DE">
      <w:numFmt w:val="decimal"/>
      <w:lvlText w:val=""/>
      <w:lvlJc w:val="left"/>
    </w:lvl>
    <w:lvl w:ilvl="4" w:tplc="8EE8DB1A">
      <w:numFmt w:val="decimal"/>
      <w:lvlText w:val=""/>
      <w:lvlJc w:val="left"/>
    </w:lvl>
    <w:lvl w:ilvl="5" w:tplc="1924E650">
      <w:numFmt w:val="decimal"/>
      <w:lvlText w:val=""/>
      <w:lvlJc w:val="left"/>
    </w:lvl>
    <w:lvl w:ilvl="6" w:tplc="4DA05200">
      <w:numFmt w:val="decimal"/>
      <w:lvlText w:val=""/>
      <w:lvlJc w:val="left"/>
    </w:lvl>
    <w:lvl w:ilvl="7" w:tplc="586EDC68">
      <w:numFmt w:val="decimal"/>
      <w:lvlText w:val=""/>
      <w:lvlJc w:val="left"/>
    </w:lvl>
    <w:lvl w:ilvl="8" w:tplc="04C66E86">
      <w:numFmt w:val="decimal"/>
      <w:lvlText w:val=""/>
      <w:lvlJc w:val="left"/>
    </w:lvl>
  </w:abstractNum>
  <w:abstractNum w:abstractNumId="256" w15:restartNumberingAfterBreak="0">
    <w:nsid w:val="137E0D60"/>
    <w:multiLevelType w:val="hybridMultilevel"/>
    <w:tmpl w:val="AC4A2C6A"/>
    <w:lvl w:ilvl="0" w:tplc="2F32EF56">
      <w:start w:val="1"/>
      <w:numFmt w:val="bullet"/>
      <w:lvlText w:val=""/>
      <w:lvlJc w:val="left"/>
      <w:pPr>
        <w:ind w:left="720" w:hanging="180"/>
      </w:pPr>
      <w:rPr>
        <w:rFonts w:ascii="Symbol" w:hAnsi="Symbol" w:hint="default"/>
      </w:rPr>
    </w:lvl>
    <w:lvl w:ilvl="1" w:tplc="3AEC0310">
      <w:numFmt w:val="decimal"/>
      <w:lvlText w:val=""/>
      <w:lvlJc w:val="left"/>
    </w:lvl>
    <w:lvl w:ilvl="2" w:tplc="B9129DEC">
      <w:numFmt w:val="decimal"/>
      <w:lvlText w:val=""/>
      <w:lvlJc w:val="left"/>
    </w:lvl>
    <w:lvl w:ilvl="3" w:tplc="D7BAB622">
      <w:numFmt w:val="decimal"/>
      <w:lvlText w:val=""/>
      <w:lvlJc w:val="left"/>
    </w:lvl>
    <w:lvl w:ilvl="4" w:tplc="AA6C93F2">
      <w:numFmt w:val="decimal"/>
      <w:lvlText w:val=""/>
      <w:lvlJc w:val="left"/>
    </w:lvl>
    <w:lvl w:ilvl="5" w:tplc="3376C010">
      <w:numFmt w:val="decimal"/>
      <w:lvlText w:val=""/>
      <w:lvlJc w:val="left"/>
    </w:lvl>
    <w:lvl w:ilvl="6" w:tplc="D23E27A2">
      <w:numFmt w:val="decimal"/>
      <w:lvlText w:val=""/>
      <w:lvlJc w:val="left"/>
    </w:lvl>
    <w:lvl w:ilvl="7" w:tplc="D5A23CC6">
      <w:numFmt w:val="decimal"/>
      <w:lvlText w:val=""/>
      <w:lvlJc w:val="left"/>
    </w:lvl>
    <w:lvl w:ilvl="8" w:tplc="C7BE472A">
      <w:numFmt w:val="decimal"/>
      <w:lvlText w:val=""/>
      <w:lvlJc w:val="left"/>
    </w:lvl>
  </w:abstractNum>
  <w:abstractNum w:abstractNumId="257" w15:restartNumberingAfterBreak="0">
    <w:nsid w:val="1393167D"/>
    <w:multiLevelType w:val="hybridMultilevel"/>
    <w:tmpl w:val="F522DF72"/>
    <w:lvl w:ilvl="0" w:tplc="9E3E5014">
      <w:start w:val="1"/>
      <w:numFmt w:val="bullet"/>
      <w:lvlText w:val=""/>
      <w:lvlJc w:val="left"/>
      <w:pPr>
        <w:ind w:left="720" w:hanging="180"/>
      </w:pPr>
      <w:rPr>
        <w:rFonts w:ascii="Symbol" w:hAnsi="Symbol" w:hint="default"/>
      </w:rPr>
    </w:lvl>
    <w:lvl w:ilvl="1" w:tplc="8EE80170">
      <w:numFmt w:val="decimal"/>
      <w:lvlText w:val=""/>
      <w:lvlJc w:val="left"/>
    </w:lvl>
    <w:lvl w:ilvl="2" w:tplc="A0E27B92">
      <w:numFmt w:val="decimal"/>
      <w:lvlText w:val=""/>
      <w:lvlJc w:val="left"/>
    </w:lvl>
    <w:lvl w:ilvl="3" w:tplc="FA4A6D06">
      <w:numFmt w:val="decimal"/>
      <w:lvlText w:val=""/>
      <w:lvlJc w:val="left"/>
    </w:lvl>
    <w:lvl w:ilvl="4" w:tplc="F59AD6FE">
      <w:numFmt w:val="decimal"/>
      <w:lvlText w:val=""/>
      <w:lvlJc w:val="left"/>
    </w:lvl>
    <w:lvl w:ilvl="5" w:tplc="4538D3C4">
      <w:numFmt w:val="decimal"/>
      <w:lvlText w:val=""/>
      <w:lvlJc w:val="left"/>
    </w:lvl>
    <w:lvl w:ilvl="6" w:tplc="84CCEBCA">
      <w:numFmt w:val="decimal"/>
      <w:lvlText w:val=""/>
      <w:lvlJc w:val="left"/>
    </w:lvl>
    <w:lvl w:ilvl="7" w:tplc="333E322E">
      <w:numFmt w:val="decimal"/>
      <w:lvlText w:val=""/>
      <w:lvlJc w:val="left"/>
    </w:lvl>
    <w:lvl w:ilvl="8" w:tplc="6AFE28D6">
      <w:numFmt w:val="decimal"/>
      <w:lvlText w:val=""/>
      <w:lvlJc w:val="left"/>
    </w:lvl>
  </w:abstractNum>
  <w:abstractNum w:abstractNumId="258" w15:restartNumberingAfterBreak="0">
    <w:nsid w:val="13932BEC"/>
    <w:multiLevelType w:val="hybridMultilevel"/>
    <w:tmpl w:val="7E2AAA18"/>
    <w:lvl w:ilvl="0" w:tplc="0DC6EB6E">
      <w:start w:val="1"/>
      <w:numFmt w:val="bullet"/>
      <w:lvlText w:val=""/>
      <w:lvlJc w:val="left"/>
      <w:pPr>
        <w:ind w:left="720" w:hanging="180"/>
      </w:pPr>
      <w:rPr>
        <w:rFonts w:ascii="Symbol" w:hAnsi="Symbol" w:hint="default"/>
      </w:rPr>
    </w:lvl>
    <w:lvl w:ilvl="1" w:tplc="962A7468">
      <w:numFmt w:val="decimal"/>
      <w:lvlText w:val=""/>
      <w:lvlJc w:val="left"/>
    </w:lvl>
    <w:lvl w:ilvl="2" w:tplc="5EF439A4">
      <w:numFmt w:val="decimal"/>
      <w:lvlText w:val=""/>
      <w:lvlJc w:val="left"/>
    </w:lvl>
    <w:lvl w:ilvl="3" w:tplc="BAB64ADC">
      <w:numFmt w:val="decimal"/>
      <w:lvlText w:val=""/>
      <w:lvlJc w:val="left"/>
    </w:lvl>
    <w:lvl w:ilvl="4" w:tplc="4F5C135E">
      <w:numFmt w:val="decimal"/>
      <w:lvlText w:val=""/>
      <w:lvlJc w:val="left"/>
    </w:lvl>
    <w:lvl w:ilvl="5" w:tplc="66485D08">
      <w:numFmt w:val="decimal"/>
      <w:lvlText w:val=""/>
      <w:lvlJc w:val="left"/>
    </w:lvl>
    <w:lvl w:ilvl="6" w:tplc="9300E786">
      <w:numFmt w:val="decimal"/>
      <w:lvlText w:val=""/>
      <w:lvlJc w:val="left"/>
    </w:lvl>
    <w:lvl w:ilvl="7" w:tplc="88C469D4">
      <w:numFmt w:val="decimal"/>
      <w:lvlText w:val=""/>
      <w:lvlJc w:val="left"/>
    </w:lvl>
    <w:lvl w:ilvl="8" w:tplc="5B90FDD2">
      <w:numFmt w:val="decimal"/>
      <w:lvlText w:val=""/>
      <w:lvlJc w:val="left"/>
    </w:lvl>
  </w:abstractNum>
  <w:abstractNum w:abstractNumId="259" w15:restartNumberingAfterBreak="0">
    <w:nsid w:val="13B250EA"/>
    <w:multiLevelType w:val="hybridMultilevel"/>
    <w:tmpl w:val="C1D45A86"/>
    <w:lvl w:ilvl="0" w:tplc="47D2B034">
      <w:start w:val="1"/>
      <w:numFmt w:val="bullet"/>
      <w:lvlText w:val=""/>
      <w:lvlJc w:val="left"/>
      <w:pPr>
        <w:ind w:left="720" w:hanging="180"/>
      </w:pPr>
      <w:rPr>
        <w:rFonts w:ascii="Symbol" w:hAnsi="Symbol" w:hint="default"/>
      </w:rPr>
    </w:lvl>
    <w:lvl w:ilvl="1" w:tplc="696A7C92">
      <w:numFmt w:val="decimal"/>
      <w:lvlText w:val=""/>
      <w:lvlJc w:val="left"/>
    </w:lvl>
    <w:lvl w:ilvl="2" w:tplc="62CA462E">
      <w:numFmt w:val="decimal"/>
      <w:lvlText w:val=""/>
      <w:lvlJc w:val="left"/>
    </w:lvl>
    <w:lvl w:ilvl="3" w:tplc="BF2A4520">
      <w:numFmt w:val="decimal"/>
      <w:lvlText w:val=""/>
      <w:lvlJc w:val="left"/>
    </w:lvl>
    <w:lvl w:ilvl="4" w:tplc="2AA2F096">
      <w:numFmt w:val="decimal"/>
      <w:lvlText w:val=""/>
      <w:lvlJc w:val="left"/>
    </w:lvl>
    <w:lvl w:ilvl="5" w:tplc="464AE73C">
      <w:numFmt w:val="decimal"/>
      <w:lvlText w:val=""/>
      <w:lvlJc w:val="left"/>
    </w:lvl>
    <w:lvl w:ilvl="6" w:tplc="8F0C4634">
      <w:numFmt w:val="decimal"/>
      <w:lvlText w:val=""/>
      <w:lvlJc w:val="left"/>
    </w:lvl>
    <w:lvl w:ilvl="7" w:tplc="A93C16CA">
      <w:numFmt w:val="decimal"/>
      <w:lvlText w:val=""/>
      <w:lvlJc w:val="left"/>
    </w:lvl>
    <w:lvl w:ilvl="8" w:tplc="A856774A">
      <w:numFmt w:val="decimal"/>
      <w:lvlText w:val=""/>
      <w:lvlJc w:val="left"/>
    </w:lvl>
  </w:abstractNum>
  <w:abstractNum w:abstractNumId="260" w15:restartNumberingAfterBreak="0">
    <w:nsid w:val="13C1785B"/>
    <w:multiLevelType w:val="hybridMultilevel"/>
    <w:tmpl w:val="2D544908"/>
    <w:lvl w:ilvl="0" w:tplc="3C18BAFE">
      <w:start w:val="1"/>
      <w:numFmt w:val="bullet"/>
      <w:lvlText w:val=""/>
      <w:lvlJc w:val="left"/>
      <w:pPr>
        <w:ind w:left="720" w:hanging="180"/>
      </w:pPr>
      <w:rPr>
        <w:rFonts w:ascii="Symbol" w:hAnsi="Symbol" w:hint="default"/>
      </w:rPr>
    </w:lvl>
    <w:lvl w:ilvl="1" w:tplc="5A169786">
      <w:numFmt w:val="decimal"/>
      <w:lvlText w:val=""/>
      <w:lvlJc w:val="left"/>
    </w:lvl>
    <w:lvl w:ilvl="2" w:tplc="9CC00376">
      <w:numFmt w:val="decimal"/>
      <w:lvlText w:val=""/>
      <w:lvlJc w:val="left"/>
    </w:lvl>
    <w:lvl w:ilvl="3" w:tplc="333AC274">
      <w:numFmt w:val="decimal"/>
      <w:lvlText w:val=""/>
      <w:lvlJc w:val="left"/>
    </w:lvl>
    <w:lvl w:ilvl="4" w:tplc="68B20864">
      <w:numFmt w:val="decimal"/>
      <w:lvlText w:val=""/>
      <w:lvlJc w:val="left"/>
    </w:lvl>
    <w:lvl w:ilvl="5" w:tplc="388A879C">
      <w:numFmt w:val="decimal"/>
      <w:lvlText w:val=""/>
      <w:lvlJc w:val="left"/>
    </w:lvl>
    <w:lvl w:ilvl="6" w:tplc="0F92CC80">
      <w:numFmt w:val="decimal"/>
      <w:lvlText w:val=""/>
      <w:lvlJc w:val="left"/>
    </w:lvl>
    <w:lvl w:ilvl="7" w:tplc="DF1858AE">
      <w:numFmt w:val="decimal"/>
      <w:lvlText w:val=""/>
      <w:lvlJc w:val="left"/>
    </w:lvl>
    <w:lvl w:ilvl="8" w:tplc="7462533A">
      <w:numFmt w:val="decimal"/>
      <w:lvlText w:val=""/>
      <w:lvlJc w:val="left"/>
    </w:lvl>
  </w:abstractNum>
  <w:abstractNum w:abstractNumId="261" w15:restartNumberingAfterBreak="0">
    <w:nsid w:val="13CA5E0F"/>
    <w:multiLevelType w:val="hybridMultilevel"/>
    <w:tmpl w:val="5FD24F4E"/>
    <w:lvl w:ilvl="0" w:tplc="C27483B4">
      <w:start w:val="1"/>
      <w:numFmt w:val="bullet"/>
      <w:lvlText w:val=""/>
      <w:lvlJc w:val="left"/>
      <w:pPr>
        <w:ind w:left="720" w:hanging="180"/>
      </w:pPr>
      <w:rPr>
        <w:rFonts w:ascii="Symbol" w:hAnsi="Symbol" w:hint="default"/>
      </w:rPr>
    </w:lvl>
    <w:lvl w:ilvl="1" w:tplc="2CE8473C">
      <w:numFmt w:val="decimal"/>
      <w:lvlText w:val=""/>
      <w:lvlJc w:val="left"/>
    </w:lvl>
    <w:lvl w:ilvl="2" w:tplc="5C98CD64">
      <w:numFmt w:val="decimal"/>
      <w:lvlText w:val=""/>
      <w:lvlJc w:val="left"/>
    </w:lvl>
    <w:lvl w:ilvl="3" w:tplc="31ACD876">
      <w:numFmt w:val="decimal"/>
      <w:lvlText w:val=""/>
      <w:lvlJc w:val="left"/>
    </w:lvl>
    <w:lvl w:ilvl="4" w:tplc="D01679E6">
      <w:numFmt w:val="decimal"/>
      <w:lvlText w:val=""/>
      <w:lvlJc w:val="left"/>
    </w:lvl>
    <w:lvl w:ilvl="5" w:tplc="C802AEFC">
      <w:numFmt w:val="decimal"/>
      <w:lvlText w:val=""/>
      <w:lvlJc w:val="left"/>
    </w:lvl>
    <w:lvl w:ilvl="6" w:tplc="A51EF548">
      <w:numFmt w:val="decimal"/>
      <w:lvlText w:val=""/>
      <w:lvlJc w:val="left"/>
    </w:lvl>
    <w:lvl w:ilvl="7" w:tplc="6BCCD29A">
      <w:numFmt w:val="decimal"/>
      <w:lvlText w:val=""/>
      <w:lvlJc w:val="left"/>
    </w:lvl>
    <w:lvl w:ilvl="8" w:tplc="0FD6C65C">
      <w:numFmt w:val="decimal"/>
      <w:lvlText w:val=""/>
      <w:lvlJc w:val="left"/>
    </w:lvl>
  </w:abstractNum>
  <w:abstractNum w:abstractNumId="262" w15:restartNumberingAfterBreak="0">
    <w:nsid w:val="13CC3905"/>
    <w:multiLevelType w:val="hybridMultilevel"/>
    <w:tmpl w:val="767A8634"/>
    <w:lvl w:ilvl="0" w:tplc="1DFEFEC4">
      <w:numFmt w:val="decimal"/>
      <w:lvlText w:val=""/>
      <w:lvlJc w:val="left"/>
    </w:lvl>
    <w:lvl w:ilvl="1" w:tplc="69A0C084">
      <w:start w:val="1"/>
      <w:numFmt w:val="bullet"/>
      <w:lvlText w:val=""/>
      <w:lvlJc w:val="left"/>
      <w:pPr>
        <w:ind w:left="1440" w:hanging="180"/>
      </w:pPr>
      <w:rPr>
        <w:rFonts w:ascii="Symbol" w:hAnsi="Symbol" w:hint="default"/>
      </w:rPr>
    </w:lvl>
    <w:lvl w:ilvl="2" w:tplc="43C2ED2A">
      <w:numFmt w:val="decimal"/>
      <w:lvlText w:val=""/>
      <w:lvlJc w:val="left"/>
    </w:lvl>
    <w:lvl w:ilvl="3" w:tplc="FEBE7B00">
      <w:numFmt w:val="decimal"/>
      <w:lvlText w:val=""/>
      <w:lvlJc w:val="left"/>
    </w:lvl>
    <w:lvl w:ilvl="4" w:tplc="3E468284">
      <w:numFmt w:val="decimal"/>
      <w:lvlText w:val=""/>
      <w:lvlJc w:val="left"/>
    </w:lvl>
    <w:lvl w:ilvl="5" w:tplc="81BC7F3C">
      <w:numFmt w:val="decimal"/>
      <w:lvlText w:val=""/>
      <w:lvlJc w:val="left"/>
    </w:lvl>
    <w:lvl w:ilvl="6" w:tplc="823CD9B2">
      <w:numFmt w:val="decimal"/>
      <w:lvlText w:val=""/>
      <w:lvlJc w:val="left"/>
    </w:lvl>
    <w:lvl w:ilvl="7" w:tplc="0B889BE2">
      <w:numFmt w:val="decimal"/>
      <w:lvlText w:val=""/>
      <w:lvlJc w:val="left"/>
    </w:lvl>
    <w:lvl w:ilvl="8" w:tplc="B9268BBA">
      <w:numFmt w:val="decimal"/>
      <w:lvlText w:val=""/>
      <w:lvlJc w:val="left"/>
    </w:lvl>
  </w:abstractNum>
  <w:abstractNum w:abstractNumId="263" w15:restartNumberingAfterBreak="0">
    <w:nsid w:val="13D74244"/>
    <w:multiLevelType w:val="hybridMultilevel"/>
    <w:tmpl w:val="C9AA2BA2"/>
    <w:lvl w:ilvl="0" w:tplc="6C4AC26E">
      <w:start w:val="1"/>
      <w:numFmt w:val="bullet"/>
      <w:lvlText w:val=""/>
      <w:lvlJc w:val="left"/>
      <w:pPr>
        <w:ind w:left="720" w:hanging="180"/>
      </w:pPr>
      <w:rPr>
        <w:rFonts w:ascii="Symbol" w:hAnsi="Symbol" w:hint="default"/>
      </w:rPr>
    </w:lvl>
    <w:lvl w:ilvl="1" w:tplc="68562F16">
      <w:numFmt w:val="decimal"/>
      <w:lvlText w:val=""/>
      <w:lvlJc w:val="left"/>
    </w:lvl>
    <w:lvl w:ilvl="2" w:tplc="B678AE40">
      <w:numFmt w:val="decimal"/>
      <w:lvlText w:val=""/>
      <w:lvlJc w:val="left"/>
    </w:lvl>
    <w:lvl w:ilvl="3" w:tplc="6F6C0204">
      <w:numFmt w:val="decimal"/>
      <w:lvlText w:val=""/>
      <w:lvlJc w:val="left"/>
    </w:lvl>
    <w:lvl w:ilvl="4" w:tplc="A740DE9A">
      <w:numFmt w:val="decimal"/>
      <w:lvlText w:val=""/>
      <w:lvlJc w:val="left"/>
    </w:lvl>
    <w:lvl w:ilvl="5" w:tplc="70E20BC2">
      <w:numFmt w:val="decimal"/>
      <w:lvlText w:val=""/>
      <w:lvlJc w:val="left"/>
    </w:lvl>
    <w:lvl w:ilvl="6" w:tplc="5060F784">
      <w:numFmt w:val="decimal"/>
      <w:lvlText w:val=""/>
      <w:lvlJc w:val="left"/>
    </w:lvl>
    <w:lvl w:ilvl="7" w:tplc="05CCA8FA">
      <w:numFmt w:val="decimal"/>
      <w:lvlText w:val=""/>
      <w:lvlJc w:val="left"/>
    </w:lvl>
    <w:lvl w:ilvl="8" w:tplc="0F885872">
      <w:numFmt w:val="decimal"/>
      <w:lvlText w:val=""/>
      <w:lvlJc w:val="left"/>
    </w:lvl>
  </w:abstractNum>
  <w:abstractNum w:abstractNumId="264" w15:restartNumberingAfterBreak="0">
    <w:nsid w:val="14011B64"/>
    <w:multiLevelType w:val="hybridMultilevel"/>
    <w:tmpl w:val="09A41206"/>
    <w:lvl w:ilvl="0" w:tplc="DE5C2236">
      <w:start w:val="1"/>
      <w:numFmt w:val="bullet"/>
      <w:lvlText w:val=""/>
      <w:lvlJc w:val="left"/>
      <w:pPr>
        <w:ind w:left="720" w:hanging="180"/>
      </w:pPr>
      <w:rPr>
        <w:rFonts w:ascii="Symbol" w:hAnsi="Symbol" w:hint="default"/>
      </w:rPr>
    </w:lvl>
    <w:lvl w:ilvl="1" w:tplc="BA04B35A">
      <w:numFmt w:val="decimal"/>
      <w:lvlText w:val=""/>
      <w:lvlJc w:val="left"/>
    </w:lvl>
    <w:lvl w:ilvl="2" w:tplc="F2B21C50">
      <w:numFmt w:val="decimal"/>
      <w:lvlText w:val=""/>
      <w:lvlJc w:val="left"/>
    </w:lvl>
    <w:lvl w:ilvl="3" w:tplc="7DCEEE4E">
      <w:numFmt w:val="decimal"/>
      <w:lvlText w:val=""/>
      <w:lvlJc w:val="left"/>
    </w:lvl>
    <w:lvl w:ilvl="4" w:tplc="BAE6BC1A">
      <w:numFmt w:val="decimal"/>
      <w:lvlText w:val=""/>
      <w:lvlJc w:val="left"/>
    </w:lvl>
    <w:lvl w:ilvl="5" w:tplc="B86C96A2">
      <w:numFmt w:val="decimal"/>
      <w:lvlText w:val=""/>
      <w:lvlJc w:val="left"/>
    </w:lvl>
    <w:lvl w:ilvl="6" w:tplc="6C2645A8">
      <w:numFmt w:val="decimal"/>
      <w:lvlText w:val=""/>
      <w:lvlJc w:val="left"/>
    </w:lvl>
    <w:lvl w:ilvl="7" w:tplc="C3562C48">
      <w:numFmt w:val="decimal"/>
      <w:lvlText w:val=""/>
      <w:lvlJc w:val="left"/>
    </w:lvl>
    <w:lvl w:ilvl="8" w:tplc="48E4D9B2">
      <w:numFmt w:val="decimal"/>
      <w:lvlText w:val=""/>
      <w:lvlJc w:val="left"/>
    </w:lvl>
  </w:abstractNum>
  <w:abstractNum w:abstractNumId="265" w15:restartNumberingAfterBreak="0">
    <w:nsid w:val="140527D3"/>
    <w:multiLevelType w:val="hybridMultilevel"/>
    <w:tmpl w:val="F2101510"/>
    <w:lvl w:ilvl="0" w:tplc="54EC7A80">
      <w:start w:val="1"/>
      <w:numFmt w:val="bullet"/>
      <w:lvlText w:val=""/>
      <w:lvlJc w:val="left"/>
      <w:pPr>
        <w:ind w:left="720" w:hanging="180"/>
      </w:pPr>
      <w:rPr>
        <w:rFonts w:ascii="Symbol" w:hAnsi="Symbol" w:hint="default"/>
      </w:rPr>
    </w:lvl>
    <w:lvl w:ilvl="1" w:tplc="FC62EA62">
      <w:numFmt w:val="decimal"/>
      <w:lvlText w:val=""/>
      <w:lvlJc w:val="left"/>
    </w:lvl>
    <w:lvl w:ilvl="2" w:tplc="5F363844">
      <w:numFmt w:val="decimal"/>
      <w:lvlText w:val=""/>
      <w:lvlJc w:val="left"/>
    </w:lvl>
    <w:lvl w:ilvl="3" w:tplc="F710CA64">
      <w:numFmt w:val="decimal"/>
      <w:lvlText w:val=""/>
      <w:lvlJc w:val="left"/>
    </w:lvl>
    <w:lvl w:ilvl="4" w:tplc="F42613EE">
      <w:numFmt w:val="decimal"/>
      <w:lvlText w:val=""/>
      <w:lvlJc w:val="left"/>
    </w:lvl>
    <w:lvl w:ilvl="5" w:tplc="E6E2ED48">
      <w:numFmt w:val="decimal"/>
      <w:lvlText w:val=""/>
      <w:lvlJc w:val="left"/>
    </w:lvl>
    <w:lvl w:ilvl="6" w:tplc="ABAC989C">
      <w:numFmt w:val="decimal"/>
      <w:lvlText w:val=""/>
      <w:lvlJc w:val="left"/>
    </w:lvl>
    <w:lvl w:ilvl="7" w:tplc="158AA54A">
      <w:numFmt w:val="decimal"/>
      <w:lvlText w:val=""/>
      <w:lvlJc w:val="left"/>
    </w:lvl>
    <w:lvl w:ilvl="8" w:tplc="86F2983A">
      <w:numFmt w:val="decimal"/>
      <w:lvlText w:val=""/>
      <w:lvlJc w:val="left"/>
    </w:lvl>
  </w:abstractNum>
  <w:abstractNum w:abstractNumId="266" w15:restartNumberingAfterBreak="0">
    <w:nsid w:val="142572A8"/>
    <w:multiLevelType w:val="hybridMultilevel"/>
    <w:tmpl w:val="DD548D0E"/>
    <w:lvl w:ilvl="0" w:tplc="DBD29AA0">
      <w:start w:val="1"/>
      <w:numFmt w:val="bullet"/>
      <w:lvlText w:val=""/>
      <w:lvlJc w:val="left"/>
      <w:pPr>
        <w:ind w:left="720" w:hanging="180"/>
      </w:pPr>
      <w:rPr>
        <w:rFonts w:ascii="Symbol" w:hAnsi="Symbol" w:hint="default"/>
      </w:rPr>
    </w:lvl>
    <w:lvl w:ilvl="1" w:tplc="5AA85D50">
      <w:numFmt w:val="decimal"/>
      <w:lvlText w:val=""/>
      <w:lvlJc w:val="left"/>
    </w:lvl>
    <w:lvl w:ilvl="2" w:tplc="2C1C72BC">
      <w:numFmt w:val="decimal"/>
      <w:lvlText w:val=""/>
      <w:lvlJc w:val="left"/>
    </w:lvl>
    <w:lvl w:ilvl="3" w:tplc="211C9FF2">
      <w:numFmt w:val="decimal"/>
      <w:lvlText w:val=""/>
      <w:lvlJc w:val="left"/>
    </w:lvl>
    <w:lvl w:ilvl="4" w:tplc="A2B8DA92">
      <w:numFmt w:val="decimal"/>
      <w:lvlText w:val=""/>
      <w:lvlJc w:val="left"/>
    </w:lvl>
    <w:lvl w:ilvl="5" w:tplc="9DDED018">
      <w:numFmt w:val="decimal"/>
      <w:lvlText w:val=""/>
      <w:lvlJc w:val="left"/>
    </w:lvl>
    <w:lvl w:ilvl="6" w:tplc="A9BAEDDA">
      <w:numFmt w:val="decimal"/>
      <w:lvlText w:val=""/>
      <w:lvlJc w:val="left"/>
    </w:lvl>
    <w:lvl w:ilvl="7" w:tplc="84AAE8FE">
      <w:numFmt w:val="decimal"/>
      <w:lvlText w:val=""/>
      <w:lvlJc w:val="left"/>
    </w:lvl>
    <w:lvl w:ilvl="8" w:tplc="F45E623C">
      <w:numFmt w:val="decimal"/>
      <w:lvlText w:val=""/>
      <w:lvlJc w:val="left"/>
    </w:lvl>
  </w:abstractNum>
  <w:abstractNum w:abstractNumId="267" w15:restartNumberingAfterBreak="0">
    <w:nsid w:val="142A519F"/>
    <w:multiLevelType w:val="hybridMultilevel"/>
    <w:tmpl w:val="30021842"/>
    <w:lvl w:ilvl="0" w:tplc="FB0A40A0">
      <w:start w:val="1"/>
      <w:numFmt w:val="bullet"/>
      <w:lvlText w:val=""/>
      <w:lvlJc w:val="left"/>
      <w:pPr>
        <w:ind w:left="720" w:hanging="180"/>
      </w:pPr>
      <w:rPr>
        <w:rFonts w:ascii="Symbol" w:hAnsi="Symbol" w:hint="default"/>
      </w:rPr>
    </w:lvl>
    <w:lvl w:ilvl="1" w:tplc="98AC84DA">
      <w:numFmt w:val="decimal"/>
      <w:lvlText w:val=""/>
      <w:lvlJc w:val="left"/>
    </w:lvl>
    <w:lvl w:ilvl="2" w:tplc="3B48C12A">
      <w:numFmt w:val="decimal"/>
      <w:lvlText w:val=""/>
      <w:lvlJc w:val="left"/>
    </w:lvl>
    <w:lvl w:ilvl="3" w:tplc="0808662A">
      <w:numFmt w:val="decimal"/>
      <w:lvlText w:val=""/>
      <w:lvlJc w:val="left"/>
    </w:lvl>
    <w:lvl w:ilvl="4" w:tplc="CE96EBDE">
      <w:numFmt w:val="decimal"/>
      <w:lvlText w:val=""/>
      <w:lvlJc w:val="left"/>
    </w:lvl>
    <w:lvl w:ilvl="5" w:tplc="2E7CA7D6">
      <w:numFmt w:val="decimal"/>
      <w:lvlText w:val=""/>
      <w:lvlJc w:val="left"/>
    </w:lvl>
    <w:lvl w:ilvl="6" w:tplc="6D66764A">
      <w:numFmt w:val="decimal"/>
      <w:lvlText w:val=""/>
      <w:lvlJc w:val="left"/>
    </w:lvl>
    <w:lvl w:ilvl="7" w:tplc="72768788">
      <w:numFmt w:val="decimal"/>
      <w:lvlText w:val=""/>
      <w:lvlJc w:val="left"/>
    </w:lvl>
    <w:lvl w:ilvl="8" w:tplc="F5AEC01E">
      <w:numFmt w:val="decimal"/>
      <w:lvlText w:val=""/>
      <w:lvlJc w:val="left"/>
    </w:lvl>
  </w:abstractNum>
  <w:abstractNum w:abstractNumId="268" w15:restartNumberingAfterBreak="0">
    <w:nsid w:val="14443B58"/>
    <w:multiLevelType w:val="hybridMultilevel"/>
    <w:tmpl w:val="E35CC176"/>
    <w:lvl w:ilvl="0" w:tplc="55F4F2AC">
      <w:start w:val="1"/>
      <w:numFmt w:val="bullet"/>
      <w:lvlText w:val=""/>
      <w:lvlJc w:val="left"/>
      <w:pPr>
        <w:ind w:left="720" w:hanging="180"/>
      </w:pPr>
      <w:rPr>
        <w:rFonts w:ascii="Symbol" w:hAnsi="Symbol" w:hint="default"/>
      </w:rPr>
    </w:lvl>
    <w:lvl w:ilvl="1" w:tplc="31947FDC">
      <w:numFmt w:val="decimal"/>
      <w:lvlText w:val=""/>
      <w:lvlJc w:val="left"/>
    </w:lvl>
    <w:lvl w:ilvl="2" w:tplc="B1746432">
      <w:numFmt w:val="decimal"/>
      <w:lvlText w:val=""/>
      <w:lvlJc w:val="left"/>
    </w:lvl>
    <w:lvl w:ilvl="3" w:tplc="622801CA">
      <w:numFmt w:val="decimal"/>
      <w:lvlText w:val=""/>
      <w:lvlJc w:val="left"/>
    </w:lvl>
    <w:lvl w:ilvl="4" w:tplc="EE56068E">
      <w:numFmt w:val="decimal"/>
      <w:lvlText w:val=""/>
      <w:lvlJc w:val="left"/>
    </w:lvl>
    <w:lvl w:ilvl="5" w:tplc="BAD05BA4">
      <w:numFmt w:val="decimal"/>
      <w:lvlText w:val=""/>
      <w:lvlJc w:val="left"/>
    </w:lvl>
    <w:lvl w:ilvl="6" w:tplc="2528D28E">
      <w:numFmt w:val="decimal"/>
      <w:lvlText w:val=""/>
      <w:lvlJc w:val="left"/>
    </w:lvl>
    <w:lvl w:ilvl="7" w:tplc="37A047BE">
      <w:numFmt w:val="decimal"/>
      <w:lvlText w:val=""/>
      <w:lvlJc w:val="left"/>
    </w:lvl>
    <w:lvl w:ilvl="8" w:tplc="9006A4D6">
      <w:numFmt w:val="decimal"/>
      <w:lvlText w:val=""/>
      <w:lvlJc w:val="left"/>
    </w:lvl>
  </w:abstractNum>
  <w:abstractNum w:abstractNumId="269" w15:restartNumberingAfterBreak="0">
    <w:nsid w:val="14454169"/>
    <w:multiLevelType w:val="hybridMultilevel"/>
    <w:tmpl w:val="21F87748"/>
    <w:lvl w:ilvl="0" w:tplc="A9C22C70">
      <w:start w:val="1"/>
      <w:numFmt w:val="bullet"/>
      <w:lvlText w:val=""/>
      <w:lvlJc w:val="left"/>
      <w:pPr>
        <w:ind w:left="720" w:hanging="180"/>
      </w:pPr>
      <w:rPr>
        <w:rFonts w:ascii="Symbol" w:hAnsi="Symbol" w:hint="default"/>
      </w:rPr>
    </w:lvl>
    <w:lvl w:ilvl="1" w:tplc="49E8A570">
      <w:numFmt w:val="decimal"/>
      <w:lvlText w:val=""/>
      <w:lvlJc w:val="left"/>
    </w:lvl>
    <w:lvl w:ilvl="2" w:tplc="44584164">
      <w:numFmt w:val="decimal"/>
      <w:lvlText w:val=""/>
      <w:lvlJc w:val="left"/>
    </w:lvl>
    <w:lvl w:ilvl="3" w:tplc="F828CA3A">
      <w:numFmt w:val="decimal"/>
      <w:lvlText w:val=""/>
      <w:lvlJc w:val="left"/>
    </w:lvl>
    <w:lvl w:ilvl="4" w:tplc="A33A7378">
      <w:numFmt w:val="decimal"/>
      <w:lvlText w:val=""/>
      <w:lvlJc w:val="left"/>
    </w:lvl>
    <w:lvl w:ilvl="5" w:tplc="2A426BE2">
      <w:numFmt w:val="decimal"/>
      <w:lvlText w:val=""/>
      <w:lvlJc w:val="left"/>
    </w:lvl>
    <w:lvl w:ilvl="6" w:tplc="300A46C8">
      <w:numFmt w:val="decimal"/>
      <w:lvlText w:val=""/>
      <w:lvlJc w:val="left"/>
    </w:lvl>
    <w:lvl w:ilvl="7" w:tplc="C67AD326">
      <w:numFmt w:val="decimal"/>
      <w:lvlText w:val=""/>
      <w:lvlJc w:val="left"/>
    </w:lvl>
    <w:lvl w:ilvl="8" w:tplc="EDCA1A0A">
      <w:numFmt w:val="decimal"/>
      <w:lvlText w:val=""/>
      <w:lvlJc w:val="left"/>
    </w:lvl>
  </w:abstractNum>
  <w:abstractNum w:abstractNumId="270" w15:restartNumberingAfterBreak="0">
    <w:nsid w:val="144A0616"/>
    <w:multiLevelType w:val="hybridMultilevel"/>
    <w:tmpl w:val="6D86201A"/>
    <w:lvl w:ilvl="0" w:tplc="E18ECADA">
      <w:start w:val="1"/>
      <w:numFmt w:val="bullet"/>
      <w:lvlText w:val=""/>
      <w:lvlJc w:val="left"/>
      <w:pPr>
        <w:ind w:left="720" w:hanging="180"/>
      </w:pPr>
      <w:rPr>
        <w:rFonts w:ascii="Symbol" w:hAnsi="Symbol" w:hint="default"/>
      </w:rPr>
    </w:lvl>
    <w:lvl w:ilvl="1" w:tplc="9BB627D6">
      <w:numFmt w:val="decimal"/>
      <w:lvlText w:val=""/>
      <w:lvlJc w:val="left"/>
    </w:lvl>
    <w:lvl w:ilvl="2" w:tplc="BAFAAD70">
      <w:numFmt w:val="decimal"/>
      <w:lvlText w:val=""/>
      <w:lvlJc w:val="left"/>
    </w:lvl>
    <w:lvl w:ilvl="3" w:tplc="389ABF36">
      <w:numFmt w:val="decimal"/>
      <w:lvlText w:val=""/>
      <w:lvlJc w:val="left"/>
    </w:lvl>
    <w:lvl w:ilvl="4" w:tplc="1DDE3500">
      <w:numFmt w:val="decimal"/>
      <w:lvlText w:val=""/>
      <w:lvlJc w:val="left"/>
    </w:lvl>
    <w:lvl w:ilvl="5" w:tplc="93D24894">
      <w:numFmt w:val="decimal"/>
      <w:lvlText w:val=""/>
      <w:lvlJc w:val="left"/>
    </w:lvl>
    <w:lvl w:ilvl="6" w:tplc="E81E4536">
      <w:numFmt w:val="decimal"/>
      <w:lvlText w:val=""/>
      <w:lvlJc w:val="left"/>
    </w:lvl>
    <w:lvl w:ilvl="7" w:tplc="93522E38">
      <w:numFmt w:val="decimal"/>
      <w:lvlText w:val=""/>
      <w:lvlJc w:val="left"/>
    </w:lvl>
    <w:lvl w:ilvl="8" w:tplc="9416AFE0">
      <w:numFmt w:val="decimal"/>
      <w:lvlText w:val=""/>
      <w:lvlJc w:val="left"/>
    </w:lvl>
  </w:abstractNum>
  <w:abstractNum w:abstractNumId="271" w15:restartNumberingAfterBreak="0">
    <w:nsid w:val="14541C2D"/>
    <w:multiLevelType w:val="hybridMultilevel"/>
    <w:tmpl w:val="338611C2"/>
    <w:lvl w:ilvl="0" w:tplc="A08A584A">
      <w:start w:val="1"/>
      <w:numFmt w:val="bullet"/>
      <w:lvlText w:val=""/>
      <w:lvlJc w:val="left"/>
      <w:pPr>
        <w:ind w:left="720" w:hanging="180"/>
      </w:pPr>
      <w:rPr>
        <w:rFonts w:ascii="Symbol" w:hAnsi="Symbol" w:hint="default"/>
      </w:rPr>
    </w:lvl>
    <w:lvl w:ilvl="1" w:tplc="A2DC4C7C">
      <w:numFmt w:val="decimal"/>
      <w:lvlText w:val=""/>
      <w:lvlJc w:val="left"/>
    </w:lvl>
    <w:lvl w:ilvl="2" w:tplc="B4DCE5D8">
      <w:numFmt w:val="decimal"/>
      <w:lvlText w:val=""/>
      <w:lvlJc w:val="left"/>
    </w:lvl>
    <w:lvl w:ilvl="3" w:tplc="38C8BBDE">
      <w:numFmt w:val="decimal"/>
      <w:lvlText w:val=""/>
      <w:lvlJc w:val="left"/>
    </w:lvl>
    <w:lvl w:ilvl="4" w:tplc="C32847E2">
      <w:numFmt w:val="decimal"/>
      <w:lvlText w:val=""/>
      <w:lvlJc w:val="left"/>
    </w:lvl>
    <w:lvl w:ilvl="5" w:tplc="32FA2B7E">
      <w:numFmt w:val="decimal"/>
      <w:lvlText w:val=""/>
      <w:lvlJc w:val="left"/>
    </w:lvl>
    <w:lvl w:ilvl="6" w:tplc="EF74D9C4">
      <w:numFmt w:val="decimal"/>
      <w:lvlText w:val=""/>
      <w:lvlJc w:val="left"/>
    </w:lvl>
    <w:lvl w:ilvl="7" w:tplc="BE30AC78">
      <w:numFmt w:val="decimal"/>
      <w:lvlText w:val=""/>
      <w:lvlJc w:val="left"/>
    </w:lvl>
    <w:lvl w:ilvl="8" w:tplc="1BD66302">
      <w:numFmt w:val="decimal"/>
      <w:lvlText w:val=""/>
      <w:lvlJc w:val="left"/>
    </w:lvl>
  </w:abstractNum>
  <w:abstractNum w:abstractNumId="272" w15:restartNumberingAfterBreak="0">
    <w:nsid w:val="14924FC3"/>
    <w:multiLevelType w:val="hybridMultilevel"/>
    <w:tmpl w:val="50009708"/>
    <w:lvl w:ilvl="0" w:tplc="912EFAEC">
      <w:start w:val="1"/>
      <w:numFmt w:val="bullet"/>
      <w:lvlText w:val=""/>
      <w:lvlJc w:val="left"/>
      <w:pPr>
        <w:ind w:left="720" w:hanging="180"/>
      </w:pPr>
      <w:rPr>
        <w:rFonts w:ascii="Symbol" w:hAnsi="Symbol" w:hint="default"/>
      </w:rPr>
    </w:lvl>
    <w:lvl w:ilvl="1" w:tplc="DF2414E8">
      <w:numFmt w:val="decimal"/>
      <w:lvlText w:val=""/>
      <w:lvlJc w:val="left"/>
    </w:lvl>
    <w:lvl w:ilvl="2" w:tplc="713EEEE8">
      <w:numFmt w:val="decimal"/>
      <w:lvlText w:val=""/>
      <w:lvlJc w:val="left"/>
    </w:lvl>
    <w:lvl w:ilvl="3" w:tplc="DF3A2F44">
      <w:numFmt w:val="decimal"/>
      <w:lvlText w:val=""/>
      <w:lvlJc w:val="left"/>
    </w:lvl>
    <w:lvl w:ilvl="4" w:tplc="AAB0BC9A">
      <w:numFmt w:val="decimal"/>
      <w:lvlText w:val=""/>
      <w:lvlJc w:val="left"/>
    </w:lvl>
    <w:lvl w:ilvl="5" w:tplc="D3420238">
      <w:numFmt w:val="decimal"/>
      <w:lvlText w:val=""/>
      <w:lvlJc w:val="left"/>
    </w:lvl>
    <w:lvl w:ilvl="6" w:tplc="8BFE2FF4">
      <w:numFmt w:val="decimal"/>
      <w:lvlText w:val=""/>
      <w:lvlJc w:val="left"/>
    </w:lvl>
    <w:lvl w:ilvl="7" w:tplc="1DEAE10E">
      <w:numFmt w:val="decimal"/>
      <w:lvlText w:val=""/>
      <w:lvlJc w:val="left"/>
    </w:lvl>
    <w:lvl w:ilvl="8" w:tplc="71901C58">
      <w:numFmt w:val="decimal"/>
      <w:lvlText w:val=""/>
      <w:lvlJc w:val="left"/>
    </w:lvl>
  </w:abstractNum>
  <w:abstractNum w:abstractNumId="273" w15:restartNumberingAfterBreak="0">
    <w:nsid w:val="14AD5C9F"/>
    <w:multiLevelType w:val="hybridMultilevel"/>
    <w:tmpl w:val="FC1EC0D0"/>
    <w:lvl w:ilvl="0" w:tplc="617A1CC4">
      <w:start w:val="1"/>
      <w:numFmt w:val="bullet"/>
      <w:lvlText w:val=""/>
      <w:lvlJc w:val="left"/>
      <w:pPr>
        <w:ind w:left="720" w:hanging="180"/>
      </w:pPr>
      <w:rPr>
        <w:rFonts w:ascii="Symbol" w:hAnsi="Symbol" w:hint="default"/>
      </w:rPr>
    </w:lvl>
    <w:lvl w:ilvl="1" w:tplc="0D8273AE">
      <w:numFmt w:val="decimal"/>
      <w:lvlText w:val=""/>
      <w:lvlJc w:val="left"/>
    </w:lvl>
    <w:lvl w:ilvl="2" w:tplc="7396D694">
      <w:numFmt w:val="decimal"/>
      <w:lvlText w:val=""/>
      <w:lvlJc w:val="left"/>
    </w:lvl>
    <w:lvl w:ilvl="3" w:tplc="82081036">
      <w:numFmt w:val="decimal"/>
      <w:lvlText w:val=""/>
      <w:lvlJc w:val="left"/>
    </w:lvl>
    <w:lvl w:ilvl="4" w:tplc="4E103044">
      <w:numFmt w:val="decimal"/>
      <w:lvlText w:val=""/>
      <w:lvlJc w:val="left"/>
    </w:lvl>
    <w:lvl w:ilvl="5" w:tplc="06D8DE74">
      <w:numFmt w:val="decimal"/>
      <w:lvlText w:val=""/>
      <w:lvlJc w:val="left"/>
    </w:lvl>
    <w:lvl w:ilvl="6" w:tplc="AEA8D32E">
      <w:numFmt w:val="decimal"/>
      <w:lvlText w:val=""/>
      <w:lvlJc w:val="left"/>
    </w:lvl>
    <w:lvl w:ilvl="7" w:tplc="2842D4F0">
      <w:numFmt w:val="decimal"/>
      <w:lvlText w:val=""/>
      <w:lvlJc w:val="left"/>
    </w:lvl>
    <w:lvl w:ilvl="8" w:tplc="AD587FB6">
      <w:numFmt w:val="decimal"/>
      <w:lvlText w:val=""/>
      <w:lvlJc w:val="left"/>
    </w:lvl>
  </w:abstractNum>
  <w:abstractNum w:abstractNumId="274" w15:restartNumberingAfterBreak="0">
    <w:nsid w:val="14BD4EA5"/>
    <w:multiLevelType w:val="hybridMultilevel"/>
    <w:tmpl w:val="B0BE0CD4"/>
    <w:lvl w:ilvl="0" w:tplc="76DA26B0">
      <w:start w:val="1"/>
      <w:numFmt w:val="bullet"/>
      <w:lvlText w:val=""/>
      <w:lvlJc w:val="left"/>
      <w:pPr>
        <w:ind w:left="720" w:hanging="180"/>
      </w:pPr>
      <w:rPr>
        <w:rFonts w:ascii="Symbol" w:hAnsi="Symbol" w:hint="default"/>
      </w:rPr>
    </w:lvl>
    <w:lvl w:ilvl="1" w:tplc="7A989502">
      <w:numFmt w:val="decimal"/>
      <w:lvlText w:val=""/>
      <w:lvlJc w:val="left"/>
    </w:lvl>
    <w:lvl w:ilvl="2" w:tplc="E4C63480">
      <w:numFmt w:val="decimal"/>
      <w:lvlText w:val=""/>
      <w:lvlJc w:val="left"/>
    </w:lvl>
    <w:lvl w:ilvl="3" w:tplc="9A961448">
      <w:numFmt w:val="decimal"/>
      <w:lvlText w:val=""/>
      <w:lvlJc w:val="left"/>
    </w:lvl>
    <w:lvl w:ilvl="4" w:tplc="679655D6">
      <w:numFmt w:val="decimal"/>
      <w:lvlText w:val=""/>
      <w:lvlJc w:val="left"/>
    </w:lvl>
    <w:lvl w:ilvl="5" w:tplc="7D5EF1F4">
      <w:numFmt w:val="decimal"/>
      <w:lvlText w:val=""/>
      <w:lvlJc w:val="left"/>
    </w:lvl>
    <w:lvl w:ilvl="6" w:tplc="B0183F72">
      <w:numFmt w:val="decimal"/>
      <w:lvlText w:val=""/>
      <w:lvlJc w:val="left"/>
    </w:lvl>
    <w:lvl w:ilvl="7" w:tplc="799E1C82">
      <w:numFmt w:val="decimal"/>
      <w:lvlText w:val=""/>
      <w:lvlJc w:val="left"/>
    </w:lvl>
    <w:lvl w:ilvl="8" w:tplc="0100BB14">
      <w:numFmt w:val="decimal"/>
      <w:lvlText w:val=""/>
      <w:lvlJc w:val="left"/>
    </w:lvl>
  </w:abstractNum>
  <w:abstractNum w:abstractNumId="275" w15:restartNumberingAfterBreak="0">
    <w:nsid w:val="14E015E8"/>
    <w:multiLevelType w:val="hybridMultilevel"/>
    <w:tmpl w:val="170EE840"/>
    <w:lvl w:ilvl="0" w:tplc="7654D0EE">
      <w:start w:val="1"/>
      <w:numFmt w:val="bullet"/>
      <w:lvlText w:val=""/>
      <w:lvlJc w:val="left"/>
      <w:pPr>
        <w:ind w:left="720" w:hanging="180"/>
      </w:pPr>
      <w:rPr>
        <w:rFonts w:ascii="Symbol" w:hAnsi="Symbol" w:hint="default"/>
      </w:rPr>
    </w:lvl>
    <w:lvl w:ilvl="1" w:tplc="E16EF896">
      <w:numFmt w:val="decimal"/>
      <w:lvlText w:val=""/>
      <w:lvlJc w:val="left"/>
    </w:lvl>
    <w:lvl w:ilvl="2" w:tplc="4A3A02D2">
      <w:numFmt w:val="decimal"/>
      <w:lvlText w:val=""/>
      <w:lvlJc w:val="left"/>
    </w:lvl>
    <w:lvl w:ilvl="3" w:tplc="720E07E6">
      <w:numFmt w:val="decimal"/>
      <w:lvlText w:val=""/>
      <w:lvlJc w:val="left"/>
    </w:lvl>
    <w:lvl w:ilvl="4" w:tplc="4502B86A">
      <w:numFmt w:val="decimal"/>
      <w:lvlText w:val=""/>
      <w:lvlJc w:val="left"/>
    </w:lvl>
    <w:lvl w:ilvl="5" w:tplc="3CA6176E">
      <w:numFmt w:val="decimal"/>
      <w:lvlText w:val=""/>
      <w:lvlJc w:val="left"/>
    </w:lvl>
    <w:lvl w:ilvl="6" w:tplc="5E321A22">
      <w:numFmt w:val="decimal"/>
      <w:lvlText w:val=""/>
      <w:lvlJc w:val="left"/>
    </w:lvl>
    <w:lvl w:ilvl="7" w:tplc="D0EC8BD4">
      <w:numFmt w:val="decimal"/>
      <w:lvlText w:val=""/>
      <w:lvlJc w:val="left"/>
    </w:lvl>
    <w:lvl w:ilvl="8" w:tplc="D0721A96">
      <w:numFmt w:val="decimal"/>
      <w:lvlText w:val=""/>
      <w:lvlJc w:val="left"/>
    </w:lvl>
  </w:abstractNum>
  <w:abstractNum w:abstractNumId="276" w15:restartNumberingAfterBreak="0">
    <w:nsid w:val="14E07F0A"/>
    <w:multiLevelType w:val="hybridMultilevel"/>
    <w:tmpl w:val="FA02C354"/>
    <w:lvl w:ilvl="0" w:tplc="162C0A1A">
      <w:start w:val="1"/>
      <w:numFmt w:val="bullet"/>
      <w:lvlText w:val=""/>
      <w:lvlJc w:val="left"/>
      <w:pPr>
        <w:ind w:left="720" w:hanging="180"/>
      </w:pPr>
      <w:rPr>
        <w:rFonts w:ascii="Symbol" w:hAnsi="Symbol" w:hint="default"/>
      </w:rPr>
    </w:lvl>
    <w:lvl w:ilvl="1" w:tplc="F31E8888">
      <w:numFmt w:val="decimal"/>
      <w:lvlText w:val=""/>
      <w:lvlJc w:val="left"/>
    </w:lvl>
    <w:lvl w:ilvl="2" w:tplc="3D00B76C">
      <w:numFmt w:val="decimal"/>
      <w:lvlText w:val=""/>
      <w:lvlJc w:val="left"/>
    </w:lvl>
    <w:lvl w:ilvl="3" w:tplc="455C3DA6">
      <w:numFmt w:val="decimal"/>
      <w:lvlText w:val=""/>
      <w:lvlJc w:val="left"/>
    </w:lvl>
    <w:lvl w:ilvl="4" w:tplc="65F01986">
      <w:numFmt w:val="decimal"/>
      <w:lvlText w:val=""/>
      <w:lvlJc w:val="left"/>
    </w:lvl>
    <w:lvl w:ilvl="5" w:tplc="6CEE6518">
      <w:numFmt w:val="decimal"/>
      <w:lvlText w:val=""/>
      <w:lvlJc w:val="left"/>
    </w:lvl>
    <w:lvl w:ilvl="6" w:tplc="E9C48442">
      <w:numFmt w:val="decimal"/>
      <w:lvlText w:val=""/>
      <w:lvlJc w:val="left"/>
    </w:lvl>
    <w:lvl w:ilvl="7" w:tplc="45D442C8">
      <w:numFmt w:val="decimal"/>
      <w:lvlText w:val=""/>
      <w:lvlJc w:val="left"/>
    </w:lvl>
    <w:lvl w:ilvl="8" w:tplc="83525CCE">
      <w:numFmt w:val="decimal"/>
      <w:lvlText w:val=""/>
      <w:lvlJc w:val="left"/>
    </w:lvl>
  </w:abstractNum>
  <w:abstractNum w:abstractNumId="277" w15:restartNumberingAfterBreak="0">
    <w:nsid w:val="14E96772"/>
    <w:multiLevelType w:val="hybridMultilevel"/>
    <w:tmpl w:val="9E4694DC"/>
    <w:lvl w:ilvl="0" w:tplc="64E638A0">
      <w:start w:val="1"/>
      <w:numFmt w:val="bullet"/>
      <w:lvlText w:val=""/>
      <w:lvlJc w:val="left"/>
      <w:pPr>
        <w:ind w:left="720" w:hanging="180"/>
      </w:pPr>
      <w:rPr>
        <w:rFonts w:ascii="Symbol" w:hAnsi="Symbol" w:hint="default"/>
      </w:rPr>
    </w:lvl>
    <w:lvl w:ilvl="1" w:tplc="E5849B50">
      <w:numFmt w:val="decimal"/>
      <w:lvlText w:val=""/>
      <w:lvlJc w:val="left"/>
    </w:lvl>
    <w:lvl w:ilvl="2" w:tplc="B748CBE4">
      <w:numFmt w:val="decimal"/>
      <w:lvlText w:val=""/>
      <w:lvlJc w:val="left"/>
    </w:lvl>
    <w:lvl w:ilvl="3" w:tplc="6D2A541A">
      <w:numFmt w:val="decimal"/>
      <w:lvlText w:val=""/>
      <w:lvlJc w:val="left"/>
    </w:lvl>
    <w:lvl w:ilvl="4" w:tplc="F5C8A042">
      <w:numFmt w:val="decimal"/>
      <w:lvlText w:val=""/>
      <w:lvlJc w:val="left"/>
    </w:lvl>
    <w:lvl w:ilvl="5" w:tplc="9D7AF44A">
      <w:numFmt w:val="decimal"/>
      <w:lvlText w:val=""/>
      <w:lvlJc w:val="left"/>
    </w:lvl>
    <w:lvl w:ilvl="6" w:tplc="7D04793A">
      <w:numFmt w:val="decimal"/>
      <w:lvlText w:val=""/>
      <w:lvlJc w:val="left"/>
    </w:lvl>
    <w:lvl w:ilvl="7" w:tplc="0F709208">
      <w:numFmt w:val="decimal"/>
      <w:lvlText w:val=""/>
      <w:lvlJc w:val="left"/>
    </w:lvl>
    <w:lvl w:ilvl="8" w:tplc="D54A31E0">
      <w:numFmt w:val="decimal"/>
      <w:lvlText w:val=""/>
      <w:lvlJc w:val="left"/>
    </w:lvl>
  </w:abstractNum>
  <w:abstractNum w:abstractNumId="278" w15:restartNumberingAfterBreak="0">
    <w:nsid w:val="15185E4C"/>
    <w:multiLevelType w:val="hybridMultilevel"/>
    <w:tmpl w:val="841ED612"/>
    <w:lvl w:ilvl="0" w:tplc="10C0023C">
      <w:start w:val="1"/>
      <w:numFmt w:val="bullet"/>
      <w:lvlText w:val=""/>
      <w:lvlJc w:val="left"/>
      <w:pPr>
        <w:ind w:left="720" w:hanging="180"/>
      </w:pPr>
      <w:rPr>
        <w:rFonts w:ascii="Symbol" w:hAnsi="Symbol" w:hint="default"/>
      </w:rPr>
    </w:lvl>
    <w:lvl w:ilvl="1" w:tplc="049C538A">
      <w:numFmt w:val="decimal"/>
      <w:lvlText w:val=""/>
      <w:lvlJc w:val="left"/>
    </w:lvl>
    <w:lvl w:ilvl="2" w:tplc="3BC2FC4C">
      <w:numFmt w:val="decimal"/>
      <w:lvlText w:val=""/>
      <w:lvlJc w:val="left"/>
    </w:lvl>
    <w:lvl w:ilvl="3" w:tplc="7304B992">
      <w:numFmt w:val="decimal"/>
      <w:lvlText w:val=""/>
      <w:lvlJc w:val="left"/>
    </w:lvl>
    <w:lvl w:ilvl="4" w:tplc="B8A4026C">
      <w:numFmt w:val="decimal"/>
      <w:lvlText w:val=""/>
      <w:lvlJc w:val="left"/>
    </w:lvl>
    <w:lvl w:ilvl="5" w:tplc="40FC6820">
      <w:numFmt w:val="decimal"/>
      <w:lvlText w:val=""/>
      <w:lvlJc w:val="left"/>
    </w:lvl>
    <w:lvl w:ilvl="6" w:tplc="1C9E2A1E">
      <w:numFmt w:val="decimal"/>
      <w:lvlText w:val=""/>
      <w:lvlJc w:val="left"/>
    </w:lvl>
    <w:lvl w:ilvl="7" w:tplc="28325750">
      <w:numFmt w:val="decimal"/>
      <w:lvlText w:val=""/>
      <w:lvlJc w:val="left"/>
    </w:lvl>
    <w:lvl w:ilvl="8" w:tplc="2280024A">
      <w:numFmt w:val="decimal"/>
      <w:lvlText w:val=""/>
      <w:lvlJc w:val="left"/>
    </w:lvl>
  </w:abstractNum>
  <w:abstractNum w:abstractNumId="279" w15:restartNumberingAfterBreak="0">
    <w:nsid w:val="15493779"/>
    <w:multiLevelType w:val="hybridMultilevel"/>
    <w:tmpl w:val="A20A0B36"/>
    <w:lvl w:ilvl="0" w:tplc="891A2F10">
      <w:start w:val="1"/>
      <w:numFmt w:val="bullet"/>
      <w:lvlText w:val=""/>
      <w:lvlJc w:val="left"/>
      <w:pPr>
        <w:ind w:left="720" w:hanging="180"/>
      </w:pPr>
      <w:rPr>
        <w:rFonts w:ascii="Symbol" w:hAnsi="Symbol" w:hint="default"/>
      </w:rPr>
    </w:lvl>
    <w:lvl w:ilvl="1" w:tplc="F252EDB8">
      <w:numFmt w:val="decimal"/>
      <w:lvlText w:val=""/>
      <w:lvlJc w:val="left"/>
    </w:lvl>
    <w:lvl w:ilvl="2" w:tplc="68F02F58">
      <w:numFmt w:val="decimal"/>
      <w:lvlText w:val=""/>
      <w:lvlJc w:val="left"/>
    </w:lvl>
    <w:lvl w:ilvl="3" w:tplc="92B24626">
      <w:numFmt w:val="decimal"/>
      <w:lvlText w:val=""/>
      <w:lvlJc w:val="left"/>
    </w:lvl>
    <w:lvl w:ilvl="4" w:tplc="9FBC9F56">
      <w:numFmt w:val="decimal"/>
      <w:lvlText w:val=""/>
      <w:lvlJc w:val="left"/>
    </w:lvl>
    <w:lvl w:ilvl="5" w:tplc="563E0E16">
      <w:numFmt w:val="decimal"/>
      <w:lvlText w:val=""/>
      <w:lvlJc w:val="left"/>
    </w:lvl>
    <w:lvl w:ilvl="6" w:tplc="AAEA6FFC">
      <w:numFmt w:val="decimal"/>
      <w:lvlText w:val=""/>
      <w:lvlJc w:val="left"/>
    </w:lvl>
    <w:lvl w:ilvl="7" w:tplc="AC9A3CCC">
      <w:numFmt w:val="decimal"/>
      <w:lvlText w:val=""/>
      <w:lvlJc w:val="left"/>
    </w:lvl>
    <w:lvl w:ilvl="8" w:tplc="D8A276F8">
      <w:numFmt w:val="decimal"/>
      <w:lvlText w:val=""/>
      <w:lvlJc w:val="left"/>
    </w:lvl>
  </w:abstractNum>
  <w:abstractNum w:abstractNumId="280" w15:restartNumberingAfterBreak="0">
    <w:nsid w:val="15615DCC"/>
    <w:multiLevelType w:val="hybridMultilevel"/>
    <w:tmpl w:val="4E2ED1FE"/>
    <w:lvl w:ilvl="0" w:tplc="7EE4611A">
      <w:start w:val="1"/>
      <w:numFmt w:val="bullet"/>
      <w:lvlText w:val=""/>
      <w:lvlJc w:val="left"/>
      <w:pPr>
        <w:ind w:left="720" w:hanging="180"/>
      </w:pPr>
      <w:rPr>
        <w:rFonts w:ascii="Symbol" w:hAnsi="Symbol" w:hint="default"/>
      </w:rPr>
    </w:lvl>
    <w:lvl w:ilvl="1" w:tplc="A21231B4">
      <w:numFmt w:val="decimal"/>
      <w:lvlText w:val=""/>
      <w:lvlJc w:val="left"/>
    </w:lvl>
    <w:lvl w:ilvl="2" w:tplc="2E2A7096">
      <w:numFmt w:val="decimal"/>
      <w:lvlText w:val=""/>
      <w:lvlJc w:val="left"/>
    </w:lvl>
    <w:lvl w:ilvl="3" w:tplc="B2D8B912">
      <w:numFmt w:val="decimal"/>
      <w:lvlText w:val=""/>
      <w:lvlJc w:val="left"/>
    </w:lvl>
    <w:lvl w:ilvl="4" w:tplc="66C87ECC">
      <w:numFmt w:val="decimal"/>
      <w:lvlText w:val=""/>
      <w:lvlJc w:val="left"/>
    </w:lvl>
    <w:lvl w:ilvl="5" w:tplc="0010BF74">
      <w:numFmt w:val="decimal"/>
      <w:lvlText w:val=""/>
      <w:lvlJc w:val="left"/>
    </w:lvl>
    <w:lvl w:ilvl="6" w:tplc="35707966">
      <w:numFmt w:val="decimal"/>
      <w:lvlText w:val=""/>
      <w:lvlJc w:val="left"/>
    </w:lvl>
    <w:lvl w:ilvl="7" w:tplc="C52A762A">
      <w:numFmt w:val="decimal"/>
      <w:lvlText w:val=""/>
      <w:lvlJc w:val="left"/>
    </w:lvl>
    <w:lvl w:ilvl="8" w:tplc="B75E0414">
      <w:numFmt w:val="decimal"/>
      <w:lvlText w:val=""/>
      <w:lvlJc w:val="left"/>
    </w:lvl>
  </w:abstractNum>
  <w:abstractNum w:abstractNumId="281" w15:restartNumberingAfterBreak="0">
    <w:nsid w:val="1565023C"/>
    <w:multiLevelType w:val="hybridMultilevel"/>
    <w:tmpl w:val="D80E2B06"/>
    <w:lvl w:ilvl="0" w:tplc="DFCE8254">
      <w:start w:val="1"/>
      <w:numFmt w:val="bullet"/>
      <w:lvlText w:val=""/>
      <w:lvlJc w:val="left"/>
      <w:pPr>
        <w:ind w:left="720" w:hanging="180"/>
      </w:pPr>
      <w:rPr>
        <w:rFonts w:ascii="Symbol" w:hAnsi="Symbol" w:hint="default"/>
      </w:rPr>
    </w:lvl>
    <w:lvl w:ilvl="1" w:tplc="753053A6">
      <w:numFmt w:val="decimal"/>
      <w:lvlText w:val=""/>
      <w:lvlJc w:val="left"/>
    </w:lvl>
    <w:lvl w:ilvl="2" w:tplc="98D222AA">
      <w:numFmt w:val="decimal"/>
      <w:lvlText w:val=""/>
      <w:lvlJc w:val="left"/>
    </w:lvl>
    <w:lvl w:ilvl="3" w:tplc="14462D34">
      <w:numFmt w:val="decimal"/>
      <w:lvlText w:val=""/>
      <w:lvlJc w:val="left"/>
    </w:lvl>
    <w:lvl w:ilvl="4" w:tplc="B27E1ACC">
      <w:numFmt w:val="decimal"/>
      <w:lvlText w:val=""/>
      <w:lvlJc w:val="left"/>
    </w:lvl>
    <w:lvl w:ilvl="5" w:tplc="76A04F70">
      <w:numFmt w:val="decimal"/>
      <w:lvlText w:val=""/>
      <w:lvlJc w:val="left"/>
    </w:lvl>
    <w:lvl w:ilvl="6" w:tplc="005ADFDE">
      <w:numFmt w:val="decimal"/>
      <w:lvlText w:val=""/>
      <w:lvlJc w:val="left"/>
    </w:lvl>
    <w:lvl w:ilvl="7" w:tplc="033C81FC">
      <w:numFmt w:val="decimal"/>
      <w:lvlText w:val=""/>
      <w:lvlJc w:val="left"/>
    </w:lvl>
    <w:lvl w:ilvl="8" w:tplc="02B2CD04">
      <w:numFmt w:val="decimal"/>
      <w:lvlText w:val=""/>
      <w:lvlJc w:val="left"/>
    </w:lvl>
  </w:abstractNum>
  <w:abstractNum w:abstractNumId="282" w15:restartNumberingAfterBreak="0">
    <w:nsid w:val="1567545A"/>
    <w:multiLevelType w:val="hybridMultilevel"/>
    <w:tmpl w:val="B066E24C"/>
    <w:lvl w:ilvl="0" w:tplc="28409A2E">
      <w:start w:val="1"/>
      <w:numFmt w:val="bullet"/>
      <w:lvlText w:val=""/>
      <w:lvlJc w:val="left"/>
      <w:pPr>
        <w:ind w:left="720" w:hanging="180"/>
      </w:pPr>
      <w:rPr>
        <w:rFonts w:ascii="Symbol" w:hAnsi="Symbol" w:hint="default"/>
      </w:rPr>
    </w:lvl>
    <w:lvl w:ilvl="1" w:tplc="6478C89A">
      <w:numFmt w:val="decimal"/>
      <w:lvlText w:val=""/>
      <w:lvlJc w:val="left"/>
    </w:lvl>
    <w:lvl w:ilvl="2" w:tplc="56F2FE86">
      <w:numFmt w:val="decimal"/>
      <w:lvlText w:val=""/>
      <w:lvlJc w:val="left"/>
    </w:lvl>
    <w:lvl w:ilvl="3" w:tplc="FDE03AA2">
      <w:numFmt w:val="decimal"/>
      <w:lvlText w:val=""/>
      <w:lvlJc w:val="left"/>
    </w:lvl>
    <w:lvl w:ilvl="4" w:tplc="E1E6F098">
      <w:numFmt w:val="decimal"/>
      <w:lvlText w:val=""/>
      <w:lvlJc w:val="left"/>
    </w:lvl>
    <w:lvl w:ilvl="5" w:tplc="B05062AE">
      <w:numFmt w:val="decimal"/>
      <w:lvlText w:val=""/>
      <w:lvlJc w:val="left"/>
    </w:lvl>
    <w:lvl w:ilvl="6" w:tplc="29F4E00A">
      <w:numFmt w:val="decimal"/>
      <w:lvlText w:val=""/>
      <w:lvlJc w:val="left"/>
    </w:lvl>
    <w:lvl w:ilvl="7" w:tplc="916080F4">
      <w:numFmt w:val="decimal"/>
      <w:lvlText w:val=""/>
      <w:lvlJc w:val="left"/>
    </w:lvl>
    <w:lvl w:ilvl="8" w:tplc="9800A758">
      <w:numFmt w:val="decimal"/>
      <w:lvlText w:val=""/>
      <w:lvlJc w:val="left"/>
    </w:lvl>
  </w:abstractNum>
  <w:abstractNum w:abstractNumId="283" w15:restartNumberingAfterBreak="0">
    <w:nsid w:val="156C73A3"/>
    <w:multiLevelType w:val="hybridMultilevel"/>
    <w:tmpl w:val="263C4592"/>
    <w:lvl w:ilvl="0" w:tplc="5C1C1732">
      <w:start w:val="1"/>
      <w:numFmt w:val="bullet"/>
      <w:lvlText w:val=""/>
      <w:lvlJc w:val="left"/>
      <w:pPr>
        <w:ind w:left="720" w:hanging="180"/>
      </w:pPr>
      <w:rPr>
        <w:rFonts w:ascii="Symbol" w:hAnsi="Symbol" w:hint="default"/>
      </w:rPr>
    </w:lvl>
    <w:lvl w:ilvl="1" w:tplc="2ED6396E">
      <w:numFmt w:val="decimal"/>
      <w:lvlText w:val=""/>
      <w:lvlJc w:val="left"/>
    </w:lvl>
    <w:lvl w:ilvl="2" w:tplc="AC20E894">
      <w:numFmt w:val="decimal"/>
      <w:lvlText w:val=""/>
      <w:lvlJc w:val="left"/>
    </w:lvl>
    <w:lvl w:ilvl="3" w:tplc="21AAE84E">
      <w:numFmt w:val="decimal"/>
      <w:lvlText w:val=""/>
      <w:lvlJc w:val="left"/>
    </w:lvl>
    <w:lvl w:ilvl="4" w:tplc="A8A8A5D2">
      <w:numFmt w:val="decimal"/>
      <w:lvlText w:val=""/>
      <w:lvlJc w:val="left"/>
    </w:lvl>
    <w:lvl w:ilvl="5" w:tplc="0E6E1008">
      <w:numFmt w:val="decimal"/>
      <w:lvlText w:val=""/>
      <w:lvlJc w:val="left"/>
    </w:lvl>
    <w:lvl w:ilvl="6" w:tplc="63007D98">
      <w:numFmt w:val="decimal"/>
      <w:lvlText w:val=""/>
      <w:lvlJc w:val="left"/>
    </w:lvl>
    <w:lvl w:ilvl="7" w:tplc="D5BAD0F4">
      <w:numFmt w:val="decimal"/>
      <w:lvlText w:val=""/>
      <w:lvlJc w:val="left"/>
    </w:lvl>
    <w:lvl w:ilvl="8" w:tplc="CADCE82C">
      <w:numFmt w:val="decimal"/>
      <w:lvlText w:val=""/>
      <w:lvlJc w:val="left"/>
    </w:lvl>
  </w:abstractNum>
  <w:abstractNum w:abstractNumId="284" w15:restartNumberingAfterBreak="0">
    <w:nsid w:val="15AF7E66"/>
    <w:multiLevelType w:val="hybridMultilevel"/>
    <w:tmpl w:val="A9C47542"/>
    <w:lvl w:ilvl="0" w:tplc="C8F017CC">
      <w:start w:val="1"/>
      <w:numFmt w:val="bullet"/>
      <w:lvlText w:val=""/>
      <w:lvlJc w:val="left"/>
      <w:pPr>
        <w:ind w:left="720" w:hanging="180"/>
      </w:pPr>
      <w:rPr>
        <w:rFonts w:ascii="Symbol" w:hAnsi="Symbol" w:hint="default"/>
      </w:rPr>
    </w:lvl>
    <w:lvl w:ilvl="1" w:tplc="2EA84F62">
      <w:numFmt w:val="decimal"/>
      <w:lvlText w:val=""/>
      <w:lvlJc w:val="left"/>
    </w:lvl>
    <w:lvl w:ilvl="2" w:tplc="F38CFECC">
      <w:numFmt w:val="decimal"/>
      <w:lvlText w:val=""/>
      <w:lvlJc w:val="left"/>
    </w:lvl>
    <w:lvl w:ilvl="3" w:tplc="9AAE74DA">
      <w:numFmt w:val="decimal"/>
      <w:lvlText w:val=""/>
      <w:lvlJc w:val="left"/>
    </w:lvl>
    <w:lvl w:ilvl="4" w:tplc="38EC2510">
      <w:numFmt w:val="decimal"/>
      <w:lvlText w:val=""/>
      <w:lvlJc w:val="left"/>
    </w:lvl>
    <w:lvl w:ilvl="5" w:tplc="4C143346">
      <w:numFmt w:val="decimal"/>
      <w:lvlText w:val=""/>
      <w:lvlJc w:val="left"/>
    </w:lvl>
    <w:lvl w:ilvl="6" w:tplc="5666E850">
      <w:numFmt w:val="decimal"/>
      <w:lvlText w:val=""/>
      <w:lvlJc w:val="left"/>
    </w:lvl>
    <w:lvl w:ilvl="7" w:tplc="E5EC2992">
      <w:numFmt w:val="decimal"/>
      <w:lvlText w:val=""/>
      <w:lvlJc w:val="left"/>
    </w:lvl>
    <w:lvl w:ilvl="8" w:tplc="3566DA58">
      <w:numFmt w:val="decimal"/>
      <w:lvlText w:val=""/>
      <w:lvlJc w:val="left"/>
    </w:lvl>
  </w:abstractNum>
  <w:abstractNum w:abstractNumId="285" w15:restartNumberingAfterBreak="0">
    <w:nsid w:val="15BD2D47"/>
    <w:multiLevelType w:val="hybridMultilevel"/>
    <w:tmpl w:val="651A2C48"/>
    <w:lvl w:ilvl="0" w:tplc="0BEEFF4A">
      <w:start w:val="1"/>
      <w:numFmt w:val="bullet"/>
      <w:lvlText w:val=""/>
      <w:lvlJc w:val="left"/>
      <w:pPr>
        <w:ind w:left="720" w:hanging="180"/>
      </w:pPr>
      <w:rPr>
        <w:rFonts w:ascii="Symbol" w:hAnsi="Symbol" w:hint="default"/>
      </w:rPr>
    </w:lvl>
    <w:lvl w:ilvl="1" w:tplc="70ACE25A">
      <w:numFmt w:val="decimal"/>
      <w:lvlText w:val=""/>
      <w:lvlJc w:val="left"/>
    </w:lvl>
    <w:lvl w:ilvl="2" w:tplc="4DF2924C">
      <w:numFmt w:val="decimal"/>
      <w:lvlText w:val=""/>
      <w:lvlJc w:val="left"/>
    </w:lvl>
    <w:lvl w:ilvl="3" w:tplc="F8904796">
      <w:numFmt w:val="decimal"/>
      <w:lvlText w:val=""/>
      <w:lvlJc w:val="left"/>
    </w:lvl>
    <w:lvl w:ilvl="4" w:tplc="9C54EAB6">
      <w:numFmt w:val="decimal"/>
      <w:lvlText w:val=""/>
      <w:lvlJc w:val="left"/>
    </w:lvl>
    <w:lvl w:ilvl="5" w:tplc="0E202FE4">
      <w:numFmt w:val="decimal"/>
      <w:lvlText w:val=""/>
      <w:lvlJc w:val="left"/>
    </w:lvl>
    <w:lvl w:ilvl="6" w:tplc="AC605562">
      <w:numFmt w:val="decimal"/>
      <w:lvlText w:val=""/>
      <w:lvlJc w:val="left"/>
    </w:lvl>
    <w:lvl w:ilvl="7" w:tplc="EAF8D0C8">
      <w:numFmt w:val="decimal"/>
      <w:lvlText w:val=""/>
      <w:lvlJc w:val="left"/>
    </w:lvl>
    <w:lvl w:ilvl="8" w:tplc="2C74A22E">
      <w:numFmt w:val="decimal"/>
      <w:lvlText w:val=""/>
      <w:lvlJc w:val="left"/>
    </w:lvl>
  </w:abstractNum>
  <w:abstractNum w:abstractNumId="286" w15:restartNumberingAfterBreak="0">
    <w:nsid w:val="15C43088"/>
    <w:multiLevelType w:val="hybridMultilevel"/>
    <w:tmpl w:val="2774FAD2"/>
    <w:lvl w:ilvl="0" w:tplc="EE36399A">
      <w:start w:val="1"/>
      <w:numFmt w:val="bullet"/>
      <w:lvlText w:val=""/>
      <w:lvlJc w:val="left"/>
      <w:pPr>
        <w:ind w:left="720" w:hanging="180"/>
      </w:pPr>
      <w:rPr>
        <w:rFonts w:ascii="Symbol" w:hAnsi="Symbol" w:hint="default"/>
      </w:rPr>
    </w:lvl>
    <w:lvl w:ilvl="1" w:tplc="43B8350A">
      <w:numFmt w:val="decimal"/>
      <w:lvlText w:val=""/>
      <w:lvlJc w:val="left"/>
    </w:lvl>
    <w:lvl w:ilvl="2" w:tplc="3AF8ACEA">
      <w:numFmt w:val="decimal"/>
      <w:lvlText w:val=""/>
      <w:lvlJc w:val="left"/>
    </w:lvl>
    <w:lvl w:ilvl="3" w:tplc="3240501A">
      <w:numFmt w:val="decimal"/>
      <w:lvlText w:val=""/>
      <w:lvlJc w:val="left"/>
    </w:lvl>
    <w:lvl w:ilvl="4" w:tplc="46EEA044">
      <w:numFmt w:val="decimal"/>
      <w:lvlText w:val=""/>
      <w:lvlJc w:val="left"/>
    </w:lvl>
    <w:lvl w:ilvl="5" w:tplc="B98823C8">
      <w:numFmt w:val="decimal"/>
      <w:lvlText w:val=""/>
      <w:lvlJc w:val="left"/>
    </w:lvl>
    <w:lvl w:ilvl="6" w:tplc="3364EB1E">
      <w:numFmt w:val="decimal"/>
      <w:lvlText w:val=""/>
      <w:lvlJc w:val="left"/>
    </w:lvl>
    <w:lvl w:ilvl="7" w:tplc="762A9502">
      <w:numFmt w:val="decimal"/>
      <w:lvlText w:val=""/>
      <w:lvlJc w:val="left"/>
    </w:lvl>
    <w:lvl w:ilvl="8" w:tplc="F276502A">
      <w:numFmt w:val="decimal"/>
      <w:lvlText w:val=""/>
      <w:lvlJc w:val="left"/>
    </w:lvl>
  </w:abstractNum>
  <w:abstractNum w:abstractNumId="287" w15:restartNumberingAfterBreak="0">
    <w:nsid w:val="15E11A03"/>
    <w:multiLevelType w:val="hybridMultilevel"/>
    <w:tmpl w:val="42AAE3CC"/>
    <w:lvl w:ilvl="0" w:tplc="BDF60B82">
      <w:start w:val="1"/>
      <w:numFmt w:val="bullet"/>
      <w:lvlText w:val=""/>
      <w:lvlJc w:val="left"/>
      <w:pPr>
        <w:ind w:left="720" w:hanging="180"/>
      </w:pPr>
      <w:rPr>
        <w:rFonts w:ascii="Symbol" w:hAnsi="Symbol" w:hint="default"/>
      </w:rPr>
    </w:lvl>
    <w:lvl w:ilvl="1" w:tplc="BCBC1CCC">
      <w:numFmt w:val="decimal"/>
      <w:lvlText w:val=""/>
      <w:lvlJc w:val="left"/>
    </w:lvl>
    <w:lvl w:ilvl="2" w:tplc="373EBA26">
      <w:numFmt w:val="decimal"/>
      <w:lvlText w:val=""/>
      <w:lvlJc w:val="left"/>
    </w:lvl>
    <w:lvl w:ilvl="3" w:tplc="F028C94C">
      <w:numFmt w:val="decimal"/>
      <w:lvlText w:val=""/>
      <w:lvlJc w:val="left"/>
    </w:lvl>
    <w:lvl w:ilvl="4" w:tplc="DCB6B65E">
      <w:numFmt w:val="decimal"/>
      <w:lvlText w:val=""/>
      <w:lvlJc w:val="left"/>
    </w:lvl>
    <w:lvl w:ilvl="5" w:tplc="BF187A8C">
      <w:numFmt w:val="decimal"/>
      <w:lvlText w:val=""/>
      <w:lvlJc w:val="left"/>
    </w:lvl>
    <w:lvl w:ilvl="6" w:tplc="DC88F164">
      <w:numFmt w:val="decimal"/>
      <w:lvlText w:val=""/>
      <w:lvlJc w:val="left"/>
    </w:lvl>
    <w:lvl w:ilvl="7" w:tplc="4DB481B8">
      <w:numFmt w:val="decimal"/>
      <w:lvlText w:val=""/>
      <w:lvlJc w:val="left"/>
    </w:lvl>
    <w:lvl w:ilvl="8" w:tplc="196A7466">
      <w:numFmt w:val="decimal"/>
      <w:lvlText w:val=""/>
      <w:lvlJc w:val="left"/>
    </w:lvl>
  </w:abstractNum>
  <w:abstractNum w:abstractNumId="288" w15:restartNumberingAfterBreak="0">
    <w:nsid w:val="15EA5C80"/>
    <w:multiLevelType w:val="hybridMultilevel"/>
    <w:tmpl w:val="D5E2F008"/>
    <w:lvl w:ilvl="0" w:tplc="24B0C69E">
      <w:start w:val="1"/>
      <w:numFmt w:val="bullet"/>
      <w:lvlText w:val=""/>
      <w:lvlJc w:val="left"/>
      <w:pPr>
        <w:ind w:left="720" w:hanging="180"/>
      </w:pPr>
      <w:rPr>
        <w:rFonts w:ascii="Symbol" w:hAnsi="Symbol" w:hint="default"/>
      </w:rPr>
    </w:lvl>
    <w:lvl w:ilvl="1" w:tplc="3CE6A078">
      <w:numFmt w:val="decimal"/>
      <w:lvlText w:val=""/>
      <w:lvlJc w:val="left"/>
    </w:lvl>
    <w:lvl w:ilvl="2" w:tplc="A6A0B480">
      <w:numFmt w:val="decimal"/>
      <w:lvlText w:val=""/>
      <w:lvlJc w:val="left"/>
    </w:lvl>
    <w:lvl w:ilvl="3" w:tplc="3982B972">
      <w:numFmt w:val="decimal"/>
      <w:lvlText w:val=""/>
      <w:lvlJc w:val="left"/>
    </w:lvl>
    <w:lvl w:ilvl="4" w:tplc="BCA2473E">
      <w:numFmt w:val="decimal"/>
      <w:lvlText w:val=""/>
      <w:lvlJc w:val="left"/>
    </w:lvl>
    <w:lvl w:ilvl="5" w:tplc="A100FE1E">
      <w:numFmt w:val="decimal"/>
      <w:lvlText w:val=""/>
      <w:lvlJc w:val="left"/>
    </w:lvl>
    <w:lvl w:ilvl="6" w:tplc="8AB84114">
      <w:numFmt w:val="decimal"/>
      <w:lvlText w:val=""/>
      <w:lvlJc w:val="left"/>
    </w:lvl>
    <w:lvl w:ilvl="7" w:tplc="037E74A2">
      <w:numFmt w:val="decimal"/>
      <w:lvlText w:val=""/>
      <w:lvlJc w:val="left"/>
    </w:lvl>
    <w:lvl w:ilvl="8" w:tplc="F61AEF50">
      <w:numFmt w:val="decimal"/>
      <w:lvlText w:val=""/>
      <w:lvlJc w:val="left"/>
    </w:lvl>
  </w:abstractNum>
  <w:abstractNum w:abstractNumId="289" w15:restartNumberingAfterBreak="0">
    <w:nsid w:val="15EC2DCC"/>
    <w:multiLevelType w:val="hybridMultilevel"/>
    <w:tmpl w:val="45E00238"/>
    <w:lvl w:ilvl="0" w:tplc="7276AA9C">
      <w:start w:val="1"/>
      <w:numFmt w:val="bullet"/>
      <w:lvlText w:val=""/>
      <w:lvlJc w:val="left"/>
      <w:pPr>
        <w:ind w:left="720" w:hanging="180"/>
      </w:pPr>
      <w:rPr>
        <w:rFonts w:ascii="Symbol" w:hAnsi="Symbol" w:hint="default"/>
      </w:rPr>
    </w:lvl>
    <w:lvl w:ilvl="1" w:tplc="B12C5428">
      <w:numFmt w:val="decimal"/>
      <w:lvlText w:val=""/>
      <w:lvlJc w:val="left"/>
    </w:lvl>
    <w:lvl w:ilvl="2" w:tplc="14148F3A">
      <w:numFmt w:val="decimal"/>
      <w:lvlText w:val=""/>
      <w:lvlJc w:val="left"/>
    </w:lvl>
    <w:lvl w:ilvl="3" w:tplc="07E4F578">
      <w:numFmt w:val="decimal"/>
      <w:lvlText w:val=""/>
      <w:lvlJc w:val="left"/>
    </w:lvl>
    <w:lvl w:ilvl="4" w:tplc="C26C5758">
      <w:numFmt w:val="decimal"/>
      <w:lvlText w:val=""/>
      <w:lvlJc w:val="left"/>
    </w:lvl>
    <w:lvl w:ilvl="5" w:tplc="298C5DF0">
      <w:numFmt w:val="decimal"/>
      <w:lvlText w:val=""/>
      <w:lvlJc w:val="left"/>
    </w:lvl>
    <w:lvl w:ilvl="6" w:tplc="1BA6F306">
      <w:numFmt w:val="decimal"/>
      <w:lvlText w:val=""/>
      <w:lvlJc w:val="left"/>
    </w:lvl>
    <w:lvl w:ilvl="7" w:tplc="C1042D54">
      <w:numFmt w:val="decimal"/>
      <w:lvlText w:val=""/>
      <w:lvlJc w:val="left"/>
    </w:lvl>
    <w:lvl w:ilvl="8" w:tplc="75500800">
      <w:numFmt w:val="decimal"/>
      <w:lvlText w:val=""/>
      <w:lvlJc w:val="left"/>
    </w:lvl>
  </w:abstractNum>
  <w:abstractNum w:abstractNumId="290" w15:restartNumberingAfterBreak="0">
    <w:nsid w:val="163D5D40"/>
    <w:multiLevelType w:val="hybridMultilevel"/>
    <w:tmpl w:val="3D987520"/>
    <w:lvl w:ilvl="0" w:tplc="A6D49A80">
      <w:start w:val="1"/>
      <w:numFmt w:val="bullet"/>
      <w:lvlText w:val=""/>
      <w:lvlJc w:val="left"/>
      <w:pPr>
        <w:ind w:left="720" w:hanging="180"/>
      </w:pPr>
      <w:rPr>
        <w:rFonts w:ascii="Symbol" w:hAnsi="Symbol" w:hint="default"/>
      </w:rPr>
    </w:lvl>
    <w:lvl w:ilvl="1" w:tplc="C66CC8A4">
      <w:numFmt w:val="decimal"/>
      <w:lvlText w:val=""/>
      <w:lvlJc w:val="left"/>
    </w:lvl>
    <w:lvl w:ilvl="2" w:tplc="C276A03E">
      <w:numFmt w:val="decimal"/>
      <w:lvlText w:val=""/>
      <w:lvlJc w:val="left"/>
    </w:lvl>
    <w:lvl w:ilvl="3" w:tplc="086A10E4">
      <w:numFmt w:val="decimal"/>
      <w:lvlText w:val=""/>
      <w:lvlJc w:val="left"/>
    </w:lvl>
    <w:lvl w:ilvl="4" w:tplc="3C586C20">
      <w:numFmt w:val="decimal"/>
      <w:lvlText w:val=""/>
      <w:lvlJc w:val="left"/>
    </w:lvl>
    <w:lvl w:ilvl="5" w:tplc="943C3E86">
      <w:numFmt w:val="decimal"/>
      <w:lvlText w:val=""/>
      <w:lvlJc w:val="left"/>
    </w:lvl>
    <w:lvl w:ilvl="6" w:tplc="E9F01932">
      <w:numFmt w:val="decimal"/>
      <w:lvlText w:val=""/>
      <w:lvlJc w:val="left"/>
    </w:lvl>
    <w:lvl w:ilvl="7" w:tplc="E1424F26">
      <w:numFmt w:val="decimal"/>
      <w:lvlText w:val=""/>
      <w:lvlJc w:val="left"/>
    </w:lvl>
    <w:lvl w:ilvl="8" w:tplc="DE6C768C">
      <w:numFmt w:val="decimal"/>
      <w:lvlText w:val=""/>
      <w:lvlJc w:val="left"/>
    </w:lvl>
  </w:abstractNum>
  <w:abstractNum w:abstractNumId="291" w15:restartNumberingAfterBreak="0">
    <w:nsid w:val="163D5FEC"/>
    <w:multiLevelType w:val="hybridMultilevel"/>
    <w:tmpl w:val="4ED4B10A"/>
    <w:lvl w:ilvl="0" w:tplc="75DACBFC">
      <w:start w:val="1"/>
      <w:numFmt w:val="bullet"/>
      <w:lvlText w:val=""/>
      <w:lvlJc w:val="left"/>
      <w:pPr>
        <w:ind w:left="720" w:hanging="180"/>
      </w:pPr>
      <w:rPr>
        <w:rFonts w:ascii="Symbol" w:hAnsi="Symbol" w:hint="default"/>
      </w:rPr>
    </w:lvl>
    <w:lvl w:ilvl="1" w:tplc="0118595A">
      <w:numFmt w:val="decimal"/>
      <w:lvlText w:val=""/>
      <w:lvlJc w:val="left"/>
    </w:lvl>
    <w:lvl w:ilvl="2" w:tplc="2918D196">
      <w:numFmt w:val="decimal"/>
      <w:lvlText w:val=""/>
      <w:lvlJc w:val="left"/>
    </w:lvl>
    <w:lvl w:ilvl="3" w:tplc="14347240">
      <w:numFmt w:val="decimal"/>
      <w:lvlText w:val=""/>
      <w:lvlJc w:val="left"/>
    </w:lvl>
    <w:lvl w:ilvl="4" w:tplc="8B76CFBC">
      <w:numFmt w:val="decimal"/>
      <w:lvlText w:val=""/>
      <w:lvlJc w:val="left"/>
    </w:lvl>
    <w:lvl w:ilvl="5" w:tplc="11E85228">
      <w:numFmt w:val="decimal"/>
      <w:lvlText w:val=""/>
      <w:lvlJc w:val="left"/>
    </w:lvl>
    <w:lvl w:ilvl="6" w:tplc="355A14FA">
      <w:numFmt w:val="decimal"/>
      <w:lvlText w:val=""/>
      <w:lvlJc w:val="left"/>
    </w:lvl>
    <w:lvl w:ilvl="7" w:tplc="3D44ED42">
      <w:numFmt w:val="decimal"/>
      <w:lvlText w:val=""/>
      <w:lvlJc w:val="left"/>
    </w:lvl>
    <w:lvl w:ilvl="8" w:tplc="BFCA4EFC">
      <w:numFmt w:val="decimal"/>
      <w:lvlText w:val=""/>
      <w:lvlJc w:val="left"/>
    </w:lvl>
  </w:abstractNum>
  <w:abstractNum w:abstractNumId="292" w15:restartNumberingAfterBreak="0">
    <w:nsid w:val="16420671"/>
    <w:multiLevelType w:val="hybridMultilevel"/>
    <w:tmpl w:val="9A645588"/>
    <w:lvl w:ilvl="0" w:tplc="BC48C5AA">
      <w:start w:val="1"/>
      <w:numFmt w:val="bullet"/>
      <w:lvlText w:val=""/>
      <w:lvlJc w:val="left"/>
      <w:pPr>
        <w:ind w:left="720" w:hanging="180"/>
      </w:pPr>
      <w:rPr>
        <w:rFonts w:ascii="Symbol" w:hAnsi="Symbol" w:hint="default"/>
      </w:rPr>
    </w:lvl>
    <w:lvl w:ilvl="1" w:tplc="AA227C0A">
      <w:numFmt w:val="decimal"/>
      <w:lvlText w:val=""/>
      <w:lvlJc w:val="left"/>
    </w:lvl>
    <w:lvl w:ilvl="2" w:tplc="F4088D7E">
      <w:numFmt w:val="decimal"/>
      <w:lvlText w:val=""/>
      <w:lvlJc w:val="left"/>
    </w:lvl>
    <w:lvl w:ilvl="3" w:tplc="8B88728E">
      <w:numFmt w:val="decimal"/>
      <w:lvlText w:val=""/>
      <w:lvlJc w:val="left"/>
    </w:lvl>
    <w:lvl w:ilvl="4" w:tplc="491063B2">
      <w:numFmt w:val="decimal"/>
      <w:lvlText w:val=""/>
      <w:lvlJc w:val="left"/>
    </w:lvl>
    <w:lvl w:ilvl="5" w:tplc="0456C4BE">
      <w:numFmt w:val="decimal"/>
      <w:lvlText w:val=""/>
      <w:lvlJc w:val="left"/>
    </w:lvl>
    <w:lvl w:ilvl="6" w:tplc="4FEA343E">
      <w:numFmt w:val="decimal"/>
      <w:lvlText w:val=""/>
      <w:lvlJc w:val="left"/>
    </w:lvl>
    <w:lvl w:ilvl="7" w:tplc="9744A8CA">
      <w:numFmt w:val="decimal"/>
      <w:lvlText w:val=""/>
      <w:lvlJc w:val="left"/>
    </w:lvl>
    <w:lvl w:ilvl="8" w:tplc="D1B0F8AA">
      <w:numFmt w:val="decimal"/>
      <w:lvlText w:val=""/>
      <w:lvlJc w:val="left"/>
    </w:lvl>
  </w:abstractNum>
  <w:abstractNum w:abstractNumId="293" w15:restartNumberingAfterBreak="0">
    <w:nsid w:val="1643355A"/>
    <w:multiLevelType w:val="hybridMultilevel"/>
    <w:tmpl w:val="FCF63246"/>
    <w:lvl w:ilvl="0" w:tplc="FFB6956E">
      <w:numFmt w:val="decimal"/>
      <w:lvlText w:val=""/>
      <w:lvlJc w:val="left"/>
    </w:lvl>
    <w:lvl w:ilvl="1" w:tplc="0A9C81F0">
      <w:start w:val="1"/>
      <w:numFmt w:val="bullet"/>
      <w:lvlText w:val=""/>
      <w:lvlJc w:val="left"/>
      <w:pPr>
        <w:ind w:left="1440" w:hanging="180"/>
      </w:pPr>
      <w:rPr>
        <w:rFonts w:ascii="Symbol" w:hAnsi="Symbol" w:hint="default"/>
      </w:rPr>
    </w:lvl>
    <w:lvl w:ilvl="2" w:tplc="3B686F90">
      <w:numFmt w:val="decimal"/>
      <w:lvlText w:val=""/>
      <w:lvlJc w:val="left"/>
    </w:lvl>
    <w:lvl w:ilvl="3" w:tplc="849CC69A">
      <w:numFmt w:val="decimal"/>
      <w:lvlText w:val=""/>
      <w:lvlJc w:val="left"/>
    </w:lvl>
    <w:lvl w:ilvl="4" w:tplc="B2641AD6">
      <w:numFmt w:val="decimal"/>
      <w:lvlText w:val=""/>
      <w:lvlJc w:val="left"/>
    </w:lvl>
    <w:lvl w:ilvl="5" w:tplc="FCC23316">
      <w:numFmt w:val="decimal"/>
      <w:lvlText w:val=""/>
      <w:lvlJc w:val="left"/>
    </w:lvl>
    <w:lvl w:ilvl="6" w:tplc="494C65F6">
      <w:numFmt w:val="decimal"/>
      <w:lvlText w:val=""/>
      <w:lvlJc w:val="left"/>
    </w:lvl>
    <w:lvl w:ilvl="7" w:tplc="0058A47C">
      <w:numFmt w:val="decimal"/>
      <w:lvlText w:val=""/>
      <w:lvlJc w:val="left"/>
    </w:lvl>
    <w:lvl w:ilvl="8" w:tplc="A68A9E08">
      <w:numFmt w:val="decimal"/>
      <w:lvlText w:val=""/>
      <w:lvlJc w:val="left"/>
    </w:lvl>
  </w:abstractNum>
  <w:abstractNum w:abstractNumId="294" w15:restartNumberingAfterBreak="0">
    <w:nsid w:val="165A35DD"/>
    <w:multiLevelType w:val="hybridMultilevel"/>
    <w:tmpl w:val="3D1A8F56"/>
    <w:lvl w:ilvl="0" w:tplc="7DB630BC">
      <w:start w:val="1"/>
      <w:numFmt w:val="bullet"/>
      <w:lvlText w:val=""/>
      <w:lvlJc w:val="left"/>
      <w:pPr>
        <w:ind w:left="720" w:hanging="180"/>
      </w:pPr>
      <w:rPr>
        <w:rFonts w:ascii="Symbol" w:hAnsi="Symbol" w:hint="default"/>
      </w:rPr>
    </w:lvl>
    <w:lvl w:ilvl="1" w:tplc="1ECE4B5C">
      <w:numFmt w:val="decimal"/>
      <w:lvlText w:val=""/>
      <w:lvlJc w:val="left"/>
    </w:lvl>
    <w:lvl w:ilvl="2" w:tplc="570853D8">
      <w:numFmt w:val="decimal"/>
      <w:lvlText w:val=""/>
      <w:lvlJc w:val="left"/>
    </w:lvl>
    <w:lvl w:ilvl="3" w:tplc="FE465C94">
      <w:numFmt w:val="decimal"/>
      <w:lvlText w:val=""/>
      <w:lvlJc w:val="left"/>
    </w:lvl>
    <w:lvl w:ilvl="4" w:tplc="233C0CF2">
      <w:numFmt w:val="decimal"/>
      <w:lvlText w:val=""/>
      <w:lvlJc w:val="left"/>
    </w:lvl>
    <w:lvl w:ilvl="5" w:tplc="0F9EA764">
      <w:numFmt w:val="decimal"/>
      <w:lvlText w:val=""/>
      <w:lvlJc w:val="left"/>
    </w:lvl>
    <w:lvl w:ilvl="6" w:tplc="193ECA4E">
      <w:numFmt w:val="decimal"/>
      <w:lvlText w:val=""/>
      <w:lvlJc w:val="left"/>
    </w:lvl>
    <w:lvl w:ilvl="7" w:tplc="CB6EDCD0">
      <w:numFmt w:val="decimal"/>
      <w:lvlText w:val=""/>
      <w:lvlJc w:val="left"/>
    </w:lvl>
    <w:lvl w:ilvl="8" w:tplc="CE30BD96">
      <w:numFmt w:val="decimal"/>
      <w:lvlText w:val=""/>
      <w:lvlJc w:val="left"/>
    </w:lvl>
  </w:abstractNum>
  <w:abstractNum w:abstractNumId="295" w15:restartNumberingAfterBreak="0">
    <w:nsid w:val="166305D3"/>
    <w:multiLevelType w:val="hybridMultilevel"/>
    <w:tmpl w:val="190076DA"/>
    <w:lvl w:ilvl="0" w:tplc="05F01738">
      <w:start w:val="1"/>
      <w:numFmt w:val="bullet"/>
      <w:lvlText w:val=""/>
      <w:lvlJc w:val="left"/>
      <w:pPr>
        <w:ind w:left="720" w:hanging="180"/>
      </w:pPr>
      <w:rPr>
        <w:rFonts w:ascii="Symbol" w:hAnsi="Symbol" w:hint="default"/>
      </w:rPr>
    </w:lvl>
    <w:lvl w:ilvl="1" w:tplc="23A8441C">
      <w:numFmt w:val="decimal"/>
      <w:lvlText w:val=""/>
      <w:lvlJc w:val="left"/>
    </w:lvl>
    <w:lvl w:ilvl="2" w:tplc="7BDC4316">
      <w:numFmt w:val="decimal"/>
      <w:lvlText w:val=""/>
      <w:lvlJc w:val="left"/>
    </w:lvl>
    <w:lvl w:ilvl="3" w:tplc="F2264B66">
      <w:numFmt w:val="decimal"/>
      <w:lvlText w:val=""/>
      <w:lvlJc w:val="left"/>
    </w:lvl>
    <w:lvl w:ilvl="4" w:tplc="09F09536">
      <w:numFmt w:val="decimal"/>
      <w:lvlText w:val=""/>
      <w:lvlJc w:val="left"/>
    </w:lvl>
    <w:lvl w:ilvl="5" w:tplc="A2529D3E">
      <w:numFmt w:val="decimal"/>
      <w:lvlText w:val=""/>
      <w:lvlJc w:val="left"/>
    </w:lvl>
    <w:lvl w:ilvl="6" w:tplc="BB62263E">
      <w:numFmt w:val="decimal"/>
      <w:lvlText w:val=""/>
      <w:lvlJc w:val="left"/>
    </w:lvl>
    <w:lvl w:ilvl="7" w:tplc="6E6A4CB8">
      <w:numFmt w:val="decimal"/>
      <w:lvlText w:val=""/>
      <w:lvlJc w:val="left"/>
    </w:lvl>
    <w:lvl w:ilvl="8" w:tplc="82EAD964">
      <w:numFmt w:val="decimal"/>
      <w:lvlText w:val=""/>
      <w:lvlJc w:val="left"/>
    </w:lvl>
  </w:abstractNum>
  <w:abstractNum w:abstractNumId="296" w15:restartNumberingAfterBreak="0">
    <w:nsid w:val="1665562C"/>
    <w:multiLevelType w:val="hybridMultilevel"/>
    <w:tmpl w:val="3EC2208C"/>
    <w:lvl w:ilvl="0" w:tplc="E8C68E78">
      <w:start w:val="1"/>
      <w:numFmt w:val="bullet"/>
      <w:lvlText w:val=""/>
      <w:lvlJc w:val="left"/>
      <w:pPr>
        <w:ind w:left="720" w:hanging="180"/>
      </w:pPr>
      <w:rPr>
        <w:rFonts w:ascii="Symbol" w:hAnsi="Symbol" w:hint="default"/>
      </w:rPr>
    </w:lvl>
    <w:lvl w:ilvl="1" w:tplc="15EC618C">
      <w:numFmt w:val="decimal"/>
      <w:lvlText w:val=""/>
      <w:lvlJc w:val="left"/>
    </w:lvl>
    <w:lvl w:ilvl="2" w:tplc="CB3C5434">
      <w:numFmt w:val="decimal"/>
      <w:lvlText w:val=""/>
      <w:lvlJc w:val="left"/>
    </w:lvl>
    <w:lvl w:ilvl="3" w:tplc="AC9085C6">
      <w:numFmt w:val="decimal"/>
      <w:lvlText w:val=""/>
      <w:lvlJc w:val="left"/>
    </w:lvl>
    <w:lvl w:ilvl="4" w:tplc="A7BA23B0">
      <w:numFmt w:val="decimal"/>
      <w:lvlText w:val=""/>
      <w:lvlJc w:val="left"/>
    </w:lvl>
    <w:lvl w:ilvl="5" w:tplc="6F0EC552">
      <w:numFmt w:val="decimal"/>
      <w:lvlText w:val=""/>
      <w:lvlJc w:val="left"/>
    </w:lvl>
    <w:lvl w:ilvl="6" w:tplc="513E3984">
      <w:numFmt w:val="decimal"/>
      <w:lvlText w:val=""/>
      <w:lvlJc w:val="left"/>
    </w:lvl>
    <w:lvl w:ilvl="7" w:tplc="E38C210E">
      <w:numFmt w:val="decimal"/>
      <w:lvlText w:val=""/>
      <w:lvlJc w:val="left"/>
    </w:lvl>
    <w:lvl w:ilvl="8" w:tplc="569C0102">
      <w:numFmt w:val="decimal"/>
      <w:lvlText w:val=""/>
      <w:lvlJc w:val="left"/>
    </w:lvl>
  </w:abstractNum>
  <w:abstractNum w:abstractNumId="297" w15:restartNumberingAfterBreak="0">
    <w:nsid w:val="16805B72"/>
    <w:multiLevelType w:val="hybridMultilevel"/>
    <w:tmpl w:val="BC408B98"/>
    <w:lvl w:ilvl="0" w:tplc="CF381B94">
      <w:start w:val="1"/>
      <w:numFmt w:val="bullet"/>
      <w:lvlText w:val=""/>
      <w:lvlJc w:val="left"/>
      <w:pPr>
        <w:ind w:left="720" w:hanging="180"/>
      </w:pPr>
      <w:rPr>
        <w:rFonts w:ascii="Symbol" w:hAnsi="Symbol" w:hint="default"/>
      </w:rPr>
    </w:lvl>
    <w:lvl w:ilvl="1" w:tplc="54EC37DE">
      <w:numFmt w:val="decimal"/>
      <w:lvlText w:val=""/>
      <w:lvlJc w:val="left"/>
    </w:lvl>
    <w:lvl w:ilvl="2" w:tplc="CE40F338">
      <w:numFmt w:val="decimal"/>
      <w:lvlText w:val=""/>
      <w:lvlJc w:val="left"/>
    </w:lvl>
    <w:lvl w:ilvl="3" w:tplc="4A4007F6">
      <w:numFmt w:val="decimal"/>
      <w:lvlText w:val=""/>
      <w:lvlJc w:val="left"/>
    </w:lvl>
    <w:lvl w:ilvl="4" w:tplc="D9541884">
      <w:numFmt w:val="decimal"/>
      <w:lvlText w:val=""/>
      <w:lvlJc w:val="left"/>
    </w:lvl>
    <w:lvl w:ilvl="5" w:tplc="D5D85390">
      <w:numFmt w:val="decimal"/>
      <w:lvlText w:val=""/>
      <w:lvlJc w:val="left"/>
    </w:lvl>
    <w:lvl w:ilvl="6" w:tplc="4B706526">
      <w:numFmt w:val="decimal"/>
      <w:lvlText w:val=""/>
      <w:lvlJc w:val="left"/>
    </w:lvl>
    <w:lvl w:ilvl="7" w:tplc="C5A84DA4">
      <w:numFmt w:val="decimal"/>
      <w:lvlText w:val=""/>
      <w:lvlJc w:val="left"/>
    </w:lvl>
    <w:lvl w:ilvl="8" w:tplc="DD628798">
      <w:numFmt w:val="decimal"/>
      <w:lvlText w:val=""/>
      <w:lvlJc w:val="left"/>
    </w:lvl>
  </w:abstractNum>
  <w:abstractNum w:abstractNumId="298" w15:restartNumberingAfterBreak="0">
    <w:nsid w:val="16AB4C1B"/>
    <w:multiLevelType w:val="hybridMultilevel"/>
    <w:tmpl w:val="FA182E68"/>
    <w:lvl w:ilvl="0" w:tplc="9EC45B38">
      <w:numFmt w:val="decimal"/>
      <w:lvlText w:val=""/>
      <w:lvlJc w:val="left"/>
    </w:lvl>
    <w:lvl w:ilvl="1" w:tplc="CC00BEBA">
      <w:start w:val="1"/>
      <w:numFmt w:val="bullet"/>
      <w:lvlText w:val=""/>
      <w:lvlJc w:val="left"/>
      <w:pPr>
        <w:ind w:left="1440" w:hanging="180"/>
      </w:pPr>
      <w:rPr>
        <w:rFonts w:ascii="Symbol" w:hAnsi="Symbol" w:hint="default"/>
      </w:rPr>
    </w:lvl>
    <w:lvl w:ilvl="2" w:tplc="5C42E980">
      <w:numFmt w:val="decimal"/>
      <w:lvlText w:val=""/>
      <w:lvlJc w:val="left"/>
    </w:lvl>
    <w:lvl w:ilvl="3" w:tplc="5BEA98D4">
      <w:numFmt w:val="decimal"/>
      <w:lvlText w:val=""/>
      <w:lvlJc w:val="left"/>
    </w:lvl>
    <w:lvl w:ilvl="4" w:tplc="94F87D4E">
      <w:numFmt w:val="decimal"/>
      <w:lvlText w:val=""/>
      <w:lvlJc w:val="left"/>
    </w:lvl>
    <w:lvl w:ilvl="5" w:tplc="93DCD7D8">
      <w:numFmt w:val="decimal"/>
      <w:lvlText w:val=""/>
      <w:lvlJc w:val="left"/>
    </w:lvl>
    <w:lvl w:ilvl="6" w:tplc="F9CCC3DA">
      <w:numFmt w:val="decimal"/>
      <w:lvlText w:val=""/>
      <w:lvlJc w:val="left"/>
    </w:lvl>
    <w:lvl w:ilvl="7" w:tplc="F3F0E4EA">
      <w:numFmt w:val="decimal"/>
      <w:lvlText w:val=""/>
      <w:lvlJc w:val="left"/>
    </w:lvl>
    <w:lvl w:ilvl="8" w:tplc="81369D42">
      <w:numFmt w:val="decimal"/>
      <w:lvlText w:val=""/>
      <w:lvlJc w:val="left"/>
    </w:lvl>
  </w:abstractNum>
  <w:abstractNum w:abstractNumId="299" w15:restartNumberingAfterBreak="0">
    <w:nsid w:val="16BB457C"/>
    <w:multiLevelType w:val="hybridMultilevel"/>
    <w:tmpl w:val="CE14914E"/>
    <w:lvl w:ilvl="0" w:tplc="D71E4CC8">
      <w:start w:val="1"/>
      <w:numFmt w:val="bullet"/>
      <w:lvlText w:val=""/>
      <w:lvlJc w:val="left"/>
      <w:pPr>
        <w:ind w:left="720" w:hanging="180"/>
      </w:pPr>
      <w:rPr>
        <w:rFonts w:ascii="Symbol" w:hAnsi="Symbol" w:hint="default"/>
      </w:rPr>
    </w:lvl>
    <w:lvl w:ilvl="1" w:tplc="21B46AA2">
      <w:numFmt w:val="decimal"/>
      <w:lvlText w:val=""/>
      <w:lvlJc w:val="left"/>
    </w:lvl>
    <w:lvl w:ilvl="2" w:tplc="412A3F78">
      <w:numFmt w:val="decimal"/>
      <w:lvlText w:val=""/>
      <w:lvlJc w:val="left"/>
    </w:lvl>
    <w:lvl w:ilvl="3" w:tplc="65D62A46">
      <w:numFmt w:val="decimal"/>
      <w:lvlText w:val=""/>
      <w:lvlJc w:val="left"/>
    </w:lvl>
    <w:lvl w:ilvl="4" w:tplc="471EBBD8">
      <w:numFmt w:val="decimal"/>
      <w:lvlText w:val=""/>
      <w:lvlJc w:val="left"/>
    </w:lvl>
    <w:lvl w:ilvl="5" w:tplc="DF6E2BC2">
      <w:numFmt w:val="decimal"/>
      <w:lvlText w:val=""/>
      <w:lvlJc w:val="left"/>
    </w:lvl>
    <w:lvl w:ilvl="6" w:tplc="2FAC4E6E">
      <w:numFmt w:val="decimal"/>
      <w:lvlText w:val=""/>
      <w:lvlJc w:val="left"/>
    </w:lvl>
    <w:lvl w:ilvl="7" w:tplc="3EDC0852">
      <w:numFmt w:val="decimal"/>
      <w:lvlText w:val=""/>
      <w:lvlJc w:val="left"/>
    </w:lvl>
    <w:lvl w:ilvl="8" w:tplc="819E070C">
      <w:numFmt w:val="decimal"/>
      <w:lvlText w:val=""/>
      <w:lvlJc w:val="left"/>
    </w:lvl>
  </w:abstractNum>
  <w:abstractNum w:abstractNumId="300" w15:restartNumberingAfterBreak="0">
    <w:nsid w:val="16E16761"/>
    <w:multiLevelType w:val="hybridMultilevel"/>
    <w:tmpl w:val="7D721814"/>
    <w:lvl w:ilvl="0" w:tplc="12BAD474">
      <w:start w:val="1"/>
      <w:numFmt w:val="bullet"/>
      <w:lvlText w:val=""/>
      <w:lvlJc w:val="left"/>
      <w:pPr>
        <w:ind w:left="720" w:hanging="180"/>
      </w:pPr>
      <w:rPr>
        <w:rFonts w:ascii="Symbol" w:hAnsi="Symbol" w:hint="default"/>
      </w:rPr>
    </w:lvl>
    <w:lvl w:ilvl="1" w:tplc="031C907C">
      <w:numFmt w:val="decimal"/>
      <w:lvlText w:val=""/>
      <w:lvlJc w:val="left"/>
    </w:lvl>
    <w:lvl w:ilvl="2" w:tplc="881AE6D2">
      <w:numFmt w:val="decimal"/>
      <w:lvlText w:val=""/>
      <w:lvlJc w:val="left"/>
    </w:lvl>
    <w:lvl w:ilvl="3" w:tplc="C7E8AF00">
      <w:numFmt w:val="decimal"/>
      <w:lvlText w:val=""/>
      <w:lvlJc w:val="left"/>
    </w:lvl>
    <w:lvl w:ilvl="4" w:tplc="48AA125C">
      <w:numFmt w:val="decimal"/>
      <w:lvlText w:val=""/>
      <w:lvlJc w:val="left"/>
    </w:lvl>
    <w:lvl w:ilvl="5" w:tplc="B91CD9D4">
      <w:numFmt w:val="decimal"/>
      <w:lvlText w:val=""/>
      <w:lvlJc w:val="left"/>
    </w:lvl>
    <w:lvl w:ilvl="6" w:tplc="36C69BF0">
      <w:numFmt w:val="decimal"/>
      <w:lvlText w:val=""/>
      <w:lvlJc w:val="left"/>
    </w:lvl>
    <w:lvl w:ilvl="7" w:tplc="DE9A47F6">
      <w:numFmt w:val="decimal"/>
      <w:lvlText w:val=""/>
      <w:lvlJc w:val="left"/>
    </w:lvl>
    <w:lvl w:ilvl="8" w:tplc="F82C3F0C">
      <w:numFmt w:val="decimal"/>
      <w:lvlText w:val=""/>
      <w:lvlJc w:val="left"/>
    </w:lvl>
  </w:abstractNum>
  <w:abstractNum w:abstractNumId="301" w15:restartNumberingAfterBreak="0">
    <w:nsid w:val="16F73479"/>
    <w:multiLevelType w:val="hybridMultilevel"/>
    <w:tmpl w:val="A04CEFD0"/>
    <w:lvl w:ilvl="0" w:tplc="AE325C4A">
      <w:start w:val="1"/>
      <w:numFmt w:val="bullet"/>
      <w:lvlText w:val=""/>
      <w:lvlJc w:val="left"/>
      <w:pPr>
        <w:ind w:left="720" w:hanging="180"/>
      </w:pPr>
      <w:rPr>
        <w:rFonts w:ascii="Symbol" w:hAnsi="Symbol" w:hint="default"/>
      </w:rPr>
    </w:lvl>
    <w:lvl w:ilvl="1" w:tplc="EFD42C48">
      <w:numFmt w:val="decimal"/>
      <w:lvlText w:val=""/>
      <w:lvlJc w:val="left"/>
    </w:lvl>
    <w:lvl w:ilvl="2" w:tplc="19986176">
      <w:numFmt w:val="decimal"/>
      <w:lvlText w:val=""/>
      <w:lvlJc w:val="left"/>
    </w:lvl>
    <w:lvl w:ilvl="3" w:tplc="5936D58A">
      <w:numFmt w:val="decimal"/>
      <w:lvlText w:val=""/>
      <w:lvlJc w:val="left"/>
    </w:lvl>
    <w:lvl w:ilvl="4" w:tplc="C8284B58">
      <w:numFmt w:val="decimal"/>
      <w:lvlText w:val=""/>
      <w:lvlJc w:val="left"/>
    </w:lvl>
    <w:lvl w:ilvl="5" w:tplc="C33AFFBE">
      <w:numFmt w:val="decimal"/>
      <w:lvlText w:val=""/>
      <w:lvlJc w:val="left"/>
    </w:lvl>
    <w:lvl w:ilvl="6" w:tplc="BF1E9538">
      <w:numFmt w:val="decimal"/>
      <w:lvlText w:val=""/>
      <w:lvlJc w:val="left"/>
    </w:lvl>
    <w:lvl w:ilvl="7" w:tplc="F99A2F2E">
      <w:numFmt w:val="decimal"/>
      <w:lvlText w:val=""/>
      <w:lvlJc w:val="left"/>
    </w:lvl>
    <w:lvl w:ilvl="8" w:tplc="3CE691AA">
      <w:numFmt w:val="decimal"/>
      <w:lvlText w:val=""/>
      <w:lvlJc w:val="left"/>
    </w:lvl>
  </w:abstractNum>
  <w:abstractNum w:abstractNumId="302" w15:restartNumberingAfterBreak="0">
    <w:nsid w:val="170E3C52"/>
    <w:multiLevelType w:val="hybridMultilevel"/>
    <w:tmpl w:val="9AF8A770"/>
    <w:lvl w:ilvl="0" w:tplc="1AAEFD8A">
      <w:numFmt w:val="decimal"/>
      <w:lvlText w:val=""/>
      <w:lvlJc w:val="left"/>
    </w:lvl>
    <w:lvl w:ilvl="1" w:tplc="52C4BD06">
      <w:start w:val="1"/>
      <w:numFmt w:val="bullet"/>
      <w:lvlText w:val=""/>
      <w:lvlJc w:val="left"/>
      <w:pPr>
        <w:ind w:left="1440" w:hanging="180"/>
      </w:pPr>
      <w:rPr>
        <w:rFonts w:ascii="Symbol" w:hAnsi="Symbol" w:hint="default"/>
      </w:rPr>
    </w:lvl>
    <w:lvl w:ilvl="2" w:tplc="021C5854">
      <w:numFmt w:val="decimal"/>
      <w:lvlText w:val=""/>
      <w:lvlJc w:val="left"/>
    </w:lvl>
    <w:lvl w:ilvl="3" w:tplc="0B60A060">
      <w:numFmt w:val="decimal"/>
      <w:lvlText w:val=""/>
      <w:lvlJc w:val="left"/>
    </w:lvl>
    <w:lvl w:ilvl="4" w:tplc="060436E2">
      <w:numFmt w:val="decimal"/>
      <w:lvlText w:val=""/>
      <w:lvlJc w:val="left"/>
    </w:lvl>
    <w:lvl w:ilvl="5" w:tplc="FCAABEF8">
      <w:numFmt w:val="decimal"/>
      <w:lvlText w:val=""/>
      <w:lvlJc w:val="left"/>
    </w:lvl>
    <w:lvl w:ilvl="6" w:tplc="DC7AF46A">
      <w:numFmt w:val="decimal"/>
      <w:lvlText w:val=""/>
      <w:lvlJc w:val="left"/>
    </w:lvl>
    <w:lvl w:ilvl="7" w:tplc="51661CF4">
      <w:numFmt w:val="decimal"/>
      <w:lvlText w:val=""/>
      <w:lvlJc w:val="left"/>
    </w:lvl>
    <w:lvl w:ilvl="8" w:tplc="1416DCCC">
      <w:numFmt w:val="decimal"/>
      <w:lvlText w:val=""/>
      <w:lvlJc w:val="left"/>
    </w:lvl>
  </w:abstractNum>
  <w:abstractNum w:abstractNumId="303" w15:restartNumberingAfterBreak="0">
    <w:nsid w:val="171666EC"/>
    <w:multiLevelType w:val="hybridMultilevel"/>
    <w:tmpl w:val="52A2ABA2"/>
    <w:lvl w:ilvl="0" w:tplc="EC74A2E4">
      <w:start w:val="1"/>
      <w:numFmt w:val="bullet"/>
      <w:lvlText w:val=""/>
      <w:lvlJc w:val="left"/>
      <w:pPr>
        <w:ind w:left="720" w:hanging="180"/>
      </w:pPr>
      <w:rPr>
        <w:rFonts w:ascii="Symbol" w:hAnsi="Symbol" w:hint="default"/>
      </w:rPr>
    </w:lvl>
    <w:lvl w:ilvl="1" w:tplc="A93AB878">
      <w:numFmt w:val="decimal"/>
      <w:lvlText w:val=""/>
      <w:lvlJc w:val="left"/>
    </w:lvl>
    <w:lvl w:ilvl="2" w:tplc="8280D9EA">
      <w:numFmt w:val="decimal"/>
      <w:lvlText w:val=""/>
      <w:lvlJc w:val="left"/>
    </w:lvl>
    <w:lvl w:ilvl="3" w:tplc="65FCD656">
      <w:numFmt w:val="decimal"/>
      <w:lvlText w:val=""/>
      <w:lvlJc w:val="left"/>
    </w:lvl>
    <w:lvl w:ilvl="4" w:tplc="2D28D3F2">
      <w:numFmt w:val="decimal"/>
      <w:lvlText w:val=""/>
      <w:lvlJc w:val="left"/>
    </w:lvl>
    <w:lvl w:ilvl="5" w:tplc="8698EE0C">
      <w:numFmt w:val="decimal"/>
      <w:lvlText w:val=""/>
      <w:lvlJc w:val="left"/>
    </w:lvl>
    <w:lvl w:ilvl="6" w:tplc="060C797A">
      <w:numFmt w:val="decimal"/>
      <w:lvlText w:val=""/>
      <w:lvlJc w:val="left"/>
    </w:lvl>
    <w:lvl w:ilvl="7" w:tplc="A3EAE72E">
      <w:numFmt w:val="decimal"/>
      <w:lvlText w:val=""/>
      <w:lvlJc w:val="left"/>
    </w:lvl>
    <w:lvl w:ilvl="8" w:tplc="89145096">
      <w:numFmt w:val="decimal"/>
      <w:lvlText w:val=""/>
      <w:lvlJc w:val="left"/>
    </w:lvl>
  </w:abstractNum>
  <w:abstractNum w:abstractNumId="304" w15:restartNumberingAfterBreak="0">
    <w:nsid w:val="17387D99"/>
    <w:multiLevelType w:val="hybridMultilevel"/>
    <w:tmpl w:val="56E04618"/>
    <w:lvl w:ilvl="0" w:tplc="8A00B1CE">
      <w:numFmt w:val="decimal"/>
      <w:lvlText w:val=""/>
      <w:lvlJc w:val="left"/>
    </w:lvl>
    <w:lvl w:ilvl="1" w:tplc="B740C070">
      <w:start w:val="1"/>
      <w:numFmt w:val="bullet"/>
      <w:lvlText w:val=""/>
      <w:lvlJc w:val="left"/>
      <w:pPr>
        <w:ind w:left="1440" w:hanging="180"/>
      </w:pPr>
      <w:rPr>
        <w:rFonts w:ascii="Symbol" w:hAnsi="Symbol" w:hint="default"/>
      </w:rPr>
    </w:lvl>
    <w:lvl w:ilvl="2" w:tplc="2B8AA156">
      <w:numFmt w:val="decimal"/>
      <w:lvlText w:val=""/>
      <w:lvlJc w:val="left"/>
    </w:lvl>
    <w:lvl w:ilvl="3" w:tplc="F2D8F354">
      <w:numFmt w:val="decimal"/>
      <w:lvlText w:val=""/>
      <w:lvlJc w:val="left"/>
    </w:lvl>
    <w:lvl w:ilvl="4" w:tplc="6638E25A">
      <w:numFmt w:val="decimal"/>
      <w:lvlText w:val=""/>
      <w:lvlJc w:val="left"/>
    </w:lvl>
    <w:lvl w:ilvl="5" w:tplc="5BA2F164">
      <w:numFmt w:val="decimal"/>
      <w:lvlText w:val=""/>
      <w:lvlJc w:val="left"/>
    </w:lvl>
    <w:lvl w:ilvl="6" w:tplc="38F46FBE">
      <w:numFmt w:val="decimal"/>
      <w:lvlText w:val=""/>
      <w:lvlJc w:val="left"/>
    </w:lvl>
    <w:lvl w:ilvl="7" w:tplc="5360F308">
      <w:numFmt w:val="decimal"/>
      <w:lvlText w:val=""/>
      <w:lvlJc w:val="left"/>
    </w:lvl>
    <w:lvl w:ilvl="8" w:tplc="3556A5D6">
      <w:numFmt w:val="decimal"/>
      <w:lvlText w:val=""/>
      <w:lvlJc w:val="left"/>
    </w:lvl>
  </w:abstractNum>
  <w:abstractNum w:abstractNumId="305" w15:restartNumberingAfterBreak="0">
    <w:nsid w:val="173A33D7"/>
    <w:multiLevelType w:val="hybridMultilevel"/>
    <w:tmpl w:val="F4F4D96E"/>
    <w:lvl w:ilvl="0" w:tplc="F92EDDFC">
      <w:start w:val="1"/>
      <w:numFmt w:val="bullet"/>
      <w:lvlText w:val=""/>
      <w:lvlJc w:val="left"/>
      <w:pPr>
        <w:ind w:left="720" w:hanging="180"/>
      </w:pPr>
      <w:rPr>
        <w:rFonts w:ascii="Symbol" w:hAnsi="Symbol" w:hint="default"/>
      </w:rPr>
    </w:lvl>
    <w:lvl w:ilvl="1" w:tplc="A1DA911A">
      <w:numFmt w:val="decimal"/>
      <w:lvlText w:val=""/>
      <w:lvlJc w:val="left"/>
    </w:lvl>
    <w:lvl w:ilvl="2" w:tplc="3AF4F6C8">
      <w:numFmt w:val="decimal"/>
      <w:lvlText w:val=""/>
      <w:lvlJc w:val="left"/>
    </w:lvl>
    <w:lvl w:ilvl="3" w:tplc="067AE006">
      <w:numFmt w:val="decimal"/>
      <w:lvlText w:val=""/>
      <w:lvlJc w:val="left"/>
    </w:lvl>
    <w:lvl w:ilvl="4" w:tplc="E18AF85E">
      <w:numFmt w:val="decimal"/>
      <w:lvlText w:val=""/>
      <w:lvlJc w:val="left"/>
    </w:lvl>
    <w:lvl w:ilvl="5" w:tplc="E9ECC53E">
      <w:numFmt w:val="decimal"/>
      <w:lvlText w:val=""/>
      <w:lvlJc w:val="left"/>
    </w:lvl>
    <w:lvl w:ilvl="6" w:tplc="7EEC987A">
      <w:numFmt w:val="decimal"/>
      <w:lvlText w:val=""/>
      <w:lvlJc w:val="left"/>
    </w:lvl>
    <w:lvl w:ilvl="7" w:tplc="188E6F36">
      <w:numFmt w:val="decimal"/>
      <w:lvlText w:val=""/>
      <w:lvlJc w:val="left"/>
    </w:lvl>
    <w:lvl w:ilvl="8" w:tplc="CE1A4EA2">
      <w:numFmt w:val="decimal"/>
      <w:lvlText w:val=""/>
      <w:lvlJc w:val="left"/>
    </w:lvl>
  </w:abstractNum>
  <w:abstractNum w:abstractNumId="306" w15:restartNumberingAfterBreak="0">
    <w:nsid w:val="173C0D02"/>
    <w:multiLevelType w:val="hybridMultilevel"/>
    <w:tmpl w:val="4E92A1A0"/>
    <w:lvl w:ilvl="0" w:tplc="FDB00A60">
      <w:start w:val="1"/>
      <w:numFmt w:val="bullet"/>
      <w:lvlText w:val=""/>
      <w:lvlJc w:val="left"/>
      <w:pPr>
        <w:ind w:left="720" w:hanging="180"/>
      </w:pPr>
      <w:rPr>
        <w:rFonts w:ascii="Symbol" w:hAnsi="Symbol" w:hint="default"/>
      </w:rPr>
    </w:lvl>
    <w:lvl w:ilvl="1" w:tplc="541C32F2">
      <w:numFmt w:val="decimal"/>
      <w:lvlText w:val=""/>
      <w:lvlJc w:val="left"/>
    </w:lvl>
    <w:lvl w:ilvl="2" w:tplc="F06C1518">
      <w:numFmt w:val="decimal"/>
      <w:lvlText w:val=""/>
      <w:lvlJc w:val="left"/>
    </w:lvl>
    <w:lvl w:ilvl="3" w:tplc="A9B62CB8">
      <w:numFmt w:val="decimal"/>
      <w:lvlText w:val=""/>
      <w:lvlJc w:val="left"/>
    </w:lvl>
    <w:lvl w:ilvl="4" w:tplc="DB1EC7F8">
      <w:numFmt w:val="decimal"/>
      <w:lvlText w:val=""/>
      <w:lvlJc w:val="left"/>
    </w:lvl>
    <w:lvl w:ilvl="5" w:tplc="F9642B10">
      <w:numFmt w:val="decimal"/>
      <w:lvlText w:val=""/>
      <w:lvlJc w:val="left"/>
    </w:lvl>
    <w:lvl w:ilvl="6" w:tplc="6DE45D64">
      <w:numFmt w:val="decimal"/>
      <w:lvlText w:val=""/>
      <w:lvlJc w:val="left"/>
    </w:lvl>
    <w:lvl w:ilvl="7" w:tplc="5BC85E48">
      <w:numFmt w:val="decimal"/>
      <w:lvlText w:val=""/>
      <w:lvlJc w:val="left"/>
    </w:lvl>
    <w:lvl w:ilvl="8" w:tplc="6DACE71E">
      <w:numFmt w:val="decimal"/>
      <w:lvlText w:val=""/>
      <w:lvlJc w:val="left"/>
    </w:lvl>
  </w:abstractNum>
  <w:abstractNum w:abstractNumId="307" w15:restartNumberingAfterBreak="0">
    <w:nsid w:val="17431611"/>
    <w:multiLevelType w:val="hybridMultilevel"/>
    <w:tmpl w:val="8CD66C74"/>
    <w:lvl w:ilvl="0" w:tplc="09BCB1AE">
      <w:start w:val="1"/>
      <w:numFmt w:val="bullet"/>
      <w:lvlText w:val=""/>
      <w:lvlJc w:val="left"/>
      <w:pPr>
        <w:ind w:left="720" w:hanging="180"/>
      </w:pPr>
      <w:rPr>
        <w:rFonts w:ascii="Symbol" w:hAnsi="Symbol" w:hint="default"/>
      </w:rPr>
    </w:lvl>
    <w:lvl w:ilvl="1" w:tplc="CF32713A">
      <w:numFmt w:val="decimal"/>
      <w:lvlText w:val=""/>
      <w:lvlJc w:val="left"/>
    </w:lvl>
    <w:lvl w:ilvl="2" w:tplc="1D6651BC">
      <w:numFmt w:val="decimal"/>
      <w:lvlText w:val=""/>
      <w:lvlJc w:val="left"/>
    </w:lvl>
    <w:lvl w:ilvl="3" w:tplc="FFC0101A">
      <w:numFmt w:val="decimal"/>
      <w:lvlText w:val=""/>
      <w:lvlJc w:val="left"/>
    </w:lvl>
    <w:lvl w:ilvl="4" w:tplc="08B8B516">
      <w:numFmt w:val="decimal"/>
      <w:lvlText w:val=""/>
      <w:lvlJc w:val="left"/>
    </w:lvl>
    <w:lvl w:ilvl="5" w:tplc="C1E892B4">
      <w:numFmt w:val="decimal"/>
      <w:lvlText w:val=""/>
      <w:lvlJc w:val="left"/>
    </w:lvl>
    <w:lvl w:ilvl="6" w:tplc="980ED5C8">
      <w:numFmt w:val="decimal"/>
      <w:lvlText w:val=""/>
      <w:lvlJc w:val="left"/>
    </w:lvl>
    <w:lvl w:ilvl="7" w:tplc="D49ACEA2">
      <w:numFmt w:val="decimal"/>
      <w:lvlText w:val=""/>
      <w:lvlJc w:val="left"/>
    </w:lvl>
    <w:lvl w:ilvl="8" w:tplc="C600A036">
      <w:numFmt w:val="decimal"/>
      <w:lvlText w:val=""/>
      <w:lvlJc w:val="left"/>
    </w:lvl>
  </w:abstractNum>
  <w:abstractNum w:abstractNumId="308" w15:restartNumberingAfterBreak="0">
    <w:nsid w:val="174E492C"/>
    <w:multiLevelType w:val="hybridMultilevel"/>
    <w:tmpl w:val="DD5A4214"/>
    <w:lvl w:ilvl="0" w:tplc="8A380A5A">
      <w:start w:val="1"/>
      <w:numFmt w:val="bullet"/>
      <w:lvlText w:val=""/>
      <w:lvlJc w:val="left"/>
      <w:pPr>
        <w:ind w:left="720" w:hanging="180"/>
      </w:pPr>
      <w:rPr>
        <w:rFonts w:ascii="Symbol" w:hAnsi="Symbol" w:hint="default"/>
      </w:rPr>
    </w:lvl>
    <w:lvl w:ilvl="1" w:tplc="68CCE964">
      <w:numFmt w:val="decimal"/>
      <w:lvlText w:val=""/>
      <w:lvlJc w:val="left"/>
    </w:lvl>
    <w:lvl w:ilvl="2" w:tplc="622EE524">
      <w:numFmt w:val="decimal"/>
      <w:lvlText w:val=""/>
      <w:lvlJc w:val="left"/>
    </w:lvl>
    <w:lvl w:ilvl="3" w:tplc="33AEE598">
      <w:numFmt w:val="decimal"/>
      <w:lvlText w:val=""/>
      <w:lvlJc w:val="left"/>
    </w:lvl>
    <w:lvl w:ilvl="4" w:tplc="B662723A">
      <w:numFmt w:val="decimal"/>
      <w:lvlText w:val=""/>
      <w:lvlJc w:val="left"/>
    </w:lvl>
    <w:lvl w:ilvl="5" w:tplc="B6406C7A">
      <w:numFmt w:val="decimal"/>
      <w:lvlText w:val=""/>
      <w:lvlJc w:val="left"/>
    </w:lvl>
    <w:lvl w:ilvl="6" w:tplc="26421CBC">
      <w:numFmt w:val="decimal"/>
      <w:lvlText w:val=""/>
      <w:lvlJc w:val="left"/>
    </w:lvl>
    <w:lvl w:ilvl="7" w:tplc="D2AA62DC">
      <w:numFmt w:val="decimal"/>
      <w:lvlText w:val=""/>
      <w:lvlJc w:val="left"/>
    </w:lvl>
    <w:lvl w:ilvl="8" w:tplc="F84050D2">
      <w:numFmt w:val="decimal"/>
      <w:lvlText w:val=""/>
      <w:lvlJc w:val="left"/>
    </w:lvl>
  </w:abstractNum>
  <w:abstractNum w:abstractNumId="309" w15:restartNumberingAfterBreak="0">
    <w:nsid w:val="17596CC3"/>
    <w:multiLevelType w:val="hybridMultilevel"/>
    <w:tmpl w:val="ACE69610"/>
    <w:lvl w:ilvl="0" w:tplc="5EA2D544">
      <w:start w:val="1"/>
      <w:numFmt w:val="bullet"/>
      <w:lvlText w:val=""/>
      <w:lvlJc w:val="left"/>
      <w:pPr>
        <w:ind w:left="720" w:hanging="180"/>
      </w:pPr>
      <w:rPr>
        <w:rFonts w:ascii="Symbol" w:hAnsi="Symbol" w:hint="default"/>
      </w:rPr>
    </w:lvl>
    <w:lvl w:ilvl="1" w:tplc="4E265EF6">
      <w:numFmt w:val="decimal"/>
      <w:lvlText w:val=""/>
      <w:lvlJc w:val="left"/>
    </w:lvl>
    <w:lvl w:ilvl="2" w:tplc="620850CE">
      <w:numFmt w:val="decimal"/>
      <w:lvlText w:val=""/>
      <w:lvlJc w:val="left"/>
    </w:lvl>
    <w:lvl w:ilvl="3" w:tplc="7ADCCA54">
      <w:numFmt w:val="decimal"/>
      <w:lvlText w:val=""/>
      <w:lvlJc w:val="left"/>
    </w:lvl>
    <w:lvl w:ilvl="4" w:tplc="6D82845E">
      <w:numFmt w:val="decimal"/>
      <w:lvlText w:val=""/>
      <w:lvlJc w:val="left"/>
    </w:lvl>
    <w:lvl w:ilvl="5" w:tplc="99FE48AE">
      <w:numFmt w:val="decimal"/>
      <w:lvlText w:val=""/>
      <w:lvlJc w:val="left"/>
    </w:lvl>
    <w:lvl w:ilvl="6" w:tplc="994213DC">
      <w:numFmt w:val="decimal"/>
      <w:lvlText w:val=""/>
      <w:lvlJc w:val="left"/>
    </w:lvl>
    <w:lvl w:ilvl="7" w:tplc="5E6A5B2A">
      <w:numFmt w:val="decimal"/>
      <w:lvlText w:val=""/>
      <w:lvlJc w:val="left"/>
    </w:lvl>
    <w:lvl w:ilvl="8" w:tplc="F7923432">
      <w:numFmt w:val="decimal"/>
      <w:lvlText w:val=""/>
      <w:lvlJc w:val="left"/>
    </w:lvl>
  </w:abstractNum>
  <w:abstractNum w:abstractNumId="310" w15:restartNumberingAfterBreak="0">
    <w:nsid w:val="175A103F"/>
    <w:multiLevelType w:val="hybridMultilevel"/>
    <w:tmpl w:val="0D0CE04C"/>
    <w:lvl w:ilvl="0" w:tplc="4EBAAF5C">
      <w:start w:val="1"/>
      <w:numFmt w:val="bullet"/>
      <w:lvlText w:val=""/>
      <w:lvlJc w:val="left"/>
      <w:pPr>
        <w:ind w:left="720" w:hanging="180"/>
      </w:pPr>
      <w:rPr>
        <w:rFonts w:ascii="Symbol" w:hAnsi="Symbol" w:hint="default"/>
      </w:rPr>
    </w:lvl>
    <w:lvl w:ilvl="1" w:tplc="13B8E458">
      <w:numFmt w:val="decimal"/>
      <w:lvlText w:val=""/>
      <w:lvlJc w:val="left"/>
    </w:lvl>
    <w:lvl w:ilvl="2" w:tplc="9BD82998">
      <w:numFmt w:val="decimal"/>
      <w:lvlText w:val=""/>
      <w:lvlJc w:val="left"/>
    </w:lvl>
    <w:lvl w:ilvl="3" w:tplc="0EE85E28">
      <w:numFmt w:val="decimal"/>
      <w:lvlText w:val=""/>
      <w:lvlJc w:val="left"/>
    </w:lvl>
    <w:lvl w:ilvl="4" w:tplc="92DC9CDE">
      <w:numFmt w:val="decimal"/>
      <w:lvlText w:val=""/>
      <w:lvlJc w:val="left"/>
    </w:lvl>
    <w:lvl w:ilvl="5" w:tplc="852ED2AE">
      <w:numFmt w:val="decimal"/>
      <w:lvlText w:val=""/>
      <w:lvlJc w:val="left"/>
    </w:lvl>
    <w:lvl w:ilvl="6" w:tplc="1ECE4B12">
      <w:numFmt w:val="decimal"/>
      <w:lvlText w:val=""/>
      <w:lvlJc w:val="left"/>
    </w:lvl>
    <w:lvl w:ilvl="7" w:tplc="50FAEEB4">
      <w:numFmt w:val="decimal"/>
      <w:lvlText w:val=""/>
      <w:lvlJc w:val="left"/>
    </w:lvl>
    <w:lvl w:ilvl="8" w:tplc="0F1CFD62">
      <w:numFmt w:val="decimal"/>
      <w:lvlText w:val=""/>
      <w:lvlJc w:val="left"/>
    </w:lvl>
  </w:abstractNum>
  <w:abstractNum w:abstractNumId="311" w15:restartNumberingAfterBreak="0">
    <w:nsid w:val="179734B3"/>
    <w:multiLevelType w:val="hybridMultilevel"/>
    <w:tmpl w:val="04A0B96E"/>
    <w:lvl w:ilvl="0" w:tplc="40DE06CE">
      <w:start w:val="1"/>
      <w:numFmt w:val="bullet"/>
      <w:lvlText w:val=""/>
      <w:lvlJc w:val="left"/>
      <w:pPr>
        <w:ind w:left="720" w:hanging="180"/>
      </w:pPr>
      <w:rPr>
        <w:rFonts w:ascii="Symbol" w:hAnsi="Symbol" w:hint="default"/>
      </w:rPr>
    </w:lvl>
    <w:lvl w:ilvl="1" w:tplc="46D26FB4">
      <w:numFmt w:val="decimal"/>
      <w:lvlText w:val=""/>
      <w:lvlJc w:val="left"/>
    </w:lvl>
    <w:lvl w:ilvl="2" w:tplc="DC2ADD18">
      <w:numFmt w:val="decimal"/>
      <w:lvlText w:val=""/>
      <w:lvlJc w:val="left"/>
    </w:lvl>
    <w:lvl w:ilvl="3" w:tplc="6E204D06">
      <w:numFmt w:val="decimal"/>
      <w:lvlText w:val=""/>
      <w:lvlJc w:val="left"/>
    </w:lvl>
    <w:lvl w:ilvl="4" w:tplc="6B82F0B2">
      <w:numFmt w:val="decimal"/>
      <w:lvlText w:val=""/>
      <w:lvlJc w:val="left"/>
    </w:lvl>
    <w:lvl w:ilvl="5" w:tplc="736695B0">
      <w:numFmt w:val="decimal"/>
      <w:lvlText w:val=""/>
      <w:lvlJc w:val="left"/>
    </w:lvl>
    <w:lvl w:ilvl="6" w:tplc="1F94B0C0">
      <w:numFmt w:val="decimal"/>
      <w:lvlText w:val=""/>
      <w:lvlJc w:val="left"/>
    </w:lvl>
    <w:lvl w:ilvl="7" w:tplc="366E8D84">
      <w:numFmt w:val="decimal"/>
      <w:lvlText w:val=""/>
      <w:lvlJc w:val="left"/>
    </w:lvl>
    <w:lvl w:ilvl="8" w:tplc="70E8DAE2">
      <w:numFmt w:val="decimal"/>
      <w:lvlText w:val=""/>
      <w:lvlJc w:val="left"/>
    </w:lvl>
  </w:abstractNum>
  <w:abstractNum w:abstractNumId="312" w15:restartNumberingAfterBreak="0">
    <w:nsid w:val="17A00375"/>
    <w:multiLevelType w:val="hybridMultilevel"/>
    <w:tmpl w:val="A7BA1402"/>
    <w:lvl w:ilvl="0" w:tplc="DB1C8464">
      <w:start w:val="1"/>
      <w:numFmt w:val="bullet"/>
      <w:lvlText w:val=""/>
      <w:lvlJc w:val="left"/>
      <w:pPr>
        <w:ind w:left="720" w:hanging="180"/>
      </w:pPr>
      <w:rPr>
        <w:rFonts w:ascii="Symbol" w:hAnsi="Symbol" w:hint="default"/>
      </w:rPr>
    </w:lvl>
    <w:lvl w:ilvl="1" w:tplc="604E28DE">
      <w:numFmt w:val="decimal"/>
      <w:lvlText w:val=""/>
      <w:lvlJc w:val="left"/>
    </w:lvl>
    <w:lvl w:ilvl="2" w:tplc="3A6477EA">
      <w:numFmt w:val="decimal"/>
      <w:lvlText w:val=""/>
      <w:lvlJc w:val="left"/>
    </w:lvl>
    <w:lvl w:ilvl="3" w:tplc="DB8E662E">
      <w:numFmt w:val="decimal"/>
      <w:lvlText w:val=""/>
      <w:lvlJc w:val="left"/>
    </w:lvl>
    <w:lvl w:ilvl="4" w:tplc="5CEC3C6E">
      <w:numFmt w:val="decimal"/>
      <w:lvlText w:val=""/>
      <w:lvlJc w:val="left"/>
    </w:lvl>
    <w:lvl w:ilvl="5" w:tplc="99C0F436">
      <w:numFmt w:val="decimal"/>
      <w:lvlText w:val=""/>
      <w:lvlJc w:val="left"/>
    </w:lvl>
    <w:lvl w:ilvl="6" w:tplc="7426731C">
      <w:numFmt w:val="decimal"/>
      <w:lvlText w:val=""/>
      <w:lvlJc w:val="left"/>
    </w:lvl>
    <w:lvl w:ilvl="7" w:tplc="6C9E85E4">
      <w:numFmt w:val="decimal"/>
      <w:lvlText w:val=""/>
      <w:lvlJc w:val="left"/>
    </w:lvl>
    <w:lvl w:ilvl="8" w:tplc="F872CD86">
      <w:numFmt w:val="decimal"/>
      <w:lvlText w:val=""/>
      <w:lvlJc w:val="left"/>
    </w:lvl>
  </w:abstractNum>
  <w:abstractNum w:abstractNumId="313" w15:restartNumberingAfterBreak="0">
    <w:nsid w:val="17DE5F33"/>
    <w:multiLevelType w:val="hybridMultilevel"/>
    <w:tmpl w:val="E74287EE"/>
    <w:lvl w:ilvl="0" w:tplc="360E3946">
      <w:start w:val="1"/>
      <w:numFmt w:val="bullet"/>
      <w:lvlText w:val=""/>
      <w:lvlJc w:val="left"/>
      <w:pPr>
        <w:ind w:left="720" w:hanging="180"/>
      </w:pPr>
      <w:rPr>
        <w:rFonts w:ascii="Symbol" w:hAnsi="Symbol" w:hint="default"/>
      </w:rPr>
    </w:lvl>
    <w:lvl w:ilvl="1" w:tplc="A4D27544">
      <w:numFmt w:val="decimal"/>
      <w:lvlText w:val=""/>
      <w:lvlJc w:val="left"/>
    </w:lvl>
    <w:lvl w:ilvl="2" w:tplc="31A4DB5C">
      <w:numFmt w:val="decimal"/>
      <w:lvlText w:val=""/>
      <w:lvlJc w:val="left"/>
    </w:lvl>
    <w:lvl w:ilvl="3" w:tplc="FCB0849A">
      <w:numFmt w:val="decimal"/>
      <w:lvlText w:val=""/>
      <w:lvlJc w:val="left"/>
    </w:lvl>
    <w:lvl w:ilvl="4" w:tplc="6ED4595C">
      <w:numFmt w:val="decimal"/>
      <w:lvlText w:val=""/>
      <w:lvlJc w:val="left"/>
    </w:lvl>
    <w:lvl w:ilvl="5" w:tplc="86A0107E">
      <w:numFmt w:val="decimal"/>
      <w:lvlText w:val=""/>
      <w:lvlJc w:val="left"/>
    </w:lvl>
    <w:lvl w:ilvl="6" w:tplc="2EC48BAE">
      <w:numFmt w:val="decimal"/>
      <w:lvlText w:val=""/>
      <w:lvlJc w:val="left"/>
    </w:lvl>
    <w:lvl w:ilvl="7" w:tplc="3A180568">
      <w:numFmt w:val="decimal"/>
      <w:lvlText w:val=""/>
      <w:lvlJc w:val="left"/>
    </w:lvl>
    <w:lvl w:ilvl="8" w:tplc="A7EED0DA">
      <w:numFmt w:val="decimal"/>
      <w:lvlText w:val=""/>
      <w:lvlJc w:val="left"/>
    </w:lvl>
  </w:abstractNum>
  <w:abstractNum w:abstractNumId="314" w15:restartNumberingAfterBreak="0">
    <w:nsid w:val="17E85535"/>
    <w:multiLevelType w:val="hybridMultilevel"/>
    <w:tmpl w:val="3EF24D56"/>
    <w:lvl w:ilvl="0" w:tplc="622CAC78">
      <w:start w:val="1"/>
      <w:numFmt w:val="bullet"/>
      <w:lvlText w:val=""/>
      <w:lvlJc w:val="left"/>
      <w:pPr>
        <w:ind w:left="720" w:hanging="180"/>
      </w:pPr>
      <w:rPr>
        <w:rFonts w:ascii="Symbol" w:hAnsi="Symbol" w:hint="default"/>
      </w:rPr>
    </w:lvl>
    <w:lvl w:ilvl="1" w:tplc="E5A47E6A">
      <w:numFmt w:val="decimal"/>
      <w:lvlText w:val=""/>
      <w:lvlJc w:val="left"/>
    </w:lvl>
    <w:lvl w:ilvl="2" w:tplc="4BB02F48">
      <w:numFmt w:val="decimal"/>
      <w:lvlText w:val=""/>
      <w:lvlJc w:val="left"/>
    </w:lvl>
    <w:lvl w:ilvl="3" w:tplc="388E099E">
      <w:numFmt w:val="decimal"/>
      <w:lvlText w:val=""/>
      <w:lvlJc w:val="left"/>
    </w:lvl>
    <w:lvl w:ilvl="4" w:tplc="52282D6C">
      <w:numFmt w:val="decimal"/>
      <w:lvlText w:val=""/>
      <w:lvlJc w:val="left"/>
    </w:lvl>
    <w:lvl w:ilvl="5" w:tplc="D598CFC0">
      <w:numFmt w:val="decimal"/>
      <w:lvlText w:val=""/>
      <w:lvlJc w:val="left"/>
    </w:lvl>
    <w:lvl w:ilvl="6" w:tplc="90848C9A">
      <w:numFmt w:val="decimal"/>
      <w:lvlText w:val=""/>
      <w:lvlJc w:val="left"/>
    </w:lvl>
    <w:lvl w:ilvl="7" w:tplc="9C0E5C34">
      <w:numFmt w:val="decimal"/>
      <w:lvlText w:val=""/>
      <w:lvlJc w:val="left"/>
    </w:lvl>
    <w:lvl w:ilvl="8" w:tplc="BB54FA32">
      <w:numFmt w:val="decimal"/>
      <w:lvlText w:val=""/>
      <w:lvlJc w:val="left"/>
    </w:lvl>
  </w:abstractNum>
  <w:abstractNum w:abstractNumId="315" w15:restartNumberingAfterBreak="0">
    <w:nsid w:val="17E8662C"/>
    <w:multiLevelType w:val="hybridMultilevel"/>
    <w:tmpl w:val="E59083E8"/>
    <w:lvl w:ilvl="0" w:tplc="D3E4680A">
      <w:start w:val="1"/>
      <w:numFmt w:val="bullet"/>
      <w:lvlText w:val=""/>
      <w:lvlJc w:val="left"/>
      <w:pPr>
        <w:ind w:left="720" w:hanging="180"/>
      </w:pPr>
      <w:rPr>
        <w:rFonts w:ascii="Symbol" w:hAnsi="Symbol" w:hint="default"/>
      </w:rPr>
    </w:lvl>
    <w:lvl w:ilvl="1" w:tplc="A82083B0">
      <w:numFmt w:val="decimal"/>
      <w:lvlText w:val=""/>
      <w:lvlJc w:val="left"/>
    </w:lvl>
    <w:lvl w:ilvl="2" w:tplc="6FAEC0D0">
      <w:numFmt w:val="decimal"/>
      <w:lvlText w:val=""/>
      <w:lvlJc w:val="left"/>
    </w:lvl>
    <w:lvl w:ilvl="3" w:tplc="7258FC02">
      <w:numFmt w:val="decimal"/>
      <w:lvlText w:val=""/>
      <w:lvlJc w:val="left"/>
    </w:lvl>
    <w:lvl w:ilvl="4" w:tplc="5D2275B4">
      <w:numFmt w:val="decimal"/>
      <w:lvlText w:val=""/>
      <w:lvlJc w:val="left"/>
    </w:lvl>
    <w:lvl w:ilvl="5" w:tplc="176E5150">
      <w:numFmt w:val="decimal"/>
      <w:lvlText w:val=""/>
      <w:lvlJc w:val="left"/>
    </w:lvl>
    <w:lvl w:ilvl="6" w:tplc="EBF827B8">
      <w:numFmt w:val="decimal"/>
      <w:lvlText w:val=""/>
      <w:lvlJc w:val="left"/>
    </w:lvl>
    <w:lvl w:ilvl="7" w:tplc="0B448BF2">
      <w:numFmt w:val="decimal"/>
      <w:lvlText w:val=""/>
      <w:lvlJc w:val="left"/>
    </w:lvl>
    <w:lvl w:ilvl="8" w:tplc="2B8E596E">
      <w:numFmt w:val="decimal"/>
      <w:lvlText w:val=""/>
      <w:lvlJc w:val="left"/>
    </w:lvl>
  </w:abstractNum>
  <w:abstractNum w:abstractNumId="316" w15:restartNumberingAfterBreak="0">
    <w:nsid w:val="1801188F"/>
    <w:multiLevelType w:val="hybridMultilevel"/>
    <w:tmpl w:val="A546F7A8"/>
    <w:lvl w:ilvl="0" w:tplc="9AB6E896">
      <w:start w:val="1"/>
      <w:numFmt w:val="bullet"/>
      <w:lvlText w:val=""/>
      <w:lvlJc w:val="left"/>
      <w:pPr>
        <w:ind w:left="720" w:hanging="180"/>
      </w:pPr>
      <w:rPr>
        <w:rFonts w:ascii="Symbol" w:hAnsi="Symbol" w:hint="default"/>
      </w:rPr>
    </w:lvl>
    <w:lvl w:ilvl="1" w:tplc="76561F34">
      <w:numFmt w:val="decimal"/>
      <w:lvlText w:val=""/>
      <w:lvlJc w:val="left"/>
    </w:lvl>
    <w:lvl w:ilvl="2" w:tplc="664ABFB8">
      <w:numFmt w:val="decimal"/>
      <w:lvlText w:val=""/>
      <w:lvlJc w:val="left"/>
    </w:lvl>
    <w:lvl w:ilvl="3" w:tplc="93AE26E2">
      <w:numFmt w:val="decimal"/>
      <w:lvlText w:val=""/>
      <w:lvlJc w:val="left"/>
    </w:lvl>
    <w:lvl w:ilvl="4" w:tplc="331E57C0">
      <w:numFmt w:val="decimal"/>
      <w:lvlText w:val=""/>
      <w:lvlJc w:val="left"/>
    </w:lvl>
    <w:lvl w:ilvl="5" w:tplc="BBAE759A">
      <w:numFmt w:val="decimal"/>
      <w:lvlText w:val=""/>
      <w:lvlJc w:val="left"/>
    </w:lvl>
    <w:lvl w:ilvl="6" w:tplc="2C423BE2">
      <w:numFmt w:val="decimal"/>
      <w:lvlText w:val=""/>
      <w:lvlJc w:val="left"/>
    </w:lvl>
    <w:lvl w:ilvl="7" w:tplc="9C5621DE">
      <w:numFmt w:val="decimal"/>
      <w:lvlText w:val=""/>
      <w:lvlJc w:val="left"/>
    </w:lvl>
    <w:lvl w:ilvl="8" w:tplc="BB38E052">
      <w:numFmt w:val="decimal"/>
      <w:lvlText w:val=""/>
      <w:lvlJc w:val="left"/>
    </w:lvl>
  </w:abstractNum>
  <w:abstractNum w:abstractNumId="317" w15:restartNumberingAfterBreak="0">
    <w:nsid w:val="18080F34"/>
    <w:multiLevelType w:val="hybridMultilevel"/>
    <w:tmpl w:val="CDC21280"/>
    <w:lvl w:ilvl="0" w:tplc="1A0829BE">
      <w:start w:val="1"/>
      <w:numFmt w:val="bullet"/>
      <w:lvlText w:val=""/>
      <w:lvlJc w:val="left"/>
      <w:pPr>
        <w:ind w:left="720" w:hanging="180"/>
      </w:pPr>
      <w:rPr>
        <w:rFonts w:ascii="Symbol" w:hAnsi="Symbol" w:hint="default"/>
      </w:rPr>
    </w:lvl>
    <w:lvl w:ilvl="1" w:tplc="D9D4406E">
      <w:numFmt w:val="decimal"/>
      <w:lvlText w:val=""/>
      <w:lvlJc w:val="left"/>
    </w:lvl>
    <w:lvl w:ilvl="2" w:tplc="0F4C49D6">
      <w:numFmt w:val="decimal"/>
      <w:lvlText w:val=""/>
      <w:lvlJc w:val="left"/>
    </w:lvl>
    <w:lvl w:ilvl="3" w:tplc="0B3C77B4">
      <w:numFmt w:val="decimal"/>
      <w:lvlText w:val=""/>
      <w:lvlJc w:val="left"/>
    </w:lvl>
    <w:lvl w:ilvl="4" w:tplc="CBA4E5A0">
      <w:numFmt w:val="decimal"/>
      <w:lvlText w:val=""/>
      <w:lvlJc w:val="left"/>
    </w:lvl>
    <w:lvl w:ilvl="5" w:tplc="D5D8517C">
      <w:numFmt w:val="decimal"/>
      <w:lvlText w:val=""/>
      <w:lvlJc w:val="left"/>
    </w:lvl>
    <w:lvl w:ilvl="6" w:tplc="8D8E1ECA">
      <w:numFmt w:val="decimal"/>
      <w:lvlText w:val=""/>
      <w:lvlJc w:val="left"/>
    </w:lvl>
    <w:lvl w:ilvl="7" w:tplc="70140D68">
      <w:numFmt w:val="decimal"/>
      <w:lvlText w:val=""/>
      <w:lvlJc w:val="left"/>
    </w:lvl>
    <w:lvl w:ilvl="8" w:tplc="C278154A">
      <w:numFmt w:val="decimal"/>
      <w:lvlText w:val=""/>
      <w:lvlJc w:val="left"/>
    </w:lvl>
  </w:abstractNum>
  <w:abstractNum w:abstractNumId="318" w15:restartNumberingAfterBreak="0">
    <w:nsid w:val="18483203"/>
    <w:multiLevelType w:val="hybridMultilevel"/>
    <w:tmpl w:val="DAB87CC6"/>
    <w:lvl w:ilvl="0" w:tplc="395E5D88">
      <w:start w:val="1"/>
      <w:numFmt w:val="bullet"/>
      <w:lvlText w:val=""/>
      <w:lvlJc w:val="left"/>
      <w:pPr>
        <w:ind w:left="720" w:hanging="180"/>
      </w:pPr>
      <w:rPr>
        <w:rFonts w:ascii="Symbol" w:hAnsi="Symbol" w:hint="default"/>
      </w:rPr>
    </w:lvl>
    <w:lvl w:ilvl="1" w:tplc="9B1E7434">
      <w:numFmt w:val="decimal"/>
      <w:lvlText w:val=""/>
      <w:lvlJc w:val="left"/>
    </w:lvl>
    <w:lvl w:ilvl="2" w:tplc="92122F32">
      <w:numFmt w:val="decimal"/>
      <w:lvlText w:val=""/>
      <w:lvlJc w:val="left"/>
    </w:lvl>
    <w:lvl w:ilvl="3" w:tplc="E640E95A">
      <w:numFmt w:val="decimal"/>
      <w:lvlText w:val=""/>
      <w:lvlJc w:val="left"/>
    </w:lvl>
    <w:lvl w:ilvl="4" w:tplc="C0F88DFA">
      <w:numFmt w:val="decimal"/>
      <w:lvlText w:val=""/>
      <w:lvlJc w:val="left"/>
    </w:lvl>
    <w:lvl w:ilvl="5" w:tplc="22E07272">
      <w:numFmt w:val="decimal"/>
      <w:lvlText w:val=""/>
      <w:lvlJc w:val="left"/>
    </w:lvl>
    <w:lvl w:ilvl="6" w:tplc="EB48CD8E">
      <w:numFmt w:val="decimal"/>
      <w:lvlText w:val=""/>
      <w:lvlJc w:val="left"/>
    </w:lvl>
    <w:lvl w:ilvl="7" w:tplc="79A076FC">
      <w:numFmt w:val="decimal"/>
      <w:lvlText w:val=""/>
      <w:lvlJc w:val="left"/>
    </w:lvl>
    <w:lvl w:ilvl="8" w:tplc="051413C8">
      <w:numFmt w:val="decimal"/>
      <w:lvlText w:val=""/>
      <w:lvlJc w:val="left"/>
    </w:lvl>
  </w:abstractNum>
  <w:abstractNum w:abstractNumId="319" w15:restartNumberingAfterBreak="0">
    <w:nsid w:val="18743D84"/>
    <w:multiLevelType w:val="hybridMultilevel"/>
    <w:tmpl w:val="6B0E6988"/>
    <w:lvl w:ilvl="0" w:tplc="1862D80C">
      <w:start w:val="1"/>
      <w:numFmt w:val="bullet"/>
      <w:lvlText w:val=""/>
      <w:lvlJc w:val="left"/>
      <w:pPr>
        <w:ind w:left="720" w:hanging="180"/>
      </w:pPr>
      <w:rPr>
        <w:rFonts w:ascii="Symbol" w:hAnsi="Symbol" w:hint="default"/>
      </w:rPr>
    </w:lvl>
    <w:lvl w:ilvl="1" w:tplc="F4D8BEF2">
      <w:numFmt w:val="decimal"/>
      <w:lvlText w:val=""/>
      <w:lvlJc w:val="left"/>
    </w:lvl>
    <w:lvl w:ilvl="2" w:tplc="FC90EB62">
      <w:numFmt w:val="decimal"/>
      <w:lvlText w:val=""/>
      <w:lvlJc w:val="left"/>
    </w:lvl>
    <w:lvl w:ilvl="3" w:tplc="A0541E54">
      <w:numFmt w:val="decimal"/>
      <w:lvlText w:val=""/>
      <w:lvlJc w:val="left"/>
    </w:lvl>
    <w:lvl w:ilvl="4" w:tplc="DAA45810">
      <w:numFmt w:val="decimal"/>
      <w:lvlText w:val=""/>
      <w:lvlJc w:val="left"/>
    </w:lvl>
    <w:lvl w:ilvl="5" w:tplc="D7DA446C">
      <w:numFmt w:val="decimal"/>
      <w:lvlText w:val=""/>
      <w:lvlJc w:val="left"/>
    </w:lvl>
    <w:lvl w:ilvl="6" w:tplc="64E86CFE">
      <w:numFmt w:val="decimal"/>
      <w:lvlText w:val=""/>
      <w:lvlJc w:val="left"/>
    </w:lvl>
    <w:lvl w:ilvl="7" w:tplc="EB967CA2">
      <w:numFmt w:val="decimal"/>
      <w:lvlText w:val=""/>
      <w:lvlJc w:val="left"/>
    </w:lvl>
    <w:lvl w:ilvl="8" w:tplc="D05E5BF4">
      <w:numFmt w:val="decimal"/>
      <w:lvlText w:val=""/>
      <w:lvlJc w:val="left"/>
    </w:lvl>
  </w:abstractNum>
  <w:abstractNum w:abstractNumId="320" w15:restartNumberingAfterBreak="0">
    <w:nsid w:val="188E26DD"/>
    <w:multiLevelType w:val="hybridMultilevel"/>
    <w:tmpl w:val="67A20E06"/>
    <w:lvl w:ilvl="0" w:tplc="69BA67F6">
      <w:start w:val="1"/>
      <w:numFmt w:val="bullet"/>
      <w:lvlText w:val=""/>
      <w:lvlJc w:val="left"/>
      <w:pPr>
        <w:ind w:left="720" w:hanging="180"/>
      </w:pPr>
      <w:rPr>
        <w:rFonts w:ascii="Symbol" w:hAnsi="Symbol" w:hint="default"/>
      </w:rPr>
    </w:lvl>
    <w:lvl w:ilvl="1" w:tplc="BE28A110">
      <w:numFmt w:val="decimal"/>
      <w:lvlText w:val=""/>
      <w:lvlJc w:val="left"/>
    </w:lvl>
    <w:lvl w:ilvl="2" w:tplc="81FE814E">
      <w:numFmt w:val="decimal"/>
      <w:lvlText w:val=""/>
      <w:lvlJc w:val="left"/>
    </w:lvl>
    <w:lvl w:ilvl="3" w:tplc="0F383510">
      <w:numFmt w:val="decimal"/>
      <w:lvlText w:val=""/>
      <w:lvlJc w:val="left"/>
    </w:lvl>
    <w:lvl w:ilvl="4" w:tplc="FED25A40">
      <w:numFmt w:val="decimal"/>
      <w:lvlText w:val=""/>
      <w:lvlJc w:val="left"/>
    </w:lvl>
    <w:lvl w:ilvl="5" w:tplc="D5CA20E4">
      <w:numFmt w:val="decimal"/>
      <w:lvlText w:val=""/>
      <w:lvlJc w:val="left"/>
    </w:lvl>
    <w:lvl w:ilvl="6" w:tplc="46E089D0">
      <w:numFmt w:val="decimal"/>
      <w:lvlText w:val=""/>
      <w:lvlJc w:val="left"/>
    </w:lvl>
    <w:lvl w:ilvl="7" w:tplc="6A244B3E">
      <w:numFmt w:val="decimal"/>
      <w:lvlText w:val=""/>
      <w:lvlJc w:val="left"/>
    </w:lvl>
    <w:lvl w:ilvl="8" w:tplc="050E69A6">
      <w:numFmt w:val="decimal"/>
      <w:lvlText w:val=""/>
      <w:lvlJc w:val="left"/>
    </w:lvl>
  </w:abstractNum>
  <w:abstractNum w:abstractNumId="321" w15:restartNumberingAfterBreak="0">
    <w:nsid w:val="189718CC"/>
    <w:multiLevelType w:val="hybridMultilevel"/>
    <w:tmpl w:val="E662C4C4"/>
    <w:lvl w:ilvl="0" w:tplc="3D741D2A">
      <w:start w:val="1"/>
      <w:numFmt w:val="bullet"/>
      <w:lvlText w:val=""/>
      <w:lvlJc w:val="left"/>
      <w:pPr>
        <w:ind w:left="720" w:hanging="180"/>
      </w:pPr>
      <w:rPr>
        <w:rFonts w:ascii="Symbol" w:hAnsi="Symbol" w:hint="default"/>
      </w:rPr>
    </w:lvl>
    <w:lvl w:ilvl="1" w:tplc="179AE87A">
      <w:numFmt w:val="decimal"/>
      <w:lvlText w:val=""/>
      <w:lvlJc w:val="left"/>
    </w:lvl>
    <w:lvl w:ilvl="2" w:tplc="28EA0552">
      <w:numFmt w:val="decimal"/>
      <w:lvlText w:val=""/>
      <w:lvlJc w:val="left"/>
    </w:lvl>
    <w:lvl w:ilvl="3" w:tplc="65A837BE">
      <w:numFmt w:val="decimal"/>
      <w:lvlText w:val=""/>
      <w:lvlJc w:val="left"/>
    </w:lvl>
    <w:lvl w:ilvl="4" w:tplc="E2FC6708">
      <w:numFmt w:val="decimal"/>
      <w:lvlText w:val=""/>
      <w:lvlJc w:val="left"/>
    </w:lvl>
    <w:lvl w:ilvl="5" w:tplc="1C5C7D0E">
      <w:numFmt w:val="decimal"/>
      <w:lvlText w:val=""/>
      <w:lvlJc w:val="left"/>
    </w:lvl>
    <w:lvl w:ilvl="6" w:tplc="F8522296">
      <w:numFmt w:val="decimal"/>
      <w:lvlText w:val=""/>
      <w:lvlJc w:val="left"/>
    </w:lvl>
    <w:lvl w:ilvl="7" w:tplc="5AEEE5DA">
      <w:numFmt w:val="decimal"/>
      <w:lvlText w:val=""/>
      <w:lvlJc w:val="left"/>
    </w:lvl>
    <w:lvl w:ilvl="8" w:tplc="7846A082">
      <w:numFmt w:val="decimal"/>
      <w:lvlText w:val=""/>
      <w:lvlJc w:val="left"/>
    </w:lvl>
  </w:abstractNum>
  <w:abstractNum w:abstractNumId="322" w15:restartNumberingAfterBreak="0">
    <w:nsid w:val="18A23ABF"/>
    <w:multiLevelType w:val="hybridMultilevel"/>
    <w:tmpl w:val="CB8C6732"/>
    <w:lvl w:ilvl="0" w:tplc="6BFAC532">
      <w:start w:val="1"/>
      <w:numFmt w:val="bullet"/>
      <w:lvlText w:val=""/>
      <w:lvlJc w:val="left"/>
      <w:pPr>
        <w:ind w:left="720" w:hanging="180"/>
      </w:pPr>
      <w:rPr>
        <w:rFonts w:ascii="Symbol" w:hAnsi="Symbol" w:hint="default"/>
      </w:rPr>
    </w:lvl>
    <w:lvl w:ilvl="1" w:tplc="B0C405A4">
      <w:numFmt w:val="decimal"/>
      <w:lvlText w:val=""/>
      <w:lvlJc w:val="left"/>
    </w:lvl>
    <w:lvl w:ilvl="2" w:tplc="B9C43C7E">
      <w:numFmt w:val="decimal"/>
      <w:lvlText w:val=""/>
      <w:lvlJc w:val="left"/>
    </w:lvl>
    <w:lvl w:ilvl="3" w:tplc="052809F8">
      <w:numFmt w:val="decimal"/>
      <w:lvlText w:val=""/>
      <w:lvlJc w:val="left"/>
    </w:lvl>
    <w:lvl w:ilvl="4" w:tplc="BA4EDEE4">
      <w:numFmt w:val="decimal"/>
      <w:lvlText w:val=""/>
      <w:lvlJc w:val="left"/>
    </w:lvl>
    <w:lvl w:ilvl="5" w:tplc="544C823A">
      <w:numFmt w:val="decimal"/>
      <w:lvlText w:val=""/>
      <w:lvlJc w:val="left"/>
    </w:lvl>
    <w:lvl w:ilvl="6" w:tplc="90128278">
      <w:numFmt w:val="decimal"/>
      <w:lvlText w:val=""/>
      <w:lvlJc w:val="left"/>
    </w:lvl>
    <w:lvl w:ilvl="7" w:tplc="97B0CE6E">
      <w:numFmt w:val="decimal"/>
      <w:lvlText w:val=""/>
      <w:lvlJc w:val="left"/>
    </w:lvl>
    <w:lvl w:ilvl="8" w:tplc="EC58ACD6">
      <w:numFmt w:val="decimal"/>
      <w:lvlText w:val=""/>
      <w:lvlJc w:val="left"/>
    </w:lvl>
  </w:abstractNum>
  <w:abstractNum w:abstractNumId="323" w15:restartNumberingAfterBreak="0">
    <w:nsid w:val="18AC37F1"/>
    <w:multiLevelType w:val="hybridMultilevel"/>
    <w:tmpl w:val="9258E2BC"/>
    <w:lvl w:ilvl="0" w:tplc="FFBEE9A0">
      <w:start w:val="1"/>
      <w:numFmt w:val="bullet"/>
      <w:lvlText w:val=""/>
      <w:lvlJc w:val="left"/>
      <w:pPr>
        <w:ind w:left="720" w:hanging="180"/>
      </w:pPr>
      <w:rPr>
        <w:rFonts w:ascii="Symbol" w:hAnsi="Symbol" w:hint="default"/>
      </w:rPr>
    </w:lvl>
    <w:lvl w:ilvl="1" w:tplc="2D2EA466">
      <w:numFmt w:val="decimal"/>
      <w:lvlText w:val=""/>
      <w:lvlJc w:val="left"/>
    </w:lvl>
    <w:lvl w:ilvl="2" w:tplc="7430D594">
      <w:numFmt w:val="decimal"/>
      <w:lvlText w:val=""/>
      <w:lvlJc w:val="left"/>
    </w:lvl>
    <w:lvl w:ilvl="3" w:tplc="21BA3A48">
      <w:numFmt w:val="decimal"/>
      <w:lvlText w:val=""/>
      <w:lvlJc w:val="left"/>
    </w:lvl>
    <w:lvl w:ilvl="4" w:tplc="32347F38">
      <w:numFmt w:val="decimal"/>
      <w:lvlText w:val=""/>
      <w:lvlJc w:val="left"/>
    </w:lvl>
    <w:lvl w:ilvl="5" w:tplc="F6D84830">
      <w:numFmt w:val="decimal"/>
      <w:lvlText w:val=""/>
      <w:lvlJc w:val="left"/>
    </w:lvl>
    <w:lvl w:ilvl="6" w:tplc="E99CCDDA">
      <w:numFmt w:val="decimal"/>
      <w:lvlText w:val=""/>
      <w:lvlJc w:val="left"/>
    </w:lvl>
    <w:lvl w:ilvl="7" w:tplc="C0120B7E">
      <w:numFmt w:val="decimal"/>
      <w:lvlText w:val=""/>
      <w:lvlJc w:val="left"/>
    </w:lvl>
    <w:lvl w:ilvl="8" w:tplc="319486A8">
      <w:numFmt w:val="decimal"/>
      <w:lvlText w:val=""/>
      <w:lvlJc w:val="left"/>
    </w:lvl>
  </w:abstractNum>
  <w:abstractNum w:abstractNumId="324" w15:restartNumberingAfterBreak="0">
    <w:nsid w:val="18C2129C"/>
    <w:multiLevelType w:val="hybridMultilevel"/>
    <w:tmpl w:val="40708856"/>
    <w:lvl w:ilvl="0" w:tplc="ED4898F8">
      <w:start w:val="1"/>
      <w:numFmt w:val="bullet"/>
      <w:lvlText w:val=""/>
      <w:lvlJc w:val="left"/>
      <w:pPr>
        <w:ind w:left="720" w:hanging="180"/>
      </w:pPr>
      <w:rPr>
        <w:rFonts w:ascii="Symbol" w:hAnsi="Symbol" w:hint="default"/>
      </w:rPr>
    </w:lvl>
    <w:lvl w:ilvl="1" w:tplc="E5F232B2">
      <w:numFmt w:val="decimal"/>
      <w:lvlText w:val=""/>
      <w:lvlJc w:val="left"/>
    </w:lvl>
    <w:lvl w:ilvl="2" w:tplc="42DEBA90">
      <w:numFmt w:val="decimal"/>
      <w:lvlText w:val=""/>
      <w:lvlJc w:val="left"/>
    </w:lvl>
    <w:lvl w:ilvl="3" w:tplc="D162280A">
      <w:numFmt w:val="decimal"/>
      <w:lvlText w:val=""/>
      <w:lvlJc w:val="left"/>
    </w:lvl>
    <w:lvl w:ilvl="4" w:tplc="7E449F0E">
      <w:numFmt w:val="decimal"/>
      <w:lvlText w:val=""/>
      <w:lvlJc w:val="left"/>
    </w:lvl>
    <w:lvl w:ilvl="5" w:tplc="513489F8">
      <w:numFmt w:val="decimal"/>
      <w:lvlText w:val=""/>
      <w:lvlJc w:val="left"/>
    </w:lvl>
    <w:lvl w:ilvl="6" w:tplc="8D28D5F4">
      <w:numFmt w:val="decimal"/>
      <w:lvlText w:val=""/>
      <w:lvlJc w:val="left"/>
    </w:lvl>
    <w:lvl w:ilvl="7" w:tplc="96B2D5DC">
      <w:numFmt w:val="decimal"/>
      <w:lvlText w:val=""/>
      <w:lvlJc w:val="left"/>
    </w:lvl>
    <w:lvl w:ilvl="8" w:tplc="E6BEBD5E">
      <w:numFmt w:val="decimal"/>
      <w:lvlText w:val=""/>
      <w:lvlJc w:val="left"/>
    </w:lvl>
  </w:abstractNum>
  <w:abstractNum w:abstractNumId="325" w15:restartNumberingAfterBreak="0">
    <w:nsid w:val="18C276B2"/>
    <w:multiLevelType w:val="hybridMultilevel"/>
    <w:tmpl w:val="B01A4312"/>
    <w:lvl w:ilvl="0" w:tplc="614639FC">
      <w:start w:val="1"/>
      <w:numFmt w:val="bullet"/>
      <w:lvlText w:val=""/>
      <w:lvlJc w:val="left"/>
      <w:pPr>
        <w:ind w:left="720" w:hanging="180"/>
      </w:pPr>
      <w:rPr>
        <w:rFonts w:ascii="Symbol" w:hAnsi="Symbol" w:hint="default"/>
      </w:rPr>
    </w:lvl>
    <w:lvl w:ilvl="1" w:tplc="F5A69A68">
      <w:numFmt w:val="decimal"/>
      <w:lvlText w:val=""/>
      <w:lvlJc w:val="left"/>
    </w:lvl>
    <w:lvl w:ilvl="2" w:tplc="066A7F88">
      <w:numFmt w:val="decimal"/>
      <w:lvlText w:val=""/>
      <w:lvlJc w:val="left"/>
    </w:lvl>
    <w:lvl w:ilvl="3" w:tplc="02C23CEE">
      <w:numFmt w:val="decimal"/>
      <w:lvlText w:val=""/>
      <w:lvlJc w:val="left"/>
    </w:lvl>
    <w:lvl w:ilvl="4" w:tplc="F07A17FC">
      <w:numFmt w:val="decimal"/>
      <w:lvlText w:val=""/>
      <w:lvlJc w:val="left"/>
    </w:lvl>
    <w:lvl w:ilvl="5" w:tplc="8134196E">
      <w:numFmt w:val="decimal"/>
      <w:lvlText w:val=""/>
      <w:lvlJc w:val="left"/>
    </w:lvl>
    <w:lvl w:ilvl="6" w:tplc="E79E4BC8">
      <w:numFmt w:val="decimal"/>
      <w:lvlText w:val=""/>
      <w:lvlJc w:val="left"/>
    </w:lvl>
    <w:lvl w:ilvl="7" w:tplc="ACD277BE">
      <w:numFmt w:val="decimal"/>
      <w:lvlText w:val=""/>
      <w:lvlJc w:val="left"/>
    </w:lvl>
    <w:lvl w:ilvl="8" w:tplc="1B1C884E">
      <w:numFmt w:val="decimal"/>
      <w:lvlText w:val=""/>
      <w:lvlJc w:val="left"/>
    </w:lvl>
  </w:abstractNum>
  <w:abstractNum w:abstractNumId="326" w15:restartNumberingAfterBreak="0">
    <w:nsid w:val="18E07511"/>
    <w:multiLevelType w:val="hybridMultilevel"/>
    <w:tmpl w:val="E1AC47F8"/>
    <w:lvl w:ilvl="0" w:tplc="5052B744">
      <w:start w:val="1"/>
      <w:numFmt w:val="bullet"/>
      <w:lvlText w:val=""/>
      <w:lvlJc w:val="left"/>
      <w:pPr>
        <w:ind w:left="720" w:hanging="180"/>
      </w:pPr>
      <w:rPr>
        <w:rFonts w:ascii="Symbol" w:hAnsi="Symbol" w:hint="default"/>
      </w:rPr>
    </w:lvl>
    <w:lvl w:ilvl="1" w:tplc="455402A4">
      <w:numFmt w:val="decimal"/>
      <w:lvlText w:val=""/>
      <w:lvlJc w:val="left"/>
    </w:lvl>
    <w:lvl w:ilvl="2" w:tplc="AFD627C4">
      <w:numFmt w:val="decimal"/>
      <w:lvlText w:val=""/>
      <w:lvlJc w:val="left"/>
    </w:lvl>
    <w:lvl w:ilvl="3" w:tplc="EB06D52A">
      <w:numFmt w:val="decimal"/>
      <w:lvlText w:val=""/>
      <w:lvlJc w:val="left"/>
    </w:lvl>
    <w:lvl w:ilvl="4" w:tplc="5364B8E2">
      <w:numFmt w:val="decimal"/>
      <w:lvlText w:val=""/>
      <w:lvlJc w:val="left"/>
    </w:lvl>
    <w:lvl w:ilvl="5" w:tplc="3A180916">
      <w:numFmt w:val="decimal"/>
      <w:lvlText w:val=""/>
      <w:lvlJc w:val="left"/>
    </w:lvl>
    <w:lvl w:ilvl="6" w:tplc="F0080EEC">
      <w:numFmt w:val="decimal"/>
      <w:lvlText w:val=""/>
      <w:lvlJc w:val="left"/>
    </w:lvl>
    <w:lvl w:ilvl="7" w:tplc="CFCA2FE2">
      <w:numFmt w:val="decimal"/>
      <w:lvlText w:val=""/>
      <w:lvlJc w:val="left"/>
    </w:lvl>
    <w:lvl w:ilvl="8" w:tplc="3F807052">
      <w:numFmt w:val="decimal"/>
      <w:lvlText w:val=""/>
      <w:lvlJc w:val="left"/>
    </w:lvl>
  </w:abstractNum>
  <w:abstractNum w:abstractNumId="327" w15:restartNumberingAfterBreak="0">
    <w:nsid w:val="18E36380"/>
    <w:multiLevelType w:val="hybridMultilevel"/>
    <w:tmpl w:val="05248BEE"/>
    <w:lvl w:ilvl="0" w:tplc="B414F0F0">
      <w:start w:val="1"/>
      <w:numFmt w:val="bullet"/>
      <w:lvlText w:val=""/>
      <w:lvlJc w:val="left"/>
      <w:pPr>
        <w:ind w:left="720" w:hanging="180"/>
      </w:pPr>
      <w:rPr>
        <w:rFonts w:ascii="Symbol" w:hAnsi="Symbol" w:hint="default"/>
      </w:rPr>
    </w:lvl>
    <w:lvl w:ilvl="1" w:tplc="F0385A5E">
      <w:numFmt w:val="decimal"/>
      <w:lvlText w:val=""/>
      <w:lvlJc w:val="left"/>
    </w:lvl>
    <w:lvl w:ilvl="2" w:tplc="2142407E">
      <w:numFmt w:val="decimal"/>
      <w:lvlText w:val=""/>
      <w:lvlJc w:val="left"/>
    </w:lvl>
    <w:lvl w:ilvl="3" w:tplc="A44A5568">
      <w:numFmt w:val="decimal"/>
      <w:lvlText w:val=""/>
      <w:lvlJc w:val="left"/>
    </w:lvl>
    <w:lvl w:ilvl="4" w:tplc="0F5C9824">
      <w:numFmt w:val="decimal"/>
      <w:lvlText w:val=""/>
      <w:lvlJc w:val="left"/>
    </w:lvl>
    <w:lvl w:ilvl="5" w:tplc="00E0F116">
      <w:numFmt w:val="decimal"/>
      <w:lvlText w:val=""/>
      <w:lvlJc w:val="left"/>
    </w:lvl>
    <w:lvl w:ilvl="6" w:tplc="61F674BA">
      <w:numFmt w:val="decimal"/>
      <w:lvlText w:val=""/>
      <w:lvlJc w:val="left"/>
    </w:lvl>
    <w:lvl w:ilvl="7" w:tplc="70282176">
      <w:numFmt w:val="decimal"/>
      <w:lvlText w:val=""/>
      <w:lvlJc w:val="left"/>
    </w:lvl>
    <w:lvl w:ilvl="8" w:tplc="0A7C9B52">
      <w:numFmt w:val="decimal"/>
      <w:lvlText w:val=""/>
      <w:lvlJc w:val="left"/>
    </w:lvl>
  </w:abstractNum>
  <w:abstractNum w:abstractNumId="328" w15:restartNumberingAfterBreak="0">
    <w:nsid w:val="18E67733"/>
    <w:multiLevelType w:val="hybridMultilevel"/>
    <w:tmpl w:val="867E130A"/>
    <w:lvl w:ilvl="0" w:tplc="E490187C">
      <w:numFmt w:val="decimal"/>
      <w:lvlText w:val=""/>
      <w:lvlJc w:val="left"/>
    </w:lvl>
    <w:lvl w:ilvl="1" w:tplc="CB52A398">
      <w:start w:val="1"/>
      <w:numFmt w:val="bullet"/>
      <w:lvlText w:val=""/>
      <w:lvlJc w:val="left"/>
      <w:pPr>
        <w:ind w:left="1440" w:hanging="180"/>
      </w:pPr>
      <w:rPr>
        <w:rFonts w:ascii="Symbol" w:hAnsi="Symbol" w:hint="default"/>
      </w:rPr>
    </w:lvl>
    <w:lvl w:ilvl="2" w:tplc="88EAE90A">
      <w:numFmt w:val="decimal"/>
      <w:lvlText w:val=""/>
      <w:lvlJc w:val="left"/>
    </w:lvl>
    <w:lvl w:ilvl="3" w:tplc="CC72E7F8">
      <w:numFmt w:val="decimal"/>
      <w:lvlText w:val=""/>
      <w:lvlJc w:val="left"/>
    </w:lvl>
    <w:lvl w:ilvl="4" w:tplc="DA020814">
      <w:numFmt w:val="decimal"/>
      <w:lvlText w:val=""/>
      <w:lvlJc w:val="left"/>
    </w:lvl>
    <w:lvl w:ilvl="5" w:tplc="50DC9DD0">
      <w:numFmt w:val="decimal"/>
      <w:lvlText w:val=""/>
      <w:lvlJc w:val="left"/>
    </w:lvl>
    <w:lvl w:ilvl="6" w:tplc="B17668F2">
      <w:numFmt w:val="decimal"/>
      <w:lvlText w:val=""/>
      <w:lvlJc w:val="left"/>
    </w:lvl>
    <w:lvl w:ilvl="7" w:tplc="7462320A">
      <w:numFmt w:val="decimal"/>
      <w:lvlText w:val=""/>
      <w:lvlJc w:val="left"/>
    </w:lvl>
    <w:lvl w:ilvl="8" w:tplc="F01E5C52">
      <w:numFmt w:val="decimal"/>
      <w:lvlText w:val=""/>
      <w:lvlJc w:val="left"/>
    </w:lvl>
  </w:abstractNum>
  <w:abstractNum w:abstractNumId="329" w15:restartNumberingAfterBreak="0">
    <w:nsid w:val="18F52E5F"/>
    <w:multiLevelType w:val="hybridMultilevel"/>
    <w:tmpl w:val="433CB1CC"/>
    <w:lvl w:ilvl="0" w:tplc="6038DFB0">
      <w:start w:val="1"/>
      <w:numFmt w:val="bullet"/>
      <w:lvlText w:val=""/>
      <w:lvlJc w:val="left"/>
      <w:pPr>
        <w:ind w:left="720" w:hanging="180"/>
      </w:pPr>
      <w:rPr>
        <w:rFonts w:ascii="Symbol" w:hAnsi="Symbol" w:hint="default"/>
      </w:rPr>
    </w:lvl>
    <w:lvl w:ilvl="1" w:tplc="FD18096C">
      <w:numFmt w:val="decimal"/>
      <w:lvlText w:val=""/>
      <w:lvlJc w:val="left"/>
    </w:lvl>
    <w:lvl w:ilvl="2" w:tplc="F3A0E5F2">
      <w:numFmt w:val="decimal"/>
      <w:lvlText w:val=""/>
      <w:lvlJc w:val="left"/>
    </w:lvl>
    <w:lvl w:ilvl="3" w:tplc="22B27592">
      <w:numFmt w:val="decimal"/>
      <w:lvlText w:val=""/>
      <w:lvlJc w:val="left"/>
    </w:lvl>
    <w:lvl w:ilvl="4" w:tplc="FCDC3776">
      <w:numFmt w:val="decimal"/>
      <w:lvlText w:val=""/>
      <w:lvlJc w:val="left"/>
    </w:lvl>
    <w:lvl w:ilvl="5" w:tplc="23D27906">
      <w:numFmt w:val="decimal"/>
      <w:lvlText w:val=""/>
      <w:lvlJc w:val="left"/>
    </w:lvl>
    <w:lvl w:ilvl="6" w:tplc="69A44110">
      <w:numFmt w:val="decimal"/>
      <w:lvlText w:val=""/>
      <w:lvlJc w:val="left"/>
    </w:lvl>
    <w:lvl w:ilvl="7" w:tplc="72A498D6">
      <w:numFmt w:val="decimal"/>
      <w:lvlText w:val=""/>
      <w:lvlJc w:val="left"/>
    </w:lvl>
    <w:lvl w:ilvl="8" w:tplc="B6243250">
      <w:numFmt w:val="decimal"/>
      <w:lvlText w:val=""/>
      <w:lvlJc w:val="left"/>
    </w:lvl>
  </w:abstractNum>
  <w:abstractNum w:abstractNumId="330" w15:restartNumberingAfterBreak="0">
    <w:nsid w:val="19020E82"/>
    <w:multiLevelType w:val="hybridMultilevel"/>
    <w:tmpl w:val="968AD930"/>
    <w:lvl w:ilvl="0" w:tplc="BA5A9D3E">
      <w:numFmt w:val="decimal"/>
      <w:lvlText w:val=""/>
      <w:lvlJc w:val="left"/>
    </w:lvl>
    <w:lvl w:ilvl="1" w:tplc="BEEE538C">
      <w:start w:val="1"/>
      <w:numFmt w:val="bullet"/>
      <w:lvlText w:val=""/>
      <w:lvlJc w:val="left"/>
      <w:pPr>
        <w:ind w:left="1440" w:hanging="180"/>
      </w:pPr>
      <w:rPr>
        <w:rFonts w:ascii="Symbol" w:hAnsi="Symbol" w:hint="default"/>
      </w:rPr>
    </w:lvl>
    <w:lvl w:ilvl="2" w:tplc="BD3AFF6A">
      <w:numFmt w:val="decimal"/>
      <w:lvlText w:val=""/>
      <w:lvlJc w:val="left"/>
    </w:lvl>
    <w:lvl w:ilvl="3" w:tplc="129C571E">
      <w:numFmt w:val="decimal"/>
      <w:lvlText w:val=""/>
      <w:lvlJc w:val="left"/>
    </w:lvl>
    <w:lvl w:ilvl="4" w:tplc="8FD4469C">
      <w:numFmt w:val="decimal"/>
      <w:lvlText w:val=""/>
      <w:lvlJc w:val="left"/>
    </w:lvl>
    <w:lvl w:ilvl="5" w:tplc="472A7448">
      <w:numFmt w:val="decimal"/>
      <w:lvlText w:val=""/>
      <w:lvlJc w:val="left"/>
    </w:lvl>
    <w:lvl w:ilvl="6" w:tplc="50DEEC6C">
      <w:numFmt w:val="decimal"/>
      <w:lvlText w:val=""/>
      <w:lvlJc w:val="left"/>
    </w:lvl>
    <w:lvl w:ilvl="7" w:tplc="764A55D0">
      <w:numFmt w:val="decimal"/>
      <w:lvlText w:val=""/>
      <w:lvlJc w:val="left"/>
    </w:lvl>
    <w:lvl w:ilvl="8" w:tplc="9350DE9C">
      <w:numFmt w:val="decimal"/>
      <w:lvlText w:val=""/>
      <w:lvlJc w:val="left"/>
    </w:lvl>
  </w:abstractNum>
  <w:abstractNum w:abstractNumId="331" w15:restartNumberingAfterBreak="0">
    <w:nsid w:val="191C6BA0"/>
    <w:multiLevelType w:val="hybridMultilevel"/>
    <w:tmpl w:val="5F44472C"/>
    <w:lvl w:ilvl="0" w:tplc="C06C6726">
      <w:start w:val="1"/>
      <w:numFmt w:val="bullet"/>
      <w:lvlText w:val=""/>
      <w:lvlJc w:val="left"/>
      <w:pPr>
        <w:ind w:left="720" w:hanging="180"/>
      </w:pPr>
      <w:rPr>
        <w:rFonts w:ascii="Symbol" w:hAnsi="Symbol" w:hint="default"/>
      </w:rPr>
    </w:lvl>
    <w:lvl w:ilvl="1" w:tplc="95B61614">
      <w:numFmt w:val="decimal"/>
      <w:lvlText w:val=""/>
      <w:lvlJc w:val="left"/>
    </w:lvl>
    <w:lvl w:ilvl="2" w:tplc="6F70A73E">
      <w:numFmt w:val="decimal"/>
      <w:lvlText w:val=""/>
      <w:lvlJc w:val="left"/>
    </w:lvl>
    <w:lvl w:ilvl="3" w:tplc="82E2BE72">
      <w:numFmt w:val="decimal"/>
      <w:lvlText w:val=""/>
      <w:lvlJc w:val="left"/>
    </w:lvl>
    <w:lvl w:ilvl="4" w:tplc="908266AC">
      <w:numFmt w:val="decimal"/>
      <w:lvlText w:val=""/>
      <w:lvlJc w:val="left"/>
    </w:lvl>
    <w:lvl w:ilvl="5" w:tplc="44B8C558">
      <w:numFmt w:val="decimal"/>
      <w:lvlText w:val=""/>
      <w:lvlJc w:val="left"/>
    </w:lvl>
    <w:lvl w:ilvl="6" w:tplc="7BA26BCA">
      <w:numFmt w:val="decimal"/>
      <w:lvlText w:val=""/>
      <w:lvlJc w:val="left"/>
    </w:lvl>
    <w:lvl w:ilvl="7" w:tplc="AFE20D8A">
      <w:numFmt w:val="decimal"/>
      <w:lvlText w:val=""/>
      <w:lvlJc w:val="left"/>
    </w:lvl>
    <w:lvl w:ilvl="8" w:tplc="DCFADB5E">
      <w:numFmt w:val="decimal"/>
      <w:lvlText w:val=""/>
      <w:lvlJc w:val="left"/>
    </w:lvl>
  </w:abstractNum>
  <w:abstractNum w:abstractNumId="332" w15:restartNumberingAfterBreak="0">
    <w:nsid w:val="192F5719"/>
    <w:multiLevelType w:val="hybridMultilevel"/>
    <w:tmpl w:val="5EC29FA8"/>
    <w:lvl w:ilvl="0" w:tplc="8B3610B8">
      <w:start w:val="1"/>
      <w:numFmt w:val="bullet"/>
      <w:lvlText w:val=""/>
      <w:lvlJc w:val="left"/>
      <w:pPr>
        <w:ind w:left="720" w:hanging="180"/>
      </w:pPr>
      <w:rPr>
        <w:rFonts w:ascii="Symbol" w:hAnsi="Symbol" w:hint="default"/>
      </w:rPr>
    </w:lvl>
    <w:lvl w:ilvl="1" w:tplc="E80252B0">
      <w:numFmt w:val="decimal"/>
      <w:lvlText w:val=""/>
      <w:lvlJc w:val="left"/>
    </w:lvl>
    <w:lvl w:ilvl="2" w:tplc="B51C93F8">
      <w:numFmt w:val="decimal"/>
      <w:lvlText w:val=""/>
      <w:lvlJc w:val="left"/>
    </w:lvl>
    <w:lvl w:ilvl="3" w:tplc="1B8E803E">
      <w:numFmt w:val="decimal"/>
      <w:lvlText w:val=""/>
      <w:lvlJc w:val="left"/>
    </w:lvl>
    <w:lvl w:ilvl="4" w:tplc="594873F8">
      <w:numFmt w:val="decimal"/>
      <w:lvlText w:val=""/>
      <w:lvlJc w:val="left"/>
    </w:lvl>
    <w:lvl w:ilvl="5" w:tplc="79D202A2">
      <w:numFmt w:val="decimal"/>
      <w:lvlText w:val=""/>
      <w:lvlJc w:val="left"/>
    </w:lvl>
    <w:lvl w:ilvl="6" w:tplc="77B004A6">
      <w:numFmt w:val="decimal"/>
      <w:lvlText w:val=""/>
      <w:lvlJc w:val="left"/>
    </w:lvl>
    <w:lvl w:ilvl="7" w:tplc="926E298A">
      <w:numFmt w:val="decimal"/>
      <w:lvlText w:val=""/>
      <w:lvlJc w:val="left"/>
    </w:lvl>
    <w:lvl w:ilvl="8" w:tplc="EA0ECB50">
      <w:numFmt w:val="decimal"/>
      <w:lvlText w:val=""/>
      <w:lvlJc w:val="left"/>
    </w:lvl>
  </w:abstractNum>
  <w:abstractNum w:abstractNumId="333" w15:restartNumberingAfterBreak="0">
    <w:nsid w:val="19337F5A"/>
    <w:multiLevelType w:val="hybridMultilevel"/>
    <w:tmpl w:val="C390FE12"/>
    <w:lvl w:ilvl="0" w:tplc="910E29CC">
      <w:start w:val="1"/>
      <w:numFmt w:val="bullet"/>
      <w:lvlText w:val=""/>
      <w:lvlJc w:val="left"/>
      <w:pPr>
        <w:ind w:left="720" w:hanging="180"/>
      </w:pPr>
      <w:rPr>
        <w:rFonts w:ascii="Symbol" w:hAnsi="Symbol" w:hint="default"/>
      </w:rPr>
    </w:lvl>
    <w:lvl w:ilvl="1" w:tplc="C802A95A">
      <w:numFmt w:val="decimal"/>
      <w:lvlText w:val=""/>
      <w:lvlJc w:val="left"/>
    </w:lvl>
    <w:lvl w:ilvl="2" w:tplc="75FA6776">
      <w:numFmt w:val="decimal"/>
      <w:lvlText w:val=""/>
      <w:lvlJc w:val="left"/>
    </w:lvl>
    <w:lvl w:ilvl="3" w:tplc="8EDE49B4">
      <w:numFmt w:val="decimal"/>
      <w:lvlText w:val=""/>
      <w:lvlJc w:val="left"/>
    </w:lvl>
    <w:lvl w:ilvl="4" w:tplc="D86A076E">
      <w:numFmt w:val="decimal"/>
      <w:lvlText w:val=""/>
      <w:lvlJc w:val="left"/>
    </w:lvl>
    <w:lvl w:ilvl="5" w:tplc="71E00EF6">
      <w:numFmt w:val="decimal"/>
      <w:lvlText w:val=""/>
      <w:lvlJc w:val="left"/>
    </w:lvl>
    <w:lvl w:ilvl="6" w:tplc="2EC0F09A">
      <w:numFmt w:val="decimal"/>
      <w:lvlText w:val=""/>
      <w:lvlJc w:val="left"/>
    </w:lvl>
    <w:lvl w:ilvl="7" w:tplc="FACC0564">
      <w:numFmt w:val="decimal"/>
      <w:lvlText w:val=""/>
      <w:lvlJc w:val="left"/>
    </w:lvl>
    <w:lvl w:ilvl="8" w:tplc="40BE2CD0">
      <w:numFmt w:val="decimal"/>
      <w:lvlText w:val=""/>
      <w:lvlJc w:val="left"/>
    </w:lvl>
  </w:abstractNum>
  <w:abstractNum w:abstractNumId="334" w15:restartNumberingAfterBreak="0">
    <w:nsid w:val="19394594"/>
    <w:multiLevelType w:val="hybridMultilevel"/>
    <w:tmpl w:val="E09EBDC4"/>
    <w:lvl w:ilvl="0" w:tplc="9AD8F628">
      <w:start w:val="1"/>
      <w:numFmt w:val="bullet"/>
      <w:lvlText w:val=""/>
      <w:lvlJc w:val="left"/>
      <w:pPr>
        <w:ind w:left="720" w:hanging="180"/>
      </w:pPr>
      <w:rPr>
        <w:rFonts w:ascii="Symbol" w:hAnsi="Symbol" w:hint="default"/>
      </w:rPr>
    </w:lvl>
    <w:lvl w:ilvl="1" w:tplc="275097DC">
      <w:numFmt w:val="decimal"/>
      <w:lvlText w:val=""/>
      <w:lvlJc w:val="left"/>
    </w:lvl>
    <w:lvl w:ilvl="2" w:tplc="4DF079B0">
      <w:numFmt w:val="decimal"/>
      <w:lvlText w:val=""/>
      <w:lvlJc w:val="left"/>
    </w:lvl>
    <w:lvl w:ilvl="3" w:tplc="CCC8B4EC">
      <w:numFmt w:val="decimal"/>
      <w:lvlText w:val=""/>
      <w:lvlJc w:val="left"/>
    </w:lvl>
    <w:lvl w:ilvl="4" w:tplc="38F8E602">
      <w:numFmt w:val="decimal"/>
      <w:lvlText w:val=""/>
      <w:lvlJc w:val="left"/>
    </w:lvl>
    <w:lvl w:ilvl="5" w:tplc="8A5C8C56">
      <w:numFmt w:val="decimal"/>
      <w:lvlText w:val=""/>
      <w:lvlJc w:val="left"/>
    </w:lvl>
    <w:lvl w:ilvl="6" w:tplc="4234272C">
      <w:numFmt w:val="decimal"/>
      <w:lvlText w:val=""/>
      <w:lvlJc w:val="left"/>
    </w:lvl>
    <w:lvl w:ilvl="7" w:tplc="17EE6E9C">
      <w:numFmt w:val="decimal"/>
      <w:lvlText w:val=""/>
      <w:lvlJc w:val="left"/>
    </w:lvl>
    <w:lvl w:ilvl="8" w:tplc="E1ECA0EC">
      <w:numFmt w:val="decimal"/>
      <w:lvlText w:val=""/>
      <w:lvlJc w:val="left"/>
    </w:lvl>
  </w:abstractNum>
  <w:abstractNum w:abstractNumId="335" w15:restartNumberingAfterBreak="0">
    <w:nsid w:val="1941006F"/>
    <w:multiLevelType w:val="hybridMultilevel"/>
    <w:tmpl w:val="BEFC7632"/>
    <w:lvl w:ilvl="0" w:tplc="E6E0ABE2">
      <w:start w:val="1"/>
      <w:numFmt w:val="bullet"/>
      <w:lvlText w:val=""/>
      <w:lvlJc w:val="left"/>
      <w:pPr>
        <w:ind w:left="720" w:hanging="180"/>
      </w:pPr>
      <w:rPr>
        <w:rFonts w:ascii="Symbol" w:hAnsi="Symbol" w:hint="default"/>
      </w:rPr>
    </w:lvl>
    <w:lvl w:ilvl="1" w:tplc="6DE08986">
      <w:numFmt w:val="decimal"/>
      <w:lvlText w:val=""/>
      <w:lvlJc w:val="left"/>
    </w:lvl>
    <w:lvl w:ilvl="2" w:tplc="469AFB2E">
      <w:numFmt w:val="decimal"/>
      <w:lvlText w:val=""/>
      <w:lvlJc w:val="left"/>
    </w:lvl>
    <w:lvl w:ilvl="3" w:tplc="D364592C">
      <w:numFmt w:val="decimal"/>
      <w:lvlText w:val=""/>
      <w:lvlJc w:val="left"/>
    </w:lvl>
    <w:lvl w:ilvl="4" w:tplc="59B4C85C">
      <w:numFmt w:val="decimal"/>
      <w:lvlText w:val=""/>
      <w:lvlJc w:val="left"/>
    </w:lvl>
    <w:lvl w:ilvl="5" w:tplc="1CBCA1F2">
      <w:numFmt w:val="decimal"/>
      <w:lvlText w:val=""/>
      <w:lvlJc w:val="left"/>
    </w:lvl>
    <w:lvl w:ilvl="6" w:tplc="2BFA8402">
      <w:numFmt w:val="decimal"/>
      <w:lvlText w:val=""/>
      <w:lvlJc w:val="left"/>
    </w:lvl>
    <w:lvl w:ilvl="7" w:tplc="D32E1758">
      <w:numFmt w:val="decimal"/>
      <w:lvlText w:val=""/>
      <w:lvlJc w:val="left"/>
    </w:lvl>
    <w:lvl w:ilvl="8" w:tplc="0038AD48">
      <w:numFmt w:val="decimal"/>
      <w:lvlText w:val=""/>
      <w:lvlJc w:val="left"/>
    </w:lvl>
  </w:abstractNum>
  <w:abstractNum w:abstractNumId="336" w15:restartNumberingAfterBreak="0">
    <w:nsid w:val="1944732A"/>
    <w:multiLevelType w:val="hybridMultilevel"/>
    <w:tmpl w:val="CB52C230"/>
    <w:lvl w:ilvl="0" w:tplc="473EAB56">
      <w:start w:val="1"/>
      <w:numFmt w:val="bullet"/>
      <w:lvlText w:val=""/>
      <w:lvlJc w:val="left"/>
      <w:pPr>
        <w:ind w:left="720" w:hanging="180"/>
      </w:pPr>
      <w:rPr>
        <w:rFonts w:ascii="Symbol" w:hAnsi="Symbol" w:hint="default"/>
      </w:rPr>
    </w:lvl>
    <w:lvl w:ilvl="1" w:tplc="8B04B4EC">
      <w:numFmt w:val="decimal"/>
      <w:lvlText w:val=""/>
      <w:lvlJc w:val="left"/>
    </w:lvl>
    <w:lvl w:ilvl="2" w:tplc="54166B6E">
      <w:numFmt w:val="decimal"/>
      <w:lvlText w:val=""/>
      <w:lvlJc w:val="left"/>
    </w:lvl>
    <w:lvl w:ilvl="3" w:tplc="D6867554">
      <w:numFmt w:val="decimal"/>
      <w:lvlText w:val=""/>
      <w:lvlJc w:val="left"/>
    </w:lvl>
    <w:lvl w:ilvl="4" w:tplc="AB5460B0">
      <w:numFmt w:val="decimal"/>
      <w:lvlText w:val=""/>
      <w:lvlJc w:val="left"/>
    </w:lvl>
    <w:lvl w:ilvl="5" w:tplc="CF70B332">
      <w:numFmt w:val="decimal"/>
      <w:lvlText w:val=""/>
      <w:lvlJc w:val="left"/>
    </w:lvl>
    <w:lvl w:ilvl="6" w:tplc="25B28A04">
      <w:numFmt w:val="decimal"/>
      <w:lvlText w:val=""/>
      <w:lvlJc w:val="left"/>
    </w:lvl>
    <w:lvl w:ilvl="7" w:tplc="4A68F50A">
      <w:numFmt w:val="decimal"/>
      <w:lvlText w:val=""/>
      <w:lvlJc w:val="left"/>
    </w:lvl>
    <w:lvl w:ilvl="8" w:tplc="04C8E540">
      <w:numFmt w:val="decimal"/>
      <w:lvlText w:val=""/>
      <w:lvlJc w:val="left"/>
    </w:lvl>
  </w:abstractNum>
  <w:abstractNum w:abstractNumId="337" w15:restartNumberingAfterBreak="0">
    <w:nsid w:val="1969765A"/>
    <w:multiLevelType w:val="hybridMultilevel"/>
    <w:tmpl w:val="7B003EFE"/>
    <w:lvl w:ilvl="0" w:tplc="E214DB2C">
      <w:start w:val="1"/>
      <w:numFmt w:val="bullet"/>
      <w:lvlText w:val=""/>
      <w:lvlJc w:val="left"/>
      <w:pPr>
        <w:ind w:left="720" w:hanging="180"/>
      </w:pPr>
      <w:rPr>
        <w:rFonts w:ascii="Symbol" w:hAnsi="Symbol" w:hint="default"/>
      </w:rPr>
    </w:lvl>
    <w:lvl w:ilvl="1" w:tplc="BF1C3C30">
      <w:numFmt w:val="decimal"/>
      <w:lvlText w:val=""/>
      <w:lvlJc w:val="left"/>
    </w:lvl>
    <w:lvl w:ilvl="2" w:tplc="47785166">
      <w:numFmt w:val="decimal"/>
      <w:lvlText w:val=""/>
      <w:lvlJc w:val="left"/>
    </w:lvl>
    <w:lvl w:ilvl="3" w:tplc="3E1C3D24">
      <w:numFmt w:val="decimal"/>
      <w:lvlText w:val=""/>
      <w:lvlJc w:val="left"/>
    </w:lvl>
    <w:lvl w:ilvl="4" w:tplc="D91A6146">
      <w:numFmt w:val="decimal"/>
      <w:lvlText w:val=""/>
      <w:lvlJc w:val="left"/>
    </w:lvl>
    <w:lvl w:ilvl="5" w:tplc="29089752">
      <w:numFmt w:val="decimal"/>
      <w:lvlText w:val=""/>
      <w:lvlJc w:val="left"/>
    </w:lvl>
    <w:lvl w:ilvl="6" w:tplc="ACA00526">
      <w:numFmt w:val="decimal"/>
      <w:lvlText w:val=""/>
      <w:lvlJc w:val="left"/>
    </w:lvl>
    <w:lvl w:ilvl="7" w:tplc="DF3804CC">
      <w:numFmt w:val="decimal"/>
      <w:lvlText w:val=""/>
      <w:lvlJc w:val="left"/>
    </w:lvl>
    <w:lvl w:ilvl="8" w:tplc="89727BCC">
      <w:numFmt w:val="decimal"/>
      <w:lvlText w:val=""/>
      <w:lvlJc w:val="left"/>
    </w:lvl>
  </w:abstractNum>
  <w:abstractNum w:abstractNumId="338" w15:restartNumberingAfterBreak="0">
    <w:nsid w:val="197C7164"/>
    <w:multiLevelType w:val="hybridMultilevel"/>
    <w:tmpl w:val="B0D204E2"/>
    <w:lvl w:ilvl="0" w:tplc="9F34380C">
      <w:start w:val="1"/>
      <w:numFmt w:val="bullet"/>
      <w:lvlText w:val=""/>
      <w:lvlJc w:val="left"/>
      <w:pPr>
        <w:ind w:left="720" w:hanging="180"/>
      </w:pPr>
      <w:rPr>
        <w:rFonts w:ascii="Symbol" w:hAnsi="Symbol" w:hint="default"/>
      </w:rPr>
    </w:lvl>
    <w:lvl w:ilvl="1" w:tplc="AAC6DC76">
      <w:numFmt w:val="decimal"/>
      <w:lvlText w:val=""/>
      <w:lvlJc w:val="left"/>
    </w:lvl>
    <w:lvl w:ilvl="2" w:tplc="1310B3C4">
      <w:numFmt w:val="decimal"/>
      <w:lvlText w:val=""/>
      <w:lvlJc w:val="left"/>
    </w:lvl>
    <w:lvl w:ilvl="3" w:tplc="F036D04E">
      <w:numFmt w:val="decimal"/>
      <w:lvlText w:val=""/>
      <w:lvlJc w:val="left"/>
    </w:lvl>
    <w:lvl w:ilvl="4" w:tplc="D1BE272E">
      <w:numFmt w:val="decimal"/>
      <w:lvlText w:val=""/>
      <w:lvlJc w:val="left"/>
    </w:lvl>
    <w:lvl w:ilvl="5" w:tplc="94A27880">
      <w:numFmt w:val="decimal"/>
      <w:lvlText w:val=""/>
      <w:lvlJc w:val="left"/>
    </w:lvl>
    <w:lvl w:ilvl="6" w:tplc="39B43404">
      <w:numFmt w:val="decimal"/>
      <w:lvlText w:val=""/>
      <w:lvlJc w:val="left"/>
    </w:lvl>
    <w:lvl w:ilvl="7" w:tplc="DEDC28F8">
      <w:numFmt w:val="decimal"/>
      <w:lvlText w:val=""/>
      <w:lvlJc w:val="left"/>
    </w:lvl>
    <w:lvl w:ilvl="8" w:tplc="35AC50A6">
      <w:numFmt w:val="decimal"/>
      <w:lvlText w:val=""/>
      <w:lvlJc w:val="left"/>
    </w:lvl>
  </w:abstractNum>
  <w:abstractNum w:abstractNumId="339" w15:restartNumberingAfterBreak="0">
    <w:nsid w:val="19A86CDA"/>
    <w:multiLevelType w:val="hybridMultilevel"/>
    <w:tmpl w:val="70A4B04A"/>
    <w:lvl w:ilvl="0" w:tplc="84705660">
      <w:start w:val="1"/>
      <w:numFmt w:val="bullet"/>
      <w:lvlText w:val=""/>
      <w:lvlJc w:val="left"/>
      <w:pPr>
        <w:ind w:left="720" w:hanging="180"/>
      </w:pPr>
      <w:rPr>
        <w:rFonts w:ascii="Symbol" w:hAnsi="Symbol" w:hint="default"/>
      </w:rPr>
    </w:lvl>
    <w:lvl w:ilvl="1" w:tplc="271A5D6A">
      <w:numFmt w:val="decimal"/>
      <w:lvlText w:val=""/>
      <w:lvlJc w:val="left"/>
    </w:lvl>
    <w:lvl w:ilvl="2" w:tplc="14A8F204">
      <w:numFmt w:val="decimal"/>
      <w:lvlText w:val=""/>
      <w:lvlJc w:val="left"/>
    </w:lvl>
    <w:lvl w:ilvl="3" w:tplc="24F2C9FE">
      <w:numFmt w:val="decimal"/>
      <w:lvlText w:val=""/>
      <w:lvlJc w:val="left"/>
    </w:lvl>
    <w:lvl w:ilvl="4" w:tplc="C6A66DC8">
      <w:numFmt w:val="decimal"/>
      <w:lvlText w:val=""/>
      <w:lvlJc w:val="left"/>
    </w:lvl>
    <w:lvl w:ilvl="5" w:tplc="322E7DE2">
      <w:numFmt w:val="decimal"/>
      <w:lvlText w:val=""/>
      <w:lvlJc w:val="left"/>
    </w:lvl>
    <w:lvl w:ilvl="6" w:tplc="D8EED76A">
      <w:numFmt w:val="decimal"/>
      <w:lvlText w:val=""/>
      <w:lvlJc w:val="left"/>
    </w:lvl>
    <w:lvl w:ilvl="7" w:tplc="7E4488B0">
      <w:numFmt w:val="decimal"/>
      <w:lvlText w:val=""/>
      <w:lvlJc w:val="left"/>
    </w:lvl>
    <w:lvl w:ilvl="8" w:tplc="3296EDC2">
      <w:numFmt w:val="decimal"/>
      <w:lvlText w:val=""/>
      <w:lvlJc w:val="left"/>
    </w:lvl>
  </w:abstractNum>
  <w:abstractNum w:abstractNumId="340" w15:restartNumberingAfterBreak="0">
    <w:nsid w:val="19D374BF"/>
    <w:multiLevelType w:val="hybridMultilevel"/>
    <w:tmpl w:val="45567332"/>
    <w:lvl w:ilvl="0" w:tplc="C90EC3EC">
      <w:start w:val="1"/>
      <w:numFmt w:val="bullet"/>
      <w:lvlText w:val=""/>
      <w:lvlJc w:val="left"/>
      <w:pPr>
        <w:ind w:left="720" w:hanging="180"/>
      </w:pPr>
      <w:rPr>
        <w:rFonts w:ascii="Symbol" w:hAnsi="Symbol" w:hint="default"/>
      </w:rPr>
    </w:lvl>
    <w:lvl w:ilvl="1" w:tplc="DD0EED36">
      <w:numFmt w:val="decimal"/>
      <w:lvlText w:val=""/>
      <w:lvlJc w:val="left"/>
    </w:lvl>
    <w:lvl w:ilvl="2" w:tplc="DB9A23FA">
      <w:numFmt w:val="decimal"/>
      <w:lvlText w:val=""/>
      <w:lvlJc w:val="left"/>
    </w:lvl>
    <w:lvl w:ilvl="3" w:tplc="A22E5038">
      <w:numFmt w:val="decimal"/>
      <w:lvlText w:val=""/>
      <w:lvlJc w:val="left"/>
    </w:lvl>
    <w:lvl w:ilvl="4" w:tplc="D876D472">
      <w:numFmt w:val="decimal"/>
      <w:lvlText w:val=""/>
      <w:lvlJc w:val="left"/>
    </w:lvl>
    <w:lvl w:ilvl="5" w:tplc="A10A8006">
      <w:numFmt w:val="decimal"/>
      <w:lvlText w:val=""/>
      <w:lvlJc w:val="left"/>
    </w:lvl>
    <w:lvl w:ilvl="6" w:tplc="F1AA8D0E">
      <w:numFmt w:val="decimal"/>
      <w:lvlText w:val=""/>
      <w:lvlJc w:val="left"/>
    </w:lvl>
    <w:lvl w:ilvl="7" w:tplc="E0DC0CB2">
      <w:numFmt w:val="decimal"/>
      <w:lvlText w:val=""/>
      <w:lvlJc w:val="left"/>
    </w:lvl>
    <w:lvl w:ilvl="8" w:tplc="4F5E51DC">
      <w:numFmt w:val="decimal"/>
      <w:lvlText w:val=""/>
      <w:lvlJc w:val="left"/>
    </w:lvl>
  </w:abstractNum>
  <w:abstractNum w:abstractNumId="341" w15:restartNumberingAfterBreak="0">
    <w:nsid w:val="19F914DD"/>
    <w:multiLevelType w:val="hybridMultilevel"/>
    <w:tmpl w:val="2D2E9590"/>
    <w:lvl w:ilvl="0" w:tplc="61DA467A">
      <w:numFmt w:val="decimal"/>
      <w:lvlText w:val=""/>
      <w:lvlJc w:val="left"/>
    </w:lvl>
    <w:lvl w:ilvl="1" w:tplc="1BFCE554">
      <w:start w:val="1"/>
      <w:numFmt w:val="bullet"/>
      <w:lvlText w:val=""/>
      <w:lvlJc w:val="left"/>
      <w:pPr>
        <w:ind w:left="1440" w:hanging="180"/>
      </w:pPr>
      <w:rPr>
        <w:rFonts w:ascii="Symbol" w:hAnsi="Symbol" w:hint="default"/>
      </w:rPr>
    </w:lvl>
    <w:lvl w:ilvl="2" w:tplc="8C2A8F66">
      <w:numFmt w:val="decimal"/>
      <w:lvlText w:val=""/>
      <w:lvlJc w:val="left"/>
    </w:lvl>
    <w:lvl w:ilvl="3" w:tplc="E37460E0">
      <w:numFmt w:val="decimal"/>
      <w:lvlText w:val=""/>
      <w:lvlJc w:val="left"/>
    </w:lvl>
    <w:lvl w:ilvl="4" w:tplc="F5848020">
      <w:numFmt w:val="decimal"/>
      <w:lvlText w:val=""/>
      <w:lvlJc w:val="left"/>
    </w:lvl>
    <w:lvl w:ilvl="5" w:tplc="CDD4EF68">
      <w:numFmt w:val="decimal"/>
      <w:lvlText w:val=""/>
      <w:lvlJc w:val="left"/>
    </w:lvl>
    <w:lvl w:ilvl="6" w:tplc="32184516">
      <w:numFmt w:val="decimal"/>
      <w:lvlText w:val=""/>
      <w:lvlJc w:val="left"/>
    </w:lvl>
    <w:lvl w:ilvl="7" w:tplc="CA26B9C2">
      <w:numFmt w:val="decimal"/>
      <w:lvlText w:val=""/>
      <w:lvlJc w:val="left"/>
    </w:lvl>
    <w:lvl w:ilvl="8" w:tplc="C14AB7D2">
      <w:numFmt w:val="decimal"/>
      <w:lvlText w:val=""/>
      <w:lvlJc w:val="left"/>
    </w:lvl>
  </w:abstractNum>
  <w:abstractNum w:abstractNumId="342" w15:restartNumberingAfterBreak="0">
    <w:nsid w:val="19FF7710"/>
    <w:multiLevelType w:val="hybridMultilevel"/>
    <w:tmpl w:val="F96E795A"/>
    <w:lvl w:ilvl="0" w:tplc="00FABC22">
      <w:start w:val="1"/>
      <w:numFmt w:val="bullet"/>
      <w:lvlText w:val=""/>
      <w:lvlJc w:val="left"/>
      <w:pPr>
        <w:ind w:left="720" w:hanging="180"/>
      </w:pPr>
      <w:rPr>
        <w:rFonts w:ascii="Symbol" w:hAnsi="Symbol" w:hint="default"/>
      </w:rPr>
    </w:lvl>
    <w:lvl w:ilvl="1" w:tplc="E9C81BE6">
      <w:numFmt w:val="decimal"/>
      <w:lvlText w:val=""/>
      <w:lvlJc w:val="left"/>
    </w:lvl>
    <w:lvl w:ilvl="2" w:tplc="CB8A02F6">
      <w:numFmt w:val="decimal"/>
      <w:lvlText w:val=""/>
      <w:lvlJc w:val="left"/>
    </w:lvl>
    <w:lvl w:ilvl="3" w:tplc="0D8064B2">
      <w:numFmt w:val="decimal"/>
      <w:lvlText w:val=""/>
      <w:lvlJc w:val="left"/>
    </w:lvl>
    <w:lvl w:ilvl="4" w:tplc="971C9470">
      <w:numFmt w:val="decimal"/>
      <w:lvlText w:val=""/>
      <w:lvlJc w:val="left"/>
    </w:lvl>
    <w:lvl w:ilvl="5" w:tplc="2C4A873E">
      <w:numFmt w:val="decimal"/>
      <w:lvlText w:val=""/>
      <w:lvlJc w:val="left"/>
    </w:lvl>
    <w:lvl w:ilvl="6" w:tplc="C4E4FDDC">
      <w:numFmt w:val="decimal"/>
      <w:lvlText w:val=""/>
      <w:lvlJc w:val="left"/>
    </w:lvl>
    <w:lvl w:ilvl="7" w:tplc="A38A5D1C">
      <w:numFmt w:val="decimal"/>
      <w:lvlText w:val=""/>
      <w:lvlJc w:val="left"/>
    </w:lvl>
    <w:lvl w:ilvl="8" w:tplc="917CB9D0">
      <w:numFmt w:val="decimal"/>
      <w:lvlText w:val=""/>
      <w:lvlJc w:val="left"/>
    </w:lvl>
  </w:abstractNum>
  <w:abstractNum w:abstractNumId="343" w15:restartNumberingAfterBreak="0">
    <w:nsid w:val="1A027014"/>
    <w:multiLevelType w:val="hybridMultilevel"/>
    <w:tmpl w:val="1848C100"/>
    <w:lvl w:ilvl="0" w:tplc="B19C4B30">
      <w:start w:val="1"/>
      <w:numFmt w:val="bullet"/>
      <w:lvlText w:val=""/>
      <w:lvlJc w:val="left"/>
      <w:pPr>
        <w:ind w:left="720" w:hanging="180"/>
      </w:pPr>
      <w:rPr>
        <w:rFonts w:ascii="Symbol" w:hAnsi="Symbol" w:hint="default"/>
      </w:rPr>
    </w:lvl>
    <w:lvl w:ilvl="1" w:tplc="E39C6CD2">
      <w:numFmt w:val="decimal"/>
      <w:lvlText w:val=""/>
      <w:lvlJc w:val="left"/>
    </w:lvl>
    <w:lvl w:ilvl="2" w:tplc="36AAA904">
      <w:numFmt w:val="decimal"/>
      <w:lvlText w:val=""/>
      <w:lvlJc w:val="left"/>
    </w:lvl>
    <w:lvl w:ilvl="3" w:tplc="7B20FC70">
      <w:numFmt w:val="decimal"/>
      <w:lvlText w:val=""/>
      <w:lvlJc w:val="left"/>
    </w:lvl>
    <w:lvl w:ilvl="4" w:tplc="D70A15EE">
      <w:numFmt w:val="decimal"/>
      <w:lvlText w:val=""/>
      <w:lvlJc w:val="left"/>
    </w:lvl>
    <w:lvl w:ilvl="5" w:tplc="88A45CE6">
      <w:numFmt w:val="decimal"/>
      <w:lvlText w:val=""/>
      <w:lvlJc w:val="left"/>
    </w:lvl>
    <w:lvl w:ilvl="6" w:tplc="4AAAC5F6">
      <w:numFmt w:val="decimal"/>
      <w:lvlText w:val=""/>
      <w:lvlJc w:val="left"/>
    </w:lvl>
    <w:lvl w:ilvl="7" w:tplc="2C6A629E">
      <w:numFmt w:val="decimal"/>
      <w:lvlText w:val=""/>
      <w:lvlJc w:val="left"/>
    </w:lvl>
    <w:lvl w:ilvl="8" w:tplc="CF14E24C">
      <w:numFmt w:val="decimal"/>
      <w:lvlText w:val=""/>
      <w:lvlJc w:val="left"/>
    </w:lvl>
  </w:abstractNum>
  <w:abstractNum w:abstractNumId="344" w15:restartNumberingAfterBreak="0">
    <w:nsid w:val="1A0905EB"/>
    <w:multiLevelType w:val="hybridMultilevel"/>
    <w:tmpl w:val="6170709A"/>
    <w:lvl w:ilvl="0" w:tplc="47A8857A">
      <w:numFmt w:val="decimal"/>
      <w:lvlText w:val=""/>
      <w:lvlJc w:val="left"/>
    </w:lvl>
    <w:lvl w:ilvl="1" w:tplc="2E34E540">
      <w:start w:val="1"/>
      <w:numFmt w:val="bullet"/>
      <w:lvlText w:val=""/>
      <w:lvlJc w:val="left"/>
      <w:pPr>
        <w:ind w:left="1440" w:hanging="180"/>
      </w:pPr>
      <w:rPr>
        <w:rFonts w:ascii="Symbol" w:hAnsi="Symbol" w:hint="default"/>
      </w:rPr>
    </w:lvl>
    <w:lvl w:ilvl="2" w:tplc="58448300">
      <w:numFmt w:val="decimal"/>
      <w:lvlText w:val=""/>
      <w:lvlJc w:val="left"/>
    </w:lvl>
    <w:lvl w:ilvl="3" w:tplc="3BE2B008">
      <w:numFmt w:val="decimal"/>
      <w:lvlText w:val=""/>
      <w:lvlJc w:val="left"/>
    </w:lvl>
    <w:lvl w:ilvl="4" w:tplc="D4F455DC">
      <w:numFmt w:val="decimal"/>
      <w:lvlText w:val=""/>
      <w:lvlJc w:val="left"/>
    </w:lvl>
    <w:lvl w:ilvl="5" w:tplc="5756E914">
      <w:numFmt w:val="decimal"/>
      <w:lvlText w:val=""/>
      <w:lvlJc w:val="left"/>
    </w:lvl>
    <w:lvl w:ilvl="6" w:tplc="5FC43680">
      <w:numFmt w:val="decimal"/>
      <w:lvlText w:val=""/>
      <w:lvlJc w:val="left"/>
    </w:lvl>
    <w:lvl w:ilvl="7" w:tplc="243ED872">
      <w:numFmt w:val="decimal"/>
      <w:lvlText w:val=""/>
      <w:lvlJc w:val="left"/>
    </w:lvl>
    <w:lvl w:ilvl="8" w:tplc="3C722CC6">
      <w:numFmt w:val="decimal"/>
      <w:lvlText w:val=""/>
      <w:lvlJc w:val="left"/>
    </w:lvl>
  </w:abstractNum>
  <w:abstractNum w:abstractNumId="345" w15:restartNumberingAfterBreak="0">
    <w:nsid w:val="1A2C4026"/>
    <w:multiLevelType w:val="hybridMultilevel"/>
    <w:tmpl w:val="6C069B9C"/>
    <w:lvl w:ilvl="0" w:tplc="29CA8366">
      <w:start w:val="1"/>
      <w:numFmt w:val="bullet"/>
      <w:lvlText w:val=""/>
      <w:lvlJc w:val="left"/>
      <w:pPr>
        <w:ind w:left="720" w:hanging="180"/>
      </w:pPr>
      <w:rPr>
        <w:rFonts w:ascii="Symbol" w:hAnsi="Symbol" w:hint="default"/>
      </w:rPr>
    </w:lvl>
    <w:lvl w:ilvl="1" w:tplc="5E0C8A14">
      <w:numFmt w:val="decimal"/>
      <w:lvlText w:val=""/>
      <w:lvlJc w:val="left"/>
    </w:lvl>
    <w:lvl w:ilvl="2" w:tplc="B21E994A">
      <w:numFmt w:val="decimal"/>
      <w:lvlText w:val=""/>
      <w:lvlJc w:val="left"/>
    </w:lvl>
    <w:lvl w:ilvl="3" w:tplc="4306C234">
      <w:numFmt w:val="decimal"/>
      <w:lvlText w:val=""/>
      <w:lvlJc w:val="left"/>
    </w:lvl>
    <w:lvl w:ilvl="4" w:tplc="D1428700">
      <w:numFmt w:val="decimal"/>
      <w:lvlText w:val=""/>
      <w:lvlJc w:val="left"/>
    </w:lvl>
    <w:lvl w:ilvl="5" w:tplc="87AA20C0">
      <w:numFmt w:val="decimal"/>
      <w:lvlText w:val=""/>
      <w:lvlJc w:val="left"/>
    </w:lvl>
    <w:lvl w:ilvl="6" w:tplc="C2ACB49E">
      <w:numFmt w:val="decimal"/>
      <w:lvlText w:val=""/>
      <w:lvlJc w:val="left"/>
    </w:lvl>
    <w:lvl w:ilvl="7" w:tplc="8A5EB792">
      <w:numFmt w:val="decimal"/>
      <w:lvlText w:val=""/>
      <w:lvlJc w:val="left"/>
    </w:lvl>
    <w:lvl w:ilvl="8" w:tplc="E244E7EE">
      <w:numFmt w:val="decimal"/>
      <w:lvlText w:val=""/>
      <w:lvlJc w:val="left"/>
    </w:lvl>
  </w:abstractNum>
  <w:abstractNum w:abstractNumId="346" w15:restartNumberingAfterBreak="0">
    <w:nsid w:val="1A415CC0"/>
    <w:multiLevelType w:val="hybridMultilevel"/>
    <w:tmpl w:val="E6DE70CA"/>
    <w:lvl w:ilvl="0" w:tplc="85E8A1A8">
      <w:start w:val="1"/>
      <w:numFmt w:val="bullet"/>
      <w:lvlText w:val=""/>
      <w:lvlJc w:val="left"/>
      <w:pPr>
        <w:ind w:left="720" w:hanging="180"/>
      </w:pPr>
      <w:rPr>
        <w:rFonts w:ascii="Symbol" w:hAnsi="Symbol" w:hint="default"/>
      </w:rPr>
    </w:lvl>
    <w:lvl w:ilvl="1" w:tplc="53600B16">
      <w:numFmt w:val="decimal"/>
      <w:lvlText w:val=""/>
      <w:lvlJc w:val="left"/>
    </w:lvl>
    <w:lvl w:ilvl="2" w:tplc="CF0ED00E">
      <w:numFmt w:val="decimal"/>
      <w:lvlText w:val=""/>
      <w:lvlJc w:val="left"/>
    </w:lvl>
    <w:lvl w:ilvl="3" w:tplc="37B68A7C">
      <w:numFmt w:val="decimal"/>
      <w:lvlText w:val=""/>
      <w:lvlJc w:val="left"/>
    </w:lvl>
    <w:lvl w:ilvl="4" w:tplc="210C270A">
      <w:numFmt w:val="decimal"/>
      <w:lvlText w:val=""/>
      <w:lvlJc w:val="left"/>
    </w:lvl>
    <w:lvl w:ilvl="5" w:tplc="0228F5D0">
      <w:numFmt w:val="decimal"/>
      <w:lvlText w:val=""/>
      <w:lvlJc w:val="left"/>
    </w:lvl>
    <w:lvl w:ilvl="6" w:tplc="F3E89076">
      <w:numFmt w:val="decimal"/>
      <w:lvlText w:val=""/>
      <w:lvlJc w:val="left"/>
    </w:lvl>
    <w:lvl w:ilvl="7" w:tplc="7A0A43F0">
      <w:numFmt w:val="decimal"/>
      <w:lvlText w:val=""/>
      <w:lvlJc w:val="left"/>
    </w:lvl>
    <w:lvl w:ilvl="8" w:tplc="A968AE26">
      <w:numFmt w:val="decimal"/>
      <w:lvlText w:val=""/>
      <w:lvlJc w:val="left"/>
    </w:lvl>
  </w:abstractNum>
  <w:abstractNum w:abstractNumId="347" w15:restartNumberingAfterBreak="0">
    <w:nsid w:val="1A502220"/>
    <w:multiLevelType w:val="hybridMultilevel"/>
    <w:tmpl w:val="C748A644"/>
    <w:lvl w:ilvl="0" w:tplc="0F72C49A">
      <w:start w:val="1"/>
      <w:numFmt w:val="bullet"/>
      <w:lvlText w:val=""/>
      <w:lvlJc w:val="left"/>
      <w:pPr>
        <w:ind w:left="720" w:hanging="180"/>
      </w:pPr>
      <w:rPr>
        <w:rFonts w:ascii="Symbol" w:hAnsi="Symbol" w:hint="default"/>
      </w:rPr>
    </w:lvl>
    <w:lvl w:ilvl="1" w:tplc="DC44B7E8">
      <w:numFmt w:val="decimal"/>
      <w:lvlText w:val=""/>
      <w:lvlJc w:val="left"/>
    </w:lvl>
    <w:lvl w:ilvl="2" w:tplc="DBCA7076">
      <w:numFmt w:val="decimal"/>
      <w:lvlText w:val=""/>
      <w:lvlJc w:val="left"/>
    </w:lvl>
    <w:lvl w:ilvl="3" w:tplc="DF8C8BB6">
      <w:numFmt w:val="decimal"/>
      <w:lvlText w:val=""/>
      <w:lvlJc w:val="left"/>
    </w:lvl>
    <w:lvl w:ilvl="4" w:tplc="37A2C4A8">
      <w:numFmt w:val="decimal"/>
      <w:lvlText w:val=""/>
      <w:lvlJc w:val="left"/>
    </w:lvl>
    <w:lvl w:ilvl="5" w:tplc="1E94662A">
      <w:numFmt w:val="decimal"/>
      <w:lvlText w:val=""/>
      <w:lvlJc w:val="left"/>
    </w:lvl>
    <w:lvl w:ilvl="6" w:tplc="E73A41E2">
      <w:numFmt w:val="decimal"/>
      <w:lvlText w:val=""/>
      <w:lvlJc w:val="left"/>
    </w:lvl>
    <w:lvl w:ilvl="7" w:tplc="CA8E38C2">
      <w:numFmt w:val="decimal"/>
      <w:lvlText w:val=""/>
      <w:lvlJc w:val="left"/>
    </w:lvl>
    <w:lvl w:ilvl="8" w:tplc="DA72BFC0">
      <w:numFmt w:val="decimal"/>
      <w:lvlText w:val=""/>
      <w:lvlJc w:val="left"/>
    </w:lvl>
  </w:abstractNum>
  <w:abstractNum w:abstractNumId="348" w15:restartNumberingAfterBreak="0">
    <w:nsid w:val="1A561608"/>
    <w:multiLevelType w:val="hybridMultilevel"/>
    <w:tmpl w:val="C7AA56C2"/>
    <w:lvl w:ilvl="0" w:tplc="A446AC2C">
      <w:start w:val="1"/>
      <w:numFmt w:val="bullet"/>
      <w:lvlText w:val=""/>
      <w:lvlJc w:val="left"/>
      <w:pPr>
        <w:ind w:left="720" w:hanging="180"/>
      </w:pPr>
      <w:rPr>
        <w:rFonts w:ascii="Symbol" w:hAnsi="Symbol" w:hint="default"/>
      </w:rPr>
    </w:lvl>
    <w:lvl w:ilvl="1" w:tplc="80FCCE80">
      <w:numFmt w:val="decimal"/>
      <w:lvlText w:val=""/>
      <w:lvlJc w:val="left"/>
    </w:lvl>
    <w:lvl w:ilvl="2" w:tplc="C19C16C8">
      <w:numFmt w:val="decimal"/>
      <w:lvlText w:val=""/>
      <w:lvlJc w:val="left"/>
    </w:lvl>
    <w:lvl w:ilvl="3" w:tplc="6CDA742A">
      <w:numFmt w:val="decimal"/>
      <w:lvlText w:val=""/>
      <w:lvlJc w:val="left"/>
    </w:lvl>
    <w:lvl w:ilvl="4" w:tplc="DC7299D6">
      <w:numFmt w:val="decimal"/>
      <w:lvlText w:val=""/>
      <w:lvlJc w:val="left"/>
    </w:lvl>
    <w:lvl w:ilvl="5" w:tplc="3F46CFE6">
      <w:numFmt w:val="decimal"/>
      <w:lvlText w:val=""/>
      <w:lvlJc w:val="left"/>
    </w:lvl>
    <w:lvl w:ilvl="6" w:tplc="2DEE877E">
      <w:numFmt w:val="decimal"/>
      <w:lvlText w:val=""/>
      <w:lvlJc w:val="left"/>
    </w:lvl>
    <w:lvl w:ilvl="7" w:tplc="85D608B8">
      <w:numFmt w:val="decimal"/>
      <w:lvlText w:val=""/>
      <w:lvlJc w:val="left"/>
    </w:lvl>
    <w:lvl w:ilvl="8" w:tplc="F704F69C">
      <w:numFmt w:val="decimal"/>
      <w:lvlText w:val=""/>
      <w:lvlJc w:val="left"/>
    </w:lvl>
  </w:abstractNum>
  <w:abstractNum w:abstractNumId="349" w15:restartNumberingAfterBreak="0">
    <w:nsid w:val="1A654805"/>
    <w:multiLevelType w:val="hybridMultilevel"/>
    <w:tmpl w:val="3A16D728"/>
    <w:lvl w:ilvl="0" w:tplc="B6021CCE">
      <w:start w:val="1"/>
      <w:numFmt w:val="bullet"/>
      <w:lvlText w:val=""/>
      <w:lvlJc w:val="left"/>
      <w:pPr>
        <w:ind w:left="720" w:hanging="180"/>
      </w:pPr>
      <w:rPr>
        <w:rFonts w:ascii="Symbol" w:hAnsi="Symbol" w:hint="default"/>
      </w:rPr>
    </w:lvl>
    <w:lvl w:ilvl="1" w:tplc="549AE8F4">
      <w:numFmt w:val="decimal"/>
      <w:lvlText w:val=""/>
      <w:lvlJc w:val="left"/>
    </w:lvl>
    <w:lvl w:ilvl="2" w:tplc="72A6BCD0">
      <w:numFmt w:val="decimal"/>
      <w:lvlText w:val=""/>
      <w:lvlJc w:val="left"/>
    </w:lvl>
    <w:lvl w:ilvl="3" w:tplc="287802EC">
      <w:numFmt w:val="decimal"/>
      <w:lvlText w:val=""/>
      <w:lvlJc w:val="left"/>
    </w:lvl>
    <w:lvl w:ilvl="4" w:tplc="5AE45174">
      <w:numFmt w:val="decimal"/>
      <w:lvlText w:val=""/>
      <w:lvlJc w:val="left"/>
    </w:lvl>
    <w:lvl w:ilvl="5" w:tplc="4D983A92">
      <w:numFmt w:val="decimal"/>
      <w:lvlText w:val=""/>
      <w:lvlJc w:val="left"/>
    </w:lvl>
    <w:lvl w:ilvl="6" w:tplc="550C3B1C">
      <w:numFmt w:val="decimal"/>
      <w:lvlText w:val=""/>
      <w:lvlJc w:val="left"/>
    </w:lvl>
    <w:lvl w:ilvl="7" w:tplc="0FA8F9D6">
      <w:numFmt w:val="decimal"/>
      <w:lvlText w:val=""/>
      <w:lvlJc w:val="left"/>
    </w:lvl>
    <w:lvl w:ilvl="8" w:tplc="423ED0FE">
      <w:numFmt w:val="decimal"/>
      <w:lvlText w:val=""/>
      <w:lvlJc w:val="left"/>
    </w:lvl>
  </w:abstractNum>
  <w:abstractNum w:abstractNumId="350" w15:restartNumberingAfterBreak="0">
    <w:nsid w:val="1A67081F"/>
    <w:multiLevelType w:val="hybridMultilevel"/>
    <w:tmpl w:val="A0D47474"/>
    <w:lvl w:ilvl="0" w:tplc="15409CB2">
      <w:start w:val="1"/>
      <w:numFmt w:val="bullet"/>
      <w:lvlText w:val=""/>
      <w:lvlJc w:val="left"/>
      <w:pPr>
        <w:ind w:left="720" w:hanging="180"/>
      </w:pPr>
      <w:rPr>
        <w:rFonts w:ascii="Symbol" w:hAnsi="Symbol" w:hint="default"/>
      </w:rPr>
    </w:lvl>
    <w:lvl w:ilvl="1" w:tplc="C2FA8D44">
      <w:numFmt w:val="decimal"/>
      <w:lvlText w:val=""/>
      <w:lvlJc w:val="left"/>
    </w:lvl>
    <w:lvl w:ilvl="2" w:tplc="CE82E906">
      <w:numFmt w:val="decimal"/>
      <w:lvlText w:val=""/>
      <w:lvlJc w:val="left"/>
    </w:lvl>
    <w:lvl w:ilvl="3" w:tplc="24401FE0">
      <w:numFmt w:val="decimal"/>
      <w:lvlText w:val=""/>
      <w:lvlJc w:val="left"/>
    </w:lvl>
    <w:lvl w:ilvl="4" w:tplc="514E7082">
      <w:numFmt w:val="decimal"/>
      <w:lvlText w:val=""/>
      <w:lvlJc w:val="left"/>
    </w:lvl>
    <w:lvl w:ilvl="5" w:tplc="BE2C3B52">
      <w:numFmt w:val="decimal"/>
      <w:lvlText w:val=""/>
      <w:lvlJc w:val="left"/>
    </w:lvl>
    <w:lvl w:ilvl="6" w:tplc="106EACBA">
      <w:numFmt w:val="decimal"/>
      <w:lvlText w:val=""/>
      <w:lvlJc w:val="left"/>
    </w:lvl>
    <w:lvl w:ilvl="7" w:tplc="0AE44DC4">
      <w:numFmt w:val="decimal"/>
      <w:lvlText w:val=""/>
      <w:lvlJc w:val="left"/>
    </w:lvl>
    <w:lvl w:ilvl="8" w:tplc="C8AE63A8">
      <w:numFmt w:val="decimal"/>
      <w:lvlText w:val=""/>
      <w:lvlJc w:val="left"/>
    </w:lvl>
  </w:abstractNum>
  <w:abstractNum w:abstractNumId="351" w15:restartNumberingAfterBreak="0">
    <w:nsid w:val="1A670FC0"/>
    <w:multiLevelType w:val="hybridMultilevel"/>
    <w:tmpl w:val="E4F4EEBA"/>
    <w:lvl w:ilvl="0" w:tplc="D706B188">
      <w:start w:val="1"/>
      <w:numFmt w:val="bullet"/>
      <w:lvlText w:val=""/>
      <w:lvlJc w:val="left"/>
      <w:pPr>
        <w:ind w:left="720" w:hanging="180"/>
      </w:pPr>
      <w:rPr>
        <w:rFonts w:ascii="Symbol" w:hAnsi="Symbol" w:hint="default"/>
      </w:rPr>
    </w:lvl>
    <w:lvl w:ilvl="1" w:tplc="622EFAB8">
      <w:numFmt w:val="decimal"/>
      <w:lvlText w:val=""/>
      <w:lvlJc w:val="left"/>
    </w:lvl>
    <w:lvl w:ilvl="2" w:tplc="1BCCA16C">
      <w:numFmt w:val="decimal"/>
      <w:lvlText w:val=""/>
      <w:lvlJc w:val="left"/>
    </w:lvl>
    <w:lvl w:ilvl="3" w:tplc="4580AF9C">
      <w:numFmt w:val="decimal"/>
      <w:lvlText w:val=""/>
      <w:lvlJc w:val="left"/>
    </w:lvl>
    <w:lvl w:ilvl="4" w:tplc="8006F510">
      <w:numFmt w:val="decimal"/>
      <w:lvlText w:val=""/>
      <w:lvlJc w:val="left"/>
    </w:lvl>
    <w:lvl w:ilvl="5" w:tplc="FCFCD1A8">
      <w:numFmt w:val="decimal"/>
      <w:lvlText w:val=""/>
      <w:lvlJc w:val="left"/>
    </w:lvl>
    <w:lvl w:ilvl="6" w:tplc="D396A048">
      <w:numFmt w:val="decimal"/>
      <w:lvlText w:val=""/>
      <w:lvlJc w:val="left"/>
    </w:lvl>
    <w:lvl w:ilvl="7" w:tplc="8A28B250">
      <w:numFmt w:val="decimal"/>
      <w:lvlText w:val=""/>
      <w:lvlJc w:val="left"/>
    </w:lvl>
    <w:lvl w:ilvl="8" w:tplc="4B2A09E0">
      <w:numFmt w:val="decimal"/>
      <w:lvlText w:val=""/>
      <w:lvlJc w:val="left"/>
    </w:lvl>
  </w:abstractNum>
  <w:abstractNum w:abstractNumId="352" w15:restartNumberingAfterBreak="0">
    <w:nsid w:val="1A724841"/>
    <w:multiLevelType w:val="hybridMultilevel"/>
    <w:tmpl w:val="52A2A73C"/>
    <w:lvl w:ilvl="0" w:tplc="496E6142">
      <w:start w:val="1"/>
      <w:numFmt w:val="bullet"/>
      <w:lvlText w:val=""/>
      <w:lvlJc w:val="left"/>
      <w:pPr>
        <w:ind w:left="720" w:hanging="180"/>
      </w:pPr>
      <w:rPr>
        <w:rFonts w:ascii="Symbol" w:hAnsi="Symbol" w:hint="default"/>
      </w:rPr>
    </w:lvl>
    <w:lvl w:ilvl="1" w:tplc="ACBAD1C2">
      <w:numFmt w:val="decimal"/>
      <w:lvlText w:val=""/>
      <w:lvlJc w:val="left"/>
    </w:lvl>
    <w:lvl w:ilvl="2" w:tplc="7F30B9E6">
      <w:numFmt w:val="decimal"/>
      <w:lvlText w:val=""/>
      <w:lvlJc w:val="left"/>
    </w:lvl>
    <w:lvl w:ilvl="3" w:tplc="2372493A">
      <w:numFmt w:val="decimal"/>
      <w:lvlText w:val=""/>
      <w:lvlJc w:val="left"/>
    </w:lvl>
    <w:lvl w:ilvl="4" w:tplc="A34048A4">
      <w:numFmt w:val="decimal"/>
      <w:lvlText w:val=""/>
      <w:lvlJc w:val="left"/>
    </w:lvl>
    <w:lvl w:ilvl="5" w:tplc="3962B39E">
      <w:numFmt w:val="decimal"/>
      <w:lvlText w:val=""/>
      <w:lvlJc w:val="left"/>
    </w:lvl>
    <w:lvl w:ilvl="6" w:tplc="2372596A">
      <w:numFmt w:val="decimal"/>
      <w:lvlText w:val=""/>
      <w:lvlJc w:val="left"/>
    </w:lvl>
    <w:lvl w:ilvl="7" w:tplc="943424CA">
      <w:numFmt w:val="decimal"/>
      <w:lvlText w:val=""/>
      <w:lvlJc w:val="left"/>
    </w:lvl>
    <w:lvl w:ilvl="8" w:tplc="AF642498">
      <w:numFmt w:val="decimal"/>
      <w:lvlText w:val=""/>
      <w:lvlJc w:val="left"/>
    </w:lvl>
  </w:abstractNum>
  <w:abstractNum w:abstractNumId="353" w15:restartNumberingAfterBreak="0">
    <w:nsid w:val="1A7A6C25"/>
    <w:multiLevelType w:val="hybridMultilevel"/>
    <w:tmpl w:val="4A4000D8"/>
    <w:lvl w:ilvl="0" w:tplc="B17EE000">
      <w:start w:val="1"/>
      <w:numFmt w:val="bullet"/>
      <w:lvlText w:val=""/>
      <w:lvlJc w:val="left"/>
      <w:pPr>
        <w:ind w:left="720" w:hanging="180"/>
      </w:pPr>
      <w:rPr>
        <w:rFonts w:ascii="Symbol" w:hAnsi="Symbol" w:hint="default"/>
      </w:rPr>
    </w:lvl>
    <w:lvl w:ilvl="1" w:tplc="FC62050A">
      <w:numFmt w:val="decimal"/>
      <w:lvlText w:val=""/>
      <w:lvlJc w:val="left"/>
    </w:lvl>
    <w:lvl w:ilvl="2" w:tplc="9F224C6A">
      <w:numFmt w:val="decimal"/>
      <w:lvlText w:val=""/>
      <w:lvlJc w:val="left"/>
    </w:lvl>
    <w:lvl w:ilvl="3" w:tplc="EE6090BE">
      <w:numFmt w:val="decimal"/>
      <w:lvlText w:val=""/>
      <w:lvlJc w:val="left"/>
    </w:lvl>
    <w:lvl w:ilvl="4" w:tplc="3D36AB36">
      <w:numFmt w:val="decimal"/>
      <w:lvlText w:val=""/>
      <w:lvlJc w:val="left"/>
    </w:lvl>
    <w:lvl w:ilvl="5" w:tplc="A2341A10">
      <w:numFmt w:val="decimal"/>
      <w:lvlText w:val=""/>
      <w:lvlJc w:val="left"/>
    </w:lvl>
    <w:lvl w:ilvl="6" w:tplc="36944410">
      <w:numFmt w:val="decimal"/>
      <w:lvlText w:val=""/>
      <w:lvlJc w:val="left"/>
    </w:lvl>
    <w:lvl w:ilvl="7" w:tplc="7B7E1F08">
      <w:numFmt w:val="decimal"/>
      <w:lvlText w:val=""/>
      <w:lvlJc w:val="left"/>
    </w:lvl>
    <w:lvl w:ilvl="8" w:tplc="FADA1990">
      <w:numFmt w:val="decimal"/>
      <w:lvlText w:val=""/>
      <w:lvlJc w:val="left"/>
    </w:lvl>
  </w:abstractNum>
  <w:abstractNum w:abstractNumId="354" w15:restartNumberingAfterBreak="0">
    <w:nsid w:val="1A7D6A54"/>
    <w:multiLevelType w:val="hybridMultilevel"/>
    <w:tmpl w:val="D25E0EC8"/>
    <w:lvl w:ilvl="0" w:tplc="59103DA6">
      <w:numFmt w:val="decimal"/>
      <w:lvlText w:val=""/>
      <w:lvlJc w:val="left"/>
    </w:lvl>
    <w:lvl w:ilvl="1" w:tplc="979CCA32">
      <w:start w:val="1"/>
      <w:numFmt w:val="bullet"/>
      <w:lvlText w:val=""/>
      <w:lvlJc w:val="left"/>
      <w:pPr>
        <w:ind w:left="1440" w:hanging="180"/>
      </w:pPr>
      <w:rPr>
        <w:rFonts w:ascii="Symbol" w:hAnsi="Symbol" w:hint="default"/>
      </w:rPr>
    </w:lvl>
    <w:lvl w:ilvl="2" w:tplc="63DEC276">
      <w:numFmt w:val="decimal"/>
      <w:lvlText w:val=""/>
      <w:lvlJc w:val="left"/>
    </w:lvl>
    <w:lvl w:ilvl="3" w:tplc="B42C8D42">
      <w:numFmt w:val="decimal"/>
      <w:lvlText w:val=""/>
      <w:lvlJc w:val="left"/>
    </w:lvl>
    <w:lvl w:ilvl="4" w:tplc="B1942D46">
      <w:numFmt w:val="decimal"/>
      <w:lvlText w:val=""/>
      <w:lvlJc w:val="left"/>
    </w:lvl>
    <w:lvl w:ilvl="5" w:tplc="238AC8F0">
      <w:numFmt w:val="decimal"/>
      <w:lvlText w:val=""/>
      <w:lvlJc w:val="left"/>
    </w:lvl>
    <w:lvl w:ilvl="6" w:tplc="40F45C88">
      <w:numFmt w:val="decimal"/>
      <w:lvlText w:val=""/>
      <w:lvlJc w:val="left"/>
    </w:lvl>
    <w:lvl w:ilvl="7" w:tplc="1FA09F64">
      <w:numFmt w:val="decimal"/>
      <w:lvlText w:val=""/>
      <w:lvlJc w:val="left"/>
    </w:lvl>
    <w:lvl w:ilvl="8" w:tplc="4CAAA028">
      <w:numFmt w:val="decimal"/>
      <w:lvlText w:val=""/>
      <w:lvlJc w:val="left"/>
    </w:lvl>
  </w:abstractNum>
  <w:abstractNum w:abstractNumId="355" w15:restartNumberingAfterBreak="0">
    <w:nsid w:val="1A8F0479"/>
    <w:multiLevelType w:val="hybridMultilevel"/>
    <w:tmpl w:val="7084D18E"/>
    <w:lvl w:ilvl="0" w:tplc="F050BE00">
      <w:start w:val="1"/>
      <w:numFmt w:val="bullet"/>
      <w:lvlText w:val=""/>
      <w:lvlJc w:val="left"/>
      <w:pPr>
        <w:ind w:left="720" w:hanging="180"/>
      </w:pPr>
      <w:rPr>
        <w:rFonts w:ascii="Symbol" w:hAnsi="Symbol" w:hint="default"/>
      </w:rPr>
    </w:lvl>
    <w:lvl w:ilvl="1" w:tplc="9D904842">
      <w:numFmt w:val="decimal"/>
      <w:lvlText w:val=""/>
      <w:lvlJc w:val="left"/>
    </w:lvl>
    <w:lvl w:ilvl="2" w:tplc="8A660AA4">
      <w:numFmt w:val="decimal"/>
      <w:lvlText w:val=""/>
      <w:lvlJc w:val="left"/>
    </w:lvl>
    <w:lvl w:ilvl="3" w:tplc="7B1EB0D8">
      <w:numFmt w:val="decimal"/>
      <w:lvlText w:val=""/>
      <w:lvlJc w:val="left"/>
    </w:lvl>
    <w:lvl w:ilvl="4" w:tplc="FCCE322C">
      <w:numFmt w:val="decimal"/>
      <w:lvlText w:val=""/>
      <w:lvlJc w:val="left"/>
    </w:lvl>
    <w:lvl w:ilvl="5" w:tplc="0D665EFA">
      <w:numFmt w:val="decimal"/>
      <w:lvlText w:val=""/>
      <w:lvlJc w:val="left"/>
    </w:lvl>
    <w:lvl w:ilvl="6" w:tplc="0A7CBB2E">
      <w:numFmt w:val="decimal"/>
      <w:lvlText w:val=""/>
      <w:lvlJc w:val="left"/>
    </w:lvl>
    <w:lvl w:ilvl="7" w:tplc="4964F60E">
      <w:numFmt w:val="decimal"/>
      <w:lvlText w:val=""/>
      <w:lvlJc w:val="left"/>
    </w:lvl>
    <w:lvl w:ilvl="8" w:tplc="FE0CD5A4">
      <w:numFmt w:val="decimal"/>
      <w:lvlText w:val=""/>
      <w:lvlJc w:val="left"/>
    </w:lvl>
  </w:abstractNum>
  <w:abstractNum w:abstractNumId="356" w15:restartNumberingAfterBreak="0">
    <w:nsid w:val="1A9A4A69"/>
    <w:multiLevelType w:val="hybridMultilevel"/>
    <w:tmpl w:val="D56E99E4"/>
    <w:lvl w:ilvl="0" w:tplc="26D04F32">
      <w:start w:val="1"/>
      <w:numFmt w:val="bullet"/>
      <w:lvlText w:val=""/>
      <w:lvlJc w:val="left"/>
      <w:pPr>
        <w:ind w:left="720" w:hanging="180"/>
      </w:pPr>
      <w:rPr>
        <w:rFonts w:ascii="Symbol" w:hAnsi="Symbol" w:hint="default"/>
      </w:rPr>
    </w:lvl>
    <w:lvl w:ilvl="1" w:tplc="955A3A22">
      <w:numFmt w:val="decimal"/>
      <w:lvlText w:val=""/>
      <w:lvlJc w:val="left"/>
    </w:lvl>
    <w:lvl w:ilvl="2" w:tplc="936AE1B4">
      <w:numFmt w:val="decimal"/>
      <w:lvlText w:val=""/>
      <w:lvlJc w:val="left"/>
    </w:lvl>
    <w:lvl w:ilvl="3" w:tplc="5EB247CA">
      <w:numFmt w:val="decimal"/>
      <w:lvlText w:val=""/>
      <w:lvlJc w:val="left"/>
    </w:lvl>
    <w:lvl w:ilvl="4" w:tplc="9A8C78B2">
      <w:numFmt w:val="decimal"/>
      <w:lvlText w:val=""/>
      <w:lvlJc w:val="left"/>
    </w:lvl>
    <w:lvl w:ilvl="5" w:tplc="A8C2B0E6">
      <w:numFmt w:val="decimal"/>
      <w:lvlText w:val=""/>
      <w:lvlJc w:val="left"/>
    </w:lvl>
    <w:lvl w:ilvl="6" w:tplc="E1AAF5EA">
      <w:numFmt w:val="decimal"/>
      <w:lvlText w:val=""/>
      <w:lvlJc w:val="left"/>
    </w:lvl>
    <w:lvl w:ilvl="7" w:tplc="D736DC68">
      <w:numFmt w:val="decimal"/>
      <w:lvlText w:val=""/>
      <w:lvlJc w:val="left"/>
    </w:lvl>
    <w:lvl w:ilvl="8" w:tplc="3AA4F90E">
      <w:numFmt w:val="decimal"/>
      <w:lvlText w:val=""/>
      <w:lvlJc w:val="left"/>
    </w:lvl>
  </w:abstractNum>
  <w:abstractNum w:abstractNumId="357" w15:restartNumberingAfterBreak="0">
    <w:nsid w:val="1AA27EB3"/>
    <w:multiLevelType w:val="hybridMultilevel"/>
    <w:tmpl w:val="D63688F2"/>
    <w:lvl w:ilvl="0" w:tplc="21562670">
      <w:start w:val="1"/>
      <w:numFmt w:val="bullet"/>
      <w:lvlText w:val=""/>
      <w:lvlJc w:val="left"/>
      <w:pPr>
        <w:ind w:left="720" w:hanging="180"/>
      </w:pPr>
      <w:rPr>
        <w:rFonts w:ascii="Symbol" w:hAnsi="Symbol" w:hint="default"/>
      </w:rPr>
    </w:lvl>
    <w:lvl w:ilvl="1" w:tplc="F7A62F40">
      <w:numFmt w:val="decimal"/>
      <w:lvlText w:val=""/>
      <w:lvlJc w:val="left"/>
    </w:lvl>
    <w:lvl w:ilvl="2" w:tplc="2894FBC4">
      <w:numFmt w:val="decimal"/>
      <w:lvlText w:val=""/>
      <w:lvlJc w:val="left"/>
    </w:lvl>
    <w:lvl w:ilvl="3" w:tplc="31E44A7A">
      <w:numFmt w:val="decimal"/>
      <w:lvlText w:val=""/>
      <w:lvlJc w:val="left"/>
    </w:lvl>
    <w:lvl w:ilvl="4" w:tplc="BB4CD7DA">
      <w:numFmt w:val="decimal"/>
      <w:lvlText w:val=""/>
      <w:lvlJc w:val="left"/>
    </w:lvl>
    <w:lvl w:ilvl="5" w:tplc="43A4547C">
      <w:numFmt w:val="decimal"/>
      <w:lvlText w:val=""/>
      <w:lvlJc w:val="left"/>
    </w:lvl>
    <w:lvl w:ilvl="6" w:tplc="B1A2090C">
      <w:numFmt w:val="decimal"/>
      <w:lvlText w:val=""/>
      <w:lvlJc w:val="left"/>
    </w:lvl>
    <w:lvl w:ilvl="7" w:tplc="67CC7FB6">
      <w:numFmt w:val="decimal"/>
      <w:lvlText w:val=""/>
      <w:lvlJc w:val="left"/>
    </w:lvl>
    <w:lvl w:ilvl="8" w:tplc="E222C18C">
      <w:numFmt w:val="decimal"/>
      <w:lvlText w:val=""/>
      <w:lvlJc w:val="left"/>
    </w:lvl>
  </w:abstractNum>
  <w:abstractNum w:abstractNumId="358" w15:restartNumberingAfterBreak="0">
    <w:nsid w:val="1AAF5754"/>
    <w:multiLevelType w:val="hybridMultilevel"/>
    <w:tmpl w:val="F4C26512"/>
    <w:lvl w:ilvl="0" w:tplc="E0EC48EC">
      <w:numFmt w:val="decimal"/>
      <w:lvlText w:val=""/>
      <w:lvlJc w:val="left"/>
    </w:lvl>
    <w:lvl w:ilvl="1" w:tplc="F2E00C68">
      <w:start w:val="1"/>
      <w:numFmt w:val="bullet"/>
      <w:lvlText w:val=""/>
      <w:lvlJc w:val="left"/>
      <w:pPr>
        <w:ind w:left="1440" w:hanging="180"/>
      </w:pPr>
      <w:rPr>
        <w:rFonts w:ascii="Symbol" w:hAnsi="Symbol" w:hint="default"/>
      </w:rPr>
    </w:lvl>
    <w:lvl w:ilvl="2" w:tplc="48E4E01A">
      <w:numFmt w:val="decimal"/>
      <w:lvlText w:val=""/>
      <w:lvlJc w:val="left"/>
    </w:lvl>
    <w:lvl w:ilvl="3" w:tplc="E0EEA466">
      <w:numFmt w:val="decimal"/>
      <w:lvlText w:val=""/>
      <w:lvlJc w:val="left"/>
    </w:lvl>
    <w:lvl w:ilvl="4" w:tplc="565C7F48">
      <w:numFmt w:val="decimal"/>
      <w:lvlText w:val=""/>
      <w:lvlJc w:val="left"/>
    </w:lvl>
    <w:lvl w:ilvl="5" w:tplc="6624E510">
      <w:numFmt w:val="decimal"/>
      <w:lvlText w:val=""/>
      <w:lvlJc w:val="left"/>
    </w:lvl>
    <w:lvl w:ilvl="6" w:tplc="41826A04">
      <w:numFmt w:val="decimal"/>
      <w:lvlText w:val=""/>
      <w:lvlJc w:val="left"/>
    </w:lvl>
    <w:lvl w:ilvl="7" w:tplc="76DAED0C">
      <w:numFmt w:val="decimal"/>
      <w:lvlText w:val=""/>
      <w:lvlJc w:val="left"/>
    </w:lvl>
    <w:lvl w:ilvl="8" w:tplc="6C8CAEF2">
      <w:numFmt w:val="decimal"/>
      <w:lvlText w:val=""/>
      <w:lvlJc w:val="left"/>
    </w:lvl>
  </w:abstractNum>
  <w:abstractNum w:abstractNumId="359" w15:restartNumberingAfterBreak="0">
    <w:nsid w:val="1AD63169"/>
    <w:multiLevelType w:val="hybridMultilevel"/>
    <w:tmpl w:val="7FFAF7B6"/>
    <w:lvl w:ilvl="0" w:tplc="8E5E3B1A">
      <w:start w:val="1"/>
      <w:numFmt w:val="bullet"/>
      <w:lvlText w:val=""/>
      <w:lvlJc w:val="left"/>
      <w:pPr>
        <w:ind w:left="720" w:hanging="180"/>
      </w:pPr>
      <w:rPr>
        <w:rFonts w:ascii="Symbol" w:hAnsi="Symbol" w:hint="default"/>
      </w:rPr>
    </w:lvl>
    <w:lvl w:ilvl="1" w:tplc="C4FECB2C">
      <w:numFmt w:val="decimal"/>
      <w:lvlText w:val=""/>
      <w:lvlJc w:val="left"/>
    </w:lvl>
    <w:lvl w:ilvl="2" w:tplc="13481552">
      <w:numFmt w:val="decimal"/>
      <w:lvlText w:val=""/>
      <w:lvlJc w:val="left"/>
    </w:lvl>
    <w:lvl w:ilvl="3" w:tplc="6FE8B63E">
      <w:numFmt w:val="decimal"/>
      <w:lvlText w:val=""/>
      <w:lvlJc w:val="left"/>
    </w:lvl>
    <w:lvl w:ilvl="4" w:tplc="F7CA86DE">
      <w:numFmt w:val="decimal"/>
      <w:lvlText w:val=""/>
      <w:lvlJc w:val="left"/>
    </w:lvl>
    <w:lvl w:ilvl="5" w:tplc="93C4446A">
      <w:numFmt w:val="decimal"/>
      <w:lvlText w:val=""/>
      <w:lvlJc w:val="left"/>
    </w:lvl>
    <w:lvl w:ilvl="6" w:tplc="E424F716">
      <w:numFmt w:val="decimal"/>
      <w:lvlText w:val=""/>
      <w:lvlJc w:val="left"/>
    </w:lvl>
    <w:lvl w:ilvl="7" w:tplc="B86C7AA0">
      <w:numFmt w:val="decimal"/>
      <w:lvlText w:val=""/>
      <w:lvlJc w:val="left"/>
    </w:lvl>
    <w:lvl w:ilvl="8" w:tplc="DC28795A">
      <w:numFmt w:val="decimal"/>
      <w:lvlText w:val=""/>
      <w:lvlJc w:val="left"/>
    </w:lvl>
  </w:abstractNum>
  <w:abstractNum w:abstractNumId="360" w15:restartNumberingAfterBreak="0">
    <w:nsid w:val="1AE46633"/>
    <w:multiLevelType w:val="hybridMultilevel"/>
    <w:tmpl w:val="08D4F99C"/>
    <w:lvl w:ilvl="0" w:tplc="6890E97A">
      <w:start w:val="1"/>
      <w:numFmt w:val="bullet"/>
      <w:lvlText w:val=""/>
      <w:lvlJc w:val="left"/>
      <w:pPr>
        <w:ind w:left="720" w:hanging="180"/>
      </w:pPr>
      <w:rPr>
        <w:rFonts w:ascii="Symbol" w:hAnsi="Symbol" w:hint="default"/>
      </w:rPr>
    </w:lvl>
    <w:lvl w:ilvl="1" w:tplc="8D82490A">
      <w:numFmt w:val="decimal"/>
      <w:lvlText w:val=""/>
      <w:lvlJc w:val="left"/>
    </w:lvl>
    <w:lvl w:ilvl="2" w:tplc="5316E848">
      <w:numFmt w:val="decimal"/>
      <w:lvlText w:val=""/>
      <w:lvlJc w:val="left"/>
    </w:lvl>
    <w:lvl w:ilvl="3" w:tplc="D92AB67A">
      <w:numFmt w:val="decimal"/>
      <w:lvlText w:val=""/>
      <w:lvlJc w:val="left"/>
    </w:lvl>
    <w:lvl w:ilvl="4" w:tplc="EE141362">
      <w:numFmt w:val="decimal"/>
      <w:lvlText w:val=""/>
      <w:lvlJc w:val="left"/>
    </w:lvl>
    <w:lvl w:ilvl="5" w:tplc="D9BC8774">
      <w:numFmt w:val="decimal"/>
      <w:lvlText w:val=""/>
      <w:lvlJc w:val="left"/>
    </w:lvl>
    <w:lvl w:ilvl="6" w:tplc="0AF2261C">
      <w:numFmt w:val="decimal"/>
      <w:lvlText w:val=""/>
      <w:lvlJc w:val="left"/>
    </w:lvl>
    <w:lvl w:ilvl="7" w:tplc="5E76725E">
      <w:numFmt w:val="decimal"/>
      <w:lvlText w:val=""/>
      <w:lvlJc w:val="left"/>
    </w:lvl>
    <w:lvl w:ilvl="8" w:tplc="DDE66D66">
      <w:numFmt w:val="decimal"/>
      <w:lvlText w:val=""/>
      <w:lvlJc w:val="left"/>
    </w:lvl>
  </w:abstractNum>
  <w:abstractNum w:abstractNumId="361" w15:restartNumberingAfterBreak="0">
    <w:nsid w:val="1AEC7F09"/>
    <w:multiLevelType w:val="hybridMultilevel"/>
    <w:tmpl w:val="B5D066BC"/>
    <w:lvl w:ilvl="0" w:tplc="B64619EE">
      <w:numFmt w:val="decimal"/>
      <w:lvlText w:val=""/>
      <w:lvlJc w:val="left"/>
    </w:lvl>
    <w:lvl w:ilvl="1" w:tplc="337A38EE">
      <w:start w:val="1"/>
      <w:numFmt w:val="bullet"/>
      <w:lvlText w:val=""/>
      <w:lvlJc w:val="left"/>
      <w:pPr>
        <w:ind w:left="1440" w:hanging="180"/>
      </w:pPr>
      <w:rPr>
        <w:rFonts w:ascii="Symbol" w:hAnsi="Symbol" w:hint="default"/>
      </w:rPr>
    </w:lvl>
    <w:lvl w:ilvl="2" w:tplc="772E8CD2">
      <w:numFmt w:val="decimal"/>
      <w:lvlText w:val=""/>
      <w:lvlJc w:val="left"/>
    </w:lvl>
    <w:lvl w:ilvl="3" w:tplc="E272E402">
      <w:numFmt w:val="decimal"/>
      <w:lvlText w:val=""/>
      <w:lvlJc w:val="left"/>
    </w:lvl>
    <w:lvl w:ilvl="4" w:tplc="C5FE25CC">
      <w:numFmt w:val="decimal"/>
      <w:lvlText w:val=""/>
      <w:lvlJc w:val="left"/>
    </w:lvl>
    <w:lvl w:ilvl="5" w:tplc="6BF8602E">
      <w:numFmt w:val="decimal"/>
      <w:lvlText w:val=""/>
      <w:lvlJc w:val="left"/>
    </w:lvl>
    <w:lvl w:ilvl="6" w:tplc="57327FC8">
      <w:numFmt w:val="decimal"/>
      <w:lvlText w:val=""/>
      <w:lvlJc w:val="left"/>
    </w:lvl>
    <w:lvl w:ilvl="7" w:tplc="7840CA4E">
      <w:numFmt w:val="decimal"/>
      <w:lvlText w:val=""/>
      <w:lvlJc w:val="left"/>
    </w:lvl>
    <w:lvl w:ilvl="8" w:tplc="9438C5BE">
      <w:numFmt w:val="decimal"/>
      <w:lvlText w:val=""/>
      <w:lvlJc w:val="left"/>
    </w:lvl>
  </w:abstractNum>
  <w:abstractNum w:abstractNumId="362" w15:restartNumberingAfterBreak="0">
    <w:nsid w:val="1AF03157"/>
    <w:multiLevelType w:val="hybridMultilevel"/>
    <w:tmpl w:val="1E6A3D3C"/>
    <w:lvl w:ilvl="0" w:tplc="AD68E5F4">
      <w:start w:val="1"/>
      <w:numFmt w:val="bullet"/>
      <w:lvlText w:val=""/>
      <w:lvlJc w:val="left"/>
      <w:pPr>
        <w:ind w:left="720" w:hanging="180"/>
      </w:pPr>
      <w:rPr>
        <w:rFonts w:ascii="Symbol" w:hAnsi="Symbol" w:hint="default"/>
      </w:rPr>
    </w:lvl>
    <w:lvl w:ilvl="1" w:tplc="6C2401B6">
      <w:numFmt w:val="decimal"/>
      <w:lvlText w:val=""/>
      <w:lvlJc w:val="left"/>
    </w:lvl>
    <w:lvl w:ilvl="2" w:tplc="0394950E">
      <w:numFmt w:val="decimal"/>
      <w:lvlText w:val=""/>
      <w:lvlJc w:val="left"/>
    </w:lvl>
    <w:lvl w:ilvl="3" w:tplc="D4126944">
      <w:numFmt w:val="decimal"/>
      <w:lvlText w:val=""/>
      <w:lvlJc w:val="left"/>
    </w:lvl>
    <w:lvl w:ilvl="4" w:tplc="B688FE56">
      <w:numFmt w:val="decimal"/>
      <w:lvlText w:val=""/>
      <w:lvlJc w:val="left"/>
    </w:lvl>
    <w:lvl w:ilvl="5" w:tplc="AC862876">
      <w:numFmt w:val="decimal"/>
      <w:lvlText w:val=""/>
      <w:lvlJc w:val="left"/>
    </w:lvl>
    <w:lvl w:ilvl="6" w:tplc="97C61F42">
      <w:numFmt w:val="decimal"/>
      <w:lvlText w:val=""/>
      <w:lvlJc w:val="left"/>
    </w:lvl>
    <w:lvl w:ilvl="7" w:tplc="AD9CD842">
      <w:numFmt w:val="decimal"/>
      <w:lvlText w:val=""/>
      <w:lvlJc w:val="left"/>
    </w:lvl>
    <w:lvl w:ilvl="8" w:tplc="1E4A45F6">
      <w:numFmt w:val="decimal"/>
      <w:lvlText w:val=""/>
      <w:lvlJc w:val="left"/>
    </w:lvl>
  </w:abstractNum>
  <w:abstractNum w:abstractNumId="363" w15:restartNumberingAfterBreak="0">
    <w:nsid w:val="1AFE2C46"/>
    <w:multiLevelType w:val="hybridMultilevel"/>
    <w:tmpl w:val="60505E9E"/>
    <w:lvl w:ilvl="0" w:tplc="4BC097A6">
      <w:start w:val="1"/>
      <w:numFmt w:val="bullet"/>
      <w:lvlText w:val=""/>
      <w:lvlJc w:val="left"/>
      <w:pPr>
        <w:ind w:left="720" w:hanging="180"/>
      </w:pPr>
      <w:rPr>
        <w:rFonts w:ascii="Symbol" w:hAnsi="Symbol" w:hint="default"/>
      </w:rPr>
    </w:lvl>
    <w:lvl w:ilvl="1" w:tplc="6168668C">
      <w:numFmt w:val="decimal"/>
      <w:lvlText w:val=""/>
      <w:lvlJc w:val="left"/>
    </w:lvl>
    <w:lvl w:ilvl="2" w:tplc="796A3AE0">
      <w:numFmt w:val="decimal"/>
      <w:lvlText w:val=""/>
      <w:lvlJc w:val="left"/>
    </w:lvl>
    <w:lvl w:ilvl="3" w:tplc="0568ACD0">
      <w:numFmt w:val="decimal"/>
      <w:lvlText w:val=""/>
      <w:lvlJc w:val="left"/>
    </w:lvl>
    <w:lvl w:ilvl="4" w:tplc="5900ED96">
      <w:numFmt w:val="decimal"/>
      <w:lvlText w:val=""/>
      <w:lvlJc w:val="left"/>
    </w:lvl>
    <w:lvl w:ilvl="5" w:tplc="425A030E">
      <w:numFmt w:val="decimal"/>
      <w:lvlText w:val=""/>
      <w:lvlJc w:val="left"/>
    </w:lvl>
    <w:lvl w:ilvl="6" w:tplc="7688D7C4">
      <w:numFmt w:val="decimal"/>
      <w:lvlText w:val=""/>
      <w:lvlJc w:val="left"/>
    </w:lvl>
    <w:lvl w:ilvl="7" w:tplc="FCA61CEE">
      <w:numFmt w:val="decimal"/>
      <w:lvlText w:val=""/>
      <w:lvlJc w:val="left"/>
    </w:lvl>
    <w:lvl w:ilvl="8" w:tplc="2D9ACFF2">
      <w:numFmt w:val="decimal"/>
      <w:lvlText w:val=""/>
      <w:lvlJc w:val="left"/>
    </w:lvl>
  </w:abstractNum>
  <w:abstractNum w:abstractNumId="364" w15:restartNumberingAfterBreak="0">
    <w:nsid w:val="1B0A158F"/>
    <w:multiLevelType w:val="hybridMultilevel"/>
    <w:tmpl w:val="88604856"/>
    <w:lvl w:ilvl="0" w:tplc="8910CB06">
      <w:start w:val="1"/>
      <w:numFmt w:val="bullet"/>
      <w:lvlText w:val=""/>
      <w:lvlJc w:val="left"/>
      <w:pPr>
        <w:ind w:left="720" w:hanging="180"/>
      </w:pPr>
      <w:rPr>
        <w:rFonts w:ascii="Symbol" w:hAnsi="Symbol" w:hint="default"/>
      </w:rPr>
    </w:lvl>
    <w:lvl w:ilvl="1" w:tplc="41FCF366">
      <w:numFmt w:val="decimal"/>
      <w:lvlText w:val=""/>
      <w:lvlJc w:val="left"/>
    </w:lvl>
    <w:lvl w:ilvl="2" w:tplc="19ECE90C">
      <w:numFmt w:val="decimal"/>
      <w:lvlText w:val=""/>
      <w:lvlJc w:val="left"/>
    </w:lvl>
    <w:lvl w:ilvl="3" w:tplc="0AF475B8">
      <w:numFmt w:val="decimal"/>
      <w:lvlText w:val=""/>
      <w:lvlJc w:val="left"/>
    </w:lvl>
    <w:lvl w:ilvl="4" w:tplc="A1D28BE2">
      <w:numFmt w:val="decimal"/>
      <w:lvlText w:val=""/>
      <w:lvlJc w:val="left"/>
    </w:lvl>
    <w:lvl w:ilvl="5" w:tplc="BF12A0A0">
      <w:numFmt w:val="decimal"/>
      <w:lvlText w:val=""/>
      <w:lvlJc w:val="left"/>
    </w:lvl>
    <w:lvl w:ilvl="6" w:tplc="A58ED3A8">
      <w:numFmt w:val="decimal"/>
      <w:lvlText w:val=""/>
      <w:lvlJc w:val="left"/>
    </w:lvl>
    <w:lvl w:ilvl="7" w:tplc="88603B3E">
      <w:numFmt w:val="decimal"/>
      <w:lvlText w:val=""/>
      <w:lvlJc w:val="left"/>
    </w:lvl>
    <w:lvl w:ilvl="8" w:tplc="081670F6">
      <w:numFmt w:val="decimal"/>
      <w:lvlText w:val=""/>
      <w:lvlJc w:val="left"/>
    </w:lvl>
  </w:abstractNum>
  <w:abstractNum w:abstractNumId="365" w15:restartNumberingAfterBreak="0">
    <w:nsid w:val="1B0B3BC6"/>
    <w:multiLevelType w:val="hybridMultilevel"/>
    <w:tmpl w:val="BAF03F60"/>
    <w:lvl w:ilvl="0" w:tplc="9A4487D8">
      <w:start w:val="1"/>
      <w:numFmt w:val="bullet"/>
      <w:lvlText w:val=""/>
      <w:lvlJc w:val="left"/>
      <w:pPr>
        <w:ind w:left="720" w:hanging="180"/>
      </w:pPr>
      <w:rPr>
        <w:rFonts w:ascii="Symbol" w:hAnsi="Symbol" w:hint="default"/>
      </w:rPr>
    </w:lvl>
    <w:lvl w:ilvl="1" w:tplc="08BC563C">
      <w:numFmt w:val="decimal"/>
      <w:lvlText w:val=""/>
      <w:lvlJc w:val="left"/>
    </w:lvl>
    <w:lvl w:ilvl="2" w:tplc="BC96438A">
      <w:numFmt w:val="decimal"/>
      <w:lvlText w:val=""/>
      <w:lvlJc w:val="left"/>
    </w:lvl>
    <w:lvl w:ilvl="3" w:tplc="61B834A2">
      <w:numFmt w:val="decimal"/>
      <w:lvlText w:val=""/>
      <w:lvlJc w:val="left"/>
    </w:lvl>
    <w:lvl w:ilvl="4" w:tplc="B23C5982">
      <w:numFmt w:val="decimal"/>
      <w:lvlText w:val=""/>
      <w:lvlJc w:val="left"/>
    </w:lvl>
    <w:lvl w:ilvl="5" w:tplc="58F07FEE">
      <w:numFmt w:val="decimal"/>
      <w:lvlText w:val=""/>
      <w:lvlJc w:val="left"/>
    </w:lvl>
    <w:lvl w:ilvl="6" w:tplc="5BBC9844">
      <w:numFmt w:val="decimal"/>
      <w:lvlText w:val=""/>
      <w:lvlJc w:val="left"/>
    </w:lvl>
    <w:lvl w:ilvl="7" w:tplc="F76ED9CC">
      <w:numFmt w:val="decimal"/>
      <w:lvlText w:val=""/>
      <w:lvlJc w:val="left"/>
    </w:lvl>
    <w:lvl w:ilvl="8" w:tplc="FB406D16">
      <w:numFmt w:val="decimal"/>
      <w:lvlText w:val=""/>
      <w:lvlJc w:val="left"/>
    </w:lvl>
  </w:abstractNum>
  <w:abstractNum w:abstractNumId="366" w15:restartNumberingAfterBreak="0">
    <w:nsid w:val="1B0F31E2"/>
    <w:multiLevelType w:val="hybridMultilevel"/>
    <w:tmpl w:val="E91EB34A"/>
    <w:lvl w:ilvl="0" w:tplc="C958B3BC">
      <w:start w:val="1"/>
      <w:numFmt w:val="bullet"/>
      <w:lvlText w:val=""/>
      <w:lvlJc w:val="left"/>
      <w:pPr>
        <w:ind w:left="720" w:hanging="180"/>
      </w:pPr>
      <w:rPr>
        <w:rFonts w:ascii="Symbol" w:hAnsi="Symbol" w:hint="default"/>
      </w:rPr>
    </w:lvl>
    <w:lvl w:ilvl="1" w:tplc="E256A916">
      <w:numFmt w:val="decimal"/>
      <w:lvlText w:val=""/>
      <w:lvlJc w:val="left"/>
    </w:lvl>
    <w:lvl w:ilvl="2" w:tplc="24FAF080">
      <w:numFmt w:val="decimal"/>
      <w:lvlText w:val=""/>
      <w:lvlJc w:val="left"/>
    </w:lvl>
    <w:lvl w:ilvl="3" w:tplc="28F0E280">
      <w:numFmt w:val="decimal"/>
      <w:lvlText w:val=""/>
      <w:lvlJc w:val="left"/>
    </w:lvl>
    <w:lvl w:ilvl="4" w:tplc="0E4A79A8">
      <w:numFmt w:val="decimal"/>
      <w:lvlText w:val=""/>
      <w:lvlJc w:val="left"/>
    </w:lvl>
    <w:lvl w:ilvl="5" w:tplc="C90C6626">
      <w:numFmt w:val="decimal"/>
      <w:lvlText w:val=""/>
      <w:lvlJc w:val="left"/>
    </w:lvl>
    <w:lvl w:ilvl="6" w:tplc="5970A526">
      <w:numFmt w:val="decimal"/>
      <w:lvlText w:val=""/>
      <w:lvlJc w:val="left"/>
    </w:lvl>
    <w:lvl w:ilvl="7" w:tplc="23E0C45E">
      <w:numFmt w:val="decimal"/>
      <w:lvlText w:val=""/>
      <w:lvlJc w:val="left"/>
    </w:lvl>
    <w:lvl w:ilvl="8" w:tplc="F46EC8C2">
      <w:numFmt w:val="decimal"/>
      <w:lvlText w:val=""/>
      <w:lvlJc w:val="left"/>
    </w:lvl>
  </w:abstractNum>
  <w:abstractNum w:abstractNumId="367" w15:restartNumberingAfterBreak="0">
    <w:nsid w:val="1B1767FB"/>
    <w:multiLevelType w:val="hybridMultilevel"/>
    <w:tmpl w:val="A368515C"/>
    <w:lvl w:ilvl="0" w:tplc="C54A46EE">
      <w:start w:val="1"/>
      <w:numFmt w:val="bullet"/>
      <w:lvlText w:val=""/>
      <w:lvlJc w:val="left"/>
      <w:pPr>
        <w:ind w:left="720" w:hanging="180"/>
      </w:pPr>
      <w:rPr>
        <w:rFonts w:ascii="Symbol" w:hAnsi="Symbol" w:hint="default"/>
      </w:rPr>
    </w:lvl>
    <w:lvl w:ilvl="1" w:tplc="9AC2727A">
      <w:numFmt w:val="decimal"/>
      <w:lvlText w:val=""/>
      <w:lvlJc w:val="left"/>
    </w:lvl>
    <w:lvl w:ilvl="2" w:tplc="33128794">
      <w:numFmt w:val="decimal"/>
      <w:lvlText w:val=""/>
      <w:lvlJc w:val="left"/>
    </w:lvl>
    <w:lvl w:ilvl="3" w:tplc="CA141C92">
      <w:numFmt w:val="decimal"/>
      <w:lvlText w:val=""/>
      <w:lvlJc w:val="left"/>
    </w:lvl>
    <w:lvl w:ilvl="4" w:tplc="5F9A238A">
      <w:numFmt w:val="decimal"/>
      <w:lvlText w:val=""/>
      <w:lvlJc w:val="left"/>
    </w:lvl>
    <w:lvl w:ilvl="5" w:tplc="B752768A">
      <w:numFmt w:val="decimal"/>
      <w:lvlText w:val=""/>
      <w:lvlJc w:val="left"/>
    </w:lvl>
    <w:lvl w:ilvl="6" w:tplc="18C8F718">
      <w:numFmt w:val="decimal"/>
      <w:lvlText w:val=""/>
      <w:lvlJc w:val="left"/>
    </w:lvl>
    <w:lvl w:ilvl="7" w:tplc="09E02390">
      <w:numFmt w:val="decimal"/>
      <w:lvlText w:val=""/>
      <w:lvlJc w:val="left"/>
    </w:lvl>
    <w:lvl w:ilvl="8" w:tplc="D24EB4EA">
      <w:numFmt w:val="decimal"/>
      <w:lvlText w:val=""/>
      <w:lvlJc w:val="left"/>
    </w:lvl>
  </w:abstractNum>
  <w:abstractNum w:abstractNumId="368" w15:restartNumberingAfterBreak="0">
    <w:nsid w:val="1B234B48"/>
    <w:multiLevelType w:val="hybridMultilevel"/>
    <w:tmpl w:val="7EAAAF3A"/>
    <w:lvl w:ilvl="0" w:tplc="BE205C28">
      <w:start w:val="1"/>
      <w:numFmt w:val="bullet"/>
      <w:lvlText w:val=""/>
      <w:lvlJc w:val="left"/>
      <w:pPr>
        <w:ind w:left="720" w:hanging="180"/>
      </w:pPr>
      <w:rPr>
        <w:rFonts w:ascii="Symbol" w:hAnsi="Symbol" w:hint="default"/>
      </w:rPr>
    </w:lvl>
    <w:lvl w:ilvl="1" w:tplc="D10EAAD2">
      <w:numFmt w:val="decimal"/>
      <w:lvlText w:val=""/>
      <w:lvlJc w:val="left"/>
    </w:lvl>
    <w:lvl w:ilvl="2" w:tplc="AC3CF88A">
      <w:numFmt w:val="decimal"/>
      <w:lvlText w:val=""/>
      <w:lvlJc w:val="left"/>
    </w:lvl>
    <w:lvl w:ilvl="3" w:tplc="4762F346">
      <w:numFmt w:val="decimal"/>
      <w:lvlText w:val=""/>
      <w:lvlJc w:val="left"/>
    </w:lvl>
    <w:lvl w:ilvl="4" w:tplc="78720F92">
      <w:numFmt w:val="decimal"/>
      <w:lvlText w:val=""/>
      <w:lvlJc w:val="left"/>
    </w:lvl>
    <w:lvl w:ilvl="5" w:tplc="A75AD616">
      <w:numFmt w:val="decimal"/>
      <w:lvlText w:val=""/>
      <w:lvlJc w:val="left"/>
    </w:lvl>
    <w:lvl w:ilvl="6" w:tplc="B5E0DA0C">
      <w:numFmt w:val="decimal"/>
      <w:lvlText w:val=""/>
      <w:lvlJc w:val="left"/>
    </w:lvl>
    <w:lvl w:ilvl="7" w:tplc="AB2C2C66">
      <w:numFmt w:val="decimal"/>
      <w:lvlText w:val=""/>
      <w:lvlJc w:val="left"/>
    </w:lvl>
    <w:lvl w:ilvl="8" w:tplc="935821AA">
      <w:numFmt w:val="decimal"/>
      <w:lvlText w:val=""/>
      <w:lvlJc w:val="left"/>
    </w:lvl>
  </w:abstractNum>
  <w:abstractNum w:abstractNumId="369" w15:restartNumberingAfterBreak="0">
    <w:nsid w:val="1B6062FF"/>
    <w:multiLevelType w:val="hybridMultilevel"/>
    <w:tmpl w:val="3DA2D136"/>
    <w:lvl w:ilvl="0" w:tplc="A148E466">
      <w:start w:val="1"/>
      <w:numFmt w:val="bullet"/>
      <w:lvlText w:val=""/>
      <w:lvlJc w:val="left"/>
      <w:pPr>
        <w:ind w:left="720" w:hanging="180"/>
      </w:pPr>
      <w:rPr>
        <w:rFonts w:ascii="Symbol" w:hAnsi="Symbol" w:hint="default"/>
      </w:rPr>
    </w:lvl>
    <w:lvl w:ilvl="1" w:tplc="C08E98B8">
      <w:numFmt w:val="decimal"/>
      <w:lvlText w:val=""/>
      <w:lvlJc w:val="left"/>
    </w:lvl>
    <w:lvl w:ilvl="2" w:tplc="5D3AD5B8">
      <w:numFmt w:val="decimal"/>
      <w:lvlText w:val=""/>
      <w:lvlJc w:val="left"/>
    </w:lvl>
    <w:lvl w:ilvl="3" w:tplc="84F67550">
      <w:numFmt w:val="decimal"/>
      <w:lvlText w:val=""/>
      <w:lvlJc w:val="left"/>
    </w:lvl>
    <w:lvl w:ilvl="4" w:tplc="FAE481C4">
      <w:numFmt w:val="decimal"/>
      <w:lvlText w:val=""/>
      <w:lvlJc w:val="left"/>
    </w:lvl>
    <w:lvl w:ilvl="5" w:tplc="9ADEB43C">
      <w:numFmt w:val="decimal"/>
      <w:lvlText w:val=""/>
      <w:lvlJc w:val="left"/>
    </w:lvl>
    <w:lvl w:ilvl="6" w:tplc="024ED8F8">
      <w:numFmt w:val="decimal"/>
      <w:lvlText w:val=""/>
      <w:lvlJc w:val="left"/>
    </w:lvl>
    <w:lvl w:ilvl="7" w:tplc="611E59FE">
      <w:numFmt w:val="decimal"/>
      <w:lvlText w:val=""/>
      <w:lvlJc w:val="left"/>
    </w:lvl>
    <w:lvl w:ilvl="8" w:tplc="D6D2BD16">
      <w:numFmt w:val="decimal"/>
      <w:lvlText w:val=""/>
      <w:lvlJc w:val="left"/>
    </w:lvl>
  </w:abstractNum>
  <w:abstractNum w:abstractNumId="370" w15:restartNumberingAfterBreak="0">
    <w:nsid w:val="1B636544"/>
    <w:multiLevelType w:val="hybridMultilevel"/>
    <w:tmpl w:val="75525FBA"/>
    <w:lvl w:ilvl="0" w:tplc="E7BCAB88">
      <w:start w:val="1"/>
      <w:numFmt w:val="bullet"/>
      <w:lvlText w:val=""/>
      <w:lvlJc w:val="left"/>
      <w:pPr>
        <w:ind w:left="720" w:hanging="180"/>
      </w:pPr>
      <w:rPr>
        <w:rFonts w:ascii="Symbol" w:hAnsi="Symbol" w:hint="default"/>
      </w:rPr>
    </w:lvl>
    <w:lvl w:ilvl="1" w:tplc="1A0E02DE">
      <w:numFmt w:val="decimal"/>
      <w:lvlText w:val=""/>
      <w:lvlJc w:val="left"/>
    </w:lvl>
    <w:lvl w:ilvl="2" w:tplc="81B2EB0C">
      <w:numFmt w:val="decimal"/>
      <w:lvlText w:val=""/>
      <w:lvlJc w:val="left"/>
    </w:lvl>
    <w:lvl w:ilvl="3" w:tplc="D93A4820">
      <w:numFmt w:val="decimal"/>
      <w:lvlText w:val=""/>
      <w:lvlJc w:val="left"/>
    </w:lvl>
    <w:lvl w:ilvl="4" w:tplc="6980BF2C">
      <w:numFmt w:val="decimal"/>
      <w:lvlText w:val=""/>
      <w:lvlJc w:val="left"/>
    </w:lvl>
    <w:lvl w:ilvl="5" w:tplc="AC70B928">
      <w:numFmt w:val="decimal"/>
      <w:lvlText w:val=""/>
      <w:lvlJc w:val="left"/>
    </w:lvl>
    <w:lvl w:ilvl="6" w:tplc="ED8E286A">
      <w:numFmt w:val="decimal"/>
      <w:lvlText w:val=""/>
      <w:lvlJc w:val="left"/>
    </w:lvl>
    <w:lvl w:ilvl="7" w:tplc="AE3EFED0">
      <w:numFmt w:val="decimal"/>
      <w:lvlText w:val=""/>
      <w:lvlJc w:val="left"/>
    </w:lvl>
    <w:lvl w:ilvl="8" w:tplc="247C1766">
      <w:numFmt w:val="decimal"/>
      <w:lvlText w:val=""/>
      <w:lvlJc w:val="left"/>
    </w:lvl>
  </w:abstractNum>
  <w:abstractNum w:abstractNumId="371" w15:restartNumberingAfterBreak="0">
    <w:nsid w:val="1B820408"/>
    <w:multiLevelType w:val="hybridMultilevel"/>
    <w:tmpl w:val="8F6EEF4A"/>
    <w:lvl w:ilvl="0" w:tplc="85B4BB6A">
      <w:start w:val="1"/>
      <w:numFmt w:val="bullet"/>
      <w:lvlText w:val=""/>
      <w:lvlJc w:val="left"/>
      <w:pPr>
        <w:ind w:left="720" w:hanging="180"/>
      </w:pPr>
      <w:rPr>
        <w:rFonts w:ascii="Symbol" w:hAnsi="Symbol" w:hint="default"/>
      </w:rPr>
    </w:lvl>
    <w:lvl w:ilvl="1" w:tplc="5A5AB4F2">
      <w:numFmt w:val="decimal"/>
      <w:lvlText w:val=""/>
      <w:lvlJc w:val="left"/>
    </w:lvl>
    <w:lvl w:ilvl="2" w:tplc="37A6669A">
      <w:numFmt w:val="decimal"/>
      <w:lvlText w:val=""/>
      <w:lvlJc w:val="left"/>
    </w:lvl>
    <w:lvl w:ilvl="3" w:tplc="7CA4270C">
      <w:numFmt w:val="decimal"/>
      <w:lvlText w:val=""/>
      <w:lvlJc w:val="left"/>
    </w:lvl>
    <w:lvl w:ilvl="4" w:tplc="817C19CC">
      <w:numFmt w:val="decimal"/>
      <w:lvlText w:val=""/>
      <w:lvlJc w:val="left"/>
    </w:lvl>
    <w:lvl w:ilvl="5" w:tplc="0B5E6002">
      <w:numFmt w:val="decimal"/>
      <w:lvlText w:val=""/>
      <w:lvlJc w:val="left"/>
    </w:lvl>
    <w:lvl w:ilvl="6" w:tplc="C9AAF486">
      <w:numFmt w:val="decimal"/>
      <w:lvlText w:val=""/>
      <w:lvlJc w:val="left"/>
    </w:lvl>
    <w:lvl w:ilvl="7" w:tplc="3DBE2110">
      <w:numFmt w:val="decimal"/>
      <w:lvlText w:val=""/>
      <w:lvlJc w:val="left"/>
    </w:lvl>
    <w:lvl w:ilvl="8" w:tplc="A934CDDE">
      <w:numFmt w:val="decimal"/>
      <w:lvlText w:val=""/>
      <w:lvlJc w:val="left"/>
    </w:lvl>
  </w:abstractNum>
  <w:abstractNum w:abstractNumId="372" w15:restartNumberingAfterBreak="0">
    <w:nsid w:val="1B9270B3"/>
    <w:multiLevelType w:val="hybridMultilevel"/>
    <w:tmpl w:val="B756E77E"/>
    <w:lvl w:ilvl="0" w:tplc="60D0669A">
      <w:start w:val="1"/>
      <w:numFmt w:val="bullet"/>
      <w:lvlText w:val=""/>
      <w:lvlJc w:val="left"/>
      <w:pPr>
        <w:ind w:left="720" w:hanging="180"/>
      </w:pPr>
      <w:rPr>
        <w:rFonts w:ascii="Symbol" w:hAnsi="Symbol" w:hint="default"/>
      </w:rPr>
    </w:lvl>
    <w:lvl w:ilvl="1" w:tplc="9496D41C">
      <w:numFmt w:val="decimal"/>
      <w:lvlText w:val=""/>
      <w:lvlJc w:val="left"/>
    </w:lvl>
    <w:lvl w:ilvl="2" w:tplc="AD96F30E">
      <w:numFmt w:val="decimal"/>
      <w:lvlText w:val=""/>
      <w:lvlJc w:val="left"/>
    </w:lvl>
    <w:lvl w:ilvl="3" w:tplc="1FDC886C">
      <w:numFmt w:val="decimal"/>
      <w:lvlText w:val=""/>
      <w:lvlJc w:val="left"/>
    </w:lvl>
    <w:lvl w:ilvl="4" w:tplc="2B20D25C">
      <w:numFmt w:val="decimal"/>
      <w:lvlText w:val=""/>
      <w:lvlJc w:val="left"/>
    </w:lvl>
    <w:lvl w:ilvl="5" w:tplc="99E2E718">
      <w:numFmt w:val="decimal"/>
      <w:lvlText w:val=""/>
      <w:lvlJc w:val="left"/>
    </w:lvl>
    <w:lvl w:ilvl="6" w:tplc="2D7C5802">
      <w:numFmt w:val="decimal"/>
      <w:lvlText w:val=""/>
      <w:lvlJc w:val="left"/>
    </w:lvl>
    <w:lvl w:ilvl="7" w:tplc="B1626A9A">
      <w:numFmt w:val="decimal"/>
      <w:lvlText w:val=""/>
      <w:lvlJc w:val="left"/>
    </w:lvl>
    <w:lvl w:ilvl="8" w:tplc="0DA4C702">
      <w:numFmt w:val="decimal"/>
      <w:lvlText w:val=""/>
      <w:lvlJc w:val="left"/>
    </w:lvl>
  </w:abstractNum>
  <w:abstractNum w:abstractNumId="373" w15:restartNumberingAfterBreak="0">
    <w:nsid w:val="1B9731BF"/>
    <w:multiLevelType w:val="hybridMultilevel"/>
    <w:tmpl w:val="4D4E4040"/>
    <w:lvl w:ilvl="0" w:tplc="4760BC16">
      <w:start w:val="1"/>
      <w:numFmt w:val="bullet"/>
      <w:lvlText w:val=""/>
      <w:lvlJc w:val="left"/>
      <w:pPr>
        <w:ind w:left="720" w:hanging="180"/>
      </w:pPr>
      <w:rPr>
        <w:rFonts w:ascii="Symbol" w:hAnsi="Symbol" w:hint="default"/>
      </w:rPr>
    </w:lvl>
    <w:lvl w:ilvl="1" w:tplc="275A270A">
      <w:numFmt w:val="decimal"/>
      <w:lvlText w:val=""/>
      <w:lvlJc w:val="left"/>
    </w:lvl>
    <w:lvl w:ilvl="2" w:tplc="17DE25A6">
      <w:numFmt w:val="decimal"/>
      <w:lvlText w:val=""/>
      <w:lvlJc w:val="left"/>
    </w:lvl>
    <w:lvl w:ilvl="3" w:tplc="AB320754">
      <w:numFmt w:val="decimal"/>
      <w:lvlText w:val=""/>
      <w:lvlJc w:val="left"/>
    </w:lvl>
    <w:lvl w:ilvl="4" w:tplc="76D8D2A8">
      <w:numFmt w:val="decimal"/>
      <w:lvlText w:val=""/>
      <w:lvlJc w:val="left"/>
    </w:lvl>
    <w:lvl w:ilvl="5" w:tplc="05340AC8">
      <w:numFmt w:val="decimal"/>
      <w:lvlText w:val=""/>
      <w:lvlJc w:val="left"/>
    </w:lvl>
    <w:lvl w:ilvl="6" w:tplc="F28458B4">
      <w:numFmt w:val="decimal"/>
      <w:lvlText w:val=""/>
      <w:lvlJc w:val="left"/>
    </w:lvl>
    <w:lvl w:ilvl="7" w:tplc="7F28C36C">
      <w:numFmt w:val="decimal"/>
      <w:lvlText w:val=""/>
      <w:lvlJc w:val="left"/>
    </w:lvl>
    <w:lvl w:ilvl="8" w:tplc="8C786436">
      <w:numFmt w:val="decimal"/>
      <w:lvlText w:val=""/>
      <w:lvlJc w:val="left"/>
    </w:lvl>
  </w:abstractNum>
  <w:abstractNum w:abstractNumId="374" w15:restartNumberingAfterBreak="0">
    <w:nsid w:val="1BA6530D"/>
    <w:multiLevelType w:val="hybridMultilevel"/>
    <w:tmpl w:val="AEF68B80"/>
    <w:lvl w:ilvl="0" w:tplc="16287E70">
      <w:start w:val="1"/>
      <w:numFmt w:val="bullet"/>
      <w:lvlText w:val=""/>
      <w:lvlJc w:val="left"/>
      <w:pPr>
        <w:ind w:left="720" w:hanging="180"/>
      </w:pPr>
      <w:rPr>
        <w:rFonts w:ascii="Symbol" w:hAnsi="Symbol" w:hint="default"/>
      </w:rPr>
    </w:lvl>
    <w:lvl w:ilvl="1" w:tplc="FDB23542">
      <w:numFmt w:val="decimal"/>
      <w:lvlText w:val=""/>
      <w:lvlJc w:val="left"/>
    </w:lvl>
    <w:lvl w:ilvl="2" w:tplc="88546316">
      <w:numFmt w:val="decimal"/>
      <w:lvlText w:val=""/>
      <w:lvlJc w:val="left"/>
    </w:lvl>
    <w:lvl w:ilvl="3" w:tplc="A75275E6">
      <w:numFmt w:val="decimal"/>
      <w:lvlText w:val=""/>
      <w:lvlJc w:val="left"/>
    </w:lvl>
    <w:lvl w:ilvl="4" w:tplc="78641AD6">
      <w:numFmt w:val="decimal"/>
      <w:lvlText w:val=""/>
      <w:lvlJc w:val="left"/>
    </w:lvl>
    <w:lvl w:ilvl="5" w:tplc="D57A395C">
      <w:numFmt w:val="decimal"/>
      <w:lvlText w:val=""/>
      <w:lvlJc w:val="left"/>
    </w:lvl>
    <w:lvl w:ilvl="6" w:tplc="00CCD0F2">
      <w:numFmt w:val="decimal"/>
      <w:lvlText w:val=""/>
      <w:lvlJc w:val="left"/>
    </w:lvl>
    <w:lvl w:ilvl="7" w:tplc="7EEEEF0E">
      <w:numFmt w:val="decimal"/>
      <w:lvlText w:val=""/>
      <w:lvlJc w:val="left"/>
    </w:lvl>
    <w:lvl w:ilvl="8" w:tplc="837CC4FE">
      <w:numFmt w:val="decimal"/>
      <w:lvlText w:val=""/>
      <w:lvlJc w:val="left"/>
    </w:lvl>
  </w:abstractNum>
  <w:abstractNum w:abstractNumId="375" w15:restartNumberingAfterBreak="0">
    <w:nsid w:val="1BC17414"/>
    <w:multiLevelType w:val="hybridMultilevel"/>
    <w:tmpl w:val="F7DEBF54"/>
    <w:lvl w:ilvl="0" w:tplc="9C68A8DA">
      <w:start w:val="1"/>
      <w:numFmt w:val="bullet"/>
      <w:lvlText w:val=""/>
      <w:lvlJc w:val="left"/>
      <w:pPr>
        <w:ind w:left="720" w:hanging="180"/>
      </w:pPr>
      <w:rPr>
        <w:rFonts w:ascii="Symbol" w:hAnsi="Symbol" w:hint="default"/>
      </w:rPr>
    </w:lvl>
    <w:lvl w:ilvl="1" w:tplc="24DC971E">
      <w:numFmt w:val="decimal"/>
      <w:lvlText w:val=""/>
      <w:lvlJc w:val="left"/>
    </w:lvl>
    <w:lvl w:ilvl="2" w:tplc="ECD8A596">
      <w:numFmt w:val="decimal"/>
      <w:lvlText w:val=""/>
      <w:lvlJc w:val="left"/>
    </w:lvl>
    <w:lvl w:ilvl="3" w:tplc="FF561094">
      <w:numFmt w:val="decimal"/>
      <w:lvlText w:val=""/>
      <w:lvlJc w:val="left"/>
    </w:lvl>
    <w:lvl w:ilvl="4" w:tplc="5A3C1B20">
      <w:numFmt w:val="decimal"/>
      <w:lvlText w:val=""/>
      <w:lvlJc w:val="left"/>
    </w:lvl>
    <w:lvl w:ilvl="5" w:tplc="FB1AC3A2">
      <w:numFmt w:val="decimal"/>
      <w:lvlText w:val=""/>
      <w:lvlJc w:val="left"/>
    </w:lvl>
    <w:lvl w:ilvl="6" w:tplc="BAC6BEB4">
      <w:numFmt w:val="decimal"/>
      <w:lvlText w:val=""/>
      <w:lvlJc w:val="left"/>
    </w:lvl>
    <w:lvl w:ilvl="7" w:tplc="8A8A6700">
      <w:numFmt w:val="decimal"/>
      <w:lvlText w:val=""/>
      <w:lvlJc w:val="left"/>
    </w:lvl>
    <w:lvl w:ilvl="8" w:tplc="EDE4CCF6">
      <w:numFmt w:val="decimal"/>
      <w:lvlText w:val=""/>
      <w:lvlJc w:val="left"/>
    </w:lvl>
  </w:abstractNum>
  <w:abstractNum w:abstractNumId="376" w15:restartNumberingAfterBreak="0">
    <w:nsid w:val="1BCB75C8"/>
    <w:multiLevelType w:val="hybridMultilevel"/>
    <w:tmpl w:val="84620906"/>
    <w:lvl w:ilvl="0" w:tplc="6F6E4D3E">
      <w:start w:val="1"/>
      <w:numFmt w:val="bullet"/>
      <w:lvlText w:val=""/>
      <w:lvlJc w:val="left"/>
      <w:pPr>
        <w:ind w:left="720" w:hanging="180"/>
      </w:pPr>
      <w:rPr>
        <w:rFonts w:ascii="Symbol" w:hAnsi="Symbol" w:hint="default"/>
      </w:rPr>
    </w:lvl>
    <w:lvl w:ilvl="1" w:tplc="B9CC6C54">
      <w:numFmt w:val="decimal"/>
      <w:lvlText w:val=""/>
      <w:lvlJc w:val="left"/>
    </w:lvl>
    <w:lvl w:ilvl="2" w:tplc="61CEB3C0">
      <w:numFmt w:val="decimal"/>
      <w:lvlText w:val=""/>
      <w:lvlJc w:val="left"/>
    </w:lvl>
    <w:lvl w:ilvl="3" w:tplc="7BACE004">
      <w:numFmt w:val="decimal"/>
      <w:lvlText w:val=""/>
      <w:lvlJc w:val="left"/>
    </w:lvl>
    <w:lvl w:ilvl="4" w:tplc="B8EE2180">
      <w:numFmt w:val="decimal"/>
      <w:lvlText w:val=""/>
      <w:lvlJc w:val="left"/>
    </w:lvl>
    <w:lvl w:ilvl="5" w:tplc="AC7C8910">
      <w:numFmt w:val="decimal"/>
      <w:lvlText w:val=""/>
      <w:lvlJc w:val="left"/>
    </w:lvl>
    <w:lvl w:ilvl="6" w:tplc="8E2C93D2">
      <w:numFmt w:val="decimal"/>
      <w:lvlText w:val=""/>
      <w:lvlJc w:val="left"/>
    </w:lvl>
    <w:lvl w:ilvl="7" w:tplc="4CDE3FAC">
      <w:numFmt w:val="decimal"/>
      <w:lvlText w:val=""/>
      <w:lvlJc w:val="left"/>
    </w:lvl>
    <w:lvl w:ilvl="8" w:tplc="2E2E1096">
      <w:numFmt w:val="decimal"/>
      <w:lvlText w:val=""/>
      <w:lvlJc w:val="left"/>
    </w:lvl>
  </w:abstractNum>
  <w:abstractNum w:abstractNumId="377" w15:restartNumberingAfterBreak="0">
    <w:nsid w:val="1BD73457"/>
    <w:multiLevelType w:val="hybridMultilevel"/>
    <w:tmpl w:val="37704646"/>
    <w:lvl w:ilvl="0" w:tplc="40FECC40">
      <w:start w:val="1"/>
      <w:numFmt w:val="bullet"/>
      <w:lvlText w:val=""/>
      <w:lvlJc w:val="left"/>
      <w:pPr>
        <w:ind w:left="720" w:hanging="180"/>
      </w:pPr>
      <w:rPr>
        <w:rFonts w:ascii="Symbol" w:hAnsi="Symbol" w:hint="default"/>
      </w:rPr>
    </w:lvl>
    <w:lvl w:ilvl="1" w:tplc="62C6BBA4">
      <w:numFmt w:val="decimal"/>
      <w:lvlText w:val=""/>
      <w:lvlJc w:val="left"/>
    </w:lvl>
    <w:lvl w:ilvl="2" w:tplc="36500962">
      <w:numFmt w:val="decimal"/>
      <w:lvlText w:val=""/>
      <w:lvlJc w:val="left"/>
    </w:lvl>
    <w:lvl w:ilvl="3" w:tplc="3D4E43C2">
      <w:numFmt w:val="decimal"/>
      <w:lvlText w:val=""/>
      <w:lvlJc w:val="left"/>
    </w:lvl>
    <w:lvl w:ilvl="4" w:tplc="FCDC0890">
      <w:numFmt w:val="decimal"/>
      <w:lvlText w:val=""/>
      <w:lvlJc w:val="left"/>
    </w:lvl>
    <w:lvl w:ilvl="5" w:tplc="DF706EAC">
      <w:numFmt w:val="decimal"/>
      <w:lvlText w:val=""/>
      <w:lvlJc w:val="left"/>
    </w:lvl>
    <w:lvl w:ilvl="6" w:tplc="3F7CFF8E">
      <w:numFmt w:val="decimal"/>
      <w:lvlText w:val=""/>
      <w:lvlJc w:val="left"/>
    </w:lvl>
    <w:lvl w:ilvl="7" w:tplc="8528B428">
      <w:numFmt w:val="decimal"/>
      <w:lvlText w:val=""/>
      <w:lvlJc w:val="left"/>
    </w:lvl>
    <w:lvl w:ilvl="8" w:tplc="0CFEC45E">
      <w:numFmt w:val="decimal"/>
      <w:lvlText w:val=""/>
      <w:lvlJc w:val="left"/>
    </w:lvl>
  </w:abstractNum>
  <w:abstractNum w:abstractNumId="378" w15:restartNumberingAfterBreak="0">
    <w:nsid w:val="1BDC0C14"/>
    <w:multiLevelType w:val="hybridMultilevel"/>
    <w:tmpl w:val="1436AC1A"/>
    <w:lvl w:ilvl="0" w:tplc="0130E528">
      <w:start w:val="1"/>
      <w:numFmt w:val="bullet"/>
      <w:lvlText w:val=""/>
      <w:lvlJc w:val="left"/>
      <w:pPr>
        <w:ind w:left="720" w:hanging="180"/>
      </w:pPr>
      <w:rPr>
        <w:rFonts w:ascii="Symbol" w:hAnsi="Symbol" w:hint="default"/>
      </w:rPr>
    </w:lvl>
    <w:lvl w:ilvl="1" w:tplc="B0124E3C">
      <w:numFmt w:val="decimal"/>
      <w:lvlText w:val=""/>
      <w:lvlJc w:val="left"/>
    </w:lvl>
    <w:lvl w:ilvl="2" w:tplc="AEAED3FE">
      <w:numFmt w:val="decimal"/>
      <w:lvlText w:val=""/>
      <w:lvlJc w:val="left"/>
    </w:lvl>
    <w:lvl w:ilvl="3" w:tplc="54B4FE4C">
      <w:numFmt w:val="decimal"/>
      <w:lvlText w:val=""/>
      <w:lvlJc w:val="left"/>
    </w:lvl>
    <w:lvl w:ilvl="4" w:tplc="42C01AA8">
      <w:numFmt w:val="decimal"/>
      <w:lvlText w:val=""/>
      <w:lvlJc w:val="left"/>
    </w:lvl>
    <w:lvl w:ilvl="5" w:tplc="F904C27E">
      <w:numFmt w:val="decimal"/>
      <w:lvlText w:val=""/>
      <w:lvlJc w:val="left"/>
    </w:lvl>
    <w:lvl w:ilvl="6" w:tplc="D78CD24E">
      <w:numFmt w:val="decimal"/>
      <w:lvlText w:val=""/>
      <w:lvlJc w:val="left"/>
    </w:lvl>
    <w:lvl w:ilvl="7" w:tplc="9CF265CC">
      <w:numFmt w:val="decimal"/>
      <w:lvlText w:val=""/>
      <w:lvlJc w:val="left"/>
    </w:lvl>
    <w:lvl w:ilvl="8" w:tplc="B8D0759A">
      <w:numFmt w:val="decimal"/>
      <w:lvlText w:val=""/>
      <w:lvlJc w:val="left"/>
    </w:lvl>
  </w:abstractNum>
  <w:abstractNum w:abstractNumId="379" w15:restartNumberingAfterBreak="0">
    <w:nsid w:val="1C190FF3"/>
    <w:multiLevelType w:val="hybridMultilevel"/>
    <w:tmpl w:val="14623D7C"/>
    <w:lvl w:ilvl="0" w:tplc="4F88944E">
      <w:start w:val="1"/>
      <w:numFmt w:val="bullet"/>
      <w:lvlText w:val=""/>
      <w:lvlJc w:val="left"/>
      <w:pPr>
        <w:ind w:left="720" w:hanging="180"/>
      </w:pPr>
      <w:rPr>
        <w:rFonts w:ascii="Symbol" w:hAnsi="Symbol" w:hint="default"/>
      </w:rPr>
    </w:lvl>
    <w:lvl w:ilvl="1" w:tplc="E2DC9230">
      <w:numFmt w:val="decimal"/>
      <w:lvlText w:val=""/>
      <w:lvlJc w:val="left"/>
    </w:lvl>
    <w:lvl w:ilvl="2" w:tplc="D5BE8BB0">
      <w:numFmt w:val="decimal"/>
      <w:lvlText w:val=""/>
      <w:lvlJc w:val="left"/>
    </w:lvl>
    <w:lvl w:ilvl="3" w:tplc="726C0C62">
      <w:numFmt w:val="decimal"/>
      <w:lvlText w:val=""/>
      <w:lvlJc w:val="left"/>
    </w:lvl>
    <w:lvl w:ilvl="4" w:tplc="8816483A">
      <w:numFmt w:val="decimal"/>
      <w:lvlText w:val=""/>
      <w:lvlJc w:val="left"/>
    </w:lvl>
    <w:lvl w:ilvl="5" w:tplc="6F545D8A">
      <w:numFmt w:val="decimal"/>
      <w:lvlText w:val=""/>
      <w:lvlJc w:val="left"/>
    </w:lvl>
    <w:lvl w:ilvl="6" w:tplc="E0969E08">
      <w:numFmt w:val="decimal"/>
      <w:lvlText w:val=""/>
      <w:lvlJc w:val="left"/>
    </w:lvl>
    <w:lvl w:ilvl="7" w:tplc="2C226ECA">
      <w:numFmt w:val="decimal"/>
      <w:lvlText w:val=""/>
      <w:lvlJc w:val="left"/>
    </w:lvl>
    <w:lvl w:ilvl="8" w:tplc="DF46362C">
      <w:numFmt w:val="decimal"/>
      <w:lvlText w:val=""/>
      <w:lvlJc w:val="left"/>
    </w:lvl>
  </w:abstractNum>
  <w:abstractNum w:abstractNumId="380" w15:restartNumberingAfterBreak="0">
    <w:nsid w:val="1C261157"/>
    <w:multiLevelType w:val="hybridMultilevel"/>
    <w:tmpl w:val="BD24C050"/>
    <w:lvl w:ilvl="0" w:tplc="3A80A04A">
      <w:start w:val="1"/>
      <w:numFmt w:val="bullet"/>
      <w:lvlText w:val=""/>
      <w:lvlJc w:val="left"/>
      <w:pPr>
        <w:ind w:left="720" w:hanging="180"/>
      </w:pPr>
      <w:rPr>
        <w:rFonts w:ascii="Symbol" w:hAnsi="Symbol" w:hint="default"/>
      </w:rPr>
    </w:lvl>
    <w:lvl w:ilvl="1" w:tplc="E8A0EEC8">
      <w:numFmt w:val="decimal"/>
      <w:lvlText w:val=""/>
      <w:lvlJc w:val="left"/>
    </w:lvl>
    <w:lvl w:ilvl="2" w:tplc="F8AEB74E">
      <w:numFmt w:val="decimal"/>
      <w:lvlText w:val=""/>
      <w:lvlJc w:val="left"/>
    </w:lvl>
    <w:lvl w:ilvl="3" w:tplc="D758C870">
      <w:numFmt w:val="decimal"/>
      <w:lvlText w:val=""/>
      <w:lvlJc w:val="left"/>
    </w:lvl>
    <w:lvl w:ilvl="4" w:tplc="E31665A0">
      <w:numFmt w:val="decimal"/>
      <w:lvlText w:val=""/>
      <w:lvlJc w:val="left"/>
    </w:lvl>
    <w:lvl w:ilvl="5" w:tplc="294CD258">
      <w:numFmt w:val="decimal"/>
      <w:lvlText w:val=""/>
      <w:lvlJc w:val="left"/>
    </w:lvl>
    <w:lvl w:ilvl="6" w:tplc="F700599C">
      <w:numFmt w:val="decimal"/>
      <w:lvlText w:val=""/>
      <w:lvlJc w:val="left"/>
    </w:lvl>
    <w:lvl w:ilvl="7" w:tplc="47DC34A0">
      <w:numFmt w:val="decimal"/>
      <w:lvlText w:val=""/>
      <w:lvlJc w:val="left"/>
    </w:lvl>
    <w:lvl w:ilvl="8" w:tplc="5E4622B4">
      <w:numFmt w:val="decimal"/>
      <w:lvlText w:val=""/>
      <w:lvlJc w:val="left"/>
    </w:lvl>
  </w:abstractNum>
  <w:abstractNum w:abstractNumId="381" w15:restartNumberingAfterBreak="0">
    <w:nsid w:val="1C4363F0"/>
    <w:multiLevelType w:val="hybridMultilevel"/>
    <w:tmpl w:val="8C481D3C"/>
    <w:lvl w:ilvl="0" w:tplc="F8F80A9A">
      <w:start w:val="1"/>
      <w:numFmt w:val="bullet"/>
      <w:lvlText w:val=""/>
      <w:lvlJc w:val="left"/>
      <w:pPr>
        <w:ind w:left="720" w:hanging="180"/>
      </w:pPr>
      <w:rPr>
        <w:rFonts w:ascii="Symbol" w:hAnsi="Symbol" w:hint="default"/>
      </w:rPr>
    </w:lvl>
    <w:lvl w:ilvl="1" w:tplc="13A89C34">
      <w:numFmt w:val="decimal"/>
      <w:lvlText w:val=""/>
      <w:lvlJc w:val="left"/>
    </w:lvl>
    <w:lvl w:ilvl="2" w:tplc="F76EB86E">
      <w:numFmt w:val="decimal"/>
      <w:lvlText w:val=""/>
      <w:lvlJc w:val="left"/>
    </w:lvl>
    <w:lvl w:ilvl="3" w:tplc="F43A1EAE">
      <w:numFmt w:val="decimal"/>
      <w:lvlText w:val=""/>
      <w:lvlJc w:val="left"/>
    </w:lvl>
    <w:lvl w:ilvl="4" w:tplc="420C39CA">
      <w:numFmt w:val="decimal"/>
      <w:lvlText w:val=""/>
      <w:lvlJc w:val="left"/>
    </w:lvl>
    <w:lvl w:ilvl="5" w:tplc="473AE506">
      <w:numFmt w:val="decimal"/>
      <w:lvlText w:val=""/>
      <w:lvlJc w:val="left"/>
    </w:lvl>
    <w:lvl w:ilvl="6" w:tplc="DAEE7620">
      <w:numFmt w:val="decimal"/>
      <w:lvlText w:val=""/>
      <w:lvlJc w:val="left"/>
    </w:lvl>
    <w:lvl w:ilvl="7" w:tplc="211CB66E">
      <w:numFmt w:val="decimal"/>
      <w:lvlText w:val=""/>
      <w:lvlJc w:val="left"/>
    </w:lvl>
    <w:lvl w:ilvl="8" w:tplc="3DF2D314">
      <w:numFmt w:val="decimal"/>
      <w:lvlText w:val=""/>
      <w:lvlJc w:val="left"/>
    </w:lvl>
  </w:abstractNum>
  <w:abstractNum w:abstractNumId="382" w15:restartNumberingAfterBreak="0">
    <w:nsid w:val="1C9E143E"/>
    <w:multiLevelType w:val="hybridMultilevel"/>
    <w:tmpl w:val="7E784EF4"/>
    <w:lvl w:ilvl="0" w:tplc="438CE5CA">
      <w:start w:val="1"/>
      <w:numFmt w:val="bullet"/>
      <w:lvlText w:val=""/>
      <w:lvlJc w:val="left"/>
      <w:pPr>
        <w:ind w:left="720" w:hanging="180"/>
      </w:pPr>
      <w:rPr>
        <w:rFonts w:ascii="Symbol" w:hAnsi="Symbol" w:hint="default"/>
      </w:rPr>
    </w:lvl>
    <w:lvl w:ilvl="1" w:tplc="3176C86C">
      <w:numFmt w:val="decimal"/>
      <w:lvlText w:val=""/>
      <w:lvlJc w:val="left"/>
    </w:lvl>
    <w:lvl w:ilvl="2" w:tplc="55948FD4">
      <w:numFmt w:val="decimal"/>
      <w:lvlText w:val=""/>
      <w:lvlJc w:val="left"/>
    </w:lvl>
    <w:lvl w:ilvl="3" w:tplc="2968DF36">
      <w:numFmt w:val="decimal"/>
      <w:lvlText w:val=""/>
      <w:lvlJc w:val="left"/>
    </w:lvl>
    <w:lvl w:ilvl="4" w:tplc="DFF428C0">
      <w:numFmt w:val="decimal"/>
      <w:lvlText w:val=""/>
      <w:lvlJc w:val="left"/>
    </w:lvl>
    <w:lvl w:ilvl="5" w:tplc="B9C8B5E8">
      <w:numFmt w:val="decimal"/>
      <w:lvlText w:val=""/>
      <w:lvlJc w:val="left"/>
    </w:lvl>
    <w:lvl w:ilvl="6" w:tplc="18EA1598">
      <w:numFmt w:val="decimal"/>
      <w:lvlText w:val=""/>
      <w:lvlJc w:val="left"/>
    </w:lvl>
    <w:lvl w:ilvl="7" w:tplc="B0D0AA72">
      <w:numFmt w:val="decimal"/>
      <w:lvlText w:val=""/>
      <w:lvlJc w:val="left"/>
    </w:lvl>
    <w:lvl w:ilvl="8" w:tplc="420C16F4">
      <w:numFmt w:val="decimal"/>
      <w:lvlText w:val=""/>
      <w:lvlJc w:val="left"/>
    </w:lvl>
  </w:abstractNum>
  <w:abstractNum w:abstractNumId="383" w15:restartNumberingAfterBreak="0">
    <w:nsid w:val="1CA4073D"/>
    <w:multiLevelType w:val="hybridMultilevel"/>
    <w:tmpl w:val="C8E44788"/>
    <w:lvl w:ilvl="0" w:tplc="7924C620">
      <w:numFmt w:val="decimal"/>
      <w:lvlText w:val=""/>
      <w:lvlJc w:val="left"/>
    </w:lvl>
    <w:lvl w:ilvl="1" w:tplc="2E50329A">
      <w:numFmt w:val="decimal"/>
      <w:lvlText w:val=""/>
      <w:lvlJc w:val="left"/>
    </w:lvl>
    <w:lvl w:ilvl="2" w:tplc="91C24914">
      <w:start w:val="1"/>
      <w:numFmt w:val="bullet"/>
      <w:lvlText w:val=""/>
      <w:lvlJc w:val="left"/>
      <w:pPr>
        <w:ind w:left="2160" w:hanging="180"/>
      </w:pPr>
      <w:rPr>
        <w:rFonts w:ascii="Symbol" w:hAnsi="Symbol" w:hint="default"/>
      </w:rPr>
    </w:lvl>
    <w:lvl w:ilvl="3" w:tplc="FF5898C4">
      <w:numFmt w:val="decimal"/>
      <w:lvlText w:val=""/>
      <w:lvlJc w:val="left"/>
    </w:lvl>
    <w:lvl w:ilvl="4" w:tplc="3BFA6052">
      <w:numFmt w:val="decimal"/>
      <w:lvlText w:val=""/>
      <w:lvlJc w:val="left"/>
    </w:lvl>
    <w:lvl w:ilvl="5" w:tplc="B62688F6">
      <w:numFmt w:val="decimal"/>
      <w:lvlText w:val=""/>
      <w:lvlJc w:val="left"/>
    </w:lvl>
    <w:lvl w:ilvl="6" w:tplc="D78ED97E">
      <w:numFmt w:val="decimal"/>
      <w:lvlText w:val=""/>
      <w:lvlJc w:val="left"/>
    </w:lvl>
    <w:lvl w:ilvl="7" w:tplc="7AA8FB8A">
      <w:numFmt w:val="decimal"/>
      <w:lvlText w:val=""/>
      <w:lvlJc w:val="left"/>
    </w:lvl>
    <w:lvl w:ilvl="8" w:tplc="6CB4B2DC">
      <w:numFmt w:val="decimal"/>
      <w:lvlText w:val=""/>
      <w:lvlJc w:val="left"/>
    </w:lvl>
  </w:abstractNum>
  <w:abstractNum w:abstractNumId="384" w15:restartNumberingAfterBreak="0">
    <w:nsid w:val="1CC316BA"/>
    <w:multiLevelType w:val="hybridMultilevel"/>
    <w:tmpl w:val="253A806E"/>
    <w:lvl w:ilvl="0" w:tplc="7026F110">
      <w:numFmt w:val="decimal"/>
      <w:lvlText w:val=""/>
      <w:lvlJc w:val="left"/>
    </w:lvl>
    <w:lvl w:ilvl="1" w:tplc="AEF6AC56">
      <w:start w:val="1"/>
      <w:numFmt w:val="bullet"/>
      <w:lvlText w:val=""/>
      <w:lvlJc w:val="left"/>
      <w:pPr>
        <w:ind w:left="1440" w:hanging="180"/>
      </w:pPr>
      <w:rPr>
        <w:rFonts w:ascii="Symbol" w:hAnsi="Symbol" w:hint="default"/>
      </w:rPr>
    </w:lvl>
    <w:lvl w:ilvl="2" w:tplc="EC7E54E2">
      <w:numFmt w:val="decimal"/>
      <w:lvlText w:val=""/>
      <w:lvlJc w:val="left"/>
    </w:lvl>
    <w:lvl w:ilvl="3" w:tplc="B3AAFAB8">
      <w:numFmt w:val="decimal"/>
      <w:lvlText w:val=""/>
      <w:lvlJc w:val="left"/>
    </w:lvl>
    <w:lvl w:ilvl="4" w:tplc="3184F97C">
      <w:numFmt w:val="decimal"/>
      <w:lvlText w:val=""/>
      <w:lvlJc w:val="left"/>
    </w:lvl>
    <w:lvl w:ilvl="5" w:tplc="D69252DC">
      <w:numFmt w:val="decimal"/>
      <w:lvlText w:val=""/>
      <w:lvlJc w:val="left"/>
    </w:lvl>
    <w:lvl w:ilvl="6" w:tplc="4C245DDC">
      <w:numFmt w:val="decimal"/>
      <w:lvlText w:val=""/>
      <w:lvlJc w:val="left"/>
    </w:lvl>
    <w:lvl w:ilvl="7" w:tplc="3FFC383A">
      <w:numFmt w:val="decimal"/>
      <w:lvlText w:val=""/>
      <w:lvlJc w:val="left"/>
    </w:lvl>
    <w:lvl w:ilvl="8" w:tplc="510213D8">
      <w:numFmt w:val="decimal"/>
      <w:lvlText w:val=""/>
      <w:lvlJc w:val="left"/>
    </w:lvl>
  </w:abstractNum>
  <w:abstractNum w:abstractNumId="385" w15:restartNumberingAfterBreak="0">
    <w:nsid w:val="1CCE3E00"/>
    <w:multiLevelType w:val="hybridMultilevel"/>
    <w:tmpl w:val="851A9F4A"/>
    <w:lvl w:ilvl="0" w:tplc="899CC81C">
      <w:start w:val="1"/>
      <w:numFmt w:val="bullet"/>
      <w:lvlText w:val=""/>
      <w:lvlJc w:val="left"/>
      <w:pPr>
        <w:ind w:left="720" w:hanging="180"/>
      </w:pPr>
      <w:rPr>
        <w:rFonts w:ascii="Symbol" w:hAnsi="Symbol" w:hint="default"/>
      </w:rPr>
    </w:lvl>
    <w:lvl w:ilvl="1" w:tplc="53D688FE">
      <w:numFmt w:val="decimal"/>
      <w:lvlText w:val=""/>
      <w:lvlJc w:val="left"/>
    </w:lvl>
    <w:lvl w:ilvl="2" w:tplc="17405FC2">
      <w:numFmt w:val="decimal"/>
      <w:lvlText w:val=""/>
      <w:lvlJc w:val="left"/>
    </w:lvl>
    <w:lvl w:ilvl="3" w:tplc="205E3E76">
      <w:numFmt w:val="decimal"/>
      <w:lvlText w:val=""/>
      <w:lvlJc w:val="left"/>
    </w:lvl>
    <w:lvl w:ilvl="4" w:tplc="A7481CFA">
      <w:numFmt w:val="decimal"/>
      <w:lvlText w:val=""/>
      <w:lvlJc w:val="left"/>
    </w:lvl>
    <w:lvl w:ilvl="5" w:tplc="F55E9ABC">
      <w:numFmt w:val="decimal"/>
      <w:lvlText w:val=""/>
      <w:lvlJc w:val="left"/>
    </w:lvl>
    <w:lvl w:ilvl="6" w:tplc="B5E23E8E">
      <w:numFmt w:val="decimal"/>
      <w:lvlText w:val=""/>
      <w:lvlJc w:val="left"/>
    </w:lvl>
    <w:lvl w:ilvl="7" w:tplc="3F04CDE4">
      <w:numFmt w:val="decimal"/>
      <w:lvlText w:val=""/>
      <w:lvlJc w:val="left"/>
    </w:lvl>
    <w:lvl w:ilvl="8" w:tplc="29AC0310">
      <w:numFmt w:val="decimal"/>
      <w:lvlText w:val=""/>
      <w:lvlJc w:val="left"/>
    </w:lvl>
  </w:abstractNum>
  <w:abstractNum w:abstractNumId="386" w15:restartNumberingAfterBreak="0">
    <w:nsid w:val="1CE827B1"/>
    <w:multiLevelType w:val="hybridMultilevel"/>
    <w:tmpl w:val="EE9EB5DE"/>
    <w:lvl w:ilvl="0" w:tplc="B98499F4">
      <w:start w:val="1"/>
      <w:numFmt w:val="bullet"/>
      <w:lvlText w:val=""/>
      <w:lvlJc w:val="left"/>
      <w:pPr>
        <w:ind w:left="720" w:hanging="180"/>
      </w:pPr>
      <w:rPr>
        <w:rFonts w:ascii="Symbol" w:hAnsi="Symbol" w:hint="default"/>
      </w:rPr>
    </w:lvl>
    <w:lvl w:ilvl="1" w:tplc="936404F6">
      <w:numFmt w:val="decimal"/>
      <w:lvlText w:val=""/>
      <w:lvlJc w:val="left"/>
    </w:lvl>
    <w:lvl w:ilvl="2" w:tplc="9536E7DA">
      <w:numFmt w:val="decimal"/>
      <w:lvlText w:val=""/>
      <w:lvlJc w:val="left"/>
    </w:lvl>
    <w:lvl w:ilvl="3" w:tplc="5B2621A0">
      <w:numFmt w:val="decimal"/>
      <w:lvlText w:val=""/>
      <w:lvlJc w:val="left"/>
    </w:lvl>
    <w:lvl w:ilvl="4" w:tplc="3CC262E8">
      <w:numFmt w:val="decimal"/>
      <w:lvlText w:val=""/>
      <w:lvlJc w:val="left"/>
    </w:lvl>
    <w:lvl w:ilvl="5" w:tplc="C9DC72C2">
      <w:numFmt w:val="decimal"/>
      <w:lvlText w:val=""/>
      <w:lvlJc w:val="left"/>
    </w:lvl>
    <w:lvl w:ilvl="6" w:tplc="E1D6950E">
      <w:numFmt w:val="decimal"/>
      <w:lvlText w:val=""/>
      <w:lvlJc w:val="left"/>
    </w:lvl>
    <w:lvl w:ilvl="7" w:tplc="DF44ED80">
      <w:numFmt w:val="decimal"/>
      <w:lvlText w:val=""/>
      <w:lvlJc w:val="left"/>
    </w:lvl>
    <w:lvl w:ilvl="8" w:tplc="FFECA650">
      <w:numFmt w:val="decimal"/>
      <w:lvlText w:val=""/>
      <w:lvlJc w:val="left"/>
    </w:lvl>
  </w:abstractNum>
  <w:abstractNum w:abstractNumId="387" w15:restartNumberingAfterBreak="0">
    <w:nsid w:val="1CEA713C"/>
    <w:multiLevelType w:val="hybridMultilevel"/>
    <w:tmpl w:val="96803A12"/>
    <w:lvl w:ilvl="0" w:tplc="502E4CF4">
      <w:start w:val="1"/>
      <w:numFmt w:val="bullet"/>
      <w:lvlText w:val=""/>
      <w:lvlJc w:val="left"/>
      <w:pPr>
        <w:ind w:left="720" w:hanging="180"/>
      </w:pPr>
      <w:rPr>
        <w:rFonts w:ascii="Symbol" w:hAnsi="Symbol" w:hint="default"/>
      </w:rPr>
    </w:lvl>
    <w:lvl w:ilvl="1" w:tplc="8CB6970E">
      <w:numFmt w:val="decimal"/>
      <w:lvlText w:val=""/>
      <w:lvlJc w:val="left"/>
    </w:lvl>
    <w:lvl w:ilvl="2" w:tplc="9F5C25FE">
      <w:numFmt w:val="decimal"/>
      <w:lvlText w:val=""/>
      <w:lvlJc w:val="left"/>
    </w:lvl>
    <w:lvl w:ilvl="3" w:tplc="05D06A5A">
      <w:numFmt w:val="decimal"/>
      <w:lvlText w:val=""/>
      <w:lvlJc w:val="left"/>
    </w:lvl>
    <w:lvl w:ilvl="4" w:tplc="9414722C">
      <w:numFmt w:val="decimal"/>
      <w:lvlText w:val=""/>
      <w:lvlJc w:val="left"/>
    </w:lvl>
    <w:lvl w:ilvl="5" w:tplc="A146A7E4">
      <w:numFmt w:val="decimal"/>
      <w:lvlText w:val=""/>
      <w:lvlJc w:val="left"/>
    </w:lvl>
    <w:lvl w:ilvl="6" w:tplc="88BAD7BA">
      <w:numFmt w:val="decimal"/>
      <w:lvlText w:val=""/>
      <w:lvlJc w:val="left"/>
    </w:lvl>
    <w:lvl w:ilvl="7" w:tplc="B9D224F4">
      <w:numFmt w:val="decimal"/>
      <w:lvlText w:val=""/>
      <w:lvlJc w:val="left"/>
    </w:lvl>
    <w:lvl w:ilvl="8" w:tplc="F106FA82">
      <w:numFmt w:val="decimal"/>
      <w:lvlText w:val=""/>
      <w:lvlJc w:val="left"/>
    </w:lvl>
  </w:abstractNum>
  <w:abstractNum w:abstractNumId="388" w15:restartNumberingAfterBreak="0">
    <w:nsid w:val="1CF9320B"/>
    <w:multiLevelType w:val="hybridMultilevel"/>
    <w:tmpl w:val="116E1FA4"/>
    <w:lvl w:ilvl="0" w:tplc="611E22CC">
      <w:start w:val="1"/>
      <w:numFmt w:val="bullet"/>
      <w:lvlText w:val=""/>
      <w:lvlJc w:val="left"/>
      <w:pPr>
        <w:ind w:left="720" w:hanging="180"/>
      </w:pPr>
      <w:rPr>
        <w:rFonts w:ascii="Symbol" w:hAnsi="Symbol" w:hint="default"/>
      </w:rPr>
    </w:lvl>
    <w:lvl w:ilvl="1" w:tplc="4EEAD9BE">
      <w:numFmt w:val="decimal"/>
      <w:lvlText w:val=""/>
      <w:lvlJc w:val="left"/>
    </w:lvl>
    <w:lvl w:ilvl="2" w:tplc="F58ED3F4">
      <w:numFmt w:val="decimal"/>
      <w:lvlText w:val=""/>
      <w:lvlJc w:val="left"/>
    </w:lvl>
    <w:lvl w:ilvl="3" w:tplc="C1B01002">
      <w:numFmt w:val="decimal"/>
      <w:lvlText w:val=""/>
      <w:lvlJc w:val="left"/>
    </w:lvl>
    <w:lvl w:ilvl="4" w:tplc="624ED0A2">
      <w:numFmt w:val="decimal"/>
      <w:lvlText w:val=""/>
      <w:lvlJc w:val="left"/>
    </w:lvl>
    <w:lvl w:ilvl="5" w:tplc="4F166796">
      <w:numFmt w:val="decimal"/>
      <w:lvlText w:val=""/>
      <w:lvlJc w:val="left"/>
    </w:lvl>
    <w:lvl w:ilvl="6" w:tplc="62AE0C0C">
      <w:numFmt w:val="decimal"/>
      <w:lvlText w:val=""/>
      <w:lvlJc w:val="left"/>
    </w:lvl>
    <w:lvl w:ilvl="7" w:tplc="8DA67C6A">
      <w:numFmt w:val="decimal"/>
      <w:lvlText w:val=""/>
      <w:lvlJc w:val="left"/>
    </w:lvl>
    <w:lvl w:ilvl="8" w:tplc="781EB86A">
      <w:numFmt w:val="decimal"/>
      <w:lvlText w:val=""/>
      <w:lvlJc w:val="left"/>
    </w:lvl>
  </w:abstractNum>
  <w:abstractNum w:abstractNumId="389" w15:restartNumberingAfterBreak="0">
    <w:nsid w:val="1CFA4BB2"/>
    <w:multiLevelType w:val="hybridMultilevel"/>
    <w:tmpl w:val="66C870F4"/>
    <w:lvl w:ilvl="0" w:tplc="AEC2D330">
      <w:start w:val="1"/>
      <w:numFmt w:val="bullet"/>
      <w:lvlText w:val=""/>
      <w:lvlJc w:val="left"/>
      <w:pPr>
        <w:ind w:left="720" w:hanging="180"/>
      </w:pPr>
      <w:rPr>
        <w:rFonts w:ascii="Symbol" w:hAnsi="Symbol" w:hint="default"/>
      </w:rPr>
    </w:lvl>
    <w:lvl w:ilvl="1" w:tplc="8736B826">
      <w:numFmt w:val="decimal"/>
      <w:lvlText w:val=""/>
      <w:lvlJc w:val="left"/>
    </w:lvl>
    <w:lvl w:ilvl="2" w:tplc="F8DA8CE4">
      <w:numFmt w:val="decimal"/>
      <w:lvlText w:val=""/>
      <w:lvlJc w:val="left"/>
    </w:lvl>
    <w:lvl w:ilvl="3" w:tplc="9DCC3558">
      <w:numFmt w:val="decimal"/>
      <w:lvlText w:val=""/>
      <w:lvlJc w:val="left"/>
    </w:lvl>
    <w:lvl w:ilvl="4" w:tplc="B9D0F558">
      <w:numFmt w:val="decimal"/>
      <w:lvlText w:val=""/>
      <w:lvlJc w:val="left"/>
    </w:lvl>
    <w:lvl w:ilvl="5" w:tplc="B92A1A62">
      <w:numFmt w:val="decimal"/>
      <w:lvlText w:val=""/>
      <w:lvlJc w:val="left"/>
    </w:lvl>
    <w:lvl w:ilvl="6" w:tplc="860E5592">
      <w:numFmt w:val="decimal"/>
      <w:lvlText w:val=""/>
      <w:lvlJc w:val="left"/>
    </w:lvl>
    <w:lvl w:ilvl="7" w:tplc="1850345A">
      <w:numFmt w:val="decimal"/>
      <w:lvlText w:val=""/>
      <w:lvlJc w:val="left"/>
    </w:lvl>
    <w:lvl w:ilvl="8" w:tplc="F24AA4B8">
      <w:numFmt w:val="decimal"/>
      <w:lvlText w:val=""/>
      <w:lvlJc w:val="left"/>
    </w:lvl>
  </w:abstractNum>
  <w:abstractNum w:abstractNumId="390" w15:restartNumberingAfterBreak="0">
    <w:nsid w:val="1D0C188E"/>
    <w:multiLevelType w:val="hybridMultilevel"/>
    <w:tmpl w:val="8D7AED1A"/>
    <w:lvl w:ilvl="0" w:tplc="8E28237C">
      <w:start w:val="1"/>
      <w:numFmt w:val="bullet"/>
      <w:lvlText w:val=""/>
      <w:lvlJc w:val="left"/>
      <w:pPr>
        <w:ind w:left="720" w:hanging="180"/>
      </w:pPr>
      <w:rPr>
        <w:rFonts w:ascii="Symbol" w:hAnsi="Symbol" w:hint="default"/>
      </w:rPr>
    </w:lvl>
    <w:lvl w:ilvl="1" w:tplc="A4840C6A">
      <w:numFmt w:val="decimal"/>
      <w:lvlText w:val=""/>
      <w:lvlJc w:val="left"/>
    </w:lvl>
    <w:lvl w:ilvl="2" w:tplc="8E12B848">
      <w:numFmt w:val="decimal"/>
      <w:lvlText w:val=""/>
      <w:lvlJc w:val="left"/>
    </w:lvl>
    <w:lvl w:ilvl="3" w:tplc="32323A08">
      <w:numFmt w:val="decimal"/>
      <w:lvlText w:val=""/>
      <w:lvlJc w:val="left"/>
    </w:lvl>
    <w:lvl w:ilvl="4" w:tplc="A28C527C">
      <w:numFmt w:val="decimal"/>
      <w:lvlText w:val=""/>
      <w:lvlJc w:val="left"/>
    </w:lvl>
    <w:lvl w:ilvl="5" w:tplc="EACC4C8C">
      <w:numFmt w:val="decimal"/>
      <w:lvlText w:val=""/>
      <w:lvlJc w:val="left"/>
    </w:lvl>
    <w:lvl w:ilvl="6" w:tplc="0422030E">
      <w:numFmt w:val="decimal"/>
      <w:lvlText w:val=""/>
      <w:lvlJc w:val="left"/>
    </w:lvl>
    <w:lvl w:ilvl="7" w:tplc="AD94934A">
      <w:numFmt w:val="decimal"/>
      <w:lvlText w:val=""/>
      <w:lvlJc w:val="left"/>
    </w:lvl>
    <w:lvl w:ilvl="8" w:tplc="0966D7D8">
      <w:numFmt w:val="decimal"/>
      <w:lvlText w:val=""/>
      <w:lvlJc w:val="left"/>
    </w:lvl>
  </w:abstractNum>
  <w:abstractNum w:abstractNumId="391" w15:restartNumberingAfterBreak="0">
    <w:nsid w:val="1D3C461B"/>
    <w:multiLevelType w:val="hybridMultilevel"/>
    <w:tmpl w:val="56126422"/>
    <w:lvl w:ilvl="0" w:tplc="DC4C0290">
      <w:start w:val="1"/>
      <w:numFmt w:val="bullet"/>
      <w:lvlText w:val=""/>
      <w:lvlJc w:val="left"/>
      <w:pPr>
        <w:ind w:left="720" w:hanging="180"/>
      </w:pPr>
      <w:rPr>
        <w:rFonts w:ascii="Symbol" w:hAnsi="Symbol" w:hint="default"/>
      </w:rPr>
    </w:lvl>
    <w:lvl w:ilvl="1" w:tplc="9A44C186">
      <w:numFmt w:val="decimal"/>
      <w:lvlText w:val=""/>
      <w:lvlJc w:val="left"/>
    </w:lvl>
    <w:lvl w:ilvl="2" w:tplc="BFDC08B4">
      <w:numFmt w:val="decimal"/>
      <w:lvlText w:val=""/>
      <w:lvlJc w:val="left"/>
    </w:lvl>
    <w:lvl w:ilvl="3" w:tplc="24DEDE80">
      <w:numFmt w:val="decimal"/>
      <w:lvlText w:val=""/>
      <w:lvlJc w:val="left"/>
    </w:lvl>
    <w:lvl w:ilvl="4" w:tplc="93E68CA4">
      <w:numFmt w:val="decimal"/>
      <w:lvlText w:val=""/>
      <w:lvlJc w:val="left"/>
    </w:lvl>
    <w:lvl w:ilvl="5" w:tplc="EA881E10">
      <w:numFmt w:val="decimal"/>
      <w:lvlText w:val=""/>
      <w:lvlJc w:val="left"/>
    </w:lvl>
    <w:lvl w:ilvl="6" w:tplc="ACD02570">
      <w:numFmt w:val="decimal"/>
      <w:lvlText w:val=""/>
      <w:lvlJc w:val="left"/>
    </w:lvl>
    <w:lvl w:ilvl="7" w:tplc="876A5C2E">
      <w:numFmt w:val="decimal"/>
      <w:lvlText w:val=""/>
      <w:lvlJc w:val="left"/>
    </w:lvl>
    <w:lvl w:ilvl="8" w:tplc="A7D4F7AA">
      <w:numFmt w:val="decimal"/>
      <w:lvlText w:val=""/>
      <w:lvlJc w:val="left"/>
    </w:lvl>
  </w:abstractNum>
  <w:abstractNum w:abstractNumId="392" w15:restartNumberingAfterBreak="0">
    <w:nsid w:val="1D561507"/>
    <w:multiLevelType w:val="hybridMultilevel"/>
    <w:tmpl w:val="D4963AA0"/>
    <w:lvl w:ilvl="0" w:tplc="5A18C5E0">
      <w:start w:val="1"/>
      <w:numFmt w:val="bullet"/>
      <w:lvlText w:val=""/>
      <w:lvlJc w:val="left"/>
      <w:pPr>
        <w:ind w:left="720" w:hanging="180"/>
      </w:pPr>
      <w:rPr>
        <w:rFonts w:ascii="Symbol" w:hAnsi="Symbol" w:hint="default"/>
      </w:rPr>
    </w:lvl>
    <w:lvl w:ilvl="1" w:tplc="E028F39A">
      <w:numFmt w:val="decimal"/>
      <w:lvlText w:val=""/>
      <w:lvlJc w:val="left"/>
    </w:lvl>
    <w:lvl w:ilvl="2" w:tplc="036A49CA">
      <w:numFmt w:val="decimal"/>
      <w:lvlText w:val=""/>
      <w:lvlJc w:val="left"/>
    </w:lvl>
    <w:lvl w:ilvl="3" w:tplc="5AE80DB0">
      <w:numFmt w:val="decimal"/>
      <w:lvlText w:val=""/>
      <w:lvlJc w:val="left"/>
    </w:lvl>
    <w:lvl w:ilvl="4" w:tplc="995E57B4">
      <w:numFmt w:val="decimal"/>
      <w:lvlText w:val=""/>
      <w:lvlJc w:val="left"/>
    </w:lvl>
    <w:lvl w:ilvl="5" w:tplc="0A129F18">
      <w:numFmt w:val="decimal"/>
      <w:lvlText w:val=""/>
      <w:lvlJc w:val="left"/>
    </w:lvl>
    <w:lvl w:ilvl="6" w:tplc="CB922562">
      <w:numFmt w:val="decimal"/>
      <w:lvlText w:val=""/>
      <w:lvlJc w:val="left"/>
    </w:lvl>
    <w:lvl w:ilvl="7" w:tplc="91FE23FC">
      <w:numFmt w:val="decimal"/>
      <w:lvlText w:val=""/>
      <w:lvlJc w:val="left"/>
    </w:lvl>
    <w:lvl w:ilvl="8" w:tplc="BF4AFDE4">
      <w:numFmt w:val="decimal"/>
      <w:lvlText w:val=""/>
      <w:lvlJc w:val="left"/>
    </w:lvl>
  </w:abstractNum>
  <w:abstractNum w:abstractNumId="393" w15:restartNumberingAfterBreak="0">
    <w:nsid w:val="1D5A3C9B"/>
    <w:multiLevelType w:val="hybridMultilevel"/>
    <w:tmpl w:val="8374843C"/>
    <w:lvl w:ilvl="0" w:tplc="9954D178">
      <w:start w:val="1"/>
      <w:numFmt w:val="bullet"/>
      <w:lvlText w:val=""/>
      <w:lvlJc w:val="left"/>
      <w:pPr>
        <w:ind w:left="720" w:hanging="180"/>
      </w:pPr>
      <w:rPr>
        <w:rFonts w:ascii="Symbol" w:hAnsi="Symbol" w:hint="default"/>
      </w:rPr>
    </w:lvl>
    <w:lvl w:ilvl="1" w:tplc="916EBBA4">
      <w:numFmt w:val="decimal"/>
      <w:lvlText w:val=""/>
      <w:lvlJc w:val="left"/>
    </w:lvl>
    <w:lvl w:ilvl="2" w:tplc="26FE67BE">
      <w:numFmt w:val="decimal"/>
      <w:lvlText w:val=""/>
      <w:lvlJc w:val="left"/>
    </w:lvl>
    <w:lvl w:ilvl="3" w:tplc="7E82C4B4">
      <w:numFmt w:val="decimal"/>
      <w:lvlText w:val=""/>
      <w:lvlJc w:val="left"/>
    </w:lvl>
    <w:lvl w:ilvl="4" w:tplc="AB184D4A">
      <w:numFmt w:val="decimal"/>
      <w:lvlText w:val=""/>
      <w:lvlJc w:val="left"/>
    </w:lvl>
    <w:lvl w:ilvl="5" w:tplc="86AA9704">
      <w:numFmt w:val="decimal"/>
      <w:lvlText w:val=""/>
      <w:lvlJc w:val="left"/>
    </w:lvl>
    <w:lvl w:ilvl="6" w:tplc="DF3ED3DA">
      <w:numFmt w:val="decimal"/>
      <w:lvlText w:val=""/>
      <w:lvlJc w:val="left"/>
    </w:lvl>
    <w:lvl w:ilvl="7" w:tplc="ED9AF010">
      <w:numFmt w:val="decimal"/>
      <w:lvlText w:val=""/>
      <w:lvlJc w:val="left"/>
    </w:lvl>
    <w:lvl w:ilvl="8" w:tplc="4F0CCE32">
      <w:numFmt w:val="decimal"/>
      <w:lvlText w:val=""/>
      <w:lvlJc w:val="left"/>
    </w:lvl>
  </w:abstractNum>
  <w:abstractNum w:abstractNumId="394" w15:restartNumberingAfterBreak="0">
    <w:nsid w:val="1D916C1D"/>
    <w:multiLevelType w:val="hybridMultilevel"/>
    <w:tmpl w:val="D4AA08EC"/>
    <w:lvl w:ilvl="0" w:tplc="B1FE0706">
      <w:start w:val="1"/>
      <w:numFmt w:val="bullet"/>
      <w:lvlText w:val=""/>
      <w:lvlJc w:val="left"/>
      <w:pPr>
        <w:ind w:left="720" w:hanging="180"/>
      </w:pPr>
      <w:rPr>
        <w:rFonts w:ascii="Symbol" w:hAnsi="Symbol" w:hint="default"/>
      </w:rPr>
    </w:lvl>
    <w:lvl w:ilvl="1" w:tplc="E3A034E4">
      <w:numFmt w:val="decimal"/>
      <w:lvlText w:val=""/>
      <w:lvlJc w:val="left"/>
    </w:lvl>
    <w:lvl w:ilvl="2" w:tplc="8ED27C3A">
      <w:numFmt w:val="decimal"/>
      <w:lvlText w:val=""/>
      <w:lvlJc w:val="left"/>
    </w:lvl>
    <w:lvl w:ilvl="3" w:tplc="2482D3DC">
      <w:numFmt w:val="decimal"/>
      <w:lvlText w:val=""/>
      <w:lvlJc w:val="left"/>
    </w:lvl>
    <w:lvl w:ilvl="4" w:tplc="2B5E0D54">
      <w:numFmt w:val="decimal"/>
      <w:lvlText w:val=""/>
      <w:lvlJc w:val="left"/>
    </w:lvl>
    <w:lvl w:ilvl="5" w:tplc="A3FECB14">
      <w:numFmt w:val="decimal"/>
      <w:lvlText w:val=""/>
      <w:lvlJc w:val="left"/>
    </w:lvl>
    <w:lvl w:ilvl="6" w:tplc="500C3324">
      <w:numFmt w:val="decimal"/>
      <w:lvlText w:val=""/>
      <w:lvlJc w:val="left"/>
    </w:lvl>
    <w:lvl w:ilvl="7" w:tplc="74766C94">
      <w:numFmt w:val="decimal"/>
      <w:lvlText w:val=""/>
      <w:lvlJc w:val="left"/>
    </w:lvl>
    <w:lvl w:ilvl="8" w:tplc="D4C054D8">
      <w:numFmt w:val="decimal"/>
      <w:lvlText w:val=""/>
      <w:lvlJc w:val="left"/>
    </w:lvl>
  </w:abstractNum>
  <w:abstractNum w:abstractNumId="395" w15:restartNumberingAfterBreak="0">
    <w:nsid w:val="1DA217DC"/>
    <w:multiLevelType w:val="hybridMultilevel"/>
    <w:tmpl w:val="F386DCC0"/>
    <w:lvl w:ilvl="0" w:tplc="51243F52">
      <w:start w:val="1"/>
      <w:numFmt w:val="bullet"/>
      <w:lvlText w:val=""/>
      <w:lvlJc w:val="left"/>
      <w:pPr>
        <w:ind w:left="720" w:hanging="180"/>
      </w:pPr>
      <w:rPr>
        <w:rFonts w:ascii="Symbol" w:hAnsi="Symbol" w:hint="default"/>
      </w:rPr>
    </w:lvl>
    <w:lvl w:ilvl="1" w:tplc="B9DE02B4">
      <w:numFmt w:val="decimal"/>
      <w:lvlText w:val=""/>
      <w:lvlJc w:val="left"/>
    </w:lvl>
    <w:lvl w:ilvl="2" w:tplc="0590CA72">
      <w:numFmt w:val="decimal"/>
      <w:lvlText w:val=""/>
      <w:lvlJc w:val="left"/>
    </w:lvl>
    <w:lvl w:ilvl="3" w:tplc="F4C017CC">
      <w:numFmt w:val="decimal"/>
      <w:lvlText w:val=""/>
      <w:lvlJc w:val="left"/>
    </w:lvl>
    <w:lvl w:ilvl="4" w:tplc="2DBAABB6">
      <w:numFmt w:val="decimal"/>
      <w:lvlText w:val=""/>
      <w:lvlJc w:val="left"/>
    </w:lvl>
    <w:lvl w:ilvl="5" w:tplc="1220CDD0">
      <w:numFmt w:val="decimal"/>
      <w:lvlText w:val=""/>
      <w:lvlJc w:val="left"/>
    </w:lvl>
    <w:lvl w:ilvl="6" w:tplc="5F2E0280">
      <w:numFmt w:val="decimal"/>
      <w:lvlText w:val=""/>
      <w:lvlJc w:val="left"/>
    </w:lvl>
    <w:lvl w:ilvl="7" w:tplc="1FC651D2">
      <w:numFmt w:val="decimal"/>
      <w:lvlText w:val=""/>
      <w:lvlJc w:val="left"/>
    </w:lvl>
    <w:lvl w:ilvl="8" w:tplc="3E5E27C6">
      <w:numFmt w:val="decimal"/>
      <w:lvlText w:val=""/>
      <w:lvlJc w:val="left"/>
    </w:lvl>
  </w:abstractNum>
  <w:abstractNum w:abstractNumId="396" w15:restartNumberingAfterBreak="0">
    <w:nsid w:val="1DA90978"/>
    <w:multiLevelType w:val="hybridMultilevel"/>
    <w:tmpl w:val="F08A5DB2"/>
    <w:lvl w:ilvl="0" w:tplc="C7E2D7CA">
      <w:start w:val="1"/>
      <w:numFmt w:val="bullet"/>
      <w:lvlText w:val=""/>
      <w:lvlJc w:val="left"/>
      <w:pPr>
        <w:ind w:left="720" w:hanging="180"/>
      </w:pPr>
      <w:rPr>
        <w:rFonts w:ascii="Symbol" w:hAnsi="Symbol" w:hint="default"/>
      </w:rPr>
    </w:lvl>
    <w:lvl w:ilvl="1" w:tplc="E67E2850">
      <w:numFmt w:val="decimal"/>
      <w:lvlText w:val=""/>
      <w:lvlJc w:val="left"/>
    </w:lvl>
    <w:lvl w:ilvl="2" w:tplc="E2580764">
      <w:numFmt w:val="decimal"/>
      <w:lvlText w:val=""/>
      <w:lvlJc w:val="left"/>
    </w:lvl>
    <w:lvl w:ilvl="3" w:tplc="E01E7454">
      <w:numFmt w:val="decimal"/>
      <w:lvlText w:val=""/>
      <w:lvlJc w:val="left"/>
    </w:lvl>
    <w:lvl w:ilvl="4" w:tplc="1AC07CDE">
      <w:numFmt w:val="decimal"/>
      <w:lvlText w:val=""/>
      <w:lvlJc w:val="left"/>
    </w:lvl>
    <w:lvl w:ilvl="5" w:tplc="D21AC00C">
      <w:numFmt w:val="decimal"/>
      <w:lvlText w:val=""/>
      <w:lvlJc w:val="left"/>
    </w:lvl>
    <w:lvl w:ilvl="6" w:tplc="17043686">
      <w:numFmt w:val="decimal"/>
      <w:lvlText w:val=""/>
      <w:lvlJc w:val="left"/>
    </w:lvl>
    <w:lvl w:ilvl="7" w:tplc="072EE56A">
      <w:numFmt w:val="decimal"/>
      <w:lvlText w:val=""/>
      <w:lvlJc w:val="left"/>
    </w:lvl>
    <w:lvl w:ilvl="8" w:tplc="C324DF92">
      <w:numFmt w:val="decimal"/>
      <w:lvlText w:val=""/>
      <w:lvlJc w:val="left"/>
    </w:lvl>
  </w:abstractNum>
  <w:abstractNum w:abstractNumId="397" w15:restartNumberingAfterBreak="0">
    <w:nsid w:val="1DAE622B"/>
    <w:multiLevelType w:val="hybridMultilevel"/>
    <w:tmpl w:val="8BFA8B88"/>
    <w:lvl w:ilvl="0" w:tplc="48F431AA">
      <w:numFmt w:val="decimal"/>
      <w:lvlText w:val=""/>
      <w:lvlJc w:val="left"/>
    </w:lvl>
    <w:lvl w:ilvl="1" w:tplc="AB50CA5E">
      <w:start w:val="1"/>
      <w:numFmt w:val="bullet"/>
      <w:lvlText w:val=""/>
      <w:lvlJc w:val="left"/>
      <w:pPr>
        <w:ind w:left="1440" w:hanging="180"/>
      </w:pPr>
      <w:rPr>
        <w:rFonts w:ascii="Symbol" w:hAnsi="Symbol" w:hint="default"/>
      </w:rPr>
    </w:lvl>
    <w:lvl w:ilvl="2" w:tplc="05C221AA">
      <w:numFmt w:val="decimal"/>
      <w:lvlText w:val=""/>
      <w:lvlJc w:val="left"/>
    </w:lvl>
    <w:lvl w:ilvl="3" w:tplc="C4708382">
      <w:numFmt w:val="decimal"/>
      <w:lvlText w:val=""/>
      <w:lvlJc w:val="left"/>
    </w:lvl>
    <w:lvl w:ilvl="4" w:tplc="AE96395C">
      <w:numFmt w:val="decimal"/>
      <w:lvlText w:val=""/>
      <w:lvlJc w:val="left"/>
    </w:lvl>
    <w:lvl w:ilvl="5" w:tplc="E0800BE2">
      <w:numFmt w:val="decimal"/>
      <w:lvlText w:val=""/>
      <w:lvlJc w:val="left"/>
    </w:lvl>
    <w:lvl w:ilvl="6" w:tplc="3A1247EE">
      <w:numFmt w:val="decimal"/>
      <w:lvlText w:val=""/>
      <w:lvlJc w:val="left"/>
    </w:lvl>
    <w:lvl w:ilvl="7" w:tplc="E8BC1134">
      <w:numFmt w:val="decimal"/>
      <w:lvlText w:val=""/>
      <w:lvlJc w:val="left"/>
    </w:lvl>
    <w:lvl w:ilvl="8" w:tplc="41B2C68E">
      <w:numFmt w:val="decimal"/>
      <w:lvlText w:val=""/>
      <w:lvlJc w:val="left"/>
    </w:lvl>
  </w:abstractNum>
  <w:abstractNum w:abstractNumId="398" w15:restartNumberingAfterBreak="0">
    <w:nsid w:val="1DB01304"/>
    <w:multiLevelType w:val="hybridMultilevel"/>
    <w:tmpl w:val="758CEF7A"/>
    <w:lvl w:ilvl="0" w:tplc="D88C0F74">
      <w:start w:val="1"/>
      <w:numFmt w:val="bullet"/>
      <w:lvlText w:val=""/>
      <w:lvlJc w:val="left"/>
      <w:pPr>
        <w:ind w:left="720" w:hanging="180"/>
      </w:pPr>
      <w:rPr>
        <w:rFonts w:ascii="Symbol" w:hAnsi="Symbol" w:hint="default"/>
      </w:rPr>
    </w:lvl>
    <w:lvl w:ilvl="1" w:tplc="276A753A">
      <w:numFmt w:val="decimal"/>
      <w:lvlText w:val=""/>
      <w:lvlJc w:val="left"/>
    </w:lvl>
    <w:lvl w:ilvl="2" w:tplc="B94C2460">
      <w:numFmt w:val="decimal"/>
      <w:lvlText w:val=""/>
      <w:lvlJc w:val="left"/>
    </w:lvl>
    <w:lvl w:ilvl="3" w:tplc="BC582D14">
      <w:numFmt w:val="decimal"/>
      <w:lvlText w:val=""/>
      <w:lvlJc w:val="left"/>
    </w:lvl>
    <w:lvl w:ilvl="4" w:tplc="CCBA815C">
      <w:numFmt w:val="decimal"/>
      <w:lvlText w:val=""/>
      <w:lvlJc w:val="left"/>
    </w:lvl>
    <w:lvl w:ilvl="5" w:tplc="105AB62A">
      <w:numFmt w:val="decimal"/>
      <w:lvlText w:val=""/>
      <w:lvlJc w:val="left"/>
    </w:lvl>
    <w:lvl w:ilvl="6" w:tplc="221CDF38">
      <w:numFmt w:val="decimal"/>
      <w:lvlText w:val=""/>
      <w:lvlJc w:val="left"/>
    </w:lvl>
    <w:lvl w:ilvl="7" w:tplc="E6A259E0">
      <w:numFmt w:val="decimal"/>
      <w:lvlText w:val=""/>
      <w:lvlJc w:val="left"/>
    </w:lvl>
    <w:lvl w:ilvl="8" w:tplc="533804BA">
      <w:numFmt w:val="decimal"/>
      <w:lvlText w:val=""/>
      <w:lvlJc w:val="left"/>
    </w:lvl>
  </w:abstractNum>
  <w:abstractNum w:abstractNumId="399" w15:restartNumberingAfterBreak="0">
    <w:nsid w:val="1DF459D9"/>
    <w:multiLevelType w:val="hybridMultilevel"/>
    <w:tmpl w:val="3716967C"/>
    <w:lvl w:ilvl="0" w:tplc="9EC20138">
      <w:start w:val="1"/>
      <w:numFmt w:val="bullet"/>
      <w:lvlText w:val=""/>
      <w:lvlJc w:val="left"/>
      <w:pPr>
        <w:ind w:left="720" w:hanging="180"/>
      </w:pPr>
      <w:rPr>
        <w:rFonts w:ascii="Symbol" w:hAnsi="Symbol" w:hint="default"/>
      </w:rPr>
    </w:lvl>
    <w:lvl w:ilvl="1" w:tplc="0E3EA1DE">
      <w:numFmt w:val="decimal"/>
      <w:lvlText w:val=""/>
      <w:lvlJc w:val="left"/>
    </w:lvl>
    <w:lvl w:ilvl="2" w:tplc="2A0C5358">
      <w:numFmt w:val="decimal"/>
      <w:lvlText w:val=""/>
      <w:lvlJc w:val="left"/>
    </w:lvl>
    <w:lvl w:ilvl="3" w:tplc="E3F83800">
      <w:numFmt w:val="decimal"/>
      <w:lvlText w:val=""/>
      <w:lvlJc w:val="left"/>
    </w:lvl>
    <w:lvl w:ilvl="4" w:tplc="D6261D84">
      <w:numFmt w:val="decimal"/>
      <w:lvlText w:val=""/>
      <w:lvlJc w:val="left"/>
    </w:lvl>
    <w:lvl w:ilvl="5" w:tplc="9D8EE61C">
      <w:numFmt w:val="decimal"/>
      <w:lvlText w:val=""/>
      <w:lvlJc w:val="left"/>
    </w:lvl>
    <w:lvl w:ilvl="6" w:tplc="70FE502A">
      <w:numFmt w:val="decimal"/>
      <w:lvlText w:val=""/>
      <w:lvlJc w:val="left"/>
    </w:lvl>
    <w:lvl w:ilvl="7" w:tplc="B0B81C28">
      <w:numFmt w:val="decimal"/>
      <w:lvlText w:val=""/>
      <w:lvlJc w:val="left"/>
    </w:lvl>
    <w:lvl w:ilvl="8" w:tplc="6922C0B4">
      <w:numFmt w:val="decimal"/>
      <w:lvlText w:val=""/>
      <w:lvlJc w:val="left"/>
    </w:lvl>
  </w:abstractNum>
  <w:abstractNum w:abstractNumId="400" w15:restartNumberingAfterBreak="0">
    <w:nsid w:val="1DFA3D71"/>
    <w:multiLevelType w:val="hybridMultilevel"/>
    <w:tmpl w:val="D15EC0EC"/>
    <w:lvl w:ilvl="0" w:tplc="93BE5C5C">
      <w:start w:val="1"/>
      <w:numFmt w:val="bullet"/>
      <w:lvlText w:val=""/>
      <w:lvlJc w:val="left"/>
      <w:pPr>
        <w:ind w:left="720" w:hanging="180"/>
      </w:pPr>
      <w:rPr>
        <w:rFonts w:ascii="Symbol" w:hAnsi="Symbol" w:hint="default"/>
      </w:rPr>
    </w:lvl>
    <w:lvl w:ilvl="1" w:tplc="AFE21A70">
      <w:numFmt w:val="decimal"/>
      <w:lvlText w:val=""/>
      <w:lvlJc w:val="left"/>
    </w:lvl>
    <w:lvl w:ilvl="2" w:tplc="AF0AC7D0">
      <w:numFmt w:val="decimal"/>
      <w:lvlText w:val=""/>
      <w:lvlJc w:val="left"/>
    </w:lvl>
    <w:lvl w:ilvl="3" w:tplc="FB2C6AEE">
      <w:numFmt w:val="decimal"/>
      <w:lvlText w:val=""/>
      <w:lvlJc w:val="left"/>
    </w:lvl>
    <w:lvl w:ilvl="4" w:tplc="CB447D20">
      <w:numFmt w:val="decimal"/>
      <w:lvlText w:val=""/>
      <w:lvlJc w:val="left"/>
    </w:lvl>
    <w:lvl w:ilvl="5" w:tplc="D3002568">
      <w:numFmt w:val="decimal"/>
      <w:lvlText w:val=""/>
      <w:lvlJc w:val="left"/>
    </w:lvl>
    <w:lvl w:ilvl="6" w:tplc="59CA0A18">
      <w:numFmt w:val="decimal"/>
      <w:lvlText w:val=""/>
      <w:lvlJc w:val="left"/>
    </w:lvl>
    <w:lvl w:ilvl="7" w:tplc="7B1E8BA4">
      <w:numFmt w:val="decimal"/>
      <w:lvlText w:val=""/>
      <w:lvlJc w:val="left"/>
    </w:lvl>
    <w:lvl w:ilvl="8" w:tplc="776AB272">
      <w:numFmt w:val="decimal"/>
      <w:lvlText w:val=""/>
      <w:lvlJc w:val="left"/>
    </w:lvl>
  </w:abstractNum>
  <w:abstractNum w:abstractNumId="401" w15:restartNumberingAfterBreak="0">
    <w:nsid w:val="1E3D3EBE"/>
    <w:multiLevelType w:val="hybridMultilevel"/>
    <w:tmpl w:val="970E9FC0"/>
    <w:lvl w:ilvl="0" w:tplc="F7CE4728">
      <w:start w:val="1"/>
      <w:numFmt w:val="bullet"/>
      <w:lvlText w:val=""/>
      <w:lvlJc w:val="left"/>
      <w:pPr>
        <w:ind w:left="720" w:hanging="180"/>
      </w:pPr>
      <w:rPr>
        <w:rFonts w:ascii="Symbol" w:hAnsi="Symbol" w:hint="default"/>
      </w:rPr>
    </w:lvl>
    <w:lvl w:ilvl="1" w:tplc="5030B9B2">
      <w:numFmt w:val="decimal"/>
      <w:lvlText w:val=""/>
      <w:lvlJc w:val="left"/>
    </w:lvl>
    <w:lvl w:ilvl="2" w:tplc="9556820C">
      <w:numFmt w:val="decimal"/>
      <w:lvlText w:val=""/>
      <w:lvlJc w:val="left"/>
    </w:lvl>
    <w:lvl w:ilvl="3" w:tplc="8F16D0B2">
      <w:numFmt w:val="decimal"/>
      <w:lvlText w:val=""/>
      <w:lvlJc w:val="left"/>
    </w:lvl>
    <w:lvl w:ilvl="4" w:tplc="CCF46262">
      <w:numFmt w:val="decimal"/>
      <w:lvlText w:val=""/>
      <w:lvlJc w:val="left"/>
    </w:lvl>
    <w:lvl w:ilvl="5" w:tplc="E76224A2">
      <w:numFmt w:val="decimal"/>
      <w:lvlText w:val=""/>
      <w:lvlJc w:val="left"/>
    </w:lvl>
    <w:lvl w:ilvl="6" w:tplc="A7448DF0">
      <w:numFmt w:val="decimal"/>
      <w:lvlText w:val=""/>
      <w:lvlJc w:val="left"/>
    </w:lvl>
    <w:lvl w:ilvl="7" w:tplc="CFFA5496">
      <w:numFmt w:val="decimal"/>
      <w:lvlText w:val=""/>
      <w:lvlJc w:val="left"/>
    </w:lvl>
    <w:lvl w:ilvl="8" w:tplc="58F068F6">
      <w:numFmt w:val="decimal"/>
      <w:lvlText w:val=""/>
      <w:lvlJc w:val="left"/>
    </w:lvl>
  </w:abstractNum>
  <w:abstractNum w:abstractNumId="402" w15:restartNumberingAfterBreak="0">
    <w:nsid w:val="1E427EBE"/>
    <w:multiLevelType w:val="hybridMultilevel"/>
    <w:tmpl w:val="426C8A4E"/>
    <w:lvl w:ilvl="0" w:tplc="58AAE7D2">
      <w:start w:val="1"/>
      <w:numFmt w:val="bullet"/>
      <w:lvlText w:val=""/>
      <w:lvlJc w:val="left"/>
      <w:pPr>
        <w:ind w:left="720" w:hanging="180"/>
      </w:pPr>
      <w:rPr>
        <w:rFonts w:ascii="Symbol" w:hAnsi="Symbol" w:hint="default"/>
      </w:rPr>
    </w:lvl>
    <w:lvl w:ilvl="1" w:tplc="1088B114">
      <w:numFmt w:val="decimal"/>
      <w:lvlText w:val=""/>
      <w:lvlJc w:val="left"/>
    </w:lvl>
    <w:lvl w:ilvl="2" w:tplc="C7BCEEF2">
      <w:numFmt w:val="decimal"/>
      <w:lvlText w:val=""/>
      <w:lvlJc w:val="left"/>
    </w:lvl>
    <w:lvl w:ilvl="3" w:tplc="484E49F8">
      <w:numFmt w:val="decimal"/>
      <w:lvlText w:val=""/>
      <w:lvlJc w:val="left"/>
    </w:lvl>
    <w:lvl w:ilvl="4" w:tplc="19064D1A">
      <w:numFmt w:val="decimal"/>
      <w:lvlText w:val=""/>
      <w:lvlJc w:val="left"/>
    </w:lvl>
    <w:lvl w:ilvl="5" w:tplc="3018632A">
      <w:numFmt w:val="decimal"/>
      <w:lvlText w:val=""/>
      <w:lvlJc w:val="left"/>
    </w:lvl>
    <w:lvl w:ilvl="6" w:tplc="DCE85B0C">
      <w:numFmt w:val="decimal"/>
      <w:lvlText w:val=""/>
      <w:lvlJc w:val="left"/>
    </w:lvl>
    <w:lvl w:ilvl="7" w:tplc="3BF0CBD0">
      <w:numFmt w:val="decimal"/>
      <w:lvlText w:val=""/>
      <w:lvlJc w:val="left"/>
    </w:lvl>
    <w:lvl w:ilvl="8" w:tplc="71C4E9F2">
      <w:numFmt w:val="decimal"/>
      <w:lvlText w:val=""/>
      <w:lvlJc w:val="left"/>
    </w:lvl>
  </w:abstractNum>
  <w:abstractNum w:abstractNumId="403" w15:restartNumberingAfterBreak="0">
    <w:nsid w:val="1E682C7B"/>
    <w:multiLevelType w:val="hybridMultilevel"/>
    <w:tmpl w:val="3FBC6988"/>
    <w:lvl w:ilvl="0" w:tplc="0A7A3D9E">
      <w:start w:val="1"/>
      <w:numFmt w:val="bullet"/>
      <w:lvlText w:val=""/>
      <w:lvlJc w:val="left"/>
      <w:pPr>
        <w:ind w:left="720" w:hanging="180"/>
      </w:pPr>
      <w:rPr>
        <w:rFonts w:ascii="Symbol" w:hAnsi="Symbol" w:hint="default"/>
      </w:rPr>
    </w:lvl>
    <w:lvl w:ilvl="1" w:tplc="2B04B234">
      <w:numFmt w:val="decimal"/>
      <w:lvlText w:val=""/>
      <w:lvlJc w:val="left"/>
    </w:lvl>
    <w:lvl w:ilvl="2" w:tplc="F60A7604">
      <w:numFmt w:val="decimal"/>
      <w:lvlText w:val=""/>
      <w:lvlJc w:val="left"/>
    </w:lvl>
    <w:lvl w:ilvl="3" w:tplc="EFFAFA7E">
      <w:numFmt w:val="decimal"/>
      <w:lvlText w:val=""/>
      <w:lvlJc w:val="left"/>
    </w:lvl>
    <w:lvl w:ilvl="4" w:tplc="589A709E">
      <w:numFmt w:val="decimal"/>
      <w:lvlText w:val=""/>
      <w:lvlJc w:val="left"/>
    </w:lvl>
    <w:lvl w:ilvl="5" w:tplc="BC743386">
      <w:numFmt w:val="decimal"/>
      <w:lvlText w:val=""/>
      <w:lvlJc w:val="left"/>
    </w:lvl>
    <w:lvl w:ilvl="6" w:tplc="0E262C46">
      <w:numFmt w:val="decimal"/>
      <w:lvlText w:val=""/>
      <w:lvlJc w:val="left"/>
    </w:lvl>
    <w:lvl w:ilvl="7" w:tplc="BD421178">
      <w:numFmt w:val="decimal"/>
      <w:lvlText w:val=""/>
      <w:lvlJc w:val="left"/>
    </w:lvl>
    <w:lvl w:ilvl="8" w:tplc="7D6E4410">
      <w:numFmt w:val="decimal"/>
      <w:lvlText w:val=""/>
      <w:lvlJc w:val="left"/>
    </w:lvl>
  </w:abstractNum>
  <w:abstractNum w:abstractNumId="404" w15:restartNumberingAfterBreak="0">
    <w:nsid w:val="1ECF31D8"/>
    <w:multiLevelType w:val="hybridMultilevel"/>
    <w:tmpl w:val="CD5E033C"/>
    <w:lvl w:ilvl="0" w:tplc="84482FB8">
      <w:start w:val="1"/>
      <w:numFmt w:val="bullet"/>
      <w:lvlText w:val=""/>
      <w:lvlJc w:val="left"/>
      <w:pPr>
        <w:ind w:left="720" w:hanging="180"/>
      </w:pPr>
      <w:rPr>
        <w:rFonts w:ascii="Symbol" w:hAnsi="Symbol" w:hint="default"/>
      </w:rPr>
    </w:lvl>
    <w:lvl w:ilvl="1" w:tplc="25F22026">
      <w:numFmt w:val="decimal"/>
      <w:lvlText w:val=""/>
      <w:lvlJc w:val="left"/>
    </w:lvl>
    <w:lvl w:ilvl="2" w:tplc="B15244B8">
      <w:numFmt w:val="decimal"/>
      <w:lvlText w:val=""/>
      <w:lvlJc w:val="left"/>
    </w:lvl>
    <w:lvl w:ilvl="3" w:tplc="C338B1F2">
      <w:numFmt w:val="decimal"/>
      <w:lvlText w:val=""/>
      <w:lvlJc w:val="left"/>
    </w:lvl>
    <w:lvl w:ilvl="4" w:tplc="1A2C7D72">
      <w:numFmt w:val="decimal"/>
      <w:lvlText w:val=""/>
      <w:lvlJc w:val="left"/>
    </w:lvl>
    <w:lvl w:ilvl="5" w:tplc="ED289A12">
      <w:numFmt w:val="decimal"/>
      <w:lvlText w:val=""/>
      <w:lvlJc w:val="left"/>
    </w:lvl>
    <w:lvl w:ilvl="6" w:tplc="34F4E97E">
      <w:numFmt w:val="decimal"/>
      <w:lvlText w:val=""/>
      <w:lvlJc w:val="left"/>
    </w:lvl>
    <w:lvl w:ilvl="7" w:tplc="189440BC">
      <w:numFmt w:val="decimal"/>
      <w:lvlText w:val=""/>
      <w:lvlJc w:val="left"/>
    </w:lvl>
    <w:lvl w:ilvl="8" w:tplc="B978A994">
      <w:numFmt w:val="decimal"/>
      <w:lvlText w:val=""/>
      <w:lvlJc w:val="left"/>
    </w:lvl>
  </w:abstractNum>
  <w:abstractNum w:abstractNumId="405" w15:restartNumberingAfterBreak="0">
    <w:nsid w:val="1EF317C2"/>
    <w:multiLevelType w:val="hybridMultilevel"/>
    <w:tmpl w:val="62C0F9E8"/>
    <w:lvl w:ilvl="0" w:tplc="CF94007E">
      <w:start w:val="1"/>
      <w:numFmt w:val="bullet"/>
      <w:lvlText w:val=""/>
      <w:lvlJc w:val="left"/>
      <w:pPr>
        <w:ind w:left="720" w:hanging="180"/>
      </w:pPr>
      <w:rPr>
        <w:rFonts w:ascii="Symbol" w:hAnsi="Symbol" w:hint="default"/>
      </w:rPr>
    </w:lvl>
    <w:lvl w:ilvl="1" w:tplc="38F8FE20">
      <w:numFmt w:val="decimal"/>
      <w:lvlText w:val=""/>
      <w:lvlJc w:val="left"/>
    </w:lvl>
    <w:lvl w:ilvl="2" w:tplc="D5885FB0">
      <w:numFmt w:val="decimal"/>
      <w:lvlText w:val=""/>
      <w:lvlJc w:val="left"/>
    </w:lvl>
    <w:lvl w:ilvl="3" w:tplc="490C9F78">
      <w:numFmt w:val="decimal"/>
      <w:lvlText w:val=""/>
      <w:lvlJc w:val="left"/>
    </w:lvl>
    <w:lvl w:ilvl="4" w:tplc="5AD86994">
      <w:numFmt w:val="decimal"/>
      <w:lvlText w:val=""/>
      <w:lvlJc w:val="left"/>
    </w:lvl>
    <w:lvl w:ilvl="5" w:tplc="BD889648">
      <w:numFmt w:val="decimal"/>
      <w:lvlText w:val=""/>
      <w:lvlJc w:val="left"/>
    </w:lvl>
    <w:lvl w:ilvl="6" w:tplc="B7B409D8">
      <w:numFmt w:val="decimal"/>
      <w:lvlText w:val=""/>
      <w:lvlJc w:val="left"/>
    </w:lvl>
    <w:lvl w:ilvl="7" w:tplc="2450701A">
      <w:numFmt w:val="decimal"/>
      <w:lvlText w:val=""/>
      <w:lvlJc w:val="left"/>
    </w:lvl>
    <w:lvl w:ilvl="8" w:tplc="F92A6922">
      <w:numFmt w:val="decimal"/>
      <w:lvlText w:val=""/>
      <w:lvlJc w:val="left"/>
    </w:lvl>
  </w:abstractNum>
  <w:abstractNum w:abstractNumId="406" w15:restartNumberingAfterBreak="0">
    <w:nsid w:val="1EF37627"/>
    <w:multiLevelType w:val="hybridMultilevel"/>
    <w:tmpl w:val="2FBCA19A"/>
    <w:lvl w:ilvl="0" w:tplc="28489AF8">
      <w:start w:val="1"/>
      <w:numFmt w:val="bullet"/>
      <w:lvlText w:val=""/>
      <w:lvlJc w:val="left"/>
      <w:pPr>
        <w:ind w:left="720" w:hanging="180"/>
      </w:pPr>
      <w:rPr>
        <w:rFonts w:ascii="Symbol" w:hAnsi="Symbol" w:hint="default"/>
      </w:rPr>
    </w:lvl>
    <w:lvl w:ilvl="1" w:tplc="CB564220">
      <w:numFmt w:val="decimal"/>
      <w:lvlText w:val=""/>
      <w:lvlJc w:val="left"/>
    </w:lvl>
    <w:lvl w:ilvl="2" w:tplc="3B000226">
      <w:numFmt w:val="decimal"/>
      <w:lvlText w:val=""/>
      <w:lvlJc w:val="left"/>
    </w:lvl>
    <w:lvl w:ilvl="3" w:tplc="B994F6EC">
      <w:numFmt w:val="decimal"/>
      <w:lvlText w:val=""/>
      <w:lvlJc w:val="left"/>
    </w:lvl>
    <w:lvl w:ilvl="4" w:tplc="46B29CCA">
      <w:numFmt w:val="decimal"/>
      <w:lvlText w:val=""/>
      <w:lvlJc w:val="left"/>
    </w:lvl>
    <w:lvl w:ilvl="5" w:tplc="7F127D56">
      <w:numFmt w:val="decimal"/>
      <w:lvlText w:val=""/>
      <w:lvlJc w:val="left"/>
    </w:lvl>
    <w:lvl w:ilvl="6" w:tplc="D2A2454A">
      <w:numFmt w:val="decimal"/>
      <w:lvlText w:val=""/>
      <w:lvlJc w:val="left"/>
    </w:lvl>
    <w:lvl w:ilvl="7" w:tplc="8B64261E">
      <w:numFmt w:val="decimal"/>
      <w:lvlText w:val=""/>
      <w:lvlJc w:val="left"/>
    </w:lvl>
    <w:lvl w:ilvl="8" w:tplc="D98A021E">
      <w:numFmt w:val="decimal"/>
      <w:lvlText w:val=""/>
      <w:lvlJc w:val="left"/>
    </w:lvl>
  </w:abstractNum>
  <w:abstractNum w:abstractNumId="407" w15:restartNumberingAfterBreak="0">
    <w:nsid w:val="1EFE2BB9"/>
    <w:multiLevelType w:val="hybridMultilevel"/>
    <w:tmpl w:val="2F0EB502"/>
    <w:lvl w:ilvl="0" w:tplc="ADF058B8">
      <w:start w:val="1"/>
      <w:numFmt w:val="bullet"/>
      <w:lvlText w:val=""/>
      <w:lvlJc w:val="left"/>
      <w:pPr>
        <w:ind w:left="720" w:hanging="180"/>
      </w:pPr>
      <w:rPr>
        <w:rFonts w:ascii="Symbol" w:hAnsi="Symbol" w:hint="default"/>
      </w:rPr>
    </w:lvl>
    <w:lvl w:ilvl="1" w:tplc="EA601420">
      <w:numFmt w:val="decimal"/>
      <w:lvlText w:val=""/>
      <w:lvlJc w:val="left"/>
    </w:lvl>
    <w:lvl w:ilvl="2" w:tplc="8D68342E">
      <w:numFmt w:val="decimal"/>
      <w:lvlText w:val=""/>
      <w:lvlJc w:val="left"/>
    </w:lvl>
    <w:lvl w:ilvl="3" w:tplc="4EBCF306">
      <w:numFmt w:val="decimal"/>
      <w:lvlText w:val=""/>
      <w:lvlJc w:val="left"/>
    </w:lvl>
    <w:lvl w:ilvl="4" w:tplc="DEEE1386">
      <w:numFmt w:val="decimal"/>
      <w:lvlText w:val=""/>
      <w:lvlJc w:val="left"/>
    </w:lvl>
    <w:lvl w:ilvl="5" w:tplc="3A8C7EFC">
      <w:numFmt w:val="decimal"/>
      <w:lvlText w:val=""/>
      <w:lvlJc w:val="left"/>
    </w:lvl>
    <w:lvl w:ilvl="6" w:tplc="F5067A7E">
      <w:numFmt w:val="decimal"/>
      <w:lvlText w:val=""/>
      <w:lvlJc w:val="left"/>
    </w:lvl>
    <w:lvl w:ilvl="7" w:tplc="CAFEF17A">
      <w:numFmt w:val="decimal"/>
      <w:lvlText w:val=""/>
      <w:lvlJc w:val="left"/>
    </w:lvl>
    <w:lvl w:ilvl="8" w:tplc="87BEF7B8">
      <w:numFmt w:val="decimal"/>
      <w:lvlText w:val=""/>
      <w:lvlJc w:val="left"/>
    </w:lvl>
  </w:abstractNum>
  <w:abstractNum w:abstractNumId="408" w15:restartNumberingAfterBreak="0">
    <w:nsid w:val="1F2803F4"/>
    <w:multiLevelType w:val="hybridMultilevel"/>
    <w:tmpl w:val="A798F7D2"/>
    <w:lvl w:ilvl="0" w:tplc="F4B2D388">
      <w:start w:val="1"/>
      <w:numFmt w:val="bullet"/>
      <w:lvlText w:val=""/>
      <w:lvlJc w:val="left"/>
      <w:pPr>
        <w:ind w:left="720" w:hanging="180"/>
      </w:pPr>
      <w:rPr>
        <w:rFonts w:ascii="Symbol" w:hAnsi="Symbol" w:hint="default"/>
      </w:rPr>
    </w:lvl>
    <w:lvl w:ilvl="1" w:tplc="B48614AE">
      <w:numFmt w:val="decimal"/>
      <w:lvlText w:val=""/>
      <w:lvlJc w:val="left"/>
    </w:lvl>
    <w:lvl w:ilvl="2" w:tplc="D5104716">
      <w:numFmt w:val="decimal"/>
      <w:lvlText w:val=""/>
      <w:lvlJc w:val="left"/>
    </w:lvl>
    <w:lvl w:ilvl="3" w:tplc="7F36AB16">
      <w:numFmt w:val="decimal"/>
      <w:lvlText w:val=""/>
      <w:lvlJc w:val="left"/>
    </w:lvl>
    <w:lvl w:ilvl="4" w:tplc="F0DCD394">
      <w:numFmt w:val="decimal"/>
      <w:lvlText w:val=""/>
      <w:lvlJc w:val="left"/>
    </w:lvl>
    <w:lvl w:ilvl="5" w:tplc="6F126FF8">
      <w:numFmt w:val="decimal"/>
      <w:lvlText w:val=""/>
      <w:lvlJc w:val="left"/>
    </w:lvl>
    <w:lvl w:ilvl="6" w:tplc="1870EFD6">
      <w:numFmt w:val="decimal"/>
      <w:lvlText w:val=""/>
      <w:lvlJc w:val="left"/>
    </w:lvl>
    <w:lvl w:ilvl="7" w:tplc="86B8B7A2">
      <w:numFmt w:val="decimal"/>
      <w:lvlText w:val=""/>
      <w:lvlJc w:val="left"/>
    </w:lvl>
    <w:lvl w:ilvl="8" w:tplc="73D07BEC">
      <w:numFmt w:val="decimal"/>
      <w:lvlText w:val=""/>
      <w:lvlJc w:val="left"/>
    </w:lvl>
  </w:abstractNum>
  <w:abstractNum w:abstractNumId="409" w15:restartNumberingAfterBreak="0">
    <w:nsid w:val="1F2A58D8"/>
    <w:multiLevelType w:val="hybridMultilevel"/>
    <w:tmpl w:val="3620D7DC"/>
    <w:lvl w:ilvl="0" w:tplc="A0788ACC">
      <w:start w:val="1"/>
      <w:numFmt w:val="bullet"/>
      <w:lvlText w:val=""/>
      <w:lvlJc w:val="left"/>
      <w:pPr>
        <w:ind w:left="720" w:hanging="180"/>
      </w:pPr>
      <w:rPr>
        <w:rFonts w:ascii="Symbol" w:hAnsi="Symbol" w:hint="default"/>
      </w:rPr>
    </w:lvl>
    <w:lvl w:ilvl="1" w:tplc="24BE0F90">
      <w:numFmt w:val="decimal"/>
      <w:lvlText w:val=""/>
      <w:lvlJc w:val="left"/>
    </w:lvl>
    <w:lvl w:ilvl="2" w:tplc="59241E48">
      <w:numFmt w:val="decimal"/>
      <w:lvlText w:val=""/>
      <w:lvlJc w:val="left"/>
    </w:lvl>
    <w:lvl w:ilvl="3" w:tplc="04708C88">
      <w:numFmt w:val="decimal"/>
      <w:lvlText w:val=""/>
      <w:lvlJc w:val="left"/>
    </w:lvl>
    <w:lvl w:ilvl="4" w:tplc="A482C086">
      <w:numFmt w:val="decimal"/>
      <w:lvlText w:val=""/>
      <w:lvlJc w:val="left"/>
    </w:lvl>
    <w:lvl w:ilvl="5" w:tplc="7366791C">
      <w:numFmt w:val="decimal"/>
      <w:lvlText w:val=""/>
      <w:lvlJc w:val="left"/>
    </w:lvl>
    <w:lvl w:ilvl="6" w:tplc="C9B0165C">
      <w:numFmt w:val="decimal"/>
      <w:lvlText w:val=""/>
      <w:lvlJc w:val="left"/>
    </w:lvl>
    <w:lvl w:ilvl="7" w:tplc="335A6ECC">
      <w:numFmt w:val="decimal"/>
      <w:lvlText w:val=""/>
      <w:lvlJc w:val="left"/>
    </w:lvl>
    <w:lvl w:ilvl="8" w:tplc="E962F35E">
      <w:numFmt w:val="decimal"/>
      <w:lvlText w:val=""/>
      <w:lvlJc w:val="left"/>
    </w:lvl>
  </w:abstractNum>
  <w:abstractNum w:abstractNumId="410" w15:restartNumberingAfterBreak="0">
    <w:nsid w:val="1F2C11FB"/>
    <w:multiLevelType w:val="hybridMultilevel"/>
    <w:tmpl w:val="DA324EDE"/>
    <w:lvl w:ilvl="0" w:tplc="1084F0C6">
      <w:numFmt w:val="decimal"/>
      <w:lvlText w:val=""/>
      <w:lvlJc w:val="left"/>
    </w:lvl>
    <w:lvl w:ilvl="1" w:tplc="98E402DE">
      <w:start w:val="1"/>
      <w:numFmt w:val="bullet"/>
      <w:lvlText w:val=""/>
      <w:lvlJc w:val="left"/>
      <w:pPr>
        <w:ind w:left="1440" w:hanging="180"/>
      </w:pPr>
      <w:rPr>
        <w:rFonts w:ascii="Symbol" w:hAnsi="Symbol" w:hint="default"/>
      </w:rPr>
    </w:lvl>
    <w:lvl w:ilvl="2" w:tplc="4F82C552">
      <w:numFmt w:val="decimal"/>
      <w:lvlText w:val=""/>
      <w:lvlJc w:val="left"/>
    </w:lvl>
    <w:lvl w:ilvl="3" w:tplc="7278D3C2">
      <w:numFmt w:val="decimal"/>
      <w:lvlText w:val=""/>
      <w:lvlJc w:val="left"/>
    </w:lvl>
    <w:lvl w:ilvl="4" w:tplc="448AD83A">
      <w:numFmt w:val="decimal"/>
      <w:lvlText w:val=""/>
      <w:lvlJc w:val="left"/>
    </w:lvl>
    <w:lvl w:ilvl="5" w:tplc="A9E8A6A6">
      <w:numFmt w:val="decimal"/>
      <w:lvlText w:val=""/>
      <w:lvlJc w:val="left"/>
    </w:lvl>
    <w:lvl w:ilvl="6" w:tplc="A896F5F2">
      <w:numFmt w:val="decimal"/>
      <w:lvlText w:val=""/>
      <w:lvlJc w:val="left"/>
    </w:lvl>
    <w:lvl w:ilvl="7" w:tplc="E2509D8C">
      <w:numFmt w:val="decimal"/>
      <w:lvlText w:val=""/>
      <w:lvlJc w:val="left"/>
    </w:lvl>
    <w:lvl w:ilvl="8" w:tplc="9F3AFC32">
      <w:numFmt w:val="decimal"/>
      <w:lvlText w:val=""/>
      <w:lvlJc w:val="left"/>
    </w:lvl>
  </w:abstractNum>
  <w:abstractNum w:abstractNumId="411" w15:restartNumberingAfterBreak="0">
    <w:nsid w:val="1F2D31C0"/>
    <w:multiLevelType w:val="hybridMultilevel"/>
    <w:tmpl w:val="A62C9A46"/>
    <w:lvl w:ilvl="0" w:tplc="E0E44744">
      <w:start w:val="1"/>
      <w:numFmt w:val="bullet"/>
      <w:lvlText w:val=""/>
      <w:lvlJc w:val="left"/>
      <w:pPr>
        <w:ind w:left="720" w:hanging="180"/>
      </w:pPr>
      <w:rPr>
        <w:rFonts w:ascii="Symbol" w:hAnsi="Symbol" w:hint="default"/>
      </w:rPr>
    </w:lvl>
    <w:lvl w:ilvl="1" w:tplc="7346D2D0">
      <w:numFmt w:val="decimal"/>
      <w:lvlText w:val=""/>
      <w:lvlJc w:val="left"/>
    </w:lvl>
    <w:lvl w:ilvl="2" w:tplc="34B0995C">
      <w:numFmt w:val="decimal"/>
      <w:lvlText w:val=""/>
      <w:lvlJc w:val="left"/>
    </w:lvl>
    <w:lvl w:ilvl="3" w:tplc="01F42494">
      <w:numFmt w:val="decimal"/>
      <w:lvlText w:val=""/>
      <w:lvlJc w:val="left"/>
    </w:lvl>
    <w:lvl w:ilvl="4" w:tplc="CA885550">
      <w:numFmt w:val="decimal"/>
      <w:lvlText w:val=""/>
      <w:lvlJc w:val="left"/>
    </w:lvl>
    <w:lvl w:ilvl="5" w:tplc="677C700E">
      <w:numFmt w:val="decimal"/>
      <w:lvlText w:val=""/>
      <w:lvlJc w:val="left"/>
    </w:lvl>
    <w:lvl w:ilvl="6" w:tplc="5ADE8A94">
      <w:numFmt w:val="decimal"/>
      <w:lvlText w:val=""/>
      <w:lvlJc w:val="left"/>
    </w:lvl>
    <w:lvl w:ilvl="7" w:tplc="EB48DC1E">
      <w:numFmt w:val="decimal"/>
      <w:lvlText w:val=""/>
      <w:lvlJc w:val="left"/>
    </w:lvl>
    <w:lvl w:ilvl="8" w:tplc="29D8C0BA">
      <w:numFmt w:val="decimal"/>
      <w:lvlText w:val=""/>
      <w:lvlJc w:val="left"/>
    </w:lvl>
  </w:abstractNum>
  <w:abstractNum w:abstractNumId="412" w15:restartNumberingAfterBreak="0">
    <w:nsid w:val="1F426E9B"/>
    <w:multiLevelType w:val="hybridMultilevel"/>
    <w:tmpl w:val="EB0CBA3C"/>
    <w:lvl w:ilvl="0" w:tplc="2D4E7CF8">
      <w:start w:val="1"/>
      <w:numFmt w:val="bullet"/>
      <w:lvlText w:val=""/>
      <w:lvlJc w:val="left"/>
      <w:pPr>
        <w:ind w:left="720" w:hanging="180"/>
      </w:pPr>
      <w:rPr>
        <w:rFonts w:ascii="Symbol" w:hAnsi="Symbol" w:hint="default"/>
      </w:rPr>
    </w:lvl>
    <w:lvl w:ilvl="1" w:tplc="DBC8209C">
      <w:numFmt w:val="decimal"/>
      <w:lvlText w:val=""/>
      <w:lvlJc w:val="left"/>
    </w:lvl>
    <w:lvl w:ilvl="2" w:tplc="49CC9D14">
      <w:numFmt w:val="decimal"/>
      <w:lvlText w:val=""/>
      <w:lvlJc w:val="left"/>
    </w:lvl>
    <w:lvl w:ilvl="3" w:tplc="8C6EBE84">
      <w:numFmt w:val="decimal"/>
      <w:lvlText w:val=""/>
      <w:lvlJc w:val="left"/>
    </w:lvl>
    <w:lvl w:ilvl="4" w:tplc="5A909C8A">
      <w:numFmt w:val="decimal"/>
      <w:lvlText w:val=""/>
      <w:lvlJc w:val="left"/>
    </w:lvl>
    <w:lvl w:ilvl="5" w:tplc="FF006EF2">
      <w:numFmt w:val="decimal"/>
      <w:lvlText w:val=""/>
      <w:lvlJc w:val="left"/>
    </w:lvl>
    <w:lvl w:ilvl="6" w:tplc="D6122188">
      <w:numFmt w:val="decimal"/>
      <w:lvlText w:val=""/>
      <w:lvlJc w:val="left"/>
    </w:lvl>
    <w:lvl w:ilvl="7" w:tplc="A1AA7C58">
      <w:numFmt w:val="decimal"/>
      <w:lvlText w:val=""/>
      <w:lvlJc w:val="left"/>
    </w:lvl>
    <w:lvl w:ilvl="8" w:tplc="AB80DD52">
      <w:numFmt w:val="decimal"/>
      <w:lvlText w:val=""/>
      <w:lvlJc w:val="left"/>
    </w:lvl>
  </w:abstractNum>
  <w:abstractNum w:abstractNumId="413" w15:restartNumberingAfterBreak="0">
    <w:nsid w:val="1F441FBD"/>
    <w:multiLevelType w:val="hybridMultilevel"/>
    <w:tmpl w:val="8CCE64B8"/>
    <w:lvl w:ilvl="0" w:tplc="5136DC32">
      <w:start w:val="1"/>
      <w:numFmt w:val="bullet"/>
      <w:lvlText w:val=""/>
      <w:lvlJc w:val="left"/>
      <w:pPr>
        <w:ind w:left="720" w:hanging="180"/>
      </w:pPr>
      <w:rPr>
        <w:rFonts w:ascii="Symbol" w:hAnsi="Symbol" w:hint="default"/>
      </w:rPr>
    </w:lvl>
    <w:lvl w:ilvl="1" w:tplc="2C5ADAA4">
      <w:numFmt w:val="decimal"/>
      <w:lvlText w:val=""/>
      <w:lvlJc w:val="left"/>
    </w:lvl>
    <w:lvl w:ilvl="2" w:tplc="696272FA">
      <w:numFmt w:val="decimal"/>
      <w:lvlText w:val=""/>
      <w:lvlJc w:val="left"/>
    </w:lvl>
    <w:lvl w:ilvl="3" w:tplc="61102C30">
      <w:numFmt w:val="decimal"/>
      <w:lvlText w:val=""/>
      <w:lvlJc w:val="left"/>
    </w:lvl>
    <w:lvl w:ilvl="4" w:tplc="96DCEB40">
      <w:numFmt w:val="decimal"/>
      <w:lvlText w:val=""/>
      <w:lvlJc w:val="left"/>
    </w:lvl>
    <w:lvl w:ilvl="5" w:tplc="9F981020">
      <w:numFmt w:val="decimal"/>
      <w:lvlText w:val=""/>
      <w:lvlJc w:val="left"/>
    </w:lvl>
    <w:lvl w:ilvl="6" w:tplc="0E0C28DC">
      <w:numFmt w:val="decimal"/>
      <w:lvlText w:val=""/>
      <w:lvlJc w:val="left"/>
    </w:lvl>
    <w:lvl w:ilvl="7" w:tplc="D93C8BD0">
      <w:numFmt w:val="decimal"/>
      <w:lvlText w:val=""/>
      <w:lvlJc w:val="left"/>
    </w:lvl>
    <w:lvl w:ilvl="8" w:tplc="2BFE2B92">
      <w:numFmt w:val="decimal"/>
      <w:lvlText w:val=""/>
      <w:lvlJc w:val="left"/>
    </w:lvl>
  </w:abstractNum>
  <w:abstractNum w:abstractNumId="414" w15:restartNumberingAfterBreak="0">
    <w:nsid w:val="1F721E14"/>
    <w:multiLevelType w:val="hybridMultilevel"/>
    <w:tmpl w:val="5E14B1E2"/>
    <w:lvl w:ilvl="0" w:tplc="BA502028">
      <w:start w:val="1"/>
      <w:numFmt w:val="bullet"/>
      <w:lvlText w:val=""/>
      <w:lvlJc w:val="left"/>
      <w:pPr>
        <w:ind w:left="720" w:hanging="180"/>
      </w:pPr>
      <w:rPr>
        <w:rFonts w:ascii="Symbol" w:hAnsi="Symbol" w:hint="default"/>
      </w:rPr>
    </w:lvl>
    <w:lvl w:ilvl="1" w:tplc="0D46A004">
      <w:numFmt w:val="decimal"/>
      <w:lvlText w:val=""/>
      <w:lvlJc w:val="left"/>
    </w:lvl>
    <w:lvl w:ilvl="2" w:tplc="6B5659B4">
      <w:numFmt w:val="decimal"/>
      <w:lvlText w:val=""/>
      <w:lvlJc w:val="left"/>
    </w:lvl>
    <w:lvl w:ilvl="3" w:tplc="DB029CE8">
      <w:numFmt w:val="decimal"/>
      <w:lvlText w:val=""/>
      <w:lvlJc w:val="left"/>
    </w:lvl>
    <w:lvl w:ilvl="4" w:tplc="EE442F76">
      <w:numFmt w:val="decimal"/>
      <w:lvlText w:val=""/>
      <w:lvlJc w:val="left"/>
    </w:lvl>
    <w:lvl w:ilvl="5" w:tplc="27928626">
      <w:numFmt w:val="decimal"/>
      <w:lvlText w:val=""/>
      <w:lvlJc w:val="left"/>
    </w:lvl>
    <w:lvl w:ilvl="6" w:tplc="E9CA71EC">
      <w:numFmt w:val="decimal"/>
      <w:lvlText w:val=""/>
      <w:lvlJc w:val="left"/>
    </w:lvl>
    <w:lvl w:ilvl="7" w:tplc="EF04EBBC">
      <w:numFmt w:val="decimal"/>
      <w:lvlText w:val=""/>
      <w:lvlJc w:val="left"/>
    </w:lvl>
    <w:lvl w:ilvl="8" w:tplc="08DC27E0">
      <w:numFmt w:val="decimal"/>
      <w:lvlText w:val=""/>
      <w:lvlJc w:val="left"/>
    </w:lvl>
  </w:abstractNum>
  <w:abstractNum w:abstractNumId="415" w15:restartNumberingAfterBreak="0">
    <w:nsid w:val="1F9377D8"/>
    <w:multiLevelType w:val="hybridMultilevel"/>
    <w:tmpl w:val="B6323CFE"/>
    <w:lvl w:ilvl="0" w:tplc="31A88386">
      <w:start w:val="1"/>
      <w:numFmt w:val="bullet"/>
      <w:lvlText w:val=""/>
      <w:lvlJc w:val="left"/>
      <w:pPr>
        <w:ind w:left="720" w:hanging="180"/>
      </w:pPr>
      <w:rPr>
        <w:rFonts w:ascii="Symbol" w:hAnsi="Symbol" w:hint="default"/>
      </w:rPr>
    </w:lvl>
    <w:lvl w:ilvl="1" w:tplc="5310EC60">
      <w:numFmt w:val="decimal"/>
      <w:lvlText w:val=""/>
      <w:lvlJc w:val="left"/>
    </w:lvl>
    <w:lvl w:ilvl="2" w:tplc="AB2085D0">
      <w:numFmt w:val="decimal"/>
      <w:lvlText w:val=""/>
      <w:lvlJc w:val="left"/>
    </w:lvl>
    <w:lvl w:ilvl="3" w:tplc="F8C8B0C8">
      <w:numFmt w:val="decimal"/>
      <w:lvlText w:val=""/>
      <w:lvlJc w:val="left"/>
    </w:lvl>
    <w:lvl w:ilvl="4" w:tplc="6EE8430E">
      <w:numFmt w:val="decimal"/>
      <w:lvlText w:val=""/>
      <w:lvlJc w:val="left"/>
    </w:lvl>
    <w:lvl w:ilvl="5" w:tplc="F43651A0">
      <w:numFmt w:val="decimal"/>
      <w:lvlText w:val=""/>
      <w:lvlJc w:val="left"/>
    </w:lvl>
    <w:lvl w:ilvl="6" w:tplc="E558FA9C">
      <w:numFmt w:val="decimal"/>
      <w:lvlText w:val=""/>
      <w:lvlJc w:val="left"/>
    </w:lvl>
    <w:lvl w:ilvl="7" w:tplc="C5A879D0">
      <w:numFmt w:val="decimal"/>
      <w:lvlText w:val=""/>
      <w:lvlJc w:val="left"/>
    </w:lvl>
    <w:lvl w:ilvl="8" w:tplc="B65ED9CA">
      <w:numFmt w:val="decimal"/>
      <w:lvlText w:val=""/>
      <w:lvlJc w:val="left"/>
    </w:lvl>
  </w:abstractNum>
  <w:abstractNum w:abstractNumId="416" w15:restartNumberingAfterBreak="0">
    <w:nsid w:val="1FB93B6A"/>
    <w:multiLevelType w:val="hybridMultilevel"/>
    <w:tmpl w:val="450EBFDA"/>
    <w:lvl w:ilvl="0" w:tplc="9968D4C2">
      <w:start w:val="1"/>
      <w:numFmt w:val="bullet"/>
      <w:lvlText w:val=""/>
      <w:lvlJc w:val="left"/>
      <w:pPr>
        <w:ind w:left="720" w:hanging="180"/>
      </w:pPr>
      <w:rPr>
        <w:rFonts w:ascii="Symbol" w:hAnsi="Symbol" w:hint="default"/>
      </w:rPr>
    </w:lvl>
    <w:lvl w:ilvl="1" w:tplc="D3D63A3A">
      <w:numFmt w:val="decimal"/>
      <w:lvlText w:val=""/>
      <w:lvlJc w:val="left"/>
    </w:lvl>
    <w:lvl w:ilvl="2" w:tplc="0D2213BA">
      <w:numFmt w:val="decimal"/>
      <w:lvlText w:val=""/>
      <w:lvlJc w:val="left"/>
    </w:lvl>
    <w:lvl w:ilvl="3" w:tplc="2FF8B032">
      <w:numFmt w:val="decimal"/>
      <w:lvlText w:val=""/>
      <w:lvlJc w:val="left"/>
    </w:lvl>
    <w:lvl w:ilvl="4" w:tplc="0C3EF5BC">
      <w:numFmt w:val="decimal"/>
      <w:lvlText w:val=""/>
      <w:lvlJc w:val="left"/>
    </w:lvl>
    <w:lvl w:ilvl="5" w:tplc="D87C903E">
      <w:numFmt w:val="decimal"/>
      <w:lvlText w:val=""/>
      <w:lvlJc w:val="left"/>
    </w:lvl>
    <w:lvl w:ilvl="6" w:tplc="14AC8A46">
      <w:numFmt w:val="decimal"/>
      <w:lvlText w:val=""/>
      <w:lvlJc w:val="left"/>
    </w:lvl>
    <w:lvl w:ilvl="7" w:tplc="25020F9C">
      <w:numFmt w:val="decimal"/>
      <w:lvlText w:val=""/>
      <w:lvlJc w:val="left"/>
    </w:lvl>
    <w:lvl w:ilvl="8" w:tplc="3E84B6D6">
      <w:numFmt w:val="decimal"/>
      <w:lvlText w:val=""/>
      <w:lvlJc w:val="left"/>
    </w:lvl>
  </w:abstractNum>
  <w:abstractNum w:abstractNumId="417" w15:restartNumberingAfterBreak="0">
    <w:nsid w:val="1FBB1291"/>
    <w:multiLevelType w:val="hybridMultilevel"/>
    <w:tmpl w:val="FF028AA0"/>
    <w:lvl w:ilvl="0" w:tplc="A868345C">
      <w:start w:val="1"/>
      <w:numFmt w:val="bullet"/>
      <w:lvlText w:val=""/>
      <w:lvlJc w:val="left"/>
      <w:pPr>
        <w:ind w:left="720" w:hanging="180"/>
      </w:pPr>
      <w:rPr>
        <w:rFonts w:ascii="Symbol" w:hAnsi="Symbol" w:hint="default"/>
      </w:rPr>
    </w:lvl>
    <w:lvl w:ilvl="1" w:tplc="08FAC158">
      <w:numFmt w:val="decimal"/>
      <w:lvlText w:val=""/>
      <w:lvlJc w:val="left"/>
    </w:lvl>
    <w:lvl w:ilvl="2" w:tplc="F1B06EFE">
      <w:numFmt w:val="decimal"/>
      <w:lvlText w:val=""/>
      <w:lvlJc w:val="left"/>
    </w:lvl>
    <w:lvl w:ilvl="3" w:tplc="6588A37E">
      <w:numFmt w:val="decimal"/>
      <w:lvlText w:val=""/>
      <w:lvlJc w:val="left"/>
    </w:lvl>
    <w:lvl w:ilvl="4" w:tplc="C3B0C6AE">
      <w:numFmt w:val="decimal"/>
      <w:lvlText w:val=""/>
      <w:lvlJc w:val="left"/>
    </w:lvl>
    <w:lvl w:ilvl="5" w:tplc="BEA8D274">
      <w:numFmt w:val="decimal"/>
      <w:lvlText w:val=""/>
      <w:lvlJc w:val="left"/>
    </w:lvl>
    <w:lvl w:ilvl="6" w:tplc="36AE4306">
      <w:numFmt w:val="decimal"/>
      <w:lvlText w:val=""/>
      <w:lvlJc w:val="left"/>
    </w:lvl>
    <w:lvl w:ilvl="7" w:tplc="AC3AC2E4">
      <w:numFmt w:val="decimal"/>
      <w:lvlText w:val=""/>
      <w:lvlJc w:val="left"/>
    </w:lvl>
    <w:lvl w:ilvl="8" w:tplc="356E3100">
      <w:numFmt w:val="decimal"/>
      <w:lvlText w:val=""/>
      <w:lvlJc w:val="left"/>
    </w:lvl>
  </w:abstractNum>
  <w:abstractNum w:abstractNumId="418" w15:restartNumberingAfterBreak="0">
    <w:nsid w:val="1FC5072F"/>
    <w:multiLevelType w:val="hybridMultilevel"/>
    <w:tmpl w:val="6B609C0C"/>
    <w:lvl w:ilvl="0" w:tplc="E5383B7E">
      <w:start w:val="1"/>
      <w:numFmt w:val="bullet"/>
      <w:lvlText w:val=""/>
      <w:lvlJc w:val="left"/>
      <w:pPr>
        <w:ind w:left="720" w:hanging="180"/>
      </w:pPr>
      <w:rPr>
        <w:rFonts w:ascii="Symbol" w:hAnsi="Symbol" w:hint="default"/>
      </w:rPr>
    </w:lvl>
    <w:lvl w:ilvl="1" w:tplc="E42AA51E">
      <w:numFmt w:val="decimal"/>
      <w:lvlText w:val=""/>
      <w:lvlJc w:val="left"/>
    </w:lvl>
    <w:lvl w:ilvl="2" w:tplc="EF88C288">
      <w:numFmt w:val="decimal"/>
      <w:lvlText w:val=""/>
      <w:lvlJc w:val="left"/>
    </w:lvl>
    <w:lvl w:ilvl="3" w:tplc="898C2F68">
      <w:numFmt w:val="decimal"/>
      <w:lvlText w:val=""/>
      <w:lvlJc w:val="left"/>
    </w:lvl>
    <w:lvl w:ilvl="4" w:tplc="241E10DE">
      <w:numFmt w:val="decimal"/>
      <w:lvlText w:val=""/>
      <w:lvlJc w:val="left"/>
    </w:lvl>
    <w:lvl w:ilvl="5" w:tplc="6F3CE5BA">
      <w:numFmt w:val="decimal"/>
      <w:lvlText w:val=""/>
      <w:lvlJc w:val="left"/>
    </w:lvl>
    <w:lvl w:ilvl="6" w:tplc="99A2711C">
      <w:numFmt w:val="decimal"/>
      <w:lvlText w:val=""/>
      <w:lvlJc w:val="left"/>
    </w:lvl>
    <w:lvl w:ilvl="7" w:tplc="B8A625F8">
      <w:numFmt w:val="decimal"/>
      <w:lvlText w:val=""/>
      <w:lvlJc w:val="left"/>
    </w:lvl>
    <w:lvl w:ilvl="8" w:tplc="E4B4482C">
      <w:numFmt w:val="decimal"/>
      <w:lvlText w:val=""/>
      <w:lvlJc w:val="left"/>
    </w:lvl>
  </w:abstractNum>
  <w:abstractNum w:abstractNumId="419" w15:restartNumberingAfterBreak="0">
    <w:nsid w:val="1FCD3946"/>
    <w:multiLevelType w:val="hybridMultilevel"/>
    <w:tmpl w:val="C4A2FB70"/>
    <w:lvl w:ilvl="0" w:tplc="BBF41796">
      <w:numFmt w:val="decimal"/>
      <w:lvlText w:val=""/>
      <w:lvlJc w:val="left"/>
    </w:lvl>
    <w:lvl w:ilvl="1" w:tplc="39AAC1C4">
      <w:start w:val="1"/>
      <w:numFmt w:val="bullet"/>
      <w:lvlText w:val=""/>
      <w:lvlJc w:val="left"/>
      <w:pPr>
        <w:ind w:left="1440" w:hanging="180"/>
      </w:pPr>
      <w:rPr>
        <w:rFonts w:ascii="Symbol" w:hAnsi="Symbol" w:hint="default"/>
      </w:rPr>
    </w:lvl>
    <w:lvl w:ilvl="2" w:tplc="FB72D520">
      <w:numFmt w:val="decimal"/>
      <w:lvlText w:val=""/>
      <w:lvlJc w:val="left"/>
    </w:lvl>
    <w:lvl w:ilvl="3" w:tplc="BD5AA708">
      <w:numFmt w:val="decimal"/>
      <w:lvlText w:val=""/>
      <w:lvlJc w:val="left"/>
    </w:lvl>
    <w:lvl w:ilvl="4" w:tplc="7D78C364">
      <w:numFmt w:val="decimal"/>
      <w:lvlText w:val=""/>
      <w:lvlJc w:val="left"/>
    </w:lvl>
    <w:lvl w:ilvl="5" w:tplc="684A6CC4">
      <w:numFmt w:val="decimal"/>
      <w:lvlText w:val=""/>
      <w:lvlJc w:val="left"/>
    </w:lvl>
    <w:lvl w:ilvl="6" w:tplc="25EC2F1A">
      <w:numFmt w:val="decimal"/>
      <w:lvlText w:val=""/>
      <w:lvlJc w:val="left"/>
    </w:lvl>
    <w:lvl w:ilvl="7" w:tplc="60EEF7C6">
      <w:numFmt w:val="decimal"/>
      <w:lvlText w:val=""/>
      <w:lvlJc w:val="left"/>
    </w:lvl>
    <w:lvl w:ilvl="8" w:tplc="0A826014">
      <w:numFmt w:val="decimal"/>
      <w:lvlText w:val=""/>
      <w:lvlJc w:val="left"/>
    </w:lvl>
  </w:abstractNum>
  <w:abstractNum w:abstractNumId="420" w15:restartNumberingAfterBreak="0">
    <w:nsid w:val="1FD01DF6"/>
    <w:multiLevelType w:val="hybridMultilevel"/>
    <w:tmpl w:val="2048D916"/>
    <w:lvl w:ilvl="0" w:tplc="B1DA75BC">
      <w:start w:val="1"/>
      <w:numFmt w:val="bullet"/>
      <w:lvlText w:val=""/>
      <w:lvlJc w:val="left"/>
      <w:pPr>
        <w:ind w:left="720" w:hanging="180"/>
      </w:pPr>
      <w:rPr>
        <w:rFonts w:ascii="Symbol" w:hAnsi="Symbol" w:hint="default"/>
      </w:rPr>
    </w:lvl>
    <w:lvl w:ilvl="1" w:tplc="2F982ED2">
      <w:numFmt w:val="decimal"/>
      <w:lvlText w:val=""/>
      <w:lvlJc w:val="left"/>
    </w:lvl>
    <w:lvl w:ilvl="2" w:tplc="AAEA7B76">
      <w:numFmt w:val="decimal"/>
      <w:lvlText w:val=""/>
      <w:lvlJc w:val="left"/>
    </w:lvl>
    <w:lvl w:ilvl="3" w:tplc="D59C571C">
      <w:numFmt w:val="decimal"/>
      <w:lvlText w:val=""/>
      <w:lvlJc w:val="left"/>
    </w:lvl>
    <w:lvl w:ilvl="4" w:tplc="3F26269C">
      <w:numFmt w:val="decimal"/>
      <w:lvlText w:val=""/>
      <w:lvlJc w:val="left"/>
    </w:lvl>
    <w:lvl w:ilvl="5" w:tplc="79A06180">
      <w:numFmt w:val="decimal"/>
      <w:lvlText w:val=""/>
      <w:lvlJc w:val="left"/>
    </w:lvl>
    <w:lvl w:ilvl="6" w:tplc="F418FF10">
      <w:numFmt w:val="decimal"/>
      <w:lvlText w:val=""/>
      <w:lvlJc w:val="left"/>
    </w:lvl>
    <w:lvl w:ilvl="7" w:tplc="D278BB1A">
      <w:numFmt w:val="decimal"/>
      <w:lvlText w:val=""/>
      <w:lvlJc w:val="left"/>
    </w:lvl>
    <w:lvl w:ilvl="8" w:tplc="6F4AD346">
      <w:numFmt w:val="decimal"/>
      <w:lvlText w:val=""/>
      <w:lvlJc w:val="left"/>
    </w:lvl>
  </w:abstractNum>
  <w:abstractNum w:abstractNumId="421" w15:restartNumberingAfterBreak="0">
    <w:nsid w:val="1FDE300E"/>
    <w:multiLevelType w:val="hybridMultilevel"/>
    <w:tmpl w:val="90826F66"/>
    <w:lvl w:ilvl="0" w:tplc="387EC726">
      <w:start w:val="1"/>
      <w:numFmt w:val="bullet"/>
      <w:lvlText w:val=""/>
      <w:lvlJc w:val="left"/>
      <w:pPr>
        <w:ind w:left="720" w:hanging="180"/>
      </w:pPr>
      <w:rPr>
        <w:rFonts w:ascii="Symbol" w:hAnsi="Symbol" w:hint="default"/>
      </w:rPr>
    </w:lvl>
    <w:lvl w:ilvl="1" w:tplc="9976E08A">
      <w:numFmt w:val="decimal"/>
      <w:lvlText w:val=""/>
      <w:lvlJc w:val="left"/>
    </w:lvl>
    <w:lvl w:ilvl="2" w:tplc="B0C6418C">
      <w:numFmt w:val="decimal"/>
      <w:lvlText w:val=""/>
      <w:lvlJc w:val="left"/>
    </w:lvl>
    <w:lvl w:ilvl="3" w:tplc="0F4AFC48">
      <w:numFmt w:val="decimal"/>
      <w:lvlText w:val=""/>
      <w:lvlJc w:val="left"/>
    </w:lvl>
    <w:lvl w:ilvl="4" w:tplc="07A82FBA">
      <w:numFmt w:val="decimal"/>
      <w:lvlText w:val=""/>
      <w:lvlJc w:val="left"/>
    </w:lvl>
    <w:lvl w:ilvl="5" w:tplc="6EF63594">
      <w:numFmt w:val="decimal"/>
      <w:lvlText w:val=""/>
      <w:lvlJc w:val="left"/>
    </w:lvl>
    <w:lvl w:ilvl="6" w:tplc="C896D28C">
      <w:numFmt w:val="decimal"/>
      <w:lvlText w:val=""/>
      <w:lvlJc w:val="left"/>
    </w:lvl>
    <w:lvl w:ilvl="7" w:tplc="C7327ADA">
      <w:numFmt w:val="decimal"/>
      <w:lvlText w:val=""/>
      <w:lvlJc w:val="left"/>
    </w:lvl>
    <w:lvl w:ilvl="8" w:tplc="68A4E95A">
      <w:numFmt w:val="decimal"/>
      <w:lvlText w:val=""/>
      <w:lvlJc w:val="left"/>
    </w:lvl>
  </w:abstractNum>
  <w:abstractNum w:abstractNumId="422" w15:restartNumberingAfterBreak="0">
    <w:nsid w:val="1FE00476"/>
    <w:multiLevelType w:val="hybridMultilevel"/>
    <w:tmpl w:val="A1B62B2A"/>
    <w:lvl w:ilvl="0" w:tplc="3C480B4A">
      <w:start w:val="1"/>
      <w:numFmt w:val="bullet"/>
      <w:lvlText w:val=""/>
      <w:lvlJc w:val="left"/>
      <w:pPr>
        <w:ind w:left="720" w:hanging="180"/>
      </w:pPr>
      <w:rPr>
        <w:rFonts w:ascii="Symbol" w:hAnsi="Symbol" w:hint="default"/>
      </w:rPr>
    </w:lvl>
    <w:lvl w:ilvl="1" w:tplc="84924F02">
      <w:numFmt w:val="decimal"/>
      <w:lvlText w:val=""/>
      <w:lvlJc w:val="left"/>
    </w:lvl>
    <w:lvl w:ilvl="2" w:tplc="6BAE8C6E">
      <w:numFmt w:val="decimal"/>
      <w:lvlText w:val=""/>
      <w:lvlJc w:val="left"/>
    </w:lvl>
    <w:lvl w:ilvl="3" w:tplc="CD5826BE">
      <w:numFmt w:val="decimal"/>
      <w:lvlText w:val=""/>
      <w:lvlJc w:val="left"/>
    </w:lvl>
    <w:lvl w:ilvl="4" w:tplc="C51E863A">
      <w:numFmt w:val="decimal"/>
      <w:lvlText w:val=""/>
      <w:lvlJc w:val="left"/>
    </w:lvl>
    <w:lvl w:ilvl="5" w:tplc="FE5A7C4E">
      <w:numFmt w:val="decimal"/>
      <w:lvlText w:val=""/>
      <w:lvlJc w:val="left"/>
    </w:lvl>
    <w:lvl w:ilvl="6" w:tplc="1EE6BE8A">
      <w:numFmt w:val="decimal"/>
      <w:lvlText w:val=""/>
      <w:lvlJc w:val="left"/>
    </w:lvl>
    <w:lvl w:ilvl="7" w:tplc="5DFACDD2">
      <w:numFmt w:val="decimal"/>
      <w:lvlText w:val=""/>
      <w:lvlJc w:val="left"/>
    </w:lvl>
    <w:lvl w:ilvl="8" w:tplc="886C2428">
      <w:numFmt w:val="decimal"/>
      <w:lvlText w:val=""/>
      <w:lvlJc w:val="left"/>
    </w:lvl>
  </w:abstractNum>
  <w:abstractNum w:abstractNumId="423" w15:restartNumberingAfterBreak="0">
    <w:nsid w:val="1FEE2400"/>
    <w:multiLevelType w:val="hybridMultilevel"/>
    <w:tmpl w:val="881650D6"/>
    <w:lvl w:ilvl="0" w:tplc="9F04C80C">
      <w:start w:val="1"/>
      <w:numFmt w:val="bullet"/>
      <w:lvlText w:val=""/>
      <w:lvlJc w:val="left"/>
      <w:pPr>
        <w:ind w:left="720" w:hanging="180"/>
      </w:pPr>
      <w:rPr>
        <w:rFonts w:ascii="Symbol" w:hAnsi="Symbol" w:hint="default"/>
      </w:rPr>
    </w:lvl>
    <w:lvl w:ilvl="1" w:tplc="1B04AD32">
      <w:numFmt w:val="decimal"/>
      <w:lvlText w:val=""/>
      <w:lvlJc w:val="left"/>
    </w:lvl>
    <w:lvl w:ilvl="2" w:tplc="FFDE7F24">
      <w:numFmt w:val="decimal"/>
      <w:lvlText w:val=""/>
      <w:lvlJc w:val="left"/>
    </w:lvl>
    <w:lvl w:ilvl="3" w:tplc="181093DC">
      <w:numFmt w:val="decimal"/>
      <w:lvlText w:val=""/>
      <w:lvlJc w:val="left"/>
    </w:lvl>
    <w:lvl w:ilvl="4" w:tplc="C2EA08C0">
      <w:numFmt w:val="decimal"/>
      <w:lvlText w:val=""/>
      <w:lvlJc w:val="left"/>
    </w:lvl>
    <w:lvl w:ilvl="5" w:tplc="F7644748">
      <w:numFmt w:val="decimal"/>
      <w:lvlText w:val=""/>
      <w:lvlJc w:val="left"/>
    </w:lvl>
    <w:lvl w:ilvl="6" w:tplc="E83268D6">
      <w:numFmt w:val="decimal"/>
      <w:lvlText w:val=""/>
      <w:lvlJc w:val="left"/>
    </w:lvl>
    <w:lvl w:ilvl="7" w:tplc="62FCF090">
      <w:numFmt w:val="decimal"/>
      <w:lvlText w:val=""/>
      <w:lvlJc w:val="left"/>
    </w:lvl>
    <w:lvl w:ilvl="8" w:tplc="45A2CA0C">
      <w:numFmt w:val="decimal"/>
      <w:lvlText w:val=""/>
      <w:lvlJc w:val="left"/>
    </w:lvl>
  </w:abstractNum>
  <w:abstractNum w:abstractNumId="424" w15:restartNumberingAfterBreak="0">
    <w:nsid w:val="1FEE33CC"/>
    <w:multiLevelType w:val="hybridMultilevel"/>
    <w:tmpl w:val="8BAA8074"/>
    <w:lvl w:ilvl="0" w:tplc="64EA0222">
      <w:numFmt w:val="decimal"/>
      <w:lvlText w:val=""/>
      <w:lvlJc w:val="left"/>
    </w:lvl>
    <w:lvl w:ilvl="1" w:tplc="42288422">
      <w:start w:val="1"/>
      <w:numFmt w:val="bullet"/>
      <w:lvlText w:val=""/>
      <w:lvlJc w:val="left"/>
      <w:pPr>
        <w:ind w:left="1440" w:hanging="180"/>
      </w:pPr>
      <w:rPr>
        <w:rFonts w:ascii="Symbol" w:hAnsi="Symbol" w:hint="default"/>
      </w:rPr>
    </w:lvl>
    <w:lvl w:ilvl="2" w:tplc="717C02E2">
      <w:numFmt w:val="decimal"/>
      <w:lvlText w:val=""/>
      <w:lvlJc w:val="left"/>
    </w:lvl>
    <w:lvl w:ilvl="3" w:tplc="E8D26538">
      <w:numFmt w:val="decimal"/>
      <w:lvlText w:val=""/>
      <w:lvlJc w:val="left"/>
    </w:lvl>
    <w:lvl w:ilvl="4" w:tplc="6A68B6BC">
      <w:numFmt w:val="decimal"/>
      <w:lvlText w:val=""/>
      <w:lvlJc w:val="left"/>
    </w:lvl>
    <w:lvl w:ilvl="5" w:tplc="EA9E59BE">
      <w:numFmt w:val="decimal"/>
      <w:lvlText w:val=""/>
      <w:lvlJc w:val="left"/>
    </w:lvl>
    <w:lvl w:ilvl="6" w:tplc="202C9638">
      <w:numFmt w:val="decimal"/>
      <w:lvlText w:val=""/>
      <w:lvlJc w:val="left"/>
    </w:lvl>
    <w:lvl w:ilvl="7" w:tplc="5C7A2574">
      <w:numFmt w:val="decimal"/>
      <w:lvlText w:val=""/>
      <w:lvlJc w:val="left"/>
    </w:lvl>
    <w:lvl w:ilvl="8" w:tplc="34CAA392">
      <w:numFmt w:val="decimal"/>
      <w:lvlText w:val=""/>
      <w:lvlJc w:val="left"/>
    </w:lvl>
  </w:abstractNum>
  <w:abstractNum w:abstractNumId="425" w15:restartNumberingAfterBreak="0">
    <w:nsid w:val="20047BFA"/>
    <w:multiLevelType w:val="hybridMultilevel"/>
    <w:tmpl w:val="0E924AD8"/>
    <w:lvl w:ilvl="0" w:tplc="9582403C">
      <w:start w:val="1"/>
      <w:numFmt w:val="bullet"/>
      <w:lvlText w:val=""/>
      <w:lvlJc w:val="left"/>
      <w:pPr>
        <w:ind w:left="720" w:hanging="180"/>
      </w:pPr>
      <w:rPr>
        <w:rFonts w:ascii="Symbol" w:hAnsi="Symbol" w:hint="default"/>
      </w:rPr>
    </w:lvl>
    <w:lvl w:ilvl="1" w:tplc="9FEEE27A">
      <w:numFmt w:val="decimal"/>
      <w:lvlText w:val=""/>
      <w:lvlJc w:val="left"/>
    </w:lvl>
    <w:lvl w:ilvl="2" w:tplc="1428A9A8">
      <w:numFmt w:val="decimal"/>
      <w:lvlText w:val=""/>
      <w:lvlJc w:val="left"/>
    </w:lvl>
    <w:lvl w:ilvl="3" w:tplc="1A50B02C">
      <w:numFmt w:val="decimal"/>
      <w:lvlText w:val=""/>
      <w:lvlJc w:val="left"/>
    </w:lvl>
    <w:lvl w:ilvl="4" w:tplc="1DA21BE6">
      <w:numFmt w:val="decimal"/>
      <w:lvlText w:val=""/>
      <w:lvlJc w:val="left"/>
    </w:lvl>
    <w:lvl w:ilvl="5" w:tplc="A87E5DB2">
      <w:numFmt w:val="decimal"/>
      <w:lvlText w:val=""/>
      <w:lvlJc w:val="left"/>
    </w:lvl>
    <w:lvl w:ilvl="6" w:tplc="E82A4C04">
      <w:numFmt w:val="decimal"/>
      <w:lvlText w:val=""/>
      <w:lvlJc w:val="left"/>
    </w:lvl>
    <w:lvl w:ilvl="7" w:tplc="AEF80D2C">
      <w:numFmt w:val="decimal"/>
      <w:lvlText w:val=""/>
      <w:lvlJc w:val="left"/>
    </w:lvl>
    <w:lvl w:ilvl="8" w:tplc="C6344616">
      <w:numFmt w:val="decimal"/>
      <w:lvlText w:val=""/>
      <w:lvlJc w:val="left"/>
    </w:lvl>
  </w:abstractNum>
  <w:abstractNum w:abstractNumId="426" w15:restartNumberingAfterBreak="0">
    <w:nsid w:val="200B0BB8"/>
    <w:multiLevelType w:val="hybridMultilevel"/>
    <w:tmpl w:val="832E0120"/>
    <w:lvl w:ilvl="0" w:tplc="98AEC4CA">
      <w:numFmt w:val="decimal"/>
      <w:lvlText w:val=""/>
      <w:lvlJc w:val="left"/>
    </w:lvl>
    <w:lvl w:ilvl="1" w:tplc="2EF4C8F6">
      <w:start w:val="1"/>
      <w:numFmt w:val="bullet"/>
      <w:lvlText w:val=""/>
      <w:lvlJc w:val="left"/>
      <w:pPr>
        <w:ind w:left="1440" w:hanging="180"/>
      </w:pPr>
      <w:rPr>
        <w:rFonts w:ascii="Symbol" w:hAnsi="Symbol" w:hint="default"/>
      </w:rPr>
    </w:lvl>
    <w:lvl w:ilvl="2" w:tplc="1646D8A4">
      <w:numFmt w:val="decimal"/>
      <w:lvlText w:val=""/>
      <w:lvlJc w:val="left"/>
    </w:lvl>
    <w:lvl w:ilvl="3" w:tplc="83FE403A">
      <w:numFmt w:val="decimal"/>
      <w:lvlText w:val=""/>
      <w:lvlJc w:val="left"/>
    </w:lvl>
    <w:lvl w:ilvl="4" w:tplc="3B9C5CCA">
      <w:numFmt w:val="decimal"/>
      <w:lvlText w:val=""/>
      <w:lvlJc w:val="left"/>
    </w:lvl>
    <w:lvl w:ilvl="5" w:tplc="3A1463AC">
      <w:numFmt w:val="decimal"/>
      <w:lvlText w:val=""/>
      <w:lvlJc w:val="left"/>
    </w:lvl>
    <w:lvl w:ilvl="6" w:tplc="4A2AA730">
      <w:numFmt w:val="decimal"/>
      <w:lvlText w:val=""/>
      <w:lvlJc w:val="left"/>
    </w:lvl>
    <w:lvl w:ilvl="7" w:tplc="4AB09F0A">
      <w:numFmt w:val="decimal"/>
      <w:lvlText w:val=""/>
      <w:lvlJc w:val="left"/>
    </w:lvl>
    <w:lvl w:ilvl="8" w:tplc="BC685E9A">
      <w:numFmt w:val="decimal"/>
      <w:lvlText w:val=""/>
      <w:lvlJc w:val="left"/>
    </w:lvl>
  </w:abstractNum>
  <w:abstractNum w:abstractNumId="427" w15:restartNumberingAfterBreak="0">
    <w:nsid w:val="203B26DD"/>
    <w:multiLevelType w:val="hybridMultilevel"/>
    <w:tmpl w:val="288E19DE"/>
    <w:lvl w:ilvl="0" w:tplc="A7A28DF4">
      <w:start w:val="1"/>
      <w:numFmt w:val="bullet"/>
      <w:lvlText w:val=""/>
      <w:lvlJc w:val="left"/>
      <w:pPr>
        <w:ind w:left="720" w:hanging="180"/>
      </w:pPr>
      <w:rPr>
        <w:rFonts w:ascii="Symbol" w:hAnsi="Symbol" w:hint="default"/>
      </w:rPr>
    </w:lvl>
    <w:lvl w:ilvl="1" w:tplc="524203AA">
      <w:numFmt w:val="decimal"/>
      <w:lvlText w:val=""/>
      <w:lvlJc w:val="left"/>
    </w:lvl>
    <w:lvl w:ilvl="2" w:tplc="055C1DD6">
      <w:numFmt w:val="decimal"/>
      <w:lvlText w:val=""/>
      <w:lvlJc w:val="left"/>
    </w:lvl>
    <w:lvl w:ilvl="3" w:tplc="F9F827E2">
      <w:numFmt w:val="decimal"/>
      <w:lvlText w:val=""/>
      <w:lvlJc w:val="left"/>
    </w:lvl>
    <w:lvl w:ilvl="4" w:tplc="86D40232">
      <w:numFmt w:val="decimal"/>
      <w:lvlText w:val=""/>
      <w:lvlJc w:val="left"/>
    </w:lvl>
    <w:lvl w:ilvl="5" w:tplc="7C60D4AC">
      <w:numFmt w:val="decimal"/>
      <w:lvlText w:val=""/>
      <w:lvlJc w:val="left"/>
    </w:lvl>
    <w:lvl w:ilvl="6" w:tplc="7E944FFE">
      <w:numFmt w:val="decimal"/>
      <w:lvlText w:val=""/>
      <w:lvlJc w:val="left"/>
    </w:lvl>
    <w:lvl w:ilvl="7" w:tplc="2004B38E">
      <w:numFmt w:val="decimal"/>
      <w:lvlText w:val=""/>
      <w:lvlJc w:val="left"/>
    </w:lvl>
    <w:lvl w:ilvl="8" w:tplc="CC6E4F60">
      <w:numFmt w:val="decimal"/>
      <w:lvlText w:val=""/>
      <w:lvlJc w:val="left"/>
    </w:lvl>
  </w:abstractNum>
  <w:abstractNum w:abstractNumId="428" w15:restartNumberingAfterBreak="0">
    <w:nsid w:val="20407BD2"/>
    <w:multiLevelType w:val="hybridMultilevel"/>
    <w:tmpl w:val="F6F23078"/>
    <w:lvl w:ilvl="0" w:tplc="CEFE85DE">
      <w:start w:val="1"/>
      <w:numFmt w:val="bullet"/>
      <w:lvlText w:val=""/>
      <w:lvlJc w:val="left"/>
      <w:pPr>
        <w:ind w:left="720" w:hanging="180"/>
      </w:pPr>
      <w:rPr>
        <w:rFonts w:ascii="Symbol" w:hAnsi="Symbol" w:hint="default"/>
      </w:rPr>
    </w:lvl>
    <w:lvl w:ilvl="1" w:tplc="123E33D8">
      <w:numFmt w:val="decimal"/>
      <w:lvlText w:val=""/>
      <w:lvlJc w:val="left"/>
    </w:lvl>
    <w:lvl w:ilvl="2" w:tplc="57643074">
      <w:numFmt w:val="decimal"/>
      <w:lvlText w:val=""/>
      <w:lvlJc w:val="left"/>
    </w:lvl>
    <w:lvl w:ilvl="3" w:tplc="504866B0">
      <w:numFmt w:val="decimal"/>
      <w:lvlText w:val=""/>
      <w:lvlJc w:val="left"/>
    </w:lvl>
    <w:lvl w:ilvl="4" w:tplc="CB9A4EFC">
      <w:numFmt w:val="decimal"/>
      <w:lvlText w:val=""/>
      <w:lvlJc w:val="left"/>
    </w:lvl>
    <w:lvl w:ilvl="5" w:tplc="7D9EA066">
      <w:numFmt w:val="decimal"/>
      <w:lvlText w:val=""/>
      <w:lvlJc w:val="left"/>
    </w:lvl>
    <w:lvl w:ilvl="6" w:tplc="D650539E">
      <w:numFmt w:val="decimal"/>
      <w:lvlText w:val=""/>
      <w:lvlJc w:val="left"/>
    </w:lvl>
    <w:lvl w:ilvl="7" w:tplc="26F882F6">
      <w:numFmt w:val="decimal"/>
      <w:lvlText w:val=""/>
      <w:lvlJc w:val="left"/>
    </w:lvl>
    <w:lvl w:ilvl="8" w:tplc="A7EA4AA4">
      <w:numFmt w:val="decimal"/>
      <w:lvlText w:val=""/>
      <w:lvlJc w:val="left"/>
    </w:lvl>
  </w:abstractNum>
  <w:abstractNum w:abstractNumId="429" w15:restartNumberingAfterBreak="0">
    <w:nsid w:val="20687C7B"/>
    <w:multiLevelType w:val="hybridMultilevel"/>
    <w:tmpl w:val="866673C8"/>
    <w:lvl w:ilvl="0" w:tplc="3BF2FEF8">
      <w:start w:val="1"/>
      <w:numFmt w:val="bullet"/>
      <w:lvlText w:val=""/>
      <w:lvlJc w:val="left"/>
      <w:pPr>
        <w:ind w:left="720" w:hanging="180"/>
      </w:pPr>
      <w:rPr>
        <w:rFonts w:ascii="Symbol" w:hAnsi="Symbol" w:hint="default"/>
      </w:rPr>
    </w:lvl>
    <w:lvl w:ilvl="1" w:tplc="24EE2B6A">
      <w:numFmt w:val="decimal"/>
      <w:lvlText w:val=""/>
      <w:lvlJc w:val="left"/>
    </w:lvl>
    <w:lvl w:ilvl="2" w:tplc="FD4CE8E4">
      <w:numFmt w:val="decimal"/>
      <w:lvlText w:val=""/>
      <w:lvlJc w:val="left"/>
    </w:lvl>
    <w:lvl w:ilvl="3" w:tplc="20AE2C8E">
      <w:numFmt w:val="decimal"/>
      <w:lvlText w:val=""/>
      <w:lvlJc w:val="left"/>
    </w:lvl>
    <w:lvl w:ilvl="4" w:tplc="B69E42BE">
      <w:numFmt w:val="decimal"/>
      <w:lvlText w:val=""/>
      <w:lvlJc w:val="left"/>
    </w:lvl>
    <w:lvl w:ilvl="5" w:tplc="F482AC06">
      <w:numFmt w:val="decimal"/>
      <w:lvlText w:val=""/>
      <w:lvlJc w:val="left"/>
    </w:lvl>
    <w:lvl w:ilvl="6" w:tplc="F12CA74C">
      <w:numFmt w:val="decimal"/>
      <w:lvlText w:val=""/>
      <w:lvlJc w:val="left"/>
    </w:lvl>
    <w:lvl w:ilvl="7" w:tplc="80106DDE">
      <w:numFmt w:val="decimal"/>
      <w:lvlText w:val=""/>
      <w:lvlJc w:val="left"/>
    </w:lvl>
    <w:lvl w:ilvl="8" w:tplc="7DD4BD28">
      <w:numFmt w:val="decimal"/>
      <w:lvlText w:val=""/>
      <w:lvlJc w:val="left"/>
    </w:lvl>
  </w:abstractNum>
  <w:abstractNum w:abstractNumId="430" w15:restartNumberingAfterBreak="0">
    <w:nsid w:val="208A75F2"/>
    <w:multiLevelType w:val="hybridMultilevel"/>
    <w:tmpl w:val="06E0173E"/>
    <w:lvl w:ilvl="0" w:tplc="25A449B8">
      <w:start w:val="1"/>
      <w:numFmt w:val="bullet"/>
      <w:lvlText w:val=""/>
      <w:lvlJc w:val="left"/>
      <w:pPr>
        <w:ind w:left="720" w:hanging="180"/>
      </w:pPr>
      <w:rPr>
        <w:rFonts w:ascii="Symbol" w:hAnsi="Symbol" w:hint="default"/>
      </w:rPr>
    </w:lvl>
    <w:lvl w:ilvl="1" w:tplc="8CD68FC8">
      <w:numFmt w:val="decimal"/>
      <w:lvlText w:val=""/>
      <w:lvlJc w:val="left"/>
    </w:lvl>
    <w:lvl w:ilvl="2" w:tplc="854AC610">
      <w:numFmt w:val="decimal"/>
      <w:lvlText w:val=""/>
      <w:lvlJc w:val="left"/>
    </w:lvl>
    <w:lvl w:ilvl="3" w:tplc="08F293D2">
      <w:numFmt w:val="decimal"/>
      <w:lvlText w:val=""/>
      <w:lvlJc w:val="left"/>
    </w:lvl>
    <w:lvl w:ilvl="4" w:tplc="49D4DD2C">
      <w:numFmt w:val="decimal"/>
      <w:lvlText w:val=""/>
      <w:lvlJc w:val="left"/>
    </w:lvl>
    <w:lvl w:ilvl="5" w:tplc="780CDBC6">
      <w:numFmt w:val="decimal"/>
      <w:lvlText w:val=""/>
      <w:lvlJc w:val="left"/>
    </w:lvl>
    <w:lvl w:ilvl="6" w:tplc="CC5EED86">
      <w:numFmt w:val="decimal"/>
      <w:lvlText w:val=""/>
      <w:lvlJc w:val="left"/>
    </w:lvl>
    <w:lvl w:ilvl="7" w:tplc="BA6656FC">
      <w:numFmt w:val="decimal"/>
      <w:lvlText w:val=""/>
      <w:lvlJc w:val="left"/>
    </w:lvl>
    <w:lvl w:ilvl="8" w:tplc="626A0F06">
      <w:numFmt w:val="decimal"/>
      <w:lvlText w:val=""/>
      <w:lvlJc w:val="left"/>
    </w:lvl>
  </w:abstractNum>
  <w:abstractNum w:abstractNumId="431" w15:restartNumberingAfterBreak="0">
    <w:nsid w:val="20995329"/>
    <w:multiLevelType w:val="hybridMultilevel"/>
    <w:tmpl w:val="2C448F34"/>
    <w:lvl w:ilvl="0" w:tplc="51405B9C">
      <w:start w:val="1"/>
      <w:numFmt w:val="bullet"/>
      <w:lvlText w:val=""/>
      <w:lvlJc w:val="left"/>
      <w:pPr>
        <w:ind w:left="720" w:hanging="180"/>
      </w:pPr>
      <w:rPr>
        <w:rFonts w:ascii="Symbol" w:hAnsi="Symbol" w:hint="default"/>
      </w:rPr>
    </w:lvl>
    <w:lvl w:ilvl="1" w:tplc="F50ED7C2">
      <w:numFmt w:val="decimal"/>
      <w:lvlText w:val=""/>
      <w:lvlJc w:val="left"/>
    </w:lvl>
    <w:lvl w:ilvl="2" w:tplc="C65A0F9C">
      <w:numFmt w:val="decimal"/>
      <w:lvlText w:val=""/>
      <w:lvlJc w:val="left"/>
    </w:lvl>
    <w:lvl w:ilvl="3" w:tplc="1256AF0C">
      <w:numFmt w:val="decimal"/>
      <w:lvlText w:val=""/>
      <w:lvlJc w:val="left"/>
    </w:lvl>
    <w:lvl w:ilvl="4" w:tplc="0B1ED49C">
      <w:numFmt w:val="decimal"/>
      <w:lvlText w:val=""/>
      <w:lvlJc w:val="left"/>
    </w:lvl>
    <w:lvl w:ilvl="5" w:tplc="E89E8FC8">
      <w:numFmt w:val="decimal"/>
      <w:lvlText w:val=""/>
      <w:lvlJc w:val="left"/>
    </w:lvl>
    <w:lvl w:ilvl="6" w:tplc="67EC3162">
      <w:numFmt w:val="decimal"/>
      <w:lvlText w:val=""/>
      <w:lvlJc w:val="left"/>
    </w:lvl>
    <w:lvl w:ilvl="7" w:tplc="CA9EB958">
      <w:numFmt w:val="decimal"/>
      <w:lvlText w:val=""/>
      <w:lvlJc w:val="left"/>
    </w:lvl>
    <w:lvl w:ilvl="8" w:tplc="0D0257EC">
      <w:numFmt w:val="decimal"/>
      <w:lvlText w:val=""/>
      <w:lvlJc w:val="left"/>
    </w:lvl>
  </w:abstractNum>
  <w:abstractNum w:abstractNumId="432" w15:restartNumberingAfterBreak="0">
    <w:nsid w:val="20BE45B9"/>
    <w:multiLevelType w:val="hybridMultilevel"/>
    <w:tmpl w:val="F67C7BC2"/>
    <w:lvl w:ilvl="0" w:tplc="42981DC4">
      <w:numFmt w:val="decimal"/>
      <w:lvlText w:val=""/>
      <w:lvlJc w:val="left"/>
    </w:lvl>
    <w:lvl w:ilvl="1" w:tplc="43F8DEE6">
      <w:start w:val="1"/>
      <w:numFmt w:val="bullet"/>
      <w:lvlText w:val=""/>
      <w:lvlJc w:val="left"/>
      <w:pPr>
        <w:ind w:left="1440" w:hanging="180"/>
      </w:pPr>
      <w:rPr>
        <w:rFonts w:ascii="Symbol" w:hAnsi="Symbol" w:hint="default"/>
      </w:rPr>
    </w:lvl>
    <w:lvl w:ilvl="2" w:tplc="AF6C51BA">
      <w:numFmt w:val="decimal"/>
      <w:lvlText w:val=""/>
      <w:lvlJc w:val="left"/>
    </w:lvl>
    <w:lvl w:ilvl="3" w:tplc="E74265DE">
      <w:numFmt w:val="decimal"/>
      <w:lvlText w:val=""/>
      <w:lvlJc w:val="left"/>
    </w:lvl>
    <w:lvl w:ilvl="4" w:tplc="5B60DC94">
      <w:numFmt w:val="decimal"/>
      <w:lvlText w:val=""/>
      <w:lvlJc w:val="left"/>
    </w:lvl>
    <w:lvl w:ilvl="5" w:tplc="D70A22DE">
      <w:numFmt w:val="decimal"/>
      <w:lvlText w:val=""/>
      <w:lvlJc w:val="left"/>
    </w:lvl>
    <w:lvl w:ilvl="6" w:tplc="EF2C314E">
      <w:numFmt w:val="decimal"/>
      <w:lvlText w:val=""/>
      <w:lvlJc w:val="left"/>
    </w:lvl>
    <w:lvl w:ilvl="7" w:tplc="F0FCAE58">
      <w:numFmt w:val="decimal"/>
      <w:lvlText w:val=""/>
      <w:lvlJc w:val="left"/>
    </w:lvl>
    <w:lvl w:ilvl="8" w:tplc="D494D616">
      <w:numFmt w:val="decimal"/>
      <w:lvlText w:val=""/>
      <w:lvlJc w:val="left"/>
    </w:lvl>
  </w:abstractNum>
  <w:abstractNum w:abstractNumId="433" w15:restartNumberingAfterBreak="0">
    <w:nsid w:val="20D4148E"/>
    <w:multiLevelType w:val="hybridMultilevel"/>
    <w:tmpl w:val="72FEE3AE"/>
    <w:lvl w:ilvl="0" w:tplc="44E68978">
      <w:start w:val="1"/>
      <w:numFmt w:val="bullet"/>
      <w:lvlText w:val=""/>
      <w:lvlJc w:val="left"/>
      <w:pPr>
        <w:ind w:left="720" w:hanging="180"/>
      </w:pPr>
      <w:rPr>
        <w:rFonts w:ascii="Symbol" w:hAnsi="Symbol" w:hint="default"/>
      </w:rPr>
    </w:lvl>
    <w:lvl w:ilvl="1" w:tplc="4196ADF0">
      <w:numFmt w:val="decimal"/>
      <w:lvlText w:val=""/>
      <w:lvlJc w:val="left"/>
    </w:lvl>
    <w:lvl w:ilvl="2" w:tplc="871E3258">
      <w:numFmt w:val="decimal"/>
      <w:lvlText w:val=""/>
      <w:lvlJc w:val="left"/>
    </w:lvl>
    <w:lvl w:ilvl="3" w:tplc="C9D20B54">
      <w:numFmt w:val="decimal"/>
      <w:lvlText w:val=""/>
      <w:lvlJc w:val="left"/>
    </w:lvl>
    <w:lvl w:ilvl="4" w:tplc="DB2013F6">
      <w:numFmt w:val="decimal"/>
      <w:lvlText w:val=""/>
      <w:lvlJc w:val="left"/>
    </w:lvl>
    <w:lvl w:ilvl="5" w:tplc="1BD6445A">
      <w:numFmt w:val="decimal"/>
      <w:lvlText w:val=""/>
      <w:lvlJc w:val="left"/>
    </w:lvl>
    <w:lvl w:ilvl="6" w:tplc="82A6AB94">
      <w:numFmt w:val="decimal"/>
      <w:lvlText w:val=""/>
      <w:lvlJc w:val="left"/>
    </w:lvl>
    <w:lvl w:ilvl="7" w:tplc="00922DC0">
      <w:numFmt w:val="decimal"/>
      <w:lvlText w:val=""/>
      <w:lvlJc w:val="left"/>
    </w:lvl>
    <w:lvl w:ilvl="8" w:tplc="95427544">
      <w:numFmt w:val="decimal"/>
      <w:lvlText w:val=""/>
      <w:lvlJc w:val="left"/>
    </w:lvl>
  </w:abstractNum>
  <w:abstractNum w:abstractNumId="434" w15:restartNumberingAfterBreak="0">
    <w:nsid w:val="20E64F2E"/>
    <w:multiLevelType w:val="hybridMultilevel"/>
    <w:tmpl w:val="C3345C4C"/>
    <w:lvl w:ilvl="0" w:tplc="63D2C350">
      <w:start w:val="1"/>
      <w:numFmt w:val="bullet"/>
      <w:lvlText w:val=""/>
      <w:lvlJc w:val="left"/>
      <w:pPr>
        <w:ind w:left="720" w:hanging="180"/>
      </w:pPr>
      <w:rPr>
        <w:rFonts w:ascii="Symbol" w:hAnsi="Symbol" w:hint="default"/>
      </w:rPr>
    </w:lvl>
    <w:lvl w:ilvl="1" w:tplc="71BCC376">
      <w:numFmt w:val="decimal"/>
      <w:lvlText w:val=""/>
      <w:lvlJc w:val="left"/>
    </w:lvl>
    <w:lvl w:ilvl="2" w:tplc="3E862480">
      <w:numFmt w:val="decimal"/>
      <w:lvlText w:val=""/>
      <w:lvlJc w:val="left"/>
    </w:lvl>
    <w:lvl w:ilvl="3" w:tplc="BB7ACAD4">
      <w:numFmt w:val="decimal"/>
      <w:lvlText w:val=""/>
      <w:lvlJc w:val="left"/>
    </w:lvl>
    <w:lvl w:ilvl="4" w:tplc="A93041A6">
      <w:numFmt w:val="decimal"/>
      <w:lvlText w:val=""/>
      <w:lvlJc w:val="left"/>
    </w:lvl>
    <w:lvl w:ilvl="5" w:tplc="EA0671DA">
      <w:numFmt w:val="decimal"/>
      <w:lvlText w:val=""/>
      <w:lvlJc w:val="left"/>
    </w:lvl>
    <w:lvl w:ilvl="6" w:tplc="2BA48654">
      <w:numFmt w:val="decimal"/>
      <w:lvlText w:val=""/>
      <w:lvlJc w:val="left"/>
    </w:lvl>
    <w:lvl w:ilvl="7" w:tplc="E85CC38E">
      <w:numFmt w:val="decimal"/>
      <w:lvlText w:val=""/>
      <w:lvlJc w:val="left"/>
    </w:lvl>
    <w:lvl w:ilvl="8" w:tplc="C9044546">
      <w:numFmt w:val="decimal"/>
      <w:lvlText w:val=""/>
      <w:lvlJc w:val="left"/>
    </w:lvl>
  </w:abstractNum>
  <w:abstractNum w:abstractNumId="435" w15:restartNumberingAfterBreak="0">
    <w:nsid w:val="20EC331D"/>
    <w:multiLevelType w:val="hybridMultilevel"/>
    <w:tmpl w:val="5E56989C"/>
    <w:lvl w:ilvl="0" w:tplc="2D44173C">
      <w:start w:val="1"/>
      <w:numFmt w:val="bullet"/>
      <w:lvlText w:val=""/>
      <w:lvlJc w:val="left"/>
      <w:pPr>
        <w:ind w:left="720" w:hanging="180"/>
      </w:pPr>
      <w:rPr>
        <w:rFonts w:ascii="Symbol" w:hAnsi="Symbol" w:hint="default"/>
      </w:rPr>
    </w:lvl>
    <w:lvl w:ilvl="1" w:tplc="C71ACEDE">
      <w:numFmt w:val="decimal"/>
      <w:lvlText w:val=""/>
      <w:lvlJc w:val="left"/>
    </w:lvl>
    <w:lvl w:ilvl="2" w:tplc="AD40DB66">
      <w:numFmt w:val="decimal"/>
      <w:lvlText w:val=""/>
      <w:lvlJc w:val="left"/>
    </w:lvl>
    <w:lvl w:ilvl="3" w:tplc="6538ACF4">
      <w:numFmt w:val="decimal"/>
      <w:lvlText w:val=""/>
      <w:lvlJc w:val="left"/>
    </w:lvl>
    <w:lvl w:ilvl="4" w:tplc="9D18328E">
      <w:numFmt w:val="decimal"/>
      <w:lvlText w:val=""/>
      <w:lvlJc w:val="left"/>
    </w:lvl>
    <w:lvl w:ilvl="5" w:tplc="E5E4DEF0">
      <w:numFmt w:val="decimal"/>
      <w:lvlText w:val=""/>
      <w:lvlJc w:val="left"/>
    </w:lvl>
    <w:lvl w:ilvl="6" w:tplc="50648878">
      <w:numFmt w:val="decimal"/>
      <w:lvlText w:val=""/>
      <w:lvlJc w:val="left"/>
    </w:lvl>
    <w:lvl w:ilvl="7" w:tplc="06FA1CA0">
      <w:numFmt w:val="decimal"/>
      <w:lvlText w:val=""/>
      <w:lvlJc w:val="left"/>
    </w:lvl>
    <w:lvl w:ilvl="8" w:tplc="98A098D2">
      <w:numFmt w:val="decimal"/>
      <w:lvlText w:val=""/>
      <w:lvlJc w:val="left"/>
    </w:lvl>
  </w:abstractNum>
  <w:abstractNum w:abstractNumId="436" w15:restartNumberingAfterBreak="0">
    <w:nsid w:val="20F6295A"/>
    <w:multiLevelType w:val="hybridMultilevel"/>
    <w:tmpl w:val="164E0320"/>
    <w:lvl w:ilvl="0" w:tplc="2834D056">
      <w:start w:val="1"/>
      <w:numFmt w:val="bullet"/>
      <w:lvlText w:val=""/>
      <w:lvlJc w:val="left"/>
      <w:pPr>
        <w:ind w:left="720" w:hanging="180"/>
      </w:pPr>
      <w:rPr>
        <w:rFonts w:ascii="Symbol" w:hAnsi="Symbol" w:hint="default"/>
      </w:rPr>
    </w:lvl>
    <w:lvl w:ilvl="1" w:tplc="0DEED19E">
      <w:numFmt w:val="decimal"/>
      <w:lvlText w:val=""/>
      <w:lvlJc w:val="left"/>
    </w:lvl>
    <w:lvl w:ilvl="2" w:tplc="54D031FE">
      <w:numFmt w:val="decimal"/>
      <w:lvlText w:val=""/>
      <w:lvlJc w:val="left"/>
    </w:lvl>
    <w:lvl w:ilvl="3" w:tplc="5B6A7F4A">
      <w:numFmt w:val="decimal"/>
      <w:lvlText w:val=""/>
      <w:lvlJc w:val="left"/>
    </w:lvl>
    <w:lvl w:ilvl="4" w:tplc="E21A8808">
      <w:numFmt w:val="decimal"/>
      <w:lvlText w:val=""/>
      <w:lvlJc w:val="left"/>
    </w:lvl>
    <w:lvl w:ilvl="5" w:tplc="28C093A8">
      <w:numFmt w:val="decimal"/>
      <w:lvlText w:val=""/>
      <w:lvlJc w:val="left"/>
    </w:lvl>
    <w:lvl w:ilvl="6" w:tplc="1ED29F74">
      <w:numFmt w:val="decimal"/>
      <w:lvlText w:val=""/>
      <w:lvlJc w:val="left"/>
    </w:lvl>
    <w:lvl w:ilvl="7" w:tplc="9A82F446">
      <w:numFmt w:val="decimal"/>
      <w:lvlText w:val=""/>
      <w:lvlJc w:val="left"/>
    </w:lvl>
    <w:lvl w:ilvl="8" w:tplc="D88C0C8A">
      <w:numFmt w:val="decimal"/>
      <w:lvlText w:val=""/>
      <w:lvlJc w:val="left"/>
    </w:lvl>
  </w:abstractNum>
  <w:abstractNum w:abstractNumId="437" w15:restartNumberingAfterBreak="0">
    <w:nsid w:val="21335C55"/>
    <w:multiLevelType w:val="hybridMultilevel"/>
    <w:tmpl w:val="0AA81C80"/>
    <w:lvl w:ilvl="0" w:tplc="AB56AFF8">
      <w:start w:val="1"/>
      <w:numFmt w:val="bullet"/>
      <w:lvlText w:val=""/>
      <w:lvlJc w:val="left"/>
      <w:pPr>
        <w:ind w:left="720" w:hanging="180"/>
      </w:pPr>
      <w:rPr>
        <w:rFonts w:ascii="Symbol" w:hAnsi="Symbol" w:hint="default"/>
      </w:rPr>
    </w:lvl>
    <w:lvl w:ilvl="1" w:tplc="4E8CC982">
      <w:numFmt w:val="decimal"/>
      <w:lvlText w:val=""/>
      <w:lvlJc w:val="left"/>
    </w:lvl>
    <w:lvl w:ilvl="2" w:tplc="23D87B38">
      <w:numFmt w:val="decimal"/>
      <w:lvlText w:val=""/>
      <w:lvlJc w:val="left"/>
    </w:lvl>
    <w:lvl w:ilvl="3" w:tplc="7C5A01B6">
      <w:numFmt w:val="decimal"/>
      <w:lvlText w:val=""/>
      <w:lvlJc w:val="left"/>
    </w:lvl>
    <w:lvl w:ilvl="4" w:tplc="F7AC3FF8">
      <w:numFmt w:val="decimal"/>
      <w:lvlText w:val=""/>
      <w:lvlJc w:val="left"/>
    </w:lvl>
    <w:lvl w:ilvl="5" w:tplc="A252D22E">
      <w:numFmt w:val="decimal"/>
      <w:lvlText w:val=""/>
      <w:lvlJc w:val="left"/>
    </w:lvl>
    <w:lvl w:ilvl="6" w:tplc="BFF0DFEA">
      <w:numFmt w:val="decimal"/>
      <w:lvlText w:val=""/>
      <w:lvlJc w:val="left"/>
    </w:lvl>
    <w:lvl w:ilvl="7" w:tplc="C1F42C70">
      <w:numFmt w:val="decimal"/>
      <w:lvlText w:val=""/>
      <w:lvlJc w:val="left"/>
    </w:lvl>
    <w:lvl w:ilvl="8" w:tplc="313A0106">
      <w:numFmt w:val="decimal"/>
      <w:lvlText w:val=""/>
      <w:lvlJc w:val="left"/>
    </w:lvl>
  </w:abstractNum>
  <w:abstractNum w:abstractNumId="438" w15:restartNumberingAfterBreak="0">
    <w:nsid w:val="214B0156"/>
    <w:multiLevelType w:val="hybridMultilevel"/>
    <w:tmpl w:val="E482EBA0"/>
    <w:lvl w:ilvl="0" w:tplc="0EA8C496">
      <w:start w:val="1"/>
      <w:numFmt w:val="bullet"/>
      <w:lvlText w:val=""/>
      <w:lvlJc w:val="left"/>
      <w:pPr>
        <w:ind w:left="720" w:hanging="180"/>
      </w:pPr>
      <w:rPr>
        <w:rFonts w:ascii="Symbol" w:hAnsi="Symbol" w:hint="default"/>
      </w:rPr>
    </w:lvl>
    <w:lvl w:ilvl="1" w:tplc="544C78CA">
      <w:numFmt w:val="decimal"/>
      <w:lvlText w:val=""/>
      <w:lvlJc w:val="left"/>
    </w:lvl>
    <w:lvl w:ilvl="2" w:tplc="45F63D52">
      <w:numFmt w:val="decimal"/>
      <w:lvlText w:val=""/>
      <w:lvlJc w:val="left"/>
    </w:lvl>
    <w:lvl w:ilvl="3" w:tplc="D102E834">
      <w:numFmt w:val="decimal"/>
      <w:lvlText w:val=""/>
      <w:lvlJc w:val="left"/>
    </w:lvl>
    <w:lvl w:ilvl="4" w:tplc="D29C4ABC">
      <w:numFmt w:val="decimal"/>
      <w:lvlText w:val=""/>
      <w:lvlJc w:val="left"/>
    </w:lvl>
    <w:lvl w:ilvl="5" w:tplc="66B6BD58">
      <w:numFmt w:val="decimal"/>
      <w:lvlText w:val=""/>
      <w:lvlJc w:val="left"/>
    </w:lvl>
    <w:lvl w:ilvl="6" w:tplc="5D088DBC">
      <w:numFmt w:val="decimal"/>
      <w:lvlText w:val=""/>
      <w:lvlJc w:val="left"/>
    </w:lvl>
    <w:lvl w:ilvl="7" w:tplc="D2688638">
      <w:numFmt w:val="decimal"/>
      <w:lvlText w:val=""/>
      <w:lvlJc w:val="left"/>
    </w:lvl>
    <w:lvl w:ilvl="8" w:tplc="93742C6A">
      <w:numFmt w:val="decimal"/>
      <w:lvlText w:val=""/>
      <w:lvlJc w:val="left"/>
    </w:lvl>
  </w:abstractNum>
  <w:abstractNum w:abstractNumId="439" w15:restartNumberingAfterBreak="0">
    <w:nsid w:val="21707DCF"/>
    <w:multiLevelType w:val="hybridMultilevel"/>
    <w:tmpl w:val="8B0A7B3E"/>
    <w:lvl w:ilvl="0" w:tplc="6120831E">
      <w:start w:val="1"/>
      <w:numFmt w:val="bullet"/>
      <w:lvlText w:val=""/>
      <w:lvlJc w:val="left"/>
      <w:pPr>
        <w:ind w:left="720" w:hanging="180"/>
      </w:pPr>
      <w:rPr>
        <w:rFonts w:ascii="Symbol" w:hAnsi="Symbol" w:hint="default"/>
      </w:rPr>
    </w:lvl>
    <w:lvl w:ilvl="1" w:tplc="AF305BDA">
      <w:numFmt w:val="decimal"/>
      <w:lvlText w:val=""/>
      <w:lvlJc w:val="left"/>
    </w:lvl>
    <w:lvl w:ilvl="2" w:tplc="41C807C2">
      <w:numFmt w:val="decimal"/>
      <w:lvlText w:val=""/>
      <w:lvlJc w:val="left"/>
    </w:lvl>
    <w:lvl w:ilvl="3" w:tplc="0DA6EF0C">
      <w:numFmt w:val="decimal"/>
      <w:lvlText w:val=""/>
      <w:lvlJc w:val="left"/>
    </w:lvl>
    <w:lvl w:ilvl="4" w:tplc="1E90BEC8">
      <w:numFmt w:val="decimal"/>
      <w:lvlText w:val=""/>
      <w:lvlJc w:val="left"/>
    </w:lvl>
    <w:lvl w:ilvl="5" w:tplc="96B8AAF6">
      <w:numFmt w:val="decimal"/>
      <w:lvlText w:val=""/>
      <w:lvlJc w:val="left"/>
    </w:lvl>
    <w:lvl w:ilvl="6" w:tplc="0DACFB1E">
      <w:numFmt w:val="decimal"/>
      <w:lvlText w:val=""/>
      <w:lvlJc w:val="left"/>
    </w:lvl>
    <w:lvl w:ilvl="7" w:tplc="5FC462BE">
      <w:numFmt w:val="decimal"/>
      <w:lvlText w:val=""/>
      <w:lvlJc w:val="left"/>
    </w:lvl>
    <w:lvl w:ilvl="8" w:tplc="8A08CDB2">
      <w:numFmt w:val="decimal"/>
      <w:lvlText w:val=""/>
      <w:lvlJc w:val="left"/>
    </w:lvl>
  </w:abstractNum>
  <w:abstractNum w:abstractNumId="440" w15:restartNumberingAfterBreak="0">
    <w:nsid w:val="21794C48"/>
    <w:multiLevelType w:val="hybridMultilevel"/>
    <w:tmpl w:val="3496A9EC"/>
    <w:lvl w:ilvl="0" w:tplc="65782BB8">
      <w:start w:val="1"/>
      <w:numFmt w:val="bullet"/>
      <w:lvlText w:val=""/>
      <w:lvlJc w:val="left"/>
      <w:pPr>
        <w:ind w:left="720" w:hanging="180"/>
      </w:pPr>
      <w:rPr>
        <w:rFonts w:ascii="Symbol" w:hAnsi="Symbol" w:hint="default"/>
      </w:rPr>
    </w:lvl>
    <w:lvl w:ilvl="1" w:tplc="851E325E">
      <w:numFmt w:val="decimal"/>
      <w:lvlText w:val=""/>
      <w:lvlJc w:val="left"/>
    </w:lvl>
    <w:lvl w:ilvl="2" w:tplc="B93CD67C">
      <w:numFmt w:val="decimal"/>
      <w:lvlText w:val=""/>
      <w:lvlJc w:val="left"/>
    </w:lvl>
    <w:lvl w:ilvl="3" w:tplc="EFD8EF12">
      <w:numFmt w:val="decimal"/>
      <w:lvlText w:val=""/>
      <w:lvlJc w:val="left"/>
    </w:lvl>
    <w:lvl w:ilvl="4" w:tplc="06F67B76">
      <w:numFmt w:val="decimal"/>
      <w:lvlText w:val=""/>
      <w:lvlJc w:val="left"/>
    </w:lvl>
    <w:lvl w:ilvl="5" w:tplc="DFBCCC96">
      <w:numFmt w:val="decimal"/>
      <w:lvlText w:val=""/>
      <w:lvlJc w:val="left"/>
    </w:lvl>
    <w:lvl w:ilvl="6" w:tplc="50148EF2">
      <w:numFmt w:val="decimal"/>
      <w:lvlText w:val=""/>
      <w:lvlJc w:val="left"/>
    </w:lvl>
    <w:lvl w:ilvl="7" w:tplc="6C92781A">
      <w:numFmt w:val="decimal"/>
      <w:lvlText w:val=""/>
      <w:lvlJc w:val="left"/>
    </w:lvl>
    <w:lvl w:ilvl="8" w:tplc="20165112">
      <w:numFmt w:val="decimal"/>
      <w:lvlText w:val=""/>
      <w:lvlJc w:val="left"/>
    </w:lvl>
  </w:abstractNum>
  <w:abstractNum w:abstractNumId="441" w15:restartNumberingAfterBreak="0">
    <w:nsid w:val="217C4D28"/>
    <w:multiLevelType w:val="hybridMultilevel"/>
    <w:tmpl w:val="57746BDA"/>
    <w:lvl w:ilvl="0" w:tplc="1EDAD49E">
      <w:start w:val="1"/>
      <w:numFmt w:val="bullet"/>
      <w:lvlText w:val=""/>
      <w:lvlJc w:val="left"/>
      <w:pPr>
        <w:ind w:left="720" w:hanging="180"/>
      </w:pPr>
      <w:rPr>
        <w:rFonts w:ascii="Symbol" w:hAnsi="Symbol" w:hint="default"/>
      </w:rPr>
    </w:lvl>
    <w:lvl w:ilvl="1" w:tplc="580674E8">
      <w:numFmt w:val="decimal"/>
      <w:lvlText w:val=""/>
      <w:lvlJc w:val="left"/>
    </w:lvl>
    <w:lvl w:ilvl="2" w:tplc="48DC6CD2">
      <w:numFmt w:val="decimal"/>
      <w:lvlText w:val=""/>
      <w:lvlJc w:val="left"/>
    </w:lvl>
    <w:lvl w:ilvl="3" w:tplc="49662C24">
      <w:numFmt w:val="decimal"/>
      <w:lvlText w:val=""/>
      <w:lvlJc w:val="left"/>
    </w:lvl>
    <w:lvl w:ilvl="4" w:tplc="E49A8F5C">
      <w:numFmt w:val="decimal"/>
      <w:lvlText w:val=""/>
      <w:lvlJc w:val="left"/>
    </w:lvl>
    <w:lvl w:ilvl="5" w:tplc="58308522">
      <w:numFmt w:val="decimal"/>
      <w:lvlText w:val=""/>
      <w:lvlJc w:val="left"/>
    </w:lvl>
    <w:lvl w:ilvl="6" w:tplc="E3BA100C">
      <w:numFmt w:val="decimal"/>
      <w:lvlText w:val=""/>
      <w:lvlJc w:val="left"/>
    </w:lvl>
    <w:lvl w:ilvl="7" w:tplc="F3C8E13A">
      <w:numFmt w:val="decimal"/>
      <w:lvlText w:val=""/>
      <w:lvlJc w:val="left"/>
    </w:lvl>
    <w:lvl w:ilvl="8" w:tplc="30323B0C">
      <w:numFmt w:val="decimal"/>
      <w:lvlText w:val=""/>
      <w:lvlJc w:val="left"/>
    </w:lvl>
  </w:abstractNum>
  <w:abstractNum w:abstractNumId="442" w15:restartNumberingAfterBreak="0">
    <w:nsid w:val="218A6658"/>
    <w:multiLevelType w:val="hybridMultilevel"/>
    <w:tmpl w:val="1944CC10"/>
    <w:lvl w:ilvl="0" w:tplc="165E9422">
      <w:numFmt w:val="decimal"/>
      <w:lvlText w:val=""/>
      <w:lvlJc w:val="left"/>
    </w:lvl>
    <w:lvl w:ilvl="1" w:tplc="7F30C838">
      <w:start w:val="1"/>
      <w:numFmt w:val="bullet"/>
      <w:lvlText w:val=""/>
      <w:lvlJc w:val="left"/>
      <w:pPr>
        <w:ind w:left="1440" w:hanging="180"/>
      </w:pPr>
      <w:rPr>
        <w:rFonts w:ascii="Symbol" w:hAnsi="Symbol" w:hint="default"/>
      </w:rPr>
    </w:lvl>
    <w:lvl w:ilvl="2" w:tplc="A7E69016">
      <w:numFmt w:val="decimal"/>
      <w:lvlText w:val=""/>
      <w:lvlJc w:val="left"/>
    </w:lvl>
    <w:lvl w:ilvl="3" w:tplc="12988F00">
      <w:numFmt w:val="decimal"/>
      <w:lvlText w:val=""/>
      <w:lvlJc w:val="left"/>
    </w:lvl>
    <w:lvl w:ilvl="4" w:tplc="58E0E694">
      <w:numFmt w:val="decimal"/>
      <w:lvlText w:val=""/>
      <w:lvlJc w:val="left"/>
    </w:lvl>
    <w:lvl w:ilvl="5" w:tplc="40428978">
      <w:numFmt w:val="decimal"/>
      <w:lvlText w:val=""/>
      <w:lvlJc w:val="left"/>
    </w:lvl>
    <w:lvl w:ilvl="6" w:tplc="62DC2B24">
      <w:numFmt w:val="decimal"/>
      <w:lvlText w:val=""/>
      <w:lvlJc w:val="left"/>
    </w:lvl>
    <w:lvl w:ilvl="7" w:tplc="6870F652">
      <w:numFmt w:val="decimal"/>
      <w:lvlText w:val=""/>
      <w:lvlJc w:val="left"/>
    </w:lvl>
    <w:lvl w:ilvl="8" w:tplc="41A4ACBE">
      <w:numFmt w:val="decimal"/>
      <w:lvlText w:val=""/>
      <w:lvlJc w:val="left"/>
    </w:lvl>
  </w:abstractNum>
  <w:abstractNum w:abstractNumId="443" w15:restartNumberingAfterBreak="0">
    <w:nsid w:val="218E010E"/>
    <w:multiLevelType w:val="hybridMultilevel"/>
    <w:tmpl w:val="397C9922"/>
    <w:lvl w:ilvl="0" w:tplc="4C7455D2">
      <w:start w:val="1"/>
      <w:numFmt w:val="bullet"/>
      <w:lvlText w:val=""/>
      <w:lvlJc w:val="left"/>
      <w:pPr>
        <w:ind w:left="720" w:hanging="180"/>
      </w:pPr>
      <w:rPr>
        <w:rFonts w:ascii="Symbol" w:hAnsi="Symbol" w:hint="default"/>
      </w:rPr>
    </w:lvl>
    <w:lvl w:ilvl="1" w:tplc="CC3A5310">
      <w:numFmt w:val="decimal"/>
      <w:lvlText w:val=""/>
      <w:lvlJc w:val="left"/>
    </w:lvl>
    <w:lvl w:ilvl="2" w:tplc="FBB01FC2">
      <w:numFmt w:val="decimal"/>
      <w:lvlText w:val=""/>
      <w:lvlJc w:val="left"/>
    </w:lvl>
    <w:lvl w:ilvl="3" w:tplc="C630D50E">
      <w:numFmt w:val="decimal"/>
      <w:lvlText w:val=""/>
      <w:lvlJc w:val="left"/>
    </w:lvl>
    <w:lvl w:ilvl="4" w:tplc="3C60A926">
      <w:numFmt w:val="decimal"/>
      <w:lvlText w:val=""/>
      <w:lvlJc w:val="left"/>
    </w:lvl>
    <w:lvl w:ilvl="5" w:tplc="9EEEC1E0">
      <w:numFmt w:val="decimal"/>
      <w:lvlText w:val=""/>
      <w:lvlJc w:val="left"/>
    </w:lvl>
    <w:lvl w:ilvl="6" w:tplc="604A93F8">
      <w:numFmt w:val="decimal"/>
      <w:lvlText w:val=""/>
      <w:lvlJc w:val="left"/>
    </w:lvl>
    <w:lvl w:ilvl="7" w:tplc="38265CCC">
      <w:numFmt w:val="decimal"/>
      <w:lvlText w:val=""/>
      <w:lvlJc w:val="left"/>
    </w:lvl>
    <w:lvl w:ilvl="8" w:tplc="82A8FC72">
      <w:numFmt w:val="decimal"/>
      <w:lvlText w:val=""/>
      <w:lvlJc w:val="left"/>
    </w:lvl>
  </w:abstractNum>
  <w:abstractNum w:abstractNumId="444" w15:restartNumberingAfterBreak="0">
    <w:nsid w:val="219B7396"/>
    <w:multiLevelType w:val="hybridMultilevel"/>
    <w:tmpl w:val="0E7C2DE8"/>
    <w:lvl w:ilvl="0" w:tplc="8F5887DC">
      <w:start w:val="1"/>
      <w:numFmt w:val="bullet"/>
      <w:lvlText w:val=""/>
      <w:lvlJc w:val="left"/>
      <w:pPr>
        <w:ind w:left="720" w:hanging="180"/>
      </w:pPr>
      <w:rPr>
        <w:rFonts w:ascii="Symbol" w:hAnsi="Symbol" w:hint="default"/>
      </w:rPr>
    </w:lvl>
    <w:lvl w:ilvl="1" w:tplc="A60CAA8C">
      <w:numFmt w:val="decimal"/>
      <w:lvlText w:val=""/>
      <w:lvlJc w:val="left"/>
    </w:lvl>
    <w:lvl w:ilvl="2" w:tplc="3B9634DA">
      <w:numFmt w:val="decimal"/>
      <w:lvlText w:val=""/>
      <w:lvlJc w:val="left"/>
    </w:lvl>
    <w:lvl w:ilvl="3" w:tplc="F7B46110">
      <w:numFmt w:val="decimal"/>
      <w:lvlText w:val=""/>
      <w:lvlJc w:val="left"/>
    </w:lvl>
    <w:lvl w:ilvl="4" w:tplc="21B21CC0">
      <w:numFmt w:val="decimal"/>
      <w:lvlText w:val=""/>
      <w:lvlJc w:val="left"/>
    </w:lvl>
    <w:lvl w:ilvl="5" w:tplc="574EBEE0">
      <w:numFmt w:val="decimal"/>
      <w:lvlText w:val=""/>
      <w:lvlJc w:val="left"/>
    </w:lvl>
    <w:lvl w:ilvl="6" w:tplc="1CE4C47C">
      <w:numFmt w:val="decimal"/>
      <w:lvlText w:val=""/>
      <w:lvlJc w:val="left"/>
    </w:lvl>
    <w:lvl w:ilvl="7" w:tplc="41F23832">
      <w:numFmt w:val="decimal"/>
      <w:lvlText w:val=""/>
      <w:lvlJc w:val="left"/>
    </w:lvl>
    <w:lvl w:ilvl="8" w:tplc="3ACAD1B0">
      <w:numFmt w:val="decimal"/>
      <w:lvlText w:val=""/>
      <w:lvlJc w:val="left"/>
    </w:lvl>
  </w:abstractNum>
  <w:abstractNum w:abstractNumId="445" w15:restartNumberingAfterBreak="0">
    <w:nsid w:val="21AC6D74"/>
    <w:multiLevelType w:val="hybridMultilevel"/>
    <w:tmpl w:val="737A6A6C"/>
    <w:lvl w:ilvl="0" w:tplc="40624F94">
      <w:start w:val="1"/>
      <w:numFmt w:val="bullet"/>
      <w:lvlText w:val=""/>
      <w:lvlJc w:val="left"/>
      <w:pPr>
        <w:ind w:left="720" w:hanging="180"/>
      </w:pPr>
      <w:rPr>
        <w:rFonts w:ascii="Symbol" w:hAnsi="Symbol" w:hint="default"/>
      </w:rPr>
    </w:lvl>
    <w:lvl w:ilvl="1" w:tplc="48D22EF0">
      <w:numFmt w:val="decimal"/>
      <w:lvlText w:val=""/>
      <w:lvlJc w:val="left"/>
    </w:lvl>
    <w:lvl w:ilvl="2" w:tplc="F5125F28">
      <w:numFmt w:val="decimal"/>
      <w:lvlText w:val=""/>
      <w:lvlJc w:val="left"/>
    </w:lvl>
    <w:lvl w:ilvl="3" w:tplc="02BA1C90">
      <w:numFmt w:val="decimal"/>
      <w:lvlText w:val=""/>
      <w:lvlJc w:val="left"/>
    </w:lvl>
    <w:lvl w:ilvl="4" w:tplc="25AE018E">
      <w:numFmt w:val="decimal"/>
      <w:lvlText w:val=""/>
      <w:lvlJc w:val="left"/>
    </w:lvl>
    <w:lvl w:ilvl="5" w:tplc="039EFCAA">
      <w:numFmt w:val="decimal"/>
      <w:lvlText w:val=""/>
      <w:lvlJc w:val="left"/>
    </w:lvl>
    <w:lvl w:ilvl="6" w:tplc="B9720096">
      <w:numFmt w:val="decimal"/>
      <w:lvlText w:val=""/>
      <w:lvlJc w:val="left"/>
    </w:lvl>
    <w:lvl w:ilvl="7" w:tplc="CEB4611C">
      <w:numFmt w:val="decimal"/>
      <w:lvlText w:val=""/>
      <w:lvlJc w:val="left"/>
    </w:lvl>
    <w:lvl w:ilvl="8" w:tplc="DA4630B0">
      <w:numFmt w:val="decimal"/>
      <w:lvlText w:val=""/>
      <w:lvlJc w:val="left"/>
    </w:lvl>
  </w:abstractNum>
  <w:abstractNum w:abstractNumId="446" w15:restartNumberingAfterBreak="0">
    <w:nsid w:val="21AC7C39"/>
    <w:multiLevelType w:val="hybridMultilevel"/>
    <w:tmpl w:val="EEEA4FD4"/>
    <w:lvl w:ilvl="0" w:tplc="FB185910">
      <w:start w:val="1"/>
      <w:numFmt w:val="bullet"/>
      <w:lvlText w:val=""/>
      <w:lvlJc w:val="left"/>
      <w:pPr>
        <w:ind w:left="720" w:hanging="180"/>
      </w:pPr>
      <w:rPr>
        <w:rFonts w:ascii="Symbol" w:hAnsi="Symbol" w:hint="default"/>
      </w:rPr>
    </w:lvl>
    <w:lvl w:ilvl="1" w:tplc="56D23CB0">
      <w:numFmt w:val="decimal"/>
      <w:lvlText w:val=""/>
      <w:lvlJc w:val="left"/>
    </w:lvl>
    <w:lvl w:ilvl="2" w:tplc="82882FA4">
      <w:numFmt w:val="decimal"/>
      <w:lvlText w:val=""/>
      <w:lvlJc w:val="left"/>
    </w:lvl>
    <w:lvl w:ilvl="3" w:tplc="F60CCBD4">
      <w:numFmt w:val="decimal"/>
      <w:lvlText w:val=""/>
      <w:lvlJc w:val="left"/>
    </w:lvl>
    <w:lvl w:ilvl="4" w:tplc="FE72F8E6">
      <w:numFmt w:val="decimal"/>
      <w:lvlText w:val=""/>
      <w:lvlJc w:val="left"/>
    </w:lvl>
    <w:lvl w:ilvl="5" w:tplc="242E5666">
      <w:numFmt w:val="decimal"/>
      <w:lvlText w:val=""/>
      <w:lvlJc w:val="left"/>
    </w:lvl>
    <w:lvl w:ilvl="6" w:tplc="029A4B92">
      <w:numFmt w:val="decimal"/>
      <w:lvlText w:val=""/>
      <w:lvlJc w:val="left"/>
    </w:lvl>
    <w:lvl w:ilvl="7" w:tplc="902C7030">
      <w:numFmt w:val="decimal"/>
      <w:lvlText w:val=""/>
      <w:lvlJc w:val="left"/>
    </w:lvl>
    <w:lvl w:ilvl="8" w:tplc="63B0C4DC">
      <w:numFmt w:val="decimal"/>
      <w:lvlText w:val=""/>
      <w:lvlJc w:val="left"/>
    </w:lvl>
  </w:abstractNum>
  <w:abstractNum w:abstractNumId="447" w15:restartNumberingAfterBreak="0">
    <w:nsid w:val="21C11A94"/>
    <w:multiLevelType w:val="hybridMultilevel"/>
    <w:tmpl w:val="AEBABA50"/>
    <w:lvl w:ilvl="0" w:tplc="3C144F64">
      <w:start w:val="1"/>
      <w:numFmt w:val="bullet"/>
      <w:lvlText w:val=""/>
      <w:lvlJc w:val="left"/>
      <w:pPr>
        <w:ind w:left="720" w:hanging="180"/>
      </w:pPr>
      <w:rPr>
        <w:rFonts w:ascii="Symbol" w:hAnsi="Symbol" w:hint="default"/>
      </w:rPr>
    </w:lvl>
    <w:lvl w:ilvl="1" w:tplc="44049E02">
      <w:numFmt w:val="decimal"/>
      <w:lvlText w:val=""/>
      <w:lvlJc w:val="left"/>
    </w:lvl>
    <w:lvl w:ilvl="2" w:tplc="2D4AF0FA">
      <w:numFmt w:val="decimal"/>
      <w:lvlText w:val=""/>
      <w:lvlJc w:val="left"/>
    </w:lvl>
    <w:lvl w:ilvl="3" w:tplc="3F086EAA">
      <w:numFmt w:val="decimal"/>
      <w:lvlText w:val=""/>
      <w:lvlJc w:val="left"/>
    </w:lvl>
    <w:lvl w:ilvl="4" w:tplc="E20695BA">
      <w:numFmt w:val="decimal"/>
      <w:lvlText w:val=""/>
      <w:lvlJc w:val="left"/>
    </w:lvl>
    <w:lvl w:ilvl="5" w:tplc="6C6E47BE">
      <w:numFmt w:val="decimal"/>
      <w:lvlText w:val=""/>
      <w:lvlJc w:val="left"/>
    </w:lvl>
    <w:lvl w:ilvl="6" w:tplc="B5528A3A">
      <w:numFmt w:val="decimal"/>
      <w:lvlText w:val=""/>
      <w:lvlJc w:val="left"/>
    </w:lvl>
    <w:lvl w:ilvl="7" w:tplc="36F007EA">
      <w:numFmt w:val="decimal"/>
      <w:lvlText w:val=""/>
      <w:lvlJc w:val="left"/>
    </w:lvl>
    <w:lvl w:ilvl="8" w:tplc="018E1026">
      <w:numFmt w:val="decimal"/>
      <w:lvlText w:val=""/>
      <w:lvlJc w:val="left"/>
    </w:lvl>
  </w:abstractNum>
  <w:abstractNum w:abstractNumId="448" w15:restartNumberingAfterBreak="0">
    <w:nsid w:val="21D9382C"/>
    <w:multiLevelType w:val="hybridMultilevel"/>
    <w:tmpl w:val="77B85952"/>
    <w:lvl w:ilvl="0" w:tplc="0310BE36">
      <w:numFmt w:val="decimal"/>
      <w:lvlText w:val=""/>
      <w:lvlJc w:val="left"/>
    </w:lvl>
    <w:lvl w:ilvl="1" w:tplc="CE90F1BC">
      <w:start w:val="1"/>
      <w:numFmt w:val="bullet"/>
      <w:lvlText w:val=""/>
      <w:lvlJc w:val="left"/>
      <w:pPr>
        <w:ind w:left="1440" w:hanging="180"/>
      </w:pPr>
      <w:rPr>
        <w:rFonts w:ascii="Symbol" w:hAnsi="Symbol" w:hint="default"/>
      </w:rPr>
    </w:lvl>
    <w:lvl w:ilvl="2" w:tplc="8160C7F6">
      <w:numFmt w:val="decimal"/>
      <w:lvlText w:val=""/>
      <w:lvlJc w:val="left"/>
    </w:lvl>
    <w:lvl w:ilvl="3" w:tplc="C1EAB330">
      <w:numFmt w:val="decimal"/>
      <w:lvlText w:val=""/>
      <w:lvlJc w:val="left"/>
    </w:lvl>
    <w:lvl w:ilvl="4" w:tplc="E2B85414">
      <w:numFmt w:val="decimal"/>
      <w:lvlText w:val=""/>
      <w:lvlJc w:val="left"/>
    </w:lvl>
    <w:lvl w:ilvl="5" w:tplc="D9507BB8">
      <w:numFmt w:val="decimal"/>
      <w:lvlText w:val=""/>
      <w:lvlJc w:val="left"/>
    </w:lvl>
    <w:lvl w:ilvl="6" w:tplc="AB3A5D6E">
      <w:numFmt w:val="decimal"/>
      <w:lvlText w:val=""/>
      <w:lvlJc w:val="left"/>
    </w:lvl>
    <w:lvl w:ilvl="7" w:tplc="D8641D3E">
      <w:numFmt w:val="decimal"/>
      <w:lvlText w:val=""/>
      <w:lvlJc w:val="left"/>
    </w:lvl>
    <w:lvl w:ilvl="8" w:tplc="59686AFC">
      <w:numFmt w:val="decimal"/>
      <w:lvlText w:val=""/>
      <w:lvlJc w:val="left"/>
    </w:lvl>
  </w:abstractNum>
  <w:abstractNum w:abstractNumId="449" w15:restartNumberingAfterBreak="0">
    <w:nsid w:val="21EB67A0"/>
    <w:multiLevelType w:val="hybridMultilevel"/>
    <w:tmpl w:val="79623A74"/>
    <w:lvl w:ilvl="0" w:tplc="FDD0AF1A">
      <w:start w:val="1"/>
      <w:numFmt w:val="bullet"/>
      <w:lvlText w:val=""/>
      <w:lvlJc w:val="left"/>
      <w:pPr>
        <w:ind w:left="720" w:hanging="180"/>
      </w:pPr>
      <w:rPr>
        <w:rFonts w:ascii="Symbol" w:hAnsi="Symbol" w:hint="default"/>
      </w:rPr>
    </w:lvl>
    <w:lvl w:ilvl="1" w:tplc="F22AF718">
      <w:numFmt w:val="decimal"/>
      <w:lvlText w:val=""/>
      <w:lvlJc w:val="left"/>
    </w:lvl>
    <w:lvl w:ilvl="2" w:tplc="D4FEB566">
      <w:numFmt w:val="decimal"/>
      <w:lvlText w:val=""/>
      <w:lvlJc w:val="left"/>
    </w:lvl>
    <w:lvl w:ilvl="3" w:tplc="9A9262D2">
      <w:numFmt w:val="decimal"/>
      <w:lvlText w:val=""/>
      <w:lvlJc w:val="left"/>
    </w:lvl>
    <w:lvl w:ilvl="4" w:tplc="AA52B1DC">
      <w:numFmt w:val="decimal"/>
      <w:lvlText w:val=""/>
      <w:lvlJc w:val="left"/>
    </w:lvl>
    <w:lvl w:ilvl="5" w:tplc="D0C482D4">
      <w:numFmt w:val="decimal"/>
      <w:lvlText w:val=""/>
      <w:lvlJc w:val="left"/>
    </w:lvl>
    <w:lvl w:ilvl="6" w:tplc="7534AABE">
      <w:numFmt w:val="decimal"/>
      <w:lvlText w:val=""/>
      <w:lvlJc w:val="left"/>
    </w:lvl>
    <w:lvl w:ilvl="7" w:tplc="CF98B26E">
      <w:numFmt w:val="decimal"/>
      <w:lvlText w:val=""/>
      <w:lvlJc w:val="left"/>
    </w:lvl>
    <w:lvl w:ilvl="8" w:tplc="D4EE2AFA">
      <w:numFmt w:val="decimal"/>
      <w:lvlText w:val=""/>
      <w:lvlJc w:val="left"/>
    </w:lvl>
  </w:abstractNum>
  <w:abstractNum w:abstractNumId="450" w15:restartNumberingAfterBreak="0">
    <w:nsid w:val="21FE51FE"/>
    <w:multiLevelType w:val="hybridMultilevel"/>
    <w:tmpl w:val="76643504"/>
    <w:lvl w:ilvl="0" w:tplc="3D0450E6">
      <w:start w:val="1"/>
      <w:numFmt w:val="bullet"/>
      <w:lvlText w:val=""/>
      <w:lvlJc w:val="left"/>
      <w:pPr>
        <w:ind w:left="720" w:hanging="180"/>
      </w:pPr>
      <w:rPr>
        <w:rFonts w:ascii="Symbol" w:hAnsi="Symbol" w:hint="default"/>
      </w:rPr>
    </w:lvl>
    <w:lvl w:ilvl="1" w:tplc="E2F2FB1C">
      <w:numFmt w:val="decimal"/>
      <w:lvlText w:val=""/>
      <w:lvlJc w:val="left"/>
    </w:lvl>
    <w:lvl w:ilvl="2" w:tplc="0038DEEE">
      <w:numFmt w:val="decimal"/>
      <w:lvlText w:val=""/>
      <w:lvlJc w:val="left"/>
    </w:lvl>
    <w:lvl w:ilvl="3" w:tplc="0EEAA790">
      <w:numFmt w:val="decimal"/>
      <w:lvlText w:val=""/>
      <w:lvlJc w:val="left"/>
    </w:lvl>
    <w:lvl w:ilvl="4" w:tplc="DAE42072">
      <w:numFmt w:val="decimal"/>
      <w:lvlText w:val=""/>
      <w:lvlJc w:val="left"/>
    </w:lvl>
    <w:lvl w:ilvl="5" w:tplc="06762C1E">
      <w:numFmt w:val="decimal"/>
      <w:lvlText w:val=""/>
      <w:lvlJc w:val="left"/>
    </w:lvl>
    <w:lvl w:ilvl="6" w:tplc="DE32DFEA">
      <w:numFmt w:val="decimal"/>
      <w:lvlText w:val=""/>
      <w:lvlJc w:val="left"/>
    </w:lvl>
    <w:lvl w:ilvl="7" w:tplc="9BAECC30">
      <w:numFmt w:val="decimal"/>
      <w:lvlText w:val=""/>
      <w:lvlJc w:val="left"/>
    </w:lvl>
    <w:lvl w:ilvl="8" w:tplc="E97E19BC">
      <w:numFmt w:val="decimal"/>
      <w:lvlText w:val=""/>
      <w:lvlJc w:val="left"/>
    </w:lvl>
  </w:abstractNum>
  <w:abstractNum w:abstractNumId="451" w15:restartNumberingAfterBreak="0">
    <w:nsid w:val="22043651"/>
    <w:multiLevelType w:val="hybridMultilevel"/>
    <w:tmpl w:val="096E4092"/>
    <w:lvl w:ilvl="0" w:tplc="85AA47EC">
      <w:start w:val="1"/>
      <w:numFmt w:val="bullet"/>
      <w:lvlText w:val=""/>
      <w:lvlJc w:val="left"/>
      <w:pPr>
        <w:ind w:left="720" w:hanging="180"/>
      </w:pPr>
      <w:rPr>
        <w:rFonts w:ascii="Symbol" w:hAnsi="Symbol" w:hint="default"/>
      </w:rPr>
    </w:lvl>
    <w:lvl w:ilvl="1" w:tplc="8BE08F10">
      <w:numFmt w:val="decimal"/>
      <w:lvlText w:val=""/>
      <w:lvlJc w:val="left"/>
    </w:lvl>
    <w:lvl w:ilvl="2" w:tplc="EE302A08">
      <w:numFmt w:val="decimal"/>
      <w:lvlText w:val=""/>
      <w:lvlJc w:val="left"/>
    </w:lvl>
    <w:lvl w:ilvl="3" w:tplc="E4DC7C1E">
      <w:numFmt w:val="decimal"/>
      <w:lvlText w:val=""/>
      <w:lvlJc w:val="left"/>
    </w:lvl>
    <w:lvl w:ilvl="4" w:tplc="03D0BC38">
      <w:numFmt w:val="decimal"/>
      <w:lvlText w:val=""/>
      <w:lvlJc w:val="left"/>
    </w:lvl>
    <w:lvl w:ilvl="5" w:tplc="2A0C6D8C">
      <w:numFmt w:val="decimal"/>
      <w:lvlText w:val=""/>
      <w:lvlJc w:val="left"/>
    </w:lvl>
    <w:lvl w:ilvl="6" w:tplc="15FCB8D0">
      <w:numFmt w:val="decimal"/>
      <w:lvlText w:val=""/>
      <w:lvlJc w:val="left"/>
    </w:lvl>
    <w:lvl w:ilvl="7" w:tplc="A4F85E24">
      <w:numFmt w:val="decimal"/>
      <w:lvlText w:val=""/>
      <w:lvlJc w:val="left"/>
    </w:lvl>
    <w:lvl w:ilvl="8" w:tplc="EC0C2BDC">
      <w:numFmt w:val="decimal"/>
      <w:lvlText w:val=""/>
      <w:lvlJc w:val="left"/>
    </w:lvl>
  </w:abstractNum>
  <w:abstractNum w:abstractNumId="452" w15:restartNumberingAfterBreak="0">
    <w:nsid w:val="22107963"/>
    <w:multiLevelType w:val="hybridMultilevel"/>
    <w:tmpl w:val="40C0539E"/>
    <w:lvl w:ilvl="0" w:tplc="373C857C">
      <w:start w:val="1"/>
      <w:numFmt w:val="bullet"/>
      <w:lvlText w:val=""/>
      <w:lvlJc w:val="left"/>
      <w:pPr>
        <w:ind w:left="720" w:hanging="180"/>
      </w:pPr>
      <w:rPr>
        <w:rFonts w:ascii="Symbol" w:hAnsi="Symbol" w:hint="default"/>
      </w:rPr>
    </w:lvl>
    <w:lvl w:ilvl="1" w:tplc="7B56163E">
      <w:numFmt w:val="decimal"/>
      <w:lvlText w:val=""/>
      <w:lvlJc w:val="left"/>
    </w:lvl>
    <w:lvl w:ilvl="2" w:tplc="B4FA5CEE">
      <w:numFmt w:val="decimal"/>
      <w:lvlText w:val=""/>
      <w:lvlJc w:val="left"/>
    </w:lvl>
    <w:lvl w:ilvl="3" w:tplc="AEA46EC4">
      <w:numFmt w:val="decimal"/>
      <w:lvlText w:val=""/>
      <w:lvlJc w:val="left"/>
    </w:lvl>
    <w:lvl w:ilvl="4" w:tplc="CC06969A">
      <w:numFmt w:val="decimal"/>
      <w:lvlText w:val=""/>
      <w:lvlJc w:val="left"/>
    </w:lvl>
    <w:lvl w:ilvl="5" w:tplc="12860E02">
      <w:numFmt w:val="decimal"/>
      <w:lvlText w:val=""/>
      <w:lvlJc w:val="left"/>
    </w:lvl>
    <w:lvl w:ilvl="6" w:tplc="D536EF10">
      <w:numFmt w:val="decimal"/>
      <w:lvlText w:val=""/>
      <w:lvlJc w:val="left"/>
    </w:lvl>
    <w:lvl w:ilvl="7" w:tplc="C1300814">
      <w:numFmt w:val="decimal"/>
      <w:lvlText w:val=""/>
      <w:lvlJc w:val="left"/>
    </w:lvl>
    <w:lvl w:ilvl="8" w:tplc="22E64D1A">
      <w:numFmt w:val="decimal"/>
      <w:lvlText w:val=""/>
      <w:lvlJc w:val="left"/>
    </w:lvl>
  </w:abstractNum>
  <w:abstractNum w:abstractNumId="453" w15:restartNumberingAfterBreak="0">
    <w:nsid w:val="22170FA3"/>
    <w:multiLevelType w:val="hybridMultilevel"/>
    <w:tmpl w:val="1F2A0B2A"/>
    <w:lvl w:ilvl="0" w:tplc="CC9042B4">
      <w:start w:val="1"/>
      <w:numFmt w:val="bullet"/>
      <w:lvlText w:val=""/>
      <w:lvlJc w:val="left"/>
      <w:pPr>
        <w:ind w:left="720" w:hanging="180"/>
      </w:pPr>
      <w:rPr>
        <w:rFonts w:ascii="Symbol" w:hAnsi="Symbol" w:hint="default"/>
      </w:rPr>
    </w:lvl>
    <w:lvl w:ilvl="1" w:tplc="6720A99C">
      <w:numFmt w:val="decimal"/>
      <w:lvlText w:val=""/>
      <w:lvlJc w:val="left"/>
    </w:lvl>
    <w:lvl w:ilvl="2" w:tplc="5AFC0E92">
      <w:numFmt w:val="decimal"/>
      <w:lvlText w:val=""/>
      <w:lvlJc w:val="left"/>
    </w:lvl>
    <w:lvl w:ilvl="3" w:tplc="6B18F41E">
      <w:numFmt w:val="decimal"/>
      <w:lvlText w:val=""/>
      <w:lvlJc w:val="left"/>
    </w:lvl>
    <w:lvl w:ilvl="4" w:tplc="E04AFE92">
      <w:numFmt w:val="decimal"/>
      <w:lvlText w:val=""/>
      <w:lvlJc w:val="left"/>
    </w:lvl>
    <w:lvl w:ilvl="5" w:tplc="C41AADBC">
      <w:numFmt w:val="decimal"/>
      <w:lvlText w:val=""/>
      <w:lvlJc w:val="left"/>
    </w:lvl>
    <w:lvl w:ilvl="6" w:tplc="B64CF122">
      <w:numFmt w:val="decimal"/>
      <w:lvlText w:val=""/>
      <w:lvlJc w:val="left"/>
    </w:lvl>
    <w:lvl w:ilvl="7" w:tplc="66983E82">
      <w:numFmt w:val="decimal"/>
      <w:lvlText w:val=""/>
      <w:lvlJc w:val="left"/>
    </w:lvl>
    <w:lvl w:ilvl="8" w:tplc="52ECBF52">
      <w:numFmt w:val="decimal"/>
      <w:lvlText w:val=""/>
      <w:lvlJc w:val="left"/>
    </w:lvl>
  </w:abstractNum>
  <w:abstractNum w:abstractNumId="454" w15:restartNumberingAfterBreak="0">
    <w:nsid w:val="2228062B"/>
    <w:multiLevelType w:val="hybridMultilevel"/>
    <w:tmpl w:val="90D494AC"/>
    <w:lvl w:ilvl="0" w:tplc="FC8C0B10">
      <w:start w:val="1"/>
      <w:numFmt w:val="bullet"/>
      <w:lvlText w:val=""/>
      <w:lvlJc w:val="left"/>
      <w:pPr>
        <w:ind w:left="720" w:hanging="180"/>
      </w:pPr>
      <w:rPr>
        <w:rFonts w:ascii="Symbol" w:hAnsi="Symbol" w:hint="default"/>
      </w:rPr>
    </w:lvl>
    <w:lvl w:ilvl="1" w:tplc="BEBA57B0">
      <w:numFmt w:val="decimal"/>
      <w:lvlText w:val=""/>
      <w:lvlJc w:val="left"/>
    </w:lvl>
    <w:lvl w:ilvl="2" w:tplc="5B40FE46">
      <w:numFmt w:val="decimal"/>
      <w:lvlText w:val=""/>
      <w:lvlJc w:val="left"/>
    </w:lvl>
    <w:lvl w:ilvl="3" w:tplc="5D0869D8">
      <w:numFmt w:val="decimal"/>
      <w:lvlText w:val=""/>
      <w:lvlJc w:val="left"/>
    </w:lvl>
    <w:lvl w:ilvl="4" w:tplc="F94A4788">
      <w:numFmt w:val="decimal"/>
      <w:lvlText w:val=""/>
      <w:lvlJc w:val="left"/>
    </w:lvl>
    <w:lvl w:ilvl="5" w:tplc="C39CCECC">
      <w:numFmt w:val="decimal"/>
      <w:lvlText w:val=""/>
      <w:lvlJc w:val="left"/>
    </w:lvl>
    <w:lvl w:ilvl="6" w:tplc="13ECC404">
      <w:numFmt w:val="decimal"/>
      <w:lvlText w:val=""/>
      <w:lvlJc w:val="left"/>
    </w:lvl>
    <w:lvl w:ilvl="7" w:tplc="81C28586">
      <w:numFmt w:val="decimal"/>
      <w:lvlText w:val=""/>
      <w:lvlJc w:val="left"/>
    </w:lvl>
    <w:lvl w:ilvl="8" w:tplc="D37CC1A4">
      <w:numFmt w:val="decimal"/>
      <w:lvlText w:val=""/>
      <w:lvlJc w:val="left"/>
    </w:lvl>
  </w:abstractNum>
  <w:abstractNum w:abstractNumId="455" w15:restartNumberingAfterBreak="0">
    <w:nsid w:val="223A33FC"/>
    <w:multiLevelType w:val="hybridMultilevel"/>
    <w:tmpl w:val="F3B88476"/>
    <w:lvl w:ilvl="0" w:tplc="12D03402">
      <w:start w:val="1"/>
      <w:numFmt w:val="bullet"/>
      <w:lvlText w:val=""/>
      <w:lvlJc w:val="left"/>
      <w:pPr>
        <w:ind w:left="720" w:hanging="180"/>
      </w:pPr>
      <w:rPr>
        <w:rFonts w:ascii="Symbol" w:hAnsi="Symbol" w:hint="default"/>
      </w:rPr>
    </w:lvl>
    <w:lvl w:ilvl="1" w:tplc="9DC2B430">
      <w:numFmt w:val="decimal"/>
      <w:lvlText w:val=""/>
      <w:lvlJc w:val="left"/>
    </w:lvl>
    <w:lvl w:ilvl="2" w:tplc="4BC4019A">
      <w:numFmt w:val="decimal"/>
      <w:lvlText w:val=""/>
      <w:lvlJc w:val="left"/>
    </w:lvl>
    <w:lvl w:ilvl="3" w:tplc="C09217CC">
      <w:numFmt w:val="decimal"/>
      <w:lvlText w:val=""/>
      <w:lvlJc w:val="left"/>
    </w:lvl>
    <w:lvl w:ilvl="4" w:tplc="4FD4098A">
      <w:numFmt w:val="decimal"/>
      <w:lvlText w:val=""/>
      <w:lvlJc w:val="left"/>
    </w:lvl>
    <w:lvl w:ilvl="5" w:tplc="3E1ACB72">
      <w:numFmt w:val="decimal"/>
      <w:lvlText w:val=""/>
      <w:lvlJc w:val="left"/>
    </w:lvl>
    <w:lvl w:ilvl="6" w:tplc="63A40182">
      <w:numFmt w:val="decimal"/>
      <w:lvlText w:val=""/>
      <w:lvlJc w:val="left"/>
    </w:lvl>
    <w:lvl w:ilvl="7" w:tplc="2B1679D4">
      <w:numFmt w:val="decimal"/>
      <w:lvlText w:val=""/>
      <w:lvlJc w:val="left"/>
    </w:lvl>
    <w:lvl w:ilvl="8" w:tplc="57E8CC78">
      <w:numFmt w:val="decimal"/>
      <w:lvlText w:val=""/>
      <w:lvlJc w:val="left"/>
    </w:lvl>
  </w:abstractNum>
  <w:abstractNum w:abstractNumId="456" w15:restartNumberingAfterBreak="0">
    <w:nsid w:val="223D423F"/>
    <w:multiLevelType w:val="hybridMultilevel"/>
    <w:tmpl w:val="45D460C2"/>
    <w:lvl w:ilvl="0" w:tplc="641286C4">
      <w:numFmt w:val="decimal"/>
      <w:lvlText w:val=""/>
      <w:lvlJc w:val="left"/>
    </w:lvl>
    <w:lvl w:ilvl="1" w:tplc="7C263DFA">
      <w:start w:val="1"/>
      <w:numFmt w:val="bullet"/>
      <w:lvlText w:val=""/>
      <w:lvlJc w:val="left"/>
      <w:pPr>
        <w:ind w:left="1440" w:hanging="180"/>
      </w:pPr>
      <w:rPr>
        <w:rFonts w:ascii="Symbol" w:hAnsi="Symbol" w:hint="default"/>
      </w:rPr>
    </w:lvl>
    <w:lvl w:ilvl="2" w:tplc="0450A9AA">
      <w:numFmt w:val="decimal"/>
      <w:lvlText w:val=""/>
      <w:lvlJc w:val="left"/>
    </w:lvl>
    <w:lvl w:ilvl="3" w:tplc="7C240E70">
      <w:numFmt w:val="decimal"/>
      <w:lvlText w:val=""/>
      <w:lvlJc w:val="left"/>
    </w:lvl>
    <w:lvl w:ilvl="4" w:tplc="25CEAC4A">
      <w:numFmt w:val="decimal"/>
      <w:lvlText w:val=""/>
      <w:lvlJc w:val="left"/>
    </w:lvl>
    <w:lvl w:ilvl="5" w:tplc="0E96F762">
      <w:numFmt w:val="decimal"/>
      <w:lvlText w:val=""/>
      <w:lvlJc w:val="left"/>
    </w:lvl>
    <w:lvl w:ilvl="6" w:tplc="26CCE358">
      <w:numFmt w:val="decimal"/>
      <w:lvlText w:val=""/>
      <w:lvlJc w:val="left"/>
    </w:lvl>
    <w:lvl w:ilvl="7" w:tplc="64C8C0C0">
      <w:numFmt w:val="decimal"/>
      <w:lvlText w:val=""/>
      <w:lvlJc w:val="left"/>
    </w:lvl>
    <w:lvl w:ilvl="8" w:tplc="3500A642">
      <w:numFmt w:val="decimal"/>
      <w:lvlText w:val=""/>
      <w:lvlJc w:val="left"/>
    </w:lvl>
  </w:abstractNum>
  <w:abstractNum w:abstractNumId="457" w15:restartNumberingAfterBreak="0">
    <w:nsid w:val="22542E6B"/>
    <w:multiLevelType w:val="hybridMultilevel"/>
    <w:tmpl w:val="0268870E"/>
    <w:lvl w:ilvl="0" w:tplc="AEC41CB0">
      <w:numFmt w:val="decimal"/>
      <w:lvlText w:val=""/>
      <w:lvlJc w:val="left"/>
    </w:lvl>
    <w:lvl w:ilvl="1" w:tplc="14A0BC16">
      <w:start w:val="1"/>
      <w:numFmt w:val="bullet"/>
      <w:lvlText w:val=""/>
      <w:lvlJc w:val="left"/>
      <w:pPr>
        <w:ind w:left="1440" w:hanging="180"/>
      </w:pPr>
      <w:rPr>
        <w:rFonts w:ascii="Symbol" w:hAnsi="Symbol" w:hint="default"/>
      </w:rPr>
    </w:lvl>
    <w:lvl w:ilvl="2" w:tplc="4126CD60">
      <w:numFmt w:val="decimal"/>
      <w:lvlText w:val=""/>
      <w:lvlJc w:val="left"/>
    </w:lvl>
    <w:lvl w:ilvl="3" w:tplc="5EA8D080">
      <w:numFmt w:val="decimal"/>
      <w:lvlText w:val=""/>
      <w:lvlJc w:val="left"/>
    </w:lvl>
    <w:lvl w:ilvl="4" w:tplc="36D6FB5E">
      <w:numFmt w:val="decimal"/>
      <w:lvlText w:val=""/>
      <w:lvlJc w:val="left"/>
    </w:lvl>
    <w:lvl w:ilvl="5" w:tplc="E5E875E8">
      <w:numFmt w:val="decimal"/>
      <w:lvlText w:val=""/>
      <w:lvlJc w:val="left"/>
    </w:lvl>
    <w:lvl w:ilvl="6" w:tplc="AD24ABC0">
      <w:numFmt w:val="decimal"/>
      <w:lvlText w:val=""/>
      <w:lvlJc w:val="left"/>
    </w:lvl>
    <w:lvl w:ilvl="7" w:tplc="8DD0CC4C">
      <w:numFmt w:val="decimal"/>
      <w:lvlText w:val=""/>
      <w:lvlJc w:val="left"/>
    </w:lvl>
    <w:lvl w:ilvl="8" w:tplc="13B44674">
      <w:numFmt w:val="decimal"/>
      <w:lvlText w:val=""/>
      <w:lvlJc w:val="left"/>
    </w:lvl>
  </w:abstractNum>
  <w:abstractNum w:abstractNumId="458" w15:restartNumberingAfterBreak="0">
    <w:nsid w:val="22636926"/>
    <w:multiLevelType w:val="hybridMultilevel"/>
    <w:tmpl w:val="2F0AFF9C"/>
    <w:lvl w:ilvl="0" w:tplc="B3183EBC">
      <w:start w:val="1"/>
      <w:numFmt w:val="bullet"/>
      <w:lvlText w:val=""/>
      <w:lvlJc w:val="left"/>
      <w:pPr>
        <w:ind w:left="720" w:hanging="180"/>
      </w:pPr>
      <w:rPr>
        <w:rFonts w:ascii="Symbol" w:hAnsi="Symbol" w:hint="default"/>
      </w:rPr>
    </w:lvl>
    <w:lvl w:ilvl="1" w:tplc="FD3EC9BA">
      <w:numFmt w:val="decimal"/>
      <w:lvlText w:val=""/>
      <w:lvlJc w:val="left"/>
    </w:lvl>
    <w:lvl w:ilvl="2" w:tplc="96FCA58A">
      <w:numFmt w:val="decimal"/>
      <w:lvlText w:val=""/>
      <w:lvlJc w:val="left"/>
    </w:lvl>
    <w:lvl w:ilvl="3" w:tplc="386E1E00">
      <w:numFmt w:val="decimal"/>
      <w:lvlText w:val=""/>
      <w:lvlJc w:val="left"/>
    </w:lvl>
    <w:lvl w:ilvl="4" w:tplc="51F0D6A2">
      <w:numFmt w:val="decimal"/>
      <w:lvlText w:val=""/>
      <w:lvlJc w:val="left"/>
    </w:lvl>
    <w:lvl w:ilvl="5" w:tplc="BB30A46C">
      <w:numFmt w:val="decimal"/>
      <w:lvlText w:val=""/>
      <w:lvlJc w:val="left"/>
    </w:lvl>
    <w:lvl w:ilvl="6" w:tplc="62BC5FB4">
      <w:numFmt w:val="decimal"/>
      <w:lvlText w:val=""/>
      <w:lvlJc w:val="left"/>
    </w:lvl>
    <w:lvl w:ilvl="7" w:tplc="06F6819E">
      <w:numFmt w:val="decimal"/>
      <w:lvlText w:val=""/>
      <w:lvlJc w:val="left"/>
    </w:lvl>
    <w:lvl w:ilvl="8" w:tplc="ED40563E">
      <w:numFmt w:val="decimal"/>
      <w:lvlText w:val=""/>
      <w:lvlJc w:val="left"/>
    </w:lvl>
  </w:abstractNum>
  <w:abstractNum w:abstractNumId="459" w15:restartNumberingAfterBreak="0">
    <w:nsid w:val="227A5619"/>
    <w:multiLevelType w:val="hybridMultilevel"/>
    <w:tmpl w:val="A4E8FCBC"/>
    <w:lvl w:ilvl="0" w:tplc="6C9E5FE8">
      <w:start w:val="1"/>
      <w:numFmt w:val="bullet"/>
      <w:lvlText w:val=""/>
      <w:lvlJc w:val="left"/>
      <w:pPr>
        <w:ind w:left="720" w:hanging="180"/>
      </w:pPr>
      <w:rPr>
        <w:rFonts w:ascii="Symbol" w:hAnsi="Symbol" w:hint="default"/>
      </w:rPr>
    </w:lvl>
    <w:lvl w:ilvl="1" w:tplc="E59AFA9E">
      <w:numFmt w:val="decimal"/>
      <w:lvlText w:val=""/>
      <w:lvlJc w:val="left"/>
    </w:lvl>
    <w:lvl w:ilvl="2" w:tplc="092AD5F8">
      <w:numFmt w:val="decimal"/>
      <w:lvlText w:val=""/>
      <w:lvlJc w:val="left"/>
    </w:lvl>
    <w:lvl w:ilvl="3" w:tplc="2714AF8E">
      <w:numFmt w:val="decimal"/>
      <w:lvlText w:val=""/>
      <w:lvlJc w:val="left"/>
    </w:lvl>
    <w:lvl w:ilvl="4" w:tplc="5D8422CE">
      <w:numFmt w:val="decimal"/>
      <w:lvlText w:val=""/>
      <w:lvlJc w:val="left"/>
    </w:lvl>
    <w:lvl w:ilvl="5" w:tplc="A7642A72">
      <w:numFmt w:val="decimal"/>
      <w:lvlText w:val=""/>
      <w:lvlJc w:val="left"/>
    </w:lvl>
    <w:lvl w:ilvl="6" w:tplc="9DDEC77E">
      <w:numFmt w:val="decimal"/>
      <w:lvlText w:val=""/>
      <w:lvlJc w:val="left"/>
    </w:lvl>
    <w:lvl w:ilvl="7" w:tplc="E5B8851A">
      <w:numFmt w:val="decimal"/>
      <w:lvlText w:val=""/>
      <w:lvlJc w:val="left"/>
    </w:lvl>
    <w:lvl w:ilvl="8" w:tplc="D702271E">
      <w:numFmt w:val="decimal"/>
      <w:lvlText w:val=""/>
      <w:lvlJc w:val="left"/>
    </w:lvl>
  </w:abstractNum>
  <w:abstractNum w:abstractNumId="460" w15:restartNumberingAfterBreak="0">
    <w:nsid w:val="22A72BF8"/>
    <w:multiLevelType w:val="hybridMultilevel"/>
    <w:tmpl w:val="1B7E0D00"/>
    <w:lvl w:ilvl="0" w:tplc="2AF2DB6C">
      <w:numFmt w:val="decimal"/>
      <w:lvlText w:val=""/>
      <w:lvlJc w:val="left"/>
    </w:lvl>
    <w:lvl w:ilvl="1" w:tplc="604A4E38">
      <w:start w:val="1"/>
      <w:numFmt w:val="bullet"/>
      <w:lvlText w:val=""/>
      <w:lvlJc w:val="left"/>
      <w:pPr>
        <w:ind w:left="1440" w:hanging="180"/>
      </w:pPr>
      <w:rPr>
        <w:rFonts w:ascii="Symbol" w:hAnsi="Symbol" w:hint="default"/>
      </w:rPr>
    </w:lvl>
    <w:lvl w:ilvl="2" w:tplc="11F68B3E">
      <w:numFmt w:val="decimal"/>
      <w:lvlText w:val=""/>
      <w:lvlJc w:val="left"/>
    </w:lvl>
    <w:lvl w:ilvl="3" w:tplc="75720314">
      <w:numFmt w:val="decimal"/>
      <w:lvlText w:val=""/>
      <w:lvlJc w:val="left"/>
    </w:lvl>
    <w:lvl w:ilvl="4" w:tplc="74A455AC">
      <w:numFmt w:val="decimal"/>
      <w:lvlText w:val=""/>
      <w:lvlJc w:val="left"/>
    </w:lvl>
    <w:lvl w:ilvl="5" w:tplc="FBB4ABB2">
      <w:numFmt w:val="decimal"/>
      <w:lvlText w:val=""/>
      <w:lvlJc w:val="left"/>
    </w:lvl>
    <w:lvl w:ilvl="6" w:tplc="6E40FDC8">
      <w:numFmt w:val="decimal"/>
      <w:lvlText w:val=""/>
      <w:lvlJc w:val="left"/>
    </w:lvl>
    <w:lvl w:ilvl="7" w:tplc="6E40EF50">
      <w:numFmt w:val="decimal"/>
      <w:lvlText w:val=""/>
      <w:lvlJc w:val="left"/>
    </w:lvl>
    <w:lvl w:ilvl="8" w:tplc="9662D264">
      <w:numFmt w:val="decimal"/>
      <w:lvlText w:val=""/>
      <w:lvlJc w:val="left"/>
    </w:lvl>
  </w:abstractNum>
  <w:abstractNum w:abstractNumId="461" w15:restartNumberingAfterBreak="0">
    <w:nsid w:val="22B7042D"/>
    <w:multiLevelType w:val="hybridMultilevel"/>
    <w:tmpl w:val="AADEBB3C"/>
    <w:lvl w:ilvl="0" w:tplc="8456380E">
      <w:start w:val="1"/>
      <w:numFmt w:val="bullet"/>
      <w:lvlText w:val=""/>
      <w:lvlJc w:val="left"/>
      <w:pPr>
        <w:ind w:left="720" w:hanging="180"/>
      </w:pPr>
      <w:rPr>
        <w:rFonts w:ascii="Symbol" w:hAnsi="Symbol" w:hint="default"/>
      </w:rPr>
    </w:lvl>
    <w:lvl w:ilvl="1" w:tplc="DA14C38C">
      <w:numFmt w:val="decimal"/>
      <w:lvlText w:val=""/>
      <w:lvlJc w:val="left"/>
    </w:lvl>
    <w:lvl w:ilvl="2" w:tplc="43DA719C">
      <w:numFmt w:val="decimal"/>
      <w:lvlText w:val=""/>
      <w:lvlJc w:val="left"/>
    </w:lvl>
    <w:lvl w:ilvl="3" w:tplc="E47895FA">
      <w:numFmt w:val="decimal"/>
      <w:lvlText w:val=""/>
      <w:lvlJc w:val="left"/>
    </w:lvl>
    <w:lvl w:ilvl="4" w:tplc="262481DE">
      <w:numFmt w:val="decimal"/>
      <w:lvlText w:val=""/>
      <w:lvlJc w:val="left"/>
    </w:lvl>
    <w:lvl w:ilvl="5" w:tplc="872E9ADA">
      <w:numFmt w:val="decimal"/>
      <w:lvlText w:val=""/>
      <w:lvlJc w:val="left"/>
    </w:lvl>
    <w:lvl w:ilvl="6" w:tplc="09F41524">
      <w:numFmt w:val="decimal"/>
      <w:lvlText w:val=""/>
      <w:lvlJc w:val="left"/>
    </w:lvl>
    <w:lvl w:ilvl="7" w:tplc="561E5558">
      <w:numFmt w:val="decimal"/>
      <w:lvlText w:val=""/>
      <w:lvlJc w:val="left"/>
    </w:lvl>
    <w:lvl w:ilvl="8" w:tplc="87FAED84">
      <w:numFmt w:val="decimal"/>
      <w:lvlText w:val=""/>
      <w:lvlJc w:val="left"/>
    </w:lvl>
  </w:abstractNum>
  <w:abstractNum w:abstractNumId="462" w15:restartNumberingAfterBreak="0">
    <w:nsid w:val="22BA7FC1"/>
    <w:multiLevelType w:val="hybridMultilevel"/>
    <w:tmpl w:val="C0BC6DE0"/>
    <w:lvl w:ilvl="0" w:tplc="A3E644F6">
      <w:start w:val="1"/>
      <w:numFmt w:val="bullet"/>
      <w:lvlText w:val=""/>
      <w:lvlJc w:val="left"/>
      <w:pPr>
        <w:ind w:left="720" w:hanging="180"/>
      </w:pPr>
      <w:rPr>
        <w:rFonts w:ascii="Symbol" w:hAnsi="Symbol" w:hint="default"/>
      </w:rPr>
    </w:lvl>
    <w:lvl w:ilvl="1" w:tplc="FF9A73BE">
      <w:numFmt w:val="decimal"/>
      <w:lvlText w:val=""/>
      <w:lvlJc w:val="left"/>
    </w:lvl>
    <w:lvl w:ilvl="2" w:tplc="AA6691DA">
      <w:numFmt w:val="decimal"/>
      <w:lvlText w:val=""/>
      <w:lvlJc w:val="left"/>
    </w:lvl>
    <w:lvl w:ilvl="3" w:tplc="E780BCF4">
      <w:numFmt w:val="decimal"/>
      <w:lvlText w:val=""/>
      <w:lvlJc w:val="left"/>
    </w:lvl>
    <w:lvl w:ilvl="4" w:tplc="84ECBAAE">
      <w:numFmt w:val="decimal"/>
      <w:lvlText w:val=""/>
      <w:lvlJc w:val="left"/>
    </w:lvl>
    <w:lvl w:ilvl="5" w:tplc="5206493A">
      <w:numFmt w:val="decimal"/>
      <w:lvlText w:val=""/>
      <w:lvlJc w:val="left"/>
    </w:lvl>
    <w:lvl w:ilvl="6" w:tplc="C37CDEFA">
      <w:numFmt w:val="decimal"/>
      <w:lvlText w:val=""/>
      <w:lvlJc w:val="left"/>
    </w:lvl>
    <w:lvl w:ilvl="7" w:tplc="C7964960">
      <w:numFmt w:val="decimal"/>
      <w:lvlText w:val=""/>
      <w:lvlJc w:val="left"/>
    </w:lvl>
    <w:lvl w:ilvl="8" w:tplc="36F0E1AE">
      <w:numFmt w:val="decimal"/>
      <w:lvlText w:val=""/>
      <w:lvlJc w:val="left"/>
    </w:lvl>
  </w:abstractNum>
  <w:abstractNum w:abstractNumId="463" w15:restartNumberingAfterBreak="0">
    <w:nsid w:val="22CF1717"/>
    <w:multiLevelType w:val="hybridMultilevel"/>
    <w:tmpl w:val="EA52E2FA"/>
    <w:lvl w:ilvl="0" w:tplc="0E341C0A">
      <w:start w:val="1"/>
      <w:numFmt w:val="bullet"/>
      <w:lvlText w:val=""/>
      <w:lvlJc w:val="left"/>
      <w:pPr>
        <w:ind w:left="720" w:hanging="180"/>
      </w:pPr>
      <w:rPr>
        <w:rFonts w:ascii="Symbol" w:hAnsi="Symbol" w:hint="default"/>
      </w:rPr>
    </w:lvl>
    <w:lvl w:ilvl="1" w:tplc="2FDA3678">
      <w:numFmt w:val="decimal"/>
      <w:lvlText w:val=""/>
      <w:lvlJc w:val="left"/>
    </w:lvl>
    <w:lvl w:ilvl="2" w:tplc="F7BECC70">
      <w:numFmt w:val="decimal"/>
      <w:lvlText w:val=""/>
      <w:lvlJc w:val="left"/>
    </w:lvl>
    <w:lvl w:ilvl="3" w:tplc="80605E3C">
      <w:numFmt w:val="decimal"/>
      <w:lvlText w:val=""/>
      <w:lvlJc w:val="left"/>
    </w:lvl>
    <w:lvl w:ilvl="4" w:tplc="A1D6F852">
      <w:numFmt w:val="decimal"/>
      <w:lvlText w:val=""/>
      <w:lvlJc w:val="left"/>
    </w:lvl>
    <w:lvl w:ilvl="5" w:tplc="F7029EDE">
      <w:numFmt w:val="decimal"/>
      <w:lvlText w:val=""/>
      <w:lvlJc w:val="left"/>
    </w:lvl>
    <w:lvl w:ilvl="6" w:tplc="28A6BDB2">
      <w:numFmt w:val="decimal"/>
      <w:lvlText w:val=""/>
      <w:lvlJc w:val="left"/>
    </w:lvl>
    <w:lvl w:ilvl="7" w:tplc="DE283C4E">
      <w:numFmt w:val="decimal"/>
      <w:lvlText w:val=""/>
      <w:lvlJc w:val="left"/>
    </w:lvl>
    <w:lvl w:ilvl="8" w:tplc="CAE8D2D2">
      <w:numFmt w:val="decimal"/>
      <w:lvlText w:val=""/>
      <w:lvlJc w:val="left"/>
    </w:lvl>
  </w:abstractNum>
  <w:abstractNum w:abstractNumId="464" w15:restartNumberingAfterBreak="0">
    <w:nsid w:val="22DF0076"/>
    <w:multiLevelType w:val="hybridMultilevel"/>
    <w:tmpl w:val="DF16FD9C"/>
    <w:lvl w:ilvl="0" w:tplc="0540ADD4">
      <w:start w:val="1"/>
      <w:numFmt w:val="bullet"/>
      <w:lvlText w:val=""/>
      <w:lvlJc w:val="left"/>
      <w:pPr>
        <w:ind w:left="720" w:hanging="180"/>
      </w:pPr>
      <w:rPr>
        <w:rFonts w:ascii="Symbol" w:hAnsi="Symbol" w:hint="default"/>
      </w:rPr>
    </w:lvl>
    <w:lvl w:ilvl="1" w:tplc="518AA536">
      <w:numFmt w:val="decimal"/>
      <w:lvlText w:val=""/>
      <w:lvlJc w:val="left"/>
    </w:lvl>
    <w:lvl w:ilvl="2" w:tplc="7CD6BCB2">
      <w:numFmt w:val="decimal"/>
      <w:lvlText w:val=""/>
      <w:lvlJc w:val="left"/>
    </w:lvl>
    <w:lvl w:ilvl="3" w:tplc="71264E00">
      <w:numFmt w:val="decimal"/>
      <w:lvlText w:val=""/>
      <w:lvlJc w:val="left"/>
    </w:lvl>
    <w:lvl w:ilvl="4" w:tplc="B85290DA">
      <w:numFmt w:val="decimal"/>
      <w:lvlText w:val=""/>
      <w:lvlJc w:val="left"/>
    </w:lvl>
    <w:lvl w:ilvl="5" w:tplc="66D6B9B0">
      <w:numFmt w:val="decimal"/>
      <w:lvlText w:val=""/>
      <w:lvlJc w:val="left"/>
    </w:lvl>
    <w:lvl w:ilvl="6" w:tplc="34342A30">
      <w:numFmt w:val="decimal"/>
      <w:lvlText w:val=""/>
      <w:lvlJc w:val="left"/>
    </w:lvl>
    <w:lvl w:ilvl="7" w:tplc="CAC6AB90">
      <w:numFmt w:val="decimal"/>
      <w:lvlText w:val=""/>
      <w:lvlJc w:val="left"/>
    </w:lvl>
    <w:lvl w:ilvl="8" w:tplc="67F82B2A">
      <w:numFmt w:val="decimal"/>
      <w:lvlText w:val=""/>
      <w:lvlJc w:val="left"/>
    </w:lvl>
  </w:abstractNum>
  <w:abstractNum w:abstractNumId="465" w15:restartNumberingAfterBreak="0">
    <w:nsid w:val="22E60047"/>
    <w:multiLevelType w:val="hybridMultilevel"/>
    <w:tmpl w:val="B1B868CA"/>
    <w:lvl w:ilvl="0" w:tplc="8FD8D40C">
      <w:start w:val="1"/>
      <w:numFmt w:val="bullet"/>
      <w:lvlText w:val=""/>
      <w:lvlJc w:val="left"/>
      <w:pPr>
        <w:ind w:left="720" w:hanging="180"/>
      </w:pPr>
      <w:rPr>
        <w:rFonts w:ascii="Symbol" w:hAnsi="Symbol" w:hint="default"/>
      </w:rPr>
    </w:lvl>
    <w:lvl w:ilvl="1" w:tplc="5DDA00E4">
      <w:numFmt w:val="decimal"/>
      <w:lvlText w:val=""/>
      <w:lvlJc w:val="left"/>
    </w:lvl>
    <w:lvl w:ilvl="2" w:tplc="8B9A0058">
      <w:numFmt w:val="decimal"/>
      <w:lvlText w:val=""/>
      <w:lvlJc w:val="left"/>
    </w:lvl>
    <w:lvl w:ilvl="3" w:tplc="94ACFB3A">
      <w:numFmt w:val="decimal"/>
      <w:lvlText w:val=""/>
      <w:lvlJc w:val="left"/>
    </w:lvl>
    <w:lvl w:ilvl="4" w:tplc="617AE402">
      <w:numFmt w:val="decimal"/>
      <w:lvlText w:val=""/>
      <w:lvlJc w:val="left"/>
    </w:lvl>
    <w:lvl w:ilvl="5" w:tplc="E34EC960">
      <w:numFmt w:val="decimal"/>
      <w:lvlText w:val=""/>
      <w:lvlJc w:val="left"/>
    </w:lvl>
    <w:lvl w:ilvl="6" w:tplc="F926B9CA">
      <w:numFmt w:val="decimal"/>
      <w:lvlText w:val=""/>
      <w:lvlJc w:val="left"/>
    </w:lvl>
    <w:lvl w:ilvl="7" w:tplc="2FAE841C">
      <w:numFmt w:val="decimal"/>
      <w:lvlText w:val=""/>
      <w:lvlJc w:val="left"/>
    </w:lvl>
    <w:lvl w:ilvl="8" w:tplc="98B6E6B4">
      <w:numFmt w:val="decimal"/>
      <w:lvlText w:val=""/>
      <w:lvlJc w:val="left"/>
    </w:lvl>
  </w:abstractNum>
  <w:abstractNum w:abstractNumId="466" w15:restartNumberingAfterBreak="0">
    <w:nsid w:val="22E73EB7"/>
    <w:multiLevelType w:val="hybridMultilevel"/>
    <w:tmpl w:val="7A545244"/>
    <w:lvl w:ilvl="0" w:tplc="50925E3C">
      <w:start w:val="1"/>
      <w:numFmt w:val="bullet"/>
      <w:lvlText w:val=""/>
      <w:lvlJc w:val="left"/>
      <w:pPr>
        <w:ind w:left="720" w:hanging="180"/>
      </w:pPr>
      <w:rPr>
        <w:rFonts w:ascii="Symbol" w:hAnsi="Symbol" w:hint="default"/>
      </w:rPr>
    </w:lvl>
    <w:lvl w:ilvl="1" w:tplc="A4CE0F42">
      <w:numFmt w:val="decimal"/>
      <w:lvlText w:val=""/>
      <w:lvlJc w:val="left"/>
    </w:lvl>
    <w:lvl w:ilvl="2" w:tplc="C428ACC4">
      <w:numFmt w:val="decimal"/>
      <w:lvlText w:val=""/>
      <w:lvlJc w:val="left"/>
    </w:lvl>
    <w:lvl w:ilvl="3" w:tplc="4FB069FA">
      <w:numFmt w:val="decimal"/>
      <w:lvlText w:val=""/>
      <w:lvlJc w:val="left"/>
    </w:lvl>
    <w:lvl w:ilvl="4" w:tplc="FC0E3A9A">
      <w:numFmt w:val="decimal"/>
      <w:lvlText w:val=""/>
      <w:lvlJc w:val="left"/>
    </w:lvl>
    <w:lvl w:ilvl="5" w:tplc="8FBA5502">
      <w:numFmt w:val="decimal"/>
      <w:lvlText w:val=""/>
      <w:lvlJc w:val="left"/>
    </w:lvl>
    <w:lvl w:ilvl="6" w:tplc="85520D0C">
      <w:numFmt w:val="decimal"/>
      <w:lvlText w:val=""/>
      <w:lvlJc w:val="left"/>
    </w:lvl>
    <w:lvl w:ilvl="7" w:tplc="EEACF2D6">
      <w:numFmt w:val="decimal"/>
      <w:lvlText w:val=""/>
      <w:lvlJc w:val="left"/>
    </w:lvl>
    <w:lvl w:ilvl="8" w:tplc="97C04A72">
      <w:numFmt w:val="decimal"/>
      <w:lvlText w:val=""/>
      <w:lvlJc w:val="left"/>
    </w:lvl>
  </w:abstractNum>
  <w:abstractNum w:abstractNumId="467" w15:restartNumberingAfterBreak="0">
    <w:nsid w:val="22F55C01"/>
    <w:multiLevelType w:val="hybridMultilevel"/>
    <w:tmpl w:val="CB506476"/>
    <w:lvl w:ilvl="0" w:tplc="754669D4">
      <w:start w:val="1"/>
      <w:numFmt w:val="bullet"/>
      <w:lvlText w:val=""/>
      <w:lvlJc w:val="left"/>
      <w:pPr>
        <w:ind w:left="720" w:hanging="180"/>
      </w:pPr>
      <w:rPr>
        <w:rFonts w:ascii="Symbol" w:hAnsi="Symbol" w:hint="default"/>
      </w:rPr>
    </w:lvl>
    <w:lvl w:ilvl="1" w:tplc="5FDE45C2">
      <w:numFmt w:val="decimal"/>
      <w:lvlText w:val=""/>
      <w:lvlJc w:val="left"/>
    </w:lvl>
    <w:lvl w:ilvl="2" w:tplc="A5FEB590">
      <w:numFmt w:val="decimal"/>
      <w:lvlText w:val=""/>
      <w:lvlJc w:val="left"/>
    </w:lvl>
    <w:lvl w:ilvl="3" w:tplc="0CFC7600">
      <w:numFmt w:val="decimal"/>
      <w:lvlText w:val=""/>
      <w:lvlJc w:val="left"/>
    </w:lvl>
    <w:lvl w:ilvl="4" w:tplc="5770C042">
      <w:numFmt w:val="decimal"/>
      <w:lvlText w:val=""/>
      <w:lvlJc w:val="left"/>
    </w:lvl>
    <w:lvl w:ilvl="5" w:tplc="150E3BC4">
      <w:numFmt w:val="decimal"/>
      <w:lvlText w:val=""/>
      <w:lvlJc w:val="left"/>
    </w:lvl>
    <w:lvl w:ilvl="6" w:tplc="2A962A0E">
      <w:numFmt w:val="decimal"/>
      <w:lvlText w:val=""/>
      <w:lvlJc w:val="left"/>
    </w:lvl>
    <w:lvl w:ilvl="7" w:tplc="D366888C">
      <w:numFmt w:val="decimal"/>
      <w:lvlText w:val=""/>
      <w:lvlJc w:val="left"/>
    </w:lvl>
    <w:lvl w:ilvl="8" w:tplc="F61ACC98">
      <w:numFmt w:val="decimal"/>
      <w:lvlText w:val=""/>
      <w:lvlJc w:val="left"/>
    </w:lvl>
  </w:abstractNum>
  <w:abstractNum w:abstractNumId="468" w15:restartNumberingAfterBreak="0">
    <w:nsid w:val="22F70E71"/>
    <w:multiLevelType w:val="hybridMultilevel"/>
    <w:tmpl w:val="8C0C3F52"/>
    <w:lvl w:ilvl="0" w:tplc="B6FEDDA8">
      <w:start w:val="1"/>
      <w:numFmt w:val="bullet"/>
      <w:lvlText w:val=""/>
      <w:lvlJc w:val="left"/>
      <w:pPr>
        <w:ind w:left="720" w:hanging="180"/>
      </w:pPr>
      <w:rPr>
        <w:rFonts w:ascii="Symbol" w:hAnsi="Symbol" w:hint="default"/>
      </w:rPr>
    </w:lvl>
    <w:lvl w:ilvl="1" w:tplc="F2B4738E">
      <w:numFmt w:val="decimal"/>
      <w:lvlText w:val=""/>
      <w:lvlJc w:val="left"/>
    </w:lvl>
    <w:lvl w:ilvl="2" w:tplc="81CE3BE8">
      <w:numFmt w:val="decimal"/>
      <w:lvlText w:val=""/>
      <w:lvlJc w:val="left"/>
    </w:lvl>
    <w:lvl w:ilvl="3" w:tplc="B52273F4">
      <w:numFmt w:val="decimal"/>
      <w:lvlText w:val=""/>
      <w:lvlJc w:val="left"/>
    </w:lvl>
    <w:lvl w:ilvl="4" w:tplc="F56862A2">
      <w:numFmt w:val="decimal"/>
      <w:lvlText w:val=""/>
      <w:lvlJc w:val="left"/>
    </w:lvl>
    <w:lvl w:ilvl="5" w:tplc="649C19D2">
      <w:numFmt w:val="decimal"/>
      <w:lvlText w:val=""/>
      <w:lvlJc w:val="left"/>
    </w:lvl>
    <w:lvl w:ilvl="6" w:tplc="F618ABA8">
      <w:numFmt w:val="decimal"/>
      <w:lvlText w:val=""/>
      <w:lvlJc w:val="left"/>
    </w:lvl>
    <w:lvl w:ilvl="7" w:tplc="E5DA9586">
      <w:numFmt w:val="decimal"/>
      <w:lvlText w:val=""/>
      <w:lvlJc w:val="left"/>
    </w:lvl>
    <w:lvl w:ilvl="8" w:tplc="BCD6D6B6">
      <w:numFmt w:val="decimal"/>
      <w:lvlText w:val=""/>
      <w:lvlJc w:val="left"/>
    </w:lvl>
  </w:abstractNum>
  <w:abstractNum w:abstractNumId="469" w15:restartNumberingAfterBreak="0">
    <w:nsid w:val="22F84B78"/>
    <w:multiLevelType w:val="hybridMultilevel"/>
    <w:tmpl w:val="2110B358"/>
    <w:lvl w:ilvl="0" w:tplc="E1340780">
      <w:start w:val="1"/>
      <w:numFmt w:val="bullet"/>
      <w:lvlText w:val=""/>
      <w:lvlJc w:val="left"/>
      <w:pPr>
        <w:ind w:left="720" w:hanging="180"/>
      </w:pPr>
      <w:rPr>
        <w:rFonts w:ascii="Symbol" w:hAnsi="Symbol" w:hint="default"/>
      </w:rPr>
    </w:lvl>
    <w:lvl w:ilvl="1" w:tplc="22880AA2">
      <w:numFmt w:val="decimal"/>
      <w:lvlText w:val=""/>
      <w:lvlJc w:val="left"/>
    </w:lvl>
    <w:lvl w:ilvl="2" w:tplc="47EEE640">
      <w:numFmt w:val="decimal"/>
      <w:lvlText w:val=""/>
      <w:lvlJc w:val="left"/>
    </w:lvl>
    <w:lvl w:ilvl="3" w:tplc="CA5EFFD8">
      <w:numFmt w:val="decimal"/>
      <w:lvlText w:val=""/>
      <w:lvlJc w:val="left"/>
    </w:lvl>
    <w:lvl w:ilvl="4" w:tplc="8E9428B2">
      <w:numFmt w:val="decimal"/>
      <w:lvlText w:val=""/>
      <w:lvlJc w:val="left"/>
    </w:lvl>
    <w:lvl w:ilvl="5" w:tplc="B95C92CC">
      <w:numFmt w:val="decimal"/>
      <w:lvlText w:val=""/>
      <w:lvlJc w:val="left"/>
    </w:lvl>
    <w:lvl w:ilvl="6" w:tplc="009002C6">
      <w:numFmt w:val="decimal"/>
      <w:lvlText w:val=""/>
      <w:lvlJc w:val="left"/>
    </w:lvl>
    <w:lvl w:ilvl="7" w:tplc="B9EE6AB8">
      <w:numFmt w:val="decimal"/>
      <w:lvlText w:val=""/>
      <w:lvlJc w:val="left"/>
    </w:lvl>
    <w:lvl w:ilvl="8" w:tplc="70DC378A">
      <w:numFmt w:val="decimal"/>
      <w:lvlText w:val=""/>
      <w:lvlJc w:val="left"/>
    </w:lvl>
  </w:abstractNum>
  <w:abstractNum w:abstractNumId="470" w15:restartNumberingAfterBreak="0">
    <w:nsid w:val="22FD737F"/>
    <w:multiLevelType w:val="hybridMultilevel"/>
    <w:tmpl w:val="22289C7E"/>
    <w:lvl w:ilvl="0" w:tplc="26FC11E2">
      <w:start w:val="1"/>
      <w:numFmt w:val="bullet"/>
      <w:lvlText w:val=""/>
      <w:lvlJc w:val="left"/>
      <w:pPr>
        <w:ind w:left="720" w:hanging="180"/>
      </w:pPr>
      <w:rPr>
        <w:rFonts w:ascii="Symbol" w:hAnsi="Symbol" w:hint="default"/>
      </w:rPr>
    </w:lvl>
    <w:lvl w:ilvl="1" w:tplc="48368C8E">
      <w:numFmt w:val="decimal"/>
      <w:lvlText w:val=""/>
      <w:lvlJc w:val="left"/>
    </w:lvl>
    <w:lvl w:ilvl="2" w:tplc="93B4F456">
      <w:numFmt w:val="decimal"/>
      <w:lvlText w:val=""/>
      <w:lvlJc w:val="left"/>
    </w:lvl>
    <w:lvl w:ilvl="3" w:tplc="4DFE6224">
      <w:numFmt w:val="decimal"/>
      <w:lvlText w:val=""/>
      <w:lvlJc w:val="left"/>
    </w:lvl>
    <w:lvl w:ilvl="4" w:tplc="540E0BE4">
      <w:numFmt w:val="decimal"/>
      <w:lvlText w:val=""/>
      <w:lvlJc w:val="left"/>
    </w:lvl>
    <w:lvl w:ilvl="5" w:tplc="79262B46">
      <w:numFmt w:val="decimal"/>
      <w:lvlText w:val=""/>
      <w:lvlJc w:val="left"/>
    </w:lvl>
    <w:lvl w:ilvl="6" w:tplc="62CC9EA6">
      <w:numFmt w:val="decimal"/>
      <w:lvlText w:val=""/>
      <w:lvlJc w:val="left"/>
    </w:lvl>
    <w:lvl w:ilvl="7" w:tplc="E46CBD86">
      <w:numFmt w:val="decimal"/>
      <w:lvlText w:val=""/>
      <w:lvlJc w:val="left"/>
    </w:lvl>
    <w:lvl w:ilvl="8" w:tplc="4922EE7A">
      <w:numFmt w:val="decimal"/>
      <w:lvlText w:val=""/>
      <w:lvlJc w:val="left"/>
    </w:lvl>
  </w:abstractNum>
  <w:abstractNum w:abstractNumId="471" w15:restartNumberingAfterBreak="0">
    <w:nsid w:val="23022ADB"/>
    <w:multiLevelType w:val="hybridMultilevel"/>
    <w:tmpl w:val="A782A274"/>
    <w:lvl w:ilvl="0" w:tplc="B8E23822">
      <w:start w:val="1"/>
      <w:numFmt w:val="bullet"/>
      <w:lvlText w:val=""/>
      <w:lvlJc w:val="left"/>
      <w:pPr>
        <w:ind w:left="720" w:hanging="180"/>
      </w:pPr>
      <w:rPr>
        <w:rFonts w:ascii="Symbol" w:hAnsi="Symbol" w:hint="default"/>
      </w:rPr>
    </w:lvl>
    <w:lvl w:ilvl="1" w:tplc="D2F456CE">
      <w:numFmt w:val="decimal"/>
      <w:lvlText w:val=""/>
      <w:lvlJc w:val="left"/>
    </w:lvl>
    <w:lvl w:ilvl="2" w:tplc="8438CA24">
      <w:numFmt w:val="decimal"/>
      <w:lvlText w:val=""/>
      <w:lvlJc w:val="left"/>
    </w:lvl>
    <w:lvl w:ilvl="3" w:tplc="622CA272">
      <w:numFmt w:val="decimal"/>
      <w:lvlText w:val=""/>
      <w:lvlJc w:val="left"/>
    </w:lvl>
    <w:lvl w:ilvl="4" w:tplc="5DCA7742">
      <w:numFmt w:val="decimal"/>
      <w:lvlText w:val=""/>
      <w:lvlJc w:val="left"/>
    </w:lvl>
    <w:lvl w:ilvl="5" w:tplc="B51219A2">
      <w:numFmt w:val="decimal"/>
      <w:lvlText w:val=""/>
      <w:lvlJc w:val="left"/>
    </w:lvl>
    <w:lvl w:ilvl="6" w:tplc="C4E4FA80">
      <w:numFmt w:val="decimal"/>
      <w:lvlText w:val=""/>
      <w:lvlJc w:val="left"/>
    </w:lvl>
    <w:lvl w:ilvl="7" w:tplc="A6DE22AE">
      <w:numFmt w:val="decimal"/>
      <w:lvlText w:val=""/>
      <w:lvlJc w:val="left"/>
    </w:lvl>
    <w:lvl w:ilvl="8" w:tplc="C2EC7E94">
      <w:numFmt w:val="decimal"/>
      <w:lvlText w:val=""/>
      <w:lvlJc w:val="left"/>
    </w:lvl>
  </w:abstractNum>
  <w:abstractNum w:abstractNumId="472" w15:restartNumberingAfterBreak="0">
    <w:nsid w:val="23077422"/>
    <w:multiLevelType w:val="hybridMultilevel"/>
    <w:tmpl w:val="032E5474"/>
    <w:lvl w:ilvl="0" w:tplc="6F6E5F72">
      <w:start w:val="1"/>
      <w:numFmt w:val="bullet"/>
      <w:lvlText w:val=""/>
      <w:lvlJc w:val="left"/>
      <w:pPr>
        <w:ind w:left="720" w:hanging="180"/>
      </w:pPr>
      <w:rPr>
        <w:rFonts w:ascii="Symbol" w:hAnsi="Symbol" w:hint="default"/>
      </w:rPr>
    </w:lvl>
    <w:lvl w:ilvl="1" w:tplc="3630432E">
      <w:numFmt w:val="decimal"/>
      <w:lvlText w:val=""/>
      <w:lvlJc w:val="left"/>
    </w:lvl>
    <w:lvl w:ilvl="2" w:tplc="A32AFD5E">
      <w:numFmt w:val="decimal"/>
      <w:lvlText w:val=""/>
      <w:lvlJc w:val="left"/>
    </w:lvl>
    <w:lvl w:ilvl="3" w:tplc="879038B8">
      <w:numFmt w:val="decimal"/>
      <w:lvlText w:val=""/>
      <w:lvlJc w:val="left"/>
    </w:lvl>
    <w:lvl w:ilvl="4" w:tplc="7A7C8E14">
      <w:numFmt w:val="decimal"/>
      <w:lvlText w:val=""/>
      <w:lvlJc w:val="left"/>
    </w:lvl>
    <w:lvl w:ilvl="5" w:tplc="1D14D27E">
      <w:numFmt w:val="decimal"/>
      <w:lvlText w:val=""/>
      <w:lvlJc w:val="left"/>
    </w:lvl>
    <w:lvl w:ilvl="6" w:tplc="C9708000">
      <w:numFmt w:val="decimal"/>
      <w:lvlText w:val=""/>
      <w:lvlJc w:val="left"/>
    </w:lvl>
    <w:lvl w:ilvl="7" w:tplc="0E4E11DA">
      <w:numFmt w:val="decimal"/>
      <w:lvlText w:val=""/>
      <w:lvlJc w:val="left"/>
    </w:lvl>
    <w:lvl w:ilvl="8" w:tplc="361C40E2">
      <w:numFmt w:val="decimal"/>
      <w:lvlText w:val=""/>
      <w:lvlJc w:val="left"/>
    </w:lvl>
  </w:abstractNum>
  <w:abstractNum w:abstractNumId="473" w15:restartNumberingAfterBreak="0">
    <w:nsid w:val="2319252E"/>
    <w:multiLevelType w:val="hybridMultilevel"/>
    <w:tmpl w:val="1DACC502"/>
    <w:lvl w:ilvl="0" w:tplc="7394740A">
      <w:start w:val="1"/>
      <w:numFmt w:val="bullet"/>
      <w:lvlText w:val=""/>
      <w:lvlJc w:val="left"/>
      <w:pPr>
        <w:ind w:left="720" w:hanging="180"/>
      </w:pPr>
      <w:rPr>
        <w:rFonts w:ascii="Symbol" w:hAnsi="Symbol" w:hint="default"/>
      </w:rPr>
    </w:lvl>
    <w:lvl w:ilvl="1" w:tplc="468821C2">
      <w:numFmt w:val="decimal"/>
      <w:lvlText w:val=""/>
      <w:lvlJc w:val="left"/>
    </w:lvl>
    <w:lvl w:ilvl="2" w:tplc="80629C9E">
      <w:numFmt w:val="decimal"/>
      <w:lvlText w:val=""/>
      <w:lvlJc w:val="left"/>
    </w:lvl>
    <w:lvl w:ilvl="3" w:tplc="073CD3DC">
      <w:numFmt w:val="decimal"/>
      <w:lvlText w:val=""/>
      <w:lvlJc w:val="left"/>
    </w:lvl>
    <w:lvl w:ilvl="4" w:tplc="2494CC76">
      <w:numFmt w:val="decimal"/>
      <w:lvlText w:val=""/>
      <w:lvlJc w:val="left"/>
    </w:lvl>
    <w:lvl w:ilvl="5" w:tplc="5928AA5E">
      <w:numFmt w:val="decimal"/>
      <w:lvlText w:val=""/>
      <w:lvlJc w:val="left"/>
    </w:lvl>
    <w:lvl w:ilvl="6" w:tplc="4ECA13E4">
      <w:numFmt w:val="decimal"/>
      <w:lvlText w:val=""/>
      <w:lvlJc w:val="left"/>
    </w:lvl>
    <w:lvl w:ilvl="7" w:tplc="6846DF42">
      <w:numFmt w:val="decimal"/>
      <w:lvlText w:val=""/>
      <w:lvlJc w:val="left"/>
    </w:lvl>
    <w:lvl w:ilvl="8" w:tplc="7CE03392">
      <w:numFmt w:val="decimal"/>
      <w:lvlText w:val=""/>
      <w:lvlJc w:val="left"/>
    </w:lvl>
  </w:abstractNum>
  <w:abstractNum w:abstractNumId="474" w15:restartNumberingAfterBreak="0">
    <w:nsid w:val="23193E29"/>
    <w:multiLevelType w:val="hybridMultilevel"/>
    <w:tmpl w:val="FB4C49DE"/>
    <w:lvl w:ilvl="0" w:tplc="60BA4E06">
      <w:numFmt w:val="decimal"/>
      <w:lvlText w:val=""/>
      <w:lvlJc w:val="left"/>
    </w:lvl>
    <w:lvl w:ilvl="1" w:tplc="B322C85C">
      <w:start w:val="1"/>
      <w:numFmt w:val="bullet"/>
      <w:lvlText w:val=""/>
      <w:lvlJc w:val="left"/>
      <w:pPr>
        <w:ind w:left="1440" w:hanging="180"/>
      </w:pPr>
      <w:rPr>
        <w:rFonts w:ascii="Symbol" w:hAnsi="Symbol" w:hint="default"/>
      </w:rPr>
    </w:lvl>
    <w:lvl w:ilvl="2" w:tplc="0A8C11F4">
      <w:numFmt w:val="decimal"/>
      <w:lvlText w:val=""/>
      <w:lvlJc w:val="left"/>
    </w:lvl>
    <w:lvl w:ilvl="3" w:tplc="29D66BCE">
      <w:numFmt w:val="decimal"/>
      <w:lvlText w:val=""/>
      <w:lvlJc w:val="left"/>
    </w:lvl>
    <w:lvl w:ilvl="4" w:tplc="262E13E0">
      <w:numFmt w:val="decimal"/>
      <w:lvlText w:val=""/>
      <w:lvlJc w:val="left"/>
    </w:lvl>
    <w:lvl w:ilvl="5" w:tplc="E968CEEE">
      <w:numFmt w:val="decimal"/>
      <w:lvlText w:val=""/>
      <w:lvlJc w:val="left"/>
    </w:lvl>
    <w:lvl w:ilvl="6" w:tplc="083AFEAA">
      <w:numFmt w:val="decimal"/>
      <w:lvlText w:val=""/>
      <w:lvlJc w:val="left"/>
    </w:lvl>
    <w:lvl w:ilvl="7" w:tplc="53185AB2">
      <w:numFmt w:val="decimal"/>
      <w:lvlText w:val=""/>
      <w:lvlJc w:val="left"/>
    </w:lvl>
    <w:lvl w:ilvl="8" w:tplc="C02AA7C6">
      <w:numFmt w:val="decimal"/>
      <w:lvlText w:val=""/>
      <w:lvlJc w:val="left"/>
    </w:lvl>
  </w:abstractNum>
  <w:abstractNum w:abstractNumId="475" w15:restartNumberingAfterBreak="0">
    <w:nsid w:val="231B7801"/>
    <w:multiLevelType w:val="hybridMultilevel"/>
    <w:tmpl w:val="19B0E1AE"/>
    <w:lvl w:ilvl="0" w:tplc="573C2984">
      <w:start w:val="1"/>
      <w:numFmt w:val="bullet"/>
      <w:lvlText w:val=""/>
      <w:lvlJc w:val="left"/>
      <w:pPr>
        <w:ind w:left="720" w:hanging="180"/>
      </w:pPr>
      <w:rPr>
        <w:rFonts w:ascii="Symbol" w:hAnsi="Symbol" w:hint="default"/>
      </w:rPr>
    </w:lvl>
    <w:lvl w:ilvl="1" w:tplc="FD2AED36">
      <w:numFmt w:val="decimal"/>
      <w:lvlText w:val=""/>
      <w:lvlJc w:val="left"/>
    </w:lvl>
    <w:lvl w:ilvl="2" w:tplc="DB283A68">
      <w:numFmt w:val="decimal"/>
      <w:lvlText w:val=""/>
      <w:lvlJc w:val="left"/>
    </w:lvl>
    <w:lvl w:ilvl="3" w:tplc="00F2B4E6">
      <w:numFmt w:val="decimal"/>
      <w:lvlText w:val=""/>
      <w:lvlJc w:val="left"/>
    </w:lvl>
    <w:lvl w:ilvl="4" w:tplc="4CD28A14">
      <w:numFmt w:val="decimal"/>
      <w:lvlText w:val=""/>
      <w:lvlJc w:val="left"/>
    </w:lvl>
    <w:lvl w:ilvl="5" w:tplc="91DAD9BA">
      <w:numFmt w:val="decimal"/>
      <w:lvlText w:val=""/>
      <w:lvlJc w:val="left"/>
    </w:lvl>
    <w:lvl w:ilvl="6" w:tplc="702827C6">
      <w:numFmt w:val="decimal"/>
      <w:lvlText w:val=""/>
      <w:lvlJc w:val="left"/>
    </w:lvl>
    <w:lvl w:ilvl="7" w:tplc="6310DD9C">
      <w:numFmt w:val="decimal"/>
      <w:lvlText w:val=""/>
      <w:lvlJc w:val="left"/>
    </w:lvl>
    <w:lvl w:ilvl="8" w:tplc="4AF2B8E4">
      <w:numFmt w:val="decimal"/>
      <w:lvlText w:val=""/>
      <w:lvlJc w:val="left"/>
    </w:lvl>
  </w:abstractNum>
  <w:abstractNum w:abstractNumId="476" w15:restartNumberingAfterBreak="0">
    <w:nsid w:val="23290DEA"/>
    <w:multiLevelType w:val="hybridMultilevel"/>
    <w:tmpl w:val="DE502096"/>
    <w:lvl w:ilvl="0" w:tplc="A1C6B45E">
      <w:numFmt w:val="decimal"/>
      <w:lvlText w:val=""/>
      <w:lvlJc w:val="left"/>
    </w:lvl>
    <w:lvl w:ilvl="1" w:tplc="19CCF580">
      <w:start w:val="1"/>
      <w:numFmt w:val="bullet"/>
      <w:lvlText w:val=""/>
      <w:lvlJc w:val="left"/>
      <w:pPr>
        <w:ind w:left="1440" w:hanging="180"/>
      </w:pPr>
      <w:rPr>
        <w:rFonts w:ascii="Symbol" w:hAnsi="Symbol" w:hint="default"/>
      </w:rPr>
    </w:lvl>
    <w:lvl w:ilvl="2" w:tplc="BB7E750E">
      <w:numFmt w:val="decimal"/>
      <w:lvlText w:val=""/>
      <w:lvlJc w:val="left"/>
    </w:lvl>
    <w:lvl w:ilvl="3" w:tplc="F9C47ABA">
      <w:numFmt w:val="decimal"/>
      <w:lvlText w:val=""/>
      <w:lvlJc w:val="left"/>
    </w:lvl>
    <w:lvl w:ilvl="4" w:tplc="D7CE9136">
      <w:numFmt w:val="decimal"/>
      <w:lvlText w:val=""/>
      <w:lvlJc w:val="left"/>
    </w:lvl>
    <w:lvl w:ilvl="5" w:tplc="44A8608A">
      <w:numFmt w:val="decimal"/>
      <w:lvlText w:val=""/>
      <w:lvlJc w:val="left"/>
    </w:lvl>
    <w:lvl w:ilvl="6" w:tplc="F5788D16">
      <w:numFmt w:val="decimal"/>
      <w:lvlText w:val=""/>
      <w:lvlJc w:val="left"/>
    </w:lvl>
    <w:lvl w:ilvl="7" w:tplc="E9A63BE2">
      <w:numFmt w:val="decimal"/>
      <w:lvlText w:val=""/>
      <w:lvlJc w:val="left"/>
    </w:lvl>
    <w:lvl w:ilvl="8" w:tplc="AAD424FE">
      <w:numFmt w:val="decimal"/>
      <w:lvlText w:val=""/>
      <w:lvlJc w:val="left"/>
    </w:lvl>
  </w:abstractNum>
  <w:abstractNum w:abstractNumId="477" w15:restartNumberingAfterBreak="0">
    <w:nsid w:val="23453664"/>
    <w:multiLevelType w:val="hybridMultilevel"/>
    <w:tmpl w:val="AF48E110"/>
    <w:lvl w:ilvl="0" w:tplc="B1B866B4">
      <w:numFmt w:val="decimal"/>
      <w:lvlText w:val=""/>
      <w:lvlJc w:val="left"/>
    </w:lvl>
    <w:lvl w:ilvl="1" w:tplc="964C77B8">
      <w:start w:val="1"/>
      <w:numFmt w:val="bullet"/>
      <w:lvlText w:val=""/>
      <w:lvlJc w:val="left"/>
      <w:pPr>
        <w:ind w:left="1440" w:hanging="180"/>
      </w:pPr>
      <w:rPr>
        <w:rFonts w:ascii="Symbol" w:hAnsi="Symbol" w:hint="default"/>
      </w:rPr>
    </w:lvl>
    <w:lvl w:ilvl="2" w:tplc="4C0030E2">
      <w:numFmt w:val="decimal"/>
      <w:lvlText w:val=""/>
      <w:lvlJc w:val="left"/>
    </w:lvl>
    <w:lvl w:ilvl="3" w:tplc="97727F1A">
      <w:numFmt w:val="decimal"/>
      <w:lvlText w:val=""/>
      <w:lvlJc w:val="left"/>
    </w:lvl>
    <w:lvl w:ilvl="4" w:tplc="812E223C">
      <w:numFmt w:val="decimal"/>
      <w:lvlText w:val=""/>
      <w:lvlJc w:val="left"/>
    </w:lvl>
    <w:lvl w:ilvl="5" w:tplc="C8ECA5BC">
      <w:numFmt w:val="decimal"/>
      <w:lvlText w:val=""/>
      <w:lvlJc w:val="left"/>
    </w:lvl>
    <w:lvl w:ilvl="6" w:tplc="B04ABC12">
      <w:numFmt w:val="decimal"/>
      <w:lvlText w:val=""/>
      <w:lvlJc w:val="left"/>
    </w:lvl>
    <w:lvl w:ilvl="7" w:tplc="97F40A4C">
      <w:numFmt w:val="decimal"/>
      <w:lvlText w:val=""/>
      <w:lvlJc w:val="left"/>
    </w:lvl>
    <w:lvl w:ilvl="8" w:tplc="77CE8AAC">
      <w:numFmt w:val="decimal"/>
      <w:lvlText w:val=""/>
      <w:lvlJc w:val="left"/>
    </w:lvl>
  </w:abstractNum>
  <w:abstractNum w:abstractNumId="478" w15:restartNumberingAfterBreak="0">
    <w:nsid w:val="23512448"/>
    <w:multiLevelType w:val="hybridMultilevel"/>
    <w:tmpl w:val="1A022292"/>
    <w:lvl w:ilvl="0" w:tplc="A04887CE">
      <w:start w:val="1"/>
      <w:numFmt w:val="bullet"/>
      <w:lvlText w:val=""/>
      <w:lvlJc w:val="left"/>
      <w:pPr>
        <w:ind w:left="720" w:hanging="180"/>
      </w:pPr>
      <w:rPr>
        <w:rFonts w:ascii="Symbol" w:hAnsi="Symbol" w:hint="default"/>
      </w:rPr>
    </w:lvl>
    <w:lvl w:ilvl="1" w:tplc="59AEFC0C">
      <w:numFmt w:val="decimal"/>
      <w:lvlText w:val=""/>
      <w:lvlJc w:val="left"/>
    </w:lvl>
    <w:lvl w:ilvl="2" w:tplc="0534F480">
      <w:numFmt w:val="decimal"/>
      <w:lvlText w:val=""/>
      <w:lvlJc w:val="left"/>
    </w:lvl>
    <w:lvl w:ilvl="3" w:tplc="59DEFAF8">
      <w:numFmt w:val="decimal"/>
      <w:lvlText w:val=""/>
      <w:lvlJc w:val="left"/>
    </w:lvl>
    <w:lvl w:ilvl="4" w:tplc="82EE8166">
      <w:numFmt w:val="decimal"/>
      <w:lvlText w:val=""/>
      <w:lvlJc w:val="left"/>
    </w:lvl>
    <w:lvl w:ilvl="5" w:tplc="BB30D8D8">
      <w:numFmt w:val="decimal"/>
      <w:lvlText w:val=""/>
      <w:lvlJc w:val="left"/>
    </w:lvl>
    <w:lvl w:ilvl="6" w:tplc="969EA51E">
      <w:numFmt w:val="decimal"/>
      <w:lvlText w:val=""/>
      <w:lvlJc w:val="left"/>
    </w:lvl>
    <w:lvl w:ilvl="7" w:tplc="230251B4">
      <w:numFmt w:val="decimal"/>
      <w:lvlText w:val=""/>
      <w:lvlJc w:val="left"/>
    </w:lvl>
    <w:lvl w:ilvl="8" w:tplc="ED022E58">
      <w:numFmt w:val="decimal"/>
      <w:lvlText w:val=""/>
      <w:lvlJc w:val="left"/>
    </w:lvl>
  </w:abstractNum>
  <w:abstractNum w:abstractNumId="479" w15:restartNumberingAfterBreak="0">
    <w:nsid w:val="236043F3"/>
    <w:multiLevelType w:val="hybridMultilevel"/>
    <w:tmpl w:val="178CC958"/>
    <w:lvl w:ilvl="0" w:tplc="D7D6C456">
      <w:start w:val="1"/>
      <w:numFmt w:val="bullet"/>
      <w:lvlText w:val=""/>
      <w:lvlJc w:val="left"/>
      <w:pPr>
        <w:ind w:left="720" w:hanging="180"/>
      </w:pPr>
      <w:rPr>
        <w:rFonts w:ascii="Symbol" w:hAnsi="Symbol" w:hint="default"/>
      </w:rPr>
    </w:lvl>
    <w:lvl w:ilvl="1" w:tplc="9920F3C2">
      <w:numFmt w:val="decimal"/>
      <w:lvlText w:val=""/>
      <w:lvlJc w:val="left"/>
    </w:lvl>
    <w:lvl w:ilvl="2" w:tplc="1EB09822">
      <w:numFmt w:val="decimal"/>
      <w:lvlText w:val=""/>
      <w:lvlJc w:val="left"/>
    </w:lvl>
    <w:lvl w:ilvl="3" w:tplc="F59AA5D2">
      <w:numFmt w:val="decimal"/>
      <w:lvlText w:val=""/>
      <w:lvlJc w:val="left"/>
    </w:lvl>
    <w:lvl w:ilvl="4" w:tplc="FC3E8DDE">
      <w:numFmt w:val="decimal"/>
      <w:lvlText w:val=""/>
      <w:lvlJc w:val="left"/>
    </w:lvl>
    <w:lvl w:ilvl="5" w:tplc="13BA44B2">
      <w:numFmt w:val="decimal"/>
      <w:lvlText w:val=""/>
      <w:lvlJc w:val="left"/>
    </w:lvl>
    <w:lvl w:ilvl="6" w:tplc="C7DE46D0">
      <w:numFmt w:val="decimal"/>
      <w:lvlText w:val=""/>
      <w:lvlJc w:val="left"/>
    </w:lvl>
    <w:lvl w:ilvl="7" w:tplc="227066D6">
      <w:numFmt w:val="decimal"/>
      <w:lvlText w:val=""/>
      <w:lvlJc w:val="left"/>
    </w:lvl>
    <w:lvl w:ilvl="8" w:tplc="BF6E89E6">
      <w:numFmt w:val="decimal"/>
      <w:lvlText w:val=""/>
      <w:lvlJc w:val="left"/>
    </w:lvl>
  </w:abstractNum>
  <w:abstractNum w:abstractNumId="480" w15:restartNumberingAfterBreak="0">
    <w:nsid w:val="2365022B"/>
    <w:multiLevelType w:val="hybridMultilevel"/>
    <w:tmpl w:val="C4348BE4"/>
    <w:lvl w:ilvl="0" w:tplc="47062B60">
      <w:start w:val="1"/>
      <w:numFmt w:val="bullet"/>
      <w:lvlText w:val=""/>
      <w:lvlJc w:val="left"/>
      <w:pPr>
        <w:ind w:left="720" w:hanging="180"/>
      </w:pPr>
      <w:rPr>
        <w:rFonts w:ascii="Symbol" w:hAnsi="Symbol" w:hint="default"/>
      </w:rPr>
    </w:lvl>
    <w:lvl w:ilvl="1" w:tplc="78F0121A">
      <w:numFmt w:val="decimal"/>
      <w:lvlText w:val=""/>
      <w:lvlJc w:val="left"/>
    </w:lvl>
    <w:lvl w:ilvl="2" w:tplc="F104C098">
      <w:numFmt w:val="decimal"/>
      <w:lvlText w:val=""/>
      <w:lvlJc w:val="left"/>
    </w:lvl>
    <w:lvl w:ilvl="3" w:tplc="4364A476">
      <w:numFmt w:val="decimal"/>
      <w:lvlText w:val=""/>
      <w:lvlJc w:val="left"/>
    </w:lvl>
    <w:lvl w:ilvl="4" w:tplc="D4F428B4">
      <w:numFmt w:val="decimal"/>
      <w:lvlText w:val=""/>
      <w:lvlJc w:val="left"/>
    </w:lvl>
    <w:lvl w:ilvl="5" w:tplc="D4A8F024">
      <w:numFmt w:val="decimal"/>
      <w:lvlText w:val=""/>
      <w:lvlJc w:val="left"/>
    </w:lvl>
    <w:lvl w:ilvl="6" w:tplc="5C3008EE">
      <w:numFmt w:val="decimal"/>
      <w:lvlText w:val=""/>
      <w:lvlJc w:val="left"/>
    </w:lvl>
    <w:lvl w:ilvl="7" w:tplc="EC1446AA">
      <w:numFmt w:val="decimal"/>
      <w:lvlText w:val=""/>
      <w:lvlJc w:val="left"/>
    </w:lvl>
    <w:lvl w:ilvl="8" w:tplc="53204EEE">
      <w:numFmt w:val="decimal"/>
      <w:lvlText w:val=""/>
      <w:lvlJc w:val="left"/>
    </w:lvl>
  </w:abstractNum>
  <w:abstractNum w:abstractNumId="481" w15:restartNumberingAfterBreak="0">
    <w:nsid w:val="23790ABE"/>
    <w:multiLevelType w:val="hybridMultilevel"/>
    <w:tmpl w:val="7DACAC9C"/>
    <w:lvl w:ilvl="0" w:tplc="7154369E">
      <w:numFmt w:val="decimal"/>
      <w:lvlText w:val=""/>
      <w:lvlJc w:val="left"/>
    </w:lvl>
    <w:lvl w:ilvl="1" w:tplc="DB96CC98">
      <w:start w:val="1"/>
      <w:numFmt w:val="bullet"/>
      <w:lvlText w:val=""/>
      <w:lvlJc w:val="left"/>
      <w:pPr>
        <w:ind w:left="1440" w:hanging="180"/>
      </w:pPr>
      <w:rPr>
        <w:rFonts w:ascii="Symbol" w:hAnsi="Symbol" w:hint="default"/>
      </w:rPr>
    </w:lvl>
    <w:lvl w:ilvl="2" w:tplc="6EC6325A">
      <w:numFmt w:val="decimal"/>
      <w:lvlText w:val=""/>
      <w:lvlJc w:val="left"/>
    </w:lvl>
    <w:lvl w:ilvl="3" w:tplc="FB0A3740">
      <w:numFmt w:val="decimal"/>
      <w:lvlText w:val=""/>
      <w:lvlJc w:val="left"/>
    </w:lvl>
    <w:lvl w:ilvl="4" w:tplc="0F9ACA52">
      <w:numFmt w:val="decimal"/>
      <w:lvlText w:val=""/>
      <w:lvlJc w:val="left"/>
    </w:lvl>
    <w:lvl w:ilvl="5" w:tplc="40C89FA2">
      <w:numFmt w:val="decimal"/>
      <w:lvlText w:val=""/>
      <w:lvlJc w:val="left"/>
    </w:lvl>
    <w:lvl w:ilvl="6" w:tplc="A58A186E">
      <w:numFmt w:val="decimal"/>
      <w:lvlText w:val=""/>
      <w:lvlJc w:val="left"/>
    </w:lvl>
    <w:lvl w:ilvl="7" w:tplc="8F34234C">
      <w:numFmt w:val="decimal"/>
      <w:lvlText w:val=""/>
      <w:lvlJc w:val="left"/>
    </w:lvl>
    <w:lvl w:ilvl="8" w:tplc="70B2D540">
      <w:numFmt w:val="decimal"/>
      <w:lvlText w:val=""/>
      <w:lvlJc w:val="left"/>
    </w:lvl>
  </w:abstractNum>
  <w:abstractNum w:abstractNumId="482" w15:restartNumberingAfterBreak="0">
    <w:nsid w:val="23C85E0E"/>
    <w:multiLevelType w:val="hybridMultilevel"/>
    <w:tmpl w:val="F3583A2A"/>
    <w:lvl w:ilvl="0" w:tplc="C1AA341E">
      <w:start w:val="1"/>
      <w:numFmt w:val="bullet"/>
      <w:lvlText w:val=""/>
      <w:lvlJc w:val="left"/>
      <w:pPr>
        <w:ind w:left="720" w:hanging="180"/>
      </w:pPr>
      <w:rPr>
        <w:rFonts w:ascii="Symbol" w:hAnsi="Symbol" w:hint="default"/>
      </w:rPr>
    </w:lvl>
    <w:lvl w:ilvl="1" w:tplc="EAC07DDC">
      <w:numFmt w:val="decimal"/>
      <w:lvlText w:val=""/>
      <w:lvlJc w:val="left"/>
    </w:lvl>
    <w:lvl w:ilvl="2" w:tplc="03D20730">
      <w:numFmt w:val="decimal"/>
      <w:lvlText w:val=""/>
      <w:lvlJc w:val="left"/>
    </w:lvl>
    <w:lvl w:ilvl="3" w:tplc="394433EA">
      <w:numFmt w:val="decimal"/>
      <w:lvlText w:val=""/>
      <w:lvlJc w:val="left"/>
    </w:lvl>
    <w:lvl w:ilvl="4" w:tplc="F286827A">
      <w:numFmt w:val="decimal"/>
      <w:lvlText w:val=""/>
      <w:lvlJc w:val="left"/>
    </w:lvl>
    <w:lvl w:ilvl="5" w:tplc="E3A26B3E">
      <w:numFmt w:val="decimal"/>
      <w:lvlText w:val=""/>
      <w:lvlJc w:val="left"/>
    </w:lvl>
    <w:lvl w:ilvl="6" w:tplc="9544D904">
      <w:numFmt w:val="decimal"/>
      <w:lvlText w:val=""/>
      <w:lvlJc w:val="left"/>
    </w:lvl>
    <w:lvl w:ilvl="7" w:tplc="F918BFB0">
      <w:numFmt w:val="decimal"/>
      <w:lvlText w:val=""/>
      <w:lvlJc w:val="left"/>
    </w:lvl>
    <w:lvl w:ilvl="8" w:tplc="725A4180">
      <w:numFmt w:val="decimal"/>
      <w:lvlText w:val=""/>
      <w:lvlJc w:val="left"/>
    </w:lvl>
  </w:abstractNum>
  <w:abstractNum w:abstractNumId="483" w15:restartNumberingAfterBreak="0">
    <w:nsid w:val="23D43BFD"/>
    <w:multiLevelType w:val="hybridMultilevel"/>
    <w:tmpl w:val="1C34463C"/>
    <w:lvl w:ilvl="0" w:tplc="B9A0BC8A">
      <w:numFmt w:val="decimal"/>
      <w:lvlText w:val=""/>
      <w:lvlJc w:val="left"/>
    </w:lvl>
    <w:lvl w:ilvl="1" w:tplc="8A70891E">
      <w:start w:val="1"/>
      <w:numFmt w:val="bullet"/>
      <w:lvlText w:val=""/>
      <w:lvlJc w:val="left"/>
      <w:pPr>
        <w:ind w:left="1440" w:hanging="180"/>
      </w:pPr>
      <w:rPr>
        <w:rFonts w:ascii="Symbol" w:hAnsi="Symbol" w:hint="default"/>
      </w:rPr>
    </w:lvl>
    <w:lvl w:ilvl="2" w:tplc="CA78E8EE">
      <w:numFmt w:val="decimal"/>
      <w:lvlText w:val=""/>
      <w:lvlJc w:val="left"/>
    </w:lvl>
    <w:lvl w:ilvl="3" w:tplc="B414DBC2">
      <w:numFmt w:val="decimal"/>
      <w:lvlText w:val=""/>
      <w:lvlJc w:val="left"/>
    </w:lvl>
    <w:lvl w:ilvl="4" w:tplc="1E32E834">
      <w:numFmt w:val="decimal"/>
      <w:lvlText w:val=""/>
      <w:lvlJc w:val="left"/>
    </w:lvl>
    <w:lvl w:ilvl="5" w:tplc="CC707136">
      <w:numFmt w:val="decimal"/>
      <w:lvlText w:val=""/>
      <w:lvlJc w:val="left"/>
    </w:lvl>
    <w:lvl w:ilvl="6" w:tplc="C7E2E160">
      <w:numFmt w:val="decimal"/>
      <w:lvlText w:val=""/>
      <w:lvlJc w:val="left"/>
    </w:lvl>
    <w:lvl w:ilvl="7" w:tplc="C7488718">
      <w:numFmt w:val="decimal"/>
      <w:lvlText w:val=""/>
      <w:lvlJc w:val="left"/>
    </w:lvl>
    <w:lvl w:ilvl="8" w:tplc="28F80982">
      <w:numFmt w:val="decimal"/>
      <w:lvlText w:val=""/>
      <w:lvlJc w:val="left"/>
    </w:lvl>
  </w:abstractNum>
  <w:abstractNum w:abstractNumId="484" w15:restartNumberingAfterBreak="0">
    <w:nsid w:val="23DC76FF"/>
    <w:multiLevelType w:val="hybridMultilevel"/>
    <w:tmpl w:val="CAB63E34"/>
    <w:lvl w:ilvl="0" w:tplc="D406AA7A">
      <w:start w:val="1"/>
      <w:numFmt w:val="bullet"/>
      <w:lvlText w:val=""/>
      <w:lvlJc w:val="left"/>
      <w:pPr>
        <w:ind w:left="720" w:hanging="180"/>
      </w:pPr>
      <w:rPr>
        <w:rFonts w:ascii="Symbol" w:hAnsi="Symbol" w:hint="default"/>
      </w:rPr>
    </w:lvl>
    <w:lvl w:ilvl="1" w:tplc="A5509452">
      <w:numFmt w:val="decimal"/>
      <w:lvlText w:val=""/>
      <w:lvlJc w:val="left"/>
    </w:lvl>
    <w:lvl w:ilvl="2" w:tplc="B3FC8340">
      <w:numFmt w:val="decimal"/>
      <w:lvlText w:val=""/>
      <w:lvlJc w:val="left"/>
    </w:lvl>
    <w:lvl w:ilvl="3" w:tplc="9B847F8C">
      <w:numFmt w:val="decimal"/>
      <w:lvlText w:val=""/>
      <w:lvlJc w:val="left"/>
    </w:lvl>
    <w:lvl w:ilvl="4" w:tplc="81EA6EA0">
      <w:numFmt w:val="decimal"/>
      <w:lvlText w:val=""/>
      <w:lvlJc w:val="left"/>
    </w:lvl>
    <w:lvl w:ilvl="5" w:tplc="604E1426">
      <w:numFmt w:val="decimal"/>
      <w:lvlText w:val=""/>
      <w:lvlJc w:val="left"/>
    </w:lvl>
    <w:lvl w:ilvl="6" w:tplc="60E0F008">
      <w:numFmt w:val="decimal"/>
      <w:lvlText w:val=""/>
      <w:lvlJc w:val="left"/>
    </w:lvl>
    <w:lvl w:ilvl="7" w:tplc="01242E04">
      <w:numFmt w:val="decimal"/>
      <w:lvlText w:val=""/>
      <w:lvlJc w:val="left"/>
    </w:lvl>
    <w:lvl w:ilvl="8" w:tplc="D12067DE">
      <w:numFmt w:val="decimal"/>
      <w:lvlText w:val=""/>
      <w:lvlJc w:val="left"/>
    </w:lvl>
  </w:abstractNum>
  <w:abstractNum w:abstractNumId="485" w15:restartNumberingAfterBreak="0">
    <w:nsid w:val="23EA0186"/>
    <w:multiLevelType w:val="hybridMultilevel"/>
    <w:tmpl w:val="27E8688A"/>
    <w:lvl w:ilvl="0" w:tplc="D1927A0E">
      <w:start w:val="1"/>
      <w:numFmt w:val="bullet"/>
      <w:lvlText w:val=""/>
      <w:lvlJc w:val="left"/>
      <w:pPr>
        <w:ind w:left="720" w:hanging="180"/>
      </w:pPr>
      <w:rPr>
        <w:rFonts w:ascii="Symbol" w:hAnsi="Symbol" w:hint="default"/>
      </w:rPr>
    </w:lvl>
    <w:lvl w:ilvl="1" w:tplc="0068DC0E">
      <w:numFmt w:val="decimal"/>
      <w:lvlText w:val=""/>
      <w:lvlJc w:val="left"/>
    </w:lvl>
    <w:lvl w:ilvl="2" w:tplc="A9E4176A">
      <w:numFmt w:val="decimal"/>
      <w:lvlText w:val=""/>
      <w:lvlJc w:val="left"/>
    </w:lvl>
    <w:lvl w:ilvl="3" w:tplc="B560CD36">
      <w:numFmt w:val="decimal"/>
      <w:lvlText w:val=""/>
      <w:lvlJc w:val="left"/>
    </w:lvl>
    <w:lvl w:ilvl="4" w:tplc="4A7004C2">
      <w:numFmt w:val="decimal"/>
      <w:lvlText w:val=""/>
      <w:lvlJc w:val="left"/>
    </w:lvl>
    <w:lvl w:ilvl="5" w:tplc="DB14332A">
      <w:numFmt w:val="decimal"/>
      <w:lvlText w:val=""/>
      <w:lvlJc w:val="left"/>
    </w:lvl>
    <w:lvl w:ilvl="6" w:tplc="2BA0FCC6">
      <w:numFmt w:val="decimal"/>
      <w:lvlText w:val=""/>
      <w:lvlJc w:val="left"/>
    </w:lvl>
    <w:lvl w:ilvl="7" w:tplc="DCE841BE">
      <w:numFmt w:val="decimal"/>
      <w:lvlText w:val=""/>
      <w:lvlJc w:val="left"/>
    </w:lvl>
    <w:lvl w:ilvl="8" w:tplc="977C0FE8">
      <w:numFmt w:val="decimal"/>
      <w:lvlText w:val=""/>
      <w:lvlJc w:val="left"/>
    </w:lvl>
  </w:abstractNum>
  <w:abstractNum w:abstractNumId="486" w15:restartNumberingAfterBreak="0">
    <w:nsid w:val="23F64693"/>
    <w:multiLevelType w:val="hybridMultilevel"/>
    <w:tmpl w:val="59825424"/>
    <w:lvl w:ilvl="0" w:tplc="478E8EF8">
      <w:start w:val="1"/>
      <w:numFmt w:val="bullet"/>
      <w:lvlText w:val=""/>
      <w:lvlJc w:val="left"/>
      <w:pPr>
        <w:ind w:left="720" w:hanging="180"/>
      </w:pPr>
      <w:rPr>
        <w:rFonts w:ascii="Symbol" w:hAnsi="Symbol" w:hint="default"/>
      </w:rPr>
    </w:lvl>
    <w:lvl w:ilvl="1" w:tplc="5CD60A26">
      <w:numFmt w:val="decimal"/>
      <w:lvlText w:val=""/>
      <w:lvlJc w:val="left"/>
    </w:lvl>
    <w:lvl w:ilvl="2" w:tplc="B3B494A4">
      <w:numFmt w:val="decimal"/>
      <w:lvlText w:val=""/>
      <w:lvlJc w:val="left"/>
    </w:lvl>
    <w:lvl w:ilvl="3" w:tplc="E76EE9B8">
      <w:numFmt w:val="decimal"/>
      <w:lvlText w:val=""/>
      <w:lvlJc w:val="left"/>
    </w:lvl>
    <w:lvl w:ilvl="4" w:tplc="C67C1B64">
      <w:numFmt w:val="decimal"/>
      <w:lvlText w:val=""/>
      <w:lvlJc w:val="left"/>
    </w:lvl>
    <w:lvl w:ilvl="5" w:tplc="36FE0C06">
      <w:numFmt w:val="decimal"/>
      <w:lvlText w:val=""/>
      <w:lvlJc w:val="left"/>
    </w:lvl>
    <w:lvl w:ilvl="6" w:tplc="98A8D176">
      <w:numFmt w:val="decimal"/>
      <w:lvlText w:val=""/>
      <w:lvlJc w:val="left"/>
    </w:lvl>
    <w:lvl w:ilvl="7" w:tplc="5788820C">
      <w:numFmt w:val="decimal"/>
      <w:lvlText w:val=""/>
      <w:lvlJc w:val="left"/>
    </w:lvl>
    <w:lvl w:ilvl="8" w:tplc="7C5650E2">
      <w:numFmt w:val="decimal"/>
      <w:lvlText w:val=""/>
      <w:lvlJc w:val="left"/>
    </w:lvl>
  </w:abstractNum>
  <w:abstractNum w:abstractNumId="487" w15:restartNumberingAfterBreak="0">
    <w:nsid w:val="240474FA"/>
    <w:multiLevelType w:val="hybridMultilevel"/>
    <w:tmpl w:val="F6104A0C"/>
    <w:lvl w:ilvl="0" w:tplc="194CCCAC">
      <w:start w:val="1"/>
      <w:numFmt w:val="bullet"/>
      <w:lvlText w:val=""/>
      <w:lvlJc w:val="left"/>
      <w:pPr>
        <w:ind w:left="720" w:hanging="180"/>
      </w:pPr>
      <w:rPr>
        <w:rFonts w:ascii="Symbol" w:hAnsi="Symbol" w:hint="default"/>
      </w:rPr>
    </w:lvl>
    <w:lvl w:ilvl="1" w:tplc="67CA4774">
      <w:numFmt w:val="decimal"/>
      <w:lvlText w:val=""/>
      <w:lvlJc w:val="left"/>
    </w:lvl>
    <w:lvl w:ilvl="2" w:tplc="B3182D18">
      <w:numFmt w:val="decimal"/>
      <w:lvlText w:val=""/>
      <w:lvlJc w:val="left"/>
    </w:lvl>
    <w:lvl w:ilvl="3" w:tplc="61768956">
      <w:numFmt w:val="decimal"/>
      <w:lvlText w:val=""/>
      <w:lvlJc w:val="left"/>
    </w:lvl>
    <w:lvl w:ilvl="4" w:tplc="361C48F8">
      <w:numFmt w:val="decimal"/>
      <w:lvlText w:val=""/>
      <w:lvlJc w:val="left"/>
    </w:lvl>
    <w:lvl w:ilvl="5" w:tplc="EA789024">
      <w:numFmt w:val="decimal"/>
      <w:lvlText w:val=""/>
      <w:lvlJc w:val="left"/>
    </w:lvl>
    <w:lvl w:ilvl="6" w:tplc="36FCC424">
      <w:numFmt w:val="decimal"/>
      <w:lvlText w:val=""/>
      <w:lvlJc w:val="left"/>
    </w:lvl>
    <w:lvl w:ilvl="7" w:tplc="0AF8435E">
      <w:numFmt w:val="decimal"/>
      <w:lvlText w:val=""/>
      <w:lvlJc w:val="left"/>
    </w:lvl>
    <w:lvl w:ilvl="8" w:tplc="BE72CE06">
      <w:numFmt w:val="decimal"/>
      <w:lvlText w:val=""/>
      <w:lvlJc w:val="left"/>
    </w:lvl>
  </w:abstractNum>
  <w:abstractNum w:abstractNumId="488" w15:restartNumberingAfterBreak="0">
    <w:nsid w:val="242E2084"/>
    <w:multiLevelType w:val="hybridMultilevel"/>
    <w:tmpl w:val="3B34A7E8"/>
    <w:lvl w:ilvl="0" w:tplc="214E21E6">
      <w:start w:val="1"/>
      <w:numFmt w:val="bullet"/>
      <w:lvlText w:val=""/>
      <w:lvlJc w:val="left"/>
      <w:pPr>
        <w:ind w:left="720" w:hanging="180"/>
      </w:pPr>
      <w:rPr>
        <w:rFonts w:ascii="Symbol" w:hAnsi="Symbol" w:hint="default"/>
      </w:rPr>
    </w:lvl>
    <w:lvl w:ilvl="1" w:tplc="C0564618">
      <w:numFmt w:val="decimal"/>
      <w:lvlText w:val=""/>
      <w:lvlJc w:val="left"/>
    </w:lvl>
    <w:lvl w:ilvl="2" w:tplc="52421600">
      <w:numFmt w:val="decimal"/>
      <w:lvlText w:val=""/>
      <w:lvlJc w:val="left"/>
    </w:lvl>
    <w:lvl w:ilvl="3" w:tplc="75F8391C">
      <w:numFmt w:val="decimal"/>
      <w:lvlText w:val=""/>
      <w:lvlJc w:val="left"/>
    </w:lvl>
    <w:lvl w:ilvl="4" w:tplc="6B6A4C5C">
      <w:numFmt w:val="decimal"/>
      <w:lvlText w:val=""/>
      <w:lvlJc w:val="left"/>
    </w:lvl>
    <w:lvl w:ilvl="5" w:tplc="B2A03038">
      <w:numFmt w:val="decimal"/>
      <w:lvlText w:val=""/>
      <w:lvlJc w:val="left"/>
    </w:lvl>
    <w:lvl w:ilvl="6" w:tplc="3D183692">
      <w:numFmt w:val="decimal"/>
      <w:lvlText w:val=""/>
      <w:lvlJc w:val="left"/>
    </w:lvl>
    <w:lvl w:ilvl="7" w:tplc="07802498">
      <w:numFmt w:val="decimal"/>
      <w:lvlText w:val=""/>
      <w:lvlJc w:val="left"/>
    </w:lvl>
    <w:lvl w:ilvl="8" w:tplc="22D23BA0">
      <w:numFmt w:val="decimal"/>
      <w:lvlText w:val=""/>
      <w:lvlJc w:val="left"/>
    </w:lvl>
  </w:abstractNum>
  <w:abstractNum w:abstractNumId="489" w15:restartNumberingAfterBreak="0">
    <w:nsid w:val="243A10A0"/>
    <w:multiLevelType w:val="hybridMultilevel"/>
    <w:tmpl w:val="D592F8C0"/>
    <w:lvl w:ilvl="0" w:tplc="9F1EBCAE">
      <w:start w:val="1"/>
      <w:numFmt w:val="bullet"/>
      <w:lvlText w:val=""/>
      <w:lvlJc w:val="left"/>
      <w:pPr>
        <w:ind w:left="720" w:hanging="180"/>
      </w:pPr>
      <w:rPr>
        <w:rFonts w:ascii="Symbol" w:hAnsi="Symbol" w:hint="default"/>
      </w:rPr>
    </w:lvl>
    <w:lvl w:ilvl="1" w:tplc="19B2040A">
      <w:numFmt w:val="decimal"/>
      <w:lvlText w:val=""/>
      <w:lvlJc w:val="left"/>
    </w:lvl>
    <w:lvl w:ilvl="2" w:tplc="610CA57A">
      <w:numFmt w:val="decimal"/>
      <w:lvlText w:val=""/>
      <w:lvlJc w:val="left"/>
    </w:lvl>
    <w:lvl w:ilvl="3" w:tplc="DA84A2DE">
      <w:numFmt w:val="decimal"/>
      <w:lvlText w:val=""/>
      <w:lvlJc w:val="left"/>
    </w:lvl>
    <w:lvl w:ilvl="4" w:tplc="CE6E1028">
      <w:numFmt w:val="decimal"/>
      <w:lvlText w:val=""/>
      <w:lvlJc w:val="left"/>
    </w:lvl>
    <w:lvl w:ilvl="5" w:tplc="12021464">
      <w:numFmt w:val="decimal"/>
      <w:lvlText w:val=""/>
      <w:lvlJc w:val="left"/>
    </w:lvl>
    <w:lvl w:ilvl="6" w:tplc="8C947792">
      <w:numFmt w:val="decimal"/>
      <w:lvlText w:val=""/>
      <w:lvlJc w:val="left"/>
    </w:lvl>
    <w:lvl w:ilvl="7" w:tplc="8500E6C4">
      <w:numFmt w:val="decimal"/>
      <w:lvlText w:val=""/>
      <w:lvlJc w:val="left"/>
    </w:lvl>
    <w:lvl w:ilvl="8" w:tplc="94F04720">
      <w:numFmt w:val="decimal"/>
      <w:lvlText w:val=""/>
      <w:lvlJc w:val="left"/>
    </w:lvl>
  </w:abstractNum>
  <w:abstractNum w:abstractNumId="490" w15:restartNumberingAfterBreak="0">
    <w:nsid w:val="24650092"/>
    <w:multiLevelType w:val="hybridMultilevel"/>
    <w:tmpl w:val="405203A4"/>
    <w:lvl w:ilvl="0" w:tplc="06E282CA">
      <w:start w:val="1"/>
      <w:numFmt w:val="bullet"/>
      <w:lvlText w:val=""/>
      <w:lvlJc w:val="left"/>
      <w:pPr>
        <w:ind w:left="720" w:hanging="180"/>
      </w:pPr>
      <w:rPr>
        <w:rFonts w:ascii="Symbol" w:hAnsi="Symbol" w:hint="default"/>
      </w:rPr>
    </w:lvl>
    <w:lvl w:ilvl="1" w:tplc="1D7680FC">
      <w:numFmt w:val="decimal"/>
      <w:lvlText w:val=""/>
      <w:lvlJc w:val="left"/>
    </w:lvl>
    <w:lvl w:ilvl="2" w:tplc="B288A236">
      <w:numFmt w:val="decimal"/>
      <w:lvlText w:val=""/>
      <w:lvlJc w:val="left"/>
    </w:lvl>
    <w:lvl w:ilvl="3" w:tplc="7B609D32">
      <w:numFmt w:val="decimal"/>
      <w:lvlText w:val=""/>
      <w:lvlJc w:val="left"/>
    </w:lvl>
    <w:lvl w:ilvl="4" w:tplc="12A4A31A">
      <w:numFmt w:val="decimal"/>
      <w:lvlText w:val=""/>
      <w:lvlJc w:val="left"/>
    </w:lvl>
    <w:lvl w:ilvl="5" w:tplc="B44EA622">
      <w:numFmt w:val="decimal"/>
      <w:lvlText w:val=""/>
      <w:lvlJc w:val="left"/>
    </w:lvl>
    <w:lvl w:ilvl="6" w:tplc="ECAAF60C">
      <w:numFmt w:val="decimal"/>
      <w:lvlText w:val=""/>
      <w:lvlJc w:val="left"/>
    </w:lvl>
    <w:lvl w:ilvl="7" w:tplc="C6E4CDCA">
      <w:numFmt w:val="decimal"/>
      <w:lvlText w:val=""/>
      <w:lvlJc w:val="left"/>
    </w:lvl>
    <w:lvl w:ilvl="8" w:tplc="66624738">
      <w:numFmt w:val="decimal"/>
      <w:lvlText w:val=""/>
      <w:lvlJc w:val="left"/>
    </w:lvl>
  </w:abstractNum>
  <w:abstractNum w:abstractNumId="491" w15:restartNumberingAfterBreak="0">
    <w:nsid w:val="247E1FDC"/>
    <w:multiLevelType w:val="hybridMultilevel"/>
    <w:tmpl w:val="E77E493E"/>
    <w:lvl w:ilvl="0" w:tplc="5B702BEE">
      <w:start w:val="1"/>
      <w:numFmt w:val="bullet"/>
      <w:lvlText w:val=""/>
      <w:lvlJc w:val="left"/>
      <w:pPr>
        <w:ind w:left="720" w:hanging="180"/>
      </w:pPr>
      <w:rPr>
        <w:rFonts w:ascii="Symbol" w:hAnsi="Symbol" w:hint="default"/>
      </w:rPr>
    </w:lvl>
    <w:lvl w:ilvl="1" w:tplc="C0F043C4">
      <w:numFmt w:val="decimal"/>
      <w:lvlText w:val=""/>
      <w:lvlJc w:val="left"/>
    </w:lvl>
    <w:lvl w:ilvl="2" w:tplc="15A2325C">
      <w:numFmt w:val="decimal"/>
      <w:lvlText w:val=""/>
      <w:lvlJc w:val="left"/>
    </w:lvl>
    <w:lvl w:ilvl="3" w:tplc="4754E5AC">
      <w:numFmt w:val="decimal"/>
      <w:lvlText w:val=""/>
      <w:lvlJc w:val="left"/>
    </w:lvl>
    <w:lvl w:ilvl="4" w:tplc="AED49D60">
      <w:numFmt w:val="decimal"/>
      <w:lvlText w:val=""/>
      <w:lvlJc w:val="left"/>
    </w:lvl>
    <w:lvl w:ilvl="5" w:tplc="04BCD83E">
      <w:numFmt w:val="decimal"/>
      <w:lvlText w:val=""/>
      <w:lvlJc w:val="left"/>
    </w:lvl>
    <w:lvl w:ilvl="6" w:tplc="7666A5EC">
      <w:numFmt w:val="decimal"/>
      <w:lvlText w:val=""/>
      <w:lvlJc w:val="left"/>
    </w:lvl>
    <w:lvl w:ilvl="7" w:tplc="EFA885E0">
      <w:numFmt w:val="decimal"/>
      <w:lvlText w:val=""/>
      <w:lvlJc w:val="left"/>
    </w:lvl>
    <w:lvl w:ilvl="8" w:tplc="4B1CE008">
      <w:numFmt w:val="decimal"/>
      <w:lvlText w:val=""/>
      <w:lvlJc w:val="left"/>
    </w:lvl>
  </w:abstractNum>
  <w:abstractNum w:abstractNumId="492" w15:restartNumberingAfterBreak="0">
    <w:nsid w:val="248A0770"/>
    <w:multiLevelType w:val="hybridMultilevel"/>
    <w:tmpl w:val="F0A443BC"/>
    <w:lvl w:ilvl="0" w:tplc="0C488F38">
      <w:start w:val="1"/>
      <w:numFmt w:val="bullet"/>
      <w:lvlText w:val=""/>
      <w:lvlJc w:val="left"/>
      <w:pPr>
        <w:ind w:left="720" w:hanging="180"/>
      </w:pPr>
      <w:rPr>
        <w:rFonts w:ascii="Symbol" w:hAnsi="Symbol" w:hint="default"/>
      </w:rPr>
    </w:lvl>
    <w:lvl w:ilvl="1" w:tplc="D11CCC0A">
      <w:numFmt w:val="decimal"/>
      <w:lvlText w:val=""/>
      <w:lvlJc w:val="left"/>
    </w:lvl>
    <w:lvl w:ilvl="2" w:tplc="38F8E50C">
      <w:numFmt w:val="decimal"/>
      <w:lvlText w:val=""/>
      <w:lvlJc w:val="left"/>
    </w:lvl>
    <w:lvl w:ilvl="3" w:tplc="9752AB9E">
      <w:numFmt w:val="decimal"/>
      <w:lvlText w:val=""/>
      <w:lvlJc w:val="left"/>
    </w:lvl>
    <w:lvl w:ilvl="4" w:tplc="45A07292">
      <w:numFmt w:val="decimal"/>
      <w:lvlText w:val=""/>
      <w:lvlJc w:val="left"/>
    </w:lvl>
    <w:lvl w:ilvl="5" w:tplc="B12A2648">
      <w:numFmt w:val="decimal"/>
      <w:lvlText w:val=""/>
      <w:lvlJc w:val="left"/>
    </w:lvl>
    <w:lvl w:ilvl="6" w:tplc="F9BC26AE">
      <w:numFmt w:val="decimal"/>
      <w:lvlText w:val=""/>
      <w:lvlJc w:val="left"/>
    </w:lvl>
    <w:lvl w:ilvl="7" w:tplc="6720B316">
      <w:numFmt w:val="decimal"/>
      <w:lvlText w:val=""/>
      <w:lvlJc w:val="left"/>
    </w:lvl>
    <w:lvl w:ilvl="8" w:tplc="E9E48BE8">
      <w:numFmt w:val="decimal"/>
      <w:lvlText w:val=""/>
      <w:lvlJc w:val="left"/>
    </w:lvl>
  </w:abstractNum>
  <w:abstractNum w:abstractNumId="493" w15:restartNumberingAfterBreak="0">
    <w:nsid w:val="248B1945"/>
    <w:multiLevelType w:val="hybridMultilevel"/>
    <w:tmpl w:val="320C8662"/>
    <w:lvl w:ilvl="0" w:tplc="FD5EA102">
      <w:start w:val="1"/>
      <w:numFmt w:val="bullet"/>
      <w:lvlText w:val=""/>
      <w:lvlJc w:val="left"/>
      <w:pPr>
        <w:ind w:left="720" w:hanging="180"/>
      </w:pPr>
      <w:rPr>
        <w:rFonts w:ascii="Symbol" w:hAnsi="Symbol" w:hint="default"/>
      </w:rPr>
    </w:lvl>
    <w:lvl w:ilvl="1" w:tplc="7ABACCF4">
      <w:numFmt w:val="decimal"/>
      <w:lvlText w:val=""/>
      <w:lvlJc w:val="left"/>
    </w:lvl>
    <w:lvl w:ilvl="2" w:tplc="65525706">
      <w:numFmt w:val="decimal"/>
      <w:lvlText w:val=""/>
      <w:lvlJc w:val="left"/>
    </w:lvl>
    <w:lvl w:ilvl="3" w:tplc="14D20972">
      <w:numFmt w:val="decimal"/>
      <w:lvlText w:val=""/>
      <w:lvlJc w:val="left"/>
    </w:lvl>
    <w:lvl w:ilvl="4" w:tplc="A3DEF60C">
      <w:numFmt w:val="decimal"/>
      <w:lvlText w:val=""/>
      <w:lvlJc w:val="left"/>
    </w:lvl>
    <w:lvl w:ilvl="5" w:tplc="AFF010C2">
      <w:numFmt w:val="decimal"/>
      <w:lvlText w:val=""/>
      <w:lvlJc w:val="left"/>
    </w:lvl>
    <w:lvl w:ilvl="6" w:tplc="2BF4ACB6">
      <w:numFmt w:val="decimal"/>
      <w:lvlText w:val=""/>
      <w:lvlJc w:val="left"/>
    </w:lvl>
    <w:lvl w:ilvl="7" w:tplc="788E650A">
      <w:numFmt w:val="decimal"/>
      <w:lvlText w:val=""/>
      <w:lvlJc w:val="left"/>
    </w:lvl>
    <w:lvl w:ilvl="8" w:tplc="A26472F2">
      <w:numFmt w:val="decimal"/>
      <w:lvlText w:val=""/>
      <w:lvlJc w:val="left"/>
    </w:lvl>
  </w:abstractNum>
  <w:abstractNum w:abstractNumId="494" w15:restartNumberingAfterBreak="0">
    <w:nsid w:val="248C4907"/>
    <w:multiLevelType w:val="hybridMultilevel"/>
    <w:tmpl w:val="B57CD976"/>
    <w:lvl w:ilvl="0" w:tplc="20C45036">
      <w:start w:val="1"/>
      <w:numFmt w:val="bullet"/>
      <w:lvlText w:val=""/>
      <w:lvlJc w:val="left"/>
      <w:pPr>
        <w:ind w:left="720" w:hanging="180"/>
      </w:pPr>
      <w:rPr>
        <w:rFonts w:ascii="Symbol" w:hAnsi="Symbol" w:hint="default"/>
      </w:rPr>
    </w:lvl>
    <w:lvl w:ilvl="1" w:tplc="830E550A">
      <w:numFmt w:val="decimal"/>
      <w:lvlText w:val=""/>
      <w:lvlJc w:val="left"/>
    </w:lvl>
    <w:lvl w:ilvl="2" w:tplc="F3C098FC">
      <w:numFmt w:val="decimal"/>
      <w:lvlText w:val=""/>
      <w:lvlJc w:val="left"/>
    </w:lvl>
    <w:lvl w:ilvl="3" w:tplc="99361746">
      <w:numFmt w:val="decimal"/>
      <w:lvlText w:val=""/>
      <w:lvlJc w:val="left"/>
    </w:lvl>
    <w:lvl w:ilvl="4" w:tplc="3F609840">
      <w:numFmt w:val="decimal"/>
      <w:lvlText w:val=""/>
      <w:lvlJc w:val="left"/>
    </w:lvl>
    <w:lvl w:ilvl="5" w:tplc="43081DDA">
      <w:numFmt w:val="decimal"/>
      <w:lvlText w:val=""/>
      <w:lvlJc w:val="left"/>
    </w:lvl>
    <w:lvl w:ilvl="6" w:tplc="7EEA3C8A">
      <w:numFmt w:val="decimal"/>
      <w:lvlText w:val=""/>
      <w:lvlJc w:val="left"/>
    </w:lvl>
    <w:lvl w:ilvl="7" w:tplc="F4D40C9A">
      <w:numFmt w:val="decimal"/>
      <w:lvlText w:val=""/>
      <w:lvlJc w:val="left"/>
    </w:lvl>
    <w:lvl w:ilvl="8" w:tplc="EBEEB7D8">
      <w:numFmt w:val="decimal"/>
      <w:lvlText w:val=""/>
      <w:lvlJc w:val="left"/>
    </w:lvl>
  </w:abstractNum>
  <w:abstractNum w:abstractNumId="495" w15:restartNumberingAfterBreak="0">
    <w:nsid w:val="248F3191"/>
    <w:multiLevelType w:val="hybridMultilevel"/>
    <w:tmpl w:val="73086768"/>
    <w:lvl w:ilvl="0" w:tplc="8646B1A0">
      <w:start w:val="1"/>
      <w:numFmt w:val="bullet"/>
      <w:lvlText w:val=""/>
      <w:lvlJc w:val="left"/>
      <w:pPr>
        <w:ind w:left="720" w:hanging="180"/>
      </w:pPr>
      <w:rPr>
        <w:rFonts w:ascii="Symbol" w:hAnsi="Symbol" w:hint="default"/>
      </w:rPr>
    </w:lvl>
    <w:lvl w:ilvl="1" w:tplc="D34495D8">
      <w:numFmt w:val="decimal"/>
      <w:lvlText w:val=""/>
      <w:lvlJc w:val="left"/>
    </w:lvl>
    <w:lvl w:ilvl="2" w:tplc="F242634A">
      <w:numFmt w:val="decimal"/>
      <w:lvlText w:val=""/>
      <w:lvlJc w:val="left"/>
    </w:lvl>
    <w:lvl w:ilvl="3" w:tplc="A8D0C11E">
      <w:numFmt w:val="decimal"/>
      <w:lvlText w:val=""/>
      <w:lvlJc w:val="left"/>
    </w:lvl>
    <w:lvl w:ilvl="4" w:tplc="1AE07760">
      <w:numFmt w:val="decimal"/>
      <w:lvlText w:val=""/>
      <w:lvlJc w:val="left"/>
    </w:lvl>
    <w:lvl w:ilvl="5" w:tplc="17F44042">
      <w:numFmt w:val="decimal"/>
      <w:lvlText w:val=""/>
      <w:lvlJc w:val="left"/>
    </w:lvl>
    <w:lvl w:ilvl="6" w:tplc="83969966">
      <w:numFmt w:val="decimal"/>
      <w:lvlText w:val=""/>
      <w:lvlJc w:val="left"/>
    </w:lvl>
    <w:lvl w:ilvl="7" w:tplc="5240F2F2">
      <w:numFmt w:val="decimal"/>
      <w:lvlText w:val=""/>
      <w:lvlJc w:val="left"/>
    </w:lvl>
    <w:lvl w:ilvl="8" w:tplc="CAEEAA66">
      <w:numFmt w:val="decimal"/>
      <w:lvlText w:val=""/>
      <w:lvlJc w:val="left"/>
    </w:lvl>
  </w:abstractNum>
  <w:abstractNum w:abstractNumId="496" w15:restartNumberingAfterBreak="0">
    <w:nsid w:val="249C26E3"/>
    <w:multiLevelType w:val="hybridMultilevel"/>
    <w:tmpl w:val="10444AFC"/>
    <w:lvl w:ilvl="0" w:tplc="1CFEA402">
      <w:start w:val="1"/>
      <w:numFmt w:val="bullet"/>
      <w:lvlText w:val=""/>
      <w:lvlJc w:val="left"/>
      <w:pPr>
        <w:ind w:left="720" w:hanging="180"/>
      </w:pPr>
      <w:rPr>
        <w:rFonts w:ascii="Symbol" w:hAnsi="Symbol" w:hint="default"/>
      </w:rPr>
    </w:lvl>
    <w:lvl w:ilvl="1" w:tplc="486CC6CA">
      <w:numFmt w:val="decimal"/>
      <w:lvlText w:val=""/>
      <w:lvlJc w:val="left"/>
    </w:lvl>
    <w:lvl w:ilvl="2" w:tplc="A8EE5906">
      <w:numFmt w:val="decimal"/>
      <w:lvlText w:val=""/>
      <w:lvlJc w:val="left"/>
    </w:lvl>
    <w:lvl w:ilvl="3" w:tplc="C980B09E">
      <w:numFmt w:val="decimal"/>
      <w:lvlText w:val=""/>
      <w:lvlJc w:val="left"/>
    </w:lvl>
    <w:lvl w:ilvl="4" w:tplc="094AD39A">
      <w:numFmt w:val="decimal"/>
      <w:lvlText w:val=""/>
      <w:lvlJc w:val="left"/>
    </w:lvl>
    <w:lvl w:ilvl="5" w:tplc="405EC178">
      <w:numFmt w:val="decimal"/>
      <w:lvlText w:val=""/>
      <w:lvlJc w:val="left"/>
    </w:lvl>
    <w:lvl w:ilvl="6" w:tplc="C28CE688">
      <w:numFmt w:val="decimal"/>
      <w:lvlText w:val=""/>
      <w:lvlJc w:val="left"/>
    </w:lvl>
    <w:lvl w:ilvl="7" w:tplc="8E1441FA">
      <w:numFmt w:val="decimal"/>
      <w:lvlText w:val=""/>
      <w:lvlJc w:val="left"/>
    </w:lvl>
    <w:lvl w:ilvl="8" w:tplc="A0101162">
      <w:numFmt w:val="decimal"/>
      <w:lvlText w:val=""/>
      <w:lvlJc w:val="left"/>
    </w:lvl>
  </w:abstractNum>
  <w:abstractNum w:abstractNumId="497" w15:restartNumberingAfterBreak="0">
    <w:nsid w:val="24AB6EFE"/>
    <w:multiLevelType w:val="hybridMultilevel"/>
    <w:tmpl w:val="A2004A68"/>
    <w:lvl w:ilvl="0" w:tplc="CCD45588">
      <w:start w:val="1"/>
      <w:numFmt w:val="bullet"/>
      <w:lvlText w:val=""/>
      <w:lvlJc w:val="left"/>
      <w:pPr>
        <w:ind w:left="720" w:hanging="180"/>
      </w:pPr>
      <w:rPr>
        <w:rFonts w:ascii="Symbol" w:hAnsi="Symbol" w:hint="default"/>
      </w:rPr>
    </w:lvl>
    <w:lvl w:ilvl="1" w:tplc="D1FA034C">
      <w:numFmt w:val="decimal"/>
      <w:lvlText w:val=""/>
      <w:lvlJc w:val="left"/>
    </w:lvl>
    <w:lvl w:ilvl="2" w:tplc="D8860EEA">
      <w:numFmt w:val="decimal"/>
      <w:lvlText w:val=""/>
      <w:lvlJc w:val="left"/>
    </w:lvl>
    <w:lvl w:ilvl="3" w:tplc="783270AA">
      <w:numFmt w:val="decimal"/>
      <w:lvlText w:val=""/>
      <w:lvlJc w:val="left"/>
    </w:lvl>
    <w:lvl w:ilvl="4" w:tplc="C1265C22">
      <w:numFmt w:val="decimal"/>
      <w:lvlText w:val=""/>
      <w:lvlJc w:val="left"/>
    </w:lvl>
    <w:lvl w:ilvl="5" w:tplc="0D6095D8">
      <w:numFmt w:val="decimal"/>
      <w:lvlText w:val=""/>
      <w:lvlJc w:val="left"/>
    </w:lvl>
    <w:lvl w:ilvl="6" w:tplc="1ED05318">
      <w:numFmt w:val="decimal"/>
      <w:lvlText w:val=""/>
      <w:lvlJc w:val="left"/>
    </w:lvl>
    <w:lvl w:ilvl="7" w:tplc="53A0907E">
      <w:numFmt w:val="decimal"/>
      <w:lvlText w:val=""/>
      <w:lvlJc w:val="left"/>
    </w:lvl>
    <w:lvl w:ilvl="8" w:tplc="A528640C">
      <w:numFmt w:val="decimal"/>
      <w:lvlText w:val=""/>
      <w:lvlJc w:val="left"/>
    </w:lvl>
  </w:abstractNum>
  <w:abstractNum w:abstractNumId="498" w15:restartNumberingAfterBreak="0">
    <w:nsid w:val="24AF7B77"/>
    <w:multiLevelType w:val="hybridMultilevel"/>
    <w:tmpl w:val="C3924600"/>
    <w:lvl w:ilvl="0" w:tplc="FF841522">
      <w:start w:val="1"/>
      <w:numFmt w:val="bullet"/>
      <w:lvlText w:val=""/>
      <w:lvlJc w:val="left"/>
      <w:pPr>
        <w:ind w:left="720" w:hanging="180"/>
      </w:pPr>
      <w:rPr>
        <w:rFonts w:ascii="Symbol" w:hAnsi="Symbol" w:hint="default"/>
      </w:rPr>
    </w:lvl>
    <w:lvl w:ilvl="1" w:tplc="030C4642">
      <w:numFmt w:val="decimal"/>
      <w:lvlText w:val=""/>
      <w:lvlJc w:val="left"/>
    </w:lvl>
    <w:lvl w:ilvl="2" w:tplc="B2F27D7E">
      <w:numFmt w:val="decimal"/>
      <w:lvlText w:val=""/>
      <w:lvlJc w:val="left"/>
    </w:lvl>
    <w:lvl w:ilvl="3" w:tplc="AF90B798">
      <w:numFmt w:val="decimal"/>
      <w:lvlText w:val=""/>
      <w:lvlJc w:val="left"/>
    </w:lvl>
    <w:lvl w:ilvl="4" w:tplc="BE38E3AE">
      <w:numFmt w:val="decimal"/>
      <w:lvlText w:val=""/>
      <w:lvlJc w:val="left"/>
    </w:lvl>
    <w:lvl w:ilvl="5" w:tplc="1FD8EE70">
      <w:numFmt w:val="decimal"/>
      <w:lvlText w:val=""/>
      <w:lvlJc w:val="left"/>
    </w:lvl>
    <w:lvl w:ilvl="6" w:tplc="C1B4B774">
      <w:numFmt w:val="decimal"/>
      <w:lvlText w:val=""/>
      <w:lvlJc w:val="left"/>
    </w:lvl>
    <w:lvl w:ilvl="7" w:tplc="58EEFA90">
      <w:numFmt w:val="decimal"/>
      <w:lvlText w:val=""/>
      <w:lvlJc w:val="left"/>
    </w:lvl>
    <w:lvl w:ilvl="8" w:tplc="16C04CA4">
      <w:numFmt w:val="decimal"/>
      <w:lvlText w:val=""/>
      <w:lvlJc w:val="left"/>
    </w:lvl>
  </w:abstractNum>
  <w:abstractNum w:abstractNumId="499" w15:restartNumberingAfterBreak="0">
    <w:nsid w:val="24B025A2"/>
    <w:multiLevelType w:val="hybridMultilevel"/>
    <w:tmpl w:val="E16206A4"/>
    <w:lvl w:ilvl="0" w:tplc="2B6AFC08">
      <w:start w:val="1"/>
      <w:numFmt w:val="bullet"/>
      <w:lvlText w:val=""/>
      <w:lvlJc w:val="left"/>
      <w:pPr>
        <w:ind w:left="720" w:hanging="180"/>
      </w:pPr>
      <w:rPr>
        <w:rFonts w:ascii="Symbol" w:hAnsi="Symbol" w:hint="default"/>
      </w:rPr>
    </w:lvl>
    <w:lvl w:ilvl="1" w:tplc="443AD6E6">
      <w:numFmt w:val="decimal"/>
      <w:lvlText w:val=""/>
      <w:lvlJc w:val="left"/>
    </w:lvl>
    <w:lvl w:ilvl="2" w:tplc="E2B03286">
      <w:numFmt w:val="decimal"/>
      <w:lvlText w:val=""/>
      <w:lvlJc w:val="left"/>
    </w:lvl>
    <w:lvl w:ilvl="3" w:tplc="C470B8D6">
      <w:numFmt w:val="decimal"/>
      <w:lvlText w:val=""/>
      <w:lvlJc w:val="left"/>
    </w:lvl>
    <w:lvl w:ilvl="4" w:tplc="875686B2">
      <w:numFmt w:val="decimal"/>
      <w:lvlText w:val=""/>
      <w:lvlJc w:val="left"/>
    </w:lvl>
    <w:lvl w:ilvl="5" w:tplc="D5128E64">
      <w:numFmt w:val="decimal"/>
      <w:lvlText w:val=""/>
      <w:lvlJc w:val="left"/>
    </w:lvl>
    <w:lvl w:ilvl="6" w:tplc="23A8613C">
      <w:numFmt w:val="decimal"/>
      <w:lvlText w:val=""/>
      <w:lvlJc w:val="left"/>
    </w:lvl>
    <w:lvl w:ilvl="7" w:tplc="AF8034AE">
      <w:numFmt w:val="decimal"/>
      <w:lvlText w:val=""/>
      <w:lvlJc w:val="left"/>
    </w:lvl>
    <w:lvl w:ilvl="8" w:tplc="6DA012DA">
      <w:numFmt w:val="decimal"/>
      <w:lvlText w:val=""/>
      <w:lvlJc w:val="left"/>
    </w:lvl>
  </w:abstractNum>
  <w:abstractNum w:abstractNumId="500" w15:restartNumberingAfterBreak="0">
    <w:nsid w:val="24E103A8"/>
    <w:multiLevelType w:val="hybridMultilevel"/>
    <w:tmpl w:val="E5F239E6"/>
    <w:lvl w:ilvl="0" w:tplc="896EC4BC">
      <w:numFmt w:val="decimal"/>
      <w:lvlText w:val=""/>
      <w:lvlJc w:val="left"/>
    </w:lvl>
    <w:lvl w:ilvl="1" w:tplc="F6584918">
      <w:start w:val="1"/>
      <w:numFmt w:val="bullet"/>
      <w:lvlText w:val=""/>
      <w:lvlJc w:val="left"/>
      <w:pPr>
        <w:ind w:left="1440" w:hanging="180"/>
      </w:pPr>
      <w:rPr>
        <w:rFonts w:ascii="Symbol" w:hAnsi="Symbol" w:hint="default"/>
      </w:rPr>
    </w:lvl>
    <w:lvl w:ilvl="2" w:tplc="9A8A3FB2">
      <w:numFmt w:val="decimal"/>
      <w:lvlText w:val=""/>
      <w:lvlJc w:val="left"/>
    </w:lvl>
    <w:lvl w:ilvl="3" w:tplc="EE7C9660">
      <w:numFmt w:val="decimal"/>
      <w:lvlText w:val=""/>
      <w:lvlJc w:val="left"/>
    </w:lvl>
    <w:lvl w:ilvl="4" w:tplc="8E7E1A88">
      <w:numFmt w:val="decimal"/>
      <w:lvlText w:val=""/>
      <w:lvlJc w:val="left"/>
    </w:lvl>
    <w:lvl w:ilvl="5" w:tplc="27986EC2">
      <w:numFmt w:val="decimal"/>
      <w:lvlText w:val=""/>
      <w:lvlJc w:val="left"/>
    </w:lvl>
    <w:lvl w:ilvl="6" w:tplc="62A851B4">
      <w:numFmt w:val="decimal"/>
      <w:lvlText w:val=""/>
      <w:lvlJc w:val="left"/>
    </w:lvl>
    <w:lvl w:ilvl="7" w:tplc="EE1C5188">
      <w:numFmt w:val="decimal"/>
      <w:lvlText w:val=""/>
      <w:lvlJc w:val="left"/>
    </w:lvl>
    <w:lvl w:ilvl="8" w:tplc="6800559E">
      <w:numFmt w:val="decimal"/>
      <w:lvlText w:val=""/>
      <w:lvlJc w:val="left"/>
    </w:lvl>
  </w:abstractNum>
  <w:abstractNum w:abstractNumId="501" w15:restartNumberingAfterBreak="0">
    <w:nsid w:val="24EC23B5"/>
    <w:multiLevelType w:val="hybridMultilevel"/>
    <w:tmpl w:val="097C4952"/>
    <w:lvl w:ilvl="0" w:tplc="4DE00E22">
      <w:start w:val="1"/>
      <w:numFmt w:val="bullet"/>
      <w:lvlText w:val=""/>
      <w:lvlJc w:val="left"/>
      <w:pPr>
        <w:ind w:left="720" w:hanging="180"/>
      </w:pPr>
      <w:rPr>
        <w:rFonts w:ascii="Symbol" w:hAnsi="Symbol" w:hint="default"/>
      </w:rPr>
    </w:lvl>
    <w:lvl w:ilvl="1" w:tplc="93D6EA8E">
      <w:numFmt w:val="decimal"/>
      <w:lvlText w:val=""/>
      <w:lvlJc w:val="left"/>
    </w:lvl>
    <w:lvl w:ilvl="2" w:tplc="0E38FD1A">
      <w:numFmt w:val="decimal"/>
      <w:lvlText w:val=""/>
      <w:lvlJc w:val="left"/>
    </w:lvl>
    <w:lvl w:ilvl="3" w:tplc="6A9673E8">
      <w:numFmt w:val="decimal"/>
      <w:lvlText w:val=""/>
      <w:lvlJc w:val="left"/>
    </w:lvl>
    <w:lvl w:ilvl="4" w:tplc="EB223B96">
      <w:numFmt w:val="decimal"/>
      <w:lvlText w:val=""/>
      <w:lvlJc w:val="left"/>
    </w:lvl>
    <w:lvl w:ilvl="5" w:tplc="5E9E2926">
      <w:numFmt w:val="decimal"/>
      <w:lvlText w:val=""/>
      <w:lvlJc w:val="left"/>
    </w:lvl>
    <w:lvl w:ilvl="6" w:tplc="1D349760">
      <w:numFmt w:val="decimal"/>
      <w:lvlText w:val=""/>
      <w:lvlJc w:val="left"/>
    </w:lvl>
    <w:lvl w:ilvl="7" w:tplc="C3228B44">
      <w:numFmt w:val="decimal"/>
      <w:lvlText w:val=""/>
      <w:lvlJc w:val="left"/>
    </w:lvl>
    <w:lvl w:ilvl="8" w:tplc="224070C6">
      <w:numFmt w:val="decimal"/>
      <w:lvlText w:val=""/>
      <w:lvlJc w:val="left"/>
    </w:lvl>
  </w:abstractNum>
  <w:abstractNum w:abstractNumId="502" w15:restartNumberingAfterBreak="0">
    <w:nsid w:val="24F17806"/>
    <w:multiLevelType w:val="hybridMultilevel"/>
    <w:tmpl w:val="BE0699E8"/>
    <w:lvl w:ilvl="0" w:tplc="BEAC57A4">
      <w:start w:val="1"/>
      <w:numFmt w:val="bullet"/>
      <w:lvlText w:val=""/>
      <w:lvlJc w:val="left"/>
      <w:pPr>
        <w:ind w:left="720" w:hanging="180"/>
      </w:pPr>
      <w:rPr>
        <w:rFonts w:ascii="Symbol" w:hAnsi="Symbol" w:hint="default"/>
      </w:rPr>
    </w:lvl>
    <w:lvl w:ilvl="1" w:tplc="A7CA6EC2">
      <w:numFmt w:val="decimal"/>
      <w:lvlText w:val=""/>
      <w:lvlJc w:val="left"/>
    </w:lvl>
    <w:lvl w:ilvl="2" w:tplc="90104014">
      <w:numFmt w:val="decimal"/>
      <w:lvlText w:val=""/>
      <w:lvlJc w:val="left"/>
    </w:lvl>
    <w:lvl w:ilvl="3" w:tplc="AC166FF6">
      <w:numFmt w:val="decimal"/>
      <w:lvlText w:val=""/>
      <w:lvlJc w:val="left"/>
    </w:lvl>
    <w:lvl w:ilvl="4" w:tplc="B768B312">
      <w:numFmt w:val="decimal"/>
      <w:lvlText w:val=""/>
      <w:lvlJc w:val="left"/>
    </w:lvl>
    <w:lvl w:ilvl="5" w:tplc="6224918A">
      <w:numFmt w:val="decimal"/>
      <w:lvlText w:val=""/>
      <w:lvlJc w:val="left"/>
    </w:lvl>
    <w:lvl w:ilvl="6" w:tplc="C8AE4974">
      <w:numFmt w:val="decimal"/>
      <w:lvlText w:val=""/>
      <w:lvlJc w:val="left"/>
    </w:lvl>
    <w:lvl w:ilvl="7" w:tplc="39584560">
      <w:numFmt w:val="decimal"/>
      <w:lvlText w:val=""/>
      <w:lvlJc w:val="left"/>
    </w:lvl>
    <w:lvl w:ilvl="8" w:tplc="00BECD86">
      <w:numFmt w:val="decimal"/>
      <w:lvlText w:val=""/>
      <w:lvlJc w:val="left"/>
    </w:lvl>
  </w:abstractNum>
  <w:abstractNum w:abstractNumId="503" w15:restartNumberingAfterBreak="0">
    <w:nsid w:val="253519C9"/>
    <w:multiLevelType w:val="hybridMultilevel"/>
    <w:tmpl w:val="C6A2C88C"/>
    <w:lvl w:ilvl="0" w:tplc="2968F454">
      <w:start w:val="1"/>
      <w:numFmt w:val="bullet"/>
      <w:lvlText w:val=""/>
      <w:lvlJc w:val="left"/>
      <w:pPr>
        <w:ind w:left="720" w:hanging="180"/>
      </w:pPr>
      <w:rPr>
        <w:rFonts w:ascii="Symbol" w:hAnsi="Symbol" w:hint="default"/>
      </w:rPr>
    </w:lvl>
    <w:lvl w:ilvl="1" w:tplc="EEF2635A">
      <w:numFmt w:val="decimal"/>
      <w:lvlText w:val=""/>
      <w:lvlJc w:val="left"/>
    </w:lvl>
    <w:lvl w:ilvl="2" w:tplc="D3E82B3C">
      <w:numFmt w:val="decimal"/>
      <w:lvlText w:val=""/>
      <w:lvlJc w:val="left"/>
    </w:lvl>
    <w:lvl w:ilvl="3" w:tplc="17B62420">
      <w:numFmt w:val="decimal"/>
      <w:lvlText w:val=""/>
      <w:lvlJc w:val="left"/>
    </w:lvl>
    <w:lvl w:ilvl="4" w:tplc="4126C348">
      <w:numFmt w:val="decimal"/>
      <w:lvlText w:val=""/>
      <w:lvlJc w:val="left"/>
    </w:lvl>
    <w:lvl w:ilvl="5" w:tplc="2DC436D0">
      <w:numFmt w:val="decimal"/>
      <w:lvlText w:val=""/>
      <w:lvlJc w:val="left"/>
    </w:lvl>
    <w:lvl w:ilvl="6" w:tplc="3BEE82EE">
      <w:numFmt w:val="decimal"/>
      <w:lvlText w:val=""/>
      <w:lvlJc w:val="left"/>
    </w:lvl>
    <w:lvl w:ilvl="7" w:tplc="4AD8D51E">
      <w:numFmt w:val="decimal"/>
      <w:lvlText w:val=""/>
      <w:lvlJc w:val="left"/>
    </w:lvl>
    <w:lvl w:ilvl="8" w:tplc="693A3BC2">
      <w:numFmt w:val="decimal"/>
      <w:lvlText w:val=""/>
      <w:lvlJc w:val="left"/>
    </w:lvl>
  </w:abstractNum>
  <w:abstractNum w:abstractNumId="504" w15:restartNumberingAfterBreak="0">
    <w:nsid w:val="255562D4"/>
    <w:multiLevelType w:val="hybridMultilevel"/>
    <w:tmpl w:val="5E72B46E"/>
    <w:lvl w:ilvl="0" w:tplc="8090891A">
      <w:start w:val="1"/>
      <w:numFmt w:val="bullet"/>
      <w:lvlText w:val=""/>
      <w:lvlJc w:val="left"/>
      <w:pPr>
        <w:ind w:left="720" w:hanging="180"/>
      </w:pPr>
      <w:rPr>
        <w:rFonts w:ascii="Symbol" w:hAnsi="Symbol" w:hint="default"/>
      </w:rPr>
    </w:lvl>
    <w:lvl w:ilvl="1" w:tplc="1EA615AE">
      <w:numFmt w:val="decimal"/>
      <w:lvlText w:val=""/>
      <w:lvlJc w:val="left"/>
    </w:lvl>
    <w:lvl w:ilvl="2" w:tplc="FC24B664">
      <w:numFmt w:val="decimal"/>
      <w:lvlText w:val=""/>
      <w:lvlJc w:val="left"/>
    </w:lvl>
    <w:lvl w:ilvl="3" w:tplc="C6F09FC6">
      <w:numFmt w:val="decimal"/>
      <w:lvlText w:val=""/>
      <w:lvlJc w:val="left"/>
    </w:lvl>
    <w:lvl w:ilvl="4" w:tplc="18D635DE">
      <w:numFmt w:val="decimal"/>
      <w:lvlText w:val=""/>
      <w:lvlJc w:val="left"/>
    </w:lvl>
    <w:lvl w:ilvl="5" w:tplc="CC8C8E58">
      <w:numFmt w:val="decimal"/>
      <w:lvlText w:val=""/>
      <w:lvlJc w:val="left"/>
    </w:lvl>
    <w:lvl w:ilvl="6" w:tplc="5C1E7EC6">
      <w:numFmt w:val="decimal"/>
      <w:lvlText w:val=""/>
      <w:lvlJc w:val="left"/>
    </w:lvl>
    <w:lvl w:ilvl="7" w:tplc="EA88029E">
      <w:numFmt w:val="decimal"/>
      <w:lvlText w:val=""/>
      <w:lvlJc w:val="left"/>
    </w:lvl>
    <w:lvl w:ilvl="8" w:tplc="A358EED6">
      <w:numFmt w:val="decimal"/>
      <w:lvlText w:val=""/>
      <w:lvlJc w:val="left"/>
    </w:lvl>
  </w:abstractNum>
  <w:abstractNum w:abstractNumId="505" w15:restartNumberingAfterBreak="0">
    <w:nsid w:val="25A15009"/>
    <w:multiLevelType w:val="hybridMultilevel"/>
    <w:tmpl w:val="7F86DC8E"/>
    <w:lvl w:ilvl="0" w:tplc="D518B102">
      <w:start w:val="1"/>
      <w:numFmt w:val="bullet"/>
      <w:lvlText w:val=""/>
      <w:lvlJc w:val="left"/>
      <w:pPr>
        <w:ind w:left="720" w:hanging="180"/>
      </w:pPr>
      <w:rPr>
        <w:rFonts w:ascii="Symbol" w:hAnsi="Symbol" w:hint="default"/>
      </w:rPr>
    </w:lvl>
    <w:lvl w:ilvl="1" w:tplc="2DAEC44C">
      <w:numFmt w:val="decimal"/>
      <w:lvlText w:val=""/>
      <w:lvlJc w:val="left"/>
    </w:lvl>
    <w:lvl w:ilvl="2" w:tplc="2174B3E0">
      <w:numFmt w:val="decimal"/>
      <w:lvlText w:val=""/>
      <w:lvlJc w:val="left"/>
    </w:lvl>
    <w:lvl w:ilvl="3" w:tplc="366A0E9C">
      <w:numFmt w:val="decimal"/>
      <w:lvlText w:val=""/>
      <w:lvlJc w:val="left"/>
    </w:lvl>
    <w:lvl w:ilvl="4" w:tplc="B5B68DCE">
      <w:numFmt w:val="decimal"/>
      <w:lvlText w:val=""/>
      <w:lvlJc w:val="left"/>
    </w:lvl>
    <w:lvl w:ilvl="5" w:tplc="A51CA6C4">
      <w:numFmt w:val="decimal"/>
      <w:lvlText w:val=""/>
      <w:lvlJc w:val="left"/>
    </w:lvl>
    <w:lvl w:ilvl="6" w:tplc="23A85506">
      <w:numFmt w:val="decimal"/>
      <w:lvlText w:val=""/>
      <w:lvlJc w:val="left"/>
    </w:lvl>
    <w:lvl w:ilvl="7" w:tplc="2E5A8BCC">
      <w:numFmt w:val="decimal"/>
      <w:lvlText w:val=""/>
      <w:lvlJc w:val="left"/>
    </w:lvl>
    <w:lvl w:ilvl="8" w:tplc="91EC7850">
      <w:numFmt w:val="decimal"/>
      <w:lvlText w:val=""/>
      <w:lvlJc w:val="left"/>
    </w:lvl>
  </w:abstractNum>
  <w:abstractNum w:abstractNumId="506" w15:restartNumberingAfterBreak="0">
    <w:nsid w:val="25A307F7"/>
    <w:multiLevelType w:val="hybridMultilevel"/>
    <w:tmpl w:val="8B940DA0"/>
    <w:lvl w:ilvl="0" w:tplc="10B410F0">
      <w:numFmt w:val="decimal"/>
      <w:lvlText w:val=""/>
      <w:lvlJc w:val="left"/>
    </w:lvl>
    <w:lvl w:ilvl="1" w:tplc="380EE220">
      <w:start w:val="1"/>
      <w:numFmt w:val="bullet"/>
      <w:lvlText w:val=""/>
      <w:lvlJc w:val="left"/>
      <w:pPr>
        <w:ind w:left="1440" w:hanging="180"/>
      </w:pPr>
      <w:rPr>
        <w:rFonts w:ascii="Symbol" w:hAnsi="Symbol" w:hint="default"/>
      </w:rPr>
    </w:lvl>
    <w:lvl w:ilvl="2" w:tplc="70200C4C">
      <w:numFmt w:val="decimal"/>
      <w:lvlText w:val=""/>
      <w:lvlJc w:val="left"/>
    </w:lvl>
    <w:lvl w:ilvl="3" w:tplc="0116239E">
      <w:numFmt w:val="decimal"/>
      <w:lvlText w:val=""/>
      <w:lvlJc w:val="left"/>
    </w:lvl>
    <w:lvl w:ilvl="4" w:tplc="CC242D6A">
      <w:numFmt w:val="decimal"/>
      <w:lvlText w:val=""/>
      <w:lvlJc w:val="left"/>
    </w:lvl>
    <w:lvl w:ilvl="5" w:tplc="90327932">
      <w:numFmt w:val="decimal"/>
      <w:lvlText w:val=""/>
      <w:lvlJc w:val="left"/>
    </w:lvl>
    <w:lvl w:ilvl="6" w:tplc="0FBE28B2">
      <w:numFmt w:val="decimal"/>
      <w:lvlText w:val=""/>
      <w:lvlJc w:val="left"/>
    </w:lvl>
    <w:lvl w:ilvl="7" w:tplc="B45EF4E8">
      <w:numFmt w:val="decimal"/>
      <w:lvlText w:val=""/>
      <w:lvlJc w:val="left"/>
    </w:lvl>
    <w:lvl w:ilvl="8" w:tplc="18783BC0">
      <w:numFmt w:val="decimal"/>
      <w:lvlText w:val=""/>
      <w:lvlJc w:val="left"/>
    </w:lvl>
  </w:abstractNum>
  <w:abstractNum w:abstractNumId="507" w15:restartNumberingAfterBreak="0">
    <w:nsid w:val="25A6011D"/>
    <w:multiLevelType w:val="hybridMultilevel"/>
    <w:tmpl w:val="A98621C4"/>
    <w:lvl w:ilvl="0" w:tplc="BF28EE16">
      <w:start w:val="1"/>
      <w:numFmt w:val="bullet"/>
      <w:lvlText w:val=""/>
      <w:lvlJc w:val="left"/>
      <w:pPr>
        <w:ind w:left="720" w:hanging="180"/>
      </w:pPr>
      <w:rPr>
        <w:rFonts w:ascii="Symbol" w:hAnsi="Symbol" w:hint="default"/>
      </w:rPr>
    </w:lvl>
    <w:lvl w:ilvl="1" w:tplc="43300638">
      <w:numFmt w:val="decimal"/>
      <w:lvlText w:val=""/>
      <w:lvlJc w:val="left"/>
    </w:lvl>
    <w:lvl w:ilvl="2" w:tplc="00BA5616">
      <w:numFmt w:val="decimal"/>
      <w:lvlText w:val=""/>
      <w:lvlJc w:val="left"/>
    </w:lvl>
    <w:lvl w:ilvl="3" w:tplc="1D92EE44">
      <w:numFmt w:val="decimal"/>
      <w:lvlText w:val=""/>
      <w:lvlJc w:val="left"/>
    </w:lvl>
    <w:lvl w:ilvl="4" w:tplc="582883B0">
      <w:numFmt w:val="decimal"/>
      <w:lvlText w:val=""/>
      <w:lvlJc w:val="left"/>
    </w:lvl>
    <w:lvl w:ilvl="5" w:tplc="699A9438">
      <w:numFmt w:val="decimal"/>
      <w:lvlText w:val=""/>
      <w:lvlJc w:val="left"/>
    </w:lvl>
    <w:lvl w:ilvl="6" w:tplc="D06EB620">
      <w:numFmt w:val="decimal"/>
      <w:lvlText w:val=""/>
      <w:lvlJc w:val="left"/>
    </w:lvl>
    <w:lvl w:ilvl="7" w:tplc="748460E2">
      <w:numFmt w:val="decimal"/>
      <w:lvlText w:val=""/>
      <w:lvlJc w:val="left"/>
    </w:lvl>
    <w:lvl w:ilvl="8" w:tplc="48623532">
      <w:numFmt w:val="decimal"/>
      <w:lvlText w:val=""/>
      <w:lvlJc w:val="left"/>
    </w:lvl>
  </w:abstractNum>
  <w:abstractNum w:abstractNumId="508" w15:restartNumberingAfterBreak="0">
    <w:nsid w:val="25B54932"/>
    <w:multiLevelType w:val="hybridMultilevel"/>
    <w:tmpl w:val="690A086C"/>
    <w:lvl w:ilvl="0" w:tplc="7F56887A">
      <w:start w:val="1"/>
      <w:numFmt w:val="bullet"/>
      <w:lvlText w:val=""/>
      <w:lvlJc w:val="left"/>
      <w:pPr>
        <w:ind w:left="720" w:hanging="180"/>
      </w:pPr>
      <w:rPr>
        <w:rFonts w:ascii="Symbol" w:hAnsi="Symbol" w:hint="default"/>
      </w:rPr>
    </w:lvl>
    <w:lvl w:ilvl="1" w:tplc="224625DC">
      <w:numFmt w:val="decimal"/>
      <w:lvlText w:val=""/>
      <w:lvlJc w:val="left"/>
    </w:lvl>
    <w:lvl w:ilvl="2" w:tplc="AF8C19A0">
      <w:numFmt w:val="decimal"/>
      <w:lvlText w:val=""/>
      <w:lvlJc w:val="left"/>
    </w:lvl>
    <w:lvl w:ilvl="3" w:tplc="8E8AB79A">
      <w:numFmt w:val="decimal"/>
      <w:lvlText w:val=""/>
      <w:lvlJc w:val="left"/>
    </w:lvl>
    <w:lvl w:ilvl="4" w:tplc="112C1492">
      <w:numFmt w:val="decimal"/>
      <w:lvlText w:val=""/>
      <w:lvlJc w:val="left"/>
    </w:lvl>
    <w:lvl w:ilvl="5" w:tplc="69CE83AC">
      <w:numFmt w:val="decimal"/>
      <w:lvlText w:val=""/>
      <w:lvlJc w:val="left"/>
    </w:lvl>
    <w:lvl w:ilvl="6" w:tplc="F4502CF0">
      <w:numFmt w:val="decimal"/>
      <w:lvlText w:val=""/>
      <w:lvlJc w:val="left"/>
    </w:lvl>
    <w:lvl w:ilvl="7" w:tplc="6D34D418">
      <w:numFmt w:val="decimal"/>
      <w:lvlText w:val=""/>
      <w:lvlJc w:val="left"/>
    </w:lvl>
    <w:lvl w:ilvl="8" w:tplc="576C28D2">
      <w:numFmt w:val="decimal"/>
      <w:lvlText w:val=""/>
      <w:lvlJc w:val="left"/>
    </w:lvl>
  </w:abstractNum>
  <w:abstractNum w:abstractNumId="509" w15:restartNumberingAfterBreak="0">
    <w:nsid w:val="25D34239"/>
    <w:multiLevelType w:val="hybridMultilevel"/>
    <w:tmpl w:val="ACCEE25E"/>
    <w:lvl w:ilvl="0" w:tplc="B94AFA78">
      <w:start w:val="1"/>
      <w:numFmt w:val="bullet"/>
      <w:lvlText w:val=""/>
      <w:lvlJc w:val="left"/>
      <w:pPr>
        <w:ind w:left="720" w:hanging="180"/>
      </w:pPr>
      <w:rPr>
        <w:rFonts w:ascii="Symbol" w:hAnsi="Symbol" w:hint="default"/>
      </w:rPr>
    </w:lvl>
    <w:lvl w:ilvl="1" w:tplc="6750CA0C">
      <w:numFmt w:val="decimal"/>
      <w:lvlText w:val=""/>
      <w:lvlJc w:val="left"/>
    </w:lvl>
    <w:lvl w:ilvl="2" w:tplc="DE0CF240">
      <w:numFmt w:val="decimal"/>
      <w:lvlText w:val=""/>
      <w:lvlJc w:val="left"/>
    </w:lvl>
    <w:lvl w:ilvl="3" w:tplc="4A16B39A">
      <w:numFmt w:val="decimal"/>
      <w:lvlText w:val=""/>
      <w:lvlJc w:val="left"/>
    </w:lvl>
    <w:lvl w:ilvl="4" w:tplc="BEC8A338">
      <w:numFmt w:val="decimal"/>
      <w:lvlText w:val=""/>
      <w:lvlJc w:val="left"/>
    </w:lvl>
    <w:lvl w:ilvl="5" w:tplc="2B6ACA1A">
      <w:numFmt w:val="decimal"/>
      <w:lvlText w:val=""/>
      <w:lvlJc w:val="left"/>
    </w:lvl>
    <w:lvl w:ilvl="6" w:tplc="048CC342">
      <w:numFmt w:val="decimal"/>
      <w:lvlText w:val=""/>
      <w:lvlJc w:val="left"/>
    </w:lvl>
    <w:lvl w:ilvl="7" w:tplc="6C60F5E8">
      <w:numFmt w:val="decimal"/>
      <w:lvlText w:val=""/>
      <w:lvlJc w:val="left"/>
    </w:lvl>
    <w:lvl w:ilvl="8" w:tplc="8F5AD2F8">
      <w:numFmt w:val="decimal"/>
      <w:lvlText w:val=""/>
      <w:lvlJc w:val="left"/>
    </w:lvl>
  </w:abstractNum>
  <w:abstractNum w:abstractNumId="510" w15:restartNumberingAfterBreak="0">
    <w:nsid w:val="25EB6953"/>
    <w:multiLevelType w:val="hybridMultilevel"/>
    <w:tmpl w:val="D85A7DCE"/>
    <w:lvl w:ilvl="0" w:tplc="B0E83858">
      <w:start w:val="1"/>
      <w:numFmt w:val="bullet"/>
      <w:lvlText w:val=""/>
      <w:lvlJc w:val="left"/>
      <w:pPr>
        <w:ind w:left="720" w:hanging="180"/>
      </w:pPr>
      <w:rPr>
        <w:rFonts w:ascii="Symbol" w:hAnsi="Symbol" w:hint="default"/>
      </w:rPr>
    </w:lvl>
    <w:lvl w:ilvl="1" w:tplc="1B54A9A0">
      <w:numFmt w:val="decimal"/>
      <w:lvlText w:val=""/>
      <w:lvlJc w:val="left"/>
    </w:lvl>
    <w:lvl w:ilvl="2" w:tplc="0F545536">
      <w:numFmt w:val="decimal"/>
      <w:lvlText w:val=""/>
      <w:lvlJc w:val="left"/>
    </w:lvl>
    <w:lvl w:ilvl="3" w:tplc="6BCE176E">
      <w:numFmt w:val="decimal"/>
      <w:lvlText w:val=""/>
      <w:lvlJc w:val="left"/>
    </w:lvl>
    <w:lvl w:ilvl="4" w:tplc="20C8FC96">
      <w:numFmt w:val="decimal"/>
      <w:lvlText w:val=""/>
      <w:lvlJc w:val="left"/>
    </w:lvl>
    <w:lvl w:ilvl="5" w:tplc="CFDCACB2">
      <w:numFmt w:val="decimal"/>
      <w:lvlText w:val=""/>
      <w:lvlJc w:val="left"/>
    </w:lvl>
    <w:lvl w:ilvl="6" w:tplc="CA188D78">
      <w:numFmt w:val="decimal"/>
      <w:lvlText w:val=""/>
      <w:lvlJc w:val="left"/>
    </w:lvl>
    <w:lvl w:ilvl="7" w:tplc="D8640F70">
      <w:numFmt w:val="decimal"/>
      <w:lvlText w:val=""/>
      <w:lvlJc w:val="left"/>
    </w:lvl>
    <w:lvl w:ilvl="8" w:tplc="BFAEF686">
      <w:numFmt w:val="decimal"/>
      <w:lvlText w:val=""/>
      <w:lvlJc w:val="left"/>
    </w:lvl>
  </w:abstractNum>
  <w:abstractNum w:abstractNumId="511" w15:restartNumberingAfterBreak="0">
    <w:nsid w:val="25F90849"/>
    <w:multiLevelType w:val="hybridMultilevel"/>
    <w:tmpl w:val="01ECF332"/>
    <w:lvl w:ilvl="0" w:tplc="7F6CF2E8">
      <w:start w:val="1"/>
      <w:numFmt w:val="bullet"/>
      <w:lvlText w:val=""/>
      <w:lvlJc w:val="left"/>
      <w:pPr>
        <w:ind w:left="720" w:hanging="180"/>
      </w:pPr>
      <w:rPr>
        <w:rFonts w:ascii="Symbol" w:hAnsi="Symbol" w:hint="default"/>
      </w:rPr>
    </w:lvl>
    <w:lvl w:ilvl="1" w:tplc="79E02B8C">
      <w:numFmt w:val="decimal"/>
      <w:lvlText w:val=""/>
      <w:lvlJc w:val="left"/>
    </w:lvl>
    <w:lvl w:ilvl="2" w:tplc="E876A6A8">
      <w:numFmt w:val="decimal"/>
      <w:lvlText w:val=""/>
      <w:lvlJc w:val="left"/>
    </w:lvl>
    <w:lvl w:ilvl="3" w:tplc="ECE4AFE4">
      <w:numFmt w:val="decimal"/>
      <w:lvlText w:val=""/>
      <w:lvlJc w:val="left"/>
    </w:lvl>
    <w:lvl w:ilvl="4" w:tplc="60C28F82">
      <w:numFmt w:val="decimal"/>
      <w:lvlText w:val=""/>
      <w:lvlJc w:val="left"/>
    </w:lvl>
    <w:lvl w:ilvl="5" w:tplc="FF0C0232">
      <w:numFmt w:val="decimal"/>
      <w:lvlText w:val=""/>
      <w:lvlJc w:val="left"/>
    </w:lvl>
    <w:lvl w:ilvl="6" w:tplc="6FBAD358">
      <w:numFmt w:val="decimal"/>
      <w:lvlText w:val=""/>
      <w:lvlJc w:val="left"/>
    </w:lvl>
    <w:lvl w:ilvl="7" w:tplc="561CC4EA">
      <w:numFmt w:val="decimal"/>
      <w:lvlText w:val=""/>
      <w:lvlJc w:val="left"/>
    </w:lvl>
    <w:lvl w:ilvl="8" w:tplc="FEEC5048">
      <w:numFmt w:val="decimal"/>
      <w:lvlText w:val=""/>
      <w:lvlJc w:val="left"/>
    </w:lvl>
  </w:abstractNum>
  <w:abstractNum w:abstractNumId="512" w15:restartNumberingAfterBreak="0">
    <w:nsid w:val="260E2D24"/>
    <w:multiLevelType w:val="hybridMultilevel"/>
    <w:tmpl w:val="F6DC18F6"/>
    <w:lvl w:ilvl="0" w:tplc="E6828FD4">
      <w:start w:val="1"/>
      <w:numFmt w:val="bullet"/>
      <w:lvlText w:val=""/>
      <w:lvlJc w:val="left"/>
      <w:pPr>
        <w:ind w:left="720" w:hanging="180"/>
      </w:pPr>
      <w:rPr>
        <w:rFonts w:ascii="Symbol" w:hAnsi="Symbol" w:hint="default"/>
      </w:rPr>
    </w:lvl>
    <w:lvl w:ilvl="1" w:tplc="1E9CC8DA">
      <w:numFmt w:val="decimal"/>
      <w:lvlText w:val=""/>
      <w:lvlJc w:val="left"/>
    </w:lvl>
    <w:lvl w:ilvl="2" w:tplc="07C2057E">
      <w:numFmt w:val="decimal"/>
      <w:lvlText w:val=""/>
      <w:lvlJc w:val="left"/>
    </w:lvl>
    <w:lvl w:ilvl="3" w:tplc="135C183C">
      <w:numFmt w:val="decimal"/>
      <w:lvlText w:val=""/>
      <w:lvlJc w:val="left"/>
    </w:lvl>
    <w:lvl w:ilvl="4" w:tplc="3B1280F2">
      <w:numFmt w:val="decimal"/>
      <w:lvlText w:val=""/>
      <w:lvlJc w:val="left"/>
    </w:lvl>
    <w:lvl w:ilvl="5" w:tplc="43DE2D3A">
      <w:numFmt w:val="decimal"/>
      <w:lvlText w:val=""/>
      <w:lvlJc w:val="left"/>
    </w:lvl>
    <w:lvl w:ilvl="6" w:tplc="6454469E">
      <w:numFmt w:val="decimal"/>
      <w:lvlText w:val=""/>
      <w:lvlJc w:val="left"/>
    </w:lvl>
    <w:lvl w:ilvl="7" w:tplc="6C7AFEAC">
      <w:numFmt w:val="decimal"/>
      <w:lvlText w:val=""/>
      <w:lvlJc w:val="left"/>
    </w:lvl>
    <w:lvl w:ilvl="8" w:tplc="B304562C">
      <w:numFmt w:val="decimal"/>
      <w:lvlText w:val=""/>
      <w:lvlJc w:val="left"/>
    </w:lvl>
  </w:abstractNum>
  <w:abstractNum w:abstractNumId="513" w15:restartNumberingAfterBreak="0">
    <w:nsid w:val="26136099"/>
    <w:multiLevelType w:val="hybridMultilevel"/>
    <w:tmpl w:val="4238BBD8"/>
    <w:lvl w:ilvl="0" w:tplc="E63C4DD2">
      <w:numFmt w:val="decimal"/>
      <w:lvlText w:val=""/>
      <w:lvlJc w:val="left"/>
    </w:lvl>
    <w:lvl w:ilvl="1" w:tplc="D6FAD1CE">
      <w:start w:val="1"/>
      <w:numFmt w:val="bullet"/>
      <w:lvlText w:val=""/>
      <w:lvlJc w:val="left"/>
      <w:pPr>
        <w:ind w:left="1440" w:hanging="180"/>
      </w:pPr>
      <w:rPr>
        <w:rFonts w:ascii="Symbol" w:hAnsi="Symbol" w:hint="default"/>
      </w:rPr>
    </w:lvl>
    <w:lvl w:ilvl="2" w:tplc="89063328">
      <w:numFmt w:val="decimal"/>
      <w:lvlText w:val=""/>
      <w:lvlJc w:val="left"/>
    </w:lvl>
    <w:lvl w:ilvl="3" w:tplc="E89435A2">
      <w:numFmt w:val="decimal"/>
      <w:lvlText w:val=""/>
      <w:lvlJc w:val="left"/>
    </w:lvl>
    <w:lvl w:ilvl="4" w:tplc="ECF2BAAC">
      <w:numFmt w:val="decimal"/>
      <w:lvlText w:val=""/>
      <w:lvlJc w:val="left"/>
    </w:lvl>
    <w:lvl w:ilvl="5" w:tplc="EFC4C0AA">
      <w:numFmt w:val="decimal"/>
      <w:lvlText w:val=""/>
      <w:lvlJc w:val="left"/>
    </w:lvl>
    <w:lvl w:ilvl="6" w:tplc="BA38A402">
      <w:numFmt w:val="decimal"/>
      <w:lvlText w:val=""/>
      <w:lvlJc w:val="left"/>
    </w:lvl>
    <w:lvl w:ilvl="7" w:tplc="8236BCA4">
      <w:numFmt w:val="decimal"/>
      <w:lvlText w:val=""/>
      <w:lvlJc w:val="left"/>
    </w:lvl>
    <w:lvl w:ilvl="8" w:tplc="582ACDBC">
      <w:numFmt w:val="decimal"/>
      <w:lvlText w:val=""/>
      <w:lvlJc w:val="left"/>
    </w:lvl>
  </w:abstractNum>
  <w:abstractNum w:abstractNumId="514" w15:restartNumberingAfterBreak="0">
    <w:nsid w:val="26136EA9"/>
    <w:multiLevelType w:val="hybridMultilevel"/>
    <w:tmpl w:val="38B62726"/>
    <w:lvl w:ilvl="0" w:tplc="2266F202">
      <w:numFmt w:val="decimal"/>
      <w:lvlText w:val=""/>
      <w:lvlJc w:val="left"/>
    </w:lvl>
    <w:lvl w:ilvl="1" w:tplc="E2325AC4">
      <w:start w:val="1"/>
      <w:numFmt w:val="bullet"/>
      <w:lvlText w:val=""/>
      <w:lvlJc w:val="left"/>
      <w:pPr>
        <w:ind w:left="1440" w:hanging="180"/>
      </w:pPr>
      <w:rPr>
        <w:rFonts w:ascii="Symbol" w:hAnsi="Symbol" w:hint="default"/>
      </w:rPr>
    </w:lvl>
    <w:lvl w:ilvl="2" w:tplc="7CF8C10C">
      <w:numFmt w:val="decimal"/>
      <w:lvlText w:val=""/>
      <w:lvlJc w:val="left"/>
    </w:lvl>
    <w:lvl w:ilvl="3" w:tplc="866C7DB4">
      <w:numFmt w:val="decimal"/>
      <w:lvlText w:val=""/>
      <w:lvlJc w:val="left"/>
    </w:lvl>
    <w:lvl w:ilvl="4" w:tplc="C4D0E754">
      <w:numFmt w:val="decimal"/>
      <w:lvlText w:val=""/>
      <w:lvlJc w:val="left"/>
    </w:lvl>
    <w:lvl w:ilvl="5" w:tplc="1402E02C">
      <w:numFmt w:val="decimal"/>
      <w:lvlText w:val=""/>
      <w:lvlJc w:val="left"/>
    </w:lvl>
    <w:lvl w:ilvl="6" w:tplc="8806BACE">
      <w:numFmt w:val="decimal"/>
      <w:lvlText w:val=""/>
      <w:lvlJc w:val="left"/>
    </w:lvl>
    <w:lvl w:ilvl="7" w:tplc="21ECE720">
      <w:numFmt w:val="decimal"/>
      <w:lvlText w:val=""/>
      <w:lvlJc w:val="left"/>
    </w:lvl>
    <w:lvl w:ilvl="8" w:tplc="6D7CA534">
      <w:numFmt w:val="decimal"/>
      <w:lvlText w:val=""/>
      <w:lvlJc w:val="left"/>
    </w:lvl>
  </w:abstractNum>
  <w:abstractNum w:abstractNumId="515" w15:restartNumberingAfterBreak="0">
    <w:nsid w:val="2630393E"/>
    <w:multiLevelType w:val="hybridMultilevel"/>
    <w:tmpl w:val="6A8CF808"/>
    <w:lvl w:ilvl="0" w:tplc="07BAA518">
      <w:start w:val="1"/>
      <w:numFmt w:val="bullet"/>
      <w:lvlText w:val=""/>
      <w:lvlJc w:val="left"/>
      <w:pPr>
        <w:ind w:left="720" w:hanging="180"/>
      </w:pPr>
      <w:rPr>
        <w:rFonts w:ascii="Symbol" w:hAnsi="Symbol" w:hint="default"/>
      </w:rPr>
    </w:lvl>
    <w:lvl w:ilvl="1" w:tplc="12580A64">
      <w:numFmt w:val="decimal"/>
      <w:lvlText w:val=""/>
      <w:lvlJc w:val="left"/>
    </w:lvl>
    <w:lvl w:ilvl="2" w:tplc="F7807B52">
      <w:numFmt w:val="decimal"/>
      <w:lvlText w:val=""/>
      <w:lvlJc w:val="left"/>
    </w:lvl>
    <w:lvl w:ilvl="3" w:tplc="9CB671AE">
      <w:numFmt w:val="decimal"/>
      <w:lvlText w:val=""/>
      <w:lvlJc w:val="left"/>
    </w:lvl>
    <w:lvl w:ilvl="4" w:tplc="AE14C9B0">
      <w:numFmt w:val="decimal"/>
      <w:lvlText w:val=""/>
      <w:lvlJc w:val="left"/>
    </w:lvl>
    <w:lvl w:ilvl="5" w:tplc="E0D2594E">
      <w:numFmt w:val="decimal"/>
      <w:lvlText w:val=""/>
      <w:lvlJc w:val="left"/>
    </w:lvl>
    <w:lvl w:ilvl="6" w:tplc="A208AB72">
      <w:numFmt w:val="decimal"/>
      <w:lvlText w:val=""/>
      <w:lvlJc w:val="left"/>
    </w:lvl>
    <w:lvl w:ilvl="7" w:tplc="B6B0FA86">
      <w:numFmt w:val="decimal"/>
      <w:lvlText w:val=""/>
      <w:lvlJc w:val="left"/>
    </w:lvl>
    <w:lvl w:ilvl="8" w:tplc="A89E57DA">
      <w:numFmt w:val="decimal"/>
      <w:lvlText w:val=""/>
      <w:lvlJc w:val="left"/>
    </w:lvl>
  </w:abstractNum>
  <w:abstractNum w:abstractNumId="516" w15:restartNumberingAfterBreak="0">
    <w:nsid w:val="263B620B"/>
    <w:multiLevelType w:val="hybridMultilevel"/>
    <w:tmpl w:val="1A4C1BAA"/>
    <w:lvl w:ilvl="0" w:tplc="AFCCDA22">
      <w:start w:val="1"/>
      <w:numFmt w:val="bullet"/>
      <w:lvlText w:val=""/>
      <w:lvlJc w:val="left"/>
      <w:pPr>
        <w:ind w:left="720" w:hanging="180"/>
      </w:pPr>
      <w:rPr>
        <w:rFonts w:ascii="Symbol" w:hAnsi="Symbol" w:hint="default"/>
      </w:rPr>
    </w:lvl>
    <w:lvl w:ilvl="1" w:tplc="C36C8616">
      <w:numFmt w:val="decimal"/>
      <w:lvlText w:val=""/>
      <w:lvlJc w:val="left"/>
    </w:lvl>
    <w:lvl w:ilvl="2" w:tplc="8DDA6F4A">
      <w:numFmt w:val="decimal"/>
      <w:lvlText w:val=""/>
      <w:lvlJc w:val="left"/>
    </w:lvl>
    <w:lvl w:ilvl="3" w:tplc="D250D3AA">
      <w:numFmt w:val="decimal"/>
      <w:lvlText w:val=""/>
      <w:lvlJc w:val="left"/>
    </w:lvl>
    <w:lvl w:ilvl="4" w:tplc="B164C11A">
      <w:numFmt w:val="decimal"/>
      <w:lvlText w:val=""/>
      <w:lvlJc w:val="left"/>
    </w:lvl>
    <w:lvl w:ilvl="5" w:tplc="A600B892">
      <w:numFmt w:val="decimal"/>
      <w:lvlText w:val=""/>
      <w:lvlJc w:val="left"/>
    </w:lvl>
    <w:lvl w:ilvl="6" w:tplc="4488911C">
      <w:numFmt w:val="decimal"/>
      <w:lvlText w:val=""/>
      <w:lvlJc w:val="left"/>
    </w:lvl>
    <w:lvl w:ilvl="7" w:tplc="8BAA6CCA">
      <w:numFmt w:val="decimal"/>
      <w:lvlText w:val=""/>
      <w:lvlJc w:val="left"/>
    </w:lvl>
    <w:lvl w:ilvl="8" w:tplc="F994584C">
      <w:numFmt w:val="decimal"/>
      <w:lvlText w:val=""/>
      <w:lvlJc w:val="left"/>
    </w:lvl>
  </w:abstractNum>
  <w:abstractNum w:abstractNumId="517" w15:restartNumberingAfterBreak="0">
    <w:nsid w:val="2655473A"/>
    <w:multiLevelType w:val="hybridMultilevel"/>
    <w:tmpl w:val="799CBE46"/>
    <w:lvl w:ilvl="0" w:tplc="0A1417FA">
      <w:numFmt w:val="decimal"/>
      <w:lvlText w:val=""/>
      <w:lvlJc w:val="left"/>
    </w:lvl>
    <w:lvl w:ilvl="1" w:tplc="13400132">
      <w:start w:val="1"/>
      <w:numFmt w:val="bullet"/>
      <w:lvlText w:val=""/>
      <w:lvlJc w:val="left"/>
      <w:pPr>
        <w:ind w:left="1440" w:hanging="180"/>
      </w:pPr>
      <w:rPr>
        <w:rFonts w:ascii="Symbol" w:hAnsi="Symbol" w:hint="default"/>
      </w:rPr>
    </w:lvl>
    <w:lvl w:ilvl="2" w:tplc="5974119C">
      <w:numFmt w:val="decimal"/>
      <w:lvlText w:val=""/>
      <w:lvlJc w:val="left"/>
    </w:lvl>
    <w:lvl w:ilvl="3" w:tplc="CB4A60CA">
      <w:numFmt w:val="decimal"/>
      <w:lvlText w:val=""/>
      <w:lvlJc w:val="left"/>
    </w:lvl>
    <w:lvl w:ilvl="4" w:tplc="9D76585C">
      <w:numFmt w:val="decimal"/>
      <w:lvlText w:val=""/>
      <w:lvlJc w:val="left"/>
    </w:lvl>
    <w:lvl w:ilvl="5" w:tplc="22CC4B44">
      <w:numFmt w:val="decimal"/>
      <w:lvlText w:val=""/>
      <w:lvlJc w:val="left"/>
    </w:lvl>
    <w:lvl w:ilvl="6" w:tplc="CE2CE53C">
      <w:numFmt w:val="decimal"/>
      <w:lvlText w:val=""/>
      <w:lvlJc w:val="left"/>
    </w:lvl>
    <w:lvl w:ilvl="7" w:tplc="EF52C020">
      <w:numFmt w:val="decimal"/>
      <w:lvlText w:val=""/>
      <w:lvlJc w:val="left"/>
    </w:lvl>
    <w:lvl w:ilvl="8" w:tplc="3C2CBFD6">
      <w:numFmt w:val="decimal"/>
      <w:lvlText w:val=""/>
      <w:lvlJc w:val="left"/>
    </w:lvl>
  </w:abstractNum>
  <w:abstractNum w:abstractNumId="518" w15:restartNumberingAfterBreak="0">
    <w:nsid w:val="265E1813"/>
    <w:multiLevelType w:val="hybridMultilevel"/>
    <w:tmpl w:val="85408DF0"/>
    <w:lvl w:ilvl="0" w:tplc="B6E62486">
      <w:start w:val="1"/>
      <w:numFmt w:val="bullet"/>
      <w:lvlText w:val=""/>
      <w:lvlJc w:val="left"/>
      <w:pPr>
        <w:ind w:left="720" w:hanging="180"/>
      </w:pPr>
      <w:rPr>
        <w:rFonts w:ascii="Symbol" w:hAnsi="Symbol" w:hint="default"/>
      </w:rPr>
    </w:lvl>
    <w:lvl w:ilvl="1" w:tplc="6BC00AC0">
      <w:numFmt w:val="decimal"/>
      <w:lvlText w:val=""/>
      <w:lvlJc w:val="left"/>
    </w:lvl>
    <w:lvl w:ilvl="2" w:tplc="C4D474D4">
      <w:numFmt w:val="decimal"/>
      <w:lvlText w:val=""/>
      <w:lvlJc w:val="left"/>
    </w:lvl>
    <w:lvl w:ilvl="3" w:tplc="66623CD8">
      <w:numFmt w:val="decimal"/>
      <w:lvlText w:val=""/>
      <w:lvlJc w:val="left"/>
    </w:lvl>
    <w:lvl w:ilvl="4" w:tplc="B22232C0">
      <w:numFmt w:val="decimal"/>
      <w:lvlText w:val=""/>
      <w:lvlJc w:val="left"/>
    </w:lvl>
    <w:lvl w:ilvl="5" w:tplc="3BBE30CA">
      <w:numFmt w:val="decimal"/>
      <w:lvlText w:val=""/>
      <w:lvlJc w:val="left"/>
    </w:lvl>
    <w:lvl w:ilvl="6" w:tplc="3E441AAA">
      <w:numFmt w:val="decimal"/>
      <w:lvlText w:val=""/>
      <w:lvlJc w:val="left"/>
    </w:lvl>
    <w:lvl w:ilvl="7" w:tplc="5FFCAC6C">
      <w:numFmt w:val="decimal"/>
      <w:lvlText w:val=""/>
      <w:lvlJc w:val="left"/>
    </w:lvl>
    <w:lvl w:ilvl="8" w:tplc="31C26960">
      <w:numFmt w:val="decimal"/>
      <w:lvlText w:val=""/>
      <w:lvlJc w:val="left"/>
    </w:lvl>
  </w:abstractNum>
  <w:abstractNum w:abstractNumId="519" w15:restartNumberingAfterBreak="0">
    <w:nsid w:val="266939F4"/>
    <w:multiLevelType w:val="hybridMultilevel"/>
    <w:tmpl w:val="0660F6AA"/>
    <w:lvl w:ilvl="0" w:tplc="794A8C74">
      <w:start w:val="1"/>
      <w:numFmt w:val="bullet"/>
      <w:lvlText w:val=""/>
      <w:lvlJc w:val="left"/>
      <w:pPr>
        <w:ind w:left="720" w:hanging="180"/>
      </w:pPr>
      <w:rPr>
        <w:rFonts w:ascii="Symbol" w:hAnsi="Symbol" w:hint="default"/>
      </w:rPr>
    </w:lvl>
    <w:lvl w:ilvl="1" w:tplc="AD182622">
      <w:numFmt w:val="decimal"/>
      <w:lvlText w:val=""/>
      <w:lvlJc w:val="left"/>
    </w:lvl>
    <w:lvl w:ilvl="2" w:tplc="5C021852">
      <w:numFmt w:val="decimal"/>
      <w:lvlText w:val=""/>
      <w:lvlJc w:val="left"/>
    </w:lvl>
    <w:lvl w:ilvl="3" w:tplc="6494F8CC">
      <w:numFmt w:val="decimal"/>
      <w:lvlText w:val=""/>
      <w:lvlJc w:val="left"/>
    </w:lvl>
    <w:lvl w:ilvl="4" w:tplc="335E0C6A">
      <w:numFmt w:val="decimal"/>
      <w:lvlText w:val=""/>
      <w:lvlJc w:val="left"/>
    </w:lvl>
    <w:lvl w:ilvl="5" w:tplc="848C5690">
      <w:numFmt w:val="decimal"/>
      <w:lvlText w:val=""/>
      <w:lvlJc w:val="left"/>
    </w:lvl>
    <w:lvl w:ilvl="6" w:tplc="35CC2F64">
      <w:numFmt w:val="decimal"/>
      <w:lvlText w:val=""/>
      <w:lvlJc w:val="left"/>
    </w:lvl>
    <w:lvl w:ilvl="7" w:tplc="5E2416EE">
      <w:numFmt w:val="decimal"/>
      <w:lvlText w:val=""/>
      <w:lvlJc w:val="left"/>
    </w:lvl>
    <w:lvl w:ilvl="8" w:tplc="2A2C6756">
      <w:numFmt w:val="decimal"/>
      <w:lvlText w:val=""/>
      <w:lvlJc w:val="left"/>
    </w:lvl>
  </w:abstractNum>
  <w:abstractNum w:abstractNumId="520" w15:restartNumberingAfterBreak="0">
    <w:nsid w:val="26875225"/>
    <w:multiLevelType w:val="hybridMultilevel"/>
    <w:tmpl w:val="1D64FE2E"/>
    <w:lvl w:ilvl="0" w:tplc="BE0C8DAC">
      <w:start w:val="1"/>
      <w:numFmt w:val="bullet"/>
      <w:lvlText w:val=""/>
      <w:lvlJc w:val="left"/>
      <w:pPr>
        <w:ind w:left="720" w:hanging="180"/>
      </w:pPr>
      <w:rPr>
        <w:rFonts w:ascii="Symbol" w:hAnsi="Symbol" w:hint="default"/>
      </w:rPr>
    </w:lvl>
    <w:lvl w:ilvl="1" w:tplc="75E67910">
      <w:numFmt w:val="decimal"/>
      <w:lvlText w:val=""/>
      <w:lvlJc w:val="left"/>
    </w:lvl>
    <w:lvl w:ilvl="2" w:tplc="D7880A56">
      <w:numFmt w:val="decimal"/>
      <w:lvlText w:val=""/>
      <w:lvlJc w:val="left"/>
    </w:lvl>
    <w:lvl w:ilvl="3" w:tplc="E0F6DD24">
      <w:numFmt w:val="decimal"/>
      <w:lvlText w:val=""/>
      <w:lvlJc w:val="left"/>
    </w:lvl>
    <w:lvl w:ilvl="4" w:tplc="494EB080">
      <w:numFmt w:val="decimal"/>
      <w:lvlText w:val=""/>
      <w:lvlJc w:val="left"/>
    </w:lvl>
    <w:lvl w:ilvl="5" w:tplc="B67EB18C">
      <w:numFmt w:val="decimal"/>
      <w:lvlText w:val=""/>
      <w:lvlJc w:val="left"/>
    </w:lvl>
    <w:lvl w:ilvl="6" w:tplc="B64C31A8">
      <w:numFmt w:val="decimal"/>
      <w:lvlText w:val=""/>
      <w:lvlJc w:val="left"/>
    </w:lvl>
    <w:lvl w:ilvl="7" w:tplc="83EED112">
      <w:numFmt w:val="decimal"/>
      <w:lvlText w:val=""/>
      <w:lvlJc w:val="left"/>
    </w:lvl>
    <w:lvl w:ilvl="8" w:tplc="57F0249C">
      <w:numFmt w:val="decimal"/>
      <w:lvlText w:val=""/>
      <w:lvlJc w:val="left"/>
    </w:lvl>
  </w:abstractNum>
  <w:abstractNum w:abstractNumId="521" w15:restartNumberingAfterBreak="0">
    <w:nsid w:val="26AF3029"/>
    <w:multiLevelType w:val="hybridMultilevel"/>
    <w:tmpl w:val="A84CD45A"/>
    <w:lvl w:ilvl="0" w:tplc="42BA3AE4">
      <w:start w:val="1"/>
      <w:numFmt w:val="bullet"/>
      <w:lvlText w:val=""/>
      <w:lvlJc w:val="left"/>
      <w:pPr>
        <w:ind w:left="720" w:hanging="180"/>
      </w:pPr>
      <w:rPr>
        <w:rFonts w:ascii="Symbol" w:hAnsi="Symbol" w:hint="default"/>
      </w:rPr>
    </w:lvl>
    <w:lvl w:ilvl="1" w:tplc="BCD60678">
      <w:numFmt w:val="decimal"/>
      <w:lvlText w:val=""/>
      <w:lvlJc w:val="left"/>
    </w:lvl>
    <w:lvl w:ilvl="2" w:tplc="858E3E86">
      <w:numFmt w:val="decimal"/>
      <w:lvlText w:val=""/>
      <w:lvlJc w:val="left"/>
    </w:lvl>
    <w:lvl w:ilvl="3" w:tplc="213C58C8">
      <w:numFmt w:val="decimal"/>
      <w:lvlText w:val=""/>
      <w:lvlJc w:val="left"/>
    </w:lvl>
    <w:lvl w:ilvl="4" w:tplc="6D04B186">
      <w:numFmt w:val="decimal"/>
      <w:lvlText w:val=""/>
      <w:lvlJc w:val="left"/>
    </w:lvl>
    <w:lvl w:ilvl="5" w:tplc="FEFEF574">
      <w:numFmt w:val="decimal"/>
      <w:lvlText w:val=""/>
      <w:lvlJc w:val="left"/>
    </w:lvl>
    <w:lvl w:ilvl="6" w:tplc="EF88E9DE">
      <w:numFmt w:val="decimal"/>
      <w:lvlText w:val=""/>
      <w:lvlJc w:val="left"/>
    </w:lvl>
    <w:lvl w:ilvl="7" w:tplc="9CC80AB2">
      <w:numFmt w:val="decimal"/>
      <w:lvlText w:val=""/>
      <w:lvlJc w:val="left"/>
    </w:lvl>
    <w:lvl w:ilvl="8" w:tplc="948A1F32">
      <w:numFmt w:val="decimal"/>
      <w:lvlText w:val=""/>
      <w:lvlJc w:val="left"/>
    </w:lvl>
  </w:abstractNum>
  <w:abstractNum w:abstractNumId="522" w15:restartNumberingAfterBreak="0">
    <w:nsid w:val="26B22390"/>
    <w:multiLevelType w:val="hybridMultilevel"/>
    <w:tmpl w:val="E65A8E1E"/>
    <w:lvl w:ilvl="0" w:tplc="B33CAB76">
      <w:start w:val="1"/>
      <w:numFmt w:val="bullet"/>
      <w:lvlText w:val=""/>
      <w:lvlJc w:val="left"/>
      <w:pPr>
        <w:ind w:left="720" w:hanging="180"/>
      </w:pPr>
      <w:rPr>
        <w:rFonts w:ascii="Symbol" w:hAnsi="Symbol" w:hint="default"/>
      </w:rPr>
    </w:lvl>
    <w:lvl w:ilvl="1" w:tplc="6B9E2398">
      <w:numFmt w:val="decimal"/>
      <w:lvlText w:val=""/>
      <w:lvlJc w:val="left"/>
    </w:lvl>
    <w:lvl w:ilvl="2" w:tplc="F9443D02">
      <w:numFmt w:val="decimal"/>
      <w:lvlText w:val=""/>
      <w:lvlJc w:val="left"/>
    </w:lvl>
    <w:lvl w:ilvl="3" w:tplc="D38665C0">
      <w:numFmt w:val="decimal"/>
      <w:lvlText w:val=""/>
      <w:lvlJc w:val="left"/>
    </w:lvl>
    <w:lvl w:ilvl="4" w:tplc="E438F9E4">
      <w:numFmt w:val="decimal"/>
      <w:lvlText w:val=""/>
      <w:lvlJc w:val="left"/>
    </w:lvl>
    <w:lvl w:ilvl="5" w:tplc="5074CA16">
      <w:numFmt w:val="decimal"/>
      <w:lvlText w:val=""/>
      <w:lvlJc w:val="left"/>
    </w:lvl>
    <w:lvl w:ilvl="6" w:tplc="35F8B516">
      <w:numFmt w:val="decimal"/>
      <w:lvlText w:val=""/>
      <w:lvlJc w:val="left"/>
    </w:lvl>
    <w:lvl w:ilvl="7" w:tplc="8506B9A8">
      <w:numFmt w:val="decimal"/>
      <w:lvlText w:val=""/>
      <w:lvlJc w:val="left"/>
    </w:lvl>
    <w:lvl w:ilvl="8" w:tplc="EC260EBE">
      <w:numFmt w:val="decimal"/>
      <w:lvlText w:val=""/>
      <w:lvlJc w:val="left"/>
    </w:lvl>
  </w:abstractNum>
  <w:abstractNum w:abstractNumId="523" w15:restartNumberingAfterBreak="0">
    <w:nsid w:val="26B51CFB"/>
    <w:multiLevelType w:val="hybridMultilevel"/>
    <w:tmpl w:val="1CA2B894"/>
    <w:lvl w:ilvl="0" w:tplc="87B81A34">
      <w:start w:val="1"/>
      <w:numFmt w:val="bullet"/>
      <w:lvlText w:val=""/>
      <w:lvlJc w:val="left"/>
      <w:pPr>
        <w:ind w:left="720" w:hanging="180"/>
      </w:pPr>
      <w:rPr>
        <w:rFonts w:ascii="Symbol" w:hAnsi="Symbol" w:hint="default"/>
      </w:rPr>
    </w:lvl>
    <w:lvl w:ilvl="1" w:tplc="BD501AB2">
      <w:numFmt w:val="decimal"/>
      <w:lvlText w:val=""/>
      <w:lvlJc w:val="left"/>
    </w:lvl>
    <w:lvl w:ilvl="2" w:tplc="632ABF1E">
      <w:numFmt w:val="decimal"/>
      <w:lvlText w:val=""/>
      <w:lvlJc w:val="left"/>
    </w:lvl>
    <w:lvl w:ilvl="3" w:tplc="6F347F12">
      <w:numFmt w:val="decimal"/>
      <w:lvlText w:val=""/>
      <w:lvlJc w:val="left"/>
    </w:lvl>
    <w:lvl w:ilvl="4" w:tplc="55366D98">
      <w:numFmt w:val="decimal"/>
      <w:lvlText w:val=""/>
      <w:lvlJc w:val="left"/>
    </w:lvl>
    <w:lvl w:ilvl="5" w:tplc="ECA89AAA">
      <w:numFmt w:val="decimal"/>
      <w:lvlText w:val=""/>
      <w:lvlJc w:val="left"/>
    </w:lvl>
    <w:lvl w:ilvl="6" w:tplc="00948DA2">
      <w:numFmt w:val="decimal"/>
      <w:lvlText w:val=""/>
      <w:lvlJc w:val="left"/>
    </w:lvl>
    <w:lvl w:ilvl="7" w:tplc="EC1CB214">
      <w:numFmt w:val="decimal"/>
      <w:lvlText w:val=""/>
      <w:lvlJc w:val="left"/>
    </w:lvl>
    <w:lvl w:ilvl="8" w:tplc="5C6035AC">
      <w:numFmt w:val="decimal"/>
      <w:lvlText w:val=""/>
      <w:lvlJc w:val="left"/>
    </w:lvl>
  </w:abstractNum>
  <w:abstractNum w:abstractNumId="524" w15:restartNumberingAfterBreak="0">
    <w:nsid w:val="26CD40A2"/>
    <w:multiLevelType w:val="hybridMultilevel"/>
    <w:tmpl w:val="9B1E7300"/>
    <w:lvl w:ilvl="0" w:tplc="54B89F70">
      <w:start w:val="1"/>
      <w:numFmt w:val="bullet"/>
      <w:lvlText w:val=""/>
      <w:lvlJc w:val="left"/>
      <w:pPr>
        <w:ind w:left="720" w:hanging="180"/>
      </w:pPr>
      <w:rPr>
        <w:rFonts w:ascii="Symbol" w:hAnsi="Symbol" w:hint="default"/>
      </w:rPr>
    </w:lvl>
    <w:lvl w:ilvl="1" w:tplc="1F5A36E4">
      <w:numFmt w:val="decimal"/>
      <w:lvlText w:val=""/>
      <w:lvlJc w:val="left"/>
    </w:lvl>
    <w:lvl w:ilvl="2" w:tplc="425411B2">
      <w:numFmt w:val="decimal"/>
      <w:lvlText w:val=""/>
      <w:lvlJc w:val="left"/>
    </w:lvl>
    <w:lvl w:ilvl="3" w:tplc="4A3EB792">
      <w:numFmt w:val="decimal"/>
      <w:lvlText w:val=""/>
      <w:lvlJc w:val="left"/>
    </w:lvl>
    <w:lvl w:ilvl="4" w:tplc="FBC4535A">
      <w:numFmt w:val="decimal"/>
      <w:lvlText w:val=""/>
      <w:lvlJc w:val="left"/>
    </w:lvl>
    <w:lvl w:ilvl="5" w:tplc="FB6A94EE">
      <w:numFmt w:val="decimal"/>
      <w:lvlText w:val=""/>
      <w:lvlJc w:val="left"/>
    </w:lvl>
    <w:lvl w:ilvl="6" w:tplc="EACC3BF6">
      <w:numFmt w:val="decimal"/>
      <w:lvlText w:val=""/>
      <w:lvlJc w:val="left"/>
    </w:lvl>
    <w:lvl w:ilvl="7" w:tplc="C4240A32">
      <w:numFmt w:val="decimal"/>
      <w:lvlText w:val=""/>
      <w:lvlJc w:val="left"/>
    </w:lvl>
    <w:lvl w:ilvl="8" w:tplc="81E244AA">
      <w:numFmt w:val="decimal"/>
      <w:lvlText w:val=""/>
      <w:lvlJc w:val="left"/>
    </w:lvl>
  </w:abstractNum>
  <w:abstractNum w:abstractNumId="525" w15:restartNumberingAfterBreak="0">
    <w:nsid w:val="26F5311B"/>
    <w:multiLevelType w:val="hybridMultilevel"/>
    <w:tmpl w:val="0AD83E7A"/>
    <w:lvl w:ilvl="0" w:tplc="632AB3C2">
      <w:start w:val="1"/>
      <w:numFmt w:val="bullet"/>
      <w:lvlText w:val=""/>
      <w:lvlJc w:val="left"/>
      <w:pPr>
        <w:ind w:left="720" w:hanging="180"/>
      </w:pPr>
      <w:rPr>
        <w:rFonts w:ascii="Symbol" w:hAnsi="Symbol" w:hint="default"/>
      </w:rPr>
    </w:lvl>
    <w:lvl w:ilvl="1" w:tplc="899A73F0">
      <w:numFmt w:val="decimal"/>
      <w:lvlText w:val=""/>
      <w:lvlJc w:val="left"/>
    </w:lvl>
    <w:lvl w:ilvl="2" w:tplc="2DE86B68">
      <w:numFmt w:val="decimal"/>
      <w:lvlText w:val=""/>
      <w:lvlJc w:val="left"/>
    </w:lvl>
    <w:lvl w:ilvl="3" w:tplc="F634E3EC">
      <w:numFmt w:val="decimal"/>
      <w:lvlText w:val=""/>
      <w:lvlJc w:val="left"/>
    </w:lvl>
    <w:lvl w:ilvl="4" w:tplc="651A07CA">
      <w:numFmt w:val="decimal"/>
      <w:lvlText w:val=""/>
      <w:lvlJc w:val="left"/>
    </w:lvl>
    <w:lvl w:ilvl="5" w:tplc="36DCE332">
      <w:numFmt w:val="decimal"/>
      <w:lvlText w:val=""/>
      <w:lvlJc w:val="left"/>
    </w:lvl>
    <w:lvl w:ilvl="6" w:tplc="931ABA26">
      <w:numFmt w:val="decimal"/>
      <w:lvlText w:val=""/>
      <w:lvlJc w:val="left"/>
    </w:lvl>
    <w:lvl w:ilvl="7" w:tplc="EF869552">
      <w:numFmt w:val="decimal"/>
      <w:lvlText w:val=""/>
      <w:lvlJc w:val="left"/>
    </w:lvl>
    <w:lvl w:ilvl="8" w:tplc="FC1EA910">
      <w:numFmt w:val="decimal"/>
      <w:lvlText w:val=""/>
      <w:lvlJc w:val="left"/>
    </w:lvl>
  </w:abstractNum>
  <w:abstractNum w:abstractNumId="526" w15:restartNumberingAfterBreak="0">
    <w:nsid w:val="26F548A4"/>
    <w:multiLevelType w:val="hybridMultilevel"/>
    <w:tmpl w:val="FE5CD14C"/>
    <w:lvl w:ilvl="0" w:tplc="DFC8B450">
      <w:start w:val="1"/>
      <w:numFmt w:val="bullet"/>
      <w:lvlText w:val=""/>
      <w:lvlJc w:val="left"/>
      <w:pPr>
        <w:ind w:left="720" w:hanging="180"/>
      </w:pPr>
      <w:rPr>
        <w:rFonts w:ascii="Symbol" w:hAnsi="Symbol" w:hint="default"/>
      </w:rPr>
    </w:lvl>
    <w:lvl w:ilvl="1" w:tplc="122A2744">
      <w:numFmt w:val="decimal"/>
      <w:lvlText w:val=""/>
      <w:lvlJc w:val="left"/>
    </w:lvl>
    <w:lvl w:ilvl="2" w:tplc="B1A0B80A">
      <w:numFmt w:val="decimal"/>
      <w:lvlText w:val=""/>
      <w:lvlJc w:val="left"/>
    </w:lvl>
    <w:lvl w:ilvl="3" w:tplc="057A75E2">
      <w:numFmt w:val="decimal"/>
      <w:lvlText w:val=""/>
      <w:lvlJc w:val="left"/>
    </w:lvl>
    <w:lvl w:ilvl="4" w:tplc="01F0C148">
      <w:numFmt w:val="decimal"/>
      <w:lvlText w:val=""/>
      <w:lvlJc w:val="left"/>
    </w:lvl>
    <w:lvl w:ilvl="5" w:tplc="5B9CED0C">
      <w:numFmt w:val="decimal"/>
      <w:lvlText w:val=""/>
      <w:lvlJc w:val="left"/>
    </w:lvl>
    <w:lvl w:ilvl="6" w:tplc="8F58C29A">
      <w:numFmt w:val="decimal"/>
      <w:lvlText w:val=""/>
      <w:lvlJc w:val="left"/>
    </w:lvl>
    <w:lvl w:ilvl="7" w:tplc="27D21C6A">
      <w:numFmt w:val="decimal"/>
      <w:lvlText w:val=""/>
      <w:lvlJc w:val="left"/>
    </w:lvl>
    <w:lvl w:ilvl="8" w:tplc="5B288060">
      <w:numFmt w:val="decimal"/>
      <w:lvlText w:val=""/>
      <w:lvlJc w:val="left"/>
    </w:lvl>
  </w:abstractNum>
  <w:abstractNum w:abstractNumId="527" w15:restartNumberingAfterBreak="0">
    <w:nsid w:val="27187831"/>
    <w:multiLevelType w:val="hybridMultilevel"/>
    <w:tmpl w:val="6AC2EAF2"/>
    <w:lvl w:ilvl="0" w:tplc="D0583C70">
      <w:numFmt w:val="decimal"/>
      <w:lvlText w:val=""/>
      <w:lvlJc w:val="left"/>
    </w:lvl>
    <w:lvl w:ilvl="1" w:tplc="DEE2368E">
      <w:start w:val="1"/>
      <w:numFmt w:val="bullet"/>
      <w:lvlText w:val=""/>
      <w:lvlJc w:val="left"/>
      <w:pPr>
        <w:ind w:left="1440" w:hanging="180"/>
      </w:pPr>
      <w:rPr>
        <w:rFonts w:ascii="Symbol" w:hAnsi="Symbol" w:hint="default"/>
      </w:rPr>
    </w:lvl>
    <w:lvl w:ilvl="2" w:tplc="4FE46248">
      <w:numFmt w:val="decimal"/>
      <w:lvlText w:val=""/>
      <w:lvlJc w:val="left"/>
    </w:lvl>
    <w:lvl w:ilvl="3" w:tplc="C09479B0">
      <w:numFmt w:val="decimal"/>
      <w:lvlText w:val=""/>
      <w:lvlJc w:val="left"/>
    </w:lvl>
    <w:lvl w:ilvl="4" w:tplc="E5301738">
      <w:numFmt w:val="decimal"/>
      <w:lvlText w:val=""/>
      <w:lvlJc w:val="left"/>
    </w:lvl>
    <w:lvl w:ilvl="5" w:tplc="2F380784">
      <w:numFmt w:val="decimal"/>
      <w:lvlText w:val=""/>
      <w:lvlJc w:val="left"/>
    </w:lvl>
    <w:lvl w:ilvl="6" w:tplc="CA5A9C7E">
      <w:numFmt w:val="decimal"/>
      <w:lvlText w:val=""/>
      <w:lvlJc w:val="left"/>
    </w:lvl>
    <w:lvl w:ilvl="7" w:tplc="3274F6FE">
      <w:numFmt w:val="decimal"/>
      <w:lvlText w:val=""/>
      <w:lvlJc w:val="left"/>
    </w:lvl>
    <w:lvl w:ilvl="8" w:tplc="FF8A0EC4">
      <w:numFmt w:val="decimal"/>
      <w:lvlText w:val=""/>
      <w:lvlJc w:val="left"/>
    </w:lvl>
  </w:abstractNum>
  <w:abstractNum w:abstractNumId="528" w15:restartNumberingAfterBreak="0">
    <w:nsid w:val="27244CBF"/>
    <w:multiLevelType w:val="hybridMultilevel"/>
    <w:tmpl w:val="FB826112"/>
    <w:lvl w:ilvl="0" w:tplc="6E6EE558">
      <w:numFmt w:val="decimal"/>
      <w:lvlText w:val=""/>
      <w:lvlJc w:val="left"/>
    </w:lvl>
    <w:lvl w:ilvl="1" w:tplc="EE34EF76">
      <w:start w:val="1"/>
      <w:numFmt w:val="bullet"/>
      <w:lvlText w:val=""/>
      <w:lvlJc w:val="left"/>
      <w:pPr>
        <w:ind w:left="1440" w:hanging="180"/>
      </w:pPr>
      <w:rPr>
        <w:rFonts w:ascii="Symbol" w:hAnsi="Symbol" w:hint="default"/>
      </w:rPr>
    </w:lvl>
    <w:lvl w:ilvl="2" w:tplc="34D0558A">
      <w:numFmt w:val="decimal"/>
      <w:lvlText w:val=""/>
      <w:lvlJc w:val="left"/>
    </w:lvl>
    <w:lvl w:ilvl="3" w:tplc="F35241E8">
      <w:numFmt w:val="decimal"/>
      <w:lvlText w:val=""/>
      <w:lvlJc w:val="left"/>
    </w:lvl>
    <w:lvl w:ilvl="4" w:tplc="E9C832AC">
      <w:numFmt w:val="decimal"/>
      <w:lvlText w:val=""/>
      <w:lvlJc w:val="left"/>
    </w:lvl>
    <w:lvl w:ilvl="5" w:tplc="6C045CD4">
      <w:numFmt w:val="decimal"/>
      <w:lvlText w:val=""/>
      <w:lvlJc w:val="left"/>
    </w:lvl>
    <w:lvl w:ilvl="6" w:tplc="A9688E44">
      <w:numFmt w:val="decimal"/>
      <w:lvlText w:val=""/>
      <w:lvlJc w:val="left"/>
    </w:lvl>
    <w:lvl w:ilvl="7" w:tplc="583C80FA">
      <w:numFmt w:val="decimal"/>
      <w:lvlText w:val=""/>
      <w:lvlJc w:val="left"/>
    </w:lvl>
    <w:lvl w:ilvl="8" w:tplc="701A22D0">
      <w:numFmt w:val="decimal"/>
      <w:lvlText w:val=""/>
      <w:lvlJc w:val="left"/>
    </w:lvl>
  </w:abstractNum>
  <w:abstractNum w:abstractNumId="529" w15:restartNumberingAfterBreak="0">
    <w:nsid w:val="274829DA"/>
    <w:multiLevelType w:val="hybridMultilevel"/>
    <w:tmpl w:val="7A22E5A2"/>
    <w:lvl w:ilvl="0" w:tplc="F622103A">
      <w:start w:val="1"/>
      <w:numFmt w:val="bullet"/>
      <w:lvlText w:val=""/>
      <w:lvlJc w:val="left"/>
      <w:pPr>
        <w:ind w:left="720" w:hanging="180"/>
      </w:pPr>
      <w:rPr>
        <w:rFonts w:ascii="Symbol" w:hAnsi="Symbol" w:hint="default"/>
      </w:rPr>
    </w:lvl>
    <w:lvl w:ilvl="1" w:tplc="DF4E5E5C">
      <w:numFmt w:val="decimal"/>
      <w:lvlText w:val=""/>
      <w:lvlJc w:val="left"/>
    </w:lvl>
    <w:lvl w:ilvl="2" w:tplc="4F4EEA2E">
      <w:numFmt w:val="decimal"/>
      <w:lvlText w:val=""/>
      <w:lvlJc w:val="left"/>
    </w:lvl>
    <w:lvl w:ilvl="3" w:tplc="9D32F20E">
      <w:numFmt w:val="decimal"/>
      <w:lvlText w:val=""/>
      <w:lvlJc w:val="left"/>
    </w:lvl>
    <w:lvl w:ilvl="4" w:tplc="A42A8138">
      <w:numFmt w:val="decimal"/>
      <w:lvlText w:val=""/>
      <w:lvlJc w:val="left"/>
    </w:lvl>
    <w:lvl w:ilvl="5" w:tplc="9E62A394">
      <w:numFmt w:val="decimal"/>
      <w:lvlText w:val=""/>
      <w:lvlJc w:val="left"/>
    </w:lvl>
    <w:lvl w:ilvl="6" w:tplc="064CEA4A">
      <w:numFmt w:val="decimal"/>
      <w:lvlText w:val=""/>
      <w:lvlJc w:val="left"/>
    </w:lvl>
    <w:lvl w:ilvl="7" w:tplc="C5C25AE4">
      <w:numFmt w:val="decimal"/>
      <w:lvlText w:val=""/>
      <w:lvlJc w:val="left"/>
    </w:lvl>
    <w:lvl w:ilvl="8" w:tplc="6840F6B2">
      <w:numFmt w:val="decimal"/>
      <w:lvlText w:val=""/>
      <w:lvlJc w:val="left"/>
    </w:lvl>
  </w:abstractNum>
  <w:abstractNum w:abstractNumId="530" w15:restartNumberingAfterBreak="0">
    <w:nsid w:val="27842D5C"/>
    <w:multiLevelType w:val="hybridMultilevel"/>
    <w:tmpl w:val="E160C89A"/>
    <w:lvl w:ilvl="0" w:tplc="35EAC42E">
      <w:start w:val="1"/>
      <w:numFmt w:val="bullet"/>
      <w:lvlText w:val=""/>
      <w:lvlJc w:val="left"/>
      <w:pPr>
        <w:ind w:left="720" w:hanging="180"/>
      </w:pPr>
      <w:rPr>
        <w:rFonts w:ascii="Symbol" w:hAnsi="Symbol" w:hint="default"/>
      </w:rPr>
    </w:lvl>
    <w:lvl w:ilvl="1" w:tplc="C4F6B306">
      <w:numFmt w:val="decimal"/>
      <w:lvlText w:val=""/>
      <w:lvlJc w:val="left"/>
    </w:lvl>
    <w:lvl w:ilvl="2" w:tplc="5A389732">
      <w:numFmt w:val="decimal"/>
      <w:lvlText w:val=""/>
      <w:lvlJc w:val="left"/>
    </w:lvl>
    <w:lvl w:ilvl="3" w:tplc="EDCAF74E">
      <w:numFmt w:val="decimal"/>
      <w:lvlText w:val=""/>
      <w:lvlJc w:val="left"/>
    </w:lvl>
    <w:lvl w:ilvl="4" w:tplc="2D4037D6">
      <w:numFmt w:val="decimal"/>
      <w:lvlText w:val=""/>
      <w:lvlJc w:val="left"/>
    </w:lvl>
    <w:lvl w:ilvl="5" w:tplc="80CC9072">
      <w:numFmt w:val="decimal"/>
      <w:lvlText w:val=""/>
      <w:lvlJc w:val="left"/>
    </w:lvl>
    <w:lvl w:ilvl="6" w:tplc="E5EC425E">
      <w:numFmt w:val="decimal"/>
      <w:lvlText w:val=""/>
      <w:lvlJc w:val="left"/>
    </w:lvl>
    <w:lvl w:ilvl="7" w:tplc="5C14E0FC">
      <w:numFmt w:val="decimal"/>
      <w:lvlText w:val=""/>
      <w:lvlJc w:val="left"/>
    </w:lvl>
    <w:lvl w:ilvl="8" w:tplc="B99ABC60">
      <w:numFmt w:val="decimal"/>
      <w:lvlText w:val=""/>
      <w:lvlJc w:val="left"/>
    </w:lvl>
  </w:abstractNum>
  <w:abstractNum w:abstractNumId="531" w15:restartNumberingAfterBreak="0">
    <w:nsid w:val="279253DA"/>
    <w:multiLevelType w:val="hybridMultilevel"/>
    <w:tmpl w:val="25FEF946"/>
    <w:lvl w:ilvl="0" w:tplc="90FCB28E">
      <w:start w:val="1"/>
      <w:numFmt w:val="bullet"/>
      <w:lvlText w:val=""/>
      <w:lvlJc w:val="left"/>
      <w:pPr>
        <w:ind w:left="720" w:hanging="180"/>
      </w:pPr>
      <w:rPr>
        <w:rFonts w:ascii="Symbol" w:hAnsi="Symbol" w:hint="default"/>
      </w:rPr>
    </w:lvl>
    <w:lvl w:ilvl="1" w:tplc="A9C6BBBC">
      <w:numFmt w:val="decimal"/>
      <w:lvlText w:val=""/>
      <w:lvlJc w:val="left"/>
    </w:lvl>
    <w:lvl w:ilvl="2" w:tplc="C96A7D1E">
      <w:numFmt w:val="decimal"/>
      <w:lvlText w:val=""/>
      <w:lvlJc w:val="left"/>
    </w:lvl>
    <w:lvl w:ilvl="3" w:tplc="4BF801DA">
      <w:numFmt w:val="decimal"/>
      <w:lvlText w:val=""/>
      <w:lvlJc w:val="left"/>
    </w:lvl>
    <w:lvl w:ilvl="4" w:tplc="52669912">
      <w:numFmt w:val="decimal"/>
      <w:lvlText w:val=""/>
      <w:lvlJc w:val="left"/>
    </w:lvl>
    <w:lvl w:ilvl="5" w:tplc="DA044494">
      <w:numFmt w:val="decimal"/>
      <w:lvlText w:val=""/>
      <w:lvlJc w:val="left"/>
    </w:lvl>
    <w:lvl w:ilvl="6" w:tplc="348C3D88">
      <w:numFmt w:val="decimal"/>
      <w:lvlText w:val=""/>
      <w:lvlJc w:val="left"/>
    </w:lvl>
    <w:lvl w:ilvl="7" w:tplc="EC562E32">
      <w:numFmt w:val="decimal"/>
      <w:lvlText w:val=""/>
      <w:lvlJc w:val="left"/>
    </w:lvl>
    <w:lvl w:ilvl="8" w:tplc="92F2E9E2">
      <w:numFmt w:val="decimal"/>
      <w:lvlText w:val=""/>
      <w:lvlJc w:val="left"/>
    </w:lvl>
  </w:abstractNum>
  <w:abstractNum w:abstractNumId="532" w15:restartNumberingAfterBreak="0">
    <w:nsid w:val="27A8186D"/>
    <w:multiLevelType w:val="hybridMultilevel"/>
    <w:tmpl w:val="6D4EA34E"/>
    <w:lvl w:ilvl="0" w:tplc="5608F730">
      <w:start w:val="1"/>
      <w:numFmt w:val="bullet"/>
      <w:lvlText w:val=""/>
      <w:lvlJc w:val="left"/>
      <w:pPr>
        <w:ind w:left="720" w:hanging="180"/>
      </w:pPr>
      <w:rPr>
        <w:rFonts w:ascii="Symbol" w:hAnsi="Symbol" w:hint="default"/>
      </w:rPr>
    </w:lvl>
    <w:lvl w:ilvl="1" w:tplc="74EE6D9E">
      <w:numFmt w:val="decimal"/>
      <w:lvlText w:val=""/>
      <w:lvlJc w:val="left"/>
    </w:lvl>
    <w:lvl w:ilvl="2" w:tplc="CB66A7F0">
      <w:numFmt w:val="decimal"/>
      <w:lvlText w:val=""/>
      <w:lvlJc w:val="left"/>
    </w:lvl>
    <w:lvl w:ilvl="3" w:tplc="276CBED4">
      <w:numFmt w:val="decimal"/>
      <w:lvlText w:val=""/>
      <w:lvlJc w:val="left"/>
    </w:lvl>
    <w:lvl w:ilvl="4" w:tplc="679054E0">
      <w:numFmt w:val="decimal"/>
      <w:lvlText w:val=""/>
      <w:lvlJc w:val="left"/>
    </w:lvl>
    <w:lvl w:ilvl="5" w:tplc="9C4A691E">
      <w:numFmt w:val="decimal"/>
      <w:lvlText w:val=""/>
      <w:lvlJc w:val="left"/>
    </w:lvl>
    <w:lvl w:ilvl="6" w:tplc="3B6897C4">
      <w:numFmt w:val="decimal"/>
      <w:lvlText w:val=""/>
      <w:lvlJc w:val="left"/>
    </w:lvl>
    <w:lvl w:ilvl="7" w:tplc="DEAC1754">
      <w:numFmt w:val="decimal"/>
      <w:lvlText w:val=""/>
      <w:lvlJc w:val="left"/>
    </w:lvl>
    <w:lvl w:ilvl="8" w:tplc="38F0DF76">
      <w:numFmt w:val="decimal"/>
      <w:lvlText w:val=""/>
      <w:lvlJc w:val="left"/>
    </w:lvl>
  </w:abstractNum>
  <w:abstractNum w:abstractNumId="533" w15:restartNumberingAfterBreak="0">
    <w:nsid w:val="27AB0F8A"/>
    <w:multiLevelType w:val="hybridMultilevel"/>
    <w:tmpl w:val="CCEE5FEA"/>
    <w:lvl w:ilvl="0" w:tplc="2684FFF6">
      <w:start w:val="1"/>
      <w:numFmt w:val="bullet"/>
      <w:lvlText w:val=""/>
      <w:lvlJc w:val="left"/>
      <w:pPr>
        <w:ind w:left="720" w:hanging="180"/>
      </w:pPr>
      <w:rPr>
        <w:rFonts w:ascii="Symbol" w:hAnsi="Symbol" w:hint="default"/>
      </w:rPr>
    </w:lvl>
    <w:lvl w:ilvl="1" w:tplc="0C9635D8">
      <w:numFmt w:val="decimal"/>
      <w:lvlText w:val=""/>
      <w:lvlJc w:val="left"/>
    </w:lvl>
    <w:lvl w:ilvl="2" w:tplc="FEE66130">
      <w:numFmt w:val="decimal"/>
      <w:lvlText w:val=""/>
      <w:lvlJc w:val="left"/>
    </w:lvl>
    <w:lvl w:ilvl="3" w:tplc="0518D856">
      <w:numFmt w:val="decimal"/>
      <w:lvlText w:val=""/>
      <w:lvlJc w:val="left"/>
    </w:lvl>
    <w:lvl w:ilvl="4" w:tplc="DF3C7AD4">
      <w:numFmt w:val="decimal"/>
      <w:lvlText w:val=""/>
      <w:lvlJc w:val="left"/>
    </w:lvl>
    <w:lvl w:ilvl="5" w:tplc="99EEA40A">
      <w:numFmt w:val="decimal"/>
      <w:lvlText w:val=""/>
      <w:lvlJc w:val="left"/>
    </w:lvl>
    <w:lvl w:ilvl="6" w:tplc="AFDE46D6">
      <w:numFmt w:val="decimal"/>
      <w:lvlText w:val=""/>
      <w:lvlJc w:val="left"/>
    </w:lvl>
    <w:lvl w:ilvl="7" w:tplc="FA4253B8">
      <w:numFmt w:val="decimal"/>
      <w:lvlText w:val=""/>
      <w:lvlJc w:val="left"/>
    </w:lvl>
    <w:lvl w:ilvl="8" w:tplc="3BEC3A70">
      <w:numFmt w:val="decimal"/>
      <w:lvlText w:val=""/>
      <w:lvlJc w:val="left"/>
    </w:lvl>
  </w:abstractNum>
  <w:abstractNum w:abstractNumId="534" w15:restartNumberingAfterBreak="0">
    <w:nsid w:val="27BB6E0B"/>
    <w:multiLevelType w:val="hybridMultilevel"/>
    <w:tmpl w:val="C10C6F84"/>
    <w:lvl w:ilvl="0" w:tplc="A30812AC">
      <w:start w:val="1"/>
      <w:numFmt w:val="bullet"/>
      <w:lvlText w:val=""/>
      <w:lvlJc w:val="left"/>
      <w:pPr>
        <w:ind w:left="720" w:hanging="180"/>
      </w:pPr>
      <w:rPr>
        <w:rFonts w:ascii="Symbol" w:hAnsi="Symbol" w:hint="default"/>
      </w:rPr>
    </w:lvl>
    <w:lvl w:ilvl="1" w:tplc="C3263722">
      <w:numFmt w:val="decimal"/>
      <w:lvlText w:val=""/>
      <w:lvlJc w:val="left"/>
    </w:lvl>
    <w:lvl w:ilvl="2" w:tplc="65A61E9A">
      <w:numFmt w:val="decimal"/>
      <w:lvlText w:val=""/>
      <w:lvlJc w:val="left"/>
    </w:lvl>
    <w:lvl w:ilvl="3" w:tplc="629EC1E2">
      <w:numFmt w:val="decimal"/>
      <w:lvlText w:val=""/>
      <w:lvlJc w:val="left"/>
    </w:lvl>
    <w:lvl w:ilvl="4" w:tplc="AA8C528E">
      <w:numFmt w:val="decimal"/>
      <w:lvlText w:val=""/>
      <w:lvlJc w:val="left"/>
    </w:lvl>
    <w:lvl w:ilvl="5" w:tplc="8EE21BF0">
      <w:numFmt w:val="decimal"/>
      <w:lvlText w:val=""/>
      <w:lvlJc w:val="left"/>
    </w:lvl>
    <w:lvl w:ilvl="6" w:tplc="1D965272">
      <w:numFmt w:val="decimal"/>
      <w:lvlText w:val=""/>
      <w:lvlJc w:val="left"/>
    </w:lvl>
    <w:lvl w:ilvl="7" w:tplc="6136C5B4">
      <w:numFmt w:val="decimal"/>
      <w:lvlText w:val=""/>
      <w:lvlJc w:val="left"/>
    </w:lvl>
    <w:lvl w:ilvl="8" w:tplc="0C9E7044">
      <w:numFmt w:val="decimal"/>
      <w:lvlText w:val=""/>
      <w:lvlJc w:val="left"/>
    </w:lvl>
  </w:abstractNum>
  <w:abstractNum w:abstractNumId="535" w15:restartNumberingAfterBreak="0">
    <w:nsid w:val="27CA25A0"/>
    <w:multiLevelType w:val="hybridMultilevel"/>
    <w:tmpl w:val="55F28D8C"/>
    <w:lvl w:ilvl="0" w:tplc="A198BD56">
      <w:start w:val="1"/>
      <w:numFmt w:val="bullet"/>
      <w:lvlText w:val=""/>
      <w:lvlJc w:val="left"/>
      <w:pPr>
        <w:ind w:left="720" w:hanging="180"/>
      </w:pPr>
      <w:rPr>
        <w:rFonts w:ascii="Symbol" w:hAnsi="Symbol" w:hint="default"/>
      </w:rPr>
    </w:lvl>
    <w:lvl w:ilvl="1" w:tplc="1BEA6398">
      <w:numFmt w:val="decimal"/>
      <w:lvlText w:val=""/>
      <w:lvlJc w:val="left"/>
    </w:lvl>
    <w:lvl w:ilvl="2" w:tplc="3DDA2054">
      <w:numFmt w:val="decimal"/>
      <w:lvlText w:val=""/>
      <w:lvlJc w:val="left"/>
    </w:lvl>
    <w:lvl w:ilvl="3" w:tplc="8D2A0CBE">
      <w:numFmt w:val="decimal"/>
      <w:lvlText w:val=""/>
      <w:lvlJc w:val="left"/>
    </w:lvl>
    <w:lvl w:ilvl="4" w:tplc="28E66192">
      <w:numFmt w:val="decimal"/>
      <w:lvlText w:val=""/>
      <w:lvlJc w:val="left"/>
    </w:lvl>
    <w:lvl w:ilvl="5" w:tplc="8C4604F0">
      <w:numFmt w:val="decimal"/>
      <w:lvlText w:val=""/>
      <w:lvlJc w:val="left"/>
    </w:lvl>
    <w:lvl w:ilvl="6" w:tplc="B9DCDA1E">
      <w:numFmt w:val="decimal"/>
      <w:lvlText w:val=""/>
      <w:lvlJc w:val="left"/>
    </w:lvl>
    <w:lvl w:ilvl="7" w:tplc="37D2C152">
      <w:numFmt w:val="decimal"/>
      <w:lvlText w:val=""/>
      <w:lvlJc w:val="left"/>
    </w:lvl>
    <w:lvl w:ilvl="8" w:tplc="088A0348">
      <w:numFmt w:val="decimal"/>
      <w:lvlText w:val=""/>
      <w:lvlJc w:val="left"/>
    </w:lvl>
  </w:abstractNum>
  <w:abstractNum w:abstractNumId="536" w15:restartNumberingAfterBreak="0">
    <w:nsid w:val="27E95F1D"/>
    <w:multiLevelType w:val="hybridMultilevel"/>
    <w:tmpl w:val="37C4A7E4"/>
    <w:lvl w:ilvl="0" w:tplc="47B0901E">
      <w:numFmt w:val="decimal"/>
      <w:lvlText w:val=""/>
      <w:lvlJc w:val="left"/>
    </w:lvl>
    <w:lvl w:ilvl="1" w:tplc="3810199C">
      <w:start w:val="1"/>
      <w:numFmt w:val="bullet"/>
      <w:lvlText w:val=""/>
      <w:lvlJc w:val="left"/>
      <w:pPr>
        <w:ind w:left="1440" w:hanging="180"/>
      </w:pPr>
      <w:rPr>
        <w:rFonts w:ascii="Symbol" w:hAnsi="Symbol" w:hint="default"/>
      </w:rPr>
    </w:lvl>
    <w:lvl w:ilvl="2" w:tplc="DE5CFF76">
      <w:numFmt w:val="decimal"/>
      <w:lvlText w:val=""/>
      <w:lvlJc w:val="left"/>
    </w:lvl>
    <w:lvl w:ilvl="3" w:tplc="FC90D95A">
      <w:numFmt w:val="decimal"/>
      <w:lvlText w:val=""/>
      <w:lvlJc w:val="left"/>
    </w:lvl>
    <w:lvl w:ilvl="4" w:tplc="F43AFDA8">
      <w:numFmt w:val="decimal"/>
      <w:lvlText w:val=""/>
      <w:lvlJc w:val="left"/>
    </w:lvl>
    <w:lvl w:ilvl="5" w:tplc="BB44BF7E">
      <w:numFmt w:val="decimal"/>
      <w:lvlText w:val=""/>
      <w:lvlJc w:val="left"/>
    </w:lvl>
    <w:lvl w:ilvl="6" w:tplc="EA4642DA">
      <w:numFmt w:val="decimal"/>
      <w:lvlText w:val=""/>
      <w:lvlJc w:val="left"/>
    </w:lvl>
    <w:lvl w:ilvl="7" w:tplc="2F08C4E6">
      <w:numFmt w:val="decimal"/>
      <w:lvlText w:val=""/>
      <w:lvlJc w:val="left"/>
    </w:lvl>
    <w:lvl w:ilvl="8" w:tplc="2EC8F55E">
      <w:numFmt w:val="decimal"/>
      <w:lvlText w:val=""/>
      <w:lvlJc w:val="left"/>
    </w:lvl>
  </w:abstractNum>
  <w:abstractNum w:abstractNumId="537" w15:restartNumberingAfterBreak="0">
    <w:nsid w:val="28057448"/>
    <w:multiLevelType w:val="hybridMultilevel"/>
    <w:tmpl w:val="58702106"/>
    <w:lvl w:ilvl="0" w:tplc="28084194">
      <w:start w:val="1"/>
      <w:numFmt w:val="bullet"/>
      <w:lvlText w:val=""/>
      <w:lvlJc w:val="left"/>
      <w:pPr>
        <w:ind w:left="720" w:hanging="180"/>
      </w:pPr>
      <w:rPr>
        <w:rFonts w:ascii="Symbol" w:hAnsi="Symbol" w:hint="default"/>
      </w:rPr>
    </w:lvl>
    <w:lvl w:ilvl="1" w:tplc="607839C8">
      <w:numFmt w:val="decimal"/>
      <w:lvlText w:val=""/>
      <w:lvlJc w:val="left"/>
    </w:lvl>
    <w:lvl w:ilvl="2" w:tplc="105CF7FC">
      <w:numFmt w:val="decimal"/>
      <w:lvlText w:val=""/>
      <w:lvlJc w:val="left"/>
    </w:lvl>
    <w:lvl w:ilvl="3" w:tplc="30F46798">
      <w:numFmt w:val="decimal"/>
      <w:lvlText w:val=""/>
      <w:lvlJc w:val="left"/>
    </w:lvl>
    <w:lvl w:ilvl="4" w:tplc="949CCB5E">
      <w:numFmt w:val="decimal"/>
      <w:lvlText w:val=""/>
      <w:lvlJc w:val="left"/>
    </w:lvl>
    <w:lvl w:ilvl="5" w:tplc="8132EAA4">
      <w:numFmt w:val="decimal"/>
      <w:lvlText w:val=""/>
      <w:lvlJc w:val="left"/>
    </w:lvl>
    <w:lvl w:ilvl="6" w:tplc="22100BA4">
      <w:numFmt w:val="decimal"/>
      <w:lvlText w:val=""/>
      <w:lvlJc w:val="left"/>
    </w:lvl>
    <w:lvl w:ilvl="7" w:tplc="E8DA9466">
      <w:numFmt w:val="decimal"/>
      <w:lvlText w:val=""/>
      <w:lvlJc w:val="left"/>
    </w:lvl>
    <w:lvl w:ilvl="8" w:tplc="774E6FB4">
      <w:numFmt w:val="decimal"/>
      <w:lvlText w:val=""/>
      <w:lvlJc w:val="left"/>
    </w:lvl>
  </w:abstractNum>
  <w:abstractNum w:abstractNumId="538" w15:restartNumberingAfterBreak="0">
    <w:nsid w:val="28080781"/>
    <w:multiLevelType w:val="hybridMultilevel"/>
    <w:tmpl w:val="28AA59F8"/>
    <w:lvl w:ilvl="0" w:tplc="FBB03E5C">
      <w:start w:val="1"/>
      <w:numFmt w:val="bullet"/>
      <w:lvlText w:val=""/>
      <w:lvlJc w:val="left"/>
      <w:pPr>
        <w:ind w:left="720" w:hanging="180"/>
      </w:pPr>
      <w:rPr>
        <w:rFonts w:ascii="Symbol" w:hAnsi="Symbol" w:hint="default"/>
      </w:rPr>
    </w:lvl>
    <w:lvl w:ilvl="1" w:tplc="DA20B856">
      <w:numFmt w:val="decimal"/>
      <w:lvlText w:val=""/>
      <w:lvlJc w:val="left"/>
    </w:lvl>
    <w:lvl w:ilvl="2" w:tplc="571AD598">
      <w:numFmt w:val="decimal"/>
      <w:lvlText w:val=""/>
      <w:lvlJc w:val="left"/>
    </w:lvl>
    <w:lvl w:ilvl="3" w:tplc="EA5A0028">
      <w:numFmt w:val="decimal"/>
      <w:lvlText w:val=""/>
      <w:lvlJc w:val="left"/>
    </w:lvl>
    <w:lvl w:ilvl="4" w:tplc="7BCE2888">
      <w:numFmt w:val="decimal"/>
      <w:lvlText w:val=""/>
      <w:lvlJc w:val="left"/>
    </w:lvl>
    <w:lvl w:ilvl="5" w:tplc="3530D974">
      <w:numFmt w:val="decimal"/>
      <w:lvlText w:val=""/>
      <w:lvlJc w:val="left"/>
    </w:lvl>
    <w:lvl w:ilvl="6" w:tplc="E9EE09FE">
      <w:numFmt w:val="decimal"/>
      <w:lvlText w:val=""/>
      <w:lvlJc w:val="left"/>
    </w:lvl>
    <w:lvl w:ilvl="7" w:tplc="9E768B30">
      <w:numFmt w:val="decimal"/>
      <w:lvlText w:val=""/>
      <w:lvlJc w:val="left"/>
    </w:lvl>
    <w:lvl w:ilvl="8" w:tplc="37FC05D8">
      <w:numFmt w:val="decimal"/>
      <w:lvlText w:val=""/>
      <w:lvlJc w:val="left"/>
    </w:lvl>
  </w:abstractNum>
  <w:abstractNum w:abstractNumId="539" w15:restartNumberingAfterBreak="0">
    <w:nsid w:val="282554BD"/>
    <w:multiLevelType w:val="hybridMultilevel"/>
    <w:tmpl w:val="456E1E32"/>
    <w:lvl w:ilvl="0" w:tplc="C67C3666">
      <w:start w:val="1"/>
      <w:numFmt w:val="bullet"/>
      <w:lvlText w:val=""/>
      <w:lvlJc w:val="left"/>
      <w:pPr>
        <w:ind w:left="720" w:hanging="180"/>
      </w:pPr>
      <w:rPr>
        <w:rFonts w:ascii="Symbol" w:hAnsi="Symbol" w:hint="default"/>
      </w:rPr>
    </w:lvl>
    <w:lvl w:ilvl="1" w:tplc="6CB02B8C">
      <w:numFmt w:val="decimal"/>
      <w:lvlText w:val=""/>
      <w:lvlJc w:val="left"/>
    </w:lvl>
    <w:lvl w:ilvl="2" w:tplc="23BC2C94">
      <w:numFmt w:val="decimal"/>
      <w:lvlText w:val=""/>
      <w:lvlJc w:val="left"/>
    </w:lvl>
    <w:lvl w:ilvl="3" w:tplc="6FDE156E">
      <w:numFmt w:val="decimal"/>
      <w:lvlText w:val=""/>
      <w:lvlJc w:val="left"/>
    </w:lvl>
    <w:lvl w:ilvl="4" w:tplc="8F6EF19A">
      <w:numFmt w:val="decimal"/>
      <w:lvlText w:val=""/>
      <w:lvlJc w:val="left"/>
    </w:lvl>
    <w:lvl w:ilvl="5" w:tplc="4A227928">
      <w:numFmt w:val="decimal"/>
      <w:lvlText w:val=""/>
      <w:lvlJc w:val="left"/>
    </w:lvl>
    <w:lvl w:ilvl="6" w:tplc="9A16BE8E">
      <w:numFmt w:val="decimal"/>
      <w:lvlText w:val=""/>
      <w:lvlJc w:val="left"/>
    </w:lvl>
    <w:lvl w:ilvl="7" w:tplc="FD5E8E90">
      <w:numFmt w:val="decimal"/>
      <w:lvlText w:val=""/>
      <w:lvlJc w:val="left"/>
    </w:lvl>
    <w:lvl w:ilvl="8" w:tplc="8E90D336">
      <w:numFmt w:val="decimal"/>
      <w:lvlText w:val=""/>
      <w:lvlJc w:val="left"/>
    </w:lvl>
  </w:abstractNum>
  <w:abstractNum w:abstractNumId="540" w15:restartNumberingAfterBreak="0">
    <w:nsid w:val="285B7350"/>
    <w:multiLevelType w:val="hybridMultilevel"/>
    <w:tmpl w:val="043CAD48"/>
    <w:lvl w:ilvl="0" w:tplc="10B40B5E">
      <w:start w:val="1"/>
      <w:numFmt w:val="bullet"/>
      <w:lvlText w:val=""/>
      <w:lvlJc w:val="left"/>
      <w:pPr>
        <w:ind w:left="720" w:hanging="180"/>
      </w:pPr>
      <w:rPr>
        <w:rFonts w:ascii="Symbol" w:hAnsi="Symbol" w:hint="default"/>
      </w:rPr>
    </w:lvl>
    <w:lvl w:ilvl="1" w:tplc="7EC859B0">
      <w:numFmt w:val="decimal"/>
      <w:lvlText w:val=""/>
      <w:lvlJc w:val="left"/>
    </w:lvl>
    <w:lvl w:ilvl="2" w:tplc="455AEFBA">
      <w:numFmt w:val="decimal"/>
      <w:lvlText w:val=""/>
      <w:lvlJc w:val="left"/>
    </w:lvl>
    <w:lvl w:ilvl="3" w:tplc="51ACAB1C">
      <w:numFmt w:val="decimal"/>
      <w:lvlText w:val=""/>
      <w:lvlJc w:val="left"/>
    </w:lvl>
    <w:lvl w:ilvl="4" w:tplc="C1BCC284">
      <w:numFmt w:val="decimal"/>
      <w:lvlText w:val=""/>
      <w:lvlJc w:val="left"/>
    </w:lvl>
    <w:lvl w:ilvl="5" w:tplc="F32EB3B0">
      <w:numFmt w:val="decimal"/>
      <w:lvlText w:val=""/>
      <w:lvlJc w:val="left"/>
    </w:lvl>
    <w:lvl w:ilvl="6" w:tplc="E6AAB2EC">
      <w:numFmt w:val="decimal"/>
      <w:lvlText w:val=""/>
      <w:lvlJc w:val="left"/>
    </w:lvl>
    <w:lvl w:ilvl="7" w:tplc="738088FE">
      <w:numFmt w:val="decimal"/>
      <w:lvlText w:val=""/>
      <w:lvlJc w:val="left"/>
    </w:lvl>
    <w:lvl w:ilvl="8" w:tplc="E03E58EA">
      <w:numFmt w:val="decimal"/>
      <w:lvlText w:val=""/>
      <w:lvlJc w:val="left"/>
    </w:lvl>
  </w:abstractNum>
  <w:abstractNum w:abstractNumId="541" w15:restartNumberingAfterBreak="0">
    <w:nsid w:val="287B200D"/>
    <w:multiLevelType w:val="hybridMultilevel"/>
    <w:tmpl w:val="7FD6CC8C"/>
    <w:lvl w:ilvl="0" w:tplc="9CDE9B30">
      <w:start w:val="1"/>
      <w:numFmt w:val="bullet"/>
      <w:lvlText w:val=""/>
      <w:lvlJc w:val="left"/>
      <w:pPr>
        <w:ind w:left="720" w:hanging="180"/>
      </w:pPr>
      <w:rPr>
        <w:rFonts w:ascii="Symbol" w:hAnsi="Symbol" w:hint="default"/>
      </w:rPr>
    </w:lvl>
    <w:lvl w:ilvl="1" w:tplc="0DE08D0E">
      <w:numFmt w:val="decimal"/>
      <w:lvlText w:val=""/>
      <w:lvlJc w:val="left"/>
    </w:lvl>
    <w:lvl w:ilvl="2" w:tplc="C5CEE900">
      <w:numFmt w:val="decimal"/>
      <w:lvlText w:val=""/>
      <w:lvlJc w:val="left"/>
    </w:lvl>
    <w:lvl w:ilvl="3" w:tplc="3F26FE2E">
      <w:numFmt w:val="decimal"/>
      <w:lvlText w:val=""/>
      <w:lvlJc w:val="left"/>
    </w:lvl>
    <w:lvl w:ilvl="4" w:tplc="BFD0FF9C">
      <w:numFmt w:val="decimal"/>
      <w:lvlText w:val=""/>
      <w:lvlJc w:val="left"/>
    </w:lvl>
    <w:lvl w:ilvl="5" w:tplc="C492B326">
      <w:numFmt w:val="decimal"/>
      <w:lvlText w:val=""/>
      <w:lvlJc w:val="left"/>
    </w:lvl>
    <w:lvl w:ilvl="6" w:tplc="57B083E4">
      <w:numFmt w:val="decimal"/>
      <w:lvlText w:val=""/>
      <w:lvlJc w:val="left"/>
    </w:lvl>
    <w:lvl w:ilvl="7" w:tplc="5D90D82A">
      <w:numFmt w:val="decimal"/>
      <w:lvlText w:val=""/>
      <w:lvlJc w:val="left"/>
    </w:lvl>
    <w:lvl w:ilvl="8" w:tplc="43A2085E">
      <w:numFmt w:val="decimal"/>
      <w:lvlText w:val=""/>
      <w:lvlJc w:val="left"/>
    </w:lvl>
  </w:abstractNum>
  <w:abstractNum w:abstractNumId="542" w15:restartNumberingAfterBreak="0">
    <w:nsid w:val="2881170C"/>
    <w:multiLevelType w:val="hybridMultilevel"/>
    <w:tmpl w:val="CAB299C8"/>
    <w:lvl w:ilvl="0" w:tplc="256E7A1A">
      <w:start w:val="1"/>
      <w:numFmt w:val="bullet"/>
      <w:lvlText w:val=""/>
      <w:lvlJc w:val="left"/>
      <w:pPr>
        <w:ind w:left="720" w:hanging="180"/>
      </w:pPr>
      <w:rPr>
        <w:rFonts w:ascii="Symbol" w:hAnsi="Symbol" w:hint="default"/>
      </w:rPr>
    </w:lvl>
    <w:lvl w:ilvl="1" w:tplc="B18AA5CC">
      <w:numFmt w:val="decimal"/>
      <w:lvlText w:val=""/>
      <w:lvlJc w:val="left"/>
    </w:lvl>
    <w:lvl w:ilvl="2" w:tplc="081C75B2">
      <w:numFmt w:val="decimal"/>
      <w:lvlText w:val=""/>
      <w:lvlJc w:val="left"/>
    </w:lvl>
    <w:lvl w:ilvl="3" w:tplc="B5CAAF8E">
      <w:numFmt w:val="decimal"/>
      <w:lvlText w:val=""/>
      <w:lvlJc w:val="left"/>
    </w:lvl>
    <w:lvl w:ilvl="4" w:tplc="91227178">
      <w:numFmt w:val="decimal"/>
      <w:lvlText w:val=""/>
      <w:lvlJc w:val="left"/>
    </w:lvl>
    <w:lvl w:ilvl="5" w:tplc="64988144">
      <w:numFmt w:val="decimal"/>
      <w:lvlText w:val=""/>
      <w:lvlJc w:val="left"/>
    </w:lvl>
    <w:lvl w:ilvl="6" w:tplc="98A6898C">
      <w:numFmt w:val="decimal"/>
      <w:lvlText w:val=""/>
      <w:lvlJc w:val="left"/>
    </w:lvl>
    <w:lvl w:ilvl="7" w:tplc="4A368A78">
      <w:numFmt w:val="decimal"/>
      <w:lvlText w:val=""/>
      <w:lvlJc w:val="left"/>
    </w:lvl>
    <w:lvl w:ilvl="8" w:tplc="B868FED6">
      <w:numFmt w:val="decimal"/>
      <w:lvlText w:val=""/>
      <w:lvlJc w:val="left"/>
    </w:lvl>
  </w:abstractNum>
  <w:abstractNum w:abstractNumId="543" w15:restartNumberingAfterBreak="0">
    <w:nsid w:val="28987924"/>
    <w:multiLevelType w:val="hybridMultilevel"/>
    <w:tmpl w:val="72EE74B0"/>
    <w:lvl w:ilvl="0" w:tplc="0EB0DD46">
      <w:start w:val="1"/>
      <w:numFmt w:val="bullet"/>
      <w:lvlText w:val=""/>
      <w:lvlJc w:val="left"/>
      <w:pPr>
        <w:ind w:left="720" w:hanging="180"/>
      </w:pPr>
      <w:rPr>
        <w:rFonts w:ascii="Symbol" w:hAnsi="Symbol" w:hint="default"/>
      </w:rPr>
    </w:lvl>
    <w:lvl w:ilvl="1" w:tplc="6D608680">
      <w:numFmt w:val="decimal"/>
      <w:lvlText w:val=""/>
      <w:lvlJc w:val="left"/>
    </w:lvl>
    <w:lvl w:ilvl="2" w:tplc="771A9496">
      <w:numFmt w:val="decimal"/>
      <w:lvlText w:val=""/>
      <w:lvlJc w:val="left"/>
    </w:lvl>
    <w:lvl w:ilvl="3" w:tplc="A5925F00">
      <w:numFmt w:val="decimal"/>
      <w:lvlText w:val=""/>
      <w:lvlJc w:val="left"/>
    </w:lvl>
    <w:lvl w:ilvl="4" w:tplc="F41C65FC">
      <w:numFmt w:val="decimal"/>
      <w:lvlText w:val=""/>
      <w:lvlJc w:val="left"/>
    </w:lvl>
    <w:lvl w:ilvl="5" w:tplc="0CA0906E">
      <w:numFmt w:val="decimal"/>
      <w:lvlText w:val=""/>
      <w:lvlJc w:val="left"/>
    </w:lvl>
    <w:lvl w:ilvl="6" w:tplc="79D08D04">
      <w:numFmt w:val="decimal"/>
      <w:lvlText w:val=""/>
      <w:lvlJc w:val="left"/>
    </w:lvl>
    <w:lvl w:ilvl="7" w:tplc="4888E9A2">
      <w:numFmt w:val="decimal"/>
      <w:lvlText w:val=""/>
      <w:lvlJc w:val="left"/>
    </w:lvl>
    <w:lvl w:ilvl="8" w:tplc="A76670AA">
      <w:numFmt w:val="decimal"/>
      <w:lvlText w:val=""/>
      <w:lvlJc w:val="left"/>
    </w:lvl>
  </w:abstractNum>
  <w:abstractNum w:abstractNumId="544" w15:restartNumberingAfterBreak="0">
    <w:nsid w:val="289B066C"/>
    <w:multiLevelType w:val="hybridMultilevel"/>
    <w:tmpl w:val="007035E0"/>
    <w:lvl w:ilvl="0" w:tplc="5EF2CA2E">
      <w:start w:val="1"/>
      <w:numFmt w:val="bullet"/>
      <w:lvlText w:val=""/>
      <w:lvlJc w:val="left"/>
      <w:pPr>
        <w:ind w:left="720" w:hanging="180"/>
      </w:pPr>
      <w:rPr>
        <w:rFonts w:ascii="Symbol" w:hAnsi="Symbol" w:hint="default"/>
      </w:rPr>
    </w:lvl>
    <w:lvl w:ilvl="1" w:tplc="E88AA856">
      <w:numFmt w:val="decimal"/>
      <w:lvlText w:val=""/>
      <w:lvlJc w:val="left"/>
    </w:lvl>
    <w:lvl w:ilvl="2" w:tplc="6060CFFE">
      <w:numFmt w:val="decimal"/>
      <w:lvlText w:val=""/>
      <w:lvlJc w:val="left"/>
    </w:lvl>
    <w:lvl w:ilvl="3" w:tplc="B8AC2EF6">
      <w:numFmt w:val="decimal"/>
      <w:lvlText w:val=""/>
      <w:lvlJc w:val="left"/>
    </w:lvl>
    <w:lvl w:ilvl="4" w:tplc="080C253E">
      <w:numFmt w:val="decimal"/>
      <w:lvlText w:val=""/>
      <w:lvlJc w:val="left"/>
    </w:lvl>
    <w:lvl w:ilvl="5" w:tplc="438E21DC">
      <w:numFmt w:val="decimal"/>
      <w:lvlText w:val=""/>
      <w:lvlJc w:val="left"/>
    </w:lvl>
    <w:lvl w:ilvl="6" w:tplc="807A32E0">
      <w:numFmt w:val="decimal"/>
      <w:lvlText w:val=""/>
      <w:lvlJc w:val="left"/>
    </w:lvl>
    <w:lvl w:ilvl="7" w:tplc="3DE4BE92">
      <w:numFmt w:val="decimal"/>
      <w:lvlText w:val=""/>
      <w:lvlJc w:val="left"/>
    </w:lvl>
    <w:lvl w:ilvl="8" w:tplc="A0F8BAF2">
      <w:numFmt w:val="decimal"/>
      <w:lvlText w:val=""/>
      <w:lvlJc w:val="left"/>
    </w:lvl>
  </w:abstractNum>
  <w:abstractNum w:abstractNumId="545" w15:restartNumberingAfterBreak="0">
    <w:nsid w:val="28A50103"/>
    <w:multiLevelType w:val="hybridMultilevel"/>
    <w:tmpl w:val="EEBEAE0A"/>
    <w:lvl w:ilvl="0" w:tplc="20CA3050">
      <w:start w:val="1"/>
      <w:numFmt w:val="bullet"/>
      <w:lvlText w:val=""/>
      <w:lvlJc w:val="left"/>
      <w:pPr>
        <w:ind w:left="720" w:hanging="180"/>
      </w:pPr>
      <w:rPr>
        <w:rFonts w:ascii="Symbol" w:hAnsi="Symbol" w:hint="default"/>
      </w:rPr>
    </w:lvl>
    <w:lvl w:ilvl="1" w:tplc="D5CC906A">
      <w:numFmt w:val="decimal"/>
      <w:lvlText w:val=""/>
      <w:lvlJc w:val="left"/>
    </w:lvl>
    <w:lvl w:ilvl="2" w:tplc="97D4382A">
      <w:numFmt w:val="decimal"/>
      <w:lvlText w:val=""/>
      <w:lvlJc w:val="left"/>
    </w:lvl>
    <w:lvl w:ilvl="3" w:tplc="FF109704">
      <w:numFmt w:val="decimal"/>
      <w:lvlText w:val=""/>
      <w:lvlJc w:val="left"/>
    </w:lvl>
    <w:lvl w:ilvl="4" w:tplc="E25C9AA6">
      <w:numFmt w:val="decimal"/>
      <w:lvlText w:val=""/>
      <w:lvlJc w:val="left"/>
    </w:lvl>
    <w:lvl w:ilvl="5" w:tplc="759C66E2">
      <w:numFmt w:val="decimal"/>
      <w:lvlText w:val=""/>
      <w:lvlJc w:val="left"/>
    </w:lvl>
    <w:lvl w:ilvl="6" w:tplc="64FEFE9E">
      <w:numFmt w:val="decimal"/>
      <w:lvlText w:val=""/>
      <w:lvlJc w:val="left"/>
    </w:lvl>
    <w:lvl w:ilvl="7" w:tplc="A23C5C9A">
      <w:numFmt w:val="decimal"/>
      <w:lvlText w:val=""/>
      <w:lvlJc w:val="left"/>
    </w:lvl>
    <w:lvl w:ilvl="8" w:tplc="F44233F4">
      <w:numFmt w:val="decimal"/>
      <w:lvlText w:val=""/>
      <w:lvlJc w:val="left"/>
    </w:lvl>
  </w:abstractNum>
  <w:abstractNum w:abstractNumId="546" w15:restartNumberingAfterBreak="0">
    <w:nsid w:val="28AB5B01"/>
    <w:multiLevelType w:val="hybridMultilevel"/>
    <w:tmpl w:val="046CE8AC"/>
    <w:lvl w:ilvl="0" w:tplc="B9EA0008">
      <w:start w:val="1"/>
      <w:numFmt w:val="bullet"/>
      <w:lvlText w:val=""/>
      <w:lvlJc w:val="left"/>
      <w:pPr>
        <w:ind w:left="720" w:hanging="180"/>
      </w:pPr>
      <w:rPr>
        <w:rFonts w:ascii="Symbol" w:hAnsi="Symbol" w:hint="default"/>
      </w:rPr>
    </w:lvl>
    <w:lvl w:ilvl="1" w:tplc="A192021C">
      <w:numFmt w:val="decimal"/>
      <w:lvlText w:val=""/>
      <w:lvlJc w:val="left"/>
    </w:lvl>
    <w:lvl w:ilvl="2" w:tplc="6040068C">
      <w:numFmt w:val="decimal"/>
      <w:lvlText w:val=""/>
      <w:lvlJc w:val="left"/>
    </w:lvl>
    <w:lvl w:ilvl="3" w:tplc="9B38221E">
      <w:numFmt w:val="decimal"/>
      <w:lvlText w:val=""/>
      <w:lvlJc w:val="left"/>
    </w:lvl>
    <w:lvl w:ilvl="4" w:tplc="25E8A548">
      <w:numFmt w:val="decimal"/>
      <w:lvlText w:val=""/>
      <w:lvlJc w:val="left"/>
    </w:lvl>
    <w:lvl w:ilvl="5" w:tplc="265AB5E4">
      <w:numFmt w:val="decimal"/>
      <w:lvlText w:val=""/>
      <w:lvlJc w:val="left"/>
    </w:lvl>
    <w:lvl w:ilvl="6" w:tplc="85FC8D9C">
      <w:numFmt w:val="decimal"/>
      <w:lvlText w:val=""/>
      <w:lvlJc w:val="left"/>
    </w:lvl>
    <w:lvl w:ilvl="7" w:tplc="0BF4091C">
      <w:numFmt w:val="decimal"/>
      <w:lvlText w:val=""/>
      <w:lvlJc w:val="left"/>
    </w:lvl>
    <w:lvl w:ilvl="8" w:tplc="FA66C3DC">
      <w:numFmt w:val="decimal"/>
      <w:lvlText w:val=""/>
      <w:lvlJc w:val="left"/>
    </w:lvl>
  </w:abstractNum>
  <w:abstractNum w:abstractNumId="547" w15:restartNumberingAfterBreak="0">
    <w:nsid w:val="28CB35C4"/>
    <w:multiLevelType w:val="hybridMultilevel"/>
    <w:tmpl w:val="BF1E60E4"/>
    <w:lvl w:ilvl="0" w:tplc="76727FA2">
      <w:start w:val="1"/>
      <w:numFmt w:val="bullet"/>
      <w:lvlText w:val=""/>
      <w:lvlJc w:val="left"/>
      <w:pPr>
        <w:ind w:left="720" w:hanging="180"/>
      </w:pPr>
      <w:rPr>
        <w:rFonts w:ascii="Symbol" w:hAnsi="Symbol" w:hint="default"/>
      </w:rPr>
    </w:lvl>
    <w:lvl w:ilvl="1" w:tplc="11B22F0C">
      <w:numFmt w:val="decimal"/>
      <w:lvlText w:val=""/>
      <w:lvlJc w:val="left"/>
    </w:lvl>
    <w:lvl w:ilvl="2" w:tplc="5066E782">
      <w:numFmt w:val="decimal"/>
      <w:lvlText w:val=""/>
      <w:lvlJc w:val="left"/>
    </w:lvl>
    <w:lvl w:ilvl="3" w:tplc="F012615C">
      <w:numFmt w:val="decimal"/>
      <w:lvlText w:val=""/>
      <w:lvlJc w:val="left"/>
    </w:lvl>
    <w:lvl w:ilvl="4" w:tplc="956A8A16">
      <w:numFmt w:val="decimal"/>
      <w:lvlText w:val=""/>
      <w:lvlJc w:val="left"/>
    </w:lvl>
    <w:lvl w:ilvl="5" w:tplc="EB42F85A">
      <w:numFmt w:val="decimal"/>
      <w:lvlText w:val=""/>
      <w:lvlJc w:val="left"/>
    </w:lvl>
    <w:lvl w:ilvl="6" w:tplc="5D32CA58">
      <w:numFmt w:val="decimal"/>
      <w:lvlText w:val=""/>
      <w:lvlJc w:val="left"/>
    </w:lvl>
    <w:lvl w:ilvl="7" w:tplc="3788DA48">
      <w:numFmt w:val="decimal"/>
      <w:lvlText w:val=""/>
      <w:lvlJc w:val="left"/>
    </w:lvl>
    <w:lvl w:ilvl="8" w:tplc="99ACD04C">
      <w:numFmt w:val="decimal"/>
      <w:lvlText w:val=""/>
      <w:lvlJc w:val="left"/>
    </w:lvl>
  </w:abstractNum>
  <w:abstractNum w:abstractNumId="548" w15:restartNumberingAfterBreak="0">
    <w:nsid w:val="28E22A00"/>
    <w:multiLevelType w:val="hybridMultilevel"/>
    <w:tmpl w:val="DC4AA15E"/>
    <w:lvl w:ilvl="0" w:tplc="24180CB8">
      <w:start w:val="1"/>
      <w:numFmt w:val="bullet"/>
      <w:lvlText w:val=""/>
      <w:lvlJc w:val="left"/>
      <w:pPr>
        <w:ind w:left="720" w:hanging="180"/>
      </w:pPr>
      <w:rPr>
        <w:rFonts w:ascii="Symbol" w:hAnsi="Symbol" w:hint="default"/>
      </w:rPr>
    </w:lvl>
    <w:lvl w:ilvl="1" w:tplc="3BB621E6">
      <w:numFmt w:val="decimal"/>
      <w:lvlText w:val=""/>
      <w:lvlJc w:val="left"/>
    </w:lvl>
    <w:lvl w:ilvl="2" w:tplc="FDB0E8CE">
      <w:numFmt w:val="decimal"/>
      <w:lvlText w:val=""/>
      <w:lvlJc w:val="left"/>
    </w:lvl>
    <w:lvl w:ilvl="3" w:tplc="C4E897DC">
      <w:numFmt w:val="decimal"/>
      <w:lvlText w:val=""/>
      <w:lvlJc w:val="left"/>
    </w:lvl>
    <w:lvl w:ilvl="4" w:tplc="64AC94BC">
      <w:numFmt w:val="decimal"/>
      <w:lvlText w:val=""/>
      <w:lvlJc w:val="left"/>
    </w:lvl>
    <w:lvl w:ilvl="5" w:tplc="773CA39E">
      <w:numFmt w:val="decimal"/>
      <w:lvlText w:val=""/>
      <w:lvlJc w:val="left"/>
    </w:lvl>
    <w:lvl w:ilvl="6" w:tplc="61B82BDE">
      <w:numFmt w:val="decimal"/>
      <w:lvlText w:val=""/>
      <w:lvlJc w:val="left"/>
    </w:lvl>
    <w:lvl w:ilvl="7" w:tplc="50540EC6">
      <w:numFmt w:val="decimal"/>
      <w:lvlText w:val=""/>
      <w:lvlJc w:val="left"/>
    </w:lvl>
    <w:lvl w:ilvl="8" w:tplc="22B4C404">
      <w:numFmt w:val="decimal"/>
      <w:lvlText w:val=""/>
      <w:lvlJc w:val="left"/>
    </w:lvl>
  </w:abstractNum>
  <w:abstractNum w:abstractNumId="549" w15:restartNumberingAfterBreak="0">
    <w:nsid w:val="28F9232B"/>
    <w:multiLevelType w:val="hybridMultilevel"/>
    <w:tmpl w:val="DD7A1876"/>
    <w:lvl w:ilvl="0" w:tplc="C86C5152">
      <w:start w:val="1"/>
      <w:numFmt w:val="bullet"/>
      <w:lvlText w:val=""/>
      <w:lvlJc w:val="left"/>
      <w:pPr>
        <w:ind w:left="720" w:hanging="180"/>
      </w:pPr>
      <w:rPr>
        <w:rFonts w:ascii="Symbol" w:hAnsi="Symbol" w:hint="default"/>
      </w:rPr>
    </w:lvl>
    <w:lvl w:ilvl="1" w:tplc="1ABADBB4">
      <w:numFmt w:val="decimal"/>
      <w:lvlText w:val=""/>
      <w:lvlJc w:val="left"/>
    </w:lvl>
    <w:lvl w:ilvl="2" w:tplc="36026D0E">
      <w:numFmt w:val="decimal"/>
      <w:lvlText w:val=""/>
      <w:lvlJc w:val="left"/>
    </w:lvl>
    <w:lvl w:ilvl="3" w:tplc="17E87BFA">
      <w:numFmt w:val="decimal"/>
      <w:lvlText w:val=""/>
      <w:lvlJc w:val="left"/>
    </w:lvl>
    <w:lvl w:ilvl="4" w:tplc="8188A286">
      <w:numFmt w:val="decimal"/>
      <w:lvlText w:val=""/>
      <w:lvlJc w:val="left"/>
    </w:lvl>
    <w:lvl w:ilvl="5" w:tplc="98B6F8AE">
      <w:numFmt w:val="decimal"/>
      <w:lvlText w:val=""/>
      <w:lvlJc w:val="left"/>
    </w:lvl>
    <w:lvl w:ilvl="6" w:tplc="E0222A30">
      <w:numFmt w:val="decimal"/>
      <w:lvlText w:val=""/>
      <w:lvlJc w:val="left"/>
    </w:lvl>
    <w:lvl w:ilvl="7" w:tplc="FFA2AED6">
      <w:numFmt w:val="decimal"/>
      <w:lvlText w:val=""/>
      <w:lvlJc w:val="left"/>
    </w:lvl>
    <w:lvl w:ilvl="8" w:tplc="C534D766">
      <w:numFmt w:val="decimal"/>
      <w:lvlText w:val=""/>
      <w:lvlJc w:val="left"/>
    </w:lvl>
  </w:abstractNum>
  <w:abstractNum w:abstractNumId="550" w15:restartNumberingAfterBreak="0">
    <w:nsid w:val="29101335"/>
    <w:multiLevelType w:val="hybridMultilevel"/>
    <w:tmpl w:val="1E4C9362"/>
    <w:lvl w:ilvl="0" w:tplc="A4F86CB6">
      <w:start w:val="1"/>
      <w:numFmt w:val="bullet"/>
      <w:lvlText w:val=""/>
      <w:lvlJc w:val="left"/>
      <w:pPr>
        <w:ind w:left="720" w:hanging="180"/>
      </w:pPr>
      <w:rPr>
        <w:rFonts w:ascii="Symbol" w:hAnsi="Symbol" w:hint="default"/>
      </w:rPr>
    </w:lvl>
    <w:lvl w:ilvl="1" w:tplc="16B47CC8">
      <w:numFmt w:val="decimal"/>
      <w:lvlText w:val=""/>
      <w:lvlJc w:val="left"/>
    </w:lvl>
    <w:lvl w:ilvl="2" w:tplc="88C20F12">
      <w:numFmt w:val="decimal"/>
      <w:lvlText w:val=""/>
      <w:lvlJc w:val="left"/>
    </w:lvl>
    <w:lvl w:ilvl="3" w:tplc="70BC36D6">
      <w:numFmt w:val="decimal"/>
      <w:lvlText w:val=""/>
      <w:lvlJc w:val="left"/>
    </w:lvl>
    <w:lvl w:ilvl="4" w:tplc="0ABAF082">
      <w:numFmt w:val="decimal"/>
      <w:lvlText w:val=""/>
      <w:lvlJc w:val="left"/>
    </w:lvl>
    <w:lvl w:ilvl="5" w:tplc="571C5774">
      <w:numFmt w:val="decimal"/>
      <w:lvlText w:val=""/>
      <w:lvlJc w:val="left"/>
    </w:lvl>
    <w:lvl w:ilvl="6" w:tplc="7F182FBA">
      <w:numFmt w:val="decimal"/>
      <w:lvlText w:val=""/>
      <w:lvlJc w:val="left"/>
    </w:lvl>
    <w:lvl w:ilvl="7" w:tplc="5B0C59C8">
      <w:numFmt w:val="decimal"/>
      <w:lvlText w:val=""/>
      <w:lvlJc w:val="left"/>
    </w:lvl>
    <w:lvl w:ilvl="8" w:tplc="B518D9CC">
      <w:numFmt w:val="decimal"/>
      <w:lvlText w:val=""/>
      <w:lvlJc w:val="left"/>
    </w:lvl>
  </w:abstractNum>
  <w:abstractNum w:abstractNumId="551" w15:restartNumberingAfterBreak="0">
    <w:nsid w:val="2910775E"/>
    <w:multiLevelType w:val="hybridMultilevel"/>
    <w:tmpl w:val="5970B598"/>
    <w:lvl w:ilvl="0" w:tplc="3328F51A">
      <w:start w:val="1"/>
      <w:numFmt w:val="bullet"/>
      <w:lvlText w:val=""/>
      <w:lvlJc w:val="left"/>
      <w:pPr>
        <w:ind w:left="720" w:hanging="180"/>
      </w:pPr>
      <w:rPr>
        <w:rFonts w:ascii="Symbol" w:hAnsi="Symbol" w:hint="default"/>
      </w:rPr>
    </w:lvl>
    <w:lvl w:ilvl="1" w:tplc="77743E5C">
      <w:numFmt w:val="decimal"/>
      <w:lvlText w:val=""/>
      <w:lvlJc w:val="left"/>
    </w:lvl>
    <w:lvl w:ilvl="2" w:tplc="A3F43B9C">
      <w:numFmt w:val="decimal"/>
      <w:lvlText w:val=""/>
      <w:lvlJc w:val="left"/>
    </w:lvl>
    <w:lvl w:ilvl="3" w:tplc="59B88304">
      <w:numFmt w:val="decimal"/>
      <w:lvlText w:val=""/>
      <w:lvlJc w:val="left"/>
    </w:lvl>
    <w:lvl w:ilvl="4" w:tplc="AB2C5604">
      <w:numFmt w:val="decimal"/>
      <w:lvlText w:val=""/>
      <w:lvlJc w:val="left"/>
    </w:lvl>
    <w:lvl w:ilvl="5" w:tplc="573E3768">
      <w:numFmt w:val="decimal"/>
      <w:lvlText w:val=""/>
      <w:lvlJc w:val="left"/>
    </w:lvl>
    <w:lvl w:ilvl="6" w:tplc="DBFAAEE8">
      <w:numFmt w:val="decimal"/>
      <w:lvlText w:val=""/>
      <w:lvlJc w:val="left"/>
    </w:lvl>
    <w:lvl w:ilvl="7" w:tplc="A0AE9A3E">
      <w:numFmt w:val="decimal"/>
      <w:lvlText w:val=""/>
      <w:lvlJc w:val="left"/>
    </w:lvl>
    <w:lvl w:ilvl="8" w:tplc="D6C4B90E">
      <w:numFmt w:val="decimal"/>
      <w:lvlText w:val=""/>
      <w:lvlJc w:val="left"/>
    </w:lvl>
  </w:abstractNum>
  <w:abstractNum w:abstractNumId="552" w15:restartNumberingAfterBreak="0">
    <w:nsid w:val="291710AD"/>
    <w:multiLevelType w:val="hybridMultilevel"/>
    <w:tmpl w:val="D2F220CC"/>
    <w:lvl w:ilvl="0" w:tplc="9050B634">
      <w:numFmt w:val="decimal"/>
      <w:lvlText w:val=""/>
      <w:lvlJc w:val="left"/>
    </w:lvl>
    <w:lvl w:ilvl="1" w:tplc="66647674">
      <w:start w:val="1"/>
      <w:numFmt w:val="bullet"/>
      <w:lvlText w:val=""/>
      <w:lvlJc w:val="left"/>
      <w:pPr>
        <w:ind w:left="1440" w:hanging="180"/>
      </w:pPr>
      <w:rPr>
        <w:rFonts w:ascii="Symbol" w:hAnsi="Symbol" w:hint="default"/>
      </w:rPr>
    </w:lvl>
    <w:lvl w:ilvl="2" w:tplc="D826D51A">
      <w:numFmt w:val="decimal"/>
      <w:lvlText w:val=""/>
      <w:lvlJc w:val="left"/>
    </w:lvl>
    <w:lvl w:ilvl="3" w:tplc="E0829E04">
      <w:numFmt w:val="decimal"/>
      <w:lvlText w:val=""/>
      <w:lvlJc w:val="left"/>
    </w:lvl>
    <w:lvl w:ilvl="4" w:tplc="9C30700E">
      <w:numFmt w:val="decimal"/>
      <w:lvlText w:val=""/>
      <w:lvlJc w:val="left"/>
    </w:lvl>
    <w:lvl w:ilvl="5" w:tplc="2F9CC960">
      <w:numFmt w:val="decimal"/>
      <w:lvlText w:val=""/>
      <w:lvlJc w:val="left"/>
    </w:lvl>
    <w:lvl w:ilvl="6" w:tplc="0BE8154C">
      <w:numFmt w:val="decimal"/>
      <w:lvlText w:val=""/>
      <w:lvlJc w:val="left"/>
    </w:lvl>
    <w:lvl w:ilvl="7" w:tplc="6170595A">
      <w:numFmt w:val="decimal"/>
      <w:lvlText w:val=""/>
      <w:lvlJc w:val="left"/>
    </w:lvl>
    <w:lvl w:ilvl="8" w:tplc="4FD40A44">
      <w:numFmt w:val="decimal"/>
      <w:lvlText w:val=""/>
      <w:lvlJc w:val="left"/>
    </w:lvl>
  </w:abstractNum>
  <w:abstractNum w:abstractNumId="553" w15:restartNumberingAfterBreak="0">
    <w:nsid w:val="292472ED"/>
    <w:multiLevelType w:val="hybridMultilevel"/>
    <w:tmpl w:val="8654D3C4"/>
    <w:lvl w:ilvl="0" w:tplc="B8FAF620">
      <w:start w:val="1"/>
      <w:numFmt w:val="bullet"/>
      <w:lvlText w:val=""/>
      <w:lvlJc w:val="left"/>
      <w:pPr>
        <w:ind w:left="720" w:hanging="180"/>
      </w:pPr>
      <w:rPr>
        <w:rFonts w:ascii="Symbol" w:hAnsi="Symbol" w:hint="default"/>
      </w:rPr>
    </w:lvl>
    <w:lvl w:ilvl="1" w:tplc="C03A1BC4">
      <w:numFmt w:val="decimal"/>
      <w:lvlText w:val=""/>
      <w:lvlJc w:val="left"/>
    </w:lvl>
    <w:lvl w:ilvl="2" w:tplc="A71C54EE">
      <w:numFmt w:val="decimal"/>
      <w:lvlText w:val=""/>
      <w:lvlJc w:val="left"/>
    </w:lvl>
    <w:lvl w:ilvl="3" w:tplc="C65C58C8">
      <w:numFmt w:val="decimal"/>
      <w:lvlText w:val=""/>
      <w:lvlJc w:val="left"/>
    </w:lvl>
    <w:lvl w:ilvl="4" w:tplc="78827622">
      <w:numFmt w:val="decimal"/>
      <w:lvlText w:val=""/>
      <w:lvlJc w:val="left"/>
    </w:lvl>
    <w:lvl w:ilvl="5" w:tplc="98FEE504">
      <w:numFmt w:val="decimal"/>
      <w:lvlText w:val=""/>
      <w:lvlJc w:val="left"/>
    </w:lvl>
    <w:lvl w:ilvl="6" w:tplc="6DF23B56">
      <w:numFmt w:val="decimal"/>
      <w:lvlText w:val=""/>
      <w:lvlJc w:val="left"/>
    </w:lvl>
    <w:lvl w:ilvl="7" w:tplc="AA7A8BD8">
      <w:numFmt w:val="decimal"/>
      <w:lvlText w:val=""/>
      <w:lvlJc w:val="left"/>
    </w:lvl>
    <w:lvl w:ilvl="8" w:tplc="46CA0C26">
      <w:numFmt w:val="decimal"/>
      <w:lvlText w:val=""/>
      <w:lvlJc w:val="left"/>
    </w:lvl>
  </w:abstractNum>
  <w:abstractNum w:abstractNumId="554" w15:restartNumberingAfterBreak="0">
    <w:nsid w:val="2932123C"/>
    <w:multiLevelType w:val="hybridMultilevel"/>
    <w:tmpl w:val="79342DDA"/>
    <w:lvl w:ilvl="0" w:tplc="6034125E">
      <w:numFmt w:val="decimal"/>
      <w:lvlText w:val=""/>
      <w:lvlJc w:val="left"/>
    </w:lvl>
    <w:lvl w:ilvl="1" w:tplc="F0EE6E52">
      <w:start w:val="1"/>
      <w:numFmt w:val="bullet"/>
      <w:lvlText w:val=""/>
      <w:lvlJc w:val="left"/>
      <w:pPr>
        <w:ind w:left="1440" w:hanging="180"/>
      </w:pPr>
      <w:rPr>
        <w:rFonts w:ascii="Symbol" w:hAnsi="Symbol" w:hint="default"/>
      </w:rPr>
    </w:lvl>
    <w:lvl w:ilvl="2" w:tplc="DDCEEC4A">
      <w:numFmt w:val="decimal"/>
      <w:lvlText w:val=""/>
      <w:lvlJc w:val="left"/>
    </w:lvl>
    <w:lvl w:ilvl="3" w:tplc="8B28E93E">
      <w:numFmt w:val="decimal"/>
      <w:lvlText w:val=""/>
      <w:lvlJc w:val="left"/>
    </w:lvl>
    <w:lvl w:ilvl="4" w:tplc="8EF619BC">
      <w:numFmt w:val="decimal"/>
      <w:lvlText w:val=""/>
      <w:lvlJc w:val="left"/>
    </w:lvl>
    <w:lvl w:ilvl="5" w:tplc="8074804C">
      <w:numFmt w:val="decimal"/>
      <w:lvlText w:val=""/>
      <w:lvlJc w:val="left"/>
    </w:lvl>
    <w:lvl w:ilvl="6" w:tplc="64020974">
      <w:numFmt w:val="decimal"/>
      <w:lvlText w:val=""/>
      <w:lvlJc w:val="left"/>
    </w:lvl>
    <w:lvl w:ilvl="7" w:tplc="E77CFDB2">
      <w:numFmt w:val="decimal"/>
      <w:lvlText w:val=""/>
      <w:lvlJc w:val="left"/>
    </w:lvl>
    <w:lvl w:ilvl="8" w:tplc="5992931C">
      <w:numFmt w:val="decimal"/>
      <w:lvlText w:val=""/>
      <w:lvlJc w:val="left"/>
    </w:lvl>
  </w:abstractNum>
  <w:abstractNum w:abstractNumId="555" w15:restartNumberingAfterBreak="0">
    <w:nsid w:val="295A244D"/>
    <w:multiLevelType w:val="hybridMultilevel"/>
    <w:tmpl w:val="8F2E4990"/>
    <w:lvl w:ilvl="0" w:tplc="9502D48C">
      <w:numFmt w:val="decimal"/>
      <w:lvlText w:val=""/>
      <w:lvlJc w:val="left"/>
    </w:lvl>
    <w:lvl w:ilvl="1" w:tplc="7FCC5480">
      <w:start w:val="1"/>
      <w:numFmt w:val="bullet"/>
      <w:lvlText w:val=""/>
      <w:lvlJc w:val="left"/>
      <w:pPr>
        <w:ind w:left="1440" w:hanging="180"/>
      </w:pPr>
      <w:rPr>
        <w:rFonts w:ascii="Symbol" w:hAnsi="Symbol" w:hint="default"/>
      </w:rPr>
    </w:lvl>
    <w:lvl w:ilvl="2" w:tplc="4D1C904C">
      <w:numFmt w:val="decimal"/>
      <w:lvlText w:val=""/>
      <w:lvlJc w:val="left"/>
    </w:lvl>
    <w:lvl w:ilvl="3" w:tplc="23445B5A">
      <w:numFmt w:val="decimal"/>
      <w:lvlText w:val=""/>
      <w:lvlJc w:val="left"/>
    </w:lvl>
    <w:lvl w:ilvl="4" w:tplc="F72CD768">
      <w:numFmt w:val="decimal"/>
      <w:lvlText w:val=""/>
      <w:lvlJc w:val="left"/>
    </w:lvl>
    <w:lvl w:ilvl="5" w:tplc="581C96F8">
      <w:numFmt w:val="decimal"/>
      <w:lvlText w:val=""/>
      <w:lvlJc w:val="left"/>
    </w:lvl>
    <w:lvl w:ilvl="6" w:tplc="1A3CBE5E">
      <w:numFmt w:val="decimal"/>
      <w:lvlText w:val=""/>
      <w:lvlJc w:val="left"/>
    </w:lvl>
    <w:lvl w:ilvl="7" w:tplc="AB7E99AC">
      <w:numFmt w:val="decimal"/>
      <w:lvlText w:val=""/>
      <w:lvlJc w:val="left"/>
    </w:lvl>
    <w:lvl w:ilvl="8" w:tplc="026C3D16">
      <w:numFmt w:val="decimal"/>
      <w:lvlText w:val=""/>
      <w:lvlJc w:val="left"/>
    </w:lvl>
  </w:abstractNum>
  <w:abstractNum w:abstractNumId="556" w15:restartNumberingAfterBreak="0">
    <w:nsid w:val="29880450"/>
    <w:multiLevelType w:val="hybridMultilevel"/>
    <w:tmpl w:val="49E41AD2"/>
    <w:lvl w:ilvl="0" w:tplc="2B941F78">
      <w:start w:val="1"/>
      <w:numFmt w:val="bullet"/>
      <w:lvlText w:val=""/>
      <w:lvlJc w:val="left"/>
      <w:pPr>
        <w:ind w:left="720" w:hanging="180"/>
      </w:pPr>
      <w:rPr>
        <w:rFonts w:ascii="Symbol" w:hAnsi="Symbol" w:hint="default"/>
      </w:rPr>
    </w:lvl>
    <w:lvl w:ilvl="1" w:tplc="BF0A57C2">
      <w:numFmt w:val="decimal"/>
      <w:lvlText w:val=""/>
      <w:lvlJc w:val="left"/>
    </w:lvl>
    <w:lvl w:ilvl="2" w:tplc="303013C8">
      <w:numFmt w:val="decimal"/>
      <w:lvlText w:val=""/>
      <w:lvlJc w:val="left"/>
    </w:lvl>
    <w:lvl w:ilvl="3" w:tplc="2AAC5130">
      <w:numFmt w:val="decimal"/>
      <w:lvlText w:val=""/>
      <w:lvlJc w:val="left"/>
    </w:lvl>
    <w:lvl w:ilvl="4" w:tplc="0108C750">
      <w:numFmt w:val="decimal"/>
      <w:lvlText w:val=""/>
      <w:lvlJc w:val="left"/>
    </w:lvl>
    <w:lvl w:ilvl="5" w:tplc="FDE6F666">
      <w:numFmt w:val="decimal"/>
      <w:lvlText w:val=""/>
      <w:lvlJc w:val="left"/>
    </w:lvl>
    <w:lvl w:ilvl="6" w:tplc="6B7E2D98">
      <w:numFmt w:val="decimal"/>
      <w:lvlText w:val=""/>
      <w:lvlJc w:val="left"/>
    </w:lvl>
    <w:lvl w:ilvl="7" w:tplc="A100048C">
      <w:numFmt w:val="decimal"/>
      <w:lvlText w:val=""/>
      <w:lvlJc w:val="left"/>
    </w:lvl>
    <w:lvl w:ilvl="8" w:tplc="D43E0E90">
      <w:numFmt w:val="decimal"/>
      <w:lvlText w:val=""/>
      <w:lvlJc w:val="left"/>
    </w:lvl>
  </w:abstractNum>
  <w:abstractNum w:abstractNumId="557" w15:restartNumberingAfterBreak="0">
    <w:nsid w:val="298B7AA4"/>
    <w:multiLevelType w:val="hybridMultilevel"/>
    <w:tmpl w:val="738EAEF6"/>
    <w:lvl w:ilvl="0" w:tplc="85BE29C2">
      <w:start w:val="1"/>
      <w:numFmt w:val="bullet"/>
      <w:lvlText w:val=""/>
      <w:lvlJc w:val="left"/>
      <w:pPr>
        <w:ind w:left="720" w:hanging="180"/>
      </w:pPr>
      <w:rPr>
        <w:rFonts w:ascii="Symbol" w:hAnsi="Symbol" w:hint="default"/>
      </w:rPr>
    </w:lvl>
    <w:lvl w:ilvl="1" w:tplc="408E129A">
      <w:numFmt w:val="decimal"/>
      <w:lvlText w:val=""/>
      <w:lvlJc w:val="left"/>
    </w:lvl>
    <w:lvl w:ilvl="2" w:tplc="04C416A4">
      <w:numFmt w:val="decimal"/>
      <w:lvlText w:val=""/>
      <w:lvlJc w:val="left"/>
    </w:lvl>
    <w:lvl w:ilvl="3" w:tplc="D1BA6B38">
      <w:numFmt w:val="decimal"/>
      <w:lvlText w:val=""/>
      <w:lvlJc w:val="left"/>
    </w:lvl>
    <w:lvl w:ilvl="4" w:tplc="A7260C30">
      <w:numFmt w:val="decimal"/>
      <w:lvlText w:val=""/>
      <w:lvlJc w:val="left"/>
    </w:lvl>
    <w:lvl w:ilvl="5" w:tplc="C84A43FA">
      <w:numFmt w:val="decimal"/>
      <w:lvlText w:val=""/>
      <w:lvlJc w:val="left"/>
    </w:lvl>
    <w:lvl w:ilvl="6" w:tplc="24F670CE">
      <w:numFmt w:val="decimal"/>
      <w:lvlText w:val=""/>
      <w:lvlJc w:val="left"/>
    </w:lvl>
    <w:lvl w:ilvl="7" w:tplc="E9AC00FA">
      <w:numFmt w:val="decimal"/>
      <w:lvlText w:val=""/>
      <w:lvlJc w:val="left"/>
    </w:lvl>
    <w:lvl w:ilvl="8" w:tplc="C6C409E0">
      <w:numFmt w:val="decimal"/>
      <w:lvlText w:val=""/>
      <w:lvlJc w:val="left"/>
    </w:lvl>
  </w:abstractNum>
  <w:abstractNum w:abstractNumId="558" w15:restartNumberingAfterBreak="0">
    <w:nsid w:val="299160B3"/>
    <w:multiLevelType w:val="hybridMultilevel"/>
    <w:tmpl w:val="E81C23A2"/>
    <w:lvl w:ilvl="0" w:tplc="5B90FA08">
      <w:start w:val="1"/>
      <w:numFmt w:val="bullet"/>
      <w:lvlText w:val=""/>
      <w:lvlJc w:val="left"/>
      <w:pPr>
        <w:ind w:left="720" w:hanging="180"/>
      </w:pPr>
      <w:rPr>
        <w:rFonts w:ascii="Symbol" w:hAnsi="Symbol" w:hint="default"/>
      </w:rPr>
    </w:lvl>
    <w:lvl w:ilvl="1" w:tplc="A140A322">
      <w:numFmt w:val="decimal"/>
      <w:lvlText w:val=""/>
      <w:lvlJc w:val="left"/>
    </w:lvl>
    <w:lvl w:ilvl="2" w:tplc="F9B06DCA">
      <w:numFmt w:val="decimal"/>
      <w:lvlText w:val=""/>
      <w:lvlJc w:val="left"/>
    </w:lvl>
    <w:lvl w:ilvl="3" w:tplc="6D527B62">
      <w:numFmt w:val="decimal"/>
      <w:lvlText w:val=""/>
      <w:lvlJc w:val="left"/>
    </w:lvl>
    <w:lvl w:ilvl="4" w:tplc="D640CFA6">
      <w:numFmt w:val="decimal"/>
      <w:lvlText w:val=""/>
      <w:lvlJc w:val="left"/>
    </w:lvl>
    <w:lvl w:ilvl="5" w:tplc="BA9C9EF8">
      <w:numFmt w:val="decimal"/>
      <w:lvlText w:val=""/>
      <w:lvlJc w:val="left"/>
    </w:lvl>
    <w:lvl w:ilvl="6" w:tplc="28884176">
      <w:numFmt w:val="decimal"/>
      <w:lvlText w:val=""/>
      <w:lvlJc w:val="left"/>
    </w:lvl>
    <w:lvl w:ilvl="7" w:tplc="A80420EA">
      <w:numFmt w:val="decimal"/>
      <w:lvlText w:val=""/>
      <w:lvlJc w:val="left"/>
    </w:lvl>
    <w:lvl w:ilvl="8" w:tplc="297E54FA">
      <w:numFmt w:val="decimal"/>
      <w:lvlText w:val=""/>
      <w:lvlJc w:val="left"/>
    </w:lvl>
  </w:abstractNum>
  <w:abstractNum w:abstractNumId="559" w15:restartNumberingAfterBreak="0">
    <w:nsid w:val="29961494"/>
    <w:multiLevelType w:val="hybridMultilevel"/>
    <w:tmpl w:val="6FBCF22A"/>
    <w:lvl w:ilvl="0" w:tplc="BC0498BC">
      <w:start w:val="1"/>
      <w:numFmt w:val="bullet"/>
      <w:lvlText w:val=""/>
      <w:lvlJc w:val="left"/>
      <w:pPr>
        <w:ind w:left="720" w:hanging="180"/>
      </w:pPr>
      <w:rPr>
        <w:rFonts w:ascii="Symbol" w:hAnsi="Symbol" w:hint="default"/>
      </w:rPr>
    </w:lvl>
    <w:lvl w:ilvl="1" w:tplc="039CF0C0">
      <w:numFmt w:val="decimal"/>
      <w:lvlText w:val=""/>
      <w:lvlJc w:val="left"/>
    </w:lvl>
    <w:lvl w:ilvl="2" w:tplc="78BC4164">
      <w:numFmt w:val="decimal"/>
      <w:lvlText w:val=""/>
      <w:lvlJc w:val="left"/>
    </w:lvl>
    <w:lvl w:ilvl="3" w:tplc="2C564778">
      <w:numFmt w:val="decimal"/>
      <w:lvlText w:val=""/>
      <w:lvlJc w:val="left"/>
    </w:lvl>
    <w:lvl w:ilvl="4" w:tplc="3BE6791A">
      <w:numFmt w:val="decimal"/>
      <w:lvlText w:val=""/>
      <w:lvlJc w:val="left"/>
    </w:lvl>
    <w:lvl w:ilvl="5" w:tplc="5238BF30">
      <w:numFmt w:val="decimal"/>
      <w:lvlText w:val=""/>
      <w:lvlJc w:val="left"/>
    </w:lvl>
    <w:lvl w:ilvl="6" w:tplc="28E4137C">
      <w:numFmt w:val="decimal"/>
      <w:lvlText w:val=""/>
      <w:lvlJc w:val="left"/>
    </w:lvl>
    <w:lvl w:ilvl="7" w:tplc="F9E0C2F0">
      <w:numFmt w:val="decimal"/>
      <w:lvlText w:val=""/>
      <w:lvlJc w:val="left"/>
    </w:lvl>
    <w:lvl w:ilvl="8" w:tplc="FBACA70E">
      <w:numFmt w:val="decimal"/>
      <w:lvlText w:val=""/>
      <w:lvlJc w:val="left"/>
    </w:lvl>
  </w:abstractNum>
  <w:abstractNum w:abstractNumId="560" w15:restartNumberingAfterBreak="0">
    <w:nsid w:val="29A028CA"/>
    <w:multiLevelType w:val="hybridMultilevel"/>
    <w:tmpl w:val="2DEAF3EC"/>
    <w:lvl w:ilvl="0" w:tplc="31004224">
      <w:numFmt w:val="decimal"/>
      <w:lvlText w:val=""/>
      <w:lvlJc w:val="left"/>
    </w:lvl>
    <w:lvl w:ilvl="1" w:tplc="DD7EBB62">
      <w:start w:val="1"/>
      <w:numFmt w:val="bullet"/>
      <w:lvlText w:val=""/>
      <w:lvlJc w:val="left"/>
      <w:pPr>
        <w:ind w:left="1440" w:hanging="180"/>
      </w:pPr>
      <w:rPr>
        <w:rFonts w:ascii="Symbol" w:hAnsi="Symbol" w:hint="default"/>
      </w:rPr>
    </w:lvl>
    <w:lvl w:ilvl="2" w:tplc="52726C1A">
      <w:numFmt w:val="decimal"/>
      <w:lvlText w:val=""/>
      <w:lvlJc w:val="left"/>
    </w:lvl>
    <w:lvl w:ilvl="3" w:tplc="B900D1DA">
      <w:numFmt w:val="decimal"/>
      <w:lvlText w:val=""/>
      <w:lvlJc w:val="left"/>
    </w:lvl>
    <w:lvl w:ilvl="4" w:tplc="404870D6">
      <w:numFmt w:val="decimal"/>
      <w:lvlText w:val=""/>
      <w:lvlJc w:val="left"/>
    </w:lvl>
    <w:lvl w:ilvl="5" w:tplc="579C7292">
      <w:numFmt w:val="decimal"/>
      <w:lvlText w:val=""/>
      <w:lvlJc w:val="left"/>
    </w:lvl>
    <w:lvl w:ilvl="6" w:tplc="B35A2946">
      <w:numFmt w:val="decimal"/>
      <w:lvlText w:val=""/>
      <w:lvlJc w:val="left"/>
    </w:lvl>
    <w:lvl w:ilvl="7" w:tplc="C91A8D54">
      <w:numFmt w:val="decimal"/>
      <w:lvlText w:val=""/>
      <w:lvlJc w:val="left"/>
    </w:lvl>
    <w:lvl w:ilvl="8" w:tplc="4AE00350">
      <w:numFmt w:val="decimal"/>
      <w:lvlText w:val=""/>
      <w:lvlJc w:val="left"/>
    </w:lvl>
  </w:abstractNum>
  <w:abstractNum w:abstractNumId="561" w15:restartNumberingAfterBreak="0">
    <w:nsid w:val="29C23BFE"/>
    <w:multiLevelType w:val="hybridMultilevel"/>
    <w:tmpl w:val="769E1CAE"/>
    <w:lvl w:ilvl="0" w:tplc="92A2DC40">
      <w:start w:val="1"/>
      <w:numFmt w:val="bullet"/>
      <w:lvlText w:val=""/>
      <w:lvlJc w:val="left"/>
      <w:pPr>
        <w:ind w:left="720" w:hanging="180"/>
      </w:pPr>
      <w:rPr>
        <w:rFonts w:ascii="Symbol" w:hAnsi="Symbol" w:hint="default"/>
      </w:rPr>
    </w:lvl>
    <w:lvl w:ilvl="1" w:tplc="FF0C225C">
      <w:numFmt w:val="decimal"/>
      <w:lvlText w:val=""/>
      <w:lvlJc w:val="left"/>
    </w:lvl>
    <w:lvl w:ilvl="2" w:tplc="98C67654">
      <w:numFmt w:val="decimal"/>
      <w:lvlText w:val=""/>
      <w:lvlJc w:val="left"/>
    </w:lvl>
    <w:lvl w:ilvl="3" w:tplc="EE003736">
      <w:numFmt w:val="decimal"/>
      <w:lvlText w:val=""/>
      <w:lvlJc w:val="left"/>
    </w:lvl>
    <w:lvl w:ilvl="4" w:tplc="70E8F7F2">
      <w:numFmt w:val="decimal"/>
      <w:lvlText w:val=""/>
      <w:lvlJc w:val="left"/>
    </w:lvl>
    <w:lvl w:ilvl="5" w:tplc="C2CA3800">
      <w:numFmt w:val="decimal"/>
      <w:lvlText w:val=""/>
      <w:lvlJc w:val="left"/>
    </w:lvl>
    <w:lvl w:ilvl="6" w:tplc="C616BB38">
      <w:numFmt w:val="decimal"/>
      <w:lvlText w:val=""/>
      <w:lvlJc w:val="left"/>
    </w:lvl>
    <w:lvl w:ilvl="7" w:tplc="C7FE071E">
      <w:numFmt w:val="decimal"/>
      <w:lvlText w:val=""/>
      <w:lvlJc w:val="left"/>
    </w:lvl>
    <w:lvl w:ilvl="8" w:tplc="7B1EB520">
      <w:numFmt w:val="decimal"/>
      <w:lvlText w:val=""/>
      <w:lvlJc w:val="left"/>
    </w:lvl>
  </w:abstractNum>
  <w:abstractNum w:abstractNumId="562" w15:restartNumberingAfterBreak="0">
    <w:nsid w:val="29D86DBD"/>
    <w:multiLevelType w:val="hybridMultilevel"/>
    <w:tmpl w:val="53E05238"/>
    <w:lvl w:ilvl="0" w:tplc="9B8CD3A8">
      <w:start w:val="1"/>
      <w:numFmt w:val="bullet"/>
      <w:lvlText w:val=""/>
      <w:lvlJc w:val="left"/>
      <w:pPr>
        <w:ind w:left="720" w:hanging="180"/>
      </w:pPr>
      <w:rPr>
        <w:rFonts w:ascii="Symbol" w:hAnsi="Symbol" w:hint="default"/>
      </w:rPr>
    </w:lvl>
    <w:lvl w:ilvl="1" w:tplc="764E0500">
      <w:numFmt w:val="decimal"/>
      <w:lvlText w:val=""/>
      <w:lvlJc w:val="left"/>
    </w:lvl>
    <w:lvl w:ilvl="2" w:tplc="4C7A3B2C">
      <w:numFmt w:val="decimal"/>
      <w:lvlText w:val=""/>
      <w:lvlJc w:val="left"/>
    </w:lvl>
    <w:lvl w:ilvl="3" w:tplc="6FEC2EB2">
      <w:numFmt w:val="decimal"/>
      <w:lvlText w:val=""/>
      <w:lvlJc w:val="left"/>
    </w:lvl>
    <w:lvl w:ilvl="4" w:tplc="E13E82DC">
      <w:numFmt w:val="decimal"/>
      <w:lvlText w:val=""/>
      <w:lvlJc w:val="left"/>
    </w:lvl>
    <w:lvl w:ilvl="5" w:tplc="A150F764">
      <w:numFmt w:val="decimal"/>
      <w:lvlText w:val=""/>
      <w:lvlJc w:val="left"/>
    </w:lvl>
    <w:lvl w:ilvl="6" w:tplc="7682C93C">
      <w:numFmt w:val="decimal"/>
      <w:lvlText w:val=""/>
      <w:lvlJc w:val="left"/>
    </w:lvl>
    <w:lvl w:ilvl="7" w:tplc="98882684">
      <w:numFmt w:val="decimal"/>
      <w:lvlText w:val=""/>
      <w:lvlJc w:val="left"/>
    </w:lvl>
    <w:lvl w:ilvl="8" w:tplc="221E49D6">
      <w:numFmt w:val="decimal"/>
      <w:lvlText w:val=""/>
      <w:lvlJc w:val="left"/>
    </w:lvl>
  </w:abstractNum>
  <w:abstractNum w:abstractNumId="563" w15:restartNumberingAfterBreak="0">
    <w:nsid w:val="29F42E8D"/>
    <w:multiLevelType w:val="hybridMultilevel"/>
    <w:tmpl w:val="1C3464CE"/>
    <w:lvl w:ilvl="0" w:tplc="D1C6380C">
      <w:start w:val="1"/>
      <w:numFmt w:val="bullet"/>
      <w:lvlText w:val=""/>
      <w:lvlJc w:val="left"/>
      <w:pPr>
        <w:ind w:left="720" w:hanging="180"/>
      </w:pPr>
      <w:rPr>
        <w:rFonts w:ascii="Symbol" w:hAnsi="Symbol" w:hint="default"/>
      </w:rPr>
    </w:lvl>
    <w:lvl w:ilvl="1" w:tplc="9D26236E">
      <w:numFmt w:val="decimal"/>
      <w:lvlText w:val=""/>
      <w:lvlJc w:val="left"/>
    </w:lvl>
    <w:lvl w:ilvl="2" w:tplc="AC968932">
      <w:numFmt w:val="decimal"/>
      <w:lvlText w:val=""/>
      <w:lvlJc w:val="left"/>
    </w:lvl>
    <w:lvl w:ilvl="3" w:tplc="C624FF02">
      <w:numFmt w:val="decimal"/>
      <w:lvlText w:val=""/>
      <w:lvlJc w:val="left"/>
    </w:lvl>
    <w:lvl w:ilvl="4" w:tplc="7F74F590">
      <w:numFmt w:val="decimal"/>
      <w:lvlText w:val=""/>
      <w:lvlJc w:val="left"/>
    </w:lvl>
    <w:lvl w:ilvl="5" w:tplc="39560E68">
      <w:numFmt w:val="decimal"/>
      <w:lvlText w:val=""/>
      <w:lvlJc w:val="left"/>
    </w:lvl>
    <w:lvl w:ilvl="6" w:tplc="F8522D36">
      <w:numFmt w:val="decimal"/>
      <w:lvlText w:val=""/>
      <w:lvlJc w:val="left"/>
    </w:lvl>
    <w:lvl w:ilvl="7" w:tplc="E5A44754">
      <w:numFmt w:val="decimal"/>
      <w:lvlText w:val=""/>
      <w:lvlJc w:val="left"/>
    </w:lvl>
    <w:lvl w:ilvl="8" w:tplc="E2346D12">
      <w:numFmt w:val="decimal"/>
      <w:lvlText w:val=""/>
      <w:lvlJc w:val="left"/>
    </w:lvl>
  </w:abstractNum>
  <w:abstractNum w:abstractNumId="564" w15:restartNumberingAfterBreak="0">
    <w:nsid w:val="2A1F1DB8"/>
    <w:multiLevelType w:val="hybridMultilevel"/>
    <w:tmpl w:val="B29A5288"/>
    <w:lvl w:ilvl="0" w:tplc="C4E41690">
      <w:start w:val="1"/>
      <w:numFmt w:val="bullet"/>
      <w:lvlText w:val=""/>
      <w:lvlJc w:val="left"/>
      <w:pPr>
        <w:ind w:left="720" w:hanging="180"/>
      </w:pPr>
      <w:rPr>
        <w:rFonts w:ascii="Symbol" w:hAnsi="Symbol" w:hint="default"/>
      </w:rPr>
    </w:lvl>
    <w:lvl w:ilvl="1" w:tplc="E9CCED70">
      <w:numFmt w:val="decimal"/>
      <w:lvlText w:val=""/>
      <w:lvlJc w:val="left"/>
    </w:lvl>
    <w:lvl w:ilvl="2" w:tplc="8520BD8A">
      <w:numFmt w:val="decimal"/>
      <w:lvlText w:val=""/>
      <w:lvlJc w:val="left"/>
    </w:lvl>
    <w:lvl w:ilvl="3" w:tplc="F9141426">
      <w:numFmt w:val="decimal"/>
      <w:lvlText w:val=""/>
      <w:lvlJc w:val="left"/>
    </w:lvl>
    <w:lvl w:ilvl="4" w:tplc="3CB2FC26">
      <w:numFmt w:val="decimal"/>
      <w:lvlText w:val=""/>
      <w:lvlJc w:val="left"/>
    </w:lvl>
    <w:lvl w:ilvl="5" w:tplc="0A20AD50">
      <w:numFmt w:val="decimal"/>
      <w:lvlText w:val=""/>
      <w:lvlJc w:val="left"/>
    </w:lvl>
    <w:lvl w:ilvl="6" w:tplc="55C6F5B6">
      <w:numFmt w:val="decimal"/>
      <w:lvlText w:val=""/>
      <w:lvlJc w:val="left"/>
    </w:lvl>
    <w:lvl w:ilvl="7" w:tplc="DEA27A64">
      <w:numFmt w:val="decimal"/>
      <w:lvlText w:val=""/>
      <w:lvlJc w:val="left"/>
    </w:lvl>
    <w:lvl w:ilvl="8" w:tplc="D7AECFC4">
      <w:numFmt w:val="decimal"/>
      <w:lvlText w:val=""/>
      <w:lvlJc w:val="left"/>
    </w:lvl>
  </w:abstractNum>
  <w:abstractNum w:abstractNumId="565" w15:restartNumberingAfterBreak="0">
    <w:nsid w:val="2A2D4743"/>
    <w:multiLevelType w:val="hybridMultilevel"/>
    <w:tmpl w:val="46AC9A18"/>
    <w:lvl w:ilvl="0" w:tplc="1FCEA0B4">
      <w:start w:val="1"/>
      <w:numFmt w:val="bullet"/>
      <w:lvlText w:val=""/>
      <w:lvlJc w:val="left"/>
      <w:pPr>
        <w:ind w:left="720" w:hanging="180"/>
      </w:pPr>
      <w:rPr>
        <w:rFonts w:ascii="Symbol" w:hAnsi="Symbol" w:hint="default"/>
      </w:rPr>
    </w:lvl>
    <w:lvl w:ilvl="1" w:tplc="AB8832F0">
      <w:numFmt w:val="decimal"/>
      <w:lvlText w:val=""/>
      <w:lvlJc w:val="left"/>
    </w:lvl>
    <w:lvl w:ilvl="2" w:tplc="7CB80278">
      <w:numFmt w:val="decimal"/>
      <w:lvlText w:val=""/>
      <w:lvlJc w:val="left"/>
    </w:lvl>
    <w:lvl w:ilvl="3" w:tplc="22F2FA00">
      <w:numFmt w:val="decimal"/>
      <w:lvlText w:val=""/>
      <w:lvlJc w:val="left"/>
    </w:lvl>
    <w:lvl w:ilvl="4" w:tplc="8640DD9A">
      <w:numFmt w:val="decimal"/>
      <w:lvlText w:val=""/>
      <w:lvlJc w:val="left"/>
    </w:lvl>
    <w:lvl w:ilvl="5" w:tplc="DB74901A">
      <w:numFmt w:val="decimal"/>
      <w:lvlText w:val=""/>
      <w:lvlJc w:val="left"/>
    </w:lvl>
    <w:lvl w:ilvl="6" w:tplc="AD226704">
      <w:numFmt w:val="decimal"/>
      <w:lvlText w:val=""/>
      <w:lvlJc w:val="left"/>
    </w:lvl>
    <w:lvl w:ilvl="7" w:tplc="839A4C32">
      <w:numFmt w:val="decimal"/>
      <w:lvlText w:val=""/>
      <w:lvlJc w:val="left"/>
    </w:lvl>
    <w:lvl w:ilvl="8" w:tplc="6EAAE18E">
      <w:numFmt w:val="decimal"/>
      <w:lvlText w:val=""/>
      <w:lvlJc w:val="left"/>
    </w:lvl>
  </w:abstractNum>
  <w:abstractNum w:abstractNumId="566" w15:restartNumberingAfterBreak="0">
    <w:nsid w:val="2A4B4BAB"/>
    <w:multiLevelType w:val="hybridMultilevel"/>
    <w:tmpl w:val="3B74601A"/>
    <w:lvl w:ilvl="0" w:tplc="59DE0AD8">
      <w:start w:val="1"/>
      <w:numFmt w:val="bullet"/>
      <w:lvlText w:val=""/>
      <w:lvlJc w:val="left"/>
      <w:pPr>
        <w:ind w:left="720" w:hanging="180"/>
      </w:pPr>
      <w:rPr>
        <w:rFonts w:ascii="Symbol" w:hAnsi="Symbol" w:hint="default"/>
      </w:rPr>
    </w:lvl>
    <w:lvl w:ilvl="1" w:tplc="6D941F26">
      <w:numFmt w:val="decimal"/>
      <w:lvlText w:val=""/>
      <w:lvlJc w:val="left"/>
    </w:lvl>
    <w:lvl w:ilvl="2" w:tplc="3CD403E4">
      <w:numFmt w:val="decimal"/>
      <w:lvlText w:val=""/>
      <w:lvlJc w:val="left"/>
    </w:lvl>
    <w:lvl w:ilvl="3" w:tplc="ACAA7196">
      <w:numFmt w:val="decimal"/>
      <w:lvlText w:val=""/>
      <w:lvlJc w:val="left"/>
    </w:lvl>
    <w:lvl w:ilvl="4" w:tplc="19B820DA">
      <w:numFmt w:val="decimal"/>
      <w:lvlText w:val=""/>
      <w:lvlJc w:val="left"/>
    </w:lvl>
    <w:lvl w:ilvl="5" w:tplc="8E68D668">
      <w:numFmt w:val="decimal"/>
      <w:lvlText w:val=""/>
      <w:lvlJc w:val="left"/>
    </w:lvl>
    <w:lvl w:ilvl="6" w:tplc="FE989AF0">
      <w:numFmt w:val="decimal"/>
      <w:lvlText w:val=""/>
      <w:lvlJc w:val="left"/>
    </w:lvl>
    <w:lvl w:ilvl="7" w:tplc="9236A3B2">
      <w:numFmt w:val="decimal"/>
      <w:lvlText w:val=""/>
      <w:lvlJc w:val="left"/>
    </w:lvl>
    <w:lvl w:ilvl="8" w:tplc="6772EB22">
      <w:numFmt w:val="decimal"/>
      <w:lvlText w:val=""/>
      <w:lvlJc w:val="left"/>
    </w:lvl>
  </w:abstractNum>
  <w:abstractNum w:abstractNumId="567" w15:restartNumberingAfterBreak="0">
    <w:nsid w:val="2A6C3124"/>
    <w:multiLevelType w:val="hybridMultilevel"/>
    <w:tmpl w:val="FDF0AE28"/>
    <w:lvl w:ilvl="0" w:tplc="A20AD266">
      <w:start w:val="1"/>
      <w:numFmt w:val="bullet"/>
      <w:lvlText w:val=""/>
      <w:lvlJc w:val="left"/>
      <w:pPr>
        <w:ind w:left="720" w:hanging="180"/>
      </w:pPr>
      <w:rPr>
        <w:rFonts w:ascii="Symbol" w:hAnsi="Symbol" w:hint="default"/>
      </w:rPr>
    </w:lvl>
    <w:lvl w:ilvl="1" w:tplc="310E6790">
      <w:numFmt w:val="decimal"/>
      <w:lvlText w:val=""/>
      <w:lvlJc w:val="left"/>
    </w:lvl>
    <w:lvl w:ilvl="2" w:tplc="67B4BD4C">
      <w:numFmt w:val="decimal"/>
      <w:lvlText w:val=""/>
      <w:lvlJc w:val="left"/>
    </w:lvl>
    <w:lvl w:ilvl="3" w:tplc="96F020F8">
      <w:numFmt w:val="decimal"/>
      <w:lvlText w:val=""/>
      <w:lvlJc w:val="left"/>
    </w:lvl>
    <w:lvl w:ilvl="4" w:tplc="14264868">
      <w:numFmt w:val="decimal"/>
      <w:lvlText w:val=""/>
      <w:lvlJc w:val="left"/>
    </w:lvl>
    <w:lvl w:ilvl="5" w:tplc="2FB2192A">
      <w:numFmt w:val="decimal"/>
      <w:lvlText w:val=""/>
      <w:lvlJc w:val="left"/>
    </w:lvl>
    <w:lvl w:ilvl="6" w:tplc="B0EE1604">
      <w:numFmt w:val="decimal"/>
      <w:lvlText w:val=""/>
      <w:lvlJc w:val="left"/>
    </w:lvl>
    <w:lvl w:ilvl="7" w:tplc="EF542FD0">
      <w:numFmt w:val="decimal"/>
      <w:lvlText w:val=""/>
      <w:lvlJc w:val="left"/>
    </w:lvl>
    <w:lvl w:ilvl="8" w:tplc="CC38F58E">
      <w:numFmt w:val="decimal"/>
      <w:lvlText w:val=""/>
      <w:lvlJc w:val="left"/>
    </w:lvl>
  </w:abstractNum>
  <w:abstractNum w:abstractNumId="568" w15:restartNumberingAfterBreak="0">
    <w:nsid w:val="2A721CD8"/>
    <w:multiLevelType w:val="hybridMultilevel"/>
    <w:tmpl w:val="647C7C86"/>
    <w:lvl w:ilvl="0" w:tplc="A8E848E8">
      <w:start w:val="1"/>
      <w:numFmt w:val="bullet"/>
      <w:lvlText w:val=""/>
      <w:lvlJc w:val="left"/>
      <w:pPr>
        <w:ind w:left="720" w:hanging="180"/>
      </w:pPr>
      <w:rPr>
        <w:rFonts w:ascii="Symbol" w:hAnsi="Symbol" w:hint="default"/>
      </w:rPr>
    </w:lvl>
    <w:lvl w:ilvl="1" w:tplc="8166A266">
      <w:numFmt w:val="decimal"/>
      <w:lvlText w:val=""/>
      <w:lvlJc w:val="left"/>
    </w:lvl>
    <w:lvl w:ilvl="2" w:tplc="ADBED79C">
      <w:numFmt w:val="decimal"/>
      <w:lvlText w:val=""/>
      <w:lvlJc w:val="left"/>
    </w:lvl>
    <w:lvl w:ilvl="3" w:tplc="F2DC814C">
      <w:numFmt w:val="decimal"/>
      <w:lvlText w:val=""/>
      <w:lvlJc w:val="left"/>
    </w:lvl>
    <w:lvl w:ilvl="4" w:tplc="CB586BD4">
      <w:numFmt w:val="decimal"/>
      <w:lvlText w:val=""/>
      <w:lvlJc w:val="left"/>
    </w:lvl>
    <w:lvl w:ilvl="5" w:tplc="188C3534">
      <w:numFmt w:val="decimal"/>
      <w:lvlText w:val=""/>
      <w:lvlJc w:val="left"/>
    </w:lvl>
    <w:lvl w:ilvl="6" w:tplc="79288A2E">
      <w:numFmt w:val="decimal"/>
      <w:lvlText w:val=""/>
      <w:lvlJc w:val="left"/>
    </w:lvl>
    <w:lvl w:ilvl="7" w:tplc="97F2BBA0">
      <w:numFmt w:val="decimal"/>
      <w:lvlText w:val=""/>
      <w:lvlJc w:val="left"/>
    </w:lvl>
    <w:lvl w:ilvl="8" w:tplc="846CCB8C">
      <w:numFmt w:val="decimal"/>
      <w:lvlText w:val=""/>
      <w:lvlJc w:val="left"/>
    </w:lvl>
  </w:abstractNum>
  <w:abstractNum w:abstractNumId="569" w15:restartNumberingAfterBreak="0">
    <w:nsid w:val="2A7C0DF2"/>
    <w:multiLevelType w:val="hybridMultilevel"/>
    <w:tmpl w:val="63367B76"/>
    <w:lvl w:ilvl="0" w:tplc="DCB245E0">
      <w:start w:val="1"/>
      <w:numFmt w:val="bullet"/>
      <w:lvlText w:val=""/>
      <w:lvlJc w:val="left"/>
      <w:pPr>
        <w:ind w:left="720" w:hanging="180"/>
      </w:pPr>
      <w:rPr>
        <w:rFonts w:ascii="Symbol" w:hAnsi="Symbol" w:hint="default"/>
      </w:rPr>
    </w:lvl>
    <w:lvl w:ilvl="1" w:tplc="F69ECA72">
      <w:numFmt w:val="decimal"/>
      <w:lvlText w:val=""/>
      <w:lvlJc w:val="left"/>
    </w:lvl>
    <w:lvl w:ilvl="2" w:tplc="0524A930">
      <w:numFmt w:val="decimal"/>
      <w:lvlText w:val=""/>
      <w:lvlJc w:val="left"/>
    </w:lvl>
    <w:lvl w:ilvl="3" w:tplc="3DD8DB9A">
      <w:numFmt w:val="decimal"/>
      <w:lvlText w:val=""/>
      <w:lvlJc w:val="left"/>
    </w:lvl>
    <w:lvl w:ilvl="4" w:tplc="58EE260C">
      <w:numFmt w:val="decimal"/>
      <w:lvlText w:val=""/>
      <w:lvlJc w:val="left"/>
    </w:lvl>
    <w:lvl w:ilvl="5" w:tplc="047A1A68">
      <w:numFmt w:val="decimal"/>
      <w:lvlText w:val=""/>
      <w:lvlJc w:val="left"/>
    </w:lvl>
    <w:lvl w:ilvl="6" w:tplc="4A46DDA4">
      <w:numFmt w:val="decimal"/>
      <w:lvlText w:val=""/>
      <w:lvlJc w:val="left"/>
    </w:lvl>
    <w:lvl w:ilvl="7" w:tplc="87D0D0E8">
      <w:numFmt w:val="decimal"/>
      <w:lvlText w:val=""/>
      <w:lvlJc w:val="left"/>
    </w:lvl>
    <w:lvl w:ilvl="8" w:tplc="E6420BD2">
      <w:numFmt w:val="decimal"/>
      <w:lvlText w:val=""/>
      <w:lvlJc w:val="left"/>
    </w:lvl>
  </w:abstractNum>
  <w:abstractNum w:abstractNumId="570" w15:restartNumberingAfterBreak="0">
    <w:nsid w:val="2A830D63"/>
    <w:multiLevelType w:val="hybridMultilevel"/>
    <w:tmpl w:val="5E24E7C4"/>
    <w:lvl w:ilvl="0" w:tplc="01545178">
      <w:start w:val="1"/>
      <w:numFmt w:val="bullet"/>
      <w:lvlText w:val=""/>
      <w:lvlJc w:val="left"/>
      <w:pPr>
        <w:ind w:left="720" w:hanging="180"/>
      </w:pPr>
      <w:rPr>
        <w:rFonts w:ascii="Symbol" w:hAnsi="Symbol" w:hint="default"/>
      </w:rPr>
    </w:lvl>
    <w:lvl w:ilvl="1" w:tplc="EDA6A522">
      <w:numFmt w:val="decimal"/>
      <w:lvlText w:val=""/>
      <w:lvlJc w:val="left"/>
    </w:lvl>
    <w:lvl w:ilvl="2" w:tplc="7720A81E">
      <w:numFmt w:val="decimal"/>
      <w:lvlText w:val=""/>
      <w:lvlJc w:val="left"/>
    </w:lvl>
    <w:lvl w:ilvl="3" w:tplc="30687DDC">
      <w:numFmt w:val="decimal"/>
      <w:lvlText w:val=""/>
      <w:lvlJc w:val="left"/>
    </w:lvl>
    <w:lvl w:ilvl="4" w:tplc="F50ECA52">
      <w:numFmt w:val="decimal"/>
      <w:lvlText w:val=""/>
      <w:lvlJc w:val="left"/>
    </w:lvl>
    <w:lvl w:ilvl="5" w:tplc="315A9054">
      <w:numFmt w:val="decimal"/>
      <w:lvlText w:val=""/>
      <w:lvlJc w:val="left"/>
    </w:lvl>
    <w:lvl w:ilvl="6" w:tplc="7444DC1E">
      <w:numFmt w:val="decimal"/>
      <w:lvlText w:val=""/>
      <w:lvlJc w:val="left"/>
    </w:lvl>
    <w:lvl w:ilvl="7" w:tplc="1B24BD1A">
      <w:numFmt w:val="decimal"/>
      <w:lvlText w:val=""/>
      <w:lvlJc w:val="left"/>
    </w:lvl>
    <w:lvl w:ilvl="8" w:tplc="141A67E6">
      <w:numFmt w:val="decimal"/>
      <w:lvlText w:val=""/>
      <w:lvlJc w:val="left"/>
    </w:lvl>
  </w:abstractNum>
  <w:abstractNum w:abstractNumId="571" w15:restartNumberingAfterBreak="0">
    <w:nsid w:val="2A8C08C7"/>
    <w:multiLevelType w:val="hybridMultilevel"/>
    <w:tmpl w:val="C65A03B0"/>
    <w:lvl w:ilvl="0" w:tplc="E7A0ACB0">
      <w:start w:val="1"/>
      <w:numFmt w:val="bullet"/>
      <w:lvlText w:val=""/>
      <w:lvlJc w:val="left"/>
      <w:pPr>
        <w:ind w:left="720" w:hanging="180"/>
      </w:pPr>
      <w:rPr>
        <w:rFonts w:ascii="Symbol" w:hAnsi="Symbol" w:hint="default"/>
      </w:rPr>
    </w:lvl>
    <w:lvl w:ilvl="1" w:tplc="5CF802B0">
      <w:numFmt w:val="decimal"/>
      <w:lvlText w:val=""/>
      <w:lvlJc w:val="left"/>
    </w:lvl>
    <w:lvl w:ilvl="2" w:tplc="7F4A9E98">
      <w:numFmt w:val="decimal"/>
      <w:lvlText w:val=""/>
      <w:lvlJc w:val="left"/>
    </w:lvl>
    <w:lvl w:ilvl="3" w:tplc="9C722DF2">
      <w:numFmt w:val="decimal"/>
      <w:lvlText w:val=""/>
      <w:lvlJc w:val="left"/>
    </w:lvl>
    <w:lvl w:ilvl="4" w:tplc="FC1A1530">
      <w:numFmt w:val="decimal"/>
      <w:lvlText w:val=""/>
      <w:lvlJc w:val="left"/>
    </w:lvl>
    <w:lvl w:ilvl="5" w:tplc="2FD2F046">
      <w:numFmt w:val="decimal"/>
      <w:lvlText w:val=""/>
      <w:lvlJc w:val="left"/>
    </w:lvl>
    <w:lvl w:ilvl="6" w:tplc="43B6F016">
      <w:numFmt w:val="decimal"/>
      <w:lvlText w:val=""/>
      <w:lvlJc w:val="left"/>
    </w:lvl>
    <w:lvl w:ilvl="7" w:tplc="FDAEADCE">
      <w:numFmt w:val="decimal"/>
      <w:lvlText w:val=""/>
      <w:lvlJc w:val="left"/>
    </w:lvl>
    <w:lvl w:ilvl="8" w:tplc="2408AA22">
      <w:numFmt w:val="decimal"/>
      <w:lvlText w:val=""/>
      <w:lvlJc w:val="left"/>
    </w:lvl>
  </w:abstractNum>
  <w:abstractNum w:abstractNumId="572" w15:restartNumberingAfterBreak="0">
    <w:nsid w:val="2AA64D7A"/>
    <w:multiLevelType w:val="hybridMultilevel"/>
    <w:tmpl w:val="0900A16E"/>
    <w:lvl w:ilvl="0" w:tplc="A9DCCBFA">
      <w:numFmt w:val="decimal"/>
      <w:lvlText w:val=""/>
      <w:lvlJc w:val="left"/>
    </w:lvl>
    <w:lvl w:ilvl="1" w:tplc="AFFCD596">
      <w:start w:val="1"/>
      <w:numFmt w:val="bullet"/>
      <w:lvlText w:val=""/>
      <w:lvlJc w:val="left"/>
      <w:pPr>
        <w:ind w:left="1440" w:hanging="180"/>
      </w:pPr>
      <w:rPr>
        <w:rFonts w:ascii="Symbol" w:hAnsi="Symbol" w:hint="default"/>
      </w:rPr>
    </w:lvl>
    <w:lvl w:ilvl="2" w:tplc="8C66AE3C">
      <w:numFmt w:val="decimal"/>
      <w:lvlText w:val=""/>
      <w:lvlJc w:val="left"/>
    </w:lvl>
    <w:lvl w:ilvl="3" w:tplc="BC466162">
      <w:numFmt w:val="decimal"/>
      <w:lvlText w:val=""/>
      <w:lvlJc w:val="left"/>
    </w:lvl>
    <w:lvl w:ilvl="4" w:tplc="6722DE70">
      <w:numFmt w:val="decimal"/>
      <w:lvlText w:val=""/>
      <w:lvlJc w:val="left"/>
    </w:lvl>
    <w:lvl w:ilvl="5" w:tplc="EAD0D10A">
      <w:numFmt w:val="decimal"/>
      <w:lvlText w:val=""/>
      <w:lvlJc w:val="left"/>
    </w:lvl>
    <w:lvl w:ilvl="6" w:tplc="EA2E6F02">
      <w:numFmt w:val="decimal"/>
      <w:lvlText w:val=""/>
      <w:lvlJc w:val="left"/>
    </w:lvl>
    <w:lvl w:ilvl="7" w:tplc="255A5D8C">
      <w:numFmt w:val="decimal"/>
      <w:lvlText w:val=""/>
      <w:lvlJc w:val="left"/>
    </w:lvl>
    <w:lvl w:ilvl="8" w:tplc="1936ADB4">
      <w:numFmt w:val="decimal"/>
      <w:lvlText w:val=""/>
      <w:lvlJc w:val="left"/>
    </w:lvl>
  </w:abstractNum>
  <w:abstractNum w:abstractNumId="573" w15:restartNumberingAfterBreak="0">
    <w:nsid w:val="2AFA64A8"/>
    <w:multiLevelType w:val="hybridMultilevel"/>
    <w:tmpl w:val="79C63006"/>
    <w:lvl w:ilvl="0" w:tplc="AEF80134">
      <w:start w:val="1"/>
      <w:numFmt w:val="bullet"/>
      <w:lvlText w:val=""/>
      <w:lvlJc w:val="left"/>
      <w:pPr>
        <w:ind w:left="720" w:hanging="180"/>
      </w:pPr>
      <w:rPr>
        <w:rFonts w:ascii="Symbol" w:hAnsi="Symbol" w:hint="default"/>
      </w:rPr>
    </w:lvl>
    <w:lvl w:ilvl="1" w:tplc="73F63D1A">
      <w:numFmt w:val="decimal"/>
      <w:lvlText w:val=""/>
      <w:lvlJc w:val="left"/>
    </w:lvl>
    <w:lvl w:ilvl="2" w:tplc="9C666D8C">
      <w:numFmt w:val="decimal"/>
      <w:lvlText w:val=""/>
      <w:lvlJc w:val="left"/>
    </w:lvl>
    <w:lvl w:ilvl="3" w:tplc="244033B4">
      <w:numFmt w:val="decimal"/>
      <w:lvlText w:val=""/>
      <w:lvlJc w:val="left"/>
    </w:lvl>
    <w:lvl w:ilvl="4" w:tplc="079C60CA">
      <w:numFmt w:val="decimal"/>
      <w:lvlText w:val=""/>
      <w:lvlJc w:val="left"/>
    </w:lvl>
    <w:lvl w:ilvl="5" w:tplc="8682C080">
      <w:numFmt w:val="decimal"/>
      <w:lvlText w:val=""/>
      <w:lvlJc w:val="left"/>
    </w:lvl>
    <w:lvl w:ilvl="6" w:tplc="97565C10">
      <w:numFmt w:val="decimal"/>
      <w:lvlText w:val=""/>
      <w:lvlJc w:val="left"/>
    </w:lvl>
    <w:lvl w:ilvl="7" w:tplc="63008CFE">
      <w:numFmt w:val="decimal"/>
      <w:lvlText w:val=""/>
      <w:lvlJc w:val="left"/>
    </w:lvl>
    <w:lvl w:ilvl="8" w:tplc="582C28C0">
      <w:numFmt w:val="decimal"/>
      <w:lvlText w:val=""/>
      <w:lvlJc w:val="left"/>
    </w:lvl>
  </w:abstractNum>
  <w:abstractNum w:abstractNumId="574" w15:restartNumberingAfterBreak="0">
    <w:nsid w:val="2B0C28AB"/>
    <w:multiLevelType w:val="hybridMultilevel"/>
    <w:tmpl w:val="BAE69240"/>
    <w:lvl w:ilvl="0" w:tplc="0FB02F3E">
      <w:start w:val="1"/>
      <w:numFmt w:val="bullet"/>
      <w:lvlText w:val=""/>
      <w:lvlJc w:val="left"/>
      <w:pPr>
        <w:ind w:left="720" w:hanging="180"/>
      </w:pPr>
      <w:rPr>
        <w:rFonts w:ascii="Symbol" w:hAnsi="Symbol" w:hint="default"/>
      </w:rPr>
    </w:lvl>
    <w:lvl w:ilvl="1" w:tplc="E8189ACE">
      <w:numFmt w:val="decimal"/>
      <w:lvlText w:val=""/>
      <w:lvlJc w:val="left"/>
    </w:lvl>
    <w:lvl w:ilvl="2" w:tplc="74D22306">
      <w:numFmt w:val="decimal"/>
      <w:lvlText w:val=""/>
      <w:lvlJc w:val="left"/>
    </w:lvl>
    <w:lvl w:ilvl="3" w:tplc="070EDFFA">
      <w:numFmt w:val="decimal"/>
      <w:lvlText w:val=""/>
      <w:lvlJc w:val="left"/>
    </w:lvl>
    <w:lvl w:ilvl="4" w:tplc="015EB810">
      <w:numFmt w:val="decimal"/>
      <w:lvlText w:val=""/>
      <w:lvlJc w:val="left"/>
    </w:lvl>
    <w:lvl w:ilvl="5" w:tplc="D6028754">
      <w:numFmt w:val="decimal"/>
      <w:lvlText w:val=""/>
      <w:lvlJc w:val="left"/>
    </w:lvl>
    <w:lvl w:ilvl="6" w:tplc="2BF6FC0E">
      <w:numFmt w:val="decimal"/>
      <w:lvlText w:val=""/>
      <w:lvlJc w:val="left"/>
    </w:lvl>
    <w:lvl w:ilvl="7" w:tplc="56DA5D22">
      <w:numFmt w:val="decimal"/>
      <w:lvlText w:val=""/>
      <w:lvlJc w:val="left"/>
    </w:lvl>
    <w:lvl w:ilvl="8" w:tplc="4C8E5FE8">
      <w:numFmt w:val="decimal"/>
      <w:lvlText w:val=""/>
      <w:lvlJc w:val="left"/>
    </w:lvl>
  </w:abstractNum>
  <w:abstractNum w:abstractNumId="575" w15:restartNumberingAfterBreak="0">
    <w:nsid w:val="2B0F195C"/>
    <w:multiLevelType w:val="hybridMultilevel"/>
    <w:tmpl w:val="0DCEF76C"/>
    <w:lvl w:ilvl="0" w:tplc="73645634">
      <w:start w:val="1"/>
      <w:numFmt w:val="bullet"/>
      <w:lvlText w:val=""/>
      <w:lvlJc w:val="left"/>
      <w:pPr>
        <w:ind w:left="720" w:hanging="180"/>
      </w:pPr>
      <w:rPr>
        <w:rFonts w:ascii="Symbol" w:hAnsi="Symbol" w:hint="default"/>
      </w:rPr>
    </w:lvl>
    <w:lvl w:ilvl="1" w:tplc="6CA6BD24">
      <w:numFmt w:val="decimal"/>
      <w:lvlText w:val=""/>
      <w:lvlJc w:val="left"/>
    </w:lvl>
    <w:lvl w:ilvl="2" w:tplc="9A1C9DEA">
      <w:numFmt w:val="decimal"/>
      <w:lvlText w:val=""/>
      <w:lvlJc w:val="left"/>
    </w:lvl>
    <w:lvl w:ilvl="3" w:tplc="AF84F4B6">
      <w:numFmt w:val="decimal"/>
      <w:lvlText w:val=""/>
      <w:lvlJc w:val="left"/>
    </w:lvl>
    <w:lvl w:ilvl="4" w:tplc="9E1E79B2">
      <w:numFmt w:val="decimal"/>
      <w:lvlText w:val=""/>
      <w:lvlJc w:val="left"/>
    </w:lvl>
    <w:lvl w:ilvl="5" w:tplc="201E640A">
      <w:numFmt w:val="decimal"/>
      <w:lvlText w:val=""/>
      <w:lvlJc w:val="left"/>
    </w:lvl>
    <w:lvl w:ilvl="6" w:tplc="2CC87A08">
      <w:numFmt w:val="decimal"/>
      <w:lvlText w:val=""/>
      <w:lvlJc w:val="left"/>
    </w:lvl>
    <w:lvl w:ilvl="7" w:tplc="259A0ADE">
      <w:numFmt w:val="decimal"/>
      <w:lvlText w:val=""/>
      <w:lvlJc w:val="left"/>
    </w:lvl>
    <w:lvl w:ilvl="8" w:tplc="40346CCE">
      <w:numFmt w:val="decimal"/>
      <w:lvlText w:val=""/>
      <w:lvlJc w:val="left"/>
    </w:lvl>
  </w:abstractNum>
  <w:abstractNum w:abstractNumId="576" w15:restartNumberingAfterBreak="0">
    <w:nsid w:val="2B3F46B0"/>
    <w:multiLevelType w:val="hybridMultilevel"/>
    <w:tmpl w:val="22BE5206"/>
    <w:lvl w:ilvl="0" w:tplc="03B2FEA8">
      <w:start w:val="1"/>
      <w:numFmt w:val="bullet"/>
      <w:lvlText w:val=""/>
      <w:lvlJc w:val="left"/>
      <w:pPr>
        <w:ind w:left="720" w:hanging="180"/>
      </w:pPr>
      <w:rPr>
        <w:rFonts w:ascii="Symbol" w:hAnsi="Symbol" w:hint="default"/>
      </w:rPr>
    </w:lvl>
    <w:lvl w:ilvl="1" w:tplc="26363E52">
      <w:numFmt w:val="decimal"/>
      <w:lvlText w:val=""/>
      <w:lvlJc w:val="left"/>
    </w:lvl>
    <w:lvl w:ilvl="2" w:tplc="51C8E658">
      <w:numFmt w:val="decimal"/>
      <w:lvlText w:val=""/>
      <w:lvlJc w:val="left"/>
    </w:lvl>
    <w:lvl w:ilvl="3" w:tplc="79AAE0B6">
      <w:numFmt w:val="decimal"/>
      <w:lvlText w:val=""/>
      <w:lvlJc w:val="left"/>
    </w:lvl>
    <w:lvl w:ilvl="4" w:tplc="589CD8C2">
      <w:numFmt w:val="decimal"/>
      <w:lvlText w:val=""/>
      <w:lvlJc w:val="left"/>
    </w:lvl>
    <w:lvl w:ilvl="5" w:tplc="2284905C">
      <w:numFmt w:val="decimal"/>
      <w:lvlText w:val=""/>
      <w:lvlJc w:val="left"/>
    </w:lvl>
    <w:lvl w:ilvl="6" w:tplc="BA80401A">
      <w:numFmt w:val="decimal"/>
      <w:lvlText w:val=""/>
      <w:lvlJc w:val="left"/>
    </w:lvl>
    <w:lvl w:ilvl="7" w:tplc="843ED714">
      <w:numFmt w:val="decimal"/>
      <w:lvlText w:val=""/>
      <w:lvlJc w:val="left"/>
    </w:lvl>
    <w:lvl w:ilvl="8" w:tplc="A1F25992">
      <w:numFmt w:val="decimal"/>
      <w:lvlText w:val=""/>
      <w:lvlJc w:val="left"/>
    </w:lvl>
  </w:abstractNum>
  <w:abstractNum w:abstractNumId="577" w15:restartNumberingAfterBreak="0">
    <w:nsid w:val="2B483746"/>
    <w:multiLevelType w:val="hybridMultilevel"/>
    <w:tmpl w:val="7270BD6A"/>
    <w:lvl w:ilvl="0" w:tplc="1768531C">
      <w:start w:val="1"/>
      <w:numFmt w:val="bullet"/>
      <w:lvlText w:val=""/>
      <w:lvlJc w:val="left"/>
      <w:pPr>
        <w:ind w:left="720" w:hanging="180"/>
      </w:pPr>
      <w:rPr>
        <w:rFonts w:ascii="Symbol" w:hAnsi="Symbol" w:hint="default"/>
      </w:rPr>
    </w:lvl>
    <w:lvl w:ilvl="1" w:tplc="C7D6E7AE">
      <w:numFmt w:val="decimal"/>
      <w:lvlText w:val=""/>
      <w:lvlJc w:val="left"/>
    </w:lvl>
    <w:lvl w:ilvl="2" w:tplc="94120C94">
      <w:numFmt w:val="decimal"/>
      <w:lvlText w:val=""/>
      <w:lvlJc w:val="left"/>
    </w:lvl>
    <w:lvl w:ilvl="3" w:tplc="E0E0A5E2">
      <w:numFmt w:val="decimal"/>
      <w:lvlText w:val=""/>
      <w:lvlJc w:val="left"/>
    </w:lvl>
    <w:lvl w:ilvl="4" w:tplc="56D47FE6">
      <w:numFmt w:val="decimal"/>
      <w:lvlText w:val=""/>
      <w:lvlJc w:val="left"/>
    </w:lvl>
    <w:lvl w:ilvl="5" w:tplc="22DA914E">
      <w:numFmt w:val="decimal"/>
      <w:lvlText w:val=""/>
      <w:lvlJc w:val="left"/>
    </w:lvl>
    <w:lvl w:ilvl="6" w:tplc="051415A2">
      <w:numFmt w:val="decimal"/>
      <w:lvlText w:val=""/>
      <w:lvlJc w:val="left"/>
    </w:lvl>
    <w:lvl w:ilvl="7" w:tplc="5300B920">
      <w:numFmt w:val="decimal"/>
      <w:lvlText w:val=""/>
      <w:lvlJc w:val="left"/>
    </w:lvl>
    <w:lvl w:ilvl="8" w:tplc="B3565628">
      <w:numFmt w:val="decimal"/>
      <w:lvlText w:val=""/>
      <w:lvlJc w:val="left"/>
    </w:lvl>
  </w:abstractNum>
  <w:abstractNum w:abstractNumId="578" w15:restartNumberingAfterBreak="0">
    <w:nsid w:val="2B546B12"/>
    <w:multiLevelType w:val="hybridMultilevel"/>
    <w:tmpl w:val="D01C531E"/>
    <w:lvl w:ilvl="0" w:tplc="282A44E2">
      <w:start w:val="1"/>
      <w:numFmt w:val="bullet"/>
      <w:lvlText w:val=""/>
      <w:lvlJc w:val="left"/>
      <w:pPr>
        <w:ind w:left="720" w:hanging="180"/>
      </w:pPr>
      <w:rPr>
        <w:rFonts w:ascii="Symbol" w:hAnsi="Symbol" w:hint="default"/>
      </w:rPr>
    </w:lvl>
    <w:lvl w:ilvl="1" w:tplc="0ED2D11E">
      <w:numFmt w:val="decimal"/>
      <w:lvlText w:val=""/>
      <w:lvlJc w:val="left"/>
    </w:lvl>
    <w:lvl w:ilvl="2" w:tplc="FC8297E2">
      <w:numFmt w:val="decimal"/>
      <w:lvlText w:val=""/>
      <w:lvlJc w:val="left"/>
    </w:lvl>
    <w:lvl w:ilvl="3" w:tplc="2C32C1DC">
      <w:numFmt w:val="decimal"/>
      <w:lvlText w:val=""/>
      <w:lvlJc w:val="left"/>
    </w:lvl>
    <w:lvl w:ilvl="4" w:tplc="8DE2B056">
      <w:numFmt w:val="decimal"/>
      <w:lvlText w:val=""/>
      <w:lvlJc w:val="left"/>
    </w:lvl>
    <w:lvl w:ilvl="5" w:tplc="81643FF8">
      <w:numFmt w:val="decimal"/>
      <w:lvlText w:val=""/>
      <w:lvlJc w:val="left"/>
    </w:lvl>
    <w:lvl w:ilvl="6" w:tplc="8676E88E">
      <w:numFmt w:val="decimal"/>
      <w:lvlText w:val=""/>
      <w:lvlJc w:val="left"/>
    </w:lvl>
    <w:lvl w:ilvl="7" w:tplc="41CCAB92">
      <w:numFmt w:val="decimal"/>
      <w:lvlText w:val=""/>
      <w:lvlJc w:val="left"/>
    </w:lvl>
    <w:lvl w:ilvl="8" w:tplc="9F24A60E">
      <w:numFmt w:val="decimal"/>
      <w:lvlText w:val=""/>
      <w:lvlJc w:val="left"/>
    </w:lvl>
  </w:abstractNum>
  <w:abstractNum w:abstractNumId="579" w15:restartNumberingAfterBreak="0">
    <w:nsid w:val="2B5B6A92"/>
    <w:multiLevelType w:val="hybridMultilevel"/>
    <w:tmpl w:val="5148B3B8"/>
    <w:lvl w:ilvl="0" w:tplc="3A403CEC">
      <w:start w:val="1"/>
      <w:numFmt w:val="bullet"/>
      <w:lvlText w:val=""/>
      <w:lvlJc w:val="left"/>
      <w:pPr>
        <w:ind w:left="720" w:hanging="180"/>
      </w:pPr>
      <w:rPr>
        <w:rFonts w:ascii="Symbol" w:hAnsi="Symbol" w:hint="default"/>
      </w:rPr>
    </w:lvl>
    <w:lvl w:ilvl="1" w:tplc="7422DEA4">
      <w:numFmt w:val="decimal"/>
      <w:lvlText w:val=""/>
      <w:lvlJc w:val="left"/>
    </w:lvl>
    <w:lvl w:ilvl="2" w:tplc="C94CFFA6">
      <w:numFmt w:val="decimal"/>
      <w:lvlText w:val=""/>
      <w:lvlJc w:val="left"/>
    </w:lvl>
    <w:lvl w:ilvl="3" w:tplc="25F2395C">
      <w:numFmt w:val="decimal"/>
      <w:lvlText w:val=""/>
      <w:lvlJc w:val="left"/>
    </w:lvl>
    <w:lvl w:ilvl="4" w:tplc="125A741C">
      <w:numFmt w:val="decimal"/>
      <w:lvlText w:val=""/>
      <w:lvlJc w:val="left"/>
    </w:lvl>
    <w:lvl w:ilvl="5" w:tplc="EF369AB8">
      <w:numFmt w:val="decimal"/>
      <w:lvlText w:val=""/>
      <w:lvlJc w:val="left"/>
    </w:lvl>
    <w:lvl w:ilvl="6" w:tplc="F39C397E">
      <w:numFmt w:val="decimal"/>
      <w:lvlText w:val=""/>
      <w:lvlJc w:val="left"/>
    </w:lvl>
    <w:lvl w:ilvl="7" w:tplc="EBFA9A20">
      <w:numFmt w:val="decimal"/>
      <w:lvlText w:val=""/>
      <w:lvlJc w:val="left"/>
    </w:lvl>
    <w:lvl w:ilvl="8" w:tplc="51D245F6">
      <w:numFmt w:val="decimal"/>
      <w:lvlText w:val=""/>
      <w:lvlJc w:val="left"/>
    </w:lvl>
  </w:abstractNum>
  <w:abstractNum w:abstractNumId="580" w15:restartNumberingAfterBreak="0">
    <w:nsid w:val="2B6030CE"/>
    <w:multiLevelType w:val="hybridMultilevel"/>
    <w:tmpl w:val="3572B8A8"/>
    <w:lvl w:ilvl="0" w:tplc="B5FADF22">
      <w:start w:val="1"/>
      <w:numFmt w:val="bullet"/>
      <w:lvlText w:val=""/>
      <w:lvlJc w:val="left"/>
      <w:pPr>
        <w:ind w:left="720" w:hanging="180"/>
      </w:pPr>
      <w:rPr>
        <w:rFonts w:ascii="Symbol" w:hAnsi="Symbol" w:hint="default"/>
      </w:rPr>
    </w:lvl>
    <w:lvl w:ilvl="1" w:tplc="CF50E376">
      <w:numFmt w:val="decimal"/>
      <w:lvlText w:val=""/>
      <w:lvlJc w:val="left"/>
    </w:lvl>
    <w:lvl w:ilvl="2" w:tplc="EC8A2DFC">
      <w:numFmt w:val="decimal"/>
      <w:lvlText w:val=""/>
      <w:lvlJc w:val="left"/>
    </w:lvl>
    <w:lvl w:ilvl="3" w:tplc="797E48BC">
      <w:numFmt w:val="decimal"/>
      <w:lvlText w:val=""/>
      <w:lvlJc w:val="left"/>
    </w:lvl>
    <w:lvl w:ilvl="4" w:tplc="B9C444C0">
      <w:numFmt w:val="decimal"/>
      <w:lvlText w:val=""/>
      <w:lvlJc w:val="left"/>
    </w:lvl>
    <w:lvl w:ilvl="5" w:tplc="F4CAB230">
      <w:numFmt w:val="decimal"/>
      <w:lvlText w:val=""/>
      <w:lvlJc w:val="left"/>
    </w:lvl>
    <w:lvl w:ilvl="6" w:tplc="8E9454D0">
      <w:numFmt w:val="decimal"/>
      <w:lvlText w:val=""/>
      <w:lvlJc w:val="left"/>
    </w:lvl>
    <w:lvl w:ilvl="7" w:tplc="334A2E84">
      <w:numFmt w:val="decimal"/>
      <w:lvlText w:val=""/>
      <w:lvlJc w:val="left"/>
    </w:lvl>
    <w:lvl w:ilvl="8" w:tplc="F43EA7D0">
      <w:numFmt w:val="decimal"/>
      <w:lvlText w:val=""/>
      <w:lvlJc w:val="left"/>
    </w:lvl>
  </w:abstractNum>
  <w:abstractNum w:abstractNumId="581" w15:restartNumberingAfterBreak="0">
    <w:nsid w:val="2B616C89"/>
    <w:multiLevelType w:val="hybridMultilevel"/>
    <w:tmpl w:val="17A8F22A"/>
    <w:lvl w:ilvl="0" w:tplc="E050FAF6">
      <w:start w:val="1"/>
      <w:numFmt w:val="bullet"/>
      <w:lvlText w:val=""/>
      <w:lvlJc w:val="left"/>
      <w:pPr>
        <w:ind w:left="720" w:hanging="180"/>
      </w:pPr>
      <w:rPr>
        <w:rFonts w:ascii="Symbol" w:hAnsi="Symbol" w:hint="default"/>
      </w:rPr>
    </w:lvl>
    <w:lvl w:ilvl="1" w:tplc="45A2D128">
      <w:numFmt w:val="decimal"/>
      <w:lvlText w:val=""/>
      <w:lvlJc w:val="left"/>
    </w:lvl>
    <w:lvl w:ilvl="2" w:tplc="87462362">
      <w:numFmt w:val="decimal"/>
      <w:lvlText w:val=""/>
      <w:lvlJc w:val="left"/>
    </w:lvl>
    <w:lvl w:ilvl="3" w:tplc="D7C6560E">
      <w:numFmt w:val="decimal"/>
      <w:lvlText w:val=""/>
      <w:lvlJc w:val="left"/>
    </w:lvl>
    <w:lvl w:ilvl="4" w:tplc="C58ACBD4">
      <w:numFmt w:val="decimal"/>
      <w:lvlText w:val=""/>
      <w:lvlJc w:val="left"/>
    </w:lvl>
    <w:lvl w:ilvl="5" w:tplc="0B7CEE9C">
      <w:numFmt w:val="decimal"/>
      <w:lvlText w:val=""/>
      <w:lvlJc w:val="left"/>
    </w:lvl>
    <w:lvl w:ilvl="6" w:tplc="709C6ECE">
      <w:numFmt w:val="decimal"/>
      <w:lvlText w:val=""/>
      <w:lvlJc w:val="left"/>
    </w:lvl>
    <w:lvl w:ilvl="7" w:tplc="420E65CC">
      <w:numFmt w:val="decimal"/>
      <w:lvlText w:val=""/>
      <w:lvlJc w:val="left"/>
    </w:lvl>
    <w:lvl w:ilvl="8" w:tplc="AEB290CE">
      <w:numFmt w:val="decimal"/>
      <w:lvlText w:val=""/>
      <w:lvlJc w:val="left"/>
    </w:lvl>
  </w:abstractNum>
  <w:abstractNum w:abstractNumId="582" w15:restartNumberingAfterBreak="0">
    <w:nsid w:val="2B9403B6"/>
    <w:multiLevelType w:val="hybridMultilevel"/>
    <w:tmpl w:val="027EE4CE"/>
    <w:lvl w:ilvl="0" w:tplc="5A003D16">
      <w:start w:val="1"/>
      <w:numFmt w:val="bullet"/>
      <w:lvlText w:val=""/>
      <w:lvlJc w:val="left"/>
      <w:pPr>
        <w:ind w:left="720" w:hanging="180"/>
      </w:pPr>
      <w:rPr>
        <w:rFonts w:ascii="Symbol" w:hAnsi="Symbol" w:hint="default"/>
      </w:rPr>
    </w:lvl>
    <w:lvl w:ilvl="1" w:tplc="C92E710C">
      <w:numFmt w:val="decimal"/>
      <w:lvlText w:val=""/>
      <w:lvlJc w:val="left"/>
    </w:lvl>
    <w:lvl w:ilvl="2" w:tplc="64080E68">
      <w:numFmt w:val="decimal"/>
      <w:lvlText w:val=""/>
      <w:lvlJc w:val="left"/>
    </w:lvl>
    <w:lvl w:ilvl="3" w:tplc="1BFE21AE">
      <w:numFmt w:val="decimal"/>
      <w:lvlText w:val=""/>
      <w:lvlJc w:val="left"/>
    </w:lvl>
    <w:lvl w:ilvl="4" w:tplc="93A0F1D2">
      <w:numFmt w:val="decimal"/>
      <w:lvlText w:val=""/>
      <w:lvlJc w:val="left"/>
    </w:lvl>
    <w:lvl w:ilvl="5" w:tplc="AE7AF818">
      <w:numFmt w:val="decimal"/>
      <w:lvlText w:val=""/>
      <w:lvlJc w:val="left"/>
    </w:lvl>
    <w:lvl w:ilvl="6" w:tplc="5FF4AEBA">
      <w:numFmt w:val="decimal"/>
      <w:lvlText w:val=""/>
      <w:lvlJc w:val="left"/>
    </w:lvl>
    <w:lvl w:ilvl="7" w:tplc="B7C81A2C">
      <w:numFmt w:val="decimal"/>
      <w:lvlText w:val=""/>
      <w:lvlJc w:val="left"/>
    </w:lvl>
    <w:lvl w:ilvl="8" w:tplc="840AF57E">
      <w:numFmt w:val="decimal"/>
      <w:lvlText w:val=""/>
      <w:lvlJc w:val="left"/>
    </w:lvl>
  </w:abstractNum>
  <w:abstractNum w:abstractNumId="583" w15:restartNumberingAfterBreak="0">
    <w:nsid w:val="2B993E37"/>
    <w:multiLevelType w:val="hybridMultilevel"/>
    <w:tmpl w:val="1C287522"/>
    <w:lvl w:ilvl="0" w:tplc="007ACB00">
      <w:start w:val="1"/>
      <w:numFmt w:val="bullet"/>
      <w:lvlText w:val=""/>
      <w:lvlJc w:val="left"/>
      <w:pPr>
        <w:ind w:left="720" w:hanging="180"/>
      </w:pPr>
      <w:rPr>
        <w:rFonts w:ascii="Symbol" w:hAnsi="Symbol" w:hint="default"/>
      </w:rPr>
    </w:lvl>
    <w:lvl w:ilvl="1" w:tplc="60147546">
      <w:numFmt w:val="decimal"/>
      <w:lvlText w:val=""/>
      <w:lvlJc w:val="left"/>
    </w:lvl>
    <w:lvl w:ilvl="2" w:tplc="9AC4D398">
      <w:numFmt w:val="decimal"/>
      <w:lvlText w:val=""/>
      <w:lvlJc w:val="left"/>
    </w:lvl>
    <w:lvl w:ilvl="3" w:tplc="FC4EC22A">
      <w:numFmt w:val="decimal"/>
      <w:lvlText w:val=""/>
      <w:lvlJc w:val="left"/>
    </w:lvl>
    <w:lvl w:ilvl="4" w:tplc="4AC4A116">
      <w:numFmt w:val="decimal"/>
      <w:lvlText w:val=""/>
      <w:lvlJc w:val="left"/>
    </w:lvl>
    <w:lvl w:ilvl="5" w:tplc="3176D6EE">
      <w:numFmt w:val="decimal"/>
      <w:lvlText w:val=""/>
      <w:lvlJc w:val="left"/>
    </w:lvl>
    <w:lvl w:ilvl="6" w:tplc="EE4ED048">
      <w:numFmt w:val="decimal"/>
      <w:lvlText w:val=""/>
      <w:lvlJc w:val="left"/>
    </w:lvl>
    <w:lvl w:ilvl="7" w:tplc="F1E8EF8C">
      <w:numFmt w:val="decimal"/>
      <w:lvlText w:val=""/>
      <w:lvlJc w:val="left"/>
    </w:lvl>
    <w:lvl w:ilvl="8" w:tplc="7B2E3238">
      <w:numFmt w:val="decimal"/>
      <w:lvlText w:val=""/>
      <w:lvlJc w:val="left"/>
    </w:lvl>
  </w:abstractNum>
  <w:abstractNum w:abstractNumId="584" w15:restartNumberingAfterBreak="0">
    <w:nsid w:val="2B9A7C10"/>
    <w:multiLevelType w:val="hybridMultilevel"/>
    <w:tmpl w:val="A2865E24"/>
    <w:lvl w:ilvl="0" w:tplc="19008E94">
      <w:start w:val="1"/>
      <w:numFmt w:val="bullet"/>
      <w:lvlText w:val=""/>
      <w:lvlJc w:val="left"/>
      <w:pPr>
        <w:ind w:left="720" w:hanging="180"/>
      </w:pPr>
      <w:rPr>
        <w:rFonts w:ascii="Symbol" w:hAnsi="Symbol" w:hint="default"/>
      </w:rPr>
    </w:lvl>
    <w:lvl w:ilvl="1" w:tplc="5E184FDA">
      <w:numFmt w:val="decimal"/>
      <w:lvlText w:val=""/>
      <w:lvlJc w:val="left"/>
    </w:lvl>
    <w:lvl w:ilvl="2" w:tplc="C5DC1B1E">
      <w:numFmt w:val="decimal"/>
      <w:lvlText w:val=""/>
      <w:lvlJc w:val="left"/>
    </w:lvl>
    <w:lvl w:ilvl="3" w:tplc="A6A82812">
      <w:numFmt w:val="decimal"/>
      <w:lvlText w:val=""/>
      <w:lvlJc w:val="left"/>
    </w:lvl>
    <w:lvl w:ilvl="4" w:tplc="ADC862A4">
      <w:numFmt w:val="decimal"/>
      <w:lvlText w:val=""/>
      <w:lvlJc w:val="left"/>
    </w:lvl>
    <w:lvl w:ilvl="5" w:tplc="B48871B0">
      <w:numFmt w:val="decimal"/>
      <w:lvlText w:val=""/>
      <w:lvlJc w:val="left"/>
    </w:lvl>
    <w:lvl w:ilvl="6" w:tplc="C9AECA00">
      <w:numFmt w:val="decimal"/>
      <w:lvlText w:val=""/>
      <w:lvlJc w:val="left"/>
    </w:lvl>
    <w:lvl w:ilvl="7" w:tplc="192E5644">
      <w:numFmt w:val="decimal"/>
      <w:lvlText w:val=""/>
      <w:lvlJc w:val="left"/>
    </w:lvl>
    <w:lvl w:ilvl="8" w:tplc="030664B6">
      <w:numFmt w:val="decimal"/>
      <w:lvlText w:val=""/>
      <w:lvlJc w:val="left"/>
    </w:lvl>
  </w:abstractNum>
  <w:abstractNum w:abstractNumId="585" w15:restartNumberingAfterBreak="0">
    <w:nsid w:val="2B9D64D1"/>
    <w:multiLevelType w:val="hybridMultilevel"/>
    <w:tmpl w:val="EB84E7D2"/>
    <w:lvl w:ilvl="0" w:tplc="1D2698D2">
      <w:start w:val="1"/>
      <w:numFmt w:val="bullet"/>
      <w:lvlText w:val=""/>
      <w:lvlJc w:val="left"/>
      <w:pPr>
        <w:ind w:left="720" w:hanging="180"/>
      </w:pPr>
      <w:rPr>
        <w:rFonts w:ascii="Symbol" w:hAnsi="Symbol" w:hint="default"/>
      </w:rPr>
    </w:lvl>
    <w:lvl w:ilvl="1" w:tplc="4A7040D8">
      <w:numFmt w:val="decimal"/>
      <w:lvlText w:val=""/>
      <w:lvlJc w:val="left"/>
    </w:lvl>
    <w:lvl w:ilvl="2" w:tplc="1FD468E2">
      <w:numFmt w:val="decimal"/>
      <w:lvlText w:val=""/>
      <w:lvlJc w:val="left"/>
    </w:lvl>
    <w:lvl w:ilvl="3" w:tplc="038E9E9A">
      <w:numFmt w:val="decimal"/>
      <w:lvlText w:val=""/>
      <w:lvlJc w:val="left"/>
    </w:lvl>
    <w:lvl w:ilvl="4" w:tplc="E3EEC38C">
      <w:numFmt w:val="decimal"/>
      <w:lvlText w:val=""/>
      <w:lvlJc w:val="left"/>
    </w:lvl>
    <w:lvl w:ilvl="5" w:tplc="46605D70">
      <w:numFmt w:val="decimal"/>
      <w:lvlText w:val=""/>
      <w:lvlJc w:val="left"/>
    </w:lvl>
    <w:lvl w:ilvl="6" w:tplc="232CD8DA">
      <w:numFmt w:val="decimal"/>
      <w:lvlText w:val=""/>
      <w:lvlJc w:val="left"/>
    </w:lvl>
    <w:lvl w:ilvl="7" w:tplc="A6DE451C">
      <w:numFmt w:val="decimal"/>
      <w:lvlText w:val=""/>
      <w:lvlJc w:val="left"/>
    </w:lvl>
    <w:lvl w:ilvl="8" w:tplc="9894E9BE">
      <w:numFmt w:val="decimal"/>
      <w:lvlText w:val=""/>
      <w:lvlJc w:val="left"/>
    </w:lvl>
  </w:abstractNum>
  <w:abstractNum w:abstractNumId="586" w15:restartNumberingAfterBreak="0">
    <w:nsid w:val="2BB046E7"/>
    <w:multiLevelType w:val="hybridMultilevel"/>
    <w:tmpl w:val="A5BC97F4"/>
    <w:lvl w:ilvl="0" w:tplc="D83AC13A">
      <w:start w:val="1"/>
      <w:numFmt w:val="bullet"/>
      <w:lvlText w:val=""/>
      <w:lvlJc w:val="left"/>
      <w:pPr>
        <w:ind w:left="720" w:hanging="180"/>
      </w:pPr>
      <w:rPr>
        <w:rFonts w:ascii="Symbol" w:hAnsi="Symbol" w:hint="default"/>
      </w:rPr>
    </w:lvl>
    <w:lvl w:ilvl="1" w:tplc="72B06C30">
      <w:numFmt w:val="decimal"/>
      <w:lvlText w:val=""/>
      <w:lvlJc w:val="left"/>
    </w:lvl>
    <w:lvl w:ilvl="2" w:tplc="F044FB30">
      <w:numFmt w:val="decimal"/>
      <w:lvlText w:val=""/>
      <w:lvlJc w:val="left"/>
    </w:lvl>
    <w:lvl w:ilvl="3" w:tplc="24D2D390">
      <w:numFmt w:val="decimal"/>
      <w:lvlText w:val=""/>
      <w:lvlJc w:val="left"/>
    </w:lvl>
    <w:lvl w:ilvl="4" w:tplc="DCD2E3F4">
      <w:numFmt w:val="decimal"/>
      <w:lvlText w:val=""/>
      <w:lvlJc w:val="left"/>
    </w:lvl>
    <w:lvl w:ilvl="5" w:tplc="92148B9E">
      <w:numFmt w:val="decimal"/>
      <w:lvlText w:val=""/>
      <w:lvlJc w:val="left"/>
    </w:lvl>
    <w:lvl w:ilvl="6" w:tplc="D7BE3E0C">
      <w:numFmt w:val="decimal"/>
      <w:lvlText w:val=""/>
      <w:lvlJc w:val="left"/>
    </w:lvl>
    <w:lvl w:ilvl="7" w:tplc="CB14316E">
      <w:numFmt w:val="decimal"/>
      <w:lvlText w:val=""/>
      <w:lvlJc w:val="left"/>
    </w:lvl>
    <w:lvl w:ilvl="8" w:tplc="D95C3A56">
      <w:numFmt w:val="decimal"/>
      <w:lvlText w:val=""/>
      <w:lvlJc w:val="left"/>
    </w:lvl>
  </w:abstractNum>
  <w:abstractNum w:abstractNumId="587" w15:restartNumberingAfterBreak="0">
    <w:nsid w:val="2BC14F02"/>
    <w:multiLevelType w:val="hybridMultilevel"/>
    <w:tmpl w:val="98DCCC92"/>
    <w:lvl w:ilvl="0" w:tplc="70DC08FA">
      <w:start w:val="1"/>
      <w:numFmt w:val="bullet"/>
      <w:lvlText w:val=""/>
      <w:lvlJc w:val="left"/>
      <w:pPr>
        <w:ind w:left="720" w:hanging="180"/>
      </w:pPr>
      <w:rPr>
        <w:rFonts w:ascii="Symbol" w:hAnsi="Symbol" w:hint="default"/>
      </w:rPr>
    </w:lvl>
    <w:lvl w:ilvl="1" w:tplc="C770B958">
      <w:numFmt w:val="decimal"/>
      <w:lvlText w:val=""/>
      <w:lvlJc w:val="left"/>
    </w:lvl>
    <w:lvl w:ilvl="2" w:tplc="E3609628">
      <w:numFmt w:val="decimal"/>
      <w:lvlText w:val=""/>
      <w:lvlJc w:val="left"/>
    </w:lvl>
    <w:lvl w:ilvl="3" w:tplc="1CB6BBF4">
      <w:numFmt w:val="decimal"/>
      <w:lvlText w:val=""/>
      <w:lvlJc w:val="left"/>
    </w:lvl>
    <w:lvl w:ilvl="4" w:tplc="0A781DEE">
      <w:numFmt w:val="decimal"/>
      <w:lvlText w:val=""/>
      <w:lvlJc w:val="left"/>
    </w:lvl>
    <w:lvl w:ilvl="5" w:tplc="A4EA1446">
      <w:numFmt w:val="decimal"/>
      <w:lvlText w:val=""/>
      <w:lvlJc w:val="left"/>
    </w:lvl>
    <w:lvl w:ilvl="6" w:tplc="3FAE5336">
      <w:numFmt w:val="decimal"/>
      <w:lvlText w:val=""/>
      <w:lvlJc w:val="left"/>
    </w:lvl>
    <w:lvl w:ilvl="7" w:tplc="BB5EBB32">
      <w:numFmt w:val="decimal"/>
      <w:lvlText w:val=""/>
      <w:lvlJc w:val="left"/>
    </w:lvl>
    <w:lvl w:ilvl="8" w:tplc="F4806B30">
      <w:numFmt w:val="decimal"/>
      <w:lvlText w:val=""/>
      <w:lvlJc w:val="left"/>
    </w:lvl>
  </w:abstractNum>
  <w:abstractNum w:abstractNumId="588" w15:restartNumberingAfterBreak="0">
    <w:nsid w:val="2BC84898"/>
    <w:multiLevelType w:val="hybridMultilevel"/>
    <w:tmpl w:val="86862C54"/>
    <w:lvl w:ilvl="0" w:tplc="FCE6A87A">
      <w:start w:val="1"/>
      <w:numFmt w:val="bullet"/>
      <w:lvlText w:val=""/>
      <w:lvlJc w:val="left"/>
      <w:pPr>
        <w:ind w:left="720" w:hanging="180"/>
      </w:pPr>
      <w:rPr>
        <w:rFonts w:ascii="Symbol" w:hAnsi="Symbol" w:hint="default"/>
      </w:rPr>
    </w:lvl>
    <w:lvl w:ilvl="1" w:tplc="D3D66220">
      <w:numFmt w:val="decimal"/>
      <w:lvlText w:val=""/>
      <w:lvlJc w:val="left"/>
    </w:lvl>
    <w:lvl w:ilvl="2" w:tplc="F28EDA94">
      <w:numFmt w:val="decimal"/>
      <w:lvlText w:val=""/>
      <w:lvlJc w:val="left"/>
    </w:lvl>
    <w:lvl w:ilvl="3" w:tplc="E7AA1A40">
      <w:numFmt w:val="decimal"/>
      <w:lvlText w:val=""/>
      <w:lvlJc w:val="left"/>
    </w:lvl>
    <w:lvl w:ilvl="4" w:tplc="91EEC168">
      <w:numFmt w:val="decimal"/>
      <w:lvlText w:val=""/>
      <w:lvlJc w:val="left"/>
    </w:lvl>
    <w:lvl w:ilvl="5" w:tplc="431ABF84">
      <w:numFmt w:val="decimal"/>
      <w:lvlText w:val=""/>
      <w:lvlJc w:val="left"/>
    </w:lvl>
    <w:lvl w:ilvl="6" w:tplc="C7A6E1D4">
      <w:numFmt w:val="decimal"/>
      <w:lvlText w:val=""/>
      <w:lvlJc w:val="left"/>
    </w:lvl>
    <w:lvl w:ilvl="7" w:tplc="0142AB5A">
      <w:numFmt w:val="decimal"/>
      <w:lvlText w:val=""/>
      <w:lvlJc w:val="left"/>
    </w:lvl>
    <w:lvl w:ilvl="8" w:tplc="3EA824EC">
      <w:numFmt w:val="decimal"/>
      <w:lvlText w:val=""/>
      <w:lvlJc w:val="left"/>
    </w:lvl>
  </w:abstractNum>
  <w:abstractNum w:abstractNumId="589" w15:restartNumberingAfterBreak="0">
    <w:nsid w:val="2BCC7D06"/>
    <w:multiLevelType w:val="hybridMultilevel"/>
    <w:tmpl w:val="40569974"/>
    <w:lvl w:ilvl="0" w:tplc="7090E080">
      <w:start w:val="1"/>
      <w:numFmt w:val="bullet"/>
      <w:lvlText w:val=""/>
      <w:lvlJc w:val="left"/>
      <w:pPr>
        <w:ind w:left="720" w:hanging="180"/>
      </w:pPr>
      <w:rPr>
        <w:rFonts w:ascii="Symbol" w:hAnsi="Symbol" w:hint="default"/>
      </w:rPr>
    </w:lvl>
    <w:lvl w:ilvl="1" w:tplc="4DE6C8AC">
      <w:numFmt w:val="decimal"/>
      <w:lvlText w:val=""/>
      <w:lvlJc w:val="left"/>
    </w:lvl>
    <w:lvl w:ilvl="2" w:tplc="0ABC1DD2">
      <w:numFmt w:val="decimal"/>
      <w:lvlText w:val=""/>
      <w:lvlJc w:val="left"/>
    </w:lvl>
    <w:lvl w:ilvl="3" w:tplc="4CA82528">
      <w:numFmt w:val="decimal"/>
      <w:lvlText w:val=""/>
      <w:lvlJc w:val="left"/>
    </w:lvl>
    <w:lvl w:ilvl="4" w:tplc="F04ACAC8">
      <w:numFmt w:val="decimal"/>
      <w:lvlText w:val=""/>
      <w:lvlJc w:val="left"/>
    </w:lvl>
    <w:lvl w:ilvl="5" w:tplc="FA5AD388">
      <w:numFmt w:val="decimal"/>
      <w:lvlText w:val=""/>
      <w:lvlJc w:val="left"/>
    </w:lvl>
    <w:lvl w:ilvl="6" w:tplc="8E3612D4">
      <w:numFmt w:val="decimal"/>
      <w:lvlText w:val=""/>
      <w:lvlJc w:val="left"/>
    </w:lvl>
    <w:lvl w:ilvl="7" w:tplc="A78C38E8">
      <w:numFmt w:val="decimal"/>
      <w:lvlText w:val=""/>
      <w:lvlJc w:val="left"/>
    </w:lvl>
    <w:lvl w:ilvl="8" w:tplc="6A360BFA">
      <w:numFmt w:val="decimal"/>
      <w:lvlText w:val=""/>
      <w:lvlJc w:val="left"/>
    </w:lvl>
  </w:abstractNum>
  <w:abstractNum w:abstractNumId="590" w15:restartNumberingAfterBreak="0">
    <w:nsid w:val="2BE35286"/>
    <w:multiLevelType w:val="hybridMultilevel"/>
    <w:tmpl w:val="562C2680"/>
    <w:lvl w:ilvl="0" w:tplc="4164178A">
      <w:start w:val="1"/>
      <w:numFmt w:val="bullet"/>
      <w:lvlText w:val=""/>
      <w:lvlJc w:val="left"/>
      <w:pPr>
        <w:ind w:left="720" w:hanging="180"/>
      </w:pPr>
      <w:rPr>
        <w:rFonts w:ascii="Symbol" w:hAnsi="Symbol" w:hint="default"/>
      </w:rPr>
    </w:lvl>
    <w:lvl w:ilvl="1" w:tplc="69EE3C76">
      <w:numFmt w:val="decimal"/>
      <w:lvlText w:val=""/>
      <w:lvlJc w:val="left"/>
    </w:lvl>
    <w:lvl w:ilvl="2" w:tplc="D29AE39A">
      <w:numFmt w:val="decimal"/>
      <w:lvlText w:val=""/>
      <w:lvlJc w:val="left"/>
    </w:lvl>
    <w:lvl w:ilvl="3" w:tplc="4A3C7336">
      <w:numFmt w:val="decimal"/>
      <w:lvlText w:val=""/>
      <w:lvlJc w:val="left"/>
    </w:lvl>
    <w:lvl w:ilvl="4" w:tplc="6DD2ACAE">
      <w:numFmt w:val="decimal"/>
      <w:lvlText w:val=""/>
      <w:lvlJc w:val="left"/>
    </w:lvl>
    <w:lvl w:ilvl="5" w:tplc="10B40A0C">
      <w:numFmt w:val="decimal"/>
      <w:lvlText w:val=""/>
      <w:lvlJc w:val="left"/>
    </w:lvl>
    <w:lvl w:ilvl="6" w:tplc="E9285FB6">
      <w:numFmt w:val="decimal"/>
      <w:lvlText w:val=""/>
      <w:lvlJc w:val="left"/>
    </w:lvl>
    <w:lvl w:ilvl="7" w:tplc="4F607482">
      <w:numFmt w:val="decimal"/>
      <w:lvlText w:val=""/>
      <w:lvlJc w:val="left"/>
    </w:lvl>
    <w:lvl w:ilvl="8" w:tplc="0E089212">
      <w:numFmt w:val="decimal"/>
      <w:lvlText w:val=""/>
      <w:lvlJc w:val="left"/>
    </w:lvl>
  </w:abstractNum>
  <w:abstractNum w:abstractNumId="591" w15:restartNumberingAfterBreak="0">
    <w:nsid w:val="2BE82805"/>
    <w:multiLevelType w:val="hybridMultilevel"/>
    <w:tmpl w:val="F31AE0C2"/>
    <w:lvl w:ilvl="0" w:tplc="EF10CADA">
      <w:start w:val="1"/>
      <w:numFmt w:val="bullet"/>
      <w:lvlText w:val=""/>
      <w:lvlJc w:val="left"/>
      <w:pPr>
        <w:ind w:left="720" w:hanging="180"/>
      </w:pPr>
      <w:rPr>
        <w:rFonts w:ascii="Symbol" w:hAnsi="Symbol" w:hint="default"/>
      </w:rPr>
    </w:lvl>
    <w:lvl w:ilvl="1" w:tplc="98D826C6">
      <w:numFmt w:val="decimal"/>
      <w:lvlText w:val=""/>
      <w:lvlJc w:val="left"/>
    </w:lvl>
    <w:lvl w:ilvl="2" w:tplc="D1649DA8">
      <w:numFmt w:val="decimal"/>
      <w:lvlText w:val=""/>
      <w:lvlJc w:val="left"/>
    </w:lvl>
    <w:lvl w:ilvl="3" w:tplc="BAA24D86">
      <w:numFmt w:val="decimal"/>
      <w:lvlText w:val=""/>
      <w:lvlJc w:val="left"/>
    </w:lvl>
    <w:lvl w:ilvl="4" w:tplc="62CCB244">
      <w:numFmt w:val="decimal"/>
      <w:lvlText w:val=""/>
      <w:lvlJc w:val="left"/>
    </w:lvl>
    <w:lvl w:ilvl="5" w:tplc="792C2BE2">
      <w:numFmt w:val="decimal"/>
      <w:lvlText w:val=""/>
      <w:lvlJc w:val="left"/>
    </w:lvl>
    <w:lvl w:ilvl="6" w:tplc="C15096AE">
      <w:numFmt w:val="decimal"/>
      <w:lvlText w:val=""/>
      <w:lvlJc w:val="left"/>
    </w:lvl>
    <w:lvl w:ilvl="7" w:tplc="1DEC52FA">
      <w:numFmt w:val="decimal"/>
      <w:lvlText w:val=""/>
      <w:lvlJc w:val="left"/>
    </w:lvl>
    <w:lvl w:ilvl="8" w:tplc="C476803A">
      <w:numFmt w:val="decimal"/>
      <w:lvlText w:val=""/>
      <w:lvlJc w:val="left"/>
    </w:lvl>
  </w:abstractNum>
  <w:abstractNum w:abstractNumId="592" w15:restartNumberingAfterBreak="0">
    <w:nsid w:val="2BF341A3"/>
    <w:multiLevelType w:val="hybridMultilevel"/>
    <w:tmpl w:val="B06A6C92"/>
    <w:lvl w:ilvl="0" w:tplc="98E4D6F6">
      <w:start w:val="1"/>
      <w:numFmt w:val="bullet"/>
      <w:lvlText w:val=""/>
      <w:lvlJc w:val="left"/>
      <w:pPr>
        <w:ind w:left="720" w:hanging="180"/>
      </w:pPr>
      <w:rPr>
        <w:rFonts w:ascii="Symbol" w:hAnsi="Symbol" w:hint="default"/>
      </w:rPr>
    </w:lvl>
    <w:lvl w:ilvl="1" w:tplc="46EEAA0E">
      <w:numFmt w:val="decimal"/>
      <w:lvlText w:val=""/>
      <w:lvlJc w:val="left"/>
    </w:lvl>
    <w:lvl w:ilvl="2" w:tplc="5B3EE162">
      <w:numFmt w:val="decimal"/>
      <w:lvlText w:val=""/>
      <w:lvlJc w:val="left"/>
    </w:lvl>
    <w:lvl w:ilvl="3" w:tplc="EABCD3BE">
      <w:numFmt w:val="decimal"/>
      <w:lvlText w:val=""/>
      <w:lvlJc w:val="left"/>
    </w:lvl>
    <w:lvl w:ilvl="4" w:tplc="A732CAFA">
      <w:numFmt w:val="decimal"/>
      <w:lvlText w:val=""/>
      <w:lvlJc w:val="left"/>
    </w:lvl>
    <w:lvl w:ilvl="5" w:tplc="84C885A6">
      <w:numFmt w:val="decimal"/>
      <w:lvlText w:val=""/>
      <w:lvlJc w:val="left"/>
    </w:lvl>
    <w:lvl w:ilvl="6" w:tplc="A2B209E4">
      <w:numFmt w:val="decimal"/>
      <w:lvlText w:val=""/>
      <w:lvlJc w:val="left"/>
    </w:lvl>
    <w:lvl w:ilvl="7" w:tplc="E340AA94">
      <w:numFmt w:val="decimal"/>
      <w:lvlText w:val=""/>
      <w:lvlJc w:val="left"/>
    </w:lvl>
    <w:lvl w:ilvl="8" w:tplc="83EA159C">
      <w:numFmt w:val="decimal"/>
      <w:lvlText w:val=""/>
      <w:lvlJc w:val="left"/>
    </w:lvl>
  </w:abstractNum>
  <w:abstractNum w:abstractNumId="593" w15:restartNumberingAfterBreak="0">
    <w:nsid w:val="2C115379"/>
    <w:multiLevelType w:val="hybridMultilevel"/>
    <w:tmpl w:val="25721246"/>
    <w:lvl w:ilvl="0" w:tplc="8AAEA4FA">
      <w:start w:val="1"/>
      <w:numFmt w:val="bullet"/>
      <w:lvlText w:val=""/>
      <w:lvlJc w:val="left"/>
      <w:pPr>
        <w:ind w:left="720" w:hanging="180"/>
      </w:pPr>
      <w:rPr>
        <w:rFonts w:ascii="Symbol" w:hAnsi="Symbol" w:hint="default"/>
      </w:rPr>
    </w:lvl>
    <w:lvl w:ilvl="1" w:tplc="A9640F96">
      <w:numFmt w:val="decimal"/>
      <w:lvlText w:val=""/>
      <w:lvlJc w:val="left"/>
    </w:lvl>
    <w:lvl w:ilvl="2" w:tplc="68AC07C8">
      <w:numFmt w:val="decimal"/>
      <w:lvlText w:val=""/>
      <w:lvlJc w:val="left"/>
    </w:lvl>
    <w:lvl w:ilvl="3" w:tplc="E7D465E6">
      <w:numFmt w:val="decimal"/>
      <w:lvlText w:val=""/>
      <w:lvlJc w:val="left"/>
    </w:lvl>
    <w:lvl w:ilvl="4" w:tplc="AEBC0FE4">
      <w:numFmt w:val="decimal"/>
      <w:lvlText w:val=""/>
      <w:lvlJc w:val="left"/>
    </w:lvl>
    <w:lvl w:ilvl="5" w:tplc="F83231CE">
      <w:numFmt w:val="decimal"/>
      <w:lvlText w:val=""/>
      <w:lvlJc w:val="left"/>
    </w:lvl>
    <w:lvl w:ilvl="6" w:tplc="2F4CD206">
      <w:numFmt w:val="decimal"/>
      <w:lvlText w:val=""/>
      <w:lvlJc w:val="left"/>
    </w:lvl>
    <w:lvl w:ilvl="7" w:tplc="D6E21380">
      <w:numFmt w:val="decimal"/>
      <w:lvlText w:val=""/>
      <w:lvlJc w:val="left"/>
    </w:lvl>
    <w:lvl w:ilvl="8" w:tplc="7B6E8AB8">
      <w:numFmt w:val="decimal"/>
      <w:lvlText w:val=""/>
      <w:lvlJc w:val="left"/>
    </w:lvl>
  </w:abstractNum>
  <w:abstractNum w:abstractNumId="594" w15:restartNumberingAfterBreak="0">
    <w:nsid w:val="2C1974C3"/>
    <w:multiLevelType w:val="hybridMultilevel"/>
    <w:tmpl w:val="3B48BCBE"/>
    <w:lvl w:ilvl="0" w:tplc="75F81532">
      <w:start w:val="1"/>
      <w:numFmt w:val="bullet"/>
      <w:lvlText w:val=""/>
      <w:lvlJc w:val="left"/>
      <w:pPr>
        <w:ind w:left="720" w:hanging="180"/>
      </w:pPr>
      <w:rPr>
        <w:rFonts w:ascii="Symbol" w:hAnsi="Symbol" w:hint="default"/>
      </w:rPr>
    </w:lvl>
    <w:lvl w:ilvl="1" w:tplc="9028D632">
      <w:numFmt w:val="decimal"/>
      <w:lvlText w:val=""/>
      <w:lvlJc w:val="left"/>
    </w:lvl>
    <w:lvl w:ilvl="2" w:tplc="B37E9248">
      <w:numFmt w:val="decimal"/>
      <w:lvlText w:val=""/>
      <w:lvlJc w:val="left"/>
    </w:lvl>
    <w:lvl w:ilvl="3" w:tplc="5B541F9C">
      <w:numFmt w:val="decimal"/>
      <w:lvlText w:val=""/>
      <w:lvlJc w:val="left"/>
    </w:lvl>
    <w:lvl w:ilvl="4" w:tplc="045805A4">
      <w:numFmt w:val="decimal"/>
      <w:lvlText w:val=""/>
      <w:lvlJc w:val="left"/>
    </w:lvl>
    <w:lvl w:ilvl="5" w:tplc="C5943016">
      <w:numFmt w:val="decimal"/>
      <w:lvlText w:val=""/>
      <w:lvlJc w:val="left"/>
    </w:lvl>
    <w:lvl w:ilvl="6" w:tplc="1CB0FFD2">
      <w:numFmt w:val="decimal"/>
      <w:lvlText w:val=""/>
      <w:lvlJc w:val="left"/>
    </w:lvl>
    <w:lvl w:ilvl="7" w:tplc="B8B0BA3A">
      <w:numFmt w:val="decimal"/>
      <w:lvlText w:val=""/>
      <w:lvlJc w:val="left"/>
    </w:lvl>
    <w:lvl w:ilvl="8" w:tplc="B5B67E04">
      <w:numFmt w:val="decimal"/>
      <w:lvlText w:val=""/>
      <w:lvlJc w:val="left"/>
    </w:lvl>
  </w:abstractNum>
  <w:abstractNum w:abstractNumId="595" w15:restartNumberingAfterBreak="0">
    <w:nsid w:val="2C5044D5"/>
    <w:multiLevelType w:val="hybridMultilevel"/>
    <w:tmpl w:val="B964CDA8"/>
    <w:lvl w:ilvl="0" w:tplc="1FD0F67C">
      <w:start w:val="1"/>
      <w:numFmt w:val="bullet"/>
      <w:lvlText w:val=""/>
      <w:lvlJc w:val="left"/>
      <w:pPr>
        <w:ind w:left="720" w:hanging="180"/>
      </w:pPr>
      <w:rPr>
        <w:rFonts w:ascii="Symbol" w:hAnsi="Symbol" w:hint="default"/>
      </w:rPr>
    </w:lvl>
    <w:lvl w:ilvl="1" w:tplc="871A9B90">
      <w:numFmt w:val="decimal"/>
      <w:lvlText w:val=""/>
      <w:lvlJc w:val="left"/>
    </w:lvl>
    <w:lvl w:ilvl="2" w:tplc="4C2211E4">
      <w:numFmt w:val="decimal"/>
      <w:lvlText w:val=""/>
      <w:lvlJc w:val="left"/>
    </w:lvl>
    <w:lvl w:ilvl="3" w:tplc="9C6EBB0E">
      <w:numFmt w:val="decimal"/>
      <w:lvlText w:val=""/>
      <w:lvlJc w:val="left"/>
    </w:lvl>
    <w:lvl w:ilvl="4" w:tplc="AD505FD6">
      <w:numFmt w:val="decimal"/>
      <w:lvlText w:val=""/>
      <w:lvlJc w:val="left"/>
    </w:lvl>
    <w:lvl w:ilvl="5" w:tplc="2E70C518">
      <w:numFmt w:val="decimal"/>
      <w:lvlText w:val=""/>
      <w:lvlJc w:val="left"/>
    </w:lvl>
    <w:lvl w:ilvl="6" w:tplc="B6B60DC0">
      <w:numFmt w:val="decimal"/>
      <w:lvlText w:val=""/>
      <w:lvlJc w:val="left"/>
    </w:lvl>
    <w:lvl w:ilvl="7" w:tplc="BDFAAD48">
      <w:numFmt w:val="decimal"/>
      <w:lvlText w:val=""/>
      <w:lvlJc w:val="left"/>
    </w:lvl>
    <w:lvl w:ilvl="8" w:tplc="2A960238">
      <w:numFmt w:val="decimal"/>
      <w:lvlText w:val=""/>
      <w:lvlJc w:val="left"/>
    </w:lvl>
  </w:abstractNum>
  <w:abstractNum w:abstractNumId="596" w15:restartNumberingAfterBreak="0">
    <w:nsid w:val="2C630D73"/>
    <w:multiLevelType w:val="hybridMultilevel"/>
    <w:tmpl w:val="65E47902"/>
    <w:lvl w:ilvl="0" w:tplc="E8AEF46C">
      <w:start w:val="1"/>
      <w:numFmt w:val="bullet"/>
      <w:lvlText w:val=""/>
      <w:lvlJc w:val="left"/>
      <w:pPr>
        <w:ind w:left="720" w:hanging="180"/>
      </w:pPr>
      <w:rPr>
        <w:rFonts w:ascii="Symbol" w:hAnsi="Symbol" w:hint="default"/>
      </w:rPr>
    </w:lvl>
    <w:lvl w:ilvl="1" w:tplc="5682213C">
      <w:numFmt w:val="decimal"/>
      <w:lvlText w:val=""/>
      <w:lvlJc w:val="left"/>
    </w:lvl>
    <w:lvl w:ilvl="2" w:tplc="4C6A07E8">
      <w:numFmt w:val="decimal"/>
      <w:lvlText w:val=""/>
      <w:lvlJc w:val="left"/>
    </w:lvl>
    <w:lvl w:ilvl="3" w:tplc="918AF336">
      <w:numFmt w:val="decimal"/>
      <w:lvlText w:val=""/>
      <w:lvlJc w:val="left"/>
    </w:lvl>
    <w:lvl w:ilvl="4" w:tplc="255482DA">
      <w:numFmt w:val="decimal"/>
      <w:lvlText w:val=""/>
      <w:lvlJc w:val="left"/>
    </w:lvl>
    <w:lvl w:ilvl="5" w:tplc="5560A314">
      <w:numFmt w:val="decimal"/>
      <w:lvlText w:val=""/>
      <w:lvlJc w:val="left"/>
    </w:lvl>
    <w:lvl w:ilvl="6" w:tplc="CD54C994">
      <w:numFmt w:val="decimal"/>
      <w:lvlText w:val=""/>
      <w:lvlJc w:val="left"/>
    </w:lvl>
    <w:lvl w:ilvl="7" w:tplc="EA9E5172">
      <w:numFmt w:val="decimal"/>
      <w:lvlText w:val=""/>
      <w:lvlJc w:val="left"/>
    </w:lvl>
    <w:lvl w:ilvl="8" w:tplc="03A634C0">
      <w:numFmt w:val="decimal"/>
      <w:lvlText w:val=""/>
      <w:lvlJc w:val="left"/>
    </w:lvl>
  </w:abstractNum>
  <w:abstractNum w:abstractNumId="597" w15:restartNumberingAfterBreak="0">
    <w:nsid w:val="2C673787"/>
    <w:multiLevelType w:val="hybridMultilevel"/>
    <w:tmpl w:val="C5527468"/>
    <w:lvl w:ilvl="0" w:tplc="5EFC3D32">
      <w:start w:val="1"/>
      <w:numFmt w:val="bullet"/>
      <w:lvlText w:val=""/>
      <w:lvlJc w:val="left"/>
      <w:pPr>
        <w:ind w:left="720" w:hanging="180"/>
      </w:pPr>
      <w:rPr>
        <w:rFonts w:ascii="Symbol" w:hAnsi="Symbol" w:hint="default"/>
      </w:rPr>
    </w:lvl>
    <w:lvl w:ilvl="1" w:tplc="38D819B6">
      <w:numFmt w:val="decimal"/>
      <w:lvlText w:val=""/>
      <w:lvlJc w:val="left"/>
    </w:lvl>
    <w:lvl w:ilvl="2" w:tplc="D2D4853E">
      <w:numFmt w:val="decimal"/>
      <w:lvlText w:val=""/>
      <w:lvlJc w:val="left"/>
    </w:lvl>
    <w:lvl w:ilvl="3" w:tplc="3C00287C">
      <w:numFmt w:val="decimal"/>
      <w:lvlText w:val=""/>
      <w:lvlJc w:val="left"/>
    </w:lvl>
    <w:lvl w:ilvl="4" w:tplc="775ED2AA">
      <w:numFmt w:val="decimal"/>
      <w:lvlText w:val=""/>
      <w:lvlJc w:val="left"/>
    </w:lvl>
    <w:lvl w:ilvl="5" w:tplc="394EE0B0">
      <w:numFmt w:val="decimal"/>
      <w:lvlText w:val=""/>
      <w:lvlJc w:val="left"/>
    </w:lvl>
    <w:lvl w:ilvl="6" w:tplc="7278EF66">
      <w:numFmt w:val="decimal"/>
      <w:lvlText w:val=""/>
      <w:lvlJc w:val="left"/>
    </w:lvl>
    <w:lvl w:ilvl="7" w:tplc="E6107476">
      <w:numFmt w:val="decimal"/>
      <w:lvlText w:val=""/>
      <w:lvlJc w:val="left"/>
    </w:lvl>
    <w:lvl w:ilvl="8" w:tplc="5712C95C">
      <w:numFmt w:val="decimal"/>
      <w:lvlText w:val=""/>
      <w:lvlJc w:val="left"/>
    </w:lvl>
  </w:abstractNum>
  <w:abstractNum w:abstractNumId="598" w15:restartNumberingAfterBreak="0">
    <w:nsid w:val="2C6D0A48"/>
    <w:multiLevelType w:val="hybridMultilevel"/>
    <w:tmpl w:val="3B78C320"/>
    <w:lvl w:ilvl="0" w:tplc="1DA480CC">
      <w:start w:val="1"/>
      <w:numFmt w:val="bullet"/>
      <w:lvlText w:val=""/>
      <w:lvlJc w:val="left"/>
      <w:pPr>
        <w:ind w:left="720" w:hanging="180"/>
      </w:pPr>
      <w:rPr>
        <w:rFonts w:ascii="Symbol" w:hAnsi="Symbol" w:hint="default"/>
      </w:rPr>
    </w:lvl>
    <w:lvl w:ilvl="1" w:tplc="A3F09DC0">
      <w:numFmt w:val="decimal"/>
      <w:lvlText w:val=""/>
      <w:lvlJc w:val="left"/>
    </w:lvl>
    <w:lvl w:ilvl="2" w:tplc="41027174">
      <w:numFmt w:val="decimal"/>
      <w:lvlText w:val=""/>
      <w:lvlJc w:val="left"/>
    </w:lvl>
    <w:lvl w:ilvl="3" w:tplc="DDD4AED0">
      <w:numFmt w:val="decimal"/>
      <w:lvlText w:val=""/>
      <w:lvlJc w:val="left"/>
    </w:lvl>
    <w:lvl w:ilvl="4" w:tplc="CDA26790">
      <w:numFmt w:val="decimal"/>
      <w:lvlText w:val=""/>
      <w:lvlJc w:val="left"/>
    </w:lvl>
    <w:lvl w:ilvl="5" w:tplc="9F643CC4">
      <w:numFmt w:val="decimal"/>
      <w:lvlText w:val=""/>
      <w:lvlJc w:val="left"/>
    </w:lvl>
    <w:lvl w:ilvl="6" w:tplc="B81CB12E">
      <w:numFmt w:val="decimal"/>
      <w:lvlText w:val=""/>
      <w:lvlJc w:val="left"/>
    </w:lvl>
    <w:lvl w:ilvl="7" w:tplc="DDDE36A8">
      <w:numFmt w:val="decimal"/>
      <w:lvlText w:val=""/>
      <w:lvlJc w:val="left"/>
    </w:lvl>
    <w:lvl w:ilvl="8" w:tplc="154A1BA6">
      <w:numFmt w:val="decimal"/>
      <w:lvlText w:val=""/>
      <w:lvlJc w:val="left"/>
    </w:lvl>
  </w:abstractNum>
  <w:abstractNum w:abstractNumId="599" w15:restartNumberingAfterBreak="0">
    <w:nsid w:val="2C71331A"/>
    <w:multiLevelType w:val="hybridMultilevel"/>
    <w:tmpl w:val="2DAEC552"/>
    <w:lvl w:ilvl="0" w:tplc="966C3D66">
      <w:start w:val="1"/>
      <w:numFmt w:val="bullet"/>
      <w:lvlText w:val=""/>
      <w:lvlJc w:val="left"/>
      <w:pPr>
        <w:ind w:left="720" w:hanging="180"/>
      </w:pPr>
      <w:rPr>
        <w:rFonts w:ascii="Symbol" w:hAnsi="Symbol" w:hint="default"/>
      </w:rPr>
    </w:lvl>
    <w:lvl w:ilvl="1" w:tplc="BB52DAE0">
      <w:numFmt w:val="decimal"/>
      <w:lvlText w:val=""/>
      <w:lvlJc w:val="left"/>
    </w:lvl>
    <w:lvl w:ilvl="2" w:tplc="681C636E">
      <w:numFmt w:val="decimal"/>
      <w:lvlText w:val=""/>
      <w:lvlJc w:val="left"/>
    </w:lvl>
    <w:lvl w:ilvl="3" w:tplc="D0C0D118">
      <w:numFmt w:val="decimal"/>
      <w:lvlText w:val=""/>
      <w:lvlJc w:val="left"/>
    </w:lvl>
    <w:lvl w:ilvl="4" w:tplc="386628C6">
      <w:numFmt w:val="decimal"/>
      <w:lvlText w:val=""/>
      <w:lvlJc w:val="left"/>
    </w:lvl>
    <w:lvl w:ilvl="5" w:tplc="8B0E12FE">
      <w:numFmt w:val="decimal"/>
      <w:lvlText w:val=""/>
      <w:lvlJc w:val="left"/>
    </w:lvl>
    <w:lvl w:ilvl="6" w:tplc="EFA89B44">
      <w:numFmt w:val="decimal"/>
      <w:lvlText w:val=""/>
      <w:lvlJc w:val="left"/>
    </w:lvl>
    <w:lvl w:ilvl="7" w:tplc="1BA6FD64">
      <w:numFmt w:val="decimal"/>
      <w:lvlText w:val=""/>
      <w:lvlJc w:val="left"/>
    </w:lvl>
    <w:lvl w:ilvl="8" w:tplc="8E5E498E">
      <w:numFmt w:val="decimal"/>
      <w:lvlText w:val=""/>
      <w:lvlJc w:val="left"/>
    </w:lvl>
  </w:abstractNum>
  <w:abstractNum w:abstractNumId="600" w15:restartNumberingAfterBreak="0">
    <w:nsid w:val="2CD34442"/>
    <w:multiLevelType w:val="hybridMultilevel"/>
    <w:tmpl w:val="BD0AB2EC"/>
    <w:lvl w:ilvl="0" w:tplc="B9822044">
      <w:start w:val="1"/>
      <w:numFmt w:val="bullet"/>
      <w:lvlText w:val=""/>
      <w:lvlJc w:val="left"/>
      <w:pPr>
        <w:ind w:left="720" w:hanging="180"/>
      </w:pPr>
      <w:rPr>
        <w:rFonts w:ascii="Symbol" w:hAnsi="Symbol" w:hint="default"/>
      </w:rPr>
    </w:lvl>
    <w:lvl w:ilvl="1" w:tplc="3ADEB010">
      <w:numFmt w:val="decimal"/>
      <w:lvlText w:val=""/>
      <w:lvlJc w:val="left"/>
    </w:lvl>
    <w:lvl w:ilvl="2" w:tplc="F8208768">
      <w:numFmt w:val="decimal"/>
      <w:lvlText w:val=""/>
      <w:lvlJc w:val="left"/>
    </w:lvl>
    <w:lvl w:ilvl="3" w:tplc="1124F2B2">
      <w:numFmt w:val="decimal"/>
      <w:lvlText w:val=""/>
      <w:lvlJc w:val="left"/>
    </w:lvl>
    <w:lvl w:ilvl="4" w:tplc="5F3C097A">
      <w:numFmt w:val="decimal"/>
      <w:lvlText w:val=""/>
      <w:lvlJc w:val="left"/>
    </w:lvl>
    <w:lvl w:ilvl="5" w:tplc="ED403EAE">
      <w:numFmt w:val="decimal"/>
      <w:lvlText w:val=""/>
      <w:lvlJc w:val="left"/>
    </w:lvl>
    <w:lvl w:ilvl="6" w:tplc="F7589C8A">
      <w:numFmt w:val="decimal"/>
      <w:lvlText w:val=""/>
      <w:lvlJc w:val="left"/>
    </w:lvl>
    <w:lvl w:ilvl="7" w:tplc="F6AA9844">
      <w:numFmt w:val="decimal"/>
      <w:lvlText w:val=""/>
      <w:lvlJc w:val="left"/>
    </w:lvl>
    <w:lvl w:ilvl="8" w:tplc="E9924806">
      <w:numFmt w:val="decimal"/>
      <w:lvlText w:val=""/>
      <w:lvlJc w:val="left"/>
    </w:lvl>
  </w:abstractNum>
  <w:abstractNum w:abstractNumId="601" w15:restartNumberingAfterBreak="0">
    <w:nsid w:val="2CD364C2"/>
    <w:multiLevelType w:val="hybridMultilevel"/>
    <w:tmpl w:val="604A573E"/>
    <w:lvl w:ilvl="0" w:tplc="72A0DD1E">
      <w:start w:val="1"/>
      <w:numFmt w:val="bullet"/>
      <w:lvlText w:val=""/>
      <w:lvlJc w:val="left"/>
      <w:pPr>
        <w:ind w:left="720" w:hanging="180"/>
      </w:pPr>
      <w:rPr>
        <w:rFonts w:ascii="Symbol" w:hAnsi="Symbol" w:hint="default"/>
      </w:rPr>
    </w:lvl>
    <w:lvl w:ilvl="1" w:tplc="7E70F4DC">
      <w:numFmt w:val="decimal"/>
      <w:lvlText w:val=""/>
      <w:lvlJc w:val="left"/>
    </w:lvl>
    <w:lvl w:ilvl="2" w:tplc="2BAE389E">
      <w:numFmt w:val="decimal"/>
      <w:lvlText w:val=""/>
      <w:lvlJc w:val="left"/>
    </w:lvl>
    <w:lvl w:ilvl="3" w:tplc="5AEEB13E">
      <w:numFmt w:val="decimal"/>
      <w:lvlText w:val=""/>
      <w:lvlJc w:val="left"/>
    </w:lvl>
    <w:lvl w:ilvl="4" w:tplc="1040E0E4">
      <w:numFmt w:val="decimal"/>
      <w:lvlText w:val=""/>
      <w:lvlJc w:val="left"/>
    </w:lvl>
    <w:lvl w:ilvl="5" w:tplc="1B7CDB10">
      <w:numFmt w:val="decimal"/>
      <w:lvlText w:val=""/>
      <w:lvlJc w:val="left"/>
    </w:lvl>
    <w:lvl w:ilvl="6" w:tplc="8C10CEC6">
      <w:numFmt w:val="decimal"/>
      <w:lvlText w:val=""/>
      <w:lvlJc w:val="left"/>
    </w:lvl>
    <w:lvl w:ilvl="7" w:tplc="2D9C3120">
      <w:numFmt w:val="decimal"/>
      <w:lvlText w:val=""/>
      <w:lvlJc w:val="left"/>
    </w:lvl>
    <w:lvl w:ilvl="8" w:tplc="1E608834">
      <w:numFmt w:val="decimal"/>
      <w:lvlText w:val=""/>
      <w:lvlJc w:val="left"/>
    </w:lvl>
  </w:abstractNum>
  <w:abstractNum w:abstractNumId="602" w15:restartNumberingAfterBreak="0">
    <w:nsid w:val="2CDE0DBA"/>
    <w:multiLevelType w:val="hybridMultilevel"/>
    <w:tmpl w:val="B2388F8E"/>
    <w:lvl w:ilvl="0" w:tplc="E74AC5F8">
      <w:start w:val="1"/>
      <w:numFmt w:val="bullet"/>
      <w:lvlText w:val=""/>
      <w:lvlJc w:val="left"/>
      <w:pPr>
        <w:ind w:left="720" w:hanging="180"/>
      </w:pPr>
      <w:rPr>
        <w:rFonts w:ascii="Symbol" w:hAnsi="Symbol" w:hint="default"/>
      </w:rPr>
    </w:lvl>
    <w:lvl w:ilvl="1" w:tplc="312CB2D8">
      <w:numFmt w:val="decimal"/>
      <w:lvlText w:val=""/>
      <w:lvlJc w:val="left"/>
    </w:lvl>
    <w:lvl w:ilvl="2" w:tplc="AA2C082E">
      <w:numFmt w:val="decimal"/>
      <w:lvlText w:val=""/>
      <w:lvlJc w:val="left"/>
    </w:lvl>
    <w:lvl w:ilvl="3" w:tplc="51A806EC">
      <w:numFmt w:val="decimal"/>
      <w:lvlText w:val=""/>
      <w:lvlJc w:val="left"/>
    </w:lvl>
    <w:lvl w:ilvl="4" w:tplc="F2961FC6">
      <w:numFmt w:val="decimal"/>
      <w:lvlText w:val=""/>
      <w:lvlJc w:val="left"/>
    </w:lvl>
    <w:lvl w:ilvl="5" w:tplc="310283B4">
      <w:numFmt w:val="decimal"/>
      <w:lvlText w:val=""/>
      <w:lvlJc w:val="left"/>
    </w:lvl>
    <w:lvl w:ilvl="6" w:tplc="12D4A4B2">
      <w:numFmt w:val="decimal"/>
      <w:lvlText w:val=""/>
      <w:lvlJc w:val="left"/>
    </w:lvl>
    <w:lvl w:ilvl="7" w:tplc="E62A831A">
      <w:numFmt w:val="decimal"/>
      <w:lvlText w:val=""/>
      <w:lvlJc w:val="left"/>
    </w:lvl>
    <w:lvl w:ilvl="8" w:tplc="027A774E">
      <w:numFmt w:val="decimal"/>
      <w:lvlText w:val=""/>
      <w:lvlJc w:val="left"/>
    </w:lvl>
  </w:abstractNum>
  <w:abstractNum w:abstractNumId="603" w15:restartNumberingAfterBreak="0">
    <w:nsid w:val="2CEC1C74"/>
    <w:multiLevelType w:val="hybridMultilevel"/>
    <w:tmpl w:val="9C54CC62"/>
    <w:lvl w:ilvl="0" w:tplc="4942FF74">
      <w:start w:val="1"/>
      <w:numFmt w:val="bullet"/>
      <w:lvlText w:val=""/>
      <w:lvlJc w:val="left"/>
      <w:pPr>
        <w:ind w:left="720" w:hanging="180"/>
      </w:pPr>
      <w:rPr>
        <w:rFonts w:ascii="Symbol" w:hAnsi="Symbol" w:hint="default"/>
      </w:rPr>
    </w:lvl>
    <w:lvl w:ilvl="1" w:tplc="B26EB676">
      <w:numFmt w:val="decimal"/>
      <w:lvlText w:val=""/>
      <w:lvlJc w:val="left"/>
    </w:lvl>
    <w:lvl w:ilvl="2" w:tplc="5322C75A">
      <w:numFmt w:val="decimal"/>
      <w:lvlText w:val=""/>
      <w:lvlJc w:val="left"/>
    </w:lvl>
    <w:lvl w:ilvl="3" w:tplc="80CA263A">
      <w:numFmt w:val="decimal"/>
      <w:lvlText w:val=""/>
      <w:lvlJc w:val="left"/>
    </w:lvl>
    <w:lvl w:ilvl="4" w:tplc="02E09064">
      <w:numFmt w:val="decimal"/>
      <w:lvlText w:val=""/>
      <w:lvlJc w:val="left"/>
    </w:lvl>
    <w:lvl w:ilvl="5" w:tplc="EE0CD9A4">
      <w:numFmt w:val="decimal"/>
      <w:lvlText w:val=""/>
      <w:lvlJc w:val="left"/>
    </w:lvl>
    <w:lvl w:ilvl="6" w:tplc="1298D220">
      <w:numFmt w:val="decimal"/>
      <w:lvlText w:val=""/>
      <w:lvlJc w:val="left"/>
    </w:lvl>
    <w:lvl w:ilvl="7" w:tplc="8C004C8A">
      <w:numFmt w:val="decimal"/>
      <w:lvlText w:val=""/>
      <w:lvlJc w:val="left"/>
    </w:lvl>
    <w:lvl w:ilvl="8" w:tplc="D9341C4C">
      <w:numFmt w:val="decimal"/>
      <w:lvlText w:val=""/>
      <w:lvlJc w:val="left"/>
    </w:lvl>
  </w:abstractNum>
  <w:abstractNum w:abstractNumId="604" w15:restartNumberingAfterBreak="0">
    <w:nsid w:val="2CEF19FC"/>
    <w:multiLevelType w:val="hybridMultilevel"/>
    <w:tmpl w:val="1F184E3A"/>
    <w:lvl w:ilvl="0" w:tplc="80DE432E">
      <w:start w:val="1"/>
      <w:numFmt w:val="bullet"/>
      <w:lvlText w:val=""/>
      <w:lvlJc w:val="left"/>
      <w:pPr>
        <w:ind w:left="720" w:hanging="180"/>
      </w:pPr>
      <w:rPr>
        <w:rFonts w:ascii="Symbol" w:hAnsi="Symbol" w:hint="default"/>
      </w:rPr>
    </w:lvl>
    <w:lvl w:ilvl="1" w:tplc="C6E49B5C">
      <w:numFmt w:val="decimal"/>
      <w:lvlText w:val=""/>
      <w:lvlJc w:val="left"/>
    </w:lvl>
    <w:lvl w:ilvl="2" w:tplc="BC2ED8A4">
      <w:numFmt w:val="decimal"/>
      <w:lvlText w:val=""/>
      <w:lvlJc w:val="left"/>
    </w:lvl>
    <w:lvl w:ilvl="3" w:tplc="A9C6953C">
      <w:numFmt w:val="decimal"/>
      <w:lvlText w:val=""/>
      <w:lvlJc w:val="left"/>
    </w:lvl>
    <w:lvl w:ilvl="4" w:tplc="939E965A">
      <w:numFmt w:val="decimal"/>
      <w:lvlText w:val=""/>
      <w:lvlJc w:val="left"/>
    </w:lvl>
    <w:lvl w:ilvl="5" w:tplc="9000FBAC">
      <w:numFmt w:val="decimal"/>
      <w:lvlText w:val=""/>
      <w:lvlJc w:val="left"/>
    </w:lvl>
    <w:lvl w:ilvl="6" w:tplc="943A0B7A">
      <w:numFmt w:val="decimal"/>
      <w:lvlText w:val=""/>
      <w:lvlJc w:val="left"/>
    </w:lvl>
    <w:lvl w:ilvl="7" w:tplc="AABC843A">
      <w:numFmt w:val="decimal"/>
      <w:lvlText w:val=""/>
      <w:lvlJc w:val="left"/>
    </w:lvl>
    <w:lvl w:ilvl="8" w:tplc="3F9CC9EE">
      <w:numFmt w:val="decimal"/>
      <w:lvlText w:val=""/>
      <w:lvlJc w:val="left"/>
    </w:lvl>
  </w:abstractNum>
  <w:abstractNum w:abstractNumId="605" w15:restartNumberingAfterBreak="0">
    <w:nsid w:val="2D0B2A62"/>
    <w:multiLevelType w:val="hybridMultilevel"/>
    <w:tmpl w:val="38E04C5E"/>
    <w:lvl w:ilvl="0" w:tplc="11F08D90">
      <w:start w:val="1"/>
      <w:numFmt w:val="bullet"/>
      <w:lvlText w:val=""/>
      <w:lvlJc w:val="left"/>
      <w:pPr>
        <w:ind w:left="720" w:hanging="180"/>
      </w:pPr>
      <w:rPr>
        <w:rFonts w:ascii="Symbol" w:hAnsi="Symbol" w:hint="default"/>
      </w:rPr>
    </w:lvl>
    <w:lvl w:ilvl="1" w:tplc="756658AE">
      <w:numFmt w:val="decimal"/>
      <w:lvlText w:val=""/>
      <w:lvlJc w:val="left"/>
    </w:lvl>
    <w:lvl w:ilvl="2" w:tplc="6A84D136">
      <w:numFmt w:val="decimal"/>
      <w:lvlText w:val=""/>
      <w:lvlJc w:val="left"/>
    </w:lvl>
    <w:lvl w:ilvl="3" w:tplc="B85C4C4A">
      <w:numFmt w:val="decimal"/>
      <w:lvlText w:val=""/>
      <w:lvlJc w:val="left"/>
    </w:lvl>
    <w:lvl w:ilvl="4" w:tplc="37F62084">
      <w:numFmt w:val="decimal"/>
      <w:lvlText w:val=""/>
      <w:lvlJc w:val="left"/>
    </w:lvl>
    <w:lvl w:ilvl="5" w:tplc="BA746798">
      <w:numFmt w:val="decimal"/>
      <w:lvlText w:val=""/>
      <w:lvlJc w:val="left"/>
    </w:lvl>
    <w:lvl w:ilvl="6" w:tplc="C76CF218">
      <w:numFmt w:val="decimal"/>
      <w:lvlText w:val=""/>
      <w:lvlJc w:val="left"/>
    </w:lvl>
    <w:lvl w:ilvl="7" w:tplc="1FD0EEF2">
      <w:numFmt w:val="decimal"/>
      <w:lvlText w:val=""/>
      <w:lvlJc w:val="left"/>
    </w:lvl>
    <w:lvl w:ilvl="8" w:tplc="6E46F6F0">
      <w:numFmt w:val="decimal"/>
      <w:lvlText w:val=""/>
      <w:lvlJc w:val="left"/>
    </w:lvl>
  </w:abstractNum>
  <w:abstractNum w:abstractNumId="606" w15:restartNumberingAfterBreak="0">
    <w:nsid w:val="2D0F4C67"/>
    <w:multiLevelType w:val="hybridMultilevel"/>
    <w:tmpl w:val="C3FC1AA8"/>
    <w:lvl w:ilvl="0" w:tplc="DD4AE880">
      <w:start w:val="1"/>
      <w:numFmt w:val="bullet"/>
      <w:lvlText w:val=""/>
      <w:lvlJc w:val="left"/>
      <w:pPr>
        <w:ind w:left="720" w:hanging="180"/>
      </w:pPr>
      <w:rPr>
        <w:rFonts w:ascii="Symbol" w:hAnsi="Symbol" w:hint="default"/>
      </w:rPr>
    </w:lvl>
    <w:lvl w:ilvl="1" w:tplc="1B422EFE">
      <w:numFmt w:val="decimal"/>
      <w:lvlText w:val=""/>
      <w:lvlJc w:val="left"/>
    </w:lvl>
    <w:lvl w:ilvl="2" w:tplc="12D4CC20">
      <w:numFmt w:val="decimal"/>
      <w:lvlText w:val=""/>
      <w:lvlJc w:val="left"/>
    </w:lvl>
    <w:lvl w:ilvl="3" w:tplc="613A72A4">
      <w:numFmt w:val="decimal"/>
      <w:lvlText w:val=""/>
      <w:lvlJc w:val="left"/>
    </w:lvl>
    <w:lvl w:ilvl="4" w:tplc="9D02064C">
      <w:numFmt w:val="decimal"/>
      <w:lvlText w:val=""/>
      <w:lvlJc w:val="left"/>
    </w:lvl>
    <w:lvl w:ilvl="5" w:tplc="09FEAB88">
      <w:numFmt w:val="decimal"/>
      <w:lvlText w:val=""/>
      <w:lvlJc w:val="left"/>
    </w:lvl>
    <w:lvl w:ilvl="6" w:tplc="1048E264">
      <w:numFmt w:val="decimal"/>
      <w:lvlText w:val=""/>
      <w:lvlJc w:val="left"/>
    </w:lvl>
    <w:lvl w:ilvl="7" w:tplc="BA60894A">
      <w:numFmt w:val="decimal"/>
      <w:lvlText w:val=""/>
      <w:lvlJc w:val="left"/>
    </w:lvl>
    <w:lvl w:ilvl="8" w:tplc="50147EF0">
      <w:numFmt w:val="decimal"/>
      <w:lvlText w:val=""/>
      <w:lvlJc w:val="left"/>
    </w:lvl>
  </w:abstractNum>
  <w:abstractNum w:abstractNumId="607" w15:restartNumberingAfterBreak="0">
    <w:nsid w:val="2D221D00"/>
    <w:multiLevelType w:val="hybridMultilevel"/>
    <w:tmpl w:val="8BD84A06"/>
    <w:lvl w:ilvl="0" w:tplc="3A4E5482">
      <w:start w:val="1"/>
      <w:numFmt w:val="bullet"/>
      <w:lvlText w:val=""/>
      <w:lvlJc w:val="left"/>
      <w:pPr>
        <w:ind w:left="720" w:hanging="180"/>
      </w:pPr>
      <w:rPr>
        <w:rFonts w:ascii="Symbol" w:hAnsi="Symbol" w:hint="default"/>
      </w:rPr>
    </w:lvl>
    <w:lvl w:ilvl="1" w:tplc="7FB6E8D6">
      <w:numFmt w:val="decimal"/>
      <w:lvlText w:val=""/>
      <w:lvlJc w:val="left"/>
    </w:lvl>
    <w:lvl w:ilvl="2" w:tplc="1682BB30">
      <w:numFmt w:val="decimal"/>
      <w:lvlText w:val=""/>
      <w:lvlJc w:val="left"/>
    </w:lvl>
    <w:lvl w:ilvl="3" w:tplc="AC14F4B2">
      <w:numFmt w:val="decimal"/>
      <w:lvlText w:val=""/>
      <w:lvlJc w:val="left"/>
    </w:lvl>
    <w:lvl w:ilvl="4" w:tplc="D75A27BC">
      <w:numFmt w:val="decimal"/>
      <w:lvlText w:val=""/>
      <w:lvlJc w:val="left"/>
    </w:lvl>
    <w:lvl w:ilvl="5" w:tplc="B964D7D8">
      <w:numFmt w:val="decimal"/>
      <w:lvlText w:val=""/>
      <w:lvlJc w:val="left"/>
    </w:lvl>
    <w:lvl w:ilvl="6" w:tplc="FC9EC854">
      <w:numFmt w:val="decimal"/>
      <w:lvlText w:val=""/>
      <w:lvlJc w:val="left"/>
    </w:lvl>
    <w:lvl w:ilvl="7" w:tplc="EF48492A">
      <w:numFmt w:val="decimal"/>
      <w:lvlText w:val=""/>
      <w:lvlJc w:val="left"/>
    </w:lvl>
    <w:lvl w:ilvl="8" w:tplc="482E7F18">
      <w:numFmt w:val="decimal"/>
      <w:lvlText w:val=""/>
      <w:lvlJc w:val="left"/>
    </w:lvl>
  </w:abstractNum>
  <w:abstractNum w:abstractNumId="608" w15:restartNumberingAfterBreak="0">
    <w:nsid w:val="2D2C1E18"/>
    <w:multiLevelType w:val="hybridMultilevel"/>
    <w:tmpl w:val="8468FABE"/>
    <w:lvl w:ilvl="0" w:tplc="EB76BC90">
      <w:start w:val="1"/>
      <w:numFmt w:val="bullet"/>
      <w:lvlText w:val=""/>
      <w:lvlJc w:val="left"/>
      <w:pPr>
        <w:ind w:left="720" w:hanging="180"/>
      </w:pPr>
      <w:rPr>
        <w:rFonts w:ascii="Symbol" w:hAnsi="Symbol" w:hint="default"/>
      </w:rPr>
    </w:lvl>
    <w:lvl w:ilvl="1" w:tplc="63622320">
      <w:numFmt w:val="decimal"/>
      <w:lvlText w:val=""/>
      <w:lvlJc w:val="left"/>
    </w:lvl>
    <w:lvl w:ilvl="2" w:tplc="E0D4B83E">
      <w:numFmt w:val="decimal"/>
      <w:lvlText w:val=""/>
      <w:lvlJc w:val="left"/>
    </w:lvl>
    <w:lvl w:ilvl="3" w:tplc="90EE724E">
      <w:numFmt w:val="decimal"/>
      <w:lvlText w:val=""/>
      <w:lvlJc w:val="left"/>
    </w:lvl>
    <w:lvl w:ilvl="4" w:tplc="BABC487A">
      <w:numFmt w:val="decimal"/>
      <w:lvlText w:val=""/>
      <w:lvlJc w:val="left"/>
    </w:lvl>
    <w:lvl w:ilvl="5" w:tplc="F934E64C">
      <w:numFmt w:val="decimal"/>
      <w:lvlText w:val=""/>
      <w:lvlJc w:val="left"/>
    </w:lvl>
    <w:lvl w:ilvl="6" w:tplc="962E114E">
      <w:numFmt w:val="decimal"/>
      <w:lvlText w:val=""/>
      <w:lvlJc w:val="left"/>
    </w:lvl>
    <w:lvl w:ilvl="7" w:tplc="53044F4C">
      <w:numFmt w:val="decimal"/>
      <w:lvlText w:val=""/>
      <w:lvlJc w:val="left"/>
    </w:lvl>
    <w:lvl w:ilvl="8" w:tplc="A074FD24">
      <w:numFmt w:val="decimal"/>
      <w:lvlText w:val=""/>
      <w:lvlJc w:val="left"/>
    </w:lvl>
  </w:abstractNum>
  <w:abstractNum w:abstractNumId="609" w15:restartNumberingAfterBreak="0">
    <w:nsid w:val="2D2D4133"/>
    <w:multiLevelType w:val="hybridMultilevel"/>
    <w:tmpl w:val="045C99DE"/>
    <w:lvl w:ilvl="0" w:tplc="4E9AF76A">
      <w:start w:val="1"/>
      <w:numFmt w:val="bullet"/>
      <w:lvlText w:val=""/>
      <w:lvlJc w:val="left"/>
      <w:pPr>
        <w:ind w:left="720" w:hanging="180"/>
      </w:pPr>
      <w:rPr>
        <w:rFonts w:ascii="Symbol" w:hAnsi="Symbol" w:hint="default"/>
      </w:rPr>
    </w:lvl>
    <w:lvl w:ilvl="1" w:tplc="3B8E3704">
      <w:numFmt w:val="decimal"/>
      <w:lvlText w:val=""/>
      <w:lvlJc w:val="left"/>
    </w:lvl>
    <w:lvl w:ilvl="2" w:tplc="00284AB2">
      <w:numFmt w:val="decimal"/>
      <w:lvlText w:val=""/>
      <w:lvlJc w:val="left"/>
    </w:lvl>
    <w:lvl w:ilvl="3" w:tplc="F982BD1C">
      <w:numFmt w:val="decimal"/>
      <w:lvlText w:val=""/>
      <w:lvlJc w:val="left"/>
    </w:lvl>
    <w:lvl w:ilvl="4" w:tplc="80E09F28">
      <w:numFmt w:val="decimal"/>
      <w:lvlText w:val=""/>
      <w:lvlJc w:val="left"/>
    </w:lvl>
    <w:lvl w:ilvl="5" w:tplc="47FAB7FA">
      <w:numFmt w:val="decimal"/>
      <w:lvlText w:val=""/>
      <w:lvlJc w:val="left"/>
    </w:lvl>
    <w:lvl w:ilvl="6" w:tplc="776607FA">
      <w:numFmt w:val="decimal"/>
      <w:lvlText w:val=""/>
      <w:lvlJc w:val="left"/>
    </w:lvl>
    <w:lvl w:ilvl="7" w:tplc="3CACDB1E">
      <w:numFmt w:val="decimal"/>
      <w:lvlText w:val=""/>
      <w:lvlJc w:val="left"/>
    </w:lvl>
    <w:lvl w:ilvl="8" w:tplc="A704E9C0">
      <w:numFmt w:val="decimal"/>
      <w:lvlText w:val=""/>
      <w:lvlJc w:val="left"/>
    </w:lvl>
  </w:abstractNum>
  <w:abstractNum w:abstractNumId="610" w15:restartNumberingAfterBreak="0">
    <w:nsid w:val="2D357852"/>
    <w:multiLevelType w:val="hybridMultilevel"/>
    <w:tmpl w:val="625E4EC8"/>
    <w:lvl w:ilvl="0" w:tplc="C20E35DC">
      <w:start w:val="1"/>
      <w:numFmt w:val="bullet"/>
      <w:lvlText w:val=""/>
      <w:lvlJc w:val="left"/>
      <w:pPr>
        <w:ind w:left="720" w:hanging="180"/>
      </w:pPr>
      <w:rPr>
        <w:rFonts w:ascii="Symbol" w:hAnsi="Symbol" w:hint="default"/>
      </w:rPr>
    </w:lvl>
    <w:lvl w:ilvl="1" w:tplc="9FA859D6">
      <w:numFmt w:val="decimal"/>
      <w:lvlText w:val=""/>
      <w:lvlJc w:val="left"/>
    </w:lvl>
    <w:lvl w:ilvl="2" w:tplc="C37E6A1C">
      <w:numFmt w:val="decimal"/>
      <w:lvlText w:val=""/>
      <w:lvlJc w:val="left"/>
    </w:lvl>
    <w:lvl w:ilvl="3" w:tplc="0E16A7FA">
      <w:numFmt w:val="decimal"/>
      <w:lvlText w:val=""/>
      <w:lvlJc w:val="left"/>
    </w:lvl>
    <w:lvl w:ilvl="4" w:tplc="B184C98A">
      <w:numFmt w:val="decimal"/>
      <w:lvlText w:val=""/>
      <w:lvlJc w:val="left"/>
    </w:lvl>
    <w:lvl w:ilvl="5" w:tplc="69FA0026">
      <w:numFmt w:val="decimal"/>
      <w:lvlText w:val=""/>
      <w:lvlJc w:val="left"/>
    </w:lvl>
    <w:lvl w:ilvl="6" w:tplc="FCB202E4">
      <w:numFmt w:val="decimal"/>
      <w:lvlText w:val=""/>
      <w:lvlJc w:val="left"/>
    </w:lvl>
    <w:lvl w:ilvl="7" w:tplc="43C0A94C">
      <w:numFmt w:val="decimal"/>
      <w:lvlText w:val=""/>
      <w:lvlJc w:val="left"/>
    </w:lvl>
    <w:lvl w:ilvl="8" w:tplc="65B66CB4">
      <w:numFmt w:val="decimal"/>
      <w:lvlText w:val=""/>
      <w:lvlJc w:val="left"/>
    </w:lvl>
  </w:abstractNum>
  <w:abstractNum w:abstractNumId="611" w15:restartNumberingAfterBreak="0">
    <w:nsid w:val="2D5A11C4"/>
    <w:multiLevelType w:val="hybridMultilevel"/>
    <w:tmpl w:val="9FF2B542"/>
    <w:lvl w:ilvl="0" w:tplc="1ECCE1A6">
      <w:start w:val="1"/>
      <w:numFmt w:val="bullet"/>
      <w:lvlText w:val=""/>
      <w:lvlJc w:val="left"/>
      <w:pPr>
        <w:ind w:left="720" w:hanging="180"/>
      </w:pPr>
      <w:rPr>
        <w:rFonts w:ascii="Symbol" w:hAnsi="Symbol" w:hint="default"/>
      </w:rPr>
    </w:lvl>
    <w:lvl w:ilvl="1" w:tplc="224AF478">
      <w:numFmt w:val="decimal"/>
      <w:lvlText w:val=""/>
      <w:lvlJc w:val="left"/>
    </w:lvl>
    <w:lvl w:ilvl="2" w:tplc="5B9606E4">
      <w:numFmt w:val="decimal"/>
      <w:lvlText w:val=""/>
      <w:lvlJc w:val="left"/>
    </w:lvl>
    <w:lvl w:ilvl="3" w:tplc="A41EA548">
      <w:numFmt w:val="decimal"/>
      <w:lvlText w:val=""/>
      <w:lvlJc w:val="left"/>
    </w:lvl>
    <w:lvl w:ilvl="4" w:tplc="2BC23B36">
      <w:numFmt w:val="decimal"/>
      <w:lvlText w:val=""/>
      <w:lvlJc w:val="left"/>
    </w:lvl>
    <w:lvl w:ilvl="5" w:tplc="D7D6C0A8">
      <w:numFmt w:val="decimal"/>
      <w:lvlText w:val=""/>
      <w:lvlJc w:val="left"/>
    </w:lvl>
    <w:lvl w:ilvl="6" w:tplc="7F041C52">
      <w:numFmt w:val="decimal"/>
      <w:lvlText w:val=""/>
      <w:lvlJc w:val="left"/>
    </w:lvl>
    <w:lvl w:ilvl="7" w:tplc="D1A8C0B0">
      <w:numFmt w:val="decimal"/>
      <w:lvlText w:val=""/>
      <w:lvlJc w:val="left"/>
    </w:lvl>
    <w:lvl w:ilvl="8" w:tplc="D2464C70">
      <w:numFmt w:val="decimal"/>
      <w:lvlText w:val=""/>
      <w:lvlJc w:val="left"/>
    </w:lvl>
  </w:abstractNum>
  <w:abstractNum w:abstractNumId="612" w15:restartNumberingAfterBreak="0">
    <w:nsid w:val="2D5F4131"/>
    <w:multiLevelType w:val="hybridMultilevel"/>
    <w:tmpl w:val="8CBA1F90"/>
    <w:lvl w:ilvl="0" w:tplc="5596F0EE">
      <w:start w:val="1"/>
      <w:numFmt w:val="bullet"/>
      <w:lvlText w:val=""/>
      <w:lvlJc w:val="left"/>
      <w:pPr>
        <w:ind w:left="720" w:hanging="180"/>
      </w:pPr>
      <w:rPr>
        <w:rFonts w:ascii="Symbol" w:hAnsi="Symbol" w:hint="default"/>
      </w:rPr>
    </w:lvl>
    <w:lvl w:ilvl="1" w:tplc="64D493E2">
      <w:numFmt w:val="decimal"/>
      <w:lvlText w:val=""/>
      <w:lvlJc w:val="left"/>
    </w:lvl>
    <w:lvl w:ilvl="2" w:tplc="A9B06316">
      <w:numFmt w:val="decimal"/>
      <w:lvlText w:val=""/>
      <w:lvlJc w:val="left"/>
    </w:lvl>
    <w:lvl w:ilvl="3" w:tplc="D712725A">
      <w:numFmt w:val="decimal"/>
      <w:lvlText w:val=""/>
      <w:lvlJc w:val="left"/>
    </w:lvl>
    <w:lvl w:ilvl="4" w:tplc="4320B294">
      <w:numFmt w:val="decimal"/>
      <w:lvlText w:val=""/>
      <w:lvlJc w:val="left"/>
    </w:lvl>
    <w:lvl w:ilvl="5" w:tplc="4FBA1BD8">
      <w:numFmt w:val="decimal"/>
      <w:lvlText w:val=""/>
      <w:lvlJc w:val="left"/>
    </w:lvl>
    <w:lvl w:ilvl="6" w:tplc="7E84322E">
      <w:numFmt w:val="decimal"/>
      <w:lvlText w:val=""/>
      <w:lvlJc w:val="left"/>
    </w:lvl>
    <w:lvl w:ilvl="7" w:tplc="78CCA832">
      <w:numFmt w:val="decimal"/>
      <w:lvlText w:val=""/>
      <w:lvlJc w:val="left"/>
    </w:lvl>
    <w:lvl w:ilvl="8" w:tplc="2D160B5A">
      <w:numFmt w:val="decimal"/>
      <w:lvlText w:val=""/>
      <w:lvlJc w:val="left"/>
    </w:lvl>
  </w:abstractNum>
  <w:abstractNum w:abstractNumId="613" w15:restartNumberingAfterBreak="0">
    <w:nsid w:val="2D6D5F53"/>
    <w:multiLevelType w:val="hybridMultilevel"/>
    <w:tmpl w:val="8C4E3928"/>
    <w:lvl w:ilvl="0" w:tplc="40CC6284">
      <w:start w:val="1"/>
      <w:numFmt w:val="bullet"/>
      <w:lvlText w:val=""/>
      <w:lvlJc w:val="left"/>
      <w:pPr>
        <w:ind w:left="720" w:hanging="180"/>
      </w:pPr>
      <w:rPr>
        <w:rFonts w:ascii="Symbol" w:hAnsi="Symbol" w:hint="default"/>
      </w:rPr>
    </w:lvl>
    <w:lvl w:ilvl="1" w:tplc="E6CE1AB8">
      <w:numFmt w:val="decimal"/>
      <w:lvlText w:val=""/>
      <w:lvlJc w:val="left"/>
    </w:lvl>
    <w:lvl w:ilvl="2" w:tplc="8876A5E4">
      <w:numFmt w:val="decimal"/>
      <w:lvlText w:val=""/>
      <w:lvlJc w:val="left"/>
    </w:lvl>
    <w:lvl w:ilvl="3" w:tplc="A17A41FA">
      <w:numFmt w:val="decimal"/>
      <w:lvlText w:val=""/>
      <w:lvlJc w:val="left"/>
    </w:lvl>
    <w:lvl w:ilvl="4" w:tplc="6BC83512">
      <w:numFmt w:val="decimal"/>
      <w:lvlText w:val=""/>
      <w:lvlJc w:val="left"/>
    </w:lvl>
    <w:lvl w:ilvl="5" w:tplc="5122D972">
      <w:numFmt w:val="decimal"/>
      <w:lvlText w:val=""/>
      <w:lvlJc w:val="left"/>
    </w:lvl>
    <w:lvl w:ilvl="6" w:tplc="6FAA6B4A">
      <w:numFmt w:val="decimal"/>
      <w:lvlText w:val=""/>
      <w:lvlJc w:val="left"/>
    </w:lvl>
    <w:lvl w:ilvl="7" w:tplc="75467492">
      <w:numFmt w:val="decimal"/>
      <w:lvlText w:val=""/>
      <w:lvlJc w:val="left"/>
    </w:lvl>
    <w:lvl w:ilvl="8" w:tplc="605C1C48">
      <w:numFmt w:val="decimal"/>
      <w:lvlText w:val=""/>
      <w:lvlJc w:val="left"/>
    </w:lvl>
  </w:abstractNum>
  <w:abstractNum w:abstractNumId="614" w15:restartNumberingAfterBreak="0">
    <w:nsid w:val="2D763B23"/>
    <w:multiLevelType w:val="hybridMultilevel"/>
    <w:tmpl w:val="FCD40F88"/>
    <w:lvl w:ilvl="0" w:tplc="12243F0C">
      <w:numFmt w:val="decimal"/>
      <w:lvlText w:val=""/>
      <w:lvlJc w:val="left"/>
    </w:lvl>
    <w:lvl w:ilvl="1" w:tplc="1DBCFAD8">
      <w:start w:val="1"/>
      <w:numFmt w:val="bullet"/>
      <w:lvlText w:val=""/>
      <w:lvlJc w:val="left"/>
      <w:pPr>
        <w:ind w:left="1440" w:hanging="180"/>
      </w:pPr>
      <w:rPr>
        <w:rFonts w:ascii="Symbol" w:hAnsi="Symbol" w:hint="default"/>
      </w:rPr>
    </w:lvl>
    <w:lvl w:ilvl="2" w:tplc="E6C2618A">
      <w:numFmt w:val="decimal"/>
      <w:lvlText w:val=""/>
      <w:lvlJc w:val="left"/>
    </w:lvl>
    <w:lvl w:ilvl="3" w:tplc="62E6896C">
      <w:numFmt w:val="decimal"/>
      <w:lvlText w:val=""/>
      <w:lvlJc w:val="left"/>
    </w:lvl>
    <w:lvl w:ilvl="4" w:tplc="5BA434BE">
      <w:numFmt w:val="decimal"/>
      <w:lvlText w:val=""/>
      <w:lvlJc w:val="left"/>
    </w:lvl>
    <w:lvl w:ilvl="5" w:tplc="E28CC394">
      <w:numFmt w:val="decimal"/>
      <w:lvlText w:val=""/>
      <w:lvlJc w:val="left"/>
    </w:lvl>
    <w:lvl w:ilvl="6" w:tplc="A8A674E0">
      <w:numFmt w:val="decimal"/>
      <w:lvlText w:val=""/>
      <w:lvlJc w:val="left"/>
    </w:lvl>
    <w:lvl w:ilvl="7" w:tplc="106A15EE">
      <w:numFmt w:val="decimal"/>
      <w:lvlText w:val=""/>
      <w:lvlJc w:val="left"/>
    </w:lvl>
    <w:lvl w:ilvl="8" w:tplc="9B72066E">
      <w:numFmt w:val="decimal"/>
      <w:lvlText w:val=""/>
      <w:lvlJc w:val="left"/>
    </w:lvl>
  </w:abstractNum>
  <w:abstractNum w:abstractNumId="615" w15:restartNumberingAfterBreak="0">
    <w:nsid w:val="2D7810B6"/>
    <w:multiLevelType w:val="hybridMultilevel"/>
    <w:tmpl w:val="ADD8C304"/>
    <w:lvl w:ilvl="0" w:tplc="0BE48FAE">
      <w:start w:val="1"/>
      <w:numFmt w:val="bullet"/>
      <w:lvlText w:val=""/>
      <w:lvlJc w:val="left"/>
      <w:pPr>
        <w:ind w:left="720" w:hanging="180"/>
      </w:pPr>
      <w:rPr>
        <w:rFonts w:ascii="Symbol" w:hAnsi="Symbol" w:hint="default"/>
      </w:rPr>
    </w:lvl>
    <w:lvl w:ilvl="1" w:tplc="7806131E">
      <w:numFmt w:val="decimal"/>
      <w:lvlText w:val=""/>
      <w:lvlJc w:val="left"/>
    </w:lvl>
    <w:lvl w:ilvl="2" w:tplc="C7E43396">
      <w:numFmt w:val="decimal"/>
      <w:lvlText w:val=""/>
      <w:lvlJc w:val="left"/>
    </w:lvl>
    <w:lvl w:ilvl="3" w:tplc="615C9BB2">
      <w:numFmt w:val="decimal"/>
      <w:lvlText w:val=""/>
      <w:lvlJc w:val="left"/>
    </w:lvl>
    <w:lvl w:ilvl="4" w:tplc="659ED758">
      <w:numFmt w:val="decimal"/>
      <w:lvlText w:val=""/>
      <w:lvlJc w:val="left"/>
    </w:lvl>
    <w:lvl w:ilvl="5" w:tplc="0B68D53C">
      <w:numFmt w:val="decimal"/>
      <w:lvlText w:val=""/>
      <w:lvlJc w:val="left"/>
    </w:lvl>
    <w:lvl w:ilvl="6" w:tplc="E5E41FA0">
      <w:numFmt w:val="decimal"/>
      <w:lvlText w:val=""/>
      <w:lvlJc w:val="left"/>
    </w:lvl>
    <w:lvl w:ilvl="7" w:tplc="A59E15E6">
      <w:numFmt w:val="decimal"/>
      <w:lvlText w:val=""/>
      <w:lvlJc w:val="left"/>
    </w:lvl>
    <w:lvl w:ilvl="8" w:tplc="86085EC2">
      <w:numFmt w:val="decimal"/>
      <w:lvlText w:val=""/>
      <w:lvlJc w:val="left"/>
    </w:lvl>
  </w:abstractNum>
  <w:abstractNum w:abstractNumId="616" w15:restartNumberingAfterBreak="0">
    <w:nsid w:val="2D8E687E"/>
    <w:multiLevelType w:val="hybridMultilevel"/>
    <w:tmpl w:val="04FA3C7C"/>
    <w:lvl w:ilvl="0" w:tplc="CB5E5818">
      <w:start w:val="1"/>
      <w:numFmt w:val="bullet"/>
      <w:lvlText w:val=""/>
      <w:lvlJc w:val="left"/>
      <w:pPr>
        <w:ind w:left="720" w:hanging="180"/>
      </w:pPr>
      <w:rPr>
        <w:rFonts w:ascii="Symbol" w:hAnsi="Symbol" w:hint="default"/>
      </w:rPr>
    </w:lvl>
    <w:lvl w:ilvl="1" w:tplc="E724E5BE">
      <w:numFmt w:val="decimal"/>
      <w:lvlText w:val=""/>
      <w:lvlJc w:val="left"/>
    </w:lvl>
    <w:lvl w:ilvl="2" w:tplc="7188EEB8">
      <w:numFmt w:val="decimal"/>
      <w:lvlText w:val=""/>
      <w:lvlJc w:val="left"/>
    </w:lvl>
    <w:lvl w:ilvl="3" w:tplc="9C7259B4">
      <w:numFmt w:val="decimal"/>
      <w:lvlText w:val=""/>
      <w:lvlJc w:val="left"/>
    </w:lvl>
    <w:lvl w:ilvl="4" w:tplc="E9923180">
      <w:numFmt w:val="decimal"/>
      <w:lvlText w:val=""/>
      <w:lvlJc w:val="left"/>
    </w:lvl>
    <w:lvl w:ilvl="5" w:tplc="8B62ACF2">
      <w:numFmt w:val="decimal"/>
      <w:lvlText w:val=""/>
      <w:lvlJc w:val="left"/>
    </w:lvl>
    <w:lvl w:ilvl="6" w:tplc="70B8C1BC">
      <w:numFmt w:val="decimal"/>
      <w:lvlText w:val=""/>
      <w:lvlJc w:val="left"/>
    </w:lvl>
    <w:lvl w:ilvl="7" w:tplc="CB921D2C">
      <w:numFmt w:val="decimal"/>
      <w:lvlText w:val=""/>
      <w:lvlJc w:val="left"/>
    </w:lvl>
    <w:lvl w:ilvl="8" w:tplc="9544EE92">
      <w:numFmt w:val="decimal"/>
      <w:lvlText w:val=""/>
      <w:lvlJc w:val="left"/>
    </w:lvl>
  </w:abstractNum>
  <w:abstractNum w:abstractNumId="617" w15:restartNumberingAfterBreak="0">
    <w:nsid w:val="2D9A15BF"/>
    <w:multiLevelType w:val="hybridMultilevel"/>
    <w:tmpl w:val="E8EE9A5A"/>
    <w:lvl w:ilvl="0" w:tplc="DC7E760E">
      <w:start w:val="1"/>
      <w:numFmt w:val="bullet"/>
      <w:lvlText w:val=""/>
      <w:lvlJc w:val="left"/>
      <w:pPr>
        <w:ind w:left="720" w:hanging="180"/>
      </w:pPr>
      <w:rPr>
        <w:rFonts w:ascii="Symbol" w:hAnsi="Symbol" w:hint="default"/>
      </w:rPr>
    </w:lvl>
    <w:lvl w:ilvl="1" w:tplc="873A1BA8">
      <w:numFmt w:val="decimal"/>
      <w:lvlText w:val=""/>
      <w:lvlJc w:val="left"/>
    </w:lvl>
    <w:lvl w:ilvl="2" w:tplc="8542AAF6">
      <w:numFmt w:val="decimal"/>
      <w:lvlText w:val=""/>
      <w:lvlJc w:val="left"/>
    </w:lvl>
    <w:lvl w:ilvl="3" w:tplc="1592E4CA">
      <w:numFmt w:val="decimal"/>
      <w:lvlText w:val=""/>
      <w:lvlJc w:val="left"/>
    </w:lvl>
    <w:lvl w:ilvl="4" w:tplc="DADCAFC0">
      <w:numFmt w:val="decimal"/>
      <w:lvlText w:val=""/>
      <w:lvlJc w:val="left"/>
    </w:lvl>
    <w:lvl w:ilvl="5" w:tplc="CD3AE0E0">
      <w:numFmt w:val="decimal"/>
      <w:lvlText w:val=""/>
      <w:lvlJc w:val="left"/>
    </w:lvl>
    <w:lvl w:ilvl="6" w:tplc="7D78E7E8">
      <w:numFmt w:val="decimal"/>
      <w:lvlText w:val=""/>
      <w:lvlJc w:val="left"/>
    </w:lvl>
    <w:lvl w:ilvl="7" w:tplc="4C9EE198">
      <w:numFmt w:val="decimal"/>
      <w:lvlText w:val=""/>
      <w:lvlJc w:val="left"/>
    </w:lvl>
    <w:lvl w:ilvl="8" w:tplc="3F028E8A">
      <w:numFmt w:val="decimal"/>
      <w:lvlText w:val=""/>
      <w:lvlJc w:val="left"/>
    </w:lvl>
  </w:abstractNum>
  <w:abstractNum w:abstractNumId="618" w15:restartNumberingAfterBreak="0">
    <w:nsid w:val="2DB533BB"/>
    <w:multiLevelType w:val="hybridMultilevel"/>
    <w:tmpl w:val="70CCA386"/>
    <w:lvl w:ilvl="0" w:tplc="C560840E">
      <w:start w:val="1"/>
      <w:numFmt w:val="bullet"/>
      <w:lvlText w:val=""/>
      <w:lvlJc w:val="left"/>
      <w:pPr>
        <w:ind w:left="720" w:hanging="180"/>
      </w:pPr>
      <w:rPr>
        <w:rFonts w:ascii="Symbol" w:hAnsi="Symbol" w:hint="default"/>
      </w:rPr>
    </w:lvl>
    <w:lvl w:ilvl="1" w:tplc="883AA24E">
      <w:numFmt w:val="decimal"/>
      <w:lvlText w:val=""/>
      <w:lvlJc w:val="left"/>
    </w:lvl>
    <w:lvl w:ilvl="2" w:tplc="334AE452">
      <w:numFmt w:val="decimal"/>
      <w:lvlText w:val=""/>
      <w:lvlJc w:val="left"/>
    </w:lvl>
    <w:lvl w:ilvl="3" w:tplc="C7F806E6">
      <w:numFmt w:val="decimal"/>
      <w:lvlText w:val=""/>
      <w:lvlJc w:val="left"/>
    </w:lvl>
    <w:lvl w:ilvl="4" w:tplc="08A640F8">
      <w:numFmt w:val="decimal"/>
      <w:lvlText w:val=""/>
      <w:lvlJc w:val="left"/>
    </w:lvl>
    <w:lvl w:ilvl="5" w:tplc="D8748C4C">
      <w:numFmt w:val="decimal"/>
      <w:lvlText w:val=""/>
      <w:lvlJc w:val="left"/>
    </w:lvl>
    <w:lvl w:ilvl="6" w:tplc="D9CE72A0">
      <w:numFmt w:val="decimal"/>
      <w:lvlText w:val=""/>
      <w:lvlJc w:val="left"/>
    </w:lvl>
    <w:lvl w:ilvl="7" w:tplc="ED88181A">
      <w:numFmt w:val="decimal"/>
      <w:lvlText w:val=""/>
      <w:lvlJc w:val="left"/>
    </w:lvl>
    <w:lvl w:ilvl="8" w:tplc="F97801CA">
      <w:numFmt w:val="decimal"/>
      <w:lvlText w:val=""/>
      <w:lvlJc w:val="left"/>
    </w:lvl>
  </w:abstractNum>
  <w:abstractNum w:abstractNumId="619" w15:restartNumberingAfterBreak="0">
    <w:nsid w:val="2DED12AA"/>
    <w:multiLevelType w:val="hybridMultilevel"/>
    <w:tmpl w:val="8764956C"/>
    <w:lvl w:ilvl="0" w:tplc="CE089486">
      <w:start w:val="1"/>
      <w:numFmt w:val="bullet"/>
      <w:lvlText w:val=""/>
      <w:lvlJc w:val="left"/>
      <w:pPr>
        <w:ind w:left="720" w:hanging="180"/>
      </w:pPr>
      <w:rPr>
        <w:rFonts w:ascii="Symbol" w:hAnsi="Symbol" w:hint="default"/>
      </w:rPr>
    </w:lvl>
    <w:lvl w:ilvl="1" w:tplc="506000A0">
      <w:numFmt w:val="decimal"/>
      <w:lvlText w:val=""/>
      <w:lvlJc w:val="left"/>
    </w:lvl>
    <w:lvl w:ilvl="2" w:tplc="5B2406B2">
      <w:numFmt w:val="decimal"/>
      <w:lvlText w:val=""/>
      <w:lvlJc w:val="left"/>
    </w:lvl>
    <w:lvl w:ilvl="3" w:tplc="4B6826C2">
      <w:numFmt w:val="decimal"/>
      <w:lvlText w:val=""/>
      <w:lvlJc w:val="left"/>
    </w:lvl>
    <w:lvl w:ilvl="4" w:tplc="40008F64">
      <w:numFmt w:val="decimal"/>
      <w:lvlText w:val=""/>
      <w:lvlJc w:val="left"/>
    </w:lvl>
    <w:lvl w:ilvl="5" w:tplc="94086C86">
      <w:numFmt w:val="decimal"/>
      <w:lvlText w:val=""/>
      <w:lvlJc w:val="left"/>
    </w:lvl>
    <w:lvl w:ilvl="6" w:tplc="B8205924">
      <w:numFmt w:val="decimal"/>
      <w:lvlText w:val=""/>
      <w:lvlJc w:val="left"/>
    </w:lvl>
    <w:lvl w:ilvl="7" w:tplc="15665B12">
      <w:numFmt w:val="decimal"/>
      <w:lvlText w:val=""/>
      <w:lvlJc w:val="left"/>
    </w:lvl>
    <w:lvl w:ilvl="8" w:tplc="1F988BC2">
      <w:numFmt w:val="decimal"/>
      <w:lvlText w:val=""/>
      <w:lvlJc w:val="left"/>
    </w:lvl>
  </w:abstractNum>
  <w:abstractNum w:abstractNumId="620" w15:restartNumberingAfterBreak="0">
    <w:nsid w:val="2DF01BE5"/>
    <w:multiLevelType w:val="hybridMultilevel"/>
    <w:tmpl w:val="C528366E"/>
    <w:lvl w:ilvl="0" w:tplc="A0CE94EA">
      <w:start w:val="1"/>
      <w:numFmt w:val="bullet"/>
      <w:lvlText w:val=""/>
      <w:lvlJc w:val="left"/>
      <w:pPr>
        <w:ind w:left="720" w:hanging="180"/>
      </w:pPr>
      <w:rPr>
        <w:rFonts w:ascii="Symbol" w:hAnsi="Symbol" w:hint="default"/>
      </w:rPr>
    </w:lvl>
    <w:lvl w:ilvl="1" w:tplc="47E206F6">
      <w:numFmt w:val="decimal"/>
      <w:lvlText w:val=""/>
      <w:lvlJc w:val="left"/>
    </w:lvl>
    <w:lvl w:ilvl="2" w:tplc="640EF912">
      <w:numFmt w:val="decimal"/>
      <w:lvlText w:val=""/>
      <w:lvlJc w:val="left"/>
    </w:lvl>
    <w:lvl w:ilvl="3" w:tplc="E0049DE6">
      <w:numFmt w:val="decimal"/>
      <w:lvlText w:val=""/>
      <w:lvlJc w:val="left"/>
    </w:lvl>
    <w:lvl w:ilvl="4" w:tplc="2782F872">
      <w:numFmt w:val="decimal"/>
      <w:lvlText w:val=""/>
      <w:lvlJc w:val="left"/>
    </w:lvl>
    <w:lvl w:ilvl="5" w:tplc="E81288C4">
      <w:numFmt w:val="decimal"/>
      <w:lvlText w:val=""/>
      <w:lvlJc w:val="left"/>
    </w:lvl>
    <w:lvl w:ilvl="6" w:tplc="56ECEE36">
      <w:numFmt w:val="decimal"/>
      <w:lvlText w:val=""/>
      <w:lvlJc w:val="left"/>
    </w:lvl>
    <w:lvl w:ilvl="7" w:tplc="3D18534C">
      <w:numFmt w:val="decimal"/>
      <w:lvlText w:val=""/>
      <w:lvlJc w:val="left"/>
    </w:lvl>
    <w:lvl w:ilvl="8" w:tplc="F9A25D98">
      <w:numFmt w:val="decimal"/>
      <w:lvlText w:val=""/>
      <w:lvlJc w:val="left"/>
    </w:lvl>
  </w:abstractNum>
  <w:abstractNum w:abstractNumId="621" w15:restartNumberingAfterBreak="0">
    <w:nsid w:val="2E4A0A63"/>
    <w:multiLevelType w:val="hybridMultilevel"/>
    <w:tmpl w:val="5D5AA908"/>
    <w:lvl w:ilvl="0" w:tplc="16B0CAE2">
      <w:start w:val="1"/>
      <w:numFmt w:val="bullet"/>
      <w:lvlText w:val=""/>
      <w:lvlJc w:val="left"/>
      <w:pPr>
        <w:ind w:left="720" w:hanging="180"/>
      </w:pPr>
      <w:rPr>
        <w:rFonts w:ascii="Symbol" w:hAnsi="Symbol" w:hint="default"/>
      </w:rPr>
    </w:lvl>
    <w:lvl w:ilvl="1" w:tplc="DB6ECEDE">
      <w:numFmt w:val="decimal"/>
      <w:lvlText w:val=""/>
      <w:lvlJc w:val="left"/>
    </w:lvl>
    <w:lvl w:ilvl="2" w:tplc="B68244EE">
      <w:numFmt w:val="decimal"/>
      <w:lvlText w:val=""/>
      <w:lvlJc w:val="left"/>
    </w:lvl>
    <w:lvl w:ilvl="3" w:tplc="EB1E6AEE">
      <w:numFmt w:val="decimal"/>
      <w:lvlText w:val=""/>
      <w:lvlJc w:val="left"/>
    </w:lvl>
    <w:lvl w:ilvl="4" w:tplc="CA84E64E">
      <w:numFmt w:val="decimal"/>
      <w:lvlText w:val=""/>
      <w:lvlJc w:val="left"/>
    </w:lvl>
    <w:lvl w:ilvl="5" w:tplc="C114C638">
      <w:numFmt w:val="decimal"/>
      <w:lvlText w:val=""/>
      <w:lvlJc w:val="left"/>
    </w:lvl>
    <w:lvl w:ilvl="6" w:tplc="E7CAD472">
      <w:numFmt w:val="decimal"/>
      <w:lvlText w:val=""/>
      <w:lvlJc w:val="left"/>
    </w:lvl>
    <w:lvl w:ilvl="7" w:tplc="C0145130">
      <w:numFmt w:val="decimal"/>
      <w:lvlText w:val=""/>
      <w:lvlJc w:val="left"/>
    </w:lvl>
    <w:lvl w:ilvl="8" w:tplc="F3BC3C28">
      <w:numFmt w:val="decimal"/>
      <w:lvlText w:val=""/>
      <w:lvlJc w:val="left"/>
    </w:lvl>
  </w:abstractNum>
  <w:abstractNum w:abstractNumId="622" w15:restartNumberingAfterBreak="0">
    <w:nsid w:val="2E81421D"/>
    <w:multiLevelType w:val="hybridMultilevel"/>
    <w:tmpl w:val="328A5622"/>
    <w:lvl w:ilvl="0" w:tplc="DE2262F6">
      <w:start w:val="1"/>
      <w:numFmt w:val="bullet"/>
      <w:lvlText w:val=""/>
      <w:lvlJc w:val="left"/>
      <w:pPr>
        <w:ind w:left="720" w:hanging="180"/>
      </w:pPr>
      <w:rPr>
        <w:rFonts w:ascii="Symbol" w:hAnsi="Symbol" w:hint="default"/>
      </w:rPr>
    </w:lvl>
    <w:lvl w:ilvl="1" w:tplc="D19604EC">
      <w:numFmt w:val="decimal"/>
      <w:lvlText w:val=""/>
      <w:lvlJc w:val="left"/>
    </w:lvl>
    <w:lvl w:ilvl="2" w:tplc="1BF04AA8">
      <w:numFmt w:val="decimal"/>
      <w:lvlText w:val=""/>
      <w:lvlJc w:val="left"/>
    </w:lvl>
    <w:lvl w:ilvl="3" w:tplc="87684094">
      <w:numFmt w:val="decimal"/>
      <w:lvlText w:val=""/>
      <w:lvlJc w:val="left"/>
    </w:lvl>
    <w:lvl w:ilvl="4" w:tplc="EFF405F4">
      <w:numFmt w:val="decimal"/>
      <w:lvlText w:val=""/>
      <w:lvlJc w:val="left"/>
    </w:lvl>
    <w:lvl w:ilvl="5" w:tplc="D7CEAF58">
      <w:numFmt w:val="decimal"/>
      <w:lvlText w:val=""/>
      <w:lvlJc w:val="left"/>
    </w:lvl>
    <w:lvl w:ilvl="6" w:tplc="5F7EFA2C">
      <w:numFmt w:val="decimal"/>
      <w:lvlText w:val=""/>
      <w:lvlJc w:val="left"/>
    </w:lvl>
    <w:lvl w:ilvl="7" w:tplc="203C06DA">
      <w:numFmt w:val="decimal"/>
      <w:lvlText w:val=""/>
      <w:lvlJc w:val="left"/>
    </w:lvl>
    <w:lvl w:ilvl="8" w:tplc="4634A3A2">
      <w:numFmt w:val="decimal"/>
      <w:lvlText w:val=""/>
      <w:lvlJc w:val="left"/>
    </w:lvl>
  </w:abstractNum>
  <w:abstractNum w:abstractNumId="623" w15:restartNumberingAfterBreak="0">
    <w:nsid w:val="2E8440A0"/>
    <w:multiLevelType w:val="hybridMultilevel"/>
    <w:tmpl w:val="116E23FE"/>
    <w:lvl w:ilvl="0" w:tplc="39364A74">
      <w:start w:val="1"/>
      <w:numFmt w:val="bullet"/>
      <w:lvlText w:val=""/>
      <w:lvlJc w:val="left"/>
      <w:pPr>
        <w:ind w:left="720" w:hanging="180"/>
      </w:pPr>
      <w:rPr>
        <w:rFonts w:ascii="Symbol" w:hAnsi="Symbol" w:hint="default"/>
      </w:rPr>
    </w:lvl>
    <w:lvl w:ilvl="1" w:tplc="BB868126">
      <w:numFmt w:val="decimal"/>
      <w:lvlText w:val=""/>
      <w:lvlJc w:val="left"/>
    </w:lvl>
    <w:lvl w:ilvl="2" w:tplc="F2344B02">
      <w:numFmt w:val="decimal"/>
      <w:lvlText w:val=""/>
      <w:lvlJc w:val="left"/>
    </w:lvl>
    <w:lvl w:ilvl="3" w:tplc="057E344E">
      <w:numFmt w:val="decimal"/>
      <w:lvlText w:val=""/>
      <w:lvlJc w:val="left"/>
    </w:lvl>
    <w:lvl w:ilvl="4" w:tplc="F634C04C">
      <w:numFmt w:val="decimal"/>
      <w:lvlText w:val=""/>
      <w:lvlJc w:val="left"/>
    </w:lvl>
    <w:lvl w:ilvl="5" w:tplc="DF08F956">
      <w:numFmt w:val="decimal"/>
      <w:lvlText w:val=""/>
      <w:lvlJc w:val="left"/>
    </w:lvl>
    <w:lvl w:ilvl="6" w:tplc="F3DE441C">
      <w:numFmt w:val="decimal"/>
      <w:lvlText w:val=""/>
      <w:lvlJc w:val="left"/>
    </w:lvl>
    <w:lvl w:ilvl="7" w:tplc="5F20DD0C">
      <w:numFmt w:val="decimal"/>
      <w:lvlText w:val=""/>
      <w:lvlJc w:val="left"/>
    </w:lvl>
    <w:lvl w:ilvl="8" w:tplc="D452E63C">
      <w:numFmt w:val="decimal"/>
      <w:lvlText w:val=""/>
      <w:lvlJc w:val="left"/>
    </w:lvl>
  </w:abstractNum>
  <w:abstractNum w:abstractNumId="624" w15:restartNumberingAfterBreak="0">
    <w:nsid w:val="2E9964D0"/>
    <w:multiLevelType w:val="hybridMultilevel"/>
    <w:tmpl w:val="98741D26"/>
    <w:lvl w:ilvl="0" w:tplc="7BBEA4CA">
      <w:start w:val="1"/>
      <w:numFmt w:val="bullet"/>
      <w:lvlText w:val=""/>
      <w:lvlJc w:val="left"/>
      <w:pPr>
        <w:ind w:left="720" w:hanging="180"/>
      </w:pPr>
      <w:rPr>
        <w:rFonts w:ascii="Symbol" w:hAnsi="Symbol" w:hint="default"/>
      </w:rPr>
    </w:lvl>
    <w:lvl w:ilvl="1" w:tplc="57CECB6C">
      <w:numFmt w:val="decimal"/>
      <w:lvlText w:val=""/>
      <w:lvlJc w:val="left"/>
    </w:lvl>
    <w:lvl w:ilvl="2" w:tplc="7740774A">
      <w:numFmt w:val="decimal"/>
      <w:lvlText w:val=""/>
      <w:lvlJc w:val="left"/>
    </w:lvl>
    <w:lvl w:ilvl="3" w:tplc="AEA454D0">
      <w:numFmt w:val="decimal"/>
      <w:lvlText w:val=""/>
      <w:lvlJc w:val="left"/>
    </w:lvl>
    <w:lvl w:ilvl="4" w:tplc="1388B124">
      <w:numFmt w:val="decimal"/>
      <w:lvlText w:val=""/>
      <w:lvlJc w:val="left"/>
    </w:lvl>
    <w:lvl w:ilvl="5" w:tplc="3738C802">
      <w:numFmt w:val="decimal"/>
      <w:lvlText w:val=""/>
      <w:lvlJc w:val="left"/>
    </w:lvl>
    <w:lvl w:ilvl="6" w:tplc="875408BE">
      <w:numFmt w:val="decimal"/>
      <w:lvlText w:val=""/>
      <w:lvlJc w:val="left"/>
    </w:lvl>
    <w:lvl w:ilvl="7" w:tplc="9EA80D04">
      <w:numFmt w:val="decimal"/>
      <w:lvlText w:val=""/>
      <w:lvlJc w:val="left"/>
    </w:lvl>
    <w:lvl w:ilvl="8" w:tplc="A380EEB4">
      <w:numFmt w:val="decimal"/>
      <w:lvlText w:val=""/>
      <w:lvlJc w:val="left"/>
    </w:lvl>
  </w:abstractNum>
  <w:abstractNum w:abstractNumId="625" w15:restartNumberingAfterBreak="0">
    <w:nsid w:val="2EB06296"/>
    <w:multiLevelType w:val="hybridMultilevel"/>
    <w:tmpl w:val="C5D865E8"/>
    <w:lvl w:ilvl="0" w:tplc="0D220E8C">
      <w:numFmt w:val="decimal"/>
      <w:lvlText w:val=""/>
      <w:lvlJc w:val="left"/>
    </w:lvl>
    <w:lvl w:ilvl="1" w:tplc="7ABAC724">
      <w:start w:val="1"/>
      <w:numFmt w:val="bullet"/>
      <w:lvlText w:val=""/>
      <w:lvlJc w:val="left"/>
      <w:pPr>
        <w:ind w:left="1440" w:hanging="180"/>
      </w:pPr>
      <w:rPr>
        <w:rFonts w:ascii="Symbol" w:hAnsi="Symbol" w:hint="default"/>
      </w:rPr>
    </w:lvl>
    <w:lvl w:ilvl="2" w:tplc="6464C878">
      <w:numFmt w:val="decimal"/>
      <w:lvlText w:val=""/>
      <w:lvlJc w:val="left"/>
    </w:lvl>
    <w:lvl w:ilvl="3" w:tplc="2A16E7D6">
      <w:numFmt w:val="decimal"/>
      <w:lvlText w:val=""/>
      <w:lvlJc w:val="left"/>
    </w:lvl>
    <w:lvl w:ilvl="4" w:tplc="A176AA86">
      <w:numFmt w:val="decimal"/>
      <w:lvlText w:val=""/>
      <w:lvlJc w:val="left"/>
    </w:lvl>
    <w:lvl w:ilvl="5" w:tplc="7EEEDE4A">
      <w:numFmt w:val="decimal"/>
      <w:lvlText w:val=""/>
      <w:lvlJc w:val="left"/>
    </w:lvl>
    <w:lvl w:ilvl="6" w:tplc="637E732A">
      <w:numFmt w:val="decimal"/>
      <w:lvlText w:val=""/>
      <w:lvlJc w:val="left"/>
    </w:lvl>
    <w:lvl w:ilvl="7" w:tplc="7C00A99A">
      <w:numFmt w:val="decimal"/>
      <w:lvlText w:val=""/>
      <w:lvlJc w:val="left"/>
    </w:lvl>
    <w:lvl w:ilvl="8" w:tplc="284A2D2A">
      <w:numFmt w:val="decimal"/>
      <w:lvlText w:val=""/>
      <w:lvlJc w:val="left"/>
    </w:lvl>
  </w:abstractNum>
  <w:abstractNum w:abstractNumId="626" w15:restartNumberingAfterBreak="0">
    <w:nsid w:val="2EB63FEE"/>
    <w:multiLevelType w:val="hybridMultilevel"/>
    <w:tmpl w:val="9C16A416"/>
    <w:lvl w:ilvl="0" w:tplc="6A2227EA">
      <w:start w:val="1"/>
      <w:numFmt w:val="bullet"/>
      <w:lvlText w:val=""/>
      <w:lvlJc w:val="left"/>
      <w:pPr>
        <w:ind w:left="720" w:hanging="180"/>
      </w:pPr>
      <w:rPr>
        <w:rFonts w:ascii="Symbol" w:hAnsi="Symbol" w:hint="default"/>
      </w:rPr>
    </w:lvl>
    <w:lvl w:ilvl="1" w:tplc="8E027FD4">
      <w:numFmt w:val="decimal"/>
      <w:lvlText w:val=""/>
      <w:lvlJc w:val="left"/>
    </w:lvl>
    <w:lvl w:ilvl="2" w:tplc="58ECA9F6">
      <w:numFmt w:val="decimal"/>
      <w:lvlText w:val=""/>
      <w:lvlJc w:val="left"/>
    </w:lvl>
    <w:lvl w:ilvl="3" w:tplc="CE426C5A">
      <w:numFmt w:val="decimal"/>
      <w:lvlText w:val=""/>
      <w:lvlJc w:val="left"/>
    </w:lvl>
    <w:lvl w:ilvl="4" w:tplc="47FE2A38">
      <w:numFmt w:val="decimal"/>
      <w:lvlText w:val=""/>
      <w:lvlJc w:val="left"/>
    </w:lvl>
    <w:lvl w:ilvl="5" w:tplc="0BA89C7C">
      <w:numFmt w:val="decimal"/>
      <w:lvlText w:val=""/>
      <w:lvlJc w:val="left"/>
    </w:lvl>
    <w:lvl w:ilvl="6" w:tplc="CC567782">
      <w:numFmt w:val="decimal"/>
      <w:lvlText w:val=""/>
      <w:lvlJc w:val="left"/>
    </w:lvl>
    <w:lvl w:ilvl="7" w:tplc="1C02D22E">
      <w:numFmt w:val="decimal"/>
      <w:lvlText w:val=""/>
      <w:lvlJc w:val="left"/>
    </w:lvl>
    <w:lvl w:ilvl="8" w:tplc="DD1CF688">
      <w:numFmt w:val="decimal"/>
      <w:lvlText w:val=""/>
      <w:lvlJc w:val="left"/>
    </w:lvl>
  </w:abstractNum>
  <w:abstractNum w:abstractNumId="627" w15:restartNumberingAfterBreak="0">
    <w:nsid w:val="2F0A52BD"/>
    <w:multiLevelType w:val="hybridMultilevel"/>
    <w:tmpl w:val="A1C8EA26"/>
    <w:lvl w:ilvl="0" w:tplc="6BD2C834">
      <w:start w:val="1"/>
      <w:numFmt w:val="bullet"/>
      <w:lvlText w:val=""/>
      <w:lvlJc w:val="left"/>
      <w:pPr>
        <w:ind w:left="720" w:hanging="180"/>
      </w:pPr>
      <w:rPr>
        <w:rFonts w:ascii="Symbol" w:hAnsi="Symbol" w:hint="default"/>
      </w:rPr>
    </w:lvl>
    <w:lvl w:ilvl="1" w:tplc="2C7ABC92">
      <w:numFmt w:val="decimal"/>
      <w:lvlText w:val=""/>
      <w:lvlJc w:val="left"/>
    </w:lvl>
    <w:lvl w:ilvl="2" w:tplc="9C90EEC0">
      <w:numFmt w:val="decimal"/>
      <w:lvlText w:val=""/>
      <w:lvlJc w:val="left"/>
    </w:lvl>
    <w:lvl w:ilvl="3" w:tplc="F56E0B10">
      <w:numFmt w:val="decimal"/>
      <w:lvlText w:val=""/>
      <w:lvlJc w:val="left"/>
    </w:lvl>
    <w:lvl w:ilvl="4" w:tplc="9E6AEBC6">
      <w:numFmt w:val="decimal"/>
      <w:lvlText w:val=""/>
      <w:lvlJc w:val="left"/>
    </w:lvl>
    <w:lvl w:ilvl="5" w:tplc="D3A4EBF8">
      <w:numFmt w:val="decimal"/>
      <w:lvlText w:val=""/>
      <w:lvlJc w:val="left"/>
    </w:lvl>
    <w:lvl w:ilvl="6" w:tplc="36FEF676">
      <w:numFmt w:val="decimal"/>
      <w:lvlText w:val=""/>
      <w:lvlJc w:val="left"/>
    </w:lvl>
    <w:lvl w:ilvl="7" w:tplc="C2FCC47E">
      <w:numFmt w:val="decimal"/>
      <w:lvlText w:val=""/>
      <w:lvlJc w:val="left"/>
    </w:lvl>
    <w:lvl w:ilvl="8" w:tplc="AC92F9C8">
      <w:numFmt w:val="decimal"/>
      <w:lvlText w:val=""/>
      <w:lvlJc w:val="left"/>
    </w:lvl>
  </w:abstractNum>
  <w:abstractNum w:abstractNumId="628" w15:restartNumberingAfterBreak="0">
    <w:nsid w:val="2F354F43"/>
    <w:multiLevelType w:val="hybridMultilevel"/>
    <w:tmpl w:val="F8FA16F4"/>
    <w:lvl w:ilvl="0" w:tplc="CC020834">
      <w:start w:val="1"/>
      <w:numFmt w:val="bullet"/>
      <w:lvlText w:val=""/>
      <w:lvlJc w:val="left"/>
      <w:pPr>
        <w:ind w:left="720" w:hanging="180"/>
      </w:pPr>
      <w:rPr>
        <w:rFonts w:ascii="Symbol" w:hAnsi="Symbol" w:hint="default"/>
      </w:rPr>
    </w:lvl>
    <w:lvl w:ilvl="1" w:tplc="EE1A2328">
      <w:numFmt w:val="decimal"/>
      <w:lvlText w:val=""/>
      <w:lvlJc w:val="left"/>
    </w:lvl>
    <w:lvl w:ilvl="2" w:tplc="019AC530">
      <w:numFmt w:val="decimal"/>
      <w:lvlText w:val=""/>
      <w:lvlJc w:val="left"/>
    </w:lvl>
    <w:lvl w:ilvl="3" w:tplc="4056B7EA">
      <w:numFmt w:val="decimal"/>
      <w:lvlText w:val=""/>
      <w:lvlJc w:val="left"/>
    </w:lvl>
    <w:lvl w:ilvl="4" w:tplc="05DE7EC8">
      <w:numFmt w:val="decimal"/>
      <w:lvlText w:val=""/>
      <w:lvlJc w:val="left"/>
    </w:lvl>
    <w:lvl w:ilvl="5" w:tplc="57246BBE">
      <w:numFmt w:val="decimal"/>
      <w:lvlText w:val=""/>
      <w:lvlJc w:val="left"/>
    </w:lvl>
    <w:lvl w:ilvl="6" w:tplc="E766BB24">
      <w:numFmt w:val="decimal"/>
      <w:lvlText w:val=""/>
      <w:lvlJc w:val="left"/>
    </w:lvl>
    <w:lvl w:ilvl="7" w:tplc="CAD0195A">
      <w:numFmt w:val="decimal"/>
      <w:lvlText w:val=""/>
      <w:lvlJc w:val="left"/>
    </w:lvl>
    <w:lvl w:ilvl="8" w:tplc="1682C28C">
      <w:numFmt w:val="decimal"/>
      <w:lvlText w:val=""/>
      <w:lvlJc w:val="left"/>
    </w:lvl>
  </w:abstractNum>
  <w:abstractNum w:abstractNumId="629" w15:restartNumberingAfterBreak="0">
    <w:nsid w:val="2F5803EA"/>
    <w:multiLevelType w:val="hybridMultilevel"/>
    <w:tmpl w:val="CE24E340"/>
    <w:lvl w:ilvl="0" w:tplc="BEC66C76">
      <w:start w:val="1"/>
      <w:numFmt w:val="bullet"/>
      <w:lvlText w:val=""/>
      <w:lvlJc w:val="left"/>
      <w:pPr>
        <w:ind w:left="720" w:hanging="180"/>
      </w:pPr>
      <w:rPr>
        <w:rFonts w:ascii="Symbol" w:hAnsi="Symbol" w:hint="default"/>
      </w:rPr>
    </w:lvl>
    <w:lvl w:ilvl="1" w:tplc="4A32E9CA">
      <w:numFmt w:val="decimal"/>
      <w:lvlText w:val=""/>
      <w:lvlJc w:val="left"/>
    </w:lvl>
    <w:lvl w:ilvl="2" w:tplc="6FA0BA32">
      <w:numFmt w:val="decimal"/>
      <w:lvlText w:val=""/>
      <w:lvlJc w:val="left"/>
    </w:lvl>
    <w:lvl w:ilvl="3" w:tplc="9FF648EE">
      <w:numFmt w:val="decimal"/>
      <w:lvlText w:val=""/>
      <w:lvlJc w:val="left"/>
    </w:lvl>
    <w:lvl w:ilvl="4" w:tplc="2FBE0904">
      <w:numFmt w:val="decimal"/>
      <w:lvlText w:val=""/>
      <w:lvlJc w:val="left"/>
    </w:lvl>
    <w:lvl w:ilvl="5" w:tplc="3CF4BAD2">
      <w:numFmt w:val="decimal"/>
      <w:lvlText w:val=""/>
      <w:lvlJc w:val="left"/>
    </w:lvl>
    <w:lvl w:ilvl="6" w:tplc="C3E8482A">
      <w:numFmt w:val="decimal"/>
      <w:lvlText w:val=""/>
      <w:lvlJc w:val="left"/>
    </w:lvl>
    <w:lvl w:ilvl="7" w:tplc="C8DC18E0">
      <w:numFmt w:val="decimal"/>
      <w:lvlText w:val=""/>
      <w:lvlJc w:val="left"/>
    </w:lvl>
    <w:lvl w:ilvl="8" w:tplc="A76EB324">
      <w:numFmt w:val="decimal"/>
      <w:lvlText w:val=""/>
      <w:lvlJc w:val="left"/>
    </w:lvl>
  </w:abstractNum>
  <w:abstractNum w:abstractNumId="630" w15:restartNumberingAfterBreak="0">
    <w:nsid w:val="2F614AA3"/>
    <w:multiLevelType w:val="hybridMultilevel"/>
    <w:tmpl w:val="469C436E"/>
    <w:lvl w:ilvl="0" w:tplc="5374FF0E">
      <w:numFmt w:val="decimal"/>
      <w:lvlText w:val=""/>
      <w:lvlJc w:val="left"/>
    </w:lvl>
    <w:lvl w:ilvl="1" w:tplc="786E8688">
      <w:start w:val="1"/>
      <w:numFmt w:val="bullet"/>
      <w:lvlText w:val=""/>
      <w:lvlJc w:val="left"/>
      <w:pPr>
        <w:ind w:left="1440" w:hanging="180"/>
      </w:pPr>
      <w:rPr>
        <w:rFonts w:ascii="Symbol" w:hAnsi="Symbol" w:hint="default"/>
      </w:rPr>
    </w:lvl>
    <w:lvl w:ilvl="2" w:tplc="7D269684">
      <w:numFmt w:val="decimal"/>
      <w:lvlText w:val=""/>
      <w:lvlJc w:val="left"/>
    </w:lvl>
    <w:lvl w:ilvl="3" w:tplc="BFD00F1A">
      <w:numFmt w:val="decimal"/>
      <w:lvlText w:val=""/>
      <w:lvlJc w:val="left"/>
    </w:lvl>
    <w:lvl w:ilvl="4" w:tplc="B55AF6B4">
      <w:numFmt w:val="decimal"/>
      <w:lvlText w:val=""/>
      <w:lvlJc w:val="left"/>
    </w:lvl>
    <w:lvl w:ilvl="5" w:tplc="026E7BC4">
      <w:numFmt w:val="decimal"/>
      <w:lvlText w:val=""/>
      <w:lvlJc w:val="left"/>
    </w:lvl>
    <w:lvl w:ilvl="6" w:tplc="9F62E718">
      <w:numFmt w:val="decimal"/>
      <w:lvlText w:val=""/>
      <w:lvlJc w:val="left"/>
    </w:lvl>
    <w:lvl w:ilvl="7" w:tplc="3E34D0BA">
      <w:numFmt w:val="decimal"/>
      <w:lvlText w:val=""/>
      <w:lvlJc w:val="left"/>
    </w:lvl>
    <w:lvl w:ilvl="8" w:tplc="02CA4E5C">
      <w:numFmt w:val="decimal"/>
      <w:lvlText w:val=""/>
      <w:lvlJc w:val="left"/>
    </w:lvl>
  </w:abstractNum>
  <w:abstractNum w:abstractNumId="631" w15:restartNumberingAfterBreak="0">
    <w:nsid w:val="2F7263AD"/>
    <w:multiLevelType w:val="hybridMultilevel"/>
    <w:tmpl w:val="48BCC386"/>
    <w:lvl w:ilvl="0" w:tplc="74AED858">
      <w:start w:val="1"/>
      <w:numFmt w:val="bullet"/>
      <w:lvlText w:val=""/>
      <w:lvlJc w:val="left"/>
      <w:pPr>
        <w:ind w:left="720" w:hanging="180"/>
      </w:pPr>
      <w:rPr>
        <w:rFonts w:ascii="Symbol" w:hAnsi="Symbol" w:hint="default"/>
      </w:rPr>
    </w:lvl>
    <w:lvl w:ilvl="1" w:tplc="248ECC7A">
      <w:numFmt w:val="decimal"/>
      <w:lvlText w:val=""/>
      <w:lvlJc w:val="left"/>
    </w:lvl>
    <w:lvl w:ilvl="2" w:tplc="02D29A38">
      <w:numFmt w:val="decimal"/>
      <w:lvlText w:val=""/>
      <w:lvlJc w:val="left"/>
    </w:lvl>
    <w:lvl w:ilvl="3" w:tplc="E402C982">
      <w:numFmt w:val="decimal"/>
      <w:lvlText w:val=""/>
      <w:lvlJc w:val="left"/>
    </w:lvl>
    <w:lvl w:ilvl="4" w:tplc="02D64578">
      <w:numFmt w:val="decimal"/>
      <w:lvlText w:val=""/>
      <w:lvlJc w:val="left"/>
    </w:lvl>
    <w:lvl w:ilvl="5" w:tplc="62DE7860">
      <w:numFmt w:val="decimal"/>
      <w:lvlText w:val=""/>
      <w:lvlJc w:val="left"/>
    </w:lvl>
    <w:lvl w:ilvl="6" w:tplc="58B69BAA">
      <w:numFmt w:val="decimal"/>
      <w:lvlText w:val=""/>
      <w:lvlJc w:val="left"/>
    </w:lvl>
    <w:lvl w:ilvl="7" w:tplc="420E9036">
      <w:numFmt w:val="decimal"/>
      <w:lvlText w:val=""/>
      <w:lvlJc w:val="left"/>
    </w:lvl>
    <w:lvl w:ilvl="8" w:tplc="FC06227C">
      <w:numFmt w:val="decimal"/>
      <w:lvlText w:val=""/>
      <w:lvlJc w:val="left"/>
    </w:lvl>
  </w:abstractNum>
  <w:abstractNum w:abstractNumId="632" w15:restartNumberingAfterBreak="0">
    <w:nsid w:val="2F8364A7"/>
    <w:multiLevelType w:val="hybridMultilevel"/>
    <w:tmpl w:val="38662414"/>
    <w:lvl w:ilvl="0" w:tplc="945CFF0C">
      <w:start w:val="1"/>
      <w:numFmt w:val="bullet"/>
      <w:lvlText w:val=""/>
      <w:lvlJc w:val="left"/>
      <w:pPr>
        <w:ind w:left="720" w:hanging="180"/>
      </w:pPr>
      <w:rPr>
        <w:rFonts w:ascii="Symbol" w:hAnsi="Symbol" w:hint="default"/>
      </w:rPr>
    </w:lvl>
    <w:lvl w:ilvl="1" w:tplc="F7865EA6">
      <w:numFmt w:val="decimal"/>
      <w:lvlText w:val=""/>
      <w:lvlJc w:val="left"/>
    </w:lvl>
    <w:lvl w:ilvl="2" w:tplc="9364E30A">
      <w:numFmt w:val="decimal"/>
      <w:lvlText w:val=""/>
      <w:lvlJc w:val="left"/>
    </w:lvl>
    <w:lvl w:ilvl="3" w:tplc="B1127D36">
      <w:numFmt w:val="decimal"/>
      <w:lvlText w:val=""/>
      <w:lvlJc w:val="left"/>
    </w:lvl>
    <w:lvl w:ilvl="4" w:tplc="0C86ADA6">
      <w:numFmt w:val="decimal"/>
      <w:lvlText w:val=""/>
      <w:lvlJc w:val="left"/>
    </w:lvl>
    <w:lvl w:ilvl="5" w:tplc="272ABC5C">
      <w:numFmt w:val="decimal"/>
      <w:lvlText w:val=""/>
      <w:lvlJc w:val="left"/>
    </w:lvl>
    <w:lvl w:ilvl="6" w:tplc="BAB41000">
      <w:numFmt w:val="decimal"/>
      <w:lvlText w:val=""/>
      <w:lvlJc w:val="left"/>
    </w:lvl>
    <w:lvl w:ilvl="7" w:tplc="32C88550">
      <w:numFmt w:val="decimal"/>
      <w:lvlText w:val=""/>
      <w:lvlJc w:val="left"/>
    </w:lvl>
    <w:lvl w:ilvl="8" w:tplc="BF1AD980">
      <w:numFmt w:val="decimal"/>
      <w:lvlText w:val=""/>
      <w:lvlJc w:val="left"/>
    </w:lvl>
  </w:abstractNum>
  <w:abstractNum w:abstractNumId="633" w15:restartNumberingAfterBreak="0">
    <w:nsid w:val="2F896441"/>
    <w:multiLevelType w:val="hybridMultilevel"/>
    <w:tmpl w:val="CBB228B0"/>
    <w:lvl w:ilvl="0" w:tplc="43081D56">
      <w:numFmt w:val="decimal"/>
      <w:lvlText w:val=""/>
      <w:lvlJc w:val="left"/>
    </w:lvl>
    <w:lvl w:ilvl="1" w:tplc="C2FCD492">
      <w:start w:val="1"/>
      <w:numFmt w:val="bullet"/>
      <w:lvlText w:val=""/>
      <w:lvlJc w:val="left"/>
      <w:pPr>
        <w:ind w:left="1440" w:hanging="180"/>
      </w:pPr>
      <w:rPr>
        <w:rFonts w:ascii="Symbol" w:hAnsi="Symbol" w:hint="default"/>
      </w:rPr>
    </w:lvl>
    <w:lvl w:ilvl="2" w:tplc="8C38D60A">
      <w:numFmt w:val="decimal"/>
      <w:lvlText w:val=""/>
      <w:lvlJc w:val="left"/>
    </w:lvl>
    <w:lvl w:ilvl="3" w:tplc="DF9AC29E">
      <w:numFmt w:val="decimal"/>
      <w:lvlText w:val=""/>
      <w:lvlJc w:val="left"/>
    </w:lvl>
    <w:lvl w:ilvl="4" w:tplc="A29EFB3C">
      <w:numFmt w:val="decimal"/>
      <w:lvlText w:val=""/>
      <w:lvlJc w:val="left"/>
    </w:lvl>
    <w:lvl w:ilvl="5" w:tplc="B6C8AF66">
      <w:numFmt w:val="decimal"/>
      <w:lvlText w:val=""/>
      <w:lvlJc w:val="left"/>
    </w:lvl>
    <w:lvl w:ilvl="6" w:tplc="55DAF5EE">
      <w:numFmt w:val="decimal"/>
      <w:lvlText w:val=""/>
      <w:lvlJc w:val="left"/>
    </w:lvl>
    <w:lvl w:ilvl="7" w:tplc="475AC834">
      <w:numFmt w:val="decimal"/>
      <w:lvlText w:val=""/>
      <w:lvlJc w:val="left"/>
    </w:lvl>
    <w:lvl w:ilvl="8" w:tplc="0E565226">
      <w:numFmt w:val="decimal"/>
      <w:lvlText w:val=""/>
      <w:lvlJc w:val="left"/>
    </w:lvl>
  </w:abstractNum>
  <w:abstractNum w:abstractNumId="634" w15:restartNumberingAfterBreak="0">
    <w:nsid w:val="2F8C3B94"/>
    <w:multiLevelType w:val="hybridMultilevel"/>
    <w:tmpl w:val="C8AE4404"/>
    <w:lvl w:ilvl="0" w:tplc="A896104E">
      <w:numFmt w:val="decimal"/>
      <w:lvlText w:val=""/>
      <w:lvlJc w:val="left"/>
    </w:lvl>
    <w:lvl w:ilvl="1" w:tplc="F392A9F2">
      <w:start w:val="1"/>
      <w:numFmt w:val="bullet"/>
      <w:lvlText w:val=""/>
      <w:lvlJc w:val="left"/>
      <w:pPr>
        <w:ind w:left="1440" w:hanging="180"/>
      </w:pPr>
      <w:rPr>
        <w:rFonts w:ascii="Symbol" w:hAnsi="Symbol" w:hint="default"/>
      </w:rPr>
    </w:lvl>
    <w:lvl w:ilvl="2" w:tplc="34E0D96E">
      <w:numFmt w:val="decimal"/>
      <w:lvlText w:val=""/>
      <w:lvlJc w:val="left"/>
    </w:lvl>
    <w:lvl w:ilvl="3" w:tplc="04EAFC7C">
      <w:numFmt w:val="decimal"/>
      <w:lvlText w:val=""/>
      <w:lvlJc w:val="left"/>
    </w:lvl>
    <w:lvl w:ilvl="4" w:tplc="D0A62CB8">
      <w:numFmt w:val="decimal"/>
      <w:lvlText w:val=""/>
      <w:lvlJc w:val="left"/>
    </w:lvl>
    <w:lvl w:ilvl="5" w:tplc="F5125A50">
      <w:numFmt w:val="decimal"/>
      <w:lvlText w:val=""/>
      <w:lvlJc w:val="left"/>
    </w:lvl>
    <w:lvl w:ilvl="6" w:tplc="243A3F74">
      <w:numFmt w:val="decimal"/>
      <w:lvlText w:val=""/>
      <w:lvlJc w:val="left"/>
    </w:lvl>
    <w:lvl w:ilvl="7" w:tplc="9586B478">
      <w:numFmt w:val="decimal"/>
      <w:lvlText w:val=""/>
      <w:lvlJc w:val="left"/>
    </w:lvl>
    <w:lvl w:ilvl="8" w:tplc="E0D4B25C">
      <w:numFmt w:val="decimal"/>
      <w:lvlText w:val=""/>
      <w:lvlJc w:val="left"/>
    </w:lvl>
  </w:abstractNum>
  <w:abstractNum w:abstractNumId="635" w15:restartNumberingAfterBreak="0">
    <w:nsid w:val="2FA33166"/>
    <w:multiLevelType w:val="hybridMultilevel"/>
    <w:tmpl w:val="AE28A73A"/>
    <w:lvl w:ilvl="0" w:tplc="F9ACEB8C">
      <w:start w:val="1"/>
      <w:numFmt w:val="bullet"/>
      <w:lvlText w:val=""/>
      <w:lvlJc w:val="left"/>
      <w:pPr>
        <w:ind w:left="720" w:hanging="180"/>
      </w:pPr>
      <w:rPr>
        <w:rFonts w:ascii="Symbol" w:hAnsi="Symbol" w:hint="default"/>
      </w:rPr>
    </w:lvl>
    <w:lvl w:ilvl="1" w:tplc="E6E689D8">
      <w:numFmt w:val="decimal"/>
      <w:lvlText w:val=""/>
      <w:lvlJc w:val="left"/>
    </w:lvl>
    <w:lvl w:ilvl="2" w:tplc="A4A0F720">
      <w:numFmt w:val="decimal"/>
      <w:lvlText w:val=""/>
      <w:lvlJc w:val="left"/>
    </w:lvl>
    <w:lvl w:ilvl="3" w:tplc="492CB098">
      <w:numFmt w:val="decimal"/>
      <w:lvlText w:val=""/>
      <w:lvlJc w:val="left"/>
    </w:lvl>
    <w:lvl w:ilvl="4" w:tplc="3D3ED9B8">
      <w:numFmt w:val="decimal"/>
      <w:lvlText w:val=""/>
      <w:lvlJc w:val="left"/>
    </w:lvl>
    <w:lvl w:ilvl="5" w:tplc="0F023670">
      <w:numFmt w:val="decimal"/>
      <w:lvlText w:val=""/>
      <w:lvlJc w:val="left"/>
    </w:lvl>
    <w:lvl w:ilvl="6" w:tplc="F75E5B2C">
      <w:numFmt w:val="decimal"/>
      <w:lvlText w:val=""/>
      <w:lvlJc w:val="left"/>
    </w:lvl>
    <w:lvl w:ilvl="7" w:tplc="0FBE2868">
      <w:numFmt w:val="decimal"/>
      <w:lvlText w:val=""/>
      <w:lvlJc w:val="left"/>
    </w:lvl>
    <w:lvl w:ilvl="8" w:tplc="96769F90">
      <w:numFmt w:val="decimal"/>
      <w:lvlText w:val=""/>
      <w:lvlJc w:val="left"/>
    </w:lvl>
  </w:abstractNum>
  <w:abstractNum w:abstractNumId="636" w15:restartNumberingAfterBreak="0">
    <w:nsid w:val="2FAD3672"/>
    <w:multiLevelType w:val="hybridMultilevel"/>
    <w:tmpl w:val="FBDE13DC"/>
    <w:lvl w:ilvl="0" w:tplc="49406CC8">
      <w:start w:val="1"/>
      <w:numFmt w:val="bullet"/>
      <w:lvlText w:val=""/>
      <w:lvlJc w:val="left"/>
      <w:pPr>
        <w:ind w:left="720" w:hanging="180"/>
      </w:pPr>
      <w:rPr>
        <w:rFonts w:ascii="Symbol" w:hAnsi="Symbol" w:hint="default"/>
      </w:rPr>
    </w:lvl>
    <w:lvl w:ilvl="1" w:tplc="C9D810FE">
      <w:numFmt w:val="decimal"/>
      <w:lvlText w:val=""/>
      <w:lvlJc w:val="left"/>
    </w:lvl>
    <w:lvl w:ilvl="2" w:tplc="1D14F9A2">
      <w:numFmt w:val="decimal"/>
      <w:lvlText w:val=""/>
      <w:lvlJc w:val="left"/>
    </w:lvl>
    <w:lvl w:ilvl="3" w:tplc="5B7CFDB0">
      <w:numFmt w:val="decimal"/>
      <w:lvlText w:val=""/>
      <w:lvlJc w:val="left"/>
    </w:lvl>
    <w:lvl w:ilvl="4" w:tplc="0A941300">
      <w:numFmt w:val="decimal"/>
      <w:lvlText w:val=""/>
      <w:lvlJc w:val="left"/>
    </w:lvl>
    <w:lvl w:ilvl="5" w:tplc="2BAE2C56">
      <w:numFmt w:val="decimal"/>
      <w:lvlText w:val=""/>
      <w:lvlJc w:val="left"/>
    </w:lvl>
    <w:lvl w:ilvl="6" w:tplc="62163A6A">
      <w:numFmt w:val="decimal"/>
      <w:lvlText w:val=""/>
      <w:lvlJc w:val="left"/>
    </w:lvl>
    <w:lvl w:ilvl="7" w:tplc="6C1AA83A">
      <w:numFmt w:val="decimal"/>
      <w:lvlText w:val=""/>
      <w:lvlJc w:val="left"/>
    </w:lvl>
    <w:lvl w:ilvl="8" w:tplc="3488C44C">
      <w:numFmt w:val="decimal"/>
      <w:lvlText w:val=""/>
      <w:lvlJc w:val="left"/>
    </w:lvl>
  </w:abstractNum>
  <w:abstractNum w:abstractNumId="637" w15:restartNumberingAfterBreak="0">
    <w:nsid w:val="2FB621E3"/>
    <w:multiLevelType w:val="hybridMultilevel"/>
    <w:tmpl w:val="86B44C10"/>
    <w:lvl w:ilvl="0" w:tplc="86EEEA82">
      <w:numFmt w:val="decimal"/>
      <w:lvlText w:val=""/>
      <w:lvlJc w:val="left"/>
    </w:lvl>
    <w:lvl w:ilvl="1" w:tplc="1932D92C">
      <w:start w:val="1"/>
      <w:numFmt w:val="bullet"/>
      <w:lvlText w:val=""/>
      <w:lvlJc w:val="left"/>
      <w:pPr>
        <w:ind w:left="1440" w:hanging="180"/>
      </w:pPr>
      <w:rPr>
        <w:rFonts w:ascii="Symbol" w:hAnsi="Symbol" w:hint="default"/>
      </w:rPr>
    </w:lvl>
    <w:lvl w:ilvl="2" w:tplc="032A9E1C">
      <w:numFmt w:val="decimal"/>
      <w:lvlText w:val=""/>
      <w:lvlJc w:val="left"/>
    </w:lvl>
    <w:lvl w:ilvl="3" w:tplc="46908AD4">
      <w:numFmt w:val="decimal"/>
      <w:lvlText w:val=""/>
      <w:lvlJc w:val="left"/>
    </w:lvl>
    <w:lvl w:ilvl="4" w:tplc="58DC68B6">
      <w:numFmt w:val="decimal"/>
      <w:lvlText w:val=""/>
      <w:lvlJc w:val="left"/>
    </w:lvl>
    <w:lvl w:ilvl="5" w:tplc="781C5E36">
      <w:numFmt w:val="decimal"/>
      <w:lvlText w:val=""/>
      <w:lvlJc w:val="left"/>
    </w:lvl>
    <w:lvl w:ilvl="6" w:tplc="95600F5C">
      <w:numFmt w:val="decimal"/>
      <w:lvlText w:val=""/>
      <w:lvlJc w:val="left"/>
    </w:lvl>
    <w:lvl w:ilvl="7" w:tplc="B40E0868">
      <w:numFmt w:val="decimal"/>
      <w:lvlText w:val=""/>
      <w:lvlJc w:val="left"/>
    </w:lvl>
    <w:lvl w:ilvl="8" w:tplc="DDD85B26">
      <w:numFmt w:val="decimal"/>
      <w:lvlText w:val=""/>
      <w:lvlJc w:val="left"/>
    </w:lvl>
  </w:abstractNum>
  <w:abstractNum w:abstractNumId="638" w15:restartNumberingAfterBreak="0">
    <w:nsid w:val="2FBA2608"/>
    <w:multiLevelType w:val="hybridMultilevel"/>
    <w:tmpl w:val="696A8F76"/>
    <w:lvl w:ilvl="0" w:tplc="4F1447B8">
      <w:numFmt w:val="decimal"/>
      <w:lvlText w:val=""/>
      <w:lvlJc w:val="left"/>
    </w:lvl>
    <w:lvl w:ilvl="1" w:tplc="D77EB4F0">
      <w:start w:val="1"/>
      <w:numFmt w:val="bullet"/>
      <w:lvlText w:val=""/>
      <w:lvlJc w:val="left"/>
      <w:pPr>
        <w:ind w:left="1440" w:hanging="180"/>
      </w:pPr>
      <w:rPr>
        <w:rFonts w:ascii="Symbol" w:hAnsi="Symbol" w:hint="default"/>
      </w:rPr>
    </w:lvl>
    <w:lvl w:ilvl="2" w:tplc="EFC27AF4">
      <w:numFmt w:val="decimal"/>
      <w:lvlText w:val=""/>
      <w:lvlJc w:val="left"/>
    </w:lvl>
    <w:lvl w:ilvl="3" w:tplc="50E4BF84">
      <w:numFmt w:val="decimal"/>
      <w:lvlText w:val=""/>
      <w:lvlJc w:val="left"/>
    </w:lvl>
    <w:lvl w:ilvl="4" w:tplc="DD128AB6">
      <w:numFmt w:val="decimal"/>
      <w:lvlText w:val=""/>
      <w:lvlJc w:val="left"/>
    </w:lvl>
    <w:lvl w:ilvl="5" w:tplc="0A585378">
      <w:numFmt w:val="decimal"/>
      <w:lvlText w:val=""/>
      <w:lvlJc w:val="left"/>
    </w:lvl>
    <w:lvl w:ilvl="6" w:tplc="B0428B82">
      <w:numFmt w:val="decimal"/>
      <w:lvlText w:val=""/>
      <w:lvlJc w:val="left"/>
    </w:lvl>
    <w:lvl w:ilvl="7" w:tplc="A3126040">
      <w:numFmt w:val="decimal"/>
      <w:lvlText w:val=""/>
      <w:lvlJc w:val="left"/>
    </w:lvl>
    <w:lvl w:ilvl="8" w:tplc="F7784042">
      <w:numFmt w:val="decimal"/>
      <w:lvlText w:val=""/>
      <w:lvlJc w:val="left"/>
    </w:lvl>
  </w:abstractNum>
  <w:abstractNum w:abstractNumId="639" w15:restartNumberingAfterBreak="0">
    <w:nsid w:val="2FBD185B"/>
    <w:multiLevelType w:val="hybridMultilevel"/>
    <w:tmpl w:val="400454D6"/>
    <w:lvl w:ilvl="0" w:tplc="0792C9DC">
      <w:start w:val="1"/>
      <w:numFmt w:val="bullet"/>
      <w:lvlText w:val=""/>
      <w:lvlJc w:val="left"/>
      <w:pPr>
        <w:ind w:left="720" w:hanging="180"/>
      </w:pPr>
      <w:rPr>
        <w:rFonts w:ascii="Symbol" w:hAnsi="Symbol" w:hint="default"/>
      </w:rPr>
    </w:lvl>
    <w:lvl w:ilvl="1" w:tplc="7E9815FE">
      <w:numFmt w:val="decimal"/>
      <w:lvlText w:val=""/>
      <w:lvlJc w:val="left"/>
    </w:lvl>
    <w:lvl w:ilvl="2" w:tplc="09EE370E">
      <w:numFmt w:val="decimal"/>
      <w:lvlText w:val=""/>
      <w:lvlJc w:val="left"/>
    </w:lvl>
    <w:lvl w:ilvl="3" w:tplc="A1CC7FC8">
      <w:numFmt w:val="decimal"/>
      <w:lvlText w:val=""/>
      <w:lvlJc w:val="left"/>
    </w:lvl>
    <w:lvl w:ilvl="4" w:tplc="8A0C6C2A">
      <w:numFmt w:val="decimal"/>
      <w:lvlText w:val=""/>
      <w:lvlJc w:val="left"/>
    </w:lvl>
    <w:lvl w:ilvl="5" w:tplc="F3547A50">
      <w:numFmt w:val="decimal"/>
      <w:lvlText w:val=""/>
      <w:lvlJc w:val="left"/>
    </w:lvl>
    <w:lvl w:ilvl="6" w:tplc="EECA837E">
      <w:numFmt w:val="decimal"/>
      <w:lvlText w:val=""/>
      <w:lvlJc w:val="left"/>
    </w:lvl>
    <w:lvl w:ilvl="7" w:tplc="F1BC6ABE">
      <w:numFmt w:val="decimal"/>
      <w:lvlText w:val=""/>
      <w:lvlJc w:val="left"/>
    </w:lvl>
    <w:lvl w:ilvl="8" w:tplc="929049FA">
      <w:numFmt w:val="decimal"/>
      <w:lvlText w:val=""/>
      <w:lvlJc w:val="left"/>
    </w:lvl>
  </w:abstractNum>
  <w:abstractNum w:abstractNumId="640" w15:restartNumberingAfterBreak="0">
    <w:nsid w:val="2FD4101C"/>
    <w:multiLevelType w:val="hybridMultilevel"/>
    <w:tmpl w:val="48404424"/>
    <w:lvl w:ilvl="0" w:tplc="A5FE970C">
      <w:start w:val="1"/>
      <w:numFmt w:val="bullet"/>
      <w:lvlText w:val=""/>
      <w:lvlJc w:val="left"/>
      <w:pPr>
        <w:ind w:left="720" w:hanging="180"/>
      </w:pPr>
      <w:rPr>
        <w:rFonts w:ascii="Symbol" w:hAnsi="Symbol" w:hint="default"/>
      </w:rPr>
    </w:lvl>
    <w:lvl w:ilvl="1" w:tplc="2FFC1D5C">
      <w:numFmt w:val="decimal"/>
      <w:lvlText w:val=""/>
      <w:lvlJc w:val="left"/>
    </w:lvl>
    <w:lvl w:ilvl="2" w:tplc="95D2285C">
      <w:numFmt w:val="decimal"/>
      <w:lvlText w:val=""/>
      <w:lvlJc w:val="left"/>
    </w:lvl>
    <w:lvl w:ilvl="3" w:tplc="A1CA3C8E">
      <w:numFmt w:val="decimal"/>
      <w:lvlText w:val=""/>
      <w:lvlJc w:val="left"/>
    </w:lvl>
    <w:lvl w:ilvl="4" w:tplc="692AD120">
      <w:numFmt w:val="decimal"/>
      <w:lvlText w:val=""/>
      <w:lvlJc w:val="left"/>
    </w:lvl>
    <w:lvl w:ilvl="5" w:tplc="6114BAA2">
      <w:numFmt w:val="decimal"/>
      <w:lvlText w:val=""/>
      <w:lvlJc w:val="left"/>
    </w:lvl>
    <w:lvl w:ilvl="6" w:tplc="6C72C51C">
      <w:numFmt w:val="decimal"/>
      <w:lvlText w:val=""/>
      <w:lvlJc w:val="left"/>
    </w:lvl>
    <w:lvl w:ilvl="7" w:tplc="75441408">
      <w:numFmt w:val="decimal"/>
      <w:lvlText w:val=""/>
      <w:lvlJc w:val="left"/>
    </w:lvl>
    <w:lvl w:ilvl="8" w:tplc="D1287CEE">
      <w:numFmt w:val="decimal"/>
      <w:lvlText w:val=""/>
      <w:lvlJc w:val="left"/>
    </w:lvl>
  </w:abstractNum>
  <w:abstractNum w:abstractNumId="641" w15:restartNumberingAfterBreak="0">
    <w:nsid w:val="2FD65C4A"/>
    <w:multiLevelType w:val="hybridMultilevel"/>
    <w:tmpl w:val="A0E603AE"/>
    <w:lvl w:ilvl="0" w:tplc="A946627A">
      <w:start w:val="1"/>
      <w:numFmt w:val="bullet"/>
      <w:lvlText w:val=""/>
      <w:lvlJc w:val="left"/>
      <w:pPr>
        <w:ind w:left="720" w:hanging="180"/>
      </w:pPr>
      <w:rPr>
        <w:rFonts w:ascii="Symbol" w:hAnsi="Symbol" w:hint="default"/>
      </w:rPr>
    </w:lvl>
    <w:lvl w:ilvl="1" w:tplc="5246BF2A">
      <w:numFmt w:val="decimal"/>
      <w:lvlText w:val=""/>
      <w:lvlJc w:val="left"/>
    </w:lvl>
    <w:lvl w:ilvl="2" w:tplc="4F12E866">
      <w:numFmt w:val="decimal"/>
      <w:lvlText w:val=""/>
      <w:lvlJc w:val="left"/>
    </w:lvl>
    <w:lvl w:ilvl="3" w:tplc="3B768B02">
      <w:numFmt w:val="decimal"/>
      <w:lvlText w:val=""/>
      <w:lvlJc w:val="left"/>
    </w:lvl>
    <w:lvl w:ilvl="4" w:tplc="606466B4">
      <w:numFmt w:val="decimal"/>
      <w:lvlText w:val=""/>
      <w:lvlJc w:val="left"/>
    </w:lvl>
    <w:lvl w:ilvl="5" w:tplc="954E6D28">
      <w:numFmt w:val="decimal"/>
      <w:lvlText w:val=""/>
      <w:lvlJc w:val="left"/>
    </w:lvl>
    <w:lvl w:ilvl="6" w:tplc="081C7D68">
      <w:numFmt w:val="decimal"/>
      <w:lvlText w:val=""/>
      <w:lvlJc w:val="left"/>
    </w:lvl>
    <w:lvl w:ilvl="7" w:tplc="79BEC9A0">
      <w:numFmt w:val="decimal"/>
      <w:lvlText w:val=""/>
      <w:lvlJc w:val="left"/>
    </w:lvl>
    <w:lvl w:ilvl="8" w:tplc="7FC08AEE">
      <w:numFmt w:val="decimal"/>
      <w:lvlText w:val=""/>
      <w:lvlJc w:val="left"/>
    </w:lvl>
  </w:abstractNum>
  <w:abstractNum w:abstractNumId="642" w15:restartNumberingAfterBreak="0">
    <w:nsid w:val="2FE7661B"/>
    <w:multiLevelType w:val="hybridMultilevel"/>
    <w:tmpl w:val="B8760FF6"/>
    <w:lvl w:ilvl="0" w:tplc="A8264E6A">
      <w:start w:val="1"/>
      <w:numFmt w:val="bullet"/>
      <w:lvlText w:val=""/>
      <w:lvlJc w:val="left"/>
      <w:pPr>
        <w:ind w:left="720" w:hanging="180"/>
      </w:pPr>
      <w:rPr>
        <w:rFonts w:ascii="Symbol" w:hAnsi="Symbol" w:hint="default"/>
      </w:rPr>
    </w:lvl>
    <w:lvl w:ilvl="1" w:tplc="92BEF73C">
      <w:numFmt w:val="decimal"/>
      <w:lvlText w:val=""/>
      <w:lvlJc w:val="left"/>
    </w:lvl>
    <w:lvl w:ilvl="2" w:tplc="3AA4F826">
      <w:numFmt w:val="decimal"/>
      <w:lvlText w:val=""/>
      <w:lvlJc w:val="left"/>
    </w:lvl>
    <w:lvl w:ilvl="3" w:tplc="822C4D8C">
      <w:numFmt w:val="decimal"/>
      <w:lvlText w:val=""/>
      <w:lvlJc w:val="left"/>
    </w:lvl>
    <w:lvl w:ilvl="4" w:tplc="846E0636">
      <w:numFmt w:val="decimal"/>
      <w:lvlText w:val=""/>
      <w:lvlJc w:val="left"/>
    </w:lvl>
    <w:lvl w:ilvl="5" w:tplc="A5D8D940">
      <w:numFmt w:val="decimal"/>
      <w:lvlText w:val=""/>
      <w:lvlJc w:val="left"/>
    </w:lvl>
    <w:lvl w:ilvl="6" w:tplc="F2068E6A">
      <w:numFmt w:val="decimal"/>
      <w:lvlText w:val=""/>
      <w:lvlJc w:val="left"/>
    </w:lvl>
    <w:lvl w:ilvl="7" w:tplc="0308CC62">
      <w:numFmt w:val="decimal"/>
      <w:lvlText w:val=""/>
      <w:lvlJc w:val="left"/>
    </w:lvl>
    <w:lvl w:ilvl="8" w:tplc="517087B4">
      <w:numFmt w:val="decimal"/>
      <w:lvlText w:val=""/>
      <w:lvlJc w:val="left"/>
    </w:lvl>
  </w:abstractNum>
  <w:abstractNum w:abstractNumId="643" w15:restartNumberingAfterBreak="0">
    <w:nsid w:val="2FED5FF5"/>
    <w:multiLevelType w:val="hybridMultilevel"/>
    <w:tmpl w:val="1B12F6E6"/>
    <w:lvl w:ilvl="0" w:tplc="63C4B268">
      <w:start w:val="1"/>
      <w:numFmt w:val="bullet"/>
      <w:lvlText w:val=""/>
      <w:lvlJc w:val="left"/>
      <w:pPr>
        <w:ind w:left="720" w:hanging="180"/>
      </w:pPr>
      <w:rPr>
        <w:rFonts w:ascii="Symbol" w:hAnsi="Symbol" w:hint="default"/>
      </w:rPr>
    </w:lvl>
    <w:lvl w:ilvl="1" w:tplc="B7829C20">
      <w:numFmt w:val="decimal"/>
      <w:lvlText w:val=""/>
      <w:lvlJc w:val="left"/>
    </w:lvl>
    <w:lvl w:ilvl="2" w:tplc="163A335A">
      <w:numFmt w:val="decimal"/>
      <w:lvlText w:val=""/>
      <w:lvlJc w:val="left"/>
    </w:lvl>
    <w:lvl w:ilvl="3" w:tplc="52060F26">
      <w:numFmt w:val="decimal"/>
      <w:lvlText w:val=""/>
      <w:lvlJc w:val="left"/>
    </w:lvl>
    <w:lvl w:ilvl="4" w:tplc="81CC0970">
      <w:numFmt w:val="decimal"/>
      <w:lvlText w:val=""/>
      <w:lvlJc w:val="left"/>
    </w:lvl>
    <w:lvl w:ilvl="5" w:tplc="55528174">
      <w:numFmt w:val="decimal"/>
      <w:lvlText w:val=""/>
      <w:lvlJc w:val="left"/>
    </w:lvl>
    <w:lvl w:ilvl="6" w:tplc="DE7A74BE">
      <w:numFmt w:val="decimal"/>
      <w:lvlText w:val=""/>
      <w:lvlJc w:val="left"/>
    </w:lvl>
    <w:lvl w:ilvl="7" w:tplc="21B0B0CC">
      <w:numFmt w:val="decimal"/>
      <w:lvlText w:val=""/>
      <w:lvlJc w:val="left"/>
    </w:lvl>
    <w:lvl w:ilvl="8" w:tplc="1E96C60E">
      <w:numFmt w:val="decimal"/>
      <w:lvlText w:val=""/>
      <w:lvlJc w:val="left"/>
    </w:lvl>
  </w:abstractNum>
  <w:abstractNum w:abstractNumId="644" w15:restartNumberingAfterBreak="0">
    <w:nsid w:val="301B4205"/>
    <w:multiLevelType w:val="hybridMultilevel"/>
    <w:tmpl w:val="E13AF7F4"/>
    <w:lvl w:ilvl="0" w:tplc="104EF648">
      <w:start w:val="1"/>
      <w:numFmt w:val="bullet"/>
      <w:lvlText w:val=""/>
      <w:lvlJc w:val="left"/>
      <w:pPr>
        <w:ind w:left="720" w:hanging="180"/>
      </w:pPr>
      <w:rPr>
        <w:rFonts w:ascii="Symbol" w:hAnsi="Symbol" w:hint="default"/>
      </w:rPr>
    </w:lvl>
    <w:lvl w:ilvl="1" w:tplc="E1C4DDFA">
      <w:numFmt w:val="decimal"/>
      <w:lvlText w:val=""/>
      <w:lvlJc w:val="left"/>
    </w:lvl>
    <w:lvl w:ilvl="2" w:tplc="62A4C92E">
      <w:numFmt w:val="decimal"/>
      <w:lvlText w:val=""/>
      <w:lvlJc w:val="left"/>
    </w:lvl>
    <w:lvl w:ilvl="3" w:tplc="899A3D38">
      <w:numFmt w:val="decimal"/>
      <w:lvlText w:val=""/>
      <w:lvlJc w:val="left"/>
    </w:lvl>
    <w:lvl w:ilvl="4" w:tplc="0FE647D4">
      <w:numFmt w:val="decimal"/>
      <w:lvlText w:val=""/>
      <w:lvlJc w:val="left"/>
    </w:lvl>
    <w:lvl w:ilvl="5" w:tplc="141849EA">
      <w:numFmt w:val="decimal"/>
      <w:lvlText w:val=""/>
      <w:lvlJc w:val="left"/>
    </w:lvl>
    <w:lvl w:ilvl="6" w:tplc="0C7E82E0">
      <w:numFmt w:val="decimal"/>
      <w:lvlText w:val=""/>
      <w:lvlJc w:val="left"/>
    </w:lvl>
    <w:lvl w:ilvl="7" w:tplc="38F0CE7C">
      <w:numFmt w:val="decimal"/>
      <w:lvlText w:val=""/>
      <w:lvlJc w:val="left"/>
    </w:lvl>
    <w:lvl w:ilvl="8" w:tplc="0114D3EE">
      <w:numFmt w:val="decimal"/>
      <w:lvlText w:val=""/>
      <w:lvlJc w:val="left"/>
    </w:lvl>
  </w:abstractNum>
  <w:abstractNum w:abstractNumId="645" w15:restartNumberingAfterBreak="0">
    <w:nsid w:val="305D2766"/>
    <w:multiLevelType w:val="hybridMultilevel"/>
    <w:tmpl w:val="5784B934"/>
    <w:lvl w:ilvl="0" w:tplc="AFE2129C">
      <w:start w:val="1"/>
      <w:numFmt w:val="bullet"/>
      <w:lvlText w:val=""/>
      <w:lvlJc w:val="left"/>
      <w:pPr>
        <w:ind w:left="720" w:hanging="180"/>
      </w:pPr>
      <w:rPr>
        <w:rFonts w:ascii="Symbol" w:hAnsi="Symbol" w:hint="default"/>
      </w:rPr>
    </w:lvl>
    <w:lvl w:ilvl="1" w:tplc="616CE948">
      <w:numFmt w:val="decimal"/>
      <w:lvlText w:val=""/>
      <w:lvlJc w:val="left"/>
    </w:lvl>
    <w:lvl w:ilvl="2" w:tplc="2DDC9C3A">
      <w:numFmt w:val="decimal"/>
      <w:lvlText w:val=""/>
      <w:lvlJc w:val="left"/>
    </w:lvl>
    <w:lvl w:ilvl="3" w:tplc="F1C812B2">
      <w:numFmt w:val="decimal"/>
      <w:lvlText w:val=""/>
      <w:lvlJc w:val="left"/>
    </w:lvl>
    <w:lvl w:ilvl="4" w:tplc="9180444C">
      <w:numFmt w:val="decimal"/>
      <w:lvlText w:val=""/>
      <w:lvlJc w:val="left"/>
    </w:lvl>
    <w:lvl w:ilvl="5" w:tplc="A182AA8A">
      <w:numFmt w:val="decimal"/>
      <w:lvlText w:val=""/>
      <w:lvlJc w:val="left"/>
    </w:lvl>
    <w:lvl w:ilvl="6" w:tplc="E30E27A0">
      <w:numFmt w:val="decimal"/>
      <w:lvlText w:val=""/>
      <w:lvlJc w:val="left"/>
    </w:lvl>
    <w:lvl w:ilvl="7" w:tplc="720A61CA">
      <w:numFmt w:val="decimal"/>
      <w:lvlText w:val=""/>
      <w:lvlJc w:val="left"/>
    </w:lvl>
    <w:lvl w:ilvl="8" w:tplc="EFC277F0">
      <w:numFmt w:val="decimal"/>
      <w:lvlText w:val=""/>
      <w:lvlJc w:val="left"/>
    </w:lvl>
  </w:abstractNum>
  <w:abstractNum w:abstractNumId="646" w15:restartNumberingAfterBreak="0">
    <w:nsid w:val="3065504A"/>
    <w:multiLevelType w:val="hybridMultilevel"/>
    <w:tmpl w:val="F0B60CA0"/>
    <w:lvl w:ilvl="0" w:tplc="B78CF744">
      <w:start w:val="1"/>
      <w:numFmt w:val="bullet"/>
      <w:lvlText w:val=""/>
      <w:lvlJc w:val="left"/>
      <w:pPr>
        <w:ind w:left="720" w:hanging="180"/>
      </w:pPr>
      <w:rPr>
        <w:rFonts w:ascii="Symbol" w:hAnsi="Symbol" w:hint="default"/>
      </w:rPr>
    </w:lvl>
    <w:lvl w:ilvl="1" w:tplc="8398EE02">
      <w:numFmt w:val="decimal"/>
      <w:lvlText w:val=""/>
      <w:lvlJc w:val="left"/>
    </w:lvl>
    <w:lvl w:ilvl="2" w:tplc="4A504378">
      <w:numFmt w:val="decimal"/>
      <w:lvlText w:val=""/>
      <w:lvlJc w:val="left"/>
    </w:lvl>
    <w:lvl w:ilvl="3" w:tplc="A0DCA206">
      <w:numFmt w:val="decimal"/>
      <w:lvlText w:val=""/>
      <w:lvlJc w:val="left"/>
    </w:lvl>
    <w:lvl w:ilvl="4" w:tplc="37147D5A">
      <w:numFmt w:val="decimal"/>
      <w:lvlText w:val=""/>
      <w:lvlJc w:val="left"/>
    </w:lvl>
    <w:lvl w:ilvl="5" w:tplc="5D12E64E">
      <w:numFmt w:val="decimal"/>
      <w:lvlText w:val=""/>
      <w:lvlJc w:val="left"/>
    </w:lvl>
    <w:lvl w:ilvl="6" w:tplc="034CE788">
      <w:numFmt w:val="decimal"/>
      <w:lvlText w:val=""/>
      <w:lvlJc w:val="left"/>
    </w:lvl>
    <w:lvl w:ilvl="7" w:tplc="0540BA2A">
      <w:numFmt w:val="decimal"/>
      <w:lvlText w:val=""/>
      <w:lvlJc w:val="left"/>
    </w:lvl>
    <w:lvl w:ilvl="8" w:tplc="69B6D150">
      <w:numFmt w:val="decimal"/>
      <w:lvlText w:val=""/>
      <w:lvlJc w:val="left"/>
    </w:lvl>
  </w:abstractNum>
  <w:abstractNum w:abstractNumId="647" w15:restartNumberingAfterBreak="0">
    <w:nsid w:val="307D65E6"/>
    <w:multiLevelType w:val="hybridMultilevel"/>
    <w:tmpl w:val="E3E2E89E"/>
    <w:lvl w:ilvl="0" w:tplc="BBB8FC6E">
      <w:numFmt w:val="decimal"/>
      <w:lvlText w:val=""/>
      <w:lvlJc w:val="left"/>
    </w:lvl>
    <w:lvl w:ilvl="1" w:tplc="D3922B6E">
      <w:start w:val="1"/>
      <w:numFmt w:val="bullet"/>
      <w:lvlText w:val=""/>
      <w:lvlJc w:val="left"/>
      <w:pPr>
        <w:ind w:left="1440" w:hanging="180"/>
      </w:pPr>
      <w:rPr>
        <w:rFonts w:ascii="Symbol" w:hAnsi="Symbol" w:hint="default"/>
      </w:rPr>
    </w:lvl>
    <w:lvl w:ilvl="2" w:tplc="8376A4AC">
      <w:numFmt w:val="decimal"/>
      <w:lvlText w:val=""/>
      <w:lvlJc w:val="left"/>
    </w:lvl>
    <w:lvl w:ilvl="3" w:tplc="D7A69754">
      <w:numFmt w:val="decimal"/>
      <w:lvlText w:val=""/>
      <w:lvlJc w:val="left"/>
    </w:lvl>
    <w:lvl w:ilvl="4" w:tplc="F7865104">
      <w:numFmt w:val="decimal"/>
      <w:lvlText w:val=""/>
      <w:lvlJc w:val="left"/>
    </w:lvl>
    <w:lvl w:ilvl="5" w:tplc="5E544A5C">
      <w:numFmt w:val="decimal"/>
      <w:lvlText w:val=""/>
      <w:lvlJc w:val="left"/>
    </w:lvl>
    <w:lvl w:ilvl="6" w:tplc="144059B6">
      <w:numFmt w:val="decimal"/>
      <w:lvlText w:val=""/>
      <w:lvlJc w:val="left"/>
    </w:lvl>
    <w:lvl w:ilvl="7" w:tplc="389654D6">
      <w:numFmt w:val="decimal"/>
      <w:lvlText w:val=""/>
      <w:lvlJc w:val="left"/>
    </w:lvl>
    <w:lvl w:ilvl="8" w:tplc="2C041EE0">
      <w:numFmt w:val="decimal"/>
      <w:lvlText w:val=""/>
      <w:lvlJc w:val="left"/>
    </w:lvl>
  </w:abstractNum>
  <w:abstractNum w:abstractNumId="648" w15:restartNumberingAfterBreak="0">
    <w:nsid w:val="307E1D4B"/>
    <w:multiLevelType w:val="hybridMultilevel"/>
    <w:tmpl w:val="164A6D6C"/>
    <w:lvl w:ilvl="0" w:tplc="1FEC0F06">
      <w:start w:val="1"/>
      <w:numFmt w:val="bullet"/>
      <w:lvlText w:val=""/>
      <w:lvlJc w:val="left"/>
      <w:pPr>
        <w:ind w:left="720" w:hanging="180"/>
      </w:pPr>
      <w:rPr>
        <w:rFonts w:ascii="Symbol" w:hAnsi="Symbol" w:hint="default"/>
      </w:rPr>
    </w:lvl>
    <w:lvl w:ilvl="1" w:tplc="C7767262">
      <w:numFmt w:val="decimal"/>
      <w:lvlText w:val=""/>
      <w:lvlJc w:val="left"/>
    </w:lvl>
    <w:lvl w:ilvl="2" w:tplc="7506D3E8">
      <w:numFmt w:val="decimal"/>
      <w:lvlText w:val=""/>
      <w:lvlJc w:val="left"/>
    </w:lvl>
    <w:lvl w:ilvl="3" w:tplc="F2449E36">
      <w:numFmt w:val="decimal"/>
      <w:lvlText w:val=""/>
      <w:lvlJc w:val="left"/>
    </w:lvl>
    <w:lvl w:ilvl="4" w:tplc="0B54FA1A">
      <w:numFmt w:val="decimal"/>
      <w:lvlText w:val=""/>
      <w:lvlJc w:val="left"/>
    </w:lvl>
    <w:lvl w:ilvl="5" w:tplc="4DE0DF10">
      <w:numFmt w:val="decimal"/>
      <w:lvlText w:val=""/>
      <w:lvlJc w:val="left"/>
    </w:lvl>
    <w:lvl w:ilvl="6" w:tplc="F7589BF4">
      <w:numFmt w:val="decimal"/>
      <w:lvlText w:val=""/>
      <w:lvlJc w:val="left"/>
    </w:lvl>
    <w:lvl w:ilvl="7" w:tplc="7074B30A">
      <w:numFmt w:val="decimal"/>
      <w:lvlText w:val=""/>
      <w:lvlJc w:val="left"/>
    </w:lvl>
    <w:lvl w:ilvl="8" w:tplc="172AF704">
      <w:numFmt w:val="decimal"/>
      <w:lvlText w:val=""/>
      <w:lvlJc w:val="left"/>
    </w:lvl>
  </w:abstractNum>
  <w:abstractNum w:abstractNumId="649" w15:restartNumberingAfterBreak="0">
    <w:nsid w:val="308C37B4"/>
    <w:multiLevelType w:val="hybridMultilevel"/>
    <w:tmpl w:val="590A5AB0"/>
    <w:lvl w:ilvl="0" w:tplc="9EBAF49E">
      <w:start w:val="1"/>
      <w:numFmt w:val="bullet"/>
      <w:lvlText w:val=""/>
      <w:lvlJc w:val="left"/>
      <w:pPr>
        <w:ind w:left="720" w:hanging="180"/>
      </w:pPr>
      <w:rPr>
        <w:rFonts w:ascii="Symbol" w:hAnsi="Symbol" w:hint="default"/>
      </w:rPr>
    </w:lvl>
    <w:lvl w:ilvl="1" w:tplc="0404513C">
      <w:numFmt w:val="decimal"/>
      <w:lvlText w:val=""/>
      <w:lvlJc w:val="left"/>
    </w:lvl>
    <w:lvl w:ilvl="2" w:tplc="C8947F1E">
      <w:numFmt w:val="decimal"/>
      <w:lvlText w:val=""/>
      <w:lvlJc w:val="left"/>
    </w:lvl>
    <w:lvl w:ilvl="3" w:tplc="43C66D3C">
      <w:numFmt w:val="decimal"/>
      <w:lvlText w:val=""/>
      <w:lvlJc w:val="left"/>
    </w:lvl>
    <w:lvl w:ilvl="4" w:tplc="0CD0CCF4">
      <w:numFmt w:val="decimal"/>
      <w:lvlText w:val=""/>
      <w:lvlJc w:val="left"/>
    </w:lvl>
    <w:lvl w:ilvl="5" w:tplc="3B0EF60E">
      <w:numFmt w:val="decimal"/>
      <w:lvlText w:val=""/>
      <w:lvlJc w:val="left"/>
    </w:lvl>
    <w:lvl w:ilvl="6" w:tplc="2FFC4294">
      <w:numFmt w:val="decimal"/>
      <w:lvlText w:val=""/>
      <w:lvlJc w:val="left"/>
    </w:lvl>
    <w:lvl w:ilvl="7" w:tplc="8702F896">
      <w:numFmt w:val="decimal"/>
      <w:lvlText w:val=""/>
      <w:lvlJc w:val="left"/>
    </w:lvl>
    <w:lvl w:ilvl="8" w:tplc="14ECE4DC">
      <w:numFmt w:val="decimal"/>
      <w:lvlText w:val=""/>
      <w:lvlJc w:val="left"/>
    </w:lvl>
  </w:abstractNum>
  <w:abstractNum w:abstractNumId="650" w15:restartNumberingAfterBreak="0">
    <w:nsid w:val="308F1648"/>
    <w:multiLevelType w:val="hybridMultilevel"/>
    <w:tmpl w:val="FFA870B4"/>
    <w:lvl w:ilvl="0" w:tplc="33B6198E">
      <w:start w:val="1"/>
      <w:numFmt w:val="bullet"/>
      <w:lvlText w:val=""/>
      <w:lvlJc w:val="left"/>
      <w:pPr>
        <w:ind w:left="720" w:hanging="180"/>
      </w:pPr>
      <w:rPr>
        <w:rFonts w:ascii="Symbol" w:hAnsi="Symbol" w:hint="default"/>
      </w:rPr>
    </w:lvl>
    <w:lvl w:ilvl="1" w:tplc="D6422C40">
      <w:numFmt w:val="decimal"/>
      <w:lvlText w:val=""/>
      <w:lvlJc w:val="left"/>
    </w:lvl>
    <w:lvl w:ilvl="2" w:tplc="E31C5504">
      <w:numFmt w:val="decimal"/>
      <w:lvlText w:val=""/>
      <w:lvlJc w:val="left"/>
    </w:lvl>
    <w:lvl w:ilvl="3" w:tplc="F2568C24">
      <w:numFmt w:val="decimal"/>
      <w:lvlText w:val=""/>
      <w:lvlJc w:val="left"/>
    </w:lvl>
    <w:lvl w:ilvl="4" w:tplc="A96C11B2">
      <w:numFmt w:val="decimal"/>
      <w:lvlText w:val=""/>
      <w:lvlJc w:val="left"/>
    </w:lvl>
    <w:lvl w:ilvl="5" w:tplc="403A465A">
      <w:numFmt w:val="decimal"/>
      <w:lvlText w:val=""/>
      <w:lvlJc w:val="left"/>
    </w:lvl>
    <w:lvl w:ilvl="6" w:tplc="5F20B5B2">
      <w:numFmt w:val="decimal"/>
      <w:lvlText w:val=""/>
      <w:lvlJc w:val="left"/>
    </w:lvl>
    <w:lvl w:ilvl="7" w:tplc="186A2316">
      <w:numFmt w:val="decimal"/>
      <w:lvlText w:val=""/>
      <w:lvlJc w:val="left"/>
    </w:lvl>
    <w:lvl w:ilvl="8" w:tplc="6C9AAC24">
      <w:numFmt w:val="decimal"/>
      <w:lvlText w:val=""/>
      <w:lvlJc w:val="left"/>
    </w:lvl>
  </w:abstractNum>
  <w:abstractNum w:abstractNumId="651" w15:restartNumberingAfterBreak="0">
    <w:nsid w:val="30BB32DD"/>
    <w:multiLevelType w:val="hybridMultilevel"/>
    <w:tmpl w:val="1F4E37C0"/>
    <w:lvl w:ilvl="0" w:tplc="4D14569E">
      <w:start w:val="1"/>
      <w:numFmt w:val="bullet"/>
      <w:lvlText w:val=""/>
      <w:lvlJc w:val="left"/>
      <w:pPr>
        <w:ind w:left="720" w:hanging="180"/>
      </w:pPr>
      <w:rPr>
        <w:rFonts w:ascii="Symbol" w:hAnsi="Symbol" w:hint="default"/>
      </w:rPr>
    </w:lvl>
    <w:lvl w:ilvl="1" w:tplc="6650A9A4">
      <w:numFmt w:val="decimal"/>
      <w:lvlText w:val=""/>
      <w:lvlJc w:val="left"/>
    </w:lvl>
    <w:lvl w:ilvl="2" w:tplc="9D98406C">
      <w:numFmt w:val="decimal"/>
      <w:lvlText w:val=""/>
      <w:lvlJc w:val="left"/>
    </w:lvl>
    <w:lvl w:ilvl="3" w:tplc="E690A874">
      <w:numFmt w:val="decimal"/>
      <w:lvlText w:val=""/>
      <w:lvlJc w:val="left"/>
    </w:lvl>
    <w:lvl w:ilvl="4" w:tplc="D80A99F2">
      <w:numFmt w:val="decimal"/>
      <w:lvlText w:val=""/>
      <w:lvlJc w:val="left"/>
    </w:lvl>
    <w:lvl w:ilvl="5" w:tplc="64F0AB0E">
      <w:numFmt w:val="decimal"/>
      <w:lvlText w:val=""/>
      <w:lvlJc w:val="left"/>
    </w:lvl>
    <w:lvl w:ilvl="6" w:tplc="A21A60DE">
      <w:numFmt w:val="decimal"/>
      <w:lvlText w:val=""/>
      <w:lvlJc w:val="left"/>
    </w:lvl>
    <w:lvl w:ilvl="7" w:tplc="B78C1790">
      <w:numFmt w:val="decimal"/>
      <w:lvlText w:val=""/>
      <w:lvlJc w:val="left"/>
    </w:lvl>
    <w:lvl w:ilvl="8" w:tplc="6450BC0C">
      <w:numFmt w:val="decimal"/>
      <w:lvlText w:val=""/>
      <w:lvlJc w:val="left"/>
    </w:lvl>
  </w:abstractNum>
  <w:abstractNum w:abstractNumId="652" w15:restartNumberingAfterBreak="0">
    <w:nsid w:val="30DD4F7A"/>
    <w:multiLevelType w:val="hybridMultilevel"/>
    <w:tmpl w:val="92B6BBF8"/>
    <w:lvl w:ilvl="0" w:tplc="B5D2CBF0">
      <w:start w:val="1"/>
      <w:numFmt w:val="bullet"/>
      <w:lvlText w:val=""/>
      <w:lvlJc w:val="left"/>
      <w:pPr>
        <w:ind w:left="720" w:hanging="180"/>
      </w:pPr>
      <w:rPr>
        <w:rFonts w:ascii="Symbol" w:hAnsi="Symbol" w:hint="default"/>
      </w:rPr>
    </w:lvl>
    <w:lvl w:ilvl="1" w:tplc="4AC26B92">
      <w:numFmt w:val="decimal"/>
      <w:lvlText w:val=""/>
      <w:lvlJc w:val="left"/>
    </w:lvl>
    <w:lvl w:ilvl="2" w:tplc="1F9AA9D2">
      <w:numFmt w:val="decimal"/>
      <w:lvlText w:val=""/>
      <w:lvlJc w:val="left"/>
    </w:lvl>
    <w:lvl w:ilvl="3" w:tplc="5ED47396">
      <w:numFmt w:val="decimal"/>
      <w:lvlText w:val=""/>
      <w:lvlJc w:val="left"/>
    </w:lvl>
    <w:lvl w:ilvl="4" w:tplc="D17C3D2E">
      <w:numFmt w:val="decimal"/>
      <w:lvlText w:val=""/>
      <w:lvlJc w:val="left"/>
    </w:lvl>
    <w:lvl w:ilvl="5" w:tplc="78FCC4EC">
      <w:numFmt w:val="decimal"/>
      <w:lvlText w:val=""/>
      <w:lvlJc w:val="left"/>
    </w:lvl>
    <w:lvl w:ilvl="6" w:tplc="37DC59C6">
      <w:numFmt w:val="decimal"/>
      <w:lvlText w:val=""/>
      <w:lvlJc w:val="left"/>
    </w:lvl>
    <w:lvl w:ilvl="7" w:tplc="9E28EDA6">
      <w:numFmt w:val="decimal"/>
      <w:lvlText w:val=""/>
      <w:lvlJc w:val="left"/>
    </w:lvl>
    <w:lvl w:ilvl="8" w:tplc="8DEE57B8">
      <w:numFmt w:val="decimal"/>
      <w:lvlText w:val=""/>
      <w:lvlJc w:val="left"/>
    </w:lvl>
  </w:abstractNum>
  <w:abstractNum w:abstractNumId="653" w15:restartNumberingAfterBreak="0">
    <w:nsid w:val="30DF27D6"/>
    <w:multiLevelType w:val="hybridMultilevel"/>
    <w:tmpl w:val="065C394C"/>
    <w:lvl w:ilvl="0" w:tplc="98F8D126">
      <w:start w:val="1"/>
      <w:numFmt w:val="bullet"/>
      <w:lvlText w:val=""/>
      <w:lvlJc w:val="left"/>
      <w:pPr>
        <w:ind w:left="720" w:hanging="180"/>
      </w:pPr>
      <w:rPr>
        <w:rFonts w:ascii="Symbol" w:hAnsi="Symbol" w:hint="default"/>
      </w:rPr>
    </w:lvl>
    <w:lvl w:ilvl="1" w:tplc="150A9CDE">
      <w:numFmt w:val="decimal"/>
      <w:lvlText w:val=""/>
      <w:lvlJc w:val="left"/>
    </w:lvl>
    <w:lvl w:ilvl="2" w:tplc="83EC8B42">
      <w:numFmt w:val="decimal"/>
      <w:lvlText w:val=""/>
      <w:lvlJc w:val="left"/>
    </w:lvl>
    <w:lvl w:ilvl="3" w:tplc="DA2C7FC2">
      <w:numFmt w:val="decimal"/>
      <w:lvlText w:val=""/>
      <w:lvlJc w:val="left"/>
    </w:lvl>
    <w:lvl w:ilvl="4" w:tplc="C1B6E2DC">
      <w:numFmt w:val="decimal"/>
      <w:lvlText w:val=""/>
      <w:lvlJc w:val="left"/>
    </w:lvl>
    <w:lvl w:ilvl="5" w:tplc="D68A2C52">
      <w:numFmt w:val="decimal"/>
      <w:lvlText w:val=""/>
      <w:lvlJc w:val="left"/>
    </w:lvl>
    <w:lvl w:ilvl="6" w:tplc="ADC6F662">
      <w:numFmt w:val="decimal"/>
      <w:lvlText w:val=""/>
      <w:lvlJc w:val="left"/>
    </w:lvl>
    <w:lvl w:ilvl="7" w:tplc="BA6C3EBE">
      <w:numFmt w:val="decimal"/>
      <w:lvlText w:val=""/>
      <w:lvlJc w:val="left"/>
    </w:lvl>
    <w:lvl w:ilvl="8" w:tplc="4AC25328">
      <w:numFmt w:val="decimal"/>
      <w:lvlText w:val=""/>
      <w:lvlJc w:val="left"/>
    </w:lvl>
  </w:abstractNum>
  <w:abstractNum w:abstractNumId="654" w15:restartNumberingAfterBreak="0">
    <w:nsid w:val="30E444CC"/>
    <w:multiLevelType w:val="hybridMultilevel"/>
    <w:tmpl w:val="06BEF9B2"/>
    <w:lvl w:ilvl="0" w:tplc="DA6AB0F0">
      <w:start w:val="1"/>
      <w:numFmt w:val="bullet"/>
      <w:lvlText w:val=""/>
      <w:lvlJc w:val="left"/>
      <w:pPr>
        <w:ind w:left="720" w:hanging="180"/>
      </w:pPr>
      <w:rPr>
        <w:rFonts w:ascii="Symbol" w:hAnsi="Symbol" w:hint="default"/>
      </w:rPr>
    </w:lvl>
    <w:lvl w:ilvl="1" w:tplc="7C88D422">
      <w:numFmt w:val="decimal"/>
      <w:lvlText w:val=""/>
      <w:lvlJc w:val="left"/>
    </w:lvl>
    <w:lvl w:ilvl="2" w:tplc="D1CC2A74">
      <w:numFmt w:val="decimal"/>
      <w:lvlText w:val=""/>
      <w:lvlJc w:val="left"/>
    </w:lvl>
    <w:lvl w:ilvl="3" w:tplc="13EA4F00">
      <w:numFmt w:val="decimal"/>
      <w:lvlText w:val=""/>
      <w:lvlJc w:val="left"/>
    </w:lvl>
    <w:lvl w:ilvl="4" w:tplc="286E69DA">
      <w:numFmt w:val="decimal"/>
      <w:lvlText w:val=""/>
      <w:lvlJc w:val="left"/>
    </w:lvl>
    <w:lvl w:ilvl="5" w:tplc="35D8E91E">
      <w:numFmt w:val="decimal"/>
      <w:lvlText w:val=""/>
      <w:lvlJc w:val="left"/>
    </w:lvl>
    <w:lvl w:ilvl="6" w:tplc="CE44844E">
      <w:numFmt w:val="decimal"/>
      <w:lvlText w:val=""/>
      <w:lvlJc w:val="left"/>
    </w:lvl>
    <w:lvl w:ilvl="7" w:tplc="39BEBD18">
      <w:numFmt w:val="decimal"/>
      <w:lvlText w:val=""/>
      <w:lvlJc w:val="left"/>
    </w:lvl>
    <w:lvl w:ilvl="8" w:tplc="B6B018D6">
      <w:numFmt w:val="decimal"/>
      <w:lvlText w:val=""/>
      <w:lvlJc w:val="left"/>
    </w:lvl>
  </w:abstractNum>
  <w:abstractNum w:abstractNumId="655" w15:restartNumberingAfterBreak="0">
    <w:nsid w:val="30E909E7"/>
    <w:multiLevelType w:val="hybridMultilevel"/>
    <w:tmpl w:val="1868D268"/>
    <w:lvl w:ilvl="0" w:tplc="67EC5816">
      <w:start w:val="1"/>
      <w:numFmt w:val="bullet"/>
      <w:lvlText w:val=""/>
      <w:lvlJc w:val="left"/>
      <w:pPr>
        <w:ind w:left="720" w:hanging="180"/>
      </w:pPr>
      <w:rPr>
        <w:rFonts w:ascii="Symbol" w:hAnsi="Symbol" w:hint="default"/>
      </w:rPr>
    </w:lvl>
    <w:lvl w:ilvl="1" w:tplc="9AF2CA3E">
      <w:numFmt w:val="decimal"/>
      <w:lvlText w:val=""/>
      <w:lvlJc w:val="left"/>
    </w:lvl>
    <w:lvl w:ilvl="2" w:tplc="2A30DB48">
      <w:numFmt w:val="decimal"/>
      <w:lvlText w:val=""/>
      <w:lvlJc w:val="left"/>
    </w:lvl>
    <w:lvl w:ilvl="3" w:tplc="F8DE01FA">
      <w:numFmt w:val="decimal"/>
      <w:lvlText w:val=""/>
      <w:lvlJc w:val="left"/>
    </w:lvl>
    <w:lvl w:ilvl="4" w:tplc="4B9E406A">
      <w:numFmt w:val="decimal"/>
      <w:lvlText w:val=""/>
      <w:lvlJc w:val="left"/>
    </w:lvl>
    <w:lvl w:ilvl="5" w:tplc="959E43BC">
      <w:numFmt w:val="decimal"/>
      <w:lvlText w:val=""/>
      <w:lvlJc w:val="left"/>
    </w:lvl>
    <w:lvl w:ilvl="6" w:tplc="EF82EDF2">
      <w:numFmt w:val="decimal"/>
      <w:lvlText w:val=""/>
      <w:lvlJc w:val="left"/>
    </w:lvl>
    <w:lvl w:ilvl="7" w:tplc="0F2A34C6">
      <w:numFmt w:val="decimal"/>
      <w:lvlText w:val=""/>
      <w:lvlJc w:val="left"/>
    </w:lvl>
    <w:lvl w:ilvl="8" w:tplc="F5C89F8C">
      <w:numFmt w:val="decimal"/>
      <w:lvlText w:val=""/>
      <w:lvlJc w:val="left"/>
    </w:lvl>
  </w:abstractNum>
  <w:abstractNum w:abstractNumId="656" w15:restartNumberingAfterBreak="0">
    <w:nsid w:val="30EA44B5"/>
    <w:multiLevelType w:val="hybridMultilevel"/>
    <w:tmpl w:val="16FE7388"/>
    <w:lvl w:ilvl="0" w:tplc="97620B8E">
      <w:start w:val="1"/>
      <w:numFmt w:val="bullet"/>
      <w:lvlText w:val=""/>
      <w:lvlJc w:val="left"/>
      <w:pPr>
        <w:ind w:left="720" w:hanging="180"/>
      </w:pPr>
      <w:rPr>
        <w:rFonts w:ascii="Symbol" w:hAnsi="Symbol" w:hint="default"/>
      </w:rPr>
    </w:lvl>
    <w:lvl w:ilvl="1" w:tplc="8124D82E">
      <w:numFmt w:val="decimal"/>
      <w:lvlText w:val=""/>
      <w:lvlJc w:val="left"/>
    </w:lvl>
    <w:lvl w:ilvl="2" w:tplc="19E6FF86">
      <w:numFmt w:val="decimal"/>
      <w:lvlText w:val=""/>
      <w:lvlJc w:val="left"/>
    </w:lvl>
    <w:lvl w:ilvl="3" w:tplc="821CF28E">
      <w:numFmt w:val="decimal"/>
      <w:lvlText w:val=""/>
      <w:lvlJc w:val="left"/>
    </w:lvl>
    <w:lvl w:ilvl="4" w:tplc="E8F8382A">
      <w:numFmt w:val="decimal"/>
      <w:lvlText w:val=""/>
      <w:lvlJc w:val="left"/>
    </w:lvl>
    <w:lvl w:ilvl="5" w:tplc="114E4A20">
      <w:numFmt w:val="decimal"/>
      <w:lvlText w:val=""/>
      <w:lvlJc w:val="left"/>
    </w:lvl>
    <w:lvl w:ilvl="6" w:tplc="32C07206">
      <w:numFmt w:val="decimal"/>
      <w:lvlText w:val=""/>
      <w:lvlJc w:val="left"/>
    </w:lvl>
    <w:lvl w:ilvl="7" w:tplc="BC7EA250">
      <w:numFmt w:val="decimal"/>
      <w:lvlText w:val=""/>
      <w:lvlJc w:val="left"/>
    </w:lvl>
    <w:lvl w:ilvl="8" w:tplc="8248A962">
      <w:numFmt w:val="decimal"/>
      <w:lvlText w:val=""/>
      <w:lvlJc w:val="left"/>
    </w:lvl>
  </w:abstractNum>
  <w:abstractNum w:abstractNumId="657" w15:restartNumberingAfterBreak="0">
    <w:nsid w:val="310D0731"/>
    <w:multiLevelType w:val="hybridMultilevel"/>
    <w:tmpl w:val="204206A0"/>
    <w:lvl w:ilvl="0" w:tplc="64A8D70C">
      <w:start w:val="1"/>
      <w:numFmt w:val="bullet"/>
      <w:lvlText w:val=""/>
      <w:lvlJc w:val="left"/>
      <w:pPr>
        <w:ind w:left="720" w:hanging="180"/>
      </w:pPr>
      <w:rPr>
        <w:rFonts w:ascii="Symbol" w:hAnsi="Symbol" w:hint="default"/>
      </w:rPr>
    </w:lvl>
    <w:lvl w:ilvl="1" w:tplc="7F542DC6">
      <w:numFmt w:val="decimal"/>
      <w:lvlText w:val=""/>
      <w:lvlJc w:val="left"/>
    </w:lvl>
    <w:lvl w:ilvl="2" w:tplc="81BA2C7E">
      <w:numFmt w:val="decimal"/>
      <w:lvlText w:val=""/>
      <w:lvlJc w:val="left"/>
    </w:lvl>
    <w:lvl w:ilvl="3" w:tplc="6C8488E0">
      <w:numFmt w:val="decimal"/>
      <w:lvlText w:val=""/>
      <w:lvlJc w:val="left"/>
    </w:lvl>
    <w:lvl w:ilvl="4" w:tplc="6E86841E">
      <w:numFmt w:val="decimal"/>
      <w:lvlText w:val=""/>
      <w:lvlJc w:val="left"/>
    </w:lvl>
    <w:lvl w:ilvl="5" w:tplc="045C832C">
      <w:numFmt w:val="decimal"/>
      <w:lvlText w:val=""/>
      <w:lvlJc w:val="left"/>
    </w:lvl>
    <w:lvl w:ilvl="6" w:tplc="B93499DE">
      <w:numFmt w:val="decimal"/>
      <w:lvlText w:val=""/>
      <w:lvlJc w:val="left"/>
    </w:lvl>
    <w:lvl w:ilvl="7" w:tplc="5F7C8D0E">
      <w:numFmt w:val="decimal"/>
      <w:lvlText w:val=""/>
      <w:lvlJc w:val="left"/>
    </w:lvl>
    <w:lvl w:ilvl="8" w:tplc="D042027A">
      <w:numFmt w:val="decimal"/>
      <w:lvlText w:val=""/>
      <w:lvlJc w:val="left"/>
    </w:lvl>
  </w:abstractNum>
  <w:abstractNum w:abstractNumId="658" w15:restartNumberingAfterBreak="0">
    <w:nsid w:val="311111EB"/>
    <w:multiLevelType w:val="hybridMultilevel"/>
    <w:tmpl w:val="3474AB88"/>
    <w:lvl w:ilvl="0" w:tplc="FB188D4C">
      <w:start w:val="1"/>
      <w:numFmt w:val="bullet"/>
      <w:lvlText w:val=""/>
      <w:lvlJc w:val="left"/>
      <w:pPr>
        <w:ind w:left="720" w:hanging="180"/>
      </w:pPr>
      <w:rPr>
        <w:rFonts w:ascii="Symbol" w:hAnsi="Symbol" w:hint="default"/>
      </w:rPr>
    </w:lvl>
    <w:lvl w:ilvl="1" w:tplc="0C0C7EA0">
      <w:numFmt w:val="decimal"/>
      <w:lvlText w:val=""/>
      <w:lvlJc w:val="left"/>
    </w:lvl>
    <w:lvl w:ilvl="2" w:tplc="5AB2BF56">
      <w:numFmt w:val="decimal"/>
      <w:lvlText w:val=""/>
      <w:lvlJc w:val="left"/>
    </w:lvl>
    <w:lvl w:ilvl="3" w:tplc="F77E5A96">
      <w:numFmt w:val="decimal"/>
      <w:lvlText w:val=""/>
      <w:lvlJc w:val="left"/>
    </w:lvl>
    <w:lvl w:ilvl="4" w:tplc="97F87680">
      <w:numFmt w:val="decimal"/>
      <w:lvlText w:val=""/>
      <w:lvlJc w:val="left"/>
    </w:lvl>
    <w:lvl w:ilvl="5" w:tplc="7E5647F4">
      <w:numFmt w:val="decimal"/>
      <w:lvlText w:val=""/>
      <w:lvlJc w:val="left"/>
    </w:lvl>
    <w:lvl w:ilvl="6" w:tplc="BBE27366">
      <w:numFmt w:val="decimal"/>
      <w:lvlText w:val=""/>
      <w:lvlJc w:val="left"/>
    </w:lvl>
    <w:lvl w:ilvl="7" w:tplc="98406EA0">
      <w:numFmt w:val="decimal"/>
      <w:lvlText w:val=""/>
      <w:lvlJc w:val="left"/>
    </w:lvl>
    <w:lvl w:ilvl="8" w:tplc="85080BF6">
      <w:numFmt w:val="decimal"/>
      <w:lvlText w:val=""/>
      <w:lvlJc w:val="left"/>
    </w:lvl>
  </w:abstractNum>
  <w:abstractNum w:abstractNumId="659" w15:restartNumberingAfterBreak="0">
    <w:nsid w:val="311D588F"/>
    <w:multiLevelType w:val="hybridMultilevel"/>
    <w:tmpl w:val="6D18D2DE"/>
    <w:lvl w:ilvl="0" w:tplc="124EA2B6">
      <w:start w:val="1"/>
      <w:numFmt w:val="bullet"/>
      <w:lvlText w:val=""/>
      <w:lvlJc w:val="left"/>
      <w:pPr>
        <w:ind w:left="720" w:hanging="180"/>
      </w:pPr>
      <w:rPr>
        <w:rFonts w:ascii="Symbol" w:hAnsi="Symbol" w:hint="default"/>
      </w:rPr>
    </w:lvl>
    <w:lvl w:ilvl="1" w:tplc="A4F4B5C8">
      <w:numFmt w:val="decimal"/>
      <w:lvlText w:val=""/>
      <w:lvlJc w:val="left"/>
    </w:lvl>
    <w:lvl w:ilvl="2" w:tplc="4E6E21BE">
      <w:numFmt w:val="decimal"/>
      <w:lvlText w:val=""/>
      <w:lvlJc w:val="left"/>
    </w:lvl>
    <w:lvl w:ilvl="3" w:tplc="CCA43EA6">
      <w:numFmt w:val="decimal"/>
      <w:lvlText w:val=""/>
      <w:lvlJc w:val="left"/>
    </w:lvl>
    <w:lvl w:ilvl="4" w:tplc="D7649C28">
      <w:numFmt w:val="decimal"/>
      <w:lvlText w:val=""/>
      <w:lvlJc w:val="left"/>
    </w:lvl>
    <w:lvl w:ilvl="5" w:tplc="33443C6A">
      <w:numFmt w:val="decimal"/>
      <w:lvlText w:val=""/>
      <w:lvlJc w:val="left"/>
    </w:lvl>
    <w:lvl w:ilvl="6" w:tplc="30B61742">
      <w:numFmt w:val="decimal"/>
      <w:lvlText w:val=""/>
      <w:lvlJc w:val="left"/>
    </w:lvl>
    <w:lvl w:ilvl="7" w:tplc="9976ACB0">
      <w:numFmt w:val="decimal"/>
      <w:lvlText w:val=""/>
      <w:lvlJc w:val="left"/>
    </w:lvl>
    <w:lvl w:ilvl="8" w:tplc="5FA6D91A">
      <w:numFmt w:val="decimal"/>
      <w:lvlText w:val=""/>
      <w:lvlJc w:val="left"/>
    </w:lvl>
  </w:abstractNum>
  <w:abstractNum w:abstractNumId="660" w15:restartNumberingAfterBreak="0">
    <w:nsid w:val="3147294A"/>
    <w:multiLevelType w:val="hybridMultilevel"/>
    <w:tmpl w:val="6CD25088"/>
    <w:lvl w:ilvl="0" w:tplc="E570A26A">
      <w:start w:val="1"/>
      <w:numFmt w:val="bullet"/>
      <w:lvlText w:val=""/>
      <w:lvlJc w:val="left"/>
      <w:pPr>
        <w:ind w:left="720" w:hanging="180"/>
      </w:pPr>
      <w:rPr>
        <w:rFonts w:ascii="Symbol" w:hAnsi="Symbol" w:hint="default"/>
      </w:rPr>
    </w:lvl>
    <w:lvl w:ilvl="1" w:tplc="616A944C">
      <w:numFmt w:val="decimal"/>
      <w:lvlText w:val=""/>
      <w:lvlJc w:val="left"/>
    </w:lvl>
    <w:lvl w:ilvl="2" w:tplc="C9F43868">
      <w:numFmt w:val="decimal"/>
      <w:lvlText w:val=""/>
      <w:lvlJc w:val="left"/>
    </w:lvl>
    <w:lvl w:ilvl="3" w:tplc="3750627A">
      <w:numFmt w:val="decimal"/>
      <w:lvlText w:val=""/>
      <w:lvlJc w:val="left"/>
    </w:lvl>
    <w:lvl w:ilvl="4" w:tplc="36025EC8">
      <w:numFmt w:val="decimal"/>
      <w:lvlText w:val=""/>
      <w:lvlJc w:val="left"/>
    </w:lvl>
    <w:lvl w:ilvl="5" w:tplc="AB0C8D28">
      <w:numFmt w:val="decimal"/>
      <w:lvlText w:val=""/>
      <w:lvlJc w:val="left"/>
    </w:lvl>
    <w:lvl w:ilvl="6" w:tplc="9980656E">
      <w:numFmt w:val="decimal"/>
      <w:lvlText w:val=""/>
      <w:lvlJc w:val="left"/>
    </w:lvl>
    <w:lvl w:ilvl="7" w:tplc="87623C26">
      <w:numFmt w:val="decimal"/>
      <w:lvlText w:val=""/>
      <w:lvlJc w:val="left"/>
    </w:lvl>
    <w:lvl w:ilvl="8" w:tplc="C81C7792">
      <w:numFmt w:val="decimal"/>
      <w:lvlText w:val=""/>
      <w:lvlJc w:val="left"/>
    </w:lvl>
  </w:abstractNum>
  <w:abstractNum w:abstractNumId="661" w15:restartNumberingAfterBreak="0">
    <w:nsid w:val="315E2CE3"/>
    <w:multiLevelType w:val="hybridMultilevel"/>
    <w:tmpl w:val="7D0EE3A6"/>
    <w:lvl w:ilvl="0" w:tplc="F04C1A5C">
      <w:start w:val="1"/>
      <w:numFmt w:val="bullet"/>
      <w:lvlText w:val=""/>
      <w:lvlJc w:val="left"/>
      <w:pPr>
        <w:ind w:left="720" w:hanging="180"/>
      </w:pPr>
      <w:rPr>
        <w:rFonts w:ascii="Symbol" w:hAnsi="Symbol" w:hint="default"/>
      </w:rPr>
    </w:lvl>
    <w:lvl w:ilvl="1" w:tplc="A366060E">
      <w:numFmt w:val="decimal"/>
      <w:lvlText w:val=""/>
      <w:lvlJc w:val="left"/>
    </w:lvl>
    <w:lvl w:ilvl="2" w:tplc="A8402338">
      <w:numFmt w:val="decimal"/>
      <w:lvlText w:val=""/>
      <w:lvlJc w:val="left"/>
    </w:lvl>
    <w:lvl w:ilvl="3" w:tplc="720CAD96">
      <w:numFmt w:val="decimal"/>
      <w:lvlText w:val=""/>
      <w:lvlJc w:val="left"/>
    </w:lvl>
    <w:lvl w:ilvl="4" w:tplc="E536EA7C">
      <w:numFmt w:val="decimal"/>
      <w:lvlText w:val=""/>
      <w:lvlJc w:val="left"/>
    </w:lvl>
    <w:lvl w:ilvl="5" w:tplc="58808A8C">
      <w:numFmt w:val="decimal"/>
      <w:lvlText w:val=""/>
      <w:lvlJc w:val="left"/>
    </w:lvl>
    <w:lvl w:ilvl="6" w:tplc="9FC24978">
      <w:numFmt w:val="decimal"/>
      <w:lvlText w:val=""/>
      <w:lvlJc w:val="left"/>
    </w:lvl>
    <w:lvl w:ilvl="7" w:tplc="F4F4C13A">
      <w:numFmt w:val="decimal"/>
      <w:lvlText w:val=""/>
      <w:lvlJc w:val="left"/>
    </w:lvl>
    <w:lvl w:ilvl="8" w:tplc="57747DC4">
      <w:numFmt w:val="decimal"/>
      <w:lvlText w:val=""/>
      <w:lvlJc w:val="left"/>
    </w:lvl>
  </w:abstractNum>
  <w:abstractNum w:abstractNumId="662" w15:restartNumberingAfterBreak="0">
    <w:nsid w:val="317B78C4"/>
    <w:multiLevelType w:val="hybridMultilevel"/>
    <w:tmpl w:val="B78E66AC"/>
    <w:lvl w:ilvl="0" w:tplc="5D782F58">
      <w:start w:val="1"/>
      <w:numFmt w:val="bullet"/>
      <w:lvlText w:val=""/>
      <w:lvlJc w:val="left"/>
      <w:pPr>
        <w:ind w:left="720" w:hanging="180"/>
      </w:pPr>
      <w:rPr>
        <w:rFonts w:ascii="Symbol" w:hAnsi="Symbol" w:hint="default"/>
      </w:rPr>
    </w:lvl>
    <w:lvl w:ilvl="1" w:tplc="9D0ED0B2">
      <w:numFmt w:val="decimal"/>
      <w:lvlText w:val=""/>
      <w:lvlJc w:val="left"/>
    </w:lvl>
    <w:lvl w:ilvl="2" w:tplc="B364BA68">
      <w:numFmt w:val="decimal"/>
      <w:lvlText w:val=""/>
      <w:lvlJc w:val="left"/>
    </w:lvl>
    <w:lvl w:ilvl="3" w:tplc="A32A1FBE">
      <w:numFmt w:val="decimal"/>
      <w:lvlText w:val=""/>
      <w:lvlJc w:val="left"/>
    </w:lvl>
    <w:lvl w:ilvl="4" w:tplc="1B38BD3E">
      <w:numFmt w:val="decimal"/>
      <w:lvlText w:val=""/>
      <w:lvlJc w:val="left"/>
    </w:lvl>
    <w:lvl w:ilvl="5" w:tplc="7F58CEC8">
      <w:numFmt w:val="decimal"/>
      <w:lvlText w:val=""/>
      <w:lvlJc w:val="left"/>
    </w:lvl>
    <w:lvl w:ilvl="6" w:tplc="6868F8C0">
      <w:numFmt w:val="decimal"/>
      <w:lvlText w:val=""/>
      <w:lvlJc w:val="left"/>
    </w:lvl>
    <w:lvl w:ilvl="7" w:tplc="A57E4342">
      <w:numFmt w:val="decimal"/>
      <w:lvlText w:val=""/>
      <w:lvlJc w:val="left"/>
    </w:lvl>
    <w:lvl w:ilvl="8" w:tplc="A474A688">
      <w:numFmt w:val="decimal"/>
      <w:lvlText w:val=""/>
      <w:lvlJc w:val="left"/>
    </w:lvl>
  </w:abstractNum>
  <w:abstractNum w:abstractNumId="663" w15:restartNumberingAfterBreak="0">
    <w:nsid w:val="31A30033"/>
    <w:multiLevelType w:val="hybridMultilevel"/>
    <w:tmpl w:val="C92645CE"/>
    <w:lvl w:ilvl="0" w:tplc="4954A99E">
      <w:start w:val="1"/>
      <w:numFmt w:val="bullet"/>
      <w:lvlText w:val=""/>
      <w:lvlJc w:val="left"/>
      <w:pPr>
        <w:ind w:left="720" w:hanging="180"/>
      </w:pPr>
      <w:rPr>
        <w:rFonts w:ascii="Symbol" w:hAnsi="Symbol" w:hint="default"/>
      </w:rPr>
    </w:lvl>
    <w:lvl w:ilvl="1" w:tplc="B1F0B42E">
      <w:numFmt w:val="decimal"/>
      <w:lvlText w:val=""/>
      <w:lvlJc w:val="left"/>
    </w:lvl>
    <w:lvl w:ilvl="2" w:tplc="F40284E4">
      <w:numFmt w:val="decimal"/>
      <w:lvlText w:val=""/>
      <w:lvlJc w:val="left"/>
    </w:lvl>
    <w:lvl w:ilvl="3" w:tplc="9574F6DC">
      <w:numFmt w:val="decimal"/>
      <w:lvlText w:val=""/>
      <w:lvlJc w:val="left"/>
    </w:lvl>
    <w:lvl w:ilvl="4" w:tplc="10D8A3DA">
      <w:numFmt w:val="decimal"/>
      <w:lvlText w:val=""/>
      <w:lvlJc w:val="left"/>
    </w:lvl>
    <w:lvl w:ilvl="5" w:tplc="5526EA08">
      <w:numFmt w:val="decimal"/>
      <w:lvlText w:val=""/>
      <w:lvlJc w:val="left"/>
    </w:lvl>
    <w:lvl w:ilvl="6" w:tplc="DB6676D2">
      <w:numFmt w:val="decimal"/>
      <w:lvlText w:val=""/>
      <w:lvlJc w:val="left"/>
    </w:lvl>
    <w:lvl w:ilvl="7" w:tplc="E99EF092">
      <w:numFmt w:val="decimal"/>
      <w:lvlText w:val=""/>
      <w:lvlJc w:val="left"/>
    </w:lvl>
    <w:lvl w:ilvl="8" w:tplc="B7E09FF8">
      <w:numFmt w:val="decimal"/>
      <w:lvlText w:val=""/>
      <w:lvlJc w:val="left"/>
    </w:lvl>
  </w:abstractNum>
  <w:abstractNum w:abstractNumId="664" w15:restartNumberingAfterBreak="0">
    <w:nsid w:val="31B7688E"/>
    <w:multiLevelType w:val="hybridMultilevel"/>
    <w:tmpl w:val="D1FEB81A"/>
    <w:lvl w:ilvl="0" w:tplc="5A2EF2C0">
      <w:start w:val="1"/>
      <w:numFmt w:val="bullet"/>
      <w:lvlText w:val=""/>
      <w:lvlJc w:val="left"/>
      <w:pPr>
        <w:ind w:left="720" w:hanging="180"/>
      </w:pPr>
      <w:rPr>
        <w:rFonts w:ascii="Symbol" w:hAnsi="Symbol" w:hint="default"/>
      </w:rPr>
    </w:lvl>
    <w:lvl w:ilvl="1" w:tplc="61465294">
      <w:numFmt w:val="decimal"/>
      <w:lvlText w:val=""/>
      <w:lvlJc w:val="left"/>
    </w:lvl>
    <w:lvl w:ilvl="2" w:tplc="84D2E89E">
      <w:numFmt w:val="decimal"/>
      <w:lvlText w:val=""/>
      <w:lvlJc w:val="left"/>
    </w:lvl>
    <w:lvl w:ilvl="3" w:tplc="B7E660DA">
      <w:numFmt w:val="decimal"/>
      <w:lvlText w:val=""/>
      <w:lvlJc w:val="left"/>
    </w:lvl>
    <w:lvl w:ilvl="4" w:tplc="29C6D4B4">
      <w:numFmt w:val="decimal"/>
      <w:lvlText w:val=""/>
      <w:lvlJc w:val="left"/>
    </w:lvl>
    <w:lvl w:ilvl="5" w:tplc="8F2865B2">
      <w:numFmt w:val="decimal"/>
      <w:lvlText w:val=""/>
      <w:lvlJc w:val="left"/>
    </w:lvl>
    <w:lvl w:ilvl="6" w:tplc="B9404C36">
      <w:numFmt w:val="decimal"/>
      <w:lvlText w:val=""/>
      <w:lvlJc w:val="left"/>
    </w:lvl>
    <w:lvl w:ilvl="7" w:tplc="23503774">
      <w:numFmt w:val="decimal"/>
      <w:lvlText w:val=""/>
      <w:lvlJc w:val="left"/>
    </w:lvl>
    <w:lvl w:ilvl="8" w:tplc="C9D6A23A">
      <w:numFmt w:val="decimal"/>
      <w:lvlText w:val=""/>
      <w:lvlJc w:val="left"/>
    </w:lvl>
  </w:abstractNum>
  <w:abstractNum w:abstractNumId="665" w15:restartNumberingAfterBreak="0">
    <w:nsid w:val="31BD5BFD"/>
    <w:multiLevelType w:val="hybridMultilevel"/>
    <w:tmpl w:val="AACCF6BA"/>
    <w:lvl w:ilvl="0" w:tplc="E0D85AC0">
      <w:start w:val="1"/>
      <w:numFmt w:val="bullet"/>
      <w:lvlText w:val=""/>
      <w:lvlJc w:val="left"/>
      <w:pPr>
        <w:ind w:left="720" w:hanging="180"/>
      </w:pPr>
      <w:rPr>
        <w:rFonts w:ascii="Symbol" w:hAnsi="Symbol" w:hint="default"/>
      </w:rPr>
    </w:lvl>
    <w:lvl w:ilvl="1" w:tplc="04988DA2">
      <w:numFmt w:val="decimal"/>
      <w:lvlText w:val=""/>
      <w:lvlJc w:val="left"/>
    </w:lvl>
    <w:lvl w:ilvl="2" w:tplc="EF7ABFA4">
      <w:numFmt w:val="decimal"/>
      <w:lvlText w:val=""/>
      <w:lvlJc w:val="left"/>
    </w:lvl>
    <w:lvl w:ilvl="3" w:tplc="771277DA">
      <w:numFmt w:val="decimal"/>
      <w:lvlText w:val=""/>
      <w:lvlJc w:val="left"/>
    </w:lvl>
    <w:lvl w:ilvl="4" w:tplc="58FC0DF8">
      <w:numFmt w:val="decimal"/>
      <w:lvlText w:val=""/>
      <w:lvlJc w:val="left"/>
    </w:lvl>
    <w:lvl w:ilvl="5" w:tplc="281650A8">
      <w:numFmt w:val="decimal"/>
      <w:lvlText w:val=""/>
      <w:lvlJc w:val="left"/>
    </w:lvl>
    <w:lvl w:ilvl="6" w:tplc="AED82700">
      <w:numFmt w:val="decimal"/>
      <w:lvlText w:val=""/>
      <w:lvlJc w:val="left"/>
    </w:lvl>
    <w:lvl w:ilvl="7" w:tplc="ADEA93E4">
      <w:numFmt w:val="decimal"/>
      <w:lvlText w:val=""/>
      <w:lvlJc w:val="left"/>
    </w:lvl>
    <w:lvl w:ilvl="8" w:tplc="165C0EA0">
      <w:numFmt w:val="decimal"/>
      <w:lvlText w:val=""/>
      <w:lvlJc w:val="left"/>
    </w:lvl>
  </w:abstractNum>
  <w:abstractNum w:abstractNumId="666" w15:restartNumberingAfterBreak="0">
    <w:nsid w:val="31DC13A7"/>
    <w:multiLevelType w:val="hybridMultilevel"/>
    <w:tmpl w:val="453EC3D2"/>
    <w:lvl w:ilvl="0" w:tplc="04A445C4">
      <w:start w:val="1"/>
      <w:numFmt w:val="bullet"/>
      <w:lvlText w:val=""/>
      <w:lvlJc w:val="left"/>
      <w:pPr>
        <w:ind w:left="720" w:hanging="180"/>
      </w:pPr>
      <w:rPr>
        <w:rFonts w:ascii="Symbol" w:hAnsi="Symbol" w:hint="default"/>
      </w:rPr>
    </w:lvl>
    <w:lvl w:ilvl="1" w:tplc="C6762812">
      <w:numFmt w:val="decimal"/>
      <w:lvlText w:val=""/>
      <w:lvlJc w:val="left"/>
    </w:lvl>
    <w:lvl w:ilvl="2" w:tplc="8AD8F098">
      <w:numFmt w:val="decimal"/>
      <w:lvlText w:val=""/>
      <w:lvlJc w:val="left"/>
    </w:lvl>
    <w:lvl w:ilvl="3" w:tplc="75C2045A">
      <w:numFmt w:val="decimal"/>
      <w:lvlText w:val=""/>
      <w:lvlJc w:val="left"/>
    </w:lvl>
    <w:lvl w:ilvl="4" w:tplc="38FCA180">
      <w:numFmt w:val="decimal"/>
      <w:lvlText w:val=""/>
      <w:lvlJc w:val="left"/>
    </w:lvl>
    <w:lvl w:ilvl="5" w:tplc="20DA8B66">
      <w:numFmt w:val="decimal"/>
      <w:lvlText w:val=""/>
      <w:lvlJc w:val="left"/>
    </w:lvl>
    <w:lvl w:ilvl="6" w:tplc="5C523184">
      <w:numFmt w:val="decimal"/>
      <w:lvlText w:val=""/>
      <w:lvlJc w:val="left"/>
    </w:lvl>
    <w:lvl w:ilvl="7" w:tplc="0E2E766E">
      <w:numFmt w:val="decimal"/>
      <w:lvlText w:val=""/>
      <w:lvlJc w:val="left"/>
    </w:lvl>
    <w:lvl w:ilvl="8" w:tplc="F366456C">
      <w:numFmt w:val="decimal"/>
      <w:lvlText w:val=""/>
      <w:lvlJc w:val="left"/>
    </w:lvl>
  </w:abstractNum>
  <w:abstractNum w:abstractNumId="667" w15:restartNumberingAfterBreak="0">
    <w:nsid w:val="31ED1219"/>
    <w:multiLevelType w:val="hybridMultilevel"/>
    <w:tmpl w:val="04EC476C"/>
    <w:lvl w:ilvl="0" w:tplc="47B8C0E4">
      <w:start w:val="1"/>
      <w:numFmt w:val="bullet"/>
      <w:lvlText w:val=""/>
      <w:lvlJc w:val="left"/>
      <w:pPr>
        <w:ind w:left="720" w:hanging="180"/>
      </w:pPr>
      <w:rPr>
        <w:rFonts w:ascii="Symbol" w:hAnsi="Symbol" w:hint="default"/>
      </w:rPr>
    </w:lvl>
    <w:lvl w:ilvl="1" w:tplc="83B438C8">
      <w:numFmt w:val="decimal"/>
      <w:lvlText w:val=""/>
      <w:lvlJc w:val="left"/>
    </w:lvl>
    <w:lvl w:ilvl="2" w:tplc="B93CD3AA">
      <w:numFmt w:val="decimal"/>
      <w:lvlText w:val=""/>
      <w:lvlJc w:val="left"/>
    </w:lvl>
    <w:lvl w:ilvl="3" w:tplc="D7C2D780">
      <w:numFmt w:val="decimal"/>
      <w:lvlText w:val=""/>
      <w:lvlJc w:val="left"/>
    </w:lvl>
    <w:lvl w:ilvl="4" w:tplc="00BECD00">
      <w:numFmt w:val="decimal"/>
      <w:lvlText w:val=""/>
      <w:lvlJc w:val="left"/>
    </w:lvl>
    <w:lvl w:ilvl="5" w:tplc="347834E2">
      <w:numFmt w:val="decimal"/>
      <w:lvlText w:val=""/>
      <w:lvlJc w:val="left"/>
    </w:lvl>
    <w:lvl w:ilvl="6" w:tplc="4E9C4C58">
      <w:numFmt w:val="decimal"/>
      <w:lvlText w:val=""/>
      <w:lvlJc w:val="left"/>
    </w:lvl>
    <w:lvl w:ilvl="7" w:tplc="1B5E3D3C">
      <w:numFmt w:val="decimal"/>
      <w:lvlText w:val=""/>
      <w:lvlJc w:val="left"/>
    </w:lvl>
    <w:lvl w:ilvl="8" w:tplc="B8FC54F4">
      <w:numFmt w:val="decimal"/>
      <w:lvlText w:val=""/>
      <w:lvlJc w:val="left"/>
    </w:lvl>
  </w:abstractNum>
  <w:abstractNum w:abstractNumId="668" w15:restartNumberingAfterBreak="0">
    <w:nsid w:val="31F0085D"/>
    <w:multiLevelType w:val="hybridMultilevel"/>
    <w:tmpl w:val="3606E2AC"/>
    <w:lvl w:ilvl="0" w:tplc="872660FA">
      <w:numFmt w:val="decimal"/>
      <w:lvlText w:val=""/>
      <w:lvlJc w:val="left"/>
    </w:lvl>
    <w:lvl w:ilvl="1" w:tplc="F61C2238">
      <w:start w:val="1"/>
      <w:numFmt w:val="bullet"/>
      <w:lvlText w:val=""/>
      <w:lvlJc w:val="left"/>
      <w:pPr>
        <w:ind w:left="1440" w:hanging="180"/>
      </w:pPr>
      <w:rPr>
        <w:rFonts w:ascii="Symbol" w:hAnsi="Symbol" w:hint="default"/>
      </w:rPr>
    </w:lvl>
    <w:lvl w:ilvl="2" w:tplc="371239FA">
      <w:numFmt w:val="decimal"/>
      <w:lvlText w:val=""/>
      <w:lvlJc w:val="left"/>
    </w:lvl>
    <w:lvl w:ilvl="3" w:tplc="B8CE3E30">
      <w:numFmt w:val="decimal"/>
      <w:lvlText w:val=""/>
      <w:lvlJc w:val="left"/>
    </w:lvl>
    <w:lvl w:ilvl="4" w:tplc="1338AAC8">
      <w:numFmt w:val="decimal"/>
      <w:lvlText w:val=""/>
      <w:lvlJc w:val="left"/>
    </w:lvl>
    <w:lvl w:ilvl="5" w:tplc="60922F3E">
      <w:numFmt w:val="decimal"/>
      <w:lvlText w:val=""/>
      <w:lvlJc w:val="left"/>
    </w:lvl>
    <w:lvl w:ilvl="6" w:tplc="D91CA12E">
      <w:numFmt w:val="decimal"/>
      <w:lvlText w:val=""/>
      <w:lvlJc w:val="left"/>
    </w:lvl>
    <w:lvl w:ilvl="7" w:tplc="ED321CF8">
      <w:numFmt w:val="decimal"/>
      <w:lvlText w:val=""/>
      <w:lvlJc w:val="left"/>
    </w:lvl>
    <w:lvl w:ilvl="8" w:tplc="D28AA546">
      <w:numFmt w:val="decimal"/>
      <w:lvlText w:val=""/>
      <w:lvlJc w:val="left"/>
    </w:lvl>
  </w:abstractNum>
  <w:abstractNum w:abstractNumId="669" w15:restartNumberingAfterBreak="0">
    <w:nsid w:val="31F11D82"/>
    <w:multiLevelType w:val="hybridMultilevel"/>
    <w:tmpl w:val="63423348"/>
    <w:lvl w:ilvl="0" w:tplc="AD0883A4">
      <w:numFmt w:val="decimal"/>
      <w:lvlText w:val=""/>
      <w:lvlJc w:val="left"/>
    </w:lvl>
    <w:lvl w:ilvl="1" w:tplc="B312366E">
      <w:start w:val="1"/>
      <w:numFmt w:val="bullet"/>
      <w:lvlText w:val=""/>
      <w:lvlJc w:val="left"/>
      <w:pPr>
        <w:ind w:left="1440" w:hanging="180"/>
      </w:pPr>
      <w:rPr>
        <w:rFonts w:ascii="Symbol" w:hAnsi="Symbol" w:hint="default"/>
      </w:rPr>
    </w:lvl>
    <w:lvl w:ilvl="2" w:tplc="7A28F3BE">
      <w:numFmt w:val="decimal"/>
      <w:lvlText w:val=""/>
      <w:lvlJc w:val="left"/>
    </w:lvl>
    <w:lvl w:ilvl="3" w:tplc="4C167880">
      <w:numFmt w:val="decimal"/>
      <w:lvlText w:val=""/>
      <w:lvlJc w:val="left"/>
    </w:lvl>
    <w:lvl w:ilvl="4" w:tplc="3C18BEA0">
      <w:numFmt w:val="decimal"/>
      <w:lvlText w:val=""/>
      <w:lvlJc w:val="left"/>
    </w:lvl>
    <w:lvl w:ilvl="5" w:tplc="712C3ED6">
      <w:numFmt w:val="decimal"/>
      <w:lvlText w:val=""/>
      <w:lvlJc w:val="left"/>
    </w:lvl>
    <w:lvl w:ilvl="6" w:tplc="FC9440AC">
      <w:numFmt w:val="decimal"/>
      <w:lvlText w:val=""/>
      <w:lvlJc w:val="left"/>
    </w:lvl>
    <w:lvl w:ilvl="7" w:tplc="642E9564">
      <w:numFmt w:val="decimal"/>
      <w:lvlText w:val=""/>
      <w:lvlJc w:val="left"/>
    </w:lvl>
    <w:lvl w:ilvl="8" w:tplc="8558227A">
      <w:numFmt w:val="decimal"/>
      <w:lvlText w:val=""/>
      <w:lvlJc w:val="left"/>
    </w:lvl>
  </w:abstractNum>
  <w:abstractNum w:abstractNumId="670" w15:restartNumberingAfterBreak="0">
    <w:nsid w:val="31F413AC"/>
    <w:multiLevelType w:val="hybridMultilevel"/>
    <w:tmpl w:val="A4A6E1D8"/>
    <w:lvl w:ilvl="0" w:tplc="CFE03C5C">
      <w:start w:val="1"/>
      <w:numFmt w:val="bullet"/>
      <w:lvlText w:val=""/>
      <w:lvlJc w:val="left"/>
      <w:pPr>
        <w:ind w:left="720" w:hanging="180"/>
      </w:pPr>
      <w:rPr>
        <w:rFonts w:ascii="Symbol" w:hAnsi="Symbol" w:hint="default"/>
      </w:rPr>
    </w:lvl>
    <w:lvl w:ilvl="1" w:tplc="E5905820">
      <w:numFmt w:val="decimal"/>
      <w:lvlText w:val=""/>
      <w:lvlJc w:val="left"/>
    </w:lvl>
    <w:lvl w:ilvl="2" w:tplc="3F867354">
      <w:numFmt w:val="decimal"/>
      <w:lvlText w:val=""/>
      <w:lvlJc w:val="left"/>
    </w:lvl>
    <w:lvl w:ilvl="3" w:tplc="CDA0EC2A">
      <w:numFmt w:val="decimal"/>
      <w:lvlText w:val=""/>
      <w:lvlJc w:val="left"/>
    </w:lvl>
    <w:lvl w:ilvl="4" w:tplc="911C8A56">
      <w:numFmt w:val="decimal"/>
      <w:lvlText w:val=""/>
      <w:lvlJc w:val="left"/>
    </w:lvl>
    <w:lvl w:ilvl="5" w:tplc="664CFAC4">
      <w:numFmt w:val="decimal"/>
      <w:lvlText w:val=""/>
      <w:lvlJc w:val="left"/>
    </w:lvl>
    <w:lvl w:ilvl="6" w:tplc="E1D41BE0">
      <w:numFmt w:val="decimal"/>
      <w:lvlText w:val=""/>
      <w:lvlJc w:val="left"/>
    </w:lvl>
    <w:lvl w:ilvl="7" w:tplc="CCEC0860">
      <w:numFmt w:val="decimal"/>
      <w:lvlText w:val=""/>
      <w:lvlJc w:val="left"/>
    </w:lvl>
    <w:lvl w:ilvl="8" w:tplc="B396FC34">
      <w:numFmt w:val="decimal"/>
      <w:lvlText w:val=""/>
      <w:lvlJc w:val="left"/>
    </w:lvl>
  </w:abstractNum>
  <w:abstractNum w:abstractNumId="671" w15:restartNumberingAfterBreak="0">
    <w:nsid w:val="31F676F5"/>
    <w:multiLevelType w:val="hybridMultilevel"/>
    <w:tmpl w:val="C48EED92"/>
    <w:lvl w:ilvl="0" w:tplc="918877BE">
      <w:start w:val="1"/>
      <w:numFmt w:val="bullet"/>
      <w:lvlText w:val=""/>
      <w:lvlJc w:val="left"/>
      <w:pPr>
        <w:ind w:left="720" w:hanging="180"/>
      </w:pPr>
      <w:rPr>
        <w:rFonts w:ascii="Symbol" w:hAnsi="Symbol" w:hint="default"/>
      </w:rPr>
    </w:lvl>
    <w:lvl w:ilvl="1" w:tplc="29AAC35C">
      <w:numFmt w:val="decimal"/>
      <w:lvlText w:val=""/>
      <w:lvlJc w:val="left"/>
    </w:lvl>
    <w:lvl w:ilvl="2" w:tplc="306C0C4C">
      <w:numFmt w:val="decimal"/>
      <w:lvlText w:val=""/>
      <w:lvlJc w:val="left"/>
    </w:lvl>
    <w:lvl w:ilvl="3" w:tplc="06D803CE">
      <w:numFmt w:val="decimal"/>
      <w:lvlText w:val=""/>
      <w:lvlJc w:val="left"/>
    </w:lvl>
    <w:lvl w:ilvl="4" w:tplc="5EC4142E">
      <w:numFmt w:val="decimal"/>
      <w:lvlText w:val=""/>
      <w:lvlJc w:val="left"/>
    </w:lvl>
    <w:lvl w:ilvl="5" w:tplc="91AC00BA">
      <w:numFmt w:val="decimal"/>
      <w:lvlText w:val=""/>
      <w:lvlJc w:val="left"/>
    </w:lvl>
    <w:lvl w:ilvl="6" w:tplc="22F21BEE">
      <w:numFmt w:val="decimal"/>
      <w:lvlText w:val=""/>
      <w:lvlJc w:val="left"/>
    </w:lvl>
    <w:lvl w:ilvl="7" w:tplc="FE800910">
      <w:numFmt w:val="decimal"/>
      <w:lvlText w:val=""/>
      <w:lvlJc w:val="left"/>
    </w:lvl>
    <w:lvl w:ilvl="8" w:tplc="0C102ADC">
      <w:numFmt w:val="decimal"/>
      <w:lvlText w:val=""/>
      <w:lvlJc w:val="left"/>
    </w:lvl>
  </w:abstractNum>
  <w:abstractNum w:abstractNumId="672" w15:restartNumberingAfterBreak="0">
    <w:nsid w:val="31FB213F"/>
    <w:multiLevelType w:val="hybridMultilevel"/>
    <w:tmpl w:val="26BECC36"/>
    <w:lvl w:ilvl="0" w:tplc="CF625802">
      <w:start w:val="1"/>
      <w:numFmt w:val="bullet"/>
      <w:lvlText w:val=""/>
      <w:lvlJc w:val="left"/>
      <w:pPr>
        <w:ind w:left="720" w:hanging="180"/>
      </w:pPr>
      <w:rPr>
        <w:rFonts w:ascii="Symbol" w:hAnsi="Symbol" w:hint="default"/>
      </w:rPr>
    </w:lvl>
    <w:lvl w:ilvl="1" w:tplc="D5DCF4AA">
      <w:numFmt w:val="decimal"/>
      <w:lvlText w:val=""/>
      <w:lvlJc w:val="left"/>
    </w:lvl>
    <w:lvl w:ilvl="2" w:tplc="AC60954E">
      <w:numFmt w:val="decimal"/>
      <w:lvlText w:val=""/>
      <w:lvlJc w:val="left"/>
    </w:lvl>
    <w:lvl w:ilvl="3" w:tplc="5044C578">
      <w:numFmt w:val="decimal"/>
      <w:lvlText w:val=""/>
      <w:lvlJc w:val="left"/>
    </w:lvl>
    <w:lvl w:ilvl="4" w:tplc="0EA2D4C0">
      <w:numFmt w:val="decimal"/>
      <w:lvlText w:val=""/>
      <w:lvlJc w:val="left"/>
    </w:lvl>
    <w:lvl w:ilvl="5" w:tplc="52F29D14">
      <w:numFmt w:val="decimal"/>
      <w:lvlText w:val=""/>
      <w:lvlJc w:val="left"/>
    </w:lvl>
    <w:lvl w:ilvl="6" w:tplc="A1F26C18">
      <w:numFmt w:val="decimal"/>
      <w:lvlText w:val=""/>
      <w:lvlJc w:val="left"/>
    </w:lvl>
    <w:lvl w:ilvl="7" w:tplc="36608CAE">
      <w:numFmt w:val="decimal"/>
      <w:lvlText w:val=""/>
      <w:lvlJc w:val="left"/>
    </w:lvl>
    <w:lvl w:ilvl="8" w:tplc="7C741614">
      <w:numFmt w:val="decimal"/>
      <w:lvlText w:val=""/>
      <w:lvlJc w:val="left"/>
    </w:lvl>
  </w:abstractNum>
  <w:abstractNum w:abstractNumId="673" w15:restartNumberingAfterBreak="0">
    <w:nsid w:val="321169B0"/>
    <w:multiLevelType w:val="hybridMultilevel"/>
    <w:tmpl w:val="A91898BC"/>
    <w:lvl w:ilvl="0" w:tplc="E354A6A2">
      <w:numFmt w:val="decimal"/>
      <w:lvlText w:val=""/>
      <w:lvlJc w:val="left"/>
    </w:lvl>
    <w:lvl w:ilvl="1" w:tplc="0BB6AC72">
      <w:start w:val="1"/>
      <w:numFmt w:val="bullet"/>
      <w:lvlText w:val=""/>
      <w:lvlJc w:val="left"/>
      <w:pPr>
        <w:ind w:left="1440" w:hanging="180"/>
      </w:pPr>
      <w:rPr>
        <w:rFonts w:ascii="Symbol" w:hAnsi="Symbol" w:hint="default"/>
      </w:rPr>
    </w:lvl>
    <w:lvl w:ilvl="2" w:tplc="12B869EE">
      <w:numFmt w:val="decimal"/>
      <w:lvlText w:val=""/>
      <w:lvlJc w:val="left"/>
    </w:lvl>
    <w:lvl w:ilvl="3" w:tplc="38907F6A">
      <w:numFmt w:val="decimal"/>
      <w:lvlText w:val=""/>
      <w:lvlJc w:val="left"/>
    </w:lvl>
    <w:lvl w:ilvl="4" w:tplc="8646B2D8">
      <w:numFmt w:val="decimal"/>
      <w:lvlText w:val=""/>
      <w:lvlJc w:val="left"/>
    </w:lvl>
    <w:lvl w:ilvl="5" w:tplc="872C219C">
      <w:numFmt w:val="decimal"/>
      <w:lvlText w:val=""/>
      <w:lvlJc w:val="left"/>
    </w:lvl>
    <w:lvl w:ilvl="6" w:tplc="BE7E7334">
      <w:numFmt w:val="decimal"/>
      <w:lvlText w:val=""/>
      <w:lvlJc w:val="left"/>
    </w:lvl>
    <w:lvl w:ilvl="7" w:tplc="10F25F2E">
      <w:numFmt w:val="decimal"/>
      <w:lvlText w:val=""/>
      <w:lvlJc w:val="left"/>
    </w:lvl>
    <w:lvl w:ilvl="8" w:tplc="C76C1668">
      <w:numFmt w:val="decimal"/>
      <w:lvlText w:val=""/>
      <w:lvlJc w:val="left"/>
    </w:lvl>
  </w:abstractNum>
  <w:abstractNum w:abstractNumId="674" w15:restartNumberingAfterBreak="0">
    <w:nsid w:val="321B74D9"/>
    <w:multiLevelType w:val="hybridMultilevel"/>
    <w:tmpl w:val="1832A740"/>
    <w:lvl w:ilvl="0" w:tplc="E684F526">
      <w:numFmt w:val="decimal"/>
      <w:lvlText w:val=""/>
      <w:lvlJc w:val="left"/>
    </w:lvl>
    <w:lvl w:ilvl="1" w:tplc="3E582D72">
      <w:start w:val="1"/>
      <w:numFmt w:val="bullet"/>
      <w:lvlText w:val=""/>
      <w:lvlJc w:val="left"/>
      <w:pPr>
        <w:ind w:left="1440" w:hanging="180"/>
      </w:pPr>
      <w:rPr>
        <w:rFonts w:ascii="Symbol" w:hAnsi="Symbol" w:hint="default"/>
      </w:rPr>
    </w:lvl>
    <w:lvl w:ilvl="2" w:tplc="C3CAA188">
      <w:numFmt w:val="decimal"/>
      <w:lvlText w:val=""/>
      <w:lvlJc w:val="left"/>
    </w:lvl>
    <w:lvl w:ilvl="3" w:tplc="8B70E2CE">
      <w:numFmt w:val="decimal"/>
      <w:lvlText w:val=""/>
      <w:lvlJc w:val="left"/>
    </w:lvl>
    <w:lvl w:ilvl="4" w:tplc="864A5D0E">
      <w:numFmt w:val="decimal"/>
      <w:lvlText w:val=""/>
      <w:lvlJc w:val="left"/>
    </w:lvl>
    <w:lvl w:ilvl="5" w:tplc="39061A8A">
      <w:numFmt w:val="decimal"/>
      <w:lvlText w:val=""/>
      <w:lvlJc w:val="left"/>
    </w:lvl>
    <w:lvl w:ilvl="6" w:tplc="8E5A9116">
      <w:numFmt w:val="decimal"/>
      <w:lvlText w:val=""/>
      <w:lvlJc w:val="left"/>
    </w:lvl>
    <w:lvl w:ilvl="7" w:tplc="7EAAD102">
      <w:numFmt w:val="decimal"/>
      <w:lvlText w:val=""/>
      <w:lvlJc w:val="left"/>
    </w:lvl>
    <w:lvl w:ilvl="8" w:tplc="B6CA12A0">
      <w:numFmt w:val="decimal"/>
      <w:lvlText w:val=""/>
      <w:lvlJc w:val="left"/>
    </w:lvl>
  </w:abstractNum>
  <w:abstractNum w:abstractNumId="675" w15:restartNumberingAfterBreak="0">
    <w:nsid w:val="322A2BD0"/>
    <w:multiLevelType w:val="hybridMultilevel"/>
    <w:tmpl w:val="FC2492EA"/>
    <w:lvl w:ilvl="0" w:tplc="C2D857C0">
      <w:numFmt w:val="decimal"/>
      <w:lvlText w:val=""/>
      <w:lvlJc w:val="left"/>
    </w:lvl>
    <w:lvl w:ilvl="1" w:tplc="B796A696">
      <w:start w:val="1"/>
      <w:numFmt w:val="bullet"/>
      <w:lvlText w:val=""/>
      <w:lvlJc w:val="left"/>
      <w:pPr>
        <w:ind w:left="1440" w:hanging="180"/>
      </w:pPr>
      <w:rPr>
        <w:rFonts w:ascii="Symbol" w:hAnsi="Symbol" w:hint="default"/>
      </w:rPr>
    </w:lvl>
    <w:lvl w:ilvl="2" w:tplc="58C87C46">
      <w:numFmt w:val="decimal"/>
      <w:lvlText w:val=""/>
      <w:lvlJc w:val="left"/>
    </w:lvl>
    <w:lvl w:ilvl="3" w:tplc="FCD6294E">
      <w:numFmt w:val="decimal"/>
      <w:lvlText w:val=""/>
      <w:lvlJc w:val="left"/>
    </w:lvl>
    <w:lvl w:ilvl="4" w:tplc="F6049670">
      <w:numFmt w:val="decimal"/>
      <w:lvlText w:val=""/>
      <w:lvlJc w:val="left"/>
    </w:lvl>
    <w:lvl w:ilvl="5" w:tplc="CF8E1B46">
      <w:numFmt w:val="decimal"/>
      <w:lvlText w:val=""/>
      <w:lvlJc w:val="left"/>
    </w:lvl>
    <w:lvl w:ilvl="6" w:tplc="D0D40F40">
      <w:numFmt w:val="decimal"/>
      <w:lvlText w:val=""/>
      <w:lvlJc w:val="left"/>
    </w:lvl>
    <w:lvl w:ilvl="7" w:tplc="640EC3DA">
      <w:numFmt w:val="decimal"/>
      <w:lvlText w:val=""/>
      <w:lvlJc w:val="left"/>
    </w:lvl>
    <w:lvl w:ilvl="8" w:tplc="3176E1F8">
      <w:numFmt w:val="decimal"/>
      <w:lvlText w:val=""/>
      <w:lvlJc w:val="left"/>
    </w:lvl>
  </w:abstractNum>
  <w:abstractNum w:abstractNumId="676" w15:restartNumberingAfterBreak="0">
    <w:nsid w:val="327B6358"/>
    <w:multiLevelType w:val="hybridMultilevel"/>
    <w:tmpl w:val="D13A4310"/>
    <w:lvl w:ilvl="0" w:tplc="38B03BF6">
      <w:start w:val="1"/>
      <w:numFmt w:val="bullet"/>
      <w:lvlText w:val=""/>
      <w:lvlJc w:val="left"/>
      <w:pPr>
        <w:ind w:left="720" w:hanging="180"/>
      </w:pPr>
      <w:rPr>
        <w:rFonts w:ascii="Symbol" w:hAnsi="Symbol" w:hint="default"/>
      </w:rPr>
    </w:lvl>
    <w:lvl w:ilvl="1" w:tplc="9EE8CB74">
      <w:numFmt w:val="decimal"/>
      <w:lvlText w:val=""/>
      <w:lvlJc w:val="left"/>
    </w:lvl>
    <w:lvl w:ilvl="2" w:tplc="DA22D8DE">
      <w:numFmt w:val="decimal"/>
      <w:lvlText w:val=""/>
      <w:lvlJc w:val="left"/>
    </w:lvl>
    <w:lvl w:ilvl="3" w:tplc="4CC45798">
      <w:numFmt w:val="decimal"/>
      <w:lvlText w:val=""/>
      <w:lvlJc w:val="left"/>
    </w:lvl>
    <w:lvl w:ilvl="4" w:tplc="FEA21FA4">
      <w:numFmt w:val="decimal"/>
      <w:lvlText w:val=""/>
      <w:lvlJc w:val="left"/>
    </w:lvl>
    <w:lvl w:ilvl="5" w:tplc="346EAA0A">
      <w:numFmt w:val="decimal"/>
      <w:lvlText w:val=""/>
      <w:lvlJc w:val="left"/>
    </w:lvl>
    <w:lvl w:ilvl="6" w:tplc="EE9448AA">
      <w:numFmt w:val="decimal"/>
      <w:lvlText w:val=""/>
      <w:lvlJc w:val="left"/>
    </w:lvl>
    <w:lvl w:ilvl="7" w:tplc="3A067846">
      <w:numFmt w:val="decimal"/>
      <w:lvlText w:val=""/>
      <w:lvlJc w:val="left"/>
    </w:lvl>
    <w:lvl w:ilvl="8" w:tplc="B0927F10">
      <w:numFmt w:val="decimal"/>
      <w:lvlText w:val=""/>
      <w:lvlJc w:val="left"/>
    </w:lvl>
  </w:abstractNum>
  <w:abstractNum w:abstractNumId="677" w15:restartNumberingAfterBreak="0">
    <w:nsid w:val="328B421A"/>
    <w:multiLevelType w:val="hybridMultilevel"/>
    <w:tmpl w:val="5F4C3E52"/>
    <w:lvl w:ilvl="0" w:tplc="21C62C08">
      <w:start w:val="1"/>
      <w:numFmt w:val="bullet"/>
      <w:lvlText w:val=""/>
      <w:lvlJc w:val="left"/>
      <w:pPr>
        <w:ind w:left="720" w:hanging="180"/>
      </w:pPr>
      <w:rPr>
        <w:rFonts w:ascii="Symbol" w:hAnsi="Symbol" w:hint="default"/>
      </w:rPr>
    </w:lvl>
    <w:lvl w:ilvl="1" w:tplc="990CE6A6">
      <w:numFmt w:val="decimal"/>
      <w:lvlText w:val=""/>
      <w:lvlJc w:val="left"/>
    </w:lvl>
    <w:lvl w:ilvl="2" w:tplc="1F463C5E">
      <w:numFmt w:val="decimal"/>
      <w:lvlText w:val=""/>
      <w:lvlJc w:val="left"/>
    </w:lvl>
    <w:lvl w:ilvl="3" w:tplc="4D10F500">
      <w:numFmt w:val="decimal"/>
      <w:lvlText w:val=""/>
      <w:lvlJc w:val="left"/>
    </w:lvl>
    <w:lvl w:ilvl="4" w:tplc="C4DCE12C">
      <w:numFmt w:val="decimal"/>
      <w:lvlText w:val=""/>
      <w:lvlJc w:val="left"/>
    </w:lvl>
    <w:lvl w:ilvl="5" w:tplc="F9BE9B02">
      <w:numFmt w:val="decimal"/>
      <w:lvlText w:val=""/>
      <w:lvlJc w:val="left"/>
    </w:lvl>
    <w:lvl w:ilvl="6" w:tplc="49FE136E">
      <w:numFmt w:val="decimal"/>
      <w:lvlText w:val=""/>
      <w:lvlJc w:val="left"/>
    </w:lvl>
    <w:lvl w:ilvl="7" w:tplc="BC302DBC">
      <w:numFmt w:val="decimal"/>
      <w:lvlText w:val=""/>
      <w:lvlJc w:val="left"/>
    </w:lvl>
    <w:lvl w:ilvl="8" w:tplc="E4BE0A88">
      <w:numFmt w:val="decimal"/>
      <w:lvlText w:val=""/>
      <w:lvlJc w:val="left"/>
    </w:lvl>
  </w:abstractNum>
  <w:abstractNum w:abstractNumId="678" w15:restartNumberingAfterBreak="0">
    <w:nsid w:val="32925735"/>
    <w:multiLevelType w:val="hybridMultilevel"/>
    <w:tmpl w:val="BBFC5128"/>
    <w:lvl w:ilvl="0" w:tplc="BAC0DD20">
      <w:start w:val="1"/>
      <w:numFmt w:val="bullet"/>
      <w:lvlText w:val=""/>
      <w:lvlJc w:val="left"/>
      <w:pPr>
        <w:ind w:left="720" w:hanging="180"/>
      </w:pPr>
      <w:rPr>
        <w:rFonts w:ascii="Symbol" w:hAnsi="Symbol" w:hint="default"/>
      </w:rPr>
    </w:lvl>
    <w:lvl w:ilvl="1" w:tplc="BE2424E6">
      <w:numFmt w:val="decimal"/>
      <w:lvlText w:val=""/>
      <w:lvlJc w:val="left"/>
    </w:lvl>
    <w:lvl w:ilvl="2" w:tplc="100031C8">
      <w:numFmt w:val="decimal"/>
      <w:lvlText w:val=""/>
      <w:lvlJc w:val="left"/>
    </w:lvl>
    <w:lvl w:ilvl="3" w:tplc="467EB71C">
      <w:numFmt w:val="decimal"/>
      <w:lvlText w:val=""/>
      <w:lvlJc w:val="left"/>
    </w:lvl>
    <w:lvl w:ilvl="4" w:tplc="30AE1176">
      <w:numFmt w:val="decimal"/>
      <w:lvlText w:val=""/>
      <w:lvlJc w:val="left"/>
    </w:lvl>
    <w:lvl w:ilvl="5" w:tplc="3F7CCF6C">
      <w:numFmt w:val="decimal"/>
      <w:lvlText w:val=""/>
      <w:lvlJc w:val="left"/>
    </w:lvl>
    <w:lvl w:ilvl="6" w:tplc="EBFE2916">
      <w:numFmt w:val="decimal"/>
      <w:lvlText w:val=""/>
      <w:lvlJc w:val="left"/>
    </w:lvl>
    <w:lvl w:ilvl="7" w:tplc="7F6A9C58">
      <w:numFmt w:val="decimal"/>
      <w:lvlText w:val=""/>
      <w:lvlJc w:val="left"/>
    </w:lvl>
    <w:lvl w:ilvl="8" w:tplc="44F4CCC2">
      <w:numFmt w:val="decimal"/>
      <w:lvlText w:val=""/>
      <w:lvlJc w:val="left"/>
    </w:lvl>
  </w:abstractNum>
  <w:abstractNum w:abstractNumId="679" w15:restartNumberingAfterBreak="0">
    <w:nsid w:val="32A23386"/>
    <w:multiLevelType w:val="hybridMultilevel"/>
    <w:tmpl w:val="C1A6A286"/>
    <w:lvl w:ilvl="0" w:tplc="6ACC6D38">
      <w:start w:val="1"/>
      <w:numFmt w:val="bullet"/>
      <w:lvlText w:val=""/>
      <w:lvlJc w:val="left"/>
      <w:pPr>
        <w:ind w:left="720" w:hanging="180"/>
      </w:pPr>
      <w:rPr>
        <w:rFonts w:ascii="Symbol" w:hAnsi="Symbol" w:hint="default"/>
      </w:rPr>
    </w:lvl>
    <w:lvl w:ilvl="1" w:tplc="997E03BC">
      <w:numFmt w:val="decimal"/>
      <w:lvlText w:val=""/>
      <w:lvlJc w:val="left"/>
    </w:lvl>
    <w:lvl w:ilvl="2" w:tplc="92F2DDF0">
      <w:numFmt w:val="decimal"/>
      <w:lvlText w:val=""/>
      <w:lvlJc w:val="left"/>
    </w:lvl>
    <w:lvl w:ilvl="3" w:tplc="BFF49080">
      <w:numFmt w:val="decimal"/>
      <w:lvlText w:val=""/>
      <w:lvlJc w:val="left"/>
    </w:lvl>
    <w:lvl w:ilvl="4" w:tplc="E5D264D0">
      <w:numFmt w:val="decimal"/>
      <w:lvlText w:val=""/>
      <w:lvlJc w:val="left"/>
    </w:lvl>
    <w:lvl w:ilvl="5" w:tplc="EC94AC3C">
      <w:numFmt w:val="decimal"/>
      <w:lvlText w:val=""/>
      <w:lvlJc w:val="left"/>
    </w:lvl>
    <w:lvl w:ilvl="6" w:tplc="F78E9256">
      <w:numFmt w:val="decimal"/>
      <w:lvlText w:val=""/>
      <w:lvlJc w:val="left"/>
    </w:lvl>
    <w:lvl w:ilvl="7" w:tplc="5E30E356">
      <w:numFmt w:val="decimal"/>
      <w:lvlText w:val=""/>
      <w:lvlJc w:val="left"/>
    </w:lvl>
    <w:lvl w:ilvl="8" w:tplc="DBFCE14C">
      <w:numFmt w:val="decimal"/>
      <w:lvlText w:val=""/>
      <w:lvlJc w:val="left"/>
    </w:lvl>
  </w:abstractNum>
  <w:abstractNum w:abstractNumId="680" w15:restartNumberingAfterBreak="0">
    <w:nsid w:val="32AC2C79"/>
    <w:multiLevelType w:val="hybridMultilevel"/>
    <w:tmpl w:val="9BE08F94"/>
    <w:lvl w:ilvl="0" w:tplc="AD9A8392">
      <w:start w:val="1"/>
      <w:numFmt w:val="bullet"/>
      <w:lvlText w:val=""/>
      <w:lvlJc w:val="left"/>
      <w:pPr>
        <w:ind w:left="720" w:hanging="180"/>
      </w:pPr>
      <w:rPr>
        <w:rFonts w:ascii="Symbol" w:hAnsi="Symbol" w:hint="default"/>
      </w:rPr>
    </w:lvl>
    <w:lvl w:ilvl="1" w:tplc="132268C2">
      <w:numFmt w:val="decimal"/>
      <w:lvlText w:val=""/>
      <w:lvlJc w:val="left"/>
    </w:lvl>
    <w:lvl w:ilvl="2" w:tplc="683404DC">
      <w:numFmt w:val="decimal"/>
      <w:lvlText w:val=""/>
      <w:lvlJc w:val="left"/>
    </w:lvl>
    <w:lvl w:ilvl="3" w:tplc="E558FA82">
      <w:numFmt w:val="decimal"/>
      <w:lvlText w:val=""/>
      <w:lvlJc w:val="left"/>
    </w:lvl>
    <w:lvl w:ilvl="4" w:tplc="FE024D20">
      <w:numFmt w:val="decimal"/>
      <w:lvlText w:val=""/>
      <w:lvlJc w:val="left"/>
    </w:lvl>
    <w:lvl w:ilvl="5" w:tplc="3A986934">
      <w:numFmt w:val="decimal"/>
      <w:lvlText w:val=""/>
      <w:lvlJc w:val="left"/>
    </w:lvl>
    <w:lvl w:ilvl="6" w:tplc="78C6DDB8">
      <w:numFmt w:val="decimal"/>
      <w:lvlText w:val=""/>
      <w:lvlJc w:val="left"/>
    </w:lvl>
    <w:lvl w:ilvl="7" w:tplc="5CA8240C">
      <w:numFmt w:val="decimal"/>
      <w:lvlText w:val=""/>
      <w:lvlJc w:val="left"/>
    </w:lvl>
    <w:lvl w:ilvl="8" w:tplc="63ECB346">
      <w:numFmt w:val="decimal"/>
      <w:lvlText w:val=""/>
      <w:lvlJc w:val="left"/>
    </w:lvl>
  </w:abstractNum>
  <w:abstractNum w:abstractNumId="681" w15:restartNumberingAfterBreak="0">
    <w:nsid w:val="32B86D9C"/>
    <w:multiLevelType w:val="hybridMultilevel"/>
    <w:tmpl w:val="7D64D824"/>
    <w:lvl w:ilvl="0" w:tplc="80B4F78E">
      <w:start w:val="1"/>
      <w:numFmt w:val="bullet"/>
      <w:lvlText w:val=""/>
      <w:lvlJc w:val="left"/>
      <w:pPr>
        <w:ind w:left="720" w:hanging="180"/>
      </w:pPr>
      <w:rPr>
        <w:rFonts w:ascii="Symbol" w:hAnsi="Symbol" w:hint="default"/>
      </w:rPr>
    </w:lvl>
    <w:lvl w:ilvl="1" w:tplc="A33CE856">
      <w:numFmt w:val="decimal"/>
      <w:lvlText w:val=""/>
      <w:lvlJc w:val="left"/>
    </w:lvl>
    <w:lvl w:ilvl="2" w:tplc="C47EAFBA">
      <w:numFmt w:val="decimal"/>
      <w:lvlText w:val=""/>
      <w:lvlJc w:val="left"/>
    </w:lvl>
    <w:lvl w:ilvl="3" w:tplc="EC9CAA1A">
      <w:numFmt w:val="decimal"/>
      <w:lvlText w:val=""/>
      <w:lvlJc w:val="left"/>
    </w:lvl>
    <w:lvl w:ilvl="4" w:tplc="2BA6D66E">
      <w:numFmt w:val="decimal"/>
      <w:lvlText w:val=""/>
      <w:lvlJc w:val="left"/>
    </w:lvl>
    <w:lvl w:ilvl="5" w:tplc="D7381FB4">
      <w:numFmt w:val="decimal"/>
      <w:lvlText w:val=""/>
      <w:lvlJc w:val="left"/>
    </w:lvl>
    <w:lvl w:ilvl="6" w:tplc="805A5C26">
      <w:numFmt w:val="decimal"/>
      <w:lvlText w:val=""/>
      <w:lvlJc w:val="left"/>
    </w:lvl>
    <w:lvl w:ilvl="7" w:tplc="8EBC5616">
      <w:numFmt w:val="decimal"/>
      <w:lvlText w:val=""/>
      <w:lvlJc w:val="left"/>
    </w:lvl>
    <w:lvl w:ilvl="8" w:tplc="E7424F90">
      <w:numFmt w:val="decimal"/>
      <w:lvlText w:val=""/>
      <w:lvlJc w:val="left"/>
    </w:lvl>
  </w:abstractNum>
  <w:abstractNum w:abstractNumId="682" w15:restartNumberingAfterBreak="0">
    <w:nsid w:val="32BE5B1E"/>
    <w:multiLevelType w:val="hybridMultilevel"/>
    <w:tmpl w:val="A2CE3D00"/>
    <w:lvl w:ilvl="0" w:tplc="B18266F4">
      <w:numFmt w:val="decimal"/>
      <w:lvlText w:val=""/>
      <w:lvlJc w:val="left"/>
    </w:lvl>
    <w:lvl w:ilvl="1" w:tplc="14DA3024">
      <w:start w:val="1"/>
      <w:numFmt w:val="bullet"/>
      <w:lvlText w:val=""/>
      <w:lvlJc w:val="left"/>
      <w:pPr>
        <w:ind w:left="1440" w:hanging="180"/>
      </w:pPr>
      <w:rPr>
        <w:rFonts w:ascii="Symbol" w:hAnsi="Symbol" w:hint="default"/>
      </w:rPr>
    </w:lvl>
    <w:lvl w:ilvl="2" w:tplc="56149972">
      <w:numFmt w:val="decimal"/>
      <w:lvlText w:val=""/>
      <w:lvlJc w:val="left"/>
    </w:lvl>
    <w:lvl w:ilvl="3" w:tplc="54ACA6D6">
      <w:numFmt w:val="decimal"/>
      <w:lvlText w:val=""/>
      <w:lvlJc w:val="left"/>
    </w:lvl>
    <w:lvl w:ilvl="4" w:tplc="F7F402D6">
      <w:numFmt w:val="decimal"/>
      <w:lvlText w:val=""/>
      <w:lvlJc w:val="left"/>
    </w:lvl>
    <w:lvl w:ilvl="5" w:tplc="04800ED2">
      <w:numFmt w:val="decimal"/>
      <w:lvlText w:val=""/>
      <w:lvlJc w:val="left"/>
    </w:lvl>
    <w:lvl w:ilvl="6" w:tplc="EEF03670">
      <w:numFmt w:val="decimal"/>
      <w:lvlText w:val=""/>
      <w:lvlJc w:val="left"/>
    </w:lvl>
    <w:lvl w:ilvl="7" w:tplc="C38411D6">
      <w:numFmt w:val="decimal"/>
      <w:lvlText w:val=""/>
      <w:lvlJc w:val="left"/>
    </w:lvl>
    <w:lvl w:ilvl="8" w:tplc="9A2E655E">
      <w:numFmt w:val="decimal"/>
      <w:lvlText w:val=""/>
      <w:lvlJc w:val="left"/>
    </w:lvl>
  </w:abstractNum>
  <w:abstractNum w:abstractNumId="683" w15:restartNumberingAfterBreak="0">
    <w:nsid w:val="32C5671C"/>
    <w:multiLevelType w:val="hybridMultilevel"/>
    <w:tmpl w:val="C65AEF14"/>
    <w:lvl w:ilvl="0" w:tplc="63120D9E">
      <w:start w:val="1"/>
      <w:numFmt w:val="bullet"/>
      <w:lvlText w:val=""/>
      <w:lvlJc w:val="left"/>
      <w:pPr>
        <w:ind w:left="720" w:hanging="180"/>
      </w:pPr>
      <w:rPr>
        <w:rFonts w:ascii="Symbol" w:hAnsi="Symbol" w:hint="default"/>
      </w:rPr>
    </w:lvl>
    <w:lvl w:ilvl="1" w:tplc="E16C9B8A">
      <w:numFmt w:val="decimal"/>
      <w:lvlText w:val=""/>
      <w:lvlJc w:val="left"/>
    </w:lvl>
    <w:lvl w:ilvl="2" w:tplc="6F1E4EF0">
      <w:numFmt w:val="decimal"/>
      <w:lvlText w:val=""/>
      <w:lvlJc w:val="left"/>
    </w:lvl>
    <w:lvl w:ilvl="3" w:tplc="AAA2B708">
      <w:numFmt w:val="decimal"/>
      <w:lvlText w:val=""/>
      <w:lvlJc w:val="left"/>
    </w:lvl>
    <w:lvl w:ilvl="4" w:tplc="215294B6">
      <w:numFmt w:val="decimal"/>
      <w:lvlText w:val=""/>
      <w:lvlJc w:val="left"/>
    </w:lvl>
    <w:lvl w:ilvl="5" w:tplc="9D7AED76">
      <w:numFmt w:val="decimal"/>
      <w:lvlText w:val=""/>
      <w:lvlJc w:val="left"/>
    </w:lvl>
    <w:lvl w:ilvl="6" w:tplc="7994910C">
      <w:numFmt w:val="decimal"/>
      <w:lvlText w:val=""/>
      <w:lvlJc w:val="left"/>
    </w:lvl>
    <w:lvl w:ilvl="7" w:tplc="F49C94E8">
      <w:numFmt w:val="decimal"/>
      <w:lvlText w:val=""/>
      <w:lvlJc w:val="left"/>
    </w:lvl>
    <w:lvl w:ilvl="8" w:tplc="1894310E">
      <w:numFmt w:val="decimal"/>
      <w:lvlText w:val=""/>
      <w:lvlJc w:val="left"/>
    </w:lvl>
  </w:abstractNum>
  <w:abstractNum w:abstractNumId="684" w15:restartNumberingAfterBreak="0">
    <w:nsid w:val="32C61682"/>
    <w:multiLevelType w:val="hybridMultilevel"/>
    <w:tmpl w:val="6A6040F6"/>
    <w:lvl w:ilvl="0" w:tplc="966C353A">
      <w:start w:val="1"/>
      <w:numFmt w:val="bullet"/>
      <w:lvlText w:val=""/>
      <w:lvlJc w:val="left"/>
      <w:pPr>
        <w:ind w:left="720" w:hanging="180"/>
      </w:pPr>
      <w:rPr>
        <w:rFonts w:ascii="Symbol" w:hAnsi="Symbol" w:hint="default"/>
      </w:rPr>
    </w:lvl>
    <w:lvl w:ilvl="1" w:tplc="443C15D2">
      <w:numFmt w:val="decimal"/>
      <w:lvlText w:val=""/>
      <w:lvlJc w:val="left"/>
    </w:lvl>
    <w:lvl w:ilvl="2" w:tplc="96B4EF52">
      <w:numFmt w:val="decimal"/>
      <w:lvlText w:val=""/>
      <w:lvlJc w:val="left"/>
    </w:lvl>
    <w:lvl w:ilvl="3" w:tplc="A8F0A3CE">
      <w:numFmt w:val="decimal"/>
      <w:lvlText w:val=""/>
      <w:lvlJc w:val="left"/>
    </w:lvl>
    <w:lvl w:ilvl="4" w:tplc="7D06D80A">
      <w:numFmt w:val="decimal"/>
      <w:lvlText w:val=""/>
      <w:lvlJc w:val="left"/>
    </w:lvl>
    <w:lvl w:ilvl="5" w:tplc="9CC81F86">
      <w:numFmt w:val="decimal"/>
      <w:lvlText w:val=""/>
      <w:lvlJc w:val="left"/>
    </w:lvl>
    <w:lvl w:ilvl="6" w:tplc="BF246144">
      <w:numFmt w:val="decimal"/>
      <w:lvlText w:val=""/>
      <w:lvlJc w:val="left"/>
    </w:lvl>
    <w:lvl w:ilvl="7" w:tplc="FD961016">
      <w:numFmt w:val="decimal"/>
      <w:lvlText w:val=""/>
      <w:lvlJc w:val="left"/>
    </w:lvl>
    <w:lvl w:ilvl="8" w:tplc="6038AA58">
      <w:numFmt w:val="decimal"/>
      <w:lvlText w:val=""/>
      <w:lvlJc w:val="left"/>
    </w:lvl>
  </w:abstractNum>
  <w:abstractNum w:abstractNumId="685" w15:restartNumberingAfterBreak="0">
    <w:nsid w:val="32C85AB9"/>
    <w:multiLevelType w:val="hybridMultilevel"/>
    <w:tmpl w:val="73CCBCF2"/>
    <w:lvl w:ilvl="0" w:tplc="3CFE48D4">
      <w:start w:val="1"/>
      <w:numFmt w:val="bullet"/>
      <w:lvlText w:val=""/>
      <w:lvlJc w:val="left"/>
      <w:pPr>
        <w:ind w:left="720" w:hanging="180"/>
      </w:pPr>
      <w:rPr>
        <w:rFonts w:ascii="Symbol" w:hAnsi="Symbol" w:hint="default"/>
      </w:rPr>
    </w:lvl>
    <w:lvl w:ilvl="1" w:tplc="4FA02A20">
      <w:numFmt w:val="decimal"/>
      <w:lvlText w:val=""/>
      <w:lvlJc w:val="left"/>
    </w:lvl>
    <w:lvl w:ilvl="2" w:tplc="9BC208BC">
      <w:numFmt w:val="decimal"/>
      <w:lvlText w:val=""/>
      <w:lvlJc w:val="left"/>
    </w:lvl>
    <w:lvl w:ilvl="3" w:tplc="6B2A8B48">
      <w:numFmt w:val="decimal"/>
      <w:lvlText w:val=""/>
      <w:lvlJc w:val="left"/>
    </w:lvl>
    <w:lvl w:ilvl="4" w:tplc="EE54A232">
      <w:numFmt w:val="decimal"/>
      <w:lvlText w:val=""/>
      <w:lvlJc w:val="left"/>
    </w:lvl>
    <w:lvl w:ilvl="5" w:tplc="F6C487CA">
      <w:numFmt w:val="decimal"/>
      <w:lvlText w:val=""/>
      <w:lvlJc w:val="left"/>
    </w:lvl>
    <w:lvl w:ilvl="6" w:tplc="EEC0EE94">
      <w:numFmt w:val="decimal"/>
      <w:lvlText w:val=""/>
      <w:lvlJc w:val="left"/>
    </w:lvl>
    <w:lvl w:ilvl="7" w:tplc="33E443D6">
      <w:numFmt w:val="decimal"/>
      <w:lvlText w:val=""/>
      <w:lvlJc w:val="left"/>
    </w:lvl>
    <w:lvl w:ilvl="8" w:tplc="E4029F8E">
      <w:numFmt w:val="decimal"/>
      <w:lvlText w:val=""/>
      <w:lvlJc w:val="left"/>
    </w:lvl>
  </w:abstractNum>
  <w:abstractNum w:abstractNumId="686" w15:restartNumberingAfterBreak="0">
    <w:nsid w:val="32CE4DC5"/>
    <w:multiLevelType w:val="hybridMultilevel"/>
    <w:tmpl w:val="77B62680"/>
    <w:lvl w:ilvl="0" w:tplc="7688D5F6">
      <w:start w:val="1"/>
      <w:numFmt w:val="bullet"/>
      <w:lvlText w:val=""/>
      <w:lvlJc w:val="left"/>
      <w:pPr>
        <w:ind w:left="720" w:hanging="180"/>
      </w:pPr>
      <w:rPr>
        <w:rFonts w:ascii="Symbol" w:hAnsi="Symbol" w:hint="default"/>
      </w:rPr>
    </w:lvl>
    <w:lvl w:ilvl="1" w:tplc="FDB0E980">
      <w:numFmt w:val="decimal"/>
      <w:lvlText w:val=""/>
      <w:lvlJc w:val="left"/>
    </w:lvl>
    <w:lvl w:ilvl="2" w:tplc="79BCC6D2">
      <w:numFmt w:val="decimal"/>
      <w:lvlText w:val=""/>
      <w:lvlJc w:val="left"/>
    </w:lvl>
    <w:lvl w:ilvl="3" w:tplc="E11C9256">
      <w:numFmt w:val="decimal"/>
      <w:lvlText w:val=""/>
      <w:lvlJc w:val="left"/>
    </w:lvl>
    <w:lvl w:ilvl="4" w:tplc="9102A304">
      <w:numFmt w:val="decimal"/>
      <w:lvlText w:val=""/>
      <w:lvlJc w:val="left"/>
    </w:lvl>
    <w:lvl w:ilvl="5" w:tplc="51606450">
      <w:numFmt w:val="decimal"/>
      <w:lvlText w:val=""/>
      <w:lvlJc w:val="left"/>
    </w:lvl>
    <w:lvl w:ilvl="6" w:tplc="DE1EC580">
      <w:numFmt w:val="decimal"/>
      <w:lvlText w:val=""/>
      <w:lvlJc w:val="left"/>
    </w:lvl>
    <w:lvl w:ilvl="7" w:tplc="4CFE1C34">
      <w:numFmt w:val="decimal"/>
      <w:lvlText w:val=""/>
      <w:lvlJc w:val="left"/>
    </w:lvl>
    <w:lvl w:ilvl="8" w:tplc="462ECA50">
      <w:numFmt w:val="decimal"/>
      <w:lvlText w:val=""/>
      <w:lvlJc w:val="left"/>
    </w:lvl>
  </w:abstractNum>
  <w:abstractNum w:abstractNumId="687" w15:restartNumberingAfterBreak="0">
    <w:nsid w:val="32E247E2"/>
    <w:multiLevelType w:val="hybridMultilevel"/>
    <w:tmpl w:val="F61ACE9C"/>
    <w:lvl w:ilvl="0" w:tplc="EE1E8FFC">
      <w:start w:val="1"/>
      <w:numFmt w:val="bullet"/>
      <w:lvlText w:val=""/>
      <w:lvlJc w:val="left"/>
      <w:pPr>
        <w:ind w:left="720" w:hanging="180"/>
      </w:pPr>
      <w:rPr>
        <w:rFonts w:ascii="Symbol" w:hAnsi="Symbol" w:hint="default"/>
      </w:rPr>
    </w:lvl>
    <w:lvl w:ilvl="1" w:tplc="60B0CF2E">
      <w:numFmt w:val="decimal"/>
      <w:lvlText w:val=""/>
      <w:lvlJc w:val="left"/>
    </w:lvl>
    <w:lvl w:ilvl="2" w:tplc="92CAB1F2">
      <w:numFmt w:val="decimal"/>
      <w:lvlText w:val=""/>
      <w:lvlJc w:val="left"/>
    </w:lvl>
    <w:lvl w:ilvl="3" w:tplc="179074EE">
      <w:numFmt w:val="decimal"/>
      <w:lvlText w:val=""/>
      <w:lvlJc w:val="left"/>
    </w:lvl>
    <w:lvl w:ilvl="4" w:tplc="42E2407E">
      <w:numFmt w:val="decimal"/>
      <w:lvlText w:val=""/>
      <w:lvlJc w:val="left"/>
    </w:lvl>
    <w:lvl w:ilvl="5" w:tplc="A20C2FE2">
      <w:numFmt w:val="decimal"/>
      <w:lvlText w:val=""/>
      <w:lvlJc w:val="left"/>
    </w:lvl>
    <w:lvl w:ilvl="6" w:tplc="580C1DD6">
      <w:numFmt w:val="decimal"/>
      <w:lvlText w:val=""/>
      <w:lvlJc w:val="left"/>
    </w:lvl>
    <w:lvl w:ilvl="7" w:tplc="DBEA1D9C">
      <w:numFmt w:val="decimal"/>
      <w:lvlText w:val=""/>
      <w:lvlJc w:val="left"/>
    </w:lvl>
    <w:lvl w:ilvl="8" w:tplc="346A2048">
      <w:numFmt w:val="decimal"/>
      <w:lvlText w:val=""/>
      <w:lvlJc w:val="left"/>
    </w:lvl>
  </w:abstractNum>
  <w:abstractNum w:abstractNumId="688" w15:restartNumberingAfterBreak="0">
    <w:nsid w:val="32E65935"/>
    <w:multiLevelType w:val="hybridMultilevel"/>
    <w:tmpl w:val="FB801794"/>
    <w:lvl w:ilvl="0" w:tplc="CDE8B93C">
      <w:start w:val="1"/>
      <w:numFmt w:val="bullet"/>
      <w:lvlText w:val=""/>
      <w:lvlJc w:val="left"/>
      <w:pPr>
        <w:ind w:left="720" w:hanging="180"/>
      </w:pPr>
      <w:rPr>
        <w:rFonts w:ascii="Symbol" w:hAnsi="Symbol" w:hint="default"/>
      </w:rPr>
    </w:lvl>
    <w:lvl w:ilvl="1" w:tplc="DC00970C">
      <w:numFmt w:val="decimal"/>
      <w:lvlText w:val=""/>
      <w:lvlJc w:val="left"/>
    </w:lvl>
    <w:lvl w:ilvl="2" w:tplc="0ECC010C">
      <w:numFmt w:val="decimal"/>
      <w:lvlText w:val=""/>
      <w:lvlJc w:val="left"/>
    </w:lvl>
    <w:lvl w:ilvl="3" w:tplc="92C2BBBA">
      <w:numFmt w:val="decimal"/>
      <w:lvlText w:val=""/>
      <w:lvlJc w:val="left"/>
    </w:lvl>
    <w:lvl w:ilvl="4" w:tplc="805A5F3E">
      <w:numFmt w:val="decimal"/>
      <w:lvlText w:val=""/>
      <w:lvlJc w:val="left"/>
    </w:lvl>
    <w:lvl w:ilvl="5" w:tplc="63FC5124">
      <w:numFmt w:val="decimal"/>
      <w:lvlText w:val=""/>
      <w:lvlJc w:val="left"/>
    </w:lvl>
    <w:lvl w:ilvl="6" w:tplc="395A8D46">
      <w:numFmt w:val="decimal"/>
      <w:lvlText w:val=""/>
      <w:lvlJc w:val="left"/>
    </w:lvl>
    <w:lvl w:ilvl="7" w:tplc="248EA518">
      <w:numFmt w:val="decimal"/>
      <w:lvlText w:val=""/>
      <w:lvlJc w:val="left"/>
    </w:lvl>
    <w:lvl w:ilvl="8" w:tplc="1B060CF2">
      <w:numFmt w:val="decimal"/>
      <w:lvlText w:val=""/>
      <w:lvlJc w:val="left"/>
    </w:lvl>
  </w:abstractNum>
  <w:abstractNum w:abstractNumId="689" w15:restartNumberingAfterBreak="0">
    <w:nsid w:val="32F77089"/>
    <w:multiLevelType w:val="hybridMultilevel"/>
    <w:tmpl w:val="014E679A"/>
    <w:lvl w:ilvl="0" w:tplc="10D65E16">
      <w:start w:val="1"/>
      <w:numFmt w:val="bullet"/>
      <w:lvlText w:val=""/>
      <w:lvlJc w:val="left"/>
      <w:pPr>
        <w:ind w:left="720" w:hanging="180"/>
      </w:pPr>
      <w:rPr>
        <w:rFonts w:ascii="Symbol" w:hAnsi="Symbol" w:hint="default"/>
      </w:rPr>
    </w:lvl>
    <w:lvl w:ilvl="1" w:tplc="F38CEF2C">
      <w:numFmt w:val="decimal"/>
      <w:lvlText w:val=""/>
      <w:lvlJc w:val="left"/>
    </w:lvl>
    <w:lvl w:ilvl="2" w:tplc="23F27F38">
      <w:numFmt w:val="decimal"/>
      <w:lvlText w:val=""/>
      <w:lvlJc w:val="left"/>
    </w:lvl>
    <w:lvl w:ilvl="3" w:tplc="2B548C70">
      <w:numFmt w:val="decimal"/>
      <w:lvlText w:val=""/>
      <w:lvlJc w:val="left"/>
    </w:lvl>
    <w:lvl w:ilvl="4" w:tplc="1DF22536">
      <w:numFmt w:val="decimal"/>
      <w:lvlText w:val=""/>
      <w:lvlJc w:val="left"/>
    </w:lvl>
    <w:lvl w:ilvl="5" w:tplc="1042F184">
      <w:numFmt w:val="decimal"/>
      <w:lvlText w:val=""/>
      <w:lvlJc w:val="left"/>
    </w:lvl>
    <w:lvl w:ilvl="6" w:tplc="198A46B8">
      <w:numFmt w:val="decimal"/>
      <w:lvlText w:val=""/>
      <w:lvlJc w:val="left"/>
    </w:lvl>
    <w:lvl w:ilvl="7" w:tplc="608AFE32">
      <w:numFmt w:val="decimal"/>
      <w:lvlText w:val=""/>
      <w:lvlJc w:val="left"/>
    </w:lvl>
    <w:lvl w:ilvl="8" w:tplc="5900B704">
      <w:numFmt w:val="decimal"/>
      <w:lvlText w:val=""/>
      <w:lvlJc w:val="left"/>
    </w:lvl>
  </w:abstractNum>
  <w:abstractNum w:abstractNumId="690" w15:restartNumberingAfterBreak="0">
    <w:nsid w:val="33033F6F"/>
    <w:multiLevelType w:val="hybridMultilevel"/>
    <w:tmpl w:val="AA005E3C"/>
    <w:lvl w:ilvl="0" w:tplc="A812409E">
      <w:start w:val="1"/>
      <w:numFmt w:val="bullet"/>
      <w:lvlText w:val=""/>
      <w:lvlJc w:val="left"/>
      <w:pPr>
        <w:ind w:left="720" w:hanging="180"/>
      </w:pPr>
      <w:rPr>
        <w:rFonts w:ascii="Symbol" w:hAnsi="Symbol" w:hint="default"/>
      </w:rPr>
    </w:lvl>
    <w:lvl w:ilvl="1" w:tplc="5D620896">
      <w:numFmt w:val="decimal"/>
      <w:lvlText w:val=""/>
      <w:lvlJc w:val="left"/>
    </w:lvl>
    <w:lvl w:ilvl="2" w:tplc="CDA4B352">
      <w:numFmt w:val="decimal"/>
      <w:lvlText w:val=""/>
      <w:lvlJc w:val="left"/>
    </w:lvl>
    <w:lvl w:ilvl="3" w:tplc="EC34215C">
      <w:numFmt w:val="decimal"/>
      <w:lvlText w:val=""/>
      <w:lvlJc w:val="left"/>
    </w:lvl>
    <w:lvl w:ilvl="4" w:tplc="07DCE8B4">
      <w:numFmt w:val="decimal"/>
      <w:lvlText w:val=""/>
      <w:lvlJc w:val="left"/>
    </w:lvl>
    <w:lvl w:ilvl="5" w:tplc="CD7CBB5A">
      <w:numFmt w:val="decimal"/>
      <w:lvlText w:val=""/>
      <w:lvlJc w:val="left"/>
    </w:lvl>
    <w:lvl w:ilvl="6" w:tplc="2076C090">
      <w:numFmt w:val="decimal"/>
      <w:lvlText w:val=""/>
      <w:lvlJc w:val="left"/>
    </w:lvl>
    <w:lvl w:ilvl="7" w:tplc="04048F1E">
      <w:numFmt w:val="decimal"/>
      <w:lvlText w:val=""/>
      <w:lvlJc w:val="left"/>
    </w:lvl>
    <w:lvl w:ilvl="8" w:tplc="15022A44">
      <w:numFmt w:val="decimal"/>
      <w:lvlText w:val=""/>
      <w:lvlJc w:val="left"/>
    </w:lvl>
  </w:abstractNum>
  <w:abstractNum w:abstractNumId="691" w15:restartNumberingAfterBreak="0">
    <w:nsid w:val="33074E30"/>
    <w:multiLevelType w:val="hybridMultilevel"/>
    <w:tmpl w:val="8C4A9E9E"/>
    <w:lvl w:ilvl="0" w:tplc="C2CE112A">
      <w:start w:val="1"/>
      <w:numFmt w:val="bullet"/>
      <w:lvlText w:val=""/>
      <w:lvlJc w:val="left"/>
      <w:pPr>
        <w:ind w:left="720" w:hanging="180"/>
      </w:pPr>
      <w:rPr>
        <w:rFonts w:ascii="Symbol" w:hAnsi="Symbol" w:hint="default"/>
      </w:rPr>
    </w:lvl>
    <w:lvl w:ilvl="1" w:tplc="CD5A85EA">
      <w:numFmt w:val="decimal"/>
      <w:lvlText w:val=""/>
      <w:lvlJc w:val="left"/>
    </w:lvl>
    <w:lvl w:ilvl="2" w:tplc="C33C50D6">
      <w:numFmt w:val="decimal"/>
      <w:lvlText w:val=""/>
      <w:lvlJc w:val="left"/>
    </w:lvl>
    <w:lvl w:ilvl="3" w:tplc="BB36BAB6">
      <w:numFmt w:val="decimal"/>
      <w:lvlText w:val=""/>
      <w:lvlJc w:val="left"/>
    </w:lvl>
    <w:lvl w:ilvl="4" w:tplc="7554B0B8">
      <w:numFmt w:val="decimal"/>
      <w:lvlText w:val=""/>
      <w:lvlJc w:val="left"/>
    </w:lvl>
    <w:lvl w:ilvl="5" w:tplc="019E6EB6">
      <w:numFmt w:val="decimal"/>
      <w:lvlText w:val=""/>
      <w:lvlJc w:val="left"/>
    </w:lvl>
    <w:lvl w:ilvl="6" w:tplc="DAEAF568">
      <w:numFmt w:val="decimal"/>
      <w:lvlText w:val=""/>
      <w:lvlJc w:val="left"/>
    </w:lvl>
    <w:lvl w:ilvl="7" w:tplc="43A8E89A">
      <w:numFmt w:val="decimal"/>
      <w:lvlText w:val=""/>
      <w:lvlJc w:val="left"/>
    </w:lvl>
    <w:lvl w:ilvl="8" w:tplc="DF9A91F0">
      <w:numFmt w:val="decimal"/>
      <w:lvlText w:val=""/>
      <w:lvlJc w:val="left"/>
    </w:lvl>
  </w:abstractNum>
  <w:abstractNum w:abstractNumId="692" w15:restartNumberingAfterBreak="0">
    <w:nsid w:val="33143ACD"/>
    <w:multiLevelType w:val="hybridMultilevel"/>
    <w:tmpl w:val="3A74C430"/>
    <w:lvl w:ilvl="0" w:tplc="EED85DAE">
      <w:start w:val="1"/>
      <w:numFmt w:val="bullet"/>
      <w:lvlText w:val=""/>
      <w:lvlJc w:val="left"/>
      <w:pPr>
        <w:ind w:left="720" w:hanging="180"/>
      </w:pPr>
      <w:rPr>
        <w:rFonts w:ascii="Symbol" w:hAnsi="Symbol" w:hint="default"/>
      </w:rPr>
    </w:lvl>
    <w:lvl w:ilvl="1" w:tplc="5B96089E">
      <w:numFmt w:val="decimal"/>
      <w:lvlText w:val=""/>
      <w:lvlJc w:val="left"/>
    </w:lvl>
    <w:lvl w:ilvl="2" w:tplc="0D7A7A94">
      <w:numFmt w:val="decimal"/>
      <w:lvlText w:val=""/>
      <w:lvlJc w:val="left"/>
    </w:lvl>
    <w:lvl w:ilvl="3" w:tplc="F4E497C8">
      <w:numFmt w:val="decimal"/>
      <w:lvlText w:val=""/>
      <w:lvlJc w:val="left"/>
    </w:lvl>
    <w:lvl w:ilvl="4" w:tplc="66346548">
      <w:numFmt w:val="decimal"/>
      <w:lvlText w:val=""/>
      <w:lvlJc w:val="left"/>
    </w:lvl>
    <w:lvl w:ilvl="5" w:tplc="FB98C1B4">
      <w:numFmt w:val="decimal"/>
      <w:lvlText w:val=""/>
      <w:lvlJc w:val="left"/>
    </w:lvl>
    <w:lvl w:ilvl="6" w:tplc="A53ED05A">
      <w:numFmt w:val="decimal"/>
      <w:lvlText w:val=""/>
      <w:lvlJc w:val="left"/>
    </w:lvl>
    <w:lvl w:ilvl="7" w:tplc="C34CC93A">
      <w:numFmt w:val="decimal"/>
      <w:lvlText w:val=""/>
      <w:lvlJc w:val="left"/>
    </w:lvl>
    <w:lvl w:ilvl="8" w:tplc="6EA2C1AA">
      <w:numFmt w:val="decimal"/>
      <w:lvlText w:val=""/>
      <w:lvlJc w:val="left"/>
    </w:lvl>
  </w:abstractNum>
  <w:abstractNum w:abstractNumId="693" w15:restartNumberingAfterBreak="0">
    <w:nsid w:val="331F63E8"/>
    <w:multiLevelType w:val="hybridMultilevel"/>
    <w:tmpl w:val="FC445F14"/>
    <w:lvl w:ilvl="0" w:tplc="05EA5F0E">
      <w:start w:val="1"/>
      <w:numFmt w:val="bullet"/>
      <w:lvlText w:val=""/>
      <w:lvlJc w:val="left"/>
      <w:pPr>
        <w:ind w:left="720" w:hanging="180"/>
      </w:pPr>
      <w:rPr>
        <w:rFonts w:ascii="Symbol" w:hAnsi="Symbol" w:hint="default"/>
      </w:rPr>
    </w:lvl>
    <w:lvl w:ilvl="1" w:tplc="34F297C2">
      <w:numFmt w:val="decimal"/>
      <w:lvlText w:val=""/>
      <w:lvlJc w:val="left"/>
    </w:lvl>
    <w:lvl w:ilvl="2" w:tplc="8AE865CC">
      <w:numFmt w:val="decimal"/>
      <w:lvlText w:val=""/>
      <w:lvlJc w:val="left"/>
    </w:lvl>
    <w:lvl w:ilvl="3" w:tplc="CB7830B4">
      <w:numFmt w:val="decimal"/>
      <w:lvlText w:val=""/>
      <w:lvlJc w:val="left"/>
    </w:lvl>
    <w:lvl w:ilvl="4" w:tplc="EF845600">
      <w:numFmt w:val="decimal"/>
      <w:lvlText w:val=""/>
      <w:lvlJc w:val="left"/>
    </w:lvl>
    <w:lvl w:ilvl="5" w:tplc="B762DA76">
      <w:numFmt w:val="decimal"/>
      <w:lvlText w:val=""/>
      <w:lvlJc w:val="left"/>
    </w:lvl>
    <w:lvl w:ilvl="6" w:tplc="A50E7266">
      <w:numFmt w:val="decimal"/>
      <w:lvlText w:val=""/>
      <w:lvlJc w:val="left"/>
    </w:lvl>
    <w:lvl w:ilvl="7" w:tplc="270C66E4">
      <w:numFmt w:val="decimal"/>
      <w:lvlText w:val=""/>
      <w:lvlJc w:val="left"/>
    </w:lvl>
    <w:lvl w:ilvl="8" w:tplc="C428C128">
      <w:numFmt w:val="decimal"/>
      <w:lvlText w:val=""/>
      <w:lvlJc w:val="left"/>
    </w:lvl>
  </w:abstractNum>
  <w:abstractNum w:abstractNumId="694" w15:restartNumberingAfterBreak="0">
    <w:nsid w:val="33295854"/>
    <w:multiLevelType w:val="hybridMultilevel"/>
    <w:tmpl w:val="B582E324"/>
    <w:lvl w:ilvl="0" w:tplc="95E60A4C">
      <w:start w:val="1"/>
      <w:numFmt w:val="bullet"/>
      <w:lvlText w:val=""/>
      <w:lvlJc w:val="left"/>
      <w:pPr>
        <w:ind w:left="720" w:hanging="180"/>
      </w:pPr>
      <w:rPr>
        <w:rFonts w:ascii="Symbol" w:hAnsi="Symbol" w:hint="default"/>
      </w:rPr>
    </w:lvl>
    <w:lvl w:ilvl="1" w:tplc="4496BDF4">
      <w:numFmt w:val="decimal"/>
      <w:lvlText w:val=""/>
      <w:lvlJc w:val="left"/>
    </w:lvl>
    <w:lvl w:ilvl="2" w:tplc="E292BEB2">
      <w:numFmt w:val="decimal"/>
      <w:lvlText w:val=""/>
      <w:lvlJc w:val="left"/>
    </w:lvl>
    <w:lvl w:ilvl="3" w:tplc="3F04F4D0">
      <w:numFmt w:val="decimal"/>
      <w:lvlText w:val=""/>
      <w:lvlJc w:val="left"/>
    </w:lvl>
    <w:lvl w:ilvl="4" w:tplc="5CA824A4">
      <w:numFmt w:val="decimal"/>
      <w:lvlText w:val=""/>
      <w:lvlJc w:val="left"/>
    </w:lvl>
    <w:lvl w:ilvl="5" w:tplc="02A484A6">
      <w:numFmt w:val="decimal"/>
      <w:lvlText w:val=""/>
      <w:lvlJc w:val="left"/>
    </w:lvl>
    <w:lvl w:ilvl="6" w:tplc="466898FA">
      <w:numFmt w:val="decimal"/>
      <w:lvlText w:val=""/>
      <w:lvlJc w:val="left"/>
    </w:lvl>
    <w:lvl w:ilvl="7" w:tplc="57F25518">
      <w:numFmt w:val="decimal"/>
      <w:lvlText w:val=""/>
      <w:lvlJc w:val="left"/>
    </w:lvl>
    <w:lvl w:ilvl="8" w:tplc="039E2008">
      <w:numFmt w:val="decimal"/>
      <w:lvlText w:val=""/>
      <w:lvlJc w:val="left"/>
    </w:lvl>
  </w:abstractNum>
  <w:abstractNum w:abstractNumId="695" w15:restartNumberingAfterBreak="0">
    <w:nsid w:val="334E7E15"/>
    <w:multiLevelType w:val="hybridMultilevel"/>
    <w:tmpl w:val="78A83B9C"/>
    <w:lvl w:ilvl="0" w:tplc="599E9F18">
      <w:start w:val="1"/>
      <w:numFmt w:val="bullet"/>
      <w:lvlText w:val=""/>
      <w:lvlJc w:val="left"/>
      <w:pPr>
        <w:ind w:left="720" w:hanging="180"/>
      </w:pPr>
      <w:rPr>
        <w:rFonts w:ascii="Symbol" w:hAnsi="Symbol" w:hint="default"/>
      </w:rPr>
    </w:lvl>
    <w:lvl w:ilvl="1" w:tplc="CF0CA5D8">
      <w:numFmt w:val="decimal"/>
      <w:lvlText w:val=""/>
      <w:lvlJc w:val="left"/>
    </w:lvl>
    <w:lvl w:ilvl="2" w:tplc="D8C2110A">
      <w:numFmt w:val="decimal"/>
      <w:lvlText w:val=""/>
      <w:lvlJc w:val="left"/>
    </w:lvl>
    <w:lvl w:ilvl="3" w:tplc="1E8C4FDE">
      <w:numFmt w:val="decimal"/>
      <w:lvlText w:val=""/>
      <w:lvlJc w:val="left"/>
    </w:lvl>
    <w:lvl w:ilvl="4" w:tplc="8318BF6C">
      <w:numFmt w:val="decimal"/>
      <w:lvlText w:val=""/>
      <w:lvlJc w:val="left"/>
    </w:lvl>
    <w:lvl w:ilvl="5" w:tplc="411C4500">
      <w:numFmt w:val="decimal"/>
      <w:lvlText w:val=""/>
      <w:lvlJc w:val="left"/>
    </w:lvl>
    <w:lvl w:ilvl="6" w:tplc="6ED09CC2">
      <w:numFmt w:val="decimal"/>
      <w:lvlText w:val=""/>
      <w:lvlJc w:val="left"/>
    </w:lvl>
    <w:lvl w:ilvl="7" w:tplc="46FEFBD0">
      <w:numFmt w:val="decimal"/>
      <w:lvlText w:val=""/>
      <w:lvlJc w:val="left"/>
    </w:lvl>
    <w:lvl w:ilvl="8" w:tplc="024C618E">
      <w:numFmt w:val="decimal"/>
      <w:lvlText w:val=""/>
      <w:lvlJc w:val="left"/>
    </w:lvl>
  </w:abstractNum>
  <w:abstractNum w:abstractNumId="696" w15:restartNumberingAfterBreak="0">
    <w:nsid w:val="335D235B"/>
    <w:multiLevelType w:val="hybridMultilevel"/>
    <w:tmpl w:val="3B3835B0"/>
    <w:lvl w:ilvl="0" w:tplc="FD400830">
      <w:start w:val="1"/>
      <w:numFmt w:val="bullet"/>
      <w:lvlText w:val=""/>
      <w:lvlJc w:val="left"/>
      <w:pPr>
        <w:ind w:left="720" w:hanging="180"/>
      </w:pPr>
      <w:rPr>
        <w:rFonts w:ascii="Symbol" w:hAnsi="Symbol" w:hint="default"/>
      </w:rPr>
    </w:lvl>
    <w:lvl w:ilvl="1" w:tplc="839C7BAE">
      <w:numFmt w:val="decimal"/>
      <w:lvlText w:val=""/>
      <w:lvlJc w:val="left"/>
    </w:lvl>
    <w:lvl w:ilvl="2" w:tplc="2674B8AC">
      <w:numFmt w:val="decimal"/>
      <w:lvlText w:val=""/>
      <w:lvlJc w:val="left"/>
    </w:lvl>
    <w:lvl w:ilvl="3" w:tplc="36CC7D60">
      <w:numFmt w:val="decimal"/>
      <w:lvlText w:val=""/>
      <w:lvlJc w:val="left"/>
    </w:lvl>
    <w:lvl w:ilvl="4" w:tplc="305C9EF4">
      <w:numFmt w:val="decimal"/>
      <w:lvlText w:val=""/>
      <w:lvlJc w:val="left"/>
    </w:lvl>
    <w:lvl w:ilvl="5" w:tplc="7E305E7E">
      <w:numFmt w:val="decimal"/>
      <w:lvlText w:val=""/>
      <w:lvlJc w:val="left"/>
    </w:lvl>
    <w:lvl w:ilvl="6" w:tplc="6508551A">
      <w:numFmt w:val="decimal"/>
      <w:lvlText w:val=""/>
      <w:lvlJc w:val="left"/>
    </w:lvl>
    <w:lvl w:ilvl="7" w:tplc="3D5EA35C">
      <w:numFmt w:val="decimal"/>
      <w:lvlText w:val=""/>
      <w:lvlJc w:val="left"/>
    </w:lvl>
    <w:lvl w:ilvl="8" w:tplc="82A8D2E4">
      <w:numFmt w:val="decimal"/>
      <w:lvlText w:val=""/>
      <w:lvlJc w:val="left"/>
    </w:lvl>
  </w:abstractNum>
  <w:abstractNum w:abstractNumId="697" w15:restartNumberingAfterBreak="0">
    <w:nsid w:val="3378490B"/>
    <w:multiLevelType w:val="hybridMultilevel"/>
    <w:tmpl w:val="EED87A74"/>
    <w:lvl w:ilvl="0" w:tplc="11C4DEB6">
      <w:start w:val="1"/>
      <w:numFmt w:val="bullet"/>
      <w:lvlText w:val=""/>
      <w:lvlJc w:val="left"/>
      <w:pPr>
        <w:ind w:left="720" w:hanging="180"/>
      </w:pPr>
      <w:rPr>
        <w:rFonts w:ascii="Symbol" w:hAnsi="Symbol" w:hint="default"/>
      </w:rPr>
    </w:lvl>
    <w:lvl w:ilvl="1" w:tplc="A1D4D032">
      <w:numFmt w:val="decimal"/>
      <w:lvlText w:val=""/>
      <w:lvlJc w:val="left"/>
    </w:lvl>
    <w:lvl w:ilvl="2" w:tplc="B55C0936">
      <w:numFmt w:val="decimal"/>
      <w:lvlText w:val=""/>
      <w:lvlJc w:val="left"/>
    </w:lvl>
    <w:lvl w:ilvl="3" w:tplc="D38057F0">
      <w:numFmt w:val="decimal"/>
      <w:lvlText w:val=""/>
      <w:lvlJc w:val="left"/>
    </w:lvl>
    <w:lvl w:ilvl="4" w:tplc="1A2EA564">
      <w:numFmt w:val="decimal"/>
      <w:lvlText w:val=""/>
      <w:lvlJc w:val="left"/>
    </w:lvl>
    <w:lvl w:ilvl="5" w:tplc="7422B10E">
      <w:numFmt w:val="decimal"/>
      <w:lvlText w:val=""/>
      <w:lvlJc w:val="left"/>
    </w:lvl>
    <w:lvl w:ilvl="6" w:tplc="FFC02300">
      <w:numFmt w:val="decimal"/>
      <w:lvlText w:val=""/>
      <w:lvlJc w:val="left"/>
    </w:lvl>
    <w:lvl w:ilvl="7" w:tplc="3482AC08">
      <w:numFmt w:val="decimal"/>
      <w:lvlText w:val=""/>
      <w:lvlJc w:val="left"/>
    </w:lvl>
    <w:lvl w:ilvl="8" w:tplc="5874D528">
      <w:numFmt w:val="decimal"/>
      <w:lvlText w:val=""/>
      <w:lvlJc w:val="left"/>
    </w:lvl>
  </w:abstractNum>
  <w:abstractNum w:abstractNumId="698" w15:restartNumberingAfterBreak="0">
    <w:nsid w:val="33917690"/>
    <w:multiLevelType w:val="hybridMultilevel"/>
    <w:tmpl w:val="9B42DB42"/>
    <w:lvl w:ilvl="0" w:tplc="FD123582">
      <w:start w:val="1"/>
      <w:numFmt w:val="bullet"/>
      <w:lvlText w:val=""/>
      <w:lvlJc w:val="left"/>
      <w:pPr>
        <w:ind w:left="720" w:hanging="180"/>
      </w:pPr>
      <w:rPr>
        <w:rFonts w:ascii="Symbol" w:hAnsi="Symbol" w:hint="default"/>
      </w:rPr>
    </w:lvl>
    <w:lvl w:ilvl="1" w:tplc="30F20186">
      <w:numFmt w:val="decimal"/>
      <w:lvlText w:val=""/>
      <w:lvlJc w:val="left"/>
    </w:lvl>
    <w:lvl w:ilvl="2" w:tplc="B98A7E60">
      <w:numFmt w:val="decimal"/>
      <w:lvlText w:val=""/>
      <w:lvlJc w:val="left"/>
    </w:lvl>
    <w:lvl w:ilvl="3" w:tplc="A40A82C8">
      <w:numFmt w:val="decimal"/>
      <w:lvlText w:val=""/>
      <w:lvlJc w:val="left"/>
    </w:lvl>
    <w:lvl w:ilvl="4" w:tplc="AE406984">
      <w:numFmt w:val="decimal"/>
      <w:lvlText w:val=""/>
      <w:lvlJc w:val="left"/>
    </w:lvl>
    <w:lvl w:ilvl="5" w:tplc="599E7576">
      <w:numFmt w:val="decimal"/>
      <w:lvlText w:val=""/>
      <w:lvlJc w:val="left"/>
    </w:lvl>
    <w:lvl w:ilvl="6" w:tplc="A0AA3780">
      <w:numFmt w:val="decimal"/>
      <w:lvlText w:val=""/>
      <w:lvlJc w:val="left"/>
    </w:lvl>
    <w:lvl w:ilvl="7" w:tplc="863A03A6">
      <w:numFmt w:val="decimal"/>
      <w:lvlText w:val=""/>
      <w:lvlJc w:val="left"/>
    </w:lvl>
    <w:lvl w:ilvl="8" w:tplc="3B5A481A">
      <w:numFmt w:val="decimal"/>
      <w:lvlText w:val=""/>
      <w:lvlJc w:val="left"/>
    </w:lvl>
  </w:abstractNum>
  <w:abstractNum w:abstractNumId="699" w15:restartNumberingAfterBreak="0">
    <w:nsid w:val="339D5D84"/>
    <w:multiLevelType w:val="hybridMultilevel"/>
    <w:tmpl w:val="9D08A206"/>
    <w:lvl w:ilvl="0" w:tplc="5EEC0028">
      <w:start w:val="1"/>
      <w:numFmt w:val="bullet"/>
      <w:lvlText w:val=""/>
      <w:lvlJc w:val="left"/>
      <w:pPr>
        <w:ind w:left="720" w:hanging="180"/>
      </w:pPr>
      <w:rPr>
        <w:rFonts w:ascii="Symbol" w:hAnsi="Symbol" w:hint="default"/>
      </w:rPr>
    </w:lvl>
    <w:lvl w:ilvl="1" w:tplc="71FA00CE">
      <w:numFmt w:val="decimal"/>
      <w:lvlText w:val=""/>
      <w:lvlJc w:val="left"/>
    </w:lvl>
    <w:lvl w:ilvl="2" w:tplc="61E2A5F2">
      <w:numFmt w:val="decimal"/>
      <w:lvlText w:val=""/>
      <w:lvlJc w:val="left"/>
    </w:lvl>
    <w:lvl w:ilvl="3" w:tplc="AE6ABA84">
      <w:numFmt w:val="decimal"/>
      <w:lvlText w:val=""/>
      <w:lvlJc w:val="left"/>
    </w:lvl>
    <w:lvl w:ilvl="4" w:tplc="F1C4AFA4">
      <w:numFmt w:val="decimal"/>
      <w:lvlText w:val=""/>
      <w:lvlJc w:val="left"/>
    </w:lvl>
    <w:lvl w:ilvl="5" w:tplc="C8D87BC6">
      <w:numFmt w:val="decimal"/>
      <w:lvlText w:val=""/>
      <w:lvlJc w:val="left"/>
    </w:lvl>
    <w:lvl w:ilvl="6" w:tplc="F3ACA0EC">
      <w:numFmt w:val="decimal"/>
      <w:lvlText w:val=""/>
      <w:lvlJc w:val="left"/>
    </w:lvl>
    <w:lvl w:ilvl="7" w:tplc="1B1EB994">
      <w:numFmt w:val="decimal"/>
      <w:lvlText w:val=""/>
      <w:lvlJc w:val="left"/>
    </w:lvl>
    <w:lvl w:ilvl="8" w:tplc="D25C9B80">
      <w:numFmt w:val="decimal"/>
      <w:lvlText w:val=""/>
      <w:lvlJc w:val="left"/>
    </w:lvl>
  </w:abstractNum>
  <w:abstractNum w:abstractNumId="700" w15:restartNumberingAfterBreak="0">
    <w:nsid w:val="33A04CA0"/>
    <w:multiLevelType w:val="hybridMultilevel"/>
    <w:tmpl w:val="DB721D2C"/>
    <w:lvl w:ilvl="0" w:tplc="6EF07A52">
      <w:start w:val="1"/>
      <w:numFmt w:val="bullet"/>
      <w:lvlText w:val=""/>
      <w:lvlJc w:val="left"/>
      <w:pPr>
        <w:ind w:left="720" w:hanging="180"/>
      </w:pPr>
      <w:rPr>
        <w:rFonts w:ascii="Symbol" w:hAnsi="Symbol" w:hint="default"/>
      </w:rPr>
    </w:lvl>
    <w:lvl w:ilvl="1" w:tplc="1A1AC90A">
      <w:numFmt w:val="decimal"/>
      <w:lvlText w:val=""/>
      <w:lvlJc w:val="left"/>
    </w:lvl>
    <w:lvl w:ilvl="2" w:tplc="261EC592">
      <w:numFmt w:val="decimal"/>
      <w:lvlText w:val=""/>
      <w:lvlJc w:val="left"/>
    </w:lvl>
    <w:lvl w:ilvl="3" w:tplc="1FCAEBC2">
      <w:numFmt w:val="decimal"/>
      <w:lvlText w:val=""/>
      <w:lvlJc w:val="left"/>
    </w:lvl>
    <w:lvl w:ilvl="4" w:tplc="F274EE74">
      <w:numFmt w:val="decimal"/>
      <w:lvlText w:val=""/>
      <w:lvlJc w:val="left"/>
    </w:lvl>
    <w:lvl w:ilvl="5" w:tplc="5A2C9E4E">
      <w:numFmt w:val="decimal"/>
      <w:lvlText w:val=""/>
      <w:lvlJc w:val="left"/>
    </w:lvl>
    <w:lvl w:ilvl="6" w:tplc="84CE77C8">
      <w:numFmt w:val="decimal"/>
      <w:lvlText w:val=""/>
      <w:lvlJc w:val="left"/>
    </w:lvl>
    <w:lvl w:ilvl="7" w:tplc="B1B88E92">
      <w:numFmt w:val="decimal"/>
      <w:lvlText w:val=""/>
      <w:lvlJc w:val="left"/>
    </w:lvl>
    <w:lvl w:ilvl="8" w:tplc="171E3EE2">
      <w:numFmt w:val="decimal"/>
      <w:lvlText w:val=""/>
      <w:lvlJc w:val="left"/>
    </w:lvl>
  </w:abstractNum>
  <w:abstractNum w:abstractNumId="701" w15:restartNumberingAfterBreak="0">
    <w:nsid w:val="33A91E47"/>
    <w:multiLevelType w:val="hybridMultilevel"/>
    <w:tmpl w:val="7346D85E"/>
    <w:lvl w:ilvl="0" w:tplc="3988A63E">
      <w:start w:val="1"/>
      <w:numFmt w:val="bullet"/>
      <w:lvlText w:val=""/>
      <w:lvlJc w:val="left"/>
      <w:pPr>
        <w:ind w:left="720" w:hanging="180"/>
      </w:pPr>
      <w:rPr>
        <w:rFonts w:ascii="Symbol" w:hAnsi="Symbol" w:hint="default"/>
      </w:rPr>
    </w:lvl>
    <w:lvl w:ilvl="1" w:tplc="2AE61664">
      <w:numFmt w:val="decimal"/>
      <w:lvlText w:val=""/>
      <w:lvlJc w:val="left"/>
    </w:lvl>
    <w:lvl w:ilvl="2" w:tplc="4E06BC1A">
      <w:numFmt w:val="decimal"/>
      <w:lvlText w:val=""/>
      <w:lvlJc w:val="left"/>
    </w:lvl>
    <w:lvl w:ilvl="3" w:tplc="B4CA3B32">
      <w:numFmt w:val="decimal"/>
      <w:lvlText w:val=""/>
      <w:lvlJc w:val="left"/>
    </w:lvl>
    <w:lvl w:ilvl="4" w:tplc="4A507702">
      <w:numFmt w:val="decimal"/>
      <w:lvlText w:val=""/>
      <w:lvlJc w:val="left"/>
    </w:lvl>
    <w:lvl w:ilvl="5" w:tplc="E51E3B6E">
      <w:numFmt w:val="decimal"/>
      <w:lvlText w:val=""/>
      <w:lvlJc w:val="left"/>
    </w:lvl>
    <w:lvl w:ilvl="6" w:tplc="70828CD6">
      <w:numFmt w:val="decimal"/>
      <w:lvlText w:val=""/>
      <w:lvlJc w:val="left"/>
    </w:lvl>
    <w:lvl w:ilvl="7" w:tplc="6F9E5A32">
      <w:numFmt w:val="decimal"/>
      <w:lvlText w:val=""/>
      <w:lvlJc w:val="left"/>
    </w:lvl>
    <w:lvl w:ilvl="8" w:tplc="BD0CF556">
      <w:numFmt w:val="decimal"/>
      <w:lvlText w:val=""/>
      <w:lvlJc w:val="left"/>
    </w:lvl>
  </w:abstractNum>
  <w:abstractNum w:abstractNumId="702" w15:restartNumberingAfterBreak="0">
    <w:nsid w:val="33CB24C8"/>
    <w:multiLevelType w:val="hybridMultilevel"/>
    <w:tmpl w:val="ADC03D20"/>
    <w:lvl w:ilvl="0" w:tplc="5A9219DA">
      <w:start w:val="1"/>
      <w:numFmt w:val="bullet"/>
      <w:lvlText w:val=""/>
      <w:lvlJc w:val="left"/>
      <w:pPr>
        <w:ind w:left="720" w:hanging="180"/>
      </w:pPr>
      <w:rPr>
        <w:rFonts w:ascii="Symbol" w:hAnsi="Symbol" w:hint="default"/>
      </w:rPr>
    </w:lvl>
    <w:lvl w:ilvl="1" w:tplc="0D749AD4">
      <w:numFmt w:val="decimal"/>
      <w:lvlText w:val=""/>
      <w:lvlJc w:val="left"/>
    </w:lvl>
    <w:lvl w:ilvl="2" w:tplc="553EAE00">
      <w:numFmt w:val="decimal"/>
      <w:lvlText w:val=""/>
      <w:lvlJc w:val="left"/>
    </w:lvl>
    <w:lvl w:ilvl="3" w:tplc="ABB4BFC8">
      <w:numFmt w:val="decimal"/>
      <w:lvlText w:val=""/>
      <w:lvlJc w:val="left"/>
    </w:lvl>
    <w:lvl w:ilvl="4" w:tplc="03CACD22">
      <w:numFmt w:val="decimal"/>
      <w:lvlText w:val=""/>
      <w:lvlJc w:val="left"/>
    </w:lvl>
    <w:lvl w:ilvl="5" w:tplc="20E43506">
      <w:numFmt w:val="decimal"/>
      <w:lvlText w:val=""/>
      <w:lvlJc w:val="left"/>
    </w:lvl>
    <w:lvl w:ilvl="6" w:tplc="8A44E21A">
      <w:numFmt w:val="decimal"/>
      <w:lvlText w:val=""/>
      <w:lvlJc w:val="left"/>
    </w:lvl>
    <w:lvl w:ilvl="7" w:tplc="A4A0232C">
      <w:numFmt w:val="decimal"/>
      <w:lvlText w:val=""/>
      <w:lvlJc w:val="left"/>
    </w:lvl>
    <w:lvl w:ilvl="8" w:tplc="90A23322">
      <w:numFmt w:val="decimal"/>
      <w:lvlText w:val=""/>
      <w:lvlJc w:val="left"/>
    </w:lvl>
  </w:abstractNum>
  <w:abstractNum w:abstractNumId="703" w15:restartNumberingAfterBreak="0">
    <w:nsid w:val="33FB50D9"/>
    <w:multiLevelType w:val="hybridMultilevel"/>
    <w:tmpl w:val="91C84CE6"/>
    <w:lvl w:ilvl="0" w:tplc="6616F85A">
      <w:start w:val="1"/>
      <w:numFmt w:val="bullet"/>
      <w:lvlText w:val=""/>
      <w:lvlJc w:val="left"/>
      <w:pPr>
        <w:ind w:left="720" w:hanging="180"/>
      </w:pPr>
      <w:rPr>
        <w:rFonts w:ascii="Symbol" w:hAnsi="Symbol" w:hint="default"/>
      </w:rPr>
    </w:lvl>
    <w:lvl w:ilvl="1" w:tplc="2A58F912">
      <w:numFmt w:val="decimal"/>
      <w:lvlText w:val=""/>
      <w:lvlJc w:val="left"/>
    </w:lvl>
    <w:lvl w:ilvl="2" w:tplc="D0364A5A">
      <w:numFmt w:val="decimal"/>
      <w:lvlText w:val=""/>
      <w:lvlJc w:val="left"/>
    </w:lvl>
    <w:lvl w:ilvl="3" w:tplc="C0C62146">
      <w:numFmt w:val="decimal"/>
      <w:lvlText w:val=""/>
      <w:lvlJc w:val="left"/>
    </w:lvl>
    <w:lvl w:ilvl="4" w:tplc="E9E48F00">
      <w:numFmt w:val="decimal"/>
      <w:lvlText w:val=""/>
      <w:lvlJc w:val="left"/>
    </w:lvl>
    <w:lvl w:ilvl="5" w:tplc="5AB89A54">
      <w:numFmt w:val="decimal"/>
      <w:lvlText w:val=""/>
      <w:lvlJc w:val="left"/>
    </w:lvl>
    <w:lvl w:ilvl="6" w:tplc="13D0953C">
      <w:numFmt w:val="decimal"/>
      <w:lvlText w:val=""/>
      <w:lvlJc w:val="left"/>
    </w:lvl>
    <w:lvl w:ilvl="7" w:tplc="87A2F0C6">
      <w:numFmt w:val="decimal"/>
      <w:lvlText w:val=""/>
      <w:lvlJc w:val="left"/>
    </w:lvl>
    <w:lvl w:ilvl="8" w:tplc="6994DC6C">
      <w:numFmt w:val="decimal"/>
      <w:lvlText w:val=""/>
      <w:lvlJc w:val="left"/>
    </w:lvl>
  </w:abstractNum>
  <w:abstractNum w:abstractNumId="704" w15:restartNumberingAfterBreak="0">
    <w:nsid w:val="33FF6E20"/>
    <w:multiLevelType w:val="hybridMultilevel"/>
    <w:tmpl w:val="468842DA"/>
    <w:lvl w:ilvl="0" w:tplc="035405EA">
      <w:numFmt w:val="decimal"/>
      <w:lvlText w:val=""/>
      <w:lvlJc w:val="left"/>
    </w:lvl>
    <w:lvl w:ilvl="1" w:tplc="4F0E62A4">
      <w:start w:val="1"/>
      <w:numFmt w:val="bullet"/>
      <w:lvlText w:val=""/>
      <w:lvlJc w:val="left"/>
      <w:pPr>
        <w:ind w:left="1440" w:hanging="180"/>
      </w:pPr>
      <w:rPr>
        <w:rFonts w:ascii="Symbol" w:hAnsi="Symbol" w:hint="default"/>
      </w:rPr>
    </w:lvl>
    <w:lvl w:ilvl="2" w:tplc="C240BDAE">
      <w:numFmt w:val="decimal"/>
      <w:lvlText w:val=""/>
      <w:lvlJc w:val="left"/>
    </w:lvl>
    <w:lvl w:ilvl="3" w:tplc="4126C174">
      <w:numFmt w:val="decimal"/>
      <w:lvlText w:val=""/>
      <w:lvlJc w:val="left"/>
    </w:lvl>
    <w:lvl w:ilvl="4" w:tplc="13C26148">
      <w:numFmt w:val="decimal"/>
      <w:lvlText w:val=""/>
      <w:lvlJc w:val="left"/>
    </w:lvl>
    <w:lvl w:ilvl="5" w:tplc="95BCE0A0">
      <w:numFmt w:val="decimal"/>
      <w:lvlText w:val=""/>
      <w:lvlJc w:val="left"/>
    </w:lvl>
    <w:lvl w:ilvl="6" w:tplc="E60AB736">
      <w:numFmt w:val="decimal"/>
      <w:lvlText w:val=""/>
      <w:lvlJc w:val="left"/>
    </w:lvl>
    <w:lvl w:ilvl="7" w:tplc="10480EE6">
      <w:numFmt w:val="decimal"/>
      <w:lvlText w:val=""/>
      <w:lvlJc w:val="left"/>
    </w:lvl>
    <w:lvl w:ilvl="8" w:tplc="DD7A0AAA">
      <w:numFmt w:val="decimal"/>
      <w:lvlText w:val=""/>
      <w:lvlJc w:val="left"/>
    </w:lvl>
  </w:abstractNum>
  <w:abstractNum w:abstractNumId="705" w15:restartNumberingAfterBreak="0">
    <w:nsid w:val="340C71DD"/>
    <w:multiLevelType w:val="hybridMultilevel"/>
    <w:tmpl w:val="0400D88E"/>
    <w:lvl w:ilvl="0" w:tplc="52F27D4E">
      <w:start w:val="1"/>
      <w:numFmt w:val="bullet"/>
      <w:lvlText w:val=""/>
      <w:lvlJc w:val="left"/>
      <w:pPr>
        <w:ind w:left="720" w:hanging="180"/>
      </w:pPr>
      <w:rPr>
        <w:rFonts w:ascii="Symbol" w:hAnsi="Symbol" w:hint="default"/>
      </w:rPr>
    </w:lvl>
    <w:lvl w:ilvl="1" w:tplc="8F5ADB9A">
      <w:numFmt w:val="decimal"/>
      <w:lvlText w:val=""/>
      <w:lvlJc w:val="left"/>
    </w:lvl>
    <w:lvl w:ilvl="2" w:tplc="1ED6833C">
      <w:numFmt w:val="decimal"/>
      <w:lvlText w:val=""/>
      <w:lvlJc w:val="left"/>
    </w:lvl>
    <w:lvl w:ilvl="3" w:tplc="17B83794">
      <w:numFmt w:val="decimal"/>
      <w:lvlText w:val=""/>
      <w:lvlJc w:val="left"/>
    </w:lvl>
    <w:lvl w:ilvl="4" w:tplc="8BAE35E6">
      <w:numFmt w:val="decimal"/>
      <w:lvlText w:val=""/>
      <w:lvlJc w:val="left"/>
    </w:lvl>
    <w:lvl w:ilvl="5" w:tplc="2564E444">
      <w:numFmt w:val="decimal"/>
      <w:lvlText w:val=""/>
      <w:lvlJc w:val="left"/>
    </w:lvl>
    <w:lvl w:ilvl="6" w:tplc="AA82B1D6">
      <w:numFmt w:val="decimal"/>
      <w:lvlText w:val=""/>
      <w:lvlJc w:val="left"/>
    </w:lvl>
    <w:lvl w:ilvl="7" w:tplc="F89E5602">
      <w:numFmt w:val="decimal"/>
      <w:lvlText w:val=""/>
      <w:lvlJc w:val="left"/>
    </w:lvl>
    <w:lvl w:ilvl="8" w:tplc="0EBEE800">
      <w:numFmt w:val="decimal"/>
      <w:lvlText w:val=""/>
      <w:lvlJc w:val="left"/>
    </w:lvl>
  </w:abstractNum>
  <w:abstractNum w:abstractNumId="706" w15:restartNumberingAfterBreak="0">
    <w:nsid w:val="342067C1"/>
    <w:multiLevelType w:val="hybridMultilevel"/>
    <w:tmpl w:val="3FC8549C"/>
    <w:lvl w:ilvl="0" w:tplc="36388758">
      <w:numFmt w:val="decimal"/>
      <w:lvlText w:val=""/>
      <w:lvlJc w:val="left"/>
    </w:lvl>
    <w:lvl w:ilvl="1" w:tplc="B75E2D42">
      <w:start w:val="1"/>
      <w:numFmt w:val="bullet"/>
      <w:lvlText w:val=""/>
      <w:lvlJc w:val="left"/>
      <w:pPr>
        <w:ind w:left="1440" w:hanging="180"/>
      </w:pPr>
      <w:rPr>
        <w:rFonts w:ascii="Symbol" w:hAnsi="Symbol" w:hint="default"/>
      </w:rPr>
    </w:lvl>
    <w:lvl w:ilvl="2" w:tplc="C49064BE">
      <w:numFmt w:val="decimal"/>
      <w:lvlText w:val=""/>
      <w:lvlJc w:val="left"/>
    </w:lvl>
    <w:lvl w:ilvl="3" w:tplc="5DA04ECA">
      <w:numFmt w:val="decimal"/>
      <w:lvlText w:val=""/>
      <w:lvlJc w:val="left"/>
    </w:lvl>
    <w:lvl w:ilvl="4" w:tplc="F87AE3E6">
      <w:numFmt w:val="decimal"/>
      <w:lvlText w:val=""/>
      <w:lvlJc w:val="left"/>
    </w:lvl>
    <w:lvl w:ilvl="5" w:tplc="6BCCC928">
      <w:numFmt w:val="decimal"/>
      <w:lvlText w:val=""/>
      <w:lvlJc w:val="left"/>
    </w:lvl>
    <w:lvl w:ilvl="6" w:tplc="817278E4">
      <w:numFmt w:val="decimal"/>
      <w:lvlText w:val=""/>
      <w:lvlJc w:val="left"/>
    </w:lvl>
    <w:lvl w:ilvl="7" w:tplc="257C7B1C">
      <w:numFmt w:val="decimal"/>
      <w:lvlText w:val=""/>
      <w:lvlJc w:val="left"/>
    </w:lvl>
    <w:lvl w:ilvl="8" w:tplc="4E86CCCA">
      <w:numFmt w:val="decimal"/>
      <w:lvlText w:val=""/>
      <w:lvlJc w:val="left"/>
    </w:lvl>
  </w:abstractNum>
  <w:abstractNum w:abstractNumId="707" w15:restartNumberingAfterBreak="0">
    <w:nsid w:val="3437702B"/>
    <w:multiLevelType w:val="hybridMultilevel"/>
    <w:tmpl w:val="EFC87A1C"/>
    <w:lvl w:ilvl="0" w:tplc="E5C073FC">
      <w:numFmt w:val="decimal"/>
      <w:lvlText w:val=""/>
      <w:lvlJc w:val="left"/>
    </w:lvl>
    <w:lvl w:ilvl="1" w:tplc="EE9214BA">
      <w:start w:val="1"/>
      <w:numFmt w:val="bullet"/>
      <w:lvlText w:val=""/>
      <w:lvlJc w:val="left"/>
      <w:pPr>
        <w:ind w:left="1440" w:hanging="180"/>
      </w:pPr>
      <w:rPr>
        <w:rFonts w:ascii="Symbol" w:hAnsi="Symbol" w:hint="default"/>
      </w:rPr>
    </w:lvl>
    <w:lvl w:ilvl="2" w:tplc="8C7AA30E">
      <w:numFmt w:val="decimal"/>
      <w:lvlText w:val=""/>
      <w:lvlJc w:val="left"/>
    </w:lvl>
    <w:lvl w:ilvl="3" w:tplc="C5F6026C">
      <w:numFmt w:val="decimal"/>
      <w:lvlText w:val=""/>
      <w:lvlJc w:val="left"/>
    </w:lvl>
    <w:lvl w:ilvl="4" w:tplc="682E0B6E">
      <w:numFmt w:val="decimal"/>
      <w:lvlText w:val=""/>
      <w:lvlJc w:val="left"/>
    </w:lvl>
    <w:lvl w:ilvl="5" w:tplc="FF36698C">
      <w:numFmt w:val="decimal"/>
      <w:lvlText w:val=""/>
      <w:lvlJc w:val="left"/>
    </w:lvl>
    <w:lvl w:ilvl="6" w:tplc="BBB0D32C">
      <w:numFmt w:val="decimal"/>
      <w:lvlText w:val=""/>
      <w:lvlJc w:val="left"/>
    </w:lvl>
    <w:lvl w:ilvl="7" w:tplc="BBAC493C">
      <w:numFmt w:val="decimal"/>
      <w:lvlText w:val=""/>
      <w:lvlJc w:val="left"/>
    </w:lvl>
    <w:lvl w:ilvl="8" w:tplc="103C3EC2">
      <w:numFmt w:val="decimal"/>
      <w:lvlText w:val=""/>
      <w:lvlJc w:val="left"/>
    </w:lvl>
  </w:abstractNum>
  <w:abstractNum w:abstractNumId="708" w15:restartNumberingAfterBreak="0">
    <w:nsid w:val="34391DB3"/>
    <w:multiLevelType w:val="hybridMultilevel"/>
    <w:tmpl w:val="361AE2D6"/>
    <w:lvl w:ilvl="0" w:tplc="CACC6CB0">
      <w:start w:val="1"/>
      <w:numFmt w:val="bullet"/>
      <w:lvlText w:val=""/>
      <w:lvlJc w:val="left"/>
      <w:pPr>
        <w:ind w:left="720" w:hanging="180"/>
      </w:pPr>
      <w:rPr>
        <w:rFonts w:ascii="Symbol" w:hAnsi="Symbol" w:hint="default"/>
      </w:rPr>
    </w:lvl>
    <w:lvl w:ilvl="1" w:tplc="2FC64284">
      <w:numFmt w:val="decimal"/>
      <w:lvlText w:val=""/>
      <w:lvlJc w:val="left"/>
    </w:lvl>
    <w:lvl w:ilvl="2" w:tplc="44FE573C">
      <w:numFmt w:val="decimal"/>
      <w:lvlText w:val=""/>
      <w:lvlJc w:val="left"/>
    </w:lvl>
    <w:lvl w:ilvl="3" w:tplc="3266DE68">
      <w:numFmt w:val="decimal"/>
      <w:lvlText w:val=""/>
      <w:lvlJc w:val="left"/>
    </w:lvl>
    <w:lvl w:ilvl="4" w:tplc="D2D00F42">
      <w:numFmt w:val="decimal"/>
      <w:lvlText w:val=""/>
      <w:lvlJc w:val="left"/>
    </w:lvl>
    <w:lvl w:ilvl="5" w:tplc="CC4045AC">
      <w:numFmt w:val="decimal"/>
      <w:lvlText w:val=""/>
      <w:lvlJc w:val="left"/>
    </w:lvl>
    <w:lvl w:ilvl="6" w:tplc="481CD9E4">
      <w:numFmt w:val="decimal"/>
      <w:lvlText w:val=""/>
      <w:lvlJc w:val="left"/>
    </w:lvl>
    <w:lvl w:ilvl="7" w:tplc="7B0A8B6C">
      <w:numFmt w:val="decimal"/>
      <w:lvlText w:val=""/>
      <w:lvlJc w:val="left"/>
    </w:lvl>
    <w:lvl w:ilvl="8" w:tplc="1B1417BE">
      <w:numFmt w:val="decimal"/>
      <w:lvlText w:val=""/>
      <w:lvlJc w:val="left"/>
    </w:lvl>
  </w:abstractNum>
  <w:abstractNum w:abstractNumId="709" w15:restartNumberingAfterBreak="0">
    <w:nsid w:val="343C2751"/>
    <w:multiLevelType w:val="hybridMultilevel"/>
    <w:tmpl w:val="27E6F01E"/>
    <w:lvl w:ilvl="0" w:tplc="38768592">
      <w:start w:val="1"/>
      <w:numFmt w:val="bullet"/>
      <w:lvlText w:val=""/>
      <w:lvlJc w:val="left"/>
      <w:pPr>
        <w:ind w:left="720" w:hanging="180"/>
      </w:pPr>
      <w:rPr>
        <w:rFonts w:ascii="Symbol" w:hAnsi="Symbol" w:hint="default"/>
      </w:rPr>
    </w:lvl>
    <w:lvl w:ilvl="1" w:tplc="9BB020C8">
      <w:numFmt w:val="decimal"/>
      <w:lvlText w:val=""/>
      <w:lvlJc w:val="left"/>
    </w:lvl>
    <w:lvl w:ilvl="2" w:tplc="0A5A6E94">
      <w:numFmt w:val="decimal"/>
      <w:lvlText w:val=""/>
      <w:lvlJc w:val="left"/>
    </w:lvl>
    <w:lvl w:ilvl="3" w:tplc="816A63F8">
      <w:numFmt w:val="decimal"/>
      <w:lvlText w:val=""/>
      <w:lvlJc w:val="left"/>
    </w:lvl>
    <w:lvl w:ilvl="4" w:tplc="B8621EE0">
      <w:numFmt w:val="decimal"/>
      <w:lvlText w:val=""/>
      <w:lvlJc w:val="left"/>
    </w:lvl>
    <w:lvl w:ilvl="5" w:tplc="F41093EE">
      <w:numFmt w:val="decimal"/>
      <w:lvlText w:val=""/>
      <w:lvlJc w:val="left"/>
    </w:lvl>
    <w:lvl w:ilvl="6" w:tplc="92C06AF8">
      <w:numFmt w:val="decimal"/>
      <w:lvlText w:val=""/>
      <w:lvlJc w:val="left"/>
    </w:lvl>
    <w:lvl w:ilvl="7" w:tplc="10EEF400">
      <w:numFmt w:val="decimal"/>
      <w:lvlText w:val=""/>
      <w:lvlJc w:val="left"/>
    </w:lvl>
    <w:lvl w:ilvl="8" w:tplc="3588F662">
      <w:numFmt w:val="decimal"/>
      <w:lvlText w:val=""/>
      <w:lvlJc w:val="left"/>
    </w:lvl>
  </w:abstractNum>
  <w:abstractNum w:abstractNumId="710" w15:restartNumberingAfterBreak="0">
    <w:nsid w:val="343E683F"/>
    <w:multiLevelType w:val="hybridMultilevel"/>
    <w:tmpl w:val="2E967EEE"/>
    <w:lvl w:ilvl="0" w:tplc="D4D4533E">
      <w:start w:val="1"/>
      <w:numFmt w:val="bullet"/>
      <w:lvlText w:val=""/>
      <w:lvlJc w:val="left"/>
      <w:pPr>
        <w:ind w:left="720" w:hanging="180"/>
      </w:pPr>
      <w:rPr>
        <w:rFonts w:ascii="Symbol" w:hAnsi="Symbol" w:hint="default"/>
      </w:rPr>
    </w:lvl>
    <w:lvl w:ilvl="1" w:tplc="F46C5F14">
      <w:numFmt w:val="decimal"/>
      <w:lvlText w:val=""/>
      <w:lvlJc w:val="left"/>
    </w:lvl>
    <w:lvl w:ilvl="2" w:tplc="E0A495BC">
      <w:numFmt w:val="decimal"/>
      <w:lvlText w:val=""/>
      <w:lvlJc w:val="left"/>
    </w:lvl>
    <w:lvl w:ilvl="3" w:tplc="B7466E38">
      <w:numFmt w:val="decimal"/>
      <w:lvlText w:val=""/>
      <w:lvlJc w:val="left"/>
    </w:lvl>
    <w:lvl w:ilvl="4" w:tplc="E29E765C">
      <w:numFmt w:val="decimal"/>
      <w:lvlText w:val=""/>
      <w:lvlJc w:val="left"/>
    </w:lvl>
    <w:lvl w:ilvl="5" w:tplc="33DA86DA">
      <w:numFmt w:val="decimal"/>
      <w:lvlText w:val=""/>
      <w:lvlJc w:val="left"/>
    </w:lvl>
    <w:lvl w:ilvl="6" w:tplc="C33EDA28">
      <w:numFmt w:val="decimal"/>
      <w:lvlText w:val=""/>
      <w:lvlJc w:val="left"/>
    </w:lvl>
    <w:lvl w:ilvl="7" w:tplc="C91A6136">
      <w:numFmt w:val="decimal"/>
      <w:lvlText w:val=""/>
      <w:lvlJc w:val="left"/>
    </w:lvl>
    <w:lvl w:ilvl="8" w:tplc="E7CE6F9A">
      <w:numFmt w:val="decimal"/>
      <w:lvlText w:val=""/>
      <w:lvlJc w:val="left"/>
    </w:lvl>
  </w:abstractNum>
  <w:abstractNum w:abstractNumId="711" w15:restartNumberingAfterBreak="0">
    <w:nsid w:val="34415918"/>
    <w:multiLevelType w:val="hybridMultilevel"/>
    <w:tmpl w:val="4DE243C8"/>
    <w:lvl w:ilvl="0" w:tplc="B9523370">
      <w:start w:val="1"/>
      <w:numFmt w:val="bullet"/>
      <w:lvlText w:val=""/>
      <w:lvlJc w:val="left"/>
      <w:pPr>
        <w:ind w:left="720" w:hanging="180"/>
      </w:pPr>
      <w:rPr>
        <w:rFonts w:ascii="Symbol" w:hAnsi="Symbol" w:hint="default"/>
      </w:rPr>
    </w:lvl>
    <w:lvl w:ilvl="1" w:tplc="C4D82A2C">
      <w:numFmt w:val="decimal"/>
      <w:lvlText w:val=""/>
      <w:lvlJc w:val="left"/>
    </w:lvl>
    <w:lvl w:ilvl="2" w:tplc="25E07306">
      <w:numFmt w:val="decimal"/>
      <w:lvlText w:val=""/>
      <w:lvlJc w:val="left"/>
    </w:lvl>
    <w:lvl w:ilvl="3" w:tplc="12D6DFF8">
      <w:numFmt w:val="decimal"/>
      <w:lvlText w:val=""/>
      <w:lvlJc w:val="left"/>
    </w:lvl>
    <w:lvl w:ilvl="4" w:tplc="B2B68428">
      <w:numFmt w:val="decimal"/>
      <w:lvlText w:val=""/>
      <w:lvlJc w:val="left"/>
    </w:lvl>
    <w:lvl w:ilvl="5" w:tplc="711E1780">
      <w:numFmt w:val="decimal"/>
      <w:lvlText w:val=""/>
      <w:lvlJc w:val="left"/>
    </w:lvl>
    <w:lvl w:ilvl="6" w:tplc="0E9CE996">
      <w:numFmt w:val="decimal"/>
      <w:lvlText w:val=""/>
      <w:lvlJc w:val="left"/>
    </w:lvl>
    <w:lvl w:ilvl="7" w:tplc="AC363E14">
      <w:numFmt w:val="decimal"/>
      <w:lvlText w:val=""/>
      <w:lvlJc w:val="left"/>
    </w:lvl>
    <w:lvl w:ilvl="8" w:tplc="E28CAB68">
      <w:numFmt w:val="decimal"/>
      <w:lvlText w:val=""/>
      <w:lvlJc w:val="left"/>
    </w:lvl>
  </w:abstractNum>
  <w:abstractNum w:abstractNumId="712" w15:restartNumberingAfterBreak="0">
    <w:nsid w:val="3442091A"/>
    <w:multiLevelType w:val="hybridMultilevel"/>
    <w:tmpl w:val="D07CE32C"/>
    <w:lvl w:ilvl="0" w:tplc="B448DBB2">
      <w:start w:val="1"/>
      <w:numFmt w:val="bullet"/>
      <w:lvlText w:val=""/>
      <w:lvlJc w:val="left"/>
      <w:pPr>
        <w:ind w:left="720" w:hanging="180"/>
      </w:pPr>
      <w:rPr>
        <w:rFonts w:ascii="Symbol" w:hAnsi="Symbol" w:hint="default"/>
      </w:rPr>
    </w:lvl>
    <w:lvl w:ilvl="1" w:tplc="CE90EDCE">
      <w:numFmt w:val="decimal"/>
      <w:lvlText w:val=""/>
      <w:lvlJc w:val="left"/>
    </w:lvl>
    <w:lvl w:ilvl="2" w:tplc="AA9A6058">
      <w:numFmt w:val="decimal"/>
      <w:lvlText w:val=""/>
      <w:lvlJc w:val="left"/>
    </w:lvl>
    <w:lvl w:ilvl="3" w:tplc="76C6E884">
      <w:numFmt w:val="decimal"/>
      <w:lvlText w:val=""/>
      <w:lvlJc w:val="left"/>
    </w:lvl>
    <w:lvl w:ilvl="4" w:tplc="90A46C52">
      <w:numFmt w:val="decimal"/>
      <w:lvlText w:val=""/>
      <w:lvlJc w:val="left"/>
    </w:lvl>
    <w:lvl w:ilvl="5" w:tplc="E6329552">
      <w:numFmt w:val="decimal"/>
      <w:lvlText w:val=""/>
      <w:lvlJc w:val="left"/>
    </w:lvl>
    <w:lvl w:ilvl="6" w:tplc="F5A4361C">
      <w:numFmt w:val="decimal"/>
      <w:lvlText w:val=""/>
      <w:lvlJc w:val="left"/>
    </w:lvl>
    <w:lvl w:ilvl="7" w:tplc="47668C38">
      <w:numFmt w:val="decimal"/>
      <w:lvlText w:val=""/>
      <w:lvlJc w:val="left"/>
    </w:lvl>
    <w:lvl w:ilvl="8" w:tplc="D4C88716">
      <w:numFmt w:val="decimal"/>
      <w:lvlText w:val=""/>
      <w:lvlJc w:val="left"/>
    </w:lvl>
  </w:abstractNum>
  <w:abstractNum w:abstractNumId="713" w15:restartNumberingAfterBreak="0">
    <w:nsid w:val="3445667A"/>
    <w:multiLevelType w:val="hybridMultilevel"/>
    <w:tmpl w:val="3502E3F4"/>
    <w:lvl w:ilvl="0" w:tplc="A9DE1A44">
      <w:start w:val="1"/>
      <w:numFmt w:val="bullet"/>
      <w:lvlText w:val=""/>
      <w:lvlJc w:val="left"/>
      <w:pPr>
        <w:ind w:left="720" w:hanging="180"/>
      </w:pPr>
      <w:rPr>
        <w:rFonts w:ascii="Symbol" w:hAnsi="Symbol" w:hint="default"/>
      </w:rPr>
    </w:lvl>
    <w:lvl w:ilvl="1" w:tplc="00D2D556">
      <w:numFmt w:val="decimal"/>
      <w:lvlText w:val=""/>
      <w:lvlJc w:val="left"/>
    </w:lvl>
    <w:lvl w:ilvl="2" w:tplc="DF1E2BC8">
      <w:numFmt w:val="decimal"/>
      <w:lvlText w:val=""/>
      <w:lvlJc w:val="left"/>
    </w:lvl>
    <w:lvl w:ilvl="3" w:tplc="E6C013F6">
      <w:numFmt w:val="decimal"/>
      <w:lvlText w:val=""/>
      <w:lvlJc w:val="left"/>
    </w:lvl>
    <w:lvl w:ilvl="4" w:tplc="246EF7DE">
      <w:numFmt w:val="decimal"/>
      <w:lvlText w:val=""/>
      <w:lvlJc w:val="left"/>
    </w:lvl>
    <w:lvl w:ilvl="5" w:tplc="8FA06FA0">
      <w:numFmt w:val="decimal"/>
      <w:lvlText w:val=""/>
      <w:lvlJc w:val="left"/>
    </w:lvl>
    <w:lvl w:ilvl="6" w:tplc="C02A8CD4">
      <w:numFmt w:val="decimal"/>
      <w:lvlText w:val=""/>
      <w:lvlJc w:val="left"/>
    </w:lvl>
    <w:lvl w:ilvl="7" w:tplc="25E07032">
      <w:numFmt w:val="decimal"/>
      <w:lvlText w:val=""/>
      <w:lvlJc w:val="left"/>
    </w:lvl>
    <w:lvl w:ilvl="8" w:tplc="C248E96E">
      <w:numFmt w:val="decimal"/>
      <w:lvlText w:val=""/>
      <w:lvlJc w:val="left"/>
    </w:lvl>
  </w:abstractNum>
  <w:abstractNum w:abstractNumId="714" w15:restartNumberingAfterBreak="0">
    <w:nsid w:val="344E555E"/>
    <w:multiLevelType w:val="hybridMultilevel"/>
    <w:tmpl w:val="749E5A6A"/>
    <w:lvl w:ilvl="0" w:tplc="EF4020DE">
      <w:start w:val="1"/>
      <w:numFmt w:val="bullet"/>
      <w:lvlText w:val=""/>
      <w:lvlJc w:val="left"/>
      <w:pPr>
        <w:ind w:left="720" w:hanging="180"/>
      </w:pPr>
      <w:rPr>
        <w:rFonts w:ascii="Symbol" w:hAnsi="Symbol" w:hint="default"/>
      </w:rPr>
    </w:lvl>
    <w:lvl w:ilvl="1" w:tplc="58682220">
      <w:numFmt w:val="decimal"/>
      <w:lvlText w:val=""/>
      <w:lvlJc w:val="left"/>
    </w:lvl>
    <w:lvl w:ilvl="2" w:tplc="7D4EB33C">
      <w:numFmt w:val="decimal"/>
      <w:lvlText w:val=""/>
      <w:lvlJc w:val="left"/>
    </w:lvl>
    <w:lvl w:ilvl="3" w:tplc="9DDA5584">
      <w:numFmt w:val="decimal"/>
      <w:lvlText w:val=""/>
      <w:lvlJc w:val="left"/>
    </w:lvl>
    <w:lvl w:ilvl="4" w:tplc="1826BE1C">
      <w:numFmt w:val="decimal"/>
      <w:lvlText w:val=""/>
      <w:lvlJc w:val="left"/>
    </w:lvl>
    <w:lvl w:ilvl="5" w:tplc="C36472EC">
      <w:numFmt w:val="decimal"/>
      <w:lvlText w:val=""/>
      <w:lvlJc w:val="left"/>
    </w:lvl>
    <w:lvl w:ilvl="6" w:tplc="4C247946">
      <w:numFmt w:val="decimal"/>
      <w:lvlText w:val=""/>
      <w:lvlJc w:val="left"/>
    </w:lvl>
    <w:lvl w:ilvl="7" w:tplc="E024602C">
      <w:numFmt w:val="decimal"/>
      <w:lvlText w:val=""/>
      <w:lvlJc w:val="left"/>
    </w:lvl>
    <w:lvl w:ilvl="8" w:tplc="E4448D82">
      <w:numFmt w:val="decimal"/>
      <w:lvlText w:val=""/>
      <w:lvlJc w:val="left"/>
    </w:lvl>
  </w:abstractNum>
  <w:abstractNum w:abstractNumId="715" w15:restartNumberingAfterBreak="0">
    <w:nsid w:val="34571D9A"/>
    <w:multiLevelType w:val="hybridMultilevel"/>
    <w:tmpl w:val="A8AE9854"/>
    <w:lvl w:ilvl="0" w:tplc="39CEDCA6">
      <w:start w:val="1"/>
      <w:numFmt w:val="bullet"/>
      <w:lvlText w:val=""/>
      <w:lvlJc w:val="left"/>
      <w:pPr>
        <w:ind w:left="720" w:hanging="180"/>
      </w:pPr>
      <w:rPr>
        <w:rFonts w:ascii="Symbol" w:hAnsi="Symbol" w:hint="default"/>
      </w:rPr>
    </w:lvl>
    <w:lvl w:ilvl="1" w:tplc="44D2C122">
      <w:numFmt w:val="decimal"/>
      <w:lvlText w:val=""/>
      <w:lvlJc w:val="left"/>
    </w:lvl>
    <w:lvl w:ilvl="2" w:tplc="A87C4D7C">
      <w:numFmt w:val="decimal"/>
      <w:lvlText w:val=""/>
      <w:lvlJc w:val="left"/>
    </w:lvl>
    <w:lvl w:ilvl="3" w:tplc="EB4C751A">
      <w:numFmt w:val="decimal"/>
      <w:lvlText w:val=""/>
      <w:lvlJc w:val="left"/>
    </w:lvl>
    <w:lvl w:ilvl="4" w:tplc="D452D548">
      <w:numFmt w:val="decimal"/>
      <w:lvlText w:val=""/>
      <w:lvlJc w:val="left"/>
    </w:lvl>
    <w:lvl w:ilvl="5" w:tplc="CCC2A9A4">
      <w:numFmt w:val="decimal"/>
      <w:lvlText w:val=""/>
      <w:lvlJc w:val="left"/>
    </w:lvl>
    <w:lvl w:ilvl="6" w:tplc="AA783916">
      <w:numFmt w:val="decimal"/>
      <w:lvlText w:val=""/>
      <w:lvlJc w:val="left"/>
    </w:lvl>
    <w:lvl w:ilvl="7" w:tplc="696CC8E0">
      <w:numFmt w:val="decimal"/>
      <w:lvlText w:val=""/>
      <w:lvlJc w:val="left"/>
    </w:lvl>
    <w:lvl w:ilvl="8" w:tplc="C3681684">
      <w:numFmt w:val="decimal"/>
      <w:lvlText w:val=""/>
      <w:lvlJc w:val="left"/>
    </w:lvl>
  </w:abstractNum>
  <w:abstractNum w:abstractNumId="716" w15:restartNumberingAfterBreak="0">
    <w:nsid w:val="34590B16"/>
    <w:multiLevelType w:val="hybridMultilevel"/>
    <w:tmpl w:val="ECB0A058"/>
    <w:lvl w:ilvl="0" w:tplc="FAE48FAA">
      <w:start w:val="1"/>
      <w:numFmt w:val="bullet"/>
      <w:lvlText w:val=""/>
      <w:lvlJc w:val="left"/>
      <w:pPr>
        <w:ind w:left="720" w:hanging="180"/>
      </w:pPr>
      <w:rPr>
        <w:rFonts w:ascii="Symbol" w:hAnsi="Symbol" w:hint="default"/>
      </w:rPr>
    </w:lvl>
    <w:lvl w:ilvl="1" w:tplc="D9FE895C">
      <w:numFmt w:val="decimal"/>
      <w:lvlText w:val=""/>
      <w:lvlJc w:val="left"/>
    </w:lvl>
    <w:lvl w:ilvl="2" w:tplc="277658E6">
      <w:numFmt w:val="decimal"/>
      <w:lvlText w:val=""/>
      <w:lvlJc w:val="left"/>
    </w:lvl>
    <w:lvl w:ilvl="3" w:tplc="EFE00606">
      <w:numFmt w:val="decimal"/>
      <w:lvlText w:val=""/>
      <w:lvlJc w:val="left"/>
    </w:lvl>
    <w:lvl w:ilvl="4" w:tplc="9612C51A">
      <w:numFmt w:val="decimal"/>
      <w:lvlText w:val=""/>
      <w:lvlJc w:val="left"/>
    </w:lvl>
    <w:lvl w:ilvl="5" w:tplc="017EBA7C">
      <w:numFmt w:val="decimal"/>
      <w:lvlText w:val=""/>
      <w:lvlJc w:val="left"/>
    </w:lvl>
    <w:lvl w:ilvl="6" w:tplc="B74678BA">
      <w:numFmt w:val="decimal"/>
      <w:lvlText w:val=""/>
      <w:lvlJc w:val="left"/>
    </w:lvl>
    <w:lvl w:ilvl="7" w:tplc="D6727FE4">
      <w:numFmt w:val="decimal"/>
      <w:lvlText w:val=""/>
      <w:lvlJc w:val="left"/>
    </w:lvl>
    <w:lvl w:ilvl="8" w:tplc="BBF424B6">
      <w:numFmt w:val="decimal"/>
      <w:lvlText w:val=""/>
      <w:lvlJc w:val="left"/>
    </w:lvl>
  </w:abstractNum>
  <w:abstractNum w:abstractNumId="717" w15:restartNumberingAfterBreak="0">
    <w:nsid w:val="34640E88"/>
    <w:multiLevelType w:val="hybridMultilevel"/>
    <w:tmpl w:val="4BF2D064"/>
    <w:lvl w:ilvl="0" w:tplc="236C72DC">
      <w:start w:val="1"/>
      <w:numFmt w:val="bullet"/>
      <w:lvlText w:val=""/>
      <w:lvlJc w:val="left"/>
      <w:pPr>
        <w:ind w:left="720" w:hanging="180"/>
      </w:pPr>
      <w:rPr>
        <w:rFonts w:ascii="Symbol" w:hAnsi="Symbol" w:hint="default"/>
      </w:rPr>
    </w:lvl>
    <w:lvl w:ilvl="1" w:tplc="06147F4A">
      <w:numFmt w:val="decimal"/>
      <w:lvlText w:val=""/>
      <w:lvlJc w:val="left"/>
    </w:lvl>
    <w:lvl w:ilvl="2" w:tplc="A0FA2754">
      <w:numFmt w:val="decimal"/>
      <w:lvlText w:val=""/>
      <w:lvlJc w:val="left"/>
    </w:lvl>
    <w:lvl w:ilvl="3" w:tplc="1A520DD8">
      <w:numFmt w:val="decimal"/>
      <w:lvlText w:val=""/>
      <w:lvlJc w:val="left"/>
    </w:lvl>
    <w:lvl w:ilvl="4" w:tplc="72FEE2FC">
      <w:numFmt w:val="decimal"/>
      <w:lvlText w:val=""/>
      <w:lvlJc w:val="left"/>
    </w:lvl>
    <w:lvl w:ilvl="5" w:tplc="66A2D78A">
      <w:numFmt w:val="decimal"/>
      <w:lvlText w:val=""/>
      <w:lvlJc w:val="left"/>
    </w:lvl>
    <w:lvl w:ilvl="6" w:tplc="5E926644">
      <w:numFmt w:val="decimal"/>
      <w:lvlText w:val=""/>
      <w:lvlJc w:val="left"/>
    </w:lvl>
    <w:lvl w:ilvl="7" w:tplc="C0F027A8">
      <w:numFmt w:val="decimal"/>
      <w:lvlText w:val=""/>
      <w:lvlJc w:val="left"/>
    </w:lvl>
    <w:lvl w:ilvl="8" w:tplc="BC324682">
      <w:numFmt w:val="decimal"/>
      <w:lvlText w:val=""/>
      <w:lvlJc w:val="left"/>
    </w:lvl>
  </w:abstractNum>
  <w:abstractNum w:abstractNumId="718" w15:restartNumberingAfterBreak="0">
    <w:nsid w:val="34696C72"/>
    <w:multiLevelType w:val="hybridMultilevel"/>
    <w:tmpl w:val="63FC515E"/>
    <w:lvl w:ilvl="0" w:tplc="EEB2BF72">
      <w:start w:val="1"/>
      <w:numFmt w:val="bullet"/>
      <w:lvlText w:val=""/>
      <w:lvlJc w:val="left"/>
      <w:pPr>
        <w:ind w:left="720" w:hanging="180"/>
      </w:pPr>
      <w:rPr>
        <w:rFonts w:ascii="Symbol" w:hAnsi="Symbol" w:hint="default"/>
      </w:rPr>
    </w:lvl>
    <w:lvl w:ilvl="1" w:tplc="06484B96">
      <w:numFmt w:val="decimal"/>
      <w:lvlText w:val=""/>
      <w:lvlJc w:val="left"/>
    </w:lvl>
    <w:lvl w:ilvl="2" w:tplc="45A420EE">
      <w:numFmt w:val="decimal"/>
      <w:lvlText w:val=""/>
      <w:lvlJc w:val="left"/>
    </w:lvl>
    <w:lvl w:ilvl="3" w:tplc="BADC185C">
      <w:numFmt w:val="decimal"/>
      <w:lvlText w:val=""/>
      <w:lvlJc w:val="left"/>
    </w:lvl>
    <w:lvl w:ilvl="4" w:tplc="FA8A04F6">
      <w:numFmt w:val="decimal"/>
      <w:lvlText w:val=""/>
      <w:lvlJc w:val="left"/>
    </w:lvl>
    <w:lvl w:ilvl="5" w:tplc="B7B89DEC">
      <w:numFmt w:val="decimal"/>
      <w:lvlText w:val=""/>
      <w:lvlJc w:val="left"/>
    </w:lvl>
    <w:lvl w:ilvl="6" w:tplc="DD6641EC">
      <w:numFmt w:val="decimal"/>
      <w:lvlText w:val=""/>
      <w:lvlJc w:val="left"/>
    </w:lvl>
    <w:lvl w:ilvl="7" w:tplc="60A876DE">
      <w:numFmt w:val="decimal"/>
      <w:lvlText w:val=""/>
      <w:lvlJc w:val="left"/>
    </w:lvl>
    <w:lvl w:ilvl="8" w:tplc="89364142">
      <w:numFmt w:val="decimal"/>
      <w:lvlText w:val=""/>
      <w:lvlJc w:val="left"/>
    </w:lvl>
  </w:abstractNum>
  <w:abstractNum w:abstractNumId="719" w15:restartNumberingAfterBreak="0">
    <w:nsid w:val="346D6E88"/>
    <w:multiLevelType w:val="hybridMultilevel"/>
    <w:tmpl w:val="463003EC"/>
    <w:lvl w:ilvl="0" w:tplc="F3DE0D60">
      <w:start w:val="1"/>
      <w:numFmt w:val="bullet"/>
      <w:lvlText w:val=""/>
      <w:lvlJc w:val="left"/>
      <w:pPr>
        <w:ind w:left="720" w:hanging="180"/>
      </w:pPr>
      <w:rPr>
        <w:rFonts w:ascii="Symbol" w:hAnsi="Symbol" w:hint="default"/>
      </w:rPr>
    </w:lvl>
    <w:lvl w:ilvl="1" w:tplc="5FF81CFC">
      <w:numFmt w:val="decimal"/>
      <w:lvlText w:val=""/>
      <w:lvlJc w:val="left"/>
    </w:lvl>
    <w:lvl w:ilvl="2" w:tplc="3D100046">
      <w:numFmt w:val="decimal"/>
      <w:lvlText w:val=""/>
      <w:lvlJc w:val="left"/>
    </w:lvl>
    <w:lvl w:ilvl="3" w:tplc="D78CB0DA">
      <w:numFmt w:val="decimal"/>
      <w:lvlText w:val=""/>
      <w:lvlJc w:val="left"/>
    </w:lvl>
    <w:lvl w:ilvl="4" w:tplc="3190B42E">
      <w:numFmt w:val="decimal"/>
      <w:lvlText w:val=""/>
      <w:lvlJc w:val="left"/>
    </w:lvl>
    <w:lvl w:ilvl="5" w:tplc="B874D5FE">
      <w:numFmt w:val="decimal"/>
      <w:lvlText w:val=""/>
      <w:lvlJc w:val="left"/>
    </w:lvl>
    <w:lvl w:ilvl="6" w:tplc="01F09102">
      <w:numFmt w:val="decimal"/>
      <w:lvlText w:val=""/>
      <w:lvlJc w:val="left"/>
    </w:lvl>
    <w:lvl w:ilvl="7" w:tplc="6764C450">
      <w:numFmt w:val="decimal"/>
      <w:lvlText w:val=""/>
      <w:lvlJc w:val="left"/>
    </w:lvl>
    <w:lvl w:ilvl="8" w:tplc="E424ED94">
      <w:numFmt w:val="decimal"/>
      <w:lvlText w:val=""/>
      <w:lvlJc w:val="left"/>
    </w:lvl>
  </w:abstractNum>
  <w:abstractNum w:abstractNumId="720" w15:restartNumberingAfterBreak="0">
    <w:nsid w:val="346F3FA9"/>
    <w:multiLevelType w:val="hybridMultilevel"/>
    <w:tmpl w:val="E3B8973A"/>
    <w:lvl w:ilvl="0" w:tplc="15D018A8">
      <w:start w:val="1"/>
      <w:numFmt w:val="bullet"/>
      <w:lvlText w:val=""/>
      <w:lvlJc w:val="left"/>
      <w:pPr>
        <w:ind w:left="720" w:hanging="180"/>
      </w:pPr>
      <w:rPr>
        <w:rFonts w:ascii="Symbol" w:hAnsi="Symbol" w:hint="default"/>
      </w:rPr>
    </w:lvl>
    <w:lvl w:ilvl="1" w:tplc="23BEA8A8">
      <w:numFmt w:val="decimal"/>
      <w:lvlText w:val=""/>
      <w:lvlJc w:val="left"/>
    </w:lvl>
    <w:lvl w:ilvl="2" w:tplc="D05626C8">
      <w:numFmt w:val="decimal"/>
      <w:lvlText w:val=""/>
      <w:lvlJc w:val="left"/>
    </w:lvl>
    <w:lvl w:ilvl="3" w:tplc="0FC419E8">
      <w:numFmt w:val="decimal"/>
      <w:lvlText w:val=""/>
      <w:lvlJc w:val="left"/>
    </w:lvl>
    <w:lvl w:ilvl="4" w:tplc="3EF8F95C">
      <w:numFmt w:val="decimal"/>
      <w:lvlText w:val=""/>
      <w:lvlJc w:val="left"/>
    </w:lvl>
    <w:lvl w:ilvl="5" w:tplc="F2A89C72">
      <w:numFmt w:val="decimal"/>
      <w:lvlText w:val=""/>
      <w:lvlJc w:val="left"/>
    </w:lvl>
    <w:lvl w:ilvl="6" w:tplc="3B6030CC">
      <w:numFmt w:val="decimal"/>
      <w:lvlText w:val=""/>
      <w:lvlJc w:val="left"/>
    </w:lvl>
    <w:lvl w:ilvl="7" w:tplc="81086E38">
      <w:numFmt w:val="decimal"/>
      <w:lvlText w:val=""/>
      <w:lvlJc w:val="left"/>
    </w:lvl>
    <w:lvl w:ilvl="8" w:tplc="C69850B8">
      <w:numFmt w:val="decimal"/>
      <w:lvlText w:val=""/>
      <w:lvlJc w:val="left"/>
    </w:lvl>
  </w:abstractNum>
  <w:abstractNum w:abstractNumId="721" w15:restartNumberingAfterBreak="0">
    <w:nsid w:val="34880783"/>
    <w:multiLevelType w:val="hybridMultilevel"/>
    <w:tmpl w:val="CA189D44"/>
    <w:lvl w:ilvl="0" w:tplc="A02C5652">
      <w:start w:val="1"/>
      <w:numFmt w:val="bullet"/>
      <w:lvlText w:val=""/>
      <w:lvlJc w:val="left"/>
      <w:pPr>
        <w:ind w:left="720" w:hanging="180"/>
      </w:pPr>
      <w:rPr>
        <w:rFonts w:ascii="Symbol" w:hAnsi="Symbol" w:hint="default"/>
      </w:rPr>
    </w:lvl>
    <w:lvl w:ilvl="1" w:tplc="14A8D1D2">
      <w:numFmt w:val="decimal"/>
      <w:lvlText w:val=""/>
      <w:lvlJc w:val="left"/>
    </w:lvl>
    <w:lvl w:ilvl="2" w:tplc="E7FE786E">
      <w:numFmt w:val="decimal"/>
      <w:lvlText w:val=""/>
      <w:lvlJc w:val="left"/>
    </w:lvl>
    <w:lvl w:ilvl="3" w:tplc="7A6AC874">
      <w:numFmt w:val="decimal"/>
      <w:lvlText w:val=""/>
      <w:lvlJc w:val="left"/>
    </w:lvl>
    <w:lvl w:ilvl="4" w:tplc="7EE6A740">
      <w:numFmt w:val="decimal"/>
      <w:lvlText w:val=""/>
      <w:lvlJc w:val="left"/>
    </w:lvl>
    <w:lvl w:ilvl="5" w:tplc="D5EC3AA2">
      <w:numFmt w:val="decimal"/>
      <w:lvlText w:val=""/>
      <w:lvlJc w:val="left"/>
    </w:lvl>
    <w:lvl w:ilvl="6" w:tplc="CC14905C">
      <w:numFmt w:val="decimal"/>
      <w:lvlText w:val=""/>
      <w:lvlJc w:val="left"/>
    </w:lvl>
    <w:lvl w:ilvl="7" w:tplc="C33C78F4">
      <w:numFmt w:val="decimal"/>
      <w:lvlText w:val=""/>
      <w:lvlJc w:val="left"/>
    </w:lvl>
    <w:lvl w:ilvl="8" w:tplc="922C36D2">
      <w:numFmt w:val="decimal"/>
      <w:lvlText w:val=""/>
      <w:lvlJc w:val="left"/>
    </w:lvl>
  </w:abstractNum>
  <w:abstractNum w:abstractNumId="722" w15:restartNumberingAfterBreak="0">
    <w:nsid w:val="34A43772"/>
    <w:multiLevelType w:val="hybridMultilevel"/>
    <w:tmpl w:val="9DDA24B8"/>
    <w:lvl w:ilvl="0" w:tplc="0A106C52">
      <w:start w:val="1"/>
      <w:numFmt w:val="bullet"/>
      <w:lvlText w:val=""/>
      <w:lvlJc w:val="left"/>
      <w:pPr>
        <w:ind w:left="720" w:hanging="180"/>
      </w:pPr>
      <w:rPr>
        <w:rFonts w:ascii="Symbol" w:hAnsi="Symbol" w:hint="default"/>
      </w:rPr>
    </w:lvl>
    <w:lvl w:ilvl="1" w:tplc="E7B0CB18">
      <w:numFmt w:val="decimal"/>
      <w:lvlText w:val=""/>
      <w:lvlJc w:val="left"/>
    </w:lvl>
    <w:lvl w:ilvl="2" w:tplc="F89E484C">
      <w:numFmt w:val="decimal"/>
      <w:lvlText w:val=""/>
      <w:lvlJc w:val="left"/>
    </w:lvl>
    <w:lvl w:ilvl="3" w:tplc="EA4E71DA">
      <w:numFmt w:val="decimal"/>
      <w:lvlText w:val=""/>
      <w:lvlJc w:val="left"/>
    </w:lvl>
    <w:lvl w:ilvl="4" w:tplc="27D46C20">
      <w:numFmt w:val="decimal"/>
      <w:lvlText w:val=""/>
      <w:lvlJc w:val="left"/>
    </w:lvl>
    <w:lvl w:ilvl="5" w:tplc="7BBEBA14">
      <w:numFmt w:val="decimal"/>
      <w:lvlText w:val=""/>
      <w:lvlJc w:val="left"/>
    </w:lvl>
    <w:lvl w:ilvl="6" w:tplc="2E6E9E1A">
      <w:numFmt w:val="decimal"/>
      <w:lvlText w:val=""/>
      <w:lvlJc w:val="left"/>
    </w:lvl>
    <w:lvl w:ilvl="7" w:tplc="F9C0D66E">
      <w:numFmt w:val="decimal"/>
      <w:lvlText w:val=""/>
      <w:lvlJc w:val="left"/>
    </w:lvl>
    <w:lvl w:ilvl="8" w:tplc="DC84692C">
      <w:numFmt w:val="decimal"/>
      <w:lvlText w:val=""/>
      <w:lvlJc w:val="left"/>
    </w:lvl>
  </w:abstractNum>
  <w:abstractNum w:abstractNumId="723" w15:restartNumberingAfterBreak="0">
    <w:nsid w:val="34A7372B"/>
    <w:multiLevelType w:val="hybridMultilevel"/>
    <w:tmpl w:val="5178EB74"/>
    <w:lvl w:ilvl="0" w:tplc="3F1A5258">
      <w:start w:val="1"/>
      <w:numFmt w:val="bullet"/>
      <w:lvlText w:val=""/>
      <w:lvlJc w:val="left"/>
      <w:pPr>
        <w:ind w:left="720" w:hanging="180"/>
      </w:pPr>
      <w:rPr>
        <w:rFonts w:ascii="Symbol" w:hAnsi="Symbol" w:hint="default"/>
      </w:rPr>
    </w:lvl>
    <w:lvl w:ilvl="1" w:tplc="61D0E8EC">
      <w:numFmt w:val="decimal"/>
      <w:lvlText w:val=""/>
      <w:lvlJc w:val="left"/>
    </w:lvl>
    <w:lvl w:ilvl="2" w:tplc="5AD033F4">
      <w:numFmt w:val="decimal"/>
      <w:lvlText w:val=""/>
      <w:lvlJc w:val="left"/>
    </w:lvl>
    <w:lvl w:ilvl="3" w:tplc="A6B28316">
      <w:numFmt w:val="decimal"/>
      <w:lvlText w:val=""/>
      <w:lvlJc w:val="left"/>
    </w:lvl>
    <w:lvl w:ilvl="4" w:tplc="75687136">
      <w:numFmt w:val="decimal"/>
      <w:lvlText w:val=""/>
      <w:lvlJc w:val="left"/>
    </w:lvl>
    <w:lvl w:ilvl="5" w:tplc="98DA5980">
      <w:numFmt w:val="decimal"/>
      <w:lvlText w:val=""/>
      <w:lvlJc w:val="left"/>
    </w:lvl>
    <w:lvl w:ilvl="6" w:tplc="DC5446B2">
      <w:numFmt w:val="decimal"/>
      <w:lvlText w:val=""/>
      <w:lvlJc w:val="left"/>
    </w:lvl>
    <w:lvl w:ilvl="7" w:tplc="B01499D4">
      <w:numFmt w:val="decimal"/>
      <w:lvlText w:val=""/>
      <w:lvlJc w:val="left"/>
    </w:lvl>
    <w:lvl w:ilvl="8" w:tplc="F7B09D6E">
      <w:numFmt w:val="decimal"/>
      <w:lvlText w:val=""/>
      <w:lvlJc w:val="left"/>
    </w:lvl>
  </w:abstractNum>
  <w:abstractNum w:abstractNumId="724" w15:restartNumberingAfterBreak="0">
    <w:nsid w:val="34B23C78"/>
    <w:multiLevelType w:val="hybridMultilevel"/>
    <w:tmpl w:val="154C45C4"/>
    <w:lvl w:ilvl="0" w:tplc="DBB40B74">
      <w:start w:val="1"/>
      <w:numFmt w:val="bullet"/>
      <w:lvlText w:val=""/>
      <w:lvlJc w:val="left"/>
      <w:pPr>
        <w:ind w:left="720" w:hanging="180"/>
      </w:pPr>
      <w:rPr>
        <w:rFonts w:ascii="Symbol" w:hAnsi="Symbol" w:hint="default"/>
      </w:rPr>
    </w:lvl>
    <w:lvl w:ilvl="1" w:tplc="CD362630">
      <w:numFmt w:val="decimal"/>
      <w:lvlText w:val=""/>
      <w:lvlJc w:val="left"/>
    </w:lvl>
    <w:lvl w:ilvl="2" w:tplc="721C08EE">
      <w:numFmt w:val="decimal"/>
      <w:lvlText w:val=""/>
      <w:lvlJc w:val="left"/>
    </w:lvl>
    <w:lvl w:ilvl="3" w:tplc="14A2F7AC">
      <w:numFmt w:val="decimal"/>
      <w:lvlText w:val=""/>
      <w:lvlJc w:val="left"/>
    </w:lvl>
    <w:lvl w:ilvl="4" w:tplc="205606D8">
      <w:numFmt w:val="decimal"/>
      <w:lvlText w:val=""/>
      <w:lvlJc w:val="left"/>
    </w:lvl>
    <w:lvl w:ilvl="5" w:tplc="E6F847FC">
      <w:numFmt w:val="decimal"/>
      <w:lvlText w:val=""/>
      <w:lvlJc w:val="left"/>
    </w:lvl>
    <w:lvl w:ilvl="6" w:tplc="15A4B1CA">
      <w:numFmt w:val="decimal"/>
      <w:lvlText w:val=""/>
      <w:lvlJc w:val="left"/>
    </w:lvl>
    <w:lvl w:ilvl="7" w:tplc="1E6208C8">
      <w:numFmt w:val="decimal"/>
      <w:lvlText w:val=""/>
      <w:lvlJc w:val="left"/>
    </w:lvl>
    <w:lvl w:ilvl="8" w:tplc="23D4CDEA">
      <w:numFmt w:val="decimal"/>
      <w:lvlText w:val=""/>
      <w:lvlJc w:val="left"/>
    </w:lvl>
  </w:abstractNum>
  <w:abstractNum w:abstractNumId="725" w15:restartNumberingAfterBreak="0">
    <w:nsid w:val="34B302FA"/>
    <w:multiLevelType w:val="hybridMultilevel"/>
    <w:tmpl w:val="D00CD2A8"/>
    <w:lvl w:ilvl="0" w:tplc="FD5433D2">
      <w:start w:val="1"/>
      <w:numFmt w:val="bullet"/>
      <w:lvlText w:val=""/>
      <w:lvlJc w:val="left"/>
      <w:pPr>
        <w:ind w:left="720" w:hanging="180"/>
      </w:pPr>
      <w:rPr>
        <w:rFonts w:ascii="Symbol" w:hAnsi="Symbol" w:hint="default"/>
      </w:rPr>
    </w:lvl>
    <w:lvl w:ilvl="1" w:tplc="7CE03F08">
      <w:numFmt w:val="decimal"/>
      <w:lvlText w:val=""/>
      <w:lvlJc w:val="left"/>
    </w:lvl>
    <w:lvl w:ilvl="2" w:tplc="65CCBCBA">
      <w:numFmt w:val="decimal"/>
      <w:lvlText w:val=""/>
      <w:lvlJc w:val="left"/>
    </w:lvl>
    <w:lvl w:ilvl="3" w:tplc="C7F6DBE8">
      <w:numFmt w:val="decimal"/>
      <w:lvlText w:val=""/>
      <w:lvlJc w:val="left"/>
    </w:lvl>
    <w:lvl w:ilvl="4" w:tplc="161A659C">
      <w:numFmt w:val="decimal"/>
      <w:lvlText w:val=""/>
      <w:lvlJc w:val="left"/>
    </w:lvl>
    <w:lvl w:ilvl="5" w:tplc="70003FAA">
      <w:numFmt w:val="decimal"/>
      <w:lvlText w:val=""/>
      <w:lvlJc w:val="left"/>
    </w:lvl>
    <w:lvl w:ilvl="6" w:tplc="D202107C">
      <w:numFmt w:val="decimal"/>
      <w:lvlText w:val=""/>
      <w:lvlJc w:val="left"/>
    </w:lvl>
    <w:lvl w:ilvl="7" w:tplc="E788D124">
      <w:numFmt w:val="decimal"/>
      <w:lvlText w:val=""/>
      <w:lvlJc w:val="left"/>
    </w:lvl>
    <w:lvl w:ilvl="8" w:tplc="07BC1B7E">
      <w:numFmt w:val="decimal"/>
      <w:lvlText w:val=""/>
      <w:lvlJc w:val="left"/>
    </w:lvl>
  </w:abstractNum>
  <w:abstractNum w:abstractNumId="726" w15:restartNumberingAfterBreak="0">
    <w:nsid w:val="34B53937"/>
    <w:multiLevelType w:val="hybridMultilevel"/>
    <w:tmpl w:val="7C70306A"/>
    <w:lvl w:ilvl="0" w:tplc="D6540EA6">
      <w:start w:val="1"/>
      <w:numFmt w:val="bullet"/>
      <w:lvlText w:val=""/>
      <w:lvlJc w:val="left"/>
      <w:pPr>
        <w:ind w:left="720" w:hanging="180"/>
      </w:pPr>
      <w:rPr>
        <w:rFonts w:ascii="Symbol" w:hAnsi="Symbol" w:hint="default"/>
      </w:rPr>
    </w:lvl>
    <w:lvl w:ilvl="1" w:tplc="44ACE9D6">
      <w:numFmt w:val="decimal"/>
      <w:lvlText w:val=""/>
      <w:lvlJc w:val="left"/>
    </w:lvl>
    <w:lvl w:ilvl="2" w:tplc="7D54A08C">
      <w:numFmt w:val="decimal"/>
      <w:lvlText w:val=""/>
      <w:lvlJc w:val="left"/>
    </w:lvl>
    <w:lvl w:ilvl="3" w:tplc="9606EF88">
      <w:numFmt w:val="decimal"/>
      <w:lvlText w:val=""/>
      <w:lvlJc w:val="left"/>
    </w:lvl>
    <w:lvl w:ilvl="4" w:tplc="CC0C6042">
      <w:numFmt w:val="decimal"/>
      <w:lvlText w:val=""/>
      <w:lvlJc w:val="left"/>
    </w:lvl>
    <w:lvl w:ilvl="5" w:tplc="56A6B04C">
      <w:numFmt w:val="decimal"/>
      <w:lvlText w:val=""/>
      <w:lvlJc w:val="left"/>
    </w:lvl>
    <w:lvl w:ilvl="6" w:tplc="CB147980">
      <w:numFmt w:val="decimal"/>
      <w:lvlText w:val=""/>
      <w:lvlJc w:val="left"/>
    </w:lvl>
    <w:lvl w:ilvl="7" w:tplc="86DE94CA">
      <w:numFmt w:val="decimal"/>
      <w:lvlText w:val=""/>
      <w:lvlJc w:val="left"/>
    </w:lvl>
    <w:lvl w:ilvl="8" w:tplc="83CED51A">
      <w:numFmt w:val="decimal"/>
      <w:lvlText w:val=""/>
      <w:lvlJc w:val="left"/>
    </w:lvl>
  </w:abstractNum>
  <w:abstractNum w:abstractNumId="727" w15:restartNumberingAfterBreak="0">
    <w:nsid w:val="34BD0719"/>
    <w:multiLevelType w:val="hybridMultilevel"/>
    <w:tmpl w:val="170EF3A2"/>
    <w:lvl w:ilvl="0" w:tplc="12CA3F96">
      <w:start w:val="1"/>
      <w:numFmt w:val="bullet"/>
      <w:lvlText w:val=""/>
      <w:lvlJc w:val="left"/>
      <w:pPr>
        <w:ind w:left="720" w:hanging="180"/>
      </w:pPr>
      <w:rPr>
        <w:rFonts w:ascii="Symbol" w:hAnsi="Symbol" w:hint="default"/>
      </w:rPr>
    </w:lvl>
    <w:lvl w:ilvl="1" w:tplc="D99A839A">
      <w:numFmt w:val="decimal"/>
      <w:lvlText w:val=""/>
      <w:lvlJc w:val="left"/>
    </w:lvl>
    <w:lvl w:ilvl="2" w:tplc="20DCD8E8">
      <w:numFmt w:val="decimal"/>
      <w:lvlText w:val=""/>
      <w:lvlJc w:val="left"/>
    </w:lvl>
    <w:lvl w:ilvl="3" w:tplc="CD888D3C">
      <w:numFmt w:val="decimal"/>
      <w:lvlText w:val=""/>
      <w:lvlJc w:val="left"/>
    </w:lvl>
    <w:lvl w:ilvl="4" w:tplc="C2D03508">
      <w:numFmt w:val="decimal"/>
      <w:lvlText w:val=""/>
      <w:lvlJc w:val="left"/>
    </w:lvl>
    <w:lvl w:ilvl="5" w:tplc="CD105B04">
      <w:numFmt w:val="decimal"/>
      <w:lvlText w:val=""/>
      <w:lvlJc w:val="left"/>
    </w:lvl>
    <w:lvl w:ilvl="6" w:tplc="214A5D98">
      <w:numFmt w:val="decimal"/>
      <w:lvlText w:val=""/>
      <w:lvlJc w:val="left"/>
    </w:lvl>
    <w:lvl w:ilvl="7" w:tplc="072098C0">
      <w:numFmt w:val="decimal"/>
      <w:lvlText w:val=""/>
      <w:lvlJc w:val="left"/>
    </w:lvl>
    <w:lvl w:ilvl="8" w:tplc="872C46EA">
      <w:numFmt w:val="decimal"/>
      <w:lvlText w:val=""/>
      <w:lvlJc w:val="left"/>
    </w:lvl>
  </w:abstractNum>
  <w:abstractNum w:abstractNumId="728" w15:restartNumberingAfterBreak="0">
    <w:nsid w:val="34D05F97"/>
    <w:multiLevelType w:val="hybridMultilevel"/>
    <w:tmpl w:val="EAF095AA"/>
    <w:lvl w:ilvl="0" w:tplc="12A0E5A0">
      <w:start w:val="1"/>
      <w:numFmt w:val="bullet"/>
      <w:lvlText w:val=""/>
      <w:lvlJc w:val="left"/>
      <w:pPr>
        <w:ind w:left="720" w:hanging="180"/>
      </w:pPr>
      <w:rPr>
        <w:rFonts w:ascii="Symbol" w:hAnsi="Symbol" w:hint="default"/>
      </w:rPr>
    </w:lvl>
    <w:lvl w:ilvl="1" w:tplc="BDE469C4">
      <w:numFmt w:val="decimal"/>
      <w:lvlText w:val=""/>
      <w:lvlJc w:val="left"/>
    </w:lvl>
    <w:lvl w:ilvl="2" w:tplc="1494F838">
      <w:numFmt w:val="decimal"/>
      <w:lvlText w:val=""/>
      <w:lvlJc w:val="left"/>
    </w:lvl>
    <w:lvl w:ilvl="3" w:tplc="3CDE77A0">
      <w:numFmt w:val="decimal"/>
      <w:lvlText w:val=""/>
      <w:lvlJc w:val="left"/>
    </w:lvl>
    <w:lvl w:ilvl="4" w:tplc="B46660F8">
      <w:numFmt w:val="decimal"/>
      <w:lvlText w:val=""/>
      <w:lvlJc w:val="left"/>
    </w:lvl>
    <w:lvl w:ilvl="5" w:tplc="9EF82A1A">
      <w:numFmt w:val="decimal"/>
      <w:lvlText w:val=""/>
      <w:lvlJc w:val="left"/>
    </w:lvl>
    <w:lvl w:ilvl="6" w:tplc="6C36E9FA">
      <w:numFmt w:val="decimal"/>
      <w:lvlText w:val=""/>
      <w:lvlJc w:val="left"/>
    </w:lvl>
    <w:lvl w:ilvl="7" w:tplc="BBBA50F4">
      <w:numFmt w:val="decimal"/>
      <w:lvlText w:val=""/>
      <w:lvlJc w:val="left"/>
    </w:lvl>
    <w:lvl w:ilvl="8" w:tplc="2C74BFB2">
      <w:numFmt w:val="decimal"/>
      <w:lvlText w:val=""/>
      <w:lvlJc w:val="left"/>
    </w:lvl>
  </w:abstractNum>
  <w:abstractNum w:abstractNumId="729" w15:restartNumberingAfterBreak="0">
    <w:nsid w:val="34D758F3"/>
    <w:multiLevelType w:val="hybridMultilevel"/>
    <w:tmpl w:val="45982886"/>
    <w:lvl w:ilvl="0" w:tplc="17EC2DAE">
      <w:start w:val="1"/>
      <w:numFmt w:val="bullet"/>
      <w:lvlText w:val=""/>
      <w:lvlJc w:val="left"/>
      <w:pPr>
        <w:ind w:left="720" w:hanging="180"/>
      </w:pPr>
      <w:rPr>
        <w:rFonts w:ascii="Symbol" w:hAnsi="Symbol" w:hint="default"/>
      </w:rPr>
    </w:lvl>
    <w:lvl w:ilvl="1" w:tplc="C9DC980A">
      <w:numFmt w:val="decimal"/>
      <w:lvlText w:val=""/>
      <w:lvlJc w:val="left"/>
    </w:lvl>
    <w:lvl w:ilvl="2" w:tplc="5F0CE114">
      <w:numFmt w:val="decimal"/>
      <w:lvlText w:val=""/>
      <w:lvlJc w:val="left"/>
    </w:lvl>
    <w:lvl w:ilvl="3" w:tplc="6C661120">
      <w:numFmt w:val="decimal"/>
      <w:lvlText w:val=""/>
      <w:lvlJc w:val="left"/>
    </w:lvl>
    <w:lvl w:ilvl="4" w:tplc="427E5074">
      <w:numFmt w:val="decimal"/>
      <w:lvlText w:val=""/>
      <w:lvlJc w:val="left"/>
    </w:lvl>
    <w:lvl w:ilvl="5" w:tplc="D3588D3C">
      <w:numFmt w:val="decimal"/>
      <w:lvlText w:val=""/>
      <w:lvlJc w:val="left"/>
    </w:lvl>
    <w:lvl w:ilvl="6" w:tplc="CFBE504C">
      <w:numFmt w:val="decimal"/>
      <w:lvlText w:val=""/>
      <w:lvlJc w:val="left"/>
    </w:lvl>
    <w:lvl w:ilvl="7" w:tplc="CD82A2E4">
      <w:numFmt w:val="decimal"/>
      <w:lvlText w:val=""/>
      <w:lvlJc w:val="left"/>
    </w:lvl>
    <w:lvl w:ilvl="8" w:tplc="75A00FCC">
      <w:numFmt w:val="decimal"/>
      <w:lvlText w:val=""/>
      <w:lvlJc w:val="left"/>
    </w:lvl>
  </w:abstractNum>
  <w:abstractNum w:abstractNumId="730" w15:restartNumberingAfterBreak="0">
    <w:nsid w:val="34F439F8"/>
    <w:multiLevelType w:val="hybridMultilevel"/>
    <w:tmpl w:val="5980EA98"/>
    <w:lvl w:ilvl="0" w:tplc="7B525D70">
      <w:start w:val="1"/>
      <w:numFmt w:val="bullet"/>
      <w:lvlText w:val=""/>
      <w:lvlJc w:val="left"/>
      <w:pPr>
        <w:ind w:left="720" w:hanging="180"/>
      </w:pPr>
      <w:rPr>
        <w:rFonts w:ascii="Symbol" w:hAnsi="Symbol" w:hint="default"/>
      </w:rPr>
    </w:lvl>
    <w:lvl w:ilvl="1" w:tplc="FCFE66E2">
      <w:numFmt w:val="decimal"/>
      <w:lvlText w:val=""/>
      <w:lvlJc w:val="left"/>
    </w:lvl>
    <w:lvl w:ilvl="2" w:tplc="64DEEEDA">
      <w:numFmt w:val="decimal"/>
      <w:lvlText w:val=""/>
      <w:lvlJc w:val="left"/>
    </w:lvl>
    <w:lvl w:ilvl="3" w:tplc="B516A400">
      <w:numFmt w:val="decimal"/>
      <w:lvlText w:val=""/>
      <w:lvlJc w:val="left"/>
    </w:lvl>
    <w:lvl w:ilvl="4" w:tplc="0C08E272">
      <w:numFmt w:val="decimal"/>
      <w:lvlText w:val=""/>
      <w:lvlJc w:val="left"/>
    </w:lvl>
    <w:lvl w:ilvl="5" w:tplc="D10067BA">
      <w:numFmt w:val="decimal"/>
      <w:lvlText w:val=""/>
      <w:lvlJc w:val="left"/>
    </w:lvl>
    <w:lvl w:ilvl="6" w:tplc="B6684AA2">
      <w:numFmt w:val="decimal"/>
      <w:lvlText w:val=""/>
      <w:lvlJc w:val="left"/>
    </w:lvl>
    <w:lvl w:ilvl="7" w:tplc="9202FF00">
      <w:numFmt w:val="decimal"/>
      <w:lvlText w:val=""/>
      <w:lvlJc w:val="left"/>
    </w:lvl>
    <w:lvl w:ilvl="8" w:tplc="28E418AC">
      <w:numFmt w:val="decimal"/>
      <w:lvlText w:val=""/>
      <w:lvlJc w:val="left"/>
    </w:lvl>
  </w:abstractNum>
  <w:abstractNum w:abstractNumId="731" w15:restartNumberingAfterBreak="0">
    <w:nsid w:val="35094E73"/>
    <w:multiLevelType w:val="hybridMultilevel"/>
    <w:tmpl w:val="B93CE650"/>
    <w:lvl w:ilvl="0" w:tplc="14C65276">
      <w:start w:val="1"/>
      <w:numFmt w:val="bullet"/>
      <w:lvlText w:val=""/>
      <w:lvlJc w:val="left"/>
      <w:pPr>
        <w:ind w:left="720" w:hanging="180"/>
      </w:pPr>
      <w:rPr>
        <w:rFonts w:ascii="Symbol" w:hAnsi="Symbol" w:hint="default"/>
      </w:rPr>
    </w:lvl>
    <w:lvl w:ilvl="1" w:tplc="F2F8B196">
      <w:numFmt w:val="decimal"/>
      <w:lvlText w:val=""/>
      <w:lvlJc w:val="left"/>
    </w:lvl>
    <w:lvl w:ilvl="2" w:tplc="3EB40812">
      <w:numFmt w:val="decimal"/>
      <w:lvlText w:val=""/>
      <w:lvlJc w:val="left"/>
    </w:lvl>
    <w:lvl w:ilvl="3" w:tplc="FB9C4C14">
      <w:numFmt w:val="decimal"/>
      <w:lvlText w:val=""/>
      <w:lvlJc w:val="left"/>
    </w:lvl>
    <w:lvl w:ilvl="4" w:tplc="00BA42BE">
      <w:numFmt w:val="decimal"/>
      <w:lvlText w:val=""/>
      <w:lvlJc w:val="left"/>
    </w:lvl>
    <w:lvl w:ilvl="5" w:tplc="FEAE05EE">
      <w:numFmt w:val="decimal"/>
      <w:lvlText w:val=""/>
      <w:lvlJc w:val="left"/>
    </w:lvl>
    <w:lvl w:ilvl="6" w:tplc="F4C247D0">
      <w:numFmt w:val="decimal"/>
      <w:lvlText w:val=""/>
      <w:lvlJc w:val="left"/>
    </w:lvl>
    <w:lvl w:ilvl="7" w:tplc="8E74777E">
      <w:numFmt w:val="decimal"/>
      <w:lvlText w:val=""/>
      <w:lvlJc w:val="left"/>
    </w:lvl>
    <w:lvl w:ilvl="8" w:tplc="9A58A0CA">
      <w:numFmt w:val="decimal"/>
      <w:lvlText w:val=""/>
      <w:lvlJc w:val="left"/>
    </w:lvl>
  </w:abstractNum>
  <w:abstractNum w:abstractNumId="732" w15:restartNumberingAfterBreak="0">
    <w:nsid w:val="35263C49"/>
    <w:multiLevelType w:val="hybridMultilevel"/>
    <w:tmpl w:val="1EDC3432"/>
    <w:lvl w:ilvl="0" w:tplc="ADD40C0C">
      <w:start w:val="1"/>
      <w:numFmt w:val="bullet"/>
      <w:lvlText w:val=""/>
      <w:lvlJc w:val="left"/>
      <w:pPr>
        <w:ind w:left="720" w:hanging="180"/>
      </w:pPr>
      <w:rPr>
        <w:rFonts w:ascii="Symbol" w:hAnsi="Symbol" w:hint="default"/>
      </w:rPr>
    </w:lvl>
    <w:lvl w:ilvl="1" w:tplc="837A7F42">
      <w:numFmt w:val="decimal"/>
      <w:lvlText w:val=""/>
      <w:lvlJc w:val="left"/>
    </w:lvl>
    <w:lvl w:ilvl="2" w:tplc="90C8EBCA">
      <w:numFmt w:val="decimal"/>
      <w:lvlText w:val=""/>
      <w:lvlJc w:val="left"/>
    </w:lvl>
    <w:lvl w:ilvl="3" w:tplc="382C73EC">
      <w:numFmt w:val="decimal"/>
      <w:lvlText w:val=""/>
      <w:lvlJc w:val="left"/>
    </w:lvl>
    <w:lvl w:ilvl="4" w:tplc="9C2A7E0E">
      <w:numFmt w:val="decimal"/>
      <w:lvlText w:val=""/>
      <w:lvlJc w:val="left"/>
    </w:lvl>
    <w:lvl w:ilvl="5" w:tplc="47085574">
      <w:numFmt w:val="decimal"/>
      <w:lvlText w:val=""/>
      <w:lvlJc w:val="left"/>
    </w:lvl>
    <w:lvl w:ilvl="6" w:tplc="96CCB65E">
      <w:numFmt w:val="decimal"/>
      <w:lvlText w:val=""/>
      <w:lvlJc w:val="left"/>
    </w:lvl>
    <w:lvl w:ilvl="7" w:tplc="A5AAF81E">
      <w:numFmt w:val="decimal"/>
      <w:lvlText w:val=""/>
      <w:lvlJc w:val="left"/>
    </w:lvl>
    <w:lvl w:ilvl="8" w:tplc="3312A36C">
      <w:numFmt w:val="decimal"/>
      <w:lvlText w:val=""/>
      <w:lvlJc w:val="left"/>
    </w:lvl>
  </w:abstractNum>
  <w:abstractNum w:abstractNumId="733" w15:restartNumberingAfterBreak="0">
    <w:nsid w:val="35471285"/>
    <w:multiLevelType w:val="hybridMultilevel"/>
    <w:tmpl w:val="5E0C75F0"/>
    <w:lvl w:ilvl="0" w:tplc="DA406356">
      <w:start w:val="1"/>
      <w:numFmt w:val="bullet"/>
      <w:lvlText w:val=""/>
      <w:lvlJc w:val="left"/>
      <w:pPr>
        <w:ind w:left="720" w:hanging="180"/>
      </w:pPr>
      <w:rPr>
        <w:rFonts w:ascii="Symbol" w:hAnsi="Symbol" w:hint="default"/>
      </w:rPr>
    </w:lvl>
    <w:lvl w:ilvl="1" w:tplc="451E26E8">
      <w:numFmt w:val="decimal"/>
      <w:lvlText w:val=""/>
      <w:lvlJc w:val="left"/>
    </w:lvl>
    <w:lvl w:ilvl="2" w:tplc="E20A3C44">
      <w:numFmt w:val="decimal"/>
      <w:lvlText w:val=""/>
      <w:lvlJc w:val="left"/>
    </w:lvl>
    <w:lvl w:ilvl="3" w:tplc="6C8CC618">
      <w:numFmt w:val="decimal"/>
      <w:lvlText w:val=""/>
      <w:lvlJc w:val="left"/>
    </w:lvl>
    <w:lvl w:ilvl="4" w:tplc="1EBC7A9E">
      <w:numFmt w:val="decimal"/>
      <w:lvlText w:val=""/>
      <w:lvlJc w:val="left"/>
    </w:lvl>
    <w:lvl w:ilvl="5" w:tplc="7576CD9C">
      <w:numFmt w:val="decimal"/>
      <w:lvlText w:val=""/>
      <w:lvlJc w:val="left"/>
    </w:lvl>
    <w:lvl w:ilvl="6" w:tplc="8744E48E">
      <w:numFmt w:val="decimal"/>
      <w:lvlText w:val=""/>
      <w:lvlJc w:val="left"/>
    </w:lvl>
    <w:lvl w:ilvl="7" w:tplc="D2CC91E0">
      <w:numFmt w:val="decimal"/>
      <w:lvlText w:val=""/>
      <w:lvlJc w:val="left"/>
    </w:lvl>
    <w:lvl w:ilvl="8" w:tplc="E3248F86">
      <w:numFmt w:val="decimal"/>
      <w:lvlText w:val=""/>
      <w:lvlJc w:val="left"/>
    </w:lvl>
  </w:abstractNum>
  <w:abstractNum w:abstractNumId="734" w15:restartNumberingAfterBreak="0">
    <w:nsid w:val="354F6651"/>
    <w:multiLevelType w:val="hybridMultilevel"/>
    <w:tmpl w:val="F0B63DF0"/>
    <w:lvl w:ilvl="0" w:tplc="7B10B600">
      <w:start w:val="1"/>
      <w:numFmt w:val="bullet"/>
      <w:lvlText w:val=""/>
      <w:lvlJc w:val="left"/>
      <w:pPr>
        <w:ind w:left="720" w:hanging="180"/>
      </w:pPr>
      <w:rPr>
        <w:rFonts w:ascii="Symbol" w:hAnsi="Symbol" w:hint="default"/>
      </w:rPr>
    </w:lvl>
    <w:lvl w:ilvl="1" w:tplc="9C82C80C">
      <w:numFmt w:val="decimal"/>
      <w:lvlText w:val=""/>
      <w:lvlJc w:val="left"/>
    </w:lvl>
    <w:lvl w:ilvl="2" w:tplc="18BE86A6">
      <w:numFmt w:val="decimal"/>
      <w:lvlText w:val=""/>
      <w:lvlJc w:val="left"/>
    </w:lvl>
    <w:lvl w:ilvl="3" w:tplc="24981F5A">
      <w:numFmt w:val="decimal"/>
      <w:lvlText w:val=""/>
      <w:lvlJc w:val="left"/>
    </w:lvl>
    <w:lvl w:ilvl="4" w:tplc="49A238C0">
      <w:numFmt w:val="decimal"/>
      <w:lvlText w:val=""/>
      <w:lvlJc w:val="left"/>
    </w:lvl>
    <w:lvl w:ilvl="5" w:tplc="8B6C260C">
      <w:numFmt w:val="decimal"/>
      <w:lvlText w:val=""/>
      <w:lvlJc w:val="left"/>
    </w:lvl>
    <w:lvl w:ilvl="6" w:tplc="13F8509A">
      <w:numFmt w:val="decimal"/>
      <w:lvlText w:val=""/>
      <w:lvlJc w:val="left"/>
    </w:lvl>
    <w:lvl w:ilvl="7" w:tplc="86362D46">
      <w:numFmt w:val="decimal"/>
      <w:lvlText w:val=""/>
      <w:lvlJc w:val="left"/>
    </w:lvl>
    <w:lvl w:ilvl="8" w:tplc="41F81404">
      <w:numFmt w:val="decimal"/>
      <w:lvlText w:val=""/>
      <w:lvlJc w:val="left"/>
    </w:lvl>
  </w:abstractNum>
  <w:abstractNum w:abstractNumId="735" w15:restartNumberingAfterBreak="0">
    <w:nsid w:val="35536C58"/>
    <w:multiLevelType w:val="hybridMultilevel"/>
    <w:tmpl w:val="826C12D0"/>
    <w:lvl w:ilvl="0" w:tplc="1124E1B8">
      <w:start w:val="1"/>
      <w:numFmt w:val="bullet"/>
      <w:lvlText w:val=""/>
      <w:lvlJc w:val="left"/>
      <w:pPr>
        <w:ind w:left="720" w:hanging="180"/>
      </w:pPr>
      <w:rPr>
        <w:rFonts w:ascii="Symbol" w:hAnsi="Symbol" w:hint="default"/>
      </w:rPr>
    </w:lvl>
    <w:lvl w:ilvl="1" w:tplc="FDE62752">
      <w:numFmt w:val="decimal"/>
      <w:lvlText w:val=""/>
      <w:lvlJc w:val="left"/>
    </w:lvl>
    <w:lvl w:ilvl="2" w:tplc="C20489D0">
      <w:numFmt w:val="decimal"/>
      <w:lvlText w:val=""/>
      <w:lvlJc w:val="left"/>
    </w:lvl>
    <w:lvl w:ilvl="3" w:tplc="5DFC1D50">
      <w:numFmt w:val="decimal"/>
      <w:lvlText w:val=""/>
      <w:lvlJc w:val="left"/>
    </w:lvl>
    <w:lvl w:ilvl="4" w:tplc="0CC07E28">
      <w:numFmt w:val="decimal"/>
      <w:lvlText w:val=""/>
      <w:lvlJc w:val="left"/>
    </w:lvl>
    <w:lvl w:ilvl="5" w:tplc="4FBE9D0E">
      <w:numFmt w:val="decimal"/>
      <w:lvlText w:val=""/>
      <w:lvlJc w:val="left"/>
    </w:lvl>
    <w:lvl w:ilvl="6" w:tplc="A84AA1F2">
      <w:numFmt w:val="decimal"/>
      <w:lvlText w:val=""/>
      <w:lvlJc w:val="left"/>
    </w:lvl>
    <w:lvl w:ilvl="7" w:tplc="30AC9F4A">
      <w:numFmt w:val="decimal"/>
      <w:lvlText w:val=""/>
      <w:lvlJc w:val="left"/>
    </w:lvl>
    <w:lvl w:ilvl="8" w:tplc="533E08B0">
      <w:numFmt w:val="decimal"/>
      <w:lvlText w:val=""/>
      <w:lvlJc w:val="left"/>
    </w:lvl>
  </w:abstractNum>
  <w:abstractNum w:abstractNumId="736" w15:restartNumberingAfterBreak="0">
    <w:nsid w:val="356175B5"/>
    <w:multiLevelType w:val="hybridMultilevel"/>
    <w:tmpl w:val="DC8EB526"/>
    <w:lvl w:ilvl="0" w:tplc="F232F0C8">
      <w:start w:val="1"/>
      <w:numFmt w:val="bullet"/>
      <w:lvlText w:val=""/>
      <w:lvlJc w:val="left"/>
      <w:pPr>
        <w:ind w:left="720" w:hanging="180"/>
      </w:pPr>
      <w:rPr>
        <w:rFonts w:ascii="Symbol" w:hAnsi="Symbol" w:hint="default"/>
      </w:rPr>
    </w:lvl>
    <w:lvl w:ilvl="1" w:tplc="BA64219A">
      <w:numFmt w:val="decimal"/>
      <w:lvlText w:val=""/>
      <w:lvlJc w:val="left"/>
    </w:lvl>
    <w:lvl w:ilvl="2" w:tplc="85CEB12E">
      <w:numFmt w:val="decimal"/>
      <w:lvlText w:val=""/>
      <w:lvlJc w:val="left"/>
    </w:lvl>
    <w:lvl w:ilvl="3" w:tplc="E474DF2A">
      <w:numFmt w:val="decimal"/>
      <w:lvlText w:val=""/>
      <w:lvlJc w:val="left"/>
    </w:lvl>
    <w:lvl w:ilvl="4" w:tplc="C75A5B00">
      <w:numFmt w:val="decimal"/>
      <w:lvlText w:val=""/>
      <w:lvlJc w:val="left"/>
    </w:lvl>
    <w:lvl w:ilvl="5" w:tplc="99FE2E28">
      <w:numFmt w:val="decimal"/>
      <w:lvlText w:val=""/>
      <w:lvlJc w:val="left"/>
    </w:lvl>
    <w:lvl w:ilvl="6" w:tplc="FAC64236">
      <w:numFmt w:val="decimal"/>
      <w:lvlText w:val=""/>
      <w:lvlJc w:val="left"/>
    </w:lvl>
    <w:lvl w:ilvl="7" w:tplc="651C447A">
      <w:numFmt w:val="decimal"/>
      <w:lvlText w:val=""/>
      <w:lvlJc w:val="left"/>
    </w:lvl>
    <w:lvl w:ilvl="8" w:tplc="7B087F98">
      <w:numFmt w:val="decimal"/>
      <w:lvlText w:val=""/>
      <w:lvlJc w:val="left"/>
    </w:lvl>
  </w:abstractNum>
  <w:abstractNum w:abstractNumId="737" w15:restartNumberingAfterBreak="0">
    <w:nsid w:val="35635FCB"/>
    <w:multiLevelType w:val="hybridMultilevel"/>
    <w:tmpl w:val="95986AFA"/>
    <w:lvl w:ilvl="0" w:tplc="8B1406BC">
      <w:start w:val="1"/>
      <w:numFmt w:val="bullet"/>
      <w:lvlText w:val=""/>
      <w:lvlJc w:val="left"/>
      <w:pPr>
        <w:ind w:left="720" w:hanging="180"/>
      </w:pPr>
      <w:rPr>
        <w:rFonts w:ascii="Symbol" w:hAnsi="Symbol" w:hint="default"/>
      </w:rPr>
    </w:lvl>
    <w:lvl w:ilvl="1" w:tplc="BA248D78">
      <w:numFmt w:val="decimal"/>
      <w:lvlText w:val=""/>
      <w:lvlJc w:val="left"/>
    </w:lvl>
    <w:lvl w:ilvl="2" w:tplc="AA46B228">
      <w:numFmt w:val="decimal"/>
      <w:lvlText w:val=""/>
      <w:lvlJc w:val="left"/>
    </w:lvl>
    <w:lvl w:ilvl="3" w:tplc="3C8AFEFE">
      <w:numFmt w:val="decimal"/>
      <w:lvlText w:val=""/>
      <w:lvlJc w:val="left"/>
    </w:lvl>
    <w:lvl w:ilvl="4" w:tplc="EC728962">
      <w:numFmt w:val="decimal"/>
      <w:lvlText w:val=""/>
      <w:lvlJc w:val="left"/>
    </w:lvl>
    <w:lvl w:ilvl="5" w:tplc="E46E0060">
      <w:numFmt w:val="decimal"/>
      <w:lvlText w:val=""/>
      <w:lvlJc w:val="left"/>
    </w:lvl>
    <w:lvl w:ilvl="6" w:tplc="BDF280EC">
      <w:numFmt w:val="decimal"/>
      <w:lvlText w:val=""/>
      <w:lvlJc w:val="left"/>
    </w:lvl>
    <w:lvl w:ilvl="7" w:tplc="4124500C">
      <w:numFmt w:val="decimal"/>
      <w:lvlText w:val=""/>
      <w:lvlJc w:val="left"/>
    </w:lvl>
    <w:lvl w:ilvl="8" w:tplc="7494F092">
      <w:numFmt w:val="decimal"/>
      <w:lvlText w:val=""/>
      <w:lvlJc w:val="left"/>
    </w:lvl>
  </w:abstractNum>
  <w:abstractNum w:abstractNumId="738" w15:restartNumberingAfterBreak="0">
    <w:nsid w:val="357513A4"/>
    <w:multiLevelType w:val="hybridMultilevel"/>
    <w:tmpl w:val="45E48E04"/>
    <w:lvl w:ilvl="0" w:tplc="C0B097FA">
      <w:start w:val="1"/>
      <w:numFmt w:val="bullet"/>
      <w:lvlText w:val=""/>
      <w:lvlJc w:val="left"/>
      <w:pPr>
        <w:ind w:left="720" w:hanging="180"/>
      </w:pPr>
      <w:rPr>
        <w:rFonts w:ascii="Symbol" w:hAnsi="Symbol" w:hint="default"/>
      </w:rPr>
    </w:lvl>
    <w:lvl w:ilvl="1" w:tplc="E948F3AC">
      <w:numFmt w:val="decimal"/>
      <w:lvlText w:val=""/>
      <w:lvlJc w:val="left"/>
    </w:lvl>
    <w:lvl w:ilvl="2" w:tplc="99860EF4">
      <w:numFmt w:val="decimal"/>
      <w:lvlText w:val=""/>
      <w:lvlJc w:val="left"/>
    </w:lvl>
    <w:lvl w:ilvl="3" w:tplc="1E3899C6">
      <w:numFmt w:val="decimal"/>
      <w:lvlText w:val=""/>
      <w:lvlJc w:val="left"/>
    </w:lvl>
    <w:lvl w:ilvl="4" w:tplc="B8563B86">
      <w:numFmt w:val="decimal"/>
      <w:lvlText w:val=""/>
      <w:lvlJc w:val="left"/>
    </w:lvl>
    <w:lvl w:ilvl="5" w:tplc="DE285E80">
      <w:numFmt w:val="decimal"/>
      <w:lvlText w:val=""/>
      <w:lvlJc w:val="left"/>
    </w:lvl>
    <w:lvl w:ilvl="6" w:tplc="ED58E418">
      <w:numFmt w:val="decimal"/>
      <w:lvlText w:val=""/>
      <w:lvlJc w:val="left"/>
    </w:lvl>
    <w:lvl w:ilvl="7" w:tplc="EE6AEA14">
      <w:numFmt w:val="decimal"/>
      <w:lvlText w:val=""/>
      <w:lvlJc w:val="left"/>
    </w:lvl>
    <w:lvl w:ilvl="8" w:tplc="C35AD758">
      <w:numFmt w:val="decimal"/>
      <w:lvlText w:val=""/>
      <w:lvlJc w:val="left"/>
    </w:lvl>
  </w:abstractNum>
  <w:abstractNum w:abstractNumId="739" w15:restartNumberingAfterBreak="0">
    <w:nsid w:val="358E4FAF"/>
    <w:multiLevelType w:val="hybridMultilevel"/>
    <w:tmpl w:val="7340BDC8"/>
    <w:lvl w:ilvl="0" w:tplc="2984352C">
      <w:start w:val="1"/>
      <w:numFmt w:val="bullet"/>
      <w:lvlText w:val=""/>
      <w:lvlJc w:val="left"/>
      <w:pPr>
        <w:ind w:left="720" w:hanging="180"/>
      </w:pPr>
      <w:rPr>
        <w:rFonts w:ascii="Symbol" w:hAnsi="Symbol" w:hint="default"/>
      </w:rPr>
    </w:lvl>
    <w:lvl w:ilvl="1" w:tplc="63703184">
      <w:numFmt w:val="decimal"/>
      <w:lvlText w:val=""/>
      <w:lvlJc w:val="left"/>
    </w:lvl>
    <w:lvl w:ilvl="2" w:tplc="E3D0513C">
      <w:numFmt w:val="decimal"/>
      <w:lvlText w:val=""/>
      <w:lvlJc w:val="left"/>
    </w:lvl>
    <w:lvl w:ilvl="3" w:tplc="CEA429A4">
      <w:numFmt w:val="decimal"/>
      <w:lvlText w:val=""/>
      <w:lvlJc w:val="left"/>
    </w:lvl>
    <w:lvl w:ilvl="4" w:tplc="EC90F90E">
      <w:numFmt w:val="decimal"/>
      <w:lvlText w:val=""/>
      <w:lvlJc w:val="left"/>
    </w:lvl>
    <w:lvl w:ilvl="5" w:tplc="1E54E8AE">
      <w:numFmt w:val="decimal"/>
      <w:lvlText w:val=""/>
      <w:lvlJc w:val="left"/>
    </w:lvl>
    <w:lvl w:ilvl="6" w:tplc="F9DE5918">
      <w:numFmt w:val="decimal"/>
      <w:lvlText w:val=""/>
      <w:lvlJc w:val="left"/>
    </w:lvl>
    <w:lvl w:ilvl="7" w:tplc="66D0D242">
      <w:numFmt w:val="decimal"/>
      <w:lvlText w:val=""/>
      <w:lvlJc w:val="left"/>
    </w:lvl>
    <w:lvl w:ilvl="8" w:tplc="AFA4CDFE">
      <w:numFmt w:val="decimal"/>
      <w:lvlText w:val=""/>
      <w:lvlJc w:val="left"/>
    </w:lvl>
  </w:abstractNum>
  <w:abstractNum w:abstractNumId="740" w15:restartNumberingAfterBreak="0">
    <w:nsid w:val="359128A2"/>
    <w:multiLevelType w:val="hybridMultilevel"/>
    <w:tmpl w:val="017EA4A0"/>
    <w:lvl w:ilvl="0" w:tplc="3A9A7C00">
      <w:start w:val="1"/>
      <w:numFmt w:val="bullet"/>
      <w:lvlText w:val=""/>
      <w:lvlJc w:val="left"/>
      <w:pPr>
        <w:ind w:left="720" w:hanging="180"/>
      </w:pPr>
      <w:rPr>
        <w:rFonts w:ascii="Symbol" w:hAnsi="Symbol" w:hint="default"/>
      </w:rPr>
    </w:lvl>
    <w:lvl w:ilvl="1" w:tplc="9154BD7C">
      <w:numFmt w:val="decimal"/>
      <w:lvlText w:val=""/>
      <w:lvlJc w:val="left"/>
    </w:lvl>
    <w:lvl w:ilvl="2" w:tplc="D562D306">
      <w:numFmt w:val="decimal"/>
      <w:lvlText w:val=""/>
      <w:lvlJc w:val="left"/>
    </w:lvl>
    <w:lvl w:ilvl="3" w:tplc="0D967A0A">
      <w:numFmt w:val="decimal"/>
      <w:lvlText w:val=""/>
      <w:lvlJc w:val="left"/>
    </w:lvl>
    <w:lvl w:ilvl="4" w:tplc="6B92315A">
      <w:numFmt w:val="decimal"/>
      <w:lvlText w:val=""/>
      <w:lvlJc w:val="left"/>
    </w:lvl>
    <w:lvl w:ilvl="5" w:tplc="A8F8A134">
      <w:numFmt w:val="decimal"/>
      <w:lvlText w:val=""/>
      <w:lvlJc w:val="left"/>
    </w:lvl>
    <w:lvl w:ilvl="6" w:tplc="BE0C8B90">
      <w:numFmt w:val="decimal"/>
      <w:lvlText w:val=""/>
      <w:lvlJc w:val="left"/>
    </w:lvl>
    <w:lvl w:ilvl="7" w:tplc="BACCA7AC">
      <w:numFmt w:val="decimal"/>
      <w:lvlText w:val=""/>
      <w:lvlJc w:val="left"/>
    </w:lvl>
    <w:lvl w:ilvl="8" w:tplc="1AAEDA64">
      <w:numFmt w:val="decimal"/>
      <w:lvlText w:val=""/>
      <w:lvlJc w:val="left"/>
    </w:lvl>
  </w:abstractNum>
  <w:abstractNum w:abstractNumId="741" w15:restartNumberingAfterBreak="0">
    <w:nsid w:val="35AF3980"/>
    <w:multiLevelType w:val="hybridMultilevel"/>
    <w:tmpl w:val="49E67D02"/>
    <w:lvl w:ilvl="0" w:tplc="448880D2">
      <w:start w:val="1"/>
      <w:numFmt w:val="bullet"/>
      <w:lvlText w:val=""/>
      <w:lvlJc w:val="left"/>
      <w:pPr>
        <w:ind w:left="720" w:hanging="180"/>
      </w:pPr>
      <w:rPr>
        <w:rFonts w:ascii="Symbol" w:hAnsi="Symbol" w:hint="default"/>
      </w:rPr>
    </w:lvl>
    <w:lvl w:ilvl="1" w:tplc="783E5C7A">
      <w:numFmt w:val="decimal"/>
      <w:lvlText w:val=""/>
      <w:lvlJc w:val="left"/>
    </w:lvl>
    <w:lvl w:ilvl="2" w:tplc="10FE314A">
      <w:numFmt w:val="decimal"/>
      <w:lvlText w:val=""/>
      <w:lvlJc w:val="left"/>
    </w:lvl>
    <w:lvl w:ilvl="3" w:tplc="54F0F316">
      <w:numFmt w:val="decimal"/>
      <w:lvlText w:val=""/>
      <w:lvlJc w:val="left"/>
    </w:lvl>
    <w:lvl w:ilvl="4" w:tplc="3DDA5936">
      <w:numFmt w:val="decimal"/>
      <w:lvlText w:val=""/>
      <w:lvlJc w:val="left"/>
    </w:lvl>
    <w:lvl w:ilvl="5" w:tplc="095A4674">
      <w:numFmt w:val="decimal"/>
      <w:lvlText w:val=""/>
      <w:lvlJc w:val="left"/>
    </w:lvl>
    <w:lvl w:ilvl="6" w:tplc="582AD558">
      <w:numFmt w:val="decimal"/>
      <w:lvlText w:val=""/>
      <w:lvlJc w:val="left"/>
    </w:lvl>
    <w:lvl w:ilvl="7" w:tplc="1DE40040">
      <w:numFmt w:val="decimal"/>
      <w:lvlText w:val=""/>
      <w:lvlJc w:val="left"/>
    </w:lvl>
    <w:lvl w:ilvl="8" w:tplc="E082723C">
      <w:numFmt w:val="decimal"/>
      <w:lvlText w:val=""/>
      <w:lvlJc w:val="left"/>
    </w:lvl>
  </w:abstractNum>
  <w:abstractNum w:abstractNumId="742" w15:restartNumberingAfterBreak="0">
    <w:nsid w:val="35B22621"/>
    <w:multiLevelType w:val="hybridMultilevel"/>
    <w:tmpl w:val="E3748030"/>
    <w:lvl w:ilvl="0" w:tplc="46C20D62">
      <w:start w:val="1"/>
      <w:numFmt w:val="bullet"/>
      <w:lvlText w:val=""/>
      <w:lvlJc w:val="left"/>
      <w:pPr>
        <w:ind w:left="720" w:hanging="180"/>
      </w:pPr>
      <w:rPr>
        <w:rFonts w:ascii="Symbol" w:hAnsi="Symbol" w:hint="default"/>
      </w:rPr>
    </w:lvl>
    <w:lvl w:ilvl="1" w:tplc="D6A4D036">
      <w:numFmt w:val="decimal"/>
      <w:lvlText w:val=""/>
      <w:lvlJc w:val="left"/>
    </w:lvl>
    <w:lvl w:ilvl="2" w:tplc="32787D82">
      <w:numFmt w:val="decimal"/>
      <w:lvlText w:val=""/>
      <w:lvlJc w:val="left"/>
    </w:lvl>
    <w:lvl w:ilvl="3" w:tplc="7A9AE606">
      <w:numFmt w:val="decimal"/>
      <w:lvlText w:val=""/>
      <w:lvlJc w:val="left"/>
    </w:lvl>
    <w:lvl w:ilvl="4" w:tplc="0AD26C80">
      <w:numFmt w:val="decimal"/>
      <w:lvlText w:val=""/>
      <w:lvlJc w:val="left"/>
    </w:lvl>
    <w:lvl w:ilvl="5" w:tplc="08AE3C16">
      <w:numFmt w:val="decimal"/>
      <w:lvlText w:val=""/>
      <w:lvlJc w:val="left"/>
    </w:lvl>
    <w:lvl w:ilvl="6" w:tplc="6406A7AA">
      <w:numFmt w:val="decimal"/>
      <w:lvlText w:val=""/>
      <w:lvlJc w:val="left"/>
    </w:lvl>
    <w:lvl w:ilvl="7" w:tplc="9DD69F80">
      <w:numFmt w:val="decimal"/>
      <w:lvlText w:val=""/>
      <w:lvlJc w:val="left"/>
    </w:lvl>
    <w:lvl w:ilvl="8" w:tplc="7520BFF2">
      <w:numFmt w:val="decimal"/>
      <w:lvlText w:val=""/>
      <w:lvlJc w:val="left"/>
    </w:lvl>
  </w:abstractNum>
  <w:abstractNum w:abstractNumId="743" w15:restartNumberingAfterBreak="0">
    <w:nsid w:val="35BC1966"/>
    <w:multiLevelType w:val="hybridMultilevel"/>
    <w:tmpl w:val="41DC291E"/>
    <w:lvl w:ilvl="0" w:tplc="BE5A0800">
      <w:start w:val="1"/>
      <w:numFmt w:val="bullet"/>
      <w:lvlText w:val=""/>
      <w:lvlJc w:val="left"/>
      <w:pPr>
        <w:ind w:left="720" w:hanging="180"/>
      </w:pPr>
      <w:rPr>
        <w:rFonts w:ascii="Symbol" w:hAnsi="Symbol" w:hint="default"/>
      </w:rPr>
    </w:lvl>
    <w:lvl w:ilvl="1" w:tplc="6CBA7E0E">
      <w:numFmt w:val="decimal"/>
      <w:lvlText w:val=""/>
      <w:lvlJc w:val="left"/>
    </w:lvl>
    <w:lvl w:ilvl="2" w:tplc="710E98EE">
      <w:numFmt w:val="decimal"/>
      <w:lvlText w:val=""/>
      <w:lvlJc w:val="left"/>
    </w:lvl>
    <w:lvl w:ilvl="3" w:tplc="669E20F0">
      <w:numFmt w:val="decimal"/>
      <w:lvlText w:val=""/>
      <w:lvlJc w:val="left"/>
    </w:lvl>
    <w:lvl w:ilvl="4" w:tplc="FD58BB7C">
      <w:numFmt w:val="decimal"/>
      <w:lvlText w:val=""/>
      <w:lvlJc w:val="left"/>
    </w:lvl>
    <w:lvl w:ilvl="5" w:tplc="F992F962">
      <w:numFmt w:val="decimal"/>
      <w:lvlText w:val=""/>
      <w:lvlJc w:val="left"/>
    </w:lvl>
    <w:lvl w:ilvl="6" w:tplc="CFB849B4">
      <w:numFmt w:val="decimal"/>
      <w:lvlText w:val=""/>
      <w:lvlJc w:val="left"/>
    </w:lvl>
    <w:lvl w:ilvl="7" w:tplc="D3A4C396">
      <w:numFmt w:val="decimal"/>
      <w:lvlText w:val=""/>
      <w:lvlJc w:val="left"/>
    </w:lvl>
    <w:lvl w:ilvl="8" w:tplc="C7386580">
      <w:numFmt w:val="decimal"/>
      <w:lvlText w:val=""/>
      <w:lvlJc w:val="left"/>
    </w:lvl>
  </w:abstractNum>
  <w:abstractNum w:abstractNumId="744" w15:restartNumberingAfterBreak="0">
    <w:nsid w:val="35BC2DC4"/>
    <w:multiLevelType w:val="hybridMultilevel"/>
    <w:tmpl w:val="08CCD414"/>
    <w:lvl w:ilvl="0" w:tplc="B0F403B4">
      <w:start w:val="1"/>
      <w:numFmt w:val="bullet"/>
      <w:lvlText w:val=""/>
      <w:lvlJc w:val="left"/>
      <w:pPr>
        <w:ind w:left="720" w:hanging="180"/>
      </w:pPr>
      <w:rPr>
        <w:rFonts w:ascii="Symbol" w:hAnsi="Symbol" w:hint="default"/>
      </w:rPr>
    </w:lvl>
    <w:lvl w:ilvl="1" w:tplc="5F2229F4">
      <w:numFmt w:val="decimal"/>
      <w:lvlText w:val=""/>
      <w:lvlJc w:val="left"/>
    </w:lvl>
    <w:lvl w:ilvl="2" w:tplc="EB9ECDCC">
      <w:numFmt w:val="decimal"/>
      <w:lvlText w:val=""/>
      <w:lvlJc w:val="left"/>
    </w:lvl>
    <w:lvl w:ilvl="3" w:tplc="96DE2DAA">
      <w:numFmt w:val="decimal"/>
      <w:lvlText w:val=""/>
      <w:lvlJc w:val="left"/>
    </w:lvl>
    <w:lvl w:ilvl="4" w:tplc="37A412DE">
      <w:numFmt w:val="decimal"/>
      <w:lvlText w:val=""/>
      <w:lvlJc w:val="left"/>
    </w:lvl>
    <w:lvl w:ilvl="5" w:tplc="1F240EBE">
      <w:numFmt w:val="decimal"/>
      <w:lvlText w:val=""/>
      <w:lvlJc w:val="left"/>
    </w:lvl>
    <w:lvl w:ilvl="6" w:tplc="F3C6BAE6">
      <w:numFmt w:val="decimal"/>
      <w:lvlText w:val=""/>
      <w:lvlJc w:val="left"/>
    </w:lvl>
    <w:lvl w:ilvl="7" w:tplc="BF42F4A8">
      <w:numFmt w:val="decimal"/>
      <w:lvlText w:val=""/>
      <w:lvlJc w:val="left"/>
    </w:lvl>
    <w:lvl w:ilvl="8" w:tplc="665C5B1C">
      <w:numFmt w:val="decimal"/>
      <w:lvlText w:val=""/>
      <w:lvlJc w:val="left"/>
    </w:lvl>
  </w:abstractNum>
  <w:abstractNum w:abstractNumId="745" w15:restartNumberingAfterBreak="0">
    <w:nsid w:val="35DA1FEC"/>
    <w:multiLevelType w:val="hybridMultilevel"/>
    <w:tmpl w:val="9E140F24"/>
    <w:lvl w:ilvl="0" w:tplc="3A7C141E">
      <w:start w:val="1"/>
      <w:numFmt w:val="bullet"/>
      <w:lvlText w:val=""/>
      <w:lvlJc w:val="left"/>
      <w:pPr>
        <w:ind w:left="720" w:hanging="180"/>
      </w:pPr>
      <w:rPr>
        <w:rFonts w:ascii="Symbol" w:hAnsi="Symbol" w:hint="default"/>
      </w:rPr>
    </w:lvl>
    <w:lvl w:ilvl="1" w:tplc="463CF9E8">
      <w:numFmt w:val="decimal"/>
      <w:lvlText w:val=""/>
      <w:lvlJc w:val="left"/>
    </w:lvl>
    <w:lvl w:ilvl="2" w:tplc="0478A948">
      <w:numFmt w:val="decimal"/>
      <w:lvlText w:val=""/>
      <w:lvlJc w:val="left"/>
    </w:lvl>
    <w:lvl w:ilvl="3" w:tplc="E10E7374">
      <w:numFmt w:val="decimal"/>
      <w:lvlText w:val=""/>
      <w:lvlJc w:val="left"/>
    </w:lvl>
    <w:lvl w:ilvl="4" w:tplc="8FCADCF6">
      <w:numFmt w:val="decimal"/>
      <w:lvlText w:val=""/>
      <w:lvlJc w:val="left"/>
    </w:lvl>
    <w:lvl w:ilvl="5" w:tplc="88FEEF26">
      <w:numFmt w:val="decimal"/>
      <w:lvlText w:val=""/>
      <w:lvlJc w:val="left"/>
    </w:lvl>
    <w:lvl w:ilvl="6" w:tplc="17C41A40">
      <w:numFmt w:val="decimal"/>
      <w:lvlText w:val=""/>
      <w:lvlJc w:val="left"/>
    </w:lvl>
    <w:lvl w:ilvl="7" w:tplc="5B44CB6A">
      <w:numFmt w:val="decimal"/>
      <w:lvlText w:val=""/>
      <w:lvlJc w:val="left"/>
    </w:lvl>
    <w:lvl w:ilvl="8" w:tplc="3DB23A8A">
      <w:numFmt w:val="decimal"/>
      <w:lvlText w:val=""/>
      <w:lvlJc w:val="left"/>
    </w:lvl>
  </w:abstractNum>
  <w:abstractNum w:abstractNumId="746" w15:restartNumberingAfterBreak="0">
    <w:nsid w:val="35EC4A10"/>
    <w:multiLevelType w:val="hybridMultilevel"/>
    <w:tmpl w:val="290073DE"/>
    <w:lvl w:ilvl="0" w:tplc="8FE24822">
      <w:start w:val="1"/>
      <w:numFmt w:val="bullet"/>
      <w:lvlText w:val=""/>
      <w:lvlJc w:val="left"/>
      <w:pPr>
        <w:ind w:left="720" w:hanging="180"/>
      </w:pPr>
      <w:rPr>
        <w:rFonts w:ascii="Symbol" w:hAnsi="Symbol" w:hint="default"/>
      </w:rPr>
    </w:lvl>
    <w:lvl w:ilvl="1" w:tplc="B782718C">
      <w:numFmt w:val="decimal"/>
      <w:lvlText w:val=""/>
      <w:lvlJc w:val="left"/>
    </w:lvl>
    <w:lvl w:ilvl="2" w:tplc="7CB0F8F8">
      <w:numFmt w:val="decimal"/>
      <w:lvlText w:val=""/>
      <w:lvlJc w:val="left"/>
    </w:lvl>
    <w:lvl w:ilvl="3" w:tplc="EC7AC81E">
      <w:numFmt w:val="decimal"/>
      <w:lvlText w:val=""/>
      <w:lvlJc w:val="left"/>
    </w:lvl>
    <w:lvl w:ilvl="4" w:tplc="C388DC2C">
      <w:numFmt w:val="decimal"/>
      <w:lvlText w:val=""/>
      <w:lvlJc w:val="left"/>
    </w:lvl>
    <w:lvl w:ilvl="5" w:tplc="14DEDD62">
      <w:numFmt w:val="decimal"/>
      <w:lvlText w:val=""/>
      <w:lvlJc w:val="left"/>
    </w:lvl>
    <w:lvl w:ilvl="6" w:tplc="AA16B410">
      <w:numFmt w:val="decimal"/>
      <w:lvlText w:val=""/>
      <w:lvlJc w:val="left"/>
    </w:lvl>
    <w:lvl w:ilvl="7" w:tplc="658E9722">
      <w:numFmt w:val="decimal"/>
      <w:lvlText w:val=""/>
      <w:lvlJc w:val="left"/>
    </w:lvl>
    <w:lvl w:ilvl="8" w:tplc="5E520CDA">
      <w:numFmt w:val="decimal"/>
      <w:lvlText w:val=""/>
      <w:lvlJc w:val="left"/>
    </w:lvl>
  </w:abstractNum>
  <w:abstractNum w:abstractNumId="747" w15:restartNumberingAfterBreak="0">
    <w:nsid w:val="35FF2AAC"/>
    <w:multiLevelType w:val="hybridMultilevel"/>
    <w:tmpl w:val="86E69A3C"/>
    <w:lvl w:ilvl="0" w:tplc="5B789B9E">
      <w:numFmt w:val="decimal"/>
      <w:lvlText w:val=""/>
      <w:lvlJc w:val="left"/>
    </w:lvl>
    <w:lvl w:ilvl="1" w:tplc="827A2624">
      <w:start w:val="1"/>
      <w:numFmt w:val="bullet"/>
      <w:lvlText w:val=""/>
      <w:lvlJc w:val="left"/>
      <w:pPr>
        <w:ind w:left="1440" w:hanging="180"/>
      </w:pPr>
      <w:rPr>
        <w:rFonts w:ascii="Symbol" w:hAnsi="Symbol" w:hint="default"/>
      </w:rPr>
    </w:lvl>
    <w:lvl w:ilvl="2" w:tplc="8FF66EF8">
      <w:numFmt w:val="decimal"/>
      <w:lvlText w:val=""/>
      <w:lvlJc w:val="left"/>
    </w:lvl>
    <w:lvl w:ilvl="3" w:tplc="801AE8C6">
      <w:numFmt w:val="decimal"/>
      <w:lvlText w:val=""/>
      <w:lvlJc w:val="left"/>
    </w:lvl>
    <w:lvl w:ilvl="4" w:tplc="9DFEC58C">
      <w:numFmt w:val="decimal"/>
      <w:lvlText w:val=""/>
      <w:lvlJc w:val="left"/>
    </w:lvl>
    <w:lvl w:ilvl="5" w:tplc="3F202928">
      <w:numFmt w:val="decimal"/>
      <w:lvlText w:val=""/>
      <w:lvlJc w:val="left"/>
    </w:lvl>
    <w:lvl w:ilvl="6" w:tplc="6874B460">
      <w:numFmt w:val="decimal"/>
      <w:lvlText w:val=""/>
      <w:lvlJc w:val="left"/>
    </w:lvl>
    <w:lvl w:ilvl="7" w:tplc="4BE03414">
      <w:numFmt w:val="decimal"/>
      <w:lvlText w:val=""/>
      <w:lvlJc w:val="left"/>
    </w:lvl>
    <w:lvl w:ilvl="8" w:tplc="36EC8368">
      <w:numFmt w:val="decimal"/>
      <w:lvlText w:val=""/>
      <w:lvlJc w:val="left"/>
    </w:lvl>
  </w:abstractNum>
  <w:abstractNum w:abstractNumId="748" w15:restartNumberingAfterBreak="0">
    <w:nsid w:val="36187476"/>
    <w:multiLevelType w:val="hybridMultilevel"/>
    <w:tmpl w:val="2A626D3E"/>
    <w:lvl w:ilvl="0" w:tplc="4ADE9034">
      <w:start w:val="1"/>
      <w:numFmt w:val="bullet"/>
      <w:lvlText w:val=""/>
      <w:lvlJc w:val="left"/>
      <w:pPr>
        <w:ind w:left="720" w:hanging="180"/>
      </w:pPr>
      <w:rPr>
        <w:rFonts w:ascii="Symbol" w:hAnsi="Symbol" w:hint="default"/>
      </w:rPr>
    </w:lvl>
    <w:lvl w:ilvl="1" w:tplc="BB00643C">
      <w:numFmt w:val="decimal"/>
      <w:lvlText w:val=""/>
      <w:lvlJc w:val="left"/>
    </w:lvl>
    <w:lvl w:ilvl="2" w:tplc="C448931A">
      <w:numFmt w:val="decimal"/>
      <w:lvlText w:val=""/>
      <w:lvlJc w:val="left"/>
    </w:lvl>
    <w:lvl w:ilvl="3" w:tplc="B35EC10E">
      <w:numFmt w:val="decimal"/>
      <w:lvlText w:val=""/>
      <w:lvlJc w:val="left"/>
    </w:lvl>
    <w:lvl w:ilvl="4" w:tplc="E104F5B0">
      <w:numFmt w:val="decimal"/>
      <w:lvlText w:val=""/>
      <w:lvlJc w:val="left"/>
    </w:lvl>
    <w:lvl w:ilvl="5" w:tplc="10EEBC3C">
      <w:numFmt w:val="decimal"/>
      <w:lvlText w:val=""/>
      <w:lvlJc w:val="left"/>
    </w:lvl>
    <w:lvl w:ilvl="6" w:tplc="C2C2337C">
      <w:numFmt w:val="decimal"/>
      <w:lvlText w:val=""/>
      <w:lvlJc w:val="left"/>
    </w:lvl>
    <w:lvl w:ilvl="7" w:tplc="827A13D0">
      <w:numFmt w:val="decimal"/>
      <w:lvlText w:val=""/>
      <w:lvlJc w:val="left"/>
    </w:lvl>
    <w:lvl w:ilvl="8" w:tplc="8F9E15AC">
      <w:numFmt w:val="decimal"/>
      <w:lvlText w:val=""/>
      <w:lvlJc w:val="left"/>
    </w:lvl>
  </w:abstractNum>
  <w:abstractNum w:abstractNumId="749" w15:restartNumberingAfterBreak="0">
    <w:nsid w:val="363968C5"/>
    <w:multiLevelType w:val="hybridMultilevel"/>
    <w:tmpl w:val="4DAC2624"/>
    <w:lvl w:ilvl="0" w:tplc="9886C4E6">
      <w:start w:val="1"/>
      <w:numFmt w:val="bullet"/>
      <w:lvlText w:val=""/>
      <w:lvlJc w:val="left"/>
      <w:pPr>
        <w:ind w:left="720" w:hanging="180"/>
      </w:pPr>
      <w:rPr>
        <w:rFonts w:ascii="Symbol" w:hAnsi="Symbol" w:hint="default"/>
      </w:rPr>
    </w:lvl>
    <w:lvl w:ilvl="1" w:tplc="359291D0">
      <w:numFmt w:val="decimal"/>
      <w:lvlText w:val=""/>
      <w:lvlJc w:val="left"/>
    </w:lvl>
    <w:lvl w:ilvl="2" w:tplc="40824358">
      <w:numFmt w:val="decimal"/>
      <w:lvlText w:val=""/>
      <w:lvlJc w:val="left"/>
    </w:lvl>
    <w:lvl w:ilvl="3" w:tplc="037AA152">
      <w:numFmt w:val="decimal"/>
      <w:lvlText w:val=""/>
      <w:lvlJc w:val="left"/>
    </w:lvl>
    <w:lvl w:ilvl="4" w:tplc="6A3CF61E">
      <w:numFmt w:val="decimal"/>
      <w:lvlText w:val=""/>
      <w:lvlJc w:val="left"/>
    </w:lvl>
    <w:lvl w:ilvl="5" w:tplc="9788A834">
      <w:numFmt w:val="decimal"/>
      <w:lvlText w:val=""/>
      <w:lvlJc w:val="left"/>
    </w:lvl>
    <w:lvl w:ilvl="6" w:tplc="555AC412">
      <w:numFmt w:val="decimal"/>
      <w:lvlText w:val=""/>
      <w:lvlJc w:val="left"/>
    </w:lvl>
    <w:lvl w:ilvl="7" w:tplc="57FE0F9C">
      <w:numFmt w:val="decimal"/>
      <w:lvlText w:val=""/>
      <w:lvlJc w:val="left"/>
    </w:lvl>
    <w:lvl w:ilvl="8" w:tplc="0E7CE640">
      <w:numFmt w:val="decimal"/>
      <w:lvlText w:val=""/>
      <w:lvlJc w:val="left"/>
    </w:lvl>
  </w:abstractNum>
  <w:abstractNum w:abstractNumId="750" w15:restartNumberingAfterBreak="0">
    <w:nsid w:val="364111CC"/>
    <w:multiLevelType w:val="hybridMultilevel"/>
    <w:tmpl w:val="CD7A59E0"/>
    <w:lvl w:ilvl="0" w:tplc="81982E56">
      <w:numFmt w:val="decimal"/>
      <w:lvlText w:val=""/>
      <w:lvlJc w:val="left"/>
    </w:lvl>
    <w:lvl w:ilvl="1" w:tplc="F8CC6C58">
      <w:start w:val="1"/>
      <w:numFmt w:val="bullet"/>
      <w:lvlText w:val=""/>
      <w:lvlJc w:val="left"/>
      <w:pPr>
        <w:ind w:left="1440" w:hanging="180"/>
      </w:pPr>
      <w:rPr>
        <w:rFonts w:ascii="Symbol" w:hAnsi="Symbol" w:hint="default"/>
      </w:rPr>
    </w:lvl>
    <w:lvl w:ilvl="2" w:tplc="C4EC0CF8">
      <w:numFmt w:val="decimal"/>
      <w:lvlText w:val=""/>
      <w:lvlJc w:val="left"/>
    </w:lvl>
    <w:lvl w:ilvl="3" w:tplc="C720B8D8">
      <w:numFmt w:val="decimal"/>
      <w:lvlText w:val=""/>
      <w:lvlJc w:val="left"/>
    </w:lvl>
    <w:lvl w:ilvl="4" w:tplc="BA4C73D4">
      <w:numFmt w:val="decimal"/>
      <w:lvlText w:val=""/>
      <w:lvlJc w:val="left"/>
    </w:lvl>
    <w:lvl w:ilvl="5" w:tplc="26DADA2C">
      <w:numFmt w:val="decimal"/>
      <w:lvlText w:val=""/>
      <w:lvlJc w:val="left"/>
    </w:lvl>
    <w:lvl w:ilvl="6" w:tplc="7FCAF314">
      <w:numFmt w:val="decimal"/>
      <w:lvlText w:val=""/>
      <w:lvlJc w:val="left"/>
    </w:lvl>
    <w:lvl w:ilvl="7" w:tplc="E33635A4">
      <w:numFmt w:val="decimal"/>
      <w:lvlText w:val=""/>
      <w:lvlJc w:val="left"/>
    </w:lvl>
    <w:lvl w:ilvl="8" w:tplc="5332FD70">
      <w:numFmt w:val="decimal"/>
      <w:lvlText w:val=""/>
      <w:lvlJc w:val="left"/>
    </w:lvl>
  </w:abstractNum>
  <w:abstractNum w:abstractNumId="751" w15:restartNumberingAfterBreak="0">
    <w:nsid w:val="364F26CB"/>
    <w:multiLevelType w:val="hybridMultilevel"/>
    <w:tmpl w:val="EB18A3CA"/>
    <w:lvl w:ilvl="0" w:tplc="E948F028">
      <w:start w:val="1"/>
      <w:numFmt w:val="bullet"/>
      <w:lvlText w:val=""/>
      <w:lvlJc w:val="left"/>
      <w:pPr>
        <w:ind w:left="720" w:hanging="180"/>
      </w:pPr>
      <w:rPr>
        <w:rFonts w:ascii="Symbol" w:hAnsi="Symbol" w:hint="default"/>
      </w:rPr>
    </w:lvl>
    <w:lvl w:ilvl="1" w:tplc="EE78F5FC">
      <w:numFmt w:val="decimal"/>
      <w:lvlText w:val=""/>
      <w:lvlJc w:val="left"/>
    </w:lvl>
    <w:lvl w:ilvl="2" w:tplc="76AABDBE">
      <w:numFmt w:val="decimal"/>
      <w:lvlText w:val=""/>
      <w:lvlJc w:val="left"/>
    </w:lvl>
    <w:lvl w:ilvl="3" w:tplc="D1D0AE90">
      <w:numFmt w:val="decimal"/>
      <w:lvlText w:val=""/>
      <w:lvlJc w:val="left"/>
    </w:lvl>
    <w:lvl w:ilvl="4" w:tplc="4B661146">
      <w:numFmt w:val="decimal"/>
      <w:lvlText w:val=""/>
      <w:lvlJc w:val="left"/>
    </w:lvl>
    <w:lvl w:ilvl="5" w:tplc="2E665B48">
      <w:numFmt w:val="decimal"/>
      <w:lvlText w:val=""/>
      <w:lvlJc w:val="left"/>
    </w:lvl>
    <w:lvl w:ilvl="6" w:tplc="5324E6E4">
      <w:numFmt w:val="decimal"/>
      <w:lvlText w:val=""/>
      <w:lvlJc w:val="left"/>
    </w:lvl>
    <w:lvl w:ilvl="7" w:tplc="6122B8D8">
      <w:numFmt w:val="decimal"/>
      <w:lvlText w:val=""/>
      <w:lvlJc w:val="left"/>
    </w:lvl>
    <w:lvl w:ilvl="8" w:tplc="E8ACA76A">
      <w:numFmt w:val="decimal"/>
      <w:lvlText w:val=""/>
      <w:lvlJc w:val="left"/>
    </w:lvl>
  </w:abstractNum>
  <w:abstractNum w:abstractNumId="752" w15:restartNumberingAfterBreak="0">
    <w:nsid w:val="36BD3DF3"/>
    <w:multiLevelType w:val="hybridMultilevel"/>
    <w:tmpl w:val="BBB24A86"/>
    <w:lvl w:ilvl="0" w:tplc="4C7CB8D8">
      <w:numFmt w:val="decimal"/>
      <w:lvlText w:val=""/>
      <w:lvlJc w:val="left"/>
    </w:lvl>
    <w:lvl w:ilvl="1" w:tplc="EDE88DC4">
      <w:start w:val="1"/>
      <w:numFmt w:val="bullet"/>
      <w:lvlText w:val=""/>
      <w:lvlJc w:val="left"/>
      <w:pPr>
        <w:ind w:left="1440" w:hanging="180"/>
      </w:pPr>
      <w:rPr>
        <w:rFonts w:ascii="Symbol" w:hAnsi="Symbol" w:hint="default"/>
      </w:rPr>
    </w:lvl>
    <w:lvl w:ilvl="2" w:tplc="0866B122">
      <w:numFmt w:val="decimal"/>
      <w:lvlText w:val=""/>
      <w:lvlJc w:val="left"/>
    </w:lvl>
    <w:lvl w:ilvl="3" w:tplc="E422A146">
      <w:numFmt w:val="decimal"/>
      <w:lvlText w:val=""/>
      <w:lvlJc w:val="left"/>
    </w:lvl>
    <w:lvl w:ilvl="4" w:tplc="830A76E8">
      <w:numFmt w:val="decimal"/>
      <w:lvlText w:val=""/>
      <w:lvlJc w:val="left"/>
    </w:lvl>
    <w:lvl w:ilvl="5" w:tplc="45E6FFF8">
      <w:numFmt w:val="decimal"/>
      <w:lvlText w:val=""/>
      <w:lvlJc w:val="left"/>
    </w:lvl>
    <w:lvl w:ilvl="6" w:tplc="9446E330">
      <w:numFmt w:val="decimal"/>
      <w:lvlText w:val=""/>
      <w:lvlJc w:val="left"/>
    </w:lvl>
    <w:lvl w:ilvl="7" w:tplc="280E103C">
      <w:numFmt w:val="decimal"/>
      <w:lvlText w:val=""/>
      <w:lvlJc w:val="left"/>
    </w:lvl>
    <w:lvl w:ilvl="8" w:tplc="1DEC3496">
      <w:numFmt w:val="decimal"/>
      <w:lvlText w:val=""/>
      <w:lvlJc w:val="left"/>
    </w:lvl>
  </w:abstractNum>
  <w:abstractNum w:abstractNumId="753" w15:restartNumberingAfterBreak="0">
    <w:nsid w:val="36ED6FD5"/>
    <w:multiLevelType w:val="hybridMultilevel"/>
    <w:tmpl w:val="191A7F12"/>
    <w:lvl w:ilvl="0" w:tplc="4E7A2B24">
      <w:start w:val="1"/>
      <w:numFmt w:val="bullet"/>
      <w:lvlText w:val=""/>
      <w:lvlJc w:val="left"/>
      <w:pPr>
        <w:ind w:left="720" w:hanging="180"/>
      </w:pPr>
      <w:rPr>
        <w:rFonts w:ascii="Symbol" w:hAnsi="Symbol" w:hint="default"/>
      </w:rPr>
    </w:lvl>
    <w:lvl w:ilvl="1" w:tplc="58A41856">
      <w:numFmt w:val="decimal"/>
      <w:lvlText w:val=""/>
      <w:lvlJc w:val="left"/>
    </w:lvl>
    <w:lvl w:ilvl="2" w:tplc="EEB2DC22">
      <w:numFmt w:val="decimal"/>
      <w:lvlText w:val=""/>
      <w:lvlJc w:val="left"/>
    </w:lvl>
    <w:lvl w:ilvl="3" w:tplc="97E82D92">
      <w:numFmt w:val="decimal"/>
      <w:lvlText w:val=""/>
      <w:lvlJc w:val="left"/>
    </w:lvl>
    <w:lvl w:ilvl="4" w:tplc="BEA42122">
      <w:numFmt w:val="decimal"/>
      <w:lvlText w:val=""/>
      <w:lvlJc w:val="left"/>
    </w:lvl>
    <w:lvl w:ilvl="5" w:tplc="8D0201B6">
      <w:numFmt w:val="decimal"/>
      <w:lvlText w:val=""/>
      <w:lvlJc w:val="left"/>
    </w:lvl>
    <w:lvl w:ilvl="6" w:tplc="1996099E">
      <w:numFmt w:val="decimal"/>
      <w:lvlText w:val=""/>
      <w:lvlJc w:val="left"/>
    </w:lvl>
    <w:lvl w:ilvl="7" w:tplc="73D8B948">
      <w:numFmt w:val="decimal"/>
      <w:lvlText w:val=""/>
      <w:lvlJc w:val="left"/>
    </w:lvl>
    <w:lvl w:ilvl="8" w:tplc="A3FC86A0">
      <w:numFmt w:val="decimal"/>
      <w:lvlText w:val=""/>
      <w:lvlJc w:val="left"/>
    </w:lvl>
  </w:abstractNum>
  <w:abstractNum w:abstractNumId="754" w15:restartNumberingAfterBreak="0">
    <w:nsid w:val="36EF3800"/>
    <w:multiLevelType w:val="hybridMultilevel"/>
    <w:tmpl w:val="356E3826"/>
    <w:lvl w:ilvl="0" w:tplc="90A0DBEE">
      <w:start w:val="1"/>
      <w:numFmt w:val="bullet"/>
      <w:lvlText w:val=""/>
      <w:lvlJc w:val="left"/>
      <w:pPr>
        <w:ind w:left="720" w:hanging="180"/>
      </w:pPr>
      <w:rPr>
        <w:rFonts w:ascii="Symbol" w:hAnsi="Symbol" w:hint="default"/>
      </w:rPr>
    </w:lvl>
    <w:lvl w:ilvl="1" w:tplc="C15C75E0">
      <w:numFmt w:val="decimal"/>
      <w:lvlText w:val=""/>
      <w:lvlJc w:val="left"/>
    </w:lvl>
    <w:lvl w:ilvl="2" w:tplc="7CCE6BE8">
      <w:numFmt w:val="decimal"/>
      <w:lvlText w:val=""/>
      <w:lvlJc w:val="left"/>
    </w:lvl>
    <w:lvl w:ilvl="3" w:tplc="063ED158">
      <w:numFmt w:val="decimal"/>
      <w:lvlText w:val=""/>
      <w:lvlJc w:val="left"/>
    </w:lvl>
    <w:lvl w:ilvl="4" w:tplc="B628B72C">
      <w:numFmt w:val="decimal"/>
      <w:lvlText w:val=""/>
      <w:lvlJc w:val="left"/>
    </w:lvl>
    <w:lvl w:ilvl="5" w:tplc="BD7EFD20">
      <w:numFmt w:val="decimal"/>
      <w:lvlText w:val=""/>
      <w:lvlJc w:val="left"/>
    </w:lvl>
    <w:lvl w:ilvl="6" w:tplc="6B646ED6">
      <w:numFmt w:val="decimal"/>
      <w:lvlText w:val=""/>
      <w:lvlJc w:val="left"/>
    </w:lvl>
    <w:lvl w:ilvl="7" w:tplc="6B7E23D4">
      <w:numFmt w:val="decimal"/>
      <w:lvlText w:val=""/>
      <w:lvlJc w:val="left"/>
    </w:lvl>
    <w:lvl w:ilvl="8" w:tplc="C436FAD2">
      <w:numFmt w:val="decimal"/>
      <w:lvlText w:val=""/>
      <w:lvlJc w:val="left"/>
    </w:lvl>
  </w:abstractNum>
  <w:abstractNum w:abstractNumId="755" w15:restartNumberingAfterBreak="0">
    <w:nsid w:val="36EF3D96"/>
    <w:multiLevelType w:val="hybridMultilevel"/>
    <w:tmpl w:val="C0065966"/>
    <w:lvl w:ilvl="0" w:tplc="3B5EDFC4">
      <w:start w:val="1"/>
      <w:numFmt w:val="bullet"/>
      <w:lvlText w:val=""/>
      <w:lvlJc w:val="left"/>
      <w:pPr>
        <w:ind w:left="720" w:hanging="180"/>
      </w:pPr>
      <w:rPr>
        <w:rFonts w:ascii="Symbol" w:hAnsi="Symbol" w:hint="default"/>
      </w:rPr>
    </w:lvl>
    <w:lvl w:ilvl="1" w:tplc="FB6E6D82">
      <w:numFmt w:val="decimal"/>
      <w:lvlText w:val=""/>
      <w:lvlJc w:val="left"/>
    </w:lvl>
    <w:lvl w:ilvl="2" w:tplc="B5B6AEBA">
      <w:numFmt w:val="decimal"/>
      <w:lvlText w:val=""/>
      <w:lvlJc w:val="left"/>
    </w:lvl>
    <w:lvl w:ilvl="3" w:tplc="ABDA53C8">
      <w:numFmt w:val="decimal"/>
      <w:lvlText w:val=""/>
      <w:lvlJc w:val="left"/>
    </w:lvl>
    <w:lvl w:ilvl="4" w:tplc="8FCAA3E8">
      <w:numFmt w:val="decimal"/>
      <w:lvlText w:val=""/>
      <w:lvlJc w:val="left"/>
    </w:lvl>
    <w:lvl w:ilvl="5" w:tplc="8ECE0D28">
      <w:numFmt w:val="decimal"/>
      <w:lvlText w:val=""/>
      <w:lvlJc w:val="left"/>
    </w:lvl>
    <w:lvl w:ilvl="6" w:tplc="FD126580">
      <w:numFmt w:val="decimal"/>
      <w:lvlText w:val=""/>
      <w:lvlJc w:val="left"/>
    </w:lvl>
    <w:lvl w:ilvl="7" w:tplc="4CD4D526">
      <w:numFmt w:val="decimal"/>
      <w:lvlText w:val=""/>
      <w:lvlJc w:val="left"/>
    </w:lvl>
    <w:lvl w:ilvl="8" w:tplc="C7FA6930">
      <w:numFmt w:val="decimal"/>
      <w:lvlText w:val=""/>
      <w:lvlJc w:val="left"/>
    </w:lvl>
  </w:abstractNum>
  <w:abstractNum w:abstractNumId="756" w15:restartNumberingAfterBreak="0">
    <w:nsid w:val="3708763B"/>
    <w:multiLevelType w:val="hybridMultilevel"/>
    <w:tmpl w:val="0E98256E"/>
    <w:lvl w:ilvl="0" w:tplc="4C7226CA">
      <w:start w:val="1"/>
      <w:numFmt w:val="bullet"/>
      <w:lvlText w:val=""/>
      <w:lvlJc w:val="left"/>
      <w:pPr>
        <w:ind w:left="720" w:hanging="180"/>
      </w:pPr>
      <w:rPr>
        <w:rFonts w:ascii="Symbol" w:hAnsi="Symbol" w:hint="default"/>
      </w:rPr>
    </w:lvl>
    <w:lvl w:ilvl="1" w:tplc="5A26F244">
      <w:numFmt w:val="decimal"/>
      <w:lvlText w:val=""/>
      <w:lvlJc w:val="left"/>
    </w:lvl>
    <w:lvl w:ilvl="2" w:tplc="C032EF00">
      <w:numFmt w:val="decimal"/>
      <w:lvlText w:val=""/>
      <w:lvlJc w:val="left"/>
    </w:lvl>
    <w:lvl w:ilvl="3" w:tplc="8E4A415E">
      <w:numFmt w:val="decimal"/>
      <w:lvlText w:val=""/>
      <w:lvlJc w:val="left"/>
    </w:lvl>
    <w:lvl w:ilvl="4" w:tplc="03E01920">
      <w:numFmt w:val="decimal"/>
      <w:lvlText w:val=""/>
      <w:lvlJc w:val="left"/>
    </w:lvl>
    <w:lvl w:ilvl="5" w:tplc="281AC428">
      <w:numFmt w:val="decimal"/>
      <w:lvlText w:val=""/>
      <w:lvlJc w:val="left"/>
    </w:lvl>
    <w:lvl w:ilvl="6" w:tplc="C706D690">
      <w:numFmt w:val="decimal"/>
      <w:lvlText w:val=""/>
      <w:lvlJc w:val="left"/>
    </w:lvl>
    <w:lvl w:ilvl="7" w:tplc="EDC8B1A2">
      <w:numFmt w:val="decimal"/>
      <w:lvlText w:val=""/>
      <w:lvlJc w:val="left"/>
    </w:lvl>
    <w:lvl w:ilvl="8" w:tplc="4BC40E2E">
      <w:numFmt w:val="decimal"/>
      <w:lvlText w:val=""/>
      <w:lvlJc w:val="left"/>
    </w:lvl>
  </w:abstractNum>
  <w:abstractNum w:abstractNumId="757" w15:restartNumberingAfterBreak="0">
    <w:nsid w:val="37310CC0"/>
    <w:multiLevelType w:val="hybridMultilevel"/>
    <w:tmpl w:val="BFB4D884"/>
    <w:lvl w:ilvl="0" w:tplc="00A64832">
      <w:numFmt w:val="decimal"/>
      <w:lvlText w:val=""/>
      <w:lvlJc w:val="left"/>
    </w:lvl>
    <w:lvl w:ilvl="1" w:tplc="3928238E">
      <w:start w:val="1"/>
      <w:numFmt w:val="bullet"/>
      <w:lvlText w:val=""/>
      <w:lvlJc w:val="left"/>
      <w:pPr>
        <w:ind w:left="1440" w:hanging="180"/>
      </w:pPr>
      <w:rPr>
        <w:rFonts w:ascii="Symbol" w:hAnsi="Symbol" w:hint="default"/>
      </w:rPr>
    </w:lvl>
    <w:lvl w:ilvl="2" w:tplc="7A3E33F8">
      <w:numFmt w:val="decimal"/>
      <w:lvlText w:val=""/>
      <w:lvlJc w:val="left"/>
    </w:lvl>
    <w:lvl w:ilvl="3" w:tplc="FB441CCC">
      <w:numFmt w:val="decimal"/>
      <w:lvlText w:val=""/>
      <w:lvlJc w:val="left"/>
    </w:lvl>
    <w:lvl w:ilvl="4" w:tplc="23B64BE2">
      <w:numFmt w:val="decimal"/>
      <w:lvlText w:val=""/>
      <w:lvlJc w:val="left"/>
    </w:lvl>
    <w:lvl w:ilvl="5" w:tplc="8D3CA3C2">
      <w:numFmt w:val="decimal"/>
      <w:lvlText w:val=""/>
      <w:lvlJc w:val="left"/>
    </w:lvl>
    <w:lvl w:ilvl="6" w:tplc="DA84B688">
      <w:numFmt w:val="decimal"/>
      <w:lvlText w:val=""/>
      <w:lvlJc w:val="left"/>
    </w:lvl>
    <w:lvl w:ilvl="7" w:tplc="1592F32A">
      <w:numFmt w:val="decimal"/>
      <w:lvlText w:val=""/>
      <w:lvlJc w:val="left"/>
    </w:lvl>
    <w:lvl w:ilvl="8" w:tplc="3756554C">
      <w:numFmt w:val="decimal"/>
      <w:lvlText w:val=""/>
      <w:lvlJc w:val="left"/>
    </w:lvl>
  </w:abstractNum>
  <w:abstractNum w:abstractNumId="758" w15:restartNumberingAfterBreak="0">
    <w:nsid w:val="37434DA8"/>
    <w:multiLevelType w:val="hybridMultilevel"/>
    <w:tmpl w:val="D3FCFBD2"/>
    <w:lvl w:ilvl="0" w:tplc="30DA6DAE">
      <w:start w:val="1"/>
      <w:numFmt w:val="bullet"/>
      <w:lvlText w:val=""/>
      <w:lvlJc w:val="left"/>
      <w:pPr>
        <w:ind w:left="720" w:hanging="180"/>
      </w:pPr>
      <w:rPr>
        <w:rFonts w:ascii="Symbol" w:hAnsi="Symbol" w:hint="default"/>
      </w:rPr>
    </w:lvl>
    <w:lvl w:ilvl="1" w:tplc="1F123B60">
      <w:numFmt w:val="decimal"/>
      <w:lvlText w:val=""/>
      <w:lvlJc w:val="left"/>
    </w:lvl>
    <w:lvl w:ilvl="2" w:tplc="20662B58">
      <w:numFmt w:val="decimal"/>
      <w:lvlText w:val=""/>
      <w:lvlJc w:val="left"/>
    </w:lvl>
    <w:lvl w:ilvl="3" w:tplc="3EC8EF34">
      <w:numFmt w:val="decimal"/>
      <w:lvlText w:val=""/>
      <w:lvlJc w:val="left"/>
    </w:lvl>
    <w:lvl w:ilvl="4" w:tplc="20605D4E">
      <w:numFmt w:val="decimal"/>
      <w:lvlText w:val=""/>
      <w:lvlJc w:val="left"/>
    </w:lvl>
    <w:lvl w:ilvl="5" w:tplc="04EE6C74">
      <w:numFmt w:val="decimal"/>
      <w:lvlText w:val=""/>
      <w:lvlJc w:val="left"/>
    </w:lvl>
    <w:lvl w:ilvl="6" w:tplc="04DA8920">
      <w:numFmt w:val="decimal"/>
      <w:lvlText w:val=""/>
      <w:lvlJc w:val="left"/>
    </w:lvl>
    <w:lvl w:ilvl="7" w:tplc="2812ADA2">
      <w:numFmt w:val="decimal"/>
      <w:lvlText w:val=""/>
      <w:lvlJc w:val="left"/>
    </w:lvl>
    <w:lvl w:ilvl="8" w:tplc="B066A75E">
      <w:numFmt w:val="decimal"/>
      <w:lvlText w:val=""/>
      <w:lvlJc w:val="left"/>
    </w:lvl>
  </w:abstractNum>
  <w:abstractNum w:abstractNumId="759" w15:restartNumberingAfterBreak="0">
    <w:nsid w:val="37487611"/>
    <w:multiLevelType w:val="hybridMultilevel"/>
    <w:tmpl w:val="6BBC71B2"/>
    <w:lvl w:ilvl="0" w:tplc="5DB2D4F2">
      <w:start w:val="1"/>
      <w:numFmt w:val="bullet"/>
      <w:lvlText w:val=""/>
      <w:lvlJc w:val="left"/>
      <w:pPr>
        <w:ind w:left="720" w:hanging="180"/>
      </w:pPr>
      <w:rPr>
        <w:rFonts w:ascii="Symbol" w:hAnsi="Symbol" w:hint="default"/>
      </w:rPr>
    </w:lvl>
    <w:lvl w:ilvl="1" w:tplc="E424FCA6">
      <w:numFmt w:val="decimal"/>
      <w:lvlText w:val=""/>
      <w:lvlJc w:val="left"/>
    </w:lvl>
    <w:lvl w:ilvl="2" w:tplc="F6606274">
      <w:numFmt w:val="decimal"/>
      <w:lvlText w:val=""/>
      <w:lvlJc w:val="left"/>
    </w:lvl>
    <w:lvl w:ilvl="3" w:tplc="67C444B2">
      <w:numFmt w:val="decimal"/>
      <w:lvlText w:val=""/>
      <w:lvlJc w:val="left"/>
    </w:lvl>
    <w:lvl w:ilvl="4" w:tplc="D2A215D2">
      <w:numFmt w:val="decimal"/>
      <w:lvlText w:val=""/>
      <w:lvlJc w:val="left"/>
    </w:lvl>
    <w:lvl w:ilvl="5" w:tplc="8BBAF152">
      <w:numFmt w:val="decimal"/>
      <w:lvlText w:val=""/>
      <w:lvlJc w:val="left"/>
    </w:lvl>
    <w:lvl w:ilvl="6" w:tplc="8CC260A4">
      <w:numFmt w:val="decimal"/>
      <w:lvlText w:val=""/>
      <w:lvlJc w:val="left"/>
    </w:lvl>
    <w:lvl w:ilvl="7" w:tplc="DB48F298">
      <w:numFmt w:val="decimal"/>
      <w:lvlText w:val=""/>
      <w:lvlJc w:val="left"/>
    </w:lvl>
    <w:lvl w:ilvl="8" w:tplc="79C2A06C">
      <w:numFmt w:val="decimal"/>
      <w:lvlText w:val=""/>
      <w:lvlJc w:val="left"/>
    </w:lvl>
  </w:abstractNum>
  <w:abstractNum w:abstractNumId="760" w15:restartNumberingAfterBreak="0">
    <w:nsid w:val="374D3784"/>
    <w:multiLevelType w:val="hybridMultilevel"/>
    <w:tmpl w:val="0526EF1C"/>
    <w:lvl w:ilvl="0" w:tplc="B7F4B318">
      <w:start w:val="1"/>
      <w:numFmt w:val="bullet"/>
      <w:lvlText w:val=""/>
      <w:lvlJc w:val="left"/>
      <w:pPr>
        <w:ind w:left="720" w:hanging="180"/>
      </w:pPr>
      <w:rPr>
        <w:rFonts w:ascii="Symbol" w:hAnsi="Symbol" w:hint="default"/>
      </w:rPr>
    </w:lvl>
    <w:lvl w:ilvl="1" w:tplc="0EDC8646">
      <w:numFmt w:val="decimal"/>
      <w:lvlText w:val=""/>
      <w:lvlJc w:val="left"/>
    </w:lvl>
    <w:lvl w:ilvl="2" w:tplc="C1DA84FC">
      <w:numFmt w:val="decimal"/>
      <w:lvlText w:val=""/>
      <w:lvlJc w:val="left"/>
    </w:lvl>
    <w:lvl w:ilvl="3" w:tplc="46C44C18">
      <w:numFmt w:val="decimal"/>
      <w:lvlText w:val=""/>
      <w:lvlJc w:val="left"/>
    </w:lvl>
    <w:lvl w:ilvl="4" w:tplc="9E5A93F0">
      <w:numFmt w:val="decimal"/>
      <w:lvlText w:val=""/>
      <w:lvlJc w:val="left"/>
    </w:lvl>
    <w:lvl w:ilvl="5" w:tplc="E508193A">
      <w:numFmt w:val="decimal"/>
      <w:lvlText w:val=""/>
      <w:lvlJc w:val="left"/>
    </w:lvl>
    <w:lvl w:ilvl="6" w:tplc="0C9E836C">
      <w:numFmt w:val="decimal"/>
      <w:lvlText w:val=""/>
      <w:lvlJc w:val="left"/>
    </w:lvl>
    <w:lvl w:ilvl="7" w:tplc="51DA88AA">
      <w:numFmt w:val="decimal"/>
      <w:lvlText w:val=""/>
      <w:lvlJc w:val="left"/>
    </w:lvl>
    <w:lvl w:ilvl="8" w:tplc="427261CE">
      <w:numFmt w:val="decimal"/>
      <w:lvlText w:val=""/>
      <w:lvlJc w:val="left"/>
    </w:lvl>
  </w:abstractNum>
  <w:abstractNum w:abstractNumId="761" w15:restartNumberingAfterBreak="0">
    <w:nsid w:val="374D534A"/>
    <w:multiLevelType w:val="hybridMultilevel"/>
    <w:tmpl w:val="FD706A3A"/>
    <w:lvl w:ilvl="0" w:tplc="8F983F6A">
      <w:numFmt w:val="decimal"/>
      <w:lvlText w:val=""/>
      <w:lvlJc w:val="left"/>
    </w:lvl>
    <w:lvl w:ilvl="1" w:tplc="196CA7A4">
      <w:start w:val="1"/>
      <w:numFmt w:val="bullet"/>
      <w:lvlText w:val=""/>
      <w:lvlJc w:val="left"/>
      <w:pPr>
        <w:ind w:left="1440" w:hanging="180"/>
      </w:pPr>
      <w:rPr>
        <w:rFonts w:ascii="Symbol" w:hAnsi="Symbol" w:hint="default"/>
      </w:rPr>
    </w:lvl>
    <w:lvl w:ilvl="2" w:tplc="BD365B2A">
      <w:numFmt w:val="decimal"/>
      <w:lvlText w:val=""/>
      <w:lvlJc w:val="left"/>
    </w:lvl>
    <w:lvl w:ilvl="3" w:tplc="C7081E58">
      <w:numFmt w:val="decimal"/>
      <w:lvlText w:val=""/>
      <w:lvlJc w:val="left"/>
    </w:lvl>
    <w:lvl w:ilvl="4" w:tplc="955ED242">
      <w:numFmt w:val="decimal"/>
      <w:lvlText w:val=""/>
      <w:lvlJc w:val="left"/>
    </w:lvl>
    <w:lvl w:ilvl="5" w:tplc="B4D26142">
      <w:numFmt w:val="decimal"/>
      <w:lvlText w:val=""/>
      <w:lvlJc w:val="left"/>
    </w:lvl>
    <w:lvl w:ilvl="6" w:tplc="77D6E8BA">
      <w:numFmt w:val="decimal"/>
      <w:lvlText w:val=""/>
      <w:lvlJc w:val="left"/>
    </w:lvl>
    <w:lvl w:ilvl="7" w:tplc="E1D07002">
      <w:numFmt w:val="decimal"/>
      <w:lvlText w:val=""/>
      <w:lvlJc w:val="left"/>
    </w:lvl>
    <w:lvl w:ilvl="8" w:tplc="5CE6817C">
      <w:numFmt w:val="decimal"/>
      <w:lvlText w:val=""/>
      <w:lvlJc w:val="left"/>
    </w:lvl>
  </w:abstractNum>
  <w:abstractNum w:abstractNumId="762" w15:restartNumberingAfterBreak="0">
    <w:nsid w:val="375F02C4"/>
    <w:multiLevelType w:val="hybridMultilevel"/>
    <w:tmpl w:val="977261F2"/>
    <w:lvl w:ilvl="0" w:tplc="0D04CB6C">
      <w:start w:val="1"/>
      <w:numFmt w:val="bullet"/>
      <w:lvlText w:val=""/>
      <w:lvlJc w:val="left"/>
      <w:pPr>
        <w:ind w:left="720" w:hanging="180"/>
      </w:pPr>
      <w:rPr>
        <w:rFonts w:ascii="Symbol" w:hAnsi="Symbol" w:hint="default"/>
      </w:rPr>
    </w:lvl>
    <w:lvl w:ilvl="1" w:tplc="8C10CD1A">
      <w:numFmt w:val="decimal"/>
      <w:lvlText w:val=""/>
      <w:lvlJc w:val="left"/>
    </w:lvl>
    <w:lvl w:ilvl="2" w:tplc="0076FC8A">
      <w:numFmt w:val="decimal"/>
      <w:lvlText w:val=""/>
      <w:lvlJc w:val="left"/>
    </w:lvl>
    <w:lvl w:ilvl="3" w:tplc="DC589D18">
      <w:numFmt w:val="decimal"/>
      <w:lvlText w:val=""/>
      <w:lvlJc w:val="left"/>
    </w:lvl>
    <w:lvl w:ilvl="4" w:tplc="1D828BD4">
      <w:numFmt w:val="decimal"/>
      <w:lvlText w:val=""/>
      <w:lvlJc w:val="left"/>
    </w:lvl>
    <w:lvl w:ilvl="5" w:tplc="D26E427E">
      <w:numFmt w:val="decimal"/>
      <w:lvlText w:val=""/>
      <w:lvlJc w:val="left"/>
    </w:lvl>
    <w:lvl w:ilvl="6" w:tplc="2ED4E9C8">
      <w:numFmt w:val="decimal"/>
      <w:lvlText w:val=""/>
      <w:lvlJc w:val="left"/>
    </w:lvl>
    <w:lvl w:ilvl="7" w:tplc="4AA0459C">
      <w:numFmt w:val="decimal"/>
      <w:lvlText w:val=""/>
      <w:lvlJc w:val="left"/>
    </w:lvl>
    <w:lvl w:ilvl="8" w:tplc="EFC4BE62">
      <w:numFmt w:val="decimal"/>
      <w:lvlText w:val=""/>
      <w:lvlJc w:val="left"/>
    </w:lvl>
  </w:abstractNum>
  <w:abstractNum w:abstractNumId="763" w15:restartNumberingAfterBreak="0">
    <w:nsid w:val="37BE3445"/>
    <w:multiLevelType w:val="hybridMultilevel"/>
    <w:tmpl w:val="0D502F6A"/>
    <w:lvl w:ilvl="0" w:tplc="48EE3F12">
      <w:start w:val="1"/>
      <w:numFmt w:val="bullet"/>
      <w:lvlText w:val=""/>
      <w:lvlJc w:val="left"/>
      <w:pPr>
        <w:ind w:left="720" w:hanging="180"/>
      </w:pPr>
      <w:rPr>
        <w:rFonts w:ascii="Symbol" w:hAnsi="Symbol" w:hint="default"/>
      </w:rPr>
    </w:lvl>
    <w:lvl w:ilvl="1" w:tplc="1688BE74">
      <w:numFmt w:val="decimal"/>
      <w:lvlText w:val=""/>
      <w:lvlJc w:val="left"/>
    </w:lvl>
    <w:lvl w:ilvl="2" w:tplc="0206DA40">
      <w:numFmt w:val="decimal"/>
      <w:lvlText w:val=""/>
      <w:lvlJc w:val="left"/>
    </w:lvl>
    <w:lvl w:ilvl="3" w:tplc="416E846E">
      <w:numFmt w:val="decimal"/>
      <w:lvlText w:val=""/>
      <w:lvlJc w:val="left"/>
    </w:lvl>
    <w:lvl w:ilvl="4" w:tplc="185012F6">
      <w:numFmt w:val="decimal"/>
      <w:lvlText w:val=""/>
      <w:lvlJc w:val="left"/>
    </w:lvl>
    <w:lvl w:ilvl="5" w:tplc="A7FAD6FA">
      <w:numFmt w:val="decimal"/>
      <w:lvlText w:val=""/>
      <w:lvlJc w:val="left"/>
    </w:lvl>
    <w:lvl w:ilvl="6" w:tplc="D78A76B8">
      <w:numFmt w:val="decimal"/>
      <w:lvlText w:val=""/>
      <w:lvlJc w:val="left"/>
    </w:lvl>
    <w:lvl w:ilvl="7" w:tplc="09AEDC88">
      <w:numFmt w:val="decimal"/>
      <w:lvlText w:val=""/>
      <w:lvlJc w:val="left"/>
    </w:lvl>
    <w:lvl w:ilvl="8" w:tplc="E170056A">
      <w:numFmt w:val="decimal"/>
      <w:lvlText w:val=""/>
      <w:lvlJc w:val="left"/>
    </w:lvl>
  </w:abstractNum>
  <w:abstractNum w:abstractNumId="764" w15:restartNumberingAfterBreak="0">
    <w:nsid w:val="38223542"/>
    <w:multiLevelType w:val="hybridMultilevel"/>
    <w:tmpl w:val="E85A88DA"/>
    <w:lvl w:ilvl="0" w:tplc="9FF6378C">
      <w:start w:val="1"/>
      <w:numFmt w:val="bullet"/>
      <w:lvlText w:val=""/>
      <w:lvlJc w:val="left"/>
      <w:pPr>
        <w:ind w:left="720" w:hanging="180"/>
      </w:pPr>
      <w:rPr>
        <w:rFonts w:ascii="Symbol" w:hAnsi="Symbol" w:hint="default"/>
      </w:rPr>
    </w:lvl>
    <w:lvl w:ilvl="1" w:tplc="4F7A68BC">
      <w:numFmt w:val="decimal"/>
      <w:lvlText w:val=""/>
      <w:lvlJc w:val="left"/>
    </w:lvl>
    <w:lvl w:ilvl="2" w:tplc="89D089FA">
      <w:numFmt w:val="decimal"/>
      <w:lvlText w:val=""/>
      <w:lvlJc w:val="left"/>
    </w:lvl>
    <w:lvl w:ilvl="3" w:tplc="AF222ED0">
      <w:numFmt w:val="decimal"/>
      <w:lvlText w:val=""/>
      <w:lvlJc w:val="left"/>
    </w:lvl>
    <w:lvl w:ilvl="4" w:tplc="3A227FA8">
      <w:numFmt w:val="decimal"/>
      <w:lvlText w:val=""/>
      <w:lvlJc w:val="left"/>
    </w:lvl>
    <w:lvl w:ilvl="5" w:tplc="EB5A9E9C">
      <w:numFmt w:val="decimal"/>
      <w:lvlText w:val=""/>
      <w:lvlJc w:val="left"/>
    </w:lvl>
    <w:lvl w:ilvl="6" w:tplc="3276571E">
      <w:numFmt w:val="decimal"/>
      <w:lvlText w:val=""/>
      <w:lvlJc w:val="left"/>
    </w:lvl>
    <w:lvl w:ilvl="7" w:tplc="98E04EA0">
      <w:numFmt w:val="decimal"/>
      <w:lvlText w:val=""/>
      <w:lvlJc w:val="left"/>
    </w:lvl>
    <w:lvl w:ilvl="8" w:tplc="AC6E8022">
      <w:numFmt w:val="decimal"/>
      <w:lvlText w:val=""/>
      <w:lvlJc w:val="left"/>
    </w:lvl>
  </w:abstractNum>
  <w:abstractNum w:abstractNumId="765" w15:restartNumberingAfterBreak="0">
    <w:nsid w:val="3822425D"/>
    <w:multiLevelType w:val="hybridMultilevel"/>
    <w:tmpl w:val="4F9EB5F8"/>
    <w:lvl w:ilvl="0" w:tplc="865E3F82">
      <w:start w:val="1"/>
      <w:numFmt w:val="bullet"/>
      <w:lvlText w:val=""/>
      <w:lvlJc w:val="left"/>
      <w:pPr>
        <w:ind w:left="720" w:hanging="180"/>
      </w:pPr>
      <w:rPr>
        <w:rFonts w:ascii="Symbol" w:hAnsi="Symbol" w:hint="default"/>
      </w:rPr>
    </w:lvl>
    <w:lvl w:ilvl="1" w:tplc="B43290E4">
      <w:numFmt w:val="decimal"/>
      <w:lvlText w:val=""/>
      <w:lvlJc w:val="left"/>
    </w:lvl>
    <w:lvl w:ilvl="2" w:tplc="15C4514A">
      <w:numFmt w:val="decimal"/>
      <w:lvlText w:val=""/>
      <w:lvlJc w:val="left"/>
    </w:lvl>
    <w:lvl w:ilvl="3" w:tplc="0D2A4FC0">
      <w:numFmt w:val="decimal"/>
      <w:lvlText w:val=""/>
      <w:lvlJc w:val="left"/>
    </w:lvl>
    <w:lvl w:ilvl="4" w:tplc="E54656B6">
      <w:numFmt w:val="decimal"/>
      <w:lvlText w:val=""/>
      <w:lvlJc w:val="left"/>
    </w:lvl>
    <w:lvl w:ilvl="5" w:tplc="F496C7F4">
      <w:numFmt w:val="decimal"/>
      <w:lvlText w:val=""/>
      <w:lvlJc w:val="left"/>
    </w:lvl>
    <w:lvl w:ilvl="6" w:tplc="8D00B596">
      <w:numFmt w:val="decimal"/>
      <w:lvlText w:val=""/>
      <w:lvlJc w:val="left"/>
    </w:lvl>
    <w:lvl w:ilvl="7" w:tplc="BE3CB368">
      <w:numFmt w:val="decimal"/>
      <w:lvlText w:val=""/>
      <w:lvlJc w:val="left"/>
    </w:lvl>
    <w:lvl w:ilvl="8" w:tplc="4ECEA7EC">
      <w:numFmt w:val="decimal"/>
      <w:lvlText w:val=""/>
      <w:lvlJc w:val="left"/>
    </w:lvl>
  </w:abstractNum>
  <w:abstractNum w:abstractNumId="766" w15:restartNumberingAfterBreak="0">
    <w:nsid w:val="38427515"/>
    <w:multiLevelType w:val="hybridMultilevel"/>
    <w:tmpl w:val="12326212"/>
    <w:lvl w:ilvl="0" w:tplc="A4085352">
      <w:start w:val="1"/>
      <w:numFmt w:val="bullet"/>
      <w:lvlText w:val=""/>
      <w:lvlJc w:val="left"/>
      <w:pPr>
        <w:ind w:left="720" w:hanging="180"/>
      </w:pPr>
      <w:rPr>
        <w:rFonts w:ascii="Symbol" w:hAnsi="Symbol" w:hint="default"/>
      </w:rPr>
    </w:lvl>
    <w:lvl w:ilvl="1" w:tplc="EB54A0C2">
      <w:numFmt w:val="decimal"/>
      <w:lvlText w:val=""/>
      <w:lvlJc w:val="left"/>
    </w:lvl>
    <w:lvl w:ilvl="2" w:tplc="BF8CE708">
      <w:numFmt w:val="decimal"/>
      <w:lvlText w:val=""/>
      <w:lvlJc w:val="left"/>
    </w:lvl>
    <w:lvl w:ilvl="3" w:tplc="C4548340">
      <w:numFmt w:val="decimal"/>
      <w:lvlText w:val=""/>
      <w:lvlJc w:val="left"/>
    </w:lvl>
    <w:lvl w:ilvl="4" w:tplc="C74A1FBA">
      <w:numFmt w:val="decimal"/>
      <w:lvlText w:val=""/>
      <w:lvlJc w:val="left"/>
    </w:lvl>
    <w:lvl w:ilvl="5" w:tplc="9FFAD6BA">
      <w:numFmt w:val="decimal"/>
      <w:lvlText w:val=""/>
      <w:lvlJc w:val="left"/>
    </w:lvl>
    <w:lvl w:ilvl="6" w:tplc="34CA76F0">
      <w:numFmt w:val="decimal"/>
      <w:lvlText w:val=""/>
      <w:lvlJc w:val="left"/>
    </w:lvl>
    <w:lvl w:ilvl="7" w:tplc="60A07084">
      <w:numFmt w:val="decimal"/>
      <w:lvlText w:val=""/>
      <w:lvlJc w:val="left"/>
    </w:lvl>
    <w:lvl w:ilvl="8" w:tplc="FCAC0B28">
      <w:numFmt w:val="decimal"/>
      <w:lvlText w:val=""/>
      <w:lvlJc w:val="left"/>
    </w:lvl>
  </w:abstractNum>
  <w:abstractNum w:abstractNumId="767" w15:restartNumberingAfterBreak="0">
    <w:nsid w:val="3846232A"/>
    <w:multiLevelType w:val="hybridMultilevel"/>
    <w:tmpl w:val="99FCFC36"/>
    <w:lvl w:ilvl="0" w:tplc="3D52D050">
      <w:start w:val="1"/>
      <w:numFmt w:val="bullet"/>
      <w:lvlText w:val=""/>
      <w:lvlJc w:val="left"/>
      <w:pPr>
        <w:ind w:left="720" w:hanging="180"/>
      </w:pPr>
      <w:rPr>
        <w:rFonts w:ascii="Symbol" w:hAnsi="Symbol" w:hint="default"/>
      </w:rPr>
    </w:lvl>
    <w:lvl w:ilvl="1" w:tplc="1A6A9FEA">
      <w:numFmt w:val="decimal"/>
      <w:lvlText w:val=""/>
      <w:lvlJc w:val="left"/>
    </w:lvl>
    <w:lvl w:ilvl="2" w:tplc="4AC4CD26">
      <w:numFmt w:val="decimal"/>
      <w:lvlText w:val=""/>
      <w:lvlJc w:val="left"/>
    </w:lvl>
    <w:lvl w:ilvl="3" w:tplc="E4D07B64">
      <w:numFmt w:val="decimal"/>
      <w:lvlText w:val=""/>
      <w:lvlJc w:val="left"/>
    </w:lvl>
    <w:lvl w:ilvl="4" w:tplc="51C441D0">
      <w:numFmt w:val="decimal"/>
      <w:lvlText w:val=""/>
      <w:lvlJc w:val="left"/>
    </w:lvl>
    <w:lvl w:ilvl="5" w:tplc="3FAE7212">
      <w:numFmt w:val="decimal"/>
      <w:lvlText w:val=""/>
      <w:lvlJc w:val="left"/>
    </w:lvl>
    <w:lvl w:ilvl="6" w:tplc="90D2457E">
      <w:numFmt w:val="decimal"/>
      <w:lvlText w:val=""/>
      <w:lvlJc w:val="left"/>
    </w:lvl>
    <w:lvl w:ilvl="7" w:tplc="7AB29D64">
      <w:numFmt w:val="decimal"/>
      <w:lvlText w:val=""/>
      <w:lvlJc w:val="left"/>
    </w:lvl>
    <w:lvl w:ilvl="8" w:tplc="81424E5C">
      <w:numFmt w:val="decimal"/>
      <w:lvlText w:val=""/>
      <w:lvlJc w:val="left"/>
    </w:lvl>
  </w:abstractNum>
  <w:abstractNum w:abstractNumId="768" w15:restartNumberingAfterBreak="0">
    <w:nsid w:val="3866663B"/>
    <w:multiLevelType w:val="hybridMultilevel"/>
    <w:tmpl w:val="432E9764"/>
    <w:lvl w:ilvl="0" w:tplc="607274FE">
      <w:start w:val="1"/>
      <w:numFmt w:val="bullet"/>
      <w:lvlText w:val=""/>
      <w:lvlJc w:val="left"/>
      <w:pPr>
        <w:ind w:left="720" w:hanging="180"/>
      </w:pPr>
      <w:rPr>
        <w:rFonts w:ascii="Symbol" w:hAnsi="Symbol" w:hint="default"/>
      </w:rPr>
    </w:lvl>
    <w:lvl w:ilvl="1" w:tplc="D670188A">
      <w:numFmt w:val="decimal"/>
      <w:lvlText w:val=""/>
      <w:lvlJc w:val="left"/>
    </w:lvl>
    <w:lvl w:ilvl="2" w:tplc="AC16447A">
      <w:numFmt w:val="decimal"/>
      <w:lvlText w:val=""/>
      <w:lvlJc w:val="left"/>
    </w:lvl>
    <w:lvl w:ilvl="3" w:tplc="912A70B2">
      <w:numFmt w:val="decimal"/>
      <w:lvlText w:val=""/>
      <w:lvlJc w:val="left"/>
    </w:lvl>
    <w:lvl w:ilvl="4" w:tplc="DD96502A">
      <w:numFmt w:val="decimal"/>
      <w:lvlText w:val=""/>
      <w:lvlJc w:val="left"/>
    </w:lvl>
    <w:lvl w:ilvl="5" w:tplc="BC2EC844">
      <w:numFmt w:val="decimal"/>
      <w:lvlText w:val=""/>
      <w:lvlJc w:val="left"/>
    </w:lvl>
    <w:lvl w:ilvl="6" w:tplc="944EDDC4">
      <w:numFmt w:val="decimal"/>
      <w:lvlText w:val=""/>
      <w:lvlJc w:val="left"/>
    </w:lvl>
    <w:lvl w:ilvl="7" w:tplc="235E0E60">
      <w:numFmt w:val="decimal"/>
      <w:lvlText w:val=""/>
      <w:lvlJc w:val="left"/>
    </w:lvl>
    <w:lvl w:ilvl="8" w:tplc="DA42B17A">
      <w:numFmt w:val="decimal"/>
      <w:lvlText w:val=""/>
      <w:lvlJc w:val="left"/>
    </w:lvl>
  </w:abstractNum>
  <w:abstractNum w:abstractNumId="769" w15:restartNumberingAfterBreak="0">
    <w:nsid w:val="386C4986"/>
    <w:multiLevelType w:val="hybridMultilevel"/>
    <w:tmpl w:val="D248C770"/>
    <w:lvl w:ilvl="0" w:tplc="CF78E99C">
      <w:numFmt w:val="decimal"/>
      <w:lvlText w:val=""/>
      <w:lvlJc w:val="left"/>
    </w:lvl>
    <w:lvl w:ilvl="1" w:tplc="AE3A77AE">
      <w:start w:val="1"/>
      <w:numFmt w:val="bullet"/>
      <w:lvlText w:val=""/>
      <w:lvlJc w:val="left"/>
      <w:pPr>
        <w:ind w:left="1440" w:hanging="180"/>
      </w:pPr>
      <w:rPr>
        <w:rFonts w:ascii="Symbol" w:hAnsi="Symbol" w:hint="default"/>
      </w:rPr>
    </w:lvl>
    <w:lvl w:ilvl="2" w:tplc="C720BC46">
      <w:numFmt w:val="decimal"/>
      <w:lvlText w:val=""/>
      <w:lvlJc w:val="left"/>
    </w:lvl>
    <w:lvl w:ilvl="3" w:tplc="4D843810">
      <w:numFmt w:val="decimal"/>
      <w:lvlText w:val=""/>
      <w:lvlJc w:val="left"/>
    </w:lvl>
    <w:lvl w:ilvl="4" w:tplc="2506DA12">
      <w:numFmt w:val="decimal"/>
      <w:lvlText w:val=""/>
      <w:lvlJc w:val="left"/>
    </w:lvl>
    <w:lvl w:ilvl="5" w:tplc="8656F7D6">
      <w:numFmt w:val="decimal"/>
      <w:lvlText w:val=""/>
      <w:lvlJc w:val="left"/>
    </w:lvl>
    <w:lvl w:ilvl="6" w:tplc="79DEA418">
      <w:numFmt w:val="decimal"/>
      <w:lvlText w:val=""/>
      <w:lvlJc w:val="left"/>
    </w:lvl>
    <w:lvl w:ilvl="7" w:tplc="D7987D60">
      <w:numFmt w:val="decimal"/>
      <w:lvlText w:val=""/>
      <w:lvlJc w:val="left"/>
    </w:lvl>
    <w:lvl w:ilvl="8" w:tplc="4FA8323A">
      <w:numFmt w:val="decimal"/>
      <w:lvlText w:val=""/>
      <w:lvlJc w:val="left"/>
    </w:lvl>
  </w:abstractNum>
  <w:abstractNum w:abstractNumId="770" w15:restartNumberingAfterBreak="0">
    <w:nsid w:val="386E18C3"/>
    <w:multiLevelType w:val="hybridMultilevel"/>
    <w:tmpl w:val="31E0C192"/>
    <w:lvl w:ilvl="0" w:tplc="9F761B52">
      <w:start w:val="1"/>
      <w:numFmt w:val="bullet"/>
      <w:lvlText w:val=""/>
      <w:lvlJc w:val="left"/>
      <w:pPr>
        <w:ind w:left="720" w:hanging="180"/>
      </w:pPr>
      <w:rPr>
        <w:rFonts w:ascii="Symbol" w:hAnsi="Symbol" w:hint="default"/>
      </w:rPr>
    </w:lvl>
    <w:lvl w:ilvl="1" w:tplc="6D363BDE">
      <w:numFmt w:val="decimal"/>
      <w:lvlText w:val=""/>
      <w:lvlJc w:val="left"/>
    </w:lvl>
    <w:lvl w:ilvl="2" w:tplc="FBBC1E30">
      <w:numFmt w:val="decimal"/>
      <w:lvlText w:val=""/>
      <w:lvlJc w:val="left"/>
    </w:lvl>
    <w:lvl w:ilvl="3" w:tplc="A058FFF2">
      <w:numFmt w:val="decimal"/>
      <w:lvlText w:val=""/>
      <w:lvlJc w:val="left"/>
    </w:lvl>
    <w:lvl w:ilvl="4" w:tplc="93ACD9D8">
      <w:numFmt w:val="decimal"/>
      <w:lvlText w:val=""/>
      <w:lvlJc w:val="left"/>
    </w:lvl>
    <w:lvl w:ilvl="5" w:tplc="F292921E">
      <w:numFmt w:val="decimal"/>
      <w:lvlText w:val=""/>
      <w:lvlJc w:val="left"/>
    </w:lvl>
    <w:lvl w:ilvl="6" w:tplc="F2986676">
      <w:numFmt w:val="decimal"/>
      <w:lvlText w:val=""/>
      <w:lvlJc w:val="left"/>
    </w:lvl>
    <w:lvl w:ilvl="7" w:tplc="55228A28">
      <w:numFmt w:val="decimal"/>
      <w:lvlText w:val=""/>
      <w:lvlJc w:val="left"/>
    </w:lvl>
    <w:lvl w:ilvl="8" w:tplc="9ED6122E">
      <w:numFmt w:val="decimal"/>
      <w:lvlText w:val=""/>
      <w:lvlJc w:val="left"/>
    </w:lvl>
  </w:abstractNum>
  <w:abstractNum w:abstractNumId="771" w15:restartNumberingAfterBreak="0">
    <w:nsid w:val="387225A6"/>
    <w:multiLevelType w:val="hybridMultilevel"/>
    <w:tmpl w:val="33DE46E2"/>
    <w:lvl w:ilvl="0" w:tplc="D0643724">
      <w:start w:val="1"/>
      <w:numFmt w:val="bullet"/>
      <w:lvlText w:val=""/>
      <w:lvlJc w:val="left"/>
      <w:pPr>
        <w:ind w:left="720" w:hanging="180"/>
      </w:pPr>
      <w:rPr>
        <w:rFonts w:ascii="Symbol" w:hAnsi="Symbol" w:hint="default"/>
      </w:rPr>
    </w:lvl>
    <w:lvl w:ilvl="1" w:tplc="D77AF94C">
      <w:numFmt w:val="decimal"/>
      <w:lvlText w:val=""/>
      <w:lvlJc w:val="left"/>
    </w:lvl>
    <w:lvl w:ilvl="2" w:tplc="A53C8996">
      <w:numFmt w:val="decimal"/>
      <w:lvlText w:val=""/>
      <w:lvlJc w:val="left"/>
    </w:lvl>
    <w:lvl w:ilvl="3" w:tplc="A356C00C">
      <w:numFmt w:val="decimal"/>
      <w:lvlText w:val=""/>
      <w:lvlJc w:val="left"/>
    </w:lvl>
    <w:lvl w:ilvl="4" w:tplc="37401194">
      <w:numFmt w:val="decimal"/>
      <w:lvlText w:val=""/>
      <w:lvlJc w:val="left"/>
    </w:lvl>
    <w:lvl w:ilvl="5" w:tplc="D8B6538A">
      <w:numFmt w:val="decimal"/>
      <w:lvlText w:val=""/>
      <w:lvlJc w:val="left"/>
    </w:lvl>
    <w:lvl w:ilvl="6" w:tplc="4BB85802">
      <w:numFmt w:val="decimal"/>
      <w:lvlText w:val=""/>
      <w:lvlJc w:val="left"/>
    </w:lvl>
    <w:lvl w:ilvl="7" w:tplc="B0402002">
      <w:numFmt w:val="decimal"/>
      <w:lvlText w:val=""/>
      <w:lvlJc w:val="left"/>
    </w:lvl>
    <w:lvl w:ilvl="8" w:tplc="726CFBB4">
      <w:numFmt w:val="decimal"/>
      <w:lvlText w:val=""/>
      <w:lvlJc w:val="left"/>
    </w:lvl>
  </w:abstractNum>
  <w:abstractNum w:abstractNumId="772" w15:restartNumberingAfterBreak="0">
    <w:nsid w:val="388636D7"/>
    <w:multiLevelType w:val="hybridMultilevel"/>
    <w:tmpl w:val="055AAF9A"/>
    <w:lvl w:ilvl="0" w:tplc="497A2B28">
      <w:start w:val="1"/>
      <w:numFmt w:val="bullet"/>
      <w:lvlText w:val=""/>
      <w:lvlJc w:val="left"/>
      <w:pPr>
        <w:ind w:left="720" w:hanging="180"/>
      </w:pPr>
      <w:rPr>
        <w:rFonts w:ascii="Symbol" w:hAnsi="Symbol" w:hint="default"/>
      </w:rPr>
    </w:lvl>
    <w:lvl w:ilvl="1" w:tplc="EE164350">
      <w:numFmt w:val="decimal"/>
      <w:lvlText w:val=""/>
      <w:lvlJc w:val="left"/>
    </w:lvl>
    <w:lvl w:ilvl="2" w:tplc="E64230EC">
      <w:numFmt w:val="decimal"/>
      <w:lvlText w:val=""/>
      <w:lvlJc w:val="left"/>
    </w:lvl>
    <w:lvl w:ilvl="3" w:tplc="2A52023C">
      <w:numFmt w:val="decimal"/>
      <w:lvlText w:val=""/>
      <w:lvlJc w:val="left"/>
    </w:lvl>
    <w:lvl w:ilvl="4" w:tplc="0D8AD520">
      <w:numFmt w:val="decimal"/>
      <w:lvlText w:val=""/>
      <w:lvlJc w:val="left"/>
    </w:lvl>
    <w:lvl w:ilvl="5" w:tplc="C854E5E4">
      <w:numFmt w:val="decimal"/>
      <w:lvlText w:val=""/>
      <w:lvlJc w:val="left"/>
    </w:lvl>
    <w:lvl w:ilvl="6" w:tplc="1CA661F2">
      <w:numFmt w:val="decimal"/>
      <w:lvlText w:val=""/>
      <w:lvlJc w:val="left"/>
    </w:lvl>
    <w:lvl w:ilvl="7" w:tplc="20F22482">
      <w:numFmt w:val="decimal"/>
      <w:lvlText w:val=""/>
      <w:lvlJc w:val="left"/>
    </w:lvl>
    <w:lvl w:ilvl="8" w:tplc="109C860A">
      <w:numFmt w:val="decimal"/>
      <w:lvlText w:val=""/>
      <w:lvlJc w:val="left"/>
    </w:lvl>
  </w:abstractNum>
  <w:abstractNum w:abstractNumId="773" w15:restartNumberingAfterBreak="0">
    <w:nsid w:val="38A26690"/>
    <w:multiLevelType w:val="hybridMultilevel"/>
    <w:tmpl w:val="F12CD930"/>
    <w:lvl w:ilvl="0" w:tplc="B636D22E">
      <w:start w:val="1"/>
      <w:numFmt w:val="bullet"/>
      <w:lvlText w:val=""/>
      <w:lvlJc w:val="left"/>
      <w:pPr>
        <w:ind w:left="720" w:hanging="180"/>
      </w:pPr>
      <w:rPr>
        <w:rFonts w:ascii="Symbol" w:hAnsi="Symbol" w:hint="default"/>
      </w:rPr>
    </w:lvl>
    <w:lvl w:ilvl="1" w:tplc="AA66AA2A">
      <w:numFmt w:val="decimal"/>
      <w:lvlText w:val=""/>
      <w:lvlJc w:val="left"/>
    </w:lvl>
    <w:lvl w:ilvl="2" w:tplc="9E4AFCF4">
      <w:numFmt w:val="decimal"/>
      <w:lvlText w:val=""/>
      <w:lvlJc w:val="left"/>
    </w:lvl>
    <w:lvl w:ilvl="3" w:tplc="AFE690B6">
      <w:numFmt w:val="decimal"/>
      <w:lvlText w:val=""/>
      <w:lvlJc w:val="left"/>
    </w:lvl>
    <w:lvl w:ilvl="4" w:tplc="12B4F346">
      <w:numFmt w:val="decimal"/>
      <w:lvlText w:val=""/>
      <w:lvlJc w:val="left"/>
    </w:lvl>
    <w:lvl w:ilvl="5" w:tplc="47E0EB94">
      <w:numFmt w:val="decimal"/>
      <w:lvlText w:val=""/>
      <w:lvlJc w:val="left"/>
    </w:lvl>
    <w:lvl w:ilvl="6" w:tplc="3FE6A97A">
      <w:numFmt w:val="decimal"/>
      <w:lvlText w:val=""/>
      <w:lvlJc w:val="left"/>
    </w:lvl>
    <w:lvl w:ilvl="7" w:tplc="4B1017D8">
      <w:numFmt w:val="decimal"/>
      <w:lvlText w:val=""/>
      <w:lvlJc w:val="left"/>
    </w:lvl>
    <w:lvl w:ilvl="8" w:tplc="2DF6B32E">
      <w:numFmt w:val="decimal"/>
      <w:lvlText w:val=""/>
      <w:lvlJc w:val="left"/>
    </w:lvl>
  </w:abstractNum>
  <w:abstractNum w:abstractNumId="774" w15:restartNumberingAfterBreak="0">
    <w:nsid w:val="38B823D7"/>
    <w:multiLevelType w:val="hybridMultilevel"/>
    <w:tmpl w:val="68EE06DC"/>
    <w:lvl w:ilvl="0" w:tplc="9E188A34">
      <w:start w:val="1"/>
      <w:numFmt w:val="bullet"/>
      <w:lvlText w:val=""/>
      <w:lvlJc w:val="left"/>
      <w:pPr>
        <w:ind w:left="720" w:hanging="180"/>
      </w:pPr>
      <w:rPr>
        <w:rFonts w:ascii="Symbol" w:hAnsi="Symbol" w:hint="default"/>
      </w:rPr>
    </w:lvl>
    <w:lvl w:ilvl="1" w:tplc="889C6C04">
      <w:numFmt w:val="decimal"/>
      <w:lvlText w:val=""/>
      <w:lvlJc w:val="left"/>
    </w:lvl>
    <w:lvl w:ilvl="2" w:tplc="6C28C4CC">
      <w:numFmt w:val="decimal"/>
      <w:lvlText w:val=""/>
      <w:lvlJc w:val="left"/>
    </w:lvl>
    <w:lvl w:ilvl="3" w:tplc="7BBE8BE0">
      <w:numFmt w:val="decimal"/>
      <w:lvlText w:val=""/>
      <w:lvlJc w:val="left"/>
    </w:lvl>
    <w:lvl w:ilvl="4" w:tplc="97E0F718">
      <w:numFmt w:val="decimal"/>
      <w:lvlText w:val=""/>
      <w:lvlJc w:val="left"/>
    </w:lvl>
    <w:lvl w:ilvl="5" w:tplc="1E947114">
      <w:numFmt w:val="decimal"/>
      <w:lvlText w:val=""/>
      <w:lvlJc w:val="left"/>
    </w:lvl>
    <w:lvl w:ilvl="6" w:tplc="9CDACB30">
      <w:numFmt w:val="decimal"/>
      <w:lvlText w:val=""/>
      <w:lvlJc w:val="left"/>
    </w:lvl>
    <w:lvl w:ilvl="7" w:tplc="8F7857E6">
      <w:numFmt w:val="decimal"/>
      <w:lvlText w:val=""/>
      <w:lvlJc w:val="left"/>
    </w:lvl>
    <w:lvl w:ilvl="8" w:tplc="94D2D074">
      <w:numFmt w:val="decimal"/>
      <w:lvlText w:val=""/>
      <w:lvlJc w:val="left"/>
    </w:lvl>
  </w:abstractNum>
  <w:abstractNum w:abstractNumId="775" w15:restartNumberingAfterBreak="0">
    <w:nsid w:val="39570C40"/>
    <w:multiLevelType w:val="hybridMultilevel"/>
    <w:tmpl w:val="37A2B46E"/>
    <w:lvl w:ilvl="0" w:tplc="7A72EE0E">
      <w:start w:val="1"/>
      <w:numFmt w:val="bullet"/>
      <w:lvlText w:val=""/>
      <w:lvlJc w:val="left"/>
      <w:pPr>
        <w:ind w:left="720" w:hanging="180"/>
      </w:pPr>
      <w:rPr>
        <w:rFonts w:ascii="Symbol" w:hAnsi="Symbol" w:hint="default"/>
      </w:rPr>
    </w:lvl>
    <w:lvl w:ilvl="1" w:tplc="241A5B0A">
      <w:numFmt w:val="decimal"/>
      <w:lvlText w:val=""/>
      <w:lvlJc w:val="left"/>
    </w:lvl>
    <w:lvl w:ilvl="2" w:tplc="12CEB166">
      <w:numFmt w:val="decimal"/>
      <w:lvlText w:val=""/>
      <w:lvlJc w:val="left"/>
    </w:lvl>
    <w:lvl w:ilvl="3" w:tplc="15244B12">
      <w:numFmt w:val="decimal"/>
      <w:lvlText w:val=""/>
      <w:lvlJc w:val="left"/>
    </w:lvl>
    <w:lvl w:ilvl="4" w:tplc="46AEEA84">
      <w:numFmt w:val="decimal"/>
      <w:lvlText w:val=""/>
      <w:lvlJc w:val="left"/>
    </w:lvl>
    <w:lvl w:ilvl="5" w:tplc="5C9E7E16">
      <w:numFmt w:val="decimal"/>
      <w:lvlText w:val=""/>
      <w:lvlJc w:val="left"/>
    </w:lvl>
    <w:lvl w:ilvl="6" w:tplc="8918E3A4">
      <w:numFmt w:val="decimal"/>
      <w:lvlText w:val=""/>
      <w:lvlJc w:val="left"/>
    </w:lvl>
    <w:lvl w:ilvl="7" w:tplc="99C21FEC">
      <w:numFmt w:val="decimal"/>
      <w:lvlText w:val=""/>
      <w:lvlJc w:val="left"/>
    </w:lvl>
    <w:lvl w:ilvl="8" w:tplc="0C4AE324">
      <w:numFmt w:val="decimal"/>
      <w:lvlText w:val=""/>
      <w:lvlJc w:val="left"/>
    </w:lvl>
  </w:abstractNum>
  <w:abstractNum w:abstractNumId="776" w15:restartNumberingAfterBreak="0">
    <w:nsid w:val="395A6B83"/>
    <w:multiLevelType w:val="hybridMultilevel"/>
    <w:tmpl w:val="B0146524"/>
    <w:lvl w:ilvl="0" w:tplc="8C88DC40">
      <w:start w:val="1"/>
      <w:numFmt w:val="bullet"/>
      <w:lvlText w:val=""/>
      <w:lvlJc w:val="left"/>
      <w:pPr>
        <w:ind w:left="720" w:hanging="180"/>
      </w:pPr>
      <w:rPr>
        <w:rFonts w:ascii="Symbol" w:hAnsi="Symbol" w:hint="default"/>
      </w:rPr>
    </w:lvl>
    <w:lvl w:ilvl="1" w:tplc="218A359C">
      <w:numFmt w:val="decimal"/>
      <w:lvlText w:val=""/>
      <w:lvlJc w:val="left"/>
    </w:lvl>
    <w:lvl w:ilvl="2" w:tplc="0EB80F14">
      <w:numFmt w:val="decimal"/>
      <w:lvlText w:val=""/>
      <w:lvlJc w:val="left"/>
    </w:lvl>
    <w:lvl w:ilvl="3" w:tplc="BA0269E4">
      <w:numFmt w:val="decimal"/>
      <w:lvlText w:val=""/>
      <w:lvlJc w:val="left"/>
    </w:lvl>
    <w:lvl w:ilvl="4" w:tplc="C186BEDE">
      <w:numFmt w:val="decimal"/>
      <w:lvlText w:val=""/>
      <w:lvlJc w:val="left"/>
    </w:lvl>
    <w:lvl w:ilvl="5" w:tplc="C4C0AF72">
      <w:numFmt w:val="decimal"/>
      <w:lvlText w:val=""/>
      <w:lvlJc w:val="left"/>
    </w:lvl>
    <w:lvl w:ilvl="6" w:tplc="55C027A8">
      <w:numFmt w:val="decimal"/>
      <w:lvlText w:val=""/>
      <w:lvlJc w:val="left"/>
    </w:lvl>
    <w:lvl w:ilvl="7" w:tplc="ADEE18DE">
      <w:numFmt w:val="decimal"/>
      <w:lvlText w:val=""/>
      <w:lvlJc w:val="left"/>
    </w:lvl>
    <w:lvl w:ilvl="8" w:tplc="82C2C752">
      <w:numFmt w:val="decimal"/>
      <w:lvlText w:val=""/>
      <w:lvlJc w:val="left"/>
    </w:lvl>
  </w:abstractNum>
  <w:abstractNum w:abstractNumId="777" w15:restartNumberingAfterBreak="0">
    <w:nsid w:val="395E7CB3"/>
    <w:multiLevelType w:val="hybridMultilevel"/>
    <w:tmpl w:val="5D32C1AE"/>
    <w:lvl w:ilvl="0" w:tplc="DE8659B2">
      <w:start w:val="1"/>
      <w:numFmt w:val="bullet"/>
      <w:lvlText w:val=""/>
      <w:lvlJc w:val="left"/>
      <w:pPr>
        <w:ind w:left="720" w:hanging="180"/>
      </w:pPr>
      <w:rPr>
        <w:rFonts w:ascii="Symbol" w:hAnsi="Symbol" w:hint="default"/>
      </w:rPr>
    </w:lvl>
    <w:lvl w:ilvl="1" w:tplc="838ADC76">
      <w:numFmt w:val="decimal"/>
      <w:lvlText w:val=""/>
      <w:lvlJc w:val="left"/>
    </w:lvl>
    <w:lvl w:ilvl="2" w:tplc="30A45288">
      <w:numFmt w:val="decimal"/>
      <w:lvlText w:val=""/>
      <w:lvlJc w:val="left"/>
    </w:lvl>
    <w:lvl w:ilvl="3" w:tplc="890C0750">
      <w:numFmt w:val="decimal"/>
      <w:lvlText w:val=""/>
      <w:lvlJc w:val="left"/>
    </w:lvl>
    <w:lvl w:ilvl="4" w:tplc="C12AFD24">
      <w:numFmt w:val="decimal"/>
      <w:lvlText w:val=""/>
      <w:lvlJc w:val="left"/>
    </w:lvl>
    <w:lvl w:ilvl="5" w:tplc="FCE2F64C">
      <w:numFmt w:val="decimal"/>
      <w:lvlText w:val=""/>
      <w:lvlJc w:val="left"/>
    </w:lvl>
    <w:lvl w:ilvl="6" w:tplc="78222070">
      <w:numFmt w:val="decimal"/>
      <w:lvlText w:val=""/>
      <w:lvlJc w:val="left"/>
    </w:lvl>
    <w:lvl w:ilvl="7" w:tplc="BD4C9646">
      <w:numFmt w:val="decimal"/>
      <w:lvlText w:val=""/>
      <w:lvlJc w:val="left"/>
    </w:lvl>
    <w:lvl w:ilvl="8" w:tplc="72745AF6">
      <w:numFmt w:val="decimal"/>
      <w:lvlText w:val=""/>
      <w:lvlJc w:val="left"/>
    </w:lvl>
  </w:abstractNum>
  <w:abstractNum w:abstractNumId="778" w15:restartNumberingAfterBreak="0">
    <w:nsid w:val="39787831"/>
    <w:multiLevelType w:val="hybridMultilevel"/>
    <w:tmpl w:val="7AF6AF10"/>
    <w:lvl w:ilvl="0" w:tplc="951E1DF2">
      <w:numFmt w:val="decimal"/>
      <w:lvlText w:val=""/>
      <w:lvlJc w:val="left"/>
    </w:lvl>
    <w:lvl w:ilvl="1" w:tplc="34C616C8">
      <w:start w:val="1"/>
      <w:numFmt w:val="bullet"/>
      <w:lvlText w:val=""/>
      <w:lvlJc w:val="left"/>
      <w:pPr>
        <w:ind w:left="1440" w:hanging="180"/>
      </w:pPr>
      <w:rPr>
        <w:rFonts w:ascii="Symbol" w:hAnsi="Symbol" w:hint="default"/>
      </w:rPr>
    </w:lvl>
    <w:lvl w:ilvl="2" w:tplc="6AACE4CC">
      <w:numFmt w:val="decimal"/>
      <w:lvlText w:val=""/>
      <w:lvlJc w:val="left"/>
    </w:lvl>
    <w:lvl w:ilvl="3" w:tplc="0994DF02">
      <w:numFmt w:val="decimal"/>
      <w:lvlText w:val=""/>
      <w:lvlJc w:val="left"/>
    </w:lvl>
    <w:lvl w:ilvl="4" w:tplc="FD9CE140">
      <w:numFmt w:val="decimal"/>
      <w:lvlText w:val=""/>
      <w:lvlJc w:val="left"/>
    </w:lvl>
    <w:lvl w:ilvl="5" w:tplc="03FAF484">
      <w:numFmt w:val="decimal"/>
      <w:lvlText w:val=""/>
      <w:lvlJc w:val="left"/>
    </w:lvl>
    <w:lvl w:ilvl="6" w:tplc="2660AF7E">
      <w:numFmt w:val="decimal"/>
      <w:lvlText w:val=""/>
      <w:lvlJc w:val="left"/>
    </w:lvl>
    <w:lvl w:ilvl="7" w:tplc="1F068A5A">
      <w:numFmt w:val="decimal"/>
      <w:lvlText w:val=""/>
      <w:lvlJc w:val="left"/>
    </w:lvl>
    <w:lvl w:ilvl="8" w:tplc="2CC2559A">
      <w:numFmt w:val="decimal"/>
      <w:lvlText w:val=""/>
      <w:lvlJc w:val="left"/>
    </w:lvl>
  </w:abstractNum>
  <w:abstractNum w:abstractNumId="779" w15:restartNumberingAfterBreak="0">
    <w:nsid w:val="39842A0A"/>
    <w:multiLevelType w:val="hybridMultilevel"/>
    <w:tmpl w:val="E5523D2E"/>
    <w:lvl w:ilvl="0" w:tplc="578E3338">
      <w:start w:val="1"/>
      <w:numFmt w:val="bullet"/>
      <w:lvlText w:val=""/>
      <w:lvlJc w:val="left"/>
      <w:pPr>
        <w:ind w:left="720" w:hanging="180"/>
      </w:pPr>
      <w:rPr>
        <w:rFonts w:ascii="Symbol" w:hAnsi="Symbol" w:hint="default"/>
      </w:rPr>
    </w:lvl>
    <w:lvl w:ilvl="1" w:tplc="421CB0BE">
      <w:numFmt w:val="decimal"/>
      <w:lvlText w:val=""/>
      <w:lvlJc w:val="left"/>
    </w:lvl>
    <w:lvl w:ilvl="2" w:tplc="FC0A8E80">
      <w:numFmt w:val="decimal"/>
      <w:lvlText w:val=""/>
      <w:lvlJc w:val="left"/>
    </w:lvl>
    <w:lvl w:ilvl="3" w:tplc="50CC31EC">
      <w:numFmt w:val="decimal"/>
      <w:lvlText w:val=""/>
      <w:lvlJc w:val="left"/>
    </w:lvl>
    <w:lvl w:ilvl="4" w:tplc="95A45996">
      <w:numFmt w:val="decimal"/>
      <w:lvlText w:val=""/>
      <w:lvlJc w:val="left"/>
    </w:lvl>
    <w:lvl w:ilvl="5" w:tplc="47FE7264">
      <w:numFmt w:val="decimal"/>
      <w:lvlText w:val=""/>
      <w:lvlJc w:val="left"/>
    </w:lvl>
    <w:lvl w:ilvl="6" w:tplc="D1D68B44">
      <w:numFmt w:val="decimal"/>
      <w:lvlText w:val=""/>
      <w:lvlJc w:val="left"/>
    </w:lvl>
    <w:lvl w:ilvl="7" w:tplc="33A6D8F8">
      <w:numFmt w:val="decimal"/>
      <w:lvlText w:val=""/>
      <w:lvlJc w:val="left"/>
    </w:lvl>
    <w:lvl w:ilvl="8" w:tplc="47DC319C">
      <w:numFmt w:val="decimal"/>
      <w:lvlText w:val=""/>
      <w:lvlJc w:val="left"/>
    </w:lvl>
  </w:abstractNum>
  <w:abstractNum w:abstractNumId="780" w15:restartNumberingAfterBreak="0">
    <w:nsid w:val="39861259"/>
    <w:multiLevelType w:val="hybridMultilevel"/>
    <w:tmpl w:val="3530D19A"/>
    <w:lvl w:ilvl="0" w:tplc="8C506492">
      <w:numFmt w:val="decimal"/>
      <w:lvlText w:val=""/>
      <w:lvlJc w:val="left"/>
    </w:lvl>
    <w:lvl w:ilvl="1" w:tplc="BBF8AC4E">
      <w:start w:val="1"/>
      <w:numFmt w:val="bullet"/>
      <w:lvlText w:val=""/>
      <w:lvlJc w:val="left"/>
      <w:pPr>
        <w:ind w:left="1440" w:hanging="180"/>
      </w:pPr>
      <w:rPr>
        <w:rFonts w:ascii="Symbol" w:hAnsi="Symbol" w:hint="default"/>
      </w:rPr>
    </w:lvl>
    <w:lvl w:ilvl="2" w:tplc="AED242EE">
      <w:numFmt w:val="decimal"/>
      <w:lvlText w:val=""/>
      <w:lvlJc w:val="left"/>
    </w:lvl>
    <w:lvl w:ilvl="3" w:tplc="18500E06">
      <w:numFmt w:val="decimal"/>
      <w:lvlText w:val=""/>
      <w:lvlJc w:val="left"/>
    </w:lvl>
    <w:lvl w:ilvl="4" w:tplc="66F43776">
      <w:numFmt w:val="decimal"/>
      <w:lvlText w:val=""/>
      <w:lvlJc w:val="left"/>
    </w:lvl>
    <w:lvl w:ilvl="5" w:tplc="0E820B88">
      <w:numFmt w:val="decimal"/>
      <w:lvlText w:val=""/>
      <w:lvlJc w:val="left"/>
    </w:lvl>
    <w:lvl w:ilvl="6" w:tplc="DF56A54E">
      <w:numFmt w:val="decimal"/>
      <w:lvlText w:val=""/>
      <w:lvlJc w:val="left"/>
    </w:lvl>
    <w:lvl w:ilvl="7" w:tplc="31D893DA">
      <w:numFmt w:val="decimal"/>
      <w:lvlText w:val=""/>
      <w:lvlJc w:val="left"/>
    </w:lvl>
    <w:lvl w:ilvl="8" w:tplc="A940A954">
      <w:numFmt w:val="decimal"/>
      <w:lvlText w:val=""/>
      <w:lvlJc w:val="left"/>
    </w:lvl>
  </w:abstractNum>
  <w:abstractNum w:abstractNumId="781" w15:restartNumberingAfterBreak="0">
    <w:nsid w:val="399011D6"/>
    <w:multiLevelType w:val="hybridMultilevel"/>
    <w:tmpl w:val="0930DC88"/>
    <w:lvl w:ilvl="0" w:tplc="04326F82">
      <w:start w:val="1"/>
      <w:numFmt w:val="bullet"/>
      <w:lvlText w:val=""/>
      <w:lvlJc w:val="left"/>
      <w:pPr>
        <w:ind w:left="720" w:hanging="180"/>
      </w:pPr>
      <w:rPr>
        <w:rFonts w:ascii="Symbol" w:hAnsi="Symbol" w:hint="default"/>
      </w:rPr>
    </w:lvl>
    <w:lvl w:ilvl="1" w:tplc="542EE8DA">
      <w:numFmt w:val="decimal"/>
      <w:lvlText w:val=""/>
      <w:lvlJc w:val="left"/>
    </w:lvl>
    <w:lvl w:ilvl="2" w:tplc="B09E2E7E">
      <w:numFmt w:val="decimal"/>
      <w:lvlText w:val=""/>
      <w:lvlJc w:val="left"/>
    </w:lvl>
    <w:lvl w:ilvl="3" w:tplc="FC002E18">
      <w:numFmt w:val="decimal"/>
      <w:lvlText w:val=""/>
      <w:lvlJc w:val="left"/>
    </w:lvl>
    <w:lvl w:ilvl="4" w:tplc="D3FE6BDC">
      <w:numFmt w:val="decimal"/>
      <w:lvlText w:val=""/>
      <w:lvlJc w:val="left"/>
    </w:lvl>
    <w:lvl w:ilvl="5" w:tplc="6F4AE608">
      <w:numFmt w:val="decimal"/>
      <w:lvlText w:val=""/>
      <w:lvlJc w:val="left"/>
    </w:lvl>
    <w:lvl w:ilvl="6" w:tplc="414440AA">
      <w:numFmt w:val="decimal"/>
      <w:lvlText w:val=""/>
      <w:lvlJc w:val="left"/>
    </w:lvl>
    <w:lvl w:ilvl="7" w:tplc="359021C4">
      <w:numFmt w:val="decimal"/>
      <w:lvlText w:val=""/>
      <w:lvlJc w:val="left"/>
    </w:lvl>
    <w:lvl w:ilvl="8" w:tplc="9E2EBC1E">
      <w:numFmt w:val="decimal"/>
      <w:lvlText w:val=""/>
      <w:lvlJc w:val="left"/>
    </w:lvl>
  </w:abstractNum>
  <w:abstractNum w:abstractNumId="782" w15:restartNumberingAfterBreak="0">
    <w:nsid w:val="399968FE"/>
    <w:multiLevelType w:val="hybridMultilevel"/>
    <w:tmpl w:val="6666AEFC"/>
    <w:lvl w:ilvl="0" w:tplc="8FA64DF4">
      <w:start w:val="1"/>
      <w:numFmt w:val="bullet"/>
      <w:lvlText w:val=""/>
      <w:lvlJc w:val="left"/>
      <w:pPr>
        <w:ind w:left="720" w:hanging="180"/>
      </w:pPr>
      <w:rPr>
        <w:rFonts w:ascii="Symbol" w:hAnsi="Symbol" w:hint="default"/>
      </w:rPr>
    </w:lvl>
    <w:lvl w:ilvl="1" w:tplc="F2C87EEC">
      <w:numFmt w:val="decimal"/>
      <w:lvlText w:val=""/>
      <w:lvlJc w:val="left"/>
    </w:lvl>
    <w:lvl w:ilvl="2" w:tplc="944EF3DA">
      <w:numFmt w:val="decimal"/>
      <w:lvlText w:val=""/>
      <w:lvlJc w:val="left"/>
    </w:lvl>
    <w:lvl w:ilvl="3" w:tplc="A3FC92A4">
      <w:numFmt w:val="decimal"/>
      <w:lvlText w:val=""/>
      <w:lvlJc w:val="left"/>
    </w:lvl>
    <w:lvl w:ilvl="4" w:tplc="2FCE585C">
      <w:numFmt w:val="decimal"/>
      <w:lvlText w:val=""/>
      <w:lvlJc w:val="left"/>
    </w:lvl>
    <w:lvl w:ilvl="5" w:tplc="1AF2402C">
      <w:numFmt w:val="decimal"/>
      <w:lvlText w:val=""/>
      <w:lvlJc w:val="left"/>
    </w:lvl>
    <w:lvl w:ilvl="6" w:tplc="4266B3CC">
      <w:numFmt w:val="decimal"/>
      <w:lvlText w:val=""/>
      <w:lvlJc w:val="left"/>
    </w:lvl>
    <w:lvl w:ilvl="7" w:tplc="3AECC224">
      <w:numFmt w:val="decimal"/>
      <w:lvlText w:val=""/>
      <w:lvlJc w:val="left"/>
    </w:lvl>
    <w:lvl w:ilvl="8" w:tplc="52D420CA">
      <w:numFmt w:val="decimal"/>
      <w:lvlText w:val=""/>
      <w:lvlJc w:val="left"/>
    </w:lvl>
  </w:abstractNum>
  <w:abstractNum w:abstractNumId="783" w15:restartNumberingAfterBreak="0">
    <w:nsid w:val="39CF6ADF"/>
    <w:multiLevelType w:val="hybridMultilevel"/>
    <w:tmpl w:val="54407396"/>
    <w:lvl w:ilvl="0" w:tplc="A0E85D46">
      <w:numFmt w:val="decimal"/>
      <w:lvlText w:val=""/>
      <w:lvlJc w:val="left"/>
    </w:lvl>
    <w:lvl w:ilvl="1" w:tplc="D646B46E">
      <w:start w:val="1"/>
      <w:numFmt w:val="bullet"/>
      <w:lvlText w:val=""/>
      <w:lvlJc w:val="left"/>
      <w:pPr>
        <w:ind w:left="1440" w:hanging="180"/>
      </w:pPr>
      <w:rPr>
        <w:rFonts w:ascii="Symbol" w:hAnsi="Symbol" w:hint="default"/>
      </w:rPr>
    </w:lvl>
    <w:lvl w:ilvl="2" w:tplc="8730DBAA">
      <w:numFmt w:val="decimal"/>
      <w:lvlText w:val=""/>
      <w:lvlJc w:val="left"/>
    </w:lvl>
    <w:lvl w:ilvl="3" w:tplc="A5542C12">
      <w:numFmt w:val="decimal"/>
      <w:lvlText w:val=""/>
      <w:lvlJc w:val="left"/>
    </w:lvl>
    <w:lvl w:ilvl="4" w:tplc="F5CEA43C">
      <w:numFmt w:val="decimal"/>
      <w:lvlText w:val=""/>
      <w:lvlJc w:val="left"/>
    </w:lvl>
    <w:lvl w:ilvl="5" w:tplc="035C3CA2">
      <w:numFmt w:val="decimal"/>
      <w:lvlText w:val=""/>
      <w:lvlJc w:val="left"/>
    </w:lvl>
    <w:lvl w:ilvl="6" w:tplc="A568F6A2">
      <w:numFmt w:val="decimal"/>
      <w:lvlText w:val=""/>
      <w:lvlJc w:val="left"/>
    </w:lvl>
    <w:lvl w:ilvl="7" w:tplc="5F48D600">
      <w:numFmt w:val="decimal"/>
      <w:lvlText w:val=""/>
      <w:lvlJc w:val="left"/>
    </w:lvl>
    <w:lvl w:ilvl="8" w:tplc="64C07AFE">
      <w:numFmt w:val="decimal"/>
      <w:lvlText w:val=""/>
      <w:lvlJc w:val="left"/>
    </w:lvl>
  </w:abstractNum>
  <w:abstractNum w:abstractNumId="784" w15:restartNumberingAfterBreak="0">
    <w:nsid w:val="39DA0E55"/>
    <w:multiLevelType w:val="hybridMultilevel"/>
    <w:tmpl w:val="2C8C802A"/>
    <w:lvl w:ilvl="0" w:tplc="3DB23E0C">
      <w:start w:val="1"/>
      <w:numFmt w:val="bullet"/>
      <w:lvlText w:val=""/>
      <w:lvlJc w:val="left"/>
      <w:pPr>
        <w:ind w:left="720" w:hanging="180"/>
      </w:pPr>
      <w:rPr>
        <w:rFonts w:ascii="Symbol" w:hAnsi="Symbol" w:hint="default"/>
      </w:rPr>
    </w:lvl>
    <w:lvl w:ilvl="1" w:tplc="AE6CFB74">
      <w:numFmt w:val="decimal"/>
      <w:lvlText w:val=""/>
      <w:lvlJc w:val="left"/>
    </w:lvl>
    <w:lvl w:ilvl="2" w:tplc="3794A516">
      <w:numFmt w:val="decimal"/>
      <w:lvlText w:val=""/>
      <w:lvlJc w:val="left"/>
    </w:lvl>
    <w:lvl w:ilvl="3" w:tplc="D8782366">
      <w:numFmt w:val="decimal"/>
      <w:lvlText w:val=""/>
      <w:lvlJc w:val="left"/>
    </w:lvl>
    <w:lvl w:ilvl="4" w:tplc="5B5AE5F4">
      <w:numFmt w:val="decimal"/>
      <w:lvlText w:val=""/>
      <w:lvlJc w:val="left"/>
    </w:lvl>
    <w:lvl w:ilvl="5" w:tplc="4B0804AC">
      <w:numFmt w:val="decimal"/>
      <w:lvlText w:val=""/>
      <w:lvlJc w:val="left"/>
    </w:lvl>
    <w:lvl w:ilvl="6" w:tplc="7F5A35B4">
      <w:numFmt w:val="decimal"/>
      <w:lvlText w:val=""/>
      <w:lvlJc w:val="left"/>
    </w:lvl>
    <w:lvl w:ilvl="7" w:tplc="B94E8E38">
      <w:numFmt w:val="decimal"/>
      <w:lvlText w:val=""/>
      <w:lvlJc w:val="left"/>
    </w:lvl>
    <w:lvl w:ilvl="8" w:tplc="6A5230E4">
      <w:numFmt w:val="decimal"/>
      <w:lvlText w:val=""/>
      <w:lvlJc w:val="left"/>
    </w:lvl>
  </w:abstractNum>
  <w:abstractNum w:abstractNumId="785" w15:restartNumberingAfterBreak="0">
    <w:nsid w:val="39E65C59"/>
    <w:multiLevelType w:val="hybridMultilevel"/>
    <w:tmpl w:val="24BC8544"/>
    <w:lvl w:ilvl="0" w:tplc="2B1AC9E4">
      <w:start w:val="1"/>
      <w:numFmt w:val="bullet"/>
      <w:lvlText w:val=""/>
      <w:lvlJc w:val="left"/>
      <w:pPr>
        <w:ind w:left="720" w:hanging="180"/>
      </w:pPr>
      <w:rPr>
        <w:rFonts w:ascii="Symbol" w:hAnsi="Symbol" w:hint="default"/>
      </w:rPr>
    </w:lvl>
    <w:lvl w:ilvl="1" w:tplc="D19E109A">
      <w:numFmt w:val="decimal"/>
      <w:lvlText w:val=""/>
      <w:lvlJc w:val="left"/>
    </w:lvl>
    <w:lvl w:ilvl="2" w:tplc="2794C9B0">
      <w:numFmt w:val="decimal"/>
      <w:lvlText w:val=""/>
      <w:lvlJc w:val="left"/>
    </w:lvl>
    <w:lvl w:ilvl="3" w:tplc="20943122">
      <w:numFmt w:val="decimal"/>
      <w:lvlText w:val=""/>
      <w:lvlJc w:val="left"/>
    </w:lvl>
    <w:lvl w:ilvl="4" w:tplc="576AE16A">
      <w:numFmt w:val="decimal"/>
      <w:lvlText w:val=""/>
      <w:lvlJc w:val="left"/>
    </w:lvl>
    <w:lvl w:ilvl="5" w:tplc="1DFA80AA">
      <w:numFmt w:val="decimal"/>
      <w:lvlText w:val=""/>
      <w:lvlJc w:val="left"/>
    </w:lvl>
    <w:lvl w:ilvl="6" w:tplc="89087B76">
      <w:numFmt w:val="decimal"/>
      <w:lvlText w:val=""/>
      <w:lvlJc w:val="left"/>
    </w:lvl>
    <w:lvl w:ilvl="7" w:tplc="DF86A5AA">
      <w:numFmt w:val="decimal"/>
      <w:lvlText w:val=""/>
      <w:lvlJc w:val="left"/>
    </w:lvl>
    <w:lvl w:ilvl="8" w:tplc="E6AC164E">
      <w:numFmt w:val="decimal"/>
      <w:lvlText w:val=""/>
      <w:lvlJc w:val="left"/>
    </w:lvl>
  </w:abstractNum>
  <w:abstractNum w:abstractNumId="786" w15:restartNumberingAfterBreak="0">
    <w:nsid w:val="39EF49E5"/>
    <w:multiLevelType w:val="hybridMultilevel"/>
    <w:tmpl w:val="30FCB50A"/>
    <w:lvl w:ilvl="0" w:tplc="AF920876">
      <w:numFmt w:val="decimal"/>
      <w:lvlText w:val=""/>
      <w:lvlJc w:val="left"/>
    </w:lvl>
    <w:lvl w:ilvl="1" w:tplc="E026CD60">
      <w:start w:val="1"/>
      <w:numFmt w:val="bullet"/>
      <w:lvlText w:val=""/>
      <w:lvlJc w:val="left"/>
      <w:pPr>
        <w:ind w:left="1440" w:hanging="180"/>
      </w:pPr>
      <w:rPr>
        <w:rFonts w:ascii="Symbol" w:hAnsi="Symbol" w:hint="default"/>
      </w:rPr>
    </w:lvl>
    <w:lvl w:ilvl="2" w:tplc="7EACEA02">
      <w:numFmt w:val="decimal"/>
      <w:lvlText w:val=""/>
      <w:lvlJc w:val="left"/>
    </w:lvl>
    <w:lvl w:ilvl="3" w:tplc="077C8A06">
      <w:numFmt w:val="decimal"/>
      <w:lvlText w:val=""/>
      <w:lvlJc w:val="left"/>
    </w:lvl>
    <w:lvl w:ilvl="4" w:tplc="A9B65AFA">
      <w:numFmt w:val="decimal"/>
      <w:lvlText w:val=""/>
      <w:lvlJc w:val="left"/>
    </w:lvl>
    <w:lvl w:ilvl="5" w:tplc="C5806266">
      <w:numFmt w:val="decimal"/>
      <w:lvlText w:val=""/>
      <w:lvlJc w:val="left"/>
    </w:lvl>
    <w:lvl w:ilvl="6" w:tplc="76E47BCC">
      <w:numFmt w:val="decimal"/>
      <w:lvlText w:val=""/>
      <w:lvlJc w:val="left"/>
    </w:lvl>
    <w:lvl w:ilvl="7" w:tplc="BA7819A4">
      <w:numFmt w:val="decimal"/>
      <w:lvlText w:val=""/>
      <w:lvlJc w:val="left"/>
    </w:lvl>
    <w:lvl w:ilvl="8" w:tplc="02082DFC">
      <w:numFmt w:val="decimal"/>
      <w:lvlText w:val=""/>
      <w:lvlJc w:val="left"/>
    </w:lvl>
  </w:abstractNum>
  <w:abstractNum w:abstractNumId="787" w15:restartNumberingAfterBreak="0">
    <w:nsid w:val="39F82AFA"/>
    <w:multiLevelType w:val="hybridMultilevel"/>
    <w:tmpl w:val="CF34AB7C"/>
    <w:lvl w:ilvl="0" w:tplc="3A80C002">
      <w:start w:val="1"/>
      <w:numFmt w:val="bullet"/>
      <w:lvlText w:val=""/>
      <w:lvlJc w:val="left"/>
      <w:pPr>
        <w:ind w:left="720" w:hanging="180"/>
      </w:pPr>
      <w:rPr>
        <w:rFonts w:ascii="Symbol" w:hAnsi="Symbol" w:hint="default"/>
      </w:rPr>
    </w:lvl>
    <w:lvl w:ilvl="1" w:tplc="8D98A7C6">
      <w:numFmt w:val="decimal"/>
      <w:lvlText w:val=""/>
      <w:lvlJc w:val="left"/>
    </w:lvl>
    <w:lvl w:ilvl="2" w:tplc="D2E05592">
      <w:numFmt w:val="decimal"/>
      <w:lvlText w:val=""/>
      <w:lvlJc w:val="left"/>
    </w:lvl>
    <w:lvl w:ilvl="3" w:tplc="494C45FC">
      <w:numFmt w:val="decimal"/>
      <w:lvlText w:val=""/>
      <w:lvlJc w:val="left"/>
    </w:lvl>
    <w:lvl w:ilvl="4" w:tplc="67DAA768">
      <w:numFmt w:val="decimal"/>
      <w:lvlText w:val=""/>
      <w:lvlJc w:val="left"/>
    </w:lvl>
    <w:lvl w:ilvl="5" w:tplc="DBB0AE2E">
      <w:numFmt w:val="decimal"/>
      <w:lvlText w:val=""/>
      <w:lvlJc w:val="left"/>
    </w:lvl>
    <w:lvl w:ilvl="6" w:tplc="CE401040">
      <w:numFmt w:val="decimal"/>
      <w:lvlText w:val=""/>
      <w:lvlJc w:val="left"/>
    </w:lvl>
    <w:lvl w:ilvl="7" w:tplc="DD3268E2">
      <w:numFmt w:val="decimal"/>
      <w:lvlText w:val=""/>
      <w:lvlJc w:val="left"/>
    </w:lvl>
    <w:lvl w:ilvl="8" w:tplc="44664ADC">
      <w:numFmt w:val="decimal"/>
      <w:lvlText w:val=""/>
      <w:lvlJc w:val="left"/>
    </w:lvl>
  </w:abstractNum>
  <w:abstractNum w:abstractNumId="788" w15:restartNumberingAfterBreak="0">
    <w:nsid w:val="3A4233D7"/>
    <w:multiLevelType w:val="hybridMultilevel"/>
    <w:tmpl w:val="156C21CE"/>
    <w:lvl w:ilvl="0" w:tplc="3826853C">
      <w:start w:val="1"/>
      <w:numFmt w:val="bullet"/>
      <w:lvlText w:val=""/>
      <w:lvlJc w:val="left"/>
      <w:pPr>
        <w:ind w:left="720" w:hanging="180"/>
      </w:pPr>
      <w:rPr>
        <w:rFonts w:ascii="Symbol" w:hAnsi="Symbol" w:hint="default"/>
      </w:rPr>
    </w:lvl>
    <w:lvl w:ilvl="1" w:tplc="B1C8F816">
      <w:numFmt w:val="decimal"/>
      <w:lvlText w:val=""/>
      <w:lvlJc w:val="left"/>
    </w:lvl>
    <w:lvl w:ilvl="2" w:tplc="EE501A9C">
      <w:numFmt w:val="decimal"/>
      <w:lvlText w:val=""/>
      <w:lvlJc w:val="left"/>
    </w:lvl>
    <w:lvl w:ilvl="3" w:tplc="3EF4AA0C">
      <w:numFmt w:val="decimal"/>
      <w:lvlText w:val=""/>
      <w:lvlJc w:val="left"/>
    </w:lvl>
    <w:lvl w:ilvl="4" w:tplc="234EED62">
      <w:numFmt w:val="decimal"/>
      <w:lvlText w:val=""/>
      <w:lvlJc w:val="left"/>
    </w:lvl>
    <w:lvl w:ilvl="5" w:tplc="7056085E">
      <w:numFmt w:val="decimal"/>
      <w:lvlText w:val=""/>
      <w:lvlJc w:val="left"/>
    </w:lvl>
    <w:lvl w:ilvl="6" w:tplc="61C890EA">
      <w:numFmt w:val="decimal"/>
      <w:lvlText w:val=""/>
      <w:lvlJc w:val="left"/>
    </w:lvl>
    <w:lvl w:ilvl="7" w:tplc="D4929972">
      <w:numFmt w:val="decimal"/>
      <w:lvlText w:val=""/>
      <w:lvlJc w:val="left"/>
    </w:lvl>
    <w:lvl w:ilvl="8" w:tplc="3FC0F62E">
      <w:numFmt w:val="decimal"/>
      <w:lvlText w:val=""/>
      <w:lvlJc w:val="left"/>
    </w:lvl>
  </w:abstractNum>
  <w:abstractNum w:abstractNumId="789" w15:restartNumberingAfterBreak="0">
    <w:nsid w:val="3A49354A"/>
    <w:multiLevelType w:val="hybridMultilevel"/>
    <w:tmpl w:val="3F1CAA24"/>
    <w:lvl w:ilvl="0" w:tplc="CB340CD6">
      <w:start w:val="1"/>
      <w:numFmt w:val="bullet"/>
      <w:lvlText w:val=""/>
      <w:lvlJc w:val="left"/>
      <w:pPr>
        <w:ind w:left="720" w:hanging="180"/>
      </w:pPr>
      <w:rPr>
        <w:rFonts w:ascii="Symbol" w:hAnsi="Symbol" w:hint="default"/>
      </w:rPr>
    </w:lvl>
    <w:lvl w:ilvl="1" w:tplc="C5C23FFE">
      <w:numFmt w:val="decimal"/>
      <w:lvlText w:val=""/>
      <w:lvlJc w:val="left"/>
    </w:lvl>
    <w:lvl w:ilvl="2" w:tplc="3D929D08">
      <w:numFmt w:val="decimal"/>
      <w:lvlText w:val=""/>
      <w:lvlJc w:val="left"/>
    </w:lvl>
    <w:lvl w:ilvl="3" w:tplc="C47EC2A0">
      <w:numFmt w:val="decimal"/>
      <w:lvlText w:val=""/>
      <w:lvlJc w:val="left"/>
    </w:lvl>
    <w:lvl w:ilvl="4" w:tplc="EDF4595E">
      <w:numFmt w:val="decimal"/>
      <w:lvlText w:val=""/>
      <w:lvlJc w:val="left"/>
    </w:lvl>
    <w:lvl w:ilvl="5" w:tplc="EBEC408C">
      <w:numFmt w:val="decimal"/>
      <w:lvlText w:val=""/>
      <w:lvlJc w:val="left"/>
    </w:lvl>
    <w:lvl w:ilvl="6" w:tplc="88162314">
      <w:numFmt w:val="decimal"/>
      <w:lvlText w:val=""/>
      <w:lvlJc w:val="left"/>
    </w:lvl>
    <w:lvl w:ilvl="7" w:tplc="09E4B27E">
      <w:numFmt w:val="decimal"/>
      <w:lvlText w:val=""/>
      <w:lvlJc w:val="left"/>
    </w:lvl>
    <w:lvl w:ilvl="8" w:tplc="3850D1F8">
      <w:numFmt w:val="decimal"/>
      <w:lvlText w:val=""/>
      <w:lvlJc w:val="left"/>
    </w:lvl>
  </w:abstractNum>
  <w:abstractNum w:abstractNumId="790" w15:restartNumberingAfterBreak="0">
    <w:nsid w:val="3A631E62"/>
    <w:multiLevelType w:val="hybridMultilevel"/>
    <w:tmpl w:val="878ED98E"/>
    <w:lvl w:ilvl="0" w:tplc="A4D05E36">
      <w:start w:val="1"/>
      <w:numFmt w:val="bullet"/>
      <w:lvlText w:val=""/>
      <w:lvlJc w:val="left"/>
      <w:pPr>
        <w:ind w:left="720" w:hanging="180"/>
      </w:pPr>
      <w:rPr>
        <w:rFonts w:ascii="Symbol" w:hAnsi="Symbol" w:hint="default"/>
      </w:rPr>
    </w:lvl>
    <w:lvl w:ilvl="1" w:tplc="C7FCB3B8">
      <w:numFmt w:val="decimal"/>
      <w:lvlText w:val=""/>
      <w:lvlJc w:val="left"/>
    </w:lvl>
    <w:lvl w:ilvl="2" w:tplc="28746502">
      <w:numFmt w:val="decimal"/>
      <w:lvlText w:val=""/>
      <w:lvlJc w:val="left"/>
    </w:lvl>
    <w:lvl w:ilvl="3" w:tplc="64EC2508">
      <w:numFmt w:val="decimal"/>
      <w:lvlText w:val=""/>
      <w:lvlJc w:val="left"/>
    </w:lvl>
    <w:lvl w:ilvl="4" w:tplc="E9DA0F3E">
      <w:numFmt w:val="decimal"/>
      <w:lvlText w:val=""/>
      <w:lvlJc w:val="left"/>
    </w:lvl>
    <w:lvl w:ilvl="5" w:tplc="FA6CA982">
      <w:numFmt w:val="decimal"/>
      <w:lvlText w:val=""/>
      <w:lvlJc w:val="left"/>
    </w:lvl>
    <w:lvl w:ilvl="6" w:tplc="5D90B532">
      <w:numFmt w:val="decimal"/>
      <w:lvlText w:val=""/>
      <w:lvlJc w:val="left"/>
    </w:lvl>
    <w:lvl w:ilvl="7" w:tplc="D370EC06">
      <w:numFmt w:val="decimal"/>
      <w:lvlText w:val=""/>
      <w:lvlJc w:val="left"/>
    </w:lvl>
    <w:lvl w:ilvl="8" w:tplc="55BC6748">
      <w:numFmt w:val="decimal"/>
      <w:lvlText w:val=""/>
      <w:lvlJc w:val="left"/>
    </w:lvl>
  </w:abstractNum>
  <w:abstractNum w:abstractNumId="791" w15:restartNumberingAfterBreak="0">
    <w:nsid w:val="3AD82760"/>
    <w:multiLevelType w:val="hybridMultilevel"/>
    <w:tmpl w:val="979CB2AC"/>
    <w:lvl w:ilvl="0" w:tplc="DF68248A">
      <w:start w:val="1"/>
      <w:numFmt w:val="bullet"/>
      <w:lvlText w:val=""/>
      <w:lvlJc w:val="left"/>
      <w:pPr>
        <w:ind w:left="720" w:hanging="180"/>
      </w:pPr>
      <w:rPr>
        <w:rFonts w:ascii="Symbol" w:hAnsi="Symbol" w:hint="default"/>
      </w:rPr>
    </w:lvl>
    <w:lvl w:ilvl="1" w:tplc="0D1A0AB0">
      <w:numFmt w:val="decimal"/>
      <w:lvlText w:val=""/>
      <w:lvlJc w:val="left"/>
    </w:lvl>
    <w:lvl w:ilvl="2" w:tplc="72721770">
      <w:numFmt w:val="decimal"/>
      <w:lvlText w:val=""/>
      <w:lvlJc w:val="left"/>
    </w:lvl>
    <w:lvl w:ilvl="3" w:tplc="62EC603E">
      <w:numFmt w:val="decimal"/>
      <w:lvlText w:val=""/>
      <w:lvlJc w:val="left"/>
    </w:lvl>
    <w:lvl w:ilvl="4" w:tplc="9D425CC6">
      <w:numFmt w:val="decimal"/>
      <w:lvlText w:val=""/>
      <w:lvlJc w:val="left"/>
    </w:lvl>
    <w:lvl w:ilvl="5" w:tplc="7D3ABF76">
      <w:numFmt w:val="decimal"/>
      <w:lvlText w:val=""/>
      <w:lvlJc w:val="left"/>
    </w:lvl>
    <w:lvl w:ilvl="6" w:tplc="8AD48ADA">
      <w:numFmt w:val="decimal"/>
      <w:lvlText w:val=""/>
      <w:lvlJc w:val="left"/>
    </w:lvl>
    <w:lvl w:ilvl="7" w:tplc="690C6A1A">
      <w:numFmt w:val="decimal"/>
      <w:lvlText w:val=""/>
      <w:lvlJc w:val="left"/>
    </w:lvl>
    <w:lvl w:ilvl="8" w:tplc="D722C5B0">
      <w:numFmt w:val="decimal"/>
      <w:lvlText w:val=""/>
      <w:lvlJc w:val="left"/>
    </w:lvl>
  </w:abstractNum>
  <w:abstractNum w:abstractNumId="792" w15:restartNumberingAfterBreak="0">
    <w:nsid w:val="3AE63EB3"/>
    <w:multiLevelType w:val="hybridMultilevel"/>
    <w:tmpl w:val="26D649F0"/>
    <w:lvl w:ilvl="0" w:tplc="0158FE56">
      <w:start w:val="1"/>
      <w:numFmt w:val="bullet"/>
      <w:lvlText w:val=""/>
      <w:lvlJc w:val="left"/>
      <w:pPr>
        <w:ind w:left="720" w:hanging="180"/>
      </w:pPr>
      <w:rPr>
        <w:rFonts w:ascii="Symbol" w:hAnsi="Symbol" w:hint="default"/>
      </w:rPr>
    </w:lvl>
    <w:lvl w:ilvl="1" w:tplc="F3A0EA6C">
      <w:numFmt w:val="decimal"/>
      <w:lvlText w:val=""/>
      <w:lvlJc w:val="left"/>
    </w:lvl>
    <w:lvl w:ilvl="2" w:tplc="D4B49B32">
      <w:numFmt w:val="decimal"/>
      <w:lvlText w:val=""/>
      <w:lvlJc w:val="left"/>
    </w:lvl>
    <w:lvl w:ilvl="3" w:tplc="7BD8933C">
      <w:numFmt w:val="decimal"/>
      <w:lvlText w:val=""/>
      <w:lvlJc w:val="left"/>
    </w:lvl>
    <w:lvl w:ilvl="4" w:tplc="08E8287E">
      <w:numFmt w:val="decimal"/>
      <w:lvlText w:val=""/>
      <w:lvlJc w:val="left"/>
    </w:lvl>
    <w:lvl w:ilvl="5" w:tplc="D35269E8">
      <w:numFmt w:val="decimal"/>
      <w:lvlText w:val=""/>
      <w:lvlJc w:val="left"/>
    </w:lvl>
    <w:lvl w:ilvl="6" w:tplc="49AA4DB4">
      <w:numFmt w:val="decimal"/>
      <w:lvlText w:val=""/>
      <w:lvlJc w:val="left"/>
    </w:lvl>
    <w:lvl w:ilvl="7" w:tplc="691CB32C">
      <w:numFmt w:val="decimal"/>
      <w:lvlText w:val=""/>
      <w:lvlJc w:val="left"/>
    </w:lvl>
    <w:lvl w:ilvl="8" w:tplc="55D07596">
      <w:numFmt w:val="decimal"/>
      <w:lvlText w:val=""/>
      <w:lvlJc w:val="left"/>
    </w:lvl>
  </w:abstractNum>
  <w:abstractNum w:abstractNumId="793" w15:restartNumberingAfterBreak="0">
    <w:nsid w:val="3AF34B0B"/>
    <w:multiLevelType w:val="hybridMultilevel"/>
    <w:tmpl w:val="6F2C7A3C"/>
    <w:lvl w:ilvl="0" w:tplc="AEA0E20C">
      <w:start w:val="1"/>
      <w:numFmt w:val="bullet"/>
      <w:lvlText w:val=""/>
      <w:lvlJc w:val="left"/>
      <w:pPr>
        <w:ind w:left="720" w:hanging="180"/>
      </w:pPr>
      <w:rPr>
        <w:rFonts w:ascii="Symbol" w:hAnsi="Symbol" w:hint="default"/>
      </w:rPr>
    </w:lvl>
    <w:lvl w:ilvl="1" w:tplc="6FFCBAAA">
      <w:numFmt w:val="decimal"/>
      <w:lvlText w:val=""/>
      <w:lvlJc w:val="left"/>
    </w:lvl>
    <w:lvl w:ilvl="2" w:tplc="99E675C4">
      <w:numFmt w:val="decimal"/>
      <w:lvlText w:val=""/>
      <w:lvlJc w:val="left"/>
    </w:lvl>
    <w:lvl w:ilvl="3" w:tplc="7DA0EBDC">
      <w:numFmt w:val="decimal"/>
      <w:lvlText w:val=""/>
      <w:lvlJc w:val="left"/>
    </w:lvl>
    <w:lvl w:ilvl="4" w:tplc="F3E2CA2A">
      <w:numFmt w:val="decimal"/>
      <w:lvlText w:val=""/>
      <w:lvlJc w:val="left"/>
    </w:lvl>
    <w:lvl w:ilvl="5" w:tplc="462A1BC6">
      <w:numFmt w:val="decimal"/>
      <w:lvlText w:val=""/>
      <w:lvlJc w:val="left"/>
    </w:lvl>
    <w:lvl w:ilvl="6" w:tplc="F9FA86AE">
      <w:numFmt w:val="decimal"/>
      <w:lvlText w:val=""/>
      <w:lvlJc w:val="left"/>
    </w:lvl>
    <w:lvl w:ilvl="7" w:tplc="68B0BFE8">
      <w:numFmt w:val="decimal"/>
      <w:lvlText w:val=""/>
      <w:lvlJc w:val="left"/>
    </w:lvl>
    <w:lvl w:ilvl="8" w:tplc="BE9850A0">
      <w:numFmt w:val="decimal"/>
      <w:lvlText w:val=""/>
      <w:lvlJc w:val="left"/>
    </w:lvl>
  </w:abstractNum>
  <w:abstractNum w:abstractNumId="794" w15:restartNumberingAfterBreak="0">
    <w:nsid w:val="3B3F0D5C"/>
    <w:multiLevelType w:val="hybridMultilevel"/>
    <w:tmpl w:val="8E54BE26"/>
    <w:lvl w:ilvl="0" w:tplc="317A64DE">
      <w:start w:val="1"/>
      <w:numFmt w:val="bullet"/>
      <w:lvlText w:val=""/>
      <w:lvlJc w:val="left"/>
      <w:pPr>
        <w:ind w:left="720" w:hanging="180"/>
      </w:pPr>
      <w:rPr>
        <w:rFonts w:ascii="Symbol" w:hAnsi="Symbol" w:hint="default"/>
      </w:rPr>
    </w:lvl>
    <w:lvl w:ilvl="1" w:tplc="F78C7C0E">
      <w:numFmt w:val="decimal"/>
      <w:lvlText w:val=""/>
      <w:lvlJc w:val="left"/>
    </w:lvl>
    <w:lvl w:ilvl="2" w:tplc="892005CC">
      <w:numFmt w:val="decimal"/>
      <w:lvlText w:val=""/>
      <w:lvlJc w:val="left"/>
    </w:lvl>
    <w:lvl w:ilvl="3" w:tplc="B3685466">
      <w:numFmt w:val="decimal"/>
      <w:lvlText w:val=""/>
      <w:lvlJc w:val="left"/>
    </w:lvl>
    <w:lvl w:ilvl="4" w:tplc="5E38E52C">
      <w:numFmt w:val="decimal"/>
      <w:lvlText w:val=""/>
      <w:lvlJc w:val="left"/>
    </w:lvl>
    <w:lvl w:ilvl="5" w:tplc="8248878C">
      <w:numFmt w:val="decimal"/>
      <w:lvlText w:val=""/>
      <w:lvlJc w:val="left"/>
    </w:lvl>
    <w:lvl w:ilvl="6" w:tplc="9118E936">
      <w:numFmt w:val="decimal"/>
      <w:lvlText w:val=""/>
      <w:lvlJc w:val="left"/>
    </w:lvl>
    <w:lvl w:ilvl="7" w:tplc="6DEC8944">
      <w:numFmt w:val="decimal"/>
      <w:lvlText w:val=""/>
      <w:lvlJc w:val="left"/>
    </w:lvl>
    <w:lvl w:ilvl="8" w:tplc="75A25A1E">
      <w:numFmt w:val="decimal"/>
      <w:lvlText w:val=""/>
      <w:lvlJc w:val="left"/>
    </w:lvl>
  </w:abstractNum>
  <w:abstractNum w:abstractNumId="795" w15:restartNumberingAfterBreak="0">
    <w:nsid w:val="3B6C4D64"/>
    <w:multiLevelType w:val="hybridMultilevel"/>
    <w:tmpl w:val="8138BA2E"/>
    <w:lvl w:ilvl="0" w:tplc="1FB0FBAE">
      <w:start w:val="1"/>
      <w:numFmt w:val="bullet"/>
      <w:lvlText w:val=""/>
      <w:lvlJc w:val="left"/>
      <w:pPr>
        <w:ind w:left="720" w:hanging="180"/>
      </w:pPr>
      <w:rPr>
        <w:rFonts w:ascii="Symbol" w:hAnsi="Symbol" w:hint="default"/>
      </w:rPr>
    </w:lvl>
    <w:lvl w:ilvl="1" w:tplc="0248BFB2">
      <w:numFmt w:val="decimal"/>
      <w:lvlText w:val=""/>
      <w:lvlJc w:val="left"/>
    </w:lvl>
    <w:lvl w:ilvl="2" w:tplc="9F040A6A">
      <w:numFmt w:val="decimal"/>
      <w:lvlText w:val=""/>
      <w:lvlJc w:val="left"/>
    </w:lvl>
    <w:lvl w:ilvl="3" w:tplc="BFA81EAC">
      <w:numFmt w:val="decimal"/>
      <w:lvlText w:val=""/>
      <w:lvlJc w:val="left"/>
    </w:lvl>
    <w:lvl w:ilvl="4" w:tplc="12C68E78">
      <w:numFmt w:val="decimal"/>
      <w:lvlText w:val=""/>
      <w:lvlJc w:val="left"/>
    </w:lvl>
    <w:lvl w:ilvl="5" w:tplc="F97A7458">
      <w:numFmt w:val="decimal"/>
      <w:lvlText w:val=""/>
      <w:lvlJc w:val="left"/>
    </w:lvl>
    <w:lvl w:ilvl="6" w:tplc="E3DC0C1E">
      <w:numFmt w:val="decimal"/>
      <w:lvlText w:val=""/>
      <w:lvlJc w:val="left"/>
    </w:lvl>
    <w:lvl w:ilvl="7" w:tplc="31F4A7E8">
      <w:numFmt w:val="decimal"/>
      <w:lvlText w:val=""/>
      <w:lvlJc w:val="left"/>
    </w:lvl>
    <w:lvl w:ilvl="8" w:tplc="11A08444">
      <w:numFmt w:val="decimal"/>
      <w:lvlText w:val=""/>
      <w:lvlJc w:val="left"/>
    </w:lvl>
  </w:abstractNum>
  <w:abstractNum w:abstractNumId="796" w15:restartNumberingAfterBreak="0">
    <w:nsid w:val="3B903251"/>
    <w:multiLevelType w:val="hybridMultilevel"/>
    <w:tmpl w:val="27F8CFF2"/>
    <w:lvl w:ilvl="0" w:tplc="2DEE52CE">
      <w:start w:val="1"/>
      <w:numFmt w:val="bullet"/>
      <w:lvlText w:val=""/>
      <w:lvlJc w:val="left"/>
      <w:pPr>
        <w:ind w:left="720" w:hanging="180"/>
      </w:pPr>
      <w:rPr>
        <w:rFonts w:ascii="Symbol" w:hAnsi="Symbol" w:hint="default"/>
      </w:rPr>
    </w:lvl>
    <w:lvl w:ilvl="1" w:tplc="23B2C022">
      <w:numFmt w:val="decimal"/>
      <w:lvlText w:val=""/>
      <w:lvlJc w:val="left"/>
    </w:lvl>
    <w:lvl w:ilvl="2" w:tplc="82AA5DBE">
      <w:numFmt w:val="decimal"/>
      <w:lvlText w:val=""/>
      <w:lvlJc w:val="left"/>
    </w:lvl>
    <w:lvl w:ilvl="3" w:tplc="B776B63C">
      <w:numFmt w:val="decimal"/>
      <w:lvlText w:val=""/>
      <w:lvlJc w:val="left"/>
    </w:lvl>
    <w:lvl w:ilvl="4" w:tplc="8D9892BC">
      <w:numFmt w:val="decimal"/>
      <w:lvlText w:val=""/>
      <w:lvlJc w:val="left"/>
    </w:lvl>
    <w:lvl w:ilvl="5" w:tplc="A262F74E">
      <w:numFmt w:val="decimal"/>
      <w:lvlText w:val=""/>
      <w:lvlJc w:val="left"/>
    </w:lvl>
    <w:lvl w:ilvl="6" w:tplc="ECF2C646">
      <w:numFmt w:val="decimal"/>
      <w:lvlText w:val=""/>
      <w:lvlJc w:val="left"/>
    </w:lvl>
    <w:lvl w:ilvl="7" w:tplc="1E0E7334">
      <w:numFmt w:val="decimal"/>
      <w:lvlText w:val=""/>
      <w:lvlJc w:val="left"/>
    </w:lvl>
    <w:lvl w:ilvl="8" w:tplc="F45C0668">
      <w:numFmt w:val="decimal"/>
      <w:lvlText w:val=""/>
      <w:lvlJc w:val="left"/>
    </w:lvl>
  </w:abstractNum>
  <w:abstractNum w:abstractNumId="797" w15:restartNumberingAfterBreak="0">
    <w:nsid w:val="3B950950"/>
    <w:multiLevelType w:val="hybridMultilevel"/>
    <w:tmpl w:val="FCD06E22"/>
    <w:lvl w:ilvl="0" w:tplc="795E86BC">
      <w:start w:val="1"/>
      <w:numFmt w:val="bullet"/>
      <w:lvlText w:val=""/>
      <w:lvlJc w:val="left"/>
      <w:pPr>
        <w:ind w:left="720" w:hanging="180"/>
      </w:pPr>
      <w:rPr>
        <w:rFonts w:ascii="Symbol" w:hAnsi="Symbol" w:hint="default"/>
      </w:rPr>
    </w:lvl>
    <w:lvl w:ilvl="1" w:tplc="675A466A">
      <w:numFmt w:val="decimal"/>
      <w:lvlText w:val=""/>
      <w:lvlJc w:val="left"/>
    </w:lvl>
    <w:lvl w:ilvl="2" w:tplc="A3161122">
      <w:numFmt w:val="decimal"/>
      <w:lvlText w:val=""/>
      <w:lvlJc w:val="left"/>
    </w:lvl>
    <w:lvl w:ilvl="3" w:tplc="85625ED8">
      <w:numFmt w:val="decimal"/>
      <w:lvlText w:val=""/>
      <w:lvlJc w:val="left"/>
    </w:lvl>
    <w:lvl w:ilvl="4" w:tplc="DE9A7752">
      <w:numFmt w:val="decimal"/>
      <w:lvlText w:val=""/>
      <w:lvlJc w:val="left"/>
    </w:lvl>
    <w:lvl w:ilvl="5" w:tplc="E38025AA">
      <w:numFmt w:val="decimal"/>
      <w:lvlText w:val=""/>
      <w:lvlJc w:val="left"/>
    </w:lvl>
    <w:lvl w:ilvl="6" w:tplc="31FA99F8">
      <w:numFmt w:val="decimal"/>
      <w:lvlText w:val=""/>
      <w:lvlJc w:val="left"/>
    </w:lvl>
    <w:lvl w:ilvl="7" w:tplc="2DAC76EC">
      <w:numFmt w:val="decimal"/>
      <w:lvlText w:val=""/>
      <w:lvlJc w:val="left"/>
    </w:lvl>
    <w:lvl w:ilvl="8" w:tplc="B652F434">
      <w:numFmt w:val="decimal"/>
      <w:lvlText w:val=""/>
      <w:lvlJc w:val="left"/>
    </w:lvl>
  </w:abstractNum>
  <w:abstractNum w:abstractNumId="798" w15:restartNumberingAfterBreak="0">
    <w:nsid w:val="3B9A5053"/>
    <w:multiLevelType w:val="hybridMultilevel"/>
    <w:tmpl w:val="777AED3A"/>
    <w:lvl w:ilvl="0" w:tplc="73D07082">
      <w:numFmt w:val="decimal"/>
      <w:lvlText w:val=""/>
      <w:lvlJc w:val="left"/>
    </w:lvl>
    <w:lvl w:ilvl="1" w:tplc="830CEDF2">
      <w:start w:val="1"/>
      <w:numFmt w:val="bullet"/>
      <w:lvlText w:val=""/>
      <w:lvlJc w:val="left"/>
      <w:pPr>
        <w:ind w:left="1440" w:hanging="180"/>
      </w:pPr>
      <w:rPr>
        <w:rFonts w:ascii="Symbol" w:hAnsi="Symbol" w:hint="default"/>
      </w:rPr>
    </w:lvl>
    <w:lvl w:ilvl="2" w:tplc="019ACA78">
      <w:numFmt w:val="decimal"/>
      <w:lvlText w:val=""/>
      <w:lvlJc w:val="left"/>
    </w:lvl>
    <w:lvl w:ilvl="3" w:tplc="F1D66168">
      <w:numFmt w:val="decimal"/>
      <w:lvlText w:val=""/>
      <w:lvlJc w:val="left"/>
    </w:lvl>
    <w:lvl w:ilvl="4" w:tplc="4C2A4CB4">
      <w:numFmt w:val="decimal"/>
      <w:lvlText w:val=""/>
      <w:lvlJc w:val="left"/>
    </w:lvl>
    <w:lvl w:ilvl="5" w:tplc="07083682">
      <w:numFmt w:val="decimal"/>
      <w:lvlText w:val=""/>
      <w:lvlJc w:val="left"/>
    </w:lvl>
    <w:lvl w:ilvl="6" w:tplc="7A06AFE2">
      <w:numFmt w:val="decimal"/>
      <w:lvlText w:val=""/>
      <w:lvlJc w:val="left"/>
    </w:lvl>
    <w:lvl w:ilvl="7" w:tplc="1FDA3E76">
      <w:numFmt w:val="decimal"/>
      <w:lvlText w:val=""/>
      <w:lvlJc w:val="left"/>
    </w:lvl>
    <w:lvl w:ilvl="8" w:tplc="C936C684">
      <w:numFmt w:val="decimal"/>
      <w:lvlText w:val=""/>
      <w:lvlJc w:val="left"/>
    </w:lvl>
  </w:abstractNum>
  <w:abstractNum w:abstractNumId="799" w15:restartNumberingAfterBreak="0">
    <w:nsid w:val="3BB1377C"/>
    <w:multiLevelType w:val="hybridMultilevel"/>
    <w:tmpl w:val="7D84CD40"/>
    <w:lvl w:ilvl="0" w:tplc="9CFE55A6">
      <w:start w:val="1"/>
      <w:numFmt w:val="bullet"/>
      <w:lvlText w:val=""/>
      <w:lvlJc w:val="left"/>
      <w:pPr>
        <w:ind w:left="720" w:hanging="180"/>
      </w:pPr>
      <w:rPr>
        <w:rFonts w:ascii="Symbol" w:hAnsi="Symbol" w:hint="default"/>
      </w:rPr>
    </w:lvl>
    <w:lvl w:ilvl="1" w:tplc="24CAB568">
      <w:numFmt w:val="decimal"/>
      <w:lvlText w:val=""/>
      <w:lvlJc w:val="left"/>
    </w:lvl>
    <w:lvl w:ilvl="2" w:tplc="0F86E954">
      <w:numFmt w:val="decimal"/>
      <w:lvlText w:val=""/>
      <w:lvlJc w:val="left"/>
    </w:lvl>
    <w:lvl w:ilvl="3" w:tplc="E7B6F7B2">
      <w:numFmt w:val="decimal"/>
      <w:lvlText w:val=""/>
      <w:lvlJc w:val="left"/>
    </w:lvl>
    <w:lvl w:ilvl="4" w:tplc="E8023348">
      <w:numFmt w:val="decimal"/>
      <w:lvlText w:val=""/>
      <w:lvlJc w:val="left"/>
    </w:lvl>
    <w:lvl w:ilvl="5" w:tplc="CAC0E6F8">
      <w:numFmt w:val="decimal"/>
      <w:lvlText w:val=""/>
      <w:lvlJc w:val="left"/>
    </w:lvl>
    <w:lvl w:ilvl="6" w:tplc="59F69804">
      <w:numFmt w:val="decimal"/>
      <w:lvlText w:val=""/>
      <w:lvlJc w:val="left"/>
    </w:lvl>
    <w:lvl w:ilvl="7" w:tplc="3A80C7DC">
      <w:numFmt w:val="decimal"/>
      <w:lvlText w:val=""/>
      <w:lvlJc w:val="left"/>
    </w:lvl>
    <w:lvl w:ilvl="8" w:tplc="D4A67854">
      <w:numFmt w:val="decimal"/>
      <w:lvlText w:val=""/>
      <w:lvlJc w:val="left"/>
    </w:lvl>
  </w:abstractNum>
  <w:abstractNum w:abstractNumId="800" w15:restartNumberingAfterBreak="0">
    <w:nsid w:val="3BF97769"/>
    <w:multiLevelType w:val="hybridMultilevel"/>
    <w:tmpl w:val="AB963D76"/>
    <w:lvl w:ilvl="0" w:tplc="5464D1C6">
      <w:start w:val="1"/>
      <w:numFmt w:val="bullet"/>
      <w:lvlText w:val=""/>
      <w:lvlJc w:val="left"/>
      <w:pPr>
        <w:ind w:left="720" w:hanging="180"/>
      </w:pPr>
      <w:rPr>
        <w:rFonts w:ascii="Symbol" w:hAnsi="Symbol" w:hint="default"/>
      </w:rPr>
    </w:lvl>
    <w:lvl w:ilvl="1" w:tplc="422C049E">
      <w:numFmt w:val="decimal"/>
      <w:lvlText w:val=""/>
      <w:lvlJc w:val="left"/>
    </w:lvl>
    <w:lvl w:ilvl="2" w:tplc="9D1600E8">
      <w:numFmt w:val="decimal"/>
      <w:lvlText w:val=""/>
      <w:lvlJc w:val="left"/>
    </w:lvl>
    <w:lvl w:ilvl="3" w:tplc="2C0AF11E">
      <w:numFmt w:val="decimal"/>
      <w:lvlText w:val=""/>
      <w:lvlJc w:val="left"/>
    </w:lvl>
    <w:lvl w:ilvl="4" w:tplc="A2B6D182">
      <w:numFmt w:val="decimal"/>
      <w:lvlText w:val=""/>
      <w:lvlJc w:val="left"/>
    </w:lvl>
    <w:lvl w:ilvl="5" w:tplc="028AD220">
      <w:numFmt w:val="decimal"/>
      <w:lvlText w:val=""/>
      <w:lvlJc w:val="left"/>
    </w:lvl>
    <w:lvl w:ilvl="6" w:tplc="96CC886E">
      <w:numFmt w:val="decimal"/>
      <w:lvlText w:val=""/>
      <w:lvlJc w:val="left"/>
    </w:lvl>
    <w:lvl w:ilvl="7" w:tplc="50121DF8">
      <w:numFmt w:val="decimal"/>
      <w:lvlText w:val=""/>
      <w:lvlJc w:val="left"/>
    </w:lvl>
    <w:lvl w:ilvl="8" w:tplc="203C1C52">
      <w:numFmt w:val="decimal"/>
      <w:lvlText w:val=""/>
      <w:lvlJc w:val="left"/>
    </w:lvl>
  </w:abstractNum>
  <w:abstractNum w:abstractNumId="801" w15:restartNumberingAfterBreak="0">
    <w:nsid w:val="3C430506"/>
    <w:multiLevelType w:val="hybridMultilevel"/>
    <w:tmpl w:val="AC5821FA"/>
    <w:lvl w:ilvl="0" w:tplc="D1E25374">
      <w:start w:val="1"/>
      <w:numFmt w:val="bullet"/>
      <w:lvlText w:val=""/>
      <w:lvlJc w:val="left"/>
      <w:pPr>
        <w:ind w:left="720" w:hanging="180"/>
      </w:pPr>
      <w:rPr>
        <w:rFonts w:ascii="Symbol" w:hAnsi="Symbol" w:hint="default"/>
      </w:rPr>
    </w:lvl>
    <w:lvl w:ilvl="1" w:tplc="05F0242C">
      <w:numFmt w:val="decimal"/>
      <w:lvlText w:val=""/>
      <w:lvlJc w:val="left"/>
    </w:lvl>
    <w:lvl w:ilvl="2" w:tplc="106C6C82">
      <w:numFmt w:val="decimal"/>
      <w:lvlText w:val=""/>
      <w:lvlJc w:val="left"/>
    </w:lvl>
    <w:lvl w:ilvl="3" w:tplc="23ACC98E">
      <w:numFmt w:val="decimal"/>
      <w:lvlText w:val=""/>
      <w:lvlJc w:val="left"/>
    </w:lvl>
    <w:lvl w:ilvl="4" w:tplc="D6B42EA0">
      <w:numFmt w:val="decimal"/>
      <w:lvlText w:val=""/>
      <w:lvlJc w:val="left"/>
    </w:lvl>
    <w:lvl w:ilvl="5" w:tplc="0FF6A726">
      <w:numFmt w:val="decimal"/>
      <w:lvlText w:val=""/>
      <w:lvlJc w:val="left"/>
    </w:lvl>
    <w:lvl w:ilvl="6" w:tplc="E81CFBA8">
      <w:numFmt w:val="decimal"/>
      <w:lvlText w:val=""/>
      <w:lvlJc w:val="left"/>
    </w:lvl>
    <w:lvl w:ilvl="7" w:tplc="024C93D4">
      <w:numFmt w:val="decimal"/>
      <w:lvlText w:val=""/>
      <w:lvlJc w:val="left"/>
    </w:lvl>
    <w:lvl w:ilvl="8" w:tplc="B320590A">
      <w:numFmt w:val="decimal"/>
      <w:lvlText w:val=""/>
      <w:lvlJc w:val="left"/>
    </w:lvl>
  </w:abstractNum>
  <w:abstractNum w:abstractNumId="802" w15:restartNumberingAfterBreak="0">
    <w:nsid w:val="3C665576"/>
    <w:multiLevelType w:val="hybridMultilevel"/>
    <w:tmpl w:val="C38A2A9C"/>
    <w:lvl w:ilvl="0" w:tplc="F0429A44">
      <w:start w:val="1"/>
      <w:numFmt w:val="bullet"/>
      <w:lvlText w:val=""/>
      <w:lvlJc w:val="left"/>
      <w:pPr>
        <w:ind w:left="720" w:hanging="180"/>
      </w:pPr>
      <w:rPr>
        <w:rFonts w:ascii="Symbol" w:hAnsi="Symbol" w:hint="default"/>
      </w:rPr>
    </w:lvl>
    <w:lvl w:ilvl="1" w:tplc="99666440">
      <w:numFmt w:val="decimal"/>
      <w:lvlText w:val=""/>
      <w:lvlJc w:val="left"/>
    </w:lvl>
    <w:lvl w:ilvl="2" w:tplc="83AE3660">
      <w:numFmt w:val="decimal"/>
      <w:lvlText w:val=""/>
      <w:lvlJc w:val="left"/>
    </w:lvl>
    <w:lvl w:ilvl="3" w:tplc="8782EB42">
      <w:numFmt w:val="decimal"/>
      <w:lvlText w:val=""/>
      <w:lvlJc w:val="left"/>
    </w:lvl>
    <w:lvl w:ilvl="4" w:tplc="EBF22D66">
      <w:numFmt w:val="decimal"/>
      <w:lvlText w:val=""/>
      <w:lvlJc w:val="left"/>
    </w:lvl>
    <w:lvl w:ilvl="5" w:tplc="0A76C0F8">
      <w:numFmt w:val="decimal"/>
      <w:lvlText w:val=""/>
      <w:lvlJc w:val="left"/>
    </w:lvl>
    <w:lvl w:ilvl="6" w:tplc="63426C5E">
      <w:numFmt w:val="decimal"/>
      <w:lvlText w:val=""/>
      <w:lvlJc w:val="left"/>
    </w:lvl>
    <w:lvl w:ilvl="7" w:tplc="B776A694">
      <w:numFmt w:val="decimal"/>
      <w:lvlText w:val=""/>
      <w:lvlJc w:val="left"/>
    </w:lvl>
    <w:lvl w:ilvl="8" w:tplc="2B70D40C">
      <w:numFmt w:val="decimal"/>
      <w:lvlText w:val=""/>
      <w:lvlJc w:val="left"/>
    </w:lvl>
  </w:abstractNum>
  <w:abstractNum w:abstractNumId="803" w15:restartNumberingAfterBreak="0">
    <w:nsid w:val="3C68198A"/>
    <w:multiLevelType w:val="hybridMultilevel"/>
    <w:tmpl w:val="F7401DD6"/>
    <w:lvl w:ilvl="0" w:tplc="2146CC1A">
      <w:start w:val="1"/>
      <w:numFmt w:val="bullet"/>
      <w:lvlText w:val=""/>
      <w:lvlJc w:val="left"/>
      <w:pPr>
        <w:ind w:left="720" w:hanging="180"/>
      </w:pPr>
      <w:rPr>
        <w:rFonts w:ascii="Symbol" w:hAnsi="Symbol" w:hint="default"/>
      </w:rPr>
    </w:lvl>
    <w:lvl w:ilvl="1" w:tplc="8D86F818">
      <w:numFmt w:val="decimal"/>
      <w:lvlText w:val=""/>
      <w:lvlJc w:val="left"/>
    </w:lvl>
    <w:lvl w:ilvl="2" w:tplc="53963190">
      <w:numFmt w:val="decimal"/>
      <w:lvlText w:val=""/>
      <w:lvlJc w:val="left"/>
    </w:lvl>
    <w:lvl w:ilvl="3" w:tplc="E69C9950">
      <w:numFmt w:val="decimal"/>
      <w:lvlText w:val=""/>
      <w:lvlJc w:val="left"/>
    </w:lvl>
    <w:lvl w:ilvl="4" w:tplc="3788B3EE">
      <w:numFmt w:val="decimal"/>
      <w:lvlText w:val=""/>
      <w:lvlJc w:val="left"/>
    </w:lvl>
    <w:lvl w:ilvl="5" w:tplc="4B1E28F6">
      <w:numFmt w:val="decimal"/>
      <w:lvlText w:val=""/>
      <w:lvlJc w:val="left"/>
    </w:lvl>
    <w:lvl w:ilvl="6" w:tplc="B37C3F7E">
      <w:numFmt w:val="decimal"/>
      <w:lvlText w:val=""/>
      <w:lvlJc w:val="left"/>
    </w:lvl>
    <w:lvl w:ilvl="7" w:tplc="1CE6FB8E">
      <w:numFmt w:val="decimal"/>
      <w:lvlText w:val=""/>
      <w:lvlJc w:val="left"/>
    </w:lvl>
    <w:lvl w:ilvl="8" w:tplc="3DBA6F1C">
      <w:numFmt w:val="decimal"/>
      <w:lvlText w:val=""/>
      <w:lvlJc w:val="left"/>
    </w:lvl>
  </w:abstractNum>
  <w:abstractNum w:abstractNumId="804" w15:restartNumberingAfterBreak="0">
    <w:nsid w:val="3C752248"/>
    <w:multiLevelType w:val="hybridMultilevel"/>
    <w:tmpl w:val="C1F8CF1E"/>
    <w:lvl w:ilvl="0" w:tplc="58449C36">
      <w:start w:val="1"/>
      <w:numFmt w:val="bullet"/>
      <w:lvlText w:val=""/>
      <w:lvlJc w:val="left"/>
      <w:pPr>
        <w:ind w:left="720" w:hanging="180"/>
      </w:pPr>
      <w:rPr>
        <w:rFonts w:ascii="Symbol" w:hAnsi="Symbol" w:hint="default"/>
      </w:rPr>
    </w:lvl>
    <w:lvl w:ilvl="1" w:tplc="3760EC66">
      <w:numFmt w:val="decimal"/>
      <w:lvlText w:val=""/>
      <w:lvlJc w:val="left"/>
    </w:lvl>
    <w:lvl w:ilvl="2" w:tplc="838C21AC">
      <w:numFmt w:val="decimal"/>
      <w:lvlText w:val=""/>
      <w:lvlJc w:val="left"/>
    </w:lvl>
    <w:lvl w:ilvl="3" w:tplc="04EC1B4A">
      <w:numFmt w:val="decimal"/>
      <w:lvlText w:val=""/>
      <w:lvlJc w:val="left"/>
    </w:lvl>
    <w:lvl w:ilvl="4" w:tplc="5F92C940">
      <w:numFmt w:val="decimal"/>
      <w:lvlText w:val=""/>
      <w:lvlJc w:val="left"/>
    </w:lvl>
    <w:lvl w:ilvl="5" w:tplc="19E26C7A">
      <w:numFmt w:val="decimal"/>
      <w:lvlText w:val=""/>
      <w:lvlJc w:val="left"/>
    </w:lvl>
    <w:lvl w:ilvl="6" w:tplc="EB3CFA00">
      <w:numFmt w:val="decimal"/>
      <w:lvlText w:val=""/>
      <w:lvlJc w:val="left"/>
    </w:lvl>
    <w:lvl w:ilvl="7" w:tplc="9040543E">
      <w:numFmt w:val="decimal"/>
      <w:lvlText w:val=""/>
      <w:lvlJc w:val="left"/>
    </w:lvl>
    <w:lvl w:ilvl="8" w:tplc="27C2985A">
      <w:numFmt w:val="decimal"/>
      <w:lvlText w:val=""/>
      <w:lvlJc w:val="left"/>
    </w:lvl>
  </w:abstractNum>
  <w:abstractNum w:abstractNumId="805" w15:restartNumberingAfterBreak="0">
    <w:nsid w:val="3CB24401"/>
    <w:multiLevelType w:val="hybridMultilevel"/>
    <w:tmpl w:val="15FEFB86"/>
    <w:lvl w:ilvl="0" w:tplc="EF902362">
      <w:start w:val="1"/>
      <w:numFmt w:val="bullet"/>
      <w:lvlText w:val=""/>
      <w:lvlJc w:val="left"/>
      <w:pPr>
        <w:ind w:left="720" w:hanging="180"/>
      </w:pPr>
      <w:rPr>
        <w:rFonts w:ascii="Symbol" w:hAnsi="Symbol" w:hint="default"/>
      </w:rPr>
    </w:lvl>
    <w:lvl w:ilvl="1" w:tplc="D5C6C654">
      <w:numFmt w:val="decimal"/>
      <w:lvlText w:val=""/>
      <w:lvlJc w:val="left"/>
    </w:lvl>
    <w:lvl w:ilvl="2" w:tplc="2EB8BC38">
      <w:numFmt w:val="decimal"/>
      <w:lvlText w:val=""/>
      <w:lvlJc w:val="left"/>
    </w:lvl>
    <w:lvl w:ilvl="3" w:tplc="43E2C3C6">
      <w:numFmt w:val="decimal"/>
      <w:lvlText w:val=""/>
      <w:lvlJc w:val="left"/>
    </w:lvl>
    <w:lvl w:ilvl="4" w:tplc="298670DC">
      <w:numFmt w:val="decimal"/>
      <w:lvlText w:val=""/>
      <w:lvlJc w:val="left"/>
    </w:lvl>
    <w:lvl w:ilvl="5" w:tplc="2DFC7130">
      <w:numFmt w:val="decimal"/>
      <w:lvlText w:val=""/>
      <w:lvlJc w:val="left"/>
    </w:lvl>
    <w:lvl w:ilvl="6" w:tplc="A39E8E92">
      <w:numFmt w:val="decimal"/>
      <w:lvlText w:val=""/>
      <w:lvlJc w:val="left"/>
    </w:lvl>
    <w:lvl w:ilvl="7" w:tplc="05ACD7DA">
      <w:numFmt w:val="decimal"/>
      <w:lvlText w:val=""/>
      <w:lvlJc w:val="left"/>
    </w:lvl>
    <w:lvl w:ilvl="8" w:tplc="54BE82EE">
      <w:numFmt w:val="decimal"/>
      <w:lvlText w:val=""/>
      <w:lvlJc w:val="left"/>
    </w:lvl>
  </w:abstractNum>
  <w:abstractNum w:abstractNumId="806" w15:restartNumberingAfterBreak="0">
    <w:nsid w:val="3CB950CA"/>
    <w:multiLevelType w:val="hybridMultilevel"/>
    <w:tmpl w:val="29946C42"/>
    <w:lvl w:ilvl="0" w:tplc="9788DC7E">
      <w:start w:val="1"/>
      <w:numFmt w:val="bullet"/>
      <w:lvlText w:val=""/>
      <w:lvlJc w:val="left"/>
      <w:pPr>
        <w:ind w:left="720" w:hanging="180"/>
      </w:pPr>
      <w:rPr>
        <w:rFonts w:ascii="Symbol" w:hAnsi="Symbol" w:hint="default"/>
      </w:rPr>
    </w:lvl>
    <w:lvl w:ilvl="1" w:tplc="74403CB8">
      <w:numFmt w:val="decimal"/>
      <w:lvlText w:val=""/>
      <w:lvlJc w:val="left"/>
    </w:lvl>
    <w:lvl w:ilvl="2" w:tplc="C11CF3EE">
      <w:numFmt w:val="decimal"/>
      <w:lvlText w:val=""/>
      <w:lvlJc w:val="left"/>
    </w:lvl>
    <w:lvl w:ilvl="3" w:tplc="836406C2">
      <w:numFmt w:val="decimal"/>
      <w:lvlText w:val=""/>
      <w:lvlJc w:val="left"/>
    </w:lvl>
    <w:lvl w:ilvl="4" w:tplc="B0D2FD76">
      <w:numFmt w:val="decimal"/>
      <w:lvlText w:val=""/>
      <w:lvlJc w:val="left"/>
    </w:lvl>
    <w:lvl w:ilvl="5" w:tplc="585E733C">
      <w:numFmt w:val="decimal"/>
      <w:lvlText w:val=""/>
      <w:lvlJc w:val="left"/>
    </w:lvl>
    <w:lvl w:ilvl="6" w:tplc="41C69C62">
      <w:numFmt w:val="decimal"/>
      <w:lvlText w:val=""/>
      <w:lvlJc w:val="left"/>
    </w:lvl>
    <w:lvl w:ilvl="7" w:tplc="D2C2D2A0">
      <w:numFmt w:val="decimal"/>
      <w:lvlText w:val=""/>
      <w:lvlJc w:val="left"/>
    </w:lvl>
    <w:lvl w:ilvl="8" w:tplc="FB6A9418">
      <w:numFmt w:val="decimal"/>
      <w:lvlText w:val=""/>
      <w:lvlJc w:val="left"/>
    </w:lvl>
  </w:abstractNum>
  <w:abstractNum w:abstractNumId="807" w15:restartNumberingAfterBreak="0">
    <w:nsid w:val="3CC22EDA"/>
    <w:multiLevelType w:val="hybridMultilevel"/>
    <w:tmpl w:val="5030B70E"/>
    <w:lvl w:ilvl="0" w:tplc="2AF8CFBE">
      <w:start w:val="1"/>
      <w:numFmt w:val="bullet"/>
      <w:lvlText w:val=""/>
      <w:lvlJc w:val="left"/>
      <w:pPr>
        <w:ind w:left="720" w:hanging="180"/>
      </w:pPr>
      <w:rPr>
        <w:rFonts w:ascii="Symbol" w:hAnsi="Symbol" w:hint="default"/>
      </w:rPr>
    </w:lvl>
    <w:lvl w:ilvl="1" w:tplc="353A49FC">
      <w:numFmt w:val="decimal"/>
      <w:lvlText w:val=""/>
      <w:lvlJc w:val="left"/>
    </w:lvl>
    <w:lvl w:ilvl="2" w:tplc="96D0296C">
      <w:numFmt w:val="decimal"/>
      <w:lvlText w:val=""/>
      <w:lvlJc w:val="left"/>
    </w:lvl>
    <w:lvl w:ilvl="3" w:tplc="9CCE2B40">
      <w:numFmt w:val="decimal"/>
      <w:lvlText w:val=""/>
      <w:lvlJc w:val="left"/>
    </w:lvl>
    <w:lvl w:ilvl="4" w:tplc="B846DCE4">
      <w:numFmt w:val="decimal"/>
      <w:lvlText w:val=""/>
      <w:lvlJc w:val="left"/>
    </w:lvl>
    <w:lvl w:ilvl="5" w:tplc="CE32F8B4">
      <w:numFmt w:val="decimal"/>
      <w:lvlText w:val=""/>
      <w:lvlJc w:val="left"/>
    </w:lvl>
    <w:lvl w:ilvl="6" w:tplc="C8C0F344">
      <w:numFmt w:val="decimal"/>
      <w:lvlText w:val=""/>
      <w:lvlJc w:val="left"/>
    </w:lvl>
    <w:lvl w:ilvl="7" w:tplc="3C7270A2">
      <w:numFmt w:val="decimal"/>
      <w:lvlText w:val=""/>
      <w:lvlJc w:val="left"/>
    </w:lvl>
    <w:lvl w:ilvl="8" w:tplc="542A6940">
      <w:numFmt w:val="decimal"/>
      <w:lvlText w:val=""/>
      <w:lvlJc w:val="left"/>
    </w:lvl>
  </w:abstractNum>
  <w:abstractNum w:abstractNumId="808" w15:restartNumberingAfterBreak="0">
    <w:nsid w:val="3CCF01B6"/>
    <w:multiLevelType w:val="hybridMultilevel"/>
    <w:tmpl w:val="C7F231DA"/>
    <w:lvl w:ilvl="0" w:tplc="C0145BEE">
      <w:start w:val="1"/>
      <w:numFmt w:val="bullet"/>
      <w:lvlText w:val=""/>
      <w:lvlJc w:val="left"/>
      <w:pPr>
        <w:ind w:left="720" w:hanging="180"/>
      </w:pPr>
      <w:rPr>
        <w:rFonts w:ascii="Symbol" w:hAnsi="Symbol" w:hint="default"/>
      </w:rPr>
    </w:lvl>
    <w:lvl w:ilvl="1" w:tplc="1AEE7A82">
      <w:numFmt w:val="decimal"/>
      <w:lvlText w:val=""/>
      <w:lvlJc w:val="left"/>
    </w:lvl>
    <w:lvl w:ilvl="2" w:tplc="56E2AFBA">
      <w:numFmt w:val="decimal"/>
      <w:lvlText w:val=""/>
      <w:lvlJc w:val="left"/>
    </w:lvl>
    <w:lvl w:ilvl="3" w:tplc="FE22E508">
      <w:numFmt w:val="decimal"/>
      <w:lvlText w:val=""/>
      <w:lvlJc w:val="left"/>
    </w:lvl>
    <w:lvl w:ilvl="4" w:tplc="E7AC307E">
      <w:numFmt w:val="decimal"/>
      <w:lvlText w:val=""/>
      <w:lvlJc w:val="left"/>
    </w:lvl>
    <w:lvl w:ilvl="5" w:tplc="A300BAEE">
      <w:numFmt w:val="decimal"/>
      <w:lvlText w:val=""/>
      <w:lvlJc w:val="left"/>
    </w:lvl>
    <w:lvl w:ilvl="6" w:tplc="F57406CC">
      <w:numFmt w:val="decimal"/>
      <w:lvlText w:val=""/>
      <w:lvlJc w:val="left"/>
    </w:lvl>
    <w:lvl w:ilvl="7" w:tplc="FBCA2F34">
      <w:numFmt w:val="decimal"/>
      <w:lvlText w:val=""/>
      <w:lvlJc w:val="left"/>
    </w:lvl>
    <w:lvl w:ilvl="8" w:tplc="2872FF3A">
      <w:numFmt w:val="decimal"/>
      <w:lvlText w:val=""/>
      <w:lvlJc w:val="left"/>
    </w:lvl>
  </w:abstractNum>
  <w:abstractNum w:abstractNumId="809" w15:restartNumberingAfterBreak="0">
    <w:nsid w:val="3CDE6271"/>
    <w:multiLevelType w:val="hybridMultilevel"/>
    <w:tmpl w:val="8D4E6914"/>
    <w:lvl w:ilvl="0" w:tplc="B2CA7D14">
      <w:start w:val="1"/>
      <w:numFmt w:val="bullet"/>
      <w:lvlText w:val=""/>
      <w:lvlJc w:val="left"/>
      <w:pPr>
        <w:ind w:left="720" w:hanging="180"/>
      </w:pPr>
      <w:rPr>
        <w:rFonts w:ascii="Symbol" w:hAnsi="Symbol" w:hint="default"/>
      </w:rPr>
    </w:lvl>
    <w:lvl w:ilvl="1" w:tplc="FA9A7674">
      <w:numFmt w:val="decimal"/>
      <w:lvlText w:val=""/>
      <w:lvlJc w:val="left"/>
    </w:lvl>
    <w:lvl w:ilvl="2" w:tplc="A48659D8">
      <w:numFmt w:val="decimal"/>
      <w:lvlText w:val=""/>
      <w:lvlJc w:val="left"/>
    </w:lvl>
    <w:lvl w:ilvl="3" w:tplc="26CE1B1A">
      <w:numFmt w:val="decimal"/>
      <w:lvlText w:val=""/>
      <w:lvlJc w:val="left"/>
    </w:lvl>
    <w:lvl w:ilvl="4" w:tplc="10C24E1E">
      <w:numFmt w:val="decimal"/>
      <w:lvlText w:val=""/>
      <w:lvlJc w:val="left"/>
    </w:lvl>
    <w:lvl w:ilvl="5" w:tplc="498CF600">
      <w:numFmt w:val="decimal"/>
      <w:lvlText w:val=""/>
      <w:lvlJc w:val="left"/>
    </w:lvl>
    <w:lvl w:ilvl="6" w:tplc="224E9164">
      <w:numFmt w:val="decimal"/>
      <w:lvlText w:val=""/>
      <w:lvlJc w:val="left"/>
    </w:lvl>
    <w:lvl w:ilvl="7" w:tplc="2A402F48">
      <w:numFmt w:val="decimal"/>
      <w:lvlText w:val=""/>
      <w:lvlJc w:val="left"/>
    </w:lvl>
    <w:lvl w:ilvl="8" w:tplc="5940670C">
      <w:numFmt w:val="decimal"/>
      <w:lvlText w:val=""/>
      <w:lvlJc w:val="left"/>
    </w:lvl>
  </w:abstractNum>
  <w:abstractNum w:abstractNumId="810" w15:restartNumberingAfterBreak="0">
    <w:nsid w:val="3CED0238"/>
    <w:multiLevelType w:val="hybridMultilevel"/>
    <w:tmpl w:val="8C064088"/>
    <w:lvl w:ilvl="0" w:tplc="12C8F17E">
      <w:numFmt w:val="decimal"/>
      <w:lvlText w:val=""/>
      <w:lvlJc w:val="left"/>
    </w:lvl>
    <w:lvl w:ilvl="1" w:tplc="0B4CB5EC">
      <w:start w:val="1"/>
      <w:numFmt w:val="bullet"/>
      <w:lvlText w:val=""/>
      <w:lvlJc w:val="left"/>
      <w:pPr>
        <w:ind w:left="1440" w:hanging="180"/>
      </w:pPr>
      <w:rPr>
        <w:rFonts w:ascii="Symbol" w:hAnsi="Symbol" w:hint="default"/>
      </w:rPr>
    </w:lvl>
    <w:lvl w:ilvl="2" w:tplc="A4027D44">
      <w:numFmt w:val="decimal"/>
      <w:lvlText w:val=""/>
      <w:lvlJc w:val="left"/>
    </w:lvl>
    <w:lvl w:ilvl="3" w:tplc="05447D94">
      <w:numFmt w:val="decimal"/>
      <w:lvlText w:val=""/>
      <w:lvlJc w:val="left"/>
    </w:lvl>
    <w:lvl w:ilvl="4" w:tplc="3ABEFCBA">
      <w:numFmt w:val="decimal"/>
      <w:lvlText w:val=""/>
      <w:lvlJc w:val="left"/>
    </w:lvl>
    <w:lvl w:ilvl="5" w:tplc="F5320144">
      <w:numFmt w:val="decimal"/>
      <w:lvlText w:val=""/>
      <w:lvlJc w:val="left"/>
    </w:lvl>
    <w:lvl w:ilvl="6" w:tplc="D9DC5A0E">
      <w:numFmt w:val="decimal"/>
      <w:lvlText w:val=""/>
      <w:lvlJc w:val="left"/>
    </w:lvl>
    <w:lvl w:ilvl="7" w:tplc="5AF6F94A">
      <w:numFmt w:val="decimal"/>
      <w:lvlText w:val=""/>
      <w:lvlJc w:val="left"/>
    </w:lvl>
    <w:lvl w:ilvl="8" w:tplc="37BC8884">
      <w:numFmt w:val="decimal"/>
      <w:lvlText w:val=""/>
      <w:lvlJc w:val="left"/>
    </w:lvl>
  </w:abstractNum>
  <w:abstractNum w:abstractNumId="811" w15:restartNumberingAfterBreak="0">
    <w:nsid w:val="3CF707F9"/>
    <w:multiLevelType w:val="hybridMultilevel"/>
    <w:tmpl w:val="05747898"/>
    <w:lvl w:ilvl="0" w:tplc="BA12EA48">
      <w:start w:val="1"/>
      <w:numFmt w:val="bullet"/>
      <w:lvlText w:val=""/>
      <w:lvlJc w:val="left"/>
      <w:pPr>
        <w:ind w:left="720" w:hanging="180"/>
      </w:pPr>
      <w:rPr>
        <w:rFonts w:ascii="Symbol" w:hAnsi="Symbol" w:hint="default"/>
      </w:rPr>
    </w:lvl>
    <w:lvl w:ilvl="1" w:tplc="4DC4E016">
      <w:numFmt w:val="decimal"/>
      <w:lvlText w:val=""/>
      <w:lvlJc w:val="left"/>
    </w:lvl>
    <w:lvl w:ilvl="2" w:tplc="6A8AB8A8">
      <w:numFmt w:val="decimal"/>
      <w:lvlText w:val=""/>
      <w:lvlJc w:val="left"/>
    </w:lvl>
    <w:lvl w:ilvl="3" w:tplc="91784BA2">
      <w:numFmt w:val="decimal"/>
      <w:lvlText w:val=""/>
      <w:lvlJc w:val="left"/>
    </w:lvl>
    <w:lvl w:ilvl="4" w:tplc="FA508624">
      <w:numFmt w:val="decimal"/>
      <w:lvlText w:val=""/>
      <w:lvlJc w:val="left"/>
    </w:lvl>
    <w:lvl w:ilvl="5" w:tplc="A49A58C6">
      <w:numFmt w:val="decimal"/>
      <w:lvlText w:val=""/>
      <w:lvlJc w:val="left"/>
    </w:lvl>
    <w:lvl w:ilvl="6" w:tplc="3A4CCB4E">
      <w:numFmt w:val="decimal"/>
      <w:lvlText w:val=""/>
      <w:lvlJc w:val="left"/>
    </w:lvl>
    <w:lvl w:ilvl="7" w:tplc="ED6020CA">
      <w:numFmt w:val="decimal"/>
      <w:lvlText w:val=""/>
      <w:lvlJc w:val="left"/>
    </w:lvl>
    <w:lvl w:ilvl="8" w:tplc="4DBEFBC2">
      <w:numFmt w:val="decimal"/>
      <w:lvlText w:val=""/>
      <w:lvlJc w:val="left"/>
    </w:lvl>
  </w:abstractNum>
  <w:abstractNum w:abstractNumId="812" w15:restartNumberingAfterBreak="0">
    <w:nsid w:val="3D081649"/>
    <w:multiLevelType w:val="hybridMultilevel"/>
    <w:tmpl w:val="4FF26784"/>
    <w:lvl w:ilvl="0" w:tplc="8F6E04B2">
      <w:start w:val="1"/>
      <w:numFmt w:val="bullet"/>
      <w:lvlText w:val=""/>
      <w:lvlJc w:val="left"/>
      <w:pPr>
        <w:ind w:left="720" w:hanging="180"/>
      </w:pPr>
      <w:rPr>
        <w:rFonts w:ascii="Symbol" w:hAnsi="Symbol" w:hint="default"/>
      </w:rPr>
    </w:lvl>
    <w:lvl w:ilvl="1" w:tplc="901CFE66">
      <w:numFmt w:val="decimal"/>
      <w:lvlText w:val=""/>
      <w:lvlJc w:val="left"/>
    </w:lvl>
    <w:lvl w:ilvl="2" w:tplc="2D14E14A">
      <w:numFmt w:val="decimal"/>
      <w:lvlText w:val=""/>
      <w:lvlJc w:val="left"/>
    </w:lvl>
    <w:lvl w:ilvl="3" w:tplc="5B264932">
      <w:numFmt w:val="decimal"/>
      <w:lvlText w:val=""/>
      <w:lvlJc w:val="left"/>
    </w:lvl>
    <w:lvl w:ilvl="4" w:tplc="87A8DCA6">
      <w:numFmt w:val="decimal"/>
      <w:lvlText w:val=""/>
      <w:lvlJc w:val="left"/>
    </w:lvl>
    <w:lvl w:ilvl="5" w:tplc="7E46D17E">
      <w:numFmt w:val="decimal"/>
      <w:lvlText w:val=""/>
      <w:lvlJc w:val="left"/>
    </w:lvl>
    <w:lvl w:ilvl="6" w:tplc="4656E040">
      <w:numFmt w:val="decimal"/>
      <w:lvlText w:val=""/>
      <w:lvlJc w:val="left"/>
    </w:lvl>
    <w:lvl w:ilvl="7" w:tplc="83827634">
      <w:numFmt w:val="decimal"/>
      <w:lvlText w:val=""/>
      <w:lvlJc w:val="left"/>
    </w:lvl>
    <w:lvl w:ilvl="8" w:tplc="131EE0B6">
      <w:numFmt w:val="decimal"/>
      <w:lvlText w:val=""/>
      <w:lvlJc w:val="left"/>
    </w:lvl>
  </w:abstractNum>
  <w:abstractNum w:abstractNumId="813" w15:restartNumberingAfterBreak="0">
    <w:nsid w:val="3D0B063C"/>
    <w:multiLevelType w:val="hybridMultilevel"/>
    <w:tmpl w:val="9ABA4414"/>
    <w:lvl w:ilvl="0" w:tplc="4306CF58">
      <w:start w:val="1"/>
      <w:numFmt w:val="bullet"/>
      <w:lvlText w:val=""/>
      <w:lvlJc w:val="left"/>
      <w:pPr>
        <w:ind w:left="720" w:hanging="180"/>
      </w:pPr>
      <w:rPr>
        <w:rFonts w:ascii="Symbol" w:hAnsi="Symbol" w:hint="default"/>
      </w:rPr>
    </w:lvl>
    <w:lvl w:ilvl="1" w:tplc="173CAD44">
      <w:numFmt w:val="decimal"/>
      <w:lvlText w:val=""/>
      <w:lvlJc w:val="left"/>
    </w:lvl>
    <w:lvl w:ilvl="2" w:tplc="9C58657C">
      <w:numFmt w:val="decimal"/>
      <w:lvlText w:val=""/>
      <w:lvlJc w:val="left"/>
    </w:lvl>
    <w:lvl w:ilvl="3" w:tplc="9E6E4922">
      <w:numFmt w:val="decimal"/>
      <w:lvlText w:val=""/>
      <w:lvlJc w:val="left"/>
    </w:lvl>
    <w:lvl w:ilvl="4" w:tplc="0A6C2600">
      <w:numFmt w:val="decimal"/>
      <w:lvlText w:val=""/>
      <w:lvlJc w:val="left"/>
    </w:lvl>
    <w:lvl w:ilvl="5" w:tplc="263C5378">
      <w:numFmt w:val="decimal"/>
      <w:lvlText w:val=""/>
      <w:lvlJc w:val="left"/>
    </w:lvl>
    <w:lvl w:ilvl="6" w:tplc="BAD6164C">
      <w:numFmt w:val="decimal"/>
      <w:lvlText w:val=""/>
      <w:lvlJc w:val="left"/>
    </w:lvl>
    <w:lvl w:ilvl="7" w:tplc="B84A8EB6">
      <w:numFmt w:val="decimal"/>
      <w:lvlText w:val=""/>
      <w:lvlJc w:val="left"/>
    </w:lvl>
    <w:lvl w:ilvl="8" w:tplc="489CE4B8">
      <w:numFmt w:val="decimal"/>
      <w:lvlText w:val=""/>
      <w:lvlJc w:val="left"/>
    </w:lvl>
  </w:abstractNum>
  <w:abstractNum w:abstractNumId="814" w15:restartNumberingAfterBreak="0">
    <w:nsid w:val="3D2B648A"/>
    <w:multiLevelType w:val="hybridMultilevel"/>
    <w:tmpl w:val="87F0AB70"/>
    <w:lvl w:ilvl="0" w:tplc="6026F21A">
      <w:start w:val="1"/>
      <w:numFmt w:val="bullet"/>
      <w:lvlText w:val=""/>
      <w:lvlJc w:val="left"/>
      <w:pPr>
        <w:ind w:left="720" w:hanging="180"/>
      </w:pPr>
      <w:rPr>
        <w:rFonts w:ascii="Symbol" w:hAnsi="Symbol" w:hint="default"/>
      </w:rPr>
    </w:lvl>
    <w:lvl w:ilvl="1" w:tplc="56D00416">
      <w:numFmt w:val="decimal"/>
      <w:lvlText w:val=""/>
      <w:lvlJc w:val="left"/>
    </w:lvl>
    <w:lvl w:ilvl="2" w:tplc="0D2CA5C2">
      <w:numFmt w:val="decimal"/>
      <w:lvlText w:val=""/>
      <w:lvlJc w:val="left"/>
    </w:lvl>
    <w:lvl w:ilvl="3" w:tplc="963880DA">
      <w:numFmt w:val="decimal"/>
      <w:lvlText w:val=""/>
      <w:lvlJc w:val="left"/>
    </w:lvl>
    <w:lvl w:ilvl="4" w:tplc="C5306EA0">
      <w:numFmt w:val="decimal"/>
      <w:lvlText w:val=""/>
      <w:lvlJc w:val="left"/>
    </w:lvl>
    <w:lvl w:ilvl="5" w:tplc="69C2AAE8">
      <w:numFmt w:val="decimal"/>
      <w:lvlText w:val=""/>
      <w:lvlJc w:val="left"/>
    </w:lvl>
    <w:lvl w:ilvl="6" w:tplc="078AA788">
      <w:numFmt w:val="decimal"/>
      <w:lvlText w:val=""/>
      <w:lvlJc w:val="left"/>
    </w:lvl>
    <w:lvl w:ilvl="7" w:tplc="A40ABE74">
      <w:numFmt w:val="decimal"/>
      <w:lvlText w:val=""/>
      <w:lvlJc w:val="left"/>
    </w:lvl>
    <w:lvl w:ilvl="8" w:tplc="0A8A942A">
      <w:numFmt w:val="decimal"/>
      <w:lvlText w:val=""/>
      <w:lvlJc w:val="left"/>
    </w:lvl>
  </w:abstractNum>
  <w:abstractNum w:abstractNumId="815" w15:restartNumberingAfterBreak="0">
    <w:nsid w:val="3D5A6030"/>
    <w:multiLevelType w:val="hybridMultilevel"/>
    <w:tmpl w:val="9E7698B6"/>
    <w:lvl w:ilvl="0" w:tplc="FFE6D946">
      <w:start w:val="1"/>
      <w:numFmt w:val="bullet"/>
      <w:lvlText w:val=""/>
      <w:lvlJc w:val="left"/>
      <w:pPr>
        <w:ind w:left="720" w:hanging="180"/>
      </w:pPr>
      <w:rPr>
        <w:rFonts w:ascii="Symbol" w:hAnsi="Symbol" w:hint="default"/>
      </w:rPr>
    </w:lvl>
    <w:lvl w:ilvl="1" w:tplc="0ACA2D0C">
      <w:numFmt w:val="decimal"/>
      <w:lvlText w:val=""/>
      <w:lvlJc w:val="left"/>
    </w:lvl>
    <w:lvl w:ilvl="2" w:tplc="6E1CABCC">
      <w:numFmt w:val="decimal"/>
      <w:lvlText w:val=""/>
      <w:lvlJc w:val="left"/>
    </w:lvl>
    <w:lvl w:ilvl="3" w:tplc="5D96AB54">
      <w:numFmt w:val="decimal"/>
      <w:lvlText w:val=""/>
      <w:lvlJc w:val="left"/>
    </w:lvl>
    <w:lvl w:ilvl="4" w:tplc="6570E46E">
      <w:numFmt w:val="decimal"/>
      <w:lvlText w:val=""/>
      <w:lvlJc w:val="left"/>
    </w:lvl>
    <w:lvl w:ilvl="5" w:tplc="DB1C52CE">
      <w:numFmt w:val="decimal"/>
      <w:lvlText w:val=""/>
      <w:lvlJc w:val="left"/>
    </w:lvl>
    <w:lvl w:ilvl="6" w:tplc="3E5A6EEC">
      <w:numFmt w:val="decimal"/>
      <w:lvlText w:val=""/>
      <w:lvlJc w:val="left"/>
    </w:lvl>
    <w:lvl w:ilvl="7" w:tplc="EEAAADF4">
      <w:numFmt w:val="decimal"/>
      <w:lvlText w:val=""/>
      <w:lvlJc w:val="left"/>
    </w:lvl>
    <w:lvl w:ilvl="8" w:tplc="F490F3FE">
      <w:numFmt w:val="decimal"/>
      <w:lvlText w:val=""/>
      <w:lvlJc w:val="left"/>
    </w:lvl>
  </w:abstractNum>
  <w:abstractNum w:abstractNumId="816" w15:restartNumberingAfterBreak="0">
    <w:nsid w:val="3D8306AB"/>
    <w:multiLevelType w:val="hybridMultilevel"/>
    <w:tmpl w:val="16FC202E"/>
    <w:lvl w:ilvl="0" w:tplc="DFB8577A">
      <w:start w:val="1"/>
      <w:numFmt w:val="bullet"/>
      <w:lvlText w:val=""/>
      <w:lvlJc w:val="left"/>
      <w:pPr>
        <w:ind w:left="720" w:hanging="180"/>
      </w:pPr>
      <w:rPr>
        <w:rFonts w:ascii="Symbol" w:hAnsi="Symbol" w:hint="default"/>
      </w:rPr>
    </w:lvl>
    <w:lvl w:ilvl="1" w:tplc="65EA3A8C">
      <w:numFmt w:val="decimal"/>
      <w:lvlText w:val=""/>
      <w:lvlJc w:val="left"/>
    </w:lvl>
    <w:lvl w:ilvl="2" w:tplc="74AEBA6C">
      <w:numFmt w:val="decimal"/>
      <w:lvlText w:val=""/>
      <w:lvlJc w:val="left"/>
    </w:lvl>
    <w:lvl w:ilvl="3" w:tplc="4F18DD18">
      <w:numFmt w:val="decimal"/>
      <w:lvlText w:val=""/>
      <w:lvlJc w:val="left"/>
    </w:lvl>
    <w:lvl w:ilvl="4" w:tplc="9A8EA8BA">
      <w:numFmt w:val="decimal"/>
      <w:lvlText w:val=""/>
      <w:lvlJc w:val="left"/>
    </w:lvl>
    <w:lvl w:ilvl="5" w:tplc="929CECC0">
      <w:numFmt w:val="decimal"/>
      <w:lvlText w:val=""/>
      <w:lvlJc w:val="left"/>
    </w:lvl>
    <w:lvl w:ilvl="6" w:tplc="1DF21718">
      <w:numFmt w:val="decimal"/>
      <w:lvlText w:val=""/>
      <w:lvlJc w:val="left"/>
    </w:lvl>
    <w:lvl w:ilvl="7" w:tplc="61C648EE">
      <w:numFmt w:val="decimal"/>
      <w:lvlText w:val=""/>
      <w:lvlJc w:val="left"/>
    </w:lvl>
    <w:lvl w:ilvl="8" w:tplc="3F8E8FB4">
      <w:numFmt w:val="decimal"/>
      <w:lvlText w:val=""/>
      <w:lvlJc w:val="left"/>
    </w:lvl>
  </w:abstractNum>
  <w:abstractNum w:abstractNumId="817" w15:restartNumberingAfterBreak="0">
    <w:nsid w:val="3D890111"/>
    <w:multiLevelType w:val="hybridMultilevel"/>
    <w:tmpl w:val="44643106"/>
    <w:lvl w:ilvl="0" w:tplc="0DA0126A">
      <w:start w:val="1"/>
      <w:numFmt w:val="bullet"/>
      <w:lvlText w:val=""/>
      <w:lvlJc w:val="left"/>
      <w:pPr>
        <w:ind w:left="720" w:hanging="180"/>
      </w:pPr>
      <w:rPr>
        <w:rFonts w:ascii="Symbol" w:hAnsi="Symbol" w:hint="default"/>
      </w:rPr>
    </w:lvl>
    <w:lvl w:ilvl="1" w:tplc="DF7C2332">
      <w:numFmt w:val="decimal"/>
      <w:lvlText w:val=""/>
      <w:lvlJc w:val="left"/>
    </w:lvl>
    <w:lvl w:ilvl="2" w:tplc="8C60D48E">
      <w:numFmt w:val="decimal"/>
      <w:lvlText w:val=""/>
      <w:lvlJc w:val="left"/>
    </w:lvl>
    <w:lvl w:ilvl="3" w:tplc="CA269900">
      <w:numFmt w:val="decimal"/>
      <w:lvlText w:val=""/>
      <w:lvlJc w:val="left"/>
    </w:lvl>
    <w:lvl w:ilvl="4" w:tplc="293A23EC">
      <w:numFmt w:val="decimal"/>
      <w:lvlText w:val=""/>
      <w:lvlJc w:val="left"/>
    </w:lvl>
    <w:lvl w:ilvl="5" w:tplc="78A82772">
      <w:numFmt w:val="decimal"/>
      <w:lvlText w:val=""/>
      <w:lvlJc w:val="left"/>
    </w:lvl>
    <w:lvl w:ilvl="6" w:tplc="CF00AE4A">
      <w:numFmt w:val="decimal"/>
      <w:lvlText w:val=""/>
      <w:lvlJc w:val="left"/>
    </w:lvl>
    <w:lvl w:ilvl="7" w:tplc="B76AD82E">
      <w:numFmt w:val="decimal"/>
      <w:lvlText w:val=""/>
      <w:lvlJc w:val="left"/>
    </w:lvl>
    <w:lvl w:ilvl="8" w:tplc="D90E9EAE">
      <w:numFmt w:val="decimal"/>
      <w:lvlText w:val=""/>
      <w:lvlJc w:val="left"/>
    </w:lvl>
  </w:abstractNum>
  <w:abstractNum w:abstractNumId="818" w15:restartNumberingAfterBreak="0">
    <w:nsid w:val="3D896982"/>
    <w:multiLevelType w:val="hybridMultilevel"/>
    <w:tmpl w:val="BB5A14EE"/>
    <w:lvl w:ilvl="0" w:tplc="4D76007A">
      <w:start w:val="1"/>
      <w:numFmt w:val="bullet"/>
      <w:lvlText w:val=""/>
      <w:lvlJc w:val="left"/>
      <w:pPr>
        <w:ind w:left="720" w:hanging="180"/>
      </w:pPr>
      <w:rPr>
        <w:rFonts w:ascii="Symbol" w:hAnsi="Symbol" w:hint="default"/>
      </w:rPr>
    </w:lvl>
    <w:lvl w:ilvl="1" w:tplc="AE72E618">
      <w:numFmt w:val="decimal"/>
      <w:lvlText w:val=""/>
      <w:lvlJc w:val="left"/>
    </w:lvl>
    <w:lvl w:ilvl="2" w:tplc="E586E5A6">
      <w:numFmt w:val="decimal"/>
      <w:lvlText w:val=""/>
      <w:lvlJc w:val="left"/>
    </w:lvl>
    <w:lvl w:ilvl="3" w:tplc="C53C03CE">
      <w:numFmt w:val="decimal"/>
      <w:lvlText w:val=""/>
      <w:lvlJc w:val="left"/>
    </w:lvl>
    <w:lvl w:ilvl="4" w:tplc="6AA6BDD4">
      <w:numFmt w:val="decimal"/>
      <w:lvlText w:val=""/>
      <w:lvlJc w:val="left"/>
    </w:lvl>
    <w:lvl w:ilvl="5" w:tplc="E3E8E476">
      <w:numFmt w:val="decimal"/>
      <w:lvlText w:val=""/>
      <w:lvlJc w:val="left"/>
    </w:lvl>
    <w:lvl w:ilvl="6" w:tplc="1A94DFF6">
      <w:numFmt w:val="decimal"/>
      <w:lvlText w:val=""/>
      <w:lvlJc w:val="left"/>
    </w:lvl>
    <w:lvl w:ilvl="7" w:tplc="7A3CEFF4">
      <w:numFmt w:val="decimal"/>
      <w:lvlText w:val=""/>
      <w:lvlJc w:val="left"/>
    </w:lvl>
    <w:lvl w:ilvl="8" w:tplc="2AECF928">
      <w:numFmt w:val="decimal"/>
      <w:lvlText w:val=""/>
      <w:lvlJc w:val="left"/>
    </w:lvl>
  </w:abstractNum>
  <w:abstractNum w:abstractNumId="819" w15:restartNumberingAfterBreak="0">
    <w:nsid w:val="3D983D81"/>
    <w:multiLevelType w:val="hybridMultilevel"/>
    <w:tmpl w:val="715C3390"/>
    <w:lvl w:ilvl="0" w:tplc="866679AA">
      <w:start w:val="1"/>
      <w:numFmt w:val="bullet"/>
      <w:lvlText w:val=""/>
      <w:lvlJc w:val="left"/>
      <w:pPr>
        <w:ind w:left="720" w:hanging="180"/>
      </w:pPr>
      <w:rPr>
        <w:rFonts w:ascii="Symbol" w:hAnsi="Symbol" w:hint="default"/>
      </w:rPr>
    </w:lvl>
    <w:lvl w:ilvl="1" w:tplc="D9E8124E">
      <w:numFmt w:val="decimal"/>
      <w:lvlText w:val=""/>
      <w:lvlJc w:val="left"/>
    </w:lvl>
    <w:lvl w:ilvl="2" w:tplc="B19408D4">
      <w:numFmt w:val="decimal"/>
      <w:lvlText w:val=""/>
      <w:lvlJc w:val="left"/>
    </w:lvl>
    <w:lvl w:ilvl="3" w:tplc="F8FC9904">
      <w:numFmt w:val="decimal"/>
      <w:lvlText w:val=""/>
      <w:lvlJc w:val="left"/>
    </w:lvl>
    <w:lvl w:ilvl="4" w:tplc="C4F6BA68">
      <w:numFmt w:val="decimal"/>
      <w:lvlText w:val=""/>
      <w:lvlJc w:val="left"/>
    </w:lvl>
    <w:lvl w:ilvl="5" w:tplc="970ABF72">
      <w:numFmt w:val="decimal"/>
      <w:lvlText w:val=""/>
      <w:lvlJc w:val="left"/>
    </w:lvl>
    <w:lvl w:ilvl="6" w:tplc="1C3EC322">
      <w:numFmt w:val="decimal"/>
      <w:lvlText w:val=""/>
      <w:lvlJc w:val="left"/>
    </w:lvl>
    <w:lvl w:ilvl="7" w:tplc="98B26B88">
      <w:numFmt w:val="decimal"/>
      <w:lvlText w:val=""/>
      <w:lvlJc w:val="left"/>
    </w:lvl>
    <w:lvl w:ilvl="8" w:tplc="E110B8E6">
      <w:numFmt w:val="decimal"/>
      <w:lvlText w:val=""/>
      <w:lvlJc w:val="left"/>
    </w:lvl>
  </w:abstractNum>
  <w:abstractNum w:abstractNumId="820" w15:restartNumberingAfterBreak="0">
    <w:nsid w:val="3DA0579E"/>
    <w:multiLevelType w:val="hybridMultilevel"/>
    <w:tmpl w:val="2528EF44"/>
    <w:lvl w:ilvl="0" w:tplc="C5A4D45E">
      <w:start w:val="1"/>
      <w:numFmt w:val="bullet"/>
      <w:lvlText w:val=""/>
      <w:lvlJc w:val="left"/>
      <w:pPr>
        <w:ind w:left="720" w:hanging="180"/>
      </w:pPr>
      <w:rPr>
        <w:rFonts w:ascii="Symbol" w:hAnsi="Symbol" w:hint="default"/>
      </w:rPr>
    </w:lvl>
    <w:lvl w:ilvl="1" w:tplc="9FB0A3AA">
      <w:numFmt w:val="decimal"/>
      <w:lvlText w:val=""/>
      <w:lvlJc w:val="left"/>
    </w:lvl>
    <w:lvl w:ilvl="2" w:tplc="2B0A7142">
      <w:numFmt w:val="decimal"/>
      <w:lvlText w:val=""/>
      <w:lvlJc w:val="left"/>
    </w:lvl>
    <w:lvl w:ilvl="3" w:tplc="67221E2E">
      <w:numFmt w:val="decimal"/>
      <w:lvlText w:val=""/>
      <w:lvlJc w:val="left"/>
    </w:lvl>
    <w:lvl w:ilvl="4" w:tplc="16C84874">
      <w:numFmt w:val="decimal"/>
      <w:lvlText w:val=""/>
      <w:lvlJc w:val="left"/>
    </w:lvl>
    <w:lvl w:ilvl="5" w:tplc="EF7E42D4">
      <w:numFmt w:val="decimal"/>
      <w:lvlText w:val=""/>
      <w:lvlJc w:val="left"/>
    </w:lvl>
    <w:lvl w:ilvl="6" w:tplc="2A066B24">
      <w:numFmt w:val="decimal"/>
      <w:lvlText w:val=""/>
      <w:lvlJc w:val="left"/>
    </w:lvl>
    <w:lvl w:ilvl="7" w:tplc="E44A8982">
      <w:numFmt w:val="decimal"/>
      <w:lvlText w:val=""/>
      <w:lvlJc w:val="left"/>
    </w:lvl>
    <w:lvl w:ilvl="8" w:tplc="C658CE8A">
      <w:numFmt w:val="decimal"/>
      <w:lvlText w:val=""/>
      <w:lvlJc w:val="left"/>
    </w:lvl>
  </w:abstractNum>
  <w:abstractNum w:abstractNumId="821" w15:restartNumberingAfterBreak="0">
    <w:nsid w:val="3DC43CAC"/>
    <w:multiLevelType w:val="hybridMultilevel"/>
    <w:tmpl w:val="C9D22BD4"/>
    <w:lvl w:ilvl="0" w:tplc="B29476DE">
      <w:start w:val="1"/>
      <w:numFmt w:val="bullet"/>
      <w:lvlText w:val=""/>
      <w:lvlJc w:val="left"/>
      <w:pPr>
        <w:ind w:left="720" w:hanging="180"/>
      </w:pPr>
      <w:rPr>
        <w:rFonts w:ascii="Symbol" w:hAnsi="Symbol" w:hint="default"/>
      </w:rPr>
    </w:lvl>
    <w:lvl w:ilvl="1" w:tplc="A81A92D6">
      <w:numFmt w:val="decimal"/>
      <w:lvlText w:val=""/>
      <w:lvlJc w:val="left"/>
    </w:lvl>
    <w:lvl w:ilvl="2" w:tplc="8F344E74">
      <w:numFmt w:val="decimal"/>
      <w:lvlText w:val=""/>
      <w:lvlJc w:val="left"/>
    </w:lvl>
    <w:lvl w:ilvl="3" w:tplc="39DAEB9C">
      <w:numFmt w:val="decimal"/>
      <w:lvlText w:val=""/>
      <w:lvlJc w:val="left"/>
    </w:lvl>
    <w:lvl w:ilvl="4" w:tplc="7346D458">
      <w:numFmt w:val="decimal"/>
      <w:lvlText w:val=""/>
      <w:lvlJc w:val="left"/>
    </w:lvl>
    <w:lvl w:ilvl="5" w:tplc="BCD030CC">
      <w:numFmt w:val="decimal"/>
      <w:lvlText w:val=""/>
      <w:lvlJc w:val="left"/>
    </w:lvl>
    <w:lvl w:ilvl="6" w:tplc="4D0A0046">
      <w:numFmt w:val="decimal"/>
      <w:lvlText w:val=""/>
      <w:lvlJc w:val="left"/>
    </w:lvl>
    <w:lvl w:ilvl="7" w:tplc="E564EBD4">
      <w:numFmt w:val="decimal"/>
      <w:lvlText w:val=""/>
      <w:lvlJc w:val="left"/>
    </w:lvl>
    <w:lvl w:ilvl="8" w:tplc="C302C5CC">
      <w:numFmt w:val="decimal"/>
      <w:lvlText w:val=""/>
      <w:lvlJc w:val="left"/>
    </w:lvl>
  </w:abstractNum>
  <w:abstractNum w:abstractNumId="822" w15:restartNumberingAfterBreak="0">
    <w:nsid w:val="3DF51223"/>
    <w:multiLevelType w:val="hybridMultilevel"/>
    <w:tmpl w:val="D728ADFC"/>
    <w:lvl w:ilvl="0" w:tplc="45B23184">
      <w:start w:val="1"/>
      <w:numFmt w:val="bullet"/>
      <w:lvlText w:val=""/>
      <w:lvlJc w:val="left"/>
      <w:pPr>
        <w:ind w:left="720" w:hanging="180"/>
      </w:pPr>
      <w:rPr>
        <w:rFonts w:ascii="Symbol" w:hAnsi="Symbol" w:hint="default"/>
      </w:rPr>
    </w:lvl>
    <w:lvl w:ilvl="1" w:tplc="020A81AE">
      <w:numFmt w:val="decimal"/>
      <w:lvlText w:val=""/>
      <w:lvlJc w:val="left"/>
    </w:lvl>
    <w:lvl w:ilvl="2" w:tplc="6BAAF3D8">
      <w:numFmt w:val="decimal"/>
      <w:lvlText w:val=""/>
      <w:lvlJc w:val="left"/>
    </w:lvl>
    <w:lvl w:ilvl="3" w:tplc="5FF0F6D6">
      <w:numFmt w:val="decimal"/>
      <w:lvlText w:val=""/>
      <w:lvlJc w:val="left"/>
    </w:lvl>
    <w:lvl w:ilvl="4" w:tplc="21901B30">
      <w:numFmt w:val="decimal"/>
      <w:lvlText w:val=""/>
      <w:lvlJc w:val="left"/>
    </w:lvl>
    <w:lvl w:ilvl="5" w:tplc="5C4AD8E2">
      <w:numFmt w:val="decimal"/>
      <w:lvlText w:val=""/>
      <w:lvlJc w:val="left"/>
    </w:lvl>
    <w:lvl w:ilvl="6" w:tplc="D9C01452">
      <w:numFmt w:val="decimal"/>
      <w:lvlText w:val=""/>
      <w:lvlJc w:val="left"/>
    </w:lvl>
    <w:lvl w:ilvl="7" w:tplc="FCB2EC8C">
      <w:numFmt w:val="decimal"/>
      <w:lvlText w:val=""/>
      <w:lvlJc w:val="left"/>
    </w:lvl>
    <w:lvl w:ilvl="8" w:tplc="658288D8">
      <w:numFmt w:val="decimal"/>
      <w:lvlText w:val=""/>
      <w:lvlJc w:val="left"/>
    </w:lvl>
  </w:abstractNum>
  <w:abstractNum w:abstractNumId="823" w15:restartNumberingAfterBreak="0">
    <w:nsid w:val="3E020983"/>
    <w:multiLevelType w:val="hybridMultilevel"/>
    <w:tmpl w:val="495E1208"/>
    <w:lvl w:ilvl="0" w:tplc="2CAAD144">
      <w:start w:val="1"/>
      <w:numFmt w:val="bullet"/>
      <w:lvlText w:val=""/>
      <w:lvlJc w:val="left"/>
      <w:pPr>
        <w:ind w:left="720" w:hanging="180"/>
      </w:pPr>
      <w:rPr>
        <w:rFonts w:ascii="Symbol" w:hAnsi="Symbol" w:hint="default"/>
      </w:rPr>
    </w:lvl>
    <w:lvl w:ilvl="1" w:tplc="AE0223B2">
      <w:numFmt w:val="decimal"/>
      <w:lvlText w:val=""/>
      <w:lvlJc w:val="left"/>
    </w:lvl>
    <w:lvl w:ilvl="2" w:tplc="DC429428">
      <w:numFmt w:val="decimal"/>
      <w:lvlText w:val=""/>
      <w:lvlJc w:val="left"/>
    </w:lvl>
    <w:lvl w:ilvl="3" w:tplc="5644EC32">
      <w:numFmt w:val="decimal"/>
      <w:lvlText w:val=""/>
      <w:lvlJc w:val="left"/>
    </w:lvl>
    <w:lvl w:ilvl="4" w:tplc="DFBA6BEC">
      <w:numFmt w:val="decimal"/>
      <w:lvlText w:val=""/>
      <w:lvlJc w:val="left"/>
    </w:lvl>
    <w:lvl w:ilvl="5" w:tplc="D00E3082">
      <w:numFmt w:val="decimal"/>
      <w:lvlText w:val=""/>
      <w:lvlJc w:val="left"/>
    </w:lvl>
    <w:lvl w:ilvl="6" w:tplc="446A0B00">
      <w:numFmt w:val="decimal"/>
      <w:lvlText w:val=""/>
      <w:lvlJc w:val="left"/>
    </w:lvl>
    <w:lvl w:ilvl="7" w:tplc="6FBC0B56">
      <w:numFmt w:val="decimal"/>
      <w:lvlText w:val=""/>
      <w:lvlJc w:val="left"/>
    </w:lvl>
    <w:lvl w:ilvl="8" w:tplc="58620BA4">
      <w:numFmt w:val="decimal"/>
      <w:lvlText w:val=""/>
      <w:lvlJc w:val="left"/>
    </w:lvl>
  </w:abstractNum>
  <w:abstractNum w:abstractNumId="824" w15:restartNumberingAfterBreak="0">
    <w:nsid w:val="3E191867"/>
    <w:multiLevelType w:val="hybridMultilevel"/>
    <w:tmpl w:val="B1D6E2BA"/>
    <w:lvl w:ilvl="0" w:tplc="816CB1AE">
      <w:numFmt w:val="decimal"/>
      <w:lvlText w:val=""/>
      <w:lvlJc w:val="left"/>
    </w:lvl>
    <w:lvl w:ilvl="1" w:tplc="0CB616AE">
      <w:start w:val="1"/>
      <w:numFmt w:val="bullet"/>
      <w:lvlText w:val=""/>
      <w:lvlJc w:val="left"/>
      <w:pPr>
        <w:ind w:left="1440" w:hanging="180"/>
      </w:pPr>
      <w:rPr>
        <w:rFonts w:ascii="Symbol" w:hAnsi="Symbol" w:hint="default"/>
      </w:rPr>
    </w:lvl>
    <w:lvl w:ilvl="2" w:tplc="50CE506A">
      <w:numFmt w:val="decimal"/>
      <w:lvlText w:val=""/>
      <w:lvlJc w:val="left"/>
    </w:lvl>
    <w:lvl w:ilvl="3" w:tplc="5C6E46F6">
      <w:numFmt w:val="decimal"/>
      <w:lvlText w:val=""/>
      <w:lvlJc w:val="left"/>
    </w:lvl>
    <w:lvl w:ilvl="4" w:tplc="D1507E9C">
      <w:numFmt w:val="decimal"/>
      <w:lvlText w:val=""/>
      <w:lvlJc w:val="left"/>
    </w:lvl>
    <w:lvl w:ilvl="5" w:tplc="CB52A40C">
      <w:numFmt w:val="decimal"/>
      <w:lvlText w:val=""/>
      <w:lvlJc w:val="left"/>
    </w:lvl>
    <w:lvl w:ilvl="6" w:tplc="D9DA226C">
      <w:numFmt w:val="decimal"/>
      <w:lvlText w:val=""/>
      <w:lvlJc w:val="left"/>
    </w:lvl>
    <w:lvl w:ilvl="7" w:tplc="0212CFA6">
      <w:numFmt w:val="decimal"/>
      <w:lvlText w:val=""/>
      <w:lvlJc w:val="left"/>
    </w:lvl>
    <w:lvl w:ilvl="8" w:tplc="8E5260F6">
      <w:numFmt w:val="decimal"/>
      <w:lvlText w:val=""/>
      <w:lvlJc w:val="left"/>
    </w:lvl>
  </w:abstractNum>
  <w:abstractNum w:abstractNumId="825" w15:restartNumberingAfterBreak="0">
    <w:nsid w:val="3E324A10"/>
    <w:multiLevelType w:val="hybridMultilevel"/>
    <w:tmpl w:val="08C4B018"/>
    <w:lvl w:ilvl="0" w:tplc="24D09244">
      <w:start w:val="1"/>
      <w:numFmt w:val="bullet"/>
      <w:lvlText w:val=""/>
      <w:lvlJc w:val="left"/>
      <w:pPr>
        <w:ind w:left="720" w:hanging="180"/>
      </w:pPr>
      <w:rPr>
        <w:rFonts w:ascii="Symbol" w:hAnsi="Symbol" w:hint="default"/>
      </w:rPr>
    </w:lvl>
    <w:lvl w:ilvl="1" w:tplc="E1FE859E">
      <w:numFmt w:val="decimal"/>
      <w:lvlText w:val=""/>
      <w:lvlJc w:val="left"/>
    </w:lvl>
    <w:lvl w:ilvl="2" w:tplc="61987638">
      <w:numFmt w:val="decimal"/>
      <w:lvlText w:val=""/>
      <w:lvlJc w:val="left"/>
    </w:lvl>
    <w:lvl w:ilvl="3" w:tplc="A434D228">
      <w:numFmt w:val="decimal"/>
      <w:lvlText w:val=""/>
      <w:lvlJc w:val="left"/>
    </w:lvl>
    <w:lvl w:ilvl="4" w:tplc="ECE0F1FA">
      <w:numFmt w:val="decimal"/>
      <w:lvlText w:val=""/>
      <w:lvlJc w:val="left"/>
    </w:lvl>
    <w:lvl w:ilvl="5" w:tplc="C8641832">
      <w:numFmt w:val="decimal"/>
      <w:lvlText w:val=""/>
      <w:lvlJc w:val="left"/>
    </w:lvl>
    <w:lvl w:ilvl="6" w:tplc="B6EA9BEE">
      <w:numFmt w:val="decimal"/>
      <w:lvlText w:val=""/>
      <w:lvlJc w:val="left"/>
    </w:lvl>
    <w:lvl w:ilvl="7" w:tplc="5F14DD8E">
      <w:numFmt w:val="decimal"/>
      <w:lvlText w:val=""/>
      <w:lvlJc w:val="left"/>
    </w:lvl>
    <w:lvl w:ilvl="8" w:tplc="1EBC8D04">
      <w:numFmt w:val="decimal"/>
      <w:lvlText w:val=""/>
      <w:lvlJc w:val="left"/>
    </w:lvl>
  </w:abstractNum>
  <w:abstractNum w:abstractNumId="826" w15:restartNumberingAfterBreak="0">
    <w:nsid w:val="3E6B4F18"/>
    <w:multiLevelType w:val="hybridMultilevel"/>
    <w:tmpl w:val="1218625A"/>
    <w:lvl w:ilvl="0" w:tplc="762E5FCE">
      <w:start w:val="1"/>
      <w:numFmt w:val="bullet"/>
      <w:lvlText w:val=""/>
      <w:lvlJc w:val="left"/>
      <w:pPr>
        <w:ind w:left="720" w:hanging="180"/>
      </w:pPr>
      <w:rPr>
        <w:rFonts w:ascii="Symbol" w:hAnsi="Symbol" w:hint="default"/>
      </w:rPr>
    </w:lvl>
    <w:lvl w:ilvl="1" w:tplc="F3E4379E">
      <w:numFmt w:val="decimal"/>
      <w:lvlText w:val=""/>
      <w:lvlJc w:val="left"/>
    </w:lvl>
    <w:lvl w:ilvl="2" w:tplc="11903756">
      <w:numFmt w:val="decimal"/>
      <w:lvlText w:val=""/>
      <w:lvlJc w:val="left"/>
    </w:lvl>
    <w:lvl w:ilvl="3" w:tplc="66625754">
      <w:numFmt w:val="decimal"/>
      <w:lvlText w:val=""/>
      <w:lvlJc w:val="left"/>
    </w:lvl>
    <w:lvl w:ilvl="4" w:tplc="89BED9FC">
      <w:numFmt w:val="decimal"/>
      <w:lvlText w:val=""/>
      <w:lvlJc w:val="left"/>
    </w:lvl>
    <w:lvl w:ilvl="5" w:tplc="4F1067A0">
      <w:numFmt w:val="decimal"/>
      <w:lvlText w:val=""/>
      <w:lvlJc w:val="left"/>
    </w:lvl>
    <w:lvl w:ilvl="6" w:tplc="F15014CA">
      <w:numFmt w:val="decimal"/>
      <w:lvlText w:val=""/>
      <w:lvlJc w:val="left"/>
    </w:lvl>
    <w:lvl w:ilvl="7" w:tplc="D9B22E14">
      <w:numFmt w:val="decimal"/>
      <w:lvlText w:val=""/>
      <w:lvlJc w:val="left"/>
    </w:lvl>
    <w:lvl w:ilvl="8" w:tplc="FD8C8202">
      <w:numFmt w:val="decimal"/>
      <w:lvlText w:val=""/>
      <w:lvlJc w:val="left"/>
    </w:lvl>
  </w:abstractNum>
  <w:abstractNum w:abstractNumId="827" w15:restartNumberingAfterBreak="0">
    <w:nsid w:val="3E7E263B"/>
    <w:multiLevelType w:val="hybridMultilevel"/>
    <w:tmpl w:val="CD22426C"/>
    <w:lvl w:ilvl="0" w:tplc="7B969438">
      <w:start w:val="1"/>
      <w:numFmt w:val="bullet"/>
      <w:lvlText w:val=""/>
      <w:lvlJc w:val="left"/>
      <w:pPr>
        <w:ind w:left="720" w:hanging="180"/>
      </w:pPr>
      <w:rPr>
        <w:rFonts w:ascii="Symbol" w:hAnsi="Symbol" w:hint="default"/>
      </w:rPr>
    </w:lvl>
    <w:lvl w:ilvl="1" w:tplc="BCCC526A">
      <w:numFmt w:val="decimal"/>
      <w:lvlText w:val=""/>
      <w:lvlJc w:val="left"/>
    </w:lvl>
    <w:lvl w:ilvl="2" w:tplc="38627224">
      <w:numFmt w:val="decimal"/>
      <w:lvlText w:val=""/>
      <w:lvlJc w:val="left"/>
    </w:lvl>
    <w:lvl w:ilvl="3" w:tplc="6396DFDC">
      <w:numFmt w:val="decimal"/>
      <w:lvlText w:val=""/>
      <w:lvlJc w:val="left"/>
    </w:lvl>
    <w:lvl w:ilvl="4" w:tplc="B11C0116">
      <w:numFmt w:val="decimal"/>
      <w:lvlText w:val=""/>
      <w:lvlJc w:val="left"/>
    </w:lvl>
    <w:lvl w:ilvl="5" w:tplc="EF8A3872">
      <w:numFmt w:val="decimal"/>
      <w:lvlText w:val=""/>
      <w:lvlJc w:val="left"/>
    </w:lvl>
    <w:lvl w:ilvl="6" w:tplc="D262ABC6">
      <w:numFmt w:val="decimal"/>
      <w:lvlText w:val=""/>
      <w:lvlJc w:val="left"/>
    </w:lvl>
    <w:lvl w:ilvl="7" w:tplc="539258F2">
      <w:numFmt w:val="decimal"/>
      <w:lvlText w:val=""/>
      <w:lvlJc w:val="left"/>
    </w:lvl>
    <w:lvl w:ilvl="8" w:tplc="C7E09250">
      <w:numFmt w:val="decimal"/>
      <w:lvlText w:val=""/>
      <w:lvlJc w:val="left"/>
    </w:lvl>
  </w:abstractNum>
  <w:abstractNum w:abstractNumId="828" w15:restartNumberingAfterBreak="0">
    <w:nsid w:val="3E8A7E7F"/>
    <w:multiLevelType w:val="hybridMultilevel"/>
    <w:tmpl w:val="2D7095DA"/>
    <w:lvl w:ilvl="0" w:tplc="59D01D42">
      <w:start w:val="1"/>
      <w:numFmt w:val="bullet"/>
      <w:lvlText w:val=""/>
      <w:lvlJc w:val="left"/>
      <w:pPr>
        <w:ind w:left="720" w:hanging="180"/>
      </w:pPr>
      <w:rPr>
        <w:rFonts w:ascii="Symbol" w:hAnsi="Symbol" w:hint="default"/>
      </w:rPr>
    </w:lvl>
    <w:lvl w:ilvl="1" w:tplc="BC6CFFC0">
      <w:numFmt w:val="decimal"/>
      <w:lvlText w:val=""/>
      <w:lvlJc w:val="left"/>
    </w:lvl>
    <w:lvl w:ilvl="2" w:tplc="F2DA3754">
      <w:numFmt w:val="decimal"/>
      <w:lvlText w:val=""/>
      <w:lvlJc w:val="left"/>
    </w:lvl>
    <w:lvl w:ilvl="3" w:tplc="E6CCE402">
      <w:numFmt w:val="decimal"/>
      <w:lvlText w:val=""/>
      <w:lvlJc w:val="left"/>
    </w:lvl>
    <w:lvl w:ilvl="4" w:tplc="C8087AA2">
      <w:numFmt w:val="decimal"/>
      <w:lvlText w:val=""/>
      <w:lvlJc w:val="left"/>
    </w:lvl>
    <w:lvl w:ilvl="5" w:tplc="FA485340">
      <w:numFmt w:val="decimal"/>
      <w:lvlText w:val=""/>
      <w:lvlJc w:val="left"/>
    </w:lvl>
    <w:lvl w:ilvl="6" w:tplc="181C2BCA">
      <w:numFmt w:val="decimal"/>
      <w:lvlText w:val=""/>
      <w:lvlJc w:val="left"/>
    </w:lvl>
    <w:lvl w:ilvl="7" w:tplc="2B9C5B04">
      <w:numFmt w:val="decimal"/>
      <w:lvlText w:val=""/>
      <w:lvlJc w:val="left"/>
    </w:lvl>
    <w:lvl w:ilvl="8" w:tplc="231655FA">
      <w:numFmt w:val="decimal"/>
      <w:lvlText w:val=""/>
      <w:lvlJc w:val="left"/>
    </w:lvl>
  </w:abstractNum>
  <w:abstractNum w:abstractNumId="829" w15:restartNumberingAfterBreak="0">
    <w:nsid w:val="3EA32D26"/>
    <w:multiLevelType w:val="hybridMultilevel"/>
    <w:tmpl w:val="72A00520"/>
    <w:lvl w:ilvl="0" w:tplc="FB08E792">
      <w:start w:val="1"/>
      <w:numFmt w:val="bullet"/>
      <w:lvlText w:val=""/>
      <w:lvlJc w:val="left"/>
      <w:pPr>
        <w:ind w:left="720" w:hanging="180"/>
      </w:pPr>
      <w:rPr>
        <w:rFonts w:ascii="Symbol" w:hAnsi="Symbol" w:hint="default"/>
      </w:rPr>
    </w:lvl>
    <w:lvl w:ilvl="1" w:tplc="81BA4C8C">
      <w:numFmt w:val="decimal"/>
      <w:lvlText w:val=""/>
      <w:lvlJc w:val="left"/>
    </w:lvl>
    <w:lvl w:ilvl="2" w:tplc="0F14BD7C">
      <w:numFmt w:val="decimal"/>
      <w:lvlText w:val=""/>
      <w:lvlJc w:val="left"/>
    </w:lvl>
    <w:lvl w:ilvl="3" w:tplc="F3D49870">
      <w:numFmt w:val="decimal"/>
      <w:lvlText w:val=""/>
      <w:lvlJc w:val="left"/>
    </w:lvl>
    <w:lvl w:ilvl="4" w:tplc="8B86FE4E">
      <w:numFmt w:val="decimal"/>
      <w:lvlText w:val=""/>
      <w:lvlJc w:val="left"/>
    </w:lvl>
    <w:lvl w:ilvl="5" w:tplc="8F181A32">
      <w:numFmt w:val="decimal"/>
      <w:lvlText w:val=""/>
      <w:lvlJc w:val="left"/>
    </w:lvl>
    <w:lvl w:ilvl="6" w:tplc="4D1A3D38">
      <w:numFmt w:val="decimal"/>
      <w:lvlText w:val=""/>
      <w:lvlJc w:val="left"/>
    </w:lvl>
    <w:lvl w:ilvl="7" w:tplc="F552CA7A">
      <w:numFmt w:val="decimal"/>
      <w:lvlText w:val=""/>
      <w:lvlJc w:val="left"/>
    </w:lvl>
    <w:lvl w:ilvl="8" w:tplc="1FF8DF50">
      <w:numFmt w:val="decimal"/>
      <w:lvlText w:val=""/>
      <w:lvlJc w:val="left"/>
    </w:lvl>
  </w:abstractNum>
  <w:abstractNum w:abstractNumId="830" w15:restartNumberingAfterBreak="0">
    <w:nsid w:val="3EA61CEA"/>
    <w:multiLevelType w:val="hybridMultilevel"/>
    <w:tmpl w:val="03A8B0B8"/>
    <w:lvl w:ilvl="0" w:tplc="1DFA575A">
      <w:start w:val="1"/>
      <w:numFmt w:val="bullet"/>
      <w:lvlText w:val=""/>
      <w:lvlJc w:val="left"/>
      <w:pPr>
        <w:ind w:left="720" w:hanging="180"/>
      </w:pPr>
      <w:rPr>
        <w:rFonts w:ascii="Symbol" w:hAnsi="Symbol" w:hint="default"/>
      </w:rPr>
    </w:lvl>
    <w:lvl w:ilvl="1" w:tplc="A46C500A">
      <w:numFmt w:val="decimal"/>
      <w:lvlText w:val=""/>
      <w:lvlJc w:val="left"/>
    </w:lvl>
    <w:lvl w:ilvl="2" w:tplc="E85A6CF4">
      <w:numFmt w:val="decimal"/>
      <w:lvlText w:val=""/>
      <w:lvlJc w:val="left"/>
    </w:lvl>
    <w:lvl w:ilvl="3" w:tplc="2BC0E380">
      <w:numFmt w:val="decimal"/>
      <w:lvlText w:val=""/>
      <w:lvlJc w:val="left"/>
    </w:lvl>
    <w:lvl w:ilvl="4" w:tplc="39E46944">
      <w:numFmt w:val="decimal"/>
      <w:lvlText w:val=""/>
      <w:lvlJc w:val="left"/>
    </w:lvl>
    <w:lvl w:ilvl="5" w:tplc="AE66F9A0">
      <w:numFmt w:val="decimal"/>
      <w:lvlText w:val=""/>
      <w:lvlJc w:val="left"/>
    </w:lvl>
    <w:lvl w:ilvl="6" w:tplc="04604E24">
      <w:numFmt w:val="decimal"/>
      <w:lvlText w:val=""/>
      <w:lvlJc w:val="left"/>
    </w:lvl>
    <w:lvl w:ilvl="7" w:tplc="34589C88">
      <w:numFmt w:val="decimal"/>
      <w:lvlText w:val=""/>
      <w:lvlJc w:val="left"/>
    </w:lvl>
    <w:lvl w:ilvl="8" w:tplc="BD8E68CC">
      <w:numFmt w:val="decimal"/>
      <w:lvlText w:val=""/>
      <w:lvlJc w:val="left"/>
    </w:lvl>
  </w:abstractNum>
  <w:abstractNum w:abstractNumId="831" w15:restartNumberingAfterBreak="0">
    <w:nsid w:val="3EAE4B7A"/>
    <w:multiLevelType w:val="hybridMultilevel"/>
    <w:tmpl w:val="B19ADFD4"/>
    <w:lvl w:ilvl="0" w:tplc="6DE0A1CA">
      <w:start w:val="1"/>
      <w:numFmt w:val="bullet"/>
      <w:lvlText w:val=""/>
      <w:lvlJc w:val="left"/>
      <w:pPr>
        <w:ind w:left="720" w:hanging="180"/>
      </w:pPr>
      <w:rPr>
        <w:rFonts w:ascii="Symbol" w:hAnsi="Symbol" w:hint="default"/>
      </w:rPr>
    </w:lvl>
    <w:lvl w:ilvl="1" w:tplc="4790F64E">
      <w:numFmt w:val="decimal"/>
      <w:lvlText w:val=""/>
      <w:lvlJc w:val="left"/>
    </w:lvl>
    <w:lvl w:ilvl="2" w:tplc="A6E89D0E">
      <w:numFmt w:val="decimal"/>
      <w:lvlText w:val=""/>
      <w:lvlJc w:val="left"/>
    </w:lvl>
    <w:lvl w:ilvl="3" w:tplc="C2B88662">
      <w:numFmt w:val="decimal"/>
      <w:lvlText w:val=""/>
      <w:lvlJc w:val="left"/>
    </w:lvl>
    <w:lvl w:ilvl="4" w:tplc="E424F654">
      <w:numFmt w:val="decimal"/>
      <w:lvlText w:val=""/>
      <w:lvlJc w:val="left"/>
    </w:lvl>
    <w:lvl w:ilvl="5" w:tplc="7EFC1D6A">
      <w:numFmt w:val="decimal"/>
      <w:lvlText w:val=""/>
      <w:lvlJc w:val="left"/>
    </w:lvl>
    <w:lvl w:ilvl="6" w:tplc="C6761718">
      <w:numFmt w:val="decimal"/>
      <w:lvlText w:val=""/>
      <w:lvlJc w:val="left"/>
    </w:lvl>
    <w:lvl w:ilvl="7" w:tplc="5E66F1EE">
      <w:numFmt w:val="decimal"/>
      <w:lvlText w:val=""/>
      <w:lvlJc w:val="left"/>
    </w:lvl>
    <w:lvl w:ilvl="8" w:tplc="F8961F3E">
      <w:numFmt w:val="decimal"/>
      <w:lvlText w:val=""/>
      <w:lvlJc w:val="left"/>
    </w:lvl>
  </w:abstractNum>
  <w:abstractNum w:abstractNumId="832" w15:restartNumberingAfterBreak="0">
    <w:nsid w:val="3EB56741"/>
    <w:multiLevelType w:val="hybridMultilevel"/>
    <w:tmpl w:val="0BE6CC02"/>
    <w:lvl w:ilvl="0" w:tplc="E16A3156">
      <w:start w:val="1"/>
      <w:numFmt w:val="bullet"/>
      <w:lvlText w:val=""/>
      <w:lvlJc w:val="left"/>
      <w:pPr>
        <w:ind w:left="720" w:hanging="180"/>
      </w:pPr>
      <w:rPr>
        <w:rFonts w:ascii="Symbol" w:hAnsi="Symbol" w:hint="default"/>
      </w:rPr>
    </w:lvl>
    <w:lvl w:ilvl="1" w:tplc="344E265E">
      <w:numFmt w:val="decimal"/>
      <w:lvlText w:val=""/>
      <w:lvlJc w:val="left"/>
    </w:lvl>
    <w:lvl w:ilvl="2" w:tplc="4752A5F4">
      <w:numFmt w:val="decimal"/>
      <w:lvlText w:val=""/>
      <w:lvlJc w:val="left"/>
    </w:lvl>
    <w:lvl w:ilvl="3" w:tplc="F4E8F768">
      <w:numFmt w:val="decimal"/>
      <w:lvlText w:val=""/>
      <w:lvlJc w:val="left"/>
    </w:lvl>
    <w:lvl w:ilvl="4" w:tplc="D6E21CBC">
      <w:numFmt w:val="decimal"/>
      <w:lvlText w:val=""/>
      <w:lvlJc w:val="left"/>
    </w:lvl>
    <w:lvl w:ilvl="5" w:tplc="C7823C3C">
      <w:numFmt w:val="decimal"/>
      <w:lvlText w:val=""/>
      <w:lvlJc w:val="left"/>
    </w:lvl>
    <w:lvl w:ilvl="6" w:tplc="58145C5A">
      <w:numFmt w:val="decimal"/>
      <w:lvlText w:val=""/>
      <w:lvlJc w:val="left"/>
    </w:lvl>
    <w:lvl w:ilvl="7" w:tplc="6B424FEA">
      <w:numFmt w:val="decimal"/>
      <w:lvlText w:val=""/>
      <w:lvlJc w:val="left"/>
    </w:lvl>
    <w:lvl w:ilvl="8" w:tplc="3ACC1B04">
      <w:numFmt w:val="decimal"/>
      <w:lvlText w:val=""/>
      <w:lvlJc w:val="left"/>
    </w:lvl>
  </w:abstractNum>
  <w:abstractNum w:abstractNumId="833" w15:restartNumberingAfterBreak="0">
    <w:nsid w:val="3EB90374"/>
    <w:multiLevelType w:val="hybridMultilevel"/>
    <w:tmpl w:val="6E28866E"/>
    <w:lvl w:ilvl="0" w:tplc="9E188340">
      <w:start w:val="1"/>
      <w:numFmt w:val="bullet"/>
      <w:lvlText w:val=""/>
      <w:lvlJc w:val="left"/>
      <w:pPr>
        <w:ind w:left="720" w:hanging="180"/>
      </w:pPr>
      <w:rPr>
        <w:rFonts w:ascii="Symbol" w:hAnsi="Symbol" w:hint="default"/>
      </w:rPr>
    </w:lvl>
    <w:lvl w:ilvl="1" w:tplc="C9AA06B2">
      <w:numFmt w:val="decimal"/>
      <w:lvlText w:val=""/>
      <w:lvlJc w:val="left"/>
    </w:lvl>
    <w:lvl w:ilvl="2" w:tplc="45AC2A1A">
      <w:numFmt w:val="decimal"/>
      <w:lvlText w:val=""/>
      <w:lvlJc w:val="left"/>
    </w:lvl>
    <w:lvl w:ilvl="3" w:tplc="A30EB94C">
      <w:numFmt w:val="decimal"/>
      <w:lvlText w:val=""/>
      <w:lvlJc w:val="left"/>
    </w:lvl>
    <w:lvl w:ilvl="4" w:tplc="3AB48C10">
      <w:numFmt w:val="decimal"/>
      <w:lvlText w:val=""/>
      <w:lvlJc w:val="left"/>
    </w:lvl>
    <w:lvl w:ilvl="5" w:tplc="E18C6990">
      <w:numFmt w:val="decimal"/>
      <w:lvlText w:val=""/>
      <w:lvlJc w:val="left"/>
    </w:lvl>
    <w:lvl w:ilvl="6" w:tplc="51327CAC">
      <w:numFmt w:val="decimal"/>
      <w:lvlText w:val=""/>
      <w:lvlJc w:val="left"/>
    </w:lvl>
    <w:lvl w:ilvl="7" w:tplc="686A3BAA">
      <w:numFmt w:val="decimal"/>
      <w:lvlText w:val=""/>
      <w:lvlJc w:val="left"/>
    </w:lvl>
    <w:lvl w:ilvl="8" w:tplc="45AC51CE">
      <w:numFmt w:val="decimal"/>
      <w:lvlText w:val=""/>
      <w:lvlJc w:val="left"/>
    </w:lvl>
  </w:abstractNum>
  <w:abstractNum w:abstractNumId="834" w15:restartNumberingAfterBreak="0">
    <w:nsid w:val="3EBE33BE"/>
    <w:multiLevelType w:val="hybridMultilevel"/>
    <w:tmpl w:val="95266F5C"/>
    <w:lvl w:ilvl="0" w:tplc="889C3D92">
      <w:numFmt w:val="decimal"/>
      <w:lvlText w:val=""/>
      <w:lvlJc w:val="left"/>
    </w:lvl>
    <w:lvl w:ilvl="1" w:tplc="5DA4F466">
      <w:start w:val="1"/>
      <w:numFmt w:val="bullet"/>
      <w:lvlText w:val=""/>
      <w:lvlJc w:val="left"/>
      <w:pPr>
        <w:ind w:left="1440" w:hanging="180"/>
      </w:pPr>
      <w:rPr>
        <w:rFonts w:ascii="Symbol" w:hAnsi="Symbol" w:hint="default"/>
      </w:rPr>
    </w:lvl>
    <w:lvl w:ilvl="2" w:tplc="7430BE98">
      <w:numFmt w:val="decimal"/>
      <w:lvlText w:val=""/>
      <w:lvlJc w:val="left"/>
    </w:lvl>
    <w:lvl w:ilvl="3" w:tplc="5EB4764E">
      <w:numFmt w:val="decimal"/>
      <w:lvlText w:val=""/>
      <w:lvlJc w:val="left"/>
    </w:lvl>
    <w:lvl w:ilvl="4" w:tplc="007837FE">
      <w:numFmt w:val="decimal"/>
      <w:lvlText w:val=""/>
      <w:lvlJc w:val="left"/>
    </w:lvl>
    <w:lvl w:ilvl="5" w:tplc="6B6CA55A">
      <w:numFmt w:val="decimal"/>
      <w:lvlText w:val=""/>
      <w:lvlJc w:val="left"/>
    </w:lvl>
    <w:lvl w:ilvl="6" w:tplc="1B1205E2">
      <w:numFmt w:val="decimal"/>
      <w:lvlText w:val=""/>
      <w:lvlJc w:val="left"/>
    </w:lvl>
    <w:lvl w:ilvl="7" w:tplc="F5184F56">
      <w:numFmt w:val="decimal"/>
      <w:lvlText w:val=""/>
      <w:lvlJc w:val="left"/>
    </w:lvl>
    <w:lvl w:ilvl="8" w:tplc="14D45C02">
      <w:numFmt w:val="decimal"/>
      <w:lvlText w:val=""/>
      <w:lvlJc w:val="left"/>
    </w:lvl>
  </w:abstractNum>
  <w:abstractNum w:abstractNumId="835" w15:restartNumberingAfterBreak="0">
    <w:nsid w:val="3ED3536B"/>
    <w:multiLevelType w:val="hybridMultilevel"/>
    <w:tmpl w:val="078858BE"/>
    <w:lvl w:ilvl="0" w:tplc="FA46EF9C">
      <w:start w:val="1"/>
      <w:numFmt w:val="bullet"/>
      <w:lvlText w:val=""/>
      <w:lvlJc w:val="left"/>
      <w:pPr>
        <w:ind w:left="720" w:hanging="180"/>
      </w:pPr>
      <w:rPr>
        <w:rFonts w:ascii="Symbol" w:hAnsi="Symbol" w:hint="default"/>
      </w:rPr>
    </w:lvl>
    <w:lvl w:ilvl="1" w:tplc="E33C2310">
      <w:numFmt w:val="decimal"/>
      <w:lvlText w:val=""/>
      <w:lvlJc w:val="left"/>
    </w:lvl>
    <w:lvl w:ilvl="2" w:tplc="81C4D420">
      <w:numFmt w:val="decimal"/>
      <w:lvlText w:val=""/>
      <w:lvlJc w:val="left"/>
    </w:lvl>
    <w:lvl w:ilvl="3" w:tplc="6EB4472A">
      <w:numFmt w:val="decimal"/>
      <w:lvlText w:val=""/>
      <w:lvlJc w:val="left"/>
    </w:lvl>
    <w:lvl w:ilvl="4" w:tplc="A510C2CE">
      <w:numFmt w:val="decimal"/>
      <w:lvlText w:val=""/>
      <w:lvlJc w:val="left"/>
    </w:lvl>
    <w:lvl w:ilvl="5" w:tplc="11542AA2">
      <w:numFmt w:val="decimal"/>
      <w:lvlText w:val=""/>
      <w:lvlJc w:val="left"/>
    </w:lvl>
    <w:lvl w:ilvl="6" w:tplc="F0B023F8">
      <w:numFmt w:val="decimal"/>
      <w:lvlText w:val=""/>
      <w:lvlJc w:val="left"/>
    </w:lvl>
    <w:lvl w:ilvl="7" w:tplc="42701570">
      <w:numFmt w:val="decimal"/>
      <w:lvlText w:val=""/>
      <w:lvlJc w:val="left"/>
    </w:lvl>
    <w:lvl w:ilvl="8" w:tplc="A6408444">
      <w:numFmt w:val="decimal"/>
      <w:lvlText w:val=""/>
      <w:lvlJc w:val="left"/>
    </w:lvl>
  </w:abstractNum>
  <w:abstractNum w:abstractNumId="836" w15:restartNumberingAfterBreak="0">
    <w:nsid w:val="3EEC1B58"/>
    <w:multiLevelType w:val="hybridMultilevel"/>
    <w:tmpl w:val="7B14129E"/>
    <w:lvl w:ilvl="0" w:tplc="9B4C2742">
      <w:start w:val="1"/>
      <w:numFmt w:val="bullet"/>
      <w:lvlText w:val=""/>
      <w:lvlJc w:val="left"/>
      <w:pPr>
        <w:ind w:left="720" w:hanging="180"/>
      </w:pPr>
      <w:rPr>
        <w:rFonts w:ascii="Symbol" w:hAnsi="Symbol" w:hint="default"/>
      </w:rPr>
    </w:lvl>
    <w:lvl w:ilvl="1" w:tplc="7892FCB0">
      <w:numFmt w:val="decimal"/>
      <w:lvlText w:val=""/>
      <w:lvlJc w:val="left"/>
    </w:lvl>
    <w:lvl w:ilvl="2" w:tplc="AEAC7362">
      <w:numFmt w:val="decimal"/>
      <w:lvlText w:val=""/>
      <w:lvlJc w:val="left"/>
    </w:lvl>
    <w:lvl w:ilvl="3" w:tplc="0DA8315C">
      <w:numFmt w:val="decimal"/>
      <w:lvlText w:val=""/>
      <w:lvlJc w:val="left"/>
    </w:lvl>
    <w:lvl w:ilvl="4" w:tplc="EBDAAA10">
      <w:numFmt w:val="decimal"/>
      <w:lvlText w:val=""/>
      <w:lvlJc w:val="left"/>
    </w:lvl>
    <w:lvl w:ilvl="5" w:tplc="D9FC1F02">
      <w:numFmt w:val="decimal"/>
      <w:lvlText w:val=""/>
      <w:lvlJc w:val="left"/>
    </w:lvl>
    <w:lvl w:ilvl="6" w:tplc="EDFC5F1A">
      <w:numFmt w:val="decimal"/>
      <w:lvlText w:val=""/>
      <w:lvlJc w:val="left"/>
    </w:lvl>
    <w:lvl w:ilvl="7" w:tplc="00842026">
      <w:numFmt w:val="decimal"/>
      <w:lvlText w:val=""/>
      <w:lvlJc w:val="left"/>
    </w:lvl>
    <w:lvl w:ilvl="8" w:tplc="A3E040D8">
      <w:numFmt w:val="decimal"/>
      <w:lvlText w:val=""/>
      <w:lvlJc w:val="left"/>
    </w:lvl>
  </w:abstractNum>
  <w:abstractNum w:abstractNumId="837" w15:restartNumberingAfterBreak="0">
    <w:nsid w:val="3EF75D8B"/>
    <w:multiLevelType w:val="hybridMultilevel"/>
    <w:tmpl w:val="BFDE196C"/>
    <w:lvl w:ilvl="0" w:tplc="A544D410">
      <w:start w:val="1"/>
      <w:numFmt w:val="bullet"/>
      <w:lvlText w:val=""/>
      <w:lvlJc w:val="left"/>
      <w:pPr>
        <w:ind w:left="720" w:hanging="180"/>
      </w:pPr>
      <w:rPr>
        <w:rFonts w:ascii="Symbol" w:hAnsi="Symbol" w:hint="default"/>
      </w:rPr>
    </w:lvl>
    <w:lvl w:ilvl="1" w:tplc="241EF3D4">
      <w:numFmt w:val="decimal"/>
      <w:lvlText w:val=""/>
      <w:lvlJc w:val="left"/>
    </w:lvl>
    <w:lvl w:ilvl="2" w:tplc="AA307584">
      <w:numFmt w:val="decimal"/>
      <w:lvlText w:val=""/>
      <w:lvlJc w:val="left"/>
    </w:lvl>
    <w:lvl w:ilvl="3" w:tplc="B27A93F0">
      <w:numFmt w:val="decimal"/>
      <w:lvlText w:val=""/>
      <w:lvlJc w:val="left"/>
    </w:lvl>
    <w:lvl w:ilvl="4" w:tplc="0C94FA1C">
      <w:numFmt w:val="decimal"/>
      <w:lvlText w:val=""/>
      <w:lvlJc w:val="left"/>
    </w:lvl>
    <w:lvl w:ilvl="5" w:tplc="C2A6DD1C">
      <w:numFmt w:val="decimal"/>
      <w:lvlText w:val=""/>
      <w:lvlJc w:val="left"/>
    </w:lvl>
    <w:lvl w:ilvl="6" w:tplc="14161806">
      <w:numFmt w:val="decimal"/>
      <w:lvlText w:val=""/>
      <w:lvlJc w:val="left"/>
    </w:lvl>
    <w:lvl w:ilvl="7" w:tplc="FB242836">
      <w:numFmt w:val="decimal"/>
      <w:lvlText w:val=""/>
      <w:lvlJc w:val="left"/>
    </w:lvl>
    <w:lvl w:ilvl="8" w:tplc="241CA42A">
      <w:numFmt w:val="decimal"/>
      <w:lvlText w:val=""/>
      <w:lvlJc w:val="left"/>
    </w:lvl>
  </w:abstractNum>
  <w:abstractNum w:abstractNumId="838" w15:restartNumberingAfterBreak="0">
    <w:nsid w:val="3F0D03FC"/>
    <w:multiLevelType w:val="hybridMultilevel"/>
    <w:tmpl w:val="37923E3C"/>
    <w:lvl w:ilvl="0" w:tplc="E3605F8C">
      <w:start w:val="1"/>
      <w:numFmt w:val="bullet"/>
      <w:lvlText w:val=""/>
      <w:lvlJc w:val="left"/>
      <w:pPr>
        <w:ind w:left="720" w:hanging="180"/>
      </w:pPr>
      <w:rPr>
        <w:rFonts w:ascii="Symbol" w:hAnsi="Symbol" w:hint="default"/>
      </w:rPr>
    </w:lvl>
    <w:lvl w:ilvl="1" w:tplc="DB5E2ED8">
      <w:numFmt w:val="decimal"/>
      <w:lvlText w:val=""/>
      <w:lvlJc w:val="left"/>
    </w:lvl>
    <w:lvl w:ilvl="2" w:tplc="62804F2A">
      <w:numFmt w:val="decimal"/>
      <w:lvlText w:val=""/>
      <w:lvlJc w:val="left"/>
    </w:lvl>
    <w:lvl w:ilvl="3" w:tplc="86F85472">
      <w:numFmt w:val="decimal"/>
      <w:lvlText w:val=""/>
      <w:lvlJc w:val="left"/>
    </w:lvl>
    <w:lvl w:ilvl="4" w:tplc="24845914">
      <w:numFmt w:val="decimal"/>
      <w:lvlText w:val=""/>
      <w:lvlJc w:val="left"/>
    </w:lvl>
    <w:lvl w:ilvl="5" w:tplc="BEFEC1CA">
      <w:numFmt w:val="decimal"/>
      <w:lvlText w:val=""/>
      <w:lvlJc w:val="left"/>
    </w:lvl>
    <w:lvl w:ilvl="6" w:tplc="DED6348C">
      <w:numFmt w:val="decimal"/>
      <w:lvlText w:val=""/>
      <w:lvlJc w:val="left"/>
    </w:lvl>
    <w:lvl w:ilvl="7" w:tplc="364C496C">
      <w:numFmt w:val="decimal"/>
      <w:lvlText w:val=""/>
      <w:lvlJc w:val="left"/>
    </w:lvl>
    <w:lvl w:ilvl="8" w:tplc="2ECC9A50">
      <w:numFmt w:val="decimal"/>
      <w:lvlText w:val=""/>
      <w:lvlJc w:val="left"/>
    </w:lvl>
  </w:abstractNum>
  <w:abstractNum w:abstractNumId="839" w15:restartNumberingAfterBreak="0">
    <w:nsid w:val="3F1E3430"/>
    <w:multiLevelType w:val="hybridMultilevel"/>
    <w:tmpl w:val="A9BC04E0"/>
    <w:lvl w:ilvl="0" w:tplc="51605D48">
      <w:start w:val="1"/>
      <w:numFmt w:val="bullet"/>
      <w:lvlText w:val=""/>
      <w:lvlJc w:val="left"/>
      <w:pPr>
        <w:ind w:left="720" w:hanging="180"/>
      </w:pPr>
      <w:rPr>
        <w:rFonts w:ascii="Symbol" w:hAnsi="Symbol" w:hint="default"/>
      </w:rPr>
    </w:lvl>
    <w:lvl w:ilvl="1" w:tplc="FDBA56DE">
      <w:numFmt w:val="decimal"/>
      <w:lvlText w:val=""/>
      <w:lvlJc w:val="left"/>
    </w:lvl>
    <w:lvl w:ilvl="2" w:tplc="164A5DFE">
      <w:numFmt w:val="decimal"/>
      <w:lvlText w:val=""/>
      <w:lvlJc w:val="left"/>
    </w:lvl>
    <w:lvl w:ilvl="3" w:tplc="50121A14">
      <w:numFmt w:val="decimal"/>
      <w:lvlText w:val=""/>
      <w:lvlJc w:val="left"/>
    </w:lvl>
    <w:lvl w:ilvl="4" w:tplc="D8B8BD0A">
      <w:numFmt w:val="decimal"/>
      <w:lvlText w:val=""/>
      <w:lvlJc w:val="left"/>
    </w:lvl>
    <w:lvl w:ilvl="5" w:tplc="BB786904">
      <w:numFmt w:val="decimal"/>
      <w:lvlText w:val=""/>
      <w:lvlJc w:val="left"/>
    </w:lvl>
    <w:lvl w:ilvl="6" w:tplc="14E4EF78">
      <w:numFmt w:val="decimal"/>
      <w:lvlText w:val=""/>
      <w:lvlJc w:val="left"/>
    </w:lvl>
    <w:lvl w:ilvl="7" w:tplc="8E1EA526">
      <w:numFmt w:val="decimal"/>
      <w:lvlText w:val=""/>
      <w:lvlJc w:val="left"/>
    </w:lvl>
    <w:lvl w:ilvl="8" w:tplc="18643160">
      <w:numFmt w:val="decimal"/>
      <w:lvlText w:val=""/>
      <w:lvlJc w:val="left"/>
    </w:lvl>
  </w:abstractNum>
  <w:abstractNum w:abstractNumId="840" w15:restartNumberingAfterBreak="0">
    <w:nsid w:val="3F2535DC"/>
    <w:multiLevelType w:val="hybridMultilevel"/>
    <w:tmpl w:val="E8F22F02"/>
    <w:lvl w:ilvl="0" w:tplc="EC82C7A2">
      <w:start w:val="1"/>
      <w:numFmt w:val="bullet"/>
      <w:lvlText w:val=""/>
      <w:lvlJc w:val="left"/>
      <w:pPr>
        <w:ind w:left="720" w:hanging="180"/>
      </w:pPr>
      <w:rPr>
        <w:rFonts w:ascii="Symbol" w:hAnsi="Symbol" w:hint="default"/>
      </w:rPr>
    </w:lvl>
    <w:lvl w:ilvl="1" w:tplc="478E75CC">
      <w:numFmt w:val="decimal"/>
      <w:lvlText w:val=""/>
      <w:lvlJc w:val="left"/>
    </w:lvl>
    <w:lvl w:ilvl="2" w:tplc="B5E0F398">
      <w:numFmt w:val="decimal"/>
      <w:lvlText w:val=""/>
      <w:lvlJc w:val="left"/>
    </w:lvl>
    <w:lvl w:ilvl="3" w:tplc="BDDA0782">
      <w:numFmt w:val="decimal"/>
      <w:lvlText w:val=""/>
      <w:lvlJc w:val="left"/>
    </w:lvl>
    <w:lvl w:ilvl="4" w:tplc="4CB08F76">
      <w:numFmt w:val="decimal"/>
      <w:lvlText w:val=""/>
      <w:lvlJc w:val="left"/>
    </w:lvl>
    <w:lvl w:ilvl="5" w:tplc="4386EDD4">
      <w:numFmt w:val="decimal"/>
      <w:lvlText w:val=""/>
      <w:lvlJc w:val="left"/>
    </w:lvl>
    <w:lvl w:ilvl="6" w:tplc="60CCF8B6">
      <w:numFmt w:val="decimal"/>
      <w:lvlText w:val=""/>
      <w:lvlJc w:val="left"/>
    </w:lvl>
    <w:lvl w:ilvl="7" w:tplc="1D0A5BD4">
      <w:numFmt w:val="decimal"/>
      <w:lvlText w:val=""/>
      <w:lvlJc w:val="left"/>
    </w:lvl>
    <w:lvl w:ilvl="8" w:tplc="41F6EA00">
      <w:numFmt w:val="decimal"/>
      <w:lvlText w:val=""/>
      <w:lvlJc w:val="left"/>
    </w:lvl>
  </w:abstractNum>
  <w:abstractNum w:abstractNumId="841" w15:restartNumberingAfterBreak="0">
    <w:nsid w:val="3F347E79"/>
    <w:multiLevelType w:val="hybridMultilevel"/>
    <w:tmpl w:val="78C0F320"/>
    <w:lvl w:ilvl="0" w:tplc="B26413E4">
      <w:start w:val="1"/>
      <w:numFmt w:val="bullet"/>
      <w:lvlText w:val=""/>
      <w:lvlJc w:val="left"/>
      <w:pPr>
        <w:ind w:left="720" w:hanging="180"/>
      </w:pPr>
      <w:rPr>
        <w:rFonts w:ascii="Symbol" w:hAnsi="Symbol" w:hint="default"/>
      </w:rPr>
    </w:lvl>
    <w:lvl w:ilvl="1" w:tplc="8D4ABC96">
      <w:numFmt w:val="decimal"/>
      <w:lvlText w:val=""/>
      <w:lvlJc w:val="left"/>
    </w:lvl>
    <w:lvl w:ilvl="2" w:tplc="52C00E3A">
      <w:numFmt w:val="decimal"/>
      <w:lvlText w:val=""/>
      <w:lvlJc w:val="left"/>
    </w:lvl>
    <w:lvl w:ilvl="3" w:tplc="29ECC470">
      <w:numFmt w:val="decimal"/>
      <w:lvlText w:val=""/>
      <w:lvlJc w:val="left"/>
    </w:lvl>
    <w:lvl w:ilvl="4" w:tplc="8242A9E0">
      <w:numFmt w:val="decimal"/>
      <w:lvlText w:val=""/>
      <w:lvlJc w:val="left"/>
    </w:lvl>
    <w:lvl w:ilvl="5" w:tplc="8B18A27E">
      <w:numFmt w:val="decimal"/>
      <w:lvlText w:val=""/>
      <w:lvlJc w:val="left"/>
    </w:lvl>
    <w:lvl w:ilvl="6" w:tplc="55E4A3CA">
      <w:numFmt w:val="decimal"/>
      <w:lvlText w:val=""/>
      <w:lvlJc w:val="left"/>
    </w:lvl>
    <w:lvl w:ilvl="7" w:tplc="0670725C">
      <w:numFmt w:val="decimal"/>
      <w:lvlText w:val=""/>
      <w:lvlJc w:val="left"/>
    </w:lvl>
    <w:lvl w:ilvl="8" w:tplc="BFFCCA50">
      <w:numFmt w:val="decimal"/>
      <w:lvlText w:val=""/>
      <w:lvlJc w:val="left"/>
    </w:lvl>
  </w:abstractNum>
  <w:abstractNum w:abstractNumId="842" w15:restartNumberingAfterBreak="0">
    <w:nsid w:val="3F3938AE"/>
    <w:multiLevelType w:val="hybridMultilevel"/>
    <w:tmpl w:val="59E041DA"/>
    <w:lvl w:ilvl="0" w:tplc="C6962102">
      <w:numFmt w:val="decimal"/>
      <w:lvlText w:val=""/>
      <w:lvlJc w:val="left"/>
    </w:lvl>
    <w:lvl w:ilvl="1" w:tplc="CFF21816">
      <w:start w:val="1"/>
      <w:numFmt w:val="bullet"/>
      <w:lvlText w:val=""/>
      <w:lvlJc w:val="left"/>
      <w:pPr>
        <w:ind w:left="1440" w:hanging="180"/>
      </w:pPr>
      <w:rPr>
        <w:rFonts w:ascii="Symbol" w:hAnsi="Symbol" w:hint="default"/>
      </w:rPr>
    </w:lvl>
    <w:lvl w:ilvl="2" w:tplc="7D0222D0">
      <w:numFmt w:val="decimal"/>
      <w:lvlText w:val=""/>
      <w:lvlJc w:val="left"/>
    </w:lvl>
    <w:lvl w:ilvl="3" w:tplc="F35A8DDC">
      <w:numFmt w:val="decimal"/>
      <w:lvlText w:val=""/>
      <w:lvlJc w:val="left"/>
    </w:lvl>
    <w:lvl w:ilvl="4" w:tplc="97ECD472">
      <w:numFmt w:val="decimal"/>
      <w:lvlText w:val=""/>
      <w:lvlJc w:val="left"/>
    </w:lvl>
    <w:lvl w:ilvl="5" w:tplc="B4F4AA26">
      <w:numFmt w:val="decimal"/>
      <w:lvlText w:val=""/>
      <w:lvlJc w:val="left"/>
    </w:lvl>
    <w:lvl w:ilvl="6" w:tplc="03F06558">
      <w:numFmt w:val="decimal"/>
      <w:lvlText w:val=""/>
      <w:lvlJc w:val="left"/>
    </w:lvl>
    <w:lvl w:ilvl="7" w:tplc="63B825C6">
      <w:numFmt w:val="decimal"/>
      <w:lvlText w:val=""/>
      <w:lvlJc w:val="left"/>
    </w:lvl>
    <w:lvl w:ilvl="8" w:tplc="99C22288">
      <w:numFmt w:val="decimal"/>
      <w:lvlText w:val=""/>
      <w:lvlJc w:val="left"/>
    </w:lvl>
  </w:abstractNum>
  <w:abstractNum w:abstractNumId="843" w15:restartNumberingAfterBreak="0">
    <w:nsid w:val="3F560E05"/>
    <w:multiLevelType w:val="hybridMultilevel"/>
    <w:tmpl w:val="19DEA8F6"/>
    <w:lvl w:ilvl="0" w:tplc="900698B2">
      <w:numFmt w:val="decimal"/>
      <w:lvlText w:val=""/>
      <w:lvlJc w:val="left"/>
    </w:lvl>
    <w:lvl w:ilvl="1" w:tplc="66AE9098">
      <w:start w:val="1"/>
      <w:numFmt w:val="bullet"/>
      <w:lvlText w:val=""/>
      <w:lvlJc w:val="left"/>
      <w:pPr>
        <w:ind w:left="1440" w:hanging="180"/>
      </w:pPr>
      <w:rPr>
        <w:rFonts w:ascii="Symbol" w:hAnsi="Symbol" w:hint="default"/>
      </w:rPr>
    </w:lvl>
    <w:lvl w:ilvl="2" w:tplc="A0008672">
      <w:numFmt w:val="decimal"/>
      <w:lvlText w:val=""/>
      <w:lvlJc w:val="left"/>
    </w:lvl>
    <w:lvl w:ilvl="3" w:tplc="5E8A3112">
      <w:numFmt w:val="decimal"/>
      <w:lvlText w:val=""/>
      <w:lvlJc w:val="left"/>
    </w:lvl>
    <w:lvl w:ilvl="4" w:tplc="E706507C">
      <w:numFmt w:val="decimal"/>
      <w:lvlText w:val=""/>
      <w:lvlJc w:val="left"/>
    </w:lvl>
    <w:lvl w:ilvl="5" w:tplc="FDA41D08">
      <w:numFmt w:val="decimal"/>
      <w:lvlText w:val=""/>
      <w:lvlJc w:val="left"/>
    </w:lvl>
    <w:lvl w:ilvl="6" w:tplc="3AF8A1FA">
      <w:numFmt w:val="decimal"/>
      <w:lvlText w:val=""/>
      <w:lvlJc w:val="left"/>
    </w:lvl>
    <w:lvl w:ilvl="7" w:tplc="74289C2E">
      <w:numFmt w:val="decimal"/>
      <w:lvlText w:val=""/>
      <w:lvlJc w:val="left"/>
    </w:lvl>
    <w:lvl w:ilvl="8" w:tplc="0E9AA66C">
      <w:numFmt w:val="decimal"/>
      <w:lvlText w:val=""/>
      <w:lvlJc w:val="left"/>
    </w:lvl>
  </w:abstractNum>
  <w:abstractNum w:abstractNumId="844" w15:restartNumberingAfterBreak="0">
    <w:nsid w:val="3F6425A9"/>
    <w:multiLevelType w:val="hybridMultilevel"/>
    <w:tmpl w:val="1BFE1E3A"/>
    <w:lvl w:ilvl="0" w:tplc="F1CCD0D0">
      <w:start w:val="1"/>
      <w:numFmt w:val="bullet"/>
      <w:lvlText w:val=""/>
      <w:lvlJc w:val="left"/>
      <w:pPr>
        <w:ind w:left="720" w:hanging="180"/>
      </w:pPr>
      <w:rPr>
        <w:rFonts w:ascii="Symbol" w:hAnsi="Symbol" w:hint="default"/>
      </w:rPr>
    </w:lvl>
    <w:lvl w:ilvl="1" w:tplc="3420FA8C">
      <w:numFmt w:val="decimal"/>
      <w:lvlText w:val=""/>
      <w:lvlJc w:val="left"/>
    </w:lvl>
    <w:lvl w:ilvl="2" w:tplc="57861098">
      <w:numFmt w:val="decimal"/>
      <w:lvlText w:val=""/>
      <w:lvlJc w:val="left"/>
    </w:lvl>
    <w:lvl w:ilvl="3" w:tplc="DEB67042">
      <w:numFmt w:val="decimal"/>
      <w:lvlText w:val=""/>
      <w:lvlJc w:val="left"/>
    </w:lvl>
    <w:lvl w:ilvl="4" w:tplc="FD38F62A">
      <w:numFmt w:val="decimal"/>
      <w:lvlText w:val=""/>
      <w:lvlJc w:val="left"/>
    </w:lvl>
    <w:lvl w:ilvl="5" w:tplc="38DE2F8C">
      <w:numFmt w:val="decimal"/>
      <w:lvlText w:val=""/>
      <w:lvlJc w:val="left"/>
    </w:lvl>
    <w:lvl w:ilvl="6" w:tplc="811EFAB0">
      <w:numFmt w:val="decimal"/>
      <w:lvlText w:val=""/>
      <w:lvlJc w:val="left"/>
    </w:lvl>
    <w:lvl w:ilvl="7" w:tplc="CB1C8AC4">
      <w:numFmt w:val="decimal"/>
      <w:lvlText w:val=""/>
      <w:lvlJc w:val="left"/>
    </w:lvl>
    <w:lvl w:ilvl="8" w:tplc="FC946340">
      <w:numFmt w:val="decimal"/>
      <w:lvlText w:val=""/>
      <w:lvlJc w:val="left"/>
    </w:lvl>
  </w:abstractNum>
  <w:abstractNum w:abstractNumId="845" w15:restartNumberingAfterBreak="0">
    <w:nsid w:val="3F7822E2"/>
    <w:multiLevelType w:val="hybridMultilevel"/>
    <w:tmpl w:val="D772E6FE"/>
    <w:lvl w:ilvl="0" w:tplc="3AF403E8">
      <w:start w:val="1"/>
      <w:numFmt w:val="bullet"/>
      <w:lvlText w:val=""/>
      <w:lvlJc w:val="left"/>
      <w:pPr>
        <w:ind w:left="720" w:hanging="180"/>
      </w:pPr>
      <w:rPr>
        <w:rFonts w:ascii="Symbol" w:hAnsi="Symbol" w:hint="default"/>
      </w:rPr>
    </w:lvl>
    <w:lvl w:ilvl="1" w:tplc="1708F2EC">
      <w:numFmt w:val="decimal"/>
      <w:lvlText w:val=""/>
      <w:lvlJc w:val="left"/>
    </w:lvl>
    <w:lvl w:ilvl="2" w:tplc="F3CECAF0">
      <w:numFmt w:val="decimal"/>
      <w:lvlText w:val=""/>
      <w:lvlJc w:val="left"/>
    </w:lvl>
    <w:lvl w:ilvl="3" w:tplc="00A04CC6">
      <w:numFmt w:val="decimal"/>
      <w:lvlText w:val=""/>
      <w:lvlJc w:val="left"/>
    </w:lvl>
    <w:lvl w:ilvl="4" w:tplc="B43CE332">
      <w:numFmt w:val="decimal"/>
      <w:lvlText w:val=""/>
      <w:lvlJc w:val="left"/>
    </w:lvl>
    <w:lvl w:ilvl="5" w:tplc="9FD8A22C">
      <w:numFmt w:val="decimal"/>
      <w:lvlText w:val=""/>
      <w:lvlJc w:val="left"/>
    </w:lvl>
    <w:lvl w:ilvl="6" w:tplc="EBCED870">
      <w:numFmt w:val="decimal"/>
      <w:lvlText w:val=""/>
      <w:lvlJc w:val="left"/>
    </w:lvl>
    <w:lvl w:ilvl="7" w:tplc="00D8D23A">
      <w:numFmt w:val="decimal"/>
      <w:lvlText w:val=""/>
      <w:lvlJc w:val="left"/>
    </w:lvl>
    <w:lvl w:ilvl="8" w:tplc="8A6231F8">
      <w:numFmt w:val="decimal"/>
      <w:lvlText w:val=""/>
      <w:lvlJc w:val="left"/>
    </w:lvl>
  </w:abstractNum>
  <w:abstractNum w:abstractNumId="846" w15:restartNumberingAfterBreak="0">
    <w:nsid w:val="3F9D378D"/>
    <w:multiLevelType w:val="hybridMultilevel"/>
    <w:tmpl w:val="B784E946"/>
    <w:lvl w:ilvl="0" w:tplc="A87AD292">
      <w:start w:val="1"/>
      <w:numFmt w:val="bullet"/>
      <w:lvlText w:val=""/>
      <w:lvlJc w:val="left"/>
      <w:pPr>
        <w:ind w:left="720" w:hanging="180"/>
      </w:pPr>
      <w:rPr>
        <w:rFonts w:ascii="Symbol" w:hAnsi="Symbol" w:hint="default"/>
      </w:rPr>
    </w:lvl>
    <w:lvl w:ilvl="1" w:tplc="C41AA4B8">
      <w:numFmt w:val="decimal"/>
      <w:lvlText w:val=""/>
      <w:lvlJc w:val="left"/>
    </w:lvl>
    <w:lvl w:ilvl="2" w:tplc="B454AB10">
      <w:numFmt w:val="decimal"/>
      <w:lvlText w:val=""/>
      <w:lvlJc w:val="left"/>
    </w:lvl>
    <w:lvl w:ilvl="3" w:tplc="05C4ABAE">
      <w:numFmt w:val="decimal"/>
      <w:lvlText w:val=""/>
      <w:lvlJc w:val="left"/>
    </w:lvl>
    <w:lvl w:ilvl="4" w:tplc="D4F0AA8E">
      <w:numFmt w:val="decimal"/>
      <w:lvlText w:val=""/>
      <w:lvlJc w:val="left"/>
    </w:lvl>
    <w:lvl w:ilvl="5" w:tplc="BB4280A8">
      <w:numFmt w:val="decimal"/>
      <w:lvlText w:val=""/>
      <w:lvlJc w:val="left"/>
    </w:lvl>
    <w:lvl w:ilvl="6" w:tplc="118A532C">
      <w:numFmt w:val="decimal"/>
      <w:lvlText w:val=""/>
      <w:lvlJc w:val="left"/>
    </w:lvl>
    <w:lvl w:ilvl="7" w:tplc="52785A90">
      <w:numFmt w:val="decimal"/>
      <w:lvlText w:val=""/>
      <w:lvlJc w:val="left"/>
    </w:lvl>
    <w:lvl w:ilvl="8" w:tplc="C1F8D656">
      <w:numFmt w:val="decimal"/>
      <w:lvlText w:val=""/>
      <w:lvlJc w:val="left"/>
    </w:lvl>
  </w:abstractNum>
  <w:abstractNum w:abstractNumId="847" w15:restartNumberingAfterBreak="0">
    <w:nsid w:val="3FBD041E"/>
    <w:multiLevelType w:val="hybridMultilevel"/>
    <w:tmpl w:val="5288A75A"/>
    <w:lvl w:ilvl="0" w:tplc="A354524A">
      <w:start w:val="1"/>
      <w:numFmt w:val="bullet"/>
      <w:lvlText w:val=""/>
      <w:lvlJc w:val="left"/>
      <w:pPr>
        <w:ind w:left="720" w:hanging="180"/>
      </w:pPr>
      <w:rPr>
        <w:rFonts w:ascii="Symbol" w:hAnsi="Symbol" w:hint="default"/>
      </w:rPr>
    </w:lvl>
    <w:lvl w:ilvl="1" w:tplc="628645E0">
      <w:numFmt w:val="decimal"/>
      <w:lvlText w:val=""/>
      <w:lvlJc w:val="left"/>
    </w:lvl>
    <w:lvl w:ilvl="2" w:tplc="277C45FC">
      <w:numFmt w:val="decimal"/>
      <w:lvlText w:val=""/>
      <w:lvlJc w:val="left"/>
    </w:lvl>
    <w:lvl w:ilvl="3" w:tplc="4A088D6E">
      <w:numFmt w:val="decimal"/>
      <w:lvlText w:val=""/>
      <w:lvlJc w:val="left"/>
    </w:lvl>
    <w:lvl w:ilvl="4" w:tplc="2DB28E5C">
      <w:numFmt w:val="decimal"/>
      <w:lvlText w:val=""/>
      <w:lvlJc w:val="left"/>
    </w:lvl>
    <w:lvl w:ilvl="5" w:tplc="F4B43CEA">
      <w:numFmt w:val="decimal"/>
      <w:lvlText w:val=""/>
      <w:lvlJc w:val="left"/>
    </w:lvl>
    <w:lvl w:ilvl="6" w:tplc="4812478A">
      <w:numFmt w:val="decimal"/>
      <w:lvlText w:val=""/>
      <w:lvlJc w:val="left"/>
    </w:lvl>
    <w:lvl w:ilvl="7" w:tplc="F0DE0638">
      <w:numFmt w:val="decimal"/>
      <w:lvlText w:val=""/>
      <w:lvlJc w:val="left"/>
    </w:lvl>
    <w:lvl w:ilvl="8" w:tplc="D9345528">
      <w:numFmt w:val="decimal"/>
      <w:lvlText w:val=""/>
      <w:lvlJc w:val="left"/>
    </w:lvl>
  </w:abstractNum>
  <w:abstractNum w:abstractNumId="848" w15:restartNumberingAfterBreak="0">
    <w:nsid w:val="40165078"/>
    <w:multiLevelType w:val="hybridMultilevel"/>
    <w:tmpl w:val="C80E3854"/>
    <w:lvl w:ilvl="0" w:tplc="4002FE1A">
      <w:start w:val="1"/>
      <w:numFmt w:val="bullet"/>
      <w:lvlText w:val=""/>
      <w:lvlJc w:val="left"/>
      <w:pPr>
        <w:ind w:left="720" w:hanging="180"/>
      </w:pPr>
      <w:rPr>
        <w:rFonts w:ascii="Symbol" w:hAnsi="Symbol" w:hint="default"/>
      </w:rPr>
    </w:lvl>
    <w:lvl w:ilvl="1" w:tplc="BCD25EBE">
      <w:numFmt w:val="decimal"/>
      <w:lvlText w:val=""/>
      <w:lvlJc w:val="left"/>
    </w:lvl>
    <w:lvl w:ilvl="2" w:tplc="FF7E411E">
      <w:numFmt w:val="decimal"/>
      <w:lvlText w:val=""/>
      <w:lvlJc w:val="left"/>
    </w:lvl>
    <w:lvl w:ilvl="3" w:tplc="838292E2">
      <w:numFmt w:val="decimal"/>
      <w:lvlText w:val=""/>
      <w:lvlJc w:val="left"/>
    </w:lvl>
    <w:lvl w:ilvl="4" w:tplc="6F02224C">
      <w:numFmt w:val="decimal"/>
      <w:lvlText w:val=""/>
      <w:lvlJc w:val="left"/>
    </w:lvl>
    <w:lvl w:ilvl="5" w:tplc="142A0F70">
      <w:numFmt w:val="decimal"/>
      <w:lvlText w:val=""/>
      <w:lvlJc w:val="left"/>
    </w:lvl>
    <w:lvl w:ilvl="6" w:tplc="9162D6F0">
      <w:numFmt w:val="decimal"/>
      <w:lvlText w:val=""/>
      <w:lvlJc w:val="left"/>
    </w:lvl>
    <w:lvl w:ilvl="7" w:tplc="43BA8BC2">
      <w:numFmt w:val="decimal"/>
      <w:lvlText w:val=""/>
      <w:lvlJc w:val="left"/>
    </w:lvl>
    <w:lvl w:ilvl="8" w:tplc="32BCC364">
      <w:numFmt w:val="decimal"/>
      <w:lvlText w:val=""/>
      <w:lvlJc w:val="left"/>
    </w:lvl>
  </w:abstractNum>
  <w:abstractNum w:abstractNumId="849" w15:restartNumberingAfterBreak="0">
    <w:nsid w:val="403D170B"/>
    <w:multiLevelType w:val="hybridMultilevel"/>
    <w:tmpl w:val="4CD624F6"/>
    <w:lvl w:ilvl="0" w:tplc="3B104488">
      <w:start w:val="1"/>
      <w:numFmt w:val="bullet"/>
      <w:lvlText w:val=""/>
      <w:lvlJc w:val="left"/>
      <w:pPr>
        <w:ind w:left="720" w:hanging="180"/>
      </w:pPr>
      <w:rPr>
        <w:rFonts w:ascii="Symbol" w:hAnsi="Symbol" w:hint="default"/>
      </w:rPr>
    </w:lvl>
    <w:lvl w:ilvl="1" w:tplc="90326C00">
      <w:numFmt w:val="decimal"/>
      <w:lvlText w:val=""/>
      <w:lvlJc w:val="left"/>
    </w:lvl>
    <w:lvl w:ilvl="2" w:tplc="94E23D0C">
      <w:numFmt w:val="decimal"/>
      <w:lvlText w:val=""/>
      <w:lvlJc w:val="left"/>
    </w:lvl>
    <w:lvl w:ilvl="3" w:tplc="7EF0205A">
      <w:numFmt w:val="decimal"/>
      <w:lvlText w:val=""/>
      <w:lvlJc w:val="left"/>
    </w:lvl>
    <w:lvl w:ilvl="4" w:tplc="9CC24D6A">
      <w:numFmt w:val="decimal"/>
      <w:lvlText w:val=""/>
      <w:lvlJc w:val="left"/>
    </w:lvl>
    <w:lvl w:ilvl="5" w:tplc="5DB0B416">
      <w:numFmt w:val="decimal"/>
      <w:lvlText w:val=""/>
      <w:lvlJc w:val="left"/>
    </w:lvl>
    <w:lvl w:ilvl="6" w:tplc="391EA826">
      <w:numFmt w:val="decimal"/>
      <w:lvlText w:val=""/>
      <w:lvlJc w:val="left"/>
    </w:lvl>
    <w:lvl w:ilvl="7" w:tplc="37D42BFC">
      <w:numFmt w:val="decimal"/>
      <w:lvlText w:val=""/>
      <w:lvlJc w:val="left"/>
    </w:lvl>
    <w:lvl w:ilvl="8" w:tplc="C002C848">
      <w:numFmt w:val="decimal"/>
      <w:lvlText w:val=""/>
      <w:lvlJc w:val="left"/>
    </w:lvl>
  </w:abstractNum>
  <w:abstractNum w:abstractNumId="850" w15:restartNumberingAfterBreak="0">
    <w:nsid w:val="405A79F2"/>
    <w:multiLevelType w:val="hybridMultilevel"/>
    <w:tmpl w:val="FE768732"/>
    <w:lvl w:ilvl="0" w:tplc="18968D58">
      <w:start w:val="1"/>
      <w:numFmt w:val="bullet"/>
      <w:lvlText w:val=""/>
      <w:lvlJc w:val="left"/>
      <w:pPr>
        <w:ind w:left="720" w:hanging="180"/>
      </w:pPr>
      <w:rPr>
        <w:rFonts w:ascii="Symbol" w:hAnsi="Symbol" w:hint="default"/>
      </w:rPr>
    </w:lvl>
    <w:lvl w:ilvl="1" w:tplc="FD8CA28C">
      <w:numFmt w:val="decimal"/>
      <w:lvlText w:val=""/>
      <w:lvlJc w:val="left"/>
    </w:lvl>
    <w:lvl w:ilvl="2" w:tplc="841497A8">
      <w:numFmt w:val="decimal"/>
      <w:lvlText w:val=""/>
      <w:lvlJc w:val="left"/>
    </w:lvl>
    <w:lvl w:ilvl="3" w:tplc="8CE0D0C8">
      <w:numFmt w:val="decimal"/>
      <w:lvlText w:val=""/>
      <w:lvlJc w:val="left"/>
    </w:lvl>
    <w:lvl w:ilvl="4" w:tplc="0E4E0810">
      <w:numFmt w:val="decimal"/>
      <w:lvlText w:val=""/>
      <w:lvlJc w:val="left"/>
    </w:lvl>
    <w:lvl w:ilvl="5" w:tplc="BEC058CA">
      <w:numFmt w:val="decimal"/>
      <w:lvlText w:val=""/>
      <w:lvlJc w:val="left"/>
    </w:lvl>
    <w:lvl w:ilvl="6" w:tplc="94F6195C">
      <w:numFmt w:val="decimal"/>
      <w:lvlText w:val=""/>
      <w:lvlJc w:val="left"/>
    </w:lvl>
    <w:lvl w:ilvl="7" w:tplc="26FC0356">
      <w:numFmt w:val="decimal"/>
      <w:lvlText w:val=""/>
      <w:lvlJc w:val="left"/>
    </w:lvl>
    <w:lvl w:ilvl="8" w:tplc="562E81A8">
      <w:numFmt w:val="decimal"/>
      <w:lvlText w:val=""/>
      <w:lvlJc w:val="left"/>
    </w:lvl>
  </w:abstractNum>
  <w:abstractNum w:abstractNumId="851" w15:restartNumberingAfterBreak="0">
    <w:nsid w:val="40693A40"/>
    <w:multiLevelType w:val="hybridMultilevel"/>
    <w:tmpl w:val="CBB20CE6"/>
    <w:lvl w:ilvl="0" w:tplc="4B40412A">
      <w:start w:val="1"/>
      <w:numFmt w:val="bullet"/>
      <w:lvlText w:val=""/>
      <w:lvlJc w:val="left"/>
      <w:pPr>
        <w:ind w:left="720" w:hanging="180"/>
      </w:pPr>
      <w:rPr>
        <w:rFonts w:ascii="Symbol" w:hAnsi="Symbol" w:hint="default"/>
      </w:rPr>
    </w:lvl>
    <w:lvl w:ilvl="1" w:tplc="7BCEF65C">
      <w:numFmt w:val="decimal"/>
      <w:lvlText w:val=""/>
      <w:lvlJc w:val="left"/>
    </w:lvl>
    <w:lvl w:ilvl="2" w:tplc="EB549CB2">
      <w:numFmt w:val="decimal"/>
      <w:lvlText w:val=""/>
      <w:lvlJc w:val="left"/>
    </w:lvl>
    <w:lvl w:ilvl="3" w:tplc="F0D4A5EE">
      <w:numFmt w:val="decimal"/>
      <w:lvlText w:val=""/>
      <w:lvlJc w:val="left"/>
    </w:lvl>
    <w:lvl w:ilvl="4" w:tplc="1722E502">
      <w:numFmt w:val="decimal"/>
      <w:lvlText w:val=""/>
      <w:lvlJc w:val="left"/>
    </w:lvl>
    <w:lvl w:ilvl="5" w:tplc="3CC0E62E">
      <w:numFmt w:val="decimal"/>
      <w:lvlText w:val=""/>
      <w:lvlJc w:val="left"/>
    </w:lvl>
    <w:lvl w:ilvl="6" w:tplc="13366702">
      <w:numFmt w:val="decimal"/>
      <w:lvlText w:val=""/>
      <w:lvlJc w:val="left"/>
    </w:lvl>
    <w:lvl w:ilvl="7" w:tplc="1634499C">
      <w:numFmt w:val="decimal"/>
      <w:lvlText w:val=""/>
      <w:lvlJc w:val="left"/>
    </w:lvl>
    <w:lvl w:ilvl="8" w:tplc="7158BC74">
      <w:numFmt w:val="decimal"/>
      <w:lvlText w:val=""/>
      <w:lvlJc w:val="left"/>
    </w:lvl>
  </w:abstractNum>
  <w:abstractNum w:abstractNumId="852" w15:restartNumberingAfterBreak="0">
    <w:nsid w:val="407632F4"/>
    <w:multiLevelType w:val="hybridMultilevel"/>
    <w:tmpl w:val="131C681A"/>
    <w:lvl w:ilvl="0" w:tplc="1E32BD32">
      <w:numFmt w:val="decimal"/>
      <w:lvlText w:val=""/>
      <w:lvlJc w:val="left"/>
    </w:lvl>
    <w:lvl w:ilvl="1" w:tplc="BF780FB8">
      <w:start w:val="1"/>
      <w:numFmt w:val="bullet"/>
      <w:lvlText w:val=""/>
      <w:lvlJc w:val="left"/>
      <w:pPr>
        <w:ind w:left="1440" w:hanging="180"/>
      </w:pPr>
      <w:rPr>
        <w:rFonts w:ascii="Symbol" w:hAnsi="Symbol" w:hint="default"/>
      </w:rPr>
    </w:lvl>
    <w:lvl w:ilvl="2" w:tplc="5596C46E">
      <w:numFmt w:val="decimal"/>
      <w:lvlText w:val=""/>
      <w:lvlJc w:val="left"/>
    </w:lvl>
    <w:lvl w:ilvl="3" w:tplc="6C824676">
      <w:numFmt w:val="decimal"/>
      <w:lvlText w:val=""/>
      <w:lvlJc w:val="left"/>
    </w:lvl>
    <w:lvl w:ilvl="4" w:tplc="89003F84">
      <w:numFmt w:val="decimal"/>
      <w:lvlText w:val=""/>
      <w:lvlJc w:val="left"/>
    </w:lvl>
    <w:lvl w:ilvl="5" w:tplc="0E563D04">
      <w:numFmt w:val="decimal"/>
      <w:lvlText w:val=""/>
      <w:lvlJc w:val="left"/>
    </w:lvl>
    <w:lvl w:ilvl="6" w:tplc="2D36E4F8">
      <w:numFmt w:val="decimal"/>
      <w:lvlText w:val=""/>
      <w:lvlJc w:val="left"/>
    </w:lvl>
    <w:lvl w:ilvl="7" w:tplc="8138B2DA">
      <w:numFmt w:val="decimal"/>
      <w:lvlText w:val=""/>
      <w:lvlJc w:val="left"/>
    </w:lvl>
    <w:lvl w:ilvl="8" w:tplc="F9AC043A">
      <w:numFmt w:val="decimal"/>
      <w:lvlText w:val=""/>
      <w:lvlJc w:val="left"/>
    </w:lvl>
  </w:abstractNum>
  <w:abstractNum w:abstractNumId="853" w15:restartNumberingAfterBreak="0">
    <w:nsid w:val="40845646"/>
    <w:multiLevelType w:val="hybridMultilevel"/>
    <w:tmpl w:val="FAD8D87A"/>
    <w:lvl w:ilvl="0" w:tplc="7AFEDB0C">
      <w:start w:val="1"/>
      <w:numFmt w:val="bullet"/>
      <w:lvlText w:val=""/>
      <w:lvlJc w:val="left"/>
      <w:pPr>
        <w:ind w:left="720" w:hanging="180"/>
      </w:pPr>
      <w:rPr>
        <w:rFonts w:ascii="Symbol" w:hAnsi="Symbol" w:hint="default"/>
      </w:rPr>
    </w:lvl>
    <w:lvl w:ilvl="1" w:tplc="009A812C">
      <w:numFmt w:val="decimal"/>
      <w:lvlText w:val=""/>
      <w:lvlJc w:val="left"/>
    </w:lvl>
    <w:lvl w:ilvl="2" w:tplc="0A166584">
      <w:numFmt w:val="decimal"/>
      <w:lvlText w:val=""/>
      <w:lvlJc w:val="left"/>
    </w:lvl>
    <w:lvl w:ilvl="3" w:tplc="E63AF2BE">
      <w:numFmt w:val="decimal"/>
      <w:lvlText w:val=""/>
      <w:lvlJc w:val="left"/>
    </w:lvl>
    <w:lvl w:ilvl="4" w:tplc="F3F6B274">
      <w:numFmt w:val="decimal"/>
      <w:lvlText w:val=""/>
      <w:lvlJc w:val="left"/>
    </w:lvl>
    <w:lvl w:ilvl="5" w:tplc="B442E8A2">
      <w:numFmt w:val="decimal"/>
      <w:lvlText w:val=""/>
      <w:lvlJc w:val="left"/>
    </w:lvl>
    <w:lvl w:ilvl="6" w:tplc="14C06D50">
      <w:numFmt w:val="decimal"/>
      <w:lvlText w:val=""/>
      <w:lvlJc w:val="left"/>
    </w:lvl>
    <w:lvl w:ilvl="7" w:tplc="1ABE49AA">
      <w:numFmt w:val="decimal"/>
      <w:lvlText w:val=""/>
      <w:lvlJc w:val="left"/>
    </w:lvl>
    <w:lvl w:ilvl="8" w:tplc="5C5EE13E">
      <w:numFmt w:val="decimal"/>
      <w:lvlText w:val=""/>
      <w:lvlJc w:val="left"/>
    </w:lvl>
  </w:abstractNum>
  <w:abstractNum w:abstractNumId="854" w15:restartNumberingAfterBreak="0">
    <w:nsid w:val="4086130F"/>
    <w:multiLevelType w:val="hybridMultilevel"/>
    <w:tmpl w:val="D9807DE6"/>
    <w:lvl w:ilvl="0" w:tplc="6B8670F2">
      <w:numFmt w:val="decimal"/>
      <w:lvlText w:val=""/>
      <w:lvlJc w:val="left"/>
    </w:lvl>
    <w:lvl w:ilvl="1" w:tplc="5246DCB8">
      <w:start w:val="1"/>
      <w:numFmt w:val="bullet"/>
      <w:lvlText w:val=""/>
      <w:lvlJc w:val="left"/>
      <w:pPr>
        <w:ind w:left="1440" w:hanging="180"/>
      </w:pPr>
      <w:rPr>
        <w:rFonts w:ascii="Symbol" w:hAnsi="Symbol" w:hint="default"/>
      </w:rPr>
    </w:lvl>
    <w:lvl w:ilvl="2" w:tplc="0E8682FA">
      <w:numFmt w:val="decimal"/>
      <w:lvlText w:val=""/>
      <w:lvlJc w:val="left"/>
    </w:lvl>
    <w:lvl w:ilvl="3" w:tplc="39E4679E">
      <w:numFmt w:val="decimal"/>
      <w:lvlText w:val=""/>
      <w:lvlJc w:val="left"/>
    </w:lvl>
    <w:lvl w:ilvl="4" w:tplc="B4860028">
      <w:numFmt w:val="decimal"/>
      <w:lvlText w:val=""/>
      <w:lvlJc w:val="left"/>
    </w:lvl>
    <w:lvl w:ilvl="5" w:tplc="5220F0B6">
      <w:numFmt w:val="decimal"/>
      <w:lvlText w:val=""/>
      <w:lvlJc w:val="left"/>
    </w:lvl>
    <w:lvl w:ilvl="6" w:tplc="0DEA41D2">
      <w:numFmt w:val="decimal"/>
      <w:lvlText w:val=""/>
      <w:lvlJc w:val="left"/>
    </w:lvl>
    <w:lvl w:ilvl="7" w:tplc="803AB9D6">
      <w:numFmt w:val="decimal"/>
      <w:lvlText w:val=""/>
      <w:lvlJc w:val="left"/>
    </w:lvl>
    <w:lvl w:ilvl="8" w:tplc="EDC2B360">
      <w:numFmt w:val="decimal"/>
      <w:lvlText w:val=""/>
      <w:lvlJc w:val="left"/>
    </w:lvl>
  </w:abstractNum>
  <w:abstractNum w:abstractNumId="855" w15:restartNumberingAfterBreak="0">
    <w:nsid w:val="409857D5"/>
    <w:multiLevelType w:val="hybridMultilevel"/>
    <w:tmpl w:val="9F0E50CA"/>
    <w:lvl w:ilvl="0" w:tplc="D6F4EF58">
      <w:start w:val="1"/>
      <w:numFmt w:val="bullet"/>
      <w:lvlText w:val=""/>
      <w:lvlJc w:val="left"/>
      <w:pPr>
        <w:ind w:left="720" w:hanging="180"/>
      </w:pPr>
      <w:rPr>
        <w:rFonts w:ascii="Symbol" w:hAnsi="Symbol" w:hint="default"/>
      </w:rPr>
    </w:lvl>
    <w:lvl w:ilvl="1" w:tplc="8D74283E">
      <w:numFmt w:val="decimal"/>
      <w:lvlText w:val=""/>
      <w:lvlJc w:val="left"/>
    </w:lvl>
    <w:lvl w:ilvl="2" w:tplc="3CD64DB8">
      <w:numFmt w:val="decimal"/>
      <w:lvlText w:val=""/>
      <w:lvlJc w:val="left"/>
    </w:lvl>
    <w:lvl w:ilvl="3" w:tplc="170A25DA">
      <w:numFmt w:val="decimal"/>
      <w:lvlText w:val=""/>
      <w:lvlJc w:val="left"/>
    </w:lvl>
    <w:lvl w:ilvl="4" w:tplc="9CD892B0">
      <w:numFmt w:val="decimal"/>
      <w:lvlText w:val=""/>
      <w:lvlJc w:val="left"/>
    </w:lvl>
    <w:lvl w:ilvl="5" w:tplc="0EC27FFA">
      <w:numFmt w:val="decimal"/>
      <w:lvlText w:val=""/>
      <w:lvlJc w:val="left"/>
    </w:lvl>
    <w:lvl w:ilvl="6" w:tplc="17569136">
      <w:numFmt w:val="decimal"/>
      <w:lvlText w:val=""/>
      <w:lvlJc w:val="left"/>
    </w:lvl>
    <w:lvl w:ilvl="7" w:tplc="5BC86DD4">
      <w:numFmt w:val="decimal"/>
      <w:lvlText w:val=""/>
      <w:lvlJc w:val="left"/>
    </w:lvl>
    <w:lvl w:ilvl="8" w:tplc="EB9E9686">
      <w:numFmt w:val="decimal"/>
      <w:lvlText w:val=""/>
      <w:lvlJc w:val="left"/>
    </w:lvl>
  </w:abstractNum>
  <w:abstractNum w:abstractNumId="856" w15:restartNumberingAfterBreak="0">
    <w:nsid w:val="40B21DF7"/>
    <w:multiLevelType w:val="hybridMultilevel"/>
    <w:tmpl w:val="94D65B40"/>
    <w:lvl w:ilvl="0" w:tplc="402ADC4A">
      <w:numFmt w:val="decimal"/>
      <w:lvlText w:val=""/>
      <w:lvlJc w:val="left"/>
    </w:lvl>
    <w:lvl w:ilvl="1" w:tplc="9DEC1688">
      <w:start w:val="1"/>
      <w:numFmt w:val="bullet"/>
      <w:lvlText w:val=""/>
      <w:lvlJc w:val="left"/>
      <w:pPr>
        <w:ind w:left="1440" w:hanging="180"/>
      </w:pPr>
      <w:rPr>
        <w:rFonts w:ascii="Symbol" w:hAnsi="Symbol" w:hint="default"/>
      </w:rPr>
    </w:lvl>
    <w:lvl w:ilvl="2" w:tplc="B37A00E8">
      <w:numFmt w:val="decimal"/>
      <w:lvlText w:val=""/>
      <w:lvlJc w:val="left"/>
    </w:lvl>
    <w:lvl w:ilvl="3" w:tplc="FD986964">
      <w:numFmt w:val="decimal"/>
      <w:lvlText w:val=""/>
      <w:lvlJc w:val="left"/>
    </w:lvl>
    <w:lvl w:ilvl="4" w:tplc="B00C705E">
      <w:numFmt w:val="decimal"/>
      <w:lvlText w:val=""/>
      <w:lvlJc w:val="left"/>
    </w:lvl>
    <w:lvl w:ilvl="5" w:tplc="4E00B318">
      <w:numFmt w:val="decimal"/>
      <w:lvlText w:val=""/>
      <w:lvlJc w:val="left"/>
    </w:lvl>
    <w:lvl w:ilvl="6" w:tplc="1C74D410">
      <w:numFmt w:val="decimal"/>
      <w:lvlText w:val=""/>
      <w:lvlJc w:val="left"/>
    </w:lvl>
    <w:lvl w:ilvl="7" w:tplc="025CEA0E">
      <w:numFmt w:val="decimal"/>
      <w:lvlText w:val=""/>
      <w:lvlJc w:val="left"/>
    </w:lvl>
    <w:lvl w:ilvl="8" w:tplc="D7BE565C">
      <w:numFmt w:val="decimal"/>
      <w:lvlText w:val=""/>
      <w:lvlJc w:val="left"/>
    </w:lvl>
  </w:abstractNum>
  <w:abstractNum w:abstractNumId="857" w15:restartNumberingAfterBreak="0">
    <w:nsid w:val="40C44DF9"/>
    <w:multiLevelType w:val="hybridMultilevel"/>
    <w:tmpl w:val="21A07D66"/>
    <w:lvl w:ilvl="0" w:tplc="570A99F4">
      <w:numFmt w:val="decimal"/>
      <w:lvlText w:val=""/>
      <w:lvlJc w:val="left"/>
    </w:lvl>
    <w:lvl w:ilvl="1" w:tplc="D1D0CF70">
      <w:start w:val="1"/>
      <w:numFmt w:val="bullet"/>
      <w:lvlText w:val=""/>
      <w:lvlJc w:val="left"/>
      <w:pPr>
        <w:ind w:left="1440" w:hanging="180"/>
      </w:pPr>
      <w:rPr>
        <w:rFonts w:ascii="Symbol" w:hAnsi="Symbol" w:hint="default"/>
      </w:rPr>
    </w:lvl>
    <w:lvl w:ilvl="2" w:tplc="8800CB90">
      <w:numFmt w:val="decimal"/>
      <w:lvlText w:val=""/>
      <w:lvlJc w:val="left"/>
    </w:lvl>
    <w:lvl w:ilvl="3" w:tplc="F1803AD6">
      <w:numFmt w:val="decimal"/>
      <w:lvlText w:val=""/>
      <w:lvlJc w:val="left"/>
    </w:lvl>
    <w:lvl w:ilvl="4" w:tplc="78E466FC">
      <w:numFmt w:val="decimal"/>
      <w:lvlText w:val=""/>
      <w:lvlJc w:val="left"/>
    </w:lvl>
    <w:lvl w:ilvl="5" w:tplc="3070A658">
      <w:numFmt w:val="decimal"/>
      <w:lvlText w:val=""/>
      <w:lvlJc w:val="left"/>
    </w:lvl>
    <w:lvl w:ilvl="6" w:tplc="0F7A34D8">
      <w:numFmt w:val="decimal"/>
      <w:lvlText w:val=""/>
      <w:lvlJc w:val="left"/>
    </w:lvl>
    <w:lvl w:ilvl="7" w:tplc="C1847B82">
      <w:numFmt w:val="decimal"/>
      <w:lvlText w:val=""/>
      <w:lvlJc w:val="left"/>
    </w:lvl>
    <w:lvl w:ilvl="8" w:tplc="8C6C8322">
      <w:numFmt w:val="decimal"/>
      <w:lvlText w:val=""/>
      <w:lvlJc w:val="left"/>
    </w:lvl>
  </w:abstractNum>
  <w:abstractNum w:abstractNumId="858" w15:restartNumberingAfterBreak="0">
    <w:nsid w:val="41157728"/>
    <w:multiLevelType w:val="hybridMultilevel"/>
    <w:tmpl w:val="34585B8C"/>
    <w:lvl w:ilvl="0" w:tplc="78A02AEE">
      <w:start w:val="1"/>
      <w:numFmt w:val="bullet"/>
      <w:lvlText w:val=""/>
      <w:lvlJc w:val="left"/>
      <w:pPr>
        <w:ind w:left="720" w:hanging="180"/>
      </w:pPr>
      <w:rPr>
        <w:rFonts w:ascii="Symbol" w:hAnsi="Symbol" w:hint="default"/>
      </w:rPr>
    </w:lvl>
    <w:lvl w:ilvl="1" w:tplc="3F365694">
      <w:numFmt w:val="decimal"/>
      <w:lvlText w:val=""/>
      <w:lvlJc w:val="left"/>
    </w:lvl>
    <w:lvl w:ilvl="2" w:tplc="E7C635E4">
      <w:numFmt w:val="decimal"/>
      <w:lvlText w:val=""/>
      <w:lvlJc w:val="left"/>
    </w:lvl>
    <w:lvl w:ilvl="3" w:tplc="FBE65208">
      <w:numFmt w:val="decimal"/>
      <w:lvlText w:val=""/>
      <w:lvlJc w:val="left"/>
    </w:lvl>
    <w:lvl w:ilvl="4" w:tplc="8C0628BE">
      <w:numFmt w:val="decimal"/>
      <w:lvlText w:val=""/>
      <w:lvlJc w:val="left"/>
    </w:lvl>
    <w:lvl w:ilvl="5" w:tplc="864C7658">
      <w:numFmt w:val="decimal"/>
      <w:lvlText w:val=""/>
      <w:lvlJc w:val="left"/>
    </w:lvl>
    <w:lvl w:ilvl="6" w:tplc="705AB17A">
      <w:numFmt w:val="decimal"/>
      <w:lvlText w:val=""/>
      <w:lvlJc w:val="left"/>
    </w:lvl>
    <w:lvl w:ilvl="7" w:tplc="109441EE">
      <w:numFmt w:val="decimal"/>
      <w:lvlText w:val=""/>
      <w:lvlJc w:val="left"/>
    </w:lvl>
    <w:lvl w:ilvl="8" w:tplc="A6ACAC20">
      <w:numFmt w:val="decimal"/>
      <w:lvlText w:val=""/>
      <w:lvlJc w:val="left"/>
    </w:lvl>
  </w:abstractNum>
  <w:abstractNum w:abstractNumId="859" w15:restartNumberingAfterBreak="0">
    <w:nsid w:val="414E1197"/>
    <w:multiLevelType w:val="hybridMultilevel"/>
    <w:tmpl w:val="0E842CE2"/>
    <w:lvl w:ilvl="0" w:tplc="62560DA4">
      <w:numFmt w:val="decimal"/>
      <w:lvlText w:val=""/>
      <w:lvlJc w:val="left"/>
    </w:lvl>
    <w:lvl w:ilvl="1" w:tplc="CB00595E">
      <w:start w:val="1"/>
      <w:numFmt w:val="bullet"/>
      <w:lvlText w:val=""/>
      <w:lvlJc w:val="left"/>
      <w:pPr>
        <w:ind w:left="1440" w:hanging="180"/>
      </w:pPr>
      <w:rPr>
        <w:rFonts w:ascii="Symbol" w:hAnsi="Symbol" w:hint="default"/>
      </w:rPr>
    </w:lvl>
    <w:lvl w:ilvl="2" w:tplc="066A498A">
      <w:numFmt w:val="decimal"/>
      <w:lvlText w:val=""/>
      <w:lvlJc w:val="left"/>
    </w:lvl>
    <w:lvl w:ilvl="3" w:tplc="AD04DF62">
      <w:numFmt w:val="decimal"/>
      <w:lvlText w:val=""/>
      <w:lvlJc w:val="left"/>
    </w:lvl>
    <w:lvl w:ilvl="4" w:tplc="6DB8A208">
      <w:numFmt w:val="decimal"/>
      <w:lvlText w:val=""/>
      <w:lvlJc w:val="left"/>
    </w:lvl>
    <w:lvl w:ilvl="5" w:tplc="A2E49090">
      <w:numFmt w:val="decimal"/>
      <w:lvlText w:val=""/>
      <w:lvlJc w:val="left"/>
    </w:lvl>
    <w:lvl w:ilvl="6" w:tplc="743EDAE4">
      <w:numFmt w:val="decimal"/>
      <w:lvlText w:val=""/>
      <w:lvlJc w:val="left"/>
    </w:lvl>
    <w:lvl w:ilvl="7" w:tplc="F494604C">
      <w:numFmt w:val="decimal"/>
      <w:lvlText w:val=""/>
      <w:lvlJc w:val="left"/>
    </w:lvl>
    <w:lvl w:ilvl="8" w:tplc="A2A648B8">
      <w:numFmt w:val="decimal"/>
      <w:lvlText w:val=""/>
      <w:lvlJc w:val="left"/>
    </w:lvl>
  </w:abstractNum>
  <w:abstractNum w:abstractNumId="860" w15:restartNumberingAfterBreak="0">
    <w:nsid w:val="41830A84"/>
    <w:multiLevelType w:val="hybridMultilevel"/>
    <w:tmpl w:val="1434603A"/>
    <w:lvl w:ilvl="0" w:tplc="2CEA8692">
      <w:start w:val="1"/>
      <w:numFmt w:val="bullet"/>
      <w:lvlText w:val=""/>
      <w:lvlJc w:val="left"/>
      <w:pPr>
        <w:ind w:left="720" w:hanging="180"/>
      </w:pPr>
      <w:rPr>
        <w:rFonts w:ascii="Symbol" w:hAnsi="Symbol" w:hint="default"/>
      </w:rPr>
    </w:lvl>
    <w:lvl w:ilvl="1" w:tplc="0EA881EA">
      <w:numFmt w:val="decimal"/>
      <w:lvlText w:val=""/>
      <w:lvlJc w:val="left"/>
    </w:lvl>
    <w:lvl w:ilvl="2" w:tplc="749CED42">
      <w:numFmt w:val="decimal"/>
      <w:lvlText w:val=""/>
      <w:lvlJc w:val="left"/>
    </w:lvl>
    <w:lvl w:ilvl="3" w:tplc="BECC51A0">
      <w:numFmt w:val="decimal"/>
      <w:lvlText w:val=""/>
      <w:lvlJc w:val="left"/>
    </w:lvl>
    <w:lvl w:ilvl="4" w:tplc="D36ED9A6">
      <w:numFmt w:val="decimal"/>
      <w:lvlText w:val=""/>
      <w:lvlJc w:val="left"/>
    </w:lvl>
    <w:lvl w:ilvl="5" w:tplc="6932094E">
      <w:numFmt w:val="decimal"/>
      <w:lvlText w:val=""/>
      <w:lvlJc w:val="left"/>
    </w:lvl>
    <w:lvl w:ilvl="6" w:tplc="710694DA">
      <w:numFmt w:val="decimal"/>
      <w:lvlText w:val=""/>
      <w:lvlJc w:val="left"/>
    </w:lvl>
    <w:lvl w:ilvl="7" w:tplc="E8A0CE0C">
      <w:numFmt w:val="decimal"/>
      <w:lvlText w:val=""/>
      <w:lvlJc w:val="left"/>
    </w:lvl>
    <w:lvl w:ilvl="8" w:tplc="1FC66DF0">
      <w:numFmt w:val="decimal"/>
      <w:lvlText w:val=""/>
      <w:lvlJc w:val="left"/>
    </w:lvl>
  </w:abstractNum>
  <w:abstractNum w:abstractNumId="861" w15:restartNumberingAfterBreak="0">
    <w:nsid w:val="41937898"/>
    <w:multiLevelType w:val="hybridMultilevel"/>
    <w:tmpl w:val="5AB06AFA"/>
    <w:lvl w:ilvl="0" w:tplc="8086FACE">
      <w:start w:val="1"/>
      <w:numFmt w:val="bullet"/>
      <w:lvlText w:val=""/>
      <w:lvlJc w:val="left"/>
      <w:pPr>
        <w:ind w:left="720" w:hanging="180"/>
      </w:pPr>
      <w:rPr>
        <w:rFonts w:ascii="Symbol" w:hAnsi="Symbol" w:hint="default"/>
      </w:rPr>
    </w:lvl>
    <w:lvl w:ilvl="1" w:tplc="6478ECEC">
      <w:numFmt w:val="decimal"/>
      <w:lvlText w:val=""/>
      <w:lvlJc w:val="left"/>
    </w:lvl>
    <w:lvl w:ilvl="2" w:tplc="DF823EC6">
      <w:numFmt w:val="decimal"/>
      <w:lvlText w:val=""/>
      <w:lvlJc w:val="left"/>
    </w:lvl>
    <w:lvl w:ilvl="3" w:tplc="BA20D906">
      <w:numFmt w:val="decimal"/>
      <w:lvlText w:val=""/>
      <w:lvlJc w:val="left"/>
    </w:lvl>
    <w:lvl w:ilvl="4" w:tplc="54A46E38">
      <w:numFmt w:val="decimal"/>
      <w:lvlText w:val=""/>
      <w:lvlJc w:val="left"/>
    </w:lvl>
    <w:lvl w:ilvl="5" w:tplc="FD94CA78">
      <w:numFmt w:val="decimal"/>
      <w:lvlText w:val=""/>
      <w:lvlJc w:val="left"/>
    </w:lvl>
    <w:lvl w:ilvl="6" w:tplc="F256827E">
      <w:numFmt w:val="decimal"/>
      <w:lvlText w:val=""/>
      <w:lvlJc w:val="left"/>
    </w:lvl>
    <w:lvl w:ilvl="7" w:tplc="7BB43C5E">
      <w:numFmt w:val="decimal"/>
      <w:lvlText w:val=""/>
      <w:lvlJc w:val="left"/>
    </w:lvl>
    <w:lvl w:ilvl="8" w:tplc="404E620C">
      <w:numFmt w:val="decimal"/>
      <w:lvlText w:val=""/>
      <w:lvlJc w:val="left"/>
    </w:lvl>
  </w:abstractNum>
  <w:abstractNum w:abstractNumId="862" w15:restartNumberingAfterBreak="0">
    <w:nsid w:val="41941A58"/>
    <w:multiLevelType w:val="hybridMultilevel"/>
    <w:tmpl w:val="98BA8DFE"/>
    <w:lvl w:ilvl="0" w:tplc="C8BC54AA">
      <w:start w:val="1"/>
      <w:numFmt w:val="bullet"/>
      <w:lvlText w:val=""/>
      <w:lvlJc w:val="left"/>
      <w:pPr>
        <w:ind w:left="720" w:hanging="180"/>
      </w:pPr>
      <w:rPr>
        <w:rFonts w:ascii="Symbol" w:hAnsi="Symbol" w:hint="default"/>
      </w:rPr>
    </w:lvl>
    <w:lvl w:ilvl="1" w:tplc="87F2E792">
      <w:numFmt w:val="decimal"/>
      <w:lvlText w:val=""/>
      <w:lvlJc w:val="left"/>
    </w:lvl>
    <w:lvl w:ilvl="2" w:tplc="75D6253A">
      <w:numFmt w:val="decimal"/>
      <w:lvlText w:val=""/>
      <w:lvlJc w:val="left"/>
    </w:lvl>
    <w:lvl w:ilvl="3" w:tplc="A670A96C">
      <w:numFmt w:val="decimal"/>
      <w:lvlText w:val=""/>
      <w:lvlJc w:val="left"/>
    </w:lvl>
    <w:lvl w:ilvl="4" w:tplc="346C9DB6">
      <w:numFmt w:val="decimal"/>
      <w:lvlText w:val=""/>
      <w:lvlJc w:val="left"/>
    </w:lvl>
    <w:lvl w:ilvl="5" w:tplc="D5B66782">
      <w:numFmt w:val="decimal"/>
      <w:lvlText w:val=""/>
      <w:lvlJc w:val="left"/>
    </w:lvl>
    <w:lvl w:ilvl="6" w:tplc="64FECB1E">
      <w:numFmt w:val="decimal"/>
      <w:lvlText w:val=""/>
      <w:lvlJc w:val="left"/>
    </w:lvl>
    <w:lvl w:ilvl="7" w:tplc="C350547E">
      <w:numFmt w:val="decimal"/>
      <w:lvlText w:val=""/>
      <w:lvlJc w:val="left"/>
    </w:lvl>
    <w:lvl w:ilvl="8" w:tplc="B9824286">
      <w:numFmt w:val="decimal"/>
      <w:lvlText w:val=""/>
      <w:lvlJc w:val="left"/>
    </w:lvl>
  </w:abstractNum>
  <w:abstractNum w:abstractNumId="863" w15:restartNumberingAfterBreak="0">
    <w:nsid w:val="419834FE"/>
    <w:multiLevelType w:val="hybridMultilevel"/>
    <w:tmpl w:val="737CE5D2"/>
    <w:lvl w:ilvl="0" w:tplc="675CAF20">
      <w:start w:val="1"/>
      <w:numFmt w:val="bullet"/>
      <w:lvlText w:val=""/>
      <w:lvlJc w:val="left"/>
      <w:pPr>
        <w:ind w:left="720" w:hanging="180"/>
      </w:pPr>
      <w:rPr>
        <w:rFonts w:ascii="Symbol" w:hAnsi="Symbol" w:hint="default"/>
      </w:rPr>
    </w:lvl>
    <w:lvl w:ilvl="1" w:tplc="F27AB820">
      <w:numFmt w:val="decimal"/>
      <w:lvlText w:val=""/>
      <w:lvlJc w:val="left"/>
    </w:lvl>
    <w:lvl w:ilvl="2" w:tplc="2686418A">
      <w:numFmt w:val="decimal"/>
      <w:lvlText w:val=""/>
      <w:lvlJc w:val="left"/>
    </w:lvl>
    <w:lvl w:ilvl="3" w:tplc="C732440A">
      <w:numFmt w:val="decimal"/>
      <w:lvlText w:val=""/>
      <w:lvlJc w:val="left"/>
    </w:lvl>
    <w:lvl w:ilvl="4" w:tplc="7F08F16A">
      <w:numFmt w:val="decimal"/>
      <w:lvlText w:val=""/>
      <w:lvlJc w:val="left"/>
    </w:lvl>
    <w:lvl w:ilvl="5" w:tplc="1A186334">
      <w:numFmt w:val="decimal"/>
      <w:lvlText w:val=""/>
      <w:lvlJc w:val="left"/>
    </w:lvl>
    <w:lvl w:ilvl="6" w:tplc="57D870DE">
      <w:numFmt w:val="decimal"/>
      <w:lvlText w:val=""/>
      <w:lvlJc w:val="left"/>
    </w:lvl>
    <w:lvl w:ilvl="7" w:tplc="79F2CC06">
      <w:numFmt w:val="decimal"/>
      <w:lvlText w:val=""/>
      <w:lvlJc w:val="left"/>
    </w:lvl>
    <w:lvl w:ilvl="8" w:tplc="838AC3C6">
      <w:numFmt w:val="decimal"/>
      <w:lvlText w:val=""/>
      <w:lvlJc w:val="left"/>
    </w:lvl>
  </w:abstractNum>
  <w:abstractNum w:abstractNumId="864" w15:restartNumberingAfterBreak="0">
    <w:nsid w:val="41CA315A"/>
    <w:multiLevelType w:val="hybridMultilevel"/>
    <w:tmpl w:val="1AB4C490"/>
    <w:lvl w:ilvl="0" w:tplc="53007756">
      <w:start w:val="1"/>
      <w:numFmt w:val="bullet"/>
      <w:lvlText w:val=""/>
      <w:lvlJc w:val="left"/>
      <w:pPr>
        <w:ind w:left="720" w:hanging="180"/>
      </w:pPr>
      <w:rPr>
        <w:rFonts w:ascii="Symbol" w:hAnsi="Symbol" w:hint="default"/>
      </w:rPr>
    </w:lvl>
    <w:lvl w:ilvl="1" w:tplc="C1603402">
      <w:numFmt w:val="decimal"/>
      <w:lvlText w:val=""/>
      <w:lvlJc w:val="left"/>
    </w:lvl>
    <w:lvl w:ilvl="2" w:tplc="7CD81294">
      <w:numFmt w:val="decimal"/>
      <w:lvlText w:val=""/>
      <w:lvlJc w:val="left"/>
    </w:lvl>
    <w:lvl w:ilvl="3" w:tplc="0FE29C24">
      <w:numFmt w:val="decimal"/>
      <w:lvlText w:val=""/>
      <w:lvlJc w:val="left"/>
    </w:lvl>
    <w:lvl w:ilvl="4" w:tplc="A006B4DA">
      <w:numFmt w:val="decimal"/>
      <w:lvlText w:val=""/>
      <w:lvlJc w:val="left"/>
    </w:lvl>
    <w:lvl w:ilvl="5" w:tplc="C27A3C66">
      <w:numFmt w:val="decimal"/>
      <w:lvlText w:val=""/>
      <w:lvlJc w:val="left"/>
    </w:lvl>
    <w:lvl w:ilvl="6" w:tplc="94DA00F4">
      <w:numFmt w:val="decimal"/>
      <w:lvlText w:val=""/>
      <w:lvlJc w:val="left"/>
    </w:lvl>
    <w:lvl w:ilvl="7" w:tplc="EC1C85B6">
      <w:numFmt w:val="decimal"/>
      <w:lvlText w:val=""/>
      <w:lvlJc w:val="left"/>
    </w:lvl>
    <w:lvl w:ilvl="8" w:tplc="18CE1746">
      <w:numFmt w:val="decimal"/>
      <w:lvlText w:val=""/>
      <w:lvlJc w:val="left"/>
    </w:lvl>
  </w:abstractNum>
  <w:abstractNum w:abstractNumId="865" w15:restartNumberingAfterBreak="0">
    <w:nsid w:val="41DC64DB"/>
    <w:multiLevelType w:val="hybridMultilevel"/>
    <w:tmpl w:val="DC24EA5C"/>
    <w:lvl w:ilvl="0" w:tplc="57B08A5A">
      <w:start w:val="1"/>
      <w:numFmt w:val="bullet"/>
      <w:lvlText w:val=""/>
      <w:lvlJc w:val="left"/>
      <w:pPr>
        <w:ind w:left="720" w:hanging="180"/>
      </w:pPr>
      <w:rPr>
        <w:rFonts w:ascii="Symbol" w:hAnsi="Symbol" w:hint="default"/>
      </w:rPr>
    </w:lvl>
    <w:lvl w:ilvl="1" w:tplc="294E2262">
      <w:numFmt w:val="decimal"/>
      <w:lvlText w:val=""/>
      <w:lvlJc w:val="left"/>
    </w:lvl>
    <w:lvl w:ilvl="2" w:tplc="4E5443C0">
      <w:numFmt w:val="decimal"/>
      <w:lvlText w:val=""/>
      <w:lvlJc w:val="left"/>
    </w:lvl>
    <w:lvl w:ilvl="3" w:tplc="AD5062FC">
      <w:numFmt w:val="decimal"/>
      <w:lvlText w:val=""/>
      <w:lvlJc w:val="left"/>
    </w:lvl>
    <w:lvl w:ilvl="4" w:tplc="B8DA0914">
      <w:numFmt w:val="decimal"/>
      <w:lvlText w:val=""/>
      <w:lvlJc w:val="left"/>
    </w:lvl>
    <w:lvl w:ilvl="5" w:tplc="A0FC5D26">
      <w:numFmt w:val="decimal"/>
      <w:lvlText w:val=""/>
      <w:lvlJc w:val="left"/>
    </w:lvl>
    <w:lvl w:ilvl="6" w:tplc="072C9832">
      <w:numFmt w:val="decimal"/>
      <w:lvlText w:val=""/>
      <w:lvlJc w:val="left"/>
    </w:lvl>
    <w:lvl w:ilvl="7" w:tplc="42CAA1B0">
      <w:numFmt w:val="decimal"/>
      <w:lvlText w:val=""/>
      <w:lvlJc w:val="left"/>
    </w:lvl>
    <w:lvl w:ilvl="8" w:tplc="7A3E1494">
      <w:numFmt w:val="decimal"/>
      <w:lvlText w:val=""/>
      <w:lvlJc w:val="left"/>
    </w:lvl>
  </w:abstractNum>
  <w:abstractNum w:abstractNumId="866" w15:restartNumberingAfterBreak="0">
    <w:nsid w:val="424F1403"/>
    <w:multiLevelType w:val="hybridMultilevel"/>
    <w:tmpl w:val="E36A14A0"/>
    <w:lvl w:ilvl="0" w:tplc="8F42736A">
      <w:start w:val="1"/>
      <w:numFmt w:val="bullet"/>
      <w:lvlText w:val=""/>
      <w:lvlJc w:val="left"/>
      <w:pPr>
        <w:ind w:left="720" w:hanging="180"/>
      </w:pPr>
      <w:rPr>
        <w:rFonts w:ascii="Symbol" w:hAnsi="Symbol" w:hint="default"/>
      </w:rPr>
    </w:lvl>
    <w:lvl w:ilvl="1" w:tplc="4878AB7E">
      <w:numFmt w:val="decimal"/>
      <w:lvlText w:val=""/>
      <w:lvlJc w:val="left"/>
    </w:lvl>
    <w:lvl w:ilvl="2" w:tplc="93FA4B58">
      <w:numFmt w:val="decimal"/>
      <w:lvlText w:val=""/>
      <w:lvlJc w:val="left"/>
    </w:lvl>
    <w:lvl w:ilvl="3" w:tplc="FF947940">
      <w:numFmt w:val="decimal"/>
      <w:lvlText w:val=""/>
      <w:lvlJc w:val="left"/>
    </w:lvl>
    <w:lvl w:ilvl="4" w:tplc="F2FC37C2">
      <w:numFmt w:val="decimal"/>
      <w:lvlText w:val=""/>
      <w:lvlJc w:val="left"/>
    </w:lvl>
    <w:lvl w:ilvl="5" w:tplc="6242D91A">
      <w:numFmt w:val="decimal"/>
      <w:lvlText w:val=""/>
      <w:lvlJc w:val="left"/>
    </w:lvl>
    <w:lvl w:ilvl="6" w:tplc="53FEBAC6">
      <w:numFmt w:val="decimal"/>
      <w:lvlText w:val=""/>
      <w:lvlJc w:val="left"/>
    </w:lvl>
    <w:lvl w:ilvl="7" w:tplc="BB30BC4C">
      <w:numFmt w:val="decimal"/>
      <w:lvlText w:val=""/>
      <w:lvlJc w:val="left"/>
    </w:lvl>
    <w:lvl w:ilvl="8" w:tplc="4C00098C">
      <w:numFmt w:val="decimal"/>
      <w:lvlText w:val=""/>
      <w:lvlJc w:val="left"/>
    </w:lvl>
  </w:abstractNum>
  <w:abstractNum w:abstractNumId="867" w15:restartNumberingAfterBreak="0">
    <w:nsid w:val="429C0C21"/>
    <w:multiLevelType w:val="hybridMultilevel"/>
    <w:tmpl w:val="16DC660C"/>
    <w:lvl w:ilvl="0" w:tplc="71DEE424">
      <w:start w:val="1"/>
      <w:numFmt w:val="bullet"/>
      <w:lvlText w:val=""/>
      <w:lvlJc w:val="left"/>
      <w:pPr>
        <w:ind w:left="720" w:hanging="180"/>
      </w:pPr>
      <w:rPr>
        <w:rFonts w:ascii="Symbol" w:hAnsi="Symbol" w:hint="default"/>
      </w:rPr>
    </w:lvl>
    <w:lvl w:ilvl="1" w:tplc="CB38C682">
      <w:numFmt w:val="decimal"/>
      <w:lvlText w:val=""/>
      <w:lvlJc w:val="left"/>
    </w:lvl>
    <w:lvl w:ilvl="2" w:tplc="05AE3A36">
      <w:numFmt w:val="decimal"/>
      <w:lvlText w:val=""/>
      <w:lvlJc w:val="left"/>
    </w:lvl>
    <w:lvl w:ilvl="3" w:tplc="7354C7FE">
      <w:numFmt w:val="decimal"/>
      <w:lvlText w:val=""/>
      <w:lvlJc w:val="left"/>
    </w:lvl>
    <w:lvl w:ilvl="4" w:tplc="100C110A">
      <w:numFmt w:val="decimal"/>
      <w:lvlText w:val=""/>
      <w:lvlJc w:val="left"/>
    </w:lvl>
    <w:lvl w:ilvl="5" w:tplc="EF8C4EEA">
      <w:numFmt w:val="decimal"/>
      <w:lvlText w:val=""/>
      <w:lvlJc w:val="left"/>
    </w:lvl>
    <w:lvl w:ilvl="6" w:tplc="006809B0">
      <w:numFmt w:val="decimal"/>
      <w:lvlText w:val=""/>
      <w:lvlJc w:val="left"/>
    </w:lvl>
    <w:lvl w:ilvl="7" w:tplc="F3BC360A">
      <w:numFmt w:val="decimal"/>
      <w:lvlText w:val=""/>
      <w:lvlJc w:val="left"/>
    </w:lvl>
    <w:lvl w:ilvl="8" w:tplc="978C5CF8">
      <w:numFmt w:val="decimal"/>
      <w:lvlText w:val=""/>
      <w:lvlJc w:val="left"/>
    </w:lvl>
  </w:abstractNum>
  <w:abstractNum w:abstractNumId="868" w15:restartNumberingAfterBreak="0">
    <w:nsid w:val="429E685B"/>
    <w:multiLevelType w:val="hybridMultilevel"/>
    <w:tmpl w:val="53545008"/>
    <w:lvl w:ilvl="0" w:tplc="97A8946A">
      <w:numFmt w:val="decimal"/>
      <w:lvlText w:val=""/>
      <w:lvlJc w:val="left"/>
    </w:lvl>
    <w:lvl w:ilvl="1" w:tplc="39FE17C0">
      <w:start w:val="1"/>
      <w:numFmt w:val="bullet"/>
      <w:lvlText w:val=""/>
      <w:lvlJc w:val="left"/>
      <w:pPr>
        <w:ind w:left="1440" w:hanging="180"/>
      </w:pPr>
      <w:rPr>
        <w:rFonts w:ascii="Symbol" w:hAnsi="Symbol" w:hint="default"/>
      </w:rPr>
    </w:lvl>
    <w:lvl w:ilvl="2" w:tplc="7F50C09C">
      <w:numFmt w:val="decimal"/>
      <w:lvlText w:val=""/>
      <w:lvlJc w:val="left"/>
    </w:lvl>
    <w:lvl w:ilvl="3" w:tplc="C3345D48">
      <w:numFmt w:val="decimal"/>
      <w:lvlText w:val=""/>
      <w:lvlJc w:val="left"/>
    </w:lvl>
    <w:lvl w:ilvl="4" w:tplc="E7F8CED2">
      <w:numFmt w:val="decimal"/>
      <w:lvlText w:val=""/>
      <w:lvlJc w:val="left"/>
    </w:lvl>
    <w:lvl w:ilvl="5" w:tplc="EEF6F49C">
      <w:numFmt w:val="decimal"/>
      <w:lvlText w:val=""/>
      <w:lvlJc w:val="left"/>
    </w:lvl>
    <w:lvl w:ilvl="6" w:tplc="93082C44">
      <w:numFmt w:val="decimal"/>
      <w:lvlText w:val=""/>
      <w:lvlJc w:val="left"/>
    </w:lvl>
    <w:lvl w:ilvl="7" w:tplc="AD1C9A76">
      <w:numFmt w:val="decimal"/>
      <w:lvlText w:val=""/>
      <w:lvlJc w:val="left"/>
    </w:lvl>
    <w:lvl w:ilvl="8" w:tplc="1394740C">
      <w:numFmt w:val="decimal"/>
      <w:lvlText w:val=""/>
      <w:lvlJc w:val="left"/>
    </w:lvl>
  </w:abstractNum>
  <w:abstractNum w:abstractNumId="869" w15:restartNumberingAfterBreak="0">
    <w:nsid w:val="42A20058"/>
    <w:multiLevelType w:val="hybridMultilevel"/>
    <w:tmpl w:val="AE94DD06"/>
    <w:lvl w:ilvl="0" w:tplc="D868CDD8">
      <w:start w:val="1"/>
      <w:numFmt w:val="bullet"/>
      <w:lvlText w:val=""/>
      <w:lvlJc w:val="left"/>
      <w:pPr>
        <w:ind w:left="720" w:hanging="180"/>
      </w:pPr>
      <w:rPr>
        <w:rFonts w:ascii="Symbol" w:hAnsi="Symbol" w:hint="default"/>
      </w:rPr>
    </w:lvl>
    <w:lvl w:ilvl="1" w:tplc="93409498">
      <w:numFmt w:val="decimal"/>
      <w:lvlText w:val=""/>
      <w:lvlJc w:val="left"/>
    </w:lvl>
    <w:lvl w:ilvl="2" w:tplc="2FF076FE">
      <w:numFmt w:val="decimal"/>
      <w:lvlText w:val=""/>
      <w:lvlJc w:val="left"/>
    </w:lvl>
    <w:lvl w:ilvl="3" w:tplc="85627AB2">
      <w:numFmt w:val="decimal"/>
      <w:lvlText w:val=""/>
      <w:lvlJc w:val="left"/>
    </w:lvl>
    <w:lvl w:ilvl="4" w:tplc="A01E46F8">
      <w:numFmt w:val="decimal"/>
      <w:lvlText w:val=""/>
      <w:lvlJc w:val="left"/>
    </w:lvl>
    <w:lvl w:ilvl="5" w:tplc="130ACC40">
      <w:numFmt w:val="decimal"/>
      <w:lvlText w:val=""/>
      <w:lvlJc w:val="left"/>
    </w:lvl>
    <w:lvl w:ilvl="6" w:tplc="620A7794">
      <w:numFmt w:val="decimal"/>
      <w:lvlText w:val=""/>
      <w:lvlJc w:val="left"/>
    </w:lvl>
    <w:lvl w:ilvl="7" w:tplc="DB889D2E">
      <w:numFmt w:val="decimal"/>
      <w:lvlText w:val=""/>
      <w:lvlJc w:val="left"/>
    </w:lvl>
    <w:lvl w:ilvl="8" w:tplc="9DC281A0">
      <w:numFmt w:val="decimal"/>
      <w:lvlText w:val=""/>
      <w:lvlJc w:val="left"/>
    </w:lvl>
  </w:abstractNum>
  <w:abstractNum w:abstractNumId="870" w15:restartNumberingAfterBreak="0">
    <w:nsid w:val="42A73392"/>
    <w:multiLevelType w:val="hybridMultilevel"/>
    <w:tmpl w:val="499C623C"/>
    <w:lvl w:ilvl="0" w:tplc="347AB33C">
      <w:start w:val="1"/>
      <w:numFmt w:val="bullet"/>
      <w:lvlText w:val=""/>
      <w:lvlJc w:val="left"/>
      <w:pPr>
        <w:ind w:left="720" w:hanging="180"/>
      </w:pPr>
      <w:rPr>
        <w:rFonts w:ascii="Symbol" w:hAnsi="Symbol" w:hint="default"/>
      </w:rPr>
    </w:lvl>
    <w:lvl w:ilvl="1" w:tplc="B5BEDBD0">
      <w:numFmt w:val="decimal"/>
      <w:lvlText w:val=""/>
      <w:lvlJc w:val="left"/>
    </w:lvl>
    <w:lvl w:ilvl="2" w:tplc="64E2ABA2">
      <w:numFmt w:val="decimal"/>
      <w:lvlText w:val=""/>
      <w:lvlJc w:val="left"/>
    </w:lvl>
    <w:lvl w:ilvl="3" w:tplc="DA7C7B00">
      <w:numFmt w:val="decimal"/>
      <w:lvlText w:val=""/>
      <w:lvlJc w:val="left"/>
    </w:lvl>
    <w:lvl w:ilvl="4" w:tplc="34E6DF18">
      <w:numFmt w:val="decimal"/>
      <w:lvlText w:val=""/>
      <w:lvlJc w:val="left"/>
    </w:lvl>
    <w:lvl w:ilvl="5" w:tplc="35E86ED6">
      <w:numFmt w:val="decimal"/>
      <w:lvlText w:val=""/>
      <w:lvlJc w:val="left"/>
    </w:lvl>
    <w:lvl w:ilvl="6" w:tplc="9C2CCD5E">
      <w:numFmt w:val="decimal"/>
      <w:lvlText w:val=""/>
      <w:lvlJc w:val="left"/>
    </w:lvl>
    <w:lvl w:ilvl="7" w:tplc="476E95F0">
      <w:numFmt w:val="decimal"/>
      <w:lvlText w:val=""/>
      <w:lvlJc w:val="left"/>
    </w:lvl>
    <w:lvl w:ilvl="8" w:tplc="A7E81A96">
      <w:numFmt w:val="decimal"/>
      <w:lvlText w:val=""/>
      <w:lvlJc w:val="left"/>
    </w:lvl>
  </w:abstractNum>
  <w:abstractNum w:abstractNumId="871" w15:restartNumberingAfterBreak="0">
    <w:nsid w:val="42A7395A"/>
    <w:multiLevelType w:val="hybridMultilevel"/>
    <w:tmpl w:val="C62C0A54"/>
    <w:lvl w:ilvl="0" w:tplc="95C880C0">
      <w:start w:val="1"/>
      <w:numFmt w:val="bullet"/>
      <w:lvlText w:val=""/>
      <w:lvlJc w:val="left"/>
      <w:pPr>
        <w:ind w:left="720" w:hanging="180"/>
      </w:pPr>
      <w:rPr>
        <w:rFonts w:ascii="Symbol" w:hAnsi="Symbol" w:hint="default"/>
      </w:rPr>
    </w:lvl>
    <w:lvl w:ilvl="1" w:tplc="ECB479FE">
      <w:numFmt w:val="decimal"/>
      <w:lvlText w:val=""/>
      <w:lvlJc w:val="left"/>
    </w:lvl>
    <w:lvl w:ilvl="2" w:tplc="6406AD32">
      <w:numFmt w:val="decimal"/>
      <w:lvlText w:val=""/>
      <w:lvlJc w:val="left"/>
    </w:lvl>
    <w:lvl w:ilvl="3" w:tplc="0AFE146A">
      <w:numFmt w:val="decimal"/>
      <w:lvlText w:val=""/>
      <w:lvlJc w:val="left"/>
    </w:lvl>
    <w:lvl w:ilvl="4" w:tplc="90BC0910">
      <w:numFmt w:val="decimal"/>
      <w:lvlText w:val=""/>
      <w:lvlJc w:val="left"/>
    </w:lvl>
    <w:lvl w:ilvl="5" w:tplc="E6785134">
      <w:numFmt w:val="decimal"/>
      <w:lvlText w:val=""/>
      <w:lvlJc w:val="left"/>
    </w:lvl>
    <w:lvl w:ilvl="6" w:tplc="C6BCC98E">
      <w:numFmt w:val="decimal"/>
      <w:lvlText w:val=""/>
      <w:lvlJc w:val="left"/>
    </w:lvl>
    <w:lvl w:ilvl="7" w:tplc="C08EB940">
      <w:numFmt w:val="decimal"/>
      <w:lvlText w:val=""/>
      <w:lvlJc w:val="left"/>
    </w:lvl>
    <w:lvl w:ilvl="8" w:tplc="496AC798">
      <w:numFmt w:val="decimal"/>
      <w:lvlText w:val=""/>
      <w:lvlJc w:val="left"/>
    </w:lvl>
  </w:abstractNum>
  <w:abstractNum w:abstractNumId="872" w15:restartNumberingAfterBreak="0">
    <w:nsid w:val="42D82D61"/>
    <w:multiLevelType w:val="hybridMultilevel"/>
    <w:tmpl w:val="34342808"/>
    <w:lvl w:ilvl="0" w:tplc="2D7C364C">
      <w:start w:val="1"/>
      <w:numFmt w:val="bullet"/>
      <w:lvlText w:val=""/>
      <w:lvlJc w:val="left"/>
      <w:pPr>
        <w:ind w:left="720" w:hanging="180"/>
      </w:pPr>
      <w:rPr>
        <w:rFonts w:ascii="Symbol" w:hAnsi="Symbol" w:hint="default"/>
      </w:rPr>
    </w:lvl>
    <w:lvl w:ilvl="1" w:tplc="6990161A">
      <w:numFmt w:val="decimal"/>
      <w:lvlText w:val=""/>
      <w:lvlJc w:val="left"/>
    </w:lvl>
    <w:lvl w:ilvl="2" w:tplc="2FE81F1C">
      <w:numFmt w:val="decimal"/>
      <w:lvlText w:val=""/>
      <w:lvlJc w:val="left"/>
    </w:lvl>
    <w:lvl w:ilvl="3" w:tplc="C18EDA38">
      <w:numFmt w:val="decimal"/>
      <w:lvlText w:val=""/>
      <w:lvlJc w:val="left"/>
    </w:lvl>
    <w:lvl w:ilvl="4" w:tplc="2DE03D6A">
      <w:numFmt w:val="decimal"/>
      <w:lvlText w:val=""/>
      <w:lvlJc w:val="left"/>
    </w:lvl>
    <w:lvl w:ilvl="5" w:tplc="64129C9A">
      <w:numFmt w:val="decimal"/>
      <w:lvlText w:val=""/>
      <w:lvlJc w:val="left"/>
    </w:lvl>
    <w:lvl w:ilvl="6" w:tplc="532AC48E">
      <w:numFmt w:val="decimal"/>
      <w:lvlText w:val=""/>
      <w:lvlJc w:val="left"/>
    </w:lvl>
    <w:lvl w:ilvl="7" w:tplc="35486A56">
      <w:numFmt w:val="decimal"/>
      <w:lvlText w:val=""/>
      <w:lvlJc w:val="left"/>
    </w:lvl>
    <w:lvl w:ilvl="8" w:tplc="CD1ADE32">
      <w:numFmt w:val="decimal"/>
      <w:lvlText w:val=""/>
      <w:lvlJc w:val="left"/>
    </w:lvl>
  </w:abstractNum>
  <w:abstractNum w:abstractNumId="873" w15:restartNumberingAfterBreak="0">
    <w:nsid w:val="42E76A5D"/>
    <w:multiLevelType w:val="hybridMultilevel"/>
    <w:tmpl w:val="68FC171E"/>
    <w:lvl w:ilvl="0" w:tplc="1A6AA698">
      <w:start w:val="1"/>
      <w:numFmt w:val="bullet"/>
      <w:lvlText w:val=""/>
      <w:lvlJc w:val="left"/>
      <w:pPr>
        <w:ind w:left="720" w:hanging="180"/>
      </w:pPr>
      <w:rPr>
        <w:rFonts w:ascii="Symbol" w:hAnsi="Symbol" w:hint="default"/>
      </w:rPr>
    </w:lvl>
    <w:lvl w:ilvl="1" w:tplc="8370DF72">
      <w:numFmt w:val="decimal"/>
      <w:lvlText w:val=""/>
      <w:lvlJc w:val="left"/>
    </w:lvl>
    <w:lvl w:ilvl="2" w:tplc="B87E5CCE">
      <w:numFmt w:val="decimal"/>
      <w:lvlText w:val=""/>
      <w:lvlJc w:val="left"/>
    </w:lvl>
    <w:lvl w:ilvl="3" w:tplc="D06C7D46">
      <w:numFmt w:val="decimal"/>
      <w:lvlText w:val=""/>
      <w:lvlJc w:val="left"/>
    </w:lvl>
    <w:lvl w:ilvl="4" w:tplc="8832725E">
      <w:numFmt w:val="decimal"/>
      <w:lvlText w:val=""/>
      <w:lvlJc w:val="left"/>
    </w:lvl>
    <w:lvl w:ilvl="5" w:tplc="E500CFF2">
      <w:numFmt w:val="decimal"/>
      <w:lvlText w:val=""/>
      <w:lvlJc w:val="left"/>
    </w:lvl>
    <w:lvl w:ilvl="6" w:tplc="21E007C4">
      <w:numFmt w:val="decimal"/>
      <w:lvlText w:val=""/>
      <w:lvlJc w:val="left"/>
    </w:lvl>
    <w:lvl w:ilvl="7" w:tplc="66345566">
      <w:numFmt w:val="decimal"/>
      <w:lvlText w:val=""/>
      <w:lvlJc w:val="left"/>
    </w:lvl>
    <w:lvl w:ilvl="8" w:tplc="8A44B86C">
      <w:numFmt w:val="decimal"/>
      <w:lvlText w:val=""/>
      <w:lvlJc w:val="left"/>
    </w:lvl>
  </w:abstractNum>
  <w:abstractNum w:abstractNumId="874" w15:restartNumberingAfterBreak="0">
    <w:nsid w:val="42EF7C4E"/>
    <w:multiLevelType w:val="hybridMultilevel"/>
    <w:tmpl w:val="4360318E"/>
    <w:lvl w:ilvl="0" w:tplc="8C54FF6A">
      <w:start w:val="1"/>
      <w:numFmt w:val="bullet"/>
      <w:lvlText w:val=""/>
      <w:lvlJc w:val="left"/>
      <w:pPr>
        <w:ind w:left="720" w:hanging="180"/>
      </w:pPr>
      <w:rPr>
        <w:rFonts w:ascii="Symbol" w:hAnsi="Symbol" w:hint="default"/>
      </w:rPr>
    </w:lvl>
    <w:lvl w:ilvl="1" w:tplc="2C94AD9E">
      <w:numFmt w:val="decimal"/>
      <w:lvlText w:val=""/>
      <w:lvlJc w:val="left"/>
    </w:lvl>
    <w:lvl w:ilvl="2" w:tplc="23CCB3A8">
      <w:numFmt w:val="decimal"/>
      <w:lvlText w:val=""/>
      <w:lvlJc w:val="left"/>
    </w:lvl>
    <w:lvl w:ilvl="3" w:tplc="D9345CD4">
      <w:numFmt w:val="decimal"/>
      <w:lvlText w:val=""/>
      <w:lvlJc w:val="left"/>
    </w:lvl>
    <w:lvl w:ilvl="4" w:tplc="B23C2852">
      <w:numFmt w:val="decimal"/>
      <w:lvlText w:val=""/>
      <w:lvlJc w:val="left"/>
    </w:lvl>
    <w:lvl w:ilvl="5" w:tplc="541E946A">
      <w:numFmt w:val="decimal"/>
      <w:lvlText w:val=""/>
      <w:lvlJc w:val="left"/>
    </w:lvl>
    <w:lvl w:ilvl="6" w:tplc="3E0CA90A">
      <w:numFmt w:val="decimal"/>
      <w:lvlText w:val=""/>
      <w:lvlJc w:val="left"/>
    </w:lvl>
    <w:lvl w:ilvl="7" w:tplc="7BE2F536">
      <w:numFmt w:val="decimal"/>
      <w:lvlText w:val=""/>
      <w:lvlJc w:val="left"/>
    </w:lvl>
    <w:lvl w:ilvl="8" w:tplc="C0B8EEC4">
      <w:numFmt w:val="decimal"/>
      <w:lvlText w:val=""/>
      <w:lvlJc w:val="left"/>
    </w:lvl>
  </w:abstractNum>
  <w:abstractNum w:abstractNumId="875" w15:restartNumberingAfterBreak="0">
    <w:nsid w:val="42F915EB"/>
    <w:multiLevelType w:val="hybridMultilevel"/>
    <w:tmpl w:val="F4586424"/>
    <w:lvl w:ilvl="0" w:tplc="543048CA">
      <w:numFmt w:val="decimal"/>
      <w:lvlText w:val=""/>
      <w:lvlJc w:val="left"/>
    </w:lvl>
    <w:lvl w:ilvl="1" w:tplc="F9864B92">
      <w:start w:val="1"/>
      <w:numFmt w:val="bullet"/>
      <w:lvlText w:val=""/>
      <w:lvlJc w:val="left"/>
      <w:pPr>
        <w:ind w:left="1440" w:hanging="180"/>
      </w:pPr>
      <w:rPr>
        <w:rFonts w:ascii="Symbol" w:hAnsi="Symbol" w:hint="default"/>
      </w:rPr>
    </w:lvl>
    <w:lvl w:ilvl="2" w:tplc="95F20026">
      <w:numFmt w:val="decimal"/>
      <w:lvlText w:val=""/>
      <w:lvlJc w:val="left"/>
    </w:lvl>
    <w:lvl w:ilvl="3" w:tplc="188C199E">
      <w:numFmt w:val="decimal"/>
      <w:lvlText w:val=""/>
      <w:lvlJc w:val="left"/>
    </w:lvl>
    <w:lvl w:ilvl="4" w:tplc="2FD8E4BC">
      <w:numFmt w:val="decimal"/>
      <w:lvlText w:val=""/>
      <w:lvlJc w:val="left"/>
    </w:lvl>
    <w:lvl w:ilvl="5" w:tplc="96A8489C">
      <w:numFmt w:val="decimal"/>
      <w:lvlText w:val=""/>
      <w:lvlJc w:val="left"/>
    </w:lvl>
    <w:lvl w:ilvl="6" w:tplc="F9889174">
      <w:numFmt w:val="decimal"/>
      <w:lvlText w:val=""/>
      <w:lvlJc w:val="left"/>
    </w:lvl>
    <w:lvl w:ilvl="7" w:tplc="A7EC9598">
      <w:numFmt w:val="decimal"/>
      <w:lvlText w:val=""/>
      <w:lvlJc w:val="left"/>
    </w:lvl>
    <w:lvl w:ilvl="8" w:tplc="73CE0CCA">
      <w:numFmt w:val="decimal"/>
      <w:lvlText w:val=""/>
      <w:lvlJc w:val="left"/>
    </w:lvl>
  </w:abstractNum>
  <w:abstractNum w:abstractNumId="876" w15:restartNumberingAfterBreak="0">
    <w:nsid w:val="431B2401"/>
    <w:multiLevelType w:val="hybridMultilevel"/>
    <w:tmpl w:val="D10C485C"/>
    <w:lvl w:ilvl="0" w:tplc="47AA9108">
      <w:start w:val="1"/>
      <w:numFmt w:val="bullet"/>
      <w:lvlText w:val=""/>
      <w:lvlJc w:val="left"/>
      <w:pPr>
        <w:ind w:left="720" w:hanging="180"/>
      </w:pPr>
      <w:rPr>
        <w:rFonts w:ascii="Symbol" w:hAnsi="Symbol" w:hint="default"/>
      </w:rPr>
    </w:lvl>
    <w:lvl w:ilvl="1" w:tplc="88A47770">
      <w:numFmt w:val="decimal"/>
      <w:lvlText w:val=""/>
      <w:lvlJc w:val="left"/>
    </w:lvl>
    <w:lvl w:ilvl="2" w:tplc="A45E1DDC">
      <w:numFmt w:val="decimal"/>
      <w:lvlText w:val=""/>
      <w:lvlJc w:val="left"/>
    </w:lvl>
    <w:lvl w:ilvl="3" w:tplc="F6363160">
      <w:numFmt w:val="decimal"/>
      <w:lvlText w:val=""/>
      <w:lvlJc w:val="left"/>
    </w:lvl>
    <w:lvl w:ilvl="4" w:tplc="BCBE3B10">
      <w:numFmt w:val="decimal"/>
      <w:lvlText w:val=""/>
      <w:lvlJc w:val="left"/>
    </w:lvl>
    <w:lvl w:ilvl="5" w:tplc="1FAC50DC">
      <w:numFmt w:val="decimal"/>
      <w:lvlText w:val=""/>
      <w:lvlJc w:val="left"/>
    </w:lvl>
    <w:lvl w:ilvl="6" w:tplc="8B18A08C">
      <w:numFmt w:val="decimal"/>
      <w:lvlText w:val=""/>
      <w:lvlJc w:val="left"/>
    </w:lvl>
    <w:lvl w:ilvl="7" w:tplc="B54EEDB6">
      <w:numFmt w:val="decimal"/>
      <w:lvlText w:val=""/>
      <w:lvlJc w:val="left"/>
    </w:lvl>
    <w:lvl w:ilvl="8" w:tplc="0FD2403A">
      <w:numFmt w:val="decimal"/>
      <w:lvlText w:val=""/>
      <w:lvlJc w:val="left"/>
    </w:lvl>
  </w:abstractNum>
  <w:abstractNum w:abstractNumId="877" w15:restartNumberingAfterBreak="0">
    <w:nsid w:val="435C675B"/>
    <w:multiLevelType w:val="hybridMultilevel"/>
    <w:tmpl w:val="A97C9548"/>
    <w:lvl w:ilvl="0" w:tplc="754431BC">
      <w:start w:val="1"/>
      <w:numFmt w:val="bullet"/>
      <w:lvlText w:val=""/>
      <w:lvlJc w:val="left"/>
      <w:pPr>
        <w:ind w:left="720" w:hanging="180"/>
      </w:pPr>
      <w:rPr>
        <w:rFonts w:ascii="Symbol" w:hAnsi="Symbol" w:hint="default"/>
      </w:rPr>
    </w:lvl>
    <w:lvl w:ilvl="1" w:tplc="3E84DE80">
      <w:numFmt w:val="decimal"/>
      <w:lvlText w:val=""/>
      <w:lvlJc w:val="left"/>
    </w:lvl>
    <w:lvl w:ilvl="2" w:tplc="762C001A">
      <w:numFmt w:val="decimal"/>
      <w:lvlText w:val=""/>
      <w:lvlJc w:val="left"/>
    </w:lvl>
    <w:lvl w:ilvl="3" w:tplc="5E28BB58">
      <w:numFmt w:val="decimal"/>
      <w:lvlText w:val=""/>
      <w:lvlJc w:val="left"/>
    </w:lvl>
    <w:lvl w:ilvl="4" w:tplc="D97C2D68">
      <w:numFmt w:val="decimal"/>
      <w:lvlText w:val=""/>
      <w:lvlJc w:val="left"/>
    </w:lvl>
    <w:lvl w:ilvl="5" w:tplc="57F0147E">
      <w:numFmt w:val="decimal"/>
      <w:lvlText w:val=""/>
      <w:lvlJc w:val="left"/>
    </w:lvl>
    <w:lvl w:ilvl="6" w:tplc="70865426">
      <w:numFmt w:val="decimal"/>
      <w:lvlText w:val=""/>
      <w:lvlJc w:val="left"/>
    </w:lvl>
    <w:lvl w:ilvl="7" w:tplc="CF64A5D2">
      <w:numFmt w:val="decimal"/>
      <w:lvlText w:val=""/>
      <w:lvlJc w:val="left"/>
    </w:lvl>
    <w:lvl w:ilvl="8" w:tplc="195C6832">
      <w:numFmt w:val="decimal"/>
      <w:lvlText w:val=""/>
      <w:lvlJc w:val="left"/>
    </w:lvl>
  </w:abstractNum>
  <w:abstractNum w:abstractNumId="878" w15:restartNumberingAfterBreak="0">
    <w:nsid w:val="43792D6E"/>
    <w:multiLevelType w:val="hybridMultilevel"/>
    <w:tmpl w:val="4784E65E"/>
    <w:lvl w:ilvl="0" w:tplc="5C2A0A96">
      <w:start w:val="1"/>
      <w:numFmt w:val="bullet"/>
      <w:lvlText w:val=""/>
      <w:lvlJc w:val="left"/>
      <w:pPr>
        <w:ind w:left="720" w:hanging="180"/>
      </w:pPr>
      <w:rPr>
        <w:rFonts w:ascii="Symbol" w:hAnsi="Symbol" w:hint="default"/>
      </w:rPr>
    </w:lvl>
    <w:lvl w:ilvl="1" w:tplc="5C883880">
      <w:numFmt w:val="decimal"/>
      <w:lvlText w:val=""/>
      <w:lvlJc w:val="left"/>
    </w:lvl>
    <w:lvl w:ilvl="2" w:tplc="FC3E9340">
      <w:numFmt w:val="decimal"/>
      <w:lvlText w:val=""/>
      <w:lvlJc w:val="left"/>
    </w:lvl>
    <w:lvl w:ilvl="3" w:tplc="945C04E4">
      <w:numFmt w:val="decimal"/>
      <w:lvlText w:val=""/>
      <w:lvlJc w:val="left"/>
    </w:lvl>
    <w:lvl w:ilvl="4" w:tplc="05B698FC">
      <w:numFmt w:val="decimal"/>
      <w:lvlText w:val=""/>
      <w:lvlJc w:val="left"/>
    </w:lvl>
    <w:lvl w:ilvl="5" w:tplc="6E88EDD2">
      <w:numFmt w:val="decimal"/>
      <w:lvlText w:val=""/>
      <w:lvlJc w:val="left"/>
    </w:lvl>
    <w:lvl w:ilvl="6" w:tplc="110AED26">
      <w:numFmt w:val="decimal"/>
      <w:lvlText w:val=""/>
      <w:lvlJc w:val="left"/>
    </w:lvl>
    <w:lvl w:ilvl="7" w:tplc="644E6A62">
      <w:numFmt w:val="decimal"/>
      <w:lvlText w:val=""/>
      <w:lvlJc w:val="left"/>
    </w:lvl>
    <w:lvl w:ilvl="8" w:tplc="CD12CCFA">
      <w:numFmt w:val="decimal"/>
      <w:lvlText w:val=""/>
      <w:lvlJc w:val="left"/>
    </w:lvl>
  </w:abstractNum>
  <w:abstractNum w:abstractNumId="879" w15:restartNumberingAfterBreak="0">
    <w:nsid w:val="43B1323B"/>
    <w:multiLevelType w:val="hybridMultilevel"/>
    <w:tmpl w:val="81089FB2"/>
    <w:lvl w:ilvl="0" w:tplc="E9FE6A16">
      <w:start w:val="1"/>
      <w:numFmt w:val="bullet"/>
      <w:lvlText w:val=""/>
      <w:lvlJc w:val="left"/>
      <w:pPr>
        <w:ind w:left="720" w:hanging="180"/>
      </w:pPr>
      <w:rPr>
        <w:rFonts w:ascii="Symbol" w:hAnsi="Symbol" w:hint="default"/>
      </w:rPr>
    </w:lvl>
    <w:lvl w:ilvl="1" w:tplc="658AF55A">
      <w:numFmt w:val="decimal"/>
      <w:lvlText w:val=""/>
      <w:lvlJc w:val="left"/>
    </w:lvl>
    <w:lvl w:ilvl="2" w:tplc="1C368A7C">
      <w:numFmt w:val="decimal"/>
      <w:lvlText w:val=""/>
      <w:lvlJc w:val="left"/>
    </w:lvl>
    <w:lvl w:ilvl="3" w:tplc="51884726">
      <w:numFmt w:val="decimal"/>
      <w:lvlText w:val=""/>
      <w:lvlJc w:val="left"/>
    </w:lvl>
    <w:lvl w:ilvl="4" w:tplc="F9DACB6C">
      <w:numFmt w:val="decimal"/>
      <w:lvlText w:val=""/>
      <w:lvlJc w:val="left"/>
    </w:lvl>
    <w:lvl w:ilvl="5" w:tplc="77ECFDB4">
      <w:numFmt w:val="decimal"/>
      <w:lvlText w:val=""/>
      <w:lvlJc w:val="left"/>
    </w:lvl>
    <w:lvl w:ilvl="6" w:tplc="95E4B568">
      <w:numFmt w:val="decimal"/>
      <w:lvlText w:val=""/>
      <w:lvlJc w:val="left"/>
    </w:lvl>
    <w:lvl w:ilvl="7" w:tplc="C6BE0E84">
      <w:numFmt w:val="decimal"/>
      <w:lvlText w:val=""/>
      <w:lvlJc w:val="left"/>
    </w:lvl>
    <w:lvl w:ilvl="8" w:tplc="4AF6316E">
      <w:numFmt w:val="decimal"/>
      <w:lvlText w:val=""/>
      <w:lvlJc w:val="left"/>
    </w:lvl>
  </w:abstractNum>
  <w:abstractNum w:abstractNumId="880" w15:restartNumberingAfterBreak="0">
    <w:nsid w:val="43BA7F53"/>
    <w:multiLevelType w:val="hybridMultilevel"/>
    <w:tmpl w:val="D3DC2DAA"/>
    <w:lvl w:ilvl="0" w:tplc="3AC85B60">
      <w:start w:val="1"/>
      <w:numFmt w:val="bullet"/>
      <w:lvlText w:val=""/>
      <w:lvlJc w:val="left"/>
      <w:pPr>
        <w:ind w:left="720" w:hanging="180"/>
      </w:pPr>
      <w:rPr>
        <w:rFonts w:ascii="Symbol" w:hAnsi="Symbol" w:hint="default"/>
      </w:rPr>
    </w:lvl>
    <w:lvl w:ilvl="1" w:tplc="D08E592C">
      <w:numFmt w:val="decimal"/>
      <w:lvlText w:val=""/>
      <w:lvlJc w:val="left"/>
    </w:lvl>
    <w:lvl w:ilvl="2" w:tplc="4726EB46">
      <w:numFmt w:val="decimal"/>
      <w:lvlText w:val=""/>
      <w:lvlJc w:val="left"/>
    </w:lvl>
    <w:lvl w:ilvl="3" w:tplc="7460EB6E">
      <w:numFmt w:val="decimal"/>
      <w:lvlText w:val=""/>
      <w:lvlJc w:val="left"/>
    </w:lvl>
    <w:lvl w:ilvl="4" w:tplc="63B80B88">
      <w:numFmt w:val="decimal"/>
      <w:lvlText w:val=""/>
      <w:lvlJc w:val="left"/>
    </w:lvl>
    <w:lvl w:ilvl="5" w:tplc="BD72530A">
      <w:numFmt w:val="decimal"/>
      <w:lvlText w:val=""/>
      <w:lvlJc w:val="left"/>
    </w:lvl>
    <w:lvl w:ilvl="6" w:tplc="3CB0A614">
      <w:numFmt w:val="decimal"/>
      <w:lvlText w:val=""/>
      <w:lvlJc w:val="left"/>
    </w:lvl>
    <w:lvl w:ilvl="7" w:tplc="E5C44930">
      <w:numFmt w:val="decimal"/>
      <w:lvlText w:val=""/>
      <w:lvlJc w:val="left"/>
    </w:lvl>
    <w:lvl w:ilvl="8" w:tplc="09E4ADDA">
      <w:numFmt w:val="decimal"/>
      <w:lvlText w:val=""/>
      <w:lvlJc w:val="left"/>
    </w:lvl>
  </w:abstractNum>
  <w:abstractNum w:abstractNumId="881" w15:restartNumberingAfterBreak="0">
    <w:nsid w:val="43D804E1"/>
    <w:multiLevelType w:val="hybridMultilevel"/>
    <w:tmpl w:val="BEB8267C"/>
    <w:lvl w:ilvl="0" w:tplc="F0103F60">
      <w:numFmt w:val="decimal"/>
      <w:lvlText w:val=""/>
      <w:lvlJc w:val="left"/>
    </w:lvl>
    <w:lvl w:ilvl="1" w:tplc="CDDE7328">
      <w:start w:val="1"/>
      <w:numFmt w:val="bullet"/>
      <w:lvlText w:val=""/>
      <w:lvlJc w:val="left"/>
      <w:pPr>
        <w:ind w:left="1440" w:hanging="180"/>
      </w:pPr>
      <w:rPr>
        <w:rFonts w:ascii="Symbol" w:hAnsi="Symbol" w:hint="default"/>
      </w:rPr>
    </w:lvl>
    <w:lvl w:ilvl="2" w:tplc="6442AF7C">
      <w:numFmt w:val="decimal"/>
      <w:lvlText w:val=""/>
      <w:lvlJc w:val="left"/>
    </w:lvl>
    <w:lvl w:ilvl="3" w:tplc="A04AB72C">
      <w:numFmt w:val="decimal"/>
      <w:lvlText w:val=""/>
      <w:lvlJc w:val="left"/>
    </w:lvl>
    <w:lvl w:ilvl="4" w:tplc="C902EC36">
      <w:numFmt w:val="decimal"/>
      <w:lvlText w:val=""/>
      <w:lvlJc w:val="left"/>
    </w:lvl>
    <w:lvl w:ilvl="5" w:tplc="88DCD476">
      <w:numFmt w:val="decimal"/>
      <w:lvlText w:val=""/>
      <w:lvlJc w:val="left"/>
    </w:lvl>
    <w:lvl w:ilvl="6" w:tplc="2B001FBC">
      <w:numFmt w:val="decimal"/>
      <w:lvlText w:val=""/>
      <w:lvlJc w:val="left"/>
    </w:lvl>
    <w:lvl w:ilvl="7" w:tplc="C7A6BA52">
      <w:numFmt w:val="decimal"/>
      <w:lvlText w:val=""/>
      <w:lvlJc w:val="left"/>
    </w:lvl>
    <w:lvl w:ilvl="8" w:tplc="6FCE8A44">
      <w:numFmt w:val="decimal"/>
      <w:lvlText w:val=""/>
      <w:lvlJc w:val="left"/>
    </w:lvl>
  </w:abstractNum>
  <w:abstractNum w:abstractNumId="882" w15:restartNumberingAfterBreak="0">
    <w:nsid w:val="43ED1FFB"/>
    <w:multiLevelType w:val="hybridMultilevel"/>
    <w:tmpl w:val="366AC90E"/>
    <w:lvl w:ilvl="0" w:tplc="B802979C">
      <w:start w:val="1"/>
      <w:numFmt w:val="bullet"/>
      <w:lvlText w:val=""/>
      <w:lvlJc w:val="left"/>
      <w:pPr>
        <w:ind w:left="720" w:hanging="180"/>
      </w:pPr>
      <w:rPr>
        <w:rFonts w:ascii="Symbol" w:hAnsi="Symbol" w:hint="default"/>
      </w:rPr>
    </w:lvl>
    <w:lvl w:ilvl="1" w:tplc="D7AC7D62">
      <w:numFmt w:val="decimal"/>
      <w:lvlText w:val=""/>
      <w:lvlJc w:val="left"/>
    </w:lvl>
    <w:lvl w:ilvl="2" w:tplc="9E8E37E8">
      <w:numFmt w:val="decimal"/>
      <w:lvlText w:val=""/>
      <w:lvlJc w:val="left"/>
    </w:lvl>
    <w:lvl w:ilvl="3" w:tplc="344CD18E">
      <w:numFmt w:val="decimal"/>
      <w:lvlText w:val=""/>
      <w:lvlJc w:val="left"/>
    </w:lvl>
    <w:lvl w:ilvl="4" w:tplc="E08C0090">
      <w:numFmt w:val="decimal"/>
      <w:lvlText w:val=""/>
      <w:lvlJc w:val="left"/>
    </w:lvl>
    <w:lvl w:ilvl="5" w:tplc="02F48A36">
      <w:numFmt w:val="decimal"/>
      <w:lvlText w:val=""/>
      <w:lvlJc w:val="left"/>
    </w:lvl>
    <w:lvl w:ilvl="6" w:tplc="B296C4B8">
      <w:numFmt w:val="decimal"/>
      <w:lvlText w:val=""/>
      <w:lvlJc w:val="left"/>
    </w:lvl>
    <w:lvl w:ilvl="7" w:tplc="580AD57C">
      <w:numFmt w:val="decimal"/>
      <w:lvlText w:val=""/>
      <w:lvlJc w:val="left"/>
    </w:lvl>
    <w:lvl w:ilvl="8" w:tplc="A7E6D29E">
      <w:numFmt w:val="decimal"/>
      <w:lvlText w:val=""/>
      <w:lvlJc w:val="left"/>
    </w:lvl>
  </w:abstractNum>
  <w:abstractNum w:abstractNumId="883" w15:restartNumberingAfterBreak="0">
    <w:nsid w:val="44117235"/>
    <w:multiLevelType w:val="hybridMultilevel"/>
    <w:tmpl w:val="4F30401E"/>
    <w:lvl w:ilvl="0" w:tplc="145EBFCA">
      <w:start w:val="1"/>
      <w:numFmt w:val="bullet"/>
      <w:lvlText w:val=""/>
      <w:lvlJc w:val="left"/>
      <w:pPr>
        <w:ind w:left="720" w:hanging="180"/>
      </w:pPr>
      <w:rPr>
        <w:rFonts w:ascii="Symbol" w:hAnsi="Symbol" w:hint="default"/>
      </w:rPr>
    </w:lvl>
    <w:lvl w:ilvl="1" w:tplc="2ED29444">
      <w:numFmt w:val="decimal"/>
      <w:lvlText w:val=""/>
      <w:lvlJc w:val="left"/>
    </w:lvl>
    <w:lvl w:ilvl="2" w:tplc="8AC641C2">
      <w:numFmt w:val="decimal"/>
      <w:lvlText w:val=""/>
      <w:lvlJc w:val="left"/>
    </w:lvl>
    <w:lvl w:ilvl="3" w:tplc="3034B1D2">
      <w:numFmt w:val="decimal"/>
      <w:lvlText w:val=""/>
      <w:lvlJc w:val="left"/>
    </w:lvl>
    <w:lvl w:ilvl="4" w:tplc="4DA41F00">
      <w:numFmt w:val="decimal"/>
      <w:lvlText w:val=""/>
      <w:lvlJc w:val="left"/>
    </w:lvl>
    <w:lvl w:ilvl="5" w:tplc="A99C4380">
      <w:numFmt w:val="decimal"/>
      <w:lvlText w:val=""/>
      <w:lvlJc w:val="left"/>
    </w:lvl>
    <w:lvl w:ilvl="6" w:tplc="DBC4AC90">
      <w:numFmt w:val="decimal"/>
      <w:lvlText w:val=""/>
      <w:lvlJc w:val="left"/>
    </w:lvl>
    <w:lvl w:ilvl="7" w:tplc="B97AFB90">
      <w:numFmt w:val="decimal"/>
      <w:lvlText w:val=""/>
      <w:lvlJc w:val="left"/>
    </w:lvl>
    <w:lvl w:ilvl="8" w:tplc="4880E25C">
      <w:numFmt w:val="decimal"/>
      <w:lvlText w:val=""/>
      <w:lvlJc w:val="left"/>
    </w:lvl>
  </w:abstractNum>
  <w:abstractNum w:abstractNumId="884" w15:restartNumberingAfterBreak="0">
    <w:nsid w:val="442D3060"/>
    <w:multiLevelType w:val="hybridMultilevel"/>
    <w:tmpl w:val="41387C24"/>
    <w:lvl w:ilvl="0" w:tplc="CFB4A77C">
      <w:start w:val="1"/>
      <w:numFmt w:val="bullet"/>
      <w:lvlText w:val=""/>
      <w:lvlJc w:val="left"/>
      <w:pPr>
        <w:ind w:left="720" w:hanging="180"/>
      </w:pPr>
      <w:rPr>
        <w:rFonts w:ascii="Symbol" w:hAnsi="Symbol" w:hint="default"/>
      </w:rPr>
    </w:lvl>
    <w:lvl w:ilvl="1" w:tplc="DBA4DA54">
      <w:numFmt w:val="decimal"/>
      <w:lvlText w:val=""/>
      <w:lvlJc w:val="left"/>
    </w:lvl>
    <w:lvl w:ilvl="2" w:tplc="4E7C84CA">
      <w:numFmt w:val="decimal"/>
      <w:lvlText w:val=""/>
      <w:lvlJc w:val="left"/>
    </w:lvl>
    <w:lvl w:ilvl="3" w:tplc="BDD8B116">
      <w:numFmt w:val="decimal"/>
      <w:lvlText w:val=""/>
      <w:lvlJc w:val="left"/>
    </w:lvl>
    <w:lvl w:ilvl="4" w:tplc="149E394E">
      <w:numFmt w:val="decimal"/>
      <w:lvlText w:val=""/>
      <w:lvlJc w:val="left"/>
    </w:lvl>
    <w:lvl w:ilvl="5" w:tplc="E4B2FD74">
      <w:numFmt w:val="decimal"/>
      <w:lvlText w:val=""/>
      <w:lvlJc w:val="left"/>
    </w:lvl>
    <w:lvl w:ilvl="6" w:tplc="F3826A66">
      <w:numFmt w:val="decimal"/>
      <w:lvlText w:val=""/>
      <w:lvlJc w:val="left"/>
    </w:lvl>
    <w:lvl w:ilvl="7" w:tplc="6BC0377E">
      <w:numFmt w:val="decimal"/>
      <w:lvlText w:val=""/>
      <w:lvlJc w:val="left"/>
    </w:lvl>
    <w:lvl w:ilvl="8" w:tplc="502631FA">
      <w:numFmt w:val="decimal"/>
      <w:lvlText w:val=""/>
      <w:lvlJc w:val="left"/>
    </w:lvl>
  </w:abstractNum>
  <w:abstractNum w:abstractNumId="885" w15:restartNumberingAfterBreak="0">
    <w:nsid w:val="44430989"/>
    <w:multiLevelType w:val="hybridMultilevel"/>
    <w:tmpl w:val="143A68C0"/>
    <w:lvl w:ilvl="0" w:tplc="E77E93F0">
      <w:start w:val="1"/>
      <w:numFmt w:val="bullet"/>
      <w:lvlText w:val=""/>
      <w:lvlJc w:val="left"/>
      <w:pPr>
        <w:ind w:left="720" w:hanging="180"/>
      </w:pPr>
      <w:rPr>
        <w:rFonts w:ascii="Symbol" w:hAnsi="Symbol" w:hint="default"/>
      </w:rPr>
    </w:lvl>
    <w:lvl w:ilvl="1" w:tplc="D62E239E">
      <w:numFmt w:val="decimal"/>
      <w:lvlText w:val=""/>
      <w:lvlJc w:val="left"/>
    </w:lvl>
    <w:lvl w:ilvl="2" w:tplc="DE6EBC2E">
      <w:numFmt w:val="decimal"/>
      <w:lvlText w:val=""/>
      <w:lvlJc w:val="left"/>
    </w:lvl>
    <w:lvl w:ilvl="3" w:tplc="CCF2D438">
      <w:numFmt w:val="decimal"/>
      <w:lvlText w:val=""/>
      <w:lvlJc w:val="left"/>
    </w:lvl>
    <w:lvl w:ilvl="4" w:tplc="0064650C">
      <w:numFmt w:val="decimal"/>
      <w:lvlText w:val=""/>
      <w:lvlJc w:val="left"/>
    </w:lvl>
    <w:lvl w:ilvl="5" w:tplc="D3BECC1A">
      <w:numFmt w:val="decimal"/>
      <w:lvlText w:val=""/>
      <w:lvlJc w:val="left"/>
    </w:lvl>
    <w:lvl w:ilvl="6" w:tplc="BA24A3AE">
      <w:numFmt w:val="decimal"/>
      <w:lvlText w:val=""/>
      <w:lvlJc w:val="left"/>
    </w:lvl>
    <w:lvl w:ilvl="7" w:tplc="F044E912">
      <w:numFmt w:val="decimal"/>
      <w:lvlText w:val=""/>
      <w:lvlJc w:val="left"/>
    </w:lvl>
    <w:lvl w:ilvl="8" w:tplc="ED7AFF1E">
      <w:numFmt w:val="decimal"/>
      <w:lvlText w:val=""/>
      <w:lvlJc w:val="left"/>
    </w:lvl>
  </w:abstractNum>
  <w:abstractNum w:abstractNumId="886" w15:restartNumberingAfterBreak="0">
    <w:nsid w:val="44651437"/>
    <w:multiLevelType w:val="hybridMultilevel"/>
    <w:tmpl w:val="73C84E6C"/>
    <w:lvl w:ilvl="0" w:tplc="D568895C">
      <w:start w:val="1"/>
      <w:numFmt w:val="bullet"/>
      <w:lvlText w:val=""/>
      <w:lvlJc w:val="left"/>
      <w:pPr>
        <w:ind w:left="720" w:hanging="180"/>
      </w:pPr>
      <w:rPr>
        <w:rFonts w:ascii="Symbol" w:hAnsi="Symbol" w:hint="default"/>
      </w:rPr>
    </w:lvl>
    <w:lvl w:ilvl="1" w:tplc="1218800A">
      <w:numFmt w:val="decimal"/>
      <w:lvlText w:val=""/>
      <w:lvlJc w:val="left"/>
    </w:lvl>
    <w:lvl w:ilvl="2" w:tplc="91A4C724">
      <w:numFmt w:val="decimal"/>
      <w:lvlText w:val=""/>
      <w:lvlJc w:val="left"/>
    </w:lvl>
    <w:lvl w:ilvl="3" w:tplc="2500EDF8">
      <w:numFmt w:val="decimal"/>
      <w:lvlText w:val=""/>
      <w:lvlJc w:val="left"/>
    </w:lvl>
    <w:lvl w:ilvl="4" w:tplc="F8F0CA70">
      <w:numFmt w:val="decimal"/>
      <w:lvlText w:val=""/>
      <w:lvlJc w:val="left"/>
    </w:lvl>
    <w:lvl w:ilvl="5" w:tplc="AD062F96">
      <w:numFmt w:val="decimal"/>
      <w:lvlText w:val=""/>
      <w:lvlJc w:val="left"/>
    </w:lvl>
    <w:lvl w:ilvl="6" w:tplc="ECEE1F5A">
      <w:numFmt w:val="decimal"/>
      <w:lvlText w:val=""/>
      <w:lvlJc w:val="left"/>
    </w:lvl>
    <w:lvl w:ilvl="7" w:tplc="29EC99A4">
      <w:numFmt w:val="decimal"/>
      <w:lvlText w:val=""/>
      <w:lvlJc w:val="left"/>
    </w:lvl>
    <w:lvl w:ilvl="8" w:tplc="AE020576">
      <w:numFmt w:val="decimal"/>
      <w:lvlText w:val=""/>
      <w:lvlJc w:val="left"/>
    </w:lvl>
  </w:abstractNum>
  <w:abstractNum w:abstractNumId="887" w15:restartNumberingAfterBreak="0">
    <w:nsid w:val="446C2AE0"/>
    <w:multiLevelType w:val="hybridMultilevel"/>
    <w:tmpl w:val="3C3C4B20"/>
    <w:lvl w:ilvl="0" w:tplc="703085B8">
      <w:start w:val="1"/>
      <w:numFmt w:val="bullet"/>
      <w:lvlText w:val=""/>
      <w:lvlJc w:val="left"/>
      <w:pPr>
        <w:ind w:left="720" w:hanging="180"/>
      </w:pPr>
      <w:rPr>
        <w:rFonts w:ascii="Symbol" w:hAnsi="Symbol" w:hint="default"/>
      </w:rPr>
    </w:lvl>
    <w:lvl w:ilvl="1" w:tplc="5A3635D2">
      <w:numFmt w:val="decimal"/>
      <w:lvlText w:val=""/>
      <w:lvlJc w:val="left"/>
    </w:lvl>
    <w:lvl w:ilvl="2" w:tplc="014ADF1C">
      <w:numFmt w:val="decimal"/>
      <w:lvlText w:val=""/>
      <w:lvlJc w:val="left"/>
    </w:lvl>
    <w:lvl w:ilvl="3" w:tplc="F4644A48">
      <w:numFmt w:val="decimal"/>
      <w:lvlText w:val=""/>
      <w:lvlJc w:val="left"/>
    </w:lvl>
    <w:lvl w:ilvl="4" w:tplc="0750D0F4">
      <w:numFmt w:val="decimal"/>
      <w:lvlText w:val=""/>
      <w:lvlJc w:val="left"/>
    </w:lvl>
    <w:lvl w:ilvl="5" w:tplc="CD362AC2">
      <w:numFmt w:val="decimal"/>
      <w:lvlText w:val=""/>
      <w:lvlJc w:val="left"/>
    </w:lvl>
    <w:lvl w:ilvl="6" w:tplc="CD466F14">
      <w:numFmt w:val="decimal"/>
      <w:lvlText w:val=""/>
      <w:lvlJc w:val="left"/>
    </w:lvl>
    <w:lvl w:ilvl="7" w:tplc="B2145414">
      <w:numFmt w:val="decimal"/>
      <w:lvlText w:val=""/>
      <w:lvlJc w:val="left"/>
    </w:lvl>
    <w:lvl w:ilvl="8" w:tplc="FE48964E">
      <w:numFmt w:val="decimal"/>
      <w:lvlText w:val=""/>
      <w:lvlJc w:val="left"/>
    </w:lvl>
  </w:abstractNum>
  <w:abstractNum w:abstractNumId="888" w15:restartNumberingAfterBreak="0">
    <w:nsid w:val="44744C34"/>
    <w:multiLevelType w:val="hybridMultilevel"/>
    <w:tmpl w:val="511C2B0A"/>
    <w:lvl w:ilvl="0" w:tplc="6F2ED0DE">
      <w:start w:val="1"/>
      <w:numFmt w:val="bullet"/>
      <w:lvlText w:val=""/>
      <w:lvlJc w:val="left"/>
      <w:pPr>
        <w:ind w:left="720" w:hanging="180"/>
      </w:pPr>
      <w:rPr>
        <w:rFonts w:ascii="Symbol" w:hAnsi="Symbol" w:hint="default"/>
      </w:rPr>
    </w:lvl>
    <w:lvl w:ilvl="1" w:tplc="922E5856">
      <w:numFmt w:val="decimal"/>
      <w:lvlText w:val=""/>
      <w:lvlJc w:val="left"/>
    </w:lvl>
    <w:lvl w:ilvl="2" w:tplc="5A38889E">
      <w:numFmt w:val="decimal"/>
      <w:lvlText w:val=""/>
      <w:lvlJc w:val="left"/>
    </w:lvl>
    <w:lvl w:ilvl="3" w:tplc="75B04112">
      <w:numFmt w:val="decimal"/>
      <w:lvlText w:val=""/>
      <w:lvlJc w:val="left"/>
    </w:lvl>
    <w:lvl w:ilvl="4" w:tplc="A5AC505A">
      <w:numFmt w:val="decimal"/>
      <w:lvlText w:val=""/>
      <w:lvlJc w:val="left"/>
    </w:lvl>
    <w:lvl w:ilvl="5" w:tplc="F75C25BE">
      <w:numFmt w:val="decimal"/>
      <w:lvlText w:val=""/>
      <w:lvlJc w:val="left"/>
    </w:lvl>
    <w:lvl w:ilvl="6" w:tplc="3966462C">
      <w:numFmt w:val="decimal"/>
      <w:lvlText w:val=""/>
      <w:lvlJc w:val="left"/>
    </w:lvl>
    <w:lvl w:ilvl="7" w:tplc="7E446E4E">
      <w:numFmt w:val="decimal"/>
      <w:lvlText w:val=""/>
      <w:lvlJc w:val="left"/>
    </w:lvl>
    <w:lvl w:ilvl="8" w:tplc="3B08F404">
      <w:numFmt w:val="decimal"/>
      <w:lvlText w:val=""/>
      <w:lvlJc w:val="left"/>
    </w:lvl>
  </w:abstractNum>
  <w:abstractNum w:abstractNumId="889" w15:restartNumberingAfterBreak="0">
    <w:nsid w:val="447B6953"/>
    <w:multiLevelType w:val="hybridMultilevel"/>
    <w:tmpl w:val="A7087ED2"/>
    <w:lvl w:ilvl="0" w:tplc="A1722B94">
      <w:start w:val="1"/>
      <w:numFmt w:val="bullet"/>
      <w:lvlText w:val=""/>
      <w:lvlJc w:val="left"/>
      <w:pPr>
        <w:ind w:left="720" w:hanging="180"/>
      </w:pPr>
      <w:rPr>
        <w:rFonts w:ascii="Symbol" w:hAnsi="Symbol" w:hint="default"/>
      </w:rPr>
    </w:lvl>
    <w:lvl w:ilvl="1" w:tplc="3822F688">
      <w:numFmt w:val="decimal"/>
      <w:lvlText w:val=""/>
      <w:lvlJc w:val="left"/>
    </w:lvl>
    <w:lvl w:ilvl="2" w:tplc="8374797A">
      <w:numFmt w:val="decimal"/>
      <w:lvlText w:val=""/>
      <w:lvlJc w:val="left"/>
    </w:lvl>
    <w:lvl w:ilvl="3" w:tplc="BD086284">
      <w:numFmt w:val="decimal"/>
      <w:lvlText w:val=""/>
      <w:lvlJc w:val="left"/>
    </w:lvl>
    <w:lvl w:ilvl="4" w:tplc="C5FE466E">
      <w:numFmt w:val="decimal"/>
      <w:lvlText w:val=""/>
      <w:lvlJc w:val="left"/>
    </w:lvl>
    <w:lvl w:ilvl="5" w:tplc="774C04D0">
      <w:numFmt w:val="decimal"/>
      <w:lvlText w:val=""/>
      <w:lvlJc w:val="left"/>
    </w:lvl>
    <w:lvl w:ilvl="6" w:tplc="0AC2FB16">
      <w:numFmt w:val="decimal"/>
      <w:lvlText w:val=""/>
      <w:lvlJc w:val="left"/>
    </w:lvl>
    <w:lvl w:ilvl="7" w:tplc="37845154">
      <w:numFmt w:val="decimal"/>
      <w:lvlText w:val=""/>
      <w:lvlJc w:val="left"/>
    </w:lvl>
    <w:lvl w:ilvl="8" w:tplc="633C4A02">
      <w:numFmt w:val="decimal"/>
      <w:lvlText w:val=""/>
      <w:lvlJc w:val="left"/>
    </w:lvl>
  </w:abstractNum>
  <w:abstractNum w:abstractNumId="890" w15:restartNumberingAfterBreak="0">
    <w:nsid w:val="4484350E"/>
    <w:multiLevelType w:val="hybridMultilevel"/>
    <w:tmpl w:val="546C4A9C"/>
    <w:lvl w:ilvl="0" w:tplc="A4FA9748">
      <w:start w:val="1"/>
      <w:numFmt w:val="bullet"/>
      <w:lvlText w:val=""/>
      <w:lvlJc w:val="left"/>
      <w:pPr>
        <w:ind w:left="720" w:hanging="180"/>
      </w:pPr>
      <w:rPr>
        <w:rFonts w:ascii="Symbol" w:hAnsi="Symbol" w:hint="default"/>
      </w:rPr>
    </w:lvl>
    <w:lvl w:ilvl="1" w:tplc="271A63A8">
      <w:numFmt w:val="decimal"/>
      <w:lvlText w:val=""/>
      <w:lvlJc w:val="left"/>
    </w:lvl>
    <w:lvl w:ilvl="2" w:tplc="93521834">
      <w:numFmt w:val="decimal"/>
      <w:lvlText w:val=""/>
      <w:lvlJc w:val="left"/>
    </w:lvl>
    <w:lvl w:ilvl="3" w:tplc="F00ECD2E">
      <w:numFmt w:val="decimal"/>
      <w:lvlText w:val=""/>
      <w:lvlJc w:val="left"/>
    </w:lvl>
    <w:lvl w:ilvl="4" w:tplc="F7065576">
      <w:numFmt w:val="decimal"/>
      <w:lvlText w:val=""/>
      <w:lvlJc w:val="left"/>
    </w:lvl>
    <w:lvl w:ilvl="5" w:tplc="E1922602">
      <w:numFmt w:val="decimal"/>
      <w:lvlText w:val=""/>
      <w:lvlJc w:val="left"/>
    </w:lvl>
    <w:lvl w:ilvl="6" w:tplc="6A20A75A">
      <w:numFmt w:val="decimal"/>
      <w:lvlText w:val=""/>
      <w:lvlJc w:val="left"/>
    </w:lvl>
    <w:lvl w:ilvl="7" w:tplc="AD785044">
      <w:numFmt w:val="decimal"/>
      <w:lvlText w:val=""/>
      <w:lvlJc w:val="left"/>
    </w:lvl>
    <w:lvl w:ilvl="8" w:tplc="CB0049E8">
      <w:numFmt w:val="decimal"/>
      <w:lvlText w:val=""/>
      <w:lvlJc w:val="left"/>
    </w:lvl>
  </w:abstractNum>
  <w:abstractNum w:abstractNumId="891" w15:restartNumberingAfterBreak="0">
    <w:nsid w:val="44844A39"/>
    <w:multiLevelType w:val="hybridMultilevel"/>
    <w:tmpl w:val="417A40E2"/>
    <w:lvl w:ilvl="0" w:tplc="99A25742">
      <w:start w:val="1"/>
      <w:numFmt w:val="bullet"/>
      <w:lvlText w:val=""/>
      <w:lvlJc w:val="left"/>
      <w:pPr>
        <w:ind w:left="720" w:hanging="180"/>
      </w:pPr>
      <w:rPr>
        <w:rFonts w:ascii="Symbol" w:hAnsi="Symbol" w:hint="default"/>
      </w:rPr>
    </w:lvl>
    <w:lvl w:ilvl="1" w:tplc="EF402696">
      <w:numFmt w:val="decimal"/>
      <w:lvlText w:val=""/>
      <w:lvlJc w:val="left"/>
    </w:lvl>
    <w:lvl w:ilvl="2" w:tplc="8E7A4A74">
      <w:numFmt w:val="decimal"/>
      <w:lvlText w:val=""/>
      <w:lvlJc w:val="left"/>
    </w:lvl>
    <w:lvl w:ilvl="3" w:tplc="9CAC1A1A">
      <w:numFmt w:val="decimal"/>
      <w:lvlText w:val=""/>
      <w:lvlJc w:val="left"/>
    </w:lvl>
    <w:lvl w:ilvl="4" w:tplc="A83C6FB8">
      <w:numFmt w:val="decimal"/>
      <w:lvlText w:val=""/>
      <w:lvlJc w:val="left"/>
    </w:lvl>
    <w:lvl w:ilvl="5" w:tplc="649ACA44">
      <w:numFmt w:val="decimal"/>
      <w:lvlText w:val=""/>
      <w:lvlJc w:val="left"/>
    </w:lvl>
    <w:lvl w:ilvl="6" w:tplc="1E168988">
      <w:numFmt w:val="decimal"/>
      <w:lvlText w:val=""/>
      <w:lvlJc w:val="left"/>
    </w:lvl>
    <w:lvl w:ilvl="7" w:tplc="A1388550">
      <w:numFmt w:val="decimal"/>
      <w:lvlText w:val=""/>
      <w:lvlJc w:val="left"/>
    </w:lvl>
    <w:lvl w:ilvl="8" w:tplc="BEA8B5D6">
      <w:numFmt w:val="decimal"/>
      <w:lvlText w:val=""/>
      <w:lvlJc w:val="left"/>
    </w:lvl>
  </w:abstractNum>
  <w:abstractNum w:abstractNumId="892" w15:restartNumberingAfterBreak="0">
    <w:nsid w:val="449B1FCC"/>
    <w:multiLevelType w:val="hybridMultilevel"/>
    <w:tmpl w:val="0948847E"/>
    <w:lvl w:ilvl="0" w:tplc="3F6A5B4C">
      <w:start w:val="1"/>
      <w:numFmt w:val="bullet"/>
      <w:lvlText w:val=""/>
      <w:lvlJc w:val="left"/>
      <w:pPr>
        <w:ind w:left="720" w:hanging="180"/>
      </w:pPr>
      <w:rPr>
        <w:rFonts w:ascii="Symbol" w:hAnsi="Symbol" w:hint="default"/>
      </w:rPr>
    </w:lvl>
    <w:lvl w:ilvl="1" w:tplc="DDF6B68C">
      <w:numFmt w:val="decimal"/>
      <w:lvlText w:val=""/>
      <w:lvlJc w:val="left"/>
    </w:lvl>
    <w:lvl w:ilvl="2" w:tplc="C7F6DE34">
      <w:numFmt w:val="decimal"/>
      <w:lvlText w:val=""/>
      <w:lvlJc w:val="left"/>
    </w:lvl>
    <w:lvl w:ilvl="3" w:tplc="1BE6A97E">
      <w:numFmt w:val="decimal"/>
      <w:lvlText w:val=""/>
      <w:lvlJc w:val="left"/>
    </w:lvl>
    <w:lvl w:ilvl="4" w:tplc="F496D5AE">
      <w:numFmt w:val="decimal"/>
      <w:lvlText w:val=""/>
      <w:lvlJc w:val="left"/>
    </w:lvl>
    <w:lvl w:ilvl="5" w:tplc="03206506">
      <w:numFmt w:val="decimal"/>
      <w:lvlText w:val=""/>
      <w:lvlJc w:val="left"/>
    </w:lvl>
    <w:lvl w:ilvl="6" w:tplc="2FA2A946">
      <w:numFmt w:val="decimal"/>
      <w:lvlText w:val=""/>
      <w:lvlJc w:val="left"/>
    </w:lvl>
    <w:lvl w:ilvl="7" w:tplc="7160DDA8">
      <w:numFmt w:val="decimal"/>
      <w:lvlText w:val=""/>
      <w:lvlJc w:val="left"/>
    </w:lvl>
    <w:lvl w:ilvl="8" w:tplc="349A412C">
      <w:numFmt w:val="decimal"/>
      <w:lvlText w:val=""/>
      <w:lvlJc w:val="left"/>
    </w:lvl>
  </w:abstractNum>
  <w:abstractNum w:abstractNumId="893" w15:restartNumberingAfterBreak="0">
    <w:nsid w:val="44C4626D"/>
    <w:multiLevelType w:val="hybridMultilevel"/>
    <w:tmpl w:val="897841F4"/>
    <w:lvl w:ilvl="0" w:tplc="A672D116">
      <w:start w:val="1"/>
      <w:numFmt w:val="bullet"/>
      <w:lvlText w:val=""/>
      <w:lvlJc w:val="left"/>
      <w:pPr>
        <w:ind w:left="720" w:hanging="180"/>
      </w:pPr>
      <w:rPr>
        <w:rFonts w:ascii="Symbol" w:hAnsi="Symbol" w:hint="default"/>
      </w:rPr>
    </w:lvl>
    <w:lvl w:ilvl="1" w:tplc="C0C4D390">
      <w:numFmt w:val="decimal"/>
      <w:lvlText w:val=""/>
      <w:lvlJc w:val="left"/>
    </w:lvl>
    <w:lvl w:ilvl="2" w:tplc="CED09D6C">
      <w:numFmt w:val="decimal"/>
      <w:lvlText w:val=""/>
      <w:lvlJc w:val="left"/>
    </w:lvl>
    <w:lvl w:ilvl="3" w:tplc="ABAEDCD4">
      <w:numFmt w:val="decimal"/>
      <w:lvlText w:val=""/>
      <w:lvlJc w:val="left"/>
    </w:lvl>
    <w:lvl w:ilvl="4" w:tplc="3208BDD8">
      <w:numFmt w:val="decimal"/>
      <w:lvlText w:val=""/>
      <w:lvlJc w:val="left"/>
    </w:lvl>
    <w:lvl w:ilvl="5" w:tplc="A3A0D54A">
      <w:numFmt w:val="decimal"/>
      <w:lvlText w:val=""/>
      <w:lvlJc w:val="left"/>
    </w:lvl>
    <w:lvl w:ilvl="6" w:tplc="EE0AB9A4">
      <w:numFmt w:val="decimal"/>
      <w:lvlText w:val=""/>
      <w:lvlJc w:val="left"/>
    </w:lvl>
    <w:lvl w:ilvl="7" w:tplc="53D46C6E">
      <w:numFmt w:val="decimal"/>
      <w:lvlText w:val=""/>
      <w:lvlJc w:val="left"/>
    </w:lvl>
    <w:lvl w:ilvl="8" w:tplc="4002E76A">
      <w:numFmt w:val="decimal"/>
      <w:lvlText w:val=""/>
      <w:lvlJc w:val="left"/>
    </w:lvl>
  </w:abstractNum>
  <w:abstractNum w:abstractNumId="894" w15:restartNumberingAfterBreak="0">
    <w:nsid w:val="44DD1DB0"/>
    <w:multiLevelType w:val="hybridMultilevel"/>
    <w:tmpl w:val="5816C240"/>
    <w:lvl w:ilvl="0" w:tplc="CE4265DA">
      <w:start w:val="1"/>
      <w:numFmt w:val="bullet"/>
      <w:lvlText w:val=""/>
      <w:lvlJc w:val="left"/>
      <w:pPr>
        <w:ind w:left="720" w:hanging="180"/>
      </w:pPr>
      <w:rPr>
        <w:rFonts w:ascii="Symbol" w:hAnsi="Symbol" w:hint="default"/>
      </w:rPr>
    </w:lvl>
    <w:lvl w:ilvl="1" w:tplc="F9F4CD9E">
      <w:numFmt w:val="decimal"/>
      <w:lvlText w:val=""/>
      <w:lvlJc w:val="left"/>
    </w:lvl>
    <w:lvl w:ilvl="2" w:tplc="CBC4A6D0">
      <w:numFmt w:val="decimal"/>
      <w:lvlText w:val=""/>
      <w:lvlJc w:val="left"/>
    </w:lvl>
    <w:lvl w:ilvl="3" w:tplc="19A42136">
      <w:numFmt w:val="decimal"/>
      <w:lvlText w:val=""/>
      <w:lvlJc w:val="left"/>
    </w:lvl>
    <w:lvl w:ilvl="4" w:tplc="96A490D8">
      <w:numFmt w:val="decimal"/>
      <w:lvlText w:val=""/>
      <w:lvlJc w:val="left"/>
    </w:lvl>
    <w:lvl w:ilvl="5" w:tplc="573858EE">
      <w:numFmt w:val="decimal"/>
      <w:lvlText w:val=""/>
      <w:lvlJc w:val="left"/>
    </w:lvl>
    <w:lvl w:ilvl="6" w:tplc="3ED864B2">
      <w:numFmt w:val="decimal"/>
      <w:lvlText w:val=""/>
      <w:lvlJc w:val="left"/>
    </w:lvl>
    <w:lvl w:ilvl="7" w:tplc="5A6AEC8A">
      <w:numFmt w:val="decimal"/>
      <w:lvlText w:val=""/>
      <w:lvlJc w:val="left"/>
    </w:lvl>
    <w:lvl w:ilvl="8" w:tplc="F724B8C4">
      <w:numFmt w:val="decimal"/>
      <w:lvlText w:val=""/>
      <w:lvlJc w:val="left"/>
    </w:lvl>
  </w:abstractNum>
  <w:abstractNum w:abstractNumId="895" w15:restartNumberingAfterBreak="0">
    <w:nsid w:val="44FE165D"/>
    <w:multiLevelType w:val="hybridMultilevel"/>
    <w:tmpl w:val="46FA38D2"/>
    <w:lvl w:ilvl="0" w:tplc="212E47D8">
      <w:numFmt w:val="decimal"/>
      <w:lvlText w:val=""/>
      <w:lvlJc w:val="left"/>
    </w:lvl>
    <w:lvl w:ilvl="1" w:tplc="96C2FC70">
      <w:start w:val="1"/>
      <w:numFmt w:val="bullet"/>
      <w:lvlText w:val=""/>
      <w:lvlJc w:val="left"/>
      <w:pPr>
        <w:ind w:left="1440" w:hanging="180"/>
      </w:pPr>
      <w:rPr>
        <w:rFonts w:ascii="Symbol" w:hAnsi="Symbol" w:hint="default"/>
      </w:rPr>
    </w:lvl>
    <w:lvl w:ilvl="2" w:tplc="F1FC0F2C">
      <w:numFmt w:val="decimal"/>
      <w:lvlText w:val=""/>
      <w:lvlJc w:val="left"/>
    </w:lvl>
    <w:lvl w:ilvl="3" w:tplc="8D6CF4D8">
      <w:numFmt w:val="decimal"/>
      <w:lvlText w:val=""/>
      <w:lvlJc w:val="left"/>
    </w:lvl>
    <w:lvl w:ilvl="4" w:tplc="A912AE5E">
      <w:numFmt w:val="decimal"/>
      <w:lvlText w:val=""/>
      <w:lvlJc w:val="left"/>
    </w:lvl>
    <w:lvl w:ilvl="5" w:tplc="EA2AF4AE">
      <w:numFmt w:val="decimal"/>
      <w:lvlText w:val=""/>
      <w:lvlJc w:val="left"/>
    </w:lvl>
    <w:lvl w:ilvl="6" w:tplc="381AB62E">
      <w:numFmt w:val="decimal"/>
      <w:lvlText w:val=""/>
      <w:lvlJc w:val="left"/>
    </w:lvl>
    <w:lvl w:ilvl="7" w:tplc="91E0C87E">
      <w:numFmt w:val="decimal"/>
      <w:lvlText w:val=""/>
      <w:lvlJc w:val="left"/>
    </w:lvl>
    <w:lvl w:ilvl="8" w:tplc="330A8332">
      <w:numFmt w:val="decimal"/>
      <w:lvlText w:val=""/>
      <w:lvlJc w:val="left"/>
    </w:lvl>
  </w:abstractNum>
  <w:abstractNum w:abstractNumId="896" w15:restartNumberingAfterBreak="0">
    <w:nsid w:val="453C53F8"/>
    <w:multiLevelType w:val="hybridMultilevel"/>
    <w:tmpl w:val="25F8E124"/>
    <w:lvl w:ilvl="0" w:tplc="A9500DA2">
      <w:start w:val="1"/>
      <w:numFmt w:val="bullet"/>
      <w:lvlText w:val=""/>
      <w:lvlJc w:val="left"/>
      <w:pPr>
        <w:ind w:left="720" w:hanging="180"/>
      </w:pPr>
      <w:rPr>
        <w:rFonts w:ascii="Symbol" w:hAnsi="Symbol" w:hint="default"/>
      </w:rPr>
    </w:lvl>
    <w:lvl w:ilvl="1" w:tplc="66A2ADA4">
      <w:numFmt w:val="decimal"/>
      <w:lvlText w:val=""/>
      <w:lvlJc w:val="left"/>
    </w:lvl>
    <w:lvl w:ilvl="2" w:tplc="DE90EAE2">
      <w:numFmt w:val="decimal"/>
      <w:lvlText w:val=""/>
      <w:lvlJc w:val="left"/>
    </w:lvl>
    <w:lvl w:ilvl="3" w:tplc="87A4168E">
      <w:numFmt w:val="decimal"/>
      <w:lvlText w:val=""/>
      <w:lvlJc w:val="left"/>
    </w:lvl>
    <w:lvl w:ilvl="4" w:tplc="AFCA75EA">
      <w:numFmt w:val="decimal"/>
      <w:lvlText w:val=""/>
      <w:lvlJc w:val="left"/>
    </w:lvl>
    <w:lvl w:ilvl="5" w:tplc="0186B0EE">
      <w:numFmt w:val="decimal"/>
      <w:lvlText w:val=""/>
      <w:lvlJc w:val="left"/>
    </w:lvl>
    <w:lvl w:ilvl="6" w:tplc="18DC26EC">
      <w:numFmt w:val="decimal"/>
      <w:lvlText w:val=""/>
      <w:lvlJc w:val="left"/>
    </w:lvl>
    <w:lvl w:ilvl="7" w:tplc="85487F14">
      <w:numFmt w:val="decimal"/>
      <w:lvlText w:val=""/>
      <w:lvlJc w:val="left"/>
    </w:lvl>
    <w:lvl w:ilvl="8" w:tplc="CAC466AE">
      <w:numFmt w:val="decimal"/>
      <w:lvlText w:val=""/>
      <w:lvlJc w:val="left"/>
    </w:lvl>
  </w:abstractNum>
  <w:abstractNum w:abstractNumId="897" w15:restartNumberingAfterBreak="0">
    <w:nsid w:val="455B6502"/>
    <w:multiLevelType w:val="hybridMultilevel"/>
    <w:tmpl w:val="76841FB2"/>
    <w:lvl w:ilvl="0" w:tplc="7A94DF18">
      <w:start w:val="1"/>
      <w:numFmt w:val="bullet"/>
      <w:lvlText w:val=""/>
      <w:lvlJc w:val="left"/>
      <w:pPr>
        <w:ind w:left="720" w:hanging="180"/>
      </w:pPr>
      <w:rPr>
        <w:rFonts w:ascii="Symbol" w:hAnsi="Symbol" w:hint="default"/>
      </w:rPr>
    </w:lvl>
    <w:lvl w:ilvl="1" w:tplc="3DA074E0">
      <w:numFmt w:val="decimal"/>
      <w:lvlText w:val=""/>
      <w:lvlJc w:val="left"/>
    </w:lvl>
    <w:lvl w:ilvl="2" w:tplc="2D2EB40C">
      <w:numFmt w:val="decimal"/>
      <w:lvlText w:val=""/>
      <w:lvlJc w:val="left"/>
    </w:lvl>
    <w:lvl w:ilvl="3" w:tplc="C0620242">
      <w:numFmt w:val="decimal"/>
      <w:lvlText w:val=""/>
      <w:lvlJc w:val="left"/>
    </w:lvl>
    <w:lvl w:ilvl="4" w:tplc="09C2908C">
      <w:numFmt w:val="decimal"/>
      <w:lvlText w:val=""/>
      <w:lvlJc w:val="left"/>
    </w:lvl>
    <w:lvl w:ilvl="5" w:tplc="E9120F1A">
      <w:numFmt w:val="decimal"/>
      <w:lvlText w:val=""/>
      <w:lvlJc w:val="left"/>
    </w:lvl>
    <w:lvl w:ilvl="6" w:tplc="95D22DD6">
      <w:numFmt w:val="decimal"/>
      <w:lvlText w:val=""/>
      <w:lvlJc w:val="left"/>
    </w:lvl>
    <w:lvl w:ilvl="7" w:tplc="BAAA8308">
      <w:numFmt w:val="decimal"/>
      <w:lvlText w:val=""/>
      <w:lvlJc w:val="left"/>
    </w:lvl>
    <w:lvl w:ilvl="8" w:tplc="5E8825BA">
      <w:numFmt w:val="decimal"/>
      <w:lvlText w:val=""/>
      <w:lvlJc w:val="left"/>
    </w:lvl>
  </w:abstractNum>
  <w:abstractNum w:abstractNumId="898" w15:restartNumberingAfterBreak="0">
    <w:nsid w:val="455F0296"/>
    <w:multiLevelType w:val="hybridMultilevel"/>
    <w:tmpl w:val="A7920C42"/>
    <w:lvl w:ilvl="0" w:tplc="B0BC8B36">
      <w:start w:val="1"/>
      <w:numFmt w:val="bullet"/>
      <w:lvlText w:val=""/>
      <w:lvlJc w:val="left"/>
      <w:pPr>
        <w:ind w:left="720" w:hanging="180"/>
      </w:pPr>
      <w:rPr>
        <w:rFonts w:ascii="Symbol" w:hAnsi="Symbol" w:hint="default"/>
      </w:rPr>
    </w:lvl>
    <w:lvl w:ilvl="1" w:tplc="27C65046">
      <w:numFmt w:val="decimal"/>
      <w:lvlText w:val=""/>
      <w:lvlJc w:val="left"/>
    </w:lvl>
    <w:lvl w:ilvl="2" w:tplc="103AF062">
      <w:numFmt w:val="decimal"/>
      <w:lvlText w:val=""/>
      <w:lvlJc w:val="left"/>
    </w:lvl>
    <w:lvl w:ilvl="3" w:tplc="7DA2375C">
      <w:numFmt w:val="decimal"/>
      <w:lvlText w:val=""/>
      <w:lvlJc w:val="left"/>
    </w:lvl>
    <w:lvl w:ilvl="4" w:tplc="335CAA0C">
      <w:numFmt w:val="decimal"/>
      <w:lvlText w:val=""/>
      <w:lvlJc w:val="left"/>
    </w:lvl>
    <w:lvl w:ilvl="5" w:tplc="0394BB7A">
      <w:numFmt w:val="decimal"/>
      <w:lvlText w:val=""/>
      <w:lvlJc w:val="left"/>
    </w:lvl>
    <w:lvl w:ilvl="6" w:tplc="CAE07870">
      <w:numFmt w:val="decimal"/>
      <w:lvlText w:val=""/>
      <w:lvlJc w:val="left"/>
    </w:lvl>
    <w:lvl w:ilvl="7" w:tplc="CC22E944">
      <w:numFmt w:val="decimal"/>
      <w:lvlText w:val=""/>
      <w:lvlJc w:val="left"/>
    </w:lvl>
    <w:lvl w:ilvl="8" w:tplc="8B76B176">
      <w:numFmt w:val="decimal"/>
      <w:lvlText w:val=""/>
      <w:lvlJc w:val="left"/>
    </w:lvl>
  </w:abstractNum>
  <w:abstractNum w:abstractNumId="899" w15:restartNumberingAfterBreak="0">
    <w:nsid w:val="456D2BCC"/>
    <w:multiLevelType w:val="hybridMultilevel"/>
    <w:tmpl w:val="DC2632E2"/>
    <w:lvl w:ilvl="0" w:tplc="6552820E">
      <w:start w:val="1"/>
      <w:numFmt w:val="bullet"/>
      <w:lvlText w:val=""/>
      <w:lvlJc w:val="left"/>
      <w:pPr>
        <w:ind w:left="720" w:hanging="180"/>
      </w:pPr>
      <w:rPr>
        <w:rFonts w:ascii="Symbol" w:hAnsi="Symbol" w:hint="default"/>
      </w:rPr>
    </w:lvl>
    <w:lvl w:ilvl="1" w:tplc="FA9A6E38">
      <w:numFmt w:val="decimal"/>
      <w:lvlText w:val=""/>
      <w:lvlJc w:val="left"/>
    </w:lvl>
    <w:lvl w:ilvl="2" w:tplc="DC6A5224">
      <w:numFmt w:val="decimal"/>
      <w:lvlText w:val=""/>
      <w:lvlJc w:val="left"/>
    </w:lvl>
    <w:lvl w:ilvl="3" w:tplc="C8283B54">
      <w:numFmt w:val="decimal"/>
      <w:lvlText w:val=""/>
      <w:lvlJc w:val="left"/>
    </w:lvl>
    <w:lvl w:ilvl="4" w:tplc="56508BDC">
      <w:numFmt w:val="decimal"/>
      <w:lvlText w:val=""/>
      <w:lvlJc w:val="left"/>
    </w:lvl>
    <w:lvl w:ilvl="5" w:tplc="22E076AE">
      <w:numFmt w:val="decimal"/>
      <w:lvlText w:val=""/>
      <w:lvlJc w:val="left"/>
    </w:lvl>
    <w:lvl w:ilvl="6" w:tplc="7862B41A">
      <w:numFmt w:val="decimal"/>
      <w:lvlText w:val=""/>
      <w:lvlJc w:val="left"/>
    </w:lvl>
    <w:lvl w:ilvl="7" w:tplc="F184F036">
      <w:numFmt w:val="decimal"/>
      <w:lvlText w:val=""/>
      <w:lvlJc w:val="left"/>
    </w:lvl>
    <w:lvl w:ilvl="8" w:tplc="CBC62ABE">
      <w:numFmt w:val="decimal"/>
      <w:lvlText w:val=""/>
      <w:lvlJc w:val="left"/>
    </w:lvl>
  </w:abstractNum>
  <w:abstractNum w:abstractNumId="900" w15:restartNumberingAfterBreak="0">
    <w:nsid w:val="456F04F5"/>
    <w:multiLevelType w:val="hybridMultilevel"/>
    <w:tmpl w:val="9D1A7306"/>
    <w:lvl w:ilvl="0" w:tplc="346A4C60">
      <w:start w:val="1"/>
      <w:numFmt w:val="bullet"/>
      <w:lvlText w:val=""/>
      <w:lvlJc w:val="left"/>
      <w:pPr>
        <w:ind w:left="720" w:hanging="180"/>
      </w:pPr>
      <w:rPr>
        <w:rFonts w:ascii="Symbol" w:hAnsi="Symbol" w:hint="default"/>
      </w:rPr>
    </w:lvl>
    <w:lvl w:ilvl="1" w:tplc="505EB908">
      <w:numFmt w:val="decimal"/>
      <w:lvlText w:val=""/>
      <w:lvlJc w:val="left"/>
    </w:lvl>
    <w:lvl w:ilvl="2" w:tplc="E5D00210">
      <w:numFmt w:val="decimal"/>
      <w:lvlText w:val=""/>
      <w:lvlJc w:val="left"/>
    </w:lvl>
    <w:lvl w:ilvl="3" w:tplc="A16401C4">
      <w:numFmt w:val="decimal"/>
      <w:lvlText w:val=""/>
      <w:lvlJc w:val="left"/>
    </w:lvl>
    <w:lvl w:ilvl="4" w:tplc="38E04080">
      <w:numFmt w:val="decimal"/>
      <w:lvlText w:val=""/>
      <w:lvlJc w:val="left"/>
    </w:lvl>
    <w:lvl w:ilvl="5" w:tplc="D108D2BE">
      <w:numFmt w:val="decimal"/>
      <w:lvlText w:val=""/>
      <w:lvlJc w:val="left"/>
    </w:lvl>
    <w:lvl w:ilvl="6" w:tplc="801060DC">
      <w:numFmt w:val="decimal"/>
      <w:lvlText w:val=""/>
      <w:lvlJc w:val="left"/>
    </w:lvl>
    <w:lvl w:ilvl="7" w:tplc="5E4011FE">
      <w:numFmt w:val="decimal"/>
      <w:lvlText w:val=""/>
      <w:lvlJc w:val="left"/>
    </w:lvl>
    <w:lvl w:ilvl="8" w:tplc="B0F2C040">
      <w:numFmt w:val="decimal"/>
      <w:lvlText w:val=""/>
      <w:lvlJc w:val="left"/>
    </w:lvl>
  </w:abstractNum>
  <w:abstractNum w:abstractNumId="901" w15:restartNumberingAfterBreak="0">
    <w:nsid w:val="4577227D"/>
    <w:multiLevelType w:val="hybridMultilevel"/>
    <w:tmpl w:val="88F4A3D0"/>
    <w:lvl w:ilvl="0" w:tplc="ED5EF858">
      <w:start w:val="1"/>
      <w:numFmt w:val="bullet"/>
      <w:lvlText w:val=""/>
      <w:lvlJc w:val="left"/>
      <w:pPr>
        <w:ind w:left="720" w:hanging="180"/>
      </w:pPr>
      <w:rPr>
        <w:rFonts w:ascii="Symbol" w:hAnsi="Symbol" w:hint="default"/>
      </w:rPr>
    </w:lvl>
    <w:lvl w:ilvl="1" w:tplc="12B8648A">
      <w:numFmt w:val="decimal"/>
      <w:lvlText w:val=""/>
      <w:lvlJc w:val="left"/>
    </w:lvl>
    <w:lvl w:ilvl="2" w:tplc="94A26E6E">
      <w:numFmt w:val="decimal"/>
      <w:lvlText w:val=""/>
      <w:lvlJc w:val="left"/>
    </w:lvl>
    <w:lvl w:ilvl="3" w:tplc="EAA8F2BE">
      <w:numFmt w:val="decimal"/>
      <w:lvlText w:val=""/>
      <w:lvlJc w:val="left"/>
    </w:lvl>
    <w:lvl w:ilvl="4" w:tplc="05EC79E6">
      <w:numFmt w:val="decimal"/>
      <w:lvlText w:val=""/>
      <w:lvlJc w:val="left"/>
    </w:lvl>
    <w:lvl w:ilvl="5" w:tplc="E9E21758">
      <w:numFmt w:val="decimal"/>
      <w:lvlText w:val=""/>
      <w:lvlJc w:val="left"/>
    </w:lvl>
    <w:lvl w:ilvl="6" w:tplc="FF40FDEC">
      <w:numFmt w:val="decimal"/>
      <w:lvlText w:val=""/>
      <w:lvlJc w:val="left"/>
    </w:lvl>
    <w:lvl w:ilvl="7" w:tplc="DB4C9074">
      <w:numFmt w:val="decimal"/>
      <w:lvlText w:val=""/>
      <w:lvlJc w:val="left"/>
    </w:lvl>
    <w:lvl w:ilvl="8" w:tplc="235026F6">
      <w:numFmt w:val="decimal"/>
      <w:lvlText w:val=""/>
      <w:lvlJc w:val="left"/>
    </w:lvl>
  </w:abstractNum>
  <w:abstractNum w:abstractNumId="902" w15:restartNumberingAfterBreak="0">
    <w:nsid w:val="457C757B"/>
    <w:multiLevelType w:val="hybridMultilevel"/>
    <w:tmpl w:val="8416B526"/>
    <w:lvl w:ilvl="0" w:tplc="21E241C8">
      <w:start w:val="1"/>
      <w:numFmt w:val="bullet"/>
      <w:lvlText w:val=""/>
      <w:lvlJc w:val="left"/>
      <w:pPr>
        <w:ind w:left="720" w:hanging="180"/>
      </w:pPr>
      <w:rPr>
        <w:rFonts w:ascii="Symbol" w:hAnsi="Symbol" w:hint="default"/>
      </w:rPr>
    </w:lvl>
    <w:lvl w:ilvl="1" w:tplc="E72E8C9A">
      <w:numFmt w:val="decimal"/>
      <w:lvlText w:val=""/>
      <w:lvlJc w:val="left"/>
    </w:lvl>
    <w:lvl w:ilvl="2" w:tplc="6FDA891C">
      <w:numFmt w:val="decimal"/>
      <w:lvlText w:val=""/>
      <w:lvlJc w:val="left"/>
    </w:lvl>
    <w:lvl w:ilvl="3" w:tplc="9E968C3E">
      <w:numFmt w:val="decimal"/>
      <w:lvlText w:val=""/>
      <w:lvlJc w:val="left"/>
    </w:lvl>
    <w:lvl w:ilvl="4" w:tplc="B352FBCE">
      <w:numFmt w:val="decimal"/>
      <w:lvlText w:val=""/>
      <w:lvlJc w:val="left"/>
    </w:lvl>
    <w:lvl w:ilvl="5" w:tplc="AC7A500E">
      <w:numFmt w:val="decimal"/>
      <w:lvlText w:val=""/>
      <w:lvlJc w:val="left"/>
    </w:lvl>
    <w:lvl w:ilvl="6" w:tplc="908CC388">
      <w:numFmt w:val="decimal"/>
      <w:lvlText w:val=""/>
      <w:lvlJc w:val="left"/>
    </w:lvl>
    <w:lvl w:ilvl="7" w:tplc="B3B017D2">
      <w:numFmt w:val="decimal"/>
      <w:lvlText w:val=""/>
      <w:lvlJc w:val="left"/>
    </w:lvl>
    <w:lvl w:ilvl="8" w:tplc="329CE2C4">
      <w:numFmt w:val="decimal"/>
      <w:lvlText w:val=""/>
      <w:lvlJc w:val="left"/>
    </w:lvl>
  </w:abstractNum>
  <w:abstractNum w:abstractNumId="903" w15:restartNumberingAfterBreak="0">
    <w:nsid w:val="45980C88"/>
    <w:multiLevelType w:val="hybridMultilevel"/>
    <w:tmpl w:val="BC06D986"/>
    <w:lvl w:ilvl="0" w:tplc="68AAA1C2">
      <w:numFmt w:val="decimal"/>
      <w:lvlText w:val=""/>
      <w:lvlJc w:val="left"/>
    </w:lvl>
    <w:lvl w:ilvl="1" w:tplc="0794F7B4">
      <w:start w:val="1"/>
      <w:numFmt w:val="bullet"/>
      <w:lvlText w:val=""/>
      <w:lvlJc w:val="left"/>
      <w:pPr>
        <w:ind w:left="1440" w:hanging="180"/>
      </w:pPr>
      <w:rPr>
        <w:rFonts w:ascii="Symbol" w:hAnsi="Symbol" w:hint="default"/>
      </w:rPr>
    </w:lvl>
    <w:lvl w:ilvl="2" w:tplc="50924AE0">
      <w:numFmt w:val="decimal"/>
      <w:lvlText w:val=""/>
      <w:lvlJc w:val="left"/>
    </w:lvl>
    <w:lvl w:ilvl="3" w:tplc="E9144BDE">
      <w:numFmt w:val="decimal"/>
      <w:lvlText w:val=""/>
      <w:lvlJc w:val="left"/>
    </w:lvl>
    <w:lvl w:ilvl="4" w:tplc="D51C3B66">
      <w:numFmt w:val="decimal"/>
      <w:lvlText w:val=""/>
      <w:lvlJc w:val="left"/>
    </w:lvl>
    <w:lvl w:ilvl="5" w:tplc="3020A4AE">
      <w:numFmt w:val="decimal"/>
      <w:lvlText w:val=""/>
      <w:lvlJc w:val="left"/>
    </w:lvl>
    <w:lvl w:ilvl="6" w:tplc="3678E5FE">
      <w:numFmt w:val="decimal"/>
      <w:lvlText w:val=""/>
      <w:lvlJc w:val="left"/>
    </w:lvl>
    <w:lvl w:ilvl="7" w:tplc="01AA50DA">
      <w:numFmt w:val="decimal"/>
      <w:lvlText w:val=""/>
      <w:lvlJc w:val="left"/>
    </w:lvl>
    <w:lvl w:ilvl="8" w:tplc="2A1AAA16">
      <w:numFmt w:val="decimal"/>
      <w:lvlText w:val=""/>
      <w:lvlJc w:val="left"/>
    </w:lvl>
  </w:abstractNum>
  <w:abstractNum w:abstractNumId="904" w15:restartNumberingAfterBreak="0">
    <w:nsid w:val="45C71902"/>
    <w:multiLevelType w:val="hybridMultilevel"/>
    <w:tmpl w:val="42369150"/>
    <w:lvl w:ilvl="0" w:tplc="291C7168">
      <w:start w:val="1"/>
      <w:numFmt w:val="bullet"/>
      <w:lvlText w:val=""/>
      <w:lvlJc w:val="left"/>
      <w:pPr>
        <w:ind w:left="720" w:hanging="180"/>
      </w:pPr>
      <w:rPr>
        <w:rFonts w:ascii="Symbol" w:hAnsi="Symbol" w:hint="default"/>
      </w:rPr>
    </w:lvl>
    <w:lvl w:ilvl="1" w:tplc="0D2E13B8">
      <w:numFmt w:val="decimal"/>
      <w:lvlText w:val=""/>
      <w:lvlJc w:val="left"/>
    </w:lvl>
    <w:lvl w:ilvl="2" w:tplc="DEEE0FD2">
      <w:numFmt w:val="decimal"/>
      <w:lvlText w:val=""/>
      <w:lvlJc w:val="left"/>
    </w:lvl>
    <w:lvl w:ilvl="3" w:tplc="3F4227A4">
      <w:numFmt w:val="decimal"/>
      <w:lvlText w:val=""/>
      <w:lvlJc w:val="left"/>
    </w:lvl>
    <w:lvl w:ilvl="4" w:tplc="287C6DFE">
      <w:numFmt w:val="decimal"/>
      <w:lvlText w:val=""/>
      <w:lvlJc w:val="left"/>
    </w:lvl>
    <w:lvl w:ilvl="5" w:tplc="3A3459EE">
      <w:numFmt w:val="decimal"/>
      <w:lvlText w:val=""/>
      <w:lvlJc w:val="left"/>
    </w:lvl>
    <w:lvl w:ilvl="6" w:tplc="633ED196">
      <w:numFmt w:val="decimal"/>
      <w:lvlText w:val=""/>
      <w:lvlJc w:val="left"/>
    </w:lvl>
    <w:lvl w:ilvl="7" w:tplc="0C685A70">
      <w:numFmt w:val="decimal"/>
      <w:lvlText w:val=""/>
      <w:lvlJc w:val="left"/>
    </w:lvl>
    <w:lvl w:ilvl="8" w:tplc="D3EC89FC">
      <w:numFmt w:val="decimal"/>
      <w:lvlText w:val=""/>
      <w:lvlJc w:val="left"/>
    </w:lvl>
  </w:abstractNum>
  <w:abstractNum w:abstractNumId="905" w15:restartNumberingAfterBreak="0">
    <w:nsid w:val="45D3031C"/>
    <w:multiLevelType w:val="hybridMultilevel"/>
    <w:tmpl w:val="F580BA22"/>
    <w:lvl w:ilvl="0" w:tplc="2536E5FC">
      <w:start w:val="1"/>
      <w:numFmt w:val="bullet"/>
      <w:lvlText w:val=""/>
      <w:lvlJc w:val="left"/>
      <w:pPr>
        <w:ind w:left="720" w:hanging="180"/>
      </w:pPr>
      <w:rPr>
        <w:rFonts w:ascii="Symbol" w:hAnsi="Symbol" w:hint="default"/>
      </w:rPr>
    </w:lvl>
    <w:lvl w:ilvl="1" w:tplc="9D508D2A">
      <w:numFmt w:val="decimal"/>
      <w:lvlText w:val=""/>
      <w:lvlJc w:val="left"/>
    </w:lvl>
    <w:lvl w:ilvl="2" w:tplc="228489F2">
      <w:numFmt w:val="decimal"/>
      <w:lvlText w:val=""/>
      <w:lvlJc w:val="left"/>
    </w:lvl>
    <w:lvl w:ilvl="3" w:tplc="7092F0B6">
      <w:numFmt w:val="decimal"/>
      <w:lvlText w:val=""/>
      <w:lvlJc w:val="left"/>
    </w:lvl>
    <w:lvl w:ilvl="4" w:tplc="243A3F9C">
      <w:numFmt w:val="decimal"/>
      <w:lvlText w:val=""/>
      <w:lvlJc w:val="left"/>
    </w:lvl>
    <w:lvl w:ilvl="5" w:tplc="AE4E796C">
      <w:numFmt w:val="decimal"/>
      <w:lvlText w:val=""/>
      <w:lvlJc w:val="left"/>
    </w:lvl>
    <w:lvl w:ilvl="6" w:tplc="AB28B368">
      <w:numFmt w:val="decimal"/>
      <w:lvlText w:val=""/>
      <w:lvlJc w:val="left"/>
    </w:lvl>
    <w:lvl w:ilvl="7" w:tplc="18D404A6">
      <w:numFmt w:val="decimal"/>
      <w:lvlText w:val=""/>
      <w:lvlJc w:val="left"/>
    </w:lvl>
    <w:lvl w:ilvl="8" w:tplc="B5F4CC7A">
      <w:numFmt w:val="decimal"/>
      <w:lvlText w:val=""/>
      <w:lvlJc w:val="left"/>
    </w:lvl>
  </w:abstractNum>
  <w:abstractNum w:abstractNumId="906" w15:restartNumberingAfterBreak="0">
    <w:nsid w:val="45E22DD8"/>
    <w:multiLevelType w:val="hybridMultilevel"/>
    <w:tmpl w:val="EC2857B8"/>
    <w:lvl w:ilvl="0" w:tplc="AB8EE8F0">
      <w:start w:val="1"/>
      <w:numFmt w:val="bullet"/>
      <w:lvlText w:val=""/>
      <w:lvlJc w:val="left"/>
      <w:pPr>
        <w:ind w:left="720" w:hanging="180"/>
      </w:pPr>
      <w:rPr>
        <w:rFonts w:ascii="Symbol" w:hAnsi="Symbol" w:hint="default"/>
      </w:rPr>
    </w:lvl>
    <w:lvl w:ilvl="1" w:tplc="E2903624">
      <w:numFmt w:val="decimal"/>
      <w:lvlText w:val=""/>
      <w:lvlJc w:val="left"/>
    </w:lvl>
    <w:lvl w:ilvl="2" w:tplc="880CD9D8">
      <w:numFmt w:val="decimal"/>
      <w:lvlText w:val=""/>
      <w:lvlJc w:val="left"/>
    </w:lvl>
    <w:lvl w:ilvl="3" w:tplc="B142A90C">
      <w:numFmt w:val="decimal"/>
      <w:lvlText w:val=""/>
      <w:lvlJc w:val="left"/>
    </w:lvl>
    <w:lvl w:ilvl="4" w:tplc="AC34B772">
      <w:numFmt w:val="decimal"/>
      <w:lvlText w:val=""/>
      <w:lvlJc w:val="left"/>
    </w:lvl>
    <w:lvl w:ilvl="5" w:tplc="0ACCB18A">
      <w:numFmt w:val="decimal"/>
      <w:lvlText w:val=""/>
      <w:lvlJc w:val="left"/>
    </w:lvl>
    <w:lvl w:ilvl="6" w:tplc="8C144986">
      <w:numFmt w:val="decimal"/>
      <w:lvlText w:val=""/>
      <w:lvlJc w:val="left"/>
    </w:lvl>
    <w:lvl w:ilvl="7" w:tplc="FDE26668">
      <w:numFmt w:val="decimal"/>
      <w:lvlText w:val=""/>
      <w:lvlJc w:val="left"/>
    </w:lvl>
    <w:lvl w:ilvl="8" w:tplc="285A6870">
      <w:numFmt w:val="decimal"/>
      <w:lvlText w:val=""/>
      <w:lvlJc w:val="left"/>
    </w:lvl>
  </w:abstractNum>
  <w:abstractNum w:abstractNumId="907" w15:restartNumberingAfterBreak="0">
    <w:nsid w:val="462B139D"/>
    <w:multiLevelType w:val="hybridMultilevel"/>
    <w:tmpl w:val="42982A9A"/>
    <w:lvl w:ilvl="0" w:tplc="B1A8E67C">
      <w:start w:val="1"/>
      <w:numFmt w:val="bullet"/>
      <w:lvlText w:val=""/>
      <w:lvlJc w:val="left"/>
      <w:pPr>
        <w:ind w:left="720" w:hanging="180"/>
      </w:pPr>
      <w:rPr>
        <w:rFonts w:ascii="Symbol" w:hAnsi="Symbol" w:hint="default"/>
      </w:rPr>
    </w:lvl>
    <w:lvl w:ilvl="1" w:tplc="A1EC7880">
      <w:numFmt w:val="decimal"/>
      <w:lvlText w:val=""/>
      <w:lvlJc w:val="left"/>
    </w:lvl>
    <w:lvl w:ilvl="2" w:tplc="407AECC2">
      <w:numFmt w:val="decimal"/>
      <w:lvlText w:val=""/>
      <w:lvlJc w:val="left"/>
    </w:lvl>
    <w:lvl w:ilvl="3" w:tplc="77821E22">
      <w:numFmt w:val="decimal"/>
      <w:lvlText w:val=""/>
      <w:lvlJc w:val="left"/>
    </w:lvl>
    <w:lvl w:ilvl="4" w:tplc="5AE2EEB8">
      <w:numFmt w:val="decimal"/>
      <w:lvlText w:val=""/>
      <w:lvlJc w:val="left"/>
    </w:lvl>
    <w:lvl w:ilvl="5" w:tplc="9794A6FC">
      <w:numFmt w:val="decimal"/>
      <w:lvlText w:val=""/>
      <w:lvlJc w:val="left"/>
    </w:lvl>
    <w:lvl w:ilvl="6" w:tplc="A5EA6A2E">
      <w:numFmt w:val="decimal"/>
      <w:lvlText w:val=""/>
      <w:lvlJc w:val="left"/>
    </w:lvl>
    <w:lvl w:ilvl="7" w:tplc="D67E5552">
      <w:numFmt w:val="decimal"/>
      <w:lvlText w:val=""/>
      <w:lvlJc w:val="left"/>
    </w:lvl>
    <w:lvl w:ilvl="8" w:tplc="8EB8CBEC">
      <w:numFmt w:val="decimal"/>
      <w:lvlText w:val=""/>
      <w:lvlJc w:val="left"/>
    </w:lvl>
  </w:abstractNum>
  <w:abstractNum w:abstractNumId="908" w15:restartNumberingAfterBreak="0">
    <w:nsid w:val="464175D0"/>
    <w:multiLevelType w:val="hybridMultilevel"/>
    <w:tmpl w:val="FFE48592"/>
    <w:lvl w:ilvl="0" w:tplc="97925BFE">
      <w:start w:val="1"/>
      <w:numFmt w:val="bullet"/>
      <w:lvlText w:val=""/>
      <w:lvlJc w:val="left"/>
      <w:pPr>
        <w:ind w:left="720" w:hanging="180"/>
      </w:pPr>
      <w:rPr>
        <w:rFonts w:ascii="Symbol" w:hAnsi="Symbol" w:hint="default"/>
      </w:rPr>
    </w:lvl>
    <w:lvl w:ilvl="1" w:tplc="B282B22E">
      <w:numFmt w:val="decimal"/>
      <w:lvlText w:val=""/>
      <w:lvlJc w:val="left"/>
    </w:lvl>
    <w:lvl w:ilvl="2" w:tplc="29FE4410">
      <w:numFmt w:val="decimal"/>
      <w:lvlText w:val=""/>
      <w:lvlJc w:val="left"/>
    </w:lvl>
    <w:lvl w:ilvl="3" w:tplc="850218BC">
      <w:numFmt w:val="decimal"/>
      <w:lvlText w:val=""/>
      <w:lvlJc w:val="left"/>
    </w:lvl>
    <w:lvl w:ilvl="4" w:tplc="632ACA9C">
      <w:numFmt w:val="decimal"/>
      <w:lvlText w:val=""/>
      <w:lvlJc w:val="left"/>
    </w:lvl>
    <w:lvl w:ilvl="5" w:tplc="5FBC3D14">
      <w:numFmt w:val="decimal"/>
      <w:lvlText w:val=""/>
      <w:lvlJc w:val="left"/>
    </w:lvl>
    <w:lvl w:ilvl="6" w:tplc="AAF035DC">
      <w:numFmt w:val="decimal"/>
      <w:lvlText w:val=""/>
      <w:lvlJc w:val="left"/>
    </w:lvl>
    <w:lvl w:ilvl="7" w:tplc="98D8368A">
      <w:numFmt w:val="decimal"/>
      <w:lvlText w:val=""/>
      <w:lvlJc w:val="left"/>
    </w:lvl>
    <w:lvl w:ilvl="8" w:tplc="B9EE7BEE">
      <w:numFmt w:val="decimal"/>
      <w:lvlText w:val=""/>
      <w:lvlJc w:val="left"/>
    </w:lvl>
  </w:abstractNum>
  <w:abstractNum w:abstractNumId="909" w15:restartNumberingAfterBreak="0">
    <w:nsid w:val="4642134E"/>
    <w:multiLevelType w:val="hybridMultilevel"/>
    <w:tmpl w:val="75CE029A"/>
    <w:lvl w:ilvl="0" w:tplc="20B423D4">
      <w:start w:val="1"/>
      <w:numFmt w:val="bullet"/>
      <w:lvlText w:val=""/>
      <w:lvlJc w:val="left"/>
      <w:pPr>
        <w:ind w:left="720" w:hanging="180"/>
      </w:pPr>
      <w:rPr>
        <w:rFonts w:ascii="Symbol" w:hAnsi="Symbol" w:hint="default"/>
      </w:rPr>
    </w:lvl>
    <w:lvl w:ilvl="1" w:tplc="D004DB80">
      <w:numFmt w:val="decimal"/>
      <w:lvlText w:val=""/>
      <w:lvlJc w:val="left"/>
    </w:lvl>
    <w:lvl w:ilvl="2" w:tplc="4A249532">
      <w:numFmt w:val="decimal"/>
      <w:lvlText w:val=""/>
      <w:lvlJc w:val="left"/>
    </w:lvl>
    <w:lvl w:ilvl="3" w:tplc="031A4F18">
      <w:numFmt w:val="decimal"/>
      <w:lvlText w:val=""/>
      <w:lvlJc w:val="left"/>
    </w:lvl>
    <w:lvl w:ilvl="4" w:tplc="B6124BBA">
      <w:numFmt w:val="decimal"/>
      <w:lvlText w:val=""/>
      <w:lvlJc w:val="left"/>
    </w:lvl>
    <w:lvl w:ilvl="5" w:tplc="7CB6D8A0">
      <w:numFmt w:val="decimal"/>
      <w:lvlText w:val=""/>
      <w:lvlJc w:val="left"/>
    </w:lvl>
    <w:lvl w:ilvl="6" w:tplc="0484B2B8">
      <w:numFmt w:val="decimal"/>
      <w:lvlText w:val=""/>
      <w:lvlJc w:val="left"/>
    </w:lvl>
    <w:lvl w:ilvl="7" w:tplc="B4301E8A">
      <w:numFmt w:val="decimal"/>
      <w:lvlText w:val=""/>
      <w:lvlJc w:val="left"/>
    </w:lvl>
    <w:lvl w:ilvl="8" w:tplc="FDE87164">
      <w:numFmt w:val="decimal"/>
      <w:lvlText w:val=""/>
      <w:lvlJc w:val="left"/>
    </w:lvl>
  </w:abstractNum>
  <w:abstractNum w:abstractNumId="910" w15:restartNumberingAfterBreak="0">
    <w:nsid w:val="466149B1"/>
    <w:multiLevelType w:val="hybridMultilevel"/>
    <w:tmpl w:val="8EB2C28A"/>
    <w:lvl w:ilvl="0" w:tplc="BBE2677E">
      <w:start w:val="1"/>
      <w:numFmt w:val="bullet"/>
      <w:lvlText w:val=""/>
      <w:lvlJc w:val="left"/>
      <w:pPr>
        <w:ind w:left="720" w:hanging="180"/>
      </w:pPr>
      <w:rPr>
        <w:rFonts w:ascii="Symbol" w:hAnsi="Symbol" w:hint="default"/>
      </w:rPr>
    </w:lvl>
    <w:lvl w:ilvl="1" w:tplc="EA80F10E">
      <w:numFmt w:val="decimal"/>
      <w:lvlText w:val=""/>
      <w:lvlJc w:val="left"/>
    </w:lvl>
    <w:lvl w:ilvl="2" w:tplc="342252B6">
      <w:numFmt w:val="decimal"/>
      <w:lvlText w:val=""/>
      <w:lvlJc w:val="left"/>
    </w:lvl>
    <w:lvl w:ilvl="3" w:tplc="61B261BE">
      <w:numFmt w:val="decimal"/>
      <w:lvlText w:val=""/>
      <w:lvlJc w:val="left"/>
    </w:lvl>
    <w:lvl w:ilvl="4" w:tplc="3354654E">
      <w:numFmt w:val="decimal"/>
      <w:lvlText w:val=""/>
      <w:lvlJc w:val="left"/>
    </w:lvl>
    <w:lvl w:ilvl="5" w:tplc="006EDFE6">
      <w:numFmt w:val="decimal"/>
      <w:lvlText w:val=""/>
      <w:lvlJc w:val="left"/>
    </w:lvl>
    <w:lvl w:ilvl="6" w:tplc="2800D252">
      <w:numFmt w:val="decimal"/>
      <w:lvlText w:val=""/>
      <w:lvlJc w:val="left"/>
    </w:lvl>
    <w:lvl w:ilvl="7" w:tplc="2C7295C0">
      <w:numFmt w:val="decimal"/>
      <w:lvlText w:val=""/>
      <w:lvlJc w:val="left"/>
    </w:lvl>
    <w:lvl w:ilvl="8" w:tplc="93860456">
      <w:numFmt w:val="decimal"/>
      <w:lvlText w:val=""/>
      <w:lvlJc w:val="left"/>
    </w:lvl>
  </w:abstractNum>
  <w:abstractNum w:abstractNumId="911" w15:restartNumberingAfterBreak="0">
    <w:nsid w:val="46712AC4"/>
    <w:multiLevelType w:val="hybridMultilevel"/>
    <w:tmpl w:val="DE586EDA"/>
    <w:lvl w:ilvl="0" w:tplc="3A647FCC">
      <w:start w:val="1"/>
      <w:numFmt w:val="bullet"/>
      <w:lvlText w:val=""/>
      <w:lvlJc w:val="left"/>
      <w:pPr>
        <w:ind w:left="720" w:hanging="180"/>
      </w:pPr>
      <w:rPr>
        <w:rFonts w:ascii="Symbol" w:hAnsi="Symbol" w:hint="default"/>
      </w:rPr>
    </w:lvl>
    <w:lvl w:ilvl="1" w:tplc="24F42F2A">
      <w:numFmt w:val="decimal"/>
      <w:lvlText w:val=""/>
      <w:lvlJc w:val="left"/>
    </w:lvl>
    <w:lvl w:ilvl="2" w:tplc="C4DEEB72">
      <w:numFmt w:val="decimal"/>
      <w:lvlText w:val=""/>
      <w:lvlJc w:val="left"/>
    </w:lvl>
    <w:lvl w:ilvl="3" w:tplc="FA7C1E20">
      <w:numFmt w:val="decimal"/>
      <w:lvlText w:val=""/>
      <w:lvlJc w:val="left"/>
    </w:lvl>
    <w:lvl w:ilvl="4" w:tplc="1B68D3F2">
      <w:numFmt w:val="decimal"/>
      <w:lvlText w:val=""/>
      <w:lvlJc w:val="left"/>
    </w:lvl>
    <w:lvl w:ilvl="5" w:tplc="76F29BE8">
      <w:numFmt w:val="decimal"/>
      <w:lvlText w:val=""/>
      <w:lvlJc w:val="left"/>
    </w:lvl>
    <w:lvl w:ilvl="6" w:tplc="8B98BD74">
      <w:numFmt w:val="decimal"/>
      <w:lvlText w:val=""/>
      <w:lvlJc w:val="left"/>
    </w:lvl>
    <w:lvl w:ilvl="7" w:tplc="94A64C9A">
      <w:numFmt w:val="decimal"/>
      <w:lvlText w:val=""/>
      <w:lvlJc w:val="left"/>
    </w:lvl>
    <w:lvl w:ilvl="8" w:tplc="24CCFEEE">
      <w:numFmt w:val="decimal"/>
      <w:lvlText w:val=""/>
      <w:lvlJc w:val="left"/>
    </w:lvl>
  </w:abstractNum>
  <w:abstractNum w:abstractNumId="912" w15:restartNumberingAfterBreak="0">
    <w:nsid w:val="467718B9"/>
    <w:multiLevelType w:val="hybridMultilevel"/>
    <w:tmpl w:val="322298B8"/>
    <w:lvl w:ilvl="0" w:tplc="4B9E3B3C">
      <w:start w:val="1"/>
      <w:numFmt w:val="bullet"/>
      <w:lvlText w:val=""/>
      <w:lvlJc w:val="left"/>
      <w:pPr>
        <w:ind w:left="720" w:hanging="180"/>
      </w:pPr>
      <w:rPr>
        <w:rFonts w:ascii="Symbol" w:hAnsi="Symbol" w:hint="default"/>
      </w:rPr>
    </w:lvl>
    <w:lvl w:ilvl="1" w:tplc="BF244914">
      <w:numFmt w:val="decimal"/>
      <w:lvlText w:val=""/>
      <w:lvlJc w:val="left"/>
    </w:lvl>
    <w:lvl w:ilvl="2" w:tplc="E6D8A872">
      <w:numFmt w:val="decimal"/>
      <w:lvlText w:val=""/>
      <w:lvlJc w:val="left"/>
    </w:lvl>
    <w:lvl w:ilvl="3" w:tplc="BDC01D1C">
      <w:numFmt w:val="decimal"/>
      <w:lvlText w:val=""/>
      <w:lvlJc w:val="left"/>
    </w:lvl>
    <w:lvl w:ilvl="4" w:tplc="0A12D24C">
      <w:numFmt w:val="decimal"/>
      <w:lvlText w:val=""/>
      <w:lvlJc w:val="left"/>
    </w:lvl>
    <w:lvl w:ilvl="5" w:tplc="2BF4B508">
      <w:numFmt w:val="decimal"/>
      <w:lvlText w:val=""/>
      <w:lvlJc w:val="left"/>
    </w:lvl>
    <w:lvl w:ilvl="6" w:tplc="A0F2082A">
      <w:numFmt w:val="decimal"/>
      <w:lvlText w:val=""/>
      <w:lvlJc w:val="left"/>
    </w:lvl>
    <w:lvl w:ilvl="7" w:tplc="82DA49D0">
      <w:numFmt w:val="decimal"/>
      <w:lvlText w:val=""/>
      <w:lvlJc w:val="left"/>
    </w:lvl>
    <w:lvl w:ilvl="8" w:tplc="3E66604C">
      <w:numFmt w:val="decimal"/>
      <w:lvlText w:val=""/>
      <w:lvlJc w:val="left"/>
    </w:lvl>
  </w:abstractNum>
  <w:abstractNum w:abstractNumId="913" w15:restartNumberingAfterBreak="0">
    <w:nsid w:val="46777550"/>
    <w:multiLevelType w:val="hybridMultilevel"/>
    <w:tmpl w:val="86E20490"/>
    <w:lvl w:ilvl="0" w:tplc="89FCE980">
      <w:numFmt w:val="decimal"/>
      <w:lvlText w:val=""/>
      <w:lvlJc w:val="left"/>
    </w:lvl>
    <w:lvl w:ilvl="1" w:tplc="541AE7D8">
      <w:start w:val="1"/>
      <w:numFmt w:val="bullet"/>
      <w:lvlText w:val=""/>
      <w:lvlJc w:val="left"/>
      <w:pPr>
        <w:ind w:left="1440" w:hanging="180"/>
      </w:pPr>
      <w:rPr>
        <w:rFonts w:ascii="Symbol" w:hAnsi="Symbol" w:hint="default"/>
      </w:rPr>
    </w:lvl>
    <w:lvl w:ilvl="2" w:tplc="D7706876">
      <w:numFmt w:val="decimal"/>
      <w:lvlText w:val=""/>
      <w:lvlJc w:val="left"/>
    </w:lvl>
    <w:lvl w:ilvl="3" w:tplc="F5BE32C8">
      <w:numFmt w:val="decimal"/>
      <w:lvlText w:val=""/>
      <w:lvlJc w:val="left"/>
    </w:lvl>
    <w:lvl w:ilvl="4" w:tplc="A790BBFC">
      <w:numFmt w:val="decimal"/>
      <w:lvlText w:val=""/>
      <w:lvlJc w:val="left"/>
    </w:lvl>
    <w:lvl w:ilvl="5" w:tplc="54DCCFC6">
      <w:numFmt w:val="decimal"/>
      <w:lvlText w:val=""/>
      <w:lvlJc w:val="left"/>
    </w:lvl>
    <w:lvl w:ilvl="6" w:tplc="82EAEE7C">
      <w:numFmt w:val="decimal"/>
      <w:lvlText w:val=""/>
      <w:lvlJc w:val="left"/>
    </w:lvl>
    <w:lvl w:ilvl="7" w:tplc="9006E194">
      <w:numFmt w:val="decimal"/>
      <w:lvlText w:val=""/>
      <w:lvlJc w:val="left"/>
    </w:lvl>
    <w:lvl w:ilvl="8" w:tplc="73643F72">
      <w:numFmt w:val="decimal"/>
      <w:lvlText w:val=""/>
      <w:lvlJc w:val="left"/>
    </w:lvl>
  </w:abstractNum>
  <w:abstractNum w:abstractNumId="914" w15:restartNumberingAfterBreak="0">
    <w:nsid w:val="467824FF"/>
    <w:multiLevelType w:val="hybridMultilevel"/>
    <w:tmpl w:val="1A2A11D6"/>
    <w:lvl w:ilvl="0" w:tplc="7F8A683C">
      <w:start w:val="1"/>
      <w:numFmt w:val="bullet"/>
      <w:lvlText w:val=""/>
      <w:lvlJc w:val="left"/>
      <w:pPr>
        <w:ind w:left="720" w:hanging="180"/>
      </w:pPr>
      <w:rPr>
        <w:rFonts w:ascii="Symbol" w:hAnsi="Symbol" w:hint="default"/>
      </w:rPr>
    </w:lvl>
    <w:lvl w:ilvl="1" w:tplc="5584FCE4">
      <w:numFmt w:val="decimal"/>
      <w:lvlText w:val=""/>
      <w:lvlJc w:val="left"/>
    </w:lvl>
    <w:lvl w:ilvl="2" w:tplc="5A32B904">
      <w:numFmt w:val="decimal"/>
      <w:lvlText w:val=""/>
      <w:lvlJc w:val="left"/>
    </w:lvl>
    <w:lvl w:ilvl="3" w:tplc="596E50CC">
      <w:numFmt w:val="decimal"/>
      <w:lvlText w:val=""/>
      <w:lvlJc w:val="left"/>
    </w:lvl>
    <w:lvl w:ilvl="4" w:tplc="F4482D64">
      <w:numFmt w:val="decimal"/>
      <w:lvlText w:val=""/>
      <w:lvlJc w:val="left"/>
    </w:lvl>
    <w:lvl w:ilvl="5" w:tplc="AA40DDE6">
      <w:numFmt w:val="decimal"/>
      <w:lvlText w:val=""/>
      <w:lvlJc w:val="left"/>
    </w:lvl>
    <w:lvl w:ilvl="6" w:tplc="804EB1F4">
      <w:numFmt w:val="decimal"/>
      <w:lvlText w:val=""/>
      <w:lvlJc w:val="left"/>
    </w:lvl>
    <w:lvl w:ilvl="7" w:tplc="7B864AE8">
      <w:numFmt w:val="decimal"/>
      <w:lvlText w:val=""/>
      <w:lvlJc w:val="left"/>
    </w:lvl>
    <w:lvl w:ilvl="8" w:tplc="05E47A52">
      <w:numFmt w:val="decimal"/>
      <w:lvlText w:val=""/>
      <w:lvlJc w:val="left"/>
    </w:lvl>
  </w:abstractNum>
  <w:abstractNum w:abstractNumId="915" w15:restartNumberingAfterBreak="0">
    <w:nsid w:val="467E1ED8"/>
    <w:multiLevelType w:val="hybridMultilevel"/>
    <w:tmpl w:val="DF4CF76C"/>
    <w:lvl w:ilvl="0" w:tplc="8E9EB130">
      <w:start w:val="1"/>
      <w:numFmt w:val="bullet"/>
      <w:lvlText w:val=""/>
      <w:lvlJc w:val="left"/>
      <w:pPr>
        <w:ind w:left="720" w:hanging="180"/>
      </w:pPr>
      <w:rPr>
        <w:rFonts w:ascii="Symbol" w:hAnsi="Symbol" w:hint="default"/>
      </w:rPr>
    </w:lvl>
    <w:lvl w:ilvl="1" w:tplc="116802CA">
      <w:numFmt w:val="decimal"/>
      <w:lvlText w:val=""/>
      <w:lvlJc w:val="left"/>
    </w:lvl>
    <w:lvl w:ilvl="2" w:tplc="642C8204">
      <w:numFmt w:val="decimal"/>
      <w:lvlText w:val=""/>
      <w:lvlJc w:val="left"/>
    </w:lvl>
    <w:lvl w:ilvl="3" w:tplc="4588E6CC">
      <w:numFmt w:val="decimal"/>
      <w:lvlText w:val=""/>
      <w:lvlJc w:val="left"/>
    </w:lvl>
    <w:lvl w:ilvl="4" w:tplc="D74E85A0">
      <w:numFmt w:val="decimal"/>
      <w:lvlText w:val=""/>
      <w:lvlJc w:val="left"/>
    </w:lvl>
    <w:lvl w:ilvl="5" w:tplc="BE0C742E">
      <w:numFmt w:val="decimal"/>
      <w:lvlText w:val=""/>
      <w:lvlJc w:val="left"/>
    </w:lvl>
    <w:lvl w:ilvl="6" w:tplc="7D6AE5CE">
      <w:numFmt w:val="decimal"/>
      <w:lvlText w:val=""/>
      <w:lvlJc w:val="left"/>
    </w:lvl>
    <w:lvl w:ilvl="7" w:tplc="A2A2CAFE">
      <w:numFmt w:val="decimal"/>
      <w:lvlText w:val=""/>
      <w:lvlJc w:val="left"/>
    </w:lvl>
    <w:lvl w:ilvl="8" w:tplc="FA54EFFE">
      <w:numFmt w:val="decimal"/>
      <w:lvlText w:val=""/>
      <w:lvlJc w:val="left"/>
    </w:lvl>
  </w:abstractNum>
  <w:abstractNum w:abstractNumId="916" w15:restartNumberingAfterBreak="0">
    <w:nsid w:val="46C362EC"/>
    <w:multiLevelType w:val="hybridMultilevel"/>
    <w:tmpl w:val="8A1AAD8A"/>
    <w:lvl w:ilvl="0" w:tplc="1C0AF204">
      <w:start w:val="1"/>
      <w:numFmt w:val="bullet"/>
      <w:lvlText w:val=""/>
      <w:lvlJc w:val="left"/>
      <w:pPr>
        <w:ind w:left="720" w:hanging="180"/>
      </w:pPr>
      <w:rPr>
        <w:rFonts w:ascii="Symbol" w:hAnsi="Symbol" w:hint="default"/>
      </w:rPr>
    </w:lvl>
    <w:lvl w:ilvl="1" w:tplc="1CC65D2C">
      <w:numFmt w:val="decimal"/>
      <w:lvlText w:val=""/>
      <w:lvlJc w:val="left"/>
    </w:lvl>
    <w:lvl w:ilvl="2" w:tplc="B9043F64">
      <w:numFmt w:val="decimal"/>
      <w:lvlText w:val=""/>
      <w:lvlJc w:val="left"/>
    </w:lvl>
    <w:lvl w:ilvl="3" w:tplc="6EECE070">
      <w:numFmt w:val="decimal"/>
      <w:lvlText w:val=""/>
      <w:lvlJc w:val="left"/>
    </w:lvl>
    <w:lvl w:ilvl="4" w:tplc="AC861020">
      <w:numFmt w:val="decimal"/>
      <w:lvlText w:val=""/>
      <w:lvlJc w:val="left"/>
    </w:lvl>
    <w:lvl w:ilvl="5" w:tplc="063EC4AC">
      <w:numFmt w:val="decimal"/>
      <w:lvlText w:val=""/>
      <w:lvlJc w:val="left"/>
    </w:lvl>
    <w:lvl w:ilvl="6" w:tplc="851295F8">
      <w:numFmt w:val="decimal"/>
      <w:lvlText w:val=""/>
      <w:lvlJc w:val="left"/>
    </w:lvl>
    <w:lvl w:ilvl="7" w:tplc="AE406FA4">
      <w:numFmt w:val="decimal"/>
      <w:lvlText w:val=""/>
      <w:lvlJc w:val="left"/>
    </w:lvl>
    <w:lvl w:ilvl="8" w:tplc="71F8BD98">
      <w:numFmt w:val="decimal"/>
      <w:lvlText w:val=""/>
      <w:lvlJc w:val="left"/>
    </w:lvl>
  </w:abstractNum>
  <w:abstractNum w:abstractNumId="917" w15:restartNumberingAfterBreak="0">
    <w:nsid w:val="46DB101D"/>
    <w:multiLevelType w:val="hybridMultilevel"/>
    <w:tmpl w:val="960016C6"/>
    <w:lvl w:ilvl="0" w:tplc="32CE9974">
      <w:start w:val="1"/>
      <w:numFmt w:val="bullet"/>
      <w:lvlText w:val=""/>
      <w:lvlJc w:val="left"/>
      <w:pPr>
        <w:ind w:left="720" w:hanging="180"/>
      </w:pPr>
      <w:rPr>
        <w:rFonts w:ascii="Symbol" w:hAnsi="Symbol" w:hint="default"/>
      </w:rPr>
    </w:lvl>
    <w:lvl w:ilvl="1" w:tplc="7C5A07CA">
      <w:numFmt w:val="decimal"/>
      <w:lvlText w:val=""/>
      <w:lvlJc w:val="left"/>
    </w:lvl>
    <w:lvl w:ilvl="2" w:tplc="39ACEA20">
      <w:numFmt w:val="decimal"/>
      <w:lvlText w:val=""/>
      <w:lvlJc w:val="left"/>
    </w:lvl>
    <w:lvl w:ilvl="3" w:tplc="766210D6">
      <w:numFmt w:val="decimal"/>
      <w:lvlText w:val=""/>
      <w:lvlJc w:val="left"/>
    </w:lvl>
    <w:lvl w:ilvl="4" w:tplc="54E8CA20">
      <w:numFmt w:val="decimal"/>
      <w:lvlText w:val=""/>
      <w:lvlJc w:val="left"/>
    </w:lvl>
    <w:lvl w:ilvl="5" w:tplc="E2A6A22C">
      <w:numFmt w:val="decimal"/>
      <w:lvlText w:val=""/>
      <w:lvlJc w:val="left"/>
    </w:lvl>
    <w:lvl w:ilvl="6" w:tplc="14288AE8">
      <w:numFmt w:val="decimal"/>
      <w:lvlText w:val=""/>
      <w:lvlJc w:val="left"/>
    </w:lvl>
    <w:lvl w:ilvl="7" w:tplc="69C06576">
      <w:numFmt w:val="decimal"/>
      <w:lvlText w:val=""/>
      <w:lvlJc w:val="left"/>
    </w:lvl>
    <w:lvl w:ilvl="8" w:tplc="D2663770">
      <w:numFmt w:val="decimal"/>
      <w:lvlText w:val=""/>
      <w:lvlJc w:val="left"/>
    </w:lvl>
  </w:abstractNum>
  <w:abstractNum w:abstractNumId="918" w15:restartNumberingAfterBreak="0">
    <w:nsid w:val="46F2021C"/>
    <w:multiLevelType w:val="hybridMultilevel"/>
    <w:tmpl w:val="44F61B7C"/>
    <w:lvl w:ilvl="0" w:tplc="D1F43798">
      <w:start w:val="1"/>
      <w:numFmt w:val="bullet"/>
      <w:lvlText w:val=""/>
      <w:lvlJc w:val="left"/>
      <w:pPr>
        <w:ind w:left="720" w:hanging="180"/>
      </w:pPr>
      <w:rPr>
        <w:rFonts w:ascii="Symbol" w:hAnsi="Symbol" w:hint="default"/>
      </w:rPr>
    </w:lvl>
    <w:lvl w:ilvl="1" w:tplc="0A86F2F2">
      <w:numFmt w:val="decimal"/>
      <w:lvlText w:val=""/>
      <w:lvlJc w:val="left"/>
    </w:lvl>
    <w:lvl w:ilvl="2" w:tplc="B308D1D0">
      <w:numFmt w:val="decimal"/>
      <w:lvlText w:val=""/>
      <w:lvlJc w:val="left"/>
    </w:lvl>
    <w:lvl w:ilvl="3" w:tplc="C72EBF4A">
      <w:numFmt w:val="decimal"/>
      <w:lvlText w:val=""/>
      <w:lvlJc w:val="left"/>
    </w:lvl>
    <w:lvl w:ilvl="4" w:tplc="FE524E28">
      <w:numFmt w:val="decimal"/>
      <w:lvlText w:val=""/>
      <w:lvlJc w:val="left"/>
    </w:lvl>
    <w:lvl w:ilvl="5" w:tplc="A6D22FB0">
      <w:numFmt w:val="decimal"/>
      <w:lvlText w:val=""/>
      <w:lvlJc w:val="left"/>
    </w:lvl>
    <w:lvl w:ilvl="6" w:tplc="FAF2BFDA">
      <w:numFmt w:val="decimal"/>
      <w:lvlText w:val=""/>
      <w:lvlJc w:val="left"/>
    </w:lvl>
    <w:lvl w:ilvl="7" w:tplc="B164DB92">
      <w:numFmt w:val="decimal"/>
      <w:lvlText w:val=""/>
      <w:lvlJc w:val="left"/>
    </w:lvl>
    <w:lvl w:ilvl="8" w:tplc="0562C68C">
      <w:numFmt w:val="decimal"/>
      <w:lvlText w:val=""/>
      <w:lvlJc w:val="left"/>
    </w:lvl>
  </w:abstractNum>
  <w:abstractNum w:abstractNumId="919" w15:restartNumberingAfterBreak="0">
    <w:nsid w:val="46F74644"/>
    <w:multiLevelType w:val="hybridMultilevel"/>
    <w:tmpl w:val="DBAC09FA"/>
    <w:lvl w:ilvl="0" w:tplc="0AC80C52">
      <w:start w:val="1"/>
      <w:numFmt w:val="bullet"/>
      <w:lvlText w:val=""/>
      <w:lvlJc w:val="left"/>
      <w:pPr>
        <w:ind w:left="720" w:hanging="180"/>
      </w:pPr>
      <w:rPr>
        <w:rFonts w:ascii="Symbol" w:hAnsi="Symbol" w:hint="default"/>
      </w:rPr>
    </w:lvl>
    <w:lvl w:ilvl="1" w:tplc="E7D8CACC">
      <w:numFmt w:val="decimal"/>
      <w:lvlText w:val=""/>
      <w:lvlJc w:val="left"/>
    </w:lvl>
    <w:lvl w:ilvl="2" w:tplc="6F14C804">
      <w:numFmt w:val="decimal"/>
      <w:lvlText w:val=""/>
      <w:lvlJc w:val="left"/>
    </w:lvl>
    <w:lvl w:ilvl="3" w:tplc="C6BEFEBE">
      <w:numFmt w:val="decimal"/>
      <w:lvlText w:val=""/>
      <w:lvlJc w:val="left"/>
    </w:lvl>
    <w:lvl w:ilvl="4" w:tplc="8CE47768">
      <w:numFmt w:val="decimal"/>
      <w:lvlText w:val=""/>
      <w:lvlJc w:val="left"/>
    </w:lvl>
    <w:lvl w:ilvl="5" w:tplc="5C3CF5A6">
      <w:numFmt w:val="decimal"/>
      <w:lvlText w:val=""/>
      <w:lvlJc w:val="left"/>
    </w:lvl>
    <w:lvl w:ilvl="6" w:tplc="7BE6AF52">
      <w:numFmt w:val="decimal"/>
      <w:lvlText w:val=""/>
      <w:lvlJc w:val="left"/>
    </w:lvl>
    <w:lvl w:ilvl="7" w:tplc="6B2609BA">
      <w:numFmt w:val="decimal"/>
      <w:lvlText w:val=""/>
      <w:lvlJc w:val="left"/>
    </w:lvl>
    <w:lvl w:ilvl="8" w:tplc="67603502">
      <w:numFmt w:val="decimal"/>
      <w:lvlText w:val=""/>
      <w:lvlJc w:val="left"/>
    </w:lvl>
  </w:abstractNum>
  <w:abstractNum w:abstractNumId="920" w15:restartNumberingAfterBreak="0">
    <w:nsid w:val="471061F3"/>
    <w:multiLevelType w:val="hybridMultilevel"/>
    <w:tmpl w:val="CAD4DA4A"/>
    <w:lvl w:ilvl="0" w:tplc="EAEC0238">
      <w:start w:val="1"/>
      <w:numFmt w:val="bullet"/>
      <w:lvlText w:val=""/>
      <w:lvlJc w:val="left"/>
      <w:pPr>
        <w:ind w:left="720" w:hanging="180"/>
      </w:pPr>
      <w:rPr>
        <w:rFonts w:ascii="Symbol" w:hAnsi="Symbol" w:hint="default"/>
      </w:rPr>
    </w:lvl>
    <w:lvl w:ilvl="1" w:tplc="5A1AF41E">
      <w:numFmt w:val="decimal"/>
      <w:lvlText w:val=""/>
      <w:lvlJc w:val="left"/>
    </w:lvl>
    <w:lvl w:ilvl="2" w:tplc="C2720C3C">
      <w:numFmt w:val="decimal"/>
      <w:lvlText w:val=""/>
      <w:lvlJc w:val="left"/>
    </w:lvl>
    <w:lvl w:ilvl="3" w:tplc="BC18608E">
      <w:numFmt w:val="decimal"/>
      <w:lvlText w:val=""/>
      <w:lvlJc w:val="left"/>
    </w:lvl>
    <w:lvl w:ilvl="4" w:tplc="946EBAE2">
      <w:numFmt w:val="decimal"/>
      <w:lvlText w:val=""/>
      <w:lvlJc w:val="left"/>
    </w:lvl>
    <w:lvl w:ilvl="5" w:tplc="10E0B7BA">
      <w:numFmt w:val="decimal"/>
      <w:lvlText w:val=""/>
      <w:lvlJc w:val="left"/>
    </w:lvl>
    <w:lvl w:ilvl="6" w:tplc="F244D7B8">
      <w:numFmt w:val="decimal"/>
      <w:lvlText w:val=""/>
      <w:lvlJc w:val="left"/>
    </w:lvl>
    <w:lvl w:ilvl="7" w:tplc="49280FCC">
      <w:numFmt w:val="decimal"/>
      <w:lvlText w:val=""/>
      <w:lvlJc w:val="left"/>
    </w:lvl>
    <w:lvl w:ilvl="8" w:tplc="80ACCCF8">
      <w:numFmt w:val="decimal"/>
      <w:lvlText w:val=""/>
      <w:lvlJc w:val="left"/>
    </w:lvl>
  </w:abstractNum>
  <w:abstractNum w:abstractNumId="921" w15:restartNumberingAfterBreak="0">
    <w:nsid w:val="471F291C"/>
    <w:multiLevelType w:val="hybridMultilevel"/>
    <w:tmpl w:val="8BD4EA16"/>
    <w:lvl w:ilvl="0" w:tplc="D89A181C">
      <w:start w:val="1"/>
      <w:numFmt w:val="bullet"/>
      <w:lvlText w:val=""/>
      <w:lvlJc w:val="left"/>
      <w:pPr>
        <w:ind w:left="720" w:hanging="180"/>
      </w:pPr>
      <w:rPr>
        <w:rFonts w:ascii="Symbol" w:hAnsi="Symbol" w:hint="default"/>
      </w:rPr>
    </w:lvl>
    <w:lvl w:ilvl="1" w:tplc="7390EB8E">
      <w:numFmt w:val="decimal"/>
      <w:lvlText w:val=""/>
      <w:lvlJc w:val="left"/>
    </w:lvl>
    <w:lvl w:ilvl="2" w:tplc="3C808108">
      <w:numFmt w:val="decimal"/>
      <w:lvlText w:val=""/>
      <w:lvlJc w:val="left"/>
    </w:lvl>
    <w:lvl w:ilvl="3" w:tplc="B508630C">
      <w:numFmt w:val="decimal"/>
      <w:lvlText w:val=""/>
      <w:lvlJc w:val="left"/>
    </w:lvl>
    <w:lvl w:ilvl="4" w:tplc="265CFC64">
      <w:numFmt w:val="decimal"/>
      <w:lvlText w:val=""/>
      <w:lvlJc w:val="left"/>
    </w:lvl>
    <w:lvl w:ilvl="5" w:tplc="28F212F4">
      <w:numFmt w:val="decimal"/>
      <w:lvlText w:val=""/>
      <w:lvlJc w:val="left"/>
    </w:lvl>
    <w:lvl w:ilvl="6" w:tplc="94C262E0">
      <w:numFmt w:val="decimal"/>
      <w:lvlText w:val=""/>
      <w:lvlJc w:val="left"/>
    </w:lvl>
    <w:lvl w:ilvl="7" w:tplc="9D6A5506">
      <w:numFmt w:val="decimal"/>
      <w:lvlText w:val=""/>
      <w:lvlJc w:val="left"/>
    </w:lvl>
    <w:lvl w:ilvl="8" w:tplc="49A0E4CE">
      <w:numFmt w:val="decimal"/>
      <w:lvlText w:val=""/>
      <w:lvlJc w:val="left"/>
    </w:lvl>
  </w:abstractNum>
  <w:abstractNum w:abstractNumId="922" w15:restartNumberingAfterBreak="0">
    <w:nsid w:val="472D5C8A"/>
    <w:multiLevelType w:val="hybridMultilevel"/>
    <w:tmpl w:val="C784D046"/>
    <w:lvl w:ilvl="0" w:tplc="AF38AD0C">
      <w:start w:val="1"/>
      <w:numFmt w:val="bullet"/>
      <w:lvlText w:val=""/>
      <w:lvlJc w:val="left"/>
      <w:pPr>
        <w:ind w:left="720" w:hanging="180"/>
      </w:pPr>
      <w:rPr>
        <w:rFonts w:ascii="Symbol" w:hAnsi="Symbol" w:hint="default"/>
      </w:rPr>
    </w:lvl>
    <w:lvl w:ilvl="1" w:tplc="3B324BC0">
      <w:numFmt w:val="decimal"/>
      <w:lvlText w:val=""/>
      <w:lvlJc w:val="left"/>
    </w:lvl>
    <w:lvl w:ilvl="2" w:tplc="72E4040A">
      <w:numFmt w:val="decimal"/>
      <w:lvlText w:val=""/>
      <w:lvlJc w:val="left"/>
    </w:lvl>
    <w:lvl w:ilvl="3" w:tplc="6DE8F760">
      <w:numFmt w:val="decimal"/>
      <w:lvlText w:val=""/>
      <w:lvlJc w:val="left"/>
    </w:lvl>
    <w:lvl w:ilvl="4" w:tplc="B0486BF0">
      <w:numFmt w:val="decimal"/>
      <w:lvlText w:val=""/>
      <w:lvlJc w:val="left"/>
    </w:lvl>
    <w:lvl w:ilvl="5" w:tplc="2E861C76">
      <w:numFmt w:val="decimal"/>
      <w:lvlText w:val=""/>
      <w:lvlJc w:val="left"/>
    </w:lvl>
    <w:lvl w:ilvl="6" w:tplc="61CC5912">
      <w:numFmt w:val="decimal"/>
      <w:lvlText w:val=""/>
      <w:lvlJc w:val="left"/>
    </w:lvl>
    <w:lvl w:ilvl="7" w:tplc="73A28270">
      <w:numFmt w:val="decimal"/>
      <w:lvlText w:val=""/>
      <w:lvlJc w:val="left"/>
    </w:lvl>
    <w:lvl w:ilvl="8" w:tplc="70AE3A22">
      <w:numFmt w:val="decimal"/>
      <w:lvlText w:val=""/>
      <w:lvlJc w:val="left"/>
    </w:lvl>
  </w:abstractNum>
  <w:abstractNum w:abstractNumId="923" w15:restartNumberingAfterBreak="0">
    <w:nsid w:val="47413C90"/>
    <w:multiLevelType w:val="hybridMultilevel"/>
    <w:tmpl w:val="4F409D4A"/>
    <w:lvl w:ilvl="0" w:tplc="CF7C87B0">
      <w:start w:val="1"/>
      <w:numFmt w:val="bullet"/>
      <w:lvlText w:val=""/>
      <w:lvlJc w:val="left"/>
      <w:pPr>
        <w:ind w:left="720" w:hanging="180"/>
      </w:pPr>
      <w:rPr>
        <w:rFonts w:ascii="Symbol" w:hAnsi="Symbol" w:hint="default"/>
      </w:rPr>
    </w:lvl>
    <w:lvl w:ilvl="1" w:tplc="1166E0E8">
      <w:numFmt w:val="decimal"/>
      <w:lvlText w:val=""/>
      <w:lvlJc w:val="left"/>
    </w:lvl>
    <w:lvl w:ilvl="2" w:tplc="D040D390">
      <w:numFmt w:val="decimal"/>
      <w:lvlText w:val=""/>
      <w:lvlJc w:val="left"/>
    </w:lvl>
    <w:lvl w:ilvl="3" w:tplc="BD32A03A">
      <w:numFmt w:val="decimal"/>
      <w:lvlText w:val=""/>
      <w:lvlJc w:val="left"/>
    </w:lvl>
    <w:lvl w:ilvl="4" w:tplc="8024724E">
      <w:numFmt w:val="decimal"/>
      <w:lvlText w:val=""/>
      <w:lvlJc w:val="left"/>
    </w:lvl>
    <w:lvl w:ilvl="5" w:tplc="8766B664">
      <w:numFmt w:val="decimal"/>
      <w:lvlText w:val=""/>
      <w:lvlJc w:val="left"/>
    </w:lvl>
    <w:lvl w:ilvl="6" w:tplc="B9322FE4">
      <w:numFmt w:val="decimal"/>
      <w:lvlText w:val=""/>
      <w:lvlJc w:val="left"/>
    </w:lvl>
    <w:lvl w:ilvl="7" w:tplc="8B16550A">
      <w:numFmt w:val="decimal"/>
      <w:lvlText w:val=""/>
      <w:lvlJc w:val="left"/>
    </w:lvl>
    <w:lvl w:ilvl="8" w:tplc="BD089302">
      <w:numFmt w:val="decimal"/>
      <w:lvlText w:val=""/>
      <w:lvlJc w:val="left"/>
    </w:lvl>
  </w:abstractNum>
  <w:abstractNum w:abstractNumId="924" w15:restartNumberingAfterBreak="0">
    <w:nsid w:val="47555D64"/>
    <w:multiLevelType w:val="hybridMultilevel"/>
    <w:tmpl w:val="2112FE98"/>
    <w:lvl w:ilvl="0" w:tplc="A1C487FE">
      <w:start w:val="1"/>
      <w:numFmt w:val="bullet"/>
      <w:lvlText w:val=""/>
      <w:lvlJc w:val="left"/>
      <w:pPr>
        <w:ind w:left="720" w:hanging="180"/>
      </w:pPr>
      <w:rPr>
        <w:rFonts w:ascii="Symbol" w:hAnsi="Symbol" w:hint="default"/>
      </w:rPr>
    </w:lvl>
    <w:lvl w:ilvl="1" w:tplc="BD68D7C6">
      <w:numFmt w:val="decimal"/>
      <w:lvlText w:val=""/>
      <w:lvlJc w:val="left"/>
    </w:lvl>
    <w:lvl w:ilvl="2" w:tplc="6C44D968">
      <w:numFmt w:val="decimal"/>
      <w:lvlText w:val=""/>
      <w:lvlJc w:val="left"/>
    </w:lvl>
    <w:lvl w:ilvl="3" w:tplc="16E25D28">
      <w:numFmt w:val="decimal"/>
      <w:lvlText w:val=""/>
      <w:lvlJc w:val="left"/>
    </w:lvl>
    <w:lvl w:ilvl="4" w:tplc="537AF0CC">
      <w:numFmt w:val="decimal"/>
      <w:lvlText w:val=""/>
      <w:lvlJc w:val="left"/>
    </w:lvl>
    <w:lvl w:ilvl="5" w:tplc="82BAB6C6">
      <w:numFmt w:val="decimal"/>
      <w:lvlText w:val=""/>
      <w:lvlJc w:val="left"/>
    </w:lvl>
    <w:lvl w:ilvl="6" w:tplc="6194C404">
      <w:numFmt w:val="decimal"/>
      <w:lvlText w:val=""/>
      <w:lvlJc w:val="left"/>
    </w:lvl>
    <w:lvl w:ilvl="7" w:tplc="83A27236">
      <w:numFmt w:val="decimal"/>
      <w:lvlText w:val=""/>
      <w:lvlJc w:val="left"/>
    </w:lvl>
    <w:lvl w:ilvl="8" w:tplc="FCC6DB6A">
      <w:numFmt w:val="decimal"/>
      <w:lvlText w:val=""/>
      <w:lvlJc w:val="left"/>
    </w:lvl>
  </w:abstractNum>
  <w:abstractNum w:abstractNumId="925" w15:restartNumberingAfterBreak="0">
    <w:nsid w:val="476F3F11"/>
    <w:multiLevelType w:val="hybridMultilevel"/>
    <w:tmpl w:val="54A244BE"/>
    <w:lvl w:ilvl="0" w:tplc="8C44AA70">
      <w:numFmt w:val="decimal"/>
      <w:lvlText w:val=""/>
      <w:lvlJc w:val="left"/>
    </w:lvl>
    <w:lvl w:ilvl="1" w:tplc="2F46FA46">
      <w:start w:val="1"/>
      <w:numFmt w:val="bullet"/>
      <w:lvlText w:val=""/>
      <w:lvlJc w:val="left"/>
      <w:pPr>
        <w:ind w:left="1440" w:hanging="180"/>
      </w:pPr>
      <w:rPr>
        <w:rFonts w:ascii="Symbol" w:hAnsi="Symbol" w:hint="default"/>
      </w:rPr>
    </w:lvl>
    <w:lvl w:ilvl="2" w:tplc="F2B24100">
      <w:numFmt w:val="decimal"/>
      <w:lvlText w:val=""/>
      <w:lvlJc w:val="left"/>
    </w:lvl>
    <w:lvl w:ilvl="3" w:tplc="F2FEB97E">
      <w:numFmt w:val="decimal"/>
      <w:lvlText w:val=""/>
      <w:lvlJc w:val="left"/>
    </w:lvl>
    <w:lvl w:ilvl="4" w:tplc="87983FCC">
      <w:numFmt w:val="decimal"/>
      <w:lvlText w:val=""/>
      <w:lvlJc w:val="left"/>
    </w:lvl>
    <w:lvl w:ilvl="5" w:tplc="C1009C5A">
      <w:numFmt w:val="decimal"/>
      <w:lvlText w:val=""/>
      <w:lvlJc w:val="left"/>
    </w:lvl>
    <w:lvl w:ilvl="6" w:tplc="CB46C81A">
      <w:numFmt w:val="decimal"/>
      <w:lvlText w:val=""/>
      <w:lvlJc w:val="left"/>
    </w:lvl>
    <w:lvl w:ilvl="7" w:tplc="22E61C14">
      <w:numFmt w:val="decimal"/>
      <w:lvlText w:val=""/>
      <w:lvlJc w:val="left"/>
    </w:lvl>
    <w:lvl w:ilvl="8" w:tplc="6B62123E">
      <w:numFmt w:val="decimal"/>
      <w:lvlText w:val=""/>
      <w:lvlJc w:val="left"/>
    </w:lvl>
  </w:abstractNum>
  <w:abstractNum w:abstractNumId="926" w15:restartNumberingAfterBreak="0">
    <w:nsid w:val="47A1416A"/>
    <w:multiLevelType w:val="hybridMultilevel"/>
    <w:tmpl w:val="6B26FC4A"/>
    <w:lvl w:ilvl="0" w:tplc="50261AE6">
      <w:start w:val="1"/>
      <w:numFmt w:val="bullet"/>
      <w:lvlText w:val=""/>
      <w:lvlJc w:val="left"/>
      <w:pPr>
        <w:ind w:left="720" w:hanging="180"/>
      </w:pPr>
      <w:rPr>
        <w:rFonts w:ascii="Symbol" w:hAnsi="Symbol" w:hint="default"/>
      </w:rPr>
    </w:lvl>
    <w:lvl w:ilvl="1" w:tplc="7396C3AC">
      <w:numFmt w:val="decimal"/>
      <w:lvlText w:val=""/>
      <w:lvlJc w:val="left"/>
    </w:lvl>
    <w:lvl w:ilvl="2" w:tplc="2C7AAA0A">
      <w:numFmt w:val="decimal"/>
      <w:lvlText w:val=""/>
      <w:lvlJc w:val="left"/>
    </w:lvl>
    <w:lvl w:ilvl="3" w:tplc="EE04B96E">
      <w:numFmt w:val="decimal"/>
      <w:lvlText w:val=""/>
      <w:lvlJc w:val="left"/>
    </w:lvl>
    <w:lvl w:ilvl="4" w:tplc="5EE4E35E">
      <w:numFmt w:val="decimal"/>
      <w:lvlText w:val=""/>
      <w:lvlJc w:val="left"/>
    </w:lvl>
    <w:lvl w:ilvl="5" w:tplc="0D746B7A">
      <w:numFmt w:val="decimal"/>
      <w:lvlText w:val=""/>
      <w:lvlJc w:val="left"/>
    </w:lvl>
    <w:lvl w:ilvl="6" w:tplc="ABA098F8">
      <w:numFmt w:val="decimal"/>
      <w:lvlText w:val=""/>
      <w:lvlJc w:val="left"/>
    </w:lvl>
    <w:lvl w:ilvl="7" w:tplc="00FAC6B0">
      <w:numFmt w:val="decimal"/>
      <w:lvlText w:val=""/>
      <w:lvlJc w:val="left"/>
    </w:lvl>
    <w:lvl w:ilvl="8" w:tplc="EC4A7714">
      <w:numFmt w:val="decimal"/>
      <w:lvlText w:val=""/>
      <w:lvlJc w:val="left"/>
    </w:lvl>
  </w:abstractNum>
  <w:abstractNum w:abstractNumId="927" w15:restartNumberingAfterBreak="0">
    <w:nsid w:val="47A70E3A"/>
    <w:multiLevelType w:val="hybridMultilevel"/>
    <w:tmpl w:val="0B8AF05C"/>
    <w:lvl w:ilvl="0" w:tplc="9020B2F6">
      <w:start w:val="1"/>
      <w:numFmt w:val="bullet"/>
      <w:lvlText w:val=""/>
      <w:lvlJc w:val="left"/>
      <w:pPr>
        <w:ind w:left="720" w:hanging="180"/>
      </w:pPr>
      <w:rPr>
        <w:rFonts w:ascii="Symbol" w:hAnsi="Symbol" w:hint="default"/>
      </w:rPr>
    </w:lvl>
    <w:lvl w:ilvl="1" w:tplc="39AAB7CE">
      <w:numFmt w:val="decimal"/>
      <w:lvlText w:val=""/>
      <w:lvlJc w:val="left"/>
    </w:lvl>
    <w:lvl w:ilvl="2" w:tplc="EDDCAF2E">
      <w:numFmt w:val="decimal"/>
      <w:lvlText w:val=""/>
      <w:lvlJc w:val="left"/>
    </w:lvl>
    <w:lvl w:ilvl="3" w:tplc="E5BC240C">
      <w:numFmt w:val="decimal"/>
      <w:lvlText w:val=""/>
      <w:lvlJc w:val="left"/>
    </w:lvl>
    <w:lvl w:ilvl="4" w:tplc="4AF655AC">
      <w:numFmt w:val="decimal"/>
      <w:lvlText w:val=""/>
      <w:lvlJc w:val="left"/>
    </w:lvl>
    <w:lvl w:ilvl="5" w:tplc="3E42D276">
      <w:numFmt w:val="decimal"/>
      <w:lvlText w:val=""/>
      <w:lvlJc w:val="left"/>
    </w:lvl>
    <w:lvl w:ilvl="6" w:tplc="8FE26FD4">
      <w:numFmt w:val="decimal"/>
      <w:lvlText w:val=""/>
      <w:lvlJc w:val="left"/>
    </w:lvl>
    <w:lvl w:ilvl="7" w:tplc="B0DEDCD4">
      <w:numFmt w:val="decimal"/>
      <w:lvlText w:val=""/>
      <w:lvlJc w:val="left"/>
    </w:lvl>
    <w:lvl w:ilvl="8" w:tplc="4462DF36">
      <w:numFmt w:val="decimal"/>
      <w:lvlText w:val=""/>
      <w:lvlJc w:val="left"/>
    </w:lvl>
  </w:abstractNum>
  <w:abstractNum w:abstractNumId="928" w15:restartNumberingAfterBreak="0">
    <w:nsid w:val="47E97C8B"/>
    <w:multiLevelType w:val="hybridMultilevel"/>
    <w:tmpl w:val="748CAE2E"/>
    <w:lvl w:ilvl="0" w:tplc="ACC21EF2">
      <w:numFmt w:val="decimal"/>
      <w:lvlText w:val=""/>
      <w:lvlJc w:val="left"/>
    </w:lvl>
    <w:lvl w:ilvl="1" w:tplc="83C49D22">
      <w:start w:val="1"/>
      <w:numFmt w:val="bullet"/>
      <w:lvlText w:val=""/>
      <w:lvlJc w:val="left"/>
      <w:pPr>
        <w:ind w:left="1440" w:hanging="180"/>
      </w:pPr>
      <w:rPr>
        <w:rFonts w:ascii="Symbol" w:hAnsi="Symbol" w:hint="default"/>
      </w:rPr>
    </w:lvl>
    <w:lvl w:ilvl="2" w:tplc="94727C2C">
      <w:numFmt w:val="decimal"/>
      <w:lvlText w:val=""/>
      <w:lvlJc w:val="left"/>
    </w:lvl>
    <w:lvl w:ilvl="3" w:tplc="22D2352C">
      <w:numFmt w:val="decimal"/>
      <w:lvlText w:val=""/>
      <w:lvlJc w:val="left"/>
    </w:lvl>
    <w:lvl w:ilvl="4" w:tplc="590A5AD4">
      <w:numFmt w:val="decimal"/>
      <w:lvlText w:val=""/>
      <w:lvlJc w:val="left"/>
    </w:lvl>
    <w:lvl w:ilvl="5" w:tplc="E0142068">
      <w:numFmt w:val="decimal"/>
      <w:lvlText w:val=""/>
      <w:lvlJc w:val="left"/>
    </w:lvl>
    <w:lvl w:ilvl="6" w:tplc="A1049000">
      <w:numFmt w:val="decimal"/>
      <w:lvlText w:val=""/>
      <w:lvlJc w:val="left"/>
    </w:lvl>
    <w:lvl w:ilvl="7" w:tplc="DA98948C">
      <w:numFmt w:val="decimal"/>
      <w:lvlText w:val=""/>
      <w:lvlJc w:val="left"/>
    </w:lvl>
    <w:lvl w:ilvl="8" w:tplc="3D8EFDA2">
      <w:numFmt w:val="decimal"/>
      <w:lvlText w:val=""/>
      <w:lvlJc w:val="left"/>
    </w:lvl>
  </w:abstractNum>
  <w:abstractNum w:abstractNumId="929" w15:restartNumberingAfterBreak="0">
    <w:nsid w:val="47F3091D"/>
    <w:multiLevelType w:val="hybridMultilevel"/>
    <w:tmpl w:val="7E10BA6E"/>
    <w:lvl w:ilvl="0" w:tplc="B58C379E">
      <w:start w:val="1"/>
      <w:numFmt w:val="bullet"/>
      <w:lvlText w:val=""/>
      <w:lvlJc w:val="left"/>
      <w:pPr>
        <w:ind w:left="720" w:hanging="180"/>
      </w:pPr>
      <w:rPr>
        <w:rFonts w:ascii="Symbol" w:hAnsi="Symbol" w:hint="default"/>
      </w:rPr>
    </w:lvl>
    <w:lvl w:ilvl="1" w:tplc="171CE8DE">
      <w:numFmt w:val="decimal"/>
      <w:lvlText w:val=""/>
      <w:lvlJc w:val="left"/>
    </w:lvl>
    <w:lvl w:ilvl="2" w:tplc="3260E85A">
      <w:numFmt w:val="decimal"/>
      <w:lvlText w:val=""/>
      <w:lvlJc w:val="left"/>
    </w:lvl>
    <w:lvl w:ilvl="3" w:tplc="8124BF74">
      <w:numFmt w:val="decimal"/>
      <w:lvlText w:val=""/>
      <w:lvlJc w:val="left"/>
    </w:lvl>
    <w:lvl w:ilvl="4" w:tplc="41CA5398">
      <w:numFmt w:val="decimal"/>
      <w:lvlText w:val=""/>
      <w:lvlJc w:val="left"/>
    </w:lvl>
    <w:lvl w:ilvl="5" w:tplc="7E1A51C0">
      <w:numFmt w:val="decimal"/>
      <w:lvlText w:val=""/>
      <w:lvlJc w:val="left"/>
    </w:lvl>
    <w:lvl w:ilvl="6" w:tplc="81D415F8">
      <w:numFmt w:val="decimal"/>
      <w:lvlText w:val=""/>
      <w:lvlJc w:val="left"/>
    </w:lvl>
    <w:lvl w:ilvl="7" w:tplc="1B3C2ECA">
      <w:numFmt w:val="decimal"/>
      <w:lvlText w:val=""/>
      <w:lvlJc w:val="left"/>
    </w:lvl>
    <w:lvl w:ilvl="8" w:tplc="6BA4DB86">
      <w:numFmt w:val="decimal"/>
      <w:lvlText w:val=""/>
      <w:lvlJc w:val="left"/>
    </w:lvl>
  </w:abstractNum>
  <w:abstractNum w:abstractNumId="930" w15:restartNumberingAfterBreak="0">
    <w:nsid w:val="47F370E7"/>
    <w:multiLevelType w:val="hybridMultilevel"/>
    <w:tmpl w:val="3D16BE76"/>
    <w:lvl w:ilvl="0" w:tplc="567EB20E">
      <w:start w:val="1"/>
      <w:numFmt w:val="bullet"/>
      <w:lvlText w:val=""/>
      <w:lvlJc w:val="left"/>
      <w:pPr>
        <w:ind w:left="720" w:hanging="180"/>
      </w:pPr>
      <w:rPr>
        <w:rFonts w:ascii="Symbol" w:hAnsi="Symbol" w:hint="default"/>
      </w:rPr>
    </w:lvl>
    <w:lvl w:ilvl="1" w:tplc="4906B826">
      <w:numFmt w:val="decimal"/>
      <w:lvlText w:val=""/>
      <w:lvlJc w:val="left"/>
    </w:lvl>
    <w:lvl w:ilvl="2" w:tplc="21E4915A">
      <w:numFmt w:val="decimal"/>
      <w:lvlText w:val=""/>
      <w:lvlJc w:val="left"/>
    </w:lvl>
    <w:lvl w:ilvl="3" w:tplc="A4AABBB8">
      <w:numFmt w:val="decimal"/>
      <w:lvlText w:val=""/>
      <w:lvlJc w:val="left"/>
    </w:lvl>
    <w:lvl w:ilvl="4" w:tplc="FC6EB8F6">
      <w:numFmt w:val="decimal"/>
      <w:lvlText w:val=""/>
      <w:lvlJc w:val="left"/>
    </w:lvl>
    <w:lvl w:ilvl="5" w:tplc="438EFAFC">
      <w:numFmt w:val="decimal"/>
      <w:lvlText w:val=""/>
      <w:lvlJc w:val="left"/>
    </w:lvl>
    <w:lvl w:ilvl="6" w:tplc="24309B88">
      <w:numFmt w:val="decimal"/>
      <w:lvlText w:val=""/>
      <w:lvlJc w:val="left"/>
    </w:lvl>
    <w:lvl w:ilvl="7" w:tplc="2E827DC0">
      <w:numFmt w:val="decimal"/>
      <w:lvlText w:val=""/>
      <w:lvlJc w:val="left"/>
    </w:lvl>
    <w:lvl w:ilvl="8" w:tplc="C1B82C4E">
      <w:numFmt w:val="decimal"/>
      <w:lvlText w:val=""/>
      <w:lvlJc w:val="left"/>
    </w:lvl>
  </w:abstractNum>
  <w:abstractNum w:abstractNumId="931" w15:restartNumberingAfterBreak="0">
    <w:nsid w:val="48007C6E"/>
    <w:multiLevelType w:val="hybridMultilevel"/>
    <w:tmpl w:val="953A4662"/>
    <w:lvl w:ilvl="0" w:tplc="6C7E89EA">
      <w:start w:val="1"/>
      <w:numFmt w:val="bullet"/>
      <w:lvlText w:val=""/>
      <w:lvlJc w:val="left"/>
      <w:pPr>
        <w:ind w:left="720" w:hanging="180"/>
      </w:pPr>
      <w:rPr>
        <w:rFonts w:ascii="Symbol" w:hAnsi="Symbol" w:hint="default"/>
      </w:rPr>
    </w:lvl>
    <w:lvl w:ilvl="1" w:tplc="67525290">
      <w:numFmt w:val="decimal"/>
      <w:lvlText w:val=""/>
      <w:lvlJc w:val="left"/>
    </w:lvl>
    <w:lvl w:ilvl="2" w:tplc="B3E4C3BE">
      <w:numFmt w:val="decimal"/>
      <w:lvlText w:val=""/>
      <w:lvlJc w:val="left"/>
    </w:lvl>
    <w:lvl w:ilvl="3" w:tplc="F08CC65C">
      <w:numFmt w:val="decimal"/>
      <w:lvlText w:val=""/>
      <w:lvlJc w:val="left"/>
    </w:lvl>
    <w:lvl w:ilvl="4" w:tplc="5CA6DC2A">
      <w:numFmt w:val="decimal"/>
      <w:lvlText w:val=""/>
      <w:lvlJc w:val="left"/>
    </w:lvl>
    <w:lvl w:ilvl="5" w:tplc="D0085D58">
      <w:numFmt w:val="decimal"/>
      <w:lvlText w:val=""/>
      <w:lvlJc w:val="left"/>
    </w:lvl>
    <w:lvl w:ilvl="6" w:tplc="7E7AAD6A">
      <w:numFmt w:val="decimal"/>
      <w:lvlText w:val=""/>
      <w:lvlJc w:val="left"/>
    </w:lvl>
    <w:lvl w:ilvl="7" w:tplc="59E891C8">
      <w:numFmt w:val="decimal"/>
      <w:lvlText w:val=""/>
      <w:lvlJc w:val="left"/>
    </w:lvl>
    <w:lvl w:ilvl="8" w:tplc="252690BA">
      <w:numFmt w:val="decimal"/>
      <w:lvlText w:val=""/>
      <w:lvlJc w:val="left"/>
    </w:lvl>
  </w:abstractNum>
  <w:abstractNum w:abstractNumId="932" w15:restartNumberingAfterBreak="0">
    <w:nsid w:val="48035641"/>
    <w:multiLevelType w:val="hybridMultilevel"/>
    <w:tmpl w:val="9E884338"/>
    <w:lvl w:ilvl="0" w:tplc="512673E0">
      <w:start w:val="1"/>
      <w:numFmt w:val="bullet"/>
      <w:lvlText w:val=""/>
      <w:lvlJc w:val="left"/>
      <w:pPr>
        <w:ind w:left="720" w:hanging="180"/>
      </w:pPr>
      <w:rPr>
        <w:rFonts w:ascii="Symbol" w:hAnsi="Symbol" w:hint="default"/>
      </w:rPr>
    </w:lvl>
    <w:lvl w:ilvl="1" w:tplc="E2BE458A">
      <w:numFmt w:val="decimal"/>
      <w:lvlText w:val=""/>
      <w:lvlJc w:val="left"/>
    </w:lvl>
    <w:lvl w:ilvl="2" w:tplc="238AC8F4">
      <w:numFmt w:val="decimal"/>
      <w:lvlText w:val=""/>
      <w:lvlJc w:val="left"/>
    </w:lvl>
    <w:lvl w:ilvl="3" w:tplc="EA4263C8">
      <w:numFmt w:val="decimal"/>
      <w:lvlText w:val=""/>
      <w:lvlJc w:val="left"/>
    </w:lvl>
    <w:lvl w:ilvl="4" w:tplc="605C04B2">
      <w:numFmt w:val="decimal"/>
      <w:lvlText w:val=""/>
      <w:lvlJc w:val="left"/>
    </w:lvl>
    <w:lvl w:ilvl="5" w:tplc="83B2E856">
      <w:numFmt w:val="decimal"/>
      <w:lvlText w:val=""/>
      <w:lvlJc w:val="left"/>
    </w:lvl>
    <w:lvl w:ilvl="6" w:tplc="BB96156C">
      <w:numFmt w:val="decimal"/>
      <w:lvlText w:val=""/>
      <w:lvlJc w:val="left"/>
    </w:lvl>
    <w:lvl w:ilvl="7" w:tplc="35961EBE">
      <w:numFmt w:val="decimal"/>
      <w:lvlText w:val=""/>
      <w:lvlJc w:val="left"/>
    </w:lvl>
    <w:lvl w:ilvl="8" w:tplc="DA5A6D3C">
      <w:numFmt w:val="decimal"/>
      <w:lvlText w:val=""/>
      <w:lvlJc w:val="left"/>
    </w:lvl>
  </w:abstractNum>
  <w:abstractNum w:abstractNumId="933" w15:restartNumberingAfterBreak="0">
    <w:nsid w:val="481D4D01"/>
    <w:multiLevelType w:val="hybridMultilevel"/>
    <w:tmpl w:val="DEE6ACA4"/>
    <w:lvl w:ilvl="0" w:tplc="8A8A6464">
      <w:start w:val="1"/>
      <w:numFmt w:val="bullet"/>
      <w:lvlText w:val=""/>
      <w:lvlJc w:val="left"/>
      <w:pPr>
        <w:ind w:left="720" w:hanging="180"/>
      </w:pPr>
      <w:rPr>
        <w:rFonts w:ascii="Symbol" w:hAnsi="Symbol" w:hint="default"/>
      </w:rPr>
    </w:lvl>
    <w:lvl w:ilvl="1" w:tplc="EBD8411E">
      <w:numFmt w:val="decimal"/>
      <w:lvlText w:val=""/>
      <w:lvlJc w:val="left"/>
    </w:lvl>
    <w:lvl w:ilvl="2" w:tplc="AFD4F960">
      <w:numFmt w:val="decimal"/>
      <w:lvlText w:val=""/>
      <w:lvlJc w:val="left"/>
    </w:lvl>
    <w:lvl w:ilvl="3" w:tplc="5A66971A">
      <w:numFmt w:val="decimal"/>
      <w:lvlText w:val=""/>
      <w:lvlJc w:val="left"/>
    </w:lvl>
    <w:lvl w:ilvl="4" w:tplc="60B0BFDA">
      <w:numFmt w:val="decimal"/>
      <w:lvlText w:val=""/>
      <w:lvlJc w:val="left"/>
    </w:lvl>
    <w:lvl w:ilvl="5" w:tplc="B3EA9302">
      <w:numFmt w:val="decimal"/>
      <w:lvlText w:val=""/>
      <w:lvlJc w:val="left"/>
    </w:lvl>
    <w:lvl w:ilvl="6" w:tplc="54AEEC7C">
      <w:numFmt w:val="decimal"/>
      <w:lvlText w:val=""/>
      <w:lvlJc w:val="left"/>
    </w:lvl>
    <w:lvl w:ilvl="7" w:tplc="14F8B3A0">
      <w:numFmt w:val="decimal"/>
      <w:lvlText w:val=""/>
      <w:lvlJc w:val="left"/>
    </w:lvl>
    <w:lvl w:ilvl="8" w:tplc="A27E5A22">
      <w:numFmt w:val="decimal"/>
      <w:lvlText w:val=""/>
      <w:lvlJc w:val="left"/>
    </w:lvl>
  </w:abstractNum>
  <w:abstractNum w:abstractNumId="934" w15:restartNumberingAfterBreak="0">
    <w:nsid w:val="48383F0B"/>
    <w:multiLevelType w:val="hybridMultilevel"/>
    <w:tmpl w:val="8BDE2C94"/>
    <w:lvl w:ilvl="0" w:tplc="9FECBE1E">
      <w:start w:val="1"/>
      <w:numFmt w:val="bullet"/>
      <w:lvlText w:val=""/>
      <w:lvlJc w:val="left"/>
      <w:pPr>
        <w:ind w:left="720" w:hanging="180"/>
      </w:pPr>
      <w:rPr>
        <w:rFonts w:ascii="Symbol" w:hAnsi="Symbol" w:hint="default"/>
      </w:rPr>
    </w:lvl>
    <w:lvl w:ilvl="1" w:tplc="0618245E">
      <w:numFmt w:val="decimal"/>
      <w:lvlText w:val=""/>
      <w:lvlJc w:val="left"/>
    </w:lvl>
    <w:lvl w:ilvl="2" w:tplc="79A8A8E8">
      <w:numFmt w:val="decimal"/>
      <w:lvlText w:val=""/>
      <w:lvlJc w:val="left"/>
    </w:lvl>
    <w:lvl w:ilvl="3" w:tplc="7B1EC088">
      <w:numFmt w:val="decimal"/>
      <w:lvlText w:val=""/>
      <w:lvlJc w:val="left"/>
    </w:lvl>
    <w:lvl w:ilvl="4" w:tplc="CA8C0314">
      <w:numFmt w:val="decimal"/>
      <w:lvlText w:val=""/>
      <w:lvlJc w:val="left"/>
    </w:lvl>
    <w:lvl w:ilvl="5" w:tplc="50F2BA0A">
      <w:numFmt w:val="decimal"/>
      <w:lvlText w:val=""/>
      <w:lvlJc w:val="left"/>
    </w:lvl>
    <w:lvl w:ilvl="6" w:tplc="9C107D0A">
      <w:numFmt w:val="decimal"/>
      <w:lvlText w:val=""/>
      <w:lvlJc w:val="left"/>
    </w:lvl>
    <w:lvl w:ilvl="7" w:tplc="721E5FBE">
      <w:numFmt w:val="decimal"/>
      <w:lvlText w:val=""/>
      <w:lvlJc w:val="left"/>
    </w:lvl>
    <w:lvl w:ilvl="8" w:tplc="60CCEA8A">
      <w:numFmt w:val="decimal"/>
      <w:lvlText w:val=""/>
      <w:lvlJc w:val="left"/>
    </w:lvl>
  </w:abstractNum>
  <w:abstractNum w:abstractNumId="935" w15:restartNumberingAfterBreak="0">
    <w:nsid w:val="4853532D"/>
    <w:multiLevelType w:val="hybridMultilevel"/>
    <w:tmpl w:val="39222F7A"/>
    <w:lvl w:ilvl="0" w:tplc="BF162674">
      <w:start w:val="1"/>
      <w:numFmt w:val="bullet"/>
      <w:lvlText w:val=""/>
      <w:lvlJc w:val="left"/>
      <w:pPr>
        <w:ind w:left="720" w:hanging="180"/>
      </w:pPr>
      <w:rPr>
        <w:rFonts w:ascii="Symbol" w:hAnsi="Symbol" w:hint="default"/>
      </w:rPr>
    </w:lvl>
    <w:lvl w:ilvl="1" w:tplc="9258B87A">
      <w:numFmt w:val="decimal"/>
      <w:lvlText w:val=""/>
      <w:lvlJc w:val="left"/>
    </w:lvl>
    <w:lvl w:ilvl="2" w:tplc="BF2A560C">
      <w:numFmt w:val="decimal"/>
      <w:lvlText w:val=""/>
      <w:lvlJc w:val="left"/>
    </w:lvl>
    <w:lvl w:ilvl="3" w:tplc="8E08337A">
      <w:numFmt w:val="decimal"/>
      <w:lvlText w:val=""/>
      <w:lvlJc w:val="left"/>
    </w:lvl>
    <w:lvl w:ilvl="4" w:tplc="5DA4E694">
      <w:numFmt w:val="decimal"/>
      <w:lvlText w:val=""/>
      <w:lvlJc w:val="left"/>
    </w:lvl>
    <w:lvl w:ilvl="5" w:tplc="7150A286">
      <w:numFmt w:val="decimal"/>
      <w:lvlText w:val=""/>
      <w:lvlJc w:val="left"/>
    </w:lvl>
    <w:lvl w:ilvl="6" w:tplc="6712BA7A">
      <w:numFmt w:val="decimal"/>
      <w:lvlText w:val=""/>
      <w:lvlJc w:val="left"/>
    </w:lvl>
    <w:lvl w:ilvl="7" w:tplc="784EDE4A">
      <w:numFmt w:val="decimal"/>
      <w:lvlText w:val=""/>
      <w:lvlJc w:val="left"/>
    </w:lvl>
    <w:lvl w:ilvl="8" w:tplc="7AE8B18A">
      <w:numFmt w:val="decimal"/>
      <w:lvlText w:val=""/>
      <w:lvlJc w:val="left"/>
    </w:lvl>
  </w:abstractNum>
  <w:abstractNum w:abstractNumId="936" w15:restartNumberingAfterBreak="0">
    <w:nsid w:val="485C4498"/>
    <w:multiLevelType w:val="hybridMultilevel"/>
    <w:tmpl w:val="83F255D2"/>
    <w:lvl w:ilvl="0" w:tplc="AC7E065E">
      <w:numFmt w:val="decimal"/>
      <w:lvlText w:val=""/>
      <w:lvlJc w:val="left"/>
    </w:lvl>
    <w:lvl w:ilvl="1" w:tplc="89F4D290">
      <w:start w:val="1"/>
      <w:numFmt w:val="bullet"/>
      <w:lvlText w:val=""/>
      <w:lvlJc w:val="left"/>
      <w:pPr>
        <w:ind w:left="1440" w:hanging="180"/>
      </w:pPr>
      <w:rPr>
        <w:rFonts w:ascii="Symbol" w:hAnsi="Symbol" w:hint="default"/>
      </w:rPr>
    </w:lvl>
    <w:lvl w:ilvl="2" w:tplc="6298CAD4">
      <w:numFmt w:val="decimal"/>
      <w:lvlText w:val=""/>
      <w:lvlJc w:val="left"/>
    </w:lvl>
    <w:lvl w:ilvl="3" w:tplc="AD342C64">
      <w:numFmt w:val="decimal"/>
      <w:lvlText w:val=""/>
      <w:lvlJc w:val="left"/>
    </w:lvl>
    <w:lvl w:ilvl="4" w:tplc="77C8D466">
      <w:numFmt w:val="decimal"/>
      <w:lvlText w:val=""/>
      <w:lvlJc w:val="left"/>
    </w:lvl>
    <w:lvl w:ilvl="5" w:tplc="CD7A5F5C">
      <w:numFmt w:val="decimal"/>
      <w:lvlText w:val=""/>
      <w:lvlJc w:val="left"/>
    </w:lvl>
    <w:lvl w:ilvl="6" w:tplc="BC886354">
      <w:numFmt w:val="decimal"/>
      <w:lvlText w:val=""/>
      <w:lvlJc w:val="left"/>
    </w:lvl>
    <w:lvl w:ilvl="7" w:tplc="049C4F28">
      <w:numFmt w:val="decimal"/>
      <w:lvlText w:val=""/>
      <w:lvlJc w:val="left"/>
    </w:lvl>
    <w:lvl w:ilvl="8" w:tplc="2C4010DE">
      <w:numFmt w:val="decimal"/>
      <w:lvlText w:val=""/>
      <w:lvlJc w:val="left"/>
    </w:lvl>
  </w:abstractNum>
  <w:abstractNum w:abstractNumId="937" w15:restartNumberingAfterBreak="0">
    <w:nsid w:val="4861793A"/>
    <w:multiLevelType w:val="hybridMultilevel"/>
    <w:tmpl w:val="EE98CF64"/>
    <w:lvl w:ilvl="0" w:tplc="E8D4A708">
      <w:start w:val="1"/>
      <w:numFmt w:val="bullet"/>
      <w:lvlText w:val=""/>
      <w:lvlJc w:val="left"/>
      <w:pPr>
        <w:ind w:left="720" w:hanging="180"/>
      </w:pPr>
      <w:rPr>
        <w:rFonts w:ascii="Symbol" w:hAnsi="Symbol" w:hint="default"/>
      </w:rPr>
    </w:lvl>
    <w:lvl w:ilvl="1" w:tplc="55367CC6">
      <w:numFmt w:val="decimal"/>
      <w:lvlText w:val=""/>
      <w:lvlJc w:val="left"/>
    </w:lvl>
    <w:lvl w:ilvl="2" w:tplc="4A16C3D0">
      <w:numFmt w:val="decimal"/>
      <w:lvlText w:val=""/>
      <w:lvlJc w:val="left"/>
    </w:lvl>
    <w:lvl w:ilvl="3" w:tplc="9CE80D0C">
      <w:numFmt w:val="decimal"/>
      <w:lvlText w:val=""/>
      <w:lvlJc w:val="left"/>
    </w:lvl>
    <w:lvl w:ilvl="4" w:tplc="BFDE1DC0">
      <w:numFmt w:val="decimal"/>
      <w:lvlText w:val=""/>
      <w:lvlJc w:val="left"/>
    </w:lvl>
    <w:lvl w:ilvl="5" w:tplc="A846FBC4">
      <w:numFmt w:val="decimal"/>
      <w:lvlText w:val=""/>
      <w:lvlJc w:val="left"/>
    </w:lvl>
    <w:lvl w:ilvl="6" w:tplc="11683B9E">
      <w:numFmt w:val="decimal"/>
      <w:lvlText w:val=""/>
      <w:lvlJc w:val="left"/>
    </w:lvl>
    <w:lvl w:ilvl="7" w:tplc="79F070D0">
      <w:numFmt w:val="decimal"/>
      <w:lvlText w:val=""/>
      <w:lvlJc w:val="left"/>
    </w:lvl>
    <w:lvl w:ilvl="8" w:tplc="7CD68B4E">
      <w:numFmt w:val="decimal"/>
      <w:lvlText w:val=""/>
      <w:lvlJc w:val="left"/>
    </w:lvl>
  </w:abstractNum>
  <w:abstractNum w:abstractNumId="938" w15:restartNumberingAfterBreak="0">
    <w:nsid w:val="486E591D"/>
    <w:multiLevelType w:val="hybridMultilevel"/>
    <w:tmpl w:val="EFE85DAE"/>
    <w:lvl w:ilvl="0" w:tplc="649894BA">
      <w:start w:val="1"/>
      <w:numFmt w:val="bullet"/>
      <w:lvlText w:val=""/>
      <w:lvlJc w:val="left"/>
      <w:pPr>
        <w:ind w:left="720" w:hanging="180"/>
      </w:pPr>
      <w:rPr>
        <w:rFonts w:ascii="Symbol" w:hAnsi="Symbol" w:hint="default"/>
      </w:rPr>
    </w:lvl>
    <w:lvl w:ilvl="1" w:tplc="0C98A28E">
      <w:numFmt w:val="decimal"/>
      <w:lvlText w:val=""/>
      <w:lvlJc w:val="left"/>
    </w:lvl>
    <w:lvl w:ilvl="2" w:tplc="C53AB50C">
      <w:numFmt w:val="decimal"/>
      <w:lvlText w:val=""/>
      <w:lvlJc w:val="left"/>
    </w:lvl>
    <w:lvl w:ilvl="3" w:tplc="283250B0">
      <w:numFmt w:val="decimal"/>
      <w:lvlText w:val=""/>
      <w:lvlJc w:val="left"/>
    </w:lvl>
    <w:lvl w:ilvl="4" w:tplc="FFC6F59A">
      <w:numFmt w:val="decimal"/>
      <w:lvlText w:val=""/>
      <w:lvlJc w:val="left"/>
    </w:lvl>
    <w:lvl w:ilvl="5" w:tplc="9B7698A4">
      <w:numFmt w:val="decimal"/>
      <w:lvlText w:val=""/>
      <w:lvlJc w:val="left"/>
    </w:lvl>
    <w:lvl w:ilvl="6" w:tplc="5C1AA678">
      <w:numFmt w:val="decimal"/>
      <w:lvlText w:val=""/>
      <w:lvlJc w:val="left"/>
    </w:lvl>
    <w:lvl w:ilvl="7" w:tplc="C29EC66E">
      <w:numFmt w:val="decimal"/>
      <w:lvlText w:val=""/>
      <w:lvlJc w:val="left"/>
    </w:lvl>
    <w:lvl w:ilvl="8" w:tplc="266E9304">
      <w:numFmt w:val="decimal"/>
      <w:lvlText w:val=""/>
      <w:lvlJc w:val="left"/>
    </w:lvl>
  </w:abstractNum>
  <w:abstractNum w:abstractNumId="939" w15:restartNumberingAfterBreak="0">
    <w:nsid w:val="48732776"/>
    <w:multiLevelType w:val="hybridMultilevel"/>
    <w:tmpl w:val="40DE0F44"/>
    <w:lvl w:ilvl="0" w:tplc="266C8592">
      <w:start w:val="1"/>
      <w:numFmt w:val="bullet"/>
      <w:lvlText w:val=""/>
      <w:lvlJc w:val="left"/>
      <w:pPr>
        <w:ind w:left="720" w:hanging="180"/>
      </w:pPr>
      <w:rPr>
        <w:rFonts w:ascii="Symbol" w:hAnsi="Symbol" w:hint="default"/>
      </w:rPr>
    </w:lvl>
    <w:lvl w:ilvl="1" w:tplc="927AB534">
      <w:numFmt w:val="decimal"/>
      <w:lvlText w:val=""/>
      <w:lvlJc w:val="left"/>
    </w:lvl>
    <w:lvl w:ilvl="2" w:tplc="0046CB0C">
      <w:numFmt w:val="decimal"/>
      <w:lvlText w:val=""/>
      <w:lvlJc w:val="left"/>
    </w:lvl>
    <w:lvl w:ilvl="3" w:tplc="3A38F184">
      <w:numFmt w:val="decimal"/>
      <w:lvlText w:val=""/>
      <w:lvlJc w:val="left"/>
    </w:lvl>
    <w:lvl w:ilvl="4" w:tplc="ED4AF614">
      <w:numFmt w:val="decimal"/>
      <w:lvlText w:val=""/>
      <w:lvlJc w:val="left"/>
    </w:lvl>
    <w:lvl w:ilvl="5" w:tplc="F98883F8">
      <w:numFmt w:val="decimal"/>
      <w:lvlText w:val=""/>
      <w:lvlJc w:val="left"/>
    </w:lvl>
    <w:lvl w:ilvl="6" w:tplc="4A6EE454">
      <w:numFmt w:val="decimal"/>
      <w:lvlText w:val=""/>
      <w:lvlJc w:val="left"/>
    </w:lvl>
    <w:lvl w:ilvl="7" w:tplc="F16682A8">
      <w:numFmt w:val="decimal"/>
      <w:lvlText w:val=""/>
      <w:lvlJc w:val="left"/>
    </w:lvl>
    <w:lvl w:ilvl="8" w:tplc="E29E6922">
      <w:numFmt w:val="decimal"/>
      <w:lvlText w:val=""/>
      <w:lvlJc w:val="left"/>
    </w:lvl>
  </w:abstractNum>
  <w:abstractNum w:abstractNumId="940" w15:restartNumberingAfterBreak="0">
    <w:nsid w:val="48744029"/>
    <w:multiLevelType w:val="hybridMultilevel"/>
    <w:tmpl w:val="5B3C9266"/>
    <w:lvl w:ilvl="0" w:tplc="CB4C9D7E">
      <w:start w:val="1"/>
      <w:numFmt w:val="bullet"/>
      <w:lvlText w:val=""/>
      <w:lvlJc w:val="left"/>
      <w:pPr>
        <w:ind w:left="720" w:hanging="180"/>
      </w:pPr>
      <w:rPr>
        <w:rFonts w:ascii="Symbol" w:hAnsi="Symbol" w:hint="default"/>
      </w:rPr>
    </w:lvl>
    <w:lvl w:ilvl="1" w:tplc="67021D94">
      <w:numFmt w:val="decimal"/>
      <w:lvlText w:val=""/>
      <w:lvlJc w:val="left"/>
    </w:lvl>
    <w:lvl w:ilvl="2" w:tplc="F8A8CCC6">
      <w:numFmt w:val="decimal"/>
      <w:lvlText w:val=""/>
      <w:lvlJc w:val="left"/>
    </w:lvl>
    <w:lvl w:ilvl="3" w:tplc="411A14DC">
      <w:numFmt w:val="decimal"/>
      <w:lvlText w:val=""/>
      <w:lvlJc w:val="left"/>
    </w:lvl>
    <w:lvl w:ilvl="4" w:tplc="7AF45FCC">
      <w:numFmt w:val="decimal"/>
      <w:lvlText w:val=""/>
      <w:lvlJc w:val="left"/>
    </w:lvl>
    <w:lvl w:ilvl="5" w:tplc="A7668904">
      <w:numFmt w:val="decimal"/>
      <w:lvlText w:val=""/>
      <w:lvlJc w:val="left"/>
    </w:lvl>
    <w:lvl w:ilvl="6" w:tplc="066A64A2">
      <w:numFmt w:val="decimal"/>
      <w:lvlText w:val=""/>
      <w:lvlJc w:val="left"/>
    </w:lvl>
    <w:lvl w:ilvl="7" w:tplc="0CEC0DAA">
      <w:numFmt w:val="decimal"/>
      <w:lvlText w:val=""/>
      <w:lvlJc w:val="left"/>
    </w:lvl>
    <w:lvl w:ilvl="8" w:tplc="92683BC4">
      <w:numFmt w:val="decimal"/>
      <w:lvlText w:val=""/>
      <w:lvlJc w:val="left"/>
    </w:lvl>
  </w:abstractNum>
  <w:abstractNum w:abstractNumId="941" w15:restartNumberingAfterBreak="0">
    <w:nsid w:val="48856CDA"/>
    <w:multiLevelType w:val="hybridMultilevel"/>
    <w:tmpl w:val="782CC084"/>
    <w:lvl w:ilvl="0" w:tplc="325EB77E">
      <w:start w:val="1"/>
      <w:numFmt w:val="bullet"/>
      <w:lvlText w:val=""/>
      <w:lvlJc w:val="left"/>
      <w:pPr>
        <w:ind w:left="720" w:hanging="180"/>
      </w:pPr>
      <w:rPr>
        <w:rFonts w:ascii="Symbol" w:hAnsi="Symbol" w:hint="default"/>
      </w:rPr>
    </w:lvl>
    <w:lvl w:ilvl="1" w:tplc="FE6ACA86">
      <w:numFmt w:val="decimal"/>
      <w:lvlText w:val=""/>
      <w:lvlJc w:val="left"/>
    </w:lvl>
    <w:lvl w:ilvl="2" w:tplc="1EAE5F76">
      <w:numFmt w:val="decimal"/>
      <w:lvlText w:val=""/>
      <w:lvlJc w:val="left"/>
    </w:lvl>
    <w:lvl w:ilvl="3" w:tplc="8DDCCCC4">
      <w:numFmt w:val="decimal"/>
      <w:lvlText w:val=""/>
      <w:lvlJc w:val="left"/>
    </w:lvl>
    <w:lvl w:ilvl="4" w:tplc="10F4B932">
      <w:numFmt w:val="decimal"/>
      <w:lvlText w:val=""/>
      <w:lvlJc w:val="left"/>
    </w:lvl>
    <w:lvl w:ilvl="5" w:tplc="4766A894">
      <w:numFmt w:val="decimal"/>
      <w:lvlText w:val=""/>
      <w:lvlJc w:val="left"/>
    </w:lvl>
    <w:lvl w:ilvl="6" w:tplc="DCB8408C">
      <w:numFmt w:val="decimal"/>
      <w:lvlText w:val=""/>
      <w:lvlJc w:val="left"/>
    </w:lvl>
    <w:lvl w:ilvl="7" w:tplc="A8322A5A">
      <w:numFmt w:val="decimal"/>
      <w:lvlText w:val=""/>
      <w:lvlJc w:val="left"/>
    </w:lvl>
    <w:lvl w:ilvl="8" w:tplc="0F9C3A76">
      <w:numFmt w:val="decimal"/>
      <w:lvlText w:val=""/>
      <w:lvlJc w:val="left"/>
    </w:lvl>
  </w:abstractNum>
  <w:abstractNum w:abstractNumId="942" w15:restartNumberingAfterBreak="0">
    <w:nsid w:val="489B2985"/>
    <w:multiLevelType w:val="hybridMultilevel"/>
    <w:tmpl w:val="366047CC"/>
    <w:lvl w:ilvl="0" w:tplc="CFC0766E">
      <w:start w:val="1"/>
      <w:numFmt w:val="bullet"/>
      <w:lvlText w:val=""/>
      <w:lvlJc w:val="left"/>
      <w:pPr>
        <w:ind w:left="720" w:hanging="180"/>
      </w:pPr>
      <w:rPr>
        <w:rFonts w:ascii="Symbol" w:hAnsi="Symbol" w:hint="default"/>
      </w:rPr>
    </w:lvl>
    <w:lvl w:ilvl="1" w:tplc="C1267356">
      <w:numFmt w:val="decimal"/>
      <w:lvlText w:val=""/>
      <w:lvlJc w:val="left"/>
    </w:lvl>
    <w:lvl w:ilvl="2" w:tplc="1FA432AA">
      <w:numFmt w:val="decimal"/>
      <w:lvlText w:val=""/>
      <w:lvlJc w:val="left"/>
    </w:lvl>
    <w:lvl w:ilvl="3" w:tplc="095ECB28">
      <w:numFmt w:val="decimal"/>
      <w:lvlText w:val=""/>
      <w:lvlJc w:val="left"/>
    </w:lvl>
    <w:lvl w:ilvl="4" w:tplc="4C70FD94">
      <w:numFmt w:val="decimal"/>
      <w:lvlText w:val=""/>
      <w:lvlJc w:val="left"/>
    </w:lvl>
    <w:lvl w:ilvl="5" w:tplc="B67A1184">
      <w:numFmt w:val="decimal"/>
      <w:lvlText w:val=""/>
      <w:lvlJc w:val="left"/>
    </w:lvl>
    <w:lvl w:ilvl="6" w:tplc="32B46A98">
      <w:numFmt w:val="decimal"/>
      <w:lvlText w:val=""/>
      <w:lvlJc w:val="left"/>
    </w:lvl>
    <w:lvl w:ilvl="7" w:tplc="D3FC00E4">
      <w:numFmt w:val="decimal"/>
      <w:lvlText w:val=""/>
      <w:lvlJc w:val="left"/>
    </w:lvl>
    <w:lvl w:ilvl="8" w:tplc="71289E92">
      <w:numFmt w:val="decimal"/>
      <w:lvlText w:val=""/>
      <w:lvlJc w:val="left"/>
    </w:lvl>
  </w:abstractNum>
  <w:abstractNum w:abstractNumId="943" w15:restartNumberingAfterBreak="0">
    <w:nsid w:val="48A81877"/>
    <w:multiLevelType w:val="hybridMultilevel"/>
    <w:tmpl w:val="9EE41482"/>
    <w:lvl w:ilvl="0" w:tplc="01E2937C">
      <w:start w:val="1"/>
      <w:numFmt w:val="bullet"/>
      <w:lvlText w:val=""/>
      <w:lvlJc w:val="left"/>
      <w:pPr>
        <w:ind w:left="720" w:hanging="180"/>
      </w:pPr>
      <w:rPr>
        <w:rFonts w:ascii="Symbol" w:hAnsi="Symbol" w:hint="default"/>
      </w:rPr>
    </w:lvl>
    <w:lvl w:ilvl="1" w:tplc="821860CE">
      <w:numFmt w:val="decimal"/>
      <w:lvlText w:val=""/>
      <w:lvlJc w:val="left"/>
    </w:lvl>
    <w:lvl w:ilvl="2" w:tplc="507ADC9E">
      <w:numFmt w:val="decimal"/>
      <w:lvlText w:val=""/>
      <w:lvlJc w:val="left"/>
    </w:lvl>
    <w:lvl w:ilvl="3" w:tplc="252A1E5E">
      <w:numFmt w:val="decimal"/>
      <w:lvlText w:val=""/>
      <w:lvlJc w:val="left"/>
    </w:lvl>
    <w:lvl w:ilvl="4" w:tplc="5F165760">
      <w:numFmt w:val="decimal"/>
      <w:lvlText w:val=""/>
      <w:lvlJc w:val="left"/>
    </w:lvl>
    <w:lvl w:ilvl="5" w:tplc="79005B3C">
      <w:numFmt w:val="decimal"/>
      <w:lvlText w:val=""/>
      <w:lvlJc w:val="left"/>
    </w:lvl>
    <w:lvl w:ilvl="6" w:tplc="7B642CFC">
      <w:numFmt w:val="decimal"/>
      <w:lvlText w:val=""/>
      <w:lvlJc w:val="left"/>
    </w:lvl>
    <w:lvl w:ilvl="7" w:tplc="11BC9964">
      <w:numFmt w:val="decimal"/>
      <w:lvlText w:val=""/>
      <w:lvlJc w:val="left"/>
    </w:lvl>
    <w:lvl w:ilvl="8" w:tplc="2BEA23D0">
      <w:numFmt w:val="decimal"/>
      <w:lvlText w:val=""/>
      <w:lvlJc w:val="left"/>
    </w:lvl>
  </w:abstractNum>
  <w:abstractNum w:abstractNumId="944" w15:restartNumberingAfterBreak="0">
    <w:nsid w:val="48D00DA9"/>
    <w:multiLevelType w:val="hybridMultilevel"/>
    <w:tmpl w:val="A2DA0908"/>
    <w:lvl w:ilvl="0" w:tplc="E50C7DF8">
      <w:start w:val="1"/>
      <w:numFmt w:val="bullet"/>
      <w:lvlText w:val=""/>
      <w:lvlJc w:val="left"/>
      <w:pPr>
        <w:ind w:left="720" w:hanging="180"/>
      </w:pPr>
      <w:rPr>
        <w:rFonts w:ascii="Symbol" w:hAnsi="Symbol" w:hint="default"/>
      </w:rPr>
    </w:lvl>
    <w:lvl w:ilvl="1" w:tplc="23502520">
      <w:numFmt w:val="decimal"/>
      <w:lvlText w:val=""/>
      <w:lvlJc w:val="left"/>
    </w:lvl>
    <w:lvl w:ilvl="2" w:tplc="93C0A886">
      <w:numFmt w:val="decimal"/>
      <w:lvlText w:val=""/>
      <w:lvlJc w:val="left"/>
    </w:lvl>
    <w:lvl w:ilvl="3" w:tplc="C6DED7FE">
      <w:numFmt w:val="decimal"/>
      <w:lvlText w:val=""/>
      <w:lvlJc w:val="left"/>
    </w:lvl>
    <w:lvl w:ilvl="4" w:tplc="D7F8D150">
      <w:numFmt w:val="decimal"/>
      <w:lvlText w:val=""/>
      <w:lvlJc w:val="left"/>
    </w:lvl>
    <w:lvl w:ilvl="5" w:tplc="AB8CA2E8">
      <w:numFmt w:val="decimal"/>
      <w:lvlText w:val=""/>
      <w:lvlJc w:val="left"/>
    </w:lvl>
    <w:lvl w:ilvl="6" w:tplc="2236C22A">
      <w:numFmt w:val="decimal"/>
      <w:lvlText w:val=""/>
      <w:lvlJc w:val="left"/>
    </w:lvl>
    <w:lvl w:ilvl="7" w:tplc="53C6694A">
      <w:numFmt w:val="decimal"/>
      <w:lvlText w:val=""/>
      <w:lvlJc w:val="left"/>
    </w:lvl>
    <w:lvl w:ilvl="8" w:tplc="A0A8F256">
      <w:numFmt w:val="decimal"/>
      <w:lvlText w:val=""/>
      <w:lvlJc w:val="left"/>
    </w:lvl>
  </w:abstractNum>
  <w:abstractNum w:abstractNumId="945" w15:restartNumberingAfterBreak="0">
    <w:nsid w:val="48D5516D"/>
    <w:multiLevelType w:val="hybridMultilevel"/>
    <w:tmpl w:val="169C9DB8"/>
    <w:lvl w:ilvl="0" w:tplc="39C471A2">
      <w:start w:val="1"/>
      <w:numFmt w:val="bullet"/>
      <w:lvlText w:val=""/>
      <w:lvlJc w:val="left"/>
      <w:pPr>
        <w:ind w:left="720" w:hanging="180"/>
      </w:pPr>
      <w:rPr>
        <w:rFonts w:ascii="Symbol" w:hAnsi="Symbol" w:hint="default"/>
      </w:rPr>
    </w:lvl>
    <w:lvl w:ilvl="1" w:tplc="DE7008AA">
      <w:numFmt w:val="decimal"/>
      <w:lvlText w:val=""/>
      <w:lvlJc w:val="left"/>
    </w:lvl>
    <w:lvl w:ilvl="2" w:tplc="B100C9F0">
      <w:numFmt w:val="decimal"/>
      <w:lvlText w:val=""/>
      <w:lvlJc w:val="left"/>
    </w:lvl>
    <w:lvl w:ilvl="3" w:tplc="9370AEE2">
      <w:numFmt w:val="decimal"/>
      <w:lvlText w:val=""/>
      <w:lvlJc w:val="left"/>
    </w:lvl>
    <w:lvl w:ilvl="4" w:tplc="BAB8D16E">
      <w:numFmt w:val="decimal"/>
      <w:lvlText w:val=""/>
      <w:lvlJc w:val="left"/>
    </w:lvl>
    <w:lvl w:ilvl="5" w:tplc="F84407D4">
      <w:numFmt w:val="decimal"/>
      <w:lvlText w:val=""/>
      <w:lvlJc w:val="left"/>
    </w:lvl>
    <w:lvl w:ilvl="6" w:tplc="C88AED06">
      <w:numFmt w:val="decimal"/>
      <w:lvlText w:val=""/>
      <w:lvlJc w:val="left"/>
    </w:lvl>
    <w:lvl w:ilvl="7" w:tplc="AA2496F2">
      <w:numFmt w:val="decimal"/>
      <w:lvlText w:val=""/>
      <w:lvlJc w:val="left"/>
    </w:lvl>
    <w:lvl w:ilvl="8" w:tplc="4E600E7E">
      <w:numFmt w:val="decimal"/>
      <w:lvlText w:val=""/>
      <w:lvlJc w:val="left"/>
    </w:lvl>
  </w:abstractNum>
  <w:abstractNum w:abstractNumId="946" w15:restartNumberingAfterBreak="0">
    <w:nsid w:val="48D72C7D"/>
    <w:multiLevelType w:val="hybridMultilevel"/>
    <w:tmpl w:val="CA360A2C"/>
    <w:lvl w:ilvl="0" w:tplc="BEE6019C">
      <w:numFmt w:val="decimal"/>
      <w:lvlText w:val=""/>
      <w:lvlJc w:val="left"/>
    </w:lvl>
    <w:lvl w:ilvl="1" w:tplc="11F6632E">
      <w:start w:val="1"/>
      <w:numFmt w:val="bullet"/>
      <w:lvlText w:val=""/>
      <w:lvlJc w:val="left"/>
      <w:pPr>
        <w:ind w:left="1440" w:hanging="180"/>
      </w:pPr>
      <w:rPr>
        <w:rFonts w:ascii="Symbol" w:hAnsi="Symbol" w:hint="default"/>
      </w:rPr>
    </w:lvl>
    <w:lvl w:ilvl="2" w:tplc="485C7AA4">
      <w:numFmt w:val="decimal"/>
      <w:lvlText w:val=""/>
      <w:lvlJc w:val="left"/>
    </w:lvl>
    <w:lvl w:ilvl="3" w:tplc="6ACA4C9E">
      <w:numFmt w:val="decimal"/>
      <w:lvlText w:val=""/>
      <w:lvlJc w:val="left"/>
    </w:lvl>
    <w:lvl w:ilvl="4" w:tplc="C00C301A">
      <w:numFmt w:val="decimal"/>
      <w:lvlText w:val=""/>
      <w:lvlJc w:val="left"/>
    </w:lvl>
    <w:lvl w:ilvl="5" w:tplc="D632BA66">
      <w:numFmt w:val="decimal"/>
      <w:lvlText w:val=""/>
      <w:lvlJc w:val="left"/>
    </w:lvl>
    <w:lvl w:ilvl="6" w:tplc="52BE97A2">
      <w:numFmt w:val="decimal"/>
      <w:lvlText w:val=""/>
      <w:lvlJc w:val="left"/>
    </w:lvl>
    <w:lvl w:ilvl="7" w:tplc="8D547AA2">
      <w:numFmt w:val="decimal"/>
      <w:lvlText w:val=""/>
      <w:lvlJc w:val="left"/>
    </w:lvl>
    <w:lvl w:ilvl="8" w:tplc="2D5A2AFA">
      <w:numFmt w:val="decimal"/>
      <w:lvlText w:val=""/>
      <w:lvlJc w:val="left"/>
    </w:lvl>
  </w:abstractNum>
  <w:abstractNum w:abstractNumId="947" w15:restartNumberingAfterBreak="0">
    <w:nsid w:val="48DE2653"/>
    <w:multiLevelType w:val="hybridMultilevel"/>
    <w:tmpl w:val="D0A4E042"/>
    <w:lvl w:ilvl="0" w:tplc="FF108BB2">
      <w:start w:val="1"/>
      <w:numFmt w:val="bullet"/>
      <w:lvlText w:val=""/>
      <w:lvlJc w:val="left"/>
      <w:pPr>
        <w:ind w:left="720" w:hanging="180"/>
      </w:pPr>
      <w:rPr>
        <w:rFonts w:ascii="Symbol" w:hAnsi="Symbol" w:hint="default"/>
      </w:rPr>
    </w:lvl>
    <w:lvl w:ilvl="1" w:tplc="D458B33A">
      <w:numFmt w:val="decimal"/>
      <w:lvlText w:val=""/>
      <w:lvlJc w:val="left"/>
    </w:lvl>
    <w:lvl w:ilvl="2" w:tplc="3C68D202">
      <w:numFmt w:val="decimal"/>
      <w:lvlText w:val=""/>
      <w:lvlJc w:val="left"/>
    </w:lvl>
    <w:lvl w:ilvl="3" w:tplc="3B28D1B8">
      <w:numFmt w:val="decimal"/>
      <w:lvlText w:val=""/>
      <w:lvlJc w:val="left"/>
    </w:lvl>
    <w:lvl w:ilvl="4" w:tplc="080C2394">
      <w:numFmt w:val="decimal"/>
      <w:lvlText w:val=""/>
      <w:lvlJc w:val="left"/>
    </w:lvl>
    <w:lvl w:ilvl="5" w:tplc="485ED144">
      <w:numFmt w:val="decimal"/>
      <w:lvlText w:val=""/>
      <w:lvlJc w:val="left"/>
    </w:lvl>
    <w:lvl w:ilvl="6" w:tplc="92FE7FA4">
      <w:numFmt w:val="decimal"/>
      <w:lvlText w:val=""/>
      <w:lvlJc w:val="left"/>
    </w:lvl>
    <w:lvl w:ilvl="7" w:tplc="35846B5E">
      <w:numFmt w:val="decimal"/>
      <w:lvlText w:val=""/>
      <w:lvlJc w:val="left"/>
    </w:lvl>
    <w:lvl w:ilvl="8" w:tplc="845C5DFC">
      <w:numFmt w:val="decimal"/>
      <w:lvlText w:val=""/>
      <w:lvlJc w:val="left"/>
    </w:lvl>
  </w:abstractNum>
  <w:abstractNum w:abstractNumId="948" w15:restartNumberingAfterBreak="0">
    <w:nsid w:val="48E415E0"/>
    <w:multiLevelType w:val="hybridMultilevel"/>
    <w:tmpl w:val="C456AA70"/>
    <w:lvl w:ilvl="0" w:tplc="15D4C1AC">
      <w:start w:val="1"/>
      <w:numFmt w:val="bullet"/>
      <w:lvlText w:val=""/>
      <w:lvlJc w:val="left"/>
      <w:pPr>
        <w:ind w:left="720" w:hanging="180"/>
      </w:pPr>
      <w:rPr>
        <w:rFonts w:ascii="Symbol" w:hAnsi="Symbol" w:hint="default"/>
      </w:rPr>
    </w:lvl>
    <w:lvl w:ilvl="1" w:tplc="9AC4EEAA">
      <w:numFmt w:val="decimal"/>
      <w:lvlText w:val=""/>
      <w:lvlJc w:val="left"/>
    </w:lvl>
    <w:lvl w:ilvl="2" w:tplc="78B8B3DC">
      <w:numFmt w:val="decimal"/>
      <w:lvlText w:val=""/>
      <w:lvlJc w:val="left"/>
    </w:lvl>
    <w:lvl w:ilvl="3" w:tplc="6BF8A9B6">
      <w:numFmt w:val="decimal"/>
      <w:lvlText w:val=""/>
      <w:lvlJc w:val="left"/>
    </w:lvl>
    <w:lvl w:ilvl="4" w:tplc="278A3A42">
      <w:numFmt w:val="decimal"/>
      <w:lvlText w:val=""/>
      <w:lvlJc w:val="left"/>
    </w:lvl>
    <w:lvl w:ilvl="5" w:tplc="45DEB04C">
      <w:numFmt w:val="decimal"/>
      <w:lvlText w:val=""/>
      <w:lvlJc w:val="left"/>
    </w:lvl>
    <w:lvl w:ilvl="6" w:tplc="F580C41C">
      <w:numFmt w:val="decimal"/>
      <w:lvlText w:val=""/>
      <w:lvlJc w:val="left"/>
    </w:lvl>
    <w:lvl w:ilvl="7" w:tplc="D9FC1096">
      <w:numFmt w:val="decimal"/>
      <w:lvlText w:val=""/>
      <w:lvlJc w:val="left"/>
    </w:lvl>
    <w:lvl w:ilvl="8" w:tplc="CCBAAE5A">
      <w:numFmt w:val="decimal"/>
      <w:lvlText w:val=""/>
      <w:lvlJc w:val="left"/>
    </w:lvl>
  </w:abstractNum>
  <w:abstractNum w:abstractNumId="949" w15:restartNumberingAfterBreak="0">
    <w:nsid w:val="48F051F6"/>
    <w:multiLevelType w:val="hybridMultilevel"/>
    <w:tmpl w:val="0F64AD2E"/>
    <w:lvl w:ilvl="0" w:tplc="6366A930">
      <w:start w:val="1"/>
      <w:numFmt w:val="bullet"/>
      <w:lvlText w:val=""/>
      <w:lvlJc w:val="left"/>
      <w:pPr>
        <w:ind w:left="720" w:hanging="180"/>
      </w:pPr>
      <w:rPr>
        <w:rFonts w:ascii="Symbol" w:hAnsi="Symbol" w:hint="default"/>
      </w:rPr>
    </w:lvl>
    <w:lvl w:ilvl="1" w:tplc="3BAED7DC">
      <w:numFmt w:val="decimal"/>
      <w:lvlText w:val=""/>
      <w:lvlJc w:val="left"/>
    </w:lvl>
    <w:lvl w:ilvl="2" w:tplc="972C1EE6">
      <w:numFmt w:val="decimal"/>
      <w:lvlText w:val=""/>
      <w:lvlJc w:val="left"/>
    </w:lvl>
    <w:lvl w:ilvl="3" w:tplc="C9D803C8">
      <w:numFmt w:val="decimal"/>
      <w:lvlText w:val=""/>
      <w:lvlJc w:val="left"/>
    </w:lvl>
    <w:lvl w:ilvl="4" w:tplc="603A093A">
      <w:numFmt w:val="decimal"/>
      <w:lvlText w:val=""/>
      <w:lvlJc w:val="left"/>
    </w:lvl>
    <w:lvl w:ilvl="5" w:tplc="6BD4FEF6">
      <w:numFmt w:val="decimal"/>
      <w:lvlText w:val=""/>
      <w:lvlJc w:val="left"/>
    </w:lvl>
    <w:lvl w:ilvl="6" w:tplc="AFB422B2">
      <w:numFmt w:val="decimal"/>
      <w:lvlText w:val=""/>
      <w:lvlJc w:val="left"/>
    </w:lvl>
    <w:lvl w:ilvl="7" w:tplc="5C6C1D9E">
      <w:numFmt w:val="decimal"/>
      <w:lvlText w:val=""/>
      <w:lvlJc w:val="left"/>
    </w:lvl>
    <w:lvl w:ilvl="8" w:tplc="A90251F4">
      <w:numFmt w:val="decimal"/>
      <w:lvlText w:val=""/>
      <w:lvlJc w:val="left"/>
    </w:lvl>
  </w:abstractNum>
  <w:abstractNum w:abstractNumId="950" w15:restartNumberingAfterBreak="0">
    <w:nsid w:val="491744BA"/>
    <w:multiLevelType w:val="hybridMultilevel"/>
    <w:tmpl w:val="9E165F2C"/>
    <w:lvl w:ilvl="0" w:tplc="8E4C9870">
      <w:numFmt w:val="decimal"/>
      <w:lvlText w:val=""/>
      <w:lvlJc w:val="left"/>
    </w:lvl>
    <w:lvl w:ilvl="1" w:tplc="A6AE1440">
      <w:start w:val="1"/>
      <w:numFmt w:val="bullet"/>
      <w:lvlText w:val=""/>
      <w:lvlJc w:val="left"/>
      <w:pPr>
        <w:ind w:left="1440" w:hanging="180"/>
      </w:pPr>
      <w:rPr>
        <w:rFonts w:ascii="Symbol" w:hAnsi="Symbol" w:hint="default"/>
      </w:rPr>
    </w:lvl>
    <w:lvl w:ilvl="2" w:tplc="226A8E5E">
      <w:numFmt w:val="decimal"/>
      <w:lvlText w:val=""/>
      <w:lvlJc w:val="left"/>
    </w:lvl>
    <w:lvl w:ilvl="3" w:tplc="452E72D8">
      <w:numFmt w:val="decimal"/>
      <w:lvlText w:val=""/>
      <w:lvlJc w:val="left"/>
    </w:lvl>
    <w:lvl w:ilvl="4" w:tplc="66FEB55E">
      <w:numFmt w:val="decimal"/>
      <w:lvlText w:val=""/>
      <w:lvlJc w:val="left"/>
    </w:lvl>
    <w:lvl w:ilvl="5" w:tplc="65AAA54A">
      <w:numFmt w:val="decimal"/>
      <w:lvlText w:val=""/>
      <w:lvlJc w:val="left"/>
    </w:lvl>
    <w:lvl w:ilvl="6" w:tplc="93187F1A">
      <w:numFmt w:val="decimal"/>
      <w:lvlText w:val=""/>
      <w:lvlJc w:val="left"/>
    </w:lvl>
    <w:lvl w:ilvl="7" w:tplc="7F78B9AC">
      <w:numFmt w:val="decimal"/>
      <w:lvlText w:val=""/>
      <w:lvlJc w:val="left"/>
    </w:lvl>
    <w:lvl w:ilvl="8" w:tplc="7A18801E">
      <w:numFmt w:val="decimal"/>
      <w:lvlText w:val=""/>
      <w:lvlJc w:val="left"/>
    </w:lvl>
  </w:abstractNum>
  <w:abstractNum w:abstractNumId="951" w15:restartNumberingAfterBreak="0">
    <w:nsid w:val="492C5019"/>
    <w:multiLevelType w:val="hybridMultilevel"/>
    <w:tmpl w:val="28F0CE5E"/>
    <w:lvl w:ilvl="0" w:tplc="7598BB26">
      <w:start w:val="1"/>
      <w:numFmt w:val="bullet"/>
      <w:lvlText w:val=""/>
      <w:lvlJc w:val="left"/>
      <w:pPr>
        <w:ind w:left="720" w:hanging="180"/>
      </w:pPr>
      <w:rPr>
        <w:rFonts w:ascii="Symbol" w:hAnsi="Symbol" w:hint="default"/>
      </w:rPr>
    </w:lvl>
    <w:lvl w:ilvl="1" w:tplc="4640758A">
      <w:numFmt w:val="decimal"/>
      <w:lvlText w:val=""/>
      <w:lvlJc w:val="left"/>
    </w:lvl>
    <w:lvl w:ilvl="2" w:tplc="C8783340">
      <w:numFmt w:val="decimal"/>
      <w:lvlText w:val=""/>
      <w:lvlJc w:val="left"/>
    </w:lvl>
    <w:lvl w:ilvl="3" w:tplc="84BCB1B2">
      <w:numFmt w:val="decimal"/>
      <w:lvlText w:val=""/>
      <w:lvlJc w:val="left"/>
    </w:lvl>
    <w:lvl w:ilvl="4" w:tplc="7098E0F6">
      <w:numFmt w:val="decimal"/>
      <w:lvlText w:val=""/>
      <w:lvlJc w:val="left"/>
    </w:lvl>
    <w:lvl w:ilvl="5" w:tplc="D4AAF4DA">
      <w:numFmt w:val="decimal"/>
      <w:lvlText w:val=""/>
      <w:lvlJc w:val="left"/>
    </w:lvl>
    <w:lvl w:ilvl="6" w:tplc="1870F026">
      <w:numFmt w:val="decimal"/>
      <w:lvlText w:val=""/>
      <w:lvlJc w:val="left"/>
    </w:lvl>
    <w:lvl w:ilvl="7" w:tplc="8EFCE9E6">
      <w:numFmt w:val="decimal"/>
      <w:lvlText w:val=""/>
      <w:lvlJc w:val="left"/>
    </w:lvl>
    <w:lvl w:ilvl="8" w:tplc="A6161FBC">
      <w:numFmt w:val="decimal"/>
      <w:lvlText w:val=""/>
      <w:lvlJc w:val="left"/>
    </w:lvl>
  </w:abstractNum>
  <w:abstractNum w:abstractNumId="952" w15:restartNumberingAfterBreak="0">
    <w:nsid w:val="499812CC"/>
    <w:multiLevelType w:val="hybridMultilevel"/>
    <w:tmpl w:val="B9240CB4"/>
    <w:lvl w:ilvl="0" w:tplc="968C1E76">
      <w:start w:val="1"/>
      <w:numFmt w:val="bullet"/>
      <w:lvlText w:val=""/>
      <w:lvlJc w:val="left"/>
      <w:pPr>
        <w:ind w:left="720" w:hanging="180"/>
      </w:pPr>
      <w:rPr>
        <w:rFonts w:ascii="Symbol" w:hAnsi="Symbol" w:hint="default"/>
      </w:rPr>
    </w:lvl>
    <w:lvl w:ilvl="1" w:tplc="E39A497C">
      <w:numFmt w:val="decimal"/>
      <w:lvlText w:val=""/>
      <w:lvlJc w:val="left"/>
    </w:lvl>
    <w:lvl w:ilvl="2" w:tplc="882CA4F6">
      <w:numFmt w:val="decimal"/>
      <w:lvlText w:val=""/>
      <w:lvlJc w:val="left"/>
    </w:lvl>
    <w:lvl w:ilvl="3" w:tplc="F4A86158">
      <w:numFmt w:val="decimal"/>
      <w:lvlText w:val=""/>
      <w:lvlJc w:val="left"/>
    </w:lvl>
    <w:lvl w:ilvl="4" w:tplc="C9682202">
      <w:numFmt w:val="decimal"/>
      <w:lvlText w:val=""/>
      <w:lvlJc w:val="left"/>
    </w:lvl>
    <w:lvl w:ilvl="5" w:tplc="1C6A707E">
      <w:numFmt w:val="decimal"/>
      <w:lvlText w:val=""/>
      <w:lvlJc w:val="left"/>
    </w:lvl>
    <w:lvl w:ilvl="6" w:tplc="14929C1A">
      <w:numFmt w:val="decimal"/>
      <w:lvlText w:val=""/>
      <w:lvlJc w:val="left"/>
    </w:lvl>
    <w:lvl w:ilvl="7" w:tplc="1884F0C2">
      <w:numFmt w:val="decimal"/>
      <w:lvlText w:val=""/>
      <w:lvlJc w:val="left"/>
    </w:lvl>
    <w:lvl w:ilvl="8" w:tplc="04B87324">
      <w:numFmt w:val="decimal"/>
      <w:lvlText w:val=""/>
      <w:lvlJc w:val="left"/>
    </w:lvl>
  </w:abstractNum>
  <w:abstractNum w:abstractNumId="953" w15:restartNumberingAfterBreak="0">
    <w:nsid w:val="49B27899"/>
    <w:multiLevelType w:val="hybridMultilevel"/>
    <w:tmpl w:val="B290B636"/>
    <w:lvl w:ilvl="0" w:tplc="DEB41DE2">
      <w:start w:val="1"/>
      <w:numFmt w:val="bullet"/>
      <w:lvlText w:val=""/>
      <w:lvlJc w:val="left"/>
      <w:pPr>
        <w:ind w:left="720" w:hanging="180"/>
      </w:pPr>
      <w:rPr>
        <w:rFonts w:ascii="Symbol" w:hAnsi="Symbol" w:hint="default"/>
      </w:rPr>
    </w:lvl>
    <w:lvl w:ilvl="1" w:tplc="CFDA7FC8">
      <w:numFmt w:val="decimal"/>
      <w:lvlText w:val=""/>
      <w:lvlJc w:val="left"/>
    </w:lvl>
    <w:lvl w:ilvl="2" w:tplc="A3A2E600">
      <w:numFmt w:val="decimal"/>
      <w:lvlText w:val=""/>
      <w:lvlJc w:val="left"/>
    </w:lvl>
    <w:lvl w:ilvl="3" w:tplc="284C48AC">
      <w:numFmt w:val="decimal"/>
      <w:lvlText w:val=""/>
      <w:lvlJc w:val="left"/>
    </w:lvl>
    <w:lvl w:ilvl="4" w:tplc="658AEA9C">
      <w:numFmt w:val="decimal"/>
      <w:lvlText w:val=""/>
      <w:lvlJc w:val="left"/>
    </w:lvl>
    <w:lvl w:ilvl="5" w:tplc="29EE0C30">
      <w:numFmt w:val="decimal"/>
      <w:lvlText w:val=""/>
      <w:lvlJc w:val="left"/>
    </w:lvl>
    <w:lvl w:ilvl="6" w:tplc="090E9820">
      <w:numFmt w:val="decimal"/>
      <w:lvlText w:val=""/>
      <w:lvlJc w:val="left"/>
    </w:lvl>
    <w:lvl w:ilvl="7" w:tplc="9912E29E">
      <w:numFmt w:val="decimal"/>
      <w:lvlText w:val=""/>
      <w:lvlJc w:val="left"/>
    </w:lvl>
    <w:lvl w:ilvl="8" w:tplc="7D92B916">
      <w:numFmt w:val="decimal"/>
      <w:lvlText w:val=""/>
      <w:lvlJc w:val="left"/>
    </w:lvl>
  </w:abstractNum>
  <w:abstractNum w:abstractNumId="954" w15:restartNumberingAfterBreak="0">
    <w:nsid w:val="49BE35DD"/>
    <w:multiLevelType w:val="hybridMultilevel"/>
    <w:tmpl w:val="4858BF8E"/>
    <w:lvl w:ilvl="0" w:tplc="3DE25524">
      <w:start w:val="1"/>
      <w:numFmt w:val="bullet"/>
      <w:lvlText w:val=""/>
      <w:lvlJc w:val="left"/>
      <w:pPr>
        <w:ind w:left="720" w:hanging="180"/>
      </w:pPr>
      <w:rPr>
        <w:rFonts w:ascii="Symbol" w:hAnsi="Symbol" w:hint="default"/>
      </w:rPr>
    </w:lvl>
    <w:lvl w:ilvl="1" w:tplc="A6768FF2">
      <w:numFmt w:val="decimal"/>
      <w:lvlText w:val=""/>
      <w:lvlJc w:val="left"/>
    </w:lvl>
    <w:lvl w:ilvl="2" w:tplc="BE4C1008">
      <w:numFmt w:val="decimal"/>
      <w:lvlText w:val=""/>
      <w:lvlJc w:val="left"/>
    </w:lvl>
    <w:lvl w:ilvl="3" w:tplc="48CC465C">
      <w:numFmt w:val="decimal"/>
      <w:lvlText w:val=""/>
      <w:lvlJc w:val="left"/>
    </w:lvl>
    <w:lvl w:ilvl="4" w:tplc="98BC013A">
      <w:numFmt w:val="decimal"/>
      <w:lvlText w:val=""/>
      <w:lvlJc w:val="left"/>
    </w:lvl>
    <w:lvl w:ilvl="5" w:tplc="7974CF82">
      <w:numFmt w:val="decimal"/>
      <w:lvlText w:val=""/>
      <w:lvlJc w:val="left"/>
    </w:lvl>
    <w:lvl w:ilvl="6" w:tplc="5442EA96">
      <w:numFmt w:val="decimal"/>
      <w:lvlText w:val=""/>
      <w:lvlJc w:val="left"/>
    </w:lvl>
    <w:lvl w:ilvl="7" w:tplc="3D345F82">
      <w:numFmt w:val="decimal"/>
      <w:lvlText w:val=""/>
      <w:lvlJc w:val="left"/>
    </w:lvl>
    <w:lvl w:ilvl="8" w:tplc="71BA5596">
      <w:numFmt w:val="decimal"/>
      <w:lvlText w:val=""/>
      <w:lvlJc w:val="left"/>
    </w:lvl>
  </w:abstractNum>
  <w:abstractNum w:abstractNumId="955" w15:restartNumberingAfterBreak="0">
    <w:nsid w:val="49C5451C"/>
    <w:multiLevelType w:val="hybridMultilevel"/>
    <w:tmpl w:val="095A03F6"/>
    <w:lvl w:ilvl="0" w:tplc="521419FE">
      <w:start w:val="1"/>
      <w:numFmt w:val="bullet"/>
      <w:lvlText w:val=""/>
      <w:lvlJc w:val="left"/>
      <w:pPr>
        <w:ind w:left="720" w:hanging="180"/>
      </w:pPr>
      <w:rPr>
        <w:rFonts w:ascii="Symbol" w:hAnsi="Symbol" w:hint="default"/>
      </w:rPr>
    </w:lvl>
    <w:lvl w:ilvl="1" w:tplc="9C04B96C">
      <w:numFmt w:val="decimal"/>
      <w:lvlText w:val=""/>
      <w:lvlJc w:val="left"/>
    </w:lvl>
    <w:lvl w:ilvl="2" w:tplc="00D09D2A">
      <w:numFmt w:val="decimal"/>
      <w:lvlText w:val=""/>
      <w:lvlJc w:val="left"/>
    </w:lvl>
    <w:lvl w:ilvl="3" w:tplc="E2187580">
      <w:numFmt w:val="decimal"/>
      <w:lvlText w:val=""/>
      <w:lvlJc w:val="left"/>
    </w:lvl>
    <w:lvl w:ilvl="4" w:tplc="38383620">
      <w:numFmt w:val="decimal"/>
      <w:lvlText w:val=""/>
      <w:lvlJc w:val="left"/>
    </w:lvl>
    <w:lvl w:ilvl="5" w:tplc="D4A453EE">
      <w:numFmt w:val="decimal"/>
      <w:lvlText w:val=""/>
      <w:lvlJc w:val="left"/>
    </w:lvl>
    <w:lvl w:ilvl="6" w:tplc="61D20E36">
      <w:numFmt w:val="decimal"/>
      <w:lvlText w:val=""/>
      <w:lvlJc w:val="left"/>
    </w:lvl>
    <w:lvl w:ilvl="7" w:tplc="A9303902">
      <w:numFmt w:val="decimal"/>
      <w:lvlText w:val=""/>
      <w:lvlJc w:val="left"/>
    </w:lvl>
    <w:lvl w:ilvl="8" w:tplc="7AC0AEC4">
      <w:numFmt w:val="decimal"/>
      <w:lvlText w:val=""/>
      <w:lvlJc w:val="left"/>
    </w:lvl>
  </w:abstractNum>
  <w:abstractNum w:abstractNumId="956" w15:restartNumberingAfterBreak="0">
    <w:nsid w:val="49CD031F"/>
    <w:multiLevelType w:val="hybridMultilevel"/>
    <w:tmpl w:val="CA4E8C6C"/>
    <w:lvl w:ilvl="0" w:tplc="8500E2B8">
      <w:start w:val="1"/>
      <w:numFmt w:val="bullet"/>
      <w:lvlText w:val=""/>
      <w:lvlJc w:val="left"/>
      <w:pPr>
        <w:ind w:left="720" w:hanging="180"/>
      </w:pPr>
      <w:rPr>
        <w:rFonts w:ascii="Symbol" w:hAnsi="Symbol" w:hint="default"/>
      </w:rPr>
    </w:lvl>
    <w:lvl w:ilvl="1" w:tplc="35E861B4">
      <w:numFmt w:val="decimal"/>
      <w:lvlText w:val=""/>
      <w:lvlJc w:val="left"/>
    </w:lvl>
    <w:lvl w:ilvl="2" w:tplc="955088E8">
      <w:numFmt w:val="decimal"/>
      <w:lvlText w:val=""/>
      <w:lvlJc w:val="left"/>
    </w:lvl>
    <w:lvl w:ilvl="3" w:tplc="9A10D42C">
      <w:numFmt w:val="decimal"/>
      <w:lvlText w:val=""/>
      <w:lvlJc w:val="left"/>
    </w:lvl>
    <w:lvl w:ilvl="4" w:tplc="311C899C">
      <w:numFmt w:val="decimal"/>
      <w:lvlText w:val=""/>
      <w:lvlJc w:val="left"/>
    </w:lvl>
    <w:lvl w:ilvl="5" w:tplc="86B41926">
      <w:numFmt w:val="decimal"/>
      <w:lvlText w:val=""/>
      <w:lvlJc w:val="left"/>
    </w:lvl>
    <w:lvl w:ilvl="6" w:tplc="3A66B9C2">
      <w:numFmt w:val="decimal"/>
      <w:lvlText w:val=""/>
      <w:lvlJc w:val="left"/>
    </w:lvl>
    <w:lvl w:ilvl="7" w:tplc="CB761FB8">
      <w:numFmt w:val="decimal"/>
      <w:lvlText w:val=""/>
      <w:lvlJc w:val="left"/>
    </w:lvl>
    <w:lvl w:ilvl="8" w:tplc="45FEA740">
      <w:numFmt w:val="decimal"/>
      <w:lvlText w:val=""/>
      <w:lvlJc w:val="left"/>
    </w:lvl>
  </w:abstractNum>
  <w:abstractNum w:abstractNumId="957" w15:restartNumberingAfterBreak="0">
    <w:nsid w:val="49D067F1"/>
    <w:multiLevelType w:val="hybridMultilevel"/>
    <w:tmpl w:val="B200267A"/>
    <w:lvl w:ilvl="0" w:tplc="6CEE4236">
      <w:numFmt w:val="decimal"/>
      <w:lvlText w:val=""/>
      <w:lvlJc w:val="left"/>
    </w:lvl>
    <w:lvl w:ilvl="1" w:tplc="665C3220">
      <w:start w:val="1"/>
      <w:numFmt w:val="bullet"/>
      <w:lvlText w:val=""/>
      <w:lvlJc w:val="left"/>
      <w:pPr>
        <w:ind w:left="1440" w:hanging="180"/>
      </w:pPr>
      <w:rPr>
        <w:rFonts w:ascii="Symbol" w:hAnsi="Symbol" w:hint="default"/>
      </w:rPr>
    </w:lvl>
    <w:lvl w:ilvl="2" w:tplc="6056474E">
      <w:numFmt w:val="decimal"/>
      <w:lvlText w:val=""/>
      <w:lvlJc w:val="left"/>
    </w:lvl>
    <w:lvl w:ilvl="3" w:tplc="FEA6E600">
      <w:numFmt w:val="decimal"/>
      <w:lvlText w:val=""/>
      <w:lvlJc w:val="left"/>
    </w:lvl>
    <w:lvl w:ilvl="4" w:tplc="24728CDA">
      <w:numFmt w:val="decimal"/>
      <w:lvlText w:val=""/>
      <w:lvlJc w:val="left"/>
    </w:lvl>
    <w:lvl w:ilvl="5" w:tplc="1324BA40">
      <w:numFmt w:val="decimal"/>
      <w:lvlText w:val=""/>
      <w:lvlJc w:val="left"/>
    </w:lvl>
    <w:lvl w:ilvl="6" w:tplc="981E1C5E">
      <w:numFmt w:val="decimal"/>
      <w:lvlText w:val=""/>
      <w:lvlJc w:val="left"/>
    </w:lvl>
    <w:lvl w:ilvl="7" w:tplc="B8B69D56">
      <w:numFmt w:val="decimal"/>
      <w:lvlText w:val=""/>
      <w:lvlJc w:val="left"/>
    </w:lvl>
    <w:lvl w:ilvl="8" w:tplc="67D24FD6">
      <w:numFmt w:val="decimal"/>
      <w:lvlText w:val=""/>
      <w:lvlJc w:val="left"/>
    </w:lvl>
  </w:abstractNum>
  <w:abstractNum w:abstractNumId="958" w15:restartNumberingAfterBreak="0">
    <w:nsid w:val="49E22BB3"/>
    <w:multiLevelType w:val="hybridMultilevel"/>
    <w:tmpl w:val="4CE07F96"/>
    <w:lvl w:ilvl="0" w:tplc="425C324A">
      <w:start w:val="1"/>
      <w:numFmt w:val="bullet"/>
      <w:lvlText w:val=""/>
      <w:lvlJc w:val="left"/>
      <w:pPr>
        <w:ind w:left="720" w:hanging="180"/>
      </w:pPr>
      <w:rPr>
        <w:rFonts w:ascii="Symbol" w:hAnsi="Symbol" w:hint="default"/>
      </w:rPr>
    </w:lvl>
    <w:lvl w:ilvl="1" w:tplc="A11E8516">
      <w:numFmt w:val="decimal"/>
      <w:lvlText w:val=""/>
      <w:lvlJc w:val="left"/>
    </w:lvl>
    <w:lvl w:ilvl="2" w:tplc="FF46E8F4">
      <w:numFmt w:val="decimal"/>
      <w:lvlText w:val=""/>
      <w:lvlJc w:val="left"/>
    </w:lvl>
    <w:lvl w:ilvl="3" w:tplc="906C0916">
      <w:numFmt w:val="decimal"/>
      <w:lvlText w:val=""/>
      <w:lvlJc w:val="left"/>
    </w:lvl>
    <w:lvl w:ilvl="4" w:tplc="E84C3D78">
      <w:numFmt w:val="decimal"/>
      <w:lvlText w:val=""/>
      <w:lvlJc w:val="left"/>
    </w:lvl>
    <w:lvl w:ilvl="5" w:tplc="8FE60852">
      <w:numFmt w:val="decimal"/>
      <w:lvlText w:val=""/>
      <w:lvlJc w:val="left"/>
    </w:lvl>
    <w:lvl w:ilvl="6" w:tplc="8E7498C2">
      <w:numFmt w:val="decimal"/>
      <w:lvlText w:val=""/>
      <w:lvlJc w:val="left"/>
    </w:lvl>
    <w:lvl w:ilvl="7" w:tplc="B69272C0">
      <w:numFmt w:val="decimal"/>
      <w:lvlText w:val=""/>
      <w:lvlJc w:val="left"/>
    </w:lvl>
    <w:lvl w:ilvl="8" w:tplc="95AA0792">
      <w:numFmt w:val="decimal"/>
      <w:lvlText w:val=""/>
      <w:lvlJc w:val="left"/>
    </w:lvl>
  </w:abstractNum>
  <w:abstractNum w:abstractNumId="959" w15:restartNumberingAfterBreak="0">
    <w:nsid w:val="49E75C7F"/>
    <w:multiLevelType w:val="hybridMultilevel"/>
    <w:tmpl w:val="844CE734"/>
    <w:lvl w:ilvl="0" w:tplc="569AE332">
      <w:numFmt w:val="decimal"/>
      <w:lvlText w:val=""/>
      <w:lvlJc w:val="left"/>
    </w:lvl>
    <w:lvl w:ilvl="1" w:tplc="9EBE54A0">
      <w:start w:val="1"/>
      <w:numFmt w:val="bullet"/>
      <w:lvlText w:val=""/>
      <w:lvlJc w:val="left"/>
      <w:pPr>
        <w:ind w:left="1440" w:hanging="180"/>
      </w:pPr>
      <w:rPr>
        <w:rFonts w:ascii="Symbol" w:hAnsi="Symbol" w:hint="default"/>
      </w:rPr>
    </w:lvl>
    <w:lvl w:ilvl="2" w:tplc="F7343FA6">
      <w:numFmt w:val="decimal"/>
      <w:lvlText w:val=""/>
      <w:lvlJc w:val="left"/>
    </w:lvl>
    <w:lvl w:ilvl="3" w:tplc="382EBDD4">
      <w:numFmt w:val="decimal"/>
      <w:lvlText w:val=""/>
      <w:lvlJc w:val="left"/>
    </w:lvl>
    <w:lvl w:ilvl="4" w:tplc="081208D2">
      <w:numFmt w:val="decimal"/>
      <w:lvlText w:val=""/>
      <w:lvlJc w:val="left"/>
    </w:lvl>
    <w:lvl w:ilvl="5" w:tplc="BA0E452A">
      <w:numFmt w:val="decimal"/>
      <w:lvlText w:val=""/>
      <w:lvlJc w:val="left"/>
    </w:lvl>
    <w:lvl w:ilvl="6" w:tplc="B4826E20">
      <w:numFmt w:val="decimal"/>
      <w:lvlText w:val=""/>
      <w:lvlJc w:val="left"/>
    </w:lvl>
    <w:lvl w:ilvl="7" w:tplc="5AAAC960">
      <w:numFmt w:val="decimal"/>
      <w:lvlText w:val=""/>
      <w:lvlJc w:val="left"/>
    </w:lvl>
    <w:lvl w:ilvl="8" w:tplc="ECF2BE0E">
      <w:numFmt w:val="decimal"/>
      <w:lvlText w:val=""/>
      <w:lvlJc w:val="left"/>
    </w:lvl>
  </w:abstractNum>
  <w:abstractNum w:abstractNumId="960" w15:restartNumberingAfterBreak="0">
    <w:nsid w:val="49FB7584"/>
    <w:multiLevelType w:val="hybridMultilevel"/>
    <w:tmpl w:val="491415F4"/>
    <w:lvl w:ilvl="0" w:tplc="720A5C30">
      <w:start w:val="1"/>
      <w:numFmt w:val="bullet"/>
      <w:lvlText w:val=""/>
      <w:lvlJc w:val="left"/>
      <w:pPr>
        <w:ind w:left="720" w:hanging="180"/>
      </w:pPr>
      <w:rPr>
        <w:rFonts w:ascii="Symbol" w:hAnsi="Symbol" w:hint="default"/>
      </w:rPr>
    </w:lvl>
    <w:lvl w:ilvl="1" w:tplc="34AAC7BA">
      <w:numFmt w:val="decimal"/>
      <w:lvlText w:val=""/>
      <w:lvlJc w:val="left"/>
    </w:lvl>
    <w:lvl w:ilvl="2" w:tplc="D3888340">
      <w:numFmt w:val="decimal"/>
      <w:lvlText w:val=""/>
      <w:lvlJc w:val="left"/>
    </w:lvl>
    <w:lvl w:ilvl="3" w:tplc="A6303034">
      <w:numFmt w:val="decimal"/>
      <w:lvlText w:val=""/>
      <w:lvlJc w:val="left"/>
    </w:lvl>
    <w:lvl w:ilvl="4" w:tplc="BEECFA48">
      <w:numFmt w:val="decimal"/>
      <w:lvlText w:val=""/>
      <w:lvlJc w:val="left"/>
    </w:lvl>
    <w:lvl w:ilvl="5" w:tplc="467A1966">
      <w:numFmt w:val="decimal"/>
      <w:lvlText w:val=""/>
      <w:lvlJc w:val="left"/>
    </w:lvl>
    <w:lvl w:ilvl="6" w:tplc="ACBADEC4">
      <w:numFmt w:val="decimal"/>
      <w:lvlText w:val=""/>
      <w:lvlJc w:val="left"/>
    </w:lvl>
    <w:lvl w:ilvl="7" w:tplc="C16AB9E0">
      <w:numFmt w:val="decimal"/>
      <w:lvlText w:val=""/>
      <w:lvlJc w:val="left"/>
    </w:lvl>
    <w:lvl w:ilvl="8" w:tplc="4F166740">
      <w:numFmt w:val="decimal"/>
      <w:lvlText w:val=""/>
      <w:lvlJc w:val="left"/>
    </w:lvl>
  </w:abstractNum>
  <w:abstractNum w:abstractNumId="961" w15:restartNumberingAfterBreak="0">
    <w:nsid w:val="49FC17A7"/>
    <w:multiLevelType w:val="hybridMultilevel"/>
    <w:tmpl w:val="44FCFE2C"/>
    <w:lvl w:ilvl="0" w:tplc="9E4C5976">
      <w:numFmt w:val="decimal"/>
      <w:lvlText w:val=""/>
      <w:lvlJc w:val="left"/>
    </w:lvl>
    <w:lvl w:ilvl="1" w:tplc="91226838">
      <w:start w:val="1"/>
      <w:numFmt w:val="bullet"/>
      <w:lvlText w:val=""/>
      <w:lvlJc w:val="left"/>
      <w:pPr>
        <w:ind w:left="1440" w:hanging="180"/>
      </w:pPr>
      <w:rPr>
        <w:rFonts w:ascii="Symbol" w:hAnsi="Symbol" w:hint="default"/>
      </w:rPr>
    </w:lvl>
    <w:lvl w:ilvl="2" w:tplc="A4840A7A">
      <w:numFmt w:val="decimal"/>
      <w:lvlText w:val=""/>
      <w:lvlJc w:val="left"/>
    </w:lvl>
    <w:lvl w:ilvl="3" w:tplc="49941E32">
      <w:numFmt w:val="decimal"/>
      <w:lvlText w:val=""/>
      <w:lvlJc w:val="left"/>
    </w:lvl>
    <w:lvl w:ilvl="4" w:tplc="E6946518">
      <w:numFmt w:val="decimal"/>
      <w:lvlText w:val=""/>
      <w:lvlJc w:val="left"/>
    </w:lvl>
    <w:lvl w:ilvl="5" w:tplc="E92E35CE">
      <w:numFmt w:val="decimal"/>
      <w:lvlText w:val=""/>
      <w:lvlJc w:val="left"/>
    </w:lvl>
    <w:lvl w:ilvl="6" w:tplc="8A8A4746">
      <w:numFmt w:val="decimal"/>
      <w:lvlText w:val=""/>
      <w:lvlJc w:val="left"/>
    </w:lvl>
    <w:lvl w:ilvl="7" w:tplc="CD060D0A">
      <w:numFmt w:val="decimal"/>
      <w:lvlText w:val=""/>
      <w:lvlJc w:val="left"/>
    </w:lvl>
    <w:lvl w:ilvl="8" w:tplc="9C4A5392">
      <w:numFmt w:val="decimal"/>
      <w:lvlText w:val=""/>
      <w:lvlJc w:val="left"/>
    </w:lvl>
  </w:abstractNum>
  <w:abstractNum w:abstractNumId="962" w15:restartNumberingAfterBreak="0">
    <w:nsid w:val="4A0904B4"/>
    <w:multiLevelType w:val="hybridMultilevel"/>
    <w:tmpl w:val="538EDFBA"/>
    <w:lvl w:ilvl="0" w:tplc="5D002D72">
      <w:start w:val="1"/>
      <w:numFmt w:val="bullet"/>
      <w:lvlText w:val=""/>
      <w:lvlJc w:val="left"/>
      <w:pPr>
        <w:ind w:left="720" w:hanging="180"/>
      </w:pPr>
      <w:rPr>
        <w:rFonts w:ascii="Symbol" w:hAnsi="Symbol" w:hint="default"/>
      </w:rPr>
    </w:lvl>
    <w:lvl w:ilvl="1" w:tplc="F26A8956">
      <w:numFmt w:val="decimal"/>
      <w:lvlText w:val=""/>
      <w:lvlJc w:val="left"/>
    </w:lvl>
    <w:lvl w:ilvl="2" w:tplc="1C509352">
      <w:numFmt w:val="decimal"/>
      <w:lvlText w:val=""/>
      <w:lvlJc w:val="left"/>
    </w:lvl>
    <w:lvl w:ilvl="3" w:tplc="148452AE">
      <w:numFmt w:val="decimal"/>
      <w:lvlText w:val=""/>
      <w:lvlJc w:val="left"/>
    </w:lvl>
    <w:lvl w:ilvl="4" w:tplc="5A5C0F3C">
      <w:numFmt w:val="decimal"/>
      <w:lvlText w:val=""/>
      <w:lvlJc w:val="left"/>
    </w:lvl>
    <w:lvl w:ilvl="5" w:tplc="D158B098">
      <w:numFmt w:val="decimal"/>
      <w:lvlText w:val=""/>
      <w:lvlJc w:val="left"/>
    </w:lvl>
    <w:lvl w:ilvl="6" w:tplc="4792FA82">
      <w:numFmt w:val="decimal"/>
      <w:lvlText w:val=""/>
      <w:lvlJc w:val="left"/>
    </w:lvl>
    <w:lvl w:ilvl="7" w:tplc="D8FE3F5C">
      <w:numFmt w:val="decimal"/>
      <w:lvlText w:val=""/>
      <w:lvlJc w:val="left"/>
    </w:lvl>
    <w:lvl w:ilvl="8" w:tplc="1626FA8C">
      <w:numFmt w:val="decimal"/>
      <w:lvlText w:val=""/>
      <w:lvlJc w:val="left"/>
    </w:lvl>
  </w:abstractNum>
  <w:abstractNum w:abstractNumId="963" w15:restartNumberingAfterBreak="0">
    <w:nsid w:val="4A2645A8"/>
    <w:multiLevelType w:val="hybridMultilevel"/>
    <w:tmpl w:val="DC681054"/>
    <w:lvl w:ilvl="0" w:tplc="BC929EAC">
      <w:start w:val="1"/>
      <w:numFmt w:val="bullet"/>
      <w:lvlText w:val=""/>
      <w:lvlJc w:val="left"/>
      <w:pPr>
        <w:ind w:left="720" w:hanging="180"/>
      </w:pPr>
      <w:rPr>
        <w:rFonts w:ascii="Symbol" w:hAnsi="Symbol" w:hint="default"/>
      </w:rPr>
    </w:lvl>
    <w:lvl w:ilvl="1" w:tplc="ABAC8F60">
      <w:numFmt w:val="decimal"/>
      <w:lvlText w:val=""/>
      <w:lvlJc w:val="left"/>
    </w:lvl>
    <w:lvl w:ilvl="2" w:tplc="DE34001A">
      <w:numFmt w:val="decimal"/>
      <w:lvlText w:val=""/>
      <w:lvlJc w:val="left"/>
    </w:lvl>
    <w:lvl w:ilvl="3" w:tplc="1C207C30">
      <w:numFmt w:val="decimal"/>
      <w:lvlText w:val=""/>
      <w:lvlJc w:val="left"/>
    </w:lvl>
    <w:lvl w:ilvl="4" w:tplc="C9C64194">
      <w:numFmt w:val="decimal"/>
      <w:lvlText w:val=""/>
      <w:lvlJc w:val="left"/>
    </w:lvl>
    <w:lvl w:ilvl="5" w:tplc="3B0A5FB0">
      <w:numFmt w:val="decimal"/>
      <w:lvlText w:val=""/>
      <w:lvlJc w:val="left"/>
    </w:lvl>
    <w:lvl w:ilvl="6" w:tplc="5E1E36EC">
      <w:numFmt w:val="decimal"/>
      <w:lvlText w:val=""/>
      <w:lvlJc w:val="left"/>
    </w:lvl>
    <w:lvl w:ilvl="7" w:tplc="52029F8A">
      <w:numFmt w:val="decimal"/>
      <w:lvlText w:val=""/>
      <w:lvlJc w:val="left"/>
    </w:lvl>
    <w:lvl w:ilvl="8" w:tplc="F24AC1FC">
      <w:numFmt w:val="decimal"/>
      <w:lvlText w:val=""/>
      <w:lvlJc w:val="left"/>
    </w:lvl>
  </w:abstractNum>
  <w:abstractNum w:abstractNumId="964" w15:restartNumberingAfterBreak="0">
    <w:nsid w:val="4A637132"/>
    <w:multiLevelType w:val="hybridMultilevel"/>
    <w:tmpl w:val="A87626B6"/>
    <w:lvl w:ilvl="0" w:tplc="942CE7D6">
      <w:start w:val="1"/>
      <w:numFmt w:val="bullet"/>
      <w:lvlText w:val=""/>
      <w:lvlJc w:val="left"/>
      <w:pPr>
        <w:ind w:left="720" w:hanging="180"/>
      </w:pPr>
      <w:rPr>
        <w:rFonts w:ascii="Symbol" w:hAnsi="Symbol" w:hint="default"/>
      </w:rPr>
    </w:lvl>
    <w:lvl w:ilvl="1" w:tplc="82685650">
      <w:numFmt w:val="decimal"/>
      <w:lvlText w:val=""/>
      <w:lvlJc w:val="left"/>
    </w:lvl>
    <w:lvl w:ilvl="2" w:tplc="A26ECFC8">
      <w:numFmt w:val="decimal"/>
      <w:lvlText w:val=""/>
      <w:lvlJc w:val="left"/>
    </w:lvl>
    <w:lvl w:ilvl="3" w:tplc="B538AC9A">
      <w:numFmt w:val="decimal"/>
      <w:lvlText w:val=""/>
      <w:lvlJc w:val="left"/>
    </w:lvl>
    <w:lvl w:ilvl="4" w:tplc="0794152C">
      <w:numFmt w:val="decimal"/>
      <w:lvlText w:val=""/>
      <w:lvlJc w:val="left"/>
    </w:lvl>
    <w:lvl w:ilvl="5" w:tplc="A6E2D94E">
      <w:numFmt w:val="decimal"/>
      <w:lvlText w:val=""/>
      <w:lvlJc w:val="left"/>
    </w:lvl>
    <w:lvl w:ilvl="6" w:tplc="1B56F460">
      <w:numFmt w:val="decimal"/>
      <w:lvlText w:val=""/>
      <w:lvlJc w:val="left"/>
    </w:lvl>
    <w:lvl w:ilvl="7" w:tplc="CCD47E38">
      <w:numFmt w:val="decimal"/>
      <w:lvlText w:val=""/>
      <w:lvlJc w:val="left"/>
    </w:lvl>
    <w:lvl w:ilvl="8" w:tplc="B9FED2B0">
      <w:numFmt w:val="decimal"/>
      <w:lvlText w:val=""/>
      <w:lvlJc w:val="left"/>
    </w:lvl>
  </w:abstractNum>
  <w:abstractNum w:abstractNumId="965" w15:restartNumberingAfterBreak="0">
    <w:nsid w:val="4A816DDE"/>
    <w:multiLevelType w:val="hybridMultilevel"/>
    <w:tmpl w:val="3EF83E10"/>
    <w:lvl w:ilvl="0" w:tplc="3D182FFC">
      <w:start w:val="1"/>
      <w:numFmt w:val="bullet"/>
      <w:lvlText w:val=""/>
      <w:lvlJc w:val="left"/>
      <w:pPr>
        <w:ind w:left="720" w:hanging="180"/>
      </w:pPr>
      <w:rPr>
        <w:rFonts w:ascii="Symbol" w:hAnsi="Symbol" w:hint="default"/>
      </w:rPr>
    </w:lvl>
    <w:lvl w:ilvl="1" w:tplc="1ECE3652">
      <w:numFmt w:val="decimal"/>
      <w:lvlText w:val=""/>
      <w:lvlJc w:val="left"/>
    </w:lvl>
    <w:lvl w:ilvl="2" w:tplc="3F8EB264">
      <w:numFmt w:val="decimal"/>
      <w:lvlText w:val=""/>
      <w:lvlJc w:val="left"/>
    </w:lvl>
    <w:lvl w:ilvl="3" w:tplc="561A8CB2">
      <w:numFmt w:val="decimal"/>
      <w:lvlText w:val=""/>
      <w:lvlJc w:val="left"/>
    </w:lvl>
    <w:lvl w:ilvl="4" w:tplc="F3662CC2">
      <w:numFmt w:val="decimal"/>
      <w:lvlText w:val=""/>
      <w:lvlJc w:val="left"/>
    </w:lvl>
    <w:lvl w:ilvl="5" w:tplc="8990F446">
      <w:numFmt w:val="decimal"/>
      <w:lvlText w:val=""/>
      <w:lvlJc w:val="left"/>
    </w:lvl>
    <w:lvl w:ilvl="6" w:tplc="A87C2504">
      <w:numFmt w:val="decimal"/>
      <w:lvlText w:val=""/>
      <w:lvlJc w:val="left"/>
    </w:lvl>
    <w:lvl w:ilvl="7" w:tplc="8DE2807A">
      <w:numFmt w:val="decimal"/>
      <w:lvlText w:val=""/>
      <w:lvlJc w:val="left"/>
    </w:lvl>
    <w:lvl w:ilvl="8" w:tplc="32CC3D30">
      <w:numFmt w:val="decimal"/>
      <w:lvlText w:val=""/>
      <w:lvlJc w:val="left"/>
    </w:lvl>
  </w:abstractNum>
  <w:abstractNum w:abstractNumId="966" w15:restartNumberingAfterBreak="0">
    <w:nsid w:val="4A9C7D37"/>
    <w:multiLevelType w:val="hybridMultilevel"/>
    <w:tmpl w:val="03CE79CC"/>
    <w:lvl w:ilvl="0" w:tplc="08ECACF4">
      <w:start w:val="1"/>
      <w:numFmt w:val="bullet"/>
      <w:lvlText w:val=""/>
      <w:lvlJc w:val="left"/>
      <w:pPr>
        <w:ind w:left="720" w:hanging="180"/>
      </w:pPr>
      <w:rPr>
        <w:rFonts w:ascii="Symbol" w:hAnsi="Symbol" w:hint="default"/>
      </w:rPr>
    </w:lvl>
    <w:lvl w:ilvl="1" w:tplc="BDA603B8">
      <w:numFmt w:val="decimal"/>
      <w:lvlText w:val=""/>
      <w:lvlJc w:val="left"/>
    </w:lvl>
    <w:lvl w:ilvl="2" w:tplc="F0A6A6FC">
      <w:numFmt w:val="decimal"/>
      <w:lvlText w:val=""/>
      <w:lvlJc w:val="left"/>
    </w:lvl>
    <w:lvl w:ilvl="3" w:tplc="BBA8AF48">
      <w:numFmt w:val="decimal"/>
      <w:lvlText w:val=""/>
      <w:lvlJc w:val="left"/>
    </w:lvl>
    <w:lvl w:ilvl="4" w:tplc="C9F2EF6E">
      <w:numFmt w:val="decimal"/>
      <w:lvlText w:val=""/>
      <w:lvlJc w:val="left"/>
    </w:lvl>
    <w:lvl w:ilvl="5" w:tplc="EDE89C24">
      <w:numFmt w:val="decimal"/>
      <w:lvlText w:val=""/>
      <w:lvlJc w:val="left"/>
    </w:lvl>
    <w:lvl w:ilvl="6" w:tplc="7B4E0044">
      <w:numFmt w:val="decimal"/>
      <w:lvlText w:val=""/>
      <w:lvlJc w:val="left"/>
    </w:lvl>
    <w:lvl w:ilvl="7" w:tplc="831A1972">
      <w:numFmt w:val="decimal"/>
      <w:lvlText w:val=""/>
      <w:lvlJc w:val="left"/>
    </w:lvl>
    <w:lvl w:ilvl="8" w:tplc="86561C6A">
      <w:numFmt w:val="decimal"/>
      <w:lvlText w:val=""/>
      <w:lvlJc w:val="left"/>
    </w:lvl>
  </w:abstractNum>
  <w:abstractNum w:abstractNumId="967" w15:restartNumberingAfterBreak="0">
    <w:nsid w:val="4AB011AC"/>
    <w:multiLevelType w:val="hybridMultilevel"/>
    <w:tmpl w:val="4CD8937A"/>
    <w:lvl w:ilvl="0" w:tplc="22E8AAFE">
      <w:start w:val="1"/>
      <w:numFmt w:val="bullet"/>
      <w:lvlText w:val=""/>
      <w:lvlJc w:val="left"/>
      <w:pPr>
        <w:ind w:left="720" w:hanging="180"/>
      </w:pPr>
      <w:rPr>
        <w:rFonts w:ascii="Symbol" w:hAnsi="Symbol" w:hint="default"/>
      </w:rPr>
    </w:lvl>
    <w:lvl w:ilvl="1" w:tplc="3E908AB2">
      <w:numFmt w:val="decimal"/>
      <w:lvlText w:val=""/>
      <w:lvlJc w:val="left"/>
    </w:lvl>
    <w:lvl w:ilvl="2" w:tplc="5EC4148A">
      <w:numFmt w:val="decimal"/>
      <w:lvlText w:val=""/>
      <w:lvlJc w:val="left"/>
    </w:lvl>
    <w:lvl w:ilvl="3" w:tplc="3C841D86">
      <w:numFmt w:val="decimal"/>
      <w:lvlText w:val=""/>
      <w:lvlJc w:val="left"/>
    </w:lvl>
    <w:lvl w:ilvl="4" w:tplc="1AD82B6A">
      <w:numFmt w:val="decimal"/>
      <w:lvlText w:val=""/>
      <w:lvlJc w:val="left"/>
    </w:lvl>
    <w:lvl w:ilvl="5" w:tplc="F1920530">
      <w:numFmt w:val="decimal"/>
      <w:lvlText w:val=""/>
      <w:lvlJc w:val="left"/>
    </w:lvl>
    <w:lvl w:ilvl="6" w:tplc="6A0E05C6">
      <w:numFmt w:val="decimal"/>
      <w:lvlText w:val=""/>
      <w:lvlJc w:val="left"/>
    </w:lvl>
    <w:lvl w:ilvl="7" w:tplc="B8844B6A">
      <w:numFmt w:val="decimal"/>
      <w:lvlText w:val=""/>
      <w:lvlJc w:val="left"/>
    </w:lvl>
    <w:lvl w:ilvl="8" w:tplc="8D3CC0E0">
      <w:numFmt w:val="decimal"/>
      <w:lvlText w:val=""/>
      <w:lvlJc w:val="left"/>
    </w:lvl>
  </w:abstractNum>
  <w:abstractNum w:abstractNumId="968" w15:restartNumberingAfterBreak="0">
    <w:nsid w:val="4ABF33A9"/>
    <w:multiLevelType w:val="hybridMultilevel"/>
    <w:tmpl w:val="3392C926"/>
    <w:lvl w:ilvl="0" w:tplc="5CFA5B16">
      <w:numFmt w:val="decimal"/>
      <w:lvlText w:val=""/>
      <w:lvlJc w:val="left"/>
    </w:lvl>
    <w:lvl w:ilvl="1" w:tplc="EECEE51A">
      <w:start w:val="1"/>
      <w:numFmt w:val="bullet"/>
      <w:lvlText w:val=""/>
      <w:lvlJc w:val="left"/>
      <w:pPr>
        <w:ind w:left="1440" w:hanging="180"/>
      </w:pPr>
      <w:rPr>
        <w:rFonts w:ascii="Symbol" w:hAnsi="Symbol" w:hint="default"/>
      </w:rPr>
    </w:lvl>
    <w:lvl w:ilvl="2" w:tplc="C1347656">
      <w:numFmt w:val="decimal"/>
      <w:lvlText w:val=""/>
      <w:lvlJc w:val="left"/>
    </w:lvl>
    <w:lvl w:ilvl="3" w:tplc="48F2D968">
      <w:numFmt w:val="decimal"/>
      <w:lvlText w:val=""/>
      <w:lvlJc w:val="left"/>
    </w:lvl>
    <w:lvl w:ilvl="4" w:tplc="11B4AA96">
      <w:numFmt w:val="decimal"/>
      <w:lvlText w:val=""/>
      <w:lvlJc w:val="left"/>
    </w:lvl>
    <w:lvl w:ilvl="5" w:tplc="EFD6A0CE">
      <w:numFmt w:val="decimal"/>
      <w:lvlText w:val=""/>
      <w:lvlJc w:val="left"/>
    </w:lvl>
    <w:lvl w:ilvl="6" w:tplc="71CC3CF4">
      <w:numFmt w:val="decimal"/>
      <w:lvlText w:val=""/>
      <w:lvlJc w:val="left"/>
    </w:lvl>
    <w:lvl w:ilvl="7" w:tplc="E16A33AE">
      <w:numFmt w:val="decimal"/>
      <w:lvlText w:val=""/>
      <w:lvlJc w:val="left"/>
    </w:lvl>
    <w:lvl w:ilvl="8" w:tplc="07D83506">
      <w:numFmt w:val="decimal"/>
      <w:lvlText w:val=""/>
      <w:lvlJc w:val="left"/>
    </w:lvl>
  </w:abstractNum>
  <w:abstractNum w:abstractNumId="969" w15:restartNumberingAfterBreak="0">
    <w:nsid w:val="4AC05C9A"/>
    <w:multiLevelType w:val="hybridMultilevel"/>
    <w:tmpl w:val="9B965FBE"/>
    <w:lvl w:ilvl="0" w:tplc="73DA0332">
      <w:start w:val="1"/>
      <w:numFmt w:val="bullet"/>
      <w:lvlText w:val=""/>
      <w:lvlJc w:val="left"/>
      <w:pPr>
        <w:ind w:left="720" w:hanging="180"/>
      </w:pPr>
      <w:rPr>
        <w:rFonts w:ascii="Symbol" w:hAnsi="Symbol" w:hint="default"/>
      </w:rPr>
    </w:lvl>
    <w:lvl w:ilvl="1" w:tplc="064AC436">
      <w:numFmt w:val="decimal"/>
      <w:lvlText w:val=""/>
      <w:lvlJc w:val="left"/>
    </w:lvl>
    <w:lvl w:ilvl="2" w:tplc="C0B2E4E2">
      <w:numFmt w:val="decimal"/>
      <w:lvlText w:val=""/>
      <w:lvlJc w:val="left"/>
    </w:lvl>
    <w:lvl w:ilvl="3" w:tplc="62F24DCE">
      <w:numFmt w:val="decimal"/>
      <w:lvlText w:val=""/>
      <w:lvlJc w:val="left"/>
    </w:lvl>
    <w:lvl w:ilvl="4" w:tplc="4D4E05CC">
      <w:numFmt w:val="decimal"/>
      <w:lvlText w:val=""/>
      <w:lvlJc w:val="left"/>
    </w:lvl>
    <w:lvl w:ilvl="5" w:tplc="B24829BE">
      <w:numFmt w:val="decimal"/>
      <w:lvlText w:val=""/>
      <w:lvlJc w:val="left"/>
    </w:lvl>
    <w:lvl w:ilvl="6" w:tplc="D93EBDAA">
      <w:numFmt w:val="decimal"/>
      <w:lvlText w:val=""/>
      <w:lvlJc w:val="left"/>
    </w:lvl>
    <w:lvl w:ilvl="7" w:tplc="D6CE4BC2">
      <w:numFmt w:val="decimal"/>
      <w:lvlText w:val=""/>
      <w:lvlJc w:val="left"/>
    </w:lvl>
    <w:lvl w:ilvl="8" w:tplc="DDD4CCB6">
      <w:numFmt w:val="decimal"/>
      <w:lvlText w:val=""/>
      <w:lvlJc w:val="left"/>
    </w:lvl>
  </w:abstractNum>
  <w:abstractNum w:abstractNumId="970" w15:restartNumberingAfterBreak="0">
    <w:nsid w:val="4AEB70AA"/>
    <w:multiLevelType w:val="hybridMultilevel"/>
    <w:tmpl w:val="0CD4A2C8"/>
    <w:lvl w:ilvl="0" w:tplc="812CEF50">
      <w:start w:val="1"/>
      <w:numFmt w:val="bullet"/>
      <w:lvlText w:val=""/>
      <w:lvlJc w:val="left"/>
      <w:pPr>
        <w:ind w:left="720" w:hanging="180"/>
      </w:pPr>
      <w:rPr>
        <w:rFonts w:ascii="Symbol" w:hAnsi="Symbol" w:hint="default"/>
      </w:rPr>
    </w:lvl>
    <w:lvl w:ilvl="1" w:tplc="613EDFE6">
      <w:numFmt w:val="decimal"/>
      <w:lvlText w:val=""/>
      <w:lvlJc w:val="left"/>
    </w:lvl>
    <w:lvl w:ilvl="2" w:tplc="3BD02086">
      <w:numFmt w:val="decimal"/>
      <w:lvlText w:val=""/>
      <w:lvlJc w:val="left"/>
    </w:lvl>
    <w:lvl w:ilvl="3" w:tplc="122A399A">
      <w:numFmt w:val="decimal"/>
      <w:lvlText w:val=""/>
      <w:lvlJc w:val="left"/>
    </w:lvl>
    <w:lvl w:ilvl="4" w:tplc="21F87CB8">
      <w:numFmt w:val="decimal"/>
      <w:lvlText w:val=""/>
      <w:lvlJc w:val="left"/>
    </w:lvl>
    <w:lvl w:ilvl="5" w:tplc="27C4022C">
      <w:numFmt w:val="decimal"/>
      <w:lvlText w:val=""/>
      <w:lvlJc w:val="left"/>
    </w:lvl>
    <w:lvl w:ilvl="6" w:tplc="D33E8BC8">
      <w:numFmt w:val="decimal"/>
      <w:lvlText w:val=""/>
      <w:lvlJc w:val="left"/>
    </w:lvl>
    <w:lvl w:ilvl="7" w:tplc="06BCAEC8">
      <w:numFmt w:val="decimal"/>
      <w:lvlText w:val=""/>
      <w:lvlJc w:val="left"/>
    </w:lvl>
    <w:lvl w:ilvl="8" w:tplc="B6BCF34E">
      <w:numFmt w:val="decimal"/>
      <w:lvlText w:val=""/>
      <w:lvlJc w:val="left"/>
    </w:lvl>
  </w:abstractNum>
  <w:abstractNum w:abstractNumId="971" w15:restartNumberingAfterBreak="0">
    <w:nsid w:val="4AFE3E7C"/>
    <w:multiLevelType w:val="hybridMultilevel"/>
    <w:tmpl w:val="CDEC8A84"/>
    <w:lvl w:ilvl="0" w:tplc="849002B4">
      <w:start w:val="1"/>
      <w:numFmt w:val="bullet"/>
      <w:lvlText w:val=""/>
      <w:lvlJc w:val="left"/>
      <w:pPr>
        <w:ind w:left="720" w:hanging="180"/>
      </w:pPr>
      <w:rPr>
        <w:rFonts w:ascii="Symbol" w:hAnsi="Symbol" w:hint="default"/>
      </w:rPr>
    </w:lvl>
    <w:lvl w:ilvl="1" w:tplc="2E4C7736">
      <w:numFmt w:val="decimal"/>
      <w:lvlText w:val=""/>
      <w:lvlJc w:val="left"/>
    </w:lvl>
    <w:lvl w:ilvl="2" w:tplc="F2D805D4">
      <w:numFmt w:val="decimal"/>
      <w:lvlText w:val=""/>
      <w:lvlJc w:val="left"/>
    </w:lvl>
    <w:lvl w:ilvl="3" w:tplc="DC68283A">
      <w:numFmt w:val="decimal"/>
      <w:lvlText w:val=""/>
      <w:lvlJc w:val="left"/>
    </w:lvl>
    <w:lvl w:ilvl="4" w:tplc="B316FB34">
      <w:numFmt w:val="decimal"/>
      <w:lvlText w:val=""/>
      <w:lvlJc w:val="left"/>
    </w:lvl>
    <w:lvl w:ilvl="5" w:tplc="B3D45926">
      <w:numFmt w:val="decimal"/>
      <w:lvlText w:val=""/>
      <w:lvlJc w:val="left"/>
    </w:lvl>
    <w:lvl w:ilvl="6" w:tplc="886AE65C">
      <w:numFmt w:val="decimal"/>
      <w:lvlText w:val=""/>
      <w:lvlJc w:val="left"/>
    </w:lvl>
    <w:lvl w:ilvl="7" w:tplc="E9E6995E">
      <w:numFmt w:val="decimal"/>
      <w:lvlText w:val=""/>
      <w:lvlJc w:val="left"/>
    </w:lvl>
    <w:lvl w:ilvl="8" w:tplc="3F7E4850">
      <w:numFmt w:val="decimal"/>
      <w:lvlText w:val=""/>
      <w:lvlJc w:val="left"/>
    </w:lvl>
  </w:abstractNum>
  <w:abstractNum w:abstractNumId="972" w15:restartNumberingAfterBreak="0">
    <w:nsid w:val="4B000BFB"/>
    <w:multiLevelType w:val="hybridMultilevel"/>
    <w:tmpl w:val="99B6783C"/>
    <w:lvl w:ilvl="0" w:tplc="382C3F3E">
      <w:start w:val="1"/>
      <w:numFmt w:val="bullet"/>
      <w:lvlText w:val=""/>
      <w:lvlJc w:val="left"/>
      <w:pPr>
        <w:ind w:left="720" w:hanging="180"/>
      </w:pPr>
      <w:rPr>
        <w:rFonts w:ascii="Symbol" w:hAnsi="Symbol" w:hint="default"/>
      </w:rPr>
    </w:lvl>
    <w:lvl w:ilvl="1" w:tplc="9B745C62">
      <w:numFmt w:val="decimal"/>
      <w:lvlText w:val=""/>
      <w:lvlJc w:val="left"/>
    </w:lvl>
    <w:lvl w:ilvl="2" w:tplc="9F946CD8">
      <w:numFmt w:val="decimal"/>
      <w:lvlText w:val=""/>
      <w:lvlJc w:val="left"/>
    </w:lvl>
    <w:lvl w:ilvl="3" w:tplc="22741160">
      <w:numFmt w:val="decimal"/>
      <w:lvlText w:val=""/>
      <w:lvlJc w:val="left"/>
    </w:lvl>
    <w:lvl w:ilvl="4" w:tplc="D9949558">
      <w:numFmt w:val="decimal"/>
      <w:lvlText w:val=""/>
      <w:lvlJc w:val="left"/>
    </w:lvl>
    <w:lvl w:ilvl="5" w:tplc="E7BE1D0C">
      <w:numFmt w:val="decimal"/>
      <w:lvlText w:val=""/>
      <w:lvlJc w:val="left"/>
    </w:lvl>
    <w:lvl w:ilvl="6" w:tplc="9AEE0544">
      <w:numFmt w:val="decimal"/>
      <w:lvlText w:val=""/>
      <w:lvlJc w:val="left"/>
    </w:lvl>
    <w:lvl w:ilvl="7" w:tplc="5E4632BC">
      <w:numFmt w:val="decimal"/>
      <w:lvlText w:val=""/>
      <w:lvlJc w:val="left"/>
    </w:lvl>
    <w:lvl w:ilvl="8" w:tplc="DD58160A">
      <w:numFmt w:val="decimal"/>
      <w:lvlText w:val=""/>
      <w:lvlJc w:val="left"/>
    </w:lvl>
  </w:abstractNum>
  <w:abstractNum w:abstractNumId="973" w15:restartNumberingAfterBreak="0">
    <w:nsid w:val="4B001291"/>
    <w:multiLevelType w:val="hybridMultilevel"/>
    <w:tmpl w:val="0150B13A"/>
    <w:lvl w:ilvl="0" w:tplc="9C025DFE">
      <w:start w:val="1"/>
      <w:numFmt w:val="bullet"/>
      <w:lvlText w:val=""/>
      <w:lvlJc w:val="left"/>
      <w:pPr>
        <w:ind w:left="720" w:hanging="180"/>
      </w:pPr>
      <w:rPr>
        <w:rFonts w:ascii="Symbol" w:hAnsi="Symbol" w:hint="default"/>
      </w:rPr>
    </w:lvl>
    <w:lvl w:ilvl="1" w:tplc="4A4821DA">
      <w:numFmt w:val="decimal"/>
      <w:lvlText w:val=""/>
      <w:lvlJc w:val="left"/>
    </w:lvl>
    <w:lvl w:ilvl="2" w:tplc="124687B0">
      <w:numFmt w:val="decimal"/>
      <w:lvlText w:val=""/>
      <w:lvlJc w:val="left"/>
    </w:lvl>
    <w:lvl w:ilvl="3" w:tplc="F9165F64">
      <w:numFmt w:val="decimal"/>
      <w:lvlText w:val=""/>
      <w:lvlJc w:val="left"/>
    </w:lvl>
    <w:lvl w:ilvl="4" w:tplc="191CC6CE">
      <w:numFmt w:val="decimal"/>
      <w:lvlText w:val=""/>
      <w:lvlJc w:val="left"/>
    </w:lvl>
    <w:lvl w:ilvl="5" w:tplc="74D0DAAC">
      <w:numFmt w:val="decimal"/>
      <w:lvlText w:val=""/>
      <w:lvlJc w:val="left"/>
    </w:lvl>
    <w:lvl w:ilvl="6" w:tplc="BBF4EF7A">
      <w:numFmt w:val="decimal"/>
      <w:lvlText w:val=""/>
      <w:lvlJc w:val="left"/>
    </w:lvl>
    <w:lvl w:ilvl="7" w:tplc="BF0CDBB4">
      <w:numFmt w:val="decimal"/>
      <w:lvlText w:val=""/>
      <w:lvlJc w:val="left"/>
    </w:lvl>
    <w:lvl w:ilvl="8" w:tplc="047AFA0A">
      <w:numFmt w:val="decimal"/>
      <w:lvlText w:val=""/>
      <w:lvlJc w:val="left"/>
    </w:lvl>
  </w:abstractNum>
  <w:abstractNum w:abstractNumId="974" w15:restartNumberingAfterBreak="0">
    <w:nsid w:val="4B1C22F6"/>
    <w:multiLevelType w:val="hybridMultilevel"/>
    <w:tmpl w:val="FD820B6E"/>
    <w:lvl w:ilvl="0" w:tplc="FF700100">
      <w:start w:val="1"/>
      <w:numFmt w:val="bullet"/>
      <w:lvlText w:val=""/>
      <w:lvlJc w:val="left"/>
      <w:pPr>
        <w:ind w:left="720" w:hanging="180"/>
      </w:pPr>
      <w:rPr>
        <w:rFonts w:ascii="Symbol" w:hAnsi="Symbol" w:hint="default"/>
      </w:rPr>
    </w:lvl>
    <w:lvl w:ilvl="1" w:tplc="CF64E618">
      <w:numFmt w:val="decimal"/>
      <w:lvlText w:val=""/>
      <w:lvlJc w:val="left"/>
    </w:lvl>
    <w:lvl w:ilvl="2" w:tplc="B9D804E2">
      <w:numFmt w:val="decimal"/>
      <w:lvlText w:val=""/>
      <w:lvlJc w:val="left"/>
    </w:lvl>
    <w:lvl w:ilvl="3" w:tplc="ACDC1F88">
      <w:numFmt w:val="decimal"/>
      <w:lvlText w:val=""/>
      <w:lvlJc w:val="left"/>
    </w:lvl>
    <w:lvl w:ilvl="4" w:tplc="12140CA0">
      <w:numFmt w:val="decimal"/>
      <w:lvlText w:val=""/>
      <w:lvlJc w:val="left"/>
    </w:lvl>
    <w:lvl w:ilvl="5" w:tplc="A8A07054">
      <w:numFmt w:val="decimal"/>
      <w:lvlText w:val=""/>
      <w:lvlJc w:val="left"/>
    </w:lvl>
    <w:lvl w:ilvl="6" w:tplc="AB3EF172">
      <w:numFmt w:val="decimal"/>
      <w:lvlText w:val=""/>
      <w:lvlJc w:val="left"/>
    </w:lvl>
    <w:lvl w:ilvl="7" w:tplc="27B262BE">
      <w:numFmt w:val="decimal"/>
      <w:lvlText w:val=""/>
      <w:lvlJc w:val="left"/>
    </w:lvl>
    <w:lvl w:ilvl="8" w:tplc="6EA2DBE4">
      <w:numFmt w:val="decimal"/>
      <w:lvlText w:val=""/>
      <w:lvlJc w:val="left"/>
    </w:lvl>
  </w:abstractNum>
  <w:abstractNum w:abstractNumId="975" w15:restartNumberingAfterBreak="0">
    <w:nsid w:val="4B1D6290"/>
    <w:multiLevelType w:val="hybridMultilevel"/>
    <w:tmpl w:val="FB9E7870"/>
    <w:lvl w:ilvl="0" w:tplc="BBBA7762">
      <w:start w:val="1"/>
      <w:numFmt w:val="bullet"/>
      <w:lvlText w:val=""/>
      <w:lvlJc w:val="left"/>
      <w:pPr>
        <w:ind w:left="720" w:hanging="180"/>
      </w:pPr>
      <w:rPr>
        <w:rFonts w:ascii="Symbol" w:hAnsi="Symbol" w:hint="default"/>
      </w:rPr>
    </w:lvl>
    <w:lvl w:ilvl="1" w:tplc="49187D3E">
      <w:numFmt w:val="decimal"/>
      <w:lvlText w:val=""/>
      <w:lvlJc w:val="left"/>
    </w:lvl>
    <w:lvl w:ilvl="2" w:tplc="390AB576">
      <w:numFmt w:val="decimal"/>
      <w:lvlText w:val=""/>
      <w:lvlJc w:val="left"/>
    </w:lvl>
    <w:lvl w:ilvl="3" w:tplc="27927616">
      <w:numFmt w:val="decimal"/>
      <w:lvlText w:val=""/>
      <w:lvlJc w:val="left"/>
    </w:lvl>
    <w:lvl w:ilvl="4" w:tplc="B8ECD324">
      <w:numFmt w:val="decimal"/>
      <w:lvlText w:val=""/>
      <w:lvlJc w:val="left"/>
    </w:lvl>
    <w:lvl w:ilvl="5" w:tplc="C64AA8AC">
      <w:numFmt w:val="decimal"/>
      <w:lvlText w:val=""/>
      <w:lvlJc w:val="left"/>
    </w:lvl>
    <w:lvl w:ilvl="6" w:tplc="696E1038">
      <w:numFmt w:val="decimal"/>
      <w:lvlText w:val=""/>
      <w:lvlJc w:val="left"/>
    </w:lvl>
    <w:lvl w:ilvl="7" w:tplc="9E92D7EE">
      <w:numFmt w:val="decimal"/>
      <w:lvlText w:val=""/>
      <w:lvlJc w:val="left"/>
    </w:lvl>
    <w:lvl w:ilvl="8" w:tplc="46B88416">
      <w:numFmt w:val="decimal"/>
      <w:lvlText w:val=""/>
      <w:lvlJc w:val="left"/>
    </w:lvl>
  </w:abstractNum>
  <w:abstractNum w:abstractNumId="976" w15:restartNumberingAfterBreak="0">
    <w:nsid w:val="4B402DA2"/>
    <w:multiLevelType w:val="hybridMultilevel"/>
    <w:tmpl w:val="BAB4000A"/>
    <w:lvl w:ilvl="0" w:tplc="B7E41524">
      <w:start w:val="1"/>
      <w:numFmt w:val="bullet"/>
      <w:lvlText w:val=""/>
      <w:lvlJc w:val="left"/>
      <w:pPr>
        <w:ind w:left="720" w:hanging="180"/>
      </w:pPr>
      <w:rPr>
        <w:rFonts w:ascii="Symbol" w:hAnsi="Symbol" w:hint="default"/>
      </w:rPr>
    </w:lvl>
    <w:lvl w:ilvl="1" w:tplc="8EBC2622">
      <w:numFmt w:val="decimal"/>
      <w:lvlText w:val=""/>
      <w:lvlJc w:val="left"/>
    </w:lvl>
    <w:lvl w:ilvl="2" w:tplc="55563278">
      <w:numFmt w:val="decimal"/>
      <w:lvlText w:val=""/>
      <w:lvlJc w:val="left"/>
    </w:lvl>
    <w:lvl w:ilvl="3" w:tplc="9F142BE4">
      <w:numFmt w:val="decimal"/>
      <w:lvlText w:val=""/>
      <w:lvlJc w:val="left"/>
    </w:lvl>
    <w:lvl w:ilvl="4" w:tplc="4C32902C">
      <w:numFmt w:val="decimal"/>
      <w:lvlText w:val=""/>
      <w:lvlJc w:val="left"/>
    </w:lvl>
    <w:lvl w:ilvl="5" w:tplc="6B7CEBBC">
      <w:numFmt w:val="decimal"/>
      <w:lvlText w:val=""/>
      <w:lvlJc w:val="left"/>
    </w:lvl>
    <w:lvl w:ilvl="6" w:tplc="30C68BB2">
      <w:numFmt w:val="decimal"/>
      <w:lvlText w:val=""/>
      <w:lvlJc w:val="left"/>
    </w:lvl>
    <w:lvl w:ilvl="7" w:tplc="B0869C2E">
      <w:numFmt w:val="decimal"/>
      <w:lvlText w:val=""/>
      <w:lvlJc w:val="left"/>
    </w:lvl>
    <w:lvl w:ilvl="8" w:tplc="299E213A">
      <w:numFmt w:val="decimal"/>
      <w:lvlText w:val=""/>
      <w:lvlJc w:val="left"/>
    </w:lvl>
  </w:abstractNum>
  <w:abstractNum w:abstractNumId="977" w15:restartNumberingAfterBreak="0">
    <w:nsid w:val="4B5539CF"/>
    <w:multiLevelType w:val="hybridMultilevel"/>
    <w:tmpl w:val="0FF6A68C"/>
    <w:lvl w:ilvl="0" w:tplc="F32EC66E">
      <w:start w:val="1"/>
      <w:numFmt w:val="bullet"/>
      <w:lvlText w:val=""/>
      <w:lvlJc w:val="left"/>
      <w:pPr>
        <w:ind w:left="720" w:hanging="180"/>
      </w:pPr>
      <w:rPr>
        <w:rFonts w:ascii="Symbol" w:hAnsi="Symbol" w:hint="default"/>
      </w:rPr>
    </w:lvl>
    <w:lvl w:ilvl="1" w:tplc="052EFE96">
      <w:numFmt w:val="decimal"/>
      <w:lvlText w:val=""/>
      <w:lvlJc w:val="left"/>
    </w:lvl>
    <w:lvl w:ilvl="2" w:tplc="4D845452">
      <w:numFmt w:val="decimal"/>
      <w:lvlText w:val=""/>
      <w:lvlJc w:val="left"/>
    </w:lvl>
    <w:lvl w:ilvl="3" w:tplc="24F062D6">
      <w:numFmt w:val="decimal"/>
      <w:lvlText w:val=""/>
      <w:lvlJc w:val="left"/>
    </w:lvl>
    <w:lvl w:ilvl="4" w:tplc="30522390">
      <w:numFmt w:val="decimal"/>
      <w:lvlText w:val=""/>
      <w:lvlJc w:val="left"/>
    </w:lvl>
    <w:lvl w:ilvl="5" w:tplc="B74C94A4">
      <w:numFmt w:val="decimal"/>
      <w:lvlText w:val=""/>
      <w:lvlJc w:val="left"/>
    </w:lvl>
    <w:lvl w:ilvl="6" w:tplc="E774DCFE">
      <w:numFmt w:val="decimal"/>
      <w:lvlText w:val=""/>
      <w:lvlJc w:val="left"/>
    </w:lvl>
    <w:lvl w:ilvl="7" w:tplc="A9CA3BFA">
      <w:numFmt w:val="decimal"/>
      <w:lvlText w:val=""/>
      <w:lvlJc w:val="left"/>
    </w:lvl>
    <w:lvl w:ilvl="8" w:tplc="52E46416">
      <w:numFmt w:val="decimal"/>
      <w:lvlText w:val=""/>
      <w:lvlJc w:val="left"/>
    </w:lvl>
  </w:abstractNum>
  <w:abstractNum w:abstractNumId="978" w15:restartNumberingAfterBreak="0">
    <w:nsid w:val="4B6522C5"/>
    <w:multiLevelType w:val="hybridMultilevel"/>
    <w:tmpl w:val="51B6337C"/>
    <w:lvl w:ilvl="0" w:tplc="9BD601C2">
      <w:start w:val="1"/>
      <w:numFmt w:val="bullet"/>
      <w:lvlText w:val=""/>
      <w:lvlJc w:val="left"/>
      <w:pPr>
        <w:ind w:left="720" w:hanging="180"/>
      </w:pPr>
      <w:rPr>
        <w:rFonts w:ascii="Symbol" w:hAnsi="Symbol" w:hint="default"/>
      </w:rPr>
    </w:lvl>
    <w:lvl w:ilvl="1" w:tplc="F1E692E0">
      <w:numFmt w:val="decimal"/>
      <w:lvlText w:val=""/>
      <w:lvlJc w:val="left"/>
    </w:lvl>
    <w:lvl w:ilvl="2" w:tplc="44F0FDCC">
      <w:numFmt w:val="decimal"/>
      <w:lvlText w:val=""/>
      <w:lvlJc w:val="left"/>
    </w:lvl>
    <w:lvl w:ilvl="3" w:tplc="499EC0E8">
      <w:numFmt w:val="decimal"/>
      <w:lvlText w:val=""/>
      <w:lvlJc w:val="left"/>
    </w:lvl>
    <w:lvl w:ilvl="4" w:tplc="1332E820">
      <w:numFmt w:val="decimal"/>
      <w:lvlText w:val=""/>
      <w:lvlJc w:val="left"/>
    </w:lvl>
    <w:lvl w:ilvl="5" w:tplc="A17ED1FA">
      <w:numFmt w:val="decimal"/>
      <w:lvlText w:val=""/>
      <w:lvlJc w:val="left"/>
    </w:lvl>
    <w:lvl w:ilvl="6" w:tplc="0F7C87B4">
      <w:numFmt w:val="decimal"/>
      <w:lvlText w:val=""/>
      <w:lvlJc w:val="left"/>
    </w:lvl>
    <w:lvl w:ilvl="7" w:tplc="784C6972">
      <w:numFmt w:val="decimal"/>
      <w:lvlText w:val=""/>
      <w:lvlJc w:val="left"/>
    </w:lvl>
    <w:lvl w:ilvl="8" w:tplc="DAC4383C">
      <w:numFmt w:val="decimal"/>
      <w:lvlText w:val=""/>
      <w:lvlJc w:val="left"/>
    </w:lvl>
  </w:abstractNum>
  <w:abstractNum w:abstractNumId="979" w15:restartNumberingAfterBreak="0">
    <w:nsid w:val="4B820E8D"/>
    <w:multiLevelType w:val="hybridMultilevel"/>
    <w:tmpl w:val="D71E3DD8"/>
    <w:lvl w:ilvl="0" w:tplc="028C29A8">
      <w:start w:val="1"/>
      <w:numFmt w:val="bullet"/>
      <w:lvlText w:val=""/>
      <w:lvlJc w:val="left"/>
      <w:pPr>
        <w:ind w:left="720" w:hanging="180"/>
      </w:pPr>
      <w:rPr>
        <w:rFonts w:ascii="Symbol" w:hAnsi="Symbol" w:hint="default"/>
      </w:rPr>
    </w:lvl>
    <w:lvl w:ilvl="1" w:tplc="9F921FD6">
      <w:numFmt w:val="decimal"/>
      <w:lvlText w:val=""/>
      <w:lvlJc w:val="left"/>
    </w:lvl>
    <w:lvl w:ilvl="2" w:tplc="9E0CB63E">
      <w:numFmt w:val="decimal"/>
      <w:lvlText w:val=""/>
      <w:lvlJc w:val="left"/>
    </w:lvl>
    <w:lvl w:ilvl="3" w:tplc="FDDED3D2">
      <w:numFmt w:val="decimal"/>
      <w:lvlText w:val=""/>
      <w:lvlJc w:val="left"/>
    </w:lvl>
    <w:lvl w:ilvl="4" w:tplc="AA60AB6A">
      <w:numFmt w:val="decimal"/>
      <w:lvlText w:val=""/>
      <w:lvlJc w:val="left"/>
    </w:lvl>
    <w:lvl w:ilvl="5" w:tplc="6B7E1B28">
      <w:numFmt w:val="decimal"/>
      <w:lvlText w:val=""/>
      <w:lvlJc w:val="left"/>
    </w:lvl>
    <w:lvl w:ilvl="6" w:tplc="270EC0AA">
      <w:numFmt w:val="decimal"/>
      <w:lvlText w:val=""/>
      <w:lvlJc w:val="left"/>
    </w:lvl>
    <w:lvl w:ilvl="7" w:tplc="C55E1F44">
      <w:numFmt w:val="decimal"/>
      <w:lvlText w:val=""/>
      <w:lvlJc w:val="left"/>
    </w:lvl>
    <w:lvl w:ilvl="8" w:tplc="D8861186">
      <w:numFmt w:val="decimal"/>
      <w:lvlText w:val=""/>
      <w:lvlJc w:val="left"/>
    </w:lvl>
  </w:abstractNum>
  <w:abstractNum w:abstractNumId="980" w15:restartNumberingAfterBreak="0">
    <w:nsid w:val="4B845C87"/>
    <w:multiLevelType w:val="hybridMultilevel"/>
    <w:tmpl w:val="D3587446"/>
    <w:lvl w:ilvl="0" w:tplc="24C28ACA">
      <w:start w:val="1"/>
      <w:numFmt w:val="bullet"/>
      <w:lvlText w:val=""/>
      <w:lvlJc w:val="left"/>
      <w:pPr>
        <w:ind w:left="720" w:hanging="180"/>
      </w:pPr>
      <w:rPr>
        <w:rFonts w:ascii="Symbol" w:hAnsi="Symbol" w:hint="default"/>
      </w:rPr>
    </w:lvl>
    <w:lvl w:ilvl="1" w:tplc="05C84336">
      <w:numFmt w:val="decimal"/>
      <w:lvlText w:val=""/>
      <w:lvlJc w:val="left"/>
    </w:lvl>
    <w:lvl w:ilvl="2" w:tplc="F5E02220">
      <w:numFmt w:val="decimal"/>
      <w:lvlText w:val=""/>
      <w:lvlJc w:val="left"/>
    </w:lvl>
    <w:lvl w:ilvl="3" w:tplc="98D6EE78">
      <w:numFmt w:val="decimal"/>
      <w:lvlText w:val=""/>
      <w:lvlJc w:val="left"/>
    </w:lvl>
    <w:lvl w:ilvl="4" w:tplc="389ABF88">
      <w:numFmt w:val="decimal"/>
      <w:lvlText w:val=""/>
      <w:lvlJc w:val="left"/>
    </w:lvl>
    <w:lvl w:ilvl="5" w:tplc="68E0DA2C">
      <w:numFmt w:val="decimal"/>
      <w:lvlText w:val=""/>
      <w:lvlJc w:val="left"/>
    </w:lvl>
    <w:lvl w:ilvl="6" w:tplc="59F8F65E">
      <w:numFmt w:val="decimal"/>
      <w:lvlText w:val=""/>
      <w:lvlJc w:val="left"/>
    </w:lvl>
    <w:lvl w:ilvl="7" w:tplc="2C60B62A">
      <w:numFmt w:val="decimal"/>
      <w:lvlText w:val=""/>
      <w:lvlJc w:val="left"/>
    </w:lvl>
    <w:lvl w:ilvl="8" w:tplc="04269A9C">
      <w:numFmt w:val="decimal"/>
      <w:lvlText w:val=""/>
      <w:lvlJc w:val="left"/>
    </w:lvl>
  </w:abstractNum>
  <w:abstractNum w:abstractNumId="981" w15:restartNumberingAfterBreak="0">
    <w:nsid w:val="4B8C06CC"/>
    <w:multiLevelType w:val="hybridMultilevel"/>
    <w:tmpl w:val="E80C9208"/>
    <w:lvl w:ilvl="0" w:tplc="D62AABD8">
      <w:start w:val="1"/>
      <w:numFmt w:val="bullet"/>
      <w:lvlText w:val=""/>
      <w:lvlJc w:val="left"/>
      <w:pPr>
        <w:ind w:left="720" w:hanging="180"/>
      </w:pPr>
      <w:rPr>
        <w:rFonts w:ascii="Symbol" w:hAnsi="Symbol" w:hint="default"/>
      </w:rPr>
    </w:lvl>
    <w:lvl w:ilvl="1" w:tplc="F3FE0984">
      <w:numFmt w:val="decimal"/>
      <w:lvlText w:val=""/>
      <w:lvlJc w:val="left"/>
    </w:lvl>
    <w:lvl w:ilvl="2" w:tplc="7D92E832">
      <w:numFmt w:val="decimal"/>
      <w:lvlText w:val=""/>
      <w:lvlJc w:val="left"/>
    </w:lvl>
    <w:lvl w:ilvl="3" w:tplc="747C3C00">
      <w:numFmt w:val="decimal"/>
      <w:lvlText w:val=""/>
      <w:lvlJc w:val="left"/>
    </w:lvl>
    <w:lvl w:ilvl="4" w:tplc="503A1CB8">
      <w:numFmt w:val="decimal"/>
      <w:lvlText w:val=""/>
      <w:lvlJc w:val="left"/>
    </w:lvl>
    <w:lvl w:ilvl="5" w:tplc="29E20F56">
      <w:numFmt w:val="decimal"/>
      <w:lvlText w:val=""/>
      <w:lvlJc w:val="left"/>
    </w:lvl>
    <w:lvl w:ilvl="6" w:tplc="AAB2EC82">
      <w:numFmt w:val="decimal"/>
      <w:lvlText w:val=""/>
      <w:lvlJc w:val="left"/>
    </w:lvl>
    <w:lvl w:ilvl="7" w:tplc="FDB6B5C2">
      <w:numFmt w:val="decimal"/>
      <w:lvlText w:val=""/>
      <w:lvlJc w:val="left"/>
    </w:lvl>
    <w:lvl w:ilvl="8" w:tplc="47807748">
      <w:numFmt w:val="decimal"/>
      <w:lvlText w:val=""/>
      <w:lvlJc w:val="left"/>
    </w:lvl>
  </w:abstractNum>
  <w:abstractNum w:abstractNumId="982" w15:restartNumberingAfterBreak="0">
    <w:nsid w:val="4BAB1234"/>
    <w:multiLevelType w:val="hybridMultilevel"/>
    <w:tmpl w:val="FE6C0984"/>
    <w:lvl w:ilvl="0" w:tplc="5C42B010">
      <w:start w:val="1"/>
      <w:numFmt w:val="bullet"/>
      <w:lvlText w:val=""/>
      <w:lvlJc w:val="left"/>
      <w:pPr>
        <w:ind w:left="720" w:hanging="180"/>
      </w:pPr>
      <w:rPr>
        <w:rFonts w:ascii="Symbol" w:hAnsi="Symbol" w:hint="default"/>
      </w:rPr>
    </w:lvl>
    <w:lvl w:ilvl="1" w:tplc="E0DE409E">
      <w:numFmt w:val="decimal"/>
      <w:lvlText w:val=""/>
      <w:lvlJc w:val="left"/>
    </w:lvl>
    <w:lvl w:ilvl="2" w:tplc="77BE50E8">
      <w:numFmt w:val="decimal"/>
      <w:lvlText w:val=""/>
      <w:lvlJc w:val="left"/>
    </w:lvl>
    <w:lvl w:ilvl="3" w:tplc="4EE876E4">
      <w:numFmt w:val="decimal"/>
      <w:lvlText w:val=""/>
      <w:lvlJc w:val="left"/>
    </w:lvl>
    <w:lvl w:ilvl="4" w:tplc="7BA86D7C">
      <w:numFmt w:val="decimal"/>
      <w:lvlText w:val=""/>
      <w:lvlJc w:val="left"/>
    </w:lvl>
    <w:lvl w:ilvl="5" w:tplc="A8E60C32">
      <w:numFmt w:val="decimal"/>
      <w:lvlText w:val=""/>
      <w:lvlJc w:val="left"/>
    </w:lvl>
    <w:lvl w:ilvl="6" w:tplc="1C56616E">
      <w:numFmt w:val="decimal"/>
      <w:lvlText w:val=""/>
      <w:lvlJc w:val="left"/>
    </w:lvl>
    <w:lvl w:ilvl="7" w:tplc="54303902">
      <w:numFmt w:val="decimal"/>
      <w:lvlText w:val=""/>
      <w:lvlJc w:val="left"/>
    </w:lvl>
    <w:lvl w:ilvl="8" w:tplc="51AA3E64">
      <w:numFmt w:val="decimal"/>
      <w:lvlText w:val=""/>
      <w:lvlJc w:val="left"/>
    </w:lvl>
  </w:abstractNum>
  <w:abstractNum w:abstractNumId="983" w15:restartNumberingAfterBreak="0">
    <w:nsid w:val="4BAE0781"/>
    <w:multiLevelType w:val="hybridMultilevel"/>
    <w:tmpl w:val="31F4BBEA"/>
    <w:lvl w:ilvl="0" w:tplc="AEDE037A">
      <w:numFmt w:val="decimal"/>
      <w:lvlText w:val=""/>
      <w:lvlJc w:val="left"/>
    </w:lvl>
    <w:lvl w:ilvl="1" w:tplc="DBC82E32">
      <w:start w:val="1"/>
      <w:numFmt w:val="bullet"/>
      <w:lvlText w:val=""/>
      <w:lvlJc w:val="left"/>
      <w:pPr>
        <w:ind w:left="1440" w:hanging="180"/>
      </w:pPr>
      <w:rPr>
        <w:rFonts w:ascii="Symbol" w:hAnsi="Symbol" w:hint="default"/>
      </w:rPr>
    </w:lvl>
    <w:lvl w:ilvl="2" w:tplc="888AABE6">
      <w:numFmt w:val="decimal"/>
      <w:lvlText w:val=""/>
      <w:lvlJc w:val="left"/>
    </w:lvl>
    <w:lvl w:ilvl="3" w:tplc="2AF086A2">
      <w:numFmt w:val="decimal"/>
      <w:lvlText w:val=""/>
      <w:lvlJc w:val="left"/>
    </w:lvl>
    <w:lvl w:ilvl="4" w:tplc="5352E4B2">
      <w:numFmt w:val="decimal"/>
      <w:lvlText w:val=""/>
      <w:lvlJc w:val="left"/>
    </w:lvl>
    <w:lvl w:ilvl="5" w:tplc="2A32330A">
      <w:numFmt w:val="decimal"/>
      <w:lvlText w:val=""/>
      <w:lvlJc w:val="left"/>
    </w:lvl>
    <w:lvl w:ilvl="6" w:tplc="82F0C868">
      <w:numFmt w:val="decimal"/>
      <w:lvlText w:val=""/>
      <w:lvlJc w:val="left"/>
    </w:lvl>
    <w:lvl w:ilvl="7" w:tplc="C14C2B98">
      <w:numFmt w:val="decimal"/>
      <w:lvlText w:val=""/>
      <w:lvlJc w:val="left"/>
    </w:lvl>
    <w:lvl w:ilvl="8" w:tplc="AD448236">
      <w:numFmt w:val="decimal"/>
      <w:lvlText w:val=""/>
      <w:lvlJc w:val="left"/>
    </w:lvl>
  </w:abstractNum>
  <w:abstractNum w:abstractNumId="984" w15:restartNumberingAfterBreak="0">
    <w:nsid w:val="4BAE23FB"/>
    <w:multiLevelType w:val="hybridMultilevel"/>
    <w:tmpl w:val="16A28328"/>
    <w:lvl w:ilvl="0" w:tplc="34F406B0">
      <w:start w:val="1"/>
      <w:numFmt w:val="bullet"/>
      <w:lvlText w:val=""/>
      <w:lvlJc w:val="left"/>
      <w:pPr>
        <w:ind w:left="720" w:hanging="180"/>
      </w:pPr>
      <w:rPr>
        <w:rFonts w:ascii="Symbol" w:hAnsi="Symbol" w:hint="default"/>
      </w:rPr>
    </w:lvl>
    <w:lvl w:ilvl="1" w:tplc="D94233DC">
      <w:numFmt w:val="decimal"/>
      <w:lvlText w:val=""/>
      <w:lvlJc w:val="left"/>
    </w:lvl>
    <w:lvl w:ilvl="2" w:tplc="F91650CA">
      <w:numFmt w:val="decimal"/>
      <w:lvlText w:val=""/>
      <w:lvlJc w:val="left"/>
    </w:lvl>
    <w:lvl w:ilvl="3" w:tplc="D630A482">
      <w:numFmt w:val="decimal"/>
      <w:lvlText w:val=""/>
      <w:lvlJc w:val="left"/>
    </w:lvl>
    <w:lvl w:ilvl="4" w:tplc="81E23DF0">
      <w:numFmt w:val="decimal"/>
      <w:lvlText w:val=""/>
      <w:lvlJc w:val="left"/>
    </w:lvl>
    <w:lvl w:ilvl="5" w:tplc="B21C5ADE">
      <w:numFmt w:val="decimal"/>
      <w:lvlText w:val=""/>
      <w:lvlJc w:val="left"/>
    </w:lvl>
    <w:lvl w:ilvl="6" w:tplc="5B4E1B30">
      <w:numFmt w:val="decimal"/>
      <w:lvlText w:val=""/>
      <w:lvlJc w:val="left"/>
    </w:lvl>
    <w:lvl w:ilvl="7" w:tplc="614E8496">
      <w:numFmt w:val="decimal"/>
      <w:lvlText w:val=""/>
      <w:lvlJc w:val="left"/>
    </w:lvl>
    <w:lvl w:ilvl="8" w:tplc="F75E70A8">
      <w:numFmt w:val="decimal"/>
      <w:lvlText w:val=""/>
      <w:lvlJc w:val="left"/>
    </w:lvl>
  </w:abstractNum>
  <w:abstractNum w:abstractNumId="985" w15:restartNumberingAfterBreak="0">
    <w:nsid w:val="4BCE52DA"/>
    <w:multiLevelType w:val="hybridMultilevel"/>
    <w:tmpl w:val="7DA47216"/>
    <w:lvl w:ilvl="0" w:tplc="271CD508">
      <w:start w:val="1"/>
      <w:numFmt w:val="bullet"/>
      <w:lvlText w:val=""/>
      <w:lvlJc w:val="left"/>
      <w:pPr>
        <w:ind w:left="720" w:hanging="180"/>
      </w:pPr>
      <w:rPr>
        <w:rFonts w:ascii="Symbol" w:hAnsi="Symbol" w:hint="default"/>
      </w:rPr>
    </w:lvl>
    <w:lvl w:ilvl="1" w:tplc="30CC8C70">
      <w:numFmt w:val="decimal"/>
      <w:lvlText w:val=""/>
      <w:lvlJc w:val="left"/>
    </w:lvl>
    <w:lvl w:ilvl="2" w:tplc="21947906">
      <w:numFmt w:val="decimal"/>
      <w:lvlText w:val=""/>
      <w:lvlJc w:val="left"/>
    </w:lvl>
    <w:lvl w:ilvl="3" w:tplc="470CFD76">
      <w:numFmt w:val="decimal"/>
      <w:lvlText w:val=""/>
      <w:lvlJc w:val="left"/>
    </w:lvl>
    <w:lvl w:ilvl="4" w:tplc="5C86E7EE">
      <w:numFmt w:val="decimal"/>
      <w:lvlText w:val=""/>
      <w:lvlJc w:val="left"/>
    </w:lvl>
    <w:lvl w:ilvl="5" w:tplc="49CEE970">
      <w:numFmt w:val="decimal"/>
      <w:lvlText w:val=""/>
      <w:lvlJc w:val="left"/>
    </w:lvl>
    <w:lvl w:ilvl="6" w:tplc="1DE64136">
      <w:numFmt w:val="decimal"/>
      <w:lvlText w:val=""/>
      <w:lvlJc w:val="left"/>
    </w:lvl>
    <w:lvl w:ilvl="7" w:tplc="1FF8F736">
      <w:numFmt w:val="decimal"/>
      <w:lvlText w:val=""/>
      <w:lvlJc w:val="left"/>
    </w:lvl>
    <w:lvl w:ilvl="8" w:tplc="7902C340">
      <w:numFmt w:val="decimal"/>
      <w:lvlText w:val=""/>
      <w:lvlJc w:val="left"/>
    </w:lvl>
  </w:abstractNum>
  <w:abstractNum w:abstractNumId="986" w15:restartNumberingAfterBreak="0">
    <w:nsid w:val="4C0C2617"/>
    <w:multiLevelType w:val="hybridMultilevel"/>
    <w:tmpl w:val="D7FEA2F6"/>
    <w:lvl w:ilvl="0" w:tplc="53E85756">
      <w:start w:val="1"/>
      <w:numFmt w:val="bullet"/>
      <w:lvlText w:val=""/>
      <w:lvlJc w:val="left"/>
      <w:pPr>
        <w:ind w:left="720" w:hanging="180"/>
      </w:pPr>
      <w:rPr>
        <w:rFonts w:ascii="Symbol" w:hAnsi="Symbol" w:hint="default"/>
      </w:rPr>
    </w:lvl>
    <w:lvl w:ilvl="1" w:tplc="0C741D10">
      <w:numFmt w:val="decimal"/>
      <w:lvlText w:val=""/>
      <w:lvlJc w:val="left"/>
    </w:lvl>
    <w:lvl w:ilvl="2" w:tplc="584485B4">
      <w:numFmt w:val="decimal"/>
      <w:lvlText w:val=""/>
      <w:lvlJc w:val="left"/>
    </w:lvl>
    <w:lvl w:ilvl="3" w:tplc="E1F40EF4">
      <w:numFmt w:val="decimal"/>
      <w:lvlText w:val=""/>
      <w:lvlJc w:val="left"/>
    </w:lvl>
    <w:lvl w:ilvl="4" w:tplc="24D42A68">
      <w:numFmt w:val="decimal"/>
      <w:lvlText w:val=""/>
      <w:lvlJc w:val="left"/>
    </w:lvl>
    <w:lvl w:ilvl="5" w:tplc="204ECD26">
      <w:numFmt w:val="decimal"/>
      <w:lvlText w:val=""/>
      <w:lvlJc w:val="left"/>
    </w:lvl>
    <w:lvl w:ilvl="6" w:tplc="A40ABC58">
      <w:numFmt w:val="decimal"/>
      <w:lvlText w:val=""/>
      <w:lvlJc w:val="left"/>
    </w:lvl>
    <w:lvl w:ilvl="7" w:tplc="03262A12">
      <w:numFmt w:val="decimal"/>
      <w:lvlText w:val=""/>
      <w:lvlJc w:val="left"/>
    </w:lvl>
    <w:lvl w:ilvl="8" w:tplc="51F45884">
      <w:numFmt w:val="decimal"/>
      <w:lvlText w:val=""/>
      <w:lvlJc w:val="left"/>
    </w:lvl>
  </w:abstractNum>
  <w:abstractNum w:abstractNumId="987" w15:restartNumberingAfterBreak="0">
    <w:nsid w:val="4C1D2B32"/>
    <w:multiLevelType w:val="hybridMultilevel"/>
    <w:tmpl w:val="D64C99CA"/>
    <w:lvl w:ilvl="0" w:tplc="537C5306">
      <w:numFmt w:val="decimal"/>
      <w:lvlText w:val=""/>
      <w:lvlJc w:val="left"/>
    </w:lvl>
    <w:lvl w:ilvl="1" w:tplc="807A4C9E">
      <w:start w:val="1"/>
      <w:numFmt w:val="bullet"/>
      <w:lvlText w:val=""/>
      <w:lvlJc w:val="left"/>
      <w:pPr>
        <w:ind w:left="1440" w:hanging="180"/>
      </w:pPr>
      <w:rPr>
        <w:rFonts w:ascii="Symbol" w:hAnsi="Symbol" w:hint="default"/>
      </w:rPr>
    </w:lvl>
    <w:lvl w:ilvl="2" w:tplc="9CD65AB2">
      <w:numFmt w:val="decimal"/>
      <w:lvlText w:val=""/>
      <w:lvlJc w:val="left"/>
    </w:lvl>
    <w:lvl w:ilvl="3" w:tplc="EFCC0B58">
      <w:numFmt w:val="decimal"/>
      <w:lvlText w:val=""/>
      <w:lvlJc w:val="left"/>
    </w:lvl>
    <w:lvl w:ilvl="4" w:tplc="8EB89F64">
      <w:numFmt w:val="decimal"/>
      <w:lvlText w:val=""/>
      <w:lvlJc w:val="left"/>
    </w:lvl>
    <w:lvl w:ilvl="5" w:tplc="5F744A9C">
      <w:numFmt w:val="decimal"/>
      <w:lvlText w:val=""/>
      <w:lvlJc w:val="left"/>
    </w:lvl>
    <w:lvl w:ilvl="6" w:tplc="90EC4294">
      <w:numFmt w:val="decimal"/>
      <w:lvlText w:val=""/>
      <w:lvlJc w:val="left"/>
    </w:lvl>
    <w:lvl w:ilvl="7" w:tplc="7EDA0EE8">
      <w:numFmt w:val="decimal"/>
      <w:lvlText w:val=""/>
      <w:lvlJc w:val="left"/>
    </w:lvl>
    <w:lvl w:ilvl="8" w:tplc="53E053B6">
      <w:numFmt w:val="decimal"/>
      <w:lvlText w:val=""/>
      <w:lvlJc w:val="left"/>
    </w:lvl>
  </w:abstractNum>
  <w:abstractNum w:abstractNumId="988" w15:restartNumberingAfterBreak="0">
    <w:nsid w:val="4C1F015D"/>
    <w:multiLevelType w:val="hybridMultilevel"/>
    <w:tmpl w:val="F1C24AFC"/>
    <w:lvl w:ilvl="0" w:tplc="1B420D1C">
      <w:start w:val="1"/>
      <w:numFmt w:val="bullet"/>
      <w:lvlText w:val=""/>
      <w:lvlJc w:val="left"/>
      <w:pPr>
        <w:ind w:left="720" w:hanging="180"/>
      </w:pPr>
      <w:rPr>
        <w:rFonts w:ascii="Symbol" w:hAnsi="Symbol" w:hint="default"/>
      </w:rPr>
    </w:lvl>
    <w:lvl w:ilvl="1" w:tplc="4782BC8E">
      <w:numFmt w:val="decimal"/>
      <w:lvlText w:val=""/>
      <w:lvlJc w:val="left"/>
    </w:lvl>
    <w:lvl w:ilvl="2" w:tplc="4808B674">
      <w:numFmt w:val="decimal"/>
      <w:lvlText w:val=""/>
      <w:lvlJc w:val="left"/>
    </w:lvl>
    <w:lvl w:ilvl="3" w:tplc="1428ACC4">
      <w:numFmt w:val="decimal"/>
      <w:lvlText w:val=""/>
      <w:lvlJc w:val="left"/>
    </w:lvl>
    <w:lvl w:ilvl="4" w:tplc="713A1B8C">
      <w:numFmt w:val="decimal"/>
      <w:lvlText w:val=""/>
      <w:lvlJc w:val="left"/>
    </w:lvl>
    <w:lvl w:ilvl="5" w:tplc="362A590E">
      <w:numFmt w:val="decimal"/>
      <w:lvlText w:val=""/>
      <w:lvlJc w:val="left"/>
    </w:lvl>
    <w:lvl w:ilvl="6" w:tplc="E61C7EC8">
      <w:numFmt w:val="decimal"/>
      <w:lvlText w:val=""/>
      <w:lvlJc w:val="left"/>
    </w:lvl>
    <w:lvl w:ilvl="7" w:tplc="3578A99E">
      <w:numFmt w:val="decimal"/>
      <w:lvlText w:val=""/>
      <w:lvlJc w:val="left"/>
    </w:lvl>
    <w:lvl w:ilvl="8" w:tplc="92008056">
      <w:numFmt w:val="decimal"/>
      <w:lvlText w:val=""/>
      <w:lvlJc w:val="left"/>
    </w:lvl>
  </w:abstractNum>
  <w:abstractNum w:abstractNumId="989" w15:restartNumberingAfterBreak="0">
    <w:nsid w:val="4C2E3C75"/>
    <w:multiLevelType w:val="hybridMultilevel"/>
    <w:tmpl w:val="3A5E6FD4"/>
    <w:lvl w:ilvl="0" w:tplc="86F84EFA">
      <w:start w:val="1"/>
      <w:numFmt w:val="bullet"/>
      <w:lvlText w:val=""/>
      <w:lvlJc w:val="left"/>
      <w:pPr>
        <w:ind w:left="720" w:hanging="180"/>
      </w:pPr>
      <w:rPr>
        <w:rFonts w:ascii="Symbol" w:hAnsi="Symbol" w:hint="default"/>
      </w:rPr>
    </w:lvl>
    <w:lvl w:ilvl="1" w:tplc="3996C01C">
      <w:numFmt w:val="decimal"/>
      <w:lvlText w:val=""/>
      <w:lvlJc w:val="left"/>
    </w:lvl>
    <w:lvl w:ilvl="2" w:tplc="81726024">
      <w:numFmt w:val="decimal"/>
      <w:lvlText w:val=""/>
      <w:lvlJc w:val="left"/>
    </w:lvl>
    <w:lvl w:ilvl="3" w:tplc="C60C443C">
      <w:numFmt w:val="decimal"/>
      <w:lvlText w:val=""/>
      <w:lvlJc w:val="left"/>
    </w:lvl>
    <w:lvl w:ilvl="4" w:tplc="05D61FDE">
      <w:numFmt w:val="decimal"/>
      <w:lvlText w:val=""/>
      <w:lvlJc w:val="left"/>
    </w:lvl>
    <w:lvl w:ilvl="5" w:tplc="0F8265D4">
      <w:numFmt w:val="decimal"/>
      <w:lvlText w:val=""/>
      <w:lvlJc w:val="left"/>
    </w:lvl>
    <w:lvl w:ilvl="6" w:tplc="FDAE8B2A">
      <w:numFmt w:val="decimal"/>
      <w:lvlText w:val=""/>
      <w:lvlJc w:val="left"/>
    </w:lvl>
    <w:lvl w:ilvl="7" w:tplc="715A1BF4">
      <w:numFmt w:val="decimal"/>
      <w:lvlText w:val=""/>
      <w:lvlJc w:val="left"/>
    </w:lvl>
    <w:lvl w:ilvl="8" w:tplc="B9C0AA98">
      <w:numFmt w:val="decimal"/>
      <w:lvlText w:val=""/>
      <w:lvlJc w:val="left"/>
    </w:lvl>
  </w:abstractNum>
  <w:abstractNum w:abstractNumId="990" w15:restartNumberingAfterBreak="0">
    <w:nsid w:val="4C2E46E9"/>
    <w:multiLevelType w:val="hybridMultilevel"/>
    <w:tmpl w:val="564E5FC6"/>
    <w:lvl w:ilvl="0" w:tplc="ADB8DECC">
      <w:start w:val="1"/>
      <w:numFmt w:val="bullet"/>
      <w:lvlText w:val=""/>
      <w:lvlJc w:val="left"/>
      <w:pPr>
        <w:ind w:left="720" w:hanging="180"/>
      </w:pPr>
      <w:rPr>
        <w:rFonts w:ascii="Symbol" w:hAnsi="Symbol" w:hint="default"/>
      </w:rPr>
    </w:lvl>
    <w:lvl w:ilvl="1" w:tplc="B7BC5E62">
      <w:numFmt w:val="decimal"/>
      <w:lvlText w:val=""/>
      <w:lvlJc w:val="left"/>
    </w:lvl>
    <w:lvl w:ilvl="2" w:tplc="31ACF5C4">
      <w:numFmt w:val="decimal"/>
      <w:lvlText w:val=""/>
      <w:lvlJc w:val="left"/>
    </w:lvl>
    <w:lvl w:ilvl="3" w:tplc="28941782">
      <w:numFmt w:val="decimal"/>
      <w:lvlText w:val=""/>
      <w:lvlJc w:val="left"/>
    </w:lvl>
    <w:lvl w:ilvl="4" w:tplc="1B5A9DCC">
      <w:numFmt w:val="decimal"/>
      <w:lvlText w:val=""/>
      <w:lvlJc w:val="left"/>
    </w:lvl>
    <w:lvl w:ilvl="5" w:tplc="1F623338">
      <w:numFmt w:val="decimal"/>
      <w:lvlText w:val=""/>
      <w:lvlJc w:val="left"/>
    </w:lvl>
    <w:lvl w:ilvl="6" w:tplc="69B82B1C">
      <w:numFmt w:val="decimal"/>
      <w:lvlText w:val=""/>
      <w:lvlJc w:val="left"/>
    </w:lvl>
    <w:lvl w:ilvl="7" w:tplc="3B627156">
      <w:numFmt w:val="decimal"/>
      <w:lvlText w:val=""/>
      <w:lvlJc w:val="left"/>
    </w:lvl>
    <w:lvl w:ilvl="8" w:tplc="6F9AD222">
      <w:numFmt w:val="decimal"/>
      <w:lvlText w:val=""/>
      <w:lvlJc w:val="left"/>
    </w:lvl>
  </w:abstractNum>
  <w:abstractNum w:abstractNumId="991" w15:restartNumberingAfterBreak="0">
    <w:nsid w:val="4C534BBC"/>
    <w:multiLevelType w:val="hybridMultilevel"/>
    <w:tmpl w:val="620E141A"/>
    <w:lvl w:ilvl="0" w:tplc="A6522E0C">
      <w:start w:val="1"/>
      <w:numFmt w:val="bullet"/>
      <w:lvlText w:val=""/>
      <w:lvlJc w:val="left"/>
      <w:pPr>
        <w:ind w:left="720" w:hanging="180"/>
      </w:pPr>
      <w:rPr>
        <w:rFonts w:ascii="Symbol" w:hAnsi="Symbol" w:hint="default"/>
      </w:rPr>
    </w:lvl>
    <w:lvl w:ilvl="1" w:tplc="FE20B0D8">
      <w:numFmt w:val="decimal"/>
      <w:lvlText w:val=""/>
      <w:lvlJc w:val="left"/>
    </w:lvl>
    <w:lvl w:ilvl="2" w:tplc="FB50C5E8">
      <w:numFmt w:val="decimal"/>
      <w:lvlText w:val=""/>
      <w:lvlJc w:val="left"/>
    </w:lvl>
    <w:lvl w:ilvl="3" w:tplc="FBDCCA6A">
      <w:numFmt w:val="decimal"/>
      <w:lvlText w:val=""/>
      <w:lvlJc w:val="left"/>
    </w:lvl>
    <w:lvl w:ilvl="4" w:tplc="C720A378">
      <w:numFmt w:val="decimal"/>
      <w:lvlText w:val=""/>
      <w:lvlJc w:val="left"/>
    </w:lvl>
    <w:lvl w:ilvl="5" w:tplc="A342865A">
      <w:numFmt w:val="decimal"/>
      <w:lvlText w:val=""/>
      <w:lvlJc w:val="left"/>
    </w:lvl>
    <w:lvl w:ilvl="6" w:tplc="8F1805A8">
      <w:numFmt w:val="decimal"/>
      <w:lvlText w:val=""/>
      <w:lvlJc w:val="left"/>
    </w:lvl>
    <w:lvl w:ilvl="7" w:tplc="747653A4">
      <w:numFmt w:val="decimal"/>
      <w:lvlText w:val=""/>
      <w:lvlJc w:val="left"/>
    </w:lvl>
    <w:lvl w:ilvl="8" w:tplc="30F0C8EE">
      <w:numFmt w:val="decimal"/>
      <w:lvlText w:val=""/>
      <w:lvlJc w:val="left"/>
    </w:lvl>
  </w:abstractNum>
  <w:abstractNum w:abstractNumId="992" w15:restartNumberingAfterBreak="0">
    <w:nsid w:val="4C5C1B33"/>
    <w:multiLevelType w:val="hybridMultilevel"/>
    <w:tmpl w:val="6BE82C56"/>
    <w:lvl w:ilvl="0" w:tplc="55B44D9E">
      <w:start w:val="1"/>
      <w:numFmt w:val="bullet"/>
      <w:lvlText w:val=""/>
      <w:lvlJc w:val="left"/>
      <w:pPr>
        <w:ind w:left="720" w:hanging="180"/>
      </w:pPr>
      <w:rPr>
        <w:rFonts w:ascii="Symbol" w:hAnsi="Symbol" w:hint="default"/>
      </w:rPr>
    </w:lvl>
    <w:lvl w:ilvl="1" w:tplc="F85EEE38">
      <w:numFmt w:val="decimal"/>
      <w:lvlText w:val=""/>
      <w:lvlJc w:val="left"/>
    </w:lvl>
    <w:lvl w:ilvl="2" w:tplc="8432DC94">
      <w:numFmt w:val="decimal"/>
      <w:lvlText w:val=""/>
      <w:lvlJc w:val="left"/>
    </w:lvl>
    <w:lvl w:ilvl="3" w:tplc="B6A42400">
      <w:numFmt w:val="decimal"/>
      <w:lvlText w:val=""/>
      <w:lvlJc w:val="left"/>
    </w:lvl>
    <w:lvl w:ilvl="4" w:tplc="5692758C">
      <w:numFmt w:val="decimal"/>
      <w:lvlText w:val=""/>
      <w:lvlJc w:val="left"/>
    </w:lvl>
    <w:lvl w:ilvl="5" w:tplc="1740344C">
      <w:numFmt w:val="decimal"/>
      <w:lvlText w:val=""/>
      <w:lvlJc w:val="left"/>
    </w:lvl>
    <w:lvl w:ilvl="6" w:tplc="B2A043C2">
      <w:numFmt w:val="decimal"/>
      <w:lvlText w:val=""/>
      <w:lvlJc w:val="left"/>
    </w:lvl>
    <w:lvl w:ilvl="7" w:tplc="D5164F98">
      <w:numFmt w:val="decimal"/>
      <w:lvlText w:val=""/>
      <w:lvlJc w:val="left"/>
    </w:lvl>
    <w:lvl w:ilvl="8" w:tplc="0CC65D7E">
      <w:numFmt w:val="decimal"/>
      <w:lvlText w:val=""/>
      <w:lvlJc w:val="left"/>
    </w:lvl>
  </w:abstractNum>
  <w:abstractNum w:abstractNumId="993" w15:restartNumberingAfterBreak="0">
    <w:nsid w:val="4CA8186B"/>
    <w:multiLevelType w:val="hybridMultilevel"/>
    <w:tmpl w:val="C7664704"/>
    <w:lvl w:ilvl="0" w:tplc="F8521630">
      <w:start w:val="1"/>
      <w:numFmt w:val="bullet"/>
      <w:lvlText w:val=""/>
      <w:lvlJc w:val="left"/>
      <w:pPr>
        <w:ind w:left="720" w:hanging="180"/>
      </w:pPr>
      <w:rPr>
        <w:rFonts w:ascii="Symbol" w:hAnsi="Symbol" w:hint="default"/>
      </w:rPr>
    </w:lvl>
    <w:lvl w:ilvl="1" w:tplc="B252859C">
      <w:numFmt w:val="decimal"/>
      <w:lvlText w:val=""/>
      <w:lvlJc w:val="left"/>
    </w:lvl>
    <w:lvl w:ilvl="2" w:tplc="1ED2E60C">
      <w:numFmt w:val="decimal"/>
      <w:lvlText w:val=""/>
      <w:lvlJc w:val="left"/>
    </w:lvl>
    <w:lvl w:ilvl="3" w:tplc="FCD8A2BA">
      <w:numFmt w:val="decimal"/>
      <w:lvlText w:val=""/>
      <w:lvlJc w:val="left"/>
    </w:lvl>
    <w:lvl w:ilvl="4" w:tplc="258A80EA">
      <w:numFmt w:val="decimal"/>
      <w:lvlText w:val=""/>
      <w:lvlJc w:val="left"/>
    </w:lvl>
    <w:lvl w:ilvl="5" w:tplc="F864D788">
      <w:numFmt w:val="decimal"/>
      <w:lvlText w:val=""/>
      <w:lvlJc w:val="left"/>
    </w:lvl>
    <w:lvl w:ilvl="6" w:tplc="1ADCAE90">
      <w:numFmt w:val="decimal"/>
      <w:lvlText w:val=""/>
      <w:lvlJc w:val="left"/>
    </w:lvl>
    <w:lvl w:ilvl="7" w:tplc="59E89DD0">
      <w:numFmt w:val="decimal"/>
      <w:lvlText w:val=""/>
      <w:lvlJc w:val="left"/>
    </w:lvl>
    <w:lvl w:ilvl="8" w:tplc="A0242608">
      <w:numFmt w:val="decimal"/>
      <w:lvlText w:val=""/>
      <w:lvlJc w:val="left"/>
    </w:lvl>
  </w:abstractNum>
  <w:abstractNum w:abstractNumId="994" w15:restartNumberingAfterBreak="0">
    <w:nsid w:val="4CAF1CF9"/>
    <w:multiLevelType w:val="hybridMultilevel"/>
    <w:tmpl w:val="5666ED42"/>
    <w:lvl w:ilvl="0" w:tplc="82BCD560">
      <w:start w:val="1"/>
      <w:numFmt w:val="bullet"/>
      <w:lvlText w:val=""/>
      <w:lvlJc w:val="left"/>
      <w:pPr>
        <w:ind w:left="720" w:hanging="180"/>
      </w:pPr>
      <w:rPr>
        <w:rFonts w:ascii="Symbol" w:hAnsi="Symbol" w:hint="default"/>
      </w:rPr>
    </w:lvl>
    <w:lvl w:ilvl="1" w:tplc="4D120C96">
      <w:numFmt w:val="decimal"/>
      <w:lvlText w:val=""/>
      <w:lvlJc w:val="left"/>
    </w:lvl>
    <w:lvl w:ilvl="2" w:tplc="13286220">
      <w:numFmt w:val="decimal"/>
      <w:lvlText w:val=""/>
      <w:lvlJc w:val="left"/>
    </w:lvl>
    <w:lvl w:ilvl="3" w:tplc="ED80D354">
      <w:numFmt w:val="decimal"/>
      <w:lvlText w:val=""/>
      <w:lvlJc w:val="left"/>
    </w:lvl>
    <w:lvl w:ilvl="4" w:tplc="D898FB2E">
      <w:numFmt w:val="decimal"/>
      <w:lvlText w:val=""/>
      <w:lvlJc w:val="left"/>
    </w:lvl>
    <w:lvl w:ilvl="5" w:tplc="B24ED80A">
      <w:numFmt w:val="decimal"/>
      <w:lvlText w:val=""/>
      <w:lvlJc w:val="left"/>
    </w:lvl>
    <w:lvl w:ilvl="6" w:tplc="B8F896D4">
      <w:numFmt w:val="decimal"/>
      <w:lvlText w:val=""/>
      <w:lvlJc w:val="left"/>
    </w:lvl>
    <w:lvl w:ilvl="7" w:tplc="BFC694F8">
      <w:numFmt w:val="decimal"/>
      <w:lvlText w:val=""/>
      <w:lvlJc w:val="left"/>
    </w:lvl>
    <w:lvl w:ilvl="8" w:tplc="9A2C25B8">
      <w:numFmt w:val="decimal"/>
      <w:lvlText w:val=""/>
      <w:lvlJc w:val="left"/>
    </w:lvl>
  </w:abstractNum>
  <w:abstractNum w:abstractNumId="995" w15:restartNumberingAfterBreak="0">
    <w:nsid w:val="4CBD4239"/>
    <w:multiLevelType w:val="hybridMultilevel"/>
    <w:tmpl w:val="7188DF12"/>
    <w:lvl w:ilvl="0" w:tplc="5314BA58">
      <w:start w:val="1"/>
      <w:numFmt w:val="bullet"/>
      <w:lvlText w:val=""/>
      <w:lvlJc w:val="left"/>
      <w:pPr>
        <w:ind w:left="720" w:hanging="180"/>
      </w:pPr>
      <w:rPr>
        <w:rFonts w:ascii="Symbol" w:hAnsi="Symbol" w:hint="default"/>
      </w:rPr>
    </w:lvl>
    <w:lvl w:ilvl="1" w:tplc="40AC618E">
      <w:numFmt w:val="decimal"/>
      <w:lvlText w:val=""/>
      <w:lvlJc w:val="left"/>
    </w:lvl>
    <w:lvl w:ilvl="2" w:tplc="192E48EC">
      <w:numFmt w:val="decimal"/>
      <w:lvlText w:val=""/>
      <w:lvlJc w:val="left"/>
    </w:lvl>
    <w:lvl w:ilvl="3" w:tplc="094AB9FE">
      <w:numFmt w:val="decimal"/>
      <w:lvlText w:val=""/>
      <w:lvlJc w:val="left"/>
    </w:lvl>
    <w:lvl w:ilvl="4" w:tplc="BA4C820A">
      <w:numFmt w:val="decimal"/>
      <w:lvlText w:val=""/>
      <w:lvlJc w:val="left"/>
    </w:lvl>
    <w:lvl w:ilvl="5" w:tplc="3336EF4E">
      <w:numFmt w:val="decimal"/>
      <w:lvlText w:val=""/>
      <w:lvlJc w:val="left"/>
    </w:lvl>
    <w:lvl w:ilvl="6" w:tplc="3D401018">
      <w:numFmt w:val="decimal"/>
      <w:lvlText w:val=""/>
      <w:lvlJc w:val="left"/>
    </w:lvl>
    <w:lvl w:ilvl="7" w:tplc="E5105CFE">
      <w:numFmt w:val="decimal"/>
      <w:lvlText w:val=""/>
      <w:lvlJc w:val="left"/>
    </w:lvl>
    <w:lvl w:ilvl="8" w:tplc="DE505188">
      <w:numFmt w:val="decimal"/>
      <w:lvlText w:val=""/>
      <w:lvlJc w:val="left"/>
    </w:lvl>
  </w:abstractNum>
  <w:abstractNum w:abstractNumId="996" w15:restartNumberingAfterBreak="0">
    <w:nsid w:val="4CC72265"/>
    <w:multiLevelType w:val="hybridMultilevel"/>
    <w:tmpl w:val="5DC60260"/>
    <w:lvl w:ilvl="0" w:tplc="82FA35F8">
      <w:start w:val="1"/>
      <w:numFmt w:val="bullet"/>
      <w:lvlText w:val=""/>
      <w:lvlJc w:val="left"/>
      <w:pPr>
        <w:ind w:left="720" w:hanging="180"/>
      </w:pPr>
      <w:rPr>
        <w:rFonts w:ascii="Symbol" w:hAnsi="Symbol" w:hint="default"/>
      </w:rPr>
    </w:lvl>
    <w:lvl w:ilvl="1" w:tplc="CCE02AC6">
      <w:numFmt w:val="decimal"/>
      <w:lvlText w:val=""/>
      <w:lvlJc w:val="left"/>
    </w:lvl>
    <w:lvl w:ilvl="2" w:tplc="64CA06F0">
      <w:numFmt w:val="decimal"/>
      <w:lvlText w:val=""/>
      <w:lvlJc w:val="left"/>
    </w:lvl>
    <w:lvl w:ilvl="3" w:tplc="6BCCEA76">
      <w:numFmt w:val="decimal"/>
      <w:lvlText w:val=""/>
      <w:lvlJc w:val="left"/>
    </w:lvl>
    <w:lvl w:ilvl="4" w:tplc="55F6543C">
      <w:numFmt w:val="decimal"/>
      <w:lvlText w:val=""/>
      <w:lvlJc w:val="left"/>
    </w:lvl>
    <w:lvl w:ilvl="5" w:tplc="D42C5682">
      <w:numFmt w:val="decimal"/>
      <w:lvlText w:val=""/>
      <w:lvlJc w:val="left"/>
    </w:lvl>
    <w:lvl w:ilvl="6" w:tplc="32FC348C">
      <w:numFmt w:val="decimal"/>
      <w:lvlText w:val=""/>
      <w:lvlJc w:val="left"/>
    </w:lvl>
    <w:lvl w:ilvl="7" w:tplc="3A6A72E8">
      <w:numFmt w:val="decimal"/>
      <w:lvlText w:val=""/>
      <w:lvlJc w:val="left"/>
    </w:lvl>
    <w:lvl w:ilvl="8" w:tplc="994EE00E">
      <w:numFmt w:val="decimal"/>
      <w:lvlText w:val=""/>
      <w:lvlJc w:val="left"/>
    </w:lvl>
  </w:abstractNum>
  <w:abstractNum w:abstractNumId="997" w15:restartNumberingAfterBreak="0">
    <w:nsid w:val="4CE8277C"/>
    <w:multiLevelType w:val="hybridMultilevel"/>
    <w:tmpl w:val="FE9C2DFE"/>
    <w:lvl w:ilvl="0" w:tplc="F85EF710">
      <w:start w:val="1"/>
      <w:numFmt w:val="bullet"/>
      <w:lvlText w:val=""/>
      <w:lvlJc w:val="left"/>
      <w:pPr>
        <w:ind w:left="720" w:hanging="180"/>
      </w:pPr>
      <w:rPr>
        <w:rFonts w:ascii="Symbol" w:hAnsi="Symbol" w:hint="default"/>
      </w:rPr>
    </w:lvl>
    <w:lvl w:ilvl="1" w:tplc="DCF8C47E">
      <w:numFmt w:val="decimal"/>
      <w:lvlText w:val=""/>
      <w:lvlJc w:val="left"/>
    </w:lvl>
    <w:lvl w:ilvl="2" w:tplc="C308B76E">
      <w:numFmt w:val="decimal"/>
      <w:lvlText w:val=""/>
      <w:lvlJc w:val="left"/>
    </w:lvl>
    <w:lvl w:ilvl="3" w:tplc="7D4AF89E">
      <w:numFmt w:val="decimal"/>
      <w:lvlText w:val=""/>
      <w:lvlJc w:val="left"/>
    </w:lvl>
    <w:lvl w:ilvl="4" w:tplc="779E7926">
      <w:numFmt w:val="decimal"/>
      <w:lvlText w:val=""/>
      <w:lvlJc w:val="left"/>
    </w:lvl>
    <w:lvl w:ilvl="5" w:tplc="37EA82B2">
      <w:numFmt w:val="decimal"/>
      <w:lvlText w:val=""/>
      <w:lvlJc w:val="left"/>
    </w:lvl>
    <w:lvl w:ilvl="6" w:tplc="4FD280EC">
      <w:numFmt w:val="decimal"/>
      <w:lvlText w:val=""/>
      <w:lvlJc w:val="left"/>
    </w:lvl>
    <w:lvl w:ilvl="7" w:tplc="58D07BBA">
      <w:numFmt w:val="decimal"/>
      <w:lvlText w:val=""/>
      <w:lvlJc w:val="left"/>
    </w:lvl>
    <w:lvl w:ilvl="8" w:tplc="1D941502">
      <w:numFmt w:val="decimal"/>
      <w:lvlText w:val=""/>
      <w:lvlJc w:val="left"/>
    </w:lvl>
  </w:abstractNum>
  <w:abstractNum w:abstractNumId="998" w15:restartNumberingAfterBreak="0">
    <w:nsid w:val="4CEF20B6"/>
    <w:multiLevelType w:val="hybridMultilevel"/>
    <w:tmpl w:val="2A02D57C"/>
    <w:lvl w:ilvl="0" w:tplc="83222F06">
      <w:start w:val="1"/>
      <w:numFmt w:val="bullet"/>
      <w:lvlText w:val=""/>
      <w:lvlJc w:val="left"/>
      <w:pPr>
        <w:ind w:left="720" w:hanging="180"/>
      </w:pPr>
      <w:rPr>
        <w:rFonts w:ascii="Symbol" w:hAnsi="Symbol" w:hint="default"/>
      </w:rPr>
    </w:lvl>
    <w:lvl w:ilvl="1" w:tplc="7A268EBA">
      <w:numFmt w:val="decimal"/>
      <w:lvlText w:val=""/>
      <w:lvlJc w:val="left"/>
    </w:lvl>
    <w:lvl w:ilvl="2" w:tplc="1E1A2A66">
      <w:numFmt w:val="decimal"/>
      <w:lvlText w:val=""/>
      <w:lvlJc w:val="left"/>
    </w:lvl>
    <w:lvl w:ilvl="3" w:tplc="FDCACF72">
      <w:numFmt w:val="decimal"/>
      <w:lvlText w:val=""/>
      <w:lvlJc w:val="left"/>
    </w:lvl>
    <w:lvl w:ilvl="4" w:tplc="DEF26A38">
      <w:numFmt w:val="decimal"/>
      <w:lvlText w:val=""/>
      <w:lvlJc w:val="left"/>
    </w:lvl>
    <w:lvl w:ilvl="5" w:tplc="67E2CED2">
      <w:numFmt w:val="decimal"/>
      <w:lvlText w:val=""/>
      <w:lvlJc w:val="left"/>
    </w:lvl>
    <w:lvl w:ilvl="6" w:tplc="D99E14BC">
      <w:numFmt w:val="decimal"/>
      <w:lvlText w:val=""/>
      <w:lvlJc w:val="left"/>
    </w:lvl>
    <w:lvl w:ilvl="7" w:tplc="EBD2996C">
      <w:numFmt w:val="decimal"/>
      <w:lvlText w:val=""/>
      <w:lvlJc w:val="left"/>
    </w:lvl>
    <w:lvl w:ilvl="8" w:tplc="5BA2F06A">
      <w:numFmt w:val="decimal"/>
      <w:lvlText w:val=""/>
      <w:lvlJc w:val="left"/>
    </w:lvl>
  </w:abstractNum>
  <w:abstractNum w:abstractNumId="999" w15:restartNumberingAfterBreak="0">
    <w:nsid w:val="4D10251B"/>
    <w:multiLevelType w:val="hybridMultilevel"/>
    <w:tmpl w:val="6B88CCBE"/>
    <w:lvl w:ilvl="0" w:tplc="2766C6FA">
      <w:start w:val="1"/>
      <w:numFmt w:val="bullet"/>
      <w:lvlText w:val=""/>
      <w:lvlJc w:val="left"/>
      <w:pPr>
        <w:ind w:left="720" w:hanging="180"/>
      </w:pPr>
      <w:rPr>
        <w:rFonts w:ascii="Symbol" w:hAnsi="Symbol" w:hint="default"/>
      </w:rPr>
    </w:lvl>
    <w:lvl w:ilvl="1" w:tplc="1FEE4DAE">
      <w:numFmt w:val="decimal"/>
      <w:lvlText w:val=""/>
      <w:lvlJc w:val="left"/>
    </w:lvl>
    <w:lvl w:ilvl="2" w:tplc="83248D5E">
      <w:numFmt w:val="decimal"/>
      <w:lvlText w:val=""/>
      <w:lvlJc w:val="left"/>
    </w:lvl>
    <w:lvl w:ilvl="3" w:tplc="E5521180">
      <w:numFmt w:val="decimal"/>
      <w:lvlText w:val=""/>
      <w:lvlJc w:val="left"/>
    </w:lvl>
    <w:lvl w:ilvl="4" w:tplc="C18EFAA6">
      <w:numFmt w:val="decimal"/>
      <w:lvlText w:val=""/>
      <w:lvlJc w:val="left"/>
    </w:lvl>
    <w:lvl w:ilvl="5" w:tplc="721897F2">
      <w:numFmt w:val="decimal"/>
      <w:lvlText w:val=""/>
      <w:lvlJc w:val="left"/>
    </w:lvl>
    <w:lvl w:ilvl="6" w:tplc="90FCACFA">
      <w:numFmt w:val="decimal"/>
      <w:lvlText w:val=""/>
      <w:lvlJc w:val="left"/>
    </w:lvl>
    <w:lvl w:ilvl="7" w:tplc="76A8926C">
      <w:numFmt w:val="decimal"/>
      <w:lvlText w:val=""/>
      <w:lvlJc w:val="left"/>
    </w:lvl>
    <w:lvl w:ilvl="8" w:tplc="CFAA6664">
      <w:numFmt w:val="decimal"/>
      <w:lvlText w:val=""/>
      <w:lvlJc w:val="left"/>
    </w:lvl>
  </w:abstractNum>
  <w:abstractNum w:abstractNumId="1000" w15:restartNumberingAfterBreak="0">
    <w:nsid w:val="4D265E90"/>
    <w:multiLevelType w:val="hybridMultilevel"/>
    <w:tmpl w:val="F3C8C63A"/>
    <w:lvl w:ilvl="0" w:tplc="5366E15C">
      <w:start w:val="1"/>
      <w:numFmt w:val="bullet"/>
      <w:lvlText w:val=""/>
      <w:lvlJc w:val="left"/>
      <w:pPr>
        <w:ind w:left="720" w:hanging="180"/>
      </w:pPr>
      <w:rPr>
        <w:rFonts w:ascii="Symbol" w:hAnsi="Symbol" w:hint="default"/>
      </w:rPr>
    </w:lvl>
    <w:lvl w:ilvl="1" w:tplc="39283D60">
      <w:numFmt w:val="decimal"/>
      <w:lvlText w:val=""/>
      <w:lvlJc w:val="left"/>
    </w:lvl>
    <w:lvl w:ilvl="2" w:tplc="0904405C">
      <w:numFmt w:val="decimal"/>
      <w:lvlText w:val=""/>
      <w:lvlJc w:val="left"/>
    </w:lvl>
    <w:lvl w:ilvl="3" w:tplc="54C69DF4">
      <w:numFmt w:val="decimal"/>
      <w:lvlText w:val=""/>
      <w:lvlJc w:val="left"/>
    </w:lvl>
    <w:lvl w:ilvl="4" w:tplc="448CFCCC">
      <w:numFmt w:val="decimal"/>
      <w:lvlText w:val=""/>
      <w:lvlJc w:val="left"/>
    </w:lvl>
    <w:lvl w:ilvl="5" w:tplc="BB703CBA">
      <w:numFmt w:val="decimal"/>
      <w:lvlText w:val=""/>
      <w:lvlJc w:val="left"/>
    </w:lvl>
    <w:lvl w:ilvl="6" w:tplc="127699D2">
      <w:numFmt w:val="decimal"/>
      <w:lvlText w:val=""/>
      <w:lvlJc w:val="left"/>
    </w:lvl>
    <w:lvl w:ilvl="7" w:tplc="8AF8DBD2">
      <w:numFmt w:val="decimal"/>
      <w:lvlText w:val=""/>
      <w:lvlJc w:val="left"/>
    </w:lvl>
    <w:lvl w:ilvl="8" w:tplc="82A0D878">
      <w:numFmt w:val="decimal"/>
      <w:lvlText w:val=""/>
      <w:lvlJc w:val="left"/>
    </w:lvl>
  </w:abstractNum>
  <w:abstractNum w:abstractNumId="1001" w15:restartNumberingAfterBreak="0">
    <w:nsid w:val="4D2B1DB7"/>
    <w:multiLevelType w:val="hybridMultilevel"/>
    <w:tmpl w:val="458A2BC4"/>
    <w:lvl w:ilvl="0" w:tplc="87D8DBE2">
      <w:start w:val="1"/>
      <w:numFmt w:val="bullet"/>
      <w:lvlText w:val=""/>
      <w:lvlJc w:val="left"/>
      <w:pPr>
        <w:ind w:left="720" w:hanging="180"/>
      </w:pPr>
      <w:rPr>
        <w:rFonts w:ascii="Symbol" w:hAnsi="Symbol" w:hint="default"/>
      </w:rPr>
    </w:lvl>
    <w:lvl w:ilvl="1" w:tplc="07F0FE50">
      <w:numFmt w:val="decimal"/>
      <w:lvlText w:val=""/>
      <w:lvlJc w:val="left"/>
    </w:lvl>
    <w:lvl w:ilvl="2" w:tplc="0D26AF50">
      <w:numFmt w:val="decimal"/>
      <w:lvlText w:val=""/>
      <w:lvlJc w:val="left"/>
    </w:lvl>
    <w:lvl w:ilvl="3" w:tplc="1B667172">
      <w:numFmt w:val="decimal"/>
      <w:lvlText w:val=""/>
      <w:lvlJc w:val="left"/>
    </w:lvl>
    <w:lvl w:ilvl="4" w:tplc="BEEE458C">
      <w:numFmt w:val="decimal"/>
      <w:lvlText w:val=""/>
      <w:lvlJc w:val="left"/>
    </w:lvl>
    <w:lvl w:ilvl="5" w:tplc="57548C86">
      <w:numFmt w:val="decimal"/>
      <w:lvlText w:val=""/>
      <w:lvlJc w:val="left"/>
    </w:lvl>
    <w:lvl w:ilvl="6" w:tplc="64F2368A">
      <w:numFmt w:val="decimal"/>
      <w:lvlText w:val=""/>
      <w:lvlJc w:val="left"/>
    </w:lvl>
    <w:lvl w:ilvl="7" w:tplc="C6A4296C">
      <w:numFmt w:val="decimal"/>
      <w:lvlText w:val=""/>
      <w:lvlJc w:val="left"/>
    </w:lvl>
    <w:lvl w:ilvl="8" w:tplc="6646E578">
      <w:numFmt w:val="decimal"/>
      <w:lvlText w:val=""/>
      <w:lvlJc w:val="left"/>
    </w:lvl>
  </w:abstractNum>
  <w:abstractNum w:abstractNumId="1002" w15:restartNumberingAfterBreak="0">
    <w:nsid w:val="4D37036F"/>
    <w:multiLevelType w:val="hybridMultilevel"/>
    <w:tmpl w:val="C2A26978"/>
    <w:lvl w:ilvl="0" w:tplc="A8566EF8">
      <w:start w:val="1"/>
      <w:numFmt w:val="bullet"/>
      <w:lvlText w:val=""/>
      <w:lvlJc w:val="left"/>
      <w:pPr>
        <w:ind w:left="720" w:hanging="180"/>
      </w:pPr>
      <w:rPr>
        <w:rFonts w:ascii="Symbol" w:hAnsi="Symbol" w:hint="default"/>
      </w:rPr>
    </w:lvl>
    <w:lvl w:ilvl="1" w:tplc="B370846E">
      <w:numFmt w:val="decimal"/>
      <w:lvlText w:val=""/>
      <w:lvlJc w:val="left"/>
    </w:lvl>
    <w:lvl w:ilvl="2" w:tplc="E05A75F2">
      <w:numFmt w:val="decimal"/>
      <w:lvlText w:val=""/>
      <w:lvlJc w:val="left"/>
    </w:lvl>
    <w:lvl w:ilvl="3" w:tplc="597A20AA">
      <w:numFmt w:val="decimal"/>
      <w:lvlText w:val=""/>
      <w:lvlJc w:val="left"/>
    </w:lvl>
    <w:lvl w:ilvl="4" w:tplc="924849C6">
      <w:numFmt w:val="decimal"/>
      <w:lvlText w:val=""/>
      <w:lvlJc w:val="left"/>
    </w:lvl>
    <w:lvl w:ilvl="5" w:tplc="8F10C818">
      <w:numFmt w:val="decimal"/>
      <w:lvlText w:val=""/>
      <w:lvlJc w:val="left"/>
    </w:lvl>
    <w:lvl w:ilvl="6" w:tplc="B63A3ED8">
      <w:numFmt w:val="decimal"/>
      <w:lvlText w:val=""/>
      <w:lvlJc w:val="left"/>
    </w:lvl>
    <w:lvl w:ilvl="7" w:tplc="384C19BC">
      <w:numFmt w:val="decimal"/>
      <w:lvlText w:val=""/>
      <w:lvlJc w:val="left"/>
    </w:lvl>
    <w:lvl w:ilvl="8" w:tplc="8E6EB6F6">
      <w:numFmt w:val="decimal"/>
      <w:lvlText w:val=""/>
      <w:lvlJc w:val="left"/>
    </w:lvl>
  </w:abstractNum>
  <w:abstractNum w:abstractNumId="1003" w15:restartNumberingAfterBreak="0">
    <w:nsid w:val="4D6722FF"/>
    <w:multiLevelType w:val="hybridMultilevel"/>
    <w:tmpl w:val="8F100036"/>
    <w:lvl w:ilvl="0" w:tplc="94422C18">
      <w:start w:val="1"/>
      <w:numFmt w:val="bullet"/>
      <w:lvlText w:val=""/>
      <w:lvlJc w:val="left"/>
      <w:pPr>
        <w:ind w:left="720" w:hanging="180"/>
      </w:pPr>
      <w:rPr>
        <w:rFonts w:ascii="Symbol" w:hAnsi="Symbol" w:hint="default"/>
      </w:rPr>
    </w:lvl>
    <w:lvl w:ilvl="1" w:tplc="E55EE93A">
      <w:numFmt w:val="decimal"/>
      <w:lvlText w:val=""/>
      <w:lvlJc w:val="left"/>
    </w:lvl>
    <w:lvl w:ilvl="2" w:tplc="FF5E822A">
      <w:numFmt w:val="decimal"/>
      <w:lvlText w:val=""/>
      <w:lvlJc w:val="left"/>
    </w:lvl>
    <w:lvl w:ilvl="3" w:tplc="2EFC096A">
      <w:numFmt w:val="decimal"/>
      <w:lvlText w:val=""/>
      <w:lvlJc w:val="left"/>
    </w:lvl>
    <w:lvl w:ilvl="4" w:tplc="9FCCDCBC">
      <w:numFmt w:val="decimal"/>
      <w:lvlText w:val=""/>
      <w:lvlJc w:val="left"/>
    </w:lvl>
    <w:lvl w:ilvl="5" w:tplc="932EB5EE">
      <w:numFmt w:val="decimal"/>
      <w:lvlText w:val=""/>
      <w:lvlJc w:val="left"/>
    </w:lvl>
    <w:lvl w:ilvl="6" w:tplc="039A777E">
      <w:numFmt w:val="decimal"/>
      <w:lvlText w:val=""/>
      <w:lvlJc w:val="left"/>
    </w:lvl>
    <w:lvl w:ilvl="7" w:tplc="B0486192">
      <w:numFmt w:val="decimal"/>
      <w:lvlText w:val=""/>
      <w:lvlJc w:val="left"/>
    </w:lvl>
    <w:lvl w:ilvl="8" w:tplc="7CB23AAC">
      <w:numFmt w:val="decimal"/>
      <w:lvlText w:val=""/>
      <w:lvlJc w:val="left"/>
    </w:lvl>
  </w:abstractNum>
  <w:abstractNum w:abstractNumId="1004" w15:restartNumberingAfterBreak="0">
    <w:nsid w:val="4D67317A"/>
    <w:multiLevelType w:val="hybridMultilevel"/>
    <w:tmpl w:val="9BB4B912"/>
    <w:lvl w:ilvl="0" w:tplc="70C00A3C">
      <w:start w:val="1"/>
      <w:numFmt w:val="bullet"/>
      <w:lvlText w:val=""/>
      <w:lvlJc w:val="left"/>
      <w:pPr>
        <w:ind w:left="720" w:hanging="180"/>
      </w:pPr>
      <w:rPr>
        <w:rFonts w:ascii="Symbol" w:hAnsi="Symbol" w:hint="default"/>
      </w:rPr>
    </w:lvl>
    <w:lvl w:ilvl="1" w:tplc="20CEFC26">
      <w:numFmt w:val="decimal"/>
      <w:lvlText w:val=""/>
      <w:lvlJc w:val="left"/>
    </w:lvl>
    <w:lvl w:ilvl="2" w:tplc="EA426908">
      <w:numFmt w:val="decimal"/>
      <w:lvlText w:val=""/>
      <w:lvlJc w:val="left"/>
    </w:lvl>
    <w:lvl w:ilvl="3" w:tplc="D3608C98">
      <w:numFmt w:val="decimal"/>
      <w:lvlText w:val=""/>
      <w:lvlJc w:val="left"/>
    </w:lvl>
    <w:lvl w:ilvl="4" w:tplc="3B465818">
      <w:numFmt w:val="decimal"/>
      <w:lvlText w:val=""/>
      <w:lvlJc w:val="left"/>
    </w:lvl>
    <w:lvl w:ilvl="5" w:tplc="1D685DCA">
      <w:numFmt w:val="decimal"/>
      <w:lvlText w:val=""/>
      <w:lvlJc w:val="left"/>
    </w:lvl>
    <w:lvl w:ilvl="6" w:tplc="A1060E00">
      <w:numFmt w:val="decimal"/>
      <w:lvlText w:val=""/>
      <w:lvlJc w:val="left"/>
    </w:lvl>
    <w:lvl w:ilvl="7" w:tplc="64DA86B0">
      <w:numFmt w:val="decimal"/>
      <w:lvlText w:val=""/>
      <w:lvlJc w:val="left"/>
    </w:lvl>
    <w:lvl w:ilvl="8" w:tplc="A9F813E0">
      <w:numFmt w:val="decimal"/>
      <w:lvlText w:val=""/>
      <w:lvlJc w:val="left"/>
    </w:lvl>
  </w:abstractNum>
  <w:abstractNum w:abstractNumId="1005" w15:restartNumberingAfterBreak="0">
    <w:nsid w:val="4D6E2CAD"/>
    <w:multiLevelType w:val="hybridMultilevel"/>
    <w:tmpl w:val="32787C3E"/>
    <w:lvl w:ilvl="0" w:tplc="C5B6902E">
      <w:start w:val="1"/>
      <w:numFmt w:val="bullet"/>
      <w:lvlText w:val=""/>
      <w:lvlJc w:val="left"/>
      <w:pPr>
        <w:ind w:left="720" w:hanging="180"/>
      </w:pPr>
      <w:rPr>
        <w:rFonts w:ascii="Symbol" w:hAnsi="Symbol" w:hint="default"/>
      </w:rPr>
    </w:lvl>
    <w:lvl w:ilvl="1" w:tplc="A9A478B4">
      <w:numFmt w:val="decimal"/>
      <w:lvlText w:val=""/>
      <w:lvlJc w:val="left"/>
    </w:lvl>
    <w:lvl w:ilvl="2" w:tplc="26DE9846">
      <w:numFmt w:val="decimal"/>
      <w:lvlText w:val=""/>
      <w:lvlJc w:val="left"/>
    </w:lvl>
    <w:lvl w:ilvl="3" w:tplc="54DE2230">
      <w:numFmt w:val="decimal"/>
      <w:lvlText w:val=""/>
      <w:lvlJc w:val="left"/>
    </w:lvl>
    <w:lvl w:ilvl="4" w:tplc="E5A6BF22">
      <w:numFmt w:val="decimal"/>
      <w:lvlText w:val=""/>
      <w:lvlJc w:val="left"/>
    </w:lvl>
    <w:lvl w:ilvl="5" w:tplc="1A7C89AA">
      <w:numFmt w:val="decimal"/>
      <w:lvlText w:val=""/>
      <w:lvlJc w:val="left"/>
    </w:lvl>
    <w:lvl w:ilvl="6" w:tplc="CA0CD1A6">
      <w:numFmt w:val="decimal"/>
      <w:lvlText w:val=""/>
      <w:lvlJc w:val="left"/>
    </w:lvl>
    <w:lvl w:ilvl="7" w:tplc="5BE8550E">
      <w:numFmt w:val="decimal"/>
      <w:lvlText w:val=""/>
      <w:lvlJc w:val="left"/>
    </w:lvl>
    <w:lvl w:ilvl="8" w:tplc="704A3AC0">
      <w:numFmt w:val="decimal"/>
      <w:lvlText w:val=""/>
      <w:lvlJc w:val="left"/>
    </w:lvl>
  </w:abstractNum>
  <w:abstractNum w:abstractNumId="1006" w15:restartNumberingAfterBreak="0">
    <w:nsid w:val="4D7710CD"/>
    <w:multiLevelType w:val="hybridMultilevel"/>
    <w:tmpl w:val="7182E5AE"/>
    <w:lvl w:ilvl="0" w:tplc="DF6CB50A">
      <w:start w:val="1"/>
      <w:numFmt w:val="bullet"/>
      <w:lvlText w:val=""/>
      <w:lvlJc w:val="left"/>
      <w:pPr>
        <w:ind w:left="720" w:hanging="180"/>
      </w:pPr>
      <w:rPr>
        <w:rFonts w:ascii="Symbol" w:hAnsi="Symbol" w:hint="default"/>
      </w:rPr>
    </w:lvl>
    <w:lvl w:ilvl="1" w:tplc="D15EBFAC">
      <w:numFmt w:val="decimal"/>
      <w:lvlText w:val=""/>
      <w:lvlJc w:val="left"/>
    </w:lvl>
    <w:lvl w:ilvl="2" w:tplc="9E48A79E">
      <w:numFmt w:val="decimal"/>
      <w:lvlText w:val=""/>
      <w:lvlJc w:val="left"/>
    </w:lvl>
    <w:lvl w:ilvl="3" w:tplc="F0B28DAA">
      <w:numFmt w:val="decimal"/>
      <w:lvlText w:val=""/>
      <w:lvlJc w:val="left"/>
    </w:lvl>
    <w:lvl w:ilvl="4" w:tplc="273C6E76">
      <w:numFmt w:val="decimal"/>
      <w:lvlText w:val=""/>
      <w:lvlJc w:val="left"/>
    </w:lvl>
    <w:lvl w:ilvl="5" w:tplc="479A6A4E">
      <w:numFmt w:val="decimal"/>
      <w:lvlText w:val=""/>
      <w:lvlJc w:val="left"/>
    </w:lvl>
    <w:lvl w:ilvl="6" w:tplc="B39E37F6">
      <w:numFmt w:val="decimal"/>
      <w:lvlText w:val=""/>
      <w:lvlJc w:val="left"/>
    </w:lvl>
    <w:lvl w:ilvl="7" w:tplc="3DD46B60">
      <w:numFmt w:val="decimal"/>
      <w:lvlText w:val=""/>
      <w:lvlJc w:val="left"/>
    </w:lvl>
    <w:lvl w:ilvl="8" w:tplc="B386929A">
      <w:numFmt w:val="decimal"/>
      <w:lvlText w:val=""/>
      <w:lvlJc w:val="left"/>
    </w:lvl>
  </w:abstractNum>
  <w:abstractNum w:abstractNumId="1007" w15:restartNumberingAfterBreak="0">
    <w:nsid w:val="4D7A03B9"/>
    <w:multiLevelType w:val="hybridMultilevel"/>
    <w:tmpl w:val="DEB2FBFC"/>
    <w:lvl w:ilvl="0" w:tplc="8AC064FE">
      <w:start w:val="1"/>
      <w:numFmt w:val="bullet"/>
      <w:lvlText w:val=""/>
      <w:lvlJc w:val="left"/>
      <w:pPr>
        <w:ind w:left="720" w:hanging="180"/>
      </w:pPr>
      <w:rPr>
        <w:rFonts w:ascii="Symbol" w:hAnsi="Symbol" w:hint="default"/>
      </w:rPr>
    </w:lvl>
    <w:lvl w:ilvl="1" w:tplc="CF4633FA">
      <w:numFmt w:val="decimal"/>
      <w:lvlText w:val=""/>
      <w:lvlJc w:val="left"/>
    </w:lvl>
    <w:lvl w:ilvl="2" w:tplc="49826342">
      <w:numFmt w:val="decimal"/>
      <w:lvlText w:val=""/>
      <w:lvlJc w:val="left"/>
    </w:lvl>
    <w:lvl w:ilvl="3" w:tplc="3B6E446E">
      <w:numFmt w:val="decimal"/>
      <w:lvlText w:val=""/>
      <w:lvlJc w:val="left"/>
    </w:lvl>
    <w:lvl w:ilvl="4" w:tplc="A516DBC0">
      <w:numFmt w:val="decimal"/>
      <w:lvlText w:val=""/>
      <w:lvlJc w:val="left"/>
    </w:lvl>
    <w:lvl w:ilvl="5" w:tplc="D9D07BF6">
      <w:numFmt w:val="decimal"/>
      <w:lvlText w:val=""/>
      <w:lvlJc w:val="left"/>
    </w:lvl>
    <w:lvl w:ilvl="6" w:tplc="EC4476C2">
      <w:numFmt w:val="decimal"/>
      <w:lvlText w:val=""/>
      <w:lvlJc w:val="left"/>
    </w:lvl>
    <w:lvl w:ilvl="7" w:tplc="7EBED1E6">
      <w:numFmt w:val="decimal"/>
      <w:lvlText w:val=""/>
      <w:lvlJc w:val="left"/>
    </w:lvl>
    <w:lvl w:ilvl="8" w:tplc="1AAC7B24">
      <w:numFmt w:val="decimal"/>
      <w:lvlText w:val=""/>
      <w:lvlJc w:val="left"/>
    </w:lvl>
  </w:abstractNum>
  <w:abstractNum w:abstractNumId="1008" w15:restartNumberingAfterBreak="0">
    <w:nsid w:val="4D921FF2"/>
    <w:multiLevelType w:val="hybridMultilevel"/>
    <w:tmpl w:val="7A743652"/>
    <w:lvl w:ilvl="0" w:tplc="354C0846">
      <w:start w:val="1"/>
      <w:numFmt w:val="bullet"/>
      <w:lvlText w:val=""/>
      <w:lvlJc w:val="left"/>
      <w:pPr>
        <w:ind w:left="720" w:hanging="180"/>
      </w:pPr>
      <w:rPr>
        <w:rFonts w:ascii="Symbol" w:hAnsi="Symbol" w:hint="default"/>
      </w:rPr>
    </w:lvl>
    <w:lvl w:ilvl="1" w:tplc="B8C01CCC">
      <w:numFmt w:val="decimal"/>
      <w:lvlText w:val=""/>
      <w:lvlJc w:val="left"/>
    </w:lvl>
    <w:lvl w:ilvl="2" w:tplc="10F004D6">
      <w:numFmt w:val="decimal"/>
      <w:lvlText w:val=""/>
      <w:lvlJc w:val="left"/>
    </w:lvl>
    <w:lvl w:ilvl="3" w:tplc="D5688AF4">
      <w:numFmt w:val="decimal"/>
      <w:lvlText w:val=""/>
      <w:lvlJc w:val="left"/>
    </w:lvl>
    <w:lvl w:ilvl="4" w:tplc="421CC0D6">
      <w:numFmt w:val="decimal"/>
      <w:lvlText w:val=""/>
      <w:lvlJc w:val="left"/>
    </w:lvl>
    <w:lvl w:ilvl="5" w:tplc="6D804A9A">
      <w:numFmt w:val="decimal"/>
      <w:lvlText w:val=""/>
      <w:lvlJc w:val="left"/>
    </w:lvl>
    <w:lvl w:ilvl="6" w:tplc="50D6B7C4">
      <w:numFmt w:val="decimal"/>
      <w:lvlText w:val=""/>
      <w:lvlJc w:val="left"/>
    </w:lvl>
    <w:lvl w:ilvl="7" w:tplc="494EC658">
      <w:numFmt w:val="decimal"/>
      <w:lvlText w:val=""/>
      <w:lvlJc w:val="left"/>
    </w:lvl>
    <w:lvl w:ilvl="8" w:tplc="C3C4A930">
      <w:numFmt w:val="decimal"/>
      <w:lvlText w:val=""/>
      <w:lvlJc w:val="left"/>
    </w:lvl>
  </w:abstractNum>
  <w:abstractNum w:abstractNumId="1009" w15:restartNumberingAfterBreak="0">
    <w:nsid w:val="4D93431F"/>
    <w:multiLevelType w:val="hybridMultilevel"/>
    <w:tmpl w:val="9F60B97C"/>
    <w:lvl w:ilvl="0" w:tplc="822C3808">
      <w:start w:val="1"/>
      <w:numFmt w:val="bullet"/>
      <w:lvlText w:val=""/>
      <w:lvlJc w:val="left"/>
      <w:pPr>
        <w:ind w:left="720" w:hanging="180"/>
      </w:pPr>
      <w:rPr>
        <w:rFonts w:ascii="Symbol" w:hAnsi="Symbol" w:hint="default"/>
      </w:rPr>
    </w:lvl>
    <w:lvl w:ilvl="1" w:tplc="D792BBFE">
      <w:numFmt w:val="decimal"/>
      <w:lvlText w:val=""/>
      <w:lvlJc w:val="left"/>
    </w:lvl>
    <w:lvl w:ilvl="2" w:tplc="88C80404">
      <w:numFmt w:val="decimal"/>
      <w:lvlText w:val=""/>
      <w:lvlJc w:val="left"/>
    </w:lvl>
    <w:lvl w:ilvl="3" w:tplc="6478A870">
      <w:numFmt w:val="decimal"/>
      <w:lvlText w:val=""/>
      <w:lvlJc w:val="left"/>
    </w:lvl>
    <w:lvl w:ilvl="4" w:tplc="50AA0608">
      <w:numFmt w:val="decimal"/>
      <w:lvlText w:val=""/>
      <w:lvlJc w:val="left"/>
    </w:lvl>
    <w:lvl w:ilvl="5" w:tplc="A254DDB6">
      <w:numFmt w:val="decimal"/>
      <w:lvlText w:val=""/>
      <w:lvlJc w:val="left"/>
    </w:lvl>
    <w:lvl w:ilvl="6" w:tplc="2782179A">
      <w:numFmt w:val="decimal"/>
      <w:lvlText w:val=""/>
      <w:lvlJc w:val="left"/>
    </w:lvl>
    <w:lvl w:ilvl="7" w:tplc="E116830A">
      <w:numFmt w:val="decimal"/>
      <w:lvlText w:val=""/>
      <w:lvlJc w:val="left"/>
    </w:lvl>
    <w:lvl w:ilvl="8" w:tplc="A7AAAE32">
      <w:numFmt w:val="decimal"/>
      <w:lvlText w:val=""/>
      <w:lvlJc w:val="left"/>
    </w:lvl>
  </w:abstractNum>
  <w:abstractNum w:abstractNumId="1010" w15:restartNumberingAfterBreak="0">
    <w:nsid w:val="4DD65F24"/>
    <w:multiLevelType w:val="hybridMultilevel"/>
    <w:tmpl w:val="732AA478"/>
    <w:lvl w:ilvl="0" w:tplc="F8CAE826">
      <w:start w:val="1"/>
      <w:numFmt w:val="bullet"/>
      <w:lvlText w:val=""/>
      <w:lvlJc w:val="left"/>
      <w:pPr>
        <w:ind w:left="720" w:hanging="180"/>
      </w:pPr>
      <w:rPr>
        <w:rFonts w:ascii="Symbol" w:hAnsi="Symbol" w:hint="default"/>
      </w:rPr>
    </w:lvl>
    <w:lvl w:ilvl="1" w:tplc="78B2D9D2">
      <w:numFmt w:val="decimal"/>
      <w:lvlText w:val=""/>
      <w:lvlJc w:val="left"/>
    </w:lvl>
    <w:lvl w:ilvl="2" w:tplc="ECFAE006">
      <w:numFmt w:val="decimal"/>
      <w:lvlText w:val=""/>
      <w:lvlJc w:val="left"/>
    </w:lvl>
    <w:lvl w:ilvl="3" w:tplc="DAD261DE">
      <w:numFmt w:val="decimal"/>
      <w:lvlText w:val=""/>
      <w:lvlJc w:val="left"/>
    </w:lvl>
    <w:lvl w:ilvl="4" w:tplc="FF2E111E">
      <w:numFmt w:val="decimal"/>
      <w:lvlText w:val=""/>
      <w:lvlJc w:val="left"/>
    </w:lvl>
    <w:lvl w:ilvl="5" w:tplc="05921A04">
      <w:numFmt w:val="decimal"/>
      <w:lvlText w:val=""/>
      <w:lvlJc w:val="left"/>
    </w:lvl>
    <w:lvl w:ilvl="6" w:tplc="90E4E68C">
      <w:numFmt w:val="decimal"/>
      <w:lvlText w:val=""/>
      <w:lvlJc w:val="left"/>
    </w:lvl>
    <w:lvl w:ilvl="7" w:tplc="464AF0EC">
      <w:numFmt w:val="decimal"/>
      <w:lvlText w:val=""/>
      <w:lvlJc w:val="left"/>
    </w:lvl>
    <w:lvl w:ilvl="8" w:tplc="508A4E72">
      <w:numFmt w:val="decimal"/>
      <w:lvlText w:val=""/>
      <w:lvlJc w:val="left"/>
    </w:lvl>
  </w:abstractNum>
  <w:abstractNum w:abstractNumId="1011" w15:restartNumberingAfterBreak="0">
    <w:nsid w:val="4DF1599A"/>
    <w:multiLevelType w:val="hybridMultilevel"/>
    <w:tmpl w:val="4454D232"/>
    <w:lvl w:ilvl="0" w:tplc="747897B8">
      <w:start w:val="1"/>
      <w:numFmt w:val="bullet"/>
      <w:lvlText w:val=""/>
      <w:lvlJc w:val="left"/>
      <w:pPr>
        <w:ind w:left="720" w:hanging="180"/>
      </w:pPr>
      <w:rPr>
        <w:rFonts w:ascii="Symbol" w:hAnsi="Symbol" w:hint="default"/>
      </w:rPr>
    </w:lvl>
    <w:lvl w:ilvl="1" w:tplc="FF7E3AC2">
      <w:numFmt w:val="decimal"/>
      <w:lvlText w:val=""/>
      <w:lvlJc w:val="left"/>
    </w:lvl>
    <w:lvl w:ilvl="2" w:tplc="8C48236C">
      <w:numFmt w:val="decimal"/>
      <w:lvlText w:val=""/>
      <w:lvlJc w:val="left"/>
    </w:lvl>
    <w:lvl w:ilvl="3" w:tplc="677EDF60">
      <w:numFmt w:val="decimal"/>
      <w:lvlText w:val=""/>
      <w:lvlJc w:val="left"/>
    </w:lvl>
    <w:lvl w:ilvl="4" w:tplc="E564C74A">
      <w:numFmt w:val="decimal"/>
      <w:lvlText w:val=""/>
      <w:lvlJc w:val="left"/>
    </w:lvl>
    <w:lvl w:ilvl="5" w:tplc="065C3D7C">
      <w:numFmt w:val="decimal"/>
      <w:lvlText w:val=""/>
      <w:lvlJc w:val="left"/>
    </w:lvl>
    <w:lvl w:ilvl="6" w:tplc="2566FD4E">
      <w:numFmt w:val="decimal"/>
      <w:lvlText w:val=""/>
      <w:lvlJc w:val="left"/>
    </w:lvl>
    <w:lvl w:ilvl="7" w:tplc="5456EBD2">
      <w:numFmt w:val="decimal"/>
      <w:lvlText w:val=""/>
      <w:lvlJc w:val="left"/>
    </w:lvl>
    <w:lvl w:ilvl="8" w:tplc="98B6F5DE">
      <w:numFmt w:val="decimal"/>
      <w:lvlText w:val=""/>
      <w:lvlJc w:val="left"/>
    </w:lvl>
  </w:abstractNum>
  <w:abstractNum w:abstractNumId="1012" w15:restartNumberingAfterBreak="0">
    <w:nsid w:val="4DF27119"/>
    <w:multiLevelType w:val="hybridMultilevel"/>
    <w:tmpl w:val="340AAE68"/>
    <w:lvl w:ilvl="0" w:tplc="606C923E">
      <w:start w:val="1"/>
      <w:numFmt w:val="bullet"/>
      <w:lvlText w:val=""/>
      <w:lvlJc w:val="left"/>
      <w:pPr>
        <w:ind w:left="720" w:hanging="180"/>
      </w:pPr>
      <w:rPr>
        <w:rFonts w:ascii="Symbol" w:hAnsi="Symbol" w:hint="default"/>
      </w:rPr>
    </w:lvl>
    <w:lvl w:ilvl="1" w:tplc="C346CED8">
      <w:numFmt w:val="decimal"/>
      <w:lvlText w:val=""/>
      <w:lvlJc w:val="left"/>
    </w:lvl>
    <w:lvl w:ilvl="2" w:tplc="F182AF6C">
      <w:numFmt w:val="decimal"/>
      <w:lvlText w:val=""/>
      <w:lvlJc w:val="left"/>
    </w:lvl>
    <w:lvl w:ilvl="3" w:tplc="5C44015E">
      <w:numFmt w:val="decimal"/>
      <w:lvlText w:val=""/>
      <w:lvlJc w:val="left"/>
    </w:lvl>
    <w:lvl w:ilvl="4" w:tplc="D7FC880E">
      <w:numFmt w:val="decimal"/>
      <w:lvlText w:val=""/>
      <w:lvlJc w:val="left"/>
    </w:lvl>
    <w:lvl w:ilvl="5" w:tplc="0C8CD698">
      <w:numFmt w:val="decimal"/>
      <w:lvlText w:val=""/>
      <w:lvlJc w:val="left"/>
    </w:lvl>
    <w:lvl w:ilvl="6" w:tplc="19CE321C">
      <w:numFmt w:val="decimal"/>
      <w:lvlText w:val=""/>
      <w:lvlJc w:val="left"/>
    </w:lvl>
    <w:lvl w:ilvl="7" w:tplc="B802B0F6">
      <w:numFmt w:val="decimal"/>
      <w:lvlText w:val=""/>
      <w:lvlJc w:val="left"/>
    </w:lvl>
    <w:lvl w:ilvl="8" w:tplc="75FCE8FC">
      <w:numFmt w:val="decimal"/>
      <w:lvlText w:val=""/>
      <w:lvlJc w:val="left"/>
    </w:lvl>
  </w:abstractNum>
  <w:abstractNum w:abstractNumId="1013" w15:restartNumberingAfterBreak="0">
    <w:nsid w:val="4E1C5E94"/>
    <w:multiLevelType w:val="hybridMultilevel"/>
    <w:tmpl w:val="28DCC800"/>
    <w:lvl w:ilvl="0" w:tplc="3C0ABA12">
      <w:start w:val="1"/>
      <w:numFmt w:val="bullet"/>
      <w:lvlText w:val=""/>
      <w:lvlJc w:val="left"/>
      <w:pPr>
        <w:ind w:left="720" w:hanging="180"/>
      </w:pPr>
      <w:rPr>
        <w:rFonts w:ascii="Symbol" w:hAnsi="Symbol" w:hint="default"/>
      </w:rPr>
    </w:lvl>
    <w:lvl w:ilvl="1" w:tplc="E26AAF5A">
      <w:numFmt w:val="decimal"/>
      <w:lvlText w:val=""/>
      <w:lvlJc w:val="left"/>
    </w:lvl>
    <w:lvl w:ilvl="2" w:tplc="BB9E320C">
      <w:numFmt w:val="decimal"/>
      <w:lvlText w:val=""/>
      <w:lvlJc w:val="left"/>
    </w:lvl>
    <w:lvl w:ilvl="3" w:tplc="51221A98">
      <w:numFmt w:val="decimal"/>
      <w:lvlText w:val=""/>
      <w:lvlJc w:val="left"/>
    </w:lvl>
    <w:lvl w:ilvl="4" w:tplc="7ADE3106">
      <w:numFmt w:val="decimal"/>
      <w:lvlText w:val=""/>
      <w:lvlJc w:val="left"/>
    </w:lvl>
    <w:lvl w:ilvl="5" w:tplc="163E97AC">
      <w:numFmt w:val="decimal"/>
      <w:lvlText w:val=""/>
      <w:lvlJc w:val="left"/>
    </w:lvl>
    <w:lvl w:ilvl="6" w:tplc="202E0C6C">
      <w:numFmt w:val="decimal"/>
      <w:lvlText w:val=""/>
      <w:lvlJc w:val="left"/>
    </w:lvl>
    <w:lvl w:ilvl="7" w:tplc="EDB6F488">
      <w:numFmt w:val="decimal"/>
      <w:lvlText w:val=""/>
      <w:lvlJc w:val="left"/>
    </w:lvl>
    <w:lvl w:ilvl="8" w:tplc="A0685196">
      <w:numFmt w:val="decimal"/>
      <w:lvlText w:val=""/>
      <w:lvlJc w:val="left"/>
    </w:lvl>
  </w:abstractNum>
  <w:abstractNum w:abstractNumId="1014" w15:restartNumberingAfterBreak="0">
    <w:nsid w:val="4E1E19F4"/>
    <w:multiLevelType w:val="hybridMultilevel"/>
    <w:tmpl w:val="CFD80868"/>
    <w:lvl w:ilvl="0" w:tplc="EC228BE4">
      <w:start w:val="1"/>
      <w:numFmt w:val="bullet"/>
      <w:lvlText w:val=""/>
      <w:lvlJc w:val="left"/>
      <w:pPr>
        <w:ind w:left="720" w:hanging="180"/>
      </w:pPr>
      <w:rPr>
        <w:rFonts w:ascii="Symbol" w:hAnsi="Symbol" w:hint="default"/>
      </w:rPr>
    </w:lvl>
    <w:lvl w:ilvl="1" w:tplc="2F5078F8">
      <w:numFmt w:val="decimal"/>
      <w:lvlText w:val=""/>
      <w:lvlJc w:val="left"/>
    </w:lvl>
    <w:lvl w:ilvl="2" w:tplc="28A49E6E">
      <w:numFmt w:val="decimal"/>
      <w:lvlText w:val=""/>
      <w:lvlJc w:val="left"/>
    </w:lvl>
    <w:lvl w:ilvl="3" w:tplc="50C867B8">
      <w:numFmt w:val="decimal"/>
      <w:lvlText w:val=""/>
      <w:lvlJc w:val="left"/>
    </w:lvl>
    <w:lvl w:ilvl="4" w:tplc="57A6DAEC">
      <w:numFmt w:val="decimal"/>
      <w:lvlText w:val=""/>
      <w:lvlJc w:val="left"/>
    </w:lvl>
    <w:lvl w:ilvl="5" w:tplc="1C8C8AD8">
      <w:numFmt w:val="decimal"/>
      <w:lvlText w:val=""/>
      <w:lvlJc w:val="left"/>
    </w:lvl>
    <w:lvl w:ilvl="6" w:tplc="F0CAFAB2">
      <w:numFmt w:val="decimal"/>
      <w:lvlText w:val=""/>
      <w:lvlJc w:val="left"/>
    </w:lvl>
    <w:lvl w:ilvl="7" w:tplc="41D4D746">
      <w:numFmt w:val="decimal"/>
      <w:lvlText w:val=""/>
      <w:lvlJc w:val="left"/>
    </w:lvl>
    <w:lvl w:ilvl="8" w:tplc="37B454BE">
      <w:numFmt w:val="decimal"/>
      <w:lvlText w:val=""/>
      <w:lvlJc w:val="left"/>
    </w:lvl>
  </w:abstractNum>
  <w:abstractNum w:abstractNumId="1015" w15:restartNumberingAfterBreak="0">
    <w:nsid w:val="4E28290C"/>
    <w:multiLevelType w:val="hybridMultilevel"/>
    <w:tmpl w:val="F6060BF8"/>
    <w:lvl w:ilvl="0" w:tplc="790071D4">
      <w:numFmt w:val="decimal"/>
      <w:lvlText w:val=""/>
      <w:lvlJc w:val="left"/>
    </w:lvl>
    <w:lvl w:ilvl="1" w:tplc="46327AEC">
      <w:start w:val="1"/>
      <w:numFmt w:val="bullet"/>
      <w:lvlText w:val=""/>
      <w:lvlJc w:val="left"/>
      <w:pPr>
        <w:ind w:left="1440" w:hanging="180"/>
      </w:pPr>
      <w:rPr>
        <w:rFonts w:ascii="Symbol" w:hAnsi="Symbol" w:hint="default"/>
      </w:rPr>
    </w:lvl>
    <w:lvl w:ilvl="2" w:tplc="4E242E4A">
      <w:numFmt w:val="decimal"/>
      <w:lvlText w:val=""/>
      <w:lvlJc w:val="left"/>
    </w:lvl>
    <w:lvl w:ilvl="3" w:tplc="3A949C5C">
      <w:numFmt w:val="decimal"/>
      <w:lvlText w:val=""/>
      <w:lvlJc w:val="left"/>
    </w:lvl>
    <w:lvl w:ilvl="4" w:tplc="23862CB2">
      <w:numFmt w:val="decimal"/>
      <w:lvlText w:val=""/>
      <w:lvlJc w:val="left"/>
    </w:lvl>
    <w:lvl w:ilvl="5" w:tplc="33DE5C5C">
      <w:numFmt w:val="decimal"/>
      <w:lvlText w:val=""/>
      <w:lvlJc w:val="left"/>
    </w:lvl>
    <w:lvl w:ilvl="6" w:tplc="A978F6A2">
      <w:numFmt w:val="decimal"/>
      <w:lvlText w:val=""/>
      <w:lvlJc w:val="left"/>
    </w:lvl>
    <w:lvl w:ilvl="7" w:tplc="3DBE2824">
      <w:numFmt w:val="decimal"/>
      <w:lvlText w:val=""/>
      <w:lvlJc w:val="left"/>
    </w:lvl>
    <w:lvl w:ilvl="8" w:tplc="5164C05A">
      <w:numFmt w:val="decimal"/>
      <w:lvlText w:val=""/>
      <w:lvlJc w:val="left"/>
    </w:lvl>
  </w:abstractNum>
  <w:abstractNum w:abstractNumId="1016" w15:restartNumberingAfterBreak="0">
    <w:nsid w:val="4E3E7039"/>
    <w:multiLevelType w:val="hybridMultilevel"/>
    <w:tmpl w:val="F1B664CE"/>
    <w:lvl w:ilvl="0" w:tplc="A1501032">
      <w:start w:val="1"/>
      <w:numFmt w:val="bullet"/>
      <w:lvlText w:val=""/>
      <w:lvlJc w:val="left"/>
      <w:pPr>
        <w:ind w:left="720" w:hanging="180"/>
      </w:pPr>
      <w:rPr>
        <w:rFonts w:ascii="Symbol" w:hAnsi="Symbol" w:hint="default"/>
      </w:rPr>
    </w:lvl>
    <w:lvl w:ilvl="1" w:tplc="CADE26CA">
      <w:numFmt w:val="decimal"/>
      <w:lvlText w:val=""/>
      <w:lvlJc w:val="left"/>
    </w:lvl>
    <w:lvl w:ilvl="2" w:tplc="9FFC0C00">
      <w:numFmt w:val="decimal"/>
      <w:lvlText w:val=""/>
      <w:lvlJc w:val="left"/>
    </w:lvl>
    <w:lvl w:ilvl="3" w:tplc="AD88DEB0">
      <w:numFmt w:val="decimal"/>
      <w:lvlText w:val=""/>
      <w:lvlJc w:val="left"/>
    </w:lvl>
    <w:lvl w:ilvl="4" w:tplc="BBBEF694">
      <w:numFmt w:val="decimal"/>
      <w:lvlText w:val=""/>
      <w:lvlJc w:val="left"/>
    </w:lvl>
    <w:lvl w:ilvl="5" w:tplc="486A6FF4">
      <w:numFmt w:val="decimal"/>
      <w:lvlText w:val=""/>
      <w:lvlJc w:val="left"/>
    </w:lvl>
    <w:lvl w:ilvl="6" w:tplc="5986F7B8">
      <w:numFmt w:val="decimal"/>
      <w:lvlText w:val=""/>
      <w:lvlJc w:val="left"/>
    </w:lvl>
    <w:lvl w:ilvl="7" w:tplc="08F600A2">
      <w:numFmt w:val="decimal"/>
      <w:lvlText w:val=""/>
      <w:lvlJc w:val="left"/>
    </w:lvl>
    <w:lvl w:ilvl="8" w:tplc="A9186C5A">
      <w:numFmt w:val="decimal"/>
      <w:lvlText w:val=""/>
      <w:lvlJc w:val="left"/>
    </w:lvl>
  </w:abstractNum>
  <w:abstractNum w:abstractNumId="1017" w15:restartNumberingAfterBreak="0">
    <w:nsid w:val="4E3F0154"/>
    <w:multiLevelType w:val="hybridMultilevel"/>
    <w:tmpl w:val="63D425D6"/>
    <w:lvl w:ilvl="0" w:tplc="CF4C44AA">
      <w:start w:val="1"/>
      <w:numFmt w:val="bullet"/>
      <w:lvlText w:val=""/>
      <w:lvlJc w:val="left"/>
      <w:pPr>
        <w:ind w:left="720" w:hanging="180"/>
      </w:pPr>
      <w:rPr>
        <w:rFonts w:ascii="Symbol" w:hAnsi="Symbol" w:hint="default"/>
      </w:rPr>
    </w:lvl>
    <w:lvl w:ilvl="1" w:tplc="A466896A">
      <w:numFmt w:val="decimal"/>
      <w:lvlText w:val=""/>
      <w:lvlJc w:val="left"/>
    </w:lvl>
    <w:lvl w:ilvl="2" w:tplc="0DF6E9EC">
      <w:numFmt w:val="decimal"/>
      <w:lvlText w:val=""/>
      <w:lvlJc w:val="left"/>
    </w:lvl>
    <w:lvl w:ilvl="3" w:tplc="B6AA09B0">
      <w:numFmt w:val="decimal"/>
      <w:lvlText w:val=""/>
      <w:lvlJc w:val="left"/>
    </w:lvl>
    <w:lvl w:ilvl="4" w:tplc="28ACB9D8">
      <w:numFmt w:val="decimal"/>
      <w:lvlText w:val=""/>
      <w:lvlJc w:val="left"/>
    </w:lvl>
    <w:lvl w:ilvl="5" w:tplc="2F2AB836">
      <w:numFmt w:val="decimal"/>
      <w:lvlText w:val=""/>
      <w:lvlJc w:val="left"/>
    </w:lvl>
    <w:lvl w:ilvl="6" w:tplc="6606564C">
      <w:numFmt w:val="decimal"/>
      <w:lvlText w:val=""/>
      <w:lvlJc w:val="left"/>
    </w:lvl>
    <w:lvl w:ilvl="7" w:tplc="043A6322">
      <w:numFmt w:val="decimal"/>
      <w:lvlText w:val=""/>
      <w:lvlJc w:val="left"/>
    </w:lvl>
    <w:lvl w:ilvl="8" w:tplc="98DE21C4">
      <w:numFmt w:val="decimal"/>
      <w:lvlText w:val=""/>
      <w:lvlJc w:val="left"/>
    </w:lvl>
  </w:abstractNum>
  <w:abstractNum w:abstractNumId="1018" w15:restartNumberingAfterBreak="0">
    <w:nsid w:val="4E5F47FA"/>
    <w:multiLevelType w:val="hybridMultilevel"/>
    <w:tmpl w:val="EB8CD7D8"/>
    <w:lvl w:ilvl="0" w:tplc="249CCEFC">
      <w:start w:val="1"/>
      <w:numFmt w:val="bullet"/>
      <w:lvlText w:val=""/>
      <w:lvlJc w:val="left"/>
      <w:pPr>
        <w:ind w:left="720" w:hanging="180"/>
      </w:pPr>
      <w:rPr>
        <w:rFonts w:ascii="Symbol" w:hAnsi="Symbol" w:hint="default"/>
      </w:rPr>
    </w:lvl>
    <w:lvl w:ilvl="1" w:tplc="28D84BFC">
      <w:numFmt w:val="decimal"/>
      <w:lvlText w:val=""/>
      <w:lvlJc w:val="left"/>
    </w:lvl>
    <w:lvl w:ilvl="2" w:tplc="5DAE35EC">
      <w:numFmt w:val="decimal"/>
      <w:lvlText w:val=""/>
      <w:lvlJc w:val="left"/>
    </w:lvl>
    <w:lvl w:ilvl="3" w:tplc="1F2C2C3E">
      <w:numFmt w:val="decimal"/>
      <w:lvlText w:val=""/>
      <w:lvlJc w:val="left"/>
    </w:lvl>
    <w:lvl w:ilvl="4" w:tplc="9238E324">
      <w:numFmt w:val="decimal"/>
      <w:lvlText w:val=""/>
      <w:lvlJc w:val="left"/>
    </w:lvl>
    <w:lvl w:ilvl="5" w:tplc="7F9ABCBE">
      <w:numFmt w:val="decimal"/>
      <w:lvlText w:val=""/>
      <w:lvlJc w:val="left"/>
    </w:lvl>
    <w:lvl w:ilvl="6" w:tplc="53BE3556">
      <w:numFmt w:val="decimal"/>
      <w:lvlText w:val=""/>
      <w:lvlJc w:val="left"/>
    </w:lvl>
    <w:lvl w:ilvl="7" w:tplc="8AC2BC90">
      <w:numFmt w:val="decimal"/>
      <w:lvlText w:val=""/>
      <w:lvlJc w:val="left"/>
    </w:lvl>
    <w:lvl w:ilvl="8" w:tplc="9508E3BC">
      <w:numFmt w:val="decimal"/>
      <w:lvlText w:val=""/>
      <w:lvlJc w:val="left"/>
    </w:lvl>
  </w:abstractNum>
  <w:abstractNum w:abstractNumId="1019" w15:restartNumberingAfterBreak="0">
    <w:nsid w:val="4E60099E"/>
    <w:multiLevelType w:val="hybridMultilevel"/>
    <w:tmpl w:val="5CC2E0BC"/>
    <w:lvl w:ilvl="0" w:tplc="2A44F1BC">
      <w:start w:val="1"/>
      <w:numFmt w:val="bullet"/>
      <w:lvlText w:val=""/>
      <w:lvlJc w:val="left"/>
      <w:pPr>
        <w:ind w:left="720" w:hanging="180"/>
      </w:pPr>
      <w:rPr>
        <w:rFonts w:ascii="Symbol" w:hAnsi="Symbol" w:hint="default"/>
      </w:rPr>
    </w:lvl>
    <w:lvl w:ilvl="1" w:tplc="61B4D5FC">
      <w:numFmt w:val="decimal"/>
      <w:lvlText w:val=""/>
      <w:lvlJc w:val="left"/>
    </w:lvl>
    <w:lvl w:ilvl="2" w:tplc="C082CDE4">
      <w:numFmt w:val="decimal"/>
      <w:lvlText w:val=""/>
      <w:lvlJc w:val="left"/>
    </w:lvl>
    <w:lvl w:ilvl="3" w:tplc="56EABB7A">
      <w:numFmt w:val="decimal"/>
      <w:lvlText w:val=""/>
      <w:lvlJc w:val="left"/>
    </w:lvl>
    <w:lvl w:ilvl="4" w:tplc="BD56049A">
      <w:numFmt w:val="decimal"/>
      <w:lvlText w:val=""/>
      <w:lvlJc w:val="left"/>
    </w:lvl>
    <w:lvl w:ilvl="5" w:tplc="FABED410">
      <w:numFmt w:val="decimal"/>
      <w:lvlText w:val=""/>
      <w:lvlJc w:val="left"/>
    </w:lvl>
    <w:lvl w:ilvl="6" w:tplc="F5683576">
      <w:numFmt w:val="decimal"/>
      <w:lvlText w:val=""/>
      <w:lvlJc w:val="left"/>
    </w:lvl>
    <w:lvl w:ilvl="7" w:tplc="5B2C1FB2">
      <w:numFmt w:val="decimal"/>
      <w:lvlText w:val=""/>
      <w:lvlJc w:val="left"/>
    </w:lvl>
    <w:lvl w:ilvl="8" w:tplc="52BEBD66">
      <w:numFmt w:val="decimal"/>
      <w:lvlText w:val=""/>
      <w:lvlJc w:val="left"/>
    </w:lvl>
  </w:abstractNum>
  <w:abstractNum w:abstractNumId="1020" w15:restartNumberingAfterBreak="0">
    <w:nsid w:val="4E65313F"/>
    <w:multiLevelType w:val="hybridMultilevel"/>
    <w:tmpl w:val="E6B6724A"/>
    <w:lvl w:ilvl="0" w:tplc="F95E2206">
      <w:start w:val="1"/>
      <w:numFmt w:val="bullet"/>
      <w:lvlText w:val=""/>
      <w:lvlJc w:val="left"/>
      <w:pPr>
        <w:ind w:left="720" w:hanging="180"/>
      </w:pPr>
      <w:rPr>
        <w:rFonts w:ascii="Symbol" w:hAnsi="Symbol" w:hint="default"/>
      </w:rPr>
    </w:lvl>
    <w:lvl w:ilvl="1" w:tplc="A86CC9E2">
      <w:numFmt w:val="decimal"/>
      <w:lvlText w:val=""/>
      <w:lvlJc w:val="left"/>
    </w:lvl>
    <w:lvl w:ilvl="2" w:tplc="936873F4">
      <w:numFmt w:val="decimal"/>
      <w:lvlText w:val=""/>
      <w:lvlJc w:val="left"/>
    </w:lvl>
    <w:lvl w:ilvl="3" w:tplc="F7A04E42">
      <w:numFmt w:val="decimal"/>
      <w:lvlText w:val=""/>
      <w:lvlJc w:val="left"/>
    </w:lvl>
    <w:lvl w:ilvl="4" w:tplc="BA886A7A">
      <w:numFmt w:val="decimal"/>
      <w:lvlText w:val=""/>
      <w:lvlJc w:val="left"/>
    </w:lvl>
    <w:lvl w:ilvl="5" w:tplc="46B03FE2">
      <w:numFmt w:val="decimal"/>
      <w:lvlText w:val=""/>
      <w:lvlJc w:val="left"/>
    </w:lvl>
    <w:lvl w:ilvl="6" w:tplc="3D60FE34">
      <w:numFmt w:val="decimal"/>
      <w:lvlText w:val=""/>
      <w:lvlJc w:val="left"/>
    </w:lvl>
    <w:lvl w:ilvl="7" w:tplc="AFF01ABE">
      <w:numFmt w:val="decimal"/>
      <w:lvlText w:val=""/>
      <w:lvlJc w:val="left"/>
    </w:lvl>
    <w:lvl w:ilvl="8" w:tplc="7064093E">
      <w:numFmt w:val="decimal"/>
      <w:lvlText w:val=""/>
      <w:lvlJc w:val="left"/>
    </w:lvl>
  </w:abstractNum>
  <w:abstractNum w:abstractNumId="1021" w15:restartNumberingAfterBreak="0">
    <w:nsid w:val="4E666BDB"/>
    <w:multiLevelType w:val="hybridMultilevel"/>
    <w:tmpl w:val="1B0E2774"/>
    <w:lvl w:ilvl="0" w:tplc="F1EA2350">
      <w:start w:val="1"/>
      <w:numFmt w:val="bullet"/>
      <w:lvlText w:val=""/>
      <w:lvlJc w:val="left"/>
      <w:pPr>
        <w:ind w:left="720" w:hanging="180"/>
      </w:pPr>
      <w:rPr>
        <w:rFonts w:ascii="Symbol" w:hAnsi="Symbol" w:hint="default"/>
      </w:rPr>
    </w:lvl>
    <w:lvl w:ilvl="1" w:tplc="2C26F62E">
      <w:numFmt w:val="decimal"/>
      <w:lvlText w:val=""/>
      <w:lvlJc w:val="left"/>
    </w:lvl>
    <w:lvl w:ilvl="2" w:tplc="D480F462">
      <w:numFmt w:val="decimal"/>
      <w:lvlText w:val=""/>
      <w:lvlJc w:val="left"/>
    </w:lvl>
    <w:lvl w:ilvl="3" w:tplc="0B2CDBD2">
      <w:numFmt w:val="decimal"/>
      <w:lvlText w:val=""/>
      <w:lvlJc w:val="left"/>
    </w:lvl>
    <w:lvl w:ilvl="4" w:tplc="C0C49CAC">
      <w:numFmt w:val="decimal"/>
      <w:lvlText w:val=""/>
      <w:lvlJc w:val="left"/>
    </w:lvl>
    <w:lvl w:ilvl="5" w:tplc="E5A0C2D8">
      <w:numFmt w:val="decimal"/>
      <w:lvlText w:val=""/>
      <w:lvlJc w:val="left"/>
    </w:lvl>
    <w:lvl w:ilvl="6" w:tplc="4F0CE394">
      <w:numFmt w:val="decimal"/>
      <w:lvlText w:val=""/>
      <w:lvlJc w:val="left"/>
    </w:lvl>
    <w:lvl w:ilvl="7" w:tplc="35DA66A0">
      <w:numFmt w:val="decimal"/>
      <w:lvlText w:val=""/>
      <w:lvlJc w:val="left"/>
    </w:lvl>
    <w:lvl w:ilvl="8" w:tplc="9544B5D0">
      <w:numFmt w:val="decimal"/>
      <w:lvlText w:val=""/>
      <w:lvlJc w:val="left"/>
    </w:lvl>
  </w:abstractNum>
  <w:abstractNum w:abstractNumId="1022" w15:restartNumberingAfterBreak="0">
    <w:nsid w:val="4E671012"/>
    <w:multiLevelType w:val="hybridMultilevel"/>
    <w:tmpl w:val="7BB66C94"/>
    <w:lvl w:ilvl="0" w:tplc="F01E7546">
      <w:start w:val="1"/>
      <w:numFmt w:val="bullet"/>
      <w:lvlText w:val=""/>
      <w:lvlJc w:val="left"/>
      <w:pPr>
        <w:ind w:left="720" w:hanging="180"/>
      </w:pPr>
      <w:rPr>
        <w:rFonts w:ascii="Symbol" w:hAnsi="Symbol" w:hint="default"/>
      </w:rPr>
    </w:lvl>
    <w:lvl w:ilvl="1" w:tplc="99ACD546">
      <w:numFmt w:val="decimal"/>
      <w:lvlText w:val=""/>
      <w:lvlJc w:val="left"/>
    </w:lvl>
    <w:lvl w:ilvl="2" w:tplc="7C763434">
      <w:numFmt w:val="decimal"/>
      <w:lvlText w:val=""/>
      <w:lvlJc w:val="left"/>
    </w:lvl>
    <w:lvl w:ilvl="3" w:tplc="2CB201FE">
      <w:numFmt w:val="decimal"/>
      <w:lvlText w:val=""/>
      <w:lvlJc w:val="left"/>
    </w:lvl>
    <w:lvl w:ilvl="4" w:tplc="ADC26DA0">
      <w:numFmt w:val="decimal"/>
      <w:lvlText w:val=""/>
      <w:lvlJc w:val="left"/>
    </w:lvl>
    <w:lvl w:ilvl="5" w:tplc="2D4AC7FC">
      <w:numFmt w:val="decimal"/>
      <w:lvlText w:val=""/>
      <w:lvlJc w:val="left"/>
    </w:lvl>
    <w:lvl w:ilvl="6" w:tplc="9EC8E594">
      <w:numFmt w:val="decimal"/>
      <w:lvlText w:val=""/>
      <w:lvlJc w:val="left"/>
    </w:lvl>
    <w:lvl w:ilvl="7" w:tplc="1084DA4E">
      <w:numFmt w:val="decimal"/>
      <w:lvlText w:val=""/>
      <w:lvlJc w:val="left"/>
    </w:lvl>
    <w:lvl w:ilvl="8" w:tplc="82A21F88">
      <w:numFmt w:val="decimal"/>
      <w:lvlText w:val=""/>
      <w:lvlJc w:val="left"/>
    </w:lvl>
  </w:abstractNum>
  <w:abstractNum w:abstractNumId="1023" w15:restartNumberingAfterBreak="0">
    <w:nsid w:val="4E6F3D10"/>
    <w:multiLevelType w:val="hybridMultilevel"/>
    <w:tmpl w:val="83E2FE3E"/>
    <w:lvl w:ilvl="0" w:tplc="236C6C96">
      <w:start w:val="1"/>
      <w:numFmt w:val="bullet"/>
      <w:lvlText w:val=""/>
      <w:lvlJc w:val="left"/>
      <w:pPr>
        <w:ind w:left="720" w:hanging="180"/>
      </w:pPr>
      <w:rPr>
        <w:rFonts w:ascii="Symbol" w:hAnsi="Symbol" w:hint="default"/>
      </w:rPr>
    </w:lvl>
    <w:lvl w:ilvl="1" w:tplc="212E51CE">
      <w:numFmt w:val="decimal"/>
      <w:lvlText w:val=""/>
      <w:lvlJc w:val="left"/>
    </w:lvl>
    <w:lvl w:ilvl="2" w:tplc="CF52174C">
      <w:numFmt w:val="decimal"/>
      <w:lvlText w:val=""/>
      <w:lvlJc w:val="left"/>
    </w:lvl>
    <w:lvl w:ilvl="3" w:tplc="1ABAAF3E">
      <w:numFmt w:val="decimal"/>
      <w:lvlText w:val=""/>
      <w:lvlJc w:val="left"/>
    </w:lvl>
    <w:lvl w:ilvl="4" w:tplc="59021BC8">
      <w:numFmt w:val="decimal"/>
      <w:lvlText w:val=""/>
      <w:lvlJc w:val="left"/>
    </w:lvl>
    <w:lvl w:ilvl="5" w:tplc="08DE81DE">
      <w:numFmt w:val="decimal"/>
      <w:lvlText w:val=""/>
      <w:lvlJc w:val="left"/>
    </w:lvl>
    <w:lvl w:ilvl="6" w:tplc="9E84A7AE">
      <w:numFmt w:val="decimal"/>
      <w:lvlText w:val=""/>
      <w:lvlJc w:val="left"/>
    </w:lvl>
    <w:lvl w:ilvl="7" w:tplc="4C9C657C">
      <w:numFmt w:val="decimal"/>
      <w:lvlText w:val=""/>
      <w:lvlJc w:val="left"/>
    </w:lvl>
    <w:lvl w:ilvl="8" w:tplc="D436AD7C">
      <w:numFmt w:val="decimal"/>
      <w:lvlText w:val=""/>
      <w:lvlJc w:val="left"/>
    </w:lvl>
  </w:abstractNum>
  <w:abstractNum w:abstractNumId="1024" w15:restartNumberingAfterBreak="0">
    <w:nsid w:val="4E795063"/>
    <w:multiLevelType w:val="hybridMultilevel"/>
    <w:tmpl w:val="6C6A86E0"/>
    <w:lvl w:ilvl="0" w:tplc="D3BEB14A">
      <w:start w:val="1"/>
      <w:numFmt w:val="bullet"/>
      <w:lvlText w:val=""/>
      <w:lvlJc w:val="left"/>
      <w:pPr>
        <w:ind w:left="720" w:hanging="180"/>
      </w:pPr>
      <w:rPr>
        <w:rFonts w:ascii="Symbol" w:hAnsi="Symbol" w:hint="default"/>
      </w:rPr>
    </w:lvl>
    <w:lvl w:ilvl="1" w:tplc="ECA40180">
      <w:numFmt w:val="decimal"/>
      <w:lvlText w:val=""/>
      <w:lvlJc w:val="left"/>
    </w:lvl>
    <w:lvl w:ilvl="2" w:tplc="0854FF34">
      <w:numFmt w:val="decimal"/>
      <w:lvlText w:val=""/>
      <w:lvlJc w:val="left"/>
    </w:lvl>
    <w:lvl w:ilvl="3" w:tplc="03D69C2A">
      <w:numFmt w:val="decimal"/>
      <w:lvlText w:val=""/>
      <w:lvlJc w:val="left"/>
    </w:lvl>
    <w:lvl w:ilvl="4" w:tplc="956261A6">
      <w:numFmt w:val="decimal"/>
      <w:lvlText w:val=""/>
      <w:lvlJc w:val="left"/>
    </w:lvl>
    <w:lvl w:ilvl="5" w:tplc="98C4361A">
      <w:numFmt w:val="decimal"/>
      <w:lvlText w:val=""/>
      <w:lvlJc w:val="left"/>
    </w:lvl>
    <w:lvl w:ilvl="6" w:tplc="E9062E1C">
      <w:numFmt w:val="decimal"/>
      <w:lvlText w:val=""/>
      <w:lvlJc w:val="left"/>
    </w:lvl>
    <w:lvl w:ilvl="7" w:tplc="5AF62602">
      <w:numFmt w:val="decimal"/>
      <w:lvlText w:val=""/>
      <w:lvlJc w:val="left"/>
    </w:lvl>
    <w:lvl w:ilvl="8" w:tplc="9698F1C8">
      <w:numFmt w:val="decimal"/>
      <w:lvlText w:val=""/>
      <w:lvlJc w:val="left"/>
    </w:lvl>
  </w:abstractNum>
  <w:abstractNum w:abstractNumId="1025" w15:restartNumberingAfterBreak="0">
    <w:nsid w:val="4E985681"/>
    <w:multiLevelType w:val="hybridMultilevel"/>
    <w:tmpl w:val="A8D80A02"/>
    <w:lvl w:ilvl="0" w:tplc="57C6DAF4">
      <w:start w:val="1"/>
      <w:numFmt w:val="bullet"/>
      <w:lvlText w:val=""/>
      <w:lvlJc w:val="left"/>
      <w:pPr>
        <w:ind w:left="720" w:hanging="180"/>
      </w:pPr>
      <w:rPr>
        <w:rFonts w:ascii="Symbol" w:hAnsi="Symbol" w:hint="default"/>
      </w:rPr>
    </w:lvl>
    <w:lvl w:ilvl="1" w:tplc="64E042F4">
      <w:numFmt w:val="decimal"/>
      <w:lvlText w:val=""/>
      <w:lvlJc w:val="left"/>
    </w:lvl>
    <w:lvl w:ilvl="2" w:tplc="1506D16A">
      <w:numFmt w:val="decimal"/>
      <w:lvlText w:val=""/>
      <w:lvlJc w:val="left"/>
    </w:lvl>
    <w:lvl w:ilvl="3" w:tplc="8BA851F0">
      <w:numFmt w:val="decimal"/>
      <w:lvlText w:val=""/>
      <w:lvlJc w:val="left"/>
    </w:lvl>
    <w:lvl w:ilvl="4" w:tplc="DB1E8BC4">
      <w:numFmt w:val="decimal"/>
      <w:lvlText w:val=""/>
      <w:lvlJc w:val="left"/>
    </w:lvl>
    <w:lvl w:ilvl="5" w:tplc="52C6CFB0">
      <w:numFmt w:val="decimal"/>
      <w:lvlText w:val=""/>
      <w:lvlJc w:val="left"/>
    </w:lvl>
    <w:lvl w:ilvl="6" w:tplc="3C46C8A2">
      <w:numFmt w:val="decimal"/>
      <w:lvlText w:val=""/>
      <w:lvlJc w:val="left"/>
    </w:lvl>
    <w:lvl w:ilvl="7" w:tplc="748A4652">
      <w:numFmt w:val="decimal"/>
      <w:lvlText w:val=""/>
      <w:lvlJc w:val="left"/>
    </w:lvl>
    <w:lvl w:ilvl="8" w:tplc="27927842">
      <w:numFmt w:val="decimal"/>
      <w:lvlText w:val=""/>
      <w:lvlJc w:val="left"/>
    </w:lvl>
  </w:abstractNum>
  <w:abstractNum w:abstractNumId="1026" w15:restartNumberingAfterBreak="0">
    <w:nsid w:val="4EAC5BB2"/>
    <w:multiLevelType w:val="hybridMultilevel"/>
    <w:tmpl w:val="135C35A2"/>
    <w:lvl w:ilvl="0" w:tplc="EF9CBBA4">
      <w:start w:val="1"/>
      <w:numFmt w:val="bullet"/>
      <w:lvlText w:val=""/>
      <w:lvlJc w:val="left"/>
      <w:pPr>
        <w:ind w:left="720" w:hanging="180"/>
      </w:pPr>
      <w:rPr>
        <w:rFonts w:ascii="Symbol" w:hAnsi="Symbol" w:hint="default"/>
      </w:rPr>
    </w:lvl>
    <w:lvl w:ilvl="1" w:tplc="0316E49A">
      <w:numFmt w:val="decimal"/>
      <w:lvlText w:val=""/>
      <w:lvlJc w:val="left"/>
    </w:lvl>
    <w:lvl w:ilvl="2" w:tplc="A6F8E10C">
      <w:numFmt w:val="decimal"/>
      <w:lvlText w:val=""/>
      <w:lvlJc w:val="left"/>
    </w:lvl>
    <w:lvl w:ilvl="3" w:tplc="437073BE">
      <w:numFmt w:val="decimal"/>
      <w:lvlText w:val=""/>
      <w:lvlJc w:val="left"/>
    </w:lvl>
    <w:lvl w:ilvl="4" w:tplc="A23EB32C">
      <w:numFmt w:val="decimal"/>
      <w:lvlText w:val=""/>
      <w:lvlJc w:val="left"/>
    </w:lvl>
    <w:lvl w:ilvl="5" w:tplc="4C04CBF2">
      <w:numFmt w:val="decimal"/>
      <w:lvlText w:val=""/>
      <w:lvlJc w:val="left"/>
    </w:lvl>
    <w:lvl w:ilvl="6" w:tplc="852C7120">
      <w:numFmt w:val="decimal"/>
      <w:lvlText w:val=""/>
      <w:lvlJc w:val="left"/>
    </w:lvl>
    <w:lvl w:ilvl="7" w:tplc="53008EFA">
      <w:numFmt w:val="decimal"/>
      <w:lvlText w:val=""/>
      <w:lvlJc w:val="left"/>
    </w:lvl>
    <w:lvl w:ilvl="8" w:tplc="87683C00">
      <w:numFmt w:val="decimal"/>
      <w:lvlText w:val=""/>
      <w:lvlJc w:val="left"/>
    </w:lvl>
  </w:abstractNum>
  <w:abstractNum w:abstractNumId="1027" w15:restartNumberingAfterBreak="0">
    <w:nsid w:val="4ECC25BB"/>
    <w:multiLevelType w:val="hybridMultilevel"/>
    <w:tmpl w:val="485C4330"/>
    <w:lvl w:ilvl="0" w:tplc="0F6CF878">
      <w:start w:val="1"/>
      <w:numFmt w:val="bullet"/>
      <w:lvlText w:val=""/>
      <w:lvlJc w:val="left"/>
      <w:pPr>
        <w:ind w:left="720" w:hanging="180"/>
      </w:pPr>
      <w:rPr>
        <w:rFonts w:ascii="Symbol" w:hAnsi="Symbol" w:hint="default"/>
      </w:rPr>
    </w:lvl>
    <w:lvl w:ilvl="1" w:tplc="A2B8D9E8">
      <w:numFmt w:val="decimal"/>
      <w:lvlText w:val=""/>
      <w:lvlJc w:val="left"/>
    </w:lvl>
    <w:lvl w:ilvl="2" w:tplc="1534C1D6">
      <w:numFmt w:val="decimal"/>
      <w:lvlText w:val=""/>
      <w:lvlJc w:val="left"/>
    </w:lvl>
    <w:lvl w:ilvl="3" w:tplc="B57E3076">
      <w:numFmt w:val="decimal"/>
      <w:lvlText w:val=""/>
      <w:lvlJc w:val="left"/>
    </w:lvl>
    <w:lvl w:ilvl="4" w:tplc="6D5AA660">
      <w:numFmt w:val="decimal"/>
      <w:lvlText w:val=""/>
      <w:lvlJc w:val="left"/>
    </w:lvl>
    <w:lvl w:ilvl="5" w:tplc="632AA8A6">
      <w:numFmt w:val="decimal"/>
      <w:lvlText w:val=""/>
      <w:lvlJc w:val="left"/>
    </w:lvl>
    <w:lvl w:ilvl="6" w:tplc="56684194">
      <w:numFmt w:val="decimal"/>
      <w:lvlText w:val=""/>
      <w:lvlJc w:val="left"/>
    </w:lvl>
    <w:lvl w:ilvl="7" w:tplc="3E468EBE">
      <w:numFmt w:val="decimal"/>
      <w:lvlText w:val=""/>
      <w:lvlJc w:val="left"/>
    </w:lvl>
    <w:lvl w:ilvl="8" w:tplc="B8063546">
      <w:numFmt w:val="decimal"/>
      <w:lvlText w:val=""/>
      <w:lvlJc w:val="left"/>
    </w:lvl>
  </w:abstractNum>
  <w:abstractNum w:abstractNumId="1028" w15:restartNumberingAfterBreak="0">
    <w:nsid w:val="4EE02D55"/>
    <w:multiLevelType w:val="hybridMultilevel"/>
    <w:tmpl w:val="C5A869E8"/>
    <w:lvl w:ilvl="0" w:tplc="7D4C6BDE">
      <w:start w:val="1"/>
      <w:numFmt w:val="bullet"/>
      <w:lvlText w:val=""/>
      <w:lvlJc w:val="left"/>
      <w:pPr>
        <w:ind w:left="720" w:hanging="180"/>
      </w:pPr>
      <w:rPr>
        <w:rFonts w:ascii="Symbol" w:hAnsi="Symbol" w:hint="default"/>
      </w:rPr>
    </w:lvl>
    <w:lvl w:ilvl="1" w:tplc="A14A1EE0">
      <w:numFmt w:val="decimal"/>
      <w:lvlText w:val=""/>
      <w:lvlJc w:val="left"/>
    </w:lvl>
    <w:lvl w:ilvl="2" w:tplc="CB528DA0">
      <w:numFmt w:val="decimal"/>
      <w:lvlText w:val=""/>
      <w:lvlJc w:val="left"/>
    </w:lvl>
    <w:lvl w:ilvl="3" w:tplc="AF62C1DE">
      <w:numFmt w:val="decimal"/>
      <w:lvlText w:val=""/>
      <w:lvlJc w:val="left"/>
    </w:lvl>
    <w:lvl w:ilvl="4" w:tplc="16A2CC72">
      <w:numFmt w:val="decimal"/>
      <w:lvlText w:val=""/>
      <w:lvlJc w:val="left"/>
    </w:lvl>
    <w:lvl w:ilvl="5" w:tplc="EEE20D6C">
      <w:numFmt w:val="decimal"/>
      <w:lvlText w:val=""/>
      <w:lvlJc w:val="left"/>
    </w:lvl>
    <w:lvl w:ilvl="6" w:tplc="6860A480">
      <w:numFmt w:val="decimal"/>
      <w:lvlText w:val=""/>
      <w:lvlJc w:val="left"/>
    </w:lvl>
    <w:lvl w:ilvl="7" w:tplc="4BEE5FAE">
      <w:numFmt w:val="decimal"/>
      <w:lvlText w:val=""/>
      <w:lvlJc w:val="left"/>
    </w:lvl>
    <w:lvl w:ilvl="8" w:tplc="025AA886">
      <w:numFmt w:val="decimal"/>
      <w:lvlText w:val=""/>
      <w:lvlJc w:val="left"/>
    </w:lvl>
  </w:abstractNum>
  <w:abstractNum w:abstractNumId="1029" w15:restartNumberingAfterBreak="0">
    <w:nsid w:val="4EF71684"/>
    <w:multiLevelType w:val="hybridMultilevel"/>
    <w:tmpl w:val="F59AD1CC"/>
    <w:lvl w:ilvl="0" w:tplc="3A32E548">
      <w:start w:val="1"/>
      <w:numFmt w:val="bullet"/>
      <w:lvlText w:val=""/>
      <w:lvlJc w:val="left"/>
      <w:pPr>
        <w:ind w:left="720" w:hanging="180"/>
      </w:pPr>
      <w:rPr>
        <w:rFonts w:ascii="Symbol" w:hAnsi="Symbol" w:hint="default"/>
      </w:rPr>
    </w:lvl>
    <w:lvl w:ilvl="1" w:tplc="92E60B46">
      <w:numFmt w:val="decimal"/>
      <w:lvlText w:val=""/>
      <w:lvlJc w:val="left"/>
    </w:lvl>
    <w:lvl w:ilvl="2" w:tplc="C52494FE">
      <w:numFmt w:val="decimal"/>
      <w:lvlText w:val=""/>
      <w:lvlJc w:val="left"/>
    </w:lvl>
    <w:lvl w:ilvl="3" w:tplc="5BA09238">
      <w:numFmt w:val="decimal"/>
      <w:lvlText w:val=""/>
      <w:lvlJc w:val="left"/>
    </w:lvl>
    <w:lvl w:ilvl="4" w:tplc="05D872E2">
      <w:numFmt w:val="decimal"/>
      <w:lvlText w:val=""/>
      <w:lvlJc w:val="left"/>
    </w:lvl>
    <w:lvl w:ilvl="5" w:tplc="C770C604">
      <w:numFmt w:val="decimal"/>
      <w:lvlText w:val=""/>
      <w:lvlJc w:val="left"/>
    </w:lvl>
    <w:lvl w:ilvl="6" w:tplc="FB28C766">
      <w:numFmt w:val="decimal"/>
      <w:lvlText w:val=""/>
      <w:lvlJc w:val="left"/>
    </w:lvl>
    <w:lvl w:ilvl="7" w:tplc="2208ED42">
      <w:numFmt w:val="decimal"/>
      <w:lvlText w:val=""/>
      <w:lvlJc w:val="left"/>
    </w:lvl>
    <w:lvl w:ilvl="8" w:tplc="B2F617DE">
      <w:numFmt w:val="decimal"/>
      <w:lvlText w:val=""/>
      <w:lvlJc w:val="left"/>
    </w:lvl>
  </w:abstractNum>
  <w:abstractNum w:abstractNumId="1030" w15:restartNumberingAfterBreak="0">
    <w:nsid w:val="4EF73230"/>
    <w:multiLevelType w:val="hybridMultilevel"/>
    <w:tmpl w:val="2C425C7E"/>
    <w:lvl w:ilvl="0" w:tplc="CE08BF6A">
      <w:start w:val="1"/>
      <w:numFmt w:val="bullet"/>
      <w:lvlText w:val=""/>
      <w:lvlJc w:val="left"/>
      <w:pPr>
        <w:ind w:left="720" w:hanging="180"/>
      </w:pPr>
      <w:rPr>
        <w:rFonts w:ascii="Symbol" w:hAnsi="Symbol" w:hint="default"/>
      </w:rPr>
    </w:lvl>
    <w:lvl w:ilvl="1" w:tplc="BB068632">
      <w:numFmt w:val="decimal"/>
      <w:lvlText w:val=""/>
      <w:lvlJc w:val="left"/>
    </w:lvl>
    <w:lvl w:ilvl="2" w:tplc="AAAAE6D6">
      <w:numFmt w:val="decimal"/>
      <w:lvlText w:val=""/>
      <w:lvlJc w:val="left"/>
    </w:lvl>
    <w:lvl w:ilvl="3" w:tplc="1D6658BA">
      <w:numFmt w:val="decimal"/>
      <w:lvlText w:val=""/>
      <w:lvlJc w:val="left"/>
    </w:lvl>
    <w:lvl w:ilvl="4" w:tplc="5372B3FE">
      <w:numFmt w:val="decimal"/>
      <w:lvlText w:val=""/>
      <w:lvlJc w:val="left"/>
    </w:lvl>
    <w:lvl w:ilvl="5" w:tplc="92789AF4">
      <w:numFmt w:val="decimal"/>
      <w:lvlText w:val=""/>
      <w:lvlJc w:val="left"/>
    </w:lvl>
    <w:lvl w:ilvl="6" w:tplc="1062BBDE">
      <w:numFmt w:val="decimal"/>
      <w:lvlText w:val=""/>
      <w:lvlJc w:val="left"/>
    </w:lvl>
    <w:lvl w:ilvl="7" w:tplc="D3E487A4">
      <w:numFmt w:val="decimal"/>
      <w:lvlText w:val=""/>
      <w:lvlJc w:val="left"/>
    </w:lvl>
    <w:lvl w:ilvl="8" w:tplc="340049E8">
      <w:numFmt w:val="decimal"/>
      <w:lvlText w:val=""/>
      <w:lvlJc w:val="left"/>
    </w:lvl>
  </w:abstractNum>
  <w:abstractNum w:abstractNumId="1031" w15:restartNumberingAfterBreak="0">
    <w:nsid w:val="4EF96D46"/>
    <w:multiLevelType w:val="hybridMultilevel"/>
    <w:tmpl w:val="C130F320"/>
    <w:lvl w:ilvl="0" w:tplc="BD6C5CE4">
      <w:numFmt w:val="decimal"/>
      <w:lvlText w:val=""/>
      <w:lvlJc w:val="left"/>
    </w:lvl>
    <w:lvl w:ilvl="1" w:tplc="08B681C2">
      <w:start w:val="1"/>
      <w:numFmt w:val="bullet"/>
      <w:lvlText w:val=""/>
      <w:lvlJc w:val="left"/>
      <w:pPr>
        <w:ind w:left="1440" w:hanging="180"/>
      </w:pPr>
      <w:rPr>
        <w:rFonts w:ascii="Symbol" w:hAnsi="Symbol" w:hint="default"/>
      </w:rPr>
    </w:lvl>
    <w:lvl w:ilvl="2" w:tplc="8604DA00">
      <w:numFmt w:val="decimal"/>
      <w:lvlText w:val=""/>
      <w:lvlJc w:val="left"/>
    </w:lvl>
    <w:lvl w:ilvl="3" w:tplc="C5D88968">
      <w:numFmt w:val="decimal"/>
      <w:lvlText w:val=""/>
      <w:lvlJc w:val="left"/>
    </w:lvl>
    <w:lvl w:ilvl="4" w:tplc="F2AA2D14">
      <w:numFmt w:val="decimal"/>
      <w:lvlText w:val=""/>
      <w:lvlJc w:val="left"/>
    </w:lvl>
    <w:lvl w:ilvl="5" w:tplc="AAA62A94">
      <w:numFmt w:val="decimal"/>
      <w:lvlText w:val=""/>
      <w:lvlJc w:val="left"/>
    </w:lvl>
    <w:lvl w:ilvl="6" w:tplc="EBC485CE">
      <w:numFmt w:val="decimal"/>
      <w:lvlText w:val=""/>
      <w:lvlJc w:val="left"/>
    </w:lvl>
    <w:lvl w:ilvl="7" w:tplc="A7E2FDF6">
      <w:numFmt w:val="decimal"/>
      <w:lvlText w:val=""/>
      <w:lvlJc w:val="left"/>
    </w:lvl>
    <w:lvl w:ilvl="8" w:tplc="7542EF7A">
      <w:numFmt w:val="decimal"/>
      <w:lvlText w:val=""/>
      <w:lvlJc w:val="left"/>
    </w:lvl>
  </w:abstractNum>
  <w:abstractNum w:abstractNumId="1032" w15:restartNumberingAfterBreak="0">
    <w:nsid w:val="4F105D0F"/>
    <w:multiLevelType w:val="hybridMultilevel"/>
    <w:tmpl w:val="B30A2336"/>
    <w:lvl w:ilvl="0" w:tplc="3612C98A">
      <w:start w:val="1"/>
      <w:numFmt w:val="bullet"/>
      <w:lvlText w:val=""/>
      <w:lvlJc w:val="left"/>
      <w:pPr>
        <w:ind w:left="720" w:hanging="180"/>
      </w:pPr>
      <w:rPr>
        <w:rFonts w:ascii="Symbol" w:hAnsi="Symbol" w:hint="default"/>
      </w:rPr>
    </w:lvl>
    <w:lvl w:ilvl="1" w:tplc="2C04EB34">
      <w:numFmt w:val="decimal"/>
      <w:lvlText w:val=""/>
      <w:lvlJc w:val="left"/>
    </w:lvl>
    <w:lvl w:ilvl="2" w:tplc="E3C6C3C2">
      <w:numFmt w:val="decimal"/>
      <w:lvlText w:val=""/>
      <w:lvlJc w:val="left"/>
    </w:lvl>
    <w:lvl w:ilvl="3" w:tplc="927E580A">
      <w:numFmt w:val="decimal"/>
      <w:lvlText w:val=""/>
      <w:lvlJc w:val="left"/>
    </w:lvl>
    <w:lvl w:ilvl="4" w:tplc="E5ACAC76">
      <w:numFmt w:val="decimal"/>
      <w:lvlText w:val=""/>
      <w:lvlJc w:val="left"/>
    </w:lvl>
    <w:lvl w:ilvl="5" w:tplc="CB006378">
      <w:numFmt w:val="decimal"/>
      <w:lvlText w:val=""/>
      <w:lvlJc w:val="left"/>
    </w:lvl>
    <w:lvl w:ilvl="6" w:tplc="490A7DD0">
      <w:numFmt w:val="decimal"/>
      <w:lvlText w:val=""/>
      <w:lvlJc w:val="left"/>
    </w:lvl>
    <w:lvl w:ilvl="7" w:tplc="02EA4086">
      <w:numFmt w:val="decimal"/>
      <w:lvlText w:val=""/>
      <w:lvlJc w:val="left"/>
    </w:lvl>
    <w:lvl w:ilvl="8" w:tplc="D9066A02">
      <w:numFmt w:val="decimal"/>
      <w:lvlText w:val=""/>
      <w:lvlJc w:val="left"/>
    </w:lvl>
  </w:abstractNum>
  <w:abstractNum w:abstractNumId="1033" w15:restartNumberingAfterBreak="0">
    <w:nsid w:val="4F290F9F"/>
    <w:multiLevelType w:val="hybridMultilevel"/>
    <w:tmpl w:val="D6726BEC"/>
    <w:lvl w:ilvl="0" w:tplc="D0EA35D0">
      <w:start w:val="1"/>
      <w:numFmt w:val="bullet"/>
      <w:lvlText w:val=""/>
      <w:lvlJc w:val="left"/>
      <w:pPr>
        <w:ind w:left="720" w:hanging="180"/>
      </w:pPr>
      <w:rPr>
        <w:rFonts w:ascii="Symbol" w:hAnsi="Symbol" w:hint="default"/>
      </w:rPr>
    </w:lvl>
    <w:lvl w:ilvl="1" w:tplc="CC9C14E4">
      <w:numFmt w:val="decimal"/>
      <w:lvlText w:val=""/>
      <w:lvlJc w:val="left"/>
    </w:lvl>
    <w:lvl w:ilvl="2" w:tplc="E1482534">
      <w:numFmt w:val="decimal"/>
      <w:lvlText w:val=""/>
      <w:lvlJc w:val="left"/>
    </w:lvl>
    <w:lvl w:ilvl="3" w:tplc="BBB0E214">
      <w:numFmt w:val="decimal"/>
      <w:lvlText w:val=""/>
      <w:lvlJc w:val="left"/>
    </w:lvl>
    <w:lvl w:ilvl="4" w:tplc="D23E10DC">
      <w:numFmt w:val="decimal"/>
      <w:lvlText w:val=""/>
      <w:lvlJc w:val="left"/>
    </w:lvl>
    <w:lvl w:ilvl="5" w:tplc="1D721E04">
      <w:numFmt w:val="decimal"/>
      <w:lvlText w:val=""/>
      <w:lvlJc w:val="left"/>
    </w:lvl>
    <w:lvl w:ilvl="6" w:tplc="D2CC7540">
      <w:numFmt w:val="decimal"/>
      <w:lvlText w:val=""/>
      <w:lvlJc w:val="left"/>
    </w:lvl>
    <w:lvl w:ilvl="7" w:tplc="A37442C2">
      <w:numFmt w:val="decimal"/>
      <w:lvlText w:val=""/>
      <w:lvlJc w:val="left"/>
    </w:lvl>
    <w:lvl w:ilvl="8" w:tplc="7250E7BE">
      <w:numFmt w:val="decimal"/>
      <w:lvlText w:val=""/>
      <w:lvlJc w:val="left"/>
    </w:lvl>
  </w:abstractNum>
  <w:abstractNum w:abstractNumId="1034" w15:restartNumberingAfterBreak="0">
    <w:nsid w:val="4F5F3309"/>
    <w:multiLevelType w:val="hybridMultilevel"/>
    <w:tmpl w:val="4A5E5026"/>
    <w:lvl w:ilvl="0" w:tplc="302C77E2">
      <w:start w:val="1"/>
      <w:numFmt w:val="bullet"/>
      <w:lvlText w:val=""/>
      <w:lvlJc w:val="left"/>
      <w:pPr>
        <w:ind w:left="720" w:hanging="180"/>
      </w:pPr>
      <w:rPr>
        <w:rFonts w:ascii="Symbol" w:hAnsi="Symbol" w:hint="default"/>
      </w:rPr>
    </w:lvl>
    <w:lvl w:ilvl="1" w:tplc="8E0E5AFC">
      <w:numFmt w:val="decimal"/>
      <w:lvlText w:val=""/>
      <w:lvlJc w:val="left"/>
    </w:lvl>
    <w:lvl w:ilvl="2" w:tplc="0822813E">
      <w:numFmt w:val="decimal"/>
      <w:lvlText w:val=""/>
      <w:lvlJc w:val="left"/>
    </w:lvl>
    <w:lvl w:ilvl="3" w:tplc="BB6E04C0">
      <w:numFmt w:val="decimal"/>
      <w:lvlText w:val=""/>
      <w:lvlJc w:val="left"/>
    </w:lvl>
    <w:lvl w:ilvl="4" w:tplc="A70C074A">
      <w:numFmt w:val="decimal"/>
      <w:lvlText w:val=""/>
      <w:lvlJc w:val="left"/>
    </w:lvl>
    <w:lvl w:ilvl="5" w:tplc="02F6F330">
      <w:numFmt w:val="decimal"/>
      <w:lvlText w:val=""/>
      <w:lvlJc w:val="left"/>
    </w:lvl>
    <w:lvl w:ilvl="6" w:tplc="26866062">
      <w:numFmt w:val="decimal"/>
      <w:lvlText w:val=""/>
      <w:lvlJc w:val="left"/>
    </w:lvl>
    <w:lvl w:ilvl="7" w:tplc="E918EC3A">
      <w:numFmt w:val="decimal"/>
      <w:lvlText w:val=""/>
      <w:lvlJc w:val="left"/>
    </w:lvl>
    <w:lvl w:ilvl="8" w:tplc="04A2215A">
      <w:numFmt w:val="decimal"/>
      <w:lvlText w:val=""/>
      <w:lvlJc w:val="left"/>
    </w:lvl>
  </w:abstractNum>
  <w:abstractNum w:abstractNumId="1035" w15:restartNumberingAfterBreak="0">
    <w:nsid w:val="4F6642C8"/>
    <w:multiLevelType w:val="hybridMultilevel"/>
    <w:tmpl w:val="83D0481E"/>
    <w:lvl w:ilvl="0" w:tplc="0B0ABADA">
      <w:start w:val="1"/>
      <w:numFmt w:val="bullet"/>
      <w:lvlText w:val=""/>
      <w:lvlJc w:val="left"/>
      <w:pPr>
        <w:ind w:left="720" w:hanging="180"/>
      </w:pPr>
      <w:rPr>
        <w:rFonts w:ascii="Symbol" w:hAnsi="Symbol" w:hint="default"/>
      </w:rPr>
    </w:lvl>
    <w:lvl w:ilvl="1" w:tplc="CE2E7638">
      <w:numFmt w:val="decimal"/>
      <w:lvlText w:val=""/>
      <w:lvlJc w:val="left"/>
    </w:lvl>
    <w:lvl w:ilvl="2" w:tplc="BA48FE7A">
      <w:numFmt w:val="decimal"/>
      <w:lvlText w:val=""/>
      <w:lvlJc w:val="left"/>
    </w:lvl>
    <w:lvl w:ilvl="3" w:tplc="480E8D66">
      <w:numFmt w:val="decimal"/>
      <w:lvlText w:val=""/>
      <w:lvlJc w:val="left"/>
    </w:lvl>
    <w:lvl w:ilvl="4" w:tplc="0A1E7E76">
      <w:numFmt w:val="decimal"/>
      <w:lvlText w:val=""/>
      <w:lvlJc w:val="left"/>
    </w:lvl>
    <w:lvl w:ilvl="5" w:tplc="DF623028">
      <w:numFmt w:val="decimal"/>
      <w:lvlText w:val=""/>
      <w:lvlJc w:val="left"/>
    </w:lvl>
    <w:lvl w:ilvl="6" w:tplc="C574831E">
      <w:numFmt w:val="decimal"/>
      <w:lvlText w:val=""/>
      <w:lvlJc w:val="left"/>
    </w:lvl>
    <w:lvl w:ilvl="7" w:tplc="BA0E60AE">
      <w:numFmt w:val="decimal"/>
      <w:lvlText w:val=""/>
      <w:lvlJc w:val="left"/>
    </w:lvl>
    <w:lvl w:ilvl="8" w:tplc="81703AC0">
      <w:numFmt w:val="decimal"/>
      <w:lvlText w:val=""/>
      <w:lvlJc w:val="left"/>
    </w:lvl>
  </w:abstractNum>
  <w:abstractNum w:abstractNumId="1036" w15:restartNumberingAfterBreak="0">
    <w:nsid w:val="4F9E1B7C"/>
    <w:multiLevelType w:val="hybridMultilevel"/>
    <w:tmpl w:val="4140AAEE"/>
    <w:lvl w:ilvl="0" w:tplc="D7AA4E80">
      <w:start w:val="1"/>
      <w:numFmt w:val="bullet"/>
      <w:lvlText w:val=""/>
      <w:lvlJc w:val="left"/>
      <w:pPr>
        <w:ind w:left="720" w:hanging="180"/>
      </w:pPr>
      <w:rPr>
        <w:rFonts w:ascii="Symbol" w:hAnsi="Symbol" w:hint="default"/>
      </w:rPr>
    </w:lvl>
    <w:lvl w:ilvl="1" w:tplc="E5A81A4A">
      <w:numFmt w:val="decimal"/>
      <w:lvlText w:val=""/>
      <w:lvlJc w:val="left"/>
    </w:lvl>
    <w:lvl w:ilvl="2" w:tplc="EFAC3746">
      <w:numFmt w:val="decimal"/>
      <w:lvlText w:val=""/>
      <w:lvlJc w:val="left"/>
    </w:lvl>
    <w:lvl w:ilvl="3" w:tplc="CB7C0AD2">
      <w:numFmt w:val="decimal"/>
      <w:lvlText w:val=""/>
      <w:lvlJc w:val="left"/>
    </w:lvl>
    <w:lvl w:ilvl="4" w:tplc="5E2C304E">
      <w:numFmt w:val="decimal"/>
      <w:lvlText w:val=""/>
      <w:lvlJc w:val="left"/>
    </w:lvl>
    <w:lvl w:ilvl="5" w:tplc="7178AAB2">
      <w:numFmt w:val="decimal"/>
      <w:lvlText w:val=""/>
      <w:lvlJc w:val="left"/>
    </w:lvl>
    <w:lvl w:ilvl="6" w:tplc="DD7EC4CA">
      <w:numFmt w:val="decimal"/>
      <w:lvlText w:val=""/>
      <w:lvlJc w:val="left"/>
    </w:lvl>
    <w:lvl w:ilvl="7" w:tplc="08B8E8AA">
      <w:numFmt w:val="decimal"/>
      <w:lvlText w:val=""/>
      <w:lvlJc w:val="left"/>
    </w:lvl>
    <w:lvl w:ilvl="8" w:tplc="47B6788A">
      <w:numFmt w:val="decimal"/>
      <w:lvlText w:val=""/>
      <w:lvlJc w:val="left"/>
    </w:lvl>
  </w:abstractNum>
  <w:abstractNum w:abstractNumId="1037" w15:restartNumberingAfterBreak="0">
    <w:nsid w:val="4FD61347"/>
    <w:multiLevelType w:val="hybridMultilevel"/>
    <w:tmpl w:val="7DFCB808"/>
    <w:lvl w:ilvl="0" w:tplc="BC74522C">
      <w:start w:val="1"/>
      <w:numFmt w:val="bullet"/>
      <w:lvlText w:val=""/>
      <w:lvlJc w:val="left"/>
      <w:pPr>
        <w:ind w:left="720" w:hanging="180"/>
      </w:pPr>
      <w:rPr>
        <w:rFonts w:ascii="Symbol" w:hAnsi="Symbol" w:hint="default"/>
      </w:rPr>
    </w:lvl>
    <w:lvl w:ilvl="1" w:tplc="FCCCD044">
      <w:numFmt w:val="decimal"/>
      <w:lvlText w:val=""/>
      <w:lvlJc w:val="left"/>
    </w:lvl>
    <w:lvl w:ilvl="2" w:tplc="618EEB2C">
      <w:numFmt w:val="decimal"/>
      <w:lvlText w:val=""/>
      <w:lvlJc w:val="left"/>
    </w:lvl>
    <w:lvl w:ilvl="3" w:tplc="A1DAB178">
      <w:numFmt w:val="decimal"/>
      <w:lvlText w:val=""/>
      <w:lvlJc w:val="left"/>
    </w:lvl>
    <w:lvl w:ilvl="4" w:tplc="B976944E">
      <w:numFmt w:val="decimal"/>
      <w:lvlText w:val=""/>
      <w:lvlJc w:val="left"/>
    </w:lvl>
    <w:lvl w:ilvl="5" w:tplc="E7BA9064">
      <w:numFmt w:val="decimal"/>
      <w:lvlText w:val=""/>
      <w:lvlJc w:val="left"/>
    </w:lvl>
    <w:lvl w:ilvl="6" w:tplc="AE4633B6">
      <w:numFmt w:val="decimal"/>
      <w:lvlText w:val=""/>
      <w:lvlJc w:val="left"/>
    </w:lvl>
    <w:lvl w:ilvl="7" w:tplc="48E85000">
      <w:numFmt w:val="decimal"/>
      <w:lvlText w:val=""/>
      <w:lvlJc w:val="left"/>
    </w:lvl>
    <w:lvl w:ilvl="8" w:tplc="7C729EC2">
      <w:numFmt w:val="decimal"/>
      <w:lvlText w:val=""/>
      <w:lvlJc w:val="left"/>
    </w:lvl>
  </w:abstractNum>
  <w:abstractNum w:abstractNumId="1038" w15:restartNumberingAfterBreak="0">
    <w:nsid w:val="4FD84EDB"/>
    <w:multiLevelType w:val="hybridMultilevel"/>
    <w:tmpl w:val="F86255CC"/>
    <w:lvl w:ilvl="0" w:tplc="CE5AC866">
      <w:numFmt w:val="decimal"/>
      <w:lvlText w:val=""/>
      <w:lvlJc w:val="left"/>
    </w:lvl>
    <w:lvl w:ilvl="1" w:tplc="8AE875D4">
      <w:start w:val="1"/>
      <w:numFmt w:val="bullet"/>
      <w:lvlText w:val=""/>
      <w:lvlJc w:val="left"/>
      <w:pPr>
        <w:ind w:left="1440" w:hanging="180"/>
      </w:pPr>
      <w:rPr>
        <w:rFonts w:ascii="Symbol" w:hAnsi="Symbol" w:hint="default"/>
      </w:rPr>
    </w:lvl>
    <w:lvl w:ilvl="2" w:tplc="E31AF27E">
      <w:numFmt w:val="decimal"/>
      <w:lvlText w:val=""/>
      <w:lvlJc w:val="left"/>
    </w:lvl>
    <w:lvl w:ilvl="3" w:tplc="6C101D0C">
      <w:numFmt w:val="decimal"/>
      <w:lvlText w:val=""/>
      <w:lvlJc w:val="left"/>
    </w:lvl>
    <w:lvl w:ilvl="4" w:tplc="CB1A1BA6">
      <w:numFmt w:val="decimal"/>
      <w:lvlText w:val=""/>
      <w:lvlJc w:val="left"/>
    </w:lvl>
    <w:lvl w:ilvl="5" w:tplc="23F82956">
      <w:numFmt w:val="decimal"/>
      <w:lvlText w:val=""/>
      <w:lvlJc w:val="left"/>
    </w:lvl>
    <w:lvl w:ilvl="6" w:tplc="3C6C7A9C">
      <w:numFmt w:val="decimal"/>
      <w:lvlText w:val=""/>
      <w:lvlJc w:val="left"/>
    </w:lvl>
    <w:lvl w:ilvl="7" w:tplc="4EDCA706">
      <w:numFmt w:val="decimal"/>
      <w:lvlText w:val=""/>
      <w:lvlJc w:val="left"/>
    </w:lvl>
    <w:lvl w:ilvl="8" w:tplc="1D2EB4CC">
      <w:numFmt w:val="decimal"/>
      <w:lvlText w:val=""/>
      <w:lvlJc w:val="left"/>
    </w:lvl>
  </w:abstractNum>
  <w:abstractNum w:abstractNumId="1039" w15:restartNumberingAfterBreak="0">
    <w:nsid w:val="500B072B"/>
    <w:multiLevelType w:val="hybridMultilevel"/>
    <w:tmpl w:val="50BA6E4C"/>
    <w:lvl w:ilvl="0" w:tplc="E9EEE3FA">
      <w:start w:val="1"/>
      <w:numFmt w:val="bullet"/>
      <w:lvlText w:val=""/>
      <w:lvlJc w:val="left"/>
      <w:pPr>
        <w:ind w:left="720" w:hanging="180"/>
      </w:pPr>
      <w:rPr>
        <w:rFonts w:ascii="Symbol" w:hAnsi="Symbol" w:hint="default"/>
      </w:rPr>
    </w:lvl>
    <w:lvl w:ilvl="1" w:tplc="AF8AC93C">
      <w:numFmt w:val="decimal"/>
      <w:lvlText w:val=""/>
      <w:lvlJc w:val="left"/>
    </w:lvl>
    <w:lvl w:ilvl="2" w:tplc="99442D88">
      <w:numFmt w:val="decimal"/>
      <w:lvlText w:val=""/>
      <w:lvlJc w:val="left"/>
    </w:lvl>
    <w:lvl w:ilvl="3" w:tplc="0128A6F8">
      <w:numFmt w:val="decimal"/>
      <w:lvlText w:val=""/>
      <w:lvlJc w:val="left"/>
    </w:lvl>
    <w:lvl w:ilvl="4" w:tplc="E0F6E8A6">
      <w:numFmt w:val="decimal"/>
      <w:lvlText w:val=""/>
      <w:lvlJc w:val="left"/>
    </w:lvl>
    <w:lvl w:ilvl="5" w:tplc="EE8C1D38">
      <w:numFmt w:val="decimal"/>
      <w:lvlText w:val=""/>
      <w:lvlJc w:val="left"/>
    </w:lvl>
    <w:lvl w:ilvl="6" w:tplc="63D42D78">
      <w:numFmt w:val="decimal"/>
      <w:lvlText w:val=""/>
      <w:lvlJc w:val="left"/>
    </w:lvl>
    <w:lvl w:ilvl="7" w:tplc="CBEC96A8">
      <w:numFmt w:val="decimal"/>
      <w:lvlText w:val=""/>
      <w:lvlJc w:val="left"/>
    </w:lvl>
    <w:lvl w:ilvl="8" w:tplc="2E06F068">
      <w:numFmt w:val="decimal"/>
      <w:lvlText w:val=""/>
      <w:lvlJc w:val="left"/>
    </w:lvl>
  </w:abstractNum>
  <w:abstractNum w:abstractNumId="1040" w15:restartNumberingAfterBreak="0">
    <w:nsid w:val="501B6AB4"/>
    <w:multiLevelType w:val="hybridMultilevel"/>
    <w:tmpl w:val="A1107614"/>
    <w:lvl w:ilvl="0" w:tplc="5F5E0B66">
      <w:start w:val="1"/>
      <w:numFmt w:val="bullet"/>
      <w:lvlText w:val=""/>
      <w:lvlJc w:val="left"/>
      <w:pPr>
        <w:ind w:left="720" w:hanging="180"/>
      </w:pPr>
      <w:rPr>
        <w:rFonts w:ascii="Symbol" w:hAnsi="Symbol" w:hint="default"/>
      </w:rPr>
    </w:lvl>
    <w:lvl w:ilvl="1" w:tplc="936E5812">
      <w:numFmt w:val="decimal"/>
      <w:lvlText w:val=""/>
      <w:lvlJc w:val="left"/>
    </w:lvl>
    <w:lvl w:ilvl="2" w:tplc="0B9EFECA">
      <w:numFmt w:val="decimal"/>
      <w:lvlText w:val=""/>
      <w:lvlJc w:val="left"/>
    </w:lvl>
    <w:lvl w:ilvl="3" w:tplc="2364F940">
      <w:numFmt w:val="decimal"/>
      <w:lvlText w:val=""/>
      <w:lvlJc w:val="left"/>
    </w:lvl>
    <w:lvl w:ilvl="4" w:tplc="CF081380">
      <w:numFmt w:val="decimal"/>
      <w:lvlText w:val=""/>
      <w:lvlJc w:val="left"/>
    </w:lvl>
    <w:lvl w:ilvl="5" w:tplc="89226A28">
      <w:numFmt w:val="decimal"/>
      <w:lvlText w:val=""/>
      <w:lvlJc w:val="left"/>
    </w:lvl>
    <w:lvl w:ilvl="6" w:tplc="1E10CA08">
      <w:numFmt w:val="decimal"/>
      <w:lvlText w:val=""/>
      <w:lvlJc w:val="left"/>
    </w:lvl>
    <w:lvl w:ilvl="7" w:tplc="1116F21C">
      <w:numFmt w:val="decimal"/>
      <w:lvlText w:val=""/>
      <w:lvlJc w:val="left"/>
    </w:lvl>
    <w:lvl w:ilvl="8" w:tplc="A2FE9050">
      <w:numFmt w:val="decimal"/>
      <w:lvlText w:val=""/>
      <w:lvlJc w:val="left"/>
    </w:lvl>
  </w:abstractNum>
  <w:abstractNum w:abstractNumId="1041" w15:restartNumberingAfterBreak="0">
    <w:nsid w:val="501D1DDB"/>
    <w:multiLevelType w:val="hybridMultilevel"/>
    <w:tmpl w:val="01F21CAE"/>
    <w:lvl w:ilvl="0" w:tplc="921A7CFE">
      <w:start w:val="1"/>
      <w:numFmt w:val="bullet"/>
      <w:lvlText w:val=""/>
      <w:lvlJc w:val="left"/>
      <w:pPr>
        <w:ind w:left="720" w:hanging="180"/>
      </w:pPr>
      <w:rPr>
        <w:rFonts w:ascii="Symbol" w:hAnsi="Symbol" w:hint="default"/>
      </w:rPr>
    </w:lvl>
    <w:lvl w:ilvl="1" w:tplc="BD9C9208">
      <w:numFmt w:val="decimal"/>
      <w:lvlText w:val=""/>
      <w:lvlJc w:val="left"/>
    </w:lvl>
    <w:lvl w:ilvl="2" w:tplc="C95C5DF0">
      <w:numFmt w:val="decimal"/>
      <w:lvlText w:val=""/>
      <w:lvlJc w:val="left"/>
    </w:lvl>
    <w:lvl w:ilvl="3" w:tplc="5A08493E">
      <w:numFmt w:val="decimal"/>
      <w:lvlText w:val=""/>
      <w:lvlJc w:val="left"/>
    </w:lvl>
    <w:lvl w:ilvl="4" w:tplc="38AEEFDE">
      <w:numFmt w:val="decimal"/>
      <w:lvlText w:val=""/>
      <w:lvlJc w:val="left"/>
    </w:lvl>
    <w:lvl w:ilvl="5" w:tplc="A176DC76">
      <w:numFmt w:val="decimal"/>
      <w:lvlText w:val=""/>
      <w:lvlJc w:val="left"/>
    </w:lvl>
    <w:lvl w:ilvl="6" w:tplc="2C74A19C">
      <w:numFmt w:val="decimal"/>
      <w:lvlText w:val=""/>
      <w:lvlJc w:val="left"/>
    </w:lvl>
    <w:lvl w:ilvl="7" w:tplc="62FCC5BC">
      <w:numFmt w:val="decimal"/>
      <w:lvlText w:val=""/>
      <w:lvlJc w:val="left"/>
    </w:lvl>
    <w:lvl w:ilvl="8" w:tplc="52E0D360">
      <w:numFmt w:val="decimal"/>
      <w:lvlText w:val=""/>
      <w:lvlJc w:val="left"/>
    </w:lvl>
  </w:abstractNum>
  <w:abstractNum w:abstractNumId="1042" w15:restartNumberingAfterBreak="0">
    <w:nsid w:val="501F6FC2"/>
    <w:multiLevelType w:val="hybridMultilevel"/>
    <w:tmpl w:val="51884120"/>
    <w:lvl w:ilvl="0" w:tplc="D0503636">
      <w:start w:val="1"/>
      <w:numFmt w:val="bullet"/>
      <w:lvlText w:val=""/>
      <w:lvlJc w:val="left"/>
      <w:pPr>
        <w:ind w:left="720" w:hanging="180"/>
      </w:pPr>
      <w:rPr>
        <w:rFonts w:ascii="Symbol" w:hAnsi="Symbol" w:hint="default"/>
      </w:rPr>
    </w:lvl>
    <w:lvl w:ilvl="1" w:tplc="25D4BC8E">
      <w:numFmt w:val="decimal"/>
      <w:lvlText w:val=""/>
      <w:lvlJc w:val="left"/>
    </w:lvl>
    <w:lvl w:ilvl="2" w:tplc="27AC7FDE">
      <w:numFmt w:val="decimal"/>
      <w:lvlText w:val=""/>
      <w:lvlJc w:val="left"/>
    </w:lvl>
    <w:lvl w:ilvl="3" w:tplc="ECA05322">
      <w:numFmt w:val="decimal"/>
      <w:lvlText w:val=""/>
      <w:lvlJc w:val="left"/>
    </w:lvl>
    <w:lvl w:ilvl="4" w:tplc="9DAAFDC2">
      <w:numFmt w:val="decimal"/>
      <w:lvlText w:val=""/>
      <w:lvlJc w:val="left"/>
    </w:lvl>
    <w:lvl w:ilvl="5" w:tplc="C0A62090">
      <w:numFmt w:val="decimal"/>
      <w:lvlText w:val=""/>
      <w:lvlJc w:val="left"/>
    </w:lvl>
    <w:lvl w:ilvl="6" w:tplc="BA667DC8">
      <w:numFmt w:val="decimal"/>
      <w:lvlText w:val=""/>
      <w:lvlJc w:val="left"/>
    </w:lvl>
    <w:lvl w:ilvl="7" w:tplc="D5721E88">
      <w:numFmt w:val="decimal"/>
      <w:lvlText w:val=""/>
      <w:lvlJc w:val="left"/>
    </w:lvl>
    <w:lvl w:ilvl="8" w:tplc="B446872A">
      <w:numFmt w:val="decimal"/>
      <w:lvlText w:val=""/>
      <w:lvlJc w:val="left"/>
    </w:lvl>
  </w:abstractNum>
  <w:abstractNum w:abstractNumId="1043" w15:restartNumberingAfterBreak="0">
    <w:nsid w:val="502F525A"/>
    <w:multiLevelType w:val="hybridMultilevel"/>
    <w:tmpl w:val="033C6892"/>
    <w:lvl w:ilvl="0" w:tplc="FFB44968">
      <w:start w:val="1"/>
      <w:numFmt w:val="bullet"/>
      <w:lvlText w:val=""/>
      <w:lvlJc w:val="left"/>
      <w:pPr>
        <w:ind w:left="720" w:hanging="180"/>
      </w:pPr>
      <w:rPr>
        <w:rFonts w:ascii="Symbol" w:hAnsi="Symbol" w:hint="default"/>
      </w:rPr>
    </w:lvl>
    <w:lvl w:ilvl="1" w:tplc="8374887E">
      <w:numFmt w:val="decimal"/>
      <w:lvlText w:val=""/>
      <w:lvlJc w:val="left"/>
    </w:lvl>
    <w:lvl w:ilvl="2" w:tplc="CB9E169A">
      <w:numFmt w:val="decimal"/>
      <w:lvlText w:val=""/>
      <w:lvlJc w:val="left"/>
    </w:lvl>
    <w:lvl w:ilvl="3" w:tplc="92F42040">
      <w:numFmt w:val="decimal"/>
      <w:lvlText w:val=""/>
      <w:lvlJc w:val="left"/>
    </w:lvl>
    <w:lvl w:ilvl="4" w:tplc="7F16D5C4">
      <w:numFmt w:val="decimal"/>
      <w:lvlText w:val=""/>
      <w:lvlJc w:val="left"/>
    </w:lvl>
    <w:lvl w:ilvl="5" w:tplc="6A081F74">
      <w:numFmt w:val="decimal"/>
      <w:lvlText w:val=""/>
      <w:lvlJc w:val="left"/>
    </w:lvl>
    <w:lvl w:ilvl="6" w:tplc="29168DD8">
      <w:numFmt w:val="decimal"/>
      <w:lvlText w:val=""/>
      <w:lvlJc w:val="left"/>
    </w:lvl>
    <w:lvl w:ilvl="7" w:tplc="0ADA9A1E">
      <w:numFmt w:val="decimal"/>
      <w:lvlText w:val=""/>
      <w:lvlJc w:val="left"/>
    </w:lvl>
    <w:lvl w:ilvl="8" w:tplc="F508B4D0">
      <w:numFmt w:val="decimal"/>
      <w:lvlText w:val=""/>
      <w:lvlJc w:val="left"/>
    </w:lvl>
  </w:abstractNum>
  <w:abstractNum w:abstractNumId="1044" w15:restartNumberingAfterBreak="0">
    <w:nsid w:val="504C4298"/>
    <w:multiLevelType w:val="hybridMultilevel"/>
    <w:tmpl w:val="17081110"/>
    <w:lvl w:ilvl="0" w:tplc="FFD89840">
      <w:start w:val="1"/>
      <w:numFmt w:val="bullet"/>
      <w:lvlText w:val=""/>
      <w:lvlJc w:val="left"/>
      <w:pPr>
        <w:ind w:left="720" w:hanging="180"/>
      </w:pPr>
      <w:rPr>
        <w:rFonts w:ascii="Symbol" w:hAnsi="Symbol" w:hint="default"/>
      </w:rPr>
    </w:lvl>
    <w:lvl w:ilvl="1" w:tplc="75BAE4CC">
      <w:numFmt w:val="decimal"/>
      <w:lvlText w:val=""/>
      <w:lvlJc w:val="left"/>
    </w:lvl>
    <w:lvl w:ilvl="2" w:tplc="F39076A6">
      <w:numFmt w:val="decimal"/>
      <w:lvlText w:val=""/>
      <w:lvlJc w:val="left"/>
    </w:lvl>
    <w:lvl w:ilvl="3" w:tplc="2C926B8A">
      <w:numFmt w:val="decimal"/>
      <w:lvlText w:val=""/>
      <w:lvlJc w:val="left"/>
    </w:lvl>
    <w:lvl w:ilvl="4" w:tplc="1ED4F764">
      <w:numFmt w:val="decimal"/>
      <w:lvlText w:val=""/>
      <w:lvlJc w:val="left"/>
    </w:lvl>
    <w:lvl w:ilvl="5" w:tplc="3D6A97FA">
      <w:numFmt w:val="decimal"/>
      <w:lvlText w:val=""/>
      <w:lvlJc w:val="left"/>
    </w:lvl>
    <w:lvl w:ilvl="6" w:tplc="E2742154">
      <w:numFmt w:val="decimal"/>
      <w:lvlText w:val=""/>
      <w:lvlJc w:val="left"/>
    </w:lvl>
    <w:lvl w:ilvl="7" w:tplc="FBE0476C">
      <w:numFmt w:val="decimal"/>
      <w:lvlText w:val=""/>
      <w:lvlJc w:val="left"/>
    </w:lvl>
    <w:lvl w:ilvl="8" w:tplc="53F072FA">
      <w:numFmt w:val="decimal"/>
      <w:lvlText w:val=""/>
      <w:lvlJc w:val="left"/>
    </w:lvl>
  </w:abstractNum>
  <w:abstractNum w:abstractNumId="1045" w15:restartNumberingAfterBreak="0">
    <w:nsid w:val="505107AB"/>
    <w:multiLevelType w:val="hybridMultilevel"/>
    <w:tmpl w:val="CF36DBB6"/>
    <w:lvl w:ilvl="0" w:tplc="6CCC475C">
      <w:start w:val="1"/>
      <w:numFmt w:val="bullet"/>
      <w:lvlText w:val=""/>
      <w:lvlJc w:val="left"/>
      <w:pPr>
        <w:ind w:left="720" w:hanging="180"/>
      </w:pPr>
      <w:rPr>
        <w:rFonts w:ascii="Symbol" w:hAnsi="Symbol" w:hint="default"/>
      </w:rPr>
    </w:lvl>
    <w:lvl w:ilvl="1" w:tplc="FE00DDEA">
      <w:numFmt w:val="decimal"/>
      <w:lvlText w:val=""/>
      <w:lvlJc w:val="left"/>
    </w:lvl>
    <w:lvl w:ilvl="2" w:tplc="EC7E4C96">
      <w:numFmt w:val="decimal"/>
      <w:lvlText w:val=""/>
      <w:lvlJc w:val="left"/>
    </w:lvl>
    <w:lvl w:ilvl="3" w:tplc="998AC822">
      <w:numFmt w:val="decimal"/>
      <w:lvlText w:val=""/>
      <w:lvlJc w:val="left"/>
    </w:lvl>
    <w:lvl w:ilvl="4" w:tplc="6A4C597A">
      <w:numFmt w:val="decimal"/>
      <w:lvlText w:val=""/>
      <w:lvlJc w:val="left"/>
    </w:lvl>
    <w:lvl w:ilvl="5" w:tplc="199A93FC">
      <w:numFmt w:val="decimal"/>
      <w:lvlText w:val=""/>
      <w:lvlJc w:val="left"/>
    </w:lvl>
    <w:lvl w:ilvl="6" w:tplc="C4D6D346">
      <w:numFmt w:val="decimal"/>
      <w:lvlText w:val=""/>
      <w:lvlJc w:val="left"/>
    </w:lvl>
    <w:lvl w:ilvl="7" w:tplc="DF6812CA">
      <w:numFmt w:val="decimal"/>
      <w:lvlText w:val=""/>
      <w:lvlJc w:val="left"/>
    </w:lvl>
    <w:lvl w:ilvl="8" w:tplc="20DE2F8C">
      <w:numFmt w:val="decimal"/>
      <w:lvlText w:val=""/>
      <w:lvlJc w:val="left"/>
    </w:lvl>
  </w:abstractNum>
  <w:abstractNum w:abstractNumId="1046" w15:restartNumberingAfterBreak="0">
    <w:nsid w:val="505A537D"/>
    <w:multiLevelType w:val="hybridMultilevel"/>
    <w:tmpl w:val="404E7B52"/>
    <w:lvl w:ilvl="0" w:tplc="5650D3E2">
      <w:start w:val="1"/>
      <w:numFmt w:val="bullet"/>
      <w:lvlText w:val=""/>
      <w:lvlJc w:val="left"/>
      <w:pPr>
        <w:ind w:left="720" w:hanging="180"/>
      </w:pPr>
      <w:rPr>
        <w:rFonts w:ascii="Symbol" w:hAnsi="Symbol" w:hint="default"/>
      </w:rPr>
    </w:lvl>
    <w:lvl w:ilvl="1" w:tplc="1306136E">
      <w:numFmt w:val="decimal"/>
      <w:lvlText w:val=""/>
      <w:lvlJc w:val="left"/>
    </w:lvl>
    <w:lvl w:ilvl="2" w:tplc="A942FB0E">
      <w:numFmt w:val="decimal"/>
      <w:lvlText w:val=""/>
      <w:lvlJc w:val="left"/>
    </w:lvl>
    <w:lvl w:ilvl="3" w:tplc="EE3CF858">
      <w:numFmt w:val="decimal"/>
      <w:lvlText w:val=""/>
      <w:lvlJc w:val="left"/>
    </w:lvl>
    <w:lvl w:ilvl="4" w:tplc="CAA6F8A0">
      <w:numFmt w:val="decimal"/>
      <w:lvlText w:val=""/>
      <w:lvlJc w:val="left"/>
    </w:lvl>
    <w:lvl w:ilvl="5" w:tplc="BD088140">
      <w:numFmt w:val="decimal"/>
      <w:lvlText w:val=""/>
      <w:lvlJc w:val="left"/>
    </w:lvl>
    <w:lvl w:ilvl="6" w:tplc="EDDA78A6">
      <w:numFmt w:val="decimal"/>
      <w:lvlText w:val=""/>
      <w:lvlJc w:val="left"/>
    </w:lvl>
    <w:lvl w:ilvl="7" w:tplc="EB76B488">
      <w:numFmt w:val="decimal"/>
      <w:lvlText w:val=""/>
      <w:lvlJc w:val="left"/>
    </w:lvl>
    <w:lvl w:ilvl="8" w:tplc="7C2C498C">
      <w:numFmt w:val="decimal"/>
      <w:lvlText w:val=""/>
      <w:lvlJc w:val="left"/>
    </w:lvl>
  </w:abstractNum>
  <w:abstractNum w:abstractNumId="1047" w15:restartNumberingAfterBreak="0">
    <w:nsid w:val="50615279"/>
    <w:multiLevelType w:val="hybridMultilevel"/>
    <w:tmpl w:val="74A8B9FE"/>
    <w:lvl w:ilvl="0" w:tplc="F58472F2">
      <w:start w:val="1"/>
      <w:numFmt w:val="bullet"/>
      <w:lvlText w:val=""/>
      <w:lvlJc w:val="left"/>
      <w:pPr>
        <w:ind w:left="720" w:hanging="180"/>
      </w:pPr>
      <w:rPr>
        <w:rFonts w:ascii="Symbol" w:hAnsi="Symbol" w:hint="default"/>
      </w:rPr>
    </w:lvl>
    <w:lvl w:ilvl="1" w:tplc="2102A27C">
      <w:numFmt w:val="decimal"/>
      <w:lvlText w:val=""/>
      <w:lvlJc w:val="left"/>
    </w:lvl>
    <w:lvl w:ilvl="2" w:tplc="17488D84">
      <w:numFmt w:val="decimal"/>
      <w:lvlText w:val=""/>
      <w:lvlJc w:val="left"/>
    </w:lvl>
    <w:lvl w:ilvl="3" w:tplc="6A3283B4">
      <w:numFmt w:val="decimal"/>
      <w:lvlText w:val=""/>
      <w:lvlJc w:val="left"/>
    </w:lvl>
    <w:lvl w:ilvl="4" w:tplc="39FCDAB2">
      <w:numFmt w:val="decimal"/>
      <w:lvlText w:val=""/>
      <w:lvlJc w:val="left"/>
    </w:lvl>
    <w:lvl w:ilvl="5" w:tplc="60309E30">
      <w:numFmt w:val="decimal"/>
      <w:lvlText w:val=""/>
      <w:lvlJc w:val="left"/>
    </w:lvl>
    <w:lvl w:ilvl="6" w:tplc="3954DBAC">
      <w:numFmt w:val="decimal"/>
      <w:lvlText w:val=""/>
      <w:lvlJc w:val="left"/>
    </w:lvl>
    <w:lvl w:ilvl="7" w:tplc="0A84E9A8">
      <w:numFmt w:val="decimal"/>
      <w:lvlText w:val=""/>
      <w:lvlJc w:val="left"/>
    </w:lvl>
    <w:lvl w:ilvl="8" w:tplc="5B7624CC">
      <w:numFmt w:val="decimal"/>
      <w:lvlText w:val=""/>
      <w:lvlJc w:val="left"/>
    </w:lvl>
  </w:abstractNum>
  <w:abstractNum w:abstractNumId="1048" w15:restartNumberingAfterBreak="0">
    <w:nsid w:val="50645DFD"/>
    <w:multiLevelType w:val="hybridMultilevel"/>
    <w:tmpl w:val="EDC8D632"/>
    <w:lvl w:ilvl="0" w:tplc="E9867C74">
      <w:start w:val="1"/>
      <w:numFmt w:val="bullet"/>
      <w:lvlText w:val=""/>
      <w:lvlJc w:val="left"/>
      <w:pPr>
        <w:ind w:left="720" w:hanging="180"/>
      </w:pPr>
      <w:rPr>
        <w:rFonts w:ascii="Symbol" w:hAnsi="Symbol" w:hint="default"/>
      </w:rPr>
    </w:lvl>
    <w:lvl w:ilvl="1" w:tplc="E7C285DC">
      <w:numFmt w:val="decimal"/>
      <w:lvlText w:val=""/>
      <w:lvlJc w:val="left"/>
    </w:lvl>
    <w:lvl w:ilvl="2" w:tplc="EF0C380C">
      <w:numFmt w:val="decimal"/>
      <w:lvlText w:val=""/>
      <w:lvlJc w:val="left"/>
    </w:lvl>
    <w:lvl w:ilvl="3" w:tplc="9B882E98">
      <w:numFmt w:val="decimal"/>
      <w:lvlText w:val=""/>
      <w:lvlJc w:val="left"/>
    </w:lvl>
    <w:lvl w:ilvl="4" w:tplc="0D8E5924">
      <w:numFmt w:val="decimal"/>
      <w:lvlText w:val=""/>
      <w:lvlJc w:val="left"/>
    </w:lvl>
    <w:lvl w:ilvl="5" w:tplc="571E9F3A">
      <w:numFmt w:val="decimal"/>
      <w:lvlText w:val=""/>
      <w:lvlJc w:val="left"/>
    </w:lvl>
    <w:lvl w:ilvl="6" w:tplc="262A7FB2">
      <w:numFmt w:val="decimal"/>
      <w:lvlText w:val=""/>
      <w:lvlJc w:val="left"/>
    </w:lvl>
    <w:lvl w:ilvl="7" w:tplc="2C6A5888">
      <w:numFmt w:val="decimal"/>
      <w:lvlText w:val=""/>
      <w:lvlJc w:val="left"/>
    </w:lvl>
    <w:lvl w:ilvl="8" w:tplc="BC769E26">
      <w:numFmt w:val="decimal"/>
      <w:lvlText w:val=""/>
      <w:lvlJc w:val="left"/>
    </w:lvl>
  </w:abstractNum>
  <w:abstractNum w:abstractNumId="1049" w15:restartNumberingAfterBreak="0">
    <w:nsid w:val="508B3ADC"/>
    <w:multiLevelType w:val="hybridMultilevel"/>
    <w:tmpl w:val="71FA15F0"/>
    <w:lvl w:ilvl="0" w:tplc="DB2A741C">
      <w:start w:val="1"/>
      <w:numFmt w:val="bullet"/>
      <w:lvlText w:val=""/>
      <w:lvlJc w:val="left"/>
      <w:pPr>
        <w:ind w:left="720" w:hanging="180"/>
      </w:pPr>
      <w:rPr>
        <w:rFonts w:ascii="Symbol" w:hAnsi="Symbol" w:hint="default"/>
      </w:rPr>
    </w:lvl>
    <w:lvl w:ilvl="1" w:tplc="F0464B82">
      <w:numFmt w:val="decimal"/>
      <w:lvlText w:val=""/>
      <w:lvlJc w:val="left"/>
    </w:lvl>
    <w:lvl w:ilvl="2" w:tplc="194618C0">
      <w:numFmt w:val="decimal"/>
      <w:lvlText w:val=""/>
      <w:lvlJc w:val="left"/>
    </w:lvl>
    <w:lvl w:ilvl="3" w:tplc="CFFCA63E">
      <w:numFmt w:val="decimal"/>
      <w:lvlText w:val=""/>
      <w:lvlJc w:val="left"/>
    </w:lvl>
    <w:lvl w:ilvl="4" w:tplc="0D68B962">
      <w:numFmt w:val="decimal"/>
      <w:lvlText w:val=""/>
      <w:lvlJc w:val="left"/>
    </w:lvl>
    <w:lvl w:ilvl="5" w:tplc="80FE2622">
      <w:numFmt w:val="decimal"/>
      <w:lvlText w:val=""/>
      <w:lvlJc w:val="left"/>
    </w:lvl>
    <w:lvl w:ilvl="6" w:tplc="56243298">
      <w:numFmt w:val="decimal"/>
      <w:lvlText w:val=""/>
      <w:lvlJc w:val="left"/>
    </w:lvl>
    <w:lvl w:ilvl="7" w:tplc="4252CF5A">
      <w:numFmt w:val="decimal"/>
      <w:lvlText w:val=""/>
      <w:lvlJc w:val="left"/>
    </w:lvl>
    <w:lvl w:ilvl="8" w:tplc="2AE26AFC">
      <w:numFmt w:val="decimal"/>
      <w:lvlText w:val=""/>
      <w:lvlJc w:val="left"/>
    </w:lvl>
  </w:abstractNum>
  <w:abstractNum w:abstractNumId="1050" w15:restartNumberingAfterBreak="0">
    <w:nsid w:val="508C5402"/>
    <w:multiLevelType w:val="hybridMultilevel"/>
    <w:tmpl w:val="25A21522"/>
    <w:lvl w:ilvl="0" w:tplc="0CEE8612">
      <w:start w:val="1"/>
      <w:numFmt w:val="bullet"/>
      <w:lvlText w:val=""/>
      <w:lvlJc w:val="left"/>
      <w:pPr>
        <w:ind w:left="720" w:hanging="180"/>
      </w:pPr>
      <w:rPr>
        <w:rFonts w:ascii="Symbol" w:hAnsi="Symbol" w:hint="default"/>
      </w:rPr>
    </w:lvl>
    <w:lvl w:ilvl="1" w:tplc="D264C96E">
      <w:numFmt w:val="decimal"/>
      <w:lvlText w:val=""/>
      <w:lvlJc w:val="left"/>
    </w:lvl>
    <w:lvl w:ilvl="2" w:tplc="148A4CB0">
      <w:numFmt w:val="decimal"/>
      <w:lvlText w:val=""/>
      <w:lvlJc w:val="left"/>
    </w:lvl>
    <w:lvl w:ilvl="3" w:tplc="6C405104">
      <w:numFmt w:val="decimal"/>
      <w:lvlText w:val=""/>
      <w:lvlJc w:val="left"/>
    </w:lvl>
    <w:lvl w:ilvl="4" w:tplc="7E7E4D12">
      <w:numFmt w:val="decimal"/>
      <w:lvlText w:val=""/>
      <w:lvlJc w:val="left"/>
    </w:lvl>
    <w:lvl w:ilvl="5" w:tplc="182E195C">
      <w:numFmt w:val="decimal"/>
      <w:lvlText w:val=""/>
      <w:lvlJc w:val="left"/>
    </w:lvl>
    <w:lvl w:ilvl="6" w:tplc="42BE05FC">
      <w:numFmt w:val="decimal"/>
      <w:lvlText w:val=""/>
      <w:lvlJc w:val="left"/>
    </w:lvl>
    <w:lvl w:ilvl="7" w:tplc="CD6084C0">
      <w:numFmt w:val="decimal"/>
      <w:lvlText w:val=""/>
      <w:lvlJc w:val="left"/>
    </w:lvl>
    <w:lvl w:ilvl="8" w:tplc="358EDE54">
      <w:numFmt w:val="decimal"/>
      <w:lvlText w:val=""/>
      <w:lvlJc w:val="left"/>
    </w:lvl>
  </w:abstractNum>
  <w:abstractNum w:abstractNumId="1051" w15:restartNumberingAfterBreak="0">
    <w:nsid w:val="508F3C05"/>
    <w:multiLevelType w:val="hybridMultilevel"/>
    <w:tmpl w:val="7B366968"/>
    <w:lvl w:ilvl="0" w:tplc="22AECF18">
      <w:start w:val="1"/>
      <w:numFmt w:val="bullet"/>
      <w:lvlText w:val=""/>
      <w:lvlJc w:val="left"/>
      <w:pPr>
        <w:ind w:left="720" w:hanging="180"/>
      </w:pPr>
      <w:rPr>
        <w:rFonts w:ascii="Symbol" w:hAnsi="Symbol" w:hint="default"/>
      </w:rPr>
    </w:lvl>
    <w:lvl w:ilvl="1" w:tplc="6BFABBA2">
      <w:numFmt w:val="decimal"/>
      <w:lvlText w:val=""/>
      <w:lvlJc w:val="left"/>
    </w:lvl>
    <w:lvl w:ilvl="2" w:tplc="EF869A6A">
      <w:numFmt w:val="decimal"/>
      <w:lvlText w:val=""/>
      <w:lvlJc w:val="left"/>
    </w:lvl>
    <w:lvl w:ilvl="3" w:tplc="5CD866F4">
      <w:numFmt w:val="decimal"/>
      <w:lvlText w:val=""/>
      <w:lvlJc w:val="left"/>
    </w:lvl>
    <w:lvl w:ilvl="4" w:tplc="2026CADE">
      <w:numFmt w:val="decimal"/>
      <w:lvlText w:val=""/>
      <w:lvlJc w:val="left"/>
    </w:lvl>
    <w:lvl w:ilvl="5" w:tplc="2D466654">
      <w:numFmt w:val="decimal"/>
      <w:lvlText w:val=""/>
      <w:lvlJc w:val="left"/>
    </w:lvl>
    <w:lvl w:ilvl="6" w:tplc="14DA3F32">
      <w:numFmt w:val="decimal"/>
      <w:lvlText w:val=""/>
      <w:lvlJc w:val="left"/>
    </w:lvl>
    <w:lvl w:ilvl="7" w:tplc="F42CCFEE">
      <w:numFmt w:val="decimal"/>
      <w:lvlText w:val=""/>
      <w:lvlJc w:val="left"/>
    </w:lvl>
    <w:lvl w:ilvl="8" w:tplc="83FCBB1E">
      <w:numFmt w:val="decimal"/>
      <w:lvlText w:val=""/>
      <w:lvlJc w:val="left"/>
    </w:lvl>
  </w:abstractNum>
  <w:abstractNum w:abstractNumId="1052" w15:restartNumberingAfterBreak="0">
    <w:nsid w:val="509A679B"/>
    <w:multiLevelType w:val="hybridMultilevel"/>
    <w:tmpl w:val="EFA2BCEA"/>
    <w:lvl w:ilvl="0" w:tplc="0C686F0E">
      <w:start w:val="1"/>
      <w:numFmt w:val="bullet"/>
      <w:lvlText w:val=""/>
      <w:lvlJc w:val="left"/>
      <w:pPr>
        <w:ind w:left="720" w:hanging="180"/>
      </w:pPr>
      <w:rPr>
        <w:rFonts w:ascii="Symbol" w:hAnsi="Symbol" w:hint="default"/>
      </w:rPr>
    </w:lvl>
    <w:lvl w:ilvl="1" w:tplc="FEE40D5A">
      <w:numFmt w:val="decimal"/>
      <w:lvlText w:val=""/>
      <w:lvlJc w:val="left"/>
    </w:lvl>
    <w:lvl w:ilvl="2" w:tplc="8A5A4802">
      <w:numFmt w:val="decimal"/>
      <w:lvlText w:val=""/>
      <w:lvlJc w:val="left"/>
    </w:lvl>
    <w:lvl w:ilvl="3" w:tplc="03507016">
      <w:numFmt w:val="decimal"/>
      <w:lvlText w:val=""/>
      <w:lvlJc w:val="left"/>
    </w:lvl>
    <w:lvl w:ilvl="4" w:tplc="9C7A7FD6">
      <w:numFmt w:val="decimal"/>
      <w:lvlText w:val=""/>
      <w:lvlJc w:val="left"/>
    </w:lvl>
    <w:lvl w:ilvl="5" w:tplc="ACA844D2">
      <w:numFmt w:val="decimal"/>
      <w:lvlText w:val=""/>
      <w:lvlJc w:val="left"/>
    </w:lvl>
    <w:lvl w:ilvl="6" w:tplc="95765EE0">
      <w:numFmt w:val="decimal"/>
      <w:lvlText w:val=""/>
      <w:lvlJc w:val="left"/>
    </w:lvl>
    <w:lvl w:ilvl="7" w:tplc="1FD6BCF4">
      <w:numFmt w:val="decimal"/>
      <w:lvlText w:val=""/>
      <w:lvlJc w:val="left"/>
    </w:lvl>
    <w:lvl w:ilvl="8" w:tplc="79E8165E">
      <w:numFmt w:val="decimal"/>
      <w:lvlText w:val=""/>
      <w:lvlJc w:val="left"/>
    </w:lvl>
  </w:abstractNum>
  <w:abstractNum w:abstractNumId="1053" w15:restartNumberingAfterBreak="0">
    <w:nsid w:val="50AD398F"/>
    <w:multiLevelType w:val="hybridMultilevel"/>
    <w:tmpl w:val="AAFCF76C"/>
    <w:lvl w:ilvl="0" w:tplc="8A602EFC">
      <w:start w:val="1"/>
      <w:numFmt w:val="bullet"/>
      <w:lvlText w:val=""/>
      <w:lvlJc w:val="left"/>
      <w:pPr>
        <w:ind w:left="720" w:hanging="180"/>
      </w:pPr>
      <w:rPr>
        <w:rFonts w:ascii="Symbol" w:hAnsi="Symbol" w:hint="default"/>
      </w:rPr>
    </w:lvl>
    <w:lvl w:ilvl="1" w:tplc="01A80A0E">
      <w:numFmt w:val="decimal"/>
      <w:lvlText w:val=""/>
      <w:lvlJc w:val="left"/>
    </w:lvl>
    <w:lvl w:ilvl="2" w:tplc="085C323C">
      <w:numFmt w:val="decimal"/>
      <w:lvlText w:val=""/>
      <w:lvlJc w:val="left"/>
    </w:lvl>
    <w:lvl w:ilvl="3" w:tplc="88163EBE">
      <w:numFmt w:val="decimal"/>
      <w:lvlText w:val=""/>
      <w:lvlJc w:val="left"/>
    </w:lvl>
    <w:lvl w:ilvl="4" w:tplc="4CF23FA6">
      <w:numFmt w:val="decimal"/>
      <w:lvlText w:val=""/>
      <w:lvlJc w:val="left"/>
    </w:lvl>
    <w:lvl w:ilvl="5" w:tplc="3BE2B616">
      <w:numFmt w:val="decimal"/>
      <w:lvlText w:val=""/>
      <w:lvlJc w:val="left"/>
    </w:lvl>
    <w:lvl w:ilvl="6" w:tplc="112C376E">
      <w:numFmt w:val="decimal"/>
      <w:lvlText w:val=""/>
      <w:lvlJc w:val="left"/>
    </w:lvl>
    <w:lvl w:ilvl="7" w:tplc="CF84875A">
      <w:numFmt w:val="decimal"/>
      <w:lvlText w:val=""/>
      <w:lvlJc w:val="left"/>
    </w:lvl>
    <w:lvl w:ilvl="8" w:tplc="0CFC5E42">
      <w:numFmt w:val="decimal"/>
      <w:lvlText w:val=""/>
      <w:lvlJc w:val="left"/>
    </w:lvl>
  </w:abstractNum>
  <w:abstractNum w:abstractNumId="1054" w15:restartNumberingAfterBreak="0">
    <w:nsid w:val="50AF7D76"/>
    <w:multiLevelType w:val="hybridMultilevel"/>
    <w:tmpl w:val="E22AECE2"/>
    <w:lvl w:ilvl="0" w:tplc="46523660">
      <w:start w:val="1"/>
      <w:numFmt w:val="bullet"/>
      <w:lvlText w:val=""/>
      <w:lvlJc w:val="left"/>
      <w:pPr>
        <w:ind w:left="720" w:hanging="180"/>
      </w:pPr>
      <w:rPr>
        <w:rFonts w:ascii="Symbol" w:hAnsi="Symbol" w:hint="default"/>
      </w:rPr>
    </w:lvl>
    <w:lvl w:ilvl="1" w:tplc="7CBCBBCE">
      <w:numFmt w:val="decimal"/>
      <w:lvlText w:val=""/>
      <w:lvlJc w:val="left"/>
    </w:lvl>
    <w:lvl w:ilvl="2" w:tplc="43F2F83C">
      <w:numFmt w:val="decimal"/>
      <w:lvlText w:val=""/>
      <w:lvlJc w:val="left"/>
    </w:lvl>
    <w:lvl w:ilvl="3" w:tplc="D422B64E">
      <w:numFmt w:val="decimal"/>
      <w:lvlText w:val=""/>
      <w:lvlJc w:val="left"/>
    </w:lvl>
    <w:lvl w:ilvl="4" w:tplc="6ADE6544">
      <w:numFmt w:val="decimal"/>
      <w:lvlText w:val=""/>
      <w:lvlJc w:val="left"/>
    </w:lvl>
    <w:lvl w:ilvl="5" w:tplc="804C4B56">
      <w:numFmt w:val="decimal"/>
      <w:lvlText w:val=""/>
      <w:lvlJc w:val="left"/>
    </w:lvl>
    <w:lvl w:ilvl="6" w:tplc="8CD2F68E">
      <w:numFmt w:val="decimal"/>
      <w:lvlText w:val=""/>
      <w:lvlJc w:val="left"/>
    </w:lvl>
    <w:lvl w:ilvl="7" w:tplc="65504CA0">
      <w:numFmt w:val="decimal"/>
      <w:lvlText w:val=""/>
      <w:lvlJc w:val="left"/>
    </w:lvl>
    <w:lvl w:ilvl="8" w:tplc="194842FC">
      <w:numFmt w:val="decimal"/>
      <w:lvlText w:val=""/>
      <w:lvlJc w:val="left"/>
    </w:lvl>
  </w:abstractNum>
  <w:abstractNum w:abstractNumId="1055" w15:restartNumberingAfterBreak="0">
    <w:nsid w:val="50B91082"/>
    <w:multiLevelType w:val="hybridMultilevel"/>
    <w:tmpl w:val="1E786034"/>
    <w:lvl w:ilvl="0" w:tplc="1E0CFDB2">
      <w:start w:val="1"/>
      <w:numFmt w:val="bullet"/>
      <w:lvlText w:val=""/>
      <w:lvlJc w:val="left"/>
      <w:pPr>
        <w:ind w:left="720" w:hanging="180"/>
      </w:pPr>
      <w:rPr>
        <w:rFonts w:ascii="Symbol" w:hAnsi="Symbol" w:hint="default"/>
      </w:rPr>
    </w:lvl>
    <w:lvl w:ilvl="1" w:tplc="20ACABBC">
      <w:numFmt w:val="decimal"/>
      <w:lvlText w:val=""/>
      <w:lvlJc w:val="left"/>
    </w:lvl>
    <w:lvl w:ilvl="2" w:tplc="F6C22E32">
      <w:numFmt w:val="decimal"/>
      <w:lvlText w:val=""/>
      <w:lvlJc w:val="left"/>
    </w:lvl>
    <w:lvl w:ilvl="3" w:tplc="A6849552">
      <w:numFmt w:val="decimal"/>
      <w:lvlText w:val=""/>
      <w:lvlJc w:val="left"/>
    </w:lvl>
    <w:lvl w:ilvl="4" w:tplc="E13C499A">
      <w:numFmt w:val="decimal"/>
      <w:lvlText w:val=""/>
      <w:lvlJc w:val="left"/>
    </w:lvl>
    <w:lvl w:ilvl="5" w:tplc="0DF49C50">
      <w:numFmt w:val="decimal"/>
      <w:lvlText w:val=""/>
      <w:lvlJc w:val="left"/>
    </w:lvl>
    <w:lvl w:ilvl="6" w:tplc="3F809C6E">
      <w:numFmt w:val="decimal"/>
      <w:lvlText w:val=""/>
      <w:lvlJc w:val="left"/>
    </w:lvl>
    <w:lvl w:ilvl="7" w:tplc="BA9A2C84">
      <w:numFmt w:val="decimal"/>
      <w:lvlText w:val=""/>
      <w:lvlJc w:val="left"/>
    </w:lvl>
    <w:lvl w:ilvl="8" w:tplc="3E301052">
      <w:numFmt w:val="decimal"/>
      <w:lvlText w:val=""/>
      <w:lvlJc w:val="left"/>
    </w:lvl>
  </w:abstractNum>
  <w:abstractNum w:abstractNumId="1056" w15:restartNumberingAfterBreak="0">
    <w:nsid w:val="50E539FE"/>
    <w:multiLevelType w:val="hybridMultilevel"/>
    <w:tmpl w:val="0BE82094"/>
    <w:lvl w:ilvl="0" w:tplc="27CAC232">
      <w:start w:val="1"/>
      <w:numFmt w:val="bullet"/>
      <w:lvlText w:val=""/>
      <w:lvlJc w:val="left"/>
      <w:pPr>
        <w:ind w:left="720" w:hanging="180"/>
      </w:pPr>
      <w:rPr>
        <w:rFonts w:ascii="Symbol" w:hAnsi="Symbol" w:hint="default"/>
      </w:rPr>
    </w:lvl>
    <w:lvl w:ilvl="1" w:tplc="7078130A">
      <w:numFmt w:val="decimal"/>
      <w:lvlText w:val=""/>
      <w:lvlJc w:val="left"/>
    </w:lvl>
    <w:lvl w:ilvl="2" w:tplc="A9A82CAE">
      <w:numFmt w:val="decimal"/>
      <w:lvlText w:val=""/>
      <w:lvlJc w:val="left"/>
    </w:lvl>
    <w:lvl w:ilvl="3" w:tplc="963880A0">
      <w:numFmt w:val="decimal"/>
      <w:lvlText w:val=""/>
      <w:lvlJc w:val="left"/>
    </w:lvl>
    <w:lvl w:ilvl="4" w:tplc="0584EF66">
      <w:numFmt w:val="decimal"/>
      <w:lvlText w:val=""/>
      <w:lvlJc w:val="left"/>
    </w:lvl>
    <w:lvl w:ilvl="5" w:tplc="ADC6326A">
      <w:numFmt w:val="decimal"/>
      <w:lvlText w:val=""/>
      <w:lvlJc w:val="left"/>
    </w:lvl>
    <w:lvl w:ilvl="6" w:tplc="90DCC474">
      <w:numFmt w:val="decimal"/>
      <w:lvlText w:val=""/>
      <w:lvlJc w:val="left"/>
    </w:lvl>
    <w:lvl w:ilvl="7" w:tplc="1F6E2672">
      <w:numFmt w:val="decimal"/>
      <w:lvlText w:val=""/>
      <w:lvlJc w:val="left"/>
    </w:lvl>
    <w:lvl w:ilvl="8" w:tplc="3E406812">
      <w:numFmt w:val="decimal"/>
      <w:lvlText w:val=""/>
      <w:lvlJc w:val="left"/>
    </w:lvl>
  </w:abstractNum>
  <w:abstractNum w:abstractNumId="1057" w15:restartNumberingAfterBreak="0">
    <w:nsid w:val="50F75A00"/>
    <w:multiLevelType w:val="hybridMultilevel"/>
    <w:tmpl w:val="DF44E7FA"/>
    <w:lvl w:ilvl="0" w:tplc="F12250F8">
      <w:start w:val="1"/>
      <w:numFmt w:val="bullet"/>
      <w:lvlText w:val=""/>
      <w:lvlJc w:val="left"/>
      <w:pPr>
        <w:ind w:left="720" w:hanging="180"/>
      </w:pPr>
      <w:rPr>
        <w:rFonts w:ascii="Symbol" w:hAnsi="Symbol" w:hint="default"/>
      </w:rPr>
    </w:lvl>
    <w:lvl w:ilvl="1" w:tplc="C2F82D02">
      <w:numFmt w:val="decimal"/>
      <w:lvlText w:val=""/>
      <w:lvlJc w:val="left"/>
    </w:lvl>
    <w:lvl w:ilvl="2" w:tplc="2EA4D21C">
      <w:numFmt w:val="decimal"/>
      <w:lvlText w:val=""/>
      <w:lvlJc w:val="left"/>
    </w:lvl>
    <w:lvl w:ilvl="3" w:tplc="0EF636FC">
      <w:numFmt w:val="decimal"/>
      <w:lvlText w:val=""/>
      <w:lvlJc w:val="left"/>
    </w:lvl>
    <w:lvl w:ilvl="4" w:tplc="D8E0B646">
      <w:numFmt w:val="decimal"/>
      <w:lvlText w:val=""/>
      <w:lvlJc w:val="left"/>
    </w:lvl>
    <w:lvl w:ilvl="5" w:tplc="26584E98">
      <w:numFmt w:val="decimal"/>
      <w:lvlText w:val=""/>
      <w:lvlJc w:val="left"/>
    </w:lvl>
    <w:lvl w:ilvl="6" w:tplc="82300F32">
      <w:numFmt w:val="decimal"/>
      <w:lvlText w:val=""/>
      <w:lvlJc w:val="left"/>
    </w:lvl>
    <w:lvl w:ilvl="7" w:tplc="59242D36">
      <w:numFmt w:val="decimal"/>
      <w:lvlText w:val=""/>
      <w:lvlJc w:val="left"/>
    </w:lvl>
    <w:lvl w:ilvl="8" w:tplc="F2567B1E">
      <w:numFmt w:val="decimal"/>
      <w:lvlText w:val=""/>
      <w:lvlJc w:val="left"/>
    </w:lvl>
  </w:abstractNum>
  <w:abstractNum w:abstractNumId="1058" w15:restartNumberingAfterBreak="0">
    <w:nsid w:val="50FA55A4"/>
    <w:multiLevelType w:val="hybridMultilevel"/>
    <w:tmpl w:val="7A18738E"/>
    <w:lvl w:ilvl="0" w:tplc="86363338">
      <w:start w:val="1"/>
      <w:numFmt w:val="bullet"/>
      <w:lvlText w:val=""/>
      <w:lvlJc w:val="left"/>
      <w:pPr>
        <w:ind w:left="720" w:hanging="180"/>
      </w:pPr>
      <w:rPr>
        <w:rFonts w:ascii="Symbol" w:hAnsi="Symbol" w:hint="default"/>
      </w:rPr>
    </w:lvl>
    <w:lvl w:ilvl="1" w:tplc="435223FE">
      <w:numFmt w:val="decimal"/>
      <w:lvlText w:val=""/>
      <w:lvlJc w:val="left"/>
    </w:lvl>
    <w:lvl w:ilvl="2" w:tplc="340C2C48">
      <w:numFmt w:val="decimal"/>
      <w:lvlText w:val=""/>
      <w:lvlJc w:val="left"/>
    </w:lvl>
    <w:lvl w:ilvl="3" w:tplc="4B0A2DEC">
      <w:numFmt w:val="decimal"/>
      <w:lvlText w:val=""/>
      <w:lvlJc w:val="left"/>
    </w:lvl>
    <w:lvl w:ilvl="4" w:tplc="1DE68AEA">
      <w:numFmt w:val="decimal"/>
      <w:lvlText w:val=""/>
      <w:lvlJc w:val="left"/>
    </w:lvl>
    <w:lvl w:ilvl="5" w:tplc="D9A092EE">
      <w:numFmt w:val="decimal"/>
      <w:lvlText w:val=""/>
      <w:lvlJc w:val="left"/>
    </w:lvl>
    <w:lvl w:ilvl="6" w:tplc="553E86D4">
      <w:numFmt w:val="decimal"/>
      <w:lvlText w:val=""/>
      <w:lvlJc w:val="left"/>
    </w:lvl>
    <w:lvl w:ilvl="7" w:tplc="E73EC3E2">
      <w:numFmt w:val="decimal"/>
      <w:lvlText w:val=""/>
      <w:lvlJc w:val="left"/>
    </w:lvl>
    <w:lvl w:ilvl="8" w:tplc="726C129C">
      <w:numFmt w:val="decimal"/>
      <w:lvlText w:val=""/>
      <w:lvlJc w:val="left"/>
    </w:lvl>
  </w:abstractNum>
  <w:abstractNum w:abstractNumId="1059" w15:restartNumberingAfterBreak="0">
    <w:nsid w:val="5101507A"/>
    <w:multiLevelType w:val="hybridMultilevel"/>
    <w:tmpl w:val="6220FE28"/>
    <w:lvl w:ilvl="0" w:tplc="C7B275D2">
      <w:start w:val="1"/>
      <w:numFmt w:val="bullet"/>
      <w:lvlText w:val=""/>
      <w:lvlJc w:val="left"/>
      <w:pPr>
        <w:ind w:left="720" w:hanging="180"/>
      </w:pPr>
      <w:rPr>
        <w:rFonts w:ascii="Symbol" w:hAnsi="Symbol" w:hint="default"/>
      </w:rPr>
    </w:lvl>
    <w:lvl w:ilvl="1" w:tplc="6ACC90EA">
      <w:numFmt w:val="decimal"/>
      <w:lvlText w:val=""/>
      <w:lvlJc w:val="left"/>
    </w:lvl>
    <w:lvl w:ilvl="2" w:tplc="CB309484">
      <w:numFmt w:val="decimal"/>
      <w:lvlText w:val=""/>
      <w:lvlJc w:val="left"/>
    </w:lvl>
    <w:lvl w:ilvl="3" w:tplc="375A051C">
      <w:numFmt w:val="decimal"/>
      <w:lvlText w:val=""/>
      <w:lvlJc w:val="left"/>
    </w:lvl>
    <w:lvl w:ilvl="4" w:tplc="4716664A">
      <w:numFmt w:val="decimal"/>
      <w:lvlText w:val=""/>
      <w:lvlJc w:val="left"/>
    </w:lvl>
    <w:lvl w:ilvl="5" w:tplc="9D0EC22A">
      <w:numFmt w:val="decimal"/>
      <w:lvlText w:val=""/>
      <w:lvlJc w:val="left"/>
    </w:lvl>
    <w:lvl w:ilvl="6" w:tplc="5A36378A">
      <w:numFmt w:val="decimal"/>
      <w:lvlText w:val=""/>
      <w:lvlJc w:val="left"/>
    </w:lvl>
    <w:lvl w:ilvl="7" w:tplc="09462328">
      <w:numFmt w:val="decimal"/>
      <w:lvlText w:val=""/>
      <w:lvlJc w:val="left"/>
    </w:lvl>
    <w:lvl w:ilvl="8" w:tplc="046C1E5C">
      <w:numFmt w:val="decimal"/>
      <w:lvlText w:val=""/>
      <w:lvlJc w:val="left"/>
    </w:lvl>
  </w:abstractNum>
  <w:abstractNum w:abstractNumId="1060" w15:restartNumberingAfterBreak="0">
    <w:nsid w:val="51253AE7"/>
    <w:multiLevelType w:val="hybridMultilevel"/>
    <w:tmpl w:val="EEB88F68"/>
    <w:lvl w:ilvl="0" w:tplc="1C400B8A">
      <w:start w:val="1"/>
      <w:numFmt w:val="bullet"/>
      <w:lvlText w:val=""/>
      <w:lvlJc w:val="left"/>
      <w:pPr>
        <w:ind w:left="720" w:hanging="180"/>
      </w:pPr>
      <w:rPr>
        <w:rFonts w:ascii="Symbol" w:hAnsi="Symbol" w:hint="default"/>
      </w:rPr>
    </w:lvl>
    <w:lvl w:ilvl="1" w:tplc="E9A6197E">
      <w:numFmt w:val="decimal"/>
      <w:lvlText w:val=""/>
      <w:lvlJc w:val="left"/>
    </w:lvl>
    <w:lvl w:ilvl="2" w:tplc="4FB6926C">
      <w:numFmt w:val="decimal"/>
      <w:lvlText w:val=""/>
      <w:lvlJc w:val="left"/>
    </w:lvl>
    <w:lvl w:ilvl="3" w:tplc="A296CF5A">
      <w:numFmt w:val="decimal"/>
      <w:lvlText w:val=""/>
      <w:lvlJc w:val="left"/>
    </w:lvl>
    <w:lvl w:ilvl="4" w:tplc="6EDEB74A">
      <w:numFmt w:val="decimal"/>
      <w:lvlText w:val=""/>
      <w:lvlJc w:val="left"/>
    </w:lvl>
    <w:lvl w:ilvl="5" w:tplc="36500A42">
      <w:numFmt w:val="decimal"/>
      <w:lvlText w:val=""/>
      <w:lvlJc w:val="left"/>
    </w:lvl>
    <w:lvl w:ilvl="6" w:tplc="E800EB7E">
      <w:numFmt w:val="decimal"/>
      <w:lvlText w:val=""/>
      <w:lvlJc w:val="left"/>
    </w:lvl>
    <w:lvl w:ilvl="7" w:tplc="CBBEDCCE">
      <w:numFmt w:val="decimal"/>
      <w:lvlText w:val=""/>
      <w:lvlJc w:val="left"/>
    </w:lvl>
    <w:lvl w:ilvl="8" w:tplc="7E74B3AC">
      <w:numFmt w:val="decimal"/>
      <w:lvlText w:val=""/>
      <w:lvlJc w:val="left"/>
    </w:lvl>
  </w:abstractNum>
  <w:abstractNum w:abstractNumId="1061" w15:restartNumberingAfterBreak="0">
    <w:nsid w:val="512A6C61"/>
    <w:multiLevelType w:val="hybridMultilevel"/>
    <w:tmpl w:val="47889388"/>
    <w:lvl w:ilvl="0" w:tplc="3B4E8558">
      <w:start w:val="1"/>
      <w:numFmt w:val="bullet"/>
      <w:lvlText w:val=""/>
      <w:lvlJc w:val="left"/>
      <w:pPr>
        <w:ind w:left="720" w:hanging="180"/>
      </w:pPr>
      <w:rPr>
        <w:rFonts w:ascii="Symbol" w:hAnsi="Symbol" w:hint="default"/>
      </w:rPr>
    </w:lvl>
    <w:lvl w:ilvl="1" w:tplc="276CDF82">
      <w:numFmt w:val="decimal"/>
      <w:lvlText w:val=""/>
      <w:lvlJc w:val="left"/>
    </w:lvl>
    <w:lvl w:ilvl="2" w:tplc="344CCA3C">
      <w:numFmt w:val="decimal"/>
      <w:lvlText w:val=""/>
      <w:lvlJc w:val="left"/>
    </w:lvl>
    <w:lvl w:ilvl="3" w:tplc="F300E810">
      <w:numFmt w:val="decimal"/>
      <w:lvlText w:val=""/>
      <w:lvlJc w:val="left"/>
    </w:lvl>
    <w:lvl w:ilvl="4" w:tplc="3BCA26AA">
      <w:numFmt w:val="decimal"/>
      <w:lvlText w:val=""/>
      <w:lvlJc w:val="left"/>
    </w:lvl>
    <w:lvl w:ilvl="5" w:tplc="A54A94F8">
      <w:numFmt w:val="decimal"/>
      <w:lvlText w:val=""/>
      <w:lvlJc w:val="left"/>
    </w:lvl>
    <w:lvl w:ilvl="6" w:tplc="6BBEEFA8">
      <w:numFmt w:val="decimal"/>
      <w:lvlText w:val=""/>
      <w:lvlJc w:val="left"/>
    </w:lvl>
    <w:lvl w:ilvl="7" w:tplc="C6401EB8">
      <w:numFmt w:val="decimal"/>
      <w:lvlText w:val=""/>
      <w:lvlJc w:val="left"/>
    </w:lvl>
    <w:lvl w:ilvl="8" w:tplc="ED9C111A">
      <w:numFmt w:val="decimal"/>
      <w:lvlText w:val=""/>
      <w:lvlJc w:val="left"/>
    </w:lvl>
  </w:abstractNum>
  <w:abstractNum w:abstractNumId="1062" w15:restartNumberingAfterBreak="0">
    <w:nsid w:val="512F4DEF"/>
    <w:multiLevelType w:val="hybridMultilevel"/>
    <w:tmpl w:val="0DF0F71E"/>
    <w:lvl w:ilvl="0" w:tplc="D9424B38">
      <w:start w:val="1"/>
      <w:numFmt w:val="bullet"/>
      <w:lvlText w:val=""/>
      <w:lvlJc w:val="left"/>
      <w:pPr>
        <w:ind w:left="720" w:hanging="180"/>
      </w:pPr>
      <w:rPr>
        <w:rFonts w:ascii="Symbol" w:hAnsi="Symbol" w:hint="default"/>
      </w:rPr>
    </w:lvl>
    <w:lvl w:ilvl="1" w:tplc="05F4CF36">
      <w:numFmt w:val="decimal"/>
      <w:lvlText w:val=""/>
      <w:lvlJc w:val="left"/>
    </w:lvl>
    <w:lvl w:ilvl="2" w:tplc="E9CA84C8">
      <w:numFmt w:val="decimal"/>
      <w:lvlText w:val=""/>
      <w:lvlJc w:val="left"/>
    </w:lvl>
    <w:lvl w:ilvl="3" w:tplc="855EEF18">
      <w:numFmt w:val="decimal"/>
      <w:lvlText w:val=""/>
      <w:lvlJc w:val="left"/>
    </w:lvl>
    <w:lvl w:ilvl="4" w:tplc="28C09152">
      <w:numFmt w:val="decimal"/>
      <w:lvlText w:val=""/>
      <w:lvlJc w:val="left"/>
    </w:lvl>
    <w:lvl w:ilvl="5" w:tplc="718C9A34">
      <w:numFmt w:val="decimal"/>
      <w:lvlText w:val=""/>
      <w:lvlJc w:val="left"/>
    </w:lvl>
    <w:lvl w:ilvl="6" w:tplc="356CE312">
      <w:numFmt w:val="decimal"/>
      <w:lvlText w:val=""/>
      <w:lvlJc w:val="left"/>
    </w:lvl>
    <w:lvl w:ilvl="7" w:tplc="BE42610A">
      <w:numFmt w:val="decimal"/>
      <w:lvlText w:val=""/>
      <w:lvlJc w:val="left"/>
    </w:lvl>
    <w:lvl w:ilvl="8" w:tplc="18E2D426">
      <w:numFmt w:val="decimal"/>
      <w:lvlText w:val=""/>
      <w:lvlJc w:val="left"/>
    </w:lvl>
  </w:abstractNum>
  <w:abstractNum w:abstractNumId="1063" w15:restartNumberingAfterBreak="0">
    <w:nsid w:val="513225B0"/>
    <w:multiLevelType w:val="hybridMultilevel"/>
    <w:tmpl w:val="1A8CE7B2"/>
    <w:lvl w:ilvl="0" w:tplc="22F681C2">
      <w:start w:val="1"/>
      <w:numFmt w:val="bullet"/>
      <w:lvlText w:val=""/>
      <w:lvlJc w:val="left"/>
      <w:pPr>
        <w:ind w:left="720" w:hanging="180"/>
      </w:pPr>
      <w:rPr>
        <w:rFonts w:ascii="Symbol" w:hAnsi="Symbol" w:hint="default"/>
      </w:rPr>
    </w:lvl>
    <w:lvl w:ilvl="1" w:tplc="7FEE3700">
      <w:numFmt w:val="decimal"/>
      <w:lvlText w:val=""/>
      <w:lvlJc w:val="left"/>
    </w:lvl>
    <w:lvl w:ilvl="2" w:tplc="533A65C6">
      <w:numFmt w:val="decimal"/>
      <w:lvlText w:val=""/>
      <w:lvlJc w:val="left"/>
    </w:lvl>
    <w:lvl w:ilvl="3" w:tplc="FC18DA76">
      <w:numFmt w:val="decimal"/>
      <w:lvlText w:val=""/>
      <w:lvlJc w:val="left"/>
    </w:lvl>
    <w:lvl w:ilvl="4" w:tplc="719AA4BE">
      <w:numFmt w:val="decimal"/>
      <w:lvlText w:val=""/>
      <w:lvlJc w:val="left"/>
    </w:lvl>
    <w:lvl w:ilvl="5" w:tplc="83D86F58">
      <w:numFmt w:val="decimal"/>
      <w:lvlText w:val=""/>
      <w:lvlJc w:val="left"/>
    </w:lvl>
    <w:lvl w:ilvl="6" w:tplc="1E2E4068">
      <w:numFmt w:val="decimal"/>
      <w:lvlText w:val=""/>
      <w:lvlJc w:val="left"/>
    </w:lvl>
    <w:lvl w:ilvl="7" w:tplc="3064C428">
      <w:numFmt w:val="decimal"/>
      <w:lvlText w:val=""/>
      <w:lvlJc w:val="left"/>
    </w:lvl>
    <w:lvl w:ilvl="8" w:tplc="C114C58A">
      <w:numFmt w:val="decimal"/>
      <w:lvlText w:val=""/>
      <w:lvlJc w:val="left"/>
    </w:lvl>
  </w:abstractNum>
  <w:abstractNum w:abstractNumId="1064" w15:restartNumberingAfterBreak="0">
    <w:nsid w:val="513B140E"/>
    <w:multiLevelType w:val="hybridMultilevel"/>
    <w:tmpl w:val="3320CED6"/>
    <w:lvl w:ilvl="0" w:tplc="963024BA">
      <w:numFmt w:val="decimal"/>
      <w:lvlText w:val=""/>
      <w:lvlJc w:val="left"/>
    </w:lvl>
    <w:lvl w:ilvl="1" w:tplc="568462B6">
      <w:start w:val="1"/>
      <w:numFmt w:val="bullet"/>
      <w:lvlText w:val=""/>
      <w:lvlJc w:val="left"/>
      <w:pPr>
        <w:ind w:left="1440" w:hanging="180"/>
      </w:pPr>
      <w:rPr>
        <w:rFonts w:ascii="Symbol" w:hAnsi="Symbol" w:hint="default"/>
      </w:rPr>
    </w:lvl>
    <w:lvl w:ilvl="2" w:tplc="5BA68B22">
      <w:numFmt w:val="decimal"/>
      <w:lvlText w:val=""/>
      <w:lvlJc w:val="left"/>
    </w:lvl>
    <w:lvl w:ilvl="3" w:tplc="42C04592">
      <w:numFmt w:val="decimal"/>
      <w:lvlText w:val=""/>
      <w:lvlJc w:val="left"/>
    </w:lvl>
    <w:lvl w:ilvl="4" w:tplc="563C99C4">
      <w:numFmt w:val="decimal"/>
      <w:lvlText w:val=""/>
      <w:lvlJc w:val="left"/>
    </w:lvl>
    <w:lvl w:ilvl="5" w:tplc="749C02AC">
      <w:numFmt w:val="decimal"/>
      <w:lvlText w:val=""/>
      <w:lvlJc w:val="left"/>
    </w:lvl>
    <w:lvl w:ilvl="6" w:tplc="D77E827A">
      <w:numFmt w:val="decimal"/>
      <w:lvlText w:val=""/>
      <w:lvlJc w:val="left"/>
    </w:lvl>
    <w:lvl w:ilvl="7" w:tplc="0958F1C2">
      <w:numFmt w:val="decimal"/>
      <w:lvlText w:val=""/>
      <w:lvlJc w:val="left"/>
    </w:lvl>
    <w:lvl w:ilvl="8" w:tplc="552AB3D6">
      <w:numFmt w:val="decimal"/>
      <w:lvlText w:val=""/>
      <w:lvlJc w:val="left"/>
    </w:lvl>
  </w:abstractNum>
  <w:abstractNum w:abstractNumId="1065" w15:restartNumberingAfterBreak="0">
    <w:nsid w:val="513D66F9"/>
    <w:multiLevelType w:val="hybridMultilevel"/>
    <w:tmpl w:val="6296B0A8"/>
    <w:lvl w:ilvl="0" w:tplc="9678EE9E">
      <w:start w:val="1"/>
      <w:numFmt w:val="bullet"/>
      <w:lvlText w:val=""/>
      <w:lvlJc w:val="left"/>
      <w:pPr>
        <w:ind w:left="720" w:hanging="180"/>
      </w:pPr>
      <w:rPr>
        <w:rFonts w:ascii="Symbol" w:hAnsi="Symbol" w:hint="default"/>
      </w:rPr>
    </w:lvl>
    <w:lvl w:ilvl="1" w:tplc="AD66C62C">
      <w:numFmt w:val="decimal"/>
      <w:lvlText w:val=""/>
      <w:lvlJc w:val="left"/>
    </w:lvl>
    <w:lvl w:ilvl="2" w:tplc="3C8C3708">
      <w:numFmt w:val="decimal"/>
      <w:lvlText w:val=""/>
      <w:lvlJc w:val="left"/>
    </w:lvl>
    <w:lvl w:ilvl="3" w:tplc="A852D4D2">
      <w:numFmt w:val="decimal"/>
      <w:lvlText w:val=""/>
      <w:lvlJc w:val="left"/>
    </w:lvl>
    <w:lvl w:ilvl="4" w:tplc="314A5DAC">
      <w:numFmt w:val="decimal"/>
      <w:lvlText w:val=""/>
      <w:lvlJc w:val="left"/>
    </w:lvl>
    <w:lvl w:ilvl="5" w:tplc="E236E9C8">
      <w:numFmt w:val="decimal"/>
      <w:lvlText w:val=""/>
      <w:lvlJc w:val="left"/>
    </w:lvl>
    <w:lvl w:ilvl="6" w:tplc="21A2C5FE">
      <w:numFmt w:val="decimal"/>
      <w:lvlText w:val=""/>
      <w:lvlJc w:val="left"/>
    </w:lvl>
    <w:lvl w:ilvl="7" w:tplc="31FE5D2A">
      <w:numFmt w:val="decimal"/>
      <w:lvlText w:val=""/>
      <w:lvlJc w:val="left"/>
    </w:lvl>
    <w:lvl w:ilvl="8" w:tplc="AAE00946">
      <w:numFmt w:val="decimal"/>
      <w:lvlText w:val=""/>
      <w:lvlJc w:val="left"/>
    </w:lvl>
  </w:abstractNum>
  <w:abstractNum w:abstractNumId="1066" w15:restartNumberingAfterBreak="0">
    <w:nsid w:val="516717C6"/>
    <w:multiLevelType w:val="hybridMultilevel"/>
    <w:tmpl w:val="7378370E"/>
    <w:lvl w:ilvl="0" w:tplc="61C67A22">
      <w:start w:val="1"/>
      <w:numFmt w:val="bullet"/>
      <w:lvlText w:val=""/>
      <w:lvlJc w:val="left"/>
      <w:pPr>
        <w:ind w:left="720" w:hanging="180"/>
      </w:pPr>
      <w:rPr>
        <w:rFonts w:ascii="Symbol" w:hAnsi="Symbol" w:hint="default"/>
      </w:rPr>
    </w:lvl>
    <w:lvl w:ilvl="1" w:tplc="0C8461C4">
      <w:numFmt w:val="decimal"/>
      <w:lvlText w:val=""/>
      <w:lvlJc w:val="left"/>
    </w:lvl>
    <w:lvl w:ilvl="2" w:tplc="134C87E0">
      <w:numFmt w:val="decimal"/>
      <w:lvlText w:val=""/>
      <w:lvlJc w:val="left"/>
    </w:lvl>
    <w:lvl w:ilvl="3" w:tplc="20DA9D12">
      <w:numFmt w:val="decimal"/>
      <w:lvlText w:val=""/>
      <w:lvlJc w:val="left"/>
    </w:lvl>
    <w:lvl w:ilvl="4" w:tplc="25A8FCBC">
      <w:numFmt w:val="decimal"/>
      <w:lvlText w:val=""/>
      <w:lvlJc w:val="left"/>
    </w:lvl>
    <w:lvl w:ilvl="5" w:tplc="6CCC2C3E">
      <w:numFmt w:val="decimal"/>
      <w:lvlText w:val=""/>
      <w:lvlJc w:val="left"/>
    </w:lvl>
    <w:lvl w:ilvl="6" w:tplc="8CAAC58C">
      <w:numFmt w:val="decimal"/>
      <w:lvlText w:val=""/>
      <w:lvlJc w:val="left"/>
    </w:lvl>
    <w:lvl w:ilvl="7" w:tplc="0C822ED0">
      <w:numFmt w:val="decimal"/>
      <w:lvlText w:val=""/>
      <w:lvlJc w:val="left"/>
    </w:lvl>
    <w:lvl w:ilvl="8" w:tplc="2DB4AEEE">
      <w:numFmt w:val="decimal"/>
      <w:lvlText w:val=""/>
      <w:lvlJc w:val="left"/>
    </w:lvl>
  </w:abstractNum>
  <w:abstractNum w:abstractNumId="1067" w15:restartNumberingAfterBreak="0">
    <w:nsid w:val="51697417"/>
    <w:multiLevelType w:val="hybridMultilevel"/>
    <w:tmpl w:val="EE640BBA"/>
    <w:lvl w:ilvl="0" w:tplc="445E57AE">
      <w:start w:val="1"/>
      <w:numFmt w:val="bullet"/>
      <w:lvlText w:val=""/>
      <w:lvlJc w:val="left"/>
      <w:pPr>
        <w:ind w:left="720" w:hanging="180"/>
      </w:pPr>
      <w:rPr>
        <w:rFonts w:ascii="Symbol" w:hAnsi="Symbol" w:hint="default"/>
      </w:rPr>
    </w:lvl>
    <w:lvl w:ilvl="1" w:tplc="2CC850A8">
      <w:numFmt w:val="decimal"/>
      <w:lvlText w:val=""/>
      <w:lvlJc w:val="left"/>
    </w:lvl>
    <w:lvl w:ilvl="2" w:tplc="A71ED43A">
      <w:numFmt w:val="decimal"/>
      <w:lvlText w:val=""/>
      <w:lvlJc w:val="left"/>
    </w:lvl>
    <w:lvl w:ilvl="3" w:tplc="492EC574">
      <w:numFmt w:val="decimal"/>
      <w:lvlText w:val=""/>
      <w:lvlJc w:val="left"/>
    </w:lvl>
    <w:lvl w:ilvl="4" w:tplc="A516DB26">
      <w:numFmt w:val="decimal"/>
      <w:lvlText w:val=""/>
      <w:lvlJc w:val="left"/>
    </w:lvl>
    <w:lvl w:ilvl="5" w:tplc="DA3230E2">
      <w:numFmt w:val="decimal"/>
      <w:lvlText w:val=""/>
      <w:lvlJc w:val="left"/>
    </w:lvl>
    <w:lvl w:ilvl="6" w:tplc="AB545ED2">
      <w:numFmt w:val="decimal"/>
      <w:lvlText w:val=""/>
      <w:lvlJc w:val="left"/>
    </w:lvl>
    <w:lvl w:ilvl="7" w:tplc="F9BAE0AA">
      <w:numFmt w:val="decimal"/>
      <w:lvlText w:val=""/>
      <w:lvlJc w:val="left"/>
    </w:lvl>
    <w:lvl w:ilvl="8" w:tplc="67D4C466">
      <w:numFmt w:val="decimal"/>
      <w:lvlText w:val=""/>
      <w:lvlJc w:val="left"/>
    </w:lvl>
  </w:abstractNum>
  <w:abstractNum w:abstractNumId="1068" w15:restartNumberingAfterBreak="0">
    <w:nsid w:val="517A7746"/>
    <w:multiLevelType w:val="hybridMultilevel"/>
    <w:tmpl w:val="1C7E6CA6"/>
    <w:lvl w:ilvl="0" w:tplc="AE3CBC8E">
      <w:start w:val="1"/>
      <w:numFmt w:val="bullet"/>
      <w:lvlText w:val=""/>
      <w:lvlJc w:val="left"/>
      <w:pPr>
        <w:ind w:left="720" w:hanging="180"/>
      </w:pPr>
      <w:rPr>
        <w:rFonts w:ascii="Symbol" w:hAnsi="Symbol" w:hint="default"/>
      </w:rPr>
    </w:lvl>
    <w:lvl w:ilvl="1" w:tplc="3F040E14">
      <w:numFmt w:val="decimal"/>
      <w:lvlText w:val=""/>
      <w:lvlJc w:val="left"/>
    </w:lvl>
    <w:lvl w:ilvl="2" w:tplc="6C74142E">
      <w:numFmt w:val="decimal"/>
      <w:lvlText w:val=""/>
      <w:lvlJc w:val="left"/>
    </w:lvl>
    <w:lvl w:ilvl="3" w:tplc="6EE0E070">
      <w:numFmt w:val="decimal"/>
      <w:lvlText w:val=""/>
      <w:lvlJc w:val="left"/>
    </w:lvl>
    <w:lvl w:ilvl="4" w:tplc="D612216C">
      <w:numFmt w:val="decimal"/>
      <w:lvlText w:val=""/>
      <w:lvlJc w:val="left"/>
    </w:lvl>
    <w:lvl w:ilvl="5" w:tplc="872642E4">
      <w:numFmt w:val="decimal"/>
      <w:lvlText w:val=""/>
      <w:lvlJc w:val="left"/>
    </w:lvl>
    <w:lvl w:ilvl="6" w:tplc="7B6C7584">
      <w:numFmt w:val="decimal"/>
      <w:lvlText w:val=""/>
      <w:lvlJc w:val="left"/>
    </w:lvl>
    <w:lvl w:ilvl="7" w:tplc="DFE0495E">
      <w:numFmt w:val="decimal"/>
      <w:lvlText w:val=""/>
      <w:lvlJc w:val="left"/>
    </w:lvl>
    <w:lvl w:ilvl="8" w:tplc="F77AC0A2">
      <w:numFmt w:val="decimal"/>
      <w:lvlText w:val=""/>
      <w:lvlJc w:val="left"/>
    </w:lvl>
  </w:abstractNum>
  <w:abstractNum w:abstractNumId="1069" w15:restartNumberingAfterBreak="0">
    <w:nsid w:val="51806620"/>
    <w:multiLevelType w:val="hybridMultilevel"/>
    <w:tmpl w:val="282430DE"/>
    <w:lvl w:ilvl="0" w:tplc="0F9E7A26">
      <w:start w:val="1"/>
      <w:numFmt w:val="bullet"/>
      <w:lvlText w:val=""/>
      <w:lvlJc w:val="left"/>
      <w:pPr>
        <w:ind w:left="720" w:hanging="180"/>
      </w:pPr>
      <w:rPr>
        <w:rFonts w:ascii="Symbol" w:hAnsi="Symbol" w:hint="default"/>
      </w:rPr>
    </w:lvl>
    <w:lvl w:ilvl="1" w:tplc="67164D5C">
      <w:numFmt w:val="decimal"/>
      <w:lvlText w:val=""/>
      <w:lvlJc w:val="left"/>
    </w:lvl>
    <w:lvl w:ilvl="2" w:tplc="20244554">
      <w:numFmt w:val="decimal"/>
      <w:lvlText w:val=""/>
      <w:lvlJc w:val="left"/>
    </w:lvl>
    <w:lvl w:ilvl="3" w:tplc="32F2CA66">
      <w:numFmt w:val="decimal"/>
      <w:lvlText w:val=""/>
      <w:lvlJc w:val="left"/>
    </w:lvl>
    <w:lvl w:ilvl="4" w:tplc="4EBE4E96">
      <w:numFmt w:val="decimal"/>
      <w:lvlText w:val=""/>
      <w:lvlJc w:val="left"/>
    </w:lvl>
    <w:lvl w:ilvl="5" w:tplc="60A863F4">
      <w:numFmt w:val="decimal"/>
      <w:lvlText w:val=""/>
      <w:lvlJc w:val="left"/>
    </w:lvl>
    <w:lvl w:ilvl="6" w:tplc="122A52E2">
      <w:numFmt w:val="decimal"/>
      <w:lvlText w:val=""/>
      <w:lvlJc w:val="left"/>
    </w:lvl>
    <w:lvl w:ilvl="7" w:tplc="364ED296">
      <w:numFmt w:val="decimal"/>
      <w:lvlText w:val=""/>
      <w:lvlJc w:val="left"/>
    </w:lvl>
    <w:lvl w:ilvl="8" w:tplc="851C0546">
      <w:numFmt w:val="decimal"/>
      <w:lvlText w:val=""/>
      <w:lvlJc w:val="left"/>
    </w:lvl>
  </w:abstractNum>
  <w:abstractNum w:abstractNumId="1070" w15:restartNumberingAfterBreak="0">
    <w:nsid w:val="519F7AFD"/>
    <w:multiLevelType w:val="hybridMultilevel"/>
    <w:tmpl w:val="FA008370"/>
    <w:lvl w:ilvl="0" w:tplc="E9E200CE">
      <w:numFmt w:val="decimal"/>
      <w:lvlText w:val=""/>
      <w:lvlJc w:val="left"/>
    </w:lvl>
    <w:lvl w:ilvl="1" w:tplc="32BE1818">
      <w:start w:val="1"/>
      <w:numFmt w:val="bullet"/>
      <w:lvlText w:val=""/>
      <w:lvlJc w:val="left"/>
      <w:pPr>
        <w:ind w:left="1440" w:hanging="180"/>
      </w:pPr>
      <w:rPr>
        <w:rFonts w:ascii="Symbol" w:hAnsi="Symbol" w:hint="default"/>
      </w:rPr>
    </w:lvl>
    <w:lvl w:ilvl="2" w:tplc="D562BA1C">
      <w:numFmt w:val="decimal"/>
      <w:lvlText w:val=""/>
      <w:lvlJc w:val="left"/>
    </w:lvl>
    <w:lvl w:ilvl="3" w:tplc="42505CCA">
      <w:numFmt w:val="decimal"/>
      <w:lvlText w:val=""/>
      <w:lvlJc w:val="left"/>
    </w:lvl>
    <w:lvl w:ilvl="4" w:tplc="054EC2E8">
      <w:numFmt w:val="decimal"/>
      <w:lvlText w:val=""/>
      <w:lvlJc w:val="left"/>
    </w:lvl>
    <w:lvl w:ilvl="5" w:tplc="D2CA2D48">
      <w:numFmt w:val="decimal"/>
      <w:lvlText w:val=""/>
      <w:lvlJc w:val="left"/>
    </w:lvl>
    <w:lvl w:ilvl="6" w:tplc="67DCCF88">
      <w:numFmt w:val="decimal"/>
      <w:lvlText w:val=""/>
      <w:lvlJc w:val="left"/>
    </w:lvl>
    <w:lvl w:ilvl="7" w:tplc="20EC3F50">
      <w:numFmt w:val="decimal"/>
      <w:lvlText w:val=""/>
      <w:lvlJc w:val="left"/>
    </w:lvl>
    <w:lvl w:ilvl="8" w:tplc="3C2CD534">
      <w:numFmt w:val="decimal"/>
      <w:lvlText w:val=""/>
      <w:lvlJc w:val="left"/>
    </w:lvl>
  </w:abstractNum>
  <w:abstractNum w:abstractNumId="1071" w15:restartNumberingAfterBreak="0">
    <w:nsid w:val="51A26DAA"/>
    <w:multiLevelType w:val="hybridMultilevel"/>
    <w:tmpl w:val="9E98CE2E"/>
    <w:lvl w:ilvl="0" w:tplc="5A6C69A8">
      <w:start w:val="1"/>
      <w:numFmt w:val="bullet"/>
      <w:lvlText w:val=""/>
      <w:lvlJc w:val="left"/>
      <w:pPr>
        <w:ind w:left="720" w:hanging="180"/>
      </w:pPr>
      <w:rPr>
        <w:rFonts w:ascii="Symbol" w:hAnsi="Symbol" w:hint="default"/>
      </w:rPr>
    </w:lvl>
    <w:lvl w:ilvl="1" w:tplc="F2181250">
      <w:numFmt w:val="decimal"/>
      <w:lvlText w:val=""/>
      <w:lvlJc w:val="left"/>
    </w:lvl>
    <w:lvl w:ilvl="2" w:tplc="D430D0B6">
      <w:numFmt w:val="decimal"/>
      <w:lvlText w:val=""/>
      <w:lvlJc w:val="left"/>
    </w:lvl>
    <w:lvl w:ilvl="3" w:tplc="4BCA141E">
      <w:numFmt w:val="decimal"/>
      <w:lvlText w:val=""/>
      <w:lvlJc w:val="left"/>
    </w:lvl>
    <w:lvl w:ilvl="4" w:tplc="3FC615B2">
      <w:numFmt w:val="decimal"/>
      <w:lvlText w:val=""/>
      <w:lvlJc w:val="left"/>
    </w:lvl>
    <w:lvl w:ilvl="5" w:tplc="AAA288BC">
      <w:numFmt w:val="decimal"/>
      <w:lvlText w:val=""/>
      <w:lvlJc w:val="left"/>
    </w:lvl>
    <w:lvl w:ilvl="6" w:tplc="33FCBF00">
      <w:numFmt w:val="decimal"/>
      <w:lvlText w:val=""/>
      <w:lvlJc w:val="left"/>
    </w:lvl>
    <w:lvl w:ilvl="7" w:tplc="033C7F32">
      <w:numFmt w:val="decimal"/>
      <w:lvlText w:val=""/>
      <w:lvlJc w:val="left"/>
    </w:lvl>
    <w:lvl w:ilvl="8" w:tplc="00B2F56A">
      <w:numFmt w:val="decimal"/>
      <w:lvlText w:val=""/>
      <w:lvlJc w:val="left"/>
    </w:lvl>
  </w:abstractNum>
  <w:abstractNum w:abstractNumId="1072" w15:restartNumberingAfterBreak="0">
    <w:nsid w:val="51BC5972"/>
    <w:multiLevelType w:val="hybridMultilevel"/>
    <w:tmpl w:val="5E322DAC"/>
    <w:lvl w:ilvl="0" w:tplc="6EC8806E">
      <w:start w:val="1"/>
      <w:numFmt w:val="bullet"/>
      <w:lvlText w:val=""/>
      <w:lvlJc w:val="left"/>
      <w:pPr>
        <w:ind w:left="720" w:hanging="180"/>
      </w:pPr>
      <w:rPr>
        <w:rFonts w:ascii="Symbol" w:hAnsi="Symbol" w:hint="default"/>
      </w:rPr>
    </w:lvl>
    <w:lvl w:ilvl="1" w:tplc="8F52D774">
      <w:numFmt w:val="decimal"/>
      <w:lvlText w:val=""/>
      <w:lvlJc w:val="left"/>
    </w:lvl>
    <w:lvl w:ilvl="2" w:tplc="F7DC56EA">
      <w:numFmt w:val="decimal"/>
      <w:lvlText w:val=""/>
      <w:lvlJc w:val="left"/>
    </w:lvl>
    <w:lvl w:ilvl="3" w:tplc="E304C52C">
      <w:numFmt w:val="decimal"/>
      <w:lvlText w:val=""/>
      <w:lvlJc w:val="left"/>
    </w:lvl>
    <w:lvl w:ilvl="4" w:tplc="9C840250">
      <w:numFmt w:val="decimal"/>
      <w:lvlText w:val=""/>
      <w:lvlJc w:val="left"/>
    </w:lvl>
    <w:lvl w:ilvl="5" w:tplc="F6D861E0">
      <w:numFmt w:val="decimal"/>
      <w:lvlText w:val=""/>
      <w:lvlJc w:val="left"/>
    </w:lvl>
    <w:lvl w:ilvl="6" w:tplc="6C1A79CE">
      <w:numFmt w:val="decimal"/>
      <w:lvlText w:val=""/>
      <w:lvlJc w:val="left"/>
    </w:lvl>
    <w:lvl w:ilvl="7" w:tplc="2F8C9C5C">
      <w:numFmt w:val="decimal"/>
      <w:lvlText w:val=""/>
      <w:lvlJc w:val="left"/>
    </w:lvl>
    <w:lvl w:ilvl="8" w:tplc="DFE61DCA">
      <w:numFmt w:val="decimal"/>
      <w:lvlText w:val=""/>
      <w:lvlJc w:val="left"/>
    </w:lvl>
  </w:abstractNum>
  <w:abstractNum w:abstractNumId="1073" w15:restartNumberingAfterBreak="0">
    <w:nsid w:val="51BE2997"/>
    <w:multiLevelType w:val="hybridMultilevel"/>
    <w:tmpl w:val="72C2FE64"/>
    <w:lvl w:ilvl="0" w:tplc="F8AA5B1E">
      <w:start w:val="1"/>
      <w:numFmt w:val="bullet"/>
      <w:lvlText w:val=""/>
      <w:lvlJc w:val="left"/>
      <w:pPr>
        <w:ind w:left="720" w:hanging="180"/>
      </w:pPr>
      <w:rPr>
        <w:rFonts w:ascii="Symbol" w:hAnsi="Symbol" w:hint="default"/>
      </w:rPr>
    </w:lvl>
    <w:lvl w:ilvl="1" w:tplc="F8C89E36">
      <w:numFmt w:val="decimal"/>
      <w:lvlText w:val=""/>
      <w:lvlJc w:val="left"/>
    </w:lvl>
    <w:lvl w:ilvl="2" w:tplc="191230CC">
      <w:numFmt w:val="decimal"/>
      <w:lvlText w:val=""/>
      <w:lvlJc w:val="left"/>
    </w:lvl>
    <w:lvl w:ilvl="3" w:tplc="8E7E1F60">
      <w:numFmt w:val="decimal"/>
      <w:lvlText w:val=""/>
      <w:lvlJc w:val="left"/>
    </w:lvl>
    <w:lvl w:ilvl="4" w:tplc="225A17E8">
      <w:numFmt w:val="decimal"/>
      <w:lvlText w:val=""/>
      <w:lvlJc w:val="left"/>
    </w:lvl>
    <w:lvl w:ilvl="5" w:tplc="5CD4C38E">
      <w:numFmt w:val="decimal"/>
      <w:lvlText w:val=""/>
      <w:lvlJc w:val="left"/>
    </w:lvl>
    <w:lvl w:ilvl="6" w:tplc="9A7C0558">
      <w:numFmt w:val="decimal"/>
      <w:lvlText w:val=""/>
      <w:lvlJc w:val="left"/>
    </w:lvl>
    <w:lvl w:ilvl="7" w:tplc="7FB0ED52">
      <w:numFmt w:val="decimal"/>
      <w:lvlText w:val=""/>
      <w:lvlJc w:val="left"/>
    </w:lvl>
    <w:lvl w:ilvl="8" w:tplc="EA382D3E">
      <w:numFmt w:val="decimal"/>
      <w:lvlText w:val=""/>
      <w:lvlJc w:val="left"/>
    </w:lvl>
  </w:abstractNum>
  <w:abstractNum w:abstractNumId="1074" w15:restartNumberingAfterBreak="0">
    <w:nsid w:val="51C53D62"/>
    <w:multiLevelType w:val="hybridMultilevel"/>
    <w:tmpl w:val="1640EEB6"/>
    <w:lvl w:ilvl="0" w:tplc="7D300A9A">
      <w:start w:val="1"/>
      <w:numFmt w:val="bullet"/>
      <w:lvlText w:val=""/>
      <w:lvlJc w:val="left"/>
      <w:pPr>
        <w:ind w:left="720" w:hanging="180"/>
      </w:pPr>
      <w:rPr>
        <w:rFonts w:ascii="Symbol" w:hAnsi="Symbol" w:hint="default"/>
      </w:rPr>
    </w:lvl>
    <w:lvl w:ilvl="1" w:tplc="166A54F2">
      <w:numFmt w:val="decimal"/>
      <w:lvlText w:val=""/>
      <w:lvlJc w:val="left"/>
    </w:lvl>
    <w:lvl w:ilvl="2" w:tplc="255EE472">
      <w:numFmt w:val="decimal"/>
      <w:lvlText w:val=""/>
      <w:lvlJc w:val="left"/>
    </w:lvl>
    <w:lvl w:ilvl="3" w:tplc="6D96860C">
      <w:numFmt w:val="decimal"/>
      <w:lvlText w:val=""/>
      <w:lvlJc w:val="left"/>
    </w:lvl>
    <w:lvl w:ilvl="4" w:tplc="10DE7FDC">
      <w:numFmt w:val="decimal"/>
      <w:lvlText w:val=""/>
      <w:lvlJc w:val="left"/>
    </w:lvl>
    <w:lvl w:ilvl="5" w:tplc="B1C08BA6">
      <w:numFmt w:val="decimal"/>
      <w:lvlText w:val=""/>
      <w:lvlJc w:val="left"/>
    </w:lvl>
    <w:lvl w:ilvl="6" w:tplc="DD4C4180">
      <w:numFmt w:val="decimal"/>
      <w:lvlText w:val=""/>
      <w:lvlJc w:val="left"/>
    </w:lvl>
    <w:lvl w:ilvl="7" w:tplc="4E0ED670">
      <w:numFmt w:val="decimal"/>
      <w:lvlText w:val=""/>
      <w:lvlJc w:val="left"/>
    </w:lvl>
    <w:lvl w:ilvl="8" w:tplc="3C805264">
      <w:numFmt w:val="decimal"/>
      <w:lvlText w:val=""/>
      <w:lvlJc w:val="left"/>
    </w:lvl>
  </w:abstractNum>
  <w:abstractNum w:abstractNumId="1075" w15:restartNumberingAfterBreak="0">
    <w:nsid w:val="51C962D6"/>
    <w:multiLevelType w:val="hybridMultilevel"/>
    <w:tmpl w:val="D1CAA9B4"/>
    <w:lvl w:ilvl="0" w:tplc="FAA2E504">
      <w:start w:val="1"/>
      <w:numFmt w:val="bullet"/>
      <w:lvlText w:val=""/>
      <w:lvlJc w:val="left"/>
      <w:pPr>
        <w:ind w:left="720" w:hanging="180"/>
      </w:pPr>
      <w:rPr>
        <w:rFonts w:ascii="Symbol" w:hAnsi="Symbol" w:hint="default"/>
      </w:rPr>
    </w:lvl>
    <w:lvl w:ilvl="1" w:tplc="6FBC1100">
      <w:numFmt w:val="decimal"/>
      <w:lvlText w:val=""/>
      <w:lvlJc w:val="left"/>
    </w:lvl>
    <w:lvl w:ilvl="2" w:tplc="82CC309A">
      <w:numFmt w:val="decimal"/>
      <w:lvlText w:val=""/>
      <w:lvlJc w:val="left"/>
    </w:lvl>
    <w:lvl w:ilvl="3" w:tplc="F9CE20F0">
      <w:numFmt w:val="decimal"/>
      <w:lvlText w:val=""/>
      <w:lvlJc w:val="left"/>
    </w:lvl>
    <w:lvl w:ilvl="4" w:tplc="064E5146">
      <w:numFmt w:val="decimal"/>
      <w:lvlText w:val=""/>
      <w:lvlJc w:val="left"/>
    </w:lvl>
    <w:lvl w:ilvl="5" w:tplc="67E8C99E">
      <w:numFmt w:val="decimal"/>
      <w:lvlText w:val=""/>
      <w:lvlJc w:val="left"/>
    </w:lvl>
    <w:lvl w:ilvl="6" w:tplc="5BEE15A2">
      <w:numFmt w:val="decimal"/>
      <w:lvlText w:val=""/>
      <w:lvlJc w:val="left"/>
    </w:lvl>
    <w:lvl w:ilvl="7" w:tplc="5B5EB7C6">
      <w:numFmt w:val="decimal"/>
      <w:lvlText w:val=""/>
      <w:lvlJc w:val="left"/>
    </w:lvl>
    <w:lvl w:ilvl="8" w:tplc="9ECC61AC">
      <w:numFmt w:val="decimal"/>
      <w:lvlText w:val=""/>
      <w:lvlJc w:val="left"/>
    </w:lvl>
  </w:abstractNum>
  <w:abstractNum w:abstractNumId="1076" w15:restartNumberingAfterBreak="0">
    <w:nsid w:val="51D50E6C"/>
    <w:multiLevelType w:val="hybridMultilevel"/>
    <w:tmpl w:val="FDBCDA06"/>
    <w:lvl w:ilvl="0" w:tplc="BE706A06">
      <w:start w:val="1"/>
      <w:numFmt w:val="bullet"/>
      <w:lvlText w:val=""/>
      <w:lvlJc w:val="left"/>
      <w:pPr>
        <w:ind w:left="720" w:hanging="180"/>
      </w:pPr>
      <w:rPr>
        <w:rFonts w:ascii="Symbol" w:hAnsi="Symbol" w:hint="default"/>
      </w:rPr>
    </w:lvl>
    <w:lvl w:ilvl="1" w:tplc="C0924218">
      <w:numFmt w:val="decimal"/>
      <w:lvlText w:val=""/>
      <w:lvlJc w:val="left"/>
    </w:lvl>
    <w:lvl w:ilvl="2" w:tplc="EA72D244">
      <w:numFmt w:val="decimal"/>
      <w:lvlText w:val=""/>
      <w:lvlJc w:val="left"/>
    </w:lvl>
    <w:lvl w:ilvl="3" w:tplc="15E439AE">
      <w:numFmt w:val="decimal"/>
      <w:lvlText w:val=""/>
      <w:lvlJc w:val="left"/>
    </w:lvl>
    <w:lvl w:ilvl="4" w:tplc="346C61BC">
      <w:numFmt w:val="decimal"/>
      <w:lvlText w:val=""/>
      <w:lvlJc w:val="left"/>
    </w:lvl>
    <w:lvl w:ilvl="5" w:tplc="CB262AE0">
      <w:numFmt w:val="decimal"/>
      <w:lvlText w:val=""/>
      <w:lvlJc w:val="left"/>
    </w:lvl>
    <w:lvl w:ilvl="6" w:tplc="353C875A">
      <w:numFmt w:val="decimal"/>
      <w:lvlText w:val=""/>
      <w:lvlJc w:val="left"/>
    </w:lvl>
    <w:lvl w:ilvl="7" w:tplc="15DC052C">
      <w:numFmt w:val="decimal"/>
      <w:lvlText w:val=""/>
      <w:lvlJc w:val="left"/>
    </w:lvl>
    <w:lvl w:ilvl="8" w:tplc="E9EA6D10">
      <w:numFmt w:val="decimal"/>
      <w:lvlText w:val=""/>
      <w:lvlJc w:val="left"/>
    </w:lvl>
  </w:abstractNum>
  <w:abstractNum w:abstractNumId="1077" w15:restartNumberingAfterBreak="0">
    <w:nsid w:val="51E036E4"/>
    <w:multiLevelType w:val="hybridMultilevel"/>
    <w:tmpl w:val="0F6CE724"/>
    <w:lvl w:ilvl="0" w:tplc="E42064AC">
      <w:start w:val="1"/>
      <w:numFmt w:val="bullet"/>
      <w:lvlText w:val=""/>
      <w:lvlJc w:val="left"/>
      <w:pPr>
        <w:ind w:left="720" w:hanging="180"/>
      </w:pPr>
      <w:rPr>
        <w:rFonts w:ascii="Symbol" w:hAnsi="Symbol" w:hint="default"/>
      </w:rPr>
    </w:lvl>
    <w:lvl w:ilvl="1" w:tplc="7B12DA76">
      <w:numFmt w:val="decimal"/>
      <w:lvlText w:val=""/>
      <w:lvlJc w:val="left"/>
    </w:lvl>
    <w:lvl w:ilvl="2" w:tplc="822652EA">
      <w:numFmt w:val="decimal"/>
      <w:lvlText w:val=""/>
      <w:lvlJc w:val="left"/>
    </w:lvl>
    <w:lvl w:ilvl="3" w:tplc="3DAC6DD4">
      <w:numFmt w:val="decimal"/>
      <w:lvlText w:val=""/>
      <w:lvlJc w:val="left"/>
    </w:lvl>
    <w:lvl w:ilvl="4" w:tplc="E38AE520">
      <w:numFmt w:val="decimal"/>
      <w:lvlText w:val=""/>
      <w:lvlJc w:val="left"/>
    </w:lvl>
    <w:lvl w:ilvl="5" w:tplc="791CBA48">
      <w:numFmt w:val="decimal"/>
      <w:lvlText w:val=""/>
      <w:lvlJc w:val="left"/>
    </w:lvl>
    <w:lvl w:ilvl="6" w:tplc="078E5566">
      <w:numFmt w:val="decimal"/>
      <w:lvlText w:val=""/>
      <w:lvlJc w:val="left"/>
    </w:lvl>
    <w:lvl w:ilvl="7" w:tplc="8042EDE6">
      <w:numFmt w:val="decimal"/>
      <w:lvlText w:val=""/>
      <w:lvlJc w:val="left"/>
    </w:lvl>
    <w:lvl w:ilvl="8" w:tplc="126AB252">
      <w:numFmt w:val="decimal"/>
      <w:lvlText w:val=""/>
      <w:lvlJc w:val="left"/>
    </w:lvl>
  </w:abstractNum>
  <w:abstractNum w:abstractNumId="1078" w15:restartNumberingAfterBreak="0">
    <w:nsid w:val="51F86EE8"/>
    <w:multiLevelType w:val="hybridMultilevel"/>
    <w:tmpl w:val="F82EA6CC"/>
    <w:lvl w:ilvl="0" w:tplc="53DEF61A">
      <w:start w:val="1"/>
      <w:numFmt w:val="bullet"/>
      <w:lvlText w:val=""/>
      <w:lvlJc w:val="left"/>
      <w:pPr>
        <w:ind w:left="720" w:hanging="180"/>
      </w:pPr>
      <w:rPr>
        <w:rFonts w:ascii="Symbol" w:hAnsi="Symbol" w:hint="default"/>
      </w:rPr>
    </w:lvl>
    <w:lvl w:ilvl="1" w:tplc="F8E87636">
      <w:numFmt w:val="decimal"/>
      <w:lvlText w:val=""/>
      <w:lvlJc w:val="left"/>
    </w:lvl>
    <w:lvl w:ilvl="2" w:tplc="9A52C6CE">
      <w:numFmt w:val="decimal"/>
      <w:lvlText w:val=""/>
      <w:lvlJc w:val="left"/>
    </w:lvl>
    <w:lvl w:ilvl="3" w:tplc="527CD6C2">
      <w:numFmt w:val="decimal"/>
      <w:lvlText w:val=""/>
      <w:lvlJc w:val="left"/>
    </w:lvl>
    <w:lvl w:ilvl="4" w:tplc="57548EF2">
      <w:numFmt w:val="decimal"/>
      <w:lvlText w:val=""/>
      <w:lvlJc w:val="left"/>
    </w:lvl>
    <w:lvl w:ilvl="5" w:tplc="3D569D16">
      <w:numFmt w:val="decimal"/>
      <w:lvlText w:val=""/>
      <w:lvlJc w:val="left"/>
    </w:lvl>
    <w:lvl w:ilvl="6" w:tplc="D3CA98C4">
      <w:numFmt w:val="decimal"/>
      <w:lvlText w:val=""/>
      <w:lvlJc w:val="left"/>
    </w:lvl>
    <w:lvl w:ilvl="7" w:tplc="28A48A60">
      <w:numFmt w:val="decimal"/>
      <w:lvlText w:val=""/>
      <w:lvlJc w:val="left"/>
    </w:lvl>
    <w:lvl w:ilvl="8" w:tplc="0F743E38">
      <w:numFmt w:val="decimal"/>
      <w:lvlText w:val=""/>
      <w:lvlJc w:val="left"/>
    </w:lvl>
  </w:abstractNum>
  <w:abstractNum w:abstractNumId="1079" w15:restartNumberingAfterBreak="0">
    <w:nsid w:val="52181F65"/>
    <w:multiLevelType w:val="hybridMultilevel"/>
    <w:tmpl w:val="25EC4BD4"/>
    <w:lvl w:ilvl="0" w:tplc="8E66562A">
      <w:start w:val="1"/>
      <w:numFmt w:val="bullet"/>
      <w:lvlText w:val=""/>
      <w:lvlJc w:val="left"/>
      <w:pPr>
        <w:ind w:left="720" w:hanging="180"/>
      </w:pPr>
      <w:rPr>
        <w:rFonts w:ascii="Symbol" w:hAnsi="Symbol" w:hint="default"/>
      </w:rPr>
    </w:lvl>
    <w:lvl w:ilvl="1" w:tplc="0B262C04">
      <w:numFmt w:val="decimal"/>
      <w:lvlText w:val=""/>
      <w:lvlJc w:val="left"/>
    </w:lvl>
    <w:lvl w:ilvl="2" w:tplc="092085E0">
      <w:numFmt w:val="decimal"/>
      <w:lvlText w:val=""/>
      <w:lvlJc w:val="left"/>
    </w:lvl>
    <w:lvl w:ilvl="3" w:tplc="650C0D3C">
      <w:numFmt w:val="decimal"/>
      <w:lvlText w:val=""/>
      <w:lvlJc w:val="left"/>
    </w:lvl>
    <w:lvl w:ilvl="4" w:tplc="FF2CC0D4">
      <w:numFmt w:val="decimal"/>
      <w:lvlText w:val=""/>
      <w:lvlJc w:val="left"/>
    </w:lvl>
    <w:lvl w:ilvl="5" w:tplc="352AF2F2">
      <w:numFmt w:val="decimal"/>
      <w:lvlText w:val=""/>
      <w:lvlJc w:val="left"/>
    </w:lvl>
    <w:lvl w:ilvl="6" w:tplc="D8B2B2D8">
      <w:numFmt w:val="decimal"/>
      <w:lvlText w:val=""/>
      <w:lvlJc w:val="left"/>
    </w:lvl>
    <w:lvl w:ilvl="7" w:tplc="9626DAA4">
      <w:numFmt w:val="decimal"/>
      <w:lvlText w:val=""/>
      <w:lvlJc w:val="left"/>
    </w:lvl>
    <w:lvl w:ilvl="8" w:tplc="88025E98">
      <w:numFmt w:val="decimal"/>
      <w:lvlText w:val=""/>
      <w:lvlJc w:val="left"/>
    </w:lvl>
  </w:abstractNum>
  <w:abstractNum w:abstractNumId="1080" w15:restartNumberingAfterBreak="0">
    <w:nsid w:val="5230408C"/>
    <w:multiLevelType w:val="hybridMultilevel"/>
    <w:tmpl w:val="F348CAB8"/>
    <w:lvl w:ilvl="0" w:tplc="7F7052D4">
      <w:start w:val="1"/>
      <w:numFmt w:val="bullet"/>
      <w:lvlText w:val=""/>
      <w:lvlJc w:val="left"/>
      <w:pPr>
        <w:ind w:left="720" w:hanging="180"/>
      </w:pPr>
      <w:rPr>
        <w:rFonts w:ascii="Symbol" w:hAnsi="Symbol" w:hint="default"/>
      </w:rPr>
    </w:lvl>
    <w:lvl w:ilvl="1" w:tplc="F4B2144C">
      <w:numFmt w:val="decimal"/>
      <w:lvlText w:val=""/>
      <w:lvlJc w:val="left"/>
    </w:lvl>
    <w:lvl w:ilvl="2" w:tplc="0D1664A2">
      <w:numFmt w:val="decimal"/>
      <w:lvlText w:val=""/>
      <w:lvlJc w:val="left"/>
    </w:lvl>
    <w:lvl w:ilvl="3" w:tplc="304A07DE">
      <w:numFmt w:val="decimal"/>
      <w:lvlText w:val=""/>
      <w:lvlJc w:val="left"/>
    </w:lvl>
    <w:lvl w:ilvl="4" w:tplc="212C013C">
      <w:numFmt w:val="decimal"/>
      <w:lvlText w:val=""/>
      <w:lvlJc w:val="left"/>
    </w:lvl>
    <w:lvl w:ilvl="5" w:tplc="C2D8941A">
      <w:numFmt w:val="decimal"/>
      <w:lvlText w:val=""/>
      <w:lvlJc w:val="left"/>
    </w:lvl>
    <w:lvl w:ilvl="6" w:tplc="580E9C52">
      <w:numFmt w:val="decimal"/>
      <w:lvlText w:val=""/>
      <w:lvlJc w:val="left"/>
    </w:lvl>
    <w:lvl w:ilvl="7" w:tplc="7FE4AE4A">
      <w:numFmt w:val="decimal"/>
      <w:lvlText w:val=""/>
      <w:lvlJc w:val="left"/>
    </w:lvl>
    <w:lvl w:ilvl="8" w:tplc="ED1864CE">
      <w:numFmt w:val="decimal"/>
      <w:lvlText w:val=""/>
      <w:lvlJc w:val="left"/>
    </w:lvl>
  </w:abstractNum>
  <w:abstractNum w:abstractNumId="1081" w15:restartNumberingAfterBreak="0">
    <w:nsid w:val="52363462"/>
    <w:multiLevelType w:val="hybridMultilevel"/>
    <w:tmpl w:val="96E08E16"/>
    <w:lvl w:ilvl="0" w:tplc="77989D20">
      <w:start w:val="1"/>
      <w:numFmt w:val="bullet"/>
      <w:lvlText w:val=""/>
      <w:lvlJc w:val="left"/>
      <w:pPr>
        <w:ind w:left="720" w:hanging="180"/>
      </w:pPr>
      <w:rPr>
        <w:rFonts w:ascii="Symbol" w:hAnsi="Symbol" w:hint="default"/>
      </w:rPr>
    </w:lvl>
    <w:lvl w:ilvl="1" w:tplc="3CDAF786">
      <w:numFmt w:val="decimal"/>
      <w:lvlText w:val=""/>
      <w:lvlJc w:val="left"/>
    </w:lvl>
    <w:lvl w:ilvl="2" w:tplc="7F2653DE">
      <w:numFmt w:val="decimal"/>
      <w:lvlText w:val=""/>
      <w:lvlJc w:val="left"/>
    </w:lvl>
    <w:lvl w:ilvl="3" w:tplc="EF2C04E2">
      <w:numFmt w:val="decimal"/>
      <w:lvlText w:val=""/>
      <w:lvlJc w:val="left"/>
    </w:lvl>
    <w:lvl w:ilvl="4" w:tplc="CBA64714">
      <w:numFmt w:val="decimal"/>
      <w:lvlText w:val=""/>
      <w:lvlJc w:val="left"/>
    </w:lvl>
    <w:lvl w:ilvl="5" w:tplc="167A9726">
      <w:numFmt w:val="decimal"/>
      <w:lvlText w:val=""/>
      <w:lvlJc w:val="left"/>
    </w:lvl>
    <w:lvl w:ilvl="6" w:tplc="3B56B084">
      <w:numFmt w:val="decimal"/>
      <w:lvlText w:val=""/>
      <w:lvlJc w:val="left"/>
    </w:lvl>
    <w:lvl w:ilvl="7" w:tplc="56DE13D2">
      <w:numFmt w:val="decimal"/>
      <w:lvlText w:val=""/>
      <w:lvlJc w:val="left"/>
    </w:lvl>
    <w:lvl w:ilvl="8" w:tplc="A77E11C2">
      <w:numFmt w:val="decimal"/>
      <w:lvlText w:val=""/>
      <w:lvlJc w:val="left"/>
    </w:lvl>
  </w:abstractNum>
  <w:abstractNum w:abstractNumId="1082" w15:restartNumberingAfterBreak="0">
    <w:nsid w:val="52414E98"/>
    <w:multiLevelType w:val="hybridMultilevel"/>
    <w:tmpl w:val="A0E292B6"/>
    <w:lvl w:ilvl="0" w:tplc="CB787250">
      <w:start w:val="1"/>
      <w:numFmt w:val="bullet"/>
      <w:lvlText w:val=""/>
      <w:lvlJc w:val="left"/>
      <w:pPr>
        <w:ind w:left="720" w:hanging="180"/>
      </w:pPr>
      <w:rPr>
        <w:rFonts w:ascii="Symbol" w:hAnsi="Symbol" w:hint="default"/>
      </w:rPr>
    </w:lvl>
    <w:lvl w:ilvl="1" w:tplc="F182AFA4">
      <w:numFmt w:val="decimal"/>
      <w:lvlText w:val=""/>
      <w:lvlJc w:val="left"/>
    </w:lvl>
    <w:lvl w:ilvl="2" w:tplc="D6E82D90">
      <w:numFmt w:val="decimal"/>
      <w:lvlText w:val=""/>
      <w:lvlJc w:val="left"/>
    </w:lvl>
    <w:lvl w:ilvl="3" w:tplc="5F42D1E2">
      <w:numFmt w:val="decimal"/>
      <w:lvlText w:val=""/>
      <w:lvlJc w:val="left"/>
    </w:lvl>
    <w:lvl w:ilvl="4" w:tplc="8B5A61F4">
      <w:numFmt w:val="decimal"/>
      <w:lvlText w:val=""/>
      <w:lvlJc w:val="left"/>
    </w:lvl>
    <w:lvl w:ilvl="5" w:tplc="50CAC2AC">
      <w:numFmt w:val="decimal"/>
      <w:lvlText w:val=""/>
      <w:lvlJc w:val="left"/>
    </w:lvl>
    <w:lvl w:ilvl="6" w:tplc="F1C0D858">
      <w:numFmt w:val="decimal"/>
      <w:lvlText w:val=""/>
      <w:lvlJc w:val="left"/>
    </w:lvl>
    <w:lvl w:ilvl="7" w:tplc="3E9C5B34">
      <w:numFmt w:val="decimal"/>
      <w:lvlText w:val=""/>
      <w:lvlJc w:val="left"/>
    </w:lvl>
    <w:lvl w:ilvl="8" w:tplc="3CD66E04">
      <w:numFmt w:val="decimal"/>
      <w:lvlText w:val=""/>
      <w:lvlJc w:val="left"/>
    </w:lvl>
  </w:abstractNum>
  <w:abstractNum w:abstractNumId="1083" w15:restartNumberingAfterBreak="0">
    <w:nsid w:val="524317F2"/>
    <w:multiLevelType w:val="hybridMultilevel"/>
    <w:tmpl w:val="88162D4C"/>
    <w:lvl w:ilvl="0" w:tplc="25348280">
      <w:start w:val="1"/>
      <w:numFmt w:val="bullet"/>
      <w:lvlText w:val=""/>
      <w:lvlJc w:val="left"/>
      <w:pPr>
        <w:ind w:left="720" w:hanging="180"/>
      </w:pPr>
      <w:rPr>
        <w:rFonts w:ascii="Symbol" w:hAnsi="Symbol" w:hint="default"/>
      </w:rPr>
    </w:lvl>
    <w:lvl w:ilvl="1" w:tplc="125814FA">
      <w:numFmt w:val="decimal"/>
      <w:lvlText w:val=""/>
      <w:lvlJc w:val="left"/>
    </w:lvl>
    <w:lvl w:ilvl="2" w:tplc="06F09606">
      <w:numFmt w:val="decimal"/>
      <w:lvlText w:val=""/>
      <w:lvlJc w:val="left"/>
    </w:lvl>
    <w:lvl w:ilvl="3" w:tplc="FEE8A55E">
      <w:numFmt w:val="decimal"/>
      <w:lvlText w:val=""/>
      <w:lvlJc w:val="left"/>
    </w:lvl>
    <w:lvl w:ilvl="4" w:tplc="95322EF8">
      <w:numFmt w:val="decimal"/>
      <w:lvlText w:val=""/>
      <w:lvlJc w:val="left"/>
    </w:lvl>
    <w:lvl w:ilvl="5" w:tplc="2E68D394">
      <w:numFmt w:val="decimal"/>
      <w:lvlText w:val=""/>
      <w:lvlJc w:val="left"/>
    </w:lvl>
    <w:lvl w:ilvl="6" w:tplc="511ACF7E">
      <w:numFmt w:val="decimal"/>
      <w:lvlText w:val=""/>
      <w:lvlJc w:val="left"/>
    </w:lvl>
    <w:lvl w:ilvl="7" w:tplc="9CE0DD50">
      <w:numFmt w:val="decimal"/>
      <w:lvlText w:val=""/>
      <w:lvlJc w:val="left"/>
    </w:lvl>
    <w:lvl w:ilvl="8" w:tplc="FD6E22F4">
      <w:numFmt w:val="decimal"/>
      <w:lvlText w:val=""/>
      <w:lvlJc w:val="left"/>
    </w:lvl>
  </w:abstractNum>
  <w:abstractNum w:abstractNumId="1084" w15:restartNumberingAfterBreak="0">
    <w:nsid w:val="52461112"/>
    <w:multiLevelType w:val="hybridMultilevel"/>
    <w:tmpl w:val="06A2C990"/>
    <w:lvl w:ilvl="0" w:tplc="33327824">
      <w:start w:val="1"/>
      <w:numFmt w:val="bullet"/>
      <w:lvlText w:val=""/>
      <w:lvlJc w:val="left"/>
      <w:pPr>
        <w:ind w:left="720" w:hanging="180"/>
      </w:pPr>
      <w:rPr>
        <w:rFonts w:ascii="Symbol" w:hAnsi="Symbol" w:hint="default"/>
      </w:rPr>
    </w:lvl>
    <w:lvl w:ilvl="1" w:tplc="79D6A1F0">
      <w:numFmt w:val="decimal"/>
      <w:lvlText w:val=""/>
      <w:lvlJc w:val="left"/>
    </w:lvl>
    <w:lvl w:ilvl="2" w:tplc="0EF08DA6">
      <w:numFmt w:val="decimal"/>
      <w:lvlText w:val=""/>
      <w:lvlJc w:val="left"/>
    </w:lvl>
    <w:lvl w:ilvl="3" w:tplc="7AEE9AEA">
      <w:numFmt w:val="decimal"/>
      <w:lvlText w:val=""/>
      <w:lvlJc w:val="left"/>
    </w:lvl>
    <w:lvl w:ilvl="4" w:tplc="8F10E036">
      <w:numFmt w:val="decimal"/>
      <w:lvlText w:val=""/>
      <w:lvlJc w:val="left"/>
    </w:lvl>
    <w:lvl w:ilvl="5" w:tplc="217272E0">
      <w:numFmt w:val="decimal"/>
      <w:lvlText w:val=""/>
      <w:lvlJc w:val="left"/>
    </w:lvl>
    <w:lvl w:ilvl="6" w:tplc="9A4A84AC">
      <w:numFmt w:val="decimal"/>
      <w:lvlText w:val=""/>
      <w:lvlJc w:val="left"/>
    </w:lvl>
    <w:lvl w:ilvl="7" w:tplc="27983B48">
      <w:numFmt w:val="decimal"/>
      <w:lvlText w:val=""/>
      <w:lvlJc w:val="left"/>
    </w:lvl>
    <w:lvl w:ilvl="8" w:tplc="AECC335C">
      <w:numFmt w:val="decimal"/>
      <w:lvlText w:val=""/>
      <w:lvlJc w:val="left"/>
    </w:lvl>
  </w:abstractNum>
  <w:abstractNum w:abstractNumId="1085" w15:restartNumberingAfterBreak="0">
    <w:nsid w:val="524E3A73"/>
    <w:multiLevelType w:val="hybridMultilevel"/>
    <w:tmpl w:val="1CD4518E"/>
    <w:lvl w:ilvl="0" w:tplc="417802CA">
      <w:start w:val="1"/>
      <w:numFmt w:val="bullet"/>
      <w:lvlText w:val=""/>
      <w:lvlJc w:val="left"/>
      <w:pPr>
        <w:ind w:left="720" w:hanging="180"/>
      </w:pPr>
      <w:rPr>
        <w:rFonts w:ascii="Symbol" w:hAnsi="Symbol" w:hint="default"/>
      </w:rPr>
    </w:lvl>
    <w:lvl w:ilvl="1" w:tplc="758A940A">
      <w:numFmt w:val="decimal"/>
      <w:lvlText w:val=""/>
      <w:lvlJc w:val="left"/>
    </w:lvl>
    <w:lvl w:ilvl="2" w:tplc="A9A0F672">
      <w:numFmt w:val="decimal"/>
      <w:lvlText w:val=""/>
      <w:lvlJc w:val="left"/>
    </w:lvl>
    <w:lvl w:ilvl="3" w:tplc="058ADC20">
      <w:numFmt w:val="decimal"/>
      <w:lvlText w:val=""/>
      <w:lvlJc w:val="left"/>
    </w:lvl>
    <w:lvl w:ilvl="4" w:tplc="43323FDA">
      <w:numFmt w:val="decimal"/>
      <w:lvlText w:val=""/>
      <w:lvlJc w:val="left"/>
    </w:lvl>
    <w:lvl w:ilvl="5" w:tplc="FE4EBCEA">
      <w:numFmt w:val="decimal"/>
      <w:lvlText w:val=""/>
      <w:lvlJc w:val="left"/>
    </w:lvl>
    <w:lvl w:ilvl="6" w:tplc="1740666C">
      <w:numFmt w:val="decimal"/>
      <w:lvlText w:val=""/>
      <w:lvlJc w:val="left"/>
    </w:lvl>
    <w:lvl w:ilvl="7" w:tplc="D1D21490">
      <w:numFmt w:val="decimal"/>
      <w:lvlText w:val=""/>
      <w:lvlJc w:val="left"/>
    </w:lvl>
    <w:lvl w:ilvl="8" w:tplc="57443490">
      <w:numFmt w:val="decimal"/>
      <w:lvlText w:val=""/>
      <w:lvlJc w:val="left"/>
    </w:lvl>
  </w:abstractNum>
  <w:abstractNum w:abstractNumId="1086" w15:restartNumberingAfterBreak="0">
    <w:nsid w:val="52555BAF"/>
    <w:multiLevelType w:val="hybridMultilevel"/>
    <w:tmpl w:val="034A678C"/>
    <w:lvl w:ilvl="0" w:tplc="E95619E4">
      <w:start w:val="1"/>
      <w:numFmt w:val="bullet"/>
      <w:lvlText w:val=""/>
      <w:lvlJc w:val="left"/>
      <w:pPr>
        <w:ind w:left="720" w:hanging="180"/>
      </w:pPr>
      <w:rPr>
        <w:rFonts w:ascii="Symbol" w:hAnsi="Symbol" w:hint="default"/>
      </w:rPr>
    </w:lvl>
    <w:lvl w:ilvl="1" w:tplc="B66CEDB2">
      <w:numFmt w:val="decimal"/>
      <w:lvlText w:val=""/>
      <w:lvlJc w:val="left"/>
    </w:lvl>
    <w:lvl w:ilvl="2" w:tplc="8BE67CD6">
      <w:numFmt w:val="decimal"/>
      <w:lvlText w:val=""/>
      <w:lvlJc w:val="left"/>
    </w:lvl>
    <w:lvl w:ilvl="3" w:tplc="C0EA687C">
      <w:numFmt w:val="decimal"/>
      <w:lvlText w:val=""/>
      <w:lvlJc w:val="left"/>
    </w:lvl>
    <w:lvl w:ilvl="4" w:tplc="B3E25A2C">
      <w:numFmt w:val="decimal"/>
      <w:lvlText w:val=""/>
      <w:lvlJc w:val="left"/>
    </w:lvl>
    <w:lvl w:ilvl="5" w:tplc="B204EA1E">
      <w:numFmt w:val="decimal"/>
      <w:lvlText w:val=""/>
      <w:lvlJc w:val="left"/>
    </w:lvl>
    <w:lvl w:ilvl="6" w:tplc="2012A428">
      <w:numFmt w:val="decimal"/>
      <w:lvlText w:val=""/>
      <w:lvlJc w:val="left"/>
    </w:lvl>
    <w:lvl w:ilvl="7" w:tplc="121C3F54">
      <w:numFmt w:val="decimal"/>
      <w:lvlText w:val=""/>
      <w:lvlJc w:val="left"/>
    </w:lvl>
    <w:lvl w:ilvl="8" w:tplc="D7649852">
      <w:numFmt w:val="decimal"/>
      <w:lvlText w:val=""/>
      <w:lvlJc w:val="left"/>
    </w:lvl>
  </w:abstractNum>
  <w:abstractNum w:abstractNumId="1087" w15:restartNumberingAfterBreak="0">
    <w:nsid w:val="52560373"/>
    <w:multiLevelType w:val="hybridMultilevel"/>
    <w:tmpl w:val="2812B746"/>
    <w:lvl w:ilvl="0" w:tplc="89B8E164">
      <w:start w:val="1"/>
      <w:numFmt w:val="bullet"/>
      <w:lvlText w:val=""/>
      <w:lvlJc w:val="left"/>
      <w:pPr>
        <w:ind w:left="720" w:hanging="180"/>
      </w:pPr>
      <w:rPr>
        <w:rFonts w:ascii="Symbol" w:hAnsi="Symbol" w:hint="default"/>
      </w:rPr>
    </w:lvl>
    <w:lvl w:ilvl="1" w:tplc="79008440">
      <w:numFmt w:val="decimal"/>
      <w:lvlText w:val=""/>
      <w:lvlJc w:val="left"/>
    </w:lvl>
    <w:lvl w:ilvl="2" w:tplc="1BFC0188">
      <w:numFmt w:val="decimal"/>
      <w:lvlText w:val=""/>
      <w:lvlJc w:val="left"/>
    </w:lvl>
    <w:lvl w:ilvl="3" w:tplc="02D29408">
      <w:numFmt w:val="decimal"/>
      <w:lvlText w:val=""/>
      <w:lvlJc w:val="left"/>
    </w:lvl>
    <w:lvl w:ilvl="4" w:tplc="9EC096B8">
      <w:numFmt w:val="decimal"/>
      <w:lvlText w:val=""/>
      <w:lvlJc w:val="left"/>
    </w:lvl>
    <w:lvl w:ilvl="5" w:tplc="BA70D06A">
      <w:numFmt w:val="decimal"/>
      <w:lvlText w:val=""/>
      <w:lvlJc w:val="left"/>
    </w:lvl>
    <w:lvl w:ilvl="6" w:tplc="1EF63858">
      <w:numFmt w:val="decimal"/>
      <w:lvlText w:val=""/>
      <w:lvlJc w:val="left"/>
    </w:lvl>
    <w:lvl w:ilvl="7" w:tplc="EBBC532C">
      <w:numFmt w:val="decimal"/>
      <w:lvlText w:val=""/>
      <w:lvlJc w:val="left"/>
    </w:lvl>
    <w:lvl w:ilvl="8" w:tplc="4C9C8CB4">
      <w:numFmt w:val="decimal"/>
      <w:lvlText w:val=""/>
      <w:lvlJc w:val="left"/>
    </w:lvl>
  </w:abstractNum>
  <w:abstractNum w:abstractNumId="1088" w15:restartNumberingAfterBreak="0">
    <w:nsid w:val="52804AE0"/>
    <w:multiLevelType w:val="hybridMultilevel"/>
    <w:tmpl w:val="7DA808A0"/>
    <w:lvl w:ilvl="0" w:tplc="271EF4CA">
      <w:start w:val="1"/>
      <w:numFmt w:val="bullet"/>
      <w:lvlText w:val=""/>
      <w:lvlJc w:val="left"/>
      <w:pPr>
        <w:ind w:left="720" w:hanging="180"/>
      </w:pPr>
      <w:rPr>
        <w:rFonts w:ascii="Symbol" w:hAnsi="Symbol" w:hint="default"/>
      </w:rPr>
    </w:lvl>
    <w:lvl w:ilvl="1" w:tplc="B11648FC">
      <w:numFmt w:val="decimal"/>
      <w:lvlText w:val=""/>
      <w:lvlJc w:val="left"/>
    </w:lvl>
    <w:lvl w:ilvl="2" w:tplc="5AE80074">
      <w:numFmt w:val="decimal"/>
      <w:lvlText w:val=""/>
      <w:lvlJc w:val="left"/>
    </w:lvl>
    <w:lvl w:ilvl="3" w:tplc="AD7C0028">
      <w:numFmt w:val="decimal"/>
      <w:lvlText w:val=""/>
      <w:lvlJc w:val="left"/>
    </w:lvl>
    <w:lvl w:ilvl="4" w:tplc="6952D996">
      <w:numFmt w:val="decimal"/>
      <w:lvlText w:val=""/>
      <w:lvlJc w:val="left"/>
    </w:lvl>
    <w:lvl w:ilvl="5" w:tplc="E0E0AF96">
      <w:numFmt w:val="decimal"/>
      <w:lvlText w:val=""/>
      <w:lvlJc w:val="left"/>
    </w:lvl>
    <w:lvl w:ilvl="6" w:tplc="8862892C">
      <w:numFmt w:val="decimal"/>
      <w:lvlText w:val=""/>
      <w:lvlJc w:val="left"/>
    </w:lvl>
    <w:lvl w:ilvl="7" w:tplc="FD6EED14">
      <w:numFmt w:val="decimal"/>
      <w:lvlText w:val=""/>
      <w:lvlJc w:val="left"/>
    </w:lvl>
    <w:lvl w:ilvl="8" w:tplc="D61EBABE">
      <w:numFmt w:val="decimal"/>
      <w:lvlText w:val=""/>
      <w:lvlJc w:val="left"/>
    </w:lvl>
  </w:abstractNum>
  <w:abstractNum w:abstractNumId="1089" w15:restartNumberingAfterBreak="0">
    <w:nsid w:val="52902783"/>
    <w:multiLevelType w:val="hybridMultilevel"/>
    <w:tmpl w:val="EA44E352"/>
    <w:lvl w:ilvl="0" w:tplc="61D456B8">
      <w:start w:val="1"/>
      <w:numFmt w:val="bullet"/>
      <w:lvlText w:val=""/>
      <w:lvlJc w:val="left"/>
      <w:pPr>
        <w:ind w:left="720" w:hanging="180"/>
      </w:pPr>
      <w:rPr>
        <w:rFonts w:ascii="Symbol" w:hAnsi="Symbol" w:hint="default"/>
      </w:rPr>
    </w:lvl>
    <w:lvl w:ilvl="1" w:tplc="66E606E4">
      <w:numFmt w:val="decimal"/>
      <w:lvlText w:val=""/>
      <w:lvlJc w:val="left"/>
    </w:lvl>
    <w:lvl w:ilvl="2" w:tplc="98348B06">
      <w:numFmt w:val="decimal"/>
      <w:lvlText w:val=""/>
      <w:lvlJc w:val="left"/>
    </w:lvl>
    <w:lvl w:ilvl="3" w:tplc="CC12697A">
      <w:numFmt w:val="decimal"/>
      <w:lvlText w:val=""/>
      <w:lvlJc w:val="left"/>
    </w:lvl>
    <w:lvl w:ilvl="4" w:tplc="E6D4E33E">
      <w:numFmt w:val="decimal"/>
      <w:lvlText w:val=""/>
      <w:lvlJc w:val="left"/>
    </w:lvl>
    <w:lvl w:ilvl="5" w:tplc="8376ACB8">
      <w:numFmt w:val="decimal"/>
      <w:lvlText w:val=""/>
      <w:lvlJc w:val="left"/>
    </w:lvl>
    <w:lvl w:ilvl="6" w:tplc="78D4B850">
      <w:numFmt w:val="decimal"/>
      <w:lvlText w:val=""/>
      <w:lvlJc w:val="left"/>
    </w:lvl>
    <w:lvl w:ilvl="7" w:tplc="702241CA">
      <w:numFmt w:val="decimal"/>
      <w:lvlText w:val=""/>
      <w:lvlJc w:val="left"/>
    </w:lvl>
    <w:lvl w:ilvl="8" w:tplc="6218D0A2">
      <w:numFmt w:val="decimal"/>
      <w:lvlText w:val=""/>
      <w:lvlJc w:val="left"/>
    </w:lvl>
  </w:abstractNum>
  <w:abstractNum w:abstractNumId="1090" w15:restartNumberingAfterBreak="0">
    <w:nsid w:val="5299795E"/>
    <w:multiLevelType w:val="hybridMultilevel"/>
    <w:tmpl w:val="AE1E23C2"/>
    <w:lvl w:ilvl="0" w:tplc="196CC154">
      <w:numFmt w:val="decimal"/>
      <w:lvlText w:val=""/>
      <w:lvlJc w:val="left"/>
    </w:lvl>
    <w:lvl w:ilvl="1" w:tplc="4D36A6D6">
      <w:start w:val="1"/>
      <w:numFmt w:val="bullet"/>
      <w:lvlText w:val=""/>
      <w:lvlJc w:val="left"/>
      <w:pPr>
        <w:ind w:left="1440" w:hanging="180"/>
      </w:pPr>
      <w:rPr>
        <w:rFonts w:ascii="Symbol" w:hAnsi="Symbol" w:hint="default"/>
      </w:rPr>
    </w:lvl>
    <w:lvl w:ilvl="2" w:tplc="E940EA7E">
      <w:numFmt w:val="decimal"/>
      <w:lvlText w:val=""/>
      <w:lvlJc w:val="left"/>
    </w:lvl>
    <w:lvl w:ilvl="3" w:tplc="917CC9F4">
      <w:numFmt w:val="decimal"/>
      <w:lvlText w:val=""/>
      <w:lvlJc w:val="left"/>
    </w:lvl>
    <w:lvl w:ilvl="4" w:tplc="54A4A4D8">
      <w:numFmt w:val="decimal"/>
      <w:lvlText w:val=""/>
      <w:lvlJc w:val="left"/>
    </w:lvl>
    <w:lvl w:ilvl="5" w:tplc="81A4EDF8">
      <w:numFmt w:val="decimal"/>
      <w:lvlText w:val=""/>
      <w:lvlJc w:val="left"/>
    </w:lvl>
    <w:lvl w:ilvl="6" w:tplc="042A3126">
      <w:numFmt w:val="decimal"/>
      <w:lvlText w:val=""/>
      <w:lvlJc w:val="left"/>
    </w:lvl>
    <w:lvl w:ilvl="7" w:tplc="F914204A">
      <w:numFmt w:val="decimal"/>
      <w:lvlText w:val=""/>
      <w:lvlJc w:val="left"/>
    </w:lvl>
    <w:lvl w:ilvl="8" w:tplc="F7B6898C">
      <w:numFmt w:val="decimal"/>
      <w:lvlText w:val=""/>
      <w:lvlJc w:val="left"/>
    </w:lvl>
  </w:abstractNum>
  <w:abstractNum w:abstractNumId="1091" w15:restartNumberingAfterBreak="0">
    <w:nsid w:val="52CC1448"/>
    <w:multiLevelType w:val="hybridMultilevel"/>
    <w:tmpl w:val="69624828"/>
    <w:lvl w:ilvl="0" w:tplc="7D8E2F08">
      <w:start w:val="1"/>
      <w:numFmt w:val="bullet"/>
      <w:lvlText w:val=""/>
      <w:lvlJc w:val="left"/>
      <w:pPr>
        <w:ind w:left="720" w:hanging="180"/>
      </w:pPr>
      <w:rPr>
        <w:rFonts w:ascii="Symbol" w:hAnsi="Symbol" w:hint="default"/>
      </w:rPr>
    </w:lvl>
    <w:lvl w:ilvl="1" w:tplc="C9F449C4">
      <w:numFmt w:val="decimal"/>
      <w:lvlText w:val=""/>
      <w:lvlJc w:val="left"/>
    </w:lvl>
    <w:lvl w:ilvl="2" w:tplc="4BFC6F7C">
      <w:numFmt w:val="decimal"/>
      <w:lvlText w:val=""/>
      <w:lvlJc w:val="left"/>
    </w:lvl>
    <w:lvl w:ilvl="3" w:tplc="5004178C">
      <w:numFmt w:val="decimal"/>
      <w:lvlText w:val=""/>
      <w:lvlJc w:val="left"/>
    </w:lvl>
    <w:lvl w:ilvl="4" w:tplc="D4D80CC8">
      <w:numFmt w:val="decimal"/>
      <w:lvlText w:val=""/>
      <w:lvlJc w:val="left"/>
    </w:lvl>
    <w:lvl w:ilvl="5" w:tplc="B5F86AE0">
      <w:numFmt w:val="decimal"/>
      <w:lvlText w:val=""/>
      <w:lvlJc w:val="left"/>
    </w:lvl>
    <w:lvl w:ilvl="6" w:tplc="7786CFD0">
      <w:numFmt w:val="decimal"/>
      <w:lvlText w:val=""/>
      <w:lvlJc w:val="left"/>
    </w:lvl>
    <w:lvl w:ilvl="7" w:tplc="1F36DAB4">
      <w:numFmt w:val="decimal"/>
      <w:lvlText w:val=""/>
      <w:lvlJc w:val="left"/>
    </w:lvl>
    <w:lvl w:ilvl="8" w:tplc="E9782D40">
      <w:numFmt w:val="decimal"/>
      <w:lvlText w:val=""/>
      <w:lvlJc w:val="left"/>
    </w:lvl>
  </w:abstractNum>
  <w:abstractNum w:abstractNumId="1092" w15:restartNumberingAfterBreak="0">
    <w:nsid w:val="53680E85"/>
    <w:multiLevelType w:val="hybridMultilevel"/>
    <w:tmpl w:val="71B841D8"/>
    <w:lvl w:ilvl="0" w:tplc="4BAA362A">
      <w:start w:val="1"/>
      <w:numFmt w:val="bullet"/>
      <w:lvlText w:val=""/>
      <w:lvlJc w:val="left"/>
      <w:pPr>
        <w:ind w:left="720" w:hanging="180"/>
      </w:pPr>
      <w:rPr>
        <w:rFonts w:ascii="Symbol" w:hAnsi="Symbol" w:hint="default"/>
      </w:rPr>
    </w:lvl>
    <w:lvl w:ilvl="1" w:tplc="670A7E06">
      <w:numFmt w:val="decimal"/>
      <w:lvlText w:val=""/>
      <w:lvlJc w:val="left"/>
    </w:lvl>
    <w:lvl w:ilvl="2" w:tplc="2F8C8834">
      <w:numFmt w:val="decimal"/>
      <w:lvlText w:val=""/>
      <w:lvlJc w:val="left"/>
    </w:lvl>
    <w:lvl w:ilvl="3" w:tplc="C7A8EAAC">
      <w:numFmt w:val="decimal"/>
      <w:lvlText w:val=""/>
      <w:lvlJc w:val="left"/>
    </w:lvl>
    <w:lvl w:ilvl="4" w:tplc="675A7582">
      <w:numFmt w:val="decimal"/>
      <w:lvlText w:val=""/>
      <w:lvlJc w:val="left"/>
    </w:lvl>
    <w:lvl w:ilvl="5" w:tplc="6F267412">
      <w:numFmt w:val="decimal"/>
      <w:lvlText w:val=""/>
      <w:lvlJc w:val="left"/>
    </w:lvl>
    <w:lvl w:ilvl="6" w:tplc="728AAB46">
      <w:numFmt w:val="decimal"/>
      <w:lvlText w:val=""/>
      <w:lvlJc w:val="left"/>
    </w:lvl>
    <w:lvl w:ilvl="7" w:tplc="1E52A1B4">
      <w:numFmt w:val="decimal"/>
      <w:lvlText w:val=""/>
      <w:lvlJc w:val="left"/>
    </w:lvl>
    <w:lvl w:ilvl="8" w:tplc="E6EC9AE8">
      <w:numFmt w:val="decimal"/>
      <w:lvlText w:val=""/>
      <w:lvlJc w:val="left"/>
    </w:lvl>
  </w:abstractNum>
  <w:abstractNum w:abstractNumId="1093" w15:restartNumberingAfterBreak="0">
    <w:nsid w:val="53716488"/>
    <w:multiLevelType w:val="hybridMultilevel"/>
    <w:tmpl w:val="E06C36DC"/>
    <w:lvl w:ilvl="0" w:tplc="0ACA31AE">
      <w:start w:val="1"/>
      <w:numFmt w:val="bullet"/>
      <w:lvlText w:val=""/>
      <w:lvlJc w:val="left"/>
      <w:pPr>
        <w:ind w:left="720" w:hanging="180"/>
      </w:pPr>
      <w:rPr>
        <w:rFonts w:ascii="Symbol" w:hAnsi="Symbol" w:hint="default"/>
      </w:rPr>
    </w:lvl>
    <w:lvl w:ilvl="1" w:tplc="3D9AA560">
      <w:numFmt w:val="decimal"/>
      <w:lvlText w:val=""/>
      <w:lvlJc w:val="left"/>
    </w:lvl>
    <w:lvl w:ilvl="2" w:tplc="E60CE160">
      <w:numFmt w:val="decimal"/>
      <w:lvlText w:val=""/>
      <w:lvlJc w:val="left"/>
    </w:lvl>
    <w:lvl w:ilvl="3" w:tplc="C4463DBC">
      <w:numFmt w:val="decimal"/>
      <w:lvlText w:val=""/>
      <w:lvlJc w:val="left"/>
    </w:lvl>
    <w:lvl w:ilvl="4" w:tplc="DDA2430A">
      <w:numFmt w:val="decimal"/>
      <w:lvlText w:val=""/>
      <w:lvlJc w:val="left"/>
    </w:lvl>
    <w:lvl w:ilvl="5" w:tplc="60E82B98">
      <w:numFmt w:val="decimal"/>
      <w:lvlText w:val=""/>
      <w:lvlJc w:val="left"/>
    </w:lvl>
    <w:lvl w:ilvl="6" w:tplc="CF22D7A2">
      <w:numFmt w:val="decimal"/>
      <w:lvlText w:val=""/>
      <w:lvlJc w:val="left"/>
    </w:lvl>
    <w:lvl w:ilvl="7" w:tplc="FBBA9460">
      <w:numFmt w:val="decimal"/>
      <w:lvlText w:val=""/>
      <w:lvlJc w:val="left"/>
    </w:lvl>
    <w:lvl w:ilvl="8" w:tplc="C7244F54">
      <w:numFmt w:val="decimal"/>
      <w:lvlText w:val=""/>
      <w:lvlJc w:val="left"/>
    </w:lvl>
  </w:abstractNum>
  <w:abstractNum w:abstractNumId="1094" w15:restartNumberingAfterBreak="0">
    <w:nsid w:val="53813E5E"/>
    <w:multiLevelType w:val="hybridMultilevel"/>
    <w:tmpl w:val="DED63CEC"/>
    <w:lvl w:ilvl="0" w:tplc="81283ED0">
      <w:start w:val="1"/>
      <w:numFmt w:val="bullet"/>
      <w:lvlText w:val=""/>
      <w:lvlJc w:val="left"/>
      <w:pPr>
        <w:ind w:left="720" w:hanging="180"/>
      </w:pPr>
      <w:rPr>
        <w:rFonts w:ascii="Symbol" w:hAnsi="Symbol" w:hint="default"/>
      </w:rPr>
    </w:lvl>
    <w:lvl w:ilvl="1" w:tplc="32928406">
      <w:numFmt w:val="decimal"/>
      <w:lvlText w:val=""/>
      <w:lvlJc w:val="left"/>
    </w:lvl>
    <w:lvl w:ilvl="2" w:tplc="4AFAE8CA">
      <w:numFmt w:val="decimal"/>
      <w:lvlText w:val=""/>
      <w:lvlJc w:val="left"/>
    </w:lvl>
    <w:lvl w:ilvl="3" w:tplc="31D40BBE">
      <w:numFmt w:val="decimal"/>
      <w:lvlText w:val=""/>
      <w:lvlJc w:val="left"/>
    </w:lvl>
    <w:lvl w:ilvl="4" w:tplc="B866D6FA">
      <w:numFmt w:val="decimal"/>
      <w:lvlText w:val=""/>
      <w:lvlJc w:val="left"/>
    </w:lvl>
    <w:lvl w:ilvl="5" w:tplc="C556E936">
      <w:numFmt w:val="decimal"/>
      <w:lvlText w:val=""/>
      <w:lvlJc w:val="left"/>
    </w:lvl>
    <w:lvl w:ilvl="6" w:tplc="4964E3D4">
      <w:numFmt w:val="decimal"/>
      <w:lvlText w:val=""/>
      <w:lvlJc w:val="left"/>
    </w:lvl>
    <w:lvl w:ilvl="7" w:tplc="C27A697A">
      <w:numFmt w:val="decimal"/>
      <w:lvlText w:val=""/>
      <w:lvlJc w:val="left"/>
    </w:lvl>
    <w:lvl w:ilvl="8" w:tplc="D2024E36">
      <w:numFmt w:val="decimal"/>
      <w:lvlText w:val=""/>
      <w:lvlJc w:val="left"/>
    </w:lvl>
  </w:abstractNum>
  <w:abstractNum w:abstractNumId="1095" w15:restartNumberingAfterBreak="0">
    <w:nsid w:val="53982F6E"/>
    <w:multiLevelType w:val="hybridMultilevel"/>
    <w:tmpl w:val="76CC02D4"/>
    <w:lvl w:ilvl="0" w:tplc="F82C708C">
      <w:start w:val="1"/>
      <w:numFmt w:val="bullet"/>
      <w:lvlText w:val=""/>
      <w:lvlJc w:val="left"/>
      <w:pPr>
        <w:ind w:left="720" w:hanging="180"/>
      </w:pPr>
      <w:rPr>
        <w:rFonts w:ascii="Symbol" w:hAnsi="Symbol" w:hint="default"/>
      </w:rPr>
    </w:lvl>
    <w:lvl w:ilvl="1" w:tplc="1CD20A0E">
      <w:numFmt w:val="decimal"/>
      <w:lvlText w:val=""/>
      <w:lvlJc w:val="left"/>
    </w:lvl>
    <w:lvl w:ilvl="2" w:tplc="3B2E9EFA">
      <w:numFmt w:val="decimal"/>
      <w:lvlText w:val=""/>
      <w:lvlJc w:val="left"/>
    </w:lvl>
    <w:lvl w:ilvl="3" w:tplc="5E7E6956">
      <w:numFmt w:val="decimal"/>
      <w:lvlText w:val=""/>
      <w:lvlJc w:val="left"/>
    </w:lvl>
    <w:lvl w:ilvl="4" w:tplc="6B064996">
      <w:numFmt w:val="decimal"/>
      <w:lvlText w:val=""/>
      <w:lvlJc w:val="left"/>
    </w:lvl>
    <w:lvl w:ilvl="5" w:tplc="8C981CCE">
      <w:numFmt w:val="decimal"/>
      <w:lvlText w:val=""/>
      <w:lvlJc w:val="left"/>
    </w:lvl>
    <w:lvl w:ilvl="6" w:tplc="6076E234">
      <w:numFmt w:val="decimal"/>
      <w:lvlText w:val=""/>
      <w:lvlJc w:val="left"/>
    </w:lvl>
    <w:lvl w:ilvl="7" w:tplc="7FCC3B6E">
      <w:numFmt w:val="decimal"/>
      <w:lvlText w:val=""/>
      <w:lvlJc w:val="left"/>
    </w:lvl>
    <w:lvl w:ilvl="8" w:tplc="5DBEAFF6">
      <w:numFmt w:val="decimal"/>
      <w:lvlText w:val=""/>
      <w:lvlJc w:val="left"/>
    </w:lvl>
  </w:abstractNum>
  <w:abstractNum w:abstractNumId="1096" w15:restartNumberingAfterBreak="0">
    <w:nsid w:val="53A11B66"/>
    <w:multiLevelType w:val="hybridMultilevel"/>
    <w:tmpl w:val="B688095E"/>
    <w:lvl w:ilvl="0" w:tplc="CC346FAE">
      <w:start w:val="1"/>
      <w:numFmt w:val="bullet"/>
      <w:lvlText w:val=""/>
      <w:lvlJc w:val="left"/>
      <w:pPr>
        <w:ind w:left="720" w:hanging="180"/>
      </w:pPr>
      <w:rPr>
        <w:rFonts w:ascii="Symbol" w:hAnsi="Symbol" w:hint="default"/>
      </w:rPr>
    </w:lvl>
    <w:lvl w:ilvl="1" w:tplc="F3EC2DE2">
      <w:numFmt w:val="decimal"/>
      <w:lvlText w:val=""/>
      <w:lvlJc w:val="left"/>
    </w:lvl>
    <w:lvl w:ilvl="2" w:tplc="B4CA1CB0">
      <w:numFmt w:val="decimal"/>
      <w:lvlText w:val=""/>
      <w:lvlJc w:val="left"/>
    </w:lvl>
    <w:lvl w:ilvl="3" w:tplc="0A3A95F4">
      <w:numFmt w:val="decimal"/>
      <w:lvlText w:val=""/>
      <w:lvlJc w:val="left"/>
    </w:lvl>
    <w:lvl w:ilvl="4" w:tplc="2B247334">
      <w:numFmt w:val="decimal"/>
      <w:lvlText w:val=""/>
      <w:lvlJc w:val="left"/>
    </w:lvl>
    <w:lvl w:ilvl="5" w:tplc="FB440C4C">
      <w:numFmt w:val="decimal"/>
      <w:lvlText w:val=""/>
      <w:lvlJc w:val="left"/>
    </w:lvl>
    <w:lvl w:ilvl="6" w:tplc="1B4ED994">
      <w:numFmt w:val="decimal"/>
      <w:lvlText w:val=""/>
      <w:lvlJc w:val="left"/>
    </w:lvl>
    <w:lvl w:ilvl="7" w:tplc="9D62637C">
      <w:numFmt w:val="decimal"/>
      <w:lvlText w:val=""/>
      <w:lvlJc w:val="left"/>
    </w:lvl>
    <w:lvl w:ilvl="8" w:tplc="1506FC38">
      <w:numFmt w:val="decimal"/>
      <w:lvlText w:val=""/>
      <w:lvlJc w:val="left"/>
    </w:lvl>
  </w:abstractNum>
  <w:abstractNum w:abstractNumId="1097" w15:restartNumberingAfterBreak="0">
    <w:nsid w:val="53C26ECE"/>
    <w:multiLevelType w:val="hybridMultilevel"/>
    <w:tmpl w:val="6472E152"/>
    <w:lvl w:ilvl="0" w:tplc="825CABF0">
      <w:start w:val="1"/>
      <w:numFmt w:val="bullet"/>
      <w:lvlText w:val=""/>
      <w:lvlJc w:val="left"/>
      <w:pPr>
        <w:ind w:left="720" w:hanging="180"/>
      </w:pPr>
      <w:rPr>
        <w:rFonts w:ascii="Symbol" w:hAnsi="Symbol" w:hint="default"/>
      </w:rPr>
    </w:lvl>
    <w:lvl w:ilvl="1" w:tplc="C81ED9B8">
      <w:numFmt w:val="decimal"/>
      <w:lvlText w:val=""/>
      <w:lvlJc w:val="left"/>
    </w:lvl>
    <w:lvl w:ilvl="2" w:tplc="09D8E4CC">
      <w:numFmt w:val="decimal"/>
      <w:lvlText w:val=""/>
      <w:lvlJc w:val="left"/>
    </w:lvl>
    <w:lvl w:ilvl="3" w:tplc="E9FE405C">
      <w:numFmt w:val="decimal"/>
      <w:lvlText w:val=""/>
      <w:lvlJc w:val="left"/>
    </w:lvl>
    <w:lvl w:ilvl="4" w:tplc="7E389FC8">
      <w:numFmt w:val="decimal"/>
      <w:lvlText w:val=""/>
      <w:lvlJc w:val="left"/>
    </w:lvl>
    <w:lvl w:ilvl="5" w:tplc="6AA01BB2">
      <w:numFmt w:val="decimal"/>
      <w:lvlText w:val=""/>
      <w:lvlJc w:val="left"/>
    </w:lvl>
    <w:lvl w:ilvl="6" w:tplc="E11217B6">
      <w:numFmt w:val="decimal"/>
      <w:lvlText w:val=""/>
      <w:lvlJc w:val="left"/>
    </w:lvl>
    <w:lvl w:ilvl="7" w:tplc="E25804D4">
      <w:numFmt w:val="decimal"/>
      <w:lvlText w:val=""/>
      <w:lvlJc w:val="left"/>
    </w:lvl>
    <w:lvl w:ilvl="8" w:tplc="86D2C53C">
      <w:numFmt w:val="decimal"/>
      <w:lvlText w:val=""/>
      <w:lvlJc w:val="left"/>
    </w:lvl>
  </w:abstractNum>
  <w:abstractNum w:abstractNumId="1098" w15:restartNumberingAfterBreak="0">
    <w:nsid w:val="53FF3519"/>
    <w:multiLevelType w:val="hybridMultilevel"/>
    <w:tmpl w:val="62920F02"/>
    <w:lvl w:ilvl="0" w:tplc="264C92F4">
      <w:start w:val="1"/>
      <w:numFmt w:val="bullet"/>
      <w:lvlText w:val=""/>
      <w:lvlJc w:val="left"/>
      <w:pPr>
        <w:ind w:left="720" w:hanging="180"/>
      </w:pPr>
      <w:rPr>
        <w:rFonts w:ascii="Symbol" w:hAnsi="Symbol" w:hint="default"/>
      </w:rPr>
    </w:lvl>
    <w:lvl w:ilvl="1" w:tplc="48CE9560">
      <w:numFmt w:val="decimal"/>
      <w:lvlText w:val=""/>
      <w:lvlJc w:val="left"/>
    </w:lvl>
    <w:lvl w:ilvl="2" w:tplc="1BF856D0">
      <w:numFmt w:val="decimal"/>
      <w:lvlText w:val=""/>
      <w:lvlJc w:val="left"/>
    </w:lvl>
    <w:lvl w:ilvl="3" w:tplc="F1282BAE">
      <w:numFmt w:val="decimal"/>
      <w:lvlText w:val=""/>
      <w:lvlJc w:val="left"/>
    </w:lvl>
    <w:lvl w:ilvl="4" w:tplc="17E2A94C">
      <w:numFmt w:val="decimal"/>
      <w:lvlText w:val=""/>
      <w:lvlJc w:val="left"/>
    </w:lvl>
    <w:lvl w:ilvl="5" w:tplc="35FC607C">
      <w:numFmt w:val="decimal"/>
      <w:lvlText w:val=""/>
      <w:lvlJc w:val="left"/>
    </w:lvl>
    <w:lvl w:ilvl="6" w:tplc="FF224616">
      <w:numFmt w:val="decimal"/>
      <w:lvlText w:val=""/>
      <w:lvlJc w:val="left"/>
    </w:lvl>
    <w:lvl w:ilvl="7" w:tplc="2A58DF5C">
      <w:numFmt w:val="decimal"/>
      <w:lvlText w:val=""/>
      <w:lvlJc w:val="left"/>
    </w:lvl>
    <w:lvl w:ilvl="8" w:tplc="69EE558E">
      <w:numFmt w:val="decimal"/>
      <w:lvlText w:val=""/>
      <w:lvlJc w:val="left"/>
    </w:lvl>
  </w:abstractNum>
  <w:abstractNum w:abstractNumId="1099" w15:restartNumberingAfterBreak="0">
    <w:nsid w:val="542A178B"/>
    <w:multiLevelType w:val="hybridMultilevel"/>
    <w:tmpl w:val="B958FC9C"/>
    <w:lvl w:ilvl="0" w:tplc="B678C1E8">
      <w:start w:val="1"/>
      <w:numFmt w:val="bullet"/>
      <w:lvlText w:val=""/>
      <w:lvlJc w:val="left"/>
      <w:pPr>
        <w:ind w:left="720" w:hanging="180"/>
      </w:pPr>
      <w:rPr>
        <w:rFonts w:ascii="Symbol" w:hAnsi="Symbol" w:hint="default"/>
      </w:rPr>
    </w:lvl>
    <w:lvl w:ilvl="1" w:tplc="62582E2E">
      <w:numFmt w:val="decimal"/>
      <w:lvlText w:val=""/>
      <w:lvlJc w:val="left"/>
    </w:lvl>
    <w:lvl w:ilvl="2" w:tplc="E5F2FC90">
      <w:numFmt w:val="decimal"/>
      <w:lvlText w:val=""/>
      <w:lvlJc w:val="left"/>
    </w:lvl>
    <w:lvl w:ilvl="3" w:tplc="BCE88900">
      <w:numFmt w:val="decimal"/>
      <w:lvlText w:val=""/>
      <w:lvlJc w:val="left"/>
    </w:lvl>
    <w:lvl w:ilvl="4" w:tplc="3716D940">
      <w:numFmt w:val="decimal"/>
      <w:lvlText w:val=""/>
      <w:lvlJc w:val="left"/>
    </w:lvl>
    <w:lvl w:ilvl="5" w:tplc="1354D87C">
      <w:numFmt w:val="decimal"/>
      <w:lvlText w:val=""/>
      <w:lvlJc w:val="left"/>
    </w:lvl>
    <w:lvl w:ilvl="6" w:tplc="92F2C4E6">
      <w:numFmt w:val="decimal"/>
      <w:lvlText w:val=""/>
      <w:lvlJc w:val="left"/>
    </w:lvl>
    <w:lvl w:ilvl="7" w:tplc="51DCF6E4">
      <w:numFmt w:val="decimal"/>
      <w:lvlText w:val=""/>
      <w:lvlJc w:val="left"/>
    </w:lvl>
    <w:lvl w:ilvl="8" w:tplc="52B8BDDA">
      <w:numFmt w:val="decimal"/>
      <w:lvlText w:val=""/>
      <w:lvlJc w:val="left"/>
    </w:lvl>
  </w:abstractNum>
  <w:abstractNum w:abstractNumId="1100" w15:restartNumberingAfterBreak="0">
    <w:nsid w:val="543C4135"/>
    <w:multiLevelType w:val="hybridMultilevel"/>
    <w:tmpl w:val="8CA41836"/>
    <w:lvl w:ilvl="0" w:tplc="3CD069AA">
      <w:start w:val="1"/>
      <w:numFmt w:val="bullet"/>
      <w:lvlText w:val=""/>
      <w:lvlJc w:val="left"/>
      <w:pPr>
        <w:ind w:left="720" w:hanging="180"/>
      </w:pPr>
      <w:rPr>
        <w:rFonts w:ascii="Symbol" w:hAnsi="Symbol" w:hint="default"/>
      </w:rPr>
    </w:lvl>
    <w:lvl w:ilvl="1" w:tplc="0832A12C">
      <w:numFmt w:val="decimal"/>
      <w:lvlText w:val=""/>
      <w:lvlJc w:val="left"/>
    </w:lvl>
    <w:lvl w:ilvl="2" w:tplc="8D3A7C38">
      <w:numFmt w:val="decimal"/>
      <w:lvlText w:val=""/>
      <w:lvlJc w:val="left"/>
    </w:lvl>
    <w:lvl w:ilvl="3" w:tplc="EAC888E2">
      <w:numFmt w:val="decimal"/>
      <w:lvlText w:val=""/>
      <w:lvlJc w:val="left"/>
    </w:lvl>
    <w:lvl w:ilvl="4" w:tplc="B3C419D0">
      <w:numFmt w:val="decimal"/>
      <w:lvlText w:val=""/>
      <w:lvlJc w:val="left"/>
    </w:lvl>
    <w:lvl w:ilvl="5" w:tplc="9DD8FCD2">
      <w:numFmt w:val="decimal"/>
      <w:lvlText w:val=""/>
      <w:lvlJc w:val="left"/>
    </w:lvl>
    <w:lvl w:ilvl="6" w:tplc="A23A2636">
      <w:numFmt w:val="decimal"/>
      <w:lvlText w:val=""/>
      <w:lvlJc w:val="left"/>
    </w:lvl>
    <w:lvl w:ilvl="7" w:tplc="4C8ADD9A">
      <w:numFmt w:val="decimal"/>
      <w:lvlText w:val=""/>
      <w:lvlJc w:val="left"/>
    </w:lvl>
    <w:lvl w:ilvl="8" w:tplc="FDE27722">
      <w:numFmt w:val="decimal"/>
      <w:lvlText w:val=""/>
      <w:lvlJc w:val="left"/>
    </w:lvl>
  </w:abstractNum>
  <w:abstractNum w:abstractNumId="1101" w15:restartNumberingAfterBreak="0">
    <w:nsid w:val="54422473"/>
    <w:multiLevelType w:val="hybridMultilevel"/>
    <w:tmpl w:val="08F28F84"/>
    <w:lvl w:ilvl="0" w:tplc="2ED04014">
      <w:start w:val="1"/>
      <w:numFmt w:val="bullet"/>
      <w:lvlText w:val=""/>
      <w:lvlJc w:val="left"/>
      <w:pPr>
        <w:ind w:left="720" w:hanging="180"/>
      </w:pPr>
      <w:rPr>
        <w:rFonts w:ascii="Symbol" w:hAnsi="Symbol" w:hint="default"/>
      </w:rPr>
    </w:lvl>
    <w:lvl w:ilvl="1" w:tplc="B57A8064">
      <w:numFmt w:val="decimal"/>
      <w:lvlText w:val=""/>
      <w:lvlJc w:val="left"/>
    </w:lvl>
    <w:lvl w:ilvl="2" w:tplc="D974D568">
      <w:numFmt w:val="decimal"/>
      <w:lvlText w:val=""/>
      <w:lvlJc w:val="left"/>
    </w:lvl>
    <w:lvl w:ilvl="3" w:tplc="A3A20062">
      <w:numFmt w:val="decimal"/>
      <w:lvlText w:val=""/>
      <w:lvlJc w:val="left"/>
    </w:lvl>
    <w:lvl w:ilvl="4" w:tplc="E6D4D9B0">
      <w:numFmt w:val="decimal"/>
      <w:lvlText w:val=""/>
      <w:lvlJc w:val="left"/>
    </w:lvl>
    <w:lvl w:ilvl="5" w:tplc="CB78386E">
      <w:numFmt w:val="decimal"/>
      <w:lvlText w:val=""/>
      <w:lvlJc w:val="left"/>
    </w:lvl>
    <w:lvl w:ilvl="6" w:tplc="469C245E">
      <w:numFmt w:val="decimal"/>
      <w:lvlText w:val=""/>
      <w:lvlJc w:val="left"/>
    </w:lvl>
    <w:lvl w:ilvl="7" w:tplc="784A3CFA">
      <w:numFmt w:val="decimal"/>
      <w:lvlText w:val=""/>
      <w:lvlJc w:val="left"/>
    </w:lvl>
    <w:lvl w:ilvl="8" w:tplc="955EAD82">
      <w:numFmt w:val="decimal"/>
      <w:lvlText w:val=""/>
      <w:lvlJc w:val="left"/>
    </w:lvl>
  </w:abstractNum>
  <w:abstractNum w:abstractNumId="1102" w15:restartNumberingAfterBreak="0">
    <w:nsid w:val="546D2D54"/>
    <w:multiLevelType w:val="hybridMultilevel"/>
    <w:tmpl w:val="52448A9A"/>
    <w:lvl w:ilvl="0" w:tplc="B358D052">
      <w:start w:val="1"/>
      <w:numFmt w:val="bullet"/>
      <w:lvlText w:val=""/>
      <w:lvlJc w:val="left"/>
      <w:pPr>
        <w:ind w:left="720" w:hanging="180"/>
      </w:pPr>
      <w:rPr>
        <w:rFonts w:ascii="Symbol" w:hAnsi="Symbol" w:hint="default"/>
      </w:rPr>
    </w:lvl>
    <w:lvl w:ilvl="1" w:tplc="5888BA68">
      <w:numFmt w:val="decimal"/>
      <w:lvlText w:val=""/>
      <w:lvlJc w:val="left"/>
    </w:lvl>
    <w:lvl w:ilvl="2" w:tplc="B1C0C842">
      <w:numFmt w:val="decimal"/>
      <w:lvlText w:val=""/>
      <w:lvlJc w:val="left"/>
    </w:lvl>
    <w:lvl w:ilvl="3" w:tplc="4380D236">
      <w:numFmt w:val="decimal"/>
      <w:lvlText w:val=""/>
      <w:lvlJc w:val="left"/>
    </w:lvl>
    <w:lvl w:ilvl="4" w:tplc="0C00D2A8">
      <w:numFmt w:val="decimal"/>
      <w:lvlText w:val=""/>
      <w:lvlJc w:val="left"/>
    </w:lvl>
    <w:lvl w:ilvl="5" w:tplc="1C16EEBA">
      <w:numFmt w:val="decimal"/>
      <w:lvlText w:val=""/>
      <w:lvlJc w:val="left"/>
    </w:lvl>
    <w:lvl w:ilvl="6" w:tplc="F1306B0E">
      <w:numFmt w:val="decimal"/>
      <w:lvlText w:val=""/>
      <w:lvlJc w:val="left"/>
    </w:lvl>
    <w:lvl w:ilvl="7" w:tplc="7076D04A">
      <w:numFmt w:val="decimal"/>
      <w:lvlText w:val=""/>
      <w:lvlJc w:val="left"/>
    </w:lvl>
    <w:lvl w:ilvl="8" w:tplc="35FC4E14">
      <w:numFmt w:val="decimal"/>
      <w:lvlText w:val=""/>
      <w:lvlJc w:val="left"/>
    </w:lvl>
  </w:abstractNum>
  <w:abstractNum w:abstractNumId="1103" w15:restartNumberingAfterBreak="0">
    <w:nsid w:val="54712F16"/>
    <w:multiLevelType w:val="hybridMultilevel"/>
    <w:tmpl w:val="294A60E6"/>
    <w:lvl w:ilvl="0" w:tplc="BFDA9B1E">
      <w:start w:val="1"/>
      <w:numFmt w:val="bullet"/>
      <w:lvlText w:val=""/>
      <w:lvlJc w:val="left"/>
      <w:pPr>
        <w:ind w:left="720" w:hanging="180"/>
      </w:pPr>
      <w:rPr>
        <w:rFonts w:ascii="Symbol" w:hAnsi="Symbol" w:hint="default"/>
      </w:rPr>
    </w:lvl>
    <w:lvl w:ilvl="1" w:tplc="51DA9176">
      <w:numFmt w:val="decimal"/>
      <w:lvlText w:val=""/>
      <w:lvlJc w:val="left"/>
    </w:lvl>
    <w:lvl w:ilvl="2" w:tplc="ECC4994E">
      <w:numFmt w:val="decimal"/>
      <w:lvlText w:val=""/>
      <w:lvlJc w:val="left"/>
    </w:lvl>
    <w:lvl w:ilvl="3" w:tplc="BCB024F8">
      <w:numFmt w:val="decimal"/>
      <w:lvlText w:val=""/>
      <w:lvlJc w:val="left"/>
    </w:lvl>
    <w:lvl w:ilvl="4" w:tplc="A1C8274E">
      <w:numFmt w:val="decimal"/>
      <w:lvlText w:val=""/>
      <w:lvlJc w:val="left"/>
    </w:lvl>
    <w:lvl w:ilvl="5" w:tplc="30324368">
      <w:numFmt w:val="decimal"/>
      <w:lvlText w:val=""/>
      <w:lvlJc w:val="left"/>
    </w:lvl>
    <w:lvl w:ilvl="6" w:tplc="7C8A358E">
      <w:numFmt w:val="decimal"/>
      <w:lvlText w:val=""/>
      <w:lvlJc w:val="left"/>
    </w:lvl>
    <w:lvl w:ilvl="7" w:tplc="FA9CD2E6">
      <w:numFmt w:val="decimal"/>
      <w:lvlText w:val=""/>
      <w:lvlJc w:val="left"/>
    </w:lvl>
    <w:lvl w:ilvl="8" w:tplc="38349B6C">
      <w:numFmt w:val="decimal"/>
      <w:lvlText w:val=""/>
      <w:lvlJc w:val="left"/>
    </w:lvl>
  </w:abstractNum>
  <w:abstractNum w:abstractNumId="1104" w15:restartNumberingAfterBreak="0">
    <w:nsid w:val="547B2ABC"/>
    <w:multiLevelType w:val="hybridMultilevel"/>
    <w:tmpl w:val="5ABEC6FC"/>
    <w:lvl w:ilvl="0" w:tplc="5652E20A">
      <w:start w:val="1"/>
      <w:numFmt w:val="bullet"/>
      <w:lvlText w:val=""/>
      <w:lvlJc w:val="left"/>
      <w:pPr>
        <w:ind w:left="720" w:hanging="180"/>
      </w:pPr>
      <w:rPr>
        <w:rFonts w:ascii="Symbol" w:hAnsi="Symbol" w:hint="default"/>
      </w:rPr>
    </w:lvl>
    <w:lvl w:ilvl="1" w:tplc="374CCC8A">
      <w:numFmt w:val="decimal"/>
      <w:lvlText w:val=""/>
      <w:lvlJc w:val="left"/>
    </w:lvl>
    <w:lvl w:ilvl="2" w:tplc="64FC7E46">
      <w:numFmt w:val="decimal"/>
      <w:lvlText w:val=""/>
      <w:lvlJc w:val="left"/>
    </w:lvl>
    <w:lvl w:ilvl="3" w:tplc="C30C421E">
      <w:numFmt w:val="decimal"/>
      <w:lvlText w:val=""/>
      <w:lvlJc w:val="left"/>
    </w:lvl>
    <w:lvl w:ilvl="4" w:tplc="C3869262">
      <w:numFmt w:val="decimal"/>
      <w:lvlText w:val=""/>
      <w:lvlJc w:val="left"/>
    </w:lvl>
    <w:lvl w:ilvl="5" w:tplc="50C064C8">
      <w:numFmt w:val="decimal"/>
      <w:lvlText w:val=""/>
      <w:lvlJc w:val="left"/>
    </w:lvl>
    <w:lvl w:ilvl="6" w:tplc="A33E0E1C">
      <w:numFmt w:val="decimal"/>
      <w:lvlText w:val=""/>
      <w:lvlJc w:val="left"/>
    </w:lvl>
    <w:lvl w:ilvl="7" w:tplc="BFC46182">
      <w:numFmt w:val="decimal"/>
      <w:lvlText w:val=""/>
      <w:lvlJc w:val="left"/>
    </w:lvl>
    <w:lvl w:ilvl="8" w:tplc="2FBA59AC">
      <w:numFmt w:val="decimal"/>
      <w:lvlText w:val=""/>
      <w:lvlJc w:val="left"/>
    </w:lvl>
  </w:abstractNum>
  <w:abstractNum w:abstractNumId="1105" w15:restartNumberingAfterBreak="0">
    <w:nsid w:val="548077F1"/>
    <w:multiLevelType w:val="hybridMultilevel"/>
    <w:tmpl w:val="46521218"/>
    <w:lvl w:ilvl="0" w:tplc="A03ED9B0">
      <w:start w:val="1"/>
      <w:numFmt w:val="bullet"/>
      <w:lvlText w:val=""/>
      <w:lvlJc w:val="left"/>
      <w:pPr>
        <w:ind w:left="720" w:hanging="180"/>
      </w:pPr>
      <w:rPr>
        <w:rFonts w:ascii="Symbol" w:hAnsi="Symbol" w:hint="default"/>
      </w:rPr>
    </w:lvl>
    <w:lvl w:ilvl="1" w:tplc="B0762BC2">
      <w:numFmt w:val="decimal"/>
      <w:lvlText w:val=""/>
      <w:lvlJc w:val="left"/>
    </w:lvl>
    <w:lvl w:ilvl="2" w:tplc="281ACFFC">
      <w:numFmt w:val="decimal"/>
      <w:lvlText w:val=""/>
      <w:lvlJc w:val="left"/>
    </w:lvl>
    <w:lvl w:ilvl="3" w:tplc="B2587B00">
      <w:numFmt w:val="decimal"/>
      <w:lvlText w:val=""/>
      <w:lvlJc w:val="left"/>
    </w:lvl>
    <w:lvl w:ilvl="4" w:tplc="3B5E0600">
      <w:numFmt w:val="decimal"/>
      <w:lvlText w:val=""/>
      <w:lvlJc w:val="left"/>
    </w:lvl>
    <w:lvl w:ilvl="5" w:tplc="6D000F80">
      <w:numFmt w:val="decimal"/>
      <w:lvlText w:val=""/>
      <w:lvlJc w:val="left"/>
    </w:lvl>
    <w:lvl w:ilvl="6" w:tplc="07F8239A">
      <w:numFmt w:val="decimal"/>
      <w:lvlText w:val=""/>
      <w:lvlJc w:val="left"/>
    </w:lvl>
    <w:lvl w:ilvl="7" w:tplc="241A56E8">
      <w:numFmt w:val="decimal"/>
      <w:lvlText w:val=""/>
      <w:lvlJc w:val="left"/>
    </w:lvl>
    <w:lvl w:ilvl="8" w:tplc="6D0A9A98">
      <w:numFmt w:val="decimal"/>
      <w:lvlText w:val=""/>
      <w:lvlJc w:val="left"/>
    </w:lvl>
  </w:abstractNum>
  <w:abstractNum w:abstractNumId="1106" w15:restartNumberingAfterBreak="0">
    <w:nsid w:val="54807C10"/>
    <w:multiLevelType w:val="hybridMultilevel"/>
    <w:tmpl w:val="8B8AA676"/>
    <w:lvl w:ilvl="0" w:tplc="66CE835E">
      <w:start w:val="1"/>
      <w:numFmt w:val="bullet"/>
      <w:lvlText w:val=""/>
      <w:lvlJc w:val="left"/>
      <w:pPr>
        <w:ind w:left="720" w:hanging="180"/>
      </w:pPr>
      <w:rPr>
        <w:rFonts w:ascii="Symbol" w:hAnsi="Symbol" w:hint="default"/>
      </w:rPr>
    </w:lvl>
    <w:lvl w:ilvl="1" w:tplc="36D85AA0">
      <w:numFmt w:val="decimal"/>
      <w:lvlText w:val=""/>
      <w:lvlJc w:val="left"/>
    </w:lvl>
    <w:lvl w:ilvl="2" w:tplc="2A1A75F0">
      <w:numFmt w:val="decimal"/>
      <w:lvlText w:val=""/>
      <w:lvlJc w:val="left"/>
    </w:lvl>
    <w:lvl w:ilvl="3" w:tplc="FD788FA0">
      <w:numFmt w:val="decimal"/>
      <w:lvlText w:val=""/>
      <w:lvlJc w:val="left"/>
    </w:lvl>
    <w:lvl w:ilvl="4" w:tplc="67E086A0">
      <w:numFmt w:val="decimal"/>
      <w:lvlText w:val=""/>
      <w:lvlJc w:val="left"/>
    </w:lvl>
    <w:lvl w:ilvl="5" w:tplc="233290EA">
      <w:numFmt w:val="decimal"/>
      <w:lvlText w:val=""/>
      <w:lvlJc w:val="left"/>
    </w:lvl>
    <w:lvl w:ilvl="6" w:tplc="DE643D26">
      <w:numFmt w:val="decimal"/>
      <w:lvlText w:val=""/>
      <w:lvlJc w:val="left"/>
    </w:lvl>
    <w:lvl w:ilvl="7" w:tplc="2CF8AEB2">
      <w:numFmt w:val="decimal"/>
      <w:lvlText w:val=""/>
      <w:lvlJc w:val="left"/>
    </w:lvl>
    <w:lvl w:ilvl="8" w:tplc="8A705434">
      <w:numFmt w:val="decimal"/>
      <w:lvlText w:val=""/>
      <w:lvlJc w:val="left"/>
    </w:lvl>
  </w:abstractNum>
  <w:abstractNum w:abstractNumId="1107" w15:restartNumberingAfterBreak="0">
    <w:nsid w:val="54895F06"/>
    <w:multiLevelType w:val="hybridMultilevel"/>
    <w:tmpl w:val="8710F51A"/>
    <w:lvl w:ilvl="0" w:tplc="70EC703A">
      <w:start w:val="1"/>
      <w:numFmt w:val="bullet"/>
      <w:lvlText w:val=""/>
      <w:lvlJc w:val="left"/>
      <w:pPr>
        <w:ind w:left="720" w:hanging="180"/>
      </w:pPr>
      <w:rPr>
        <w:rFonts w:ascii="Symbol" w:hAnsi="Symbol" w:hint="default"/>
      </w:rPr>
    </w:lvl>
    <w:lvl w:ilvl="1" w:tplc="C65A22EA">
      <w:numFmt w:val="decimal"/>
      <w:lvlText w:val=""/>
      <w:lvlJc w:val="left"/>
    </w:lvl>
    <w:lvl w:ilvl="2" w:tplc="B634A05A">
      <w:numFmt w:val="decimal"/>
      <w:lvlText w:val=""/>
      <w:lvlJc w:val="left"/>
    </w:lvl>
    <w:lvl w:ilvl="3" w:tplc="2A4AAAEC">
      <w:numFmt w:val="decimal"/>
      <w:lvlText w:val=""/>
      <w:lvlJc w:val="left"/>
    </w:lvl>
    <w:lvl w:ilvl="4" w:tplc="9DC65178">
      <w:numFmt w:val="decimal"/>
      <w:lvlText w:val=""/>
      <w:lvlJc w:val="left"/>
    </w:lvl>
    <w:lvl w:ilvl="5" w:tplc="C2A48154">
      <w:numFmt w:val="decimal"/>
      <w:lvlText w:val=""/>
      <w:lvlJc w:val="left"/>
    </w:lvl>
    <w:lvl w:ilvl="6" w:tplc="E6B8C30E">
      <w:numFmt w:val="decimal"/>
      <w:lvlText w:val=""/>
      <w:lvlJc w:val="left"/>
    </w:lvl>
    <w:lvl w:ilvl="7" w:tplc="634A7708">
      <w:numFmt w:val="decimal"/>
      <w:lvlText w:val=""/>
      <w:lvlJc w:val="left"/>
    </w:lvl>
    <w:lvl w:ilvl="8" w:tplc="DA187CEC">
      <w:numFmt w:val="decimal"/>
      <w:lvlText w:val=""/>
      <w:lvlJc w:val="left"/>
    </w:lvl>
  </w:abstractNum>
  <w:abstractNum w:abstractNumId="1108" w15:restartNumberingAfterBreak="0">
    <w:nsid w:val="548F328F"/>
    <w:multiLevelType w:val="hybridMultilevel"/>
    <w:tmpl w:val="B8FADF26"/>
    <w:lvl w:ilvl="0" w:tplc="73FCF14E">
      <w:start w:val="1"/>
      <w:numFmt w:val="bullet"/>
      <w:lvlText w:val=""/>
      <w:lvlJc w:val="left"/>
      <w:pPr>
        <w:ind w:left="720" w:hanging="180"/>
      </w:pPr>
      <w:rPr>
        <w:rFonts w:ascii="Symbol" w:hAnsi="Symbol" w:hint="default"/>
      </w:rPr>
    </w:lvl>
    <w:lvl w:ilvl="1" w:tplc="BCACCC44">
      <w:numFmt w:val="decimal"/>
      <w:lvlText w:val=""/>
      <w:lvlJc w:val="left"/>
    </w:lvl>
    <w:lvl w:ilvl="2" w:tplc="D30282A0">
      <w:numFmt w:val="decimal"/>
      <w:lvlText w:val=""/>
      <w:lvlJc w:val="left"/>
    </w:lvl>
    <w:lvl w:ilvl="3" w:tplc="C428E948">
      <w:numFmt w:val="decimal"/>
      <w:lvlText w:val=""/>
      <w:lvlJc w:val="left"/>
    </w:lvl>
    <w:lvl w:ilvl="4" w:tplc="FE6036AE">
      <w:numFmt w:val="decimal"/>
      <w:lvlText w:val=""/>
      <w:lvlJc w:val="left"/>
    </w:lvl>
    <w:lvl w:ilvl="5" w:tplc="012ADEFA">
      <w:numFmt w:val="decimal"/>
      <w:lvlText w:val=""/>
      <w:lvlJc w:val="left"/>
    </w:lvl>
    <w:lvl w:ilvl="6" w:tplc="DB80583C">
      <w:numFmt w:val="decimal"/>
      <w:lvlText w:val=""/>
      <w:lvlJc w:val="left"/>
    </w:lvl>
    <w:lvl w:ilvl="7" w:tplc="68D41EEE">
      <w:numFmt w:val="decimal"/>
      <w:lvlText w:val=""/>
      <w:lvlJc w:val="left"/>
    </w:lvl>
    <w:lvl w:ilvl="8" w:tplc="EDAED260">
      <w:numFmt w:val="decimal"/>
      <w:lvlText w:val=""/>
      <w:lvlJc w:val="left"/>
    </w:lvl>
  </w:abstractNum>
  <w:abstractNum w:abstractNumId="1109" w15:restartNumberingAfterBreak="0">
    <w:nsid w:val="54952630"/>
    <w:multiLevelType w:val="hybridMultilevel"/>
    <w:tmpl w:val="97507606"/>
    <w:lvl w:ilvl="0" w:tplc="3788C0C8">
      <w:start w:val="1"/>
      <w:numFmt w:val="bullet"/>
      <w:lvlText w:val=""/>
      <w:lvlJc w:val="left"/>
      <w:pPr>
        <w:ind w:left="720" w:hanging="180"/>
      </w:pPr>
      <w:rPr>
        <w:rFonts w:ascii="Symbol" w:hAnsi="Symbol" w:hint="default"/>
      </w:rPr>
    </w:lvl>
    <w:lvl w:ilvl="1" w:tplc="467C8B2A">
      <w:numFmt w:val="decimal"/>
      <w:lvlText w:val=""/>
      <w:lvlJc w:val="left"/>
    </w:lvl>
    <w:lvl w:ilvl="2" w:tplc="356619FA">
      <w:numFmt w:val="decimal"/>
      <w:lvlText w:val=""/>
      <w:lvlJc w:val="left"/>
    </w:lvl>
    <w:lvl w:ilvl="3" w:tplc="F6780F3E">
      <w:numFmt w:val="decimal"/>
      <w:lvlText w:val=""/>
      <w:lvlJc w:val="left"/>
    </w:lvl>
    <w:lvl w:ilvl="4" w:tplc="0C7E838A">
      <w:numFmt w:val="decimal"/>
      <w:lvlText w:val=""/>
      <w:lvlJc w:val="left"/>
    </w:lvl>
    <w:lvl w:ilvl="5" w:tplc="AE6E1EF4">
      <w:numFmt w:val="decimal"/>
      <w:lvlText w:val=""/>
      <w:lvlJc w:val="left"/>
    </w:lvl>
    <w:lvl w:ilvl="6" w:tplc="F4227BAC">
      <w:numFmt w:val="decimal"/>
      <w:lvlText w:val=""/>
      <w:lvlJc w:val="left"/>
    </w:lvl>
    <w:lvl w:ilvl="7" w:tplc="02560590">
      <w:numFmt w:val="decimal"/>
      <w:lvlText w:val=""/>
      <w:lvlJc w:val="left"/>
    </w:lvl>
    <w:lvl w:ilvl="8" w:tplc="C428BED0">
      <w:numFmt w:val="decimal"/>
      <w:lvlText w:val=""/>
      <w:lvlJc w:val="left"/>
    </w:lvl>
  </w:abstractNum>
  <w:abstractNum w:abstractNumId="1110" w15:restartNumberingAfterBreak="0">
    <w:nsid w:val="54981EF2"/>
    <w:multiLevelType w:val="hybridMultilevel"/>
    <w:tmpl w:val="CC44C830"/>
    <w:lvl w:ilvl="0" w:tplc="82AA59C2">
      <w:start w:val="1"/>
      <w:numFmt w:val="bullet"/>
      <w:lvlText w:val=""/>
      <w:lvlJc w:val="left"/>
      <w:pPr>
        <w:ind w:left="720" w:hanging="180"/>
      </w:pPr>
      <w:rPr>
        <w:rFonts w:ascii="Symbol" w:hAnsi="Symbol" w:hint="default"/>
      </w:rPr>
    </w:lvl>
    <w:lvl w:ilvl="1" w:tplc="C060B120">
      <w:numFmt w:val="decimal"/>
      <w:lvlText w:val=""/>
      <w:lvlJc w:val="left"/>
    </w:lvl>
    <w:lvl w:ilvl="2" w:tplc="BBCACAB2">
      <w:numFmt w:val="decimal"/>
      <w:lvlText w:val=""/>
      <w:lvlJc w:val="left"/>
    </w:lvl>
    <w:lvl w:ilvl="3" w:tplc="C58E74F8">
      <w:numFmt w:val="decimal"/>
      <w:lvlText w:val=""/>
      <w:lvlJc w:val="left"/>
    </w:lvl>
    <w:lvl w:ilvl="4" w:tplc="DCBC92B4">
      <w:numFmt w:val="decimal"/>
      <w:lvlText w:val=""/>
      <w:lvlJc w:val="left"/>
    </w:lvl>
    <w:lvl w:ilvl="5" w:tplc="85EC4602">
      <w:numFmt w:val="decimal"/>
      <w:lvlText w:val=""/>
      <w:lvlJc w:val="left"/>
    </w:lvl>
    <w:lvl w:ilvl="6" w:tplc="51DA6B1A">
      <w:numFmt w:val="decimal"/>
      <w:lvlText w:val=""/>
      <w:lvlJc w:val="left"/>
    </w:lvl>
    <w:lvl w:ilvl="7" w:tplc="3A24FEAE">
      <w:numFmt w:val="decimal"/>
      <w:lvlText w:val=""/>
      <w:lvlJc w:val="left"/>
    </w:lvl>
    <w:lvl w:ilvl="8" w:tplc="232E248A">
      <w:numFmt w:val="decimal"/>
      <w:lvlText w:val=""/>
      <w:lvlJc w:val="left"/>
    </w:lvl>
  </w:abstractNum>
  <w:abstractNum w:abstractNumId="1111" w15:restartNumberingAfterBreak="0">
    <w:nsid w:val="549A58B7"/>
    <w:multiLevelType w:val="hybridMultilevel"/>
    <w:tmpl w:val="62FCC5D6"/>
    <w:lvl w:ilvl="0" w:tplc="2F6E1B12">
      <w:start w:val="1"/>
      <w:numFmt w:val="bullet"/>
      <w:lvlText w:val=""/>
      <w:lvlJc w:val="left"/>
      <w:pPr>
        <w:ind w:left="720" w:hanging="180"/>
      </w:pPr>
      <w:rPr>
        <w:rFonts w:ascii="Symbol" w:hAnsi="Symbol" w:hint="default"/>
      </w:rPr>
    </w:lvl>
    <w:lvl w:ilvl="1" w:tplc="D2408CDC">
      <w:numFmt w:val="decimal"/>
      <w:lvlText w:val=""/>
      <w:lvlJc w:val="left"/>
    </w:lvl>
    <w:lvl w:ilvl="2" w:tplc="4B9064EE">
      <w:numFmt w:val="decimal"/>
      <w:lvlText w:val=""/>
      <w:lvlJc w:val="left"/>
    </w:lvl>
    <w:lvl w:ilvl="3" w:tplc="5F1892CA">
      <w:numFmt w:val="decimal"/>
      <w:lvlText w:val=""/>
      <w:lvlJc w:val="left"/>
    </w:lvl>
    <w:lvl w:ilvl="4" w:tplc="CEF6295C">
      <w:numFmt w:val="decimal"/>
      <w:lvlText w:val=""/>
      <w:lvlJc w:val="left"/>
    </w:lvl>
    <w:lvl w:ilvl="5" w:tplc="36327F36">
      <w:numFmt w:val="decimal"/>
      <w:lvlText w:val=""/>
      <w:lvlJc w:val="left"/>
    </w:lvl>
    <w:lvl w:ilvl="6" w:tplc="A43E8BBC">
      <w:numFmt w:val="decimal"/>
      <w:lvlText w:val=""/>
      <w:lvlJc w:val="left"/>
    </w:lvl>
    <w:lvl w:ilvl="7" w:tplc="4A703ECA">
      <w:numFmt w:val="decimal"/>
      <w:lvlText w:val=""/>
      <w:lvlJc w:val="left"/>
    </w:lvl>
    <w:lvl w:ilvl="8" w:tplc="30C2E86C">
      <w:numFmt w:val="decimal"/>
      <w:lvlText w:val=""/>
      <w:lvlJc w:val="left"/>
    </w:lvl>
  </w:abstractNum>
  <w:abstractNum w:abstractNumId="1112" w15:restartNumberingAfterBreak="0">
    <w:nsid w:val="549E74CC"/>
    <w:multiLevelType w:val="hybridMultilevel"/>
    <w:tmpl w:val="E858295A"/>
    <w:lvl w:ilvl="0" w:tplc="AA807242">
      <w:start w:val="1"/>
      <w:numFmt w:val="bullet"/>
      <w:lvlText w:val=""/>
      <w:lvlJc w:val="left"/>
      <w:pPr>
        <w:ind w:left="720" w:hanging="180"/>
      </w:pPr>
      <w:rPr>
        <w:rFonts w:ascii="Symbol" w:hAnsi="Symbol" w:hint="default"/>
      </w:rPr>
    </w:lvl>
    <w:lvl w:ilvl="1" w:tplc="EDCA2032">
      <w:numFmt w:val="decimal"/>
      <w:lvlText w:val=""/>
      <w:lvlJc w:val="left"/>
    </w:lvl>
    <w:lvl w:ilvl="2" w:tplc="698A58A2">
      <w:numFmt w:val="decimal"/>
      <w:lvlText w:val=""/>
      <w:lvlJc w:val="left"/>
    </w:lvl>
    <w:lvl w:ilvl="3" w:tplc="BD2CDC90">
      <w:numFmt w:val="decimal"/>
      <w:lvlText w:val=""/>
      <w:lvlJc w:val="left"/>
    </w:lvl>
    <w:lvl w:ilvl="4" w:tplc="018CA862">
      <w:numFmt w:val="decimal"/>
      <w:lvlText w:val=""/>
      <w:lvlJc w:val="left"/>
    </w:lvl>
    <w:lvl w:ilvl="5" w:tplc="6A1E5D32">
      <w:numFmt w:val="decimal"/>
      <w:lvlText w:val=""/>
      <w:lvlJc w:val="left"/>
    </w:lvl>
    <w:lvl w:ilvl="6" w:tplc="C5FCE788">
      <w:numFmt w:val="decimal"/>
      <w:lvlText w:val=""/>
      <w:lvlJc w:val="left"/>
    </w:lvl>
    <w:lvl w:ilvl="7" w:tplc="059C9BF6">
      <w:numFmt w:val="decimal"/>
      <w:lvlText w:val=""/>
      <w:lvlJc w:val="left"/>
    </w:lvl>
    <w:lvl w:ilvl="8" w:tplc="B01482D2">
      <w:numFmt w:val="decimal"/>
      <w:lvlText w:val=""/>
      <w:lvlJc w:val="left"/>
    </w:lvl>
  </w:abstractNum>
  <w:abstractNum w:abstractNumId="1113" w15:restartNumberingAfterBreak="0">
    <w:nsid w:val="54B140A6"/>
    <w:multiLevelType w:val="hybridMultilevel"/>
    <w:tmpl w:val="DE0897D0"/>
    <w:lvl w:ilvl="0" w:tplc="6C661240">
      <w:start w:val="1"/>
      <w:numFmt w:val="bullet"/>
      <w:lvlText w:val=""/>
      <w:lvlJc w:val="left"/>
      <w:pPr>
        <w:ind w:left="720" w:hanging="180"/>
      </w:pPr>
      <w:rPr>
        <w:rFonts w:ascii="Symbol" w:hAnsi="Symbol" w:hint="default"/>
      </w:rPr>
    </w:lvl>
    <w:lvl w:ilvl="1" w:tplc="966C5084">
      <w:numFmt w:val="decimal"/>
      <w:lvlText w:val=""/>
      <w:lvlJc w:val="left"/>
    </w:lvl>
    <w:lvl w:ilvl="2" w:tplc="56AC664A">
      <w:numFmt w:val="decimal"/>
      <w:lvlText w:val=""/>
      <w:lvlJc w:val="left"/>
    </w:lvl>
    <w:lvl w:ilvl="3" w:tplc="A7F26186">
      <w:numFmt w:val="decimal"/>
      <w:lvlText w:val=""/>
      <w:lvlJc w:val="left"/>
    </w:lvl>
    <w:lvl w:ilvl="4" w:tplc="BF26B6F6">
      <w:numFmt w:val="decimal"/>
      <w:lvlText w:val=""/>
      <w:lvlJc w:val="left"/>
    </w:lvl>
    <w:lvl w:ilvl="5" w:tplc="8244FB40">
      <w:numFmt w:val="decimal"/>
      <w:lvlText w:val=""/>
      <w:lvlJc w:val="left"/>
    </w:lvl>
    <w:lvl w:ilvl="6" w:tplc="4F8E91FC">
      <w:numFmt w:val="decimal"/>
      <w:lvlText w:val=""/>
      <w:lvlJc w:val="left"/>
    </w:lvl>
    <w:lvl w:ilvl="7" w:tplc="F90E2146">
      <w:numFmt w:val="decimal"/>
      <w:lvlText w:val=""/>
      <w:lvlJc w:val="left"/>
    </w:lvl>
    <w:lvl w:ilvl="8" w:tplc="CB02B774">
      <w:numFmt w:val="decimal"/>
      <w:lvlText w:val=""/>
      <w:lvlJc w:val="left"/>
    </w:lvl>
  </w:abstractNum>
  <w:abstractNum w:abstractNumId="1114" w15:restartNumberingAfterBreak="0">
    <w:nsid w:val="54B90261"/>
    <w:multiLevelType w:val="hybridMultilevel"/>
    <w:tmpl w:val="E80CB236"/>
    <w:lvl w:ilvl="0" w:tplc="4B6A7C3C">
      <w:start w:val="1"/>
      <w:numFmt w:val="bullet"/>
      <w:lvlText w:val=""/>
      <w:lvlJc w:val="left"/>
      <w:pPr>
        <w:ind w:left="720" w:hanging="180"/>
      </w:pPr>
      <w:rPr>
        <w:rFonts w:ascii="Symbol" w:hAnsi="Symbol" w:hint="default"/>
      </w:rPr>
    </w:lvl>
    <w:lvl w:ilvl="1" w:tplc="75AE1BC8">
      <w:numFmt w:val="decimal"/>
      <w:lvlText w:val=""/>
      <w:lvlJc w:val="left"/>
    </w:lvl>
    <w:lvl w:ilvl="2" w:tplc="131EB52C">
      <w:numFmt w:val="decimal"/>
      <w:lvlText w:val=""/>
      <w:lvlJc w:val="left"/>
    </w:lvl>
    <w:lvl w:ilvl="3" w:tplc="E940C31A">
      <w:numFmt w:val="decimal"/>
      <w:lvlText w:val=""/>
      <w:lvlJc w:val="left"/>
    </w:lvl>
    <w:lvl w:ilvl="4" w:tplc="328EDA58">
      <w:numFmt w:val="decimal"/>
      <w:lvlText w:val=""/>
      <w:lvlJc w:val="left"/>
    </w:lvl>
    <w:lvl w:ilvl="5" w:tplc="DC9E5CD2">
      <w:numFmt w:val="decimal"/>
      <w:lvlText w:val=""/>
      <w:lvlJc w:val="left"/>
    </w:lvl>
    <w:lvl w:ilvl="6" w:tplc="57DA9EEA">
      <w:numFmt w:val="decimal"/>
      <w:lvlText w:val=""/>
      <w:lvlJc w:val="left"/>
    </w:lvl>
    <w:lvl w:ilvl="7" w:tplc="E1309252">
      <w:numFmt w:val="decimal"/>
      <w:lvlText w:val=""/>
      <w:lvlJc w:val="left"/>
    </w:lvl>
    <w:lvl w:ilvl="8" w:tplc="BC6637C8">
      <w:numFmt w:val="decimal"/>
      <w:lvlText w:val=""/>
      <w:lvlJc w:val="left"/>
    </w:lvl>
  </w:abstractNum>
  <w:abstractNum w:abstractNumId="1115" w15:restartNumberingAfterBreak="0">
    <w:nsid w:val="54BB632B"/>
    <w:multiLevelType w:val="hybridMultilevel"/>
    <w:tmpl w:val="8578E4F8"/>
    <w:lvl w:ilvl="0" w:tplc="B55CFCE6">
      <w:start w:val="1"/>
      <w:numFmt w:val="bullet"/>
      <w:lvlText w:val=""/>
      <w:lvlJc w:val="left"/>
      <w:pPr>
        <w:ind w:left="720" w:hanging="180"/>
      </w:pPr>
      <w:rPr>
        <w:rFonts w:ascii="Symbol" w:hAnsi="Symbol" w:hint="default"/>
      </w:rPr>
    </w:lvl>
    <w:lvl w:ilvl="1" w:tplc="C9729484">
      <w:numFmt w:val="decimal"/>
      <w:lvlText w:val=""/>
      <w:lvlJc w:val="left"/>
    </w:lvl>
    <w:lvl w:ilvl="2" w:tplc="FCBA265E">
      <w:numFmt w:val="decimal"/>
      <w:lvlText w:val=""/>
      <w:lvlJc w:val="left"/>
    </w:lvl>
    <w:lvl w:ilvl="3" w:tplc="42C03C8C">
      <w:numFmt w:val="decimal"/>
      <w:lvlText w:val=""/>
      <w:lvlJc w:val="left"/>
    </w:lvl>
    <w:lvl w:ilvl="4" w:tplc="5A0003F8">
      <w:numFmt w:val="decimal"/>
      <w:lvlText w:val=""/>
      <w:lvlJc w:val="left"/>
    </w:lvl>
    <w:lvl w:ilvl="5" w:tplc="A5D0A446">
      <w:numFmt w:val="decimal"/>
      <w:lvlText w:val=""/>
      <w:lvlJc w:val="left"/>
    </w:lvl>
    <w:lvl w:ilvl="6" w:tplc="953CA7F2">
      <w:numFmt w:val="decimal"/>
      <w:lvlText w:val=""/>
      <w:lvlJc w:val="left"/>
    </w:lvl>
    <w:lvl w:ilvl="7" w:tplc="A14EC24E">
      <w:numFmt w:val="decimal"/>
      <w:lvlText w:val=""/>
      <w:lvlJc w:val="left"/>
    </w:lvl>
    <w:lvl w:ilvl="8" w:tplc="ACB42900">
      <w:numFmt w:val="decimal"/>
      <w:lvlText w:val=""/>
      <w:lvlJc w:val="left"/>
    </w:lvl>
  </w:abstractNum>
  <w:abstractNum w:abstractNumId="1116" w15:restartNumberingAfterBreak="0">
    <w:nsid w:val="54C42EA9"/>
    <w:multiLevelType w:val="hybridMultilevel"/>
    <w:tmpl w:val="67E66F72"/>
    <w:lvl w:ilvl="0" w:tplc="C97AD512">
      <w:numFmt w:val="decimal"/>
      <w:lvlText w:val=""/>
      <w:lvlJc w:val="left"/>
    </w:lvl>
    <w:lvl w:ilvl="1" w:tplc="C86ED760">
      <w:start w:val="1"/>
      <w:numFmt w:val="bullet"/>
      <w:lvlText w:val=""/>
      <w:lvlJc w:val="left"/>
      <w:pPr>
        <w:ind w:left="1440" w:hanging="180"/>
      </w:pPr>
      <w:rPr>
        <w:rFonts w:ascii="Symbol" w:hAnsi="Symbol" w:hint="default"/>
      </w:rPr>
    </w:lvl>
    <w:lvl w:ilvl="2" w:tplc="2658868E">
      <w:numFmt w:val="decimal"/>
      <w:lvlText w:val=""/>
      <w:lvlJc w:val="left"/>
    </w:lvl>
    <w:lvl w:ilvl="3" w:tplc="54EA218E">
      <w:numFmt w:val="decimal"/>
      <w:lvlText w:val=""/>
      <w:lvlJc w:val="left"/>
    </w:lvl>
    <w:lvl w:ilvl="4" w:tplc="B19A094C">
      <w:numFmt w:val="decimal"/>
      <w:lvlText w:val=""/>
      <w:lvlJc w:val="left"/>
    </w:lvl>
    <w:lvl w:ilvl="5" w:tplc="237E2408">
      <w:numFmt w:val="decimal"/>
      <w:lvlText w:val=""/>
      <w:lvlJc w:val="left"/>
    </w:lvl>
    <w:lvl w:ilvl="6" w:tplc="AF98D382">
      <w:numFmt w:val="decimal"/>
      <w:lvlText w:val=""/>
      <w:lvlJc w:val="left"/>
    </w:lvl>
    <w:lvl w:ilvl="7" w:tplc="D76AB594">
      <w:numFmt w:val="decimal"/>
      <w:lvlText w:val=""/>
      <w:lvlJc w:val="left"/>
    </w:lvl>
    <w:lvl w:ilvl="8" w:tplc="7548EC5A">
      <w:numFmt w:val="decimal"/>
      <w:lvlText w:val=""/>
      <w:lvlJc w:val="left"/>
    </w:lvl>
  </w:abstractNum>
  <w:abstractNum w:abstractNumId="1117" w15:restartNumberingAfterBreak="0">
    <w:nsid w:val="54C83CC0"/>
    <w:multiLevelType w:val="hybridMultilevel"/>
    <w:tmpl w:val="B2B6A278"/>
    <w:lvl w:ilvl="0" w:tplc="4E1052FC">
      <w:start w:val="1"/>
      <w:numFmt w:val="bullet"/>
      <w:lvlText w:val=""/>
      <w:lvlJc w:val="left"/>
      <w:pPr>
        <w:ind w:left="720" w:hanging="180"/>
      </w:pPr>
      <w:rPr>
        <w:rFonts w:ascii="Symbol" w:hAnsi="Symbol" w:hint="default"/>
      </w:rPr>
    </w:lvl>
    <w:lvl w:ilvl="1" w:tplc="F198E754">
      <w:numFmt w:val="decimal"/>
      <w:lvlText w:val=""/>
      <w:lvlJc w:val="left"/>
    </w:lvl>
    <w:lvl w:ilvl="2" w:tplc="1312F2A4">
      <w:numFmt w:val="decimal"/>
      <w:lvlText w:val=""/>
      <w:lvlJc w:val="left"/>
    </w:lvl>
    <w:lvl w:ilvl="3" w:tplc="194CCAEE">
      <w:numFmt w:val="decimal"/>
      <w:lvlText w:val=""/>
      <w:lvlJc w:val="left"/>
    </w:lvl>
    <w:lvl w:ilvl="4" w:tplc="959ADA42">
      <w:numFmt w:val="decimal"/>
      <w:lvlText w:val=""/>
      <w:lvlJc w:val="left"/>
    </w:lvl>
    <w:lvl w:ilvl="5" w:tplc="A2E816D6">
      <w:numFmt w:val="decimal"/>
      <w:lvlText w:val=""/>
      <w:lvlJc w:val="left"/>
    </w:lvl>
    <w:lvl w:ilvl="6" w:tplc="81C04804">
      <w:numFmt w:val="decimal"/>
      <w:lvlText w:val=""/>
      <w:lvlJc w:val="left"/>
    </w:lvl>
    <w:lvl w:ilvl="7" w:tplc="0EF634E4">
      <w:numFmt w:val="decimal"/>
      <w:lvlText w:val=""/>
      <w:lvlJc w:val="left"/>
    </w:lvl>
    <w:lvl w:ilvl="8" w:tplc="9D1002E6">
      <w:numFmt w:val="decimal"/>
      <w:lvlText w:val=""/>
      <w:lvlJc w:val="left"/>
    </w:lvl>
  </w:abstractNum>
  <w:abstractNum w:abstractNumId="1118" w15:restartNumberingAfterBreak="0">
    <w:nsid w:val="54DF2A6D"/>
    <w:multiLevelType w:val="hybridMultilevel"/>
    <w:tmpl w:val="BA9EE486"/>
    <w:lvl w:ilvl="0" w:tplc="803E347A">
      <w:start w:val="1"/>
      <w:numFmt w:val="bullet"/>
      <w:lvlText w:val=""/>
      <w:lvlJc w:val="left"/>
      <w:pPr>
        <w:ind w:left="720" w:hanging="180"/>
      </w:pPr>
      <w:rPr>
        <w:rFonts w:ascii="Symbol" w:hAnsi="Symbol" w:hint="default"/>
      </w:rPr>
    </w:lvl>
    <w:lvl w:ilvl="1" w:tplc="BB08B330">
      <w:numFmt w:val="decimal"/>
      <w:lvlText w:val=""/>
      <w:lvlJc w:val="left"/>
    </w:lvl>
    <w:lvl w:ilvl="2" w:tplc="B73E7920">
      <w:numFmt w:val="decimal"/>
      <w:lvlText w:val=""/>
      <w:lvlJc w:val="left"/>
    </w:lvl>
    <w:lvl w:ilvl="3" w:tplc="47725C30">
      <w:numFmt w:val="decimal"/>
      <w:lvlText w:val=""/>
      <w:lvlJc w:val="left"/>
    </w:lvl>
    <w:lvl w:ilvl="4" w:tplc="2E98D11A">
      <w:numFmt w:val="decimal"/>
      <w:lvlText w:val=""/>
      <w:lvlJc w:val="left"/>
    </w:lvl>
    <w:lvl w:ilvl="5" w:tplc="6F882808">
      <w:numFmt w:val="decimal"/>
      <w:lvlText w:val=""/>
      <w:lvlJc w:val="left"/>
    </w:lvl>
    <w:lvl w:ilvl="6" w:tplc="2D1E4B2E">
      <w:numFmt w:val="decimal"/>
      <w:lvlText w:val=""/>
      <w:lvlJc w:val="left"/>
    </w:lvl>
    <w:lvl w:ilvl="7" w:tplc="9774E300">
      <w:numFmt w:val="decimal"/>
      <w:lvlText w:val=""/>
      <w:lvlJc w:val="left"/>
    </w:lvl>
    <w:lvl w:ilvl="8" w:tplc="031477C4">
      <w:numFmt w:val="decimal"/>
      <w:lvlText w:val=""/>
      <w:lvlJc w:val="left"/>
    </w:lvl>
  </w:abstractNum>
  <w:abstractNum w:abstractNumId="1119" w15:restartNumberingAfterBreak="0">
    <w:nsid w:val="54FC12E1"/>
    <w:multiLevelType w:val="hybridMultilevel"/>
    <w:tmpl w:val="C7AEF3B2"/>
    <w:lvl w:ilvl="0" w:tplc="BD18F43A">
      <w:start w:val="1"/>
      <w:numFmt w:val="bullet"/>
      <w:lvlText w:val=""/>
      <w:lvlJc w:val="left"/>
      <w:pPr>
        <w:ind w:left="720" w:hanging="180"/>
      </w:pPr>
      <w:rPr>
        <w:rFonts w:ascii="Symbol" w:hAnsi="Symbol" w:hint="default"/>
      </w:rPr>
    </w:lvl>
    <w:lvl w:ilvl="1" w:tplc="07769B80">
      <w:numFmt w:val="decimal"/>
      <w:lvlText w:val=""/>
      <w:lvlJc w:val="left"/>
    </w:lvl>
    <w:lvl w:ilvl="2" w:tplc="F89C39FA">
      <w:numFmt w:val="decimal"/>
      <w:lvlText w:val=""/>
      <w:lvlJc w:val="left"/>
    </w:lvl>
    <w:lvl w:ilvl="3" w:tplc="7FD216E4">
      <w:numFmt w:val="decimal"/>
      <w:lvlText w:val=""/>
      <w:lvlJc w:val="left"/>
    </w:lvl>
    <w:lvl w:ilvl="4" w:tplc="A524FBB8">
      <w:numFmt w:val="decimal"/>
      <w:lvlText w:val=""/>
      <w:lvlJc w:val="left"/>
    </w:lvl>
    <w:lvl w:ilvl="5" w:tplc="71727C88">
      <w:numFmt w:val="decimal"/>
      <w:lvlText w:val=""/>
      <w:lvlJc w:val="left"/>
    </w:lvl>
    <w:lvl w:ilvl="6" w:tplc="E68899DA">
      <w:numFmt w:val="decimal"/>
      <w:lvlText w:val=""/>
      <w:lvlJc w:val="left"/>
    </w:lvl>
    <w:lvl w:ilvl="7" w:tplc="EDB84DAE">
      <w:numFmt w:val="decimal"/>
      <w:lvlText w:val=""/>
      <w:lvlJc w:val="left"/>
    </w:lvl>
    <w:lvl w:ilvl="8" w:tplc="989AE772">
      <w:numFmt w:val="decimal"/>
      <w:lvlText w:val=""/>
      <w:lvlJc w:val="left"/>
    </w:lvl>
  </w:abstractNum>
  <w:abstractNum w:abstractNumId="1120" w15:restartNumberingAfterBreak="0">
    <w:nsid w:val="55030998"/>
    <w:multiLevelType w:val="hybridMultilevel"/>
    <w:tmpl w:val="7414C8D6"/>
    <w:lvl w:ilvl="0" w:tplc="388EF09C">
      <w:start w:val="1"/>
      <w:numFmt w:val="bullet"/>
      <w:lvlText w:val=""/>
      <w:lvlJc w:val="left"/>
      <w:pPr>
        <w:ind w:left="720" w:hanging="180"/>
      </w:pPr>
      <w:rPr>
        <w:rFonts w:ascii="Symbol" w:hAnsi="Symbol" w:hint="default"/>
      </w:rPr>
    </w:lvl>
    <w:lvl w:ilvl="1" w:tplc="2070C09C">
      <w:numFmt w:val="decimal"/>
      <w:lvlText w:val=""/>
      <w:lvlJc w:val="left"/>
    </w:lvl>
    <w:lvl w:ilvl="2" w:tplc="BEA45186">
      <w:numFmt w:val="decimal"/>
      <w:lvlText w:val=""/>
      <w:lvlJc w:val="left"/>
    </w:lvl>
    <w:lvl w:ilvl="3" w:tplc="DB004D88">
      <w:numFmt w:val="decimal"/>
      <w:lvlText w:val=""/>
      <w:lvlJc w:val="left"/>
    </w:lvl>
    <w:lvl w:ilvl="4" w:tplc="ADCC1FA4">
      <w:numFmt w:val="decimal"/>
      <w:lvlText w:val=""/>
      <w:lvlJc w:val="left"/>
    </w:lvl>
    <w:lvl w:ilvl="5" w:tplc="20CEC856">
      <w:numFmt w:val="decimal"/>
      <w:lvlText w:val=""/>
      <w:lvlJc w:val="left"/>
    </w:lvl>
    <w:lvl w:ilvl="6" w:tplc="0F048350">
      <w:numFmt w:val="decimal"/>
      <w:lvlText w:val=""/>
      <w:lvlJc w:val="left"/>
    </w:lvl>
    <w:lvl w:ilvl="7" w:tplc="1B8883D4">
      <w:numFmt w:val="decimal"/>
      <w:lvlText w:val=""/>
      <w:lvlJc w:val="left"/>
    </w:lvl>
    <w:lvl w:ilvl="8" w:tplc="EF18ED72">
      <w:numFmt w:val="decimal"/>
      <w:lvlText w:val=""/>
      <w:lvlJc w:val="left"/>
    </w:lvl>
  </w:abstractNum>
  <w:abstractNum w:abstractNumId="1121" w15:restartNumberingAfterBreak="0">
    <w:nsid w:val="55253179"/>
    <w:multiLevelType w:val="hybridMultilevel"/>
    <w:tmpl w:val="5B7C126A"/>
    <w:lvl w:ilvl="0" w:tplc="CE182C52">
      <w:start w:val="1"/>
      <w:numFmt w:val="bullet"/>
      <w:lvlText w:val=""/>
      <w:lvlJc w:val="left"/>
      <w:pPr>
        <w:ind w:left="720" w:hanging="180"/>
      </w:pPr>
      <w:rPr>
        <w:rFonts w:ascii="Symbol" w:hAnsi="Symbol" w:hint="default"/>
      </w:rPr>
    </w:lvl>
    <w:lvl w:ilvl="1" w:tplc="CC6AB250">
      <w:numFmt w:val="decimal"/>
      <w:lvlText w:val=""/>
      <w:lvlJc w:val="left"/>
    </w:lvl>
    <w:lvl w:ilvl="2" w:tplc="2FBCAE38">
      <w:numFmt w:val="decimal"/>
      <w:lvlText w:val=""/>
      <w:lvlJc w:val="left"/>
    </w:lvl>
    <w:lvl w:ilvl="3" w:tplc="29D401BC">
      <w:numFmt w:val="decimal"/>
      <w:lvlText w:val=""/>
      <w:lvlJc w:val="left"/>
    </w:lvl>
    <w:lvl w:ilvl="4" w:tplc="DBB692DA">
      <w:numFmt w:val="decimal"/>
      <w:lvlText w:val=""/>
      <w:lvlJc w:val="left"/>
    </w:lvl>
    <w:lvl w:ilvl="5" w:tplc="329E37A0">
      <w:numFmt w:val="decimal"/>
      <w:lvlText w:val=""/>
      <w:lvlJc w:val="left"/>
    </w:lvl>
    <w:lvl w:ilvl="6" w:tplc="68E6C4F4">
      <w:numFmt w:val="decimal"/>
      <w:lvlText w:val=""/>
      <w:lvlJc w:val="left"/>
    </w:lvl>
    <w:lvl w:ilvl="7" w:tplc="602842F8">
      <w:numFmt w:val="decimal"/>
      <w:lvlText w:val=""/>
      <w:lvlJc w:val="left"/>
    </w:lvl>
    <w:lvl w:ilvl="8" w:tplc="8DFEEE2C">
      <w:numFmt w:val="decimal"/>
      <w:lvlText w:val=""/>
      <w:lvlJc w:val="left"/>
    </w:lvl>
  </w:abstractNum>
  <w:abstractNum w:abstractNumId="1122" w15:restartNumberingAfterBreak="0">
    <w:nsid w:val="553B7DCA"/>
    <w:multiLevelType w:val="hybridMultilevel"/>
    <w:tmpl w:val="F3F6A90C"/>
    <w:lvl w:ilvl="0" w:tplc="D4D43FB4">
      <w:start w:val="1"/>
      <w:numFmt w:val="bullet"/>
      <w:lvlText w:val=""/>
      <w:lvlJc w:val="left"/>
      <w:pPr>
        <w:ind w:left="720" w:hanging="180"/>
      </w:pPr>
      <w:rPr>
        <w:rFonts w:ascii="Symbol" w:hAnsi="Symbol" w:hint="default"/>
      </w:rPr>
    </w:lvl>
    <w:lvl w:ilvl="1" w:tplc="6EAAD4BC">
      <w:numFmt w:val="decimal"/>
      <w:lvlText w:val=""/>
      <w:lvlJc w:val="left"/>
    </w:lvl>
    <w:lvl w:ilvl="2" w:tplc="C77C6926">
      <w:numFmt w:val="decimal"/>
      <w:lvlText w:val=""/>
      <w:lvlJc w:val="left"/>
    </w:lvl>
    <w:lvl w:ilvl="3" w:tplc="373ECD08">
      <w:numFmt w:val="decimal"/>
      <w:lvlText w:val=""/>
      <w:lvlJc w:val="left"/>
    </w:lvl>
    <w:lvl w:ilvl="4" w:tplc="37622948">
      <w:numFmt w:val="decimal"/>
      <w:lvlText w:val=""/>
      <w:lvlJc w:val="left"/>
    </w:lvl>
    <w:lvl w:ilvl="5" w:tplc="0FB4F200">
      <w:numFmt w:val="decimal"/>
      <w:lvlText w:val=""/>
      <w:lvlJc w:val="left"/>
    </w:lvl>
    <w:lvl w:ilvl="6" w:tplc="9288FE46">
      <w:numFmt w:val="decimal"/>
      <w:lvlText w:val=""/>
      <w:lvlJc w:val="left"/>
    </w:lvl>
    <w:lvl w:ilvl="7" w:tplc="7608748E">
      <w:numFmt w:val="decimal"/>
      <w:lvlText w:val=""/>
      <w:lvlJc w:val="left"/>
    </w:lvl>
    <w:lvl w:ilvl="8" w:tplc="EE8AC05C">
      <w:numFmt w:val="decimal"/>
      <w:lvlText w:val=""/>
      <w:lvlJc w:val="left"/>
    </w:lvl>
  </w:abstractNum>
  <w:abstractNum w:abstractNumId="1123" w15:restartNumberingAfterBreak="0">
    <w:nsid w:val="553F0A89"/>
    <w:multiLevelType w:val="hybridMultilevel"/>
    <w:tmpl w:val="D834E0DC"/>
    <w:lvl w:ilvl="0" w:tplc="E7927E20">
      <w:start w:val="1"/>
      <w:numFmt w:val="bullet"/>
      <w:lvlText w:val=""/>
      <w:lvlJc w:val="left"/>
      <w:pPr>
        <w:ind w:left="720" w:hanging="180"/>
      </w:pPr>
      <w:rPr>
        <w:rFonts w:ascii="Symbol" w:hAnsi="Symbol" w:hint="default"/>
      </w:rPr>
    </w:lvl>
    <w:lvl w:ilvl="1" w:tplc="382A2900">
      <w:numFmt w:val="decimal"/>
      <w:lvlText w:val=""/>
      <w:lvlJc w:val="left"/>
    </w:lvl>
    <w:lvl w:ilvl="2" w:tplc="31DC4256">
      <w:numFmt w:val="decimal"/>
      <w:lvlText w:val=""/>
      <w:lvlJc w:val="left"/>
    </w:lvl>
    <w:lvl w:ilvl="3" w:tplc="5B04042A">
      <w:numFmt w:val="decimal"/>
      <w:lvlText w:val=""/>
      <w:lvlJc w:val="left"/>
    </w:lvl>
    <w:lvl w:ilvl="4" w:tplc="40FA40F2">
      <w:numFmt w:val="decimal"/>
      <w:lvlText w:val=""/>
      <w:lvlJc w:val="left"/>
    </w:lvl>
    <w:lvl w:ilvl="5" w:tplc="0BA4FB72">
      <w:numFmt w:val="decimal"/>
      <w:lvlText w:val=""/>
      <w:lvlJc w:val="left"/>
    </w:lvl>
    <w:lvl w:ilvl="6" w:tplc="0C06A428">
      <w:numFmt w:val="decimal"/>
      <w:lvlText w:val=""/>
      <w:lvlJc w:val="left"/>
    </w:lvl>
    <w:lvl w:ilvl="7" w:tplc="2F48425C">
      <w:numFmt w:val="decimal"/>
      <w:lvlText w:val=""/>
      <w:lvlJc w:val="left"/>
    </w:lvl>
    <w:lvl w:ilvl="8" w:tplc="38E03F14">
      <w:numFmt w:val="decimal"/>
      <w:lvlText w:val=""/>
      <w:lvlJc w:val="left"/>
    </w:lvl>
  </w:abstractNum>
  <w:abstractNum w:abstractNumId="1124" w15:restartNumberingAfterBreak="0">
    <w:nsid w:val="55404A6F"/>
    <w:multiLevelType w:val="hybridMultilevel"/>
    <w:tmpl w:val="9AC27B6A"/>
    <w:lvl w:ilvl="0" w:tplc="FFCCBCD0">
      <w:start w:val="1"/>
      <w:numFmt w:val="bullet"/>
      <w:lvlText w:val=""/>
      <w:lvlJc w:val="left"/>
      <w:pPr>
        <w:ind w:left="720" w:hanging="180"/>
      </w:pPr>
      <w:rPr>
        <w:rFonts w:ascii="Symbol" w:hAnsi="Symbol" w:hint="default"/>
      </w:rPr>
    </w:lvl>
    <w:lvl w:ilvl="1" w:tplc="EA8E03D0">
      <w:numFmt w:val="decimal"/>
      <w:lvlText w:val=""/>
      <w:lvlJc w:val="left"/>
    </w:lvl>
    <w:lvl w:ilvl="2" w:tplc="8A8C9096">
      <w:numFmt w:val="decimal"/>
      <w:lvlText w:val=""/>
      <w:lvlJc w:val="left"/>
    </w:lvl>
    <w:lvl w:ilvl="3" w:tplc="476C5D16">
      <w:numFmt w:val="decimal"/>
      <w:lvlText w:val=""/>
      <w:lvlJc w:val="left"/>
    </w:lvl>
    <w:lvl w:ilvl="4" w:tplc="79B4760C">
      <w:numFmt w:val="decimal"/>
      <w:lvlText w:val=""/>
      <w:lvlJc w:val="left"/>
    </w:lvl>
    <w:lvl w:ilvl="5" w:tplc="36025C26">
      <w:numFmt w:val="decimal"/>
      <w:lvlText w:val=""/>
      <w:lvlJc w:val="left"/>
    </w:lvl>
    <w:lvl w:ilvl="6" w:tplc="A0FA11B6">
      <w:numFmt w:val="decimal"/>
      <w:lvlText w:val=""/>
      <w:lvlJc w:val="left"/>
    </w:lvl>
    <w:lvl w:ilvl="7" w:tplc="BC22EAE4">
      <w:numFmt w:val="decimal"/>
      <w:lvlText w:val=""/>
      <w:lvlJc w:val="left"/>
    </w:lvl>
    <w:lvl w:ilvl="8" w:tplc="B2FE3A54">
      <w:numFmt w:val="decimal"/>
      <w:lvlText w:val=""/>
      <w:lvlJc w:val="left"/>
    </w:lvl>
  </w:abstractNum>
  <w:abstractNum w:abstractNumId="1125" w15:restartNumberingAfterBreak="0">
    <w:nsid w:val="55462AE3"/>
    <w:multiLevelType w:val="hybridMultilevel"/>
    <w:tmpl w:val="1BEC90D2"/>
    <w:lvl w:ilvl="0" w:tplc="34609524">
      <w:start w:val="1"/>
      <w:numFmt w:val="bullet"/>
      <w:lvlText w:val=""/>
      <w:lvlJc w:val="left"/>
      <w:pPr>
        <w:ind w:left="720" w:hanging="180"/>
      </w:pPr>
      <w:rPr>
        <w:rFonts w:ascii="Symbol" w:hAnsi="Symbol" w:hint="default"/>
      </w:rPr>
    </w:lvl>
    <w:lvl w:ilvl="1" w:tplc="F13AFD90">
      <w:numFmt w:val="decimal"/>
      <w:lvlText w:val=""/>
      <w:lvlJc w:val="left"/>
    </w:lvl>
    <w:lvl w:ilvl="2" w:tplc="01346856">
      <w:numFmt w:val="decimal"/>
      <w:lvlText w:val=""/>
      <w:lvlJc w:val="left"/>
    </w:lvl>
    <w:lvl w:ilvl="3" w:tplc="39303CAE">
      <w:numFmt w:val="decimal"/>
      <w:lvlText w:val=""/>
      <w:lvlJc w:val="left"/>
    </w:lvl>
    <w:lvl w:ilvl="4" w:tplc="393E8BB8">
      <w:numFmt w:val="decimal"/>
      <w:lvlText w:val=""/>
      <w:lvlJc w:val="left"/>
    </w:lvl>
    <w:lvl w:ilvl="5" w:tplc="A8B0004A">
      <w:numFmt w:val="decimal"/>
      <w:lvlText w:val=""/>
      <w:lvlJc w:val="left"/>
    </w:lvl>
    <w:lvl w:ilvl="6" w:tplc="53E4ABA0">
      <w:numFmt w:val="decimal"/>
      <w:lvlText w:val=""/>
      <w:lvlJc w:val="left"/>
    </w:lvl>
    <w:lvl w:ilvl="7" w:tplc="B16AC678">
      <w:numFmt w:val="decimal"/>
      <w:lvlText w:val=""/>
      <w:lvlJc w:val="left"/>
    </w:lvl>
    <w:lvl w:ilvl="8" w:tplc="75FA99DA">
      <w:numFmt w:val="decimal"/>
      <w:lvlText w:val=""/>
      <w:lvlJc w:val="left"/>
    </w:lvl>
  </w:abstractNum>
  <w:abstractNum w:abstractNumId="1126" w15:restartNumberingAfterBreak="0">
    <w:nsid w:val="554F7D44"/>
    <w:multiLevelType w:val="hybridMultilevel"/>
    <w:tmpl w:val="EA3C8162"/>
    <w:lvl w:ilvl="0" w:tplc="27A07068">
      <w:start w:val="1"/>
      <w:numFmt w:val="bullet"/>
      <w:lvlText w:val=""/>
      <w:lvlJc w:val="left"/>
      <w:pPr>
        <w:ind w:left="720" w:hanging="180"/>
      </w:pPr>
      <w:rPr>
        <w:rFonts w:ascii="Symbol" w:hAnsi="Symbol" w:hint="default"/>
      </w:rPr>
    </w:lvl>
    <w:lvl w:ilvl="1" w:tplc="B3CC0D18">
      <w:numFmt w:val="decimal"/>
      <w:lvlText w:val=""/>
      <w:lvlJc w:val="left"/>
    </w:lvl>
    <w:lvl w:ilvl="2" w:tplc="D63C6DCA">
      <w:numFmt w:val="decimal"/>
      <w:lvlText w:val=""/>
      <w:lvlJc w:val="left"/>
    </w:lvl>
    <w:lvl w:ilvl="3" w:tplc="3BACBA12">
      <w:numFmt w:val="decimal"/>
      <w:lvlText w:val=""/>
      <w:lvlJc w:val="left"/>
    </w:lvl>
    <w:lvl w:ilvl="4" w:tplc="DAE4172A">
      <w:numFmt w:val="decimal"/>
      <w:lvlText w:val=""/>
      <w:lvlJc w:val="left"/>
    </w:lvl>
    <w:lvl w:ilvl="5" w:tplc="E6028994">
      <w:numFmt w:val="decimal"/>
      <w:lvlText w:val=""/>
      <w:lvlJc w:val="left"/>
    </w:lvl>
    <w:lvl w:ilvl="6" w:tplc="65A4E520">
      <w:numFmt w:val="decimal"/>
      <w:lvlText w:val=""/>
      <w:lvlJc w:val="left"/>
    </w:lvl>
    <w:lvl w:ilvl="7" w:tplc="B530A492">
      <w:numFmt w:val="decimal"/>
      <w:lvlText w:val=""/>
      <w:lvlJc w:val="left"/>
    </w:lvl>
    <w:lvl w:ilvl="8" w:tplc="057263D6">
      <w:numFmt w:val="decimal"/>
      <w:lvlText w:val=""/>
      <w:lvlJc w:val="left"/>
    </w:lvl>
  </w:abstractNum>
  <w:abstractNum w:abstractNumId="1127" w15:restartNumberingAfterBreak="0">
    <w:nsid w:val="5557336C"/>
    <w:multiLevelType w:val="hybridMultilevel"/>
    <w:tmpl w:val="F88CB5B6"/>
    <w:lvl w:ilvl="0" w:tplc="73EA49CA">
      <w:start w:val="1"/>
      <w:numFmt w:val="bullet"/>
      <w:lvlText w:val=""/>
      <w:lvlJc w:val="left"/>
      <w:pPr>
        <w:ind w:left="720" w:hanging="180"/>
      </w:pPr>
      <w:rPr>
        <w:rFonts w:ascii="Symbol" w:hAnsi="Symbol" w:hint="default"/>
      </w:rPr>
    </w:lvl>
    <w:lvl w:ilvl="1" w:tplc="1994A2AE">
      <w:numFmt w:val="decimal"/>
      <w:lvlText w:val=""/>
      <w:lvlJc w:val="left"/>
    </w:lvl>
    <w:lvl w:ilvl="2" w:tplc="852439AC">
      <w:numFmt w:val="decimal"/>
      <w:lvlText w:val=""/>
      <w:lvlJc w:val="left"/>
    </w:lvl>
    <w:lvl w:ilvl="3" w:tplc="0E202B90">
      <w:numFmt w:val="decimal"/>
      <w:lvlText w:val=""/>
      <w:lvlJc w:val="left"/>
    </w:lvl>
    <w:lvl w:ilvl="4" w:tplc="A31CD032">
      <w:numFmt w:val="decimal"/>
      <w:lvlText w:val=""/>
      <w:lvlJc w:val="left"/>
    </w:lvl>
    <w:lvl w:ilvl="5" w:tplc="CD56166C">
      <w:numFmt w:val="decimal"/>
      <w:lvlText w:val=""/>
      <w:lvlJc w:val="left"/>
    </w:lvl>
    <w:lvl w:ilvl="6" w:tplc="8DD23C2E">
      <w:numFmt w:val="decimal"/>
      <w:lvlText w:val=""/>
      <w:lvlJc w:val="left"/>
    </w:lvl>
    <w:lvl w:ilvl="7" w:tplc="32FC4D9E">
      <w:numFmt w:val="decimal"/>
      <w:lvlText w:val=""/>
      <w:lvlJc w:val="left"/>
    </w:lvl>
    <w:lvl w:ilvl="8" w:tplc="39A86C2A">
      <w:numFmt w:val="decimal"/>
      <w:lvlText w:val=""/>
      <w:lvlJc w:val="left"/>
    </w:lvl>
  </w:abstractNum>
  <w:abstractNum w:abstractNumId="1128" w15:restartNumberingAfterBreak="0">
    <w:nsid w:val="556127A4"/>
    <w:multiLevelType w:val="hybridMultilevel"/>
    <w:tmpl w:val="D7E64FBA"/>
    <w:lvl w:ilvl="0" w:tplc="2160E374">
      <w:start w:val="1"/>
      <w:numFmt w:val="bullet"/>
      <w:lvlText w:val=""/>
      <w:lvlJc w:val="left"/>
      <w:pPr>
        <w:ind w:left="720" w:hanging="180"/>
      </w:pPr>
      <w:rPr>
        <w:rFonts w:ascii="Symbol" w:hAnsi="Symbol" w:hint="default"/>
      </w:rPr>
    </w:lvl>
    <w:lvl w:ilvl="1" w:tplc="55C02634">
      <w:numFmt w:val="decimal"/>
      <w:lvlText w:val=""/>
      <w:lvlJc w:val="left"/>
    </w:lvl>
    <w:lvl w:ilvl="2" w:tplc="FD6CBD70">
      <w:numFmt w:val="decimal"/>
      <w:lvlText w:val=""/>
      <w:lvlJc w:val="left"/>
    </w:lvl>
    <w:lvl w:ilvl="3" w:tplc="1310C1DC">
      <w:numFmt w:val="decimal"/>
      <w:lvlText w:val=""/>
      <w:lvlJc w:val="left"/>
    </w:lvl>
    <w:lvl w:ilvl="4" w:tplc="9BF6DB1E">
      <w:numFmt w:val="decimal"/>
      <w:lvlText w:val=""/>
      <w:lvlJc w:val="left"/>
    </w:lvl>
    <w:lvl w:ilvl="5" w:tplc="D0F04534">
      <w:numFmt w:val="decimal"/>
      <w:lvlText w:val=""/>
      <w:lvlJc w:val="left"/>
    </w:lvl>
    <w:lvl w:ilvl="6" w:tplc="4008F0DA">
      <w:numFmt w:val="decimal"/>
      <w:lvlText w:val=""/>
      <w:lvlJc w:val="left"/>
    </w:lvl>
    <w:lvl w:ilvl="7" w:tplc="9DC65A40">
      <w:numFmt w:val="decimal"/>
      <w:lvlText w:val=""/>
      <w:lvlJc w:val="left"/>
    </w:lvl>
    <w:lvl w:ilvl="8" w:tplc="C1A42810">
      <w:numFmt w:val="decimal"/>
      <w:lvlText w:val=""/>
      <w:lvlJc w:val="left"/>
    </w:lvl>
  </w:abstractNum>
  <w:abstractNum w:abstractNumId="1129" w15:restartNumberingAfterBreak="0">
    <w:nsid w:val="55643395"/>
    <w:multiLevelType w:val="hybridMultilevel"/>
    <w:tmpl w:val="3E9EC0F4"/>
    <w:lvl w:ilvl="0" w:tplc="D4AA2C2C">
      <w:start w:val="1"/>
      <w:numFmt w:val="bullet"/>
      <w:lvlText w:val=""/>
      <w:lvlJc w:val="left"/>
      <w:pPr>
        <w:ind w:left="720" w:hanging="180"/>
      </w:pPr>
      <w:rPr>
        <w:rFonts w:ascii="Symbol" w:hAnsi="Symbol" w:hint="default"/>
      </w:rPr>
    </w:lvl>
    <w:lvl w:ilvl="1" w:tplc="1346DEB0">
      <w:numFmt w:val="decimal"/>
      <w:lvlText w:val=""/>
      <w:lvlJc w:val="left"/>
    </w:lvl>
    <w:lvl w:ilvl="2" w:tplc="C876CFC4">
      <w:numFmt w:val="decimal"/>
      <w:lvlText w:val=""/>
      <w:lvlJc w:val="left"/>
    </w:lvl>
    <w:lvl w:ilvl="3" w:tplc="4A68F4EE">
      <w:numFmt w:val="decimal"/>
      <w:lvlText w:val=""/>
      <w:lvlJc w:val="left"/>
    </w:lvl>
    <w:lvl w:ilvl="4" w:tplc="DBFABDF2">
      <w:numFmt w:val="decimal"/>
      <w:lvlText w:val=""/>
      <w:lvlJc w:val="left"/>
    </w:lvl>
    <w:lvl w:ilvl="5" w:tplc="8E82B6F0">
      <w:numFmt w:val="decimal"/>
      <w:lvlText w:val=""/>
      <w:lvlJc w:val="left"/>
    </w:lvl>
    <w:lvl w:ilvl="6" w:tplc="C8865A76">
      <w:numFmt w:val="decimal"/>
      <w:lvlText w:val=""/>
      <w:lvlJc w:val="left"/>
    </w:lvl>
    <w:lvl w:ilvl="7" w:tplc="D64CC186">
      <w:numFmt w:val="decimal"/>
      <w:lvlText w:val=""/>
      <w:lvlJc w:val="left"/>
    </w:lvl>
    <w:lvl w:ilvl="8" w:tplc="CC9E5314">
      <w:numFmt w:val="decimal"/>
      <w:lvlText w:val=""/>
      <w:lvlJc w:val="left"/>
    </w:lvl>
  </w:abstractNum>
  <w:abstractNum w:abstractNumId="1130" w15:restartNumberingAfterBreak="0">
    <w:nsid w:val="558D591C"/>
    <w:multiLevelType w:val="hybridMultilevel"/>
    <w:tmpl w:val="AB764708"/>
    <w:lvl w:ilvl="0" w:tplc="6456A390">
      <w:start w:val="1"/>
      <w:numFmt w:val="bullet"/>
      <w:lvlText w:val=""/>
      <w:lvlJc w:val="left"/>
      <w:pPr>
        <w:ind w:left="720" w:hanging="180"/>
      </w:pPr>
      <w:rPr>
        <w:rFonts w:ascii="Symbol" w:hAnsi="Symbol" w:hint="default"/>
      </w:rPr>
    </w:lvl>
    <w:lvl w:ilvl="1" w:tplc="7EECBA42">
      <w:numFmt w:val="decimal"/>
      <w:lvlText w:val=""/>
      <w:lvlJc w:val="left"/>
    </w:lvl>
    <w:lvl w:ilvl="2" w:tplc="1208297C">
      <w:numFmt w:val="decimal"/>
      <w:lvlText w:val=""/>
      <w:lvlJc w:val="left"/>
    </w:lvl>
    <w:lvl w:ilvl="3" w:tplc="F5123BE2">
      <w:numFmt w:val="decimal"/>
      <w:lvlText w:val=""/>
      <w:lvlJc w:val="left"/>
    </w:lvl>
    <w:lvl w:ilvl="4" w:tplc="AC04ACCC">
      <w:numFmt w:val="decimal"/>
      <w:lvlText w:val=""/>
      <w:lvlJc w:val="left"/>
    </w:lvl>
    <w:lvl w:ilvl="5" w:tplc="838E7C30">
      <w:numFmt w:val="decimal"/>
      <w:lvlText w:val=""/>
      <w:lvlJc w:val="left"/>
    </w:lvl>
    <w:lvl w:ilvl="6" w:tplc="A6848DA6">
      <w:numFmt w:val="decimal"/>
      <w:lvlText w:val=""/>
      <w:lvlJc w:val="left"/>
    </w:lvl>
    <w:lvl w:ilvl="7" w:tplc="C3D69E56">
      <w:numFmt w:val="decimal"/>
      <w:lvlText w:val=""/>
      <w:lvlJc w:val="left"/>
    </w:lvl>
    <w:lvl w:ilvl="8" w:tplc="F162DE78">
      <w:numFmt w:val="decimal"/>
      <w:lvlText w:val=""/>
      <w:lvlJc w:val="left"/>
    </w:lvl>
  </w:abstractNum>
  <w:abstractNum w:abstractNumId="1131" w15:restartNumberingAfterBreak="0">
    <w:nsid w:val="559F0655"/>
    <w:multiLevelType w:val="hybridMultilevel"/>
    <w:tmpl w:val="583206B6"/>
    <w:lvl w:ilvl="0" w:tplc="D0CCD692">
      <w:start w:val="1"/>
      <w:numFmt w:val="bullet"/>
      <w:lvlText w:val=""/>
      <w:lvlJc w:val="left"/>
      <w:pPr>
        <w:ind w:left="720" w:hanging="180"/>
      </w:pPr>
      <w:rPr>
        <w:rFonts w:ascii="Symbol" w:hAnsi="Symbol" w:hint="default"/>
      </w:rPr>
    </w:lvl>
    <w:lvl w:ilvl="1" w:tplc="2FB23540">
      <w:numFmt w:val="decimal"/>
      <w:lvlText w:val=""/>
      <w:lvlJc w:val="left"/>
    </w:lvl>
    <w:lvl w:ilvl="2" w:tplc="2542BDAC">
      <w:numFmt w:val="decimal"/>
      <w:lvlText w:val=""/>
      <w:lvlJc w:val="left"/>
    </w:lvl>
    <w:lvl w:ilvl="3" w:tplc="173CA2E2">
      <w:numFmt w:val="decimal"/>
      <w:lvlText w:val=""/>
      <w:lvlJc w:val="left"/>
    </w:lvl>
    <w:lvl w:ilvl="4" w:tplc="60143848">
      <w:numFmt w:val="decimal"/>
      <w:lvlText w:val=""/>
      <w:lvlJc w:val="left"/>
    </w:lvl>
    <w:lvl w:ilvl="5" w:tplc="990E2BB2">
      <w:numFmt w:val="decimal"/>
      <w:lvlText w:val=""/>
      <w:lvlJc w:val="left"/>
    </w:lvl>
    <w:lvl w:ilvl="6" w:tplc="A622D6B8">
      <w:numFmt w:val="decimal"/>
      <w:lvlText w:val=""/>
      <w:lvlJc w:val="left"/>
    </w:lvl>
    <w:lvl w:ilvl="7" w:tplc="F3CA310C">
      <w:numFmt w:val="decimal"/>
      <w:lvlText w:val=""/>
      <w:lvlJc w:val="left"/>
    </w:lvl>
    <w:lvl w:ilvl="8" w:tplc="171CD3D0">
      <w:numFmt w:val="decimal"/>
      <w:lvlText w:val=""/>
      <w:lvlJc w:val="left"/>
    </w:lvl>
  </w:abstractNum>
  <w:abstractNum w:abstractNumId="1132" w15:restartNumberingAfterBreak="0">
    <w:nsid w:val="55A271F1"/>
    <w:multiLevelType w:val="hybridMultilevel"/>
    <w:tmpl w:val="DEE0C73A"/>
    <w:lvl w:ilvl="0" w:tplc="8D069558">
      <w:start w:val="1"/>
      <w:numFmt w:val="bullet"/>
      <w:lvlText w:val=""/>
      <w:lvlJc w:val="left"/>
      <w:pPr>
        <w:ind w:left="720" w:hanging="180"/>
      </w:pPr>
      <w:rPr>
        <w:rFonts w:ascii="Symbol" w:hAnsi="Symbol" w:hint="default"/>
      </w:rPr>
    </w:lvl>
    <w:lvl w:ilvl="1" w:tplc="FFAC082A">
      <w:numFmt w:val="decimal"/>
      <w:lvlText w:val=""/>
      <w:lvlJc w:val="left"/>
    </w:lvl>
    <w:lvl w:ilvl="2" w:tplc="A84E59BA">
      <w:numFmt w:val="decimal"/>
      <w:lvlText w:val=""/>
      <w:lvlJc w:val="left"/>
    </w:lvl>
    <w:lvl w:ilvl="3" w:tplc="85E89A82">
      <w:numFmt w:val="decimal"/>
      <w:lvlText w:val=""/>
      <w:lvlJc w:val="left"/>
    </w:lvl>
    <w:lvl w:ilvl="4" w:tplc="043CC8AC">
      <w:numFmt w:val="decimal"/>
      <w:lvlText w:val=""/>
      <w:lvlJc w:val="left"/>
    </w:lvl>
    <w:lvl w:ilvl="5" w:tplc="219A8A30">
      <w:numFmt w:val="decimal"/>
      <w:lvlText w:val=""/>
      <w:lvlJc w:val="left"/>
    </w:lvl>
    <w:lvl w:ilvl="6" w:tplc="B4E67FA2">
      <w:numFmt w:val="decimal"/>
      <w:lvlText w:val=""/>
      <w:lvlJc w:val="left"/>
    </w:lvl>
    <w:lvl w:ilvl="7" w:tplc="123E53F2">
      <w:numFmt w:val="decimal"/>
      <w:lvlText w:val=""/>
      <w:lvlJc w:val="left"/>
    </w:lvl>
    <w:lvl w:ilvl="8" w:tplc="DAC67B66">
      <w:numFmt w:val="decimal"/>
      <w:lvlText w:val=""/>
      <w:lvlJc w:val="left"/>
    </w:lvl>
  </w:abstractNum>
  <w:abstractNum w:abstractNumId="1133" w15:restartNumberingAfterBreak="0">
    <w:nsid w:val="55A72DA8"/>
    <w:multiLevelType w:val="hybridMultilevel"/>
    <w:tmpl w:val="7BDC4A4C"/>
    <w:lvl w:ilvl="0" w:tplc="A63A8E26">
      <w:start w:val="1"/>
      <w:numFmt w:val="bullet"/>
      <w:lvlText w:val=""/>
      <w:lvlJc w:val="left"/>
      <w:pPr>
        <w:ind w:left="720" w:hanging="180"/>
      </w:pPr>
      <w:rPr>
        <w:rFonts w:ascii="Symbol" w:hAnsi="Symbol" w:hint="default"/>
      </w:rPr>
    </w:lvl>
    <w:lvl w:ilvl="1" w:tplc="E6FAB89E">
      <w:numFmt w:val="decimal"/>
      <w:lvlText w:val=""/>
      <w:lvlJc w:val="left"/>
    </w:lvl>
    <w:lvl w:ilvl="2" w:tplc="1B560876">
      <w:numFmt w:val="decimal"/>
      <w:lvlText w:val=""/>
      <w:lvlJc w:val="left"/>
    </w:lvl>
    <w:lvl w:ilvl="3" w:tplc="D5140892">
      <w:numFmt w:val="decimal"/>
      <w:lvlText w:val=""/>
      <w:lvlJc w:val="left"/>
    </w:lvl>
    <w:lvl w:ilvl="4" w:tplc="0F4C5B54">
      <w:numFmt w:val="decimal"/>
      <w:lvlText w:val=""/>
      <w:lvlJc w:val="left"/>
    </w:lvl>
    <w:lvl w:ilvl="5" w:tplc="27425F92">
      <w:numFmt w:val="decimal"/>
      <w:lvlText w:val=""/>
      <w:lvlJc w:val="left"/>
    </w:lvl>
    <w:lvl w:ilvl="6" w:tplc="F4AC1B6A">
      <w:numFmt w:val="decimal"/>
      <w:lvlText w:val=""/>
      <w:lvlJc w:val="left"/>
    </w:lvl>
    <w:lvl w:ilvl="7" w:tplc="358EDC58">
      <w:numFmt w:val="decimal"/>
      <w:lvlText w:val=""/>
      <w:lvlJc w:val="left"/>
    </w:lvl>
    <w:lvl w:ilvl="8" w:tplc="AD644936">
      <w:numFmt w:val="decimal"/>
      <w:lvlText w:val=""/>
      <w:lvlJc w:val="left"/>
    </w:lvl>
  </w:abstractNum>
  <w:abstractNum w:abstractNumId="1134" w15:restartNumberingAfterBreak="0">
    <w:nsid w:val="55A85E8C"/>
    <w:multiLevelType w:val="hybridMultilevel"/>
    <w:tmpl w:val="DF9A9FEC"/>
    <w:lvl w:ilvl="0" w:tplc="9080113E">
      <w:start w:val="1"/>
      <w:numFmt w:val="bullet"/>
      <w:lvlText w:val=""/>
      <w:lvlJc w:val="left"/>
      <w:pPr>
        <w:ind w:left="720" w:hanging="180"/>
      </w:pPr>
      <w:rPr>
        <w:rFonts w:ascii="Symbol" w:hAnsi="Symbol" w:hint="default"/>
      </w:rPr>
    </w:lvl>
    <w:lvl w:ilvl="1" w:tplc="E3E41E18">
      <w:numFmt w:val="decimal"/>
      <w:lvlText w:val=""/>
      <w:lvlJc w:val="left"/>
    </w:lvl>
    <w:lvl w:ilvl="2" w:tplc="EFF645E8">
      <w:numFmt w:val="decimal"/>
      <w:lvlText w:val=""/>
      <w:lvlJc w:val="left"/>
    </w:lvl>
    <w:lvl w:ilvl="3" w:tplc="3FA85D6E">
      <w:numFmt w:val="decimal"/>
      <w:lvlText w:val=""/>
      <w:lvlJc w:val="left"/>
    </w:lvl>
    <w:lvl w:ilvl="4" w:tplc="C4405B5E">
      <w:numFmt w:val="decimal"/>
      <w:lvlText w:val=""/>
      <w:lvlJc w:val="left"/>
    </w:lvl>
    <w:lvl w:ilvl="5" w:tplc="9200A6C0">
      <w:numFmt w:val="decimal"/>
      <w:lvlText w:val=""/>
      <w:lvlJc w:val="left"/>
    </w:lvl>
    <w:lvl w:ilvl="6" w:tplc="BF1C04A0">
      <w:numFmt w:val="decimal"/>
      <w:lvlText w:val=""/>
      <w:lvlJc w:val="left"/>
    </w:lvl>
    <w:lvl w:ilvl="7" w:tplc="D2F0E31A">
      <w:numFmt w:val="decimal"/>
      <w:lvlText w:val=""/>
      <w:lvlJc w:val="left"/>
    </w:lvl>
    <w:lvl w:ilvl="8" w:tplc="DC4E4060">
      <w:numFmt w:val="decimal"/>
      <w:lvlText w:val=""/>
      <w:lvlJc w:val="left"/>
    </w:lvl>
  </w:abstractNum>
  <w:abstractNum w:abstractNumId="1135" w15:restartNumberingAfterBreak="0">
    <w:nsid w:val="55B374D2"/>
    <w:multiLevelType w:val="hybridMultilevel"/>
    <w:tmpl w:val="EE5CF5EC"/>
    <w:lvl w:ilvl="0" w:tplc="27402558">
      <w:start w:val="1"/>
      <w:numFmt w:val="bullet"/>
      <w:lvlText w:val=""/>
      <w:lvlJc w:val="left"/>
      <w:pPr>
        <w:ind w:left="720" w:hanging="180"/>
      </w:pPr>
      <w:rPr>
        <w:rFonts w:ascii="Symbol" w:hAnsi="Symbol" w:hint="default"/>
      </w:rPr>
    </w:lvl>
    <w:lvl w:ilvl="1" w:tplc="E828DA54">
      <w:numFmt w:val="decimal"/>
      <w:lvlText w:val=""/>
      <w:lvlJc w:val="left"/>
    </w:lvl>
    <w:lvl w:ilvl="2" w:tplc="685AD0EC">
      <w:numFmt w:val="decimal"/>
      <w:lvlText w:val=""/>
      <w:lvlJc w:val="left"/>
    </w:lvl>
    <w:lvl w:ilvl="3" w:tplc="87F40A62">
      <w:numFmt w:val="decimal"/>
      <w:lvlText w:val=""/>
      <w:lvlJc w:val="left"/>
    </w:lvl>
    <w:lvl w:ilvl="4" w:tplc="8E1EBE42">
      <w:numFmt w:val="decimal"/>
      <w:lvlText w:val=""/>
      <w:lvlJc w:val="left"/>
    </w:lvl>
    <w:lvl w:ilvl="5" w:tplc="74AED4EE">
      <w:numFmt w:val="decimal"/>
      <w:lvlText w:val=""/>
      <w:lvlJc w:val="left"/>
    </w:lvl>
    <w:lvl w:ilvl="6" w:tplc="4C6886A4">
      <w:numFmt w:val="decimal"/>
      <w:lvlText w:val=""/>
      <w:lvlJc w:val="left"/>
    </w:lvl>
    <w:lvl w:ilvl="7" w:tplc="A6F21906">
      <w:numFmt w:val="decimal"/>
      <w:lvlText w:val=""/>
      <w:lvlJc w:val="left"/>
    </w:lvl>
    <w:lvl w:ilvl="8" w:tplc="75DA99E6">
      <w:numFmt w:val="decimal"/>
      <w:lvlText w:val=""/>
      <w:lvlJc w:val="left"/>
    </w:lvl>
  </w:abstractNum>
  <w:abstractNum w:abstractNumId="1136" w15:restartNumberingAfterBreak="0">
    <w:nsid w:val="55C3691A"/>
    <w:multiLevelType w:val="hybridMultilevel"/>
    <w:tmpl w:val="ADFC1E06"/>
    <w:lvl w:ilvl="0" w:tplc="38687004">
      <w:start w:val="1"/>
      <w:numFmt w:val="bullet"/>
      <w:lvlText w:val=""/>
      <w:lvlJc w:val="left"/>
      <w:pPr>
        <w:ind w:left="720" w:hanging="180"/>
      </w:pPr>
      <w:rPr>
        <w:rFonts w:ascii="Symbol" w:hAnsi="Symbol" w:hint="default"/>
      </w:rPr>
    </w:lvl>
    <w:lvl w:ilvl="1" w:tplc="BF326C2C">
      <w:numFmt w:val="decimal"/>
      <w:lvlText w:val=""/>
      <w:lvlJc w:val="left"/>
    </w:lvl>
    <w:lvl w:ilvl="2" w:tplc="600067A6">
      <w:numFmt w:val="decimal"/>
      <w:lvlText w:val=""/>
      <w:lvlJc w:val="left"/>
    </w:lvl>
    <w:lvl w:ilvl="3" w:tplc="D850F578">
      <w:numFmt w:val="decimal"/>
      <w:lvlText w:val=""/>
      <w:lvlJc w:val="left"/>
    </w:lvl>
    <w:lvl w:ilvl="4" w:tplc="C02E4D08">
      <w:numFmt w:val="decimal"/>
      <w:lvlText w:val=""/>
      <w:lvlJc w:val="left"/>
    </w:lvl>
    <w:lvl w:ilvl="5" w:tplc="9CF61E38">
      <w:numFmt w:val="decimal"/>
      <w:lvlText w:val=""/>
      <w:lvlJc w:val="left"/>
    </w:lvl>
    <w:lvl w:ilvl="6" w:tplc="B9A6A7D4">
      <w:numFmt w:val="decimal"/>
      <w:lvlText w:val=""/>
      <w:lvlJc w:val="left"/>
    </w:lvl>
    <w:lvl w:ilvl="7" w:tplc="FFF29542">
      <w:numFmt w:val="decimal"/>
      <w:lvlText w:val=""/>
      <w:lvlJc w:val="left"/>
    </w:lvl>
    <w:lvl w:ilvl="8" w:tplc="B11E6E76">
      <w:numFmt w:val="decimal"/>
      <w:lvlText w:val=""/>
      <w:lvlJc w:val="left"/>
    </w:lvl>
  </w:abstractNum>
  <w:abstractNum w:abstractNumId="1137" w15:restartNumberingAfterBreak="0">
    <w:nsid w:val="55D50DD0"/>
    <w:multiLevelType w:val="hybridMultilevel"/>
    <w:tmpl w:val="415E48C2"/>
    <w:lvl w:ilvl="0" w:tplc="9BC42566">
      <w:start w:val="1"/>
      <w:numFmt w:val="bullet"/>
      <w:lvlText w:val=""/>
      <w:lvlJc w:val="left"/>
      <w:pPr>
        <w:ind w:left="720" w:hanging="180"/>
      </w:pPr>
      <w:rPr>
        <w:rFonts w:ascii="Symbol" w:hAnsi="Symbol" w:hint="default"/>
      </w:rPr>
    </w:lvl>
    <w:lvl w:ilvl="1" w:tplc="3AAC6A26">
      <w:numFmt w:val="decimal"/>
      <w:lvlText w:val=""/>
      <w:lvlJc w:val="left"/>
    </w:lvl>
    <w:lvl w:ilvl="2" w:tplc="ADC6280A">
      <w:numFmt w:val="decimal"/>
      <w:lvlText w:val=""/>
      <w:lvlJc w:val="left"/>
    </w:lvl>
    <w:lvl w:ilvl="3" w:tplc="8F620F70">
      <w:numFmt w:val="decimal"/>
      <w:lvlText w:val=""/>
      <w:lvlJc w:val="left"/>
    </w:lvl>
    <w:lvl w:ilvl="4" w:tplc="8EE69AB6">
      <w:numFmt w:val="decimal"/>
      <w:lvlText w:val=""/>
      <w:lvlJc w:val="left"/>
    </w:lvl>
    <w:lvl w:ilvl="5" w:tplc="A5867D36">
      <w:numFmt w:val="decimal"/>
      <w:lvlText w:val=""/>
      <w:lvlJc w:val="left"/>
    </w:lvl>
    <w:lvl w:ilvl="6" w:tplc="EC0ACDFC">
      <w:numFmt w:val="decimal"/>
      <w:lvlText w:val=""/>
      <w:lvlJc w:val="left"/>
    </w:lvl>
    <w:lvl w:ilvl="7" w:tplc="D21E7E8E">
      <w:numFmt w:val="decimal"/>
      <w:lvlText w:val=""/>
      <w:lvlJc w:val="left"/>
    </w:lvl>
    <w:lvl w:ilvl="8" w:tplc="A9C43CBE">
      <w:numFmt w:val="decimal"/>
      <w:lvlText w:val=""/>
      <w:lvlJc w:val="left"/>
    </w:lvl>
  </w:abstractNum>
  <w:abstractNum w:abstractNumId="1138" w15:restartNumberingAfterBreak="0">
    <w:nsid w:val="55D934C1"/>
    <w:multiLevelType w:val="hybridMultilevel"/>
    <w:tmpl w:val="04E40A86"/>
    <w:lvl w:ilvl="0" w:tplc="FE0CAA00">
      <w:start w:val="1"/>
      <w:numFmt w:val="bullet"/>
      <w:lvlText w:val=""/>
      <w:lvlJc w:val="left"/>
      <w:pPr>
        <w:ind w:left="720" w:hanging="180"/>
      </w:pPr>
      <w:rPr>
        <w:rFonts w:ascii="Symbol" w:hAnsi="Symbol" w:hint="default"/>
      </w:rPr>
    </w:lvl>
    <w:lvl w:ilvl="1" w:tplc="6FAEFD22">
      <w:numFmt w:val="decimal"/>
      <w:lvlText w:val=""/>
      <w:lvlJc w:val="left"/>
    </w:lvl>
    <w:lvl w:ilvl="2" w:tplc="8BE0860E">
      <w:numFmt w:val="decimal"/>
      <w:lvlText w:val=""/>
      <w:lvlJc w:val="left"/>
    </w:lvl>
    <w:lvl w:ilvl="3" w:tplc="297E20A6">
      <w:numFmt w:val="decimal"/>
      <w:lvlText w:val=""/>
      <w:lvlJc w:val="left"/>
    </w:lvl>
    <w:lvl w:ilvl="4" w:tplc="CE762D34">
      <w:numFmt w:val="decimal"/>
      <w:lvlText w:val=""/>
      <w:lvlJc w:val="left"/>
    </w:lvl>
    <w:lvl w:ilvl="5" w:tplc="ACBACB10">
      <w:numFmt w:val="decimal"/>
      <w:lvlText w:val=""/>
      <w:lvlJc w:val="left"/>
    </w:lvl>
    <w:lvl w:ilvl="6" w:tplc="B3A06D5C">
      <w:numFmt w:val="decimal"/>
      <w:lvlText w:val=""/>
      <w:lvlJc w:val="left"/>
    </w:lvl>
    <w:lvl w:ilvl="7" w:tplc="C608B092">
      <w:numFmt w:val="decimal"/>
      <w:lvlText w:val=""/>
      <w:lvlJc w:val="left"/>
    </w:lvl>
    <w:lvl w:ilvl="8" w:tplc="6AE44750">
      <w:numFmt w:val="decimal"/>
      <w:lvlText w:val=""/>
      <w:lvlJc w:val="left"/>
    </w:lvl>
  </w:abstractNum>
  <w:abstractNum w:abstractNumId="1139" w15:restartNumberingAfterBreak="0">
    <w:nsid w:val="55DB0116"/>
    <w:multiLevelType w:val="hybridMultilevel"/>
    <w:tmpl w:val="A7642366"/>
    <w:lvl w:ilvl="0" w:tplc="8A961EDE">
      <w:start w:val="1"/>
      <w:numFmt w:val="bullet"/>
      <w:lvlText w:val=""/>
      <w:lvlJc w:val="left"/>
      <w:pPr>
        <w:ind w:left="720" w:hanging="180"/>
      </w:pPr>
      <w:rPr>
        <w:rFonts w:ascii="Symbol" w:hAnsi="Symbol" w:hint="default"/>
      </w:rPr>
    </w:lvl>
    <w:lvl w:ilvl="1" w:tplc="9F5277AA">
      <w:numFmt w:val="decimal"/>
      <w:lvlText w:val=""/>
      <w:lvlJc w:val="left"/>
    </w:lvl>
    <w:lvl w:ilvl="2" w:tplc="587E69E0">
      <w:numFmt w:val="decimal"/>
      <w:lvlText w:val=""/>
      <w:lvlJc w:val="left"/>
    </w:lvl>
    <w:lvl w:ilvl="3" w:tplc="350C6152">
      <w:numFmt w:val="decimal"/>
      <w:lvlText w:val=""/>
      <w:lvlJc w:val="left"/>
    </w:lvl>
    <w:lvl w:ilvl="4" w:tplc="16B20454">
      <w:numFmt w:val="decimal"/>
      <w:lvlText w:val=""/>
      <w:lvlJc w:val="left"/>
    </w:lvl>
    <w:lvl w:ilvl="5" w:tplc="538A4B06">
      <w:numFmt w:val="decimal"/>
      <w:lvlText w:val=""/>
      <w:lvlJc w:val="left"/>
    </w:lvl>
    <w:lvl w:ilvl="6" w:tplc="739ED30A">
      <w:numFmt w:val="decimal"/>
      <w:lvlText w:val=""/>
      <w:lvlJc w:val="left"/>
    </w:lvl>
    <w:lvl w:ilvl="7" w:tplc="B126A9D4">
      <w:numFmt w:val="decimal"/>
      <w:lvlText w:val=""/>
      <w:lvlJc w:val="left"/>
    </w:lvl>
    <w:lvl w:ilvl="8" w:tplc="BE566BDC">
      <w:numFmt w:val="decimal"/>
      <w:lvlText w:val=""/>
      <w:lvlJc w:val="left"/>
    </w:lvl>
  </w:abstractNum>
  <w:abstractNum w:abstractNumId="1140" w15:restartNumberingAfterBreak="0">
    <w:nsid w:val="55F26FF3"/>
    <w:multiLevelType w:val="hybridMultilevel"/>
    <w:tmpl w:val="130AA81A"/>
    <w:lvl w:ilvl="0" w:tplc="68760C0C">
      <w:start w:val="1"/>
      <w:numFmt w:val="bullet"/>
      <w:lvlText w:val=""/>
      <w:lvlJc w:val="left"/>
      <w:pPr>
        <w:ind w:left="720" w:hanging="180"/>
      </w:pPr>
      <w:rPr>
        <w:rFonts w:ascii="Symbol" w:hAnsi="Symbol" w:hint="default"/>
      </w:rPr>
    </w:lvl>
    <w:lvl w:ilvl="1" w:tplc="8C0C4F90">
      <w:numFmt w:val="decimal"/>
      <w:lvlText w:val=""/>
      <w:lvlJc w:val="left"/>
    </w:lvl>
    <w:lvl w:ilvl="2" w:tplc="B7C8FB80">
      <w:numFmt w:val="decimal"/>
      <w:lvlText w:val=""/>
      <w:lvlJc w:val="left"/>
    </w:lvl>
    <w:lvl w:ilvl="3" w:tplc="05C00304">
      <w:numFmt w:val="decimal"/>
      <w:lvlText w:val=""/>
      <w:lvlJc w:val="left"/>
    </w:lvl>
    <w:lvl w:ilvl="4" w:tplc="F9DE5788">
      <w:numFmt w:val="decimal"/>
      <w:lvlText w:val=""/>
      <w:lvlJc w:val="left"/>
    </w:lvl>
    <w:lvl w:ilvl="5" w:tplc="726285C6">
      <w:numFmt w:val="decimal"/>
      <w:lvlText w:val=""/>
      <w:lvlJc w:val="left"/>
    </w:lvl>
    <w:lvl w:ilvl="6" w:tplc="9F1A26E6">
      <w:numFmt w:val="decimal"/>
      <w:lvlText w:val=""/>
      <w:lvlJc w:val="left"/>
    </w:lvl>
    <w:lvl w:ilvl="7" w:tplc="B86A37D4">
      <w:numFmt w:val="decimal"/>
      <w:lvlText w:val=""/>
      <w:lvlJc w:val="left"/>
    </w:lvl>
    <w:lvl w:ilvl="8" w:tplc="51CC9544">
      <w:numFmt w:val="decimal"/>
      <w:lvlText w:val=""/>
      <w:lvlJc w:val="left"/>
    </w:lvl>
  </w:abstractNum>
  <w:abstractNum w:abstractNumId="1141" w15:restartNumberingAfterBreak="0">
    <w:nsid w:val="560D69A9"/>
    <w:multiLevelType w:val="hybridMultilevel"/>
    <w:tmpl w:val="889A047C"/>
    <w:lvl w:ilvl="0" w:tplc="6DF00816">
      <w:start w:val="1"/>
      <w:numFmt w:val="bullet"/>
      <w:lvlText w:val=""/>
      <w:lvlJc w:val="left"/>
      <w:pPr>
        <w:ind w:left="720" w:hanging="180"/>
      </w:pPr>
      <w:rPr>
        <w:rFonts w:ascii="Symbol" w:hAnsi="Symbol" w:hint="default"/>
      </w:rPr>
    </w:lvl>
    <w:lvl w:ilvl="1" w:tplc="A54CC72E">
      <w:numFmt w:val="decimal"/>
      <w:lvlText w:val=""/>
      <w:lvlJc w:val="left"/>
    </w:lvl>
    <w:lvl w:ilvl="2" w:tplc="E528BF56">
      <w:numFmt w:val="decimal"/>
      <w:lvlText w:val=""/>
      <w:lvlJc w:val="left"/>
    </w:lvl>
    <w:lvl w:ilvl="3" w:tplc="F8B6F8DA">
      <w:numFmt w:val="decimal"/>
      <w:lvlText w:val=""/>
      <w:lvlJc w:val="left"/>
    </w:lvl>
    <w:lvl w:ilvl="4" w:tplc="7DFA7298">
      <w:numFmt w:val="decimal"/>
      <w:lvlText w:val=""/>
      <w:lvlJc w:val="left"/>
    </w:lvl>
    <w:lvl w:ilvl="5" w:tplc="B032DB44">
      <w:numFmt w:val="decimal"/>
      <w:lvlText w:val=""/>
      <w:lvlJc w:val="left"/>
    </w:lvl>
    <w:lvl w:ilvl="6" w:tplc="627451D4">
      <w:numFmt w:val="decimal"/>
      <w:lvlText w:val=""/>
      <w:lvlJc w:val="left"/>
    </w:lvl>
    <w:lvl w:ilvl="7" w:tplc="83C4690C">
      <w:numFmt w:val="decimal"/>
      <w:lvlText w:val=""/>
      <w:lvlJc w:val="left"/>
    </w:lvl>
    <w:lvl w:ilvl="8" w:tplc="537E7914">
      <w:numFmt w:val="decimal"/>
      <w:lvlText w:val=""/>
      <w:lvlJc w:val="left"/>
    </w:lvl>
  </w:abstractNum>
  <w:abstractNum w:abstractNumId="1142" w15:restartNumberingAfterBreak="0">
    <w:nsid w:val="563B6B18"/>
    <w:multiLevelType w:val="hybridMultilevel"/>
    <w:tmpl w:val="9A7278E8"/>
    <w:lvl w:ilvl="0" w:tplc="F0FA60C0">
      <w:start w:val="1"/>
      <w:numFmt w:val="bullet"/>
      <w:lvlText w:val=""/>
      <w:lvlJc w:val="left"/>
      <w:pPr>
        <w:ind w:left="720" w:hanging="180"/>
      </w:pPr>
      <w:rPr>
        <w:rFonts w:ascii="Symbol" w:hAnsi="Symbol" w:hint="default"/>
      </w:rPr>
    </w:lvl>
    <w:lvl w:ilvl="1" w:tplc="35AEE254">
      <w:numFmt w:val="decimal"/>
      <w:lvlText w:val=""/>
      <w:lvlJc w:val="left"/>
    </w:lvl>
    <w:lvl w:ilvl="2" w:tplc="64546192">
      <w:numFmt w:val="decimal"/>
      <w:lvlText w:val=""/>
      <w:lvlJc w:val="left"/>
    </w:lvl>
    <w:lvl w:ilvl="3" w:tplc="73B2E19A">
      <w:numFmt w:val="decimal"/>
      <w:lvlText w:val=""/>
      <w:lvlJc w:val="left"/>
    </w:lvl>
    <w:lvl w:ilvl="4" w:tplc="7542E392">
      <w:numFmt w:val="decimal"/>
      <w:lvlText w:val=""/>
      <w:lvlJc w:val="left"/>
    </w:lvl>
    <w:lvl w:ilvl="5" w:tplc="00948C5E">
      <w:numFmt w:val="decimal"/>
      <w:lvlText w:val=""/>
      <w:lvlJc w:val="left"/>
    </w:lvl>
    <w:lvl w:ilvl="6" w:tplc="70F85690">
      <w:numFmt w:val="decimal"/>
      <w:lvlText w:val=""/>
      <w:lvlJc w:val="left"/>
    </w:lvl>
    <w:lvl w:ilvl="7" w:tplc="3A066484">
      <w:numFmt w:val="decimal"/>
      <w:lvlText w:val=""/>
      <w:lvlJc w:val="left"/>
    </w:lvl>
    <w:lvl w:ilvl="8" w:tplc="ADECA184">
      <w:numFmt w:val="decimal"/>
      <w:lvlText w:val=""/>
      <w:lvlJc w:val="left"/>
    </w:lvl>
  </w:abstractNum>
  <w:abstractNum w:abstractNumId="1143" w15:restartNumberingAfterBreak="0">
    <w:nsid w:val="5643169C"/>
    <w:multiLevelType w:val="hybridMultilevel"/>
    <w:tmpl w:val="06E86F4C"/>
    <w:lvl w:ilvl="0" w:tplc="47DE687A">
      <w:start w:val="1"/>
      <w:numFmt w:val="bullet"/>
      <w:lvlText w:val=""/>
      <w:lvlJc w:val="left"/>
      <w:pPr>
        <w:ind w:left="720" w:hanging="180"/>
      </w:pPr>
      <w:rPr>
        <w:rFonts w:ascii="Symbol" w:hAnsi="Symbol" w:hint="default"/>
      </w:rPr>
    </w:lvl>
    <w:lvl w:ilvl="1" w:tplc="A9A221C4">
      <w:numFmt w:val="decimal"/>
      <w:lvlText w:val=""/>
      <w:lvlJc w:val="left"/>
    </w:lvl>
    <w:lvl w:ilvl="2" w:tplc="D668F55C">
      <w:numFmt w:val="decimal"/>
      <w:lvlText w:val=""/>
      <w:lvlJc w:val="left"/>
    </w:lvl>
    <w:lvl w:ilvl="3" w:tplc="78E0C9F6">
      <w:numFmt w:val="decimal"/>
      <w:lvlText w:val=""/>
      <w:lvlJc w:val="left"/>
    </w:lvl>
    <w:lvl w:ilvl="4" w:tplc="9F785556">
      <w:numFmt w:val="decimal"/>
      <w:lvlText w:val=""/>
      <w:lvlJc w:val="left"/>
    </w:lvl>
    <w:lvl w:ilvl="5" w:tplc="3CB079B0">
      <w:numFmt w:val="decimal"/>
      <w:lvlText w:val=""/>
      <w:lvlJc w:val="left"/>
    </w:lvl>
    <w:lvl w:ilvl="6" w:tplc="EF0AEA92">
      <w:numFmt w:val="decimal"/>
      <w:lvlText w:val=""/>
      <w:lvlJc w:val="left"/>
    </w:lvl>
    <w:lvl w:ilvl="7" w:tplc="A2FC29CA">
      <w:numFmt w:val="decimal"/>
      <w:lvlText w:val=""/>
      <w:lvlJc w:val="left"/>
    </w:lvl>
    <w:lvl w:ilvl="8" w:tplc="AA6EDD8A">
      <w:numFmt w:val="decimal"/>
      <w:lvlText w:val=""/>
      <w:lvlJc w:val="left"/>
    </w:lvl>
  </w:abstractNum>
  <w:abstractNum w:abstractNumId="1144" w15:restartNumberingAfterBreak="0">
    <w:nsid w:val="56571C67"/>
    <w:multiLevelType w:val="hybridMultilevel"/>
    <w:tmpl w:val="9000E106"/>
    <w:lvl w:ilvl="0" w:tplc="59D00A20">
      <w:start w:val="1"/>
      <w:numFmt w:val="bullet"/>
      <w:lvlText w:val=""/>
      <w:lvlJc w:val="left"/>
      <w:pPr>
        <w:ind w:left="720" w:hanging="180"/>
      </w:pPr>
      <w:rPr>
        <w:rFonts w:ascii="Symbol" w:hAnsi="Symbol" w:hint="default"/>
      </w:rPr>
    </w:lvl>
    <w:lvl w:ilvl="1" w:tplc="E0049EAE">
      <w:numFmt w:val="decimal"/>
      <w:lvlText w:val=""/>
      <w:lvlJc w:val="left"/>
    </w:lvl>
    <w:lvl w:ilvl="2" w:tplc="0DD634F6">
      <w:numFmt w:val="decimal"/>
      <w:lvlText w:val=""/>
      <w:lvlJc w:val="left"/>
    </w:lvl>
    <w:lvl w:ilvl="3" w:tplc="3A729FFA">
      <w:numFmt w:val="decimal"/>
      <w:lvlText w:val=""/>
      <w:lvlJc w:val="left"/>
    </w:lvl>
    <w:lvl w:ilvl="4" w:tplc="C8E6B142">
      <w:numFmt w:val="decimal"/>
      <w:lvlText w:val=""/>
      <w:lvlJc w:val="left"/>
    </w:lvl>
    <w:lvl w:ilvl="5" w:tplc="AF4ECB5C">
      <w:numFmt w:val="decimal"/>
      <w:lvlText w:val=""/>
      <w:lvlJc w:val="left"/>
    </w:lvl>
    <w:lvl w:ilvl="6" w:tplc="2D3EFCEE">
      <w:numFmt w:val="decimal"/>
      <w:lvlText w:val=""/>
      <w:lvlJc w:val="left"/>
    </w:lvl>
    <w:lvl w:ilvl="7" w:tplc="CD723A50">
      <w:numFmt w:val="decimal"/>
      <w:lvlText w:val=""/>
      <w:lvlJc w:val="left"/>
    </w:lvl>
    <w:lvl w:ilvl="8" w:tplc="89D8A716">
      <w:numFmt w:val="decimal"/>
      <w:lvlText w:val=""/>
      <w:lvlJc w:val="left"/>
    </w:lvl>
  </w:abstractNum>
  <w:abstractNum w:abstractNumId="1145" w15:restartNumberingAfterBreak="0">
    <w:nsid w:val="56B354F4"/>
    <w:multiLevelType w:val="hybridMultilevel"/>
    <w:tmpl w:val="A2A63630"/>
    <w:lvl w:ilvl="0" w:tplc="503694CA">
      <w:start w:val="1"/>
      <w:numFmt w:val="bullet"/>
      <w:lvlText w:val=""/>
      <w:lvlJc w:val="left"/>
      <w:pPr>
        <w:ind w:left="720" w:hanging="180"/>
      </w:pPr>
      <w:rPr>
        <w:rFonts w:ascii="Symbol" w:hAnsi="Symbol" w:hint="default"/>
      </w:rPr>
    </w:lvl>
    <w:lvl w:ilvl="1" w:tplc="7DAEEF80">
      <w:numFmt w:val="decimal"/>
      <w:lvlText w:val=""/>
      <w:lvlJc w:val="left"/>
    </w:lvl>
    <w:lvl w:ilvl="2" w:tplc="C492B080">
      <w:numFmt w:val="decimal"/>
      <w:lvlText w:val=""/>
      <w:lvlJc w:val="left"/>
    </w:lvl>
    <w:lvl w:ilvl="3" w:tplc="C5A2818C">
      <w:numFmt w:val="decimal"/>
      <w:lvlText w:val=""/>
      <w:lvlJc w:val="left"/>
    </w:lvl>
    <w:lvl w:ilvl="4" w:tplc="7C38D114">
      <w:numFmt w:val="decimal"/>
      <w:lvlText w:val=""/>
      <w:lvlJc w:val="left"/>
    </w:lvl>
    <w:lvl w:ilvl="5" w:tplc="99CCB6F2">
      <w:numFmt w:val="decimal"/>
      <w:lvlText w:val=""/>
      <w:lvlJc w:val="left"/>
    </w:lvl>
    <w:lvl w:ilvl="6" w:tplc="DF44B4D0">
      <w:numFmt w:val="decimal"/>
      <w:lvlText w:val=""/>
      <w:lvlJc w:val="left"/>
    </w:lvl>
    <w:lvl w:ilvl="7" w:tplc="238052EE">
      <w:numFmt w:val="decimal"/>
      <w:lvlText w:val=""/>
      <w:lvlJc w:val="left"/>
    </w:lvl>
    <w:lvl w:ilvl="8" w:tplc="CC321BA2">
      <w:numFmt w:val="decimal"/>
      <w:lvlText w:val=""/>
      <w:lvlJc w:val="left"/>
    </w:lvl>
  </w:abstractNum>
  <w:abstractNum w:abstractNumId="1146" w15:restartNumberingAfterBreak="0">
    <w:nsid w:val="56B405C3"/>
    <w:multiLevelType w:val="hybridMultilevel"/>
    <w:tmpl w:val="8C24C366"/>
    <w:lvl w:ilvl="0" w:tplc="9CA85948">
      <w:start w:val="1"/>
      <w:numFmt w:val="bullet"/>
      <w:lvlText w:val=""/>
      <w:lvlJc w:val="left"/>
      <w:pPr>
        <w:ind w:left="720" w:hanging="180"/>
      </w:pPr>
      <w:rPr>
        <w:rFonts w:ascii="Symbol" w:hAnsi="Symbol" w:hint="default"/>
      </w:rPr>
    </w:lvl>
    <w:lvl w:ilvl="1" w:tplc="9D38F5B6">
      <w:numFmt w:val="decimal"/>
      <w:lvlText w:val=""/>
      <w:lvlJc w:val="left"/>
    </w:lvl>
    <w:lvl w:ilvl="2" w:tplc="030AD612">
      <w:numFmt w:val="decimal"/>
      <w:lvlText w:val=""/>
      <w:lvlJc w:val="left"/>
    </w:lvl>
    <w:lvl w:ilvl="3" w:tplc="295C3982">
      <w:numFmt w:val="decimal"/>
      <w:lvlText w:val=""/>
      <w:lvlJc w:val="left"/>
    </w:lvl>
    <w:lvl w:ilvl="4" w:tplc="B46294E0">
      <w:numFmt w:val="decimal"/>
      <w:lvlText w:val=""/>
      <w:lvlJc w:val="left"/>
    </w:lvl>
    <w:lvl w:ilvl="5" w:tplc="BB9E329E">
      <w:numFmt w:val="decimal"/>
      <w:lvlText w:val=""/>
      <w:lvlJc w:val="left"/>
    </w:lvl>
    <w:lvl w:ilvl="6" w:tplc="46767280">
      <w:numFmt w:val="decimal"/>
      <w:lvlText w:val=""/>
      <w:lvlJc w:val="left"/>
    </w:lvl>
    <w:lvl w:ilvl="7" w:tplc="32125FFA">
      <w:numFmt w:val="decimal"/>
      <w:lvlText w:val=""/>
      <w:lvlJc w:val="left"/>
    </w:lvl>
    <w:lvl w:ilvl="8" w:tplc="731A2D44">
      <w:numFmt w:val="decimal"/>
      <w:lvlText w:val=""/>
      <w:lvlJc w:val="left"/>
    </w:lvl>
  </w:abstractNum>
  <w:abstractNum w:abstractNumId="1147" w15:restartNumberingAfterBreak="0">
    <w:nsid w:val="56BC2FB6"/>
    <w:multiLevelType w:val="hybridMultilevel"/>
    <w:tmpl w:val="3CD05758"/>
    <w:lvl w:ilvl="0" w:tplc="1CE863E0">
      <w:start w:val="1"/>
      <w:numFmt w:val="bullet"/>
      <w:lvlText w:val=""/>
      <w:lvlJc w:val="left"/>
      <w:pPr>
        <w:ind w:left="720" w:hanging="180"/>
      </w:pPr>
      <w:rPr>
        <w:rFonts w:ascii="Symbol" w:hAnsi="Symbol" w:hint="default"/>
      </w:rPr>
    </w:lvl>
    <w:lvl w:ilvl="1" w:tplc="156AC120">
      <w:numFmt w:val="decimal"/>
      <w:lvlText w:val=""/>
      <w:lvlJc w:val="left"/>
    </w:lvl>
    <w:lvl w:ilvl="2" w:tplc="670E0CE8">
      <w:numFmt w:val="decimal"/>
      <w:lvlText w:val=""/>
      <w:lvlJc w:val="left"/>
    </w:lvl>
    <w:lvl w:ilvl="3" w:tplc="855C9AC0">
      <w:numFmt w:val="decimal"/>
      <w:lvlText w:val=""/>
      <w:lvlJc w:val="left"/>
    </w:lvl>
    <w:lvl w:ilvl="4" w:tplc="59E28FA4">
      <w:numFmt w:val="decimal"/>
      <w:lvlText w:val=""/>
      <w:lvlJc w:val="left"/>
    </w:lvl>
    <w:lvl w:ilvl="5" w:tplc="212CDAD4">
      <w:numFmt w:val="decimal"/>
      <w:lvlText w:val=""/>
      <w:lvlJc w:val="left"/>
    </w:lvl>
    <w:lvl w:ilvl="6" w:tplc="85CA2B6C">
      <w:numFmt w:val="decimal"/>
      <w:lvlText w:val=""/>
      <w:lvlJc w:val="left"/>
    </w:lvl>
    <w:lvl w:ilvl="7" w:tplc="2EFCCB22">
      <w:numFmt w:val="decimal"/>
      <w:lvlText w:val=""/>
      <w:lvlJc w:val="left"/>
    </w:lvl>
    <w:lvl w:ilvl="8" w:tplc="79B467B4">
      <w:numFmt w:val="decimal"/>
      <w:lvlText w:val=""/>
      <w:lvlJc w:val="left"/>
    </w:lvl>
  </w:abstractNum>
  <w:abstractNum w:abstractNumId="1148" w15:restartNumberingAfterBreak="0">
    <w:nsid w:val="570A5362"/>
    <w:multiLevelType w:val="hybridMultilevel"/>
    <w:tmpl w:val="5D9A68EA"/>
    <w:lvl w:ilvl="0" w:tplc="3B42D258">
      <w:start w:val="1"/>
      <w:numFmt w:val="bullet"/>
      <w:lvlText w:val=""/>
      <w:lvlJc w:val="left"/>
      <w:pPr>
        <w:ind w:left="720" w:hanging="180"/>
      </w:pPr>
      <w:rPr>
        <w:rFonts w:ascii="Symbol" w:hAnsi="Symbol" w:hint="default"/>
      </w:rPr>
    </w:lvl>
    <w:lvl w:ilvl="1" w:tplc="35904318">
      <w:numFmt w:val="decimal"/>
      <w:lvlText w:val=""/>
      <w:lvlJc w:val="left"/>
    </w:lvl>
    <w:lvl w:ilvl="2" w:tplc="44C24928">
      <w:numFmt w:val="decimal"/>
      <w:lvlText w:val=""/>
      <w:lvlJc w:val="left"/>
    </w:lvl>
    <w:lvl w:ilvl="3" w:tplc="F8D211FA">
      <w:numFmt w:val="decimal"/>
      <w:lvlText w:val=""/>
      <w:lvlJc w:val="left"/>
    </w:lvl>
    <w:lvl w:ilvl="4" w:tplc="0EA88656">
      <w:numFmt w:val="decimal"/>
      <w:lvlText w:val=""/>
      <w:lvlJc w:val="left"/>
    </w:lvl>
    <w:lvl w:ilvl="5" w:tplc="1B889948">
      <w:numFmt w:val="decimal"/>
      <w:lvlText w:val=""/>
      <w:lvlJc w:val="left"/>
    </w:lvl>
    <w:lvl w:ilvl="6" w:tplc="ED1A82A8">
      <w:numFmt w:val="decimal"/>
      <w:lvlText w:val=""/>
      <w:lvlJc w:val="left"/>
    </w:lvl>
    <w:lvl w:ilvl="7" w:tplc="C4965F44">
      <w:numFmt w:val="decimal"/>
      <w:lvlText w:val=""/>
      <w:lvlJc w:val="left"/>
    </w:lvl>
    <w:lvl w:ilvl="8" w:tplc="3C6C486A">
      <w:numFmt w:val="decimal"/>
      <w:lvlText w:val=""/>
      <w:lvlJc w:val="left"/>
    </w:lvl>
  </w:abstractNum>
  <w:abstractNum w:abstractNumId="1149" w15:restartNumberingAfterBreak="0">
    <w:nsid w:val="57151BC8"/>
    <w:multiLevelType w:val="hybridMultilevel"/>
    <w:tmpl w:val="D81092DE"/>
    <w:lvl w:ilvl="0" w:tplc="E8F21360">
      <w:start w:val="1"/>
      <w:numFmt w:val="bullet"/>
      <w:lvlText w:val=""/>
      <w:lvlJc w:val="left"/>
      <w:pPr>
        <w:ind w:left="720" w:hanging="180"/>
      </w:pPr>
      <w:rPr>
        <w:rFonts w:ascii="Symbol" w:hAnsi="Symbol" w:hint="default"/>
      </w:rPr>
    </w:lvl>
    <w:lvl w:ilvl="1" w:tplc="C47426FA">
      <w:numFmt w:val="decimal"/>
      <w:lvlText w:val=""/>
      <w:lvlJc w:val="left"/>
    </w:lvl>
    <w:lvl w:ilvl="2" w:tplc="B25E3228">
      <w:numFmt w:val="decimal"/>
      <w:lvlText w:val=""/>
      <w:lvlJc w:val="left"/>
    </w:lvl>
    <w:lvl w:ilvl="3" w:tplc="B50AF264">
      <w:numFmt w:val="decimal"/>
      <w:lvlText w:val=""/>
      <w:lvlJc w:val="left"/>
    </w:lvl>
    <w:lvl w:ilvl="4" w:tplc="81EA693A">
      <w:numFmt w:val="decimal"/>
      <w:lvlText w:val=""/>
      <w:lvlJc w:val="left"/>
    </w:lvl>
    <w:lvl w:ilvl="5" w:tplc="62CA64CA">
      <w:numFmt w:val="decimal"/>
      <w:lvlText w:val=""/>
      <w:lvlJc w:val="left"/>
    </w:lvl>
    <w:lvl w:ilvl="6" w:tplc="FD089F78">
      <w:numFmt w:val="decimal"/>
      <w:lvlText w:val=""/>
      <w:lvlJc w:val="left"/>
    </w:lvl>
    <w:lvl w:ilvl="7" w:tplc="3D02D1A2">
      <w:numFmt w:val="decimal"/>
      <w:lvlText w:val=""/>
      <w:lvlJc w:val="left"/>
    </w:lvl>
    <w:lvl w:ilvl="8" w:tplc="C5FCF062">
      <w:numFmt w:val="decimal"/>
      <w:lvlText w:val=""/>
      <w:lvlJc w:val="left"/>
    </w:lvl>
  </w:abstractNum>
  <w:abstractNum w:abstractNumId="1150" w15:restartNumberingAfterBreak="0">
    <w:nsid w:val="576B664A"/>
    <w:multiLevelType w:val="hybridMultilevel"/>
    <w:tmpl w:val="D9F65BF2"/>
    <w:lvl w:ilvl="0" w:tplc="D2D25984">
      <w:numFmt w:val="decimal"/>
      <w:lvlText w:val=""/>
      <w:lvlJc w:val="left"/>
    </w:lvl>
    <w:lvl w:ilvl="1" w:tplc="88C459CE">
      <w:start w:val="1"/>
      <w:numFmt w:val="bullet"/>
      <w:lvlText w:val=""/>
      <w:lvlJc w:val="left"/>
      <w:pPr>
        <w:ind w:left="1440" w:hanging="180"/>
      </w:pPr>
      <w:rPr>
        <w:rFonts w:ascii="Symbol" w:hAnsi="Symbol" w:hint="default"/>
      </w:rPr>
    </w:lvl>
    <w:lvl w:ilvl="2" w:tplc="A864B134">
      <w:numFmt w:val="decimal"/>
      <w:lvlText w:val=""/>
      <w:lvlJc w:val="left"/>
    </w:lvl>
    <w:lvl w:ilvl="3" w:tplc="C7885182">
      <w:numFmt w:val="decimal"/>
      <w:lvlText w:val=""/>
      <w:lvlJc w:val="left"/>
    </w:lvl>
    <w:lvl w:ilvl="4" w:tplc="5C36FF16">
      <w:numFmt w:val="decimal"/>
      <w:lvlText w:val=""/>
      <w:lvlJc w:val="left"/>
    </w:lvl>
    <w:lvl w:ilvl="5" w:tplc="80A6D4FC">
      <w:numFmt w:val="decimal"/>
      <w:lvlText w:val=""/>
      <w:lvlJc w:val="left"/>
    </w:lvl>
    <w:lvl w:ilvl="6" w:tplc="85245328">
      <w:numFmt w:val="decimal"/>
      <w:lvlText w:val=""/>
      <w:lvlJc w:val="left"/>
    </w:lvl>
    <w:lvl w:ilvl="7" w:tplc="A72844DE">
      <w:numFmt w:val="decimal"/>
      <w:lvlText w:val=""/>
      <w:lvlJc w:val="left"/>
    </w:lvl>
    <w:lvl w:ilvl="8" w:tplc="562AFB1A">
      <w:numFmt w:val="decimal"/>
      <w:lvlText w:val=""/>
      <w:lvlJc w:val="left"/>
    </w:lvl>
  </w:abstractNum>
  <w:abstractNum w:abstractNumId="1151" w15:restartNumberingAfterBreak="0">
    <w:nsid w:val="578262D5"/>
    <w:multiLevelType w:val="hybridMultilevel"/>
    <w:tmpl w:val="8E5E1D24"/>
    <w:lvl w:ilvl="0" w:tplc="5900B138">
      <w:start w:val="1"/>
      <w:numFmt w:val="bullet"/>
      <w:lvlText w:val=""/>
      <w:lvlJc w:val="left"/>
      <w:pPr>
        <w:ind w:left="720" w:hanging="180"/>
      </w:pPr>
      <w:rPr>
        <w:rFonts w:ascii="Symbol" w:hAnsi="Symbol" w:hint="default"/>
      </w:rPr>
    </w:lvl>
    <w:lvl w:ilvl="1" w:tplc="381290A6">
      <w:numFmt w:val="decimal"/>
      <w:lvlText w:val=""/>
      <w:lvlJc w:val="left"/>
    </w:lvl>
    <w:lvl w:ilvl="2" w:tplc="B64AB972">
      <w:numFmt w:val="decimal"/>
      <w:lvlText w:val=""/>
      <w:lvlJc w:val="left"/>
    </w:lvl>
    <w:lvl w:ilvl="3" w:tplc="BD8E6F16">
      <w:numFmt w:val="decimal"/>
      <w:lvlText w:val=""/>
      <w:lvlJc w:val="left"/>
    </w:lvl>
    <w:lvl w:ilvl="4" w:tplc="11261BAE">
      <w:numFmt w:val="decimal"/>
      <w:lvlText w:val=""/>
      <w:lvlJc w:val="left"/>
    </w:lvl>
    <w:lvl w:ilvl="5" w:tplc="3D7ADE2E">
      <w:numFmt w:val="decimal"/>
      <w:lvlText w:val=""/>
      <w:lvlJc w:val="left"/>
    </w:lvl>
    <w:lvl w:ilvl="6" w:tplc="262CE576">
      <w:numFmt w:val="decimal"/>
      <w:lvlText w:val=""/>
      <w:lvlJc w:val="left"/>
    </w:lvl>
    <w:lvl w:ilvl="7" w:tplc="6E22843E">
      <w:numFmt w:val="decimal"/>
      <w:lvlText w:val=""/>
      <w:lvlJc w:val="left"/>
    </w:lvl>
    <w:lvl w:ilvl="8" w:tplc="A9FE0468">
      <w:numFmt w:val="decimal"/>
      <w:lvlText w:val=""/>
      <w:lvlJc w:val="left"/>
    </w:lvl>
  </w:abstractNum>
  <w:abstractNum w:abstractNumId="1152" w15:restartNumberingAfterBreak="0">
    <w:nsid w:val="57A632C3"/>
    <w:multiLevelType w:val="hybridMultilevel"/>
    <w:tmpl w:val="53D45760"/>
    <w:lvl w:ilvl="0" w:tplc="5FE66B52">
      <w:numFmt w:val="decimal"/>
      <w:lvlText w:val=""/>
      <w:lvlJc w:val="left"/>
    </w:lvl>
    <w:lvl w:ilvl="1" w:tplc="8EA4AF72">
      <w:start w:val="1"/>
      <w:numFmt w:val="bullet"/>
      <w:lvlText w:val=""/>
      <w:lvlJc w:val="left"/>
      <w:pPr>
        <w:ind w:left="1440" w:hanging="180"/>
      </w:pPr>
      <w:rPr>
        <w:rFonts w:ascii="Symbol" w:hAnsi="Symbol" w:hint="default"/>
      </w:rPr>
    </w:lvl>
    <w:lvl w:ilvl="2" w:tplc="3782F51A">
      <w:numFmt w:val="decimal"/>
      <w:lvlText w:val=""/>
      <w:lvlJc w:val="left"/>
    </w:lvl>
    <w:lvl w:ilvl="3" w:tplc="928A2C8A">
      <w:numFmt w:val="decimal"/>
      <w:lvlText w:val=""/>
      <w:lvlJc w:val="left"/>
    </w:lvl>
    <w:lvl w:ilvl="4" w:tplc="10889E42">
      <w:numFmt w:val="decimal"/>
      <w:lvlText w:val=""/>
      <w:lvlJc w:val="left"/>
    </w:lvl>
    <w:lvl w:ilvl="5" w:tplc="C55CDF78">
      <w:numFmt w:val="decimal"/>
      <w:lvlText w:val=""/>
      <w:lvlJc w:val="left"/>
    </w:lvl>
    <w:lvl w:ilvl="6" w:tplc="87F66F8E">
      <w:numFmt w:val="decimal"/>
      <w:lvlText w:val=""/>
      <w:lvlJc w:val="left"/>
    </w:lvl>
    <w:lvl w:ilvl="7" w:tplc="311082F4">
      <w:numFmt w:val="decimal"/>
      <w:lvlText w:val=""/>
      <w:lvlJc w:val="left"/>
    </w:lvl>
    <w:lvl w:ilvl="8" w:tplc="3C1C4A22">
      <w:numFmt w:val="decimal"/>
      <w:lvlText w:val=""/>
      <w:lvlJc w:val="left"/>
    </w:lvl>
  </w:abstractNum>
  <w:abstractNum w:abstractNumId="1153" w15:restartNumberingAfterBreak="0">
    <w:nsid w:val="57DA1CAD"/>
    <w:multiLevelType w:val="hybridMultilevel"/>
    <w:tmpl w:val="C0CE439E"/>
    <w:lvl w:ilvl="0" w:tplc="8F86A924">
      <w:start w:val="1"/>
      <w:numFmt w:val="bullet"/>
      <w:lvlText w:val=""/>
      <w:lvlJc w:val="left"/>
      <w:pPr>
        <w:ind w:left="720" w:hanging="180"/>
      </w:pPr>
      <w:rPr>
        <w:rFonts w:ascii="Symbol" w:hAnsi="Symbol" w:hint="default"/>
      </w:rPr>
    </w:lvl>
    <w:lvl w:ilvl="1" w:tplc="5B868462">
      <w:numFmt w:val="decimal"/>
      <w:lvlText w:val=""/>
      <w:lvlJc w:val="left"/>
    </w:lvl>
    <w:lvl w:ilvl="2" w:tplc="2B941964">
      <w:numFmt w:val="decimal"/>
      <w:lvlText w:val=""/>
      <w:lvlJc w:val="left"/>
    </w:lvl>
    <w:lvl w:ilvl="3" w:tplc="54E06976">
      <w:numFmt w:val="decimal"/>
      <w:lvlText w:val=""/>
      <w:lvlJc w:val="left"/>
    </w:lvl>
    <w:lvl w:ilvl="4" w:tplc="43882DA2">
      <w:numFmt w:val="decimal"/>
      <w:lvlText w:val=""/>
      <w:lvlJc w:val="left"/>
    </w:lvl>
    <w:lvl w:ilvl="5" w:tplc="2738E1A4">
      <w:numFmt w:val="decimal"/>
      <w:lvlText w:val=""/>
      <w:lvlJc w:val="left"/>
    </w:lvl>
    <w:lvl w:ilvl="6" w:tplc="CDA83DE0">
      <w:numFmt w:val="decimal"/>
      <w:lvlText w:val=""/>
      <w:lvlJc w:val="left"/>
    </w:lvl>
    <w:lvl w:ilvl="7" w:tplc="036C9038">
      <w:numFmt w:val="decimal"/>
      <w:lvlText w:val=""/>
      <w:lvlJc w:val="left"/>
    </w:lvl>
    <w:lvl w:ilvl="8" w:tplc="4A7CD6E6">
      <w:numFmt w:val="decimal"/>
      <w:lvlText w:val=""/>
      <w:lvlJc w:val="left"/>
    </w:lvl>
  </w:abstractNum>
  <w:abstractNum w:abstractNumId="1154" w15:restartNumberingAfterBreak="0">
    <w:nsid w:val="57EA779E"/>
    <w:multiLevelType w:val="hybridMultilevel"/>
    <w:tmpl w:val="66AA097C"/>
    <w:lvl w:ilvl="0" w:tplc="1C86AC76">
      <w:start w:val="1"/>
      <w:numFmt w:val="bullet"/>
      <w:lvlText w:val=""/>
      <w:lvlJc w:val="left"/>
      <w:pPr>
        <w:ind w:left="720" w:hanging="180"/>
      </w:pPr>
      <w:rPr>
        <w:rFonts w:ascii="Symbol" w:hAnsi="Symbol" w:hint="default"/>
      </w:rPr>
    </w:lvl>
    <w:lvl w:ilvl="1" w:tplc="B1CC73A0">
      <w:numFmt w:val="decimal"/>
      <w:lvlText w:val=""/>
      <w:lvlJc w:val="left"/>
    </w:lvl>
    <w:lvl w:ilvl="2" w:tplc="2E302EA6">
      <w:numFmt w:val="decimal"/>
      <w:lvlText w:val=""/>
      <w:lvlJc w:val="left"/>
    </w:lvl>
    <w:lvl w:ilvl="3" w:tplc="174621A0">
      <w:numFmt w:val="decimal"/>
      <w:lvlText w:val=""/>
      <w:lvlJc w:val="left"/>
    </w:lvl>
    <w:lvl w:ilvl="4" w:tplc="6E10D0F2">
      <w:numFmt w:val="decimal"/>
      <w:lvlText w:val=""/>
      <w:lvlJc w:val="left"/>
    </w:lvl>
    <w:lvl w:ilvl="5" w:tplc="92EE33A6">
      <w:numFmt w:val="decimal"/>
      <w:lvlText w:val=""/>
      <w:lvlJc w:val="left"/>
    </w:lvl>
    <w:lvl w:ilvl="6" w:tplc="B290BD58">
      <w:numFmt w:val="decimal"/>
      <w:lvlText w:val=""/>
      <w:lvlJc w:val="left"/>
    </w:lvl>
    <w:lvl w:ilvl="7" w:tplc="639A7E08">
      <w:numFmt w:val="decimal"/>
      <w:lvlText w:val=""/>
      <w:lvlJc w:val="left"/>
    </w:lvl>
    <w:lvl w:ilvl="8" w:tplc="6FF468F0">
      <w:numFmt w:val="decimal"/>
      <w:lvlText w:val=""/>
      <w:lvlJc w:val="left"/>
    </w:lvl>
  </w:abstractNum>
  <w:abstractNum w:abstractNumId="1155" w15:restartNumberingAfterBreak="0">
    <w:nsid w:val="57F21FA6"/>
    <w:multiLevelType w:val="hybridMultilevel"/>
    <w:tmpl w:val="A83A422E"/>
    <w:lvl w:ilvl="0" w:tplc="70FE2D26">
      <w:start w:val="1"/>
      <w:numFmt w:val="bullet"/>
      <w:lvlText w:val=""/>
      <w:lvlJc w:val="left"/>
      <w:pPr>
        <w:ind w:left="720" w:hanging="180"/>
      </w:pPr>
      <w:rPr>
        <w:rFonts w:ascii="Symbol" w:hAnsi="Symbol" w:hint="default"/>
      </w:rPr>
    </w:lvl>
    <w:lvl w:ilvl="1" w:tplc="5CAC9B38">
      <w:numFmt w:val="decimal"/>
      <w:lvlText w:val=""/>
      <w:lvlJc w:val="left"/>
    </w:lvl>
    <w:lvl w:ilvl="2" w:tplc="38F46D44">
      <w:numFmt w:val="decimal"/>
      <w:lvlText w:val=""/>
      <w:lvlJc w:val="left"/>
    </w:lvl>
    <w:lvl w:ilvl="3" w:tplc="443C4574">
      <w:numFmt w:val="decimal"/>
      <w:lvlText w:val=""/>
      <w:lvlJc w:val="left"/>
    </w:lvl>
    <w:lvl w:ilvl="4" w:tplc="E3F25A5E">
      <w:numFmt w:val="decimal"/>
      <w:lvlText w:val=""/>
      <w:lvlJc w:val="left"/>
    </w:lvl>
    <w:lvl w:ilvl="5" w:tplc="53B60494">
      <w:numFmt w:val="decimal"/>
      <w:lvlText w:val=""/>
      <w:lvlJc w:val="left"/>
    </w:lvl>
    <w:lvl w:ilvl="6" w:tplc="EBCEBBB6">
      <w:numFmt w:val="decimal"/>
      <w:lvlText w:val=""/>
      <w:lvlJc w:val="left"/>
    </w:lvl>
    <w:lvl w:ilvl="7" w:tplc="DEEA4D7E">
      <w:numFmt w:val="decimal"/>
      <w:lvlText w:val=""/>
      <w:lvlJc w:val="left"/>
    </w:lvl>
    <w:lvl w:ilvl="8" w:tplc="450A1070">
      <w:numFmt w:val="decimal"/>
      <w:lvlText w:val=""/>
      <w:lvlJc w:val="left"/>
    </w:lvl>
  </w:abstractNum>
  <w:abstractNum w:abstractNumId="1156" w15:restartNumberingAfterBreak="0">
    <w:nsid w:val="57F806F5"/>
    <w:multiLevelType w:val="hybridMultilevel"/>
    <w:tmpl w:val="3B78F052"/>
    <w:lvl w:ilvl="0" w:tplc="296C735A">
      <w:start w:val="1"/>
      <w:numFmt w:val="bullet"/>
      <w:lvlText w:val=""/>
      <w:lvlJc w:val="left"/>
      <w:pPr>
        <w:ind w:left="720" w:hanging="180"/>
      </w:pPr>
      <w:rPr>
        <w:rFonts w:ascii="Symbol" w:hAnsi="Symbol" w:hint="default"/>
      </w:rPr>
    </w:lvl>
    <w:lvl w:ilvl="1" w:tplc="B1FEFCB8">
      <w:numFmt w:val="decimal"/>
      <w:lvlText w:val=""/>
      <w:lvlJc w:val="left"/>
    </w:lvl>
    <w:lvl w:ilvl="2" w:tplc="B76C461C">
      <w:numFmt w:val="decimal"/>
      <w:lvlText w:val=""/>
      <w:lvlJc w:val="left"/>
    </w:lvl>
    <w:lvl w:ilvl="3" w:tplc="251856BC">
      <w:numFmt w:val="decimal"/>
      <w:lvlText w:val=""/>
      <w:lvlJc w:val="left"/>
    </w:lvl>
    <w:lvl w:ilvl="4" w:tplc="F90CC60A">
      <w:numFmt w:val="decimal"/>
      <w:lvlText w:val=""/>
      <w:lvlJc w:val="left"/>
    </w:lvl>
    <w:lvl w:ilvl="5" w:tplc="0B66B568">
      <w:numFmt w:val="decimal"/>
      <w:lvlText w:val=""/>
      <w:lvlJc w:val="left"/>
    </w:lvl>
    <w:lvl w:ilvl="6" w:tplc="E4308AF0">
      <w:numFmt w:val="decimal"/>
      <w:lvlText w:val=""/>
      <w:lvlJc w:val="left"/>
    </w:lvl>
    <w:lvl w:ilvl="7" w:tplc="7BB660C6">
      <w:numFmt w:val="decimal"/>
      <w:lvlText w:val=""/>
      <w:lvlJc w:val="left"/>
    </w:lvl>
    <w:lvl w:ilvl="8" w:tplc="06FA0070">
      <w:numFmt w:val="decimal"/>
      <w:lvlText w:val=""/>
      <w:lvlJc w:val="left"/>
    </w:lvl>
  </w:abstractNum>
  <w:abstractNum w:abstractNumId="1157" w15:restartNumberingAfterBreak="0">
    <w:nsid w:val="580A4E70"/>
    <w:multiLevelType w:val="hybridMultilevel"/>
    <w:tmpl w:val="B3D68796"/>
    <w:lvl w:ilvl="0" w:tplc="FBCC4EA2">
      <w:start w:val="1"/>
      <w:numFmt w:val="bullet"/>
      <w:lvlText w:val=""/>
      <w:lvlJc w:val="left"/>
      <w:pPr>
        <w:ind w:left="720" w:hanging="180"/>
      </w:pPr>
      <w:rPr>
        <w:rFonts w:ascii="Symbol" w:hAnsi="Symbol" w:hint="default"/>
      </w:rPr>
    </w:lvl>
    <w:lvl w:ilvl="1" w:tplc="F2EAAE4A">
      <w:numFmt w:val="decimal"/>
      <w:lvlText w:val=""/>
      <w:lvlJc w:val="left"/>
    </w:lvl>
    <w:lvl w:ilvl="2" w:tplc="E2E02AFE">
      <w:numFmt w:val="decimal"/>
      <w:lvlText w:val=""/>
      <w:lvlJc w:val="left"/>
    </w:lvl>
    <w:lvl w:ilvl="3" w:tplc="DC2E8C14">
      <w:numFmt w:val="decimal"/>
      <w:lvlText w:val=""/>
      <w:lvlJc w:val="left"/>
    </w:lvl>
    <w:lvl w:ilvl="4" w:tplc="79F08A76">
      <w:numFmt w:val="decimal"/>
      <w:lvlText w:val=""/>
      <w:lvlJc w:val="left"/>
    </w:lvl>
    <w:lvl w:ilvl="5" w:tplc="460A423A">
      <w:numFmt w:val="decimal"/>
      <w:lvlText w:val=""/>
      <w:lvlJc w:val="left"/>
    </w:lvl>
    <w:lvl w:ilvl="6" w:tplc="1828FB4C">
      <w:numFmt w:val="decimal"/>
      <w:lvlText w:val=""/>
      <w:lvlJc w:val="left"/>
    </w:lvl>
    <w:lvl w:ilvl="7" w:tplc="26E80F64">
      <w:numFmt w:val="decimal"/>
      <w:lvlText w:val=""/>
      <w:lvlJc w:val="left"/>
    </w:lvl>
    <w:lvl w:ilvl="8" w:tplc="ED8EF05A">
      <w:numFmt w:val="decimal"/>
      <w:lvlText w:val=""/>
      <w:lvlJc w:val="left"/>
    </w:lvl>
  </w:abstractNum>
  <w:abstractNum w:abstractNumId="1158" w15:restartNumberingAfterBreak="0">
    <w:nsid w:val="583F42E8"/>
    <w:multiLevelType w:val="hybridMultilevel"/>
    <w:tmpl w:val="0332D55E"/>
    <w:lvl w:ilvl="0" w:tplc="12F6D612">
      <w:start w:val="1"/>
      <w:numFmt w:val="bullet"/>
      <w:lvlText w:val=""/>
      <w:lvlJc w:val="left"/>
      <w:pPr>
        <w:ind w:left="720" w:hanging="180"/>
      </w:pPr>
      <w:rPr>
        <w:rFonts w:ascii="Symbol" w:hAnsi="Symbol" w:hint="default"/>
      </w:rPr>
    </w:lvl>
    <w:lvl w:ilvl="1" w:tplc="EBC8D846">
      <w:numFmt w:val="decimal"/>
      <w:lvlText w:val=""/>
      <w:lvlJc w:val="left"/>
    </w:lvl>
    <w:lvl w:ilvl="2" w:tplc="8BA60164">
      <w:numFmt w:val="decimal"/>
      <w:lvlText w:val=""/>
      <w:lvlJc w:val="left"/>
    </w:lvl>
    <w:lvl w:ilvl="3" w:tplc="A3A69656">
      <w:numFmt w:val="decimal"/>
      <w:lvlText w:val=""/>
      <w:lvlJc w:val="left"/>
    </w:lvl>
    <w:lvl w:ilvl="4" w:tplc="F508E756">
      <w:numFmt w:val="decimal"/>
      <w:lvlText w:val=""/>
      <w:lvlJc w:val="left"/>
    </w:lvl>
    <w:lvl w:ilvl="5" w:tplc="7054D434">
      <w:numFmt w:val="decimal"/>
      <w:lvlText w:val=""/>
      <w:lvlJc w:val="left"/>
    </w:lvl>
    <w:lvl w:ilvl="6" w:tplc="731EC8DE">
      <w:numFmt w:val="decimal"/>
      <w:lvlText w:val=""/>
      <w:lvlJc w:val="left"/>
    </w:lvl>
    <w:lvl w:ilvl="7" w:tplc="66287E5C">
      <w:numFmt w:val="decimal"/>
      <w:lvlText w:val=""/>
      <w:lvlJc w:val="left"/>
    </w:lvl>
    <w:lvl w:ilvl="8" w:tplc="FF90E614">
      <w:numFmt w:val="decimal"/>
      <w:lvlText w:val=""/>
      <w:lvlJc w:val="left"/>
    </w:lvl>
  </w:abstractNum>
  <w:abstractNum w:abstractNumId="1159" w15:restartNumberingAfterBreak="0">
    <w:nsid w:val="584066D0"/>
    <w:multiLevelType w:val="hybridMultilevel"/>
    <w:tmpl w:val="2FBC8DD6"/>
    <w:lvl w:ilvl="0" w:tplc="C22EE98E">
      <w:start w:val="1"/>
      <w:numFmt w:val="bullet"/>
      <w:lvlText w:val=""/>
      <w:lvlJc w:val="left"/>
      <w:pPr>
        <w:ind w:left="720" w:hanging="180"/>
      </w:pPr>
      <w:rPr>
        <w:rFonts w:ascii="Symbol" w:hAnsi="Symbol" w:hint="default"/>
      </w:rPr>
    </w:lvl>
    <w:lvl w:ilvl="1" w:tplc="7F545202">
      <w:numFmt w:val="decimal"/>
      <w:lvlText w:val=""/>
      <w:lvlJc w:val="left"/>
    </w:lvl>
    <w:lvl w:ilvl="2" w:tplc="B058C478">
      <w:numFmt w:val="decimal"/>
      <w:lvlText w:val=""/>
      <w:lvlJc w:val="left"/>
    </w:lvl>
    <w:lvl w:ilvl="3" w:tplc="C794180C">
      <w:numFmt w:val="decimal"/>
      <w:lvlText w:val=""/>
      <w:lvlJc w:val="left"/>
    </w:lvl>
    <w:lvl w:ilvl="4" w:tplc="FDB00740">
      <w:numFmt w:val="decimal"/>
      <w:lvlText w:val=""/>
      <w:lvlJc w:val="left"/>
    </w:lvl>
    <w:lvl w:ilvl="5" w:tplc="90A808EA">
      <w:numFmt w:val="decimal"/>
      <w:lvlText w:val=""/>
      <w:lvlJc w:val="left"/>
    </w:lvl>
    <w:lvl w:ilvl="6" w:tplc="507892EA">
      <w:numFmt w:val="decimal"/>
      <w:lvlText w:val=""/>
      <w:lvlJc w:val="left"/>
    </w:lvl>
    <w:lvl w:ilvl="7" w:tplc="C6ECC620">
      <w:numFmt w:val="decimal"/>
      <w:lvlText w:val=""/>
      <w:lvlJc w:val="left"/>
    </w:lvl>
    <w:lvl w:ilvl="8" w:tplc="67F486C2">
      <w:numFmt w:val="decimal"/>
      <w:lvlText w:val=""/>
      <w:lvlJc w:val="left"/>
    </w:lvl>
  </w:abstractNum>
  <w:abstractNum w:abstractNumId="1160" w15:restartNumberingAfterBreak="0">
    <w:nsid w:val="58451131"/>
    <w:multiLevelType w:val="hybridMultilevel"/>
    <w:tmpl w:val="8D6846C2"/>
    <w:lvl w:ilvl="0" w:tplc="E7044514">
      <w:start w:val="1"/>
      <w:numFmt w:val="bullet"/>
      <w:lvlText w:val=""/>
      <w:lvlJc w:val="left"/>
      <w:pPr>
        <w:ind w:left="720" w:hanging="180"/>
      </w:pPr>
      <w:rPr>
        <w:rFonts w:ascii="Symbol" w:hAnsi="Symbol" w:hint="default"/>
      </w:rPr>
    </w:lvl>
    <w:lvl w:ilvl="1" w:tplc="5F5A869C">
      <w:numFmt w:val="decimal"/>
      <w:lvlText w:val=""/>
      <w:lvlJc w:val="left"/>
    </w:lvl>
    <w:lvl w:ilvl="2" w:tplc="6FE06CC4">
      <w:numFmt w:val="decimal"/>
      <w:lvlText w:val=""/>
      <w:lvlJc w:val="left"/>
    </w:lvl>
    <w:lvl w:ilvl="3" w:tplc="06AAFAEA">
      <w:numFmt w:val="decimal"/>
      <w:lvlText w:val=""/>
      <w:lvlJc w:val="left"/>
    </w:lvl>
    <w:lvl w:ilvl="4" w:tplc="855EDC9C">
      <w:numFmt w:val="decimal"/>
      <w:lvlText w:val=""/>
      <w:lvlJc w:val="left"/>
    </w:lvl>
    <w:lvl w:ilvl="5" w:tplc="C89A4FA2">
      <w:numFmt w:val="decimal"/>
      <w:lvlText w:val=""/>
      <w:lvlJc w:val="left"/>
    </w:lvl>
    <w:lvl w:ilvl="6" w:tplc="8B026AAA">
      <w:numFmt w:val="decimal"/>
      <w:lvlText w:val=""/>
      <w:lvlJc w:val="left"/>
    </w:lvl>
    <w:lvl w:ilvl="7" w:tplc="7736E296">
      <w:numFmt w:val="decimal"/>
      <w:lvlText w:val=""/>
      <w:lvlJc w:val="left"/>
    </w:lvl>
    <w:lvl w:ilvl="8" w:tplc="5520FF4A">
      <w:numFmt w:val="decimal"/>
      <w:lvlText w:val=""/>
      <w:lvlJc w:val="left"/>
    </w:lvl>
  </w:abstractNum>
  <w:abstractNum w:abstractNumId="1161" w15:restartNumberingAfterBreak="0">
    <w:nsid w:val="5863265E"/>
    <w:multiLevelType w:val="hybridMultilevel"/>
    <w:tmpl w:val="3814B07C"/>
    <w:lvl w:ilvl="0" w:tplc="3202F6DC">
      <w:start w:val="1"/>
      <w:numFmt w:val="bullet"/>
      <w:lvlText w:val=""/>
      <w:lvlJc w:val="left"/>
      <w:pPr>
        <w:ind w:left="720" w:hanging="180"/>
      </w:pPr>
      <w:rPr>
        <w:rFonts w:ascii="Symbol" w:hAnsi="Symbol" w:hint="default"/>
      </w:rPr>
    </w:lvl>
    <w:lvl w:ilvl="1" w:tplc="E49A7B24">
      <w:numFmt w:val="decimal"/>
      <w:lvlText w:val=""/>
      <w:lvlJc w:val="left"/>
    </w:lvl>
    <w:lvl w:ilvl="2" w:tplc="B83086BE">
      <w:numFmt w:val="decimal"/>
      <w:lvlText w:val=""/>
      <w:lvlJc w:val="left"/>
    </w:lvl>
    <w:lvl w:ilvl="3" w:tplc="D1CE5986">
      <w:numFmt w:val="decimal"/>
      <w:lvlText w:val=""/>
      <w:lvlJc w:val="left"/>
    </w:lvl>
    <w:lvl w:ilvl="4" w:tplc="E5022A82">
      <w:numFmt w:val="decimal"/>
      <w:lvlText w:val=""/>
      <w:lvlJc w:val="left"/>
    </w:lvl>
    <w:lvl w:ilvl="5" w:tplc="25160816">
      <w:numFmt w:val="decimal"/>
      <w:lvlText w:val=""/>
      <w:lvlJc w:val="left"/>
    </w:lvl>
    <w:lvl w:ilvl="6" w:tplc="A5A885E2">
      <w:numFmt w:val="decimal"/>
      <w:lvlText w:val=""/>
      <w:lvlJc w:val="left"/>
    </w:lvl>
    <w:lvl w:ilvl="7" w:tplc="9F26FB28">
      <w:numFmt w:val="decimal"/>
      <w:lvlText w:val=""/>
      <w:lvlJc w:val="left"/>
    </w:lvl>
    <w:lvl w:ilvl="8" w:tplc="B80AD3F0">
      <w:numFmt w:val="decimal"/>
      <w:lvlText w:val=""/>
      <w:lvlJc w:val="left"/>
    </w:lvl>
  </w:abstractNum>
  <w:abstractNum w:abstractNumId="1162" w15:restartNumberingAfterBreak="0">
    <w:nsid w:val="587548C9"/>
    <w:multiLevelType w:val="hybridMultilevel"/>
    <w:tmpl w:val="0EC4DBF6"/>
    <w:lvl w:ilvl="0" w:tplc="10A26A8C">
      <w:numFmt w:val="decimal"/>
      <w:lvlText w:val=""/>
      <w:lvlJc w:val="left"/>
    </w:lvl>
    <w:lvl w:ilvl="1" w:tplc="0472CF96">
      <w:start w:val="1"/>
      <w:numFmt w:val="bullet"/>
      <w:lvlText w:val=""/>
      <w:lvlJc w:val="left"/>
      <w:pPr>
        <w:ind w:left="1440" w:hanging="180"/>
      </w:pPr>
      <w:rPr>
        <w:rFonts w:ascii="Symbol" w:hAnsi="Symbol" w:hint="default"/>
      </w:rPr>
    </w:lvl>
    <w:lvl w:ilvl="2" w:tplc="431E2636">
      <w:numFmt w:val="decimal"/>
      <w:lvlText w:val=""/>
      <w:lvlJc w:val="left"/>
    </w:lvl>
    <w:lvl w:ilvl="3" w:tplc="2E62F05E">
      <w:numFmt w:val="decimal"/>
      <w:lvlText w:val=""/>
      <w:lvlJc w:val="left"/>
    </w:lvl>
    <w:lvl w:ilvl="4" w:tplc="CD363E08">
      <w:numFmt w:val="decimal"/>
      <w:lvlText w:val=""/>
      <w:lvlJc w:val="left"/>
    </w:lvl>
    <w:lvl w:ilvl="5" w:tplc="3718F722">
      <w:numFmt w:val="decimal"/>
      <w:lvlText w:val=""/>
      <w:lvlJc w:val="left"/>
    </w:lvl>
    <w:lvl w:ilvl="6" w:tplc="796EF938">
      <w:numFmt w:val="decimal"/>
      <w:lvlText w:val=""/>
      <w:lvlJc w:val="left"/>
    </w:lvl>
    <w:lvl w:ilvl="7" w:tplc="7E96C6D4">
      <w:numFmt w:val="decimal"/>
      <w:lvlText w:val=""/>
      <w:lvlJc w:val="left"/>
    </w:lvl>
    <w:lvl w:ilvl="8" w:tplc="30024316">
      <w:numFmt w:val="decimal"/>
      <w:lvlText w:val=""/>
      <w:lvlJc w:val="left"/>
    </w:lvl>
  </w:abstractNum>
  <w:abstractNum w:abstractNumId="1163" w15:restartNumberingAfterBreak="0">
    <w:nsid w:val="587600DC"/>
    <w:multiLevelType w:val="hybridMultilevel"/>
    <w:tmpl w:val="444EEE3A"/>
    <w:lvl w:ilvl="0" w:tplc="E432E3FA">
      <w:start w:val="1"/>
      <w:numFmt w:val="bullet"/>
      <w:lvlText w:val=""/>
      <w:lvlJc w:val="left"/>
      <w:pPr>
        <w:ind w:left="720" w:hanging="180"/>
      </w:pPr>
      <w:rPr>
        <w:rFonts w:ascii="Symbol" w:hAnsi="Symbol" w:hint="default"/>
      </w:rPr>
    </w:lvl>
    <w:lvl w:ilvl="1" w:tplc="95E4AF36">
      <w:numFmt w:val="decimal"/>
      <w:lvlText w:val=""/>
      <w:lvlJc w:val="left"/>
    </w:lvl>
    <w:lvl w:ilvl="2" w:tplc="428421CA">
      <w:numFmt w:val="decimal"/>
      <w:lvlText w:val=""/>
      <w:lvlJc w:val="left"/>
    </w:lvl>
    <w:lvl w:ilvl="3" w:tplc="8EB4F336">
      <w:numFmt w:val="decimal"/>
      <w:lvlText w:val=""/>
      <w:lvlJc w:val="left"/>
    </w:lvl>
    <w:lvl w:ilvl="4" w:tplc="F2F8BAD0">
      <w:numFmt w:val="decimal"/>
      <w:lvlText w:val=""/>
      <w:lvlJc w:val="left"/>
    </w:lvl>
    <w:lvl w:ilvl="5" w:tplc="30D85262">
      <w:numFmt w:val="decimal"/>
      <w:lvlText w:val=""/>
      <w:lvlJc w:val="left"/>
    </w:lvl>
    <w:lvl w:ilvl="6" w:tplc="038EDCA8">
      <w:numFmt w:val="decimal"/>
      <w:lvlText w:val=""/>
      <w:lvlJc w:val="left"/>
    </w:lvl>
    <w:lvl w:ilvl="7" w:tplc="A64ACD7C">
      <w:numFmt w:val="decimal"/>
      <w:lvlText w:val=""/>
      <w:lvlJc w:val="left"/>
    </w:lvl>
    <w:lvl w:ilvl="8" w:tplc="ACB4DF6E">
      <w:numFmt w:val="decimal"/>
      <w:lvlText w:val=""/>
      <w:lvlJc w:val="left"/>
    </w:lvl>
  </w:abstractNum>
  <w:abstractNum w:abstractNumId="1164" w15:restartNumberingAfterBreak="0">
    <w:nsid w:val="58B85928"/>
    <w:multiLevelType w:val="hybridMultilevel"/>
    <w:tmpl w:val="48728D70"/>
    <w:lvl w:ilvl="0" w:tplc="90EE7414">
      <w:numFmt w:val="decimal"/>
      <w:lvlText w:val=""/>
      <w:lvlJc w:val="left"/>
    </w:lvl>
    <w:lvl w:ilvl="1" w:tplc="91F03390">
      <w:start w:val="1"/>
      <w:numFmt w:val="bullet"/>
      <w:lvlText w:val=""/>
      <w:lvlJc w:val="left"/>
      <w:pPr>
        <w:ind w:left="1440" w:hanging="180"/>
      </w:pPr>
      <w:rPr>
        <w:rFonts w:ascii="Symbol" w:hAnsi="Symbol" w:hint="default"/>
      </w:rPr>
    </w:lvl>
    <w:lvl w:ilvl="2" w:tplc="8500DDB2">
      <w:numFmt w:val="decimal"/>
      <w:lvlText w:val=""/>
      <w:lvlJc w:val="left"/>
    </w:lvl>
    <w:lvl w:ilvl="3" w:tplc="ABB4A8D6">
      <w:numFmt w:val="decimal"/>
      <w:lvlText w:val=""/>
      <w:lvlJc w:val="left"/>
    </w:lvl>
    <w:lvl w:ilvl="4" w:tplc="AA7A99BA">
      <w:numFmt w:val="decimal"/>
      <w:lvlText w:val=""/>
      <w:lvlJc w:val="left"/>
    </w:lvl>
    <w:lvl w:ilvl="5" w:tplc="F4180168">
      <w:numFmt w:val="decimal"/>
      <w:lvlText w:val=""/>
      <w:lvlJc w:val="left"/>
    </w:lvl>
    <w:lvl w:ilvl="6" w:tplc="6C1CC794">
      <w:numFmt w:val="decimal"/>
      <w:lvlText w:val=""/>
      <w:lvlJc w:val="left"/>
    </w:lvl>
    <w:lvl w:ilvl="7" w:tplc="2BD4CFB6">
      <w:numFmt w:val="decimal"/>
      <w:lvlText w:val=""/>
      <w:lvlJc w:val="left"/>
    </w:lvl>
    <w:lvl w:ilvl="8" w:tplc="347AB1FE">
      <w:numFmt w:val="decimal"/>
      <w:lvlText w:val=""/>
      <w:lvlJc w:val="left"/>
    </w:lvl>
  </w:abstractNum>
  <w:abstractNum w:abstractNumId="1165" w15:restartNumberingAfterBreak="0">
    <w:nsid w:val="58BE36DC"/>
    <w:multiLevelType w:val="hybridMultilevel"/>
    <w:tmpl w:val="BF6C4978"/>
    <w:lvl w:ilvl="0" w:tplc="F3FC8DF0">
      <w:start w:val="1"/>
      <w:numFmt w:val="bullet"/>
      <w:lvlText w:val=""/>
      <w:lvlJc w:val="left"/>
      <w:pPr>
        <w:ind w:left="720" w:hanging="180"/>
      </w:pPr>
      <w:rPr>
        <w:rFonts w:ascii="Symbol" w:hAnsi="Symbol" w:hint="default"/>
      </w:rPr>
    </w:lvl>
    <w:lvl w:ilvl="1" w:tplc="A4E0C972">
      <w:numFmt w:val="decimal"/>
      <w:lvlText w:val=""/>
      <w:lvlJc w:val="left"/>
    </w:lvl>
    <w:lvl w:ilvl="2" w:tplc="ABD805E8">
      <w:numFmt w:val="decimal"/>
      <w:lvlText w:val=""/>
      <w:lvlJc w:val="left"/>
    </w:lvl>
    <w:lvl w:ilvl="3" w:tplc="FB5A5FEC">
      <w:numFmt w:val="decimal"/>
      <w:lvlText w:val=""/>
      <w:lvlJc w:val="left"/>
    </w:lvl>
    <w:lvl w:ilvl="4" w:tplc="49CCAA46">
      <w:numFmt w:val="decimal"/>
      <w:lvlText w:val=""/>
      <w:lvlJc w:val="left"/>
    </w:lvl>
    <w:lvl w:ilvl="5" w:tplc="F06AA228">
      <w:numFmt w:val="decimal"/>
      <w:lvlText w:val=""/>
      <w:lvlJc w:val="left"/>
    </w:lvl>
    <w:lvl w:ilvl="6" w:tplc="5510B9F4">
      <w:numFmt w:val="decimal"/>
      <w:lvlText w:val=""/>
      <w:lvlJc w:val="left"/>
    </w:lvl>
    <w:lvl w:ilvl="7" w:tplc="66868970">
      <w:numFmt w:val="decimal"/>
      <w:lvlText w:val=""/>
      <w:lvlJc w:val="left"/>
    </w:lvl>
    <w:lvl w:ilvl="8" w:tplc="2C729E90">
      <w:numFmt w:val="decimal"/>
      <w:lvlText w:val=""/>
      <w:lvlJc w:val="left"/>
    </w:lvl>
  </w:abstractNum>
  <w:abstractNum w:abstractNumId="1166" w15:restartNumberingAfterBreak="0">
    <w:nsid w:val="58F878AD"/>
    <w:multiLevelType w:val="hybridMultilevel"/>
    <w:tmpl w:val="90D83A92"/>
    <w:lvl w:ilvl="0" w:tplc="42562990">
      <w:start w:val="1"/>
      <w:numFmt w:val="bullet"/>
      <w:lvlText w:val=""/>
      <w:lvlJc w:val="left"/>
      <w:pPr>
        <w:ind w:left="720" w:hanging="180"/>
      </w:pPr>
      <w:rPr>
        <w:rFonts w:ascii="Symbol" w:hAnsi="Symbol" w:hint="default"/>
      </w:rPr>
    </w:lvl>
    <w:lvl w:ilvl="1" w:tplc="CE563730">
      <w:numFmt w:val="decimal"/>
      <w:lvlText w:val=""/>
      <w:lvlJc w:val="left"/>
    </w:lvl>
    <w:lvl w:ilvl="2" w:tplc="A6360254">
      <w:numFmt w:val="decimal"/>
      <w:lvlText w:val=""/>
      <w:lvlJc w:val="left"/>
    </w:lvl>
    <w:lvl w:ilvl="3" w:tplc="C8724C76">
      <w:numFmt w:val="decimal"/>
      <w:lvlText w:val=""/>
      <w:lvlJc w:val="left"/>
    </w:lvl>
    <w:lvl w:ilvl="4" w:tplc="E0E410F4">
      <w:numFmt w:val="decimal"/>
      <w:lvlText w:val=""/>
      <w:lvlJc w:val="left"/>
    </w:lvl>
    <w:lvl w:ilvl="5" w:tplc="C054FA88">
      <w:numFmt w:val="decimal"/>
      <w:lvlText w:val=""/>
      <w:lvlJc w:val="left"/>
    </w:lvl>
    <w:lvl w:ilvl="6" w:tplc="E9668A64">
      <w:numFmt w:val="decimal"/>
      <w:lvlText w:val=""/>
      <w:lvlJc w:val="left"/>
    </w:lvl>
    <w:lvl w:ilvl="7" w:tplc="C908B064">
      <w:numFmt w:val="decimal"/>
      <w:lvlText w:val=""/>
      <w:lvlJc w:val="left"/>
    </w:lvl>
    <w:lvl w:ilvl="8" w:tplc="8D044688">
      <w:numFmt w:val="decimal"/>
      <w:lvlText w:val=""/>
      <w:lvlJc w:val="left"/>
    </w:lvl>
  </w:abstractNum>
  <w:abstractNum w:abstractNumId="1167" w15:restartNumberingAfterBreak="0">
    <w:nsid w:val="593F083F"/>
    <w:multiLevelType w:val="hybridMultilevel"/>
    <w:tmpl w:val="349CD680"/>
    <w:lvl w:ilvl="0" w:tplc="91B67246">
      <w:numFmt w:val="decimal"/>
      <w:lvlText w:val=""/>
      <w:lvlJc w:val="left"/>
    </w:lvl>
    <w:lvl w:ilvl="1" w:tplc="7C94CB58">
      <w:start w:val="1"/>
      <w:numFmt w:val="bullet"/>
      <w:lvlText w:val=""/>
      <w:lvlJc w:val="left"/>
      <w:pPr>
        <w:ind w:left="1440" w:hanging="180"/>
      </w:pPr>
      <w:rPr>
        <w:rFonts w:ascii="Symbol" w:hAnsi="Symbol" w:hint="default"/>
      </w:rPr>
    </w:lvl>
    <w:lvl w:ilvl="2" w:tplc="82BCEEFC">
      <w:numFmt w:val="decimal"/>
      <w:lvlText w:val=""/>
      <w:lvlJc w:val="left"/>
    </w:lvl>
    <w:lvl w:ilvl="3" w:tplc="EFECC540">
      <w:numFmt w:val="decimal"/>
      <w:lvlText w:val=""/>
      <w:lvlJc w:val="left"/>
    </w:lvl>
    <w:lvl w:ilvl="4" w:tplc="AADE7566">
      <w:numFmt w:val="decimal"/>
      <w:lvlText w:val=""/>
      <w:lvlJc w:val="left"/>
    </w:lvl>
    <w:lvl w:ilvl="5" w:tplc="484CE226">
      <w:numFmt w:val="decimal"/>
      <w:lvlText w:val=""/>
      <w:lvlJc w:val="left"/>
    </w:lvl>
    <w:lvl w:ilvl="6" w:tplc="8B687602">
      <w:numFmt w:val="decimal"/>
      <w:lvlText w:val=""/>
      <w:lvlJc w:val="left"/>
    </w:lvl>
    <w:lvl w:ilvl="7" w:tplc="90CEB4AC">
      <w:numFmt w:val="decimal"/>
      <w:lvlText w:val=""/>
      <w:lvlJc w:val="left"/>
    </w:lvl>
    <w:lvl w:ilvl="8" w:tplc="B5806E0E">
      <w:numFmt w:val="decimal"/>
      <w:lvlText w:val=""/>
      <w:lvlJc w:val="left"/>
    </w:lvl>
  </w:abstractNum>
  <w:abstractNum w:abstractNumId="1168" w15:restartNumberingAfterBreak="0">
    <w:nsid w:val="594E4616"/>
    <w:multiLevelType w:val="hybridMultilevel"/>
    <w:tmpl w:val="F7FE804C"/>
    <w:lvl w:ilvl="0" w:tplc="4A38D2EC">
      <w:start w:val="1"/>
      <w:numFmt w:val="bullet"/>
      <w:lvlText w:val=""/>
      <w:lvlJc w:val="left"/>
      <w:pPr>
        <w:ind w:left="720" w:hanging="180"/>
      </w:pPr>
      <w:rPr>
        <w:rFonts w:ascii="Symbol" w:hAnsi="Symbol" w:hint="default"/>
      </w:rPr>
    </w:lvl>
    <w:lvl w:ilvl="1" w:tplc="27AE9D50">
      <w:numFmt w:val="decimal"/>
      <w:lvlText w:val=""/>
      <w:lvlJc w:val="left"/>
    </w:lvl>
    <w:lvl w:ilvl="2" w:tplc="A268D8DA">
      <w:numFmt w:val="decimal"/>
      <w:lvlText w:val=""/>
      <w:lvlJc w:val="left"/>
    </w:lvl>
    <w:lvl w:ilvl="3" w:tplc="9BB27306">
      <w:numFmt w:val="decimal"/>
      <w:lvlText w:val=""/>
      <w:lvlJc w:val="left"/>
    </w:lvl>
    <w:lvl w:ilvl="4" w:tplc="3C563B50">
      <w:numFmt w:val="decimal"/>
      <w:lvlText w:val=""/>
      <w:lvlJc w:val="left"/>
    </w:lvl>
    <w:lvl w:ilvl="5" w:tplc="C366CA32">
      <w:numFmt w:val="decimal"/>
      <w:lvlText w:val=""/>
      <w:lvlJc w:val="left"/>
    </w:lvl>
    <w:lvl w:ilvl="6" w:tplc="9C02605E">
      <w:numFmt w:val="decimal"/>
      <w:lvlText w:val=""/>
      <w:lvlJc w:val="left"/>
    </w:lvl>
    <w:lvl w:ilvl="7" w:tplc="7D886040">
      <w:numFmt w:val="decimal"/>
      <w:lvlText w:val=""/>
      <w:lvlJc w:val="left"/>
    </w:lvl>
    <w:lvl w:ilvl="8" w:tplc="ECECDE88">
      <w:numFmt w:val="decimal"/>
      <w:lvlText w:val=""/>
      <w:lvlJc w:val="left"/>
    </w:lvl>
  </w:abstractNum>
  <w:abstractNum w:abstractNumId="1169" w15:restartNumberingAfterBreak="0">
    <w:nsid w:val="596F4CDD"/>
    <w:multiLevelType w:val="hybridMultilevel"/>
    <w:tmpl w:val="DA48BF54"/>
    <w:lvl w:ilvl="0" w:tplc="7A546C14">
      <w:start w:val="1"/>
      <w:numFmt w:val="bullet"/>
      <w:lvlText w:val=""/>
      <w:lvlJc w:val="left"/>
      <w:pPr>
        <w:ind w:left="720" w:hanging="180"/>
      </w:pPr>
      <w:rPr>
        <w:rFonts w:ascii="Symbol" w:hAnsi="Symbol" w:hint="default"/>
      </w:rPr>
    </w:lvl>
    <w:lvl w:ilvl="1" w:tplc="A54E3D26">
      <w:numFmt w:val="decimal"/>
      <w:lvlText w:val=""/>
      <w:lvlJc w:val="left"/>
    </w:lvl>
    <w:lvl w:ilvl="2" w:tplc="69BCC16E">
      <w:numFmt w:val="decimal"/>
      <w:lvlText w:val=""/>
      <w:lvlJc w:val="left"/>
    </w:lvl>
    <w:lvl w:ilvl="3" w:tplc="5498AACE">
      <w:numFmt w:val="decimal"/>
      <w:lvlText w:val=""/>
      <w:lvlJc w:val="left"/>
    </w:lvl>
    <w:lvl w:ilvl="4" w:tplc="0DFE362A">
      <w:numFmt w:val="decimal"/>
      <w:lvlText w:val=""/>
      <w:lvlJc w:val="left"/>
    </w:lvl>
    <w:lvl w:ilvl="5" w:tplc="5C10521A">
      <w:numFmt w:val="decimal"/>
      <w:lvlText w:val=""/>
      <w:lvlJc w:val="left"/>
    </w:lvl>
    <w:lvl w:ilvl="6" w:tplc="426693D0">
      <w:numFmt w:val="decimal"/>
      <w:lvlText w:val=""/>
      <w:lvlJc w:val="left"/>
    </w:lvl>
    <w:lvl w:ilvl="7" w:tplc="40403000">
      <w:numFmt w:val="decimal"/>
      <w:lvlText w:val=""/>
      <w:lvlJc w:val="left"/>
    </w:lvl>
    <w:lvl w:ilvl="8" w:tplc="E166CB32">
      <w:numFmt w:val="decimal"/>
      <w:lvlText w:val=""/>
      <w:lvlJc w:val="left"/>
    </w:lvl>
  </w:abstractNum>
  <w:abstractNum w:abstractNumId="1170" w15:restartNumberingAfterBreak="0">
    <w:nsid w:val="59816255"/>
    <w:multiLevelType w:val="hybridMultilevel"/>
    <w:tmpl w:val="51A803B2"/>
    <w:lvl w:ilvl="0" w:tplc="41DAD836">
      <w:start w:val="1"/>
      <w:numFmt w:val="bullet"/>
      <w:lvlText w:val=""/>
      <w:lvlJc w:val="left"/>
      <w:pPr>
        <w:ind w:left="720" w:hanging="180"/>
      </w:pPr>
      <w:rPr>
        <w:rFonts w:ascii="Symbol" w:hAnsi="Symbol" w:hint="default"/>
      </w:rPr>
    </w:lvl>
    <w:lvl w:ilvl="1" w:tplc="2244F1F4">
      <w:numFmt w:val="decimal"/>
      <w:lvlText w:val=""/>
      <w:lvlJc w:val="left"/>
    </w:lvl>
    <w:lvl w:ilvl="2" w:tplc="A96E4CAA">
      <w:numFmt w:val="decimal"/>
      <w:lvlText w:val=""/>
      <w:lvlJc w:val="left"/>
    </w:lvl>
    <w:lvl w:ilvl="3" w:tplc="773C9BA2">
      <w:numFmt w:val="decimal"/>
      <w:lvlText w:val=""/>
      <w:lvlJc w:val="left"/>
    </w:lvl>
    <w:lvl w:ilvl="4" w:tplc="3F726568">
      <w:numFmt w:val="decimal"/>
      <w:lvlText w:val=""/>
      <w:lvlJc w:val="left"/>
    </w:lvl>
    <w:lvl w:ilvl="5" w:tplc="E58A5B76">
      <w:numFmt w:val="decimal"/>
      <w:lvlText w:val=""/>
      <w:lvlJc w:val="left"/>
    </w:lvl>
    <w:lvl w:ilvl="6" w:tplc="2B92E744">
      <w:numFmt w:val="decimal"/>
      <w:lvlText w:val=""/>
      <w:lvlJc w:val="left"/>
    </w:lvl>
    <w:lvl w:ilvl="7" w:tplc="B94AFCD2">
      <w:numFmt w:val="decimal"/>
      <w:lvlText w:val=""/>
      <w:lvlJc w:val="left"/>
    </w:lvl>
    <w:lvl w:ilvl="8" w:tplc="C5B0A5FE">
      <w:numFmt w:val="decimal"/>
      <w:lvlText w:val=""/>
      <w:lvlJc w:val="left"/>
    </w:lvl>
  </w:abstractNum>
  <w:abstractNum w:abstractNumId="1171" w15:restartNumberingAfterBreak="0">
    <w:nsid w:val="59A711C0"/>
    <w:multiLevelType w:val="hybridMultilevel"/>
    <w:tmpl w:val="4B64A34E"/>
    <w:lvl w:ilvl="0" w:tplc="79B0B3F6">
      <w:start w:val="1"/>
      <w:numFmt w:val="bullet"/>
      <w:lvlText w:val=""/>
      <w:lvlJc w:val="left"/>
      <w:pPr>
        <w:ind w:left="720" w:hanging="180"/>
      </w:pPr>
      <w:rPr>
        <w:rFonts w:ascii="Symbol" w:hAnsi="Symbol" w:hint="default"/>
      </w:rPr>
    </w:lvl>
    <w:lvl w:ilvl="1" w:tplc="8EA83192">
      <w:numFmt w:val="decimal"/>
      <w:lvlText w:val=""/>
      <w:lvlJc w:val="left"/>
    </w:lvl>
    <w:lvl w:ilvl="2" w:tplc="07E2C326">
      <w:numFmt w:val="decimal"/>
      <w:lvlText w:val=""/>
      <w:lvlJc w:val="left"/>
    </w:lvl>
    <w:lvl w:ilvl="3" w:tplc="1EDAD2CE">
      <w:numFmt w:val="decimal"/>
      <w:lvlText w:val=""/>
      <w:lvlJc w:val="left"/>
    </w:lvl>
    <w:lvl w:ilvl="4" w:tplc="ADFC2E36">
      <w:numFmt w:val="decimal"/>
      <w:lvlText w:val=""/>
      <w:lvlJc w:val="left"/>
    </w:lvl>
    <w:lvl w:ilvl="5" w:tplc="1B4EFBCA">
      <w:numFmt w:val="decimal"/>
      <w:lvlText w:val=""/>
      <w:lvlJc w:val="left"/>
    </w:lvl>
    <w:lvl w:ilvl="6" w:tplc="13FE7288">
      <w:numFmt w:val="decimal"/>
      <w:lvlText w:val=""/>
      <w:lvlJc w:val="left"/>
    </w:lvl>
    <w:lvl w:ilvl="7" w:tplc="6A408894">
      <w:numFmt w:val="decimal"/>
      <w:lvlText w:val=""/>
      <w:lvlJc w:val="left"/>
    </w:lvl>
    <w:lvl w:ilvl="8" w:tplc="4156F410">
      <w:numFmt w:val="decimal"/>
      <w:lvlText w:val=""/>
      <w:lvlJc w:val="left"/>
    </w:lvl>
  </w:abstractNum>
  <w:abstractNum w:abstractNumId="1172" w15:restartNumberingAfterBreak="0">
    <w:nsid w:val="59D21027"/>
    <w:multiLevelType w:val="hybridMultilevel"/>
    <w:tmpl w:val="A1B07EDC"/>
    <w:lvl w:ilvl="0" w:tplc="570A7144">
      <w:start w:val="1"/>
      <w:numFmt w:val="bullet"/>
      <w:lvlText w:val=""/>
      <w:lvlJc w:val="left"/>
      <w:pPr>
        <w:ind w:left="720" w:hanging="180"/>
      </w:pPr>
      <w:rPr>
        <w:rFonts w:ascii="Symbol" w:hAnsi="Symbol" w:hint="default"/>
      </w:rPr>
    </w:lvl>
    <w:lvl w:ilvl="1" w:tplc="ACACEEA6">
      <w:numFmt w:val="decimal"/>
      <w:lvlText w:val=""/>
      <w:lvlJc w:val="left"/>
    </w:lvl>
    <w:lvl w:ilvl="2" w:tplc="F10E3126">
      <w:numFmt w:val="decimal"/>
      <w:lvlText w:val=""/>
      <w:lvlJc w:val="left"/>
    </w:lvl>
    <w:lvl w:ilvl="3" w:tplc="CE2E5808">
      <w:numFmt w:val="decimal"/>
      <w:lvlText w:val=""/>
      <w:lvlJc w:val="left"/>
    </w:lvl>
    <w:lvl w:ilvl="4" w:tplc="96665830">
      <w:numFmt w:val="decimal"/>
      <w:lvlText w:val=""/>
      <w:lvlJc w:val="left"/>
    </w:lvl>
    <w:lvl w:ilvl="5" w:tplc="A1BE8844">
      <w:numFmt w:val="decimal"/>
      <w:lvlText w:val=""/>
      <w:lvlJc w:val="left"/>
    </w:lvl>
    <w:lvl w:ilvl="6" w:tplc="1820EF66">
      <w:numFmt w:val="decimal"/>
      <w:lvlText w:val=""/>
      <w:lvlJc w:val="left"/>
    </w:lvl>
    <w:lvl w:ilvl="7" w:tplc="AD66992A">
      <w:numFmt w:val="decimal"/>
      <w:lvlText w:val=""/>
      <w:lvlJc w:val="left"/>
    </w:lvl>
    <w:lvl w:ilvl="8" w:tplc="765C261C">
      <w:numFmt w:val="decimal"/>
      <w:lvlText w:val=""/>
      <w:lvlJc w:val="left"/>
    </w:lvl>
  </w:abstractNum>
  <w:abstractNum w:abstractNumId="1173" w15:restartNumberingAfterBreak="0">
    <w:nsid w:val="59F83EB4"/>
    <w:multiLevelType w:val="hybridMultilevel"/>
    <w:tmpl w:val="93383CF0"/>
    <w:lvl w:ilvl="0" w:tplc="3CE2F45E">
      <w:start w:val="1"/>
      <w:numFmt w:val="bullet"/>
      <w:lvlText w:val=""/>
      <w:lvlJc w:val="left"/>
      <w:pPr>
        <w:ind w:left="720" w:hanging="180"/>
      </w:pPr>
      <w:rPr>
        <w:rFonts w:ascii="Symbol" w:hAnsi="Symbol" w:hint="default"/>
      </w:rPr>
    </w:lvl>
    <w:lvl w:ilvl="1" w:tplc="6AD251E2">
      <w:numFmt w:val="decimal"/>
      <w:lvlText w:val=""/>
      <w:lvlJc w:val="left"/>
    </w:lvl>
    <w:lvl w:ilvl="2" w:tplc="DEBA1534">
      <w:numFmt w:val="decimal"/>
      <w:lvlText w:val=""/>
      <w:lvlJc w:val="left"/>
    </w:lvl>
    <w:lvl w:ilvl="3" w:tplc="BB9A7C9C">
      <w:numFmt w:val="decimal"/>
      <w:lvlText w:val=""/>
      <w:lvlJc w:val="left"/>
    </w:lvl>
    <w:lvl w:ilvl="4" w:tplc="CB74B0A0">
      <w:numFmt w:val="decimal"/>
      <w:lvlText w:val=""/>
      <w:lvlJc w:val="left"/>
    </w:lvl>
    <w:lvl w:ilvl="5" w:tplc="875E9504">
      <w:numFmt w:val="decimal"/>
      <w:lvlText w:val=""/>
      <w:lvlJc w:val="left"/>
    </w:lvl>
    <w:lvl w:ilvl="6" w:tplc="5AAAA582">
      <w:numFmt w:val="decimal"/>
      <w:lvlText w:val=""/>
      <w:lvlJc w:val="left"/>
    </w:lvl>
    <w:lvl w:ilvl="7" w:tplc="F872CF74">
      <w:numFmt w:val="decimal"/>
      <w:lvlText w:val=""/>
      <w:lvlJc w:val="left"/>
    </w:lvl>
    <w:lvl w:ilvl="8" w:tplc="546E86A4">
      <w:numFmt w:val="decimal"/>
      <w:lvlText w:val=""/>
      <w:lvlJc w:val="left"/>
    </w:lvl>
  </w:abstractNum>
  <w:abstractNum w:abstractNumId="1174" w15:restartNumberingAfterBreak="0">
    <w:nsid w:val="5A0B1308"/>
    <w:multiLevelType w:val="hybridMultilevel"/>
    <w:tmpl w:val="BDB6A408"/>
    <w:lvl w:ilvl="0" w:tplc="5BB251CC">
      <w:start w:val="1"/>
      <w:numFmt w:val="bullet"/>
      <w:lvlText w:val=""/>
      <w:lvlJc w:val="left"/>
      <w:pPr>
        <w:ind w:left="720" w:hanging="180"/>
      </w:pPr>
      <w:rPr>
        <w:rFonts w:ascii="Symbol" w:hAnsi="Symbol" w:hint="default"/>
      </w:rPr>
    </w:lvl>
    <w:lvl w:ilvl="1" w:tplc="66424A9A">
      <w:numFmt w:val="decimal"/>
      <w:lvlText w:val=""/>
      <w:lvlJc w:val="left"/>
    </w:lvl>
    <w:lvl w:ilvl="2" w:tplc="7BA4DA68">
      <w:numFmt w:val="decimal"/>
      <w:lvlText w:val=""/>
      <w:lvlJc w:val="left"/>
    </w:lvl>
    <w:lvl w:ilvl="3" w:tplc="82264B1A">
      <w:numFmt w:val="decimal"/>
      <w:lvlText w:val=""/>
      <w:lvlJc w:val="left"/>
    </w:lvl>
    <w:lvl w:ilvl="4" w:tplc="ADD44C42">
      <w:numFmt w:val="decimal"/>
      <w:lvlText w:val=""/>
      <w:lvlJc w:val="left"/>
    </w:lvl>
    <w:lvl w:ilvl="5" w:tplc="D6B0B5B6">
      <w:numFmt w:val="decimal"/>
      <w:lvlText w:val=""/>
      <w:lvlJc w:val="left"/>
    </w:lvl>
    <w:lvl w:ilvl="6" w:tplc="AF3AD2C6">
      <w:numFmt w:val="decimal"/>
      <w:lvlText w:val=""/>
      <w:lvlJc w:val="left"/>
    </w:lvl>
    <w:lvl w:ilvl="7" w:tplc="85CA02A2">
      <w:numFmt w:val="decimal"/>
      <w:lvlText w:val=""/>
      <w:lvlJc w:val="left"/>
    </w:lvl>
    <w:lvl w:ilvl="8" w:tplc="451CB652">
      <w:numFmt w:val="decimal"/>
      <w:lvlText w:val=""/>
      <w:lvlJc w:val="left"/>
    </w:lvl>
  </w:abstractNum>
  <w:abstractNum w:abstractNumId="1175" w15:restartNumberingAfterBreak="0">
    <w:nsid w:val="5A0E23EE"/>
    <w:multiLevelType w:val="hybridMultilevel"/>
    <w:tmpl w:val="303CDB94"/>
    <w:lvl w:ilvl="0" w:tplc="7938DFC0">
      <w:start w:val="1"/>
      <w:numFmt w:val="bullet"/>
      <w:lvlText w:val=""/>
      <w:lvlJc w:val="left"/>
      <w:pPr>
        <w:ind w:left="720" w:hanging="180"/>
      </w:pPr>
      <w:rPr>
        <w:rFonts w:ascii="Symbol" w:hAnsi="Symbol" w:hint="default"/>
      </w:rPr>
    </w:lvl>
    <w:lvl w:ilvl="1" w:tplc="7AC2C646">
      <w:numFmt w:val="decimal"/>
      <w:lvlText w:val=""/>
      <w:lvlJc w:val="left"/>
    </w:lvl>
    <w:lvl w:ilvl="2" w:tplc="FF0E4038">
      <w:numFmt w:val="decimal"/>
      <w:lvlText w:val=""/>
      <w:lvlJc w:val="left"/>
    </w:lvl>
    <w:lvl w:ilvl="3" w:tplc="07E88CFE">
      <w:numFmt w:val="decimal"/>
      <w:lvlText w:val=""/>
      <w:lvlJc w:val="left"/>
    </w:lvl>
    <w:lvl w:ilvl="4" w:tplc="78AAB558">
      <w:numFmt w:val="decimal"/>
      <w:lvlText w:val=""/>
      <w:lvlJc w:val="left"/>
    </w:lvl>
    <w:lvl w:ilvl="5" w:tplc="9C90E934">
      <w:numFmt w:val="decimal"/>
      <w:lvlText w:val=""/>
      <w:lvlJc w:val="left"/>
    </w:lvl>
    <w:lvl w:ilvl="6" w:tplc="1BE8DF54">
      <w:numFmt w:val="decimal"/>
      <w:lvlText w:val=""/>
      <w:lvlJc w:val="left"/>
    </w:lvl>
    <w:lvl w:ilvl="7" w:tplc="298ADDE0">
      <w:numFmt w:val="decimal"/>
      <w:lvlText w:val=""/>
      <w:lvlJc w:val="left"/>
    </w:lvl>
    <w:lvl w:ilvl="8" w:tplc="88C21668">
      <w:numFmt w:val="decimal"/>
      <w:lvlText w:val=""/>
      <w:lvlJc w:val="left"/>
    </w:lvl>
  </w:abstractNum>
  <w:abstractNum w:abstractNumId="1176" w15:restartNumberingAfterBreak="0">
    <w:nsid w:val="5A1D50C2"/>
    <w:multiLevelType w:val="hybridMultilevel"/>
    <w:tmpl w:val="AF12D15C"/>
    <w:lvl w:ilvl="0" w:tplc="60306F12">
      <w:start w:val="1"/>
      <w:numFmt w:val="bullet"/>
      <w:lvlText w:val=""/>
      <w:lvlJc w:val="left"/>
      <w:pPr>
        <w:ind w:left="720" w:hanging="180"/>
      </w:pPr>
      <w:rPr>
        <w:rFonts w:ascii="Symbol" w:hAnsi="Symbol" w:hint="default"/>
      </w:rPr>
    </w:lvl>
    <w:lvl w:ilvl="1" w:tplc="6AA829B4">
      <w:numFmt w:val="decimal"/>
      <w:lvlText w:val=""/>
      <w:lvlJc w:val="left"/>
    </w:lvl>
    <w:lvl w:ilvl="2" w:tplc="638C468A">
      <w:numFmt w:val="decimal"/>
      <w:lvlText w:val=""/>
      <w:lvlJc w:val="left"/>
    </w:lvl>
    <w:lvl w:ilvl="3" w:tplc="6B6C8780">
      <w:numFmt w:val="decimal"/>
      <w:lvlText w:val=""/>
      <w:lvlJc w:val="left"/>
    </w:lvl>
    <w:lvl w:ilvl="4" w:tplc="BBC64F0A">
      <w:numFmt w:val="decimal"/>
      <w:lvlText w:val=""/>
      <w:lvlJc w:val="left"/>
    </w:lvl>
    <w:lvl w:ilvl="5" w:tplc="94C25314">
      <w:numFmt w:val="decimal"/>
      <w:lvlText w:val=""/>
      <w:lvlJc w:val="left"/>
    </w:lvl>
    <w:lvl w:ilvl="6" w:tplc="AC664C26">
      <w:numFmt w:val="decimal"/>
      <w:lvlText w:val=""/>
      <w:lvlJc w:val="left"/>
    </w:lvl>
    <w:lvl w:ilvl="7" w:tplc="A608F66C">
      <w:numFmt w:val="decimal"/>
      <w:lvlText w:val=""/>
      <w:lvlJc w:val="left"/>
    </w:lvl>
    <w:lvl w:ilvl="8" w:tplc="3960A862">
      <w:numFmt w:val="decimal"/>
      <w:lvlText w:val=""/>
      <w:lvlJc w:val="left"/>
    </w:lvl>
  </w:abstractNum>
  <w:abstractNum w:abstractNumId="1177" w15:restartNumberingAfterBreak="0">
    <w:nsid w:val="5A1E6DB3"/>
    <w:multiLevelType w:val="hybridMultilevel"/>
    <w:tmpl w:val="5874C73C"/>
    <w:lvl w:ilvl="0" w:tplc="FE48B6BC">
      <w:start w:val="1"/>
      <w:numFmt w:val="bullet"/>
      <w:lvlText w:val=""/>
      <w:lvlJc w:val="left"/>
      <w:pPr>
        <w:ind w:left="720" w:hanging="180"/>
      </w:pPr>
      <w:rPr>
        <w:rFonts w:ascii="Symbol" w:hAnsi="Symbol" w:hint="default"/>
      </w:rPr>
    </w:lvl>
    <w:lvl w:ilvl="1" w:tplc="E842F1B2">
      <w:numFmt w:val="decimal"/>
      <w:lvlText w:val=""/>
      <w:lvlJc w:val="left"/>
    </w:lvl>
    <w:lvl w:ilvl="2" w:tplc="CFAEE482">
      <w:numFmt w:val="decimal"/>
      <w:lvlText w:val=""/>
      <w:lvlJc w:val="left"/>
    </w:lvl>
    <w:lvl w:ilvl="3" w:tplc="E34695EC">
      <w:numFmt w:val="decimal"/>
      <w:lvlText w:val=""/>
      <w:lvlJc w:val="left"/>
    </w:lvl>
    <w:lvl w:ilvl="4" w:tplc="131C98FA">
      <w:numFmt w:val="decimal"/>
      <w:lvlText w:val=""/>
      <w:lvlJc w:val="left"/>
    </w:lvl>
    <w:lvl w:ilvl="5" w:tplc="279E1DAA">
      <w:numFmt w:val="decimal"/>
      <w:lvlText w:val=""/>
      <w:lvlJc w:val="left"/>
    </w:lvl>
    <w:lvl w:ilvl="6" w:tplc="6E88E3B2">
      <w:numFmt w:val="decimal"/>
      <w:lvlText w:val=""/>
      <w:lvlJc w:val="left"/>
    </w:lvl>
    <w:lvl w:ilvl="7" w:tplc="AD16B5DA">
      <w:numFmt w:val="decimal"/>
      <w:lvlText w:val=""/>
      <w:lvlJc w:val="left"/>
    </w:lvl>
    <w:lvl w:ilvl="8" w:tplc="1B9EC560">
      <w:numFmt w:val="decimal"/>
      <w:lvlText w:val=""/>
      <w:lvlJc w:val="left"/>
    </w:lvl>
  </w:abstractNum>
  <w:abstractNum w:abstractNumId="1178" w15:restartNumberingAfterBreak="0">
    <w:nsid w:val="5A2E61B9"/>
    <w:multiLevelType w:val="hybridMultilevel"/>
    <w:tmpl w:val="8E1C6B5A"/>
    <w:lvl w:ilvl="0" w:tplc="FB64DF4C">
      <w:start w:val="1"/>
      <w:numFmt w:val="bullet"/>
      <w:lvlText w:val=""/>
      <w:lvlJc w:val="left"/>
      <w:pPr>
        <w:ind w:left="720" w:hanging="180"/>
      </w:pPr>
      <w:rPr>
        <w:rFonts w:ascii="Symbol" w:hAnsi="Symbol" w:hint="default"/>
      </w:rPr>
    </w:lvl>
    <w:lvl w:ilvl="1" w:tplc="17BCFD74">
      <w:numFmt w:val="decimal"/>
      <w:lvlText w:val=""/>
      <w:lvlJc w:val="left"/>
    </w:lvl>
    <w:lvl w:ilvl="2" w:tplc="14D6A73A">
      <w:numFmt w:val="decimal"/>
      <w:lvlText w:val=""/>
      <w:lvlJc w:val="left"/>
    </w:lvl>
    <w:lvl w:ilvl="3" w:tplc="0E5E7202">
      <w:numFmt w:val="decimal"/>
      <w:lvlText w:val=""/>
      <w:lvlJc w:val="left"/>
    </w:lvl>
    <w:lvl w:ilvl="4" w:tplc="25465EDE">
      <w:numFmt w:val="decimal"/>
      <w:lvlText w:val=""/>
      <w:lvlJc w:val="left"/>
    </w:lvl>
    <w:lvl w:ilvl="5" w:tplc="0908E84C">
      <w:numFmt w:val="decimal"/>
      <w:lvlText w:val=""/>
      <w:lvlJc w:val="left"/>
    </w:lvl>
    <w:lvl w:ilvl="6" w:tplc="6EF2BF62">
      <w:numFmt w:val="decimal"/>
      <w:lvlText w:val=""/>
      <w:lvlJc w:val="left"/>
    </w:lvl>
    <w:lvl w:ilvl="7" w:tplc="A19EBE90">
      <w:numFmt w:val="decimal"/>
      <w:lvlText w:val=""/>
      <w:lvlJc w:val="left"/>
    </w:lvl>
    <w:lvl w:ilvl="8" w:tplc="48CAD6FA">
      <w:numFmt w:val="decimal"/>
      <w:lvlText w:val=""/>
      <w:lvlJc w:val="left"/>
    </w:lvl>
  </w:abstractNum>
  <w:abstractNum w:abstractNumId="1179" w15:restartNumberingAfterBreak="0">
    <w:nsid w:val="5A6055FB"/>
    <w:multiLevelType w:val="hybridMultilevel"/>
    <w:tmpl w:val="8C10E738"/>
    <w:lvl w:ilvl="0" w:tplc="FA0639DA">
      <w:start w:val="1"/>
      <w:numFmt w:val="bullet"/>
      <w:lvlText w:val=""/>
      <w:lvlJc w:val="left"/>
      <w:pPr>
        <w:ind w:left="720" w:hanging="180"/>
      </w:pPr>
      <w:rPr>
        <w:rFonts w:ascii="Symbol" w:hAnsi="Symbol" w:hint="default"/>
      </w:rPr>
    </w:lvl>
    <w:lvl w:ilvl="1" w:tplc="BB8ECA72">
      <w:numFmt w:val="decimal"/>
      <w:lvlText w:val=""/>
      <w:lvlJc w:val="left"/>
    </w:lvl>
    <w:lvl w:ilvl="2" w:tplc="3262627C">
      <w:numFmt w:val="decimal"/>
      <w:lvlText w:val=""/>
      <w:lvlJc w:val="left"/>
    </w:lvl>
    <w:lvl w:ilvl="3" w:tplc="B1BAB87E">
      <w:numFmt w:val="decimal"/>
      <w:lvlText w:val=""/>
      <w:lvlJc w:val="left"/>
    </w:lvl>
    <w:lvl w:ilvl="4" w:tplc="611E2278">
      <w:numFmt w:val="decimal"/>
      <w:lvlText w:val=""/>
      <w:lvlJc w:val="left"/>
    </w:lvl>
    <w:lvl w:ilvl="5" w:tplc="D6226B74">
      <w:numFmt w:val="decimal"/>
      <w:lvlText w:val=""/>
      <w:lvlJc w:val="left"/>
    </w:lvl>
    <w:lvl w:ilvl="6" w:tplc="AC5A9D50">
      <w:numFmt w:val="decimal"/>
      <w:lvlText w:val=""/>
      <w:lvlJc w:val="left"/>
    </w:lvl>
    <w:lvl w:ilvl="7" w:tplc="7A58FDD2">
      <w:numFmt w:val="decimal"/>
      <w:lvlText w:val=""/>
      <w:lvlJc w:val="left"/>
    </w:lvl>
    <w:lvl w:ilvl="8" w:tplc="11E8513C">
      <w:numFmt w:val="decimal"/>
      <w:lvlText w:val=""/>
      <w:lvlJc w:val="left"/>
    </w:lvl>
  </w:abstractNum>
  <w:abstractNum w:abstractNumId="1180" w15:restartNumberingAfterBreak="0">
    <w:nsid w:val="5A744C1A"/>
    <w:multiLevelType w:val="hybridMultilevel"/>
    <w:tmpl w:val="AE72CE8E"/>
    <w:lvl w:ilvl="0" w:tplc="C8001DE4">
      <w:start w:val="1"/>
      <w:numFmt w:val="bullet"/>
      <w:lvlText w:val=""/>
      <w:lvlJc w:val="left"/>
      <w:pPr>
        <w:ind w:left="720" w:hanging="180"/>
      </w:pPr>
      <w:rPr>
        <w:rFonts w:ascii="Symbol" w:hAnsi="Symbol" w:hint="default"/>
      </w:rPr>
    </w:lvl>
    <w:lvl w:ilvl="1" w:tplc="14DC99F0">
      <w:numFmt w:val="decimal"/>
      <w:lvlText w:val=""/>
      <w:lvlJc w:val="left"/>
    </w:lvl>
    <w:lvl w:ilvl="2" w:tplc="18421A7C">
      <w:numFmt w:val="decimal"/>
      <w:lvlText w:val=""/>
      <w:lvlJc w:val="left"/>
    </w:lvl>
    <w:lvl w:ilvl="3" w:tplc="6D98EC80">
      <w:numFmt w:val="decimal"/>
      <w:lvlText w:val=""/>
      <w:lvlJc w:val="left"/>
    </w:lvl>
    <w:lvl w:ilvl="4" w:tplc="6F6632E2">
      <w:numFmt w:val="decimal"/>
      <w:lvlText w:val=""/>
      <w:lvlJc w:val="left"/>
    </w:lvl>
    <w:lvl w:ilvl="5" w:tplc="8EA24CEA">
      <w:numFmt w:val="decimal"/>
      <w:lvlText w:val=""/>
      <w:lvlJc w:val="left"/>
    </w:lvl>
    <w:lvl w:ilvl="6" w:tplc="FB0ED78C">
      <w:numFmt w:val="decimal"/>
      <w:lvlText w:val=""/>
      <w:lvlJc w:val="left"/>
    </w:lvl>
    <w:lvl w:ilvl="7" w:tplc="AFD648B2">
      <w:numFmt w:val="decimal"/>
      <w:lvlText w:val=""/>
      <w:lvlJc w:val="left"/>
    </w:lvl>
    <w:lvl w:ilvl="8" w:tplc="327E6828">
      <w:numFmt w:val="decimal"/>
      <w:lvlText w:val=""/>
      <w:lvlJc w:val="left"/>
    </w:lvl>
  </w:abstractNum>
  <w:abstractNum w:abstractNumId="1181" w15:restartNumberingAfterBreak="0">
    <w:nsid w:val="5A9A14C3"/>
    <w:multiLevelType w:val="hybridMultilevel"/>
    <w:tmpl w:val="51E8A712"/>
    <w:lvl w:ilvl="0" w:tplc="E2DA52EA">
      <w:start w:val="1"/>
      <w:numFmt w:val="bullet"/>
      <w:lvlText w:val=""/>
      <w:lvlJc w:val="left"/>
      <w:pPr>
        <w:ind w:left="720" w:hanging="180"/>
      </w:pPr>
      <w:rPr>
        <w:rFonts w:ascii="Symbol" w:hAnsi="Symbol" w:hint="default"/>
      </w:rPr>
    </w:lvl>
    <w:lvl w:ilvl="1" w:tplc="3968D0F4">
      <w:numFmt w:val="decimal"/>
      <w:lvlText w:val=""/>
      <w:lvlJc w:val="left"/>
    </w:lvl>
    <w:lvl w:ilvl="2" w:tplc="D39C9A0C">
      <w:numFmt w:val="decimal"/>
      <w:lvlText w:val=""/>
      <w:lvlJc w:val="left"/>
    </w:lvl>
    <w:lvl w:ilvl="3" w:tplc="50D2F282">
      <w:numFmt w:val="decimal"/>
      <w:lvlText w:val=""/>
      <w:lvlJc w:val="left"/>
    </w:lvl>
    <w:lvl w:ilvl="4" w:tplc="1F926582">
      <w:numFmt w:val="decimal"/>
      <w:lvlText w:val=""/>
      <w:lvlJc w:val="left"/>
    </w:lvl>
    <w:lvl w:ilvl="5" w:tplc="BD341CB6">
      <w:numFmt w:val="decimal"/>
      <w:lvlText w:val=""/>
      <w:lvlJc w:val="left"/>
    </w:lvl>
    <w:lvl w:ilvl="6" w:tplc="B22A6E66">
      <w:numFmt w:val="decimal"/>
      <w:lvlText w:val=""/>
      <w:lvlJc w:val="left"/>
    </w:lvl>
    <w:lvl w:ilvl="7" w:tplc="9E686536">
      <w:numFmt w:val="decimal"/>
      <w:lvlText w:val=""/>
      <w:lvlJc w:val="left"/>
    </w:lvl>
    <w:lvl w:ilvl="8" w:tplc="2B0E0738">
      <w:numFmt w:val="decimal"/>
      <w:lvlText w:val=""/>
      <w:lvlJc w:val="left"/>
    </w:lvl>
  </w:abstractNum>
  <w:abstractNum w:abstractNumId="1182" w15:restartNumberingAfterBreak="0">
    <w:nsid w:val="5A9A1AF4"/>
    <w:multiLevelType w:val="hybridMultilevel"/>
    <w:tmpl w:val="7C7C2826"/>
    <w:lvl w:ilvl="0" w:tplc="7EFE7814">
      <w:start w:val="1"/>
      <w:numFmt w:val="bullet"/>
      <w:lvlText w:val=""/>
      <w:lvlJc w:val="left"/>
      <w:pPr>
        <w:ind w:left="720" w:hanging="180"/>
      </w:pPr>
      <w:rPr>
        <w:rFonts w:ascii="Symbol" w:hAnsi="Symbol" w:hint="default"/>
      </w:rPr>
    </w:lvl>
    <w:lvl w:ilvl="1" w:tplc="26F87CE2">
      <w:numFmt w:val="decimal"/>
      <w:lvlText w:val=""/>
      <w:lvlJc w:val="left"/>
    </w:lvl>
    <w:lvl w:ilvl="2" w:tplc="6F048B46">
      <w:numFmt w:val="decimal"/>
      <w:lvlText w:val=""/>
      <w:lvlJc w:val="left"/>
    </w:lvl>
    <w:lvl w:ilvl="3" w:tplc="6F3EFA6E">
      <w:numFmt w:val="decimal"/>
      <w:lvlText w:val=""/>
      <w:lvlJc w:val="left"/>
    </w:lvl>
    <w:lvl w:ilvl="4" w:tplc="DCAEC346">
      <w:numFmt w:val="decimal"/>
      <w:lvlText w:val=""/>
      <w:lvlJc w:val="left"/>
    </w:lvl>
    <w:lvl w:ilvl="5" w:tplc="F0848E90">
      <w:numFmt w:val="decimal"/>
      <w:lvlText w:val=""/>
      <w:lvlJc w:val="left"/>
    </w:lvl>
    <w:lvl w:ilvl="6" w:tplc="9DB48FE8">
      <w:numFmt w:val="decimal"/>
      <w:lvlText w:val=""/>
      <w:lvlJc w:val="left"/>
    </w:lvl>
    <w:lvl w:ilvl="7" w:tplc="4A7278E8">
      <w:numFmt w:val="decimal"/>
      <w:lvlText w:val=""/>
      <w:lvlJc w:val="left"/>
    </w:lvl>
    <w:lvl w:ilvl="8" w:tplc="C13A56F6">
      <w:numFmt w:val="decimal"/>
      <w:lvlText w:val=""/>
      <w:lvlJc w:val="left"/>
    </w:lvl>
  </w:abstractNum>
  <w:abstractNum w:abstractNumId="1183" w15:restartNumberingAfterBreak="0">
    <w:nsid w:val="5AB76D63"/>
    <w:multiLevelType w:val="hybridMultilevel"/>
    <w:tmpl w:val="6DDAD0F0"/>
    <w:lvl w:ilvl="0" w:tplc="1534A970">
      <w:start w:val="1"/>
      <w:numFmt w:val="bullet"/>
      <w:lvlText w:val=""/>
      <w:lvlJc w:val="left"/>
      <w:pPr>
        <w:ind w:left="720" w:hanging="180"/>
      </w:pPr>
      <w:rPr>
        <w:rFonts w:ascii="Symbol" w:hAnsi="Symbol" w:hint="default"/>
      </w:rPr>
    </w:lvl>
    <w:lvl w:ilvl="1" w:tplc="BF76A244">
      <w:numFmt w:val="decimal"/>
      <w:lvlText w:val=""/>
      <w:lvlJc w:val="left"/>
    </w:lvl>
    <w:lvl w:ilvl="2" w:tplc="841E0C54">
      <w:numFmt w:val="decimal"/>
      <w:lvlText w:val=""/>
      <w:lvlJc w:val="left"/>
    </w:lvl>
    <w:lvl w:ilvl="3" w:tplc="2E9473F2">
      <w:numFmt w:val="decimal"/>
      <w:lvlText w:val=""/>
      <w:lvlJc w:val="left"/>
    </w:lvl>
    <w:lvl w:ilvl="4" w:tplc="A2FAF4DC">
      <w:numFmt w:val="decimal"/>
      <w:lvlText w:val=""/>
      <w:lvlJc w:val="left"/>
    </w:lvl>
    <w:lvl w:ilvl="5" w:tplc="32A42BEE">
      <w:numFmt w:val="decimal"/>
      <w:lvlText w:val=""/>
      <w:lvlJc w:val="left"/>
    </w:lvl>
    <w:lvl w:ilvl="6" w:tplc="D318EE10">
      <w:numFmt w:val="decimal"/>
      <w:lvlText w:val=""/>
      <w:lvlJc w:val="left"/>
    </w:lvl>
    <w:lvl w:ilvl="7" w:tplc="6D48C0A6">
      <w:numFmt w:val="decimal"/>
      <w:lvlText w:val=""/>
      <w:lvlJc w:val="left"/>
    </w:lvl>
    <w:lvl w:ilvl="8" w:tplc="501CBDD2">
      <w:numFmt w:val="decimal"/>
      <w:lvlText w:val=""/>
      <w:lvlJc w:val="left"/>
    </w:lvl>
  </w:abstractNum>
  <w:abstractNum w:abstractNumId="1184" w15:restartNumberingAfterBreak="0">
    <w:nsid w:val="5ACD3848"/>
    <w:multiLevelType w:val="hybridMultilevel"/>
    <w:tmpl w:val="B8005C4A"/>
    <w:lvl w:ilvl="0" w:tplc="1F3CAACC">
      <w:start w:val="1"/>
      <w:numFmt w:val="bullet"/>
      <w:lvlText w:val=""/>
      <w:lvlJc w:val="left"/>
      <w:pPr>
        <w:ind w:left="720" w:hanging="180"/>
      </w:pPr>
      <w:rPr>
        <w:rFonts w:ascii="Symbol" w:hAnsi="Symbol" w:hint="default"/>
      </w:rPr>
    </w:lvl>
    <w:lvl w:ilvl="1" w:tplc="CCD80CC8">
      <w:numFmt w:val="decimal"/>
      <w:lvlText w:val=""/>
      <w:lvlJc w:val="left"/>
    </w:lvl>
    <w:lvl w:ilvl="2" w:tplc="B2FC0FD4">
      <w:numFmt w:val="decimal"/>
      <w:lvlText w:val=""/>
      <w:lvlJc w:val="left"/>
    </w:lvl>
    <w:lvl w:ilvl="3" w:tplc="A9E89BA8">
      <w:numFmt w:val="decimal"/>
      <w:lvlText w:val=""/>
      <w:lvlJc w:val="left"/>
    </w:lvl>
    <w:lvl w:ilvl="4" w:tplc="E8F6CABE">
      <w:numFmt w:val="decimal"/>
      <w:lvlText w:val=""/>
      <w:lvlJc w:val="left"/>
    </w:lvl>
    <w:lvl w:ilvl="5" w:tplc="76BC81AA">
      <w:numFmt w:val="decimal"/>
      <w:lvlText w:val=""/>
      <w:lvlJc w:val="left"/>
    </w:lvl>
    <w:lvl w:ilvl="6" w:tplc="CE087CE8">
      <w:numFmt w:val="decimal"/>
      <w:lvlText w:val=""/>
      <w:lvlJc w:val="left"/>
    </w:lvl>
    <w:lvl w:ilvl="7" w:tplc="3D6CC32C">
      <w:numFmt w:val="decimal"/>
      <w:lvlText w:val=""/>
      <w:lvlJc w:val="left"/>
    </w:lvl>
    <w:lvl w:ilvl="8" w:tplc="07D601A6">
      <w:numFmt w:val="decimal"/>
      <w:lvlText w:val=""/>
      <w:lvlJc w:val="left"/>
    </w:lvl>
  </w:abstractNum>
  <w:abstractNum w:abstractNumId="1185" w15:restartNumberingAfterBreak="0">
    <w:nsid w:val="5AE70C6C"/>
    <w:multiLevelType w:val="hybridMultilevel"/>
    <w:tmpl w:val="94DC3060"/>
    <w:lvl w:ilvl="0" w:tplc="2B8AB660">
      <w:start w:val="1"/>
      <w:numFmt w:val="bullet"/>
      <w:lvlText w:val=""/>
      <w:lvlJc w:val="left"/>
      <w:pPr>
        <w:ind w:left="720" w:hanging="180"/>
      </w:pPr>
      <w:rPr>
        <w:rFonts w:ascii="Symbol" w:hAnsi="Symbol" w:hint="default"/>
      </w:rPr>
    </w:lvl>
    <w:lvl w:ilvl="1" w:tplc="197C1C1A">
      <w:numFmt w:val="decimal"/>
      <w:lvlText w:val=""/>
      <w:lvlJc w:val="left"/>
    </w:lvl>
    <w:lvl w:ilvl="2" w:tplc="72D4A668">
      <w:numFmt w:val="decimal"/>
      <w:lvlText w:val=""/>
      <w:lvlJc w:val="left"/>
    </w:lvl>
    <w:lvl w:ilvl="3" w:tplc="7A2AFDDC">
      <w:numFmt w:val="decimal"/>
      <w:lvlText w:val=""/>
      <w:lvlJc w:val="left"/>
    </w:lvl>
    <w:lvl w:ilvl="4" w:tplc="7FC6459E">
      <w:numFmt w:val="decimal"/>
      <w:lvlText w:val=""/>
      <w:lvlJc w:val="left"/>
    </w:lvl>
    <w:lvl w:ilvl="5" w:tplc="25A0B0E8">
      <w:numFmt w:val="decimal"/>
      <w:lvlText w:val=""/>
      <w:lvlJc w:val="left"/>
    </w:lvl>
    <w:lvl w:ilvl="6" w:tplc="50261E56">
      <w:numFmt w:val="decimal"/>
      <w:lvlText w:val=""/>
      <w:lvlJc w:val="left"/>
    </w:lvl>
    <w:lvl w:ilvl="7" w:tplc="3D5A2C1E">
      <w:numFmt w:val="decimal"/>
      <w:lvlText w:val=""/>
      <w:lvlJc w:val="left"/>
    </w:lvl>
    <w:lvl w:ilvl="8" w:tplc="C0D07228">
      <w:numFmt w:val="decimal"/>
      <w:lvlText w:val=""/>
      <w:lvlJc w:val="left"/>
    </w:lvl>
  </w:abstractNum>
  <w:abstractNum w:abstractNumId="1186" w15:restartNumberingAfterBreak="0">
    <w:nsid w:val="5AFB083C"/>
    <w:multiLevelType w:val="hybridMultilevel"/>
    <w:tmpl w:val="38EABA14"/>
    <w:lvl w:ilvl="0" w:tplc="346681C8">
      <w:start w:val="1"/>
      <w:numFmt w:val="bullet"/>
      <w:lvlText w:val=""/>
      <w:lvlJc w:val="left"/>
      <w:pPr>
        <w:ind w:left="720" w:hanging="180"/>
      </w:pPr>
      <w:rPr>
        <w:rFonts w:ascii="Symbol" w:hAnsi="Symbol" w:hint="default"/>
      </w:rPr>
    </w:lvl>
    <w:lvl w:ilvl="1" w:tplc="79B48D0C">
      <w:numFmt w:val="decimal"/>
      <w:lvlText w:val=""/>
      <w:lvlJc w:val="left"/>
    </w:lvl>
    <w:lvl w:ilvl="2" w:tplc="67DCBEE6">
      <w:numFmt w:val="decimal"/>
      <w:lvlText w:val=""/>
      <w:lvlJc w:val="left"/>
    </w:lvl>
    <w:lvl w:ilvl="3" w:tplc="FAF4E61E">
      <w:numFmt w:val="decimal"/>
      <w:lvlText w:val=""/>
      <w:lvlJc w:val="left"/>
    </w:lvl>
    <w:lvl w:ilvl="4" w:tplc="9E36E7C2">
      <w:numFmt w:val="decimal"/>
      <w:lvlText w:val=""/>
      <w:lvlJc w:val="left"/>
    </w:lvl>
    <w:lvl w:ilvl="5" w:tplc="7C3C9616">
      <w:numFmt w:val="decimal"/>
      <w:lvlText w:val=""/>
      <w:lvlJc w:val="left"/>
    </w:lvl>
    <w:lvl w:ilvl="6" w:tplc="76787116">
      <w:numFmt w:val="decimal"/>
      <w:lvlText w:val=""/>
      <w:lvlJc w:val="left"/>
    </w:lvl>
    <w:lvl w:ilvl="7" w:tplc="F0349DFA">
      <w:numFmt w:val="decimal"/>
      <w:lvlText w:val=""/>
      <w:lvlJc w:val="left"/>
    </w:lvl>
    <w:lvl w:ilvl="8" w:tplc="FC10935C">
      <w:numFmt w:val="decimal"/>
      <w:lvlText w:val=""/>
      <w:lvlJc w:val="left"/>
    </w:lvl>
  </w:abstractNum>
  <w:abstractNum w:abstractNumId="1187" w15:restartNumberingAfterBreak="0">
    <w:nsid w:val="5AFD6BD0"/>
    <w:multiLevelType w:val="hybridMultilevel"/>
    <w:tmpl w:val="A5D45DE4"/>
    <w:lvl w:ilvl="0" w:tplc="4B62467E">
      <w:start w:val="1"/>
      <w:numFmt w:val="bullet"/>
      <w:lvlText w:val=""/>
      <w:lvlJc w:val="left"/>
      <w:pPr>
        <w:ind w:left="720" w:hanging="180"/>
      </w:pPr>
      <w:rPr>
        <w:rFonts w:ascii="Symbol" w:hAnsi="Symbol" w:hint="default"/>
      </w:rPr>
    </w:lvl>
    <w:lvl w:ilvl="1" w:tplc="D3CCB690">
      <w:numFmt w:val="decimal"/>
      <w:lvlText w:val=""/>
      <w:lvlJc w:val="left"/>
    </w:lvl>
    <w:lvl w:ilvl="2" w:tplc="5FBC3EA6">
      <w:numFmt w:val="decimal"/>
      <w:lvlText w:val=""/>
      <w:lvlJc w:val="left"/>
    </w:lvl>
    <w:lvl w:ilvl="3" w:tplc="DDE4EC9C">
      <w:numFmt w:val="decimal"/>
      <w:lvlText w:val=""/>
      <w:lvlJc w:val="left"/>
    </w:lvl>
    <w:lvl w:ilvl="4" w:tplc="9B4644AC">
      <w:numFmt w:val="decimal"/>
      <w:lvlText w:val=""/>
      <w:lvlJc w:val="left"/>
    </w:lvl>
    <w:lvl w:ilvl="5" w:tplc="E19492BC">
      <w:numFmt w:val="decimal"/>
      <w:lvlText w:val=""/>
      <w:lvlJc w:val="left"/>
    </w:lvl>
    <w:lvl w:ilvl="6" w:tplc="C9321104">
      <w:numFmt w:val="decimal"/>
      <w:lvlText w:val=""/>
      <w:lvlJc w:val="left"/>
    </w:lvl>
    <w:lvl w:ilvl="7" w:tplc="375AFD40">
      <w:numFmt w:val="decimal"/>
      <w:lvlText w:val=""/>
      <w:lvlJc w:val="left"/>
    </w:lvl>
    <w:lvl w:ilvl="8" w:tplc="1512D52E">
      <w:numFmt w:val="decimal"/>
      <w:lvlText w:val=""/>
      <w:lvlJc w:val="left"/>
    </w:lvl>
  </w:abstractNum>
  <w:abstractNum w:abstractNumId="1188" w15:restartNumberingAfterBreak="0">
    <w:nsid w:val="5B31330C"/>
    <w:multiLevelType w:val="hybridMultilevel"/>
    <w:tmpl w:val="402406CC"/>
    <w:lvl w:ilvl="0" w:tplc="20A6E0B2">
      <w:start w:val="1"/>
      <w:numFmt w:val="bullet"/>
      <w:lvlText w:val=""/>
      <w:lvlJc w:val="left"/>
      <w:pPr>
        <w:ind w:left="720" w:hanging="180"/>
      </w:pPr>
      <w:rPr>
        <w:rFonts w:ascii="Symbol" w:hAnsi="Symbol" w:hint="default"/>
      </w:rPr>
    </w:lvl>
    <w:lvl w:ilvl="1" w:tplc="A6DE35F0">
      <w:numFmt w:val="decimal"/>
      <w:lvlText w:val=""/>
      <w:lvlJc w:val="left"/>
    </w:lvl>
    <w:lvl w:ilvl="2" w:tplc="B96260BE">
      <w:numFmt w:val="decimal"/>
      <w:lvlText w:val=""/>
      <w:lvlJc w:val="left"/>
    </w:lvl>
    <w:lvl w:ilvl="3" w:tplc="D3CCF6FC">
      <w:numFmt w:val="decimal"/>
      <w:lvlText w:val=""/>
      <w:lvlJc w:val="left"/>
    </w:lvl>
    <w:lvl w:ilvl="4" w:tplc="EC10B416">
      <w:numFmt w:val="decimal"/>
      <w:lvlText w:val=""/>
      <w:lvlJc w:val="left"/>
    </w:lvl>
    <w:lvl w:ilvl="5" w:tplc="53F2BBCE">
      <w:numFmt w:val="decimal"/>
      <w:lvlText w:val=""/>
      <w:lvlJc w:val="left"/>
    </w:lvl>
    <w:lvl w:ilvl="6" w:tplc="408C9270">
      <w:numFmt w:val="decimal"/>
      <w:lvlText w:val=""/>
      <w:lvlJc w:val="left"/>
    </w:lvl>
    <w:lvl w:ilvl="7" w:tplc="6F708E4C">
      <w:numFmt w:val="decimal"/>
      <w:lvlText w:val=""/>
      <w:lvlJc w:val="left"/>
    </w:lvl>
    <w:lvl w:ilvl="8" w:tplc="74B021CA">
      <w:numFmt w:val="decimal"/>
      <w:lvlText w:val=""/>
      <w:lvlJc w:val="left"/>
    </w:lvl>
  </w:abstractNum>
  <w:abstractNum w:abstractNumId="1189" w15:restartNumberingAfterBreak="0">
    <w:nsid w:val="5B5646C8"/>
    <w:multiLevelType w:val="hybridMultilevel"/>
    <w:tmpl w:val="46C4333A"/>
    <w:lvl w:ilvl="0" w:tplc="89565124">
      <w:start w:val="1"/>
      <w:numFmt w:val="bullet"/>
      <w:lvlText w:val=""/>
      <w:lvlJc w:val="left"/>
      <w:pPr>
        <w:ind w:left="720" w:hanging="180"/>
      </w:pPr>
      <w:rPr>
        <w:rFonts w:ascii="Symbol" w:hAnsi="Symbol" w:hint="default"/>
      </w:rPr>
    </w:lvl>
    <w:lvl w:ilvl="1" w:tplc="5E147A76">
      <w:numFmt w:val="decimal"/>
      <w:lvlText w:val=""/>
      <w:lvlJc w:val="left"/>
    </w:lvl>
    <w:lvl w:ilvl="2" w:tplc="6E30B678">
      <w:numFmt w:val="decimal"/>
      <w:lvlText w:val=""/>
      <w:lvlJc w:val="left"/>
    </w:lvl>
    <w:lvl w:ilvl="3" w:tplc="A8185310">
      <w:numFmt w:val="decimal"/>
      <w:lvlText w:val=""/>
      <w:lvlJc w:val="left"/>
    </w:lvl>
    <w:lvl w:ilvl="4" w:tplc="00BED30E">
      <w:numFmt w:val="decimal"/>
      <w:lvlText w:val=""/>
      <w:lvlJc w:val="left"/>
    </w:lvl>
    <w:lvl w:ilvl="5" w:tplc="74F6A384">
      <w:numFmt w:val="decimal"/>
      <w:lvlText w:val=""/>
      <w:lvlJc w:val="left"/>
    </w:lvl>
    <w:lvl w:ilvl="6" w:tplc="B2AACE9C">
      <w:numFmt w:val="decimal"/>
      <w:lvlText w:val=""/>
      <w:lvlJc w:val="left"/>
    </w:lvl>
    <w:lvl w:ilvl="7" w:tplc="D12C0DF6">
      <w:numFmt w:val="decimal"/>
      <w:lvlText w:val=""/>
      <w:lvlJc w:val="left"/>
    </w:lvl>
    <w:lvl w:ilvl="8" w:tplc="FB14FA6A">
      <w:numFmt w:val="decimal"/>
      <w:lvlText w:val=""/>
      <w:lvlJc w:val="left"/>
    </w:lvl>
  </w:abstractNum>
  <w:abstractNum w:abstractNumId="1190" w15:restartNumberingAfterBreak="0">
    <w:nsid w:val="5B592FDE"/>
    <w:multiLevelType w:val="hybridMultilevel"/>
    <w:tmpl w:val="1950649E"/>
    <w:lvl w:ilvl="0" w:tplc="82FA1DC6">
      <w:start w:val="1"/>
      <w:numFmt w:val="bullet"/>
      <w:lvlText w:val=""/>
      <w:lvlJc w:val="left"/>
      <w:pPr>
        <w:ind w:left="720" w:hanging="180"/>
      </w:pPr>
      <w:rPr>
        <w:rFonts w:ascii="Symbol" w:hAnsi="Symbol" w:hint="default"/>
      </w:rPr>
    </w:lvl>
    <w:lvl w:ilvl="1" w:tplc="94504B40">
      <w:numFmt w:val="decimal"/>
      <w:lvlText w:val=""/>
      <w:lvlJc w:val="left"/>
    </w:lvl>
    <w:lvl w:ilvl="2" w:tplc="244A8C14">
      <w:numFmt w:val="decimal"/>
      <w:lvlText w:val=""/>
      <w:lvlJc w:val="left"/>
    </w:lvl>
    <w:lvl w:ilvl="3" w:tplc="46966782">
      <w:numFmt w:val="decimal"/>
      <w:lvlText w:val=""/>
      <w:lvlJc w:val="left"/>
    </w:lvl>
    <w:lvl w:ilvl="4" w:tplc="554A53BE">
      <w:numFmt w:val="decimal"/>
      <w:lvlText w:val=""/>
      <w:lvlJc w:val="left"/>
    </w:lvl>
    <w:lvl w:ilvl="5" w:tplc="FEE66D44">
      <w:numFmt w:val="decimal"/>
      <w:lvlText w:val=""/>
      <w:lvlJc w:val="left"/>
    </w:lvl>
    <w:lvl w:ilvl="6" w:tplc="324044D4">
      <w:numFmt w:val="decimal"/>
      <w:lvlText w:val=""/>
      <w:lvlJc w:val="left"/>
    </w:lvl>
    <w:lvl w:ilvl="7" w:tplc="DE8AD510">
      <w:numFmt w:val="decimal"/>
      <w:lvlText w:val=""/>
      <w:lvlJc w:val="left"/>
    </w:lvl>
    <w:lvl w:ilvl="8" w:tplc="6764C482">
      <w:numFmt w:val="decimal"/>
      <w:lvlText w:val=""/>
      <w:lvlJc w:val="left"/>
    </w:lvl>
  </w:abstractNum>
  <w:abstractNum w:abstractNumId="1191" w15:restartNumberingAfterBreak="0">
    <w:nsid w:val="5B5C181A"/>
    <w:multiLevelType w:val="hybridMultilevel"/>
    <w:tmpl w:val="82BABD6E"/>
    <w:lvl w:ilvl="0" w:tplc="B2166750">
      <w:numFmt w:val="decimal"/>
      <w:lvlText w:val=""/>
      <w:lvlJc w:val="left"/>
    </w:lvl>
    <w:lvl w:ilvl="1" w:tplc="F7D2FD2C">
      <w:start w:val="1"/>
      <w:numFmt w:val="bullet"/>
      <w:lvlText w:val=""/>
      <w:lvlJc w:val="left"/>
      <w:pPr>
        <w:ind w:left="1440" w:hanging="180"/>
      </w:pPr>
      <w:rPr>
        <w:rFonts w:ascii="Symbol" w:hAnsi="Symbol" w:hint="default"/>
      </w:rPr>
    </w:lvl>
    <w:lvl w:ilvl="2" w:tplc="18388276">
      <w:numFmt w:val="decimal"/>
      <w:lvlText w:val=""/>
      <w:lvlJc w:val="left"/>
    </w:lvl>
    <w:lvl w:ilvl="3" w:tplc="7D92CE32">
      <w:numFmt w:val="decimal"/>
      <w:lvlText w:val=""/>
      <w:lvlJc w:val="left"/>
    </w:lvl>
    <w:lvl w:ilvl="4" w:tplc="CFAA268E">
      <w:numFmt w:val="decimal"/>
      <w:lvlText w:val=""/>
      <w:lvlJc w:val="left"/>
    </w:lvl>
    <w:lvl w:ilvl="5" w:tplc="9474BA54">
      <w:numFmt w:val="decimal"/>
      <w:lvlText w:val=""/>
      <w:lvlJc w:val="left"/>
    </w:lvl>
    <w:lvl w:ilvl="6" w:tplc="BABE97B8">
      <w:numFmt w:val="decimal"/>
      <w:lvlText w:val=""/>
      <w:lvlJc w:val="left"/>
    </w:lvl>
    <w:lvl w:ilvl="7" w:tplc="F8904466">
      <w:numFmt w:val="decimal"/>
      <w:lvlText w:val=""/>
      <w:lvlJc w:val="left"/>
    </w:lvl>
    <w:lvl w:ilvl="8" w:tplc="4882222C">
      <w:numFmt w:val="decimal"/>
      <w:lvlText w:val=""/>
      <w:lvlJc w:val="left"/>
    </w:lvl>
  </w:abstractNum>
  <w:abstractNum w:abstractNumId="1192" w15:restartNumberingAfterBreak="0">
    <w:nsid w:val="5BB0440D"/>
    <w:multiLevelType w:val="hybridMultilevel"/>
    <w:tmpl w:val="F4D06536"/>
    <w:lvl w:ilvl="0" w:tplc="23CCCA82">
      <w:start w:val="1"/>
      <w:numFmt w:val="bullet"/>
      <w:lvlText w:val=""/>
      <w:lvlJc w:val="left"/>
      <w:pPr>
        <w:ind w:left="720" w:hanging="180"/>
      </w:pPr>
      <w:rPr>
        <w:rFonts w:ascii="Symbol" w:hAnsi="Symbol" w:hint="default"/>
      </w:rPr>
    </w:lvl>
    <w:lvl w:ilvl="1" w:tplc="7A86D81E">
      <w:numFmt w:val="decimal"/>
      <w:lvlText w:val=""/>
      <w:lvlJc w:val="left"/>
    </w:lvl>
    <w:lvl w:ilvl="2" w:tplc="9504274A">
      <w:numFmt w:val="decimal"/>
      <w:lvlText w:val=""/>
      <w:lvlJc w:val="left"/>
    </w:lvl>
    <w:lvl w:ilvl="3" w:tplc="C32C1FB2">
      <w:numFmt w:val="decimal"/>
      <w:lvlText w:val=""/>
      <w:lvlJc w:val="left"/>
    </w:lvl>
    <w:lvl w:ilvl="4" w:tplc="4C2EEEAC">
      <w:numFmt w:val="decimal"/>
      <w:lvlText w:val=""/>
      <w:lvlJc w:val="left"/>
    </w:lvl>
    <w:lvl w:ilvl="5" w:tplc="C03C66F0">
      <w:numFmt w:val="decimal"/>
      <w:lvlText w:val=""/>
      <w:lvlJc w:val="left"/>
    </w:lvl>
    <w:lvl w:ilvl="6" w:tplc="605AB900">
      <w:numFmt w:val="decimal"/>
      <w:lvlText w:val=""/>
      <w:lvlJc w:val="left"/>
    </w:lvl>
    <w:lvl w:ilvl="7" w:tplc="CB80763C">
      <w:numFmt w:val="decimal"/>
      <w:lvlText w:val=""/>
      <w:lvlJc w:val="left"/>
    </w:lvl>
    <w:lvl w:ilvl="8" w:tplc="643227A6">
      <w:numFmt w:val="decimal"/>
      <w:lvlText w:val=""/>
      <w:lvlJc w:val="left"/>
    </w:lvl>
  </w:abstractNum>
  <w:abstractNum w:abstractNumId="1193" w15:restartNumberingAfterBreak="0">
    <w:nsid w:val="5BEB15F2"/>
    <w:multiLevelType w:val="hybridMultilevel"/>
    <w:tmpl w:val="165E83CA"/>
    <w:lvl w:ilvl="0" w:tplc="4CC8EEE0">
      <w:start w:val="1"/>
      <w:numFmt w:val="bullet"/>
      <w:lvlText w:val=""/>
      <w:lvlJc w:val="left"/>
      <w:pPr>
        <w:ind w:left="720" w:hanging="180"/>
      </w:pPr>
      <w:rPr>
        <w:rFonts w:ascii="Symbol" w:hAnsi="Symbol" w:hint="default"/>
      </w:rPr>
    </w:lvl>
    <w:lvl w:ilvl="1" w:tplc="BDD65668">
      <w:numFmt w:val="decimal"/>
      <w:lvlText w:val=""/>
      <w:lvlJc w:val="left"/>
    </w:lvl>
    <w:lvl w:ilvl="2" w:tplc="67E2D072">
      <w:numFmt w:val="decimal"/>
      <w:lvlText w:val=""/>
      <w:lvlJc w:val="left"/>
    </w:lvl>
    <w:lvl w:ilvl="3" w:tplc="6094A350">
      <w:numFmt w:val="decimal"/>
      <w:lvlText w:val=""/>
      <w:lvlJc w:val="left"/>
    </w:lvl>
    <w:lvl w:ilvl="4" w:tplc="C556FCF8">
      <w:numFmt w:val="decimal"/>
      <w:lvlText w:val=""/>
      <w:lvlJc w:val="left"/>
    </w:lvl>
    <w:lvl w:ilvl="5" w:tplc="39F83A8A">
      <w:numFmt w:val="decimal"/>
      <w:lvlText w:val=""/>
      <w:lvlJc w:val="left"/>
    </w:lvl>
    <w:lvl w:ilvl="6" w:tplc="388CA4D8">
      <w:numFmt w:val="decimal"/>
      <w:lvlText w:val=""/>
      <w:lvlJc w:val="left"/>
    </w:lvl>
    <w:lvl w:ilvl="7" w:tplc="6AB8AE7A">
      <w:numFmt w:val="decimal"/>
      <w:lvlText w:val=""/>
      <w:lvlJc w:val="left"/>
    </w:lvl>
    <w:lvl w:ilvl="8" w:tplc="140C5C0C">
      <w:numFmt w:val="decimal"/>
      <w:lvlText w:val=""/>
      <w:lvlJc w:val="left"/>
    </w:lvl>
  </w:abstractNum>
  <w:abstractNum w:abstractNumId="1194" w15:restartNumberingAfterBreak="0">
    <w:nsid w:val="5C015C1F"/>
    <w:multiLevelType w:val="hybridMultilevel"/>
    <w:tmpl w:val="B8506042"/>
    <w:lvl w:ilvl="0" w:tplc="56BE4274">
      <w:start w:val="1"/>
      <w:numFmt w:val="bullet"/>
      <w:lvlText w:val=""/>
      <w:lvlJc w:val="left"/>
      <w:pPr>
        <w:ind w:left="720" w:hanging="180"/>
      </w:pPr>
      <w:rPr>
        <w:rFonts w:ascii="Symbol" w:hAnsi="Symbol" w:hint="default"/>
      </w:rPr>
    </w:lvl>
    <w:lvl w:ilvl="1" w:tplc="D84458EA">
      <w:numFmt w:val="decimal"/>
      <w:lvlText w:val=""/>
      <w:lvlJc w:val="left"/>
    </w:lvl>
    <w:lvl w:ilvl="2" w:tplc="7A2C4E58">
      <w:numFmt w:val="decimal"/>
      <w:lvlText w:val=""/>
      <w:lvlJc w:val="left"/>
    </w:lvl>
    <w:lvl w:ilvl="3" w:tplc="E6141D7A">
      <w:numFmt w:val="decimal"/>
      <w:lvlText w:val=""/>
      <w:lvlJc w:val="left"/>
    </w:lvl>
    <w:lvl w:ilvl="4" w:tplc="139EF742">
      <w:numFmt w:val="decimal"/>
      <w:lvlText w:val=""/>
      <w:lvlJc w:val="left"/>
    </w:lvl>
    <w:lvl w:ilvl="5" w:tplc="3AE6F6E6">
      <w:numFmt w:val="decimal"/>
      <w:lvlText w:val=""/>
      <w:lvlJc w:val="left"/>
    </w:lvl>
    <w:lvl w:ilvl="6" w:tplc="6982355A">
      <w:numFmt w:val="decimal"/>
      <w:lvlText w:val=""/>
      <w:lvlJc w:val="left"/>
    </w:lvl>
    <w:lvl w:ilvl="7" w:tplc="3E18877C">
      <w:numFmt w:val="decimal"/>
      <w:lvlText w:val=""/>
      <w:lvlJc w:val="left"/>
    </w:lvl>
    <w:lvl w:ilvl="8" w:tplc="19DC7D52">
      <w:numFmt w:val="decimal"/>
      <w:lvlText w:val=""/>
      <w:lvlJc w:val="left"/>
    </w:lvl>
  </w:abstractNum>
  <w:abstractNum w:abstractNumId="1195" w15:restartNumberingAfterBreak="0">
    <w:nsid w:val="5C0B5236"/>
    <w:multiLevelType w:val="hybridMultilevel"/>
    <w:tmpl w:val="6CEAC7A4"/>
    <w:lvl w:ilvl="0" w:tplc="7A0ED328">
      <w:start w:val="1"/>
      <w:numFmt w:val="bullet"/>
      <w:lvlText w:val=""/>
      <w:lvlJc w:val="left"/>
      <w:pPr>
        <w:ind w:left="720" w:hanging="180"/>
      </w:pPr>
      <w:rPr>
        <w:rFonts w:ascii="Symbol" w:hAnsi="Symbol" w:hint="default"/>
      </w:rPr>
    </w:lvl>
    <w:lvl w:ilvl="1" w:tplc="4316F19A">
      <w:numFmt w:val="decimal"/>
      <w:lvlText w:val=""/>
      <w:lvlJc w:val="left"/>
    </w:lvl>
    <w:lvl w:ilvl="2" w:tplc="4E742632">
      <w:numFmt w:val="decimal"/>
      <w:lvlText w:val=""/>
      <w:lvlJc w:val="left"/>
    </w:lvl>
    <w:lvl w:ilvl="3" w:tplc="D7EE5082">
      <w:numFmt w:val="decimal"/>
      <w:lvlText w:val=""/>
      <w:lvlJc w:val="left"/>
    </w:lvl>
    <w:lvl w:ilvl="4" w:tplc="FDCC118C">
      <w:numFmt w:val="decimal"/>
      <w:lvlText w:val=""/>
      <w:lvlJc w:val="left"/>
    </w:lvl>
    <w:lvl w:ilvl="5" w:tplc="83B2E472">
      <w:numFmt w:val="decimal"/>
      <w:lvlText w:val=""/>
      <w:lvlJc w:val="left"/>
    </w:lvl>
    <w:lvl w:ilvl="6" w:tplc="9E86F6F2">
      <w:numFmt w:val="decimal"/>
      <w:lvlText w:val=""/>
      <w:lvlJc w:val="left"/>
    </w:lvl>
    <w:lvl w:ilvl="7" w:tplc="3A203976">
      <w:numFmt w:val="decimal"/>
      <w:lvlText w:val=""/>
      <w:lvlJc w:val="left"/>
    </w:lvl>
    <w:lvl w:ilvl="8" w:tplc="C736E852">
      <w:numFmt w:val="decimal"/>
      <w:lvlText w:val=""/>
      <w:lvlJc w:val="left"/>
    </w:lvl>
  </w:abstractNum>
  <w:abstractNum w:abstractNumId="1196" w15:restartNumberingAfterBreak="0">
    <w:nsid w:val="5C1A104E"/>
    <w:multiLevelType w:val="hybridMultilevel"/>
    <w:tmpl w:val="8C60DD8A"/>
    <w:lvl w:ilvl="0" w:tplc="A29A6744">
      <w:start w:val="1"/>
      <w:numFmt w:val="bullet"/>
      <w:lvlText w:val=""/>
      <w:lvlJc w:val="left"/>
      <w:pPr>
        <w:ind w:left="720" w:hanging="180"/>
      </w:pPr>
      <w:rPr>
        <w:rFonts w:ascii="Symbol" w:hAnsi="Symbol" w:hint="default"/>
      </w:rPr>
    </w:lvl>
    <w:lvl w:ilvl="1" w:tplc="2FA88C38">
      <w:numFmt w:val="decimal"/>
      <w:lvlText w:val=""/>
      <w:lvlJc w:val="left"/>
    </w:lvl>
    <w:lvl w:ilvl="2" w:tplc="A52E65C6">
      <w:numFmt w:val="decimal"/>
      <w:lvlText w:val=""/>
      <w:lvlJc w:val="left"/>
    </w:lvl>
    <w:lvl w:ilvl="3" w:tplc="F788B39E">
      <w:numFmt w:val="decimal"/>
      <w:lvlText w:val=""/>
      <w:lvlJc w:val="left"/>
    </w:lvl>
    <w:lvl w:ilvl="4" w:tplc="6534106E">
      <w:numFmt w:val="decimal"/>
      <w:lvlText w:val=""/>
      <w:lvlJc w:val="left"/>
    </w:lvl>
    <w:lvl w:ilvl="5" w:tplc="CF3A9A54">
      <w:numFmt w:val="decimal"/>
      <w:lvlText w:val=""/>
      <w:lvlJc w:val="left"/>
    </w:lvl>
    <w:lvl w:ilvl="6" w:tplc="FDD69786">
      <w:numFmt w:val="decimal"/>
      <w:lvlText w:val=""/>
      <w:lvlJc w:val="left"/>
    </w:lvl>
    <w:lvl w:ilvl="7" w:tplc="763EB886">
      <w:numFmt w:val="decimal"/>
      <w:lvlText w:val=""/>
      <w:lvlJc w:val="left"/>
    </w:lvl>
    <w:lvl w:ilvl="8" w:tplc="9AD0C776">
      <w:numFmt w:val="decimal"/>
      <w:lvlText w:val=""/>
      <w:lvlJc w:val="left"/>
    </w:lvl>
  </w:abstractNum>
  <w:abstractNum w:abstractNumId="1197" w15:restartNumberingAfterBreak="0">
    <w:nsid w:val="5C335A05"/>
    <w:multiLevelType w:val="hybridMultilevel"/>
    <w:tmpl w:val="5F54714A"/>
    <w:lvl w:ilvl="0" w:tplc="AB9C14A8">
      <w:start w:val="1"/>
      <w:numFmt w:val="bullet"/>
      <w:lvlText w:val=""/>
      <w:lvlJc w:val="left"/>
      <w:pPr>
        <w:ind w:left="720" w:hanging="180"/>
      </w:pPr>
      <w:rPr>
        <w:rFonts w:ascii="Symbol" w:hAnsi="Symbol" w:hint="default"/>
      </w:rPr>
    </w:lvl>
    <w:lvl w:ilvl="1" w:tplc="C6261EF0">
      <w:numFmt w:val="decimal"/>
      <w:lvlText w:val=""/>
      <w:lvlJc w:val="left"/>
    </w:lvl>
    <w:lvl w:ilvl="2" w:tplc="44A85C06">
      <w:numFmt w:val="decimal"/>
      <w:lvlText w:val=""/>
      <w:lvlJc w:val="left"/>
    </w:lvl>
    <w:lvl w:ilvl="3" w:tplc="DE7A9EF0">
      <w:numFmt w:val="decimal"/>
      <w:lvlText w:val=""/>
      <w:lvlJc w:val="left"/>
    </w:lvl>
    <w:lvl w:ilvl="4" w:tplc="F8F6B30C">
      <w:numFmt w:val="decimal"/>
      <w:lvlText w:val=""/>
      <w:lvlJc w:val="left"/>
    </w:lvl>
    <w:lvl w:ilvl="5" w:tplc="7974CA54">
      <w:numFmt w:val="decimal"/>
      <w:lvlText w:val=""/>
      <w:lvlJc w:val="left"/>
    </w:lvl>
    <w:lvl w:ilvl="6" w:tplc="A9083B74">
      <w:numFmt w:val="decimal"/>
      <w:lvlText w:val=""/>
      <w:lvlJc w:val="left"/>
    </w:lvl>
    <w:lvl w:ilvl="7" w:tplc="43185974">
      <w:numFmt w:val="decimal"/>
      <w:lvlText w:val=""/>
      <w:lvlJc w:val="left"/>
    </w:lvl>
    <w:lvl w:ilvl="8" w:tplc="1B5C22B4">
      <w:numFmt w:val="decimal"/>
      <w:lvlText w:val=""/>
      <w:lvlJc w:val="left"/>
    </w:lvl>
  </w:abstractNum>
  <w:abstractNum w:abstractNumId="1198" w15:restartNumberingAfterBreak="0">
    <w:nsid w:val="5C3D4CF9"/>
    <w:multiLevelType w:val="hybridMultilevel"/>
    <w:tmpl w:val="4CCE0CA2"/>
    <w:lvl w:ilvl="0" w:tplc="27D43F8C">
      <w:start w:val="1"/>
      <w:numFmt w:val="bullet"/>
      <w:lvlText w:val=""/>
      <w:lvlJc w:val="left"/>
      <w:pPr>
        <w:ind w:left="720" w:hanging="180"/>
      </w:pPr>
      <w:rPr>
        <w:rFonts w:ascii="Symbol" w:hAnsi="Symbol" w:hint="default"/>
      </w:rPr>
    </w:lvl>
    <w:lvl w:ilvl="1" w:tplc="3BA0E0E0">
      <w:numFmt w:val="decimal"/>
      <w:lvlText w:val=""/>
      <w:lvlJc w:val="left"/>
    </w:lvl>
    <w:lvl w:ilvl="2" w:tplc="7E60B4D8">
      <w:numFmt w:val="decimal"/>
      <w:lvlText w:val=""/>
      <w:lvlJc w:val="left"/>
    </w:lvl>
    <w:lvl w:ilvl="3" w:tplc="49F48E4A">
      <w:numFmt w:val="decimal"/>
      <w:lvlText w:val=""/>
      <w:lvlJc w:val="left"/>
    </w:lvl>
    <w:lvl w:ilvl="4" w:tplc="59B4DDCA">
      <w:numFmt w:val="decimal"/>
      <w:lvlText w:val=""/>
      <w:lvlJc w:val="left"/>
    </w:lvl>
    <w:lvl w:ilvl="5" w:tplc="24B45C2E">
      <w:numFmt w:val="decimal"/>
      <w:lvlText w:val=""/>
      <w:lvlJc w:val="left"/>
    </w:lvl>
    <w:lvl w:ilvl="6" w:tplc="EC6EEF10">
      <w:numFmt w:val="decimal"/>
      <w:lvlText w:val=""/>
      <w:lvlJc w:val="left"/>
    </w:lvl>
    <w:lvl w:ilvl="7" w:tplc="FA227494">
      <w:numFmt w:val="decimal"/>
      <w:lvlText w:val=""/>
      <w:lvlJc w:val="left"/>
    </w:lvl>
    <w:lvl w:ilvl="8" w:tplc="E68ACF80">
      <w:numFmt w:val="decimal"/>
      <w:lvlText w:val=""/>
      <w:lvlJc w:val="left"/>
    </w:lvl>
  </w:abstractNum>
  <w:abstractNum w:abstractNumId="1199" w15:restartNumberingAfterBreak="0">
    <w:nsid w:val="5C462CA8"/>
    <w:multiLevelType w:val="hybridMultilevel"/>
    <w:tmpl w:val="B9963366"/>
    <w:lvl w:ilvl="0" w:tplc="3D1A5CAC">
      <w:start w:val="1"/>
      <w:numFmt w:val="bullet"/>
      <w:lvlText w:val=""/>
      <w:lvlJc w:val="left"/>
      <w:pPr>
        <w:ind w:left="720" w:hanging="180"/>
      </w:pPr>
      <w:rPr>
        <w:rFonts w:ascii="Symbol" w:hAnsi="Symbol" w:hint="default"/>
      </w:rPr>
    </w:lvl>
    <w:lvl w:ilvl="1" w:tplc="86E45678">
      <w:numFmt w:val="decimal"/>
      <w:lvlText w:val=""/>
      <w:lvlJc w:val="left"/>
    </w:lvl>
    <w:lvl w:ilvl="2" w:tplc="B242018E">
      <w:numFmt w:val="decimal"/>
      <w:lvlText w:val=""/>
      <w:lvlJc w:val="left"/>
    </w:lvl>
    <w:lvl w:ilvl="3" w:tplc="0108DA92">
      <w:numFmt w:val="decimal"/>
      <w:lvlText w:val=""/>
      <w:lvlJc w:val="left"/>
    </w:lvl>
    <w:lvl w:ilvl="4" w:tplc="B98A874A">
      <w:numFmt w:val="decimal"/>
      <w:lvlText w:val=""/>
      <w:lvlJc w:val="left"/>
    </w:lvl>
    <w:lvl w:ilvl="5" w:tplc="8EDAC680">
      <w:numFmt w:val="decimal"/>
      <w:lvlText w:val=""/>
      <w:lvlJc w:val="left"/>
    </w:lvl>
    <w:lvl w:ilvl="6" w:tplc="C8D06E66">
      <w:numFmt w:val="decimal"/>
      <w:lvlText w:val=""/>
      <w:lvlJc w:val="left"/>
    </w:lvl>
    <w:lvl w:ilvl="7" w:tplc="96A6EAC4">
      <w:numFmt w:val="decimal"/>
      <w:lvlText w:val=""/>
      <w:lvlJc w:val="left"/>
    </w:lvl>
    <w:lvl w:ilvl="8" w:tplc="F39AFB3C">
      <w:numFmt w:val="decimal"/>
      <w:lvlText w:val=""/>
      <w:lvlJc w:val="left"/>
    </w:lvl>
  </w:abstractNum>
  <w:abstractNum w:abstractNumId="1200" w15:restartNumberingAfterBreak="0">
    <w:nsid w:val="5C4C1026"/>
    <w:multiLevelType w:val="hybridMultilevel"/>
    <w:tmpl w:val="8AEE6EA0"/>
    <w:lvl w:ilvl="0" w:tplc="8E863148">
      <w:start w:val="1"/>
      <w:numFmt w:val="bullet"/>
      <w:lvlText w:val=""/>
      <w:lvlJc w:val="left"/>
      <w:pPr>
        <w:ind w:left="720" w:hanging="180"/>
      </w:pPr>
      <w:rPr>
        <w:rFonts w:ascii="Symbol" w:hAnsi="Symbol" w:hint="default"/>
      </w:rPr>
    </w:lvl>
    <w:lvl w:ilvl="1" w:tplc="24AC363A">
      <w:numFmt w:val="decimal"/>
      <w:lvlText w:val=""/>
      <w:lvlJc w:val="left"/>
    </w:lvl>
    <w:lvl w:ilvl="2" w:tplc="BD2231A4">
      <w:numFmt w:val="decimal"/>
      <w:lvlText w:val=""/>
      <w:lvlJc w:val="left"/>
    </w:lvl>
    <w:lvl w:ilvl="3" w:tplc="D9C261E8">
      <w:numFmt w:val="decimal"/>
      <w:lvlText w:val=""/>
      <w:lvlJc w:val="left"/>
    </w:lvl>
    <w:lvl w:ilvl="4" w:tplc="9B7C9188">
      <w:numFmt w:val="decimal"/>
      <w:lvlText w:val=""/>
      <w:lvlJc w:val="left"/>
    </w:lvl>
    <w:lvl w:ilvl="5" w:tplc="912A6DF4">
      <w:numFmt w:val="decimal"/>
      <w:lvlText w:val=""/>
      <w:lvlJc w:val="left"/>
    </w:lvl>
    <w:lvl w:ilvl="6" w:tplc="96AE32B8">
      <w:numFmt w:val="decimal"/>
      <w:lvlText w:val=""/>
      <w:lvlJc w:val="left"/>
    </w:lvl>
    <w:lvl w:ilvl="7" w:tplc="2C4CCC7C">
      <w:numFmt w:val="decimal"/>
      <w:lvlText w:val=""/>
      <w:lvlJc w:val="left"/>
    </w:lvl>
    <w:lvl w:ilvl="8" w:tplc="4EA442B4">
      <w:numFmt w:val="decimal"/>
      <w:lvlText w:val=""/>
      <w:lvlJc w:val="left"/>
    </w:lvl>
  </w:abstractNum>
  <w:abstractNum w:abstractNumId="1201" w15:restartNumberingAfterBreak="0">
    <w:nsid w:val="5C5035E3"/>
    <w:multiLevelType w:val="hybridMultilevel"/>
    <w:tmpl w:val="F50EB4B2"/>
    <w:lvl w:ilvl="0" w:tplc="99281C7C">
      <w:start w:val="1"/>
      <w:numFmt w:val="bullet"/>
      <w:lvlText w:val=""/>
      <w:lvlJc w:val="left"/>
      <w:pPr>
        <w:ind w:left="720" w:hanging="180"/>
      </w:pPr>
      <w:rPr>
        <w:rFonts w:ascii="Symbol" w:hAnsi="Symbol" w:hint="default"/>
      </w:rPr>
    </w:lvl>
    <w:lvl w:ilvl="1" w:tplc="02D87854">
      <w:numFmt w:val="decimal"/>
      <w:lvlText w:val=""/>
      <w:lvlJc w:val="left"/>
    </w:lvl>
    <w:lvl w:ilvl="2" w:tplc="CCD45FE2">
      <w:numFmt w:val="decimal"/>
      <w:lvlText w:val=""/>
      <w:lvlJc w:val="left"/>
    </w:lvl>
    <w:lvl w:ilvl="3" w:tplc="F4BA205C">
      <w:numFmt w:val="decimal"/>
      <w:lvlText w:val=""/>
      <w:lvlJc w:val="left"/>
    </w:lvl>
    <w:lvl w:ilvl="4" w:tplc="DBF603FC">
      <w:numFmt w:val="decimal"/>
      <w:lvlText w:val=""/>
      <w:lvlJc w:val="left"/>
    </w:lvl>
    <w:lvl w:ilvl="5" w:tplc="19D082D6">
      <w:numFmt w:val="decimal"/>
      <w:lvlText w:val=""/>
      <w:lvlJc w:val="left"/>
    </w:lvl>
    <w:lvl w:ilvl="6" w:tplc="E1761ADE">
      <w:numFmt w:val="decimal"/>
      <w:lvlText w:val=""/>
      <w:lvlJc w:val="left"/>
    </w:lvl>
    <w:lvl w:ilvl="7" w:tplc="35C8A4E6">
      <w:numFmt w:val="decimal"/>
      <w:lvlText w:val=""/>
      <w:lvlJc w:val="left"/>
    </w:lvl>
    <w:lvl w:ilvl="8" w:tplc="800A64DC">
      <w:numFmt w:val="decimal"/>
      <w:lvlText w:val=""/>
      <w:lvlJc w:val="left"/>
    </w:lvl>
  </w:abstractNum>
  <w:abstractNum w:abstractNumId="1202" w15:restartNumberingAfterBreak="0">
    <w:nsid w:val="5C560685"/>
    <w:multiLevelType w:val="hybridMultilevel"/>
    <w:tmpl w:val="8FD8B3BE"/>
    <w:lvl w:ilvl="0" w:tplc="142E6FA6">
      <w:start w:val="1"/>
      <w:numFmt w:val="bullet"/>
      <w:lvlText w:val=""/>
      <w:lvlJc w:val="left"/>
      <w:pPr>
        <w:ind w:left="720" w:hanging="180"/>
      </w:pPr>
      <w:rPr>
        <w:rFonts w:ascii="Symbol" w:hAnsi="Symbol" w:hint="default"/>
      </w:rPr>
    </w:lvl>
    <w:lvl w:ilvl="1" w:tplc="BDE6C54A">
      <w:numFmt w:val="decimal"/>
      <w:lvlText w:val=""/>
      <w:lvlJc w:val="left"/>
    </w:lvl>
    <w:lvl w:ilvl="2" w:tplc="464C29F8">
      <w:numFmt w:val="decimal"/>
      <w:lvlText w:val=""/>
      <w:lvlJc w:val="left"/>
    </w:lvl>
    <w:lvl w:ilvl="3" w:tplc="90325F44">
      <w:numFmt w:val="decimal"/>
      <w:lvlText w:val=""/>
      <w:lvlJc w:val="left"/>
    </w:lvl>
    <w:lvl w:ilvl="4" w:tplc="07660E46">
      <w:numFmt w:val="decimal"/>
      <w:lvlText w:val=""/>
      <w:lvlJc w:val="left"/>
    </w:lvl>
    <w:lvl w:ilvl="5" w:tplc="F5A2DF78">
      <w:numFmt w:val="decimal"/>
      <w:lvlText w:val=""/>
      <w:lvlJc w:val="left"/>
    </w:lvl>
    <w:lvl w:ilvl="6" w:tplc="854AE510">
      <w:numFmt w:val="decimal"/>
      <w:lvlText w:val=""/>
      <w:lvlJc w:val="left"/>
    </w:lvl>
    <w:lvl w:ilvl="7" w:tplc="24DEB752">
      <w:numFmt w:val="decimal"/>
      <w:lvlText w:val=""/>
      <w:lvlJc w:val="left"/>
    </w:lvl>
    <w:lvl w:ilvl="8" w:tplc="4D02D5B8">
      <w:numFmt w:val="decimal"/>
      <w:lvlText w:val=""/>
      <w:lvlJc w:val="left"/>
    </w:lvl>
  </w:abstractNum>
  <w:abstractNum w:abstractNumId="1203" w15:restartNumberingAfterBreak="0">
    <w:nsid w:val="5C7C3DDA"/>
    <w:multiLevelType w:val="hybridMultilevel"/>
    <w:tmpl w:val="07DAB79E"/>
    <w:lvl w:ilvl="0" w:tplc="BE54468E">
      <w:start w:val="1"/>
      <w:numFmt w:val="bullet"/>
      <w:lvlText w:val=""/>
      <w:lvlJc w:val="left"/>
      <w:pPr>
        <w:ind w:left="720" w:hanging="180"/>
      </w:pPr>
      <w:rPr>
        <w:rFonts w:ascii="Symbol" w:hAnsi="Symbol" w:hint="default"/>
      </w:rPr>
    </w:lvl>
    <w:lvl w:ilvl="1" w:tplc="0DEC5BF6">
      <w:numFmt w:val="decimal"/>
      <w:lvlText w:val=""/>
      <w:lvlJc w:val="left"/>
    </w:lvl>
    <w:lvl w:ilvl="2" w:tplc="7F60FEC8">
      <w:numFmt w:val="decimal"/>
      <w:lvlText w:val=""/>
      <w:lvlJc w:val="left"/>
    </w:lvl>
    <w:lvl w:ilvl="3" w:tplc="ED7A0D46">
      <w:numFmt w:val="decimal"/>
      <w:lvlText w:val=""/>
      <w:lvlJc w:val="left"/>
    </w:lvl>
    <w:lvl w:ilvl="4" w:tplc="9D0A159E">
      <w:numFmt w:val="decimal"/>
      <w:lvlText w:val=""/>
      <w:lvlJc w:val="left"/>
    </w:lvl>
    <w:lvl w:ilvl="5" w:tplc="BA76C226">
      <w:numFmt w:val="decimal"/>
      <w:lvlText w:val=""/>
      <w:lvlJc w:val="left"/>
    </w:lvl>
    <w:lvl w:ilvl="6" w:tplc="AC78EBA4">
      <w:numFmt w:val="decimal"/>
      <w:lvlText w:val=""/>
      <w:lvlJc w:val="left"/>
    </w:lvl>
    <w:lvl w:ilvl="7" w:tplc="A11E9A74">
      <w:numFmt w:val="decimal"/>
      <w:lvlText w:val=""/>
      <w:lvlJc w:val="left"/>
    </w:lvl>
    <w:lvl w:ilvl="8" w:tplc="EF7866C2">
      <w:numFmt w:val="decimal"/>
      <w:lvlText w:val=""/>
      <w:lvlJc w:val="left"/>
    </w:lvl>
  </w:abstractNum>
  <w:abstractNum w:abstractNumId="1204" w15:restartNumberingAfterBreak="0">
    <w:nsid w:val="5C7F4932"/>
    <w:multiLevelType w:val="hybridMultilevel"/>
    <w:tmpl w:val="6D1ADD60"/>
    <w:lvl w:ilvl="0" w:tplc="41605F6C">
      <w:start w:val="1"/>
      <w:numFmt w:val="bullet"/>
      <w:lvlText w:val=""/>
      <w:lvlJc w:val="left"/>
      <w:pPr>
        <w:ind w:left="720" w:hanging="180"/>
      </w:pPr>
      <w:rPr>
        <w:rFonts w:ascii="Symbol" w:hAnsi="Symbol" w:hint="default"/>
      </w:rPr>
    </w:lvl>
    <w:lvl w:ilvl="1" w:tplc="25DCCB06">
      <w:numFmt w:val="decimal"/>
      <w:lvlText w:val=""/>
      <w:lvlJc w:val="left"/>
    </w:lvl>
    <w:lvl w:ilvl="2" w:tplc="6434B320">
      <w:numFmt w:val="decimal"/>
      <w:lvlText w:val=""/>
      <w:lvlJc w:val="left"/>
    </w:lvl>
    <w:lvl w:ilvl="3" w:tplc="481E2386">
      <w:numFmt w:val="decimal"/>
      <w:lvlText w:val=""/>
      <w:lvlJc w:val="left"/>
    </w:lvl>
    <w:lvl w:ilvl="4" w:tplc="0F3CE076">
      <w:numFmt w:val="decimal"/>
      <w:lvlText w:val=""/>
      <w:lvlJc w:val="left"/>
    </w:lvl>
    <w:lvl w:ilvl="5" w:tplc="CD70D0BA">
      <w:numFmt w:val="decimal"/>
      <w:lvlText w:val=""/>
      <w:lvlJc w:val="left"/>
    </w:lvl>
    <w:lvl w:ilvl="6" w:tplc="097ACDEE">
      <w:numFmt w:val="decimal"/>
      <w:lvlText w:val=""/>
      <w:lvlJc w:val="left"/>
    </w:lvl>
    <w:lvl w:ilvl="7" w:tplc="9F78341A">
      <w:numFmt w:val="decimal"/>
      <w:lvlText w:val=""/>
      <w:lvlJc w:val="left"/>
    </w:lvl>
    <w:lvl w:ilvl="8" w:tplc="412A67E8">
      <w:numFmt w:val="decimal"/>
      <w:lvlText w:val=""/>
      <w:lvlJc w:val="left"/>
    </w:lvl>
  </w:abstractNum>
  <w:abstractNum w:abstractNumId="1205" w15:restartNumberingAfterBreak="0">
    <w:nsid w:val="5C851E2A"/>
    <w:multiLevelType w:val="hybridMultilevel"/>
    <w:tmpl w:val="CD0E4F72"/>
    <w:lvl w:ilvl="0" w:tplc="203C262A">
      <w:start w:val="1"/>
      <w:numFmt w:val="bullet"/>
      <w:lvlText w:val=""/>
      <w:lvlJc w:val="left"/>
      <w:pPr>
        <w:ind w:left="720" w:hanging="180"/>
      </w:pPr>
      <w:rPr>
        <w:rFonts w:ascii="Symbol" w:hAnsi="Symbol" w:hint="default"/>
      </w:rPr>
    </w:lvl>
    <w:lvl w:ilvl="1" w:tplc="91D2CF62">
      <w:numFmt w:val="decimal"/>
      <w:lvlText w:val=""/>
      <w:lvlJc w:val="left"/>
    </w:lvl>
    <w:lvl w:ilvl="2" w:tplc="75A227C0">
      <w:numFmt w:val="decimal"/>
      <w:lvlText w:val=""/>
      <w:lvlJc w:val="left"/>
    </w:lvl>
    <w:lvl w:ilvl="3" w:tplc="705E234E">
      <w:numFmt w:val="decimal"/>
      <w:lvlText w:val=""/>
      <w:lvlJc w:val="left"/>
    </w:lvl>
    <w:lvl w:ilvl="4" w:tplc="E00CC17E">
      <w:numFmt w:val="decimal"/>
      <w:lvlText w:val=""/>
      <w:lvlJc w:val="left"/>
    </w:lvl>
    <w:lvl w:ilvl="5" w:tplc="8C40E418">
      <w:numFmt w:val="decimal"/>
      <w:lvlText w:val=""/>
      <w:lvlJc w:val="left"/>
    </w:lvl>
    <w:lvl w:ilvl="6" w:tplc="29D2B54E">
      <w:numFmt w:val="decimal"/>
      <w:lvlText w:val=""/>
      <w:lvlJc w:val="left"/>
    </w:lvl>
    <w:lvl w:ilvl="7" w:tplc="12EC62D2">
      <w:numFmt w:val="decimal"/>
      <w:lvlText w:val=""/>
      <w:lvlJc w:val="left"/>
    </w:lvl>
    <w:lvl w:ilvl="8" w:tplc="7D825DC8">
      <w:numFmt w:val="decimal"/>
      <w:lvlText w:val=""/>
      <w:lvlJc w:val="left"/>
    </w:lvl>
  </w:abstractNum>
  <w:abstractNum w:abstractNumId="1206" w15:restartNumberingAfterBreak="0">
    <w:nsid w:val="5C8C2002"/>
    <w:multiLevelType w:val="hybridMultilevel"/>
    <w:tmpl w:val="38883454"/>
    <w:lvl w:ilvl="0" w:tplc="F160A1BC">
      <w:start w:val="1"/>
      <w:numFmt w:val="bullet"/>
      <w:lvlText w:val=""/>
      <w:lvlJc w:val="left"/>
      <w:pPr>
        <w:ind w:left="720" w:hanging="180"/>
      </w:pPr>
      <w:rPr>
        <w:rFonts w:ascii="Symbol" w:hAnsi="Symbol" w:hint="default"/>
      </w:rPr>
    </w:lvl>
    <w:lvl w:ilvl="1" w:tplc="4CFE3B0E">
      <w:numFmt w:val="decimal"/>
      <w:lvlText w:val=""/>
      <w:lvlJc w:val="left"/>
    </w:lvl>
    <w:lvl w:ilvl="2" w:tplc="D9784800">
      <w:numFmt w:val="decimal"/>
      <w:lvlText w:val=""/>
      <w:lvlJc w:val="left"/>
    </w:lvl>
    <w:lvl w:ilvl="3" w:tplc="9530E10C">
      <w:numFmt w:val="decimal"/>
      <w:lvlText w:val=""/>
      <w:lvlJc w:val="left"/>
    </w:lvl>
    <w:lvl w:ilvl="4" w:tplc="160E990C">
      <w:numFmt w:val="decimal"/>
      <w:lvlText w:val=""/>
      <w:lvlJc w:val="left"/>
    </w:lvl>
    <w:lvl w:ilvl="5" w:tplc="F564C038">
      <w:numFmt w:val="decimal"/>
      <w:lvlText w:val=""/>
      <w:lvlJc w:val="left"/>
    </w:lvl>
    <w:lvl w:ilvl="6" w:tplc="B4E40B46">
      <w:numFmt w:val="decimal"/>
      <w:lvlText w:val=""/>
      <w:lvlJc w:val="left"/>
    </w:lvl>
    <w:lvl w:ilvl="7" w:tplc="C08AF59C">
      <w:numFmt w:val="decimal"/>
      <w:lvlText w:val=""/>
      <w:lvlJc w:val="left"/>
    </w:lvl>
    <w:lvl w:ilvl="8" w:tplc="2398F776">
      <w:numFmt w:val="decimal"/>
      <w:lvlText w:val=""/>
      <w:lvlJc w:val="left"/>
    </w:lvl>
  </w:abstractNum>
  <w:abstractNum w:abstractNumId="1207" w15:restartNumberingAfterBreak="0">
    <w:nsid w:val="5C9D311C"/>
    <w:multiLevelType w:val="hybridMultilevel"/>
    <w:tmpl w:val="9CD0800C"/>
    <w:lvl w:ilvl="0" w:tplc="AFF86976">
      <w:start w:val="1"/>
      <w:numFmt w:val="bullet"/>
      <w:lvlText w:val=""/>
      <w:lvlJc w:val="left"/>
      <w:pPr>
        <w:ind w:left="720" w:hanging="180"/>
      </w:pPr>
      <w:rPr>
        <w:rFonts w:ascii="Symbol" w:hAnsi="Symbol" w:hint="default"/>
      </w:rPr>
    </w:lvl>
    <w:lvl w:ilvl="1" w:tplc="4F5E46F2">
      <w:numFmt w:val="decimal"/>
      <w:lvlText w:val=""/>
      <w:lvlJc w:val="left"/>
    </w:lvl>
    <w:lvl w:ilvl="2" w:tplc="16B46EF8">
      <w:numFmt w:val="decimal"/>
      <w:lvlText w:val=""/>
      <w:lvlJc w:val="left"/>
    </w:lvl>
    <w:lvl w:ilvl="3" w:tplc="A05EAF90">
      <w:numFmt w:val="decimal"/>
      <w:lvlText w:val=""/>
      <w:lvlJc w:val="left"/>
    </w:lvl>
    <w:lvl w:ilvl="4" w:tplc="DA00ABF4">
      <w:numFmt w:val="decimal"/>
      <w:lvlText w:val=""/>
      <w:lvlJc w:val="left"/>
    </w:lvl>
    <w:lvl w:ilvl="5" w:tplc="59E63AB8">
      <w:numFmt w:val="decimal"/>
      <w:lvlText w:val=""/>
      <w:lvlJc w:val="left"/>
    </w:lvl>
    <w:lvl w:ilvl="6" w:tplc="14BCDBBE">
      <w:numFmt w:val="decimal"/>
      <w:lvlText w:val=""/>
      <w:lvlJc w:val="left"/>
    </w:lvl>
    <w:lvl w:ilvl="7" w:tplc="AF500708">
      <w:numFmt w:val="decimal"/>
      <w:lvlText w:val=""/>
      <w:lvlJc w:val="left"/>
    </w:lvl>
    <w:lvl w:ilvl="8" w:tplc="3BA463D0">
      <w:numFmt w:val="decimal"/>
      <w:lvlText w:val=""/>
      <w:lvlJc w:val="left"/>
    </w:lvl>
  </w:abstractNum>
  <w:abstractNum w:abstractNumId="1208" w15:restartNumberingAfterBreak="0">
    <w:nsid w:val="5CAE5211"/>
    <w:multiLevelType w:val="hybridMultilevel"/>
    <w:tmpl w:val="39F6248A"/>
    <w:lvl w:ilvl="0" w:tplc="3EAA864E">
      <w:start w:val="1"/>
      <w:numFmt w:val="bullet"/>
      <w:lvlText w:val=""/>
      <w:lvlJc w:val="left"/>
      <w:pPr>
        <w:ind w:left="720" w:hanging="180"/>
      </w:pPr>
      <w:rPr>
        <w:rFonts w:ascii="Symbol" w:hAnsi="Symbol" w:hint="default"/>
      </w:rPr>
    </w:lvl>
    <w:lvl w:ilvl="1" w:tplc="DDBAAC90">
      <w:numFmt w:val="decimal"/>
      <w:lvlText w:val=""/>
      <w:lvlJc w:val="left"/>
    </w:lvl>
    <w:lvl w:ilvl="2" w:tplc="96DAAC64">
      <w:numFmt w:val="decimal"/>
      <w:lvlText w:val=""/>
      <w:lvlJc w:val="left"/>
    </w:lvl>
    <w:lvl w:ilvl="3" w:tplc="23DC2FC6">
      <w:numFmt w:val="decimal"/>
      <w:lvlText w:val=""/>
      <w:lvlJc w:val="left"/>
    </w:lvl>
    <w:lvl w:ilvl="4" w:tplc="2E3C2D3E">
      <w:numFmt w:val="decimal"/>
      <w:lvlText w:val=""/>
      <w:lvlJc w:val="left"/>
    </w:lvl>
    <w:lvl w:ilvl="5" w:tplc="F540443E">
      <w:numFmt w:val="decimal"/>
      <w:lvlText w:val=""/>
      <w:lvlJc w:val="left"/>
    </w:lvl>
    <w:lvl w:ilvl="6" w:tplc="61FEB8EA">
      <w:numFmt w:val="decimal"/>
      <w:lvlText w:val=""/>
      <w:lvlJc w:val="left"/>
    </w:lvl>
    <w:lvl w:ilvl="7" w:tplc="6FF0B3F6">
      <w:numFmt w:val="decimal"/>
      <w:lvlText w:val=""/>
      <w:lvlJc w:val="left"/>
    </w:lvl>
    <w:lvl w:ilvl="8" w:tplc="9198FCC8">
      <w:numFmt w:val="decimal"/>
      <w:lvlText w:val=""/>
      <w:lvlJc w:val="left"/>
    </w:lvl>
  </w:abstractNum>
  <w:abstractNum w:abstractNumId="1209" w15:restartNumberingAfterBreak="0">
    <w:nsid w:val="5CBE232D"/>
    <w:multiLevelType w:val="hybridMultilevel"/>
    <w:tmpl w:val="36A49D92"/>
    <w:lvl w:ilvl="0" w:tplc="6E3448C6">
      <w:start w:val="1"/>
      <w:numFmt w:val="bullet"/>
      <w:lvlText w:val=""/>
      <w:lvlJc w:val="left"/>
      <w:pPr>
        <w:ind w:left="720" w:hanging="180"/>
      </w:pPr>
      <w:rPr>
        <w:rFonts w:ascii="Symbol" w:hAnsi="Symbol" w:hint="default"/>
      </w:rPr>
    </w:lvl>
    <w:lvl w:ilvl="1" w:tplc="4D60F22A">
      <w:numFmt w:val="decimal"/>
      <w:lvlText w:val=""/>
      <w:lvlJc w:val="left"/>
    </w:lvl>
    <w:lvl w:ilvl="2" w:tplc="D4683CD8">
      <w:numFmt w:val="decimal"/>
      <w:lvlText w:val=""/>
      <w:lvlJc w:val="left"/>
    </w:lvl>
    <w:lvl w:ilvl="3" w:tplc="BB02DB0E">
      <w:numFmt w:val="decimal"/>
      <w:lvlText w:val=""/>
      <w:lvlJc w:val="left"/>
    </w:lvl>
    <w:lvl w:ilvl="4" w:tplc="2AD21388">
      <w:numFmt w:val="decimal"/>
      <w:lvlText w:val=""/>
      <w:lvlJc w:val="left"/>
    </w:lvl>
    <w:lvl w:ilvl="5" w:tplc="8AC41BD0">
      <w:numFmt w:val="decimal"/>
      <w:lvlText w:val=""/>
      <w:lvlJc w:val="left"/>
    </w:lvl>
    <w:lvl w:ilvl="6" w:tplc="4E98B3F6">
      <w:numFmt w:val="decimal"/>
      <w:lvlText w:val=""/>
      <w:lvlJc w:val="left"/>
    </w:lvl>
    <w:lvl w:ilvl="7" w:tplc="6928BBE0">
      <w:numFmt w:val="decimal"/>
      <w:lvlText w:val=""/>
      <w:lvlJc w:val="left"/>
    </w:lvl>
    <w:lvl w:ilvl="8" w:tplc="F4120652">
      <w:numFmt w:val="decimal"/>
      <w:lvlText w:val=""/>
      <w:lvlJc w:val="left"/>
    </w:lvl>
  </w:abstractNum>
  <w:abstractNum w:abstractNumId="1210" w15:restartNumberingAfterBreak="0">
    <w:nsid w:val="5CC65461"/>
    <w:multiLevelType w:val="hybridMultilevel"/>
    <w:tmpl w:val="9F1ECB50"/>
    <w:lvl w:ilvl="0" w:tplc="6014323A">
      <w:start w:val="1"/>
      <w:numFmt w:val="bullet"/>
      <w:lvlText w:val=""/>
      <w:lvlJc w:val="left"/>
      <w:pPr>
        <w:ind w:left="720" w:hanging="180"/>
      </w:pPr>
      <w:rPr>
        <w:rFonts w:ascii="Symbol" w:hAnsi="Symbol" w:hint="default"/>
      </w:rPr>
    </w:lvl>
    <w:lvl w:ilvl="1" w:tplc="4F5A8382">
      <w:numFmt w:val="decimal"/>
      <w:lvlText w:val=""/>
      <w:lvlJc w:val="left"/>
    </w:lvl>
    <w:lvl w:ilvl="2" w:tplc="B1A21942">
      <w:numFmt w:val="decimal"/>
      <w:lvlText w:val=""/>
      <w:lvlJc w:val="left"/>
    </w:lvl>
    <w:lvl w:ilvl="3" w:tplc="566E21DC">
      <w:numFmt w:val="decimal"/>
      <w:lvlText w:val=""/>
      <w:lvlJc w:val="left"/>
    </w:lvl>
    <w:lvl w:ilvl="4" w:tplc="66CC24C4">
      <w:numFmt w:val="decimal"/>
      <w:lvlText w:val=""/>
      <w:lvlJc w:val="left"/>
    </w:lvl>
    <w:lvl w:ilvl="5" w:tplc="0008A4C2">
      <w:numFmt w:val="decimal"/>
      <w:lvlText w:val=""/>
      <w:lvlJc w:val="left"/>
    </w:lvl>
    <w:lvl w:ilvl="6" w:tplc="58D44BC4">
      <w:numFmt w:val="decimal"/>
      <w:lvlText w:val=""/>
      <w:lvlJc w:val="left"/>
    </w:lvl>
    <w:lvl w:ilvl="7" w:tplc="13145298">
      <w:numFmt w:val="decimal"/>
      <w:lvlText w:val=""/>
      <w:lvlJc w:val="left"/>
    </w:lvl>
    <w:lvl w:ilvl="8" w:tplc="EF40233C">
      <w:numFmt w:val="decimal"/>
      <w:lvlText w:val=""/>
      <w:lvlJc w:val="left"/>
    </w:lvl>
  </w:abstractNum>
  <w:abstractNum w:abstractNumId="1211" w15:restartNumberingAfterBreak="0">
    <w:nsid w:val="5CD64E02"/>
    <w:multiLevelType w:val="hybridMultilevel"/>
    <w:tmpl w:val="C68EC716"/>
    <w:lvl w:ilvl="0" w:tplc="238874CC">
      <w:start w:val="1"/>
      <w:numFmt w:val="bullet"/>
      <w:lvlText w:val=""/>
      <w:lvlJc w:val="left"/>
      <w:pPr>
        <w:ind w:left="720" w:hanging="180"/>
      </w:pPr>
      <w:rPr>
        <w:rFonts w:ascii="Symbol" w:hAnsi="Symbol" w:hint="default"/>
      </w:rPr>
    </w:lvl>
    <w:lvl w:ilvl="1" w:tplc="495EF104">
      <w:numFmt w:val="decimal"/>
      <w:lvlText w:val=""/>
      <w:lvlJc w:val="left"/>
    </w:lvl>
    <w:lvl w:ilvl="2" w:tplc="E3304CCC">
      <w:numFmt w:val="decimal"/>
      <w:lvlText w:val=""/>
      <w:lvlJc w:val="left"/>
    </w:lvl>
    <w:lvl w:ilvl="3" w:tplc="85360A08">
      <w:numFmt w:val="decimal"/>
      <w:lvlText w:val=""/>
      <w:lvlJc w:val="left"/>
    </w:lvl>
    <w:lvl w:ilvl="4" w:tplc="389E839E">
      <w:numFmt w:val="decimal"/>
      <w:lvlText w:val=""/>
      <w:lvlJc w:val="left"/>
    </w:lvl>
    <w:lvl w:ilvl="5" w:tplc="E45ACF34">
      <w:numFmt w:val="decimal"/>
      <w:lvlText w:val=""/>
      <w:lvlJc w:val="left"/>
    </w:lvl>
    <w:lvl w:ilvl="6" w:tplc="7EACEB88">
      <w:numFmt w:val="decimal"/>
      <w:lvlText w:val=""/>
      <w:lvlJc w:val="left"/>
    </w:lvl>
    <w:lvl w:ilvl="7" w:tplc="88744DF8">
      <w:numFmt w:val="decimal"/>
      <w:lvlText w:val=""/>
      <w:lvlJc w:val="left"/>
    </w:lvl>
    <w:lvl w:ilvl="8" w:tplc="BC9EB1D2">
      <w:numFmt w:val="decimal"/>
      <w:lvlText w:val=""/>
      <w:lvlJc w:val="left"/>
    </w:lvl>
  </w:abstractNum>
  <w:abstractNum w:abstractNumId="1212" w15:restartNumberingAfterBreak="0">
    <w:nsid w:val="5CEC066B"/>
    <w:multiLevelType w:val="hybridMultilevel"/>
    <w:tmpl w:val="B9F8F892"/>
    <w:lvl w:ilvl="0" w:tplc="7A989C6A">
      <w:numFmt w:val="decimal"/>
      <w:lvlText w:val=""/>
      <w:lvlJc w:val="left"/>
    </w:lvl>
    <w:lvl w:ilvl="1" w:tplc="3EA6AF40">
      <w:start w:val="1"/>
      <w:numFmt w:val="bullet"/>
      <w:lvlText w:val=""/>
      <w:lvlJc w:val="left"/>
      <w:pPr>
        <w:ind w:left="1440" w:hanging="180"/>
      </w:pPr>
      <w:rPr>
        <w:rFonts w:ascii="Symbol" w:hAnsi="Symbol" w:hint="default"/>
      </w:rPr>
    </w:lvl>
    <w:lvl w:ilvl="2" w:tplc="D69229BC">
      <w:numFmt w:val="decimal"/>
      <w:lvlText w:val=""/>
      <w:lvlJc w:val="left"/>
    </w:lvl>
    <w:lvl w:ilvl="3" w:tplc="8696B414">
      <w:numFmt w:val="decimal"/>
      <w:lvlText w:val=""/>
      <w:lvlJc w:val="left"/>
    </w:lvl>
    <w:lvl w:ilvl="4" w:tplc="0024C810">
      <w:numFmt w:val="decimal"/>
      <w:lvlText w:val=""/>
      <w:lvlJc w:val="left"/>
    </w:lvl>
    <w:lvl w:ilvl="5" w:tplc="AE243176">
      <w:numFmt w:val="decimal"/>
      <w:lvlText w:val=""/>
      <w:lvlJc w:val="left"/>
    </w:lvl>
    <w:lvl w:ilvl="6" w:tplc="0992770E">
      <w:numFmt w:val="decimal"/>
      <w:lvlText w:val=""/>
      <w:lvlJc w:val="left"/>
    </w:lvl>
    <w:lvl w:ilvl="7" w:tplc="F74259D2">
      <w:numFmt w:val="decimal"/>
      <w:lvlText w:val=""/>
      <w:lvlJc w:val="left"/>
    </w:lvl>
    <w:lvl w:ilvl="8" w:tplc="3D66BEE6">
      <w:numFmt w:val="decimal"/>
      <w:lvlText w:val=""/>
      <w:lvlJc w:val="left"/>
    </w:lvl>
  </w:abstractNum>
  <w:abstractNum w:abstractNumId="1213" w15:restartNumberingAfterBreak="0">
    <w:nsid w:val="5CF01B17"/>
    <w:multiLevelType w:val="hybridMultilevel"/>
    <w:tmpl w:val="F8A21958"/>
    <w:lvl w:ilvl="0" w:tplc="963854BA">
      <w:start w:val="1"/>
      <w:numFmt w:val="bullet"/>
      <w:lvlText w:val=""/>
      <w:lvlJc w:val="left"/>
      <w:pPr>
        <w:ind w:left="720" w:hanging="180"/>
      </w:pPr>
      <w:rPr>
        <w:rFonts w:ascii="Symbol" w:hAnsi="Symbol" w:hint="default"/>
      </w:rPr>
    </w:lvl>
    <w:lvl w:ilvl="1" w:tplc="BA20CB90">
      <w:numFmt w:val="decimal"/>
      <w:lvlText w:val=""/>
      <w:lvlJc w:val="left"/>
    </w:lvl>
    <w:lvl w:ilvl="2" w:tplc="EED858A2">
      <w:numFmt w:val="decimal"/>
      <w:lvlText w:val=""/>
      <w:lvlJc w:val="left"/>
    </w:lvl>
    <w:lvl w:ilvl="3" w:tplc="AF388FD4">
      <w:numFmt w:val="decimal"/>
      <w:lvlText w:val=""/>
      <w:lvlJc w:val="left"/>
    </w:lvl>
    <w:lvl w:ilvl="4" w:tplc="35324FC6">
      <w:numFmt w:val="decimal"/>
      <w:lvlText w:val=""/>
      <w:lvlJc w:val="left"/>
    </w:lvl>
    <w:lvl w:ilvl="5" w:tplc="F2BA5D98">
      <w:numFmt w:val="decimal"/>
      <w:lvlText w:val=""/>
      <w:lvlJc w:val="left"/>
    </w:lvl>
    <w:lvl w:ilvl="6" w:tplc="1DA247D2">
      <w:numFmt w:val="decimal"/>
      <w:lvlText w:val=""/>
      <w:lvlJc w:val="left"/>
    </w:lvl>
    <w:lvl w:ilvl="7" w:tplc="98A681A8">
      <w:numFmt w:val="decimal"/>
      <w:lvlText w:val=""/>
      <w:lvlJc w:val="left"/>
    </w:lvl>
    <w:lvl w:ilvl="8" w:tplc="B3681546">
      <w:numFmt w:val="decimal"/>
      <w:lvlText w:val=""/>
      <w:lvlJc w:val="left"/>
    </w:lvl>
  </w:abstractNum>
  <w:abstractNum w:abstractNumId="1214" w15:restartNumberingAfterBreak="0">
    <w:nsid w:val="5CF8611D"/>
    <w:multiLevelType w:val="hybridMultilevel"/>
    <w:tmpl w:val="E2AECB06"/>
    <w:lvl w:ilvl="0" w:tplc="4AEE19F0">
      <w:start w:val="1"/>
      <w:numFmt w:val="bullet"/>
      <w:lvlText w:val=""/>
      <w:lvlJc w:val="left"/>
      <w:pPr>
        <w:ind w:left="720" w:hanging="180"/>
      </w:pPr>
      <w:rPr>
        <w:rFonts w:ascii="Symbol" w:hAnsi="Symbol" w:hint="default"/>
      </w:rPr>
    </w:lvl>
    <w:lvl w:ilvl="1" w:tplc="8B0813BA">
      <w:numFmt w:val="decimal"/>
      <w:lvlText w:val=""/>
      <w:lvlJc w:val="left"/>
    </w:lvl>
    <w:lvl w:ilvl="2" w:tplc="072ED26E">
      <w:numFmt w:val="decimal"/>
      <w:lvlText w:val=""/>
      <w:lvlJc w:val="left"/>
    </w:lvl>
    <w:lvl w:ilvl="3" w:tplc="53EE5C18">
      <w:numFmt w:val="decimal"/>
      <w:lvlText w:val=""/>
      <w:lvlJc w:val="left"/>
    </w:lvl>
    <w:lvl w:ilvl="4" w:tplc="9642CAD4">
      <w:numFmt w:val="decimal"/>
      <w:lvlText w:val=""/>
      <w:lvlJc w:val="left"/>
    </w:lvl>
    <w:lvl w:ilvl="5" w:tplc="A3D81E84">
      <w:numFmt w:val="decimal"/>
      <w:lvlText w:val=""/>
      <w:lvlJc w:val="left"/>
    </w:lvl>
    <w:lvl w:ilvl="6" w:tplc="0F1E5816">
      <w:numFmt w:val="decimal"/>
      <w:lvlText w:val=""/>
      <w:lvlJc w:val="left"/>
    </w:lvl>
    <w:lvl w:ilvl="7" w:tplc="BAE8EE78">
      <w:numFmt w:val="decimal"/>
      <w:lvlText w:val=""/>
      <w:lvlJc w:val="left"/>
    </w:lvl>
    <w:lvl w:ilvl="8" w:tplc="0B5C419E">
      <w:numFmt w:val="decimal"/>
      <w:lvlText w:val=""/>
      <w:lvlJc w:val="left"/>
    </w:lvl>
  </w:abstractNum>
  <w:abstractNum w:abstractNumId="1215" w15:restartNumberingAfterBreak="0">
    <w:nsid w:val="5D083DE1"/>
    <w:multiLevelType w:val="hybridMultilevel"/>
    <w:tmpl w:val="380A61C4"/>
    <w:lvl w:ilvl="0" w:tplc="1820F23A">
      <w:start w:val="1"/>
      <w:numFmt w:val="bullet"/>
      <w:lvlText w:val=""/>
      <w:lvlJc w:val="left"/>
      <w:pPr>
        <w:ind w:left="720" w:hanging="180"/>
      </w:pPr>
      <w:rPr>
        <w:rFonts w:ascii="Symbol" w:hAnsi="Symbol" w:hint="default"/>
      </w:rPr>
    </w:lvl>
    <w:lvl w:ilvl="1" w:tplc="30D0E9B0">
      <w:numFmt w:val="decimal"/>
      <w:lvlText w:val=""/>
      <w:lvlJc w:val="left"/>
    </w:lvl>
    <w:lvl w:ilvl="2" w:tplc="9FBEB812">
      <w:numFmt w:val="decimal"/>
      <w:lvlText w:val=""/>
      <w:lvlJc w:val="left"/>
    </w:lvl>
    <w:lvl w:ilvl="3" w:tplc="3A425592">
      <w:numFmt w:val="decimal"/>
      <w:lvlText w:val=""/>
      <w:lvlJc w:val="left"/>
    </w:lvl>
    <w:lvl w:ilvl="4" w:tplc="56E882C8">
      <w:numFmt w:val="decimal"/>
      <w:lvlText w:val=""/>
      <w:lvlJc w:val="left"/>
    </w:lvl>
    <w:lvl w:ilvl="5" w:tplc="DB2247D0">
      <w:numFmt w:val="decimal"/>
      <w:lvlText w:val=""/>
      <w:lvlJc w:val="left"/>
    </w:lvl>
    <w:lvl w:ilvl="6" w:tplc="8E609F58">
      <w:numFmt w:val="decimal"/>
      <w:lvlText w:val=""/>
      <w:lvlJc w:val="left"/>
    </w:lvl>
    <w:lvl w:ilvl="7" w:tplc="8DB02DB0">
      <w:numFmt w:val="decimal"/>
      <w:lvlText w:val=""/>
      <w:lvlJc w:val="left"/>
    </w:lvl>
    <w:lvl w:ilvl="8" w:tplc="0CF6798E">
      <w:numFmt w:val="decimal"/>
      <w:lvlText w:val=""/>
      <w:lvlJc w:val="left"/>
    </w:lvl>
  </w:abstractNum>
  <w:abstractNum w:abstractNumId="1216" w15:restartNumberingAfterBreak="0">
    <w:nsid w:val="5D183B3F"/>
    <w:multiLevelType w:val="hybridMultilevel"/>
    <w:tmpl w:val="3970DBFA"/>
    <w:lvl w:ilvl="0" w:tplc="82FA4664">
      <w:numFmt w:val="decimal"/>
      <w:lvlText w:val=""/>
      <w:lvlJc w:val="left"/>
    </w:lvl>
    <w:lvl w:ilvl="1" w:tplc="E672695A">
      <w:start w:val="1"/>
      <w:numFmt w:val="bullet"/>
      <w:lvlText w:val=""/>
      <w:lvlJc w:val="left"/>
      <w:pPr>
        <w:ind w:left="1440" w:hanging="180"/>
      </w:pPr>
      <w:rPr>
        <w:rFonts w:ascii="Symbol" w:hAnsi="Symbol" w:hint="default"/>
      </w:rPr>
    </w:lvl>
    <w:lvl w:ilvl="2" w:tplc="2EA6FB2A">
      <w:numFmt w:val="decimal"/>
      <w:lvlText w:val=""/>
      <w:lvlJc w:val="left"/>
    </w:lvl>
    <w:lvl w:ilvl="3" w:tplc="1D6044C4">
      <w:numFmt w:val="decimal"/>
      <w:lvlText w:val=""/>
      <w:lvlJc w:val="left"/>
    </w:lvl>
    <w:lvl w:ilvl="4" w:tplc="860C1B0A">
      <w:numFmt w:val="decimal"/>
      <w:lvlText w:val=""/>
      <w:lvlJc w:val="left"/>
    </w:lvl>
    <w:lvl w:ilvl="5" w:tplc="9620C81A">
      <w:numFmt w:val="decimal"/>
      <w:lvlText w:val=""/>
      <w:lvlJc w:val="left"/>
    </w:lvl>
    <w:lvl w:ilvl="6" w:tplc="26D4DCF8">
      <w:numFmt w:val="decimal"/>
      <w:lvlText w:val=""/>
      <w:lvlJc w:val="left"/>
    </w:lvl>
    <w:lvl w:ilvl="7" w:tplc="B33444B6">
      <w:numFmt w:val="decimal"/>
      <w:lvlText w:val=""/>
      <w:lvlJc w:val="left"/>
    </w:lvl>
    <w:lvl w:ilvl="8" w:tplc="733E7AFC">
      <w:numFmt w:val="decimal"/>
      <w:lvlText w:val=""/>
      <w:lvlJc w:val="left"/>
    </w:lvl>
  </w:abstractNum>
  <w:abstractNum w:abstractNumId="1217" w15:restartNumberingAfterBreak="0">
    <w:nsid w:val="5D455DC5"/>
    <w:multiLevelType w:val="hybridMultilevel"/>
    <w:tmpl w:val="0F02362C"/>
    <w:lvl w:ilvl="0" w:tplc="9836CE6C">
      <w:start w:val="1"/>
      <w:numFmt w:val="bullet"/>
      <w:lvlText w:val=""/>
      <w:lvlJc w:val="left"/>
      <w:pPr>
        <w:ind w:left="720" w:hanging="180"/>
      </w:pPr>
      <w:rPr>
        <w:rFonts w:ascii="Symbol" w:hAnsi="Symbol" w:hint="default"/>
      </w:rPr>
    </w:lvl>
    <w:lvl w:ilvl="1" w:tplc="9F80A40A">
      <w:numFmt w:val="decimal"/>
      <w:lvlText w:val=""/>
      <w:lvlJc w:val="left"/>
    </w:lvl>
    <w:lvl w:ilvl="2" w:tplc="AF9433BC">
      <w:numFmt w:val="decimal"/>
      <w:lvlText w:val=""/>
      <w:lvlJc w:val="left"/>
    </w:lvl>
    <w:lvl w:ilvl="3" w:tplc="09846C28">
      <w:numFmt w:val="decimal"/>
      <w:lvlText w:val=""/>
      <w:lvlJc w:val="left"/>
    </w:lvl>
    <w:lvl w:ilvl="4" w:tplc="C6AADE62">
      <w:numFmt w:val="decimal"/>
      <w:lvlText w:val=""/>
      <w:lvlJc w:val="left"/>
    </w:lvl>
    <w:lvl w:ilvl="5" w:tplc="EBA84ED2">
      <w:numFmt w:val="decimal"/>
      <w:lvlText w:val=""/>
      <w:lvlJc w:val="left"/>
    </w:lvl>
    <w:lvl w:ilvl="6" w:tplc="661CAB4C">
      <w:numFmt w:val="decimal"/>
      <w:lvlText w:val=""/>
      <w:lvlJc w:val="left"/>
    </w:lvl>
    <w:lvl w:ilvl="7" w:tplc="1284A5C6">
      <w:numFmt w:val="decimal"/>
      <w:lvlText w:val=""/>
      <w:lvlJc w:val="left"/>
    </w:lvl>
    <w:lvl w:ilvl="8" w:tplc="1666931C">
      <w:numFmt w:val="decimal"/>
      <w:lvlText w:val=""/>
      <w:lvlJc w:val="left"/>
    </w:lvl>
  </w:abstractNum>
  <w:abstractNum w:abstractNumId="1218" w15:restartNumberingAfterBreak="0">
    <w:nsid w:val="5D501244"/>
    <w:multiLevelType w:val="hybridMultilevel"/>
    <w:tmpl w:val="E4482B74"/>
    <w:lvl w:ilvl="0" w:tplc="5B2C1468">
      <w:start w:val="1"/>
      <w:numFmt w:val="bullet"/>
      <w:lvlText w:val=""/>
      <w:lvlJc w:val="left"/>
      <w:pPr>
        <w:ind w:left="720" w:hanging="180"/>
      </w:pPr>
      <w:rPr>
        <w:rFonts w:ascii="Symbol" w:hAnsi="Symbol" w:hint="default"/>
      </w:rPr>
    </w:lvl>
    <w:lvl w:ilvl="1" w:tplc="4AA4C9D6">
      <w:numFmt w:val="decimal"/>
      <w:lvlText w:val=""/>
      <w:lvlJc w:val="left"/>
    </w:lvl>
    <w:lvl w:ilvl="2" w:tplc="D1121C54">
      <w:numFmt w:val="decimal"/>
      <w:lvlText w:val=""/>
      <w:lvlJc w:val="left"/>
    </w:lvl>
    <w:lvl w:ilvl="3" w:tplc="0FC8D478">
      <w:numFmt w:val="decimal"/>
      <w:lvlText w:val=""/>
      <w:lvlJc w:val="left"/>
    </w:lvl>
    <w:lvl w:ilvl="4" w:tplc="A0C89348">
      <w:numFmt w:val="decimal"/>
      <w:lvlText w:val=""/>
      <w:lvlJc w:val="left"/>
    </w:lvl>
    <w:lvl w:ilvl="5" w:tplc="BBEA7980">
      <w:numFmt w:val="decimal"/>
      <w:lvlText w:val=""/>
      <w:lvlJc w:val="left"/>
    </w:lvl>
    <w:lvl w:ilvl="6" w:tplc="B68A8588">
      <w:numFmt w:val="decimal"/>
      <w:lvlText w:val=""/>
      <w:lvlJc w:val="left"/>
    </w:lvl>
    <w:lvl w:ilvl="7" w:tplc="32D8D0DA">
      <w:numFmt w:val="decimal"/>
      <w:lvlText w:val=""/>
      <w:lvlJc w:val="left"/>
    </w:lvl>
    <w:lvl w:ilvl="8" w:tplc="B2F87802">
      <w:numFmt w:val="decimal"/>
      <w:lvlText w:val=""/>
      <w:lvlJc w:val="left"/>
    </w:lvl>
  </w:abstractNum>
  <w:abstractNum w:abstractNumId="1219" w15:restartNumberingAfterBreak="0">
    <w:nsid w:val="5D611F47"/>
    <w:multiLevelType w:val="hybridMultilevel"/>
    <w:tmpl w:val="4E268116"/>
    <w:lvl w:ilvl="0" w:tplc="99CC9390">
      <w:start w:val="1"/>
      <w:numFmt w:val="bullet"/>
      <w:lvlText w:val=""/>
      <w:lvlJc w:val="left"/>
      <w:pPr>
        <w:ind w:left="720" w:hanging="180"/>
      </w:pPr>
      <w:rPr>
        <w:rFonts w:ascii="Symbol" w:hAnsi="Symbol" w:hint="default"/>
      </w:rPr>
    </w:lvl>
    <w:lvl w:ilvl="1" w:tplc="88965DD2">
      <w:numFmt w:val="decimal"/>
      <w:lvlText w:val=""/>
      <w:lvlJc w:val="left"/>
    </w:lvl>
    <w:lvl w:ilvl="2" w:tplc="C6009B00">
      <w:numFmt w:val="decimal"/>
      <w:lvlText w:val=""/>
      <w:lvlJc w:val="left"/>
    </w:lvl>
    <w:lvl w:ilvl="3" w:tplc="EC8695BE">
      <w:numFmt w:val="decimal"/>
      <w:lvlText w:val=""/>
      <w:lvlJc w:val="left"/>
    </w:lvl>
    <w:lvl w:ilvl="4" w:tplc="0D2EFA44">
      <w:numFmt w:val="decimal"/>
      <w:lvlText w:val=""/>
      <w:lvlJc w:val="left"/>
    </w:lvl>
    <w:lvl w:ilvl="5" w:tplc="C64AAAB0">
      <w:numFmt w:val="decimal"/>
      <w:lvlText w:val=""/>
      <w:lvlJc w:val="left"/>
    </w:lvl>
    <w:lvl w:ilvl="6" w:tplc="975639FE">
      <w:numFmt w:val="decimal"/>
      <w:lvlText w:val=""/>
      <w:lvlJc w:val="left"/>
    </w:lvl>
    <w:lvl w:ilvl="7" w:tplc="2DC68646">
      <w:numFmt w:val="decimal"/>
      <w:lvlText w:val=""/>
      <w:lvlJc w:val="left"/>
    </w:lvl>
    <w:lvl w:ilvl="8" w:tplc="A6860BD8">
      <w:numFmt w:val="decimal"/>
      <w:lvlText w:val=""/>
      <w:lvlJc w:val="left"/>
    </w:lvl>
  </w:abstractNum>
  <w:abstractNum w:abstractNumId="1220" w15:restartNumberingAfterBreak="0">
    <w:nsid w:val="5D930B05"/>
    <w:multiLevelType w:val="hybridMultilevel"/>
    <w:tmpl w:val="F1888A80"/>
    <w:lvl w:ilvl="0" w:tplc="BBF40F74">
      <w:start w:val="1"/>
      <w:numFmt w:val="bullet"/>
      <w:lvlText w:val=""/>
      <w:lvlJc w:val="left"/>
      <w:pPr>
        <w:ind w:left="720" w:hanging="180"/>
      </w:pPr>
      <w:rPr>
        <w:rFonts w:ascii="Symbol" w:hAnsi="Symbol" w:hint="default"/>
      </w:rPr>
    </w:lvl>
    <w:lvl w:ilvl="1" w:tplc="202A5438">
      <w:numFmt w:val="decimal"/>
      <w:lvlText w:val=""/>
      <w:lvlJc w:val="left"/>
    </w:lvl>
    <w:lvl w:ilvl="2" w:tplc="450E7E16">
      <w:numFmt w:val="decimal"/>
      <w:lvlText w:val=""/>
      <w:lvlJc w:val="left"/>
    </w:lvl>
    <w:lvl w:ilvl="3" w:tplc="9A483F58">
      <w:numFmt w:val="decimal"/>
      <w:lvlText w:val=""/>
      <w:lvlJc w:val="left"/>
    </w:lvl>
    <w:lvl w:ilvl="4" w:tplc="A1E6A4EC">
      <w:numFmt w:val="decimal"/>
      <w:lvlText w:val=""/>
      <w:lvlJc w:val="left"/>
    </w:lvl>
    <w:lvl w:ilvl="5" w:tplc="64E044C0">
      <w:numFmt w:val="decimal"/>
      <w:lvlText w:val=""/>
      <w:lvlJc w:val="left"/>
    </w:lvl>
    <w:lvl w:ilvl="6" w:tplc="E812B9F2">
      <w:numFmt w:val="decimal"/>
      <w:lvlText w:val=""/>
      <w:lvlJc w:val="left"/>
    </w:lvl>
    <w:lvl w:ilvl="7" w:tplc="0FD009D8">
      <w:numFmt w:val="decimal"/>
      <w:lvlText w:val=""/>
      <w:lvlJc w:val="left"/>
    </w:lvl>
    <w:lvl w:ilvl="8" w:tplc="199834A6">
      <w:numFmt w:val="decimal"/>
      <w:lvlText w:val=""/>
      <w:lvlJc w:val="left"/>
    </w:lvl>
  </w:abstractNum>
  <w:abstractNum w:abstractNumId="1221" w15:restartNumberingAfterBreak="0">
    <w:nsid w:val="5DA006F4"/>
    <w:multiLevelType w:val="hybridMultilevel"/>
    <w:tmpl w:val="E03035FE"/>
    <w:lvl w:ilvl="0" w:tplc="BAC4A0EA">
      <w:numFmt w:val="decimal"/>
      <w:lvlText w:val=""/>
      <w:lvlJc w:val="left"/>
    </w:lvl>
    <w:lvl w:ilvl="1" w:tplc="B61E3BE6">
      <w:start w:val="1"/>
      <w:numFmt w:val="bullet"/>
      <w:lvlText w:val=""/>
      <w:lvlJc w:val="left"/>
      <w:pPr>
        <w:ind w:left="1440" w:hanging="180"/>
      </w:pPr>
      <w:rPr>
        <w:rFonts w:ascii="Symbol" w:hAnsi="Symbol" w:hint="default"/>
      </w:rPr>
    </w:lvl>
    <w:lvl w:ilvl="2" w:tplc="5726A7F2">
      <w:numFmt w:val="decimal"/>
      <w:lvlText w:val=""/>
      <w:lvlJc w:val="left"/>
    </w:lvl>
    <w:lvl w:ilvl="3" w:tplc="984ACDEE">
      <w:numFmt w:val="decimal"/>
      <w:lvlText w:val=""/>
      <w:lvlJc w:val="left"/>
    </w:lvl>
    <w:lvl w:ilvl="4" w:tplc="9F725EE0">
      <w:numFmt w:val="decimal"/>
      <w:lvlText w:val=""/>
      <w:lvlJc w:val="left"/>
    </w:lvl>
    <w:lvl w:ilvl="5" w:tplc="15E8C102">
      <w:numFmt w:val="decimal"/>
      <w:lvlText w:val=""/>
      <w:lvlJc w:val="left"/>
    </w:lvl>
    <w:lvl w:ilvl="6" w:tplc="FF00356C">
      <w:numFmt w:val="decimal"/>
      <w:lvlText w:val=""/>
      <w:lvlJc w:val="left"/>
    </w:lvl>
    <w:lvl w:ilvl="7" w:tplc="DCE25A46">
      <w:numFmt w:val="decimal"/>
      <w:lvlText w:val=""/>
      <w:lvlJc w:val="left"/>
    </w:lvl>
    <w:lvl w:ilvl="8" w:tplc="9A425CCE">
      <w:numFmt w:val="decimal"/>
      <w:lvlText w:val=""/>
      <w:lvlJc w:val="left"/>
    </w:lvl>
  </w:abstractNum>
  <w:abstractNum w:abstractNumId="1222" w15:restartNumberingAfterBreak="0">
    <w:nsid w:val="5DA121E8"/>
    <w:multiLevelType w:val="hybridMultilevel"/>
    <w:tmpl w:val="E88A82C6"/>
    <w:lvl w:ilvl="0" w:tplc="43ACB32A">
      <w:start w:val="1"/>
      <w:numFmt w:val="bullet"/>
      <w:lvlText w:val=""/>
      <w:lvlJc w:val="left"/>
      <w:pPr>
        <w:ind w:left="720" w:hanging="180"/>
      </w:pPr>
      <w:rPr>
        <w:rFonts w:ascii="Symbol" w:hAnsi="Symbol" w:hint="default"/>
      </w:rPr>
    </w:lvl>
    <w:lvl w:ilvl="1" w:tplc="E9342AE8">
      <w:numFmt w:val="decimal"/>
      <w:lvlText w:val=""/>
      <w:lvlJc w:val="left"/>
    </w:lvl>
    <w:lvl w:ilvl="2" w:tplc="5DC0E1EA">
      <w:numFmt w:val="decimal"/>
      <w:lvlText w:val=""/>
      <w:lvlJc w:val="left"/>
    </w:lvl>
    <w:lvl w:ilvl="3" w:tplc="62B4E8BC">
      <w:numFmt w:val="decimal"/>
      <w:lvlText w:val=""/>
      <w:lvlJc w:val="left"/>
    </w:lvl>
    <w:lvl w:ilvl="4" w:tplc="0ED2DF20">
      <w:numFmt w:val="decimal"/>
      <w:lvlText w:val=""/>
      <w:lvlJc w:val="left"/>
    </w:lvl>
    <w:lvl w:ilvl="5" w:tplc="4D0ADF12">
      <w:numFmt w:val="decimal"/>
      <w:lvlText w:val=""/>
      <w:lvlJc w:val="left"/>
    </w:lvl>
    <w:lvl w:ilvl="6" w:tplc="52504F42">
      <w:numFmt w:val="decimal"/>
      <w:lvlText w:val=""/>
      <w:lvlJc w:val="left"/>
    </w:lvl>
    <w:lvl w:ilvl="7" w:tplc="0F26771E">
      <w:numFmt w:val="decimal"/>
      <w:lvlText w:val=""/>
      <w:lvlJc w:val="left"/>
    </w:lvl>
    <w:lvl w:ilvl="8" w:tplc="320AF75E">
      <w:numFmt w:val="decimal"/>
      <w:lvlText w:val=""/>
      <w:lvlJc w:val="left"/>
    </w:lvl>
  </w:abstractNum>
  <w:abstractNum w:abstractNumId="1223" w15:restartNumberingAfterBreak="0">
    <w:nsid w:val="5DA42C04"/>
    <w:multiLevelType w:val="hybridMultilevel"/>
    <w:tmpl w:val="9098AAD8"/>
    <w:lvl w:ilvl="0" w:tplc="AAAE8494">
      <w:start w:val="1"/>
      <w:numFmt w:val="bullet"/>
      <w:lvlText w:val=""/>
      <w:lvlJc w:val="left"/>
      <w:pPr>
        <w:ind w:left="720" w:hanging="180"/>
      </w:pPr>
      <w:rPr>
        <w:rFonts w:ascii="Symbol" w:hAnsi="Symbol" w:hint="default"/>
      </w:rPr>
    </w:lvl>
    <w:lvl w:ilvl="1" w:tplc="B37C2A90">
      <w:numFmt w:val="decimal"/>
      <w:lvlText w:val=""/>
      <w:lvlJc w:val="left"/>
    </w:lvl>
    <w:lvl w:ilvl="2" w:tplc="59440BFA">
      <w:numFmt w:val="decimal"/>
      <w:lvlText w:val=""/>
      <w:lvlJc w:val="left"/>
    </w:lvl>
    <w:lvl w:ilvl="3" w:tplc="B12A3476">
      <w:numFmt w:val="decimal"/>
      <w:lvlText w:val=""/>
      <w:lvlJc w:val="left"/>
    </w:lvl>
    <w:lvl w:ilvl="4" w:tplc="06322B5A">
      <w:numFmt w:val="decimal"/>
      <w:lvlText w:val=""/>
      <w:lvlJc w:val="left"/>
    </w:lvl>
    <w:lvl w:ilvl="5" w:tplc="88E8BD6E">
      <w:numFmt w:val="decimal"/>
      <w:lvlText w:val=""/>
      <w:lvlJc w:val="left"/>
    </w:lvl>
    <w:lvl w:ilvl="6" w:tplc="D676ECCC">
      <w:numFmt w:val="decimal"/>
      <w:lvlText w:val=""/>
      <w:lvlJc w:val="left"/>
    </w:lvl>
    <w:lvl w:ilvl="7" w:tplc="1298A472">
      <w:numFmt w:val="decimal"/>
      <w:lvlText w:val=""/>
      <w:lvlJc w:val="left"/>
    </w:lvl>
    <w:lvl w:ilvl="8" w:tplc="3B0E0E34">
      <w:numFmt w:val="decimal"/>
      <w:lvlText w:val=""/>
      <w:lvlJc w:val="left"/>
    </w:lvl>
  </w:abstractNum>
  <w:abstractNum w:abstractNumId="1224" w15:restartNumberingAfterBreak="0">
    <w:nsid w:val="5DB065C7"/>
    <w:multiLevelType w:val="hybridMultilevel"/>
    <w:tmpl w:val="93E43E32"/>
    <w:lvl w:ilvl="0" w:tplc="7528E91A">
      <w:start w:val="1"/>
      <w:numFmt w:val="bullet"/>
      <w:lvlText w:val=""/>
      <w:lvlJc w:val="left"/>
      <w:pPr>
        <w:ind w:left="720" w:hanging="180"/>
      </w:pPr>
      <w:rPr>
        <w:rFonts w:ascii="Symbol" w:hAnsi="Symbol" w:hint="default"/>
      </w:rPr>
    </w:lvl>
    <w:lvl w:ilvl="1" w:tplc="0F5C8460">
      <w:numFmt w:val="decimal"/>
      <w:lvlText w:val=""/>
      <w:lvlJc w:val="left"/>
    </w:lvl>
    <w:lvl w:ilvl="2" w:tplc="EC843210">
      <w:numFmt w:val="decimal"/>
      <w:lvlText w:val=""/>
      <w:lvlJc w:val="left"/>
    </w:lvl>
    <w:lvl w:ilvl="3" w:tplc="E01A0290">
      <w:numFmt w:val="decimal"/>
      <w:lvlText w:val=""/>
      <w:lvlJc w:val="left"/>
    </w:lvl>
    <w:lvl w:ilvl="4" w:tplc="9A9AA2A8">
      <w:numFmt w:val="decimal"/>
      <w:lvlText w:val=""/>
      <w:lvlJc w:val="left"/>
    </w:lvl>
    <w:lvl w:ilvl="5" w:tplc="AE800E6E">
      <w:numFmt w:val="decimal"/>
      <w:lvlText w:val=""/>
      <w:lvlJc w:val="left"/>
    </w:lvl>
    <w:lvl w:ilvl="6" w:tplc="FED84F7A">
      <w:numFmt w:val="decimal"/>
      <w:lvlText w:val=""/>
      <w:lvlJc w:val="left"/>
    </w:lvl>
    <w:lvl w:ilvl="7" w:tplc="657E20EE">
      <w:numFmt w:val="decimal"/>
      <w:lvlText w:val=""/>
      <w:lvlJc w:val="left"/>
    </w:lvl>
    <w:lvl w:ilvl="8" w:tplc="C38C5792">
      <w:numFmt w:val="decimal"/>
      <w:lvlText w:val=""/>
      <w:lvlJc w:val="left"/>
    </w:lvl>
  </w:abstractNum>
  <w:abstractNum w:abstractNumId="1225" w15:restartNumberingAfterBreak="0">
    <w:nsid w:val="5DCD3AEB"/>
    <w:multiLevelType w:val="hybridMultilevel"/>
    <w:tmpl w:val="EFD425AC"/>
    <w:lvl w:ilvl="0" w:tplc="8E500472">
      <w:numFmt w:val="decimal"/>
      <w:lvlText w:val=""/>
      <w:lvlJc w:val="left"/>
    </w:lvl>
    <w:lvl w:ilvl="1" w:tplc="C6066954">
      <w:start w:val="1"/>
      <w:numFmt w:val="bullet"/>
      <w:lvlText w:val=""/>
      <w:lvlJc w:val="left"/>
      <w:pPr>
        <w:ind w:left="1440" w:hanging="180"/>
      </w:pPr>
      <w:rPr>
        <w:rFonts w:ascii="Symbol" w:hAnsi="Symbol" w:hint="default"/>
      </w:rPr>
    </w:lvl>
    <w:lvl w:ilvl="2" w:tplc="15B8A7D0">
      <w:numFmt w:val="decimal"/>
      <w:lvlText w:val=""/>
      <w:lvlJc w:val="left"/>
    </w:lvl>
    <w:lvl w:ilvl="3" w:tplc="8166AF00">
      <w:numFmt w:val="decimal"/>
      <w:lvlText w:val=""/>
      <w:lvlJc w:val="left"/>
    </w:lvl>
    <w:lvl w:ilvl="4" w:tplc="06A43312">
      <w:numFmt w:val="decimal"/>
      <w:lvlText w:val=""/>
      <w:lvlJc w:val="left"/>
    </w:lvl>
    <w:lvl w:ilvl="5" w:tplc="81CCED2A">
      <w:numFmt w:val="decimal"/>
      <w:lvlText w:val=""/>
      <w:lvlJc w:val="left"/>
    </w:lvl>
    <w:lvl w:ilvl="6" w:tplc="F9F0FC1C">
      <w:numFmt w:val="decimal"/>
      <w:lvlText w:val=""/>
      <w:lvlJc w:val="left"/>
    </w:lvl>
    <w:lvl w:ilvl="7" w:tplc="42343B94">
      <w:numFmt w:val="decimal"/>
      <w:lvlText w:val=""/>
      <w:lvlJc w:val="left"/>
    </w:lvl>
    <w:lvl w:ilvl="8" w:tplc="016E3658">
      <w:numFmt w:val="decimal"/>
      <w:lvlText w:val=""/>
      <w:lvlJc w:val="left"/>
    </w:lvl>
  </w:abstractNum>
  <w:abstractNum w:abstractNumId="1226" w15:restartNumberingAfterBreak="0">
    <w:nsid w:val="5DE0222C"/>
    <w:multiLevelType w:val="hybridMultilevel"/>
    <w:tmpl w:val="38824E82"/>
    <w:lvl w:ilvl="0" w:tplc="2A2434BA">
      <w:start w:val="1"/>
      <w:numFmt w:val="bullet"/>
      <w:lvlText w:val=""/>
      <w:lvlJc w:val="left"/>
      <w:pPr>
        <w:ind w:left="720" w:hanging="180"/>
      </w:pPr>
      <w:rPr>
        <w:rFonts w:ascii="Symbol" w:hAnsi="Symbol" w:hint="default"/>
      </w:rPr>
    </w:lvl>
    <w:lvl w:ilvl="1" w:tplc="0B92392C">
      <w:numFmt w:val="decimal"/>
      <w:lvlText w:val=""/>
      <w:lvlJc w:val="left"/>
    </w:lvl>
    <w:lvl w:ilvl="2" w:tplc="CB8AF924">
      <w:numFmt w:val="decimal"/>
      <w:lvlText w:val=""/>
      <w:lvlJc w:val="left"/>
    </w:lvl>
    <w:lvl w:ilvl="3" w:tplc="A3D4A4F2">
      <w:numFmt w:val="decimal"/>
      <w:lvlText w:val=""/>
      <w:lvlJc w:val="left"/>
    </w:lvl>
    <w:lvl w:ilvl="4" w:tplc="733893D8">
      <w:numFmt w:val="decimal"/>
      <w:lvlText w:val=""/>
      <w:lvlJc w:val="left"/>
    </w:lvl>
    <w:lvl w:ilvl="5" w:tplc="734CC26C">
      <w:numFmt w:val="decimal"/>
      <w:lvlText w:val=""/>
      <w:lvlJc w:val="left"/>
    </w:lvl>
    <w:lvl w:ilvl="6" w:tplc="2544FF68">
      <w:numFmt w:val="decimal"/>
      <w:lvlText w:val=""/>
      <w:lvlJc w:val="left"/>
    </w:lvl>
    <w:lvl w:ilvl="7" w:tplc="DF1A7FD4">
      <w:numFmt w:val="decimal"/>
      <w:lvlText w:val=""/>
      <w:lvlJc w:val="left"/>
    </w:lvl>
    <w:lvl w:ilvl="8" w:tplc="72B61582">
      <w:numFmt w:val="decimal"/>
      <w:lvlText w:val=""/>
      <w:lvlJc w:val="left"/>
    </w:lvl>
  </w:abstractNum>
  <w:abstractNum w:abstractNumId="1227" w15:restartNumberingAfterBreak="0">
    <w:nsid w:val="5E430924"/>
    <w:multiLevelType w:val="hybridMultilevel"/>
    <w:tmpl w:val="A2D410A8"/>
    <w:lvl w:ilvl="0" w:tplc="77A6B228">
      <w:start w:val="1"/>
      <w:numFmt w:val="bullet"/>
      <w:lvlText w:val=""/>
      <w:lvlJc w:val="left"/>
      <w:pPr>
        <w:ind w:left="720" w:hanging="180"/>
      </w:pPr>
      <w:rPr>
        <w:rFonts w:ascii="Symbol" w:hAnsi="Symbol" w:hint="default"/>
      </w:rPr>
    </w:lvl>
    <w:lvl w:ilvl="1" w:tplc="31AC0492">
      <w:numFmt w:val="decimal"/>
      <w:lvlText w:val=""/>
      <w:lvlJc w:val="left"/>
    </w:lvl>
    <w:lvl w:ilvl="2" w:tplc="8F7E446E">
      <w:numFmt w:val="decimal"/>
      <w:lvlText w:val=""/>
      <w:lvlJc w:val="left"/>
    </w:lvl>
    <w:lvl w:ilvl="3" w:tplc="B7A8614A">
      <w:numFmt w:val="decimal"/>
      <w:lvlText w:val=""/>
      <w:lvlJc w:val="left"/>
    </w:lvl>
    <w:lvl w:ilvl="4" w:tplc="CC84788C">
      <w:numFmt w:val="decimal"/>
      <w:lvlText w:val=""/>
      <w:lvlJc w:val="left"/>
    </w:lvl>
    <w:lvl w:ilvl="5" w:tplc="2208EECA">
      <w:numFmt w:val="decimal"/>
      <w:lvlText w:val=""/>
      <w:lvlJc w:val="left"/>
    </w:lvl>
    <w:lvl w:ilvl="6" w:tplc="68CCE2C2">
      <w:numFmt w:val="decimal"/>
      <w:lvlText w:val=""/>
      <w:lvlJc w:val="left"/>
    </w:lvl>
    <w:lvl w:ilvl="7" w:tplc="B7664DA4">
      <w:numFmt w:val="decimal"/>
      <w:lvlText w:val=""/>
      <w:lvlJc w:val="left"/>
    </w:lvl>
    <w:lvl w:ilvl="8" w:tplc="E764A798">
      <w:numFmt w:val="decimal"/>
      <w:lvlText w:val=""/>
      <w:lvlJc w:val="left"/>
    </w:lvl>
  </w:abstractNum>
  <w:abstractNum w:abstractNumId="1228" w15:restartNumberingAfterBreak="0">
    <w:nsid w:val="5E470425"/>
    <w:multiLevelType w:val="hybridMultilevel"/>
    <w:tmpl w:val="4A5C19A4"/>
    <w:lvl w:ilvl="0" w:tplc="10B8B89C">
      <w:start w:val="1"/>
      <w:numFmt w:val="bullet"/>
      <w:lvlText w:val=""/>
      <w:lvlJc w:val="left"/>
      <w:pPr>
        <w:ind w:left="720" w:hanging="180"/>
      </w:pPr>
      <w:rPr>
        <w:rFonts w:ascii="Symbol" w:hAnsi="Symbol" w:hint="default"/>
      </w:rPr>
    </w:lvl>
    <w:lvl w:ilvl="1" w:tplc="D09EE2F0">
      <w:numFmt w:val="decimal"/>
      <w:lvlText w:val=""/>
      <w:lvlJc w:val="left"/>
    </w:lvl>
    <w:lvl w:ilvl="2" w:tplc="D668DA22">
      <w:numFmt w:val="decimal"/>
      <w:lvlText w:val=""/>
      <w:lvlJc w:val="left"/>
    </w:lvl>
    <w:lvl w:ilvl="3" w:tplc="DA8A6F6E">
      <w:numFmt w:val="decimal"/>
      <w:lvlText w:val=""/>
      <w:lvlJc w:val="left"/>
    </w:lvl>
    <w:lvl w:ilvl="4" w:tplc="3748383C">
      <w:numFmt w:val="decimal"/>
      <w:lvlText w:val=""/>
      <w:lvlJc w:val="left"/>
    </w:lvl>
    <w:lvl w:ilvl="5" w:tplc="DBEC994C">
      <w:numFmt w:val="decimal"/>
      <w:lvlText w:val=""/>
      <w:lvlJc w:val="left"/>
    </w:lvl>
    <w:lvl w:ilvl="6" w:tplc="6E3A19EE">
      <w:numFmt w:val="decimal"/>
      <w:lvlText w:val=""/>
      <w:lvlJc w:val="left"/>
    </w:lvl>
    <w:lvl w:ilvl="7" w:tplc="3AECD4C8">
      <w:numFmt w:val="decimal"/>
      <w:lvlText w:val=""/>
      <w:lvlJc w:val="left"/>
    </w:lvl>
    <w:lvl w:ilvl="8" w:tplc="795C3916">
      <w:numFmt w:val="decimal"/>
      <w:lvlText w:val=""/>
      <w:lvlJc w:val="left"/>
    </w:lvl>
  </w:abstractNum>
  <w:abstractNum w:abstractNumId="1229" w15:restartNumberingAfterBreak="0">
    <w:nsid w:val="5E576BE9"/>
    <w:multiLevelType w:val="hybridMultilevel"/>
    <w:tmpl w:val="0A327D26"/>
    <w:lvl w:ilvl="0" w:tplc="9C3C3752">
      <w:start w:val="1"/>
      <w:numFmt w:val="bullet"/>
      <w:lvlText w:val=""/>
      <w:lvlJc w:val="left"/>
      <w:pPr>
        <w:ind w:left="720" w:hanging="180"/>
      </w:pPr>
      <w:rPr>
        <w:rFonts w:ascii="Symbol" w:hAnsi="Symbol" w:hint="default"/>
      </w:rPr>
    </w:lvl>
    <w:lvl w:ilvl="1" w:tplc="B276C698">
      <w:numFmt w:val="decimal"/>
      <w:lvlText w:val=""/>
      <w:lvlJc w:val="left"/>
    </w:lvl>
    <w:lvl w:ilvl="2" w:tplc="49D2521A">
      <w:numFmt w:val="decimal"/>
      <w:lvlText w:val=""/>
      <w:lvlJc w:val="left"/>
    </w:lvl>
    <w:lvl w:ilvl="3" w:tplc="2B2CB2D0">
      <w:numFmt w:val="decimal"/>
      <w:lvlText w:val=""/>
      <w:lvlJc w:val="left"/>
    </w:lvl>
    <w:lvl w:ilvl="4" w:tplc="732610D8">
      <w:numFmt w:val="decimal"/>
      <w:lvlText w:val=""/>
      <w:lvlJc w:val="left"/>
    </w:lvl>
    <w:lvl w:ilvl="5" w:tplc="B156B78E">
      <w:numFmt w:val="decimal"/>
      <w:lvlText w:val=""/>
      <w:lvlJc w:val="left"/>
    </w:lvl>
    <w:lvl w:ilvl="6" w:tplc="47C60260">
      <w:numFmt w:val="decimal"/>
      <w:lvlText w:val=""/>
      <w:lvlJc w:val="left"/>
    </w:lvl>
    <w:lvl w:ilvl="7" w:tplc="5826043E">
      <w:numFmt w:val="decimal"/>
      <w:lvlText w:val=""/>
      <w:lvlJc w:val="left"/>
    </w:lvl>
    <w:lvl w:ilvl="8" w:tplc="1FB49F54">
      <w:numFmt w:val="decimal"/>
      <w:lvlText w:val=""/>
      <w:lvlJc w:val="left"/>
    </w:lvl>
  </w:abstractNum>
  <w:abstractNum w:abstractNumId="1230" w15:restartNumberingAfterBreak="0">
    <w:nsid w:val="5E5B1AAE"/>
    <w:multiLevelType w:val="hybridMultilevel"/>
    <w:tmpl w:val="8398C062"/>
    <w:lvl w:ilvl="0" w:tplc="2842C3A0">
      <w:start w:val="1"/>
      <w:numFmt w:val="bullet"/>
      <w:lvlText w:val=""/>
      <w:lvlJc w:val="left"/>
      <w:pPr>
        <w:ind w:left="720" w:hanging="180"/>
      </w:pPr>
      <w:rPr>
        <w:rFonts w:ascii="Symbol" w:hAnsi="Symbol" w:hint="default"/>
      </w:rPr>
    </w:lvl>
    <w:lvl w:ilvl="1" w:tplc="6726AB98">
      <w:numFmt w:val="decimal"/>
      <w:lvlText w:val=""/>
      <w:lvlJc w:val="left"/>
    </w:lvl>
    <w:lvl w:ilvl="2" w:tplc="707E1BEA">
      <w:numFmt w:val="decimal"/>
      <w:lvlText w:val=""/>
      <w:lvlJc w:val="left"/>
    </w:lvl>
    <w:lvl w:ilvl="3" w:tplc="573894B0">
      <w:numFmt w:val="decimal"/>
      <w:lvlText w:val=""/>
      <w:lvlJc w:val="left"/>
    </w:lvl>
    <w:lvl w:ilvl="4" w:tplc="95846EE8">
      <w:numFmt w:val="decimal"/>
      <w:lvlText w:val=""/>
      <w:lvlJc w:val="left"/>
    </w:lvl>
    <w:lvl w:ilvl="5" w:tplc="5532E77C">
      <w:numFmt w:val="decimal"/>
      <w:lvlText w:val=""/>
      <w:lvlJc w:val="left"/>
    </w:lvl>
    <w:lvl w:ilvl="6" w:tplc="3DE874A2">
      <w:numFmt w:val="decimal"/>
      <w:lvlText w:val=""/>
      <w:lvlJc w:val="left"/>
    </w:lvl>
    <w:lvl w:ilvl="7" w:tplc="FA4CF216">
      <w:numFmt w:val="decimal"/>
      <w:lvlText w:val=""/>
      <w:lvlJc w:val="left"/>
    </w:lvl>
    <w:lvl w:ilvl="8" w:tplc="CAA4A7B4">
      <w:numFmt w:val="decimal"/>
      <w:lvlText w:val=""/>
      <w:lvlJc w:val="left"/>
    </w:lvl>
  </w:abstractNum>
  <w:abstractNum w:abstractNumId="1231" w15:restartNumberingAfterBreak="0">
    <w:nsid w:val="5E761986"/>
    <w:multiLevelType w:val="hybridMultilevel"/>
    <w:tmpl w:val="DB84FB94"/>
    <w:lvl w:ilvl="0" w:tplc="2288292C">
      <w:start w:val="1"/>
      <w:numFmt w:val="bullet"/>
      <w:lvlText w:val=""/>
      <w:lvlJc w:val="left"/>
      <w:pPr>
        <w:ind w:left="720" w:hanging="180"/>
      </w:pPr>
      <w:rPr>
        <w:rFonts w:ascii="Symbol" w:hAnsi="Symbol" w:hint="default"/>
      </w:rPr>
    </w:lvl>
    <w:lvl w:ilvl="1" w:tplc="DBFA86D2">
      <w:numFmt w:val="decimal"/>
      <w:lvlText w:val=""/>
      <w:lvlJc w:val="left"/>
    </w:lvl>
    <w:lvl w:ilvl="2" w:tplc="9196AE18">
      <w:numFmt w:val="decimal"/>
      <w:lvlText w:val=""/>
      <w:lvlJc w:val="left"/>
    </w:lvl>
    <w:lvl w:ilvl="3" w:tplc="3E58155A">
      <w:numFmt w:val="decimal"/>
      <w:lvlText w:val=""/>
      <w:lvlJc w:val="left"/>
    </w:lvl>
    <w:lvl w:ilvl="4" w:tplc="61A8DAF4">
      <w:numFmt w:val="decimal"/>
      <w:lvlText w:val=""/>
      <w:lvlJc w:val="left"/>
    </w:lvl>
    <w:lvl w:ilvl="5" w:tplc="4EF6B872">
      <w:numFmt w:val="decimal"/>
      <w:lvlText w:val=""/>
      <w:lvlJc w:val="left"/>
    </w:lvl>
    <w:lvl w:ilvl="6" w:tplc="839216E2">
      <w:numFmt w:val="decimal"/>
      <w:lvlText w:val=""/>
      <w:lvlJc w:val="left"/>
    </w:lvl>
    <w:lvl w:ilvl="7" w:tplc="4D3675FE">
      <w:numFmt w:val="decimal"/>
      <w:lvlText w:val=""/>
      <w:lvlJc w:val="left"/>
    </w:lvl>
    <w:lvl w:ilvl="8" w:tplc="EC54EB1A">
      <w:numFmt w:val="decimal"/>
      <w:lvlText w:val=""/>
      <w:lvlJc w:val="left"/>
    </w:lvl>
  </w:abstractNum>
  <w:abstractNum w:abstractNumId="1232" w15:restartNumberingAfterBreak="0">
    <w:nsid w:val="5E7B4E7A"/>
    <w:multiLevelType w:val="hybridMultilevel"/>
    <w:tmpl w:val="CFEE5B2A"/>
    <w:lvl w:ilvl="0" w:tplc="D99E02BE">
      <w:start w:val="1"/>
      <w:numFmt w:val="bullet"/>
      <w:lvlText w:val=""/>
      <w:lvlJc w:val="left"/>
      <w:pPr>
        <w:ind w:left="720" w:hanging="180"/>
      </w:pPr>
      <w:rPr>
        <w:rFonts w:ascii="Symbol" w:hAnsi="Symbol" w:hint="default"/>
      </w:rPr>
    </w:lvl>
    <w:lvl w:ilvl="1" w:tplc="9BBAA536">
      <w:numFmt w:val="decimal"/>
      <w:lvlText w:val=""/>
      <w:lvlJc w:val="left"/>
    </w:lvl>
    <w:lvl w:ilvl="2" w:tplc="82F0CB10">
      <w:numFmt w:val="decimal"/>
      <w:lvlText w:val=""/>
      <w:lvlJc w:val="left"/>
    </w:lvl>
    <w:lvl w:ilvl="3" w:tplc="D5D4A20C">
      <w:numFmt w:val="decimal"/>
      <w:lvlText w:val=""/>
      <w:lvlJc w:val="left"/>
    </w:lvl>
    <w:lvl w:ilvl="4" w:tplc="42866602">
      <w:numFmt w:val="decimal"/>
      <w:lvlText w:val=""/>
      <w:lvlJc w:val="left"/>
    </w:lvl>
    <w:lvl w:ilvl="5" w:tplc="B450D31C">
      <w:numFmt w:val="decimal"/>
      <w:lvlText w:val=""/>
      <w:lvlJc w:val="left"/>
    </w:lvl>
    <w:lvl w:ilvl="6" w:tplc="85B0217E">
      <w:numFmt w:val="decimal"/>
      <w:lvlText w:val=""/>
      <w:lvlJc w:val="left"/>
    </w:lvl>
    <w:lvl w:ilvl="7" w:tplc="58E856EA">
      <w:numFmt w:val="decimal"/>
      <w:lvlText w:val=""/>
      <w:lvlJc w:val="left"/>
    </w:lvl>
    <w:lvl w:ilvl="8" w:tplc="B5C01F80">
      <w:numFmt w:val="decimal"/>
      <w:lvlText w:val=""/>
      <w:lvlJc w:val="left"/>
    </w:lvl>
  </w:abstractNum>
  <w:abstractNum w:abstractNumId="1233" w15:restartNumberingAfterBreak="0">
    <w:nsid w:val="5EB46CAA"/>
    <w:multiLevelType w:val="hybridMultilevel"/>
    <w:tmpl w:val="F7145584"/>
    <w:lvl w:ilvl="0" w:tplc="2F94B754">
      <w:numFmt w:val="decimal"/>
      <w:lvlText w:val=""/>
      <w:lvlJc w:val="left"/>
    </w:lvl>
    <w:lvl w:ilvl="1" w:tplc="AD922A36">
      <w:start w:val="1"/>
      <w:numFmt w:val="bullet"/>
      <w:lvlText w:val=""/>
      <w:lvlJc w:val="left"/>
      <w:pPr>
        <w:ind w:left="1440" w:hanging="180"/>
      </w:pPr>
      <w:rPr>
        <w:rFonts w:ascii="Symbol" w:hAnsi="Symbol" w:hint="default"/>
      </w:rPr>
    </w:lvl>
    <w:lvl w:ilvl="2" w:tplc="CE7034F8">
      <w:numFmt w:val="decimal"/>
      <w:lvlText w:val=""/>
      <w:lvlJc w:val="left"/>
    </w:lvl>
    <w:lvl w:ilvl="3" w:tplc="76BC8356">
      <w:numFmt w:val="decimal"/>
      <w:lvlText w:val=""/>
      <w:lvlJc w:val="left"/>
    </w:lvl>
    <w:lvl w:ilvl="4" w:tplc="F4DE9AE8">
      <w:numFmt w:val="decimal"/>
      <w:lvlText w:val=""/>
      <w:lvlJc w:val="left"/>
    </w:lvl>
    <w:lvl w:ilvl="5" w:tplc="41EA213C">
      <w:numFmt w:val="decimal"/>
      <w:lvlText w:val=""/>
      <w:lvlJc w:val="left"/>
    </w:lvl>
    <w:lvl w:ilvl="6" w:tplc="5A68AD30">
      <w:numFmt w:val="decimal"/>
      <w:lvlText w:val=""/>
      <w:lvlJc w:val="left"/>
    </w:lvl>
    <w:lvl w:ilvl="7" w:tplc="BA2CA14A">
      <w:numFmt w:val="decimal"/>
      <w:lvlText w:val=""/>
      <w:lvlJc w:val="left"/>
    </w:lvl>
    <w:lvl w:ilvl="8" w:tplc="204AF7AE">
      <w:numFmt w:val="decimal"/>
      <w:lvlText w:val=""/>
      <w:lvlJc w:val="left"/>
    </w:lvl>
  </w:abstractNum>
  <w:abstractNum w:abstractNumId="1234" w15:restartNumberingAfterBreak="0">
    <w:nsid w:val="5ED606AA"/>
    <w:multiLevelType w:val="hybridMultilevel"/>
    <w:tmpl w:val="A6E88B4A"/>
    <w:lvl w:ilvl="0" w:tplc="06CE4BD0">
      <w:start w:val="1"/>
      <w:numFmt w:val="bullet"/>
      <w:lvlText w:val=""/>
      <w:lvlJc w:val="left"/>
      <w:pPr>
        <w:ind w:left="720" w:hanging="180"/>
      </w:pPr>
      <w:rPr>
        <w:rFonts w:ascii="Symbol" w:hAnsi="Symbol" w:hint="default"/>
      </w:rPr>
    </w:lvl>
    <w:lvl w:ilvl="1" w:tplc="020CF180">
      <w:numFmt w:val="decimal"/>
      <w:lvlText w:val=""/>
      <w:lvlJc w:val="left"/>
    </w:lvl>
    <w:lvl w:ilvl="2" w:tplc="65ACF7F6">
      <w:numFmt w:val="decimal"/>
      <w:lvlText w:val=""/>
      <w:lvlJc w:val="left"/>
    </w:lvl>
    <w:lvl w:ilvl="3" w:tplc="2E2A495E">
      <w:numFmt w:val="decimal"/>
      <w:lvlText w:val=""/>
      <w:lvlJc w:val="left"/>
    </w:lvl>
    <w:lvl w:ilvl="4" w:tplc="ED545D70">
      <w:numFmt w:val="decimal"/>
      <w:lvlText w:val=""/>
      <w:lvlJc w:val="left"/>
    </w:lvl>
    <w:lvl w:ilvl="5" w:tplc="2CB0B8A4">
      <w:numFmt w:val="decimal"/>
      <w:lvlText w:val=""/>
      <w:lvlJc w:val="left"/>
    </w:lvl>
    <w:lvl w:ilvl="6" w:tplc="DC5C3A26">
      <w:numFmt w:val="decimal"/>
      <w:lvlText w:val=""/>
      <w:lvlJc w:val="left"/>
    </w:lvl>
    <w:lvl w:ilvl="7" w:tplc="3E709A42">
      <w:numFmt w:val="decimal"/>
      <w:lvlText w:val=""/>
      <w:lvlJc w:val="left"/>
    </w:lvl>
    <w:lvl w:ilvl="8" w:tplc="680E47CC">
      <w:numFmt w:val="decimal"/>
      <w:lvlText w:val=""/>
      <w:lvlJc w:val="left"/>
    </w:lvl>
  </w:abstractNum>
  <w:abstractNum w:abstractNumId="1235" w15:restartNumberingAfterBreak="0">
    <w:nsid w:val="5EEC491E"/>
    <w:multiLevelType w:val="hybridMultilevel"/>
    <w:tmpl w:val="A626A1CC"/>
    <w:lvl w:ilvl="0" w:tplc="88AA45E6">
      <w:numFmt w:val="decimal"/>
      <w:lvlText w:val=""/>
      <w:lvlJc w:val="left"/>
    </w:lvl>
    <w:lvl w:ilvl="1" w:tplc="E1D440C2">
      <w:start w:val="1"/>
      <w:numFmt w:val="bullet"/>
      <w:lvlText w:val=""/>
      <w:lvlJc w:val="left"/>
      <w:pPr>
        <w:ind w:left="1440" w:hanging="180"/>
      </w:pPr>
      <w:rPr>
        <w:rFonts w:ascii="Symbol" w:hAnsi="Symbol" w:hint="default"/>
      </w:rPr>
    </w:lvl>
    <w:lvl w:ilvl="2" w:tplc="D3FE4DEC">
      <w:numFmt w:val="decimal"/>
      <w:lvlText w:val=""/>
      <w:lvlJc w:val="left"/>
    </w:lvl>
    <w:lvl w:ilvl="3" w:tplc="D28013E8">
      <w:numFmt w:val="decimal"/>
      <w:lvlText w:val=""/>
      <w:lvlJc w:val="left"/>
    </w:lvl>
    <w:lvl w:ilvl="4" w:tplc="252C8A62">
      <w:numFmt w:val="decimal"/>
      <w:lvlText w:val=""/>
      <w:lvlJc w:val="left"/>
    </w:lvl>
    <w:lvl w:ilvl="5" w:tplc="7786B23C">
      <w:numFmt w:val="decimal"/>
      <w:lvlText w:val=""/>
      <w:lvlJc w:val="left"/>
    </w:lvl>
    <w:lvl w:ilvl="6" w:tplc="3954CFB0">
      <w:numFmt w:val="decimal"/>
      <w:lvlText w:val=""/>
      <w:lvlJc w:val="left"/>
    </w:lvl>
    <w:lvl w:ilvl="7" w:tplc="18503E46">
      <w:numFmt w:val="decimal"/>
      <w:lvlText w:val=""/>
      <w:lvlJc w:val="left"/>
    </w:lvl>
    <w:lvl w:ilvl="8" w:tplc="51FCA3FC">
      <w:numFmt w:val="decimal"/>
      <w:lvlText w:val=""/>
      <w:lvlJc w:val="left"/>
    </w:lvl>
  </w:abstractNum>
  <w:abstractNum w:abstractNumId="1236" w15:restartNumberingAfterBreak="0">
    <w:nsid w:val="5EEF37C0"/>
    <w:multiLevelType w:val="hybridMultilevel"/>
    <w:tmpl w:val="1582657C"/>
    <w:lvl w:ilvl="0" w:tplc="E33023EC">
      <w:start w:val="1"/>
      <w:numFmt w:val="bullet"/>
      <w:lvlText w:val=""/>
      <w:lvlJc w:val="left"/>
      <w:pPr>
        <w:ind w:left="720" w:hanging="180"/>
      </w:pPr>
      <w:rPr>
        <w:rFonts w:ascii="Symbol" w:hAnsi="Symbol" w:hint="default"/>
      </w:rPr>
    </w:lvl>
    <w:lvl w:ilvl="1" w:tplc="5FEA1C8A">
      <w:numFmt w:val="decimal"/>
      <w:lvlText w:val=""/>
      <w:lvlJc w:val="left"/>
    </w:lvl>
    <w:lvl w:ilvl="2" w:tplc="5EBA61B0">
      <w:numFmt w:val="decimal"/>
      <w:lvlText w:val=""/>
      <w:lvlJc w:val="left"/>
    </w:lvl>
    <w:lvl w:ilvl="3" w:tplc="F43A01EE">
      <w:numFmt w:val="decimal"/>
      <w:lvlText w:val=""/>
      <w:lvlJc w:val="left"/>
    </w:lvl>
    <w:lvl w:ilvl="4" w:tplc="5D423CE0">
      <w:numFmt w:val="decimal"/>
      <w:lvlText w:val=""/>
      <w:lvlJc w:val="left"/>
    </w:lvl>
    <w:lvl w:ilvl="5" w:tplc="F1D06724">
      <w:numFmt w:val="decimal"/>
      <w:lvlText w:val=""/>
      <w:lvlJc w:val="left"/>
    </w:lvl>
    <w:lvl w:ilvl="6" w:tplc="320A0554">
      <w:numFmt w:val="decimal"/>
      <w:lvlText w:val=""/>
      <w:lvlJc w:val="left"/>
    </w:lvl>
    <w:lvl w:ilvl="7" w:tplc="D968F95C">
      <w:numFmt w:val="decimal"/>
      <w:lvlText w:val=""/>
      <w:lvlJc w:val="left"/>
    </w:lvl>
    <w:lvl w:ilvl="8" w:tplc="C7661BFE">
      <w:numFmt w:val="decimal"/>
      <w:lvlText w:val=""/>
      <w:lvlJc w:val="left"/>
    </w:lvl>
  </w:abstractNum>
  <w:abstractNum w:abstractNumId="1237" w15:restartNumberingAfterBreak="0">
    <w:nsid w:val="5F21384C"/>
    <w:multiLevelType w:val="hybridMultilevel"/>
    <w:tmpl w:val="F01CEEC6"/>
    <w:lvl w:ilvl="0" w:tplc="C220BF50">
      <w:start w:val="1"/>
      <w:numFmt w:val="bullet"/>
      <w:lvlText w:val=""/>
      <w:lvlJc w:val="left"/>
      <w:pPr>
        <w:ind w:left="720" w:hanging="180"/>
      </w:pPr>
      <w:rPr>
        <w:rFonts w:ascii="Symbol" w:hAnsi="Symbol" w:hint="default"/>
      </w:rPr>
    </w:lvl>
    <w:lvl w:ilvl="1" w:tplc="E8BADDC8">
      <w:numFmt w:val="decimal"/>
      <w:lvlText w:val=""/>
      <w:lvlJc w:val="left"/>
    </w:lvl>
    <w:lvl w:ilvl="2" w:tplc="EDB2627A">
      <w:numFmt w:val="decimal"/>
      <w:lvlText w:val=""/>
      <w:lvlJc w:val="left"/>
    </w:lvl>
    <w:lvl w:ilvl="3" w:tplc="3934D9AE">
      <w:numFmt w:val="decimal"/>
      <w:lvlText w:val=""/>
      <w:lvlJc w:val="left"/>
    </w:lvl>
    <w:lvl w:ilvl="4" w:tplc="80C81C2A">
      <w:numFmt w:val="decimal"/>
      <w:lvlText w:val=""/>
      <w:lvlJc w:val="left"/>
    </w:lvl>
    <w:lvl w:ilvl="5" w:tplc="BD3C49A0">
      <w:numFmt w:val="decimal"/>
      <w:lvlText w:val=""/>
      <w:lvlJc w:val="left"/>
    </w:lvl>
    <w:lvl w:ilvl="6" w:tplc="E0E8DD0E">
      <w:numFmt w:val="decimal"/>
      <w:lvlText w:val=""/>
      <w:lvlJc w:val="left"/>
    </w:lvl>
    <w:lvl w:ilvl="7" w:tplc="E58CCB74">
      <w:numFmt w:val="decimal"/>
      <w:lvlText w:val=""/>
      <w:lvlJc w:val="left"/>
    </w:lvl>
    <w:lvl w:ilvl="8" w:tplc="C546B960">
      <w:numFmt w:val="decimal"/>
      <w:lvlText w:val=""/>
      <w:lvlJc w:val="left"/>
    </w:lvl>
  </w:abstractNum>
  <w:abstractNum w:abstractNumId="1238" w15:restartNumberingAfterBreak="0">
    <w:nsid w:val="5F25520E"/>
    <w:multiLevelType w:val="hybridMultilevel"/>
    <w:tmpl w:val="5C548C5C"/>
    <w:lvl w:ilvl="0" w:tplc="312E2A56">
      <w:start w:val="1"/>
      <w:numFmt w:val="bullet"/>
      <w:lvlText w:val=""/>
      <w:lvlJc w:val="left"/>
      <w:pPr>
        <w:ind w:left="720" w:hanging="180"/>
      </w:pPr>
      <w:rPr>
        <w:rFonts w:ascii="Symbol" w:hAnsi="Symbol" w:hint="default"/>
      </w:rPr>
    </w:lvl>
    <w:lvl w:ilvl="1" w:tplc="85D233B8">
      <w:numFmt w:val="decimal"/>
      <w:lvlText w:val=""/>
      <w:lvlJc w:val="left"/>
    </w:lvl>
    <w:lvl w:ilvl="2" w:tplc="ABEE6EF2">
      <w:numFmt w:val="decimal"/>
      <w:lvlText w:val=""/>
      <w:lvlJc w:val="left"/>
    </w:lvl>
    <w:lvl w:ilvl="3" w:tplc="BBD671AE">
      <w:numFmt w:val="decimal"/>
      <w:lvlText w:val=""/>
      <w:lvlJc w:val="left"/>
    </w:lvl>
    <w:lvl w:ilvl="4" w:tplc="A3629254">
      <w:numFmt w:val="decimal"/>
      <w:lvlText w:val=""/>
      <w:lvlJc w:val="left"/>
    </w:lvl>
    <w:lvl w:ilvl="5" w:tplc="384641A8">
      <w:numFmt w:val="decimal"/>
      <w:lvlText w:val=""/>
      <w:lvlJc w:val="left"/>
    </w:lvl>
    <w:lvl w:ilvl="6" w:tplc="22F20E40">
      <w:numFmt w:val="decimal"/>
      <w:lvlText w:val=""/>
      <w:lvlJc w:val="left"/>
    </w:lvl>
    <w:lvl w:ilvl="7" w:tplc="316C6528">
      <w:numFmt w:val="decimal"/>
      <w:lvlText w:val=""/>
      <w:lvlJc w:val="left"/>
    </w:lvl>
    <w:lvl w:ilvl="8" w:tplc="39E67546">
      <w:numFmt w:val="decimal"/>
      <w:lvlText w:val=""/>
      <w:lvlJc w:val="left"/>
    </w:lvl>
  </w:abstractNum>
  <w:abstractNum w:abstractNumId="1239" w15:restartNumberingAfterBreak="0">
    <w:nsid w:val="5F285744"/>
    <w:multiLevelType w:val="hybridMultilevel"/>
    <w:tmpl w:val="0A7EC290"/>
    <w:lvl w:ilvl="0" w:tplc="B192B890">
      <w:start w:val="1"/>
      <w:numFmt w:val="bullet"/>
      <w:lvlText w:val=""/>
      <w:lvlJc w:val="left"/>
      <w:pPr>
        <w:ind w:left="720" w:hanging="180"/>
      </w:pPr>
      <w:rPr>
        <w:rFonts w:ascii="Symbol" w:hAnsi="Symbol" w:hint="default"/>
      </w:rPr>
    </w:lvl>
    <w:lvl w:ilvl="1" w:tplc="EDC09FE8">
      <w:numFmt w:val="decimal"/>
      <w:lvlText w:val=""/>
      <w:lvlJc w:val="left"/>
    </w:lvl>
    <w:lvl w:ilvl="2" w:tplc="23F03606">
      <w:numFmt w:val="decimal"/>
      <w:lvlText w:val=""/>
      <w:lvlJc w:val="left"/>
    </w:lvl>
    <w:lvl w:ilvl="3" w:tplc="FE105CA8">
      <w:numFmt w:val="decimal"/>
      <w:lvlText w:val=""/>
      <w:lvlJc w:val="left"/>
    </w:lvl>
    <w:lvl w:ilvl="4" w:tplc="24C60556">
      <w:numFmt w:val="decimal"/>
      <w:lvlText w:val=""/>
      <w:lvlJc w:val="left"/>
    </w:lvl>
    <w:lvl w:ilvl="5" w:tplc="09A20006">
      <w:numFmt w:val="decimal"/>
      <w:lvlText w:val=""/>
      <w:lvlJc w:val="left"/>
    </w:lvl>
    <w:lvl w:ilvl="6" w:tplc="5DE47BEE">
      <w:numFmt w:val="decimal"/>
      <w:lvlText w:val=""/>
      <w:lvlJc w:val="left"/>
    </w:lvl>
    <w:lvl w:ilvl="7" w:tplc="E5E045B0">
      <w:numFmt w:val="decimal"/>
      <w:lvlText w:val=""/>
      <w:lvlJc w:val="left"/>
    </w:lvl>
    <w:lvl w:ilvl="8" w:tplc="F50EADDC">
      <w:numFmt w:val="decimal"/>
      <w:lvlText w:val=""/>
      <w:lvlJc w:val="left"/>
    </w:lvl>
  </w:abstractNum>
  <w:abstractNum w:abstractNumId="1240" w15:restartNumberingAfterBreak="0">
    <w:nsid w:val="5F3B222F"/>
    <w:multiLevelType w:val="hybridMultilevel"/>
    <w:tmpl w:val="4A14650C"/>
    <w:lvl w:ilvl="0" w:tplc="FD1258B2">
      <w:start w:val="1"/>
      <w:numFmt w:val="bullet"/>
      <w:lvlText w:val=""/>
      <w:lvlJc w:val="left"/>
      <w:pPr>
        <w:ind w:left="720" w:hanging="180"/>
      </w:pPr>
      <w:rPr>
        <w:rFonts w:ascii="Symbol" w:hAnsi="Symbol" w:hint="default"/>
      </w:rPr>
    </w:lvl>
    <w:lvl w:ilvl="1" w:tplc="1410ECD4">
      <w:numFmt w:val="decimal"/>
      <w:lvlText w:val=""/>
      <w:lvlJc w:val="left"/>
    </w:lvl>
    <w:lvl w:ilvl="2" w:tplc="46C697D4">
      <w:numFmt w:val="decimal"/>
      <w:lvlText w:val=""/>
      <w:lvlJc w:val="left"/>
    </w:lvl>
    <w:lvl w:ilvl="3" w:tplc="2E0AB786">
      <w:numFmt w:val="decimal"/>
      <w:lvlText w:val=""/>
      <w:lvlJc w:val="left"/>
    </w:lvl>
    <w:lvl w:ilvl="4" w:tplc="339C31D8">
      <w:numFmt w:val="decimal"/>
      <w:lvlText w:val=""/>
      <w:lvlJc w:val="left"/>
    </w:lvl>
    <w:lvl w:ilvl="5" w:tplc="9AA8A196">
      <w:numFmt w:val="decimal"/>
      <w:lvlText w:val=""/>
      <w:lvlJc w:val="left"/>
    </w:lvl>
    <w:lvl w:ilvl="6" w:tplc="9A8A2876">
      <w:numFmt w:val="decimal"/>
      <w:lvlText w:val=""/>
      <w:lvlJc w:val="left"/>
    </w:lvl>
    <w:lvl w:ilvl="7" w:tplc="B0BCB158">
      <w:numFmt w:val="decimal"/>
      <w:lvlText w:val=""/>
      <w:lvlJc w:val="left"/>
    </w:lvl>
    <w:lvl w:ilvl="8" w:tplc="050C0CD2">
      <w:numFmt w:val="decimal"/>
      <w:lvlText w:val=""/>
      <w:lvlJc w:val="left"/>
    </w:lvl>
  </w:abstractNum>
  <w:abstractNum w:abstractNumId="1241" w15:restartNumberingAfterBreak="0">
    <w:nsid w:val="5F4178B2"/>
    <w:multiLevelType w:val="hybridMultilevel"/>
    <w:tmpl w:val="1062C4A0"/>
    <w:lvl w:ilvl="0" w:tplc="BB9E4540">
      <w:start w:val="1"/>
      <w:numFmt w:val="bullet"/>
      <w:lvlText w:val=""/>
      <w:lvlJc w:val="left"/>
      <w:pPr>
        <w:ind w:left="720" w:hanging="180"/>
      </w:pPr>
      <w:rPr>
        <w:rFonts w:ascii="Symbol" w:hAnsi="Symbol" w:hint="default"/>
      </w:rPr>
    </w:lvl>
    <w:lvl w:ilvl="1" w:tplc="385444CE">
      <w:numFmt w:val="decimal"/>
      <w:lvlText w:val=""/>
      <w:lvlJc w:val="left"/>
    </w:lvl>
    <w:lvl w:ilvl="2" w:tplc="ED6C0016">
      <w:numFmt w:val="decimal"/>
      <w:lvlText w:val=""/>
      <w:lvlJc w:val="left"/>
    </w:lvl>
    <w:lvl w:ilvl="3" w:tplc="C8BC7928">
      <w:numFmt w:val="decimal"/>
      <w:lvlText w:val=""/>
      <w:lvlJc w:val="left"/>
    </w:lvl>
    <w:lvl w:ilvl="4" w:tplc="7056F0D8">
      <w:numFmt w:val="decimal"/>
      <w:lvlText w:val=""/>
      <w:lvlJc w:val="left"/>
    </w:lvl>
    <w:lvl w:ilvl="5" w:tplc="48428698">
      <w:numFmt w:val="decimal"/>
      <w:lvlText w:val=""/>
      <w:lvlJc w:val="left"/>
    </w:lvl>
    <w:lvl w:ilvl="6" w:tplc="E09E8B38">
      <w:numFmt w:val="decimal"/>
      <w:lvlText w:val=""/>
      <w:lvlJc w:val="left"/>
    </w:lvl>
    <w:lvl w:ilvl="7" w:tplc="83A6ED9C">
      <w:numFmt w:val="decimal"/>
      <w:lvlText w:val=""/>
      <w:lvlJc w:val="left"/>
    </w:lvl>
    <w:lvl w:ilvl="8" w:tplc="351E3034">
      <w:numFmt w:val="decimal"/>
      <w:lvlText w:val=""/>
      <w:lvlJc w:val="left"/>
    </w:lvl>
  </w:abstractNum>
  <w:abstractNum w:abstractNumId="1242" w15:restartNumberingAfterBreak="0">
    <w:nsid w:val="5F5B0181"/>
    <w:multiLevelType w:val="hybridMultilevel"/>
    <w:tmpl w:val="DD64D9C8"/>
    <w:lvl w:ilvl="0" w:tplc="606A43AA">
      <w:start w:val="1"/>
      <w:numFmt w:val="bullet"/>
      <w:lvlText w:val=""/>
      <w:lvlJc w:val="left"/>
      <w:pPr>
        <w:ind w:left="720" w:hanging="180"/>
      </w:pPr>
      <w:rPr>
        <w:rFonts w:ascii="Symbol" w:hAnsi="Symbol" w:hint="default"/>
      </w:rPr>
    </w:lvl>
    <w:lvl w:ilvl="1" w:tplc="5CCC8430">
      <w:numFmt w:val="decimal"/>
      <w:lvlText w:val=""/>
      <w:lvlJc w:val="left"/>
    </w:lvl>
    <w:lvl w:ilvl="2" w:tplc="CDDAE2A2">
      <w:numFmt w:val="decimal"/>
      <w:lvlText w:val=""/>
      <w:lvlJc w:val="left"/>
    </w:lvl>
    <w:lvl w:ilvl="3" w:tplc="EFBCBD48">
      <w:numFmt w:val="decimal"/>
      <w:lvlText w:val=""/>
      <w:lvlJc w:val="left"/>
    </w:lvl>
    <w:lvl w:ilvl="4" w:tplc="1A188120">
      <w:numFmt w:val="decimal"/>
      <w:lvlText w:val=""/>
      <w:lvlJc w:val="left"/>
    </w:lvl>
    <w:lvl w:ilvl="5" w:tplc="34540870">
      <w:numFmt w:val="decimal"/>
      <w:lvlText w:val=""/>
      <w:lvlJc w:val="left"/>
    </w:lvl>
    <w:lvl w:ilvl="6" w:tplc="F2CC1646">
      <w:numFmt w:val="decimal"/>
      <w:lvlText w:val=""/>
      <w:lvlJc w:val="left"/>
    </w:lvl>
    <w:lvl w:ilvl="7" w:tplc="D86C689C">
      <w:numFmt w:val="decimal"/>
      <w:lvlText w:val=""/>
      <w:lvlJc w:val="left"/>
    </w:lvl>
    <w:lvl w:ilvl="8" w:tplc="A994016A">
      <w:numFmt w:val="decimal"/>
      <w:lvlText w:val=""/>
      <w:lvlJc w:val="left"/>
    </w:lvl>
  </w:abstractNum>
  <w:abstractNum w:abstractNumId="1243" w15:restartNumberingAfterBreak="0">
    <w:nsid w:val="5F674518"/>
    <w:multiLevelType w:val="hybridMultilevel"/>
    <w:tmpl w:val="B79A43E0"/>
    <w:lvl w:ilvl="0" w:tplc="77F43E80">
      <w:start w:val="1"/>
      <w:numFmt w:val="bullet"/>
      <w:lvlText w:val=""/>
      <w:lvlJc w:val="left"/>
      <w:pPr>
        <w:ind w:left="720" w:hanging="180"/>
      </w:pPr>
      <w:rPr>
        <w:rFonts w:ascii="Symbol" w:hAnsi="Symbol" w:hint="default"/>
      </w:rPr>
    </w:lvl>
    <w:lvl w:ilvl="1" w:tplc="3AE6E550">
      <w:numFmt w:val="decimal"/>
      <w:lvlText w:val=""/>
      <w:lvlJc w:val="left"/>
    </w:lvl>
    <w:lvl w:ilvl="2" w:tplc="CC8E0A3C">
      <w:numFmt w:val="decimal"/>
      <w:lvlText w:val=""/>
      <w:lvlJc w:val="left"/>
    </w:lvl>
    <w:lvl w:ilvl="3" w:tplc="F8F8CF4A">
      <w:numFmt w:val="decimal"/>
      <w:lvlText w:val=""/>
      <w:lvlJc w:val="left"/>
    </w:lvl>
    <w:lvl w:ilvl="4" w:tplc="E29AEA34">
      <w:numFmt w:val="decimal"/>
      <w:lvlText w:val=""/>
      <w:lvlJc w:val="left"/>
    </w:lvl>
    <w:lvl w:ilvl="5" w:tplc="7E32C134">
      <w:numFmt w:val="decimal"/>
      <w:lvlText w:val=""/>
      <w:lvlJc w:val="left"/>
    </w:lvl>
    <w:lvl w:ilvl="6" w:tplc="702A8F7A">
      <w:numFmt w:val="decimal"/>
      <w:lvlText w:val=""/>
      <w:lvlJc w:val="left"/>
    </w:lvl>
    <w:lvl w:ilvl="7" w:tplc="9F98FA82">
      <w:numFmt w:val="decimal"/>
      <w:lvlText w:val=""/>
      <w:lvlJc w:val="left"/>
    </w:lvl>
    <w:lvl w:ilvl="8" w:tplc="F9F60D42">
      <w:numFmt w:val="decimal"/>
      <w:lvlText w:val=""/>
      <w:lvlJc w:val="left"/>
    </w:lvl>
  </w:abstractNum>
  <w:abstractNum w:abstractNumId="1244" w15:restartNumberingAfterBreak="0">
    <w:nsid w:val="5F7D7DC1"/>
    <w:multiLevelType w:val="hybridMultilevel"/>
    <w:tmpl w:val="76D8D2CC"/>
    <w:lvl w:ilvl="0" w:tplc="75BC4656">
      <w:start w:val="1"/>
      <w:numFmt w:val="bullet"/>
      <w:lvlText w:val=""/>
      <w:lvlJc w:val="left"/>
      <w:pPr>
        <w:ind w:left="720" w:hanging="180"/>
      </w:pPr>
      <w:rPr>
        <w:rFonts w:ascii="Symbol" w:hAnsi="Symbol" w:hint="default"/>
      </w:rPr>
    </w:lvl>
    <w:lvl w:ilvl="1" w:tplc="B2226382">
      <w:numFmt w:val="decimal"/>
      <w:lvlText w:val=""/>
      <w:lvlJc w:val="left"/>
    </w:lvl>
    <w:lvl w:ilvl="2" w:tplc="0C4E6CA0">
      <w:numFmt w:val="decimal"/>
      <w:lvlText w:val=""/>
      <w:lvlJc w:val="left"/>
    </w:lvl>
    <w:lvl w:ilvl="3" w:tplc="CA5497CE">
      <w:numFmt w:val="decimal"/>
      <w:lvlText w:val=""/>
      <w:lvlJc w:val="left"/>
    </w:lvl>
    <w:lvl w:ilvl="4" w:tplc="639E374C">
      <w:numFmt w:val="decimal"/>
      <w:lvlText w:val=""/>
      <w:lvlJc w:val="left"/>
    </w:lvl>
    <w:lvl w:ilvl="5" w:tplc="AE9C38C6">
      <w:numFmt w:val="decimal"/>
      <w:lvlText w:val=""/>
      <w:lvlJc w:val="left"/>
    </w:lvl>
    <w:lvl w:ilvl="6" w:tplc="7DD4D1B2">
      <w:numFmt w:val="decimal"/>
      <w:lvlText w:val=""/>
      <w:lvlJc w:val="left"/>
    </w:lvl>
    <w:lvl w:ilvl="7" w:tplc="230A7A7C">
      <w:numFmt w:val="decimal"/>
      <w:lvlText w:val=""/>
      <w:lvlJc w:val="left"/>
    </w:lvl>
    <w:lvl w:ilvl="8" w:tplc="5A18A66A">
      <w:numFmt w:val="decimal"/>
      <w:lvlText w:val=""/>
      <w:lvlJc w:val="left"/>
    </w:lvl>
  </w:abstractNum>
  <w:abstractNum w:abstractNumId="1245" w15:restartNumberingAfterBreak="0">
    <w:nsid w:val="5F8F3739"/>
    <w:multiLevelType w:val="hybridMultilevel"/>
    <w:tmpl w:val="AA262640"/>
    <w:lvl w:ilvl="0" w:tplc="CFEC4C38">
      <w:numFmt w:val="decimal"/>
      <w:lvlText w:val=""/>
      <w:lvlJc w:val="left"/>
    </w:lvl>
    <w:lvl w:ilvl="1" w:tplc="977880B2">
      <w:start w:val="1"/>
      <w:numFmt w:val="bullet"/>
      <w:lvlText w:val=""/>
      <w:lvlJc w:val="left"/>
      <w:pPr>
        <w:ind w:left="1440" w:hanging="180"/>
      </w:pPr>
      <w:rPr>
        <w:rFonts w:ascii="Symbol" w:hAnsi="Symbol" w:hint="default"/>
      </w:rPr>
    </w:lvl>
    <w:lvl w:ilvl="2" w:tplc="D542D7CE">
      <w:numFmt w:val="decimal"/>
      <w:lvlText w:val=""/>
      <w:lvlJc w:val="left"/>
    </w:lvl>
    <w:lvl w:ilvl="3" w:tplc="9E72EE00">
      <w:numFmt w:val="decimal"/>
      <w:lvlText w:val=""/>
      <w:lvlJc w:val="left"/>
    </w:lvl>
    <w:lvl w:ilvl="4" w:tplc="062AF6C8">
      <w:numFmt w:val="decimal"/>
      <w:lvlText w:val=""/>
      <w:lvlJc w:val="left"/>
    </w:lvl>
    <w:lvl w:ilvl="5" w:tplc="F4E82264">
      <w:numFmt w:val="decimal"/>
      <w:lvlText w:val=""/>
      <w:lvlJc w:val="left"/>
    </w:lvl>
    <w:lvl w:ilvl="6" w:tplc="BB984540">
      <w:numFmt w:val="decimal"/>
      <w:lvlText w:val=""/>
      <w:lvlJc w:val="left"/>
    </w:lvl>
    <w:lvl w:ilvl="7" w:tplc="2D42A966">
      <w:numFmt w:val="decimal"/>
      <w:lvlText w:val=""/>
      <w:lvlJc w:val="left"/>
    </w:lvl>
    <w:lvl w:ilvl="8" w:tplc="2474F4CE">
      <w:numFmt w:val="decimal"/>
      <w:lvlText w:val=""/>
      <w:lvlJc w:val="left"/>
    </w:lvl>
  </w:abstractNum>
  <w:abstractNum w:abstractNumId="1246" w15:restartNumberingAfterBreak="0">
    <w:nsid w:val="5FA21E56"/>
    <w:multiLevelType w:val="hybridMultilevel"/>
    <w:tmpl w:val="1CF8BE7A"/>
    <w:lvl w:ilvl="0" w:tplc="C8063DF8">
      <w:numFmt w:val="decimal"/>
      <w:lvlText w:val=""/>
      <w:lvlJc w:val="left"/>
    </w:lvl>
    <w:lvl w:ilvl="1" w:tplc="ACB41B92">
      <w:start w:val="1"/>
      <w:numFmt w:val="bullet"/>
      <w:lvlText w:val=""/>
      <w:lvlJc w:val="left"/>
      <w:pPr>
        <w:ind w:left="1440" w:hanging="180"/>
      </w:pPr>
      <w:rPr>
        <w:rFonts w:ascii="Symbol" w:hAnsi="Symbol" w:hint="default"/>
      </w:rPr>
    </w:lvl>
    <w:lvl w:ilvl="2" w:tplc="24E25420">
      <w:numFmt w:val="decimal"/>
      <w:lvlText w:val=""/>
      <w:lvlJc w:val="left"/>
    </w:lvl>
    <w:lvl w:ilvl="3" w:tplc="E806B91E">
      <w:numFmt w:val="decimal"/>
      <w:lvlText w:val=""/>
      <w:lvlJc w:val="left"/>
    </w:lvl>
    <w:lvl w:ilvl="4" w:tplc="3EDE56BC">
      <w:numFmt w:val="decimal"/>
      <w:lvlText w:val=""/>
      <w:lvlJc w:val="left"/>
    </w:lvl>
    <w:lvl w:ilvl="5" w:tplc="D570BEEE">
      <w:numFmt w:val="decimal"/>
      <w:lvlText w:val=""/>
      <w:lvlJc w:val="left"/>
    </w:lvl>
    <w:lvl w:ilvl="6" w:tplc="2EB41ABC">
      <w:numFmt w:val="decimal"/>
      <w:lvlText w:val=""/>
      <w:lvlJc w:val="left"/>
    </w:lvl>
    <w:lvl w:ilvl="7" w:tplc="0076121E">
      <w:numFmt w:val="decimal"/>
      <w:lvlText w:val=""/>
      <w:lvlJc w:val="left"/>
    </w:lvl>
    <w:lvl w:ilvl="8" w:tplc="77464A34">
      <w:numFmt w:val="decimal"/>
      <w:lvlText w:val=""/>
      <w:lvlJc w:val="left"/>
    </w:lvl>
  </w:abstractNum>
  <w:abstractNum w:abstractNumId="1247" w15:restartNumberingAfterBreak="0">
    <w:nsid w:val="5FAE5DCB"/>
    <w:multiLevelType w:val="hybridMultilevel"/>
    <w:tmpl w:val="210074B4"/>
    <w:lvl w:ilvl="0" w:tplc="96AA878A">
      <w:start w:val="1"/>
      <w:numFmt w:val="bullet"/>
      <w:lvlText w:val=""/>
      <w:lvlJc w:val="left"/>
      <w:pPr>
        <w:ind w:left="720" w:hanging="180"/>
      </w:pPr>
      <w:rPr>
        <w:rFonts w:ascii="Symbol" w:hAnsi="Symbol" w:hint="default"/>
      </w:rPr>
    </w:lvl>
    <w:lvl w:ilvl="1" w:tplc="57C6A810">
      <w:numFmt w:val="decimal"/>
      <w:lvlText w:val=""/>
      <w:lvlJc w:val="left"/>
    </w:lvl>
    <w:lvl w:ilvl="2" w:tplc="DBA4BE7A">
      <w:numFmt w:val="decimal"/>
      <w:lvlText w:val=""/>
      <w:lvlJc w:val="left"/>
    </w:lvl>
    <w:lvl w:ilvl="3" w:tplc="DE6C7466">
      <w:numFmt w:val="decimal"/>
      <w:lvlText w:val=""/>
      <w:lvlJc w:val="left"/>
    </w:lvl>
    <w:lvl w:ilvl="4" w:tplc="DF3E062C">
      <w:numFmt w:val="decimal"/>
      <w:lvlText w:val=""/>
      <w:lvlJc w:val="left"/>
    </w:lvl>
    <w:lvl w:ilvl="5" w:tplc="25FC8A6A">
      <w:numFmt w:val="decimal"/>
      <w:lvlText w:val=""/>
      <w:lvlJc w:val="left"/>
    </w:lvl>
    <w:lvl w:ilvl="6" w:tplc="A4E2F7FC">
      <w:numFmt w:val="decimal"/>
      <w:lvlText w:val=""/>
      <w:lvlJc w:val="left"/>
    </w:lvl>
    <w:lvl w:ilvl="7" w:tplc="2618D242">
      <w:numFmt w:val="decimal"/>
      <w:lvlText w:val=""/>
      <w:lvlJc w:val="left"/>
    </w:lvl>
    <w:lvl w:ilvl="8" w:tplc="CC463F9A">
      <w:numFmt w:val="decimal"/>
      <w:lvlText w:val=""/>
      <w:lvlJc w:val="left"/>
    </w:lvl>
  </w:abstractNum>
  <w:abstractNum w:abstractNumId="1248" w15:restartNumberingAfterBreak="0">
    <w:nsid w:val="5FE513FB"/>
    <w:multiLevelType w:val="hybridMultilevel"/>
    <w:tmpl w:val="94D679DA"/>
    <w:lvl w:ilvl="0" w:tplc="07022314">
      <w:start w:val="1"/>
      <w:numFmt w:val="bullet"/>
      <w:lvlText w:val=""/>
      <w:lvlJc w:val="left"/>
      <w:pPr>
        <w:ind w:left="720" w:hanging="180"/>
      </w:pPr>
      <w:rPr>
        <w:rFonts w:ascii="Symbol" w:hAnsi="Symbol" w:hint="default"/>
      </w:rPr>
    </w:lvl>
    <w:lvl w:ilvl="1" w:tplc="207483B8">
      <w:numFmt w:val="decimal"/>
      <w:lvlText w:val=""/>
      <w:lvlJc w:val="left"/>
    </w:lvl>
    <w:lvl w:ilvl="2" w:tplc="8C60B03E">
      <w:numFmt w:val="decimal"/>
      <w:lvlText w:val=""/>
      <w:lvlJc w:val="left"/>
    </w:lvl>
    <w:lvl w:ilvl="3" w:tplc="CA522A5C">
      <w:numFmt w:val="decimal"/>
      <w:lvlText w:val=""/>
      <w:lvlJc w:val="left"/>
    </w:lvl>
    <w:lvl w:ilvl="4" w:tplc="51488DEC">
      <w:numFmt w:val="decimal"/>
      <w:lvlText w:val=""/>
      <w:lvlJc w:val="left"/>
    </w:lvl>
    <w:lvl w:ilvl="5" w:tplc="0046CC06">
      <w:numFmt w:val="decimal"/>
      <w:lvlText w:val=""/>
      <w:lvlJc w:val="left"/>
    </w:lvl>
    <w:lvl w:ilvl="6" w:tplc="83BE8CB2">
      <w:numFmt w:val="decimal"/>
      <w:lvlText w:val=""/>
      <w:lvlJc w:val="left"/>
    </w:lvl>
    <w:lvl w:ilvl="7" w:tplc="23DCF24A">
      <w:numFmt w:val="decimal"/>
      <w:lvlText w:val=""/>
      <w:lvlJc w:val="left"/>
    </w:lvl>
    <w:lvl w:ilvl="8" w:tplc="9B7A22BE">
      <w:numFmt w:val="decimal"/>
      <w:lvlText w:val=""/>
      <w:lvlJc w:val="left"/>
    </w:lvl>
  </w:abstractNum>
  <w:abstractNum w:abstractNumId="1249" w15:restartNumberingAfterBreak="0">
    <w:nsid w:val="5FEF2085"/>
    <w:multiLevelType w:val="hybridMultilevel"/>
    <w:tmpl w:val="9C0CEAFE"/>
    <w:lvl w:ilvl="0" w:tplc="C5E2F40A">
      <w:numFmt w:val="decimal"/>
      <w:lvlText w:val=""/>
      <w:lvlJc w:val="left"/>
    </w:lvl>
    <w:lvl w:ilvl="1" w:tplc="D4728F78">
      <w:start w:val="1"/>
      <w:numFmt w:val="bullet"/>
      <w:lvlText w:val=""/>
      <w:lvlJc w:val="left"/>
      <w:pPr>
        <w:ind w:left="1440" w:hanging="180"/>
      </w:pPr>
      <w:rPr>
        <w:rFonts w:ascii="Symbol" w:hAnsi="Symbol" w:hint="default"/>
      </w:rPr>
    </w:lvl>
    <w:lvl w:ilvl="2" w:tplc="520E6D2C">
      <w:numFmt w:val="decimal"/>
      <w:lvlText w:val=""/>
      <w:lvlJc w:val="left"/>
    </w:lvl>
    <w:lvl w:ilvl="3" w:tplc="9E4C598E">
      <w:numFmt w:val="decimal"/>
      <w:lvlText w:val=""/>
      <w:lvlJc w:val="left"/>
    </w:lvl>
    <w:lvl w:ilvl="4" w:tplc="1480B6E2">
      <w:numFmt w:val="decimal"/>
      <w:lvlText w:val=""/>
      <w:lvlJc w:val="left"/>
    </w:lvl>
    <w:lvl w:ilvl="5" w:tplc="890ADDB0">
      <w:numFmt w:val="decimal"/>
      <w:lvlText w:val=""/>
      <w:lvlJc w:val="left"/>
    </w:lvl>
    <w:lvl w:ilvl="6" w:tplc="449A1A8C">
      <w:numFmt w:val="decimal"/>
      <w:lvlText w:val=""/>
      <w:lvlJc w:val="left"/>
    </w:lvl>
    <w:lvl w:ilvl="7" w:tplc="AF18A78C">
      <w:numFmt w:val="decimal"/>
      <w:lvlText w:val=""/>
      <w:lvlJc w:val="left"/>
    </w:lvl>
    <w:lvl w:ilvl="8" w:tplc="37E831B4">
      <w:numFmt w:val="decimal"/>
      <w:lvlText w:val=""/>
      <w:lvlJc w:val="left"/>
    </w:lvl>
  </w:abstractNum>
  <w:abstractNum w:abstractNumId="1250" w15:restartNumberingAfterBreak="0">
    <w:nsid w:val="5FF51175"/>
    <w:multiLevelType w:val="hybridMultilevel"/>
    <w:tmpl w:val="E8C671C4"/>
    <w:lvl w:ilvl="0" w:tplc="F45044D0">
      <w:numFmt w:val="decimal"/>
      <w:lvlText w:val=""/>
      <w:lvlJc w:val="left"/>
    </w:lvl>
    <w:lvl w:ilvl="1" w:tplc="457C2E10">
      <w:start w:val="1"/>
      <w:numFmt w:val="bullet"/>
      <w:lvlText w:val=""/>
      <w:lvlJc w:val="left"/>
      <w:pPr>
        <w:ind w:left="1440" w:hanging="180"/>
      </w:pPr>
      <w:rPr>
        <w:rFonts w:ascii="Symbol" w:hAnsi="Symbol" w:hint="default"/>
      </w:rPr>
    </w:lvl>
    <w:lvl w:ilvl="2" w:tplc="9B00FAB0">
      <w:numFmt w:val="decimal"/>
      <w:lvlText w:val=""/>
      <w:lvlJc w:val="left"/>
    </w:lvl>
    <w:lvl w:ilvl="3" w:tplc="B72A5C6E">
      <w:numFmt w:val="decimal"/>
      <w:lvlText w:val=""/>
      <w:lvlJc w:val="left"/>
    </w:lvl>
    <w:lvl w:ilvl="4" w:tplc="7040D95E">
      <w:numFmt w:val="decimal"/>
      <w:lvlText w:val=""/>
      <w:lvlJc w:val="left"/>
    </w:lvl>
    <w:lvl w:ilvl="5" w:tplc="A372B53C">
      <w:numFmt w:val="decimal"/>
      <w:lvlText w:val=""/>
      <w:lvlJc w:val="left"/>
    </w:lvl>
    <w:lvl w:ilvl="6" w:tplc="4BF69E9E">
      <w:numFmt w:val="decimal"/>
      <w:lvlText w:val=""/>
      <w:lvlJc w:val="left"/>
    </w:lvl>
    <w:lvl w:ilvl="7" w:tplc="BF1AC6BA">
      <w:numFmt w:val="decimal"/>
      <w:lvlText w:val=""/>
      <w:lvlJc w:val="left"/>
    </w:lvl>
    <w:lvl w:ilvl="8" w:tplc="736A0FD2">
      <w:numFmt w:val="decimal"/>
      <w:lvlText w:val=""/>
      <w:lvlJc w:val="left"/>
    </w:lvl>
  </w:abstractNum>
  <w:abstractNum w:abstractNumId="1251" w15:restartNumberingAfterBreak="0">
    <w:nsid w:val="5FF61D96"/>
    <w:multiLevelType w:val="hybridMultilevel"/>
    <w:tmpl w:val="721C167A"/>
    <w:lvl w:ilvl="0" w:tplc="85E2AEEA">
      <w:start w:val="1"/>
      <w:numFmt w:val="bullet"/>
      <w:lvlText w:val=""/>
      <w:lvlJc w:val="left"/>
      <w:pPr>
        <w:ind w:left="720" w:hanging="180"/>
      </w:pPr>
      <w:rPr>
        <w:rFonts w:ascii="Symbol" w:hAnsi="Symbol" w:hint="default"/>
      </w:rPr>
    </w:lvl>
    <w:lvl w:ilvl="1" w:tplc="C218BF5A">
      <w:numFmt w:val="decimal"/>
      <w:lvlText w:val=""/>
      <w:lvlJc w:val="left"/>
    </w:lvl>
    <w:lvl w:ilvl="2" w:tplc="7834C6E0">
      <w:numFmt w:val="decimal"/>
      <w:lvlText w:val=""/>
      <w:lvlJc w:val="left"/>
    </w:lvl>
    <w:lvl w:ilvl="3" w:tplc="2DD0FE92">
      <w:numFmt w:val="decimal"/>
      <w:lvlText w:val=""/>
      <w:lvlJc w:val="left"/>
    </w:lvl>
    <w:lvl w:ilvl="4" w:tplc="F3104D78">
      <w:numFmt w:val="decimal"/>
      <w:lvlText w:val=""/>
      <w:lvlJc w:val="left"/>
    </w:lvl>
    <w:lvl w:ilvl="5" w:tplc="50623BEA">
      <w:numFmt w:val="decimal"/>
      <w:lvlText w:val=""/>
      <w:lvlJc w:val="left"/>
    </w:lvl>
    <w:lvl w:ilvl="6" w:tplc="CF92C858">
      <w:numFmt w:val="decimal"/>
      <w:lvlText w:val=""/>
      <w:lvlJc w:val="left"/>
    </w:lvl>
    <w:lvl w:ilvl="7" w:tplc="5B2C2BB8">
      <w:numFmt w:val="decimal"/>
      <w:lvlText w:val=""/>
      <w:lvlJc w:val="left"/>
    </w:lvl>
    <w:lvl w:ilvl="8" w:tplc="B45CCD14">
      <w:numFmt w:val="decimal"/>
      <w:lvlText w:val=""/>
      <w:lvlJc w:val="left"/>
    </w:lvl>
  </w:abstractNum>
  <w:abstractNum w:abstractNumId="1252" w15:restartNumberingAfterBreak="0">
    <w:nsid w:val="60196DFB"/>
    <w:multiLevelType w:val="hybridMultilevel"/>
    <w:tmpl w:val="05D2AC06"/>
    <w:lvl w:ilvl="0" w:tplc="1512988E">
      <w:numFmt w:val="decimal"/>
      <w:lvlText w:val=""/>
      <w:lvlJc w:val="left"/>
    </w:lvl>
    <w:lvl w:ilvl="1" w:tplc="E9006D82">
      <w:start w:val="1"/>
      <w:numFmt w:val="bullet"/>
      <w:lvlText w:val=""/>
      <w:lvlJc w:val="left"/>
      <w:pPr>
        <w:ind w:left="1440" w:hanging="180"/>
      </w:pPr>
      <w:rPr>
        <w:rFonts w:ascii="Symbol" w:hAnsi="Symbol" w:hint="default"/>
      </w:rPr>
    </w:lvl>
    <w:lvl w:ilvl="2" w:tplc="6F50C004">
      <w:numFmt w:val="decimal"/>
      <w:lvlText w:val=""/>
      <w:lvlJc w:val="left"/>
    </w:lvl>
    <w:lvl w:ilvl="3" w:tplc="FEC0C76A">
      <w:numFmt w:val="decimal"/>
      <w:lvlText w:val=""/>
      <w:lvlJc w:val="left"/>
    </w:lvl>
    <w:lvl w:ilvl="4" w:tplc="C4CC572A">
      <w:numFmt w:val="decimal"/>
      <w:lvlText w:val=""/>
      <w:lvlJc w:val="left"/>
    </w:lvl>
    <w:lvl w:ilvl="5" w:tplc="50EA7EDA">
      <w:numFmt w:val="decimal"/>
      <w:lvlText w:val=""/>
      <w:lvlJc w:val="left"/>
    </w:lvl>
    <w:lvl w:ilvl="6" w:tplc="033A13C8">
      <w:numFmt w:val="decimal"/>
      <w:lvlText w:val=""/>
      <w:lvlJc w:val="left"/>
    </w:lvl>
    <w:lvl w:ilvl="7" w:tplc="2FD4382E">
      <w:numFmt w:val="decimal"/>
      <w:lvlText w:val=""/>
      <w:lvlJc w:val="left"/>
    </w:lvl>
    <w:lvl w:ilvl="8" w:tplc="B1580A22">
      <w:numFmt w:val="decimal"/>
      <w:lvlText w:val=""/>
      <w:lvlJc w:val="left"/>
    </w:lvl>
  </w:abstractNum>
  <w:abstractNum w:abstractNumId="1253" w15:restartNumberingAfterBreak="0">
    <w:nsid w:val="60241944"/>
    <w:multiLevelType w:val="hybridMultilevel"/>
    <w:tmpl w:val="1472BE96"/>
    <w:lvl w:ilvl="0" w:tplc="04489A1C">
      <w:start w:val="1"/>
      <w:numFmt w:val="bullet"/>
      <w:lvlText w:val=""/>
      <w:lvlJc w:val="left"/>
      <w:pPr>
        <w:ind w:left="720" w:hanging="180"/>
      </w:pPr>
      <w:rPr>
        <w:rFonts w:ascii="Symbol" w:hAnsi="Symbol" w:hint="default"/>
      </w:rPr>
    </w:lvl>
    <w:lvl w:ilvl="1" w:tplc="9AA07FA8">
      <w:numFmt w:val="decimal"/>
      <w:lvlText w:val=""/>
      <w:lvlJc w:val="left"/>
    </w:lvl>
    <w:lvl w:ilvl="2" w:tplc="BC06BC7A">
      <w:numFmt w:val="decimal"/>
      <w:lvlText w:val=""/>
      <w:lvlJc w:val="left"/>
    </w:lvl>
    <w:lvl w:ilvl="3" w:tplc="08088E68">
      <w:numFmt w:val="decimal"/>
      <w:lvlText w:val=""/>
      <w:lvlJc w:val="left"/>
    </w:lvl>
    <w:lvl w:ilvl="4" w:tplc="9DEA9FE8">
      <w:numFmt w:val="decimal"/>
      <w:lvlText w:val=""/>
      <w:lvlJc w:val="left"/>
    </w:lvl>
    <w:lvl w:ilvl="5" w:tplc="F86E1DF0">
      <w:numFmt w:val="decimal"/>
      <w:lvlText w:val=""/>
      <w:lvlJc w:val="left"/>
    </w:lvl>
    <w:lvl w:ilvl="6" w:tplc="FB965DA6">
      <w:numFmt w:val="decimal"/>
      <w:lvlText w:val=""/>
      <w:lvlJc w:val="left"/>
    </w:lvl>
    <w:lvl w:ilvl="7" w:tplc="3B5ECD4C">
      <w:numFmt w:val="decimal"/>
      <w:lvlText w:val=""/>
      <w:lvlJc w:val="left"/>
    </w:lvl>
    <w:lvl w:ilvl="8" w:tplc="60A63E2A">
      <w:numFmt w:val="decimal"/>
      <w:lvlText w:val=""/>
      <w:lvlJc w:val="left"/>
    </w:lvl>
  </w:abstractNum>
  <w:abstractNum w:abstractNumId="1254" w15:restartNumberingAfterBreak="0">
    <w:nsid w:val="60283C39"/>
    <w:multiLevelType w:val="hybridMultilevel"/>
    <w:tmpl w:val="1A42A144"/>
    <w:lvl w:ilvl="0" w:tplc="5D8C4E56">
      <w:numFmt w:val="decimal"/>
      <w:lvlText w:val=""/>
      <w:lvlJc w:val="left"/>
    </w:lvl>
    <w:lvl w:ilvl="1" w:tplc="AB28BE7C">
      <w:start w:val="1"/>
      <w:numFmt w:val="bullet"/>
      <w:lvlText w:val=""/>
      <w:lvlJc w:val="left"/>
      <w:pPr>
        <w:ind w:left="1440" w:hanging="180"/>
      </w:pPr>
      <w:rPr>
        <w:rFonts w:ascii="Symbol" w:hAnsi="Symbol" w:hint="default"/>
      </w:rPr>
    </w:lvl>
    <w:lvl w:ilvl="2" w:tplc="1D04AC6A">
      <w:numFmt w:val="decimal"/>
      <w:lvlText w:val=""/>
      <w:lvlJc w:val="left"/>
    </w:lvl>
    <w:lvl w:ilvl="3" w:tplc="FB14F234">
      <w:numFmt w:val="decimal"/>
      <w:lvlText w:val=""/>
      <w:lvlJc w:val="left"/>
    </w:lvl>
    <w:lvl w:ilvl="4" w:tplc="729679F6">
      <w:numFmt w:val="decimal"/>
      <w:lvlText w:val=""/>
      <w:lvlJc w:val="left"/>
    </w:lvl>
    <w:lvl w:ilvl="5" w:tplc="5C5238BC">
      <w:numFmt w:val="decimal"/>
      <w:lvlText w:val=""/>
      <w:lvlJc w:val="left"/>
    </w:lvl>
    <w:lvl w:ilvl="6" w:tplc="FF8C40B2">
      <w:numFmt w:val="decimal"/>
      <w:lvlText w:val=""/>
      <w:lvlJc w:val="left"/>
    </w:lvl>
    <w:lvl w:ilvl="7" w:tplc="36803D64">
      <w:numFmt w:val="decimal"/>
      <w:lvlText w:val=""/>
      <w:lvlJc w:val="left"/>
    </w:lvl>
    <w:lvl w:ilvl="8" w:tplc="A27AA70A">
      <w:numFmt w:val="decimal"/>
      <w:lvlText w:val=""/>
      <w:lvlJc w:val="left"/>
    </w:lvl>
  </w:abstractNum>
  <w:abstractNum w:abstractNumId="1255" w15:restartNumberingAfterBreak="0">
    <w:nsid w:val="603C27E5"/>
    <w:multiLevelType w:val="hybridMultilevel"/>
    <w:tmpl w:val="7DB40734"/>
    <w:lvl w:ilvl="0" w:tplc="BE381F48">
      <w:start w:val="1"/>
      <w:numFmt w:val="bullet"/>
      <w:lvlText w:val=""/>
      <w:lvlJc w:val="left"/>
      <w:pPr>
        <w:ind w:left="720" w:hanging="180"/>
      </w:pPr>
      <w:rPr>
        <w:rFonts w:ascii="Symbol" w:hAnsi="Symbol" w:hint="default"/>
      </w:rPr>
    </w:lvl>
    <w:lvl w:ilvl="1" w:tplc="536CC334">
      <w:numFmt w:val="decimal"/>
      <w:lvlText w:val=""/>
      <w:lvlJc w:val="left"/>
    </w:lvl>
    <w:lvl w:ilvl="2" w:tplc="1E82EC96">
      <w:numFmt w:val="decimal"/>
      <w:lvlText w:val=""/>
      <w:lvlJc w:val="left"/>
    </w:lvl>
    <w:lvl w:ilvl="3" w:tplc="CB6C7FD6">
      <w:numFmt w:val="decimal"/>
      <w:lvlText w:val=""/>
      <w:lvlJc w:val="left"/>
    </w:lvl>
    <w:lvl w:ilvl="4" w:tplc="94F4C8C0">
      <w:numFmt w:val="decimal"/>
      <w:lvlText w:val=""/>
      <w:lvlJc w:val="left"/>
    </w:lvl>
    <w:lvl w:ilvl="5" w:tplc="286C4600">
      <w:numFmt w:val="decimal"/>
      <w:lvlText w:val=""/>
      <w:lvlJc w:val="left"/>
    </w:lvl>
    <w:lvl w:ilvl="6" w:tplc="D07E3174">
      <w:numFmt w:val="decimal"/>
      <w:lvlText w:val=""/>
      <w:lvlJc w:val="left"/>
    </w:lvl>
    <w:lvl w:ilvl="7" w:tplc="8E7A6D3C">
      <w:numFmt w:val="decimal"/>
      <w:lvlText w:val=""/>
      <w:lvlJc w:val="left"/>
    </w:lvl>
    <w:lvl w:ilvl="8" w:tplc="0194D8E0">
      <w:numFmt w:val="decimal"/>
      <w:lvlText w:val=""/>
      <w:lvlJc w:val="left"/>
    </w:lvl>
  </w:abstractNum>
  <w:abstractNum w:abstractNumId="1256" w15:restartNumberingAfterBreak="0">
    <w:nsid w:val="603E6BA4"/>
    <w:multiLevelType w:val="hybridMultilevel"/>
    <w:tmpl w:val="9504543E"/>
    <w:lvl w:ilvl="0" w:tplc="334A162E">
      <w:numFmt w:val="decimal"/>
      <w:lvlText w:val=""/>
      <w:lvlJc w:val="left"/>
    </w:lvl>
    <w:lvl w:ilvl="1" w:tplc="35DED6AA">
      <w:start w:val="1"/>
      <w:numFmt w:val="bullet"/>
      <w:lvlText w:val=""/>
      <w:lvlJc w:val="left"/>
      <w:pPr>
        <w:ind w:left="1440" w:hanging="180"/>
      </w:pPr>
      <w:rPr>
        <w:rFonts w:ascii="Symbol" w:hAnsi="Symbol" w:hint="default"/>
      </w:rPr>
    </w:lvl>
    <w:lvl w:ilvl="2" w:tplc="D9B2350C">
      <w:numFmt w:val="decimal"/>
      <w:lvlText w:val=""/>
      <w:lvlJc w:val="left"/>
    </w:lvl>
    <w:lvl w:ilvl="3" w:tplc="90B27146">
      <w:numFmt w:val="decimal"/>
      <w:lvlText w:val=""/>
      <w:lvlJc w:val="left"/>
    </w:lvl>
    <w:lvl w:ilvl="4" w:tplc="E8300850">
      <w:numFmt w:val="decimal"/>
      <w:lvlText w:val=""/>
      <w:lvlJc w:val="left"/>
    </w:lvl>
    <w:lvl w:ilvl="5" w:tplc="51E8A292">
      <w:numFmt w:val="decimal"/>
      <w:lvlText w:val=""/>
      <w:lvlJc w:val="left"/>
    </w:lvl>
    <w:lvl w:ilvl="6" w:tplc="4FAAAD58">
      <w:numFmt w:val="decimal"/>
      <w:lvlText w:val=""/>
      <w:lvlJc w:val="left"/>
    </w:lvl>
    <w:lvl w:ilvl="7" w:tplc="81CE32EE">
      <w:numFmt w:val="decimal"/>
      <w:lvlText w:val=""/>
      <w:lvlJc w:val="left"/>
    </w:lvl>
    <w:lvl w:ilvl="8" w:tplc="6686AE3E">
      <w:numFmt w:val="decimal"/>
      <w:lvlText w:val=""/>
      <w:lvlJc w:val="left"/>
    </w:lvl>
  </w:abstractNum>
  <w:abstractNum w:abstractNumId="1257" w15:restartNumberingAfterBreak="0">
    <w:nsid w:val="60446B29"/>
    <w:multiLevelType w:val="hybridMultilevel"/>
    <w:tmpl w:val="99249FBA"/>
    <w:lvl w:ilvl="0" w:tplc="407C32C4">
      <w:numFmt w:val="decimal"/>
      <w:lvlText w:val=""/>
      <w:lvlJc w:val="left"/>
    </w:lvl>
    <w:lvl w:ilvl="1" w:tplc="D7EAC4D6">
      <w:start w:val="1"/>
      <w:numFmt w:val="bullet"/>
      <w:lvlText w:val=""/>
      <w:lvlJc w:val="left"/>
      <w:pPr>
        <w:ind w:left="1440" w:hanging="180"/>
      </w:pPr>
      <w:rPr>
        <w:rFonts w:ascii="Symbol" w:hAnsi="Symbol" w:hint="default"/>
      </w:rPr>
    </w:lvl>
    <w:lvl w:ilvl="2" w:tplc="BF7A3CA0">
      <w:numFmt w:val="decimal"/>
      <w:lvlText w:val=""/>
      <w:lvlJc w:val="left"/>
    </w:lvl>
    <w:lvl w:ilvl="3" w:tplc="2BC47946">
      <w:numFmt w:val="decimal"/>
      <w:lvlText w:val=""/>
      <w:lvlJc w:val="left"/>
    </w:lvl>
    <w:lvl w:ilvl="4" w:tplc="FF32ECFA">
      <w:numFmt w:val="decimal"/>
      <w:lvlText w:val=""/>
      <w:lvlJc w:val="left"/>
    </w:lvl>
    <w:lvl w:ilvl="5" w:tplc="CB088A70">
      <w:numFmt w:val="decimal"/>
      <w:lvlText w:val=""/>
      <w:lvlJc w:val="left"/>
    </w:lvl>
    <w:lvl w:ilvl="6" w:tplc="88547EEC">
      <w:numFmt w:val="decimal"/>
      <w:lvlText w:val=""/>
      <w:lvlJc w:val="left"/>
    </w:lvl>
    <w:lvl w:ilvl="7" w:tplc="C91840A4">
      <w:numFmt w:val="decimal"/>
      <w:lvlText w:val=""/>
      <w:lvlJc w:val="left"/>
    </w:lvl>
    <w:lvl w:ilvl="8" w:tplc="612C6B6E">
      <w:numFmt w:val="decimal"/>
      <w:lvlText w:val=""/>
      <w:lvlJc w:val="left"/>
    </w:lvl>
  </w:abstractNum>
  <w:abstractNum w:abstractNumId="1258" w15:restartNumberingAfterBreak="0">
    <w:nsid w:val="604507AB"/>
    <w:multiLevelType w:val="hybridMultilevel"/>
    <w:tmpl w:val="CDE09DFA"/>
    <w:lvl w:ilvl="0" w:tplc="14BA6E3E">
      <w:start w:val="1"/>
      <w:numFmt w:val="bullet"/>
      <w:lvlText w:val=""/>
      <w:lvlJc w:val="left"/>
      <w:pPr>
        <w:ind w:left="720" w:hanging="180"/>
      </w:pPr>
      <w:rPr>
        <w:rFonts w:ascii="Symbol" w:hAnsi="Symbol" w:hint="default"/>
      </w:rPr>
    </w:lvl>
    <w:lvl w:ilvl="1" w:tplc="DC08A47A">
      <w:numFmt w:val="decimal"/>
      <w:lvlText w:val=""/>
      <w:lvlJc w:val="left"/>
    </w:lvl>
    <w:lvl w:ilvl="2" w:tplc="74B0E664">
      <w:numFmt w:val="decimal"/>
      <w:lvlText w:val=""/>
      <w:lvlJc w:val="left"/>
    </w:lvl>
    <w:lvl w:ilvl="3" w:tplc="3708919A">
      <w:numFmt w:val="decimal"/>
      <w:lvlText w:val=""/>
      <w:lvlJc w:val="left"/>
    </w:lvl>
    <w:lvl w:ilvl="4" w:tplc="6A50F73A">
      <w:numFmt w:val="decimal"/>
      <w:lvlText w:val=""/>
      <w:lvlJc w:val="left"/>
    </w:lvl>
    <w:lvl w:ilvl="5" w:tplc="FBAECB62">
      <w:numFmt w:val="decimal"/>
      <w:lvlText w:val=""/>
      <w:lvlJc w:val="left"/>
    </w:lvl>
    <w:lvl w:ilvl="6" w:tplc="FC42FD2A">
      <w:numFmt w:val="decimal"/>
      <w:lvlText w:val=""/>
      <w:lvlJc w:val="left"/>
    </w:lvl>
    <w:lvl w:ilvl="7" w:tplc="FDF8CF4A">
      <w:numFmt w:val="decimal"/>
      <w:lvlText w:val=""/>
      <w:lvlJc w:val="left"/>
    </w:lvl>
    <w:lvl w:ilvl="8" w:tplc="FDE01404">
      <w:numFmt w:val="decimal"/>
      <w:lvlText w:val=""/>
      <w:lvlJc w:val="left"/>
    </w:lvl>
  </w:abstractNum>
  <w:abstractNum w:abstractNumId="1259" w15:restartNumberingAfterBreak="0">
    <w:nsid w:val="604911F0"/>
    <w:multiLevelType w:val="hybridMultilevel"/>
    <w:tmpl w:val="B3AC421E"/>
    <w:lvl w:ilvl="0" w:tplc="078852D2">
      <w:start w:val="1"/>
      <w:numFmt w:val="bullet"/>
      <w:lvlText w:val=""/>
      <w:lvlJc w:val="left"/>
      <w:pPr>
        <w:ind w:left="720" w:hanging="180"/>
      </w:pPr>
      <w:rPr>
        <w:rFonts w:ascii="Symbol" w:hAnsi="Symbol" w:hint="default"/>
      </w:rPr>
    </w:lvl>
    <w:lvl w:ilvl="1" w:tplc="A25C1230">
      <w:numFmt w:val="decimal"/>
      <w:lvlText w:val=""/>
      <w:lvlJc w:val="left"/>
    </w:lvl>
    <w:lvl w:ilvl="2" w:tplc="416C2C48">
      <w:numFmt w:val="decimal"/>
      <w:lvlText w:val=""/>
      <w:lvlJc w:val="left"/>
    </w:lvl>
    <w:lvl w:ilvl="3" w:tplc="3EC8D154">
      <w:numFmt w:val="decimal"/>
      <w:lvlText w:val=""/>
      <w:lvlJc w:val="left"/>
    </w:lvl>
    <w:lvl w:ilvl="4" w:tplc="22B82F1E">
      <w:numFmt w:val="decimal"/>
      <w:lvlText w:val=""/>
      <w:lvlJc w:val="left"/>
    </w:lvl>
    <w:lvl w:ilvl="5" w:tplc="F03242D8">
      <w:numFmt w:val="decimal"/>
      <w:lvlText w:val=""/>
      <w:lvlJc w:val="left"/>
    </w:lvl>
    <w:lvl w:ilvl="6" w:tplc="DA7680EE">
      <w:numFmt w:val="decimal"/>
      <w:lvlText w:val=""/>
      <w:lvlJc w:val="left"/>
    </w:lvl>
    <w:lvl w:ilvl="7" w:tplc="CCC67B0C">
      <w:numFmt w:val="decimal"/>
      <w:lvlText w:val=""/>
      <w:lvlJc w:val="left"/>
    </w:lvl>
    <w:lvl w:ilvl="8" w:tplc="01346320">
      <w:numFmt w:val="decimal"/>
      <w:lvlText w:val=""/>
      <w:lvlJc w:val="left"/>
    </w:lvl>
  </w:abstractNum>
  <w:abstractNum w:abstractNumId="1260" w15:restartNumberingAfterBreak="0">
    <w:nsid w:val="606417EF"/>
    <w:multiLevelType w:val="hybridMultilevel"/>
    <w:tmpl w:val="C4EC4876"/>
    <w:lvl w:ilvl="0" w:tplc="628A9CFE">
      <w:start w:val="1"/>
      <w:numFmt w:val="bullet"/>
      <w:lvlText w:val=""/>
      <w:lvlJc w:val="left"/>
      <w:pPr>
        <w:ind w:left="720" w:hanging="180"/>
      </w:pPr>
      <w:rPr>
        <w:rFonts w:ascii="Symbol" w:hAnsi="Symbol" w:hint="default"/>
      </w:rPr>
    </w:lvl>
    <w:lvl w:ilvl="1" w:tplc="4FE8D4E8">
      <w:numFmt w:val="decimal"/>
      <w:lvlText w:val=""/>
      <w:lvlJc w:val="left"/>
    </w:lvl>
    <w:lvl w:ilvl="2" w:tplc="49C6BBEA">
      <w:numFmt w:val="decimal"/>
      <w:lvlText w:val=""/>
      <w:lvlJc w:val="left"/>
    </w:lvl>
    <w:lvl w:ilvl="3" w:tplc="A726D67A">
      <w:numFmt w:val="decimal"/>
      <w:lvlText w:val=""/>
      <w:lvlJc w:val="left"/>
    </w:lvl>
    <w:lvl w:ilvl="4" w:tplc="8C52B690">
      <w:numFmt w:val="decimal"/>
      <w:lvlText w:val=""/>
      <w:lvlJc w:val="left"/>
    </w:lvl>
    <w:lvl w:ilvl="5" w:tplc="30E08A6A">
      <w:numFmt w:val="decimal"/>
      <w:lvlText w:val=""/>
      <w:lvlJc w:val="left"/>
    </w:lvl>
    <w:lvl w:ilvl="6" w:tplc="7556DD80">
      <w:numFmt w:val="decimal"/>
      <w:lvlText w:val=""/>
      <w:lvlJc w:val="left"/>
    </w:lvl>
    <w:lvl w:ilvl="7" w:tplc="07629242">
      <w:numFmt w:val="decimal"/>
      <w:lvlText w:val=""/>
      <w:lvlJc w:val="left"/>
    </w:lvl>
    <w:lvl w:ilvl="8" w:tplc="64EE8196">
      <w:numFmt w:val="decimal"/>
      <w:lvlText w:val=""/>
      <w:lvlJc w:val="left"/>
    </w:lvl>
  </w:abstractNum>
  <w:abstractNum w:abstractNumId="1261" w15:restartNumberingAfterBreak="0">
    <w:nsid w:val="60782D02"/>
    <w:multiLevelType w:val="hybridMultilevel"/>
    <w:tmpl w:val="E5F0E896"/>
    <w:lvl w:ilvl="0" w:tplc="66E829EC">
      <w:start w:val="1"/>
      <w:numFmt w:val="bullet"/>
      <w:lvlText w:val=""/>
      <w:lvlJc w:val="left"/>
      <w:pPr>
        <w:ind w:left="720" w:hanging="180"/>
      </w:pPr>
      <w:rPr>
        <w:rFonts w:ascii="Symbol" w:hAnsi="Symbol" w:hint="default"/>
      </w:rPr>
    </w:lvl>
    <w:lvl w:ilvl="1" w:tplc="B69283DC">
      <w:numFmt w:val="decimal"/>
      <w:lvlText w:val=""/>
      <w:lvlJc w:val="left"/>
    </w:lvl>
    <w:lvl w:ilvl="2" w:tplc="1D664162">
      <w:numFmt w:val="decimal"/>
      <w:lvlText w:val=""/>
      <w:lvlJc w:val="left"/>
    </w:lvl>
    <w:lvl w:ilvl="3" w:tplc="BB94BF9E">
      <w:numFmt w:val="decimal"/>
      <w:lvlText w:val=""/>
      <w:lvlJc w:val="left"/>
    </w:lvl>
    <w:lvl w:ilvl="4" w:tplc="BD10856C">
      <w:numFmt w:val="decimal"/>
      <w:lvlText w:val=""/>
      <w:lvlJc w:val="left"/>
    </w:lvl>
    <w:lvl w:ilvl="5" w:tplc="F6245030">
      <w:numFmt w:val="decimal"/>
      <w:lvlText w:val=""/>
      <w:lvlJc w:val="left"/>
    </w:lvl>
    <w:lvl w:ilvl="6" w:tplc="A3C8D59A">
      <w:numFmt w:val="decimal"/>
      <w:lvlText w:val=""/>
      <w:lvlJc w:val="left"/>
    </w:lvl>
    <w:lvl w:ilvl="7" w:tplc="20D4E702">
      <w:numFmt w:val="decimal"/>
      <w:lvlText w:val=""/>
      <w:lvlJc w:val="left"/>
    </w:lvl>
    <w:lvl w:ilvl="8" w:tplc="D1983AE0">
      <w:numFmt w:val="decimal"/>
      <w:lvlText w:val=""/>
      <w:lvlJc w:val="left"/>
    </w:lvl>
  </w:abstractNum>
  <w:abstractNum w:abstractNumId="1262" w15:restartNumberingAfterBreak="0">
    <w:nsid w:val="60A30916"/>
    <w:multiLevelType w:val="hybridMultilevel"/>
    <w:tmpl w:val="81401D5C"/>
    <w:lvl w:ilvl="0" w:tplc="AF5E17CA">
      <w:start w:val="1"/>
      <w:numFmt w:val="bullet"/>
      <w:lvlText w:val=""/>
      <w:lvlJc w:val="left"/>
      <w:pPr>
        <w:ind w:left="720" w:hanging="180"/>
      </w:pPr>
      <w:rPr>
        <w:rFonts w:ascii="Symbol" w:hAnsi="Symbol" w:hint="default"/>
      </w:rPr>
    </w:lvl>
    <w:lvl w:ilvl="1" w:tplc="E53A81E4">
      <w:numFmt w:val="decimal"/>
      <w:lvlText w:val=""/>
      <w:lvlJc w:val="left"/>
    </w:lvl>
    <w:lvl w:ilvl="2" w:tplc="66B45C54">
      <w:numFmt w:val="decimal"/>
      <w:lvlText w:val=""/>
      <w:lvlJc w:val="left"/>
    </w:lvl>
    <w:lvl w:ilvl="3" w:tplc="81761606">
      <w:numFmt w:val="decimal"/>
      <w:lvlText w:val=""/>
      <w:lvlJc w:val="left"/>
    </w:lvl>
    <w:lvl w:ilvl="4" w:tplc="30A8F98E">
      <w:numFmt w:val="decimal"/>
      <w:lvlText w:val=""/>
      <w:lvlJc w:val="left"/>
    </w:lvl>
    <w:lvl w:ilvl="5" w:tplc="3F3E8F68">
      <w:numFmt w:val="decimal"/>
      <w:lvlText w:val=""/>
      <w:lvlJc w:val="left"/>
    </w:lvl>
    <w:lvl w:ilvl="6" w:tplc="001A3B9C">
      <w:numFmt w:val="decimal"/>
      <w:lvlText w:val=""/>
      <w:lvlJc w:val="left"/>
    </w:lvl>
    <w:lvl w:ilvl="7" w:tplc="383A6500">
      <w:numFmt w:val="decimal"/>
      <w:lvlText w:val=""/>
      <w:lvlJc w:val="left"/>
    </w:lvl>
    <w:lvl w:ilvl="8" w:tplc="0A94095A">
      <w:numFmt w:val="decimal"/>
      <w:lvlText w:val=""/>
      <w:lvlJc w:val="left"/>
    </w:lvl>
  </w:abstractNum>
  <w:abstractNum w:abstractNumId="1263" w15:restartNumberingAfterBreak="0">
    <w:nsid w:val="60D47501"/>
    <w:multiLevelType w:val="hybridMultilevel"/>
    <w:tmpl w:val="CFB4E7F6"/>
    <w:lvl w:ilvl="0" w:tplc="8850C9CC">
      <w:start w:val="1"/>
      <w:numFmt w:val="bullet"/>
      <w:lvlText w:val=""/>
      <w:lvlJc w:val="left"/>
      <w:pPr>
        <w:ind w:left="720" w:hanging="180"/>
      </w:pPr>
      <w:rPr>
        <w:rFonts w:ascii="Symbol" w:hAnsi="Symbol" w:hint="default"/>
      </w:rPr>
    </w:lvl>
    <w:lvl w:ilvl="1" w:tplc="51C68206">
      <w:numFmt w:val="decimal"/>
      <w:lvlText w:val=""/>
      <w:lvlJc w:val="left"/>
    </w:lvl>
    <w:lvl w:ilvl="2" w:tplc="9B7E9F38">
      <w:numFmt w:val="decimal"/>
      <w:lvlText w:val=""/>
      <w:lvlJc w:val="left"/>
    </w:lvl>
    <w:lvl w:ilvl="3" w:tplc="8D9C01BA">
      <w:numFmt w:val="decimal"/>
      <w:lvlText w:val=""/>
      <w:lvlJc w:val="left"/>
    </w:lvl>
    <w:lvl w:ilvl="4" w:tplc="8DC06D96">
      <w:numFmt w:val="decimal"/>
      <w:lvlText w:val=""/>
      <w:lvlJc w:val="left"/>
    </w:lvl>
    <w:lvl w:ilvl="5" w:tplc="B5E49854">
      <w:numFmt w:val="decimal"/>
      <w:lvlText w:val=""/>
      <w:lvlJc w:val="left"/>
    </w:lvl>
    <w:lvl w:ilvl="6" w:tplc="60DAF74C">
      <w:numFmt w:val="decimal"/>
      <w:lvlText w:val=""/>
      <w:lvlJc w:val="left"/>
    </w:lvl>
    <w:lvl w:ilvl="7" w:tplc="A50E94A2">
      <w:numFmt w:val="decimal"/>
      <w:lvlText w:val=""/>
      <w:lvlJc w:val="left"/>
    </w:lvl>
    <w:lvl w:ilvl="8" w:tplc="939EBB42">
      <w:numFmt w:val="decimal"/>
      <w:lvlText w:val=""/>
      <w:lvlJc w:val="left"/>
    </w:lvl>
  </w:abstractNum>
  <w:abstractNum w:abstractNumId="1264" w15:restartNumberingAfterBreak="0">
    <w:nsid w:val="60DB055A"/>
    <w:multiLevelType w:val="hybridMultilevel"/>
    <w:tmpl w:val="191A6F60"/>
    <w:lvl w:ilvl="0" w:tplc="1086515A">
      <w:start w:val="1"/>
      <w:numFmt w:val="bullet"/>
      <w:lvlText w:val=""/>
      <w:lvlJc w:val="left"/>
      <w:pPr>
        <w:ind w:left="720" w:hanging="180"/>
      </w:pPr>
      <w:rPr>
        <w:rFonts w:ascii="Symbol" w:hAnsi="Symbol" w:hint="default"/>
      </w:rPr>
    </w:lvl>
    <w:lvl w:ilvl="1" w:tplc="53E6FA20">
      <w:numFmt w:val="decimal"/>
      <w:lvlText w:val=""/>
      <w:lvlJc w:val="left"/>
    </w:lvl>
    <w:lvl w:ilvl="2" w:tplc="3BD81872">
      <w:numFmt w:val="decimal"/>
      <w:lvlText w:val=""/>
      <w:lvlJc w:val="left"/>
    </w:lvl>
    <w:lvl w:ilvl="3" w:tplc="413046F8">
      <w:numFmt w:val="decimal"/>
      <w:lvlText w:val=""/>
      <w:lvlJc w:val="left"/>
    </w:lvl>
    <w:lvl w:ilvl="4" w:tplc="2D0C88CA">
      <w:numFmt w:val="decimal"/>
      <w:lvlText w:val=""/>
      <w:lvlJc w:val="left"/>
    </w:lvl>
    <w:lvl w:ilvl="5" w:tplc="3C6668E8">
      <w:numFmt w:val="decimal"/>
      <w:lvlText w:val=""/>
      <w:lvlJc w:val="left"/>
    </w:lvl>
    <w:lvl w:ilvl="6" w:tplc="10505162">
      <w:numFmt w:val="decimal"/>
      <w:lvlText w:val=""/>
      <w:lvlJc w:val="left"/>
    </w:lvl>
    <w:lvl w:ilvl="7" w:tplc="734EE43C">
      <w:numFmt w:val="decimal"/>
      <w:lvlText w:val=""/>
      <w:lvlJc w:val="left"/>
    </w:lvl>
    <w:lvl w:ilvl="8" w:tplc="4EFCA688">
      <w:numFmt w:val="decimal"/>
      <w:lvlText w:val=""/>
      <w:lvlJc w:val="left"/>
    </w:lvl>
  </w:abstractNum>
  <w:abstractNum w:abstractNumId="1265" w15:restartNumberingAfterBreak="0">
    <w:nsid w:val="60E0419F"/>
    <w:multiLevelType w:val="hybridMultilevel"/>
    <w:tmpl w:val="7FBCAEF2"/>
    <w:lvl w:ilvl="0" w:tplc="01B01DCE">
      <w:start w:val="1"/>
      <w:numFmt w:val="bullet"/>
      <w:lvlText w:val=""/>
      <w:lvlJc w:val="left"/>
      <w:pPr>
        <w:ind w:left="720" w:hanging="180"/>
      </w:pPr>
      <w:rPr>
        <w:rFonts w:ascii="Symbol" w:hAnsi="Symbol" w:hint="default"/>
      </w:rPr>
    </w:lvl>
    <w:lvl w:ilvl="1" w:tplc="DED0755E">
      <w:numFmt w:val="decimal"/>
      <w:lvlText w:val=""/>
      <w:lvlJc w:val="left"/>
    </w:lvl>
    <w:lvl w:ilvl="2" w:tplc="1BDE8B64">
      <w:numFmt w:val="decimal"/>
      <w:lvlText w:val=""/>
      <w:lvlJc w:val="left"/>
    </w:lvl>
    <w:lvl w:ilvl="3" w:tplc="0D221012">
      <w:numFmt w:val="decimal"/>
      <w:lvlText w:val=""/>
      <w:lvlJc w:val="left"/>
    </w:lvl>
    <w:lvl w:ilvl="4" w:tplc="C6E619CA">
      <w:numFmt w:val="decimal"/>
      <w:lvlText w:val=""/>
      <w:lvlJc w:val="left"/>
    </w:lvl>
    <w:lvl w:ilvl="5" w:tplc="E3A2611E">
      <w:numFmt w:val="decimal"/>
      <w:lvlText w:val=""/>
      <w:lvlJc w:val="left"/>
    </w:lvl>
    <w:lvl w:ilvl="6" w:tplc="0FD81990">
      <w:numFmt w:val="decimal"/>
      <w:lvlText w:val=""/>
      <w:lvlJc w:val="left"/>
    </w:lvl>
    <w:lvl w:ilvl="7" w:tplc="FE8E15C8">
      <w:numFmt w:val="decimal"/>
      <w:lvlText w:val=""/>
      <w:lvlJc w:val="left"/>
    </w:lvl>
    <w:lvl w:ilvl="8" w:tplc="DF00A370">
      <w:numFmt w:val="decimal"/>
      <w:lvlText w:val=""/>
      <w:lvlJc w:val="left"/>
    </w:lvl>
  </w:abstractNum>
  <w:abstractNum w:abstractNumId="1266" w15:restartNumberingAfterBreak="0">
    <w:nsid w:val="610E2EF4"/>
    <w:multiLevelType w:val="hybridMultilevel"/>
    <w:tmpl w:val="E7727D86"/>
    <w:lvl w:ilvl="0" w:tplc="22B839A8">
      <w:start w:val="1"/>
      <w:numFmt w:val="bullet"/>
      <w:lvlText w:val=""/>
      <w:lvlJc w:val="left"/>
      <w:pPr>
        <w:ind w:left="720" w:hanging="180"/>
      </w:pPr>
      <w:rPr>
        <w:rFonts w:ascii="Symbol" w:hAnsi="Symbol" w:hint="default"/>
      </w:rPr>
    </w:lvl>
    <w:lvl w:ilvl="1" w:tplc="759A1162">
      <w:numFmt w:val="decimal"/>
      <w:lvlText w:val=""/>
      <w:lvlJc w:val="left"/>
    </w:lvl>
    <w:lvl w:ilvl="2" w:tplc="23C81CD2">
      <w:numFmt w:val="decimal"/>
      <w:lvlText w:val=""/>
      <w:lvlJc w:val="left"/>
    </w:lvl>
    <w:lvl w:ilvl="3" w:tplc="2EA82E66">
      <w:numFmt w:val="decimal"/>
      <w:lvlText w:val=""/>
      <w:lvlJc w:val="left"/>
    </w:lvl>
    <w:lvl w:ilvl="4" w:tplc="85A0BC2C">
      <w:numFmt w:val="decimal"/>
      <w:lvlText w:val=""/>
      <w:lvlJc w:val="left"/>
    </w:lvl>
    <w:lvl w:ilvl="5" w:tplc="56509764">
      <w:numFmt w:val="decimal"/>
      <w:lvlText w:val=""/>
      <w:lvlJc w:val="left"/>
    </w:lvl>
    <w:lvl w:ilvl="6" w:tplc="5E5C7B9C">
      <w:numFmt w:val="decimal"/>
      <w:lvlText w:val=""/>
      <w:lvlJc w:val="left"/>
    </w:lvl>
    <w:lvl w:ilvl="7" w:tplc="86469E7A">
      <w:numFmt w:val="decimal"/>
      <w:lvlText w:val=""/>
      <w:lvlJc w:val="left"/>
    </w:lvl>
    <w:lvl w:ilvl="8" w:tplc="2B583728">
      <w:numFmt w:val="decimal"/>
      <w:lvlText w:val=""/>
      <w:lvlJc w:val="left"/>
    </w:lvl>
  </w:abstractNum>
  <w:abstractNum w:abstractNumId="1267" w15:restartNumberingAfterBreak="0">
    <w:nsid w:val="611C4819"/>
    <w:multiLevelType w:val="hybridMultilevel"/>
    <w:tmpl w:val="32C63648"/>
    <w:lvl w:ilvl="0" w:tplc="F954D1F2">
      <w:start w:val="1"/>
      <w:numFmt w:val="bullet"/>
      <w:lvlText w:val=""/>
      <w:lvlJc w:val="left"/>
      <w:pPr>
        <w:ind w:left="720" w:hanging="180"/>
      </w:pPr>
      <w:rPr>
        <w:rFonts w:ascii="Symbol" w:hAnsi="Symbol" w:hint="default"/>
      </w:rPr>
    </w:lvl>
    <w:lvl w:ilvl="1" w:tplc="DEF85CAC">
      <w:numFmt w:val="decimal"/>
      <w:lvlText w:val=""/>
      <w:lvlJc w:val="left"/>
    </w:lvl>
    <w:lvl w:ilvl="2" w:tplc="8DD23C64">
      <w:numFmt w:val="decimal"/>
      <w:lvlText w:val=""/>
      <w:lvlJc w:val="left"/>
    </w:lvl>
    <w:lvl w:ilvl="3" w:tplc="535A2664">
      <w:numFmt w:val="decimal"/>
      <w:lvlText w:val=""/>
      <w:lvlJc w:val="left"/>
    </w:lvl>
    <w:lvl w:ilvl="4" w:tplc="2C368A88">
      <w:numFmt w:val="decimal"/>
      <w:lvlText w:val=""/>
      <w:lvlJc w:val="left"/>
    </w:lvl>
    <w:lvl w:ilvl="5" w:tplc="ED72C184">
      <w:numFmt w:val="decimal"/>
      <w:lvlText w:val=""/>
      <w:lvlJc w:val="left"/>
    </w:lvl>
    <w:lvl w:ilvl="6" w:tplc="5C8E4AD0">
      <w:numFmt w:val="decimal"/>
      <w:lvlText w:val=""/>
      <w:lvlJc w:val="left"/>
    </w:lvl>
    <w:lvl w:ilvl="7" w:tplc="9E6E6E26">
      <w:numFmt w:val="decimal"/>
      <w:lvlText w:val=""/>
      <w:lvlJc w:val="left"/>
    </w:lvl>
    <w:lvl w:ilvl="8" w:tplc="429CB598">
      <w:numFmt w:val="decimal"/>
      <w:lvlText w:val=""/>
      <w:lvlJc w:val="left"/>
    </w:lvl>
  </w:abstractNum>
  <w:abstractNum w:abstractNumId="1268" w15:restartNumberingAfterBreak="0">
    <w:nsid w:val="61247721"/>
    <w:multiLevelType w:val="hybridMultilevel"/>
    <w:tmpl w:val="EB8264EA"/>
    <w:lvl w:ilvl="0" w:tplc="CBFCFEA2">
      <w:numFmt w:val="decimal"/>
      <w:lvlText w:val=""/>
      <w:lvlJc w:val="left"/>
    </w:lvl>
    <w:lvl w:ilvl="1" w:tplc="33187C1C">
      <w:start w:val="1"/>
      <w:numFmt w:val="bullet"/>
      <w:lvlText w:val=""/>
      <w:lvlJc w:val="left"/>
      <w:pPr>
        <w:ind w:left="1440" w:hanging="180"/>
      </w:pPr>
      <w:rPr>
        <w:rFonts w:ascii="Symbol" w:hAnsi="Symbol" w:hint="default"/>
      </w:rPr>
    </w:lvl>
    <w:lvl w:ilvl="2" w:tplc="B2CAA07C">
      <w:numFmt w:val="decimal"/>
      <w:lvlText w:val=""/>
      <w:lvlJc w:val="left"/>
    </w:lvl>
    <w:lvl w:ilvl="3" w:tplc="628AD324">
      <w:numFmt w:val="decimal"/>
      <w:lvlText w:val=""/>
      <w:lvlJc w:val="left"/>
    </w:lvl>
    <w:lvl w:ilvl="4" w:tplc="888E2BB2">
      <w:numFmt w:val="decimal"/>
      <w:lvlText w:val=""/>
      <w:lvlJc w:val="left"/>
    </w:lvl>
    <w:lvl w:ilvl="5" w:tplc="C696F864">
      <w:numFmt w:val="decimal"/>
      <w:lvlText w:val=""/>
      <w:lvlJc w:val="left"/>
    </w:lvl>
    <w:lvl w:ilvl="6" w:tplc="CAEC730C">
      <w:numFmt w:val="decimal"/>
      <w:lvlText w:val=""/>
      <w:lvlJc w:val="left"/>
    </w:lvl>
    <w:lvl w:ilvl="7" w:tplc="EE083FEA">
      <w:numFmt w:val="decimal"/>
      <w:lvlText w:val=""/>
      <w:lvlJc w:val="left"/>
    </w:lvl>
    <w:lvl w:ilvl="8" w:tplc="5DCCDA6E">
      <w:numFmt w:val="decimal"/>
      <w:lvlText w:val=""/>
      <w:lvlJc w:val="left"/>
    </w:lvl>
  </w:abstractNum>
  <w:abstractNum w:abstractNumId="1269" w15:restartNumberingAfterBreak="0">
    <w:nsid w:val="612F173C"/>
    <w:multiLevelType w:val="hybridMultilevel"/>
    <w:tmpl w:val="0E66AA6E"/>
    <w:lvl w:ilvl="0" w:tplc="A81CAE28">
      <w:start w:val="1"/>
      <w:numFmt w:val="bullet"/>
      <w:lvlText w:val=""/>
      <w:lvlJc w:val="left"/>
      <w:pPr>
        <w:ind w:left="720" w:hanging="180"/>
      </w:pPr>
      <w:rPr>
        <w:rFonts w:ascii="Symbol" w:hAnsi="Symbol" w:hint="default"/>
      </w:rPr>
    </w:lvl>
    <w:lvl w:ilvl="1" w:tplc="DED8A52E">
      <w:numFmt w:val="decimal"/>
      <w:lvlText w:val=""/>
      <w:lvlJc w:val="left"/>
    </w:lvl>
    <w:lvl w:ilvl="2" w:tplc="3E64CEEC">
      <w:numFmt w:val="decimal"/>
      <w:lvlText w:val=""/>
      <w:lvlJc w:val="left"/>
    </w:lvl>
    <w:lvl w:ilvl="3" w:tplc="CABC1DF6">
      <w:numFmt w:val="decimal"/>
      <w:lvlText w:val=""/>
      <w:lvlJc w:val="left"/>
    </w:lvl>
    <w:lvl w:ilvl="4" w:tplc="EF2C194E">
      <w:numFmt w:val="decimal"/>
      <w:lvlText w:val=""/>
      <w:lvlJc w:val="left"/>
    </w:lvl>
    <w:lvl w:ilvl="5" w:tplc="104EFBAA">
      <w:numFmt w:val="decimal"/>
      <w:lvlText w:val=""/>
      <w:lvlJc w:val="left"/>
    </w:lvl>
    <w:lvl w:ilvl="6" w:tplc="4BF21818">
      <w:numFmt w:val="decimal"/>
      <w:lvlText w:val=""/>
      <w:lvlJc w:val="left"/>
    </w:lvl>
    <w:lvl w:ilvl="7" w:tplc="B8D07CCE">
      <w:numFmt w:val="decimal"/>
      <w:lvlText w:val=""/>
      <w:lvlJc w:val="left"/>
    </w:lvl>
    <w:lvl w:ilvl="8" w:tplc="60E0CB96">
      <w:numFmt w:val="decimal"/>
      <w:lvlText w:val=""/>
      <w:lvlJc w:val="left"/>
    </w:lvl>
  </w:abstractNum>
  <w:abstractNum w:abstractNumId="1270" w15:restartNumberingAfterBreak="0">
    <w:nsid w:val="61315E62"/>
    <w:multiLevelType w:val="hybridMultilevel"/>
    <w:tmpl w:val="2BB42568"/>
    <w:lvl w:ilvl="0" w:tplc="8054B7D6">
      <w:start w:val="1"/>
      <w:numFmt w:val="bullet"/>
      <w:lvlText w:val=""/>
      <w:lvlJc w:val="left"/>
      <w:pPr>
        <w:ind w:left="720" w:hanging="180"/>
      </w:pPr>
      <w:rPr>
        <w:rFonts w:ascii="Symbol" w:hAnsi="Symbol" w:hint="default"/>
      </w:rPr>
    </w:lvl>
    <w:lvl w:ilvl="1" w:tplc="2736A28C">
      <w:numFmt w:val="decimal"/>
      <w:lvlText w:val=""/>
      <w:lvlJc w:val="left"/>
    </w:lvl>
    <w:lvl w:ilvl="2" w:tplc="65DE7F48">
      <w:numFmt w:val="decimal"/>
      <w:lvlText w:val=""/>
      <w:lvlJc w:val="left"/>
    </w:lvl>
    <w:lvl w:ilvl="3" w:tplc="7D90A5AC">
      <w:numFmt w:val="decimal"/>
      <w:lvlText w:val=""/>
      <w:lvlJc w:val="left"/>
    </w:lvl>
    <w:lvl w:ilvl="4" w:tplc="44DC2C4A">
      <w:numFmt w:val="decimal"/>
      <w:lvlText w:val=""/>
      <w:lvlJc w:val="left"/>
    </w:lvl>
    <w:lvl w:ilvl="5" w:tplc="6D4EDE1E">
      <w:numFmt w:val="decimal"/>
      <w:lvlText w:val=""/>
      <w:lvlJc w:val="left"/>
    </w:lvl>
    <w:lvl w:ilvl="6" w:tplc="DDD86A20">
      <w:numFmt w:val="decimal"/>
      <w:lvlText w:val=""/>
      <w:lvlJc w:val="left"/>
    </w:lvl>
    <w:lvl w:ilvl="7" w:tplc="B24A51CE">
      <w:numFmt w:val="decimal"/>
      <w:lvlText w:val=""/>
      <w:lvlJc w:val="left"/>
    </w:lvl>
    <w:lvl w:ilvl="8" w:tplc="D936757E">
      <w:numFmt w:val="decimal"/>
      <w:lvlText w:val=""/>
      <w:lvlJc w:val="left"/>
    </w:lvl>
  </w:abstractNum>
  <w:abstractNum w:abstractNumId="1271" w15:restartNumberingAfterBreak="0">
    <w:nsid w:val="615663D9"/>
    <w:multiLevelType w:val="hybridMultilevel"/>
    <w:tmpl w:val="85A6CF28"/>
    <w:lvl w:ilvl="0" w:tplc="C25A8182">
      <w:start w:val="1"/>
      <w:numFmt w:val="bullet"/>
      <w:lvlText w:val=""/>
      <w:lvlJc w:val="left"/>
      <w:pPr>
        <w:ind w:left="720" w:hanging="180"/>
      </w:pPr>
      <w:rPr>
        <w:rFonts w:ascii="Symbol" w:hAnsi="Symbol" w:hint="default"/>
      </w:rPr>
    </w:lvl>
    <w:lvl w:ilvl="1" w:tplc="CD946106">
      <w:numFmt w:val="decimal"/>
      <w:lvlText w:val=""/>
      <w:lvlJc w:val="left"/>
    </w:lvl>
    <w:lvl w:ilvl="2" w:tplc="AE30EB7A">
      <w:numFmt w:val="decimal"/>
      <w:lvlText w:val=""/>
      <w:lvlJc w:val="left"/>
    </w:lvl>
    <w:lvl w:ilvl="3" w:tplc="59801CBE">
      <w:numFmt w:val="decimal"/>
      <w:lvlText w:val=""/>
      <w:lvlJc w:val="left"/>
    </w:lvl>
    <w:lvl w:ilvl="4" w:tplc="14B4BB5E">
      <w:numFmt w:val="decimal"/>
      <w:lvlText w:val=""/>
      <w:lvlJc w:val="left"/>
    </w:lvl>
    <w:lvl w:ilvl="5" w:tplc="B10A53C2">
      <w:numFmt w:val="decimal"/>
      <w:lvlText w:val=""/>
      <w:lvlJc w:val="left"/>
    </w:lvl>
    <w:lvl w:ilvl="6" w:tplc="AF8ABA7A">
      <w:numFmt w:val="decimal"/>
      <w:lvlText w:val=""/>
      <w:lvlJc w:val="left"/>
    </w:lvl>
    <w:lvl w:ilvl="7" w:tplc="5D40E282">
      <w:numFmt w:val="decimal"/>
      <w:lvlText w:val=""/>
      <w:lvlJc w:val="left"/>
    </w:lvl>
    <w:lvl w:ilvl="8" w:tplc="583A275A">
      <w:numFmt w:val="decimal"/>
      <w:lvlText w:val=""/>
      <w:lvlJc w:val="left"/>
    </w:lvl>
  </w:abstractNum>
  <w:abstractNum w:abstractNumId="1272" w15:restartNumberingAfterBreak="0">
    <w:nsid w:val="615C6167"/>
    <w:multiLevelType w:val="hybridMultilevel"/>
    <w:tmpl w:val="EEC8136A"/>
    <w:lvl w:ilvl="0" w:tplc="1B76CFDC">
      <w:start w:val="1"/>
      <w:numFmt w:val="bullet"/>
      <w:lvlText w:val=""/>
      <w:lvlJc w:val="left"/>
      <w:pPr>
        <w:ind w:left="720" w:hanging="180"/>
      </w:pPr>
      <w:rPr>
        <w:rFonts w:ascii="Symbol" w:hAnsi="Symbol" w:hint="default"/>
      </w:rPr>
    </w:lvl>
    <w:lvl w:ilvl="1" w:tplc="C5AC0DBA">
      <w:numFmt w:val="decimal"/>
      <w:lvlText w:val=""/>
      <w:lvlJc w:val="left"/>
    </w:lvl>
    <w:lvl w:ilvl="2" w:tplc="1A0CC27A">
      <w:numFmt w:val="decimal"/>
      <w:lvlText w:val=""/>
      <w:lvlJc w:val="left"/>
    </w:lvl>
    <w:lvl w:ilvl="3" w:tplc="680AC5AA">
      <w:numFmt w:val="decimal"/>
      <w:lvlText w:val=""/>
      <w:lvlJc w:val="left"/>
    </w:lvl>
    <w:lvl w:ilvl="4" w:tplc="B010EB9A">
      <w:numFmt w:val="decimal"/>
      <w:lvlText w:val=""/>
      <w:lvlJc w:val="left"/>
    </w:lvl>
    <w:lvl w:ilvl="5" w:tplc="00BA511C">
      <w:numFmt w:val="decimal"/>
      <w:lvlText w:val=""/>
      <w:lvlJc w:val="left"/>
    </w:lvl>
    <w:lvl w:ilvl="6" w:tplc="097C4EBE">
      <w:numFmt w:val="decimal"/>
      <w:lvlText w:val=""/>
      <w:lvlJc w:val="left"/>
    </w:lvl>
    <w:lvl w:ilvl="7" w:tplc="4334A7EA">
      <w:numFmt w:val="decimal"/>
      <w:lvlText w:val=""/>
      <w:lvlJc w:val="left"/>
    </w:lvl>
    <w:lvl w:ilvl="8" w:tplc="4CB8A968">
      <w:numFmt w:val="decimal"/>
      <w:lvlText w:val=""/>
      <w:lvlJc w:val="left"/>
    </w:lvl>
  </w:abstractNum>
  <w:abstractNum w:abstractNumId="1273" w15:restartNumberingAfterBreak="0">
    <w:nsid w:val="615E2299"/>
    <w:multiLevelType w:val="hybridMultilevel"/>
    <w:tmpl w:val="FEAA8B1A"/>
    <w:lvl w:ilvl="0" w:tplc="C9F203F6">
      <w:start w:val="1"/>
      <w:numFmt w:val="bullet"/>
      <w:lvlText w:val=""/>
      <w:lvlJc w:val="left"/>
      <w:pPr>
        <w:ind w:left="720" w:hanging="180"/>
      </w:pPr>
      <w:rPr>
        <w:rFonts w:ascii="Symbol" w:hAnsi="Symbol" w:hint="default"/>
      </w:rPr>
    </w:lvl>
    <w:lvl w:ilvl="1" w:tplc="77D6E196">
      <w:numFmt w:val="decimal"/>
      <w:lvlText w:val=""/>
      <w:lvlJc w:val="left"/>
    </w:lvl>
    <w:lvl w:ilvl="2" w:tplc="F000B2BC">
      <w:numFmt w:val="decimal"/>
      <w:lvlText w:val=""/>
      <w:lvlJc w:val="left"/>
    </w:lvl>
    <w:lvl w:ilvl="3" w:tplc="42263784">
      <w:numFmt w:val="decimal"/>
      <w:lvlText w:val=""/>
      <w:lvlJc w:val="left"/>
    </w:lvl>
    <w:lvl w:ilvl="4" w:tplc="131451BE">
      <w:numFmt w:val="decimal"/>
      <w:lvlText w:val=""/>
      <w:lvlJc w:val="left"/>
    </w:lvl>
    <w:lvl w:ilvl="5" w:tplc="38A4629A">
      <w:numFmt w:val="decimal"/>
      <w:lvlText w:val=""/>
      <w:lvlJc w:val="left"/>
    </w:lvl>
    <w:lvl w:ilvl="6" w:tplc="456E11C6">
      <w:numFmt w:val="decimal"/>
      <w:lvlText w:val=""/>
      <w:lvlJc w:val="left"/>
    </w:lvl>
    <w:lvl w:ilvl="7" w:tplc="60644C54">
      <w:numFmt w:val="decimal"/>
      <w:lvlText w:val=""/>
      <w:lvlJc w:val="left"/>
    </w:lvl>
    <w:lvl w:ilvl="8" w:tplc="CBF87788">
      <w:numFmt w:val="decimal"/>
      <w:lvlText w:val=""/>
      <w:lvlJc w:val="left"/>
    </w:lvl>
  </w:abstractNum>
  <w:abstractNum w:abstractNumId="1274" w15:restartNumberingAfterBreak="0">
    <w:nsid w:val="617E725B"/>
    <w:multiLevelType w:val="hybridMultilevel"/>
    <w:tmpl w:val="B8A420FE"/>
    <w:lvl w:ilvl="0" w:tplc="1DB06F80">
      <w:start w:val="1"/>
      <w:numFmt w:val="bullet"/>
      <w:lvlText w:val=""/>
      <w:lvlJc w:val="left"/>
      <w:pPr>
        <w:ind w:left="720" w:hanging="180"/>
      </w:pPr>
      <w:rPr>
        <w:rFonts w:ascii="Symbol" w:hAnsi="Symbol" w:hint="default"/>
      </w:rPr>
    </w:lvl>
    <w:lvl w:ilvl="1" w:tplc="FB2EAED4">
      <w:numFmt w:val="decimal"/>
      <w:lvlText w:val=""/>
      <w:lvlJc w:val="left"/>
    </w:lvl>
    <w:lvl w:ilvl="2" w:tplc="99223BF6">
      <w:numFmt w:val="decimal"/>
      <w:lvlText w:val=""/>
      <w:lvlJc w:val="left"/>
    </w:lvl>
    <w:lvl w:ilvl="3" w:tplc="E0108868">
      <w:numFmt w:val="decimal"/>
      <w:lvlText w:val=""/>
      <w:lvlJc w:val="left"/>
    </w:lvl>
    <w:lvl w:ilvl="4" w:tplc="95F66AC2">
      <w:numFmt w:val="decimal"/>
      <w:lvlText w:val=""/>
      <w:lvlJc w:val="left"/>
    </w:lvl>
    <w:lvl w:ilvl="5" w:tplc="2A30016C">
      <w:numFmt w:val="decimal"/>
      <w:lvlText w:val=""/>
      <w:lvlJc w:val="left"/>
    </w:lvl>
    <w:lvl w:ilvl="6" w:tplc="F498F874">
      <w:numFmt w:val="decimal"/>
      <w:lvlText w:val=""/>
      <w:lvlJc w:val="left"/>
    </w:lvl>
    <w:lvl w:ilvl="7" w:tplc="3C3C2E8A">
      <w:numFmt w:val="decimal"/>
      <w:lvlText w:val=""/>
      <w:lvlJc w:val="left"/>
    </w:lvl>
    <w:lvl w:ilvl="8" w:tplc="BD0C02BC">
      <w:numFmt w:val="decimal"/>
      <w:lvlText w:val=""/>
      <w:lvlJc w:val="left"/>
    </w:lvl>
  </w:abstractNum>
  <w:abstractNum w:abstractNumId="1275" w15:restartNumberingAfterBreak="0">
    <w:nsid w:val="619C598A"/>
    <w:multiLevelType w:val="hybridMultilevel"/>
    <w:tmpl w:val="9FA02680"/>
    <w:lvl w:ilvl="0" w:tplc="4118A1DE">
      <w:start w:val="1"/>
      <w:numFmt w:val="bullet"/>
      <w:lvlText w:val=""/>
      <w:lvlJc w:val="left"/>
      <w:pPr>
        <w:ind w:left="720" w:hanging="180"/>
      </w:pPr>
      <w:rPr>
        <w:rFonts w:ascii="Symbol" w:hAnsi="Symbol" w:hint="default"/>
      </w:rPr>
    </w:lvl>
    <w:lvl w:ilvl="1" w:tplc="3EC43E30">
      <w:numFmt w:val="decimal"/>
      <w:lvlText w:val=""/>
      <w:lvlJc w:val="left"/>
    </w:lvl>
    <w:lvl w:ilvl="2" w:tplc="1640051C">
      <w:numFmt w:val="decimal"/>
      <w:lvlText w:val=""/>
      <w:lvlJc w:val="left"/>
    </w:lvl>
    <w:lvl w:ilvl="3" w:tplc="7E76030A">
      <w:numFmt w:val="decimal"/>
      <w:lvlText w:val=""/>
      <w:lvlJc w:val="left"/>
    </w:lvl>
    <w:lvl w:ilvl="4" w:tplc="03C034FC">
      <w:numFmt w:val="decimal"/>
      <w:lvlText w:val=""/>
      <w:lvlJc w:val="left"/>
    </w:lvl>
    <w:lvl w:ilvl="5" w:tplc="F1AAA330">
      <w:numFmt w:val="decimal"/>
      <w:lvlText w:val=""/>
      <w:lvlJc w:val="left"/>
    </w:lvl>
    <w:lvl w:ilvl="6" w:tplc="F7680A6C">
      <w:numFmt w:val="decimal"/>
      <w:lvlText w:val=""/>
      <w:lvlJc w:val="left"/>
    </w:lvl>
    <w:lvl w:ilvl="7" w:tplc="50C27F36">
      <w:numFmt w:val="decimal"/>
      <w:lvlText w:val=""/>
      <w:lvlJc w:val="left"/>
    </w:lvl>
    <w:lvl w:ilvl="8" w:tplc="B1242116">
      <w:numFmt w:val="decimal"/>
      <w:lvlText w:val=""/>
      <w:lvlJc w:val="left"/>
    </w:lvl>
  </w:abstractNum>
  <w:abstractNum w:abstractNumId="1276" w15:restartNumberingAfterBreak="0">
    <w:nsid w:val="61AC42B2"/>
    <w:multiLevelType w:val="hybridMultilevel"/>
    <w:tmpl w:val="ABBCEE22"/>
    <w:lvl w:ilvl="0" w:tplc="41A6D19A">
      <w:start w:val="1"/>
      <w:numFmt w:val="bullet"/>
      <w:lvlText w:val=""/>
      <w:lvlJc w:val="left"/>
      <w:pPr>
        <w:ind w:left="720" w:hanging="180"/>
      </w:pPr>
      <w:rPr>
        <w:rFonts w:ascii="Symbol" w:hAnsi="Symbol" w:hint="default"/>
      </w:rPr>
    </w:lvl>
    <w:lvl w:ilvl="1" w:tplc="A8E62ED8">
      <w:numFmt w:val="decimal"/>
      <w:lvlText w:val=""/>
      <w:lvlJc w:val="left"/>
    </w:lvl>
    <w:lvl w:ilvl="2" w:tplc="9D903B7A">
      <w:numFmt w:val="decimal"/>
      <w:lvlText w:val=""/>
      <w:lvlJc w:val="left"/>
    </w:lvl>
    <w:lvl w:ilvl="3" w:tplc="325C673C">
      <w:numFmt w:val="decimal"/>
      <w:lvlText w:val=""/>
      <w:lvlJc w:val="left"/>
    </w:lvl>
    <w:lvl w:ilvl="4" w:tplc="D20E1204">
      <w:numFmt w:val="decimal"/>
      <w:lvlText w:val=""/>
      <w:lvlJc w:val="left"/>
    </w:lvl>
    <w:lvl w:ilvl="5" w:tplc="7C427996">
      <w:numFmt w:val="decimal"/>
      <w:lvlText w:val=""/>
      <w:lvlJc w:val="left"/>
    </w:lvl>
    <w:lvl w:ilvl="6" w:tplc="F1640BAC">
      <w:numFmt w:val="decimal"/>
      <w:lvlText w:val=""/>
      <w:lvlJc w:val="left"/>
    </w:lvl>
    <w:lvl w:ilvl="7" w:tplc="08561B46">
      <w:numFmt w:val="decimal"/>
      <w:lvlText w:val=""/>
      <w:lvlJc w:val="left"/>
    </w:lvl>
    <w:lvl w:ilvl="8" w:tplc="B8A05088">
      <w:numFmt w:val="decimal"/>
      <w:lvlText w:val=""/>
      <w:lvlJc w:val="left"/>
    </w:lvl>
  </w:abstractNum>
  <w:abstractNum w:abstractNumId="1277" w15:restartNumberingAfterBreak="0">
    <w:nsid w:val="61B82D6C"/>
    <w:multiLevelType w:val="hybridMultilevel"/>
    <w:tmpl w:val="83445992"/>
    <w:lvl w:ilvl="0" w:tplc="A8D0A97C">
      <w:start w:val="1"/>
      <w:numFmt w:val="bullet"/>
      <w:lvlText w:val=""/>
      <w:lvlJc w:val="left"/>
      <w:pPr>
        <w:ind w:left="720" w:hanging="180"/>
      </w:pPr>
      <w:rPr>
        <w:rFonts w:ascii="Symbol" w:hAnsi="Symbol" w:hint="default"/>
      </w:rPr>
    </w:lvl>
    <w:lvl w:ilvl="1" w:tplc="97844CA6">
      <w:numFmt w:val="decimal"/>
      <w:lvlText w:val=""/>
      <w:lvlJc w:val="left"/>
    </w:lvl>
    <w:lvl w:ilvl="2" w:tplc="CEAA0E10">
      <w:numFmt w:val="decimal"/>
      <w:lvlText w:val=""/>
      <w:lvlJc w:val="left"/>
    </w:lvl>
    <w:lvl w:ilvl="3" w:tplc="CE96ED6C">
      <w:numFmt w:val="decimal"/>
      <w:lvlText w:val=""/>
      <w:lvlJc w:val="left"/>
    </w:lvl>
    <w:lvl w:ilvl="4" w:tplc="E97CF878">
      <w:numFmt w:val="decimal"/>
      <w:lvlText w:val=""/>
      <w:lvlJc w:val="left"/>
    </w:lvl>
    <w:lvl w:ilvl="5" w:tplc="D188F110">
      <w:numFmt w:val="decimal"/>
      <w:lvlText w:val=""/>
      <w:lvlJc w:val="left"/>
    </w:lvl>
    <w:lvl w:ilvl="6" w:tplc="9F18DE7C">
      <w:numFmt w:val="decimal"/>
      <w:lvlText w:val=""/>
      <w:lvlJc w:val="left"/>
    </w:lvl>
    <w:lvl w:ilvl="7" w:tplc="C7FEDB92">
      <w:numFmt w:val="decimal"/>
      <w:lvlText w:val=""/>
      <w:lvlJc w:val="left"/>
    </w:lvl>
    <w:lvl w:ilvl="8" w:tplc="EB98BDF8">
      <w:numFmt w:val="decimal"/>
      <w:lvlText w:val=""/>
      <w:lvlJc w:val="left"/>
    </w:lvl>
  </w:abstractNum>
  <w:abstractNum w:abstractNumId="1278" w15:restartNumberingAfterBreak="0">
    <w:nsid w:val="61D4502A"/>
    <w:multiLevelType w:val="hybridMultilevel"/>
    <w:tmpl w:val="3F169608"/>
    <w:lvl w:ilvl="0" w:tplc="194A7304">
      <w:start w:val="1"/>
      <w:numFmt w:val="bullet"/>
      <w:lvlText w:val=""/>
      <w:lvlJc w:val="left"/>
      <w:pPr>
        <w:ind w:left="720" w:hanging="180"/>
      </w:pPr>
      <w:rPr>
        <w:rFonts w:ascii="Symbol" w:hAnsi="Symbol" w:hint="default"/>
      </w:rPr>
    </w:lvl>
    <w:lvl w:ilvl="1" w:tplc="F470EC22">
      <w:numFmt w:val="decimal"/>
      <w:lvlText w:val=""/>
      <w:lvlJc w:val="left"/>
    </w:lvl>
    <w:lvl w:ilvl="2" w:tplc="51943048">
      <w:numFmt w:val="decimal"/>
      <w:lvlText w:val=""/>
      <w:lvlJc w:val="left"/>
    </w:lvl>
    <w:lvl w:ilvl="3" w:tplc="BD62CBD8">
      <w:numFmt w:val="decimal"/>
      <w:lvlText w:val=""/>
      <w:lvlJc w:val="left"/>
    </w:lvl>
    <w:lvl w:ilvl="4" w:tplc="BA1C409A">
      <w:numFmt w:val="decimal"/>
      <w:lvlText w:val=""/>
      <w:lvlJc w:val="left"/>
    </w:lvl>
    <w:lvl w:ilvl="5" w:tplc="E76CA4E8">
      <w:numFmt w:val="decimal"/>
      <w:lvlText w:val=""/>
      <w:lvlJc w:val="left"/>
    </w:lvl>
    <w:lvl w:ilvl="6" w:tplc="ED7416E6">
      <w:numFmt w:val="decimal"/>
      <w:lvlText w:val=""/>
      <w:lvlJc w:val="left"/>
    </w:lvl>
    <w:lvl w:ilvl="7" w:tplc="F3B03A5A">
      <w:numFmt w:val="decimal"/>
      <w:lvlText w:val=""/>
      <w:lvlJc w:val="left"/>
    </w:lvl>
    <w:lvl w:ilvl="8" w:tplc="05002DEC">
      <w:numFmt w:val="decimal"/>
      <w:lvlText w:val=""/>
      <w:lvlJc w:val="left"/>
    </w:lvl>
  </w:abstractNum>
  <w:abstractNum w:abstractNumId="1279" w15:restartNumberingAfterBreak="0">
    <w:nsid w:val="61E2600A"/>
    <w:multiLevelType w:val="hybridMultilevel"/>
    <w:tmpl w:val="5F34C7D2"/>
    <w:lvl w:ilvl="0" w:tplc="51E07064">
      <w:start w:val="1"/>
      <w:numFmt w:val="bullet"/>
      <w:lvlText w:val=""/>
      <w:lvlJc w:val="left"/>
      <w:pPr>
        <w:ind w:left="720" w:hanging="180"/>
      </w:pPr>
      <w:rPr>
        <w:rFonts w:ascii="Symbol" w:hAnsi="Symbol" w:hint="default"/>
      </w:rPr>
    </w:lvl>
    <w:lvl w:ilvl="1" w:tplc="0A1AC252">
      <w:numFmt w:val="decimal"/>
      <w:lvlText w:val=""/>
      <w:lvlJc w:val="left"/>
    </w:lvl>
    <w:lvl w:ilvl="2" w:tplc="6EF8AE1A">
      <w:numFmt w:val="decimal"/>
      <w:lvlText w:val=""/>
      <w:lvlJc w:val="left"/>
    </w:lvl>
    <w:lvl w:ilvl="3" w:tplc="B1046E52">
      <w:numFmt w:val="decimal"/>
      <w:lvlText w:val=""/>
      <w:lvlJc w:val="left"/>
    </w:lvl>
    <w:lvl w:ilvl="4" w:tplc="D4AEBD94">
      <w:numFmt w:val="decimal"/>
      <w:lvlText w:val=""/>
      <w:lvlJc w:val="left"/>
    </w:lvl>
    <w:lvl w:ilvl="5" w:tplc="7CF648C8">
      <w:numFmt w:val="decimal"/>
      <w:lvlText w:val=""/>
      <w:lvlJc w:val="left"/>
    </w:lvl>
    <w:lvl w:ilvl="6" w:tplc="8E9449F2">
      <w:numFmt w:val="decimal"/>
      <w:lvlText w:val=""/>
      <w:lvlJc w:val="left"/>
    </w:lvl>
    <w:lvl w:ilvl="7" w:tplc="47E22D94">
      <w:numFmt w:val="decimal"/>
      <w:lvlText w:val=""/>
      <w:lvlJc w:val="left"/>
    </w:lvl>
    <w:lvl w:ilvl="8" w:tplc="EC261FBC">
      <w:numFmt w:val="decimal"/>
      <w:lvlText w:val=""/>
      <w:lvlJc w:val="left"/>
    </w:lvl>
  </w:abstractNum>
  <w:abstractNum w:abstractNumId="1280" w15:restartNumberingAfterBreak="0">
    <w:nsid w:val="61E73018"/>
    <w:multiLevelType w:val="hybridMultilevel"/>
    <w:tmpl w:val="69E261DA"/>
    <w:lvl w:ilvl="0" w:tplc="85B4DB3E">
      <w:numFmt w:val="decimal"/>
      <w:lvlText w:val=""/>
      <w:lvlJc w:val="left"/>
    </w:lvl>
    <w:lvl w:ilvl="1" w:tplc="69901040">
      <w:start w:val="1"/>
      <w:numFmt w:val="bullet"/>
      <w:lvlText w:val=""/>
      <w:lvlJc w:val="left"/>
      <w:pPr>
        <w:ind w:left="1440" w:hanging="180"/>
      </w:pPr>
      <w:rPr>
        <w:rFonts w:ascii="Symbol" w:hAnsi="Symbol" w:hint="default"/>
      </w:rPr>
    </w:lvl>
    <w:lvl w:ilvl="2" w:tplc="DDEAF3FE">
      <w:numFmt w:val="decimal"/>
      <w:lvlText w:val=""/>
      <w:lvlJc w:val="left"/>
    </w:lvl>
    <w:lvl w:ilvl="3" w:tplc="1C7E80BE">
      <w:numFmt w:val="decimal"/>
      <w:lvlText w:val=""/>
      <w:lvlJc w:val="left"/>
    </w:lvl>
    <w:lvl w:ilvl="4" w:tplc="A1189DDE">
      <w:numFmt w:val="decimal"/>
      <w:lvlText w:val=""/>
      <w:lvlJc w:val="left"/>
    </w:lvl>
    <w:lvl w:ilvl="5" w:tplc="C2D84B3A">
      <w:numFmt w:val="decimal"/>
      <w:lvlText w:val=""/>
      <w:lvlJc w:val="left"/>
    </w:lvl>
    <w:lvl w:ilvl="6" w:tplc="5E9260EC">
      <w:numFmt w:val="decimal"/>
      <w:lvlText w:val=""/>
      <w:lvlJc w:val="left"/>
    </w:lvl>
    <w:lvl w:ilvl="7" w:tplc="D1A2B264">
      <w:numFmt w:val="decimal"/>
      <w:lvlText w:val=""/>
      <w:lvlJc w:val="left"/>
    </w:lvl>
    <w:lvl w:ilvl="8" w:tplc="1A7459F2">
      <w:numFmt w:val="decimal"/>
      <w:lvlText w:val=""/>
      <w:lvlJc w:val="left"/>
    </w:lvl>
  </w:abstractNum>
  <w:abstractNum w:abstractNumId="1281" w15:restartNumberingAfterBreak="0">
    <w:nsid w:val="61FE1D80"/>
    <w:multiLevelType w:val="hybridMultilevel"/>
    <w:tmpl w:val="C2221DA6"/>
    <w:lvl w:ilvl="0" w:tplc="AABC849A">
      <w:start w:val="1"/>
      <w:numFmt w:val="bullet"/>
      <w:lvlText w:val=""/>
      <w:lvlJc w:val="left"/>
      <w:pPr>
        <w:ind w:left="720" w:hanging="180"/>
      </w:pPr>
      <w:rPr>
        <w:rFonts w:ascii="Symbol" w:hAnsi="Symbol" w:hint="default"/>
      </w:rPr>
    </w:lvl>
    <w:lvl w:ilvl="1" w:tplc="78001CF4">
      <w:numFmt w:val="decimal"/>
      <w:lvlText w:val=""/>
      <w:lvlJc w:val="left"/>
    </w:lvl>
    <w:lvl w:ilvl="2" w:tplc="FEB03BCE">
      <w:numFmt w:val="decimal"/>
      <w:lvlText w:val=""/>
      <w:lvlJc w:val="left"/>
    </w:lvl>
    <w:lvl w:ilvl="3" w:tplc="C9E012A2">
      <w:numFmt w:val="decimal"/>
      <w:lvlText w:val=""/>
      <w:lvlJc w:val="left"/>
    </w:lvl>
    <w:lvl w:ilvl="4" w:tplc="4DE01CE0">
      <w:numFmt w:val="decimal"/>
      <w:lvlText w:val=""/>
      <w:lvlJc w:val="left"/>
    </w:lvl>
    <w:lvl w:ilvl="5" w:tplc="2916887C">
      <w:numFmt w:val="decimal"/>
      <w:lvlText w:val=""/>
      <w:lvlJc w:val="left"/>
    </w:lvl>
    <w:lvl w:ilvl="6" w:tplc="5FC8F168">
      <w:numFmt w:val="decimal"/>
      <w:lvlText w:val=""/>
      <w:lvlJc w:val="left"/>
    </w:lvl>
    <w:lvl w:ilvl="7" w:tplc="E47AD20C">
      <w:numFmt w:val="decimal"/>
      <w:lvlText w:val=""/>
      <w:lvlJc w:val="left"/>
    </w:lvl>
    <w:lvl w:ilvl="8" w:tplc="CBA2A6CC">
      <w:numFmt w:val="decimal"/>
      <w:lvlText w:val=""/>
      <w:lvlJc w:val="left"/>
    </w:lvl>
  </w:abstractNum>
  <w:abstractNum w:abstractNumId="1282" w15:restartNumberingAfterBreak="0">
    <w:nsid w:val="62215586"/>
    <w:multiLevelType w:val="hybridMultilevel"/>
    <w:tmpl w:val="9D901E5A"/>
    <w:lvl w:ilvl="0" w:tplc="C8167ACA">
      <w:start w:val="1"/>
      <w:numFmt w:val="bullet"/>
      <w:lvlText w:val=""/>
      <w:lvlJc w:val="left"/>
      <w:pPr>
        <w:ind w:left="720" w:hanging="180"/>
      </w:pPr>
      <w:rPr>
        <w:rFonts w:ascii="Symbol" w:hAnsi="Symbol" w:hint="default"/>
      </w:rPr>
    </w:lvl>
    <w:lvl w:ilvl="1" w:tplc="2B4C6E2A">
      <w:numFmt w:val="decimal"/>
      <w:lvlText w:val=""/>
      <w:lvlJc w:val="left"/>
    </w:lvl>
    <w:lvl w:ilvl="2" w:tplc="D9D41438">
      <w:numFmt w:val="decimal"/>
      <w:lvlText w:val=""/>
      <w:lvlJc w:val="left"/>
    </w:lvl>
    <w:lvl w:ilvl="3" w:tplc="2BFE27EC">
      <w:numFmt w:val="decimal"/>
      <w:lvlText w:val=""/>
      <w:lvlJc w:val="left"/>
    </w:lvl>
    <w:lvl w:ilvl="4" w:tplc="02D4E94A">
      <w:numFmt w:val="decimal"/>
      <w:lvlText w:val=""/>
      <w:lvlJc w:val="left"/>
    </w:lvl>
    <w:lvl w:ilvl="5" w:tplc="800EFCD6">
      <w:numFmt w:val="decimal"/>
      <w:lvlText w:val=""/>
      <w:lvlJc w:val="left"/>
    </w:lvl>
    <w:lvl w:ilvl="6" w:tplc="66182FD8">
      <w:numFmt w:val="decimal"/>
      <w:lvlText w:val=""/>
      <w:lvlJc w:val="left"/>
    </w:lvl>
    <w:lvl w:ilvl="7" w:tplc="CCFEB832">
      <w:numFmt w:val="decimal"/>
      <w:lvlText w:val=""/>
      <w:lvlJc w:val="left"/>
    </w:lvl>
    <w:lvl w:ilvl="8" w:tplc="EF320062">
      <w:numFmt w:val="decimal"/>
      <w:lvlText w:val=""/>
      <w:lvlJc w:val="left"/>
    </w:lvl>
  </w:abstractNum>
  <w:abstractNum w:abstractNumId="1283" w15:restartNumberingAfterBreak="0">
    <w:nsid w:val="62510D9D"/>
    <w:multiLevelType w:val="hybridMultilevel"/>
    <w:tmpl w:val="EA267828"/>
    <w:lvl w:ilvl="0" w:tplc="FBE2B670">
      <w:numFmt w:val="decimal"/>
      <w:lvlText w:val=""/>
      <w:lvlJc w:val="left"/>
    </w:lvl>
    <w:lvl w:ilvl="1" w:tplc="78EA1780">
      <w:start w:val="1"/>
      <w:numFmt w:val="bullet"/>
      <w:lvlText w:val=""/>
      <w:lvlJc w:val="left"/>
      <w:pPr>
        <w:ind w:left="1440" w:hanging="180"/>
      </w:pPr>
      <w:rPr>
        <w:rFonts w:ascii="Symbol" w:hAnsi="Symbol" w:hint="default"/>
      </w:rPr>
    </w:lvl>
    <w:lvl w:ilvl="2" w:tplc="0538B35E">
      <w:numFmt w:val="decimal"/>
      <w:lvlText w:val=""/>
      <w:lvlJc w:val="left"/>
    </w:lvl>
    <w:lvl w:ilvl="3" w:tplc="9856BE56">
      <w:numFmt w:val="decimal"/>
      <w:lvlText w:val=""/>
      <w:lvlJc w:val="left"/>
    </w:lvl>
    <w:lvl w:ilvl="4" w:tplc="81180FCC">
      <w:numFmt w:val="decimal"/>
      <w:lvlText w:val=""/>
      <w:lvlJc w:val="left"/>
    </w:lvl>
    <w:lvl w:ilvl="5" w:tplc="681ECCD2">
      <w:numFmt w:val="decimal"/>
      <w:lvlText w:val=""/>
      <w:lvlJc w:val="left"/>
    </w:lvl>
    <w:lvl w:ilvl="6" w:tplc="376A3388">
      <w:numFmt w:val="decimal"/>
      <w:lvlText w:val=""/>
      <w:lvlJc w:val="left"/>
    </w:lvl>
    <w:lvl w:ilvl="7" w:tplc="6B9CBF88">
      <w:numFmt w:val="decimal"/>
      <w:lvlText w:val=""/>
      <w:lvlJc w:val="left"/>
    </w:lvl>
    <w:lvl w:ilvl="8" w:tplc="58EE07E6">
      <w:numFmt w:val="decimal"/>
      <w:lvlText w:val=""/>
      <w:lvlJc w:val="left"/>
    </w:lvl>
  </w:abstractNum>
  <w:abstractNum w:abstractNumId="1284" w15:restartNumberingAfterBreak="0">
    <w:nsid w:val="62552165"/>
    <w:multiLevelType w:val="hybridMultilevel"/>
    <w:tmpl w:val="D1E83162"/>
    <w:lvl w:ilvl="0" w:tplc="0324F930">
      <w:start w:val="1"/>
      <w:numFmt w:val="bullet"/>
      <w:lvlText w:val=""/>
      <w:lvlJc w:val="left"/>
      <w:pPr>
        <w:ind w:left="720" w:hanging="180"/>
      </w:pPr>
      <w:rPr>
        <w:rFonts w:ascii="Symbol" w:hAnsi="Symbol" w:hint="default"/>
      </w:rPr>
    </w:lvl>
    <w:lvl w:ilvl="1" w:tplc="52E221A6">
      <w:numFmt w:val="decimal"/>
      <w:lvlText w:val=""/>
      <w:lvlJc w:val="left"/>
    </w:lvl>
    <w:lvl w:ilvl="2" w:tplc="579429F6">
      <w:numFmt w:val="decimal"/>
      <w:lvlText w:val=""/>
      <w:lvlJc w:val="left"/>
    </w:lvl>
    <w:lvl w:ilvl="3" w:tplc="0A5E0AA4">
      <w:numFmt w:val="decimal"/>
      <w:lvlText w:val=""/>
      <w:lvlJc w:val="left"/>
    </w:lvl>
    <w:lvl w:ilvl="4" w:tplc="72E2B2A8">
      <w:numFmt w:val="decimal"/>
      <w:lvlText w:val=""/>
      <w:lvlJc w:val="left"/>
    </w:lvl>
    <w:lvl w:ilvl="5" w:tplc="6870EB54">
      <w:numFmt w:val="decimal"/>
      <w:lvlText w:val=""/>
      <w:lvlJc w:val="left"/>
    </w:lvl>
    <w:lvl w:ilvl="6" w:tplc="7528DA54">
      <w:numFmt w:val="decimal"/>
      <w:lvlText w:val=""/>
      <w:lvlJc w:val="left"/>
    </w:lvl>
    <w:lvl w:ilvl="7" w:tplc="7AD018DA">
      <w:numFmt w:val="decimal"/>
      <w:lvlText w:val=""/>
      <w:lvlJc w:val="left"/>
    </w:lvl>
    <w:lvl w:ilvl="8" w:tplc="B16E4A22">
      <w:numFmt w:val="decimal"/>
      <w:lvlText w:val=""/>
      <w:lvlJc w:val="left"/>
    </w:lvl>
  </w:abstractNum>
  <w:abstractNum w:abstractNumId="1285" w15:restartNumberingAfterBreak="0">
    <w:nsid w:val="625B7F61"/>
    <w:multiLevelType w:val="hybridMultilevel"/>
    <w:tmpl w:val="0D665166"/>
    <w:lvl w:ilvl="0" w:tplc="19506752">
      <w:start w:val="1"/>
      <w:numFmt w:val="bullet"/>
      <w:lvlText w:val=""/>
      <w:lvlJc w:val="left"/>
      <w:pPr>
        <w:ind w:left="720" w:hanging="180"/>
      </w:pPr>
      <w:rPr>
        <w:rFonts w:ascii="Symbol" w:hAnsi="Symbol" w:hint="default"/>
      </w:rPr>
    </w:lvl>
    <w:lvl w:ilvl="1" w:tplc="270AF32C">
      <w:numFmt w:val="decimal"/>
      <w:lvlText w:val=""/>
      <w:lvlJc w:val="left"/>
    </w:lvl>
    <w:lvl w:ilvl="2" w:tplc="928476B2">
      <w:numFmt w:val="decimal"/>
      <w:lvlText w:val=""/>
      <w:lvlJc w:val="left"/>
    </w:lvl>
    <w:lvl w:ilvl="3" w:tplc="05689EA6">
      <w:numFmt w:val="decimal"/>
      <w:lvlText w:val=""/>
      <w:lvlJc w:val="left"/>
    </w:lvl>
    <w:lvl w:ilvl="4" w:tplc="D10AE68C">
      <w:numFmt w:val="decimal"/>
      <w:lvlText w:val=""/>
      <w:lvlJc w:val="left"/>
    </w:lvl>
    <w:lvl w:ilvl="5" w:tplc="26247E76">
      <w:numFmt w:val="decimal"/>
      <w:lvlText w:val=""/>
      <w:lvlJc w:val="left"/>
    </w:lvl>
    <w:lvl w:ilvl="6" w:tplc="DDEC31A2">
      <w:numFmt w:val="decimal"/>
      <w:lvlText w:val=""/>
      <w:lvlJc w:val="left"/>
    </w:lvl>
    <w:lvl w:ilvl="7" w:tplc="7AF6903C">
      <w:numFmt w:val="decimal"/>
      <w:lvlText w:val=""/>
      <w:lvlJc w:val="left"/>
    </w:lvl>
    <w:lvl w:ilvl="8" w:tplc="CF3EFC14">
      <w:numFmt w:val="decimal"/>
      <w:lvlText w:val=""/>
      <w:lvlJc w:val="left"/>
    </w:lvl>
  </w:abstractNum>
  <w:abstractNum w:abstractNumId="1286" w15:restartNumberingAfterBreak="0">
    <w:nsid w:val="62662A10"/>
    <w:multiLevelType w:val="hybridMultilevel"/>
    <w:tmpl w:val="9F1EBE4A"/>
    <w:lvl w:ilvl="0" w:tplc="D33C36CC">
      <w:start w:val="1"/>
      <w:numFmt w:val="bullet"/>
      <w:lvlText w:val=""/>
      <w:lvlJc w:val="left"/>
      <w:pPr>
        <w:ind w:left="720" w:hanging="180"/>
      </w:pPr>
      <w:rPr>
        <w:rFonts w:ascii="Symbol" w:hAnsi="Symbol" w:hint="default"/>
      </w:rPr>
    </w:lvl>
    <w:lvl w:ilvl="1" w:tplc="8B245F28">
      <w:numFmt w:val="decimal"/>
      <w:lvlText w:val=""/>
      <w:lvlJc w:val="left"/>
    </w:lvl>
    <w:lvl w:ilvl="2" w:tplc="FD26694A">
      <w:numFmt w:val="decimal"/>
      <w:lvlText w:val=""/>
      <w:lvlJc w:val="left"/>
    </w:lvl>
    <w:lvl w:ilvl="3" w:tplc="A41EB7FA">
      <w:numFmt w:val="decimal"/>
      <w:lvlText w:val=""/>
      <w:lvlJc w:val="left"/>
    </w:lvl>
    <w:lvl w:ilvl="4" w:tplc="93A81ABE">
      <w:numFmt w:val="decimal"/>
      <w:lvlText w:val=""/>
      <w:lvlJc w:val="left"/>
    </w:lvl>
    <w:lvl w:ilvl="5" w:tplc="738429EA">
      <w:numFmt w:val="decimal"/>
      <w:lvlText w:val=""/>
      <w:lvlJc w:val="left"/>
    </w:lvl>
    <w:lvl w:ilvl="6" w:tplc="52424648">
      <w:numFmt w:val="decimal"/>
      <w:lvlText w:val=""/>
      <w:lvlJc w:val="left"/>
    </w:lvl>
    <w:lvl w:ilvl="7" w:tplc="9DB6B7CA">
      <w:numFmt w:val="decimal"/>
      <w:lvlText w:val=""/>
      <w:lvlJc w:val="left"/>
    </w:lvl>
    <w:lvl w:ilvl="8" w:tplc="324CEBF4">
      <w:numFmt w:val="decimal"/>
      <w:lvlText w:val=""/>
      <w:lvlJc w:val="left"/>
    </w:lvl>
  </w:abstractNum>
  <w:abstractNum w:abstractNumId="1287" w15:restartNumberingAfterBreak="0">
    <w:nsid w:val="62691180"/>
    <w:multiLevelType w:val="hybridMultilevel"/>
    <w:tmpl w:val="291802FE"/>
    <w:lvl w:ilvl="0" w:tplc="1688B27E">
      <w:start w:val="1"/>
      <w:numFmt w:val="bullet"/>
      <w:lvlText w:val=""/>
      <w:lvlJc w:val="left"/>
      <w:pPr>
        <w:ind w:left="720" w:hanging="180"/>
      </w:pPr>
      <w:rPr>
        <w:rFonts w:ascii="Symbol" w:hAnsi="Symbol" w:hint="default"/>
      </w:rPr>
    </w:lvl>
    <w:lvl w:ilvl="1" w:tplc="1B1A0DAE">
      <w:numFmt w:val="decimal"/>
      <w:lvlText w:val=""/>
      <w:lvlJc w:val="left"/>
    </w:lvl>
    <w:lvl w:ilvl="2" w:tplc="22545D98">
      <w:numFmt w:val="decimal"/>
      <w:lvlText w:val=""/>
      <w:lvlJc w:val="left"/>
    </w:lvl>
    <w:lvl w:ilvl="3" w:tplc="12D4A6B2">
      <w:numFmt w:val="decimal"/>
      <w:lvlText w:val=""/>
      <w:lvlJc w:val="left"/>
    </w:lvl>
    <w:lvl w:ilvl="4" w:tplc="65562880">
      <w:numFmt w:val="decimal"/>
      <w:lvlText w:val=""/>
      <w:lvlJc w:val="left"/>
    </w:lvl>
    <w:lvl w:ilvl="5" w:tplc="14AA3836">
      <w:numFmt w:val="decimal"/>
      <w:lvlText w:val=""/>
      <w:lvlJc w:val="left"/>
    </w:lvl>
    <w:lvl w:ilvl="6" w:tplc="FF90DF3A">
      <w:numFmt w:val="decimal"/>
      <w:lvlText w:val=""/>
      <w:lvlJc w:val="left"/>
    </w:lvl>
    <w:lvl w:ilvl="7" w:tplc="78966DC0">
      <w:numFmt w:val="decimal"/>
      <w:lvlText w:val=""/>
      <w:lvlJc w:val="left"/>
    </w:lvl>
    <w:lvl w:ilvl="8" w:tplc="E9E49514">
      <w:numFmt w:val="decimal"/>
      <w:lvlText w:val=""/>
      <w:lvlJc w:val="left"/>
    </w:lvl>
  </w:abstractNum>
  <w:abstractNum w:abstractNumId="1288" w15:restartNumberingAfterBreak="0">
    <w:nsid w:val="62813CAC"/>
    <w:multiLevelType w:val="hybridMultilevel"/>
    <w:tmpl w:val="AB962D10"/>
    <w:lvl w:ilvl="0" w:tplc="43BCF55E">
      <w:start w:val="1"/>
      <w:numFmt w:val="bullet"/>
      <w:lvlText w:val=""/>
      <w:lvlJc w:val="left"/>
      <w:pPr>
        <w:ind w:left="720" w:hanging="180"/>
      </w:pPr>
      <w:rPr>
        <w:rFonts w:ascii="Symbol" w:hAnsi="Symbol" w:hint="default"/>
      </w:rPr>
    </w:lvl>
    <w:lvl w:ilvl="1" w:tplc="9F7C02FA">
      <w:numFmt w:val="decimal"/>
      <w:lvlText w:val=""/>
      <w:lvlJc w:val="left"/>
    </w:lvl>
    <w:lvl w:ilvl="2" w:tplc="7CAE8286">
      <w:numFmt w:val="decimal"/>
      <w:lvlText w:val=""/>
      <w:lvlJc w:val="left"/>
    </w:lvl>
    <w:lvl w:ilvl="3" w:tplc="EA5457CE">
      <w:numFmt w:val="decimal"/>
      <w:lvlText w:val=""/>
      <w:lvlJc w:val="left"/>
    </w:lvl>
    <w:lvl w:ilvl="4" w:tplc="12DE40F0">
      <w:numFmt w:val="decimal"/>
      <w:lvlText w:val=""/>
      <w:lvlJc w:val="left"/>
    </w:lvl>
    <w:lvl w:ilvl="5" w:tplc="B87AC7D8">
      <w:numFmt w:val="decimal"/>
      <w:lvlText w:val=""/>
      <w:lvlJc w:val="left"/>
    </w:lvl>
    <w:lvl w:ilvl="6" w:tplc="1F6E1F5A">
      <w:numFmt w:val="decimal"/>
      <w:lvlText w:val=""/>
      <w:lvlJc w:val="left"/>
    </w:lvl>
    <w:lvl w:ilvl="7" w:tplc="38FC7164">
      <w:numFmt w:val="decimal"/>
      <w:lvlText w:val=""/>
      <w:lvlJc w:val="left"/>
    </w:lvl>
    <w:lvl w:ilvl="8" w:tplc="6C9E5936">
      <w:numFmt w:val="decimal"/>
      <w:lvlText w:val=""/>
      <w:lvlJc w:val="left"/>
    </w:lvl>
  </w:abstractNum>
  <w:abstractNum w:abstractNumId="1289" w15:restartNumberingAfterBreak="0">
    <w:nsid w:val="62F06C17"/>
    <w:multiLevelType w:val="hybridMultilevel"/>
    <w:tmpl w:val="1390DF36"/>
    <w:lvl w:ilvl="0" w:tplc="DB3639C2">
      <w:start w:val="1"/>
      <w:numFmt w:val="bullet"/>
      <w:lvlText w:val=""/>
      <w:lvlJc w:val="left"/>
      <w:pPr>
        <w:ind w:left="720" w:hanging="180"/>
      </w:pPr>
      <w:rPr>
        <w:rFonts w:ascii="Symbol" w:hAnsi="Symbol" w:hint="default"/>
      </w:rPr>
    </w:lvl>
    <w:lvl w:ilvl="1" w:tplc="44A62190">
      <w:numFmt w:val="decimal"/>
      <w:lvlText w:val=""/>
      <w:lvlJc w:val="left"/>
    </w:lvl>
    <w:lvl w:ilvl="2" w:tplc="02B4F8DA">
      <w:numFmt w:val="decimal"/>
      <w:lvlText w:val=""/>
      <w:lvlJc w:val="left"/>
    </w:lvl>
    <w:lvl w:ilvl="3" w:tplc="8E083F14">
      <w:numFmt w:val="decimal"/>
      <w:lvlText w:val=""/>
      <w:lvlJc w:val="left"/>
    </w:lvl>
    <w:lvl w:ilvl="4" w:tplc="4F7483B4">
      <w:numFmt w:val="decimal"/>
      <w:lvlText w:val=""/>
      <w:lvlJc w:val="left"/>
    </w:lvl>
    <w:lvl w:ilvl="5" w:tplc="2472979A">
      <w:numFmt w:val="decimal"/>
      <w:lvlText w:val=""/>
      <w:lvlJc w:val="left"/>
    </w:lvl>
    <w:lvl w:ilvl="6" w:tplc="7DC22092">
      <w:numFmt w:val="decimal"/>
      <w:lvlText w:val=""/>
      <w:lvlJc w:val="left"/>
    </w:lvl>
    <w:lvl w:ilvl="7" w:tplc="F59870D0">
      <w:numFmt w:val="decimal"/>
      <w:lvlText w:val=""/>
      <w:lvlJc w:val="left"/>
    </w:lvl>
    <w:lvl w:ilvl="8" w:tplc="3C4C87AC">
      <w:numFmt w:val="decimal"/>
      <w:lvlText w:val=""/>
      <w:lvlJc w:val="left"/>
    </w:lvl>
  </w:abstractNum>
  <w:abstractNum w:abstractNumId="1290" w15:restartNumberingAfterBreak="0">
    <w:nsid w:val="634816CC"/>
    <w:multiLevelType w:val="hybridMultilevel"/>
    <w:tmpl w:val="67BE54FA"/>
    <w:lvl w:ilvl="0" w:tplc="6630C1A0">
      <w:start w:val="1"/>
      <w:numFmt w:val="bullet"/>
      <w:lvlText w:val=""/>
      <w:lvlJc w:val="left"/>
      <w:pPr>
        <w:ind w:left="720" w:hanging="180"/>
      </w:pPr>
      <w:rPr>
        <w:rFonts w:ascii="Symbol" w:hAnsi="Symbol" w:hint="default"/>
      </w:rPr>
    </w:lvl>
    <w:lvl w:ilvl="1" w:tplc="A886B9A0">
      <w:numFmt w:val="decimal"/>
      <w:lvlText w:val=""/>
      <w:lvlJc w:val="left"/>
    </w:lvl>
    <w:lvl w:ilvl="2" w:tplc="C0BEE62A">
      <w:numFmt w:val="decimal"/>
      <w:lvlText w:val=""/>
      <w:lvlJc w:val="left"/>
    </w:lvl>
    <w:lvl w:ilvl="3" w:tplc="6F50E344">
      <w:numFmt w:val="decimal"/>
      <w:lvlText w:val=""/>
      <w:lvlJc w:val="left"/>
    </w:lvl>
    <w:lvl w:ilvl="4" w:tplc="3B5207AA">
      <w:numFmt w:val="decimal"/>
      <w:lvlText w:val=""/>
      <w:lvlJc w:val="left"/>
    </w:lvl>
    <w:lvl w:ilvl="5" w:tplc="88E400A6">
      <w:numFmt w:val="decimal"/>
      <w:lvlText w:val=""/>
      <w:lvlJc w:val="left"/>
    </w:lvl>
    <w:lvl w:ilvl="6" w:tplc="4F6A2DF2">
      <w:numFmt w:val="decimal"/>
      <w:lvlText w:val=""/>
      <w:lvlJc w:val="left"/>
    </w:lvl>
    <w:lvl w:ilvl="7" w:tplc="E16CA7F6">
      <w:numFmt w:val="decimal"/>
      <w:lvlText w:val=""/>
      <w:lvlJc w:val="left"/>
    </w:lvl>
    <w:lvl w:ilvl="8" w:tplc="0AEA2050">
      <w:numFmt w:val="decimal"/>
      <w:lvlText w:val=""/>
      <w:lvlJc w:val="left"/>
    </w:lvl>
  </w:abstractNum>
  <w:abstractNum w:abstractNumId="1291" w15:restartNumberingAfterBreak="0">
    <w:nsid w:val="63550BB5"/>
    <w:multiLevelType w:val="hybridMultilevel"/>
    <w:tmpl w:val="7F0E9FC6"/>
    <w:lvl w:ilvl="0" w:tplc="D54C4EAA">
      <w:start w:val="1"/>
      <w:numFmt w:val="bullet"/>
      <w:lvlText w:val=""/>
      <w:lvlJc w:val="left"/>
      <w:pPr>
        <w:ind w:left="720" w:hanging="180"/>
      </w:pPr>
      <w:rPr>
        <w:rFonts w:ascii="Symbol" w:hAnsi="Symbol" w:hint="default"/>
      </w:rPr>
    </w:lvl>
    <w:lvl w:ilvl="1" w:tplc="4AEA76E0">
      <w:numFmt w:val="decimal"/>
      <w:lvlText w:val=""/>
      <w:lvlJc w:val="left"/>
    </w:lvl>
    <w:lvl w:ilvl="2" w:tplc="EBBAF902">
      <w:numFmt w:val="decimal"/>
      <w:lvlText w:val=""/>
      <w:lvlJc w:val="left"/>
    </w:lvl>
    <w:lvl w:ilvl="3" w:tplc="603C4436">
      <w:numFmt w:val="decimal"/>
      <w:lvlText w:val=""/>
      <w:lvlJc w:val="left"/>
    </w:lvl>
    <w:lvl w:ilvl="4" w:tplc="410003C2">
      <w:numFmt w:val="decimal"/>
      <w:lvlText w:val=""/>
      <w:lvlJc w:val="left"/>
    </w:lvl>
    <w:lvl w:ilvl="5" w:tplc="8C2A9F68">
      <w:numFmt w:val="decimal"/>
      <w:lvlText w:val=""/>
      <w:lvlJc w:val="left"/>
    </w:lvl>
    <w:lvl w:ilvl="6" w:tplc="EE8632D6">
      <w:numFmt w:val="decimal"/>
      <w:lvlText w:val=""/>
      <w:lvlJc w:val="left"/>
    </w:lvl>
    <w:lvl w:ilvl="7" w:tplc="CB04E8C8">
      <w:numFmt w:val="decimal"/>
      <w:lvlText w:val=""/>
      <w:lvlJc w:val="left"/>
    </w:lvl>
    <w:lvl w:ilvl="8" w:tplc="EF6478D2">
      <w:numFmt w:val="decimal"/>
      <w:lvlText w:val=""/>
      <w:lvlJc w:val="left"/>
    </w:lvl>
  </w:abstractNum>
  <w:abstractNum w:abstractNumId="1292" w15:restartNumberingAfterBreak="0">
    <w:nsid w:val="636145BD"/>
    <w:multiLevelType w:val="hybridMultilevel"/>
    <w:tmpl w:val="6066A1E8"/>
    <w:lvl w:ilvl="0" w:tplc="E8A6E766">
      <w:start w:val="1"/>
      <w:numFmt w:val="bullet"/>
      <w:lvlText w:val=""/>
      <w:lvlJc w:val="left"/>
      <w:pPr>
        <w:ind w:left="720" w:hanging="180"/>
      </w:pPr>
      <w:rPr>
        <w:rFonts w:ascii="Symbol" w:hAnsi="Symbol" w:hint="default"/>
      </w:rPr>
    </w:lvl>
    <w:lvl w:ilvl="1" w:tplc="F4504E3A">
      <w:numFmt w:val="decimal"/>
      <w:lvlText w:val=""/>
      <w:lvlJc w:val="left"/>
    </w:lvl>
    <w:lvl w:ilvl="2" w:tplc="84CAAF6A">
      <w:numFmt w:val="decimal"/>
      <w:lvlText w:val=""/>
      <w:lvlJc w:val="left"/>
    </w:lvl>
    <w:lvl w:ilvl="3" w:tplc="1CD0AA2A">
      <w:numFmt w:val="decimal"/>
      <w:lvlText w:val=""/>
      <w:lvlJc w:val="left"/>
    </w:lvl>
    <w:lvl w:ilvl="4" w:tplc="BA3AE342">
      <w:numFmt w:val="decimal"/>
      <w:lvlText w:val=""/>
      <w:lvlJc w:val="left"/>
    </w:lvl>
    <w:lvl w:ilvl="5" w:tplc="EDB6242E">
      <w:numFmt w:val="decimal"/>
      <w:lvlText w:val=""/>
      <w:lvlJc w:val="left"/>
    </w:lvl>
    <w:lvl w:ilvl="6" w:tplc="7D1C26B2">
      <w:numFmt w:val="decimal"/>
      <w:lvlText w:val=""/>
      <w:lvlJc w:val="left"/>
    </w:lvl>
    <w:lvl w:ilvl="7" w:tplc="D85CC92C">
      <w:numFmt w:val="decimal"/>
      <w:lvlText w:val=""/>
      <w:lvlJc w:val="left"/>
    </w:lvl>
    <w:lvl w:ilvl="8" w:tplc="1A92C2EC">
      <w:numFmt w:val="decimal"/>
      <w:lvlText w:val=""/>
      <w:lvlJc w:val="left"/>
    </w:lvl>
  </w:abstractNum>
  <w:abstractNum w:abstractNumId="1293" w15:restartNumberingAfterBreak="0">
    <w:nsid w:val="63772291"/>
    <w:multiLevelType w:val="hybridMultilevel"/>
    <w:tmpl w:val="748A3E84"/>
    <w:lvl w:ilvl="0" w:tplc="AEA8F458">
      <w:numFmt w:val="decimal"/>
      <w:lvlText w:val=""/>
      <w:lvlJc w:val="left"/>
    </w:lvl>
    <w:lvl w:ilvl="1" w:tplc="5D309042">
      <w:start w:val="1"/>
      <w:numFmt w:val="bullet"/>
      <w:lvlText w:val=""/>
      <w:lvlJc w:val="left"/>
      <w:pPr>
        <w:ind w:left="1440" w:hanging="180"/>
      </w:pPr>
      <w:rPr>
        <w:rFonts w:ascii="Symbol" w:hAnsi="Symbol" w:hint="default"/>
      </w:rPr>
    </w:lvl>
    <w:lvl w:ilvl="2" w:tplc="A162D3C8">
      <w:numFmt w:val="decimal"/>
      <w:lvlText w:val=""/>
      <w:lvlJc w:val="left"/>
    </w:lvl>
    <w:lvl w:ilvl="3" w:tplc="3F1A466A">
      <w:numFmt w:val="decimal"/>
      <w:lvlText w:val=""/>
      <w:lvlJc w:val="left"/>
    </w:lvl>
    <w:lvl w:ilvl="4" w:tplc="D72E7882">
      <w:numFmt w:val="decimal"/>
      <w:lvlText w:val=""/>
      <w:lvlJc w:val="left"/>
    </w:lvl>
    <w:lvl w:ilvl="5" w:tplc="99B42316">
      <w:numFmt w:val="decimal"/>
      <w:lvlText w:val=""/>
      <w:lvlJc w:val="left"/>
    </w:lvl>
    <w:lvl w:ilvl="6" w:tplc="4810DAE8">
      <w:numFmt w:val="decimal"/>
      <w:lvlText w:val=""/>
      <w:lvlJc w:val="left"/>
    </w:lvl>
    <w:lvl w:ilvl="7" w:tplc="A63E3970">
      <w:numFmt w:val="decimal"/>
      <w:lvlText w:val=""/>
      <w:lvlJc w:val="left"/>
    </w:lvl>
    <w:lvl w:ilvl="8" w:tplc="D15AE40E">
      <w:numFmt w:val="decimal"/>
      <w:lvlText w:val=""/>
      <w:lvlJc w:val="left"/>
    </w:lvl>
  </w:abstractNum>
  <w:abstractNum w:abstractNumId="1294" w15:restartNumberingAfterBreak="0">
    <w:nsid w:val="637B2F7A"/>
    <w:multiLevelType w:val="hybridMultilevel"/>
    <w:tmpl w:val="2856D23A"/>
    <w:lvl w:ilvl="0" w:tplc="9A565D62">
      <w:start w:val="1"/>
      <w:numFmt w:val="bullet"/>
      <w:lvlText w:val=""/>
      <w:lvlJc w:val="left"/>
      <w:pPr>
        <w:ind w:left="720" w:hanging="180"/>
      </w:pPr>
      <w:rPr>
        <w:rFonts w:ascii="Symbol" w:hAnsi="Symbol" w:hint="default"/>
      </w:rPr>
    </w:lvl>
    <w:lvl w:ilvl="1" w:tplc="E022F740">
      <w:numFmt w:val="decimal"/>
      <w:lvlText w:val=""/>
      <w:lvlJc w:val="left"/>
    </w:lvl>
    <w:lvl w:ilvl="2" w:tplc="167E399E">
      <w:numFmt w:val="decimal"/>
      <w:lvlText w:val=""/>
      <w:lvlJc w:val="left"/>
    </w:lvl>
    <w:lvl w:ilvl="3" w:tplc="E910D084">
      <w:numFmt w:val="decimal"/>
      <w:lvlText w:val=""/>
      <w:lvlJc w:val="left"/>
    </w:lvl>
    <w:lvl w:ilvl="4" w:tplc="DE1ED14C">
      <w:numFmt w:val="decimal"/>
      <w:lvlText w:val=""/>
      <w:lvlJc w:val="left"/>
    </w:lvl>
    <w:lvl w:ilvl="5" w:tplc="09406162">
      <w:numFmt w:val="decimal"/>
      <w:lvlText w:val=""/>
      <w:lvlJc w:val="left"/>
    </w:lvl>
    <w:lvl w:ilvl="6" w:tplc="56D0BE1E">
      <w:numFmt w:val="decimal"/>
      <w:lvlText w:val=""/>
      <w:lvlJc w:val="left"/>
    </w:lvl>
    <w:lvl w:ilvl="7" w:tplc="F7866192">
      <w:numFmt w:val="decimal"/>
      <w:lvlText w:val=""/>
      <w:lvlJc w:val="left"/>
    </w:lvl>
    <w:lvl w:ilvl="8" w:tplc="B4F82B16">
      <w:numFmt w:val="decimal"/>
      <w:lvlText w:val=""/>
      <w:lvlJc w:val="left"/>
    </w:lvl>
  </w:abstractNum>
  <w:abstractNum w:abstractNumId="1295" w15:restartNumberingAfterBreak="0">
    <w:nsid w:val="63877987"/>
    <w:multiLevelType w:val="hybridMultilevel"/>
    <w:tmpl w:val="062057DA"/>
    <w:lvl w:ilvl="0" w:tplc="9AF2DC20">
      <w:start w:val="1"/>
      <w:numFmt w:val="bullet"/>
      <w:lvlText w:val=""/>
      <w:lvlJc w:val="left"/>
      <w:pPr>
        <w:ind w:left="720" w:hanging="180"/>
      </w:pPr>
      <w:rPr>
        <w:rFonts w:ascii="Symbol" w:hAnsi="Symbol" w:hint="default"/>
      </w:rPr>
    </w:lvl>
    <w:lvl w:ilvl="1" w:tplc="389C16B4">
      <w:numFmt w:val="decimal"/>
      <w:lvlText w:val=""/>
      <w:lvlJc w:val="left"/>
    </w:lvl>
    <w:lvl w:ilvl="2" w:tplc="6AD85D32">
      <w:numFmt w:val="decimal"/>
      <w:lvlText w:val=""/>
      <w:lvlJc w:val="left"/>
    </w:lvl>
    <w:lvl w:ilvl="3" w:tplc="AFBA1A36">
      <w:numFmt w:val="decimal"/>
      <w:lvlText w:val=""/>
      <w:lvlJc w:val="left"/>
    </w:lvl>
    <w:lvl w:ilvl="4" w:tplc="E488E9AE">
      <w:numFmt w:val="decimal"/>
      <w:lvlText w:val=""/>
      <w:lvlJc w:val="left"/>
    </w:lvl>
    <w:lvl w:ilvl="5" w:tplc="4EF0D8D4">
      <w:numFmt w:val="decimal"/>
      <w:lvlText w:val=""/>
      <w:lvlJc w:val="left"/>
    </w:lvl>
    <w:lvl w:ilvl="6" w:tplc="EC3A139C">
      <w:numFmt w:val="decimal"/>
      <w:lvlText w:val=""/>
      <w:lvlJc w:val="left"/>
    </w:lvl>
    <w:lvl w:ilvl="7" w:tplc="BD6A40B8">
      <w:numFmt w:val="decimal"/>
      <w:lvlText w:val=""/>
      <w:lvlJc w:val="left"/>
    </w:lvl>
    <w:lvl w:ilvl="8" w:tplc="1FA08900">
      <w:numFmt w:val="decimal"/>
      <w:lvlText w:val=""/>
      <w:lvlJc w:val="left"/>
    </w:lvl>
  </w:abstractNum>
  <w:abstractNum w:abstractNumId="1296" w15:restartNumberingAfterBreak="0">
    <w:nsid w:val="63A572DE"/>
    <w:multiLevelType w:val="hybridMultilevel"/>
    <w:tmpl w:val="1DE2EB3A"/>
    <w:lvl w:ilvl="0" w:tplc="C20E40EC">
      <w:start w:val="1"/>
      <w:numFmt w:val="bullet"/>
      <w:lvlText w:val=""/>
      <w:lvlJc w:val="left"/>
      <w:pPr>
        <w:ind w:left="720" w:hanging="180"/>
      </w:pPr>
      <w:rPr>
        <w:rFonts w:ascii="Symbol" w:hAnsi="Symbol" w:hint="default"/>
      </w:rPr>
    </w:lvl>
    <w:lvl w:ilvl="1" w:tplc="0882D884">
      <w:numFmt w:val="decimal"/>
      <w:lvlText w:val=""/>
      <w:lvlJc w:val="left"/>
    </w:lvl>
    <w:lvl w:ilvl="2" w:tplc="CEBA601E">
      <w:numFmt w:val="decimal"/>
      <w:lvlText w:val=""/>
      <w:lvlJc w:val="left"/>
    </w:lvl>
    <w:lvl w:ilvl="3" w:tplc="FA5EADE2">
      <w:numFmt w:val="decimal"/>
      <w:lvlText w:val=""/>
      <w:lvlJc w:val="left"/>
    </w:lvl>
    <w:lvl w:ilvl="4" w:tplc="2440F0C2">
      <w:numFmt w:val="decimal"/>
      <w:lvlText w:val=""/>
      <w:lvlJc w:val="left"/>
    </w:lvl>
    <w:lvl w:ilvl="5" w:tplc="F766AB16">
      <w:numFmt w:val="decimal"/>
      <w:lvlText w:val=""/>
      <w:lvlJc w:val="left"/>
    </w:lvl>
    <w:lvl w:ilvl="6" w:tplc="1374BAF0">
      <w:numFmt w:val="decimal"/>
      <w:lvlText w:val=""/>
      <w:lvlJc w:val="left"/>
    </w:lvl>
    <w:lvl w:ilvl="7" w:tplc="3DE84E4A">
      <w:numFmt w:val="decimal"/>
      <w:lvlText w:val=""/>
      <w:lvlJc w:val="left"/>
    </w:lvl>
    <w:lvl w:ilvl="8" w:tplc="D808378E">
      <w:numFmt w:val="decimal"/>
      <w:lvlText w:val=""/>
      <w:lvlJc w:val="left"/>
    </w:lvl>
  </w:abstractNum>
  <w:abstractNum w:abstractNumId="1297" w15:restartNumberingAfterBreak="0">
    <w:nsid w:val="63BC5DD1"/>
    <w:multiLevelType w:val="hybridMultilevel"/>
    <w:tmpl w:val="EEB68620"/>
    <w:lvl w:ilvl="0" w:tplc="139CA026">
      <w:start w:val="1"/>
      <w:numFmt w:val="bullet"/>
      <w:lvlText w:val=""/>
      <w:lvlJc w:val="left"/>
      <w:pPr>
        <w:ind w:left="720" w:hanging="180"/>
      </w:pPr>
      <w:rPr>
        <w:rFonts w:ascii="Symbol" w:hAnsi="Symbol" w:hint="default"/>
      </w:rPr>
    </w:lvl>
    <w:lvl w:ilvl="1" w:tplc="7A2A0FD2">
      <w:numFmt w:val="decimal"/>
      <w:lvlText w:val=""/>
      <w:lvlJc w:val="left"/>
    </w:lvl>
    <w:lvl w:ilvl="2" w:tplc="60643FE8">
      <w:numFmt w:val="decimal"/>
      <w:lvlText w:val=""/>
      <w:lvlJc w:val="left"/>
    </w:lvl>
    <w:lvl w:ilvl="3" w:tplc="36A4C498">
      <w:numFmt w:val="decimal"/>
      <w:lvlText w:val=""/>
      <w:lvlJc w:val="left"/>
    </w:lvl>
    <w:lvl w:ilvl="4" w:tplc="6CDCD45C">
      <w:numFmt w:val="decimal"/>
      <w:lvlText w:val=""/>
      <w:lvlJc w:val="left"/>
    </w:lvl>
    <w:lvl w:ilvl="5" w:tplc="495E02B0">
      <w:numFmt w:val="decimal"/>
      <w:lvlText w:val=""/>
      <w:lvlJc w:val="left"/>
    </w:lvl>
    <w:lvl w:ilvl="6" w:tplc="6B169D02">
      <w:numFmt w:val="decimal"/>
      <w:lvlText w:val=""/>
      <w:lvlJc w:val="left"/>
    </w:lvl>
    <w:lvl w:ilvl="7" w:tplc="CE82DD98">
      <w:numFmt w:val="decimal"/>
      <w:lvlText w:val=""/>
      <w:lvlJc w:val="left"/>
    </w:lvl>
    <w:lvl w:ilvl="8" w:tplc="8D72E9F8">
      <w:numFmt w:val="decimal"/>
      <w:lvlText w:val=""/>
      <w:lvlJc w:val="left"/>
    </w:lvl>
  </w:abstractNum>
  <w:abstractNum w:abstractNumId="1298" w15:restartNumberingAfterBreak="0">
    <w:nsid w:val="63D23068"/>
    <w:multiLevelType w:val="hybridMultilevel"/>
    <w:tmpl w:val="6C546E8C"/>
    <w:lvl w:ilvl="0" w:tplc="6324B48E">
      <w:start w:val="1"/>
      <w:numFmt w:val="bullet"/>
      <w:lvlText w:val=""/>
      <w:lvlJc w:val="left"/>
      <w:pPr>
        <w:ind w:left="720" w:hanging="180"/>
      </w:pPr>
      <w:rPr>
        <w:rFonts w:ascii="Symbol" w:hAnsi="Symbol" w:hint="default"/>
      </w:rPr>
    </w:lvl>
    <w:lvl w:ilvl="1" w:tplc="4AFC1DFC">
      <w:numFmt w:val="decimal"/>
      <w:lvlText w:val=""/>
      <w:lvlJc w:val="left"/>
    </w:lvl>
    <w:lvl w:ilvl="2" w:tplc="BE881772">
      <w:numFmt w:val="decimal"/>
      <w:lvlText w:val=""/>
      <w:lvlJc w:val="left"/>
    </w:lvl>
    <w:lvl w:ilvl="3" w:tplc="CC289810">
      <w:numFmt w:val="decimal"/>
      <w:lvlText w:val=""/>
      <w:lvlJc w:val="left"/>
    </w:lvl>
    <w:lvl w:ilvl="4" w:tplc="36887830">
      <w:numFmt w:val="decimal"/>
      <w:lvlText w:val=""/>
      <w:lvlJc w:val="left"/>
    </w:lvl>
    <w:lvl w:ilvl="5" w:tplc="38FEE746">
      <w:numFmt w:val="decimal"/>
      <w:lvlText w:val=""/>
      <w:lvlJc w:val="left"/>
    </w:lvl>
    <w:lvl w:ilvl="6" w:tplc="1B747D84">
      <w:numFmt w:val="decimal"/>
      <w:lvlText w:val=""/>
      <w:lvlJc w:val="left"/>
    </w:lvl>
    <w:lvl w:ilvl="7" w:tplc="A61613C6">
      <w:numFmt w:val="decimal"/>
      <w:lvlText w:val=""/>
      <w:lvlJc w:val="left"/>
    </w:lvl>
    <w:lvl w:ilvl="8" w:tplc="0CEE8C30">
      <w:numFmt w:val="decimal"/>
      <w:lvlText w:val=""/>
      <w:lvlJc w:val="left"/>
    </w:lvl>
  </w:abstractNum>
  <w:abstractNum w:abstractNumId="1299" w15:restartNumberingAfterBreak="0">
    <w:nsid w:val="63D76D79"/>
    <w:multiLevelType w:val="hybridMultilevel"/>
    <w:tmpl w:val="1DD26D66"/>
    <w:lvl w:ilvl="0" w:tplc="7DC2D996">
      <w:numFmt w:val="decimal"/>
      <w:lvlText w:val=""/>
      <w:lvlJc w:val="left"/>
    </w:lvl>
    <w:lvl w:ilvl="1" w:tplc="0D48DEBA">
      <w:start w:val="1"/>
      <w:numFmt w:val="bullet"/>
      <w:lvlText w:val=""/>
      <w:lvlJc w:val="left"/>
      <w:pPr>
        <w:ind w:left="1440" w:hanging="180"/>
      </w:pPr>
      <w:rPr>
        <w:rFonts w:ascii="Symbol" w:hAnsi="Symbol" w:hint="default"/>
      </w:rPr>
    </w:lvl>
    <w:lvl w:ilvl="2" w:tplc="0CDCA9B2">
      <w:numFmt w:val="decimal"/>
      <w:lvlText w:val=""/>
      <w:lvlJc w:val="left"/>
    </w:lvl>
    <w:lvl w:ilvl="3" w:tplc="B980DC48">
      <w:numFmt w:val="decimal"/>
      <w:lvlText w:val=""/>
      <w:lvlJc w:val="left"/>
    </w:lvl>
    <w:lvl w:ilvl="4" w:tplc="6E844592">
      <w:numFmt w:val="decimal"/>
      <w:lvlText w:val=""/>
      <w:lvlJc w:val="left"/>
    </w:lvl>
    <w:lvl w:ilvl="5" w:tplc="58CABEEA">
      <w:numFmt w:val="decimal"/>
      <w:lvlText w:val=""/>
      <w:lvlJc w:val="left"/>
    </w:lvl>
    <w:lvl w:ilvl="6" w:tplc="AE64C3B0">
      <w:numFmt w:val="decimal"/>
      <w:lvlText w:val=""/>
      <w:lvlJc w:val="left"/>
    </w:lvl>
    <w:lvl w:ilvl="7" w:tplc="D3EED034">
      <w:numFmt w:val="decimal"/>
      <w:lvlText w:val=""/>
      <w:lvlJc w:val="left"/>
    </w:lvl>
    <w:lvl w:ilvl="8" w:tplc="F0860D42">
      <w:numFmt w:val="decimal"/>
      <w:lvlText w:val=""/>
      <w:lvlJc w:val="left"/>
    </w:lvl>
  </w:abstractNum>
  <w:abstractNum w:abstractNumId="1300" w15:restartNumberingAfterBreak="0">
    <w:nsid w:val="63DA687A"/>
    <w:multiLevelType w:val="hybridMultilevel"/>
    <w:tmpl w:val="C90E9D26"/>
    <w:lvl w:ilvl="0" w:tplc="572C8ED4">
      <w:start w:val="1"/>
      <w:numFmt w:val="bullet"/>
      <w:lvlText w:val=""/>
      <w:lvlJc w:val="left"/>
      <w:pPr>
        <w:ind w:left="720" w:hanging="180"/>
      </w:pPr>
      <w:rPr>
        <w:rFonts w:ascii="Symbol" w:hAnsi="Symbol" w:hint="default"/>
      </w:rPr>
    </w:lvl>
    <w:lvl w:ilvl="1" w:tplc="F974589A">
      <w:numFmt w:val="decimal"/>
      <w:lvlText w:val=""/>
      <w:lvlJc w:val="left"/>
    </w:lvl>
    <w:lvl w:ilvl="2" w:tplc="852EB104">
      <w:numFmt w:val="decimal"/>
      <w:lvlText w:val=""/>
      <w:lvlJc w:val="left"/>
    </w:lvl>
    <w:lvl w:ilvl="3" w:tplc="5C189642">
      <w:numFmt w:val="decimal"/>
      <w:lvlText w:val=""/>
      <w:lvlJc w:val="left"/>
    </w:lvl>
    <w:lvl w:ilvl="4" w:tplc="E78C876E">
      <w:numFmt w:val="decimal"/>
      <w:lvlText w:val=""/>
      <w:lvlJc w:val="left"/>
    </w:lvl>
    <w:lvl w:ilvl="5" w:tplc="130E4A46">
      <w:numFmt w:val="decimal"/>
      <w:lvlText w:val=""/>
      <w:lvlJc w:val="left"/>
    </w:lvl>
    <w:lvl w:ilvl="6" w:tplc="C5E69440">
      <w:numFmt w:val="decimal"/>
      <w:lvlText w:val=""/>
      <w:lvlJc w:val="left"/>
    </w:lvl>
    <w:lvl w:ilvl="7" w:tplc="F51A7B9C">
      <w:numFmt w:val="decimal"/>
      <w:lvlText w:val=""/>
      <w:lvlJc w:val="left"/>
    </w:lvl>
    <w:lvl w:ilvl="8" w:tplc="8FE48690">
      <w:numFmt w:val="decimal"/>
      <w:lvlText w:val=""/>
      <w:lvlJc w:val="left"/>
    </w:lvl>
  </w:abstractNum>
  <w:abstractNum w:abstractNumId="1301" w15:restartNumberingAfterBreak="0">
    <w:nsid w:val="63E20E71"/>
    <w:multiLevelType w:val="hybridMultilevel"/>
    <w:tmpl w:val="5010F9A6"/>
    <w:lvl w:ilvl="0" w:tplc="F27ADCB4">
      <w:start w:val="1"/>
      <w:numFmt w:val="bullet"/>
      <w:lvlText w:val=""/>
      <w:lvlJc w:val="left"/>
      <w:pPr>
        <w:ind w:left="720" w:hanging="180"/>
      </w:pPr>
      <w:rPr>
        <w:rFonts w:ascii="Symbol" w:hAnsi="Symbol" w:hint="default"/>
      </w:rPr>
    </w:lvl>
    <w:lvl w:ilvl="1" w:tplc="63B0C878">
      <w:numFmt w:val="decimal"/>
      <w:lvlText w:val=""/>
      <w:lvlJc w:val="left"/>
    </w:lvl>
    <w:lvl w:ilvl="2" w:tplc="41863E88">
      <w:numFmt w:val="decimal"/>
      <w:lvlText w:val=""/>
      <w:lvlJc w:val="left"/>
    </w:lvl>
    <w:lvl w:ilvl="3" w:tplc="352E9F30">
      <w:numFmt w:val="decimal"/>
      <w:lvlText w:val=""/>
      <w:lvlJc w:val="left"/>
    </w:lvl>
    <w:lvl w:ilvl="4" w:tplc="8716B714">
      <w:numFmt w:val="decimal"/>
      <w:lvlText w:val=""/>
      <w:lvlJc w:val="left"/>
    </w:lvl>
    <w:lvl w:ilvl="5" w:tplc="08CE4006">
      <w:numFmt w:val="decimal"/>
      <w:lvlText w:val=""/>
      <w:lvlJc w:val="left"/>
    </w:lvl>
    <w:lvl w:ilvl="6" w:tplc="B93CADF0">
      <w:numFmt w:val="decimal"/>
      <w:lvlText w:val=""/>
      <w:lvlJc w:val="left"/>
    </w:lvl>
    <w:lvl w:ilvl="7" w:tplc="69707168">
      <w:numFmt w:val="decimal"/>
      <w:lvlText w:val=""/>
      <w:lvlJc w:val="left"/>
    </w:lvl>
    <w:lvl w:ilvl="8" w:tplc="2FF8B77E">
      <w:numFmt w:val="decimal"/>
      <w:lvlText w:val=""/>
      <w:lvlJc w:val="left"/>
    </w:lvl>
  </w:abstractNum>
  <w:abstractNum w:abstractNumId="1302" w15:restartNumberingAfterBreak="0">
    <w:nsid w:val="63E6292E"/>
    <w:multiLevelType w:val="hybridMultilevel"/>
    <w:tmpl w:val="E90035FA"/>
    <w:lvl w:ilvl="0" w:tplc="206E9AE4">
      <w:start w:val="1"/>
      <w:numFmt w:val="bullet"/>
      <w:lvlText w:val=""/>
      <w:lvlJc w:val="left"/>
      <w:pPr>
        <w:ind w:left="720" w:hanging="180"/>
      </w:pPr>
      <w:rPr>
        <w:rFonts w:ascii="Symbol" w:hAnsi="Symbol" w:hint="default"/>
      </w:rPr>
    </w:lvl>
    <w:lvl w:ilvl="1" w:tplc="AC48DC1A">
      <w:numFmt w:val="decimal"/>
      <w:lvlText w:val=""/>
      <w:lvlJc w:val="left"/>
    </w:lvl>
    <w:lvl w:ilvl="2" w:tplc="8DAA45B4">
      <w:numFmt w:val="decimal"/>
      <w:lvlText w:val=""/>
      <w:lvlJc w:val="left"/>
    </w:lvl>
    <w:lvl w:ilvl="3" w:tplc="6F847D4A">
      <w:numFmt w:val="decimal"/>
      <w:lvlText w:val=""/>
      <w:lvlJc w:val="left"/>
    </w:lvl>
    <w:lvl w:ilvl="4" w:tplc="141CCBB8">
      <w:numFmt w:val="decimal"/>
      <w:lvlText w:val=""/>
      <w:lvlJc w:val="left"/>
    </w:lvl>
    <w:lvl w:ilvl="5" w:tplc="E6FAB532">
      <w:numFmt w:val="decimal"/>
      <w:lvlText w:val=""/>
      <w:lvlJc w:val="left"/>
    </w:lvl>
    <w:lvl w:ilvl="6" w:tplc="AD4816A8">
      <w:numFmt w:val="decimal"/>
      <w:lvlText w:val=""/>
      <w:lvlJc w:val="left"/>
    </w:lvl>
    <w:lvl w:ilvl="7" w:tplc="7B9EBC4C">
      <w:numFmt w:val="decimal"/>
      <w:lvlText w:val=""/>
      <w:lvlJc w:val="left"/>
    </w:lvl>
    <w:lvl w:ilvl="8" w:tplc="22F6BCDE">
      <w:numFmt w:val="decimal"/>
      <w:lvlText w:val=""/>
      <w:lvlJc w:val="left"/>
    </w:lvl>
  </w:abstractNum>
  <w:abstractNum w:abstractNumId="1303" w15:restartNumberingAfterBreak="0">
    <w:nsid w:val="63EB6D92"/>
    <w:multiLevelType w:val="hybridMultilevel"/>
    <w:tmpl w:val="97E0F1D6"/>
    <w:lvl w:ilvl="0" w:tplc="21BEBD32">
      <w:numFmt w:val="decimal"/>
      <w:lvlText w:val=""/>
      <w:lvlJc w:val="left"/>
    </w:lvl>
    <w:lvl w:ilvl="1" w:tplc="A0F69672">
      <w:start w:val="1"/>
      <w:numFmt w:val="bullet"/>
      <w:lvlText w:val=""/>
      <w:lvlJc w:val="left"/>
      <w:pPr>
        <w:ind w:left="1440" w:hanging="180"/>
      </w:pPr>
      <w:rPr>
        <w:rFonts w:ascii="Symbol" w:hAnsi="Symbol" w:hint="default"/>
      </w:rPr>
    </w:lvl>
    <w:lvl w:ilvl="2" w:tplc="03F6708A">
      <w:numFmt w:val="decimal"/>
      <w:lvlText w:val=""/>
      <w:lvlJc w:val="left"/>
    </w:lvl>
    <w:lvl w:ilvl="3" w:tplc="CD0CBF2E">
      <w:numFmt w:val="decimal"/>
      <w:lvlText w:val=""/>
      <w:lvlJc w:val="left"/>
    </w:lvl>
    <w:lvl w:ilvl="4" w:tplc="E6A040D6">
      <w:numFmt w:val="decimal"/>
      <w:lvlText w:val=""/>
      <w:lvlJc w:val="left"/>
    </w:lvl>
    <w:lvl w:ilvl="5" w:tplc="E58CD07C">
      <w:numFmt w:val="decimal"/>
      <w:lvlText w:val=""/>
      <w:lvlJc w:val="left"/>
    </w:lvl>
    <w:lvl w:ilvl="6" w:tplc="D1309BAC">
      <w:numFmt w:val="decimal"/>
      <w:lvlText w:val=""/>
      <w:lvlJc w:val="left"/>
    </w:lvl>
    <w:lvl w:ilvl="7" w:tplc="BAC6C484">
      <w:numFmt w:val="decimal"/>
      <w:lvlText w:val=""/>
      <w:lvlJc w:val="left"/>
    </w:lvl>
    <w:lvl w:ilvl="8" w:tplc="B376554C">
      <w:numFmt w:val="decimal"/>
      <w:lvlText w:val=""/>
      <w:lvlJc w:val="left"/>
    </w:lvl>
  </w:abstractNum>
  <w:abstractNum w:abstractNumId="1304" w15:restartNumberingAfterBreak="0">
    <w:nsid w:val="63F462E1"/>
    <w:multiLevelType w:val="hybridMultilevel"/>
    <w:tmpl w:val="5A4A44FA"/>
    <w:lvl w:ilvl="0" w:tplc="920E97BE">
      <w:start w:val="1"/>
      <w:numFmt w:val="bullet"/>
      <w:lvlText w:val=""/>
      <w:lvlJc w:val="left"/>
      <w:pPr>
        <w:ind w:left="720" w:hanging="180"/>
      </w:pPr>
      <w:rPr>
        <w:rFonts w:ascii="Symbol" w:hAnsi="Symbol" w:hint="default"/>
      </w:rPr>
    </w:lvl>
    <w:lvl w:ilvl="1" w:tplc="00BC6DEA">
      <w:numFmt w:val="decimal"/>
      <w:lvlText w:val=""/>
      <w:lvlJc w:val="left"/>
    </w:lvl>
    <w:lvl w:ilvl="2" w:tplc="39B40956">
      <w:numFmt w:val="decimal"/>
      <w:lvlText w:val=""/>
      <w:lvlJc w:val="left"/>
    </w:lvl>
    <w:lvl w:ilvl="3" w:tplc="97F2B6AE">
      <w:numFmt w:val="decimal"/>
      <w:lvlText w:val=""/>
      <w:lvlJc w:val="left"/>
    </w:lvl>
    <w:lvl w:ilvl="4" w:tplc="B61E5350">
      <w:numFmt w:val="decimal"/>
      <w:lvlText w:val=""/>
      <w:lvlJc w:val="left"/>
    </w:lvl>
    <w:lvl w:ilvl="5" w:tplc="92AC4760">
      <w:numFmt w:val="decimal"/>
      <w:lvlText w:val=""/>
      <w:lvlJc w:val="left"/>
    </w:lvl>
    <w:lvl w:ilvl="6" w:tplc="A97EE5F6">
      <w:numFmt w:val="decimal"/>
      <w:lvlText w:val=""/>
      <w:lvlJc w:val="left"/>
    </w:lvl>
    <w:lvl w:ilvl="7" w:tplc="8EB09216">
      <w:numFmt w:val="decimal"/>
      <w:lvlText w:val=""/>
      <w:lvlJc w:val="left"/>
    </w:lvl>
    <w:lvl w:ilvl="8" w:tplc="C49C0F1A">
      <w:numFmt w:val="decimal"/>
      <w:lvlText w:val=""/>
      <w:lvlJc w:val="left"/>
    </w:lvl>
  </w:abstractNum>
  <w:abstractNum w:abstractNumId="1305" w15:restartNumberingAfterBreak="0">
    <w:nsid w:val="63F74125"/>
    <w:multiLevelType w:val="hybridMultilevel"/>
    <w:tmpl w:val="F618A6BE"/>
    <w:lvl w:ilvl="0" w:tplc="548E629C">
      <w:start w:val="1"/>
      <w:numFmt w:val="bullet"/>
      <w:lvlText w:val=""/>
      <w:lvlJc w:val="left"/>
      <w:pPr>
        <w:ind w:left="720" w:hanging="180"/>
      </w:pPr>
      <w:rPr>
        <w:rFonts w:ascii="Symbol" w:hAnsi="Symbol" w:hint="default"/>
      </w:rPr>
    </w:lvl>
    <w:lvl w:ilvl="1" w:tplc="6F98A6C2">
      <w:numFmt w:val="decimal"/>
      <w:lvlText w:val=""/>
      <w:lvlJc w:val="left"/>
    </w:lvl>
    <w:lvl w:ilvl="2" w:tplc="CB82DA92">
      <w:numFmt w:val="decimal"/>
      <w:lvlText w:val=""/>
      <w:lvlJc w:val="left"/>
    </w:lvl>
    <w:lvl w:ilvl="3" w:tplc="9DE01ED4">
      <w:numFmt w:val="decimal"/>
      <w:lvlText w:val=""/>
      <w:lvlJc w:val="left"/>
    </w:lvl>
    <w:lvl w:ilvl="4" w:tplc="2A684420">
      <w:numFmt w:val="decimal"/>
      <w:lvlText w:val=""/>
      <w:lvlJc w:val="left"/>
    </w:lvl>
    <w:lvl w:ilvl="5" w:tplc="1236F9FE">
      <w:numFmt w:val="decimal"/>
      <w:lvlText w:val=""/>
      <w:lvlJc w:val="left"/>
    </w:lvl>
    <w:lvl w:ilvl="6" w:tplc="38BE5B9A">
      <w:numFmt w:val="decimal"/>
      <w:lvlText w:val=""/>
      <w:lvlJc w:val="left"/>
    </w:lvl>
    <w:lvl w:ilvl="7" w:tplc="8284AA8E">
      <w:numFmt w:val="decimal"/>
      <w:lvlText w:val=""/>
      <w:lvlJc w:val="left"/>
    </w:lvl>
    <w:lvl w:ilvl="8" w:tplc="92740704">
      <w:numFmt w:val="decimal"/>
      <w:lvlText w:val=""/>
      <w:lvlJc w:val="left"/>
    </w:lvl>
  </w:abstractNum>
  <w:abstractNum w:abstractNumId="1306" w15:restartNumberingAfterBreak="0">
    <w:nsid w:val="640F5939"/>
    <w:multiLevelType w:val="hybridMultilevel"/>
    <w:tmpl w:val="3B3CBC7E"/>
    <w:lvl w:ilvl="0" w:tplc="CDBAE4AA">
      <w:start w:val="1"/>
      <w:numFmt w:val="bullet"/>
      <w:lvlText w:val=""/>
      <w:lvlJc w:val="left"/>
      <w:pPr>
        <w:ind w:left="720" w:hanging="180"/>
      </w:pPr>
      <w:rPr>
        <w:rFonts w:ascii="Symbol" w:hAnsi="Symbol" w:hint="default"/>
      </w:rPr>
    </w:lvl>
    <w:lvl w:ilvl="1" w:tplc="D3DA1112">
      <w:numFmt w:val="decimal"/>
      <w:lvlText w:val=""/>
      <w:lvlJc w:val="left"/>
    </w:lvl>
    <w:lvl w:ilvl="2" w:tplc="4B00BB18">
      <w:numFmt w:val="decimal"/>
      <w:lvlText w:val=""/>
      <w:lvlJc w:val="left"/>
    </w:lvl>
    <w:lvl w:ilvl="3" w:tplc="39BC5B28">
      <w:numFmt w:val="decimal"/>
      <w:lvlText w:val=""/>
      <w:lvlJc w:val="left"/>
    </w:lvl>
    <w:lvl w:ilvl="4" w:tplc="8CA65ECC">
      <w:numFmt w:val="decimal"/>
      <w:lvlText w:val=""/>
      <w:lvlJc w:val="left"/>
    </w:lvl>
    <w:lvl w:ilvl="5" w:tplc="1FDEFA1A">
      <w:numFmt w:val="decimal"/>
      <w:lvlText w:val=""/>
      <w:lvlJc w:val="left"/>
    </w:lvl>
    <w:lvl w:ilvl="6" w:tplc="49E8B6B8">
      <w:numFmt w:val="decimal"/>
      <w:lvlText w:val=""/>
      <w:lvlJc w:val="left"/>
    </w:lvl>
    <w:lvl w:ilvl="7" w:tplc="228CDB4A">
      <w:numFmt w:val="decimal"/>
      <w:lvlText w:val=""/>
      <w:lvlJc w:val="left"/>
    </w:lvl>
    <w:lvl w:ilvl="8" w:tplc="6708FE46">
      <w:numFmt w:val="decimal"/>
      <w:lvlText w:val=""/>
      <w:lvlJc w:val="left"/>
    </w:lvl>
  </w:abstractNum>
  <w:abstractNum w:abstractNumId="1307" w15:restartNumberingAfterBreak="0">
    <w:nsid w:val="6421188A"/>
    <w:multiLevelType w:val="hybridMultilevel"/>
    <w:tmpl w:val="473088B4"/>
    <w:lvl w:ilvl="0" w:tplc="E4B81978">
      <w:start w:val="1"/>
      <w:numFmt w:val="bullet"/>
      <w:lvlText w:val=""/>
      <w:lvlJc w:val="left"/>
      <w:pPr>
        <w:ind w:left="720" w:hanging="180"/>
      </w:pPr>
      <w:rPr>
        <w:rFonts w:ascii="Symbol" w:hAnsi="Symbol" w:hint="default"/>
      </w:rPr>
    </w:lvl>
    <w:lvl w:ilvl="1" w:tplc="7E260BFC">
      <w:numFmt w:val="decimal"/>
      <w:lvlText w:val=""/>
      <w:lvlJc w:val="left"/>
    </w:lvl>
    <w:lvl w:ilvl="2" w:tplc="15F0D948">
      <w:numFmt w:val="decimal"/>
      <w:lvlText w:val=""/>
      <w:lvlJc w:val="left"/>
    </w:lvl>
    <w:lvl w:ilvl="3" w:tplc="3D848096">
      <w:numFmt w:val="decimal"/>
      <w:lvlText w:val=""/>
      <w:lvlJc w:val="left"/>
    </w:lvl>
    <w:lvl w:ilvl="4" w:tplc="65A6EEC2">
      <w:numFmt w:val="decimal"/>
      <w:lvlText w:val=""/>
      <w:lvlJc w:val="left"/>
    </w:lvl>
    <w:lvl w:ilvl="5" w:tplc="14600A94">
      <w:numFmt w:val="decimal"/>
      <w:lvlText w:val=""/>
      <w:lvlJc w:val="left"/>
    </w:lvl>
    <w:lvl w:ilvl="6" w:tplc="0C1E2AE6">
      <w:numFmt w:val="decimal"/>
      <w:lvlText w:val=""/>
      <w:lvlJc w:val="left"/>
    </w:lvl>
    <w:lvl w:ilvl="7" w:tplc="0B32DEE6">
      <w:numFmt w:val="decimal"/>
      <w:lvlText w:val=""/>
      <w:lvlJc w:val="left"/>
    </w:lvl>
    <w:lvl w:ilvl="8" w:tplc="BCF6D726">
      <w:numFmt w:val="decimal"/>
      <w:lvlText w:val=""/>
      <w:lvlJc w:val="left"/>
    </w:lvl>
  </w:abstractNum>
  <w:abstractNum w:abstractNumId="1308" w15:restartNumberingAfterBreak="0">
    <w:nsid w:val="643518BC"/>
    <w:multiLevelType w:val="hybridMultilevel"/>
    <w:tmpl w:val="1806FF98"/>
    <w:lvl w:ilvl="0" w:tplc="2D381BBC">
      <w:numFmt w:val="decimal"/>
      <w:lvlText w:val=""/>
      <w:lvlJc w:val="left"/>
    </w:lvl>
    <w:lvl w:ilvl="1" w:tplc="7E9CC98E">
      <w:start w:val="1"/>
      <w:numFmt w:val="bullet"/>
      <w:lvlText w:val=""/>
      <w:lvlJc w:val="left"/>
      <w:pPr>
        <w:ind w:left="1440" w:hanging="180"/>
      </w:pPr>
      <w:rPr>
        <w:rFonts w:ascii="Symbol" w:hAnsi="Symbol" w:hint="default"/>
      </w:rPr>
    </w:lvl>
    <w:lvl w:ilvl="2" w:tplc="E4CE2DBC">
      <w:numFmt w:val="decimal"/>
      <w:lvlText w:val=""/>
      <w:lvlJc w:val="left"/>
    </w:lvl>
    <w:lvl w:ilvl="3" w:tplc="14C64B74">
      <w:numFmt w:val="decimal"/>
      <w:lvlText w:val=""/>
      <w:lvlJc w:val="left"/>
    </w:lvl>
    <w:lvl w:ilvl="4" w:tplc="1B1A1FC4">
      <w:numFmt w:val="decimal"/>
      <w:lvlText w:val=""/>
      <w:lvlJc w:val="left"/>
    </w:lvl>
    <w:lvl w:ilvl="5" w:tplc="0BBA55F4">
      <w:numFmt w:val="decimal"/>
      <w:lvlText w:val=""/>
      <w:lvlJc w:val="left"/>
    </w:lvl>
    <w:lvl w:ilvl="6" w:tplc="D91240EC">
      <w:numFmt w:val="decimal"/>
      <w:lvlText w:val=""/>
      <w:lvlJc w:val="left"/>
    </w:lvl>
    <w:lvl w:ilvl="7" w:tplc="F8488E9A">
      <w:numFmt w:val="decimal"/>
      <w:lvlText w:val=""/>
      <w:lvlJc w:val="left"/>
    </w:lvl>
    <w:lvl w:ilvl="8" w:tplc="14681DF6">
      <w:numFmt w:val="decimal"/>
      <w:lvlText w:val=""/>
      <w:lvlJc w:val="left"/>
    </w:lvl>
  </w:abstractNum>
  <w:abstractNum w:abstractNumId="1309" w15:restartNumberingAfterBreak="0">
    <w:nsid w:val="64501AD7"/>
    <w:multiLevelType w:val="hybridMultilevel"/>
    <w:tmpl w:val="C096E66A"/>
    <w:lvl w:ilvl="0" w:tplc="2132CDA2">
      <w:start w:val="1"/>
      <w:numFmt w:val="bullet"/>
      <w:lvlText w:val=""/>
      <w:lvlJc w:val="left"/>
      <w:pPr>
        <w:ind w:left="720" w:hanging="180"/>
      </w:pPr>
      <w:rPr>
        <w:rFonts w:ascii="Symbol" w:hAnsi="Symbol" w:hint="default"/>
      </w:rPr>
    </w:lvl>
    <w:lvl w:ilvl="1" w:tplc="5666D854">
      <w:numFmt w:val="decimal"/>
      <w:lvlText w:val=""/>
      <w:lvlJc w:val="left"/>
    </w:lvl>
    <w:lvl w:ilvl="2" w:tplc="A1C6BF58">
      <w:numFmt w:val="decimal"/>
      <w:lvlText w:val=""/>
      <w:lvlJc w:val="left"/>
    </w:lvl>
    <w:lvl w:ilvl="3" w:tplc="19DC544C">
      <w:numFmt w:val="decimal"/>
      <w:lvlText w:val=""/>
      <w:lvlJc w:val="left"/>
    </w:lvl>
    <w:lvl w:ilvl="4" w:tplc="5D82DA5E">
      <w:numFmt w:val="decimal"/>
      <w:lvlText w:val=""/>
      <w:lvlJc w:val="left"/>
    </w:lvl>
    <w:lvl w:ilvl="5" w:tplc="0C243186">
      <w:numFmt w:val="decimal"/>
      <w:lvlText w:val=""/>
      <w:lvlJc w:val="left"/>
    </w:lvl>
    <w:lvl w:ilvl="6" w:tplc="36640576">
      <w:numFmt w:val="decimal"/>
      <w:lvlText w:val=""/>
      <w:lvlJc w:val="left"/>
    </w:lvl>
    <w:lvl w:ilvl="7" w:tplc="BD448DCE">
      <w:numFmt w:val="decimal"/>
      <w:lvlText w:val=""/>
      <w:lvlJc w:val="left"/>
    </w:lvl>
    <w:lvl w:ilvl="8" w:tplc="79F4FDB8">
      <w:numFmt w:val="decimal"/>
      <w:lvlText w:val=""/>
      <w:lvlJc w:val="left"/>
    </w:lvl>
  </w:abstractNum>
  <w:abstractNum w:abstractNumId="1310" w15:restartNumberingAfterBreak="0">
    <w:nsid w:val="645F4E5F"/>
    <w:multiLevelType w:val="hybridMultilevel"/>
    <w:tmpl w:val="98FC881A"/>
    <w:lvl w:ilvl="0" w:tplc="D8DAE5A8">
      <w:start w:val="1"/>
      <w:numFmt w:val="bullet"/>
      <w:lvlText w:val=""/>
      <w:lvlJc w:val="left"/>
      <w:pPr>
        <w:ind w:left="720" w:hanging="180"/>
      </w:pPr>
      <w:rPr>
        <w:rFonts w:ascii="Symbol" w:hAnsi="Symbol" w:hint="default"/>
      </w:rPr>
    </w:lvl>
    <w:lvl w:ilvl="1" w:tplc="DC0C6292">
      <w:numFmt w:val="decimal"/>
      <w:lvlText w:val=""/>
      <w:lvlJc w:val="left"/>
    </w:lvl>
    <w:lvl w:ilvl="2" w:tplc="D4C08B72">
      <w:numFmt w:val="decimal"/>
      <w:lvlText w:val=""/>
      <w:lvlJc w:val="left"/>
    </w:lvl>
    <w:lvl w:ilvl="3" w:tplc="FB4C2CEA">
      <w:numFmt w:val="decimal"/>
      <w:lvlText w:val=""/>
      <w:lvlJc w:val="left"/>
    </w:lvl>
    <w:lvl w:ilvl="4" w:tplc="55D2EB90">
      <w:numFmt w:val="decimal"/>
      <w:lvlText w:val=""/>
      <w:lvlJc w:val="left"/>
    </w:lvl>
    <w:lvl w:ilvl="5" w:tplc="8BA6F42A">
      <w:numFmt w:val="decimal"/>
      <w:lvlText w:val=""/>
      <w:lvlJc w:val="left"/>
    </w:lvl>
    <w:lvl w:ilvl="6" w:tplc="772A035A">
      <w:numFmt w:val="decimal"/>
      <w:lvlText w:val=""/>
      <w:lvlJc w:val="left"/>
    </w:lvl>
    <w:lvl w:ilvl="7" w:tplc="EFAE73DA">
      <w:numFmt w:val="decimal"/>
      <w:lvlText w:val=""/>
      <w:lvlJc w:val="left"/>
    </w:lvl>
    <w:lvl w:ilvl="8" w:tplc="1506F53A">
      <w:numFmt w:val="decimal"/>
      <w:lvlText w:val=""/>
      <w:lvlJc w:val="left"/>
    </w:lvl>
  </w:abstractNum>
  <w:abstractNum w:abstractNumId="1311" w15:restartNumberingAfterBreak="0">
    <w:nsid w:val="64990FA9"/>
    <w:multiLevelType w:val="hybridMultilevel"/>
    <w:tmpl w:val="D6841B88"/>
    <w:lvl w:ilvl="0" w:tplc="713C65F4">
      <w:start w:val="1"/>
      <w:numFmt w:val="bullet"/>
      <w:lvlText w:val=""/>
      <w:lvlJc w:val="left"/>
      <w:pPr>
        <w:ind w:left="720" w:hanging="180"/>
      </w:pPr>
      <w:rPr>
        <w:rFonts w:ascii="Symbol" w:hAnsi="Symbol" w:hint="default"/>
      </w:rPr>
    </w:lvl>
    <w:lvl w:ilvl="1" w:tplc="C382DF98">
      <w:numFmt w:val="decimal"/>
      <w:lvlText w:val=""/>
      <w:lvlJc w:val="left"/>
    </w:lvl>
    <w:lvl w:ilvl="2" w:tplc="82846D16">
      <w:numFmt w:val="decimal"/>
      <w:lvlText w:val=""/>
      <w:lvlJc w:val="left"/>
    </w:lvl>
    <w:lvl w:ilvl="3" w:tplc="77C88DEE">
      <w:numFmt w:val="decimal"/>
      <w:lvlText w:val=""/>
      <w:lvlJc w:val="left"/>
    </w:lvl>
    <w:lvl w:ilvl="4" w:tplc="76D2D1F0">
      <w:numFmt w:val="decimal"/>
      <w:lvlText w:val=""/>
      <w:lvlJc w:val="left"/>
    </w:lvl>
    <w:lvl w:ilvl="5" w:tplc="77AA4712">
      <w:numFmt w:val="decimal"/>
      <w:lvlText w:val=""/>
      <w:lvlJc w:val="left"/>
    </w:lvl>
    <w:lvl w:ilvl="6" w:tplc="DF2C1ACC">
      <w:numFmt w:val="decimal"/>
      <w:lvlText w:val=""/>
      <w:lvlJc w:val="left"/>
    </w:lvl>
    <w:lvl w:ilvl="7" w:tplc="66FE94CE">
      <w:numFmt w:val="decimal"/>
      <w:lvlText w:val=""/>
      <w:lvlJc w:val="left"/>
    </w:lvl>
    <w:lvl w:ilvl="8" w:tplc="3978FC64">
      <w:numFmt w:val="decimal"/>
      <w:lvlText w:val=""/>
      <w:lvlJc w:val="left"/>
    </w:lvl>
  </w:abstractNum>
  <w:abstractNum w:abstractNumId="1312" w15:restartNumberingAfterBreak="0">
    <w:nsid w:val="64D63FB8"/>
    <w:multiLevelType w:val="hybridMultilevel"/>
    <w:tmpl w:val="4816F26A"/>
    <w:lvl w:ilvl="0" w:tplc="51C46588">
      <w:start w:val="1"/>
      <w:numFmt w:val="bullet"/>
      <w:lvlText w:val=""/>
      <w:lvlJc w:val="left"/>
      <w:pPr>
        <w:ind w:left="720" w:hanging="180"/>
      </w:pPr>
      <w:rPr>
        <w:rFonts w:ascii="Symbol" w:hAnsi="Symbol" w:hint="default"/>
      </w:rPr>
    </w:lvl>
    <w:lvl w:ilvl="1" w:tplc="A63A8C7A">
      <w:numFmt w:val="decimal"/>
      <w:lvlText w:val=""/>
      <w:lvlJc w:val="left"/>
    </w:lvl>
    <w:lvl w:ilvl="2" w:tplc="92BC9A4C">
      <w:numFmt w:val="decimal"/>
      <w:lvlText w:val=""/>
      <w:lvlJc w:val="left"/>
    </w:lvl>
    <w:lvl w:ilvl="3" w:tplc="FD52F5A0">
      <w:numFmt w:val="decimal"/>
      <w:lvlText w:val=""/>
      <w:lvlJc w:val="left"/>
    </w:lvl>
    <w:lvl w:ilvl="4" w:tplc="AFA617D8">
      <w:numFmt w:val="decimal"/>
      <w:lvlText w:val=""/>
      <w:lvlJc w:val="left"/>
    </w:lvl>
    <w:lvl w:ilvl="5" w:tplc="08527258">
      <w:numFmt w:val="decimal"/>
      <w:lvlText w:val=""/>
      <w:lvlJc w:val="left"/>
    </w:lvl>
    <w:lvl w:ilvl="6" w:tplc="0D689FD4">
      <w:numFmt w:val="decimal"/>
      <w:lvlText w:val=""/>
      <w:lvlJc w:val="left"/>
    </w:lvl>
    <w:lvl w:ilvl="7" w:tplc="251AB9AC">
      <w:numFmt w:val="decimal"/>
      <w:lvlText w:val=""/>
      <w:lvlJc w:val="left"/>
    </w:lvl>
    <w:lvl w:ilvl="8" w:tplc="9D2C17D0">
      <w:numFmt w:val="decimal"/>
      <w:lvlText w:val=""/>
      <w:lvlJc w:val="left"/>
    </w:lvl>
  </w:abstractNum>
  <w:abstractNum w:abstractNumId="1313" w15:restartNumberingAfterBreak="0">
    <w:nsid w:val="64FF489C"/>
    <w:multiLevelType w:val="hybridMultilevel"/>
    <w:tmpl w:val="93AC9386"/>
    <w:lvl w:ilvl="0" w:tplc="1188F492">
      <w:start w:val="1"/>
      <w:numFmt w:val="bullet"/>
      <w:lvlText w:val=""/>
      <w:lvlJc w:val="left"/>
      <w:pPr>
        <w:ind w:left="720" w:hanging="180"/>
      </w:pPr>
      <w:rPr>
        <w:rFonts w:ascii="Symbol" w:hAnsi="Symbol" w:hint="default"/>
      </w:rPr>
    </w:lvl>
    <w:lvl w:ilvl="1" w:tplc="401608FA">
      <w:numFmt w:val="decimal"/>
      <w:lvlText w:val=""/>
      <w:lvlJc w:val="left"/>
    </w:lvl>
    <w:lvl w:ilvl="2" w:tplc="BBC286E0">
      <w:numFmt w:val="decimal"/>
      <w:lvlText w:val=""/>
      <w:lvlJc w:val="left"/>
    </w:lvl>
    <w:lvl w:ilvl="3" w:tplc="B1688538">
      <w:numFmt w:val="decimal"/>
      <w:lvlText w:val=""/>
      <w:lvlJc w:val="left"/>
    </w:lvl>
    <w:lvl w:ilvl="4" w:tplc="206E8EF6">
      <w:numFmt w:val="decimal"/>
      <w:lvlText w:val=""/>
      <w:lvlJc w:val="left"/>
    </w:lvl>
    <w:lvl w:ilvl="5" w:tplc="EFDC6C1A">
      <w:numFmt w:val="decimal"/>
      <w:lvlText w:val=""/>
      <w:lvlJc w:val="left"/>
    </w:lvl>
    <w:lvl w:ilvl="6" w:tplc="ACCA6702">
      <w:numFmt w:val="decimal"/>
      <w:lvlText w:val=""/>
      <w:lvlJc w:val="left"/>
    </w:lvl>
    <w:lvl w:ilvl="7" w:tplc="15A82B28">
      <w:numFmt w:val="decimal"/>
      <w:lvlText w:val=""/>
      <w:lvlJc w:val="left"/>
    </w:lvl>
    <w:lvl w:ilvl="8" w:tplc="28DA8DAC">
      <w:numFmt w:val="decimal"/>
      <w:lvlText w:val=""/>
      <w:lvlJc w:val="left"/>
    </w:lvl>
  </w:abstractNum>
  <w:abstractNum w:abstractNumId="1314" w15:restartNumberingAfterBreak="0">
    <w:nsid w:val="6512270E"/>
    <w:multiLevelType w:val="hybridMultilevel"/>
    <w:tmpl w:val="1726583C"/>
    <w:lvl w:ilvl="0" w:tplc="7F2892E8">
      <w:start w:val="1"/>
      <w:numFmt w:val="bullet"/>
      <w:lvlText w:val=""/>
      <w:lvlJc w:val="left"/>
      <w:pPr>
        <w:ind w:left="720" w:hanging="180"/>
      </w:pPr>
      <w:rPr>
        <w:rFonts w:ascii="Symbol" w:hAnsi="Symbol" w:hint="default"/>
      </w:rPr>
    </w:lvl>
    <w:lvl w:ilvl="1" w:tplc="4EFA2DC2">
      <w:numFmt w:val="decimal"/>
      <w:lvlText w:val=""/>
      <w:lvlJc w:val="left"/>
    </w:lvl>
    <w:lvl w:ilvl="2" w:tplc="B286491C">
      <w:numFmt w:val="decimal"/>
      <w:lvlText w:val=""/>
      <w:lvlJc w:val="left"/>
    </w:lvl>
    <w:lvl w:ilvl="3" w:tplc="4608FB44">
      <w:numFmt w:val="decimal"/>
      <w:lvlText w:val=""/>
      <w:lvlJc w:val="left"/>
    </w:lvl>
    <w:lvl w:ilvl="4" w:tplc="13921FDA">
      <w:numFmt w:val="decimal"/>
      <w:lvlText w:val=""/>
      <w:lvlJc w:val="left"/>
    </w:lvl>
    <w:lvl w:ilvl="5" w:tplc="438E0D72">
      <w:numFmt w:val="decimal"/>
      <w:lvlText w:val=""/>
      <w:lvlJc w:val="left"/>
    </w:lvl>
    <w:lvl w:ilvl="6" w:tplc="3E56FBDE">
      <w:numFmt w:val="decimal"/>
      <w:lvlText w:val=""/>
      <w:lvlJc w:val="left"/>
    </w:lvl>
    <w:lvl w:ilvl="7" w:tplc="0EA4FCE2">
      <w:numFmt w:val="decimal"/>
      <w:lvlText w:val=""/>
      <w:lvlJc w:val="left"/>
    </w:lvl>
    <w:lvl w:ilvl="8" w:tplc="F2E4BCA2">
      <w:numFmt w:val="decimal"/>
      <w:lvlText w:val=""/>
      <w:lvlJc w:val="left"/>
    </w:lvl>
  </w:abstractNum>
  <w:abstractNum w:abstractNumId="1315" w15:restartNumberingAfterBreak="0">
    <w:nsid w:val="65147F6B"/>
    <w:multiLevelType w:val="hybridMultilevel"/>
    <w:tmpl w:val="0210632E"/>
    <w:lvl w:ilvl="0" w:tplc="3AC056E0">
      <w:numFmt w:val="decimal"/>
      <w:lvlText w:val=""/>
      <w:lvlJc w:val="left"/>
    </w:lvl>
    <w:lvl w:ilvl="1" w:tplc="260C221E">
      <w:start w:val="1"/>
      <w:numFmt w:val="bullet"/>
      <w:lvlText w:val=""/>
      <w:lvlJc w:val="left"/>
      <w:pPr>
        <w:ind w:left="1440" w:hanging="180"/>
      </w:pPr>
      <w:rPr>
        <w:rFonts w:ascii="Symbol" w:hAnsi="Symbol" w:hint="default"/>
      </w:rPr>
    </w:lvl>
    <w:lvl w:ilvl="2" w:tplc="38580284">
      <w:numFmt w:val="decimal"/>
      <w:lvlText w:val=""/>
      <w:lvlJc w:val="left"/>
    </w:lvl>
    <w:lvl w:ilvl="3" w:tplc="F4EA538A">
      <w:numFmt w:val="decimal"/>
      <w:lvlText w:val=""/>
      <w:lvlJc w:val="left"/>
    </w:lvl>
    <w:lvl w:ilvl="4" w:tplc="40C07FE6">
      <w:numFmt w:val="decimal"/>
      <w:lvlText w:val=""/>
      <w:lvlJc w:val="left"/>
    </w:lvl>
    <w:lvl w:ilvl="5" w:tplc="F81854A2">
      <w:numFmt w:val="decimal"/>
      <w:lvlText w:val=""/>
      <w:lvlJc w:val="left"/>
    </w:lvl>
    <w:lvl w:ilvl="6" w:tplc="2C8A2698">
      <w:numFmt w:val="decimal"/>
      <w:lvlText w:val=""/>
      <w:lvlJc w:val="left"/>
    </w:lvl>
    <w:lvl w:ilvl="7" w:tplc="0130FB2C">
      <w:numFmt w:val="decimal"/>
      <w:lvlText w:val=""/>
      <w:lvlJc w:val="left"/>
    </w:lvl>
    <w:lvl w:ilvl="8" w:tplc="683064B8">
      <w:numFmt w:val="decimal"/>
      <w:lvlText w:val=""/>
      <w:lvlJc w:val="left"/>
    </w:lvl>
  </w:abstractNum>
  <w:abstractNum w:abstractNumId="1316" w15:restartNumberingAfterBreak="0">
    <w:nsid w:val="652167B4"/>
    <w:multiLevelType w:val="hybridMultilevel"/>
    <w:tmpl w:val="87228614"/>
    <w:lvl w:ilvl="0" w:tplc="4CE677F6">
      <w:start w:val="1"/>
      <w:numFmt w:val="bullet"/>
      <w:lvlText w:val=""/>
      <w:lvlJc w:val="left"/>
      <w:pPr>
        <w:ind w:left="720" w:hanging="180"/>
      </w:pPr>
      <w:rPr>
        <w:rFonts w:ascii="Symbol" w:hAnsi="Symbol" w:hint="default"/>
      </w:rPr>
    </w:lvl>
    <w:lvl w:ilvl="1" w:tplc="84461518">
      <w:numFmt w:val="decimal"/>
      <w:lvlText w:val=""/>
      <w:lvlJc w:val="left"/>
    </w:lvl>
    <w:lvl w:ilvl="2" w:tplc="B08464E4">
      <w:numFmt w:val="decimal"/>
      <w:lvlText w:val=""/>
      <w:lvlJc w:val="left"/>
    </w:lvl>
    <w:lvl w:ilvl="3" w:tplc="1C4AAC9A">
      <w:numFmt w:val="decimal"/>
      <w:lvlText w:val=""/>
      <w:lvlJc w:val="left"/>
    </w:lvl>
    <w:lvl w:ilvl="4" w:tplc="454A78CA">
      <w:numFmt w:val="decimal"/>
      <w:lvlText w:val=""/>
      <w:lvlJc w:val="left"/>
    </w:lvl>
    <w:lvl w:ilvl="5" w:tplc="41721D5E">
      <w:numFmt w:val="decimal"/>
      <w:lvlText w:val=""/>
      <w:lvlJc w:val="left"/>
    </w:lvl>
    <w:lvl w:ilvl="6" w:tplc="2362AFA4">
      <w:numFmt w:val="decimal"/>
      <w:lvlText w:val=""/>
      <w:lvlJc w:val="left"/>
    </w:lvl>
    <w:lvl w:ilvl="7" w:tplc="A0648E08">
      <w:numFmt w:val="decimal"/>
      <w:lvlText w:val=""/>
      <w:lvlJc w:val="left"/>
    </w:lvl>
    <w:lvl w:ilvl="8" w:tplc="5ABA224C">
      <w:numFmt w:val="decimal"/>
      <w:lvlText w:val=""/>
      <w:lvlJc w:val="left"/>
    </w:lvl>
  </w:abstractNum>
  <w:abstractNum w:abstractNumId="1317" w15:restartNumberingAfterBreak="0">
    <w:nsid w:val="65221E23"/>
    <w:multiLevelType w:val="hybridMultilevel"/>
    <w:tmpl w:val="98C689F8"/>
    <w:lvl w:ilvl="0" w:tplc="7DB62D00">
      <w:start w:val="1"/>
      <w:numFmt w:val="bullet"/>
      <w:lvlText w:val=""/>
      <w:lvlJc w:val="left"/>
      <w:pPr>
        <w:ind w:left="720" w:hanging="180"/>
      </w:pPr>
      <w:rPr>
        <w:rFonts w:ascii="Symbol" w:hAnsi="Symbol" w:hint="default"/>
      </w:rPr>
    </w:lvl>
    <w:lvl w:ilvl="1" w:tplc="D9984E60">
      <w:numFmt w:val="decimal"/>
      <w:lvlText w:val=""/>
      <w:lvlJc w:val="left"/>
    </w:lvl>
    <w:lvl w:ilvl="2" w:tplc="25348070">
      <w:numFmt w:val="decimal"/>
      <w:lvlText w:val=""/>
      <w:lvlJc w:val="left"/>
    </w:lvl>
    <w:lvl w:ilvl="3" w:tplc="D758C49A">
      <w:numFmt w:val="decimal"/>
      <w:lvlText w:val=""/>
      <w:lvlJc w:val="left"/>
    </w:lvl>
    <w:lvl w:ilvl="4" w:tplc="FF701A82">
      <w:numFmt w:val="decimal"/>
      <w:lvlText w:val=""/>
      <w:lvlJc w:val="left"/>
    </w:lvl>
    <w:lvl w:ilvl="5" w:tplc="46D4AB1A">
      <w:numFmt w:val="decimal"/>
      <w:lvlText w:val=""/>
      <w:lvlJc w:val="left"/>
    </w:lvl>
    <w:lvl w:ilvl="6" w:tplc="970AFC2E">
      <w:numFmt w:val="decimal"/>
      <w:lvlText w:val=""/>
      <w:lvlJc w:val="left"/>
    </w:lvl>
    <w:lvl w:ilvl="7" w:tplc="37960152">
      <w:numFmt w:val="decimal"/>
      <w:lvlText w:val=""/>
      <w:lvlJc w:val="left"/>
    </w:lvl>
    <w:lvl w:ilvl="8" w:tplc="179C3A4A">
      <w:numFmt w:val="decimal"/>
      <w:lvlText w:val=""/>
      <w:lvlJc w:val="left"/>
    </w:lvl>
  </w:abstractNum>
  <w:abstractNum w:abstractNumId="1318" w15:restartNumberingAfterBreak="0">
    <w:nsid w:val="6538670F"/>
    <w:multiLevelType w:val="hybridMultilevel"/>
    <w:tmpl w:val="E1A4D058"/>
    <w:lvl w:ilvl="0" w:tplc="76005D08">
      <w:start w:val="1"/>
      <w:numFmt w:val="bullet"/>
      <w:lvlText w:val=""/>
      <w:lvlJc w:val="left"/>
      <w:pPr>
        <w:ind w:left="720" w:hanging="180"/>
      </w:pPr>
      <w:rPr>
        <w:rFonts w:ascii="Symbol" w:hAnsi="Symbol" w:hint="default"/>
      </w:rPr>
    </w:lvl>
    <w:lvl w:ilvl="1" w:tplc="95A69D70">
      <w:numFmt w:val="decimal"/>
      <w:lvlText w:val=""/>
      <w:lvlJc w:val="left"/>
    </w:lvl>
    <w:lvl w:ilvl="2" w:tplc="65A2714C">
      <w:numFmt w:val="decimal"/>
      <w:lvlText w:val=""/>
      <w:lvlJc w:val="left"/>
    </w:lvl>
    <w:lvl w:ilvl="3" w:tplc="15583A6E">
      <w:numFmt w:val="decimal"/>
      <w:lvlText w:val=""/>
      <w:lvlJc w:val="left"/>
    </w:lvl>
    <w:lvl w:ilvl="4" w:tplc="E1CE4EA4">
      <w:numFmt w:val="decimal"/>
      <w:lvlText w:val=""/>
      <w:lvlJc w:val="left"/>
    </w:lvl>
    <w:lvl w:ilvl="5" w:tplc="41B2B08C">
      <w:numFmt w:val="decimal"/>
      <w:lvlText w:val=""/>
      <w:lvlJc w:val="left"/>
    </w:lvl>
    <w:lvl w:ilvl="6" w:tplc="96782134">
      <w:numFmt w:val="decimal"/>
      <w:lvlText w:val=""/>
      <w:lvlJc w:val="left"/>
    </w:lvl>
    <w:lvl w:ilvl="7" w:tplc="5370789E">
      <w:numFmt w:val="decimal"/>
      <w:lvlText w:val=""/>
      <w:lvlJc w:val="left"/>
    </w:lvl>
    <w:lvl w:ilvl="8" w:tplc="CB306EDE">
      <w:numFmt w:val="decimal"/>
      <w:lvlText w:val=""/>
      <w:lvlJc w:val="left"/>
    </w:lvl>
  </w:abstractNum>
  <w:abstractNum w:abstractNumId="1319" w15:restartNumberingAfterBreak="0">
    <w:nsid w:val="653B592A"/>
    <w:multiLevelType w:val="hybridMultilevel"/>
    <w:tmpl w:val="E39C5374"/>
    <w:lvl w:ilvl="0" w:tplc="1A209D48">
      <w:start w:val="1"/>
      <w:numFmt w:val="bullet"/>
      <w:lvlText w:val=""/>
      <w:lvlJc w:val="left"/>
      <w:pPr>
        <w:ind w:left="720" w:hanging="180"/>
      </w:pPr>
      <w:rPr>
        <w:rFonts w:ascii="Symbol" w:hAnsi="Symbol" w:hint="default"/>
      </w:rPr>
    </w:lvl>
    <w:lvl w:ilvl="1" w:tplc="635C27C4">
      <w:numFmt w:val="decimal"/>
      <w:lvlText w:val=""/>
      <w:lvlJc w:val="left"/>
    </w:lvl>
    <w:lvl w:ilvl="2" w:tplc="DB3C30DE">
      <w:numFmt w:val="decimal"/>
      <w:lvlText w:val=""/>
      <w:lvlJc w:val="left"/>
    </w:lvl>
    <w:lvl w:ilvl="3" w:tplc="41AE19EE">
      <w:numFmt w:val="decimal"/>
      <w:lvlText w:val=""/>
      <w:lvlJc w:val="left"/>
    </w:lvl>
    <w:lvl w:ilvl="4" w:tplc="0CB82A00">
      <w:numFmt w:val="decimal"/>
      <w:lvlText w:val=""/>
      <w:lvlJc w:val="left"/>
    </w:lvl>
    <w:lvl w:ilvl="5" w:tplc="96B426BC">
      <w:numFmt w:val="decimal"/>
      <w:lvlText w:val=""/>
      <w:lvlJc w:val="left"/>
    </w:lvl>
    <w:lvl w:ilvl="6" w:tplc="632ABB72">
      <w:numFmt w:val="decimal"/>
      <w:lvlText w:val=""/>
      <w:lvlJc w:val="left"/>
    </w:lvl>
    <w:lvl w:ilvl="7" w:tplc="7AA8FBF2">
      <w:numFmt w:val="decimal"/>
      <w:lvlText w:val=""/>
      <w:lvlJc w:val="left"/>
    </w:lvl>
    <w:lvl w:ilvl="8" w:tplc="23A03866">
      <w:numFmt w:val="decimal"/>
      <w:lvlText w:val=""/>
      <w:lvlJc w:val="left"/>
    </w:lvl>
  </w:abstractNum>
  <w:abstractNum w:abstractNumId="1320" w15:restartNumberingAfterBreak="0">
    <w:nsid w:val="653B5F4E"/>
    <w:multiLevelType w:val="hybridMultilevel"/>
    <w:tmpl w:val="D77AF672"/>
    <w:lvl w:ilvl="0" w:tplc="F77CE0E4">
      <w:start w:val="1"/>
      <w:numFmt w:val="bullet"/>
      <w:lvlText w:val=""/>
      <w:lvlJc w:val="left"/>
      <w:pPr>
        <w:ind w:left="720" w:hanging="180"/>
      </w:pPr>
      <w:rPr>
        <w:rFonts w:ascii="Symbol" w:hAnsi="Symbol" w:hint="default"/>
      </w:rPr>
    </w:lvl>
    <w:lvl w:ilvl="1" w:tplc="2B745FFE">
      <w:numFmt w:val="decimal"/>
      <w:lvlText w:val=""/>
      <w:lvlJc w:val="left"/>
    </w:lvl>
    <w:lvl w:ilvl="2" w:tplc="161CA71A">
      <w:numFmt w:val="decimal"/>
      <w:lvlText w:val=""/>
      <w:lvlJc w:val="left"/>
    </w:lvl>
    <w:lvl w:ilvl="3" w:tplc="0430FB86">
      <w:numFmt w:val="decimal"/>
      <w:lvlText w:val=""/>
      <w:lvlJc w:val="left"/>
    </w:lvl>
    <w:lvl w:ilvl="4" w:tplc="0CB6F1BE">
      <w:numFmt w:val="decimal"/>
      <w:lvlText w:val=""/>
      <w:lvlJc w:val="left"/>
    </w:lvl>
    <w:lvl w:ilvl="5" w:tplc="98F0C136">
      <w:numFmt w:val="decimal"/>
      <w:lvlText w:val=""/>
      <w:lvlJc w:val="left"/>
    </w:lvl>
    <w:lvl w:ilvl="6" w:tplc="ABA2EFB2">
      <w:numFmt w:val="decimal"/>
      <w:lvlText w:val=""/>
      <w:lvlJc w:val="left"/>
    </w:lvl>
    <w:lvl w:ilvl="7" w:tplc="0700EE7C">
      <w:numFmt w:val="decimal"/>
      <w:lvlText w:val=""/>
      <w:lvlJc w:val="left"/>
    </w:lvl>
    <w:lvl w:ilvl="8" w:tplc="930CB362">
      <w:numFmt w:val="decimal"/>
      <w:lvlText w:val=""/>
      <w:lvlJc w:val="left"/>
    </w:lvl>
  </w:abstractNum>
  <w:abstractNum w:abstractNumId="1321" w15:restartNumberingAfterBreak="0">
    <w:nsid w:val="65497F72"/>
    <w:multiLevelType w:val="hybridMultilevel"/>
    <w:tmpl w:val="F57E69DC"/>
    <w:lvl w:ilvl="0" w:tplc="A41E9F06">
      <w:start w:val="1"/>
      <w:numFmt w:val="bullet"/>
      <w:lvlText w:val=""/>
      <w:lvlJc w:val="left"/>
      <w:pPr>
        <w:ind w:left="720" w:hanging="180"/>
      </w:pPr>
      <w:rPr>
        <w:rFonts w:ascii="Symbol" w:hAnsi="Symbol" w:hint="default"/>
      </w:rPr>
    </w:lvl>
    <w:lvl w:ilvl="1" w:tplc="46905D3E">
      <w:numFmt w:val="decimal"/>
      <w:lvlText w:val=""/>
      <w:lvlJc w:val="left"/>
    </w:lvl>
    <w:lvl w:ilvl="2" w:tplc="667E4BF6">
      <w:numFmt w:val="decimal"/>
      <w:lvlText w:val=""/>
      <w:lvlJc w:val="left"/>
    </w:lvl>
    <w:lvl w:ilvl="3" w:tplc="AEC8AC68">
      <w:numFmt w:val="decimal"/>
      <w:lvlText w:val=""/>
      <w:lvlJc w:val="left"/>
    </w:lvl>
    <w:lvl w:ilvl="4" w:tplc="B28A0032">
      <w:numFmt w:val="decimal"/>
      <w:lvlText w:val=""/>
      <w:lvlJc w:val="left"/>
    </w:lvl>
    <w:lvl w:ilvl="5" w:tplc="C84C9D44">
      <w:numFmt w:val="decimal"/>
      <w:lvlText w:val=""/>
      <w:lvlJc w:val="left"/>
    </w:lvl>
    <w:lvl w:ilvl="6" w:tplc="D7766168">
      <w:numFmt w:val="decimal"/>
      <w:lvlText w:val=""/>
      <w:lvlJc w:val="left"/>
    </w:lvl>
    <w:lvl w:ilvl="7" w:tplc="6242F654">
      <w:numFmt w:val="decimal"/>
      <w:lvlText w:val=""/>
      <w:lvlJc w:val="left"/>
    </w:lvl>
    <w:lvl w:ilvl="8" w:tplc="AFCC98B4">
      <w:numFmt w:val="decimal"/>
      <w:lvlText w:val=""/>
      <w:lvlJc w:val="left"/>
    </w:lvl>
  </w:abstractNum>
  <w:abstractNum w:abstractNumId="1322" w15:restartNumberingAfterBreak="0">
    <w:nsid w:val="65BC1F00"/>
    <w:multiLevelType w:val="hybridMultilevel"/>
    <w:tmpl w:val="D7E6299C"/>
    <w:lvl w:ilvl="0" w:tplc="C5D62CDC">
      <w:start w:val="1"/>
      <w:numFmt w:val="bullet"/>
      <w:lvlText w:val=""/>
      <w:lvlJc w:val="left"/>
      <w:pPr>
        <w:ind w:left="720" w:hanging="180"/>
      </w:pPr>
      <w:rPr>
        <w:rFonts w:ascii="Symbol" w:hAnsi="Symbol" w:hint="default"/>
      </w:rPr>
    </w:lvl>
    <w:lvl w:ilvl="1" w:tplc="533CB780">
      <w:numFmt w:val="decimal"/>
      <w:lvlText w:val=""/>
      <w:lvlJc w:val="left"/>
    </w:lvl>
    <w:lvl w:ilvl="2" w:tplc="24FC3084">
      <w:numFmt w:val="decimal"/>
      <w:lvlText w:val=""/>
      <w:lvlJc w:val="left"/>
    </w:lvl>
    <w:lvl w:ilvl="3" w:tplc="BBD8D98C">
      <w:numFmt w:val="decimal"/>
      <w:lvlText w:val=""/>
      <w:lvlJc w:val="left"/>
    </w:lvl>
    <w:lvl w:ilvl="4" w:tplc="74B0ED52">
      <w:numFmt w:val="decimal"/>
      <w:lvlText w:val=""/>
      <w:lvlJc w:val="left"/>
    </w:lvl>
    <w:lvl w:ilvl="5" w:tplc="F33E5928">
      <w:numFmt w:val="decimal"/>
      <w:lvlText w:val=""/>
      <w:lvlJc w:val="left"/>
    </w:lvl>
    <w:lvl w:ilvl="6" w:tplc="B5FC1C6E">
      <w:numFmt w:val="decimal"/>
      <w:lvlText w:val=""/>
      <w:lvlJc w:val="left"/>
    </w:lvl>
    <w:lvl w:ilvl="7" w:tplc="26005596">
      <w:numFmt w:val="decimal"/>
      <w:lvlText w:val=""/>
      <w:lvlJc w:val="left"/>
    </w:lvl>
    <w:lvl w:ilvl="8" w:tplc="BCEE7036">
      <w:numFmt w:val="decimal"/>
      <w:lvlText w:val=""/>
      <w:lvlJc w:val="left"/>
    </w:lvl>
  </w:abstractNum>
  <w:abstractNum w:abstractNumId="1323" w15:restartNumberingAfterBreak="0">
    <w:nsid w:val="65BE7D8F"/>
    <w:multiLevelType w:val="hybridMultilevel"/>
    <w:tmpl w:val="60B6A26A"/>
    <w:lvl w:ilvl="0" w:tplc="6D0CFE76">
      <w:start w:val="1"/>
      <w:numFmt w:val="bullet"/>
      <w:lvlText w:val=""/>
      <w:lvlJc w:val="left"/>
      <w:pPr>
        <w:ind w:left="720" w:hanging="180"/>
      </w:pPr>
      <w:rPr>
        <w:rFonts w:ascii="Symbol" w:hAnsi="Symbol" w:hint="default"/>
      </w:rPr>
    </w:lvl>
    <w:lvl w:ilvl="1" w:tplc="AE50BD34">
      <w:numFmt w:val="decimal"/>
      <w:lvlText w:val=""/>
      <w:lvlJc w:val="left"/>
    </w:lvl>
    <w:lvl w:ilvl="2" w:tplc="034CB640">
      <w:numFmt w:val="decimal"/>
      <w:lvlText w:val=""/>
      <w:lvlJc w:val="left"/>
    </w:lvl>
    <w:lvl w:ilvl="3" w:tplc="4C12A7A6">
      <w:numFmt w:val="decimal"/>
      <w:lvlText w:val=""/>
      <w:lvlJc w:val="left"/>
    </w:lvl>
    <w:lvl w:ilvl="4" w:tplc="2E94347C">
      <w:numFmt w:val="decimal"/>
      <w:lvlText w:val=""/>
      <w:lvlJc w:val="left"/>
    </w:lvl>
    <w:lvl w:ilvl="5" w:tplc="D2163E14">
      <w:numFmt w:val="decimal"/>
      <w:lvlText w:val=""/>
      <w:lvlJc w:val="left"/>
    </w:lvl>
    <w:lvl w:ilvl="6" w:tplc="ED0C6FBC">
      <w:numFmt w:val="decimal"/>
      <w:lvlText w:val=""/>
      <w:lvlJc w:val="left"/>
    </w:lvl>
    <w:lvl w:ilvl="7" w:tplc="0AC48484">
      <w:numFmt w:val="decimal"/>
      <w:lvlText w:val=""/>
      <w:lvlJc w:val="left"/>
    </w:lvl>
    <w:lvl w:ilvl="8" w:tplc="5F607D2A">
      <w:numFmt w:val="decimal"/>
      <w:lvlText w:val=""/>
      <w:lvlJc w:val="left"/>
    </w:lvl>
  </w:abstractNum>
  <w:abstractNum w:abstractNumId="1324" w15:restartNumberingAfterBreak="0">
    <w:nsid w:val="65CC2304"/>
    <w:multiLevelType w:val="hybridMultilevel"/>
    <w:tmpl w:val="0E646E98"/>
    <w:lvl w:ilvl="0" w:tplc="43C2B7D6">
      <w:start w:val="1"/>
      <w:numFmt w:val="bullet"/>
      <w:lvlText w:val=""/>
      <w:lvlJc w:val="left"/>
      <w:pPr>
        <w:ind w:left="720" w:hanging="180"/>
      </w:pPr>
      <w:rPr>
        <w:rFonts w:ascii="Symbol" w:hAnsi="Symbol" w:hint="default"/>
      </w:rPr>
    </w:lvl>
    <w:lvl w:ilvl="1" w:tplc="039E2F74">
      <w:numFmt w:val="decimal"/>
      <w:lvlText w:val=""/>
      <w:lvlJc w:val="left"/>
    </w:lvl>
    <w:lvl w:ilvl="2" w:tplc="D6ECB82A">
      <w:numFmt w:val="decimal"/>
      <w:lvlText w:val=""/>
      <w:lvlJc w:val="left"/>
    </w:lvl>
    <w:lvl w:ilvl="3" w:tplc="CB5AB1FE">
      <w:numFmt w:val="decimal"/>
      <w:lvlText w:val=""/>
      <w:lvlJc w:val="left"/>
    </w:lvl>
    <w:lvl w:ilvl="4" w:tplc="ED349D72">
      <w:numFmt w:val="decimal"/>
      <w:lvlText w:val=""/>
      <w:lvlJc w:val="left"/>
    </w:lvl>
    <w:lvl w:ilvl="5" w:tplc="9A727C3A">
      <w:numFmt w:val="decimal"/>
      <w:lvlText w:val=""/>
      <w:lvlJc w:val="left"/>
    </w:lvl>
    <w:lvl w:ilvl="6" w:tplc="58483D38">
      <w:numFmt w:val="decimal"/>
      <w:lvlText w:val=""/>
      <w:lvlJc w:val="left"/>
    </w:lvl>
    <w:lvl w:ilvl="7" w:tplc="E8465F28">
      <w:numFmt w:val="decimal"/>
      <w:lvlText w:val=""/>
      <w:lvlJc w:val="left"/>
    </w:lvl>
    <w:lvl w:ilvl="8" w:tplc="06A2D69A">
      <w:numFmt w:val="decimal"/>
      <w:lvlText w:val=""/>
      <w:lvlJc w:val="left"/>
    </w:lvl>
  </w:abstractNum>
  <w:abstractNum w:abstractNumId="1325" w15:restartNumberingAfterBreak="0">
    <w:nsid w:val="662D28CB"/>
    <w:multiLevelType w:val="hybridMultilevel"/>
    <w:tmpl w:val="387AFC6E"/>
    <w:lvl w:ilvl="0" w:tplc="930EF80E">
      <w:start w:val="1"/>
      <w:numFmt w:val="bullet"/>
      <w:lvlText w:val=""/>
      <w:lvlJc w:val="left"/>
      <w:pPr>
        <w:ind w:left="720" w:hanging="180"/>
      </w:pPr>
      <w:rPr>
        <w:rFonts w:ascii="Symbol" w:hAnsi="Symbol" w:hint="default"/>
      </w:rPr>
    </w:lvl>
    <w:lvl w:ilvl="1" w:tplc="C9403556">
      <w:numFmt w:val="decimal"/>
      <w:lvlText w:val=""/>
      <w:lvlJc w:val="left"/>
    </w:lvl>
    <w:lvl w:ilvl="2" w:tplc="AC442890">
      <w:numFmt w:val="decimal"/>
      <w:lvlText w:val=""/>
      <w:lvlJc w:val="left"/>
    </w:lvl>
    <w:lvl w:ilvl="3" w:tplc="6FB27284">
      <w:numFmt w:val="decimal"/>
      <w:lvlText w:val=""/>
      <w:lvlJc w:val="left"/>
    </w:lvl>
    <w:lvl w:ilvl="4" w:tplc="BBBA6F60">
      <w:numFmt w:val="decimal"/>
      <w:lvlText w:val=""/>
      <w:lvlJc w:val="left"/>
    </w:lvl>
    <w:lvl w:ilvl="5" w:tplc="597ECD2A">
      <w:numFmt w:val="decimal"/>
      <w:lvlText w:val=""/>
      <w:lvlJc w:val="left"/>
    </w:lvl>
    <w:lvl w:ilvl="6" w:tplc="39388D50">
      <w:numFmt w:val="decimal"/>
      <w:lvlText w:val=""/>
      <w:lvlJc w:val="left"/>
    </w:lvl>
    <w:lvl w:ilvl="7" w:tplc="B7F0F51A">
      <w:numFmt w:val="decimal"/>
      <w:lvlText w:val=""/>
      <w:lvlJc w:val="left"/>
    </w:lvl>
    <w:lvl w:ilvl="8" w:tplc="82AC9C94">
      <w:numFmt w:val="decimal"/>
      <w:lvlText w:val=""/>
      <w:lvlJc w:val="left"/>
    </w:lvl>
  </w:abstractNum>
  <w:abstractNum w:abstractNumId="1326" w15:restartNumberingAfterBreak="0">
    <w:nsid w:val="663B20CF"/>
    <w:multiLevelType w:val="hybridMultilevel"/>
    <w:tmpl w:val="B01EFF8C"/>
    <w:lvl w:ilvl="0" w:tplc="47C24AFA">
      <w:start w:val="1"/>
      <w:numFmt w:val="bullet"/>
      <w:lvlText w:val=""/>
      <w:lvlJc w:val="left"/>
      <w:pPr>
        <w:ind w:left="720" w:hanging="180"/>
      </w:pPr>
      <w:rPr>
        <w:rFonts w:ascii="Symbol" w:hAnsi="Symbol" w:hint="default"/>
      </w:rPr>
    </w:lvl>
    <w:lvl w:ilvl="1" w:tplc="F1D8AFDA">
      <w:numFmt w:val="decimal"/>
      <w:lvlText w:val=""/>
      <w:lvlJc w:val="left"/>
    </w:lvl>
    <w:lvl w:ilvl="2" w:tplc="BFD02B48">
      <w:numFmt w:val="decimal"/>
      <w:lvlText w:val=""/>
      <w:lvlJc w:val="left"/>
    </w:lvl>
    <w:lvl w:ilvl="3" w:tplc="CC08D42E">
      <w:numFmt w:val="decimal"/>
      <w:lvlText w:val=""/>
      <w:lvlJc w:val="left"/>
    </w:lvl>
    <w:lvl w:ilvl="4" w:tplc="9D983822">
      <w:numFmt w:val="decimal"/>
      <w:lvlText w:val=""/>
      <w:lvlJc w:val="left"/>
    </w:lvl>
    <w:lvl w:ilvl="5" w:tplc="BCB864CA">
      <w:numFmt w:val="decimal"/>
      <w:lvlText w:val=""/>
      <w:lvlJc w:val="left"/>
    </w:lvl>
    <w:lvl w:ilvl="6" w:tplc="077EBA54">
      <w:numFmt w:val="decimal"/>
      <w:lvlText w:val=""/>
      <w:lvlJc w:val="left"/>
    </w:lvl>
    <w:lvl w:ilvl="7" w:tplc="B8BCAF34">
      <w:numFmt w:val="decimal"/>
      <w:lvlText w:val=""/>
      <w:lvlJc w:val="left"/>
    </w:lvl>
    <w:lvl w:ilvl="8" w:tplc="EA9E5372">
      <w:numFmt w:val="decimal"/>
      <w:lvlText w:val=""/>
      <w:lvlJc w:val="left"/>
    </w:lvl>
  </w:abstractNum>
  <w:abstractNum w:abstractNumId="1327" w15:restartNumberingAfterBreak="0">
    <w:nsid w:val="66481989"/>
    <w:multiLevelType w:val="hybridMultilevel"/>
    <w:tmpl w:val="A6A20726"/>
    <w:lvl w:ilvl="0" w:tplc="BDE8DD6E">
      <w:start w:val="1"/>
      <w:numFmt w:val="bullet"/>
      <w:lvlText w:val=""/>
      <w:lvlJc w:val="left"/>
      <w:pPr>
        <w:ind w:left="720" w:hanging="180"/>
      </w:pPr>
      <w:rPr>
        <w:rFonts w:ascii="Symbol" w:hAnsi="Symbol" w:hint="default"/>
      </w:rPr>
    </w:lvl>
    <w:lvl w:ilvl="1" w:tplc="6E485634">
      <w:numFmt w:val="decimal"/>
      <w:lvlText w:val=""/>
      <w:lvlJc w:val="left"/>
    </w:lvl>
    <w:lvl w:ilvl="2" w:tplc="89DAF180">
      <w:numFmt w:val="decimal"/>
      <w:lvlText w:val=""/>
      <w:lvlJc w:val="left"/>
    </w:lvl>
    <w:lvl w:ilvl="3" w:tplc="42D69692">
      <w:numFmt w:val="decimal"/>
      <w:lvlText w:val=""/>
      <w:lvlJc w:val="left"/>
    </w:lvl>
    <w:lvl w:ilvl="4" w:tplc="EFDA331C">
      <w:numFmt w:val="decimal"/>
      <w:lvlText w:val=""/>
      <w:lvlJc w:val="left"/>
    </w:lvl>
    <w:lvl w:ilvl="5" w:tplc="0A641940">
      <w:numFmt w:val="decimal"/>
      <w:lvlText w:val=""/>
      <w:lvlJc w:val="left"/>
    </w:lvl>
    <w:lvl w:ilvl="6" w:tplc="263E5B80">
      <w:numFmt w:val="decimal"/>
      <w:lvlText w:val=""/>
      <w:lvlJc w:val="left"/>
    </w:lvl>
    <w:lvl w:ilvl="7" w:tplc="BA78465E">
      <w:numFmt w:val="decimal"/>
      <w:lvlText w:val=""/>
      <w:lvlJc w:val="left"/>
    </w:lvl>
    <w:lvl w:ilvl="8" w:tplc="DA7204FC">
      <w:numFmt w:val="decimal"/>
      <w:lvlText w:val=""/>
      <w:lvlJc w:val="left"/>
    </w:lvl>
  </w:abstractNum>
  <w:abstractNum w:abstractNumId="1328" w15:restartNumberingAfterBreak="0">
    <w:nsid w:val="664E0DE7"/>
    <w:multiLevelType w:val="hybridMultilevel"/>
    <w:tmpl w:val="3504411C"/>
    <w:lvl w:ilvl="0" w:tplc="2348F0EE">
      <w:start w:val="1"/>
      <w:numFmt w:val="bullet"/>
      <w:lvlText w:val=""/>
      <w:lvlJc w:val="left"/>
      <w:pPr>
        <w:ind w:left="720" w:hanging="180"/>
      </w:pPr>
      <w:rPr>
        <w:rFonts w:ascii="Symbol" w:hAnsi="Symbol" w:hint="default"/>
      </w:rPr>
    </w:lvl>
    <w:lvl w:ilvl="1" w:tplc="98266434">
      <w:numFmt w:val="decimal"/>
      <w:lvlText w:val=""/>
      <w:lvlJc w:val="left"/>
    </w:lvl>
    <w:lvl w:ilvl="2" w:tplc="AF5CECF4">
      <w:numFmt w:val="decimal"/>
      <w:lvlText w:val=""/>
      <w:lvlJc w:val="left"/>
    </w:lvl>
    <w:lvl w:ilvl="3" w:tplc="11DEF442">
      <w:numFmt w:val="decimal"/>
      <w:lvlText w:val=""/>
      <w:lvlJc w:val="left"/>
    </w:lvl>
    <w:lvl w:ilvl="4" w:tplc="2084AF6A">
      <w:numFmt w:val="decimal"/>
      <w:lvlText w:val=""/>
      <w:lvlJc w:val="left"/>
    </w:lvl>
    <w:lvl w:ilvl="5" w:tplc="E982A78C">
      <w:numFmt w:val="decimal"/>
      <w:lvlText w:val=""/>
      <w:lvlJc w:val="left"/>
    </w:lvl>
    <w:lvl w:ilvl="6" w:tplc="43848208">
      <w:numFmt w:val="decimal"/>
      <w:lvlText w:val=""/>
      <w:lvlJc w:val="left"/>
    </w:lvl>
    <w:lvl w:ilvl="7" w:tplc="DF14B1B0">
      <w:numFmt w:val="decimal"/>
      <w:lvlText w:val=""/>
      <w:lvlJc w:val="left"/>
    </w:lvl>
    <w:lvl w:ilvl="8" w:tplc="192C32D2">
      <w:numFmt w:val="decimal"/>
      <w:lvlText w:val=""/>
      <w:lvlJc w:val="left"/>
    </w:lvl>
  </w:abstractNum>
  <w:abstractNum w:abstractNumId="1329" w15:restartNumberingAfterBreak="0">
    <w:nsid w:val="665637F1"/>
    <w:multiLevelType w:val="hybridMultilevel"/>
    <w:tmpl w:val="B1AC8FDA"/>
    <w:lvl w:ilvl="0" w:tplc="0B843808">
      <w:start w:val="1"/>
      <w:numFmt w:val="bullet"/>
      <w:lvlText w:val=""/>
      <w:lvlJc w:val="left"/>
      <w:pPr>
        <w:ind w:left="720" w:hanging="180"/>
      </w:pPr>
      <w:rPr>
        <w:rFonts w:ascii="Symbol" w:hAnsi="Symbol" w:hint="default"/>
      </w:rPr>
    </w:lvl>
    <w:lvl w:ilvl="1" w:tplc="ED34A660">
      <w:numFmt w:val="decimal"/>
      <w:lvlText w:val=""/>
      <w:lvlJc w:val="left"/>
    </w:lvl>
    <w:lvl w:ilvl="2" w:tplc="2A0EA018">
      <w:numFmt w:val="decimal"/>
      <w:lvlText w:val=""/>
      <w:lvlJc w:val="left"/>
    </w:lvl>
    <w:lvl w:ilvl="3" w:tplc="327636A4">
      <w:numFmt w:val="decimal"/>
      <w:lvlText w:val=""/>
      <w:lvlJc w:val="left"/>
    </w:lvl>
    <w:lvl w:ilvl="4" w:tplc="A546F116">
      <w:numFmt w:val="decimal"/>
      <w:lvlText w:val=""/>
      <w:lvlJc w:val="left"/>
    </w:lvl>
    <w:lvl w:ilvl="5" w:tplc="8D2E96CE">
      <w:numFmt w:val="decimal"/>
      <w:lvlText w:val=""/>
      <w:lvlJc w:val="left"/>
    </w:lvl>
    <w:lvl w:ilvl="6" w:tplc="075EF0DA">
      <w:numFmt w:val="decimal"/>
      <w:lvlText w:val=""/>
      <w:lvlJc w:val="left"/>
    </w:lvl>
    <w:lvl w:ilvl="7" w:tplc="A356892E">
      <w:numFmt w:val="decimal"/>
      <w:lvlText w:val=""/>
      <w:lvlJc w:val="left"/>
    </w:lvl>
    <w:lvl w:ilvl="8" w:tplc="4D78535C">
      <w:numFmt w:val="decimal"/>
      <w:lvlText w:val=""/>
      <w:lvlJc w:val="left"/>
    </w:lvl>
  </w:abstractNum>
  <w:abstractNum w:abstractNumId="1330" w15:restartNumberingAfterBreak="0">
    <w:nsid w:val="66896E46"/>
    <w:multiLevelType w:val="hybridMultilevel"/>
    <w:tmpl w:val="7422AF54"/>
    <w:lvl w:ilvl="0" w:tplc="9654B80C">
      <w:numFmt w:val="decimal"/>
      <w:lvlText w:val=""/>
      <w:lvlJc w:val="left"/>
    </w:lvl>
    <w:lvl w:ilvl="1" w:tplc="579427AC">
      <w:start w:val="1"/>
      <w:numFmt w:val="bullet"/>
      <w:lvlText w:val=""/>
      <w:lvlJc w:val="left"/>
      <w:pPr>
        <w:ind w:left="1440" w:hanging="180"/>
      </w:pPr>
      <w:rPr>
        <w:rFonts w:ascii="Symbol" w:hAnsi="Symbol" w:hint="default"/>
      </w:rPr>
    </w:lvl>
    <w:lvl w:ilvl="2" w:tplc="3B244780">
      <w:numFmt w:val="decimal"/>
      <w:lvlText w:val=""/>
      <w:lvlJc w:val="left"/>
    </w:lvl>
    <w:lvl w:ilvl="3" w:tplc="8B0CF21C">
      <w:numFmt w:val="decimal"/>
      <w:lvlText w:val=""/>
      <w:lvlJc w:val="left"/>
    </w:lvl>
    <w:lvl w:ilvl="4" w:tplc="ACAE34C0">
      <w:numFmt w:val="decimal"/>
      <w:lvlText w:val=""/>
      <w:lvlJc w:val="left"/>
    </w:lvl>
    <w:lvl w:ilvl="5" w:tplc="0744220E">
      <w:numFmt w:val="decimal"/>
      <w:lvlText w:val=""/>
      <w:lvlJc w:val="left"/>
    </w:lvl>
    <w:lvl w:ilvl="6" w:tplc="F65CC75C">
      <w:numFmt w:val="decimal"/>
      <w:lvlText w:val=""/>
      <w:lvlJc w:val="left"/>
    </w:lvl>
    <w:lvl w:ilvl="7" w:tplc="CEDEC9C2">
      <w:numFmt w:val="decimal"/>
      <w:lvlText w:val=""/>
      <w:lvlJc w:val="left"/>
    </w:lvl>
    <w:lvl w:ilvl="8" w:tplc="9C98F77A">
      <w:numFmt w:val="decimal"/>
      <w:lvlText w:val=""/>
      <w:lvlJc w:val="left"/>
    </w:lvl>
  </w:abstractNum>
  <w:abstractNum w:abstractNumId="1331" w15:restartNumberingAfterBreak="0">
    <w:nsid w:val="669C4367"/>
    <w:multiLevelType w:val="hybridMultilevel"/>
    <w:tmpl w:val="FDF68B66"/>
    <w:lvl w:ilvl="0" w:tplc="5E461266">
      <w:start w:val="1"/>
      <w:numFmt w:val="bullet"/>
      <w:lvlText w:val=""/>
      <w:lvlJc w:val="left"/>
      <w:pPr>
        <w:ind w:left="720" w:hanging="180"/>
      </w:pPr>
      <w:rPr>
        <w:rFonts w:ascii="Symbol" w:hAnsi="Symbol" w:hint="default"/>
      </w:rPr>
    </w:lvl>
    <w:lvl w:ilvl="1" w:tplc="4F3631F8">
      <w:numFmt w:val="decimal"/>
      <w:lvlText w:val=""/>
      <w:lvlJc w:val="left"/>
    </w:lvl>
    <w:lvl w:ilvl="2" w:tplc="671CFA6E">
      <w:numFmt w:val="decimal"/>
      <w:lvlText w:val=""/>
      <w:lvlJc w:val="left"/>
    </w:lvl>
    <w:lvl w:ilvl="3" w:tplc="1806E538">
      <w:numFmt w:val="decimal"/>
      <w:lvlText w:val=""/>
      <w:lvlJc w:val="left"/>
    </w:lvl>
    <w:lvl w:ilvl="4" w:tplc="338849BC">
      <w:numFmt w:val="decimal"/>
      <w:lvlText w:val=""/>
      <w:lvlJc w:val="left"/>
    </w:lvl>
    <w:lvl w:ilvl="5" w:tplc="3A3C8498">
      <w:numFmt w:val="decimal"/>
      <w:lvlText w:val=""/>
      <w:lvlJc w:val="left"/>
    </w:lvl>
    <w:lvl w:ilvl="6" w:tplc="45A4F5CC">
      <w:numFmt w:val="decimal"/>
      <w:lvlText w:val=""/>
      <w:lvlJc w:val="left"/>
    </w:lvl>
    <w:lvl w:ilvl="7" w:tplc="4C6A1318">
      <w:numFmt w:val="decimal"/>
      <w:lvlText w:val=""/>
      <w:lvlJc w:val="left"/>
    </w:lvl>
    <w:lvl w:ilvl="8" w:tplc="C8D0563E">
      <w:numFmt w:val="decimal"/>
      <w:lvlText w:val=""/>
      <w:lvlJc w:val="left"/>
    </w:lvl>
  </w:abstractNum>
  <w:abstractNum w:abstractNumId="1332" w15:restartNumberingAfterBreak="0">
    <w:nsid w:val="66B91CFA"/>
    <w:multiLevelType w:val="hybridMultilevel"/>
    <w:tmpl w:val="C172BF72"/>
    <w:lvl w:ilvl="0" w:tplc="0ABC2232">
      <w:start w:val="1"/>
      <w:numFmt w:val="bullet"/>
      <w:lvlText w:val=""/>
      <w:lvlJc w:val="left"/>
      <w:pPr>
        <w:ind w:left="720" w:hanging="180"/>
      </w:pPr>
      <w:rPr>
        <w:rFonts w:ascii="Symbol" w:hAnsi="Symbol" w:hint="default"/>
      </w:rPr>
    </w:lvl>
    <w:lvl w:ilvl="1" w:tplc="54C0BF9A">
      <w:numFmt w:val="decimal"/>
      <w:lvlText w:val=""/>
      <w:lvlJc w:val="left"/>
    </w:lvl>
    <w:lvl w:ilvl="2" w:tplc="29A27068">
      <w:numFmt w:val="decimal"/>
      <w:lvlText w:val=""/>
      <w:lvlJc w:val="left"/>
    </w:lvl>
    <w:lvl w:ilvl="3" w:tplc="C5F0131A">
      <w:numFmt w:val="decimal"/>
      <w:lvlText w:val=""/>
      <w:lvlJc w:val="left"/>
    </w:lvl>
    <w:lvl w:ilvl="4" w:tplc="45507A4E">
      <w:numFmt w:val="decimal"/>
      <w:lvlText w:val=""/>
      <w:lvlJc w:val="left"/>
    </w:lvl>
    <w:lvl w:ilvl="5" w:tplc="6B5E7D4C">
      <w:numFmt w:val="decimal"/>
      <w:lvlText w:val=""/>
      <w:lvlJc w:val="left"/>
    </w:lvl>
    <w:lvl w:ilvl="6" w:tplc="6C78D3CA">
      <w:numFmt w:val="decimal"/>
      <w:lvlText w:val=""/>
      <w:lvlJc w:val="left"/>
    </w:lvl>
    <w:lvl w:ilvl="7" w:tplc="A07E6F38">
      <w:numFmt w:val="decimal"/>
      <w:lvlText w:val=""/>
      <w:lvlJc w:val="left"/>
    </w:lvl>
    <w:lvl w:ilvl="8" w:tplc="206AE026">
      <w:numFmt w:val="decimal"/>
      <w:lvlText w:val=""/>
      <w:lvlJc w:val="left"/>
    </w:lvl>
  </w:abstractNum>
  <w:abstractNum w:abstractNumId="1333" w15:restartNumberingAfterBreak="0">
    <w:nsid w:val="66C4420D"/>
    <w:multiLevelType w:val="hybridMultilevel"/>
    <w:tmpl w:val="5D1A47A0"/>
    <w:lvl w:ilvl="0" w:tplc="1282894E">
      <w:start w:val="1"/>
      <w:numFmt w:val="bullet"/>
      <w:lvlText w:val=""/>
      <w:lvlJc w:val="left"/>
      <w:pPr>
        <w:ind w:left="720" w:hanging="180"/>
      </w:pPr>
      <w:rPr>
        <w:rFonts w:ascii="Symbol" w:hAnsi="Symbol" w:hint="default"/>
      </w:rPr>
    </w:lvl>
    <w:lvl w:ilvl="1" w:tplc="F98048A6">
      <w:numFmt w:val="decimal"/>
      <w:lvlText w:val=""/>
      <w:lvlJc w:val="left"/>
    </w:lvl>
    <w:lvl w:ilvl="2" w:tplc="58D69D84">
      <w:numFmt w:val="decimal"/>
      <w:lvlText w:val=""/>
      <w:lvlJc w:val="left"/>
    </w:lvl>
    <w:lvl w:ilvl="3" w:tplc="775209CA">
      <w:numFmt w:val="decimal"/>
      <w:lvlText w:val=""/>
      <w:lvlJc w:val="left"/>
    </w:lvl>
    <w:lvl w:ilvl="4" w:tplc="0FE88A1C">
      <w:numFmt w:val="decimal"/>
      <w:lvlText w:val=""/>
      <w:lvlJc w:val="left"/>
    </w:lvl>
    <w:lvl w:ilvl="5" w:tplc="D6D8C7FA">
      <w:numFmt w:val="decimal"/>
      <w:lvlText w:val=""/>
      <w:lvlJc w:val="left"/>
    </w:lvl>
    <w:lvl w:ilvl="6" w:tplc="7D8611BE">
      <w:numFmt w:val="decimal"/>
      <w:lvlText w:val=""/>
      <w:lvlJc w:val="left"/>
    </w:lvl>
    <w:lvl w:ilvl="7" w:tplc="EF8C6440">
      <w:numFmt w:val="decimal"/>
      <w:lvlText w:val=""/>
      <w:lvlJc w:val="left"/>
    </w:lvl>
    <w:lvl w:ilvl="8" w:tplc="8AA2D6BC">
      <w:numFmt w:val="decimal"/>
      <w:lvlText w:val=""/>
      <w:lvlJc w:val="left"/>
    </w:lvl>
  </w:abstractNum>
  <w:abstractNum w:abstractNumId="1334" w15:restartNumberingAfterBreak="0">
    <w:nsid w:val="66E93C49"/>
    <w:multiLevelType w:val="hybridMultilevel"/>
    <w:tmpl w:val="F2042FC8"/>
    <w:lvl w:ilvl="0" w:tplc="596A9B2A">
      <w:start w:val="1"/>
      <w:numFmt w:val="bullet"/>
      <w:lvlText w:val=""/>
      <w:lvlJc w:val="left"/>
      <w:pPr>
        <w:ind w:left="720" w:hanging="180"/>
      </w:pPr>
      <w:rPr>
        <w:rFonts w:ascii="Symbol" w:hAnsi="Symbol" w:hint="default"/>
      </w:rPr>
    </w:lvl>
    <w:lvl w:ilvl="1" w:tplc="0BC25102">
      <w:numFmt w:val="decimal"/>
      <w:lvlText w:val=""/>
      <w:lvlJc w:val="left"/>
    </w:lvl>
    <w:lvl w:ilvl="2" w:tplc="358223BC">
      <w:numFmt w:val="decimal"/>
      <w:lvlText w:val=""/>
      <w:lvlJc w:val="left"/>
    </w:lvl>
    <w:lvl w:ilvl="3" w:tplc="34306D5A">
      <w:numFmt w:val="decimal"/>
      <w:lvlText w:val=""/>
      <w:lvlJc w:val="left"/>
    </w:lvl>
    <w:lvl w:ilvl="4" w:tplc="A51C9C16">
      <w:numFmt w:val="decimal"/>
      <w:lvlText w:val=""/>
      <w:lvlJc w:val="left"/>
    </w:lvl>
    <w:lvl w:ilvl="5" w:tplc="7D361650">
      <w:numFmt w:val="decimal"/>
      <w:lvlText w:val=""/>
      <w:lvlJc w:val="left"/>
    </w:lvl>
    <w:lvl w:ilvl="6" w:tplc="5BF4355E">
      <w:numFmt w:val="decimal"/>
      <w:lvlText w:val=""/>
      <w:lvlJc w:val="left"/>
    </w:lvl>
    <w:lvl w:ilvl="7" w:tplc="E82EB044">
      <w:numFmt w:val="decimal"/>
      <w:lvlText w:val=""/>
      <w:lvlJc w:val="left"/>
    </w:lvl>
    <w:lvl w:ilvl="8" w:tplc="912E2094">
      <w:numFmt w:val="decimal"/>
      <w:lvlText w:val=""/>
      <w:lvlJc w:val="left"/>
    </w:lvl>
  </w:abstractNum>
  <w:abstractNum w:abstractNumId="1335" w15:restartNumberingAfterBreak="0">
    <w:nsid w:val="66EA7646"/>
    <w:multiLevelType w:val="hybridMultilevel"/>
    <w:tmpl w:val="567C6114"/>
    <w:lvl w:ilvl="0" w:tplc="B4D49BC0">
      <w:start w:val="1"/>
      <w:numFmt w:val="bullet"/>
      <w:lvlText w:val=""/>
      <w:lvlJc w:val="left"/>
      <w:pPr>
        <w:ind w:left="720" w:hanging="180"/>
      </w:pPr>
      <w:rPr>
        <w:rFonts w:ascii="Symbol" w:hAnsi="Symbol" w:hint="default"/>
      </w:rPr>
    </w:lvl>
    <w:lvl w:ilvl="1" w:tplc="C430E328">
      <w:numFmt w:val="decimal"/>
      <w:lvlText w:val=""/>
      <w:lvlJc w:val="left"/>
    </w:lvl>
    <w:lvl w:ilvl="2" w:tplc="2D8CC2D2">
      <w:numFmt w:val="decimal"/>
      <w:lvlText w:val=""/>
      <w:lvlJc w:val="left"/>
    </w:lvl>
    <w:lvl w:ilvl="3" w:tplc="A5A2BAC8">
      <w:numFmt w:val="decimal"/>
      <w:lvlText w:val=""/>
      <w:lvlJc w:val="left"/>
    </w:lvl>
    <w:lvl w:ilvl="4" w:tplc="13809D30">
      <w:numFmt w:val="decimal"/>
      <w:lvlText w:val=""/>
      <w:lvlJc w:val="left"/>
    </w:lvl>
    <w:lvl w:ilvl="5" w:tplc="C7B05A80">
      <w:numFmt w:val="decimal"/>
      <w:lvlText w:val=""/>
      <w:lvlJc w:val="left"/>
    </w:lvl>
    <w:lvl w:ilvl="6" w:tplc="3F16AA5C">
      <w:numFmt w:val="decimal"/>
      <w:lvlText w:val=""/>
      <w:lvlJc w:val="left"/>
    </w:lvl>
    <w:lvl w:ilvl="7" w:tplc="00948BC0">
      <w:numFmt w:val="decimal"/>
      <w:lvlText w:val=""/>
      <w:lvlJc w:val="left"/>
    </w:lvl>
    <w:lvl w:ilvl="8" w:tplc="BAB44578">
      <w:numFmt w:val="decimal"/>
      <w:lvlText w:val=""/>
      <w:lvlJc w:val="left"/>
    </w:lvl>
  </w:abstractNum>
  <w:abstractNum w:abstractNumId="1336" w15:restartNumberingAfterBreak="0">
    <w:nsid w:val="66FC2155"/>
    <w:multiLevelType w:val="hybridMultilevel"/>
    <w:tmpl w:val="C2A4ACAA"/>
    <w:lvl w:ilvl="0" w:tplc="8D34ACE8">
      <w:start w:val="1"/>
      <w:numFmt w:val="bullet"/>
      <w:lvlText w:val=""/>
      <w:lvlJc w:val="left"/>
      <w:pPr>
        <w:ind w:left="720" w:hanging="180"/>
      </w:pPr>
      <w:rPr>
        <w:rFonts w:ascii="Symbol" w:hAnsi="Symbol" w:hint="default"/>
      </w:rPr>
    </w:lvl>
    <w:lvl w:ilvl="1" w:tplc="B000919E">
      <w:numFmt w:val="decimal"/>
      <w:lvlText w:val=""/>
      <w:lvlJc w:val="left"/>
    </w:lvl>
    <w:lvl w:ilvl="2" w:tplc="F858FB0E">
      <w:numFmt w:val="decimal"/>
      <w:lvlText w:val=""/>
      <w:lvlJc w:val="left"/>
    </w:lvl>
    <w:lvl w:ilvl="3" w:tplc="CAA01262">
      <w:numFmt w:val="decimal"/>
      <w:lvlText w:val=""/>
      <w:lvlJc w:val="left"/>
    </w:lvl>
    <w:lvl w:ilvl="4" w:tplc="89F0427E">
      <w:numFmt w:val="decimal"/>
      <w:lvlText w:val=""/>
      <w:lvlJc w:val="left"/>
    </w:lvl>
    <w:lvl w:ilvl="5" w:tplc="4E941458">
      <w:numFmt w:val="decimal"/>
      <w:lvlText w:val=""/>
      <w:lvlJc w:val="left"/>
    </w:lvl>
    <w:lvl w:ilvl="6" w:tplc="BADC1EA4">
      <w:numFmt w:val="decimal"/>
      <w:lvlText w:val=""/>
      <w:lvlJc w:val="left"/>
    </w:lvl>
    <w:lvl w:ilvl="7" w:tplc="E506B76A">
      <w:numFmt w:val="decimal"/>
      <w:lvlText w:val=""/>
      <w:lvlJc w:val="left"/>
    </w:lvl>
    <w:lvl w:ilvl="8" w:tplc="F3D492D6">
      <w:numFmt w:val="decimal"/>
      <w:lvlText w:val=""/>
      <w:lvlJc w:val="left"/>
    </w:lvl>
  </w:abstractNum>
  <w:abstractNum w:abstractNumId="1337" w15:restartNumberingAfterBreak="0">
    <w:nsid w:val="67127AAC"/>
    <w:multiLevelType w:val="hybridMultilevel"/>
    <w:tmpl w:val="CFA2175A"/>
    <w:lvl w:ilvl="0" w:tplc="55F2A342">
      <w:start w:val="1"/>
      <w:numFmt w:val="bullet"/>
      <w:lvlText w:val=""/>
      <w:lvlJc w:val="left"/>
      <w:pPr>
        <w:ind w:left="720" w:hanging="180"/>
      </w:pPr>
      <w:rPr>
        <w:rFonts w:ascii="Symbol" w:hAnsi="Symbol" w:hint="default"/>
      </w:rPr>
    </w:lvl>
    <w:lvl w:ilvl="1" w:tplc="C7AC8DE0">
      <w:numFmt w:val="decimal"/>
      <w:lvlText w:val=""/>
      <w:lvlJc w:val="left"/>
    </w:lvl>
    <w:lvl w:ilvl="2" w:tplc="6408EA86">
      <w:numFmt w:val="decimal"/>
      <w:lvlText w:val=""/>
      <w:lvlJc w:val="left"/>
    </w:lvl>
    <w:lvl w:ilvl="3" w:tplc="DB2004B8">
      <w:numFmt w:val="decimal"/>
      <w:lvlText w:val=""/>
      <w:lvlJc w:val="left"/>
    </w:lvl>
    <w:lvl w:ilvl="4" w:tplc="7602ABC6">
      <w:numFmt w:val="decimal"/>
      <w:lvlText w:val=""/>
      <w:lvlJc w:val="left"/>
    </w:lvl>
    <w:lvl w:ilvl="5" w:tplc="6178A342">
      <w:numFmt w:val="decimal"/>
      <w:lvlText w:val=""/>
      <w:lvlJc w:val="left"/>
    </w:lvl>
    <w:lvl w:ilvl="6" w:tplc="A6F0AFD4">
      <w:numFmt w:val="decimal"/>
      <w:lvlText w:val=""/>
      <w:lvlJc w:val="left"/>
    </w:lvl>
    <w:lvl w:ilvl="7" w:tplc="D0A8437E">
      <w:numFmt w:val="decimal"/>
      <w:lvlText w:val=""/>
      <w:lvlJc w:val="left"/>
    </w:lvl>
    <w:lvl w:ilvl="8" w:tplc="8BDE6310">
      <w:numFmt w:val="decimal"/>
      <w:lvlText w:val=""/>
      <w:lvlJc w:val="left"/>
    </w:lvl>
  </w:abstractNum>
  <w:abstractNum w:abstractNumId="1338" w15:restartNumberingAfterBreak="0">
    <w:nsid w:val="67184340"/>
    <w:multiLevelType w:val="hybridMultilevel"/>
    <w:tmpl w:val="83EA1726"/>
    <w:lvl w:ilvl="0" w:tplc="858A8B50">
      <w:start w:val="1"/>
      <w:numFmt w:val="bullet"/>
      <w:lvlText w:val=""/>
      <w:lvlJc w:val="left"/>
      <w:pPr>
        <w:ind w:left="720" w:hanging="180"/>
      </w:pPr>
      <w:rPr>
        <w:rFonts w:ascii="Symbol" w:hAnsi="Symbol" w:hint="default"/>
      </w:rPr>
    </w:lvl>
    <w:lvl w:ilvl="1" w:tplc="EE90B28A">
      <w:numFmt w:val="decimal"/>
      <w:lvlText w:val=""/>
      <w:lvlJc w:val="left"/>
    </w:lvl>
    <w:lvl w:ilvl="2" w:tplc="EE2EE65C">
      <w:numFmt w:val="decimal"/>
      <w:lvlText w:val=""/>
      <w:lvlJc w:val="left"/>
    </w:lvl>
    <w:lvl w:ilvl="3" w:tplc="ECA4CE8E">
      <w:numFmt w:val="decimal"/>
      <w:lvlText w:val=""/>
      <w:lvlJc w:val="left"/>
    </w:lvl>
    <w:lvl w:ilvl="4" w:tplc="9EEC605A">
      <w:numFmt w:val="decimal"/>
      <w:lvlText w:val=""/>
      <w:lvlJc w:val="left"/>
    </w:lvl>
    <w:lvl w:ilvl="5" w:tplc="DD58FFA4">
      <w:numFmt w:val="decimal"/>
      <w:lvlText w:val=""/>
      <w:lvlJc w:val="left"/>
    </w:lvl>
    <w:lvl w:ilvl="6" w:tplc="C14CFB56">
      <w:numFmt w:val="decimal"/>
      <w:lvlText w:val=""/>
      <w:lvlJc w:val="left"/>
    </w:lvl>
    <w:lvl w:ilvl="7" w:tplc="AD261D24">
      <w:numFmt w:val="decimal"/>
      <w:lvlText w:val=""/>
      <w:lvlJc w:val="left"/>
    </w:lvl>
    <w:lvl w:ilvl="8" w:tplc="55BC883C">
      <w:numFmt w:val="decimal"/>
      <w:lvlText w:val=""/>
      <w:lvlJc w:val="left"/>
    </w:lvl>
  </w:abstractNum>
  <w:abstractNum w:abstractNumId="1339" w15:restartNumberingAfterBreak="0">
    <w:nsid w:val="671A2C9B"/>
    <w:multiLevelType w:val="hybridMultilevel"/>
    <w:tmpl w:val="C3D096E6"/>
    <w:lvl w:ilvl="0" w:tplc="7C58B2AE">
      <w:start w:val="1"/>
      <w:numFmt w:val="bullet"/>
      <w:lvlText w:val=""/>
      <w:lvlJc w:val="left"/>
      <w:pPr>
        <w:ind w:left="720" w:hanging="180"/>
      </w:pPr>
      <w:rPr>
        <w:rFonts w:ascii="Symbol" w:hAnsi="Symbol" w:hint="default"/>
      </w:rPr>
    </w:lvl>
    <w:lvl w:ilvl="1" w:tplc="2962D760">
      <w:numFmt w:val="decimal"/>
      <w:lvlText w:val=""/>
      <w:lvlJc w:val="left"/>
    </w:lvl>
    <w:lvl w:ilvl="2" w:tplc="078855D0">
      <w:numFmt w:val="decimal"/>
      <w:lvlText w:val=""/>
      <w:lvlJc w:val="left"/>
    </w:lvl>
    <w:lvl w:ilvl="3" w:tplc="94505086">
      <w:numFmt w:val="decimal"/>
      <w:lvlText w:val=""/>
      <w:lvlJc w:val="left"/>
    </w:lvl>
    <w:lvl w:ilvl="4" w:tplc="9C085EB2">
      <w:numFmt w:val="decimal"/>
      <w:lvlText w:val=""/>
      <w:lvlJc w:val="left"/>
    </w:lvl>
    <w:lvl w:ilvl="5" w:tplc="4776057A">
      <w:numFmt w:val="decimal"/>
      <w:lvlText w:val=""/>
      <w:lvlJc w:val="left"/>
    </w:lvl>
    <w:lvl w:ilvl="6" w:tplc="8544E858">
      <w:numFmt w:val="decimal"/>
      <w:lvlText w:val=""/>
      <w:lvlJc w:val="left"/>
    </w:lvl>
    <w:lvl w:ilvl="7" w:tplc="3AEE3988">
      <w:numFmt w:val="decimal"/>
      <w:lvlText w:val=""/>
      <w:lvlJc w:val="left"/>
    </w:lvl>
    <w:lvl w:ilvl="8" w:tplc="78503952">
      <w:numFmt w:val="decimal"/>
      <w:lvlText w:val=""/>
      <w:lvlJc w:val="left"/>
    </w:lvl>
  </w:abstractNum>
  <w:abstractNum w:abstractNumId="1340" w15:restartNumberingAfterBreak="0">
    <w:nsid w:val="67265A65"/>
    <w:multiLevelType w:val="hybridMultilevel"/>
    <w:tmpl w:val="612C7056"/>
    <w:lvl w:ilvl="0" w:tplc="07B40246">
      <w:start w:val="1"/>
      <w:numFmt w:val="bullet"/>
      <w:lvlText w:val=""/>
      <w:lvlJc w:val="left"/>
      <w:pPr>
        <w:ind w:left="720" w:hanging="180"/>
      </w:pPr>
      <w:rPr>
        <w:rFonts w:ascii="Symbol" w:hAnsi="Symbol" w:hint="default"/>
      </w:rPr>
    </w:lvl>
    <w:lvl w:ilvl="1" w:tplc="AF001B32">
      <w:numFmt w:val="decimal"/>
      <w:lvlText w:val=""/>
      <w:lvlJc w:val="left"/>
    </w:lvl>
    <w:lvl w:ilvl="2" w:tplc="A3E4FAE0">
      <w:numFmt w:val="decimal"/>
      <w:lvlText w:val=""/>
      <w:lvlJc w:val="left"/>
    </w:lvl>
    <w:lvl w:ilvl="3" w:tplc="2026DC7E">
      <w:numFmt w:val="decimal"/>
      <w:lvlText w:val=""/>
      <w:lvlJc w:val="left"/>
    </w:lvl>
    <w:lvl w:ilvl="4" w:tplc="47365202">
      <w:numFmt w:val="decimal"/>
      <w:lvlText w:val=""/>
      <w:lvlJc w:val="left"/>
    </w:lvl>
    <w:lvl w:ilvl="5" w:tplc="7A8CEB56">
      <w:numFmt w:val="decimal"/>
      <w:lvlText w:val=""/>
      <w:lvlJc w:val="left"/>
    </w:lvl>
    <w:lvl w:ilvl="6" w:tplc="0770A45C">
      <w:numFmt w:val="decimal"/>
      <w:lvlText w:val=""/>
      <w:lvlJc w:val="left"/>
    </w:lvl>
    <w:lvl w:ilvl="7" w:tplc="0B30A4BE">
      <w:numFmt w:val="decimal"/>
      <w:lvlText w:val=""/>
      <w:lvlJc w:val="left"/>
    </w:lvl>
    <w:lvl w:ilvl="8" w:tplc="7E1094B8">
      <w:numFmt w:val="decimal"/>
      <w:lvlText w:val=""/>
      <w:lvlJc w:val="left"/>
    </w:lvl>
  </w:abstractNum>
  <w:abstractNum w:abstractNumId="1341" w15:restartNumberingAfterBreak="0">
    <w:nsid w:val="6748031B"/>
    <w:multiLevelType w:val="hybridMultilevel"/>
    <w:tmpl w:val="834EC818"/>
    <w:lvl w:ilvl="0" w:tplc="B9522F4A">
      <w:numFmt w:val="decimal"/>
      <w:lvlText w:val=""/>
      <w:lvlJc w:val="left"/>
    </w:lvl>
    <w:lvl w:ilvl="1" w:tplc="81889FD0">
      <w:start w:val="1"/>
      <w:numFmt w:val="bullet"/>
      <w:lvlText w:val=""/>
      <w:lvlJc w:val="left"/>
      <w:pPr>
        <w:ind w:left="1440" w:hanging="180"/>
      </w:pPr>
      <w:rPr>
        <w:rFonts w:ascii="Symbol" w:hAnsi="Symbol" w:hint="default"/>
      </w:rPr>
    </w:lvl>
    <w:lvl w:ilvl="2" w:tplc="81DA0724">
      <w:numFmt w:val="decimal"/>
      <w:lvlText w:val=""/>
      <w:lvlJc w:val="left"/>
    </w:lvl>
    <w:lvl w:ilvl="3" w:tplc="2A2C4724">
      <w:numFmt w:val="decimal"/>
      <w:lvlText w:val=""/>
      <w:lvlJc w:val="left"/>
    </w:lvl>
    <w:lvl w:ilvl="4" w:tplc="AA82C89C">
      <w:numFmt w:val="decimal"/>
      <w:lvlText w:val=""/>
      <w:lvlJc w:val="left"/>
    </w:lvl>
    <w:lvl w:ilvl="5" w:tplc="A95A6E22">
      <w:numFmt w:val="decimal"/>
      <w:lvlText w:val=""/>
      <w:lvlJc w:val="left"/>
    </w:lvl>
    <w:lvl w:ilvl="6" w:tplc="75BE88B6">
      <w:numFmt w:val="decimal"/>
      <w:lvlText w:val=""/>
      <w:lvlJc w:val="left"/>
    </w:lvl>
    <w:lvl w:ilvl="7" w:tplc="35F6A7F0">
      <w:numFmt w:val="decimal"/>
      <w:lvlText w:val=""/>
      <w:lvlJc w:val="left"/>
    </w:lvl>
    <w:lvl w:ilvl="8" w:tplc="30381BC6">
      <w:numFmt w:val="decimal"/>
      <w:lvlText w:val=""/>
      <w:lvlJc w:val="left"/>
    </w:lvl>
  </w:abstractNum>
  <w:abstractNum w:abstractNumId="1342" w15:restartNumberingAfterBreak="0">
    <w:nsid w:val="674B7EE6"/>
    <w:multiLevelType w:val="hybridMultilevel"/>
    <w:tmpl w:val="092EAE3E"/>
    <w:lvl w:ilvl="0" w:tplc="FB044FAA">
      <w:start w:val="1"/>
      <w:numFmt w:val="bullet"/>
      <w:lvlText w:val=""/>
      <w:lvlJc w:val="left"/>
      <w:pPr>
        <w:ind w:left="720" w:hanging="180"/>
      </w:pPr>
      <w:rPr>
        <w:rFonts w:ascii="Symbol" w:hAnsi="Symbol" w:hint="default"/>
      </w:rPr>
    </w:lvl>
    <w:lvl w:ilvl="1" w:tplc="C69A8B5A">
      <w:numFmt w:val="decimal"/>
      <w:lvlText w:val=""/>
      <w:lvlJc w:val="left"/>
    </w:lvl>
    <w:lvl w:ilvl="2" w:tplc="A18AA90A">
      <w:numFmt w:val="decimal"/>
      <w:lvlText w:val=""/>
      <w:lvlJc w:val="left"/>
    </w:lvl>
    <w:lvl w:ilvl="3" w:tplc="81446EA4">
      <w:numFmt w:val="decimal"/>
      <w:lvlText w:val=""/>
      <w:lvlJc w:val="left"/>
    </w:lvl>
    <w:lvl w:ilvl="4" w:tplc="F45AC3C6">
      <w:numFmt w:val="decimal"/>
      <w:lvlText w:val=""/>
      <w:lvlJc w:val="left"/>
    </w:lvl>
    <w:lvl w:ilvl="5" w:tplc="18FE44FC">
      <w:numFmt w:val="decimal"/>
      <w:lvlText w:val=""/>
      <w:lvlJc w:val="left"/>
    </w:lvl>
    <w:lvl w:ilvl="6" w:tplc="03E0F1D6">
      <w:numFmt w:val="decimal"/>
      <w:lvlText w:val=""/>
      <w:lvlJc w:val="left"/>
    </w:lvl>
    <w:lvl w:ilvl="7" w:tplc="50E4A52A">
      <w:numFmt w:val="decimal"/>
      <w:lvlText w:val=""/>
      <w:lvlJc w:val="left"/>
    </w:lvl>
    <w:lvl w:ilvl="8" w:tplc="CC6CC12C">
      <w:numFmt w:val="decimal"/>
      <w:lvlText w:val=""/>
      <w:lvlJc w:val="left"/>
    </w:lvl>
  </w:abstractNum>
  <w:abstractNum w:abstractNumId="1343" w15:restartNumberingAfterBreak="0">
    <w:nsid w:val="678A5792"/>
    <w:multiLevelType w:val="hybridMultilevel"/>
    <w:tmpl w:val="8122618C"/>
    <w:lvl w:ilvl="0" w:tplc="C66239E6">
      <w:start w:val="1"/>
      <w:numFmt w:val="bullet"/>
      <w:lvlText w:val=""/>
      <w:lvlJc w:val="left"/>
      <w:pPr>
        <w:ind w:left="720" w:hanging="180"/>
      </w:pPr>
      <w:rPr>
        <w:rFonts w:ascii="Symbol" w:hAnsi="Symbol" w:hint="default"/>
      </w:rPr>
    </w:lvl>
    <w:lvl w:ilvl="1" w:tplc="928457F2">
      <w:numFmt w:val="decimal"/>
      <w:lvlText w:val=""/>
      <w:lvlJc w:val="left"/>
    </w:lvl>
    <w:lvl w:ilvl="2" w:tplc="7464C4D6">
      <w:numFmt w:val="decimal"/>
      <w:lvlText w:val=""/>
      <w:lvlJc w:val="left"/>
    </w:lvl>
    <w:lvl w:ilvl="3" w:tplc="B978C392">
      <w:numFmt w:val="decimal"/>
      <w:lvlText w:val=""/>
      <w:lvlJc w:val="left"/>
    </w:lvl>
    <w:lvl w:ilvl="4" w:tplc="4DD8A6B4">
      <w:numFmt w:val="decimal"/>
      <w:lvlText w:val=""/>
      <w:lvlJc w:val="left"/>
    </w:lvl>
    <w:lvl w:ilvl="5" w:tplc="B57A9200">
      <w:numFmt w:val="decimal"/>
      <w:lvlText w:val=""/>
      <w:lvlJc w:val="left"/>
    </w:lvl>
    <w:lvl w:ilvl="6" w:tplc="98266202">
      <w:numFmt w:val="decimal"/>
      <w:lvlText w:val=""/>
      <w:lvlJc w:val="left"/>
    </w:lvl>
    <w:lvl w:ilvl="7" w:tplc="58F28DF2">
      <w:numFmt w:val="decimal"/>
      <w:lvlText w:val=""/>
      <w:lvlJc w:val="left"/>
    </w:lvl>
    <w:lvl w:ilvl="8" w:tplc="F258B056">
      <w:numFmt w:val="decimal"/>
      <w:lvlText w:val=""/>
      <w:lvlJc w:val="left"/>
    </w:lvl>
  </w:abstractNum>
  <w:abstractNum w:abstractNumId="1344" w15:restartNumberingAfterBreak="0">
    <w:nsid w:val="67957958"/>
    <w:multiLevelType w:val="hybridMultilevel"/>
    <w:tmpl w:val="14BA6EF4"/>
    <w:lvl w:ilvl="0" w:tplc="EC0E7972">
      <w:numFmt w:val="decimal"/>
      <w:lvlText w:val=""/>
      <w:lvlJc w:val="left"/>
    </w:lvl>
    <w:lvl w:ilvl="1" w:tplc="70D6358A">
      <w:start w:val="1"/>
      <w:numFmt w:val="bullet"/>
      <w:lvlText w:val=""/>
      <w:lvlJc w:val="left"/>
      <w:pPr>
        <w:ind w:left="1440" w:hanging="180"/>
      </w:pPr>
      <w:rPr>
        <w:rFonts w:ascii="Symbol" w:hAnsi="Symbol" w:hint="default"/>
      </w:rPr>
    </w:lvl>
    <w:lvl w:ilvl="2" w:tplc="5A781222">
      <w:numFmt w:val="decimal"/>
      <w:lvlText w:val=""/>
      <w:lvlJc w:val="left"/>
    </w:lvl>
    <w:lvl w:ilvl="3" w:tplc="E2E4D5FA">
      <w:numFmt w:val="decimal"/>
      <w:lvlText w:val=""/>
      <w:lvlJc w:val="left"/>
    </w:lvl>
    <w:lvl w:ilvl="4" w:tplc="51CEDEDC">
      <w:numFmt w:val="decimal"/>
      <w:lvlText w:val=""/>
      <w:lvlJc w:val="left"/>
    </w:lvl>
    <w:lvl w:ilvl="5" w:tplc="3B8CDD00">
      <w:numFmt w:val="decimal"/>
      <w:lvlText w:val=""/>
      <w:lvlJc w:val="left"/>
    </w:lvl>
    <w:lvl w:ilvl="6" w:tplc="DB420FC0">
      <w:numFmt w:val="decimal"/>
      <w:lvlText w:val=""/>
      <w:lvlJc w:val="left"/>
    </w:lvl>
    <w:lvl w:ilvl="7" w:tplc="759A1274">
      <w:numFmt w:val="decimal"/>
      <w:lvlText w:val=""/>
      <w:lvlJc w:val="left"/>
    </w:lvl>
    <w:lvl w:ilvl="8" w:tplc="5B822814">
      <w:numFmt w:val="decimal"/>
      <w:lvlText w:val=""/>
      <w:lvlJc w:val="left"/>
    </w:lvl>
  </w:abstractNum>
  <w:abstractNum w:abstractNumId="1345" w15:restartNumberingAfterBreak="0">
    <w:nsid w:val="67AD3609"/>
    <w:multiLevelType w:val="hybridMultilevel"/>
    <w:tmpl w:val="75EA2652"/>
    <w:lvl w:ilvl="0" w:tplc="5E520CBE">
      <w:start w:val="1"/>
      <w:numFmt w:val="bullet"/>
      <w:lvlText w:val=""/>
      <w:lvlJc w:val="left"/>
      <w:pPr>
        <w:ind w:left="720" w:hanging="180"/>
      </w:pPr>
      <w:rPr>
        <w:rFonts w:ascii="Symbol" w:hAnsi="Symbol" w:hint="default"/>
      </w:rPr>
    </w:lvl>
    <w:lvl w:ilvl="1" w:tplc="33DCE286">
      <w:numFmt w:val="decimal"/>
      <w:lvlText w:val=""/>
      <w:lvlJc w:val="left"/>
    </w:lvl>
    <w:lvl w:ilvl="2" w:tplc="B178D078">
      <w:numFmt w:val="decimal"/>
      <w:lvlText w:val=""/>
      <w:lvlJc w:val="left"/>
    </w:lvl>
    <w:lvl w:ilvl="3" w:tplc="07045F32">
      <w:numFmt w:val="decimal"/>
      <w:lvlText w:val=""/>
      <w:lvlJc w:val="left"/>
    </w:lvl>
    <w:lvl w:ilvl="4" w:tplc="54300FAC">
      <w:numFmt w:val="decimal"/>
      <w:lvlText w:val=""/>
      <w:lvlJc w:val="left"/>
    </w:lvl>
    <w:lvl w:ilvl="5" w:tplc="99086D68">
      <w:numFmt w:val="decimal"/>
      <w:lvlText w:val=""/>
      <w:lvlJc w:val="left"/>
    </w:lvl>
    <w:lvl w:ilvl="6" w:tplc="A44C9E68">
      <w:numFmt w:val="decimal"/>
      <w:lvlText w:val=""/>
      <w:lvlJc w:val="left"/>
    </w:lvl>
    <w:lvl w:ilvl="7" w:tplc="82546BEE">
      <w:numFmt w:val="decimal"/>
      <w:lvlText w:val=""/>
      <w:lvlJc w:val="left"/>
    </w:lvl>
    <w:lvl w:ilvl="8" w:tplc="29D05B06">
      <w:numFmt w:val="decimal"/>
      <w:lvlText w:val=""/>
      <w:lvlJc w:val="left"/>
    </w:lvl>
  </w:abstractNum>
  <w:abstractNum w:abstractNumId="1346" w15:restartNumberingAfterBreak="0">
    <w:nsid w:val="67B56B22"/>
    <w:multiLevelType w:val="hybridMultilevel"/>
    <w:tmpl w:val="9508CD00"/>
    <w:lvl w:ilvl="0" w:tplc="26A04C08">
      <w:start w:val="1"/>
      <w:numFmt w:val="bullet"/>
      <w:lvlText w:val=""/>
      <w:lvlJc w:val="left"/>
      <w:pPr>
        <w:ind w:left="720" w:hanging="180"/>
      </w:pPr>
      <w:rPr>
        <w:rFonts w:ascii="Symbol" w:hAnsi="Symbol" w:hint="default"/>
      </w:rPr>
    </w:lvl>
    <w:lvl w:ilvl="1" w:tplc="50960B6A">
      <w:numFmt w:val="decimal"/>
      <w:lvlText w:val=""/>
      <w:lvlJc w:val="left"/>
    </w:lvl>
    <w:lvl w:ilvl="2" w:tplc="3FF63784">
      <w:numFmt w:val="decimal"/>
      <w:lvlText w:val=""/>
      <w:lvlJc w:val="left"/>
    </w:lvl>
    <w:lvl w:ilvl="3" w:tplc="4670B85A">
      <w:numFmt w:val="decimal"/>
      <w:lvlText w:val=""/>
      <w:lvlJc w:val="left"/>
    </w:lvl>
    <w:lvl w:ilvl="4" w:tplc="EEDCF36E">
      <w:numFmt w:val="decimal"/>
      <w:lvlText w:val=""/>
      <w:lvlJc w:val="left"/>
    </w:lvl>
    <w:lvl w:ilvl="5" w:tplc="64BCD6F8">
      <w:numFmt w:val="decimal"/>
      <w:lvlText w:val=""/>
      <w:lvlJc w:val="left"/>
    </w:lvl>
    <w:lvl w:ilvl="6" w:tplc="6812D906">
      <w:numFmt w:val="decimal"/>
      <w:lvlText w:val=""/>
      <w:lvlJc w:val="left"/>
    </w:lvl>
    <w:lvl w:ilvl="7" w:tplc="698A6830">
      <w:numFmt w:val="decimal"/>
      <w:lvlText w:val=""/>
      <w:lvlJc w:val="left"/>
    </w:lvl>
    <w:lvl w:ilvl="8" w:tplc="713ED1B8">
      <w:numFmt w:val="decimal"/>
      <w:lvlText w:val=""/>
      <w:lvlJc w:val="left"/>
    </w:lvl>
  </w:abstractNum>
  <w:abstractNum w:abstractNumId="1347" w15:restartNumberingAfterBreak="0">
    <w:nsid w:val="67C1343C"/>
    <w:multiLevelType w:val="hybridMultilevel"/>
    <w:tmpl w:val="4F4ECF4E"/>
    <w:lvl w:ilvl="0" w:tplc="6B7872DE">
      <w:start w:val="1"/>
      <w:numFmt w:val="bullet"/>
      <w:lvlText w:val=""/>
      <w:lvlJc w:val="left"/>
      <w:pPr>
        <w:ind w:left="720" w:hanging="180"/>
      </w:pPr>
      <w:rPr>
        <w:rFonts w:ascii="Symbol" w:hAnsi="Symbol" w:hint="default"/>
      </w:rPr>
    </w:lvl>
    <w:lvl w:ilvl="1" w:tplc="4AAC021A">
      <w:numFmt w:val="decimal"/>
      <w:lvlText w:val=""/>
      <w:lvlJc w:val="left"/>
    </w:lvl>
    <w:lvl w:ilvl="2" w:tplc="DD84D1D0">
      <w:numFmt w:val="decimal"/>
      <w:lvlText w:val=""/>
      <w:lvlJc w:val="left"/>
    </w:lvl>
    <w:lvl w:ilvl="3" w:tplc="B650BE62">
      <w:numFmt w:val="decimal"/>
      <w:lvlText w:val=""/>
      <w:lvlJc w:val="left"/>
    </w:lvl>
    <w:lvl w:ilvl="4" w:tplc="4216AC6E">
      <w:numFmt w:val="decimal"/>
      <w:lvlText w:val=""/>
      <w:lvlJc w:val="left"/>
    </w:lvl>
    <w:lvl w:ilvl="5" w:tplc="6366B3E8">
      <w:numFmt w:val="decimal"/>
      <w:lvlText w:val=""/>
      <w:lvlJc w:val="left"/>
    </w:lvl>
    <w:lvl w:ilvl="6" w:tplc="560CA570">
      <w:numFmt w:val="decimal"/>
      <w:lvlText w:val=""/>
      <w:lvlJc w:val="left"/>
    </w:lvl>
    <w:lvl w:ilvl="7" w:tplc="27CC18AE">
      <w:numFmt w:val="decimal"/>
      <w:lvlText w:val=""/>
      <w:lvlJc w:val="left"/>
    </w:lvl>
    <w:lvl w:ilvl="8" w:tplc="434054C2">
      <w:numFmt w:val="decimal"/>
      <w:lvlText w:val=""/>
      <w:lvlJc w:val="left"/>
    </w:lvl>
  </w:abstractNum>
  <w:abstractNum w:abstractNumId="1348" w15:restartNumberingAfterBreak="0">
    <w:nsid w:val="67CB1F9C"/>
    <w:multiLevelType w:val="hybridMultilevel"/>
    <w:tmpl w:val="DAC203F2"/>
    <w:lvl w:ilvl="0" w:tplc="BFC8D5AE">
      <w:start w:val="1"/>
      <w:numFmt w:val="bullet"/>
      <w:lvlText w:val=""/>
      <w:lvlJc w:val="left"/>
      <w:pPr>
        <w:ind w:left="720" w:hanging="180"/>
      </w:pPr>
      <w:rPr>
        <w:rFonts w:ascii="Symbol" w:hAnsi="Symbol" w:hint="default"/>
      </w:rPr>
    </w:lvl>
    <w:lvl w:ilvl="1" w:tplc="0C462824">
      <w:numFmt w:val="decimal"/>
      <w:lvlText w:val=""/>
      <w:lvlJc w:val="left"/>
    </w:lvl>
    <w:lvl w:ilvl="2" w:tplc="30E8B0DC">
      <w:numFmt w:val="decimal"/>
      <w:lvlText w:val=""/>
      <w:lvlJc w:val="left"/>
    </w:lvl>
    <w:lvl w:ilvl="3" w:tplc="97202472">
      <w:numFmt w:val="decimal"/>
      <w:lvlText w:val=""/>
      <w:lvlJc w:val="left"/>
    </w:lvl>
    <w:lvl w:ilvl="4" w:tplc="707A5C02">
      <w:numFmt w:val="decimal"/>
      <w:lvlText w:val=""/>
      <w:lvlJc w:val="left"/>
    </w:lvl>
    <w:lvl w:ilvl="5" w:tplc="416ACE56">
      <w:numFmt w:val="decimal"/>
      <w:lvlText w:val=""/>
      <w:lvlJc w:val="left"/>
    </w:lvl>
    <w:lvl w:ilvl="6" w:tplc="371467E6">
      <w:numFmt w:val="decimal"/>
      <w:lvlText w:val=""/>
      <w:lvlJc w:val="left"/>
    </w:lvl>
    <w:lvl w:ilvl="7" w:tplc="84066294">
      <w:numFmt w:val="decimal"/>
      <w:lvlText w:val=""/>
      <w:lvlJc w:val="left"/>
    </w:lvl>
    <w:lvl w:ilvl="8" w:tplc="60481AE4">
      <w:numFmt w:val="decimal"/>
      <w:lvlText w:val=""/>
      <w:lvlJc w:val="left"/>
    </w:lvl>
  </w:abstractNum>
  <w:abstractNum w:abstractNumId="1349" w15:restartNumberingAfterBreak="0">
    <w:nsid w:val="67D940CF"/>
    <w:multiLevelType w:val="hybridMultilevel"/>
    <w:tmpl w:val="FDB48B3A"/>
    <w:lvl w:ilvl="0" w:tplc="CC8A8402">
      <w:start w:val="1"/>
      <w:numFmt w:val="bullet"/>
      <w:lvlText w:val=""/>
      <w:lvlJc w:val="left"/>
      <w:pPr>
        <w:ind w:left="720" w:hanging="180"/>
      </w:pPr>
      <w:rPr>
        <w:rFonts w:ascii="Symbol" w:hAnsi="Symbol" w:hint="default"/>
      </w:rPr>
    </w:lvl>
    <w:lvl w:ilvl="1" w:tplc="E4AC15EC">
      <w:numFmt w:val="decimal"/>
      <w:lvlText w:val=""/>
      <w:lvlJc w:val="left"/>
    </w:lvl>
    <w:lvl w:ilvl="2" w:tplc="72E40EB4">
      <w:numFmt w:val="decimal"/>
      <w:lvlText w:val=""/>
      <w:lvlJc w:val="left"/>
    </w:lvl>
    <w:lvl w:ilvl="3" w:tplc="6C6ABC64">
      <w:numFmt w:val="decimal"/>
      <w:lvlText w:val=""/>
      <w:lvlJc w:val="left"/>
    </w:lvl>
    <w:lvl w:ilvl="4" w:tplc="D4507ED2">
      <w:numFmt w:val="decimal"/>
      <w:lvlText w:val=""/>
      <w:lvlJc w:val="left"/>
    </w:lvl>
    <w:lvl w:ilvl="5" w:tplc="A50E7EA2">
      <w:numFmt w:val="decimal"/>
      <w:lvlText w:val=""/>
      <w:lvlJc w:val="left"/>
    </w:lvl>
    <w:lvl w:ilvl="6" w:tplc="A18E6C28">
      <w:numFmt w:val="decimal"/>
      <w:lvlText w:val=""/>
      <w:lvlJc w:val="left"/>
    </w:lvl>
    <w:lvl w:ilvl="7" w:tplc="BC0A5CAE">
      <w:numFmt w:val="decimal"/>
      <w:lvlText w:val=""/>
      <w:lvlJc w:val="left"/>
    </w:lvl>
    <w:lvl w:ilvl="8" w:tplc="02CE1686">
      <w:numFmt w:val="decimal"/>
      <w:lvlText w:val=""/>
      <w:lvlJc w:val="left"/>
    </w:lvl>
  </w:abstractNum>
  <w:abstractNum w:abstractNumId="1350" w15:restartNumberingAfterBreak="0">
    <w:nsid w:val="67DB7A96"/>
    <w:multiLevelType w:val="hybridMultilevel"/>
    <w:tmpl w:val="2D96209A"/>
    <w:lvl w:ilvl="0" w:tplc="33664BB4">
      <w:start w:val="1"/>
      <w:numFmt w:val="bullet"/>
      <w:lvlText w:val=""/>
      <w:lvlJc w:val="left"/>
      <w:pPr>
        <w:ind w:left="720" w:hanging="180"/>
      </w:pPr>
      <w:rPr>
        <w:rFonts w:ascii="Symbol" w:hAnsi="Symbol" w:hint="default"/>
      </w:rPr>
    </w:lvl>
    <w:lvl w:ilvl="1" w:tplc="85C2E886">
      <w:numFmt w:val="decimal"/>
      <w:lvlText w:val=""/>
      <w:lvlJc w:val="left"/>
    </w:lvl>
    <w:lvl w:ilvl="2" w:tplc="EEAAB4CA">
      <w:numFmt w:val="decimal"/>
      <w:lvlText w:val=""/>
      <w:lvlJc w:val="left"/>
    </w:lvl>
    <w:lvl w:ilvl="3" w:tplc="33466BEE">
      <w:numFmt w:val="decimal"/>
      <w:lvlText w:val=""/>
      <w:lvlJc w:val="left"/>
    </w:lvl>
    <w:lvl w:ilvl="4" w:tplc="F566D158">
      <w:numFmt w:val="decimal"/>
      <w:lvlText w:val=""/>
      <w:lvlJc w:val="left"/>
    </w:lvl>
    <w:lvl w:ilvl="5" w:tplc="AF56EF00">
      <w:numFmt w:val="decimal"/>
      <w:lvlText w:val=""/>
      <w:lvlJc w:val="left"/>
    </w:lvl>
    <w:lvl w:ilvl="6" w:tplc="5E2664CA">
      <w:numFmt w:val="decimal"/>
      <w:lvlText w:val=""/>
      <w:lvlJc w:val="left"/>
    </w:lvl>
    <w:lvl w:ilvl="7" w:tplc="2D5A553C">
      <w:numFmt w:val="decimal"/>
      <w:lvlText w:val=""/>
      <w:lvlJc w:val="left"/>
    </w:lvl>
    <w:lvl w:ilvl="8" w:tplc="61C64780">
      <w:numFmt w:val="decimal"/>
      <w:lvlText w:val=""/>
      <w:lvlJc w:val="left"/>
    </w:lvl>
  </w:abstractNum>
  <w:abstractNum w:abstractNumId="1351" w15:restartNumberingAfterBreak="0">
    <w:nsid w:val="67F60417"/>
    <w:multiLevelType w:val="hybridMultilevel"/>
    <w:tmpl w:val="1E367880"/>
    <w:lvl w:ilvl="0" w:tplc="5C7EB71C">
      <w:numFmt w:val="decimal"/>
      <w:lvlText w:val=""/>
      <w:lvlJc w:val="left"/>
    </w:lvl>
    <w:lvl w:ilvl="1" w:tplc="5D8ACCB2">
      <w:start w:val="1"/>
      <w:numFmt w:val="bullet"/>
      <w:lvlText w:val=""/>
      <w:lvlJc w:val="left"/>
      <w:pPr>
        <w:ind w:left="1440" w:hanging="180"/>
      </w:pPr>
      <w:rPr>
        <w:rFonts w:ascii="Symbol" w:hAnsi="Symbol" w:hint="default"/>
      </w:rPr>
    </w:lvl>
    <w:lvl w:ilvl="2" w:tplc="3E5003FA">
      <w:numFmt w:val="decimal"/>
      <w:lvlText w:val=""/>
      <w:lvlJc w:val="left"/>
    </w:lvl>
    <w:lvl w:ilvl="3" w:tplc="D20815EA">
      <w:numFmt w:val="decimal"/>
      <w:lvlText w:val=""/>
      <w:lvlJc w:val="left"/>
    </w:lvl>
    <w:lvl w:ilvl="4" w:tplc="0DBAFF0E">
      <w:numFmt w:val="decimal"/>
      <w:lvlText w:val=""/>
      <w:lvlJc w:val="left"/>
    </w:lvl>
    <w:lvl w:ilvl="5" w:tplc="63E0F56E">
      <w:numFmt w:val="decimal"/>
      <w:lvlText w:val=""/>
      <w:lvlJc w:val="left"/>
    </w:lvl>
    <w:lvl w:ilvl="6" w:tplc="04FA506A">
      <w:numFmt w:val="decimal"/>
      <w:lvlText w:val=""/>
      <w:lvlJc w:val="left"/>
    </w:lvl>
    <w:lvl w:ilvl="7" w:tplc="5756132C">
      <w:numFmt w:val="decimal"/>
      <w:lvlText w:val=""/>
      <w:lvlJc w:val="left"/>
    </w:lvl>
    <w:lvl w:ilvl="8" w:tplc="03120780">
      <w:numFmt w:val="decimal"/>
      <w:lvlText w:val=""/>
      <w:lvlJc w:val="left"/>
    </w:lvl>
  </w:abstractNum>
  <w:abstractNum w:abstractNumId="1352" w15:restartNumberingAfterBreak="0">
    <w:nsid w:val="67FA2442"/>
    <w:multiLevelType w:val="hybridMultilevel"/>
    <w:tmpl w:val="3F180558"/>
    <w:lvl w:ilvl="0" w:tplc="73FAA400">
      <w:start w:val="1"/>
      <w:numFmt w:val="bullet"/>
      <w:lvlText w:val=""/>
      <w:lvlJc w:val="left"/>
      <w:pPr>
        <w:ind w:left="720" w:hanging="180"/>
      </w:pPr>
      <w:rPr>
        <w:rFonts w:ascii="Symbol" w:hAnsi="Symbol" w:hint="default"/>
      </w:rPr>
    </w:lvl>
    <w:lvl w:ilvl="1" w:tplc="2D962B50">
      <w:numFmt w:val="decimal"/>
      <w:lvlText w:val=""/>
      <w:lvlJc w:val="left"/>
    </w:lvl>
    <w:lvl w:ilvl="2" w:tplc="212C1CC4">
      <w:numFmt w:val="decimal"/>
      <w:lvlText w:val=""/>
      <w:lvlJc w:val="left"/>
    </w:lvl>
    <w:lvl w:ilvl="3" w:tplc="EA520AC2">
      <w:numFmt w:val="decimal"/>
      <w:lvlText w:val=""/>
      <w:lvlJc w:val="left"/>
    </w:lvl>
    <w:lvl w:ilvl="4" w:tplc="156C57DC">
      <w:numFmt w:val="decimal"/>
      <w:lvlText w:val=""/>
      <w:lvlJc w:val="left"/>
    </w:lvl>
    <w:lvl w:ilvl="5" w:tplc="E9482B96">
      <w:numFmt w:val="decimal"/>
      <w:lvlText w:val=""/>
      <w:lvlJc w:val="left"/>
    </w:lvl>
    <w:lvl w:ilvl="6" w:tplc="85C8CCE2">
      <w:numFmt w:val="decimal"/>
      <w:lvlText w:val=""/>
      <w:lvlJc w:val="left"/>
    </w:lvl>
    <w:lvl w:ilvl="7" w:tplc="7346D6D6">
      <w:numFmt w:val="decimal"/>
      <w:lvlText w:val=""/>
      <w:lvlJc w:val="left"/>
    </w:lvl>
    <w:lvl w:ilvl="8" w:tplc="5B80BAA8">
      <w:numFmt w:val="decimal"/>
      <w:lvlText w:val=""/>
      <w:lvlJc w:val="left"/>
    </w:lvl>
  </w:abstractNum>
  <w:abstractNum w:abstractNumId="1353" w15:restartNumberingAfterBreak="0">
    <w:nsid w:val="67FB4602"/>
    <w:multiLevelType w:val="hybridMultilevel"/>
    <w:tmpl w:val="D5E2E660"/>
    <w:lvl w:ilvl="0" w:tplc="90685CEE">
      <w:start w:val="1"/>
      <w:numFmt w:val="bullet"/>
      <w:lvlText w:val=""/>
      <w:lvlJc w:val="left"/>
      <w:pPr>
        <w:ind w:left="720" w:hanging="180"/>
      </w:pPr>
      <w:rPr>
        <w:rFonts w:ascii="Symbol" w:hAnsi="Symbol" w:hint="default"/>
      </w:rPr>
    </w:lvl>
    <w:lvl w:ilvl="1" w:tplc="B39636CE">
      <w:numFmt w:val="decimal"/>
      <w:lvlText w:val=""/>
      <w:lvlJc w:val="left"/>
    </w:lvl>
    <w:lvl w:ilvl="2" w:tplc="E6C847FA">
      <w:numFmt w:val="decimal"/>
      <w:lvlText w:val=""/>
      <w:lvlJc w:val="left"/>
    </w:lvl>
    <w:lvl w:ilvl="3" w:tplc="D03ABB74">
      <w:numFmt w:val="decimal"/>
      <w:lvlText w:val=""/>
      <w:lvlJc w:val="left"/>
    </w:lvl>
    <w:lvl w:ilvl="4" w:tplc="DF9850F6">
      <w:numFmt w:val="decimal"/>
      <w:lvlText w:val=""/>
      <w:lvlJc w:val="left"/>
    </w:lvl>
    <w:lvl w:ilvl="5" w:tplc="84B80F88">
      <w:numFmt w:val="decimal"/>
      <w:lvlText w:val=""/>
      <w:lvlJc w:val="left"/>
    </w:lvl>
    <w:lvl w:ilvl="6" w:tplc="0F86C7A2">
      <w:numFmt w:val="decimal"/>
      <w:lvlText w:val=""/>
      <w:lvlJc w:val="left"/>
    </w:lvl>
    <w:lvl w:ilvl="7" w:tplc="3F086540">
      <w:numFmt w:val="decimal"/>
      <w:lvlText w:val=""/>
      <w:lvlJc w:val="left"/>
    </w:lvl>
    <w:lvl w:ilvl="8" w:tplc="9EE89EE0">
      <w:numFmt w:val="decimal"/>
      <w:lvlText w:val=""/>
      <w:lvlJc w:val="left"/>
    </w:lvl>
  </w:abstractNum>
  <w:abstractNum w:abstractNumId="1354" w15:restartNumberingAfterBreak="0">
    <w:nsid w:val="682804A3"/>
    <w:multiLevelType w:val="hybridMultilevel"/>
    <w:tmpl w:val="280CCAAA"/>
    <w:lvl w:ilvl="0" w:tplc="6B3C3916">
      <w:numFmt w:val="decimal"/>
      <w:lvlText w:val=""/>
      <w:lvlJc w:val="left"/>
    </w:lvl>
    <w:lvl w:ilvl="1" w:tplc="6674E056">
      <w:start w:val="1"/>
      <w:numFmt w:val="bullet"/>
      <w:lvlText w:val=""/>
      <w:lvlJc w:val="left"/>
      <w:pPr>
        <w:ind w:left="1440" w:hanging="180"/>
      </w:pPr>
      <w:rPr>
        <w:rFonts w:ascii="Symbol" w:hAnsi="Symbol" w:hint="default"/>
      </w:rPr>
    </w:lvl>
    <w:lvl w:ilvl="2" w:tplc="DEC8445C">
      <w:numFmt w:val="decimal"/>
      <w:lvlText w:val=""/>
      <w:lvlJc w:val="left"/>
    </w:lvl>
    <w:lvl w:ilvl="3" w:tplc="DC228F56">
      <w:numFmt w:val="decimal"/>
      <w:lvlText w:val=""/>
      <w:lvlJc w:val="left"/>
    </w:lvl>
    <w:lvl w:ilvl="4" w:tplc="44527074">
      <w:numFmt w:val="decimal"/>
      <w:lvlText w:val=""/>
      <w:lvlJc w:val="left"/>
    </w:lvl>
    <w:lvl w:ilvl="5" w:tplc="947E30CA">
      <w:numFmt w:val="decimal"/>
      <w:lvlText w:val=""/>
      <w:lvlJc w:val="left"/>
    </w:lvl>
    <w:lvl w:ilvl="6" w:tplc="FDC4DCEC">
      <w:numFmt w:val="decimal"/>
      <w:lvlText w:val=""/>
      <w:lvlJc w:val="left"/>
    </w:lvl>
    <w:lvl w:ilvl="7" w:tplc="FED035CC">
      <w:numFmt w:val="decimal"/>
      <w:lvlText w:val=""/>
      <w:lvlJc w:val="left"/>
    </w:lvl>
    <w:lvl w:ilvl="8" w:tplc="214A99AA">
      <w:numFmt w:val="decimal"/>
      <w:lvlText w:val=""/>
      <w:lvlJc w:val="left"/>
    </w:lvl>
  </w:abstractNum>
  <w:abstractNum w:abstractNumId="1355" w15:restartNumberingAfterBreak="0">
    <w:nsid w:val="68431BAA"/>
    <w:multiLevelType w:val="hybridMultilevel"/>
    <w:tmpl w:val="DC3803CA"/>
    <w:lvl w:ilvl="0" w:tplc="99A84198">
      <w:start w:val="1"/>
      <w:numFmt w:val="bullet"/>
      <w:lvlText w:val=""/>
      <w:lvlJc w:val="left"/>
      <w:pPr>
        <w:ind w:left="720" w:hanging="180"/>
      </w:pPr>
      <w:rPr>
        <w:rFonts w:ascii="Symbol" w:hAnsi="Symbol" w:hint="default"/>
      </w:rPr>
    </w:lvl>
    <w:lvl w:ilvl="1" w:tplc="E6C49C0E">
      <w:numFmt w:val="decimal"/>
      <w:lvlText w:val=""/>
      <w:lvlJc w:val="left"/>
    </w:lvl>
    <w:lvl w:ilvl="2" w:tplc="40CA0D18">
      <w:numFmt w:val="decimal"/>
      <w:lvlText w:val=""/>
      <w:lvlJc w:val="left"/>
    </w:lvl>
    <w:lvl w:ilvl="3" w:tplc="A554236A">
      <w:numFmt w:val="decimal"/>
      <w:lvlText w:val=""/>
      <w:lvlJc w:val="left"/>
    </w:lvl>
    <w:lvl w:ilvl="4" w:tplc="F514CA1C">
      <w:numFmt w:val="decimal"/>
      <w:lvlText w:val=""/>
      <w:lvlJc w:val="left"/>
    </w:lvl>
    <w:lvl w:ilvl="5" w:tplc="36E2D862">
      <w:numFmt w:val="decimal"/>
      <w:lvlText w:val=""/>
      <w:lvlJc w:val="left"/>
    </w:lvl>
    <w:lvl w:ilvl="6" w:tplc="CE3EB7D2">
      <w:numFmt w:val="decimal"/>
      <w:lvlText w:val=""/>
      <w:lvlJc w:val="left"/>
    </w:lvl>
    <w:lvl w:ilvl="7" w:tplc="ACE2F3B4">
      <w:numFmt w:val="decimal"/>
      <w:lvlText w:val=""/>
      <w:lvlJc w:val="left"/>
    </w:lvl>
    <w:lvl w:ilvl="8" w:tplc="EB466F50">
      <w:numFmt w:val="decimal"/>
      <w:lvlText w:val=""/>
      <w:lvlJc w:val="left"/>
    </w:lvl>
  </w:abstractNum>
  <w:abstractNum w:abstractNumId="1356" w15:restartNumberingAfterBreak="0">
    <w:nsid w:val="68612C29"/>
    <w:multiLevelType w:val="hybridMultilevel"/>
    <w:tmpl w:val="DC624312"/>
    <w:lvl w:ilvl="0" w:tplc="6C800532">
      <w:start w:val="1"/>
      <w:numFmt w:val="bullet"/>
      <w:lvlText w:val=""/>
      <w:lvlJc w:val="left"/>
      <w:pPr>
        <w:ind w:left="720" w:hanging="180"/>
      </w:pPr>
      <w:rPr>
        <w:rFonts w:ascii="Symbol" w:hAnsi="Symbol" w:hint="default"/>
      </w:rPr>
    </w:lvl>
    <w:lvl w:ilvl="1" w:tplc="9370D91C">
      <w:numFmt w:val="decimal"/>
      <w:lvlText w:val=""/>
      <w:lvlJc w:val="left"/>
    </w:lvl>
    <w:lvl w:ilvl="2" w:tplc="A202A178">
      <w:numFmt w:val="decimal"/>
      <w:lvlText w:val=""/>
      <w:lvlJc w:val="left"/>
    </w:lvl>
    <w:lvl w:ilvl="3" w:tplc="E536E1CC">
      <w:numFmt w:val="decimal"/>
      <w:lvlText w:val=""/>
      <w:lvlJc w:val="left"/>
    </w:lvl>
    <w:lvl w:ilvl="4" w:tplc="F9549C04">
      <w:numFmt w:val="decimal"/>
      <w:lvlText w:val=""/>
      <w:lvlJc w:val="left"/>
    </w:lvl>
    <w:lvl w:ilvl="5" w:tplc="BD9ED068">
      <w:numFmt w:val="decimal"/>
      <w:lvlText w:val=""/>
      <w:lvlJc w:val="left"/>
    </w:lvl>
    <w:lvl w:ilvl="6" w:tplc="9AB232A0">
      <w:numFmt w:val="decimal"/>
      <w:lvlText w:val=""/>
      <w:lvlJc w:val="left"/>
    </w:lvl>
    <w:lvl w:ilvl="7" w:tplc="A6DE0E42">
      <w:numFmt w:val="decimal"/>
      <w:lvlText w:val=""/>
      <w:lvlJc w:val="left"/>
    </w:lvl>
    <w:lvl w:ilvl="8" w:tplc="45F4164C">
      <w:numFmt w:val="decimal"/>
      <w:lvlText w:val=""/>
      <w:lvlJc w:val="left"/>
    </w:lvl>
  </w:abstractNum>
  <w:abstractNum w:abstractNumId="1357" w15:restartNumberingAfterBreak="0">
    <w:nsid w:val="686E0989"/>
    <w:multiLevelType w:val="hybridMultilevel"/>
    <w:tmpl w:val="E5602EC4"/>
    <w:lvl w:ilvl="0" w:tplc="A1BACA92">
      <w:start w:val="1"/>
      <w:numFmt w:val="bullet"/>
      <w:lvlText w:val=""/>
      <w:lvlJc w:val="left"/>
      <w:pPr>
        <w:ind w:left="720" w:hanging="180"/>
      </w:pPr>
      <w:rPr>
        <w:rFonts w:ascii="Symbol" w:hAnsi="Symbol" w:hint="default"/>
      </w:rPr>
    </w:lvl>
    <w:lvl w:ilvl="1" w:tplc="E42ABBAC">
      <w:numFmt w:val="decimal"/>
      <w:lvlText w:val=""/>
      <w:lvlJc w:val="left"/>
    </w:lvl>
    <w:lvl w:ilvl="2" w:tplc="6A465C24">
      <w:numFmt w:val="decimal"/>
      <w:lvlText w:val=""/>
      <w:lvlJc w:val="left"/>
    </w:lvl>
    <w:lvl w:ilvl="3" w:tplc="2DDCD3A4">
      <w:numFmt w:val="decimal"/>
      <w:lvlText w:val=""/>
      <w:lvlJc w:val="left"/>
    </w:lvl>
    <w:lvl w:ilvl="4" w:tplc="F5E2942E">
      <w:numFmt w:val="decimal"/>
      <w:lvlText w:val=""/>
      <w:lvlJc w:val="left"/>
    </w:lvl>
    <w:lvl w:ilvl="5" w:tplc="54AA7F74">
      <w:numFmt w:val="decimal"/>
      <w:lvlText w:val=""/>
      <w:lvlJc w:val="left"/>
    </w:lvl>
    <w:lvl w:ilvl="6" w:tplc="F68875E0">
      <w:numFmt w:val="decimal"/>
      <w:lvlText w:val=""/>
      <w:lvlJc w:val="left"/>
    </w:lvl>
    <w:lvl w:ilvl="7" w:tplc="B39E4A48">
      <w:numFmt w:val="decimal"/>
      <w:lvlText w:val=""/>
      <w:lvlJc w:val="left"/>
    </w:lvl>
    <w:lvl w:ilvl="8" w:tplc="3B2099DA">
      <w:numFmt w:val="decimal"/>
      <w:lvlText w:val=""/>
      <w:lvlJc w:val="left"/>
    </w:lvl>
  </w:abstractNum>
  <w:abstractNum w:abstractNumId="1358" w15:restartNumberingAfterBreak="0">
    <w:nsid w:val="687B0B28"/>
    <w:multiLevelType w:val="hybridMultilevel"/>
    <w:tmpl w:val="52842686"/>
    <w:lvl w:ilvl="0" w:tplc="32C4E8F2">
      <w:numFmt w:val="decimal"/>
      <w:lvlText w:val=""/>
      <w:lvlJc w:val="left"/>
    </w:lvl>
    <w:lvl w:ilvl="1" w:tplc="530EB32E">
      <w:start w:val="1"/>
      <w:numFmt w:val="bullet"/>
      <w:lvlText w:val=""/>
      <w:lvlJc w:val="left"/>
      <w:pPr>
        <w:ind w:left="1440" w:hanging="180"/>
      </w:pPr>
      <w:rPr>
        <w:rFonts w:ascii="Symbol" w:hAnsi="Symbol" w:hint="default"/>
      </w:rPr>
    </w:lvl>
    <w:lvl w:ilvl="2" w:tplc="5C5E0124">
      <w:numFmt w:val="decimal"/>
      <w:lvlText w:val=""/>
      <w:lvlJc w:val="left"/>
    </w:lvl>
    <w:lvl w:ilvl="3" w:tplc="32BA8D1C">
      <w:numFmt w:val="decimal"/>
      <w:lvlText w:val=""/>
      <w:lvlJc w:val="left"/>
    </w:lvl>
    <w:lvl w:ilvl="4" w:tplc="F87C6038">
      <w:numFmt w:val="decimal"/>
      <w:lvlText w:val=""/>
      <w:lvlJc w:val="left"/>
    </w:lvl>
    <w:lvl w:ilvl="5" w:tplc="9D0AF850">
      <w:numFmt w:val="decimal"/>
      <w:lvlText w:val=""/>
      <w:lvlJc w:val="left"/>
    </w:lvl>
    <w:lvl w:ilvl="6" w:tplc="A0569830">
      <w:numFmt w:val="decimal"/>
      <w:lvlText w:val=""/>
      <w:lvlJc w:val="left"/>
    </w:lvl>
    <w:lvl w:ilvl="7" w:tplc="E6C6CA56">
      <w:numFmt w:val="decimal"/>
      <w:lvlText w:val=""/>
      <w:lvlJc w:val="left"/>
    </w:lvl>
    <w:lvl w:ilvl="8" w:tplc="E174A4BC">
      <w:numFmt w:val="decimal"/>
      <w:lvlText w:val=""/>
      <w:lvlJc w:val="left"/>
    </w:lvl>
  </w:abstractNum>
  <w:abstractNum w:abstractNumId="1359" w15:restartNumberingAfterBreak="0">
    <w:nsid w:val="688F0387"/>
    <w:multiLevelType w:val="hybridMultilevel"/>
    <w:tmpl w:val="E6FCD090"/>
    <w:lvl w:ilvl="0" w:tplc="BD8C16E0">
      <w:start w:val="1"/>
      <w:numFmt w:val="bullet"/>
      <w:lvlText w:val=""/>
      <w:lvlJc w:val="left"/>
      <w:pPr>
        <w:ind w:left="720" w:hanging="180"/>
      </w:pPr>
      <w:rPr>
        <w:rFonts w:ascii="Symbol" w:hAnsi="Symbol" w:hint="default"/>
      </w:rPr>
    </w:lvl>
    <w:lvl w:ilvl="1" w:tplc="18F020BC">
      <w:numFmt w:val="decimal"/>
      <w:lvlText w:val=""/>
      <w:lvlJc w:val="left"/>
    </w:lvl>
    <w:lvl w:ilvl="2" w:tplc="1318DD3C">
      <w:numFmt w:val="decimal"/>
      <w:lvlText w:val=""/>
      <w:lvlJc w:val="left"/>
    </w:lvl>
    <w:lvl w:ilvl="3" w:tplc="0502561A">
      <w:numFmt w:val="decimal"/>
      <w:lvlText w:val=""/>
      <w:lvlJc w:val="left"/>
    </w:lvl>
    <w:lvl w:ilvl="4" w:tplc="818EB69A">
      <w:numFmt w:val="decimal"/>
      <w:lvlText w:val=""/>
      <w:lvlJc w:val="left"/>
    </w:lvl>
    <w:lvl w:ilvl="5" w:tplc="C32E5998">
      <w:numFmt w:val="decimal"/>
      <w:lvlText w:val=""/>
      <w:lvlJc w:val="left"/>
    </w:lvl>
    <w:lvl w:ilvl="6" w:tplc="8F24DABA">
      <w:numFmt w:val="decimal"/>
      <w:lvlText w:val=""/>
      <w:lvlJc w:val="left"/>
    </w:lvl>
    <w:lvl w:ilvl="7" w:tplc="95B6F7C0">
      <w:numFmt w:val="decimal"/>
      <w:lvlText w:val=""/>
      <w:lvlJc w:val="left"/>
    </w:lvl>
    <w:lvl w:ilvl="8" w:tplc="1F22C5DC">
      <w:numFmt w:val="decimal"/>
      <w:lvlText w:val=""/>
      <w:lvlJc w:val="left"/>
    </w:lvl>
  </w:abstractNum>
  <w:abstractNum w:abstractNumId="1360" w15:restartNumberingAfterBreak="0">
    <w:nsid w:val="68A975AB"/>
    <w:multiLevelType w:val="hybridMultilevel"/>
    <w:tmpl w:val="EF16C4E6"/>
    <w:lvl w:ilvl="0" w:tplc="33BC136C">
      <w:start w:val="1"/>
      <w:numFmt w:val="bullet"/>
      <w:lvlText w:val=""/>
      <w:lvlJc w:val="left"/>
      <w:pPr>
        <w:ind w:left="720" w:hanging="180"/>
      </w:pPr>
      <w:rPr>
        <w:rFonts w:ascii="Symbol" w:hAnsi="Symbol" w:hint="default"/>
      </w:rPr>
    </w:lvl>
    <w:lvl w:ilvl="1" w:tplc="68027026">
      <w:numFmt w:val="decimal"/>
      <w:lvlText w:val=""/>
      <w:lvlJc w:val="left"/>
    </w:lvl>
    <w:lvl w:ilvl="2" w:tplc="E84AE95C">
      <w:numFmt w:val="decimal"/>
      <w:lvlText w:val=""/>
      <w:lvlJc w:val="left"/>
    </w:lvl>
    <w:lvl w:ilvl="3" w:tplc="13AE55C8">
      <w:numFmt w:val="decimal"/>
      <w:lvlText w:val=""/>
      <w:lvlJc w:val="left"/>
    </w:lvl>
    <w:lvl w:ilvl="4" w:tplc="742AF094">
      <w:numFmt w:val="decimal"/>
      <w:lvlText w:val=""/>
      <w:lvlJc w:val="left"/>
    </w:lvl>
    <w:lvl w:ilvl="5" w:tplc="0B144B3E">
      <w:numFmt w:val="decimal"/>
      <w:lvlText w:val=""/>
      <w:lvlJc w:val="left"/>
    </w:lvl>
    <w:lvl w:ilvl="6" w:tplc="0D2A4632">
      <w:numFmt w:val="decimal"/>
      <w:lvlText w:val=""/>
      <w:lvlJc w:val="left"/>
    </w:lvl>
    <w:lvl w:ilvl="7" w:tplc="462C6FA6">
      <w:numFmt w:val="decimal"/>
      <w:lvlText w:val=""/>
      <w:lvlJc w:val="left"/>
    </w:lvl>
    <w:lvl w:ilvl="8" w:tplc="C1E2A85E">
      <w:numFmt w:val="decimal"/>
      <w:lvlText w:val=""/>
      <w:lvlJc w:val="left"/>
    </w:lvl>
  </w:abstractNum>
  <w:abstractNum w:abstractNumId="1361" w15:restartNumberingAfterBreak="0">
    <w:nsid w:val="68C81C24"/>
    <w:multiLevelType w:val="hybridMultilevel"/>
    <w:tmpl w:val="779AB438"/>
    <w:lvl w:ilvl="0" w:tplc="703E8FFE">
      <w:start w:val="1"/>
      <w:numFmt w:val="bullet"/>
      <w:lvlText w:val=""/>
      <w:lvlJc w:val="left"/>
      <w:pPr>
        <w:ind w:left="720" w:hanging="180"/>
      </w:pPr>
      <w:rPr>
        <w:rFonts w:ascii="Symbol" w:hAnsi="Symbol" w:hint="default"/>
      </w:rPr>
    </w:lvl>
    <w:lvl w:ilvl="1" w:tplc="85AEF42C">
      <w:numFmt w:val="decimal"/>
      <w:lvlText w:val=""/>
      <w:lvlJc w:val="left"/>
    </w:lvl>
    <w:lvl w:ilvl="2" w:tplc="05640F04">
      <w:numFmt w:val="decimal"/>
      <w:lvlText w:val=""/>
      <w:lvlJc w:val="left"/>
    </w:lvl>
    <w:lvl w:ilvl="3" w:tplc="6F78CDAE">
      <w:numFmt w:val="decimal"/>
      <w:lvlText w:val=""/>
      <w:lvlJc w:val="left"/>
    </w:lvl>
    <w:lvl w:ilvl="4" w:tplc="0A54A8EC">
      <w:numFmt w:val="decimal"/>
      <w:lvlText w:val=""/>
      <w:lvlJc w:val="left"/>
    </w:lvl>
    <w:lvl w:ilvl="5" w:tplc="EE68A3DE">
      <w:numFmt w:val="decimal"/>
      <w:lvlText w:val=""/>
      <w:lvlJc w:val="left"/>
    </w:lvl>
    <w:lvl w:ilvl="6" w:tplc="073855EC">
      <w:numFmt w:val="decimal"/>
      <w:lvlText w:val=""/>
      <w:lvlJc w:val="left"/>
    </w:lvl>
    <w:lvl w:ilvl="7" w:tplc="A5703080">
      <w:numFmt w:val="decimal"/>
      <w:lvlText w:val=""/>
      <w:lvlJc w:val="left"/>
    </w:lvl>
    <w:lvl w:ilvl="8" w:tplc="2092D2BA">
      <w:numFmt w:val="decimal"/>
      <w:lvlText w:val=""/>
      <w:lvlJc w:val="left"/>
    </w:lvl>
  </w:abstractNum>
  <w:abstractNum w:abstractNumId="1362" w15:restartNumberingAfterBreak="0">
    <w:nsid w:val="68D869E6"/>
    <w:multiLevelType w:val="hybridMultilevel"/>
    <w:tmpl w:val="DEF27538"/>
    <w:lvl w:ilvl="0" w:tplc="7C30C86E">
      <w:numFmt w:val="decimal"/>
      <w:lvlText w:val=""/>
      <w:lvlJc w:val="left"/>
    </w:lvl>
    <w:lvl w:ilvl="1" w:tplc="B65C69F6">
      <w:start w:val="1"/>
      <w:numFmt w:val="bullet"/>
      <w:lvlText w:val=""/>
      <w:lvlJc w:val="left"/>
      <w:pPr>
        <w:ind w:left="1440" w:hanging="180"/>
      </w:pPr>
      <w:rPr>
        <w:rFonts w:ascii="Symbol" w:hAnsi="Symbol" w:hint="default"/>
      </w:rPr>
    </w:lvl>
    <w:lvl w:ilvl="2" w:tplc="972E5354">
      <w:numFmt w:val="decimal"/>
      <w:lvlText w:val=""/>
      <w:lvlJc w:val="left"/>
    </w:lvl>
    <w:lvl w:ilvl="3" w:tplc="54E2DC28">
      <w:numFmt w:val="decimal"/>
      <w:lvlText w:val=""/>
      <w:lvlJc w:val="left"/>
    </w:lvl>
    <w:lvl w:ilvl="4" w:tplc="7C1CD212">
      <w:numFmt w:val="decimal"/>
      <w:lvlText w:val=""/>
      <w:lvlJc w:val="left"/>
    </w:lvl>
    <w:lvl w:ilvl="5" w:tplc="983487E0">
      <w:numFmt w:val="decimal"/>
      <w:lvlText w:val=""/>
      <w:lvlJc w:val="left"/>
    </w:lvl>
    <w:lvl w:ilvl="6" w:tplc="4768B252">
      <w:numFmt w:val="decimal"/>
      <w:lvlText w:val=""/>
      <w:lvlJc w:val="left"/>
    </w:lvl>
    <w:lvl w:ilvl="7" w:tplc="9530D586">
      <w:numFmt w:val="decimal"/>
      <w:lvlText w:val=""/>
      <w:lvlJc w:val="left"/>
    </w:lvl>
    <w:lvl w:ilvl="8" w:tplc="06CAEB46">
      <w:numFmt w:val="decimal"/>
      <w:lvlText w:val=""/>
      <w:lvlJc w:val="left"/>
    </w:lvl>
  </w:abstractNum>
  <w:abstractNum w:abstractNumId="1363" w15:restartNumberingAfterBreak="0">
    <w:nsid w:val="691754BF"/>
    <w:multiLevelType w:val="hybridMultilevel"/>
    <w:tmpl w:val="B4B2940A"/>
    <w:lvl w:ilvl="0" w:tplc="AAAC23A4">
      <w:start w:val="1"/>
      <w:numFmt w:val="bullet"/>
      <w:lvlText w:val=""/>
      <w:lvlJc w:val="left"/>
      <w:pPr>
        <w:ind w:left="720" w:hanging="180"/>
      </w:pPr>
      <w:rPr>
        <w:rFonts w:ascii="Symbol" w:hAnsi="Symbol" w:hint="default"/>
      </w:rPr>
    </w:lvl>
    <w:lvl w:ilvl="1" w:tplc="A392BDA4">
      <w:numFmt w:val="decimal"/>
      <w:lvlText w:val=""/>
      <w:lvlJc w:val="left"/>
    </w:lvl>
    <w:lvl w:ilvl="2" w:tplc="D722BBC2">
      <w:numFmt w:val="decimal"/>
      <w:lvlText w:val=""/>
      <w:lvlJc w:val="left"/>
    </w:lvl>
    <w:lvl w:ilvl="3" w:tplc="90D6EDB4">
      <w:numFmt w:val="decimal"/>
      <w:lvlText w:val=""/>
      <w:lvlJc w:val="left"/>
    </w:lvl>
    <w:lvl w:ilvl="4" w:tplc="A3629020">
      <w:numFmt w:val="decimal"/>
      <w:lvlText w:val=""/>
      <w:lvlJc w:val="left"/>
    </w:lvl>
    <w:lvl w:ilvl="5" w:tplc="C7A47CAA">
      <w:numFmt w:val="decimal"/>
      <w:lvlText w:val=""/>
      <w:lvlJc w:val="left"/>
    </w:lvl>
    <w:lvl w:ilvl="6" w:tplc="F1A85BEA">
      <w:numFmt w:val="decimal"/>
      <w:lvlText w:val=""/>
      <w:lvlJc w:val="left"/>
    </w:lvl>
    <w:lvl w:ilvl="7" w:tplc="84DC9390">
      <w:numFmt w:val="decimal"/>
      <w:lvlText w:val=""/>
      <w:lvlJc w:val="left"/>
    </w:lvl>
    <w:lvl w:ilvl="8" w:tplc="7A80FFC4">
      <w:numFmt w:val="decimal"/>
      <w:lvlText w:val=""/>
      <w:lvlJc w:val="left"/>
    </w:lvl>
  </w:abstractNum>
  <w:abstractNum w:abstractNumId="1364" w15:restartNumberingAfterBreak="0">
    <w:nsid w:val="69466A3C"/>
    <w:multiLevelType w:val="hybridMultilevel"/>
    <w:tmpl w:val="9D50A02A"/>
    <w:lvl w:ilvl="0" w:tplc="E382B8E8">
      <w:start w:val="1"/>
      <w:numFmt w:val="bullet"/>
      <w:lvlText w:val=""/>
      <w:lvlJc w:val="left"/>
      <w:pPr>
        <w:ind w:left="720" w:hanging="180"/>
      </w:pPr>
      <w:rPr>
        <w:rFonts w:ascii="Symbol" w:hAnsi="Symbol" w:hint="default"/>
      </w:rPr>
    </w:lvl>
    <w:lvl w:ilvl="1" w:tplc="442837FC">
      <w:numFmt w:val="decimal"/>
      <w:lvlText w:val=""/>
      <w:lvlJc w:val="left"/>
    </w:lvl>
    <w:lvl w:ilvl="2" w:tplc="3A4E1DC2">
      <w:numFmt w:val="decimal"/>
      <w:lvlText w:val=""/>
      <w:lvlJc w:val="left"/>
    </w:lvl>
    <w:lvl w:ilvl="3" w:tplc="E8849DAC">
      <w:numFmt w:val="decimal"/>
      <w:lvlText w:val=""/>
      <w:lvlJc w:val="left"/>
    </w:lvl>
    <w:lvl w:ilvl="4" w:tplc="6EA65FCA">
      <w:numFmt w:val="decimal"/>
      <w:lvlText w:val=""/>
      <w:lvlJc w:val="left"/>
    </w:lvl>
    <w:lvl w:ilvl="5" w:tplc="28D60864">
      <w:numFmt w:val="decimal"/>
      <w:lvlText w:val=""/>
      <w:lvlJc w:val="left"/>
    </w:lvl>
    <w:lvl w:ilvl="6" w:tplc="3E800B00">
      <w:numFmt w:val="decimal"/>
      <w:lvlText w:val=""/>
      <w:lvlJc w:val="left"/>
    </w:lvl>
    <w:lvl w:ilvl="7" w:tplc="58AA069E">
      <w:numFmt w:val="decimal"/>
      <w:lvlText w:val=""/>
      <w:lvlJc w:val="left"/>
    </w:lvl>
    <w:lvl w:ilvl="8" w:tplc="5E404CA8">
      <w:numFmt w:val="decimal"/>
      <w:lvlText w:val=""/>
      <w:lvlJc w:val="left"/>
    </w:lvl>
  </w:abstractNum>
  <w:abstractNum w:abstractNumId="1365" w15:restartNumberingAfterBreak="0">
    <w:nsid w:val="69483DD1"/>
    <w:multiLevelType w:val="hybridMultilevel"/>
    <w:tmpl w:val="7EFE343E"/>
    <w:lvl w:ilvl="0" w:tplc="A6BCE9AA">
      <w:start w:val="1"/>
      <w:numFmt w:val="bullet"/>
      <w:lvlText w:val=""/>
      <w:lvlJc w:val="left"/>
      <w:pPr>
        <w:ind w:left="720" w:hanging="180"/>
      </w:pPr>
      <w:rPr>
        <w:rFonts w:ascii="Symbol" w:hAnsi="Symbol" w:hint="default"/>
      </w:rPr>
    </w:lvl>
    <w:lvl w:ilvl="1" w:tplc="C442CF6E">
      <w:numFmt w:val="decimal"/>
      <w:lvlText w:val=""/>
      <w:lvlJc w:val="left"/>
    </w:lvl>
    <w:lvl w:ilvl="2" w:tplc="30B60794">
      <w:numFmt w:val="decimal"/>
      <w:lvlText w:val=""/>
      <w:lvlJc w:val="left"/>
    </w:lvl>
    <w:lvl w:ilvl="3" w:tplc="19CE6082">
      <w:numFmt w:val="decimal"/>
      <w:lvlText w:val=""/>
      <w:lvlJc w:val="left"/>
    </w:lvl>
    <w:lvl w:ilvl="4" w:tplc="B3148B18">
      <w:numFmt w:val="decimal"/>
      <w:lvlText w:val=""/>
      <w:lvlJc w:val="left"/>
    </w:lvl>
    <w:lvl w:ilvl="5" w:tplc="BA86417C">
      <w:numFmt w:val="decimal"/>
      <w:lvlText w:val=""/>
      <w:lvlJc w:val="left"/>
    </w:lvl>
    <w:lvl w:ilvl="6" w:tplc="8C7ACAE0">
      <w:numFmt w:val="decimal"/>
      <w:lvlText w:val=""/>
      <w:lvlJc w:val="left"/>
    </w:lvl>
    <w:lvl w:ilvl="7" w:tplc="A2AC42BE">
      <w:numFmt w:val="decimal"/>
      <w:lvlText w:val=""/>
      <w:lvlJc w:val="left"/>
    </w:lvl>
    <w:lvl w:ilvl="8" w:tplc="F1306C68">
      <w:numFmt w:val="decimal"/>
      <w:lvlText w:val=""/>
      <w:lvlJc w:val="left"/>
    </w:lvl>
  </w:abstractNum>
  <w:abstractNum w:abstractNumId="1366" w15:restartNumberingAfterBreak="0">
    <w:nsid w:val="6953554F"/>
    <w:multiLevelType w:val="hybridMultilevel"/>
    <w:tmpl w:val="F028DDC0"/>
    <w:lvl w:ilvl="0" w:tplc="A6D0F6F4">
      <w:start w:val="1"/>
      <w:numFmt w:val="bullet"/>
      <w:lvlText w:val=""/>
      <w:lvlJc w:val="left"/>
      <w:pPr>
        <w:ind w:left="720" w:hanging="180"/>
      </w:pPr>
      <w:rPr>
        <w:rFonts w:ascii="Symbol" w:hAnsi="Symbol" w:hint="default"/>
      </w:rPr>
    </w:lvl>
    <w:lvl w:ilvl="1" w:tplc="84F4F39A">
      <w:numFmt w:val="decimal"/>
      <w:lvlText w:val=""/>
      <w:lvlJc w:val="left"/>
    </w:lvl>
    <w:lvl w:ilvl="2" w:tplc="F6D84180">
      <w:numFmt w:val="decimal"/>
      <w:lvlText w:val=""/>
      <w:lvlJc w:val="left"/>
    </w:lvl>
    <w:lvl w:ilvl="3" w:tplc="610691BA">
      <w:numFmt w:val="decimal"/>
      <w:lvlText w:val=""/>
      <w:lvlJc w:val="left"/>
    </w:lvl>
    <w:lvl w:ilvl="4" w:tplc="3886DDE4">
      <w:numFmt w:val="decimal"/>
      <w:lvlText w:val=""/>
      <w:lvlJc w:val="left"/>
    </w:lvl>
    <w:lvl w:ilvl="5" w:tplc="EE7EDF90">
      <w:numFmt w:val="decimal"/>
      <w:lvlText w:val=""/>
      <w:lvlJc w:val="left"/>
    </w:lvl>
    <w:lvl w:ilvl="6" w:tplc="3BEE7F20">
      <w:numFmt w:val="decimal"/>
      <w:lvlText w:val=""/>
      <w:lvlJc w:val="left"/>
    </w:lvl>
    <w:lvl w:ilvl="7" w:tplc="53C8B16A">
      <w:numFmt w:val="decimal"/>
      <w:lvlText w:val=""/>
      <w:lvlJc w:val="left"/>
    </w:lvl>
    <w:lvl w:ilvl="8" w:tplc="B2CCABB2">
      <w:numFmt w:val="decimal"/>
      <w:lvlText w:val=""/>
      <w:lvlJc w:val="left"/>
    </w:lvl>
  </w:abstractNum>
  <w:abstractNum w:abstractNumId="1367" w15:restartNumberingAfterBreak="0">
    <w:nsid w:val="696923FD"/>
    <w:multiLevelType w:val="hybridMultilevel"/>
    <w:tmpl w:val="ADCE65B8"/>
    <w:lvl w:ilvl="0" w:tplc="B1D6E31C">
      <w:numFmt w:val="decimal"/>
      <w:lvlText w:val=""/>
      <w:lvlJc w:val="left"/>
    </w:lvl>
    <w:lvl w:ilvl="1" w:tplc="6BCA984C">
      <w:numFmt w:val="decimal"/>
      <w:lvlText w:val=""/>
      <w:lvlJc w:val="left"/>
    </w:lvl>
    <w:lvl w:ilvl="2" w:tplc="1C30D5B4">
      <w:start w:val="1"/>
      <w:numFmt w:val="bullet"/>
      <w:lvlText w:val=""/>
      <w:lvlJc w:val="left"/>
      <w:pPr>
        <w:ind w:left="2160" w:hanging="180"/>
      </w:pPr>
      <w:rPr>
        <w:rFonts w:ascii="Symbol" w:hAnsi="Symbol" w:hint="default"/>
      </w:rPr>
    </w:lvl>
    <w:lvl w:ilvl="3" w:tplc="D0A030AC">
      <w:numFmt w:val="decimal"/>
      <w:lvlText w:val=""/>
      <w:lvlJc w:val="left"/>
    </w:lvl>
    <w:lvl w:ilvl="4" w:tplc="A718F06C">
      <w:numFmt w:val="decimal"/>
      <w:lvlText w:val=""/>
      <w:lvlJc w:val="left"/>
    </w:lvl>
    <w:lvl w:ilvl="5" w:tplc="E904F2C8">
      <w:numFmt w:val="decimal"/>
      <w:lvlText w:val=""/>
      <w:lvlJc w:val="left"/>
    </w:lvl>
    <w:lvl w:ilvl="6" w:tplc="8CC85EE6">
      <w:numFmt w:val="decimal"/>
      <w:lvlText w:val=""/>
      <w:lvlJc w:val="left"/>
    </w:lvl>
    <w:lvl w:ilvl="7" w:tplc="F73C7C46">
      <w:numFmt w:val="decimal"/>
      <w:lvlText w:val=""/>
      <w:lvlJc w:val="left"/>
    </w:lvl>
    <w:lvl w:ilvl="8" w:tplc="02A6E2F8">
      <w:numFmt w:val="decimal"/>
      <w:lvlText w:val=""/>
      <w:lvlJc w:val="left"/>
    </w:lvl>
  </w:abstractNum>
  <w:abstractNum w:abstractNumId="1368" w15:restartNumberingAfterBreak="0">
    <w:nsid w:val="69785F08"/>
    <w:multiLevelType w:val="hybridMultilevel"/>
    <w:tmpl w:val="DB329C12"/>
    <w:lvl w:ilvl="0" w:tplc="FD8A2C4E">
      <w:start w:val="1"/>
      <w:numFmt w:val="bullet"/>
      <w:lvlText w:val=""/>
      <w:lvlJc w:val="left"/>
      <w:pPr>
        <w:ind w:left="720" w:hanging="180"/>
      </w:pPr>
      <w:rPr>
        <w:rFonts w:ascii="Symbol" w:hAnsi="Symbol" w:hint="default"/>
      </w:rPr>
    </w:lvl>
    <w:lvl w:ilvl="1" w:tplc="31D879BE">
      <w:numFmt w:val="decimal"/>
      <w:lvlText w:val=""/>
      <w:lvlJc w:val="left"/>
    </w:lvl>
    <w:lvl w:ilvl="2" w:tplc="F4E0C6E6">
      <w:numFmt w:val="decimal"/>
      <w:lvlText w:val=""/>
      <w:lvlJc w:val="left"/>
    </w:lvl>
    <w:lvl w:ilvl="3" w:tplc="087CFB72">
      <w:numFmt w:val="decimal"/>
      <w:lvlText w:val=""/>
      <w:lvlJc w:val="left"/>
    </w:lvl>
    <w:lvl w:ilvl="4" w:tplc="E3BE739C">
      <w:numFmt w:val="decimal"/>
      <w:lvlText w:val=""/>
      <w:lvlJc w:val="left"/>
    </w:lvl>
    <w:lvl w:ilvl="5" w:tplc="92A40D64">
      <w:numFmt w:val="decimal"/>
      <w:lvlText w:val=""/>
      <w:lvlJc w:val="left"/>
    </w:lvl>
    <w:lvl w:ilvl="6" w:tplc="254C1E8E">
      <w:numFmt w:val="decimal"/>
      <w:lvlText w:val=""/>
      <w:lvlJc w:val="left"/>
    </w:lvl>
    <w:lvl w:ilvl="7" w:tplc="9ADA1D9E">
      <w:numFmt w:val="decimal"/>
      <w:lvlText w:val=""/>
      <w:lvlJc w:val="left"/>
    </w:lvl>
    <w:lvl w:ilvl="8" w:tplc="8E1AF1DE">
      <w:numFmt w:val="decimal"/>
      <w:lvlText w:val=""/>
      <w:lvlJc w:val="left"/>
    </w:lvl>
  </w:abstractNum>
  <w:abstractNum w:abstractNumId="1369" w15:restartNumberingAfterBreak="0">
    <w:nsid w:val="698B5687"/>
    <w:multiLevelType w:val="hybridMultilevel"/>
    <w:tmpl w:val="85BE3776"/>
    <w:lvl w:ilvl="0" w:tplc="3BF487BA">
      <w:start w:val="1"/>
      <w:numFmt w:val="bullet"/>
      <w:lvlText w:val=""/>
      <w:lvlJc w:val="left"/>
      <w:pPr>
        <w:ind w:left="720" w:hanging="180"/>
      </w:pPr>
      <w:rPr>
        <w:rFonts w:ascii="Symbol" w:hAnsi="Symbol" w:hint="default"/>
      </w:rPr>
    </w:lvl>
    <w:lvl w:ilvl="1" w:tplc="82743760">
      <w:numFmt w:val="decimal"/>
      <w:lvlText w:val=""/>
      <w:lvlJc w:val="left"/>
    </w:lvl>
    <w:lvl w:ilvl="2" w:tplc="D96EEA1A">
      <w:numFmt w:val="decimal"/>
      <w:lvlText w:val=""/>
      <w:lvlJc w:val="left"/>
    </w:lvl>
    <w:lvl w:ilvl="3" w:tplc="76A64DDC">
      <w:numFmt w:val="decimal"/>
      <w:lvlText w:val=""/>
      <w:lvlJc w:val="left"/>
    </w:lvl>
    <w:lvl w:ilvl="4" w:tplc="7D441E8C">
      <w:numFmt w:val="decimal"/>
      <w:lvlText w:val=""/>
      <w:lvlJc w:val="left"/>
    </w:lvl>
    <w:lvl w:ilvl="5" w:tplc="26A03434">
      <w:numFmt w:val="decimal"/>
      <w:lvlText w:val=""/>
      <w:lvlJc w:val="left"/>
    </w:lvl>
    <w:lvl w:ilvl="6" w:tplc="3D708580">
      <w:numFmt w:val="decimal"/>
      <w:lvlText w:val=""/>
      <w:lvlJc w:val="left"/>
    </w:lvl>
    <w:lvl w:ilvl="7" w:tplc="E67248C4">
      <w:numFmt w:val="decimal"/>
      <w:lvlText w:val=""/>
      <w:lvlJc w:val="left"/>
    </w:lvl>
    <w:lvl w:ilvl="8" w:tplc="0ED0A62C">
      <w:numFmt w:val="decimal"/>
      <w:lvlText w:val=""/>
      <w:lvlJc w:val="left"/>
    </w:lvl>
  </w:abstractNum>
  <w:abstractNum w:abstractNumId="1370" w15:restartNumberingAfterBreak="0">
    <w:nsid w:val="69BA5C44"/>
    <w:multiLevelType w:val="hybridMultilevel"/>
    <w:tmpl w:val="C100B8EC"/>
    <w:lvl w:ilvl="0" w:tplc="C90EA06E">
      <w:start w:val="1"/>
      <w:numFmt w:val="bullet"/>
      <w:lvlText w:val=""/>
      <w:lvlJc w:val="left"/>
      <w:pPr>
        <w:ind w:left="720" w:hanging="180"/>
      </w:pPr>
      <w:rPr>
        <w:rFonts w:ascii="Symbol" w:hAnsi="Symbol" w:hint="default"/>
      </w:rPr>
    </w:lvl>
    <w:lvl w:ilvl="1" w:tplc="11181542">
      <w:numFmt w:val="decimal"/>
      <w:lvlText w:val=""/>
      <w:lvlJc w:val="left"/>
    </w:lvl>
    <w:lvl w:ilvl="2" w:tplc="04C0BBC8">
      <w:numFmt w:val="decimal"/>
      <w:lvlText w:val=""/>
      <w:lvlJc w:val="left"/>
    </w:lvl>
    <w:lvl w:ilvl="3" w:tplc="58BEF0F4">
      <w:numFmt w:val="decimal"/>
      <w:lvlText w:val=""/>
      <w:lvlJc w:val="left"/>
    </w:lvl>
    <w:lvl w:ilvl="4" w:tplc="6BE6F208">
      <w:numFmt w:val="decimal"/>
      <w:lvlText w:val=""/>
      <w:lvlJc w:val="left"/>
    </w:lvl>
    <w:lvl w:ilvl="5" w:tplc="E73A3316">
      <w:numFmt w:val="decimal"/>
      <w:lvlText w:val=""/>
      <w:lvlJc w:val="left"/>
    </w:lvl>
    <w:lvl w:ilvl="6" w:tplc="53E61E2E">
      <w:numFmt w:val="decimal"/>
      <w:lvlText w:val=""/>
      <w:lvlJc w:val="left"/>
    </w:lvl>
    <w:lvl w:ilvl="7" w:tplc="51A6AFB4">
      <w:numFmt w:val="decimal"/>
      <w:lvlText w:val=""/>
      <w:lvlJc w:val="left"/>
    </w:lvl>
    <w:lvl w:ilvl="8" w:tplc="0EA8965C">
      <w:numFmt w:val="decimal"/>
      <w:lvlText w:val=""/>
      <w:lvlJc w:val="left"/>
    </w:lvl>
  </w:abstractNum>
  <w:abstractNum w:abstractNumId="1371" w15:restartNumberingAfterBreak="0">
    <w:nsid w:val="69E37D7F"/>
    <w:multiLevelType w:val="hybridMultilevel"/>
    <w:tmpl w:val="853A771C"/>
    <w:lvl w:ilvl="0" w:tplc="056AFF9C">
      <w:start w:val="1"/>
      <w:numFmt w:val="bullet"/>
      <w:lvlText w:val=""/>
      <w:lvlJc w:val="left"/>
      <w:pPr>
        <w:ind w:left="720" w:hanging="180"/>
      </w:pPr>
      <w:rPr>
        <w:rFonts w:ascii="Symbol" w:hAnsi="Symbol" w:hint="default"/>
      </w:rPr>
    </w:lvl>
    <w:lvl w:ilvl="1" w:tplc="9CB686E8">
      <w:numFmt w:val="decimal"/>
      <w:lvlText w:val=""/>
      <w:lvlJc w:val="left"/>
    </w:lvl>
    <w:lvl w:ilvl="2" w:tplc="171AA16C">
      <w:numFmt w:val="decimal"/>
      <w:lvlText w:val=""/>
      <w:lvlJc w:val="left"/>
    </w:lvl>
    <w:lvl w:ilvl="3" w:tplc="2C925A88">
      <w:numFmt w:val="decimal"/>
      <w:lvlText w:val=""/>
      <w:lvlJc w:val="left"/>
    </w:lvl>
    <w:lvl w:ilvl="4" w:tplc="6DE67870">
      <w:numFmt w:val="decimal"/>
      <w:lvlText w:val=""/>
      <w:lvlJc w:val="left"/>
    </w:lvl>
    <w:lvl w:ilvl="5" w:tplc="04A0E56A">
      <w:numFmt w:val="decimal"/>
      <w:lvlText w:val=""/>
      <w:lvlJc w:val="left"/>
    </w:lvl>
    <w:lvl w:ilvl="6" w:tplc="D01A159A">
      <w:numFmt w:val="decimal"/>
      <w:lvlText w:val=""/>
      <w:lvlJc w:val="left"/>
    </w:lvl>
    <w:lvl w:ilvl="7" w:tplc="0C4287AA">
      <w:numFmt w:val="decimal"/>
      <w:lvlText w:val=""/>
      <w:lvlJc w:val="left"/>
    </w:lvl>
    <w:lvl w:ilvl="8" w:tplc="25324C08">
      <w:numFmt w:val="decimal"/>
      <w:lvlText w:val=""/>
      <w:lvlJc w:val="left"/>
    </w:lvl>
  </w:abstractNum>
  <w:abstractNum w:abstractNumId="1372" w15:restartNumberingAfterBreak="0">
    <w:nsid w:val="69E843F0"/>
    <w:multiLevelType w:val="hybridMultilevel"/>
    <w:tmpl w:val="461CF368"/>
    <w:lvl w:ilvl="0" w:tplc="A2C839CC">
      <w:start w:val="1"/>
      <w:numFmt w:val="bullet"/>
      <w:lvlText w:val=""/>
      <w:lvlJc w:val="left"/>
      <w:pPr>
        <w:ind w:left="720" w:hanging="180"/>
      </w:pPr>
      <w:rPr>
        <w:rFonts w:ascii="Symbol" w:hAnsi="Symbol" w:hint="default"/>
      </w:rPr>
    </w:lvl>
    <w:lvl w:ilvl="1" w:tplc="A5AC6AA2">
      <w:numFmt w:val="decimal"/>
      <w:lvlText w:val=""/>
      <w:lvlJc w:val="left"/>
    </w:lvl>
    <w:lvl w:ilvl="2" w:tplc="24F052BA">
      <w:numFmt w:val="decimal"/>
      <w:lvlText w:val=""/>
      <w:lvlJc w:val="left"/>
    </w:lvl>
    <w:lvl w:ilvl="3" w:tplc="1D883780">
      <w:numFmt w:val="decimal"/>
      <w:lvlText w:val=""/>
      <w:lvlJc w:val="left"/>
    </w:lvl>
    <w:lvl w:ilvl="4" w:tplc="9C2E0B8A">
      <w:numFmt w:val="decimal"/>
      <w:lvlText w:val=""/>
      <w:lvlJc w:val="left"/>
    </w:lvl>
    <w:lvl w:ilvl="5" w:tplc="0F46766A">
      <w:numFmt w:val="decimal"/>
      <w:lvlText w:val=""/>
      <w:lvlJc w:val="left"/>
    </w:lvl>
    <w:lvl w:ilvl="6" w:tplc="43BA85AC">
      <w:numFmt w:val="decimal"/>
      <w:lvlText w:val=""/>
      <w:lvlJc w:val="left"/>
    </w:lvl>
    <w:lvl w:ilvl="7" w:tplc="A3F0AFDE">
      <w:numFmt w:val="decimal"/>
      <w:lvlText w:val=""/>
      <w:lvlJc w:val="left"/>
    </w:lvl>
    <w:lvl w:ilvl="8" w:tplc="895E4EE0">
      <w:numFmt w:val="decimal"/>
      <w:lvlText w:val=""/>
      <w:lvlJc w:val="left"/>
    </w:lvl>
  </w:abstractNum>
  <w:abstractNum w:abstractNumId="1373" w15:restartNumberingAfterBreak="0">
    <w:nsid w:val="69F661E3"/>
    <w:multiLevelType w:val="hybridMultilevel"/>
    <w:tmpl w:val="134CC0DE"/>
    <w:lvl w:ilvl="0" w:tplc="92902232">
      <w:numFmt w:val="decimal"/>
      <w:lvlText w:val=""/>
      <w:lvlJc w:val="left"/>
    </w:lvl>
    <w:lvl w:ilvl="1" w:tplc="38848826">
      <w:start w:val="1"/>
      <w:numFmt w:val="bullet"/>
      <w:lvlText w:val=""/>
      <w:lvlJc w:val="left"/>
      <w:pPr>
        <w:ind w:left="1440" w:hanging="180"/>
      </w:pPr>
      <w:rPr>
        <w:rFonts w:ascii="Symbol" w:hAnsi="Symbol" w:hint="default"/>
      </w:rPr>
    </w:lvl>
    <w:lvl w:ilvl="2" w:tplc="971EC414">
      <w:numFmt w:val="decimal"/>
      <w:lvlText w:val=""/>
      <w:lvlJc w:val="left"/>
    </w:lvl>
    <w:lvl w:ilvl="3" w:tplc="D26290CC">
      <w:numFmt w:val="decimal"/>
      <w:lvlText w:val=""/>
      <w:lvlJc w:val="left"/>
    </w:lvl>
    <w:lvl w:ilvl="4" w:tplc="4FCCC384">
      <w:numFmt w:val="decimal"/>
      <w:lvlText w:val=""/>
      <w:lvlJc w:val="left"/>
    </w:lvl>
    <w:lvl w:ilvl="5" w:tplc="40CEA97E">
      <w:numFmt w:val="decimal"/>
      <w:lvlText w:val=""/>
      <w:lvlJc w:val="left"/>
    </w:lvl>
    <w:lvl w:ilvl="6" w:tplc="E8E8B452">
      <w:numFmt w:val="decimal"/>
      <w:lvlText w:val=""/>
      <w:lvlJc w:val="left"/>
    </w:lvl>
    <w:lvl w:ilvl="7" w:tplc="4C56F662">
      <w:numFmt w:val="decimal"/>
      <w:lvlText w:val=""/>
      <w:lvlJc w:val="left"/>
    </w:lvl>
    <w:lvl w:ilvl="8" w:tplc="A8D6A086">
      <w:numFmt w:val="decimal"/>
      <w:lvlText w:val=""/>
      <w:lvlJc w:val="left"/>
    </w:lvl>
  </w:abstractNum>
  <w:abstractNum w:abstractNumId="1374" w15:restartNumberingAfterBreak="0">
    <w:nsid w:val="6A19083F"/>
    <w:multiLevelType w:val="hybridMultilevel"/>
    <w:tmpl w:val="2EE6A4DC"/>
    <w:lvl w:ilvl="0" w:tplc="21BC89CE">
      <w:start w:val="1"/>
      <w:numFmt w:val="bullet"/>
      <w:lvlText w:val=""/>
      <w:lvlJc w:val="left"/>
      <w:pPr>
        <w:ind w:left="720" w:hanging="180"/>
      </w:pPr>
      <w:rPr>
        <w:rFonts w:ascii="Symbol" w:hAnsi="Symbol" w:hint="default"/>
      </w:rPr>
    </w:lvl>
    <w:lvl w:ilvl="1" w:tplc="42AC211A">
      <w:numFmt w:val="decimal"/>
      <w:lvlText w:val=""/>
      <w:lvlJc w:val="left"/>
    </w:lvl>
    <w:lvl w:ilvl="2" w:tplc="45AC3280">
      <w:numFmt w:val="decimal"/>
      <w:lvlText w:val=""/>
      <w:lvlJc w:val="left"/>
    </w:lvl>
    <w:lvl w:ilvl="3" w:tplc="CC9E6A1E">
      <w:numFmt w:val="decimal"/>
      <w:lvlText w:val=""/>
      <w:lvlJc w:val="left"/>
    </w:lvl>
    <w:lvl w:ilvl="4" w:tplc="A18605CE">
      <w:numFmt w:val="decimal"/>
      <w:lvlText w:val=""/>
      <w:lvlJc w:val="left"/>
    </w:lvl>
    <w:lvl w:ilvl="5" w:tplc="F12A8F80">
      <w:numFmt w:val="decimal"/>
      <w:lvlText w:val=""/>
      <w:lvlJc w:val="left"/>
    </w:lvl>
    <w:lvl w:ilvl="6" w:tplc="AA422068">
      <w:numFmt w:val="decimal"/>
      <w:lvlText w:val=""/>
      <w:lvlJc w:val="left"/>
    </w:lvl>
    <w:lvl w:ilvl="7" w:tplc="BC127810">
      <w:numFmt w:val="decimal"/>
      <w:lvlText w:val=""/>
      <w:lvlJc w:val="left"/>
    </w:lvl>
    <w:lvl w:ilvl="8" w:tplc="92487F46">
      <w:numFmt w:val="decimal"/>
      <w:lvlText w:val=""/>
      <w:lvlJc w:val="left"/>
    </w:lvl>
  </w:abstractNum>
  <w:abstractNum w:abstractNumId="1375" w15:restartNumberingAfterBreak="0">
    <w:nsid w:val="6A1E42FF"/>
    <w:multiLevelType w:val="hybridMultilevel"/>
    <w:tmpl w:val="069839A6"/>
    <w:lvl w:ilvl="0" w:tplc="E034D77A">
      <w:start w:val="1"/>
      <w:numFmt w:val="bullet"/>
      <w:lvlText w:val=""/>
      <w:lvlJc w:val="left"/>
      <w:pPr>
        <w:ind w:left="720" w:hanging="180"/>
      </w:pPr>
      <w:rPr>
        <w:rFonts w:ascii="Symbol" w:hAnsi="Symbol" w:hint="default"/>
      </w:rPr>
    </w:lvl>
    <w:lvl w:ilvl="1" w:tplc="07B89BD2">
      <w:numFmt w:val="decimal"/>
      <w:lvlText w:val=""/>
      <w:lvlJc w:val="left"/>
    </w:lvl>
    <w:lvl w:ilvl="2" w:tplc="552E33E6">
      <w:numFmt w:val="decimal"/>
      <w:lvlText w:val=""/>
      <w:lvlJc w:val="left"/>
    </w:lvl>
    <w:lvl w:ilvl="3" w:tplc="454A7666">
      <w:numFmt w:val="decimal"/>
      <w:lvlText w:val=""/>
      <w:lvlJc w:val="left"/>
    </w:lvl>
    <w:lvl w:ilvl="4" w:tplc="AD4A6542">
      <w:numFmt w:val="decimal"/>
      <w:lvlText w:val=""/>
      <w:lvlJc w:val="left"/>
    </w:lvl>
    <w:lvl w:ilvl="5" w:tplc="1A22E6AE">
      <w:numFmt w:val="decimal"/>
      <w:lvlText w:val=""/>
      <w:lvlJc w:val="left"/>
    </w:lvl>
    <w:lvl w:ilvl="6" w:tplc="4CC811BC">
      <w:numFmt w:val="decimal"/>
      <w:lvlText w:val=""/>
      <w:lvlJc w:val="left"/>
    </w:lvl>
    <w:lvl w:ilvl="7" w:tplc="CEBA6056">
      <w:numFmt w:val="decimal"/>
      <w:lvlText w:val=""/>
      <w:lvlJc w:val="left"/>
    </w:lvl>
    <w:lvl w:ilvl="8" w:tplc="2EB08F24">
      <w:numFmt w:val="decimal"/>
      <w:lvlText w:val=""/>
      <w:lvlJc w:val="left"/>
    </w:lvl>
  </w:abstractNum>
  <w:abstractNum w:abstractNumId="1376" w15:restartNumberingAfterBreak="0">
    <w:nsid w:val="6A6D35B0"/>
    <w:multiLevelType w:val="hybridMultilevel"/>
    <w:tmpl w:val="D8524796"/>
    <w:lvl w:ilvl="0" w:tplc="CFA6CD40">
      <w:start w:val="1"/>
      <w:numFmt w:val="bullet"/>
      <w:lvlText w:val=""/>
      <w:lvlJc w:val="left"/>
      <w:pPr>
        <w:ind w:left="720" w:hanging="180"/>
      </w:pPr>
      <w:rPr>
        <w:rFonts w:ascii="Symbol" w:hAnsi="Symbol" w:hint="default"/>
      </w:rPr>
    </w:lvl>
    <w:lvl w:ilvl="1" w:tplc="C5F27BD4">
      <w:numFmt w:val="decimal"/>
      <w:lvlText w:val=""/>
      <w:lvlJc w:val="left"/>
    </w:lvl>
    <w:lvl w:ilvl="2" w:tplc="ECD2BFEA">
      <w:numFmt w:val="decimal"/>
      <w:lvlText w:val=""/>
      <w:lvlJc w:val="left"/>
    </w:lvl>
    <w:lvl w:ilvl="3" w:tplc="27FE92D0">
      <w:numFmt w:val="decimal"/>
      <w:lvlText w:val=""/>
      <w:lvlJc w:val="left"/>
    </w:lvl>
    <w:lvl w:ilvl="4" w:tplc="B08EDB3E">
      <w:numFmt w:val="decimal"/>
      <w:lvlText w:val=""/>
      <w:lvlJc w:val="left"/>
    </w:lvl>
    <w:lvl w:ilvl="5" w:tplc="61D6ABAA">
      <w:numFmt w:val="decimal"/>
      <w:lvlText w:val=""/>
      <w:lvlJc w:val="left"/>
    </w:lvl>
    <w:lvl w:ilvl="6" w:tplc="48ECDA3A">
      <w:numFmt w:val="decimal"/>
      <w:lvlText w:val=""/>
      <w:lvlJc w:val="left"/>
    </w:lvl>
    <w:lvl w:ilvl="7" w:tplc="942AB674">
      <w:numFmt w:val="decimal"/>
      <w:lvlText w:val=""/>
      <w:lvlJc w:val="left"/>
    </w:lvl>
    <w:lvl w:ilvl="8" w:tplc="0A9688DA">
      <w:numFmt w:val="decimal"/>
      <w:lvlText w:val=""/>
      <w:lvlJc w:val="left"/>
    </w:lvl>
  </w:abstractNum>
  <w:abstractNum w:abstractNumId="1377" w15:restartNumberingAfterBreak="0">
    <w:nsid w:val="6A77320A"/>
    <w:multiLevelType w:val="hybridMultilevel"/>
    <w:tmpl w:val="B8DA0406"/>
    <w:lvl w:ilvl="0" w:tplc="BCF22CA6">
      <w:start w:val="1"/>
      <w:numFmt w:val="bullet"/>
      <w:lvlText w:val=""/>
      <w:lvlJc w:val="left"/>
      <w:pPr>
        <w:ind w:left="720" w:hanging="180"/>
      </w:pPr>
      <w:rPr>
        <w:rFonts w:ascii="Symbol" w:hAnsi="Symbol" w:hint="default"/>
      </w:rPr>
    </w:lvl>
    <w:lvl w:ilvl="1" w:tplc="4EEC1540">
      <w:numFmt w:val="decimal"/>
      <w:lvlText w:val=""/>
      <w:lvlJc w:val="left"/>
    </w:lvl>
    <w:lvl w:ilvl="2" w:tplc="90FC94A8">
      <w:numFmt w:val="decimal"/>
      <w:lvlText w:val=""/>
      <w:lvlJc w:val="left"/>
    </w:lvl>
    <w:lvl w:ilvl="3" w:tplc="5DD8C536">
      <w:numFmt w:val="decimal"/>
      <w:lvlText w:val=""/>
      <w:lvlJc w:val="left"/>
    </w:lvl>
    <w:lvl w:ilvl="4" w:tplc="2C4A876C">
      <w:numFmt w:val="decimal"/>
      <w:lvlText w:val=""/>
      <w:lvlJc w:val="left"/>
    </w:lvl>
    <w:lvl w:ilvl="5" w:tplc="DDB4FE94">
      <w:numFmt w:val="decimal"/>
      <w:lvlText w:val=""/>
      <w:lvlJc w:val="left"/>
    </w:lvl>
    <w:lvl w:ilvl="6" w:tplc="311EC05E">
      <w:numFmt w:val="decimal"/>
      <w:lvlText w:val=""/>
      <w:lvlJc w:val="left"/>
    </w:lvl>
    <w:lvl w:ilvl="7" w:tplc="48069C50">
      <w:numFmt w:val="decimal"/>
      <w:lvlText w:val=""/>
      <w:lvlJc w:val="left"/>
    </w:lvl>
    <w:lvl w:ilvl="8" w:tplc="38B83A7E">
      <w:numFmt w:val="decimal"/>
      <w:lvlText w:val=""/>
      <w:lvlJc w:val="left"/>
    </w:lvl>
  </w:abstractNum>
  <w:abstractNum w:abstractNumId="1378" w15:restartNumberingAfterBreak="0">
    <w:nsid w:val="6A8F48B6"/>
    <w:multiLevelType w:val="hybridMultilevel"/>
    <w:tmpl w:val="4FC817F6"/>
    <w:lvl w:ilvl="0" w:tplc="AD04E21C">
      <w:numFmt w:val="decimal"/>
      <w:lvlText w:val=""/>
      <w:lvlJc w:val="left"/>
    </w:lvl>
    <w:lvl w:ilvl="1" w:tplc="D88AD06E">
      <w:start w:val="1"/>
      <w:numFmt w:val="bullet"/>
      <w:lvlText w:val=""/>
      <w:lvlJc w:val="left"/>
      <w:pPr>
        <w:ind w:left="1440" w:hanging="180"/>
      </w:pPr>
      <w:rPr>
        <w:rFonts w:ascii="Symbol" w:hAnsi="Symbol" w:hint="default"/>
      </w:rPr>
    </w:lvl>
    <w:lvl w:ilvl="2" w:tplc="B00A11F6">
      <w:numFmt w:val="decimal"/>
      <w:lvlText w:val=""/>
      <w:lvlJc w:val="left"/>
    </w:lvl>
    <w:lvl w:ilvl="3" w:tplc="811217D6">
      <w:numFmt w:val="decimal"/>
      <w:lvlText w:val=""/>
      <w:lvlJc w:val="left"/>
    </w:lvl>
    <w:lvl w:ilvl="4" w:tplc="DD08FD58">
      <w:numFmt w:val="decimal"/>
      <w:lvlText w:val=""/>
      <w:lvlJc w:val="left"/>
    </w:lvl>
    <w:lvl w:ilvl="5" w:tplc="D1DC8FE4">
      <w:numFmt w:val="decimal"/>
      <w:lvlText w:val=""/>
      <w:lvlJc w:val="left"/>
    </w:lvl>
    <w:lvl w:ilvl="6" w:tplc="81B0DFEE">
      <w:numFmt w:val="decimal"/>
      <w:lvlText w:val=""/>
      <w:lvlJc w:val="left"/>
    </w:lvl>
    <w:lvl w:ilvl="7" w:tplc="60E4708E">
      <w:numFmt w:val="decimal"/>
      <w:lvlText w:val=""/>
      <w:lvlJc w:val="left"/>
    </w:lvl>
    <w:lvl w:ilvl="8" w:tplc="5404804A">
      <w:numFmt w:val="decimal"/>
      <w:lvlText w:val=""/>
      <w:lvlJc w:val="left"/>
    </w:lvl>
  </w:abstractNum>
  <w:abstractNum w:abstractNumId="1379" w15:restartNumberingAfterBreak="0">
    <w:nsid w:val="6AAC19DD"/>
    <w:multiLevelType w:val="hybridMultilevel"/>
    <w:tmpl w:val="C7B63A6C"/>
    <w:lvl w:ilvl="0" w:tplc="CEA4E290">
      <w:start w:val="1"/>
      <w:numFmt w:val="bullet"/>
      <w:lvlText w:val=""/>
      <w:lvlJc w:val="left"/>
      <w:pPr>
        <w:ind w:left="720" w:hanging="180"/>
      </w:pPr>
      <w:rPr>
        <w:rFonts w:ascii="Symbol" w:hAnsi="Symbol" w:hint="default"/>
      </w:rPr>
    </w:lvl>
    <w:lvl w:ilvl="1" w:tplc="56603AF6">
      <w:numFmt w:val="decimal"/>
      <w:lvlText w:val=""/>
      <w:lvlJc w:val="left"/>
    </w:lvl>
    <w:lvl w:ilvl="2" w:tplc="43D0E9EC">
      <w:numFmt w:val="decimal"/>
      <w:lvlText w:val=""/>
      <w:lvlJc w:val="left"/>
    </w:lvl>
    <w:lvl w:ilvl="3" w:tplc="A176DD60">
      <w:numFmt w:val="decimal"/>
      <w:lvlText w:val=""/>
      <w:lvlJc w:val="left"/>
    </w:lvl>
    <w:lvl w:ilvl="4" w:tplc="630C172C">
      <w:numFmt w:val="decimal"/>
      <w:lvlText w:val=""/>
      <w:lvlJc w:val="left"/>
    </w:lvl>
    <w:lvl w:ilvl="5" w:tplc="6E3C7E10">
      <w:numFmt w:val="decimal"/>
      <w:lvlText w:val=""/>
      <w:lvlJc w:val="left"/>
    </w:lvl>
    <w:lvl w:ilvl="6" w:tplc="8CDEB690">
      <w:numFmt w:val="decimal"/>
      <w:lvlText w:val=""/>
      <w:lvlJc w:val="left"/>
    </w:lvl>
    <w:lvl w:ilvl="7" w:tplc="4CEC8F5E">
      <w:numFmt w:val="decimal"/>
      <w:lvlText w:val=""/>
      <w:lvlJc w:val="left"/>
    </w:lvl>
    <w:lvl w:ilvl="8" w:tplc="71CE8232">
      <w:numFmt w:val="decimal"/>
      <w:lvlText w:val=""/>
      <w:lvlJc w:val="left"/>
    </w:lvl>
  </w:abstractNum>
  <w:abstractNum w:abstractNumId="1380" w15:restartNumberingAfterBreak="0">
    <w:nsid w:val="6AB45604"/>
    <w:multiLevelType w:val="hybridMultilevel"/>
    <w:tmpl w:val="1C901FCA"/>
    <w:lvl w:ilvl="0" w:tplc="E52C6848">
      <w:start w:val="1"/>
      <w:numFmt w:val="bullet"/>
      <w:lvlText w:val=""/>
      <w:lvlJc w:val="left"/>
      <w:pPr>
        <w:ind w:left="720" w:hanging="180"/>
      </w:pPr>
      <w:rPr>
        <w:rFonts w:ascii="Symbol" w:hAnsi="Symbol" w:hint="default"/>
      </w:rPr>
    </w:lvl>
    <w:lvl w:ilvl="1" w:tplc="2796EA4C">
      <w:numFmt w:val="decimal"/>
      <w:lvlText w:val=""/>
      <w:lvlJc w:val="left"/>
    </w:lvl>
    <w:lvl w:ilvl="2" w:tplc="09F8B356">
      <w:numFmt w:val="decimal"/>
      <w:lvlText w:val=""/>
      <w:lvlJc w:val="left"/>
    </w:lvl>
    <w:lvl w:ilvl="3" w:tplc="5F7CA5AC">
      <w:numFmt w:val="decimal"/>
      <w:lvlText w:val=""/>
      <w:lvlJc w:val="left"/>
    </w:lvl>
    <w:lvl w:ilvl="4" w:tplc="29063700">
      <w:numFmt w:val="decimal"/>
      <w:lvlText w:val=""/>
      <w:lvlJc w:val="left"/>
    </w:lvl>
    <w:lvl w:ilvl="5" w:tplc="5054006A">
      <w:numFmt w:val="decimal"/>
      <w:lvlText w:val=""/>
      <w:lvlJc w:val="left"/>
    </w:lvl>
    <w:lvl w:ilvl="6" w:tplc="2286FB68">
      <w:numFmt w:val="decimal"/>
      <w:lvlText w:val=""/>
      <w:lvlJc w:val="left"/>
    </w:lvl>
    <w:lvl w:ilvl="7" w:tplc="5ADC13B8">
      <w:numFmt w:val="decimal"/>
      <w:lvlText w:val=""/>
      <w:lvlJc w:val="left"/>
    </w:lvl>
    <w:lvl w:ilvl="8" w:tplc="D69CBAF4">
      <w:numFmt w:val="decimal"/>
      <w:lvlText w:val=""/>
      <w:lvlJc w:val="left"/>
    </w:lvl>
  </w:abstractNum>
  <w:abstractNum w:abstractNumId="1381" w15:restartNumberingAfterBreak="0">
    <w:nsid w:val="6AB60775"/>
    <w:multiLevelType w:val="hybridMultilevel"/>
    <w:tmpl w:val="98381862"/>
    <w:lvl w:ilvl="0" w:tplc="BD1211EA">
      <w:start w:val="1"/>
      <w:numFmt w:val="bullet"/>
      <w:lvlText w:val=""/>
      <w:lvlJc w:val="left"/>
      <w:pPr>
        <w:ind w:left="720" w:hanging="180"/>
      </w:pPr>
      <w:rPr>
        <w:rFonts w:ascii="Symbol" w:hAnsi="Symbol" w:hint="default"/>
      </w:rPr>
    </w:lvl>
    <w:lvl w:ilvl="1" w:tplc="B5C6211E">
      <w:numFmt w:val="decimal"/>
      <w:lvlText w:val=""/>
      <w:lvlJc w:val="left"/>
    </w:lvl>
    <w:lvl w:ilvl="2" w:tplc="DB1A0882">
      <w:numFmt w:val="decimal"/>
      <w:lvlText w:val=""/>
      <w:lvlJc w:val="left"/>
    </w:lvl>
    <w:lvl w:ilvl="3" w:tplc="C2943EE4">
      <w:numFmt w:val="decimal"/>
      <w:lvlText w:val=""/>
      <w:lvlJc w:val="left"/>
    </w:lvl>
    <w:lvl w:ilvl="4" w:tplc="41108B56">
      <w:numFmt w:val="decimal"/>
      <w:lvlText w:val=""/>
      <w:lvlJc w:val="left"/>
    </w:lvl>
    <w:lvl w:ilvl="5" w:tplc="CE181A0C">
      <w:numFmt w:val="decimal"/>
      <w:lvlText w:val=""/>
      <w:lvlJc w:val="left"/>
    </w:lvl>
    <w:lvl w:ilvl="6" w:tplc="A4A264EA">
      <w:numFmt w:val="decimal"/>
      <w:lvlText w:val=""/>
      <w:lvlJc w:val="left"/>
    </w:lvl>
    <w:lvl w:ilvl="7" w:tplc="C0760E86">
      <w:numFmt w:val="decimal"/>
      <w:lvlText w:val=""/>
      <w:lvlJc w:val="left"/>
    </w:lvl>
    <w:lvl w:ilvl="8" w:tplc="7452E70E">
      <w:numFmt w:val="decimal"/>
      <w:lvlText w:val=""/>
      <w:lvlJc w:val="left"/>
    </w:lvl>
  </w:abstractNum>
  <w:abstractNum w:abstractNumId="1382" w15:restartNumberingAfterBreak="0">
    <w:nsid w:val="6ABB528A"/>
    <w:multiLevelType w:val="hybridMultilevel"/>
    <w:tmpl w:val="A2A2CDE4"/>
    <w:lvl w:ilvl="0" w:tplc="1D8003DC">
      <w:start w:val="1"/>
      <w:numFmt w:val="bullet"/>
      <w:lvlText w:val=""/>
      <w:lvlJc w:val="left"/>
      <w:pPr>
        <w:ind w:left="720" w:hanging="180"/>
      </w:pPr>
      <w:rPr>
        <w:rFonts w:ascii="Symbol" w:hAnsi="Symbol" w:hint="default"/>
      </w:rPr>
    </w:lvl>
    <w:lvl w:ilvl="1" w:tplc="60261F82">
      <w:numFmt w:val="decimal"/>
      <w:lvlText w:val=""/>
      <w:lvlJc w:val="left"/>
    </w:lvl>
    <w:lvl w:ilvl="2" w:tplc="4998A4C6">
      <w:numFmt w:val="decimal"/>
      <w:lvlText w:val=""/>
      <w:lvlJc w:val="left"/>
    </w:lvl>
    <w:lvl w:ilvl="3" w:tplc="B54E27F0">
      <w:numFmt w:val="decimal"/>
      <w:lvlText w:val=""/>
      <w:lvlJc w:val="left"/>
    </w:lvl>
    <w:lvl w:ilvl="4" w:tplc="AF70F9D6">
      <w:numFmt w:val="decimal"/>
      <w:lvlText w:val=""/>
      <w:lvlJc w:val="left"/>
    </w:lvl>
    <w:lvl w:ilvl="5" w:tplc="4682390E">
      <w:numFmt w:val="decimal"/>
      <w:lvlText w:val=""/>
      <w:lvlJc w:val="left"/>
    </w:lvl>
    <w:lvl w:ilvl="6" w:tplc="528299E4">
      <w:numFmt w:val="decimal"/>
      <w:lvlText w:val=""/>
      <w:lvlJc w:val="left"/>
    </w:lvl>
    <w:lvl w:ilvl="7" w:tplc="2B6C1C90">
      <w:numFmt w:val="decimal"/>
      <w:lvlText w:val=""/>
      <w:lvlJc w:val="left"/>
    </w:lvl>
    <w:lvl w:ilvl="8" w:tplc="340299E6">
      <w:numFmt w:val="decimal"/>
      <w:lvlText w:val=""/>
      <w:lvlJc w:val="left"/>
    </w:lvl>
  </w:abstractNum>
  <w:abstractNum w:abstractNumId="1383" w15:restartNumberingAfterBreak="0">
    <w:nsid w:val="6AD54C06"/>
    <w:multiLevelType w:val="hybridMultilevel"/>
    <w:tmpl w:val="98FA572C"/>
    <w:lvl w:ilvl="0" w:tplc="8BB64832">
      <w:start w:val="1"/>
      <w:numFmt w:val="bullet"/>
      <w:lvlText w:val=""/>
      <w:lvlJc w:val="left"/>
      <w:pPr>
        <w:ind w:left="720" w:hanging="180"/>
      </w:pPr>
      <w:rPr>
        <w:rFonts w:ascii="Symbol" w:hAnsi="Symbol" w:hint="default"/>
      </w:rPr>
    </w:lvl>
    <w:lvl w:ilvl="1" w:tplc="0428C424">
      <w:numFmt w:val="decimal"/>
      <w:lvlText w:val=""/>
      <w:lvlJc w:val="left"/>
    </w:lvl>
    <w:lvl w:ilvl="2" w:tplc="20A6C3E0">
      <w:numFmt w:val="decimal"/>
      <w:lvlText w:val=""/>
      <w:lvlJc w:val="left"/>
    </w:lvl>
    <w:lvl w:ilvl="3" w:tplc="0F4AE334">
      <w:numFmt w:val="decimal"/>
      <w:lvlText w:val=""/>
      <w:lvlJc w:val="left"/>
    </w:lvl>
    <w:lvl w:ilvl="4" w:tplc="CA50196E">
      <w:numFmt w:val="decimal"/>
      <w:lvlText w:val=""/>
      <w:lvlJc w:val="left"/>
    </w:lvl>
    <w:lvl w:ilvl="5" w:tplc="D66223A0">
      <w:numFmt w:val="decimal"/>
      <w:lvlText w:val=""/>
      <w:lvlJc w:val="left"/>
    </w:lvl>
    <w:lvl w:ilvl="6" w:tplc="F54AA254">
      <w:numFmt w:val="decimal"/>
      <w:lvlText w:val=""/>
      <w:lvlJc w:val="left"/>
    </w:lvl>
    <w:lvl w:ilvl="7" w:tplc="DA50B04C">
      <w:numFmt w:val="decimal"/>
      <w:lvlText w:val=""/>
      <w:lvlJc w:val="left"/>
    </w:lvl>
    <w:lvl w:ilvl="8" w:tplc="FDAC442A">
      <w:numFmt w:val="decimal"/>
      <w:lvlText w:val=""/>
      <w:lvlJc w:val="left"/>
    </w:lvl>
  </w:abstractNum>
  <w:abstractNum w:abstractNumId="1384" w15:restartNumberingAfterBreak="0">
    <w:nsid w:val="6B030D9A"/>
    <w:multiLevelType w:val="hybridMultilevel"/>
    <w:tmpl w:val="DCC65876"/>
    <w:lvl w:ilvl="0" w:tplc="1812ED30">
      <w:start w:val="1"/>
      <w:numFmt w:val="bullet"/>
      <w:lvlText w:val=""/>
      <w:lvlJc w:val="left"/>
      <w:pPr>
        <w:ind w:left="720" w:hanging="180"/>
      </w:pPr>
      <w:rPr>
        <w:rFonts w:ascii="Symbol" w:hAnsi="Symbol" w:hint="default"/>
      </w:rPr>
    </w:lvl>
    <w:lvl w:ilvl="1" w:tplc="DF60FFE0">
      <w:numFmt w:val="decimal"/>
      <w:lvlText w:val=""/>
      <w:lvlJc w:val="left"/>
    </w:lvl>
    <w:lvl w:ilvl="2" w:tplc="F1640E24">
      <w:numFmt w:val="decimal"/>
      <w:lvlText w:val=""/>
      <w:lvlJc w:val="left"/>
    </w:lvl>
    <w:lvl w:ilvl="3" w:tplc="F4A28FA4">
      <w:numFmt w:val="decimal"/>
      <w:lvlText w:val=""/>
      <w:lvlJc w:val="left"/>
    </w:lvl>
    <w:lvl w:ilvl="4" w:tplc="13504B0E">
      <w:numFmt w:val="decimal"/>
      <w:lvlText w:val=""/>
      <w:lvlJc w:val="left"/>
    </w:lvl>
    <w:lvl w:ilvl="5" w:tplc="D722CE92">
      <w:numFmt w:val="decimal"/>
      <w:lvlText w:val=""/>
      <w:lvlJc w:val="left"/>
    </w:lvl>
    <w:lvl w:ilvl="6" w:tplc="5DE6BB3A">
      <w:numFmt w:val="decimal"/>
      <w:lvlText w:val=""/>
      <w:lvlJc w:val="left"/>
    </w:lvl>
    <w:lvl w:ilvl="7" w:tplc="385C7B70">
      <w:numFmt w:val="decimal"/>
      <w:lvlText w:val=""/>
      <w:lvlJc w:val="left"/>
    </w:lvl>
    <w:lvl w:ilvl="8" w:tplc="E6FE5E80">
      <w:numFmt w:val="decimal"/>
      <w:lvlText w:val=""/>
      <w:lvlJc w:val="left"/>
    </w:lvl>
  </w:abstractNum>
  <w:abstractNum w:abstractNumId="1385" w15:restartNumberingAfterBreak="0">
    <w:nsid w:val="6B032DB1"/>
    <w:multiLevelType w:val="hybridMultilevel"/>
    <w:tmpl w:val="2864FDC2"/>
    <w:lvl w:ilvl="0" w:tplc="C458FE74">
      <w:start w:val="1"/>
      <w:numFmt w:val="bullet"/>
      <w:lvlText w:val=""/>
      <w:lvlJc w:val="left"/>
      <w:pPr>
        <w:ind w:left="720" w:hanging="180"/>
      </w:pPr>
      <w:rPr>
        <w:rFonts w:ascii="Symbol" w:hAnsi="Symbol" w:hint="default"/>
      </w:rPr>
    </w:lvl>
    <w:lvl w:ilvl="1" w:tplc="55AE6C74">
      <w:numFmt w:val="decimal"/>
      <w:lvlText w:val=""/>
      <w:lvlJc w:val="left"/>
    </w:lvl>
    <w:lvl w:ilvl="2" w:tplc="1FB256CC">
      <w:numFmt w:val="decimal"/>
      <w:lvlText w:val=""/>
      <w:lvlJc w:val="left"/>
    </w:lvl>
    <w:lvl w:ilvl="3" w:tplc="2A6E0384">
      <w:numFmt w:val="decimal"/>
      <w:lvlText w:val=""/>
      <w:lvlJc w:val="left"/>
    </w:lvl>
    <w:lvl w:ilvl="4" w:tplc="5C16142A">
      <w:numFmt w:val="decimal"/>
      <w:lvlText w:val=""/>
      <w:lvlJc w:val="left"/>
    </w:lvl>
    <w:lvl w:ilvl="5" w:tplc="CF7C4702">
      <w:numFmt w:val="decimal"/>
      <w:lvlText w:val=""/>
      <w:lvlJc w:val="left"/>
    </w:lvl>
    <w:lvl w:ilvl="6" w:tplc="7A9E89BA">
      <w:numFmt w:val="decimal"/>
      <w:lvlText w:val=""/>
      <w:lvlJc w:val="left"/>
    </w:lvl>
    <w:lvl w:ilvl="7" w:tplc="1AE08CF0">
      <w:numFmt w:val="decimal"/>
      <w:lvlText w:val=""/>
      <w:lvlJc w:val="left"/>
    </w:lvl>
    <w:lvl w:ilvl="8" w:tplc="7CCE60B4">
      <w:numFmt w:val="decimal"/>
      <w:lvlText w:val=""/>
      <w:lvlJc w:val="left"/>
    </w:lvl>
  </w:abstractNum>
  <w:abstractNum w:abstractNumId="1386" w15:restartNumberingAfterBreak="0">
    <w:nsid w:val="6B0D2AAB"/>
    <w:multiLevelType w:val="hybridMultilevel"/>
    <w:tmpl w:val="51E0943C"/>
    <w:lvl w:ilvl="0" w:tplc="3D7E7290">
      <w:start w:val="1"/>
      <w:numFmt w:val="bullet"/>
      <w:lvlText w:val=""/>
      <w:lvlJc w:val="left"/>
      <w:pPr>
        <w:ind w:left="720" w:hanging="180"/>
      </w:pPr>
      <w:rPr>
        <w:rFonts w:ascii="Symbol" w:hAnsi="Symbol" w:hint="default"/>
      </w:rPr>
    </w:lvl>
    <w:lvl w:ilvl="1" w:tplc="60D09A90">
      <w:numFmt w:val="decimal"/>
      <w:lvlText w:val=""/>
      <w:lvlJc w:val="left"/>
    </w:lvl>
    <w:lvl w:ilvl="2" w:tplc="F85EED72">
      <w:numFmt w:val="decimal"/>
      <w:lvlText w:val=""/>
      <w:lvlJc w:val="left"/>
    </w:lvl>
    <w:lvl w:ilvl="3" w:tplc="B058A8CA">
      <w:numFmt w:val="decimal"/>
      <w:lvlText w:val=""/>
      <w:lvlJc w:val="left"/>
    </w:lvl>
    <w:lvl w:ilvl="4" w:tplc="BC62A458">
      <w:numFmt w:val="decimal"/>
      <w:lvlText w:val=""/>
      <w:lvlJc w:val="left"/>
    </w:lvl>
    <w:lvl w:ilvl="5" w:tplc="58D0A48E">
      <w:numFmt w:val="decimal"/>
      <w:lvlText w:val=""/>
      <w:lvlJc w:val="left"/>
    </w:lvl>
    <w:lvl w:ilvl="6" w:tplc="6A84B78E">
      <w:numFmt w:val="decimal"/>
      <w:lvlText w:val=""/>
      <w:lvlJc w:val="left"/>
    </w:lvl>
    <w:lvl w:ilvl="7" w:tplc="3F760558">
      <w:numFmt w:val="decimal"/>
      <w:lvlText w:val=""/>
      <w:lvlJc w:val="left"/>
    </w:lvl>
    <w:lvl w:ilvl="8" w:tplc="4F48E50A">
      <w:numFmt w:val="decimal"/>
      <w:lvlText w:val=""/>
      <w:lvlJc w:val="left"/>
    </w:lvl>
  </w:abstractNum>
  <w:abstractNum w:abstractNumId="1387" w15:restartNumberingAfterBreak="0">
    <w:nsid w:val="6B667AC4"/>
    <w:multiLevelType w:val="hybridMultilevel"/>
    <w:tmpl w:val="15F4A7B6"/>
    <w:lvl w:ilvl="0" w:tplc="7CEE3822">
      <w:start w:val="1"/>
      <w:numFmt w:val="bullet"/>
      <w:lvlText w:val=""/>
      <w:lvlJc w:val="left"/>
      <w:pPr>
        <w:ind w:left="720" w:hanging="180"/>
      </w:pPr>
      <w:rPr>
        <w:rFonts w:ascii="Symbol" w:hAnsi="Symbol" w:hint="default"/>
      </w:rPr>
    </w:lvl>
    <w:lvl w:ilvl="1" w:tplc="C49E5B20">
      <w:numFmt w:val="decimal"/>
      <w:lvlText w:val=""/>
      <w:lvlJc w:val="left"/>
    </w:lvl>
    <w:lvl w:ilvl="2" w:tplc="68D88F98">
      <w:numFmt w:val="decimal"/>
      <w:lvlText w:val=""/>
      <w:lvlJc w:val="left"/>
    </w:lvl>
    <w:lvl w:ilvl="3" w:tplc="30ACA180">
      <w:numFmt w:val="decimal"/>
      <w:lvlText w:val=""/>
      <w:lvlJc w:val="left"/>
    </w:lvl>
    <w:lvl w:ilvl="4" w:tplc="302A124A">
      <w:numFmt w:val="decimal"/>
      <w:lvlText w:val=""/>
      <w:lvlJc w:val="left"/>
    </w:lvl>
    <w:lvl w:ilvl="5" w:tplc="07F00082">
      <w:numFmt w:val="decimal"/>
      <w:lvlText w:val=""/>
      <w:lvlJc w:val="left"/>
    </w:lvl>
    <w:lvl w:ilvl="6" w:tplc="B35E8A32">
      <w:numFmt w:val="decimal"/>
      <w:lvlText w:val=""/>
      <w:lvlJc w:val="left"/>
    </w:lvl>
    <w:lvl w:ilvl="7" w:tplc="111CB582">
      <w:numFmt w:val="decimal"/>
      <w:lvlText w:val=""/>
      <w:lvlJc w:val="left"/>
    </w:lvl>
    <w:lvl w:ilvl="8" w:tplc="D7464BFC">
      <w:numFmt w:val="decimal"/>
      <w:lvlText w:val=""/>
      <w:lvlJc w:val="left"/>
    </w:lvl>
  </w:abstractNum>
  <w:abstractNum w:abstractNumId="1388" w15:restartNumberingAfterBreak="0">
    <w:nsid w:val="6B7713BE"/>
    <w:multiLevelType w:val="hybridMultilevel"/>
    <w:tmpl w:val="1EA8720A"/>
    <w:lvl w:ilvl="0" w:tplc="654ED982">
      <w:start w:val="1"/>
      <w:numFmt w:val="bullet"/>
      <w:lvlText w:val=""/>
      <w:lvlJc w:val="left"/>
      <w:pPr>
        <w:ind w:left="720" w:hanging="180"/>
      </w:pPr>
      <w:rPr>
        <w:rFonts w:ascii="Symbol" w:hAnsi="Symbol" w:hint="default"/>
      </w:rPr>
    </w:lvl>
    <w:lvl w:ilvl="1" w:tplc="F0D245F0">
      <w:numFmt w:val="decimal"/>
      <w:lvlText w:val=""/>
      <w:lvlJc w:val="left"/>
    </w:lvl>
    <w:lvl w:ilvl="2" w:tplc="9D8A1D74">
      <w:numFmt w:val="decimal"/>
      <w:lvlText w:val=""/>
      <w:lvlJc w:val="left"/>
    </w:lvl>
    <w:lvl w:ilvl="3" w:tplc="30105D54">
      <w:numFmt w:val="decimal"/>
      <w:lvlText w:val=""/>
      <w:lvlJc w:val="left"/>
    </w:lvl>
    <w:lvl w:ilvl="4" w:tplc="FABED6B8">
      <w:numFmt w:val="decimal"/>
      <w:lvlText w:val=""/>
      <w:lvlJc w:val="left"/>
    </w:lvl>
    <w:lvl w:ilvl="5" w:tplc="CC4AC306">
      <w:numFmt w:val="decimal"/>
      <w:lvlText w:val=""/>
      <w:lvlJc w:val="left"/>
    </w:lvl>
    <w:lvl w:ilvl="6" w:tplc="721ADED4">
      <w:numFmt w:val="decimal"/>
      <w:lvlText w:val=""/>
      <w:lvlJc w:val="left"/>
    </w:lvl>
    <w:lvl w:ilvl="7" w:tplc="1F80C216">
      <w:numFmt w:val="decimal"/>
      <w:lvlText w:val=""/>
      <w:lvlJc w:val="left"/>
    </w:lvl>
    <w:lvl w:ilvl="8" w:tplc="6C8A69D0">
      <w:numFmt w:val="decimal"/>
      <w:lvlText w:val=""/>
      <w:lvlJc w:val="left"/>
    </w:lvl>
  </w:abstractNum>
  <w:abstractNum w:abstractNumId="1389" w15:restartNumberingAfterBreak="0">
    <w:nsid w:val="6B79409E"/>
    <w:multiLevelType w:val="hybridMultilevel"/>
    <w:tmpl w:val="5F06E860"/>
    <w:lvl w:ilvl="0" w:tplc="2EDE8318">
      <w:numFmt w:val="decimal"/>
      <w:lvlText w:val=""/>
      <w:lvlJc w:val="left"/>
    </w:lvl>
    <w:lvl w:ilvl="1" w:tplc="CC6AAC9C">
      <w:start w:val="1"/>
      <w:numFmt w:val="bullet"/>
      <w:lvlText w:val=""/>
      <w:lvlJc w:val="left"/>
      <w:pPr>
        <w:ind w:left="1440" w:hanging="180"/>
      </w:pPr>
      <w:rPr>
        <w:rFonts w:ascii="Symbol" w:hAnsi="Symbol" w:hint="default"/>
      </w:rPr>
    </w:lvl>
    <w:lvl w:ilvl="2" w:tplc="60DC399C">
      <w:numFmt w:val="decimal"/>
      <w:lvlText w:val=""/>
      <w:lvlJc w:val="left"/>
    </w:lvl>
    <w:lvl w:ilvl="3" w:tplc="936E863A">
      <w:numFmt w:val="decimal"/>
      <w:lvlText w:val=""/>
      <w:lvlJc w:val="left"/>
    </w:lvl>
    <w:lvl w:ilvl="4" w:tplc="CB1A52C4">
      <w:numFmt w:val="decimal"/>
      <w:lvlText w:val=""/>
      <w:lvlJc w:val="left"/>
    </w:lvl>
    <w:lvl w:ilvl="5" w:tplc="84B828C0">
      <w:numFmt w:val="decimal"/>
      <w:lvlText w:val=""/>
      <w:lvlJc w:val="left"/>
    </w:lvl>
    <w:lvl w:ilvl="6" w:tplc="98A6A586">
      <w:numFmt w:val="decimal"/>
      <w:lvlText w:val=""/>
      <w:lvlJc w:val="left"/>
    </w:lvl>
    <w:lvl w:ilvl="7" w:tplc="6FD6CA40">
      <w:numFmt w:val="decimal"/>
      <w:lvlText w:val=""/>
      <w:lvlJc w:val="left"/>
    </w:lvl>
    <w:lvl w:ilvl="8" w:tplc="AB36B86E">
      <w:numFmt w:val="decimal"/>
      <w:lvlText w:val=""/>
      <w:lvlJc w:val="left"/>
    </w:lvl>
  </w:abstractNum>
  <w:abstractNum w:abstractNumId="1390" w15:restartNumberingAfterBreak="0">
    <w:nsid w:val="6B9F0ECF"/>
    <w:multiLevelType w:val="hybridMultilevel"/>
    <w:tmpl w:val="8996B88A"/>
    <w:lvl w:ilvl="0" w:tplc="2D7C6824">
      <w:start w:val="1"/>
      <w:numFmt w:val="bullet"/>
      <w:lvlText w:val=""/>
      <w:lvlJc w:val="left"/>
      <w:pPr>
        <w:ind w:left="720" w:hanging="180"/>
      </w:pPr>
      <w:rPr>
        <w:rFonts w:ascii="Symbol" w:hAnsi="Symbol" w:hint="default"/>
      </w:rPr>
    </w:lvl>
    <w:lvl w:ilvl="1" w:tplc="B420B88C">
      <w:numFmt w:val="decimal"/>
      <w:lvlText w:val=""/>
      <w:lvlJc w:val="left"/>
    </w:lvl>
    <w:lvl w:ilvl="2" w:tplc="79229E98">
      <w:numFmt w:val="decimal"/>
      <w:lvlText w:val=""/>
      <w:lvlJc w:val="left"/>
    </w:lvl>
    <w:lvl w:ilvl="3" w:tplc="C10C7910">
      <w:numFmt w:val="decimal"/>
      <w:lvlText w:val=""/>
      <w:lvlJc w:val="left"/>
    </w:lvl>
    <w:lvl w:ilvl="4" w:tplc="E3DE4C62">
      <w:numFmt w:val="decimal"/>
      <w:lvlText w:val=""/>
      <w:lvlJc w:val="left"/>
    </w:lvl>
    <w:lvl w:ilvl="5" w:tplc="CB04F3A0">
      <w:numFmt w:val="decimal"/>
      <w:lvlText w:val=""/>
      <w:lvlJc w:val="left"/>
    </w:lvl>
    <w:lvl w:ilvl="6" w:tplc="CB8A2106">
      <w:numFmt w:val="decimal"/>
      <w:lvlText w:val=""/>
      <w:lvlJc w:val="left"/>
    </w:lvl>
    <w:lvl w:ilvl="7" w:tplc="6D0CF9A6">
      <w:numFmt w:val="decimal"/>
      <w:lvlText w:val=""/>
      <w:lvlJc w:val="left"/>
    </w:lvl>
    <w:lvl w:ilvl="8" w:tplc="11729EB8">
      <w:numFmt w:val="decimal"/>
      <w:lvlText w:val=""/>
      <w:lvlJc w:val="left"/>
    </w:lvl>
  </w:abstractNum>
  <w:abstractNum w:abstractNumId="1391" w15:restartNumberingAfterBreak="0">
    <w:nsid w:val="6BAC6C5A"/>
    <w:multiLevelType w:val="hybridMultilevel"/>
    <w:tmpl w:val="1F94D0DE"/>
    <w:lvl w:ilvl="0" w:tplc="75B63734">
      <w:start w:val="1"/>
      <w:numFmt w:val="bullet"/>
      <w:lvlText w:val=""/>
      <w:lvlJc w:val="left"/>
      <w:pPr>
        <w:ind w:left="720" w:hanging="180"/>
      </w:pPr>
      <w:rPr>
        <w:rFonts w:ascii="Symbol" w:hAnsi="Symbol" w:hint="default"/>
      </w:rPr>
    </w:lvl>
    <w:lvl w:ilvl="1" w:tplc="3BC8F16A">
      <w:numFmt w:val="decimal"/>
      <w:lvlText w:val=""/>
      <w:lvlJc w:val="left"/>
    </w:lvl>
    <w:lvl w:ilvl="2" w:tplc="33DA8B36">
      <w:numFmt w:val="decimal"/>
      <w:lvlText w:val=""/>
      <w:lvlJc w:val="left"/>
    </w:lvl>
    <w:lvl w:ilvl="3" w:tplc="2D184C02">
      <w:numFmt w:val="decimal"/>
      <w:lvlText w:val=""/>
      <w:lvlJc w:val="left"/>
    </w:lvl>
    <w:lvl w:ilvl="4" w:tplc="6F081BC6">
      <w:numFmt w:val="decimal"/>
      <w:lvlText w:val=""/>
      <w:lvlJc w:val="left"/>
    </w:lvl>
    <w:lvl w:ilvl="5" w:tplc="C568A238">
      <w:numFmt w:val="decimal"/>
      <w:lvlText w:val=""/>
      <w:lvlJc w:val="left"/>
    </w:lvl>
    <w:lvl w:ilvl="6" w:tplc="D6D067E4">
      <w:numFmt w:val="decimal"/>
      <w:lvlText w:val=""/>
      <w:lvlJc w:val="left"/>
    </w:lvl>
    <w:lvl w:ilvl="7" w:tplc="33F49656">
      <w:numFmt w:val="decimal"/>
      <w:lvlText w:val=""/>
      <w:lvlJc w:val="left"/>
    </w:lvl>
    <w:lvl w:ilvl="8" w:tplc="FF10D4F8">
      <w:numFmt w:val="decimal"/>
      <w:lvlText w:val=""/>
      <w:lvlJc w:val="left"/>
    </w:lvl>
  </w:abstractNum>
  <w:abstractNum w:abstractNumId="1392" w15:restartNumberingAfterBreak="0">
    <w:nsid w:val="6C037F7B"/>
    <w:multiLevelType w:val="hybridMultilevel"/>
    <w:tmpl w:val="EF66DA44"/>
    <w:lvl w:ilvl="0" w:tplc="09F8E0CC">
      <w:numFmt w:val="decimal"/>
      <w:lvlText w:val=""/>
      <w:lvlJc w:val="left"/>
    </w:lvl>
    <w:lvl w:ilvl="1" w:tplc="ACF0F6AC">
      <w:start w:val="1"/>
      <w:numFmt w:val="bullet"/>
      <w:lvlText w:val=""/>
      <w:lvlJc w:val="left"/>
      <w:pPr>
        <w:ind w:left="1440" w:hanging="180"/>
      </w:pPr>
      <w:rPr>
        <w:rFonts w:ascii="Symbol" w:hAnsi="Symbol" w:hint="default"/>
      </w:rPr>
    </w:lvl>
    <w:lvl w:ilvl="2" w:tplc="D2801C6E">
      <w:numFmt w:val="decimal"/>
      <w:lvlText w:val=""/>
      <w:lvlJc w:val="left"/>
    </w:lvl>
    <w:lvl w:ilvl="3" w:tplc="2824688C">
      <w:numFmt w:val="decimal"/>
      <w:lvlText w:val=""/>
      <w:lvlJc w:val="left"/>
    </w:lvl>
    <w:lvl w:ilvl="4" w:tplc="358CB60A">
      <w:numFmt w:val="decimal"/>
      <w:lvlText w:val=""/>
      <w:lvlJc w:val="left"/>
    </w:lvl>
    <w:lvl w:ilvl="5" w:tplc="3C46A120">
      <w:numFmt w:val="decimal"/>
      <w:lvlText w:val=""/>
      <w:lvlJc w:val="left"/>
    </w:lvl>
    <w:lvl w:ilvl="6" w:tplc="ED186294">
      <w:numFmt w:val="decimal"/>
      <w:lvlText w:val=""/>
      <w:lvlJc w:val="left"/>
    </w:lvl>
    <w:lvl w:ilvl="7" w:tplc="2B2A6F5A">
      <w:numFmt w:val="decimal"/>
      <w:lvlText w:val=""/>
      <w:lvlJc w:val="left"/>
    </w:lvl>
    <w:lvl w:ilvl="8" w:tplc="53AAF930">
      <w:numFmt w:val="decimal"/>
      <w:lvlText w:val=""/>
      <w:lvlJc w:val="left"/>
    </w:lvl>
  </w:abstractNum>
  <w:abstractNum w:abstractNumId="1393" w15:restartNumberingAfterBreak="0">
    <w:nsid w:val="6C070CCF"/>
    <w:multiLevelType w:val="hybridMultilevel"/>
    <w:tmpl w:val="4538CAF2"/>
    <w:lvl w:ilvl="0" w:tplc="59129A94">
      <w:start w:val="1"/>
      <w:numFmt w:val="bullet"/>
      <w:lvlText w:val=""/>
      <w:lvlJc w:val="left"/>
      <w:pPr>
        <w:ind w:left="720" w:hanging="180"/>
      </w:pPr>
      <w:rPr>
        <w:rFonts w:ascii="Symbol" w:hAnsi="Symbol" w:hint="default"/>
      </w:rPr>
    </w:lvl>
    <w:lvl w:ilvl="1" w:tplc="B6EACDC6">
      <w:numFmt w:val="decimal"/>
      <w:lvlText w:val=""/>
      <w:lvlJc w:val="left"/>
    </w:lvl>
    <w:lvl w:ilvl="2" w:tplc="C9D8ECDC">
      <w:numFmt w:val="decimal"/>
      <w:lvlText w:val=""/>
      <w:lvlJc w:val="left"/>
    </w:lvl>
    <w:lvl w:ilvl="3" w:tplc="5AEA4E6E">
      <w:numFmt w:val="decimal"/>
      <w:lvlText w:val=""/>
      <w:lvlJc w:val="left"/>
    </w:lvl>
    <w:lvl w:ilvl="4" w:tplc="597EA182">
      <w:numFmt w:val="decimal"/>
      <w:lvlText w:val=""/>
      <w:lvlJc w:val="left"/>
    </w:lvl>
    <w:lvl w:ilvl="5" w:tplc="A1C0D7A8">
      <w:numFmt w:val="decimal"/>
      <w:lvlText w:val=""/>
      <w:lvlJc w:val="left"/>
    </w:lvl>
    <w:lvl w:ilvl="6" w:tplc="F13AC64C">
      <w:numFmt w:val="decimal"/>
      <w:lvlText w:val=""/>
      <w:lvlJc w:val="left"/>
    </w:lvl>
    <w:lvl w:ilvl="7" w:tplc="D6900908">
      <w:numFmt w:val="decimal"/>
      <w:lvlText w:val=""/>
      <w:lvlJc w:val="left"/>
    </w:lvl>
    <w:lvl w:ilvl="8" w:tplc="C1162538">
      <w:numFmt w:val="decimal"/>
      <w:lvlText w:val=""/>
      <w:lvlJc w:val="left"/>
    </w:lvl>
  </w:abstractNum>
  <w:abstractNum w:abstractNumId="1394" w15:restartNumberingAfterBreak="0">
    <w:nsid w:val="6C1704C1"/>
    <w:multiLevelType w:val="hybridMultilevel"/>
    <w:tmpl w:val="3C38BC50"/>
    <w:lvl w:ilvl="0" w:tplc="C6484C1E">
      <w:start w:val="1"/>
      <w:numFmt w:val="bullet"/>
      <w:lvlText w:val=""/>
      <w:lvlJc w:val="left"/>
      <w:pPr>
        <w:ind w:left="720" w:hanging="180"/>
      </w:pPr>
      <w:rPr>
        <w:rFonts w:ascii="Symbol" w:hAnsi="Symbol" w:hint="default"/>
      </w:rPr>
    </w:lvl>
    <w:lvl w:ilvl="1" w:tplc="78969482">
      <w:numFmt w:val="decimal"/>
      <w:lvlText w:val=""/>
      <w:lvlJc w:val="left"/>
    </w:lvl>
    <w:lvl w:ilvl="2" w:tplc="B1B026D2">
      <w:numFmt w:val="decimal"/>
      <w:lvlText w:val=""/>
      <w:lvlJc w:val="left"/>
    </w:lvl>
    <w:lvl w:ilvl="3" w:tplc="93442CC4">
      <w:numFmt w:val="decimal"/>
      <w:lvlText w:val=""/>
      <w:lvlJc w:val="left"/>
    </w:lvl>
    <w:lvl w:ilvl="4" w:tplc="CBC85CF0">
      <w:numFmt w:val="decimal"/>
      <w:lvlText w:val=""/>
      <w:lvlJc w:val="left"/>
    </w:lvl>
    <w:lvl w:ilvl="5" w:tplc="D5A6C366">
      <w:numFmt w:val="decimal"/>
      <w:lvlText w:val=""/>
      <w:lvlJc w:val="left"/>
    </w:lvl>
    <w:lvl w:ilvl="6" w:tplc="BEC07ED2">
      <w:numFmt w:val="decimal"/>
      <w:lvlText w:val=""/>
      <w:lvlJc w:val="left"/>
    </w:lvl>
    <w:lvl w:ilvl="7" w:tplc="CEA06146">
      <w:numFmt w:val="decimal"/>
      <w:lvlText w:val=""/>
      <w:lvlJc w:val="left"/>
    </w:lvl>
    <w:lvl w:ilvl="8" w:tplc="42866300">
      <w:numFmt w:val="decimal"/>
      <w:lvlText w:val=""/>
      <w:lvlJc w:val="left"/>
    </w:lvl>
  </w:abstractNum>
  <w:abstractNum w:abstractNumId="1395" w15:restartNumberingAfterBreak="0">
    <w:nsid w:val="6C1708DE"/>
    <w:multiLevelType w:val="hybridMultilevel"/>
    <w:tmpl w:val="D3A01ED0"/>
    <w:lvl w:ilvl="0" w:tplc="653AD3D4">
      <w:start w:val="1"/>
      <w:numFmt w:val="bullet"/>
      <w:lvlText w:val=""/>
      <w:lvlJc w:val="left"/>
      <w:pPr>
        <w:ind w:left="720" w:hanging="180"/>
      </w:pPr>
      <w:rPr>
        <w:rFonts w:ascii="Symbol" w:hAnsi="Symbol" w:hint="default"/>
      </w:rPr>
    </w:lvl>
    <w:lvl w:ilvl="1" w:tplc="0A082D88">
      <w:numFmt w:val="decimal"/>
      <w:lvlText w:val=""/>
      <w:lvlJc w:val="left"/>
    </w:lvl>
    <w:lvl w:ilvl="2" w:tplc="0D165B70">
      <w:numFmt w:val="decimal"/>
      <w:lvlText w:val=""/>
      <w:lvlJc w:val="left"/>
    </w:lvl>
    <w:lvl w:ilvl="3" w:tplc="563CAA7A">
      <w:numFmt w:val="decimal"/>
      <w:lvlText w:val=""/>
      <w:lvlJc w:val="left"/>
    </w:lvl>
    <w:lvl w:ilvl="4" w:tplc="750248A0">
      <w:numFmt w:val="decimal"/>
      <w:lvlText w:val=""/>
      <w:lvlJc w:val="left"/>
    </w:lvl>
    <w:lvl w:ilvl="5" w:tplc="8960BF34">
      <w:numFmt w:val="decimal"/>
      <w:lvlText w:val=""/>
      <w:lvlJc w:val="left"/>
    </w:lvl>
    <w:lvl w:ilvl="6" w:tplc="BF360ACA">
      <w:numFmt w:val="decimal"/>
      <w:lvlText w:val=""/>
      <w:lvlJc w:val="left"/>
    </w:lvl>
    <w:lvl w:ilvl="7" w:tplc="4CB07912">
      <w:numFmt w:val="decimal"/>
      <w:lvlText w:val=""/>
      <w:lvlJc w:val="left"/>
    </w:lvl>
    <w:lvl w:ilvl="8" w:tplc="2E48105A">
      <w:numFmt w:val="decimal"/>
      <w:lvlText w:val=""/>
      <w:lvlJc w:val="left"/>
    </w:lvl>
  </w:abstractNum>
  <w:abstractNum w:abstractNumId="1396" w15:restartNumberingAfterBreak="0">
    <w:nsid w:val="6C1E7A60"/>
    <w:multiLevelType w:val="hybridMultilevel"/>
    <w:tmpl w:val="FDFE82EA"/>
    <w:lvl w:ilvl="0" w:tplc="F36E6A1A">
      <w:start w:val="1"/>
      <w:numFmt w:val="bullet"/>
      <w:lvlText w:val=""/>
      <w:lvlJc w:val="left"/>
      <w:pPr>
        <w:ind w:left="720" w:hanging="180"/>
      </w:pPr>
      <w:rPr>
        <w:rFonts w:ascii="Symbol" w:hAnsi="Symbol" w:hint="default"/>
      </w:rPr>
    </w:lvl>
    <w:lvl w:ilvl="1" w:tplc="CA14D588">
      <w:numFmt w:val="decimal"/>
      <w:lvlText w:val=""/>
      <w:lvlJc w:val="left"/>
    </w:lvl>
    <w:lvl w:ilvl="2" w:tplc="6EBA71FC">
      <w:numFmt w:val="decimal"/>
      <w:lvlText w:val=""/>
      <w:lvlJc w:val="left"/>
    </w:lvl>
    <w:lvl w:ilvl="3" w:tplc="440E1DCA">
      <w:numFmt w:val="decimal"/>
      <w:lvlText w:val=""/>
      <w:lvlJc w:val="left"/>
    </w:lvl>
    <w:lvl w:ilvl="4" w:tplc="5646521A">
      <w:numFmt w:val="decimal"/>
      <w:lvlText w:val=""/>
      <w:lvlJc w:val="left"/>
    </w:lvl>
    <w:lvl w:ilvl="5" w:tplc="3B8018BC">
      <w:numFmt w:val="decimal"/>
      <w:lvlText w:val=""/>
      <w:lvlJc w:val="left"/>
    </w:lvl>
    <w:lvl w:ilvl="6" w:tplc="433A59EE">
      <w:numFmt w:val="decimal"/>
      <w:lvlText w:val=""/>
      <w:lvlJc w:val="left"/>
    </w:lvl>
    <w:lvl w:ilvl="7" w:tplc="60AAD758">
      <w:numFmt w:val="decimal"/>
      <w:lvlText w:val=""/>
      <w:lvlJc w:val="left"/>
    </w:lvl>
    <w:lvl w:ilvl="8" w:tplc="D2A81A18">
      <w:numFmt w:val="decimal"/>
      <w:lvlText w:val=""/>
      <w:lvlJc w:val="left"/>
    </w:lvl>
  </w:abstractNum>
  <w:abstractNum w:abstractNumId="1397" w15:restartNumberingAfterBreak="0">
    <w:nsid w:val="6C3D2E4D"/>
    <w:multiLevelType w:val="hybridMultilevel"/>
    <w:tmpl w:val="E6560604"/>
    <w:lvl w:ilvl="0" w:tplc="2C0C516A">
      <w:start w:val="1"/>
      <w:numFmt w:val="bullet"/>
      <w:lvlText w:val=""/>
      <w:lvlJc w:val="left"/>
      <w:pPr>
        <w:ind w:left="720" w:hanging="180"/>
      </w:pPr>
      <w:rPr>
        <w:rFonts w:ascii="Symbol" w:hAnsi="Symbol" w:hint="default"/>
      </w:rPr>
    </w:lvl>
    <w:lvl w:ilvl="1" w:tplc="A05A27C8">
      <w:numFmt w:val="decimal"/>
      <w:lvlText w:val=""/>
      <w:lvlJc w:val="left"/>
    </w:lvl>
    <w:lvl w:ilvl="2" w:tplc="A6046BD4">
      <w:numFmt w:val="decimal"/>
      <w:lvlText w:val=""/>
      <w:lvlJc w:val="left"/>
    </w:lvl>
    <w:lvl w:ilvl="3" w:tplc="034CBF3C">
      <w:numFmt w:val="decimal"/>
      <w:lvlText w:val=""/>
      <w:lvlJc w:val="left"/>
    </w:lvl>
    <w:lvl w:ilvl="4" w:tplc="055AAA5E">
      <w:numFmt w:val="decimal"/>
      <w:lvlText w:val=""/>
      <w:lvlJc w:val="left"/>
    </w:lvl>
    <w:lvl w:ilvl="5" w:tplc="7174E01A">
      <w:numFmt w:val="decimal"/>
      <w:lvlText w:val=""/>
      <w:lvlJc w:val="left"/>
    </w:lvl>
    <w:lvl w:ilvl="6" w:tplc="EA044304">
      <w:numFmt w:val="decimal"/>
      <w:lvlText w:val=""/>
      <w:lvlJc w:val="left"/>
    </w:lvl>
    <w:lvl w:ilvl="7" w:tplc="7BE2EE70">
      <w:numFmt w:val="decimal"/>
      <w:lvlText w:val=""/>
      <w:lvlJc w:val="left"/>
    </w:lvl>
    <w:lvl w:ilvl="8" w:tplc="DA00CC0E">
      <w:numFmt w:val="decimal"/>
      <w:lvlText w:val=""/>
      <w:lvlJc w:val="left"/>
    </w:lvl>
  </w:abstractNum>
  <w:abstractNum w:abstractNumId="1398" w15:restartNumberingAfterBreak="0">
    <w:nsid w:val="6C4D1E37"/>
    <w:multiLevelType w:val="hybridMultilevel"/>
    <w:tmpl w:val="A8A8E314"/>
    <w:lvl w:ilvl="0" w:tplc="0F30F238">
      <w:start w:val="1"/>
      <w:numFmt w:val="bullet"/>
      <w:lvlText w:val=""/>
      <w:lvlJc w:val="left"/>
      <w:pPr>
        <w:ind w:left="720" w:hanging="180"/>
      </w:pPr>
      <w:rPr>
        <w:rFonts w:ascii="Symbol" w:hAnsi="Symbol" w:hint="default"/>
      </w:rPr>
    </w:lvl>
    <w:lvl w:ilvl="1" w:tplc="E1B227CE">
      <w:numFmt w:val="decimal"/>
      <w:lvlText w:val=""/>
      <w:lvlJc w:val="left"/>
    </w:lvl>
    <w:lvl w:ilvl="2" w:tplc="62442DA4">
      <w:numFmt w:val="decimal"/>
      <w:lvlText w:val=""/>
      <w:lvlJc w:val="left"/>
    </w:lvl>
    <w:lvl w:ilvl="3" w:tplc="4F3C2050">
      <w:numFmt w:val="decimal"/>
      <w:lvlText w:val=""/>
      <w:lvlJc w:val="left"/>
    </w:lvl>
    <w:lvl w:ilvl="4" w:tplc="0A664048">
      <w:numFmt w:val="decimal"/>
      <w:lvlText w:val=""/>
      <w:lvlJc w:val="left"/>
    </w:lvl>
    <w:lvl w:ilvl="5" w:tplc="70422D3E">
      <w:numFmt w:val="decimal"/>
      <w:lvlText w:val=""/>
      <w:lvlJc w:val="left"/>
    </w:lvl>
    <w:lvl w:ilvl="6" w:tplc="2F4E1FF0">
      <w:numFmt w:val="decimal"/>
      <w:lvlText w:val=""/>
      <w:lvlJc w:val="left"/>
    </w:lvl>
    <w:lvl w:ilvl="7" w:tplc="AA4A6D34">
      <w:numFmt w:val="decimal"/>
      <w:lvlText w:val=""/>
      <w:lvlJc w:val="left"/>
    </w:lvl>
    <w:lvl w:ilvl="8" w:tplc="BCD27CDE">
      <w:numFmt w:val="decimal"/>
      <w:lvlText w:val=""/>
      <w:lvlJc w:val="left"/>
    </w:lvl>
  </w:abstractNum>
  <w:abstractNum w:abstractNumId="1399" w15:restartNumberingAfterBreak="0">
    <w:nsid w:val="6C6D6944"/>
    <w:multiLevelType w:val="hybridMultilevel"/>
    <w:tmpl w:val="2EAC096C"/>
    <w:lvl w:ilvl="0" w:tplc="E4261BC0">
      <w:start w:val="1"/>
      <w:numFmt w:val="bullet"/>
      <w:lvlText w:val=""/>
      <w:lvlJc w:val="left"/>
      <w:pPr>
        <w:ind w:left="720" w:hanging="180"/>
      </w:pPr>
      <w:rPr>
        <w:rFonts w:ascii="Symbol" w:hAnsi="Symbol" w:hint="default"/>
      </w:rPr>
    </w:lvl>
    <w:lvl w:ilvl="1" w:tplc="F8380F10">
      <w:numFmt w:val="decimal"/>
      <w:lvlText w:val=""/>
      <w:lvlJc w:val="left"/>
    </w:lvl>
    <w:lvl w:ilvl="2" w:tplc="42AAC886">
      <w:numFmt w:val="decimal"/>
      <w:lvlText w:val=""/>
      <w:lvlJc w:val="left"/>
    </w:lvl>
    <w:lvl w:ilvl="3" w:tplc="607CE3CA">
      <w:numFmt w:val="decimal"/>
      <w:lvlText w:val=""/>
      <w:lvlJc w:val="left"/>
    </w:lvl>
    <w:lvl w:ilvl="4" w:tplc="4BA8F00E">
      <w:numFmt w:val="decimal"/>
      <w:lvlText w:val=""/>
      <w:lvlJc w:val="left"/>
    </w:lvl>
    <w:lvl w:ilvl="5" w:tplc="E6B8D9DC">
      <w:numFmt w:val="decimal"/>
      <w:lvlText w:val=""/>
      <w:lvlJc w:val="left"/>
    </w:lvl>
    <w:lvl w:ilvl="6" w:tplc="48566B90">
      <w:numFmt w:val="decimal"/>
      <w:lvlText w:val=""/>
      <w:lvlJc w:val="left"/>
    </w:lvl>
    <w:lvl w:ilvl="7" w:tplc="0054E9AE">
      <w:numFmt w:val="decimal"/>
      <w:lvlText w:val=""/>
      <w:lvlJc w:val="left"/>
    </w:lvl>
    <w:lvl w:ilvl="8" w:tplc="7F00C4EA">
      <w:numFmt w:val="decimal"/>
      <w:lvlText w:val=""/>
      <w:lvlJc w:val="left"/>
    </w:lvl>
  </w:abstractNum>
  <w:abstractNum w:abstractNumId="1400" w15:restartNumberingAfterBreak="0">
    <w:nsid w:val="6C720FE6"/>
    <w:multiLevelType w:val="hybridMultilevel"/>
    <w:tmpl w:val="3E56E8F2"/>
    <w:lvl w:ilvl="0" w:tplc="3872C7B4">
      <w:numFmt w:val="decimal"/>
      <w:lvlText w:val=""/>
      <w:lvlJc w:val="left"/>
    </w:lvl>
    <w:lvl w:ilvl="1" w:tplc="FBD4A828">
      <w:start w:val="1"/>
      <w:numFmt w:val="bullet"/>
      <w:lvlText w:val=""/>
      <w:lvlJc w:val="left"/>
      <w:pPr>
        <w:ind w:left="1440" w:hanging="180"/>
      </w:pPr>
      <w:rPr>
        <w:rFonts w:ascii="Symbol" w:hAnsi="Symbol" w:hint="default"/>
      </w:rPr>
    </w:lvl>
    <w:lvl w:ilvl="2" w:tplc="A05C89F2">
      <w:numFmt w:val="decimal"/>
      <w:lvlText w:val=""/>
      <w:lvlJc w:val="left"/>
    </w:lvl>
    <w:lvl w:ilvl="3" w:tplc="832E0D94">
      <w:numFmt w:val="decimal"/>
      <w:lvlText w:val=""/>
      <w:lvlJc w:val="left"/>
    </w:lvl>
    <w:lvl w:ilvl="4" w:tplc="68C49608">
      <w:numFmt w:val="decimal"/>
      <w:lvlText w:val=""/>
      <w:lvlJc w:val="left"/>
    </w:lvl>
    <w:lvl w:ilvl="5" w:tplc="23C82C3C">
      <w:numFmt w:val="decimal"/>
      <w:lvlText w:val=""/>
      <w:lvlJc w:val="left"/>
    </w:lvl>
    <w:lvl w:ilvl="6" w:tplc="6A30342C">
      <w:numFmt w:val="decimal"/>
      <w:lvlText w:val=""/>
      <w:lvlJc w:val="left"/>
    </w:lvl>
    <w:lvl w:ilvl="7" w:tplc="C7C8DEC0">
      <w:numFmt w:val="decimal"/>
      <w:lvlText w:val=""/>
      <w:lvlJc w:val="left"/>
    </w:lvl>
    <w:lvl w:ilvl="8" w:tplc="EEB65748">
      <w:numFmt w:val="decimal"/>
      <w:lvlText w:val=""/>
      <w:lvlJc w:val="left"/>
    </w:lvl>
  </w:abstractNum>
  <w:abstractNum w:abstractNumId="1401" w15:restartNumberingAfterBreak="0">
    <w:nsid w:val="6C77714B"/>
    <w:multiLevelType w:val="hybridMultilevel"/>
    <w:tmpl w:val="47F4AF30"/>
    <w:lvl w:ilvl="0" w:tplc="3E0A6750">
      <w:start w:val="1"/>
      <w:numFmt w:val="bullet"/>
      <w:lvlText w:val=""/>
      <w:lvlJc w:val="left"/>
      <w:pPr>
        <w:ind w:left="720" w:hanging="180"/>
      </w:pPr>
      <w:rPr>
        <w:rFonts w:ascii="Symbol" w:hAnsi="Symbol" w:hint="default"/>
      </w:rPr>
    </w:lvl>
    <w:lvl w:ilvl="1" w:tplc="BD76CBDE">
      <w:numFmt w:val="decimal"/>
      <w:lvlText w:val=""/>
      <w:lvlJc w:val="left"/>
    </w:lvl>
    <w:lvl w:ilvl="2" w:tplc="8716DE94">
      <w:numFmt w:val="decimal"/>
      <w:lvlText w:val=""/>
      <w:lvlJc w:val="left"/>
    </w:lvl>
    <w:lvl w:ilvl="3" w:tplc="58AADE40">
      <w:numFmt w:val="decimal"/>
      <w:lvlText w:val=""/>
      <w:lvlJc w:val="left"/>
    </w:lvl>
    <w:lvl w:ilvl="4" w:tplc="F01645F4">
      <w:numFmt w:val="decimal"/>
      <w:lvlText w:val=""/>
      <w:lvlJc w:val="left"/>
    </w:lvl>
    <w:lvl w:ilvl="5" w:tplc="31944FEC">
      <w:numFmt w:val="decimal"/>
      <w:lvlText w:val=""/>
      <w:lvlJc w:val="left"/>
    </w:lvl>
    <w:lvl w:ilvl="6" w:tplc="A27019AE">
      <w:numFmt w:val="decimal"/>
      <w:lvlText w:val=""/>
      <w:lvlJc w:val="left"/>
    </w:lvl>
    <w:lvl w:ilvl="7" w:tplc="6698662E">
      <w:numFmt w:val="decimal"/>
      <w:lvlText w:val=""/>
      <w:lvlJc w:val="left"/>
    </w:lvl>
    <w:lvl w:ilvl="8" w:tplc="7696E7CA">
      <w:numFmt w:val="decimal"/>
      <w:lvlText w:val=""/>
      <w:lvlJc w:val="left"/>
    </w:lvl>
  </w:abstractNum>
  <w:abstractNum w:abstractNumId="1402" w15:restartNumberingAfterBreak="0">
    <w:nsid w:val="6C7B6EAA"/>
    <w:multiLevelType w:val="hybridMultilevel"/>
    <w:tmpl w:val="5C440FCA"/>
    <w:lvl w:ilvl="0" w:tplc="06B2465E">
      <w:numFmt w:val="decimal"/>
      <w:lvlText w:val=""/>
      <w:lvlJc w:val="left"/>
    </w:lvl>
    <w:lvl w:ilvl="1" w:tplc="01069D18">
      <w:start w:val="1"/>
      <w:numFmt w:val="bullet"/>
      <w:lvlText w:val=""/>
      <w:lvlJc w:val="left"/>
      <w:pPr>
        <w:ind w:left="1440" w:hanging="180"/>
      </w:pPr>
      <w:rPr>
        <w:rFonts w:ascii="Symbol" w:hAnsi="Symbol" w:hint="default"/>
      </w:rPr>
    </w:lvl>
    <w:lvl w:ilvl="2" w:tplc="2F52DA60">
      <w:numFmt w:val="decimal"/>
      <w:lvlText w:val=""/>
      <w:lvlJc w:val="left"/>
    </w:lvl>
    <w:lvl w:ilvl="3" w:tplc="534CEBFA">
      <w:numFmt w:val="decimal"/>
      <w:lvlText w:val=""/>
      <w:lvlJc w:val="left"/>
    </w:lvl>
    <w:lvl w:ilvl="4" w:tplc="91FACFAE">
      <w:numFmt w:val="decimal"/>
      <w:lvlText w:val=""/>
      <w:lvlJc w:val="left"/>
    </w:lvl>
    <w:lvl w:ilvl="5" w:tplc="0178C3A0">
      <w:numFmt w:val="decimal"/>
      <w:lvlText w:val=""/>
      <w:lvlJc w:val="left"/>
    </w:lvl>
    <w:lvl w:ilvl="6" w:tplc="61FA1FDC">
      <w:numFmt w:val="decimal"/>
      <w:lvlText w:val=""/>
      <w:lvlJc w:val="left"/>
    </w:lvl>
    <w:lvl w:ilvl="7" w:tplc="A378E200">
      <w:numFmt w:val="decimal"/>
      <w:lvlText w:val=""/>
      <w:lvlJc w:val="left"/>
    </w:lvl>
    <w:lvl w:ilvl="8" w:tplc="CD5016F0">
      <w:numFmt w:val="decimal"/>
      <w:lvlText w:val=""/>
      <w:lvlJc w:val="left"/>
    </w:lvl>
  </w:abstractNum>
  <w:abstractNum w:abstractNumId="1403" w15:restartNumberingAfterBreak="0">
    <w:nsid w:val="6C814EBF"/>
    <w:multiLevelType w:val="hybridMultilevel"/>
    <w:tmpl w:val="6C0A3C4E"/>
    <w:lvl w:ilvl="0" w:tplc="CFEC22D6">
      <w:start w:val="1"/>
      <w:numFmt w:val="bullet"/>
      <w:lvlText w:val=""/>
      <w:lvlJc w:val="left"/>
      <w:pPr>
        <w:ind w:left="720" w:hanging="180"/>
      </w:pPr>
      <w:rPr>
        <w:rFonts w:ascii="Symbol" w:hAnsi="Symbol" w:hint="default"/>
      </w:rPr>
    </w:lvl>
    <w:lvl w:ilvl="1" w:tplc="D2B2B83A">
      <w:numFmt w:val="decimal"/>
      <w:lvlText w:val=""/>
      <w:lvlJc w:val="left"/>
    </w:lvl>
    <w:lvl w:ilvl="2" w:tplc="38241B64">
      <w:numFmt w:val="decimal"/>
      <w:lvlText w:val=""/>
      <w:lvlJc w:val="left"/>
    </w:lvl>
    <w:lvl w:ilvl="3" w:tplc="463A7AF0">
      <w:numFmt w:val="decimal"/>
      <w:lvlText w:val=""/>
      <w:lvlJc w:val="left"/>
    </w:lvl>
    <w:lvl w:ilvl="4" w:tplc="C436F2F2">
      <w:numFmt w:val="decimal"/>
      <w:lvlText w:val=""/>
      <w:lvlJc w:val="left"/>
    </w:lvl>
    <w:lvl w:ilvl="5" w:tplc="CA6E6736">
      <w:numFmt w:val="decimal"/>
      <w:lvlText w:val=""/>
      <w:lvlJc w:val="left"/>
    </w:lvl>
    <w:lvl w:ilvl="6" w:tplc="D8F00E62">
      <w:numFmt w:val="decimal"/>
      <w:lvlText w:val=""/>
      <w:lvlJc w:val="left"/>
    </w:lvl>
    <w:lvl w:ilvl="7" w:tplc="04D6D44A">
      <w:numFmt w:val="decimal"/>
      <w:lvlText w:val=""/>
      <w:lvlJc w:val="left"/>
    </w:lvl>
    <w:lvl w:ilvl="8" w:tplc="94108D22">
      <w:numFmt w:val="decimal"/>
      <w:lvlText w:val=""/>
      <w:lvlJc w:val="left"/>
    </w:lvl>
  </w:abstractNum>
  <w:abstractNum w:abstractNumId="1404" w15:restartNumberingAfterBreak="0">
    <w:nsid w:val="6C9F6C29"/>
    <w:multiLevelType w:val="hybridMultilevel"/>
    <w:tmpl w:val="4520486E"/>
    <w:lvl w:ilvl="0" w:tplc="10F0414E">
      <w:start w:val="1"/>
      <w:numFmt w:val="bullet"/>
      <w:lvlText w:val=""/>
      <w:lvlJc w:val="left"/>
      <w:pPr>
        <w:ind w:left="720" w:hanging="180"/>
      </w:pPr>
      <w:rPr>
        <w:rFonts w:ascii="Symbol" w:hAnsi="Symbol" w:hint="default"/>
      </w:rPr>
    </w:lvl>
    <w:lvl w:ilvl="1" w:tplc="9BBAC87C">
      <w:numFmt w:val="decimal"/>
      <w:lvlText w:val=""/>
      <w:lvlJc w:val="left"/>
    </w:lvl>
    <w:lvl w:ilvl="2" w:tplc="EFA88286">
      <w:numFmt w:val="decimal"/>
      <w:lvlText w:val=""/>
      <w:lvlJc w:val="left"/>
    </w:lvl>
    <w:lvl w:ilvl="3" w:tplc="C49AFC40">
      <w:numFmt w:val="decimal"/>
      <w:lvlText w:val=""/>
      <w:lvlJc w:val="left"/>
    </w:lvl>
    <w:lvl w:ilvl="4" w:tplc="E8A8FA96">
      <w:numFmt w:val="decimal"/>
      <w:lvlText w:val=""/>
      <w:lvlJc w:val="left"/>
    </w:lvl>
    <w:lvl w:ilvl="5" w:tplc="ED800A70">
      <w:numFmt w:val="decimal"/>
      <w:lvlText w:val=""/>
      <w:lvlJc w:val="left"/>
    </w:lvl>
    <w:lvl w:ilvl="6" w:tplc="C164B7EC">
      <w:numFmt w:val="decimal"/>
      <w:lvlText w:val=""/>
      <w:lvlJc w:val="left"/>
    </w:lvl>
    <w:lvl w:ilvl="7" w:tplc="69A66258">
      <w:numFmt w:val="decimal"/>
      <w:lvlText w:val=""/>
      <w:lvlJc w:val="left"/>
    </w:lvl>
    <w:lvl w:ilvl="8" w:tplc="4E1E2780">
      <w:numFmt w:val="decimal"/>
      <w:lvlText w:val=""/>
      <w:lvlJc w:val="left"/>
    </w:lvl>
  </w:abstractNum>
  <w:abstractNum w:abstractNumId="1405" w15:restartNumberingAfterBreak="0">
    <w:nsid w:val="6CB47712"/>
    <w:multiLevelType w:val="hybridMultilevel"/>
    <w:tmpl w:val="9914125A"/>
    <w:lvl w:ilvl="0" w:tplc="6764F092">
      <w:start w:val="1"/>
      <w:numFmt w:val="bullet"/>
      <w:lvlText w:val=""/>
      <w:lvlJc w:val="left"/>
      <w:pPr>
        <w:ind w:left="720" w:hanging="180"/>
      </w:pPr>
      <w:rPr>
        <w:rFonts w:ascii="Symbol" w:hAnsi="Symbol" w:hint="default"/>
      </w:rPr>
    </w:lvl>
    <w:lvl w:ilvl="1" w:tplc="932A50BA">
      <w:numFmt w:val="decimal"/>
      <w:lvlText w:val=""/>
      <w:lvlJc w:val="left"/>
    </w:lvl>
    <w:lvl w:ilvl="2" w:tplc="5DB09AF8">
      <w:numFmt w:val="decimal"/>
      <w:lvlText w:val=""/>
      <w:lvlJc w:val="left"/>
    </w:lvl>
    <w:lvl w:ilvl="3" w:tplc="C582C192">
      <w:numFmt w:val="decimal"/>
      <w:lvlText w:val=""/>
      <w:lvlJc w:val="left"/>
    </w:lvl>
    <w:lvl w:ilvl="4" w:tplc="A230A938">
      <w:numFmt w:val="decimal"/>
      <w:lvlText w:val=""/>
      <w:lvlJc w:val="left"/>
    </w:lvl>
    <w:lvl w:ilvl="5" w:tplc="4EE28846">
      <w:numFmt w:val="decimal"/>
      <w:lvlText w:val=""/>
      <w:lvlJc w:val="left"/>
    </w:lvl>
    <w:lvl w:ilvl="6" w:tplc="5FE2CE60">
      <w:numFmt w:val="decimal"/>
      <w:lvlText w:val=""/>
      <w:lvlJc w:val="left"/>
    </w:lvl>
    <w:lvl w:ilvl="7" w:tplc="CFEAD668">
      <w:numFmt w:val="decimal"/>
      <w:lvlText w:val=""/>
      <w:lvlJc w:val="left"/>
    </w:lvl>
    <w:lvl w:ilvl="8" w:tplc="1108A294">
      <w:numFmt w:val="decimal"/>
      <w:lvlText w:val=""/>
      <w:lvlJc w:val="left"/>
    </w:lvl>
  </w:abstractNum>
  <w:abstractNum w:abstractNumId="1406" w15:restartNumberingAfterBreak="0">
    <w:nsid w:val="6CBD6F4D"/>
    <w:multiLevelType w:val="hybridMultilevel"/>
    <w:tmpl w:val="67D01E2A"/>
    <w:lvl w:ilvl="0" w:tplc="8F5E82BC">
      <w:start w:val="1"/>
      <w:numFmt w:val="bullet"/>
      <w:lvlText w:val=""/>
      <w:lvlJc w:val="left"/>
      <w:pPr>
        <w:ind w:left="720" w:hanging="180"/>
      </w:pPr>
      <w:rPr>
        <w:rFonts w:ascii="Symbol" w:hAnsi="Symbol" w:hint="default"/>
      </w:rPr>
    </w:lvl>
    <w:lvl w:ilvl="1" w:tplc="CE16991C">
      <w:numFmt w:val="decimal"/>
      <w:lvlText w:val=""/>
      <w:lvlJc w:val="left"/>
    </w:lvl>
    <w:lvl w:ilvl="2" w:tplc="45C6194E">
      <w:numFmt w:val="decimal"/>
      <w:lvlText w:val=""/>
      <w:lvlJc w:val="left"/>
    </w:lvl>
    <w:lvl w:ilvl="3" w:tplc="196210CE">
      <w:numFmt w:val="decimal"/>
      <w:lvlText w:val=""/>
      <w:lvlJc w:val="left"/>
    </w:lvl>
    <w:lvl w:ilvl="4" w:tplc="31B2ECC6">
      <w:numFmt w:val="decimal"/>
      <w:lvlText w:val=""/>
      <w:lvlJc w:val="left"/>
    </w:lvl>
    <w:lvl w:ilvl="5" w:tplc="2152BF04">
      <w:numFmt w:val="decimal"/>
      <w:lvlText w:val=""/>
      <w:lvlJc w:val="left"/>
    </w:lvl>
    <w:lvl w:ilvl="6" w:tplc="7790643C">
      <w:numFmt w:val="decimal"/>
      <w:lvlText w:val=""/>
      <w:lvlJc w:val="left"/>
    </w:lvl>
    <w:lvl w:ilvl="7" w:tplc="F262478C">
      <w:numFmt w:val="decimal"/>
      <w:lvlText w:val=""/>
      <w:lvlJc w:val="left"/>
    </w:lvl>
    <w:lvl w:ilvl="8" w:tplc="46D00262">
      <w:numFmt w:val="decimal"/>
      <w:lvlText w:val=""/>
      <w:lvlJc w:val="left"/>
    </w:lvl>
  </w:abstractNum>
  <w:abstractNum w:abstractNumId="1407" w15:restartNumberingAfterBreak="0">
    <w:nsid w:val="6CCA4DDF"/>
    <w:multiLevelType w:val="hybridMultilevel"/>
    <w:tmpl w:val="52644ABC"/>
    <w:lvl w:ilvl="0" w:tplc="A580C12E">
      <w:start w:val="1"/>
      <w:numFmt w:val="bullet"/>
      <w:lvlText w:val=""/>
      <w:lvlJc w:val="left"/>
      <w:pPr>
        <w:ind w:left="720" w:hanging="180"/>
      </w:pPr>
      <w:rPr>
        <w:rFonts w:ascii="Symbol" w:hAnsi="Symbol" w:hint="default"/>
      </w:rPr>
    </w:lvl>
    <w:lvl w:ilvl="1" w:tplc="AE7C69B0">
      <w:numFmt w:val="decimal"/>
      <w:lvlText w:val=""/>
      <w:lvlJc w:val="left"/>
    </w:lvl>
    <w:lvl w:ilvl="2" w:tplc="FF7CED16">
      <w:numFmt w:val="decimal"/>
      <w:lvlText w:val=""/>
      <w:lvlJc w:val="left"/>
    </w:lvl>
    <w:lvl w:ilvl="3" w:tplc="12F242E8">
      <w:numFmt w:val="decimal"/>
      <w:lvlText w:val=""/>
      <w:lvlJc w:val="left"/>
    </w:lvl>
    <w:lvl w:ilvl="4" w:tplc="2A683E9E">
      <w:numFmt w:val="decimal"/>
      <w:lvlText w:val=""/>
      <w:lvlJc w:val="left"/>
    </w:lvl>
    <w:lvl w:ilvl="5" w:tplc="86F2969C">
      <w:numFmt w:val="decimal"/>
      <w:lvlText w:val=""/>
      <w:lvlJc w:val="left"/>
    </w:lvl>
    <w:lvl w:ilvl="6" w:tplc="4C48F65A">
      <w:numFmt w:val="decimal"/>
      <w:lvlText w:val=""/>
      <w:lvlJc w:val="left"/>
    </w:lvl>
    <w:lvl w:ilvl="7" w:tplc="5E9E2AD0">
      <w:numFmt w:val="decimal"/>
      <w:lvlText w:val=""/>
      <w:lvlJc w:val="left"/>
    </w:lvl>
    <w:lvl w:ilvl="8" w:tplc="D19E3E96">
      <w:numFmt w:val="decimal"/>
      <w:lvlText w:val=""/>
      <w:lvlJc w:val="left"/>
    </w:lvl>
  </w:abstractNum>
  <w:abstractNum w:abstractNumId="1408" w15:restartNumberingAfterBreak="0">
    <w:nsid w:val="6CE3019F"/>
    <w:multiLevelType w:val="hybridMultilevel"/>
    <w:tmpl w:val="CF5C9456"/>
    <w:lvl w:ilvl="0" w:tplc="1020DF72">
      <w:start w:val="1"/>
      <w:numFmt w:val="bullet"/>
      <w:lvlText w:val=""/>
      <w:lvlJc w:val="left"/>
      <w:pPr>
        <w:ind w:left="720" w:hanging="180"/>
      </w:pPr>
      <w:rPr>
        <w:rFonts w:ascii="Symbol" w:hAnsi="Symbol" w:hint="default"/>
      </w:rPr>
    </w:lvl>
    <w:lvl w:ilvl="1" w:tplc="BE7C43EE">
      <w:numFmt w:val="decimal"/>
      <w:lvlText w:val=""/>
      <w:lvlJc w:val="left"/>
    </w:lvl>
    <w:lvl w:ilvl="2" w:tplc="7FBE0536">
      <w:numFmt w:val="decimal"/>
      <w:lvlText w:val=""/>
      <w:lvlJc w:val="left"/>
    </w:lvl>
    <w:lvl w:ilvl="3" w:tplc="4E1E58BA">
      <w:numFmt w:val="decimal"/>
      <w:lvlText w:val=""/>
      <w:lvlJc w:val="left"/>
    </w:lvl>
    <w:lvl w:ilvl="4" w:tplc="3DAC814C">
      <w:numFmt w:val="decimal"/>
      <w:lvlText w:val=""/>
      <w:lvlJc w:val="left"/>
    </w:lvl>
    <w:lvl w:ilvl="5" w:tplc="B2E46512">
      <w:numFmt w:val="decimal"/>
      <w:lvlText w:val=""/>
      <w:lvlJc w:val="left"/>
    </w:lvl>
    <w:lvl w:ilvl="6" w:tplc="D2A6A718">
      <w:numFmt w:val="decimal"/>
      <w:lvlText w:val=""/>
      <w:lvlJc w:val="left"/>
    </w:lvl>
    <w:lvl w:ilvl="7" w:tplc="AE5A5BE8">
      <w:numFmt w:val="decimal"/>
      <w:lvlText w:val=""/>
      <w:lvlJc w:val="left"/>
    </w:lvl>
    <w:lvl w:ilvl="8" w:tplc="2A7074E6">
      <w:numFmt w:val="decimal"/>
      <w:lvlText w:val=""/>
      <w:lvlJc w:val="left"/>
    </w:lvl>
  </w:abstractNum>
  <w:abstractNum w:abstractNumId="1409" w15:restartNumberingAfterBreak="0">
    <w:nsid w:val="6CE97D01"/>
    <w:multiLevelType w:val="hybridMultilevel"/>
    <w:tmpl w:val="CDCE090C"/>
    <w:lvl w:ilvl="0" w:tplc="854EA98A">
      <w:start w:val="1"/>
      <w:numFmt w:val="bullet"/>
      <w:lvlText w:val=""/>
      <w:lvlJc w:val="left"/>
      <w:pPr>
        <w:ind w:left="720" w:hanging="180"/>
      </w:pPr>
      <w:rPr>
        <w:rFonts w:ascii="Symbol" w:hAnsi="Symbol" w:hint="default"/>
      </w:rPr>
    </w:lvl>
    <w:lvl w:ilvl="1" w:tplc="A4B05B70">
      <w:numFmt w:val="decimal"/>
      <w:lvlText w:val=""/>
      <w:lvlJc w:val="left"/>
    </w:lvl>
    <w:lvl w:ilvl="2" w:tplc="50F2BAA0">
      <w:numFmt w:val="decimal"/>
      <w:lvlText w:val=""/>
      <w:lvlJc w:val="left"/>
    </w:lvl>
    <w:lvl w:ilvl="3" w:tplc="346C7B48">
      <w:numFmt w:val="decimal"/>
      <w:lvlText w:val=""/>
      <w:lvlJc w:val="left"/>
    </w:lvl>
    <w:lvl w:ilvl="4" w:tplc="FB429E9E">
      <w:numFmt w:val="decimal"/>
      <w:lvlText w:val=""/>
      <w:lvlJc w:val="left"/>
    </w:lvl>
    <w:lvl w:ilvl="5" w:tplc="AF9CA7D8">
      <w:numFmt w:val="decimal"/>
      <w:lvlText w:val=""/>
      <w:lvlJc w:val="left"/>
    </w:lvl>
    <w:lvl w:ilvl="6" w:tplc="7A7C7F0A">
      <w:numFmt w:val="decimal"/>
      <w:lvlText w:val=""/>
      <w:lvlJc w:val="left"/>
    </w:lvl>
    <w:lvl w:ilvl="7" w:tplc="3342EC44">
      <w:numFmt w:val="decimal"/>
      <w:lvlText w:val=""/>
      <w:lvlJc w:val="left"/>
    </w:lvl>
    <w:lvl w:ilvl="8" w:tplc="74682388">
      <w:numFmt w:val="decimal"/>
      <w:lvlText w:val=""/>
      <w:lvlJc w:val="left"/>
    </w:lvl>
  </w:abstractNum>
  <w:abstractNum w:abstractNumId="1410" w15:restartNumberingAfterBreak="0">
    <w:nsid w:val="6CF549BF"/>
    <w:multiLevelType w:val="hybridMultilevel"/>
    <w:tmpl w:val="DAD248BE"/>
    <w:lvl w:ilvl="0" w:tplc="390C10E0">
      <w:start w:val="1"/>
      <w:numFmt w:val="bullet"/>
      <w:lvlText w:val=""/>
      <w:lvlJc w:val="left"/>
      <w:pPr>
        <w:ind w:left="720" w:hanging="180"/>
      </w:pPr>
      <w:rPr>
        <w:rFonts w:ascii="Symbol" w:hAnsi="Symbol" w:hint="default"/>
      </w:rPr>
    </w:lvl>
    <w:lvl w:ilvl="1" w:tplc="E25A42B6">
      <w:numFmt w:val="decimal"/>
      <w:lvlText w:val=""/>
      <w:lvlJc w:val="left"/>
    </w:lvl>
    <w:lvl w:ilvl="2" w:tplc="B16042C8">
      <w:numFmt w:val="decimal"/>
      <w:lvlText w:val=""/>
      <w:lvlJc w:val="left"/>
    </w:lvl>
    <w:lvl w:ilvl="3" w:tplc="6540E070">
      <w:numFmt w:val="decimal"/>
      <w:lvlText w:val=""/>
      <w:lvlJc w:val="left"/>
    </w:lvl>
    <w:lvl w:ilvl="4" w:tplc="C090F720">
      <w:numFmt w:val="decimal"/>
      <w:lvlText w:val=""/>
      <w:lvlJc w:val="left"/>
    </w:lvl>
    <w:lvl w:ilvl="5" w:tplc="233C178C">
      <w:numFmt w:val="decimal"/>
      <w:lvlText w:val=""/>
      <w:lvlJc w:val="left"/>
    </w:lvl>
    <w:lvl w:ilvl="6" w:tplc="D4CC121C">
      <w:numFmt w:val="decimal"/>
      <w:lvlText w:val=""/>
      <w:lvlJc w:val="left"/>
    </w:lvl>
    <w:lvl w:ilvl="7" w:tplc="02781378">
      <w:numFmt w:val="decimal"/>
      <w:lvlText w:val=""/>
      <w:lvlJc w:val="left"/>
    </w:lvl>
    <w:lvl w:ilvl="8" w:tplc="20BC46A8">
      <w:numFmt w:val="decimal"/>
      <w:lvlText w:val=""/>
      <w:lvlJc w:val="left"/>
    </w:lvl>
  </w:abstractNum>
  <w:abstractNum w:abstractNumId="1411" w15:restartNumberingAfterBreak="0">
    <w:nsid w:val="6D08159E"/>
    <w:multiLevelType w:val="hybridMultilevel"/>
    <w:tmpl w:val="EEC48F6A"/>
    <w:lvl w:ilvl="0" w:tplc="6CB4A2F2">
      <w:start w:val="1"/>
      <w:numFmt w:val="bullet"/>
      <w:lvlText w:val=""/>
      <w:lvlJc w:val="left"/>
      <w:pPr>
        <w:ind w:left="720" w:hanging="180"/>
      </w:pPr>
      <w:rPr>
        <w:rFonts w:ascii="Symbol" w:hAnsi="Symbol" w:hint="default"/>
      </w:rPr>
    </w:lvl>
    <w:lvl w:ilvl="1" w:tplc="8960A4C2">
      <w:numFmt w:val="decimal"/>
      <w:lvlText w:val=""/>
      <w:lvlJc w:val="left"/>
    </w:lvl>
    <w:lvl w:ilvl="2" w:tplc="3A5E79E6">
      <w:numFmt w:val="decimal"/>
      <w:lvlText w:val=""/>
      <w:lvlJc w:val="left"/>
    </w:lvl>
    <w:lvl w:ilvl="3" w:tplc="E90069A2">
      <w:numFmt w:val="decimal"/>
      <w:lvlText w:val=""/>
      <w:lvlJc w:val="left"/>
    </w:lvl>
    <w:lvl w:ilvl="4" w:tplc="DEEA3E44">
      <w:numFmt w:val="decimal"/>
      <w:lvlText w:val=""/>
      <w:lvlJc w:val="left"/>
    </w:lvl>
    <w:lvl w:ilvl="5" w:tplc="2DAEF9BC">
      <w:numFmt w:val="decimal"/>
      <w:lvlText w:val=""/>
      <w:lvlJc w:val="left"/>
    </w:lvl>
    <w:lvl w:ilvl="6" w:tplc="4906B7D8">
      <w:numFmt w:val="decimal"/>
      <w:lvlText w:val=""/>
      <w:lvlJc w:val="left"/>
    </w:lvl>
    <w:lvl w:ilvl="7" w:tplc="8114696E">
      <w:numFmt w:val="decimal"/>
      <w:lvlText w:val=""/>
      <w:lvlJc w:val="left"/>
    </w:lvl>
    <w:lvl w:ilvl="8" w:tplc="271A857C">
      <w:numFmt w:val="decimal"/>
      <w:lvlText w:val=""/>
      <w:lvlJc w:val="left"/>
    </w:lvl>
  </w:abstractNum>
  <w:abstractNum w:abstractNumId="1412" w15:restartNumberingAfterBreak="0">
    <w:nsid w:val="6D133D43"/>
    <w:multiLevelType w:val="hybridMultilevel"/>
    <w:tmpl w:val="D3E22D78"/>
    <w:lvl w:ilvl="0" w:tplc="B886601A">
      <w:start w:val="1"/>
      <w:numFmt w:val="bullet"/>
      <w:lvlText w:val=""/>
      <w:lvlJc w:val="left"/>
      <w:pPr>
        <w:ind w:left="720" w:hanging="180"/>
      </w:pPr>
      <w:rPr>
        <w:rFonts w:ascii="Symbol" w:hAnsi="Symbol" w:hint="default"/>
      </w:rPr>
    </w:lvl>
    <w:lvl w:ilvl="1" w:tplc="5EE25A1E">
      <w:numFmt w:val="decimal"/>
      <w:lvlText w:val=""/>
      <w:lvlJc w:val="left"/>
    </w:lvl>
    <w:lvl w:ilvl="2" w:tplc="82F46D88">
      <w:numFmt w:val="decimal"/>
      <w:lvlText w:val=""/>
      <w:lvlJc w:val="left"/>
    </w:lvl>
    <w:lvl w:ilvl="3" w:tplc="6E3672E6">
      <w:numFmt w:val="decimal"/>
      <w:lvlText w:val=""/>
      <w:lvlJc w:val="left"/>
    </w:lvl>
    <w:lvl w:ilvl="4" w:tplc="48CAE472">
      <w:numFmt w:val="decimal"/>
      <w:lvlText w:val=""/>
      <w:lvlJc w:val="left"/>
    </w:lvl>
    <w:lvl w:ilvl="5" w:tplc="7532A162">
      <w:numFmt w:val="decimal"/>
      <w:lvlText w:val=""/>
      <w:lvlJc w:val="left"/>
    </w:lvl>
    <w:lvl w:ilvl="6" w:tplc="97A8A76A">
      <w:numFmt w:val="decimal"/>
      <w:lvlText w:val=""/>
      <w:lvlJc w:val="left"/>
    </w:lvl>
    <w:lvl w:ilvl="7" w:tplc="15F01AD8">
      <w:numFmt w:val="decimal"/>
      <w:lvlText w:val=""/>
      <w:lvlJc w:val="left"/>
    </w:lvl>
    <w:lvl w:ilvl="8" w:tplc="3E582BC0">
      <w:numFmt w:val="decimal"/>
      <w:lvlText w:val=""/>
      <w:lvlJc w:val="left"/>
    </w:lvl>
  </w:abstractNum>
  <w:abstractNum w:abstractNumId="1413" w15:restartNumberingAfterBreak="0">
    <w:nsid w:val="6D256A7A"/>
    <w:multiLevelType w:val="hybridMultilevel"/>
    <w:tmpl w:val="1742A810"/>
    <w:lvl w:ilvl="0" w:tplc="1C30A1DE">
      <w:start w:val="1"/>
      <w:numFmt w:val="bullet"/>
      <w:lvlText w:val=""/>
      <w:lvlJc w:val="left"/>
      <w:pPr>
        <w:ind w:left="720" w:hanging="180"/>
      </w:pPr>
      <w:rPr>
        <w:rFonts w:ascii="Symbol" w:hAnsi="Symbol" w:hint="default"/>
      </w:rPr>
    </w:lvl>
    <w:lvl w:ilvl="1" w:tplc="3864B542">
      <w:numFmt w:val="decimal"/>
      <w:lvlText w:val=""/>
      <w:lvlJc w:val="left"/>
    </w:lvl>
    <w:lvl w:ilvl="2" w:tplc="15B2D176">
      <w:numFmt w:val="decimal"/>
      <w:lvlText w:val=""/>
      <w:lvlJc w:val="left"/>
    </w:lvl>
    <w:lvl w:ilvl="3" w:tplc="42E814E6">
      <w:numFmt w:val="decimal"/>
      <w:lvlText w:val=""/>
      <w:lvlJc w:val="left"/>
    </w:lvl>
    <w:lvl w:ilvl="4" w:tplc="0FD0F87A">
      <w:numFmt w:val="decimal"/>
      <w:lvlText w:val=""/>
      <w:lvlJc w:val="left"/>
    </w:lvl>
    <w:lvl w:ilvl="5" w:tplc="1A022030">
      <w:numFmt w:val="decimal"/>
      <w:lvlText w:val=""/>
      <w:lvlJc w:val="left"/>
    </w:lvl>
    <w:lvl w:ilvl="6" w:tplc="3D22A806">
      <w:numFmt w:val="decimal"/>
      <w:lvlText w:val=""/>
      <w:lvlJc w:val="left"/>
    </w:lvl>
    <w:lvl w:ilvl="7" w:tplc="895630F0">
      <w:numFmt w:val="decimal"/>
      <w:lvlText w:val=""/>
      <w:lvlJc w:val="left"/>
    </w:lvl>
    <w:lvl w:ilvl="8" w:tplc="E0D29DEE">
      <w:numFmt w:val="decimal"/>
      <w:lvlText w:val=""/>
      <w:lvlJc w:val="left"/>
    </w:lvl>
  </w:abstractNum>
  <w:abstractNum w:abstractNumId="1414" w15:restartNumberingAfterBreak="0">
    <w:nsid w:val="6D471B63"/>
    <w:multiLevelType w:val="hybridMultilevel"/>
    <w:tmpl w:val="C71AAFC6"/>
    <w:lvl w:ilvl="0" w:tplc="EEB42B7C">
      <w:numFmt w:val="decimal"/>
      <w:lvlText w:val=""/>
      <w:lvlJc w:val="left"/>
    </w:lvl>
    <w:lvl w:ilvl="1" w:tplc="9FA88524">
      <w:start w:val="1"/>
      <w:numFmt w:val="bullet"/>
      <w:lvlText w:val=""/>
      <w:lvlJc w:val="left"/>
      <w:pPr>
        <w:ind w:left="1440" w:hanging="180"/>
      </w:pPr>
      <w:rPr>
        <w:rFonts w:ascii="Symbol" w:hAnsi="Symbol" w:hint="default"/>
      </w:rPr>
    </w:lvl>
    <w:lvl w:ilvl="2" w:tplc="1CCAE606">
      <w:numFmt w:val="decimal"/>
      <w:lvlText w:val=""/>
      <w:lvlJc w:val="left"/>
    </w:lvl>
    <w:lvl w:ilvl="3" w:tplc="0F0472D4">
      <w:numFmt w:val="decimal"/>
      <w:lvlText w:val=""/>
      <w:lvlJc w:val="left"/>
    </w:lvl>
    <w:lvl w:ilvl="4" w:tplc="8ED0578A">
      <w:numFmt w:val="decimal"/>
      <w:lvlText w:val=""/>
      <w:lvlJc w:val="left"/>
    </w:lvl>
    <w:lvl w:ilvl="5" w:tplc="C7A8ECF8">
      <w:numFmt w:val="decimal"/>
      <w:lvlText w:val=""/>
      <w:lvlJc w:val="left"/>
    </w:lvl>
    <w:lvl w:ilvl="6" w:tplc="7068A52A">
      <w:numFmt w:val="decimal"/>
      <w:lvlText w:val=""/>
      <w:lvlJc w:val="left"/>
    </w:lvl>
    <w:lvl w:ilvl="7" w:tplc="B03468D8">
      <w:numFmt w:val="decimal"/>
      <w:lvlText w:val=""/>
      <w:lvlJc w:val="left"/>
    </w:lvl>
    <w:lvl w:ilvl="8" w:tplc="AE187A8E">
      <w:numFmt w:val="decimal"/>
      <w:lvlText w:val=""/>
      <w:lvlJc w:val="left"/>
    </w:lvl>
  </w:abstractNum>
  <w:abstractNum w:abstractNumId="1415" w15:restartNumberingAfterBreak="0">
    <w:nsid w:val="6D634479"/>
    <w:multiLevelType w:val="hybridMultilevel"/>
    <w:tmpl w:val="4EEAD814"/>
    <w:lvl w:ilvl="0" w:tplc="2AFEB656">
      <w:start w:val="1"/>
      <w:numFmt w:val="bullet"/>
      <w:lvlText w:val=""/>
      <w:lvlJc w:val="left"/>
      <w:pPr>
        <w:ind w:left="720" w:hanging="180"/>
      </w:pPr>
      <w:rPr>
        <w:rFonts w:ascii="Symbol" w:hAnsi="Symbol" w:hint="default"/>
      </w:rPr>
    </w:lvl>
    <w:lvl w:ilvl="1" w:tplc="9CF29CAC">
      <w:numFmt w:val="decimal"/>
      <w:lvlText w:val=""/>
      <w:lvlJc w:val="left"/>
    </w:lvl>
    <w:lvl w:ilvl="2" w:tplc="0872368C">
      <w:numFmt w:val="decimal"/>
      <w:lvlText w:val=""/>
      <w:lvlJc w:val="left"/>
    </w:lvl>
    <w:lvl w:ilvl="3" w:tplc="2B9096F2">
      <w:numFmt w:val="decimal"/>
      <w:lvlText w:val=""/>
      <w:lvlJc w:val="left"/>
    </w:lvl>
    <w:lvl w:ilvl="4" w:tplc="30DE2300">
      <w:numFmt w:val="decimal"/>
      <w:lvlText w:val=""/>
      <w:lvlJc w:val="left"/>
    </w:lvl>
    <w:lvl w:ilvl="5" w:tplc="0C22F70C">
      <w:numFmt w:val="decimal"/>
      <w:lvlText w:val=""/>
      <w:lvlJc w:val="left"/>
    </w:lvl>
    <w:lvl w:ilvl="6" w:tplc="12B8A27C">
      <w:numFmt w:val="decimal"/>
      <w:lvlText w:val=""/>
      <w:lvlJc w:val="left"/>
    </w:lvl>
    <w:lvl w:ilvl="7" w:tplc="D7F210AA">
      <w:numFmt w:val="decimal"/>
      <w:lvlText w:val=""/>
      <w:lvlJc w:val="left"/>
    </w:lvl>
    <w:lvl w:ilvl="8" w:tplc="A8E04B2E">
      <w:numFmt w:val="decimal"/>
      <w:lvlText w:val=""/>
      <w:lvlJc w:val="left"/>
    </w:lvl>
  </w:abstractNum>
  <w:abstractNum w:abstractNumId="1416" w15:restartNumberingAfterBreak="0">
    <w:nsid w:val="6D715B53"/>
    <w:multiLevelType w:val="hybridMultilevel"/>
    <w:tmpl w:val="B3F406C4"/>
    <w:lvl w:ilvl="0" w:tplc="E82A1F30">
      <w:start w:val="1"/>
      <w:numFmt w:val="bullet"/>
      <w:lvlText w:val=""/>
      <w:lvlJc w:val="left"/>
      <w:pPr>
        <w:ind w:left="720" w:hanging="180"/>
      </w:pPr>
      <w:rPr>
        <w:rFonts w:ascii="Symbol" w:hAnsi="Symbol" w:hint="default"/>
      </w:rPr>
    </w:lvl>
    <w:lvl w:ilvl="1" w:tplc="F25A0378">
      <w:numFmt w:val="decimal"/>
      <w:lvlText w:val=""/>
      <w:lvlJc w:val="left"/>
    </w:lvl>
    <w:lvl w:ilvl="2" w:tplc="91E485B6">
      <w:numFmt w:val="decimal"/>
      <w:lvlText w:val=""/>
      <w:lvlJc w:val="left"/>
    </w:lvl>
    <w:lvl w:ilvl="3" w:tplc="F8CC70FC">
      <w:numFmt w:val="decimal"/>
      <w:lvlText w:val=""/>
      <w:lvlJc w:val="left"/>
    </w:lvl>
    <w:lvl w:ilvl="4" w:tplc="D9EA711E">
      <w:numFmt w:val="decimal"/>
      <w:lvlText w:val=""/>
      <w:lvlJc w:val="left"/>
    </w:lvl>
    <w:lvl w:ilvl="5" w:tplc="0ED43408">
      <w:numFmt w:val="decimal"/>
      <w:lvlText w:val=""/>
      <w:lvlJc w:val="left"/>
    </w:lvl>
    <w:lvl w:ilvl="6" w:tplc="6AE2EA06">
      <w:numFmt w:val="decimal"/>
      <w:lvlText w:val=""/>
      <w:lvlJc w:val="left"/>
    </w:lvl>
    <w:lvl w:ilvl="7" w:tplc="7FCC1882">
      <w:numFmt w:val="decimal"/>
      <w:lvlText w:val=""/>
      <w:lvlJc w:val="left"/>
    </w:lvl>
    <w:lvl w:ilvl="8" w:tplc="7A406542">
      <w:numFmt w:val="decimal"/>
      <w:lvlText w:val=""/>
      <w:lvlJc w:val="left"/>
    </w:lvl>
  </w:abstractNum>
  <w:abstractNum w:abstractNumId="1417" w15:restartNumberingAfterBreak="0">
    <w:nsid w:val="6D8029B1"/>
    <w:multiLevelType w:val="hybridMultilevel"/>
    <w:tmpl w:val="5DCAA17C"/>
    <w:lvl w:ilvl="0" w:tplc="A18CE5D8">
      <w:numFmt w:val="decimal"/>
      <w:lvlText w:val=""/>
      <w:lvlJc w:val="left"/>
    </w:lvl>
    <w:lvl w:ilvl="1" w:tplc="28A2289E">
      <w:start w:val="1"/>
      <w:numFmt w:val="bullet"/>
      <w:lvlText w:val=""/>
      <w:lvlJc w:val="left"/>
      <w:pPr>
        <w:ind w:left="1440" w:hanging="180"/>
      </w:pPr>
      <w:rPr>
        <w:rFonts w:ascii="Symbol" w:hAnsi="Symbol" w:hint="default"/>
      </w:rPr>
    </w:lvl>
    <w:lvl w:ilvl="2" w:tplc="8D440DDC">
      <w:numFmt w:val="decimal"/>
      <w:lvlText w:val=""/>
      <w:lvlJc w:val="left"/>
    </w:lvl>
    <w:lvl w:ilvl="3" w:tplc="215AE5DA">
      <w:numFmt w:val="decimal"/>
      <w:lvlText w:val=""/>
      <w:lvlJc w:val="left"/>
    </w:lvl>
    <w:lvl w:ilvl="4" w:tplc="717C031A">
      <w:numFmt w:val="decimal"/>
      <w:lvlText w:val=""/>
      <w:lvlJc w:val="left"/>
    </w:lvl>
    <w:lvl w:ilvl="5" w:tplc="7ED8C3FE">
      <w:numFmt w:val="decimal"/>
      <w:lvlText w:val=""/>
      <w:lvlJc w:val="left"/>
    </w:lvl>
    <w:lvl w:ilvl="6" w:tplc="5A722044">
      <w:numFmt w:val="decimal"/>
      <w:lvlText w:val=""/>
      <w:lvlJc w:val="left"/>
    </w:lvl>
    <w:lvl w:ilvl="7" w:tplc="51A8FC60">
      <w:numFmt w:val="decimal"/>
      <w:lvlText w:val=""/>
      <w:lvlJc w:val="left"/>
    </w:lvl>
    <w:lvl w:ilvl="8" w:tplc="B36470DE">
      <w:numFmt w:val="decimal"/>
      <w:lvlText w:val=""/>
      <w:lvlJc w:val="left"/>
    </w:lvl>
  </w:abstractNum>
  <w:abstractNum w:abstractNumId="1418" w15:restartNumberingAfterBreak="0">
    <w:nsid w:val="6D966ED9"/>
    <w:multiLevelType w:val="hybridMultilevel"/>
    <w:tmpl w:val="B4A0F9DA"/>
    <w:lvl w:ilvl="0" w:tplc="BD2CC7C0">
      <w:start w:val="1"/>
      <w:numFmt w:val="bullet"/>
      <w:lvlText w:val=""/>
      <w:lvlJc w:val="left"/>
      <w:pPr>
        <w:ind w:left="720" w:hanging="180"/>
      </w:pPr>
      <w:rPr>
        <w:rFonts w:ascii="Symbol" w:hAnsi="Symbol" w:hint="default"/>
      </w:rPr>
    </w:lvl>
    <w:lvl w:ilvl="1" w:tplc="94E807AC">
      <w:numFmt w:val="decimal"/>
      <w:lvlText w:val=""/>
      <w:lvlJc w:val="left"/>
    </w:lvl>
    <w:lvl w:ilvl="2" w:tplc="949E1B28">
      <w:numFmt w:val="decimal"/>
      <w:lvlText w:val=""/>
      <w:lvlJc w:val="left"/>
    </w:lvl>
    <w:lvl w:ilvl="3" w:tplc="244E3374">
      <w:numFmt w:val="decimal"/>
      <w:lvlText w:val=""/>
      <w:lvlJc w:val="left"/>
    </w:lvl>
    <w:lvl w:ilvl="4" w:tplc="398AE2AE">
      <w:numFmt w:val="decimal"/>
      <w:lvlText w:val=""/>
      <w:lvlJc w:val="left"/>
    </w:lvl>
    <w:lvl w:ilvl="5" w:tplc="BA68D672">
      <w:numFmt w:val="decimal"/>
      <w:lvlText w:val=""/>
      <w:lvlJc w:val="left"/>
    </w:lvl>
    <w:lvl w:ilvl="6" w:tplc="603E8ED0">
      <w:numFmt w:val="decimal"/>
      <w:lvlText w:val=""/>
      <w:lvlJc w:val="left"/>
    </w:lvl>
    <w:lvl w:ilvl="7" w:tplc="650285D0">
      <w:numFmt w:val="decimal"/>
      <w:lvlText w:val=""/>
      <w:lvlJc w:val="left"/>
    </w:lvl>
    <w:lvl w:ilvl="8" w:tplc="1B3C22C8">
      <w:numFmt w:val="decimal"/>
      <w:lvlText w:val=""/>
      <w:lvlJc w:val="left"/>
    </w:lvl>
  </w:abstractNum>
  <w:abstractNum w:abstractNumId="1419" w15:restartNumberingAfterBreak="0">
    <w:nsid w:val="6DA51D29"/>
    <w:multiLevelType w:val="hybridMultilevel"/>
    <w:tmpl w:val="AD0A0A2A"/>
    <w:lvl w:ilvl="0" w:tplc="49E8C22C">
      <w:start w:val="1"/>
      <w:numFmt w:val="bullet"/>
      <w:lvlText w:val=""/>
      <w:lvlJc w:val="left"/>
      <w:pPr>
        <w:ind w:left="720" w:hanging="180"/>
      </w:pPr>
      <w:rPr>
        <w:rFonts w:ascii="Symbol" w:hAnsi="Symbol" w:hint="default"/>
      </w:rPr>
    </w:lvl>
    <w:lvl w:ilvl="1" w:tplc="ABC6379A">
      <w:numFmt w:val="decimal"/>
      <w:lvlText w:val=""/>
      <w:lvlJc w:val="left"/>
    </w:lvl>
    <w:lvl w:ilvl="2" w:tplc="79983D62">
      <w:numFmt w:val="decimal"/>
      <w:lvlText w:val=""/>
      <w:lvlJc w:val="left"/>
    </w:lvl>
    <w:lvl w:ilvl="3" w:tplc="3F04DBD2">
      <w:numFmt w:val="decimal"/>
      <w:lvlText w:val=""/>
      <w:lvlJc w:val="left"/>
    </w:lvl>
    <w:lvl w:ilvl="4" w:tplc="BA6421EA">
      <w:numFmt w:val="decimal"/>
      <w:lvlText w:val=""/>
      <w:lvlJc w:val="left"/>
    </w:lvl>
    <w:lvl w:ilvl="5" w:tplc="842CF4D8">
      <w:numFmt w:val="decimal"/>
      <w:lvlText w:val=""/>
      <w:lvlJc w:val="left"/>
    </w:lvl>
    <w:lvl w:ilvl="6" w:tplc="B9C8D046">
      <w:numFmt w:val="decimal"/>
      <w:lvlText w:val=""/>
      <w:lvlJc w:val="left"/>
    </w:lvl>
    <w:lvl w:ilvl="7" w:tplc="94E8F4A4">
      <w:numFmt w:val="decimal"/>
      <w:lvlText w:val=""/>
      <w:lvlJc w:val="left"/>
    </w:lvl>
    <w:lvl w:ilvl="8" w:tplc="BE3A6144">
      <w:numFmt w:val="decimal"/>
      <w:lvlText w:val=""/>
      <w:lvlJc w:val="left"/>
    </w:lvl>
  </w:abstractNum>
  <w:abstractNum w:abstractNumId="1420" w15:restartNumberingAfterBreak="0">
    <w:nsid w:val="6DCB47CA"/>
    <w:multiLevelType w:val="hybridMultilevel"/>
    <w:tmpl w:val="84123B12"/>
    <w:lvl w:ilvl="0" w:tplc="74C40446">
      <w:start w:val="1"/>
      <w:numFmt w:val="bullet"/>
      <w:lvlText w:val=""/>
      <w:lvlJc w:val="left"/>
      <w:pPr>
        <w:ind w:left="720" w:hanging="180"/>
      </w:pPr>
      <w:rPr>
        <w:rFonts w:ascii="Symbol" w:hAnsi="Symbol" w:hint="default"/>
      </w:rPr>
    </w:lvl>
    <w:lvl w:ilvl="1" w:tplc="5A9C7D88">
      <w:numFmt w:val="decimal"/>
      <w:lvlText w:val=""/>
      <w:lvlJc w:val="left"/>
    </w:lvl>
    <w:lvl w:ilvl="2" w:tplc="43244CE2">
      <w:numFmt w:val="decimal"/>
      <w:lvlText w:val=""/>
      <w:lvlJc w:val="left"/>
    </w:lvl>
    <w:lvl w:ilvl="3" w:tplc="F7CC055E">
      <w:numFmt w:val="decimal"/>
      <w:lvlText w:val=""/>
      <w:lvlJc w:val="left"/>
    </w:lvl>
    <w:lvl w:ilvl="4" w:tplc="59C40A84">
      <w:numFmt w:val="decimal"/>
      <w:lvlText w:val=""/>
      <w:lvlJc w:val="left"/>
    </w:lvl>
    <w:lvl w:ilvl="5" w:tplc="A614B644">
      <w:numFmt w:val="decimal"/>
      <w:lvlText w:val=""/>
      <w:lvlJc w:val="left"/>
    </w:lvl>
    <w:lvl w:ilvl="6" w:tplc="C60A198E">
      <w:numFmt w:val="decimal"/>
      <w:lvlText w:val=""/>
      <w:lvlJc w:val="left"/>
    </w:lvl>
    <w:lvl w:ilvl="7" w:tplc="CE40194E">
      <w:numFmt w:val="decimal"/>
      <w:lvlText w:val=""/>
      <w:lvlJc w:val="left"/>
    </w:lvl>
    <w:lvl w:ilvl="8" w:tplc="292CC6C6">
      <w:numFmt w:val="decimal"/>
      <w:lvlText w:val=""/>
      <w:lvlJc w:val="left"/>
    </w:lvl>
  </w:abstractNum>
  <w:abstractNum w:abstractNumId="1421" w15:restartNumberingAfterBreak="0">
    <w:nsid w:val="6DE65B44"/>
    <w:multiLevelType w:val="hybridMultilevel"/>
    <w:tmpl w:val="1DC459A8"/>
    <w:lvl w:ilvl="0" w:tplc="D486D22A">
      <w:start w:val="1"/>
      <w:numFmt w:val="bullet"/>
      <w:lvlText w:val=""/>
      <w:lvlJc w:val="left"/>
      <w:pPr>
        <w:ind w:left="720" w:hanging="180"/>
      </w:pPr>
      <w:rPr>
        <w:rFonts w:ascii="Symbol" w:hAnsi="Symbol" w:hint="default"/>
      </w:rPr>
    </w:lvl>
    <w:lvl w:ilvl="1" w:tplc="493266D2">
      <w:numFmt w:val="decimal"/>
      <w:lvlText w:val=""/>
      <w:lvlJc w:val="left"/>
    </w:lvl>
    <w:lvl w:ilvl="2" w:tplc="07B03564">
      <w:numFmt w:val="decimal"/>
      <w:lvlText w:val=""/>
      <w:lvlJc w:val="left"/>
    </w:lvl>
    <w:lvl w:ilvl="3" w:tplc="ADE4A98A">
      <w:numFmt w:val="decimal"/>
      <w:lvlText w:val=""/>
      <w:lvlJc w:val="left"/>
    </w:lvl>
    <w:lvl w:ilvl="4" w:tplc="94589B88">
      <w:numFmt w:val="decimal"/>
      <w:lvlText w:val=""/>
      <w:lvlJc w:val="left"/>
    </w:lvl>
    <w:lvl w:ilvl="5" w:tplc="60983296">
      <w:numFmt w:val="decimal"/>
      <w:lvlText w:val=""/>
      <w:lvlJc w:val="left"/>
    </w:lvl>
    <w:lvl w:ilvl="6" w:tplc="0602EA3A">
      <w:numFmt w:val="decimal"/>
      <w:lvlText w:val=""/>
      <w:lvlJc w:val="left"/>
    </w:lvl>
    <w:lvl w:ilvl="7" w:tplc="6CC8C22E">
      <w:numFmt w:val="decimal"/>
      <w:lvlText w:val=""/>
      <w:lvlJc w:val="left"/>
    </w:lvl>
    <w:lvl w:ilvl="8" w:tplc="EAA68EE0">
      <w:numFmt w:val="decimal"/>
      <w:lvlText w:val=""/>
      <w:lvlJc w:val="left"/>
    </w:lvl>
  </w:abstractNum>
  <w:abstractNum w:abstractNumId="1422" w15:restartNumberingAfterBreak="0">
    <w:nsid w:val="6DF9285A"/>
    <w:multiLevelType w:val="hybridMultilevel"/>
    <w:tmpl w:val="8B2A345C"/>
    <w:lvl w:ilvl="0" w:tplc="063C73B4">
      <w:start w:val="1"/>
      <w:numFmt w:val="bullet"/>
      <w:lvlText w:val=""/>
      <w:lvlJc w:val="left"/>
      <w:pPr>
        <w:ind w:left="720" w:hanging="180"/>
      </w:pPr>
      <w:rPr>
        <w:rFonts w:ascii="Symbol" w:hAnsi="Symbol" w:hint="default"/>
      </w:rPr>
    </w:lvl>
    <w:lvl w:ilvl="1" w:tplc="5F36243E">
      <w:numFmt w:val="decimal"/>
      <w:lvlText w:val=""/>
      <w:lvlJc w:val="left"/>
    </w:lvl>
    <w:lvl w:ilvl="2" w:tplc="E7AA2AFE">
      <w:numFmt w:val="decimal"/>
      <w:lvlText w:val=""/>
      <w:lvlJc w:val="left"/>
    </w:lvl>
    <w:lvl w:ilvl="3" w:tplc="DFECF730">
      <w:numFmt w:val="decimal"/>
      <w:lvlText w:val=""/>
      <w:lvlJc w:val="left"/>
    </w:lvl>
    <w:lvl w:ilvl="4" w:tplc="B7803AAE">
      <w:numFmt w:val="decimal"/>
      <w:lvlText w:val=""/>
      <w:lvlJc w:val="left"/>
    </w:lvl>
    <w:lvl w:ilvl="5" w:tplc="828E0A48">
      <w:numFmt w:val="decimal"/>
      <w:lvlText w:val=""/>
      <w:lvlJc w:val="left"/>
    </w:lvl>
    <w:lvl w:ilvl="6" w:tplc="D85E0B12">
      <w:numFmt w:val="decimal"/>
      <w:lvlText w:val=""/>
      <w:lvlJc w:val="left"/>
    </w:lvl>
    <w:lvl w:ilvl="7" w:tplc="F33AB0F6">
      <w:numFmt w:val="decimal"/>
      <w:lvlText w:val=""/>
      <w:lvlJc w:val="left"/>
    </w:lvl>
    <w:lvl w:ilvl="8" w:tplc="51B03066">
      <w:numFmt w:val="decimal"/>
      <w:lvlText w:val=""/>
      <w:lvlJc w:val="left"/>
    </w:lvl>
  </w:abstractNum>
  <w:abstractNum w:abstractNumId="1423" w15:restartNumberingAfterBreak="0">
    <w:nsid w:val="6E0F1685"/>
    <w:multiLevelType w:val="hybridMultilevel"/>
    <w:tmpl w:val="4C90A06C"/>
    <w:lvl w:ilvl="0" w:tplc="E79A82B0">
      <w:start w:val="1"/>
      <w:numFmt w:val="bullet"/>
      <w:lvlText w:val=""/>
      <w:lvlJc w:val="left"/>
      <w:pPr>
        <w:ind w:left="720" w:hanging="180"/>
      </w:pPr>
      <w:rPr>
        <w:rFonts w:ascii="Symbol" w:hAnsi="Symbol" w:hint="default"/>
      </w:rPr>
    </w:lvl>
    <w:lvl w:ilvl="1" w:tplc="FA02CFBC">
      <w:numFmt w:val="decimal"/>
      <w:lvlText w:val=""/>
      <w:lvlJc w:val="left"/>
    </w:lvl>
    <w:lvl w:ilvl="2" w:tplc="1F92955A">
      <w:numFmt w:val="decimal"/>
      <w:lvlText w:val=""/>
      <w:lvlJc w:val="left"/>
    </w:lvl>
    <w:lvl w:ilvl="3" w:tplc="134A8002">
      <w:numFmt w:val="decimal"/>
      <w:lvlText w:val=""/>
      <w:lvlJc w:val="left"/>
    </w:lvl>
    <w:lvl w:ilvl="4" w:tplc="4EACA89A">
      <w:numFmt w:val="decimal"/>
      <w:lvlText w:val=""/>
      <w:lvlJc w:val="left"/>
    </w:lvl>
    <w:lvl w:ilvl="5" w:tplc="88EC38D2">
      <w:numFmt w:val="decimal"/>
      <w:lvlText w:val=""/>
      <w:lvlJc w:val="left"/>
    </w:lvl>
    <w:lvl w:ilvl="6" w:tplc="3468EFCC">
      <w:numFmt w:val="decimal"/>
      <w:lvlText w:val=""/>
      <w:lvlJc w:val="left"/>
    </w:lvl>
    <w:lvl w:ilvl="7" w:tplc="13169CC2">
      <w:numFmt w:val="decimal"/>
      <w:lvlText w:val=""/>
      <w:lvlJc w:val="left"/>
    </w:lvl>
    <w:lvl w:ilvl="8" w:tplc="4380E820">
      <w:numFmt w:val="decimal"/>
      <w:lvlText w:val=""/>
      <w:lvlJc w:val="left"/>
    </w:lvl>
  </w:abstractNum>
  <w:abstractNum w:abstractNumId="1424" w15:restartNumberingAfterBreak="0">
    <w:nsid w:val="6E1E3241"/>
    <w:multiLevelType w:val="hybridMultilevel"/>
    <w:tmpl w:val="28A82BC2"/>
    <w:lvl w:ilvl="0" w:tplc="0ABC18A2">
      <w:numFmt w:val="decimal"/>
      <w:lvlText w:val=""/>
      <w:lvlJc w:val="left"/>
    </w:lvl>
    <w:lvl w:ilvl="1" w:tplc="42AAD800">
      <w:start w:val="1"/>
      <w:numFmt w:val="bullet"/>
      <w:lvlText w:val=""/>
      <w:lvlJc w:val="left"/>
      <w:pPr>
        <w:ind w:left="1440" w:hanging="180"/>
      </w:pPr>
      <w:rPr>
        <w:rFonts w:ascii="Symbol" w:hAnsi="Symbol" w:hint="default"/>
      </w:rPr>
    </w:lvl>
    <w:lvl w:ilvl="2" w:tplc="0A662F36">
      <w:numFmt w:val="decimal"/>
      <w:lvlText w:val=""/>
      <w:lvlJc w:val="left"/>
    </w:lvl>
    <w:lvl w:ilvl="3" w:tplc="A4DC0FD8">
      <w:numFmt w:val="decimal"/>
      <w:lvlText w:val=""/>
      <w:lvlJc w:val="left"/>
    </w:lvl>
    <w:lvl w:ilvl="4" w:tplc="22E2C348">
      <w:numFmt w:val="decimal"/>
      <w:lvlText w:val=""/>
      <w:lvlJc w:val="left"/>
    </w:lvl>
    <w:lvl w:ilvl="5" w:tplc="238AB2D8">
      <w:numFmt w:val="decimal"/>
      <w:lvlText w:val=""/>
      <w:lvlJc w:val="left"/>
    </w:lvl>
    <w:lvl w:ilvl="6" w:tplc="B86C969E">
      <w:numFmt w:val="decimal"/>
      <w:lvlText w:val=""/>
      <w:lvlJc w:val="left"/>
    </w:lvl>
    <w:lvl w:ilvl="7" w:tplc="B838BE34">
      <w:numFmt w:val="decimal"/>
      <w:lvlText w:val=""/>
      <w:lvlJc w:val="left"/>
    </w:lvl>
    <w:lvl w:ilvl="8" w:tplc="529A48A0">
      <w:numFmt w:val="decimal"/>
      <w:lvlText w:val=""/>
      <w:lvlJc w:val="left"/>
    </w:lvl>
  </w:abstractNum>
  <w:abstractNum w:abstractNumId="1425" w15:restartNumberingAfterBreak="0">
    <w:nsid w:val="6E2C6CEF"/>
    <w:multiLevelType w:val="hybridMultilevel"/>
    <w:tmpl w:val="AC860248"/>
    <w:lvl w:ilvl="0" w:tplc="C06A1586">
      <w:numFmt w:val="decimal"/>
      <w:lvlText w:val=""/>
      <w:lvlJc w:val="left"/>
    </w:lvl>
    <w:lvl w:ilvl="1" w:tplc="01824E42">
      <w:start w:val="1"/>
      <w:numFmt w:val="bullet"/>
      <w:lvlText w:val=""/>
      <w:lvlJc w:val="left"/>
      <w:pPr>
        <w:ind w:left="1440" w:hanging="180"/>
      </w:pPr>
      <w:rPr>
        <w:rFonts w:ascii="Symbol" w:hAnsi="Symbol" w:hint="default"/>
      </w:rPr>
    </w:lvl>
    <w:lvl w:ilvl="2" w:tplc="B78C23AA">
      <w:numFmt w:val="decimal"/>
      <w:lvlText w:val=""/>
      <w:lvlJc w:val="left"/>
    </w:lvl>
    <w:lvl w:ilvl="3" w:tplc="B8288152">
      <w:numFmt w:val="decimal"/>
      <w:lvlText w:val=""/>
      <w:lvlJc w:val="left"/>
    </w:lvl>
    <w:lvl w:ilvl="4" w:tplc="B58AFDA6">
      <w:numFmt w:val="decimal"/>
      <w:lvlText w:val=""/>
      <w:lvlJc w:val="left"/>
    </w:lvl>
    <w:lvl w:ilvl="5" w:tplc="69461CFC">
      <w:numFmt w:val="decimal"/>
      <w:lvlText w:val=""/>
      <w:lvlJc w:val="left"/>
    </w:lvl>
    <w:lvl w:ilvl="6" w:tplc="4AE24AEA">
      <w:numFmt w:val="decimal"/>
      <w:lvlText w:val=""/>
      <w:lvlJc w:val="left"/>
    </w:lvl>
    <w:lvl w:ilvl="7" w:tplc="61C401F4">
      <w:numFmt w:val="decimal"/>
      <w:lvlText w:val=""/>
      <w:lvlJc w:val="left"/>
    </w:lvl>
    <w:lvl w:ilvl="8" w:tplc="49F0F7F4">
      <w:numFmt w:val="decimal"/>
      <w:lvlText w:val=""/>
      <w:lvlJc w:val="left"/>
    </w:lvl>
  </w:abstractNum>
  <w:abstractNum w:abstractNumId="1426" w15:restartNumberingAfterBreak="0">
    <w:nsid w:val="6E613E6F"/>
    <w:multiLevelType w:val="hybridMultilevel"/>
    <w:tmpl w:val="D4F40B88"/>
    <w:lvl w:ilvl="0" w:tplc="B86EED72">
      <w:start w:val="1"/>
      <w:numFmt w:val="bullet"/>
      <w:lvlText w:val=""/>
      <w:lvlJc w:val="left"/>
      <w:pPr>
        <w:ind w:left="720" w:hanging="180"/>
      </w:pPr>
      <w:rPr>
        <w:rFonts w:ascii="Symbol" w:hAnsi="Symbol" w:hint="default"/>
      </w:rPr>
    </w:lvl>
    <w:lvl w:ilvl="1" w:tplc="CC7EBB12">
      <w:numFmt w:val="decimal"/>
      <w:lvlText w:val=""/>
      <w:lvlJc w:val="left"/>
    </w:lvl>
    <w:lvl w:ilvl="2" w:tplc="3B627C9A">
      <w:numFmt w:val="decimal"/>
      <w:lvlText w:val=""/>
      <w:lvlJc w:val="left"/>
    </w:lvl>
    <w:lvl w:ilvl="3" w:tplc="A7366280">
      <w:numFmt w:val="decimal"/>
      <w:lvlText w:val=""/>
      <w:lvlJc w:val="left"/>
    </w:lvl>
    <w:lvl w:ilvl="4" w:tplc="3798137E">
      <w:numFmt w:val="decimal"/>
      <w:lvlText w:val=""/>
      <w:lvlJc w:val="left"/>
    </w:lvl>
    <w:lvl w:ilvl="5" w:tplc="24868576">
      <w:numFmt w:val="decimal"/>
      <w:lvlText w:val=""/>
      <w:lvlJc w:val="left"/>
    </w:lvl>
    <w:lvl w:ilvl="6" w:tplc="5FE08556">
      <w:numFmt w:val="decimal"/>
      <w:lvlText w:val=""/>
      <w:lvlJc w:val="left"/>
    </w:lvl>
    <w:lvl w:ilvl="7" w:tplc="C478C0BA">
      <w:numFmt w:val="decimal"/>
      <w:lvlText w:val=""/>
      <w:lvlJc w:val="left"/>
    </w:lvl>
    <w:lvl w:ilvl="8" w:tplc="3DDA54DA">
      <w:numFmt w:val="decimal"/>
      <w:lvlText w:val=""/>
      <w:lvlJc w:val="left"/>
    </w:lvl>
  </w:abstractNum>
  <w:abstractNum w:abstractNumId="1427" w15:restartNumberingAfterBreak="0">
    <w:nsid w:val="6E7D0B01"/>
    <w:multiLevelType w:val="hybridMultilevel"/>
    <w:tmpl w:val="BE6E1370"/>
    <w:lvl w:ilvl="0" w:tplc="EC3ECAA6">
      <w:start w:val="1"/>
      <w:numFmt w:val="bullet"/>
      <w:lvlText w:val=""/>
      <w:lvlJc w:val="left"/>
      <w:pPr>
        <w:ind w:left="720" w:hanging="180"/>
      </w:pPr>
      <w:rPr>
        <w:rFonts w:ascii="Symbol" w:hAnsi="Symbol" w:hint="default"/>
      </w:rPr>
    </w:lvl>
    <w:lvl w:ilvl="1" w:tplc="EB26BCE0">
      <w:numFmt w:val="decimal"/>
      <w:lvlText w:val=""/>
      <w:lvlJc w:val="left"/>
    </w:lvl>
    <w:lvl w:ilvl="2" w:tplc="4E3A8142">
      <w:numFmt w:val="decimal"/>
      <w:lvlText w:val=""/>
      <w:lvlJc w:val="left"/>
    </w:lvl>
    <w:lvl w:ilvl="3" w:tplc="24D66810">
      <w:numFmt w:val="decimal"/>
      <w:lvlText w:val=""/>
      <w:lvlJc w:val="left"/>
    </w:lvl>
    <w:lvl w:ilvl="4" w:tplc="AB8463AA">
      <w:numFmt w:val="decimal"/>
      <w:lvlText w:val=""/>
      <w:lvlJc w:val="left"/>
    </w:lvl>
    <w:lvl w:ilvl="5" w:tplc="E27C7322">
      <w:numFmt w:val="decimal"/>
      <w:lvlText w:val=""/>
      <w:lvlJc w:val="left"/>
    </w:lvl>
    <w:lvl w:ilvl="6" w:tplc="58646370">
      <w:numFmt w:val="decimal"/>
      <w:lvlText w:val=""/>
      <w:lvlJc w:val="left"/>
    </w:lvl>
    <w:lvl w:ilvl="7" w:tplc="42B22356">
      <w:numFmt w:val="decimal"/>
      <w:lvlText w:val=""/>
      <w:lvlJc w:val="left"/>
    </w:lvl>
    <w:lvl w:ilvl="8" w:tplc="2300FD6A">
      <w:numFmt w:val="decimal"/>
      <w:lvlText w:val=""/>
      <w:lvlJc w:val="left"/>
    </w:lvl>
  </w:abstractNum>
  <w:abstractNum w:abstractNumId="1428" w15:restartNumberingAfterBreak="0">
    <w:nsid w:val="6E8C37D7"/>
    <w:multiLevelType w:val="hybridMultilevel"/>
    <w:tmpl w:val="E492638C"/>
    <w:lvl w:ilvl="0" w:tplc="81FC30AC">
      <w:start w:val="1"/>
      <w:numFmt w:val="bullet"/>
      <w:lvlText w:val=""/>
      <w:lvlJc w:val="left"/>
      <w:pPr>
        <w:ind w:left="720" w:hanging="180"/>
      </w:pPr>
      <w:rPr>
        <w:rFonts w:ascii="Symbol" w:hAnsi="Symbol" w:hint="default"/>
      </w:rPr>
    </w:lvl>
    <w:lvl w:ilvl="1" w:tplc="8E9EDF64">
      <w:numFmt w:val="decimal"/>
      <w:lvlText w:val=""/>
      <w:lvlJc w:val="left"/>
    </w:lvl>
    <w:lvl w:ilvl="2" w:tplc="8C82E18E">
      <w:numFmt w:val="decimal"/>
      <w:lvlText w:val=""/>
      <w:lvlJc w:val="left"/>
    </w:lvl>
    <w:lvl w:ilvl="3" w:tplc="C2D27C62">
      <w:numFmt w:val="decimal"/>
      <w:lvlText w:val=""/>
      <w:lvlJc w:val="left"/>
    </w:lvl>
    <w:lvl w:ilvl="4" w:tplc="5B9CF6AE">
      <w:numFmt w:val="decimal"/>
      <w:lvlText w:val=""/>
      <w:lvlJc w:val="left"/>
    </w:lvl>
    <w:lvl w:ilvl="5" w:tplc="3356DE20">
      <w:numFmt w:val="decimal"/>
      <w:lvlText w:val=""/>
      <w:lvlJc w:val="left"/>
    </w:lvl>
    <w:lvl w:ilvl="6" w:tplc="213E8D9A">
      <w:numFmt w:val="decimal"/>
      <w:lvlText w:val=""/>
      <w:lvlJc w:val="left"/>
    </w:lvl>
    <w:lvl w:ilvl="7" w:tplc="E2C43954">
      <w:numFmt w:val="decimal"/>
      <w:lvlText w:val=""/>
      <w:lvlJc w:val="left"/>
    </w:lvl>
    <w:lvl w:ilvl="8" w:tplc="93E65176">
      <w:numFmt w:val="decimal"/>
      <w:lvlText w:val=""/>
      <w:lvlJc w:val="left"/>
    </w:lvl>
  </w:abstractNum>
  <w:abstractNum w:abstractNumId="1429" w15:restartNumberingAfterBreak="0">
    <w:nsid w:val="6E976D0A"/>
    <w:multiLevelType w:val="hybridMultilevel"/>
    <w:tmpl w:val="F3C67C74"/>
    <w:lvl w:ilvl="0" w:tplc="0F8A926A">
      <w:start w:val="1"/>
      <w:numFmt w:val="bullet"/>
      <w:lvlText w:val=""/>
      <w:lvlJc w:val="left"/>
      <w:pPr>
        <w:ind w:left="720" w:hanging="180"/>
      </w:pPr>
      <w:rPr>
        <w:rFonts w:ascii="Symbol" w:hAnsi="Symbol" w:hint="default"/>
      </w:rPr>
    </w:lvl>
    <w:lvl w:ilvl="1" w:tplc="59383042">
      <w:numFmt w:val="decimal"/>
      <w:lvlText w:val=""/>
      <w:lvlJc w:val="left"/>
    </w:lvl>
    <w:lvl w:ilvl="2" w:tplc="AC68C344">
      <w:numFmt w:val="decimal"/>
      <w:lvlText w:val=""/>
      <w:lvlJc w:val="left"/>
    </w:lvl>
    <w:lvl w:ilvl="3" w:tplc="B5C4D482">
      <w:numFmt w:val="decimal"/>
      <w:lvlText w:val=""/>
      <w:lvlJc w:val="left"/>
    </w:lvl>
    <w:lvl w:ilvl="4" w:tplc="3148DE36">
      <w:numFmt w:val="decimal"/>
      <w:lvlText w:val=""/>
      <w:lvlJc w:val="left"/>
    </w:lvl>
    <w:lvl w:ilvl="5" w:tplc="80DAA694">
      <w:numFmt w:val="decimal"/>
      <w:lvlText w:val=""/>
      <w:lvlJc w:val="left"/>
    </w:lvl>
    <w:lvl w:ilvl="6" w:tplc="FAAE82C0">
      <w:numFmt w:val="decimal"/>
      <w:lvlText w:val=""/>
      <w:lvlJc w:val="left"/>
    </w:lvl>
    <w:lvl w:ilvl="7" w:tplc="8CE474B6">
      <w:numFmt w:val="decimal"/>
      <w:lvlText w:val=""/>
      <w:lvlJc w:val="left"/>
    </w:lvl>
    <w:lvl w:ilvl="8" w:tplc="DD2431B8">
      <w:numFmt w:val="decimal"/>
      <w:lvlText w:val=""/>
      <w:lvlJc w:val="left"/>
    </w:lvl>
  </w:abstractNum>
  <w:abstractNum w:abstractNumId="1430" w15:restartNumberingAfterBreak="0">
    <w:nsid w:val="6EB8583D"/>
    <w:multiLevelType w:val="hybridMultilevel"/>
    <w:tmpl w:val="E9F29B7A"/>
    <w:lvl w:ilvl="0" w:tplc="21E484D0">
      <w:numFmt w:val="decimal"/>
      <w:lvlText w:val=""/>
      <w:lvlJc w:val="left"/>
    </w:lvl>
    <w:lvl w:ilvl="1" w:tplc="9140D02A">
      <w:start w:val="1"/>
      <w:numFmt w:val="bullet"/>
      <w:lvlText w:val=""/>
      <w:lvlJc w:val="left"/>
      <w:pPr>
        <w:ind w:left="1440" w:hanging="180"/>
      </w:pPr>
      <w:rPr>
        <w:rFonts w:ascii="Symbol" w:hAnsi="Symbol" w:hint="default"/>
      </w:rPr>
    </w:lvl>
    <w:lvl w:ilvl="2" w:tplc="98D82188">
      <w:numFmt w:val="decimal"/>
      <w:lvlText w:val=""/>
      <w:lvlJc w:val="left"/>
    </w:lvl>
    <w:lvl w:ilvl="3" w:tplc="BA282210">
      <w:numFmt w:val="decimal"/>
      <w:lvlText w:val=""/>
      <w:lvlJc w:val="left"/>
    </w:lvl>
    <w:lvl w:ilvl="4" w:tplc="2E4687F8">
      <w:numFmt w:val="decimal"/>
      <w:lvlText w:val=""/>
      <w:lvlJc w:val="left"/>
    </w:lvl>
    <w:lvl w:ilvl="5" w:tplc="BF6AE45C">
      <w:numFmt w:val="decimal"/>
      <w:lvlText w:val=""/>
      <w:lvlJc w:val="left"/>
    </w:lvl>
    <w:lvl w:ilvl="6" w:tplc="357A16D0">
      <w:numFmt w:val="decimal"/>
      <w:lvlText w:val=""/>
      <w:lvlJc w:val="left"/>
    </w:lvl>
    <w:lvl w:ilvl="7" w:tplc="68B68B3A">
      <w:numFmt w:val="decimal"/>
      <w:lvlText w:val=""/>
      <w:lvlJc w:val="left"/>
    </w:lvl>
    <w:lvl w:ilvl="8" w:tplc="D478C090">
      <w:numFmt w:val="decimal"/>
      <w:lvlText w:val=""/>
      <w:lvlJc w:val="left"/>
    </w:lvl>
  </w:abstractNum>
  <w:abstractNum w:abstractNumId="1431" w15:restartNumberingAfterBreak="0">
    <w:nsid w:val="6EDB0D5A"/>
    <w:multiLevelType w:val="hybridMultilevel"/>
    <w:tmpl w:val="B20C17DC"/>
    <w:lvl w:ilvl="0" w:tplc="A10494B4">
      <w:start w:val="1"/>
      <w:numFmt w:val="bullet"/>
      <w:lvlText w:val=""/>
      <w:lvlJc w:val="left"/>
      <w:pPr>
        <w:ind w:left="720" w:hanging="180"/>
      </w:pPr>
      <w:rPr>
        <w:rFonts w:ascii="Symbol" w:hAnsi="Symbol" w:hint="default"/>
      </w:rPr>
    </w:lvl>
    <w:lvl w:ilvl="1" w:tplc="29D2C902">
      <w:numFmt w:val="decimal"/>
      <w:lvlText w:val=""/>
      <w:lvlJc w:val="left"/>
    </w:lvl>
    <w:lvl w:ilvl="2" w:tplc="C7E65BAA">
      <w:numFmt w:val="decimal"/>
      <w:lvlText w:val=""/>
      <w:lvlJc w:val="left"/>
    </w:lvl>
    <w:lvl w:ilvl="3" w:tplc="1E9A46B6">
      <w:numFmt w:val="decimal"/>
      <w:lvlText w:val=""/>
      <w:lvlJc w:val="left"/>
    </w:lvl>
    <w:lvl w:ilvl="4" w:tplc="12E8BADA">
      <w:numFmt w:val="decimal"/>
      <w:lvlText w:val=""/>
      <w:lvlJc w:val="left"/>
    </w:lvl>
    <w:lvl w:ilvl="5" w:tplc="F22C045E">
      <w:numFmt w:val="decimal"/>
      <w:lvlText w:val=""/>
      <w:lvlJc w:val="left"/>
    </w:lvl>
    <w:lvl w:ilvl="6" w:tplc="F878B1AC">
      <w:numFmt w:val="decimal"/>
      <w:lvlText w:val=""/>
      <w:lvlJc w:val="left"/>
    </w:lvl>
    <w:lvl w:ilvl="7" w:tplc="BD8AD5F2">
      <w:numFmt w:val="decimal"/>
      <w:lvlText w:val=""/>
      <w:lvlJc w:val="left"/>
    </w:lvl>
    <w:lvl w:ilvl="8" w:tplc="4E72CBEA">
      <w:numFmt w:val="decimal"/>
      <w:lvlText w:val=""/>
      <w:lvlJc w:val="left"/>
    </w:lvl>
  </w:abstractNum>
  <w:abstractNum w:abstractNumId="1432" w15:restartNumberingAfterBreak="0">
    <w:nsid w:val="6EDE0BF4"/>
    <w:multiLevelType w:val="hybridMultilevel"/>
    <w:tmpl w:val="7740553E"/>
    <w:lvl w:ilvl="0" w:tplc="96D26966">
      <w:start w:val="1"/>
      <w:numFmt w:val="bullet"/>
      <w:lvlText w:val=""/>
      <w:lvlJc w:val="left"/>
      <w:pPr>
        <w:ind w:left="720" w:hanging="180"/>
      </w:pPr>
      <w:rPr>
        <w:rFonts w:ascii="Symbol" w:hAnsi="Symbol" w:hint="default"/>
      </w:rPr>
    </w:lvl>
    <w:lvl w:ilvl="1" w:tplc="D8F4B204">
      <w:numFmt w:val="decimal"/>
      <w:lvlText w:val=""/>
      <w:lvlJc w:val="left"/>
    </w:lvl>
    <w:lvl w:ilvl="2" w:tplc="D8EECE16">
      <w:numFmt w:val="decimal"/>
      <w:lvlText w:val=""/>
      <w:lvlJc w:val="left"/>
    </w:lvl>
    <w:lvl w:ilvl="3" w:tplc="A634B54E">
      <w:numFmt w:val="decimal"/>
      <w:lvlText w:val=""/>
      <w:lvlJc w:val="left"/>
    </w:lvl>
    <w:lvl w:ilvl="4" w:tplc="0BF06CE8">
      <w:numFmt w:val="decimal"/>
      <w:lvlText w:val=""/>
      <w:lvlJc w:val="left"/>
    </w:lvl>
    <w:lvl w:ilvl="5" w:tplc="92DC6DBE">
      <w:numFmt w:val="decimal"/>
      <w:lvlText w:val=""/>
      <w:lvlJc w:val="left"/>
    </w:lvl>
    <w:lvl w:ilvl="6" w:tplc="855463FA">
      <w:numFmt w:val="decimal"/>
      <w:lvlText w:val=""/>
      <w:lvlJc w:val="left"/>
    </w:lvl>
    <w:lvl w:ilvl="7" w:tplc="0A2A400E">
      <w:numFmt w:val="decimal"/>
      <w:lvlText w:val=""/>
      <w:lvlJc w:val="left"/>
    </w:lvl>
    <w:lvl w:ilvl="8" w:tplc="AB4E7A62">
      <w:numFmt w:val="decimal"/>
      <w:lvlText w:val=""/>
      <w:lvlJc w:val="left"/>
    </w:lvl>
  </w:abstractNum>
  <w:abstractNum w:abstractNumId="1433" w15:restartNumberingAfterBreak="0">
    <w:nsid w:val="6EEF1CD1"/>
    <w:multiLevelType w:val="hybridMultilevel"/>
    <w:tmpl w:val="84180D64"/>
    <w:lvl w:ilvl="0" w:tplc="F0D6FD64">
      <w:start w:val="1"/>
      <w:numFmt w:val="bullet"/>
      <w:lvlText w:val=""/>
      <w:lvlJc w:val="left"/>
      <w:pPr>
        <w:ind w:left="720" w:hanging="180"/>
      </w:pPr>
      <w:rPr>
        <w:rFonts w:ascii="Symbol" w:hAnsi="Symbol" w:hint="default"/>
      </w:rPr>
    </w:lvl>
    <w:lvl w:ilvl="1" w:tplc="7902C230">
      <w:numFmt w:val="decimal"/>
      <w:lvlText w:val=""/>
      <w:lvlJc w:val="left"/>
    </w:lvl>
    <w:lvl w:ilvl="2" w:tplc="5230827E">
      <w:numFmt w:val="decimal"/>
      <w:lvlText w:val=""/>
      <w:lvlJc w:val="left"/>
    </w:lvl>
    <w:lvl w:ilvl="3" w:tplc="B4DAAE9C">
      <w:numFmt w:val="decimal"/>
      <w:lvlText w:val=""/>
      <w:lvlJc w:val="left"/>
    </w:lvl>
    <w:lvl w:ilvl="4" w:tplc="18446B58">
      <w:numFmt w:val="decimal"/>
      <w:lvlText w:val=""/>
      <w:lvlJc w:val="left"/>
    </w:lvl>
    <w:lvl w:ilvl="5" w:tplc="7C8ED95A">
      <w:numFmt w:val="decimal"/>
      <w:lvlText w:val=""/>
      <w:lvlJc w:val="left"/>
    </w:lvl>
    <w:lvl w:ilvl="6" w:tplc="08726CA2">
      <w:numFmt w:val="decimal"/>
      <w:lvlText w:val=""/>
      <w:lvlJc w:val="left"/>
    </w:lvl>
    <w:lvl w:ilvl="7" w:tplc="04CC6E74">
      <w:numFmt w:val="decimal"/>
      <w:lvlText w:val=""/>
      <w:lvlJc w:val="left"/>
    </w:lvl>
    <w:lvl w:ilvl="8" w:tplc="BFBABBB2">
      <w:numFmt w:val="decimal"/>
      <w:lvlText w:val=""/>
      <w:lvlJc w:val="left"/>
    </w:lvl>
  </w:abstractNum>
  <w:abstractNum w:abstractNumId="1434" w15:restartNumberingAfterBreak="0">
    <w:nsid w:val="6F1D6870"/>
    <w:multiLevelType w:val="hybridMultilevel"/>
    <w:tmpl w:val="E20C9AB6"/>
    <w:lvl w:ilvl="0" w:tplc="D1788BBC">
      <w:start w:val="1"/>
      <w:numFmt w:val="bullet"/>
      <w:lvlText w:val=""/>
      <w:lvlJc w:val="left"/>
      <w:pPr>
        <w:ind w:left="720" w:hanging="180"/>
      </w:pPr>
      <w:rPr>
        <w:rFonts w:ascii="Symbol" w:hAnsi="Symbol" w:hint="default"/>
      </w:rPr>
    </w:lvl>
    <w:lvl w:ilvl="1" w:tplc="36F82BF0">
      <w:numFmt w:val="decimal"/>
      <w:lvlText w:val=""/>
      <w:lvlJc w:val="left"/>
    </w:lvl>
    <w:lvl w:ilvl="2" w:tplc="F3301AB8">
      <w:numFmt w:val="decimal"/>
      <w:lvlText w:val=""/>
      <w:lvlJc w:val="left"/>
    </w:lvl>
    <w:lvl w:ilvl="3" w:tplc="83B672AE">
      <w:numFmt w:val="decimal"/>
      <w:lvlText w:val=""/>
      <w:lvlJc w:val="left"/>
    </w:lvl>
    <w:lvl w:ilvl="4" w:tplc="DD1E6660">
      <w:numFmt w:val="decimal"/>
      <w:lvlText w:val=""/>
      <w:lvlJc w:val="left"/>
    </w:lvl>
    <w:lvl w:ilvl="5" w:tplc="041ABD3A">
      <w:numFmt w:val="decimal"/>
      <w:lvlText w:val=""/>
      <w:lvlJc w:val="left"/>
    </w:lvl>
    <w:lvl w:ilvl="6" w:tplc="EDD6E608">
      <w:numFmt w:val="decimal"/>
      <w:lvlText w:val=""/>
      <w:lvlJc w:val="left"/>
    </w:lvl>
    <w:lvl w:ilvl="7" w:tplc="43A0B6E4">
      <w:numFmt w:val="decimal"/>
      <w:lvlText w:val=""/>
      <w:lvlJc w:val="left"/>
    </w:lvl>
    <w:lvl w:ilvl="8" w:tplc="01B61C38">
      <w:numFmt w:val="decimal"/>
      <w:lvlText w:val=""/>
      <w:lvlJc w:val="left"/>
    </w:lvl>
  </w:abstractNum>
  <w:abstractNum w:abstractNumId="1435" w15:restartNumberingAfterBreak="0">
    <w:nsid w:val="6F2227DB"/>
    <w:multiLevelType w:val="hybridMultilevel"/>
    <w:tmpl w:val="855200FE"/>
    <w:lvl w:ilvl="0" w:tplc="8688AC6A">
      <w:start w:val="1"/>
      <w:numFmt w:val="bullet"/>
      <w:lvlText w:val=""/>
      <w:lvlJc w:val="left"/>
      <w:pPr>
        <w:ind w:left="720" w:hanging="180"/>
      </w:pPr>
      <w:rPr>
        <w:rFonts w:ascii="Symbol" w:hAnsi="Symbol" w:hint="default"/>
      </w:rPr>
    </w:lvl>
    <w:lvl w:ilvl="1" w:tplc="C85638EA">
      <w:numFmt w:val="decimal"/>
      <w:lvlText w:val=""/>
      <w:lvlJc w:val="left"/>
    </w:lvl>
    <w:lvl w:ilvl="2" w:tplc="EA847796">
      <w:numFmt w:val="decimal"/>
      <w:lvlText w:val=""/>
      <w:lvlJc w:val="left"/>
    </w:lvl>
    <w:lvl w:ilvl="3" w:tplc="4AE21BE2">
      <w:numFmt w:val="decimal"/>
      <w:lvlText w:val=""/>
      <w:lvlJc w:val="left"/>
    </w:lvl>
    <w:lvl w:ilvl="4" w:tplc="33C6C514">
      <w:numFmt w:val="decimal"/>
      <w:lvlText w:val=""/>
      <w:lvlJc w:val="left"/>
    </w:lvl>
    <w:lvl w:ilvl="5" w:tplc="2E20C922">
      <w:numFmt w:val="decimal"/>
      <w:lvlText w:val=""/>
      <w:lvlJc w:val="left"/>
    </w:lvl>
    <w:lvl w:ilvl="6" w:tplc="A246C302">
      <w:numFmt w:val="decimal"/>
      <w:lvlText w:val=""/>
      <w:lvlJc w:val="left"/>
    </w:lvl>
    <w:lvl w:ilvl="7" w:tplc="C0DC395E">
      <w:numFmt w:val="decimal"/>
      <w:lvlText w:val=""/>
      <w:lvlJc w:val="left"/>
    </w:lvl>
    <w:lvl w:ilvl="8" w:tplc="3A26304C">
      <w:numFmt w:val="decimal"/>
      <w:lvlText w:val=""/>
      <w:lvlJc w:val="left"/>
    </w:lvl>
  </w:abstractNum>
  <w:abstractNum w:abstractNumId="1436" w15:restartNumberingAfterBreak="0">
    <w:nsid w:val="6F5273C3"/>
    <w:multiLevelType w:val="hybridMultilevel"/>
    <w:tmpl w:val="C4904BB8"/>
    <w:lvl w:ilvl="0" w:tplc="5B14928A">
      <w:start w:val="1"/>
      <w:numFmt w:val="bullet"/>
      <w:lvlText w:val=""/>
      <w:lvlJc w:val="left"/>
      <w:pPr>
        <w:ind w:left="720" w:hanging="180"/>
      </w:pPr>
      <w:rPr>
        <w:rFonts w:ascii="Symbol" w:hAnsi="Symbol" w:hint="default"/>
      </w:rPr>
    </w:lvl>
    <w:lvl w:ilvl="1" w:tplc="47760040">
      <w:numFmt w:val="decimal"/>
      <w:lvlText w:val=""/>
      <w:lvlJc w:val="left"/>
    </w:lvl>
    <w:lvl w:ilvl="2" w:tplc="FA8ED752">
      <w:numFmt w:val="decimal"/>
      <w:lvlText w:val=""/>
      <w:lvlJc w:val="left"/>
    </w:lvl>
    <w:lvl w:ilvl="3" w:tplc="ED92810C">
      <w:numFmt w:val="decimal"/>
      <w:lvlText w:val=""/>
      <w:lvlJc w:val="left"/>
    </w:lvl>
    <w:lvl w:ilvl="4" w:tplc="45D8FDFA">
      <w:numFmt w:val="decimal"/>
      <w:lvlText w:val=""/>
      <w:lvlJc w:val="left"/>
    </w:lvl>
    <w:lvl w:ilvl="5" w:tplc="F26492EC">
      <w:numFmt w:val="decimal"/>
      <w:lvlText w:val=""/>
      <w:lvlJc w:val="left"/>
    </w:lvl>
    <w:lvl w:ilvl="6" w:tplc="160C3912">
      <w:numFmt w:val="decimal"/>
      <w:lvlText w:val=""/>
      <w:lvlJc w:val="left"/>
    </w:lvl>
    <w:lvl w:ilvl="7" w:tplc="E67835A4">
      <w:numFmt w:val="decimal"/>
      <w:lvlText w:val=""/>
      <w:lvlJc w:val="left"/>
    </w:lvl>
    <w:lvl w:ilvl="8" w:tplc="2F9A7484">
      <w:numFmt w:val="decimal"/>
      <w:lvlText w:val=""/>
      <w:lvlJc w:val="left"/>
    </w:lvl>
  </w:abstractNum>
  <w:abstractNum w:abstractNumId="1437" w15:restartNumberingAfterBreak="0">
    <w:nsid w:val="6F556270"/>
    <w:multiLevelType w:val="hybridMultilevel"/>
    <w:tmpl w:val="81EA6312"/>
    <w:lvl w:ilvl="0" w:tplc="1AA46ACE">
      <w:start w:val="1"/>
      <w:numFmt w:val="bullet"/>
      <w:lvlText w:val=""/>
      <w:lvlJc w:val="left"/>
      <w:pPr>
        <w:ind w:left="720" w:hanging="180"/>
      </w:pPr>
      <w:rPr>
        <w:rFonts w:ascii="Symbol" w:hAnsi="Symbol" w:hint="default"/>
      </w:rPr>
    </w:lvl>
    <w:lvl w:ilvl="1" w:tplc="EA403B82">
      <w:numFmt w:val="decimal"/>
      <w:lvlText w:val=""/>
      <w:lvlJc w:val="left"/>
    </w:lvl>
    <w:lvl w:ilvl="2" w:tplc="79C26794">
      <w:numFmt w:val="decimal"/>
      <w:lvlText w:val=""/>
      <w:lvlJc w:val="left"/>
    </w:lvl>
    <w:lvl w:ilvl="3" w:tplc="048A84B2">
      <w:numFmt w:val="decimal"/>
      <w:lvlText w:val=""/>
      <w:lvlJc w:val="left"/>
    </w:lvl>
    <w:lvl w:ilvl="4" w:tplc="3890542A">
      <w:numFmt w:val="decimal"/>
      <w:lvlText w:val=""/>
      <w:lvlJc w:val="left"/>
    </w:lvl>
    <w:lvl w:ilvl="5" w:tplc="3168D12C">
      <w:numFmt w:val="decimal"/>
      <w:lvlText w:val=""/>
      <w:lvlJc w:val="left"/>
    </w:lvl>
    <w:lvl w:ilvl="6" w:tplc="0C6626E8">
      <w:numFmt w:val="decimal"/>
      <w:lvlText w:val=""/>
      <w:lvlJc w:val="left"/>
    </w:lvl>
    <w:lvl w:ilvl="7" w:tplc="E51C09BC">
      <w:numFmt w:val="decimal"/>
      <w:lvlText w:val=""/>
      <w:lvlJc w:val="left"/>
    </w:lvl>
    <w:lvl w:ilvl="8" w:tplc="F20C7146">
      <w:numFmt w:val="decimal"/>
      <w:lvlText w:val=""/>
      <w:lvlJc w:val="left"/>
    </w:lvl>
  </w:abstractNum>
  <w:abstractNum w:abstractNumId="1438" w15:restartNumberingAfterBreak="0">
    <w:nsid w:val="6F600BCD"/>
    <w:multiLevelType w:val="hybridMultilevel"/>
    <w:tmpl w:val="D7BA9BD6"/>
    <w:lvl w:ilvl="0" w:tplc="CA46908E">
      <w:start w:val="1"/>
      <w:numFmt w:val="bullet"/>
      <w:lvlText w:val=""/>
      <w:lvlJc w:val="left"/>
      <w:pPr>
        <w:ind w:left="720" w:hanging="180"/>
      </w:pPr>
      <w:rPr>
        <w:rFonts w:ascii="Symbol" w:hAnsi="Symbol" w:hint="default"/>
      </w:rPr>
    </w:lvl>
    <w:lvl w:ilvl="1" w:tplc="237813A6">
      <w:numFmt w:val="decimal"/>
      <w:lvlText w:val=""/>
      <w:lvlJc w:val="left"/>
    </w:lvl>
    <w:lvl w:ilvl="2" w:tplc="21503C46">
      <w:numFmt w:val="decimal"/>
      <w:lvlText w:val=""/>
      <w:lvlJc w:val="left"/>
    </w:lvl>
    <w:lvl w:ilvl="3" w:tplc="B29ECA8C">
      <w:numFmt w:val="decimal"/>
      <w:lvlText w:val=""/>
      <w:lvlJc w:val="left"/>
    </w:lvl>
    <w:lvl w:ilvl="4" w:tplc="15DA8B32">
      <w:numFmt w:val="decimal"/>
      <w:lvlText w:val=""/>
      <w:lvlJc w:val="left"/>
    </w:lvl>
    <w:lvl w:ilvl="5" w:tplc="604E050A">
      <w:numFmt w:val="decimal"/>
      <w:lvlText w:val=""/>
      <w:lvlJc w:val="left"/>
    </w:lvl>
    <w:lvl w:ilvl="6" w:tplc="8DC2C8DE">
      <w:numFmt w:val="decimal"/>
      <w:lvlText w:val=""/>
      <w:lvlJc w:val="left"/>
    </w:lvl>
    <w:lvl w:ilvl="7" w:tplc="897E414E">
      <w:numFmt w:val="decimal"/>
      <w:lvlText w:val=""/>
      <w:lvlJc w:val="left"/>
    </w:lvl>
    <w:lvl w:ilvl="8" w:tplc="DCBE0924">
      <w:numFmt w:val="decimal"/>
      <w:lvlText w:val=""/>
      <w:lvlJc w:val="left"/>
    </w:lvl>
  </w:abstractNum>
  <w:abstractNum w:abstractNumId="1439" w15:restartNumberingAfterBreak="0">
    <w:nsid w:val="6F7824EA"/>
    <w:multiLevelType w:val="hybridMultilevel"/>
    <w:tmpl w:val="E00E265A"/>
    <w:lvl w:ilvl="0" w:tplc="90E29F44">
      <w:start w:val="1"/>
      <w:numFmt w:val="bullet"/>
      <w:lvlText w:val=""/>
      <w:lvlJc w:val="left"/>
      <w:pPr>
        <w:ind w:left="720" w:hanging="180"/>
      </w:pPr>
      <w:rPr>
        <w:rFonts w:ascii="Symbol" w:hAnsi="Symbol" w:hint="default"/>
      </w:rPr>
    </w:lvl>
    <w:lvl w:ilvl="1" w:tplc="99CA6C16">
      <w:numFmt w:val="decimal"/>
      <w:lvlText w:val=""/>
      <w:lvlJc w:val="left"/>
    </w:lvl>
    <w:lvl w:ilvl="2" w:tplc="02049632">
      <w:numFmt w:val="decimal"/>
      <w:lvlText w:val=""/>
      <w:lvlJc w:val="left"/>
    </w:lvl>
    <w:lvl w:ilvl="3" w:tplc="80E8DEBE">
      <w:numFmt w:val="decimal"/>
      <w:lvlText w:val=""/>
      <w:lvlJc w:val="left"/>
    </w:lvl>
    <w:lvl w:ilvl="4" w:tplc="DDC2EA0E">
      <w:numFmt w:val="decimal"/>
      <w:lvlText w:val=""/>
      <w:lvlJc w:val="left"/>
    </w:lvl>
    <w:lvl w:ilvl="5" w:tplc="A2EA8ACC">
      <w:numFmt w:val="decimal"/>
      <w:lvlText w:val=""/>
      <w:lvlJc w:val="left"/>
    </w:lvl>
    <w:lvl w:ilvl="6" w:tplc="182244FC">
      <w:numFmt w:val="decimal"/>
      <w:lvlText w:val=""/>
      <w:lvlJc w:val="left"/>
    </w:lvl>
    <w:lvl w:ilvl="7" w:tplc="F50A2164">
      <w:numFmt w:val="decimal"/>
      <w:lvlText w:val=""/>
      <w:lvlJc w:val="left"/>
    </w:lvl>
    <w:lvl w:ilvl="8" w:tplc="77CC38B0">
      <w:numFmt w:val="decimal"/>
      <w:lvlText w:val=""/>
      <w:lvlJc w:val="left"/>
    </w:lvl>
  </w:abstractNum>
  <w:abstractNum w:abstractNumId="1440" w15:restartNumberingAfterBreak="0">
    <w:nsid w:val="6FA26F96"/>
    <w:multiLevelType w:val="hybridMultilevel"/>
    <w:tmpl w:val="38268640"/>
    <w:lvl w:ilvl="0" w:tplc="EA9E586A">
      <w:numFmt w:val="decimal"/>
      <w:lvlText w:val=""/>
      <w:lvlJc w:val="left"/>
    </w:lvl>
    <w:lvl w:ilvl="1" w:tplc="729C39CE">
      <w:start w:val="1"/>
      <w:numFmt w:val="bullet"/>
      <w:lvlText w:val=""/>
      <w:lvlJc w:val="left"/>
      <w:pPr>
        <w:ind w:left="1440" w:hanging="180"/>
      </w:pPr>
      <w:rPr>
        <w:rFonts w:ascii="Symbol" w:hAnsi="Symbol" w:hint="default"/>
      </w:rPr>
    </w:lvl>
    <w:lvl w:ilvl="2" w:tplc="1268701A">
      <w:numFmt w:val="decimal"/>
      <w:lvlText w:val=""/>
      <w:lvlJc w:val="left"/>
    </w:lvl>
    <w:lvl w:ilvl="3" w:tplc="13B2EA54">
      <w:numFmt w:val="decimal"/>
      <w:lvlText w:val=""/>
      <w:lvlJc w:val="left"/>
    </w:lvl>
    <w:lvl w:ilvl="4" w:tplc="3362BB24">
      <w:numFmt w:val="decimal"/>
      <w:lvlText w:val=""/>
      <w:lvlJc w:val="left"/>
    </w:lvl>
    <w:lvl w:ilvl="5" w:tplc="0D70FE24">
      <w:numFmt w:val="decimal"/>
      <w:lvlText w:val=""/>
      <w:lvlJc w:val="left"/>
    </w:lvl>
    <w:lvl w:ilvl="6" w:tplc="5106B054">
      <w:numFmt w:val="decimal"/>
      <w:lvlText w:val=""/>
      <w:lvlJc w:val="left"/>
    </w:lvl>
    <w:lvl w:ilvl="7" w:tplc="0A2EFD82">
      <w:numFmt w:val="decimal"/>
      <w:lvlText w:val=""/>
      <w:lvlJc w:val="left"/>
    </w:lvl>
    <w:lvl w:ilvl="8" w:tplc="15269316">
      <w:numFmt w:val="decimal"/>
      <w:lvlText w:val=""/>
      <w:lvlJc w:val="left"/>
    </w:lvl>
  </w:abstractNum>
  <w:abstractNum w:abstractNumId="1441" w15:restartNumberingAfterBreak="0">
    <w:nsid w:val="6FD9251E"/>
    <w:multiLevelType w:val="hybridMultilevel"/>
    <w:tmpl w:val="2C562368"/>
    <w:lvl w:ilvl="0" w:tplc="BB7C3A7C">
      <w:start w:val="1"/>
      <w:numFmt w:val="bullet"/>
      <w:lvlText w:val=""/>
      <w:lvlJc w:val="left"/>
      <w:pPr>
        <w:ind w:left="720" w:hanging="180"/>
      </w:pPr>
      <w:rPr>
        <w:rFonts w:ascii="Symbol" w:hAnsi="Symbol" w:hint="default"/>
      </w:rPr>
    </w:lvl>
    <w:lvl w:ilvl="1" w:tplc="3496C24C">
      <w:numFmt w:val="decimal"/>
      <w:lvlText w:val=""/>
      <w:lvlJc w:val="left"/>
    </w:lvl>
    <w:lvl w:ilvl="2" w:tplc="733AFC26">
      <w:numFmt w:val="decimal"/>
      <w:lvlText w:val=""/>
      <w:lvlJc w:val="left"/>
    </w:lvl>
    <w:lvl w:ilvl="3" w:tplc="EDE033B2">
      <w:numFmt w:val="decimal"/>
      <w:lvlText w:val=""/>
      <w:lvlJc w:val="left"/>
    </w:lvl>
    <w:lvl w:ilvl="4" w:tplc="B6A46104">
      <w:numFmt w:val="decimal"/>
      <w:lvlText w:val=""/>
      <w:lvlJc w:val="left"/>
    </w:lvl>
    <w:lvl w:ilvl="5" w:tplc="39C6AD12">
      <w:numFmt w:val="decimal"/>
      <w:lvlText w:val=""/>
      <w:lvlJc w:val="left"/>
    </w:lvl>
    <w:lvl w:ilvl="6" w:tplc="25D814FC">
      <w:numFmt w:val="decimal"/>
      <w:lvlText w:val=""/>
      <w:lvlJc w:val="left"/>
    </w:lvl>
    <w:lvl w:ilvl="7" w:tplc="6F86D58E">
      <w:numFmt w:val="decimal"/>
      <w:lvlText w:val=""/>
      <w:lvlJc w:val="left"/>
    </w:lvl>
    <w:lvl w:ilvl="8" w:tplc="46907386">
      <w:numFmt w:val="decimal"/>
      <w:lvlText w:val=""/>
      <w:lvlJc w:val="left"/>
    </w:lvl>
  </w:abstractNum>
  <w:abstractNum w:abstractNumId="1442" w15:restartNumberingAfterBreak="0">
    <w:nsid w:val="6FF30C94"/>
    <w:multiLevelType w:val="hybridMultilevel"/>
    <w:tmpl w:val="73505AFC"/>
    <w:lvl w:ilvl="0" w:tplc="0B8688C4">
      <w:start w:val="1"/>
      <w:numFmt w:val="bullet"/>
      <w:lvlText w:val=""/>
      <w:lvlJc w:val="left"/>
      <w:pPr>
        <w:ind w:left="720" w:hanging="180"/>
      </w:pPr>
      <w:rPr>
        <w:rFonts w:ascii="Symbol" w:hAnsi="Symbol" w:hint="default"/>
      </w:rPr>
    </w:lvl>
    <w:lvl w:ilvl="1" w:tplc="72C801EC">
      <w:numFmt w:val="decimal"/>
      <w:lvlText w:val=""/>
      <w:lvlJc w:val="left"/>
    </w:lvl>
    <w:lvl w:ilvl="2" w:tplc="3A24D0EA">
      <w:numFmt w:val="decimal"/>
      <w:lvlText w:val=""/>
      <w:lvlJc w:val="left"/>
    </w:lvl>
    <w:lvl w:ilvl="3" w:tplc="2744E096">
      <w:numFmt w:val="decimal"/>
      <w:lvlText w:val=""/>
      <w:lvlJc w:val="left"/>
    </w:lvl>
    <w:lvl w:ilvl="4" w:tplc="7F28BC6C">
      <w:numFmt w:val="decimal"/>
      <w:lvlText w:val=""/>
      <w:lvlJc w:val="left"/>
    </w:lvl>
    <w:lvl w:ilvl="5" w:tplc="15D6385A">
      <w:numFmt w:val="decimal"/>
      <w:lvlText w:val=""/>
      <w:lvlJc w:val="left"/>
    </w:lvl>
    <w:lvl w:ilvl="6" w:tplc="572A6484">
      <w:numFmt w:val="decimal"/>
      <w:lvlText w:val=""/>
      <w:lvlJc w:val="left"/>
    </w:lvl>
    <w:lvl w:ilvl="7" w:tplc="79367798">
      <w:numFmt w:val="decimal"/>
      <w:lvlText w:val=""/>
      <w:lvlJc w:val="left"/>
    </w:lvl>
    <w:lvl w:ilvl="8" w:tplc="671AD51C">
      <w:numFmt w:val="decimal"/>
      <w:lvlText w:val=""/>
      <w:lvlJc w:val="left"/>
    </w:lvl>
  </w:abstractNum>
  <w:abstractNum w:abstractNumId="1443" w15:restartNumberingAfterBreak="0">
    <w:nsid w:val="701B165C"/>
    <w:multiLevelType w:val="hybridMultilevel"/>
    <w:tmpl w:val="11B0DE6A"/>
    <w:lvl w:ilvl="0" w:tplc="21F40622">
      <w:numFmt w:val="decimal"/>
      <w:lvlText w:val=""/>
      <w:lvlJc w:val="left"/>
    </w:lvl>
    <w:lvl w:ilvl="1" w:tplc="BEAA31C4">
      <w:start w:val="1"/>
      <w:numFmt w:val="bullet"/>
      <w:lvlText w:val=""/>
      <w:lvlJc w:val="left"/>
      <w:pPr>
        <w:ind w:left="1440" w:hanging="180"/>
      </w:pPr>
      <w:rPr>
        <w:rFonts w:ascii="Symbol" w:hAnsi="Symbol" w:hint="default"/>
      </w:rPr>
    </w:lvl>
    <w:lvl w:ilvl="2" w:tplc="936AD118">
      <w:numFmt w:val="decimal"/>
      <w:lvlText w:val=""/>
      <w:lvlJc w:val="left"/>
    </w:lvl>
    <w:lvl w:ilvl="3" w:tplc="15D2A266">
      <w:numFmt w:val="decimal"/>
      <w:lvlText w:val=""/>
      <w:lvlJc w:val="left"/>
    </w:lvl>
    <w:lvl w:ilvl="4" w:tplc="A8207DA6">
      <w:numFmt w:val="decimal"/>
      <w:lvlText w:val=""/>
      <w:lvlJc w:val="left"/>
    </w:lvl>
    <w:lvl w:ilvl="5" w:tplc="D7323E14">
      <w:numFmt w:val="decimal"/>
      <w:lvlText w:val=""/>
      <w:lvlJc w:val="left"/>
    </w:lvl>
    <w:lvl w:ilvl="6" w:tplc="D708EB68">
      <w:numFmt w:val="decimal"/>
      <w:lvlText w:val=""/>
      <w:lvlJc w:val="left"/>
    </w:lvl>
    <w:lvl w:ilvl="7" w:tplc="A0D21DF8">
      <w:numFmt w:val="decimal"/>
      <w:lvlText w:val=""/>
      <w:lvlJc w:val="left"/>
    </w:lvl>
    <w:lvl w:ilvl="8" w:tplc="1EB8CF32">
      <w:numFmt w:val="decimal"/>
      <w:lvlText w:val=""/>
      <w:lvlJc w:val="left"/>
    </w:lvl>
  </w:abstractNum>
  <w:abstractNum w:abstractNumId="1444" w15:restartNumberingAfterBreak="0">
    <w:nsid w:val="703870DC"/>
    <w:multiLevelType w:val="hybridMultilevel"/>
    <w:tmpl w:val="E08E6D16"/>
    <w:lvl w:ilvl="0" w:tplc="6B2633B4">
      <w:start w:val="1"/>
      <w:numFmt w:val="bullet"/>
      <w:lvlText w:val=""/>
      <w:lvlJc w:val="left"/>
      <w:pPr>
        <w:ind w:left="720" w:hanging="180"/>
      </w:pPr>
      <w:rPr>
        <w:rFonts w:ascii="Symbol" w:hAnsi="Symbol" w:hint="default"/>
      </w:rPr>
    </w:lvl>
    <w:lvl w:ilvl="1" w:tplc="E7B0012E">
      <w:numFmt w:val="decimal"/>
      <w:lvlText w:val=""/>
      <w:lvlJc w:val="left"/>
    </w:lvl>
    <w:lvl w:ilvl="2" w:tplc="A8BCAC94">
      <w:numFmt w:val="decimal"/>
      <w:lvlText w:val=""/>
      <w:lvlJc w:val="left"/>
    </w:lvl>
    <w:lvl w:ilvl="3" w:tplc="281643C2">
      <w:numFmt w:val="decimal"/>
      <w:lvlText w:val=""/>
      <w:lvlJc w:val="left"/>
    </w:lvl>
    <w:lvl w:ilvl="4" w:tplc="E00249C8">
      <w:numFmt w:val="decimal"/>
      <w:lvlText w:val=""/>
      <w:lvlJc w:val="left"/>
    </w:lvl>
    <w:lvl w:ilvl="5" w:tplc="D18ECC9C">
      <w:numFmt w:val="decimal"/>
      <w:lvlText w:val=""/>
      <w:lvlJc w:val="left"/>
    </w:lvl>
    <w:lvl w:ilvl="6" w:tplc="2312F2FA">
      <w:numFmt w:val="decimal"/>
      <w:lvlText w:val=""/>
      <w:lvlJc w:val="left"/>
    </w:lvl>
    <w:lvl w:ilvl="7" w:tplc="E60CDE62">
      <w:numFmt w:val="decimal"/>
      <w:lvlText w:val=""/>
      <w:lvlJc w:val="left"/>
    </w:lvl>
    <w:lvl w:ilvl="8" w:tplc="FD348214">
      <w:numFmt w:val="decimal"/>
      <w:lvlText w:val=""/>
      <w:lvlJc w:val="left"/>
    </w:lvl>
  </w:abstractNum>
  <w:abstractNum w:abstractNumId="1445" w15:restartNumberingAfterBreak="0">
    <w:nsid w:val="704859E8"/>
    <w:multiLevelType w:val="hybridMultilevel"/>
    <w:tmpl w:val="A49A2F5A"/>
    <w:lvl w:ilvl="0" w:tplc="0E82D448">
      <w:start w:val="1"/>
      <w:numFmt w:val="bullet"/>
      <w:lvlText w:val=""/>
      <w:lvlJc w:val="left"/>
      <w:pPr>
        <w:ind w:left="720" w:hanging="180"/>
      </w:pPr>
      <w:rPr>
        <w:rFonts w:ascii="Symbol" w:hAnsi="Symbol" w:hint="default"/>
      </w:rPr>
    </w:lvl>
    <w:lvl w:ilvl="1" w:tplc="62D8878A">
      <w:numFmt w:val="decimal"/>
      <w:lvlText w:val=""/>
      <w:lvlJc w:val="left"/>
    </w:lvl>
    <w:lvl w:ilvl="2" w:tplc="613EE6EE">
      <w:numFmt w:val="decimal"/>
      <w:lvlText w:val=""/>
      <w:lvlJc w:val="left"/>
    </w:lvl>
    <w:lvl w:ilvl="3" w:tplc="E066591E">
      <w:numFmt w:val="decimal"/>
      <w:lvlText w:val=""/>
      <w:lvlJc w:val="left"/>
    </w:lvl>
    <w:lvl w:ilvl="4" w:tplc="280E1E14">
      <w:numFmt w:val="decimal"/>
      <w:lvlText w:val=""/>
      <w:lvlJc w:val="left"/>
    </w:lvl>
    <w:lvl w:ilvl="5" w:tplc="70D62874">
      <w:numFmt w:val="decimal"/>
      <w:lvlText w:val=""/>
      <w:lvlJc w:val="left"/>
    </w:lvl>
    <w:lvl w:ilvl="6" w:tplc="63CAD82A">
      <w:numFmt w:val="decimal"/>
      <w:lvlText w:val=""/>
      <w:lvlJc w:val="left"/>
    </w:lvl>
    <w:lvl w:ilvl="7" w:tplc="3C1A06CC">
      <w:numFmt w:val="decimal"/>
      <w:lvlText w:val=""/>
      <w:lvlJc w:val="left"/>
    </w:lvl>
    <w:lvl w:ilvl="8" w:tplc="418E4F5C">
      <w:numFmt w:val="decimal"/>
      <w:lvlText w:val=""/>
      <w:lvlJc w:val="left"/>
    </w:lvl>
  </w:abstractNum>
  <w:abstractNum w:abstractNumId="1446" w15:restartNumberingAfterBreak="0">
    <w:nsid w:val="70554007"/>
    <w:multiLevelType w:val="hybridMultilevel"/>
    <w:tmpl w:val="3C365E22"/>
    <w:lvl w:ilvl="0" w:tplc="C5B41658">
      <w:start w:val="1"/>
      <w:numFmt w:val="bullet"/>
      <w:lvlText w:val=""/>
      <w:lvlJc w:val="left"/>
      <w:pPr>
        <w:ind w:left="720" w:hanging="180"/>
      </w:pPr>
      <w:rPr>
        <w:rFonts w:ascii="Symbol" w:hAnsi="Symbol" w:hint="default"/>
      </w:rPr>
    </w:lvl>
    <w:lvl w:ilvl="1" w:tplc="7D686AFE">
      <w:numFmt w:val="decimal"/>
      <w:lvlText w:val=""/>
      <w:lvlJc w:val="left"/>
    </w:lvl>
    <w:lvl w:ilvl="2" w:tplc="015C7FFE">
      <w:numFmt w:val="decimal"/>
      <w:lvlText w:val=""/>
      <w:lvlJc w:val="left"/>
    </w:lvl>
    <w:lvl w:ilvl="3" w:tplc="AECEA3B6">
      <w:numFmt w:val="decimal"/>
      <w:lvlText w:val=""/>
      <w:lvlJc w:val="left"/>
    </w:lvl>
    <w:lvl w:ilvl="4" w:tplc="FF2E1784">
      <w:numFmt w:val="decimal"/>
      <w:lvlText w:val=""/>
      <w:lvlJc w:val="left"/>
    </w:lvl>
    <w:lvl w:ilvl="5" w:tplc="6210851A">
      <w:numFmt w:val="decimal"/>
      <w:lvlText w:val=""/>
      <w:lvlJc w:val="left"/>
    </w:lvl>
    <w:lvl w:ilvl="6" w:tplc="A6C2F5AE">
      <w:numFmt w:val="decimal"/>
      <w:lvlText w:val=""/>
      <w:lvlJc w:val="left"/>
    </w:lvl>
    <w:lvl w:ilvl="7" w:tplc="D6E0E808">
      <w:numFmt w:val="decimal"/>
      <w:lvlText w:val=""/>
      <w:lvlJc w:val="left"/>
    </w:lvl>
    <w:lvl w:ilvl="8" w:tplc="3A321A5A">
      <w:numFmt w:val="decimal"/>
      <w:lvlText w:val=""/>
      <w:lvlJc w:val="left"/>
    </w:lvl>
  </w:abstractNum>
  <w:abstractNum w:abstractNumId="1447" w15:restartNumberingAfterBreak="0">
    <w:nsid w:val="70582018"/>
    <w:multiLevelType w:val="hybridMultilevel"/>
    <w:tmpl w:val="E0BE8480"/>
    <w:lvl w:ilvl="0" w:tplc="90F6B926">
      <w:start w:val="1"/>
      <w:numFmt w:val="bullet"/>
      <w:lvlText w:val=""/>
      <w:lvlJc w:val="left"/>
      <w:pPr>
        <w:ind w:left="720" w:hanging="180"/>
      </w:pPr>
      <w:rPr>
        <w:rFonts w:ascii="Symbol" w:hAnsi="Symbol" w:hint="default"/>
      </w:rPr>
    </w:lvl>
    <w:lvl w:ilvl="1" w:tplc="84DEB472">
      <w:numFmt w:val="decimal"/>
      <w:lvlText w:val=""/>
      <w:lvlJc w:val="left"/>
    </w:lvl>
    <w:lvl w:ilvl="2" w:tplc="FA542114">
      <w:numFmt w:val="decimal"/>
      <w:lvlText w:val=""/>
      <w:lvlJc w:val="left"/>
    </w:lvl>
    <w:lvl w:ilvl="3" w:tplc="82AEAC6C">
      <w:numFmt w:val="decimal"/>
      <w:lvlText w:val=""/>
      <w:lvlJc w:val="left"/>
    </w:lvl>
    <w:lvl w:ilvl="4" w:tplc="510C98B0">
      <w:numFmt w:val="decimal"/>
      <w:lvlText w:val=""/>
      <w:lvlJc w:val="left"/>
    </w:lvl>
    <w:lvl w:ilvl="5" w:tplc="3B9E74AE">
      <w:numFmt w:val="decimal"/>
      <w:lvlText w:val=""/>
      <w:lvlJc w:val="left"/>
    </w:lvl>
    <w:lvl w:ilvl="6" w:tplc="9640786A">
      <w:numFmt w:val="decimal"/>
      <w:lvlText w:val=""/>
      <w:lvlJc w:val="left"/>
    </w:lvl>
    <w:lvl w:ilvl="7" w:tplc="E13698E8">
      <w:numFmt w:val="decimal"/>
      <w:lvlText w:val=""/>
      <w:lvlJc w:val="left"/>
    </w:lvl>
    <w:lvl w:ilvl="8" w:tplc="7EE49286">
      <w:numFmt w:val="decimal"/>
      <w:lvlText w:val=""/>
      <w:lvlJc w:val="left"/>
    </w:lvl>
  </w:abstractNum>
  <w:abstractNum w:abstractNumId="1448" w15:restartNumberingAfterBreak="0">
    <w:nsid w:val="706E0BA8"/>
    <w:multiLevelType w:val="hybridMultilevel"/>
    <w:tmpl w:val="C4A2F1EA"/>
    <w:lvl w:ilvl="0" w:tplc="21C25FAA">
      <w:start w:val="1"/>
      <w:numFmt w:val="bullet"/>
      <w:lvlText w:val=""/>
      <w:lvlJc w:val="left"/>
      <w:pPr>
        <w:ind w:left="720" w:hanging="180"/>
      </w:pPr>
      <w:rPr>
        <w:rFonts w:ascii="Symbol" w:hAnsi="Symbol" w:hint="default"/>
      </w:rPr>
    </w:lvl>
    <w:lvl w:ilvl="1" w:tplc="61906488">
      <w:numFmt w:val="decimal"/>
      <w:lvlText w:val=""/>
      <w:lvlJc w:val="left"/>
    </w:lvl>
    <w:lvl w:ilvl="2" w:tplc="3006AD86">
      <w:numFmt w:val="decimal"/>
      <w:lvlText w:val=""/>
      <w:lvlJc w:val="left"/>
    </w:lvl>
    <w:lvl w:ilvl="3" w:tplc="7158C064">
      <w:numFmt w:val="decimal"/>
      <w:lvlText w:val=""/>
      <w:lvlJc w:val="left"/>
    </w:lvl>
    <w:lvl w:ilvl="4" w:tplc="4448E1F8">
      <w:numFmt w:val="decimal"/>
      <w:lvlText w:val=""/>
      <w:lvlJc w:val="left"/>
    </w:lvl>
    <w:lvl w:ilvl="5" w:tplc="6694B7F0">
      <w:numFmt w:val="decimal"/>
      <w:lvlText w:val=""/>
      <w:lvlJc w:val="left"/>
    </w:lvl>
    <w:lvl w:ilvl="6" w:tplc="FF8C5636">
      <w:numFmt w:val="decimal"/>
      <w:lvlText w:val=""/>
      <w:lvlJc w:val="left"/>
    </w:lvl>
    <w:lvl w:ilvl="7" w:tplc="E52C502A">
      <w:numFmt w:val="decimal"/>
      <w:lvlText w:val=""/>
      <w:lvlJc w:val="left"/>
    </w:lvl>
    <w:lvl w:ilvl="8" w:tplc="D5D4AE0E">
      <w:numFmt w:val="decimal"/>
      <w:lvlText w:val=""/>
      <w:lvlJc w:val="left"/>
    </w:lvl>
  </w:abstractNum>
  <w:abstractNum w:abstractNumId="1449" w15:restartNumberingAfterBreak="0">
    <w:nsid w:val="707576A2"/>
    <w:multiLevelType w:val="hybridMultilevel"/>
    <w:tmpl w:val="DBE2EE44"/>
    <w:lvl w:ilvl="0" w:tplc="43E4D900">
      <w:start w:val="1"/>
      <w:numFmt w:val="bullet"/>
      <w:lvlText w:val=""/>
      <w:lvlJc w:val="left"/>
      <w:pPr>
        <w:ind w:left="720" w:hanging="180"/>
      </w:pPr>
      <w:rPr>
        <w:rFonts w:ascii="Symbol" w:hAnsi="Symbol" w:hint="default"/>
      </w:rPr>
    </w:lvl>
    <w:lvl w:ilvl="1" w:tplc="7382A858">
      <w:numFmt w:val="decimal"/>
      <w:lvlText w:val=""/>
      <w:lvlJc w:val="left"/>
    </w:lvl>
    <w:lvl w:ilvl="2" w:tplc="DDD49AEC">
      <w:numFmt w:val="decimal"/>
      <w:lvlText w:val=""/>
      <w:lvlJc w:val="left"/>
    </w:lvl>
    <w:lvl w:ilvl="3" w:tplc="CC92921A">
      <w:numFmt w:val="decimal"/>
      <w:lvlText w:val=""/>
      <w:lvlJc w:val="left"/>
    </w:lvl>
    <w:lvl w:ilvl="4" w:tplc="9D9AB7DA">
      <w:numFmt w:val="decimal"/>
      <w:lvlText w:val=""/>
      <w:lvlJc w:val="left"/>
    </w:lvl>
    <w:lvl w:ilvl="5" w:tplc="A71A1624">
      <w:numFmt w:val="decimal"/>
      <w:lvlText w:val=""/>
      <w:lvlJc w:val="left"/>
    </w:lvl>
    <w:lvl w:ilvl="6" w:tplc="A600E4B0">
      <w:numFmt w:val="decimal"/>
      <w:lvlText w:val=""/>
      <w:lvlJc w:val="left"/>
    </w:lvl>
    <w:lvl w:ilvl="7" w:tplc="E3608536">
      <w:numFmt w:val="decimal"/>
      <w:lvlText w:val=""/>
      <w:lvlJc w:val="left"/>
    </w:lvl>
    <w:lvl w:ilvl="8" w:tplc="DB841038">
      <w:numFmt w:val="decimal"/>
      <w:lvlText w:val=""/>
      <w:lvlJc w:val="left"/>
    </w:lvl>
  </w:abstractNum>
  <w:abstractNum w:abstractNumId="1450" w15:restartNumberingAfterBreak="0">
    <w:nsid w:val="7081495F"/>
    <w:multiLevelType w:val="hybridMultilevel"/>
    <w:tmpl w:val="04A6AB14"/>
    <w:lvl w:ilvl="0" w:tplc="889E9460">
      <w:start w:val="1"/>
      <w:numFmt w:val="bullet"/>
      <w:lvlText w:val=""/>
      <w:lvlJc w:val="left"/>
      <w:pPr>
        <w:ind w:left="720" w:hanging="180"/>
      </w:pPr>
      <w:rPr>
        <w:rFonts w:ascii="Symbol" w:hAnsi="Symbol" w:hint="default"/>
      </w:rPr>
    </w:lvl>
    <w:lvl w:ilvl="1" w:tplc="C50CEE8C">
      <w:numFmt w:val="decimal"/>
      <w:lvlText w:val=""/>
      <w:lvlJc w:val="left"/>
    </w:lvl>
    <w:lvl w:ilvl="2" w:tplc="036A74EE">
      <w:numFmt w:val="decimal"/>
      <w:lvlText w:val=""/>
      <w:lvlJc w:val="left"/>
    </w:lvl>
    <w:lvl w:ilvl="3" w:tplc="51440434">
      <w:numFmt w:val="decimal"/>
      <w:lvlText w:val=""/>
      <w:lvlJc w:val="left"/>
    </w:lvl>
    <w:lvl w:ilvl="4" w:tplc="BB54244C">
      <w:numFmt w:val="decimal"/>
      <w:lvlText w:val=""/>
      <w:lvlJc w:val="left"/>
    </w:lvl>
    <w:lvl w:ilvl="5" w:tplc="03CC1B0A">
      <w:numFmt w:val="decimal"/>
      <w:lvlText w:val=""/>
      <w:lvlJc w:val="left"/>
    </w:lvl>
    <w:lvl w:ilvl="6" w:tplc="C9BEF844">
      <w:numFmt w:val="decimal"/>
      <w:lvlText w:val=""/>
      <w:lvlJc w:val="left"/>
    </w:lvl>
    <w:lvl w:ilvl="7" w:tplc="F7DEB30C">
      <w:numFmt w:val="decimal"/>
      <w:lvlText w:val=""/>
      <w:lvlJc w:val="left"/>
    </w:lvl>
    <w:lvl w:ilvl="8" w:tplc="449EAC2C">
      <w:numFmt w:val="decimal"/>
      <w:lvlText w:val=""/>
      <w:lvlJc w:val="left"/>
    </w:lvl>
  </w:abstractNum>
  <w:abstractNum w:abstractNumId="1451" w15:restartNumberingAfterBreak="0">
    <w:nsid w:val="708C0631"/>
    <w:multiLevelType w:val="hybridMultilevel"/>
    <w:tmpl w:val="89D0744C"/>
    <w:lvl w:ilvl="0" w:tplc="2B62D5A6">
      <w:numFmt w:val="decimal"/>
      <w:lvlText w:val=""/>
      <w:lvlJc w:val="left"/>
    </w:lvl>
    <w:lvl w:ilvl="1" w:tplc="EBFA9828">
      <w:start w:val="1"/>
      <w:numFmt w:val="bullet"/>
      <w:lvlText w:val=""/>
      <w:lvlJc w:val="left"/>
      <w:pPr>
        <w:ind w:left="1440" w:hanging="180"/>
      </w:pPr>
      <w:rPr>
        <w:rFonts w:ascii="Symbol" w:hAnsi="Symbol" w:hint="default"/>
      </w:rPr>
    </w:lvl>
    <w:lvl w:ilvl="2" w:tplc="B052BAA6">
      <w:numFmt w:val="decimal"/>
      <w:lvlText w:val=""/>
      <w:lvlJc w:val="left"/>
    </w:lvl>
    <w:lvl w:ilvl="3" w:tplc="EE085B78">
      <w:numFmt w:val="decimal"/>
      <w:lvlText w:val=""/>
      <w:lvlJc w:val="left"/>
    </w:lvl>
    <w:lvl w:ilvl="4" w:tplc="667E8A12">
      <w:numFmt w:val="decimal"/>
      <w:lvlText w:val=""/>
      <w:lvlJc w:val="left"/>
    </w:lvl>
    <w:lvl w:ilvl="5" w:tplc="7D361830">
      <w:numFmt w:val="decimal"/>
      <w:lvlText w:val=""/>
      <w:lvlJc w:val="left"/>
    </w:lvl>
    <w:lvl w:ilvl="6" w:tplc="6854FADC">
      <w:numFmt w:val="decimal"/>
      <w:lvlText w:val=""/>
      <w:lvlJc w:val="left"/>
    </w:lvl>
    <w:lvl w:ilvl="7" w:tplc="5D30806C">
      <w:numFmt w:val="decimal"/>
      <w:lvlText w:val=""/>
      <w:lvlJc w:val="left"/>
    </w:lvl>
    <w:lvl w:ilvl="8" w:tplc="379248AC">
      <w:numFmt w:val="decimal"/>
      <w:lvlText w:val=""/>
      <w:lvlJc w:val="left"/>
    </w:lvl>
  </w:abstractNum>
  <w:abstractNum w:abstractNumId="1452" w15:restartNumberingAfterBreak="0">
    <w:nsid w:val="709E2ADD"/>
    <w:multiLevelType w:val="hybridMultilevel"/>
    <w:tmpl w:val="532E7860"/>
    <w:lvl w:ilvl="0" w:tplc="74160FB8">
      <w:start w:val="1"/>
      <w:numFmt w:val="bullet"/>
      <w:lvlText w:val=""/>
      <w:lvlJc w:val="left"/>
      <w:pPr>
        <w:ind w:left="720" w:hanging="180"/>
      </w:pPr>
      <w:rPr>
        <w:rFonts w:ascii="Symbol" w:hAnsi="Symbol" w:hint="default"/>
      </w:rPr>
    </w:lvl>
    <w:lvl w:ilvl="1" w:tplc="70A4E0EA">
      <w:numFmt w:val="decimal"/>
      <w:lvlText w:val=""/>
      <w:lvlJc w:val="left"/>
    </w:lvl>
    <w:lvl w:ilvl="2" w:tplc="F02454B6">
      <w:numFmt w:val="decimal"/>
      <w:lvlText w:val=""/>
      <w:lvlJc w:val="left"/>
    </w:lvl>
    <w:lvl w:ilvl="3" w:tplc="599899BE">
      <w:numFmt w:val="decimal"/>
      <w:lvlText w:val=""/>
      <w:lvlJc w:val="left"/>
    </w:lvl>
    <w:lvl w:ilvl="4" w:tplc="86D88A82">
      <w:numFmt w:val="decimal"/>
      <w:lvlText w:val=""/>
      <w:lvlJc w:val="left"/>
    </w:lvl>
    <w:lvl w:ilvl="5" w:tplc="1FA09DEC">
      <w:numFmt w:val="decimal"/>
      <w:lvlText w:val=""/>
      <w:lvlJc w:val="left"/>
    </w:lvl>
    <w:lvl w:ilvl="6" w:tplc="0308898E">
      <w:numFmt w:val="decimal"/>
      <w:lvlText w:val=""/>
      <w:lvlJc w:val="left"/>
    </w:lvl>
    <w:lvl w:ilvl="7" w:tplc="9B28FCF2">
      <w:numFmt w:val="decimal"/>
      <w:lvlText w:val=""/>
      <w:lvlJc w:val="left"/>
    </w:lvl>
    <w:lvl w:ilvl="8" w:tplc="5352C328">
      <w:numFmt w:val="decimal"/>
      <w:lvlText w:val=""/>
      <w:lvlJc w:val="left"/>
    </w:lvl>
  </w:abstractNum>
  <w:abstractNum w:abstractNumId="1453" w15:restartNumberingAfterBreak="0">
    <w:nsid w:val="70A950B3"/>
    <w:multiLevelType w:val="hybridMultilevel"/>
    <w:tmpl w:val="5C84B7F8"/>
    <w:lvl w:ilvl="0" w:tplc="493258E0">
      <w:numFmt w:val="decimal"/>
      <w:lvlText w:val=""/>
      <w:lvlJc w:val="left"/>
    </w:lvl>
    <w:lvl w:ilvl="1" w:tplc="F064D64C">
      <w:start w:val="1"/>
      <w:numFmt w:val="bullet"/>
      <w:lvlText w:val=""/>
      <w:lvlJc w:val="left"/>
      <w:pPr>
        <w:ind w:left="1440" w:hanging="180"/>
      </w:pPr>
      <w:rPr>
        <w:rFonts w:ascii="Symbol" w:hAnsi="Symbol" w:hint="default"/>
      </w:rPr>
    </w:lvl>
    <w:lvl w:ilvl="2" w:tplc="A83C70DE">
      <w:numFmt w:val="decimal"/>
      <w:lvlText w:val=""/>
      <w:lvlJc w:val="left"/>
    </w:lvl>
    <w:lvl w:ilvl="3" w:tplc="57D870CA">
      <w:numFmt w:val="decimal"/>
      <w:lvlText w:val=""/>
      <w:lvlJc w:val="left"/>
    </w:lvl>
    <w:lvl w:ilvl="4" w:tplc="6AD4BCB4">
      <w:numFmt w:val="decimal"/>
      <w:lvlText w:val=""/>
      <w:lvlJc w:val="left"/>
    </w:lvl>
    <w:lvl w:ilvl="5" w:tplc="FCEEF892">
      <w:numFmt w:val="decimal"/>
      <w:lvlText w:val=""/>
      <w:lvlJc w:val="left"/>
    </w:lvl>
    <w:lvl w:ilvl="6" w:tplc="B90E067E">
      <w:numFmt w:val="decimal"/>
      <w:lvlText w:val=""/>
      <w:lvlJc w:val="left"/>
    </w:lvl>
    <w:lvl w:ilvl="7" w:tplc="8DB844BE">
      <w:numFmt w:val="decimal"/>
      <w:lvlText w:val=""/>
      <w:lvlJc w:val="left"/>
    </w:lvl>
    <w:lvl w:ilvl="8" w:tplc="C1A8BEBE">
      <w:numFmt w:val="decimal"/>
      <w:lvlText w:val=""/>
      <w:lvlJc w:val="left"/>
    </w:lvl>
  </w:abstractNum>
  <w:abstractNum w:abstractNumId="1454" w15:restartNumberingAfterBreak="0">
    <w:nsid w:val="70CA403E"/>
    <w:multiLevelType w:val="hybridMultilevel"/>
    <w:tmpl w:val="B5E6D88A"/>
    <w:lvl w:ilvl="0" w:tplc="E104F310">
      <w:numFmt w:val="decimal"/>
      <w:lvlText w:val=""/>
      <w:lvlJc w:val="left"/>
    </w:lvl>
    <w:lvl w:ilvl="1" w:tplc="591C03D4">
      <w:start w:val="1"/>
      <w:numFmt w:val="bullet"/>
      <w:lvlText w:val=""/>
      <w:lvlJc w:val="left"/>
      <w:pPr>
        <w:ind w:left="1440" w:hanging="180"/>
      </w:pPr>
      <w:rPr>
        <w:rFonts w:ascii="Symbol" w:hAnsi="Symbol" w:hint="default"/>
      </w:rPr>
    </w:lvl>
    <w:lvl w:ilvl="2" w:tplc="474467C6">
      <w:numFmt w:val="decimal"/>
      <w:lvlText w:val=""/>
      <w:lvlJc w:val="left"/>
    </w:lvl>
    <w:lvl w:ilvl="3" w:tplc="8C8654B6">
      <w:numFmt w:val="decimal"/>
      <w:lvlText w:val=""/>
      <w:lvlJc w:val="left"/>
    </w:lvl>
    <w:lvl w:ilvl="4" w:tplc="59A45FDE">
      <w:numFmt w:val="decimal"/>
      <w:lvlText w:val=""/>
      <w:lvlJc w:val="left"/>
    </w:lvl>
    <w:lvl w:ilvl="5" w:tplc="431A96D0">
      <w:numFmt w:val="decimal"/>
      <w:lvlText w:val=""/>
      <w:lvlJc w:val="left"/>
    </w:lvl>
    <w:lvl w:ilvl="6" w:tplc="4A08999E">
      <w:numFmt w:val="decimal"/>
      <w:lvlText w:val=""/>
      <w:lvlJc w:val="left"/>
    </w:lvl>
    <w:lvl w:ilvl="7" w:tplc="E54A0A0A">
      <w:numFmt w:val="decimal"/>
      <w:lvlText w:val=""/>
      <w:lvlJc w:val="left"/>
    </w:lvl>
    <w:lvl w:ilvl="8" w:tplc="8F8A15B6">
      <w:numFmt w:val="decimal"/>
      <w:lvlText w:val=""/>
      <w:lvlJc w:val="left"/>
    </w:lvl>
  </w:abstractNum>
  <w:abstractNum w:abstractNumId="1455" w15:restartNumberingAfterBreak="0">
    <w:nsid w:val="70D7468E"/>
    <w:multiLevelType w:val="hybridMultilevel"/>
    <w:tmpl w:val="F3E8D584"/>
    <w:lvl w:ilvl="0" w:tplc="CC9AC054">
      <w:start w:val="1"/>
      <w:numFmt w:val="bullet"/>
      <w:lvlText w:val=""/>
      <w:lvlJc w:val="left"/>
      <w:pPr>
        <w:ind w:left="720" w:hanging="180"/>
      </w:pPr>
      <w:rPr>
        <w:rFonts w:ascii="Symbol" w:hAnsi="Symbol" w:hint="default"/>
      </w:rPr>
    </w:lvl>
    <w:lvl w:ilvl="1" w:tplc="E6CCAB28">
      <w:numFmt w:val="decimal"/>
      <w:lvlText w:val=""/>
      <w:lvlJc w:val="left"/>
    </w:lvl>
    <w:lvl w:ilvl="2" w:tplc="9014EF4E">
      <w:numFmt w:val="decimal"/>
      <w:lvlText w:val=""/>
      <w:lvlJc w:val="left"/>
    </w:lvl>
    <w:lvl w:ilvl="3" w:tplc="15CC9C1E">
      <w:numFmt w:val="decimal"/>
      <w:lvlText w:val=""/>
      <w:lvlJc w:val="left"/>
    </w:lvl>
    <w:lvl w:ilvl="4" w:tplc="D42A06C0">
      <w:numFmt w:val="decimal"/>
      <w:lvlText w:val=""/>
      <w:lvlJc w:val="left"/>
    </w:lvl>
    <w:lvl w:ilvl="5" w:tplc="5E08B5B6">
      <w:numFmt w:val="decimal"/>
      <w:lvlText w:val=""/>
      <w:lvlJc w:val="left"/>
    </w:lvl>
    <w:lvl w:ilvl="6" w:tplc="AC06FB30">
      <w:numFmt w:val="decimal"/>
      <w:lvlText w:val=""/>
      <w:lvlJc w:val="left"/>
    </w:lvl>
    <w:lvl w:ilvl="7" w:tplc="2DC41D1E">
      <w:numFmt w:val="decimal"/>
      <w:lvlText w:val=""/>
      <w:lvlJc w:val="left"/>
    </w:lvl>
    <w:lvl w:ilvl="8" w:tplc="6B9216A6">
      <w:numFmt w:val="decimal"/>
      <w:lvlText w:val=""/>
      <w:lvlJc w:val="left"/>
    </w:lvl>
  </w:abstractNum>
  <w:abstractNum w:abstractNumId="1456" w15:restartNumberingAfterBreak="0">
    <w:nsid w:val="70DF79C5"/>
    <w:multiLevelType w:val="hybridMultilevel"/>
    <w:tmpl w:val="B9546A56"/>
    <w:lvl w:ilvl="0" w:tplc="03448066">
      <w:start w:val="1"/>
      <w:numFmt w:val="bullet"/>
      <w:lvlText w:val=""/>
      <w:lvlJc w:val="left"/>
      <w:pPr>
        <w:ind w:left="720" w:hanging="180"/>
      </w:pPr>
      <w:rPr>
        <w:rFonts w:ascii="Symbol" w:hAnsi="Symbol" w:hint="default"/>
      </w:rPr>
    </w:lvl>
    <w:lvl w:ilvl="1" w:tplc="4B16F0FC">
      <w:numFmt w:val="decimal"/>
      <w:lvlText w:val=""/>
      <w:lvlJc w:val="left"/>
    </w:lvl>
    <w:lvl w:ilvl="2" w:tplc="76E2372E">
      <w:numFmt w:val="decimal"/>
      <w:lvlText w:val=""/>
      <w:lvlJc w:val="left"/>
    </w:lvl>
    <w:lvl w:ilvl="3" w:tplc="32544F82">
      <w:numFmt w:val="decimal"/>
      <w:lvlText w:val=""/>
      <w:lvlJc w:val="left"/>
    </w:lvl>
    <w:lvl w:ilvl="4" w:tplc="7F94F05A">
      <w:numFmt w:val="decimal"/>
      <w:lvlText w:val=""/>
      <w:lvlJc w:val="left"/>
    </w:lvl>
    <w:lvl w:ilvl="5" w:tplc="49D838B6">
      <w:numFmt w:val="decimal"/>
      <w:lvlText w:val=""/>
      <w:lvlJc w:val="left"/>
    </w:lvl>
    <w:lvl w:ilvl="6" w:tplc="2D2EB0BE">
      <w:numFmt w:val="decimal"/>
      <w:lvlText w:val=""/>
      <w:lvlJc w:val="left"/>
    </w:lvl>
    <w:lvl w:ilvl="7" w:tplc="E8A6DE9E">
      <w:numFmt w:val="decimal"/>
      <w:lvlText w:val=""/>
      <w:lvlJc w:val="left"/>
    </w:lvl>
    <w:lvl w:ilvl="8" w:tplc="10A62100">
      <w:numFmt w:val="decimal"/>
      <w:lvlText w:val=""/>
      <w:lvlJc w:val="left"/>
    </w:lvl>
  </w:abstractNum>
  <w:abstractNum w:abstractNumId="1457" w15:restartNumberingAfterBreak="0">
    <w:nsid w:val="70EB456B"/>
    <w:multiLevelType w:val="hybridMultilevel"/>
    <w:tmpl w:val="B78AB14A"/>
    <w:lvl w:ilvl="0" w:tplc="E632C06C">
      <w:start w:val="1"/>
      <w:numFmt w:val="bullet"/>
      <w:lvlText w:val=""/>
      <w:lvlJc w:val="left"/>
      <w:pPr>
        <w:ind w:left="720" w:hanging="180"/>
      </w:pPr>
      <w:rPr>
        <w:rFonts w:ascii="Symbol" w:hAnsi="Symbol" w:hint="default"/>
      </w:rPr>
    </w:lvl>
    <w:lvl w:ilvl="1" w:tplc="A706100E">
      <w:numFmt w:val="decimal"/>
      <w:lvlText w:val=""/>
      <w:lvlJc w:val="left"/>
    </w:lvl>
    <w:lvl w:ilvl="2" w:tplc="6856038E">
      <w:numFmt w:val="decimal"/>
      <w:lvlText w:val=""/>
      <w:lvlJc w:val="left"/>
    </w:lvl>
    <w:lvl w:ilvl="3" w:tplc="C2A4A8FC">
      <w:numFmt w:val="decimal"/>
      <w:lvlText w:val=""/>
      <w:lvlJc w:val="left"/>
    </w:lvl>
    <w:lvl w:ilvl="4" w:tplc="50A06BF0">
      <w:numFmt w:val="decimal"/>
      <w:lvlText w:val=""/>
      <w:lvlJc w:val="left"/>
    </w:lvl>
    <w:lvl w:ilvl="5" w:tplc="52B42660">
      <w:numFmt w:val="decimal"/>
      <w:lvlText w:val=""/>
      <w:lvlJc w:val="left"/>
    </w:lvl>
    <w:lvl w:ilvl="6" w:tplc="807820A4">
      <w:numFmt w:val="decimal"/>
      <w:lvlText w:val=""/>
      <w:lvlJc w:val="left"/>
    </w:lvl>
    <w:lvl w:ilvl="7" w:tplc="BBB6B0E0">
      <w:numFmt w:val="decimal"/>
      <w:lvlText w:val=""/>
      <w:lvlJc w:val="left"/>
    </w:lvl>
    <w:lvl w:ilvl="8" w:tplc="EEB64A22">
      <w:numFmt w:val="decimal"/>
      <w:lvlText w:val=""/>
      <w:lvlJc w:val="left"/>
    </w:lvl>
  </w:abstractNum>
  <w:abstractNum w:abstractNumId="1458" w15:restartNumberingAfterBreak="0">
    <w:nsid w:val="70EE347A"/>
    <w:multiLevelType w:val="hybridMultilevel"/>
    <w:tmpl w:val="C7743168"/>
    <w:lvl w:ilvl="0" w:tplc="B412C302">
      <w:start w:val="1"/>
      <w:numFmt w:val="bullet"/>
      <w:lvlText w:val=""/>
      <w:lvlJc w:val="left"/>
      <w:pPr>
        <w:ind w:left="720" w:hanging="180"/>
      </w:pPr>
      <w:rPr>
        <w:rFonts w:ascii="Symbol" w:hAnsi="Symbol" w:hint="default"/>
      </w:rPr>
    </w:lvl>
    <w:lvl w:ilvl="1" w:tplc="DF08B3D6">
      <w:numFmt w:val="decimal"/>
      <w:lvlText w:val=""/>
      <w:lvlJc w:val="left"/>
    </w:lvl>
    <w:lvl w:ilvl="2" w:tplc="8A7074EE">
      <w:numFmt w:val="decimal"/>
      <w:lvlText w:val=""/>
      <w:lvlJc w:val="left"/>
    </w:lvl>
    <w:lvl w:ilvl="3" w:tplc="6A6C0BEC">
      <w:numFmt w:val="decimal"/>
      <w:lvlText w:val=""/>
      <w:lvlJc w:val="left"/>
    </w:lvl>
    <w:lvl w:ilvl="4" w:tplc="BA2EE7A0">
      <w:numFmt w:val="decimal"/>
      <w:lvlText w:val=""/>
      <w:lvlJc w:val="left"/>
    </w:lvl>
    <w:lvl w:ilvl="5" w:tplc="758CF804">
      <w:numFmt w:val="decimal"/>
      <w:lvlText w:val=""/>
      <w:lvlJc w:val="left"/>
    </w:lvl>
    <w:lvl w:ilvl="6" w:tplc="5EDEFB2E">
      <w:numFmt w:val="decimal"/>
      <w:lvlText w:val=""/>
      <w:lvlJc w:val="left"/>
    </w:lvl>
    <w:lvl w:ilvl="7" w:tplc="9A985AB4">
      <w:numFmt w:val="decimal"/>
      <w:lvlText w:val=""/>
      <w:lvlJc w:val="left"/>
    </w:lvl>
    <w:lvl w:ilvl="8" w:tplc="309AE284">
      <w:numFmt w:val="decimal"/>
      <w:lvlText w:val=""/>
      <w:lvlJc w:val="left"/>
    </w:lvl>
  </w:abstractNum>
  <w:abstractNum w:abstractNumId="1459" w15:restartNumberingAfterBreak="0">
    <w:nsid w:val="7108077C"/>
    <w:multiLevelType w:val="hybridMultilevel"/>
    <w:tmpl w:val="85AA6BD6"/>
    <w:lvl w:ilvl="0" w:tplc="72743A7A">
      <w:start w:val="1"/>
      <w:numFmt w:val="bullet"/>
      <w:lvlText w:val=""/>
      <w:lvlJc w:val="left"/>
      <w:pPr>
        <w:ind w:left="720" w:hanging="180"/>
      </w:pPr>
      <w:rPr>
        <w:rFonts w:ascii="Symbol" w:hAnsi="Symbol" w:hint="default"/>
      </w:rPr>
    </w:lvl>
    <w:lvl w:ilvl="1" w:tplc="E9CCE146">
      <w:numFmt w:val="decimal"/>
      <w:lvlText w:val=""/>
      <w:lvlJc w:val="left"/>
    </w:lvl>
    <w:lvl w:ilvl="2" w:tplc="D94834C4">
      <w:numFmt w:val="decimal"/>
      <w:lvlText w:val=""/>
      <w:lvlJc w:val="left"/>
    </w:lvl>
    <w:lvl w:ilvl="3" w:tplc="B82A9EE2">
      <w:numFmt w:val="decimal"/>
      <w:lvlText w:val=""/>
      <w:lvlJc w:val="left"/>
    </w:lvl>
    <w:lvl w:ilvl="4" w:tplc="D5884922">
      <w:numFmt w:val="decimal"/>
      <w:lvlText w:val=""/>
      <w:lvlJc w:val="left"/>
    </w:lvl>
    <w:lvl w:ilvl="5" w:tplc="2CBEBB0C">
      <w:numFmt w:val="decimal"/>
      <w:lvlText w:val=""/>
      <w:lvlJc w:val="left"/>
    </w:lvl>
    <w:lvl w:ilvl="6" w:tplc="32FC7E94">
      <w:numFmt w:val="decimal"/>
      <w:lvlText w:val=""/>
      <w:lvlJc w:val="left"/>
    </w:lvl>
    <w:lvl w:ilvl="7" w:tplc="94DADCA8">
      <w:numFmt w:val="decimal"/>
      <w:lvlText w:val=""/>
      <w:lvlJc w:val="left"/>
    </w:lvl>
    <w:lvl w:ilvl="8" w:tplc="A2901448">
      <w:numFmt w:val="decimal"/>
      <w:lvlText w:val=""/>
      <w:lvlJc w:val="left"/>
    </w:lvl>
  </w:abstractNum>
  <w:abstractNum w:abstractNumId="1460" w15:restartNumberingAfterBreak="0">
    <w:nsid w:val="71104D99"/>
    <w:multiLevelType w:val="hybridMultilevel"/>
    <w:tmpl w:val="3224D5FA"/>
    <w:lvl w:ilvl="0" w:tplc="952C2CDE">
      <w:start w:val="1"/>
      <w:numFmt w:val="bullet"/>
      <w:lvlText w:val=""/>
      <w:lvlJc w:val="left"/>
      <w:pPr>
        <w:ind w:left="720" w:hanging="180"/>
      </w:pPr>
      <w:rPr>
        <w:rFonts w:ascii="Symbol" w:hAnsi="Symbol" w:hint="default"/>
      </w:rPr>
    </w:lvl>
    <w:lvl w:ilvl="1" w:tplc="C6B6D516">
      <w:numFmt w:val="decimal"/>
      <w:lvlText w:val=""/>
      <w:lvlJc w:val="left"/>
    </w:lvl>
    <w:lvl w:ilvl="2" w:tplc="317A6EAE">
      <w:numFmt w:val="decimal"/>
      <w:lvlText w:val=""/>
      <w:lvlJc w:val="left"/>
    </w:lvl>
    <w:lvl w:ilvl="3" w:tplc="8E9C5F92">
      <w:numFmt w:val="decimal"/>
      <w:lvlText w:val=""/>
      <w:lvlJc w:val="left"/>
    </w:lvl>
    <w:lvl w:ilvl="4" w:tplc="BFEEAA72">
      <w:numFmt w:val="decimal"/>
      <w:lvlText w:val=""/>
      <w:lvlJc w:val="left"/>
    </w:lvl>
    <w:lvl w:ilvl="5" w:tplc="7006F3C0">
      <w:numFmt w:val="decimal"/>
      <w:lvlText w:val=""/>
      <w:lvlJc w:val="left"/>
    </w:lvl>
    <w:lvl w:ilvl="6" w:tplc="917CA75E">
      <w:numFmt w:val="decimal"/>
      <w:lvlText w:val=""/>
      <w:lvlJc w:val="left"/>
    </w:lvl>
    <w:lvl w:ilvl="7" w:tplc="6CE0541C">
      <w:numFmt w:val="decimal"/>
      <w:lvlText w:val=""/>
      <w:lvlJc w:val="left"/>
    </w:lvl>
    <w:lvl w:ilvl="8" w:tplc="2C983FC4">
      <w:numFmt w:val="decimal"/>
      <w:lvlText w:val=""/>
      <w:lvlJc w:val="left"/>
    </w:lvl>
  </w:abstractNum>
  <w:abstractNum w:abstractNumId="1461" w15:restartNumberingAfterBreak="0">
    <w:nsid w:val="71243A4F"/>
    <w:multiLevelType w:val="hybridMultilevel"/>
    <w:tmpl w:val="657A737C"/>
    <w:lvl w:ilvl="0" w:tplc="D220CC68">
      <w:start w:val="1"/>
      <w:numFmt w:val="bullet"/>
      <w:lvlText w:val=""/>
      <w:lvlJc w:val="left"/>
      <w:pPr>
        <w:ind w:left="720" w:hanging="180"/>
      </w:pPr>
      <w:rPr>
        <w:rFonts w:ascii="Symbol" w:hAnsi="Symbol" w:hint="default"/>
      </w:rPr>
    </w:lvl>
    <w:lvl w:ilvl="1" w:tplc="37DA2E62">
      <w:numFmt w:val="decimal"/>
      <w:lvlText w:val=""/>
      <w:lvlJc w:val="left"/>
    </w:lvl>
    <w:lvl w:ilvl="2" w:tplc="D390CD58">
      <w:numFmt w:val="decimal"/>
      <w:lvlText w:val=""/>
      <w:lvlJc w:val="left"/>
    </w:lvl>
    <w:lvl w:ilvl="3" w:tplc="5FD25BF0">
      <w:numFmt w:val="decimal"/>
      <w:lvlText w:val=""/>
      <w:lvlJc w:val="left"/>
    </w:lvl>
    <w:lvl w:ilvl="4" w:tplc="8938D17E">
      <w:numFmt w:val="decimal"/>
      <w:lvlText w:val=""/>
      <w:lvlJc w:val="left"/>
    </w:lvl>
    <w:lvl w:ilvl="5" w:tplc="85185B30">
      <w:numFmt w:val="decimal"/>
      <w:lvlText w:val=""/>
      <w:lvlJc w:val="left"/>
    </w:lvl>
    <w:lvl w:ilvl="6" w:tplc="9C4C8314">
      <w:numFmt w:val="decimal"/>
      <w:lvlText w:val=""/>
      <w:lvlJc w:val="left"/>
    </w:lvl>
    <w:lvl w:ilvl="7" w:tplc="3F342DBE">
      <w:numFmt w:val="decimal"/>
      <w:lvlText w:val=""/>
      <w:lvlJc w:val="left"/>
    </w:lvl>
    <w:lvl w:ilvl="8" w:tplc="1F08FE9A">
      <w:numFmt w:val="decimal"/>
      <w:lvlText w:val=""/>
      <w:lvlJc w:val="left"/>
    </w:lvl>
  </w:abstractNum>
  <w:abstractNum w:abstractNumId="1462" w15:restartNumberingAfterBreak="0">
    <w:nsid w:val="712F596F"/>
    <w:multiLevelType w:val="hybridMultilevel"/>
    <w:tmpl w:val="8DBAC222"/>
    <w:lvl w:ilvl="0" w:tplc="1A44E546">
      <w:numFmt w:val="decimal"/>
      <w:lvlText w:val=""/>
      <w:lvlJc w:val="left"/>
    </w:lvl>
    <w:lvl w:ilvl="1" w:tplc="67AA48D8">
      <w:start w:val="1"/>
      <w:numFmt w:val="bullet"/>
      <w:lvlText w:val=""/>
      <w:lvlJc w:val="left"/>
      <w:pPr>
        <w:ind w:left="1440" w:hanging="180"/>
      </w:pPr>
      <w:rPr>
        <w:rFonts w:ascii="Symbol" w:hAnsi="Symbol" w:hint="default"/>
      </w:rPr>
    </w:lvl>
    <w:lvl w:ilvl="2" w:tplc="E2B62006">
      <w:numFmt w:val="decimal"/>
      <w:lvlText w:val=""/>
      <w:lvlJc w:val="left"/>
    </w:lvl>
    <w:lvl w:ilvl="3" w:tplc="0F08229A">
      <w:numFmt w:val="decimal"/>
      <w:lvlText w:val=""/>
      <w:lvlJc w:val="left"/>
    </w:lvl>
    <w:lvl w:ilvl="4" w:tplc="E0105F30">
      <w:numFmt w:val="decimal"/>
      <w:lvlText w:val=""/>
      <w:lvlJc w:val="left"/>
    </w:lvl>
    <w:lvl w:ilvl="5" w:tplc="137A7FD8">
      <w:numFmt w:val="decimal"/>
      <w:lvlText w:val=""/>
      <w:lvlJc w:val="left"/>
    </w:lvl>
    <w:lvl w:ilvl="6" w:tplc="F52AF830">
      <w:numFmt w:val="decimal"/>
      <w:lvlText w:val=""/>
      <w:lvlJc w:val="left"/>
    </w:lvl>
    <w:lvl w:ilvl="7" w:tplc="164CA212">
      <w:numFmt w:val="decimal"/>
      <w:lvlText w:val=""/>
      <w:lvlJc w:val="left"/>
    </w:lvl>
    <w:lvl w:ilvl="8" w:tplc="2A16F358">
      <w:numFmt w:val="decimal"/>
      <w:lvlText w:val=""/>
      <w:lvlJc w:val="left"/>
    </w:lvl>
  </w:abstractNum>
  <w:abstractNum w:abstractNumId="1463" w15:restartNumberingAfterBreak="0">
    <w:nsid w:val="71441F4A"/>
    <w:multiLevelType w:val="hybridMultilevel"/>
    <w:tmpl w:val="03CE5A7E"/>
    <w:lvl w:ilvl="0" w:tplc="2A9E6720">
      <w:numFmt w:val="decimal"/>
      <w:lvlText w:val=""/>
      <w:lvlJc w:val="left"/>
    </w:lvl>
    <w:lvl w:ilvl="1" w:tplc="B7A02376">
      <w:start w:val="1"/>
      <w:numFmt w:val="bullet"/>
      <w:lvlText w:val=""/>
      <w:lvlJc w:val="left"/>
      <w:pPr>
        <w:ind w:left="1440" w:hanging="180"/>
      </w:pPr>
      <w:rPr>
        <w:rFonts w:ascii="Symbol" w:hAnsi="Symbol" w:hint="default"/>
      </w:rPr>
    </w:lvl>
    <w:lvl w:ilvl="2" w:tplc="BBE02F78">
      <w:numFmt w:val="decimal"/>
      <w:lvlText w:val=""/>
      <w:lvlJc w:val="left"/>
    </w:lvl>
    <w:lvl w:ilvl="3" w:tplc="5BCC2BE0">
      <w:numFmt w:val="decimal"/>
      <w:lvlText w:val=""/>
      <w:lvlJc w:val="left"/>
    </w:lvl>
    <w:lvl w:ilvl="4" w:tplc="B82E5F42">
      <w:numFmt w:val="decimal"/>
      <w:lvlText w:val=""/>
      <w:lvlJc w:val="left"/>
    </w:lvl>
    <w:lvl w:ilvl="5" w:tplc="CA48B330">
      <w:numFmt w:val="decimal"/>
      <w:lvlText w:val=""/>
      <w:lvlJc w:val="left"/>
    </w:lvl>
    <w:lvl w:ilvl="6" w:tplc="AC8C1704">
      <w:numFmt w:val="decimal"/>
      <w:lvlText w:val=""/>
      <w:lvlJc w:val="left"/>
    </w:lvl>
    <w:lvl w:ilvl="7" w:tplc="477E3560">
      <w:numFmt w:val="decimal"/>
      <w:lvlText w:val=""/>
      <w:lvlJc w:val="left"/>
    </w:lvl>
    <w:lvl w:ilvl="8" w:tplc="16FC42D2">
      <w:numFmt w:val="decimal"/>
      <w:lvlText w:val=""/>
      <w:lvlJc w:val="left"/>
    </w:lvl>
  </w:abstractNum>
  <w:abstractNum w:abstractNumId="1464" w15:restartNumberingAfterBreak="0">
    <w:nsid w:val="7146640D"/>
    <w:multiLevelType w:val="hybridMultilevel"/>
    <w:tmpl w:val="02FE18CA"/>
    <w:lvl w:ilvl="0" w:tplc="4718EB3C">
      <w:start w:val="1"/>
      <w:numFmt w:val="bullet"/>
      <w:lvlText w:val=""/>
      <w:lvlJc w:val="left"/>
      <w:pPr>
        <w:ind w:left="720" w:hanging="180"/>
      </w:pPr>
      <w:rPr>
        <w:rFonts w:ascii="Symbol" w:hAnsi="Symbol" w:hint="default"/>
      </w:rPr>
    </w:lvl>
    <w:lvl w:ilvl="1" w:tplc="F8C6664E">
      <w:numFmt w:val="decimal"/>
      <w:lvlText w:val=""/>
      <w:lvlJc w:val="left"/>
    </w:lvl>
    <w:lvl w:ilvl="2" w:tplc="2ED4FC54">
      <w:numFmt w:val="decimal"/>
      <w:lvlText w:val=""/>
      <w:lvlJc w:val="left"/>
    </w:lvl>
    <w:lvl w:ilvl="3" w:tplc="D1F8A1A8">
      <w:numFmt w:val="decimal"/>
      <w:lvlText w:val=""/>
      <w:lvlJc w:val="left"/>
    </w:lvl>
    <w:lvl w:ilvl="4" w:tplc="4600D10C">
      <w:numFmt w:val="decimal"/>
      <w:lvlText w:val=""/>
      <w:lvlJc w:val="left"/>
    </w:lvl>
    <w:lvl w:ilvl="5" w:tplc="3A2AE278">
      <w:numFmt w:val="decimal"/>
      <w:lvlText w:val=""/>
      <w:lvlJc w:val="left"/>
    </w:lvl>
    <w:lvl w:ilvl="6" w:tplc="AAE49948">
      <w:numFmt w:val="decimal"/>
      <w:lvlText w:val=""/>
      <w:lvlJc w:val="left"/>
    </w:lvl>
    <w:lvl w:ilvl="7" w:tplc="D466D6BA">
      <w:numFmt w:val="decimal"/>
      <w:lvlText w:val=""/>
      <w:lvlJc w:val="left"/>
    </w:lvl>
    <w:lvl w:ilvl="8" w:tplc="15EEC6A2">
      <w:numFmt w:val="decimal"/>
      <w:lvlText w:val=""/>
      <w:lvlJc w:val="left"/>
    </w:lvl>
  </w:abstractNum>
  <w:abstractNum w:abstractNumId="1465" w15:restartNumberingAfterBreak="0">
    <w:nsid w:val="716B713F"/>
    <w:multiLevelType w:val="multilevel"/>
    <w:tmpl w:val="881E79AE"/>
    <w:lvl w:ilvl="0">
      <w:start w:val="5"/>
      <w:numFmt w:val="decimal"/>
      <w:pStyle w:val="Author-eSectionHeading1"/>
      <w:lvlText w:val="%1"/>
      <w:lvlJc w:val="left"/>
      <w:pPr>
        <w:tabs>
          <w:tab w:val="num" w:pos="0"/>
        </w:tabs>
      </w:pPr>
    </w:lvl>
    <w:lvl w:ilvl="1">
      <w:start w:val="1"/>
      <w:numFmt w:val="decimal"/>
      <w:pStyle w:val="Author-eSectionHeading2"/>
      <w:lvlText w:val="%1%2"/>
      <w:lvlJc w:val="left"/>
      <w:pPr>
        <w:tabs>
          <w:tab w:val="num" w:pos="0"/>
        </w:tabs>
      </w:pPr>
    </w:lvl>
    <w:lvl w:ilvl="2">
      <w:start w:val="1"/>
      <w:numFmt w:val="decimal"/>
      <w:pStyle w:val="Author-eSectionHeading3"/>
      <w:lvlText w:val="%1%2.%3"/>
      <w:lvlJc w:val="left"/>
      <w:pPr>
        <w:tabs>
          <w:tab w:val="num" w:pos="0"/>
        </w:tabs>
      </w:pPr>
    </w:lvl>
    <w:lvl w:ilvl="3">
      <w:start w:val="1"/>
      <w:numFmt w:val="decimal"/>
      <w:pStyle w:val="Author-eSectionHeading4"/>
      <w:lvlText w:val="%1%2.%3%4"/>
      <w:lvlJc w:val="left"/>
      <w:pPr>
        <w:tabs>
          <w:tab w:val="num" w:pos="0"/>
        </w:tabs>
      </w:pPr>
    </w:lvl>
    <w:lvl w:ilvl="4">
      <w:start w:val="1"/>
      <w:numFmt w:val="decimal"/>
      <w:pStyle w:val="Author-eSectionHeading5"/>
      <w:lvlText w:val="%1%2.%3%4.%5"/>
      <w:lvlJc w:val="left"/>
      <w:pPr>
        <w:tabs>
          <w:tab w:val="num" w:pos="0"/>
        </w:tabs>
      </w:pPr>
    </w:lvl>
    <w:lvl w:ilvl="5">
      <w:start w:val="1"/>
      <w:numFmt w:val="lowerLetter"/>
      <w:pStyle w:val="Author-eSectionHeading6"/>
      <w:lvlText w:val="%1%2.%3%4.%5%6"/>
      <w:lvlJc w:val="left"/>
      <w:pPr>
        <w:tabs>
          <w:tab w:val="num" w:pos="0"/>
        </w:tabs>
      </w:pPr>
    </w:lvl>
    <w:lvl w:ilvl="6">
      <w:numFmt w:val="decimal"/>
      <w:lvlText w:val=""/>
      <w:lvlJc w:val="left"/>
    </w:lvl>
    <w:lvl w:ilvl="7">
      <w:numFmt w:val="decimal"/>
      <w:lvlText w:val=""/>
      <w:lvlJc w:val="left"/>
    </w:lvl>
    <w:lvl w:ilvl="8">
      <w:numFmt w:val="decimal"/>
      <w:lvlText w:val=""/>
      <w:lvlJc w:val="left"/>
    </w:lvl>
  </w:abstractNum>
  <w:abstractNum w:abstractNumId="1466" w15:restartNumberingAfterBreak="0">
    <w:nsid w:val="71713E41"/>
    <w:multiLevelType w:val="hybridMultilevel"/>
    <w:tmpl w:val="F5045D4C"/>
    <w:lvl w:ilvl="0" w:tplc="8D104674">
      <w:start w:val="1"/>
      <w:numFmt w:val="bullet"/>
      <w:lvlText w:val=""/>
      <w:lvlJc w:val="left"/>
      <w:pPr>
        <w:ind w:left="720" w:hanging="180"/>
      </w:pPr>
      <w:rPr>
        <w:rFonts w:ascii="Symbol" w:hAnsi="Symbol" w:hint="default"/>
      </w:rPr>
    </w:lvl>
    <w:lvl w:ilvl="1" w:tplc="4E34B546">
      <w:numFmt w:val="decimal"/>
      <w:lvlText w:val=""/>
      <w:lvlJc w:val="left"/>
    </w:lvl>
    <w:lvl w:ilvl="2" w:tplc="EF32F3F6">
      <w:numFmt w:val="decimal"/>
      <w:lvlText w:val=""/>
      <w:lvlJc w:val="left"/>
    </w:lvl>
    <w:lvl w:ilvl="3" w:tplc="BF5CBE44">
      <w:numFmt w:val="decimal"/>
      <w:lvlText w:val=""/>
      <w:lvlJc w:val="left"/>
    </w:lvl>
    <w:lvl w:ilvl="4" w:tplc="E362D616">
      <w:numFmt w:val="decimal"/>
      <w:lvlText w:val=""/>
      <w:lvlJc w:val="left"/>
    </w:lvl>
    <w:lvl w:ilvl="5" w:tplc="A7AE53B8">
      <w:numFmt w:val="decimal"/>
      <w:lvlText w:val=""/>
      <w:lvlJc w:val="left"/>
    </w:lvl>
    <w:lvl w:ilvl="6" w:tplc="291A119A">
      <w:numFmt w:val="decimal"/>
      <w:lvlText w:val=""/>
      <w:lvlJc w:val="left"/>
    </w:lvl>
    <w:lvl w:ilvl="7" w:tplc="881C13E0">
      <w:numFmt w:val="decimal"/>
      <w:lvlText w:val=""/>
      <w:lvlJc w:val="left"/>
    </w:lvl>
    <w:lvl w:ilvl="8" w:tplc="DFD234FA">
      <w:numFmt w:val="decimal"/>
      <w:lvlText w:val=""/>
      <w:lvlJc w:val="left"/>
    </w:lvl>
  </w:abstractNum>
  <w:abstractNum w:abstractNumId="1467" w15:restartNumberingAfterBreak="0">
    <w:nsid w:val="71800960"/>
    <w:multiLevelType w:val="hybridMultilevel"/>
    <w:tmpl w:val="D03C0822"/>
    <w:lvl w:ilvl="0" w:tplc="79B0CEB8">
      <w:start w:val="1"/>
      <w:numFmt w:val="bullet"/>
      <w:lvlText w:val=""/>
      <w:lvlJc w:val="left"/>
      <w:pPr>
        <w:ind w:left="720" w:hanging="180"/>
      </w:pPr>
      <w:rPr>
        <w:rFonts w:ascii="Symbol" w:hAnsi="Symbol" w:hint="default"/>
      </w:rPr>
    </w:lvl>
    <w:lvl w:ilvl="1" w:tplc="E5E04C76">
      <w:numFmt w:val="decimal"/>
      <w:lvlText w:val=""/>
      <w:lvlJc w:val="left"/>
    </w:lvl>
    <w:lvl w:ilvl="2" w:tplc="C6EE5220">
      <w:numFmt w:val="decimal"/>
      <w:lvlText w:val=""/>
      <w:lvlJc w:val="left"/>
    </w:lvl>
    <w:lvl w:ilvl="3" w:tplc="E7BCDB0E">
      <w:numFmt w:val="decimal"/>
      <w:lvlText w:val=""/>
      <w:lvlJc w:val="left"/>
    </w:lvl>
    <w:lvl w:ilvl="4" w:tplc="4FF4AE06">
      <w:numFmt w:val="decimal"/>
      <w:lvlText w:val=""/>
      <w:lvlJc w:val="left"/>
    </w:lvl>
    <w:lvl w:ilvl="5" w:tplc="9E780DB4">
      <w:numFmt w:val="decimal"/>
      <w:lvlText w:val=""/>
      <w:lvlJc w:val="left"/>
    </w:lvl>
    <w:lvl w:ilvl="6" w:tplc="1C6A940C">
      <w:numFmt w:val="decimal"/>
      <w:lvlText w:val=""/>
      <w:lvlJc w:val="left"/>
    </w:lvl>
    <w:lvl w:ilvl="7" w:tplc="254675D0">
      <w:numFmt w:val="decimal"/>
      <w:lvlText w:val=""/>
      <w:lvlJc w:val="left"/>
    </w:lvl>
    <w:lvl w:ilvl="8" w:tplc="410A77E8">
      <w:numFmt w:val="decimal"/>
      <w:lvlText w:val=""/>
      <w:lvlJc w:val="left"/>
    </w:lvl>
  </w:abstractNum>
  <w:abstractNum w:abstractNumId="1468" w15:restartNumberingAfterBreak="0">
    <w:nsid w:val="71825C33"/>
    <w:multiLevelType w:val="hybridMultilevel"/>
    <w:tmpl w:val="BB44D4F2"/>
    <w:lvl w:ilvl="0" w:tplc="BF20ABB6">
      <w:start w:val="1"/>
      <w:numFmt w:val="bullet"/>
      <w:lvlText w:val=""/>
      <w:lvlJc w:val="left"/>
      <w:pPr>
        <w:ind w:left="720" w:hanging="180"/>
      </w:pPr>
      <w:rPr>
        <w:rFonts w:ascii="Symbol" w:hAnsi="Symbol" w:hint="default"/>
      </w:rPr>
    </w:lvl>
    <w:lvl w:ilvl="1" w:tplc="0090E28C">
      <w:numFmt w:val="decimal"/>
      <w:lvlText w:val=""/>
      <w:lvlJc w:val="left"/>
    </w:lvl>
    <w:lvl w:ilvl="2" w:tplc="94809A70">
      <w:numFmt w:val="decimal"/>
      <w:lvlText w:val=""/>
      <w:lvlJc w:val="left"/>
    </w:lvl>
    <w:lvl w:ilvl="3" w:tplc="68D08492">
      <w:numFmt w:val="decimal"/>
      <w:lvlText w:val=""/>
      <w:lvlJc w:val="left"/>
    </w:lvl>
    <w:lvl w:ilvl="4" w:tplc="7C6E01CA">
      <w:numFmt w:val="decimal"/>
      <w:lvlText w:val=""/>
      <w:lvlJc w:val="left"/>
    </w:lvl>
    <w:lvl w:ilvl="5" w:tplc="03285EC6">
      <w:numFmt w:val="decimal"/>
      <w:lvlText w:val=""/>
      <w:lvlJc w:val="left"/>
    </w:lvl>
    <w:lvl w:ilvl="6" w:tplc="3B7EC522">
      <w:numFmt w:val="decimal"/>
      <w:lvlText w:val=""/>
      <w:lvlJc w:val="left"/>
    </w:lvl>
    <w:lvl w:ilvl="7" w:tplc="26B43654">
      <w:numFmt w:val="decimal"/>
      <w:lvlText w:val=""/>
      <w:lvlJc w:val="left"/>
    </w:lvl>
    <w:lvl w:ilvl="8" w:tplc="83224ABE">
      <w:numFmt w:val="decimal"/>
      <w:lvlText w:val=""/>
      <w:lvlJc w:val="left"/>
    </w:lvl>
  </w:abstractNum>
  <w:abstractNum w:abstractNumId="1469" w15:restartNumberingAfterBreak="0">
    <w:nsid w:val="71871EA8"/>
    <w:multiLevelType w:val="hybridMultilevel"/>
    <w:tmpl w:val="A13E7708"/>
    <w:lvl w:ilvl="0" w:tplc="D46CC3F8">
      <w:start w:val="1"/>
      <w:numFmt w:val="bullet"/>
      <w:lvlText w:val=""/>
      <w:lvlJc w:val="left"/>
      <w:pPr>
        <w:ind w:left="720" w:hanging="180"/>
      </w:pPr>
      <w:rPr>
        <w:rFonts w:ascii="Symbol" w:hAnsi="Symbol" w:hint="default"/>
      </w:rPr>
    </w:lvl>
    <w:lvl w:ilvl="1" w:tplc="9D4C0F98">
      <w:numFmt w:val="decimal"/>
      <w:lvlText w:val=""/>
      <w:lvlJc w:val="left"/>
    </w:lvl>
    <w:lvl w:ilvl="2" w:tplc="A0B27238">
      <w:numFmt w:val="decimal"/>
      <w:lvlText w:val=""/>
      <w:lvlJc w:val="left"/>
    </w:lvl>
    <w:lvl w:ilvl="3" w:tplc="509844FC">
      <w:numFmt w:val="decimal"/>
      <w:lvlText w:val=""/>
      <w:lvlJc w:val="left"/>
    </w:lvl>
    <w:lvl w:ilvl="4" w:tplc="00D42CFC">
      <w:numFmt w:val="decimal"/>
      <w:lvlText w:val=""/>
      <w:lvlJc w:val="left"/>
    </w:lvl>
    <w:lvl w:ilvl="5" w:tplc="214A9502">
      <w:numFmt w:val="decimal"/>
      <w:lvlText w:val=""/>
      <w:lvlJc w:val="left"/>
    </w:lvl>
    <w:lvl w:ilvl="6" w:tplc="F528A7C4">
      <w:numFmt w:val="decimal"/>
      <w:lvlText w:val=""/>
      <w:lvlJc w:val="left"/>
    </w:lvl>
    <w:lvl w:ilvl="7" w:tplc="79960FCA">
      <w:numFmt w:val="decimal"/>
      <w:lvlText w:val=""/>
      <w:lvlJc w:val="left"/>
    </w:lvl>
    <w:lvl w:ilvl="8" w:tplc="FFD655B8">
      <w:numFmt w:val="decimal"/>
      <w:lvlText w:val=""/>
      <w:lvlJc w:val="left"/>
    </w:lvl>
  </w:abstractNum>
  <w:abstractNum w:abstractNumId="1470" w15:restartNumberingAfterBreak="0">
    <w:nsid w:val="71AB0DE2"/>
    <w:multiLevelType w:val="hybridMultilevel"/>
    <w:tmpl w:val="B67C4B22"/>
    <w:lvl w:ilvl="0" w:tplc="E6BC53D4">
      <w:start w:val="1"/>
      <w:numFmt w:val="bullet"/>
      <w:lvlText w:val=""/>
      <w:lvlJc w:val="left"/>
      <w:pPr>
        <w:ind w:left="720" w:hanging="180"/>
      </w:pPr>
      <w:rPr>
        <w:rFonts w:ascii="Symbol" w:hAnsi="Symbol" w:hint="default"/>
      </w:rPr>
    </w:lvl>
    <w:lvl w:ilvl="1" w:tplc="6B1EE8A2">
      <w:numFmt w:val="decimal"/>
      <w:lvlText w:val=""/>
      <w:lvlJc w:val="left"/>
    </w:lvl>
    <w:lvl w:ilvl="2" w:tplc="1256DFEE">
      <w:numFmt w:val="decimal"/>
      <w:lvlText w:val=""/>
      <w:lvlJc w:val="left"/>
    </w:lvl>
    <w:lvl w:ilvl="3" w:tplc="318C4BD0">
      <w:numFmt w:val="decimal"/>
      <w:lvlText w:val=""/>
      <w:lvlJc w:val="left"/>
    </w:lvl>
    <w:lvl w:ilvl="4" w:tplc="E1F64B42">
      <w:numFmt w:val="decimal"/>
      <w:lvlText w:val=""/>
      <w:lvlJc w:val="left"/>
    </w:lvl>
    <w:lvl w:ilvl="5" w:tplc="87A07C40">
      <w:numFmt w:val="decimal"/>
      <w:lvlText w:val=""/>
      <w:lvlJc w:val="left"/>
    </w:lvl>
    <w:lvl w:ilvl="6" w:tplc="1FEE4566">
      <w:numFmt w:val="decimal"/>
      <w:lvlText w:val=""/>
      <w:lvlJc w:val="left"/>
    </w:lvl>
    <w:lvl w:ilvl="7" w:tplc="ECF8AB34">
      <w:numFmt w:val="decimal"/>
      <w:lvlText w:val=""/>
      <w:lvlJc w:val="left"/>
    </w:lvl>
    <w:lvl w:ilvl="8" w:tplc="855CB91A">
      <w:numFmt w:val="decimal"/>
      <w:lvlText w:val=""/>
      <w:lvlJc w:val="left"/>
    </w:lvl>
  </w:abstractNum>
  <w:abstractNum w:abstractNumId="1471" w15:restartNumberingAfterBreak="0">
    <w:nsid w:val="71D53A51"/>
    <w:multiLevelType w:val="hybridMultilevel"/>
    <w:tmpl w:val="ED86DF12"/>
    <w:lvl w:ilvl="0" w:tplc="7A463362">
      <w:start w:val="1"/>
      <w:numFmt w:val="bullet"/>
      <w:lvlText w:val=""/>
      <w:lvlJc w:val="left"/>
      <w:pPr>
        <w:ind w:left="720" w:hanging="180"/>
      </w:pPr>
      <w:rPr>
        <w:rFonts w:ascii="Symbol" w:hAnsi="Symbol" w:hint="default"/>
      </w:rPr>
    </w:lvl>
    <w:lvl w:ilvl="1" w:tplc="BFF24666">
      <w:numFmt w:val="decimal"/>
      <w:lvlText w:val=""/>
      <w:lvlJc w:val="left"/>
    </w:lvl>
    <w:lvl w:ilvl="2" w:tplc="313637F4">
      <w:numFmt w:val="decimal"/>
      <w:lvlText w:val=""/>
      <w:lvlJc w:val="left"/>
    </w:lvl>
    <w:lvl w:ilvl="3" w:tplc="F648E4FE">
      <w:numFmt w:val="decimal"/>
      <w:lvlText w:val=""/>
      <w:lvlJc w:val="left"/>
    </w:lvl>
    <w:lvl w:ilvl="4" w:tplc="AB3CCCCE">
      <w:numFmt w:val="decimal"/>
      <w:lvlText w:val=""/>
      <w:lvlJc w:val="left"/>
    </w:lvl>
    <w:lvl w:ilvl="5" w:tplc="B48CDF78">
      <w:numFmt w:val="decimal"/>
      <w:lvlText w:val=""/>
      <w:lvlJc w:val="left"/>
    </w:lvl>
    <w:lvl w:ilvl="6" w:tplc="9056C800">
      <w:numFmt w:val="decimal"/>
      <w:lvlText w:val=""/>
      <w:lvlJc w:val="left"/>
    </w:lvl>
    <w:lvl w:ilvl="7" w:tplc="5F4AF9FA">
      <w:numFmt w:val="decimal"/>
      <w:lvlText w:val=""/>
      <w:lvlJc w:val="left"/>
    </w:lvl>
    <w:lvl w:ilvl="8" w:tplc="80A24A3C">
      <w:numFmt w:val="decimal"/>
      <w:lvlText w:val=""/>
      <w:lvlJc w:val="left"/>
    </w:lvl>
  </w:abstractNum>
  <w:abstractNum w:abstractNumId="1472" w15:restartNumberingAfterBreak="0">
    <w:nsid w:val="720206E3"/>
    <w:multiLevelType w:val="hybridMultilevel"/>
    <w:tmpl w:val="CBC284FA"/>
    <w:lvl w:ilvl="0" w:tplc="EE54CC5E">
      <w:start w:val="1"/>
      <w:numFmt w:val="bullet"/>
      <w:lvlText w:val=""/>
      <w:lvlJc w:val="left"/>
      <w:pPr>
        <w:ind w:left="720" w:hanging="180"/>
      </w:pPr>
      <w:rPr>
        <w:rFonts w:ascii="Symbol" w:hAnsi="Symbol" w:hint="default"/>
      </w:rPr>
    </w:lvl>
    <w:lvl w:ilvl="1" w:tplc="D0001EB6">
      <w:numFmt w:val="decimal"/>
      <w:lvlText w:val=""/>
      <w:lvlJc w:val="left"/>
    </w:lvl>
    <w:lvl w:ilvl="2" w:tplc="A76425C4">
      <w:numFmt w:val="decimal"/>
      <w:lvlText w:val=""/>
      <w:lvlJc w:val="left"/>
    </w:lvl>
    <w:lvl w:ilvl="3" w:tplc="1B40EB0E">
      <w:numFmt w:val="decimal"/>
      <w:lvlText w:val=""/>
      <w:lvlJc w:val="left"/>
    </w:lvl>
    <w:lvl w:ilvl="4" w:tplc="1D56F3B4">
      <w:numFmt w:val="decimal"/>
      <w:lvlText w:val=""/>
      <w:lvlJc w:val="left"/>
    </w:lvl>
    <w:lvl w:ilvl="5" w:tplc="00644544">
      <w:numFmt w:val="decimal"/>
      <w:lvlText w:val=""/>
      <w:lvlJc w:val="left"/>
    </w:lvl>
    <w:lvl w:ilvl="6" w:tplc="9FC0259C">
      <w:numFmt w:val="decimal"/>
      <w:lvlText w:val=""/>
      <w:lvlJc w:val="left"/>
    </w:lvl>
    <w:lvl w:ilvl="7" w:tplc="521099B6">
      <w:numFmt w:val="decimal"/>
      <w:lvlText w:val=""/>
      <w:lvlJc w:val="left"/>
    </w:lvl>
    <w:lvl w:ilvl="8" w:tplc="777C7668">
      <w:numFmt w:val="decimal"/>
      <w:lvlText w:val=""/>
      <w:lvlJc w:val="left"/>
    </w:lvl>
  </w:abstractNum>
  <w:abstractNum w:abstractNumId="1473" w15:restartNumberingAfterBreak="0">
    <w:nsid w:val="72032145"/>
    <w:multiLevelType w:val="hybridMultilevel"/>
    <w:tmpl w:val="26EA430A"/>
    <w:lvl w:ilvl="0" w:tplc="64963550">
      <w:start w:val="1"/>
      <w:numFmt w:val="bullet"/>
      <w:lvlText w:val=""/>
      <w:lvlJc w:val="left"/>
      <w:pPr>
        <w:ind w:left="720" w:hanging="180"/>
      </w:pPr>
      <w:rPr>
        <w:rFonts w:ascii="Symbol" w:hAnsi="Symbol" w:hint="default"/>
      </w:rPr>
    </w:lvl>
    <w:lvl w:ilvl="1" w:tplc="BD005570">
      <w:numFmt w:val="decimal"/>
      <w:lvlText w:val=""/>
      <w:lvlJc w:val="left"/>
    </w:lvl>
    <w:lvl w:ilvl="2" w:tplc="05E0D07A">
      <w:numFmt w:val="decimal"/>
      <w:lvlText w:val=""/>
      <w:lvlJc w:val="left"/>
    </w:lvl>
    <w:lvl w:ilvl="3" w:tplc="519E7A10">
      <w:numFmt w:val="decimal"/>
      <w:lvlText w:val=""/>
      <w:lvlJc w:val="left"/>
    </w:lvl>
    <w:lvl w:ilvl="4" w:tplc="39409EF6">
      <w:numFmt w:val="decimal"/>
      <w:lvlText w:val=""/>
      <w:lvlJc w:val="left"/>
    </w:lvl>
    <w:lvl w:ilvl="5" w:tplc="F202F766">
      <w:numFmt w:val="decimal"/>
      <w:lvlText w:val=""/>
      <w:lvlJc w:val="left"/>
    </w:lvl>
    <w:lvl w:ilvl="6" w:tplc="99328282">
      <w:numFmt w:val="decimal"/>
      <w:lvlText w:val=""/>
      <w:lvlJc w:val="left"/>
    </w:lvl>
    <w:lvl w:ilvl="7" w:tplc="524E0ADC">
      <w:numFmt w:val="decimal"/>
      <w:lvlText w:val=""/>
      <w:lvlJc w:val="left"/>
    </w:lvl>
    <w:lvl w:ilvl="8" w:tplc="D86A1730">
      <w:numFmt w:val="decimal"/>
      <w:lvlText w:val=""/>
      <w:lvlJc w:val="left"/>
    </w:lvl>
  </w:abstractNum>
  <w:abstractNum w:abstractNumId="1474" w15:restartNumberingAfterBreak="0">
    <w:nsid w:val="72142BAF"/>
    <w:multiLevelType w:val="hybridMultilevel"/>
    <w:tmpl w:val="05D29036"/>
    <w:lvl w:ilvl="0" w:tplc="0A40A73C">
      <w:start w:val="1"/>
      <w:numFmt w:val="bullet"/>
      <w:lvlText w:val=""/>
      <w:lvlJc w:val="left"/>
      <w:pPr>
        <w:ind w:left="720" w:hanging="180"/>
      </w:pPr>
      <w:rPr>
        <w:rFonts w:ascii="Symbol" w:hAnsi="Symbol" w:hint="default"/>
      </w:rPr>
    </w:lvl>
    <w:lvl w:ilvl="1" w:tplc="12325E0E">
      <w:numFmt w:val="decimal"/>
      <w:lvlText w:val=""/>
      <w:lvlJc w:val="left"/>
    </w:lvl>
    <w:lvl w:ilvl="2" w:tplc="A6162B38">
      <w:numFmt w:val="decimal"/>
      <w:lvlText w:val=""/>
      <w:lvlJc w:val="left"/>
    </w:lvl>
    <w:lvl w:ilvl="3" w:tplc="8108B88C">
      <w:numFmt w:val="decimal"/>
      <w:lvlText w:val=""/>
      <w:lvlJc w:val="left"/>
    </w:lvl>
    <w:lvl w:ilvl="4" w:tplc="4B683522">
      <w:numFmt w:val="decimal"/>
      <w:lvlText w:val=""/>
      <w:lvlJc w:val="left"/>
    </w:lvl>
    <w:lvl w:ilvl="5" w:tplc="D81C6A06">
      <w:numFmt w:val="decimal"/>
      <w:lvlText w:val=""/>
      <w:lvlJc w:val="left"/>
    </w:lvl>
    <w:lvl w:ilvl="6" w:tplc="085AAC40">
      <w:numFmt w:val="decimal"/>
      <w:lvlText w:val=""/>
      <w:lvlJc w:val="left"/>
    </w:lvl>
    <w:lvl w:ilvl="7" w:tplc="C688C2BE">
      <w:numFmt w:val="decimal"/>
      <w:lvlText w:val=""/>
      <w:lvlJc w:val="left"/>
    </w:lvl>
    <w:lvl w:ilvl="8" w:tplc="A4D04A5E">
      <w:numFmt w:val="decimal"/>
      <w:lvlText w:val=""/>
      <w:lvlJc w:val="left"/>
    </w:lvl>
  </w:abstractNum>
  <w:abstractNum w:abstractNumId="1475" w15:restartNumberingAfterBreak="0">
    <w:nsid w:val="721844B3"/>
    <w:multiLevelType w:val="hybridMultilevel"/>
    <w:tmpl w:val="AAE008B2"/>
    <w:lvl w:ilvl="0" w:tplc="0D189268">
      <w:start w:val="1"/>
      <w:numFmt w:val="bullet"/>
      <w:lvlText w:val=""/>
      <w:lvlJc w:val="left"/>
      <w:pPr>
        <w:ind w:left="720" w:hanging="180"/>
      </w:pPr>
      <w:rPr>
        <w:rFonts w:ascii="Symbol" w:hAnsi="Symbol" w:hint="default"/>
      </w:rPr>
    </w:lvl>
    <w:lvl w:ilvl="1" w:tplc="1CCE4DE2">
      <w:numFmt w:val="decimal"/>
      <w:lvlText w:val=""/>
      <w:lvlJc w:val="left"/>
    </w:lvl>
    <w:lvl w:ilvl="2" w:tplc="45AC59C8">
      <w:numFmt w:val="decimal"/>
      <w:lvlText w:val=""/>
      <w:lvlJc w:val="left"/>
    </w:lvl>
    <w:lvl w:ilvl="3" w:tplc="DC542130">
      <w:numFmt w:val="decimal"/>
      <w:lvlText w:val=""/>
      <w:lvlJc w:val="left"/>
    </w:lvl>
    <w:lvl w:ilvl="4" w:tplc="702A8058">
      <w:numFmt w:val="decimal"/>
      <w:lvlText w:val=""/>
      <w:lvlJc w:val="left"/>
    </w:lvl>
    <w:lvl w:ilvl="5" w:tplc="10A60A42">
      <w:numFmt w:val="decimal"/>
      <w:lvlText w:val=""/>
      <w:lvlJc w:val="left"/>
    </w:lvl>
    <w:lvl w:ilvl="6" w:tplc="FFB8FBAE">
      <w:numFmt w:val="decimal"/>
      <w:lvlText w:val=""/>
      <w:lvlJc w:val="left"/>
    </w:lvl>
    <w:lvl w:ilvl="7" w:tplc="D548EA34">
      <w:numFmt w:val="decimal"/>
      <w:lvlText w:val=""/>
      <w:lvlJc w:val="left"/>
    </w:lvl>
    <w:lvl w:ilvl="8" w:tplc="5E2414D6">
      <w:numFmt w:val="decimal"/>
      <w:lvlText w:val=""/>
      <w:lvlJc w:val="left"/>
    </w:lvl>
  </w:abstractNum>
  <w:abstractNum w:abstractNumId="1476" w15:restartNumberingAfterBreak="0">
    <w:nsid w:val="7246259F"/>
    <w:multiLevelType w:val="hybridMultilevel"/>
    <w:tmpl w:val="F31CFE02"/>
    <w:lvl w:ilvl="0" w:tplc="180A8A8E">
      <w:start w:val="1"/>
      <w:numFmt w:val="bullet"/>
      <w:lvlText w:val=""/>
      <w:lvlJc w:val="left"/>
      <w:pPr>
        <w:ind w:left="720" w:hanging="180"/>
      </w:pPr>
      <w:rPr>
        <w:rFonts w:ascii="Symbol" w:hAnsi="Symbol" w:hint="default"/>
      </w:rPr>
    </w:lvl>
    <w:lvl w:ilvl="1" w:tplc="F3F0C29A">
      <w:numFmt w:val="decimal"/>
      <w:lvlText w:val=""/>
      <w:lvlJc w:val="left"/>
    </w:lvl>
    <w:lvl w:ilvl="2" w:tplc="04B25934">
      <w:numFmt w:val="decimal"/>
      <w:lvlText w:val=""/>
      <w:lvlJc w:val="left"/>
    </w:lvl>
    <w:lvl w:ilvl="3" w:tplc="8B70DF98">
      <w:numFmt w:val="decimal"/>
      <w:lvlText w:val=""/>
      <w:lvlJc w:val="left"/>
    </w:lvl>
    <w:lvl w:ilvl="4" w:tplc="70FAB0C8">
      <w:numFmt w:val="decimal"/>
      <w:lvlText w:val=""/>
      <w:lvlJc w:val="left"/>
    </w:lvl>
    <w:lvl w:ilvl="5" w:tplc="7E90E6A2">
      <w:numFmt w:val="decimal"/>
      <w:lvlText w:val=""/>
      <w:lvlJc w:val="left"/>
    </w:lvl>
    <w:lvl w:ilvl="6" w:tplc="515A7B74">
      <w:numFmt w:val="decimal"/>
      <w:lvlText w:val=""/>
      <w:lvlJc w:val="left"/>
    </w:lvl>
    <w:lvl w:ilvl="7" w:tplc="B8F08606">
      <w:numFmt w:val="decimal"/>
      <w:lvlText w:val=""/>
      <w:lvlJc w:val="left"/>
    </w:lvl>
    <w:lvl w:ilvl="8" w:tplc="11C89966">
      <w:numFmt w:val="decimal"/>
      <w:lvlText w:val=""/>
      <w:lvlJc w:val="left"/>
    </w:lvl>
  </w:abstractNum>
  <w:abstractNum w:abstractNumId="1477" w15:restartNumberingAfterBreak="0">
    <w:nsid w:val="725B67DA"/>
    <w:multiLevelType w:val="hybridMultilevel"/>
    <w:tmpl w:val="A454DAA0"/>
    <w:lvl w:ilvl="0" w:tplc="E13C51B4">
      <w:start w:val="1"/>
      <w:numFmt w:val="bullet"/>
      <w:lvlText w:val=""/>
      <w:lvlJc w:val="left"/>
      <w:pPr>
        <w:ind w:left="720" w:hanging="180"/>
      </w:pPr>
      <w:rPr>
        <w:rFonts w:ascii="Symbol" w:hAnsi="Symbol" w:hint="default"/>
      </w:rPr>
    </w:lvl>
    <w:lvl w:ilvl="1" w:tplc="BD724620">
      <w:numFmt w:val="decimal"/>
      <w:lvlText w:val=""/>
      <w:lvlJc w:val="left"/>
    </w:lvl>
    <w:lvl w:ilvl="2" w:tplc="BEA42CEE">
      <w:numFmt w:val="decimal"/>
      <w:lvlText w:val=""/>
      <w:lvlJc w:val="left"/>
    </w:lvl>
    <w:lvl w:ilvl="3" w:tplc="01E27E1A">
      <w:numFmt w:val="decimal"/>
      <w:lvlText w:val=""/>
      <w:lvlJc w:val="left"/>
    </w:lvl>
    <w:lvl w:ilvl="4" w:tplc="40E85EC6">
      <w:numFmt w:val="decimal"/>
      <w:lvlText w:val=""/>
      <w:lvlJc w:val="left"/>
    </w:lvl>
    <w:lvl w:ilvl="5" w:tplc="5BA8D582">
      <w:numFmt w:val="decimal"/>
      <w:lvlText w:val=""/>
      <w:lvlJc w:val="left"/>
    </w:lvl>
    <w:lvl w:ilvl="6" w:tplc="6E44A0A2">
      <w:numFmt w:val="decimal"/>
      <w:lvlText w:val=""/>
      <w:lvlJc w:val="left"/>
    </w:lvl>
    <w:lvl w:ilvl="7" w:tplc="F8F0A184">
      <w:numFmt w:val="decimal"/>
      <w:lvlText w:val=""/>
      <w:lvlJc w:val="left"/>
    </w:lvl>
    <w:lvl w:ilvl="8" w:tplc="CB2A8830">
      <w:numFmt w:val="decimal"/>
      <w:lvlText w:val=""/>
      <w:lvlJc w:val="left"/>
    </w:lvl>
  </w:abstractNum>
  <w:abstractNum w:abstractNumId="1478" w15:restartNumberingAfterBreak="0">
    <w:nsid w:val="725F7F2F"/>
    <w:multiLevelType w:val="hybridMultilevel"/>
    <w:tmpl w:val="FA88EB3C"/>
    <w:lvl w:ilvl="0" w:tplc="0E5C49F6">
      <w:start w:val="1"/>
      <w:numFmt w:val="bullet"/>
      <w:lvlText w:val=""/>
      <w:lvlJc w:val="left"/>
      <w:pPr>
        <w:ind w:left="720" w:hanging="180"/>
      </w:pPr>
      <w:rPr>
        <w:rFonts w:ascii="Symbol" w:hAnsi="Symbol" w:hint="default"/>
      </w:rPr>
    </w:lvl>
    <w:lvl w:ilvl="1" w:tplc="E7727FD4">
      <w:numFmt w:val="decimal"/>
      <w:lvlText w:val=""/>
      <w:lvlJc w:val="left"/>
    </w:lvl>
    <w:lvl w:ilvl="2" w:tplc="44A01E4A">
      <w:numFmt w:val="decimal"/>
      <w:lvlText w:val=""/>
      <w:lvlJc w:val="left"/>
    </w:lvl>
    <w:lvl w:ilvl="3" w:tplc="3CA27CA0">
      <w:numFmt w:val="decimal"/>
      <w:lvlText w:val=""/>
      <w:lvlJc w:val="left"/>
    </w:lvl>
    <w:lvl w:ilvl="4" w:tplc="7D24544E">
      <w:numFmt w:val="decimal"/>
      <w:lvlText w:val=""/>
      <w:lvlJc w:val="left"/>
    </w:lvl>
    <w:lvl w:ilvl="5" w:tplc="CB80700A">
      <w:numFmt w:val="decimal"/>
      <w:lvlText w:val=""/>
      <w:lvlJc w:val="left"/>
    </w:lvl>
    <w:lvl w:ilvl="6" w:tplc="95DE101E">
      <w:numFmt w:val="decimal"/>
      <w:lvlText w:val=""/>
      <w:lvlJc w:val="left"/>
    </w:lvl>
    <w:lvl w:ilvl="7" w:tplc="A2C2785A">
      <w:numFmt w:val="decimal"/>
      <w:lvlText w:val=""/>
      <w:lvlJc w:val="left"/>
    </w:lvl>
    <w:lvl w:ilvl="8" w:tplc="B3AC5DCE">
      <w:numFmt w:val="decimal"/>
      <w:lvlText w:val=""/>
      <w:lvlJc w:val="left"/>
    </w:lvl>
  </w:abstractNum>
  <w:abstractNum w:abstractNumId="1479" w15:restartNumberingAfterBreak="0">
    <w:nsid w:val="72643C2B"/>
    <w:multiLevelType w:val="hybridMultilevel"/>
    <w:tmpl w:val="F0105012"/>
    <w:lvl w:ilvl="0" w:tplc="26A27292">
      <w:start w:val="1"/>
      <w:numFmt w:val="bullet"/>
      <w:lvlText w:val=""/>
      <w:lvlJc w:val="left"/>
      <w:pPr>
        <w:ind w:left="720" w:hanging="180"/>
      </w:pPr>
      <w:rPr>
        <w:rFonts w:ascii="Symbol" w:hAnsi="Symbol" w:hint="default"/>
      </w:rPr>
    </w:lvl>
    <w:lvl w:ilvl="1" w:tplc="BD865BE6">
      <w:numFmt w:val="decimal"/>
      <w:lvlText w:val=""/>
      <w:lvlJc w:val="left"/>
    </w:lvl>
    <w:lvl w:ilvl="2" w:tplc="FA3EB380">
      <w:numFmt w:val="decimal"/>
      <w:lvlText w:val=""/>
      <w:lvlJc w:val="left"/>
    </w:lvl>
    <w:lvl w:ilvl="3" w:tplc="B19AD616">
      <w:numFmt w:val="decimal"/>
      <w:lvlText w:val=""/>
      <w:lvlJc w:val="left"/>
    </w:lvl>
    <w:lvl w:ilvl="4" w:tplc="A2088E12">
      <w:numFmt w:val="decimal"/>
      <w:lvlText w:val=""/>
      <w:lvlJc w:val="left"/>
    </w:lvl>
    <w:lvl w:ilvl="5" w:tplc="AC7484F4">
      <w:numFmt w:val="decimal"/>
      <w:lvlText w:val=""/>
      <w:lvlJc w:val="left"/>
    </w:lvl>
    <w:lvl w:ilvl="6" w:tplc="F1A61220">
      <w:numFmt w:val="decimal"/>
      <w:lvlText w:val=""/>
      <w:lvlJc w:val="left"/>
    </w:lvl>
    <w:lvl w:ilvl="7" w:tplc="AE683D84">
      <w:numFmt w:val="decimal"/>
      <w:lvlText w:val=""/>
      <w:lvlJc w:val="left"/>
    </w:lvl>
    <w:lvl w:ilvl="8" w:tplc="6696E7BC">
      <w:numFmt w:val="decimal"/>
      <w:lvlText w:val=""/>
      <w:lvlJc w:val="left"/>
    </w:lvl>
  </w:abstractNum>
  <w:abstractNum w:abstractNumId="1480" w15:restartNumberingAfterBreak="0">
    <w:nsid w:val="727B2DDD"/>
    <w:multiLevelType w:val="hybridMultilevel"/>
    <w:tmpl w:val="5582CA30"/>
    <w:lvl w:ilvl="0" w:tplc="35AA4C12">
      <w:start w:val="1"/>
      <w:numFmt w:val="bullet"/>
      <w:lvlText w:val=""/>
      <w:lvlJc w:val="left"/>
      <w:pPr>
        <w:ind w:left="720" w:hanging="180"/>
      </w:pPr>
      <w:rPr>
        <w:rFonts w:ascii="Symbol" w:hAnsi="Symbol" w:hint="default"/>
      </w:rPr>
    </w:lvl>
    <w:lvl w:ilvl="1" w:tplc="C0EC97D6">
      <w:numFmt w:val="decimal"/>
      <w:lvlText w:val=""/>
      <w:lvlJc w:val="left"/>
    </w:lvl>
    <w:lvl w:ilvl="2" w:tplc="73A4E59A">
      <w:numFmt w:val="decimal"/>
      <w:lvlText w:val=""/>
      <w:lvlJc w:val="left"/>
    </w:lvl>
    <w:lvl w:ilvl="3" w:tplc="C49AF232">
      <w:numFmt w:val="decimal"/>
      <w:lvlText w:val=""/>
      <w:lvlJc w:val="left"/>
    </w:lvl>
    <w:lvl w:ilvl="4" w:tplc="EB50F29C">
      <w:numFmt w:val="decimal"/>
      <w:lvlText w:val=""/>
      <w:lvlJc w:val="left"/>
    </w:lvl>
    <w:lvl w:ilvl="5" w:tplc="D182E232">
      <w:numFmt w:val="decimal"/>
      <w:lvlText w:val=""/>
      <w:lvlJc w:val="left"/>
    </w:lvl>
    <w:lvl w:ilvl="6" w:tplc="4CE8C002">
      <w:numFmt w:val="decimal"/>
      <w:lvlText w:val=""/>
      <w:lvlJc w:val="left"/>
    </w:lvl>
    <w:lvl w:ilvl="7" w:tplc="AF9A2E96">
      <w:numFmt w:val="decimal"/>
      <w:lvlText w:val=""/>
      <w:lvlJc w:val="left"/>
    </w:lvl>
    <w:lvl w:ilvl="8" w:tplc="830873D8">
      <w:numFmt w:val="decimal"/>
      <w:lvlText w:val=""/>
      <w:lvlJc w:val="left"/>
    </w:lvl>
  </w:abstractNum>
  <w:abstractNum w:abstractNumId="1481" w15:restartNumberingAfterBreak="0">
    <w:nsid w:val="728C2EDE"/>
    <w:multiLevelType w:val="hybridMultilevel"/>
    <w:tmpl w:val="92F0819E"/>
    <w:lvl w:ilvl="0" w:tplc="26225C4A">
      <w:start w:val="1"/>
      <w:numFmt w:val="bullet"/>
      <w:lvlText w:val=""/>
      <w:lvlJc w:val="left"/>
      <w:pPr>
        <w:ind w:left="720" w:hanging="180"/>
      </w:pPr>
      <w:rPr>
        <w:rFonts w:ascii="Symbol" w:hAnsi="Symbol" w:hint="default"/>
      </w:rPr>
    </w:lvl>
    <w:lvl w:ilvl="1" w:tplc="DBCA5EA6">
      <w:numFmt w:val="decimal"/>
      <w:lvlText w:val=""/>
      <w:lvlJc w:val="left"/>
    </w:lvl>
    <w:lvl w:ilvl="2" w:tplc="823E08DE">
      <w:numFmt w:val="decimal"/>
      <w:lvlText w:val=""/>
      <w:lvlJc w:val="left"/>
    </w:lvl>
    <w:lvl w:ilvl="3" w:tplc="709A4D24">
      <w:numFmt w:val="decimal"/>
      <w:lvlText w:val=""/>
      <w:lvlJc w:val="left"/>
    </w:lvl>
    <w:lvl w:ilvl="4" w:tplc="AB7E727E">
      <w:numFmt w:val="decimal"/>
      <w:lvlText w:val=""/>
      <w:lvlJc w:val="left"/>
    </w:lvl>
    <w:lvl w:ilvl="5" w:tplc="ED66F7F2">
      <w:numFmt w:val="decimal"/>
      <w:lvlText w:val=""/>
      <w:lvlJc w:val="left"/>
    </w:lvl>
    <w:lvl w:ilvl="6" w:tplc="C1BE10AC">
      <w:numFmt w:val="decimal"/>
      <w:lvlText w:val=""/>
      <w:lvlJc w:val="left"/>
    </w:lvl>
    <w:lvl w:ilvl="7" w:tplc="03A0934E">
      <w:numFmt w:val="decimal"/>
      <w:lvlText w:val=""/>
      <w:lvlJc w:val="left"/>
    </w:lvl>
    <w:lvl w:ilvl="8" w:tplc="B8062BBA">
      <w:numFmt w:val="decimal"/>
      <w:lvlText w:val=""/>
      <w:lvlJc w:val="left"/>
    </w:lvl>
  </w:abstractNum>
  <w:abstractNum w:abstractNumId="1482" w15:restartNumberingAfterBreak="0">
    <w:nsid w:val="729E6D94"/>
    <w:multiLevelType w:val="hybridMultilevel"/>
    <w:tmpl w:val="2A8225CA"/>
    <w:lvl w:ilvl="0" w:tplc="2B84D5E8">
      <w:start w:val="1"/>
      <w:numFmt w:val="bullet"/>
      <w:lvlText w:val=""/>
      <w:lvlJc w:val="left"/>
      <w:pPr>
        <w:ind w:left="720" w:hanging="180"/>
      </w:pPr>
      <w:rPr>
        <w:rFonts w:ascii="Symbol" w:hAnsi="Symbol" w:hint="default"/>
      </w:rPr>
    </w:lvl>
    <w:lvl w:ilvl="1" w:tplc="C524ABF8">
      <w:numFmt w:val="decimal"/>
      <w:lvlText w:val=""/>
      <w:lvlJc w:val="left"/>
    </w:lvl>
    <w:lvl w:ilvl="2" w:tplc="D0E6BDBA">
      <w:numFmt w:val="decimal"/>
      <w:lvlText w:val=""/>
      <w:lvlJc w:val="left"/>
    </w:lvl>
    <w:lvl w:ilvl="3" w:tplc="038C73DC">
      <w:numFmt w:val="decimal"/>
      <w:lvlText w:val=""/>
      <w:lvlJc w:val="left"/>
    </w:lvl>
    <w:lvl w:ilvl="4" w:tplc="2504739C">
      <w:numFmt w:val="decimal"/>
      <w:lvlText w:val=""/>
      <w:lvlJc w:val="left"/>
    </w:lvl>
    <w:lvl w:ilvl="5" w:tplc="A20A0864">
      <w:numFmt w:val="decimal"/>
      <w:lvlText w:val=""/>
      <w:lvlJc w:val="left"/>
    </w:lvl>
    <w:lvl w:ilvl="6" w:tplc="260E533E">
      <w:numFmt w:val="decimal"/>
      <w:lvlText w:val=""/>
      <w:lvlJc w:val="left"/>
    </w:lvl>
    <w:lvl w:ilvl="7" w:tplc="EA0A1DF0">
      <w:numFmt w:val="decimal"/>
      <w:lvlText w:val=""/>
      <w:lvlJc w:val="left"/>
    </w:lvl>
    <w:lvl w:ilvl="8" w:tplc="C012F900">
      <w:numFmt w:val="decimal"/>
      <w:lvlText w:val=""/>
      <w:lvlJc w:val="left"/>
    </w:lvl>
  </w:abstractNum>
  <w:abstractNum w:abstractNumId="1483" w15:restartNumberingAfterBreak="0">
    <w:nsid w:val="72B603CC"/>
    <w:multiLevelType w:val="hybridMultilevel"/>
    <w:tmpl w:val="BF7A2D98"/>
    <w:lvl w:ilvl="0" w:tplc="993E5150">
      <w:numFmt w:val="decimal"/>
      <w:lvlText w:val=""/>
      <w:lvlJc w:val="left"/>
    </w:lvl>
    <w:lvl w:ilvl="1" w:tplc="D194D8CC">
      <w:start w:val="1"/>
      <w:numFmt w:val="bullet"/>
      <w:lvlText w:val=""/>
      <w:lvlJc w:val="left"/>
      <w:pPr>
        <w:ind w:left="1440" w:hanging="180"/>
      </w:pPr>
      <w:rPr>
        <w:rFonts w:ascii="Symbol" w:hAnsi="Symbol" w:hint="default"/>
      </w:rPr>
    </w:lvl>
    <w:lvl w:ilvl="2" w:tplc="BD9C7F04">
      <w:numFmt w:val="decimal"/>
      <w:lvlText w:val=""/>
      <w:lvlJc w:val="left"/>
    </w:lvl>
    <w:lvl w:ilvl="3" w:tplc="3E781584">
      <w:numFmt w:val="decimal"/>
      <w:lvlText w:val=""/>
      <w:lvlJc w:val="left"/>
    </w:lvl>
    <w:lvl w:ilvl="4" w:tplc="E29E7968">
      <w:numFmt w:val="decimal"/>
      <w:lvlText w:val=""/>
      <w:lvlJc w:val="left"/>
    </w:lvl>
    <w:lvl w:ilvl="5" w:tplc="10E692F0">
      <w:numFmt w:val="decimal"/>
      <w:lvlText w:val=""/>
      <w:lvlJc w:val="left"/>
    </w:lvl>
    <w:lvl w:ilvl="6" w:tplc="701079E6">
      <w:numFmt w:val="decimal"/>
      <w:lvlText w:val=""/>
      <w:lvlJc w:val="left"/>
    </w:lvl>
    <w:lvl w:ilvl="7" w:tplc="DDC0C744">
      <w:numFmt w:val="decimal"/>
      <w:lvlText w:val=""/>
      <w:lvlJc w:val="left"/>
    </w:lvl>
    <w:lvl w:ilvl="8" w:tplc="FE8E2164">
      <w:numFmt w:val="decimal"/>
      <w:lvlText w:val=""/>
      <w:lvlJc w:val="left"/>
    </w:lvl>
  </w:abstractNum>
  <w:abstractNum w:abstractNumId="1484" w15:restartNumberingAfterBreak="0">
    <w:nsid w:val="72BC73D4"/>
    <w:multiLevelType w:val="hybridMultilevel"/>
    <w:tmpl w:val="A18AA610"/>
    <w:lvl w:ilvl="0" w:tplc="509E2FA0">
      <w:start w:val="1"/>
      <w:numFmt w:val="bullet"/>
      <w:lvlText w:val=""/>
      <w:lvlJc w:val="left"/>
      <w:pPr>
        <w:ind w:left="720" w:hanging="180"/>
      </w:pPr>
      <w:rPr>
        <w:rFonts w:ascii="Symbol" w:hAnsi="Symbol" w:hint="default"/>
      </w:rPr>
    </w:lvl>
    <w:lvl w:ilvl="1" w:tplc="65D051F0">
      <w:numFmt w:val="decimal"/>
      <w:lvlText w:val=""/>
      <w:lvlJc w:val="left"/>
    </w:lvl>
    <w:lvl w:ilvl="2" w:tplc="ED604452">
      <w:numFmt w:val="decimal"/>
      <w:lvlText w:val=""/>
      <w:lvlJc w:val="left"/>
    </w:lvl>
    <w:lvl w:ilvl="3" w:tplc="7F7E9FFE">
      <w:numFmt w:val="decimal"/>
      <w:lvlText w:val=""/>
      <w:lvlJc w:val="left"/>
    </w:lvl>
    <w:lvl w:ilvl="4" w:tplc="602CF91A">
      <w:numFmt w:val="decimal"/>
      <w:lvlText w:val=""/>
      <w:lvlJc w:val="left"/>
    </w:lvl>
    <w:lvl w:ilvl="5" w:tplc="E6420C04">
      <w:numFmt w:val="decimal"/>
      <w:lvlText w:val=""/>
      <w:lvlJc w:val="left"/>
    </w:lvl>
    <w:lvl w:ilvl="6" w:tplc="3C76DB36">
      <w:numFmt w:val="decimal"/>
      <w:lvlText w:val=""/>
      <w:lvlJc w:val="left"/>
    </w:lvl>
    <w:lvl w:ilvl="7" w:tplc="44F2890A">
      <w:numFmt w:val="decimal"/>
      <w:lvlText w:val=""/>
      <w:lvlJc w:val="left"/>
    </w:lvl>
    <w:lvl w:ilvl="8" w:tplc="A5D8D7C6">
      <w:numFmt w:val="decimal"/>
      <w:lvlText w:val=""/>
      <w:lvlJc w:val="left"/>
    </w:lvl>
  </w:abstractNum>
  <w:abstractNum w:abstractNumId="1485" w15:restartNumberingAfterBreak="0">
    <w:nsid w:val="72CE1A63"/>
    <w:multiLevelType w:val="hybridMultilevel"/>
    <w:tmpl w:val="DF52F2B4"/>
    <w:lvl w:ilvl="0" w:tplc="6A189C04">
      <w:start w:val="1"/>
      <w:numFmt w:val="bullet"/>
      <w:lvlText w:val=""/>
      <w:lvlJc w:val="left"/>
      <w:pPr>
        <w:ind w:left="720" w:hanging="180"/>
      </w:pPr>
      <w:rPr>
        <w:rFonts w:ascii="Symbol" w:hAnsi="Symbol" w:hint="default"/>
      </w:rPr>
    </w:lvl>
    <w:lvl w:ilvl="1" w:tplc="E16A519E">
      <w:numFmt w:val="decimal"/>
      <w:lvlText w:val=""/>
      <w:lvlJc w:val="left"/>
    </w:lvl>
    <w:lvl w:ilvl="2" w:tplc="972CF99A">
      <w:numFmt w:val="decimal"/>
      <w:lvlText w:val=""/>
      <w:lvlJc w:val="left"/>
    </w:lvl>
    <w:lvl w:ilvl="3" w:tplc="414EA5F2">
      <w:numFmt w:val="decimal"/>
      <w:lvlText w:val=""/>
      <w:lvlJc w:val="left"/>
    </w:lvl>
    <w:lvl w:ilvl="4" w:tplc="D00A9B92">
      <w:numFmt w:val="decimal"/>
      <w:lvlText w:val=""/>
      <w:lvlJc w:val="left"/>
    </w:lvl>
    <w:lvl w:ilvl="5" w:tplc="AFE675D2">
      <w:numFmt w:val="decimal"/>
      <w:lvlText w:val=""/>
      <w:lvlJc w:val="left"/>
    </w:lvl>
    <w:lvl w:ilvl="6" w:tplc="892608A0">
      <w:numFmt w:val="decimal"/>
      <w:lvlText w:val=""/>
      <w:lvlJc w:val="left"/>
    </w:lvl>
    <w:lvl w:ilvl="7" w:tplc="28ACC28E">
      <w:numFmt w:val="decimal"/>
      <w:lvlText w:val=""/>
      <w:lvlJc w:val="left"/>
    </w:lvl>
    <w:lvl w:ilvl="8" w:tplc="611030F2">
      <w:numFmt w:val="decimal"/>
      <w:lvlText w:val=""/>
      <w:lvlJc w:val="left"/>
    </w:lvl>
  </w:abstractNum>
  <w:abstractNum w:abstractNumId="1486" w15:restartNumberingAfterBreak="0">
    <w:nsid w:val="72E639FF"/>
    <w:multiLevelType w:val="hybridMultilevel"/>
    <w:tmpl w:val="46A6BAB0"/>
    <w:lvl w:ilvl="0" w:tplc="7DF6D00C">
      <w:numFmt w:val="decimal"/>
      <w:lvlText w:val=""/>
      <w:lvlJc w:val="left"/>
    </w:lvl>
    <w:lvl w:ilvl="1" w:tplc="DE1C881C">
      <w:start w:val="1"/>
      <w:numFmt w:val="bullet"/>
      <w:lvlText w:val=""/>
      <w:lvlJc w:val="left"/>
      <w:pPr>
        <w:ind w:left="1440" w:hanging="180"/>
      </w:pPr>
      <w:rPr>
        <w:rFonts w:ascii="Symbol" w:hAnsi="Symbol" w:hint="default"/>
      </w:rPr>
    </w:lvl>
    <w:lvl w:ilvl="2" w:tplc="FB2ED9BE">
      <w:numFmt w:val="decimal"/>
      <w:lvlText w:val=""/>
      <w:lvlJc w:val="left"/>
    </w:lvl>
    <w:lvl w:ilvl="3" w:tplc="E0DA98CE">
      <w:numFmt w:val="decimal"/>
      <w:lvlText w:val=""/>
      <w:lvlJc w:val="left"/>
    </w:lvl>
    <w:lvl w:ilvl="4" w:tplc="B1220D6C">
      <w:numFmt w:val="decimal"/>
      <w:lvlText w:val=""/>
      <w:lvlJc w:val="left"/>
    </w:lvl>
    <w:lvl w:ilvl="5" w:tplc="50E6F98A">
      <w:numFmt w:val="decimal"/>
      <w:lvlText w:val=""/>
      <w:lvlJc w:val="left"/>
    </w:lvl>
    <w:lvl w:ilvl="6" w:tplc="E8FE016E">
      <w:numFmt w:val="decimal"/>
      <w:lvlText w:val=""/>
      <w:lvlJc w:val="left"/>
    </w:lvl>
    <w:lvl w:ilvl="7" w:tplc="5AA26320">
      <w:numFmt w:val="decimal"/>
      <w:lvlText w:val=""/>
      <w:lvlJc w:val="left"/>
    </w:lvl>
    <w:lvl w:ilvl="8" w:tplc="3CBC5910">
      <w:numFmt w:val="decimal"/>
      <w:lvlText w:val=""/>
      <w:lvlJc w:val="left"/>
    </w:lvl>
  </w:abstractNum>
  <w:abstractNum w:abstractNumId="1487" w15:restartNumberingAfterBreak="0">
    <w:nsid w:val="72E75A13"/>
    <w:multiLevelType w:val="hybridMultilevel"/>
    <w:tmpl w:val="C420728C"/>
    <w:lvl w:ilvl="0" w:tplc="CB3088B0">
      <w:start w:val="1"/>
      <w:numFmt w:val="bullet"/>
      <w:lvlText w:val=""/>
      <w:lvlJc w:val="left"/>
      <w:pPr>
        <w:ind w:left="720" w:hanging="180"/>
      </w:pPr>
      <w:rPr>
        <w:rFonts w:ascii="Symbol" w:hAnsi="Symbol" w:hint="default"/>
      </w:rPr>
    </w:lvl>
    <w:lvl w:ilvl="1" w:tplc="2AFC527A">
      <w:numFmt w:val="decimal"/>
      <w:lvlText w:val=""/>
      <w:lvlJc w:val="left"/>
    </w:lvl>
    <w:lvl w:ilvl="2" w:tplc="912A675E">
      <w:numFmt w:val="decimal"/>
      <w:lvlText w:val=""/>
      <w:lvlJc w:val="left"/>
    </w:lvl>
    <w:lvl w:ilvl="3" w:tplc="F788C20A">
      <w:numFmt w:val="decimal"/>
      <w:lvlText w:val=""/>
      <w:lvlJc w:val="left"/>
    </w:lvl>
    <w:lvl w:ilvl="4" w:tplc="AB94DA92">
      <w:numFmt w:val="decimal"/>
      <w:lvlText w:val=""/>
      <w:lvlJc w:val="left"/>
    </w:lvl>
    <w:lvl w:ilvl="5" w:tplc="C8A6FF4E">
      <w:numFmt w:val="decimal"/>
      <w:lvlText w:val=""/>
      <w:lvlJc w:val="left"/>
    </w:lvl>
    <w:lvl w:ilvl="6" w:tplc="F76A23D6">
      <w:numFmt w:val="decimal"/>
      <w:lvlText w:val=""/>
      <w:lvlJc w:val="left"/>
    </w:lvl>
    <w:lvl w:ilvl="7" w:tplc="19785B46">
      <w:numFmt w:val="decimal"/>
      <w:lvlText w:val=""/>
      <w:lvlJc w:val="left"/>
    </w:lvl>
    <w:lvl w:ilvl="8" w:tplc="0C044392">
      <w:numFmt w:val="decimal"/>
      <w:lvlText w:val=""/>
      <w:lvlJc w:val="left"/>
    </w:lvl>
  </w:abstractNum>
  <w:abstractNum w:abstractNumId="1488" w15:restartNumberingAfterBreak="0">
    <w:nsid w:val="72F61F4C"/>
    <w:multiLevelType w:val="hybridMultilevel"/>
    <w:tmpl w:val="DD489252"/>
    <w:lvl w:ilvl="0" w:tplc="BA76CE3C">
      <w:start w:val="1"/>
      <w:numFmt w:val="bullet"/>
      <w:lvlText w:val=""/>
      <w:lvlJc w:val="left"/>
      <w:pPr>
        <w:ind w:left="720" w:hanging="180"/>
      </w:pPr>
      <w:rPr>
        <w:rFonts w:ascii="Symbol" w:hAnsi="Symbol" w:hint="default"/>
      </w:rPr>
    </w:lvl>
    <w:lvl w:ilvl="1" w:tplc="611CEAF2">
      <w:numFmt w:val="decimal"/>
      <w:lvlText w:val=""/>
      <w:lvlJc w:val="left"/>
    </w:lvl>
    <w:lvl w:ilvl="2" w:tplc="EFD66432">
      <w:numFmt w:val="decimal"/>
      <w:lvlText w:val=""/>
      <w:lvlJc w:val="left"/>
    </w:lvl>
    <w:lvl w:ilvl="3" w:tplc="34F4BCFC">
      <w:numFmt w:val="decimal"/>
      <w:lvlText w:val=""/>
      <w:lvlJc w:val="left"/>
    </w:lvl>
    <w:lvl w:ilvl="4" w:tplc="93128CCA">
      <w:numFmt w:val="decimal"/>
      <w:lvlText w:val=""/>
      <w:lvlJc w:val="left"/>
    </w:lvl>
    <w:lvl w:ilvl="5" w:tplc="9A82D27C">
      <w:numFmt w:val="decimal"/>
      <w:lvlText w:val=""/>
      <w:lvlJc w:val="left"/>
    </w:lvl>
    <w:lvl w:ilvl="6" w:tplc="7422BEA8">
      <w:numFmt w:val="decimal"/>
      <w:lvlText w:val=""/>
      <w:lvlJc w:val="left"/>
    </w:lvl>
    <w:lvl w:ilvl="7" w:tplc="B5A869CC">
      <w:numFmt w:val="decimal"/>
      <w:lvlText w:val=""/>
      <w:lvlJc w:val="left"/>
    </w:lvl>
    <w:lvl w:ilvl="8" w:tplc="0D8E4E78">
      <w:numFmt w:val="decimal"/>
      <w:lvlText w:val=""/>
      <w:lvlJc w:val="left"/>
    </w:lvl>
  </w:abstractNum>
  <w:abstractNum w:abstractNumId="1489" w15:restartNumberingAfterBreak="0">
    <w:nsid w:val="73000919"/>
    <w:multiLevelType w:val="hybridMultilevel"/>
    <w:tmpl w:val="7AB4CAB4"/>
    <w:lvl w:ilvl="0" w:tplc="D7C42B6C">
      <w:start w:val="1"/>
      <w:numFmt w:val="bullet"/>
      <w:lvlText w:val=""/>
      <w:lvlJc w:val="left"/>
      <w:pPr>
        <w:ind w:left="720" w:hanging="180"/>
      </w:pPr>
      <w:rPr>
        <w:rFonts w:ascii="Symbol" w:hAnsi="Symbol" w:hint="default"/>
      </w:rPr>
    </w:lvl>
    <w:lvl w:ilvl="1" w:tplc="2BE0844C">
      <w:numFmt w:val="decimal"/>
      <w:lvlText w:val=""/>
      <w:lvlJc w:val="left"/>
    </w:lvl>
    <w:lvl w:ilvl="2" w:tplc="E834C20C">
      <w:numFmt w:val="decimal"/>
      <w:lvlText w:val=""/>
      <w:lvlJc w:val="left"/>
    </w:lvl>
    <w:lvl w:ilvl="3" w:tplc="C4407A36">
      <w:numFmt w:val="decimal"/>
      <w:lvlText w:val=""/>
      <w:lvlJc w:val="left"/>
    </w:lvl>
    <w:lvl w:ilvl="4" w:tplc="D730C32A">
      <w:numFmt w:val="decimal"/>
      <w:lvlText w:val=""/>
      <w:lvlJc w:val="left"/>
    </w:lvl>
    <w:lvl w:ilvl="5" w:tplc="BF548E9A">
      <w:numFmt w:val="decimal"/>
      <w:lvlText w:val=""/>
      <w:lvlJc w:val="left"/>
    </w:lvl>
    <w:lvl w:ilvl="6" w:tplc="4836AEC2">
      <w:numFmt w:val="decimal"/>
      <w:lvlText w:val=""/>
      <w:lvlJc w:val="left"/>
    </w:lvl>
    <w:lvl w:ilvl="7" w:tplc="C26669F4">
      <w:numFmt w:val="decimal"/>
      <w:lvlText w:val=""/>
      <w:lvlJc w:val="left"/>
    </w:lvl>
    <w:lvl w:ilvl="8" w:tplc="2236FB7E">
      <w:numFmt w:val="decimal"/>
      <w:lvlText w:val=""/>
      <w:lvlJc w:val="left"/>
    </w:lvl>
  </w:abstractNum>
  <w:abstractNum w:abstractNumId="1490" w15:restartNumberingAfterBreak="0">
    <w:nsid w:val="73071D95"/>
    <w:multiLevelType w:val="hybridMultilevel"/>
    <w:tmpl w:val="4474AA1E"/>
    <w:lvl w:ilvl="0" w:tplc="BB147C54">
      <w:start w:val="1"/>
      <w:numFmt w:val="bullet"/>
      <w:lvlText w:val=""/>
      <w:lvlJc w:val="left"/>
      <w:pPr>
        <w:ind w:left="720" w:hanging="180"/>
      </w:pPr>
      <w:rPr>
        <w:rFonts w:ascii="Symbol" w:hAnsi="Symbol" w:hint="default"/>
      </w:rPr>
    </w:lvl>
    <w:lvl w:ilvl="1" w:tplc="2A02D24C">
      <w:numFmt w:val="decimal"/>
      <w:lvlText w:val=""/>
      <w:lvlJc w:val="left"/>
    </w:lvl>
    <w:lvl w:ilvl="2" w:tplc="4E64BFD2">
      <w:numFmt w:val="decimal"/>
      <w:lvlText w:val=""/>
      <w:lvlJc w:val="left"/>
    </w:lvl>
    <w:lvl w:ilvl="3" w:tplc="69AA308E">
      <w:numFmt w:val="decimal"/>
      <w:lvlText w:val=""/>
      <w:lvlJc w:val="left"/>
    </w:lvl>
    <w:lvl w:ilvl="4" w:tplc="1646C9E8">
      <w:numFmt w:val="decimal"/>
      <w:lvlText w:val=""/>
      <w:lvlJc w:val="left"/>
    </w:lvl>
    <w:lvl w:ilvl="5" w:tplc="60B8DE16">
      <w:numFmt w:val="decimal"/>
      <w:lvlText w:val=""/>
      <w:lvlJc w:val="left"/>
    </w:lvl>
    <w:lvl w:ilvl="6" w:tplc="ADB47C7C">
      <w:numFmt w:val="decimal"/>
      <w:lvlText w:val=""/>
      <w:lvlJc w:val="left"/>
    </w:lvl>
    <w:lvl w:ilvl="7" w:tplc="397EE3BC">
      <w:numFmt w:val="decimal"/>
      <w:lvlText w:val=""/>
      <w:lvlJc w:val="left"/>
    </w:lvl>
    <w:lvl w:ilvl="8" w:tplc="578E665E">
      <w:numFmt w:val="decimal"/>
      <w:lvlText w:val=""/>
      <w:lvlJc w:val="left"/>
    </w:lvl>
  </w:abstractNum>
  <w:abstractNum w:abstractNumId="1491" w15:restartNumberingAfterBreak="0">
    <w:nsid w:val="73252EEC"/>
    <w:multiLevelType w:val="hybridMultilevel"/>
    <w:tmpl w:val="C2B40C8C"/>
    <w:lvl w:ilvl="0" w:tplc="D018C514">
      <w:start w:val="1"/>
      <w:numFmt w:val="bullet"/>
      <w:lvlText w:val=""/>
      <w:lvlJc w:val="left"/>
      <w:pPr>
        <w:ind w:left="720" w:hanging="180"/>
      </w:pPr>
      <w:rPr>
        <w:rFonts w:ascii="Symbol" w:hAnsi="Symbol" w:hint="default"/>
      </w:rPr>
    </w:lvl>
    <w:lvl w:ilvl="1" w:tplc="1994CA6E">
      <w:numFmt w:val="decimal"/>
      <w:lvlText w:val=""/>
      <w:lvlJc w:val="left"/>
    </w:lvl>
    <w:lvl w:ilvl="2" w:tplc="70445212">
      <w:numFmt w:val="decimal"/>
      <w:lvlText w:val=""/>
      <w:lvlJc w:val="left"/>
    </w:lvl>
    <w:lvl w:ilvl="3" w:tplc="F288D9BC">
      <w:numFmt w:val="decimal"/>
      <w:lvlText w:val=""/>
      <w:lvlJc w:val="left"/>
    </w:lvl>
    <w:lvl w:ilvl="4" w:tplc="7F62783E">
      <w:numFmt w:val="decimal"/>
      <w:lvlText w:val=""/>
      <w:lvlJc w:val="left"/>
    </w:lvl>
    <w:lvl w:ilvl="5" w:tplc="54B4EB32">
      <w:numFmt w:val="decimal"/>
      <w:lvlText w:val=""/>
      <w:lvlJc w:val="left"/>
    </w:lvl>
    <w:lvl w:ilvl="6" w:tplc="8C88AFFA">
      <w:numFmt w:val="decimal"/>
      <w:lvlText w:val=""/>
      <w:lvlJc w:val="left"/>
    </w:lvl>
    <w:lvl w:ilvl="7" w:tplc="9E24641C">
      <w:numFmt w:val="decimal"/>
      <w:lvlText w:val=""/>
      <w:lvlJc w:val="left"/>
    </w:lvl>
    <w:lvl w:ilvl="8" w:tplc="E34EB9F6">
      <w:numFmt w:val="decimal"/>
      <w:lvlText w:val=""/>
      <w:lvlJc w:val="left"/>
    </w:lvl>
  </w:abstractNum>
  <w:abstractNum w:abstractNumId="1492" w15:restartNumberingAfterBreak="0">
    <w:nsid w:val="732B7FA2"/>
    <w:multiLevelType w:val="hybridMultilevel"/>
    <w:tmpl w:val="84263C8A"/>
    <w:lvl w:ilvl="0" w:tplc="DE76FD06">
      <w:start w:val="1"/>
      <w:numFmt w:val="bullet"/>
      <w:lvlText w:val=""/>
      <w:lvlJc w:val="left"/>
      <w:pPr>
        <w:ind w:left="720" w:hanging="180"/>
      </w:pPr>
      <w:rPr>
        <w:rFonts w:ascii="Symbol" w:hAnsi="Symbol" w:hint="default"/>
      </w:rPr>
    </w:lvl>
    <w:lvl w:ilvl="1" w:tplc="884A1D58">
      <w:numFmt w:val="decimal"/>
      <w:lvlText w:val=""/>
      <w:lvlJc w:val="left"/>
    </w:lvl>
    <w:lvl w:ilvl="2" w:tplc="3FA03628">
      <w:numFmt w:val="decimal"/>
      <w:lvlText w:val=""/>
      <w:lvlJc w:val="left"/>
    </w:lvl>
    <w:lvl w:ilvl="3" w:tplc="E312D7EC">
      <w:numFmt w:val="decimal"/>
      <w:lvlText w:val=""/>
      <w:lvlJc w:val="left"/>
    </w:lvl>
    <w:lvl w:ilvl="4" w:tplc="11A2F41C">
      <w:numFmt w:val="decimal"/>
      <w:lvlText w:val=""/>
      <w:lvlJc w:val="left"/>
    </w:lvl>
    <w:lvl w:ilvl="5" w:tplc="7FF8C55E">
      <w:numFmt w:val="decimal"/>
      <w:lvlText w:val=""/>
      <w:lvlJc w:val="left"/>
    </w:lvl>
    <w:lvl w:ilvl="6" w:tplc="4F3036E0">
      <w:numFmt w:val="decimal"/>
      <w:lvlText w:val=""/>
      <w:lvlJc w:val="left"/>
    </w:lvl>
    <w:lvl w:ilvl="7" w:tplc="C05AF01A">
      <w:numFmt w:val="decimal"/>
      <w:lvlText w:val=""/>
      <w:lvlJc w:val="left"/>
    </w:lvl>
    <w:lvl w:ilvl="8" w:tplc="DCA6578C">
      <w:numFmt w:val="decimal"/>
      <w:lvlText w:val=""/>
      <w:lvlJc w:val="left"/>
    </w:lvl>
  </w:abstractNum>
  <w:abstractNum w:abstractNumId="1493" w15:restartNumberingAfterBreak="0">
    <w:nsid w:val="732D5900"/>
    <w:multiLevelType w:val="hybridMultilevel"/>
    <w:tmpl w:val="2018821C"/>
    <w:lvl w:ilvl="0" w:tplc="DFBCE1E2">
      <w:start w:val="1"/>
      <w:numFmt w:val="bullet"/>
      <w:lvlText w:val=""/>
      <w:lvlJc w:val="left"/>
      <w:pPr>
        <w:ind w:left="720" w:hanging="180"/>
      </w:pPr>
      <w:rPr>
        <w:rFonts w:ascii="Symbol" w:hAnsi="Symbol" w:hint="default"/>
      </w:rPr>
    </w:lvl>
    <w:lvl w:ilvl="1" w:tplc="3D2AE7C2">
      <w:numFmt w:val="decimal"/>
      <w:lvlText w:val=""/>
      <w:lvlJc w:val="left"/>
    </w:lvl>
    <w:lvl w:ilvl="2" w:tplc="8FD682F8">
      <w:numFmt w:val="decimal"/>
      <w:lvlText w:val=""/>
      <w:lvlJc w:val="left"/>
    </w:lvl>
    <w:lvl w:ilvl="3" w:tplc="00C84EB2">
      <w:numFmt w:val="decimal"/>
      <w:lvlText w:val=""/>
      <w:lvlJc w:val="left"/>
    </w:lvl>
    <w:lvl w:ilvl="4" w:tplc="838C2C96">
      <w:numFmt w:val="decimal"/>
      <w:lvlText w:val=""/>
      <w:lvlJc w:val="left"/>
    </w:lvl>
    <w:lvl w:ilvl="5" w:tplc="FD626644">
      <w:numFmt w:val="decimal"/>
      <w:lvlText w:val=""/>
      <w:lvlJc w:val="left"/>
    </w:lvl>
    <w:lvl w:ilvl="6" w:tplc="D95A1148">
      <w:numFmt w:val="decimal"/>
      <w:lvlText w:val=""/>
      <w:lvlJc w:val="left"/>
    </w:lvl>
    <w:lvl w:ilvl="7" w:tplc="3D64ACB0">
      <w:numFmt w:val="decimal"/>
      <w:lvlText w:val=""/>
      <w:lvlJc w:val="left"/>
    </w:lvl>
    <w:lvl w:ilvl="8" w:tplc="8D20A57C">
      <w:numFmt w:val="decimal"/>
      <w:lvlText w:val=""/>
      <w:lvlJc w:val="left"/>
    </w:lvl>
  </w:abstractNum>
  <w:abstractNum w:abstractNumId="1494" w15:restartNumberingAfterBreak="0">
    <w:nsid w:val="733E5403"/>
    <w:multiLevelType w:val="hybridMultilevel"/>
    <w:tmpl w:val="58922EDC"/>
    <w:lvl w:ilvl="0" w:tplc="FC004140">
      <w:start w:val="1"/>
      <w:numFmt w:val="bullet"/>
      <w:lvlText w:val=""/>
      <w:lvlJc w:val="left"/>
      <w:pPr>
        <w:ind w:left="720" w:hanging="180"/>
      </w:pPr>
      <w:rPr>
        <w:rFonts w:ascii="Symbol" w:hAnsi="Symbol" w:hint="default"/>
      </w:rPr>
    </w:lvl>
    <w:lvl w:ilvl="1" w:tplc="B1269A46">
      <w:numFmt w:val="decimal"/>
      <w:lvlText w:val=""/>
      <w:lvlJc w:val="left"/>
    </w:lvl>
    <w:lvl w:ilvl="2" w:tplc="0E18EC36">
      <w:numFmt w:val="decimal"/>
      <w:lvlText w:val=""/>
      <w:lvlJc w:val="left"/>
    </w:lvl>
    <w:lvl w:ilvl="3" w:tplc="7AE4E4D2">
      <w:numFmt w:val="decimal"/>
      <w:lvlText w:val=""/>
      <w:lvlJc w:val="left"/>
    </w:lvl>
    <w:lvl w:ilvl="4" w:tplc="E02EDE4C">
      <w:numFmt w:val="decimal"/>
      <w:lvlText w:val=""/>
      <w:lvlJc w:val="left"/>
    </w:lvl>
    <w:lvl w:ilvl="5" w:tplc="AD284D0E">
      <w:numFmt w:val="decimal"/>
      <w:lvlText w:val=""/>
      <w:lvlJc w:val="left"/>
    </w:lvl>
    <w:lvl w:ilvl="6" w:tplc="7F44E938">
      <w:numFmt w:val="decimal"/>
      <w:lvlText w:val=""/>
      <w:lvlJc w:val="left"/>
    </w:lvl>
    <w:lvl w:ilvl="7" w:tplc="A50C3FE6">
      <w:numFmt w:val="decimal"/>
      <w:lvlText w:val=""/>
      <w:lvlJc w:val="left"/>
    </w:lvl>
    <w:lvl w:ilvl="8" w:tplc="ECA63E34">
      <w:numFmt w:val="decimal"/>
      <w:lvlText w:val=""/>
      <w:lvlJc w:val="left"/>
    </w:lvl>
  </w:abstractNum>
  <w:abstractNum w:abstractNumId="1495" w15:restartNumberingAfterBreak="0">
    <w:nsid w:val="7357178B"/>
    <w:multiLevelType w:val="hybridMultilevel"/>
    <w:tmpl w:val="DA7EB2EA"/>
    <w:lvl w:ilvl="0" w:tplc="4FBC69FE">
      <w:start w:val="1"/>
      <w:numFmt w:val="bullet"/>
      <w:lvlText w:val=""/>
      <w:lvlJc w:val="left"/>
      <w:pPr>
        <w:ind w:left="720" w:hanging="180"/>
      </w:pPr>
      <w:rPr>
        <w:rFonts w:ascii="Symbol" w:hAnsi="Symbol" w:hint="default"/>
      </w:rPr>
    </w:lvl>
    <w:lvl w:ilvl="1" w:tplc="B49AFBC6">
      <w:numFmt w:val="decimal"/>
      <w:lvlText w:val=""/>
      <w:lvlJc w:val="left"/>
    </w:lvl>
    <w:lvl w:ilvl="2" w:tplc="7960EB0A">
      <w:numFmt w:val="decimal"/>
      <w:lvlText w:val=""/>
      <w:lvlJc w:val="left"/>
    </w:lvl>
    <w:lvl w:ilvl="3" w:tplc="6B203620">
      <w:numFmt w:val="decimal"/>
      <w:lvlText w:val=""/>
      <w:lvlJc w:val="left"/>
    </w:lvl>
    <w:lvl w:ilvl="4" w:tplc="DA1C091A">
      <w:numFmt w:val="decimal"/>
      <w:lvlText w:val=""/>
      <w:lvlJc w:val="left"/>
    </w:lvl>
    <w:lvl w:ilvl="5" w:tplc="7DD49C7C">
      <w:numFmt w:val="decimal"/>
      <w:lvlText w:val=""/>
      <w:lvlJc w:val="left"/>
    </w:lvl>
    <w:lvl w:ilvl="6" w:tplc="EF263FCA">
      <w:numFmt w:val="decimal"/>
      <w:lvlText w:val=""/>
      <w:lvlJc w:val="left"/>
    </w:lvl>
    <w:lvl w:ilvl="7" w:tplc="78388EE6">
      <w:numFmt w:val="decimal"/>
      <w:lvlText w:val=""/>
      <w:lvlJc w:val="left"/>
    </w:lvl>
    <w:lvl w:ilvl="8" w:tplc="7206E768">
      <w:numFmt w:val="decimal"/>
      <w:lvlText w:val=""/>
      <w:lvlJc w:val="left"/>
    </w:lvl>
  </w:abstractNum>
  <w:abstractNum w:abstractNumId="1496" w15:restartNumberingAfterBreak="0">
    <w:nsid w:val="735F4CCB"/>
    <w:multiLevelType w:val="hybridMultilevel"/>
    <w:tmpl w:val="BB7E87D6"/>
    <w:lvl w:ilvl="0" w:tplc="89CE2668">
      <w:start w:val="1"/>
      <w:numFmt w:val="bullet"/>
      <w:lvlText w:val=""/>
      <w:lvlJc w:val="left"/>
      <w:pPr>
        <w:ind w:left="720" w:hanging="180"/>
      </w:pPr>
      <w:rPr>
        <w:rFonts w:ascii="Symbol" w:hAnsi="Symbol" w:hint="default"/>
      </w:rPr>
    </w:lvl>
    <w:lvl w:ilvl="1" w:tplc="AE407576">
      <w:numFmt w:val="decimal"/>
      <w:lvlText w:val=""/>
      <w:lvlJc w:val="left"/>
    </w:lvl>
    <w:lvl w:ilvl="2" w:tplc="A92C99C2">
      <w:numFmt w:val="decimal"/>
      <w:lvlText w:val=""/>
      <w:lvlJc w:val="left"/>
    </w:lvl>
    <w:lvl w:ilvl="3" w:tplc="53D45F48">
      <w:numFmt w:val="decimal"/>
      <w:lvlText w:val=""/>
      <w:lvlJc w:val="left"/>
    </w:lvl>
    <w:lvl w:ilvl="4" w:tplc="AF1EB5FE">
      <w:numFmt w:val="decimal"/>
      <w:lvlText w:val=""/>
      <w:lvlJc w:val="left"/>
    </w:lvl>
    <w:lvl w:ilvl="5" w:tplc="5FA81CE6">
      <w:numFmt w:val="decimal"/>
      <w:lvlText w:val=""/>
      <w:lvlJc w:val="left"/>
    </w:lvl>
    <w:lvl w:ilvl="6" w:tplc="E3EA204C">
      <w:numFmt w:val="decimal"/>
      <w:lvlText w:val=""/>
      <w:lvlJc w:val="left"/>
    </w:lvl>
    <w:lvl w:ilvl="7" w:tplc="5A1AF010">
      <w:numFmt w:val="decimal"/>
      <w:lvlText w:val=""/>
      <w:lvlJc w:val="left"/>
    </w:lvl>
    <w:lvl w:ilvl="8" w:tplc="5A968F2A">
      <w:numFmt w:val="decimal"/>
      <w:lvlText w:val=""/>
      <w:lvlJc w:val="left"/>
    </w:lvl>
  </w:abstractNum>
  <w:abstractNum w:abstractNumId="1497" w15:restartNumberingAfterBreak="0">
    <w:nsid w:val="738164C9"/>
    <w:multiLevelType w:val="hybridMultilevel"/>
    <w:tmpl w:val="8F8ED2CE"/>
    <w:lvl w:ilvl="0" w:tplc="E73CB064">
      <w:start w:val="1"/>
      <w:numFmt w:val="bullet"/>
      <w:lvlText w:val=""/>
      <w:lvlJc w:val="left"/>
      <w:pPr>
        <w:ind w:left="720" w:hanging="180"/>
      </w:pPr>
      <w:rPr>
        <w:rFonts w:ascii="Symbol" w:hAnsi="Symbol" w:hint="default"/>
      </w:rPr>
    </w:lvl>
    <w:lvl w:ilvl="1" w:tplc="659A35CE">
      <w:numFmt w:val="decimal"/>
      <w:lvlText w:val=""/>
      <w:lvlJc w:val="left"/>
    </w:lvl>
    <w:lvl w:ilvl="2" w:tplc="B0B6B7C8">
      <w:numFmt w:val="decimal"/>
      <w:lvlText w:val=""/>
      <w:lvlJc w:val="left"/>
    </w:lvl>
    <w:lvl w:ilvl="3" w:tplc="0F48B68E">
      <w:numFmt w:val="decimal"/>
      <w:lvlText w:val=""/>
      <w:lvlJc w:val="left"/>
    </w:lvl>
    <w:lvl w:ilvl="4" w:tplc="FEA0FF6C">
      <w:numFmt w:val="decimal"/>
      <w:lvlText w:val=""/>
      <w:lvlJc w:val="left"/>
    </w:lvl>
    <w:lvl w:ilvl="5" w:tplc="9042C828">
      <w:numFmt w:val="decimal"/>
      <w:lvlText w:val=""/>
      <w:lvlJc w:val="left"/>
    </w:lvl>
    <w:lvl w:ilvl="6" w:tplc="59B27A0A">
      <w:numFmt w:val="decimal"/>
      <w:lvlText w:val=""/>
      <w:lvlJc w:val="left"/>
    </w:lvl>
    <w:lvl w:ilvl="7" w:tplc="2F2AAFCA">
      <w:numFmt w:val="decimal"/>
      <w:lvlText w:val=""/>
      <w:lvlJc w:val="left"/>
    </w:lvl>
    <w:lvl w:ilvl="8" w:tplc="49BE4BEC">
      <w:numFmt w:val="decimal"/>
      <w:lvlText w:val=""/>
      <w:lvlJc w:val="left"/>
    </w:lvl>
  </w:abstractNum>
  <w:abstractNum w:abstractNumId="1498" w15:restartNumberingAfterBreak="0">
    <w:nsid w:val="73845B64"/>
    <w:multiLevelType w:val="hybridMultilevel"/>
    <w:tmpl w:val="8F80BF62"/>
    <w:lvl w:ilvl="0" w:tplc="C376FD84">
      <w:start w:val="1"/>
      <w:numFmt w:val="bullet"/>
      <w:lvlText w:val=""/>
      <w:lvlJc w:val="left"/>
      <w:pPr>
        <w:ind w:left="720" w:hanging="180"/>
      </w:pPr>
      <w:rPr>
        <w:rFonts w:ascii="Symbol" w:hAnsi="Symbol" w:hint="default"/>
      </w:rPr>
    </w:lvl>
    <w:lvl w:ilvl="1" w:tplc="72F8294C">
      <w:numFmt w:val="decimal"/>
      <w:lvlText w:val=""/>
      <w:lvlJc w:val="left"/>
    </w:lvl>
    <w:lvl w:ilvl="2" w:tplc="AE8CD9B4">
      <w:numFmt w:val="decimal"/>
      <w:lvlText w:val=""/>
      <w:lvlJc w:val="left"/>
    </w:lvl>
    <w:lvl w:ilvl="3" w:tplc="48902362">
      <w:numFmt w:val="decimal"/>
      <w:lvlText w:val=""/>
      <w:lvlJc w:val="left"/>
    </w:lvl>
    <w:lvl w:ilvl="4" w:tplc="D93A3F8E">
      <w:numFmt w:val="decimal"/>
      <w:lvlText w:val=""/>
      <w:lvlJc w:val="left"/>
    </w:lvl>
    <w:lvl w:ilvl="5" w:tplc="AD22A0AC">
      <w:numFmt w:val="decimal"/>
      <w:lvlText w:val=""/>
      <w:lvlJc w:val="left"/>
    </w:lvl>
    <w:lvl w:ilvl="6" w:tplc="7E26E76C">
      <w:numFmt w:val="decimal"/>
      <w:lvlText w:val=""/>
      <w:lvlJc w:val="left"/>
    </w:lvl>
    <w:lvl w:ilvl="7" w:tplc="A3E8AA9C">
      <w:numFmt w:val="decimal"/>
      <w:lvlText w:val=""/>
      <w:lvlJc w:val="left"/>
    </w:lvl>
    <w:lvl w:ilvl="8" w:tplc="D86EAE26">
      <w:numFmt w:val="decimal"/>
      <w:lvlText w:val=""/>
      <w:lvlJc w:val="left"/>
    </w:lvl>
  </w:abstractNum>
  <w:abstractNum w:abstractNumId="1499" w15:restartNumberingAfterBreak="0">
    <w:nsid w:val="73931162"/>
    <w:multiLevelType w:val="hybridMultilevel"/>
    <w:tmpl w:val="0E506922"/>
    <w:lvl w:ilvl="0" w:tplc="B9E4FFD2">
      <w:start w:val="1"/>
      <w:numFmt w:val="bullet"/>
      <w:lvlText w:val=""/>
      <w:lvlJc w:val="left"/>
      <w:pPr>
        <w:ind w:left="720" w:hanging="180"/>
      </w:pPr>
      <w:rPr>
        <w:rFonts w:ascii="Symbol" w:hAnsi="Symbol" w:hint="default"/>
      </w:rPr>
    </w:lvl>
    <w:lvl w:ilvl="1" w:tplc="E3AE115C">
      <w:numFmt w:val="decimal"/>
      <w:lvlText w:val=""/>
      <w:lvlJc w:val="left"/>
    </w:lvl>
    <w:lvl w:ilvl="2" w:tplc="55004EE2">
      <w:numFmt w:val="decimal"/>
      <w:lvlText w:val=""/>
      <w:lvlJc w:val="left"/>
    </w:lvl>
    <w:lvl w:ilvl="3" w:tplc="B518D86E">
      <w:numFmt w:val="decimal"/>
      <w:lvlText w:val=""/>
      <w:lvlJc w:val="left"/>
    </w:lvl>
    <w:lvl w:ilvl="4" w:tplc="90BAC7B2">
      <w:numFmt w:val="decimal"/>
      <w:lvlText w:val=""/>
      <w:lvlJc w:val="left"/>
    </w:lvl>
    <w:lvl w:ilvl="5" w:tplc="A8C872C4">
      <w:numFmt w:val="decimal"/>
      <w:lvlText w:val=""/>
      <w:lvlJc w:val="left"/>
    </w:lvl>
    <w:lvl w:ilvl="6" w:tplc="6812E16E">
      <w:numFmt w:val="decimal"/>
      <w:lvlText w:val=""/>
      <w:lvlJc w:val="left"/>
    </w:lvl>
    <w:lvl w:ilvl="7" w:tplc="D242B3E8">
      <w:numFmt w:val="decimal"/>
      <w:lvlText w:val=""/>
      <w:lvlJc w:val="left"/>
    </w:lvl>
    <w:lvl w:ilvl="8" w:tplc="4C92E8F0">
      <w:numFmt w:val="decimal"/>
      <w:lvlText w:val=""/>
      <w:lvlJc w:val="left"/>
    </w:lvl>
  </w:abstractNum>
  <w:abstractNum w:abstractNumId="1500" w15:restartNumberingAfterBreak="0">
    <w:nsid w:val="73A30761"/>
    <w:multiLevelType w:val="hybridMultilevel"/>
    <w:tmpl w:val="78749870"/>
    <w:lvl w:ilvl="0" w:tplc="AB94BD40">
      <w:start w:val="1"/>
      <w:numFmt w:val="bullet"/>
      <w:lvlText w:val=""/>
      <w:lvlJc w:val="left"/>
      <w:pPr>
        <w:ind w:left="720" w:hanging="180"/>
      </w:pPr>
      <w:rPr>
        <w:rFonts w:ascii="Symbol" w:hAnsi="Symbol" w:hint="default"/>
      </w:rPr>
    </w:lvl>
    <w:lvl w:ilvl="1" w:tplc="BB0C3118">
      <w:numFmt w:val="decimal"/>
      <w:lvlText w:val=""/>
      <w:lvlJc w:val="left"/>
    </w:lvl>
    <w:lvl w:ilvl="2" w:tplc="D5B4D9AA">
      <w:numFmt w:val="decimal"/>
      <w:lvlText w:val=""/>
      <w:lvlJc w:val="left"/>
    </w:lvl>
    <w:lvl w:ilvl="3" w:tplc="D6BEF166">
      <w:numFmt w:val="decimal"/>
      <w:lvlText w:val=""/>
      <w:lvlJc w:val="left"/>
    </w:lvl>
    <w:lvl w:ilvl="4" w:tplc="5762D4A2">
      <w:numFmt w:val="decimal"/>
      <w:lvlText w:val=""/>
      <w:lvlJc w:val="left"/>
    </w:lvl>
    <w:lvl w:ilvl="5" w:tplc="FCEEDC46">
      <w:numFmt w:val="decimal"/>
      <w:lvlText w:val=""/>
      <w:lvlJc w:val="left"/>
    </w:lvl>
    <w:lvl w:ilvl="6" w:tplc="E4F6711C">
      <w:numFmt w:val="decimal"/>
      <w:lvlText w:val=""/>
      <w:lvlJc w:val="left"/>
    </w:lvl>
    <w:lvl w:ilvl="7" w:tplc="B6348406">
      <w:numFmt w:val="decimal"/>
      <w:lvlText w:val=""/>
      <w:lvlJc w:val="left"/>
    </w:lvl>
    <w:lvl w:ilvl="8" w:tplc="50F4FA26">
      <w:numFmt w:val="decimal"/>
      <w:lvlText w:val=""/>
      <w:lvlJc w:val="left"/>
    </w:lvl>
  </w:abstractNum>
  <w:abstractNum w:abstractNumId="1501" w15:restartNumberingAfterBreak="0">
    <w:nsid w:val="73A70DC4"/>
    <w:multiLevelType w:val="hybridMultilevel"/>
    <w:tmpl w:val="A612B0E4"/>
    <w:lvl w:ilvl="0" w:tplc="BD760E36">
      <w:start w:val="1"/>
      <w:numFmt w:val="bullet"/>
      <w:lvlText w:val=""/>
      <w:lvlJc w:val="left"/>
      <w:pPr>
        <w:ind w:left="720" w:hanging="180"/>
      </w:pPr>
      <w:rPr>
        <w:rFonts w:ascii="Symbol" w:hAnsi="Symbol" w:hint="default"/>
      </w:rPr>
    </w:lvl>
    <w:lvl w:ilvl="1" w:tplc="7324962C">
      <w:numFmt w:val="decimal"/>
      <w:lvlText w:val=""/>
      <w:lvlJc w:val="left"/>
    </w:lvl>
    <w:lvl w:ilvl="2" w:tplc="9ED2448E">
      <w:numFmt w:val="decimal"/>
      <w:lvlText w:val=""/>
      <w:lvlJc w:val="left"/>
    </w:lvl>
    <w:lvl w:ilvl="3" w:tplc="6A6050CA">
      <w:numFmt w:val="decimal"/>
      <w:lvlText w:val=""/>
      <w:lvlJc w:val="left"/>
    </w:lvl>
    <w:lvl w:ilvl="4" w:tplc="CB2CF86E">
      <w:numFmt w:val="decimal"/>
      <w:lvlText w:val=""/>
      <w:lvlJc w:val="left"/>
    </w:lvl>
    <w:lvl w:ilvl="5" w:tplc="5A9C86F4">
      <w:numFmt w:val="decimal"/>
      <w:lvlText w:val=""/>
      <w:lvlJc w:val="left"/>
    </w:lvl>
    <w:lvl w:ilvl="6" w:tplc="A2B0ED46">
      <w:numFmt w:val="decimal"/>
      <w:lvlText w:val=""/>
      <w:lvlJc w:val="left"/>
    </w:lvl>
    <w:lvl w:ilvl="7" w:tplc="205021A8">
      <w:numFmt w:val="decimal"/>
      <w:lvlText w:val=""/>
      <w:lvlJc w:val="left"/>
    </w:lvl>
    <w:lvl w:ilvl="8" w:tplc="A516E524">
      <w:numFmt w:val="decimal"/>
      <w:lvlText w:val=""/>
      <w:lvlJc w:val="left"/>
    </w:lvl>
  </w:abstractNum>
  <w:abstractNum w:abstractNumId="1502" w15:restartNumberingAfterBreak="0">
    <w:nsid w:val="73A84192"/>
    <w:multiLevelType w:val="hybridMultilevel"/>
    <w:tmpl w:val="8B327FAA"/>
    <w:lvl w:ilvl="0" w:tplc="182EDFDE">
      <w:start w:val="1"/>
      <w:numFmt w:val="bullet"/>
      <w:lvlText w:val=""/>
      <w:lvlJc w:val="left"/>
      <w:pPr>
        <w:ind w:left="720" w:hanging="180"/>
      </w:pPr>
      <w:rPr>
        <w:rFonts w:ascii="Symbol" w:hAnsi="Symbol" w:hint="default"/>
      </w:rPr>
    </w:lvl>
    <w:lvl w:ilvl="1" w:tplc="E272DF10">
      <w:numFmt w:val="decimal"/>
      <w:lvlText w:val=""/>
      <w:lvlJc w:val="left"/>
    </w:lvl>
    <w:lvl w:ilvl="2" w:tplc="ED8E2174">
      <w:numFmt w:val="decimal"/>
      <w:lvlText w:val=""/>
      <w:lvlJc w:val="left"/>
    </w:lvl>
    <w:lvl w:ilvl="3" w:tplc="EB5CD532">
      <w:numFmt w:val="decimal"/>
      <w:lvlText w:val=""/>
      <w:lvlJc w:val="left"/>
    </w:lvl>
    <w:lvl w:ilvl="4" w:tplc="9F1C663E">
      <w:numFmt w:val="decimal"/>
      <w:lvlText w:val=""/>
      <w:lvlJc w:val="left"/>
    </w:lvl>
    <w:lvl w:ilvl="5" w:tplc="CDE8C038">
      <w:numFmt w:val="decimal"/>
      <w:lvlText w:val=""/>
      <w:lvlJc w:val="left"/>
    </w:lvl>
    <w:lvl w:ilvl="6" w:tplc="ACB4F62A">
      <w:numFmt w:val="decimal"/>
      <w:lvlText w:val=""/>
      <w:lvlJc w:val="left"/>
    </w:lvl>
    <w:lvl w:ilvl="7" w:tplc="4CEED95C">
      <w:numFmt w:val="decimal"/>
      <w:lvlText w:val=""/>
      <w:lvlJc w:val="left"/>
    </w:lvl>
    <w:lvl w:ilvl="8" w:tplc="5644F706">
      <w:numFmt w:val="decimal"/>
      <w:lvlText w:val=""/>
      <w:lvlJc w:val="left"/>
    </w:lvl>
  </w:abstractNum>
  <w:abstractNum w:abstractNumId="1503" w15:restartNumberingAfterBreak="0">
    <w:nsid w:val="73AE3C2C"/>
    <w:multiLevelType w:val="hybridMultilevel"/>
    <w:tmpl w:val="6BC8362C"/>
    <w:lvl w:ilvl="0" w:tplc="BCBE62A8">
      <w:start w:val="1"/>
      <w:numFmt w:val="bullet"/>
      <w:lvlText w:val=""/>
      <w:lvlJc w:val="left"/>
      <w:pPr>
        <w:ind w:left="720" w:hanging="180"/>
      </w:pPr>
      <w:rPr>
        <w:rFonts w:ascii="Symbol" w:hAnsi="Symbol" w:hint="default"/>
      </w:rPr>
    </w:lvl>
    <w:lvl w:ilvl="1" w:tplc="6552911A">
      <w:numFmt w:val="decimal"/>
      <w:lvlText w:val=""/>
      <w:lvlJc w:val="left"/>
    </w:lvl>
    <w:lvl w:ilvl="2" w:tplc="F4A6362E">
      <w:numFmt w:val="decimal"/>
      <w:lvlText w:val=""/>
      <w:lvlJc w:val="left"/>
    </w:lvl>
    <w:lvl w:ilvl="3" w:tplc="D2801F14">
      <w:numFmt w:val="decimal"/>
      <w:lvlText w:val=""/>
      <w:lvlJc w:val="left"/>
    </w:lvl>
    <w:lvl w:ilvl="4" w:tplc="9F7E10D0">
      <w:numFmt w:val="decimal"/>
      <w:lvlText w:val=""/>
      <w:lvlJc w:val="left"/>
    </w:lvl>
    <w:lvl w:ilvl="5" w:tplc="74042B10">
      <w:numFmt w:val="decimal"/>
      <w:lvlText w:val=""/>
      <w:lvlJc w:val="left"/>
    </w:lvl>
    <w:lvl w:ilvl="6" w:tplc="6030A3CA">
      <w:numFmt w:val="decimal"/>
      <w:lvlText w:val=""/>
      <w:lvlJc w:val="left"/>
    </w:lvl>
    <w:lvl w:ilvl="7" w:tplc="2A765F72">
      <w:numFmt w:val="decimal"/>
      <w:lvlText w:val=""/>
      <w:lvlJc w:val="left"/>
    </w:lvl>
    <w:lvl w:ilvl="8" w:tplc="06B2243E">
      <w:numFmt w:val="decimal"/>
      <w:lvlText w:val=""/>
      <w:lvlJc w:val="left"/>
    </w:lvl>
  </w:abstractNum>
  <w:abstractNum w:abstractNumId="1504" w15:restartNumberingAfterBreak="0">
    <w:nsid w:val="73B81E96"/>
    <w:multiLevelType w:val="hybridMultilevel"/>
    <w:tmpl w:val="2200BE1A"/>
    <w:lvl w:ilvl="0" w:tplc="A2DE8804">
      <w:start w:val="1"/>
      <w:numFmt w:val="bullet"/>
      <w:lvlText w:val=""/>
      <w:lvlJc w:val="left"/>
      <w:pPr>
        <w:ind w:left="720" w:hanging="180"/>
      </w:pPr>
      <w:rPr>
        <w:rFonts w:ascii="Symbol" w:hAnsi="Symbol" w:hint="default"/>
      </w:rPr>
    </w:lvl>
    <w:lvl w:ilvl="1" w:tplc="75A0E00A">
      <w:numFmt w:val="decimal"/>
      <w:lvlText w:val=""/>
      <w:lvlJc w:val="left"/>
    </w:lvl>
    <w:lvl w:ilvl="2" w:tplc="64848F8C">
      <w:numFmt w:val="decimal"/>
      <w:lvlText w:val=""/>
      <w:lvlJc w:val="left"/>
    </w:lvl>
    <w:lvl w:ilvl="3" w:tplc="9A542952">
      <w:numFmt w:val="decimal"/>
      <w:lvlText w:val=""/>
      <w:lvlJc w:val="left"/>
    </w:lvl>
    <w:lvl w:ilvl="4" w:tplc="B4166788">
      <w:numFmt w:val="decimal"/>
      <w:lvlText w:val=""/>
      <w:lvlJc w:val="left"/>
    </w:lvl>
    <w:lvl w:ilvl="5" w:tplc="2214D182">
      <w:numFmt w:val="decimal"/>
      <w:lvlText w:val=""/>
      <w:lvlJc w:val="left"/>
    </w:lvl>
    <w:lvl w:ilvl="6" w:tplc="FE709EE2">
      <w:numFmt w:val="decimal"/>
      <w:lvlText w:val=""/>
      <w:lvlJc w:val="left"/>
    </w:lvl>
    <w:lvl w:ilvl="7" w:tplc="C832CA02">
      <w:numFmt w:val="decimal"/>
      <w:lvlText w:val=""/>
      <w:lvlJc w:val="left"/>
    </w:lvl>
    <w:lvl w:ilvl="8" w:tplc="6D98FE44">
      <w:numFmt w:val="decimal"/>
      <w:lvlText w:val=""/>
      <w:lvlJc w:val="left"/>
    </w:lvl>
  </w:abstractNum>
  <w:abstractNum w:abstractNumId="1505" w15:restartNumberingAfterBreak="0">
    <w:nsid w:val="73BD5930"/>
    <w:multiLevelType w:val="hybridMultilevel"/>
    <w:tmpl w:val="81D69662"/>
    <w:lvl w:ilvl="0" w:tplc="BFCA1A0C">
      <w:start w:val="1"/>
      <w:numFmt w:val="bullet"/>
      <w:lvlText w:val=""/>
      <w:lvlJc w:val="left"/>
      <w:pPr>
        <w:ind w:left="720" w:hanging="180"/>
      </w:pPr>
      <w:rPr>
        <w:rFonts w:ascii="Symbol" w:hAnsi="Symbol" w:hint="default"/>
      </w:rPr>
    </w:lvl>
    <w:lvl w:ilvl="1" w:tplc="850A5D28">
      <w:numFmt w:val="decimal"/>
      <w:lvlText w:val=""/>
      <w:lvlJc w:val="left"/>
    </w:lvl>
    <w:lvl w:ilvl="2" w:tplc="52887DB8">
      <w:numFmt w:val="decimal"/>
      <w:lvlText w:val=""/>
      <w:lvlJc w:val="left"/>
    </w:lvl>
    <w:lvl w:ilvl="3" w:tplc="98848B50">
      <w:numFmt w:val="decimal"/>
      <w:lvlText w:val=""/>
      <w:lvlJc w:val="left"/>
    </w:lvl>
    <w:lvl w:ilvl="4" w:tplc="E0603EE4">
      <w:numFmt w:val="decimal"/>
      <w:lvlText w:val=""/>
      <w:lvlJc w:val="left"/>
    </w:lvl>
    <w:lvl w:ilvl="5" w:tplc="35C65F08">
      <w:numFmt w:val="decimal"/>
      <w:lvlText w:val=""/>
      <w:lvlJc w:val="left"/>
    </w:lvl>
    <w:lvl w:ilvl="6" w:tplc="13C6FEAA">
      <w:numFmt w:val="decimal"/>
      <w:lvlText w:val=""/>
      <w:lvlJc w:val="left"/>
    </w:lvl>
    <w:lvl w:ilvl="7" w:tplc="8306F4D2">
      <w:numFmt w:val="decimal"/>
      <w:lvlText w:val=""/>
      <w:lvlJc w:val="left"/>
    </w:lvl>
    <w:lvl w:ilvl="8" w:tplc="CF628620">
      <w:numFmt w:val="decimal"/>
      <w:lvlText w:val=""/>
      <w:lvlJc w:val="left"/>
    </w:lvl>
  </w:abstractNum>
  <w:abstractNum w:abstractNumId="1506" w15:restartNumberingAfterBreak="0">
    <w:nsid w:val="73CD4924"/>
    <w:multiLevelType w:val="hybridMultilevel"/>
    <w:tmpl w:val="595442BA"/>
    <w:lvl w:ilvl="0" w:tplc="3B5A6D84">
      <w:start w:val="1"/>
      <w:numFmt w:val="bullet"/>
      <w:lvlText w:val=""/>
      <w:lvlJc w:val="left"/>
      <w:pPr>
        <w:ind w:left="720" w:hanging="180"/>
      </w:pPr>
      <w:rPr>
        <w:rFonts w:ascii="Symbol" w:hAnsi="Symbol" w:hint="default"/>
      </w:rPr>
    </w:lvl>
    <w:lvl w:ilvl="1" w:tplc="ECF292C4">
      <w:numFmt w:val="decimal"/>
      <w:lvlText w:val=""/>
      <w:lvlJc w:val="left"/>
    </w:lvl>
    <w:lvl w:ilvl="2" w:tplc="E6F036D8">
      <w:numFmt w:val="decimal"/>
      <w:lvlText w:val=""/>
      <w:lvlJc w:val="left"/>
    </w:lvl>
    <w:lvl w:ilvl="3" w:tplc="66EA9D9A">
      <w:numFmt w:val="decimal"/>
      <w:lvlText w:val=""/>
      <w:lvlJc w:val="left"/>
    </w:lvl>
    <w:lvl w:ilvl="4" w:tplc="91725E0E">
      <w:numFmt w:val="decimal"/>
      <w:lvlText w:val=""/>
      <w:lvlJc w:val="left"/>
    </w:lvl>
    <w:lvl w:ilvl="5" w:tplc="9FB0BA82">
      <w:numFmt w:val="decimal"/>
      <w:lvlText w:val=""/>
      <w:lvlJc w:val="left"/>
    </w:lvl>
    <w:lvl w:ilvl="6" w:tplc="B6D4958C">
      <w:numFmt w:val="decimal"/>
      <w:lvlText w:val=""/>
      <w:lvlJc w:val="left"/>
    </w:lvl>
    <w:lvl w:ilvl="7" w:tplc="9AC2815E">
      <w:numFmt w:val="decimal"/>
      <w:lvlText w:val=""/>
      <w:lvlJc w:val="left"/>
    </w:lvl>
    <w:lvl w:ilvl="8" w:tplc="8500CE76">
      <w:numFmt w:val="decimal"/>
      <w:lvlText w:val=""/>
      <w:lvlJc w:val="left"/>
    </w:lvl>
  </w:abstractNum>
  <w:abstractNum w:abstractNumId="1507" w15:restartNumberingAfterBreak="0">
    <w:nsid w:val="73E60AF1"/>
    <w:multiLevelType w:val="hybridMultilevel"/>
    <w:tmpl w:val="01D483BC"/>
    <w:lvl w:ilvl="0" w:tplc="251867F2">
      <w:start w:val="1"/>
      <w:numFmt w:val="bullet"/>
      <w:lvlText w:val=""/>
      <w:lvlJc w:val="left"/>
      <w:pPr>
        <w:ind w:left="720" w:hanging="180"/>
      </w:pPr>
      <w:rPr>
        <w:rFonts w:ascii="Symbol" w:hAnsi="Symbol" w:hint="default"/>
      </w:rPr>
    </w:lvl>
    <w:lvl w:ilvl="1" w:tplc="0C627C68">
      <w:numFmt w:val="decimal"/>
      <w:lvlText w:val=""/>
      <w:lvlJc w:val="left"/>
    </w:lvl>
    <w:lvl w:ilvl="2" w:tplc="41827CF6">
      <w:numFmt w:val="decimal"/>
      <w:lvlText w:val=""/>
      <w:lvlJc w:val="left"/>
    </w:lvl>
    <w:lvl w:ilvl="3" w:tplc="7DFCC41E">
      <w:numFmt w:val="decimal"/>
      <w:lvlText w:val=""/>
      <w:lvlJc w:val="left"/>
    </w:lvl>
    <w:lvl w:ilvl="4" w:tplc="455A11E0">
      <w:numFmt w:val="decimal"/>
      <w:lvlText w:val=""/>
      <w:lvlJc w:val="left"/>
    </w:lvl>
    <w:lvl w:ilvl="5" w:tplc="1A20BA34">
      <w:numFmt w:val="decimal"/>
      <w:lvlText w:val=""/>
      <w:lvlJc w:val="left"/>
    </w:lvl>
    <w:lvl w:ilvl="6" w:tplc="D2BC1D90">
      <w:numFmt w:val="decimal"/>
      <w:lvlText w:val=""/>
      <w:lvlJc w:val="left"/>
    </w:lvl>
    <w:lvl w:ilvl="7" w:tplc="90802392">
      <w:numFmt w:val="decimal"/>
      <w:lvlText w:val=""/>
      <w:lvlJc w:val="left"/>
    </w:lvl>
    <w:lvl w:ilvl="8" w:tplc="EF705DE4">
      <w:numFmt w:val="decimal"/>
      <w:lvlText w:val=""/>
      <w:lvlJc w:val="left"/>
    </w:lvl>
  </w:abstractNum>
  <w:abstractNum w:abstractNumId="1508" w15:restartNumberingAfterBreak="0">
    <w:nsid w:val="73F71CF5"/>
    <w:multiLevelType w:val="hybridMultilevel"/>
    <w:tmpl w:val="46B4BA60"/>
    <w:lvl w:ilvl="0" w:tplc="83F26F82">
      <w:start w:val="1"/>
      <w:numFmt w:val="bullet"/>
      <w:lvlText w:val=""/>
      <w:lvlJc w:val="left"/>
      <w:pPr>
        <w:ind w:left="720" w:hanging="180"/>
      </w:pPr>
      <w:rPr>
        <w:rFonts w:ascii="Symbol" w:hAnsi="Symbol" w:hint="default"/>
      </w:rPr>
    </w:lvl>
    <w:lvl w:ilvl="1" w:tplc="328CAA56">
      <w:numFmt w:val="decimal"/>
      <w:lvlText w:val=""/>
      <w:lvlJc w:val="left"/>
    </w:lvl>
    <w:lvl w:ilvl="2" w:tplc="4210AE0E">
      <w:numFmt w:val="decimal"/>
      <w:lvlText w:val=""/>
      <w:lvlJc w:val="left"/>
    </w:lvl>
    <w:lvl w:ilvl="3" w:tplc="CCC8C1CC">
      <w:numFmt w:val="decimal"/>
      <w:lvlText w:val=""/>
      <w:lvlJc w:val="left"/>
    </w:lvl>
    <w:lvl w:ilvl="4" w:tplc="2B52524A">
      <w:numFmt w:val="decimal"/>
      <w:lvlText w:val=""/>
      <w:lvlJc w:val="left"/>
    </w:lvl>
    <w:lvl w:ilvl="5" w:tplc="6D42EA9A">
      <w:numFmt w:val="decimal"/>
      <w:lvlText w:val=""/>
      <w:lvlJc w:val="left"/>
    </w:lvl>
    <w:lvl w:ilvl="6" w:tplc="CE4495C6">
      <w:numFmt w:val="decimal"/>
      <w:lvlText w:val=""/>
      <w:lvlJc w:val="left"/>
    </w:lvl>
    <w:lvl w:ilvl="7" w:tplc="4D94AD82">
      <w:numFmt w:val="decimal"/>
      <w:lvlText w:val=""/>
      <w:lvlJc w:val="left"/>
    </w:lvl>
    <w:lvl w:ilvl="8" w:tplc="C20E204E">
      <w:numFmt w:val="decimal"/>
      <w:lvlText w:val=""/>
      <w:lvlJc w:val="left"/>
    </w:lvl>
  </w:abstractNum>
  <w:abstractNum w:abstractNumId="1509" w15:restartNumberingAfterBreak="0">
    <w:nsid w:val="73F8361E"/>
    <w:multiLevelType w:val="hybridMultilevel"/>
    <w:tmpl w:val="A73E98CC"/>
    <w:lvl w:ilvl="0" w:tplc="5CBC22A0">
      <w:start w:val="1"/>
      <w:numFmt w:val="bullet"/>
      <w:lvlText w:val=""/>
      <w:lvlJc w:val="left"/>
      <w:pPr>
        <w:ind w:left="720" w:hanging="180"/>
      </w:pPr>
      <w:rPr>
        <w:rFonts w:ascii="Symbol" w:hAnsi="Symbol" w:hint="default"/>
      </w:rPr>
    </w:lvl>
    <w:lvl w:ilvl="1" w:tplc="B10228D0">
      <w:numFmt w:val="decimal"/>
      <w:lvlText w:val=""/>
      <w:lvlJc w:val="left"/>
    </w:lvl>
    <w:lvl w:ilvl="2" w:tplc="FE66200A">
      <w:numFmt w:val="decimal"/>
      <w:lvlText w:val=""/>
      <w:lvlJc w:val="left"/>
    </w:lvl>
    <w:lvl w:ilvl="3" w:tplc="A480559C">
      <w:numFmt w:val="decimal"/>
      <w:lvlText w:val=""/>
      <w:lvlJc w:val="left"/>
    </w:lvl>
    <w:lvl w:ilvl="4" w:tplc="C73AA36A">
      <w:numFmt w:val="decimal"/>
      <w:lvlText w:val=""/>
      <w:lvlJc w:val="left"/>
    </w:lvl>
    <w:lvl w:ilvl="5" w:tplc="BE4E4828">
      <w:numFmt w:val="decimal"/>
      <w:lvlText w:val=""/>
      <w:lvlJc w:val="left"/>
    </w:lvl>
    <w:lvl w:ilvl="6" w:tplc="7D00DE5C">
      <w:numFmt w:val="decimal"/>
      <w:lvlText w:val=""/>
      <w:lvlJc w:val="left"/>
    </w:lvl>
    <w:lvl w:ilvl="7" w:tplc="236E7DE2">
      <w:numFmt w:val="decimal"/>
      <w:lvlText w:val=""/>
      <w:lvlJc w:val="left"/>
    </w:lvl>
    <w:lvl w:ilvl="8" w:tplc="CA3C10D4">
      <w:numFmt w:val="decimal"/>
      <w:lvlText w:val=""/>
      <w:lvlJc w:val="left"/>
    </w:lvl>
  </w:abstractNum>
  <w:abstractNum w:abstractNumId="1510" w15:restartNumberingAfterBreak="0">
    <w:nsid w:val="73FE1B21"/>
    <w:multiLevelType w:val="hybridMultilevel"/>
    <w:tmpl w:val="F7B8FB96"/>
    <w:lvl w:ilvl="0" w:tplc="763A0EA2">
      <w:start w:val="1"/>
      <w:numFmt w:val="bullet"/>
      <w:lvlText w:val=""/>
      <w:lvlJc w:val="left"/>
      <w:pPr>
        <w:ind w:left="720" w:hanging="180"/>
      </w:pPr>
      <w:rPr>
        <w:rFonts w:ascii="Symbol" w:hAnsi="Symbol" w:hint="default"/>
      </w:rPr>
    </w:lvl>
    <w:lvl w:ilvl="1" w:tplc="BCC09F32">
      <w:numFmt w:val="decimal"/>
      <w:lvlText w:val=""/>
      <w:lvlJc w:val="left"/>
    </w:lvl>
    <w:lvl w:ilvl="2" w:tplc="D32AA84E">
      <w:numFmt w:val="decimal"/>
      <w:lvlText w:val=""/>
      <w:lvlJc w:val="left"/>
    </w:lvl>
    <w:lvl w:ilvl="3" w:tplc="4C8CE960">
      <w:numFmt w:val="decimal"/>
      <w:lvlText w:val=""/>
      <w:lvlJc w:val="left"/>
    </w:lvl>
    <w:lvl w:ilvl="4" w:tplc="C4EAE526">
      <w:numFmt w:val="decimal"/>
      <w:lvlText w:val=""/>
      <w:lvlJc w:val="left"/>
    </w:lvl>
    <w:lvl w:ilvl="5" w:tplc="9C304B2C">
      <w:numFmt w:val="decimal"/>
      <w:lvlText w:val=""/>
      <w:lvlJc w:val="left"/>
    </w:lvl>
    <w:lvl w:ilvl="6" w:tplc="28D4B6FA">
      <w:numFmt w:val="decimal"/>
      <w:lvlText w:val=""/>
      <w:lvlJc w:val="left"/>
    </w:lvl>
    <w:lvl w:ilvl="7" w:tplc="42BCA9EE">
      <w:numFmt w:val="decimal"/>
      <w:lvlText w:val=""/>
      <w:lvlJc w:val="left"/>
    </w:lvl>
    <w:lvl w:ilvl="8" w:tplc="89089314">
      <w:numFmt w:val="decimal"/>
      <w:lvlText w:val=""/>
      <w:lvlJc w:val="left"/>
    </w:lvl>
  </w:abstractNum>
  <w:abstractNum w:abstractNumId="1511" w15:restartNumberingAfterBreak="0">
    <w:nsid w:val="740956AD"/>
    <w:multiLevelType w:val="hybridMultilevel"/>
    <w:tmpl w:val="DAC688E2"/>
    <w:lvl w:ilvl="0" w:tplc="D43A74EE">
      <w:start w:val="1"/>
      <w:numFmt w:val="bullet"/>
      <w:lvlText w:val=""/>
      <w:lvlJc w:val="left"/>
      <w:pPr>
        <w:ind w:left="720" w:hanging="180"/>
      </w:pPr>
      <w:rPr>
        <w:rFonts w:ascii="Symbol" w:hAnsi="Symbol" w:hint="default"/>
      </w:rPr>
    </w:lvl>
    <w:lvl w:ilvl="1" w:tplc="3C2827E6">
      <w:numFmt w:val="decimal"/>
      <w:lvlText w:val=""/>
      <w:lvlJc w:val="left"/>
    </w:lvl>
    <w:lvl w:ilvl="2" w:tplc="EF6CB4DC">
      <w:numFmt w:val="decimal"/>
      <w:lvlText w:val=""/>
      <w:lvlJc w:val="left"/>
    </w:lvl>
    <w:lvl w:ilvl="3" w:tplc="CC6ABD94">
      <w:numFmt w:val="decimal"/>
      <w:lvlText w:val=""/>
      <w:lvlJc w:val="left"/>
    </w:lvl>
    <w:lvl w:ilvl="4" w:tplc="7B8AC122">
      <w:numFmt w:val="decimal"/>
      <w:lvlText w:val=""/>
      <w:lvlJc w:val="left"/>
    </w:lvl>
    <w:lvl w:ilvl="5" w:tplc="AF027562">
      <w:numFmt w:val="decimal"/>
      <w:lvlText w:val=""/>
      <w:lvlJc w:val="left"/>
    </w:lvl>
    <w:lvl w:ilvl="6" w:tplc="C908B14C">
      <w:numFmt w:val="decimal"/>
      <w:lvlText w:val=""/>
      <w:lvlJc w:val="left"/>
    </w:lvl>
    <w:lvl w:ilvl="7" w:tplc="31480B9A">
      <w:numFmt w:val="decimal"/>
      <w:lvlText w:val=""/>
      <w:lvlJc w:val="left"/>
    </w:lvl>
    <w:lvl w:ilvl="8" w:tplc="75EE9DD2">
      <w:numFmt w:val="decimal"/>
      <w:lvlText w:val=""/>
      <w:lvlJc w:val="left"/>
    </w:lvl>
  </w:abstractNum>
  <w:abstractNum w:abstractNumId="1512" w15:restartNumberingAfterBreak="0">
    <w:nsid w:val="740B2CE8"/>
    <w:multiLevelType w:val="hybridMultilevel"/>
    <w:tmpl w:val="0D7E0A6A"/>
    <w:lvl w:ilvl="0" w:tplc="E9225240">
      <w:start w:val="1"/>
      <w:numFmt w:val="bullet"/>
      <w:lvlText w:val=""/>
      <w:lvlJc w:val="left"/>
      <w:pPr>
        <w:ind w:left="720" w:hanging="180"/>
      </w:pPr>
      <w:rPr>
        <w:rFonts w:ascii="Symbol" w:hAnsi="Symbol" w:hint="default"/>
      </w:rPr>
    </w:lvl>
    <w:lvl w:ilvl="1" w:tplc="DE8E7C96">
      <w:numFmt w:val="decimal"/>
      <w:lvlText w:val=""/>
      <w:lvlJc w:val="left"/>
    </w:lvl>
    <w:lvl w:ilvl="2" w:tplc="275C3CA0">
      <w:numFmt w:val="decimal"/>
      <w:lvlText w:val=""/>
      <w:lvlJc w:val="left"/>
    </w:lvl>
    <w:lvl w:ilvl="3" w:tplc="360A9194">
      <w:numFmt w:val="decimal"/>
      <w:lvlText w:val=""/>
      <w:lvlJc w:val="left"/>
    </w:lvl>
    <w:lvl w:ilvl="4" w:tplc="3F60C5D2">
      <w:numFmt w:val="decimal"/>
      <w:lvlText w:val=""/>
      <w:lvlJc w:val="left"/>
    </w:lvl>
    <w:lvl w:ilvl="5" w:tplc="BA40A1CE">
      <w:numFmt w:val="decimal"/>
      <w:lvlText w:val=""/>
      <w:lvlJc w:val="left"/>
    </w:lvl>
    <w:lvl w:ilvl="6" w:tplc="FAB0F34A">
      <w:numFmt w:val="decimal"/>
      <w:lvlText w:val=""/>
      <w:lvlJc w:val="left"/>
    </w:lvl>
    <w:lvl w:ilvl="7" w:tplc="FA66DAC8">
      <w:numFmt w:val="decimal"/>
      <w:lvlText w:val=""/>
      <w:lvlJc w:val="left"/>
    </w:lvl>
    <w:lvl w:ilvl="8" w:tplc="A938409E">
      <w:numFmt w:val="decimal"/>
      <w:lvlText w:val=""/>
      <w:lvlJc w:val="left"/>
    </w:lvl>
  </w:abstractNum>
  <w:abstractNum w:abstractNumId="1513" w15:restartNumberingAfterBreak="0">
    <w:nsid w:val="74163079"/>
    <w:multiLevelType w:val="hybridMultilevel"/>
    <w:tmpl w:val="8F1A42DA"/>
    <w:lvl w:ilvl="0" w:tplc="05563754">
      <w:start w:val="1"/>
      <w:numFmt w:val="bullet"/>
      <w:lvlText w:val=""/>
      <w:lvlJc w:val="left"/>
      <w:pPr>
        <w:ind w:left="720" w:hanging="180"/>
      </w:pPr>
      <w:rPr>
        <w:rFonts w:ascii="Symbol" w:hAnsi="Symbol" w:hint="default"/>
      </w:rPr>
    </w:lvl>
    <w:lvl w:ilvl="1" w:tplc="DEA4F6D8">
      <w:numFmt w:val="decimal"/>
      <w:lvlText w:val=""/>
      <w:lvlJc w:val="left"/>
    </w:lvl>
    <w:lvl w:ilvl="2" w:tplc="84A067EE">
      <w:numFmt w:val="decimal"/>
      <w:lvlText w:val=""/>
      <w:lvlJc w:val="left"/>
    </w:lvl>
    <w:lvl w:ilvl="3" w:tplc="A0881590">
      <w:numFmt w:val="decimal"/>
      <w:lvlText w:val=""/>
      <w:lvlJc w:val="left"/>
    </w:lvl>
    <w:lvl w:ilvl="4" w:tplc="7A86D77C">
      <w:numFmt w:val="decimal"/>
      <w:lvlText w:val=""/>
      <w:lvlJc w:val="left"/>
    </w:lvl>
    <w:lvl w:ilvl="5" w:tplc="604CD88A">
      <w:numFmt w:val="decimal"/>
      <w:lvlText w:val=""/>
      <w:lvlJc w:val="left"/>
    </w:lvl>
    <w:lvl w:ilvl="6" w:tplc="DC380164">
      <w:numFmt w:val="decimal"/>
      <w:lvlText w:val=""/>
      <w:lvlJc w:val="left"/>
    </w:lvl>
    <w:lvl w:ilvl="7" w:tplc="A01CC1C6">
      <w:numFmt w:val="decimal"/>
      <w:lvlText w:val=""/>
      <w:lvlJc w:val="left"/>
    </w:lvl>
    <w:lvl w:ilvl="8" w:tplc="643E08D0">
      <w:numFmt w:val="decimal"/>
      <w:lvlText w:val=""/>
      <w:lvlJc w:val="left"/>
    </w:lvl>
  </w:abstractNum>
  <w:abstractNum w:abstractNumId="1514" w15:restartNumberingAfterBreak="0">
    <w:nsid w:val="74193EC5"/>
    <w:multiLevelType w:val="hybridMultilevel"/>
    <w:tmpl w:val="8438CE3E"/>
    <w:lvl w:ilvl="0" w:tplc="D31A0C30">
      <w:numFmt w:val="decimal"/>
      <w:lvlText w:val=""/>
      <w:lvlJc w:val="left"/>
    </w:lvl>
    <w:lvl w:ilvl="1" w:tplc="E3FA72A6">
      <w:start w:val="1"/>
      <w:numFmt w:val="bullet"/>
      <w:lvlText w:val=""/>
      <w:lvlJc w:val="left"/>
      <w:pPr>
        <w:ind w:left="1440" w:hanging="180"/>
      </w:pPr>
      <w:rPr>
        <w:rFonts w:ascii="Symbol" w:hAnsi="Symbol" w:hint="default"/>
      </w:rPr>
    </w:lvl>
    <w:lvl w:ilvl="2" w:tplc="CDD4CBB8">
      <w:numFmt w:val="decimal"/>
      <w:lvlText w:val=""/>
      <w:lvlJc w:val="left"/>
    </w:lvl>
    <w:lvl w:ilvl="3" w:tplc="D6DAE298">
      <w:numFmt w:val="decimal"/>
      <w:lvlText w:val=""/>
      <w:lvlJc w:val="left"/>
    </w:lvl>
    <w:lvl w:ilvl="4" w:tplc="7AC2E960">
      <w:numFmt w:val="decimal"/>
      <w:lvlText w:val=""/>
      <w:lvlJc w:val="left"/>
    </w:lvl>
    <w:lvl w:ilvl="5" w:tplc="CD98C284">
      <w:numFmt w:val="decimal"/>
      <w:lvlText w:val=""/>
      <w:lvlJc w:val="left"/>
    </w:lvl>
    <w:lvl w:ilvl="6" w:tplc="EF24F862">
      <w:numFmt w:val="decimal"/>
      <w:lvlText w:val=""/>
      <w:lvlJc w:val="left"/>
    </w:lvl>
    <w:lvl w:ilvl="7" w:tplc="6012057C">
      <w:numFmt w:val="decimal"/>
      <w:lvlText w:val=""/>
      <w:lvlJc w:val="left"/>
    </w:lvl>
    <w:lvl w:ilvl="8" w:tplc="E7E4A0E2">
      <w:numFmt w:val="decimal"/>
      <w:lvlText w:val=""/>
      <w:lvlJc w:val="left"/>
    </w:lvl>
  </w:abstractNum>
  <w:abstractNum w:abstractNumId="1515" w15:restartNumberingAfterBreak="0">
    <w:nsid w:val="74215948"/>
    <w:multiLevelType w:val="hybridMultilevel"/>
    <w:tmpl w:val="B51452C8"/>
    <w:lvl w:ilvl="0" w:tplc="56661038">
      <w:numFmt w:val="decimal"/>
      <w:lvlText w:val=""/>
      <w:lvlJc w:val="left"/>
    </w:lvl>
    <w:lvl w:ilvl="1" w:tplc="8E12D72E">
      <w:start w:val="1"/>
      <w:numFmt w:val="bullet"/>
      <w:lvlText w:val=""/>
      <w:lvlJc w:val="left"/>
      <w:pPr>
        <w:ind w:left="1440" w:hanging="180"/>
      </w:pPr>
      <w:rPr>
        <w:rFonts w:ascii="Symbol" w:hAnsi="Symbol" w:hint="default"/>
      </w:rPr>
    </w:lvl>
    <w:lvl w:ilvl="2" w:tplc="9C063A18">
      <w:numFmt w:val="decimal"/>
      <w:lvlText w:val=""/>
      <w:lvlJc w:val="left"/>
    </w:lvl>
    <w:lvl w:ilvl="3" w:tplc="2280D856">
      <w:numFmt w:val="decimal"/>
      <w:lvlText w:val=""/>
      <w:lvlJc w:val="left"/>
    </w:lvl>
    <w:lvl w:ilvl="4" w:tplc="15024812">
      <w:numFmt w:val="decimal"/>
      <w:lvlText w:val=""/>
      <w:lvlJc w:val="left"/>
    </w:lvl>
    <w:lvl w:ilvl="5" w:tplc="34F63CC8">
      <w:numFmt w:val="decimal"/>
      <w:lvlText w:val=""/>
      <w:lvlJc w:val="left"/>
    </w:lvl>
    <w:lvl w:ilvl="6" w:tplc="232472B4">
      <w:numFmt w:val="decimal"/>
      <w:lvlText w:val=""/>
      <w:lvlJc w:val="left"/>
    </w:lvl>
    <w:lvl w:ilvl="7" w:tplc="C67AA870">
      <w:numFmt w:val="decimal"/>
      <w:lvlText w:val=""/>
      <w:lvlJc w:val="left"/>
    </w:lvl>
    <w:lvl w:ilvl="8" w:tplc="5BB0E6C6">
      <w:numFmt w:val="decimal"/>
      <w:lvlText w:val=""/>
      <w:lvlJc w:val="left"/>
    </w:lvl>
  </w:abstractNum>
  <w:abstractNum w:abstractNumId="1516" w15:restartNumberingAfterBreak="0">
    <w:nsid w:val="746472F3"/>
    <w:multiLevelType w:val="hybridMultilevel"/>
    <w:tmpl w:val="2A9AD0BA"/>
    <w:lvl w:ilvl="0" w:tplc="FF3E8CF4">
      <w:numFmt w:val="decimal"/>
      <w:lvlText w:val=""/>
      <w:lvlJc w:val="left"/>
    </w:lvl>
    <w:lvl w:ilvl="1" w:tplc="08F02446">
      <w:start w:val="1"/>
      <w:numFmt w:val="bullet"/>
      <w:lvlText w:val=""/>
      <w:lvlJc w:val="left"/>
      <w:pPr>
        <w:ind w:left="1440" w:hanging="180"/>
      </w:pPr>
      <w:rPr>
        <w:rFonts w:ascii="Symbol" w:hAnsi="Symbol" w:hint="default"/>
      </w:rPr>
    </w:lvl>
    <w:lvl w:ilvl="2" w:tplc="037296C2">
      <w:numFmt w:val="decimal"/>
      <w:lvlText w:val=""/>
      <w:lvlJc w:val="left"/>
    </w:lvl>
    <w:lvl w:ilvl="3" w:tplc="0262AC1E">
      <w:numFmt w:val="decimal"/>
      <w:lvlText w:val=""/>
      <w:lvlJc w:val="left"/>
    </w:lvl>
    <w:lvl w:ilvl="4" w:tplc="651C5942">
      <w:numFmt w:val="decimal"/>
      <w:lvlText w:val=""/>
      <w:lvlJc w:val="left"/>
    </w:lvl>
    <w:lvl w:ilvl="5" w:tplc="91F05158">
      <w:numFmt w:val="decimal"/>
      <w:lvlText w:val=""/>
      <w:lvlJc w:val="left"/>
    </w:lvl>
    <w:lvl w:ilvl="6" w:tplc="364E9C70">
      <w:numFmt w:val="decimal"/>
      <w:lvlText w:val=""/>
      <w:lvlJc w:val="left"/>
    </w:lvl>
    <w:lvl w:ilvl="7" w:tplc="F5FED092">
      <w:numFmt w:val="decimal"/>
      <w:lvlText w:val=""/>
      <w:lvlJc w:val="left"/>
    </w:lvl>
    <w:lvl w:ilvl="8" w:tplc="0E5EAC0A">
      <w:numFmt w:val="decimal"/>
      <w:lvlText w:val=""/>
      <w:lvlJc w:val="left"/>
    </w:lvl>
  </w:abstractNum>
  <w:abstractNum w:abstractNumId="1517" w15:restartNumberingAfterBreak="0">
    <w:nsid w:val="746C15EA"/>
    <w:multiLevelType w:val="hybridMultilevel"/>
    <w:tmpl w:val="A9C4405E"/>
    <w:lvl w:ilvl="0" w:tplc="CED8B856">
      <w:start w:val="1"/>
      <w:numFmt w:val="bullet"/>
      <w:lvlText w:val=""/>
      <w:lvlJc w:val="left"/>
      <w:pPr>
        <w:ind w:left="720" w:hanging="180"/>
      </w:pPr>
      <w:rPr>
        <w:rFonts w:ascii="Symbol" w:hAnsi="Symbol" w:hint="default"/>
      </w:rPr>
    </w:lvl>
    <w:lvl w:ilvl="1" w:tplc="4FA62DD4">
      <w:numFmt w:val="decimal"/>
      <w:lvlText w:val=""/>
      <w:lvlJc w:val="left"/>
    </w:lvl>
    <w:lvl w:ilvl="2" w:tplc="7010A550">
      <w:numFmt w:val="decimal"/>
      <w:lvlText w:val=""/>
      <w:lvlJc w:val="left"/>
    </w:lvl>
    <w:lvl w:ilvl="3" w:tplc="6E4E3CC2">
      <w:numFmt w:val="decimal"/>
      <w:lvlText w:val=""/>
      <w:lvlJc w:val="left"/>
    </w:lvl>
    <w:lvl w:ilvl="4" w:tplc="4E2695DA">
      <w:numFmt w:val="decimal"/>
      <w:lvlText w:val=""/>
      <w:lvlJc w:val="left"/>
    </w:lvl>
    <w:lvl w:ilvl="5" w:tplc="77487AB2">
      <w:numFmt w:val="decimal"/>
      <w:lvlText w:val=""/>
      <w:lvlJc w:val="left"/>
    </w:lvl>
    <w:lvl w:ilvl="6" w:tplc="653E5CFE">
      <w:numFmt w:val="decimal"/>
      <w:lvlText w:val=""/>
      <w:lvlJc w:val="left"/>
    </w:lvl>
    <w:lvl w:ilvl="7" w:tplc="05B67C40">
      <w:numFmt w:val="decimal"/>
      <w:lvlText w:val=""/>
      <w:lvlJc w:val="left"/>
    </w:lvl>
    <w:lvl w:ilvl="8" w:tplc="41E668E6">
      <w:numFmt w:val="decimal"/>
      <w:lvlText w:val=""/>
      <w:lvlJc w:val="left"/>
    </w:lvl>
  </w:abstractNum>
  <w:abstractNum w:abstractNumId="1518" w15:restartNumberingAfterBreak="0">
    <w:nsid w:val="747926B5"/>
    <w:multiLevelType w:val="hybridMultilevel"/>
    <w:tmpl w:val="50809C06"/>
    <w:lvl w:ilvl="0" w:tplc="2564CB64">
      <w:start w:val="1"/>
      <w:numFmt w:val="bullet"/>
      <w:lvlText w:val=""/>
      <w:lvlJc w:val="left"/>
      <w:pPr>
        <w:ind w:left="720" w:hanging="180"/>
      </w:pPr>
      <w:rPr>
        <w:rFonts w:ascii="Symbol" w:hAnsi="Symbol" w:hint="default"/>
      </w:rPr>
    </w:lvl>
    <w:lvl w:ilvl="1" w:tplc="2EEEDAB4">
      <w:numFmt w:val="decimal"/>
      <w:lvlText w:val=""/>
      <w:lvlJc w:val="left"/>
    </w:lvl>
    <w:lvl w:ilvl="2" w:tplc="C4D2387C">
      <w:numFmt w:val="decimal"/>
      <w:lvlText w:val=""/>
      <w:lvlJc w:val="left"/>
    </w:lvl>
    <w:lvl w:ilvl="3" w:tplc="3FAE793A">
      <w:numFmt w:val="decimal"/>
      <w:lvlText w:val=""/>
      <w:lvlJc w:val="left"/>
    </w:lvl>
    <w:lvl w:ilvl="4" w:tplc="0FC8B714">
      <w:numFmt w:val="decimal"/>
      <w:lvlText w:val=""/>
      <w:lvlJc w:val="left"/>
    </w:lvl>
    <w:lvl w:ilvl="5" w:tplc="03762282">
      <w:numFmt w:val="decimal"/>
      <w:lvlText w:val=""/>
      <w:lvlJc w:val="left"/>
    </w:lvl>
    <w:lvl w:ilvl="6" w:tplc="3FDA053A">
      <w:numFmt w:val="decimal"/>
      <w:lvlText w:val=""/>
      <w:lvlJc w:val="left"/>
    </w:lvl>
    <w:lvl w:ilvl="7" w:tplc="F1BEBE34">
      <w:numFmt w:val="decimal"/>
      <w:lvlText w:val=""/>
      <w:lvlJc w:val="left"/>
    </w:lvl>
    <w:lvl w:ilvl="8" w:tplc="59A0CA0A">
      <w:numFmt w:val="decimal"/>
      <w:lvlText w:val=""/>
      <w:lvlJc w:val="left"/>
    </w:lvl>
  </w:abstractNum>
  <w:abstractNum w:abstractNumId="1519" w15:restartNumberingAfterBreak="0">
    <w:nsid w:val="749831F1"/>
    <w:multiLevelType w:val="hybridMultilevel"/>
    <w:tmpl w:val="2F927A14"/>
    <w:lvl w:ilvl="0" w:tplc="EB943D92">
      <w:start w:val="1"/>
      <w:numFmt w:val="bullet"/>
      <w:lvlText w:val=""/>
      <w:lvlJc w:val="left"/>
      <w:pPr>
        <w:ind w:left="720" w:hanging="180"/>
      </w:pPr>
      <w:rPr>
        <w:rFonts w:ascii="Symbol" w:hAnsi="Symbol" w:hint="default"/>
      </w:rPr>
    </w:lvl>
    <w:lvl w:ilvl="1" w:tplc="54222370">
      <w:numFmt w:val="decimal"/>
      <w:lvlText w:val=""/>
      <w:lvlJc w:val="left"/>
    </w:lvl>
    <w:lvl w:ilvl="2" w:tplc="D9C4CB0A">
      <w:numFmt w:val="decimal"/>
      <w:lvlText w:val=""/>
      <w:lvlJc w:val="left"/>
    </w:lvl>
    <w:lvl w:ilvl="3" w:tplc="E6225C04">
      <w:numFmt w:val="decimal"/>
      <w:lvlText w:val=""/>
      <w:lvlJc w:val="left"/>
    </w:lvl>
    <w:lvl w:ilvl="4" w:tplc="823A4EFA">
      <w:numFmt w:val="decimal"/>
      <w:lvlText w:val=""/>
      <w:lvlJc w:val="left"/>
    </w:lvl>
    <w:lvl w:ilvl="5" w:tplc="3AD45780">
      <w:numFmt w:val="decimal"/>
      <w:lvlText w:val=""/>
      <w:lvlJc w:val="left"/>
    </w:lvl>
    <w:lvl w:ilvl="6" w:tplc="49CA2FDC">
      <w:numFmt w:val="decimal"/>
      <w:lvlText w:val=""/>
      <w:lvlJc w:val="left"/>
    </w:lvl>
    <w:lvl w:ilvl="7" w:tplc="670A6962">
      <w:numFmt w:val="decimal"/>
      <w:lvlText w:val=""/>
      <w:lvlJc w:val="left"/>
    </w:lvl>
    <w:lvl w:ilvl="8" w:tplc="5A200D8A">
      <w:numFmt w:val="decimal"/>
      <w:lvlText w:val=""/>
      <w:lvlJc w:val="left"/>
    </w:lvl>
  </w:abstractNum>
  <w:abstractNum w:abstractNumId="1520" w15:restartNumberingAfterBreak="0">
    <w:nsid w:val="749C4BF9"/>
    <w:multiLevelType w:val="hybridMultilevel"/>
    <w:tmpl w:val="B48A8C74"/>
    <w:lvl w:ilvl="0" w:tplc="DA884014">
      <w:start w:val="1"/>
      <w:numFmt w:val="bullet"/>
      <w:lvlText w:val=""/>
      <w:lvlJc w:val="left"/>
      <w:pPr>
        <w:ind w:left="720" w:hanging="180"/>
      </w:pPr>
      <w:rPr>
        <w:rFonts w:ascii="Symbol" w:hAnsi="Symbol" w:hint="default"/>
      </w:rPr>
    </w:lvl>
    <w:lvl w:ilvl="1" w:tplc="D466F004">
      <w:numFmt w:val="decimal"/>
      <w:lvlText w:val=""/>
      <w:lvlJc w:val="left"/>
    </w:lvl>
    <w:lvl w:ilvl="2" w:tplc="7EAAB7CE">
      <w:numFmt w:val="decimal"/>
      <w:lvlText w:val=""/>
      <w:lvlJc w:val="left"/>
    </w:lvl>
    <w:lvl w:ilvl="3" w:tplc="FE140248">
      <w:numFmt w:val="decimal"/>
      <w:lvlText w:val=""/>
      <w:lvlJc w:val="left"/>
    </w:lvl>
    <w:lvl w:ilvl="4" w:tplc="FD10F018">
      <w:numFmt w:val="decimal"/>
      <w:lvlText w:val=""/>
      <w:lvlJc w:val="left"/>
    </w:lvl>
    <w:lvl w:ilvl="5" w:tplc="5C164E60">
      <w:numFmt w:val="decimal"/>
      <w:lvlText w:val=""/>
      <w:lvlJc w:val="left"/>
    </w:lvl>
    <w:lvl w:ilvl="6" w:tplc="3CDAE296">
      <w:numFmt w:val="decimal"/>
      <w:lvlText w:val=""/>
      <w:lvlJc w:val="left"/>
    </w:lvl>
    <w:lvl w:ilvl="7" w:tplc="2FAEAEC2">
      <w:numFmt w:val="decimal"/>
      <w:lvlText w:val=""/>
      <w:lvlJc w:val="left"/>
    </w:lvl>
    <w:lvl w:ilvl="8" w:tplc="F018558E">
      <w:numFmt w:val="decimal"/>
      <w:lvlText w:val=""/>
      <w:lvlJc w:val="left"/>
    </w:lvl>
  </w:abstractNum>
  <w:abstractNum w:abstractNumId="1521" w15:restartNumberingAfterBreak="0">
    <w:nsid w:val="74A76CE8"/>
    <w:multiLevelType w:val="hybridMultilevel"/>
    <w:tmpl w:val="85487A3E"/>
    <w:lvl w:ilvl="0" w:tplc="1F5C8110">
      <w:start w:val="1"/>
      <w:numFmt w:val="bullet"/>
      <w:lvlText w:val=""/>
      <w:lvlJc w:val="left"/>
      <w:pPr>
        <w:ind w:left="720" w:hanging="180"/>
      </w:pPr>
      <w:rPr>
        <w:rFonts w:ascii="Symbol" w:hAnsi="Symbol" w:hint="default"/>
      </w:rPr>
    </w:lvl>
    <w:lvl w:ilvl="1" w:tplc="A75288F8">
      <w:numFmt w:val="decimal"/>
      <w:lvlText w:val=""/>
      <w:lvlJc w:val="left"/>
    </w:lvl>
    <w:lvl w:ilvl="2" w:tplc="11CAD080">
      <w:numFmt w:val="decimal"/>
      <w:lvlText w:val=""/>
      <w:lvlJc w:val="left"/>
    </w:lvl>
    <w:lvl w:ilvl="3" w:tplc="64BC198A">
      <w:numFmt w:val="decimal"/>
      <w:lvlText w:val=""/>
      <w:lvlJc w:val="left"/>
    </w:lvl>
    <w:lvl w:ilvl="4" w:tplc="233034AC">
      <w:numFmt w:val="decimal"/>
      <w:lvlText w:val=""/>
      <w:lvlJc w:val="left"/>
    </w:lvl>
    <w:lvl w:ilvl="5" w:tplc="1212BFBA">
      <w:numFmt w:val="decimal"/>
      <w:lvlText w:val=""/>
      <w:lvlJc w:val="left"/>
    </w:lvl>
    <w:lvl w:ilvl="6" w:tplc="DC5AE990">
      <w:numFmt w:val="decimal"/>
      <w:lvlText w:val=""/>
      <w:lvlJc w:val="left"/>
    </w:lvl>
    <w:lvl w:ilvl="7" w:tplc="E8BE85B4">
      <w:numFmt w:val="decimal"/>
      <w:lvlText w:val=""/>
      <w:lvlJc w:val="left"/>
    </w:lvl>
    <w:lvl w:ilvl="8" w:tplc="C94036FE">
      <w:numFmt w:val="decimal"/>
      <w:lvlText w:val=""/>
      <w:lvlJc w:val="left"/>
    </w:lvl>
  </w:abstractNum>
  <w:abstractNum w:abstractNumId="1522" w15:restartNumberingAfterBreak="0">
    <w:nsid w:val="74B22BE5"/>
    <w:multiLevelType w:val="hybridMultilevel"/>
    <w:tmpl w:val="7112237C"/>
    <w:lvl w:ilvl="0" w:tplc="B53AF0EA">
      <w:start w:val="1"/>
      <w:numFmt w:val="bullet"/>
      <w:lvlText w:val=""/>
      <w:lvlJc w:val="left"/>
      <w:pPr>
        <w:ind w:left="720" w:hanging="180"/>
      </w:pPr>
      <w:rPr>
        <w:rFonts w:ascii="Symbol" w:hAnsi="Symbol" w:hint="default"/>
      </w:rPr>
    </w:lvl>
    <w:lvl w:ilvl="1" w:tplc="D0CA69B0">
      <w:numFmt w:val="decimal"/>
      <w:lvlText w:val=""/>
      <w:lvlJc w:val="left"/>
    </w:lvl>
    <w:lvl w:ilvl="2" w:tplc="1E4A4C32">
      <w:numFmt w:val="decimal"/>
      <w:lvlText w:val=""/>
      <w:lvlJc w:val="left"/>
    </w:lvl>
    <w:lvl w:ilvl="3" w:tplc="804C8C6E">
      <w:numFmt w:val="decimal"/>
      <w:lvlText w:val=""/>
      <w:lvlJc w:val="left"/>
    </w:lvl>
    <w:lvl w:ilvl="4" w:tplc="D9DAFAC6">
      <w:numFmt w:val="decimal"/>
      <w:lvlText w:val=""/>
      <w:lvlJc w:val="left"/>
    </w:lvl>
    <w:lvl w:ilvl="5" w:tplc="190E76B8">
      <w:numFmt w:val="decimal"/>
      <w:lvlText w:val=""/>
      <w:lvlJc w:val="left"/>
    </w:lvl>
    <w:lvl w:ilvl="6" w:tplc="FB62A6A4">
      <w:numFmt w:val="decimal"/>
      <w:lvlText w:val=""/>
      <w:lvlJc w:val="left"/>
    </w:lvl>
    <w:lvl w:ilvl="7" w:tplc="96107440">
      <w:numFmt w:val="decimal"/>
      <w:lvlText w:val=""/>
      <w:lvlJc w:val="left"/>
    </w:lvl>
    <w:lvl w:ilvl="8" w:tplc="238E7B9E">
      <w:numFmt w:val="decimal"/>
      <w:lvlText w:val=""/>
      <w:lvlJc w:val="left"/>
    </w:lvl>
  </w:abstractNum>
  <w:abstractNum w:abstractNumId="1523" w15:restartNumberingAfterBreak="0">
    <w:nsid w:val="74B51E6F"/>
    <w:multiLevelType w:val="hybridMultilevel"/>
    <w:tmpl w:val="9D1A7F4A"/>
    <w:lvl w:ilvl="0" w:tplc="B4AA6120">
      <w:start w:val="1"/>
      <w:numFmt w:val="bullet"/>
      <w:lvlText w:val=""/>
      <w:lvlJc w:val="left"/>
      <w:pPr>
        <w:ind w:left="720" w:hanging="180"/>
      </w:pPr>
      <w:rPr>
        <w:rFonts w:ascii="Symbol" w:hAnsi="Symbol" w:hint="default"/>
      </w:rPr>
    </w:lvl>
    <w:lvl w:ilvl="1" w:tplc="96F0DDE6">
      <w:numFmt w:val="decimal"/>
      <w:lvlText w:val=""/>
      <w:lvlJc w:val="left"/>
    </w:lvl>
    <w:lvl w:ilvl="2" w:tplc="6A967646">
      <w:numFmt w:val="decimal"/>
      <w:lvlText w:val=""/>
      <w:lvlJc w:val="left"/>
    </w:lvl>
    <w:lvl w:ilvl="3" w:tplc="E1C83940">
      <w:numFmt w:val="decimal"/>
      <w:lvlText w:val=""/>
      <w:lvlJc w:val="left"/>
    </w:lvl>
    <w:lvl w:ilvl="4" w:tplc="AE22BC80">
      <w:numFmt w:val="decimal"/>
      <w:lvlText w:val=""/>
      <w:lvlJc w:val="left"/>
    </w:lvl>
    <w:lvl w:ilvl="5" w:tplc="2D349E9C">
      <w:numFmt w:val="decimal"/>
      <w:lvlText w:val=""/>
      <w:lvlJc w:val="left"/>
    </w:lvl>
    <w:lvl w:ilvl="6" w:tplc="302A4AB8">
      <w:numFmt w:val="decimal"/>
      <w:lvlText w:val=""/>
      <w:lvlJc w:val="left"/>
    </w:lvl>
    <w:lvl w:ilvl="7" w:tplc="0B4236C0">
      <w:numFmt w:val="decimal"/>
      <w:lvlText w:val=""/>
      <w:lvlJc w:val="left"/>
    </w:lvl>
    <w:lvl w:ilvl="8" w:tplc="DCFA0424">
      <w:numFmt w:val="decimal"/>
      <w:lvlText w:val=""/>
      <w:lvlJc w:val="left"/>
    </w:lvl>
  </w:abstractNum>
  <w:abstractNum w:abstractNumId="1524" w15:restartNumberingAfterBreak="0">
    <w:nsid w:val="74D84E45"/>
    <w:multiLevelType w:val="hybridMultilevel"/>
    <w:tmpl w:val="D8DCF72A"/>
    <w:lvl w:ilvl="0" w:tplc="D0CCDB88">
      <w:start w:val="1"/>
      <w:numFmt w:val="bullet"/>
      <w:lvlText w:val=""/>
      <w:lvlJc w:val="left"/>
      <w:pPr>
        <w:ind w:left="720" w:hanging="180"/>
      </w:pPr>
      <w:rPr>
        <w:rFonts w:ascii="Symbol" w:hAnsi="Symbol" w:hint="default"/>
      </w:rPr>
    </w:lvl>
    <w:lvl w:ilvl="1" w:tplc="863E8AFC">
      <w:numFmt w:val="decimal"/>
      <w:lvlText w:val=""/>
      <w:lvlJc w:val="left"/>
    </w:lvl>
    <w:lvl w:ilvl="2" w:tplc="5A1A1998">
      <w:numFmt w:val="decimal"/>
      <w:lvlText w:val=""/>
      <w:lvlJc w:val="left"/>
    </w:lvl>
    <w:lvl w:ilvl="3" w:tplc="3296F17E">
      <w:numFmt w:val="decimal"/>
      <w:lvlText w:val=""/>
      <w:lvlJc w:val="left"/>
    </w:lvl>
    <w:lvl w:ilvl="4" w:tplc="208ACC3E">
      <w:numFmt w:val="decimal"/>
      <w:lvlText w:val=""/>
      <w:lvlJc w:val="left"/>
    </w:lvl>
    <w:lvl w:ilvl="5" w:tplc="DCF658F8">
      <w:numFmt w:val="decimal"/>
      <w:lvlText w:val=""/>
      <w:lvlJc w:val="left"/>
    </w:lvl>
    <w:lvl w:ilvl="6" w:tplc="B0A64938">
      <w:numFmt w:val="decimal"/>
      <w:lvlText w:val=""/>
      <w:lvlJc w:val="left"/>
    </w:lvl>
    <w:lvl w:ilvl="7" w:tplc="76F655BE">
      <w:numFmt w:val="decimal"/>
      <w:lvlText w:val=""/>
      <w:lvlJc w:val="left"/>
    </w:lvl>
    <w:lvl w:ilvl="8" w:tplc="F0989A16">
      <w:numFmt w:val="decimal"/>
      <w:lvlText w:val=""/>
      <w:lvlJc w:val="left"/>
    </w:lvl>
  </w:abstractNum>
  <w:abstractNum w:abstractNumId="1525" w15:restartNumberingAfterBreak="0">
    <w:nsid w:val="74DC60F5"/>
    <w:multiLevelType w:val="hybridMultilevel"/>
    <w:tmpl w:val="E35E19BE"/>
    <w:lvl w:ilvl="0" w:tplc="E510403C">
      <w:start w:val="1"/>
      <w:numFmt w:val="bullet"/>
      <w:lvlText w:val=""/>
      <w:lvlJc w:val="left"/>
      <w:pPr>
        <w:ind w:left="720" w:hanging="180"/>
      </w:pPr>
      <w:rPr>
        <w:rFonts w:ascii="Symbol" w:hAnsi="Symbol" w:hint="default"/>
      </w:rPr>
    </w:lvl>
    <w:lvl w:ilvl="1" w:tplc="D1AA2036">
      <w:numFmt w:val="decimal"/>
      <w:lvlText w:val=""/>
      <w:lvlJc w:val="left"/>
    </w:lvl>
    <w:lvl w:ilvl="2" w:tplc="28325074">
      <w:numFmt w:val="decimal"/>
      <w:lvlText w:val=""/>
      <w:lvlJc w:val="left"/>
    </w:lvl>
    <w:lvl w:ilvl="3" w:tplc="C1D8F9AC">
      <w:numFmt w:val="decimal"/>
      <w:lvlText w:val=""/>
      <w:lvlJc w:val="left"/>
    </w:lvl>
    <w:lvl w:ilvl="4" w:tplc="03AAFFB2">
      <w:numFmt w:val="decimal"/>
      <w:lvlText w:val=""/>
      <w:lvlJc w:val="left"/>
    </w:lvl>
    <w:lvl w:ilvl="5" w:tplc="F302531A">
      <w:numFmt w:val="decimal"/>
      <w:lvlText w:val=""/>
      <w:lvlJc w:val="left"/>
    </w:lvl>
    <w:lvl w:ilvl="6" w:tplc="876491DE">
      <w:numFmt w:val="decimal"/>
      <w:lvlText w:val=""/>
      <w:lvlJc w:val="left"/>
    </w:lvl>
    <w:lvl w:ilvl="7" w:tplc="8714697C">
      <w:numFmt w:val="decimal"/>
      <w:lvlText w:val=""/>
      <w:lvlJc w:val="left"/>
    </w:lvl>
    <w:lvl w:ilvl="8" w:tplc="30D24DEC">
      <w:numFmt w:val="decimal"/>
      <w:lvlText w:val=""/>
      <w:lvlJc w:val="left"/>
    </w:lvl>
  </w:abstractNum>
  <w:abstractNum w:abstractNumId="1526" w15:restartNumberingAfterBreak="0">
    <w:nsid w:val="74DD1F94"/>
    <w:multiLevelType w:val="hybridMultilevel"/>
    <w:tmpl w:val="658E4FCC"/>
    <w:lvl w:ilvl="0" w:tplc="DE38C61C">
      <w:start w:val="1"/>
      <w:numFmt w:val="bullet"/>
      <w:lvlText w:val=""/>
      <w:lvlJc w:val="left"/>
      <w:pPr>
        <w:ind w:left="720" w:hanging="180"/>
      </w:pPr>
      <w:rPr>
        <w:rFonts w:ascii="Symbol" w:hAnsi="Symbol" w:hint="default"/>
      </w:rPr>
    </w:lvl>
    <w:lvl w:ilvl="1" w:tplc="BB5414A8">
      <w:numFmt w:val="decimal"/>
      <w:lvlText w:val=""/>
      <w:lvlJc w:val="left"/>
    </w:lvl>
    <w:lvl w:ilvl="2" w:tplc="E9226D00">
      <w:numFmt w:val="decimal"/>
      <w:lvlText w:val=""/>
      <w:lvlJc w:val="left"/>
    </w:lvl>
    <w:lvl w:ilvl="3" w:tplc="3C0CF4F6">
      <w:numFmt w:val="decimal"/>
      <w:lvlText w:val=""/>
      <w:lvlJc w:val="left"/>
    </w:lvl>
    <w:lvl w:ilvl="4" w:tplc="16C03E16">
      <w:numFmt w:val="decimal"/>
      <w:lvlText w:val=""/>
      <w:lvlJc w:val="left"/>
    </w:lvl>
    <w:lvl w:ilvl="5" w:tplc="5BA8A338">
      <w:numFmt w:val="decimal"/>
      <w:lvlText w:val=""/>
      <w:lvlJc w:val="left"/>
    </w:lvl>
    <w:lvl w:ilvl="6" w:tplc="4F142A32">
      <w:numFmt w:val="decimal"/>
      <w:lvlText w:val=""/>
      <w:lvlJc w:val="left"/>
    </w:lvl>
    <w:lvl w:ilvl="7" w:tplc="1EA4E6C2">
      <w:numFmt w:val="decimal"/>
      <w:lvlText w:val=""/>
      <w:lvlJc w:val="left"/>
    </w:lvl>
    <w:lvl w:ilvl="8" w:tplc="3AB0FBF2">
      <w:numFmt w:val="decimal"/>
      <w:lvlText w:val=""/>
      <w:lvlJc w:val="left"/>
    </w:lvl>
  </w:abstractNum>
  <w:abstractNum w:abstractNumId="1527" w15:restartNumberingAfterBreak="0">
    <w:nsid w:val="74F230CF"/>
    <w:multiLevelType w:val="hybridMultilevel"/>
    <w:tmpl w:val="725E1EFA"/>
    <w:lvl w:ilvl="0" w:tplc="BD4474EA">
      <w:start w:val="1"/>
      <w:numFmt w:val="bullet"/>
      <w:lvlText w:val=""/>
      <w:lvlJc w:val="left"/>
      <w:pPr>
        <w:ind w:left="720" w:hanging="180"/>
      </w:pPr>
      <w:rPr>
        <w:rFonts w:ascii="Symbol" w:hAnsi="Symbol" w:hint="default"/>
      </w:rPr>
    </w:lvl>
    <w:lvl w:ilvl="1" w:tplc="C6AE8B6E">
      <w:numFmt w:val="decimal"/>
      <w:lvlText w:val=""/>
      <w:lvlJc w:val="left"/>
    </w:lvl>
    <w:lvl w:ilvl="2" w:tplc="70B2BA42">
      <w:numFmt w:val="decimal"/>
      <w:lvlText w:val=""/>
      <w:lvlJc w:val="left"/>
    </w:lvl>
    <w:lvl w:ilvl="3" w:tplc="E50A4A78">
      <w:numFmt w:val="decimal"/>
      <w:lvlText w:val=""/>
      <w:lvlJc w:val="left"/>
    </w:lvl>
    <w:lvl w:ilvl="4" w:tplc="6AF25990">
      <w:numFmt w:val="decimal"/>
      <w:lvlText w:val=""/>
      <w:lvlJc w:val="left"/>
    </w:lvl>
    <w:lvl w:ilvl="5" w:tplc="733E83C8">
      <w:numFmt w:val="decimal"/>
      <w:lvlText w:val=""/>
      <w:lvlJc w:val="left"/>
    </w:lvl>
    <w:lvl w:ilvl="6" w:tplc="F23C836A">
      <w:numFmt w:val="decimal"/>
      <w:lvlText w:val=""/>
      <w:lvlJc w:val="left"/>
    </w:lvl>
    <w:lvl w:ilvl="7" w:tplc="0E9254F6">
      <w:numFmt w:val="decimal"/>
      <w:lvlText w:val=""/>
      <w:lvlJc w:val="left"/>
    </w:lvl>
    <w:lvl w:ilvl="8" w:tplc="D08AC53A">
      <w:numFmt w:val="decimal"/>
      <w:lvlText w:val=""/>
      <w:lvlJc w:val="left"/>
    </w:lvl>
  </w:abstractNum>
  <w:abstractNum w:abstractNumId="1528" w15:restartNumberingAfterBreak="0">
    <w:nsid w:val="74F82B9D"/>
    <w:multiLevelType w:val="hybridMultilevel"/>
    <w:tmpl w:val="AAB437B0"/>
    <w:lvl w:ilvl="0" w:tplc="CFF2FA18">
      <w:numFmt w:val="decimal"/>
      <w:lvlText w:val=""/>
      <w:lvlJc w:val="left"/>
    </w:lvl>
    <w:lvl w:ilvl="1" w:tplc="FA287E2E">
      <w:start w:val="1"/>
      <w:numFmt w:val="bullet"/>
      <w:lvlText w:val=""/>
      <w:lvlJc w:val="left"/>
      <w:pPr>
        <w:ind w:left="1440" w:hanging="180"/>
      </w:pPr>
      <w:rPr>
        <w:rFonts w:ascii="Symbol" w:hAnsi="Symbol" w:hint="default"/>
      </w:rPr>
    </w:lvl>
    <w:lvl w:ilvl="2" w:tplc="2730E6E4">
      <w:numFmt w:val="decimal"/>
      <w:lvlText w:val=""/>
      <w:lvlJc w:val="left"/>
    </w:lvl>
    <w:lvl w:ilvl="3" w:tplc="714E1888">
      <w:numFmt w:val="decimal"/>
      <w:lvlText w:val=""/>
      <w:lvlJc w:val="left"/>
    </w:lvl>
    <w:lvl w:ilvl="4" w:tplc="92289214">
      <w:numFmt w:val="decimal"/>
      <w:lvlText w:val=""/>
      <w:lvlJc w:val="left"/>
    </w:lvl>
    <w:lvl w:ilvl="5" w:tplc="83FE4D9E">
      <w:numFmt w:val="decimal"/>
      <w:lvlText w:val=""/>
      <w:lvlJc w:val="left"/>
    </w:lvl>
    <w:lvl w:ilvl="6" w:tplc="F50C5E70">
      <w:numFmt w:val="decimal"/>
      <w:lvlText w:val=""/>
      <w:lvlJc w:val="left"/>
    </w:lvl>
    <w:lvl w:ilvl="7" w:tplc="53E4B50A">
      <w:numFmt w:val="decimal"/>
      <w:lvlText w:val=""/>
      <w:lvlJc w:val="left"/>
    </w:lvl>
    <w:lvl w:ilvl="8" w:tplc="DC2AF824">
      <w:numFmt w:val="decimal"/>
      <w:lvlText w:val=""/>
      <w:lvlJc w:val="left"/>
    </w:lvl>
  </w:abstractNum>
  <w:abstractNum w:abstractNumId="1529" w15:restartNumberingAfterBreak="0">
    <w:nsid w:val="74FF3BC8"/>
    <w:multiLevelType w:val="hybridMultilevel"/>
    <w:tmpl w:val="638C7392"/>
    <w:lvl w:ilvl="0" w:tplc="0F94E5AC">
      <w:numFmt w:val="decimal"/>
      <w:lvlText w:val=""/>
      <w:lvlJc w:val="left"/>
    </w:lvl>
    <w:lvl w:ilvl="1" w:tplc="8836240A">
      <w:start w:val="1"/>
      <w:numFmt w:val="bullet"/>
      <w:lvlText w:val=""/>
      <w:lvlJc w:val="left"/>
      <w:pPr>
        <w:ind w:left="1440" w:hanging="180"/>
      </w:pPr>
      <w:rPr>
        <w:rFonts w:ascii="Symbol" w:hAnsi="Symbol" w:hint="default"/>
      </w:rPr>
    </w:lvl>
    <w:lvl w:ilvl="2" w:tplc="E37CB580">
      <w:numFmt w:val="decimal"/>
      <w:lvlText w:val=""/>
      <w:lvlJc w:val="left"/>
    </w:lvl>
    <w:lvl w:ilvl="3" w:tplc="734457A0">
      <w:numFmt w:val="decimal"/>
      <w:lvlText w:val=""/>
      <w:lvlJc w:val="left"/>
    </w:lvl>
    <w:lvl w:ilvl="4" w:tplc="1BFAAF32">
      <w:numFmt w:val="decimal"/>
      <w:lvlText w:val=""/>
      <w:lvlJc w:val="left"/>
    </w:lvl>
    <w:lvl w:ilvl="5" w:tplc="864EFCF4">
      <w:numFmt w:val="decimal"/>
      <w:lvlText w:val=""/>
      <w:lvlJc w:val="left"/>
    </w:lvl>
    <w:lvl w:ilvl="6" w:tplc="AF386A36">
      <w:numFmt w:val="decimal"/>
      <w:lvlText w:val=""/>
      <w:lvlJc w:val="left"/>
    </w:lvl>
    <w:lvl w:ilvl="7" w:tplc="3A52C588">
      <w:numFmt w:val="decimal"/>
      <w:lvlText w:val=""/>
      <w:lvlJc w:val="left"/>
    </w:lvl>
    <w:lvl w:ilvl="8" w:tplc="7E6EB956">
      <w:numFmt w:val="decimal"/>
      <w:lvlText w:val=""/>
      <w:lvlJc w:val="left"/>
    </w:lvl>
  </w:abstractNum>
  <w:abstractNum w:abstractNumId="1530" w15:restartNumberingAfterBreak="0">
    <w:nsid w:val="75063DF6"/>
    <w:multiLevelType w:val="hybridMultilevel"/>
    <w:tmpl w:val="86F00C24"/>
    <w:lvl w:ilvl="0" w:tplc="0B5635EE">
      <w:start w:val="1"/>
      <w:numFmt w:val="bullet"/>
      <w:lvlText w:val=""/>
      <w:lvlJc w:val="left"/>
      <w:pPr>
        <w:ind w:left="720" w:hanging="180"/>
      </w:pPr>
      <w:rPr>
        <w:rFonts w:ascii="Symbol" w:hAnsi="Symbol" w:hint="default"/>
      </w:rPr>
    </w:lvl>
    <w:lvl w:ilvl="1" w:tplc="6504EA1E">
      <w:numFmt w:val="decimal"/>
      <w:lvlText w:val=""/>
      <w:lvlJc w:val="left"/>
    </w:lvl>
    <w:lvl w:ilvl="2" w:tplc="3CD62D0A">
      <w:numFmt w:val="decimal"/>
      <w:lvlText w:val=""/>
      <w:lvlJc w:val="left"/>
    </w:lvl>
    <w:lvl w:ilvl="3" w:tplc="36ACB7B2">
      <w:numFmt w:val="decimal"/>
      <w:lvlText w:val=""/>
      <w:lvlJc w:val="left"/>
    </w:lvl>
    <w:lvl w:ilvl="4" w:tplc="C11A8A9A">
      <w:numFmt w:val="decimal"/>
      <w:lvlText w:val=""/>
      <w:lvlJc w:val="left"/>
    </w:lvl>
    <w:lvl w:ilvl="5" w:tplc="C150A1EE">
      <w:numFmt w:val="decimal"/>
      <w:lvlText w:val=""/>
      <w:lvlJc w:val="left"/>
    </w:lvl>
    <w:lvl w:ilvl="6" w:tplc="C7DA88B8">
      <w:numFmt w:val="decimal"/>
      <w:lvlText w:val=""/>
      <w:lvlJc w:val="left"/>
    </w:lvl>
    <w:lvl w:ilvl="7" w:tplc="9042B280">
      <w:numFmt w:val="decimal"/>
      <w:lvlText w:val=""/>
      <w:lvlJc w:val="left"/>
    </w:lvl>
    <w:lvl w:ilvl="8" w:tplc="7F0C672E">
      <w:numFmt w:val="decimal"/>
      <w:lvlText w:val=""/>
      <w:lvlJc w:val="left"/>
    </w:lvl>
  </w:abstractNum>
  <w:abstractNum w:abstractNumId="1531" w15:restartNumberingAfterBreak="0">
    <w:nsid w:val="75225CB7"/>
    <w:multiLevelType w:val="hybridMultilevel"/>
    <w:tmpl w:val="49663470"/>
    <w:lvl w:ilvl="0" w:tplc="034AA5A0">
      <w:start w:val="1"/>
      <w:numFmt w:val="bullet"/>
      <w:lvlText w:val=""/>
      <w:lvlJc w:val="left"/>
      <w:pPr>
        <w:ind w:left="720" w:hanging="180"/>
      </w:pPr>
      <w:rPr>
        <w:rFonts w:ascii="Symbol" w:hAnsi="Symbol" w:hint="default"/>
      </w:rPr>
    </w:lvl>
    <w:lvl w:ilvl="1" w:tplc="5A6EA836">
      <w:numFmt w:val="decimal"/>
      <w:lvlText w:val=""/>
      <w:lvlJc w:val="left"/>
    </w:lvl>
    <w:lvl w:ilvl="2" w:tplc="99C0EED8">
      <w:numFmt w:val="decimal"/>
      <w:lvlText w:val=""/>
      <w:lvlJc w:val="left"/>
    </w:lvl>
    <w:lvl w:ilvl="3" w:tplc="6344A438">
      <w:numFmt w:val="decimal"/>
      <w:lvlText w:val=""/>
      <w:lvlJc w:val="left"/>
    </w:lvl>
    <w:lvl w:ilvl="4" w:tplc="88E4FD46">
      <w:numFmt w:val="decimal"/>
      <w:lvlText w:val=""/>
      <w:lvlJc w:val="left"/>
    </w:lvl>
    <w:lvl w:ilvl="5" w:tplc="1FE87610">
      <w:numFmt w:val="decimal"/>
      <w:lvlText w:val=""/>
      <w:lvlJc w:val="left"/>
    </w:lvl>
    <w:lvl w:ilvl="6" w:tplc="BD142B88">
      <w:numFmt w:val="decimal"/>
      <w:lvlText w:val=""/>
      <w:lvlJc w:val="left"/>
    </w:lvl>
    <w:lvl w:ilvl="7" w:tplc="8C7262E2">
      <w:numFmt w:val="decimal"/>
      <w:lvlText w:val=""/>
      <w:lvlJc w:val="left"/>
    </w:lvl>
    <w:lvl w:ilvl="8" w:tplc="E432D990">
      <w:numFmt w:val="decimal"/>
      <w:lvlText w:val=""/>
      <w:lvlJc w:val="left"/>
    </w:lvl>
  </w:abstractNum>
  <w:abstractNum w:abstractNumId="1532" w15:restartNumberingAfterBreak="0">
    <w:nsid w:val="75371878"/>
    <w:multiLevelType w:val="hybridMultilevel"/>
    <w:tmpl w:val="CEBA2A5C"/>
    <w:lvl w:ilvl="0" w:tplc="6FE07EDE">
      <w:start w:val="1"/>
      <w:numFmt w:val="bullet"/>
      <w:lvlText w:val=""/>
      <w:lvlJc w:val="left"/>
      <w:pPr>
        <w:ind w:left="720" w:hanging="180"/>
      </w:pPr>
      <w:rPr>
        <w:rFonts w:ascii="Symbol" w:hAnsi="Symbol" w:hint="default"/>
      </w:rPr>
    </w:lvl>
    <w:lvl w:ilvl="1" w:tplc="A2809E6C">
      <w:numFmt w:val="decimal"/>
      <w:lvlText w:val=""/>
      <w:lvlJc w:val="left"/>
    </w:lvl>
    <w:lvl w:ilvl="2" w:tplc="0902EF8E">
      <w:numFmt w:val="decimal"/>
      <w:lvlText w:val=""/>
      <w:lvlJc w:val="left"/>
    </w:lvl>
    <w:lvl w:ilvl="3" w:tplc="C0DADD02">
      <w:numFmt w:val="decimal"/>
      <w:lvlText w:val=""/>
      <w:lvlJc w:val="left"/>
    </w:lvl>
    <w:lvl w:ilvl="4" w:tplc="4ACCF4F4">
      <w:numFmt w:val="decimal"/>
      <w:lvlText w:val=""/>
      <w:lvlJc w:val="left"/>
    </w:lvl>
    <w:lvl w:ilvl="5" w:tplc="EBB40A5A">
      <w:numFmt w:val="decimal"/>
      <w:lvlText w:val=""/>
      <w:lvlJc w:val="left"/>
    </w:lvl>
    <w:lvl w:ilvl="6" w:tplc="9D7AD7D8">
      <w:numFmt w:val="decimal"/>
      <w:lvlText w:val=""/>
      <w:lvlJc w:val="left"/>
    </w:lvl>
    <w:lvl w:ilvl="7" w:tplc="189C99E2">
      <w:numFmt w:val="decimal"/>
      <w:lvlText w:val=""/>
      <w:lvlJc w:val="left"/>
    </w:lvl>
    <w:lvl w:ilvl="8" w:tplc="02B0806E">
      <w:numFmt w:val="decimal"/>
      <w:lvlText w:val=""/>
      <w:lvlJc w:val="left"/>
    </w:lvl>
  </w:abstractNum>
  <w:abstractNum w:abstractNumId="1533" w15:restartNumberingAfterBreak="0">
    <w:nsid w:val="75384851"/>
    <w:multiLevelType w:val="hybridMultilevel"/>
    <w:tmpl w:val="3612BE14"/>
    <w:lvl w:ilvl="0" w:tplc="8FA88A36">
      <w:start w:val="1"/>
      <w:numFmt w:val="bullet"/>
      <w:lvlText w:val=""/>
      <w:lvlJc w:val="left"/>
      <w:pPr>
        <w:ind w:left="720" w:hanging="180"/>
      </w:pPr>
      <w:rPr>
        <w:rFonts w:ascii="Symbol" w:hAnsi="Symbol" w:hint="default"/>
      </w:rPr>
    </w:lvl>
    <w:lvl w:ilvl="1" w:tplc="DD406610">
      <w:numFmt w:val="decimal"/>
      <w:lvlText w:val=""/>
      <w:lvlJc w:val="left"/>
    </w:lvl>
    <w:lvl w:ilvl="2" w:tplc="EC4A9BE4">
      <w:numFmt w:val="decimal"/>
      <w:lvlText w:val=""/>
      <w:lvlJc w:val="left"/>
    </w:lvl>
    <w:lvl w:ilvl="3" w:tplc="0FF8F6A2">
      <w:numFmt w:val="decimal"/>
      <w:lvlText w:val=""/>
      <w:lvlJc w:val="left"/>
    </w:lvl>
    <w:lvl w:ilvl="4" w:tplc="59EE7060">
      <w:numFmt w:val="decimal"/>
      <w:lvlText w:val=""/>
      <w:lvlJc w:val="left"/>
    </w:lvl>
    <w:lvl w:ilvl="5" w:tplc="90F23956">
      <w:numFmt w:val="decimal"/>
      <w:lvlText w:val=""/>
      <w:lvlJc w:val="left"/>
    </w:lvl>
    <w:lvl w:ilvl="6" w:tplc="FD80B4C2">
      <w:numFmt w:val="decimal"/>
      <w:lvlText w:val=""/>
      <w:lvlJc w:val="left"/>
    </w:lvl>
    <w:lvl w:ilvl="7" w:tplc="110A0DC6">
      <w:numFmt w:val="decimal"/>
      <w:lvlText w:val=""/>
      <w:lvlJc w:val="left"/>
    </w:lvl>
    <w:lvl w:ilvl="8" w:tplc="DA00B9A8">
      <w:numFmt w:val="decimal"/>
      <w:lvlText w:val=""/>
      <w:lvlJc w:val="left"/>
    </w:lvl>
  </w:abstractNum>
  <w:abstractNum w:abstractNumId="1534" w15:restartNumberingAfterBreak="0">
    <w:nsid w:val="75620FD9"/>
    <w:multiLevelType w:val="hybridMultilevel"/>
    <w:tmpl w:val="6BD2CF70"/>
    <w:lvl w:ilvl="0" w:tplc="7512AF70">
      <w:start w:val="1"/>
      <w:numFmt w:val="bullet"/>
      <w:lvlText w:val=""/>
      <w:lvlJc w:val="left"/>
      <w:pPr>
        <w:ind w:left="720" w:hanging="180"/>
      </w:pPr>
      <w:rPr>
        <w:rFonts w:ascii="Symbol" w:hAnsi="Symbol" w:hint="default"/>
      </w:rPr>
    </w:lvl>
    <w:lvl w:ilvl="1" w:tplc="F34A073C">
      <w:numFmt w:val="decimal"/>
      <w:lvlText w:val=""/>
      <w:lvlJc w:val="left"/>
    </w:lvl>
    <w:lvl w:ilvl="2" w:tplc="00028D96">
      <w:numFmt w:val="decimal"/>
      <w:lvlText w:val=""/>
      <w:lvlJc w:val="left"/>
    </w:lvl>
    <w:lvl w:ilvl="3" w:tplc="309E9BF6">
      <w:numFmt w:val="decimal"/>
      <w:lvlText w:val=""/>
      <w:lvlJc w:val="left"/>
    </w:lvl>
    <w:lvl w:ilvl="4" w:tplc="9D0A06C0">
      <w:numFmt w:val="decimal"/>
      <w:lvlText w:val=""/>
      <w:lvlJc w:val="left"/>
    </w:lvl>
    <w:lvl w:ilvl="5" w:tplc="30101EF6">
      <w:numFmt w:val="decimal"/>
      <w:lvlText w:val=""/>
      <w:lvlJc w:val="left"/>
    </w:lvl>
    <w:lvl w:ilvl="6" w:tplc="2ACE6C24">
      <w:numFmt w:val="decimal"/>
      <w:lvlText w:val=""/>
      <w:lvlJc w:val="left"/>
    </w:lvl>
    <w:lvl w:ilvl="7" w:tplc="186C33E2">
      <w:numFmt w:val="decimal"/>
      <w:lvlText w:val=""/>
      <w:lvlJc w:val="left"/>
    </w:lvl>
    <w:lvl w:ilvl="8" w:tplc="BD3E6CB8">
      <w:numFmt w:val="decimal"/>
      <w:lvlText w:val=""/>
      <w:lvlJc w:val="left"/>
    </w:lvl>
  </w:abstractNum>
  <w:abstractNum w:abstractNumId="1535" w15:restartNumberingAfterBreak="0">
    <w:nsid w:val="7567303D"/>
    <w:multiLevelType w:val="hybridMultilevel"/>
    <w:tmpl w:val="C1C0926C"/>
    <w:lvl w:ilvl="0" w:tplc="C1B03352">
      <w:start w:val="1"/>
      <w:numFmt w:val="bullet"/>
      <w:lvlText w:val=""/>
      <w:lvlJc w:val="left"/>
      <w:pPr>
        <w:ind w:left="720" w:hanging="180"/>
      </w:pPr>
      <w:rPr>
        <w:rFonts w:ascii="Symbol" w:hAnsi="Symbol" w:hint="default"/>
      </w:rPr>
    </w:lvl>
    <w:lvl w:ilvl="1" w:tplc="1AE04872">
      <w:numFmt w:val="decimal"/>
      <w:lvlText w:val=""/>
      <w:lvlJc w:val="left"/>
    </w:lvl>
    <w:lvl w:ilvl="2" w:tplc="CE0AE75C">
      <w:numFmt w:val="decimal"/>
      <w:lvlText w:val=""/>
      <w:lvlJc w:val="left"/>
    </w:lvl>
    <w:lvl w:ilvl="3" w:tplc="461E45DA">
      <w:numFmt w:val="decimal"/>
      <w:lvlText w:val=""/>
      <w:lvlJc w:val="left"/>
    </w:lvl>
    <w:lvl w:ilvl="4" w:tplc="2C9A76D8">
      <w:numFmt w:val="decimal"/>
      <w:lvlText w:val=""/>
      <w:lvlJc w:val="left"/>
    </w:lvl>
    <w:lvl w:ilvl="5" w:tplc="C220C8EE">
      <w:numFmt w:val="decimal"/>
      <w:lvlText w:val=""/>
      <w:lvlJc w:val="left"/>
    </w:lvl>
    <w:lvl w:ilvl="6" w:tplc="F716A3F4">
      <w:numFmt w:val="decimal"/>
      <w:lvlText w:val=""/>
      <w:lvlJc w:val="left"/>
    </w:lvl>
    <w:lvl w:ilvl="7" w:tplc="38ACA7AC">
      <w:numFmt w:val="decimal"/>
      <w:lvlText w:val=""/>
      <w:lvlJc w:val="left"/>
    </w:lvl>
    <w:lvl w:ilvl="8" w:tplc="0C2A180E">
      <w:numFmt w:val="decimal"/>
      <w:lvlText w:val=""/>
      <w:lvlJc w:val="left"/>
    </w:lvl>
  </w:abstractNum>
  <w:abstractNum w:abstractNumId="1536" w15:restartNumberingAfterBreak="0">
    <w:nsid w:val="75A636CF"/>
    <w:multiLevelType w:val="hybridMultilevel"/>
    <w:tmpl w:val="E8E412DE"/>
    <w:lvl w:ilvl="0" w:tplc="19844E7E">
      <w:numFmt w:val="decimal"/>
      <w:lvlText w:val=""/>
      <w:lvlJc w:val="left"/>
    </w:lvl>
    <w:lvl w:ilvl="1" w:tplc="9A621A00">
      <w:start w:val="1"/>
      <w:numFmt w:val="bullet"/>
      <w:lvlText w:val=""/>
      <w:lvlJc w:val="left"/>
      <w:pPr>
        <w:ind w:left="1440" w:hanging="180"/>
      </w:pPr>
      <w:rPr>
        <w:rFonts w:ascii="Symbol" w:hAnsi="Symbol" w:hint="default"/>
      </w:rPr>
    </w:lvl>
    <w:lvl w:ilvl="2" w:tplc="EB4EC64C">
      <w:numFmt w:val="decimal"/>
      <w:lvlText w:val=""/>
      <w:lvlJc w:val="left"/>
    </w:lvl>
    <w:lvl w:ilvl="3" w:tplc="E3F24528">
      <w:numFmt w:val="decimal"/>
      <w:lvlText w:val=""/>
      <w:lvlJc w:val="left"/>
    </w:lvl>
    <w:lvl w:ilvl="4" w:tplc="7524783E">
      <w:numFmt w:val="decimal"/>
      <w:lvlText w:val=""/>
      <w:lvlJc w:val="left"/>
    </w:lvl>
    <w:lvl w:ilvl="5" w:tplc="799CF942">
      <w:numFmt w:val="decimal"/>
      <w:lvlText w:val=""/>
      <w:lvlJc w:val="left"/>
    </w:lvl>
    <w:lvl w:ilvl="6" w:tplc="20608EF8">
      <w:numFmt w:val="decimal"/>
      <w:lvlText w:val=""/>
      <w:lvlJc w:val="left"/>
    </w:lvl>
    <w:lvl w:ilvl="7" w:tplc="25966F8E">
      <w:numFmt w:val="decimal"/>
      <w:lvlText w:val=""/>
      <w:lvlJc w:val="left"/>
    </w:lvl>
    <w:lvl w:ilvl="8" w:tplc="24CE3D24">
      <w:numFmt w:val="decimal"/>
      <w:lvlText w:val=""/>
      <w:lvlJc w:val="left"/>
    </w:lvl>
  </w:abstractNum>
  <w:abstractNum w:abstractNumId="1537" w15:restartNumberingAfterBreak="0">
    <w:nsid w:val="75B45CFF"/>
    <w:multiLevelType w:val="hybridMultilevel"/>
    <w:tmpl w:val="BE369CCC"/>
    <w:lvl w:ilvl="0" w:tplc="ED56831C">
      <w:start w:val="1"/>
      <w:numFmt w:val="bullet"/>
      <w:lvlText w:val=""/>
      <w:lvlJc w:val="left"/>
      <w:pPr>
        <w:ind w:left="720" w:hanging="180"/>
      </w:pPr>
      <w:rPr>
        <w:rFonts w:ascii="Symbol" w:hAnsi="Symbol" w:hint="default"/>
      </w:rPr>
    </w:lvl>
    <w:lvl w:ilvl="1" w:tplc="5C72083E">
      <w:numFmt w:val="decimal"/>
      <w:lvlText w:val=""/>
      <w:lvlJc w:val="left"/>
    </w:lvl>
    <w:lvl w:ilvl="2" w:tplc="94DC67A2">
      <w:numFmt w:val="decimal"/>
      <w:lvlText w:val=""/>
      <w:lvlJc w:val="left"/>
    </w:lvl>
    <w:lvl w:ilvl="3" w:tplc="3EC46074">
      <w:numFmt w:val="decimal"/>
      <w:lvlText w:val=""/>
      <w:lvlJc w:val="left"/>
    </w:lvl>
    <w:lvl w:ilvl="4" w:tplc="DBC25B1C">
      <w:numFmt w:val="decimal"/>
      <w:lvlText w:val=""/>
      <w:lvlJc w:val="left"/>
    </w:lvl>
    <w:lvl w:ilvl="5" w:tplc="D1740024">
      <w:numFmt w:val="decimal"/>
      <w:lvlText w:val=""/>
      <w:lvlJc w:val="left"/>
    </w:lvl>
    <w:lvl w:ilvl="6" w:tplc="CFAA502A">
      <w:numFmt w:val="decimal"/>
      <w:lvlText w:val=""/>
      <w:lvlJc w:val="left"/>
    </w:lvl>
    <w:lvl w:ilvl="7" w:tplc="C48E23EA">
      <w:numFmt w:val="decimal"/>
      <w:lvlText w:val=""/>
      <w:lvlJc w:val="left"/>
    </w:lvl>
    <w:lvl w:ilvl="8" w:tplc="18A6FD72">
      <w:numFmt w:val="decimal"/>
      <w:lvlText w:val=""/>
      <w:lvlJc w:val="left"/>
    </w:lvl>
  </w:abstractNum>
  <w:abstractNum w:abstractNumId="1538" w15:restartNumberingAfterBreak="0">
    <w:nsid w:val="75C41F57"/>
    <w:multiLevelType w:val="hybridMultilevel"/>
    <w:tmpl w:val="F8A229B0"/>
    <w:lvl w:ilvl="0" w:tplc="C60A1AD4">
      <w:start w:val="1"/>
      <w:numFmt w:val="bullet"/>
      <w:lvlText w:val=""/>
      <w:lvlJc w:val="left"/>
      <w:pPr>
        <w:ind w:left="720" w:hanging="180"/>
      </w:pPr>
      <w:rPr>
        <w:rFonts w:ascii="Symbol" w:hAnsi="Symbol" w:hint="default"/>
      </w:rPr>
    </w:lvl>
    <w:lvl w:ilvl="1" w:tplc="8A2A1756">
      <w:numFmt w:val="decimal"/>
      <w:lvlText w:val=""/>
      <w:lvlJc w:val="left"/>
    </w:lvl>
    <w:lvl w:ilvl="2" w:tplc="9AF4EFE2">
      <w:numFmt w:val="decimal"/>
      <w:lvlText w:val=""/>
      <w:lvlJc w:val="left"/>
    </w:lvl>
    <w:lvl w:ilvl="3" w:tplc="343092F6">
      <w:numFmt w:val="decimal"/>
      <w:lvlText w:val=""/>
      <w:lvlJc w:val="left"/>
    </w:lvl>
    <w:lvl w:ilvl="4" w:tplc="8116B162">
      <w:numFmt w:val="decimal"/>
      <w:lvlText w:val=""/>
      <w:lvlJc w:val="left"/>
    </w:lvl>
    <w:lvl w:ilvl="5" w:tplc="7D267986">
      <w:numFmt w:val="decimal"/>
      <w:lvlText w:val=""/>
      <w:lvlJc w:val="left"/>
    </w:lvl>
    <w:lvl w:ilvl="6" w:tplc="7E481386">
      <w:numFmt w:val="decimal"/>
      <w:lvlText w:val=""/>
      <w:lvlJc w:val="left"/>
    </w:lvl>
    <w:lvl w:ilvl="7" w:tplc="6E2AD068">
      <w:numFmt w:val="decimal"/>
      <w:lvlText w:val=""/>
      <w:lvlJc w:val="left"/>
    </w:lvl>
    <w:lvl w:ilvl="8" w:tplc="A9E4FCA6">
      <w:numFmt w:val="decimal"/>
      <w:lvlText w:val=""/>
      <w:lvlJc w:val="left"/>
    </w:lvl>
  </w:abstractNum>
  <w:abstractNum w:abstractNumId="1539" w15:restartNumberingAfterBreak="0">
    <w:nsid w:val="75F055B8"/>
    <w:multiLevelType w:val="hybridMultilevel"/>
    <w:tmpl w:val="5E8818FC"/>
    <w:lvl w:ilvl="0" w:tplc="D69C9FBC">
      <w:numFmt w:val="decimal"/>
      <w:lvlText w:val=""/>
      <w:lvlJc w:val="left"/>
    </w:lvl>
    <w:lvl w:ilvl="1" w:tplc="84BA6358">
      <w:start w:val="1"/>
      <w:numFmt w:val="bullet"/>
      <w:lvlText w:val=""/>
      <w:lvlJc w:val="left"/>
      <w:pPr>
        <w:ind w:left="1440" w:hanging="180"/>
      </w:pPr>
      <w:rPr>
        <w:rFonts w:ascii="Symbol" w:hAnsi="Symbol" w:hint="default"/>
      </w:rPr>
    </w:lvl>
    <w:lvl w:ilvl="2" w:tplc="837CA724">
      <w:numFmt w:val="decimal"/>
      <w:lvlText w:val=""/>
      <w:lvlJc w:val="left"/>
    </w:lvl>
    <w:lvl w:ilvl="3" w:tplc="C04A7E3C">
      <w:numFmt w:val="decimal"/>
      <w:lvlText w:val=""/>
      <w:lvlJc w:val="left"/>
    </w:lvl>
    <w:lvl w:ilvl="4" w:tplc="34145E7A">
      <w:numFmt w:val="decimal"/>
      <w:lvlText w:val=""/>
      <w:lvlJc w:val="left"/>
    </w:lvl>
    <w:lvl w:ilvl="5" w:tplc="09C404C4">
      <w:numFmt w:val="decimal"/>
      <w:lvlText w:val=""/>
      <w:lvlJc w:val="left"/>
    </w:lvl>
    <w:lvl w:ilvl="6" w:tplc="33386EF4">
      <w:numFmt w:val="decimal"/>
      <w:lvlText w:val=""/>
      <w:lvlJc w:val="left"/>
    </w:lvl>
    <w:lvl w:ilvl="7" w:tplc="154C865A">
      <w:numFmt w:val="decimal"/>
      <w:lvlText w:val=""/>
      <w:lvlJc w:val="left"/>
    </w:lvl>
    <w:lvl w:ilvl="8" w:tplc="CA9C3D80">
      <w:numFmt w:val="decimal"/>
      <w:lvlText w:val=""/>
      <w:lvlJc w:val="left"/>
    </w:lvl>
  </w:abstractNum>
  <w:abstractNum w:abstractNumId="1540" w15:restartNumberingAfterBreak="0">
    <w:nsid w:val="75FE6501"/>
    <w:multiLevelType w:val="hybridMultilevel"/>
    <w:tmpl w:val="47F04086"/>
    <w:lvl w:ilvl="0" w:tplc="9ED28642">
      <w:start w:val="1"/>
      <w:numFmt w:val="bullet"/>
      <w:lvlText w:val=""/>
      <w:lvlJc w:val="left"/>
      <w:pPr>
        <w:ind w:left="720" w:hanging="180"/>
      </w:pPr>
      <w:rPr>
        <w:rFonts w:ascii="Symbol" w:hAnsi="Symbol" w:hint="default"/>
      </w:rPr>
    </w:lvl>
    <w:lvl w:ilvl="1" w:tplc="0B144F22">
      <w:numFmt w:val="decimal"/>
      <w:lvlText w:val=""/>
      <w:lvlJc w:val="left"/>
    </w:lvl>
    <w:lvl w:ilvl="2" w:tplc="31643142">
      <w:numFmt w:val="decimal"/>
      <w:lvlText w:val=""/>
      <w:lvlJc w:val="left"/>
    </w:lvl>
    <w:lvl w:ilvl="3" w:tplc="FCE81434">
      <w:numFmt w:val="decimal"/>
      <w:lvlText w:val=""/>
      <w:lvlJc w:val="left"/>
    </w:lvl>
    <w:lvl w:ilvl="4" w:tplc="5786387A">
      <w:numFmt w:val="decimal"/>
      <w:lvlText w:val=""/>
      <w:lvlJc w:val="left"/>
    </w:lvl>
    <w:lvl w:ilvl="5" w:tplc="0B7CE794">
      <w:numFmt w:val="decimal"/>
      <w:lvlText w:val=""/>
      <w:lvlJc w:val="left"/>
    </w:lvl>
    <w:lvl w:ilvl="6" w:tplc="D4648F66">
      <w:numFmt w:val="decimal"/>
      <w:lvlText w:val=""/>
      <w:lvlJc w:val="left"/>
    </w:lvl>
    <w:lvl w:ilvl="7" w:tplc="C884F57C">
      <w:numFmt w:val="decimal"/>
      <w:lvlText w:val=""/>
      <w:lvlJc w:val="left"/>
    </w:lvl>
    <w:lvl w:ilvl="8" w:tplc="2FC888E2">
      <w:numFmt w:val="decimal"/>
      <w:lvlText w:val=""/>
      <w:lvlJc w:val="left"/>
    </w:lvl>
  </w:abstractNum>
  <w:abstractNum w:abstractNumId="1541" w15:restartNumberingAfterBreak="0">
    <w:nsid w:val="75FF7C51"/>
    <w:multiLevelType w:val="hybridMultilevel"/>
    <w:tmpl w:val="FD12385A"/>
    <w:lvl w:ilvl="0" w:tplc="2E5041AC">
      <w:start w:val="1"/>
      <w:numFmt w:val="bullet"/>
      <w:lvlText w:val=""/>
      <w:lvlJc w:val="left"/>
      <w:pPr>
        <w:ind w:left="720" w:hanging="180"/>
      </w:pPr>
      <w:rPr>
        <w:rFonts w:ascii="Symbol" w:hAnsi="Symbol" w:hint="default"/>
      </w:rPr>
    </w:lvl>
    <w:lvl w:ilvl="1" w:tplc="D2E42956">
      <w:numFmt w:val="decimal"/>
      <w:lvlText w:val=""/>
      <w:lvlJc w:val="left"/>
    </w:lvl>
    <w:lvl w:ilvl="2" w:tplc="3F109FBA">
      <w:numFmt w:val="decimal"/>
      <w:lvlText w:val=""/>
      <w:lvlJc w:val="left"/>
    </w:lvl>
    <w:lvl w:ilvl="3" w:tplc="10A28A38">
      <w:numFmt w:val="decimal"/>
      <w:lvlText w:val=""/>
      <w:lvlJc w:val="left"/>
    </w:lvl>
    <w:lvl w:ilvl="4" w:tplc="F09E8B16">
      <w:numFmt w:val="decimal"/>
      <w:lvlText w:val=""/>
      <w:lvlJc w:val="left"/>
    </w:lvl>
    <w:lvl w:ilvl="5" w:tplc="5F245C82">
      <w:numFmt w:val="decimal"/>
      <w:lvlText w:val=""/>
      <w:lvlJc w:val="left"/>
    </w:lvl>
    <w:lvl w:ilvl="6" w:tplc="516C24D4">
      <w:numFmt w:val="decimal"/>
      <w:lvlText w:val=""/>
      <w:lvlJc w:val="left"/>
    </w:lvl>
    <w:lvl w:ilvl="7" w:tplc="3ADEEA44">
      <w:numFmt w:val="decimal"/>
      <w:lvlText w:val=""/>
      <w:lvlJc w:val="left"/>
    </w:lvl>
    <w:lvl w:ilvl="8" w:tplc="D6EA5942">
      <w:numFmt w:val="decimal"/>
      <w:lvlText w:val=""/>
      <w:lvlJc w:val="left"/>
    </w:lvl>
  </w:abstractNum>
  <w:abstractNum w:abstractNumId="1542" w15:restartNumberingAfterBreak="0">
    <w:nsid w:val="7600251D"/>
    <w:multiLevelType w:val="hybridMultilevel"/>
    <w:tmpl w:val="2062C2FA"/>
    <w:lvl w:ilvl="0" w:tplc="960E2D96">
      <w:start w:val="1"/>
      <w:numFmt w:val="bullet"/>
      <w:lvlText w:val=""/>
      <w:lvlJc w:val="left"/>
      <w:pPr>
        <w:ind w:left="720" w:hanging="180"/>
      </w:pPr>
      <w:rPr>
        <w:rFonts w:ascii="Symbol" w:hAnsi="Symbol" w:hint="default"/>
      </w:rPr>
    </w:lvl>
    <w:lvl w:ilvl="1" w:tplc="291ED16C">
      <w:numFmt w:val="decimal"/>
      <w:lvlText w:val=""/>
      <w:lvlJc w:val="left"/>
    </w:lvl>
    <w:lvl w:ilvl="2" w:tplc="9D2071E0">
      <w:numFmt w:val="decimal"/>
      <w:lvlText w:val=""/>
      <w:lvlJc w:val="left"/>
    </w:lvl>
    <w:lvl w:ilvl="3" w:tplc="280A7A7C">
      <w:numFmt w:val="decimal"/>
      <w:lvlText w:val=""/>
      <w:lvlJc w:val="left"/>
    </w:lvl>
    <w:lvl w:ilvl="4" w:tplc="4388178A">
      <w:numFmt w:val="decimal"/>
      <w:lvlText w:val=""/>
      <w:lvlJc w:val="left"/>
    </w:lvl>
    <w:lvl w:ilvl="5" w:tplc="48D0A420">
      <w:numFmt w:val="decimal"/>
      <w:lvlText w:val=""/>
      <w:lvlJc w:val="left"/>
    </w:lvl>
    <w:lvl w:ilvl="6" w:tplc="DE64578C">
      <w:numFmt w:val="decimal"/>
      <w:lvlText w:val=""/>
      <w:lvlJc w:val="left"/>
    </w:lvl>
    <w:lvl w:ilvl="7" w:tplc="1A465036">
      <w:numFmt w:val="decimal"/>
      <w:lvlText w:val=""/>
      <w:lvlJc w:val="left"/>
    </w:lvl>
    <w:lvl w:ilvl="8" w:tplc="9938922A">
      <w:numFmt w:val="decimal"/>
      <w:lvlText w:val=""/>
      <w:lvlJc w:val="left"/>
    </w:lvl>
  </w:abstractNum>
  <w:abstractNum w:abstractNumId="1543" w15:restartNumberingAfterBreak="0">
    <w:nsid w:val="761564B9"/>
    <w:multiLevelType w:val="hybridMultilevel"/>
    <w:tmpl w:val="9FB0A686"/>
    <w:lvl w:ilvl="0" w:tplc="EFB6B79A">
      <w:start w:val="1"/>
      <w:numFmt w:val="bullet"/>
      <w:lvlText w:val=""/>
      <w:lvlJc w:val="left"/>
      <w:pPr>
        <w:ind w:left="720" w:hanging="180"/>
      </w:pPr>
      <w:rPr>
        <w:rFonts w:ascii="Symbol" w:hAnsi="Symbol" w:hint="default"/>
      </w:rPr>
    </w:lvl>
    <w:lvl w:ilvl="1" w:tplc="2DBE5D38">
      <w:numFmt w:val="decimal"/>
      <w:lvlText w:val=""/>
      <w:lvlJc w:val="left"/>
    </w:lvl>
    <w:lvl w:ilvl="2" w:tplc="94305998">
      <w:numFmt w:val="decimal"/>
      <w:lvlText w:val=""/>
      <w:lvlJc w:val="left"/>
    </w:lvl>
    <w:lvl w:ilvl="3" w:tplc="92EA8DE4">
      <w:numFmt w:val="decimal"/>
      <w:lvlText w:val=""/>
      <w:lvlJc w:val="left"/>
    </w:lvl>
    <w:lvl w:ilvl="4" w:tplc="F73A0D3A">
      <w:numFmt w:val="decimal"/>
      <w:lvlText w:val=""/>
      <w:lvlJc w:val="left"/>
    </w:lvl>
    <w:lvl w:ilvl="5" w:tplc="CF9E6B66">
      <w:numFmt w:val="decimal"/>
      <w:lvlText w:val=""/>
      <w:lvlJc w:val="left"/>
    </w:lvl>
    <w:lvl w:ilvl="6" w:tplc="966A0FE8">
      <w:numFmt w:val="decimal"/>
      <w:lvlText w:val=""/>
      <w:lvlJc w:val="left"/>
    </w:lvl>
    <w:lvl w:ilvl="7" w:tplc="A64C2D14">
      <w:numFmt w:val="decimal"/>
      <w:lvlText w:val=""/>
      <w:lvlJc w:val="left"/>
    </w:lvl>
    <w:lvl w:ilvl="8" w:tplc="C24203F0">
      <w:numFmt w:val="decimal"/>
      <w:lvlText w:val=""/>
      <w:lvlJc w:val="left"/>
    </w:lvl>
  </w:abstractNum>
  <w:abstractNum w:abstractNumId="1544" w15:restartNumberingAfterBreak="0">
    <w:nsid w:val="762B261E"/>
    <w:multiLevelType w:val="hybridMultilevel"/>
    <w:tmpl w:val="253271CC"/>
    <w:lvl w:ilvl="0" w:tplc="F998EAB2">
      <w:start w:val="1"/>
      <w:numFmt w:val="bullet"/>
      <w:lvlText w:val=""/>
      <w:lvlJc w:val="left"/>
      <w:pPr>
        <w:ind w:left="720" w:hanging="180"/>
      </w:pPr>
      <w:rPr>
        <w:rFonts w:ascii="Symbol" w:hAnsi="Symbol" w:hint="default"/>
      </w:rPr>
    </w:lvl>
    <w:lvl w:ilvl="1" w:tplc="66C6372E">
      <w:numFmt w:val="decimal"/>
      <w:lvlText w:val=""/>
      <w:lvlJc w:val="left"/>
    </w:lvl>
    <w:lvl w:ilvl="2" w:tplc="270A0DB0">
      <w:numFmt w:val="decimal"/>
      <w:lvlText w:val=""/>
      <w:lvlJc w:val="left"/>
    </w:lvl>
    <w:lvl w:ilvl="3" w:tplc="6E4025D4">
      <w:numFmt w:val="decimal"/>
      <w:lvlText w:val=""/>
      <w:lvlJc w:val="left"/>
    </w:lvl>
    <w:lvl w:ilvl="4" w:tplc="8C6EEB44">
      <w:numFmt w:val="decimal"/>
      <w:lvlText w:val=""/>
      <w:lvlJc w:val="left"/>
    </w:lvl>
    <w:lvl w:ilvl="5" w:tplc="0CBCC960">
      <w:numFmt w:val="decimal"/>
      <w:lvlText w:val=""/>
      <w:lvlJc w:val="left"/>
    </w:lvl>
    <w:lvl w:ilvl="6" w:tplc="E5463022">
      <w:numFmt w:val="decimal"/>
      <w:lvlText w:val=""/>
      <w:lvlJc w:val="left"/>
    </w:lvl>
    <w:lvl w:ilvl="7" w:tplc="13228248">
      <w:numFmt w:val="decimal"/>
      <w:lvlText w:val=""/>
      <w:lvlJc w:val="left"/>
    </w:lvl>
    <w:lvl w:ilvl="8" w:tplc="8C7036F0">
      <w:numFmt w:val="decimal"/>
      <w:lvlText w:val=""/>
      <w:lvlJc w:val="left"/>
    </w:lvl>
  </w:abstractNum>
  <w:abstractNum w:abstractNumId="1545" w15:restartNumberingAfterBreak="0">
    <w:nsid w:val="76545072"/>
    <w:multiLevelType w:val="hybridMultilevel"/>
    <w:tmpl w:val="BD80560C"/>
    <w:lvl w:ilvl="0" w:tplc="6DD4F8D0">
      <w:start w:val="1"/>
      <w:numFmt w:val="bullet"/>
      <w:lvlText w:val=""/>
      <w:lvlJc w:val="left"/>
      <w:pPr>
        <w:ind w:left="720" w:hanging="180"/>
      </w:pPr>
      <w:rPr>
        <w:rFonts w:ascii="Symbol" w:hAnsi="Symbol" w:hint="default"/>
      </w:rPr>
    </w:lvl>
    <w:lvl w:ilvl="1" w:tplc="EC2E3B2A">
      <w:numFmt w:val="decimal"/>
      <w:lvlText w:val=""/>
      <w:lvlJc w:val="left"/>
    </w:lvl>
    <w:lvl w:ilvl="2" w:tplc="1422C434">
      <w:numFmt w:val="decimal"/>
      <w:lvlText w:val=""/>
      <w:lvlJc w:val="left"/>
    </w:lvl>
    <w:lvl w:ilvl="3" w:tplc="7AE2C832">
      <w:numFmt w:val="decimal"/>
      <w:lvlText w:val=""/>
      <w:lvlJc w:val="left"/>
    </w:lvl>
    <w:lvl w:ilvl="4" w:tplc="B4D03F62">
      <w:numFmt w:val="decimal"/>
      <w:lvlText w:val=""/>
      <w:lvlJc w:val="left"/>
    </w:lvl>
    <w:lvl w:ilvl="5" w:tplc="FDECDF4E">
      <w:numFmt w:val="decimal"/>
      <w:lvlText w:val=""/>
      <w:lvlJc w:val="left"/>
    </w:lvl>
    <w:lvl w:ilvl="6" w:tplc="2FD66AF0">
      <w:numFmt w:val="decimal"/>
      <w:lvlText w:val=""/>
      <w:lvlJc w:val="left"/>
    </w:lvl>
    <w:lvl w:ilvl="7" w:tplc="ED36E6CA">
      <w:numFmt w:val="decimal"/>
      <w:lvlText w:val=""/>
      <w:lvlJc w:val="left"/>
    </w:lvl>
    <w:lvl w:ilvl="8" w:tplc="5F3E5F20">
      <w:numFmt w:val="decimal"/>
      <w:lvlText w:val=""/>
      <w:lvlJc w:val="left"/>
    </w:lvl>
  </w:abstractNum>
  <w:abstractNum w:abstractNumId="1546" w15:restartNumberingAfterBreak="0">
    <w:nsid w:val="766142E2"/>
    <w:multiLevelType w:val="hybridMultilevel"/>
    <w:tmpl w:val="1D42E1DA"/>
    <w:lvl w:ilvl="0" w:tplc="152ECA78">
      <w:start w:val="1"/>
      <w:numFmt w:val="bullet"/>
      <w:lvlText w:val=""/>
      <w:lvlJc w:val="left"/>
      <w:pPr>
        <w:ind w:left="720" w:hanging="180"/>
      </w:pPr>
      <w:rPr>
        <w:rFonts w:ascii="Symbol" w:hAnsi="Symbol" w:hint="default"/>
      </w:rPr>
    </w:lvl>
    <w:lvl w:ilvl="1" w:tplc="0B94721E">
      <w:numFmt w:val="decimal"/>
      <w:lvlText w:val=""/>
      <w:lvlJc w:val="left"/>
    </w:lvl>
    <w:lvl w:ilvl="2" w:tplc="5846062C">
      <w:numFmt w:val="decimal"/>
      <w:lvlText w:val=""/>
      <w:lvlJc w:val="left"/>
    </w:lvl>
    <w:lvl w:ilvl="3" w:tplc="4336DF6A">
      <w:numFmt w:val="decimal"/>
      <w:lvlText w:val=""/>
      <w:lvlJc w:val="left"/>
    </w:lvl>
    <w:lvl w:ilvl="4" w:tplc="78221D94">
      <w:numFmt w:val="decimal"/>
      <w:lvlText w:val=""/>
      <w:lvlJc w:val="left"/>
    </w:lvl>
    <w:lvl w:ilvl="5" w:tplc="F92CD9AC">
      <w:numFmt w:val="decimal"/>
      <w:lvlText w:val=""/>
      <w:lvlJc w:val="left"/>
    </w:lvl>
    <w:lvl w:ilvl="6" w:tplc="50C0675A">
      <w:numFmt w:val="decimal"/>
      <w:lvlText w:val=""/>
      <w:lvlJc w:val="left"/>
    </w:lvl>
    <w:lvl w:ilvl="7" w:tplc="6CBCE992">
      <w:numFmt w:val="decimal"/>
      <w:lvlText w:val=""/>
      <w:lvlJc w:val="left"/>
    </w:lvl>
    <w:lvl w:ilvl="8" w:tplc="0FC4518A">
      <w:numFmt w:val="decimal"/>
      <w:lvlText w:val=""/>
      <w:lvlJc w:val="left"/>
    </w:lvl>
  </w:abstractNum>
  <w:abstractNum w:abstractNumId="1547" w15:restartNumberingAfterBreak="0">
    <w:nsid w:val="766A01C8"/>
    <w:multiLevelType w:val="hybridMultilevel"/>
    <w:tmpl w:val="2CC85538"/>
    <w:lvl w:ilvl="0" w:tplc="C6B0C548">
      <w:numFmt w:val="decimal"/>
      <w:lvlText w:val=""/>
      <w:lvlJc w:val="left"/>
    </w:lvl>
    <w:lvl w:ilvl="1" w:tplc="01349BF2">
      <w:start w:val="1"/>
      <w:numFmt w:val="bullet"/>
      <w:lvlText w:val=""/>
      <w:lvlJc w:val="left"/>
      <w:pPr>
        <w:ind w:left="1440" w:hanging="180"/>
      </w:pPr>
      <w:rPr>
        <w:rFonts w:ascii="Symbol" w:hAnsi="Symbol" w:hint="default"/>
      </w:rPr>
    </w:lvl>
    <w:lvl w:ilvl="2" w:tplc="407A0DA4">
      <w:numFmt w:val="decimal"/>
      <w:lvlText w:val=""/>
      <w:lvlJc w:val="left"/>
    </w:lvl>
    <w:lvl w:ilvl="3" w:tplc="AD5886D6">
      <w:numFmt w:val="decimal"/>
      <w:lvlText w:val=""/>
      <w:lvlJc w:val="left"/>
    </w:lvl>
    <w:lvl w:ilvl="4" w:tplc="5C7C7EF2">
      <w:numFmt w:val="decimal"/>
      <w:lvlText w:val=""/>
      <w:lvlJc w:val="left"/>
    </w:lvl>
    <w:lvl w:ilvl="5" w:tplc="6FAC9DBE">
      <w:numFmt w:val="decimal"/>
      <w:lvlText w:val=""/>
      <w:lvlJc w:val="left"/>
    </w:lvl>
    <w:lvl w:ilvl="6" w:tplc="F4341A4E">
      <w:numFmt w:val="decimal"/>
      <w:lvlText w:val=""/>
      <w:lvlJc w:val="left"/>
    </w:lvl>
    <w:lvl w:ilvl="7" w:tplc="70F87ADA">
      <w:numFmt w:val="decimal"/>
      <w:lvlText w:val=""/>
      <w:lvlJc w:val="left"/>
    </w:lvl>
    <w:lvl w:ilvl="8" w:tplc="606C8D08">
      <w:numFmt w:val="decimal"/>
      <w:lvlText w:val=""/>
      <w:lvlJc w:val="left"/>
    </w:lvl>
  </w:abstractNum>
  <w:abstractNum w:abstractNumId="1548" w15:restartNumberingAfterBreak="0">
    <w:nsid w:val="76863ED0"/>
    <w:multiLevelType w:val="hybridMultilevel"/>
    <w:tmpl w:val="E098AA2C"/>
    <w:lvl w:ilvl="0" w:tplc="D66A266C">
      <w:start w:val="1"/>
      <w:numFmt w:val="bullet"/>
      <w:lvlText w:val=""/>
      <w:lvlJc w:val="left"/>
      <w:pPr>
        <w:ind w:left="720" w:hanging="180"/>
      </w:pPr>
      <w:rPr>
        <w:rFonts w:ascii="Symbol" w:hAnsi="Symbol" w:hint="default"/>
      </w:rPr>
    </w:lvl>
    <w:lvl w:ilvl="1" w:tplc="78F4CA76">
      <w:numFmt w:val="decimal"/>
      <w:lvlText w:val=""/>
      <w:lvlJc w:val="left"/>
    </w:lvl>
    <w:lvl w:ilvl="2" w:tplc="87D2F358">
      <w:numFmt w:val="decimal"/>
      <w:lvlText w:val=""/>
      <w:lvlJc w:val="left"/>
    </w:lvl>
    <w:lvl w:ilvl="3" w:tplc="25AA616E">
      <w:numFmt w:val="decimal"/>
      <w:lvlText w:val=""/>
      <w:lvlJc w:val="left"/>
    </w:lvl>
    <w:lvl w:ilvl="4" w:tplc="4AE0053E">
      <w:numFmt w:val="decimal"/>
      <w:lvlText w:val=""/>
      <w:lvlJc w:val="left"/>
    </w:lvl>
    <w:lvl w:ilvl="5" w:tplc="66D6BCFE">
      <w:numFmt w:val="decimal"/>
      <w:lvlText w:val=""/>
      <w:lvlJc w:val="left"/>
    </w:lvl>
    <w:lvl w:ilvl="6" w:tplc="0C5EB32A">
      <w:numFmt w:val="decimal"/>
      <w:lvlText w:val=""/>
      <w:lvlJc w:val="left"/>
    </w:lvl>
    <w:lvl w:ilvl="7" w:tplc="BE16000E">
      <w:numFmt w:val="decimal"/>
      <w:lvlText w:val=""/>
      <w:lvlJc w:val="left"/>
    </w:lvl>
    <w:lvl w:ilvl="8" w:tplc="884C3EB4">
      <w:numFmt w:val="decimal"/>
      <w:lvlText w:val=""/>
      <w:lvlJc w:val="left"/>
    </w:lvl>
  </w:abstractNum>
  <w:abstractNum w:abstractNumId="1549" w15:restartNumberingAfterBreak="0">
    <w:nsid w:val="768D5FE5"/>
    <w:multiLevelType w:val="hybridMultilevel"/>
    <w:tmpl w:val="48A0966E"/>
    <w:lvl w:ilvl="0" w:tplc="96F24878">
      <w:numFmt w:val="decimal"/>
      <w:lvlText w:val=""/>
      <w:lvlJc w:val="left"/>
    </w:lvl>
    <w:lvl w:ilvl="1" w:tplc="79F678A4">
      <w:start w:val="1"/>
      <w:numFmt w:val="bullet"/>
      <w:lvlText w:val=""/>
      <w:lvlJc w:val="left"/>
      <w:pPr>
        <w:ind w:left="1440" w:hanging="180"/>
      </w:pPr>
      <w:rPr>
        <w:rFonts w:ascii="Symbol" w:hAnsi="Symbol" w:hint="default"/>
      </w:rPr>
    </w:lvl>
    <w:lvl w:ilvl="2" w:tplc="99969D00">
      <w:numFmt w:val="decimal"/>
      <w:lvlText w:val=""/>
      <w:lvlJc w:val="left"/>
    </w:lvl>
    <w:lvl w:ilvl="3" w:tplc="992A8B70">
      <w:numFmt w:val="decimal"/>
      <w:lvlText w:val=""/>
      <w:lvlJc w:val="left"/>
    </w:lvl>
    <w:lvl w:ilvl="4" w:tplc="DA3CAA5A">
      <w:numFmt w:val="decimal"/>
      <w:lvlText w:val=""/>
      <w:lvlJc w:val="left"/>
    </w:lvl>
    <w:lvl w:ilvl="5" w:tplc="F118D07A">
      <w:numFmt w:val="decimal"/>
      <w:lvlText w:val=""/>
      <w:lvlJc w:val="left"/>
    </w:lvl>
    <w:lvl w:ilvl="6" w:tplc="7A0E0178">
      <w:numFmt w:val="decimal"/>
      <w:lvlText w:val=""/>
      <w:lvlJc w:val="left"/>
    </w:lvl>
    <w:lvl w:ilvl="7" w:tplc="D47635D8">
      <w:numFmt w:val="decimal"/>
      <w:lvlText w:val=""/>
      <w:lvlJc w:val="left"/>
    </w:lvl>
    <w:lvl w:ilvl="8" w:tplc="21ECDF2A">
      <w:numFmt w:val="decimal"/>
      <w:lvlText w:val=""/>
      <w:lvlJc w:val="left"/>
    </w:lvl>
  </w:abstractNum>
  <w:abstractNum w:abstractNumId="1550" w15:restartNumberingAfterBreak="0">
    <w:nsid w:val="76E75BFA"/>
    <w:multiLevelType w:val="hybridMultilevel"/>
    <w:tmpl w:val="8496FED0"/>
    <w:lvl w:ilvl="0" w:tplc="3E96870E">
      <w:start w:val="1"/>
      <w:numFmt w:val="bullet"/>
      <w:lvlText w:val=""/>
      <w:lvlJc w:val="left"/>
      <w:pPr>
        <w:ind w:left="720" w:hanging="180"/>
      </w:pPr>
      <w:rPr>
        <w:rFonts w:ascii="Symbol" w:hAnsi="Symbol" w:hint="default"/>
      </w:rPr>
    </w:lvl>
    <w:lvl w:ilvl="1" w:tplc="95AEDD48">
      <w:numFmt w:val="decimal"/>
      <w:lvlText w:val=""/>
      <w:lvlJc w:val="left"/>
    </w:lvl>
    <w:lvl w:ilvl="2" w:tplc="B846F480">
      <w:numFmt w:val="decimal"/>
      <w:lvlText w:val=""/>
      <w:lvlJc w:val="left"/>
    </w:lvl>
    <w:lvl w:ilvl="3" w:tplc="7A6ABD6A">
      <w:numFmt w:val="decimal"/>
      <w:lvlText w:val=""/>
      <w:lvlJc w:val="left"/>
    </w:lvl>
    <w:lvl w:ilvl="4" w:tplc="3A80C89A">
      <w:numFmt w:val="decimal"/>
      <w:lvlText w:val=""/>
      <w:lvlJc w:val="left"/>
    </w:lvl>
    <w:lvl w:ilvl="5" w:tplc="58F8A4F6">
      <w:numFmt w:val="decimal"/>
      <w:lvlText w:val=""/>
      <w:lvlJc w:val="left"/>
    </w:lvl>
    <w:lvl w:ilvl="6" w:tplc="F41213A2">
      <w:numFmt w:val="decimal"/>
      <w:lvlText w:val=""/>
      <w:lvlJc w:val="left"/>
    </w:lvl>
    <w:lvl w:ilvl="7" w:tplc="7C460032">
      <w:numFmt w:val="decimal"/>
      <w:lvlText w:val=""/>
      <w:lvlJc w:val="left"/>
    </w:lvl>
    <w:lvl w:ilvl="8" w:tplc="F822D1B0">
      <w:numFmt w:val="decimal"/>
      <w:lvlText w:val=""/>
      <w:lvlJc w:val="left"/>
    </w:lvl>
  </w:abstractNum>
  <w:abstractNum w:abstractNumId="1551" w15:restartNumberingAfterBreak="0">
    <w:nsid w:val="76E86310"/>
    <w:multiLevelType w:val="hybridMultilevel"/>
    <w:tmpl w:val="411AFD1C"/>
    <w:lvl w:ilvl="0" w:tplc="A5E83806">
      <w:start w:val="1"/>
      <w:numFmt w:val="bullet"/>
      <w:lvlText w:val=""/>
      <w:lvlJc w:val="left"/>
      <w:pPr>
        <w:ind w:left="720" w:hanging="180"/>
      </w:pPr>
      <w:rPr>
        <w:rFonts w:ascii="Symbol" w:hAnsi="Symbol" w:hint="default"/>
      </w:rPr>
    </w:lvl>
    <w:lvl w:ilvl="1" w:tplc="BBC296C4">
      <w:numFmt w:val="decimal"/>
      <w:lvlText w:val=""/>
      <w:lvlJc w:val="left"/>
    </w:lvl>
    <w:lvl w:ilvl="2" w:tplc="708AE010">
      <w:numFmt w:val="decimal"/>
      <w:lvlText w:val=""/>
      <w:lvlJc w:val="left"/>
    </w:lvl>
    <w:lvl w:ilvl="3" w:tplc="6F48B3B0">
      <w:numFmt w:val="decimal"/>
      <w:lvlText w:val=""/>
      <w:lvlJc w:val="left"/>
    </w:lvl>
    <w:lvl w:ilvl="4" w:tplc="ED429A7E">
      <w:numFmt w:val="decimal"/>
      <w:lvlText w:val=""/>
      <w:lvlJc w:val="left"/>
    </w:lvl>
    <w:lvl w:ilvl="5" w:tplc="4E46226C">
      <w:numFmt w:val="decimal"/>
      <w:lvlText w:val=""/>
      <w:lvlJc w:val="left"/>
    </w:lvl>
    <w:lvl w:ilvl="6" w:tplc="F618B1E8">
      <w:numFmt w:val="decimal"/>
      <w:lvlText w:val=""/>
      <w:lvlJc w:val="left"/>
    </w:lvl>
    <w:lvl w:ilvl="7" w:tplc="C37C1E28">
      <w:numFmt w:val="decimal"/>
      <w:lvlText w:val=""/>
      <w:lvlJc w:val="left"/>
    </w:lvl>
    <w:lvl w:ilvl="8" w:tplc="385EE516">
      <w:numFmt w:val="decimal"/>
      <w:lvlText w:val=""/>
      <w:lvlJc w:val="left"/>
    </w:lvl>
  </w:abstractNum>
  <w:abstractNum w:abstractNumId="1552" w15:restartNumberingAfterBreak="0">
    <w:nsid w:val="7717126D"/>
    <w:multiLevelType w:val="hybridMultilevel"/>
    <w:tmpl w:val="450E77D8"/>
    <w:lvl w:ilvl="0" w:tplc="1430EF12">
      <w:start w:val="1"/>
      <w:numFmt w:val="bullet"/>
      <w:lvlText w:val=""/>
      <w:lvlJc w:val="left"/>
      <w:pPr>
        <w:ind w:left="720" w:hanging="180"/>
      </w:pPr>
      <w:rPr>
        <w:rFonts w:ascii="Symbol" w:hAnsi="Symbol" w:hint="default"/>
      </w:rPr>
    </w:lvl>
    <w:lvl w:ilvl="1" w:tplc="4F747DD0">
      <w:numFmt w:val="decimal"/>
      <w:lvlText w:val=""/>
      <w:lvlJc w:val="left"/>
    </w:lvl>
    <w:lvl w:ilvl="2" w:tplc="FC12F1F6">
      <w:numFmt w:val="decimal"/>
      <w:lvlText w:val=""/>
      <w:lvlJc w:val="left"/>
    </w:lvl>
    <w:lvl w:ilvl="3" w:tplc="24C01EEE">
      <w:numFmt w:val="decimal"/>
      <w:lvlText w:val=""/>
      <w:lvlJc w:val="left"/>
    </w:lvl>
    <w:lvl w:ilvl="4" w:tplc="EAB4C1A0">
      <w:numFmt w:val="decimal"/>
      <w:lvlText w:val=""/>
      <w:lvlJc w:val="left"/>
    </w:lvl>
    <w:lvl w:ilvl="5" w:tplc="89EA7476">
      <w:numFmt w:val="decimal"/>
      <w:lvlText w:val=""/>
      <w:lvlJc w:val="left"/>
    </w:lvl>
    <w:lvl w:ilvl="6" w:tplc="679E7408">
      <w:numFmt w:val="decimal"/>
      <w:lvlText w:val=""/>
      <w:lvlJc w:val="left"/>
    </w:lvl>
    <w:lvl w:ilvl="7" w:tplc="B9E86C78">
      <w:numFmt w:val="decimal"/>
      <w:lvlText w:val=""/>
      <w:lvlJc w:val="left"/>
    </w:lvl>
    <w:lvl w:ilvl="8" w:tplc="B614A414">
      <w:numFmt w:val="decimal"/>
      <w:lvlText w:val=""/>
      <w:lvlJc w:val="left"/>
    </w:lvl>
  </w:abstractNum>
  <w:abstractNum w:abstractNumId="1553" w15:restartNumberingAfterBreak="0">
    <w:nsid w:val="77233E13"/>
    <w:multiLevelType w:val="hybridMultilevel"/>
    <w:tmpl w:val="2DEE6BFE"/>
    <w:lvl w:ilvl="0" w:tplc="5FC45B64">
      <w:start w:val="1"/>
      <w:numFmt w:val="bullet"/>
      <w:lvlText w:val=""/>
      <w:lvlJc w:val="left"/>
      <w:pPr>
        <w:ind w:left="720" w:hanging="180"/>
      </w:pPr>
      <w:rPr>
        <w:rFonts w:ascii="Symbol" w:hAnsi="Symbol" w:hint="default"/>
      </w:rPr>
    </w:lvl>
    <w:lvl w:ilvl="1" w:tplc="8F44C286">
      <w:numFmt w:val="decimal"/>
      <w:lvlText w:val=""/>
      <w:lvlJc w:val="left"/>
    </w:lvl>
    <w:lvl w:ilvl="2" w:tplc="0B0AC17A">
      <w:numFmt w:val="decimal"/>
      <w:lvlText w:val=""/>
      <w:lvlJc w:val="left"/>
    </w:lvl>
    <w:lvl w:ilvl="3" w:tplc="E452A092">
      <w:numFmt w:val="decimal"/>
      <w:lvlText w:val=""/>
      <w:lvlJc w:val="left"/>
    </w:lvl>
    <w:lvl w:ilvl="4" w:tplc="7A4E9EB0">
      <w:numFmt w:val="decimal"/>
      <w:lvlText w:val=""/>
      <w:lvlJc w:val="left"/>
    </w:lvl>
    <w:lvl w:ilvl="5" w:tplc="43742CF8">
      <w:numFmt w:val="decimal"/>
      <w:lvlText w:val=""/>
      <w:lvlJc w:val="left"/>
    </w:lvl>
    <w:lvl w:ilvl="6" w:tplc="8E246CA8">
      <w:numFmt w:val="decimal"/>
      <w:lvlText w:val=""/>
      <w:lvlJc w:val="left"/>
    </w:lvl>
    <w:lvl w:ilvl="7" w:tplc="C47AF71C">
      <w:numFmt w:val="decimal"/>
      <w:lvlText w:val=""/>
      <w:lvlJc w:val="left"/>
    </w:lvl>
    <w:lvl w:ilvl="8" w:tplc="7498579C">
      <w:numFmt w:val="decimal"/>
      <w:lvlText w:val=""/>
      <w:lvlJc w:val="left"/>
    </w:lvl>
  </w:abstractNum>
  <w:abstractNum w:abstractNumId="1554" w15:restartNumberingAfterBreak="0">
    <w:nsid w:val="772928C2"/>
    <w:multiLevelType w:val="hybridMultilevel"/>
    <w:tmpl w:val="C8B669DE"/>
    <w:lvl w:ilvl="0" w:tplc="DE34208E">
      <w:start w:val="1"/>
      <w:numFmt w:val="bullet"/>
      <w:lvlText w:val=""/>
      <w:lvlJc w:val="left"/>
      <w:pPr>
        <w:ind w:left="720" w:hanging="180"/>
      </w:pPr>
      <w:rPr>
        <w:rFonts w:ascii="Symbol" w:hAnsi="Symbol" w:hint="default"/>
      </w:rPr>
    </w:lvl>
    <w:lvl w:ilvl="1" w:tplc="6C101080">
      <w:numFmt w:val="decimal"/>
      <w:lvlText w:val=""/>
      <w:lvlJc w:val="left"/>
    </w:lvl>
    <w:lvl w:ilvl="2" w:tplc="66D6B3B6">
      <w:numFmt w:val="decimal"/>
      <w:lvlText w:val=""/>
      <w:lvlJc w:val="left"/>
    </w:lvl>
    <w:lvl w:ilvl="3" w:tplc="FE0E263E">
      <w:numFmt w:val="decimal"/>
      <w:lvlText w:val=""/>
      <w:lvlJc w:val="left"/>
    </w:lvl>
    <w:lvl w:ilvl="4" w:tplc="76EEFA24">
      <w:numFmt w:val="decimal"/>
      <w:lvlText w:val=""/>
      <w:lvlJc w:val="left"/>
    </w:lvl>
    <w:lvl w:ilvl="5" w:tplc="D5B87282">
      <w:numFmt w:val="decimal"/>
      <w:lvlText w:val=""/>
      <w:lvlJc w:val="left"/>
    </w:lvl>
    <w:lvl w:ilvl="6" w:tplc="501002C8">
      <w:numFmt w:val="decimal"/>
      <w:lvlText w:val=""/>
      <w:lvlJc w:val="left"/>
    </w:lvl>
    <w:lvl w:ilvl="7" w:tplc="0A8AA3D8">
      <w:numFmt w:val="decimal"/>
      <w:lvlText w:val=""/>
      <w:lvlJc w:val="left"/>
    </w:lvl>
    <w:lvl w:ilvl="8" w:tplc="0492AFD4">
      <w:numFmt w:val="decimal"/>
      <w:lvlText w:val=""/>
      <w:lvlJc w:val="left"/>
    </w:lvl>
  </w:abstractNum>
  <w:abstractNum w:abstractNumId="1555" w15:restartNumberingAfterBreak="0">
    <w:nsid w:val="77472B46"/>
    <w:multiLevelType w:val="hybridMultilevel"/>
    <w:tmpl w:val="CDF607AC"/>
    <w:lvl w:ilvl="0" w:tplc="C038A884">
      <w:numFmt w:val="decimal"/>
      <w:lvlText w:val=""/>
      <w:lvlJc w:val="left"/>
    </w:lvl>
    <w:lvl w:ilvl="1" w:tplc="4888EF28">
      <w:numFmt w:val="decimal"/>
      <w:lvlText w:val=""/>
      <w:lvlJc w:val="left"/>
    </w:lvl>
    <w:lvl w:ilvl="2" w:tplc="7E4A70D0">
      <w:start w:val="1"/>
      <w:numFmt w:val="bullet"/>
      <w:lvlText w:val=""/>
      <w:lvlJc w:val="left"/>
      <w:pPr>
        <w:ind w:left="2160" w:hanging="180"/>
      </w:pPr>
      <w:rPr>
        <w:rFonts w:ascii="Symbol" w:hAnsi="Symbol" w:hint="default"/>
      </w:rPr>
    </w:lvl>
    <w:lvl w:ilvl="3" w:tplc="781E8E8A">
      <w:numFmt w:val="decimal"/>
      <w:lvlText w:val=""/>
      <w:lvlJc w:val="left"/>
    </w:lvl>
    <w:lvl w:ilvl="4" w:tplc="B8703D7E">
      <w:numFmt w:val="decimal"/>
      <w:lvlText w:val=""/>
      <w:lvlJc w:val="left"/>
    </w:lvl>
    <w:lvl w:ilvl="5" w:tplc="91A27F3C">
      <w:numFmt w:val="decimal"/>
      <w:lvlText w:val=""/>
      <w:lvlJc w:val="left"/>
    </w:lvl>
    <w:lvl w:ilvl="6" w:tplc="A038070E">
      <w:numFmt w:val="decimal"/>
      <w:lvlText w:val=""/>
      <w:lvlJc w:val="left"/>
    </w:lvl>
    <w:lvl w:ilvl="7" w:tplc="DDE6505A">
      <w:numFmt w:val="decimal"/>
      <w:lvlText w:val=""/>
      <w:lvlJc w:val="left"/>
    </w:lvl>
    <w:lvl w:ilvl="8" w:tplc="18E4677E">
      <w:numFmt w:val="decimal"/>
      <w:lvlText w:val=""/>
      <w:lvlJc w:val="left"/>
    </w:lvl>
  </w:abstractNum>
  <w:abstractNum w:abstractNumId="1556" w15:restartNumberingAfterBreak="0">
    <w:nsid w:val="774B45B9"/>
    <w:multiLevelType w:val="hybridMultilevel"/>
    <w:tmpl w:val="F9CC8DD0"/>
    <w:lvl w:ilvl="0" w:tplc="C6D80138">
      <w:start w:val="1"/>
      <w:numFmt w:val="bullet"/>
      <w:lvlText w:val=""/>
      <w:lvlJc w:val="left"/>
      <w:pPr>
        <w:ind w:left="720" w:hanging="180"/>
      </w:pPr>
      <w:rPr>
        <w:rFonts w:ascii="Symbol" w:hAnsi="Symbol" w:hint="default"/>
      </w:rPr>
    </w:lvl>
    <w:lvl w:ilvl="1" w:tplc="0B6A4BAA">
      <w:numFmt w:val="decimal"/>
      <w:lvlText w:val=""/>
      <w:lvlJc w:val="left"/>
    </w:lvl>
    <w:lvl w:ilvl="2" w:tplc="18E20816">
      <w:numFmt w:val="decimal"/>
      <w:lvlText w:val=""/>
      <w:lvlJc w:val="left"/>
    </w:lvl>
    <w:lvl w:ilvl="3" w:tplc="A522B012">
      <w:numFmt w:val="decimal"/>
      <w:lvlText w:val=""/>
      <w:lvlJc w:val="left"/>
    </w:lvl>
    <w:lvl w:ilvl="4" w:tplc="4F30606C">
      <w:numFmt w:val="decimal"/>
      <w:lvlText w:val=""/>
      <w:lvlJc w:val="left"/>
    </w:lvl>
    <w:lvl w:ilvl="5" w:tplc="65026390">
      <w:numFmt w:val="decimal"/>
      <w:lvlText w:val=""/>
      <w:lvlJc w:val="left"/>
    </w:lvl>
    <w:lvl w:ilvl="6" w:tplc="F956DCDA">
      <w:numFmt w:val="decimal"/>
      <w:lvlText w:val=""/>
      <w:lvlJc w:val="left"/>
    </w:lvl>
    <w:lvl w:ilvl="7" w:tplc="30D025DC">
      <w:numFmt w:val="decimal"/>
      <w:lvlText w:val=""/>
      <w:lvlJc w:val="left"/>
    </w:lvl>
    <w:lvl w:ilvl="8" w:tplc="D7D8252E">
      <w:numFmt w:val="decimal"/>
      <w:lvlText w:val=""/>
      <w:lvlJc w:val="left"/>
    </w:lvl>
  </w:abstractNum>
  <w:abstractNum w:abstractNumId="1557" w15:restartNumberingAfterBreak="0">
    <w:nsid w:val="77537977"/>
    <w:multiLevelType w:val="hybridMultilevel"/>
    <w:tmpl w:val="157C7AD0"/>
    <w:lvl w:ilvl="0" w:tplc="FF760B80">
      <w:start w:val="1"/>
      <w:numFmt w:val="bullet"/>
      <w:lvlText w:val=""/>
      <w:lvlJc w:val="left"/>
      <w:pPr>
        <w:ind w:left="720" w:hanging="180"/>
      </w:pPr>
      <w:rPr>
        <w:rFonts w:ascii="Symbol" w:hAnsi="Symbol" w:hint="default"/>
      </w:rPr>
    </w:lvl>
    <w:lvl w:ilvl="1" w:tplc="70D4E176">
      <w:numFmt w:val="decimal"/>
      <w:lvlText w:val=""/>
      <w:lvlJc w:val="left"/>
    </w:lvl>
    <w:lvl w:ilvl="2" w:tplc="F1001E20">
      <w:numFmt w:val="decimal"/>
      <w:lvlText w:val=""/>
      <w:lvlJc w:val="left"/>
    </w:lvl>
    <w:lvl w:ilvl="3" w:tplc="2C88B964">
      <w:numFmt w:val="decimal"/>
      <w:lvlText w:val=""/>
      <w:lvlJc w:val="left"/>
    </w:lvl>
    <w:lvl w:ilvl="4" w:tplc="D45AFE9E">
      <w:numFmt w:val="decimal"/>
      <w:lvlText w:val=""/>
      <w:lvlJc w:val="left"/>
    </w:lvl>
    <w:lvl w:ilvl="5" w:tplc="9678F974">
      <w:numFmt w:val="decimal"/>
      <w:lvlText w:val=""/>
      <w:lvlJc w:val="left"/>
    </w:lvl>
    <w:lvl w:ilvl="6" w:tplc="951E1DB0">
      <w:numFmt w:val="decimal"/>
      <w:lvlText w:val=""/>
      <w:lvlJc w:val="left"/>
    </w:lvl>
    <w:lvl w:ilvl="7" w:tplc="4E3CC8A8">
      <w:numFmt w:val="decimal"/>
      <w:lvlText w:val=""/>
      <w:lvlJc w:val="left"/>
    </w:lvl>
    <w:lvl w:ilvl="8" w:tplc="5EA08182">
      <w:numFmt w:val="decimal"/>
      <w:lvlText w:val=""/>
      <w:lvlJc w:val="left"/>
    </w:lvl>
  </w:abstractNum>
  <w:abstractNum w:abstractNumId="1558" w15:restartNumberingAfterBreak="0">
    <w:nsid w:val="775A7789"/>
    <w:multiLevelType w:val="hybridMultilevel"/>
    <w:tmpl w:val="07103986"/>
    <w:lvl w:ilvl="0" w:tplc="34620B94">
      <w:start w:val="1"/>
      <w:numFmt w:val="bullet"/>
      <w:lvlText w:val=""/>
      <w:lvlJc w:val="left"/>
      <w:pPr>
        <w:ind w:left="720" w:hanging="180"/>
      </w:pPr>
      <w:rPr>
        <w:rFonts w:ascii="Symbol" w:hAnsi="Symbol" w:hint="default"/>
      </w:rPr>
    </w:lvl>
    <w:lvl w:ilvl="1" w:tplc="7FFA1252">
      <w:numFmt w:val="decimal"/>
      <w:lvlText w:val=""/>
      <w:lvlJc w:val="left"/>
    </w:lvl>
    <w:lvl w:ilvl="2" w:tplc="18221E1A">
      <w:numFmt w:val="decimal"/>
      <w:lvlText w:val=""/>
      <w:lvlJc w:val="left"/>
    </w:lvl>
    <w:lvl w:ilvl="3" w:tplc="25544E80">
      <w:numFmt w:val="decimal"/>
      <w:lvlText w:val=""/>
      <w:lvlJc w:val="left"/>
    </w:lvl>
    <w:lvl w:ilvl="4" w:tplc="F7EEF082">
      <w:numFmt w:val="decimal"/>
      <w:lvlText w:val=""/>
      <w:lvlJc w:val="left"/>
    </w:lvl>
    <w:lvl w:ilvl="5" w:tplc="2F181120">
      <w:numFmt w:val="decimal"/>
      <w:lvlText w:val=""/>
      <w:lvlJc w:val="left"/>
    </w:lvl>
    <w:lvl w:ilvl="6" w:tplc="7ACC4090">
      <w:numFmt w:val="decimal"/>
      <w:lvlText w:val=""/>
      <w:lvlJc w:val="left"/>
    </w:lvl>
    <w:lvl w:ilvl="7" w:tplc="4C4A0D0A">
      <w:numFmt w:val="decimal"/>
      <w:lvlText w:val=""/>
      <w:lvlJc w:val="left"/>
    </w:lvl>
    <w:lvl w:ilvl="8" w:tplc="753281E8">
      <w:numFmt w:val="decimal"/>
      <w:lvlText w:val=""/>
      <w:lvlJc w:val="left"/>
    </w:lvl>
  </w:abstractNum>
  <w:abstractNum w:abstractNumId="1559" w15:restartNumberingAfterBreak="0">
    <w:nsid w:val="77640579"/>
    <w:multiLevelType w:val="hybridMultilevel"/>
    <w:tmpl w:val="25885F38"/>
    <w:lvl w:ilvl="0" w:tplc="4F4EC32E">
      <w:start w:val="1"/>
      <w:numFmt w:val="bullet"/>
      <w:lvlText w:val=""/>
      <w:lvlJc w:val="left"/>
      <w:pPr>
        <w:ind w:left="720" w:hanging="180"/>
      </w:pPr>
      <w:rPr>
        <w:rFonts w:ascii="Symbol" w:hAnsi="Symbol" w:hint="default"/>
      </w:rPr>
    </w:lvl>
    <w:lvl w:ilvl="1" w:tplc="5B0A0812">
      <w:numFmt w:val="decimal"/>
      <w:lvlText w:val=""/>
      <w:lvlJc w:val="left"/>
    </w:lvl>
    <w:lvl w:ilvl="2" w:tplc="F0A23FD2">
      <w:numFmt w:val="decimal"/>
      <w:lvlText w:val=""/>
      <w:lvlJc w:val="left"/>
    </w:lvl>
    <w:lvl w:ilvl="3" w:tplc="D338A2FE">
      <w:numFmt w:val="decimal"/>
      <w:lvlText w:val=""/>
      <w:lvlJc w:val="left"/>
    </w:lvl>
    <w:lvl w:ilvl="4" w:tplc="7B0AD1B8">
      <w:numFmt w:val="decimal"/>
      <w:lvlText w:val=""/>
      <w:lvlJc w:val="left"/>
    </w:lvl>
    <w:lvl w:ilvl="5" w:tplc="3B160C92">
      <w:numFmt w:val="decimal"/>
      <w:lvlText w:val=""/>
      <w:lvlJc w:val="left"/>
    </w:lvl>
    <w:lvl w:ilvl="6" w:tplc="7978881E">
      <w:numFmt w:val="decimal"/>
      <w:lvlText w:val=""/>
      <w:lvlJc w:val="left"/>
    </w:lvl>
    <w:lvl w:ilvl="7" w:tplc="4C2E17DA">
      <w:numFmt w:val="decimal"/>
      <w:lvlText w:val=""/>
      <w:lvlJc w:val="left"/>
    </w:lvl>
    <w:lvl w:ilvl="8" w:tplc="475CE94A">
      <w:numFmt w:val="decimal"/>
      <w:lvlText w:val=""/>
      <w:lvlJc w:val="left"/>
    </w:lvl>
  </w:abstractNum>
  <w:abstractNum w:abstractNumId="1560" w15:restartNumberingAfterBreak="0">
    <w:nsid w:val="777D38F3"/>
    <w:multiLevelType w:val="hybridMultilevel"/>
    <w:tmpl w:val="F1F4AC84"/>
    <w:lvl w:ilvl="0" w:tplc="C8608D0E">
      <w:start w:val="1"/>
      <w:numFmt w:val="bullet"/>
      <w:lvlText w:val=""/>
      <w:lvlJc w:val="left"/>
      <w:pPr>
        <w:ind w:left="720" w:hanging="180"/>
      </w:pPr>
      <w:rPr>
        <w:rFonts w:ascii="Symbol" w:hAnsi="Symbol" w:hint="default"/>
      </w:rPr>
    </w:lvl>
    <w:lvl w:ilvl="1" w:tplc="EBC81464">
      <w:numFmt w:val="decimal"/>
      <w:lvlText w:val=""/>
      <w:lvlJc w:val="left"/>
    </w:lvl>
    <w:lvl w:ilvl="2" w:tplc="B75243D4">
      <w:numFmt w:val="decimal"/>
      <w:lvlText w:val=""/>
      <w:lvlJc w:val="left"/>
    </w:lvl>
    <w:lvl w:ilvl="3" w:tplc="93B4D93E">
      <w:numFmt w:val="decimal"/>
      <w:lvlText w:val=""/>
      <w:lvlJc w:val="left"/>
    </w:lvl>
    <w:lvl w:ilvl="4" w:tplc="AC5A85B4">
      <w:numFmt w:val="decimal"/>
      <w:lvlText w:val=""/>
      <w:lvlJc w:val="left"/>
    </w:lvl>
    <w:lvl w:ilvl="5" w:tplc="C450BCB8">
      <w:numFmt w:val="decimal"/>
      <w:lvlText w:val=""/>
      <w:lvlJc w:val="left"/>
    </w:lvl>
    <w:lvl w:ilvl="6" w:tplc="5DA893E2">
      <w:numFmt w:val="decimal"/>
      <w:lvlText w:val=""/>
      <w:lvlJc w:val="left"/>
    </w:lvl>
    <w:lvl w:ilvl="7" w:tplc="B9C2EFB6">
      <w:numFmt w:val="decimal"/>
      <w:lvlText w:val=""/>
      <w:lvlJc w:val="left"/>
    </w:lvl>
    <w:lvl w:ilvl="8" w:tplc="A596E322">
      <w:numFmt w:val="decimal"/>
      <w:lvlText w:val=""/>
      <w:lvlJc w:val="left"/>
    </w:lvl>
  </w:abstractNum>
  <w:abstractNum w:abstractNumId="1561" w15:restartNumberingAfterBreak="0">
    <w:nsid w:val="778043C8"/>
    <w:multiLevelType w:val="hybridMultilevel"/>
    <w:tmpl w:val="1D7ED50E"/>
    <w:lvl w:ilvl="0" w:tplc="F5B4907C">
      <w:start w:val="1"/>
      <w:numFmt w:val="bullet"/>
      <w:lvlText w:val=""/>
      <w:lvlJc w:val="left"/>
      <w:pPr>
        <w:ind w:left="720" w:hanging="180"/>
      </w:pPr>
      <w:rPr>
        <w:rFonts w:ascii="Symbol" w:hAnsi="Symbol" w:hint="default"/>
      </w:rPr>
    </w:lvl>
    <w:lvl w:ilvl="1" w:tplc="584CCFAE">
      <w:numFmt w:val="decimal"/>
      <w:lvlText w:val=""/>
      <w:lvlJc w:val="left"/>
    </w:lvl>
    <w:lvl w:ilvl="2" w:tplc="BDC83188">
      <w:numFmt w:val="decimal"/>
      <w:lvlText w:val=""/>
      <w:lvlJc w:val="left"/>
    </w:lvl>
    <w:lvl w:ilvl="3" w:tplc="8B105140">
      <w:numFmt w:val="decimal"/>
      <w:lvlText w:val=""/>
      <w:lvlJc w:val="left"/>
    </w:lvl>
    <w:lvl w:ilvl="4" w:tplc="8F02EBA8">
      <w:numFmt w:val="decimal"/>
      <w:lvlText w:val=""/>
      <w:lvlJc w:val="left"/>
    </w:lvl>
    <w:lvl w:ilvl="5" w:tplc="27EE4410">
      <w:numFmt w:val="decimal"/>
      <w:lvlText w:val=""/>
      <w:lvlJc w:val="left"/>
    </w:lvl>
    <w:lvl w:ilvl="6" w:tplc="7FB81CFE">
      <w:numFmt w:val="decimal"/>
      <w:lvlText w:val=""/>
      <w:lvlJc w:val="left"/>
    </w:lvl>
    <w:lvl w:ilvl="7" w:tplc="8706554A">
      <w:numFmt w:val="decimal"/>
      <w:lvlText w:val=""/>
      <w:lvlJc w:val="left"/>
    </w:lvl>
    <w:lvl w:ilvl="8" w:tplc="5FA25512">
      <w:numFmt w:val="decimal"/>
      <w:lvlText w:val=""/>
      <w:lvlJc w:val="left"/>
    </w:lvl>
  </w:abstractNum>
  <w:abstractNum w:abstractNumId="1562" w15:restartNumberingAfterBreak="0">
    <w:nsid w:val="779E462C"/>
    <w:multiLevelType w:val="hybridMultilevel"/>
    <w:tmpl w:val="95960236"/>
    <w:lvl w:ilvl="0" w:tplc="11A2DB80">
      <w:start w:val="1"/>
      <w:numFmt w:val="bullet"/>
      <w:lvlText w:val=""/>
      <w:lvlJc w:val="left"/>
      <w:pPr>
        <w:ind w:left="720" w:hanging="180"/>
      </w:pPr>
      <w:rPr>
        <w:rFonts w:ascii="Symbol" w:hAnsi="Symbol" w:hint="default"/>
      </w:rPr>
    </w:lvl>
    <w:lvl w:ilvl="1" w:tplc="639E1416">
      <w:numFmt w:val="decimal"/>
      <w:lvlText w:val=""/>
      <w:lvlJc w:val="left"/>
    </w:lvl>
    <w:lvl w:ilvl="2" w:tplc="DDD4CBB2">
      <w:numFmt w:val="decimal"/>
      <w:lvlText w:val=""/>
      <w:lvlJc w:val="left"/>
    </w:lvl>
    <w:lvl w:ilvl="3" w:tplc="1D98B88C">
      <w:numFmt w:val="decimal"/>
      <w:lvlText w:val=""/>
      <w:lvlJc w:val="left"/>
    </w:lvl>
    <w:lvl w:ilvl="4" w:tplc="8BEC6898">
      <w:numFmt w:val="decimal"/>
      <w:lvlText w:val=""/>
      <w:lvlJc w:val="left"/>
    </w:lvl>
    <w:lvl w:ilvl="5" w:tplc="048CD04C">
      <w:numFmt w:val="decimal"/>
      <w:lvlText w:val=""/>
      <w:lvlJc w:val="left"/>
    </w:lvl>
    <w:lvl w:ilvl="6" w:tplc="6F5A6B74">
      <w:numFmt w:val="decimal"/>
      <w:lvlText w:val=""/>
      <w:lvlJc w:val="left"/>
    </w:lvl>
    <w:lvl w:ilvl="7" w:tplc="E2266628">
      <w:numFmt w:val="decimal"/>
      <w:lvlText w:val=""/>
      <w:lvlJc w:val="left"/>
    </w:lvl>
    <w:lvl w:ilvl="8" w:tplc="9FAAC348">
      <w:numFmt w:val="decimal"/>
      <w:lvlText w:val=""/>
      <w:lvlJc w:val="left"/>
    </w:lvl>
  </w:abstractNum>
  <w:abstractNum w:abstractNumId="1563" w15:restartNumberingAfterBreak="0">
    <w:nsid w:val="77ED0A57"/>
    <w:multiLevelType w:val="hybridMultilevel"/>
    <w:tmpl w:val="D71A8ADA"/>
    <w:lvl w:ilvl="0" w:tplc="4B74090C">
      <w:start w:val="1"/>
      <w:numFmt w:val="bullet"/>
      <w:lvlText w:val=""/>
      <w:lvlJc w:val="left"/>
      <w:pPr>
        <w:ind w:left="720" w:hanging="180"/>
      </w:pPr>
      <w:rPr>
        <w:rFonts w:ascii="Symbol" w:hAnsi="Symbol" w:hint="default"/>
      </w:rPr>
    </w:lvl>
    <w:lvl w:ilvl="1" w:tplc="56C8A062">
      <w:numFmt w:val="decimal"/>
      <w:lvlText w:val=""/>
      <w:lvlJc w:val="left"/>
    </w:lvl>
    <w:lvl w:ilvl="2" w:tplc="7AAA4D04">
      <w:numFmt w:val="decimal"/>
      <w:lvlText w:val=""/>
      <w:lvlJc w:val="left"/>
    </w:lvl>
    <w:lvl w:ilvl="3" w:tplc="F2740638">
      <w:numFmt w:val="decimal"/>
      <w:lvlText w:val=""/>
      <w:lvlJc w:val="left"/>
    </w:lvl>
    <w:lvl w:ilvl="4" w:tplc="E5ACA7AC">
      <w:numFmt w:val="decimal"/>
      <w:lvlText w:val=""/>
      <w:lvlJc w:val="left"/>
    </w:lvl>
    <w:lvl w:ilvl="5" w:tplc="EE002802">
      <w:numFmt w:val="decimal"/>
      <w:lvlText w:val=""/>
      <w:lvlJc w:val="left"/>
    </w:lvl>
    <w:lvl w:ilvl="6" w:tplc="3EF83526">
      <w:numFmt w:val="decimal"/>
      <w:lvlText w:val=""/>
      <w:lvlJc w:val="left"/>
    </w:lvl>
    <w:lvl w:ilvl="7" w:tplc="52A4B19E">
      <w:numFmt w:val="decimal"/>
      <w:lvlText w:val=""/>
      <w:lvlJc w:val="left"/>
    </w:lvl>
    <w:lvl w:ilvl="8" w:tplc="9D9C1454">
      <w:numFmt w:val="decimal"/>
      <w:lvlText w:val=""/>
      <w:lvlJc w:val="left"/>
    </w:lvl>
  </w:abstractNum>
  <w:abstractNum w:abstractNumId="1564" w15:restartNumberingAfterBreak="0">
    <w:nsid w:val="7806573F"/>
    <w:multiLevelType w:val="hybridMultilevel"/>
    <w:tmpl w:val="B7F610DC"/>
    <w:lvl w:ilvl="0" w:tplc="423E94D0">
      <w:start w:val="1"/>
      <w:numFmt w:val="bullet"/>
      <w:lvlText w:val=""/>
      <w:lvlJc w:val="left"/>
      <w:pPr>
        <w:ind w:left="720" w:hanging="180"/>
      </w:pPr>
      <w:rPr>
        <w:rFonts w:ascii="Symbol" w:hAnsi="Symbol" w:hint="default"/>
      </w:rPr>
    </w:lvl>
    <w:lvl w:ilvl="1" w:tplc="6960DED4">
      <w:numFmt w:val="decimal"/>
      <w:lvlText w:val=""/>
      <w:lvlJc w:val="left"/>
    </w:lvl>
    <w:lvl w:ilvl="2" w:tplc="216A3F24">
      <w:numFmt w:val="decimal"/>
      <w:lvlText w:val=""/>
      <w:lvlJc w:val="left"/>
    </w:lvl>
    <w:lvl w:ilvl="3" w:tplc="D526BD26">
      <w:numFmt w:val="decimal"/>
      <w:lvlText w:val=""/>
      <w:lvlJc w:val="left"/>
    </w:lvl>
    <w:lvl w:ilvl="4" w:tplc="E4C04DD8">
      <w:numFmt w:val="decimal"/>
      <w:lvlText w:val=""/>
      <w:lvlJc w:val="left"/>
    </w:lvl>
    <w:lvl w:ilvl="5" w:tplc="DBF4C6C4">
      <w:numFmt w:val="decimal"/>
      <w:lvlText w:val=""/>
      <w:lvlJc w:val="left"/>
    </w:lvl>
    <w:lvl w:ilvl="6" w:tplc="EF6A3E96">
      <w:numFmt w:val="decimal"/>
      <w:lvlText w:val=""/>
      <w:lvlJc w:val="left"/>
    </w:lvl>
    <w:lvl w:ilvl="7" w:tplc="570CD416">
      <w:numFmt w:val="decimal"/>
      <w:lvlText w:val=""/>
      <w:lvlJc w:val="left"/>
    </w:lvl>
    <w:lvl w:ilvl="8" w:tplc="DA6E650C">
      <w:numFmt w:val="decimal"/>
      <w:lvlText w:val=""/>
      <w:lvlJc w:val="left"/>
    </w:lvl>
  </w:abstractNum>
  <w:abstractNum w:abstractNumId="1565" w15:restartNumberingAfterBreak="0">
    <w:nsid w:val="780D647C"/>
    <w:multiLevelType w:val="hybridMultilevel"/>
    <w:tmpl w:val="7136B0C8"/>
    <w:lvl w:ilvl="0" w:tplc="8626D6EC">
      <w:start w:val="1"/>
      <w:numFmt w:val="bullet"/>
      <w:lvlText w:val=""/>
      <w:lvlJc w:val="left"/>
      <w:pPr>
        <w:ind w:left="720" w:hanging="180"/>
      </w:pPr>
      <w:rPr>
        <w:rFonts w:ascii="Symbol" w:hAnsi="Symbol" w:hint="default"/>
      </w:rPr>
    </w:lvl>
    <w:lvl w:ilvl="1" w:tplc="CAE8AB7E">
      <w:numFmt w:val="decimal"/>
      <w:lvlText w:val=""/>
      <w:lvlJc w:val="left"/>
    </w:lvl>
    <w:lvl w:ilvl="2" w:tplc="8A0A1624">
      <w:numFmt w:val="decimal"/>
      <w:lvlText w:val=""/>
      <w:lvlJc w:val="left"/>
    </w:lvl>
    <w:lvl w:ilvl="3" w:tplc="A1E8E400">
      <w:numFmt w:val="decimal"/>
      <w:lvlText w:val=""/>
      <w:lvlJc w:val="left"/>
    </w:lvl>
    <w:lvl w:ilvl="4" w:tplc="5F12C6D0">
      <w:numFmt w:val="decimal"/>
      <w:lvlText w:val=""/>
      <w:lvlJc w:val="left"/>
    </w:lvl>
    <w:lvl w:ilvl="5" w:tplc="B080CCF8">
      <w:numFmt w:val="decimal"/>
      <w:lvlText w:val=""/>
      <w:lvlJc w:val="left"/>
    </w:lvl>
    <w:lvl w:ilvl="6" w:tplc="E1504A8E">
      <w:numFmt w:val="decimal"/>
      <w:lvlText w:val=""/>
      <w:lvlJc w:val="left"/>
    </w:lvl>
    <w:lvl w:ilvl="7" w:tplc="A4805C46">
      <w:numFmt w:val="decimal"/>
      <w:lvlText w:val=""/>
      <w:lvlJc w:val="left"/>
    </w:lvl>
    <w:lvl w:ilvl="8" w:tplc="838E73C6">
      <w:numFmt w:val="decimal"/>
      <w:lvlText w:val=""/>
      <w:lvlJc w:val="left"/>
    </w:lvl>
  </w:abstractNum>
  <w:abstractNum w:abstractNumId="1566" w15:restartNumberingAfterBreak="0">
    <w:nsid w:val="781C1C69"/>
    <w:multiLevelType w:val="hybridMultilevel"/>
    <w:tmpl w:val="3C143E3E"/>
    <w:lvl w:ilvl="0" w:tplc="4FC8FF6A">
      <w:start w:val="1"/>
      <w:numFmt w:val="bullet"/>
      <w:lvlText w:val=""/>
      <w:lvlJc w:val="left"/>
      <w:pPr>
        <w:ind w:left="720" w:hanging="180"/>
      </w:pPr>
      <w:rPr>
        <w:rFonts w:ascii="Symbol" w:hAnsi="Symbol" w:hint="default"/>
      </w:rPr>
    </w:lvl>
    <w:lvl w:ilvl="1" w:tplc="19A07E5A">
      <w:numFmt w:val="decimal"/>
      <w:lvlText w:val=""/>
      <w:lvlJc w:val="left"/>
    </w:lvl>
    <w:lvl w:ilvl="2" w:tplc="C1B4AC00">
      <w:numFmt w:val="decimal"/>
      <w:lvlText w:val=""/>
      <w:lvlJc w:val="left"/>
    </w:lvl>
    <w:lvl w:ilvl="3" w:tplc="F3629462">
      <w:numFmt w:val="decimal"/>
      <w:lvlText w:val=""/>
      <w:lvlJc w:val="left"/>
    </w:lvl>
    <w:lvl w:ilvl="4" w:tplc="F58A5642">
      <w:numFmt w:val="decimal"/>
      <w:lvlText w:val=""/>
      <w:lvlJc w:val="left"/>
    </w:lvl>
    <w:lvl w:ilvl="5" w:tplc="84DC6F36">
      <w:numFmt w:val="decimal"/>
      <w:lvlText w:val=""/>
      <w:lvlJc w:val="left"/>
    </w:lvl>
    <w:lvl w:ilvl="6" w:tplc="EB3AA460">
      <w:numFmt w:val="decimal"/>
      <w:lvlText w:val=""/>
      <w:lvlJc w:val="left"/>
    </w:lvl>
    <w:lvl w:ilvl="7" w:tplc="740A1A00">
      <w:numFmt w:val="decimal"/>
      <w:lvlText w:val=""/>
      <w:lvlJc w:val="left"/>
    </w:lvl>
    <w:lvl w:ilvl="8" w:tplc="CF82491E">
      <w:numFmt w:val="decimal"/>
      <w:lvlText w:val=""/>
      <w:lvlJc w:val="left"/>
    </w:lvl>
  </w:abstractNum>
  <w:abstractNum w:abstractNumId="1567" w15:restartNumberingAfterBreak="0">
    <w:nsid w:val="7846717A"/>
    <w:multiLevelType w:val="hybridMultilevel"/>
    <w:tmpl w:val="2C229D62"/>
    <w:lvl w:ilvl="0" w:tplc="598CC0F4">
      <w:start w:val="1"/>
      <w:numFmt w:val="bullet"/>
      <w:lvlText w:val=""/>
      <w:lvlJc w:val="left"/>
      <w:pPr>
        <w:ind w:left="720" w:hanging="180"/>
      </w:pPr>
      <w:rPr>
        <w:rFonts w:ascii="Symbol" w:hAnsi="Symbol" w:hint="default"/>
      </w:rPr>
    </w:lvl>
    <w:lvl w:ilvl="1" w:tplc="E2B4AD7C">
      <w:numFmt w:val="decimal"/>
      <w:lvlText w:val=""/>
      <w:lvlJc w:val="left"/>
    </w:lvl>
    <w:lvl w:ilvl="2" w:tplc="F482B864">
      <w:numFmt w:val="decimal"/>
      <w:lvlText w:val=""/>
      <w:lvlJc w:val="left"/>
    </w:lvl>
    <w:lvl w:ilvl="3" w:tplc="4788C1E2">
      <w:numFmt w:val="decimal"/>
      <w:lvlText w:val=""/>
      <w:lvlJc w:val="left"/>
    </w:lvl>
    <w:lvl w:ilvl="4" w:tplc="7AB03F06">
      <w:numFmt w:val="decimal"/>
      <w:lvlText w:val=""/>
      <w:lvlJc w:val="left"/>
    </w:lvl>
    <w:lvl w:ilvl="5" w:tplc="5AE221E8">
      <w:numFmt w:val="decimal"/>
      <w:lvlText w:val=""/>
      <w:lvlJc w:val="left"/>
    </w:lvl>
    <w:lvl w:ilvl="6" w:tplc="0AF0D444">
      <w:numFmt w:val="decimal"/>
      <w:lvlText w:val=""/>
      <w:lvlJc w:val="left"/>
    </w:lvl>
    <w:lvl w:ilvl="7" w:tplc="BE00BB3C">
      <w:numFmt w:val="decimal"/>
      <w:lvlText w:val=""/>
      <w:lvlJc w:val="left"/>
    </w:lvl>
    <w:lvl w:ilvl="8" w:tplc="797E4020">
      <w:numFmt w:val="decimal"/>
      <w:lvlText w:val=""/>
      <w:lvlJc w:val="left"/>
    </w:lvl>
  </w:abstractNum>
  <w:abstractNum w:abstractNumId="1568" w15:restartNumberingAfterBreak="0">
    <w:nsid w:val="785536B0"/>
    <w:multiLevelType w:val="hybridMultilevel"/>
    <w:tmpl w:val="67B6153E"/>
    <w:lvl w:ilvl="0" w:tplc="2F9030B8">
      <w:start w:val="1"/>
      <w:numFmt w:val="bullet"/>
      <w:lvlText w:val=""/>
      <w:lvlJc w:val="left"/>
      <w:pPr>
        <w:ind w:left="720" w:hanging="180"/>
      </w:pPr>
      <w:rPr>
        <w:rFonts w:ascii="Symbol" w:hAnsi="Symbol" w:hint="default"/>
      </w:rPr>
    </w:lvl>
    <w:lvl w:ilvl="1" w:tplc="50F8C920">
      <w:numFmt w:val="decimal"/>
      <w:lvlText w:val=""/>
      <w:lvlJc w:val="left"/>
    </w:lvl>
    <w:lvl w:ilvl="2" w:tplc="875AFE34">
      <w:numFmt w:val="decimal"/>
      <w:lvlText w:val=""/>
      <w:lvlJc w:val="left"/>
    </w:lvl>
    <w:lvl w:ilvl="3" w:tplc="C3CE64BE">
      <w:numFmt w:val="decimal"/>
      <w:lvlText w:val=""/>
      <w:lvlJc w:val="left"/>
    </w:lvl>
    <w:lvl w:ilvl="4" w:tplc="2162FED2">
      <w:numFmt w:val="decimal"/>
      <w:lvlText w:val=""/>
      <w:lvlJc w:val="left"/>
    </w:lvl>
    <w:lvl w:ilvl="5" w:tplc="5A12D1BE">
      <w:numFmt w:val="decimal"/>
      <w:lvlText w:val=""/>
      <w:lvlJc w:val="left"/>
    </w:lvl>
    <w:lvl w:ilvl="6" w:tplc="0900B23A">
      <w:numFmt w:val="decimal"/>
      <w:lvlText w:val=""/>
      <w:lvlJc w:val="left"/>
    </w:lvl>
    <w:lvl w:ilvl="7" w:tplc="0652B5E8">
      <w:numFmt w:val="decimal"/>
      <w:lvlText w:val=""/>
      <w:lvlJc w:val="left"/>
    </w:lvl>
    <w:lvl w:ilvl="8" w:tplc="2F0C468A">
      <w:numFmt w:val="decimal"/>
      <w:lvlText w:val=""/>
      <w:lvlJc w:val="left"/>
    </w:lvl>
  </w:abstractNum>
  <w:abstractNum w:abstractNumId="1569" w15:restartNumberingAfterBreak="0">
    <w:nsid w:val="785E768B"/>
    <w:multiLevelType w:val="hybridMultilevel"/>
    <w:tmpl w:val="E48A0392"/>
    <w:lvl w:ilvl="0" w:tplc="47F2A5A8">
      <w:start w:val="1"/>
      <w:numFmt w:val="bullet"/>
      <w:lvlText w:val=""/>
      <w:lvlJc w:val="left"/>
      <w:pPr>
        <w:ind w:left="720" w:hanging="180"/>
      </w:pPr>
      <w:rPr>
        <w:rFonts w:ascii="Symbol" w:hAnsi="Symbol" w:hint="default"/>
      </w:rPr>
    </w:lvl>
    <w:lvl w:ilvl="1" w:tplc="9F065890">
      <w:numFmt w:val="decimal"/>
      <w:lvlText w:val=""/>
      <w:lvlJc w:val="left"/>
    </w:lvl>
    <w:lvl w:ilvl="2" w:tplc="DEAC1F50">
      <w:numFmt w:val="decimal"/>
      <w:lvlText w:val=""/>
      <w:lvlJc w:val="left"/>
    </w:lvl>
    <w:lvl w:ilvl="3" w:tplc="9D0EA2D4">
      <w:numFmt w:val="decimal"/>
      <w:lvlText w:val=""/>
      <w:lvlJc w:val="left"/>
    </w:lvl>
    <w:lvl w:ilvl="4" w:tplc="2F9240AE">
      <w:numFmt w:val="decimal"/>
      <w:lvlText w:val=""/>
      <w:lvlJc w:val="left"/>
    </w:lvl>
    <w:lvl w:ilvl="5" w:tplc="B220EAE0">
      <w:numFmt w:val="decimal"/>
      <w:lvlText w:val=""/>
      <w:lvlJc w:val="left"/>
    </w:lvl>
    <w:lvl w:ilvl="6" w:tplc="307C5DB4">
      <w:numFmt w:val="decimal"/>
      <w:lvlText w:val=""/>
      <w:lvlJc w:val="left"/>
    </w:lvl>
    <w:lvl w:ilvl="7" w:tplc="4BEC0560">
      <w:numFmt w:val="decimal"/>
      <w:lvlText w:val=""/>
      <w:lvlJc w:val="left"/>
    </w:lvl>
    <w:lvl w:ilvl="8" w:tplc="7916A1FE">
      <w:numFmt w:val="decimal"/>
      <w:lvlText w:val=""/>
      <w:lvlJc w:val="left"/>
    </w:lvl>
  </w:abstractNum>
  <w:abstractNum w:abstractNumId="1570" w15:restartNumberingAfterBreak="0">
    <w:nsid w:val="7873232A"/>
    <w:multiLevelType w:val="hybridMultilevel"/>
    <w:tmpl w:val="6A108A1E"/>
    <w:lvl w:ilvl="0" w:tplc="46F0E2FC">
      <w:start w:val="1"/>
      <w:numFmt w:val="bullet"/>
      <w:lvlText w:val=""/>
      <w:lvlJc w:val="left"/>
      <w:pPr>
        <w:ind w:left="720" w:hanging="180"/>
      </w:pPr>
      <w:rPr>
        <w:rFonts w:ascii="Symbol" w:hAnsi="Symbol" w:hint="default"/>
      </w:rPr>
    </w:lvl>
    <w:lvl w:ilvl="1" w:tplc="5BB0FDE2">
      <w:numFmt w:val="decimal"/>
      <w:lvlText w:val=""/>
      <w:lvlJc w:val="left"/>
    </w:lvl>
    <w:lvl w:ilvl="2" w:tplc="93B06CF4">
      <w:numFmt w:val="decimal"/>
      <w:lvlText w:val=""/>
      <w:lvlJc w:val="left"/>
    </w:lvl>
    <w:lvl w:ilvl="3" w:tplc="43D6B338">
      <w:numFmt w:val="decimal"/>
      <w:lvlText w:val=""/>
      <w:lvlJc w:val="left"/>
    </w:lvl>
    <w:lvl w:ilvl="4" w:tplc="DDC6A688">
      <w:numFmt w:val="decimal"/>
      <w:lvlText w:val=""/>
      <w:lvlJc w:val="left"/>
    </w:lvl>
    <w:lvl w:ilvl="5" w:tplc="37E246E8">
      <w:numFmt w:val="decimal"/>
      <w:lvlText w:val=""/>
      <w:lvlJc w:val="left"/>
    </w:lvl>
    <w:lvl w:ilvl="6" w:tplc="8C10CB6C">
      <w:numFmt w:val="decimal"/>
      <w:lvlText w:val=""/>
      <w:lvlJc w:val="left"/>
    </w:lvl>
    <w:lvl w:ilvl="7" w:tplc="669624E6">
      <w:numFmt w:val="decimal"/>
      <w:lvlText w:val=""/>
      <w:lvlJc w:val="left"/>
    </w:lvl>
    <w:lvl w:ilvl="8" w:tplc="DE2002EC">
      <w:numFmt w:val="decimal"/>
      <w:lvlText w:val=""/>
      <w:lvlJc w:val="left"/>
    </w:lvl>
  </w:abstractNum>
  <w:abstractNum w:abstractNumId="1571" w15:restartNumberingAfterBreak="0">
    <w:nsid w:val="78760EF7"/>
    <w:multiLevelType w:val="hybridMultilevel"/>
    <w:tmpl w:val="B082E1B4"/>
    <w:lvl w:ilvl="0" w:tplc="31A04880">
      <w:start w:val="1"/>
      <w:numFmt w:val="bullet"/>
      <w:lvlText w:val=""/>
      <w:lvlJc w:val="left"/>
      <w:pPr>
        <w:ind w:left="720" w:hanging="180"/>
      </w:pPr>
      <w:rPr>
        <w:rFonts w:ascii="Symbol" w:hAnsi="Symbol" w:hint="default"/>
      </w:rPr>
    </w:lvl>
    <w:lvl w:ilvl="1" w:tplc="CCD4603C">
      <w:numFmt w:val="decimal"/>
      <w:lvlText w:val=""/>
      <w:lvlJc w:val="left"/>
    </w:lvl>
    <w:lvl w:ilvl="2" w:tplc="5BAA048A">
      <w:numFmt w:val="decimal"/>
      <w:lvlText w:val=""/>
      <w:lvlJc w:val="left"/>
    </w:lvl>
    <w:lvl w:ilvl="3" w:tplc="65D86498">
      <w:numFmt w:val="decimal"/>
      <w:lvlText w:val=""/>
      <w:lvlJc w:val="left"/>
    </w:lvl>
    <w:lvl w:ilvl="4" w:tplc="A62C5E8E">
      <w:numFmt w:val="decimal"/>
      <w:lvlText w:val=""/>
      <w:lvlJc w:val="left"/>
    </w:lvl>
    <w:lvl w:ilvl="5" w:tplc="09E85F9E">
      <w:numFmt w:val="decimal"/>
      <w:lvlText w:val=""/>
      <w:lvlJc w:val="left"/>
    </w:lvl>
    <w:lvl w:ilvl="6" w:tplc="B0869064">
      <w:numFmt w:val="decimal"/>
      <w:lvlText w:val=""/>
      <w:lvlJc w:val="left"/>
    </w:lvl>
    <w:lvl w:ilvl="7" w:tplc="B2DC469E">
      <w:numFmt w:val="decimal"/>
      <w:lvlText w:val=""/>
      <w:lvlJc w:val="left"/>
    </w:lvl>
    <w:lvl w:ilvl="8" w:tplc="AC04BF8A">
      <w:numFmt w:val="decimal"/>
      <w:lvlText w:val=""/>
      <w:lvlJc w:val="left"/>
    </w:lvl>
  </w:abstractNum>
  <w:abstractNum w:abstractNumId="1572" w15:restartNumberingAfterBreak="0">
    <w:nsid w:val="787E55FF"/>
    <w:multiLevelType w:val="hybridMultilevel"/>
    <w:tmpl w:val="C27C92D6"/>
    <w:lvl w:ilvl="0" w:tplc="9AF4F5C8">
      <w:start w:val="1"/>
      <w:numFmt w:val="bullet"/>
      <w:lvlText w:val=""/>
      <w:lvlJc w:val="left"/>
      <w:pPr>
        <w:ind w:left="720" w:hanging="180"/>
      </w:pPr>
      <w:rPr>
        <w:rFonts w:ascii="Symbol" w:hAnsi="Symbol" w:hint="default"/>
      </w:rPr>
    </w:lvl>
    <w:lvl w:ilvl="1" w:tplc="AC7485E0">
      <w:numFmt w:val="decimal"/>
      <w:lvlText w:val=""/>
      <w:lvlJc w:val="left"/>
    </w:lvl>
    <w:lvl w:ilvl="2" w:tplc="8760F1EE">
      <w:numFmt w:val="decimal"/>
      <w:lvlText w:val=""/>
      <w:lvlJc w:val="left"/>
    </w:lvl>
    <w:lvl w:ilvl="3" w:tplc="DF2650A8">
      <w:numFmt w:val="decimal"/>
      <w:lvlText w:val=""/>
      <w:lvlJc w:val="left"/>
    </w:lvl>
    <w:lvl w:ilvl="4" w:tplc="BC3CFB12">
      <w:numFmt w:val="decimal"/>
      <w:lvlText w:val=""/>
      <w:lvlJc w:val="left"/>
    </w:lvl>
    <w:lvl w:ilvl="5" w:tplc="73FE3CCC">
      <w:numFmt w:val="decimal"/>
      <w:lvlText w:val=""/>
      <w:lvlJc w:val="left"/>
    </w:lvl>
    <w:lvl w:ilvl="6" w:tplc="D2047426">
      <w:numFmt w:val="decimal"/>
      <w:lvlText w:val=""/>
      <w:lvlJc w:val="left"/>
    </w:lvl>
    <w:lvl w:ilvl="7" w:tplc="3A02B620">
      <w:numFmt w:val="decimal"/>
      <w:lvlText w:val=""/>
      <w:lvlJc w:val="left"/>
    </w:lvl>
    <w:lvl w:ilvl="8" w:tplc="64081406">
      <w:numFmt w:val="decimal"/>
      <w:lvlText w:val=""/>
      <w:lvlJc w:val="left"/>
    </w:lvl>
  </w:abstractNum>
  <w:abstractNum w:abstractNumId="1573" w15:restartNumberingAfterBreak="0">
    <w:nsid w:val="788A254F"/>
    <w:multiLevelType w:val="hybridMultilevel"/>
    <w:tmpl w:val="F04E8CB8"/>
    <w:lvl w:ilvl="0" w:tplc="EFA2D552">
      <w:start w:val="1"/>
      <w:numFmt w:val="bullet"/>
      <w:lvlText w:val=""/>
      <w:lvlJc w:val="left"/>
      <w:pPr>
        <w:ind w:left="720" w:hanging="180"/>
      </w:pPr>
      <w:rPr>
        <w:rFonts w:ascii="Symbol" w:hAnsi="Symbol" w:hint="default"/>
      </w:rPr>
    </w:lvl>
    <w:lvl w:ilvl="1" w:tplc="5B703558">
      <w:numFmt w:val="decimal"/>
      <w:lvlText w:val=""/>
      <w:lvlJc w:val="left"/>
    </w:lvl>
    <w:lvl w:ilvl="2" w:tplc="E168E5CC">
      <w:numFmt w:val="decimal"/>
      <w:lvlText w:val=""/>
      <w:lvlJc w:val="left"/>
    </w:lvl>
    <w:lvl w:ilvl="3" w:tplc="5A4EC1F6">
      <w:numFmt w:val="decimal"/>
      <w:lvlText w:val=""/>
      <w:lvlJc w:val="left"/>
    </w:lvl>
    <w:lvl w:ilvl="4" w:tplc="A43E7BAC">
      <w:numFmt w:val="decimal"/>
      <w:lvlText w:val=""/>
      <w:lvlJc w:val="left"/>
    </w:lvl>
    <w:lvl w:ilvl="5" w:tplc="169CE764">
      <w:numFmt w:val="decimal"/>
      <w:lvlText w:val=""/>
      <w:lvlJc w:val="left"/>
    </w:lvl>
    <w:lvl w:ilvl="6" w:tplc="A156CF7E">
      <w:numFmt w:val="decimal"/>
      <w:lvlText w:val=""/>
      <w:lvlJc w:val="left"/>
    </w:lvl>
    <w:lvl w:ilvl="7" w:tplc="D0F6EBA2">
      <w:numFmt w:val="decimal"/>
      <w:lvlText w:val=""/>
      <w:lvlJc w:val="left"/>
    </w:lvl>
    <w:lvl w:ilvl="8" w:tplc="440AB6A6">
      <w:numFmt w:val="decimal"/>
      <w:lvlText w:val=""/>
      <w:lvlJc w:val="left"/>
    </w:lvl>
  </w:abstractNum>
  <w:abstractNum w:abstractNumId="1574" w15:restartNumberingAfterBreak="0">
    <w:nsid w:val="78CE3D4B"/>
    <w:multiLevelType w:val="hybridMultilevel"/>
    <w:tmpl w:val="3F54CB5A"/>
    <w:lvl w:ilvl="0" w:tplc="ECA2BAB0">
      <w:start w:val="1"/>
      <w:numFmt w:val="bullet"/>
      <w:lvlText w:val=""/>
      <w:lvlJc w:val="left"/>
      <w:pPr>
        <w:ind w:left="720" w:hanging="180"/>
      </w:pPr>
      <w:rPr>
        <w:rFonts w:ascii="Symbol" w:hAnsi="Symbol" w:hint="default"/>
      </w:rPr>
    </w:lvl>
    <w:lvl w:ilvl="1" w:tplc="7DF6B062">
      <w:numFmt w:val="decimal"/>
      <w:lvlText w:val=""/>
      <w:lvlJc w:val="left"/>
    </w:lvl>
    <w:lvl w:ilvl="2" w:tplc="1E783378">
      <w:numFmt w:val="decimal"/>
      <w:lvlText w:val=""/>
      <w:lvlJc w:val="left"/>
    </w:lvl>
    <w:lvl w:ilvl="3" w:tplc="F76A533A">
      <w:numFmt w:val="decimal"/>
      <w:lvlText w:val=""/>
      <w:lvlJc w:val="left"/>
    </w:lvl>
    <w:lvl w:ilvl="4" w:tplc="572CB2F0">
      <w:numFmt w:val="decimal"/>
      <w:lvlText w:val=""/>
      <w:lvlJc w:val="left"/>
    </w:lvl>
    <w:lvl w:ilvl="5" w:tplc="37480E08">
      <w:numFmt w:val="decimal"/>
      <w:lvlText w:val=""/>
      <w:lvlJc w:val="left"/>
    </w:lvl>
    <w:lvl w:ilvl="6" w:tplc="AFCCC0BE">
      <w:numFmt w:val="decimal"/>
      <w:lvlText w:val=""/>
      <w:lvlJc w:val="left"/>
    </w:lvl>
    <w:lvl w:ilvl="7" w:tplc="BAEC725E">
      <w:numFmt w:val="decimal"/>
      <w:lvlText w:val=""/>
      <w:lvlJc w:val="left"/>
    </w:lvl>
    <w:lvl w:ilvl="8" w:tplc="DF42A0A8">
      <w:numFmt w:val="decimal"/>
      <w:lvlText w:val=""/>
      <w:lvlJc w:val="left"/>
    </w:lvl>
  </w:abstractNum>
  <w:abstractNum w:abstractNumId="1575" w15:restartNumberingAfterBreak="0">
    <w:nsid w:val="78D1303D"/>
    <w:multiLevelType w:val="hybridMultilevel"/>
    <w:tmpl w:val="94425172"/>
    <w:lvl w:ilvl="0" w:tplc="135620B6">
      <w:start w:val="1"/>
      <w:numFmt w:val="bullet"/>
      <w:lvlText w:val=""/>
      <w:lvlJc w:val="left"/>
      <w:pPr>
        <w:ind w:left="720" w:hanging="180"/>
      </w:pPr>
      <w:rPr>
        <w:rFonts w:ascii="Symbol" w:hAnsi="Symbol" w:hint="default"/>
      </w:rPr>
    </w:lvl>
    <w:lvl w:ilvl="1" w:tplc="6444E66A">
      <w:numFmt w:val="decimal"/>
      <w:lvlText w:val=""/>
      <w:lvlJc w:val="left"/>
    </w:lvl>
    <w:lvl w:ilvl="2" w:tplc="F38CEB1E">
      <w:numFmt w:val="decimal"/>
      <w:lvlText w:val=""/>
      <w:lvlJc w:val="left"/>
    </w:lvl>
    <w:lvl w:ilvl="3" w:tplc="942AA9C6">
      <w:numFmt w:val="decimal"/>
      <w:lvlText w:val=""/>
      <w:lvlJc w:val="left"/>
    </w:lvl>
    <w:lvl w:ilvl="4" w:tplc="C5B08A72">
      <w:numFmt w:val="decimal"/>
      <w:lvlText w:val=""/>
      <w:lvlJc w:val="left"/>
    </w:lvl>
    <w:lvl w:ilvl="5" w:tplc="B3C04D26">
      <w:numFmt w:val="decimal"/>
      <w:lvlText w:val=""/>
      <w:lvlJc w:val="left"/>
    </w:lvl>
    <w:lvl w:ilvl="6" w:tplc="FD2E5166">
      <w:numFmt w:val="decimal"/>
      <w:lvlText w:val=""/>
      <w:lvlJc w:val="left"/>
    </w:lvl>
    <w:lvl w:ilvl="7" w:tplc="0832A5B0">
      <w:numFmt w:val="decimal"/>
      <w:lvlText w:val=""/>
      <w:lvlJc w:val="left"/>
    </w:lvl>
    <w:lvl w:ilvl="8" w:tplc="EB0CA966">
      <w:numFmt w:val="decimal"/>
      <w:lvlText w:val=""/>
      <w:lvlJc w:val="left"/>
    </w:lvl>
  </w:abstractNum>
  <w:abstractNum w:abstractNumId="1576" w15:restartNumberingAfterBreak="0">
    <w:nsid w:val="7900464C"/>
    <w:multiLevelType w:val="hybridMultilevel"/>
    <w:tmpl w:val="4006A1C4"/>
    <w:lvl w:ilvl="0" w:tplc="67DCFD94">
      <w:numFmt w:val="decimal"/>
      <w:lvlText w:val=""/>
      <w:lvlJc w:val="left"/>
    </w:lvl>
    <w:lvl w:ilvl="1" w:tplc="D14624C0">
      <w:start w:val="1"/>
      <w:numFmt w:val="bullet"/>
      <w:lvlText w:val=""/>
      <w:lvlJc w:val="left"/>
      <w:pPr>
        <w:ind w:left="1440" w:hanging="180"/>
      </w:pPr>
      <w:rPr>
        <w:rFonts w:ascii="Symbol" w:hAnsi="Symbol" w:hint="default"/>
      </w:rPr>
    </w:lvl>
    <w:lvl w:ilvl="2" w:tplc="5A46C11E">
      <w:numFmt w:val="decimal"/>
      <w:lvlText w:val=""/>
      <w:lvlJc w:val="left"/>
    </w:lvl>
    <w:lvl w:ilvl="3" w:tplc="3944779C">
      <w:numFmt w:val="decimal"/>
      <w:lvlText w:val=""/>
      <w:lvlJc w:val="left"/>
    </w:lvl>
    <w:lvl w:ilvl="4" w:tplc="08BECD3A">
      <w:numFmt w:val="decimal"/>
      <w:lvlText w:val=""/>
      <w:lvlJc w:val="left"/>
    </w:lvl>
    <w:lvl w:ilvl="5" w:tplc="CCEE4182">
      <w:numFmt w:val="decimal"/>
      <w:lvlText w:val=""/>
      <w:lvlJc w:val="left"/>
    </w:lvl>
    <w:lvl w:ilvl="6" w:tplc="69A44248">
      <w:numFmt w:val="decimal"/>
      <w:lvlText w:val=""/>
      <w:lvlJc w:val="left"/>
    </w:lvl>
    <w:lvl w:ilvl="7" w:tplc="0F8CF148">
      <w:numFmt w:val="decimal"/>
      <w:lvlText w:val=""/>
      <w:lvlJc w:val="left"/>
    </w:lvl>
    <w:lvl w:ilvl="8" w:tplc="1FE03B7E">
      <w:numFmt w:val="decimal"/>
      <w:lvlText w:val=""/>
      <w:lvlJc w:val="left"/>
    </w:lvl>
  </w:abstractNum>
  <w:abstractNum w:abstractNumId="1577" w15:restartNumberingAfterBreak="0">
    <w:nsid w:val="79087F25"/>
    <w:multiLevelType w:val="hybridMultilevel"/>
    <w:tmpl w:val="2BDAD992"/>
    <w:lvl w:ilvl="0" w:tplc="3D0AF928">
      <w:start w:val="1"/>
      <w:numFmt w:val="bullet"/>
      <w:lvlText w:val=""/>
      <w:lvlJc w:val="left"/>
      <w:pPr>
        <w:ind w:left="720" w:hanging="180"/>
      </w:pPr>
      <w:rPr>
        <w:rFonts w:ascii="Symbol" w:hAnsi="Symbol" w:hint="default"/>
      </w:rPr>
    </w:lvl>
    <w:lvl w:ilvl="1" w:tplc="19D44B66">
      <w:numFmt w:val="decimal"/>
      <w:lvlText w:val=""/>
      <w:lvlJc w:val="left"/>
    </w:lvl>
    <w:lvl w:ilvl="2" w:tplc="0222408C">
      <w:numFmt w:val="decimal"/>
      <w:lvlText w:val=""/>
      <w:lvlJc w:val="left"/>
    </w:lvl>
    <w:lvl w:ilvl="3" w:tplc="9E46755E">
      <w:numFmt w:val="decimal"/>
      <w:lvlText w:val=""/>
      <w:lvlJc w:val="left"/>
    </w:lvl>
    <w:lvl w:ilvl="4" w:tplc="027E03F4">
      <w:numFmt w:val="decimal"/>
      <w:lvlText w:val=""/>
      <w:lvlJc w:val="left"/>
    </w:lvl>
    <w:lvl w:ilvl="5" w:tplc="26DE75D8">
      <w:numFmt w:val="decimal"/>
      <w:lvlText w:val=""/>
      <w:lvlJc w:val="left"/>
    </w:lvl>
    <w:lvl w:ilvl="6" w:tplc="71CAED6E">
      <w:numFmt w:val="decimal"/>
      <w:lvlText w:val=""/>
      <w:lvlJc w:val="left"/>
    </w:lvl>
    <w:lvl w:ilvl="7" w:tplc="51C44536">
      <w:numFmt w:val="decimal"/>
      <w:lvlText w:val=""/>
      <w:lvlJc w:val="left"/>
    </w:lvl>
    <w:lvl w:ilvl="8" w:tplc="84D42EEA">
      <w:numFmt w:val="decimal"/>
      <w:lvlText w:val=""/>
      <w:lvlJc w:val="left"/>
    </w:lvl>
  </w:abstractNum>
  <w:abstractNum w:abstractNumId="1578" w15:restartNumberingAfterBreak="0">
    <w:nsid w:val="791158A7"/>
    <w:multiLevelType w:val="hybridMultilevel"/>
    <w:tmpl w:val="72047F4C"/>
    <w:lvl w:ilvl="0" w:tplc="FBB886A6">
      <w:start w:val="1"/>
      <w:numFmt w:val="bullet"/>
      <w:lvlText w:val=""/>
      <w:lvlJc w:val="left"/>
      <w:pPr>
        <w:ind w:left="720" w:hanging="180"/>
      </w:pPr>
      <w:rPr>
        <w:rFonts w:ascii="Symbol" w:hAnsi="Symbol" w:hint="default"/>
      </w:rPr>
    </w:lvl>
    <w:lvl w:ilvl="1" w:tplc="11287358">
      <w:numFmt w:val="decimal"/>
      <w:lvlText w:val=""/>
      <w:lvlJc w:val="left"/>
    </w:lvl>
    <w:lvl w:ilvl="2" w:tplc="563823B0">
      <w:numFmt w:val="decimal"/>
      <w:lvlText w:val=""/>
      <w:lvlJc w:val="left"/>
    </w:lvl>
    <w:lvl w:ilvl="3" w:tplc="681C6F06">
      <w:numFmt w:val="decimal"/>
      <w:lvlText w:val=""/>
      <w:lvlJc w:val="left"/>
    </w:lvl>
    <w:lvl w:ilvl="4" w:tplc="9F6A254E">
      <w:numFmt w:val="decimal"/>
      <w:lvlText w:val=""/>
      <w:lvlJc w:val="left"/>
    </w:lvl>
    <w:lvl w:ilvl="5" w:tplc="987A1352">
      <w:numFmt w:val="decimal"/>
      <w:lvlText w:val=""/>
      <w:lvlJc w:val="left"/>
    </w:lvl>
    <w:lvl w:ilvl="6" w:tplc="6F7C5678">
      <w:numFmt w:val="decimal"/>
      <w:lvlText w:val=""/>
      <w:lvlJc w:val="left"/>
    </w:lvl>
    <w:lvl w:ilvl="7" w:tplc="BC7C687A">
      <w:numFmt w:val="decimal"/>
      <w:lvlText w:val=""/>
      <w:lvlJc w:val="left"/>
    </w:lvl>
    <w:lvl w:ilvl="8" w:tplc="913E7600">
      <w:numFmt w:val="decimal"/>
      <w:lvlText w:val=""/>
      <w:lvlJc w:val="left"/>
    </w:lvl>
  </w:abstractNum>
  <w:abstractNum w:abstractNumId="1579" w15:restartNumberingAfterBreak="0">
    <w:nsid w:val="792A15F6"/>
    <w:multiLevelType w:val="hybridMultilevel"/>
    <w:tmpl w:val="8C9A57D2"/>
    <w:lvl w:ilvl="0" w:tplc="874CCD4A">
      <w:start w:val="1"/>
      <w:numFmt w:val="bullet"/>
      <w:lvlText w:val=""/>
      <w:lvlJc w:val="left"/>
      <w:pPr>
        <w:ind w:left="720" w:hanging="180"/>
      </w:pPr>
      <w:rPr>
        <w:rFonts w:ascii="Symbol" w:hAnsi="Symbol" w:hint="default"/>
      </w:rPr>
    </w:lvl>
    <w:lvl w:ilvl="1" w:tplc="45923F02">
      <w:numFmt w:val="decimal"/>
      <w:lvlText w:val=""/>
      <w:lvlJc w:val="left"/>
    </w:lvl>
    <w:lvl w:ilvl="2" w:tplc="8220911A">
      <w:numFmt w:val="decimal"/>
      <w:lvlText w:val=""/>
      <w:lvlJc w:val="left"/>
    </w:lvl>
    <w:lvl w:ilvl="3" w:tplc="32F8AA2E">
      <w:numFmt w:val="decimal"/>
      <w:lvlText w:val=""/>
      <w:lvlJc w:val="left"/>
    </w:lvl>
    <w:lvl w:ilvl="4" w:tplc="4712E368">
      <w:numFmt w:val="decimal"/>
      <w:lvlText w:val=""/>
      <w:lvlJc w:val="left"/>
    </w:lvl>
    <w:lvl w:ilvl="5" w:tplc="9196CF48">
      <w:numFmt w:val="decimal"/>
      <w:lvlText w:val=""/>
      <w:lvlJc w:val="left"/>
    </w:lvl>
    <w:lvl w:ilvl="6" w:tplc="76AC46F0">
      <w:numFmt w:val="decimal"/>
      <w:lvlText w:val=""/>
      <w:lvlJc w:val="left"/>
    </w:lvl>
    <w:lvl w:ilvl="7" w:tplc="F6549C98">
      <w:numFmt w:val="decimal"/>
      <w:lvlText w:val=""/>
      <w:lvlJc w:val="left"/>
    </w:lvl>
    <w:lvl w:ilvl="8" w:tplc="14C29820">
      <w:numFmt w:val="decimal"/>
      <w:lvlText w:val=""/>
      <w:lvlJc w:val="left"/>
    </w:lvl>
  </w:abstractNum>
  <w:abstractNum w:abstractNumId="1580" w15:restartNumberingAfterBreak="0">
    <w:nsid w:val="793F3422"/>
    <w:multiLevelType w:val="hybridMultilevel"/>
    <w:tmpl w:val="776A8A1A"/>
    <w:lvl w:ilvl="0" w:tplc="AF945ED6">
      <w:start w:val="1"/>
      <w:numFmt w:val="bullet"/>
      <w:lvlText w:val=""/>
      <w:lvlJc w:val="left"/>
      <w:pPr>
        <w:ind w:left="720" w:hanging="180"/>
      </w:pPr>
      <w:rPr>
        <w:rFonts w:ascii="Symbol" w:hAnsi="Symbol" w:hint="default"/>
      </w:rPr>
    </w:lvl>
    <w:lvl w:ilvl="1" w:tplc="B29A5F18">
      <w:numFmt w:val="decimal"/>
      <w:lvlText w:val=""/>
      <w:lvlJc w:val="left"/>
    </w:lvl>
    <w:lvl w:ilvl="2" w:tplc="890C3372">
      <w:numFmt w:val="decimal"/>
      <w:lvlText w:val=""/>
      <w:lvlJc w:val="left"/>
    </w:lvl>
    <w:lvl w:ilvl="3" w:tplc="15780E1A">
      <w:numFmt w:val="decimal"/>
      <w:lvlText w:val=""/>
      <w:lvlJc w:val="left"/>
    </w:lvl>
    <w:lvl w:ilvl="4" w:tplc="7E002644">
      <w:numFmt w:val="decimal"/>
      <w:lvlText w:val=""/>
      <w:lvlJc w:val="left"/>
    </w:lvl>
    <w:lvl w:ilvl="5" w:tplc="4DAC2DB8">
      <w:numFmt w:val="decimal"/>
      <w:lvlText w:val=""/>
      <w:lvlJc w:val="left"/>
    </w:lvl>
    <w:lvl w:ilvl="6" w:tplc="48D6C332">
      <w:numFmt w:val="decimal"/>
      <w:lvlText w:val=""/>
      <w:lvlJc w:val="left"/>
    </w:lvl>
    <w:lvl w:ilvl="7" w:tplc="FD08DAE8">
      <w:numFmt w:val="decimal"/>
      <w:lvlText w:val=""/>
      <w:lvlJc w:val="left"/>
    </w:lvl>
    <w:lvl w:ilvl="8" w:tplc="7FF44910">
      <w:numFmt w:val="decimal"/>
      <w:lvlText w:val=""/>
      <w:lvlJc w:val="left"/>
    </w:lvl>
  </w:abstractNum>
  <w:abstractNum w:abstractNumId="1581" w15:restartNumberingAfterBreak="0">
    <w:nsid w:val="794A6AD4"/>
    <w:multiLevelType w:val="hybridMultilevel"/>
    <w:tmpl w:val="0BCAA8A8"/>
    <w:lvl w:ilvl="0" w:tplc="A45022C6">
      <w:start w:val="1"/>
      <w:numFmt w:val="bullet"/>
      <w:lvlText w:val=""/>
      <w:lvlJc w:val="left"/>
      <w:pPr>
        <w:ind w:left="720" w:hanging="180"/>
      </w:pPr>
      <w:rPr>
        <w:rFonts w:ascii="Symbol" w:hAnsi="Symbol" w:hint="default"/>
      </w:rPr>
    </w:lvl>
    <w:lvl w:ilvl="1" w:tplc="91BEA236">
      <w:numFmt w:val="decimal"/>
      <w:lvlText w:val=""/>
      <w:lvlJc w:val="left"/>
    </w:lvl>
    <w:lvl w:ilvl="2" w:tplc="75B4F9B6">
      <w:numFmt w:val="decimal"/>
      <w:lvlText w:val=""/>
      <w:lvlJc w:val="left"/>
    </w:lvl>
    <w:lvl w:ilvl="3" w:tplc="740C9138">
      <w:numFmt w:val="decimal"/>
      <w:lvlText w:val=""/>
      <w:lvlJc w:val="left"/>
    </w:lvl>
    <w:lvl w:ilvl="4" w:tplc="996C70AE">
      <w:numFmt w:val="decimal"/>
      <w:lvlText w:val=""/>
      <w:lvlJc w:val="left"/>
    </w:lvl>
    <w:lvl w:ilvl="5" w:tplc="55E460DC">
      <w:numFmt w:val="decimal"/>
      <w:lvlText w:val=""/>
      <w:lvlJc w:val="left"/>
    </w:lvl>
    <w:lvl w:ilvl="6" w:tplc="475E6C34">
      <w:numFmt w:val="decimal"/>
      <w:lvlText w:val=""/>
      <w:lvlJc w:val="left"/>
    </w:lvl>
    <w:lvl w:ilvl="7" w:tplc="64F8002E">
      <w:numFmt w:val="decimal"/>
      <w:lvlText w:val=""/>
      <w:lvlJc w:val="left"/>
    </w:lvl>
    <w:lvl w:ilvl="8" w:tplc="3678F2FE">
      <w:numFmt w:val="decimal"/>
      <w:lvlText w:val=""/>
      <w:lvlJc w:val="left"/>
    </w:lvl>
  </w:abstractNum>
  <w:abstractNum w:abstractNumId="1582" w15:restartNumberingAfterBreak="0">
    <w:nsid w:val="795E6F7D"/>
    <w:multiLevelType w:val="hybridMultilevel"/>
    <w:tmpl w:val="D212B464"/>
    <w:lvl w:ilvl="0" w:tplc="D93671C2">
      <w:start w:val="1"/>
      <w:numFmt w:val="bullet"/>
      <w:lvlText w:val=""/>
      <w:lvlJc w:val="left"/>
      <w:pPr>
        <w:ind w:left="720" w:hanging="180"/>
      </w:pPr>
      <w:rPr>
        <w:rFonts w:ascii="Symbol" w:hAnsi="Symbol" w:hint="default"/>
      </w:rPr>
    </w:lvl>
    <w:lvl w:ilvl="1" w:tplc="9AC293BC">
      <w:numFmt w:val="decimal"/>
      <w:lvlText w:val=""/>
      <w:lvlJc w:val="left"/>
    </w:lvl>
    <w:lvl w:ilvl="2" w:tplc="363CE39C">
      <w:numFmt w:val="decimal"/>
      <w:lvlText w:val=""/>
      <w:lvlJc w:val="left"/>
    </w:lvl>
    <w:lvl w:ilvl="3" w:tplc="8A54302C">
      <w:numFmt w:val="decimal"/>
      <w:lvlText w:val=""/>
      <w:lvlJc w:val="left"/>
    </w:lvl>
    <w:lvl w:ilvl="4" w:tplc="6BBCA1FE">
      <w:numFmt w:val="decimal"/>
      <w:lvlText w:val=""/>
      <w:lvlJc w:val="left"/>
    </w:lvl>
    <w:lvl w:ilvl="5" w:tplc="3C24AF4A">
      <w:numFmt w:val="decimal"/>
      <w:lvlText w:val=""/>
      <w:lvlJc w:val="left"/>
    </w:lvl>
    <w:lvl w:ilvl="6" w:tplc="4DB0EBB8">
      <w:numFmt w:val="decimal"/>
      <w:lvlText w:val=""/>
      <w:lvlJc w:val="left"/>
    </w:lvl>
    <w:lvl w:ilvl="7" w:tplc="AC688CF8">
      <w:numFmt w:val="decimal"/>
      <w:lvlText w:val=""/>
      <w:lvlJc w:val="left"/>
    </w:lvl>
    <w:lvl w:ilvl="8" w:tplc="96F498B6">
      <w:numFmt w:val="decimal"/>
      <w:lvlText w:val=""/>
      <w:lvlJc w:val="left"/>
    </w:lvl>
  </w:abstractNum>
  <w:abstractNum w:abstractNumId="1583" w15:restartNumberingAfterBreak="0">
    <w:nsid w:val="79784E63"/>
    <w:multiLevelType w:val="hybridMultilevel"/>
    <w:tmpl w:val="F2846E0C"/>
    <w:lvl w:ilvl="0" w:tplc="4C9A368C">
      <w:start w:val="1"/>
      <w:numFmt w:val="bullet"/>
      <w:lvlText w:val=""/>
      <w:lvlJc w:val="left"/>
      <w:pPr>
        <w:ind w:left="720" w:hanging="180"/>
      </w:pPr>
      <w:rPr>
        <w:rFonts w:ascii="Symbol" w:hAnsi="Symbol" w:hint="default"/>
      </w:rPr>
    </w:lvl>
    <w:lvl w:ilvl="1" w:tplc="0ED2CF8E">
      <w:numFmt w:val="decimal"/>
      <w:lvlText w:val=""/>
      <w:lvlJc w:val="left"/>
    </w:lvl>
    <w:lvl w:ilvl="2" w:tplc="F00C8802">
      <w:numFmt w:val="decimal"/>
      <w:lvlText w:val=""/>
      <w:lvlJc w:val="left"/>
    </w:lvl>
    <w:lvl w:ilvl="3" w:tplc="53A6758A">
      <w:numFmt w:val="decimal"/>
      <w:lvlText w:val=""/>
      <w:lvlJc w:val="left"/>
    </w:lvl>
    <w:lvl w:ilvl="4" w:tplc="98B4A524">
      <w:numFmt w:val="decimal"/>
      <w:lvlText w:val=""/>
      <w:lvlJc w:val="left"/>
    </w:lvl>
    <w:lvl w:ilvl="5" w:tplc="E202FB08">
      <w:numFmt w:val="decimal"/>
      <w:lvlText w:val=""/>
      <w:lvlJc w:val="left"/>
    </w:lvl>
    <w:lvl w:ilvl="6" w:tplc="F4C2675A">
      <w:numFmt w:val="decimal"/>
      <w:lvlText w:val=""/>
      <w:lvlJc w:val="left"/>
    </w:lvl>
    <w:lvl w:ilvl="7" w:tplc="5DD88FE4">
      <w:numFmt w:val="decimal"/>
      <w:lvlText w:val=""/>
      <w:lvlJc w:val="left"/>
    </w:lvl>
    <w:lvl w:ilvl="8" w:tplc="8F18FCF8">
      <w:numFmt w:val="decimal"/>
      <w:lvlText w:val=""/>
      <w:lvlJc w:val="left"/>
    </w:lvl>
  </w:abstractNum>
  <w:abstractNum w:abstractNumId="1584" w15:restartNumberingAfterBreak="0">
    <w:nsid w:val="797A0B27"/>
    <w:multiLevelType w:val="hybridMultilevel"/>
    <w:tmpl w:val="25B289EC"/>
    <w:lvl w:ilvl="0" w:tplc="B17C9646">
      <w:start w:val="1"/>
      <w:numFmt w:val="bullet"/>
      <w:lvlText w:val=""/>
      <w:lvlJc w:val="left"/>
      <w:pPr>
        <w:ind w:left="720" w:hanging="180"/>
      </w:pPr>
      <w:rPr>
        <w:rFonts w:ascii="Symbol" w:hAnsi="Symbol" w:hint="default"/>
      </w:rPr>
    </w:lvl>
    <w:lvl w:ilvl="1" w:tplc="63E85BBA">
      <w:numFmt w:val="decimal"/>
      <w:lvlText w:val=""/>
      <w:lvlJc w:val="left"/>
    </w:lvl>
    <w:lvl w:ilvl="2" w:tplc="4B3EEF54">
      <w:numFmt w:val="decimal"/>
      <w:lvlText w:val=""/>
      <w:lvlJc w:val="left"/>
    </w:lvl>
    <w:lvl w:ilvl="3" w:tplc="1696F26A">
      <w:numFmt w:val="decimal"/>
      <w:lvlText w:val=""/>
      <w:lvlJc w:val="left"/>
    </w:lvl>
    <w:lvl w:ilvl="4" w:tplc="7FB6E6CE">
      <w:numFmt w:val="decimal"/>
      <w:lvlText w:val=""/>
      <w:lvlJc w:val="left"/>
    </w:lvl>
    <w:lvl w:ilvl="5" w:tplc="2A58BCEA">
      <w:numFmt w:val="decimal"/>
      <w:lvlText w:val=""/>
      <w:lvlJc w:val="left"/>
    </w:lvl>
    <w:lvl w:ilvl="6" w:tplc="D1E86D38">
      <w:numFmt w:val="decimal"/>
      <w:lvlText w:val=""/>
      <w:lvlJc w:val="left"/>
    </w:lvl>
    <w:lvl w:ilvl="7" w:tplc="8DB83FCC">
      <w:numFmt w:val="decimal"/>
      <w:lvlText w:val=""/>
      <w:lvlJc w:val="left"/>
    </w:lvl>
    <w:lvl w:ilvl="8" w:tplc="08D8BA10">
      <w:numFmt w:val="decimal"/>
      <w:lvlText w:val=""/>
      <w:lvlJc w:val="left"/>
    </w:lvl>
  </w:abstractNum>
  <w:abstractNum w:abstractNumId="1585" w15:restartNumberingAfterBreak="0">
    <w:nsid w:val="79800305"/>
    <w:multiLevelType w:val="hybridMultilevel"/>
    <w:tmpl w:val="EE8030E8"/>
    <w:lvl w:ilvl="0" w:tplc="A3E654F4">
      <w:start w:val="1"/>
      <w:numFmt w:val="bullet"/>
      <w:lvlText w:val=""/>
      <w:lvlJc w:val="left"/>
      <w:pPr>
        <w:ind w:left="720" w:hanging="180"/>
      </w:pPr>
      <w:rPr>
        <w:rFonts w:ascii="Symbol" w:hAnsi="Symbol" w:hint="default"/>
      </w:rPr>
    </w:lvl>
    <w:lvl w:ilvl="1" w:tplc="9BFECB54">
      <w:numFmt w:val="decimal"/>
      <w:lvlText w:val=""/>
      <w:lvlJc w:val="left"/>
    </w:lvl>
    <w:lvl w:ilvl="2" w:tplc="025CD3D6">
      <w:numFmt w:val="decimal"/>
      <w:lvlText w:val=""/>
      <w:lvlJc w:val="left"/>
    </w:lvl>
    <w:lvl w:ilvl="3" w:tplc="31700C0A">
      <w:numFmt w:val="decimal"/>
      <w:lvlText w:val=""/>
      <w:lvlJc w:val="left"/>
    </w:lvl>
    <w:lvl w:ilvl="4" w:tplc="5144280C">
      <w:numFmt w:val="decimal"/>
      <w:lvlText w:val=""/>
      <w:lvlJc w:val="left"/>
    </w:lvl>
    <w:lvl w:ilvl="5" w:tplc="DAEAF756">
      <w:numFmt w:val="decimal"/>
      <w:lvlText w:val=""/>
      <w:lvlJc w:val="left"/>
    </w:lvl>
    <w:lvl w:ilvl="6" w:tplc="3BCC5454">
      <w:numFmt w:val="decimal"/>
      <w:lvlText w:val=""/>
      <w:lvlJc w:val="left"/>
    </w:lvl>
    <w:lvl w:ilvl="7" w:tplc="90245686">
      <w:numFmt w:val="decimal"/>
      <w:lvlText w:val=""/>
      <w:lvlJc w:val="left"/>
    </w:lvl>
    <w:lvl w:ilvl="8" w:tplc="C2B63A08">
      <w:numFmt w:val="decimal"/>
      <w:lvlText w:val=""/>
      <w:lvlJc w:val="left"/>
    </w:lvl>
  </w:abstractNum>
  <w:abstractNum w:abstractNumId="1586" w15:restartNumberingAfterBreak="0">
    <w:nsid w:val="79B67B62"/>
    <w:multiLevelType w:val="hybridMultilevel"/>
    <w:tmpl w:val="83C47D50"/>
    <w:lvl w:ilvl="0" w:tplc="F54268CE">
      <w:start w:val="1"/>
      <w:numFmt w:val="bullet"/>
      <w:lvlText w:val=""/>
      <w:lvlJc w:val="left"/>
      <w:pPr>
        <w:ind w:left="720" w:hanging="180"/>
      </w:pPr>
      <w:rPr>
        <w:rFonts w:ascii="Symbol" w:hAnsi="Symbol" w:hint="default"/>
      </w:rPr>
    </w:lvl>
    <w:lvl w:ilvl="1" w:tplc="026EACAC">
      <w:numFmt w:val="decimal"/>
      <w:lvlText w:val=""/>
      <w:lvlJc w:val="left"/>
    </w:lvl>
    <w:lvl w:ilvl="2" w:tplc="F3EE72E2">
      <w:numFmt w:val="decimal"/>
      <w:lvlText w:val=""/>
      <w:lvlJc w:val="left"/>
    </w:lvl>
    <w:lvl w:ilvl="3" w:tplc="DA3230E6">
      <w:numFmt w:val="decimal"/>
      <w:lvlText w:val=""/>
      <w:lvlJc w:val="left"/>
    </w:lvl>
    <w:lvl w:ilvl="4" w:tplc="4AD8C632">
      <w:numFmt w:val="decimal"/>
      <w:lvlText w:val=""/>
      <w:lvlJc w:val="left"/>
    </w:lvl>
    <w:lvl w:ilvl="5" w:tplc="21F8AB80">
      <w:numFmt w:val="decimal"/>
      <w:lvlText w:val=""/>
      <w:lvlJc w:val="left"/>
    </w:lvl>
    <w:lvl w:ilvl="6" w:tplc="F5463D0E">
      <w:numFmt w:val="decimal"/>
      <w:lvlText w:val=""/>
      <w:lvlJc w:val="left"/>
    </w:lvl>
    <w:lvl w:ilvl="7" w:tplc="B64E7D1A">
      <w:numFmt w:val="decimal"/>
      <w:lvlText w:val=""/>
      <w:lvlJc w:val="left"/>
    </w:lvl>
    <w:lvl w:ilvl="8" w:tplc="ABA45110">
      <w:numFmt w:val="decimal"/>
      <w:lvlText w:val=""/>
      <w:lvlJc w:val="left"/>
    </w:lvl>
  </w:abstractNum>
  <w:abstractNum w:abstractNumId="1587" w15:restartNumberingAfterBreak="0">
    <w:nsid w:val="79E752C8"/>
    <w:multiLevelType w:val="hybridMultilevel"/>
    <w:tmpl w:val="1DE8A926"/>
    <w:lvl w:ilvl="0" w:tplc="A462B7BC">
      <w:start w:val="1"/>
      <w:numFmt w:val="bullet"/>
      <w:lvlText w:val=""/>
      <w:lvlJc w:val="left"/>
      <w:pPr>
        <w:ind w:left="720" w:hanging="180"/>
      </w:pPr>
      <w:rPr>
        <w:rFonts w:ascii="Symbol" w:hAnsi="Symbol" w:hint="default"/>
      </w:rPr>
    </w:lvl>
    <w:lvl w:ilvl="1" w:tplc="29F2A138">
      <w:numFmt w:val="decimal"/>
      <w:lvlText w:val=""/>
      <w:lvlJc w:val="left"/>
    </w:lvl>
    <w:lvl w:ilvl="2" w:tplc="7CD0D700">
      <w:numFmt w:val="decimal"/>
      <w:lvlText w:val=""/>
      <w:lvlJc w:val="left"/>
    </w:lvl>
    <w:lvl w:ilvl="3" w:tplc="D3D29E72">
      <w:numFmt w:val="decimal"/>
      <w:lvlText w:val=""/>
      <w:lvlJc w:val="left"/>
    </w:lvl>
    <w:lvl w:ilvl="4" w:tplc="2D7E9A6E">
      <w:numFmt w:val="decimal"/>
      <w:lvlText w:val=""/>
      <w:lvlJc w:val="left"/>
    </w:lvl>
    <w:lvl w:ilvl="5" w:tplc="EF7E6560">
      <w:numFmt w:val="decimal"/>
      <w:lvlText w:val=""/>
      <w:lvlJc w:val="left"/>
    </w:lvl>
    <w:lvl w:ilvl="6" w:tplc="A9AA5660">
      <w:numFmt w:val="decimal"/>
      <w:lvlText w:val=""/>
      <w:lvlJc w:val="left"/>
    </w:lvl>
    <w:lvl w:ilvl="7" w:tplc="08B8D152">
      <w:numFmt w:val="decimal"/>
      <w:lvlText w:val=""/>
      <w:lvlJc w:val="left"/>
    </w:lvl>
    <w:lvl w:ilvl="8" w:tplc="F104A894">
      <w:numFmt w:val="decimal"/>
      <w:lvlText w:val=""/>
      <w:lvlJc w:val="left"/>
    </w:lvl>
  </w:abstractNum>
  <w:abstractNum w:abstractNumId="1588" w15:restartNumberingAfterBreak="0">
    <w:nsid w:val="79E929CB"/>
    <w:multiLevelType w:val="hybridMultilevel"/>
    <w:tmpl w:val="3C8AE17C"/>
    <w:lvl w:ilvl="0" w:tplc="F508E5D0">
      <w:numFmt w:val="decimal"/>
      <w:lvlText w:val=""/>
      <w:lvlJc w:val="left"/>
    </w:lvl>
    <w:lvl w:ilvl="1" w:tplc="22FEB4FA">
      <w:start w:val="1"/>
      <w:numFmt w:val="bullet"/>
      <w:lvlText w:val=""/>
      <w:lvlJc w:val="left"/>
      <w:pPr>
        <w:ind w:left="1440" w:hanging="180"/>
      </w:pPr>
      <w:rPr>
        <w:rFonts w:ascii="Symbol" w:hAnsi="Symbol" w:hint="default"/>
      </w:rPr>
    </w:lvl>
    <w:lvl w:ilvl="2" w:tplc="796C857A">
      <w:numFmt w:val="decimal"/>
      <w:lvlText w:val=""/>
      <w:lvlJc w:val="left"/>
    </w:lvl>
    <w:lvl w:ilvl="3" w:tplc="241EDD0C">
      <w:numFmt w:val="decimal"/>
      <w:lvlText w:val=""/>
      <w:lvlJc w:val="left"/>
    </w:lvl>
    <w:lvl w:ilvl="4" w:tplc="D35E386A">
      <w:numFmt w:val="decimal"/>
      <w:lvlText w:val=""/>
      <w:lvlJc w:val="left"/>
    </w:lvl>
    <w:lvl w:ilvl="5" w:tplc="984C4384">
      <w:numFmt w:val="decimal"/>
      <w:lvlText w:val=""/>
      <w:lvlJc w:val="left"/>
    </w:lvl>
    <w:lvl w:ilvl="6" w:tplc="84BC8D5C">
      <w:numFmt w:val="decimal"/>
      <w:lvlText w:val=""/>
      <w:lvlJc w:val="left"/>
    </w:lvl>
    <w:lvl w:ilvl="7" w:tplc="8564D0A6">
      <w:numFmt w:val="decimal"/>
      <w:lvlText w:val=""/>
      <w:lvlJc w:val="left"/>
    </w:lvl>
    <w:lvl w:ilvl="8" w:tplc="EDF6A0B8">
      <w:numFmt w:val="decimal"/>
      <w:lvlText w:val=""/>
      <w:lvlJc w:val="left"/>
    </w:lvl>
  </w:abstractNum>
  <w:abstractNum w:abstractNumId="1589" w15:restartNumberingAfterBreak="0">
    <w:nsid w:val="79ED5731"/>
    <w:multiLevelType w:val="hybridMultilevel"/>
    <w:tmpl w:val="6E1CB4BA"/>
    <w:lvl w:ilvl="0" w:tplc="E2B856D4">
      <w:numFmt w:val="decimal"/>
      <w:lvlText w:val=""/>
      <w:lvlJc w:val="left"/>
    </w:lvl>
    <w:lvl w:ilvl="1" w:tplc="613CB5B2">
      <w:start w:val="1"/>
      <w:numFmt w:val="bullet"/>
      <w:lvlText w:val=""/>
      <w:lvlJc w:val="left"/>
      <w:pPr>
        <w:ind w:left="1440" w:hanging="180"/>
      </w:pPr>
      <w:rPr>
        <w:rFonts w:ascii="Symbol" w:hAnsi="Symbol" w:hint="default"/>
      </w:rPr>
    </w:lvl>
    <w:lvl w:ilvl="2" w:tplc="F68E3C66">
      <w:numFmt w:val="decimal"/>
      <w:lvlText w:val=""/>
      <w:lvlJc w:val="left"/>
    </w:lvl>
    <w:lvl w:ilvl="3" w:tplc="89AAE6D2">
      <w:numFmt w:val="decimal"/>
      <w:lvlText w:val=""/>
      <w:lvlJc w:val="left"/>
    </w:lvl>
    <w:lvl w:ilvl="4" w:tplc="CB202EAE">
      <w:numFmt w:val="decimal"/>
      <w:lvlText w:val=""/>
      <w:lvlJc w:val="left"/>
    </w:lvl>
    <w:lvl w:ilvl="5" w:tplc="223CD468">
      <w:numFmt w:val="decimal"/>
      <w:lvlText w:val=""/>
      <w:lvlJc w:val="left"/>
    </w:lvl>
    <w:lvl w:ilvl="6" w:tplc="2C24DE7E">
      <w:numFmt w:val="decimal"/>
      <w:lvlText w:val=""/>
      <w:lvlJc w:val="left"/>
    </w:lvl>
    <w:lvl w:ilvl="7" w:tplc="4C2CA5A8">
      <w:numFmt w:val="decimal"/>
      <w:lvlText w:val=""/>
      <w:lvlJc w:val="left"/>
    </w:lvl>
    <w:lvl w:ilvl="8" w:tplc="96CCB186">
      <w:numFmt w:val="decimal"/>
      <w:lvlText w:val=""/>
      <w:lvlJc w:val="left"/>
    </w:lvl>
  </w:abstractNum>
  <w:abstractNum w:abstractNumId="1590" w15:restartNumberingAfterBreak="0">
    <w:nsid w:val="7A10055E"/>
    <w:multiLevelType w:val="hybridMultilevel"/>
    <w:tmpl w:val="3AEA8890"/>
    <w:lvl w:ilvl="0" w:tplc="82F6ABDA">
      <w:start w:val="1"/>
      <w:numFmt w:val="bullet"/>
      <w:lvlText w:val=""/>
      <w:lvlJc w:val="left"/>
      <w:pPr>
        <w:ind w:left="720" w:hanging="180"/>
      </w:pPr>
      <w:rPr>
        <w:rFonts w:ascii="Symbol" w:hAnsi="Symbol" w:hint="default"/>
      </w:rPr>
    </w:lvl>
    <w:lvl w:ilvl="1" w:tplc="3824182C">
      <w:numFmt w:val="decimal"/>
      <w:lvlText w:val=""/>
      <w:lvlJc w:val="left"/>
    </w:lvl>
    <w:lvl w:ilvl="2" w:tplc="A22CF630">
      <w:numFmt w:val="decimal"/>
      <w:lvlText w:val=""/>
      <w:lvlJc w:val="left"/>
    </w:lvl>
    <w:lvl w:ilvl="3" w:tplc="44549C44">
      <w:numFmt w:val="decimal"/>
      <w:lvlText w:val=""/>
      <w:lvlJc w:val="left"/>
    </w:lvl>
    <w:lvl w:ilvl="4" w:tplc="778A6FBC">
      <w:numFmt w:val="decimal"/>
      <w:lvlText w:val=""/>
      <w:lvlJc w:val="left"/>
    </w:lvl>
    <w:lvl w:ilvl="5" w:tplc="D7682F26">
      <w:numFmt w:val="decimal"/>
      <w:lvlText w:val=""/>
      <w:lvlJc w:val="left"/>
    </w:lvl>
    <w:lvl w:ilvl="6" w:tplc="4FA4B63C">
      <w:numFmt w:val="decimal"/>
      <w:lvlText w:val=""/>
      <w:lvlJc w:val="left"/>
    </w:lvl>
    <w:lvl w:ilvl="7" w:tplc="ABE02454">
      <w:numFmt w:val="decimal"/>
      <w:lvlText w:val=""/>
      <w:lvlJc w:val="left"/>
    </w:lvl>
    <w:lvl w:ilvl="8" w:tplc="150CAB66">
      <w:numFmt w:val="decimal"/>
      <w:lvlText w:val=""/>
      <w:lvlJc w:val="left"/>
    </w:lvl>
  </w:abstractNum>
  <w:abstractNum w:abstractNumId="1591" w15:restartNumberingAfterBreak="0">
    <w:nsid w:val="7A2C4E12"/>
    <w:multiLevelType w:val="hybridMultilevel"/>
    <w:tmpl w:val="849E0170"/>
    <w:lvl w:ilvl="0" w:tplc="6A8A8D98">
      <w:start w:val="1"/>
      <w:numFmt w:val="bullet"/>
      <w:lvlText w:val=""/>
      <w:lvlJc w:val="left"/>
      <w:pPr>
        <w:ind w:left="720" w:hanging="180"/>
      </w:pPr>
      <w:rPr>
        <w:rFonts w:ascii="Symbol" w:hAnsi="Symbol" w:hint="default"/>
      </w:rPr>
    </w:lvl>
    <w:lvl w:ilvl="1" w:tplc="AD16D1BE">
      <w:numFmt w:val="decimal"/>
      <w:lvlText w:val=""/>
      <w:lvlJc w:val="left"/>
    </w:lvl>
    <w:lvl w:ilvl="2" w:tplc="E320FB1E">
      <w:numFmt w:val="decimal"/>
      <w:lvlText w:val=""/>
      <w:lvlJc w:val="left"/>
    </w:lvl>
    <w:lvl w:ilvl="3" w:tplc="4A5AC0D6">
      <w:numFmt w:val="decimal"/>
      <w:lvlText w:val=""/>
      <w:lvlJc w:val="left"/>
    </w:lvl>
    <w:lvl w:ilvl="4" w:tplc="70004C74">
      <w:numFmt w:val="decimal"/>
      <w:lvlText w:val=""/>
      <w:lvlJc w:val="left"/>
    </w:lvl>
    <w:lvl w:ilvl="5" w:tplc="57FA84DA">
      <w:numFmt w:val="decimal"/>
      <w:lvlText w:val=""/>
      <w:lvlJc w:val="left"/>
    </w:lvl>
    <w:lvl w:ilvl="6" w:tplc="41D055AC">
      <w:numFmt w:val="decimal"/>
      <w:lvlText w:val=""/>
      <w:lvlJc w:val="left"/>
    </w:lvl>
    <w:lvl w:ilvl="7" w:tplc="3A123D92">
      <w:numFmt w:val="decimal"/>
      <w:lvlText w:val=""/>
      <w:lvlJc w:val="left"/>
    </w:lvl>
    <w:lvl w:ilvl="8" w:tplc="985479C4">
      <w:numFmt w:val="decimal"/>
      <w:lvlText w:val=""/>
      <w:lvlJc w:val="left"/>
    </w:lvl>
  </w:abstractNum>
  <w:abstractNum w:abstractNumId="1592" w15:restartNumberingAfterBreak="0">
    <w:nsid w:val="7A986EB5"/>
    <w:multiLevelType w:val="hybridMultilevel"/>
    <w:tmpl w:val="CED2D25C"/>
    <w:lvl w:ilvl="0" w:tplc="B680F3FC">
      <w:start w:val="1"/>
      <w:numFmt w:val="bullet"/>
      <w:lvlText w:val=""/>
      <w:lvlJc w:val="left"/>
      <w:pPr>
        <w:ind w:left="720" w:hanging="180"/>
      </w:pPr>
      <w:rPr>
        <w:rFonts w:ascii="Symbol" w:hAnsi="Symbol" w:hint="default"/>
      </w:rPr>
    </w:lvl>
    <w:lvl w:ilvl="1" w:tplc="B5E81028">
      <w:numFmt w:val="decimal"/>
      <w:lvlText w:val=""/>
      <w:lvlJc w:val="left"/>
    </w:lvl>
    <w:lvl w:ilvl="2" w:tplc="20D84426">
      <w:numFmt w:val="decimal"/>
      <w:lvlText w:val=""/>
      <w:lvlJc w:val="left"/>
    </w:lvl>
    <w:lvl w:ilvl="3" w:tplc="B4523E54">
      <w:numFmt w:val="decimal"/>
      <w:lvlText w:val=""/>
      <w:lvlJc w:val="left"/>
    </w:lvl>
    <w:lvl w:ilvl="4" w:tplc="B00E8364">
      <w:numFmt w:val="decimal"/>
      <w:lvlText w:val=""/>
      <w:lvlJc w:val="left"/>
    </w:lvl>
    <w:lvl w:ilvl="5" w:tplc="2D208EF8">
      <w:numFmt w:val="decimal"/>
      <w:lvlText w:val=""/>
      <w:lvlJc w:val="left"/>
    </w:lvl>
    <w:lvl w:ilvl="6" w:tplc="3A32E14C">
      <w:numFmt w:val="decimal"/>
      <w:lvlText w:val=""/>
      <w:lvlJc w:val="left"/>
    </w:lvl>
    <w:lvl w:ilvl="7" w:tplc="CEE0211C">
      <w:numFmt w:val="decimal"/>
      <w:lvlText w:val=""/>
      <w:lvlJc w:val="left"/>
    </w:lvl>
    <w:lvl w:ilvl="8" w:tplc="8B12B1DC">
      <w:numFmt w:val="decimal"/>
      <w:lvlText w:val=""/>
      <w:lvlJc w:val="left"/>
    </w:lvl>
  </w:abstractNum>
  <w:abstractNum w:abstractNumId="1593" w15:restartNumberingAfterBreak="0">
    <w:nsid w:val="7ABB201D"/>
    <w:multiLevelType w:val="hybridMultilevel"/>
    <w:tmpl w:val="453C6C40"/>
    <w:lvl w:ilvl="0" w:tplc="3732F1DC">
      <w:start w:val="1"/>
      <w:numFmt w:val="bullet"/>
      <w:lvlText w:val=""/>
      <w:lvlJc w:val="left"/>
      <w:pPr>
        <w:ind w:left="720" w:hanging="180"/>
      </w:pPr>
      <w:rPr>
        <w:rFonts w:ascii="Symbol" w:hAnsi="Symbol" w:hint="default"/>
      </w:rPr>
    </w:lvl>
    <w:lvl w:ilvl="1" w:tplc="18F03152">
      <w:numFmt w:val="decimal"/>
      <w:lvlText w:val=""/>
      <w:lvlJc w:val="left"/>
    </w:lvl>
    <w:lvl w:ilvl="2" w:tplc="8396BA5A">
      <w:numFmt w:val="decimal"/>
      <w:lvlText w:val=""/>
      <w:lvlJc w:val="left"/>
    </w:lvl>
    <w:lvl w:ilvl="3" w:tplc="B5088584">
      <w:numFmt w:val="decimal"/>
      <w:lvlText w:val=""/>
      <w:lvlJc w:val="left"/>
    </w:lvl>
    <w:lvl w:ilvl="4" w:tplc="8AF083A6">
      <w:numFmt w:val="decimal"/>
      <w:lvlText w:val=""/>
      <w:lvlJc w:val="left"/>
    </w:lvl>
    <w:lvl w:ilvl="5" w:tplc="11960314">
      <w:numFmt w:val="decimal"/>
      <w:lvlText w:val=""/>
      <w:lvlJc w:val="left"/>
    </w:lvl>
    <w:lvl w:ilvl="6" w:tplc="8294C96C">
      <w:numFmt w:val="decimal"/>
      <w:lvlText w:val=""/>
      <w:lvlJc w:val="left"/>
    </w:lvl>
    <w:lvl w:ilvl="7" w:tplc="BCEA0FDA">
      <w:numFmt w:val="decimal"/>
      <w:lvlText w:val=""/>
      <w:lvlJc w:val="left"/>
    </w:lvl>
    <w:lvl w:ilvl="8" w:tplc="909C19B4">
      <w:numFmt w:val="decimal"/>
      <w:lvlText w:val=""/>
      <w:lvlJc w:val="left"/>
    </w:lvl>
  </w:abstractNum>
  <w:abstractNum w:abstractNumId="1594" w15:restartNumberingAfterBreak="0">
    <w:nsid w:val="7ACC38D4"/>
    <w:multiLevelType w:val="hybridMultilevel"/>
    <w:tmpl w:val="BC2EBFB6"/>
    <w:lvl w:ilvl="0" w:tplc="1AA47914">
      <w:start w:val="1"/>
      <w:numFmt w:val="bullet"/>
      <w:lvlText w:val=""/>
      <w:lvlJc w:val="left"/>
      <w:pPr>
        <w:ind w:left="720" w:hanging="180"/>
      </w:pPr>
      <w:rPr>
        <w:rFonts w:ascii="Symbol" w:hAnsi="Symbol" w:hint="default"/>
      </w:rPr>
    </w:lvl>
    <w:lvl w:ilvl="1" w:tplc="7BC808A8">
      <w:numFmt w:val="decimal"/>
      <w:lvlText w:val=""/>
      <w:lvlJc w:val="left"/>
    </w:lvl>
    <w:lvl w:ilvl="2" w:tplc="755E349E">
      <w:numFmt w:val="decimal"/>
      <w:lvlText w:val=""/>
      <w:lvlJc w:val="left"/>
    </w:lvl>
    <w:lvl w:ilvl="3" w:tplc="056672C8">
      <w:numFmt w:val="decimal"/>
      <w:lvlText w:val=""/>
      <w:lvlJc w:val="left"/>
    </w:lvl>
    <w:lvl w:ilvl="4" w:tplc="D40EB65A">
      <w:numFmt w:val="decimal"/>
      <w:lvlText w:val=""/>
      <w:lvlJc w:val="left"/>
    </w:lvl>
    <w:lvl w:ilvl="5" w:tplc="172EC04C">
      <w:numFmt w:val="decimal"/>
      <w:lvlText w:val=""/>
      <w:lvlJc w:val="left"/>
    </w:lvl>
    <w:lvl w:ilvl="6" w:tplc="ABD45D56">
      <w:numFmt w:val="decimal"/>
      <w:lvlText w:val=""/>
      <w:lvlJc w:val="left"/>
    </w:lvl>
    <w:lvl w:ilvl="7" w:tplc="0BB0CC32">
      <w:numFmt w:val="decimal"/>
      <w:lvlText w:val=""/>
      <w:lvlJc w:val="left"/>
    </w:lvl>
    <w:lvl w:ilvl="8" w:tplc="45A0769A">
      <w:numFmt w:val="decimal"/>
      <w:lvlText w:val=""/>
      <w:lvlJc w:val="left"/>
    </w:lvl>
  </w:abstractNum>
  <w:abstractNum w:abstractNumId="1595" w15:restartNumberingAfterBreak="0">
    <w:nsid w:val="7AD5016D"/>
    <w:multiLevelType w:val="hybridMultilevel"/>
    <w:tmpl w:val="BE08B2F2"/>
    <w:lvl w:ilvl="0" w:tplc="621A0C4A">
      <w:start w:val="1"/>
      <w:numFmt w:val="bullet"/>
      <w:lvlText w:val=""/>
      <w:lvlJc w:val="left"/>
      <w:pPr>
        <w:ind w:left="720" w:hanging="180"/>
      </w:pPr>
      <w:rPr>
        <w:rFonts w:ascii="Symbol" w:hAnsi="Symbol" w:hint="default"/>
      </w:rPr>
    </w:lvl>
    <w:lvl w:ilvl="1" w:tplc="C0203DB8">
      <w:numFmt w:val="decimal"/>
      <w:lvlText w:val=""/>
      <w:lvlJc w:val="left"/>
    </w:lvl>
    <w:lvl w:ilvl="2" w:tplc="08FE6D7C">
      <w:numFmt w:val="decimal"/>
      <w:lvlText w:val=""/>
      <w:lvlJc w:val="left"/>
    </w:lvl>
    <w:lvl w:ilvl="3" w:tplc="BAFCCA7E">
      <w:numFmt w:val="decimal"/>
      <w:lvlText w:val=""/>
      <w:lvlJc w:val="left"/>
    </w:lvl>
    <w:lvl w:ilvl="4" w:tplc="D108B594">
      <w:numFmt w:val="decimal"/>
      <w:lvlText w:val=""/>
      <w:lvlJc w:val="left"/>
    </w:lvl>
    <w:lvl w:ilvl="5" w:tplc="8F0C5ED4">
      <w:numFmt w:val="decimal"/>
      <w:lvlText w:val=""/>
      <w:lvlJc w:val="left"/>
    </w:lvl>
    <w:lvl w:ilvl="6" w:tplc="76AAE91C">
      <w:numFmt w:val="decimal"/>
      <w:lvlText w:val=""/>
      <w:lvlJc w:val="left"/>
    </w:lvl>
    <w:lvl w:ilvl="7" w:tplc="832238C8">
      <w:numFmt w:val="decimal"/>
      <w:lvlText w:val=""/>
      <w:lvlJc w:val="left"/>
    </w:lvl>
    <w:lvl w:ilvl="8" w:tplc="C022767C">
      <w:numFmt w:val="decimal"/>
      <w:lvlText w:val=""/>
      <w:lvlJc w:val="left"/>
    </w:lvl>
  </w:abstractNum>
  <w:abstractNum w:abstractNumId="1596" w15:restartNumberingAfterBreak="0">
    <w:nsid w:val="7AD91C1A"/>
    <w:multiLevelType w:val="hybridMultilevel"/>
    <w:tmpl w:val="8AE2A42A"/>
    <w:lvl w:ilvl="0" w:tplc="5CF0F8AE">
      <w:start w:val="1"/>
      <w:numFmt w:val="bullet"/>
      <w:lvlText w:val=""/>
      <w:lvlJc w:val="left"/>
      <w:pPr>
        <w:ind w:left="720" w:hanging="180"/>
      </w:pPr>
      <w:rPr>
        <w:rFonts w:ascii="Symbol" w:hAnsi="Symbol" w:hint="default"/>
      </w:rPr>
    </w:lvl>
    <w:lvl w:ilvl="1" w:tplc="DFB8518A">
      <w:numFmt w:val="decimal"/>
      <w:lvlText w:val=""/>
      <w:lvlJc w:val="left"/>
    </w:lvl>
    <w:lvl w:ilvl="2" w:tplc="77DE13A8">
      <w:numFmt w:val="decimal"/>
      <w:lvlText w:val=""/>
      <w:lvlJc w:val="left"/>
    </w:lvl>
    <w:lvl w:ilvl="3" w:tplc="9348977A">
      <w:numFmt w:val="decimal"/>
      <w:lvlText w:val=""/>
      <w:lvlJc w:val="left"/>
    </w:lvl>
    <w:lvl w:ilvl="4" w:tplc="BBEAA3BC">
      <w:numFmt w:val="decimal"/>
      <w:lvlText w:val=""/>
      <w:lvlJc w:val="left"/>
    </w:lvl>
    <w:lvl w:ilvl="5" w:tplc="0E4CD19A">
      <w:numFmt w:val="decimal"/>
      <w:lvlText w:val=""/>
      <w:lvlJc w:val="left"/>
    </w:lvl>
    <w:lvl w:ilvl="6" w:tplc="AC9C5D9C">
      <w:numFmt w:val="decimal"/>
      <w:lvlText w:val=""/>
      <w:lvlJc w:val="left"/>
    </w:lvl>
    <w:lvl w:ilvl="7" w:tplc="91C6F30E">
      <w:numFmt w:val="decimal"/>
      <w:lvlText w:val=""/>
      <w:lvlJc w:val="left"/>
    </w:lvl>
    <w:lvl w:ilvl="8" w:tplc="F5846C66">
      <w:numFmt w:val="decimal"/>
      <w:lvlText w:val=""/>
      <w:lvlJc w:val="left"/>
    </w:lvl>
  </w:abstractNum>
  <w:abstractNum w:abstractNumId="1597" w15:restartNumberingAfterBreak="0">
    <w:nsid w:val="7AE91F86"/>
    <w:multiLevelType w:val="hybridMultilevel"/>
    <w:tmpl w:val="32345406"/>
    <w:lvl w:ilvl="0" w:tplc="EC0E7332">
      <w:numFmt w:val="decimal"/>
      <w:lvlText w:val=""/>
      <w:lvlJc w:val="left"/>
    </w:lvl>
    <w:lvl w:ilvl="1" w:tplc="E2684534">
      <w:start w:val="1"/>
      <w:numFmt w:val="bullet"/>
      <w:lvlText w:val=""/>
      <w:lvlJc w:val="left"/>
      <w:pPr>
        <w:ind w:left="1440" w:hanging="180"/>
      </w:pPr>
      <w:rPr>
        <w:rFonts w:ascii="Symbol" w:hAnsi="Symbol" w:hint="default"/>
      </w:rPr>
    </w:lvl>
    <w:lvl w:ilvl="2" w:tplc="5560BB78">
      <w:numFmt w:val="decimal"/>
      <w:lvlText w:val=""/>
      <w:lvlJc w:val="left"/>
    </w:lvl>
    <w:lvl w:ilvl="3" w:tplc="6808867E">
      <w:numFmt w:val="decimal"/>
      <w:lvlText w:val=""/>
      <w:lvlJc w:val="left"/>
    </w:lvl>
    <w:lvl w:ilvl="4" w:tplc="09205106">
      <w:numFmt w:val="decimal"/>
      <w:lvlText w:val=""/>
      <w:lvlJc w:val="left"/>
    </w:lvl>
    <w:lvl w:ilvl="5" w:tplc="D706B41A">
      <w:numFmt w:val="decimal"/>
      <w:lvlText w:val=""/>
      <w:lvlJc w:val="left"/>
    </w:lvl>
    <w:lvl w:ilvl="6" w:tplc="D9B822D4">
      <w:numFmt w:val="decimal"/>
      <w:lvlText w:val=""/>
      <w:lvlJc w:val="left"/>
    </w:lvl>
    <w:lvl w:ilvl="7" w:tplc="89B695AC">
      <w:numFmt w:val="decimal"/>
      <w:lvlText w:val=""/>
      <w:lvlJc w:val="left"/>
    </w:lvl>
    <w:lvl w:ilvl="8" w:tplc="82463770">
      <w:numFmt w:val="decimal"/>
      <w:lvlText w:val=""/>
      <w:lvlJc w:val="left"/>
    </w:lvl>
  </w:abstractNum>
  <w:abstractNum w:abstractNumId="1598" w15:restartNumberingAfterBreak="0">
    <w:nsid w:val="7AF96684"/>
    <w:multiLevelType w:val="hybridMultilevel"/>
    <w:tmpl w:val="5C8268CE"/>
    <w:lvl w:ilvl="0" w:tplc="1AF45F40">
      <w:start w:val="1"/>
      <w:numFmt w:val="bullet"/>
      <w:lvlText w:val=""/>
      <w:lvlJc w:val="left"/>
      <w:pPr>
        <w:ind w:left="720" w:hanging="180"/>
      </w:pPr>
      <w:rPr>
        <w:rFonts w:ascii="Symbol" w:hAnsi="Symbol" w:hint="default"/>
      </w:rPr>
    </w:lvl>
    <w:lvl w:ilvl="1" w:tplc="A0929736">
      <w:numFmt w:val="decimal"/>
      <w:lvlText w:val=""/>
      <w:lvlJc w:val="left"/>
    </w:lvl>
    <w:lvl w:ilvl="2" w:tplc="7032B600">
      <w:numFmt w:val="decimal"/>
      <w:lvlText w:val=""/>
      <w:lvlJc w:val="left"/>
    </w:lvl>
    <w:lvl w:ilvl="3" w:tplc="BEF67722">
      <w:numFmt w:val="decimal"/>
      <w:lvlText w:val=""/>
      <w:lvlJc w:val="left"/>
    </w:lvl>
    <w:lvl w:ilvl="4" w:tplc="CA0830D4">
      <w:numFmt w:val="decimal"/>
      <w:lvlText w:val=""/>
      <w:lvlJc w:val="left"/>
    </w:lvl>
    <w:lvl w:ilvl="5" w:tplc="9118B452">
      <w:numFmt w:val="decimal"/>
      <w:lvlText w:val=""/>
      <w:lvlJc w:val="left"/>
    </w:lvl>
    <w:lvl w:ilvl="6" w:tplc="45FAEE7E">
      <w:numFmt w:val="decimal"/>
      <w:lvlText w:val=""/>
      <w:lvlJc w:val="left"/>
    </w:lvl>
    <w:lvl w:ilvl="7" w:tplc="F9327AA2">
      <w:numFmt w:val="decimal"/>
      <w:lvlText w:val=""/>
      <w:lvlJc w:val="left"/>
    </w:lvl>
    <w:lvl w:ilvl="8" w:tplc="3188BD0E">
      <w:numFmt w:val="decimal"/>
      <w:lvlText w:val=""/>
      <w:lvlJc w:val="left"/>
    </w:lvl>
  </w:abstractNum>
  <w:abstractNum w:abstractNumId="1599" w15:restartNumberingAfterBreak="0">
    <w:nsid w:val="7AFB3856"/>
    <w:multiLevelType w:val="hybridMultilevel"/>
    <w:tmpl w:val="FDF8A616"/>
    <w:lvl w:ilvl="0" w:tplc="3620BB40">
      <w:start w:val="1"/>
      <w:numFmt w:val="bullet"/>
      <w:lvlText w:val=""/>
      <w:lvlJc w:val="left"/>
      <w:pPr>
        <w:ind w:left="720" w:hanging="180"/>
      </w:pPr>
      <w:rPr>
        <w:rFonts w:ascii="Symbol" w:hAnsi="Symbol" w:hint="default"/>
      </w:rPr>
    </w:lvl>
    <w:lvl w:ilvl="1" w:tplc="2F067A36">
      <w:numFmt w:val="decimal"/>
      <w:lvlText w:val=""/>
      <w:lvlJc w:val="left"/>
    </w:lvl>
    <w:lvl w:ilvl="2" w:tplc="C774358C">
      <w:numFmt w:val="decimal"/>
      <w:lvlText w:val=""/>
      <w:lvlJc w:val="left"/>
    </w:lvl>
    <w:lvl w:ilvl="3" w:tplc="B31A687E">
      <w:numFmt w:val="decimal"/>
      <w:lvlText w:val=""/>
      <w:lvlJc w:val="left"/>
    </w:lvl>
    <w:lvl w:ilvl="4" w:tplc="2804A67C">
      <w:numFmt w:val="decimal"/>
      <w:lvlText w:val=""/>
      <w:lvlJc w:val="left"/>
    </w:lvl>
    <w:lvl w:ilvl="5" w:tplc="6598EABA">
      <w:numFmt w:val="decimal"/>
      <w:lvlText w:val=""/>
      <w:lvlJc w:val="left"/>
    </w:lvl>
    <w:lvl w:ilvl="6" w:tplc="6F1CEB38">
      <w:numFmt w:val="decimal"/>
      <w:lvlText w:val=""/>
      <w:lvlJc w:val="left"/>
    </w:lvl>
    <w:lvl w:ilvl="7" w:tplc="7B7840F2">
      <w:numFmt w:val="decimal"/>
      <w:lvlText w:val=""/>
      <w:lvlJc w:val="left"/>
    </w:lvl>
    <w:lvl w:ilvl="8" w:tplc="D3922000">
      <w:numFmt w:val="decimal"/>
      <w:lvlText w:val=""/>
      <w:lvlJc w:val="left"/>
    </w:lvl>
  </w:abstractNum>
  <w:abstractNum w:abstractNumId="1600" w15:restartNumberingAfterBreak="0">
    <w:nsid w:val="7AFF6421"/>
    <w:multiLevelType w:val="hybridMultilevel"/>
    <w:tmpl w:val="12B630C2"/>
    <w:lvl w:ilvl="0" w:tplc="EB1298C2">
      <w:start w:val="1"/>
      <w:numFmt w:val="bullet"/>
      <w:lvlText w:val=""/>
      <w:lvlJc w:val="left"/>
      <w:pPr>
        <w:ind w:left="720" w:hanging="180"/>
      </w:pPr>
      <w:rPr>
        <w:rFonts w:ascii="Symbol" w:hAnsi="Symbol" w:hint="default"/>
      </w:rPr>
    </w:lvl>
    <w:lvl w:ilvl="1" w:tplc="EE4C8392">
      <w:numFmt w:val="decimal"/>
      <w:lvlText w:val=""/>
      <w:lvlJc w:val="left"/>
    </w:lvl>
    <w:lvl w:ilvl="2" w:tplc="DE561714">
      <w:numFmt w:val="decimal"/>
      <w:lvlText w:val=""/>
      <w:lvlJc w:val="left"/>
    </w:lvl>
    <w:lvl w:ilvl="3" w:tplc="DB168E26">
      <w:numFmt w:val="decimal"/>
      <w:lvlText w:val=""/>
      <w:lvlJc w:val="left"/>
    </w:lvl>
    <w:lvl w:ilvl="4" w:tplc="C172C57E">
      <w:numFmt w:val="decimal"/>
      <w:lvlText w:val=""/>
      <w:lvlJc w:val="left"/>
    </w:lvl>
    <w:lvl w:ilvl="5" w:tplc="0BF8A72E">
      <w:numFmt w:val="decimal"/>
      <w:lvlText w:val=""/>
      <w:lvlJc w:val="left"/>
    </w:lvl>
    <w:lvl w:ilvl="6" w:tplc="2352621E">
      <w:numFmt w:val="decimal"/>
      <w:lvlText w:val=""/>
      <w:lvlJc w:val="left"/>
    </w:lvl>
    <w:lvl w:ilvl="7" w:tplc="84E48274">
      <w:numFmt w:val="decimal"/>
      <w:lvlText w:val=""/>
      <w:lvlJc w:val="left"/>
    </w:lvl>
    <w:lvl w:ilvl="8" w:tplc="190E8C16">
      <w:numFmt w:val="decimal"/>
      <w:lvlText w:val=""/>
      <w:lvlJc w:val="left"/>
    </w:lvl>
  </w:abstractNum>
  <w:abstractNum w:abstractNumId="1601" w15:restartNumberingAfterBreak="0">
    <w:nsid w:val="7B221E37"/>
    <w:multiLevelType w:val="hybridMultilevel"/>
    <w:tmpl w:val="D5CC7B98"/>
    <w:lvl w:ilvl="0" w:tplc="EC284B4A">
      <w:start w:val="1"/>
      <w:numFmt w:val="bullet"/>
      <w:lvlText w:val=""/>
      <w:lvlJc w:val="left"/>
      <w:pPr>
        <w:ind w:left="720" w:hanging="180"/>
      </w:pPr>
      <w:rPr>
        <w:rFonts w:ascii="Symbol" w:hAnsi="Symbol" w:hint="default"/>
      </w:rPr>
    </w:lvl>
    <w:lvl w:ilvl="1" w:tplc="D610D65E">
      <w:numFmt w:val="decimal"/>
      <w:lvlText w:val=""/>
      <w:lvlJc w:val="left"/>
    </w:lvl>
    <w:lvl w:ilvl="2" w:tplc="5142B02A">
      <w:numFmt w:val="decimal"/>
      <w:lvlText w:val=""/>
      <w:lvlJc w:val="left"/>
    </w:lvl>
    <w:lvl w:ilvl="3" w:tplc="ED6E561A">
      <w:numFmt w:val="decimal"/>
      <w:lvlText w:val=""/>
      <w:lvlJc w:val="left"/>
    </w:lvl>
    <w:lvl w:ilvl="4" w:tplc="85EC2438">
      <w:numFmt w:val="decimal"/>
      <w:lvlText w:val=""/>
      <w:lvlJc w:val="left"/>
    </w:lvl>
    <w:lvl w:ilvl="5" w:tplc="EA8ED6CE">
      <w:numFmt w:val="decimal"/>
      <w:lvlText w:val=""/>
      <w:lvlJc w:val="left"/>
    </w:lvl>
    <w:lvl w:ilvl="6" w:tplc="13C6D8D6">
      <w:numFmt w:val="decimal"/>
      <w:lvlText w:val=""/>
      <w:lvlJc w:val="left"/>
    </w:lvl>
    <w:lvl w:ilvl="7" w:tplc="43FA4CF2">
      <w:numFmt w:val="decimal"/>
      <w:lvlText w:val=""/>
      <w:lvlJc w:val="left"/>
    </w:lvl>
    <w:lvl w:ilvl="8" w:tplc="56381514">
      <w:numFmt w:val="decimal"/>
      <w:lvlText w:val=""/>
      <w:lvlJc w:val="left"/>
    </w:lvl>
  </w:abstractNum>
  <w:abstractNum w:abstractNumId="1602" w15:restartNumberingAfterBreak="0">
    <w:nsid w:val="7B636A45"/>
    <w:multiLevelType w:val="hybridMultilevel"/>
    <w:tmpl w:val="3ADC9ADC"/>
    <w:lvl w:ilvl="0" w:tplc="8EB88CFC">
      <w:start w:val="1"/>
      <w:numFmt w:val="bullet"/>
      <w:lvlText w:val=""/>
      <w:lvlJc w:val="left"/>
      <w:pPr>
        <w:ind w:left="720" w:hanging="180"/>
      </w:pPr>
      <w:rPr>
        <w:rFonts w:ascii="Symbol" w:hAnsi="Symbol" w:hint="default"/>
      </w:rPr>
    </w:lvl>
    <w:lvl w:ilvl="1" w:tplc="0B5057C6">
      <w:numFmt w:val="decimal"/>
      <w:lvlText w:val=""/>
      <w:lvlJc w:val="left"/>
    </w:lvl>
    <w:lvl w:ilvl="2" w:tplc="9C18CF04">
      <w:numFmt w:val="decimal"/>
      <w:lvlText w:val=""/>
      <w:lvlJc w:val="left"/>
    </w:lvl>
    <w:lvl w:ilvl="3" w:tplc="6ED43DE2">
      <w:numFmt w:val="decimal"/>
      <w:lvlText w:val=""/>
      <w:lvlJc w:val="left"/>
    </w:lvl>
    <w:lvl w:ilvl="4" w:tplc="5582E3BA">
      <w:numFmt w:val="decimal"/>
      <w:lvlText w:val=""/>
      <w:lvlJc w:val="left"/>
    </w:lvl>
    <w:lvl w:ilvl="5" w:tplc="D656324A">
      <w:numFmt w:val="decimal"/>
      <w:lvlText w:val=""/>
      <w:lvlJc w:val="left"/>
    </w:lvl>
    <w:lvl w:ilvl="6" w:tplc="A96AD724">
      <w:numFmt w:val="decimal"/>
      <w:lvlText w:val=""/>
      <w:lvlJc w:val="left"/>
    </w:lvl>
    <w:lvl w:ilvl="7" w:tplc="4030DF4E">
      <w:numFmt w:val="decimal"/>
      <w:lvlText w:val=""/>
      <w:lvlJc w:val="left"/>
    </w:lvl>
    <w:lvl w:ilvl="8" w:tplc="2E9698AA">
      <w:numFmt w:val="decimal"/>
      <w:lvlText w:val=""/>
      <w:lvlJc w:val="left"/>
    </w:lvl>
  </w:abstractNum>
  <w:abstractNum w:abstractNumId="1603" w15:restartNumberingAfterBreak="0">
    <w:nsid w:val="7B6405E5"/>
    <w:multiLevelType w:val="hybridMultilevel"/>
    <w:tmpl w:val="BC2439D8"/>
    <w:lvl w:ilvl="0" w:tplc="95684EBA">
      <w:start w:val="1"/>
      <w:numFmt w:val="bullet"/>
      <w:lvlText w:val=""/>
      <w:lvlJc w:val="left"/>
      <w:pPr>
        <w:ind w:left="720" w:hanging="180"/>
      </w:pPr>
      <w:rPr>
        <w:rFonts w:ascii="Symbol" w:hAnsi="Symbol" w:hint="default"/>
      </w:rPr>
    </w:lvl>
    <w:lvl w:ilvl="1" w:tplc="8C4A9384">
      <w:numFmt w:val="decimal"/>
      <w:lvlText w:val=""/>
      <w:lvlJc w:val="left"/>
    </w:lvl>
    <w:lvl w:ilvl="2" w:tplc="C00650D4">
      <w:numFmt w:val="decimal"/>
      <w:lvlText w:val=""/>
      <w:lvlJc w:val="left"/>
    </w:lvl>
    <w:lvl w:ilvl="3" w:tplc="6B224E6C">
      <w:numFmt w:val="decimal"/>
      <w:lvlText w:val=""/>
      <w:lvlJc w:val="left"/>
    </w:lvl>
    <w:lvl w:ilvl="4" w:tplc="FF82C7B4">
      <w:numFmt w:val="decimal"/>
      <w:lvlText w:val=""/>
      <w:lvlJc w:val="left"/>
    </w:lvl>
    <w:lvl w:ilvl="5" w:tplc="D9063372">
      <w:numFmt w:val="decimal"/>
      <w:lvlText w:val=""/>
      <w:lvlJc w:val="left"/>
    </w:lvl>
    <w:lvl w:ilvl="6" w:tplc="FF16ADC0">
      <w:numFmt w:val="decimal"/>
      <w:lvlText w:val=""/>
      <w:lvlJc w:val="left"/>
    </w:lvl>
    <w:lvl w:ilvl="7" w:tplc="33A0DD4C">
      <w:numFmt w:val="decimal"/>
      <w:lvlText w:val=""/>
      <w:lvlJc w:val="left"/>
    </w:lvl>
    <w:lvl w:ilvl="8" w:tplc="65AE21EE">
      <w:numFmt w:val="decimal"/>
      <w:lvlText w:val=""/>
      <w:lvlJc w:val="left"/>
    </w:lvl>
  </w:abstractNum>
  <w:abstractNum w:abstractNumId="1604" w15:restartNumberingAfterBreak="0">
    <w:nsid w:val="7B693114"/>
    <w:multiLevelType w:val="hybridMultilevel"/>
    <w:tmpl w:val="F7AC3B06"/>
    <w:lvl w:ilvl="0" w:tplc="B1D8193E">
      <w:start w:val="1"/>
      <w:numFmt w:val="bullet"/>
      <w:lvlText w:val=""/>
      <w:lvlJc w:val="left"/>
      <w:pPr>
        <w:ind w:left="720" w:hanging="180"/>
      </w:pPr>
      <w:rPr>
        <w:rFonts w:ascii="Symbol" w:hAnsi="Symbol" w:hint="default"/>
      </w:rPr>
    </w:lvl>
    <w:lvl w:ilvl="1" w:tplc="D6A4EDE8">
      <w:numFmt w:val="decimal"/>
      <w:lvlText w:val=""/>
      <w:lvlJc w:val="left"/>
    </w:lvl>
    <w:lvl w:ilvl="2" w:tplc="796CAA66">
      <w:numFmt w:val="decimal"/>
      <w:lvlText w:val=""/>
      <w:lvlJc w:val="left"/>
    </w:lvl>
    <w:lvl w:ilvl="3" w:tplc="9490C6EA">
      <w:numFmt w:val="decimal"/>
      <w:lvlText w:val=""/>
      <w:lvlJc w:val="left"/>
    </w:lvl>
    <w:lvl w:ilvl="4" w:tplc="944C9CE0">
      <w:numFmt w:val="decimal"/>
      <w:lvlText w:val=""/>
      <w:lvlJc w:val="left"/>
    </w:lvl>
    <w:lvl w:ilvl="5" w:tplc="C34022A2">
      <w:numFmt w:val="decimal"/>
      <w:lvlText w:val=""/>
      <w:lvlJc w:val="left"/>
    </w:lvl>
    <w:lvl w:ilvl="6" w:tplc="112C266C">
      <w:numFmt w:val="decimal"/>
      <w:lvlText w:val=""/>
      <w:lvlJc w:val="left"/>
    </w:lvl>
    <w:lvl w:ilvl="7" w:tplc="51B4DC70">
      <w:numFmt w:val="decimal"/>
      <w:lvlText w:val=""/>
      <w:lvlJc w:val="left"/>
    </w:lvl>
    <w:lvl w:ilvl="8" w:tplc="792287A8">
      <w:numFmt w:val="decimal"/>
      <w:lvlText w:val=""/>
      <w:lvlJc w:val="left"/>
    </w:lvl>
  </w:abstractNum>
  <w:abstractNum w:abstractNumId="1605" w15:restartNumberingAfterBreak="0">
    <w:nsid w:val="7B8F794F"/>
    <w:multiLevelType w:val="hybridMultilevel"/>
    <w:tmpl w:val="23FCFD80"/>
    <w:lvl w:ilvl="0" w:tplc="DCC28354">
      <w:start w:val="1"/>
      <w:numFmt w:val="bullet"/>
      <w:lvlText w:val=""/>
      <w:lvlJc w:val="left"/>
      <w:pPr>
        <w:ind w:left="720" w:hanging="180"/>
      </w:pPr>
      <w:rPr>
        <w:rFonts w:ascii="Symbol" w:hAnsi="Symbol" w:hint="default"/>
      </w:rPr>
    </w:lvl>
    <w:lvl w:ilvl="1" w:tplc="8FF87FE4">
      <w:numFmt w:val="decimal"/>
      <w:lvlText w:val=""/>
      <w:lvlJc w:val="left"/>
    </w:lvl>
    <w:lvl w:ilvl="2" w:tplc="B4688E18">
      <w:numFmt w:val="decimal"/>
      <w:lvlText w:val=""/>
      <w:lvlJc w:val="left"/>
    </w:lvl>
    <w:lvl w:ilvl="3" w:tplc="AD202DDE">
      <w:numFmt w:val="decimal"/>
      <w:lvlText w:val=""/>
      <w:lvlJc w:val="left"/>
    </w:lvl>
    <w:lvl w:ilvl="4" w:tplc="06121B88">
      <w:numFmt w:val="decimal"/>
      <w:lvlText w:val=""/>
      <w:lvlJc w:val="left"/>
    </w:lvl>
    <w:lvl w:ilvl="5" w:tplc="6F7A3626">
      <w:numFmt w:val="decimal"/>
      <w:lvlText w:val=""/>
      <w:lvlJc w:val="left"/>
    </w:lvl>
    <w:lvl w:ilvl="6" w:tplc="ABD0E0BE">
      <w:numFmt w:val="decimal"/>
      <w:lvlText w:val=""/>
      <w:lvlJc w:val="left"/>
    </w:lvl>
    <w:lvl w:ilvl="7" w:tplc="72A46076">
      <w:numFmt w:val="decimal"/>
      <w:lvlText w:val=""/>
      <w:lvlJc w:val="left"/>
    </w:lvl>
    <w:lvl w:ilvl="8" w:tplc="11E4B28A">
      <w:numFmt w:val="decimal"/>
      <w:lvlText w:val=""/>
      <w:lvlJc w:val="left"/>
    </w:lvl>
  </w:abstractNum>
  <w:abstractNum w:abstractNumId="1606" w15:restartNumberingAfterBreak="0">
    <w:nsid w:val="7BAC595B"/>
    <w:multiLevelType w:val="hybridMultilevel"/>
    <w:tmpl w:val="A3741F1E"/>
    <w:lvl w:ilvl="0" w:tplc="3A0EA834">
      <w:start w:val="1"/>
      <w:numFmt w:val="bullet"/>
      <w:lvlText w:val=""/>
      <w:lvlJc w:val="left"/>
      <w:pPr>
        <w:ind w:left="720" w:hanging="180"/>
      </w:pPr>
      <w:rPr>
        <w:rFonts w:ascii="Symbol" w:hAnsi="Symbol" w:hint="default"/>
      </w:rPr>
    </w:lvl>
    <w:lvl w:ilvl="1" w:tplc="66F43A84">
      <w:numFmt w:val="decimal"/>
      <w:lvlText w:val=""/>
      <w:lvlJc w:val="left"/>
    </w:lvl>
    <w:lvl w:ilvl="2" w:tplc="5EE4E0F0">
      <w:numFmt w:val="decimal"/>
      <w:lvlText w:val=""/>
      <w:lvlJc w:val="left"/>
    </w:lvl>
    <w:lvl w:ilvl="3" w:tplc="05AE3434">
      <w:numFmt w:val="decimal"/>
      <w:lvlText w:val=""/>
      <w:lvlJc w:val="left"/>
    </w:lvl>
    <w:lvl w:ilvl="4" w:tplc="4080E640">
      <w:numFmt w:val="decimal"/>
      <w:lvlText w:val=""/>
      <w:lvlJc w:val="left"/>
    </w:lvl>
    <w:lvl w:ilvl="5" w:tplc="CFC8B49C">
      <w:numFmt w:val="decimal"/>
      <w:lvlText w:val=""/>
      <w:lvlJc w:val="left"/>
    </w:lvl>
    <w:lvl w:ilvl="6" w:tplc="46CECD82">
      <w:numFmt w:val="decimal"/>
      <w:lvlText w:val=""/>
      <w:lvlJc w:val="left"/>
    </w:lvl>
    <w:lvl w:ilvl="7" w:tplc="978ECE16">
      <w:numFmt w:val="decimal"/>
      <w:lvlText w:val=""/>
      <w:lvlJc w:val="left"/>
    </w:lvl>
    <w:lvl w:ilvl="8" w:tplc="C7D011C6">
      <w:numFmt w:val="decimal"/>
      <w:lvlText w:val=""/>
      <w:lvlJc w:val="left"/>
    </w:lvl>
  </w:abstractNum>
  <w:abstractNum w:abstractNumId="1607" w15:restartNumberingAfterBreak="0">
    <w:nsid w:val="7BB5119D"/>
    <w:multiLevelType w:val="hybridMultilevel"/>
    <w:tmpl w:val="CED0B64A"/>
    <w:lvl w:ilvl="0" w:tplc="B53405FA">
      <w:start w:val="1"/>
      <w:numFmt w:val="bullet"/>
      <w:lvlText w:val=""/>
      <w:lvlJc w:val="left"/>
      <w:pPr>
        <w:ind w:left="720" w:hanging="180"/>
      </w:pPr>
      <w:rPr>
        <w:rFonts w:ascii="Symbol" w:hAnsi="Symbol" w:hint="default"/>
      </w:rPr>
    </w:lvl>
    <w:lvl w:ilvl="1" w:tplc="87BCD93E">
      <w:numFmt w:val="decimal"/>
      <w:lvlText w:val=""/>
      <w:lvlJc w:val="left"/>
    </w:lvl>
    <w:lvl w:ilvl="2" w:tplc="A8FC7990">
      <w:numFmt w:val="decimal"/>
      <w:lvlText w:val=""/>
      <w:lvlJc w:val="left"/>
    </w:lvl>
    <w:lvl w:ilvl="3" w:tplc="F2E009F0">
      <w:numFmt w:val="decimal"/>
      <w:lvlText w:val=""/>
      <w:lvlJc w:val="left"/>
    </w:lvl>
    <w:lvl w:ilvl="4" w:tplc="7B3E669C">
      <w:numFmt w:val="decimal"/>
      <w:lvlText w:val=""/>
      <w:lvlJc w:val="left"/>
    </w:lvl>
    <w:lvl w:ilvl="5" w:tplc="D5825280">
      <w:numFmt w:val="decimal"/>
      <w:lvlText w:val=""/>
      <w:lvlJc w:val="left"/>
    </w:lvl>
    <w:lvl w:ilvl="6" w:tplc="4E163476">
      <w:numFmt w:val="decimal"/>
      <w:lvlText w:val=""/>
      <w:lvlJc w:val="left"/>
    </w:lvl>
    <w:lvl w:ilvl="7" w:tplc="F126F2D0">
      <w:numFmt w:val="decimal"/>
      <w:lvlText w:val=""/>
      <w:lvlJc w:val="left"/>
    </w:lvl>
    <w:lvl w:ilvl="8" w:tplc="BDB427B4">
      <w:numFmt w:val="decimal"/>
      <w:lvlText w:val=""/>
      <w:lvlJc w:val="left"/>
    </w:lvl>
  </w:abstractNum>
  <w:abstractNum w:abstractNumId="1608" w15:restartNumberingAfterBreak="0">
    <w:nsid w:val="7BD604D2"/>
    <w:multiLevelType w:val="hybridMultilevel"/>
    <w:tmpl w:val="3FA2AD4E"/>
    <w:lvl w:ilvl="0" w:tplc="221A9732">
      <w:start w:val="1"/>
      <w:numFmt w:val="bullet"/>
      <w:lvlText w:val=""/>
      <w:lvlJc w:val="left"/>
      <w:pPr>
        <w:ind w:left="720" w:hanging="180"/>
      </w:pPr>
      <w:rPr>
        <w:rFonts w:ascii="Symbol" w:hAnsi="Symbol" w:hint="default"/>
      </w:rPr>
    </w:lvl>
    <w:lvl w:ilvl="1" w:tplc="03307FF0">
      <w:numFmt w:val="decimal"/>
      <w:lvlText w:val=""/>
      <w:lvlJc w:val="left"/>
    </w:lvl>
    <w:lvl w:ilvl="2" w:tplc="B12A232A">
      <w:numFmt w:val="decimal"/>
      <w:lvlText w:val=""/>
      <w:lvlJc w:val="left"/>
    </w:lvl>
    <w:lvl w:ilvl="3" w:tplc="447A7850">
      <w:numFmt w:val="decimal"/>
      <w:lvlText w:val=""/>
      <w:lvlJc w:val="left"/>
    </w:lvl>
    <w:lvl w:ilvl="4" w:tplc="0FF8EB0A">
      <w:numFmt w:val="decimal"/>
      <w:lvlText w:val=""/>
      <w:lvlJc w:val="left"/>
    </w:lvl>
    <w:lvl w:ilvl="5" w:tplc="A378D52E">
      <w:numFmt w:val="decimal"/>
      <w:lvlText w:val=""/>
      <w:lvlJc w:val="left"/>
    </w:lvl>
    <w:lvl w:ilvl="6" w:tplc="F78C44D4">
      <w:numFmt w:val="decimal"/>
      <w:lvlText w:val=""/>
      <w:lvlJc w:val="left"/>
    </w:lvl>
    <w:lvl w:ilvl="7" w:tplc="CFB6F6CC">
      <w:numFmt w:val="decimal"/>
      <w:lvlText w:val=""/>
      <w:lvlJc w:val="left"/>
    </w:lvl>
    <w:lvl w:ilvl="8" w:tplc="B7FA7F5A">
      <w:numFmt w:val="decimal"/>
      <w:lvlText w:val=""/>
      <w:lvlJc w:val="left"/>
    </w:lvl>
  </w:abstractNum>
  <w:abstractNum w:abstractNumId="1609" w15:restartNumberingAfterBreak="0">
    <w:nsid w:val="7BD865FE"/>
    <w:multiLevelType w:val="hybridMultilevel"/>
    <w:tmpl w:val="F892B08A"/>
    <w:lvl w:ilvl="0" w:tplc="4F9C8758">
      <w:start w:val="1"/>
      <w:numFmt w:val="bullet"/>
      <w:lvlText w:val=""/>
      <w:lvlJc w:val="left"/>
      <w:pPr>
        <w:ind w:left="720" w:hanging="180"/>
      </w:pPr>
      <w:rPr>
        <w:rFonts w:ascii="Symbol" w:hAnsi="Symbol" w:hint="default"/>
      </w:rPr>
    </w:lvl>
    <w:lvl w:ilvl="1" w:tplc="AF3035B6">
      <w:numFmt w:val="decimal"/>
      <w:lvlText w:val=""/>
      <w:lvlJc w:val="left"/>
    </w:lvl>
    <w:lvl w:ilvl="2" w:tplc="14E63118">
      <w:numFmt w:val="decimal"/>
      <w:lvlText w:val=""/>
      <w:lvlJc w:val="left"/>
    </w:lvl>
    <w:lvl w:ilvl="3" w:tplc="B5ECCD2C">
      <w:numFmt w:val="decimal"/>
      <w:lvlText w:val=""/>
      <w:lvlJc w:val="left"/>
    </w:lvl>
    <w:lvl w:ilvl="4" w:tplc="9BE2DBFA">
      <w:numFmt w:val="decimal"/>
      <w:lvlText w:val=""/>
      <w:lvlJc w:val="left"/>
    </w:lvl>
    <w:lvl w:ilvl="5" w:tplc="AA9A5F64">
      <w:numFmt w:val="decimal"/>
      <w:lvlText w:val=""/>
      <w:lvlJc w:val="left"/>
    </w:lvl>
    <w:lvl w:ilvl="6" w:tplc="F3C42C48">
      <w:numFmt w:val="decimal"/>
      <w:lvlText w:val=""/>
      <w:lvlJc w:val="left"/>
    </w:lvl>
    <w:lvl w:ilvl="7" w:tplc="207A343C">
      <w:numFmt w:val="decimal"/>
      <w:lvlText w:val=""/>
      <w:lvlJc w:val="left"/>
    </w:lvl>
    <w:lvl w:ilvl="8" w:tplc="37308D1E">
      <w:numFmt w:val="decimal"/>
      <w:lvlText w:val=""/>
      <w:lvlJc w:val="left"/>
    </w:lvl>
  </w:abstractNum>
  <w:abstractNum w:abstractNumId="1610" w15:restartNumberingAfterBreak="0">
    <w:nsid w:val="7C0A5C2D"/>
    <w:multiLevelType w:val="hybridMultilevel"/>
    <w:tmpl w:val="F064E2C6"/>
    <w:lvl w:ilvl="0" w:tplc="8C728E36">
      <w:start w:val="1"/>
      <w:numFmt w:val="bullet"/>
      <w:lvlText w:val=""/>
      <w:lvlJc w:val="left"/>
      <w:pPr>
        <w:ind w:left="720" w:hanging="180"/>
      </w:pPr>
      <w:rPr>
        <w:rFonts w:ascii="Symbol" w:hAnsi="Symbol" w:hint="default"/>
      </w:rPr>
    </w:lvl>
    <w:lvl w:ilvl="1" w:tplc="1F849250">
      <w:numFmt w:val="decimal"/>
      <w:lvlText w:val=""/>
      <w:lvlJc w:val="left"/>
    </w:lvl>
    <w:lvl w:ilvl="2" w:tplc="6E6482CE">
      <w:numFmt w:val="decimal"/>
      <w:lvlText w:val=""/>
      <w:lvlJc w:val="left"/>
    </w:lvl>
    <w:lvl w:ilvl="3" w:tplc="BECE7D52">
      <w:numFmt w:val="decimal"/>
      <w:lvlText w:val=""/>
      <w:lvlJc w:val="left"/>
    </w:lvl>
    <w:lvl w:ilvl="4" w:tplc="356E2762">
      <w:numFmt w:val="decimal"/>
      <w:lvlText w:val=""/>
      <w:lvlJc w:val="left"/>
    </w:lvl>
    <w:lvl w:ilvl="5" w:tplc="491288D0">
      <w:numFmt w:val="decimal"/>
      <w:lvlText w:val=""/>
      <w:lvlJc w:val="left"/>
    </w:lvl>
    <w:lvl w:ilvl="6" w:tplc="F56A8278">
      <w:numFmt w:val="decimal"/>
      <w:lvlText w:val=""/>
      <w:lvlJc w:val="left"/>
    </w:lvl>
    <w:lvl w:ilvl="7" w:tplc="BCA46118">
      <w:numFmt w:val="decimal"/>
      <w:lvlText w:val=""/>
      <w:lvlJc w:val="left"/>
    </w:lvl>
    <w:lvl w:ilvl="8" w:tplc="4F3E686E">
      <w:numFmt w:val="decimal"/>
      <w:lvlText w:val=""/>
      <w:lvlJc w:val="left"/>
    </w:lvl>
  </w:abstractNum>
  <w:abstractNum w:abstractNumId="1611" w15:restartNumberingAfterBreak="0">
    <w:nsid w:val="7C3A7E7F"/>
    <w:multiLevelType w:val="hybridMultilevel"/>
    <w:tmpl w:val="22B26CF6"/>
    <w:lvl w:ilvl="0" w:tplc="A1A24E4A">
      <w:start w:val="1"/>
      <w:numFmt w:val="bullet"/>
      <w:lvlText w:val=""/>
      <w:lvlJc w:val="left"/>
      <w:pPr>
        <w:ind w:left="720" w:hanging="180"/>
      </w:pPr>
      <w:rPr>
        <w:rFonts w:ascii="Symbol" w:hAnsi="Symbol" w:hint="default"/>
      </w:rPr>
    </w:lvl>
    <w:lvl w:ilvl="1" w:tplc="F35E0158">
      <w:numFmt w:val="decimal"/>
      <w:lvlText w:val=""/>
      <w:lvlJc w:val="left"/>
    </w:lvl>
    <w:lvl w:ilvl="2" w:tplc="FC40ADCC">
      <w:numFmt w:val="decimal"/>
      <w:lvlText w:val=""/>
      <w:lvlJc w:val="left"/>
    </w:lvl>
    <w:lvl w:ilvl="3" w:tplc="F9B2A52C">
      <w:numFmt w:val="decimal"/>
      <w:lvlText w:val=""/>
      <w:lvlJc w:val="left"/>
    </w:lvl>
    <w:lvl w:ilvl="4" w:tplc="F8822BEA">
      <w:numFmt w:val="decimal"/>
      <w:lvlText w:val=""/>
      <w:lvlJc w:val="left"/>
    </w:lvl>
    <w:lvl w:ilvl="5" w:tplc="FF62EF1C">
      <w:numFmt w:val="decimal"/>
      <w:lvlText w:val=""/>
      <w:lvlJc w:val="left"/>
    </w:lvl>
    <w:lvl w:ilvl="6" w:tplc="986C00CA">
      <w:numFmt w:val="decimal"/>
      <w:lvlText w:val=""/>
      <w:lvlJc w:val="left"/>
    </w:lvl>
    <w:lvl w:ilvl="7" w:tplc="9516D262">
      <w:numFmt w:val="decimal"/>
      <w:lvlText w:val=""/>
      <w:lvlJc w:val="left"/>
    </w:lvl>
    <w:lvl w:ilvl="8" w:tplc="A97A1B6E">
      <w:numFmt w:val="decimal"/>
      <w:lvlText w:val=""/>
      <w:lvlJc w:val="left"/>
    </w:lvl>
  </w:abstractNum>
  <w:abstractNum w:abstractNumId="1612" w15:restartNumberingAfterBreak="0">
    <w:nsid w:val="7C3D7427"/>
    <w:multiLevelType w:val="hybridMultilevel"/>
    <w:tmpl w:val="AC8E62B8"/>
    <w:lvl w:ilvl="0" w:tplc="9D18132C">
      <w:start w:val="1"/>
      <w:numFmt w:val="bullet"/>
      <w:lvlText w:val=""/>
      <w:lvlJc w:val="left"/>
      <w:pPr>
        <w:ind w:left="720" w:hanging="180"/>
      </w:pPr>
      <w:rPr>
        <w:rFonts w:ascii="Symbol" w:hAnsi="Symbol" w:hint="default"/>
      </w:rPr>
    </w:lvl>
    <w:lvl w:ilvl="1" w:tplc="07221D04">
      <w:numFmt w:val="decimal"/>
      <w:lvlText w:val=""/>
      <w:lvlJc w:val="left"/>
    </w:lvl>
    <w:lvl w:ilvl="2" w:tplc="9716AD8A">
      <w:numFmt w:val="decimal"/>
      <w:lvlText w:val=""/>
      <w:lvlJc w:val="left"/>
    </w:lvl>
    <w:lvl w:ilvl="3" w:tplc="FB7EC492">
      <w:numFmt w:val="decimal"/>
      <w:lvlText w:val=""/>
      <w:lvlJc w:val="left"/>
    </w:lvl>
    <w:lvl w:ilvl="4" w:tplc="944A6B6C">
      <w:numFmt w:val="decimal"/>
      <w:lvlText w:val=""/>
      <w:lvlJc w:val="left"/>
    </w:lvl>
    <w:lvl w:ilvl="5" w:tplc="AAB0A9A0">
      <w:numFmt w:val="decimal"/>
      <w:lvlText w:val=""/>
      <w:lvlJc w:val="left"/>
    </w:lvl>
    <w:lvl w:ilvl="6" w:tplc="094A966C">
      <w:numFmt w:val="decimal"/>
      <w:lvlText w:val=""/>
      <w:lvlJc w:val="left"/>
    </w:lvl>
    <w:lvl w:ilvl="7" w:tplc="26948702">
      <w:numFmt w:val="decimal"/>
      <w:lvlText w:val=""/>
      <w:lvlJc w:val="left"/>
    </w:lvl>
    <w:lvl w:ilvl="8" w:tplc="B8784D54">
      <w:numFmt w:val="decimal"/>
      <w:lvlText w:val=""/>
      <w:lvlJc w:val="left"/>
    </w:lvl>
  </w:abstractNum>
  <w:abstractNum w:abstractNumId="1613" w15:restartNumberingAfterBreak="0">
    <w:nsid w:val="7C6454FC"/>
    <w:multiLevelType w:val="hybridMultilevel"/>
    <w:tmpl w:val="FE328D46"/>
    <w:lvl w:ilvl="0" w:tplc="34F2AEFC">
      <w:start w:val="1"/>
      <w:numFmt w:val="bullet"/>
      <w:lvlText w:val=""/>
      <w:lvlJc w:val="left"/>
      <w:pPr>
        <w:ind w:left="720" w:hanging="180"/>
      </w:pPr>
      <w:rPr>
        <w:rFonts w:ascii="Symbol" w:hAnsi="Symbol" w:hint="default"/>
      </w:rPr>
    </w:lvl>
    <w:lvl w:ilvl="1" w:tplc="A5D8EE2A">
      <w:numFmt w:val="decimal"/>
      <w:lvlText w:val=""/>
      <w:lvlJc w:val="left"/>
    </w:lvl>
    <w:lvl w:ilvl="2" w:tplc="64D0FABA">
      <w:numFmt w:val="decimal"/>
      <w:lvlText w:val=""/>
      <w:lvlJc w:val="left"/>
    </w:lvl>
    <w:lvl w:ilvl="3" w:tplc="5066B250">
      <w:numFmt w:val="decimal"/>
      <w:lvlText w:val=""/>
      <w:lvlJc w:val="left"/>
    </w:lvl>
    <w:lvl w:ilvl="4" w:tplc="4EBA981C">
      <w:numFmt w:val="decimal"/>
      <w:lvlText w:val=""/>
      <w:lvlJc w:val="left"/>
    </w:lvl>
    <w:lvl w:ilvl="5" w:tplc="D3B09C88">
      <w:numFmt w:val="decimal"/>
      <w:lvlText w:val=""/>
      <w:lvlJc w:val="left"/>
    </w:lvl>
    <w:lvl w:ilvl="6" w:tplc="BB868C0A">
      <w:numFmt w:val="decimal"/>
      <w:lvlText w:val=""/>
      <w:lvlJc w:val="left"/>
    </w:lvl>
    <w:lvl w:ilvl="7" w:tplc="C36468A4">
      <w:numFmt w:val="decimal"/>
      <w:lvlText w:val=""/>
      <w:lvlJc w:val="left"/>
    </w:lvl>
    <w:lvl w:ilvl="8" w:tplc="B1E095A2">
      <w:numFmt w:val="decimal"/>
      <w:lvlText w:val=""/>
      <w:lvlJc w:val="left"/>
    </w:lvl>
  </w:abstractNum>
  <w:abstractNum w:abstractNumId="1614" w15:restartNumberingAfterBreak="0">
    <w:nsid w:val="7C7744C1"/>
    <w:multiLevelType w:val="hybridMultilevel"/>
    <w:tmpl w:val="DCBC94D8"/>
    <w:lvl w:ilvl="0" w:tplc="B3347360">
      <w:start w:val="1"/>
      <w:numFmt w:val="bullet"/>
      <w:lvlText w:val=""/>
      <w:lvlJc w:val="left"/>
      <w:pPr>
        <w:ind w:left="720" w:hanging="180"/>
      </w:pPr>
      <w:rPr>
        <w:rFonts w:ascii="Symbol" w:hAnsi="Symbol" w:hint="default"/>
      </w:rPr>
    </w:lvl>
    <w:lvl w:ilvl="1" w:tplc="A6FA3AFA">
      <w:numFmt w:val="decimal"/>
      <w:lvlText w:val=""/>
      <w:lvlJc w:val="left"/>
    </w:lvl>
    <w:lvl w:ilvl="2" w:tplc="1180C6E2">
      <w:numFmt w:val="decimal"/>
      <w:lvlText w:val=""/>
      <w:lvlJc w:val="left"/>
    </w:lvl>
    <w:lvl w:ilvl="3" w:tplc="59F2F386">
      <w:numFmt w:val="decimal"/>
      <w:lvlText w:val=""/>
      <w:lvlJc w:val="left"/>
    </w:lvl>
    <w:lvl w:ilvl="4" w:tplc="FC446720">
      <w:numFmt w:val="decimal"/>
      <w:lvlText w:val=""/>
      <w:lvlJc w:val="left"/>
    </w:lvl>
    <w:lvl w:ilvl="5" w:tplc="A0E894BE">
      <w:numFmt w:val="decimal"/>
      <w:lvlText w:val=""/>
      <w:lvlJc w:val="left"/>
    </w:lvl>
    <w:lvl w:ilvl="6" w:tplc="BB0C4468">
      <w:numFmt w:val="decimal"/>
      <w:lvlText w:val=""/>
      <w:lvlJc w:val="left"/>
    </w:lvl>
    <w:lvl w:ilvl="7" w:tplc="CB5E7674">
      <w:numFmt w:val="decimal"/>
      <w:lvlText w:val=""/>
      <w:lvlJc w:val="left"/>
    </w:lvl>
    <w:lvl w:ilvl="8" w:tplc="CD44601A">
      <w:numFmt w:val="decimal"/>
      <w:lvlText w:val=""/>
      <w:lvlJc w:val="left"/>
    </w:lvl>
  </w:abstractNum>
  <w:abstractNum w:abstractNumId="1615" w15:restartNumberingAfterBreak="0">
    <w:nsid w:val="7C8C5179"/>
    <w:multiLevelType w:val="hybridMultilevel"/>
    <w:tmpl w:val="C53AFC46"/>
    <w:lvl w:ilvl="0" w:tplc="C53E54C2">
      <w:start w:val="1"/>
      <w:numFmt w:val="bullet"/>
      <w:lvlText w:val=""/>
      <w:lvlJc w:val="left"/>
      <w:pPr>
        <w:ind w:left="720" w:hanging="180"/>
      </w:pPr>
      <w:rPr>
        <w:rFonts w:ascii="Symbol" w:hAnsi="Symbol" w:hint="default"/>
      </w:rPr>
    </w:lvl>
    <w:lvl w:ilvl="1" w:tplc="14EE3850">
      <w:numFmt w:val="decimal"/>
      <w:lvlText w:val=""/>
      <w:lvlJc w:val="left"/>
    </w:lvl>
    <w:lvl w:ilvl="2" w:tplc="DF9E2B4E">
      <w:numFmt w:val="decimal"/>
      <w:lvlText w:val=""/>
      <w:lvlJc w:val="left"/>
    </w:lvl>
    <w:lvl w:ilvl="3" w:tplc="934C373A">
      <w:numFmt w:val="decimal"/>
      <w:lvlText w:val=""/>
      <w:lvlJc w:val="left"/>
    </w:lvl>
    <w:lvl w:ilvl="4" w:tplc="F31ADE2E">
      <w:numFmt w:val="decimal"/>
      <w:lvlText w:val=""/>
      <w:lvlJc w:val="left"/>
    </w:lvl>
    <w:lvl w:ilvl="5" w:tplc="152E05D0">
      <w:numFmt w:val="decimal"/>
      <w:lvlText w:val=""/>
      <w:lvlJc w:val="left"/>
    </w:lvl>
    <w:lvl w:ilvl="6" w:tplc="79A0696A">
      <w:numFmt w:val="decimal"/>
      <w:lvlText w:val=""/>
      <w:lvlJc w:val="left"/>
    </w:lvl>
    <w:lvl w:ilvl="7" w:tplc="8970FE12">
      <w:numFmt w:val="decimal"/>
      <w:lvlText w:val=""/>
      <w:lvlJc w:val="left"/>
    </w:lvl>
    <w:lvl w:ilvl="8" w:tplc="91B2BC9A">
      <w:numFmt w:val="decimal"/>
      <w:lvlText w:val=""/>
      <w:lvlJc w:val="left"/>
    </w:lvl>
  </w:abstractNum>
  <w:abstractNum w:abstractNumId="1616" w15:restartNumberingAfterBreak="0">
    <w:nsid w:val="7CAB05C2"/>
    <w:multiLevelType w:val="hybridMultilevel"/>
    <w:tmpl w:val="3B243F70"/>
    <w:lvl w:ilvl="0" w:tplc="02C6DFFA">
      <w:start w:val="1"/>
      <w:numFmt w:val="bullet"/>
      <w:lvlText w:val=""/>
      <w:lvlJc w:val="left"/>
      <w:pPr>
        <w:ind w:left="720" w:hanging="180"/>
      </w:pPr>
      <w:rPr>
        <w:rFonts w:ascii="Symbol" w:hAnsi="Symbol" w:hint="default"/>
      </w:rPr>
    </w:lvl>
    <w:lvl w:ilvl="1" w:tplc="0A9C5C90">
      <w:numFmt w:val="decimal"/>
      <w:lvlText w:val=""/>
      <w:lvlJc w:val="left"/>
    </w:lvl>
    <w:lvl w:ilvl="2" w:tplc="5CBADEFC">
      <w:numFmt w:val="decimal"/>
      <w:lvlText w:val=""/>
      <w:lvlJc w:val="left"/>
    </w:lvl>
    <w:lvl w:ilvl="3" w:tplc="F49EF3EA">
      <w:numFmt w:val="decimal"/>
      <w:lvlText w:val=""/>
      <w:lvlJc w:val="left"/>
    </w:lvl>
    <w:lvl w:ilvl="4" w:tplc="1DEAE29A">
      <w:numFmt w:val="decimal"/>
      <w:lvlText w:val=""/>
      <w:lvlJc w:val="left"/>
    </w:lvl>
    <w:lvl w:ilvl="5" w:tplc="EE3AD5E0">
      <w:numFmt w:val="decimal"/>
      <w:lvlText w:val=""/>
      <w:lvlJc w:val="left"/>
    </w:lvl>
    <w:lvl w:ilvl="6" w:tplc="8F9489F8">
      <w:numFmt w:val="decimal"/>
      <w:lvlText w:val=""/>
      <w:lvlJc w:val="left"/>
    </w:lvl>
    <w:lvl w:ilvl="7" w:tplc="722A4346">
      <w:numFmt w:val="decimal"/>
      <w:lvlText w:val=""/>
      <w:lvlJc w:val="left"/>
    </w:lvl>
    <w:lvl w:ilvl="8" w:tplc="44665496">
      <w:numFmt w:val="decimal"/>
      <w:lvlText w:val=""/>
      <w:lvlJc w:val="left"/>
    </w:lvl>
  </w:abstractNum>
  <w:abstractNum w:abstractNumId="1617" w15:restartNumberingAfterBreak="0">
    <w:nsid w:val="7CAD549E"/>
    <w:multiLevelType w:val="hybridMultilevel"/>
    <w:tmpl w:val="149267DE"/>
    <w:lvl w:ilvl="0" w:tplc="4B10193C">
      <w:start w:val="1"/>
      <w:numFmt w:val="bullet"/>
      <w:lvlText w:val=""/>
      <w:lvlJc w:val="left"/>
      <w:pPr>
        <w:ind w:left="720" w:hanging="180"/>
      </w:pPr>
      <w:rPr>
        <w:rFonts w:ascii="Symbol" w:hAnsi="Symbol" w:hint="default"/>
      </w:rPr>
    </w:lvl>
    <w:lvl w:ilvl="1" w:tplc="82B6FCFE">
      <w:numFmt w:val="decimal"/>
      <w:lvlText w:val=""/>
      <w:lvlJc w:val="left"/>
    </w:lvl>
    <w:lvl w:ilvl="2" w:tplc="515EE678">
      <w:numFmt w:val="decimal"/>
      <w:lvlText w:val=""/>
      <w:lvlJc w:val="left"/>
    </w:lvl>
    <w:lvl w:ilvl="3" w:tplc="22D0E78E">
      <w:numFmt w:val="decimal"/>
      <w:lvlText w:val=""/>
      <w:lvlJc w:val="left"/>
    </w:lvl>
    <w:lvl w:ilvl="4" w:tplc="F29AC366">
      <w:numFmt w:val="decimal"/>
      <w:lvlText w:val=""/>
      <w:lvlJc w:val="left"/>
    </w:lvl>
    <w:lvl w:ilvl="5" w:tplc="A4469970">
      <w:numFmt w:val="decimal"/>
      <w:lvlText w:val=""/>
      <w:lvlJc w:val="left"/>
    </w:lvl>
    <w:lvl w:ilvl="6" w:tplc="0A2C827C">
      <w:numFmt w:val="decimal"/>
      <w:lvlText w:val=""/>
      <w:lvlJc w:val="left"/>
    </w:lvl>
    <w:lvl w:ilvl="7" w:tplc="4D68F63C">
      <w:numFmt w:val="decimal"/>
      <w:lvlText w:val=""/>
      <w:lvlJc w:val="left"/>
    </w:lvl>
    <w:lvl w:ilvl="8" w:tplc="F378E66E">
      <w:numFmt w:val="decimal"/>
      <w:lvlText w:val=""/>
      <w:lvlJc w:val="left"/>
    </w:lvl>
  </w:abstractNum>
  <w:abstractNum w:abstractNumId="1618" w15:restartNumberingAfterBreak="0">
    <w:nsid w:val="7CCE410F"/>
    <w:multiLevelType w:val="hybridMultilevel"/>
    <w:tmpl w:val="5816A040"/>
    <w:lvl w:ilvl="0" w:tplc="31BE9DBE">
      <w:start w:val="1"/>
      <w:numFmt w:val="bullet"/>
      <w:lvlText w:val=""/>
      <w:lvlJc w:val="left"/>
      <w:pPr>
        <w:ind w:left="720" w:hanging="180"/>
      </w:pPr>
      <w:rPr>
        <w:rFonts w:ascii="Symbol" w:hAnsi="Symbol" w:hint="default"/>
      </w:rPr>
    </w:lvl>
    <w:lvl w:ilvl="1" w:tplc="F12A6E02">
      <w:numFmt w:val="decimal"/>
      <w:lvlText w:val=""/>
      <w:lvlJc w:val="left"/>
    </w:lvl>
    <w:lvl w:ilvl="2" w:tplc="C3309AFA">
      <w:numFmt w:val="decimal"/>
      <w:lvlText w:val=""/>
      <w:lvlJc w:val="left"/>
    </w:lvl>
    <w:lvl w:ilvl="3" w:tplc="EC668946">
      <w:numFmt w:val="decimal"/>
      <w:lvlText w:val=""/>
      <w:lvlJc w:val="left"/>
    </w:lvl>
    <w:lvl w:ilvl="4" w:tplc="E4B0F63C">
      <w:numFmt w:val="decimal"/>
      <w:lvlText w:val=""/>
      <w:lvlJc w:val="left"/>
    </w:lvl>
    <w:lvl w:ilvl="5" w:tplc="1A72CB62">
      <w:numFmt w:val="decimal"/>
      <w:lvlText w:val=""/>
      <w:lvlJc w:val="left"/>
    </w:lvl>
    <w:lvl w:ilvl="6" w:tplc="E64A4DBA">
      <w:numFmt w:val="decimal"/>
      <w:lvlText w:val=""/>
      <w:lvlJc w:val="left"/>
    </w:lvl>
    <w:lvl w:ilvl="7" w:tplc="55B462BA">
      <w:numFmt w:val="decimal"/>
      <w:lvlText w:val=""/>
      <w:lvlJc w:val="left"/>
    </w:lvl>
    <w:lvl w:ilvl="8" w:tplc="109A3EEC">
      <w:numFmt w:val="decimal"/>
      <w:lvlText w:val=""/>
      <w:lvlJc w:val="left"/>
    </w:lvl>
  </w:abstractNum>
  <w:abstractNum w:abstractNumId="1619" w15:restartNumberingAfterBreak="0">
    <w:nsid w:val="7CD26196"/>
    <w:multiLevelType w:val="hybridMultilevel"/>
    <w:tmpl w:val="E81E6C48"/>
    <w:lvl w:ilvl="0" w:tplc="8E502E10">
      <w:start w:val="1"/>
      <w:numFmt w:val="bullet"/>
      <w:lvlText w:val=""/>
      <w:lvlJc w:val="left"/>
      <w:pPr>
        <w:ind w:left="720" w:hanging="180"/>
      </w:pPr>
      <w:rPr>
        <w:rFonts w:ascii="Symbol" w:hAnsi="Symbol" w:hint="default"/>
      </w:rPr>
    </w:lvl>
    <w:lvl w:ilvl="1" w:tplc="88B4F95C">
      <w:numFmt w:val="decimal"/>
      <w:lvlText w:val=""/>
      <w:lvlJc w:val="left"/>
    </w:lvl>
    <w:lvl w:ilvl="2" w:tplc="D4E053CC">
      <w:numFmt w:val="decimal"/>
      <w:lvlText w:val=""/>
      <w:lvlJc w:val="left"/>
    </w:lvl>
    <w:lvl w:ilvl="3" w:tplc="3022F8C2">
      <w:numFmt w:val="decimal"/>
      <w:lvlText w:val=""/>
      <w:lvlJc w:val="left"/>
    </w:lvl>
    <w:lvl w:ilvl="4" w:tplc="CC5ECEA8">
      <w:numFmt w:val="decimal"/>
      <w:lvlText w:val=""/>
      <w:lvlJc w:val="left"/>
    </w:lvl>
    <w:lvl w:ilvl="5" w:tplc="B5ECC4C2">
      <w:numFmt w:val="decimal"/>
      <w:lvlText w:val=""/>
      <w:lvlJc w:val="left"/>
    </w:lvl>
    <w:lvl w:ilvl="6" w:tplc="E7BCB474">
      <w:numFmt w:val="decimal"/>
      <w:lvlText w:val=""/>
      <w:lvlJc w:val="left"/>
    </w:lvl>
    <w:lvl w:ilvl="7" w:tplc="42A65760">
      <w:numFmt w:val="decimal"/>
      <w:lvlText w:val=""/>
      <w:lvlJc w:val="left"/>
    </w:lvl>
    <w:lvl w:ilvl="8" w:tplc="4E9055FC">
      <w:numFmt w:val="decimal"/>
      <w:lvlText w:val=""/>
      <w:lvlJc w:val="left"/>
    </w:lvl>
  </w:abstractNum>
  <w:abstractNum w:abstractNumId="1620" w15:restartNumberingAfterBreak="0">
    <w:nsid w:val="7CDA1D04"/>
    <w:multiLevelType w:val="hybridMultilevel"/>
    <w:tmpl w:val="9C2CEBB6"/>
    <w:lvl w:ilvl="0" w:tplc="4AF649B8">
      <w:start w:val="1"/>
      <w:numFmt w:val="bullet"/>
      <w:lvlText w:val=""/>
      <w:lvlJc w:val="left"/>
      <w:pPr>
        <w:ind w:left="720" w:hanging="180"/>
      </w:pPr>
      <w:rPr>
        <w:rFonts w:ascii="Symbol" w:hAnsi="Symbol" w:hint="default"/>
      </w:rPr>
    </w:lvl>
    <w:lvl w:ilvl="1" w:tplc="8BD84098">
      <w:numFmt w:val="decimal"/>
      <w:lvlText w:val=""/>
      <w:lvlJc w:val="left"/>
    </w:lvl>
    <w:lvl w:ilvl="2" w:tplc="7044549E">
      <w:numFmt w:val="decimal"/>
      <w:lvlText w:val=""/>
      <w:lvlJc w:val="left"/>
    </w:lvl>
    <w:lvl w:ilvl="3" w:tplc="AB2654DA">
      <w:numFmt w:val="decimal"/>
      <w:lvlText w:val=""/>
      <w:lvlJc w:val="left"/>
    </w:lvl>
    <w:lvl w:ilvl="4" w:tplc="B8FC2F9E">
      <w:numFmt w:val="decimal"/>
      <w:lvlText w:val=""/>
      <w:lvlJc w:val="left"/>
    </w:lvl>
    <w:lvl w:ilvl="5" w:tplc="4424A326">
      <w:numFmt w:val="decimal"/>
      <w:lvlText w:val=""/>
      <w:lvlJc w:val="left"/>
    </w:lvl>
    <w:lvl w:ilvl="6" w:tplc="6484B5B8">
      <w:numFmt w:val="decimal"/>
      <w:lvlText w:val=""/>
      <w:lvlJc w:val="left"/>
    </w:lvl>
    <w:lvl w:ilvl="7" w:tplc="06CE588E">
      <w:numFmt w:val="decimal"/>
      <w:lvlText w:val=""/>
      <w:lvlJc w:val="left"/>
    </w:lvl>
    <w:lvl w:ilvl="8" w:tplc="BA4C77B0">
      <w:numFmt w:val="decimal"/>
      <w:lvlText w:val=""/>
      <w:lvlJc w:val="left"/>
    </w:lvl>
  </w:abstractNum>
  <w:abstractNum w:abstractNumId="1621" w15:restartNumberingAfterBreak="0">
    <w:nsid w:val="7CE77C84"/>
    <w:multiLevelType w:val="hybridMultilevel"/>
    <w:tmpl w:val="4D507F1A"/>
    <w:lvl w:ilvl="0" w:tplc="8AA8BD78">
      <w:start w:val="1"/>
      <w:numFmt w:val="bullet"/>
      <w:lvlText w:val=""/>
      <w:lvlJc w:val="left"/>
      <w:pPr>
        <w:ind w:left="720" w:hanging="180"/>
      </w:pPr>
      <w:rPr>
        <w:rFonts w:ascii="Symbol" w:hAnsi="Symbol" w:hint="default"/>
      </w:rPr>
    </w:lvl>
    <w:lvl w:ilvl="1" w:tplc="40463A88">
      <w:numFmt w:val="decimal"/>
      <w:lvlText w:val=""/>
      <w:lvlJc w:val="left"/>
    </w:lvl>
    <w:lvl w:ilvl="2" w:tplc="F62EEF26">
      <w:numFmt w:val="decimal"/>
      <w:lvlText w:val=""/>
      <w:lvlJc w:val="left"/>
    </w:lvl>
    <w:lvl w:ilvl="3" w:tplc="13BA0D18">
      <w:numFmt w:val="decimal"/>
      <w:lvlText w:val=""/>
      <w:lvlJc w:val="left"/>
    </w:lvl>
    <w:lvl w:ilvl="4" w:tplc="938C0F66">
      <w:numFmt w:val="decimal"/>
      <w:lvlText w:val=""/>
      <w:lvlJc w:val="left"/>
    </w:lvl>
    <w:lvl w:ilvl="5" w:tplc="F872D320">
      <w:numFmt w:val="decimal"/>
      <w:lvlText w:val=""/>
      <w:lvlJc w:val="left"/>
    </w:lvl>
    <w:lvl w:ilvl="6" w:tplc="0C86D0E6">
      <w:numFmt w:val="decimal"/>
      <w:lvlText w:val=""/>
      <w:lvlJc w:val="left"/>
    </w:lvl>
    <w:lvl w:ilvl="7" w:tplc="8E4C6F9E">
      <w:numFmt w:val="decimal"/>
      <w:lvlText w:val=""/>
      <w:lvlJc w:val="left"/>
    </w:lvl>
    <w:lvl w:ilvl="8" w:tplc="59242ED8">
      <w:numFmt w:val="decimal"/>
      <w:lvlText w:val=""/>
      <w:lvlJc w:val="left"/>
    </w:lvl>
  </w:abstractNum>
  <w:abstractNum w:abstractNumId="1622" w15:restartNumberingAfterBreak="0">
    <w:nsid w:val="7CF10FDE"/>
    <w:multiLevelType w:val="hybridMultilevel"/>
    <w:tmpl w:val="CAA6DBEE"/>
    <w:lvl w:ilvl="0" w:tplc="D5769202">
      <w:numFmt w:val="decimal"/>
      <w:lvlText w:val=""/>
      <w:lvlJc w:val="left"/>
    </w:lvl>
    <w:lvl w:ilvl="1" w:tplc="D9344B8A">
      <w:start w:val="1"/>
      <w:numFmt w:val="bullet"/>
      <w:lvlText w:val=""/>
      <w:lvlJc w:val="left"/>
      <w:pPr>
        <w:ind w:left="1440" w:hanging="180"/>
      </w:pPr>
      <w:rPr>
        <w:rFonts w:ascii="Symbol" w:hAnsi="Symbol" w:hint="default"/>
      </w:rPr>
    </w:lvl>
    <w:lvl w:ilvl="2" w:tplc="70F85FE4">
      <w:numFmt w:val="decimal"/>
      <w:lvlText w:val=""/>
      <w:lvlJc w:val="left"/>
    </w:lvl>
    <w:lvl w:ilvl="3" w:tplc="3D6EF59E">
      <w:numFmt w:val="decimal"/>
      <w:lvlText w:val=""/>
      <w:lvlJc w:val="left"/>
    </w:lvl>
    <w:lvl w:ilvl="4" w:tplc="6BC03D9A">
      <w:numFmt w:val="decimal"/>
      <w:lvlText w:val=""/>
      <w:lvlJc w:val="left"/>
    </w:lvl>
    <w:lvl w:ilvl="5" w:tplc="96640F52">
      <w:numFmt w:val="decimal"/>
      <w:lvlText w:val=""/>
      <w:lvlJc w:val="left"/>
    </w:lvl>
    <w:lvl w:ilvl="6" w:tplc="28A0C8B6">
      <w:numFmt w:val="decimal"/>
      <w:lvlText w:val=""/>
      <w:lvlJc w:val="left"/>
    </w:lvl>
    <w:lvl w:ilvl="7" w:tplc="81E6E348">
      <w:numFmt w:val="decimal"/>
      <w:lvlText w:val=""/>
      <w:lvlJc w:val="left"/>
    </w:lvl>
    <w:lvl w:ilvl="8" w:tplc="DD9E6F30">
      <w:numFmt w:val="decimal"/>
      <w:lvlText w:val=""/>
      <w:lvlJc w:val="left"/>
    </w:lvl>
  </w:abstractNum>
  <w:abstractNum w:abstractNumId="1623" w15:restartNumberingAfterBreak="0">
    <w:nsid w:val="7D0445EB"/>
    <w:multiLevelType w:val="hybridMultilevel"/>
    <w:tmpl w:val="1F823536"/>
    <w:lvl w:ilvl="0" w:tplc="A838DDC0">
      <w:start w:val="1"/>
      <w:numFmt w:val="bullet"/>
      <w:lvlText w:val=""/>
      <w:lvlJc w:val="left"/>
      <w:pPr>
        <w:ind w:left="720" w:hanging="180"/>
      </w:pPr>
      <w:rPr>
        <w:rFonts w:ascii="Symbol" w:hAnsi="Symbol" w:hint="default"/>
      </w:rPr>
    </w:lvl>
    <w:lvl w:ilvl="1" w:tplc="885CAF88">
      <w:numFmt w:val="decimal"/>
      <w:lvlText w:val=""/>
      <w:lvlJc w:val="left"/>
    </w:lvl>
    <w:lvl w:ilvl="2" w:tplc="AA7245FA">
      <w:numFmt w:val="decimal"/>
      <w:lvlText w:val=""/>
      <w:lvlJc w:val="left"/>
    </w:lvl>
    <w:lvl w:ilvl="3" w:tplc="E986453A">
      <w:numFmt w:val="decimal"/>
      <w:lvlText w:val=""/>
      <w:lvlJc w:val="left"/>
    </w:lvl>
    <w:lvl w:ilvl="4" w:tplc="3474CC80">
      <w:numFmt w:val="decimal"/>
      <w:lvlText w:val=""/>
      <w:lvlJc w:val="left"/>
    </w:lvl>
    <w:lvl w:ilvl="5" w:tplc="F5C678C8">
      <w:numFmt w:val="decimal"/>
      <w:lvlText w:val=""/>
      <w:lvlJc w:val="left"/>
    </w:lvl>
    <w:lvl w:ilvl="6" w:tplc="14BA9B50">
      <w:numFmt w:val="decimal"/>
      <w:lvlText w:val=""/>
      <w:lvlJc w:val="left"/>
    </w:lvl>
    <w:lvl w:ilvl="7" w:tplc="B816B714">
      <w:numFmt w:val="decimal"/>
      <w:lvlText w:val=""/>
      <w:lvlJc w:val="left"/>
    </w:lvl>
    <w:lvl w:ilvl="8" w:tplc="1FB6F3E8">
      <w:numFmt w:val="decimal"/>
      <w:lvlText w:val=""/>
      <w:lvlJc w:val="left"/>
    </w:lvl>
  </w:abstractNum>
  <w:abstractNum w:abstractNumId="1624" w15:restartNumberingAfterBreak="0">
    <w:nsid w:val="7D0F729E"/>
    <w:multiLevelType w:val="hybridMultilevel"/>
    <w:tmpl w:val="C838C2D0"/>
    <w:lvl w:ilvl="0" w:tplc="207A43B0">
      <w:start w:val="1"/>
      <w:numFmt w:val="bullet"/>
      <w:lvlText w:val=""/>
      <w:lvlJc w:val="left"/>
      <w:pPr>
        <w:ind w:left="720" w:hanging="180"/>
      </w:pPr>
      <w:rPr>
        <w:rFonts w:ascii="Symbol" w:hAnsi="Symbol" w:hint="default"/>
      </w:rPr>
    </w:lvl>
    <w:lvl w:ilvl="1" w:tplc="401A94D2">
      <w:numFmt w:val="decimal"/>
      <w:lvlText w:val=""/>
      <w:lvlJc w:val="left"/>
    </w:lvl>
    <w:lvl w:ilvl="2" w:tplc="CBEEF22C">
      <w:numFmt w:val="decimal"/>
      <w:lvlText w:val=""/>
      <w:lvlJc w:val="left"/>
    </w:lvl>
    <w:lvl w:ilvl="3" w:tplc="2AF0B0DA">
      <w:numFmt w:val="decimal"/>
      <w:lvlText w:val=""/>
      <w:lvlJc w:val="left"/>
    </w:lvl>
    <w:lvl w:ilvl="4" w:tplc="3D30C11A">
      <w:numFmt w:val="decimal"/>
      <w:lvlText w:val=""/>
      <w:lvlJc w:val="left"/>
    </w:lvl>
    <w:lvl w:ilvl="5" w:tplc="90C65F62">
      <w:numFmt w:val="decimal"/>
      <w:lvlText w:val=""/>
      <w:lvlJc w:val="left"/>
    </w:lvl>
    <w:lvl w:ilvl="6" w:tplc="CC9E6FB0">
      <w:numFmt w:val="decimal"/>
      <w:lvlText w:val=""/>
      <w:lvlJc w:val="left"/>
    </w:lvl>
    <w:lvl w:ilvl="7" w:tplc="0C54642A">
      <w:numFmt w:val="decimal"/>
      <w:lvlText w:val=""/>
      <w:lvlJc w:val="left"/>
    </w:lvl>
    <w:lvl w:ilvl="8" w:tplc="14D6BD98">
      <w:numFmt w:val="decimal"/>
      <w:lvlText w:val=""/>
      <w:lvlJc w:val="left"/>
    </w:lvl>
  </w:abstractNum>
  <w:abstractNum w:abstractNumId="1625" w15:restartNumberingAfterBreak="0">
    <w:nsid w:val="7D130D1D"/>
    <w:multiLevelType w:val="hybridMultilevel"/>
    <w:tmpl w:val="943410DC"/>
    <w:lvl w:ilvl="0" w:tplc="13EEF5EE">
      <w:start w:val="1"/>
      <w:numFmt w:val="bullet"/>
      <w:lvlText w:val=""/>
      <w:lvlJc w:val="left"/>
      <w:pPr>
        <w:ind w:left="720" w:hanging="180"/>
      </w:pPr>
      <w:rPr>
        <w:rFonts w:ascii="Symbol" w:hAnsi="Symbol" w:hint="default"/>
      </w:rPr>
    </w:lvl>
    <w:lvl w:ilvl="1" w:tplc="5E868F0C">
      <w:numFmt w:val="decimal"/>
      <w:lvlText w:val=""/>
      <w:lvlJc w:val="left"/>
    </w:lvl>
    <w:lvl w:ilvl="2" w:tplc="4CB2D690">
      <w:numFmt w:val="decimal"/>
      <w:lvlText w:val=""/>
      <w:lvlJc w:val="left"/>
    </w:lvl>
    <w:lvl w:ilvl="3" w:tplc="126E642A">
      <w:numFmt w:val="decimal"/>
      <w:lvlText w:val=""/>
      <w:lvlJc w:val="left"/>
    </w:lvl>
    <w:lvl w:ilvl="4" w:tplc="076AC658">
      <w:numFmt w:val="decimal"/>
      <w:lvlText w:val=""/>
      <w:lvlJc w:val="left"/>
    </w:lvl>
    <w:lvl w:ilvl="5" w:tplc="C77A3BD8">
      <w:numFmt w:val="decimal"/>
      <w:lvlText w:val=""/>
      <w:lvlJc w:val="left"/>
    </w:lvl>
    <w:lvl w:ilvl="6" w:tplc="2AC661AC">
      <w:numFmt w:val="decimal"/>
      <w:lvlText w:val=""/>
      <w:lvlJc w:val="left"/>
    </w:lvl>
    <w:lvl w:ilvl="7" w:tplc="7778AF42">
      <w:numFmt w:val="decimal"/>
      <w:lvlText w:val=""/>
      <w:lvlJc w:val="left"/>
    </w:lvl>
    <w:lvl w:ilvl="8" w:tplc="F0B4B4C0">
      <w:numFmt w:val="decimal"/>
      <w:lvlText w:val=""/>
      <w:lvlJc w:val="left"/>
    </w:lvl>
  </w:abstractNum>
  <w:abstractNum w:abstractNumId="1626" w15:restartNumberingAfterBreak="0">
    <w:nsid w:val="7D142F8A"/>
    <w:multiLevelType w:val="hybridMultilevel"/>
    <w:tmpl w:val="D5605762"/>
    <w:lvl w:ilvl="0" w:tplc="B1E0581C">
      <w:start w:val="1"/>
      <w:numFmt w:val="bullet"/>
      <w:lvlText w:val=""/>
      <w:lvlJc w:val="left"/>
      <w:pPr>
        <w:ind w:left="720" w:hanging="180"/>
      </w:pPr>
      <w:rPr>
        <w:rFonts w:ascii="Symbol" w:hAnsi="Symbol" w:hint="default"/>
      </w:rPr>
    </w:lvl>
    <w:lvl w:ilvl="1" w:tplc="BA8E4A68">
      <w:numFmt w:val="decimal"/>
      <w:lvlText w:val=""/>
      <w:lvlJc w:val="left"/>
    </w:lvl>
    <w:lvl w:ilvl="2" w:tplc="F5FEA9F0">
      <w:numFmt w:val="decimal"/>
      <w:lvlText w:val=""/>
      <w:lvlJc w:val="left"/>
    </w:lvl>
    <w:lvl w:ilvl="3" w:tplc="0234E640">
      <w:numFmt w:val="decimal"/>
      <w:lvlText w:val=""/>
      <w:lvlJc w:val="left"/>
    </w:lvl>
    <w:lvl w:ilvl="4" w:tplc="BBC2BC86">
      <w:numFmt w:val="decimal"/>
      <w:lvlText w:val=""/>
      <w:lvlJc w:val="left"/>
    </w:lvl>
    <w:lvl w:ilvl="5" w:tplc="EDDE24DA">
      <w:numFmt w:val="decimal"/>
      <w:lvlText w:val=""/>
      <w:lvlJc w:val="left"/>
    </w:lvl>
    <w:lvl w:ilvl="6" w:tplc="32F8B584">
      <w:numFmt w:val="decimal"/>
      <w:lvlText w:val=""/>
      <w:lvlJc w:val="left"/>
    </w:lvl>
    <w:lvl w:ilvl="7" w:tplc="2904FE34">
      <w:numFmt w:val="decimal"/>
      <w:lvlText w:val=""/>
      <w:lvlJc w:val="left"/>
    </w:lvl>
    <w:lvl w:ilvl="8" w:tplc="CFA818FA">
      <w:numFmt w:val="decimal"/>
      <w:lvlText w:val=""/>
      <w:lvlJc w:val="left"/>
    </w:lvl>
  </w:abstractNum>
  <w:abstractNum w:abstractNumId="1627" w15:restartNumberingAfterBreak="0">
    <w:nsid w:val="7D207B4E"/>
    <w:multiLevelType w:val="hybridMultilevel"/>
    <w:tmpl w:val="7A489C86"/>
    <w:lvl w:ilvl="0" w:tplc="3C7A82B0">
      <w:start w:val="1"/>
      <w:numFmt w:val="bullet"/>
      <w:lvlText w:val=""/>
      <w:lvlJc w:val="left"/>
      <w:pPr>
        <w:ind w:left="720" w:hanging="180"/>
      </w:pPr>
      <w:rPr>
        <w:rFonts w:ascii="Symbol" w:hAnsi="Symbol" w:hint="default"/>
      </w:rPr>
    </w:lvl>
    <w:lvl w:ilvl="1" w:tplc="38FA2260">
      <w:numFmt w:val="decimal"/>
      <w:lvlText w:val=""/>
      <w:lvlJc w:val="left"/>
    </w:lvl>
    <w:lvl w:ilvl="2" w:tplc="2CFC3372">
      <w:numFmt w:val="decimal"/>
      <w:lvlText w:val=""/>
      <w:lvlJc w:val="left"/>
    </w:lvl>
    <w:lvl w:ilvl="3" w:tplc="1260609A">
      <w:numFmt w:val="decimal"/>
      <w:lvlText w:val=""/>
      <w:lvlJc w:val="left"/>
    </w:lvl>
    <w:lvl w:ilvl="4" w:tplc="68A26F70">
      <w:numFmt w:val="decimal"/>
      <w:lvlText w:val=""/>
      <w:lvlJc w:val="left"/>
    </w:lvl>
    <w:lvl w:ilvl="5" w:tplc="B818FB1E">
      <w:numFmt w:val="decimal"/>
      <w:lvlText w:val=""/>
      <w:lvlJc w:val="left"/>
    </w:lvl>
    <w:lvl w:ilvl="6" w:tplc="3EBE61C6">
      <w:numFmt w:val="decimal"/>
      <w:lvlText w:val=""/>
      <w:lvlJc w:val="left"/>
    </w:lvl>
    <w:lvl w:ilvl="7" w:tplc="82A21B60">
      <w:numFmt w:val="decimal"/>
      <w:lvlText w:val=""/>
      <w:lvlJc w:val="left"/>
    </w:lvl>
    <w:lvl w:ilvl="8" w:tplc="7C44BCA6">
      <w:numFmt w:val="decimal"/>
      <w:lvlText w:val=""/>
      <w:lvlJc w:val="left"/>
    </w:lvl>
  </w:abstractNum>
  <w:abstractNum w:abstractNumId="1628" w15:restartNumberingAfterBreak="0">
    <w:nsid w:val="7D393A77"/>
    <w:multiLevelType w:val="hybridMultilevel"/>
    <w:tmpl w:val="509AAFA2"/>
    <w:lvl w:ilvl="0" w:tplc="626E7A62">
      <w:start w:val="1"/>
      <w:numFmt w:val="bullet"/>
      <w:lvlText w:val=""/>
      <w:lvlJc w:val="left"/>
      <w:pPr>
        <w:ind w:left="720" w:hanging="180"/>
      </w:pPr>
      <w:rPr>
        <w:rFonts w:ascii="Symbol" w:hAnsi="Symbol" w:hint="default"/>
      </w:rPr>
    </w:lvl>
    <w:lvl w:ilvl="1" w:tplc="5D285B26">
      <w:numFmt w:val="decimal"/>
      <w:lvlText w:val=""/>
      <w:lvlJc w:val="left"/>
    </w:lvl>
    <w:lvl w:ilvl="2" w:tplc="4A56572E">
      <w:numFmt w:val="decimal"/>
      <w:lvlText w:val=""/>
      <w:lvlJc w:val="left"/>
    </w:lvl>
    <w:lvl w:ilvl="3" w:tplc="D3F4CC78">
      <w:numFmt w:val="decimal"/>
      <w:lvlText w:val=""/>
      <w:lvlJc w:val="left"/>
    </w:lvl>
    <w:lvl w:ilvl="4" w:tplc="A176BAFA">
      <w:numFmt w:val="decimal"/>
      <w:lvlText w:val=""/>
      <w:lvlJc w:val="left"/>
    </w:lvl>
    <w:lvl w:ilvl="5" w:tplc="77988112">
      <w:numFmt w:val="decimal"/>
      <w:lvlText w:val=""/>
      <w:lvlJc w:val="left"/>
    </w:lvl>
    <w:lvl w:ilvl="6" w:tplc="F424C362">
      <w:numFmt w:val="decimal"/>
      <w:lvlText w:val=""/>
      <w:lvlJc w:val="left"/>
    </w:lvl>
    <w:lvl w:ilvl="7" w:tplc="1DBAC5FC">
      <w:numFmt w:val="decimal"/>
      <w:lvlText w:val=""/>
      <w:lvlJc w:val="left"/>
    </w:lvl>
    <w:lvl w:ilvl="8" w:tplc="DE760916">
      <w:numFmt w:val="decimal"/>
      <w:lvlText w:val=""/>
      <w:lvlJc w:val="left"/>
    </w:lvl>
  </w:abstractNum>
  <w:abstractNum w:abstractNumId="1629" w15:restartNumberingAfterBreak="0">
    <w:nsid w:val="7D46439B"/>
    <w:multiLevelType w:val="hybridMultilevel"/>
    <w:tmpl w:val="C26AEF96"/>
    <w:lvl w:ilvl="0" w:tplc="D2A8F154">
      <w:start w:val="1"/>
      <w:numFmt w:val="bullet"/>
      <w:lvlText w:val=""/>
      <w:lvlJc w:val="left"/>
      <w:pPr>
        <w:ind w:left="720" w:hanging="180"/>
      </w:pPr>
      <w:rPr>
        <w:rFonts w:ascii="Symbol" w:hAnsi="Symbol" w:hint="default"/>
      </w:rPr>
    </w:lvl>
    <w:lvl w:ilvl="1" w:tplc="BA001366">
      <w:numFmt w:val="decimal"/>
      <w:lvlText w:val=""/>
      <w:lvlJc w:val="left"/>
    </w:lvl>
    <w:lvl w:ilvl="2" w:tplc="9B127372">
      <w:numFmt w:val="decimal"/>
      <w:lvlText w:val=""/>
      <w:lvlJc w:val="left"/>
    </w:lvl>
    <w:lvl w:ilvl="3" w:tplc="709473F6">
      <w:numFmt w:val="decimal"/>
      <w:lvlText w:val=""/>
      <w:lvlJc w:val="left"/>
    </w:lvl>
    <w:lvl w:ilvl="4" w:tplc="4176AC6E">
      <w:numFmt w:val="decimal"/>
      <w:lvlText w:val=""/>
      <w:lvlJc w:val="left"/>
    </w:lvl>
    <w:lvl w:ilvl="5" w:tplc="A016EFD2">
      <w:numFmt w:val="decimal"/>
      <w:lvlText w:val=""/>
      <w:lvlJc w:val="left"/>
    </w:lvl>
    <w:lvl w:ilvl="6" w:tplc="E8000E1C">
      <w:numFmt w:val="decimal"/>
      <w:lvlText w:val=""/>
      <w:lvlJc w:val="left"/>
    </w:lvl>
    <w:lvl w:ilvl="7" w:tplc="937A27BE">
      <w:numFmt w:val="decimal"/>
      <w:lvlText w:val=""/>
      <w:lvlJc w:val="left"/>
    </w:lvl>
    <w:lvl w:ilvl="8" w:tplc="EECEEE88">
      <w:numFmt w:val="decimal"/>
      <w:lvlText w:val=""/>
      <w:lvlJc w:val="left"/>
    </w:lvl>
  </w:abstractNum>
  <w:abstractNum w:abstractNumId="1630" w15:restartNumberingAfterBreak="0">
    <w:nsid w:val="7D4E6E36"/>
    <w:multiLevelType w:val="hybridMultilevel"/>
    <w:tmpl w:val="AB1AA8A4"/>
    <w:lvl w:ilvl="0" w:tplc="076877BC">
      <w:start w:val="1"/>
      <w:numFmt w:val="bullet"/>
      <w:lvlText w:val=""/>
      <w:lvlJc w:val="left"/>
      <w:pPr>
        <w:ind w:left="720" w:hanging="180"/>
      </w:pPr>
      <w:rPr>
        <w:rFonts w:ascii="Symbol" w:hAnsi="Symbol" w:hint="default"/>
      </w:rPr>
    </w:lvl>
    <w:lvl w:ilvl="1" w:tplc="C9D0CAA6">
      <w:numFmt w:val="decimal"/>
      <w:lvlText w:val=""/>
      <w:lvlJc w:val="left"/>
    </w:lvl>
    <w:lvl w:ilvl="2" w:tplc="D4DCA4B4">
      <w:numFmt w:val="decimal"/>
      <w:lvlText w:val=""/>
      <w:lvlJc w:val="left"/>
    </w:lvl>
    <w:lvl w:ilvl="3" w:tplc="34FC37C0">
      <w:numFmt w:val="decimal"/>
      <w:lvlText w:val=""/>
      <w:lvlJc w:val="left"/>
    </w:lvl>
    <w:lvl w:ilvl="4" w:tplc="2ACAD3C4">
      <w:numFmt w:val="decimal"/>
      <w:lvlText w:val=""/>
      <w:lvlJc w:val="left"/>
    </w:lvl>
    <w:lvl w:ilvl="5" w:tplc="8E5E1A1C">
      <w:numFmt w:val="decimal"/>
      <w:lvlText w:val=""/>
      <w:lvlJc w:val="left"/>
    </w:lvl>
    <w:lvl w:ilvl="6" w:tplc="0A54B4D4">
      <w:numFmt w:val="decimal"/>
      <w:lvlText w:val=""/>
      <w:lvlJc w:val="left"/>
    </w:lvl>
    <w:lvl w:ilvl="7" w:tplc="C3B4462E">
      <w:numFmt w:val="decimal"/>
      <w:lvlText w:val=""/>
      <w:lvlJc w:val="left"/>
    </w:lvl>
    <w:lvl w:ilvl="8" w:tplc="B8063FFE">
      <w:numFmt w:val="decimal"/>
      <w:lvlText w:val=""/>
      <w:lvlJc w:val="left"/>
    </w:lvl>
  </w:abstractNum>
  <w:abstractNum w:abstractNumId="1631" w15:restartNumberingAfterBreak="0">
    <w:nsid w:val="7D63016D"/>
    <w:multiLevelType w:val="hybridMultilevel"/>
    <w:tmpl w:val="C284C7BE"/>
    <w:lvl w:ilvl="0" w:tplc="5FACC07C">
      <w:start w:val="1"/>
      <w:numFmt w:val="bullet"/>
      <w:lvlText w:val=""/>
      <w:lvlJc w:val="left"/>
      <w:pPr>
        <w:ind w:left="720" w:hanging="180"/>
      </w:pPr>
      <w:rPr>
        <w:rFonts w:ascii="Symbol" w:hAnsi="Symbol" w:hint="default"/>
      </w:rPr>
    </w:lvl>
    <w:lvl w:ilvl="1" w:tplc="EE2A5A80">
      <w:numFmt w:val="decimal"/>
      <w:lvlText w:val=""/>
      <w:lvlJc w:val="left"/>
    </w:lvl>
    <w:lvl w:ilvl="2" w:tplc="3C6C4EA0">
      <w:numFmt w:val="decimal"/>
      <w:lvlText w:val=""/>
      <w:lvlJc w:val="left"/>
    </w:lvl>
    <w:lvl w:ilvl="3" w:tplc="A5BA41F4">
      <w:numFmt w:val="decimal"/>
      <w:lvlText w:val=""/>
      <w:lvlJc w:val="left"/>
    </w:lvl>
    <w:lvl w:ilvl="4" w:tplc="A25AC48E">
      <w:numFmt w:val="decimal"/>
      <w:lvlText w:val=""/>
      <w:lvlJc w:val="left"/>
    </w:lvl>
    <w:lvl w:ilvl="5" w:tplc="369080FA">
      <w:numFmt w:val="decimal"/>
      <w:lvlText w:val=""/>
      <w:lvlJc w:val="left"/>
    </w:lvl>
    <w:lvl w:ilvl="6" w:tplc="599068A0">
      <w:numFmt w:val="decimal"/>
      <w:lvlText w:val=""/>
      <w:lvlJc w:val="left"/>
    </w:lvl>
    <w:lvl w:ilvl="7" w:tplc="28746182">
      <w:numFmt w:val="decimal"/>
      <w:lvlText w:val=""/>
      <w:lvlJc w:val="left"/>
    </w:lvl>
    <w:lvl w:ilvl="8" w:tplc="54048BF8">
      <w:numFmt w:val="decimal"/>
      <w:lvlText w:val=""/>
      <w:lvlJc w:val="left"/>
    </w:lvl>
  </w:abstractNum>
  <w:abstractNum w:abstractNumId="1632" w15:restartNumberingAfterBreak="0">
    <w:nsid w:val="7D7F3C23"/>
    <w:multiLevelType w:val="hybridMultilevel"/>
    <w:tmpl w:val="9668806C"/>
    <w:lvl w:ilvl="0" w:tplc="2DF80096">
      <w:start w:val="1"/>
      <w:numFmt w:val="bullet"/>
      <w:lvlText w:val=""/>
      <w:lvlJc w:val="left"/>
      <w:pPr>
        <w:ind w:left="720" w:hanging="180"/>
      </w:pPr>
      <w:rPr>
        <w:rFonts w:ascii="Symbol" w:hAnsi="Symbol" w:hint="default"/>
      </w:rPr>
    </w:lvl>
    <w:lvl w:ilvl="1" w:tplc="E4A2AADC">
      <w:numFmt w:val="decimal"/>
      <w:lvlText w:val=""/>
      <w:lvlJc w:val="left"/>
    </w:lvl>
    <w:lvl w:ilvl="2" w:tplc="287434FE">
      <w:numFmt w:val="decimal"/>
      <w:lvlText w:val=""/>
      <w:lvlJc w:val="left"/>
    </w:lvl>
    <w:lvl w:ilvl="3" w:tplc="7988D66C">
      <w:numFmt w:val="decimal"/>
      <w:lvlText w:val=""/>
      <w:lvlJc w:val="left"/>
    </w:lvl>
    <w:lvl w:ilvl="4" w:tplc="A31AB04A">
      <w:numFmt w:val="decimal"/>
      <w:lvlText w:val=""/>
      <w:lvlJc w:val="left"/>
    </w:lvl>
    <w:lvl w:ilvl="5" w:tplc="7C6CA86A">
      <w:numFmt w:val="decimal"/>
      <w:lvlText w:val=""/>
      <w:lvlJc w:val="left"/>
    </w:lvl>
    <w:lvl w:ilvl="6" w:tplc="53C4F19E">
      <w:numFmt w:val="decimal"/>
      <w:lvlText w:val=""/>
      <w:lvlJc w:val="left"/>
    </w:lvl>
    <w:lvl w:ilvl="7" w:tplc="F488BDF8">
      <w:numFmt w:val="decimal"/>
      <w:lvlText w:val=""/>
      <w:lvlJc w:val="left"/>
    </w:lvl>
    <w:lvl w:ilvl="8" w:tplc="67B887A2">
      <w:numFmt w:val="decimal"/>
      <w:lvlText w:val=""/>
      <w:lvlJc w:val="left"/>
    </w:lvl>
  </w:abstractNum>
  <w:abstractNum w:abstractNumId="1633" w15:restartNumberingAfterBreak="0">
    <w:nsid w:val="7DB261F6"/>
    <w:multiLevelType w:val="hybridMultilevel"/>
    <w:tmpl w:val="BA3C3572"/>
    <w:lvl w:ilvl="0" w:tplc="B7B6577E">
      <w:start w:val="1"/>
      <w:numFmt w:val="bullet"/>
      <w:lvlText w:val=""/>
      <w:lvlJc w:val="left"/>
      <w:pPr>
        <w:ind w:left="720" w:hanging="180"/>
      </w:pPr>
      <w:rPr>
        <w:rFonts w:ascii="Symbol" w:hAnsi="Symbol" w:hint="default"/>
      </w:rPr>
    </w:lvl>
    <w:lvl w:ilvl="1" w:tplc="F95E4490">
      <w:numFmt w:val="decimal"/>
      <w:lvlText w:val=""/>
      <w:lvlJc w:val="left"/>
    </w:lvl>
    <w:lvl w:ilvl="2" w:tplc="DE8A1406">
      <w:numFmt w:val="decimal"/>
      <w:lvlText w:val=""/>
      <w:lvlJc w:val="left"/>
    </w:lvl>
    <w:lvl w:ilvl="3" w:tplc="A2C6249C">
      <w:numFmt w:val="decimal"/>
      <w:lvlText w:val=""/>
      <w:lvlJc w:val="left"/>
    </w:lvl>
    <w:lvl w:ilvl="4" w:tplc="E93AE520">
      <w:numFmt w:val="decimal"/>
      <w:lvlText w:val=""/>
      <w:lvlJc w:val="left"/>
    </w:lvl>
    <w:lvl w:ilvl="5" w:tplc="93048DF0">
      <w:numFmt w:val="decimal"/>
      <w:lvlText w:val=""/>
      <w:lvlJc w:val="left"/>
    </w:lvl>
    <w:lvl w:ilvl="6" w:tplc="A036E4CA">
      <w:numFmt w:val="decimal"/>
      <w:lvlText w:val=""/>
      <w:lvlJc w:val="left"/>
    </w:lvl>
    <w:lvl w:ilvl="7" w:tplc="C4DA7B2C">
      <w:numFmt w:val="decimal"/>
      <w:lvlText w:val=""/>
      <w:lvlJc w:val="left"/>
    </w:lvl>
    <w:lvl w:ilvl="8" w:tplc="A8B01CDA">
      <w:numFmt w:val="decimal"/>
      <w:lvlText w:val=""/>
      <w:lvlJc w:val="left"/>
    </w:lvl>
  </w:abstractNum>
  <w:abstractNum w:abstractNumId="1634" w15:restartNumberingAfterBreak="0">
    <w:nsid w:val="7DC1374A"/>
    <w:multiLevelType w:val="hybridMultilevel"/>
    <w:tmpl w:val="A83A2328"/>
    <w:lvl w:ilvl="0" w:tplc="354E7894">
      <w:numFmt w:val="decimal"/>
      <w:lvlText w:val=""/>
      <w:lvlJc w:val="left"/>
    </w:lvl>
    <w:lvl w:ilvl="1" w:tplc="2DDCCE0C">
      <w:start w:val="1"/>
      <w:numFmt w:val="bullet"/>
      <w:lvlText w:val=""/>
      <w:lvlJc w:val="left"/>
      <w:pPr>
        <w:ind w:left="1440" w:hanging="180"/>
      </w:pPr>
      <w:rPr>
        <w:rFonts w:ascii="Symbol" w:hAnsi="Symbol" w:hint="default"/>
      </w:rPr>
    </w:lvl>
    <w:lvl w:ilvl="2" w:tplc="2E76E9F6">
      <w:numFmt w:val="decimal"/>
      <w:lvlText w:val=""/>
      <w:lvlJc w:val="left"/>
    </w:lvl>
    <w:lvl w:ilvl="3" w:tplc="31A26E48">
      <w:numFmt w:val="decimal"/>
      <w:lvlText w:val=""/>
      <w:lvlJc w:val="left"/>
    </w:lvl>
    <w:lvl w:ilvl="4" w:tplc="231AF70A">
      <w:numFmt w:val="decimal"/>
      <w:lvlText w:val=""/>
      <w:lvlJc w:val="left"/>
    </w:lvl>
    <w:lvl w:ilvl="5" w:tplc="069E40D6">
      <w:numFmt w:val="decimal"/>
      <w:lvlText w:val=""/>
      <w:lvlJc w:val="left"/>
    </w:lvl>
    <w:lvl w:ilvl="6" w:tplc="AAA040D8">
      <w:numFmt w:val="decimal"/>
      <w:lvlText w:val=""/>
      <w:lvlJc w:val="left"/>
    </w:lvl>
    <w:lvl w:ilvl="7" w:tplc="F566F7B4">
      <w:numFmt w:val="decimal"/>
      <w:lvlText w:val=""/>
      <w:lvlJc w:val="left"/>
    </w:lvl>
    <w:lvl w:ilvl="8" w:tplc="73E8E532">
      <w:numFmt w:val="decimal"/>
      <w:lvlText w:val=""/>
      <w:lvlJc w:val="left"/>
    </w:lvl>
  </w:abstractNum>
  <w:abstractNum w:abstractNumId="1635" w15:restartNumberingAfterBreak="0">
    <w:nsid w:val="7DC828B1"/>
    <w:multiLevelType w:val="hybridMultilevel"/>
    <w:tmpl w:val="7E809794"/>
    <w:lvl w:ilvl="0" w:tplc="9D58CB6C">
      <w:numFmt w:val="decimal"/>
      <w:lvlText w:val=""/>
      <w:lvlJc w:val="left"/>
    </w:lvl>
    <w:lvl w:ilvl="1" w:tplc="638C5416">
      <w:start w:val="1"/>
      <w:numFmt w:val="bullet"/>
      <w:lvlText w:val=""/>
      <w:lvlJc w:val="left"/>
      <w:pPr>
        <w:ind w:left="1440" w:hanging="180"/>
      </w:pPr>
      <w:rPr>
        <w:rFonts w:ascii="Symbol" w:hAnsi="Symbol" w:hint="default"/>
      </w:rPr>
    </w:lvl>
    <w:lvl w:ilvl="2" w:tplc="59E03D96">
      <w:numFmt w:val="decimal"/>
      <w:lvlText w:val=""/>
      <w:lvlJc w:val="left"/>
    </w:lvl>
    <w:lvl w:ilvl="3" w:tplc="0358B8F0">
      <w:numFmt w:val="decimal"/>
      <w:lvlText w:val=""/>
      <w:lvlJc w:val="left"/>
    </w:lvl>
    <w:lvl w:ilvl="4" w:tplc="7BF87050">
      <w:numFmt w:val="decimal"/>
      <w:lvlText w:val=""/>
      <w:lvlJc w:val="left"/>
    </w:lvl>
    <w:lvl w:ilvl="5" w:tplc="16CE413A">
      <w:numFmt w:val="decimal"/>
      <w:lvlText w:val=""/>
      <w:lvlJc w:val="left"/>
    </w:lvl>
    <w:lvl w:ilvl="6" w:tplc="A05C7C14">
      <w:numFmt w:val="decimal"/>
      <w:lvlText w:val=""/>
      <w:lvlJc w:val="left"/>
    </w:lvl>
    <w:lvl w:ilvl="7" w:tplc="68D8C4C4">
      <w:numFmt w:val="decimal"/>
      <w:lvlText w:val=""/>
      <w:lvlJc w:val="left"/>
    </w:lvl>
    <w:lvl w:ilvl="8" w:tplc="116243F2">
      <w:numFmt w:val="decimal"/>
      <w:lvlText w:val=""/>
      <w:lvlJc w:val="left"/>
    </w:lvl>
  </w:abstractNum>
  <w:abstractNum w:abstractNumId="1636" w15:restartNumberingAfterBreak="0">
    <w:nsid w:val="7DE45DE6"/>
    <w:multiLevelType w:val="hybridMultilevel"/>
    <w:tmpl w:val="0D501BC6"/>
    <w:lvl w:ilvl="0" w:tplc="DEDC3342">
      <w:start w:val="1"/>
      <w:numFmt w:val="bullet"/>
      <w:lvlText w:val=""/>
      <w:lvlJc w:val="left"/>
      <w:pPr>
        <w:ind w:left="720" w:hanging="180"/>
      </w:pPr>
      <w:rPr>
        <w:rFonts w:ascii="Symbol" w:hAnsi="Symbol" w:hint="default"/>
      </w:rPr>
    </w:lvl>
    <w:lvl w:ilvl="1" w:tplc="DD103218">
      <w:numFmt w:val="decimal"/>
      <w:lvlText w:val=""/>
      <w:lvlJc w:val="left"/>
    </w:lvl>
    <w:lvl w:ilvl="2" w:tplc="53B236C0">
      <w:numFmt w:val="decimal"/>
      <w:lvlText w:val=""/>
      <w:lvlJc w:val="left"/>
    </w:lvl>
    <w:lvl w:ilvl="3" w:tplc="D902CDA8">
      <w:numFmt w:val="decimal"/>
      <w:lvlText w:val=""/>
      <w:lvlJc w:val="left"/>
    </w:lvl>
    <w:lvl w:ilvl="4" w:tplc="639EFF38">
      <w:numFmt w:val="decimal"/>
      <w:lvlText w:val=""/>
      <w:lvlJc w:val="left"/>
    </w:lvl>
    <w:lvl w:ilvl="5" w:tplc="8FFE6F4C">
      <w:numFmt w:val="decimal"/>
      <w:lvlText w:val=""/>
      <w:lvlJc w:val="left"/>
    </w:lvl>
    <w:lvl w:ilvl="6" w:tplc="28D491C0">
      <w:numFmt w:val="decimal"/>
      <w:lvlText w:val=""/>
      <w:lvlJc w:val="left"/>
    </w:lvl>
    <w:lvl w:ilvl="7" w:tplc="FF200ED0">
      <w:numFmt w:val="decimal"/>
      <w:lvlText w:val=""/>
      <w:lvlJc w:val="left"/>
    </w:lvl>
    <w:lvl w:ilvl="8" w:tplc="85DCDF2C">
      <w:numFmt w:val="decimal"/>
      <w:lvlText w:val=""/>
      <w:lvlJc w:val="left"/>
    </w:lvl>
  </w:abstractNum>
  <w:abstractNum w:abstractNumId="1637" w15:restartNumberingAfterBreak="0">
    <w:nsid w:val="7DEC1996"/>
    <w:multiLevelType w:val="hybridMultilevel"/>
    <w:tmpl w:val="7A546622"/>
    <w:lvl w:ilvl="0" w:tplc="90F453C8">
      <w:start w:val="1"/>
      <w:numFmt w:val="bullet"/>
      <w:lvlText w:val=""/>
      <w:lvlJc w:val="left"/>
      <w:pPr>
        <w:ind w:left="720" w:hanging="180"/>
      </w:pPr>
      <w:rPr>
        <w:rFonts w:ascii="Symbol" w:hAnsi="Symbol" w:hint="default"/>
      </w:rPr>
    </w:lvl>
    <w:lvl w:ilvl="1" w:tplc="933846C8">
      <w:numFmt w:val="decimal"/>
      <w:lvlText w:val=""/>
      <w:lvlJc w:val="left"/>
    </w:lvl>
    <w:lvl w:ilvl="2" w:tplc="CE7600E2">
      <w:numFmt w:val="decimal"/>
      <w:lvlText w:val=""/>
      <w:lvlJc w:val="left"/>
    </w:lvl>
    <w:lvl w:ilvl="3" w:tplc="14CEA8E2">
      <w:numFmt w:val="decimal"/>
      <w:lvlText w:val=""/>
      <w:lvlJc w:val="left"/>
    </w:lvl>
    <w:lvl w:ilvl="4" w:tplc="88942A96">
      <w:numFmt w:val="decimal"/>
      <w:lvlText w:val=""/>
      <w:lvlJc w:val="left"/>
    </w:lvl>
    <w:lvl w:ilvl="5" w:tplc="42320C9E">
      <w:numFmt w:val="decimal"/>
      <w:lvlText w:val=""/>
      <w:lvlJc w:val="left"/>
    </w:lvl>
    <w:lvl w:ilvl="6" w:tplc="7EB6B304">
      <w:numFmt w:val="decimal"/>
      <w:lvlText w:val=""/>
      <w:lvlJc w:val="left"/>
    </w:lvl>
    <w:lvl w:ilvl="7" w:tplc="3A146094">
      <w:numFmt w:val="decimal"/>
      <w:lvlText w:val=""/>
      <w:lvlJc w:val="left"/>
    </w:lvl>
    <w:lvl w:ilvl="8" w:tplc="713A61EA">
      <w:numFmt w:val="decimal"/>
      <w:lvlText w:val=""/>
      <w:lvlJc w:val="left"/>
    </w:lvl>
  </w:abstractNum>
  <w:abstractNum w:abstractNumId="1638" w15:restartNumberingAfterBreak="0">
    <w:nsid w:val="7E1A781D"/>
    <w:multiLevelType w:val="hybridMultilevel"/>
    <w:tmpl w:val="93604AE6"/>
    <w:lvl w:ilvl="0" w:tplc="A6FCBE02">
      <w:start w:val="1"/>
      <w:numFmt w:val="bullet"/>
      <w:lvlText w:val=""/>
      <w:lvlJc w:val="left"/>
      <w:pPr>
        <w:ind w:left="720" w:hanging="180"/>
      </w:pPr>
      <w:rPr>
        <w:rFonts w:ascii="Symbol" w:hAnsi="Symbol" w:hint="default"/>
      </w:rPr>
    </w:lvl>
    <w:lvl w:ilvl="1" w:tplc="FC24A8CE">
      <w:numFmt w:val="decimal"/>
      <w:lvlText w:val=""/>
      <w:lvlJc w:val="left"/>
    </w:lvl>
    <w:lvl w:ilvl="2" w:tplc="73B2059C">
      <w:numFmt w:val="decimal"/>
      <w:lvlText w:val=""/>
      <w:lvlJc w:val="left"/>
    </w:lvl>
    <w:lvl w:ilvl="3" w:tplc="70E20F88">
      <w:numFmt w:val="decimal"/>
      <w:lvlText w:val=""/>
      <w:lvlJc w:val="left"/>
    </w:lvl>
    <w:lvl w:ilvl="4" w:tplc="50240858">
      <w:numFmt w:val="decimal"/>
      <w:lvlText w:val=""/>
      <w:lvlJc w:val="left"/>
    </w:lvl>
    <w:lvl w:ilvl="5" w:tplc="7BC6E4B0">
      <w:numFmt w:val="decimal"/>
      <w:lvlText w:val=""/>
      <w:lvlJc w:val="left"/>
    </w:lvl>
    <w:lvl w:ilvl="6" w:tplc="CC7C4278">
      <w:numFmt w:val="decimal"/>
      <w:lvlText w:val=""/>
      <w:lvlJc w:val="left"/>
    </w:lvl>
    <w:lvl w:ilvl="7" w:tplc="5ED45EBE">
      <w:numFmt w:val="decimal"/>
      <w:lvlText w:val=""/>
      <w:lvlJc w:val="left"/>
    </w:lvl>
    <w:lvl w:ilvl="8" w:tplc="0BC292F8">
      <w:numFmt w:val="decimal"/>
      <w:lvlText w:val=""/>
      <w:lvlJc w:val="left"/>
    </w:lvl>
  </w:abstractNum>
  <w:abstractNum w:abstractNumId="1639" w15:restartNumberingAfterBreak="0">
    <w:nsid w:val="7E7351EB"/>
    <w:multiLevelType w:val="hybridMultilevel"/>
    <w:tmpl w:val="CAC4761A"/>
    <w:lvl w:ilvl="0" w:tplc="3600E546">
      <w:start w:val="1"/>
      <w:numFmt w:val="bullet"/>
      <w:lvlText w:val=""/>
      <w:lvlJc w:val="left"/>
      <w:pPr>
        <w:ind w:left="720" w:hanging="180"/>
      </w:pPr>
      <w:rPr>
        <w:rFonts w:ascii="Symbol" w:hAnsi="Symbol" w:hint="default"/>
      </w:rPr>
    </w:lvl>
    <w:lvl w:ilvl="1" w:tplc="55AADA20">
      <w:numFmt w:val="decimal"/>
      <w:lvlText w:val=""/>
      <w:lvlJc w:val="left"/>
    </w:lvl>
    <w:lvl w:ilvl="2" w:tplc="ACB04C2A">
      <w:numFmt w:val="decimal"/>
      <w:lvlText w:val=""/>
      <w:lvlJc w:val="left"/>
    </w:lvl>
    <w:lvl w:ilvl="3" w:tplc="4AFC3646">
      <w:numFmt w:val="decimal"/>
      <w:lvlText w:val=""/>
      <w:lvlJc w:val="left"/>
    </w:lvl>
    <w:lvl w:ilvl="4" w:tplc="6F2EC60C">
      <w:numFmt w:val="decimal"/>
      <w:lvlText w:val=""/>
      <w:lvlJc w:val="left"/>
    </w:lvl>
    <w:lvl w:ilvl="5" w:tplc="31BAF61E">
      <w:numFmt w:val="decimal"/>
      <w:lvlText w:val=""/>
      <w:lvlJc w:val="left"/>
    </w:lvl>
    <w:lvl w:ilvl="6" w:tplc="7974B7E0">
      <w:numFmt w:val="decimal"/>
      <w:lvlText w:val=""/>
      <w:lvlJc w:val="left"/>
    </w:lvl>
    <w:lvl w:ilvl="7" w:tplc="81DA2C0E">
      <w:numFmt w:val="decimal"/>
      <w:lvlText w:val=""/>
      <w:lvlJc w:val="left"/>
    </w:lvl>
    <w:lvl w:ilvl="8" w:tplc="7124F4F4">
      <w:numFmt w:val="decimal"/>
      <w:lvlText w:val=""/>
      <w:lvlJc w:val="left"/>
    </w:lvl>
  </w:abstractNum>
  <w:abstractNum w:abstractNumId="1640" w15:restartNumberingAfterBreak="0">
    <w:nsid w:val="7E7F1509"/>
    <w:multiLevelType w:val="hybridMultilevel"/>
    <w:tmpl w:val="3EBAE78C"/>
    <w:lvl w:ilvl="0" w:tplc="8536EBB6">
      <w:numFmt w:val="decimal"/>
      <w:lvlText w:val=""/>
      <w:lvlJc w:val="left"/>
    </w:lvl>
    <w:lvl w:ilvl="1" w:tplc="29A4CE80">
      <w:start w:val="1"/>
      <w:numFmt w:val="bullet"/>
      <w:lvlText w:val=""/>
      <w:lvlJc w:val="left"/>
      <w:pPr>
        <w:ind w:left="1440" w:hanging="180"/>
      </w:pPr>
      <w:rPr>
        <w:rFonts w:ascii="Symbol" w:hAnsi="Symbol" w:hint="default"/>
      </w:rPr>
    </w:lvl>
    <w:lvl w:ilvl="2" w:tplc="990871D2">
      <w:numFmt w:val="decimal"/>
      <w:lvlText w:val=""/>
      <w:lvlJc w:val="left"/>
    </w:lvl>
    <w:lvl w:ilvl="3" w:tplc="E3D4D5BC">
      <w:numFmt w:val="decimal"/>
      <w:lvlText w:val=""/>
      <w:lvlJc w:val="left"/>
    </w:lvl>
    <w:lvl w:ilvl="4" w:tplc="0FBE33BA">
      <w:numFmt w:val="decimal"/>
      <w:lvlText w:val=""/>
      <w:lvlJc w:val="left"/>
    </w:lvl>
    <w:lvl w:ilvl="5" w:tplc="D9588DF6">
      <w:numFmt w:val="decimal"/>
      <w:lvlText w:val=""/>
      <w:lvlJc w:val="left"/>
    </w:lvl>
    <w:lvl w:ilvl="6" w:tplc="89585F7E">
      <w:numFmt w:val="decimal"/>
      <w:lvlText w:val=""/>
      <w:lvlJc w:val="left"/>
    </w:lvl>
    <w:lvl w:ilvl="7" w:tplc="F91418D8">
      <w:numFmt w:val="decimal"/>
      <w:lvlText w:val=""/>
      <w:lvlJc w:val="left"/>
    </w:lvl>
    <w:lvl w:ilvl="8" w:tplc="78C24F66">
      <w:numFmt w:val="decimal"/>
      <w:lvlText w:val=""/>
      <w:lvlJc w:val="left"/>
    </w:lvl>
  </w:abstractNum>
  <w:abstractNum w:abstractNumId="1641" w15:restartNumberingAfterBreak="0">
    <w:nsid w:val="7EAC6504"/>
    <w:multiLevelType w:val="hybridMultilevel"/>
    <w:tmpl w:val="279C0232"/>
    <w:lvl w:ilvl="0" w:tplc="7CEE1AA2">
      <w:start w:val="1"/>
      <w:numFmt w:val="bullet"/>
      <w:lvlText w:val=""/>
      <w:lvlJc w:val="left"/>
      <w:pPr>
        <w:ind w:left="720" w:hanging="180"/>
      </w:pPr>
      <w:rPr>
        <w:rFonts w:ascii="Symbol" w:hAnsi="Symbol" w:hint="default"/>
      </w:rPr>
    </w:lvl>
    <w:lvl w:ilvl="1" w:tplc="32B6D17A">
      <w:numFmt w:val="decimal"/>
      <w:lvlText w:val=""/>
      <w:lvlJc w:val="left"/>
    </w:lvl>
    <w:lvl w:ilvl="2" w:tplc="EE6421AE">
      <w:numFmt w:val="decimal"/>
      <w:lvlText w:val=""/>
      <w:lvlJc w:val="left"/>
    </w:lvl>
    <w:lvl w:ilvl="3" w:tplc="7A14ADD2">
      <w:numFmt w:val="decimal"/>
      <w:lvlText w:val=""/>
      <w:lvlJc w:val="left"/>
    </w:lvl>
    <w:lvl w:ilvl="4" w:tplc="EB54A97A">
      <w:numFmt w:val="decimal"/>
      <w:lvlText w:val=""/>
      <w:lvlJc w:val="left"/>
    </w:lvl>
    <w:lvl w:ilvl="5" w:tplc="5E2049B6">
      <w:numFmt w:val="decimal"/>
      <w:lvlText w:val=""/>
      <w:lvlJc w:val="left"/>
    </w:lvl>
    <w:lvl w:ilvl="6" w:tplc="43A479F8">
      <w:numFmt w:val="decimal"/>
      <w:lvlText w:val=""/>
      <w:lvlJc w:val="left"/>
    </w:lvl>
    <w:lvl w:ilvl="7" w:tplc="C3D0B352">
      <w:numFmt w:val="decimal"/>
      <w:lvlText w:val=""/>
      <w:lvlJc w:val="left"/>
    </w:lvl>
    <w:lvl w:ilvl="8" w:tplc="F8E0562C">
      <w:numFmt w:val="decimal"/>
      <w:lvlText w:val=""/>
      <w:lvlJc w:val="left"/>
    </w:lvl>
  </w:abstractNum>
  <w:abstractNum w:abstractNumId="1642" w15:restartNumberingAfterBreak="0">
    <w:nsid w:val="7EAE3669"/>
    <w:multiLevelType w:val="hybridMultilevel"/>
    <w:tmpl w:val="3E743888"/>
    <w:lvl w:ilvl="0" w:tplc="2DCAF04A">
      <w:start w:val="1"/>
      <w:numFmt w:val="bullet"/>
      <w:lvlText w:val=""/>
      <w:lvlJc w:val="left"/>
      <w:pPr>
        <w:ind w:left="720" w:hanging="180"/>
      </w:pPr>
      <w:rPr>
        <w:rFonts w:ascii="Symbol" w:hAnsi="Symbol" w:hint="default"/>
      </w:rPr>
    </w:lvl>
    <w:lvl w:ilvl="1" w:tplc="F7ECE0F8">
      <w:numFmt w:val="decimal"/>
      <w:lvlText w:val=""/>
      <w:lvlJc w:val="left"/>
    </w:lvl>
    <w:lvl w:ilvl="2" w:tplc="11C884D4">
      <w:numFmt w:val="decimal"/>
      <w:lvlText w:val=""/>
      <w:lvlJc w:val="left"/>
    </w:lvl>
    <w:lvl w:ilvl="3" w:tplc="450C4336">
      <w:numFmt w:val="decimal"/>
      <w:lvlText w:val=""/>
      <w:lvlJc w:val="left"/>
    </w:lvl>
    <w:lvl w:ilvl="4" w:tplc="C690F72C">
      <w:numFmt w:val="decimal"/>
      <w:lvlText w:val=""/>
      <w:lvlJc w:val="left"/>
    </w:lvl>
    <w:lvl w:ilvl="5" w:tplc="DABCD60A">
      <w:numFmt w:val="decimal"/>
      <w:lvlText w:val=""/>
      <w:lvlJc w:val="left"/>
    </w:lvl>
    <w:lvl w:ilvl="6" w:tplc="DDF6A258">
      <w:numFmt w:val="decimal"/>
      <w:lvlText w:val=""/>
      <w:lvlJc w:val="left"/>
    </w:lvl>
    <w:lvl w:ilvl="7" w:tplc="7476397C">
      <w:numFmt w:val="decimal"/>
      <w:lvlText w:val=""/>
      <w:lvlJc w:val="left"/>
    </w:lvl>
    <w:lvl w:ilvl="8" w:tplc="CC9E52DE">
      <w:numFmt w:val="decimal"/>
      <w:lvlText w:val=""/>
      <w:lvlJc w:val="left"/>
    </w:lvl>
  </w:abstractNum>
  <w:abstractNum w:abstractNumId="1643" w15:restartNumberingAfterBreak="0">
    <w:nsid w:val="7EB3602A"/>
    <w:multiLevelType w:val="hybridMultilevel"/>
    <w:tmpl w:val="0C1ABD84"/>
    <w:lvl w:ilvl="0" w:tplc="19EAA060">
      <w:start w:val="1"/>
      <w:numFmt w:val="bullet"/>
      <w:lvlText w:val=""/>
      <w:lvlJc w:val="left"/>
      <w:pPr>
        <w:ind w:left="720" w:hanging="180"/>
      </w:pPr>
      <w:rPr>
        <w:rFonts w:ascii="Symbol" w:hAnsi="Symbol" w:hint="default"/>
      </w:rPr>
    </w:lvl>
    <w:lvl w:ilvl="1" w:tplc="2B969598">
      <w:numFmt w:val="decimal"/>
      <w:lvlText w:val=""/>
      <w:lvlJc w:val="left"/>
    </w:lvl>
    <w:lvl w:ilvl="2" w:tplc="8C8C3A3C">
      <w:numFmt w:val="decimal"/>
      <w:lvlText w:val=""/>
      <w:lvlJc w:val="left"/>
    </w:lvl>
    <w:lvl w:ilvl="3" w:tplc="94A4CCDC">
      <w:numFmt w:val="decimal"/>
      <w:lvlText w:val=""/>
      <w:lvlJc w:val="left"/>
    </w:lvl>
    <w:lvl w:ilvl="4" w:tplc="A112D176">
      <w:numFmt w:val="decimal"/>
      <w:lvlText w:val=""/>
      <w:lvlJc w:val="left"/>
    </w:lvl>
    <w:lvl w:ilvl="5" w:tplc="2A00B52C">
      <w:numFmt w:val="decimal"/>
      <w:lvlText w:val=""/>
      <w:lvlJc w:val="left"/>
    </w:lvl>
    <w:lvl w:ilvl="6" w:tplc="002601EA">
      <w:numFmt w:val="decimal"/>
      <w:lvlText w:val=""/>
      <w:lvlJc w:val="left"/>
    </w:lvl>
    <w:lvl w:ilvl="7" w:tplc="EAF42CEA">
      <w:numFmt w:val="decimal"/>
      <w:lvlText w:val=""/>
      <w:lvlJc w:val="left"/>
    </w:lvl>
    <w:lvl w:ilvl="8" w:tplc="5CFA6EAC">
      <w:numFmt w:val="decimal"/>
      <w:lvlText w:val=""/>
      <w:lvlJc w:val="left"/>
    </w:lvl>
  </w:abstractNum>
  <w:abstractNum w:abstractNumId="1644" w15:restartNumberingAfterBreak="0">
    <w:nsid w:val="7EB405F8"/>
    <w:multiLevelType w:val="hybridMultilevel"/>
    <w:tmpl w:val="523AD240"/>
    <w:lvl w:ilvl="0" w:tplc="724A09AE">
      <w:start w:val="1"/>
      <w:numFmt w:val="bullet"/>
      <w:lvlText w:val=""/>
      <w:lvlJc w:val="left"/>
      <w:pPr>
        <w:ind w:left="720" w:hanging="180"/>
      </w:pPr>
      <w:rPr>
        <w:rFonts w:ascii="Symbol" w:hAnsi="Symbol" w:hint="default"/>
      </w:rPr>
    </w:lvl>
    <w:lvl w:ilvl="1" w:tplc="C17C2F34">
      <w:numFmt w:val="decimal"/>
      <w:lvlText w:val=""/>
      <w:lvlJc w:val="left"/>
    </w:lvl>
    <w:lvl w:ilvl="2" w:tplc="6054ED4C">
      <w:numFmt w:val="decimal"/>
      <w:lvlText w:val=""/>
      <w:lvlJc w:val="left"/>
    </w:lvl>
    <w:lvl w:ilvl="3" w:tplc="22880166">
      <w:numFmt w:val="decimal"/>
      <w:lvlText w:val=""/>
      <w:lvlJc w:val="left"/>
    </w:lvl>
    <w:lvl w:ilvl="4" w:tplc="1C30CCEA">
      <w:numFmt w:val="decimal"/>
      <w:lvlText w:val=""/>
      <w:lvlJc w:val="left"/>
    </w:lvl>
    <w:lvl w:ilvl="5" w:tplc="AB2E9F9A">
      <w:numFmt w:val="decimal"/>
      <w:lvlText w:val=""/>
      <w:lvlJc w:val="left"/>
    </w:lvl>
    <w:lvl w:ilvl="6" w:tplc="563459C6">
      <w:numFmt w:val="decimal"/>
      <w:lvlText w:val=""/>
      <w:lvlJc w:val="left"/>
    </w:lvl>
    <w:lvl w:ilvl="7" w:tplc="9A02B226">
      <w:numFmt w:val="decimal"/>
      <w:lvlText w:val=""/>
      <w:lvlJc w:val="left"/>
    </w:lvl>
    <w:lvl w:ilvl="8" w:tplc="D302AB2C">
      <w:numFmt w:val="decimal"/>
      <w:lvlText w:val=""/>
      <w:lvlJc w:val="left"/>
    </w:lvl>
  </w:abstractNum>
  <w:abstractNum w:abstractNumId="1645" w15:restartNumberingAfterBreak="0">
    <w:nsid w:val="7EC8256A"/>
    <w:multiLevelType w:val="hybridMultilevel"/>
    <w:tmpl w:val="3424B04A"/>
    <w:lvl w:ilvl="0" w:tplc="BB46DF28">
      <w:start w:val="1"/>
      <w:numFmt w:val="bullet"/>
      <w:lvlText w:val=""/>
      <w:lvlJc w:val="left"/>
      <w:pPr>
        <w:ind w:left="720" w:hanging="180"/>
      </w:pPr>
      <w:rPr>
        <w:rFonts w:ascii="Symbol" w:hAnsi="Symbol" w:hint="default"/>
      </w:rPr>
    </w:lvl>
    <w:lvl w:ilvl="1" w:tplc="9A30A9DE">
      <w:numFmt w:val="decimal"/>
      <w:lvlText w:val=""/>
      <w:lvlJc w:val="left"/>
    </w:lvl>
    <w:lvl w:ilvl="2" w:tplc="22E4DB0A">
      <w:numFmt w:val="decimal"/>
      <w:lvlText w:val=""/>
      <w:lvlJc w:val="left"/>
    </w:lvl>
    <w:lvl w:ilvl="3" w:tplc="A95CC510">
      <w:numFmt w:val="decimal"/>
      <w:lvlText w:val=""/>
      <w:lvlJc w:val="left"/>
    </w:lvl>
    <w:lvl w:ilvl="4" w:tplc="795A092A">
      <w:numFmt w:val="decimal"/>
      <w:lvlText w:val=""/>
      <w:lvlJc w:val="left"/>
    </w:lvl>
    <w:lvl w:ilvl="5" w:tplc="E5C2CC30">
      <w:numFmt w:val="decimal"/>
      <w:lvlText w:val=""/>
      <w:lvlJc w:val="left"/>
    </w:lvl>
    <w:lvl w:ilvl="6" w:tplc="C512E9FC">
      <w:numFmt w:val="decimal"/>
      <w:lvlText w:val=""/>
      <w:lvlJc w:val="left"/>
    </w:lvl>
    <w:lvl w:ilvl="7" w:tplc="E684F06E">
      <w:numFmt w:val="decimal"/>
      <w:lvlText w:val=""/>
      <w:lvlJc w:val="left"/>
    </w:lvl>
    <w:lvl w:ilvl="8" w:tplc="3C24A0A2">
      <w:numFmt w:val="decimal"/>
      <w:lvlText w:val=""/>
      <w:lvlJc w:val="left"/>
    </w:lvl>
  </w:abstractNum>
  <w:abstractNum w:abstractNumId="1646" w15:restartNumberingAfterBreak="0">
    <w:nsid w:val="7EED30C2"/>
    <w:multiLevelType w:val="hybridMultilevel"/>
    <w:tmpl w:val="943C272E"/>
    <w:lvl w:ilvl="0" w:tplc="84285790">
      <w:start w:val="1"/>
      <w:numFmt w:val="bullet"/>
      <w:lvlText w:val=""/>
      <w:lvlJc w:val="left"/>
      <w:pPr>
        <w:ind w:left="720" w:hanging="180"/>
      </w:pPr>
      <w:rPr>
        <w:rFonts w:ascii="Symbol" w:hAnsi="Symbol" w:hint="default"/>
      </w:rPr>
    </w:lvl>
    <w:lvl w:ilvl="1" w:tplc="8160B3BA">
      <w:numFmt w:val="decimal"/>
      <w:lvlText w:val=""/>
      <w:lvlJc w:val="left"/>
    </w:lvl>
    <w:lvl w:ilvl="2" w:tplc="60AE4B24">
      <w:numFmt w:val="decimal"/>
      <w:lvlText w:val=""/>
      <w:lvlJc w:val="left"/>
    </w:lvl>
    <w:lvl w:ilvl="3" w:tplc="188404C0">
      <w:numFmt w:val="decimal"/>
      <w:lvlText w:val=""/>
      <w:lvlJc w:val="left"/>
    </w:lvl>
    <w:lvl w:ilvl="4" w:tplc="9FDE73FA">
      <w:numFmt w:val="decimal"/>
      <w:lvlText w:val=""/>
      <w:lvlJc w:val="left"/>
    </w:lvl>
    <w:lvl w:ilvl="5" w:tplc="A7C255A0">
      <w:numFmt w:val="decimal"/>
      <w:lvlText w:val=""/>
      <w:lvlJc w:val="left"/>
    </w:lvl>
    <w:lvl w:ilvl="6" w:tplc="62061A52">
      <w:numFmt w:val="decimal"/>
      <w:lvlText w:val=""/>
      <w:lvlJc w:val="left"/>
    </w:lvl>
    <w:lvl w:ilvl="7" w:tplc="17C6815A">
      <w:numFmt w:val="decimal"/>
      <w:lvlText w:val=""/>
      <w:lvlJc w:val="left"/>
    </w:lvl>
    <w:lvl w:ilvl="8" w:tplc="D0F86876">
      <w:numFmt w:val="decimal"/>
      <w:lvlText w:val=""/>
      <w:lvlJc w:val="left"/>
    </w:lvl>
  </w:abstractNum>
  <w:abstractNum w:abstractNumId="1647" w15:restartNumberingAfterBreak="0">
    <w:nsid w:val="7EF4248E"/>
    <w:multiLevelType w:val="hybridMultilevel"/>
    <w:tmpl w:val="127ED2A8"/>
    <w:lvl w:ilvl="0" w:tplc="03589E56">
      <w:start w:val="1"/>
      <w:numFmt w:val="bullet"/>
      <w:lvlText w:val=""/>
      <w:lvlJc w:val="left"/>
      <w:pPr>
        <w:ind w:left="720" w:hanging="180"/>
      </w:pPr>
      <w:rPr>
        <w:rFonts w:ascii="Symbol" w:hAnsi="Symbol" w:hint="default"/>
      </w:rPr>
    </w:lvl>
    <w:lvl w:ilvl="1" w:tplc="F2E265D0">
      <w:numFmt w:val="decimal"/>
      <w:lvlText w:val=""/>
      <w:lvlJc w:val="left"/>
    </w:lvl>
    <w:lvl w:ilvl="2" w:tplc="7C509286">
      <w:numFmt w:val="decimal"/>
      <w:lvlText w:val=""/>
      <w:lvlJc w:val="left"/>
    </w:lvl>
    <w:lvl w:ilvl="3" w:tplc="830865D6">
      <w:numFmt w:val="decimal"/>
      <w:lvlText w:val=""/>
      <w:lvlJc w:val="left"/>
    </w:lvl>
    <w:lvl w:ilvl="4" w:tplc="2D00C426">
      <w:numFmt w:val="decimal"/>
      <w:lvlText w:val=""/>
      <w:lvlJc w:val="left"/>
    </w:lvl>
    <w:lvl w:ilvl="5" w:tplc="9C62D21A">
      <w:numFmt w:val="decimal"/>
      <w:lvlText w:val=""/>
      <w:lvlJc w:val="left"/>
    </w:lvl>
    <w:lvl w:ilvl="6" w:tplc="AC3617E0">
      <w:numFmt w:val="decimal"/>
      <w:lvlText w:val=""/>
      <w:lvlJc w:val="left"/>
    </w:lvl>
    <w:lvl w:ilvl="7" w:tplc="5A40AF60">
      <w:numFmt w:val="decimal"/>
      <w:lvlText w:val=""/>
      <w:lvlJc w:val="left"/>
    </w:lvl>
    <w:lvl w:ilvl="8" w:tplc="712AED58">
      <w:numFmt w:val="decimal"/>
      <w:lvlText w:val=""/>
      <w:lvlJc w:val="left"/>
    </w:lvl>
  </w:abstractNum>
  <w:abstractNum w:abstractNumId="1648" w15:restartNumberingAfterBreak="0">
    <w:nsid w:val="7F0005B2"/>
    <w:multiLevelType w:val="hybridMultilevel"/>
    <w:tmpl w:val="40BCCBB8"/>
    <w:lvl w:ilvl="0" w:tplc="0B02BB62">
      <w:start w:val="1"/>
      <w:numFmt w:val="bullet"/>
      <w:lvlText w:val=""/>
      <w:lvlJc w:val="left"/>
      <w:pPr>
        <w:ind w:left="720" w:hanging="180"/>
      </w:pPr>
      <w:rPr>
        <w:rFonts w:ascii="Symbol" w:hAnsi="Symbol" w:hint="default"/>
      </w:rPr>
    </w:lvl>
    <w:lvl w:ilvl="1" w:tplc="23003F1C">
      <w:numFmt w:val="decimal"/>
      <w:lvlText w:val=""/>
      <w:lvlJc w:val="left"/>
    </w:lvl>
    <w:lvl w:ilvl="2" w:tplc="78C23C02">
      <w:numFmt w:val="decimal"/>
      <w:lvlText w:val=""/>
      <w:lvlJc w:val="left"/>
    </w:lvl>
    <w:lvl w:ilvl="3" w:tplc="66B6CD86">
      <w:numFmt w:val="decimal"/>
      <w:lvlText w:val=""/>
      <w:lvlJc w:val="left"/>
    </w:lvl>
    <w:lvl w:ilvl="4" w:tplc="0F0C8FEE">
      <w:numFmt w:val="decimal"/>
      <w:lvlText w:val=""/>
      <w:lvlJc w:val="left"/>
    </w:lvl>
    <w:lvl w:ilvl="5" w:tplc="0F4AD104">
      <w:numFmt w:val="decimal"/>
      <w:lvlText w:val=""/>
      <w:lvlJc w:val="left"/>
    </w:lvl>
    <w:lvl w:ilvl="6" w:tplc="4276F66C">
      <w:numFmt w:val="decimal"/>
      <w:lvlText w:val=""/>
      <w:lvlJc w:val="left"/>
    </w:lvl>
    <w:lvl w:ilvl="7" w:tplc="1202357E">
      <w:numFmt w:val="decimal"/>
      <w:lvlText w:val=""/>
      <w:lvlJc w:val="left"/>
    </w:lvl>
    <w:lvl w:ilvl="8" w:tplc="B30C7EBC">
      <w:numFmt w:val="decimal"/>
      <w:lvlText w:val=""/>
      <w:lvlJc w:val="left"/>
    </w:lvl>
  </w:abstractNum>
  <w:abstractNum w:abstractNumId="1649" w15:restartNumberingAfterBreak="0">
    <w:nsid w:val="7F0954DF"/>
    <w:multiLevelType w:val="hybridMultilevel"/>
    <w:tmpl w:val="8A8814E6"/>
    <w:lvl w:ilvl="0" w:tplc="215E8096">
      <w:start w:val="1"/>
      <w:numFmt w:val="bullet"/>
      <w:lvlText w:val=""/>
      <w:lvlJc w:val="left"/>
      <w:pPr>
        <w:ind w:left="720" w:hanging="180"/>
      </w:pPr>
      <w:rPr>
        <w:rFonts w:ascii="Symbol" w:hAnsi="Symbol" w:hint="default"/>
      </w:rPr>
    </w:lvl>
    <w:lvl w:ilvl="1" w:tplc="676ABF6C">
      <w:numFmt w:val="decimal"/>
      <w:lvlText w:val=""/>
      <w:lvlJc w:val="left"/>
    </w:lvl>
    <w:lvl w:ilvl="2" w:tplc="4B6016E0">
      <w:numFmt w:val="decimal"/>
      <w:lvlText w:val=""/>
      <w:lvlJc w:val="left"/>
    </w:lvl>
    <w:lvl w:ilvl="3" w:tplc="F1D8A7EE">
      <w:numFmt w:val="decimal"/>
      <w:lvlText w:val=""/>
      <w:lvlJc w:val="left"/>
    </w:lvl>
    <w:lvl w:ilvl="4" w:tplc="D19849D4">
      <w:numFmt w:val="decimal"/>
      <w:lvlText w:val=""/>
      <w:lvlJc w:val="left"/>
    </w:lvl>
    <w:lvl w:ilvl="5" w:tplc="B164BF9C">
      <w:numFmt w:val="decimal"/>
      <w:lvlText w:val=""/>
      <w:lvlJc w:val="left"/>
    </w:lvl>
    <w:lvl w:ilvl="6" w:tplc="4B989060">
      <w:numFmt w:val="decimal"/>
      <w:lvlText w:val=""/>
      <w:lvlJc w:val="left"/>
    </w:lvl>
    <w:lvl w:ilvl="7" w:tplc="2BF478BC">
      <w:numFmt w:val="decimal"/>
      <w:lvlText w:val=""/>
      <w:lvlJc w:val="left"/>
    </w:lvl>
    <w:lvl w:ilvl="8" w:tplc="1F0C8070">
      <w:numFmt w:val="decimal"/>
      <w:lvlText w:val=""/>
      <w:lvlJc w:val="left"/>
    </w:lvl>
  </w:abstractNum>
  <w:abstractNum w:abstractNumId="1650" w15:restartNumberingAfterBreak="0">
    <w:nsid w:val="7F180F5A"/>
    <w:multiLevelType w:val="hybridMultilevel"/>
    <w:tmpl w:val="3C666D5A"/>
    <w:lvl w:ilvl="0" w:tplc="7CA8A562">
      <w:start w:val="1"/>
      <w:numFmt w:val="bullet"/>
      <w:lvlText w:val=""/>
      <w:lvlJc w:val="left"/>
      <w:pPr>
        <w:ind w:left="720" w:hanging="180"/>
      </w:pPr>
      <w:rPr>
        <w:rFonts w:ascii="Symbol" w:hAnsi="Symbol" w:hint="default"/>
      </w:rPr>
    </w:lvl>
    <w:lvl w:ilvl="1" w:tplc="24C84FCC">
      <w:numFmt w:val="decimal"/>
      <w:lvlText w:val=""/>
      <w:lvlJc w:val="left"/>
    </w:lvl>
    <w:lvl w:ilvl="2" w:tplc="9F7033D6">
      <w:numFmt w:val="decimal"/>
      <w:lvlText w:val=""/>
      <w:lvlJc w:val="left"/>
    </w:lvl>
    <w:lvl w:ilvl="3" w:tplc="23C485AC">
      <w:numFmt w:val="decimal"/>
      <w:lvlText w:val=""/>
      <w:lvlJc w:val="left"/>
    </w:lvl>
    <w:lvl w:ilvl="4" w:tplc="9A8C5E42">
      <w:numFmt w:val="decimal"/>
      <w:lvlText w:val=""/>
      <w:lvlJc w:val="left"/>
    </w:lvl>
    <w:lvl w:ilvl="5" w:tplc="665C5FC6">
      <w:numFmt w:val="decimal"/>
      <w:lvlText w:val=""/>
      <w:lvlJc w:val="left"/>
    </w:lvl>
    <w:lvl w:ilvl="6" w:tplc="BC2420AE">
      <w:numFmt w:val="decimal"/>
      <w:lvlText w:val=""/>
      <w:lvlJc w:val="left"/>
    </w:lvl>
    <w:lvl w:ilvl="7" w:tplc="33D85402">
      <w:numFmt w:val="decimal"/>
      <w:lvlText w:val=""/>
      <w:lvlJc w:val="left"/>
    </w:lvl>
    <w:lvl w:ilvl="8" w:tplc="34B20930">
      <w:numFmt w:val="decimal"/>
      <w:lvlText w:val=""/>
      <w:lvlJc w:val="left"/>
    </w:lvl>
  </w:abstractNum>
  <w:abstractNum w:abstractNumId="1651" w15:restartNumberingAfterBreak="0">
    <w:nsid w:val="7F3A2222"/>
    <w:multiLevelType w:val="hybridMultilevel"/>
    <w:tmpl w:val="330CBCD4"/>
    <w:lvl w:ilvl="0" w:tplc="A2B21D50">
      <w:start w:val="1"/>
      <w:numFmt w:val="bullet"/>
      <w:lvlText w:val=""/>
      <w:lvlJc w:val="left"/>
      <w:pPr>
        <w:ind w:left="720" w:hanging="180"/>
      </w:pPr>
      <w:rPr>
        <w:rFonts w:ascii="Symbol" w:hAnsi="Symbol" w:hint="default"/>
      </w:rPr>
    </w:lvl>
    <w:lvl w:ilvl="1" w:tplc="E82EE132">
      <w:numFmt w:val="decimal"/>
      <w:lvlText w:val=""/>
      <w:lvlJc w:val="left"/>
    </w:lvl>
    <w:lvl w:ilvl="2" w:tplc="E544F410">
      <w:numFmt w:val="decimal"/>
      <w:lvlText w:val=""/>
      <w:lvlJc w:val="left"/>
    </w:lvl>
    <w:lvl w:ilvl="3" w:tplc="AFDCFFA0">
      <w:numFmt w:val="decimal"/>
      <w:lvlText w:val=""/>
      <w:lvlJc w:val="left"/>
    </w:lvl>
    <w:lvl w:ilvl="4" w:tplc="665C52C2">
      <w:numFmt w:val="decimal"/>
      <w:lvlText w:val=""/>
      <w:lvlJc w:val="left"/>
    </w:lvl>
    <w:lvl w:ilvl="5" w:tplc="6026F5BA">
      <w:numFmt w:val="decimal"/>
      <w:lvlText w:val=""/>
      <w:lvlJc w:val="left"/>
    </w:lvl>
    <w:lvl w:ilvl="6" w:tplc="7A5ED0B2">
      <w:numFmt w:val="decimal"/>
      <w:lvlText w:val=""/>
      <w:lvlJc w:val="left"/>
    </w:lvl>
    <w:lvl w:ilvl="7" w:tplc="B9DCC3D0">
      <w:numFmt w:val="decimal"/>
      <w:lvlText w:val=""/>
      <w:lvlJc w:val="left"/>
    </w:lvl>
    <w:lvl w:ilvl="8" w:tplc="ABF8EB96">
      <w:numFmt w:val="decimal"/>
      <w:lvlText w:val=""/>
      <w:lvlJc w:val="left"/>
    </w:lvl>
  </w:abstractNum>
  <w:abstractNum w:abstractNumId="1652" w15:restartNumberingAfterBreak="0">
    <w:nsid w:val="7F780177"/>
    <w:multiLevelType w:val="hybridMultilevel"/>
    <w:tmpl w:val="C1CC6814"/>
    <w:lvl w:ilvl="0" w:tplc="34A2A55E">
      <w:start w:val="1"/>
      <w:numFmt w:val="bullet"/>
      <w:lvlText w:val=""/>
      <w:lvlJc w:val="left"/>
      <w:pPr>
        <w:ind w:left="720" w:hanging="180"/>
      </w:pPr>
      <w:rPr>
        <w:rFonts w:ascii="Symbol" w:hAnsi="Symbol" w:hint="default"/>
      </w:rPr>
    </w:lvl>
    <w:lvl w:ilvl="1" w:tplc="8A928C2E">
      <w:numFmt w:val="decimal"/>
      <w:lvlText w:val=""/>
      <w:lvlJc w:val="left"/>
    </w:lvl>
    <w:lvl w:ilvl="2" w:tplc="3F3EA712">
      <w:numFmt w:val="decimal"/>
      <w:lvlText w:val=""/>
      <w:lvlJc w:val="left"/>
    </w:lvl>
    <w:lvl w:ilvl="3" w:tplc="0818EE7A">
      <w:numFmt w:val="decimal"/>
      <w:lvlText w:val=""/>
      <w:lvlJc w:val="left"/>
    </w:lvl>
    <w:lvl w:ilvl="4" w:tplc="6B4CC170">
      <w:numFmt w:val="decimal"/>
      <w:lvlText w:val=""/>
      <w:lvlJc w:val="left"/>
    </w:lvl>
    <w:lvl w:ilvl="5" w:tplc="5D9493DA">
      <w:numFmt w:val="decimal"/>
      <w:lvlText w:val=""/>
      <w:lvlJc w:val="left"/>
    </w:lvl>
    <w:lvl w:ilvl="6" w:tplc="86C84728">
      <w:numFmt w:val="decimal"/>
      <w:lvlText w:val=""/>
      <w:lvlJc w:val="left"/>
    </w:lvl>
    <w:lvl w:ilvl="7" w:tplc="2C6C7670">
      <w:numFmt w:val="decimal"/>
      <w:lvlText w:val=""/>
      <w:lvlJc w:val="left"/>
    </w:lvl>
    <w:lvl w:ilvl="8" w:tplc="0D46880E">
      <w:numFmt w:val="decimal"/>
      <w:lvlText w:val=""/>
      <w:lvlJc w:val="left"/>
    </w:lvl>
  </w:abstractNum>
  <w:abstractNum w:abstractNumId="1653" w15:restartNumberingAfterBreak="0">
    <w:nsid w:val="7F7D3E4B"/>
    <w:multiLevelType w:val="hybridMultilevel"/>
    <w:tmpl w:val="0DF48AD8"/>
    <w:lvl w:ilvl="0" w:tplc="F79CA8DE">
      <w:start w:val="1"/>
      <w:numFmt w:val="bullet"/>
      <w:lvlText w:val=""/>
      <w:lvlJc w:val="left"/>
      <w:pPr>
        <w:ind w:left="720" w:hanging="180"/>
      </w:pPr>
      <w:rPr>
        <w:rFonts w:ascii="Symbol" w:hAnsi="Symbol" w:hint="default"/>
      </w:rPr>
    </w:lvl>
    <w:lvl w:ilvl="1" w:tplc="F5401C52">
      <w:numFmt w:val="decimal"/>
      <w:lvlText w:val=""/>
      <w:lvlJc w:val="left"/>
    </w:lvl>
    <w:lvl w:ilvl="2" w:tplc="B90C84E0">
      <w:numFmt w:val="decimal"/>
      <w:lvlText w:val=""/>
      <w:lvlJc w:val="left"/>
    </w:lvl>
    <w:lvl w:ilvl="3" w:tplc="1ED68362">
      <w:numFmt w:val="decimal"/>
      <w:lvlText w:val=""/>
      <w:lvlJc w:val="left"/>
    </w:lvl>
    <w:lvl w:ilvl="4" w:tplc="DB12BFEC">
      <w:numFmt w:val="decimal"/>
      <w:lvlText w:val=""/>
      <w:lvlJc w:val="left"/>
    </w:lvl>
    <w:lvl w:ilvl="5" w:tplc="52143AFE">
      <w:numFmt w:val="decimal"/>
      <w:lvlText w:val=""/>
      <w:lvlJc w:val="left"/>
    </w:lvl>
    <w:lvl w:ilvl="6" w:tplc="74EE41E0">
      <w:numFmt w:val="decimal"/>
      <w:lvlText w:val=""/>
      <w:lvlJc w:val="left"/>
    </w:lvl>
    <w:lvl w:ilvl="7" w:tplc="889643E2">
      <w:numFmt w:val="decimal"/>
      <w:lvlText w:val=""/>
      <w:lvlJc w:val="left"/>
    </w:lvl>
    <w:lvl w:ilvl="8" w:tplc="985C82DA">
      <w:numFmt w:val="decimal"/>
      <w:lvlText w:val=""/>
      <w:lvlJc w:val="left"/>
    </w:lvl>
  </w:abstractNum>
  <w:abstractNum w:abstractNumId="1654" w15:restartNumberingAfterBreak="0">
    <w:nsid w:val="7F885CF1"/>
    <w:multiLevelType w:val="hybridMultilevel"/>
    <w:tmpl w:val="A7FE2FDC"/>
    <w:lvl w:ilvl="0" w:tplc="7730C992">
      <w:start w:val="1"/>
      <w:numFmt w:val="bullet"/>
      <w:lvlText w:val=""/>
      <w:lvlJc w:val="left"/>
      <w:pPr>
        <w:ind w:left="720" w:hanging="180"/>
      </w:pPr>
      <w:rPr>
        <w:rFonts w:ascii="Symbol" w:hAnsi="Symbol" w:hint="default"/>
      </w:rPr>
    </w:lvl>
    <w:lvl w:ilvl="1" w:tplc="7512AFCE">
      <w:numFmt w:val="decimal"/>
      <w:lvlText w:val=""/>
      <w:lvlJc w:val="left"/>
    </w:lvl>
    <w:lvl w:ilvl="2" w:tplc="1D4A1DA2">
      <w:numFmt w:val="decimal"/>
      <w:lvlText w:val=""/>
      <w:lvlJc w:val="left"/>
    </w:lvl>
    <w:lvl w:ilvl="3" w:tplc="5874B8D0">
      <w:numFmt w:val="decimal"/>
      <w:lvlText w:val=""/>
      <w:lvlJc w:val="left"/>
    </w:lvl>
    <w:lvl w:ilvl="4" w:tplc="94ECAB8C">
      <w:numFmt w:val="decimal"/>
      <w:lvlText w:val=""/>
      <w:lvlJc w:val="left"/>
    </w:lvl>
    <w:lvl w:ilvl="5" w:tplc="A686E58C">
      <w:numFmt w:val="decimal"/>
      <w:lvlText w:val=""/>
      <w:lvlJc w:val="left"/>
    </w:lvl>
    <w:lvl w:ilvl="6" w:tplc="CA1E9E62">
      <w:numFmt w:val="decimal"/>
      <w:lvlText w:val=""/>
      <w:lvlJc w:val="left"/>
    </w:lvl>
    <w:lvl w:ilvl="7" w:tplc="8CC27B00">
      <w:numFmt w:val="decimal"/>
      <w:lvlText w:val=""/>
      <w:lvlJc w:val="left"/>
    </w:lvl>
    <w:lvl w:ilvl="8" w:tplc="1952DFE8">
      <w:numFmt w:val="decimal"/>
      <w:lvlText w:val=""/>
      <w:lvlJc w:val="left"/>
    </w:lvl>
  </w:abstractNum>
  <w:abstractNum w:abstractNumId="1655" w15:restartNumberingAfterBreak="0">
    <w:nsid w:val="7F967567"/>
    <w:multiLevelType w:val="hybridMultilevel"/>
    <w:tmpl w:val="7BD05A7A"/>
    <w:lvl w:ilvl="0" w:tplc="4F329E40">
      <w:start w:val="1"/>
      <w:numFmt w:val="bullet"/>
      <w:lvlText w:val=""/>
      <w:lvlJc w:val="left"/>
      <w:pPr>
        <w:ind w:left="720" w:hanging="180"/>
      </w:pPr>
      <w:rPr>
        <w:rFonts w:ascii="Symbol" w:hAnsi="Symbol" w:hint="default"/>
      </w:rPr>
    </w:lvl>
    <w:lvl w:ilvl="1" w:tplc="977C1D76">
      <w:numFmt w:val="decimal"/>
      <w:lvlText w:val=""/>
      <w:lvlJc w:val="left"/>
    </w:lvl>
    <w:lvl w:ilvl="2" w:tplc="7EFC25A6">
      <w:numFmt w:val="decimal"/>
      <w:lvlText w:val=""/>
      <w:lvlJc w:val="left"/>
    </w:lvl>
    <w:lvl w:ilvl="3" w:tplc="98B4AAE8">
      <w:numFmt w:val="decimal"/>
      <w:lvlText w:val=""/>
      <w:lvlJc w:val="left"/>
    </w:lvl>
    <w:lvl w:ilvl="4" w:tplc="387A3312">
      <w:numFmt w:val="decimal"/>
      <w:lvlText w:val=""/>
      <w:lvlJc w:val="left"/>
    </w:lvl>
    <w:lvl w:ilvl="5" w:tplc="91B42A98">
      <w:numFmt w:val="decimal"/>
      <w:lvlText w:val=""/>
      <w:lvlJc w:val="left"/>
    </w:lvl>
    <w:lvl w:ilvl="6" w:tplc="83B2B718">
      <w:numFmt w:val="decimal"/>
      <w:lvlText w:val=""/>
      <w:lvlJc w:val="left"/>
    </w:lvl>
    <w:lvl w:ilvl="7" w:tplc="B8D683BE">
      <w:numFmt w:val="decimal"/>
      <w:lvlText w:val=""/>
      <w:lvlJc w:val="left"/>
    </w:lvl>
    <w:lvl w:ilvl="8" w:tplc="871CB464">
      <w:numFmt w:val="decimal"/>
      <w:lvlText w:val=""/>
      <w:lvlJc w:val="left"/>
    </w:lvl>
  </w:abstractNum>
  <w:abstractNum w:abstractNumId="1656" w15:restartNumberingAfterBreak="0">
    <w:nsid w:val="7F9B4141"/>
    <w:multiLevelType w:val="hybridMultilevel"/>
    <w:tmpl w:val="3AD09C0C"/>
    <w:lvl w:ilvl="0" w:tplc="1C020380">
      <w:start w:val="1"/>
      <w:numFmt w:val="bullet"/>
      <w:lvlText w:val=""/>
      <w:lvlJc w:val="left"/>
      <w:pPr>
        <w:ind w:left="720" w:hanging="180"/>
      </w:pPr>
      <w:rPr>
        <w:rFonts w:ascii="Symbol" w:hAnsi="Symbol" w:hint="default"/>
      </w:rPr>
    </w:lvl>
    <w:lvl w:ilvl="1" w:tplc="A5EE0724">
      <w:numFmt w:val="decimal"/>
      <w:lvlText w:val=""/>
      <w:lvlJc w:val="left"/>
    </w:lvl>
    <w:lvl w:ilvl="2" w:tplc="49D871C0">
      <w:numFmt w:val="decimal"/>
      <w:lvlText w:val=""/>
      <w:lvlJc w:val="left"/>
    </w:lvl>
    <w:lvl w:ilvl="3" w:tplc="6F4E8612">
      <w:numFmt w:val="decimal"/>
      <w:lvlText w:val=""/>
      <w:lvlJc w:val="left"/>
    </w:lvl>
    <w:lvl w:ilvl="4" w:tplc="D4E04BF4">
      <w:numFmt w:val="decimal"/>
      <w:lvlText w:val=""/>
      <w:lvlJc w:val="left"/>
    </w:lvl>
    <w:lvl w:ilvl="5" w:tplc="44920158">
      <w:numFmt w:val="decimal"/>
      <w:lvlText w:val=""/>
      <w:lvlJc w:val="left"/>
    </w:lvl>
    <w:lvl w:ilvl="6" w:tplc="C7FECE7A">
      <w:numFmt w:val="decimal"/>
      <w:lvlText w:val=""/>
      <w:lvlJc w:val="left"/>
    </w:lvl>
    <w:lvl w:ilvl="7" w:tplc="D99CEA82">
      <w:numFmt w:val="decimal"/>
      <w:lvlText w:val=""/>
      <w:lvlJc w:val="left"/>
    </w:lvl>
    <w:lvl w:ilvl="8" w:tplc="25EA09CA">
      <w:numFmt w:val="decimal"/>
      <w:lvlText w:val=""/>
      <w:lvlJc w:val="left"/>
    </w:lvl>
  </w:abstractNum>
  <w:abstractNum w:abstractNumId="1657" w15:restartNumberingAfterBreak="0">
    <w:nsid w:val="7FC90C3F"/>
    <w:multiLevelType w:val="hybridMultilevel"/>
    <w:tmpl w:val="FB7C49AC"/>
    <w:lvl w:ilvl="0" w:tplc="D3840410">
      <w:start w:val="1"/>
      <w:numFmt w:val="bullet"/>
      <w:lvlText w:val=""/>
      <w:lvlJc w:val="left"/>
      <w:pPr>
        <w:ind w:left="720" w:hanging="180"/>
      </w:pPr>
      <w:rPr>
        <w:rFonts w:ascii="Symbol" w:hAnsi="Symbol" w:hint="default"/>
      </w:rPr>
    </w:lvl>
    <w:lvl w:ilvl="1" w:tplc="3368A810">
      <w:numFmt w:val="decimal"/>
      <w:lvlText w:val=""/>
      <w:lvlJc w:val="left"/>
    </w:lvl>
    <w:lvl w:ilvl="2" w:tplc="DD70CE8C">
      <w:numFmt w:val="decimal"/>
      <w:lvlText w:val=""/>
      <w:lvlJc w:val="left"/>
    </w:lvl>
    <w:lvl w:ilvl="3" w:tplc="8998FA6A">
      <w:numFmt w:val="decimal"/>
      <w:lvlText w:val=""/>
      <w:lvlJc w:val="left"/>
    </w:lvl>
    <w:lvl w:ilvl="4" w:tplc="49385628">
      <w:numFmt w:val="decimal"/>
      <w:lvlText w:val=""/>
      <w:lvlJc w:val="left"/>
    </w:lvl>
    <w:lvl w:ilvl="5" w:tplc="9F0E5C78">
      <w:numFmt w:val="decimal"/>
      <w:lvlText w:val=""/>
      <w:lvlJc w:val="left"/>
    </w:lvl>
    <w:lvl w:ilvl="6" w:tplc="EED03972">
      <w:numFmt w:val="decimal"/>
      <w:lvlText w:val=""/>
      <w:lvlJc w:val="left"/>
    </w:lvl>
    <w:lvl w:ilvl="7" w:tplc="15E8C774">
      <w:numFmt w:val="decimal"/>
      <w:lvlText w:val=""/>
      <w:lvlJc w:val="left"/>
    </w:lvl>
    <w:lvl w:ilvl="8" w:tplc="4A843286">
      <w:numFmt w:val="decimal"/>
      <w:lvlText w:val=""/>
      <w:lvlJc w:val="left"/>
    </w:lvl>
  </w:abstractNum>
  <w:abstractNum w:abstractNumId="1658" w15:restartNumberingAfterBreak="0">
    <w:nsid w:val="7FCC0042"/>
    <w:multiLevelType w:val="hybridMultilevel"/>
    <w:tmpl w:val="20B28E8A"/>
    <w:lvl w:ilvl="0" w:tplc="DCCAB458">
      <w:start w:val="1"/>
      <w:numFmt w:val="bullet"/>
      <w:lvlText w:val=""/>
      <w:lvlJc w:val="left"/>
      <w:pPr>
        <w:ind w:left="720" w:hanging="180"/>
      </w:pPr>
      <w:rPr>
        <w:rFonts w:ascii="Symbol" w:hAnsi="Symbol" w:hint="default"/>
      </w:rPr>
    </w:lvl>
    <w:lvl w:ilvl="1" w:tplc="3BEE9932">
      <w:numFmt w:val="decimal"/>
      <w:lvlText w:val=""/>
      <w:lvlJc w:val="left"/>
    </w:lvl>
    <w:lvl w:ilvl="2" w:tplc="99DE430E">
      <w:numFmt w:val="decimal"/>
      <w:lvlText w:val=""/>
      <w:lvlJc w:val="left"/>
    </w:lvl>
    <w:lvl w:ilvl="3" w:tplc="E88AA994">
      <w:numFmt w:val="decimal"/>
      <w:lvlText w:val=""/>
      <w:lvlJc w:val="left"/>
    </w:lvl>
    <w:lvl w:ilvl="4" w:tplc="223CBC96">
      <w:numFmt w:val="decimal"/>
      <w:lvlText w:val=""/>
      <w:lvlJc w:val="left"/>
    </w:lvl>
    <w:lvl w:ilvl="5" w:tplc="41CCBC20">
      <w:numFmt w:val="decimal"/>
      <w:lvlText w:val=""/>
      <w:lvlJc w:val="left"/>
    </w:lvl>
    <w:lvl w:ilvl="6" w:tplc="C3F2CE18">
      <w:numFmt w:val="decimal"/>
      <w:lvlText w:val=""/>
      <w:lvlJc w:val="left"/>
    </w:lvl>
    <w:lvl w:ilvl="7" w:tplc="1ACECBE0">
      <w:numFmt w:val="decimal"/>
      <w:lvlText w:val=""/>
      <w:lvlJc w:val="left"/>
    </w:lvl>
    <w:lvl w:ilvl="8" w:tplc="EC90D3CA">
      <w:numFmt w:val="decimal"/>
      <w:lvlText w:val=""/>
      <w:lvlJc w:val="left"/>
    </w:lvl>
  </w:abstractNum>
  <w:abstractNum w:abstractNumId="1659" w15:restartNumberingAfterBreak="0">
    <w:nsid w:val="7FEF40F9"/>
    <w:multiLevelType w:val="hybridMultilevel"/>
    <w:tmpl w:val="92DC8E7A"/>
    <w:lvl w:ilvl="0" w:tplc="51524D12">
      <w:numFmt w:val="decimal"/>
      <w:lvlText w:val=""/>
      <w:lvlJc w:val="left"/>
    </w:lvl>
    <w:lvl w:ilvl="1" w:tplc="F9DAED06">
      <w:start w:val="1"/>
      <w:numFmt w:val="bullet"/>
      <w:lvlText w:val=""/>
      <w:lvlJc w:val="left"/>
      <w:pPr>
        <w:ind w:left="1440" w:hanging="180"/>
      </w:pPr>
      <w:rPr>
        <w:rFonts w:ascii="Symbol" w:hAnsi="Symbol" w:hint="default"/>
      </w:rPr>
    </w:lvl>
    <w:lvl w:ilvl="2" w:tplc="8AA20D70">
      <w:numFmt w:val="decimal"/>
      <w:lvlText w:val=""/>
      <w:lvlJc w:val="left"/>
    </w:lvl>
    <w:lvl w:ilvl="3" w:tplc="C1AC8246">
      <w:numFmt w:val="decimal"/>
      <w:lvlText w:val=""/>
      <w:lvlJc w:val="left"/>
    </w:lvl>
    <w:lvl w:ilvl="4" w:tplc="6082B304">
      <w:numFmt w:val="decimal"/>
      <w:lvlText w:val=""/>
      <w:lvlJc w:val="left"/>
    </w:lvl>
    <w:lvl w:ilvl="5" w:tplc="10A0185E">
      <w:numFmt w:val="decimal"/>
      <w:lvlText w:val=""/>
      <w:lvlJc w:val="left"/>
    </w:lvl>
    <w:lvl w:ilvl="6" w:tplc="471C828A">
      <w:numFmt w:val="decimal"/>
      <w:lvlText w:val=""/>
      <w:lvlJc w:val="left"/>
    </w:lvl>
    <w:lvl w:ilvl="7" w:tplc="4F166078">
      <w:numFmt w:val="decimal"/>
      <w:lvlText w:val=""/>
      <w:lvlJc w:val="left"/>
    </w:lvl>
    <w:lvl w:ilvl="8" w:tplc="40C06836">
      <w:numFmt w:val="decimal"/>
      <w:lvlText w:val=""/>
      <w:lvlJc w:val="left"/>
    </w:lvl>
  </w:abstractNum>
  <w:abstractNum w:abstractNumId="1660" w15:restartNumberingAfterBreak="0">
    <w:nsid w:val="7FF35143"/>
    <w:multiLevelType w:val="hybridMultilevel"/>
    <w:tmpl w:val="9EAA48FA"/>
    <w:lvl w:ilvl="0" w:tplc="31BEC5F4">
      <w:start w:val="1"/>
      <w:numFmt w:val="bullet"/>
      <w:lvlText w:val=""/>
      <w:lvlJc w:val="left"/>
      <w:pPr>
        <w:ind w:left="720" w:hanging="180"/>
      </w:pPr>
      <w:rPr>
        <w:rFonts w:ascii="Symbol" w:hAnsi="Symbol" w:hint="default"/>
      </w:rPr>
    </w:lvl>
    <w:lvl w:ilvl="1" w:tplc="B016D940">
      <w:numFmt w:val="decimal"/>
      <w:lvlText w:val=""/>
      <w:lvlJc w:val="left"/>
    </w:lvl>
    <w:lvl w:ilvl="2" w:tplc="0144EECC">
      <w:numFmt w:val="decimal"/>
      <w:lvlText w:val=""/>
      <w:lvlJc w:val="left"/>
    </w:lvl>
    <w:lvl w:ilvl="3" w:tplc="C6AC421A">
      <w:numFmt w:val="decimal"/>
      <w:lvlText w:val=""/>
      <w:lvlJc w:val="left"/>
    </w:lvl>
    <w:lvl w:ilvl="4" w:tplc="6A3C1E18">
      <w:numFmt w:val="decimal"/>
      <w:lvlText w:val=""/>
      <w:lvlJc w:val="left"/>
    </w:lvl>
    <w:lvl w:ilvl="5" w:tplc="D00617C8">
      <w:numFmt w:val="decimal"/>
      <w:lvlText w:val=""/>
      <w:lvlJc w:val="left"/>
    </w:lvl>
    <w:lvl w:ilvl="6" w:tplc="CF1856C8">
      <w:numFmt w:val="decimal"/>
      <w:lvlText w:val=""/>
      <w:lvlJc w:val="left"/>
    </w:lvl>
    <w:lvl w:ilvl="7" w:tplc="AF5AB266">
      <w:numFmt w:val="decimal"/>
      <w:lvlText w:val=""/>
      <w:lvlJc w:val="left"/>
    </w:lvl>
    <w:lvl w:ilvl="8" w:tplc="6F0480F2">
      <w:numFmt w:val="decimal"/>
      <w:lvlText w:val=""/>
      <w:lvlJc w:val="left"/>
    </w:lvl>
  </w:abstractNum>
  <w:num w:numId="1" w16cid:durableId="1584991645">
    <w:abstractNumId w:val="1465"/>
  </w:num>
  <w:num w:numId="2" w16cid:durableId="105514906">
    <w:abstractNumId w:val="1155"/>
  </w:num>
  <w:num w:numId="3" w16cid:durableId="1695031252">
    <w:abstractNumId w:val="76"/>
  </w:num>
  <w:num w:numId="4" w16cid:durableId="376467124">
    <w:abstractNumId w:val="1235"/>
  </w:num>
  <w:num w:numId="5" w16cid:durableId="1302418502">
    <w:abstractNumId w:val="1237"/>
  </w:num>
  <w:num w:numId="6" w16cid:durableId="540553898">
    <w:abstractNumId w:val="1"/>
  </w:num>
  <w:num w:numId="7" w16cid:durableId="1114861649">
    <w:abstractNumId w:val="1654"/>
  </w:num>
  <w:num w:numId="8" w16cid:durableId="1233274139">
    <w:abstractNumId w:val="254"/>
  </w:num>
  <w:num w:numId="9" w16cid:durableId="1928615303">
    <w:abstractNumId w:val="1394"/>
  </w:num>
  <w:num w:numId="10" w16cid:durableId="1236744596">
    <w:abstractNumId w:val="1349"/>
  </w:num>
  <w:num w:numId="11" w16cid:durableId="1938250956">
    <w:abstractNumId w:val="690"/>
  </w:num>
  <w:num w:numId="12" w16cid:durableId="1211651419">
    <w:abstractNumId w:val="573"/>
  </w:num>
  <w:num w:numId="13" w16cid:durableId="426848344">
    <w:abstractNumId w:val="684"/>
  </w:num>
  <w:num w:numId="14" w16cid:durableId="1613510223">
    <w:abstractNumId w:val="1522"/>
  </w:num>
  <w:num w:numId="15" w16cid:durableId="1889603233">
    <w:abstractNumId w:val="372"/>
  </w:num>
  <w:num w:numId="16" w16cid:durableId="1626890791">
    <w:abstractNumId w:val="1071"/>
  </w:num>
  <w:num w:numId="17" w16cid:durableId="1403942909">
    <w:abstractNumId w:val="739"/>
  </w:num>
  <w:num w:numId="18" w16cid:durableId="1142652542">
    <w:abstractNumId w:val="94"/>
  </w:num>
  <w:num w:numId="19" w16cid:durableId="199587924">
    <w:abstractNumId w:val="737"/>
  </w:num>
  <w:num w:numId="20" w16cid:durableId="174270325">
    <w:abstractNumId w:val="152"/>
  </w:num>
  <w:num w:numId="21" w16cid:durableId="2060086915">
    <w:abstractNumId w:val="949"/>
  </w:num>
  <w:num w:numId="22" w16cid:durableId="949627907">
    <w:abstractNumId w:val="445"/>
  </w:num>
  <w:num w:numId="23" w16cid:durableId="1088619934">
    <w:abstractNumId w:val="447"/>
  </w:num>
  <w:num w:numId="24" w16cid:durableId="2078433425">
    <w:abstractNumId w:val="847"/>
  </w:num>
  <w:num w:numId="25" w16cid:durableId="1610815267">
    <w:abstractNumId w:val="149"/>
  </w:num>
  <w:num w:numId="26" w16cid:durableId="1312520835">
    <w:abstractNumId w:val="1491"/>
  </w:num>
  <w:num w:numId="27" w16cid:durableId="1874148298">
    <w:abstractNumId w:val="1525"/>
  </w:num>
  <w:num w:numId="28" w16cid:durableId="1126238627">
    <w:abstractNumId w:val="1080"/>
  </w:num>
  <w:num w:numId="29" w16cid:durableId="1481967442">
    <w:abstractNumId w:val="337"/>
  </w:num>
  <w:num w:numId="30" w16cid:durableId="1951083551">
    <w:abstractNumId w:val="678"/>
  </w:num>
  <w:num w:numId="31" w16cid:durableId="591741457">
    <w:abstractNumId w:val="1438"/>
  </w:num>
  <w:num w:numId="32" w16cid:durableId="921379453">
    <w:abstractNumId w:val="546"/>
  </w:num>
  <w:num w:numId="33" w16cid:durableId="1854609378">
    <w:abstractNumId w:val="917"/>
  </w:num>
  <w:num w:numId="34" w16cid:durableId="1805460716">
    <w:abstractNumId w:val="1242"/>
  </w:num>
  <w:num w:numId="35" w16cid:durableId="1241595346">
    <w:abstractNumId w:val="1432"/>
  </w:num>
  <w:num w:numId="36" w16cid:durableId="528296754">
    <w:abstractNumId w:val="1030"/>
  </w:num>
  <w:num w:numId="37" w16cid:durableId="2113434695">
    <w:abstractNumId w:val="606"/>
  </w:num>
  <w:num w:numId="38" w16cid:durableId="251017495">
    <w:abstractNumId w:val="1289"/>
  </w:num>
  <w:num w:numId="39" w16cid:durableId="934679140">
    <w:abstractNumId w:val="1151"/>
  </w:num>
  <w:num w:numId="40" w16cid:durableId="493030569">
    <w:abstractNumId w:val="503"/>
  </w:num>
  <w:num w:numId="41" w16cid:durableId="979116698">
    <w:abstractNumId w:val="1047"/>
  </w:num>
  <w:num w:numId="42" w16cid:durableId="1859470028">
    <w:abstractNumId w:val="1496"/>
  </w:num>
  <w:num w:numId="43" w16cid:durableId="1356466374">
    <w:abstractNumId w:val="200"/>
  </w:num>
  <w:num w:numId="44" w16cid:durableId="403338993">
    <w:abstractNumId w:val="1537"/>
  </w:num>
  <w:num w:numId="45" w16cid:durableId="2145350584">
    <w:abstractNumId w:val="686"/>
  </w:num>
  <w:num w:numId="46" w16cid:durableId="1250113817">
    <w:abstractNumId w:val="692"/>
  </w:num>
  <w:num w:numId="47" w16cid:durableId="1430537819">
    <w:abstractNumId w:val="544"/>
  </w:num>
  <w:num w:numId="48" w16cid:durableId="1085767609">
    <w:abstractNumId w:val="1091"/>
  </w:num>
  <w:num w:numId="49" w16cid:durableId="962420739">
    <w:abstractNumId w:val="11"/>
  </w:num>
  <w:num w:numId="50" w16cid:durableId="1238322053">
    <w:abstractNumId w:val="1052"/>
  </w:num>
  <w:num w:numId="51" w16cid:durableId="103155623">
    <w:abstractNumId w:val="504"/>
  </w:num>
  <w:num w:numId="52" w16cid:durableId="1827891895">
    <w:abstractNumId w:val="608"/>
  </w:num>
  <w:num w:numId="53" w16cid:durableId="682512328">
    <w:abstractNumId w:val="1058"/>
  </w:num>
  <w:num w:numId="54" w16cid:durableId="371005953">
    <w:abstractNumId w:val="1261"/>
  </w:num>
  <w:num w:numId="55" w16cid:durableId="2025130134">
    <w:abstractNumId w:val="1177"/>
  </w:num>
  <w:num w:numId="56" w16cid:durableId="2020351472">
    <w:abstractNumId w:val="753"/>
  </w:num>
  <w:num w:numId="57" w16cid:durableId="894049381">
    <w:abstractNumId w:val="1457"/>
  </w:num>
  <w:num w:numId="58" w16cid:durableId="918176465">
    <w:abstractNumId w:val="980"/>
  </w:num>
  <w:num w:numId="59" w16cid:durableId="981471638">
    <w:abstractNumId w:val="1114"/>
  </w:num>
  <w:num w:numId="60" w16cid:durableId="1428192086">
    <w:abstractNumId w:val="366"/>
  </w:num>
  <w:num w:numId="61" w16cid:durableId="1812988288">
    <w:abstractNumId w:val="1631"/>
  </w:num>
  <w:num w:numId="62" w16cid:durableId="62795973">
    <w:abstractNumId w:val="970"/>
  </w:num>
  <w:num w:numId="63" w16cid:durableId="538786627">
    <w:abstractNumId w:val="806"/>
  </w:num>
  <w:num w:numId="64" w16cid:durableId="35130013">
    <w:abstractNumId w:val="211"/>
  </w:num>
  <w:num w:numId="65" w16cid:durableId="210314248">
    <w:abstractNumId w:val="800"/>
  </w:num>
  <w:num w:numId="66" w16cid:durableId="1928685933">
    <w:abstractNumId w:val="885"/>
  </w:num>
  <w:num w:numId="67" w16cid:durableId="808938382">
    <w:abstractNumId w:val="131"/>
  </w:num>
  <w:num w:numId="68" w16cid:durableId="801848144">
    <w:abstractNumId w:val="1392"/>
  </w:num>
  <w:num w:numId="69" w16cid:durableId="1877228572">
    <w:abstractNumId w:val="723"/>
  </w:num>
  <w:num w:numId="70" w16cid:durableId="1959680524">
    <w:abstractNumId w:val="919"/>
  </w:num>
  <w:num w:numId="71" w16cid:durableId="1389380038">
    <w:abstractNumId w:val="1646"/>
  </w:num>
  <w:num w:numId="72" w16cid:durableId="36664479">
    <w:abstractNumId w:val="956"/>
  </w:num>
  <w:num w:numId="73" w16cid:durableId="84234763">
    <w:abstractNumId w:val="1446"/>
  </w:num>
  <w:num w:numId="74" w16cid:durableId="1313290558">
    <w:abstractNumId w:val="1073"/>
  </w:num>
  <w:num w:numId="75" w16cid:durableId="482894039">
    <w:abstractNumId w:val="1481"/>
  </w:num>
  <w:num w:numId="76" w16cid:durableId="97993332">
    <w:abstractNumId w:val="305"/>
  </w:num>
  <w:num w:numId="77" w16cid:durableId="1717506941">
    <w:abstractNumId w:val="848"/>
  </w:num>
  <w:num w:numId="78" w16cid:durableId="1162771188">
    <w:abstractNumId w:val="1422"/>
  </w:num>
  <w:num w:numId="79" w16cid:durableId="2019454725">
    <w:abstractNumId w:val="1166"/>
  </w:num>
  <w:num w:numId="80" w16cid:durableId="117183614">
    <w:abstractNumId w:val="749"/>
  </w:num>
  <w:num w:numId="81" w16cid:durableId="1706174233">
    <w:abstractNumId w:val="711"/>
  </w:num>
  <w:num w:numId="82" w16cid:durableId="596249989">
    <w:abstractNumId w:val="734"/>
  </w:num>
  <w:num w:numId="83" w16cid:durableId="97604856">
    <w:abstractNumId w:val="490"/>
  </w:num>
  <w:num w:numId="84" w16cid:durableId="1942641164">
    <w:abstractNumId w:val="973"/>
  </w:num>
  <w:num w:numId="85" w16cid:durableId="1656763844">
    <w:abstractNumId w:val="871"/>
  </w:num>
  <w:num w:numId="86" w16cid:durableId="1552841363">
    <w:abstractNumId w:val="60"/>
  </w:num>
  <w:num w:numId="87" w16cid:durableId="1308238704">
    <w:abstractNumId w:val="232"/>
  </w:num>
  <w:num w:numId="88" w16cid:durableId="834493607">
    <w:abstractNumId w:val="1325"/>
  </w:num>
  <w:num w:numId="89" w16cid:durableId="1987393535">
    <w:abstractNumId w:val="1178"/>
  </w:num>
  <w:num w:numId="90" w16cid:durableId="871574767">
    <w:abstractNumId w:val="1056"/>
  </w:num>
  <w:num w:numId="91" w16cid:durableId="1783961792">
    <w:abstractNumId w:val="70"/>
  </w:num>
  <w:num w:numId="92" w16cid:durableId="2105148161">
    <w:abstractNumId w:val="40"/>
  </w:num>
  <w:num w:numId="93" w16cid:durableId="747271313">
    <w:abstractNumId w:val="1145"/>
  </w:num>
  <w:num w:numId="94" w16cid:durableId="2004774630">
    <w:abstractNumId w:val="1140"/>
  </w:num>
  <w:num w:numId="95" w16cid:durableId="1495220500">
    <w:abstractNumId w:val="1084"/>
  </w:num>
  <w:num w:numId="96" w16cid:durableId="103624523">
    <w:abstractNumId w:val="1210"/>
  </w:num>
  <w:num w:numId="97" w16cid:durableId="1482499768">
    <w:abstractNumId w:val="899"/>
  </w:num>
  <w:num w:numId="98" w16cid:durableId="1339041056">
    <w:abstractNumId w:val="1404"/>
  </w:num>
  <w:num w:numId="99" w16cid:durableId="1134252854">
    <w:abstractNumId w:val="1153"/>
  </w:num>
  <w:num w:numId="100" w16cid:durableId="1576746179">
    <w:abstractNumId w:val="1517"/>
  </w:num>
  <w:num w:numId="101" w16cid:durableId="224874727">
    <w:abstractNumId w:val="726"/>
  </w:num>
  <w:num w:numId="102" w16cid:durableId="330332950">
    <w:abstractNumId w:val="1004"/>
  </w:num>
  <w:num w:numId="103" w16cid:durableId="283578135">
    <w:abstractNumId w:val="1259"/>
  </w:num>
  <w:num w:numId="104" w16cid:durableId="702365727">
    <w:abstractNumId w:val="488"/>
  </w:num>
  <w:num w:numId="105" w16cid:durableId="256014533">
    <w:abstractNumId w:val="9"/>
  </w:num>
  <w:num w:numId="106" w16cid:durableId="260992914">
    <w:abstractNumId w:val="276"/>
  </w:num>
  <w:num w:numId="107" w16cid:durableId="739715343">
    <w:abstractNumId w:val="1051"/>
  </w:num>
  <w:num w:numId="108" w16cid:durableId="1491554238">
    <w:abstractNumId w:val="1377"/>
  </w:num>
  <w:num w:numId="109" w16cid:durableId="1365979477">
    <w:abstractNumId w:val="1600"/>
  </w:num>
  <w:num w:numId="110" w16cid:durableId="713968678">
    <w:abstractNumId w:val="1635"/>
  </w:num>
  <w:num w:numId="111" w16cid:durableId="1396663802">
    <w:abstractNumId w:val="185"/>
  </w:num>
  <w:num w:numId="112" w16cid:durableId="1034116844">
    <w:abstractNumId w:val="1420"/>
  </w:num>
  <w:num w:numId="113" w16cid:durableId="1870488748">
    <w:abstractNumId w:val="1543"/>
  </w:num>
  <w:num w:numId="114" w16cid:durableId="1624845542">
    <w:abstractNumId w:val="1409"/>
  </w:num>
  <w:num w:numId="115" w16cid:durableId="2123331408">
    <w:abstractNumId w:val="468"/>
  </w:num>
  <w:num w:numId="116" w16cid:durableId="325549686">
    <w:abstractNumId w:val="1450"/>
  </w:num>
  <w:num w:numId="117" w16cid:durableId="353457392">
    <w:abstractNumId w:val="962"/>
  </w:num>
  <w:num w:numId="118" w16cid:durableId="1644850227">
    <w:abstractNumId w:val="1551"/>
  </w:num>
  <w:num w:numId="119" w16cid:durableId="2088915786">
    <w:abstractNumId w:val="575"/>
  </w:num>
  <w:num w:numId="120" w16cid:durableId="1059017595">
    <w:abstractNumId w:val="1048"/>
  </w:num>
  <w:num w:numId="121" w16cid:durableId="798764239">
    <w:abstractNumId w:val="110"/>
  </w:num>
  <w:num w:numId="122" w16cid:durableId="237062729">
    <w:abstractNumId w:val="1054"/>
  </w:num>
  <w:num w:numId="123" w16cid:durableId="1267814750">
    <w:abstractNumId w:val="1500"/>
  </w:num>
  <w:num w:numId="124" w16cid:durableId="987169062">
    <w:abstractNumId w:val="985"/>
  </w:num>
  <w:num w:numId="125" w16cid:durableId="649359128">
    <w:abstractNumId w:val="602"/>
  </w:num>
  <w:num w:numId="126" w16cid:durableId="429274875">
    <w:abstractNumId w:val="600"/>
  </w:num>
  <w:num w:numId="127" w16cid:durableId="2132284965">
    <w:abstractNumId w:val="1065"/>
  </w:num>
  <w:num w:numId="128" w16cid:durableId="1035429597">
    <w:abstractNumId w:val="314"/>
  </w:num>
  <w:num w:numId="129" w16cid:durableId="1617785873">
    <w:abstractNumId w:val="564"/>
  </w:num>
  <w:num w:numId="130" w16cid:durableId="948588944">
    <w:abstractNumId w:val="996"/>
  </w:num>
  <w:num w:numId="131" w16cid:durableId="2116052005">
    <w:abstractNumId w:val="300"/>
  </w:num>
  <w:num w:numId="132" w16cid:durableId="515192735">
    <w:abstractNumId w:val="716"/>
  </w:num>
  <w:num w:numId="133" w16cid:durableId="1941791299">
    <w:abstractNumId w:val="1230"/>
  </w:num>
  <w:num w:numId="134" w16cid:durableId="923416695">
    <w:abstractNumId w:val="1650"/>
  </w:num>
  <w:num w:numId="135" w16cid:durableId="158620731">
    <w:abstractNumId w:val="1510"/>
  </w:num>
  <w:num w:numId="136" w16cid:durableId="401828824">
    <w:abstractNumId w:val="145"/>
  </w:num>
  <w:num w:numId="137" w16cid:durableId="1645507971">
    <w:abstractNumId w:val="912"/>
  </w:num>
  <w:num w:numId="138" w16cid:durableId="1087314309">
    <w:abstractNumId w:val="1128"/>
  </w:num>
  <w:num w:numId="139" w16cid:durableId="1312365600">
    <w:abstractNumId w:val="1314"/>
  </w:num>
  <w:num w:numId="140" w16cid:durableId="1342927824">
    <w:abstractNumId w:val="78"/>
  </w:num>
  <w:num w:numId="141" w16cid:durableId="1180586759">
    <w:abstractNumId w:val="1059"/>
  </w:num>
  <w:num w:numId="142" w16cid:durableId="513494313">
    <w:abstractNumId w:val="114"/>
  </w:num>
  <w:num w:numId="143" w16cid:durableId="1683124687">
    <w:abstractNumId w:val="1619"/>
  </w:num>
  <w:num w:numId="144" w16cid:durableId="2022002275">
    <w:abstractNumId w:val="470"/>
  </w:num>
  <w:num w:numId="145" w16cid:durableId="1974405129">
    <w:abstractNumId w:val="1585"/>
  </w:num>
  <w:num w:numId="146" w16cid:durableId="1770537877">
    <w:abstractNumId w:val="402"/>
  </w:num>
  <w:num w:numId="147" w16cid:durableId="1900245743">
    <w:abstractNumId w:val="38"/>
  </w:num>
  <w:num w:numId="148" w16cid:durableId="831407371">
    <w:abstractNumId w:val="1357"/>
  </w:num>
  <w:num w:numId="149" w16cid:durableId="31611432">
    <w:abstractNumId w:val="1340"/>
  </w:num>
  <w:num w:numId="150" w16cid:durableId="2033217981">
    <w:abstractNumId w:val="1149"/>
  </w:num>
  <w:num w:numId="151" w16cid:durableId="41174122">
    <w:abstractNumId w:val="1611"/>
  </w:num>
  <w:num w:numId="152" w16cid:durableId="202720057">
    <w:abstractNumId w:val="1469"/>
  </w:num>
  <w:num w:numId="153" w16cid:durableId="1155410746">
    <w:abstractNumId w:val="517"/>
  </w:num>
  <w:num w:numId="154" w16cid:durableId="1522738481">
    <w:abstractNumId w:val="426"/>
  </w:num>
  <w:num w:numId="155" w16cid:durableId="20403578">
    <w:abstractNumId w:val="967"/>
  </w:num>
  <w:num w:numId="156" w16cid:durableId="1864203346">
    <w:abstractNumId w:val="1370"/>
  </w:num>
  <w:num w:numId="157" w16cid:durableId="819614114">
    <w:abstractNumId w:val="0"/>
  </w:num>
  <w:num w:numId="158" w16cid:durableId="1027560804">
    <w:abstractNumId w:val="274"/>
  </w:num>
  <w:num w:numId="159" w16cid:durableId="2005353809">
    <w:abstractNumId w:val="748"/>
  </w:num>
  <w:num w:numId="160" w16cid:durableId="1495685978">
    <w:abstractNumId w:val="911"/>
  </w:num>
  <w:num w:numId="161" w16cid:durableId="1549999071">
    <w:abstractNumId w:val="386"/>
  </w:num>
  <w:num w:numId="162" w16cid:durableId="1441803169">
    <w:abstractNumId w:val="186"/>
  </w:num>
  <w:num w:numId="163" w16cid:durableId="564681961">
    <w:abstractNumId w:val="1143"/>
  </w:num>
  <w:num w:numId="164" w16cid:durableId="947080866">
    <w:abstractNumId w:val="1243"/>
  </w:num>
  <w:num w:numId="165" w16cid:durableId="894268939">
    <w:abstractNumId w:val="473"/>
  </w:num>
  <w:num w:numId="166" w16cid:durableId="1838032704">
    <w:abstractNumId w:val="359"/>
  </w:num>
  <w:num w:numId="167" w16cid:durableId="1111124583">
    <w:abstractNumId w:val="665"/>
  </w:num>
  <w:num w:numId="168" w16cid:durableId="732192070">
    <w:abstractNumId w:val="591"/>
  </w:num>
  <w:num w:numId="169" w16cid:durableId="820730357">
    <w:abstractNumId w:val="1318"/>
  </w:num>
  <w:num w:numId="170" w16cid:durableId="1269195988">
    <w:abstractNumId w:val="1199"/>
  </w:num>
  <w:num w:numId="171" w16cid:durableId="1566258277">
    <w:abstractNumId w:val="1331"/>
  </w:num>
  <w:num w:numId="172" w16cid:durableId="2092964033">
    <w:abstractNumId w:val="1033"/>
  </w:num>
  <w:num w:numId="173" w16cid:durableId="1407069336">
    <w:abstractNumId w:val="802"/>
  </w:num>
  <w:num w:numId="174" w16cid:durableId="974915876">
    <w:abstractNumId w:val="56"/>
  </w:num>
  <w:num w:numId="175" w16cid:durableId="297146297">
    <w:abstractNumId w:val="63"/>
  </w:num>
  <w:num w:numId="176" w16cid:durableId="204567123">
    <w:abstractNumId w:val="1215"/>
  </w:num>
  <w:num w:numId="177" w16cid:durableId="2135556445">
    <w:abstractNumId w:val="822"/>
  </w:num>
  <w:num w:numId="178" w16cid:durableId="1814638920">
    <w:abstractNumId w:val="1126"/>
  </w:num>
  <w:num w:numId="179" w16cid:durableId="385878015">
    <w:abstractNumId w:val="531"/>
  </w:num>
  <w:num w:numId="180" w16cid:durableId="1925992880">
    <w:abstractNumId w:val="1182"/>
  </w:num>
  <w:num w:numId="181" w16cid:durableId="594216072">
    <w:abstractNumId w:val="263"/>
  </w:num>
  <w:num w:numId="182" w16cid:durableId="1220169759">
    <w:abstractNumId w:val="1534"/>
  </w:num>
  <w:num w:numId="183" w16cid:durableId="1393311777">
    <w:abstractNumId w:val="121"/>
  </w:num>
  <w:num w:numId="184" w16cid:durableId="1799955401">
    <w:abstractNumId w:val="377"/>
  </w:num>
  <w:num w:numId="185" w16cid:durableId="2031758609">
    <w:abstractNumId w:val="986"/>
  </w:num>
  <w:num w:numId="186" w16cid:durableId="224150216">
    <w:abstractNumId w:val="195"/>
  </w:num>
  <w:num w:numId="187" w16cid:durableId="1954939456">
    <w:abstractNumId w:val="1130"/>
  </w:num>
  <w:num w:numId="188" w16cid:durableId="522013158">
    <w:abstractNumId w:val="1248"/>
  </w:num>
  <w:num w:numId="189" w16cid:durableId="1542549506">
    <w:abstractNumId w:val="668"/>
  </w:num>
  <w:num w:numId="190" w16cid:durableId="1359115030">
    <w:abstractNumId w:val="338"/>
  </w:num>
  <w:num w:numId="191" w16cid:durableId="1865559690">
    <w:abstractNumId w:val="1486"/>
  </w:num>
  <w:num w:numId="192" w16cid:durableId="1896576209">
    <w:abstractNumId w:val="500"/>
  </w:num>
  <w:num w:numId="193" w16cid:durableId="268976996">
    <w:abstractNumId w:val="707"/>
  </w:num>
  <w:num w:numId="194" w16cid:durableId="785348027">
    <w:abstractNumId w:val="1530"/>
  </w:num>
  <w:num w:numId="195" w16cid:durableId="559289402">
    <w:abstractNumId w:val="307"/>
  </w:num>
  <w:num w:numId="196" w16cid:durableId="1934390629">
    <w:abstractNumId w:val="613"/>
  </w:num>
  <w:num w:numId="197" w16cid:durableId="1684933524">
    <w:abstractNumId w:val="1064"/>
  </w:num>
  <w:num w:numId="198" w16cid:durableId="556941440">
    <w:abstractNumId w:val="454"/>
  </w:num>
  <w:num w:numId="199" w16cid:durableId="1364986911">
    <w:abstractNumId w:val="830"/>
  </w:num>
  <w:num w:numId="200" w16cid:durableId="845172758">
    <w:abstractNumId w:val="930"/>
  </w:num>
  <w:num w:numId="201" w16cid:durableId="2043748285">
    <w:abstractNumId w:val="1333"/>
  </w:num>
  <w:num w:numId="202" w16cid:durableId="2114351806">
    <w:abstractNumId w:val="1656"/>
  </w:num>
  <w:num w:numId="203" w16cid:durableId="1478565752">
    <w:abstractNumId w:val="607"/>
  </w:num>
  <w:num w:numId="204" w16cid:durableId="1256093285">
    <w:abstractNumId w:val="1095"/>
  </w:num>
  <w:num w:numId="205" w16cid:durableId="443577769">
    <w:abstractNumId w:val="1620"/>
  </w:num>
  <w:num w:numId="206" w16cid:durableId="1772050446">
    <w:abstractNumId w:val="339"/>
  </w:num>
  <w:num w:numId="207" w16cid:durableId="2144106702">
    <w:abstractNumId w:val="113"/>
  </w:num>
  <w:num w:numId="208" w16cid:durableId="1576667617">
    <w:abstractNumId w:val="1094"/>
  </w:num>
  <w:num w:numId="209" w16cid:durableId="1648776747">
    <w:abstractNumId w:val="97"/>
  </w:num>
  <w:num w:numId="210" w16cid:durableId="282537420">
    <w:abstractNumId w:val="709"/>
  </w:num>
  <w:num w:numId="211" w16cid:durableId="356540847">
    <w:abstractNumId w:val="71"/>
  </w:num>
  <w:num w:numId="212" w16cid:durableId="2142140785">
    <w:abstractNumId w:val="1133"/>
  </w:num>
  <w:num w:numId="213" w16cid:durableId="389043044">
    <w:abstractNumId w:val="667"/>
  </w:num>
  <w:num w:numId="214" w16cid:durableId="1753698991">
    <w:abstractNumId w:val="571"/>
  </w:num>
  <w:num w:numId="215" w16cid:durableId="1900095509">
    <w:abstractNumId w:val="292"/>
  </w:num>
  <w:num w:numId="216" w16cid:durableId="2076393093">
    <w:abstractNumId w:val="1034"/>
  </w:num>
  <w:num w:numId="217" w16cid:durableId="1526093905">
    <w:abstractNumId w:val="150"/>
  </w:num>
  <w:num w:numId="218" w16cid:durableId="866872992">
    <w:abstractNumId w:val="1107"/>
  </w:num>
  <w:num w:numId="219" w16cid:durableId="1727340982">
    <w:abstractNumId w:val="1599"/>
  </w:num>
  <w:num w:numId="220" w16cid:durableId="2026635582">
    <w:abstractNumId w:val="1592"/>
  </w:num>
  <w:num w:numId="221" w16cid:durableId="746852211">
    <w:abstractNumId w:val="1501"/>
  </w:num>
  <w:num w:numId="222" w16cid:durableId="1035499699">
    <w:abstractNumId w:val="1511"/>
  </w:num>
  <w:num w:numId="223" w16cid:durableId="963077228">
    <w:abstractNumId w:val="1560"/>
  </w:num>
  <w:num w:numId="224" w16cid:durableId="172304943">
    <w:abstractNumId w:val="868"/>
  </w:num>
  <w:num w:numId="225" w16cid:durableId="808595679">
    <w:abstractNumId w:val="1207"/>
  </w:num>
  <w:num w:numId="226" w16cid:durableId="103766927">
    <w:abstractNumId w:val="1634"/>
  </w:num>
  <w:num w:numId="227" w16cid:durableId="963773388">
    <w:abstractNumId w:val="1563"/>
  </w:num>
  <w:num w:numId="228" w16cid:durableId="1481002314">
    <w:abstractNumId w:val="476"/>
  </w:num>
  <w:num w:numId="229" w16cid:durableId="763845155">
    <w:abstractNumId w:val="950"/>
  </w:num>
  <w:num w:numId="230" w16cid:durableId="452603534">
    <w:abstractNumId w:val="861"/>
  </w:num>
  <w:num w:numId="231" w16cid:durableId="1650134897">
    <w:abstractNumId w:val="1342"/>
  </w:num>
  <w:num w:numId="232" w16cid:durableId="629479733">
    <w:abstractNumId w:val="935"/>
  </w:num>
  <w:num w:numId="233" w16cid:durableId="550000726">
    <w:abstractNumId w:val="1451"/>
  </w:num>
  <w:num w:numId="234" w16cid:durableId="1596748656">
    <w:abstractNumId w:val="398"/>
  </w:num>
  <w:num w:numId="235" w16cid:durableId="116028168">
    <w:abstractNumId w:val="710"/>
  </w:num>
  <w:num w:numId="236" w16cid:durableId="1046104168">
    <w:abstractNumId w:val="1655"/>
  </w:num>
  <w:num w:numId="237" w16cid:durableId="11760769">
    <w:abstractNumId w:val="1506"/>
  </w:num>
  <w:num w:numId="238" w16cid:durableId="269237473">
    <w:abstractNumId w:val="775"/>
  </w:num>
  <w:num w:numId="239" w16cid:durableId="313215738">
    <w:abstractNumId w:val="291"/>
  </w:num>
  <w:num w:numId="240" w16cid:durableId="825630414">
    <w:abstractNumId w:val="136"/>
  </w:num>
  <w:num w:numId="241" w16cid:durableId="1293439829">
    <w:abstractNumId w:val="756"/>
  </w:num>
  <w:num w:numId="242" w16cid:durableId="1188131408">
    <w:abstractNumId w:val="230"/>
  </w:num>
  <w:num w:numId="243" w16cid:durableId="1028481319">
    <w:abstractNumId w:val="192"/>
  </w:num>
  <w:num w:numId="244" w16cid:durableId="1098526468">
    <w:abstractNumId w:val="1591"/>
  </w:num>
  <w:num w:numId="245" w16cid:durableId="503787975">
    <w:abstractNumId w:val="578"/>
  </w:num>
  <w:num w:numId="246" w16cid:durableId="1101923013">
    <w:abstractNumId w:val="176"/>
  </w:num>
  <w:num w:numId="247" w16cid:durableId="1387071379">
    <w:abstractNumId w:val="1376"/>
  </w:num>
  <w:num w:numId="248" w16cid:durableId="2141485832">
    <w:abstractNumId w:val="1390"/>
  </w:num>
  <w:num w:numId="249" w16cid:durableId="129789117">
    <w:abstractNumId w:val="79"/>
  </w:num>
  <w:num w:numId="250" w16cid:durableId="201095988">
    <w:abstractNumId w:val="1630"/>
  </w:num>
  <w:num w:numId="251" w16cid:durableId="1917013635">
    <w:abstractNumId w:val="1148"/>
  </w:num>
  <w:num w:numId="252" w16cid:durableId="640034529">
    <w:abstractNumId w:val="1477"/>
  </w:num>
  <w:num w:numId="253" w16cid:durableId="109857464">
    <w:abstractNumId w:val="334"/>
  </w:num>
  <w:num w:numId="254" w16cid:durableId="1426926515">
    <w:abstractNumId w:val="409"/>
  </w:num>
  <w:num w:numId="255" w16cid:durableId="1312827702">
    <w:abstractNumId w:val="627"/>
  </w:num>
  <w:num w:numId="256" w16cid:durableId="399793224">
    <w:abstractNumId w:val="1311"/>
  </w:num>
  <w:num w:numId="257" w16cid:durableId="701785492">
    <w:abstractNumId w:val="596"/>
  </w:num>
  <w:num w:numId="258" w16cid:durableId="979573466">
    <w:abstractNumId w:val="1540"/>
  </w:num>
  <w:num w:numId="259" w16cid:durableId="571891028">
    <w:abstractNumId w:val="363"/>
  </w:num>
  <w:num w:numId="260" w16cid:durableId="987128774">
    <w:abstractNumId w:val="435"/>
  </w:num>
  <w:num w:numId="261" w16cid:durableId="1008097548">
    <w:abstractNumId w:val="401"/>
  </w:num>
  <w:num w:numId="262" w16cid:durableId="55662805">
    <w:abstractNumId w:val="519"/>
  </w:num>
  <w:num w:numId="263" w16cid:durableId="1875070549">
    <w:abstractNumId w:val="656"/>
  </w:num>
  <w:num w:numId="264" w16cid:durableId="2006205221">
    <w:abstractNumId w:val="1474"/>
  </w:num>
  <w:num w:numId="265" w16cid:durableId="2043674897">
    <w:abstractNumId w:val="683"/>
  </w:num>
  <w:num w:numId="266" w16cid:durableId="1113091222">
    <w:abstractNumId w:val="685"/>
  </w:num>
  <w:num w:numId="267" w16cid:durableId="1899129189">
    <w:abstractNumId w:val="1381"/>
  </w:num>
  <w:num w:numId="268" w16cid:durableId="1107895186">
    <w:abstractNumId w:val="189"/>
  </w:num>
  <w:num w:numId="269" w16cid:durableId="2032804354">
    <w:abstractNumId w:val="621"/>
  </w:num>
  <w:num w:numId="270" w16cid:durableId="552547612">
    <w:abstractNumId w:val="67"/>
  </w:num>
  <w:num w:numId="271" w16cid:durableId="1612278819">
    <w:abstractNumId w:val="52"/>
  </w:num>
  <w:num w:numId="272" w16cid:durableId="1723097969">
    <w:abstractNumId w:val="736"/>
  </w:num>
  <w:num w:numId="273" w16cid:durableId="1804274908">
    <w:abstractNumId w:val="743"/>
  </w:num>
  <w:num w:numId="274" w16cid:durableId="702945876">
    <w:abstractNumId w:val="124"/>
  </w:num>
  <w:num w:numId="275" w16cid:durableId="525024935">
    <w:abstractNumId w:val="309"/>
  </w:num>
  <w:num w:numId="276" w16cid:durableId="296374945">
    <w:abstractNumId w:val="1483"/>
  </w:num>
  <w:num w:numId="277" w16cid:durableId="1345403786">
    <w:abstractNumId w:val="625"/>
  </w:num>
  <w:num w:numId="278" w16cid:durableId="1574659207">
    <w:abstractNumId w:val="1099"/>
  </w:num>
  <w:num w:numId="279" w16cid:durableId="1424454333">
    <w:abstractNumId w:val="231"/>
  </w:num>
  <w:num w:numId="280" w16cid:durableId="1546872626">
    <w:abstractNumId w:val="1572"/>
  </w:num>
  <w:num w:numId="281" w16cid:durableId="1638294357">
    <w:abstractNumId w:val="811"/>
  </w:num>
  <w:num w:numId="282" w16cid:durableId="1938519578">
    <w:abstractNumId w:val="99"/>
  </w:num>
  <w:num w:numId="283" w16cid:durableId="1971326393">
    <w:abstractNumId w:val="539"/>
  </w:num>
  <w:num w:numId="284" w16cid:durableId="608852509">
    <w:abstractNumId w:val="343"/>
  </w:num>
  <w:num w:numId="285" w16cid:durableId="460265847">
    <w:abstractNumId w:val="362"/>
  </w:num>
  <w:num w:numId="286" w16cid:durableId="832066668">
    <w:abstractNumId w:val="1412"/>
  </w:num>
  <w:num w:numId="287" w16cid:durableId="1562979346">
    <w:abstractNumId w:val="1305"/>
  </w:num>
  <w:num w:numId="288" w16cid:durableId="206454238">
    <w:abstractNumId w:val="1062"/>
  </w:num>
  <w:num w:numId="289" w16cid:durableId="1682467909">
    <w:abstractNumId w:val="1019"/>
  </w:num>
  <w:num w:numId="290" w16cid:durableId="1332676957">
    <w:abstractNumId w:val="1194"/>
  </w:num>
  <w:num w:numId="291" w16cid:durableId="1079057898">
    <w:abstractNumId w:val="812"/>
  </w:num>
  <w:num w:numId="292" w16cid:durableId="1294991685">
    <w:abstractNumId w:val="479"/>
  </w:num>
  <w:num w:numId="293" w16cid:durableId="2010400028">
    <w:abstractNumId w:val="584"/>
  </w:num>
  <w:num w:numId="294" w16cid:durableId="1978799554">
    <w:abstractNumId w:val="1180"/>
  </w:num>
  <w:num w:numId="295" w16cid:durableId="1162739877">
    <w:abstractNumId w:val="1566"/>
  </w:num>
  <w:num w:numId="296" w16cid:durableId="2055034456">
    <w:abstractNumId w:val="465"/>
  </w:num>
  <w:num w:numId="297" w16cid:durableId="411779950">
    <w:abstractNumId w:val="122"/>
  </w:num>
  <w:num w:numId="298" w16cid:durableId="319965501">
    <w:abstractNumId w:val="201"/>
  </w:num>
  <w:num w:numId="299" w16cid:durableId="768165030">
    <w:abstractNumId w:val="895"/>
  </w:num>
  <w:num w:numId="300" w16cid:durableId="1249656802">
    <w:abstractNumId w:val="640"/>
  </w:num>
  <w:num w:numId="301" w16cid:durableId="742412356">
    <w:abstractNumId w:val="1089"/>
  </w:num>
  <w:num w:numId="302" w16cid:durableId="1096749349">
    <w:abstractNumId w:val="729"/>
  </w:num>
  <w:num w:numId="303" w16cid:durableId="1202283538">
    <w:abstractNumId w:val="251"/>
  </w:num>
  <w:num w:numId="304" w16cid:durableId="592712733">
    <w:abstractNumId w:val="247"/>
  </w:num>
  <w:num w:numId="305" w16cid:durableId="882906689">
    <w:abstractNumId w:val="1127"/>
  </w:num>
  <w:num w:numId="306" w16cid:durableId="1273897898">
    <w:abstractNumId w:val="1608"/>
  </w:num>
  <w:num w:numId="307" w16cid:durableId="2081707560">
    <w:abstractNumId w:val="1554"/>
  </w:num>
  <w:num w:numId="308" w16cid:durableId="23212940">
    <w:abstractNumId w:val="151"/>
  </w:num>
  <w:num w:numId="309" w16cid:durableId="1218860355">
    <w:abstractNumId w:val="730"/>
  </w:num>
  <w:num w:numId="310" w16cid:durableId="408233574">
    <w:abstractNumId w:val="856"/>
  </w:num>
  <w:num w:numId="311" w16cid:durableId="2097048973">
    <w:abstractNumId w:val="4"/>
  </w:num>
  <w:num w:numId="312" w16cid:durableId="739710880">
    <w:abstractNumId w:val="793"/>
  </w:num>
  <w:num w:numId="313" w16cid:durableId="990986808">
    <w:abstractNumId w:val="1362"/>
  </w:num>
  <w:num w:numId="314" w16cid:durableId="1257326999">
    <w:abstractNumId w:val="842"/>
  </w:num>
  <w:num w:numId="315" w16cid:durableId="716389868">
    <w:abstractNumId w:val="657"/>
  </w:num>
  <w:num w:numId="316" w16cid:durableId="508521267">
    <w:abstractNumId w:val="424"/>
  </w:num>
  <w:num w:numId="317" w16cid:durableId="2020890942">
    <w:abstractNumId w:val="166"/>
  </w:num>
  <w:num w:numId="318" w16cid:durableId="1807352706">
    <w:abstractNumId w:val="1167"/>
  </w:num>
  <w:num w:numId="319" w16cid:durableId="1787456738">
    <w:abstractNumId w:val="638"/>
  </w:num>
  <w:num w:numId="320" w16cid:durableId="74597612">
    <w:abstractNumId w:val="184"/>
  </w:num>
  <w:num w:numId="321" w16cid:durableId="447701451">
    <w:abstractNumId w:val="475"/>
  </w:num>
  <w:num w:numId="322" w16cid:durableId="1837188989">
    <w:abstractNumId w:val="1546"/>
  </w:num>
  <w:num w:numId="323" w16cid:durableId="2003118451">
    <w:abstractNumId w:val="6"/>
  </w:num>
  <w:num w:numId="324" w16cid:durableId="592712573">
    <w:abstractNumId w:val="1625"/>
  </w:num>
  <w:num w:numId="325" w16cid:durableId="870454137">
    <w:abstractNumId w:val="963"/>
  </w:num>
  <w:num w:numId="326" w16cid:durableId="148643718">
    <w:abstractNumId w:val="90"/>
  </w:num>
  <w:num w:numId="327" w16cid:durableId="2111927561">
    <w:abstractNumId w:val="80"/>
  </w:num>
  <w:num w:numId="328" w16cid:durableId="1080057319">
    <w:abstractNumId w:val="594"/>
  </w:num>
  <w:num w:numId="329" w16cid:durableId="188566937">
    <w:abstractNumId w:val="342"/>
  </w:num>
  <w:num w:numId="330" w16cid:durableId="1612780312">
    <w:abstractNumId w:val="953"/>
  </w:num>
  <w:num w:numId="331" w16cid:durableId="1887178999">
    <w:abstractNumId w:val="888"/>
  </w:num>
  <w:num w:numId="332" w16cid:durableId="334919164">
    <w:abstractNumId w:val="390"/>
  </w:num>
  <w:num w:numId="333" w16cid:durableId="1060400183">
    <w:abstractNumId w:val="427"/>
  </w:num>
  <w:num w:numId="334" w16cid:durableId="1424916417">
    <w:abstractNumId w:val="1271"/>
  </w:num>
  <w:num w:numId="335" w16cid:durableId="2076970953">
    <w:abstractNumId w:val="590"/>
  </w:num>
  <w:num w:numId="336" w16cid:durableId="1322807215">
    <w:abstractNumId w:val="1118"/>
  </w:num>
  <w:num w:numId="337" w16cid:durableId="1707102371">
    <w:abstractNumId w:val="1448"/>
  </w:num>
  <w:num w:numId="338" w16cid:durableId="194126512">
    <w:abstractNumId w:val="1423"/>
  </w:num>
  <w:num w:numId="339" w16cid:durableId="1050766538">
    <w:abstractNumId w:val="1659"/>
  </w:num>
  <w:num w:numId="340" w16cid:durableId="620957781">
    <w:abstractNumId w:val="1000"/>
  </w:num>
  <w:num w:numId="341" w16cid:durableId="1397431491">
    <w:abstractNumId w:val="1016"/>
  </w:num>
  <w:num w:numId="342" w16cid:durableId="2144035048">
    <w:abstractNumId w:val="1236"/>
  </w:num>
  <w:num w:numId="343" w16cid:durableId="1547519863">
    <w:abstractNumId w:val="252"/>
  </w:num>
  <w:num w:numId="344" w16cid:durableId="1151630012">
    <w:abstractNumId w:val="1014"/>
  </w:num>
  <w:num w:numId="345" w16cid:durableId="1412893138">
    <w:abstractNumId w:val="1263"/>
  </w:num>
  <w:num w:numId="346" w16cid:durableId="467287247">
    <w:abstractNumId w:val="1119"/>
  </w:num>
  <w:num w:numId="347" w16cid:durableId="159396991">
    <w:abstractNumId w:val="170"/>
  </w:num>
  <w:num w:numId="348" w16cid:durableId="1175610277">
    <w:abstractNumId w:val="779"/>
  </w:num>
  <w:num w:numId="349" w16cid:durableId="53508977">
    <w:abstractNumId w:val="876"/>
  </w:num>
  <w:num w:numId="350" w16cid:durableId="2072577431">
    <w:abstractNumId w:val="1266"/>
  </w:num>
  <w:num w:numId="351" w16cid:durableId="1314214802">
    <w:abstractNumId w:val="1503"/>
  </w:num>
  <w:num w:numId="352" w16cid:durableId="1917125538">
    <w:abstractNumId w:val="823"/>
  </w:num>
  <w:num w:numId="353" w16cid:durableId="943196897">
    <w:abstractNumId w:val="132"/>
  </w:num>
  <w:num w:numId="354" w16cid:durableId="528761183">
    <w:abstractNumId w:val="1337"/>
  </w:num>
  <w:num w:numId="355" w16cid:durableId="254285828">
    <w:abstractNumId w:val="1082"/>
  </w:num>
  <w:num w:numId="356" w16cid:durableId="1260790920">
    <w:abstractNumId w:val="139"/>
  </w:num>
  <w:num w:numId="357" w16cid:durableId="2027362757">
    <w:abstractNumId w:val="892"/>
  </w:num>
  <w:num w:numId="358" w16cid:durableId="1593733450">
    <w:abstractNumId w:val="1291"/>
  </w:num>
  <w:num w:numId="359" w16cid:durableId="951090588">
    <w:abstractNumId w:val="894"/>
  </w:num>
  <w:num w:numId="360" w16cid:durableId="204174355">
    <w:abstractNumId w:val="141"/>
  </w:num>
  <w:num w:numId="361" w16cid:durableId="1634752800">
    <w:abstractNumId w:val="154"/>
  </w:num>
  <w:num w:numId="362" w16cid:durableId="498472413">
    <w:abstractNumId w:val="1434"/>
  </w:num>
  <w:num w:numId="363" w16cid:durableId="12465265">
    <w:abstractNumId w:val="88"/>
  </w:num>
  <w:num w:numId="364" w16cid:durableId="152180252">
    <w:abstractNumId w:val="320"/>
  </w:num>
  <w:num w:numId="365" w16cid:durableId="1270813194">
    <w:abstractNumId w:val="542"/>
  </w:num>
  <w:num w:numId="366" w16cid:durableId="207962099">
    <w:abstractNumId w:val="639"/>
  </w:num>
  <w:num w:numId="367" w16cid:durableId="1469468135">
    <w:abstractNumId w:val="1345"/>
  </w:num>
  <w:num w:numId="368" w16cid:durableId="845827906">
    <w:abstractNumId w:val="1189"/>
  </w:num>
  <w:num w:numId="369" w16cid:durableId="390231339">
    <w:abstractNumId w:val="1147"/>
  </w:num>
  <w:num w:numId="370" w16cid:durableId="867379904">
    <w:abstractNumId w:val="824"/>
  </w:num>
  <w:num w:numId="371" w16cid:durableId="1859585666">
    <w:abstractNumId w:val="1576"/>
  </w:num>
  <w:num w:numId="372" w16cid:durableId="1039401281">
    <w:abstractNumId w:val="1660"/>
  </w:num>
  <w:num w:numId="373" w16cid:durableId="1834291659">
    <w:abstractNumId w:val="376"/>
  </w:num>
  <w:num w:numId="374" w16cid:durableId="1284072447">
    <w:abstractNumId w:val="459"/>
  </w:num>
  <w:num w:numId="375" w16cid:durableId="1377971426">
    <w:abstractNumId w:val="1020"/>
  </w:num>
  <w:num w:numId="376" w16cid:durableId="914170626">
    <w:abstractNumId w:val="260"/>
  </w:num>
  <w:num w:numId="377" w16cid:durableId="1176647551">
    <w:abstractNumId w:val="1588"/>
  </w:num>
  <w:num w:numId="378" w16cid:durableId="1394694013">
    <w:abstractNumId w:val="1495"/>
  </w:num>
  <w:num w:numId="379" w16cid:durableId="650135866">
    <w:abstractNumId w:val="1310"/>
  </w:num>
  <w:num w:numId="380" w16cid:durableId="42171724">
    <w:abstractNumId w:val="277"/>
  </w:num>
  <w:num w:numId="381" w16cid:durableId="193738284">
    <w:abstractNumId w:val="530"/>
  </w:num>
  <w:num w:numId="382" w16cid:durableId="505023785">
    <w:abstractNumId w:val="1185"/>
  </w:num>
  <w:num w:numId="383" w16cid:durableId="908927461">
    <w:abstractNumId w:val="623"/>
  </w:num>
  <w:num w:numId="384" w16cid:durableId="1648168270">
    <w:abstractNumId w:val="865"/>
  </w:num>
  <w:num w:numId="385" w16cid:durableId="1497961515">
    <w:abstractNumId w:val="1539"/>
  </w:num>
  <w:num w:numId="386" w16cid:durableId="835146124">
    <w:abstractNumId w:val="507"/>
  </w:num>
  <w:num w:numId="387" w16cid:durableId="2065519360">
    <w:abstractNumId w:val="1609"/>
  </w:num>
  <w:num w:numId="388" w16cid:durableId="799230289">
    <w:abstractNumId w:val="1479"/>
  </w:num>
  <w:num w:numId="389" w16cid:durableId="150096883">
    <w:abstractNumId w:val="437"/>
  </w:num>
  <w:num w:numId="390" w16cid:durableId="1712220331">
    <w:abstractNumId w:val="270"/>
  </w:num>
  <w:num w:numId="391" w16cid:durableId="1747921151">
    <w:abstractNumId w:val="138"/>
  </w:num>
  <w:num w:numId="392" w16cid:durableId="358314136">
    <w:abstractNumId w:val="646"/>
  </w:num>
  <w:num w:numId="393" w16cid:durableId="1567719092">
    <w:abstractNumId w:val="1615"/>
  </w:num>
  <w:num w:numId="394" w16cid:durableId="1013606634">
    <w:abstractNumId w:val="663"/>
  </w:num>
  <w:num w:numId="395" w16cid:durableId="1153645507">
    <w:abstractNumId w:val="171"/>
  </w:num>
  <w:num w:numId="396" w16cid:durableId="19666117">
    <w:abstractNumId w:val="592"/>
  </w:num>
  <w:num w:numId="397" w16cid:durableId="271396573">
    <w:abstractNumId w:val="293"/>
  </w:num>
  <w:num w:numId="398" w16cid:durableId="647515313">
    <w:abstractNumId w:val="637"/>
  </w:num>
  <w:num w:numId="399" w16cid:durableId="1638682553">
    <w:abstractNumId w:val="831"/>
  </w:num>
  <w:num w:numId="400" w16cid:durableId="1225871813">
    <w:abstractNumId w:val="862"/>
  </w:num>
  <w:num w:numId="401" w16cid:durableId="107311682">
    <w:abstractNumId w:val="1413"/>
  </w:num>
  <w:num w:numId="402" w16cid:durableId="1345087401">
    <w:abstractNumId w:val="1203"/>
  </w:num>
  <w:num w:numId="403" w16cid:durableId="87506003">
    <w:abstractNumId w:val="752"/>
  </w:num>
  <w:num w:numId="404" w16cid:durableId="789006547">
    <w:abstractNumId w:val="169"/>
  </w:num>
  <w:num w:numId="405" w16cid:durableId="15890368">
    <w:abstractNumId w:val="400"/>
  </w:num>
  <w:num w:numId="406" w16cid:durableId="49577505">
    <w:abstractNumId w:val="720"/>
  </w:num>
  <w:num w:numId="407" w16cid:durableId="1079447245">
    <w:abstractNumId w:val="642"/>
  </w:num>
  <w:num w:numId="408" w16cid:durableId="1517380746">
    <w:abstractNumId w:val="489"/>
  </w:num>
  <w:num w:numId="409" w16cid:durableId="1052000229">
    <w:abstractNumId w:val="491"/>
  </w:num>
  <w:num w:numId="410" w16cid:durableId="890112867">
    <w:abstractNumId w:val="243"/>
  </w:num>
  <w:num w:numId="411" w16cid:durableId="1188181364">
    <w:abstractNumId w:val="1368"/>
  </w:num>
  <w:num w:numId="412" w16cid:durableId="1863126622">
    <w:abstractNumId w:val="732"/>
  </w:num>
  <w:num w:numId="413" w16cid:durableId="280458402">
    <w:abstractNumId w:val="321"/>
  </w:num>
  <w:num w:numId="414" w16cid:durableId="1985966203">
    <w:abstractNumId w:val="1309"/>
  </w:num>
  <w:num w:numId="415" w16cid:durableId="1176729585">
    <w:abstractNumId w:val="585"/>
  </w:num>
  <w:num w:numId="416" w16cid:durableId="1704403667">
    <w:abstractNumId w:val="433"/>
  </w:num>
  <w:num w:numId="417" w16cid:durableId="1793133278">
    <w:abstractNumId w:val="610"/>
  </w:num>
  <w:num w:numId="418" w16cid:durableId="442850074">
    <w:abstractNumId w:val="582"/>
  </w:num>
  <w:num w:numId="419" w16cid:durableId="1358043556">
    <w:abstractNumId w:val="722"/>
  </w:num>
  <w:num w:numId="420" w16cid:durableId="767971779">
    <w:abstractNumId w:val="1303"/>
  </w:num>
  <w:num w:numId="421" w16cid:durableId="2003510112">
    <w:abstractNumId w:val="1653"/>
  </w:num>
  <w:num w:numId="422" w16cid:durableId="915942228">
    <w:abstractNumId w:val="1632"/>
  </w:num>
  <w:num w:numId="423" w16cid:durableId="923338736">
    <w:abstractNumId w:val="1499"/>
  </w:num>
  <w:num w:numId="424" w16cid:durableId="1913732514">
    <w:abstractNumId w:val="515"/>
  </w:num>
  <w:num w:numId="425" w16cid:durableId="1344286575">
    <w:abstractNumId w:val="518"/>
  </w:num>
  <w:num w:numId="426" w16cid:durableId="240796893">
    <w:abstractNumId w:val="356"/>
  </w:num>
  <w:num w:numId="427" w16cid:durableId="950556137">
    <w:abstractNumId w:val="370"/>
  </w:num>
  <w:num w:numId="428" w16cid:durableId="944460540">
    <w:abstractNumId w:val="904"/>
  </w:num>
  <w:num w:numId="429" w16cid:durableId="1966623202">
    <w:abstractNumId w:val="229"/>
  </w:num>
  <w:num w:numId="430" w16cid:durableId="1592425273">
    <w:abstractNumId w:val="983"/>
  </w:num>
  <w:num w:numId="431" w16cid:durableId="535775101">
    <w:abstractNumId w:val="1509"/>
  </w:num>
  <w:num w:numId="432" w16cid:durableId="2130005036">
    <w:abstractNumId w:val="385"/>
  </w:num>
  <w:num w:numId="433" w16cid:durableId="2086298780">
    <w:abstractNumId w:val="1568"/>
  </w:num>
  <w:num w:numId="434" w16cid:durableId="1845973746">
    <w:abstractNumId w:val="1176"/>
  </w:num>
  <w:num w:numId="435" w16cid:durableId="245892057">
    <w:abstractNumId w:val="879"/>
  </w:num>
  <w:num w:numId="436" w16cid:durableId="1631010140">
    <w:abstractNumId w:val="1017"/>
  </w:num>
  <w:num w:numId="437" w16cid:durableId="1542477374">
    <w:abstractNumId w:val="653"/>
  </w:num>
  <w:num w:numId="438" w16cid:durableId="772676249">
    <w:abstractNumId w:val="116"/>
  </w:num>
  <w:num w:numId="439" w16cid:durableId="1161040379">
    <w:abstractNumId w:val="1339"/>
  </w:num>
  <w:num w:numId="440" w16cid:durableId="42219647">
    <w:abstractNumId w:val="1408"/>
  </w:num>
  <w:num w:numId="441" w16cid:durableId="1124882506">
    <w:abstractNumId w:val="1022"/>
  </w:num>
  <w:num w:numId="442" w16cid:durableId="864944523">
    <w:abstractNumId w:val="310"/>
  </w:num>
  <w:num w:numId="443" w16cid:durableId="629673412">
    <w:abstractNumId w:val="181"/>
  </w:num>
  <w:num w:numId="444" w16cid:durableId="1221600557">
    <w:abstractNumId w:val="1226"/>
  </w:num>
  <w:num w:numId="445" w16cid:durableId="1783570106">
    <w:abstractNumId w:val="436"/>
  </w:num>
  <w:num w:numId="446" w16cid:durableId="1047989952">
    <w:abstractNumId w:val="228"/>
  </w:num>
  <w:num w:numId="447" w16cid:durableId="1835953151">
    <w:abstractNumId w:val="641"/>
  </w:num>
  <w:num w:numId="448" w16cid:durableId="1366364291">
    <w:abstractNumId w:val="332"/>
  </w:num>
  <w:num w:numId="449" w16cid:durableId="1201092828">
    <w:abstractNumId w:val="1184"/>
  </w:num>
  <w:num w:numId="450" w16cid:durableId="1143161290">
    <w:abstractNumId w:val="767"/>
  </w:num>
  <w:num w:numId="451" w16cid:durableId="851066819">
    <w:abstractNumId w:val="364"/>
  </w:num>
  <w:num w:numId="452" w16cid:durableId="856698202">
    <w:abstractNumId w:val="650"/>
  </w:num>
  <w:num w:numId="453" w16cid:durableId="479735367">
    <w:abstractNumId w:val="1222"/>
  </w:num>
  <w:num w:numId="454" w16cid:durableId="1574967593">
    <w:abstractNumId w:val="1233"/>
  </w:num>
  <w:num w:numId="455" w16cid:durableId="970402561">
    <w:abstractNumId w:val="1260"/>
  </w:num>
  <w:num w:numId="456" w16cid:durableId="1594775629">
    <w:abstractNumId w:val="66"/>
  </w:num>
  <w:num w:numId="457" w16cid:durableId="991181724">
    <w:abstractNumId w:val="1280"/>
  </w:num>
  <w:num w:numId="458" w16cid:durableId="190268213">
    <w:abstractNumId w:val="1061"/>
  </w:num>
  <w:num w:numId="459" w16cid:durableId="137766129">
    <w:abstractNumId w:val="1383"/>
  </w:num>
  <w:num w:numId="460" w16cid:durableId="2051689030">
    <w:abstractNumId w:val="1292"/>
  </w:num>
  <w:num w:numId="461" w16cid:durableId="600843779">
    <w:abstractNumId w:val="666"/>
  </w:num>
  <w:num w:numId="462" w16cid:durableId="370033442">
    <w:abstractNumId w:val="1113"/>
  </w:num>
  <w:num w:numId="463" w16cid:durableId="1725519988">
    <w:abstractNumId w:val="1440"/>
  </w:num>
  <w:num w:numId="464" w16cid:durableId="2047026967">
    <w:abstractNumId w:val="680"/>
  </w:num>
  <w:num w:numId="465" w16cid:durableId="949361418">
    <w:abstractNumId w:val="832"/>
  </w:num>
  <w:num w:numId="466" w16cid:durableId="1460343906">
    <w:abstractNumId w:val="715"/>
  </w:num>
  <w:num w:numId="467" w16cid:durableId="15205174">
    <w:abstractNumId w:val="1296"/>
  </w:num>
  <w:num w:numId="468" w16cid:durableId="747847748">
    <w:abstractNumId w:val="516"/>
  </w:num>
  <w:num w:numId="469" w16cid:durableId="1377583493">
    <w:abstractNumId w:val="249"/>
  </w:num>
  <w:num w:numId="470" w16cid:durableId="2139716157">
    <w:abstractNumId w:val="1369"/>
  </w:num>
  <w:num w:numId="471" w16cid:durableId="936061323">
    <w:abstractNumId w:val="1589"/>
  </w:num>
  <w:num w:numId="472" w16cid:durableId="453599261">
    <w:abstractNumId w:val="1645"/>
  </w:num>
  <w:num w:numId="473" w16cid:durableId="2011104077">
    <w:abstractNumId w:val="576"/>
  </w:num>
  <w:num w:numId="474" w16cid:durableId="818884474">
    <w:abstractNumId w:val="1374"/>
  </w:num>
  <w:num w:numId="475" w16cid:durableId="1139036609">
    <w:abstractNumId w:val="316"/>
  </w:num>
  <w:num w:numId="476" w16cid:durableId="1176919031">
    <w:abstractNumId w:val="1083"/>
  </w:num>
  <w:num w:numId="477" w16cid:durableId="1512184961">
    <w:abstractNumId w:val="846"/>
  </w:num>
  <w:num w:numId="478" w16cid:durableId="1541624565">
    <w:abstractNumId w:val="1057"/>
  </w:num>
  <w:num w:numId="479" w16cid:durableId="171534596">
    <w:abstractNumId w:val="1350"/>
  </w:num>
  <w:num w:numId="480" w16cid:durableId="1075512044">
    <w:abstractNumId w:val="119"/>
  </w:num>
  <w:num w:numId="481" w16cid:durableId="682786542">
    <w:abstractNumId w:val="1070"/>
  </w:num>
  <w:num w:numId="482" w16cid:durableId="1749228613">
    <w:abstractNumId w:val="298"/>
  </w:num>
  <w:num w:numId="483" w16cid:durableId="112408938">
    <w:abstractNumId w:val="1011"/>
  </w:num>
  <w:num w:numId="484" w16cid:durableId="1659380341">
    <w:abstractNumId w:val="193"/>
  </w:num>
  <w:num w:numId="485" w16cid:durableId="91752839">
    <w:abstractNumId w:val="954"/>
  </w:num>
  <w:num w:numId="486" w16cid:durableId="1094058028">
    <w:abstractNumId w:val="1139"/>
  </w:num>
  <w:num w:numId="487" w16cid:durableId="1162890976">
    <w:abstractNumId w:val="431"/>
  </w:num>
  <w:num w:numId="488" w16cid:durableId="1284918440">
    <w:abstractNumId w:val="1262"/>
  </w:num>
  <w:num w:numId="489" w16cid:durableId="1226718982">
    <w:abstractNumId w:val="1360"/>
  </w:num>
  <w:num w:numId="490" w16cid:durableId="824787097">
    <w:abstractNumId w:val="347"/>
  </w:num>
  <w:num w:numId="491" w16cid:durableId="1096443210">
    <w:abstractNumId w:val="1196"/>
  </w:num>
  <w:num w:numId="492" w16cid:durableId="1118525946">
    <w:abstractNumId w:val="587"/>
  </w:num>
  <w:num w:numId="493" w16cid:durableId="1058552119">
    <w:abstractNumId w:val="763"/>
  </w:num>
  <w:num w:numId="494" w16cid:durableId="1370837677">
    <w:abstractNumId w:val="758"/>
  </w:num>
  <w:num w:numId="495" w16cid:durableId="2011709152">
    <w:abstractNumId w:val="345"/>
  </w:num>
  <w:num w:numId="496" w16cid:durableId="782841641">
    <w:abstractNumId w:val="1302"/>
  </w:num>
  <w:num w:numId="497" w16cid:durableId="982612866">
    <w:abstractNumId w:val="93"/>
  </w:num>
  <w:num w:numId="498" w16cid:durableId="123160976">
    <w:abstractNumId w:val="841"/>
  </w:num>
  <w:num w:numId="499" w16cid:durableId="2111007987">
    <w:abstractNumId w:val="190"/>
  </w:num>
  <w:num w:numId="500" w16cid:durableId="1185752080">
    <w:abstractNumId w:val="698"/>
  </w:num>
  <w:num w:numId="501" w16cid:durableId="339086935">
    <w:abstractNumId w:val="472"/>
  </w:num>
  <w:num w:numId="502" w16cid:durableId="1110591102">
    <w:abstractNumId w:val="966"/>
  </w:num>
  <w:num w:numId="503" w16cid:durableId="1206068386">
    <w:abstractNumId w:val="1264"/>
  </w:num>
  <w:num w:numId="504" w16cid:durableId="1849562330">
    <w:abstractNumId w:val="317"/>
  </w:num>
  <w:num w:numId="505" w16cid:durableId="1613197446">
    <w:abstractNumId w:val="1335"/>
  </w:num>
  <w:num w:numId="506" w16cid:durableId="1619722542">
    <w:abstractNumId w:val="1647"/>
  </w:num>
  <w:num w:numId="507" w16cid:durableId="1704675182">
    <w:abstractNumId w:val="1613"/>
  </w:num>
  <w:num w:numId="508" w16cid:durableId="921181770">
    <w:abstractNumId w:val="916"/>
  </w:num>
  <w:num w:numId="509" w16cid:durableId="889852056">
    <w:abstractNumId w:val="947"/>
  </w:num>
  <w:num w:numId="510" w16cid:durableId="1562207496">
    <w:abstractNumId w:val="1449"/>
  </w:num>
  <w:num w:numId="511" w16cid:durableId="1978879815">
    <w:abstractNumId w:val="1158"/>
  </w:num>
  <w:num w:numId="512" w16cid:durableId="1797332593">
    <w:abstractNumId w:val="1567"/>
  </w:num>
  <w:num w:numId="513" w16cid:durableId="1651443476">
    <w:abstractNumId w:val="286"/>
  </w:num>
  <w:num w:numId="514" w16cid:durableId="699358529">
    <w:abstractNumId w:val="1258"/>
  </w:num>
  <w:num w:numId="515" w16cid:durableId="373232540">
    <w:abstractNumId w:val="308"/>
  </w:num>
  <w:num w:numId="516" w16cid:durableId="1031808183">
    <w:abstractNumId w:val="240"/>
  </w:num>
  <w:num w:numId="517" w16cid:durableId="837696877">
    <w:abstractNumId w:val="1636"/>
  </w:num>
  <w:num w:numId="518" w16cid:durableId="217740944">
    <w:abstractNumId w:val="1492"/>
  </w:num>
  <w:num w:numId="519" w16cid:durableId="683557061">
    <w:abstractNumId w:val="212"/>
  </w:num>
  <w:num w:numId="520" w16cid:durableId="402918612">
    <w:abstractNumId w:val="814"/>
  </w:num>
  <w:num w:numId="521" w16cid:durableId="1511990386">
    <w:abstractNumId w:val="1088"/>
  </w:num>
  <w:num w:numId="522" w16cid:durableId="522208099">
    <w:abstractNumId w:val="1010"/>
  </w:num>
  <w:num w:numId="523" w16cid:durableId="1549876438">
    <w:abstractNumId w:val="46"/>
  </w:num>
  <w:num w:numId="524" w16cid:durableId="1585190347">
    <w:abstractNumId w:val="434"/>
  </w:num>
  <w:num w:numId="525" w16cid:durableId="1635869202">
    <w:abstractNumId w:val="968"/>
  </w:num>
  <w:num w:numId="526" w16cid:durableId="1400905365">
    <w:abstractNumId w:val="1550"/>
  </w:num>
  <w:num w:numId="527" w16cid:durableId="206994387">
    <w:abstractNumId w:val="1186"/>
  </w:num>
  <w:num w:numId="528" w16cid:durableId="838235195">
    <w:abstractNumId w:val="127"/>
  </w:num>
  <w:num w:numId="529" w16cid:durableId="1345279932">
    <w:abstractNumId w:val="1252"/>
  </w:num>
  <w:num w:numId="530" w16cid:durableId="2028750582">
    <w:abstractNumId w:val="672"/>
  </w:num>
  <w:num w:numId="531" w16cid:durableId="574247805">
    <w:abstractNumId w:val="1257"/>
  </w:num>
  <w:num w:numId="532" w16cid:durableId="919172539">
    <w:abstractNumId w:val="392"/>
  </w:num>
  <w:num w:numId="533" w16cid:durableId="403719687">
    <w:abstractNumId w:val="674"/>
  </w:num>
  <w:num w:numId="534" w16cid:durableId="2132167584">
    <w:abstractNumId w:val="34"/>
  </w:num>
  <w:num w:numId="535" w16cid:durableId="1423380012">
    <w:abstractNumId w:val="819"/>
  </w:num>
  <w:num w:numId="536" w16cid:durableId="1160074974">
    <w:abstractNumId w:val="931"/>
  </w:num>
  <w:num w:numId="537" w16cid:durableId="815103536">
    <w:abstractNumId w:val="801"/>
  </w:num>
  <w:num w:numId="538" w16cid:durableId="389428819">
    <w:abstractNumId w:val="1642"/>
  </w:num>
  <w:num w:numId="539" w16cid:durableId="1117405340">
    <w:abstractNumId w:val="477"/>
  </w:num>
  <w:num w:numId="540" w16cid:durableId="1969967086">
    <w:abstractNumId w:val="1570"/>
  </w:num>
  <w:num w:numId="541" w16cid:durableId="933363856">
    <w:abstractNumId w:val="439"/>
  </w:num>
  <w:num w:numId="542" w16cid:durableId="1525820993">
    <w:abstractNumId w:val="1241"/>
  </w:num>
  <w:num w:numId="543" w16cid:durableId="789398811">
    <w:abstractNumId w:val="784"/>
  </w:num>
  <w:num w:numId="544" w16cid:durableId="462310868">
    <w:abstractNumId w:val="104"/>
  </w:num>
  <w:num w:numId="545" w16cid:durableId="1390684738">
    <w:abstractNumId w:val="1516"/>
  </w:num>
  <w:num w:numId="546" w16cid:durableId="1176503659">
    <w:abstractNumId w:val="241"/>
  </w:num>
  <w:num w:numId="547" w16cid:durableId="1890876179">
    <w:abstractNumId w:val="708"/>
  </w:num>
  <w:num w:numId="548" w16cid:durableId="574364425">
    <w:abstractNumId w:val="1067"/>
  </w:num>
  <w:num w:numId="549" w16cid:durableId="1911768996">
    <w:abstractNumId w:val="679"/>
  </w:num>
  <w:num w:numId="550" w16cid:durableId="1049915508">
    <w:abstractNumId w:val="1356"/>
  </w:num>
  <w:num w:numId="551" w16cid:durableId="1936942001">
    <w:abstractNumId w:val="712"/>
  </w:num>
  <w:num w:numId="552" w16cid:durableId="1146312089">
    <w:abstractNumId w:val="258"/>
  </w:num>
  <w:num w:numId="553" w16cid:durableId="942692628">
    <w:abstractNumId w:val="214"/>
  </w:num>
  <w:num w:numId="554" w16cid:durableId="1467237540">
    <w:abstractNumId w:val="632"/>
  </w:num>
  <w:num w:numId="555" w16cid:durableId="1118258518">
    <w:abstractNumId w:val="673"/>
  </w:num>
  <w:num w:numId="556" w16cid:durableId="724261739">
    <w:abstractNumId w:val="790"/>
  </w:num>
  <w:num w:numId="557" w16cid:durableId="35860417">
    <w:abstractNumId w:val="1105"/>
  </w:num>
  <w:num w:numId="558" w16cid:durableId="2127772707">
    <w:abstractNumId w:val="1275"/>
  </w:num>
  <w:num w:numId="559" w16cid:durableId="73279215">
    <w:abstractNumId w:val="699"/>
  </w:num>
  <w:num w:numId="560" w16cid:durableId="1841387108">
    <w:abstractNumId w:val="273"/>
  </w:num>
  <w:num w:numId="561" w16cid:durableId="6715007">
    <w:abstractNumId w:val="180"/>
  </w:num>
  <w:num w:numId="562" w16cid:durableId="1348600388">
    <w:abstractNumId w:val="991"/>
  </w:num>
  <w:num w:numId="563" w16cid:durableId="669912928">
    <w:abstractNumId w:val="1458"/>
  </w:num>
  <w:num w:numId="564" w16cid:durableId="1744639896">
    <w:abstractNumId w:val="1344"/>
  </w:num>
  <w:num w:numId="565" w16cid:durableId="1093478614">
    <w:abstractNumId w:val="620"/>
  </w:num>
  <w:num w:numId="566" w16cid:durableId="29652892">
    <w:abstractNumId w:val="382"/>
  </w:num>
  <w:num w:numId="567" w16cid:durableId="372078841">
    <w:abstractNumId w:val="1375"/>
  </w:num>
  <w:num w:numId="568" w16cid:durableId="729040295">
    <w:abstractNumId w:val="609"/>
  </w:num>
  <w:num w:numId="569" w16cid:durableId="1843738765">
    <w:abstractNumId w:val="413"/>
  </w:num>
  <w:num w:numId="570" w16cid:durableId="846018806">
    <w:abstractNumId w:val="1644"/>
  </w:num>
  <w:num w:numId="571" w16cid:durableId="1828083168">
    <w:abstractNumId w:val="327"/>
  </w:num>
  <w:num w:numId="572" w16cid:durableId="119999435">
    <w:abstractNumId w:val="33"/>
  </w:num>
  <w:num w:numId="573" w16cid:durableId="1043942994">
    <w:abstractNumId w:val="1245"/>
  </w:num>
  <w:num w:numId="574" w16cid:durableId="578098213">
    <w:abstractNumId w:val="304"/>
  </w:num>
  <w:num w:numId="575" w16cid:durableId="937368929">
    <w:abstractNumId w:val="1323"/>
  </w:num>
  <w:num w:numId="576" w16cid:durableId="1633250448">
    <w:abstractNumId w:val="1188"/>
  </w:num>
  <w:num w:numId="577" w16cid:durableId="1685015585">
    <w:abstractNumId w:val="1561"/>
  </w:num>
  <w:num w:numId="578" w16cid:durableId="2023508756">
    <w:abstractNumId w:val="64"/>
  </w:num>
  <w:num w:numId="579" w16cid:durableId="291906550">
    <w:abstractNumId w:val="120"/>
  </w:num>
  <w:num w:numId="580" w16cid:durableId="807746270">
    <w:abstractNumId w:val="1174"/>
  </w:num>
  <w:num w:numId="581" w16cid:durableId="1515879238">
    <w:abstractNumId w:val="883"/>
  </w:num>
  <w:num w:numId="582" w16cid:durableId="510531723">
    <w:abstractNumId w:val="932"/>
  </w:num>
  <w:num w:numId="583" w16cid:durableId="1620182638">
    <w:abstractNumId w:val="297"/>
  </w:num>
  <w:num w:numId="584" w16cid:durableId="1491602187">
    <w:abstractNumId w:val="393"/>
  </w:num>
  <w:num w:numId="585" w16cid:durableId="1330599294">
    <w:abstractNumId w:val="701"/>
  </w:num>
  <w:num w:numId="586" w16cid:durableId="962930755">
    <w:abstractNumId w:val="565"/>
  </w:num>
  <w:num w:numId="587" w16cid:durableId="465860182">
    <w:abstractNumId w:val="1565"/>
  </w:num>
  <w:num w:numId="588" w16cid:durableId="2142453739">
    <w:abstractNumId w:val="238"/>
  </w:num>
  <w:num w:numId="589" w16cid:durableId="1928727492">
    <w:abstractNumId w:val="1077"/>
  </w:num>
  <w:num w:numId="590" w16cid:durableId="793983708">
    <w:abstractNumId w:val="283"/>
  </w:num>
  <w:num w:numId="591" w16cid:durableId="1232346711">
    <w:abstractNumId w:val="549"/>
  </w:num>
  <w:num w:numId="592" w16cid:durableId="1302539112">
    <w:abstractNumId w:val="1452"/>
  </w:num>
  <w:num w:numId="593" w16cid:durableId="751969519">
    <w:abstractNumId w:val="1109"/>
  </w:num>
  <w:num w:numId="594" w16cid:durableId="1397556414">
    <w:abstractNumId w:val="1202"/>
  </w:num>
  <w:num w:numId="595" w16cid:durableId="1086070653">
    <w:abstractNumId w:val="1134"/>
  </w:num>
  <w:num w:numId="596" w16cid:durableId="2086295025">
    <w:abstractNumId w:val="44"/>
  </w:num>
  <w:num w:numId="597" w16cid:durableId="855846213">
    <w:abstractNumId w:val="770"/>
  </w:num>
  <w:num w:numId="598" w16cid:durableId="847015765">
    <w:abstractNumId w:val="319"/>
  </w:num>
  <w:num w:numId="599" w16cid:durableId="550505155">
    <w:abstractNumId w:val="163"/>
  </w:num>
  <w:num w:numId="600" w16cid:durableId="222448045">
    <w:abstractNumId w:val="1407"/>
  </w:num>
  <w:num w:numId="601" w16cid:durableId="1898741700">
    <w:abstractNumId w:val="1482"/>
  </w:num>
  <w:num w:numId="602" w16cid:durableId="1774207769">
    <w:abstractNumId w:val="411"/>
  </w:num>
  <w:num w:numId="603" w16cid:durableId="203100091">
    <w:abstractNumId w:val="561"/>
  </w:num>
  <w:num w:numId="604" w16cid:durableId="895236195">
    <w:abstractNumId w:val="725"/>
  </w:num>
  <w:num w:numId="605" w16cid:durableId="260916007">
    <w:abstractNumId w:val="1219"/>
  </w:num>
  <w:num w:numId="606" w16cid:durableId="651759162">
    <w:abstractNumId w:val="58"/>
  </w:num>
  <w:num w:numId="607" w16cid:durableId="1514346258">
    <w:abstractNumId w:val="921"/>
  </w:num>
  <w:num w:numId="608" w16cid:durableId="1649748512">
    <w:abstractNumId w:val="1371"/>
  </w:num>
  <w:num w:numId="609" w16cid:durableId="2100826114">
    <w:abstractNumId w:val="72"/>
  </w:num>
  <w:num w:numId="610" w16cid:durableId="1956256230">
    <w:abstractNumId w:val="106"/>
  </w:num>
  <w:num w:numId="611" w16cid:durableId="1716463857">
    <w:abstractNumId w:val="740"/>
  </w:num>
  <w:num w:numId="612" w16cid:durableId="396708932">
    <w:abstractNumId w:val="1093"/>
  </w:num>
  <w:num w:numId="613" w16cid:durableId="1538278928">
    <w:abstractNumId w:val="395"/>
  </w:num>
  <w:num w:numId="614" w16cid:durableId="1167670412">
    <w:abstractNumId w:val="579"/>
  </w:num>
  <w:num w:numId="615" w16cid:durableId="1161389434">
    <w:abstractNumId w:val="828"/>
  </w:num>
  <w:num w:numId="616" w16cid:durableId="1585652416">
    <w:abstractNumId w:val="534"/>
  </w:num>
  <w:num w:numId="617" w16cid:durableId="2132436006">
    <w:abstractNumId w:val="1332"/>
  </w:num>
  <w:num w:numId="618" w16cid:durableId="1207260609">
    <w:abstractNumId w:val="1326"/>
  </w:num>
  <w:num w:numId="619" w16cid:durableId="373041545">
    <w:abstractNumId w:val="1351"/>
  </w:num>
  <w:num w:numId="620" w16cid:durableId="1538546203">
    <w:abstractNumId w:val="1250"/>
  </w:num>
  <w:num w:numId="621" w16cid:durableId="1660038244">
    <w:abstractNumId w:val="1657"/>
  </w:num>
  <w:num w:numId="622" w16cid:durableId="1474373704">
    <w:abstractNumId w:val="384"/>
  </w:num>
  <w:num w:numId="623" w16cid:durableId="987444262">
    <w:abstractNumId w:val="1272"/>
  </w:num>
  <w:num w:numId="624" w16cid:durableId="2113351129">
    <w:abstractNumId w:val="513"/>
  </w:num>
  <w:num w:numId="625" w16cid:durableId="1953703738">
    <w:abstractNumId w:val="358"/>
  </w:num>
  <w:num w:numId="626" w16cid:durableId="1512796146">
    <w:abstractNumId w:val="27"/>
  </w:num>
  <w:num w:numId="627" w16cid:durableId="1586261329">
    <w:abstractNumId w:val="89"/>
  </w:num>
  <w:num w:numId="628" w16cid:durableId="830488440">
    <w:abstractNumId w:val="461"/>
  </w:num>
  <w:num w:numId="629" w16cid:durableId="1561671679">
    <w:abstractNumId w:val="412"/>
  </w:num>
  <w:num w:numId="630" w16cid:durableId="95099515">
    <w:abstractNumId w:val="1444"/>
  </w:num>
  <w:num w:numId="631" w16cid:durableId="135028875">
    <w:abstractNumId w:val="833"/>
  </w:num>
  <w:num w:numId="632" w16cid:durableId="1692293563">
    <w:abstractNumId w:val="1648"/>
  </w:num>
  <w:num w:numId="633" w16cid:durableId="1058164382">
    <w:abstractNumId w:val="37"/>
  </w:num>
  <w:num w:numId="634" w16cid:durableId="299726068">
    <w:abstractNumId w:val="458"/>
  </w:num>
  <w:num w:numId="635" w16cid:durableId="1901666646">
    <w:abstractNumId w:val="603"/>
  </w:num>
  <w:num w:numId="636" w16cid:durableId="2093041232">
    <w:abstractNumId w:val="858"/>
  </w:num>
  <w:num w:numId="637" w16cid:durableId="1600747979">
    <w:abstractNumId w:val="1385"/>
  </w:num>
  <w:num w:numId="638" w16cid:durableId="106706485">
    <w:abstractNumId w:val="142"/>
  </w:num>
  <w:num w:numId="639" w16cid:durableId="1007050578">
    <w:abstractNumId w:val="280"/>
  </w:num>
  <w:num w:numId="640" w16cid:durableId="922491601">
    <w:abstractNumId w:val="399"/>
  </w:num>
  <w:num w:numId="641" w16cid:durableId="1332760775">
    <w:abstractNumId w:val="158"/>
  </w:num>
  <w:num w:numId="642" w16cid:durableId="56979288">
    <w:abstractNumId w:val="874"/>
  </w:num>
  <w:num w:numId="643" w16cid:durableId="760024009">
    <w:abstractNumId w:val="1076"/>
  </w:num>
  <w:num w:numId="644" w16cid:durableId="1403989606">
    <w:abstractNumId w:val="1074"/>
  </w:num>
  <w:num w:numId="645" w16cid:durableId="55782437">
    <w:abstractNumId w:val="933"/>
  </w:num>
  <w:num w:numId="646" w16cid:durableId="1316760433">
    <w:abstractNumId w:val="548"/>
  </w:num>
  <w:num w:numId="647" w16cid:durableId="1098719951">
    <w:abstractNumId w:val="1397"/>
  </w:num>
  <w:num w:numId="648" w16cid:durableId="1953125189">
    <w:abstractNumId w:val="1301"/>
  </w:num>
  <w:num w:numId="649" w16cid:durableId="1852598080">
    <w:abstractNumId w:val="1040"/>
  </w:num>
  <w:num w:numId="650" w16cid:durableId="342632365">
    <w:abstractNumId w:val="1596"/>
  </w:num>
  <w:num w:numId="651" w16cid:durableId="1996492845">
    <w:abstractNumId w:val="616"/>
  </w:num>
  <w:num w:numId="652" w16cid:durableId="230432583">
    <w:abstractNumId w:val="23"/>
  </w:num>
  <w:num w:numId="653" w16cid:durableId="1363631154">
    <w:abstractNumId w:val="144"/>
  </w:num>
  <w:num w:numId="654" w16cid:durableId="828402968">
    <w:abstractNumId w:val="1322"/>
  </w:num>
  <w:num w:numId="655" w16cid:durableId="59251399">
    <w:abstractNumId w:val="1138"/>
  </w:num>
  <w:num w:numId="656" w16cid:durableId="1142961441">
    <w:abstractNumId w:val="1478"/>
  </w:num>
  <w:num w:numId="657" w16cid:durableId="1475292716">
    <w:abstractNumId w:val="130"/>
  </w:num>
  <w:num w:numId="658" w16cid:durableId="1217550180">
    <w:abstractNumId w:val="1137"/>
  </w:num>
  <w:num w:numId="659" w16cid:durableId="1337924338">
    <w:abstractNumId w:val="924"/>
  </w:num>
  <w:num w:numId="660" w16cid:durableId="1001741889">
    <w:abstractNumId w:val="1437"/>
  </w:num>
  <w:num w:numId="661" w16cid:durableId="952400370">
    <w:abstractNumId w:val="1086"/>
  </w:num>
  <w:num w:numId="662" w16cid:durableId="2049334339">
    <w:abstractNumId w:val="117"/>
  </w:num>
  <w:num w:numId="663" w16cid:durableId="322709818">
    <w:abstractNumId w:val="622"/>
  </w:num>
  <w:num w:numId="664" w16cid:durableId="1064065889">
    <w:abstractNumId w:val="1320"/>
  </w:num>
  <w:num w:numId="665" w16cid:durableId="473110574">
    <w:abstractNumId w:val="1584"/>
  </w:num>
  <w:num w:numId="666" w16cid:durableId="65034656">
    <w:abstractNumId w:val="540"/>
  </w:num>
  <w:num w:numId="667" w16cid:durableId="1388990255">
    <w:abstractNumId w:val="84"/>
  </w:num>
  <w:num w:numId="668" w16cid:durableId="741561200">
    <w:abstractNumId w:val="349"/>
  </w:num>
  <w:num w:numId="669" w16cid:durableId="1632593998">
    <w:abstractNumId w:val="457"/>
  </w:num>
  <w:num w:numId="670" w16cid:durableId="414978481">
    <w:abstractNumId w:val="1115"/>
  </w:num>
  <w:num w:numId="671" w16cid:durableId="1362899064">
    <w:abstractNumId w:val="562"/>
  </w:num>
  <w:num w:numId="672" w16cid:durableId="180513086">
    <w:abstractNumId w:val="109"/>
  </w:num>
  <w:num w:numId="673" w16cid:durableId="523397908">
    <w:abstractNumId w:val="511"/>
  </w:num>
  <w:num w:numId="674" w16cid:durableId="1998848651">
    <w:abstractNumId w:val="1346"/>
  </w:num>
  <w:num w:numId="675" w16cid:durableId="758019403">
    <w:abstractNumId w:val="1583"/>
  </w:num>
  <w:num w:numId="676" w16cid:durableId="1674844942">
    <w:abstractNumId w:val="528"/>
  </w:num>
  <w:num w:numId="677" w16cid:durableId="877620510">
    <w:abstractNumId w:val="1628"/>
  </w:num>
  <w:num w:numId="678" w16cid:durableId="1951162773">
    <w:abstractNumId w:val="1652"/>
  </w:num>
  <w:num w:numId="679" w16cid:durableId="1340307291">
    <w:abstractNumId w:val="397"/>
  </w:num>
  <w:num w:numId="680" w16cid:durableId="1521158649">
    <w:abstractNumId w:val="213"/>
  </w:num>
  <w:num w:numId="681" w16cid:durableId="1163474414">
    <w:abstractNumId w:val="839"/>
  </w:num>
  <w:num w:numId="682" w16cid:durableId="1071196698">
    <w:abstractNumId w:val="557"/>
  </w:num>
  <w:num w:numId="683" w16cid:durableId="1000350203">
    <w:abstractNumId w:val="420"/>
  </w:num>
  <w:num w:numId="684" w16cid:durableId="2118596929">
    <w:abstractNumId w:val="977"/>
  </w:num>
  <w:num w:numId="685" w16cid:durableId="889224490">
    <w:abstractNumId w:val="482"/>
  </w:num>
  <w:num w:numId="686" w16cid:durableId="642194570">
    <w:abstractNumId w:val="1427"/>
  </w:num>
  <w:num w:numId="687" w16cid:durableId="1786000968">
    <w:abstractNumId w:val="1111"/>
  </w:num>
  <w:num w:numId="688" w16cid:durableId="822812880">
    <w:abstractNumId w:val="891"/>
  </w:num>
  <w:num w:numId="689" w16cid:durableId="1979798540">
    <w:abstractNumId w:val="1455"/>
  </w:num>
  <w:num w:numId="690" w16cid:durableId="196747920">
    <w:abstractNumId w:val="618"/>
  </w:num>
  <w:num w:numId="691" w16cid:durableId="901595987">
    <w:abstractNumId w:val="853"/>
  </w:num>
  <w:num w:numId="692" w16cid:durableId="1144738640">
    <w:abstractNumId w:val="619"/>
  </w:num>
  <w:num w:numId="693" w16cid:durableId="1476526119">
    <w:abstractNumId w:val="1519"/>
  </w:num>
  <w:num w:numId="694" w16cid:durableId="2143038072">
    <w:abstractNumId w:val="796"/>
  </w:num>
  <w:num w:numId="695" w16cid:durableId="1770467780">
    <w:abstractNumId w:val="68"/>
  </w:num>
  <w:num w:numId="696" w16cid:durableId="891233214">
    <w:abstractNumId w:val="1021"/>
  </w:num>
  <w:num w:numId="697" w16cid:durableId="146829745">
    <w:abstractNumId w:val="1387"/>
  </w:num>
  <w:num w:numId="698" w16cid:durableId="1307932578">
    <w:abstractNumId w:val="1125"/>
  </w:num>
  <w:num w:numId="699" w16cid:durableId="2091542492">
    <w:abstractNumId w:val="681"/>
  </w:num>
  <w:num w:numId="700" w16cid:durableId="263267173">
    <w:abstractNumId w:val="837"/>
  </w:num>
  <w:num w:numId="701" w16cid:durableId="204756631">
    <w:abstractNumId w:val="1359"/>
  </w:num>
  <w:num w:numId="702" w16cid:durableId="1941523276">
    <w:abstractNumId w:val="944"/>
  </w:num>
  <w:num w:numId="703" w16cid:durableId="2115855356">
    <w:abstractNumId w:val="1431"/>
  </w:num>
  <w:num w:numId="704" w16cid:durableId="715204030">
    <w:abstractNumId w:val="1234"/>
  </w:num>
  <w:num w:numId="705" w16cid:durableId="250360789">
    <w:abstractNumId w:val="396"/>
  </w:num>
  <w:num w:numId="706" w16cid:durableId="879511468">
    <w:abstractNumId w:val="1493"/>
  </w:num>
  <w:num w:numId="707" w16cid:durableId="223640665">
    <w:abstractNumId w:val="787"/>
  </w:num>
  <w:num w:numId="708" w16cid:durableId="92171454">
    <w:abstractNumId w:val="1532"/>
  </w:num>
  <w:num w:numId="709" w16cid:durableId="1515221628">
    <w:abstractNumId w:val="543"/>
  </w:num>
  <w:num w:numId="710" w16cid:durableId="1161235989">
    <w:abstractNumId w:val="948"/>
  </w:num>
  <w:num w:numId="711" w16cid:durableId="2099059671">
    <w:abstractNumId w:val="118"/>
  </w:num>
  <w:num w:numId="712" w16cid:durableId="1947151176">
    <w:abstractNumId w:val="322"/>
  </w:num>
  <w:num w:numId="713" w16cid:durableId="451632658">
    <w:abstractNumId w:val="448"/>
  </w:num>
  <w:num w:numId="714" w16cid:durableId="1240864721">
    <w:abstractNumId w:val="1315"/>
  </w:num>
  <w:num w:numId="715" w16cid:durableId="1442991991">
    <w:abstractNumId w:val="324"/>
  </w:num>
  <w:num w:numId="716" w16cid:durableId="374163532">
    <w:abstractNumId w:val="1175"/>
  </w:num>
  <w:num w:numId="717" w16cid:durableId="1980189947">
    <w:abstractNumId w:val="687"/>
  </w:num>
  <w:num w:numId="718" w16cid:durableId="893006442">
    <w:abstractNumId w:val="1353"/>
  </w:num>
  <w:num w:numId="719" w16cid:durableId="1165239968">
    <w:abstractNumId w:val="1220"/>
  </w:num>
  <w:num w:numId="720" w16cid:durableId="1798985562">
    <w:abstractNumId w:val="922"/>
  </w:num>
  <w:num w:numId="721" w16cid:durableId="1678577859">
    <w:abstractNumId w:val="1334"/>
  </w:num>
  <w:num w:numId="722" w16cid:durableId="333001323">
    <w:abstractNumId w:val="1317"/>
  </w:num>
  <w:num w:numId="723" w16cid:durableId="1926108623">
    <w:abstractNumId w:val="877"/>
  </w:num>
  <w:num w:numId="724" w16cid:durableId="2066758089">
    <w:abstractNumId w:val="1281"/>
  </w:num>
  <w:num w:numId="725" w16cid:durableId="1440874950">
    <w:abstractNumId w:val="1313"/>
  </w:num>
  <w:num w:numId="726" w16cid:durableId="515536978">
    <w:abstractNumId w:val="455"/>
  </w:num>
  <w:num w:numId="727" w16cid:durableId="436684400">
    <w:abstractNumId w:val="281"/>
  </w:num>
  <w:num w:numId="728" w16cid:durableId="2130738359">
    <w:abstractNumId w:val="354"/>
  </w:num>
  <w:num w:numId="729" w16cid:durableId="981811412">
    <w:abstractNumId w:val="669"/>
  </w:num>
  <w:num w:numId="730" w16cid:durableId="1900747615">
    <w:abstractNumId w:val="514"/>
  </w:num>
  <w:num w:numId="731" w16cid:durableId="813520614">
    <w:abstractNumId w:val="1216"/>
  </w:num>
  <w:num w:numId="732" w16cid:durableId="1723407467">
    <w:abstractNumId w:val="1624"/>
  </w:num>
  <w:num w:numId="733" w16cid:durableId="474427">
    <w:abstractNumId w:val="558"/>
  </w:num>
  <w:num w:numId="734" w16cid:durableId="446244442">
    <w:abstractNumId w:val="51"/>
  </w:num>
  <w:num w:numId="735" w16cid:durableId="2101291794">
    <w:abstractNumId w:val="1416"/>
  </w:num>
  <w:num w:numId="736" w16cid:durableId="1880699913">
    <w:abstractNumId w:val="645"/>
  </w:num>
  <w:num w:numId="737" w16cid:durableId="1056200752">
    <w:abstractNumId w:val="389"/>
  </w:num>
  <w:num w:numId="738" w16cid:durableId="1103722518">
    <w:abstractNumId w:val="148"/>
  </w:num>
  <w:num w:numId="739" w16cid:durableId="891893317">
    <w:abstractNumId w:val="1106"/>
  </w:num>
  <w:num w:numId="740" w16cid:durableId="307053513">
    <w:abstractNumId w:val="626"/>
  </w:num>
  <w:num w:numId="741" w16cid:durableId="1009483713">
    <w:abstractNumId w:val="914"/>
  </w:num>
  <w:num w:numId="742" w16cid:durableId="903371562">
    <w:abstractNumId w:val="1467"/>
  </w:num>
  <w:num w:numId="743" w16cid:durableId="939488889">
    <w:abstractNumId w:val="1512"/>
  </w:num>
  <w:num w:numId="744" w16cid:durableId="684670310">
    <w:abstractNumId w:val="1249"/>
  </w:num>
  <w:num w:numId="745" w16cid:durableId="65806018">
    <w:abstractNumId w:val="311"/>
  </w:num>
  <w:num w:numId="746" w16cid:durableId="1615938210">
    <w:abstractNumId w:val="1518"/>
  </w:num>
  <w:num w:numId="747" w16cid:durableId="1471051243">
    <w:abstractNumId w:val="611"/>
  </w:num>
  <w:num w:numId="748" w16cid:durableId="1626887241">
    <w:abstractNumId w:val="844"/>
  </w:num>
  <w:num w:numId="749" w16cid:durableId="151988648">
    <w:abstractNumId w:val="957"/>
  </w:num>
  <w:num w:numId="750" w16cid:durableId="1906211434">
    <w:abstractNumId w:val="1028"/>
  </w:num>
  <w:num w:numId="751" w16cid:durableId="1028606372">
    <w:abstractNumId w:val="940"/>
  </w:num>
  <w:num w:numId="752" w16cid:durableId="756632068">
    <w:abstractNumId w:val="404"/>
  </w:num>
  <w:num w:numId="753" w16cid:durableId="1132747454">
    <w:abstractNumId w:val="43"/>
  </w:num>
  <w:num w:numId="754" w16cid:durableId="737172473">
    <w:abstractNumId w:val="284"/>
  </w:num>
  <w:num w:numId="755" w16cid:durableId="1948926637">
    <w:abstractNumId w:val="69"/>
  </w:num>
  <w:num w:numId="756" w16cid:durableId="417484963">
    <w:abstractNumId w:val="859"/>
  </w:num>
  <w:num w:numId="757" w16cid:durableId="1028801483">
    <w:abstractNumId w:val="675"/>
  </w:num>
  <w:num w:numId="758" w16cid:durableId="1852990370">
    <w:abstractNumId w:val="146"/>
  </w:num>
  <w:num w:numId="759" w16cid:durableId="542525359">
    <w:abstractNumId w:val="521"/>
  </w:num>
  <w:num w:numId="760" w16cid:durableId="817844161">
    <w:abstractNumId w:val="336"/>
  </w:num>
  <w:num w:numId="761" w16cid:durableId="1475414605">
    <w:abstractNumId w:val="1460"/>
  </w:num>
  <w:num w:numId="762" w16cid:durableId="1456558590">
    <w:abstractNumId w:val="1031"/>
  </w:num>
  <w:num w:numId="763" w16cid:durableId="2064021862">
    <w:abstractNumId w:val="128"/>
  </w:num>
  <w:num w:numId="764" w16cid:durableId="248126120">
    <w:abstractNumId w:val="648"/>
  </w:num>
  <w:num w:numId="765" w16cid:durableId="1610625193">
    <w:abstractNumId w:val="432"/>
  </w:num>
  <w:num w:numId="766" w16cid:durableId="1259675876">
    <w:abstractNumId w:val="797"/>
  </w:num>
  <w:num w:numId="767" w16cid:durableId="219442627">
    <w:abstractNumId w:val="746"/>
  </w:num>
  <w:num w:numId="768" w16cid:durableId="57753329">
    <w:abstractNumId w:val="405"/>
  </w:num>
  <w:num w:numId="769" w16cid:durableId="1765301572">
    <w:abstractNumId w:val="829"/>
  </w:num>
  <w:num w:numId="770" w16cid:durableId="976763203">
    <w:abstractNumId w:val="12"/>
  </w:num>
  <w:num w:numId="771" w16cid:durableId="744182459">
    <w:abstractNumId w:val="570"/>
  </w:num>
  <w:num w:numId="772" w16cid:durableId="282464269">
    <w:abstractNumId w:val="1605"/>
  </w:num>
  <w:num w:numId="773" w16cid:durableId="740834118">
    <w:abstractNumId w:val="1187"/>
  </w:num>
  <w:num w:numId="774" w16cid:durableId="1652979603">
    <w:abstractNumId w:val="1146"/>
  </w:num>
  <w:num w:numId="775" w16cid:durableId="1977248704">
    <w:abstractNumId w:val="816"/>
  </w:num>
  <w:num w:numId="776" w16cid:durableId="482159697">
    <w:abstractNumId w:val="1379"/>
  </w:num>
  <w:num w:numId="777" w16cid:durableId="1690253351">
    <w:abstractNumId w:val="547"/>
  </w:num>
  <w:num w:numId="778" w16cid:durableId="804739362">
    <w:abstractNumId w:val="703"/>
  </w:num>
  <w:num w:numId="779" w16cid:durableId="384642240">
    <w:abstractNumId w:val="469"/>
  </w:num>
  <w:num w:numId="780" w16cid:durableId="928318848">
    <w:abstractNumId w:val="1217"/>
  </w:num>
  <w:num w:numId="781" w16cid:durableId="472676686">
    <w:abstractNumId w:val="728"/>
  </w:num>
  <w:num w:numId="782" w16cid:durableId="603270956">
    <w:abstractNumId w:val="951"/>
  </w:num>
  <w:num w:numId="783" w16cid:durableId="990256307">
    <w:abstractNumId w:val="1195"/>
  </w:num>
  <w:num w:numId="784" w16cid:durableId="1220166586">
    <w:abstractNumId w:val="65"/>
  </w:num>
  <w:num w:numId="785" w16cid:durableId="2052264379">
    <w:abstractNumId w:val="617"/>
  </w:num>
  <w:num w:numId="786" w16cid:durableId="1171069754">
    <w:abstractNumId w:val="878"/>
  </w:num>
  <w:num w:numId="787" w16cid:durableId="553081952">
    <w:abstractNumId w:val="1429"/>
  </w:num>
  <w:num w:numId="788" w16cid:durableId="712465036">
    <w:abstractNumId w:val="474"/>
  </w:num>
  <w:num w:numId="789" w16cid:durableId="1970471823">
    <w:abstractNumId w:val="872"/>
  </w:num>
  <w:num w:numId="790" w16cid:durableId="7102732">
    <w:abstractNumId w:val="1378"/>
  </w:num>
  <w:num w:numId="791" w16cid:durableId="862061169">
    <w:abstractNumId w:val="1638"/>
  </w:num>
  <w:num w:numId="792" w16cid:durableId="792166191">
    <w:abstractNumId w:val="1221"/>
  </w:num>
  <w:num w:numId="793" w16cid:durableId="1489201031">
    <w:abstractNumId w:val="764"/>
  </w:num>
  <w:num w:numId="794" w16cid:durableId="894900627">
    <w:abstractNumId w:val="188"/>
  </w:num>
  <w:num w:numId="795" w16cid:durableId="1182476414">
    <w:abstractNumId w:val="1300"/>
  </w:num>
  <w:num w:numId="796" w16cid:durableId="597981487">
    <w:abstractNumId w:val="929"/>
  </w:num>
  <w:num w:numId="797" w16cid:durableId="1214004836">
    <w:abstractNumId w:val="92"/>
  </w:num>
  <w:num w:numId="798" w16cid:durableId="774861237">
    <w:abstractNumId w:val="857"/>
  </w:num>
  <w:num w:numId="799" w16cid:durableId="1412392930">
    <w:abstractNumId w:val="719"/>
  </w:num>
  <w:num w:numId="800" w16cid:durableId="1155148006">
    <w:abstractNumId w:val="999"/>
  </w:num>
  <w:num w:numId="801" w16cid:durableId="989862885">
    <w:abstractNumId w:val="731"/>
  </w:num>
  <w:num w:numId="802" w16cid:durableId="1211041292">
    <w:abstractNumId w:val="981"/>
  </w:num>
  <w:num w:numId="803" w16cid:durableId="169951877">
    <w:abstractNumId w:val="485"/>
  </w:num>
  <w:num w:numId="804" w16cid:durableId="1956058283">
    <w:abstractNumId w:val="1484"/>
  </w:num>
  <w:num w:numId="805" w16cid:durableId="1412434902">
    <w:abstractNumId w:val="502"/>
  </w:num>
  <w:num w:numId="806" w16cid:durableId="974526588">
    <w:abstractNumId w:val="1276"/>
  </w:num>
  <w:num w:numId="807" w16cid:durableId="1367370412">
    <w:abstractNumId w:val="520"/>
  </w:num>
  <w:num w:numId="808" w16cid:durableId="666833702">
    <w:abstractNumId w:val="289"/>
  </w:num>
  <w:num w:numId="809" w16cid:durableId="1194535330">
    <w:abstractNumId w:val="225"/>
  </w:num>
  <w:num w:numId="810" w16cid:durableId="404643362">
    <w:abstractNumId w:val="1426"/>
  </w:num>
  <w:num w:numId="811" w16cid:durableId="1485702177">
    <w:abstractNumId w:val="452"/>
  </w:num>
  <w:num w:numId="812" w16cid:durableId="217514955">
    <w:abstractNumId w:val="1461"/>
  </w:num>
  <w:num w:numId="813" w16cid:durableId="1773436659">
    <w:abstractNumId w:val="1247"/>
  </w:num>
  <w:num w:numId="814" w16cid:durableId="540240221">
    <w:abstractNumId w:val="1231"/>
  </w:num>
  <w:num w:numId="815" w16cid:durableId="1711418388">
    <w:abstractNumId w:val="915"/>
  </w:num>
  <w:num w:numId="816" w16cid:durableId="733702123">
    <w:abstractNumId w:val="21"/>
  </w:num>
  <w:num w:numId="817" w16cid:durableId="276985914">
    <w:abstractNumId w:val="975"/>
  </w:num>
  <w:num w:numId="818" w16cid:durableId="674767846">
    <w:abstractNumId w:val="360"/>
  </w:num>
  <w:num w:numId="819" w16cid:durableId="1795562871">
    <w:abstractNumId w:val="1421"/>
  </w:num>
  <w:num w:numId="820" w16cid:durableId="866867711">
    <w:abstractNumId w:val="1001"/>
  </w:num>
  <w:num w:numId="821" w16cid:durableId="38092295">
    <w:abstractNumId w:val="1117"/>
  </w:num>
  <w:num w:numId="822" w16cid:durableId="385687841">
    <w:abstractNumId w:val="1044"/>
  </w:num>
  <w:num w:numId="823" w16cid:durableId="2039969617">
    <w:abstractNumId w:val="429"/>
  </w:num>
  <w:num w:numId="824" w16cid:durableId="420807262">
    <w:abstractNumId w:val="1338"/>
  </w:num>
  <w:num w:numId="825" w16cid:durableId="636570278">
    <w:abstractNumId w:val="890"/>
  </w:num>
  <w:num w:numId="826" w16cid:durableId="1740978709">
    <w:abstractNumId w:val="1470"/>
  </w:num>
  <w:num w:numId="827" w16cid:durableId="2104254437">
    <w:abstractNumId w:val="1205"/>
  </w:num>
  <w:num w:numId="828" w16cid:durableId="1940524122">
    <w:abstractNumId w:val="1373"/>
  </w:num>
  <w:num w:numId="829" w16cid:durableId="824975950">
    <w:abstractNumId w:val="1225"/>
  </w:num>
  <w:num w:numId="830" w16cid:durableId="825168567">
    <w:abstractNumId w:val="226"/>
  </w:num>
  <w:num w:numId="831" w16cid:durableId="2038583399">
    <w:abstractNumId w:val="495"/>
  </w:num>
  <w:num w:numId="832" w16cid:durableId="1484469724">
    <w:abstractNumId w:val="1393"/>
  </w:num>
  <w:num w:numId="833" w16cid:durableId="1719089551">
    <w:abstractNumId w:val="695"/>
  </w:num>
  <w:num w:numId="834" w16cid:durableId="1248347339">
    <w:abstractNumId w:val="960"/>
  </w:num>
  <w:num w:numId="835" w16cid:durableId="1124543488">
    <w:abstractNumId w:val="1399"/>
  </w:num>
  <w:num w:numId="836" w16cid:durableId="1388993752">
    <w:abstractNumId w:val="422"/>
  </w:num>
  <w:num w:numId="837" w16cid:durableId="2034577156">
    <w:abstractNumId w:val="552"/>
  </w:num>
  <w:num w:numId="838" w16cid:durableId="2081756257">
    <w:abstractNumId w:val="869"/>
  </w:num>
  <w:num w:numId="839" w16cid:durableId="1319579562">
    <w:abstractNumId w:val="741"/>
  </w:num>
  <w:num w:numId="840" w16cid:durableId="1513297503">
    <w:abstractNumId w:val="165"/>
  </w:num>
  <w:num w:numId="841" w16cid:durableId="452557839">
    <w:abstractNumId w:val="1246"/>
  </w:num>
  <w:num w:numId="842" w16cid:durableId="1141121078">
    <w:abstractNumId w:val="1268"/>
  </w:num>
  <w:num w:numId="843" w16cid:durableId="1350717500">
    <w:abstractNumId w:val="597"/>
  </w:num>
  <w:num w:numId="844" w16cid:durableId="1260991441">
    <w:abstractNumId w:val="29"/>
  </w:num>
  <w:num w:numId="845" w16cid:durableId="826240886">
    <w:abstractNumId w:val="1471"/>
  </w:num>
  <w:num w:numId="846" w16cid:durableId="371424368">
    <w:abstractNumId w:val="532"/>
  </w:num>
  <w:num w:numId="847" w16cid:durableId="832988249">
    <w:abstractNumId w:val="566"/>
  </w:num>
  <w:num w:numId="848" w16cid:durableId="470247744">
    <w:abstractNumId w:val="855"/>
  </w:num>
  <w:num w:numId="849" w16cid:durableId="242884866">
    <w:abstractNumId w:val="1159"/>
  </w:num>
  <w:num w:numId="850" w16cid:durableId="653488706">
    <w:abstractNumId w:val="199"/>
  </w:num>
  <w:num w:numId="851" w16cid:durableId="914971980">
    <w:abstractNumId w:val="943"/>
  </w:num>
  <w:num w:numId="852" w16cid:durableId="937904690">
    <w:abstractNumId w:val="453"/>
  </w:num>
  <w:num w:numId="853" w16cid:durableId="821897682">
    <w:abstractNumId w:val="1026"/>
  </w:num>
  <w:num w:numId="854" w16cid:durableId="1759254549">
    <w:abstractNumId w:val="161"/>
  </w:num>
  <w:num w:numId="855" w16cid:durableId="642319651">
    <w:abstractNumId w:val="799"/>
  </w:num>
  <w:num w:numId="856" w16cid:durableId="1494762115">
    <w:abstractNumId w:val="825"/>
  </w:num>
  <w:num w:numId="857" w16cid:durableId="1212503415">
    <w:abstractNumId w:val="45"/>
  </w:num>
  <w:num w:numId="858" w16cid:durableId="1257323180">
    <w:abstractNumId w:val="1612"/>
  </w:num>
  <w:num w:numId="859" w16cid:durableId="1069570022">
    <w:abstractNumId w:val="866"/>
  </w:num>
  <w:num w:numId="860" w16cid:durableId="1162740215">
    <w:abstractNumId w:val="1405"/>
  </w:num>
  <w:num w:numId="861" w16cid:durableId="1215892463">
    <w:abstractNumId w:val="1547"/>
  </w:num>
  <w:num w:numId="862" w16cid:durableId="88890260">
    <w:abstractNumId w:val="1558"/>
  </w:num>
  <w:num w:numId="863" w16cid:durableId="174809575">
    <w:abstractNumId w:val="1043"/>
  </w:num>
  <w:num w:numId="864" w16cid:durableId="430201654">
    <w:abstractNumId w:val="880"/>
  </w:num>
  <w:num w:numId="865" w16cid:durableId="1400440653">
    <w:abstractNumId w:val="908"/>
  </w:num>
  <w:num w:numId="866" w16cid:durableId="776413409">
    <w:abstractNumId w:val="218"/>
  </w:num>
  <w:num w:numId="867" w16cid:durableId="580605204">
    <w:abstractNumId w:val="1459"/>
  </w:num>
  <w:num w:numId="868" w16cid:durableId="2031684258">
    <w:abstractNumId w:val="368"/>
  </w:num>
  <w:num w:numId="869" w16cid:durableId="99840421">
    <w:abstractNumId w:val="1528"/>
  </w:num>
  <w:num w:numId="870" w16cid:durableId="1700426766">
    <w:abstractNumId w:val="1614"/>
  </w:num>
  <w:num w:numId="871" w16cid:durableId="2052222027">
    <w:abstractNumId w:val="135"/>
  </w:num>
  <w:num w:numId="872" w16cid:durableId="1525166052">
    <w:abstractNumId w:val="250"/>
  </w:num>
  <w:num w:numId="873" w16cid:durableId="205486542">
    <w:abstractNumId w:val="1100"/>
  </w:num>
  <w:num w:numId="874" w16cid:durableId="1110317507">
    <w:abstractNumId w:val="994"/>
  </w:num>
  <w:num w:numId="875" w16cid:durableId="1274291748">
    <w:abstractNumId w:val="978"/>
  </w:num>
  <w:num w:numId="876" w16cid:durableId="1891460322">
    <w:abstractNumId w:val="1120"/>
  </w:num>
  <w:num w:numId="877" w16cid:durableId="310327409">
    <w:abstractNumId w:val="326"/>
  </w:num>
  <w:num w:numId="878" w16cid:durableId="1930650900">
    <w:abstractNumId w:val="1623"/>
  </w:num>
  <w:num w:numId="879" w16cid:durableId="1183981983">
    <w:abstractNumId w:val="1396"/>
  </w:num>
  <w:num w:numId="880" w16cid:durableId="1508976893">
    <w:abstractNumId w:val="1557"/>
  </w:num>
  <w:num w:numId="881" w16cid:durableId="303511039">
    <w:abstractNumId w:val="1542"/>
  </w:num>
  <w:num w:numId="882" w16cid:durableId="1283148808">
    <w:abstractNumId w:val="884"/>
  </w:num>
  <w:num w:numId="883" w16cid:durableId="1910768423">
    <w:abstractNumId w:val="721"/>
  </w:num>
  <w:num w:numId="884" w16cid:durableId="176577890">
    <w:abstractNumId w:val="1035"/>
  </w:num>
  <w:num w:numId="885" w16cid:durableId="750471818">
    <w:abstractNumId w:val="1395"/>
  </w:num>
  <w:num w:numId="886" w16cid:durableId="780422162">
    <w:abstractNumId w:val="1569"/>
  </w:num>
  <w:num w:numId="887" w16cid:durableId="72431862">
    <w:abstractNumId w:val="1098"/>
  </w:num>
  <w:num w:numId="888" w16cid:durableId="1108768773">
    <w:abstractNumId w:val="1251"/>
  </w:num>
  <w:num w:numId="889" w16cid:durableId="1579366626">
    <w:abstractNumId w:val="522"/>
  </w:num>
  <w:num w:numId="890" w16cid:durableId="493302682">
    <w:abstractNumId w:val="527"/>
  </w:num>
  <w:num w:numId="891" w16cid:durableId="355624009">
    <w:abstractNumId w:val="733"/>
  </w:num>
  <w:num w:numId="892" w16cid:durableId="1909344051">
    <w:abstractNumId w:val="450"/>
  </w:num>
  <w:num w:numId="893" w16cid:durableId="748162301">
    <w:abstractNumId w:val="724"/>
  </w:num>
  <w:num w:numId="894" w16cid:durableId="2130124987">
    <w:abstractNumId w:val="1415"/>
  </w:num>
  <w:num w:numId="895" w16cid:durableId="1372923453">
    <w:abstractNumId w:val="906"/>
  </w:num>
  <w:num w:numId="896" w16cid:durableId="1236746331">
    <w:abstractNumId w:val="1009"/>
  </w:num>
  <w:num w:numId="897" w16cid:durableId="851988907">
    <w:abstractNumId w:val="1577"/>
  </w:num>
  <w:num w:numId="898" w16cid:durableId="2058821602">
    <w:abstractNumId w:val="1425"/>
  </w:num>
  <w:num w:numId="899" w16cid:durableId="771625666">
    <w:abstractNumId w:val="456"/>
  </w:num>
  <w:num w:numId="900" w16cid:durableId="29502419">
    <w:abstractNumId w:val="572"/>
  </w:num>
  <w:num w:numId="901" w16cid:durableId="518468054">
    <w:abstractNumId w:val="560"/>
  </w:num>
  <w:num w:numId="902" w16cid:durableId="1608198580">
    <w:abstractNumId w:val="834"/>
  </w:num>
  <w:num w:numId="903" w16cid:durableId="381757514">
    <w:abstractNumId w:val="10"/>
  </w:num>
  <w:num w:numId="904" w16cid:durableId="1086149507">
    <w:abstractNumId w:val="261"/>
  </w:num>
  <w:num w:numId="905" w16cid:durableId="2003389367">
    <w:abstractNumId w:val="1480"/>
  </w:num>
  <w:num w:numId="906" w16cid:durableId="34427574">
    <w:abstractNumId w:val="1024"/>
  </w:num>
  <w:num w:numId="907" w16cid:durableId="1423602583">
    <w:abstractNumId w:val="423"/>
  </w:num>
  <w:num w:numId="908" w16cid:durableId="1606306456">
    <w:abstractNumId w:val="133"/>
  </w:num>
  <w:num w:numId="909" w16cid:durableId="2057463284">
    <w:abstractNumId w:val="1025"/>
  </w:num>
  <w:num w:numId="910" w16cid:durableId="2092582421">
    <w:abstractNumId w:val="1538"/>
  </w:num>
  <w:num w:numId="911" w16cid:durableId="1686978695">
    <w:abstractNumId w:val="331"/>
  </w:num>
  <w:num w:numId="912" w16cid:durableId="1315531301">
    <w:abstractNumId w:val="676"/>
  </w:num>
  <w:num w:numId="913" w16cid:durableId="1271551723">
    <w:abstractNumId w:val="660"/>
  </w:num>
  <w:num w:numId="914" w16cid:durableId="265582773">
    <w:abstractNumId w:val="1123"/>
  </w:num>
  <w:num w:numId="915" w16cid:durableId="745879757">
    <w:abstractNumId w:val="182"/>
  </w:num>
  <w:num w:numId="916" w16cid:durableId="12805741">
    <w:abstractNumId w:val="1649"/>
  </w:num>
  <w:num w:numId="917" w16cid:durableId="1910192300">
    <w:abstractNumId w:val="1041"/>
  </w:num>
  <w:num w:numId="918" w16cid:durableId="1149438834">
    <w:abstractNumId w:val="1131"/>
  </w:num>
  <w:num w:numId="919" w16cid:durableId="520313635">
    <w:abstractNumId w:val="589"/>
  </w:num>
  <w:num w:numId="920" w16cid:durableId="1151214707">
    <w:abstractNumId w:val="651"/>
  </w:num>
  <w:num w:numId="921" w16cid:durableId="568999483">
    <w:abstractNumId w:val="335"/>
  </w:num>
  <w:num w:numId="922" w16cid:durableId="817260360">
    <w:abstractNumId w:val="1544"/>
  </w:num>
  <w:num w:numId="923" w16cid:durableId="786701805">
    <w:abstractNumId w:val="1328"/>
  </w:num>
  <w:num w:numId="924" w16cid:durableId="202525724">
    <w:abstractNumId w:val="257"/>
  </w:num>
  <w:num w:numId="925" w16cid:durableId="861165484">
    <w:abstractNumId w:val="803"/>
  </w:num>
  <w:num w:numId="926" w16cid:durableId="203058529">
    <w:abstractNumId w:val="24"/>
  </w:num>
  <w:num w:numId="927" w16cid:durableId="341392738">
    <w:abstractNumId w:val="374"/>
  </w:num>
  <w:num w:numId="928" w16cid:durableId="1610429256">
    <w:abstractNumId w:val="533"/>
  </w:num>
  <w:num w:numId="929" w16cid:durableId="262954730">
    <w:abstractNumId w:val="762"/>
  </w:num>
  <w:num w:numId="930" w16cid:durableId="681664080">
    <w:abstractNumId w:val="1618"/>
  </w:num>
  <w:num w:numId="931" w16cid:durableId="176237361">
    <w:abstractNumId w:val="628"/>
  </w:num>
  <w:num w:numId="932" w16cid:durableId="1106073159">
    <w:abstractNumId w:val="1157"/>
  </w:num>
  <w:num w:numId="933" w16cid:durableId="670646937">
    <w:abstractNumId w:val="1049"/>
  </w:num>
  <w:num w:numId="934" w16cid:durableId="2072386411">
    <w:abstractNumId w:val="107"/>
  </w:num>
  <w:num w:numId="935" w16cid:durableId="1267230844">
    <w:abstractNumId w:val="408"/>
  </w:num>
  <w:num w:numId="936" w16cid:durableId="1037587898">
    <w:abstractNumId w:val="896"/>
  </w:num>
  <w:num w:numId="937" w16cid:durableId="642000732">
    <w:abstractNumId w:val="702"/>
  </w:num>
  <w:num w:numId="938" w16cid:durableId="1621258135">
    <w:abstractNumId w:val="264"/>
  </w:num>
  <w:num w:numId="939" w16cid:durableId="1744986131">
    <w:abstractNumId w:val="462"/>
  </w:num>
  <w:num w:numId="940" w16cid:durableId="507982490">
    <w:abstractNumId w:val="598"/>
  </w:num>
  <w:num w:numId="941" w16cid:durableId="498355356">
    <w:abstractNumId w:val="1018"/>
  </w:num>
  <w:num w:numId="942" w16cid:durableId="1827277321">
    <w:abstractNumId w:val="1321"/>
  </w:num>
  <w:num w:numId="943" w16cid:durableId="1321343827">
    <w:abstractNumId w:val="1401"/>
  </w:num>
  <w:num w:numId="944" w16cid:durableId="1103068729">
    <w:abstractNumId w:val="75"/>
  </w:num>
  <w:num w:numId="945" w16cid:durableId="1269311519">
    <w:abstractNumId w:val="279"/>
  </w:num>
  <w:num w:numId="946" w16cid:durableId="1635524860">
    <w:abstractNumId w:val="593"/>
  </w:num>
  <w:num w:numId="947" w16cid:durableId="337275999">
    <w:abstractNumId w:val="717"/>
  </w:num>
  <w:num w:numId="948" w16cid:durableId="846015943">
    <w:abstractNumId w:val="1081"/>
  </w:num>
  <w:num w:numId="949" w16cid:durableId="1222864901">
    <w:abstractNumId w:val="1526"/>
  </w:num>
  <w:num w:numId="950" w16cid:durableId="176312240">
    <w:abstractNumId w:val="1411"/>
  </w:num>
  <w:num w:numId="951" w16cid:durableId="967591506">
    <w:abstractNumId w:val="551"/>
  </w:num>
  <w:num w:numId="952" w16cid:durableId="1426926434">
    <w:abstractNumId w:val="979"/>
  </w:num>
  <w:num w:numId="953" w16cid:durableId="1024749600">
    <w:abstractNumId w:val="1023"/>
  </w:num>
  <w:num w:numId="954" w16cid:durableId="151335649">
    <w:abstractNumId w:val="1365"/>
  </w:num>
  <w:num w:numId="955" w16cid:durableId="1800955571">
    <w:abstractNumId w:val="864"/>
  </w:num>
  <w:num w:numId="956" w16cid:durableId="599797560">
    <w:abstractNumId w:val="438"/>
  </w:num>
  <w:num w:numId="957" w16cid:durableId="140998993">
    <w:abstractNumId w:val="1029"/>
  </w:num>
  <w:num w:numId="958" w16cid:durableId="1212183968">
    <w:abstractNumId w:val="1273"/>
  </w:num>
  <w:num w:numId="959" w16cid:durableId="1284388366">
    <w:abstractNumId w:val="1154"/>
  </w:num>
  <w:num w:numId="960" w16cid:durableId="2126458645">
    <w:abstractNumId w:val="1352"/>
  </w:num>
  <w:num w:numId="961" w16cid:durableId="130900314">
    <w:abstractNumId w:val="1171"/>
  </w:num>
  <w:num w:numId="962" w16cid:durableId="1218316588">
    <w:abstractNumId w:val="1068"/>
  </w:num>
  <w:num w:numId="963" w16cid:durableId="1114442561">
    <w:abstractNumId w:val="1329"/>
  </w:num>
  <w:num w:numId="964" w16cid:durableId="2091152316">
    <w:abstractNumId w:val="430"/>
  </w:num>
  <w:num w:numId="965" w16cid:durableId="210001289">
    <w:abstractNumId w:val="938"/>
  </w:num>
  <w:num w:numId="966" w16cid:durableId="1214854606">
    <w:abstractNumId w:val="1406"/>
  </w:num>
  <w:num w:numId="967" w16cid:durableId="1814785713">
    <w:abstractNumId w:val="1007"/>
  </w:num>
  <w:num w:numId="968" w16cid:durableId="1241135688">
    <w:abstractNumId w:val="85"/>
  </w:num>
  <w:num w:numId="969" w16cid:durableId="1313020193">
    <w:abstractNumId w:val="882"/>
  </w:num>
  <w:num w:numId="970" w16cid:durableId="1971202524">
    <w:abstractNumId w:val="971"/>
  </w:num>
  <w:num w:numId="971" w16cid:durableId="153228603">
    <w:abstractNumId w:val="446"/>
  </w:num>
  <w:num w:numId="972" w16cid:durableId="1507480434">
    <w:abstractNumId w:val="1229"/>
  </w:num>
  <w:num w:numId="973" w16cid:durableId="1583685678">
    <w:abstractNumId w:val="265"/>
  </w:num>
  <w:num w:numId="974" w16cid:durableId="1457990841">
    <w:abstractNumId w:val="403"/>
  </w:num>
  <w:num w:numId="975" w16cid:durableId="773592917">
    <w:abstractNumId w:val="926"/>
  </w:num>
  <w:num w:numId="976" w16cid:durableId="1904103943">
    <w:abstractNumId w:val="629"/>
  </w:num>
  <w:num w:numId="977" w16cid:durableId="649285683">
    <w:abstractNumId w:val="788"/>
  </w:num>
  <w:num w:numId="978" w16cid:durableId="1938783544">
    <w:abstractNumId w:val="905"/>
  </w:num>
  <w:num w:numId="979" w16cid:durableId="76830665">
    <w:abstractNumId w:val="765"/>
  </w:num>
  <w:num w:numId="980" w16cid:durableId="1964188292">
    <w:abstractNumId w:val="112"/>
  </w:num>
  <w:num w:numId="981" w16cid:durableId="1199010100">
    <w:abstractNumId w:val="1204"/>
  </w:num>
  <w:num w:numId="982" w16cid:durableId="1722288767">
    <w:abstractNumId w:val="1626"/>
  </w:num>
  <w:num w:numId="983" w16cid:durableId="1416129273">
    <w:abstractNumId w:val="755"/>
  </w:num>
  <w:num w:numId="984" w16cid:durableId="1789006509">
    <w:abstractNumId w:val="909"/>
  </w:num>
  <w:num w:numId="985" w16cid:durableId="2036081629">
    <w:abstractNumId w:val="777"/>
  </w:num>
  <w:num w:numId="986" w16cid:durableId="513569457">
    <w:abstractNumId w:val="1601"/>
  </w:num>
  <w:num w:numId="987" w16cid:durableId="1566067750">
    <w:abstractNumId w:val="1102"/>
  </w:num>
  <w:num w:numId="988" w16cid:durableId="249779684">
    <w:abstractNumId w:val="5"/>
  </w:num>
  <w:num w:numId="989" w16cid:durableId="1821993960">
    <w:abstractNumId w:val="714"/>
  </w:num>
  <w:num w:numId="990" w16cid:durableId="995382500">
    <w:abstractNumId w:val="1436"/>
  </w:num>
  <w:num w:numId="991" w16cid:durableId="1653558733">
    <w:abstractNumId w:val="577"/>
  </w:num>
  <w:num w:numId="992" w16cid:durableId="146556765">
    <w:abstractNumId w:val="1211"/>
  </w:num>
  <w:num w:numId="993" w16cid:durableId="598874506">
    <w:abstractNumId w:val="1286"/>
  </w:num>
  <w:num w:numId="994" w16cid:durableId="263196416">
    <w:abstractNumId w:val="346"/>
  </w:num>
  <w:num w:numId="995" w16cid:durableId="29037623">
    <w:abstractNumId w:val="355"/>
  </w:num>
  <w:num w:numId="996" w16cid:durableId="1378048788">
    <w:abstractNumId w:val="467"/>
  </w:num>
  <w:num w:numId="997" w16cid:durableId="501430598">
    <w:abstractNumId w:val="91"/>
  </w:num>
  <w:num w:numId="998" w16cid:durableId="1567914565">
    <w:abstractNumId w:val="1347"/>
  </w:num>
  <w:num w:numId="999" w16cid:durableId="1249119736">
    <w:abstractNumId w:val="275"/>
  </w:num>
  <w:num w:numId="1000" w16cid:durableId="124390342">
    <w:abstractNumId w:val="1285"/>
  </w:num>
  <w:num w:numId="1001" w16cid:durableId="666177950">
    <w:abstractNumId w:val="794"/>
  </w:num>
  <w:num w:numId="1002" w16cid:durableId="1889028977">
    <w:abstractNumId w:val="285"/>
  </w:num>
  <w:num w:numId="1003" w16cid:durableId="1814059992">
    <w:abstractNumId w:val="1053"/>
  </w:num>
  <w:num w:numId="1004" w16cid:durableId="1174998248">
    <w:abstractNumId w:val="654"/>
  </w:num>
  <w:num w:numId="1005" w16cid:durableId="358507759">
    <w:abstractNumId w:val="164"/>
  </w:num>
  <w:num w:numId="1006" w16cid:durableId="1801413238">
    <w:abstractNumId w:val="998"/>
  </w:num>
  <w:num w:numId="1007" w16cid:durableId="151069788">
    <w:abstractNumId w:val="1282"/>
  </w:num>
  <w:num w:numId="1008" w16cid:durableId="613826467">
    <w:abstractNumId w:val="242"/>
  </w:num>
  <w:num w:numId="1009" w16cid:durableId="671299256">
    <w:abstractNumId w:val="1013"/>
  </w:num>
  <w:num w:numId="1010" w16cid:durableId="1698197430">
    <w:abstractNumId w:val="496"/>
  </w:num>
  <w:num w:numId="1011" w16cid:durableId="1319113666">
    <w:abstractNumId w:val="1316"/>
  </w:num>
  <w:num w:numId="1012" w16cid:durableId="600989740">
    <w:abstractNumId w:val="1201"/>
  </w:num>
  <w:num w:numId="1013" w16cid:durableId="1028723476">
    <w:abstractNumId w:val="1617"/>
  </w:num>
  <w:num w:numId="1014" w16cid:durableId="1709840494">
    <w:abstractNumId w:val="61"/>
  </w:num>
  <w:num w:numId="1015" w16cid:durableId="172383553">
    <w:abstractNumId w:val="102"/>
  </w:num>
  <w:num w:numId="1016" w16cid:durableId="1412585033">
    <w:abstractNumId w:val="215"/>
  </w:num>
  <w:num w:numId="1017" w16cid:durableId="1594900449">
    <w:abstractNumId w:val="509"/>
  </w:num>
  <w:num w:numId="1018" w16cid:durableId="661005994">
    <w:abstractNumId w:val="1135"/>
  </w:num>
  <w:num w:numId="1019" w16cid:durableId="1070729606">
    <w:abstractNumId w:val="1545"/>
  </w:num>
  <w:num w:numId="1020" w16cid:durableId="1538540039">
    <w:abstractNumId w:val="1324"/>
  </w:num>
  <w:num w:numId="1021" w16cid:durableId="1586918944">
    <w:abstractNumId w:val="194"/>
  </w:num>
  <w:num w:numId="1022" w16cid:durableId="1721249513">
    <w:abstractNumId w:val="581"/>
  </w:num>
  <w:num w:numId="1023" w16cid:durableId="150099880">
    <w:abstractNumId w:val="1253"/>
  </w:num>
  <w:num w:numId="1024" w16cid:durableId="37436517">
    <w:abstractNumId w:val="1192"/>
  </w:num>
  <w:num w:numId="1025" w16cid:durableId="1579361998">
    <w:abstractNumId w:val="927"/>
  </w:num>
  <w:num w:numId="1026" w16cid:durableId="1065683342">
    <w:abstractNumId w:val="1156"/>
  </w:num>
  <w:num w:numId="1027" w16cid:durableId="492452064">
    <w:abstractNumId w:val="1582"/>
  </w:num>
  <w:num w:numId="1028" w16cid:durableId="26377150">
    <w:abstractNumId w:val="115"/>
  </w:num>
  <w:num w:numId="1029" w16cid:durableId="1598368073">
    <w:abstractNumId w:val="129"/>
  </w:num>
  <w:num w:numId="1030" w16cid:durableId="2116057070">
    <w:abstractNumId w:val="126"/>
  </w:num>
  <w:num w:numId="1031" w16cid:durableId="726030272">
    <w:abstractNumId w:val="220"/>
  </w:num>
  <w:num w:numId="1032" w16cid:durableId="1119256121">
    <w:abstractNumId w:val="1428"/>
  </w:num>
  <w:num w:numId="1033" w16cid:durableId="1800801486">
    <w:abstractNumId w:val="1136"/>
  </w:num>
  <w:num w:numId="1034" w16cid:durableId="2061392698">
    <w:abstractNumId w:val="583"/>
  </w:num>
  <w:num w:numId="1035" w16cid:durableId="841630237">
    <w:abstractNumId w:val="664"/>
  </w:num>
  <w:num w:numId="1036" w16cid:durableId="822546216">
    <w:abstractNumId w:val="771"/>
  </w:num>
  <w:num w:numId="1037" w16cid:durableId="355428832">
    <w:abstractNumId w:val="969"/>
  </w:num>
  <w:num w:numId="1038" w16cid:durableId="1490749546">
    <w:abstractNumId w:val="443"/>
  </w:num>
  <w:num w:numId="1039" w16cid:durableId="1421296118">
    <w:abstractNumId w:val="1523"/>
  </w:num>
  <w:num w:numId="1040" w16cid:durableId="545677636">
    <w:abstractNumId w:val="333"/>
  </w:num>
  <w:num w:numId="1041" w16cid:durableId="1148353279">
    <w:abstractNumId w:val="644"/>
  </w:num>
  <w:num w:numId="1042" w16cid:durableId="1509709840">
    <w:abstractNumId w:val="958"/>
  </w:num>
  <w:num w:numId="1043" w16cid:durableId="1937398069">
    <w:abstractNumId w:val="1388"/>
  </w:num>
  <w:num w:numId="1044" w16cid:durableId="1097292079">
    <w:abstractNumId w:val="1475"/>
  </w:num>
  <w:num w:numId="1045" w16cid:durableId="32119619">
    <w:abstractNumId w:val="783"/>
  </w:num>
  <w:num w:numId="1046" w16cid:durableId="50732023">
    <w:abstractNumId w:val="1191"/>
  </w:num>
  <w:num w:numId="1047" w16cid:durableId="839929759">
    <w:abstractNumId w:val="1367"/>
  </w:num>
  <w:num w:numId="1048" w16cid:durableId="1133063782">
    <w:abstractNumId w:val="959"/>
  </w:num>
  <w:num w:numId="1049" w16cid:durableId="516432570">
    <w:abstractNumId w:val="1072"/>
  </w:num>
  <w:num w:numId="1050" w16cid:durableId="544215394">
    <w:abstractNumId w:val="1214"/>
  </w:num>
  <w:num w:numId="1051" w16cid:durableId="46071964">
    <w:abstractNumId w:val="357"/>
  </w:num>
  <w:num w:numId="1052" w16cid:durableId="1451700669">
    <w:abstractNumId w:val="907"/>
  </w:num>
  <w:num w:numId="1053" w16cid:durableId="1242371350">
    <w:abstractNumId w:val="659"/>
  </w:num>
  <w:num w:numId="1054" w16cid:durableId="1940796339">
    <w:abstractNumId w:val="995"/>
  </w:num>
  <w:num w:numId="1055" w16cid:durableId="778524428">
    <w:abstractNumId w:val="972"/>
  </w:num>
  <w:num w:numId="1056" w16cid:durableId="705719818">
    <w:abstractNumId w:val="417"/>
  </w:num>
  <w:num w:numId="1057" w16cid:durableId="1015499262">
    <w:abstractNumId w:val="16"/>
  </w:num>
  <w:num w:numId="1058" w16cid:durableId="1900745220">
    <w:abstractNumId w:val="1319"/>
  </w:num>
  <w:num w:numId="1059" w16cid:durableId="1957591848">
    <w:abstractNumId w:val="1641"/>
  </w:num>
  <w:num w:numId="1060" w16cid:durableId="867332951">
    <w:abstractNumId w:val="391"/>
  </w:num>
  <w:num w:numId="1061" w16cid:durableId="1208489799">
    <w:abstractNumId w:val="902"/>
  </w:num>
  <w:num w:numId="1062" w16cid:durableId="113520613">
    <w:abstractNumId w:val="1172"/>
  </w:num>
  <w:num w:numId="1063" w16cid:durableId="1773016088">
    <w:abstractNumId w:val="817"/>
  </w:num>
  <w:num w:numId="1064" w16cid:durableId="770586877">
    <w:abstractNumId w:val="28"/>
  </w:num>
  <w:num w:numId="1065" w16cid:durableId="228158331">
    <w:abstractNumId w:val="976"/>
  </w:num>
  <w:num w:numId="1066" w16cid:durableId="906768099">
    <w:abstractNumId w:val="1574"/>
  </w:num>
  <w:num w:numId="1067" w16cid:durableId="979068304">
    <w:abstractNumId w:val="235"/>
  </w:num>
  <w:num w:numId="1068" w16cid:durableId="94137817">
    <w:abstractNumId w:val="538"/>
  </w:num>
  <w:num w:numId="1069" w16cid:durableId="2111309931">
    <w:abstractNumId w:val="1306"/>
  </w:num>
  <w:num w:numId="1070" w16cid:durableId="161354112">
    <w:abstractNumId w:val="1101"/>
  </w:num>
  <w:num w:numId="1071" w16cid:durableId="1703165703">
    <w:abstractNumId w:val="631"/>
  </w:num>
  <w:num w:numId="1072" w16cid:durableId="2013222263">
    <w:abstractNumId w:val="18"/>
  </w:num>
  <w:num w:numId="1073" w16cid:durableId="1060514538">
    <w:abstractNumId w:val="1386"/>
  </w:num>
  <w:num w:numId="1074" w16cid:durableId="2017611158">
    <w:abstractNumId w:val="818"/>
  </w:num>
  <w:num w:numId="1075" w16cid:durableId="9645945">
    <w:abstractNumId w:val="993"/>
  </w:num>
  <w:num w:numId="1076" w16cid:durableId="1875463119">
    <w:abstractNumId w:val="348"/>
  </w:num>
  <w:num w:numId="1077" w16cid:durableId="1100376364">
    <w:abstractNumId w:val="1343"/>
  </w:num>
  <w:num w:numId="1078" w16cid:durableId="523447048">
    <w:abstractNumId w:val="792"/>
  </w:num>
  <w:num w:numId="1079" w16cid:durableId="625891611">
    <w:abstractNumId w:val="863"/>
  </w:num>
  <w:num w:numId="1080" w16cid:durableId="1394426109">
    <w:abstractNumId w:val="313"/>
  </w:num>
  <w:num w:numId="1081" w16cid:durableId="268322389">
    <w:abstractNumId w:val="352"/>
  </w:num>
  <w:num w:numId="1082" w16cid:durableId="2143769792">
    <w:abstractNumId w:val="147"/>
  </w:num>
  <w:num w:numId="1083" w16cid:durableId="1910462693">
    <w:abstractNumId w:val="942"/>
  </w:num>
  <w:num w:numId="1084" w16cid:durableId="1758282484">
    <w:abstractNumId w:val="350"/>
  </w:num>
  <w:num w:numId="1085" w16cid:durableId="1384135111">
    <w:abstractNumId w:val="965"/>
  </w:num>
  <w:num w:numId="1086" w16cid:durableId="1528830925">
    <w:abstractNumId w:val="306"/>
  </w:num>
  <w:num w:numId="1087" w16cid:durableId="450243380">
    <w:abstractNumId w:val="766"/>
  </w:num>
  <w:num w:numId="1088" w16cid:durableId="1303266059">
    <w:abstractNumId w:val="1270"/>
  </w:num>
  <w:num w:numId="1089" w16cid:durableId="102530890">
    <w:abstractNumId w:val="1361"/>
  </w:num>
  <w:num w:numId="1090" w16cid:durableId="2031909856">
    <w:abstractNumId w:val="312"/>
  </w:num>
  <w:num w:numId="1091" w16cid:durableId="183174381">
    <w:abstractNumId w:val="1297"/>
  </w:num>
  <w:num w:numId="1092" w16cid:durableId="1445151737">
    <w:abstractNumId w:val="1372"/>
  </w:num>
  <w:num w:numId="1093" w16cid:durableId="1775125537">
    <w:abstractNumId w:val="1490"/>
  </w:num>
  <w:num w:numId="1094" w16cid:durableId="1416050772">
    <w:abstractNumId w:val="248"/>
  </w:num>
  <w:num w:numId="1095" w16cid:durableId="1524244728">
    <w:abstractNumId w:val="567"/>
  </w:num>
  <w:num w:numId="1096" w16cid:durableId="425155847">
    <w:abstractNumId w:val="1200"/>
  </w:num>
  <w:num w:numId="1097" w16cid:durableId="1410925527">
    <w:abstractNumId w:val="351"/>
  </w:num>
  <w:num w:numId="1098" w16cid:durableId="1942175781">
    <w:abstractNumId w:val="1142"/>
  </w:num>
  <w:num w:numId="1099" w16cid:durableId="1200783044">
    <w:abstractNumId w:val="727"/>
  </w:num>
  <w:num w:numId="1100" w16cid:durableId="2036609887">
    <w:abstractNumId w:val="559"/>
  </w:num>
  <w:num w:numId="1101" w16cid:durableId="998460307">
    <w:abstractNumId w:val="689"/>
  </w:num>
  <w:num w:numId="1102" w16cid:durableId="1579748321">
    <w:abstractNumId w:val="287"/>
  </w:num>
  <w:num w:numId="1103" w16cid:durableId="825511248">
    <w:abstractNumId w:val="378"/>
  </w:num>
  <w:num w:numId="1104" w16cid:durableId="1990279595">
    <w:abstractNumId w:val="103"/>
  </w:num>
  <w:num w:numId="1105" w16cid:durableId="1943490689">
    <w:abstractNumId w:val="1298"/>
  </w:num>
  <w:num w:numId="1106" w16cid:durableId="104422513">
    <w:abstractNumId w:val="57"/>
  </w:num>
  <w:num w:numId="1107" w16cid:durableId="1328169283">
    <w:abstractNumId w:val="95"/>
  </w:num>
  <w:num w:numId="1108" w16cid:durableId="228730253">
    <w:abstractNumId w:val="1447"/>
  </w:num>
  <w:num w:numId="1109" w16cid:durableId="1600605630">
    <w:abstractNumId w:val="742"/>
  </w:num>
  <w:num w:numId="1110" w16cid:durableId="318001571">
    <w:abstractNumId w:val="451"/>
  </w:num>
  <w:num w:numId="1111" w16cid:durableId="1880630503">
    <w:abstractNumId w:val="982"/>
  </w:num>
  <w:num w:numId="1112" w16cid:durableId="2119595008">
    <w:abstractNumId w:val="449"/>
  </w:num>
  <w:num w:numId="1113" w16cid:durableId="1547449859">
    <w:abstractNumId w:val="381"/>
  </w:num>
  <w:num w:numId="1114" w16cid:durableId="2107261659">
    <w:abstractNumId w:val="1651"/>
  </w:num>
  <w:num w:numId="1115" w16cid:durableId="1711953795">
    <w:abstractNumId w:val="614"/>
  </w:num>
  <w:num w:numId="1116" w16cid:durableId="1531916264">
    <w:abstractNumId w:val="288"/>
  </w:num>
  <w:num w:numId="1117" w16cid:durableId="1979604538">
    <w:abstractNumId w:val="1472"/>
  </w:num>
  <w:num w:numId="1118" w16cid:durableId="848566586">
    <w:abstractNumId w:val="1507"/>
  </w:num>
  <w:num w:numId="1119" w16cid:durableId="1824347999">
    <w:abstractNumId w:val="1169"/>
  </w:num>
  <w:num w:numId="1120" w16cid:durableId="2026517720">
    <w:abstractNumId w:val="1610"/>
  </w:num>
  <w:num w:numId="1121" w16cid:durableId="471675669">
    <w:abstractNumId w:val="1096"/>
  </w:num>
  <w:num w:numId="1122" w16cid:durableId="876159628">
    <w:abstractNumId w:val="556"/>
  </w:num>
  <w:num w:numId="1123" w16cid:durableId="120806830">
    <w:abstractNumId w:val="380"/>
  </w:num>
  <w:num w:numId="1124" w16cid:durableId="1097484973">
    <w:abstractNumId w:val="760"/>
  </w:num>
  <w:num w:numId="1125" w16cid:durableId="1061754293">
    <w:abstractNumId w:val="416"/>
  </w:num>
  <w:num w:numId="1126" w16cid:durableId="2125541603">
    <w:abstractNumId w:val="487"/>
  </w:num>
  <w:num w:numId="1127" w16cid:durableId="1515920301">
    <w:abstractNumId w:val="1508"/>
  </w:num>
  <w:num w:numId="1128" w16cid:durableId="76875852">
    <w:abstractNumId w:val="1504"/>
  </w:num>
  <w:num w:numId="1129" w16cid:durableId="2129932946">
    <w:abstractNumId w:val="588"/>
  </w:num>
  <w:num w:numId="1130" w16cid:durableId="117535447">
    <w:abstractNumId w:val="53"/>
  </w:num>
  <w:num w:numId="1131" w16cid:durableId="1363049700">
    <w:abstractNumId w:val="394"/>
  </w:num>
  <w:num w:numId="1132" w16cid:durableId="510489841">
    <w:abstractNumId w:val="1616"/>
  </w:num>
  <w:num w:numId="1133" w16cid:durableId="63988151">
    <w:abstractNumId w:val="1228"/>
  </w:num>
  <w:num w:numId="1134" w16cid:durableId="530143214">
    <w:abstractNumId w:val="328"/>
  </w:num>
  <w:num w:numId="1135" w16cid:durableId="2042898738">
    <w:abstractNumId w:val="191"/>
  </w:num>
  <w:num w:numId="1136" w16cid:durableId="67306844">
    <w:abstractNumId w:val="1559"/>
  </w:num>
  <w:num w:numId="1137" w16cid:durableId="927881432">
    <w:abstractNumId w:val="897"/>
  </w:num>
  <w:num w:numId="1138" w16cid:durableId="994912953">
    <w:abstractNumId w:val="744"/>
  </w:num>
  <w:num w:numId="1139" w16cid:durableId="1900938553">
    <w:abstractNumId w:val="1380"/>
  </w:num>
  <w:num w:numId="1140" w16cid:durableId="1920287245">
    <w:abstractNumId w:val="1548"/>
  </w:num>
  <w:num w:numId="1141" w16cid:durableId="177936199">
    <w:abstractNumId w:val="255"/>
  </w:num>
  <w:num w:numId="1142" w16cid:durableId="317615799">
    <w:abstractNumId w:val="941"/>
  </w:num>
  <w:num w:numId="1143" w16cid:durableId="779956299">
    <w:abstractNumId w:val="1181"/>
  </w:num>
  <w:num w:numId="1144" w16cid:durableId="387150359">
    <w:abstractNumId w:val="934"/>
  </w:num>
  <w:num w:numId="1145" w16cid:durableId="331302655">
    <w:abstractNumId w:val="1255"/>
  </w:num>
  <w:num w:numId="1146" w16cid:durableId="1718820854">
    <w:abstractNumId w:val="599"/>
  </w:num>
  <w:num w:numId="1147" w16cid:durableId="6835801">
    <w:abstractNumId w:val="387"/>
  </w:num>
  <w:num w:numId="1148" w16cid:durableId="1607271356">
    <w:abstractNumId w:val="156"/>
  </w:num>
  <w:num w:numId="1149" w16cid:durableId="1111630028">
    <w:abstractNumId w:val="1239"/>
  </w:num>
  <w:num w:numId="1150" w16cid:durableId="2097818302">
    <w:abstractNumId w:val="178"/>
  </w:num>
  <w:num w:numId="1151" w16cid:durableId="1662927410">
    <w:abstractNumId w:val="1622"/>
  </w:num>
  <w:num w:numId="1152" w16cid:durableId="661355837">
    <w:abstractNumId w:val="1299"/>
  </w:num>
  <w:num w:numId="1153" w16cid:durableId="541091203">
    <w:abstractNumId w:val="86"/>
  </w:num>
  <w:num w:numId="1154" w16cid:durableId="100300255">
    <w:abstractNumId w:val="1132"/>
  </w:num>
  <w:num w:numId="1155" w16cid:durableId="431704915">
    <w:abstractNumId w:val="1163"/>
  </w:num>
  <w:num w:numId="1156" w16cid:durableId="1263683587">
    <w:abstractNumId w:val="1227"/>
  </w:num>
  <w:num w:numId="1157" w16cid:durableId="1864243919">
    <w:abstractNumId w:val="1590"/>
  </w:num>
  <w:num w:numId="1158" w16cid:durableId="1397511726">
    <w:abstractNumId w:val="1398"/>
  </w:num>
  <w:num w:numId="1159" w16cid:durableId="1208179863">
    <w:abstractNumId w:val="1295"/>
  </w:num>
  <w:num w:numId="1160" w16cid:durableId="2063823919">
    <w:abstractNumId w:val="1435"/>
  </w:num>
  <w:num w:numId="1161" w16cid:durableId="731393357">
    <w:abstractNumId w:val="25"/>
  </w:num>
  <w:num w:numId="1162" w16cid:durableId="1256550763">
    <w:abstractNumId w:val="1549"/>
  </w:num>
  <w:num w:numId="1163" w16cid:durableId="581720063">
    <w:abstractNumId w:val="26"/>
  </w:num>
  <w:num w:numId="1164" w16cid:durableId="1728188943">
    <w:abstractNumId w:val="123"/>
  </w:num>
  <w:num w:numId="1165" w16cid:durableId="1896155946">
    <w:abstractNumId w:val="49"/>
  </w:num>
  <w:num w:numId="1166" w16cid:durableId="752970313">
    <w:abstractNumId w:val="1384"/>
  </w:num>
  <w:num w:numId="1167" w16cid:durableId="233122818">
    <w:abstractNumId w:val="379"/>
  </w:num>
  <w:num w:numId="1168" w16cid:durableId="1254514150">
    <w:abstractNumId w:val="1055"/>
  </w:num>
  <w:num w:numId="1169" w16cid:durableId="1112093808">
    <w:abstractNumId w:val="1277"/>
  </w:num>
  <w:num w:numId="1170" w16cid:durableId="1723559055">
    <w:abstractNumId w:val="101"/>
  </w:num>
  <w:num w:numId="1171" w16cid:durableId="1796604749">
    <w:abstractNumId w:val="8"/>
  </w:num>
  <w:num w:numId="1172" w16cid:durableId="1661688099">
    <w:abstractNumId w:val="42"/>
  </w:num>
  <w:num w:numId="1173" w16cid:durableId="636910273">
    <w:abstractNumId w:val="1573"/>
  </w:num>
  <w:num w:numId="1174" w16cid:durableId="846604563">
    <w:abstractNumId w:val="1218"/>
  </w:num>
  <w:num w:numId="1175" w16cid:durableId="885994105">
    <w:abstractNumId w:val="299"/>
  </w:num>
  <w:num w:numId="1176" w16cid:durableId="2020157107">
    <w:abstractNumId w:val="636"/>
  </w:num>
  <w:num w:numId="1177" w16cid:durableId="947398029">
    <w:abstractNumId w:val="984"/>
  </w:num>
  <w:num w:numId="1178" w16cid:durableId="1938128786">
    <w:abstractNumId w:val="1164"/>
  </w:num>
  <w:num w:numId="1179" w16cid:durableId="419376362">
    <w:abstractNumId w:val="1595"/>
  </w:num>
  <w:num w:numId="1180" w16cid:durableId="136802696">
    <w:abstractNumId w:val="183"/>
  </w:num>
  <w:num w:numId="1181" w16cid:durableId="630015692">
    <w:abstractNumId w:val="574"/>
  </w:num>
  <w:num w:numId="1182" w16cid:durableId="34349613">
    <w:abstractNumId w:val="205"/>
  </w:num>
  <w:num w:numId="1183" w16cid:durableId="358893929">
    <w:abstractNumId w:val="913"/>
  </w:num>
  <w:num w:numId="1184" w16cid:durableId="133374107">
    <w:abstractNumId w:val="768"/>
  </w:num>
  <w:num w:numId="1185" w16cid:durableId="1053771735">
    <w:abstractNumId w:val="74"/>
  </w:num>
  <w:num w:numId="1186" w16cid:durableId="1183857721">
    <w:abstractNumId w:val="696"/>
  </w:num>
  <w:num w:numId="1187" w16cid:durableId="2031569922">
    <w:abstractNumId w:val="1366"/>
  </w:num>
  <w:num w:numId="1188" w16cid:durableId="896013150">
    <w:abstractNumId w:val="647"/>
  </w:num>
  <w:num w:numId="1189" w16cid:durableId="987637552">
    <w:abstractNumId w:val="987"/>
  </w:num>
  <w:num w:numId="1190" w16cid:durableId="42675141">
    <w:abstractNumId w:val="524"/>
  </w:num>
  <w:num w:numId="1191" w16cid:durableId="1509172980">
    <w:abstractNumId w:val="271"/>
  </w:num>
  <w:num w:numId="1192" w16cid:durableId="1207448550">
    <w:abstractNumId w:val="652"/>
  </w:num>
  <w:num w:numId="1193" w16cid:durableId="471943151">
    <w:abstractNumId w:val="278"/>
  </w:num>
  <w:num w:numId="1194" w16cid:durableId="1059599322">
    <w:abstractNumId w:val="635"/>
  </w:num>
  <w:num w:numId="1195" w16cid:durableId="1510370096">
    <w:abstractNumId w:val="246"/>
  </w:num>
  <w:num w:numId="1196" w16cid:durableId="878202717">
    <w:abstractNumId w:val="510"/>
  </w:num>
  <w:num w:numId="1197" w16cid:durableId="1151751336">
    <w:abstractNumId w:val="867"/>
  </w:num>
  <w:num w:numId="1198" w16cid:durableId="1547176320">
    <w:abstractNumId w:val="1212"/>
  </w:num>
  <w:num w:numId="1199" w16cid:durableId="1330062396">
    <w:abstractNumId w:val="704"/>
  </w:num>
  <w:num w:numId="1200" w16cid:durableId="578297427">
    <w:abstractNumId w:val="569"/>
  </w:num>
  <w:num w:numId="1201" w16cid:durableId="1662852211">
    <w:abstractNumId w:val="826"/>
  </w:num>
  <w:num w:numId="1202" w16cid:durableId="186259981">
    <w:abstractNumId w:val="1168"/>
  </w:num>
  <w:num w:numId="1203" w16cid:durableId="727606135">
    <w:abstractNumId w:val="204"/>
  </w:num>
  <w:num w:numId="1204" w16cid:durableId="503788391">
    <w:abstractNumId w:val="595"/>
  </w:num>
  <w:num w:numId="1205" w16cid:durableId="496657699">
    <w:abstractNumId w:val="840"/>
  </w:num>
  <w:num w:numId="1206" w16cid:durableId="1515651649">
    <w:abstractNumId w:val="268"/>
  </w:num>
  <w:num w:numId="1207" w16cid:durableId="158624265">
    <w:abstractNumId w:val="1087"/>
  </w:num>
  <w:num w:numId="1208" w16cid:durableId="520818059">
    <w:abstractNumId w:val="295"/>
  </w:num>
  <w:num w:numId="1209" w16cid:durableId="1699428365">
    <w:abstractNumId w:val="1593"/>
  </w:num>
  <w:num w:numId="1210" w16cid:durableId="1076825868">
    <w:abstractNumId w:val="365"/>
  </w:num>
  <w:num w:numId="1211" w16cid:durableId="1598949129">
    <w:abstractNumId w:val="1587"/>
  </w:num>
  <w:num w:numId="1212" w16cid:durableId="522548539">
    <w:abstractNumId w:val="1092"/>
  </w:num>
  <w:num w:numId="1213" w16cid:durableId="345399470">
    <w:abstractNumId w:val="670"/>
  </w:num>
  <w:num w:numId="1214" w16cid:durableId="1668899943">
    <w:abstractNumId w:val="873"/>
  </w:num>
  <w:num w:numId="1215" w16cid:durableId="1576938036">
    <w:abstractNumId w:val="143"/>
  </w:num>
  <w:num w:numId="1216" w16cid:durableId="1640918279">
    <w:abstractNumId w:val="852"/>
  </w:num>
  <w:num w:numId="1217" w16cid:durableId="1859150410">
    <w:abstractNumId w:val="875"/>
  </w:num>
  <w:num w:numId="1218" w16cid:durableId="1195463304">
    <w:abstractNumId w:val="383"/>
  </w:num>
  <w:num w:numId="1219" w16cid:durableId="429854200">
    <w:abstractNumId w:val="480"/>
  </w:num>
  <w:num w:numId="1220" w16cid:durableId="1626155656">
    <w:abstractNumId w:val="302"/>
  </w:num>
  <w:num w:numId="1221" w16cid:durableId="1412770472">
    <w:abstractNumId w:val="1308"/>
  </w:num>
  <w:num w:numId="1222" w16cid:durableId="572617106">
    <w:abstractNumId w:val="810"/>
  </w:num>
  <w:num w:numId="1223" w16cid:durableId="359402191">
    <w:abstractNumId w:val="1443"/>
  </w:num>
  <w:num w:numId="1224" w16cid:durableId="799736106">
    <w:abstractNumId w:val="1038"/>
  </w:num>
  <w:num w:numId="1225" w16cid:durableId="2441188">
    <w:abstractNumId w:val="361"/>
  </w:num>
  <w:num w:numId="1226" w16cid:durableId="207886559">
    <w:abstractNumId w:val="419"/>
  </w:num>
  <w:num w:numId="1227" w16cid:durableId="181408085">
    <w:abstractNumId w:val="1293"/>
  </w:num>
  <w:num w:numId="1228" w16cid:durableId="1471096330">
    <w:abstractNumId w:val="55"/>
  </w:num>
  <w:num w:numId="1229" w16cid:durableId="1643189652">
    <w:abstractNumId w:val="1304"/>
  </w:num>
  <w:num w:numId="1230" w16cid:durableId="1618025125">
    <w:abstractNumId w:val="256"/>
  </w:num>
  <w:num w:numId="1231" w16cid:durableId="998118986">
    <w:abstractNumId w:val="421"/>
  </w:num>
  <w:num w:numId="1232" w16cid:durableId="235286789">
    <w:abstractNumId w:val="463"/>
  </w:num>
  <w:num w:numId="1233" w16cid:durableId="1914855708">
    <w:abstractNumId w:val="545"/>
  </w:num>
  <w:num w:numId="1234" w16cid:durableId="1626306509">
    <w:abstractNumId w:val="1505"/>
  </w:num>
  <w:num w:numId="1235" w16cid:durableId="153836114">
    <w:abstractNumId w:val="1193"/>
  </w:num>
  <w:num w:numId="1236" w16cid:durableId="966622081">
    <w:abstractNumId w:val="41"/>
  </w:num>
  <w:num w:numId="1237" w16cid:durableId="1176000393">
    <w:abstractNumId w:val="988"/>
  </w:num>
  <w:num w:numId="1238" w16cid:durableId="615796481">
    <w:abstractNumId w:val="35"/>
  </w:num>
  <w:num w:numId="1239" w16cid:durableId="104038133">
    <w:abstractNumId w:val="1473"/>
  </w:num>
  <w:num w:numId="1240" w16cid:durableId="1418669634">
    <w:abstractNumId w:val="643"/>
  </w:num>
  <w:num w:numId="1241" w16cid:durableId="451752405">
    <w:abstractNumId w:val="1579"/>
  </w:num>
  <w:num w:numId="1242" w16cid:durableId="85274498">
    <w:abstractNumId w:val="1124"/>
  </w:num>
  <w:num w:numId="1243" w16cid:durableId="1266840952">
    <w:abstractNumId w:val="62"/>
  </w:num>
  <w:num w:numId="1244" w16cid:durableId="1503474033">
    <w:abstractNumId w:val="836"/>
  </w:num>
  <w:num w:numId="1245" w16cid:durableId="1156997668">
    <w:abstractNumId w:val="735"/>
  </w:num>
  <w:num w:numId="1246" w16cid:durableId="1019702965">
    <w:abstractNumId w:val="1002"/>
  </w:num>
  <w:num w:numId="1247" w16cid:durableId="2130388774">
    <w:abstractNumId w:val="1327"/>
  </w:num>
  <w:num w:numId="1248" w16cid:durableId="486018331">
    <w:abstractNumId w:val="1162"/>
  </w:num>
  <w:num w:numId="1249" w16cid:durableId="1549293064">
    <w:abstractNumId w:val="388"/>
  </w:num>
  <w:num w:numId="1250" w16cid:durableId="160506676">
    <w:abstractNumId w:val="893"/>
  </w:num>
  <w:num w:numId="1251" w16cid:durableId="985550605">
    <w:abstractNumId w:val="1103"/>
  </w:num>
  <w:num w:numId="1252" w16cid:durableId="987125033">
    <w:abstractNumId w:val="1456"/>
  </w:num>
  <w:num w:numId="1253" w16cid:durableId="1897155836">
    <w:abstractNumId w:val="440"/>
  </w:num>
  <w:num w:numId="1254" w16cid:durableId="2073189532">
    <w:abstractNumId w:val="407"/>
  </w:num>
  <w:num w:numId="1255" w16cid:durableId="2014339256">
    <w:abstractNumId w:val="497"/>
  </w:num>
  <w:num w:numId="1256" w16cid:durableId="574903451">
    <w:abstractNumId w:val="1238"/>
  </w:num>
  <w:num w:numId="1257" w16cid:durableId="394549924">
    <w:abstractNumId w:val="601"/>
  </w:num>
  <w:num w:numId="1258" w16cid:durableId="541524052">
    <w:abstractNumId w:val="1442"/>
  </w:num>
  <w:num w:numId="1259" w16cid:durableId="851065787">
    <w:abstractNumId w:val="100"/>
  </w:num>
  <w:num w:numId="1260" w16cid:durableId="322592429">
    <w:abstractNumId w:val="1515"/>
  </w:num>
  <w:num w:numId="1261" w16cid:durableId="1488474564">
    <w:abstractNumId w:val="1621"/>
  </w:num>
  <w:num w:numId="1262" w16cid:durableId="1063210789">
    <w:abstractNumId w:val="563"/>
  </w:num>
  <w:num w:numId="1263" w16cid:durableId="1562517057">
    <w:abstractNumId w:val="1527"/>
  </w:num>
  <w:num w:numId="1264" w16cid:durableId="477264592">
    <w:abstractNumId w:val="1418"/>
  </w:num>
  <w:num w:numId="1265" w16cid:durableId="203178403">
    <w:abstractNumId w:val="1121"/>
  </w:num>
  <w:num w:numId="1266" w16cid:durableId="85618462">
    <w:abstractNumId w:val="83"/>
  </w:num>
  <w:num w:numId="1267" w16cid:durableId="1461221180">
    <w:abstractNumId w:val="554"/>
  </w:num>
  <w:num w:numId="1268" w16cid:durableId="686294155">
    <w:abstractNumId w:val="1256"/>
  </w:num>
  <w:num w:numId="1269" w16cid:durableId="1405102414">
    <w:abstractNumId w:val="1462"/>
  </w:num>
  <w:num w:numId="1270" w16cid:durableId="1168979348">
    <w:abstractNumId w:val="125"/>
  </w:num>
  <w:num w:numId="1271" w16cid:durableId="348990789">
    <w:abstractNumId w:val="536"/>
  </w:num>
  <w:num w:numId="1272" w16cid:durableId="1061515361">
    <w:abstractNumId w:val="1536"/>
  </w:num>
  <w:num w:numId="1273" w16cid:durableId="951787671">
    <w:abstractNumId w:val="1090"/>
  </w:num>
  <w:num w:numId="1274" w16cid:durableId="343630598">
    <w:abstractNumId w:val="7"/>
  </w:num>
  <w:num w:numId="1275" w16cid:durableId="838691343">
    <w:abstractNumId w:val="1643"/>
  </w:num>
  <w:num w:numId="1276" w16cid:durableId="37361772">
    <w:abstractNumId w:val="936"/>
  </w:num>
  <w:num w:numId="1277" w16cid:durableId="406077790">
    <w:abstractNumId w:val="1283"/>
  </w:num>
  <w:num w:numId="1278" w16cid:durableId="1809931467">
    <w:abstractNumId w:val="415"/>
  </w:num>
  <w:num w:numId="1279" w16cid:durableId="1817918139">
    <w:abstractNumId w:val="174"/>
  </w:num>
  <w:num w:numId="1280" w16cid:durableId="337730498">
    <w:abstractNumId w:val="506"/>
  </w:num>
  <w:num w:numId="1281" w16cid:durableId="1649161984">
    <w:abstractNumId w:val="441"/>
  </w:num>
  <w:num w:numId="1282" w16cid:durableId="1689410904">
    <w:abstractNumId w:val="1531"/>
  </w:num>
  <w:num w:numId="1283" w16cid:durableId="1442216711">
    <w:abstractNumId w:val="1288"/>
  </w:num>
  <w:num w:numId="1284" w16cid:durableId="103810527">
    <w:abstractNumId w:val="1097"/>
  </w:num>
  <w:num w:numId="1285" w16cid:durableId="531192881">
    <w:abstractNumId w:val="19"/>
  </w:num>
  <w:num w:numId="1286" w16cid:durableId="1451048189">
    <w:abstractNumId w:val="553"/>
  </w:num>
  <w:num w:numId="1287" w16cid:durableId="1225726879">
    <w:abstractNumId w:val="168"/>
  </w:num>
  <w:num w:numId="1288" w16cid:durableId="12196927">
    <w:abstractNumId w:val="1468"/>
  </w:num>
  <w:num w:numId="1289" w16cid:durableId="1297025188">
    <w:abstractNumId w:val="318"/>
  </w:num>
  <w:num w:numId="1290" w16cid:durableId="1402754520">
    <w:abstractNumId w:val="1603"/>
  </w:num>
  <w:num w:numId="1291" w16cid:durableId="2109040326">
    <w:abstractNumId w:val="17"/>
  </w:num>
  <w:num w:numId="1292" w16cid:durableId="1376810108">
    <w:abstractNumId w:val="1160"/>
  </w:num>
  <w:num w:numId="1293" w16cid:durableId="672336780">
    <w:abstractNumId w:val="1198"/>
  </w:num>
  <w:num w:numId="1294" w16cid:durableId="2018191741">
    <w:abstractNumId w:val="269"/>
  </w:num>
  <w:num w:numId="1295" w16cid:durableId="425466059">
    <w:abstractNumId w:val="805"/>
  </w:num>
  <w:num w:numId="1296" w16cid:durableId="1888686124">
    <w:abstractNumId w:val="555"/>
  </w:num>
  <w:num w:numId="1297" w16cid:durableId="1363630556">
    <w:abstractNumId w:val="1232"/>
  </w:num>
  <w:num w:numId="1298" w16cid:durableId="1323122043">
    <w:abstractNumId w:val="179"/>
  </w:num>
  <w:num w:numId="1299" w16cid:durableId="658264838">
    <w:abstractNumId w:val="525"/>
  </w:num>
  <w:num w:numId="1300" w16cid:durableId="937299106">
    <w:abstractNumId w:val="1085"/>
  </w:num>
  <w:num w:numId="1301" w16cid:durableId="765733053">
    <w:abstractNumId w:val="32"/>
  </w:num>
  <w:num w:numId="1302" w16cid:durableId="760833026">
    <w:abstractNumId w:val="1129"/>
  </w:num>
  <w:num w:numId="1303" w16cid:durableId="1560752842">
    <w:abstractNumId w:val="655"/>
  </w:num>
  <w:num w:numId="1304" w16cid:durableId="1993945256">
    <w:abstractNumId w:val="1606"/>
  </w:num>
  <w:num w:numId="1305" w16cid:durableId="1770347826">
    <w:abstractNumId w:val="990"/>
  </w:num>
  <w:num w:numId="1306" w16cid:durableId="1013260463">
    <w:abstractNumId w:val="1183"/>
  </w:num>
  <w:num w:numId="1307" w16cid:durableId="1030104346">
    <w:abstractNumId w:val="586"/>
  </w:num>
  <w:num w:numId="1308" w16cid:durableId="1159077606">
    <w:abstractNumId w:val="1045"/>
  </w:num>
  <w:num w:numId="1309" w16cid:durableId="1033655731">
    <w:abstractNumId w:val="428"/>
  </w:num>
  <w:num w:numId="1310" w16cid:durableId="855383472">
    <w:abstractNumId w:val="1502"/>
  </w:num>
  <w:num w:numId="1311" w16cid:durableId="1981614748">
    <w:abstractNumId w:val="605"/>
  </w:num>
  <w:num w:numId="1312" w16cid:durableId="380640396">
    <w:abstractNumId w:val="961"/>
  </w:num>
  <w:num w:numId="1313" w16cid:durableId="1716151612">
    <w:abstractNumId w:val="1424"/>
  </w:num>
  <w:num w:numId="1314" w16cid:durableId="1327589014">
    <w:abstractNumId w:val="1165"/>
  </w:num>
  <w:num w:numId="1315" w16cid:durableId="1403019713">
    <w:abstractNumId w:val="1453"/>
  </w:num>
  <w:num w:numId="1316" w16cid:durableId="1002200867">
    <w:abstractNumId w:val="693"/>
  </w:num>
  <w:num w:numId="1317" w16cid:durableId="84423061">
    <w:abstractNumId w:val="1358"/>
  </w:num>
  <w:num w:numId="1318" w16cid:durableId="936131567">
    <w:abstractNumId w:val="208"/>
  </w:num>
  <w:num w:numId="1319" w16cid:durableId="349452718">
    <w:abstractNumId w:val="209"/>
  </w:num>
  <w:num w:numId="1320" w16cid:durableId="1874032402">
    <w:abstractNumId w:val="315"/>
  </w:num>
  <w:num w:numId="1321" w16cid:durableId="1426610925">
    <w:abstractNumId w:val="140"/>
  </w:num>
  <w:num w:numId="1322" w16cid:durableId="305279197">
    <w:abstractNumId w:val="1152"/>
  </w:num>
  <w:num w:numId="1323" w16cid:durableId="34896387">
    <w:abstractNumId w:val="160"/>
  </w:num>
  <w:num w:numId="1324" w16cid:durableId="302273286">
    <w:abstractNumId w:val="1244"/>
  </w:num>
  <w:num w:numId="1325" w16cid:durableId="2086028387">
    <w:abstractNumId w:val="1597"/>
  </w:num>
  <w:num w:numId="1326" w16cid:durableId="1059477204">
    <w:abstractNumId w:val="1403"/>
  </w:num>
  <w:num w:numId="1327" w16cid:durableId="572356164">
    <w:abstractNumId w:val="1354"/>
  </w:num>
  <w:num w:numId="1328" w16cid:durableId="760681576">
    <w:abstractNumId w:val="466"/>
  </w:num>
  <w:num w:numId="1329" w16cid:durableId="179975267">
    <w:abstractNumId w:val="266"/>
  </w:num>
  <w:num w:numId="1330" w16cid:durableId="1507398679">
    <w:abstractNumId w:val="1265"/>
  </w:num>
  <w:num w:numId="1331" w16cid:durableId="1458840624">
    <w:abstractNumId w:val="759"/>
  </w:num>
  <w:num w:numId="1332" w16cid:durableId="902371830">
    <w:abstractNumId w:val="992"/>
  </w:num>
  <w:num w:numId="1333" w16cid:durableId="425729582">
    <w:abstractNumId w:val="96"/>
  </w:num>
  <w:num w:numId="1334" w16cid:durableId="294603851">
    <w:abstractNumId w:val="47"/>
  </w:num>
  <w:num w:numId="1335" w16cid:durableId="1153327511">
    <w:abstractNumId w:val="849"/>
  </w:num>
  <w:num w:numId="1336" w16cid:durableId="585767398">
    <w:abstractNumId w:val="1284"/>
  </w:num>
  <w:num w:numId="1337" w16cid:durableId="183516915">
    <w:abstractNumId w:val="989"/>
  </w:num>
  <w:num w:numId="1338" w16cid:durableId="1446848206">
    <w:abstractNumId w:val="1445"/>
  </w:num>
  <w:num w:numId="1339" w16cid:durableId="1219173573">
    <w:abstractNumId w:val="612"/>
  </w:num>
  <w:num w:numId="1340" w16cid:durableId="1660114501">
    <w:abstractNumId w:val="718"/>
  </w:num>
  <w:num w:numId="1341" w16cid:durableId="874386994">
    <w:abstractNumId w:val="835"/>
  </w:num>
  <w:num w:numId="1342" w16cid:durableId="1172262469">
    <w:abstractNumId w:val="851"/>
  </w:num>
  <w:num w:numId="1343" w16cid:durableId="574049554">
    <w:abstractNumId w:val="901"/>
  </w:num>
  <w:num w:numId="1344" w16cid:durableId="1419980167">
    <w:abstractNumId w:val="493"/>
  </w:num>
  <w:num w:numId="1345" w16cid:durableId="1065494798">
    <w:abstractNumId w:val="1206"/>
  </w:num>
  <w:num w:numId="1346" w16cid:durableId="784036504">
    <w:abstractNumId w:val="81"/>
  </w:num>
  <w:num w:numId="1347" w16cid:durableId="637731962">
    <w:abstractNumId w:val="604"/>
  </w:num>
  <w:num w:numId="1348" w16cid:durableId="2039775005">
    <w:abstractNumId w:val="1382"/>
  </w:num>
  <w:num w:numId="1349" w16cid:durableId="1449662720">
    <w:abstractNumId w:val="751"/>
  </w:num>
  <w:num w:numId="1350" w16cid:durableId="1120995174">
    <w:abstractNumId w:val="1190"/>
  </w:num>
  <w:num w:numId="1351" w16cid:durableId="167527610">
    <w:abstractNumId w:val="1594"/>
  </w:num>
  <w:num w:numId="1352" w16cid:durableId="74741402">
    <w:abstractNumId w:val="159"/>
  </w:num>
  <w:num w:numId="1353" w16cid:durableId="2001733735">
    <w:abstractNumId w:val="369"/>
  </w:num>
  <w:num w:numId="1354" w16cid:durableId="1095634660">
    <w:abstractNumId w:val="501"/>
  </w:num>
  <w:num w:numId="1355" w16cid:durableId="1825507243">
    <w:abstractNumId w:val="1464"/>
  </w:num>
  <w:num w:numId="1356" w16cid:durableId="444737269">
    <w:abstractNumId w:val="769"/>
  </w:num>
  <w:num w:numId="1357" w16cid:durableId="1239710701">
    <w:abstractNumId w:val="442"/>
  </w:num>
  <w:num w:numId="1358" w16cid:durableId="1147475478">
    <w:abstractNumId w:val="1015"/>
  </w:num>
  <w:num w:numId="1359" w16cid:durableId="446435555">
    <w:abstractNumId w:val="1122"/>
  </w:num>
  <w:num w:numId="1360" w16cid:durableId="1442064084">
    <w:abstractNumId w:val="928"/>
  </w:num>
  <w:num w:numId="1361" w16cid:durableId="1861310518">
    <w:abstractNumId w:val="925"/>
  </w:num>
  <w:num w:numId="1362" w16cid:durableId="2075424827">
    <w:abstractNumId w:val="233"/>
  </w:num>
  <w:num w:numId="1363" w16cid:durableId="376048395">
    <w:abstractNumId w:val="344"/>
  </w:num>
  <w:num w:numId="1364" w16cid:durableId="1489247426">
    <w:abstractNumId w:val="682"/>
  </w:num>
  <w:num w:numId="1365" w16cid:durableId="1538813370">
    <w:abstractNumId w:val="1555"/>
  </w:num>
  <w:num w:numId="1366" w16cid:durableId="720717445">
    <w:abstractNumId w:val="234"/>
  </w:num>
  <w:num w:numId="1367" w16cid:durableId="777723136">
    <w:abstractNumId w:val="1269"/>
  </w:num>
  <w:num w:numId="1368" w16cid:durableId="934632174">
    <w:abstractNumId w:val="1005"/>
  </w:num>
  <w:num w:numId="1369" w16cid:durableId="729813072">
    <w:abstractNumId w:val="615"/>
  </w:num>
  <w:num w:numId="1370" w16cid:durableId="128136260">
    <w:abstractNumId w:val="14"/>
  </w:num>
  <w:num w:numId="1371" w16cid:durableId="657659155">
    <w:abstractNumId w:val="854"/>
  </w:num>
  <w:num w:numId="1372" w16cid:durableId="1308851584">
    <w:abstractNumId w:val="809"/>
  </w:num>
  <w:num w:numId="1373" w16cid:durableId="529269758">
    <w:abstractNumId w:val="418"/>
  </w:num>
  <w:num w:numId="1374" w16cid:durableId="1622564992">
    <w:abstractNumId w:val="330"/>
  </w:num>
  <w:num w:numId="1375" w16cid:durableId="1338846067">
    <w:abstractNumId w:val="1417"/>
  </w:num>
  <w:num w:numId="1376" w16cid:durableId="348332492">
    <w:abstractNumId w:val="1402"/>
  </w:num>
  <w:num w:numId="1377" w16cid:durableId="1027217953">
    <w:abstractNumId w:val="1341"/>
  </w:num>
  <w:num w:numId="1378" w16cid:durableId="829294046">
    <w:abstractNumId w:val="303"/>
  </w:num>
  <w:num w:numId="1379" w16cid:durableId="1279264268">
    <w:abstractNumId w:val="1150"/>
  </w:num>
  <w:num w:numId="1380" w16cid:durableId="1917544476">
    <w:abstractNumId w:val="471"/>
  </w:num>
  <w:num w:numId="1381" w16cid:durableId="979264326">
    <w:abstractNumId w:val="20"/>
  </w:num>
  <w:num w:numId="1382" w16cid:durableId="1070350345">
    <w:abstractNumId w:val="294"/>
  </w:num>
  <w:num w:numId="1383" w16cid:durableId="562058888">
    <w:abstractNumId w:val="634"/>
  </w:num>
  <w:num w:numId="1384" w16cid:durableId="1155029883">
    <w:abstractNumId w:val="1575"/>
  </w:num>
  <w:num w:numId="1385" w16cid:durableId="1516111354">
    <w:abstractNumId w:val="1209"/>
  </w:num>
  <w:num w:numId="1386" w16cid:durableId="493494296">
    <w:abstractNumId w:val="568"/>
  </w:num>
  <w:num w:numId="1387" w16cid:durableId="1431730551">
    <w:abstractNumId w:val="244"/>
  </w:num>
  <w:num w:numId="1388" w16cid:durableId="137384368">
    <w:abstractNumId w:val="526"/>
  </w:num>
  <w:num w:numId="1389" w16cid:durableId="779374211">
    <w:abstractNumId w:val="224"/>
  </w:num>
  <w:num w:numId="1390" w16cid:durableId="809517915">
    <w:abstractNumId w:val="1069"/>
  </w:num>
  <w:num w:numId="1391" w16cid:durableId="1869293292">
    <w:abstractNumId w:val="662"/>
  </w:num>
  <w:num w:numId="1392" w16cid:durableId="277303075">
    <w:abstractNumId w:val="478"/>
  </w:num>
  <w:num w:numId="1393" w16cid:durableId="1238787019">
    <w:abstractNumId w:val="1112"/>
  </w:num>
  <w:num w:numId="1394" w16cid:durableId="1855532552">
    <w:abstractNumId w:val="77"/>
  </w:num>
  <w:num w:numId="1395" w16cid:durableId="43677023">
    <w:abstractNumId w:val="1391"/>
  </w:num>
  <w:num w:numId="1396" w16cid:durableId="654651843">
    <w:abstractNumId w:val="375"/>
  </w:num>
  <w:num w:numId="1397" w16cid:durableId="271137376">
    <w:abstractNumId w:val="301"/>
  </w:num>
  <w:num w:numId="1398" w16cid:durableId="25451859">
    <w:abstractNumId w:val="1363"/>
  </w:num>
  <w:num w:numId="1399" w16cid:durableId="1344471929">
    <w:abstractNumId w:val="1627"/>
  </w:num>
  <w:num w:numId="1400" w16cid:durableId="1858890178">
    <w:abstractNumId w:val="267"/>
  </w:num>
  <w:num w:numId="1401" w16cid:durableId="591279535">
    <w:abstractNumId w:val="1629"/>
  </w:num>
  <w:num w:numId="1402" w16cid:durableId="633605469">
    <w:abstractNumId w:val="353"/>
  </w:num>
  <w:num w:numId="1403" w16cid:durableId="780298033">
    <w:abstractNumId w:val="1520"/>
  </w:num>
  <w:num w:numId="1404" w16cid:durableId="561675222">
    <w:abstractNumId w:val="36"/>
  </w:num>
  <w:num w:numId="1405" w16cid:durableId="1943754629">
    <w:abstractNumId w:val="1389"/>
  </w:num>
  <w:num w:numId="1406" w16cid:durableId="765539603">
    <w:abstractNumId w:val="713"/>
  </w:num>
  <w:num w:numId="1407" w16cid:durableId="1851211812">
    <w:abstractNumId w:val="1414"/>
  </w:num>
  <w:num w:numId="1408" w16cid:durableId="422799503">
    <w:abstractNumId w:val="757"/>
  </w:num>
  <w:num w:numId="1409" w16cid:durableId="1231504511">
    <w:abstractNumId w:val="887"/>
  </w:num>
  <w:num w:numId="1410" w16cid:durableId="1499617379">
    <w:abstractNumId w:val="1454"/>
  </w:num>
  <w:num w:numId="1411" w16cid:durableId="640617709">
    <w:abstractNumId w:val="1439"/>
  </w:num>
  <w:num w:numId="1412" w16cid:durableId="1047145600">
    <w:abstractNumId w:val="1003"/>
  </w:num>
  <w:num w:numId="1413" w16cid:durableId="863175383">
    <w:abstractNumId w:val="187"/>
  </w:num>
  <w:num w:numId="1414" w16cid:durableId="190848940">
    <w:abstractNumId w:val="1110"/>
  </w:num>
  <w:num w:numId="1415" w16cid:durableId="1766682109">
    <w:abstractNumId w:val="1279"/>
  </w:num>
  <w:num w:numId="1416" w16cid:durableId="1397439400">
    <w:abstractNumId w:val="1562"/>
  </w:num>
  <w:num w:numId="1417" w16cid:durableId="902640799">
    <w:abstractNumId w:val="1581"/>
  </w:num>
  <w:num w:numId="1418" w16cid:durableId="709257391">
    <w:abstractNumId w:val="54"/>
  </w:num>
  <w:num w:numId="1419" w16cid:durableId="131219694">
    <w:abstractNumId w:val="1430"/>
  </w:num>
  <w:num w:numId="1420" w16cid:durableId="2074963385">
    <w:abstractNumId w:val="210"/>
  </w:num>
  <w:num w:numId="1421" w16cid:durableId="655114605">
    <w:abstractNumId w:val="886"/>
  </w:num>
  <w:num w:numId="1422" w16cid:durableId="1403483700">
    <w:abstractNumId w:val="239"/>
  </w:num>
  <w:num w:numId="1423" w16cid:durableId="1260724278">
    <w:abstractNumId w:val="329"/>
  </w:num>
  <w:num w:numId="1424" w16cid:durableId="1570144217">
    <w:abstractNumId w:val="1497"/>
  </w:num>
  <w:num w:numId="1425" w16cid:durableId="903761295">
    <w:abstractNumId w:val="529"/>
  </w:num>
  <w:num w:numId="1426" w16cid:durableId="439491406">
    <w:abstractNumId w:val="221"/>
  </w:num>
  <w:num w:numId="1427" w16cid:durableId="663437429">
    <w:abstractNumId w:val="1008"/>
  </w:num>
  <w:num w:numId="1428" w16cid:durableId="1319532592">
    <w:abstractNumId w:val="633"/>
  </w:num>
  <w:num w:numId="1429" w16cid:durableId="1700204584">
    <w:abstractNumId w:val="1489"/>
  </w:num>
  <w:num w:numId="1430" w16cid:durableId="587468563">
    <w:abstractNumId w:val="1197"/>
  </w:num>
  <w:num w:numId="1431" w16cid:durableId="1341735044">
    <w:abstractNumId w:val="282"/>
  </w:num>
  <w:num w:numId="1432" w16cid:durableId="435756613">
    <w:abstractNumId w:val="761"/>
  </w:num>
  <w:num w:numId="1433" w16cid:durableId="2093895612">
    <w:abstractNumId w:val="481"/>
  </w:num>
  <w:num w:numId="1434" w16cid:durableId="463811674">
    <w:abstractNumId w:val="483"/>
  </w:num>
  <w:num w:numId="1435" w16cid:durableId="1189952430">
    <w:abstractNumId w:val="30"/>
  </w:num>
  <w:num w:numId="1436" w16cid:durableId="1970352962">
    <w:abstractNumId w:val="945"/>
  </w:num>
  <w:num w:numId="1437" w16cid:durableId="1054738432">
    <w:abstractNumId w:val="15"/>
  </w:num>
  <w:num w:numId="1438" w16cid:durableId="38627176">
    <w:abstractNumId w:val="700"/>
  </w:num>
  <w:num w:numId="1439" w16cid:durableId="475605718">
    <w:abstractNumId w:val="98"/>
  </w:num>
  <w:num w:numId="1440" w16cid:durableId="2138790638">
    <w:abstractNumId w:val="1533"/>
  </w:num>
  <w:num w:numId="1441" w16cid:durableId="1209299117">
    <w:abstractNumId w:val="1556"/>
  </w:num>
  <w:num w:numId="1442" w16cid:durableId="460732169">
    <w:abstractNumId w:val="1463"/>
  </w:num>
  <w:num w:numId="1443" w16cid:durableId="1238903219">
    <w:abstractNumId w:val="780"/>
  </w:num>
  <w:num w:numId="1444" w16cid:durableId="1298293507">
    <w:abstractNumId w:val="778"/>
  </w:num>
  <w:num w:numId="1445" w16cid:durableId="1855487373">
    <w:abstractNumId w:val="1060"/>
  </w:num>
  <w:num w:numId="1446" w16cid:durableId="1729186766">
    <w:abstractNumId w:val="173"/>
  </w:num>
  <w:num w:numId="1447" w16cid:durableId="1873611199">
    <w:abstractNumId w:val="1278"/>
  </w:num>
  <w:num w:numId="1448" w16cid:durableId="1484274192">
    <w:abstractNumId w:val="939"/>
  </w:num>
  <w:num w:numId="1449" w16cid:durableId="1481263898">
    <w:abstractNumId w:val="1173"/>
  </w:num>
  <w:num w:numId="1450" w16cid:durableId="1828934821">
    <w:abstractNumId w:val="157"/>
  </w:num>
  <w:num w:numId="1451" w16cid:durableId="709886393">
    <w:abstractNumId w:val="1066"/>
  </w:num>
  <w:num w:numId="1452" w16cid:durableId="571505994">
    <w:abstractNumId w:val="1042"/>
  </w:num>
  <w:num w:numId="1453" w16cid:durableId="476731442">
    <w:abstractNumId w:val="1485"/>
  </w:num>
  <w:num w:numId="1454" w16cid:durableId="1054162821">
    <w:abstractNumId w:val="22"/>
  </w:num>
  <w:num w:numId="1455" w16cid:durableId="203913374">
    <w:abstractNumId w:val="808"/>
  </w:num>
  <w:num w:numId="1456" w16cid:durableId="816845430">
    <w:abstractNumId w:val="203"/>
  </w:num>
  <w:num w:numId="1457" w16cid:durableId="1245918222">
    <w:abstractNumId w:val="860"/>
  </w:num>
  <w:num w:numId="1458" w16cid:durableId="514542201">
    <w:abstractNumId w:val="1580"/>
  </w:num>
  <w:num w:numId="1459" w16cid:durableId="2020933647">
    <w:abstractNumId w:val="105"/>
  </w:num>
  <w:num w:numId="1460" w16cid:durableId="532226538">
    <w:abstractNumId w:val="406"/>
  </w:num>
  <w:num w:numId="1461" w16cid:durableId="815731109">
    <w:abstractNumId w:val="624"/>
  </w:num>
  <w:num w:numId="1462" w16cid:durableId="1312441435">
    <w:abstractNumId w:val="798"/>
  </w:num>
  <w:num w:numId="1463" w16cid:durableId="1772823073">
    <w:abstractNumId w:val="296"/>
  </w:num>
  <w:num w:numId="1464" w16cid:durableId="9181789">
    <w:abstractNumId w:val="918"/>
  </w:num>
  <w:num w:numId="1465" w16cid:durableId="679237322">
    <w:abstractNumId w:val="1602"/>
  </w:num>
  <w:num w:numId="1466" w16cid:durableId="101196400">
    <w:abstractNumId w:val="1571"/>
  </w:num>
  <w:num w:numId="1467" w16cid:durableId="1318072532">
    <w:abstractNumId w:val="59"/>
  </w:num>
  <w:num w:numId="1468" w16cid:durableId="1013607335">
    <w:abstractNumId w:val="1141"/>
  </w:num>
  <w:num w:numId="1469" w16cid:durableId="1182890932">
    <w:abstractNumId w:val="1274"/>
  </w:num>
  <w:num w:numId="1470" w16cid:durableId="1746025793">
    <w:abstractNumId w:val="786"/>
  </w:num>
  <w:num w:numId="1471" w16cid:durableId="1035813262">
    <w:abstractNumId w:val="3"/>
  </w:num>
  <w:num w:numId="1472" w16cid:durableId="1995063254">
    <w:abstractNumId w:val="1529"/>
  </w:num>
  <w:num w:numId="1473" w16cid:durableId="1917393825">
    <w:abstractNumId w:val="772"/>
  </w:num>
  <w:num w:numId="1474" w16cid:durableId="1349671447">
    <w:abstractNumId w:val="1287"/>
  </w:num>
  <w:num w:numId="1475" w16cid:durableId="1589119192">
    <w:abstractNumId w:val="661"/>
  </w:num>
  <w:num w:numId="1476" w16cid:durableId="2097436692">
    <w:abstractNumId w:val="630"/>
  </w:num>
  <w:num w:numId="1477" w16cid:durableId="2068722832">
    <w:abstractNumId w:val="1514"/>
  </w:num>
  <w:num w:numId="1478" w16cid:durableId="1869565453">
    <w:abstractNumId w:val="706"/>
  </w:num>
  <w:num w:numId="1479" w16cid:durableId="842820324">
    <w:abstractNumId w:val="1027"/>
  </w:num>
  <w:num w:numId="1480" w16cid:durableId="179317983">
    <w:abstractNumId w:val="1487"/>
  </w:num>
  <w:num w:numId="1481" w16cid:durableId="1579635500">
    <w:abstractNumId w:val="492"/>
  </w:num>
  <w:num w:numId="1482" w16cid:durableId="921061871">
    <w:abstractNumId w:val="910"/>
  </w:num>
  <w:num w:numId="1483" w16cid:durableId="1913081735">
    <w:abstractNumId w:val="671"/>
  </w:num>
  <w:num w:numId="1484" w16cid:durableId="1202278154">
    <w:abstractNumId w:val="1254"/>
  </w:num>
  <w:num w:numId="1485" w16cid:durableId="1315258323">
    <w:abstractNumId w:val="1330"/>
  </w:num>
  <w:num w:numId="1486" w16cid:durableId="2077163874">
    <w:abstractNumId w:val="523"/>
  </w:num>
  <w:num w:numId="1487" w16cid:durableId="481167369">
    <w:abstractNumId w:val="272"/>
  </w:num>
  <w:num w:numId="1488" w16cid:durableId="2094621239">
    <w:abstractNumId w:val="658"/>
  </w:num>
  <w:num w:numId="1489" w16cid:durableId="909539845">
    <w:abstractNumId w:val="82"/>
  </w:num>
  <w:num w:numId="1490" w16cid:durableId="1310481207">
    <w:abstractNumId w:val="1513"/>
  </w:num>
  <w:num w:numId="1491" w16cid:durableId="913008883">
    <w:abstractNumId w:val="923"/>
  </w:num>
  <w:num w:numId="1492" w16cid:durableId="1042051970">
    <w:abstractNumId w:val="323"/>
  </w:num>
  <w:num w:numId="1493" w16cid:durableId="1973485806">
    <w:abstractNumId w:val="371"/>
  </w:num>
  <w:num w:numId="1494" w16cid:durableId="1376658394">
    <w:abstractNumId w:val="177"/>
  </w:num>
  <w:num w:numId="1495" w16cid:durableId="1061056516">
    <w:abstractNumId w:val="1633"/>
  </w:num>
  <w:num w:numId="1496" w16cid:durableId="1845625504">
    <w:abstractNumId w:val="781"/>
  </w:num>
  <w:num w:numId="1497" w16cid:durableId="953904047">
    <w:abstractNumId w:val="694"/>
  </w:num>
  <w:num w:numId="1498" w16cid:durableId="2129395917">
    <w:abstractNumId w:val="1586"/>
  </w:num>
  <w:num w:numId="1499" w16cid:durableId="222716808">
    <w:abstractNumId w:val="791"/>
  </w:num>
  <w:num w:numId="1500" w16cid:durableId="727068382">
    <w:abstractNumId w:val="1213"/>
  </w:num>
  <w:num w:numId="1501" w16cid:durableId="350763050">
    <w:abstractNumId w:val="290"/>
  </w:num>
  <w:num w:numId="1502" w16cid:durableId="1731926616">
    <w:abstractNumId w:val="974"/>
  </w:num>
  <w:num w:numId="1503" w16cid:durableId="744953576">
    <w:abstractNumId w:val="541"/>
  </w:num>
  <w:num w:numId="1504" w16cid:durableId="489951572">
    <w:abstractNumId w:val="236"/>
  </w:num>
  <w:num w:numId="1505" w16cid:durableId="538585887">
    <w:abstractNumId w:val="1108"/>
  </w:num>
  <w:num w:numId="1506" w16cid:durableId="323121247">
    <w:abstractNumId w:val="789"/>
  </w:num>
  <w:num w:numId="1507" w16cid:durableId="543106377">
    <w:abstractNumId w:val="1240"/>
  </w:num>
  <w:num w:numId="1508" w16cid:durableId="1072852735">
    <w:abstractNumId w:val="1498"/>
  </w:num>
  <w:num w:numId="1509" w16cid:durableId="1656302469">
    <w:abstractNumId w:val="580"/>
  </w:num>
  <w:num w:numId="1510" w16cid:durableId="1136993299">
    <w:abstractNumId w:val="512"/>
  </w:num>
  <w:num w:numId="1511" w16cid:durableId="717046283">
    <w:abstractNumId w:val="1535"/>
  </w:num>
  <w:num w:numId="1512" w16cid:durableId="1834642468">
    <w:abstractNumId w:val="843"/>
  </w:num>
  <w:num w:numId="1513" w16cid:durableId="1032345451">
    <w:abstractNumId w:val="425"/>
  </w:num>
  <w:num w:numId="1514" w16cid:durableId="1146437031">
    <w:abstractNumId w:val="1441"/>
  </w:num>
  <w:num w:numId="1515" w16cid:durableId="1745225570">
    <w:abstractNumId w:val="1078"/>
  </w:num>
  <w:num w:numId="1516" w16cid:durableId="2018337249">
    <w:abstractNumId w:val="807"/>
  </w:num>
  <w:num w:numId="1517" w16cid:durableId="1920941073">
    <w:abstractNumId w:val="498"/>
  </w:num>
  <w:num w:numId="1518" w16cid:durableId="452022219">
    <w:abstractNumId w:val="206"/>
  </w:num>
  <w:num w:numId="1519" w16cid:durableId="989870620">
    <w:abstractNumId w:val="997"/>
  </w:num>
  <w:num w:numId="1520" w16cid:durableId="44065308">
    <w:abstractNumId w:val="1075"/>
  </w:num>
  <w:num w:numId="1521" w16cid:durableId="1897280258">
    <w:abstractNumId w:val="1348"/>
  </w:num>
  <w:num w:numId="1522" w16cid:durableId="2140415800">
    <w:abstractNumId w:val="1598"/>
  </w:num>
  <w:num w:numId="1523" w16cid:durableId="927537251">
    <w:abstractNumId w:val="1494"/>
  </w:num>
  <w:num w:numId="1524" w16cid:durableId="114910651">
    <w:abstractNumId w:val="373"/>
  </w:num>
  <w:num w:numId="1525" w16cid:durableId="1905918886">
    <w:abstractNumId w:val="1012"/>
  </w:num>
  <w:num w:numId="1526" w16cid:durableId="1735082141">
    <w:abstractNumId w:val="39"/>
  </w:num>
  <w:num w:numId="1527" w16cid:durableId="1446731281">
    <w:abstractNumId w:val="1524"/>
  </w:num>
  <w:num w:numId="1528" w16cid:durableId="2096969423">
    <w:abstractNumId w:val="964"/>
  </w:num>
  <w:num w:numId="1529" w16cid:durableId="936064620">
    <w:abstractNumId w:val="1639"/>
  </w:num>
  <w:num w:numId="1530" w16cid:durableId="1247886253">
    <w:abstractNumId w:val="219"/>
  </w:num>
  <w:num w:numId="1531" w16cid:durableId="1537891616">
    <w:abstractNumId w:val="845"/>
  </w:num>
  <w:num w:numId="1532" w16cid:durableId="862859370">
    <w:abstractNumId w:val="952"/>
  </w:num>
  <w:num w:numId="1533" w16cid:durableId="2090886549">
    <w:abstractNumId w:val="838"/>
  </w:num>
  <w:num w:numId="1534" w16cid:durableId="1269699514">
    <w:abstractNumId w:val="508"/>
  </w:num>
  <w:num w:numId="1535" w16cid:durableId="1423180327">
    <w:abstractNumId w:val="486"/>
  </w:num>
  <w:num w:numId="1536" w16cid:durableId="818767988">
    <w:abstractNumId w:val="1223"/>
  </w:num>
  <w:num w:numId="1537" w16cid:durableId="515925612">
    <w:abstractNumId w:val="1037"/>
  </w:num>
  <w:num w:numId="1538" w16cid:durableId="642345255">
    <w:abstractNumId w:val="1355"/>
  </w:num>
  <w:num w:numId="1539" w16cid:durableId="588731583">
    <w:abstractNumId w:val="937"/>
  </w:num>
  <w:num w:numId="1540" w16cid:durableId="111436862">
    <w:abstractNumId w:val="198"/>
  </w:num>
  <w:num w:numId="1541" w16cid:durableId="1664699354">
    <w:abstractNumId w:val="1564"/>
  </w:num>
  <w:num w:numId="1542" w16cid:durableId="252393807">
    <w:abstractNumId w:val="1063"/>
  </w:num>
  <w:num w:numId="1543" w16cid:durableId="1154563497">
    <w:abstractNumId w:val="31"/>
  </w:num>
  <w:num w:numId="1544" w16cid:durableId="1473525480">
    <w:abstractNumId w:val="1208"/>
  </w:num>
  <w:num w:numId="1545" w16cid:durableId="340133607">
    <w:abstractNumId w:val="649"/>
  </w:num>
  <w:num w:numId="1546" w16cid:durableId="1390036728">
    <w:abstractNumId w:val="870"/>
  </w:num>
  <w:num w:numId="1547" w16cid:durableId="1028946760">
    <w:abstractNumId w:val="494"/>
  </w:num>
  <w:num w:numId="1548" w16cid:durableId="1636373536">
    <w:abstractNumId w:val="207"/>
  </w:num>
  <w:num w:numId="1549" w16cid:durableId="393283940">
    <w:abstractNumId w:val="1521"/>
  </w:num>
  <w:num w:numId="1550" w16cid:durableId="469708462">
    <w:abstractNumId w:val="237"/>
  </w:num>
  <w:num w:numId="1551" w16cid:durableId="1882208895">
    <w:abstractNumId w:val="414"/>
  </w:num>
  <w:num w:numId="1552" w16cid:durableId="2051344498">
    <w:abstractNumId w:val="535"/>
  </w:num>
  <w:num w:numId="1553" w16cid:durableId="539364416">
    <w:abstractNumId w:val="827"/>
  </w:num>
  <w:num w:numId="1554" w16cid:durableId="1539196853">
    <w:abstractNumId w:val="1050"/>
  </w:num>
  <w:num w:numId="1555" w16cid:durableId="1390227631">
    <w:abstractNumId w:val="1488"/>
  </w:num>
  <w:num w:numId="1556" w16cid:durableId="301665335">
    <w:abstractNumId w:val="920"/>
  </w:num>
  <w:num w:numId="1557" w16cid:durableId="615605214">
    <w:abstractNumId w:val="367"/>
  </w:num>
  <w:num w:numId="1558" w16cid:durableId="545531062">
    <w:abstractNumId w:val="1032"/>
  </w:num>
  <w:num w:numId="1559" w16cid:durableId="288556323">
    <w:abstractNumId w:val="1336"/>
  </w:num>
  <w:num w:numId="1560" w16cid:durableId="1568295501">
    <w:abstractNumId w:val="162"/>
  </w:num>
  <w:num w:numId="1561" w16cid:durableId="1105035199">
    <w:abstractNumId w:val="73"/>
  </w:num>
  <w:num w:numId="1562" w16cid:durableId="2039969218">
    <w:abstractNumId w:val="460"/>
  </w:num>
  <w:num w:numId="1563" w16cid:durableId="1711145042">
    <w:abstractNumId w:val="1179"/>
  </w:num>
  <w:num w:numId="1564" w16cid:durableId="2077046533">
    <w:abstractNumId w:val="820"/>
  </w:num>
  <w:num w:numId="1565" w16cid:durableId="634601045">
    <w:abstractNumId w:val="341"/>
  </w:num>
  <w:num w:numId="1566" w16cid:durableId="776632054">
    <w:abstractNumId w:val="813"/>
  </w:num>
  <w:num w:numId="1567" w16cid:durableId="1661080689">
    <w:abstractNumId w:val="505"/>
  </w:num>
  <w:num w:numId="1568" w16cid:durableId="317653870">
    <w:abstractNumId w:val="227"/>
  </w:num>
  <w:num w:numId="1569" w16cid:durableId="817723097">
    <w:abstractNumId w:val="1161"/>
  </w:num>
  <w:num w:numId="1570" w16cid:durableId="430587801">
    <w:abstractNumId w:val="1364"/>
  </w:num>
  <w:num w:numId="1571" w16cid:durableId="1120538855">
    <w:abstractNumId w:val="955"/>
  </w:num>
  <w:num w:numId="1572" w16cid:durableId="918060613">
    <w:abstractNumId w:val="13"/>
  </w:num>
  <w:num w:numId="1573" w16cid:durableId="723454310">
    <w:abstractNumId w:val="48"/>
  </w:num>
  <w:num w:numId="1574" w16cid:durableId="2094934931">
    <w:abstractNumId w:val="795"/>
  </w:num>
  <w:num w:numId="1575" w16cid:durableId="611058619">
    <w:abstractNumId w:val="691"/>
  </w:num>
  <w:num w:numId="1576" w16cid:durableId="574978268">
    <w:abstractNumId w:val="484"/>
  </w:num>
  <w:num w:numId="1577" w16cid:durableId="714625255">
    <w:abstractNumId w:val="550"/>
  </w:num>
  <w:num w:numId="1578" w16cid:durableId="942146550">
    <w:abstractNumId w:val="172"/>
  </w:num>
  <w:num w:numId="1579" w16cid:durableId="297732227">
    <w:abstractNumId w:val="745"/>
  </w:num>
  <w:num w:numId="1580" w16cid:durableId="1393772370">
    <w:abstractNumId w:val="1419"/>
  </w:num>
  <w:num w:numId="1581" w16cid:durableId="1408570948">
    <w:abstractNumId w:val="785"/>
  </w:num>
  <w:num w:numId="1582" w16cid:durableId="1759667929">
    <w:abstractNumId w:val="134"/>
  </w:num>
  <w:num w:numId="1583" w16cid:durableId="1018770378">
    <w:abstractNumId w:val="259"/>
  </w:num>
  <w:num w:numId="1584" w16cid:durableId="850414573">
    <w:abstractNumId w:val="821"/>
  </w:num>
  <w:num w:numId="1585" w16cid:durableId="2011642959">
    <w:abstractNumId w:val="688"/>
  </w:num>
  <w:num w:numId="1586" w16cid:durableId="2055083927">
    <w:abstractNumId w:val="881"/>
  </w:num>
  <w:num w:numId="1587" w16cid:durableId="1510875600">
    <w:abstractNumId w:val="1267"/>
  </w:num>
  <w:num w:numId="1588" w16cid:durableId="726804828">
    <w:abstractNumId w:val="325"/>
  </w:num>
  <w:num w:numId="1589" w16cid:durableId="91896918">
    <w:abstractNumId w:val="340"/>
  </w:num>
  <w:num w:numId="1590" w16cid:durableId="1979339549">
    <w:abstractNumId w:val="197"/>
  </w:num>
  <w:num w:numId="1591" w16cid:durableId="1131021363">
    <w:abstractNumId w:val="1552"/>
  </w:num>
  <w:num w:numId="1592" w16cid:durableId="686062873">
    <w:abstractNumId w:val="776"/>
  </w:num>
  <w:num w:numId="1593" w16cid:durableId="570967167">
    <w:abstractNumId w:val="1144"/>
  </w:num>
  <w:num w:numId="1594" w16cid:durableId="1214462712">
    <w:abstractNumId w:val="889"/>
  </w:num>
  <w:num w:numId="1595" w16cid:durableId="451166981">
    <w:abstractNumId w:val="1400"/>
  </w:num>
  <w:num w:numId="1596" w16cid:durableId="1390231481">
    <w:abstractNumId w:val="137"/>
  </w:num>
  <w:num w:numId="1597" w16cid:durableId="1809081581">
    <w:abstractNumId w:val="804"/>
  </w:num>
  <w:num w:numId="1598" w16cid:durableId="1618413731">
    <w:abstractNumId w:val="1607"/>
  </w:num>
  <w:num w:numId="1599" w16cid:durableId="1400904291">
    <w:abstractNumId w:val="1637"/>
  </w:num>
  <w:num w:numId="1600" w16cid:durableId="1187258618">
    <w:abstractNumId w:val="1046"/>
  </w:num>
  <w:num w:numId="1601" w16cid:durableId="1839691596">
    <w:abstractNumId w:val="903"/>
  </w:num>
  <w:num w:numId="1602" w16cid:durableId="1443186177">
    <w:abstractNumId w:val="444"/>
  </w:num>
  <w:num w:numId="1603" w16cid:durableId="1180046965">
    <w:abstractNumId w:val="167"/>
  </w:num>
  <w:num w:numId="1604" w16cid:durableId="822816290">
    <w:abstractNumId w:val="499"/>
  </w:num>
  <w:num w:numId="1605" w16cid:durableId="423847380">
    <w:abstractNumId w:val="245"/>
  </w:num>
  <w:num w:numId="1606" w16cid:durableId="776755941">
    <w:abstractNumId w:val="697"/>
  </w:num>
  <w:num w:numId="1607" w16cid:durableId="836580085">
    <w:abstractNumId w:val="108"/>
  </w:num>
  <w:num w:numId="1608" w16cid:durableId="1697123685">
    <w:abstractNumId w:val="898"/>
  </w:num>
  <w:num w:numId="1609" w16cid:durableId="732317158">
    <w:abstractNumId w:val="1658"/>
  </w:num>
  <w:num w:numId="1610" w16cid:durableId="949552449">
    <w:abstractNumId w:val="410"/>
  </w:num>
  <w:num w:numId="1611" w16cid:durableId="1113327368">
    <w:abstractNumId w:val="1170"/>
  </w:num>
  <w:num w:numId="1612" w16cid:durableId="1403747705">
    <w:abstractNumId w:val="774"/>
  </w:num>
  <w:num w:numId="1613" w16cid:durableId="1703286787">
    <w:abstractNumId w:val="1553"/>
  </w:num>
  <w:num w:numId="1614" w16cid:durableId="175389333">
    <w:abstractNumId w:val="1307"/>
  </w:num>
  <w:num w:numId="1615" w16cid:durableId="1107505745">
    <w:abstractNumId w:val="1006"/>
  </w:num>
  <w:num w:numId="1616" w16cid:durableId="276110122">
    <w:abstractNumId w:val="1476"/>
  </w:num>
  <w:num w:numId="1617" w16cid:durableId="1175994458">
    <w:abstractNumId w:val="111"/>
  </w:num>
  <w:num w:numId="1618" w16cid:durableId="681054372">
    <w:abstractNumId w:val="223"/>
  </w:num>
  <w:num w:numId="1619" w16cid:durableId="698160137">
    <w:abstractNumId w:val="946"/>
  </w:num>
  <w:num w:numId="1620" w16cid:durableId="1743522071">
    <w:abstractNumId w:val="900"/>
  </w:num>
  <w:num w:numId="1621" w16cid:durableId="224296630">
    <w:abstractNumId w:val="1224"/>
  </w:num>
  <w:num w:numId="1622" w16cid:durableId="317343647">
    <w:abstractNumId w:val="850"/>
  </w:num>
  <w:num w:numId="1623" w16cid:durableId="1281915209">
    <w:abstractNumId w:val="153"/>
  </w:num>
  <w:num w:numId="1624" w16cid:durableId="742875406">
    <w:abstractNumId w:val="773"/>
  </w:num>
  <w:num w:numId="1625" w16cid:durableId="202794723">
    <w:abstractNumId w:val="750"/>
  </w:num>
  <w:num w:numId="1626" w16cid:durableId="981890088">
    <w:abstractNumId w:val="677"/>
  </w:num>
  <w:num w:numId="1627" w16cid:durableId="522481310">
    <w:abstractNumId w:val="262"/>
  </w:num>
  <w:num w:numId="1628" w16cid:durableId="2093160224">
    <w:abstractNumId w:val="1290"/>
  </w:num>
  <w:num w:numId="1629" w16cid:durableId="1841037924">
    <w:abstractNumId w:val="754"/>
  </w:num>
  <w:num w:numId="1630" w16cid:durableId="1220822220">
    <w:abstractNumId w:val="1116"/>
  </w:num>
  <w:num w:numId="1631" w16cid:durableId="1959331961">
    <w:abstractNumId w:val="1433"/>
  </w:num>
  <w:num w:numId="1632" w16cid:durableId="864099019">
    <w:abstractNumId w:val="1640"/>
  </w:num>
  <w:num w:numId="1633" w16cid:durableId="338041178">
    <w:abstractNumId w:val="202"/>
  </w:num>
  <w:num w:numId="1634" w16cid:durableId="748230608">
    <w:abstractNumId w:val="175"/>
  </w:num>
  <w:num w:numId="1635" w16cid:durableId="2131627080">
    <w:abstractNumId w:val="738"/>
  </w:num>
  <w:num w:numId="1636" w16cid:durableId="1681470787">
    <w:abstractNumId w:val="1466"/>
  </w:num>
  <w:num w:numId="1637" w16cid:durableId="1704860610">
    <w:abstractNumId w:val="1079"/>
  </w:num>
  <w:num w:numId="1638" w16cid:durableId="1289165514">
    <w:abstractNumId w:val="155"/>
  </w:num>
  <w:num w:numId="1639" w16cid:durableId="424150961">
    <w:abstractNumId w:val="782"/>
  </w:num>
  <w:num w:numId="1640" w16cid:durableId="2115634723">
    <w:abstractNumId w:val="815"/>
  </w:num>
  <w:num w:numId="1641" w16cid:durableId="156505713">
    <w:abstractNumId w:val="1578"/>
  </w:num>
  <w:num w:numId="1642" w16cid:durableId="1083793483">
    <w:abstractNumId w:val="196"/>
  </w:num>
  <w:num w:numId="1643" w16cid:durableId="898977014">
    <w:abstractNumId w:val="1104"/>
  </w:num>
  <w:num w:numId="1644" w16cid:durableId="426343504">
    <w:abstractNumId w:val="1541"/>
  </w:num>
  <w:num w:numId="1645" w16cid:durableId="1060598627">
    <w:abstractNumId w:val="2"/>
  </w:num>
  <w:num w:numId="1646" w16cid:durableId="599802209">
    <w:abstractNumId w:val="1312"/>
  </w:num>
  <w:num w:numId="1647" w16cid:durableId="1107433571">
    <w:abstractNumId w:val="747"/>
  </w:num>
  <w:num w:numId="1648" w16cid:durableId="1859655601">
    <w:abstractNumId w:val="464"/>
  </w:num>
  <w:num w:numId="1649" w16cid:durableId="769662079">
    <w:abstractNumId w:val="87"/>
  </w:num>
  <w:num w:numId="1650" w16cid:durableId="1836608462">
    <w:abstractNumId w:val="1410"/>
  </w:num>
  <w:num w:numId="1651" w16cid:durableId="995107977">
    <w:abstractNumId w:val="50"/>
  </w:num>
  <w:num w:numId="1652" w16cid:durableId="1255898681">
    <w:abstractNumId w:val="1294"/>
  </w:num>
  <w:num w:numId="1653" w16cid:durableId="332345739">
    <w:abstractNumId w:val="253"/>
  </w:num>
  <w:num w:numId="1654" w16cid:durableId="1639602801">
    <w:abstractNumId w:val="222"/>
  </w:num>
  <w:num w:numId="1655" w16cid:durableId="346173635">
    <w:abstractNumId w:val="1036"/>
  </w:num>
  <w:num w:numId="1656" w16cid:durableId="769157696">
    <w:abstractNumId w:val="1039"/>
  </w:num>
  <w:num w:numId="1657" w16cid:durableId="85002027">
    <w:abstractNumId w:val="1604"/>
  </w:num>
  <w:num w:numId="1658" w16cid:durableId="295069341">
    <w:abstractNumId w:val="216"/>
  </w:num>
  <w:num w:numId="1659" w16cid:durableId="1841694920">
    <w:abstractNumId w:val="705"/>
  </w:num>
  <w:num w:numId="1660" w16cid:durableId="374276713">
    <w:abstractNumId w:val="217"/>
  </w:num>
  <w:num w:numId="1661" w16cid:durableId="289239992">
    <w:abstractNumId w:val="537"/>
  </w:num>
  <w:numIdMacAtCleanup w:val="16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2808"/>
    <w:rsid w:val="000F4169"/>
    <w:rsid w:val="003744EF"/>
    <w:rsid w:val="004823C7"/>
    <w:rsid w:val="004B2808"/>
    <w:rsid w:val="005135E7"/>
    <w:rsid w:val="00656038"/>
    <w:rsid w:val="00942D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4444A"/>
  <w15:docId w15:val="{AA369845-653D-4A0E-982E-307FCBD90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lang w:val="fr-BE" w:eastAsia="fr-BE" w:bidi="ar-SA"/>
      </w:rPr>
    </w:rPrDefault>
    <w:pPrDefault>
      <w:pPr>
        <w:spacing w:before="100" w:after="100" w:line="2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link w:val="normalChar"/>
    <w:qFormat/>
  </w:style>
  <w:style w:type="paragraph" w:styleId="Titre2">
    <w:name w:val="heading 2"/>
    <w:link w:val="Titre2Car"/>
    <w:uiPriority w:val="9"/>
    <w:semiHidden/>
    <w:unhideWhenUsed/>
    <w:qFormat/>
    <w:pPr>
      <w:outlineLvl w:val="1"/>
    </w:pPr>
    <w:rPr>
      <w:sz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eSectionHeading1">
    <w:name w:val="Author-e Section Heading 1"/>
    <w:uiPriority w:val="40"/>
    <w:qFormat/>
    <w:pPr>
      <w:keepLines/>
      <w:numPr>
        <w:numId w:val="1"/>
      </w:numPr>
      <w:outlineLvl w:val="0"/>
    </w:pPr>
    <w:rPr>
      <w:color w:val="3366FF"/>
      <w:sz w:val="40"/>
    </w:rPr>
  </w:style>
  <w:style w:type="paragraph" w:customStyle="1" w:styleId="Author-eSectionHeading2">
    <w:name w:val="Author-e Section Heading 2"/>
    <w:uiPriority w:val="40"/>
    <w:qFormat/>
    <w:pPr>
      <w:keepLines/>
      <w:numPr>
        <w:ilvl w:val="1"/>
        <w:numId w:val="1"/>
      </w:numPr>
      <w:outlineLvl w:val="1"/>
    </w:pPr>
    <w:rPr>
      <w:color w:val="3366FF"/>
      <w:sz w:val="36"/>
    </w:rPr>
  </w:style>
  <w:style w:type="paragraph" w:customStyle="1" w:styleId="Author-eSectionHeading3">
    <w:name w:val="Author-e Section Heading 3"/>
    <w:uiPriority w:val="40"/>
    <w:qFormat/>
    <w:pPr>
      <w:keepLines/>
      <w:numPr>
        <w:ilvl w:val="2"/>
        <w:numId w:val="1"/>
      </w:numPr>
      <w:outlineLvl w:val="2"/>
    </w:pPr>
    <w:rPr>
      <w:color w:val="3366FF"/>
      <w:sz w:val="32"/>
    </w:rPr>
  </w:style>
  <w:style w:type="paragraph" w:customStyle="1" w:styleId="Author-eSectionHeading4">
    <w:name w:val="Author-e Section Heading 4"/>
    <w:uiPriority w:val="40"/>
    <w:qFormat/>
    <w:pPr>
      <w:keepLines/>
      <w:numPr>
        <w:ilvl w:val="3"/>
        <w:numId w:val="1"/>
      </w:numPr>
      <w:outlineLvl w:val="3"/>
    </w:pPr>
    <w:rPr>
      <w:color w:val="3366FF"/>
      <w:sz w:val="30"/>
    </w:rPr>
  </w:style>
  <w:style w:type="paragraph" w:customStyle="1" w:styleId="Author-eSectionHeading5">
    <w:name w:val="Author-e Section Heading 5"/>
    <w:uiPriority w:val="40"/>
    <w:qFormat/>
    <w:pPr>
      <w:keepLines/>
      <w:numPr>
        <w:ilvl w:val="4"/>
        <w:numId w:val="1"/>
      </w:numPr>
      <w:outlineLvl w:val="4"/>
    </w:pPr>
    <w:rPr>
      <w:color w:val="3366FF"/>
      <w:sz w:val="28"/>
    </w:rPr>
  </w:style>
  <w:style w:type="paragraph" w:customStyle="1" w:styleId="Author-eSectionHeading6">
    <w:name w:val="Author-e Section Heading 6"/>
    <w:uiPriority w:val="40"/>
    <w:qFormat/>
    <w:pPr>
      <w:keepLines/>
      <w:numPr>
        <w:ilvl w:val="5"/>
        <w:numId w:val="1"/>
      </w:numPr>
      <w:outlineLvl w:val="5"/>
    </w:pPr>
    <w:rPr>
      <w:color w:val="3366FF"/>
      <w:sz w:val="24"/>
    </w:rPr>
  </w:style>
  <w:style w:type="paragraph" w:customStyle="1" w:styleId="Author-eSectionHeading1Numberless">
    <w:name w:val="Author-e Section Heading 1_Numberless"/>
    <w:uiPriority w:val="40"/>
    <w:qFormat/>
    <w:pPr>
      <w:outlineLvl w:val="0"/>
    </w:pPr>
    <w:rPr>
      <w:color w:val="3366FF"/>
      <w:sz w:val="40"/>
    </w:rPr>
  </w:style>
  <w:style w:type="paragraph" w:customStyle="1" w:styleId="Author-eSectionHeading2Numberless">
    <w:name w:val="Author-e Section Heading 2_Numberless"/>
    <w:uiPriority w:val="40"/>
    <w:qFormat/>
    <w:pPr>
      <w:outlineLvl w:val="1"/>
    </w:pPr>
    <w:rPr>
      <w:color w:val="3366FF"/>
      <w:sz w:val="36"/>
    </w:rPr>
  </w:style>
  <w:style w:type="paragraph" w:customStyle="1" w:styleId="Author-eSectionHeading3Numberless">
    <w:name w:val="Author-e Section Heading 3_Numberless"/>
    <w:uiPriority w:val="40"/>
    <w:qFormat/>
    <w:pPr>
      <w:outlineLvl w:val="2"/>
    </w:pPr>
    <w:rPr>
      <w:color w:val="3366FF"/>
      <w:sz w:val="32"/>
    </w:rPr>
  </w:style>
  <w:style w:type="paragraph" w:customStyle="1" w:styleId="Author-eSectionHeading4Numberless">
    <w:name w:val="Author-e Section Heading 4_Numberless"/>
    <w:uiPriority w:val="40"/>
    <w:qFormat/>
    <w:pPr>
      <w:outlineLvl w:val="3"/>
    </w:pPr>
    <w:rPr>
      <w:color w:val="3366FF"/>
      <w:sz w:val="30"/>
    </w:rPr>
  </w:style>
  <w:style w:type="paragraph" w:customStyle="1" w:styleId="Author-eSectionHeading5Numberless">
    <w:name w:val="Author-e Section Heading 5_Numberless"/>
    <w:uiPriority w:val="40"/>
    <w:qFormat/>
    <w:pPr>
      <w:outlineLvl w:val="4"/>
    </w:pPr>
    <w:rPr>
      <w:color w:val="3366FF"/>
      <w:sz w:val="28"/>
    </w:rPr>
  </w:style>
  <w:style w:type="paragraph" w:customStyle="1" w:styleId="Author-eSectionHeading6Numberless">
    <w:name w:val="Author-e Section Heading 6_Numberless"/>
    <w:uiPriority w:val="40"/>
    <w:qFormat/>
    <w:pPr>
      <w:outlineLvl w:val="5"/>
    </w:pPr>
    <w:rPr>
      <w:color w:val="3366FF"/>
      <w:sz w:val="24"/>
    </w:rPr>
  </w:style>
  <w:style w:type="paragraph" w:customStyle="1" w:styleId="SystemDefault">
    <w:name w:val="SystemDefault"/>
    <w:link w:val="SystemDefaultChar"/>
    <w:uiPriority w:val="40"/>
    <w:qFormat/>
  </w:style>
  <w:style w:type="character" w:customStyle="1" w:styleId="SystemDefaultChar">
    <w:name w:val="SystemDefault Char"/>
    <w:link w:val="SystemDefault"/>
    <w:rPr>
      <w:rFonts w:ascii="Arial" w:hAnsi="Arial" w:cs="Arial"/>
      <w:sz w:val="20"/>
    </w:rPr>
  </w:style>
  <w:style w:type="paragraph" w:customStyle="1" w:styleId="facult">
    <w:name w:val="facult"/>
    <w:link w:val="facultChar"/>
    <w:uiPriority w:val="40"/>
    <w:qFormat/>
    <w:rPr>
      <w:color w:val="3366FF"/>
    </w:rPr>
  </w:style>
  <w:style w:type="character" w:customStyle="1" w:styleId="facultChar">
    <w:name w:val="facult Char"/>
    <w:link w:val="facult"/>
    <w:rPr>
      <w:rFonts w:ascii="Arial" w:hAnsi="Arial" w:cs="Arial"/>
      <w:color w:val="3366FF"/>
      <w:sz w:val="20"/>
    </w:rPr>
  </w:style>
  <w:style w:type="paragraph" w:customStyle="1" w:styleId="heading">
    <w:name w:val="heading"/>
    <w:link w:val="headingChar"/>
    <w:uiPriority w:val="40"/>
    <w:qFormat/>
    <w:rPr>
      <w:b/>
      <w:sz w:val="24"/>
    </w:rPr>
  </w:style>
  <w:style w:type="character" w:customStyle="1" w:styleId="headingChar">
    <w:name w:val="heading Char"/>
    <w:link w:val="heading"/>
    <w:rPr>
      <w:rFonts w:ascii="Arial" w:hAnsi="Arial" w:cs="Arial"/>
      <w:b/>
      <w:sz w:val="24"/>
    </w:rPr>
  </w:style>
  <w:style w:type="character" w:customStyle="1" w:styleId="Titre2Car">
    <w:name w:val="Titre 2 Car"/>
    <w:link w:val="Titre2"/>
    <w:rPr>
      <w:rFonts w:ascii="Arial" w:hAnsi="Arial" w:cs="Arial"/>
      <w:sz w:val="22"/>
    </w:rPr>
  </w:style>
  <w:style w:type="character" w:customStyle="1" w:styleId="normalChar">
    <w:name w:val="normal Char"/>
    <w:rPr>
      <w:rFonts w:ascii="Arial" w:hAnsi="Arial" w:cs="Arial"/>
      <w:sz w:val="20"/>
    </w:rPr>
  </w:style>
  <w:style w:type="paragraph" w:customStyle="1" w:styleId="nospacing">
    <w:name w:val="nospacing"/>
    <w:link w:val="nospacingChar"/>
    <w:uiPriority w:val="40"/>
    <w:qFormat/>
  </w:style>
  <w:style w:type="character" w:customStyle="1" w:styleId="nospacingChar">
    <w:name w:val="nospacing Char"/>
    <w:link w:val="nospacing"/>
    <w:rPr>
      <w:rFonts w:ascii="Arial" w:hAnsi="Arial" w:cs="Arial"/>
      <w:sz w:val="20"/>
    </w:rPr>
  </w:style>
  <w:style w:type="paragraph" w:customStyle="1" w:styleId="optioncar">
    <w:name w:val="optioncar"/>
    <w:link w:val="optioncarChar"/>
    <w:uiPriority w:val="40"/>
    <w:qFormat/>
    <w:rPr>
      <w:color w:val="FF0000"/>
    </w:rPr>
  </w:style>
  <w:style w:type="character" w:customStyle="1" w:styleId="optioncarChar">
    <w:name w:val="optioncar Char"/>
    <w:link w:val="optioncar"/>
    <w:rPr>
      <w:rFonts w:ascii="Arial" w:hAnsi="Arial" w:cs="Arial"/>
      <w:color w:val="FF0000"/>
      <w:sz w:val="20"/>
    </w:rPr>
  </w:style>
  <w:style w:type="paragraph" w:customStyle="1" w:styleId="pheading">
    <w:name w:val="pheading"/>
    <w:link w:val="pheadingChar"/>
    <w:uiPriority w:val="40"/>
    <w:qFormat/>
    <w:rPr>
      <w:color w:val="FF0000"/>
      <w:sz w:val="24"/>
    </w:rPr>
  </w:style>
  <w:style w:type="character" w:customStyle="1" w:styleId="pheadingChar">
    <w:name w:val="pheading Char"/>
    <w:link w:val="pheading"/>
    <w:rPr>
      <w:rFonts w:ascii="Arial" w:hAnsi="Arial" w:cs="Arial"/>
      <w:color w:val="FF0000"/>
      <w:sz w:val="24"/>
    </w:rPr>
  </w:style>
  <w:style w:type="paragraph" w:customStyle="1" w:styleId="soit">
    <w:name w:val="soit"/>
    <w:link w:val="soitChar"/>
    <w:uiPriority w:val="40"/>
    <w:qFormat/>
    <w:rPr>
      <w:color w:val="33CCCC"/>
    </w:rPr>
  </w:style>
  <w:style w:type="character" w:customStyle="1" w:styleId="soitChar">
    <w:name w:val="soit Char"/>
    <w:link w:val="soit"/>
    <w:rPr>
      <w:rFonts w:ascii="Arial" w:hAnsi="Arial" w:cs="Arial"/>
      <w:color w:val="33CCCC"/>
      <w:sz w:val="20"/>
    </w:rPr>
  </w:style>
  <w:style w:type="table" w:customStyle="1" w:styleId="Author-eTableGrid">
    <w:name w:val="Author-e Table Grid"/>
    <w:uiPriority w:val="59"/>
    <w:pPr>
      <w:widowControl w:val="0"/>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Pr>
  </w:style>
  <w:style w:type="paragraph" w:customStyle="1" w:styleId="Author-eListParagraph">
    <w:name w:val="Author-e List Paragraph"/>
    <w:uiPriority w:val="34"/>
    <w:qFormat/>
    <w:pPr>
      <w:contextualSpacing/>
    </w:pPr>
  </w:style>
  <w:style w:type="paragraph" w:styleId="En-ttedetabledesmatires">
    <w:name w:val="TOC Heading"/>
    <w:hidden/>
    <w:uiPriority w:val="39"/>
    <w:qFormat/>
    <w:rPr>
      <w:b/>
    </w:rPr>
  </w:style>
  <w:style w:type="paragraph" w:styleId="TM1">
    <w:name w:val="toc 1"/>
    <w:autoRedefine/>
    <w:hidden/>
    <w:uiPriority w:val="39"/>
    <w:pPr>
      <w:spacing w:before="0"/>
      <w:ind w:left="220"/>
    </w:pPr>
  </w:style>
  <w:style w:type="paragraph" w:styleId="TM2">
    <w:name w:val="toc 2"/>
    <w:autoRedefine/>
    <w:hidden/>
    <w:uiPriority w:val="39"/>
    <w:pPr>
      <w:spacing w:before="0"/>
      <w:ind w:left="440"/>
    </w:pPr>
  </w:style>
  <w:style w:type="paragraph" w:styleId="TM3">
    <w:name w:val="toc 3"/>
    <w:autoRedefine/>
    <w:hidden/>
    <w:uiPriority w:val="39"/>
    <w:pPr>
      <w:spacing w:before="0"/>
      <w:ind w:left="660"/>
    </w:pPr>
  </w:style>
  <w:style w:type="paragraph" w:styleId="TM4">
    <w:name w:val="toc 4"/>
    <w:autoRedefine/>
    <w:hidden/>
    <w:uiPriority w:val="39"/>
    <w:pPr>
      <w:spacing w:before="0"/>
      <w:ind w:left="880"/>
    </w:pPr>
  </w:style>
  <w:style w:type="paragraph" w:styleId="TM5">
    <w:name w:val="toc 5"/>
    <w:autoRedefine/>
    <w:hidden/>
    <w:uiPriority w:val="39"/>
    <w:pPr>
      <w:spacing w:before="0"/>
      <w:ind w:left="1100"/>
    </w:pPr>
  </w:style>
  <w:style w:type="paragraph" w:styleId="TM6">
    <w:name w:val="toc 6"/>
    <w:autoRedefine/>
    <w:hidden/>
    <w:uiPriority w:val="39"/>
    <w:pPr>
      <w:spacing w:before="0"/>
      <w:ind w:left="1320"/>
    </w:pPr>
  </w:style>
  <w:style w:type="paragraph" w:styleId="TM7">
    <w:name w:val="toc 7"/>
    <w:autoRedefine/>
    <w:hidden/>
    <w:uiPriority w:val="39"/>
    <w:pPr>
      <w:spacing w:before="0"/>
      <w:ind w:left="1540"/>
    </w:pPr>
  </w:style>
  <w:style w:type="paragraph" w:styleId="TM8">
    <w:name w:val="toc 8"/>
    <w:basedOn w:val="Normal"/>
    <w:next w:val="Normal"/>
    <w:autoRedefine/>
    <w:uiPriority w:val="39"/>
    <w:unhideWhenUsed/>
    <w:rsid w:val="00942DA0"/>
    <w:pPr>
      <w:spacing w:before="0" w:line="278" w:lineRule="auto"/>
      <w:ind w:left="1680"/>
    </w:pPr>
    <w:rPr>
      <w:rFonts w:asciiTheme="minorHAnsi" w:eastAsiaTheme="minorEastAsia" w:hAnsiTheme="minorHAnsi" w:cstheme="minorBidi"/>
      <w:kern w:val="2"/>
      <w:sz w:val="24"/>
      <w:szCs w:val="24"/>
      <w14:ligatures w14:val="standardContextual"/>
    </w:rPr>
  </w:style>
  <w:style w:type="paragraph" w:styleId="TM9">
    <w:name w:val="toc 9"/>
    <w:basedOn w:val="Normal"/>
    <w:next w:val="Normal"/>
    <w:autoRedefine/>
    <w:uiPriority w:val="39"/>
    <w:unhideWhenUsed/>
    <w:rsid w:val="00942DA0"/>
    <w:pPr>
      <w:spacing w:before="0" w:line="278" w:lineRule="auto"/>
      <w:ind w:left="1920"/>
    </w:pPr>
    <w:rPr>
      <w:rFonts w:asciiTheme="minorHAnsi" w:eastAsiaTheme="minorEastAsia" w:hAnsiTheme="minorHAnsi" w:cstheme="minorBidi"/>
      <w:kern w:val="2"/>
      <w:sz w:val="24"/>
      <w:szCs w:val="24"/>
      <w14:ligatures w14:val="standardContextual"/>
    </w:rPr>
  </w:style>
  <w:style w:type="character" w:styleId="Lienhypertexte">
    <w:name w:val="Hyperlink"/>
    <w:basedOn w:val="Policepardfaut"/>
    <w:uiPriority w:val="99"/>
    <w:unhideWhenUsed/>
    <w:rsid w:val="00942DA0"/>
    <w:rPr>
      <w:color w:val="467886" w:themeColor="hyperlink"/>
      <w:u w:val="single"/>
    </w:rPr>
  </w:style>
  <w:style w:type="character" w:styleId="Mentionnonrsolue">
    <w:name w:val="Unresolved Mention"/>
    <w:basedOn w:val="Policepardfaut"/>
    <w:uiPriority w:val="99"/>
    <w:semiHidden/>
    <w:unhideWhenUsed/>
    <w:rsid w:val="00942DA0"/>
    <w:rPr>
      <w:color w:val="605E5C"/>
      <w:shd w:val="clear" w:color="auto" w:fill="E1DFDD"/>
    </w:rPr>
  </w:style>
  <w:style w:type="paragraph" w:styleId="En-tte">
    <w:name w:val="header"/>
    <w:basedOn w:val="Normal"/>
    <w:link w:val="En-tteCar"/>
    <w:uiPriority w:val="99"/>
    <w:unhideWhenUsed/>
    <w:rsid w:val="000F4169"/>
    <w:pPr>
      <w:tabs>
        <w:tab w:val="center" w:pos="4536"/>
        <w:tab w:val="right" w:pos="9072"/>
      </w:tabs>
      <w:spacing w:before="0" w:after="0" w:line="240" w:lineRule="auto"/>
    </w:pPr>
  </w:style>
  <w:style w:type="character" w:customStyle="1" w:styleId="En-tteCar">
    <w:name w:val="En-tête Car"/>
    <w:basedOn w:val="Policepardfaut"/>
    <w:link w:val="En-tte"/>
    <w:uiPriority w:val="99"/>
    <w:rsid w:val="000F4169"/>
  </w:style>
  <w:style w:type="paragraph" w:styleId="Pieddepage">
    <w:name w:val="footer"/>
    <w:basedOn w:val="Normal"/>
    <w:link w:val="PieddepageCar"/>
    <w:uiPriority w:val="99"/>
    <w:unhideWhenUsed/>
    <w:rsid w:val="000F4169"/>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0F41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7146069">
      <w:bodyDiv w:val="1"/>
      <w:marLeft w:val="0"/>
      <w:marRight w:val="0"/>
      <w:marTop w:val="0"/>
      <w:marBottom w:val="0"/>
      <w:divBdr>
        <w:top w:val="none" w:sz="0" w:space="0" w:color="auto"/>
        <w:left w:val="none" w:sz="0" w:space="0" w:color="auto"/>
        <w:bottom w:val="none" w:sz="0" w:space="0" w:color="auto"/>
        <w:right w:val="none" w:sz="0" w:space="0" w:color="auto"/>
      </w:divBdr>
    </w:div>
    <w:div w:id="2110345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374709</Words>
  <Characters>2060905</Characters>
  <Application>Microsoft Office Word</Application>
  <DocSecurity>0</DocSecurity>
  <Lines>17174</Lines>
  <Paragraphs>4861</Paragraphs>
  <ScaleCrop>false</ScaleCrop>
  <Company>SPW</Company>
  <LinksUpToDate>false</LinksUpToDate>
  <CharactersWithSpaces>2430753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T5 Fermetures / Finitions intérieures CCTB 01.13</dc:title>
  <dc:creator/>
  <cp:lastModifiedBy>TASSIN Thierry</cp:lastModifiedBy>
  <cp:revision>5</cp:revision>
  <dcterms:created xsi:type="dcterms:W3CDTF">2026-01-26T11:47:00Z</dcterms:created>
  <dcterms:modified xsi:type="dcterms:W3CDTF">2026-01-28T09:58:00Z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2026-01-27T10:17:18Z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0a16c589-cfc0-4afe-830a-28dd69da487b</vt:lpwstr>
  </property>
  <property fmtid="{D5CDD505-2E9C-101B-9397-08002B2CF9AE}" pid="8" name="MSIP_Label_97a477d1-147d-4e34-b5e3-7b26d2f44870_ContentBits">
    <vt:lpwstr>0</vt:lpwstr>
  </property>
  <property fmtid="{D5CDD505-2E9C-101B-9397-08002B2CF9AE}" pid="9" name="MSIP_Label_97a477d1-147d-4e34-b5e3-7b26d2f44870_Tag">
    <vt:lpwstr>10, 3, 0, 1</vt:lpwstr>
  </property>
</Properties>
</file>